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Default Extension="jpeg" ContentType="image/jpeg"/>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8"/>
        <w:ind w:left="133" w:right="0" w:firstLine="0"/>
        <w:jc w:val="left"/>
        <w:rPr>
          <w:rFonts w:ascii="Palatino Linotype"/>
          <w:b/>
          <w:sz w:val="58"/>
        </w:rPr>
      </w:pPr>
      <w:r>
        <w:rPr/>
        <mc:AlternateContent>
          <mc:Choice Requires="wps">
            <w:drawing>
              <wp:anchor distT="0" distB="0" distL="0" distR="0" allowOverlap="1" layoutInCell="1" locked="0" behindDoc="1" simplePos="0" relativeHeight="482550272">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pic:pic>
                        <pic:nvPicPr>
                          <pic:cNvPr id="2" name="Image 2"/>
                          <pic:cNvPicPr/>
                        </pic:nvPicPr>
                        <pic:blipFill>
                          <a:blip r:embed="rId5" cstate="print"/>
                          <a:stretch>
                            <a:fillRect/>
                          </a:stretch>
                        </pic:blipFill>
                        <pic:spPr>
                          <a:xfrm>
                            <a:off x="0" y="0"/>
                            <a:ext cx="7772399" cy="10058399"/>
                          </a:xfrm>
                          <a:prstGeom prst="rect">
                            <a:avLst/>
                          </a:prstGeom>
                        </pic:spPr>
                      </pic:pic>
                      <pic:pic>
                        <pic:nvPicPr>
                          <pic:cNvPr id="3" name="Image 3"/>
                          <pic:cNvPicPr/>
                        </pic:nvPicPr>
                        <pic:blipFill>
                          <a:blip r:embed="rId6" cstate="print"/>
                          <a:stretch>
                            <a:fillRect/>
                          </a:stretch>
                        </pic:blipFill>
                        <pic:spPr>
                          <a:xfrm>
                            <a:off x="3115893" y="3203811"/>
                            <a:ext cx="4656506" cy="5309779"/>
                          </a:xfrm>
                          <a:prstGeom prst="rect">
                            <a:avLst/>
                          </a:prstGeom>
                        </pic:spPr>
                      </pic:pic>
                      <wps:wsp>
                        <wps:cNvPr id="4" name="Graphic 4"/>
                        <wps:cNvSpPr/>
                        <wps:spPr>
                          <a:xfrm>
                            <a:off x="595680" y="191197"/>
                            <a:ext cx="19050" cy="9602470"/>
                          </a:xfrm>
                          <a:custGeom>
                            <a:avLst/>
                            <a:gdLst/>
                            <a:ahLst/>
                            <a:cxnLst/>
                            <a:rect l="l" t="t" r="r" b="b"/>
                            <a:pathLst>
                              <a:path w="19050" h="9602470">
                                <a:moveTo>
                                  <a:pt x="19050" y="7516088"/>
                                </a:moveTo>
                                <a:lnTo>
                                  <a:pt x="0" y="7516088"/>
                                </a:lnTo>
                                <a:lnTo>
                                  <a:pt x="0" y="9601962"/>
                                </a:lnTo>
                                <a:lnTo>
                                  <a:pt x="19050" y="9601962"/>
                                </a:lnTo>
                                <a:lnTo>
                                  <a:pt x="19050" y="7516088"/>
                                </a:lnTo>
                                <a:close/>
                              </a:path>
                              <a:path w="19050" h="9602470">
                                <a:moveTo>
                                  <a:pt x="19050" y="7413066"/>
                                </a:moveTo>
                                <a:lnTo>
                                  <a:pt x="0" y="7413066"/>
                                </a:lnTo>
                                <a:lnTo>
                                  <a:pt x="0" y="7439888"/>
                                </a:lnTo>
                                <a:lnTo>
                                  <a:pt x="19050" y="7439888"/>
                                </a:lnTo>
                                <a:lnTo>
                                  <a:pt x="19050" y="7413066"/>
                                </a:lnTo>
                                <a:close/>
                              </a:path>
                              <a:path w="19050" h="9602470">
                                <a:moveTo>
                                  <a:pt x="19050" y="0"/>
                                </a:moveTo>
                                <a:lnTo>
                                  <a:pt x="0" y="0"/>
                                </a:lnTo>
                                <a:lnTo>
                                  <a:pt x="0" y="7336866"/>
                                </a:lnTo>
                                <a:lnTo>
                                  <a:pt x="19050" y="7336866"/>
                                </a:lnTo>
                                <a:lnTo>
                                  <a:pt x="19050" y="0"/>
                                </a:lnTo>
                                <a:close/>
                              </a:path>
                            </a:pathLst>
                          </a:custGeom>
                          <a:solidFill>
                            <a:srgbClr val="3489A1"/>
                          </a:solidFill>
                        </wps:spPr>
                        <wps:bodyPr wrap="square" lIns="0" tIns="0" rIns="0" bIns="0" rtlCol="0">
                          <a:prstTxWarp prst="textNoShape">
                            <a:avLst/>
                          </a:prstTxWarp>
                          <a:noAutofit/>
                        </wps:bodyPr>
                      </wps:wsp>
                      <wps:wsp>
                        <wps:cNvPr id="5" name="Graphic 5"/>
                        <wps:cNvSpPr/>
                        <wps:spPr>
                          <a:xfrm>
                            <a:off x="5171528" y="2513692"/>
                            <a:ext cx="970915" cy="3762375"/>
                          </a:xfrm>
                          <a:custGeom>
                            <a:avLst/>
                            <a:gdLst/>
                            <a:ahLst/>
                            <a:cxnLst/>
                            <a:rect l="l" t="t" r="r" b="b"/>
                            <a:pathLst>
                              <a:path w="970915" h="3762375">
                                <a:moveTo>
                                  <a:pt x="970898" y="3762230"/>
                                </a:moveTo>
                                <a:lnTo>
                                  <a:pt x="0" y="3762230"/>
                                </a:lnTo>
                                <a:lnTo>
                                  <a:pt x="0" y="0"/>
                                </a:lnTo>
                                <a:lnTo>
                                  <a:pt x="970898" y="0"/>
                                </a:lnTo>
                                <a:lnTo>
                                  <a:pt x="970898" y="3762230"/>
                                </a:lnTo>
                                <a:close/>
                              </a:path>
                            </a:pathLst>
                          </a:custGeom>
                          <a:solidFill>
                            <a:srgbClr val="77D4E3"/>
                          </a:solidFill>
                        </wps:spPr>
                        <wps:bodyPr wrap="square" lIns="0" tIns="0" rIns="0" bIns="0" rtlCol="0">
                          <a:prstTxWarp prst="textNoShape">
                            <a:avLst/>
                          </a:prstTxWarp>
                          <a:noAutofit/>
                        </wps:bodyPr>
                      </wps:wsp>
                      <wps:wsp>
                        <wps:cNvPr id="6" name="Graphic 6"/>
                        <wps:cNvSpPr/>
                        <wps:spPr>
                          <a:xfrm>
                            <a:off x="4982303" y="2948990"/>
                            <a:ext cx="378460" cy="2282825"/>
                          </a:xfrm>
                          <a:custGeom>
                            <a:avLst/>
                            <a:gdLst/>
                            <a:ahLst/>
                            <a:cxnLst/>
                            <a:rect l="l" t="t" r="r" b="b"/>
                            <a:pathLst>
                              <a:path w="378460" h="2282825">
                                <a:moveTo>
                                  <a:pt x="378450" y="2282530"/>
                                </a:moveTo>
                                <a:lnTo>
                                  <a:pt x="0" y="2282530"/>
                                </a:lnTo>
                                <a:lnTo>
                                  <a:pt x="0" y="0"/>
                                </a:lnTo>
                                <a:lnTo>
                                  <a:pt x="378450" y="0"/>
                                </a:lnTo>
                                <a:lnTo>
                                  <a:pt x="378450" y="2282530"/>
                                </a:lnTo>
                                <a:close/>
                              </a:path>
                            </a:pathLst>
                          </a:custGeom>
                          <a:solidFill>
                            <a:srgbClr val="F1E35C"/>
                          </a:solidFill>
                        </wps:spPr>
                        <wps:bodyPr wrap="square" lIns="0" tIns="0" rIns="0" bIns="0" rtlCol="0">
                          <a:prstTxWarp prst="textNoShape">
                            <a:avLst/>
                          </a:prstTxWarp>
                          <a:noAutofit/>
                        </wps:bodyPr>
                      </wps:wsp>
                      <wps:wsp>
                        <wps:cNvPr id="7" name="Graphic 7"/>
                        <wps:cNvSpPr/>
                        <wps:spPr>
                          <a:xfrm>
                            <a:off x="6459266" y="7942398"/>
                            <a:ext cx="852805" cy="2115185"/>
                          </a:xfrm>
                          <a:custGeom>
                            <a:avLst/>
                            <a:gdLst/>
                            <a:ahLst/>
                            <a:cxnLst/>
                            <a:rect l="l" t="t" r="r" b="b"/>
                            <a:pathLst>
                              <a:path w="852805" h="2115185">
                                <a:moveTo>
                                  <a:pt x="852653" y="2114981"/>
                                </a:moveTo>
                                <a:lnTo>
                                  <a:pt x="0" y="2114981"/>
                                </a:lnTo>
                                <a:lnTo>
                                  <a:pt x="0" y="0"/>
                                </a:lnTo>
                                <a:lnTo>
                                  <a:pt x="852653" y="0"/>
                                </a:lnTo>
                                <a:lnTo>
                                  <a:pt x="852653" y="2114981"/>
                                </a:lnTo>
                                <a:close/>
                              </a:path>
                            </a:pathLst>
                          </a:custGeom>
                          <a:solidFill>
                            <a:srgbClr val="77D4E3"/>
                          </a:solidFill>
                        </wps:spPr>
                        <wps:bodyPr wrap="square" lIns="0" tIns="0" rIns="0" bIns="0" rtlCol="0">
                          <a:prstTxWarp prst="textNoShape">
                            <a:avLst/>
                          </a:prstTxWarp>
                          <a:noAutofit/>
                        </wps:bodyPr>
                      </wps:wsp>
                      <wps:wsp>
                        <wps:cNvPr id="8" name="Graphic 8"/>
                        <wps:cNvSpPr/>
                        <wps:spPr>
                          <a:xfrm>
                            <a:off x="3104058" y="3170186"/>
                            <a:ext cx="4668520" cy="5523865"/>
                          </a:xfrm>
                          <a:custGeom>
                            <a:avLst/>
                            <a:gdLst/>
                            <a:ahLst/>
                            <a:cxnLst/>
                            <a:rect l="l" t="t" r="r" b="b"/>
                            <a:pathLst>
                              <a:path w="4668520" h="5523865">
                                <a:moveTo>
                                  <a:pt x="2586304" y="5283276"/>
                                </a:moveTo>
                                <a:lnTo>
                                  <a:pt x="2521623" y="5271935"/>
                                </a:lnTo>
                                <a:lnTo>
                                  <a:pt x="2477427" y="5263185"/>
                                </a:lnTo>
                                <a:lnTo>
                                  <a:pt x="2433383" y="5253710"/>
                                </a:lnTo>
                                <a:lnTo>
                                  <a:pt x="2389505" y="5243512"/>
                                </a:lnTo>
                                <a:lnTo>
                                  <a:pt x="2345804" y="5232578"/>
                                </a:lnTo>
                                <a:lnTo>
                                  <a:pt x="2302294" y="5220932"/>
                                </a:lnTo>
                                <a:lnTo>
                                  <a:pt x="2258974" y="5208562"/>
                                </a:lnTo>
                                <a:lnTo>
                                  <a:pt x="2215870" y="5195481"/>
                                </a:lnTo>
                                <a:lnTo>
                                  <a:pt x="2172970" y="5181676"/>
                                </a:lnTo>
                                <a:lnTo>
                                  <a:pt x="2130310" y="5167173"/>
                                </a:lnTo>
                                <a:lnTo>
                                  <a:pt x="2087994" y="5151996"/>
                                </a:lnTo>
                                <a:lnTo>
                                  <a:pt x="2045690" y="5136032"/>
                                </a:lnTo>
                                <a:lnTo>
                                  <a:pt x="2003755" y="5119395"/>
                                </a:lnTo>
                                <a:lnTo>
                                  <a:pt x="1962086" y="5102072"/>
                                </a:lnTo>
                                <a:lnTo>
                                  <a:pt x="1920697" y="5084038"/>
                                </a:lnTo>
                                <a:lnTo>
                                  <a:pt x="1879600" y="5065306"/>
                                </a:lnTo>
                                <a:lnTo>
                                  <a:pt x="1838794" y="5045888"/>
                                </a:lnTo>
                                <a:lnTo>
                                  <a:pt x="1798281" y="5025783"/>
                                </a:lnTo>
                                <a:lnTo>
                                  <a:pt x="1758099" y="5004981"/>
                                </a:lnTo>
                                <a:lnTo>
                                  <a:pt x="1718233" y="4983492"/>
                                </a:lnTo>
                                <a:lnTo>
                                  <a:pt x="1678698" y="4961331"/>
                                </a:lnTo>
                                <a:lnTo>
                                  <a:pt x="1639519" y="4938484"/>
                                </a:lnTo>
                                <a:lnTo>
                                  <a:pt x="1600682" y="4914951"/>
                                </a:lnTo>
                                <a:lnTo>
                                  <a:pt x="1562214" y="4890744"/>
                                </a:lnTo>
                                <a:lnTo>
                                  <a:pt x="1524127" y="4865865"/>
                                </a:lnTo>
                                <a:lnTo>
                                  <a:pt x="1486408" y="4840325"/>
                                </a:lnTo>
                                <a:lnTo>
                                  <a:pt x="1449095" y="4814100"/>
                                </a:lnTo>
                                <a:lnTo>
                                  <a:pt x="1412176" y="4787227"/>
                                </a:lnTo>
                                <a:lnTo>
                                  <a:pt x="1375676" y="4759680"/>
                                </a:lnTo>
                                <a:lnTo>
                                  <a:pt x="1339596" y="4731474"/>
                                </a:lnTo>
                                <a:lnTo>
                                  <a:pt x="1303959" y="4702607"/>
                                </a:lnTo>
                                <a:lnTo>
                                  <a:pt x="1268755" y="4673092"/>
                                </a:lnTo>
                                <a:lnTo>
                                  <a:pt x="1233995" y="4642917"/>
                                </a:lnTo>
                                <a:lnTo>
                                  <a:pt x="1199718" y="4612094"/>
                                </a:lnTo>
                                <a:lnTo>
                                  <a:pt x="1165898" y="4580623"/>
                                </a:lnTo>
                                <a:lnTo>
                                  <a:pt x="1132560" y="4548505"/>
                                </a:lnTo>
                                <a:lnTo>
                                  <a:pt x="1099718" y="4515751"/>
                                </a:lnTo>
                                <a:lnTo>
                                  <a:pt x="1067384" y="4482350"/>
                                </a:lnTo>
                                <a:lnTo>
                                  <a:pt x="1035558" y="4448314"/>
                                </a:lnTo>
                                <a:lnTo>
                                  <a:pt x="1004239" y="4413643"/>
                                </a:lnTo>
                                <a:lnTo>
                                  <a:pt x="973467" y="4378337"/>
                                </a:lnTo>
                                <a:lnTo>
                                  <a:pt x="943229" y="4342409"/>
                                </a:lnTo>
                                <a:lnTo>
                                  <a:pt x="913549" y="4305846"/>
                                </a:lnTo>
                                <a:lnTo>
                                  <a:pt x="884428" y="4268660"/>
                                </a:lnTo>
                                <a:lnTo>
                                  <a:pt x="855865" y="4230852"/>
                                </a:lnTo>
                                <a:lnTo>
                                  <a:pt x="827900" y="4192422"/>
                                </a:lnTo>
                                <a:lnTo>
                                  <a:pt x="800519" y="4153382"/>
                                </a:lnTo>
                                <a:lnTo>
                                  <a:pt x="773734" y="4113720"/>
                                </a:lnTo>
                                <a:lnTo>
                                  <a:pt x="747560" y="4073448"/>
                                </a:lnTo>
                                <a:lnTo>
                                  <a:pt x="722007" y="4032567"/>
                                </a:lnTo>
                                <a:lnTo>
                                  <a:pt x="697090" y="3991076"/>
                                </a:lnTo>
                                <a:lnTo>
                                  <a:pt x="672896" y="3949154"/>
                                </a:lnTo>
                                <a:lnTo>
                                  <a:pt x="649554" y="3906977"/>
                                </a:lnTo>
                                <a:lnTo>
                                  <a:pt x="627037" y="3864546"/>
                                </a:lnTo>
                                <a:lnTo>
                                  <a:pt x="605345" y="3821887"/>
                                </a:lnTo>
                                <a:lnTo>
                                  <a:pt x="584492" y="3778999"/>
                                </a:lnTo>
                                <a:lnTo>
                                  <a:pt x="564464" y="3735895"/>
                                </a:lnTo>
                                <a:lnTo>
                                  <a:pt x="545261" y="3692588"/>
                                </a:lnTo>
                                <a:lnTo>
                                  <a:pt x="526872" y="3649078"/>
                                </a:lnTo>
                                <a:lnTo>
                                  <a:pt x="509308" y="3605390"/>
                                </a:lnTo>
                                <a:lnTo>
                                  <a:pt x="492556" y="3561511"/>
                                </a:lnTo>
                                <a:lnTo>
                                  <a:pt x="476618" y="3517481"/>
                                </a:lnTo>
                                <a:lnTo>
                                  <a:pt x="461492" y="3473285"/>
                                </a:lnTo>
                                <a:lnTo>
                                  <a:pt x="447179" y="3428936"/>
                                </a:lnTo>
                                <a:lnTo>
                                  <a:pt x="433755" y="3384740"/>
                                </a:lnTo>
                                <a:lnTo>
                                  <a:pt x="420954" y="3339846"/>
                                </a:lnTo>
                                <a:lnTo>
                                  <a:pt x="409054" y="3295116"/>
                                </a:lnTo>
                                <a:lnTo>
                                  <a:pt x="397941" y="3250285"/>
                                </a:lnTo>
                                <a:lnTo>
                                  <a:pt x="387629" y="3205340"/>
                                </a:lnTo>
                                <a:lnTo>
                                  <a:pt x="378104" y="3160318"/>
                                </a:lnTo>
                                <a:lnTo>
                                  <a:pt x="369366" y="3115221"/>
                                </a:lnTo>
                                <a:lnTo>
                                  <a:pt x="361429" y="3070047"/>
                                </a:lnTo>
                                <a:lnTo>
                                  <a:pt x="354266" y="3024809"/>
                                </a:lnTo>
                                <a:lnTo>
                                  <a:pt x="347891" y="2979534"/>
                                </a:lnTo>
                                <a:lnTo>
                                  <a:pt x="342303" y="2934220"/>
                                </a:lnTo>
                                <a:lnTo>
                                  <a:pt x="337489" y="2888869"/>
                                </a:lnTo>
                                <a:lnTo>
                                  <a:pt x="333438" y="2843492"/>
                                </a:lnTo>
                                <a:lnTo>
                                  <a:pt x="330174" y="2798114"/>
                                </a:lnTo>
                                <a:lnTo>
                                  <a:pt x="327672" y="2752737"/>
                                </a:lnTo>
                                <a:lnTo>
                                  <a:pt x="325945" y="2707360"/>
                                </a:lnTo>
                                <a:lnTo>
                                  <a:pt x="324980" y="2662021"/>
                                </a:lnTo>
                                <a:lnTo>
                                  <a:pt x="324777" y="2616695"/>
                                </a:lnTo>
                                <a:lnTo>
                                  <a:pt x="325323" y="2571419"/>
                                </a:lnTo>
                                <a:lnTo>
                                  <a:pt x="326644" y="2526182"/>
                                </a:lnTo>
                                <a:lnTo>
                                  <a:pt x="328714" y="2481008"/>
                                </a:lnTo>
                                <a:lnTo>
                                  <a:pt x="331533" y="2435898"/>
                                </a:lnTo>
                                <a:lnTo>
                                  <a:pt x="335102" y="2390876"/>
                                </a:lnTo>
                                <a:lnTo>
                                  <a:pt x="339420" y="2345931"/>
                                </a:lnTo>
                                <a:lnTo>
                                  <a:pt x="344474" y="2301100"/>
                                </a:lnTo>
                                <a:lnTo>
                                  <a:pt x="350278" y="2256371"/>
                                </a:lnTo>
                                <a:lnTo>
                                  <a:pt x="356819" y="2211755"/>
                                </a:lnTo>
                                <a:lnTo>
                                  <a:pt x="364109" y="2167267"/>
                                </a:lnTo>
                                <a:lnTo>
                                  <a:pt x="372122" y="2122919"/>
                                </a:lnTo>
                                <a:lnTo>
                                  <a:pt x="380860" y="2078710"/>
                                </a:lnTo>
                                <a:lnTo>
                                  <a:pt x="390334" y="2034667"/>
                                </a:lnTo>
                                <a:lnTo>
                                  <a:pt x="400545" y="1990801"/>
                                </a:lnTo>
                                <a:lnTo>
                                  <a:pt x="411467" y="1947100"/>
                                </a:lnTo>
                                <a:lnTo>
                                  <a:pt x="423113" y="1903577"/>
                                </a:lnTo>
                                <a:lnTo>
                                  <a:pt x="435483" y="1860270"/>
                                </a:lnTo>
                                <a:lnTo>
                                  <a:pt x="448564" y="1817154"/>
                                </a:lnTo>
                                <a:lnTo>
                                  <a:pt x="462368" y="1774266"/>
                                </a:lnTo>
                                <a:lnTo>
                                  <a:pt x="476872" y="1731594"/>
                                </a:lnTo>
                                <a:lnTo>
                                  <a:pt x="492099" y="1689163"/>
                                </a:lnTo>
                                <a:lnTo>
                                  <a:pt x="508025" y="1646974"/>
                                </a:lnTo>
                                <a:lnTo>
                                  <a:pt x="524649" y="1605051"/>
                                </a:lnTo>
                                <a:lnTo>
                                  <a:pt x="541985" y="1563382"/>
                                </a:lnTo>
                                <a:lnTo>
                                  <a:pt x="560006" y="1521993"/>
                                </a:lnTo>
                                <a:lnTo>
                                  <a:pt x="578739" y="1480896"/>
                                </a:lnTo>
                                <a:lnTo>
                                  <a:pt x="598157" y="1440091"/>
                                </a:lnTo>
                                <a:lnTo>
                                  <a:pt x="618261" y="1399578"/>
                                </a:lnTo>
                                <a:lnTo>
                                  <a:pt x="639064" y="1359395"/>
                                </a:lnTo>
                                <a:lnTo>
                                  <a:pt x="660006" y="1320533"/>
                                </a:lnTo>
                                <a:lnTo>
                                  <a:pt x="471805" y="1000874"/>
                                </a:lnTo>
                                <a:lnTo>
                                  <a:pt x="437515" y="1056132"/>
                                </a:lnTo>
                                <a:lnTo>
                                  <a:pt x="414324" y="1095171"/>
                                </a:lnTo>
                                <a:lnTo>
                                  <a:pt x="391744" y="1134541"/>
                                </a:lnTo>
                                <a:lnTo>
                                  <a:pt x="369773" y="1174203"/>
                                </a:lnTo>
                                <a:lnTo>
                                  <a:pt x="348411" y="1214170"/>
                                </a:lnTo>
                                <a:lnTo>
                                  <a:pt x="327672" y="1254429"/>
                                </a:lnTo>
                                <a:lnTo>
                                  <a:pt x="307543" y="1294968"/>
                                </a:lnTo>
                                <a:lnTo>
                                  <a:pt x="288036" y="1335773"/>
                                </a:lnTo>
                                <a:lnTo>
                                  <a:pt x="269138" y="1376845"/>
                                </a:lnTo>
                                <a:lnTo>
                                  <a:pt x="250875" y="1418170"/>
                                </a:lnTo>
                                <a:lnTo>
                                  <a:pt x="233222" y="1459750"/>
                                </a:lnTo>
                                <a:lnTo>
                                  <a:pt x="216204" y="1501571"/>
                                </a:lnTo>
                                <a:lnTo>
                                  <a:pt x="199809" y="1543634"/>
                                </a:lnTo>
                                <a:lnTo>
                                  <a:pt x="184048" y="1585912"/>
                                </a:lnTo>
                                <a:lnTo>
                                  <a:pt x="168922" y="1628406"/>
                                </a:lnTo>
                                <a:lnTo>
                                  <a:pt x="154419" y="1671116"/>
                                </a:lnTo>
                                <a:lnTo>
                                  <a:pt x="140563" y="1714030"/>
                                </a:lnTo>
                                <a:lnTo>
                                  <a:pt x="127342" y="1757133"/>
                                </a:lnTo>
                                <a:lnTo>
                                  <a:pt x="114757" y="1800428"/>
                                </a:lnTo>
                                <a:lnTo>
                                  <a:pt x="102819" y="1843900"/>
                                </a:lnTo>
                                <a:lnTo>
                                  <a:pt x="91516" y="1887537"/>
                                </a:lnTo>
                                <a:lnTo>
                                  <a:pt x="80873" y="1931352"/>
                                </a:lnTo>
                                <a:lnTo>
                                  <a:pt x="70866" y="1975307"/>
                                </a:lnTo>
                                <a:lnTo>
                                  <a:pt x="61518" y="2019414"/>
                                </a:lnTo>
                                <a:lnTo>
                                  <a:pt x="52819" y="2063661"/>
                                </a:lnTo>
                                <a:lnTo>
                                  <a:pt x="44767" y="2108047"/>
                                </a:lnTo>
                                <a:lnTo>
                                  <a:pt x="37376" y="2152548"/>
                                </a:lnTo>
                                <a:lnTo>
                                  <a:pt x="30645" y="2197163"/>
                                </a:lnTo>
                                <a:lnTo>
                                  <a:pt x="24574" y="2241893"/>
                                </a:lnTo>
                                <a:lnTo>
                                  <a:pt x="19177" y="2286724"/>
                                </a:lnTo>
                                <a:lnTo>
                                  <a:pt x="14427" y="2331643"/>
                                </a:lnTo>
                                <a:lnTo>
                                  <a:pt x="10350" y="2376640"/>
                                </a:lnTo>
                                <a:lnTo>
                                  <a:pt x="6946" y="2421725"/>
                                </a:lnTo>
                                <a:lnTo>
                                  <a:pt x="4203" y="2466873"/>
                                </a:lnTo>
                                <a:lnTo>
                                  <a:pt x="2133" y="2512085"/>
                                </a:lnTo>
                                <a:lnTo>
                                  <a:pt x="749" y="2557348"/>
                                </a:lnTo>
                                <a:lnTo>
                                  <a:pt x="38" y="2602661"/>
                                </a:lnTo>
                                <a:lnTo>
                                  <a:pt x="0" y="2647861"/>
                                </a:lnTo>
                                <a:lnTo>
                                  <a:pt x="647" y="2693378"/>
                                </a:lnTo>
                                <a:lnTo>
                                  <a:pt x="1968" y="2738780"/>
                                </a:lnTo>
                                <a:lnTo>
                                  <a:pt x="3987" y="2784183"/>
                                </a:lnTo>
                                <a:lnTo>
                                  <a:pt x="5943" y="2817164"/>
                                </a:lnTo>
                                <a:lnTo>
                                  <a:pt x="6680" y="2829598"/>
                                </a:lnTo>
                                <a:lnTo>
                                  <a:pt x="10071" y="2875013"/>
                                </a:lnTo>
                                <a:lnTo>
                                  <a:pt x="14147" y="2920428"/>
                                </a:lnTo>
                                <a:lnTo>
                                  <a:pt x="18923" y="2965805"/>
                                </a:lnTo>
                                <a:lnTo>
                                  <a:pt x="24396" y="3011170"/>
                                </a:lnTo>
                                <a:lnTo>
                                  <a:pt x="30556" y="3056509"/>
                                </a:lnTo>
                                <a:lnTo>
                                  <a:pt x="37426" y="3101797"/>
                                </a:lnTo>
                                <a:lnTo>
                                  <a:pt x="44983" y="3147034"/>
                                </a:lnTo>
                                <a:lnTo>
                                  <a:pt x="53251" y="3192208"/>
                                </a:lnTo>
                                <a:lnTo>
                                  <a:pt x="62230" y="3237331"/>
                                </a:lnTo>
                                <a:lnTo>
                                  <a:pt x="71907" y="3282378"/>
                                </a:lnTo>
                                <a:lnTo>
                                  <a:pt x="82296" y="3327336"/>
                                </a:lnTo>
                                <a:lnTo>
                                  <a:pt x="93395" y="3372218"/>
                                </a:lnTo>
                                <a:lnTo>
                                  <a:pt x="105206" y="3416998"/>
                                </a:lnTo>
                                <a:lnTo>
                                  <a:pt x="117741" y="3461664"/>
                                </a:lnTo>
                                <a:lnTo>
                                  <a:pt x="130987" y="3506228"/>
                                </a:lnTo>
                                <a:lnTo>
                                  <a:pt x="144945" y="3550678"/>
                                </a:lnTo>
                                <a:lnTo>
                                  <a:pt x="159639" y="3594989"/>
                                </a:lnTo>
                                <a:lnTo>
                                  <a:pt x="175044" y="3639172"/>
                                </a:lnTo>
                                <a:lnTo>
                                  <a:pt x="191185" y="3683216"/>
                                </a:lnTo>
                                <a:lnTo>
                                  <a:pt x="208038" y="3727094"/>
                                </a:lnTo>
                                <a:lnTo>
                                  <a:pt x="225640" y="3770820"/>
                                </a:lnTo>
                                <a:lnTo>
                                  <a:pt x="243967" y="3814381"/>
                                </a:lnTo>
                                <a:lnTo>
                                  <a:pt x="263017" y="3857764"/>
                                </a:lnTo>
                                <a:lnTo>
                                  <a:pt x="282816" y="3900970"/>
                                </a:lnTo>
                                <a:lnTo>
                                  <a:pt x="303339" y="3943985"/>
                                </a:lnTo>
                                <a:lnTo>
                                  <a:pt x="324612" y="3986796"/>
                                </a:lnTo>
                                <a:lnTo>
                                  <a:pt x="346633" y="4029405"/>
                                </a:lnTo>
                                <a:lnTo>
                                  <a:pt x="369379" y="4071797"/>
                                </a:lnTo>
                                <a:lnTo>
                                  <a:pt x="392887" y="4113974"/>
                                </a:lnTo>
                                <a:lnTo>
                                  <a:pt x="417144" y="4155922"/>
                                </a:lnTo>
                                <a:lnTo>
                                  <a:pt x="442048" y="4197477"/>
                                </a:lnTo>
                                <a:lnTo>
                                  <a:pt x="467512" y="4238485"/>
                                </a:lnTo>
                                <a:lnTo>
                                  <a:pt x="493547" y="4278947"/>
                                </a:lnTo>
                                <a:lnTo>
                                  <a:pt x="520128" y="4318876"/>
                                </a:lnTo>
                                <a:lnTo>
                                  <a:pt x="547243" y="4358246"/>
                                </a:lnTo>
                                <a:lnTo>
                                  <a:pt x="574890" y="4397070"/>
                                </a:lnTo>
                                <a:lnTo>
                                  <a:pt x="603059" y="4435335"/>
                                </a:lnTo>
                                <a:lnTo>
                                  <a:pt x="631748" y="4473054"/>
                                </a:lnTo>
                                <a:lnTo>
                                  <a:pt x="660946" y="4510202"/>
                                </a:lnTo>
                                <a:lnTo>
                                  <a:pt x="690651" y="4546803"/>
                                </a:lnTo>
                                <a:lnTo>
                                  <a:pt x="720839" y="4582846"/>
                                </a:lnTo>
                                <a:lnTo>
                                  <a:pt x="751522" y="4618317"/>
                                </a:lnTo>
                                <a:lnTo>
                                  <a:pt x="782675" y="4653229"/>
                                </a:lnTo>
                                <a:lnTo>
                                  <a:pt x="814298" y="4687582"/>
                                </a:lnTo>
                                <a:lnTo>
                                  <a:pt x="846391" y="4721352"/>
                                </a:lnTo>
                                <a:lnTo>
                                  <a:pt x="878928" y="4754550"/>
                                </a:lnTo>
                                <a:lnTo>
                                  <a:pt x="911910" y="4787189"/>
                                </a:lnTo>
                                <a:lnTo>
                                  <a:pt x="945337" y="4819243"/>
                                </a:lnTo>
                                <a:lnTo>
                                  <a:pt x="979195" y="4850727"/>
                                </a:lnTo>
                                <a:lnTo>
                                  <a:pt x="1013472" y="4881626"/>
                                </a:lnTo>
                                <a:lnTo>
                                  <a:pt x="1048156" y="4911941"/>
                                </a:lnTo>
                                <a:lnTo>
                                  <a:pt x="1083259" y="4941684"/>
                                </a:lnTo>
                                <a:lnTo>
                                  <a:pt x="1118755" y="4970831"/>
                                </a:lnTo>
                                <a:lnTo>
                                  <a:pt x="1154633" y="4999393"/>
                                </a:lnTo>
                                <a:lnTo>
                                  <a:pt x="1190904" y="5027371"/>
                                </a:lnTo>
                                <a:lnTo>
                                  <a:pt x="1227556" y="5054752"/>
                                </a:lnTo>
                                <a:lnTo>
                                  <a:pt x="1264564" y="5081536"/>
                                </a:lnTo>
                                <a:lnTo>
                                  <a:pt x="1301940" y="5107737"/>
                                </a:lnTo>
                                <a:lnTo>
                                  <a:pt x="1339659" y="5133340"/>
                                </a:lnTo>
                                <a:lnTo>
                                  <a:pt x="1377734" y="5158333"/>
                                </a:lnTo>
                                <a:lnTo>
                                  <a:pt x="1416138" y="5182730"/>
                                </a:lnTo>
                                <a:lnTo>
                                  <a:pt x="1454861" y="5206517"/>
                                </a:lnTo>
                                <a:lnTo>
                                  <a:pt x="1493913" y="5229707"/>
                                </a:lnTo>
                                <a:lnTo>
                                  <a:pt x="1533283" y="5252288"/>
                                </a:lnTo>
                                <a:lnTo>
                                  <a:pt x="1572945" y="5274259"/>
                                </a:lnTo>
                                <a:lnTo>
                                  <a:pt x="1612912" y="5295620"/>
                                </a:lnTo>
                                <a:lnTo>
                                  <a:pt x="1653171" y="5316359"/>
                                </a:lnTo>
                                <a:lnTo>
                                  <a:pt x="1693697" y="5336489"/>
                                </a:lnTo>
                                <a:lnTo>
                                  <a:pt x="1734502" y="5356009"/>
                                </a:lnTo>
                                <a:lnTo>
                                  <a:pt x="1775587" y="5374894"/>
                                </a:lnTo>
                                <a:lnTo>
                                  <a:pt x="1816912" y="5393169"/>
                                </a:lnTo>
                                <a:lnTo>
                                  <a:pt x="1858492" y="5410809"/>
                                </a:lnTo>
                                <a:lnTo>
                                  <a:pt x="1900313" y="5427840"/>
                                </a:lnTo>
                                <a:lnTo>
                                  <a:pt x="1942363" y="5444236"/>
                                </a:lnTo>
                                <a:lnTo>
                                  <a:pt x="1984641" y="5459996"/>
                                </a:lnTo>
                                <a:lnTo>
                                  <a:pt x="2027148" y="5475122"/>
                                </a:lnTo>
                                <a:lnTo>
                                  <a:pt x="2069858" y="5489626"/>
                                </a:lnTo>
                                <a:lnTo>
                                  <a:pt x="2112772" y="5503481"/>
                                </a:lnTo>
                                <a:lnTo>
                                  <a:pt x="2155875" y="5516702"/>
                                </a:lnTo>
                                <a:lnTo>
                                  <a:pt x="2178596" y="5523319"/>
                                </a:lnTo>
                                <a:lnTo>
                                  <a:pt x="2586304" y="5283276"/>
                                </a:lnTo>
                                <a:close/>
                              </a:path>
                              <a:path w="4668520" h="5523865">
                                <a:moveTo>
                                  <a:pt x="4002976" y="408419"/>
                                </a:moveTo>
                                <a:lnTo>
                                  <a:pt x="3934714" y="374065"/>
                                </a:lnTo>
                                <a:lnTo>
                                  <a:pt x="3892854" y="353910"/>
                                </a:lnTo>
                                <a:lnTo>
                                  <a:pt x="3850665" y="334251"/>
                                </a:lnTo>
                                <a:lnTo>
                                  <a:pt x="3808158" y="315087"/>
                                </a:lnTo>
                                <a:lnTo>
                                  <a:pt x="3765346" y="296418"/>
                                </a:lnTo>
                                <a:lnTo>
                                  <a:pt x="3722205" y="278257"/>
                                </a:lnTo>
                                <a:lnTo>
                                  <a:pt x="3678758" y="260604"/>
                                </a:lnTo>
                                <a:lnTo>
                                  <a:pt x="3635006" y="243459"/>
                                </a:lnTo>
                                <a:lnTo>
                                  <a:pt x="3590937" y="226834"/>
                                </a:lnTo>
                                <a:lnTo>
                                  <a:pt x="3546576" y="210743"/>
                                </a:lnTo>
                                <a:lnTo>
                                  <a:pt x="3501898" y="195173"/>
                                </a:lnTo>
                                <a:lnTo>
                                  <a:pt x="3456940" y="180124"/>
                                </a:lnTo>
                                <a:lnTo>
                                  <a:pt x="3411677" y="165620"/>
                                </a:lnTo>
                                <a:lnTo>
                                  <a:pt x="3366122" y="151663"/>
                                </a:lnTo>
                                <a:lnTo>
                                  <a:pt x="3320275" y="138239"/>
                                </a:lnTo>
                                <a:lnTo>
                                  <a:pt x="3274149" y="125374"/>
                                </a:lnTo>
                                <a:lnTo>
                                  <a:pt x="3227730" y="113055"/>
                                </a:lnTo>
                                <a:lnTo>
                                  <a:pt x="3181032" y="101295"/>
                                </a:lnTo>
                                <a:lnTo>
                                  <a:pt x="3134042" y="90106"/>
                                </a:lnTo>
                                <a:lnTo>
                                  <a:pt x="3086938" y="79514"/>
                                </a:lnTo>
                                <a:lnTo>
                                  <a:pt x="3039834" y="69545"/>
                                </a:lnTo>
                                <a:lnTo>
                                  <a:pt x="2992729" y="60198"/>
                                </a:lnTo>
                                <a:lnTo>
                                  <a:pt x="2945638" y="51473"/>
                                </a:lnTo>
                                <a:lnTo>
                                  <a:pt x="2898559" y="43370"/>
                                </a:lnTo>
                                <a:lnTo>
                                  <a:pt x="2851505" y="35890"/>
                                </a:lnTo>
                                <a:lnTo>
                                  <a:pt x="2804477" y="29019"/>
                                </a:lnTo>
                                <a:lnTo>
                                  <a:pt x="2757474" y="22758"/>
                                </a:lnTo>
                                <a:lnTo>
                                  <a:pt x="2710510" y="17106"/>
                                </a:lnTo>
                                <a:lnTo>
                                  <a:pt x="2663583" y="12065"/>
                                </a:lnTo>
                                <a:lnTo>
                                  <a:pt x="2616695" y="7620"/>
                                </a:lnTo>
                                <a:lnTo>
                                  <a:pt x="2569857" y="3771"/>
                                </a:lnTo>
                                <a:lnTo>
                                  <a:pt x="2523071" y="533"/>
                                </a:lnTo>
                                <a:lnTo>
                                  <a:pt x="2513673" y="0"/>
                                </a:lnTo>
                                <a:lnTo>
                                  <a:pt x="2421458" y="398195"/>
                                </a:lnTo>
                                <a:lnTo>
                                  <a:pt x="2431453" y="398551"/>
                                </a:lnTo>
                                <a:lnTo>
                                  <a:pt x="2478252" y="400888"/>
                                </a:lnTo>
                                <a:lnTo>
                                  <a:pt x="2525115" y="403898"/>
                                </a:lnTo>
                                <a:lnTo>
                                  <a:pt x="2572029" y="407568"/>
                                </a:lnTo>
                                <a:lnTo>
                                  <a:pt x="2619006" y="411924"/>
                                </a:lnTo>
                                <a:lnTo>
                                  <a:pt x="2666034" y="416953"/>
                                </a:lnTo>
                                <a:lnTo>
                                  <a:pt x="2713101" y="422656"/>
                                </a:lnTo>
                                <a:lnTo>
                                  <a:pt x="2760205" y="429056"/>
                                </a:lnTo>
                                <a:lnTo>
                                  <a:pt x="2807347" y="436143"/>
                                </a:lnTo>
                                <a:lnTo>
                                  <a:pt x="2854502" y="443915"/>
                                </a:lnTo>
                                <a:lnTo>
                                  <a:pt x="2901696" y="452386"/>
                                </a:lnTo>
                                <a:lnTo>
                                  <a:pt x="2948889" y="461568"/>
                                </a:lnTo>
                                <a:lnTo>
                                  <a:pt x="2996095" y="471436"/>
                                </a:lnTo>
                                <a:lnTo>
                                  <a:pt x="3043313" y="482015"/>
                                </a:lnTo>
                                <a:lnTo>
                                  <a:pt x="3090367" y="493268"/>
                                </a:lnTo>
                                <a:lnTo>
                                  <a:pt x="3137116" y="505155"/>
                                </a:lnTo>
                                <a:lnTo>
                                  <a:pt x="3183534" y="517664"/>
                                </a:lnTo>
                                <a:lnTo>
                                  <a:pt x="3229635" y="530796"/>
                                </a:lnTo>
                                <a:lnTo>
                                  <a:pt x="3275419" y="544550"/>
                                </a:lnTo>
                                <a:lnTo>
                                  <a:pt x="3320872" y="558901"/>
                                </a:lnTo>
                                <a:lnTo>
                                  <a:pt x="3365995" y="573874"/>
                                </a:lnTo>
                                <a:lnTo>
                                  <a:pt x="3410775" y="589432"/>
                                </a:lnTo>
                                <a:lnTo>
                                  <a:pt x="3455225" y="605586"/>
                                </a:lnTo>
                                <a:lnTo>
                                  <a:pt x="3499320" y="622325"/>
                                </a:lnTo>
                                <a:lnTo>
                                  <a:pt x="3543084" y="639660"/>
                                </a:lnTo>
                                <a:lnTo>
                                  <a:pt x="3586492" y="657555"/>
                                </a:lnTo>
                                <a:lnTo>
                                  <a:pt x="3629545" y="676033"/>
                                </a:lnTo>
                                <a:lnTo>
                                  <a:pt x="3672255" y="695071"/>
                                </a:lnTo>
                                <a:lnTo>
                                  <a:pt x="3714597" y="714667"/>
                                </a:lnTo>
                                <a:lnTo>
                                  <a:pt x="3756571" y="734809"/>
                                </a:lnTo>
                                <a:lnTo>
                                  <a:pt x="3798176" y="755510"/>
                                </a:lnTo>
                                <a:lnTo>
                                  <a:pt x="3839426" y="776757"/>
                                </a:lnTo>
                                <a:lnTo>
                                  <a:pt x="3880294" y="798537"/>
                                </a:lnTo>
                                <a:lnTo>
                                  <a:pt x="3887000" y="802233"/>
                                </a:lnTo>
                                <a:lnTo>
                                  <a:pt x="3910507" y="807669"/>
                                </a:lnTo>
                                <a:lnTo>
                                  <a:pt x="3937952" y="689216"/>
                                </a:lnTo>
                                <a:lnTo>
                                  <a:pt x="4002976" y="408419"/>
                                </a:lnTo>
                                <a:close/>
                              </a:path>
                              <a:path w="4668520" h="5523865">
                                <a:moveTo>
                                  <a:pt x="4668329" y="4139019"/>
                                </a:moveTo>
                                <a:lnTo>
                                  <a:pt x="4643209" y="4168292"/>
                                </a:lnTo>
                                <a:lnTo>
                                  <a:pt x="4611636" y="4204208"/>
                                </a:lnTo>
                                <a:lnTo>
                                  <a:pt x="4579569" y="4239844"/>
                                </a:lnTo>
                                <a:lnTo>
                                  <a:pt x="4547006" y="4275188"/>
                                </a:lnTo>
                                <a:lnTo>
                                  <a:pt x="4513948" y="4310227"/>
                                </a:lnTo>
                                <a:lnTo>
                                  <a:pt x="4480407" y="4344975"/>
                                </a:lnTo>
                                <a:lnTo>
                                  <a:pt x="4446371" y="4379417"/>
                                </a:lnTo>
                                <a:lnTo>
                                  <a:pt x="4411929" y="4413453"/>
                                </a:lnTo>
                                <a:lnTo>
                                  <a:pt x="4377182" y="4447006"/>
                                </a:lnTo>
                                <a:lnTo>
                                  <a:pt x="4342142" y="4480052"/>
                                </a:lnTo>
                                <a:lnTo>
                                  <a:pt x="4306798" y="4512615"/>
                                </a:lnTo>
                                <a:lnTo>
                                  <a:pt x="4271162" y="4544682"/>
                                </a:lnTo>
                                <a:lnTo>
                                  <a:pt x="4235247" y="4576254"/>
                                </a:lnTo>
                                <a:lnTo>
                                  <a:pt x="4199039" y="4607331"/>
                                </a:lnTo>
                                <a:lnTo>
                                  <a:pt x="4162564" y="4637913"/>
                                </a:lnTo>
                                <a:lnTo>
                                  <a:pt x="4125811" y="4668012"/>
                                </a:lnTo>
                                <a:lnTo>
                                  <a:pt x="4088790" y="4697603"/>
                                </a:lnTo>
                                <a:lnTo>
                                  <a:pt x="4051503" y="4726711"/>
                                </a:lnTo>
                                <a:lnTo>
                                  <a:pt x="4013949" y="4755324"/>
                                </a:lnTo>
                                <a:lnTo>
                                  <a:pt x="3976141" y="4783442"/>
                                </a:lnTo>
                                <a:lnTo>
                                  <a:pt x="3938092" y="4811065"/>
                                </a:lnTo>
                                <a:lnTo>
                                  <a:pt x="3899789" y="4838204"/>
                                </a:lnTo>
                                <a:lnTo>
                                  <a:pt x="3861244" y="4864836"/>
                                </a:lnTo>
                                <a:lnTo>
                                  <a:pt x="3822458" y="4890986"/>
                                </a:lnTo>
                                <a:lnTo>
                                  <a:pt x="3783444" y="4916640"/>
                                </a:lnTo>
                                <a:lnTo>
                                  <a:pt x="3744188" y="4941798"/>
                                </a:lnTo>
                                <a:lnTo>
                                  <a:pt x="3704717" y="4966462"/>
                                </a:lnTo>
                                <a:lnTo>
                                  <a:pt x="3665029" y="4990630"/>
                                </a:lnTo>
                                <a:lnTo>
                                  <a:pt x="3625113" y="5014315"/>
                                </a:lnTo>
                                <a:lnTo>
                                  <a:pt x="3584994" y="5037493"/>
                                </a:lnTo>
                                <a:lnTo>
                                  <a:pt x="3548926" y="5057800"/>
                                </a:lnTo>
                                <a:lnTo>
                                  <a:pt x="3658451" y="5167338"/>
                                </a:lnTo>
                                <a:lnTo>
                                  <a:pt x="3908183" y="5417070"/>
                                </a:lnTo>
                                <a:lnTo>
                                  <a:pt x="3940479" y="5397627"/>
                                </a:lnTo>
                                <a:lnTo>
                                  <a:pt x="3980015" y="5373268"/>
                                </a:lnTo>
                                <a:lnTo>
                                  <a:pt x="4019346" y="5348478"/>
                                </a:lnTo>
                                <a:lnTo>
                                  <a:pt x="4058475" y="5323243"/>
                                </a:lnTo>
                                <a:lnTo>
                                  <a:pt x="4097401" y="5297563"/>
                                </a:lnTo>
                                <a:lnTo>
                                  <a:pt x="4136110" y="5271452"/>
                                </a:lnTo>
                                <a:lnTo>
                                  <a:pt x="4174617" y="5244909"/>
                                </a:lnTo>
                                <a:lnTo>
                                  <a:pt x="4212907" y="5217922"/>
                                </a:lnTo>
                                <a:lnTo>
                                  <a:pt x="4250982" y="5190490"/>
                                </a:lnTo>
                                <a:lnTo>
                                  <a:pt x="4288828" y="5162626"/>
                                </a:lnTo>
                                <a:lnTo>
                                  <a:pt x="4326458" y="5134318"/>
                                </a:lnTo>
                                <a:lnTo>
                                  <a:pt x="4363847" y="5105578"/>
                                </a:lnTo>
                                <a:lnTo>
                                  <a:pt x="4401007" y="5076393"/>
                                </a:lnTo>
                                <a:lnTo>
                                  <a:pt x="4437939" y="5046764"/>
                                </a:lnTo>
                                <a:lnTo>
                                  <a:pt x="4474616" y="5016703"/>
                                </a:lnTo>
                                <a:lnTo>
                                  <a:pt x="4511065" y="4986210"/>
                                </a:lnTo>
                                <a:lnTo>
                                  <a:pt x="4547247" y="4955273"/>
                                </a:lnTo>
                                <a:lnTo>
                                  <a:pt x="4583201" y="4923891"/>
                                </a:lnTo>
                                <a:lnTo>
                                  <a:pt x="4618888" y="4892078"/>
                                </a:lnTo>
                                <a:lnTo>
                                  <a:pt x="4654321" y="4859820"/>
                                </a:lnTo>
                                <a:lnTo>
                                  <a:pt x="4668329" y="4846790"/>
                                </a:lnTo>
                                <a:lnTo>
                                  <a:pt x="4668329" y="4139019"/>
                                </a:lnTo>
                                <a:close/>
                              </a:path>
                            </a:pathLst>
                          </a:custGeom>
                          <a:solidFill>
                            <a:srgbClr val="F1E35C"/>
                          </a:solidFill>
                        </wps:spPr>
                        <wps:bodyPr wrap="square" lIns="0" tIns="0" rIns="0" bIns="0" rtlCol="0">
                          <a:prstTxWarp prst="textNoShape">
                            <a:avLst/>
                          </a:prstTxWarp>
                          <a:noAutofit/>
                        </wps:bodyPr>
                      </wps:wsp>
                      <wps:wsp>
                        <wps:cNvPr id="9" name="Graphic 9"/>
                        <wps:cNvSpPr/>
                        <wps:spPr>
                          <a:xfrm>
                            <a:off x="438386" y="7566163"/>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0" name="Graphic 10"/>
                        <wps:cNvSpPr/>
                        <wps:spPr>
                          <a:xfrm>
                            <a:off x="541404" y="7669182"/>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1" name="Graphic 11"/>
                        <wps:cNvSpPr/>
                        <wps:spPr>
                          <a:xfrm>
                            <a:off x="644423" y="7772200"/>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2" name="Graphic 12"/>
                        <wps:cNvSpPr/>
                        <wps:spPr>
                          <a:xfrm>
                            <a:off x="747441" y="7875219"/>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3" name="Graphic 13"/>
                        <wps:cNvSpPr/>
                        <wps:spPr>
                          <a:xfrm>
                            <a:off x="850459" y="7978237"/>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4" name="Graphic 14"/>
                        <wps:cNvSpPr/>
                        <wps:spPr>
                          <a:xfrm>
                            <a:off x="953478" y="8081256"/>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5" name="Graphic 15"/>
                        <wps:cNvSpPr/>
                        <wps:spPr>
                          <a:xfrm>
                            <a:off x="1056496" y="8184274"/>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6" name="Graphic 16"/>
                        <wps:cNvSpPr/>
                        <wps:spPr>
                          <a:xfrm>
                            <a:off x="1159515" y="8287292"/>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7" name="Graphic 17"/>
                        <wps:cNvSpPr/>
                        <wps:spPr>
                          <a:xfrm>
                            <a:off x="1262533" y="8390311"/>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8" name="Graphic 18"/>
                        <wps:cNvSpPr/>
                        <wps:spPr>
                          <a:xfrm>
                            <a:off x="1365552" y="8493329"/>
                            <a:ext cx="3560445" cy="1270"/>
                          </a:xfrm>
                          <a:custGeom>
                            <a:avLst/>
                            <a:gdLst/>
                            <a:ahLst/>
                            <a:cxnLst/>
                            <a:rect l="l" t="t" r="r" b="b"/>
                            <a:pathLst>
                              <a:path w="3560445" h="0">
                                <a:moveTo>
                                  <a:pt x="0" y="0"/>
                                </a:moveTo>
                                <a:lnTo>
                                  <a:pt x="3560316" y="0"/>
                                </a:lnTo>
                              </a:path>
                            </a:pathLst>
                          </a:custGeom>
                          <a:ln w="76199">
                            <a:solidFill>
                              <a:srgbClr val="F1E35C"/>
                            </a:solidFill>
                            <a:prstDash val="solid"/>
                          </a:ln>
                        </wps:spPr>
                        <wps:bodyPr wrap="square" lIns="0" tIns="0" rIns="0" bIns="0" rtlCol="0">
                          <a:prstTxWarp prst="textNoShape">
                            <a:avLst/>
                          </a:prstTxWarp>
                          <a:noAutofit/>
                        </wps:bodyPr>
                      </wps:wsp>
                      <wps:wsp>
                        <wps:cNvPr id="19" name="Graphic 19"/>
                        <wps:cNvSpPr/>
                        <wps:spPr>
                          <a:xfrm>
                            <a:off x="0" y="191197"/>
                            <a:ext cx="7772400" cy="9602470"/>
                          </a:xfrm>
                          <a:custGeom>
                            <a:avLst/>
                            <a:gdLst/>
                            <a:ahLst/>
                            <a:cxnLst/>
                            <a:rect l="l" t="t" r="r" b="b"/>
                            <a:pathLst>
                              <a:path w="7772400" h="9602470">
                                <a:moveTo>
                                  <a:pt x="7772400" y="1382369"/>
                                </a:moveTo>
                                <a:lnTo>
                                  <a:pt x="438340" y="1382369"/>
                                </a:lnTo>
                                <a:lnTo>
                                  <a:pt x="438340" y="0"/>
                                </a:lnTo>
                                <a:lnTo>
                                  <a:pt x="419290" y="0"/>
                                </a:lnTo>
                                <a:lnTo>
                                  <a:pt x="419290" y="1382369"/>
                                </a:lnTo>
                                <a:lnTo>
                                  <a:pt x="0" y="1382369"/>
                                </a:lnTo>
                                <a:lnTo>
                                  <a:pt x="0" y="1401419"/>
                                </a:lnTo>
                                <a:lnTo>
                                  <a:pt x="419290" y="1401419"/>
                                </a:lnTo>
                                <a:lnTo>
                                  <a:pt x="419290" y="9601962"/>
                                </a:lnTo>
                                <a:lnTo>
                                  <a:pt x="438340" y="9601962"/>
                                </a:lnTo>
                                <a:lnTo>
                                  <a:pt x="438340" y="1401419"/>
                                </a:lnTo>
                                <a:lnTo>
                                  <a:pt x="7772400" y="1401419"/>
                                </a:lnTo>
                                <a:lnTo>
                                  <a:pt x="7772400" y="1382369"/>
                                </a:lnTo>
                                <a:close/>
                              </a:path>
                            </a:pathLst>
                          </a:custGeom>
                          <a:solidFill>
                            <a:srgbClr val="3489A1"/>
                          </a:solidFill>
                        </wps:spPr>
                        <wps:bodyPr wrap="square" lIns="0" tIns="0" rIns="0" bIns="0" rtlCol="0">
                          <a:prstTxWarp prst="textNoShape">
                            <a:avLst/>
                          </a:prstTxWarp>
                          <a:noAutofit/>
                        </wps:bodyPr>
                      </wps:wsp>
                      <wps:wsp>
                        <wps:cNvPr id="20" name="Graphic 20"/>
                        <wps:cNvSpPr/>
                        <wps:spPr>
                          <a:xfrm>
                            <a:off x="777239" y="3522609"/>
                            <a:ext cx="1200150" cy="1200150"/>
                          </a:xfrm>
                          <a:custGeom>
                            <a:avLst/>
                            <a:gdLst/>
                            <a:ahLst/>
                            <a:cxnLst/>
                            <a:rect l="l" t="t" r="r" b="b"/>
                            <a:pathLst>
                              <a:path w="1200150" h="1200150">
                                <a:moveTo>
                                  <a:pt x="673639" y="1200150"/>
                                </a:moveTo>
                                <a:lnTo>
                                  <a:pt x="531123" y="1200150"/>
                                </a:lnTo>
                                <a:lnTo>
                                  <a:pt x="509190" y="1197606"/>
                                </a:lnTo>
                                <a:lnTo>
                                  <a:pt x="464220" y="1188861"/>
                                </a:lnTo>
                                <a:lnTo>
                                  <a:pt x="420511" y="1176848"/>
                                </a:lnTo>
                                <a:lnTo>
                                  <a:pt x="378197" y="1161703"/>
                                </a:lnTo>
                                <a:lnTo>
                                  <a:pt x="337412" y="1143559"/>
                                </a:lnTo>
                                <a:lnTo>
                                  <a:pt x="298290" y="1122549"/>
                                </a:lnTo>
                                <a:lnTo>
                                  <a:pt x="260964" y="1098807"/>
                                </a:lnTo>
                                <a:lnTo>
                                  <a:pt x="225568" y="1072467"/>
                                </a:lnTo>
                                <a:lnTo>
                                  <a:pt x="192235" y="1043663"/>
                                </a:lnTo>
                                <a:lnTo>
                                  <a:pt x="161100" y="1012527"/>
                                </a:lnTo>
                                <a:lnTo>
                                  <a:pt x="132295" y="979195"/>
                                </a:lnTo>
                                <a:lnTo>
                                  <a:pt x="105955" y="943799"/>
                                </a:lnTo>
                                <a:lnTo>
                                  <a:pt x="82213" y="906473"/>
                                </a:lnTo>
                                <a:lnTo>
                                  <a:pt x="61204" y="867350"/>
                                </a:lnTo>
                                <a:lnTo>
                                  <a:pt x="43059" y="826565"/>
                                </a:lnTo>
                                <a:lnTo>
                                  <a:pt x="27914" y="784252"/>
                                </a:lnTo>
                                <a:lnTo>
                                  <a:pt x="15902" y="740543"/>
                                </a:lnTo>
                                <a:lnTo>
                                  <a:pt x="7156" y="695572"/>
                                </a:lnTo>
                                <a:lnTo>
                                  <a:pt x="1811" y="649474"/>
                                </a:lnTo>
                                <a:lnTo>
                                  <a:pt x="0" y="602381"/>
                                </a:lnTo>
                                <a:lnTo>
                                  <a:pt x="1811" y="555289"/>
                                </a:lnTo>
                                <a:lnTo>
                                  <a:pt x="7156" y="509190"/>
                                </a:lnTo>
                                <a:lnTo>
                                  <a:pt x="15902" y="464220"/>
                                </a:lnTo>
                                <a:lnTo>
                                  <a:pt x="27914" y="420511"/>
                                </a:lnTo>
                                <a:lnTo>
                                  <a:pt x="43059" y="378197"/>
                                </a:lnTo>
                                <a:lnTo>
                                  <a:pt x="61204" y="337412"/>
                                </a:lnTo>
                                <a:lnTo>
                                  <a:pt x="82213" y="298290"/>
                                </a:lnTo>
                                <a:lnTo>
                                  <a:pt x="105955" y="260964"/>
                                </a:lnTo>
                                <a:lnTo>
                                  <a:pt x="132295" y="225568"/>
                                </a:lnTo>
                                <a:lnTo>
                                  <a:pt x="161100" y="192235"/>
                                </a:lnTo>
                                <a:lnTo>
                                  <a:pt x="192235" y="161100"/>
                                </a:lnTo>
                                <a:lnTo>
                                  <a:pt x="225568" y="132295"/>
                                </a:lnTo>
                                <a:lnTo>
                                  <a:pt x="260964" y="105955"/>
                                </a:lnTo>
                                <a:lnTo>
                                  <a:pt x="298290" y="82213"/>
                                </a:lnTo>
                                <a:lnTo>
                                  <a:pt x="337412" y="61204"/>
                                </a:lnTo>
                                <a:lnTo>
                                  <a:pt x="378197" y="43059"/>
                                </a:lnTo>
                                <a:lnTo>
                                  <a:pt x="420511" y="27914"/>
                                </a:lnTo>
                                <a:lnTo>
                                  <a:pt x="464220" y="15902"/>
                                </a:lnTo>
                                <a:lnTo>
                                  <a:pt x="509190" y="7156"/>
                                </a:lnTo>
                                <a:lnTo>
                                  <a:pt x="555289" y="1811"/>
                                </a:lnTo>
                                <a:lnTo>
                                  <a:pt x="602383" y="0"/>
                                </a:lnTo>
                                <a:lnTo>
                                  <a:pt x="649474" y="1811"/>
                                </a:lnTo>
                                <a:lnTo>
                                  <a:pt x="695572" y="7156"/>
                                </a:lnTo>
                                <a:lnTo>
                                  <a:pt x="740543" y="15902"/>
                                </a:lnTo>
                                <a:lnTo>
                                  <a:pt x="784252" y="27914"/>
                                </a:lnTo>
                                <a:lnTo>
                                  <a:pt x="826565" y="43059"/>
                                </a:lnTo>
                                <a:lnTo>
                                  <a:pt x="867350" y="61204"/>
                                </a:lnTo>
                                <a:lnTo>
                                  <a:pt x="906473" y="82213"/>
                                </a:lnTo>
                                <a:lnTo>
                                  <a:pt x="943799" y="105955"/>
                                </a:lnTo>
                                <a:lnTo>
                                  <a:pt x="963312" y="120476"/>
                                </a:lnTo>
                                <a:lnTo>
                                  <a:pt x="602381" y="120476"/>
                                </a:lnTo>
                                <a:lnTo>
                                  <a:pt x="553092" y="122963"/>
                                </a:lnTo>
                                <a:lnTo>
                                  <a:pt x="505231" y="130262"/>
                                </a:lnTo>
                                <a:lnTo>
                                  <a:pt x="459039" y="142132"/>
                                </a:lnTo>
                                <a:lnTo>
                                  <a:pt x="414758" y="158332"/>
                                </a:lnTo>
                                <a:lnTo>
                                  <a:pt x="372631" y="178618"/>
                                </a:lnTo>
                                <a:lnTo>
                                  <a:pt x="332898" y="202750"/>
                                </a:lnTo>
                                <a:lnTo>
                                  <a:pt x="295802" y="230486"/>
                                </a:lnTo>
                                <a:lnTo>
                                  <a:pt x="261584" y="261584"/>
                                </a:lnTo>
                                <a:lnTo>
                                  <a:pt x="230486" y="295802"/>
                                </a:lnTo>
                                <a:lnTo>
                                  <a:pt x="202750" y="332898"/>
                                </a:lnTo>
                                <a:lnTo>
                                  <a:pt x="178618" y="372631"/>
                                </a:lnTo>
                                <a:lnTo>
                                  <a:pt x="158332" y="414758"/>
                                </a:lnTo>
                                <a:lnTo>
                                  <a:pt x="142132" y="459039"/>
                                </a:lnTo>
                                <a:lnTo>
                                  <a:pt x="130262" y="505231"/>
                                </a:lnTo>
                                <a:lnTo>
                                  <a:pt x="122963" y="553092"/>
                                </a:lnTo>
                                <a:lnTo>
                                  <a:pt x="120476" y="602382"/>
                                </a:lnTo>
                                <a:lnTo>
                                  <a:pt x="122963" y="651670"/>
                                </a:lnTo>
                                <a:lnTo>
                                  <a:pt x="130262" y="699532"/>
                                </a:lnTo>
                                <a:lnTo>
                                  <a:pt x="142132" y="745724"/>
                                </a:lnTo>
                                <a:lnTo>
                                  <a:pt x="158332" y="790004"/>
                                </a:lnTo>
                                <a:lnTo>
                                  <a:pt x="178618" y="832132"/>
                                </a:lnTo>
                                <a:lnTo>
                                  <a:pt x="202750" y="871865"/>
                                </a:lnTo>
                                <a:lnTo>
                                  <a:pt x="230486" y="908961"/>
                                </a:lnTo>
                                <a:lnTo>
                                  <a:pt x="261584" y="943179"/>
                                </a:lnTo>
                                <a:lnTo>
                                  <a:pt x="295802" y="974276"/>
                                </a:lnTo>
                                <a:lnTo>
                                  <a:pt x="332898" y="1002012"/>
                                </a:lnTo>
                                <a:lnTo>
                                  <a:pt x="372631" y="1026144"/>
                                </a:lnTo>
                                <a:lnTo>
                                  <a:pt x="414758" y="1046431"/>
                                </a:lnTo>
                                <a:lnTo>
                                  <a:pt x="459039" y="1062630"/>
                                </a:lnTo>
                                <a:lnTo>
                                  <a:pt x="505231" y="1074500"/>
                                </a:lnTo>
                                <a:lnTo>
                                  <a:pt x="553092" y="1081800"/>
                                </a:lnTo>
                                <a:lnTo>
                                  <a:pt x="602381" y="1084287"/>
                                </a:lnTo>
                                <a:lnTo>
                                  <a:pt x="963312" y="1084287"/>
                                </a:lnTo>
                                <a:lnTo>
                                  <a:pt x="943799" y="1098807"/>
                                </a:lnTo>
                                <a:lnTo>
                                  <a:pt x="906473" y="1122549"/>
                                </a:lnTo>
                                <a:lnTo>
                                  <a:pt x="867350" y="1143559"/>
                                </a:lnTo>
                                <a:lnTo>
                                  <a:pt x="826565" y="1161703"/>
                                </a:lnTo>
                                <a:lnTo>
                                  <a:pt x="784252" y="1176848"/>
                                </a:lnTo>
                                <a:lnTo>
                                  <a:pt x="740543" y="1188861"/>
                                </a:lnTo>
                                <a:lnTo>
                                  <a:pt x="695572" y="1197606"/>
                                </a:lnTo>
                                <a:lnTo>
                                  <a:pt x="673639" y="1200150"/>
                                </a:lnTo>
                                <a:close/>
                              </a:path>
                              <a:path w="1200150" h="1200150">
                                <a:moveTo>
                                  <a:pt x="963312" y="1084287"/>
                                </a:moveTo>
                                <a:lnTo>
                                  <a:pt x="602381" y="1084287"/>
                                </a:lnTo>
                                <a:lnTo>
                                  <a:pt x="651670" y="1081800"/>
                                </a:lnTo>
                                <a:lnTo>
                                  <a:pt x="699532" y="1074500"/>
                                </a:lnTo>
                                <a:lnTo>
                                  <a:pt x="745724" y="1062630"/>
                                </a:lnTo>
                                <a:lnTo>
                                  <a:pt x="790004" y="1046431"/>
                                </a:lnTo>
                                <a:lnTo>
                                  <a:pt x="832132" y="1026144"/>
                                </a:lnTo>
                                <a:lnTo>
                                  <a:pt x="871865" y="1002012"/>
                                </a:lnTo>
                                <a:lnTo>
                                  <a:pt x="908961" y="974276"/>
                                </a:lnTo>
                                <a:lnTo>
                                  <a:pt x="943179" y="943179"/>
                                </a:lnTo>
                                <a:lnTo>
                                  <a:pt x="974277" y="908961"/>
                                </a:lnTo>
                                <a:lnTo>
                                  <a:pt x="1002012" y="871865"/>
                                </a:lnTo>
                                <a:lnTo>
                                  <a:pt x="1026144" y="832132"/>
                                </a:lnTo>
                                <a:lnTo>
                                  <a:pt x="1046431" y="790004"/>
                                </a:lnTo>
                                <a:lnTo>
                                  <a:pt x="1062630" y="745724"/>
                                </a:lnTo>
                                <a:lnTo>
                                  <a:pt x="1074500" y="699532"/>
                                </a:lnTo>
                                <a:lnTo>
                                  <a:pt x="1081800" y="651670"/>
                                </a:lnTo>
                                <a:lnTo>
                                  <a:pt x="1084287" y="602381"/>
                                </a:lnTo>
                                <a:lnTo>
                                  <a:pt x="1081800" y="553092"/>
                                </a:lnTo>
                                <a:lnTo>
                                  <a:pt x="1074500" y="505231"/>
                                </a:lnTo>
                                <a:lnTo>
                                  <a:pt x="1062630" y="459039"/>
                                </a:lnTo>
                                <a:lnTo>
                                  <a:pt x="1046431" y="414758"/>
                                </a:lnTo>
                                <a:lnTo>
                                  <a:pt x="1026144" y="372631"/>
                                </a:lnTo>
                                <a:lnTo>
                                  <a:pt x="1002012" y="332898"/>
                                </a:lnTo>
                                <a:lnTo>
                                  <a:pt x="974277" y="295802"/>
                                </a:lnTo>
                                <a:lnTo>
                                  <a:pt x="943179" y="261584"/>
                                </a:lnTo>
                                <a:lnTo>
                                  <a:pt x="908961" y="230486"/>
                                </a:lnTo>
                                <a:lnTo>
                                  <a:pt x="871865" y="202750"/>
                                </a:lnTo>
                                <a:lnTo>
                                  <a:pt x="832132" y="178618"/>
                                </a:lnTo>
                                <a:lnTo>
                                  <a:pt x="790004" y="158332"/>
                                </a:lnTo>
                                <a:lnTo>
                                  <a:pt x="745724" y="142132"/>
                                </a:lnTo>
                                <a:lnTo>
                                  <a:pt x="699532" y="130262"/>
                                </a:lnTo>
                                <a:lnTo>
                                  <a:pt x="651670" y="122963"/>
                                </a:lnTo>
                                <a:lnTo>
                                  <a:pt x="602381" y="120476"/>
                                </a:lnTo>
                                <a:lnTo>
                                  <a:pt x="963312" y="120476"/>
                                </a:lnTo>
                                <a:lnTo>
                                  <a:pt x="1012528" y="161100"/>
                                </a:lnTo>
                                <a:lnTo>
                                  <a:pt x="1043663" y="192235"/>
                                </a:lnTo>
                                <a:lnTo>
                                  <a:pt x="1072467" y="225568"/>
                                </a:lnTo>
                                <a:lnTo>
                                  <a:pt x="1098807" y="260964"/>
                                </a:lnTo>
                                <a:lnTo>
                                  <a:pt x="1122549" y="298290"/>
                                </a:lnTo>
                                <a:lnTo>
                                  <a:pt x="1143559" y="337412"/>
                                </a:lnTo>
                                <a:lnTo>
                                  <a:pt x="1161703" y="378197"/>
                                </a:lnTo>
                                <a:lnTo>
                                  <a:pt x="1176848" y="420511"/>
                                </a:lnTo>
                                <a:lnTo>
                                  <a:pt x="1188861" y="464220"/>
                                </a:lnTo>
                                <a:lnTo>
                                  <a:pt x="1197606" y="509190"/>
                                </a:lnTo>
                                <a:lnTo>
                                  <a:pt x="1200150" y="531123"/>
                                </a:lnTo>
                                <a:lnTo>
                                  <a:pt x="1200150" y="673640"/>
                                </a:lnTo>
                                <a:lnTo>
                                  <a:pt x="1188861" y="740543"/>
                                </a:lnTo>
                                <a:lnTo>
                                  <a:pt x="1176848" y="784252"/>
                                </a:lnTo>
                                <a:lnTo>
                                  <a:pt x="1161703" y="826565"/>
                                </a:lnTo>
                                <a:lnTo>
                                  <a:pt x="1143559" y="867350"/>
                                </a:lnTo>
                                <a:lnTo>
                                  <a:pt x="1122549" y="906473"/>
                                </a:lnTo>
                                <a:lnTo>
                                  <a:pt x="1098807" y="943799"/>
                                </a:lnTo>
                                <a:lnTo>
                                  <a:pt x="1072467" y="979195"/>
                                </a:lnTo>
                                <a:lnTo>
                                  <a:pt x="1043663" y="1012527"/>
                                </a:lnTo>
                                <a:lnTo>
                                  <a:pt x="1012528" y="1043663"/>
                                </a:lnTo>
                                <a:lnTo>
                                  <a:pt x="979195" y="1072467"/>
                                </a:lnTo>
                                <a:lnTo>
                                  <a:pt x="963312" y="1084287"/>
                                </a:lnTo>
                                <a:close/>
                              </a:path>
                            </a:pathLst>
                          </a:custGeom>
                          <a:solidFill>
                            <a:srgbClr val="F1E35C"/>
                          </a:solidFill>
                        </wps:spPr>
                        <wps:bodyPr wrap="square" lIns="0" tIns="0" rIns="0" bIns="0" rtlCol="0">
                          <a:prstTxWarp prst="textNoShape">
                            <a:avLst/>
                          </a:prstTxWarp>
                          <a:noAutofit/>
                        </wps:bodyPr>
                      </wps:wsp>
                      <wps:wsp>
                        <wps:cNvPr id="21" name="Graphic 21"/>
                        <wps:cNvSpPr/>
                        <wps:spPr>
                          <a:xfrm>
                            <a:off x="1367324" y="3241700"/>
                            <a:ext cx="866775" cy="866775"/>
                          </a:xfrm>
                          <a:custGeom>
                            <a:avLst/>
                            <a:gdLst/>
                            <a:ahLst/>
                            <a:cxnLst/>
                            <a:rect l="l" t="t" r="r" b="b"/>
                            <a:pathLst>
                              <a:path w="866775" h="866775">
                                <a:moveTo>
                                  <a:pt x="433387" y="866774"/>
                                </a:moveTo>
                                <a:lnTo>
                                  <a:pt x="390908" y="864688"/>
                                </a:lnTo>
                                <a:lnTo>
                                  <a:pt x="348837" y="858447"/>
                                </a:lnTo>
                                <a:lnTo>
                                  <a:pt x="307581" y="848113"/>
                                </a:lnTo>
                                <a:lnTo>
                                  <a:pt x="267537" y="833785"/>
                                </a:lnTo>
                                <a:lnTo>
                                  <a:pt x="229089" y="815601"/>
                                </a:lnTo>
                                <a:lnTo>
                                  <a:pt x="192610" y="793735"/>
                                </a:lnTo>
                                <a:lnTo>
                                  <a:pt x="158449" y="768400"/>
                                </a:lnTo>
                                <a:lnTo>
                                  <a:pt x="126936" y="739838"/>
                                </a:lnTo>
                                <a:lnTo>
                                  <a:pt x="98374" y="708325"/>
                                </a:lnTo>
                                <a:lnTo>
                                  <a:pt x="73038" y="674164"/>
                                </a:lnTo>
                                <a:lnTo>
                                  <a:pt x="51173" y="637684"/>
                                </a:lnTo>
                                <a:lnTo>
                                  <a:pt x="32989" y="599237"/>
                                </a:lnTo>
                                <a:lnTo>
                                  <a:pt x="18661" y="559193"/>
                                </a:lnTo>
                                <a:lnTo>
                                  <a:pt x="8327" y="517937"/>
                                </a:lnTo>
                                <a:lnTo>
                                  <a:pt x="2086" y="475866"/>
                                </a:lnTo>
                                <a:lnTo>
                                  <a:pt x="0" y="433387"/>
                                </a:lnTo>
                                <a:lnTo>
                                  <a:pt x="130" y="422748"/>
                                </a:lnTo>
                                <a:lnTo>
                                  <a:pt x="3259" y="380333"/>
                                </a:lnTo>
                                <a:lnTo>
                                  <a:pt x="10530" y="338428"/>
                                </a:lnTo>
                                <a:lnTo>
                                  <a:pt x="21874" y="297438"/>
                                </a:lnTo>
                                <a:lnTo>
                                  <a:pt x="37181" y="257757"/>
                                </a:lnTo>
                                <a:lnTo>
                                  <a:pt x="56304" y="219768"/>
                                </a:lnTo>
                                <a:lnTo>
                                  <a:pt x="79058" y="183836"/>
                                </a:lnTo>
                                <a:lnTo>
                                  <a:pt x="105224" y="150308"/>
                                </a:lnTo>
                                <a:lnTo>
                                  <a:pt x="134551" y="119505"/>
                                </a:lnTo>
                                <a:lnTo>
                                  <a:pt x="166756" y="91725"/>
                                </a:lnTo>
                                <a:lnTo>
                                  <a:pt x="201528" y="67236"/>
                                </a:lnTo>
                                <a:lnTo>
                                  <a:pt x="238534" y="46273"/>
                                </a:lnTo>
                                <a:lnTo>
                                  <a:pt x="277416" y="29038"/>
                                </a:lnTo>
                                <a:lnTo>
                                  <a:pt x="317800" y="15697"/>
                                </a:lnTo>
                                <a:lnTo>
                                  <a:pt x="359297" y="6379"/>
                                </a:lnTo>
                                <a:lnTo>
                                  <a:pt x="401508" y="1173"/>
                                </a:lnTo>
                                <a:lnTo>
                                  <a:pt x="433387" y="0"/>
                                </a:lnTo>
                                <a:lnTo>
                                  <a:pt x="444026" y="130"/>
                                </a:lnTo>
                                <a:lnTo>
                                  <a:pt x="486441" y="3259"/>
                                </a:lnTo>
                                <a:lnTo>
                                  <a:pt x="528346" y="10530"/>
                                </a:lnTo>
                                <a:lnTo>
                                  <a:pt x="569336" y="21874"/>
                                </a:lnTo>
                                <a:lnTo>
                                  <a:pt x="609017" y="37181"/>
                                </a:lnTo>
                                <a:lnTo>
                                  <a:pt x="647006" y="56304"/>
                                </a:lnTo>
                                <a:lnTo>
                                  <a:pt x="682938" y="79058"/>
                                </a:lnTo>
                                <a:lnTo>
                                  <a:pt x="716466" y="105224"/>
                                </a:lnTo>
                                <a:lnTo>
                                  <a:pt x="747269" y="134551"/>
                                </a:lnTo>
                                <a:lnTo>
                                  <a:pt x="775049" y="166756"/>
                                </a:lnTo>
                                <a:lnTo>
                                  <a:pt x="799538" y="201528"/>
                                </a:lnTo>
                                <a:lnTo>
                                  <a:pt x="820501" y="238534"/>
                                </a:lnTo>
                                <a:lnTo>
                                  <a:pt x="837736" y="277416"/>
                                </a:lnTo>
                                <a:lnTo>
                                  <a:pt x="851076" y="317800"/>
                                </a:lnTo>
                                <a:lnTo>
                                  <a:pt x="860395" y="359297"/>
                                </a:lnTo>
                                <a:lnTo>
                                  <a:pt x="865601" y="401508"/>
                                </a:lnTo>
                                <a:lnTo>
                                  <a:pt x="866774" y="433387"/>
                                </a:lnTo>
                                <a:lnTo>
                                  <a:pt x="866644" y="444026"/>
                                </a:lnTo>
                                <a:lnTo>
                                  <a:pt x="863515" y="486441"/>
                                </a:lnTo>
                                <a:lnTo>
                                  <a:pt x="856243" y="528346"/>
                                </a:lnTo>
                                <a:lnTo>
                                  <a:pt x="844900" y="569336"/>
                                </a:lnTo>
                                <a:lnTo>
                                  <a:pt x="829593" y="609016"/>
                                </a:lnTo>
                                <a:lnTo>
                                  <a:pt x="810470" y="647006"/>
                                </a:lnTo>
                                <a:lnTo>
                                  <a:pt x="787716" y="682938"/>
                                </a:lnTo>
                                <a:lnTo>
                                  <a:pt x="761550" y="716466"/>
                                </a:lnTo>
                                <a:lnTo>
                                  <a:pt x="732223" y="747269"/>
                                </a:lnTo>
                                <a:lnTo>
                                  <a:pt x="700018" y="775048"/>
                                </a:lnTo>
                                <a:lnTo>
                                  <a:pt x="665246" y="799538"/>
                                </a:lnTo>
                                <a:lnTo>
                                  <a:pt x="628240" y="820501"/>
                                </a:lnTo>
                                <a:lnTo>
                                  <a:pt x="589358" y="837736"/>
                                </a:lnTo>
                                <a:lnTo>
                                  <a:pt x="548974" y="851076"/>
                                </a:lnTo>
                                <a:lnTo>
                                  <a:pt x="507477" y="860395"/>
                                </a:lnTo>
                                <a:lnTo>
                                  <a:pt x="465266" y="865601"/>
                                </a:lnTo>
                                <a:lnTo>
                                  <a:pt x="433387" y="8667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612pt;height:792pt;mso-position-horizontal-relative:page;mso-position-vertical-relative:page;z-index:-20766208" id="docshapegroup1" coordorigin="0,0" coordsize="12240,15840">
                <v:shape style="position:absolute;left:0;top:0;width:12240;height:15840" type="#_x0000_t75" id="docshape2" stroked="false">
                  <v:imagedata r:id="rId5" o:title=""/>
                </v:shape>
                <v:shape style="position:absolute;left:4906;top:5045;width:7334;height:8362" type="#_x0000_t75" id="docshape3" stroked="false">
                  <v:imagedata r:id="rId6" o:title=""/>
                </v:shape>
                <v:shape style="position:absolute;left:938;top:301;width:30;height:15122" id="docshape4" coordorigin="938,301" coordsize="30,15122" path="m968,12137l938,12137,938,15422,968,15422,968,12137xm968,11975l938,11975,938,12017,968,12017,968,11975xm968,301l938,301,938,11855,968,11855,968,301xe" filled="true" fillcolor="#3489a1" stroked="false">
                  <v:path arrowok="t"/>
                  <v:fill type="solid"/>
                </v:shape>
                <v:rect style="position:absolute;left:8144;top:3958;width:1529;height:5925" id="docshape5" filled="true" fillcolor="#77d4e3" stroked="false">
                  <v:fill type="solid"/>
                </v:rect>
                <v:rect style="position:absolute;left:7846;top:4644;width:596;height:3595" id="docshape6" filled="true" fillcolor="#f1e35c" stroked="false">
                  <v:fill type="solid"/>
                </v:rect>
                <v:rect style="position:absolute;left:10172;top:12507;width:1343;height:3331" id="docshape7" filled="true" fillcolor="#77d4e3" stroked="false">
                  <v:fill type="solid"/>
                </v:rect>
                <v:shape style="position:absolute;left:4888;top:4992;width:7352;height:8699" id="docshape8" coordorigin="4888,4992" coordsize="7352,8699" path="m8961,13313l8929,13307,8859,13295,8790,13281,8720,13266,8651,13250,8582,13233,8514,13214,8446,13195,8378,13174,8310,13153,8243,13130,8176,13106,8110,13081,8044,13054,7978,13027,7913,12999,7848,12969,7784,12939,7720,12907,7657,12874,7594,12840,7532,12806,7470,12770,7409,12732,7348,12694,7288,12655,7229,12615,7170,12574,7112,12531,7055,12488,6998,12444,6942,12398,6886,12352,6832,12304,6778,12256,6724,12206,6672,12155,6620,12104,6569,12051,6519,11998,6470,11943,6421,11887,6374,11831,6327,11773,6281,11715,6236,11655,6192,11595,6149,11533,6107,11471,6066,11407,6025,11343,5986,11278,5948,11212,5911,11145,5876,11078,5842,11011,5809,10944,5777,10876,5747,10808,5718,10739,5690,10670,5664,10601,5639,10532,5615,10462,5593,10392,5571,10323,5551,10252,5532,10182,5515,10111,5499,10040,5484,9969,5470,9898,5457,9827,5446,9756,5436,9685,5427,9613,5420,9542,5413,9470,5408,9399,5404,9327,5402,9256,5400,9185,5400,9113,5401,9042,5403,8971,5406,8900,5410,8828,5416,8758,5423,8687,5431,8616,5440,8546,5450,8475,5462,8405,5474,8336,5488,8266,5503,8197,5519,8128,5536,8059,5555,7990,5574,7922,5595,7854,5616,7787,5639,7719,5663,7653,5688,7586,5715,7520,5742,7454,5770,7389,5800,7325,5830,7260,5862,7196,5895,7133,5928,7072,5631,6569,5615,6595,5577,6656,5541,6717,5505,6779,5471,6842,5437,6904,5404,6968,5373,7032,5342,7096,5312,7161,5283,7226,5256,7291,5229,7357,5203,7423,5178,7490,5154,7557,5131,7624,5110,7692,5089,7760,5069,7828,5050,7896,5032,7965,5016,8034,5000,8103,4985,8173,4971,8242,4959,8312,4947,8382,4937,8453,4927,8523,4918,8594,4911,8664,4905,8735,4899,8806,4895,8877,4892,8948,4889,9020,4888,9091,4888,9162,4889,9234,4891,9305,4895,9377,4898,9429,4899,9448,4904,9520,4911,9592,4918,9663,4927,9734,4936,9806,4947,9877,4959,9948,4972,10020,4986,10091,5002,10162,5018,10232,5035,10303,5054,10374,5074,10444,5095,10514,5117,10584,5140,10654,5164,10723,5189,10793,5216,10862,5244,10931,5272,10999,5302,11068,5334,11136,5366,11203,5399,11271,5434,11338,5470,11405,5507,11471,5545,11537,5584,11603,5625,11667,5666,11731,5707,11794,5750,11856,5794,11917,5838,11977,5883,12037,5929,12095,5976,12153,6023,12209,6072,12265,6121,12320,6171,12374,6221,12428,6272,12480,6324,12531,6377,12582,6430,12631,6484,12680,6539,12728,6594,12775,6650,12820,6707,12865,6764,12910,6821,12953,6880,12995,6939,13036,6998,13076,7058,13116,7118,13154,7179,13192,7241,13228,7303,13264,7365,13298,7428,13332,7492,13365,7556,13396,7620,13427,7684,13457,7750,13486,7815,13513,7881,13540,7947,13566,8014,13591,8081,13615,8148,13637,8215,13659,8283,13680,8319,13691,8961,13313xm11192,5636l11150,5614,11085,5581,11019,5550,10952,5519,10885,5489,10818,5459,10750,5431,10682,5403,10613,5376,10543,5350,10473,5324,10403,5300,10332,5276,10261,5253,10189,5231,10117,5210,10044,5190,9971,5170,9898,5152,9824,5134,9750,5118,9675,5102,9601,5087,9527,5073,9453,5061,9379,5049,9305,5038,9231,5028,9157,5019,9083,5011,9009,5004,8935,4998,8862,4993,8847,4992,8702,5619,8717,5620,8791,5624,8865,5628,8939,5634,9013,5641,9087,5649,9161,5658,9235,5668,9309,5679,9384,5691,9458,5705,9532,5719,9607,5735,9681,5751,9755,5769,9829,5788,9902,5808,9974,5828,10046,5850,10118,5873,10189,5896,10260,5921,10330,5946,10399,5972,10468,6000,10536,6028,10604,6057,10671,6087,10738,6118,10804,6150,10870,6182,10935,6216,10999,6250,11010,6256,11047,6264,11090,6078,11192,5636xm12240,11511l12200,11557,12151,11613,12100,11669,12049,11725,11997,11780,11944,11835,11890,11889,11836,11943,11781,11996,11726,12048,11671,12099,11615,12149,11558,12199,11501,12248,11444,12296,11386,12344,11327,12390,11269,12436,11209,12481,11150,12525,11090,12569,11030,12612,10969,12654,10908,12695,10846,12735,10785,12775,10722,12814,10660,12852,10597,12889,10534,12925,10477,12957,10650,13130,11043,13523,11094,13493,11156,13454,11218,13415,11280,13375,11341,13335,11402,13294,11462,13252,11523,13210,11583,13166,11642,13123,11702,13078,11760,13033,11819,12987,11877,12940,11935,12893,11992,12845,12049,12796,12106,12747,12162,12696,12218,12646,12240,12625,12240,11511xe" filled="true" fillcolor="#f1e35c" stroked="false">
                  <v:path arrowok="t"/>
                  <v:fill type="solid"/>
                </v:shape>
                <v:line style="position:absolute" from="690,11915" to="6297,11915" stroked="true" strokeweight="6.0pt" strokecolor="#f1e35c">
                  <v:stroke dashstyle="solid"/>
                </v:line>
                <v:line style="position:absolute" from="853,12077" to="6459,12077" stroked="true" strokeweight="6.0pt" strokecolor="#f1e35c">
                  <v:stroke dashstyle="solid"/>
                </v:line>
                <v:line style="position:absolute" from="1015,12240" to="6622,12240" stroked="true" strokeweight="6.0pt" strokecolor="#f1e35c">
                  <v:stroke dashstyle="solid"/>
                </v:line>
                <v:line style="position:absolute" from="1177,12402" to="6784,12402" stroked="true" strokeweight="6.0pt" strokecolor="#f1e35c">
                  <v:stroke dashstyle="solid"/>
                </v:line>
                <v:line style="position:absolute" from="1339,12564" to="6946,12564" stroked="true" strokeweight="6.0pt" strokecolor="#f1e35c">
                  <v:stroke dashstyle="solid"/>
                </v:line>
                <v:line style="position:absolute" from="1502,12726" to="7108,12726" stroked="true" strokeweight="6.0pt" strokecolor="#f1e35c">
                  <v:stroke dashstyle="solid"/>
                </v:line>
                <v:line style="position:absolute" from="1664,12889" to="7271,12889" stroked="true" strokeweight="6.0pt" strokecolor="#f1e35c">
                  <v:stroke dashstyle="solid"/>
                </v:line>
                <v:line style="position:absolute" from="1826,13051" to="7433,13051" stroked="true" strokeweight="6.0pt" strokecolor="#f1e35c">
                  <v:stroke dashstyle="solid"/>
                </v:line>
                <v:line style="position:absolute" from="1988,13213" to="7595,13213" stroked="true" strokeweight="6.0pt" strokecolor="#f1e35c">
                  <v:stroke dashstyle="solid"/>
                </v:line>
                <v:line style="position:absolute" from="2150,13375" to="7757,13375" stroked="true" strokeweight="6.0pt" strokecolor="#f1e35c">
                  <v:stroke dashstyle="solid"/>
                </v:line>
                <v:shape style="position:absolute;left:0;top:301;width:12240;height:15122" id="docshape9" coordorigin="0,301" coordsize="12240,15122" path="m12240,2478l690,2478,690,301,660,301,660,2478,0,2478,0,2508,660,2508,660,15422,690,15422,690,2508,12240,2508,12240,2478xe" filled="true" fillcolor="#3489a1" stroked="false">
                  <v:path arrowok="t"/>
                  <v:fill type="solid"/>
                </v:shape>
                <v:shape style="position:absolute;left:1224;top:5547;width:1890;height:1890" id="docshape10" coordorigin="1224,5547" coordsize="1890,1890" path="m2285,7437l2060,7437,2026,7433,1955,7420,1886,7401,1820,7377,1755,7348,1694,7315,1635,7278,1579,7236,1527,7191,1478,7142,1432,7089,1391,7034,1353,6975,1320,6913,1292,6849,1268,6782,1249,6714,1235,6643,1227,6570,1224,6496,1227,6422,1235,6349,1249,6278,1268,6210,1292,6143,1320,6079,1353,6017,1391,5958,1432,5903,1478,5850,1527,5801,1579,5756,1635,5714,1694,5677,1755,5644,1820,5615,1886,5591,1955,5572,2026,5559,2098,5550,2173,5547,2247,5550,2319,5559,2390,5572,2459,5591,2526,5615,2590,5644,2652,5677,2710,5714,2741,5737,2173,5737,2095,5741,2020,5753,1947,5771,1877,5797,1811,5829,1748,5867,1690,5910,1636,5959,1587,6013,1543,6072,1505,6134,1473,6201,1448,6270,1429,6343,1418,6418,1414,6496,1418,6574,1429,6649,1448,6722,1473,6792,1505,6858,1543,6920,1587,6979,1636,7033,1690,7082,1748,7125,1811,7163,1877,7195,1947,7221,2020,7240,2095,7251,2173,7255,2741,7255,2710,7278,2652,7315,2590,7348,2526,7377,2459,7401,2390,7420,2319,7433,2285,7437xm2741,7255l2173,7255,2250,7251,2326,7240,2398,7221,2468,7195,2534,7163,2597,7125,2655,7082,2709,7033,2758,6979,2802,6920,2840,6858,2872,6792,2897,6722,2916,6649,2928,6574,2932,6496,2928,6418,2916,6343,2897,6270,2872,6201,2840,6134,2802,6072,2758,6013,2709,5959,2655,5910,2597,5867,2534,5829,2468,5797,2398,5771,2326,5753,2250,5741,2173,5737,2741,5737,2766,5756,2819,5801,2868,5850,2913,5903,2954,5958,2992,6017,3025,6079,3053,6143,3077,6210,3096,6278,3110,6349,3114,6384,3114,6608,3110,6643,3096,6714,3077,6782,3053,6849,3025,6913,2992,6975,2954,7034,2913,7089,2868,7142,2819,7191,2766,7236,2741,7255xe" filled="true" fillcolor="#f1e35c" stroked="false">
                  <v:path arrowok="t"/>
                  <v:fill type="solid"/>
                </v:shape>
                <v:shape style="position:absolute;left:2153;top:5105;width:1365;height:1365" id="docshape11" coordorigin="2153,5105" coordsize="1365,1365" path="m2836,6470l2769,6467,2703,6457,2638,6441,2575,6418,2514,6389,2457,6355,2403,6315,2353,6270,2308,6221,2268,6167,2234,6109,2205,6049,2183,5986,2166,5921,2157,5854,2153,5788,2153,5771,2158,5704,2170,5638,2188,5573,2212,5511,2242,5451,2278,5395,2319,5342,2365,5293,2416,5249,2471,5211,2529,5178,2590,5151,2654,5130,2719,5115,2786,5107,2836,5105,2853,5105,2919,5110,2985,5122,3050,5139,3112,5164,3172,5194,3229,5230,3282,5271,3330,5317,3374,5368,3412,5422,3445,5481,3473,5542,3494,5606,3508,5671,3516,5737,3518,5788,3518,5804,3513,5871,3502,5937,3484,6002,3460,6064,3430,6124,3394,6181,3353,6233,3306,6282,3256,6326,3201,6364,3143,6397,3081,6424,3018,6445,2952,6460,2886,6468,2836,6470xe" filled="true" fillcolor="#ffffff" stroked="false">
                  <v:path arrowok="t"/>
                  <v:fill type="solid"/>
                </v:shape>
                <w10:wrap type="none"/>
              </v:group>
            </w:pict>
          </mc:Fallback>
        </mc:AlternateContent>
      </w:r>
      <w:bookmarkStart w:name="Incomplete - FY 2025 Annual Recommendati" w:id="1"/>
      <w:bookmarkEnd w:id="1"/>
      <w:r>
        <w:rPr/>
      </w:r>
      <w:bookmarkStart w:name="Binder2.pdf" w:id="2"/>
      <w:bookmarkEnd w:id="2"/>
      <w:r>
        <w:rPr/>
      </w:r>
      <w:bookmarkStart w:name="2024 Report Cover Draft 1 (Magazine Cove" w:id="3"/>
      <w:bookmarkEnd w:id="3"/>
      <w:r>
        <w:rPr/>
      </w:r>
      <w:r>
        <w:rPr>
          <w:rFonts w:ascii="Palatino Linotype"/>
          <w:b/>
          <w:sz w:val="58"/>
        </w:rPr>
        <w:t>REPORT</w:t>
      </w:r>
      <w:r>
        <w:rPr>
          <w:rFonts w:ascii="Palatino Linotype"/>
          <w:b/>
          <w:spacing w:val="19"/>
          <w:sz w:val="58"/>
        </w:rPr>
        <w:t>  </w:t>
      </w:r>
      <w:r>
        <w:rPr>
          <w:rFonts w:ascii="Palatino Linotype"/>
          <w:b/>
          <w:sz w:val="58"/>
        </w:rPr>
        <w:t>&amp;</w:t>
      </w:r>
      <w:r>
        <w:rPr>
          <w:rFonts w:ascii="Palatino Linotype"/>
          <w:b/>
          <w:spacing w:val="19"/>
          <w:sz w:val="58"/>
        </w:rPr>
        <w:t>  </w:t>
      </w:r>
      <w:r>
        <w:rPr>
          <w:rFonts w:ascii="Palatino Linotype"/>
          <w:b/>
          <w:spacing w:val="-2"/>
          <w:sz w:val="58"/>
        </w:rPr>
        <w:t>RECOMMENDATIONS</w:t>
      </w:r>
    </w:p>
    <w:p>
      <w:pPr>
        <w:pStyle w:val="BodyText"/>
        <w:spacing w:before="41"/>
        <w:rPr>
          <w:rFonts w:ascii="Palatino Linotype"/>
          <w:b/>
          <w:sz w:val="28"/>
        </w:rPr>
      </w:pPr>
    </w:p>
    <w:p>
      <w:pPr>
        <w:tabs>
          <w:tab w:pos="3231" w:val="left" w:leader="none"/>
          <w:tab w:pos="5712" w:val="left" w:leader="none"/>
          <w:tab w:pos="6438" w:val="left" w:leader="none"/>
          <w:tab w:pos="8145" w:val="left" w:leader="none"/>
          <w:tab w:pos="9128" w:val="left" w:leader="none"/>
        </w:tabs>
        <w:spacing w:line="355" w:lineRule="auto" w:before="0"/>
        <w:ind w:left="142" w:right="486" w:firstLine="0"/>
        <w:jc w:val="left"/>
        <w:rPr>
          <w:rFonts w:ascii="Palatino Linotype"/>
          <w:b/>
          <w:sz w:val="28"/>
        </w:rPr>
      </w:pPr>
      <w:r>
        <w:rPr>
          <w:rFonts w:ascii="Palatino Linotype"/>
          <w:b/>
          <w:spacing w:val="17"/>
          <w:sz w:val="28"/>
        </w:rPr>
        <w:t>MASSACHUSETTS</w:t>
      </w:r>
      <w:r>
        <w:rPr>
          <w:rFonts w:ascii="Palatino Linotype"/>
          <w:b/>
          <w:sz w:val="28"/>
        </w:rPr>
        <w:tab/>
      </w:r>
      <w:r>
        <w:rPr>
          <w:rFonts w:ascii="Palatino Linotype"/>
          <w:b/>
          <w:spacing w:val="16"/>
          <w:sz w:val="28"/>
        </w:rPr>
        <w:t>COMMISSION</w:t>
      </w:r>
      <w:r>
        <w:rPr>
          <w:rFonts w:ascii="Palatino Linotype"/>
          <w:b/>
          <w:sz w:val="28"/>
        </w:rPr>
        <w:tab/>
      </w:r>
      <w:r>
        <w:rPr>
          <w:rFonts w:ascii="Palatino Linotype"/>
          <w:b/>
          <w:spacing w:val="4"/>
          <w:sz w:val="28"/>
        </w:rPr>
        <w:t>ON</w:t>
      </w:r>
      <w:r>
        <w:rPr>
          <w:rFonts w:ascii="Palatino Linotype"/>
          <w:b/>
          <w:sz w:val="28"/>
        </w:rPr>
        <w:tab/>
      </w:r>
      <w:r>
        <w:rPr>
          <w:rFonts w:ascii="Palatino Linotype"/>
          <w:b/>
          <w:spacing w:val="16"/>
          <w:sz w:val="28"/>
        </w:rPr>
        <w:t>LESBIAN,</w:t>
      </w:r>
      <w:r>
        <w:rPr>
          <w:rFonts w:ascii="Palatino Linotype"/>
          <w:b/>
          <w:sz w:val="28"/>
        </w:rPr>
        <w:tab/>
      </w:r>
      <w:r>
        <w:rPr>
          <w:rFonts w:ascii="Palatino Linotype"/>
          <w:b/>
          <w:spacing w:val="11"/>
          <w:sz w:val="28"/>
        </w:rPr>
        <w:t>GAY,</w:t>
      </w:r>
      <w:r>
        <w:rPr>
          <w:rFonts w:ascii="Palatino Linotype"/>
          <w:b/>
          <w:sz w:val="28"/>
        </w:rPr>
        <w:tab/>
      </w:r>
      <w:r>
        <w:rPr>
          <w:rFonts w:ascii="Palatino Linotype"/>
          <w:b/>
          <w:spacing w:val="14"/>
          <w:sz w:val="28"/>
        </w:rPr>
        <w:t>BISEXUAL, </w:t>
      </w:r>
      <w:r>
        <w:rPr>
          <w:rFonts w:ascii="Palatino Linotype"/>
          <w:b/>
          <w:spacing w:val="19"/>
          <w:sz w:val="28"/>
        </w:rPr>
        <w:t>TRANSGENDER,</w:t>
      </w:r>
      <w:r>
        <w:rPr>
          <w:rFonts w:ascii="Palatino Linotype"/>
          <w:b/>
          <w:spacing w:val="80"/>
          <w:w w:val="150"/>
          <w:sz w:val="28"/>
        </w:rPr>
        <w:t> </w:t>
      </w:r>
      <w:r>
        <w:rPr>
          <w:rFonts w:ascii="Palatino Linotype"/>
          <w:b/>
          <w:spacing w:val="16"/>
          <w:sz w:val="28"/>
        </w:rPr>
        <w:t>QUEER</w:t>
      </w:r>
      <w:r>
        <w:rPr>
          <w:rFonts w:ascii="Palatino Linotype"/>
          <w:b/>
          <w:spacing w:val="80"/>
          <w:w w:val="150"/>
          <w:sz w:val="28"/>
        </w:rPr>
        <w:t> </w:t>
      </w:r>
      <w:r>
        <w:rPr>
          <w:rFonts w:ascii="Palatino Linotype"/>
          <w:b/>
          <w:sz w:val="28"/>
        </w:rPr>
        <w:t>&amp;</w:t>
      </w:r>
      <w:r>
        <w:rPr>
          <w:rFonts w:ascii="Palatino Linotype"/>
          <w:b/>
          <w:spacing w:val="80"/>
          <w:w w:val="150"/>
          <w:sz w:val="28"/>
        </w:rPr>
        <w:t> </w:t>
      </w:r>
      <w:r>
        <w:rPr>
          <w:rFonts w:ascii="Palatino Linotype"/>
          <w:b/>
          <w:spacing w:val="19"/>
          <w:sz w:val="28"/>
        </w:rPr>
        <w:t>QUESTIONING</w:t>
      </w:r>
      <w:r>
        <w:rPr>
          <w:rFonts w:ascii="Palatino Linotype"/>
          <w:b/>
          <w:spacing w:val="80"/>
          <w:w w:val="150"/>
          <w:sz w:val="28"/>
        </w:rPr>
        <w:t> </w:t>
      </w:r>
      <w:r>
        <w:rPr>
          <w:rFonts w:ascii="Palatino Linotype"/>
          <w:b/>
          <w:spacing w:val="16"/>
          <w:sz w:val="28"/>
        </w:rPr>
        <w:t>YOUTH</w:t>
      </w:r>
    </w:p>
    <w:p>
      <w:pPr>
        <w:spacing w:before="64"/>
        <w:ind w:left="114" w:right="0" w:firstLine="0"/>
        <w:jc w:val="left"/>
        <w:rPr>
          <w:rFonts w:ascii="Palatino Linotype"/>
          <w:b/>
          <w:sz w:val="29"/>
        </w:rPr>
      </w:pPr>
      <w:r>
        <w:rPr>
          <w:rFonts w:ascii="Palatino Linotype"/>
          <w:b/>
          <w:spacing w:val="-12"/>
          <w:w w:val="130"/>
          <w:sz w:val="29"/>
        </w:rPr>
        <w:t>F</w:t>
      </w:r>
      <w:r>
        <w:rPr>
          <w:rFonts w:ascii="Palatino Linotype"/>
          <w:b/>
          <w:spacing w:val="-47"/>
          <w:w w:val="130"/>
          <w:sz w:val="29"/>
        </w:rPr>
        <w:t> </w:t>
      </w:r>
      <w:r>
        <w:rPr>
          <w:rFonts w:ascii="Palatino Linotype"/>
          <w:b/>
          <w:spacing w:val="-12"/>
          <w:w w:val="130"/>
          <w:sz w:val="29"/>
        </w:rPr>
        <w:t>iscal</w:t>
      </w:r>
      <w:r>
        <w:rPr>
          <w:rFonts w:ascii="Palatino Linotype"/>
          <w:b/>
          <w:spacing w:val="-47"/>
          <w:w w:val="130"/>
          <w:sz w:val="29"/>
        </w:rPr>
        <w:t> </w:t>
      </w:r>
      <w:r>
        <w:rPr>
          <w:rFonts w:ascii="Palatino Linotype"/>
          <w:b/>
          <w:spacing w:val="-12"/>
          <w:w w:val="130"/>
          <w:sz w:val="29"/>
        </w:rPr>
        <w:t>year</w:t>
      </w:r>
      <w:r>
        <w:rPr>
          <w:rFonts w:ascii="Palatino Linotype"/>
          <w:b/>
          <w:spacing w:val="-47"/>
          <w:w w:val="130"/>
          <w:sz w:val="29"/>
        </w:rPr>
        <w:t> </w:t>
      </w:r>
      <w:r>
        <w:rPr>
          <w:rFonts w:ascii="Palatino Linotype"/>
          <w:b/>
          <w:spacing w:val="-12"/>
          <w:w w:val="130"/>
          <w:sz w:val="29"/>
        </w:rPr>
        <w:t>2025</w:t>
      </w:r>
    </w:p>
    <w:p>
      <w:pPr>
        <w:spacing w:before="21"/>
        <w:ind w:left="114" w:right="0" w:firstLine="0"/>
        <w:jc w:val="left"/>
        <w:rPr>
          <w:rFonts w:ascii="Palatino Linotype"/>
          <w:b/>
          <w:sz w:val="29"/>
        </w:rPr>
      </w:pPr>
      <w:r>
        <w:rPr/>
        <w:drawing>
          <wp:anchor distT="0" distB="0" distL="0" distR="0" allowOverlap="1" layoutInCell="1" locked="0" behindDoc="0" simplePos="0" relativeHeight="15729152">
            <wp:simplePos x="0" y="0"/>
            <wp:positionH relativeFrom="page">
              <wp:posOffset>2682127</wp:posOffset>
            </wp:positionH>
            <wp:positionV relativeFrom="paragraph">
              <wp:posOffset>181243</wp:posOffset>
            </wp:positionV>
            <wp:extent cx="5090272" cy="601027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7" cstate="print"/>
                    <a:stretch>
                      <a:fillRect/>
                    </a:stretch>
                  </pic:blipFill>
                  <pic:spPr>
                    <a:xfrm>
                      <a:off x="0" y="0"/>
                      <a:ext cx="5090272" cy="6010274"/>
                    </a:xfrm>
                    <a:prstGeom prst="rect">
                      <a:avLst/>
                    </a:prstGeom>
                  </pic:spPr>
                </pic:pic>
              </a:graphicData>
            </a:graphic>
          </wp:anchor>
        </w:drawing>
      </w:r>
      <w:r>
        <w:rPr>
          <w:rFonts w:ascii="Palatino Linotype"/>
          <w:b/>
          <w:spacing w:val="-10"/>
          <w:w w:val="110"/>
          <w:sz w:val="29"/>
        </w:rPr>
        <w:t>JULy</w:t>
      </w:r>
      <w:r>
        <w:rPr>
          <w:rFonts w:ascii="Palatino Linotype"/>
          <w:b/>
          <w:spacing w:val="-34"/>
          <w:w w:val="110"/>
          <w:sz w:val="29"/>
        </w:rPr>
        <w:t> </w:t>
      </w:r>
      <w:r>
        <w:rPr>
          <w:rFonts w:ascii="Palatino Linotype"/>
          <w:b/>
          <w:spacing w:val="-10"/>
          <w:w w:val="110"/>
          <w:sz w:val="29"/>
        </w:rPr>
        <w:t>1,</w:t>
      </w:r>
      <w:r>
        <w:rPr>
          <w:rFonts w:ascii="Palatino Linotype"/>
          <w:b/>
          <w:spacing w:val="-33"/>
          <w:w w:val="110"/>
          <w:sz w:val="29"/>
        </w:rPr>
        <w:t> </w:t>
      </w:r>
      <w:r>
        <w:rPr>
          <w:rFonts w:ascii="Palatino Linotype"/>
          <w:b/>
          <w:spacing w:val="-10"/>
          <w:w w:val="110"/>
          <w:sz w:val="29"/>
        </w:rPr>
        <w:t>2024</w:t>
      </w:r>
      <w:r>
        <w:rPr>
          <w:rFonts w:ascii="Palatino Linotype"/>
          <w:b/>
          <w:spacing w:val="-33"/>
          <w:w w:val="110"/>
          <w:sz w:val="29"/>
        </w:rPr>
        <w:t> </w:t>
      </w:r>
      <w:r>
        <w:rPr>
          <w:rFonts w:ascii="Palatino Linotype"/>
          <w:b/>
          <w:spacing w:val="-10"/>
          <w:w w:val="110"/>
          <w:sz w:val="29"/>
        </w:rPr>
        <w:t>--</w:t>
      </w:r>
      <w:r>
        <w:rPr>
          <w:rFonts w:ascii="Palatino Linotype"/>
          <w:b/>
          <w:spacing w:val="-34"/>
          <w:w w:val="110"/>
          <w:sz w:val="29"/>
        </w:rPr>
        <w:t> </w:t>
      </w:r>
      <w:r>
        <w:rPr>
          <w:rFonts w:ascii="Palatino Linotype"/>
          <w:b/>
          <w:spacing w:val="-10"/>
          <w:w w:val="110"/>
          <w:sz w:val="29"/>
        </w:rPr>
        <w:t>JUNE</w:t>
      </w:r>
      <w:r>
        <w:rPr>
          <w:rFonts w:ascii="Palatino Linotype"/>
          <w:b/>
          <w:spacing w:val="-33"/>
          <w:w w:val="110"/>
          <w:sz w:val="29"/>
        </w:rPr>
        <w:t> </w:t>
      </w:r>
      <w:r>
        <w:rPr>
          <w:rFonts w:ascii="Palatino Linotype"/>
          <w:b/>
          <w:spacing w:val="-10"/>
          <w:w w:val="110"/>
          <w:sz w:val="29"/>
        </w:rPr>
        <w:t>30,</w:t>
      </w:r>
      <w:r>
        <w:rPr>
          <w:rFonts w:ascii="Palatino Linotype"/>
          <w:b/>
          <w:spacing w:val="-33"/>
          <w:w w:val="110"/>
          <w:sz w:val="29"/>
        </w:rPr>
        <w:t> </w:t>
      </w:r>
      <w:r>
        <w:rPr>
          <w:rFonts w:ascii="Palatino Linotype"/>
          <w:b/>
          <w:spacing w:val="-10"/>
          <w:w w:val="110"/>
          <w:sz w:val="29"/>
        </w:rPr>
        <w:t>2025</w:t>
      </w:r>
    </w:p>
    <w:p>
      <w:pPr>
        <w:spacing w:after="0"/>
        <w:jc w:val="left"/>
        <w:rPr>
          <w:rFonts w:ascii="Palatino Linotype"/>
          <w:sz w:val="29"/>
        </w:rPr>
        <w:sectPr>
          <w:type w:val="continuous"/>
          <w:pgSz w:w="12240" w:h="15840"/>
          <w:pgMar w:top="1420" w:bottom="280" w:left="900" w:right="0"/>
        </w:sectPr>
      </w:pPr>
    </w:p>
    <w:p>
      <w:pPr>
        <w:spacing w:before="40"/>
        <w:ind w:left="119" w:right="119" w:firstLine="0"/>
        <w:jc w:val="both"/>
        <w:rPr>
          <w:sz w:val="22"/>
        </w:rPr>
      </w:pPr>
      <w:bookmarkStart w:name="Binder1.pdf" w:id="4"/>
      <w:bookmarkEnd w:id="4"/>
      <w:r>
        <w:rPr/>
      </w:r>
      <w:bookmarkStart w:name="FY25 Acknowledgments.pdf" w:id="5"/>
      <w:bookmarkEnd w:id="5"/>
      <w:r>
        <w:rPr/>
      </w:r>
      <w:r>
        <w:rPr>
          <w:b/>
          <w:sz w:val="22"/>
        </w:rPr>
        <w:t>Recommended</w:t>
      </w:r>
      <w:r>
        <w:rPr>
          <w:b/>
          <w:spacing w:val="-2"/>
          <w:sz w:val="22"/>
        </w:rPr>
        <w:t> </w:t>
      </w:r>
      <w:r>
        <w:rPr>
          <w:b/>
          <w:sz w:val="22"/>
        </w:rPr>
        <w:t>citation: </w:t>
      </w:r>
      <w:r>
        <w:rPr>
          <w:sz w:val="22"/>
        </w:rPr>
        <w:t>Massachusetts</w:t>
      </w:r>
      <w:r>
        <w:rPr>
          <w:spacing w:val="-1"/>
          <w:sz w:val="22"/>
        </w:rPr>
        <w:t> </w:t>
      </w:r>
      <w:r>
        <w:rPr>
          <w:sz w:val="22"/>
        </w:rPr>
        <w:t>Commission</w:t>
      </w:r>
      <w:r>
        <w:rPr>
          <w:spacing w:val="-2"/>
          <w:sz w:val="22"/>
        </w:rPr>
        <w:t> </w:t>
      </w:r>
      <w:r>
        <w:rPr>
          <w:sz w:val="22"/>
        </w:rPr>
        <w:t>on Lesbian, Gay,</w:t>
      </w:r>
      <w:r>
        <w:rPr>
          <w:spacing w:val="-1"/>
          <w:sz w:val="22"/>
        </w:rPr>
        <w:t> </w:t>
      </w:r>
      <w:r>
        <w:rPr>
          <w:sz w:val="22"/>
        </w:rPr>
        <w:t>Bisexual,</w:t>
      </w:r>
      <w:r>
        <w:rPr>
          <w:spacing w:val="-1"/>
          <w:sz w:val="22"/>
        </w:rPr>
        <w:t> </w:t>
      </w:r>
      <w:r>
        <w:rPr>
          <w:sz w:val="22"/>
        </w:rPr>
        <w:t>Transgender,</w:t>
      </w:r>
      <w:r>
        <w:rPr>
          <w:spacing w:val="-1"/>
          <w:sz w:val="22"/>
        </w:rPr>
        <w:t> </w:t>
      </w:r>
      <w:r>
        <w:rPr>
          <w:sz w:val="22"/>
        </w:rPr>
        <w:t>Queer, and Questioning Youth. (2024). </w:t>
      </w:r>
      <w:r>
        <w:rPr>
          <w:i/>
          <w:sz w:val="22"/>
        </w:rPr>
        <w:t>Massachusetts Commission on LGBTQ Youth: Report and Recommendations</w:t>
      </w:r>
      <w:r>
        <w:rPr>
          <w:i/>
          <w:sz w:val="22"/>
        </w:rPr>
        <w:t> for Fiscal Year 2025</w:t>
      </w:r>
      <w:r>
        <w:rPr>
          <w:sz w:val="22"/>
        </w:rPr>
        <w:t>. Retrieved from https://</w:t>
      </w:r>
      <w:hyperlink r:id="rId8">
        <w:r>
          <w:rPr>
            <w:sz w:val="22"/>
          </w:rPr>
          <w:t>www.mass.gov/annual-recommendations</w:t>
        </w:r>
      </w:hyperlink>
    </w:p>
    <w:p>
      <w:pPr>
        <w:pStyle w:val="BodyText"/>
        <w:spacing w:before="41"/>
      </w:pPr>
    </w:p>
    <w:p>
      <w:pPr>
        <w:spacing w:before="0"/>
        <w:ind w:left="119" w:right="0" w:firstLine="0"/>
        <w:jc w:val="both"/>
        <w:rPr>
          <w:b/>
          <w:sz w:val="22"/>
        </w:rPr>
      </w:pPr>
      <w:r>
        <w:rPr>
          <w:b/>
          <w:sz w:val="22"/>
        </w:rPr>
        <w:t>The</w:t>
      </w:r>
      <w:r>
        <w:rPr>
          <w:b/>
          <w:spacing w:val="-9"/>
          <w:sz w:val="22"/>
        </w:rPr>
        <w:t> </w:t>
      </w:r>
      <w:r>
        <w:rPr>
          <w:b/>
          <w:sz w:val="22"/>
        </w:rPr>
        <w:t>Commission</w:t>
      </w:r>
      <w:r>
        <w:rPr>
          <w:b/>
          <w:spacing w:val="-8"/>
          <w:sz w:val="22"/>
        </w:rPr>
        <w:t> </w:t>
      </w:r>
      <w:r>
        <w:rPr>
          <w:b/>
          <w:sz w:val="22"/>
        </w:rPr>
        <w:t>sincerely</w:t>
      </w:r>
      <w:r>
        <w:rPr>
          <w:b/>
          <w:spacing w:val="-6"/>
          <w:sz w:val="22"/>
        </w:rPr>
        <w:t> </w:t>
      </w:r>
      <w:r>
        <w:rPr>
          <w:b/>
          <w:sz w:val="22"/>
        </w:rPr>
        <w:t>thanks</w:t>
      </w:r>
      <w:r>
        <w:rPr>
          <w:b/>
          <w:spacing w:val="-7"/>
          <w:sz w:val="22"/>
        </w:rPr>
        <w:t> </w:t>
      </w:r>
      <w:r>
        <w:rPr>
          <w:b/>
          <w:sz w:val="22"/>
        </w:rPr>
        <w:t>the</w:t>
      </w:r>
      <w:r>
        <w:rPr>
          <w:b/>
          <w:spacing w:val="-9"/>
          <w:sz w:val="22"/>
        </w:rPr>
        <w:t> </w:t>
      </w:r>
      <w:r>
        <w:rPr>
          <w:b/>
          <w:sz w:val="22"/>
        </w:rPr>
        <w:t>contributions</w:t>
      </w:r>
      <w:r>
        <w:rPr>
          <w:b/>
          <w:spacing w:val="-7"/>
          <w:sz w:val="22"/>
        </w:rPr>
        <w:t> </w:t>
      </w:r>
      <w:r>
        <w:rPr>
          <w:b/>
          <w:sz w:val="22"/>
        </w:rPr>
        <w:t>of</w:t>
      </w:r>
      <w:r>
        <w:rPr>
          <w:b/>
          <w:spacing w:val="-8"/>
          <w:sz w:val="22"/>
        </w:rPr>
        <w:t> </w:t>
      </w:r>
      <w:r>
        <w:rPr>
          <w:b/>
          <w:sz w:val="22"/>
        </w:rPr>
        <w:t>its</w:t>
      </w:r>
      <w:r>
        <w:rPr>
          <w:b/>
          <w:spacing w:val="-9"/>
          <w:sz w:val="22"/>
        </w:rPr>
        <w:t> </w:t>
      </w:r>
      <w:r>
        <w:rPr>
          <w:b/>
          <w:sz w:val="22"/>
        </w:rPr>
        <w:t>staff,</w:t>
      </w:r>
      <w:r>
        <w:rPr>
          <w:b/>
          <w:spacing w:val="-8"/>
          <w:sz w:val="22"/>
        </w:rPr>
        <w:t> </w:t>
      </w:r>
      <w:r>
        <w:rPr>
          <w:b/>
          <w:sz w:val="22"/>
        </w:rPr>
        <w:t>members,</w:t>
      </w:r>
      <w:r>
        <w:rPr>
          <w:b/>
          <w:spacing w:val="-8"/>
          <w:sz w:val="22"/>
        </w:rPr>
        <w:t> </w:t>
      </w:r>
      <w:r>
        <w:rPr>
          <w:b/>
          <w:sz w:val="22"/>
        </w:rPr>
        <w:t>and</w:t>
      </w:r>
      <w:r>
        <w:rPr>
          <w:b/>
          <w:spacing w:val="-7"/>
          <w:sz w:val="22"/>
        </w:rPr>
        <w:t> </w:t>
      </w:r>
      <w:r>
        <w:rPr>
          <w:b/>
          <w:spacing w:val="-2"/>
          <w:sz w:val="22"/>
        </w:rPr>
        <w:t>consultants:</w:t>
      </w:r>
    </w:p>
    <w:p>
      <w:pPr>
        <w:pStyle w:val="BodyText"/>
        <w:spacing w:before="79"/>
        <w:rPr>
          <w:b/>
        </w:rPr>
      </w:pPr>
    </w:p>
    <w:p>
      <w:pPr>
        <w:pStyle w:val="BodyText"/>
        <w:ind w:left="119"/>
      </w:pPr>
      <w:r>
        <w:rPr/>
        <w:t>Shaplaie</w:t>
      </w:r>
      <w:r>
        <w:rPr>
          <w:spacing w:val="-9"/>
        </w:rPr>
        <w:t> </w:t>
      </w:r>
      <w:r>
        <w:rPr/>
        <w:t>Brooks,</w:t>
      </w:r>
      <w:r>
        <w:rPr>
          <w:spacing w:val="-9"/>
        </w:rPr>
        <w:t> </w:t>
      </w:r>
      <w:r>
        <w:rPr/>
        <w:t>Executive</w:t>
      </w:r>
      <w:r>
        <w:rPr>
          <w:spacing w:val="-9"/>
        </w:rPr>
        <w:t> </w:t>
      </w:r>
      <w:r>
        <w:rPr/>
        <w:t>Director</w:t>
      </w:r>
      <w:r>
        <w:rPr>
          <w:spacing w:val="-9"/>
        </w:rPr>
        <w:t> </w:t>
      </w:r>
      <w:r>
        <w:rPr/>
        <w:t>and</w:t>
      </w:r>
      <w:r>
        <w:rPr>
          <w:spacing w:val="-9"/>
        </w:rPr>
        <w:t> </w:t>
      </w:r>
      <w:r>
        <w:rPr/>
        <w:t>lead</w:t>
      </w:r>
      <w:r>
        <w:rPr>
          <w:spacing w:val="-9"/>
        </w:rPr>
        <w:t> </w:t>
      </w:r>
      <w:r>
        <w:rPr/>
        <w:t>co-</w:t>
      </w:r>
      <w:r>
        <w:rPr>
          <w:spacing w:val="-2"/>
        </w:rPr>
        <w:t>editor</w:t>
      </w:r>
    </w:p>
    <w:p>
      <w:pPr>
        <w:pStyle w:val="BodyText"/>
        <w:spacing w:line="276" w:lineRule="auto" w:before="42"/>
        <w:ind w:left="119"/>
      </w:pPr>
      <w:r>
        <w:rPr/>
        <w:t>Rayna</w:t>
      </w:r>
      <w:r>
        <w:rPr>
          <w:spacing w:val="-5"/>
        </w:rPr>
        <w:t> </w:t>
      </w:r>
      <w:r>
        <w:rPr/>
        <w:t>Hill,</w:t>
      </w:r>
      <w:r>
        <w:rPr>
          <w:spacing w:val="-5"/>
        </w:rPr>
        <w:t> </w:t>
      </w:r>
      <w:r>
        <w:rPr/>
        <w:t>Legislative</w:t>
      </w:r>
      <w:r>
        <w:rPr>
          <w:spacing w:val="-6"/>
        </w:rPr>
        <w:t> </w:t>
      </w:r>
      <w:r>
        <w:rPr/>
        <w:t>&amp;</w:t>
      </w:r>
      <w:r>
        <w:rPr>
          <w:spacing w:val="-5"/>
        </w:rPr>
        <w:t> </w:t>
      </w:r>
      <w:r>
        <w:rPr/>
        <w:t>Policy</w:t>
      </w:r>
      <w:r>
        <w:rPr>
          <w:spacing w:val="-5"/>
        </w:rPr>
        <w:t> </w:t>
      </w:r>
      <w:r>
        <w:rPr/>
        <w:t>Manager,</w:t>
      </w:r>
      <w:r>
        <w:rPr>
          <w:spacing w:val="-5"/>
        </w:rPr>
        <w:t> </w:t>
      </w:r>
      <w:r>
        <w:rPr/>
        <w:t>lead</w:t>
      </w:r>
      <w:r>
        <w:rPr>
          <w:spacing w:val="-5"/>
        </w:rPr>
        <w:t> </w:t>
      </w:r>
      <w:r>
        <w:rPr/>
        <w:t>co-editor</w:t>
      </w:r>
      <w:r>
        <w:rPr>
          <w:spacing w:val="-5"/>
        </w:rPr>
        <w:t> </w:t>
      </w:r>
      <w:r>
        <w:rPr/>
        <w:t>and</w:t>
      </w:r>
      <w:r>
        <w:rPr>
          <w:spacing w:val="-6"/>
        </w:rPr>
        <w:t> </w:t>
      </w:r>
      <w:r>
        <w:rPr/>
        <w:t>author</w:t>
      </w:r>
      <w:r>
        <w:rPr>
          <w:spacing w:val="-5"/>
        </w:rPr>
        <w:t> </w:t>
      </w:r>
      <w:r>
        <w:rPr/>
        <w:t>of</w:t>
      </w:r>
      <w:r>
        <w:rPr>
          <w:spacing w:val="-5"/>
        </w:rPr>
        <w:t> </w:t>
      </w:r>
      <w:r>
        <w:rPr/>
        <w:t>‘Eliminating</w:t>
      </w:r>
      <w:r>
        <w:rPr>
          <w:spacing w:val="-6"/>
        </w:rPr>
        <w:t> </w:t>
      </w:r>
      <w:r>
        <w:rPr/>
        <w:t>Barriers</w:t>
      </w:r>
      <w:r>
        <w:rPr>
          <w:spacing w:val="-5"/>
        </w:rPr>
        <w:t> </w:t>
      </w:r>
      <w:r>
        <w:rPr/>
        <w:t>to</w:t>
      </w:r>
      <w:r>
        <w:rPr>
          <w:spacing w:val="-5"/>
        </w:rPr>
        <w:t> </w:t>
      </w:r>
      <w:r>
        <w:rPr/>
        <w:t>Service’</w:t>
      </w:r>
      <w:r>
        <w:rPr>
          <w:spacing w:val="-5"/>
        </w:rPr>
        <w:t> </w:t>
      </w:r>
      <w:r>
        <w:rPr/>
        <w:t>and agency recommendations</w:t>
      </w:r>
    </w:p>
    <w:p>
      <w:pPr>
        <w:pStyle w:val="BodyText"/>
        <w:spacing w:line="276" w:lineRule="auto"/>
        <w:ind w:left="119" w:right="620"/>
      </w:pPr>
      <w:r>
        <w:rPr/>
        <w:t>Craig</w:t>
      </w:r>
      <w:r>
        <w:rPr>
          <w:spacing w:val="-4"/>
        </w:rPr>
        <w:t> </w:t>
      </w:r>
      <w:r>
        <w:rPr/>
        <w:t>Martin</w:t>
      </w:r>
      <w:r>
        <w:rPr>
          <w:spacing w:val="-3"/>
        </w:rPr>
        <w:t> </w:t>
      </w:r>
      <w:r>
        <w:rPr/>
        <w:t>and</w:t>
      </w:r>
      <w:r>
        <w:rPr>
          <w:spacing w:val="-4"/>
        </w:rPr>
        <w:t> </w:t>
      </w:r>
      <w:r>
        <w:rPr/>
        <w:t>Noemi</w:t>
      </w:r>
      <w:r>
        <w:rPr>
          <w:spacing w:val="-3"/>
        </w:rPr>
        <w:t> </w:t>
      </w:r>
      <w:r>
        <w:rPr/>
        <w:t>Uribe,</w:t>
      </w:r>
      <w:r>
        <w:rPr>
          <w:spacing w:val="-4"/>
        </w:rPr>
        <w:t> </w:t>
      </w:r>
      <w:r>
        <w:rPr/>
        <w:t>Commission</w:t>
      </w:r>
      <w:r>
        <w:rPr>
          <w:spacing w:val="-4"/>
        </w:rPr>
        <w:t> </w:t>
      </w:r>
      <w:r>
        <w:rPr/>
        <w:t>Co-Chairs</w:t>
      </w:r>
      <w:r>
        <w:rPr>
          <w:spacing w:val="-4"/>
        </w:rPr>
        <w:t> </w:t>
      </w:r>
      <w:r>
        <w:rPr/>
        <w:t>and</w:t>
      </w:r>
      <w:r>
        <w:rPr>
          <w:spacing w:val="-3"/>
        </w:rPr>
        <w:t> </w:t>
      </w:r>
      <w:r>
        <w:rPr/>
        <w:t>co-authors</w:t>
      </w:r>
      <w:r>
        <w:rPr>
          <w:spacing w:val="-4"/>
        </w:rPr>
        <w:t> </w:t>
      </w:r>
      <w:r>
        <w:rPr/>
        <w:t>of</w:t>
      </w:r>
      <w:r>
        <w:rPr>
          <w:spacing w:val="-4"/>
        </w:rPr>
        <w:t> </w:t>
      </w:r>
      <w:r>
        <w:rPr/>
        <w:t>the</w:t>
      </w:r>
      <w:r>
        <w:rPr>
          <w:spacing w:val="-4"/>
        </w:rPr>
        <w:t> </w:t>
      </w:r>
      <w:r>
        <w:rPr/>
        <w:t>Introduction</w:t>
      </w:r>
      <w:r>
        <w:rPr>
          <w:spacing w:val="-3"/>
        </w:rPr>
        <w:t> </w:t>
      </w:r>
      <w:r>
        <w:rPr/>
        <w:t>Letter Joan Halford, lead researcher and author of “Protecting LGBTQ Child Welfare &amp; Well-Being”</w:t>
      </w:r>
    </w:p>
    <w:p>
      <w:pPr>
        <w:pStyle w:val="BodyText"/>
        <w:spacing w:line="276" w:lineRule="auto"/>
        <w:ind w:left="119"/>
      </w:pPr>
      <w:r>
        <w:rPr/>
        <w:t>Jason</w:t>
      </w:r>
      <w:r>
        <w:rPr>
          <w:spacing w:val="72"/>
        </w:rPr>
        <w:t> </w:t>
      </w:r>
      <w:r>
        <w:rPr/>
        <w:t>Wheeler,</w:t>
      </w:r>
      <w:r>
        <w:rPr>
          <w:spacing w:val="73"/>
        </w:rPr>
        <w:t> </w:t>
      </w:r>
      <w:r>
        <w:rPr/>
        <w:t>Safe</w:t>
      </w:r>
      <w:r>
        <w:rPr>
          <w:spacing w:val="72"/>
        </w:rPr>
        <w:t> </w:t>
      </w:r>
      <w:r>
        <w:rPr/>
        <w:t>Schools</w:t>
      </w:r>
      <w:r>
        <w:rPr>
          <w:spacing w:val="73"/>
        </w:rPr>
        <w:t> </w:t>
      </w:r>
      <w:r>
        <w:rPr/>
        <w:t>Director,</w:t>
      </w:r>
      <w:r>
        <w:rPr>
          <w:spacing w:val="73"/>
        </w:rPr>
        <w:t> </w:t>
      </w:r>
      <w:r>
        <w:rPr/>
        <w:t>lead</w:t>
      </w:r>
      <w:r>
        <w:rPr>
          <w:spacing w:val="72"/>
        </w:rPr>
        <w:t> </w:t>
      </w:r>
      <w:r>
        <w:rPr/>
        <w:t>author</w:t>
      </w:r>
      <w:r>
        <w:rPr>
          <w:spacing w:val="73"/>
        </w:rPr>
        <w:t> </w:t>
      </w:r>
      <w:r>
        <w:rPr/>
        <w:t>of</w:t>
      </w:r>
      <w:r>
        <w:rPr>
          <w:spacing w:val="73"/>
        </w:rPr>
        <w:t> </w:t>
      </w:r>
      <w:r>
        <w:rPr/>
        <w:t>“Uplifting</w:t>
      </w:r>
      <w:r>
        <w:rPr>
          <w:spacing w:val="72"/>
        </w:rPr>
        <w:t> </w:t>
      </w:r>
      <w:r>
        <w:rPr/>
        <w:t>Education”</w:t>
      </w:r>
      <w:r>
        <w:rPr>
          <w:spacing w:val="73"/>
        </w:rPr>
        <w:t> </w:t>
      </w:r>
      <w:r>
        <w:rPr/>
        <w:t>&amp;</w:t>
      </w:r>
      <w:r>
        <w:rPr>
          <w:spacing w:val="73"/>
        </w:rPr>
        <w:t> </w:t>
      </w:r>
      <w:r>
        <w:rPr/>
        <w:t>education</w:t>
      </w:r>
      <w:r>
        <w:rPr>
          <w:spacing w:val="72"/>
        </w:rPr>
        <w:t> </w:t>
      </w:r>
      <w:r>
        <w:rPr/>
        <w:t>agency </w:t>
      </w:r>
      <w:r>
        <w:rPr>
          <w:spacing w:val="-2"/>
        </w:rPr>
        <w:t>recommendations</w:t>
      </w:r>
    </w:p>
    <w:p>
      <w:pPr>
        <w:pStyle w:val="BodyText"/>
        <w:spacing w:line="276" w:lineRule="auto"/>
        <w:ind w:left="119" w:right="2376"/>
      </w:pPr>
      <w:r>
        <w:rPr/>
        <w:t>Karina</w:t>
      </w:r>
      <w:r>
        <w:rPr>
          <w:spacing w:val="-6"/>
        </w:rPr>
        <w:t> </w:t>
      </w:r>
      <w:r>
        <w:rPr/>
        <w:t>Sumano,</w:t>
      </w:r>
      <w:r>
        <w:rPr>
          <w:spacing w:val="-6"/>
        </w:rPr>
        <w:t> </w:t>
      </w:r>
      <w:r>
        <w:rPr/>
        <w:t>author</w:t>
      </w:r>
      <w:r>
        <w:rPr>
          <w:spacing w:val="-6"/>
        </w:rPr>
        <w:t> </w:t>
      </w:r>
      <w:r>
        <w:rPr/>
        <w:t>of</w:t>
      </w:r>
      <w:r>
        <w:rPr>
          <w:spacing w:val="-5"/>
        </w:rPr>
        <w:t> </w:t>
      </w:r>
      <w:r>
        <w:rPr/>
        <w:t>“Broadening</w:t>
      </w:r>
      <w:r>
        <w:rPr>
          <w:spacing w:val="-5"/>
        </w:rPr>
        <w:t> </w:t>
      </w:r>
      <w:r>
        <w:rPr/>
        <w:t>Pregnancy</w:t>
      </w:r>
      <w:r>
        <w:rPr>
          <w:spacing w:val="-5"/>
        </w:rPr>
        <w:t> </w:t>
      </w:r>
      <w:r>
        <w:rPr/>
        <w:t>&amp;</w:t>
      </w:r>
      <w:r>
        <w:rPr>
          <w:spacing w:val="-5"/>
        </w:rPr>
        <w:t> </w:t>
      </w:r>
      <w:r>
        <w:rPr/>
        <w:t>Gynecological</w:t>
      </w:r>
      <w:r>
        <w:rPr>
          <w:spacing w:val="-6"/>
        </w:rPr>
        <w:t> </w:t>
      </w:r>
      <w:r>
        <w:rPr/>
        <w:t>Health” Sarah Prager, author of “Improving Sexual Health”</w:t>
      </w:r>
    </w:p>
    <w:p>
      <w:pPr>
        <w:pStyle w:val="BodyText"/>
        <w:spacing w:line="276" w:lineRule="auto"/>
        <w:ind w:left="119" w:right="3850"/>
      </w:pPr>
      <w:r>
        <w:rPr/>
        <w:t>Dallas Ducar, author of “Addressing Pediatric Health” Alexandra</w:t>
      </w:r>
      <w:r>
        <w:rPr>
          <w:spacing w:val="-6"/>
        </w:rPr>
        <w:t> </w:t>
      </w:r>
      <w:r>
        <w:rPr/>
        <w:t>Gago,</w:t>
      </w:r>
      <w:r>
        <w:rPr>
          <w:spacing w:val="-8"/>
        </w:rPr>
        <w:t> </w:t>
      </w:r>
      <w:r>
        <w:rPr/>
        <w:t>author</w:t>
      </w:r>
      <w:r>
        <w:rPr>
          <w:spacing w:val="-8"/>
        </w:rPr>
        <w:t> </w:t>
      </w:r>
      <w:r>
        <w:rPr/>
        <w:t>of</w:t>
      </w:r>
      <w:r>
        <w:rPr>
          <w:spacing w:val="-7"/>
        </w:rPr>
        <w:t> </w:t>
      </w:r>
      <w:r>
        <w:rPr/>
        <w:t>“Destigmatizing</w:t>
      </w:r>
      <w:r>
        <w:rPr>
          <w:spacing w:val="-8"/>
        </w:rPr>
        <w:t> </w:t>
      </w:r>
      <w:r>
        <w:rPr/>
        <w:t>Public</w:t>
      </w:r>
      <w:r>
        <w:rPr>
          <w:spacing w:val="-7"/>
        </w:rPr>
        <w:t> </w:t>
      </w:r>
      <w:r>
        <w:rPr/>
        <w:t>Health”</w:t>
      </w:r>
    </w:p>
    <w:p>
      <w:pPr>
        <w:pStyle w:val="BodyText"/>
        <w:spacing w:line="276" w:lineRule="auto"/>
        <w:ind w:left="119" w:right="3159"/>
      </w:pPr>
      <w:r>
        <w:rPr/>
        <w:t>Max</w:t>
      </w:r>
      <w:r>
        <w:rPr>
          <w:spacing w:val="-5"/>
        </w:rPr>
        <w:t> </w:t>
      </w:r>
      <w:r>
        <w:rPr/>
        <w:t>Tang,</w:t>
      </w:r>
      <w:r>
        <w:rPr>
          <w:spacing w:val="-3"/>
        </w:rPr>
        <w:t> </w:t>
      </w:r>
      <w:r>
        <w:rPr/>
        <w:t>Social</w:t>
      </w:r>
      <w:r>
        <w:rPr>
          <w:spacing w:val="-5"/>
        </w:rPr>
        <w:t> </w:t>
      </w:r>
      <w:r>
        <w:rPr/>
        <w:t>Work</w:t>
      </w:r>
      <w:r>
        <w:rPr>
          <w:spacing w:val="-4"/>
        </w:rPr>
        <w:t> </w:t>
      </w:r>
      <w:r>
        <w:rPr/>
        <w:t>Fellow,</w:t>
      </w:r>
      <w:r>
        <w:rPr>
          <w:spacing w:val="-5"/>
        </w:rPr>
        <w:t> </w:t>
      </w:r>
      <w:r>
        <w:rPr/>
        <w:t>author</w:t>
      </w:r>
      <w:r>
        <w:rPr>
          <w:spacing w:val="-5"/>
        </w:rPr>
        <w:t> </w:t>
      </w:r>
      <w:r>
        <w:rPr/>
        <w:t>of</w:t>
      </w:r>
      <w:r>
        <w:rPr>
          <w:spacing w:val="-5"/>
        </w:rPr>
        <w:t> </w:t>
      </w:r>
      <w:r>
        <w:rPr/>
        <w:t>“Supporting</w:t>
      </w:r>
      <w:r>
        <w:rPr>
          <w:spacing w:val="-4"/>
        </w:rPr>
        <w:t> </w:t>
      </w:r>
      <w:r>
        <w:rPr/>
        <w:t>Mental</w:t>
      </w:r>
      <w:r>
        <w:rPr>
          <w:spacing w:val="-5"/>
        </w:rPr>
        <w:t> </w:t>
      </w:r>
      <w:r>
        <w:rPr/>
        <w:t>Health” Sean Hanwell, author of “Homelessness &amp; Housing Instability” Kimberly Rhoten, author of “Advancing Justice”</w:t>
      </w:r>
    </w:p>
    <w:p>
      <w:pPr>
        <w:pStyle w:val="BodyText"/>
        <w:spacing w:line="276" w:lineRule="auto"/>
        <w:ind w:left="119" w:right="3627"/>
      </w:pPr>
      <w:r>
        <w:rPr/>
        <w:t>Karina</w:t>
      </w:r>
      <w:r>
        <w:rPr>
          <w:spacing w:val="-6"/>
        </w:rPr>
        <w:t> </w:t>
      </w:r>
      <w:r>
        <w:rPr/>
        <w:t>Zeferino,</w:t>
      </w:r>
      <w:r>
        <w:rPr>
          <w:spacing w:val="-6"/>
        </w:rPr>
        <w:t> </w:t>
      </w:r>
      <w:r>
        <w:rPr/>
        <w:t>author</w:t>
      </w:r>
      <w:r>
        <w:rPr>
          <w:spacing w:val="-6"/>
        </w:rPr>
        <w:t> </w:t>
      </w:r>
      <w:r>
        <w:rPr/>
        <w:t>of</w:t>
      </w:r>
      <w:r>
        <w:rPr>
          <w:spacing w:val="-5"/>
        </w:rPr>
        <w:t> </w:t>
      </w:r>
      <w:r>
        <w:rPr/>
        <w:t>“Expanding</w:t>
      </w:r>
      <w:r>
        <w:rPr>
          <w:spacing w:val="-5"/>
        </w:rPr>
        <w:t> </w:t>
      </w:r>
      <w:r>
        <w:rPr/>
        <w:t>Inclusive</w:t>
      </w:r>
      <w:r>
        <w:rPr>
          <w:spacing w:val="-5"/>
        </w:rPr>
        <w:t> </w:t>
      </w:r>
      <w:r>
        <w:rPr/>
        <w:t>Service</w:t>
      </w:r>
      <w:r>
        <w:rPr>
          <w:spacing w:val="-6"/>
        </w:rPr>
        <w:t> </w:t>
      </w:r>
      <w:r>
        <w:rPr/>
        <w:t>Provision” Leija Helling, author of “Understanding Environmental Justice”</w:t>
      </w:r>
      <w:r>
        <w:rPr>
          <w:spacing w:val="40"/>
        </w:rPr>
        <w:t> </w:t>
      </w:r>
      <w:r>
        <w:rPr/>
        <w:t>Ivy Stanton, author of “Examining Economic Justice”</w:t>
      </w:r>
    </w:p>
    <w:p>
      <w:pPr>
        <w:pStyle w:val="BodyText"/>
        <w:spacing w:line="276" w:lineRule="auto"/>
        <w:ind w:left="119"/>
      </w:pPr>
      <w:r>
        <w:rPr/>
        <w:t>Alia</w:t>
      </w:r>
      <w:r>
        <w:rPr>
          <w:spacing w:val="26"/>
        </w:rPr>
        <w:t> </w:t>
      </w:r>
      <w:r>
        <w:rPr/>
        <w:t>Cusolito,</w:t>
      </w:r>
      <w:r>
        <w:rPr>
          <w:spacing w:val="26"/>
        </w:rPr>
        <w:t> </w:t>
      </w:r>
      <w:r>
        <w:rPr/>
        <w:t>Apollo</w:t>
      </w:r>
      <w:r>
        <w:rPr>
          <w:spacing w:val="26"/>
        </w:rPr>
        <w:t> </w:t>
      </w:r>
      <w:r>
        <w:rPr/>
        <w:t>Correia,</w:t>
      </w:r>
      <w:r>
        <w:rPr>
          <w:spacing w:val="26"/>
        </w:rPr>
        <w:t> </w:t>
      </w:r>
      <w:r>
        <w:rPr/>
        <w:t>Avery</w:t>
      </w:r>
      <w:r>
        <w:rPr>
          <w:spacing w:val="26"/>
        </w:rPr>
        <w:t> </w:t>
      </w:r>
      <w:r>
        <w:rPr/>
        <w:t>Barry,</w:t>
      </w:r>
      <w:r>
        <w:rPr>
          <w:spacing w:val="26"/>
        </w:rPr>
        <w:t> </w:t>
      </w:r>
      <w:r>
        <w:rPr/>
        <w:t>Gabriel</w:t>
      </w:r>
      <w:r>
        <w:rPr>
          <w:spacing w:val="26"/>
        </w:rPr>
        <w:t> </w:t>
      </w:r>
      <w:r>
        <w:rPr/>
        <w:t>Rivas</w:t>
      </w:r>
      <w:r>
        <w:rPr>
          <w:spacing w:val="26"/>
        </w:rPr>
        <w:t> </w:t>
      </w:r>
      <w:r>
        <w:rPr/>
        <w:t>Orellana,</w:t>
      </w:r>
      <w:r>
        <w:rPr>
          <w:spacing w:val="26"/>
        </w:rPr>
        <w:t> </w:t>
      </w:r>
      <w:r>
        <w:rPr/>
        <w:t>Jana</w:t>
      </w:r>
      <w:r>
        <w:rPr>
          <w:spacing w:val="26"/>
        </w:rPr>
        <w:t> </w:t>
      </w:r>
      <w:r>
        <w:rPr/>
        <w:t>Williams,</w:t>
      </w:r>
      <w:r>
        <w:rPr>
          <w:spacing w:val="26"/>
        </w:rPr>
        <w:t> </w:t>
      </w:r>
      <w:r>
        <w:rPr/>
        <w:t>Xóchitl</w:t>
      </w:r>
      <w:r>
        <w:rPr>
          <w:spacing w:val="27"/>
        </w:rPr>
        <w:t> </w:t>
      </w:r>
      <w:r>
        <w:rPr/>
        <w:t>Aguirre,</w:t>
      </w:r>
      <w:r>
        <w:rPr>
          <w:spacing w:val="26"/>
        </w:rPr>
        <w:t> </w:t>
      </w:r>
      <w:r>
        <w:rPr/>
        <w:t>Zach Steward, editors</w:t>
      </w:r>
    </w:p>
    <w:p>
      <w:pPr>
        <w:pStyle w:val="BodyText"/>
        <w:spacing w:line="268" w:lineRule="exact"/>
        <w:ind w:left="119"/>
      </w:pPr>
      <w:r>
        <w:rPr/>
        <w:t>Brenda</w:t>
      </w:r>
      <w:r>
        <w:rPr>
          <w:spacing w:val="-10"/>
        </w:rPr>
        <w:t> </w:t>
      </w:r>
      <w:r>
        <w:rPr/>
        <w:t>Gonzalez,</w:t>
      </w:r>
      <w:r>
        <w:rPr>
          <w:spacing w:val="-9"/>
        </w:rPr>
        <w:t> </w:t>
      </w:r>
      <w:r>
        <w:rPr/>
        <w:t>Gianna</w:t>
      </w:r>
      <w:r>
        <w:rPr>
          <w:spacing w:val="-8"/>
        </w:rPr>
        <w:t> </w:t>
      </w:r>
      <w:r>
        <w:rPr/>
        <w:t>Medeiros,</w:t>
      </w:r>
      <w:r>
        <w:rPr>
          <w:spacing w:val="-9"/>
        </w:rPr>
        <w:t> </w:t>
      </w:r>
      <w:r>
        <w:rPr/>
        <w:t>Megan</w:t>
      </w:r>
      <w:r>
        <w:rPr>
          <w:spacing w:val="-9"/>
        </w:rPr>
        <w:t> </w:t>
      </w:r>
      <w:r>
        <w:rPr/>
        <w:t>Sutherland,</w:t>
      </w:r>
      <w:r>
        <w:rPr>
          <w:spacing w:val="-10"/>
        </w:rPr>
        <w:t> </w:t>
      </w:r>
      <w:r>
        <w:rPr/>
        <w:t>Theo</w:t>
      </w:r>
      <w:r>
        <w:rPr>
          <w:spacing w:val="-8"/>
        </w:rPr>
        <w:t> </w:t>
      </w:r>
      <w:r>
        <w:rPr/>
        <w:t>Zhang,</w:t>
      </w:r>
      <w:r>
        <w:rPr>
          <w:spacing w:val="-9"/>
        </w:rPr>
        <w:t> </w:t>
      </w:r>
      <w:r>
        <w:rPr/>
        <w:t>editors</w:t>
      </w:r>
      <w:r>
        <w:rPr>
          <w:spacing w:val="-10"/>
        </w:rPr>
        <w:t> </w:t>
      </w:r>
      <w:r>
        <w:rPr/>
        <w:t>&amp;</w:t>
      </w:r>
      <w:r>
        <w:rPr>
          <w:spacing w:val="-9"/>
        </w:rPr>
        <w:t> </w:t>
      </w:r>
      <w:r>
        <w:rPr/>
        <w:t>graphic</w:t>
      </w:r>
      <w:r>
        <w:rPr>
          <w:spacing w:val="-8"/>
        </w:rPr>
        <w:t> </w:t>
      </w:r>
      <w:r>
        <w:rPr>
          <w:spacing w:val="-2"/>
        </w:rPr>
        <w:t>design</w:t>
      </w:r>
    </w:p>
    <w:p>
      <w:pPr>
        <w:pStyle w:val="BodyText"/>
        <w:spacing w:before="80"/>
      </w:pPr>
    </w:p>
    <w:p>
      <w:pPr>
        <w:pStyle w:val="BodyText"/>
        <w:ind w:left="119"/>
      </w:pPr>
      <w:r>
        <w:rPr>
          <w:b/>
        </w:rPr>
        <w:t>Acknowledgments:</w:t>
      </w:r>
      <w:r>
        <w:rPr>
          <w:b/>
          <w:spacing w:val="26"/>
        </w:rPr>
        <w:t> </w:t>
      </w:r>
      <w:r>
        <w:rPr/>
        <w:t>The</w:t>
      </w:r>
      <w:r>
        <w:rPr>
          <w:spacing w:val="24"/>
        </w:rPr>
        <w:t> </w:t>
      </w:r>
      <w:r>
        <w:rPr/>
        <w:t>authors</w:t>
      </w:r>
      <w:r>
        <w:rPr>
          <w:spacing w:val="24"/>
        </w:rPr>
        <w:t> </w:t>
      </w:r>
      <w:r>
        <w:rPr/>
        <w:t>thank</w:t>
      </w:r>
      <w:r>
        <w:rPr>
          <w:spacing w:val="25"/>
        </w:rPr>
        <w:t> </w:t>
      </w:r>
      <w:r>
        <w:rPr/>
        <w:t>the</w:t>
      </w:r>
      <w:r>
        <w:rPr>
          <w:spacing w:val="24"/>
        </w:rPr>
        <w:t> </w:t>
      </w:r>
      <w:r>
        <w:rPr/>
        <w:t>Commission</w:t>
      </w:r>
      <w:r>
        <w:rPr>
          <w:spacing w:val="24"/>
        </w:rPr>
        <w:t> </w:t>
      </w:r>
      <w:r>
        <w:rPr/>
        <w:t>members,</w:t>
      </w:r>
      <w:r>
        <w:rPr>
          <w:spacing w:val="24"/>
        </w:rPr>
        <w:t> </w:t>
      </w:r>
      <w:r>
        <w:rPr/>
        <w:t>youth,</w:t>
      </w:r>
      <w:r>
        <w:rPr>
          <w:spacing w:val="24"/>
        </w:rPr>
        <w:t> </w:t>
      </w:r>
      <w:r>
        <w:rPr/>
        <w:t>consultants,</w:t>
      </w:r>
      <w:r>
        <w:rPr>
          <w:spacing w:val="24"/>
        </w:rPr>
        <w:t> </w:t>
      </w:r>
      <w:r>
        <w:rPr/>
        <w:t>agency</w:t>
      </w:r>
      <w:r>
        <w:rPr>
          <w:spacing w:val="24"/>
        </w:rPr>
        <w:t> </w:t>
      </w:r>
      <w:r>
        <w:rPr/>
        <w:t>liaisons, community</w:t>
      </w:r>
      <w:r>
        <w:rPr>
          <w:spacing w:val="-10"/>
        </w:rPr>
        <w:t> </w:t>
      </w:r>
      <w:r>
        <w:rPr/>
        <w:t>partners,</w:t>
      </w:r>
      <w:r>
        <w:rPr>
          <w:spacing w:val="-11"/>
        </w:rPr>
        <w:t> </w:t>
      </w:r>
      <w:r>
        <w:rPr/>
        <w:t>and</w:t>
      </w:r>
      <w:r>
        <w:rPr>
          <w:spacing w:val="-10"/>
        </w:rPr>
        <w:t> </w:t>
      </w:r>
      <w:r>
        <w:rPr/>
        <w:t>others</w:t>
      </w:r>
      <w:r>
        <w:rPr>
          <w:spacing w:val="-11"/>
        </w:rPr>
        <w:t> </w:t>
      </w:r>
      <w:r>
        <w:rPr/>
        <w:t>who</w:t>
      </w:r>
      <w:r>
        <w:rPr>
          <w:spacing w:val="-11"/>
        </w:rPr>
        <w:t> </w:t>
      </w:r>
      <w:r>
        <w:rPr/>
        <w:t>offered</w:t>
      </w:r>
      <w:r>
        <w:rPr>
          <w:spacing w:val="-12"/>
        </w:rPr>
        <w:t> </w:t>
      </w:r>
      <w:r>
        <w:rPr/>
        <w:t>their</w:t>
      </w:r>
      <w:r>
        <w:rPr>
          <w:spacing w:val="-10"/>
        </w:rPr>
        <w:t> </w:t>
      </w:r>
      <w:r>
        <w:rPr/>
        <w:t>feedback</w:t>
      </w:r>
      <w:r>
        <w:rPr>
          <w:spacing w:val="-12"/>
        </w:rPr>
        <w:t> </w:t>
      </w:r>
      <w:r>
        <w:rPr/>
        <w:t>and</w:t>
      </w:r>
      <w:r>
        <w:rPr>
          <w:spacing w:val="-9"/>
        </w:rPr>
        <w:t> </w:t>
      </w:r>
      <w:r>
        <w:rPr/>
        <w:t>opinions</w:t>
      </w:r>
      <w:r>
        <w:rPr>
          <w:spacing w:val="-11"/>
        </w:rPr>
        <w:t> </w:t>
      </w:r>
      <w:r>
        <w:rPr/>
        <w:t>that</w:t>
      </w:r>
      <w:r>
        <w:rPr>
          <w:spacing w:val="-11"/>
        </w:rPr>
        <w:t> </w:t>
      </w:r>
      <w:r>
        <w:rPr/>
        <w:t>contributed</w:t>
      </w:r>
      <w:r>
        <w:rPr>
          <w:spacing w:val="-12"/>
        </w:rPr>
        <w:t> </w:t>
      </w:r>
      <w:r>
        <w:rPr/>
        <w:t>to</w:t>
      </w:r>
      <w:r>
        <w:rPr>
          <w:spacing w:val="-10"/>
        </w:rPr>
        <w:t> </w:t>
      </w:r>
      <w:r>
        <w:rPr/>
        <w:t>this</w:t>
      </w:r>
      <w:r>
        <w:rPr>
          <w:spacing w:val="-11"/>
        </w:rPr>
        <w:t> </w:t>
      </w:r>
      <w:r>
        <w:rPr>
          <w:spacing w:val="-2"/>
        </w:rPr>
        <w:t>report.</w:t>
      </w:r>
    </w:p>
    <w:p>
      <w:pPr>
        <w:pStyle w:val="BodyText"/>
        <w:spacing w:before="40"/>
      </w:pPr>
    </w:p>
    <w:p>
      <w:pPr>
        <w:pStyle w:val="BodyText"/>
        <w:spacing w:line="276" w:lineRule="auto"/>
        <w:ind w:left="119" w:right="116"/>
        <w:jc w:val="both"/>
      </w:pPr>
      <w:r>
        <w:rPr>
          <w:b/>
        </w:rPr>
        <w:t>About Us: </w:t>
      </w:r>
      <w:r>
        <w:rPr/>
        <w:t>The Massachusetts Commission on Lesbian, Gay, Bisexual, Transgender, Queer, and Questioning (LGBTQ) Youth is established by law as an independent agency of the Commonwealth to recommend to all branches of state government effective policies, programs, and resources for LGBTQ youth to thrive. Per its legislative authority, the Commission works closely with the agencies to which it issues</w:t>
      </w:r>
      <w:r>
        <w:rPr>
          <w:spacing w:val="-10"/>
        </w:rPr>
        <w:t> </w:t>
      </w:r>
      <w:r>
        <w:rPr/>
        <w:t>non-binding</w:t>
      </w:r>
      <w:r>
        <w:rPr>
          <w:spacing w:val="-9"/>
        </w:rPr>
        <w:t> </w:t>
      </w:r>
      <w:r>
        <w:rPr/>
        <w:t>recommendations</w:t>
      </w:r>
      <w:r>
        <w:rPr>
          <w:spacing w:val="-10"/>
        </w:rPr>
        <w:t> </w:t>
      </w:r>
      <w:r>
        <w:rPr/>
        <w:t>to</w:t>
      </w:r>
      <w:r>
        <w:rPr>
          <w:spacing w:val="-10"/>
        </w:rPr>
        <w:t> </w:t>
      </w:r>
      <w:r>
        <w:rPr/>
        <w:t>receive</w:t>
      </w:r>
      <w:r>
        <w:rPr>
          <w:spacing w:val="-9"/>
        </w:rPr>
        <w:t> </w:t>
      </w:r>
      <w:r>
        <w:rPr/>
        <w:t>their</w:t>
      </w:r>
      <w:r>
        <w:rPr>
          <w:spacing w:val="-10"/>
        </w:rPr>
        <w:t> </w:t>
      </w:r>
      <w:r>
        <w:rPr/>
        <w:t>input</w:t>
      </w:r>
      <w:r>
        <w:rPr>
          <w:spacing w:val="-9"/>
        </w:rPr>
        <w:t> </w:t>
      </w:r>
      <w:r>
        <w:rPr/>
        <w:t>and</w:t>
      </w:r>
      <w:r>
        <w:rPr>
          <w:spacing w:val="-9"/>
        </w:rPr>
        <w:t> </w:t>
      </w:r>
      <w:r>
        <w:rPr/>
        <w:t>assist</w:t>
      </w:r>
      <w:r>
        <w:rPr>
          <w:spacing w:val="-11"/>
        </w:rPr>
        <w:t> </w:t>
      </w:r>
      <w:r>
        <w:rPr/>
        <w:t>them</w:t>
      </w:r>
      <w:r>
        <w:rPr>
          <w:spacing w:val="-9"/>
        </w:rPr>
        <w:t> </w:t>
      </w:r>
      <w:r>
        <w:rPr/>
        <w:t>in</w:t>
      </w:r>
      <w:r>
        <w:rPr>
          <w:spacing w:val="-10"/>
        </w:rPr>
        <w:t> </w:t>
      </w:r>
      <w:r>
        <w:rPr/>
        <w:t>achieving</w:t>
      </w:r>
      <w:r>
        <w:rPr>
          <w:spacing w:val="-9"/>
        </w:rPr>
        <w:t> </w:t>
      </w:r>
      <w:r>
        <w:rPr/>
        <w:t>the</w:t>
      </w:r>
      <w:r>
        <w:rPr>
          <w:spacing w:val="-9"/>
        </w:rPr>
        <w:t> </w:t>
      </w:r>
      <w:r>
        <w:rPr/>
        <w:t>goals</w:t>
      </w:r>
      <w:r>
        <w:rPr>
          <w:spacing w:val="-10"/>
        </w:rPr>
        <w:t> </w:t>
      </w:r>
      <w:r>
        <w:rPr/>
        <w:t>that</w:t>
      </w:r>
      <w:r>
        <w:rPr>
          <w:spacing w:val="-9"/>
        </w:rPr>
        <w:t> </w:t>
      </w:r>
      <w:r>
        <w:rPr/>
        <w:t>the Commission has set. The Commission was originally founded as the Governor’s Commission on Gay and Lesbian Youth in 1992 in response to high suicide rates among gay and lesbian young people, and was reestablished</w:t>
      </w:r>
      <w:r>
        <w:rPr>
          <w:spacing w:val="-8"/>
        </w:rPr>
        <w:t> </w:t>
      </w:r>
      <w:r>
        <w:rPr/>
        <w:t>by</w:t>
      </w:r>
      <w:r>
        <w:rPr>
          <w:spacing w:val="-8"/>
        </w:rPr>
        <w:t> </w:t>
      </w:r>
      <w:r>
        <w:rPr/>
        <w:t>the</w:t>
      </w:r>
      <w:r>
        <w:rPr>
          <w:spacing w:val="-8"/>
        </w:rPr>
        <w:t> </w:t>
      </w:r>
      <w:r>
        <w:rPr/>
        <w:t>legislature</w:t>
      </w:r>
      <w:r>
        <w:rPr>
          <w:spacing w:val="-8"/>
        </w:rPr>
        <w:t> </w:t>
      </w:r>
      <w:r>
        <w:rPr/>
        <w:t>as</w:t>
      </w:r>
      <w:r>
        <w:rPr>
          <w:spacing w:val="-8"/>
        </w:rPr>
        <w:t> </w:t>
      </w:r>
      <w:r>
        <w:rPr/>
        <w:t>an</w:t>
      </w:r>
      <w:r>
        <w:rPr>
          <w:spacing w:val="-8"/>
        </w:rPr>
        <w:t> </w:t>
      </w:r>
      <w:r>
        <w:rPr/>
        <w:t>independent</w:t>
      </w:r>
      <w:r>
        <w:rPr>
          <w:spacing w:val="-8"/>
        </w:rPr>
        <w:t> </w:t>
      </w:r>
      <w:r>
        <w:rPr/>
        <w:t>agency</w:t>
      </w:r>
      <w:r>
        <w:rPr>
          <w:spacing w:val="-8"/>
        </w:rPr>
        <w:t> </w:t>
      </w:r>
      <w:r>
        <w:rPr/>
        <w:t>in</w:t>
      </w:r>
      <w:r>
        <w:rPr>
          <w:spacing w:val="-8"/>
        </w:rPr>
        <w:t> </w:t>
      </w:r>
      <w:r>
        <w:rPr/>
        <w:t>2006</w:t>
      </w:r>
      <w:r>
        <w:rPr>
          <w:spacing w:val="-9"/>
        </w:rPr>
        <w:t> </w:t>
      </w:r>
      <w:r>
        <w:rPr/>
        <w:t>(Act</w:t>
      </w:r>
      <w:r>
        <w:rPr>
          <w:spacing w:val="-8"/>
        </w:rPr>
        <w:t> </w:t>
      </w:r>
      <w:r>
        <w:rPr/>
        <w:t>of</w:t>
      </w:r>
      <w:r>
        <w:rPr>
          <w:spacing w:val="-8"/>
        </w:rPr>
        <w:t> </w:t>
      </w:r>
      <w:r>
        <w:rPr/>
        <w:t>Jul.</w:t>
      </w:r>
      <w:r>
        <w:rPr>
          <w:spacing w:val="-8"/>
        </w:rPr>
        <w:t> </w:t>
      </w:r>
      <w:r>
        <w:rPr/>
        <w:t>1,</w:t>
      </w:r>
      <w:r>
        <w:rPr>
          <w:spacing w:val="-9"/>
        </w:rPr>
        <w:t> </w:t>
      </w:r>
      <w:r>
        <w:rPr/>
        <w:t>2006,</w:t>
      </w:r>
      <w:r>
        <w:rPr>
          <w:spacing w:val="-9"/>
        </w:rPr>
        <w:t> </w:t>
      </w:r>
      <w:r>
        <w:rPr/>
        <w:t>Ch.</w:t>
      </w:r>
      <w:r>
        <w:rPr>
          <w:spacing w:val="-9"/>
        </w:rPr>
        <w:t> </w:t>
      </w:r>
      <w:r>
        <w:rPr/>
        <w:t>139</w:t>
      </w:r>
      <w:r>
        <w:rPr>
          <w:spacing w:val="-6"/>
        </w:rPr>
        <w:t> </w:t>
      </w:r>
      <w:r>
        <w:rPr/>
        <w:t>§4,</w:t>
      </w:r>
      <w:r>
        <w:rPr>
          <w:spacing w:val="-9"/>
        </w:rPr>
        <w:t> </w:t>
      </w:r>
      <w:r>
        <w:rPr/>
        <w:t>codified in</w:t>
      </w:r>
      <w:r>
        <w:rPr>
          <w:spacing w:val="-3"/>
        </w:rPr>
        <w:t> </w:t>
      </w:r>
      <w:r>
        <w:rPr/>
        <w:t>Mass.</w:t>
      </w:r>
      <w:r>
        <w:rPr>
          <w:spacing w:val="-3"/>
        </w:rPr>
        <w:t> </w:t>
      </w:r>
      <w:r>
        <w:rPr/>
        <w:t>Gen.</w:t>
      </w:r>
      <w:r>
        <w:rPr>
          <w:spacing w:val="-2"/>
        </w:rPr>
        <w:t> </w:t>
      </w:r>
      <w:r>
        <w:rPr/>
        <w:t>Laws</w:t>
      </w:r>
      <w:r>
        <w:rPr>
          <w:spacing w:val="-3"/>
        </w:rPr>
        <w:t> </w:t>
      </w:r>
      <w:r>
        <w:rPr/>
        <w:t>Ch.</w:t>
      </w:r>
      <w:r>
        <w:rPr>
          <w:spacing w:val="-3"/>
        </w:rPr>
        <w:t> </w:t>
      </w:r>
      <w:r>
        <w:rPr/>
        <w:t>3</w:t>
      </w:r>
      <w:r>
        <w:rPr>
          <w:spacing w:val="-3"/>
        </w:rPr>
        <w:t> </w:t>
      </w:r>
      <w:r>
        <w:rPr/>
        <w:t>§67).</w:t>
      </w:r>
      <w:r>
        <w:rPr>
          <w:spacing w:val="-3"/>
        </w:rPr>
        <w:t> </w:t>
      </w:r>
      <w:r>
        <w:rPr/>
        <w:t>Thirty-two</w:t>
      </w:r>
      <w:r>
        <w:rPr>
          <w:spacing w:val="-2"/>
        </w:rPr>
        <w:t> </w:t>
      </w:r>
      <w:r>
        <w:rPr/>
        <w:t>years</w:t>
      </w:r>
      <w:r>
        <w:rPr>
          <w:spacing w:val="-3"/>
        </w:rPr>
        <w:t> </w:t>
      </w:r>
      <w:r>
        <w:rPr/>
        <w:t>after</w:t>
      </w:r>
      <w:r>
        <w:rPr>
          <w:spacing w:val="-3"/>
        </w:rPr>
        <w:t> </w:t>
      </w:r>
      <w:r>
        <w:rPr/>
        <w:t>the</w:t>
      </w:r>
      <w:r>
        <w:rPr>
          <w:spacing w:val="-3"/>
        </w:rPr>
        <w:t> </w:t>
      </w:r>
      <w:r>
        <w:rPr/>
        <w:t>creation</w:t>
      </w:r>
      <w:r>
        <w:rPr>
          <w:spacing w:val="-2"/>
        </w:rPr>
        <w:t> </w:t>
      </w:r>
      <w:r>
        <w:rPr/>
        <w:t>of</w:t>
      </w:r>
      <w:r>
        <w:rPr>
          <w:spacing w:val="-3"/>
        </w:rPr>
        <w:t> </w:t>
      </w:r>
      <w:r>
        <w:rPr/>
        <w:t>the</w:t>
      </w:r>
      <w:r>
        <w:rPr>
          <w:spacing w:val="-3"/>
        </w:rPr>
        <w:t> </w:t>
      </w:r>
      <w:r>
        <w:rPr/>
        <w:t>original</w:t>
      </w:r>
      <w:r>
        <w:rPr>
          <w:spacing w:val="-3"/>
        </w:rPr>
        <w:t> </w:t>
      </w:r>
      <w:r>
        <w:rPr/>
        <w:t>Governor’s</w:t>
      </w:r>
      <w:r>
        <w:rPr>
          <w:spacing w:val="-3"/>
        </w:rPr>
        <w:t> </w:t>
      </w:r>
      <w:r>
        <w:rPr/>
        <w:t>Commission, it</w:t>
      </w:r>
      <w:r>
        <w:rPr>
          <w:spacing w:val="-3"/>
        </w:rPr>
        <w:t> </w:t>
      </w:r>
      <w:r>
        <w:rPr/>
        <w:t>remains</w:t>
      </w:r>
      <w:r>
        <w:rPr>
          <w:spacing w:val="-3"/>
        </w:rPr>
        <w:t> </w:t>
      </w:r>
      <w:r>
        <w:rPr/>
        <w:t>the</w:t>
      </w:r>
      <w:r>
        <w:rPr>
          <w:spacing w:val="-3"/>
        </w:rPr>
        <w:t> </w:t>
      </w:r>
      <w:r>
        <w:rPr/>
        <w:t>first</w:t>
      </w:r>
      <w:r>
        <w:rPr>
          <w:spacing w:val="-3"/>
        </w:rPr>
        <w:t> </w:t>
      </w:r>
      <w:r>
        <w:rPr/>
        <w:t>and</w:t>
      </w:r>
      <w:r>
        <w:rPr>
          <w:spacing w:val="-3"/>
        </w:rPr>
        <w:t> </w:t>
      </w:r>
      <w:r>
        <w:rPr/>
        <w:t>only</w:t>
      </w:r>
      <w:r>
        <w:rPr>
          <w:spacing w:val="-3"/>
        </w:rPr>
        <w:t> </w:t>
      </w:r>
      <w:r>
        <w:rPr/>
        <w:t>such</w:t>
      </w:r>
      <w:r>
        <w:rPr>
          <w:spacing w:val="-2"/>
        </w:rPr>
        <w:t> </w:t>
      </w:r>
      <w:r>
        <w:rPr/>
        <w:t>commission</w:t>
      </w:r>
      <w:r>
        <w:rPr>
          <w:spacing w:val="-3"/>
        </w:rPr>
        <w:t> </w:t>
      </w:r>
      <w:r>
        <w:rPr/>
        <w:t>in</w:t>
      </w:r>
      <w:r>
        <w:rPr>
          <w:spacing w:val="-3"/>
        </w:rPr>
        <w:t> </w:t>
      </w:r>
      <w:r>
        <w:rPr/>
        <w:t>the</w:t>
      </w:r>
      <w:r>
        <w:rPr>
          <w:spacing w:val="-2"/>
        </w:rPr>
        <w:t> </w:t>
      </w:r>
      <w:r>
        <w:rPr/>
        <w:t>country</w:t>
      </w:r>
      <w:r>
        <w:rPr>
          <w:spacing w:val="-3"/>
        </w:rPr>
        <w:t> </w:t>
      </w:r>
      <w:r>
        <w:rPr/>
        <w:t>dedicated</w:t>
      </w:r>
      <w:r>
        <w:rPr>
          <w:spacing w:val="-2"/>
        </w:rPr>
        <w:t> </w:t>
      </w:r>
      <w:r>
        <w:rPr/>
        <w:t>to</w:t>
      </w:r>
      <w:r>
        <w:rPr>
          <w:spacing w:val="-2"/>
        </w:rPr>
        <w:t> </w:t>
      </w:r>
      <w:r>
        <w:rPr/>
        <w:t>uplifting</w:t>
      </w:r>
      <w:r>
        <w:rPr>
          <w:spacing w:val="-3"/>
        </w:rPr>
        <w:t> </w:t>
      </w:r>
      <w:r>
        <w:rPr/>
        <w:t>LGBTQ</w:t>
      </w:r>
      <w:r>
        <w:rPr>
          <w:spacing w:val="-2"/>
        </w:rPr>
        <w:t> </w:t>
      </w:r>
      <w:r>
        <w:rPr/>
        <w:t>youth</w:t>
      </w:r>
      <w:r>
        <w:rPr>
          <w:spacing w:val="-2"/>
        </w:rPr>
        <w:t> </w:t>
      </w:r>
      <w:r>
        <w:rPr/>
        <w:t>voices</w:t>
      </w:r>
      <w:r>
        <w:rPr>
          <w:spacing w:val="-3"/>
        </w:rPr>
        <w:t> </w:t>
      </w:r>
      <w:r>
        <w:rPr/>
        <w:t>in state government.</w:t>
      </w:r>
    </w:p>
    <w:p>
      <w:pPr>
        <w:pStyle w:val="BodyText"/>
        <w:spacing w:line="268" w:lineRule="exact"/>
        <w:ind w:left="119"/>
        <w:jc w:val="both"/>
      </w:pPr>
      <w:r>
        <w:rPr>
          <w:b/>
        </w:rPr>
        <w:t>Contact</w:t>
      </w:r>
      <w:r>
        <w:rPr>
          <w:b/>
          <w:spacing w:val="-9"/>
        </w:rPr>
        <w:t> </w:t>
      </w:r>
      <w:r>
        <w:rPr>
          <w:b/>
        </w:rPr>
        <w:t>Us:</w:t>
      </w:r>
      <w:r>
        <w:rPr>
          <w:b/>
          <w:spacing w:val="-9"/>
        </w:rPr>
        <w:t> </w:t>
      </w:r>
      <w:r>
        <w:rPr/>
        <w:t>For</w:t>
      </w:r>
      <w:r>
        <w:rPr>
          <w:spacing w:val="-9"/>
        </w:rPr>
        <w:t> </w:t>
      </w:r>
      <w:r>
        <w:rPr/>
        <w:t>print</w:t>
      </w:r>
      <w:r>
        <w:rPr>
          <w:spacing w:val="-9"/>
        </w:rPr>
        <w:t> </w:t>
      </w:r>
      <w:r>
        <w:rPr/>
        <w:t>copies,</w:t>
      </w:r>
      <w:r>
        <w:rPr>
          <w:spacing w:val="-9"/>
        </w:rPr>
        <w:t> </w:t>
      </w:r>
      <w:r>
        <w:rPr/>
        <w:t>permissions,</w:t>
      </w:r>
      <w:r>
        <w:rPr>
          <w:spacing w:val="-10"/>
        </w:rPr>
        <w:t> </w:t>
      </w:r>
      <w:r>
        <w:rPr/>
        <w:t>and</w:t>
      </w:r>
      <w:r>
        <w:rPr>
          <w:spacing w:val="-9"/>
        </w:rPr>
        <w:t> </w:t>
      </w:r>
      <w:r>
        <w:rPr/>
        <w:t>other</w:t>
      </w:r>
      <w:r>
        <w:rPr>
          <w:spacing w:val="-9"/>
        </w:rPr>
        <w:t> </w:t>
      </w:r>
      <w:r>
        <w:rPr/>
        <w:t>inquiries,</w:t>
      </w:r>
      <w:r>
        <w:rPr>
          <w:spacing w:val="-8"/>
        </w:rPr>
        <w:t> </w:t>
      </w:r>
      <w:r>
        <w:rPr/>
        <w:t>contact</w:t>
      </w:r>
      <w:r>
        <w:rPr>
          <w:spacing w:val="-8"/>
        </w:rPr>
        <w:t> </w:t>
      </w:r>
      <w:r>
        <w:rPr/>
        <w:t>us</w:t>
      </w:r>
      <w:r>
        <w:rPr>
          <w:spacing w:val="-10"/>
        </w:rPr>
        <w:t> </w:t>
      </w:r>
      <w:r>
        <w:rPr/>
        <w:t>at</w:t>
      </w:r>
      <w:r>
        <w:rPr>
          <w:spacing w:val="-8"/>
        </w:rPr>
        <w:t> </w:t>
      </w:r>
      <w:hyperlink r:id="rId9">
        <w:r>
          <w:rPr/>
          <w:t>commission@ma-</w:t>
        </w:r>
        <w:r>
          <w:rPr>
            <w:spacing w:val="-2"/>
          </w:rPr>
          <w:t>lgbtq.org.</w:t>
        </w:r>
      </w:hyperlink>
    </w:p>
    <w:p>
      <w:pPr>
        <w:spacing w:after="0" w:line="268" w:lineRule="exact"/>
        <w:jc w:val="both"/>
        <w:sectPr>
          <w:pgSz w:w="12240" w:h="15840"/>
          <w:pgMar w:top="1400" w:bottom="280" w:left="1320" w:right="1320"/>
        </w:sectPr>
      </w:pPr>
    </w:p>
    <w:p>
      <w:pPr>
        <w:pStyle w:val="BodyText"/>
        <w:spacing w:before="40"/>
        <w:ind w:left="264"/>
      </w:pPr>
      <w:bookmarkStart w:name="Letter from Leadership FY25 - DRAFT.pdf" w:id="6"/>
      <w:bookmarkEnd w:id="6"/>
      <w:r>
        <w:rPr/>
      </w:r>
      <w:r>
        <w:rPr>
          <w:spacing w:val="-2"/>
        </w:rPr>
        <w:t>Greetings,</w:t>
      </w:r>
    </w:p>
    <w:p>
      <w:pPr>
        <w:pStyle w:val="BodyText"/>
        <w:spacing w:before="268"/>
        <w:ind w:left="264" w:right="263"/>
        <w:jc w:val="both"/>
      </w:pPr>
      <w:r>
        <w:rPr/>
        <w:t>515 anti-LGBTQ bills have been introduced by policymakers in states across the nation; many have already</w:t>
      </w:r>
      <w:r>
        <w:rPr>
          <w:spacing w:val="-11"/>
        </w:rPr>
        <w:t> </w:t>
      </w:r>
      <w:r>
        <w:rPr/>
        <w:t>passed</w:t>
      </w:r>
      <w:r>
        <w:rPr>
          <w:spacing w:val="-11"/>
        </w:rPr>
        <w:t> </w:t>
      </w:r>
      <w:r>
        <w:rPr/>
        <w:t>across</w:t>
      </w:r>
      <w:r>
        <w:rPr>
          <w:spacing w:val="-11"/>
        </w:rPr>
        <w:t> </w:t>
      </w:r>
      <w:r>
        <w:rPr/>
        <w:t>the</w:t>
      </w:r>
      <w:r>
        <w:rPr>
          <w:spacing w:val="-10"/>
        </w:rPr>
        <w:t> </w:t>
      </w:r>
      <w:r>
        <w:rPr/>
        <w:t>South</w:t>
      </w:r>
      <w:r>
        <w:rPr>
          <w:spacing w:val="-11"/>
        </w:rPr>
        <w:t> </w:t>
      </w:r>
      <w:r>
        <w:rPr/>
        <w:t>and</w:t>
      </w:r>
      <w:r>
        <w:rPr>
          <w:spacing w:val="-10"/>
        </w:rPr>
        <w:t> </w:t>
      </w:r>
      <w:r>
        <w:rPr/>
        <w:t>Midwest.</w:t>
      </w:r>
      <w:r>
        <w:rPr>
          <w:spacing w:val="-12"/>
        </w:rPr>
        <w:t> </w:t>
      </w:r>
      <w:r>
        <w:rPr/>
        <w:t>In</w:t>
      </w:r>
      <w:r>
        <w:rPr>
          <w:spacing w:val="-10"/>
        </w:rPr>
        <w:t> </w:t>
      </w:r>
      <w:r>
        <w:rPr/>
        <w:t>our</w:t>
      </w:r>
      <w:r>
        <w:rPr>
          <w:spacing w:val="-11"/>
        </w:rPr>
        <w:t> </w:t>
      </w:r>
      <w:r>
        <w:rPr/>
        <w:t>free</w:t>
      </w:r>
      <w:r>
        <w:rPr>
          <w:spacing w:val="-11"/>
        </w:rPr>
        <w:t> </w:t>
      </w:r>
      <w:r>
        <w:rPr/>
        <w:t>country,</w:t>
      </w:r>
      <w:r>
        <w:rPr>
          <w:spacing w:val="-11"/>
        </w:rPr>
        <w:t> </w:t>
      </w:r>
      <w:r>
        <w:rPr/>
        <w:t>states</w:t>
      </w:r>
      <w:r>
        <w:rPr>
          <w:spacing w:val="-11"/>
        </w:rPr>
        <w:t> </w:t>
      </w:r>
      <w:r>
        <w:rPr/>
        <w:t>are</w:t>
      </w:r>
      <w:r>
        <w:rPr>
          <w:spacing w:val="-11"/>
        </w:rPr>
        <w:t> </w:t>
      </w:r>
      <w:r>
        <w:rPr/>
        <w:t>legislating</w:t>
      </w:r>
      <w:r>
        <w:rPr>
          <w:spacing w:val="-10"/>
        </w:rPr>
        <w:t> </w:t>
      </w:r>
      <w:r>
        <w:rPr/>
        <w:t>discrimination, dehumanization, terrorization, and the erasure of millions of queer, transgender, and gender expansive youth, as well as their caregivers, providers, and educators.</w:t>
      </w:r>
    </w:p>
    <w:p>
      <w:pPr>
        <w:pStyle w:val="BodyText"/>
      </w:pPr>
    </w:p>
    <w:p>
      <w:pPr>
        <w:pStyle w:val="BodyText"/>
        <w:ind w:left="264" w:right="263"/>
        <w:jc w:val="both"/>
      </w:pPr>
      <w:r>
        <w:rPr/>
        <w:t>As</w:t>
      </w:r>
      <w:r>
        <w:rPr>
          <w:spacing w:val="-5"/>
        </w:rPr>
        <w:t> </w:t>
      </w:r>
      <w:r>
        <w:rPr/>
        <w:t>a</w:t>
      </w:r>
      <w:r>
        <w:rPr>
          <w:spacing w:val="-5"/>
        </w:rPr>
        <w:t> </w:t>
      </w:r>
      <w:r>
        <w:rPr/>
        <w:t>result,</w:t>
      </w:r>
      <w:r>
        <w:rPr>
          <w:spacing w:val="-4"/>
        </w:rPr>
        <w:t> </w:t>
      </w:r>
      <w:r>
        <w:rPr/>
        <w:t>50%</w:t>
      </w:r>
      <w:r>
        <w:rPr>
          <w:spacing w:val="-5"/>
        </w:rPr>
        <w:t> </w:t>
      </w:r>
      <w:r>
        <w:rPr/>
        <w:t>of</w:t>
      </w:r>
      <w:r>
        <w:rPr>
          <w:spacing w:val="-5"/>
        </w:rPr>
        <w:t> </w:t>
      </w:r>
      <w:r>
        <w:rPr/>
        <w:t>our</w:t>
      </w:r>
      <w:r>
        <w:rPr>
          <w:spacing w:val="-3"/>
        </w:rPr>
        <w:t> </w:t>
      </w:r>
      <w:r>
        <w:rPr/>
        <w:t>queer</w:t>
      </w:r>
      <w:r>
        <w:rPr>
          <w:spacing w:val="-5"/>
        </w:rPr>
        <w:t> </w:t>
      </w:r>
      <w:r>
        <w:rPr/>
        <w:t>and</w:t>
      </w:r>
      <w:r>
        <w:rPr>
          <w:spacing w:val="-4"/>
        </w:rPr>
        <w:t> </w:t>
      </w:r>
      <w:r>
        <w:rPr/>
        <w:t>trans</w:t>
      </w:r>
      <w:r>
        <w:rPr>
          <w:spacing w:val="-4"/>
        </w:rPr>
        <w:t> </w:t>
      </w:r>
      <w:r>
        <w:rPr/>
        <w:t>youth</w:t>
      </w:r>
      <w:r>
        <w:rPr>
          <w:spacing w:val="-4"/>
        </w:rPr>
        <w:t> </w:t>
      </w:r>
      <w:r>
        <w:rPr/>
        <w:t>have</w:t>
      </w:r>
      <w:r>
        <w:rPr>
          <w:spacing w:val="-4"/>
        </w:rPr>
        <w:t> </w:t>
      </w:r>
      <w:r>
        <w:rPr/>
        <w:t>seriously</w:t>
      </w:r>
      <w:r>
        <w:rPr>
          <w:spacing w:val="-5"/>
        </w:rPr>
        <w:t> </w:t>
      </w:r>
      <w:r>
        <w:rPr/>
        <w:t>considered</w:t>
      </w:r>
      <w:r>
        <w:rPr>
          <w:spacing w:val="-4"/>
        </w:rPr>
        <w:t> </w:t>
      </w:r>
      <w:r>
        <w:rPr/>
        <w:t>suicide</w:t>
      </w:r>
      <w:r>
        <w:rPr>
          <w:spacing w:val="-4"/>
        </w:rPr>
        <w:t> </w:t>
      </w:r>
      <w:r>
        <w:rPr/>
        <w:t>in</w:t>
      </w:r>
      <w:r>
        <w:rPr>
          <w:spacing w:val="-3"/>
        </w:rPr>
        <w:t> </w:t>
      </w:r>
      <w:r>
        <w:rPr/>
        <w:t>the</w:t>
      </w:r>
      <w:r>
        <w:rPr>
          <w:spacing w:val="-4"/>
        </w:rPr>
        <w:t> </w:t>
      </w:r>
      <w:r>
        <w:rPr/>
        <w:t>past</w:t>
      </w:r>
      <w:r>
        <w:rPr>
          <w:spacing w:val="-5"/>
        </w:rPr>
        <w:t> </w:t>
      </w:r>
      <w:r>
        <w:rPr/>
        <w:t>year.</w:t>
      </w:r>
      <w:r>
        <w:rPr>
          <w:spacing w:val="-6"/>
        </w:rPr>
        <w:t> </w:t>
      </w:r>
      <w:r>
        <w:rPr/>
        <w:t>More than</w:t>
      </w:r>
      <w:r>
        <w:rPr>
          <w:spacing w:val="-8"/>
        </w:rPr>
        <w:t> </w:t>
      </w:r>
      <w:r>
        <w:rPr/>
        <w:t>70%</w:t>
      </w:r>
      <w:r>
        <w:rPr>
          <w:spacing w:val="-6"/>
        </w:rPr>
        <w:t> </w:t>
      </w:r>
      <w:r>
        <w:rPr/>
        <w:t>of</w:t>
      </w:r>
      <w:r>
        <w:rPr>
          <w:spacing w:val="-7"/>
        </w:rPr>
        <w:t> </w:t>
      </w:r>
      <w:r>
        <w:rPr/>
        <w:t>our</w:t>
      </w:r>
      <w:r>
        <w:rPr>
          <w:spacing w:val="-7"/>
        </w:rPr>
        <w:t> </w:t>
      </w:r>
      <w:r>
        <w:rPr/>
        <w:t>LGBTQ</w:t>
      </w:r>
      <w:r>
        <w:rPr>
          <w:spacing w:val="-8"/>
        </w:rPr>
        <w:t> </w:t>
      </w:r>
      <w:r>
        <w:rPr/>
        <w:t>youth</w:t>
      </w:r>
      <w:r>
        <w:rPr>
          <w:spacing w:val="-8"/>
        </w:rPr>
        <w:t> </w:t>
      </w:r>
      <w:r>
        <w:rPr/>
        <w:t>experience</w:t>
      </w:r>
      <w:r>
        <w:rPr>
          <w:spacing w:val="-6"/>
        </w:rPr>
        <w:t> </w:t>
      </w:r>
      <w:r>
        <w:rPr/>
        <w:t>anxiety,</w:t>
      </w:r>
      <w:r>
        <w:rPr>
          <w:spacing w:val="-7"/>
        </w:rPr>
        <w:t> </w:t>
      </w:r>
      <w:r>
        <w:rPr/>
        <w:t>and</w:t>
      </w:r>
      <w:r>
        <w:rPr>
          <w:spacing w:val="-5"/>
        </w:rPr>
        <w:t> </w:t>
      </w:r>
      <w:r>
        <w:rPr/>
        <w:t>58%</w:t>
      </w:r>
      <w:r>
        <w:rPr>
          <w:spacing w:val="-7"/>
        </w:rPr>
        <w:t> </w:t>
      </w:r>
      <w:r>
        <w:rPr/>
        <w:t>report</w:t>
      </w:r>
      <w:r>
        <w:rPr>
          <w:spacing w:val="-8"/>
        </w:rPr>
        <w:t> </w:t>
      </w:r>
      <w:r>
        <w:rPr/>
        <w:t>depression.</w:t>
      </w:r>
      <w:r>
        <w:rPr>
          <w:spacing w:val="-8"/>
        </w:rPr>
        <w:t> </w:t>
      </w:r>
      <w:r>
        <w:rPr/>
        <w:t>Despite</w:t>
      </w:r>
      <w:r>
        <w:rPr>
          <w:spacing w:val="-7"/>
        </w:rPr>
        <w:t> </w:t>
      </w:r>
      <w:r>
        <w:rPr/>
        <w:t>these</w:t>
      </w:r>
      <w:r>
        <w:rPr>
          <w:spacing w:val="-8"/>
        </w:rPr>
        <w:t> </w:t>
      </w:r>
      <w:r>
        <w:rPr/>
        <w:t>statistics, 1 in 2</w:t>
      </w:r>
      <w:r>
        <w:rPr>
          <w:spacing w:val="40"/>
        </w:rPr>
        <w:t> </w:t>
      </w:r>
      <w:r>
        <w:rPr/>
        <w:t>LGBTQ youth in Massachusetts were unable to access the mental health care they desperately wanted. As discussed throughout the following annual report, when we look at the experiences of Black, Latiné, Asian &amp; Pacific Islander, and Indigenous LGBTQ youth, we observe higher rates of victimization, sexual violence, policing, homelessness, foster care, and invisibility.</w:t>
      </w:r>
    </w:p>
    <w:p>
      <w:pPr>
        <w:pStyle w:val="BodyText"/>
        <w:spacing w:before="1"/>
      </w:pPr>
    </w:p>
    <w:p>
      <w:pPr>
        <w:pStyle w:val="BodyText"/>
        <w:ind w:left="264" w:right="264"/>
        <w:jc w:val="both"/>
      </w:pPr>
      <w:r>
        <w:rPr/>
        <w:t>As</w:t>
      </w:r>
      <w:r>
        <w:rPr>
          <w:spacing w:val="-11"/>
        </w:rPr>
        <w:t> </w:t>
      </w:r>
      <w:r>
        <w:rPr/>
        <w:t>the</w:t>
      </w:r>
      <w:r>
        <w:rPr>
          <w:spacing w:val="-11"/>
        </w:rPr>
        <w:t> </w:t>
      </w:r>
      <w:r>
        <w:rPr/>
        <w:t>Commission</w:t>
      </w:r>
      <w:r>
        <w:rPr>
          <w:spacing w:val="-11"/>
        </w:rPr>
        <w:t> </w:t>
      </w:r>
      <w:r>
        <w:rPr/>
        <w:t>releases</w:t>
      </w:r>
      <w:r>
        <w:rPr>
          <w:spacing w:val="-11"/>
        </w:rPr>
        <w:t> </w:t>
      </w:r>
      <w:r>
        <w:rPr/>
        <w:t>its</w:t>
      </w:r>
      <w:r>
        <w:rPr>
          <w:spacing w:val="-11"/>
        </w:rPr>
        <w:t> </w:t>
      </w:r>
      <w:r>
        <w:rPr/>
        <w:t>FY</w:t>
      </w:r>
      <w:r>
        <w:rPr>
          <w:spacing w:val="-10"/>
        </w:rPr>
        <w:t> </w:t>
      </w:r>
      <w:r>
        <w:rPr/>
        <w:t>2025</w:t>
      </w:r>
      <w:r>
        <w:rPr>
          <w:spacing w:val="-11"/>
        </w:rPr>
        <w:t> </w:t>
      </w:r>
      <w:r>
        <w:rPr/>
        <w:t>annual</w:t>
      </w:r>
      <w:r>
        <w:rPr>
          <w:spacing w:val="-11"/>
        </w:rPr>
        <w:t> </w:t>
      </w:r>
      <w:r>
        <w:rPr/>
        <w:t>report,</w:t>
      </w:r>
      <w:r>
        <w:rPr>
          <w:spacing w:val="-10"/>
        </w:rPr>
        <w:t> </w:t>
      </w:r>
      <w:r>
        <w:rPr/>
        <w:t>we</w:t>
      </w:r>
      <w:r>
        <w:rPr>
          <w:spacing w:val="-11"/>
        </w:rPr>
        <w:t> </w:t>
      </w:r>
      <w:r>
        <w:rPr/>
        <w:t>condemn</w:t>
      </w:r>
      <w:r>
        <w:rPr>
          <w:spacing w:val="-9"/>
        </w:rPr>
        <w:t> </w:t>
      </w:r>
      <w:r>
        <w:rPr/>
        <w:t>the</w:t>
      </w:r>
      <w:r>
        <w:rPr>
          <w:spacing w:val="-11"/>
        </w:rPr>
        <w:t> </w:t>
      </w:r>
      <w:r>
        <w:rPr/>
        <w:t>fervent</w:t>
      </w:r>
      <w:r>
        <w:rPr>
          <w:spacing w:val="-12"/>
        </w:rPr>
        <w:t> </w:t>
      </w:r>
      <w:r>
        <w:rPr/>
        <w:t>and</w:t>
      </w:r>
      <w:r>
        <w:rPr>
          <w:spacing w:val="-11"/>
        </w:rPr>
        <w:t> </w:t>
      </w:r>
      <w:r>
        <w:rPr/>
        <w:t>disgraceful</w:t>
      </w:r>
      <w:r>
        <w:rPr>
          <w:spacing w:val="-11"/>
        </w:rPr>
        <w:t> </w:t>
      </w:r>
      <w:r>
        <w:rPr/>
        <w:t>attacks from</w:t>
      </w:r>
      <w:r>
        <w:rPr>
          <w:spacing w:val="-10"/>
        </w:rPr>
        <w:t> </w:t>
      </w:r>
      <w:r>
        <w:rPr/>
        <w:t>other</w:t>
      </w:r>
      <w:r>
        <w:rPr>
          <w:spacing w:val="-10"/>
        </w:rPr>
        <w:t> </w:t>
      </w:r>
      <w:r>
        <w:rPr/>
        <w:t>states</w:t>
      </w:r>
      <w:r>
        <w:rPr>
          <w:spacing w:val="-10"/>
        </w:rPr>
        <w:t> </w:t>
      </w:r>
      <w:r>
        <w:rPr/>
        <w:t>that</w:t>
      </w:r>
      <w:r>
        <w:rPr>
          <w:spacing w:val="-9"/>
        </w:rPr>
        <w:t> </w:t>
      </w:r>
      <w:r>
        <w:rPr/>
        <w:t>seek</w:t>
      </w:r>
      <w:r>
        <w:rPr>
          <w:spacing w:val="-11"/>
        </w:rPr>
        <w:t> </w:t>
      </w:r>
      <w:r>
        <w:rPr/>
        <w:t>to</w:t>
      </w:r>
      <w:r>
        <w:rPr>
          <w:spacing w:val="-10"/>
        </w:rPr>
        <w:t> </w:t>
      </w:r>
      <w:r>
        <w:rPr/>
        <w:t>strip</w:t>
      </w:r>
      <w:r>
        <w:rPr>
          <w:spacing w:val="-11"/>
        </w:rPr>
        <w:t> </w:t>
      </w:r>
      <w:r>
        <w:rPr/>
        <w:t>away</w:t>
      </w:r>
      <w:r>
        <w:rPr>
          <w:spacing w:val="-10"/>
        </w:rPr>
        <w:t> </w:t>
      </w:r>
      <w:r>
        <w:rPr/>
        <w:t>the</w:t>
      </w:r>
      <w:r>
        <w:rPr>
          <w:spacing w:val="-9"/>
        </w:rPr>
        <w:t> </w:t>
      </w:r>
      <w:r>
        <w:rPr/>
        <w:t>autonomy</w:t>
      </w:r>
      <w:r>
        <w:rPr>
          <w:spacing w:val="-10"/>
        </w:rPr>
        <w:t> </w:t>
      </w:r>
      <w:r>
        <w:rPr/>
        <w:t>of</w:t>
      </w:r>
      <w:r>
        <w:rPr>
          <w:spacing w:val="-10"/>
        </w:rPr>
        <w:t> </w:t>
      </w:r>
      <w:r>
        <w:rPr/>
        <w:t>LGBTQ</w:t>
      </w:r>
      <w:r>
        <w:rPr>
          <w:spacing w:val="-9"/>
        </w:rPr>
        <w:t> </w:t>
      </w:r>
      <w:r>
        <w:rPr/>
        <w:t>youth</w:t>
      </w:r>
      <w:r>
        <w:rPr>
          <w:spacing w:val="-10"/>
        </w:rPr>
        <w:t> </w:t>
      </w:r>
      <w:r>
        <w:rPr/>
        <w:t>and</w:t>
      </w:r>
      <w:r>
        <w:rPr>
          <w:spacing w:val="-10"/>
        </w:rPr>
        <w:t> </w:t>
      </w:r>
      <w:r>
        <w:rPr/>
        <w:t>their</w:t>
      </w:r>
      <w:r>
        <w:rPr>
          <w:spacing w:val="-10"/>
        </w:rPr>
        <w:t> </w:t>
      </w:r>
      <w:r>
        <w:rPr/>
        <w:t>caregivers.</w:t>
      </w:r>
      <w:r>
        <w:rPr>
          <w:spacing w:val="-11"/>
        </w:rPr>
        <w:t> </w:t>
      </w:r>
      <w:r>
        <w:rPr/>
        <w:t>We</w:t>
      </w:r>
      <w:r>
        <w:rPr>
          <w:spacing w:val="-10"/>
        </w:rPr>
        <w:t> </w:t>
      </w:r>
      <w:r>
        <w:rPr/>
        <w:t>stand firm in our charge to shine light on these inequities, advocate for the voices that are often silenced within</w:t>
      </w:r>
      <w:r>
        <w:rPr>
          <w:spacing w:val="-7"/>
        </w:rPr>
        <w:t> </w:t>
      </w:r>
      <w:r>
        <w:rPr/>
        <w:t>our</w:t>
      </w:r>
      <w:r>
        <w:rPr>
          <w:spacing w:val="-8"/>
        </w:rPr>
        <w:t> </w:t>
      </w:r>
      <w:r>
        <w:rPr/>
        <w:t>community,</w:t>
      </w:r>
      <w:r>
        <w:rPr>
          <w:spacing w:val="-7"/>
        </w:rPr>
        <w:t> </w:t>
      </w:r>
      <w:r>
        <w:rPr/>
        <w:t>and</w:t>
      </w:r>
      <w:r>
        <w:rPr>
          <w:spacing w:val="-8"/>
        </w:rPr>
        <w:t> </w:t>
      </w:r>
      <w:r>
        <w:rPr/>
        <w:t>fight</w:t>
      </w:r>
      <w:r>
        <w:rPr>
          <w:spacing w:val="-8"/>
        </w:rPr>
        <w:t> </w:t>
      </w:r>
      <w:r>
        <w:rPr/>
        <w:t>for</w:t>
      </w:r>
      <w:r>
        <w:rPr>
          <w:spacing w:val="-8"/>
        </w:rPr>
        <w:t> </w:t>
      </w:r>
      <w:r>
        <w:rPr/>
        <w:t>true</w:t>
      </w:r>
      <w:r>
        <w:rPr>
          <w:spacing w:val="-8"/>
        </w:rPr>
        <w:t> </w:t>
      </w:r>
      <w:r>
        <w:rPr/>
        <w:t>change</w:t>
      </w:r>
      <w:r>
        <w:rPr>
          <w:spacing w:val="-8"/>
        </w:rPr>
        <w:t> </w:t>
      </w:r>
      <w:r>
        <w:rPr/>
        <w:t>in</w:t>
      </w:r>
      <w:r>
        <w:rPr>
          <w:spacing w:val="-8"/>
        </w:rPr>
        <w:t> </w:t>
      </w:r>
      <w:r>
        <w:rPr/>
        <w:t>the</w:t>
      </w:r>
      <w:r>
        <w:rPr>
          <w:spacing w:val="-8"/>
        </w:rPr>
        <w:t> </w:t>
      </w:r>
      <w:r>
        <w:rPr/>
        <w:t>state</w:t>
      </w:r>
      <w:r>
        <w:rPr>
          <w:spacing w:val="-7"/>
        </w:rPr>
        <w:t> </w:t>
      </w:r>
      <w:r>
        <w:rPr/>
        <w:t>of</w:t>
      </w:r>
      <w:r>
        <w:rPr>
          <w:spacing w:val="-8"/>
        </w:rPr>
        <w:t> </w:t>
      </w:r>
      <w:r>
        <w:rPr/>
        <w:t>Massachusetts</w:t>
      </w:r>
      <w:r>
        <w:rPr>
          <w:spacing w:val="-5"/>
        </w:rPr>
        <w:t> </w:t>
      </w:r>
      <w:r>
        <w:rPr/>
        <w:t>-</w:t>
      </w:r>
      <w:r>
        <w:rPr>
          <w:spacing w:val="-8"/>
        </w:rPr>
        <w:t> </w:t>
      </w:r>
      <w:r>
        <w:rPr/>
        <w:t>which</w:t>
      </w:r>
      <w:r>
        <w:rPr>
          <w:spacing w:val="-8"/>
        </w:rPr>
        <w:t> </w:t>
      </w:r>
      <w:r>
        <w:rPr/>
        <w:t>will</w:t>
      </w:r>
      <w:r>
        <w:rPr>
          <w:spacing w:val="-7"/>
        </w:rPr>
        <w:t> </w:t>
      </w:r>
      <w:r>
        <w:rPr/>
        <w:t>serve</w:t>
      </w:r>
      <w:r>
        <w:rPr>
          <w:spacing w:val="-8"/>
        </w:rPr>
        <w:t> </w:t>
      </w:r>
      <w:r>
        <w:rPr/>
        <w:t>as</w:t>
      </w:r>
      <w:r>
        <w:rPr>
          <w:spacing w:val="-7"/>
        </w:rPr>
        <w:t> </w:t>
      </w:r>
      <w:r>
        <w:rPr/>
        <w:t>the blueprint for our country.</w:t>
      </w:r>
    </w:p>
    <w:p>
      <w:pPr>
        <w:pStyle w:val="BodyText"/>
      </w:pPr>
    </w:p>
    <w:p>
      <w:pPr>
        <w:pStyle w:val="BodyText"/>
        <w:ind w:left="264" w:right="259"/>
        <w:jc w:val="both"/>
      </w:pPr>
      <w:r>
        <w:rPr/>
        <w:t>When our LGBTQ youth are affirmed; when they can enjoy equal access to sustainable livelihoods; receive nondiscriminatory and empowering education and health care; and are able to freely participate in civic and democratic processes within their schools and communities, everyone wins! Research shows that LGBTQ youth who are nurtured in schools and communities that intentionally serve as lighthouses of school connectedness, foster exponential positive effects on their livelihoods. In environments where LGBTQ youth are supported and cared for by family, loved ones, friends, and educators; are accurately gendered; engage in inclusive education; have access to life-saving health care; as well as see positive representations of themselves, we see higher rates of attendance, and they are able to thrive as whole beings.</w:t>
      </w:r>
    </w:p>
    <w:p>
      <w:pPr>
        <w:pStyle w:val="BodyText"/>
      </w:pPr>
    </w:p>
    <w:p>
      <w:pPr>
        <w:pStyle w:val="BodyText"/>
        <w:ind w:left="264" w:right="262"/>
        <w:jc w:val="both"/>
      </w:pPr>
      <w:r>
        <w:rPr/>
        <w:t>As</w:t>
      </w:r>
      <w:r>
        <w:rPr>
          <w:spacing w:val="-13"/>
        </w:rPr>
        <w:t> </w:t>
      </w:r>
      <w:r>
        <w:rPr/>
        <w:t>the</w:t>
      </w:r>
      <w:r>
        <w:rPr>
          <w:spacing w:val="-12"/>
        </w:rPr>
        <w:t> </w:t>
      </w:r>
      <w:r>
        <w:rPr/>
        <w:t>state</w:t>
      </w:r>
      <w:r>
        <w:rPr>
          <w:spacing w:val="-13"/>
        </w:rPr>
        <w:t> </w:t>
      </w:r>
      <w:r>
        <w:rPr/>
        <w:t>with</w:t>
      </w:r>
      <w:r>
        <w:rPr>
          <w:spacing w:val="-12"/>
        </w:rPr>
        <w:t> </w:t>
      </w:r>
      <w:r>
        <w:rPr/>
        <w:t>the</w:t>
      </w:r>
      <w:r>
        <w:rPr>
          <w:spacing w:val="-13"/>
        </w:rPr>
        <w:t> </w:t>
      </w:r>
      <w:r>
        <w:rPr/>
        <w:t>only</w:t>
      </w:r>
      <w:r>
        <w:rPr>
          <w:spacing w:val="-12"/>
        </w:rPr>
        <w:t> </w:t>
      </w:r>
      <w:r>
        <w:rPr/>
        <w:t>Commission</w:t>
      </w:r>
      <w:r>
        <w:rPr>
          <w:spacing w:val="-13"/>
        </w:rPr>
        <w:t> </w:t>
      </w:r>
      <w:r>
        <w:rPr/>
        <w:t>on</w:t>
      </w:r>
      <w:r>
        <w:rPr>
          <w:spacing w:val="-12"/>
        </w:rPr>
        <w:t> </w:t>
      </w:r>
      <w:r>
        <w:rPr/>
        <w:t>LGBTQ</w:t>
      </w:r>
      <w:r>
        <w:rPr>
          <w:spacing w:val="-12"/>
        </w:rPr>
        <w:t> </w:t>
      </w:r>
      <w:r>
        <w:rPr/>
        <w:t>Youth</w:t>
      </w:r>
      <w:r>
        <w:rPr>
          <w:spacing w:val="-13"/>
        </w:rPr>
        <w:t> </w:t>
      </w:r>
      <w:r>
        <w:rPr/>
        <w:t>in</w:t>
      </w:r>
      <w:r>
        <w:rPr>
          <w:spacing w:val="-12"/>
        </w:rPr>
        <w:t> </w:t>
      </w:r>
      <w:r>
        <w:rPr/>
        <w:t>the</w:t>
      </w:r>
      <w:r>
        <w:rPr>
          <w:spacing w:val="-13"/>
        </w:rPr>
        <w:t> </w:t>
      </w:r>
      <w:r>
        <w:rPr/>
        <w:t>country,</w:t>
      </w:r>
      <w:r>
        <w:rPr>
          <w:spacing w:val="-12"/>
        </w:rPr>
        <w:t> </w:t>
      </w:r>
      <w:r>
        <w:rPr/>
        <w:t>we</w:t>
      </w:r>
      <w:r>
        <w:rPr>
          <w:spacing w:val="-13"/>
        </w:rPr>
        <w:t> </w:t>
      </w:r>
      <w:r>
        <w:rPr/>
        <w:t>believe</w:t>
      </w:r>
      <w:r>
        <w:rPr>
          <w:spacing w:val="-12"/>
        </w:rPr>
        <w:t> </w:t>
      </w:r>
      <w:r>
        <w:rPr/>
        <w:t>it</w:t>
      </w:r>
      <w:r>
        <w:rPr>
          <w:spacing w:val="-12"/>
        </w:rPr>
        <w:t> </w:t>
      </w:r>
      <w:r>
        <w:rPr/>
        <w:t>is</w:t>
      </w:r>
      <w:r>
        <w:rPr>
          <w:spacing w:val="-13"/>
        </w:rPr>
        <w:t> </w:t>
      </w:r>
      <w:r>
        <w:rPr/>
        <w:t>our</w:t>
      </w:r>
      <w:r>
        <w:rPr>
          <w:spacing w:val="-12"/>
        </w:rPr>
        <w:t> </w:t>
      </w:r>
      <w:r>
        <w:rPr/>
        <w:t>responsibility to be the lighthouse for LGBTQ youth and to uplift underserved populations across the Commonwealth. At every level, and within every institution, the Commission calls for the Commonwealth to say, “Not in Massachusetts!”</w:t>
      </w:r>
    </w:p>
    <w:p>
      <w:pPr>
        <w:pStyle w:val="BodyText"/>
      </w:pPr>
    </w:p>
    <w:p>
      <w:pPr>
        <w:pStyle w:val="BodyText"/>
        <w:ind w:left="263" w:right="260"/>
        <w:jc w:val="both"/>
      </w:pPr>
      <w:r>
        <w:rPr/>
        <w:t>But, in order to do so, the Commonwealth must continuously address its own negligence towards ensuring comprehensive care for LGBTQ youth. Massachusetts General Law Chapter 76 section 5 explicitly states “No person shall be </w:t>
      </w:r>
      <w:r>
        <w:rPr>
          <w:u w:val="single"/>
        </w:rPr>
        <w:t>excluded from or discriminated against</w:t>
      </w:r>
      <w:r>
        <w:rPr>
          <w:u w:val="none"/>
        </w:rPr>
        <w:t> in admission to a public school</w:t>
      </w:r>
      <w:r>
        <w:rPr>
          <w:spacing w:val="-13"/>
          <w:u w:val="none"/>
        </w:rPr>
        <w:t> </w:t>
      </w:r>
      <w:r>
        <w:rPr>
          <w:u w:val="none"/>
        </w:rPr>
        <w:t>of</w:t>
      </w:r>
      <w:r>
        <w:rPr>
          <w:spacing w:val="-12"/>
          <w:u w:val="none"/>
        </w:rPr>
        <w:t> </w:t>
      </w:r>
      <w:r>
        <w:rPr>
          <w:u w:val="none"/>
        </w:rPr>
        <w:t>any</w:t>
      </w:r>
      <w:r>
        <w:rPr>
          <w:spacing w:val="-13"/>
          <w:u w:val="none"/>
        </w:rPr>
        <w:t> </w:t>
      </w:r>
      <w:r>
        <w:rPr>
          <w:u w:val="none"/>
        </w:rPr>
        <w:t>town,</w:t>
      </w:r>
      <w:r>
        <w:rPr>
          <w:spacing w:val="-12"/>
          <w:u w:val="none"/>
        </w:rPr>
        <w:t> </w:t>
      </w:r>
      <w:r>
        <w:rPr>
          <w:u w:val="single"/>
        </w:rPr>
        <w:t>or</w:t>
      </w:r>
      <w:r>
        <w:rPr>
          <w:spacing w:val="-13"/>
          <w:u w:val="single"/>
        </w:rPr>
        <w:t> </w:t>
      </w:r>
      <w:r>
        <w:rPr>
          <w:u w:val="single"/>
        </w:rPr>
        <w:t>in</w:t>
      </w:r>
      <w:r>
        <w:rPr>
          <w:spacing w:val="-12"/>
          <w:u w:val="single"/>
        </w:rPr>
        <w:t> </w:t>
      </w:r>
      <w:r>
        <w:rPr>
          <w:u w:val="single"/>
        </w:rPr>
        <w:t>obtaining</w:t>
      </w:r>
      <w:r>
        <w:rPr>
          <w:spacing w:val="-13"/>
          <w:u w:val="single"/>
        </w:rPr>
        <w:t> </w:t>
      </w:r>
      <w:r>
        <w:rPr>
          <w:u w:val="single"/>
        </w:rPr>
        <w:t>the</w:t>
      </w:r>
      <w:r>
        <w:rPr>
          <w:spacing w:val="-12"/>
          <w:u w:val="single"/>
        </w:rPr>
        <w:t> </w:t>
      </w:r>
      <w:r>
        <w:rPr>
          <w:u w:val="single"/>
        </w:rPr>
        <w:t>advantages,</w:t>
      </w:r>
      <w:r>
        <w:rPr>
          <w:spacing w:val="-12"/>
          <w:u w:val="single"/>
        </w:rPr>
        <w:t> </w:t>
      </w:r>
      <w:r>
        <w:rPr>
          <w:u w:val="single"/>
        </w:rPr>
        <w:t>privileges</w:t>
      </w:r>
      <w:r>
        <w:rPr>
          <w:spacing w:val="-13"/>
          <w:u w:val="single"/>
        </w:rPr>
        <w:t> </w:t>
      </w:r>
      <w:r>
        <w:rPr>
          <w:u w:val="single"/>
        </w:rPr>
        <w:t>and</w:t>
      </w:r>
      <w:r>
        <w:rPr>
          <w:spacing w:val="-12"/>
          <w:u w:val="single"/>
        </w:rPr>
        <w:t> </w:t>
      </w:r>
      <w:r>
        <w:rPr>
          <w:u w:val="single"/>
        </w:rPr>
        <w:t>courses</w:t>
      </w:r>
      <w:r>
        <w:rPr>
          <w:spacing w:val="-13"/>
          <w:u w:val="single"/>
        </w:rPr>
        <w:t> </w:t>
      </w:r>
      <w:r>
        <w:rPr>
          <w:u w:val="single"/>
        </w:rPr>
        <w:t>of</w:t>
      </w:r>
      <w:r>
        <w:rPr>
          <w:spacing w:val="-12"/>
          <w:u w:val="single"/>
        </w:rPr>
        <w:t> </w:t>
      </w:r>
      <w:r>
        <w:rPr>
          <w:u w:val="single"/>
        </w:rPr>
        <w:t>study</w:t>
      </w:r>
      <w:r>
        <w:rPr>
          <w:spacing w:val="-13"/>
          <w:u w:val="single"/>
        </w:rPr>
        <w:t> </w:t>
      </w:r>
      <w:r>
        <w:rPr>
          <w:u w:val="single"/>
        </w:rPr>
        <w:t>of</w:t>
      </w:r>
      <w:r>
        <w:rPr>
          <w:spacing w:val="-12"/>
          <w:u w:val="single"/>
        </w:rPr>
        <w:t> </w:t>
      </w:r>
      <w:r>
        <w:rPr>
          <w:u w:val="single"/>
        </w:rPr>
        <w:t>such</w:t>
      </w:r>
      <w:r>
        <w:rPr>
          <w:spacing w:val="-12"/>
          <w:u w:val="single"/>
        </w:rPr>
        <w:t> </w:t>
      </w:r>
      <w:r>
        <w:rPr>
          <w:u w:val="single"/>
        </w:rPr>
        <w:t>public</w:t>
      </w:r>
      <w:r>
        <w:rPr>
          <w:spacing w:val="-13"/>
          <w:u w:val="single"/>
        </w:rPr>
        <w:t> </w:t>
      </w:r>
      <w:r>
        <w:rPr>
          <w:u w:val="single"/>
        </w:rPr>
        <w:t>school</w:t>
      </w:r>
      <w:r>
        <w:rPr>
          <w:u w:val="none"/>
        </w:rPr>
        <w:t> </w:t>
      </w:r>
      <w:r>
        <w:rPr>
          <w:u w:val="single"/>
        </w:rPr>
        <w:t>on</w:t>
      </w:r>
      <w:r>
        <w:rPr>
          <w:spacing w:val="-12"/>
          <w:u w:val="single"/>
        </w:rPr>
        <w:t> </w:t>
      </w:r>
      <w:r>
        <w:rPr>
          <w:u w:val="single"/>
        </w:rPr>
        <w:t>account</w:t>
      </w:r>
      <w:r>
        <w:rPr>
          <w:spacing w:val="-11"/>
          <w:u w:val="single"/>
        </w:rPr>
        <w:t> </w:t>
      </w:r>
      <w:r>
        <w:rPr>
          <w:u w:val="single"/>
        </w:rPr>
        <w:t>of</w:t>
      </w:r>
      <w:r>
        <w:rPr>
          <w:spacing w:val="-12"/>
          <w:u w:val="single"/>
        </w:rPr>
        <w:t> </w:t>
      </w:r>
      <w:r>
        <w:rPr>
          <w:u w:val="single"/>
        </w:rPr>
        <w:t>race,</w:t>
      </w:r>
      <w:r>
        <w:rPr>
          <w:spacing w:val="-11"/>
          <w:u w:val="single"/>
        </w:rPr>
        <w:t> </w:t>
      </w:r>
      <w:r>
        <w:rPr>
          <w:u w:val="single"/>
        </w:rPr>
        <w:t>color,</w:t>
      </w:r>
      <w:r>
        <w:rPr>
          <w:spacing w:val="-11"/>
          <w:u w:val="single"/>
        </w:rPr>
        <w:t> </w:t>
      </w:r>
      <w:r>
        <w:rPr>
          <w:u w:val="single"/>
        </w:rPr>
        <w:t>sex,</w:t>
      </w:r>
      <w:r>
        <w:rPr>
          <w:spacing w:val="-12"/>
          <w:u w:val="single"/>
        </w:rPr>
        <w:t> </w:t>
      </w:r>
      <w:r>
        <w:rPr>
          <w:u w:val="single"/>
        </w:rPr>
        <w:t>gender</w:t>
      </w:r>
      <w:r>
        <w:rPr>
          <w:spacing w:val="-11"/>
          <w:u w:val="single"/>
        </w:rPr>
        <w:t> </w:t>
      </w:r>
      <w:r>
        <w:rPr>
          <w:u w:val="single"/>
        </w:rPr>
        <w:t>identity,</w:t>
      </w:r>
      <w:r>
        <w:rPr>
          <w:spacing w:val="-11"/>
          <w:u w:val="single"/>
        </w:rPr>
        <w:t> </w:t>
      </w:r>
      <w:r>
        <w:rPr>
          <w:u w:val="single"/>
        </w:rPr>
        <w:t>religion,</w:t>
      </w:r>
      <w:r>
        <w:rPr>
          <w:spacing w:val="-11"/>
          <w:u w:val="single"/>
        </w:rPr>
        <w:t> </w:t>
      </w:r>
      <w:r>
        <w:rPr>
          <w:u w:val="single"/>
        </w:rPr>
        <w:t>national</w:t>
      </w:r>
      <w:r>
        <w:rPr>
          <w:spacing w:val="-11"/>
          <w:u w:val="single"/>
        </w:rPr>
        <w:t> </w:t>
      </w:r>
      <w:r>
        <w:rPr>
          <w:u w:val="single"/>
        </w:rPr>
        <w:t>origin</w:t>
      </w:r>
      <w:r>
        <w:rPr>
          <w:spacing w:val="-12"/>
          <w:u w:val="single"/>
        </w:rPr>
        <w:t> </w:t>
      </w:r>
      <w:r>
        <w:rPr>
          <w:u w:val="single"/>
        </w:rPr>
        <w:t>or</w:t>
      </w:r>
      <w:r>
        <w:rPr>
          <w:spacing w:val="-11"/>
          <w:u w:val="single"/>
        </w:rPr>
        <w:t> </w:t>
      </w:r>
      <w:r>
        <w:rPr>
          <w:u w:val="single"/>
        </w:rPr>
        <w:t>sexual</w:t>
      </w:r>
      <w:r>
        <w:rPr>
          <w:spacing w:val="-11"/>
          <w:u w:val="single"/>
        </w:rPr>
        <w:t> </w:t>
      </w:r>
      <w:r>
        <w:rPr>
          <w:u w:val="single"/>
        </w:rPr>
        <w:t>orientation.”</w:t>
      </w:r>
      <w:r>
        <w:rPr>
          <w:spacing w:val="-10"/>
          <w:u w:val="none"/>
        </w:rPr>
        <w:t> </w:t>
      </w:r>
      <w:r>
        <w:rPr>
          <w:u w:val="none"/>
        </w:rPr>
        <w:t>Yet,</w:t>
      </w:r>
      <w:r>
        <w:rPr>
          <w:spacing w:val="-11"/>
          <w:u w:val="none"/>
        </w:rPr>
        <w:t> </w:t>
      </w:r>
      <w:r>
        <w:rPr>
          <w:u w:val="none"/>
        </w:rPr>
        <w:t>even within this state, we must acknowledge that there is a rise in anti-LGBTQ activity. When we overlook exclusive policy and legislation; when we neglect to bring diverse voices with lived experience to the table;</w:t>
      </w:r>
      <w:r>
        <w:rPr>
          <w:spacing w:val="-5"/>
          <w:u w:val="none"/>
        </w:rPr>
        <w:t> </w:t>
      </w:r>
      <w:r>
        <w:rPr>
          <w:u w:val="none"/>
        </w:rPr>
        <w:t>when</w:t>
      </w:r>
      <w:r>
        <w:rPr>
          <w:spacing w:val="-4"/>
          <w:u w:val="none"/>
        </w:rPr>
        <w:t> </w:t>
      </w:r>
      <w:r>
        <w:rPr>
          <w:u w:val="none"/>
        </w:rPr>
        <w:t>we</w:t>
      </w:r>
      <w:r>
        <w:rPr>
          <w:spacing w:val="-6"/>
          <w:u w:val="none"/>
        </w:rPr>
        <w:t> </w:t>
      </w:r>
      <w:r>
        <w:rPr>
          <w:u w:val="none"/>
        </w:rPr>
        <w:t>fail</w:t>
      </w:r>
      <w:r>
        <w:rPr>
          <w:spacing w:val="-6"/>
          <w:u w:val="none"/>
        </w:rPr>
        <w:t> </w:t>
      </w:r>
      <w:r>
        <w:rPr>
          <w:u w:val="none"/>
        </w:rPr>
        <w:t>to</w:t>
      </w:r>
      <w:r>
        <w:rPr>
          <w:spacing w:val="-4"/>
          <w:u w:val="none"/>
        </w:rPr>
        <w:t> </w:t>
      </w:r>
      <w:r>
        <w:rPr>
          <w:u w:val="none"/>
        </w:rPr>
        <w:t>consider</w:t>
      </w:r>
      <w:r>
        <w:rPr>
          <w:spacing w:val="-5"/>
          <w:u w:val="none"/>
        </w:rPr>
        <w:t> </w:t>
      </w:r>
      <w:r>
        <w:rPr>
          <w:u w:val="none"/>
        </w:rPr>
        <w:t>all</w:t>
      </w:r>
      <w:r>
        <w:rPr>
          <w:spacing w:val="-6"/>
          <w:u w:val="none"/>
        </w:rPr>
        <w:t> </w:t>
      </w:r>
      <w:r>
        <w:rPr>
          <w:u w:val="none"/>
        </w:rPr>
        <w:t>identities</w:t>
      </w:r>
      <w:r>
        <w:rPr>
          <w:spacing w:val="-5"/>
          <w:u w:val="none"/>
        </w:rPr>
        <w:t> </w:t>
      </w:r>
      <w:r>
        <w:rPr>
          <w:u w:val="none"/>
        </w:rPr>
        <w:t>in</w:t>
      </w:r>
      <w:r>
        <w:rPr>
          <w:spacing w:val="-6"/>
          <w:u w:val="none"/>
        </w:rPr>
        <w:t> </w:t>
      </w:r>
      <w:r>
        <w:rPr>
          <w:u w:val="none"/>
        </w:rPr>
        <w:t>our</w:t>
      </w:r>
      <w:r>
        <w:rPr>
          <w:spacing w:val="-4"/>
          <w:u w:val="none"/>
        </w:rPr>
        <w:t> </w:t>
      </w:r>
      <w:r>
        <w:rPr>
          <w:u w:val="none"/>
        </w:rPr>
        <w:t>provision</w:t>
      </w:r>
      <w:r>
        <w:rPr>
          <w:spacing w:val="-6"/>
          <w:u w:val="none"/>
        </w:rPr>
        <w:t> </w:t>
      </w:r>
      <w:r>
        <w:rPr>
          <w:u w:val="none"/>
        </w:rPr>
        <w:t>of</w:t>
      </w:r>
      <w:r>
        <w:rPr>
          <w:spacing w:val="-5"/>
          <w:u w:val="none"/>
        </w:rPr>
        <w:t> </w:t>
      </w:r>
      <w:r>
        <w:rPr>
          <w:u w:val="none"/>
        </w:rPr>
        <w:t>services,</w:t>
      </w:r>
      <w:r>
        <w:rPr>
          <w:spacing w:val="-5"/>
          <w:u w:val="none"/>
        </w:rPr>
        <w:t> </w:t>
      </w:r>
      <w:r>
        <w:rPr>
          <w:u w:val="none"/>
        </w:rPr>
        <w:t>we</w:t>
      </w:r>
      <w:r>
        <w:rPr>
          <w:spacing w:val="40"/>
          <w:u w:val="none"/>
        </w:rPr>
        <w:t> </w:t>
      </w:r>
      <w:r>
        <w:rPr>
          <w:u w:val="none"/>
        </w:rPr>
        <w:t>have</w:t>
      </w:r>
      <w:r>
        <w:rPr>
          <w:spacing w:val="-6"/>
          <w:u w:val="none"/>
        </w:rPr>
        <w:t> </w:t>
      </w:r>
      <w:r>
        <w:rPr>
          <w:u w:val="none"/>
        </w:rPr>
        <w:t>to</w:t>
      </w:r>
      <w:r>
        <w:rPr>
          <w:spacing w:val="-5"/>
          <w:u w:val="none"/>
        </w:rPr>
        <w:t> </w:t>
      </w:r>
      <w:r>
        <w:rPr>
          <w:u w:val="none"/>
        </w:rPr>
        <w:t>admit</w:t>
      </w:r>
      <w:r>
        <w:rPr>
          <w:spacing w:val="-5"/>
          <w:u w:val="none"/>
        </w:rPr>
        <w:t> </w:t>
      </w:r>
      <w:r>
        <w:rPr>
          <w:u w:val="none"/>
        </w:rPr>
        <w:t>that</w:t>
      </w:r>
      <w:r>
        <w:rPr>
          <w:spacing w:val="-6"/>
          <w:u w:val="none"/>
        </w:rPr>
        <w:t> </w:t>
      </w:r>
      <w:r>
        <w:rPr>
          <w:u w:val="none"/>
        </w:rPr>
        <w:t>we</w:t>
      </w:r>
      <w:r>
        <w:rPr>
          <w:spacing w:val="-6"/>
          <w:u w:val="none"/>
        </w:rPr>
        <w:t> </w:t>
      </w:r>
      <w:r>
        <w:rPr>
          <w:u w:val="none"/>
        </w:rPr>
        <w:t>are active participants in a rigged system.</w:t>
      </w:r>
    </w:p>
    <w:p>
      <w:pPr>
        <w:pStyle w:val="BodyText"/>
      </w:pPr>
    </w:p>
    <w:p>
      <w:pPr>
        <w:pStyle w:val="BodyText"/>
        <w:ind w:left="263" w:right="263"/>
        <w:jc w:val="both"/>
      </w:pPr>
      <w:r>
        <w:rPr/>
        <w:t>More often than not, other marginalized intersections are not considered when addressing systemic barriers to services. Understanding these not-so-subtle nuances in identities is critical to servicing all youth and preparing them to thrive in a world built to work against them. Doing so often places our</w:t>
      </w:r>
    </w:p>
    <w:p>
      <w:pPr>
        <w:spacing w:after="0"/>
        <w:jc w:val="both"/>
        <w:sectPr>
          <w:pgSz w:w="12240" w:h="15840"/>
          <w:pgMar w:top="1400" w:bottom="280" w:left="1320" w:right="1320"/>
        </w:sectPr>
      </w:pPr>
    </w:p>
    <w:p>
      <w:pPr>
        <w:pStyle w:val="BodyText"/>
        <w:spacing w:before="40"/>
        <w:ind w:left="264" w:right="262"/>
        <w:jc w:val="both"/>
      </w:pPr>
      <w:r>
        <w:rPr/>
        <w:t>young people in a never-ending cycle of oppression. When we look at youth holistically, we move beyond</w:t>
      </w:r>
      <w:r>
        <w:rPr>
          <w:spacing w:val="-13"/>
        </w:rPr>
        <w:t> </w:t>
      </w:r>
      <w:r>
        <w:rPr/>
        <w:t>micro-level</w:t>
      </w:r>
      <w:r>
        <w:rPr>
          <w:spacing w:val="-12"/>
        </w:rPr>
        <w:t> </w:t>
      </w:r>
      <w:r>
        <w:rPr/>
        <w:t>approaches</w:t>
      </w:r>
      <w:r>
        <w:rPr>
          <w:spacing w:val="-11"/>
        </w:rPr>
        <w:t> </w:t>
      </w:r>
      <w:r>
        <w:rPr/>
        <w:t>to</w:t>
      </w:r>
      <w:r>
        <w:rPr>
          <w:spacing w:val="-11"/>
        </w:rPr>
        <w:t> </w:t>
      </w:r>
      <w:r>
        <w:rPr/>
        <w:t>care</w:t>
      </w:r>
      <w:r>
        <w:rPr>
          <w:spacing w:val="-12"/>
        </w:rPr>
        <w:t> </w:t>
      </w:r>
      <w:r>
        <w:rPr/>
        <w:t>and</w:t>
      </w:r>
      <w:r>
        <w:rPr>
          <w:spacing w:val="-12"/>
        </w:rPr>
        <w:t> </w:t>
      </w:r>
      <w:r>
        <w:rPr/>
        <w:t>service</w:t>
      </w:r>
      <w:r>
        <w:rPr>
          <w:spacing w:val="-12"/>
        </w:rPr>
        <w:t> </w:t>
      </w:r>
      <w:r>
        <w:rPr/>
        <w:t>provision</w:t>
      </w:r>
      <w:r>
        <w:rPr>
          <w:spacing w:val="-13"/>
        </w:rPr>
        <w:t> </w:t>
      </w:r>
      <w:r>
        <w:rPr/>
        <w:t>onto</w:t>
      </w:r>
      <w:r>
        <w:rPr>
          <w:spacing w:val="-11"/>
        </w:rPr>
        <w:t> </w:t>
      </w:r>
      <w:r>
        <w:rPr/>
        <w:t>a</w:t>
      </w:r>
      <w:r>
        <w:rPr>
          <w:spacing w:val="-12"/>
        </w:rPr>
        <w:t> </w:t>
      </w:r>
      <w:r>
        <w:rPr/>
        <w:t>path</w:t>
      </w:r>
      <w:r>
        <w:rPr>
          <w:spacing w:val="-12"/>
        </w:rPr>
        <w:t> </w:t>
      </w:r>
      <w:r>
        <w:rPr/>
        <w:t>that</w:t>
      </w:r>
      <w:r>
        <w:rPr>
          <w:spacing w:val="-12"/>
        </w:rPr>
        <w:t> </w:t>
      </w:r>
      <w:r>
        <w:rPr/>
        <w:t>will</w:t>
      </w:r>
      <w:r>
        <w:rPr>
          <w:spacing w:val="-12"/>
        </w:rPr>
        <w:t> </w:t>
      </w:r>
      <w:r>
        <w:rPr/>
        <w:t>create</w:t>
      </w:r>
      <w:r>
        <w:rPr>
          <w:spacing w:val="-12"/>
        </w:rPr>
        <w:t> </w:t>
      </w:r>
      <w:r>
        <w:rPr/>
        <w:t>real</w:t>
      </w:r>
      <w:r>
        <w:rPr>
          <w:spacing w:val="-11"/>
        </w:rPr>
        <w:t> </w:t>
      </w:r>
      <w:r>
        <w:rPr/>
        <w:t>structural change</w:t>
      </w:r>
      <w:r>
        <w:rPr>
          <w:spacing w:val="-8"/>
        </w:rPr>
        <w:t> </w:t>
      </w:r>
      <w:r>
        <w:rPr/>
        <w:t>that</w:t>
      </w:r>
      <w:r>
        <w:rPr>
          <w:spacing w:val="-8"/>
        </w:rPr>
        <w:t> </w:t>
      </w:r>
      <w:r>
        <w:rPr/>
        <w:t>benefits</w:t>
      </w:r>
      <w:r>
        <w:rPr>
          <w:spacing w:val="-8"/>
        </w:rPr>
        <w:t> </w:t>
      </w:r>
      <w:r>
        <w:rPr/>
        <w:t>the</w:t>
      </w:r>
      <w:r>
        <w:rPr>
          <w:spacing w:val="-9"/>
        </w:rPr>
        <w:t> </w:t>
      </w:r>
      <w:r>
        <w:rPr/>
        <w:t>whole</w:t>
      </w:r>
      <w:r>
        <w:rPr>
          <w:spacing w:val="-9"/>
        </w:rPr>
        <w:t> </w:t>
      </w:r>
      <w:r>
        <w:rPr/>
        <w:t>person</w:t>
      </w:r>
      <w:r>
        <w:rPr>
          <w:spacing w:val="-10"/>
        </w:rPr>
        <w:t> </w:t>
      </w:r>
      <w:r>
        <w:rPr/>
        <w:t>and</w:t>
      </w:r>
      <w:r>
        <w:rPr>
          <w:spacing w:val="-9"/>
        </w:rPr>
        <w:t> </w:t>
      </w:r>
      <w:r>
        <w:rPr/>
        <w:t>community.</w:t>
      </w:r>
      <w:r>
        <w:rPr>
          <w:spacing w:val="-10"/>
        </w:rPr>
        <w:t> </w:t>
      </w:r>
      <w:r>
        <w:rPr/>
        <w:t>Advocating</w:t>
      </w:r>
      <w:r>
        <w:rPr>
          <w:spacing w:val="-9"/>
        </w:rPr>
        <w:t> </w:t>
      </w:r>
      <w:r>
        <w:rPr/>
        <w:t>and</w:t>
      </w:r>
      <w:r>
        <w:rPr>
          <w:spacing w:val="-8"/>
        </w:rPr>
        <w:t> </w:t>
      </w:r>
      <w:r>
        <w:rPr/>
        <w:t>creating</w:t>
      </w:r>
      <w:r>
        <w:rPr>
          <w:spacing w:val="-8"/>
        </w:rPr>
        <w:t> </w:t>
      </w:r>
      <w:r>
        <w:rPr/>
        <w:t>pathways</w:t>
      </w:r>
      <w:r>
        <w:rPr>
          <w:spacing w:val="-8"/>
        </w:rPr>
        <w:t> </w:t>
      </w:r>
      <w:r>
        <w:rPr/>
        <w:t>to</w:t>
      </w:r>
      <w:r>
        <w:rPr>
          <w:spacing w:val="-9"/>
        </w:rPr>
        <w:t> </w:t>
      </w:r>
      <w:r>
        <w:rPr/>
        <w:t>freedom and equity</w:t>
      </w:r>
      <w:r>
        <w:rPr>
          <w:spacing w:val="40"/>
        </w:rPr>
        <w:t> </w:t>
      </w:r>
      <w:r>
        <w:rPr/>
        <w:t>for the most marginalized person in the room not only liberates everyone else, it chips away at a broken system in order to rebuild better.</w:t>
      </w:r>
    </w:p>
    <w:p>
      <w:pPr>
        <w:pStyle w:val="BodyText"/>
      </w:pPr>
    </w:p>
    <w:p>
      <w:pPr>
        <w:pStyle w:val="BodyText"/>
        <w:spacing w:before="1"/>
        <w:ind w:left="264" w:right="261"/>
        <w:jc w:val="both"/>
      </w:pPr>
      <w:r>
        <w:rPr/>
        <w:t>For</w:t>
      </w:r>
      <w:r>
        <w:rPr>
          <w:spacing w:val="-6"/>
        </w:rPr>
        <w:t> </w:t>
      </w:r>
      <w:r>
        <w:rPr/>
        <w:t>32</w:t>
      </w:r>
      <w:r>
        <w:rPr>
          <w:spacing w:val="-6"/>
        </w:rPr>
        <w:t> </w:t>
      </w:r>
      <w:r>
        <w:rPr/>
        <w:t>years,</w:t>
      </w:r>
      <w:r>
        <w:rPr>
          <w:spacing w:val="-5"/>
        </w:rPr>
        <w:t> </w:t>
      </w:r>
      <w:r>
        <w:rPr/>
        <w:t>the</w:t>
      </w:r>
      <w:r>
        <w:rPr>
          <w:spacing w:val="-5"/>
        </w:rPr>
        <w:t> </w:t>
      </w:r>
      <w:r>
        <w:rPr/>
        <w:t>Commission</w:t>
      </w:r>
      <w:r>
        <w:rPr>
          <w:spacing w:val="-7"/>
        </w:rPr>
        <w:t> </w:t>
      </w:r>
      <w:r>
        <w:rPr/>
        <w:t>has</w:t>
      </w:r>
      <w:r>
        <w:rPr>
          <w:spacing w:val="-5"/>
        </w:rPr>
        <w:t> </w:t>
      </w:r>
      <w:r>
        <w:rPr/>
        <w:t>had</w:t>
      </w:r>
      <w:r>
        <w:rPr>
          <w:spacing w:val="-6"/>
        </w:rPr>
        <w:t> </w:t>
      </w:r>
      <w:r>
        <w:rPr/>
        <w:t>the</w:t>
      </w:r>
      <w:r>
        <w:rPr>
          <w:spacing w:val="-7"/>
        </w:rPr>
        <w:t> </w:t>
      </w:r>
      <w:r>
        <w:rPr/>
        <w:t>honor</w:t>
      </w:r>
      <w:r>
        <w:rPr>
          <w:spacing w:val="-5"/>
        </w:rPr>
        <w:t> </w:t>
      </w:r>
      <w:r>
        <w:rPr/>
        <w:t>of</w:t>
      </w:r>
      <w:r>
        <w:rPr>
          <w:spacing w:val="-6"/>
        </w:rPr>
        <w:t> </w:t>
      </w:r>
      <w:r>
        <w:rPr/>
        <w:t>working</w:t>
      </w:r>
      <w:r>
        <w:rPr>
          <w:spacing w:val="-7"/>
        </w:rPr>
        <w:t> </w:t>
      </w:r>
      <w:r>
        <w:rPr/>
        <w:t>with</w:t>
      </w:r>
      <w:r>
        <w:rPr>
          <w:spacing w:val="-6"/>
        </w:rPr>
        <w:t> </w:t>
      </w:r>
      <w:r>
        <w:rPr/>
        <w:t>many</w:t>
      </w:r>
      <w:r>
        <w:rPr>
          <w:spacing w:val="-6"/>
        </w:rPr>
        <w:t> </w:t>
      </w:r>
      <w:r>
        <w:rPr/>
        <w:t>advocates,</w:t>
      </w:r>
      <w:r>
        <w:rPr>
          <w:spacing w:val="-6"/>
        </w:rPr>
        <w:t> </w:t>
      </w:r>
      <w:r>
        <w:rPr/>
        <w:t>legislators,</w:t>
      </w:r>
      <w:r>
        <w:rPr>
          <w:spacing w:val="-5"/>
        </w:rPr>
        <w:t> </w:t>
      </w:r>
      <w:r>
        <w:rPr/>
        <w:t>parents, teachers,</w:t>
      </w:r>
      <w:r>
        <w:rPr>
          <w:spacing w:val="-1"/>
        </w:rPr>
        <w:t> </w:t>
      </w:r>
      <w:r>
        <w:rPr/>
        <w:t>and</w:t>
      </w:r>
      <w:r>
        <w:rPr>
          <w:spacing w:val="-1"/>
        </w:rPr>
        <w:t> </w:t>
      </w:r>
      <w:r>
        <w:rPr/>
        <w:t>administrators</w:t>
      </w:r>
      <w:r>
        <w:rPr>
          <w:spacing w:val="-1"/>
        </w:rPr>
        <w:t> </w:t>
      </w:r>
      <w:r>
        <w:rPr/>
        <w:t>who</w:t>
      </w:r>
      <w:r>
        <w:rPr>
          <w:spacing w:val="-1"/>
        </w:rPr>
        <w:t> </w:t>
      </w:r>
      <w:r>
        <w:rPr/>
        <w:t>care</w:t>
      </w:r>
      <w:r>
        <w:rPr>
          <w:spacing w:val="-1"/>
        </w:rPr>
        <w:t> </w:t>
      </w:r>
      <w:r>
        <w:rPr/>
        <w:t>deeply</w:t>
      </w:r>
      <w:r>
        <w:rPr>
          <w:spacing w:val="-1"/>
        </w:rPr>
        <w:t> </w:t>
      </w:r>
      <w:r>
        <w:rPr/>
        <w:t>for</w:t>
      </w:r>
      <w:r>
        <w:rPr>
          <w:spacing w:val="-2"/>
        </w:rPr>
        <w:t> </w:t>
      </w:r>
      <w:r>
        <w:rPr/>
        <w:t>youth,</w:t>
      </w:r>
      <w:r>
        <w:rPr>
          <w:spacing w:val="-2"/>
        </w:rPr>
        <w:t> </w:t>
      </w:r>
      <w:r>
        <w:rPr/>
        <w:t>and</w:t>
      </w:r>
      <w:r>
        <w:rPr>
          <w:spacing w:val="-1"/>
        </w:rPr>
        <w:t> </w:t>
      </w:r>
      <w:r>
        <w:rPr/>
        <w:t>we</w:t>
      </w:r>
      <w:r>
        <w:rPr>
          <w:spacing w:val="-1"/>
        </w:rPr>
        <w:t> </w:t>
      </w:r>
      <w:r>
        <w:rPr/>
        <w:t>commend</w:t>
      </w:r>
      <w:r>
        <w:rPr>
          <w:spacing w:val="-1"/>
        </w:rPr>
        <w:t> </w:t>
      </w:r>
      <w:r>
        <w:rPr/>
        <w:t>their</w:t>
      </w:r>
      <w:r>
        <w:rPr>
          <w:spacing w:val="-1"/>
        </w:rPr>
        <w:t> </w:t>
      </w:r>
      <w:r>
        <w:rPr/>
        <w:t>important</w:t>
      </w:r>
      <w:r>
        <w:rPr>
          <w:spacing w:val="-1"/>
        </w:rPr>
        <w:t> </w:t>
      </w:r>
      <w:r>
        <w:rPr/>
        <w:t>work</w:t>
      </w:r>
      <w:r>
        <w:rPr>
          <w:spacing w:val="-1"/>
        </w:rPr>
        <w:t> </w:t>
      </w:r>
      <w:r>
        <w:rPr/>
        <w:t>thus far. With their help, the Commonwealth has become a leader in model legislation and policies which have drastically improved outcomes for LGBTQ youth. This work includes our expansive anti- discrimination protections for sexual orientation and gender identity; comprehensive anti-bullying laws; and nonbinary gender markers in schools, agencies, and state identification. The Commission implores the Commonwealth to persevere in this critical work, and continue to cultivate brave and nurturing spaces and communities where all youth can thrive.</w:t>
      </w:r>
    </w:p>
    <w:p>
      <w:pPr>
        <w:pStyle w:val="BodyText"/>
        <w:spacing w:before="268"/>
        <w:ind w:left="264" w:right="262"/>
        <w:jc w:val="both"/>
      </w:pPr>
      <w:r>
        <w:rPr/>
        <w:t>Within this FY 2025 report, we have collaborated with more than 20 state entities to report on their progress and, where necessary, provide new recommendations to improve the gaps in policy and service provision for LGBTQ youth in The Commonwealth . These recommendations are intended to amplify,</w:t>
      </w:r>
      <w:r>
        <w:rPr>
          <w:spacing w:val="39"/>
        </w:rPr>
        <w:t> </w:t>
      </w:r>
      <w:r>
        <w:rPr/>
        <w:t>the</w:t>
      </w:r>
      <w:r>
        <w:rPr>
          <w:spacing w:val="-5"/>
        </w:rPr>
        <w:t> </w:t>
      </w:r>
      <w:r>
        <w:rPr/>
        <w:t>voices</w:t>
      </w:r>
      <w:r>
        <w:rPr>
          <w:spacing w:val="-6"/>
        </w:rPr>
        <w:t> </w:t>
      </w:r>
      <w:r>
        <w:rPr/>
        <w:t>of</w:t>
      </w:r>
      <w:r>
        <w:rPr>
          <w:spacing w:val="-6"/>
        </w:rPr>
        <w:t> </w:t>
      </w:r>
      <w:r>
        <w:rPr/>
        <w:t>the</w:t>
      </w:r>
      <w:r>
        <w:rPr>
          <w:spacing w:val="-4"/>
        </w:rPr>
        <w:t> </w:t>
      </w:r>
      <w:r>
        <w:rPr/>
        <w:t>most</w:t>
      </w:r>
      <w:r>
        <w:rPr>
          <w:spacing w:val="-7"/>
        </w:rPr>
        <w:t> </w:t>
      </w:r>
      <w:r>
        <w:rPr/>
        <w:t>marginalized</w:t>
      </w:r>
      <w:r>
        <w:rPr>
          <w:spacing w:val="-5"/>
        </w:rPr>
        <w:t> </w:t>
      </w:r>
      <w:r>
        <w:rPr/>
        <w:t>young</w:t>
      </w:r>
      <w:r>
        <w:rPr>
          <w:spacing w:val="-4"/>
        </w:rPr>
        <w:t> </w:t>
      </w:r>
      <w:r>
        <w:rPr/>
        <w:t>people</w:t>
      </w:r>
      <w:r>
        <w:rPr>
          <w:spacing w:val="-5"/>
        </w:rPr>
        <w:t> </w:t>
      </w:r>
      <w:r>
        <w:rPr/>
        <w:t>in</w:t>
      </w:r>
      <w:r>
        <w:rPr>
          <w:spacing w:val="-5"/>
        </w:rPr>
        <w:t> </w:t>
      </w:r>
      <w:r>
        <w:rPr/>
        <w:t>the</w:t>
      </w:r>
      <w:r>
        <w:rPr>
          <w:spacing w:val="-5"/>
        </w:rPr>
        <w:t> </w:t>
      </w:r>
      <w:r>
        <w:rPr/>
        <w:t>LGBTQ</w:t>
      </w:r>
      <w:r>
        <w:rPr>
          <w:spacing w:val="-5"/>
        </w:rPr>
        <w:t> </w:t>
      </w:r>
      <w:r>
        <w:rPr/>
        <w:t>community;</w:t>
      </w:r>
      <w:r>
        <w:rPr>
          <w:spacing w:val="-5"/>
        </w:rPr>
        <w:t> </w:t>
      </w:r>
      <w:r>
        <w:rPr/>
        <w:t>especially</w:t>
      </w:r>
      <w:r>
        <w:rPr>
          <w:spacing w:val="-6"/>
        </w:rPr>
        <w:t> </w:t>
      </w:r>
      <w:r>
        <w:rPr/>
        <w:t>Black, Brown,</w:t>
      </w:r>
      <w:r>
        <w:rPr>
          <w:spacing w:val="-11"/>
        </w:rPr>
        <w:t> </w:t>
      </w:r>
      <w:r>
        <w:rPr/>
        <w:t>Indigenous,</w:t>
      </w:r>
      <w:r>
        <w:rPr>
          <w:spacing w:val="-11"/>
        </w:rPr>
        <w:t> </w:t>
      </w:r>
      <w:r>
        <w:rPr/>
        <w:t>immigrant,</w:t>
      </w:r>
      <w:r>
        <w:rPr>
          <w:spacing w:val="-11"/>
        </w:rPr>
        <w:t> </w:t>
      </w:r>
      <w:r>
        <w:rPr/>
        <w:t>disabled,</w:t>
      </w:r>
      <w:r>
        <w:rPr>
          <w:spacing w:val="-11"/>
        </w:rPr>
        <w:t> </w:t>
      </w:r>
      <w:r>
        <w:rPr/>
        <w:t>neurodivergent,</w:t>
      </w:r>
      <w:r>
        <w:rPr>
          <w:spacing w:val="-9"/>
        </w:rPr>
        <w:t> </w:t>
      </w:r>
      <w:r>
        <w:rPr/>
        <w:t>transgender,</w:t>
      </w:r>
      <w:r>
        <w:rPr>
          <w:spacing w:val="-11"/>
        </w:rPr>
        <w:t> </w:t>
      </w:r>
      <w:r>
        <w:rPr/>
        <w:t>intersex,</w:t>
      </w:r>
      <w:r>
        <w:rPr>
          <w:spacing w:val="-8"/>
        </w:rPr>
        <w:t> </w:t>
      </w:r>
      <w:r>
        <w:rPr/>
        <w:t>and</w:t>
      </w:r>
      <w:r>
        <w:rPr>
          <w:spacing w:val="-10"/>
        </w:rPr>
        <w:t> </w:t>
      </w:r>
      <w:r>
        <w:rPr/>
        <w:t>gender</w:t>
      </w:r>
      <w:r>
        <w:rPr>
          <w:spacing w:val="-10"/>
        </w:rPr>
        <w:t> </w:t>
      </w:r>
      <w:r>
        <w:rPr/>
        <w:t>expansive youth, as well as those in foster care, experiencing homelessness, are incarcerated, or have experienced sexual exploitation.</w:t>
      </w:r>
    </w:p>
    <w:p>
      <w:pPr>
        <w:pStyle w:val="BodyText"/>
        <w:spacing w:before="268"/>
        <w:ind w:left="264" w:right="262"/>
        <w:jc w:val="both"/>
      </w:pPr>
      <w:r>
        <w:rPr/>
        <w:t>As the Commission continues</w:t>
      </w:r>
      <w:r>
        <w:rPr>
          <w:spacing w:val="40"/>
        </w:rPr>
        <w:t> </w:t>
      </w:r>
      <w:r>
        <w:rPr/>
        <w:t>advocating on the behalf of LGBTQ youth, we also look to renew our focus to hold ourselves, our colleagues, school communities &amp; districts, legislators, and agencies accountable to proactive, consistent, and inclusive approaches to service provision that will create long-lasting change. As we look to publish new recommendations and special reports on the realities of LGBTQ and QTBIPOC youth in the Commonwealth, we call to action all those in position to make significant changes to address the harms and disparities faced by too many in this state. In doing so, we believe that the Commonwealth will become the standard.</w:t>
      </w:r>
    </w:p>
    <w:p>
      <w:pPr>
        <w:pStyle w:val="BodyText"/>
      </w:pPr>
    </w:p>
    <w:p>
      <w:pPr>
        <w:pStyle w:val="BodyText"/>
        <w:ind w:left="264"/>
      </w:pPr>
      <w:r>
        <w:rPr>
          <w:spacing w:val="-2"/>
        </w:rPr>
        <w:t>Sincerely,</w:t>
      </w:r>
    </w:p>
    <w:p>
      <w:pPr>
        <w:pStyle w:val="BodyText"/>
      </w:pPr>
    </w:p>
    <w:p>
      <w:pPr>
        <w:pStyle w:val="BodyText"/>
      </w:pPr>
    </w:p>
    <w:p>
      <w:pPr>
        <w:pStyle w:val="BodyText"/>
        <w:spacing w:before="1"/>
        <w:ind w:left="264" w:right="7526"/>
      </w:pPr>
      <w:r>
        <w:rPr/>
        <w:t>Craig</w:t>
      </w:r>
      <w:r>
        <w:rPr>
          <w:spacing w:val="-13"/>
        </w:rPr>
        <w:t> </w:t>
      </w:r>
      <w:r>
        <w:rPr/>
        <w:t>Aarons-Martin </w:t>
      </w:r>
      <w:r>
        <w:rPr>
          <w:spacing w:val="-2"/>
        </w:rPr>
        <w:t>Co-Chair</w:t>
      </w:r>
      <w:r>
        <w:rPr>
          <w:spacing w:val="40"/>
        </w:rPr>
        <w:t> </w:t>
      </w:r>
      <w:r>
        <w:rPr>
          <w:spacing w:val="-2"/>
        </w:rPr>
        <w:t>He/Him/His</w:t>
      </w:r>
    </w:p>
    <w:p>
      <w:pPr>
        <w:pStyle w:val="BodyText"/>
        <w:spacing w:before="268"/>
        <w:ind w:left="264" w:right="8199"/>
      </w:pPr>
      <w:r>
        <w:rPr/>
        <w:t>Noemi</w:t>
      </w:r>
      <w:r>
        <w:rPr>
          <w:spacing w:val="-13"/>
        </w:rPr>
        <w:t> </w:t>
      </w:r>
      <w:r>
        <w:rPr/>
        <w:t>Uribe </w:t>
      </w:r>
      <w:r>
        <w:rPr>
          <w:spacing w:val="-2"/>
        </w:rPr>
        <w:t>Co-Chair They/She</w:t>
      </w:r>
    </w:p>
    <w:p>
      <w:pPr>
        <w:pStyle w:val="BodyText"/>
      </w:pPr>
    </w:p>
    <w:p>
      <w:pPr>
        <w:pStyle w:val="BodyText"/>
        <w:ind w:left="264" w:right="7694"/>
      </w:pPr>
      <w:r>
        <w:rPr/>
        <w:t>Shaplaie Brooks Executive</w:t>
      </w:r>
      <w:r>
        <w:rPr>
          <w:spacing w:val="-13"/>
        </w:rPr>
        <w:t> </w:t>
      </w:r>
      <w:r>
        <w:rPr/>
        <w:t>Director </w:t>
      </w:r>
      <w:r>
        <w:rPr>
          <w:spacing w:val="-2"/>
        </w:rPr>
        <w:t>She/Her/Hers</w:t>
      </w:r>
    </w:p>
    <w:p>
      <w:pPr>
        <w:spacing w:after="0"/>
        <w:sectPr>
          <w:pgSz w:w="12240" w:h="15840"/>
          <w:pgMar w:top="1400" w:bottom="280" w:left="1320" w:right="1320"/>
        </w:sectPr>
      </w:pPr>
    </w:p>
    <w:p>
      <w:pPr>
        <w:pStyle w:val="BodyText"/>
        <w:spacing w:before="357"/>
        <w:rPr>
          <w:sz w:val="73"/>
        </w:rPr>
      </w:pPr>
    </w:p>
    <w:p>
      <w:pPr>
        <w:spacing w:before="0"/>
        <w:ind w:left="1596" w:right="0" w:firstLine="0"/>
        <w:jc w:val="center"/>
        <w:rPr>
          <w:rFonts w:ascii="Georgia"/>
          <w:sz w:val="73"/>
        </w:rPr>
      </w:pPr>
      <w:bookmarkStart w:name="Blue and White Simply Neutral Table of C" w:id="7"/>
      <w:bookmarkEnd w:id="7"/>
      <w:r>
        <w:rPr/>
      </w:r>
      <w:bookmarkStart w:name="_bookmark0" w:id="8"/>
      <w:bookmarkEnd w:id="8"/>
      <w:r>
        <w:rPr/>
      </w:r>
      <w:bookmarkStart w:name="_bookmark1" w:id="9"/>
      <w:bookmarkEnd w:id="9"/>
      <w:r>
        <w:rPr/>
      </w:r>
      <w:bookmarkStart w:name="_bookmark2" w:id="10"/>
      <w:bookmarkEnd w:id="10"/>
      <w:r>
        <w:rPr/>
      </w:r>
      <w:bookmarkStart w:name="_bookmark3" w:id="11"/>
      <w:bookmarkEnd w:id="11"/>
      <w:r>
        <w:rPr/>
      </w:r>
      <w:r>
        <w:rPr>
          <w:rFonts w:ascii="Georgia"/>
          <w:spacing w:val="-28"/>
          <w:sz w:val="73"/>
        </w:rPr>
        <w:t>TABLE</w:t>
      </w:r>
      <w:r>
        <w:rPr>
          <w:rFonts w:ascii="Georgia"/>
          <w:spacing w:val="-16"/>
          <w:sz w:val="73"/>
        </w:rPr>
        <w:t> </w:t>
      </w:r>
      <w:r>
        <w:rPr>
          <w:rFonts w:ascii="Georgia"/>
          <w:spacing w:val="-28"/>
          <w:sz w:val="73"/>
        </w:rPr>
        <w:t>OF</w:t>
      </w:r>
      <w:r>
        <w:rPr>
          <w:rFonts w:ascii="Georgia"/>
          <w:spacing w:val="-15"/>
          <w:sz w:val="73"/>
        </w:rPr>
        <w:t> </w:t>
      </w:r>
      <w:r>
        <w:rPr>
          <w:rFonts w:ascii="Georgia"/>
          <w:spacing w:val="-28"/>
          <w:sz w:val="73"/>
        </w:rPr>
        <w:t>CONTENTS</w:t>
      </w:r>
    </w:p>
    <w:p>
      <w:pPr>
        <w:tabs>
          <w:tab w:pos="9269" w:val="right" w:leader="none"/>
        </w:tabs>
        <w:spacing w:before="485"/>
        <w:ind w:left="1953" w:right="0" w:firstLine="0"/>
        <w:jc w:val="left"/>
        <w:rPr>
          <w:rFonts w:ascii="Georgia"/>
          <w:sz w:val="32"/>
        </w:rPr>
      </w:pPr>
      <w:hyperlink w:history="true" w:anchor="_bookmark8">
        <w:r>
          <w:rPr>
            <w:rFonts w:ascii="Georgia"/>
            <w:spacing w:val="-2"/>
            <w:sz w:val="32"/>
          </w:rPr>
          <w:t>FY</w:t>
        </w:r>
        <w:r>
          <w:rPr>
            <w:rFonts w:ascii="Georgia"/>
            <w:spacing w:val="-14"/>
            <w:sz w:val="32"/>
          </w:rPr>
          <w:t> </w:t>
        </w:r>
        <w:r>
          <w:rPr>
            <w:rFonts w:ascii="Georgia"/>
            <w:spacing w:val="-2"/>
            <w:sz w:val="32"/>
          </w:rPr>
          <w:t>2025</w:t>
        </w:r>
        <w:r>
          <w:rPr>
            <w:rFonts w:ascii="Georgia"/>
            <w:spacing w:val="-14"/>
            <w:sz w:val="32"/>
          </w:rPr>
          <w:t> </w:t>
        </w:r>
        <w:r>
          <w:rPr>
            <w:rFonts w:ascii="Georgia"/>
            <w:spacing w:val="-2"/>
            <w:sz w:val="32"/>
          </w:rPr>
          <w:t>Executive</w:t>
        </w:r>
        <w:r>
          <w:rPr>
            <w:rFonts w:ascii="Georgia"/>
            <w:spacing w:val="-13"/>
            <w:sz w:val="32"/>
          </w:rPr>
          <w:t> </w:t>
        </w:r>
        <w:r>
          <w:rPr>
            <w:rFonts w:ascii="Georgia"/>
            <w:spacing w:val="-2"/>
            <w:sz w:val="32"/>
          </w:rPr>
          <w:t>Summary</w:t>
        </w:r>
        <w:r>
          <w:rPr>
            <w:rFonts w:ascii="Times New Roman"/>
            <w:sz w:val="32"/>
          </w:rPr>
          <w:tab/>
        </w:r>
        <w:r>
          <w:rPr>
            <w:rFonts w:ascii="Georgia"/>
            <w:spacing w:val="-10"/>
            <w:position w:val="1"/>
            <w:sz w:val="32"/>
          </w:rPr>
          <w:t>1</w:t>
        </w:r>
      </w:hyperlink>
    </w:p>
    <w:p>
      <w:pPr>
        <w:spacing w:after="0"/>
        <w:jc w:val="left"/>
        <w:rPr>
          <w:rFonts w:ascii="Georgia"/>
          <w:sz w:val="32"/>
        </w:rPr>
        <w:sectPr>
          <w:footerReference w:type="default" r:id="rId10"/>
          <w:pgSz w:w="12240" w:h="15840"/>
          <w:pgMar w:header="0" w:footer="1100" w:top="400" w:bottom="1280" w:left="1720" w:right="960"/>
        </w:sectPr>
      </w:pPr>
    </w:p>
    <w:p>
      <w:pPr>
        <w:spacing w:line="415" w:lineRule="auto" w:before="262"/>
        <w:ind w:left="1953" w:right="1854" w:firstLine="0"/>
        <w:jc w:val="left"/>
        <w:rPr>
          <w:rFonts w:ascii="Georgia"/>
          <w:sz w:val="32"/>
        </w:rPr>
      </w:pPr>
      <w:hyperlink w:history="true" w:anchor="_bookmark9">
        <w:r>
          <w:rPr>
            <w:rFonts w:ascii="Georgia"/>
            <w:sz w:val="32"/>
          </w:rPr>
          <w:t>Protecting</w:t>
        </w:r>
        <w:r>
          <w:rPr>
            <w:rFonts w:ascii="Georgia"/>
            <w:spacing w:val="-8"/>
            <w:sz w:val="32"/>
          </w:rPr>
          <w:t> </w:t>
        </w:r>
        <w:r>
          <w:rPr>
            <w:rFonts w:ascii="Georgia"/>
            <w:sz w:val="32"/>
          </w:rPr>
          <w:t>LGBTQ</w:t>
        </w:r>
        <w:r>
          <w:rPr>
            <w:rFonts w:ascii="Georgia"/>
            <w:spacing w:val="-8"/>
            <w:sz w:val="32"/>
          </w:rPr>
          <w:t> </w:t>
        </w:r>
        <w:r>
          <w:rPr>
            <w:rFonts w:ascii="Georgia"/>
            <w:sz w:val="32"/>
          </w:rPr>
          <w:t>Child</w:t>
        </w:r>
        <w:r>
          <w:rPr>
            <w:rFonts w:ascii="Georgia"/>
            <w:spacing w:val="-8"/>
            <w:sz w:val="32"/>
          </w:rPr>
          <w:t> </w:t>
        </w:r>
        <w:r>
          <w:rPr>
            <w:rFonts w:ascii="Georgia"/>
            <w:sz w:val="32"/>
          </w:rPr>
          <w:t>Welfare</w:t>
        </w:r>
      </w:hyperlink>
      <w:r>
        <w:rPr>
          <w:rFonts w:ascii="Georgia"/>
          <w:sz w:val="32"/>
        </w:rPr>
        <w:t> </w:t>
      </w:r>
      <w:hyperlink w:history="true" w:anchor="_bookmark39">
        <w:r>
          <w:rPr>
            <w:rFonts w:ascii="Georgia"/>
            <w:sz w:val="32"/>
          </w:rPr>
          <w:t>Uplifting Education</w:t>
        </w:r>
      </w:hyperlink>
      <w:r>
        <w:rPr>
          <w:rFonts w:ascii="Georgia"/>
          <w:sz w:val="32"/>
        </w:rPr>
        <w:t> </w:t>
      </w:r>
      <w:hyperlink w:history="true" w:anchor="_bookmark78">
        <w:r>
          <w:rPr>
            <w:rFonts w:ascii="Georgia"/>
            <w:sz w:val="32"/>
          </w:rPr>
          <w:t>Destigmatizing Public Health</w:t>
        </w:r>
      </w:hyperlink>
      <w:r>
        <w:rPr>
          <w:rFonts w:ascii="Georgia"/>
          <w:sz w:val="32"/>
        </w:rPr>
        <w:t> </w:t>
      </w:r>
      <w:hyperlink w:history="true" w:anchor="_bookmark103">
        <w:r>
          <w:rPr>
            <w:rFonts w:ascii="Georgia"/>
            <w:sz w:val="32"/>
          </w:rPr>
          <w:t>Supporting Mental Health</w:t>
        </w:r>
      </w:hyperlink>
      <w:r>
        <w:rPr>
          <w:rFonts w:ascii="Georgia"/>
          <w:sz w:val="32"/>
        </w:rPr>
        <w:t> </w:t>
      </w:r>
      <w:hyperlink w:history="true" w:anchor="_bookmark192">
        <w:r>
          <w:rPr>
            <w:rFonts w:ascii="Georgia"/>
            <w:sz w:val="32"/>
          </w:rPr>
          <w:t>Addressing Pediatric Health</w:t>
        </w:r>
      </w:hyperlink>
    </w:p>
    <w:p>
      <w:pPr>
        <w:spacing w:line="342" w:lineRule="exact" w:before="0"/>
        <w:ind w:left="1953" w:right="0" w:firstLine="0"/>
        <w:jc w:val="left"/>
        <w:rPr>
          <w:rFonts w:ascii="Georgia"/>
          <w:sz w:val="32"/>
        </w:rPr>
      </w:pPr>
      <w:hyperlink w:history="true" w:anchor="_bookmark193">
        <w:r>
          <w:rPr>
            <w:rFonts w:ascii="Georgia"/>
            <w:sz w:val="32"/>
          </w:rPr>
          <w:t>Broadening</w:t>
        </w:r>
        <w:r>
          <w:rPr>
            <w:rFonts w:ascii="Georgia"/>
            <w:spacing w:val="30"/>
            <w:sz w:val="32"/>
          </w:rPr>
          <w:t> </w:t>
        </w:r>
        <w:r>
          <w:rPr>
            <w:rFonts w:ascii="Georgia"/>
            <w:sz w:val="32"/>
          </w:rPr>
          <w:t>Pregnancy</w:t>
        </w:r>
        <w:r>
          <w:rPr>
            <w:rFonts w:ascii="Georgia"/>
            <w:spacing w:val="31"/>
            <w:sz w:val="32"/>
          </w:rPr>
          <w:t> </w:t>
        </w:r>
        <w:r>
          <w:rPr>
            <w:rFonts w:ascii="Georgia"/>
            <w:sz w:val="32"/>
          </w:rPr>
          <w:t>&amp;</w:t>
        </w:r>
        <w:r>
          <w:rPr>
            <w:rFonts w:ascii="Georgia"/>
            <w:spacing w:val="31"/>
            <w:sz w:val="32"/>
          </w:rPr>
          <w:t> </w:t>
        </w:r>
        <w:r>
          <w:rPr>
            <w:rFonts w:ascii="Georgia"/>
            <w:sz w:val="32"/>
          </w:rPr>
          <w:t>Gynecological</w:t>
        </w:r>
        <w:r>
          <w:rPr>
            <w:rFonts w:ascii="Georgia"/>
            <w:spacing w:val="31"/>
            <w:sz w:val="32"/>
          </w:rPr>
          <w:t> </w:t>
        </w:r>
        <w:r>
          <w:rPr>
            <w:rFonts w:ascii="Georgia"/>
            <w:spacing w:val="-2"/>
            <w:sz w:val="32"/>
          </w:rPr>
          <w:t>Health</w:t>
        </w:r>
      </w:hyperlink>
    </w:p>
    <w:p>
      <w:pPr>
        <w:spacing w:line="415" w:lineRule="auto" w:before="303"/>
        <w:ind w:left="1953" w:right="2917" w:firstLine="0"/>
        <w:jc w:val="left"/>
        <w:rPr>
          <w:rFonts w:ascii="Georgia"/>
          <w:sz w:val="32"/>
        </w:rPr>
      </w:pPr>
      <w:r>
        <w:rPr>
          <w:rFonts w:ascii="Georgia"/>
          <w:sz w:val="32"/>
        </w:rPr>
        <w:t>I</w:t>
      </w:r>
      <w:hyperlink w:history="true" w:anchor="_bookmark270">
        <w:r>
          <w:rPr>
            <w:rFonts w:ascii="Georgia"/>
            <w:sz w:val="32"/>
          </w:rPr>
          <w:t>mproving Sexual Health</w:t>
        </w:r>
      </w:hyperlink>
      <w:r>
        <w:rPr>
          <w:rFonts w:ascii="Georgia"/>
          <w:sz w:val="32"/>
        </w:rPr>
        <w:t> </w:t>
      </w:r>
      <w:hyperlink w:history="true" w:anchor="_bookmark273">
        <w:r>
          <w:rPr>
            <w:rFonts w:ascii="Georgia"/>
            <w:sz w:val="32"/>
          </w:rPr>
          <w:t>Ending Homelessness</w:t>
        </w:r>
      </w:hyperlink>
      <w:r>
        <w:rPr>
          <w:rFonts w:ascii="Georgia"/>
          <w:sz w:val="32"/>
        </w:rPr>
        <w:t> </w:t>
      </w:r>
      <w:hyperlink w:history="true" w:anchor="_bookmark316">
        <w:r>
          <w:rPr>
            <w:rFonts w:ascii="Georgia"/>
            <w:sz w:val="32"/>
          </w:rPr>
          <w:t>Advancing Justice</w:t>
        </w:r>
      </w:hyperlink>
      <w:r>
        <w:rPr>
          <w:rFonts w:ascii="Georgia"/>
          <w:spacing w:val="40"/>
          <w:sz w:val="32"/>
        </w:rPr>
        <w:t> </w:t>
      </w:r>
      <w:hyperlink w:history="true" w:anchor="_bookmark532">
        <w:r>
          <w:rPr>
            <w:rFonts w:ascii="Georgia"/>
            <w:sz w:val="32"/>
          </w:rPr>
          <w:t>Inclusive Service Provision</w:t>
        </w:r>
      </w:hyperlink>
    </w:p>
    <w:p>
      <w:pPr>
        <w:spacing w:line="424" w:lineRule="auto" w:before="18"/>
        <w:ind w:left="1953" w:right="1263" w:firstLine="0"/>
        <w:jc w:val="left"/>
        <w:rPr>
          <w:rFonts w:ascii="Georgia"/>
          <w:sz w:val="32"/>
        </w:rPr>
      </w:pPr>
      <w:hyperlink w:history="true" w:anchor="_bookmark542">
        <w:r>
          <w:rPr>
            <w:rFonts w:ascii="Georgia"/>
            <w:sz w:val="32"/>
          </w:rPr>
          <w:t>Understanding Environmental Justice</w:t>
        </w:r>
      </w:hyperlink>
      <w:r>
        <w:rPr>
          <w:rFonts w:ascii="Georgia"/>
          <w:sz w:val="32"/>
        </w:rPr>
        <w:t> </w:t>
      </w:r>
      <w:hyperlink w:history="true" w:anchor="_bookmark554">
        <w:r>
          <w:rPr>
            <w:rFonts w:ascii="Georgia"/>
            <w:sz w:val="32"/>
          </w:rPr>
          <w:t>Examining Economic Justice</w:t>
        </w:r>
      </w:hyperlink>
      <w:r>
        <w:rPr>
          <w:rFonts w:ascii="Georgia"/>
          <w:sz w:val="32"/>
        </w:rPr>
        <w:t> </w:t>
      </w:r>
      <w:hyperlink w:history="true" w:anchor="_bookmark620">
        <w:r>
          <w:rPr>
            <w:rFonts w:ascii="Georgia"/>
            <w:sz w:val="32"/>
          </w:rPr>
          <w:t>Eliminating Barriers to Services</w:t>
        </w:r>
      </w:hyperlink>
      <w:r>
        <w:rPr>
          <w:rFonts w:ascii="Georgia"/>
          <w:sz w:val="32"/>
        </w:rPr>
        <w:t> </w:t>
      </w:r>
      <w:hyperlink w:history="true" w:anchor="_bookmark623">
        <w:r>
          <w:rPr>
            <w:rFonts w:ascii="Georgia"/>
            <w:sz w:val="32"/>
          </w:rPr>
          <w:t>Agency Recommendations</w:t>
        </w:r>
      </w:hyperlink>
    </w:p>
    <w:p>
      <w:pPr>
        <w:spacing w:before="3"/>
        <w:ind w:left="1953" w:right="0" w:firstLine="0"/>
        <w:jc w:val="left"/>
        <w:rPr>
          <w:rFonts w:ascii="Georgia"/>
          <w:sz w:val="32"/>
        </w:rPr>
      </w:pPr>
      <w:hyperlink w:history="true" w:anchor="_bookmark663">
        <w:r>
          <w:rPr>
            <w:rFonts w:ascii="Georgia"/>
            <w:spacing w:val="-2"/>
            <w:sz w:val="32"/>
          </w:rPr>
          <w:t>Glossary</w:t>
        </w:r>
      </w:hyperlink>
    </w:p>
    <w:p>
      <w:pPr>
        <w:spacing w:before="251"/>
        <w:ind w:left="1953" w:right="0" w:firstLine="0"/>
        <w:jc w:val="left"/>
        <w:rPr>
          <w:rFonts w:ascii="Georgia"/>
          <w:sz w:val="32"/>
        </w:rPr>
      </w:pPr>
      <w:hyperlink w:history="true" w:anchor="_bookmark664">
        <w:r>
          <w:rPr>
            <w:rFonts w:ascii="Georgia"/>
            <w:sz w:val="32"/>
          </w:rPr>
          <w:t>Commission</w:t>
        </w:r>
        <w:r>
          <w:rPr>
            <w:rFonts w:ascii="Georgia"/>
            <w:spacing w:val="1"/>
            <w:sz w:val="32"/>
          </w:rPr>
          <w:t> </w:t>
        </w:r>
        <w:r>
          <w:rPr>
            <w:rFonts w:ascii="Georgia"/>
            <w:sz w:val="32"/>
          </w:rPr>
          <w:t>Member</w:t>
        </w:r>
        <w:r>
          <w:rPr>
            <w:rFonts w:ascii="Georgia"/>
            <w:spacing w:val="1"/>
            <w:sz w:val="32"/>
          </w:rPr>
          <w:t> </w:t>
        </w:r>
        <w:r>
          <w:rPr>
            <w:rFonts w:ascii="Georgia"/>
            <w:spacing w:val="-4"/>
            <w:sz w:val="32"/>
          </w:rPr>
          <w:t>List</w:t>
        </w:r>
      </w:hyperlink>
    </w:p>
    <w:p>
      <w:pPr>
        <w:spacing w:before="255"/>
        <w:ind w:left="305" w:right="0" w:firstLine="0"/>
        <w:jc w:val="left"/>
        <w:rPr>
          <w:rFonts w:ascii="Georgia"/>
          <w:sz w:val="32"/>
        </w:rPr>
      </w:pPr>
      <w:r>
        <w:rPr/>
        <w:br w:type="column"/>
      </w:r>
      <w:hyperlink w:history="true" w:anchor="_bookmark9">
        <w:r>
          <w:rPr>
            <w:rFonts w:ascii="Georgia"/>
            <w:spacing w:val="-5"/>
            <w:sz w:val="32"/>
          </w:rPr>
          <w:t>17</w:t>
        </w:r>
      </w:hyperlink>
    </w:p>
    <w:p>
      <w:pPr>
        <w:spacing w:before="270"/>
        <w:ind w:left="295" w:right="0" w:firstLine="0"/>
        <w:jc w:val="left"/>
        <w:rPr>
          <w:rFonts w:ascii="Georgia"/>
          <w:sz w:val="32"/>
        </w:rPr>
      </w:pPr>
      <w:hyperlink w:history="true" w:anchor="_bookmark39">
        <w:r>
          <w:rPr>
            <w:rFonts w:ascii="Georgia"/>
            <w:spacing w:val="-5"/>
            <w:sz w:val="32"/>
          </w:rPr>
          <w:t>31</w:t>
        </w:r>
      </w:hyperlink>
    </w:p>
    <w:p>
      <w:pPr>
        <w:spacing w:before="261"/>
        <w:ind w:left="294" w:right="0" w:firstLine="0"/>
        <w:jc w:val="left"/>
        <w:rPr>
          <w:rFonts w:ascii="Georgia"/>
          <w:sz w:val="32"/>
        </w:rPr>
      </w:pPr>
      <w:hyperlink w:history="true" w:anchor="_bookmark78">
        <w:r>
          <w:rPr>
            <w:rFonts w:ascii="Georgia"/>
            <w:spacing w:val="-5"/>
            <w:w w:val="95"/>
            <w:sz w:val="32"/>
          </w:rPr>
          <w:t>47</w:t>
        </w:r>
      </w:hyperlink>
    </w:p>
    <w:p>
      <w:pPr>
        <w:spacing w:before="271"/>
        <w:ind w:left="280" w:right="0" w:firstLine="0"/>
        <w:jc w:val="left"/>
        <w:rPr>
          <w:rFonts w:ascii="Georgia"/>
          <w:sz w:val="32"/>
        </w:rPr>
      </w:pPr>
      <w:hyperlink w:history="true" w:anchor="_bookmark103">
        <w:r>
          <w:rPr>
            <w:rFonts w:ascii="Georgia"/>
            <w:spacing w:val="-5"/>
            <w:sz w:val="32"/>
          </w:rPr>
          <w:t>70</w:t>
        </w:r>
      </w:hyperlink>
    </w:p>
    <w:p>
      <w:pPr>
        <w:spacing w:before="261"/>
        <w:ind w:left="281" w:right="0" w:firstLine="0"/>
        <w:jc w:val="left"/>
        <w:rPr>
          <w:rFonts w:ascii="Georgia"/>
          <w:sz w:val="32"/>
        </w:rPr>
      </w:pPr>
      <w:hyperlink w:history="true" w:anchor="_bookmark192">
        <w:r>
          <w:rPr>
            <w:rFonts w:ascii="Georgia"/>
            <w:spacing w:val="-5"/>
            <w:sz w:val="32"/>
          </w:rPr>
          <w:t>94</w:t>
        </w:r>
      </w:hyperlink>
    </w:p>
    <w:p>
      <w:pPr>
        <w:spacing w:before="265"/>
        <w:ind w:left="211" w:right="0" w:firstLine="0"/>
        <w:jc w:val="left"/>
        <w:rPr>
          <w:rFonts w:ascii="Georgia"/>
          <w:sz w:val="32"/>
        </w:rPr>
      </w:pPr>
      <w:hyperlink w:history="true" w:anchor="_bookmark193">
        <w:r>
          <w:rPr>
            <w:rFonts w:ascii="Georgia"/>
            <w:spacing w:val="-5"/>
            <w:sz w:val="32"/>
          </w:rPr>
          <w:t>110</w:t>
        </w:r>
      </w:hyperlink>
    </w:p>
    <w:p>
      <w:pPr>
        <w:spacing w:before="271"/>
        <w:ind w:left="226" w:right="0" w:firstLine="0"/>
        <w:jc w:val="left"/>
        <w:rPr>
          <w:rFonts w:ascii="Georgia"/>
          <w:sz w:val="32"/>
        </w:rPr>
      </w:pPr>
      <w:hyperlink w:history="true" w:anchor="_bookmark270">
        <w:r>
          <w:rPr>
            <w:rFonts w:ascii="Georgia"/>
            <w:spacing w:val="-5"/>
            <w:sz w:val="32"/>
          </w:rPr>
          <w:t>131</w:t>
        </w:r>
      </w:hyperlink>
    </w:p>
    <w:p>
      <w:pPr>
        <w:spacing w:before="275"/>
        <w:ind w:left="216" w:right="0" w:firstLine="0"/>
        <w:jc w:val="left"/>
        <w:rPr>
          <w:rFonts w:ascii="Georgia"/>
          <w:sz w:val="32"/>
        </w:rPr>
      </w:pPr>
      <w:hyperlink w:history="true" w:anchor="_bookmark273">
        <w:r>
          <w:rPr>
            <w:rFonts w:ascii="Georgia"/>
            <w:spacing w:val="-5"/>
            <w:sz w:val="32"/>
          </w:rPr>
          <w:t>145</w:t>
        </w:r>
      </w:hyperlink>
    </w:p>
    <w:p>
      <w:pPr>
        <w:spacing w:before="266"/>
        <w:ind w:left="223" w:right="0" w:firstLine="0"/>
        <w:jc w:val="left"/>
        <w:rPr>
          <w:rFonts w:ascii="Georgia"/>
          <w:sz w:val="32"/>
        </w:rPr>
      </w:pPr>
      <w:hyperlink w:history="true" w:anchor="_bookmark316">
        <w:r>
          <w:rPr>
            <w:rFonts w:ascii="Georgia"/>
            <w:spacing w:val="-5"/>
            <w:sz w:val="32"/>
          </w:rPr>
          <w:t>161</w:t>
        </w:r>
      </w:hyperlink>
    </w:p>
    <w:p>
      <w:pPr>
        <w:spacing w:before="279"/>
        <w:ind w:left="212" w:right="0" w:firstLine="0"/>
        <w:jc w:val="left"/>
        <w:rPr>
          <w:rFonts w:ascii="Georgia"/>
          <w:sz w:val="32"/>
        </w:rPr>
      </w:pPr>
      <w:hyperlink w:history="true" w:anchor="_bookmark532">
        <w:r>
          <w:rPr>
            <w:rFonts w:ascii="Georgia"/>
            <w:spacing w:val="-5"/>
            <w:sz w:val="32"/>
          </w:rPr>
          <w:t>194</w:t>
        </w:r>
      </w:hyperlink>
    </w:p>
    <w:p>
      <w:pPr>
        <w:spacing w:before="256"/>
        <w:ind w:left="216" w:right="0" w:firstLine="0"/>
        <w:jc w:val="left"/>
        <w:rPr>
          <w:rFonts w:ascii="Georgia"/>
          <w:sz w:val="32"/>
        </w:rPr>
      </w:pPr>
      <w:hyperlink w:history="true" w:anchor="_bookmark542">
        <w:r>
          <w:rPr>
            <w:rFonts w:ascii="Georgia"/>
            <w:spacing w:val="-5"/>
            <w:sz w:val="32"/>
          </w:rPr>
          <w:t>212</w:t>
        </w:r>
      </w:hyperlink>
    </w:p>
    <w:p>
      <w:pPr>
        <w:spacing w:before="276"/>
        <w:ind w:left="203" w:right="0" w:firstLine="0"/>
        <w:jc w:val="left"/>
        <w:rPr>
          <w:rFonts w:ascii="Georgia"/>
          <w:sz w:val="32"/>
        </w:rPr>
      </w:pPr>
      <w:hyperlink w:history="true" w:anchor="_bookmark554">
        <w:r>
          <w:rPr>
            <w:rFonts w:ascii="Georgia"/>
            <w:spacing w:val="-5"/>
            <w:sz w:val="32"/>
          </w:rPr>
          <w:t>226</w:t>
        </w:r>
      </w:hyperlink>
    </w:p>
    <w:p>
      <w:pPr>
        <w:spacing w:before="311"/>
        <w:ind w:left="215" w:right="0" w:firstLine="0"/>
        <w:jc w:val="left"/>
        <w:rPr>
          <w:rFonts w:ascii="Georgia"/>
          <w:sz w:val="32"/>
        </w:rPr>
      </w:pPr>
      <w:hyperlink w:history="true" w:anchor="_bookmark620">
        <w:r>
          <w:rPr>
            <w:rFonts w:ascii="Georgia"/>
            <w:spacing w:val="-5"/>
            <w:sz w:val="32"/>
          </w:rPr>
          <w:t>241</w:t>
        </w:r>
      </w:hyperlink>
    </w:p>
    <w:p>
      <w:pPr>
        <w:spacing w:before="280"/>
        <w:ind w:left="206" w:right="0" w:firstLine="0"/>
        <w:jc w:val="left"/>
        <w:rPr>
          <w:rFonts w:ascii="Georgia"/>
          <w:sz w:val="32"/>
        </w:rPr>
      </w:pPr>
      <w:hyperlink w:history="true" w:anchor="_bookmark623">
        <w:r>
          <w:rPr>
            <w:rFonts w:ascii="Georgia"/>
            <w:spacing w:val="-5"/>
            <w:sz w:val="32"/>
          </w:rPr>
          <w:t>245</w:t>
        </w:r>
      </w:hyperlink>
    </w:p>
    <w:p>
      <w:pPr>
        <w:spacing w:before="255"/>
        <w:ind w:left="207" w:right="0" w:firstLine="0"/>
        <w:jc w:val="left"/>
        <w:rPr>
          <w:rFonts w:ascii="Georgia"/>
          <w:sz w:val="32"/>
        </w:rPr>
      </w:pPr>
      <w:hyperlink w:history="true" w:anchor="_bookmark663">
        <w:r>
          <w:rPr>
            <w:rFonts w:ascii="Georgia"/>
            <w:spacing w:val="-5"/>
            <w:sz w:val="32"/>
          </w:rPr>
          <w:t>325</w:t>
        </w:r>
      </w:hyperlink>
    </w:p>
    <w:p>
      <w:pPr>
        <w:spacing w:before="280"/>
        <w:ind w:left="192" w:right="0" w:firstLine="0"/>
        <w:jc w:val="left"/>
        <w:rPr>
          <w:rFonts w:ascii="Georgia"/>
          <w:sz w:val="32"/>
        </w:rPr>
      </w:pPr>
      <w:hyperlink w:history="true" w:anchor="_bookmark664">
        <w:r>
          <w:rPr>
            <w:rFonts w:ascii="Georgia"/>
            <w:spacing w:val="-5"/>
            <w:sz w:val="32"/>
          </w:rPr>
          <w:t>330</w:t>
        </w:r>
      </w:hyperlink>
    </w:p>
    <w:p>
      <w:pPr>
        <w:spacing w:after="0"/>
        <w:jc w:val="left"/>
        <w:rPr>
          <w:rFonts w:ascii="Georgia"/>
          <w:sz w:val="32"/>
        </w:rPr>
        <w:sectPr>
          <w:type w:val="continuous"/>
          <w:pgSz w:w="12240" w:h="15840"/>
          <w:pgMar w:header="0" w:footer="1100" w:top="1420" w:bottom="280" w:left="1720" w:right="960"/>
          <w:cols w:num="2" w:equalWidth="0">
            <w:col w:w="8719" w:space="40"/>
            <w:col w:w="801"/>
          </w:cols>
        </w:sectPr>
      </w:pPr>
    </w:p>
    <w:p>
      <w:pPr>
        <w:pStyle w:val="BodyText"/>
        <w:rPr>
          <w:rFonts w:ascii="Georgia"/>
          <w:sz w:val="20"/>
        </w:rPr>
      </w:pPr>
      <w:r>
        <w:rPr/>
        <w:drawing>
          <wp:anchor distT="0" distB="0" distL="0" distR="0" allowOverlap="1" layoutInCell="1" locked="0" behindDoc="0" simplePos="0" relativeHeight="15730176">
            <wp:simplePos x="0" y="0"/>
            <wp:positionH relativeFrom="page">
              <wp:posOffset>493955</wp:posOffset>
            </wp:positionH>
            <wp:positionV relativeFrom="page">
              <wp:posOffset>260132</wp:posOffset>
            </wp:positionV>
            <wp:extent cx="1339482" cy="9523078"/>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1" cstate="print"/>
                    <a:stretch>
                      <a:fillRect/>
                    </a:stretch>
                  </pic:blipFill>
                  <pic:spPr>
                    <a:xfrm>
                      <a:off x="0" y="0"/>
                      <a:ext cx="1339482" cy="9523078"/>
                    </a:xfrm>
                    <a:prstGeom prst="rect">
                      <a:avLst/>
                    </a:prstGeom>
                  </pic:spPr>
                </pic:pic>
              </a:graphicData>
            </a:graphic>
          </wp:anchor>
        </w:drawing>
      </w:r>
    </w:p>
    <w:p>
      <w:pPr>
        <w:pStyle w:val="BodyText"/>
        <w:rPr>
          <w:rFonts w:ascii="Georgia"/>
          <w:sz w:val="20"/>
        </w:rPr>
      </w:pPr>
    </w:p>
    <w:p>
      <w:pPr>
        <w:pStyle w:val="BodyText"/>
        <w:spacing w:before="155"/>
        <w:rPr>
          <w:rFonts w:ascii="Georgia"/>
          <w:sz w:val="20"/>
        </w:rPr>
      </w:pPr>
    </w:p>
    <w:p>
      <w:pPr>
        <w:pStyle w:val="BodyText"/>
        <w:spacing w:line="20" w:lineRule="exact"/>
        <w:ind w:left="1344"/>
        <w:rPr>
          <w:rFonts w:ascii="Georgia"/>
          <w:sz w:val="2"/>
        </w:rPr>
      </w:pPr>
      <w:r>
        <w:rPr>
          <w:rFonts w:ascii="Georgia"/>
          <w:sz w:val="2"/>
        </w:rPr>
        <mc:AlternateContent>
          <mc:Choice Requires="wps">
            <w:drawing>
              <wp:inline distT="0" distB="0" distL="0" distR="0">
                <wp:extent cx="3676650" cy="19050"/>
                <wp:effectExtent l="9525" t="0" r="0" b="0"/>
                <wp:docPr id="25" name="Group 25"/>
                <wp:cNvGraphicFramePr>
                  <a:graphicFrameLocks/>
                </wp:cNvGraphicFramePr>
                <a:graphic>
                  <a:graphicData uri="http://schemas.microsoft.com/office/word/2010/wordprocessingGroup">
                    <wpg:wgp>
                      <wpg:cNvPr id="25" name="Group 25"/>
                      <wpg:cNvGrpSpPr/>
                      <wpg:grpSpPr>
                        <a:xfrm>
                          <a:off x="0" y="0"/>
                          <a:ext cx="3676650" cy="19050"/>
                          <a:chExt cx="3676650" cy="19050"/>
                        </a:xfrm>
                      </wpg:grpSpPr>
                      <wps:wsp>
                        <wps:cNvPr id="26" name="Graphic 26"/>
                        <wps:cNvSpPr/>
                        <wps:spPr>
                          <a:xfrm>
                            <a:off x="0" y="9524"/>
                            <a:ext cx="3676650" cy="1270"/>
                          </a:xfrm>
                          <a:custGeom>
                            <a:avLst/>
                            <a:gdLst/>
                            <a:ahLst/>
                            <a:cxnLst/>
                            <a:rect l="l" t="t" r="r" b="b"/>
                            <a:pathLst>
                              <a:path w="3676650" h="0">
                                <a:moveTo>
                                  <a:pt x="0" y="0"/>
                                </a:moveTo>
                                <a:lnTo>
                                  <a:pt x="3676039" y="0"/>
                                </a:lnTo>
                              </a:path>
                            </a:pathLst>
                          </a:custGeom>
                          <a:ln w="19049">
                            <a:solidFill>
                              <a:srgbClr val="325973"/>
                            </a:solidFill>
                            <a:prstDash val="solid"/>
                          </a:ln>
                        </wps:spPr>
                        <wps:bodyPr wrap="square" lIns="0" tIns="0" rIns="0" bIns="0" rtlCol="0">
                          <a:prstTxWarp prst="textNoShape">
                            <a:avLst/>
                          </a:prstTxWarp>
                          <a:noAutofit/>
                        </wps:bodyPr>
                      </wps:wsp>
                    </wpg:wgp>
                  </a:graphicData>
                </a:graphic>
              </wp:inline>
            </w:drawing>
          </mc:Choice>
          <mc:Fallback>
            <w:pict>
              <v:group style="width:289.5pt;height:1.5pt;mso-position-horizontal-relative:char;mso-position-vertical-relative:line" id="docshapegroup13" coordorigin="0,0" coordsize="5790,30">
                <v:line style="position:absolute" from="0,15" to="5789,15" stroked="true" strokeweight="1.5pt" strokecolor="#325973">
                  <v:stroke dashstyle="solid"/>
                </v:line>
              </v:group>
            </w:pict>
          </mc:Fallback>
        </mc:AlternateContent>
      </w:r>
      <w:r>
        <w:rPr>
          <w:rFonts w:ascii="Georgia"/>
          <w:sz w:val="2"/>
        </w:rPr>
      </w:r>
    </w:p>
    <w:p>
      <w:pPr>
        <w:spacing w:after="0" w:line="20" w:lineRule="exact"/>
        <w:rPr>
          <w:rFonts w:ascii="Georgia"/>
          <w:sz w:val="2"/>
        </w:rPr>
        <w:sectPr>
          <w:type w:val="continuous"/>
          <w:pgSz w:w="12240" w:h="15840"/>
          <w:pgMar w:header="0" w:footer="1100" w:top="1420" w:bottom="280" w:left="1720" w:right="960"/>
        </w:sectPr>
      </w:pPr>
    </w:p>
    <w:p>
      <w:pPr>
        <w:spacing w:before="173"/>
        <w:ind w:left="1896" w:right="0" w:firstLine="0"/>
        <w:jc w:val="left"/>
        <w:rPr>
          <w:rFonts w:ascii="Georgia"/>
          <w:sz w:val="73"/>
        </w:rPr>
      </w:pPr>
      <w:bookmarkStart w:name="_bookmark4" w:id="12"/>
      <w:bookmarkEnd w:id="12"/>
      <w:r>
        <w:rPr/>
      </w:r>
      <w:bookmarkStart w:name="_bookmark5" w:id="13"/>
      <w:bookmarkEnd w:id="13"/>
      <w:r>
        <w:rPr/>
      </w:r>
      <w:bookmarkStart w:name="_bookmark6" w:id="14"/>
      <w:bookmarkEnd w:id="14"/>
      <w:r>
        <w:rPr/>
      </w:r>
      <w:r>
        <w:rPr>
          <w:rFonts w:ascii="Georgia"/>
          <w:spacing w:val="-2"/>
          <w:sz w:val="73"/>
        </w:rPr>
        <w:t>CONTENTS</w:t>
      </w:r>
    </w:p>
    <w:p>
      <w:pPr>
        <w:pStyle w:val="BodyText"/>
        <w:rPr>
          <w:rFonts w:ascii="Georgia"/>
          <w:sz w:val="20"/>
        </w:rPr>
      </w:pPr>
    </w:p>
    <w:p>
      <w:pPr>
        <w:pStyle w:val="BodyText"/>
        <w:spacing w:before="196"/>
        <w:rPr>
          <w:rFonts w:ascii="Georgia"/>
          <w:sz w:val="20"/>
        </w:rPr>
      </w:pPr>
    </w:p>
    <w:p>
      <w:pPr>
        <w:spacing w:after="0"/>
        <w:rPr>
          <w:rFonts w:ascii="Georgia"/>
          <w:sz w:val="20"/>
        </w:rPr>
        <w:sectPr>
          <w:headerReference w:type="default" r:id="rId12"/>
          <w:footerReference w:type="default" r:id="rId13"/>
          <w:pgSz w:w="12240" w:h="15840"/>
          <w:pgMar w:header="1125" w:footer="1100" w:top="1940" w:bottom="1280" w:left="1720" w:right="960"/>
        </w:sectPr>
      </w:pPr>
    </w:p>
    <w:p>
      <w:pPr>
        <w:spacing w:line="420" w:lineRule="auto" w:before="99"/>
        <w:ind w:left="1896" w:right="1173" w:firstLine="0"/>
        <w:jc w:val="left"/>
        <w:rPr>
          <w:rFonts w:ascii="Georgia"/>
          <w:sz w:val="32"/>
        </w:rPr>
      </w:pPr>
      <w:hyperlink w:history="true" w:anchor="_bookmark623">
        <w:r>
          <w:rPr>
            <w:rFonts w:ascii="Georgia"/>
            <w:w w:val="105"/>
            <w:sz w:val="32"/>
          </w:rPr>
          <w:t>Early</w:t>
        </w:r>
        <w:r>
          <w:rPr>
            <w:rFonts w:ascii="Georgia"/>
            <w:spacing w:val="-6"/>
            <w:w w:val="105"/>
            <w:sz w:val="32"/>
          </w:rPr>
          <w:t> </w:t>
        </w:r>
        <w:r>
          <w:rPr>
            <w:rFonts w:ascii="Georgia"/>
            <w:w w:val="105"/>
            <w:sz w:val="32"/>
          </w:rPr>
          <w:t>Education</w:t>
        </w:r>
        <w:r>
          <w:rPr>
            <w:rFonts w:ascii="Georgia"/>
            <w:spacing w:val="-6"/>
            <w:w w:val="105"/>
            <w:sz w:val="32"/>
          </w:rPr>
          <w:t> </w:t>
        </w:r>
        <w:r>
          <w:rPr>
            <w:rFonts w:ascii="Georgia"/>
            <w:w w:val="105"/>
            <w:sz w:val="32"/>
          </w:rPr>
          <w:t>and</w:t>
        </w:r>
        <w:r>
          <w:rPr>
            <w:rFonts w:ascii="Georgia"/>
            <w:spacing w:val="-6"/>
            <w:w w:val="105"/>
            <w:sz w:val="32"/>
          </w:rPr>
          <w:t> </w:t>
        </w:r>
        <w:r>
          <w:rPr>
            <w:rFonts w:ascii="Georgia"/>
            <w:w w:val="105"/>
            <w:sz w:val="32"/>
          </w:rPr>
          <w:t>Care</w:t>
        </w:r>
      </w:hyperlink>
      <w:r>
        <w:rPr>
          <w:rFonts w:ascii="Georgia"/>
          <w:w w:val="105"/>
          <w:sz w:val="32"/>
        </w:rPr>
        <w:t> </w:t>
      </w:r>
      <w:r>
        <w:rPr>
          <w:rFonts w:ascii="Georgia"/>
          <w:sz w:val="32"/>
        </w:rPr>
        <w:t>E</w:t>
      </w:r>
      <w:hyperlink w:history="true" w:anchor="_bookmark624">
        <w:r>
          <w:rPr>
            <w:rFonts w:ascii="Georgia"/>
            <w:sz w:val="32"/>
          </w:rPr>
          <w:t>lementary &amp; Secondary Education</w:t>
        </w:r>
      </w:hyperlink>
      <w:r>
        <w:rPr>
          <w:rFonts w:ascii="Georgia"/>
          <w:sz w:val="32"/>
        </w:rPr>
        <w:t> </w:t>
      </w:r>
      <w:hyperlink w:history="true" w:anchor="_bookmark625">
        <w:r>
          <w:rPr>
            <w:rFonts w:ascii="Georgia"/>
            <w:w w:val="105"/>
            <w:sz w:val="32"/>
          </w:rPr>
          <w:t>Higher Education</w:t>
        </w:r>
      </w:hyperlink>
    </w:p>
    <w:p>
      <w:pPr>
        <w:spacing w:line="410" w:lineRule="auto" w:before="0"/>
        <w:ind w:left="1896" w:right="2903" w:firstLine="0"/>
        <w:jc w:val="left"/>
        <w:rPr>
          <w:rFonts w:ascii="Georgia"/>
          <w:sz w:val="32"/>
        </w:rPr>
      </w:pPr>
      <w:hyperlink w:history="true" w:anchor="_bookmark626">
        <w:r>
          <w:rPr>
            <w:rFonts w:ascii="Georgia"/>
            <w:w w:val="105"/>
            <w:sz w:val="32"/>
          </w:rPr>
          <w:t>Children &amp; Families</w:t>
        </w:r>
      </w:hyperlink>
      <w:r>
        <w:rPr>
          <w:rFonts w:ascii="Georgia"/>
          <w:w w:val="105"/>
          <w:sz w:val="32"/>
        </w:rPr>
        <w:t> </w:t>
      </w:r>
      <w:hyperlink w:history="true" w:anchor="_bookmark627">
        <w:r>
          <w:rPr>
            <w:rFonts w:ascii="Georgia"/>
            <w:sz w:val="32"/>
          </w:rPr>
          <w:t>Commission for the Blind</w:t>
        </w:r>
      </w:hyperlink>
    </w:p>
    <w:p>
      <w:pPr>
        <w:spacing w:line="422" w:lineRule="auto" w:before="1"/>
        <w:ind w:left="1896" w:right="0" w:firstLine="0"/>
        <w:jc w:val="left"/>
        <w:rPr>
          <w:rFonts w:ascii="Georgia"/>
          <w:sz w:val="32"/>
        </w:rPr>
      </w:pPr>
      <w:hyperlink w:history="true" w:anchor="_bookmark628">
        <w:r>
          <w:rPr>
            <w:rFonts w:ascii="Georgia"/>
            <w:sz w:val="32"/>
          </w:rPr>
          <w:t>Commission for the Deaf and Hard of Hearing</w:t>
        </w:r>
      </w:hyperlink>
      <w:r>
        <w:rPr>
          <w:rFonts w:ascii="Georgia"/>
          <w:sz w:val="32"/>
        </w:rPr>
        <w:t> </w:t>
      </w:r>
      <w:hyperlink w:history="true" w:anchor="_bookmark632">
        <w:r>
          <w:rPr>
            <w:rFonts w:ascii="Georgia"/>
            <w:sz w:val="32"/>
          </w:rPr>
          <w:t>Rehabilitation Commission</w:t>
        </w:r>
      </w:hyperlink>
    </w:p>
    <w:p>
      <w:pPr>
        <w:spacing w:line="417" w:lineRule="auto" w:before="0"/>
        <w:ind w:left="1896" w:right="3680" w:firstLine="0"/>
        <w:jc w:val="left"/>
        <w:rPr>
          <w:rFonts w:ascii="Georgia"/>
          <w:sz w:val="32"/>
        </w:rPr>
      </w:pPr>
      <w:hyperlink w:history="true" w:anchor="_bookmark633">
        <w:r>
          <w:rPr>
            <w:rFonts w:ascii="Georgia"/>
            <w:sz w:val="32"/>
          </w:rPr>
          <w:t>Mental</w:t>
        </w:r>
        <w:r>
          <w:rPr>
            <w:rFonts w:ascii="Georgia"/>
            <w:spacing w:val="-20"/>
            <w:sz w:val="32"/>
          </w:rPr>
          <w:t> </w:t>
        </w:r>
        <w:r>
          <w:rPr>
            <w:rFonts w:ascii="Georgia"/>
            <w:sz w:val="32"/>
          </w:rPr>
          <w:t>Health</w:t>
        </w:r>
      </w:hyperlink>
      <w:r>
        <w:rPr>
          <w:rFonts w:ascii="Georgia"/>
          <w:sz w:val="32"/>
        </w:rPr>
        <w:t> </w:t>
      </w:r>
      <w:hyperlink w:history="true" w:anchor="_bookmark635">
        <w:r>
          <w:rPr>
            <w:rFonts w:ascii="Georgia"/>
            <w:sz w:val="32"/>
          </w:rPr>
          <w:t>Public Health</w:t>
        </w:r>
      </w:hyperlink>
      <w:r>
        <w:rPr>
          <w:rFonts w:ascii="Georgia"/>
          <w:sz w:val="32"/>
        </w:rPr>
        <w:t> </w:t>
      </w:r>
      <w:hyperlink w:history="true" w:anchor="_bookmark637">
        <w:r>
          <w:rPr>
            <w:rFonts w:ascii="Georgia"/>
            <w:spacing w:val="-2"/>
            <w:sz w:val="32"/>
          </w:rPr>
          <w:t>MassHealth</w:t>
        </w:r>
      </w:hyperlink>
    </w:p>
    <w:p>
      <w:pPr>
        <w:spacing w:line="424" w:lineRule="auto" w:before="0"/>
        <w:ind w:left="1896" w:right="1173" w:firstLine="0"/>
        <w:jc w:val="left"/>
        <w:rPr>
          <w:rFonts w:ascii="Georgia"/>
          <w:sz w:val="32"/>
        </w:rPr>
      </w:pPr>
      <w:r>
        <w:rPr>
          <w:rFonts w:ascii="Georgia"/>
          <w:sz w:val="32"/>
        </w:rPr>
        <w:t>O</w:t>
      </w:r>
      <w:hyperlink w:history="true" w:anchor="_bookmark638">
        <w:r>
          <w:rPr>
            <w:rFonts w:ascii="Georgia"/>
            <w:sz w:val="32"/>
          </w:rPr>
          <w:t>ffice for Refugees and Immigrants</w:t>
        </w:r>
      </w:hyperlink>
      <w:r>
        <w:rPr>
          <w:rFonts w:ascii="Georgia"/>
          <w:sz w:val="32"/>
        </w:rPr>
        <w:t> </w:t>
      </w:r>
      <w:hyperlink w:history="true" w:anchor="_bookmark639">
        <w:r>
          <w:rPr>
            <w:rFonts w:ascii="Georgia"/>
            <w:sz w:val="32"/>
          </w:rPr>
          <w:t>Transitional Assistance</w:t>
        </w:r>
      </w:hyperlink>
    </w:p>
    <w:p>
      <w:pPr>
        <w:spacing w:line="339" w:lineRule="exact" w:before="0"/>
        <w:ind w:left="1896" w:right="0" w:firstLine="0"/>
        <w:jc w:val="left"/>
        <w:rPr>
          <w:rFonts w:ascii="Georgia"/>
          <w:sz w:val="32"/>
        </w:rPr>
      </w:pPr>
      <w:hyperlink w:history="true" w:anchor="_bookmark643">
        <w:r>
          <w:rPr>
            <w:rFonts w:ascii="Georgia"/>
            <w:sz w:val="32"/>
          </w:rPr>
          <w:t>Youth</w:t>
        </w:r>
        <w:r>
          <w:rPr>
            <w:rFonts w:ascii="Georgia"/>
            <w:spacing w:val="12"/>
            <w:sz w:val="32"/>
          </w:rPr>
          <w:t> </w:t>
        </w:r>
        <w:r>
          <w:rPr>
            <w:rFonts w:ascii="Georgia"/>
            <w:spacing w:val="-2"/>
            <w:sz w:val="32"/>
          </w:rPr>
          <w:t>Services</w:t>
        </w:r>
      </w:hyperlink>
    </w:p>
    <w:p>
      <w:pPr>
        <w:spacing w:before="275"/>
        <w:ind w:left="1896" w:right="0" w:firstLine="0"/>
        <w:jc w:val="left"/>
        <w:rPr>
          <w:rFonts w:ascii="Georgia"/>
          <w:sz w:val="32"/>
        </w:rPr>
      </w:pPr>
      <w:hyperlink w:history="true" w:anchor="_bookmark644">
        <w:r>
          <w:rPr>
            <w:rFonts w:ascii="Georgia"/>
            <w:sz w:val="32"/>
          </w:rPr>
          <w:t>Public</w:t>
        </w:r>
        <w:r>
          <w:rPr>
            <w:rFonts w:ascii="Georgia"/>
            <w:spacing w:val="26"/>
            <w:sz w:val="32"/>
          </w:rPr>
          <w:t> </w:t>
        </w:r>
        <w:r>
          <w:rPr>
            <w:rFonts w:ascii="Georgia"/>
            <w:sz w:val="32"/>
          </w:rPr>
          <w:t>Safety</w:t>
        </w:r>
        <w:r>
          <w:rPr>
            <w:rFonts w:ascii="Georgia"/>
            <w:spacing w:val="27"/>
            <w:sz w:val="32"/>
          </w:rPr>
          <w:t> </w:t>
        </w:r>
        <w:r>
          <w:rPr>
            <w:rFonts w:ascii="Georgia"/>
            <w:sz w:val="32"/>
          </w:rPr>
          <w:t>&amp;</w:t>
        </w:r>
        <w:r>
          <w:rPr>
            <w:rFonts w:ascii="Georgia"/>
            <w:spacing w:val="27"/>
            <w:sz w:val="32"/>
          </w:rPr>
          <w:t> </w:t>
        </w:r>
        <w:r>
          <w:rPr>
            <w:rFonts w:ascii="Georgia"/>
            <w:spacing w:val="-2"/>
            <w:sz w:val="32"/>
          </w:rPr>
          <w:t>Security</w:t>
        </w:r>
      </w:hyperlink>
    </w:p>
    <w:p>
      <w:pPr>
        <w:spacing w:before="99"/>
        <w:ind w:left="398" w:right="0" w:firstLine="0"/>
        <w:jc w:val="left"/>
        <w:rPr>
          <w:rFonts w:ascii="Georgia"/>
          <w:sz w:val="32"/>
        </w:rPr>
      </w:pPr>
      <w:r>
        <w:rPr/>
        <w:br w:type="column"/>
      </w:r>
      <w:hyperlink w:history="true" w:anchor="_bookmark623">
        <w:r>
          <w:rPr>
            <w:rFonts w:ascii="Georgia"/>
            <w:spacing w:val="-5"/>
            <w:sz w:val="32"/>
          </w:rPr>
          <w:t>245</w:t>
        </w:r>
      </w:hyperlink>
    </w:p>
    <w:p>
      <w:pPr>
        <w:spacing w:before="279"/>
        <w:ind w:left="394" w:right="0" w:firstLine="0"/>
        <w:jc w:val="left"/>
        <w:rPr>
          <w:rFonts w:ascii="Georgia"/>
          <w:sz w:val="32"/>
        </w:rPr>
      </w:pPr>
      <w:hyperlink w:history="true" w:anchor="_bookmark624">
        <w:r>
          <w:rPr>
            <w:rFonts w:ascii="Georgia"/>
            <w:spacing w:val="-5"/>
            <w:sz w:val="32"/>
          </w:rPr>
          <w:t>249</w:t>
        </w:r>
      </w:hyperlink>
    </w:p>
    <w:p>
      <w:pPr>
        <w:spacing w:before="248"/>
        <w:ind w:left="400" w:right="0" w:firstLine="0"/>
        <w:jc w:val="left"/>
        <w:rPr>
          <w:rFonts w:ascii="Georgia"/>
          <w:sz w:val="32"/>
        </w:rPr>
      </w:pPr>
      <w:hyperlink w:history="true" w:anchor="_bookmark625">
        <w:r>
          <w:rPr>
            <w:rFonts w:ascii="Georgia"/>
            <w:spacing w:val="-5"/>
            <w:sz w:val="32"/>
          </w:rPr>
          <w:t>255</w:t>
        </w:r>
      </w:hyperlink>
    </w:p>
    <w:p>
      <w:pPr>
        <w:spacing w:before="270"/>
        <w:ind w:left="395" w:right="0" w:firstLine="0"/>
        <w:jc w:val="left"/>
        <w:rPr>
          <w:rFonts w:ascii="Georgia"/>
          <w:sz w:val="32"/>
        </w:rPr>
      </w:pPr>
      <w:hyperlink w:history="true" w:anchor="_bookmark626">
        <w:r>
          <w:rPr>
            <w:rFonts w:ascii="Georgia"/>
            <w:spacing w:val="-5"/>
            <w:sz w:val="32"/>
          </w:rPr>
          <w:t>258</w:t>
        </w:r>
      </w:hyperlink>
    </w:p>
    <w:p>
      <w:pPr>
        <w:spacing w:before="261"/>
        <w:ind w:left="406" w:right="0" w:firstLine="0"/>
        <w:jc w:val="left"/>
        <w:rPr>
          <w:rFonts w:ascii="Georgia"/>
          <w:sz w:val="32"/>
        </w:rPr>
      </w:pPr>
      <w:hyperlink w:history="true" w:anchor="_bookmark627">
        <w:r>
          <w:rPr>
            <w:rFonts w:ascii="Georgia"/>
            <w:spacing w:val="-5"/>
            <w:sz w:val="32"/>
          </w:rPr>
          <w:t>267</w:t>
        </w:r>
      </w:hyperlink>
    </w:p>
    <w:p>
      <w:pPr>
        <w:spacing w:before="266"/>
        <w:ind w:left="392" w:right="0" w:firstLine="0"/>
        <w:jc w:val="left"/>
        <w:rPr>
          <w:rFonts w:ascii="Georgia"/>
          <w:sz w:val="32"/>
        </w:rPr>
      </w:pPr>
      <w:hyperlink w:history="true" w:anchor="_bookmark628">
        <w:r>
          <w:rPr>
            <w:rFonts w:ascii="Georgia"/>
            <w:spacing w:val="-5"/>
            <w:sz w:val="32"/>
          </w:rPr>
          <w:t>269</w:t>
        </w:r>
      </w:hyperlink>
    </w:p>
    <w:p>
      <w:pPr>
        <w:spacing w:before="270"/>
        <w:ind w:left="408" w:right="0" w:firstLine="0"/>
        <w:jc w:val="left"/>
        <w:rPr>
          <w:rFonts w:ascii="Georgia"/>
          <w:sz w:val="32"/>
        </w:rPr>
      </w:pPr>
      <w:hyperlink w:history="true" w:anchor="_bookmark632">
        <w:r>
          <w:rPr>
            <w:rFonts w:ascii="Georgia"/>
            <w:spacing w:val="-5"/>
            <w:w w:val="95"/>
            <w:sz w:val="32"/>
          </w:rPr>
          <w:t>272</w:t>
        </w:r>
      </w:hyperlink>
    </w:p>
    <w:p>
      <w:pPr>
        <w:spacing w:before="275"/>
        <w:ind w:left="409" w:right="0" w:firstLine="0"/>
        <w:jc w:val="left"/>
        <w:rPr>
          <w:rFonts w:ascii="Georgia"/>
          <w:sz w:val="32"/>
        </w:rPr>
      </w:pPr>
      <w:hyperlink w:history="true" w:anchor="_bookmark633">
        <w:r>
          <w:rPr>
            <w:rFonts w:ascii="Georgia"/>
            <w:spacing w:val="-5"/>
            <w:sz w:val="32"/>
          </w:rPr>
          <w:t>275</w:t>
        </w:r>
      </w:hyperlink>
    </w:p>
    <w:p>
      <w:pPr>
        <w:spacing w:before="266"/>
        <w:ind w:left="379" w:right="0" w:firstLine="0"/>
        <w:jc w:val="left"/>
        <w:rPr>
          <w:rFonts w:ascii="Georgia"/>
          <w:sz w:val="32"/>
        </w:rPr>
      </w:pPr>
      <w:hyperlink w:history="true" w:anchor="_bookmark635">
        <w:r>
          <w:rPr>
            <w:rFonts w:ascii="Georgia"/>
            <w:spacing w:val="-5"/>
            <w:sz w:val="32"/>
          </w:rPr>
          <w:t>280</w:t>
        </w:r>
      </w:hyperlink>
    </w:p>
    <w:p>
      <w:pPr>
        <w:spacing w:before="279"/>
        <w:ind w:left="394" w:right="0" w:firstLine="0"/>
        <w:jc w:val="left"/>
        <w:rPr>
          <w:rFonts w:ascii="Georgia"/>
          <w:sz w:val="32"/>
        </w:rPr>
      </w:pPr>
      <w:hyperlink w:history="true" w:anchor="_bookmark637">
        <w:r>
          <w:rPr>
            <w:rFonts w:ascii="Georgia"/>
            <w:spacing w:val="-5"/>
            <w:w w:val="95"/>
            <w:sz w:val="32"/>
          </w:rPr>
          <w:t>284</w:t>
        </w:r>
      </w:hyperlink>
    </w:p>
    <w:p>
      <w:pPr>
        <w:spacing w:before="256"/>
        <w:ind w:left="391" w:right="0" w:firstLine="0"/>
        <w:jc w:val="left"/>
        <w:rPr>
          <w:rFonts w:ascii="Georgia"/>
          <w:sz w:val="32"/>
        </w:rPr>
      </w:pPr>
      <w:hyperlink w:history="true" w:anchor="_bookmark638">
        <w:r>
          <w:rPr>
            <w:rFonts w:ascii="Georgia"/>
            <w:spacing w:val="-5"/>
            <w:w w:val="95"/>
            <w:sz w:val="32"/>
          </w:rPr>
          <w:t>288</w:t>
        </w:r>
      </w:hyperlink>
    </w:p>
    <w:p>
      <w:pPr>
        <w:spacing w:before="279"/>
        <w:ind w:left="395" w:right="0" w:firstLine="0"/>
        <w:jc w:val="left"/>
        <w:rPr>
          <w:rFonts w:ascii="Georgia"/>
          <w:sz w:val="32"/>
        </w:rPr>
      </w:pPr>
      <w:hyperlink w:history="true" w:anchor="_bookmark639">
        <w:r>
          <w:rPr>
            <w:rFonts w:ascii="Georgia"/>
            <w:spacing w:val="-5"/>
            <w:sz w:val="32"/>
          </w:rPr>
          <w:t>292</w:t>
        </w:r>
      </w:hyperlink>
    </w:p>
    <w:p>
      <w:pPr>
        <w:spacing w:before="280"/>
        <w:ind w:left="392" w:right="0" w:firstLine="0"/>
        <w:jc w:val="left"/>
        <w:rPr>
          <w:rFonts w:ascii="Georgia"/>
          <w:sz w:val="32"/>
        </w:rPr>
      </w:pPr>
      <w:hyperlink w:history="true" w:anchor="_bookmark643">
        <w:r>
          <w:rPr>
            <w:rFonts w:ascii="Georgia"/>
            <w:spacing w:val="-5"/>
            <w:sz w:val="32"/>
          </w:rPr>
          <w:t>296</w:t>
        </w:r>
      </w:hyperlink>
    </w:p>
    <w:p>
      <w:pPr>
        <w:spacing w:before="255"/>
        <w:ind w:left="394" w:right="0" w:firstLine="0"/>
        <w:jc w:val="left"/>
        <w:rPr>
          <w:rFonts w:ascii="Georgia"/>
          <w:sz w:val="32"/>
        </w:rPr>
      </w:pPr>
      <w:hyperlink w:history="true" w:anchor="_bookmark644">
        <w:r>
          <w:rPr>
            <w:rFonts w:ascii="Georgia"/>
            <w:spacing w:val="-5"/>
            <w:sz w:val="32"/>
          </w:rPr>
          <w:t>301</w:t>
        </w:r>
      </w:hyperlink>
    </w:p>
    <w:p>
      <w:pPr>
        <w:spacing w:after="0"/>
        <w:jc w:val="left"/>
        <w:rPr>
          <w:rFonts w:ascii="Georgia"/>
          <w:sz w:val="32"/>
        </w:rPr>
        <w:sectPr>
          <w:type w:val="continuous"/>
          <w:pgSz w:w="12240" w:h="15840"/>
          <w:pgMar w:header="1125" w:footer="1100" w:top="1420" w:bottom="280" w:left="1720" w:right="960"/>
          <w:cols w:num="2" w:equalWidth="0">
            <w:col w:w="8471" w:space="40"/>
            <w:col w:w="1049"/>
          </w:cols>
        </w:sectPr>
      </w:pPr>
    </w:p>
    <w:p>
      <w:pPr>
        <w:pStyle w:val="BodyText"/>
        <w:rPr>
          <w:rFonts w:ascii="Georgia"/>
          <w:sz w:val="20"/>
        </w:rPr>
      </w:pPr>
      <w:r>
        <w:rPr/>
        <w:drawing>
          <wp:anchor distT="0" distB="0" distL="0" distR="0" allowOverlap="1" layoutInCell="1" locked="0" behindDoc="0" simplePos="0" relativeHeight="15731200">
            <wp:simplePos x="0" y="0"/>
            <wp:positionH relativeFrom="page">
              <wp:posOffset>493955</wp:posOffset>
            </wp:positionH>
            <wp:positionV relativeFrom="page">
              <wp:posOffset>260132</wp:posOffset>
            </wp:positionV>
            <wp:extent cx="1339482" cy="9523078"/>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1" cstate="print"/>
                    <a:stretch>
                      <a:fillRect/>
                    </a:stretch>
                  </pic:blipFill>
                  <pic:spPr>
                    <a:xfrm>
                      <a:off x="0" y="0"/>
                      <a:ext cx="1339482" cy="9523078"/>
                    </a:xfrm>
                    <a:prstGeom prst="rect">
                      <a:avLst/>
                    </a:prstGeom>
                  </pic:spPr>
                </pic:pic>
              </a:graphicData>
            </a:graphic>
          </wp:anchor>
        </w:drawing>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216"/>
        <w:rPr>
          <w:rFonts w:ascii="Georgia"/>
          <w:sz w:val="20"/>
        </w:rPr>
      </w:pPr>
    </w:p>
    <w:p>
      <w:pPr>
        <w:pStyle w:val="BodyText"/>
        <w:spacing w:line="20" w:lineRule="exact"/>
        <w:ind w:left="1344"/>
        <w:rPr>
          <w:rFonts w:ascii="Georgia"/>
          <w:sz w:val="2"/>
        </w:rPr>
      </w:pPr>
      <w:r>
        <w:rPr>
          <w:rFonts w:ascii="Georgia"/>
          <w:sz w:val="2"/>
        </w:rPr>
        <mc:AlternateContent>
          <mc:Choice Requires="wps">
            <w:drawing>
              <wp:inline distT="0" distB="0" distL="0" distR="0">
                <wp:extent cx="3676650" cy="19050"/>
                <wp:effectExtent l="9525" t="0" r="0" b="0"/>
                <wp:docPr id="30" name="Group 30"/>
                <wp:cNvGraphicFramePr>
                  <a:graphicFrameLocks/>
                </wp:cNvGraphicFramePr>
                <a:graphic>
                  <a:graphicData uri="http://schemas.microsoft.com/office/word/2010/wordprocessingGroup">
                    <wpg:wgp>
                      <wpg:cNvPr id="30" name="Group 30"/>
                      <wpg:cNvGrpSpPr/>
                      <wpg:grpSpPr>
                        <a:xfrm>
                          <a:off x="0" y="0"/>
                          <a:ext cx="3676650" cy="19050"/>
                          <a:chExt cx="3676650" cy="19050"/>
                        </a:xfrm>
                      </wpg:grpSpPr>
                      <wps:wsp>
                        <wps:cNvPr id="31" name="Graphic 31"/>
                        <wps:cNvSpPr/>
                        <wps:spPr>
                          <a:xfrm>
                            <a:off x="0" y="9524"/>
                            <a:ext cx="3676650" cy="1270"/>
                          </a:xfrm>
                          <a:custGeom>
                            <a:avLst/>
                            <a:gdLst/>
                            <a:ahLst/>
                            <a:cxnLst/>
                            <a:rect l="l" t="t" r="r" b="b"/>
                            <a:pathLst>
                              <a:path w="3676650" h="0">
                                <a:moveTo>
                                  <a:pt x="0" y="0"/>
                                </a:moveTo>
                                <a:lnTo>
                                  <a:pt x="3676039" y="0"/>
                                </a:lnTo>
                              </a:path>
                            </a:pathLst>
                          </a:custGeom>
                          <a:ln w="19049">
                            <a:solidFill>
                              <a:srgbClr val="325973"/>
                            </a:solidFill>
                            <a:prstDash val="solid"/>
                          </a:ln>
                        </wps:spPr>
                        <wps:bodyPr wrap="square" lIns="0" tIns="0" rIns="0" bIns="0" rtlCol="0">
                          <a:prstTxWarp prst="textNoShape">
                            <a:avLst/>
                          </a:prstTxWarp>
                          <a:noAutofit/>
                        </wps:bodyPr>
                      </wps:wsp>
                    </wpg:wgp>
                  </a:graphicData>
                </a:graphic>
              </wp:inline>
            </w:drawing>
          </mc:Choice>
          <mc:Fallback>
            <w:pict>
              <v:group style="width:289.5pt;height:1.5pt;mso-position-horizontal-relative:char;mso-position-vertical-relative:line" id="docshapegroup16" coordorigin="0,0" coordsize="5790,30">
                <v:line style="position:absolute" from="0,15" to="5789,15" stroked="true" strokeweight="1.5pt" strokecolor="#325973">
                  <v:stroke dashstyle="solid"/>
                </v:line>
              </v:group>
            </w:pict>
          </mc:Fallback>
        </mc:AlternateContent>
      </w:r>
      <w:r>
        <w:rPr>
          <w:rFonts w:ascii="Georgia"/>
          <w:sz w:val="2"/>
        </w:rPr>
      </w:r>
    </w:p>
    <w:p>
      <w:pPr>
        <w:spacing w:after="0" w:line="20" w:lineRule="exact"/>
        <w:rPr>
          <w:rFonts w:ascii="Georgia"/>
          <w:sz w:val="2"/>
        </w:rPr>
        <w:sectPr>
          <w:type w:val="continuous"/>
          <w:pgSz w:w="12240" w:h="15840"/>
          <w:pgMar w:header="1125" w:footer="1100" w:top="1420" w:bottom="280" w:left="1720" w:right="960"/>
        </w:sectPr>
      </w:pPr>
    </w:p>
    <w:p>
      <w:pPr>
        <w:spacing w:before="173"/>
        <w:ind w:left="324" w:right="0" w:firstLine="0"/>
        <w:jc w:val="center"/>
        <w:rPr>
          <w:rFonts w:ascii="Georgia"/>
          <w:sz w:val="73"/>
        </w:rPr>
      </w:pPr>
      <w:bookmarkStart w:name="_bookmark7" w:id="15"/>
      <w:bookmarkEnd w:id="15"/>
      <w:r>
        <w:rPr/>
      </w:r>
      <w:r>
        <w:rPr>
          <w:rFonts w:ascii="Georgia"/>
          <w:spacing w:val="-19"/>
          <w:sz w:val="73"/>
        </w:rPr>
        <w:t>CONTENTS</w:t>
      </w:r>
      <w:r>
        <w:rPr>
          <w:rFonts w:ascii="Georgia"/>
          <w:spacing w:val="-17"/>
          <w:sz w:val="73"/>
        </w:rPr>
        <w:t> </w:t>
      </w:r>
      <w:r>
        <w:rPr>
          <w:rFonts w:ascii="Georgia"/>
          <w:spacing w:val="-2"/>
          <w:sz w:val="73"/>
        </w:rPr>
        <w:t>CONT.</w:t>
      </w:r>
    </w:p>
    <w:p>
      <w:pPr>
        <w:pStyle w:val="BodyText"/>
        <w:rPr>
          <w:rFonts w:ascii="Georgia"/>
          <w:sz w:val="20"/>
        </w:rPr>
      </w:pPr>
    </w:p>
    <w:p>
      <w:pPr>
        <w:pStyle w:val="BodyText"/>
        <w:spacing w:before="225"/>
        <w:rPr>
          <w:rFonts w:ascii="Georgia"/>
          <w:sz w:val="20"/>
        </w:rPr>
      </w:pPr>
    </w:p>
    <w:p>
      <w:pPr>
        <w:spacing w:after="0"/>
        <w:rPr>
          <w:rFonts w:ascii="Georgia"/>
          <w:sz w:val="20"/>
        </w:rPr>
        <w:sectPr>
          <w:pgSz w:w="12240" w:h="15840"/>
          <w:pgMar w:header="1125" w:footer="1100" w:top="1940" w:bottom="1280" w:left="1720" w:right="960"/>
        </w:sectPr>
      </w:pPr>
    </w:p>
    <w:p>
      <w:pPr>
        <w:spacing w:line="372" w:lineRule="auto" w:before="152"/>
        <w:ind w:left="1896" w:right="0" w:firstLine="0"/>
        <w:jc w:val="left"/>
        <w:rPr>
          <w:rFonts w:ascii="Georgia"/>
          <w:sz w:val="32"/>
        </w:rPr>
      </w:pPr>
      <w:hyperlink w:history="true" w:anchor="_bookmark645">
        <w:r>
          <w:rPr>
            <w:rFonts w:ascii="Georgia"/>
            <w:sz w:val="32"/>
          </w:rPr>
          <w:t>Housing &amp; Livable Communities</w:t>
        </w:r>
      </w:hyperlink>
      <w:r>
        <w:rPr>
          <w:rFonts w:ascii="Georgia"/>
          <w:spacing w:val="80"/>
          <w:w w:val="150"/>
          <w:sz w:val="32"/>
        </w:rPr>
        <w:t> </w:t>
      </w:r>
      <w:hyperlink w:history="true" w:anchor="_bookmark647">
        <w:r>
          <w:rPr>
            <w:rFonts w:ascii="Georgia"/>
            <w:sz w:val="32"/>
          </w:rPr>
          <w:t>Board of Library Commissioners</w:t>
        </w:r>
      </w:hyperlink>
      <w:r>
        <w:rPr>
          <w:rFonts w:ascii="Georgia"/>
          <w:sz w:val="32"/>
        </w:rPr>
        <w:t> </w:t>
      </w:r>
      <w:hyperlink w:history="true" w:anchor="_bookmark654">
        <w:r>
          <w:rPr>
            <w:rFonts w:ascii="Georgia"/>
            <w:sz w:val="32"/>
          </w:rPr>
          <w:t>Committee for Public Counsel Services</w:t>
        </w:r>
      </w:hyperlink>
    </w:p>
    <w:p>
      <w:pPr>
        <w:spacing w:before="99"/>
        <w:ind w:left="1374" w:right="0" w:firstLine="0"/>
        <w:jc w:val="left"/>
        <w:rPr>
          <w:rFonts w:ascii="Georgia"/>
          <w:sz w:val="32"/>
        </w:rPr>
      </w:pPr>
      <w:r>
        <w:rPr/>
        <w:br w:type="column"/>
      </w:r>
      <w:hyperlink w:history="true" w:anchor="_bookmark645">
        <w:r>
          <w:rPr>
            <w:rFonts w:ascii="Georgia"/>
            <w:spacing w:val="-5"/>
            <w:sz w:val="32"/>
          </w:rPr>
          <w:t>303</w:t>
        </w:r>
      </w:hyperlink>
    </w:p>
    <w:p>
      <w:pPr>
        <w:spacing w:before="167"/>
        <w:ind w:left="1370" w:right="0" w:firstLine="0"/>
        <w:jc w:val="left"/>
        <w:rPr>
          <w:rFonts w:ascii="Georgia"/>
          <w:sz w:val="32"/>
        </w:rPr>
      </w:pPr>
      <w:hyperlink w:history="true" w:anchor="_bookmark647">
        <w:r>
          <w:rPr>
            <w:rFonts w:ascii="Georgia"/>
            <w:spacing w:val="-5"/>
            <w:sz w:val="32"/>
          </w:rPr>
          <w:t>308</w:t>
        </w:r>
      </w:hyperlink>
    </w:p>
    <w:p>
      <w:pPr>
        <w:spacing w:before="266"/>
        <w:ind w:left="1409" w:right="0" w:firstLine="0"/>
        <w:jc w:val="left"/>
        <w:rPr>
          <w:rFonts w:ascii="Georgia"/>
          <w:sz w:val="32"/>
        </w:rPr>
      </w:pPr>
      <w:hyperlink w:history="true" w:anchor="_bookmark654">
        <w:r>
          <w:rPr>
            <w:rFonts w:ascii="Georgia"/>
            <w:spacing w:val="-5"/>
            <w:sz w:val="32"/>
          </w:rPr>
          <w:t>311</w:t>
        </w:r>
      </w:hyperlink>
    </w:p>
    <w:p>
      <w:pPr>
        <w:spacing w:after="0"/>
        <w:jc w:val="left"/>
        <w:rPr>
          <w:rFonts w:ascii="Georgia"/>
          <w:sz w:val="32"/>
        </w:rPr>
        <w:sectPr>
          <w:type w:val="continuous"/>
          <w:pgSz w:w="12240" w:h="15840"/>
          <w:pgMar w:header="1125" w:footer="1100" w:top="1420" w:bottom="280" w:left="1720" w:right="960"/>
          <w:cols w:num="2" w:equalWidth="0">
            <w:col w:w="7481" w:space="40"/>
            <w:col w:w="2039"/>
          </w:cols>
        </w:sectPr>
      </w:pPr>
    </w:p>
    <w:p>
      <w:pPr>
        <w:tabs>
          <w:tab w:pos="9369" w:val="right" w:leader="none"/>
        </w:tabs>
        <w:spacing w:before="41"/>
        <w:ind w:left="1896" w:right="0" w:firstLine="0"/>
        <w:jc w:val="left"/>
        <w:rPr>
          <w:rFonts w:ascii="Georgia"/>
          <w:sz w:val="32"/>
        </w:rPr>
      </w:pPr>
      <w:r>
        <w:rPr/>
        <w:drawing>
          <wp:anchor distT="0" distB="0" distL="0" distR="0" allowOverlap="1" layoutInCell="1" locked="0" behindDoc="0" simplePos="0" relativeHeight="15732224">
            <wp:simplePos x="0" y="0"/>
            <wp:positionH relativeFrom="page">
              <wp:posOffset>493955</wp:posOffset>
            </wp:positionH>
            <wp:positionV relativeFrom="page">
              <wp:posOffset>260132</wp:posOffset>
            </wp:positionV>
            <wp:extent cx="1339482" cy="952307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1" cstate="print"/>
                    <a:stretch>
                      <a:fillRect/>
                    </a:stretch>
                  </pic:blipFill>
                  <pic:spPr>
                    <a:xfrm>
                      <a:off x="0" y="0"/>
                      <a:ext cx="1339482" cy="9523078"/>
                    </a:xfrm>
                    <a:prstGeom prst="rect">
                      <a:avLst/>
                    </a:prstGeom>
                  </pic:spPr>
                </pic:pic>
              </a:graphicData>
            </a:graphic>
          </wp:anchor>
        </w:drawing>
      </w:r>
      <w:hyperlink w:history="true" w:anchor="_bookmark657">
        <w:r>
          <w:rPr>
            <w:rFonts w:ascii="Georgia"/>
            <w:sz w:val="32"/>
          </w:rPr>
          <w:t>MassHire</w:t>
        </w:r>
        <w:r>
          <w:rPr>
            <w:rFonts w:ascii="Georgia"/>
            <w:spacing w:val="-4"/>
            <w:sz w:val="32"/>
          </w:rPr>
          <w:t> </w:t>
        </w:r>
        <w:r>
          <w:rPr>
            <w:rFonts w:ascii="Georgia"/>
            <w:sz w:val="32"/>
          </w:rPr>
          <w:t>-</w:t>
        </w:r>
        <w:r>
          <w:rPr>
            <w:rFonts w:ascii="Georgia"/>
            <w:spacing w:val="-4"/>
            <w:sz w:val="32"/>
          </w:rPr>
          <w:t> </w:t>
        </w:r>
        <w:r>
          <w:rPr>
            <w:rFonts w:ascii="Georgia"/>
            <w:sz w:val="32"/>
          </w:rPr>
          <w:t>Career</w:t>
        </w:r>
        <w:r>
          <w:rPr>
            <w:rFonts w:ascii="Georgia"/>
            <w:spacing w:val="-3"/>
            <w:sz w:val="32"/>
          </w:rPr>
          <w:t> </w:t>
        </w:r>
        <w:r>
          <w:rPr>
            <w:rFonts w:ascii="Georgia"/>
            <w:spacing w:val="-2"/>
            <w:sz w:val="32"/>
          </w:rPr>
          <w:t>Services</w:t>
        </w:r>
        <w:r>
          <w:rPr>
            <w:rFonts w:ascii="Times New Roman"/>
            <w:sz w:val="32"/>
          </w:rPr>
          <w:tab/>
        </w:r>
        <w:r>
          <w:rPr>
            <w:rFonts w:ascii="Georgia"/>
            <w:spacing w:val="-5"/>
            <w:position w:val="1"/>
            <w:sz w:val="32"/>
          </w:rPr>
          <w:t>315</w:t>
        </w:r>
      </w:hyperlink>
    </w:p>
    <w:p>
      <w:pPr>
        <w:tabs>
          <w:tab w:pos="9374" w:val="right" w:leader="none"/>
        </w:tabs>
        <w:spacing w:before="260"/>
        <w:ind w:left="1896" w:right="0" w:firstLine="0"/>
        <w:jc w:val="left"/>
        <w:rPr>
          <w:rFonts w:ascii="Georgia"/>
          <w:sz w:val="32"/>
        </w:rPr>
      </w:pPr>
      <w:hyperlink w:history="true" w:anchor="_bookmark660">
        <w:r>
          <w:rPr>
            <w:rFonts w:ascii="Georgia"/>
            <w:sz w:val="32"/>
          </w:rPr>
          <w:t>Office</w:t>
        </w:r>
        <w:r>
          <w:rPr>
            <w:rFonts w:ascii="Georgia"/>
            <w:spacing w:val="5"/>
            <w:sz w:val="32"/>
          </w:rPr>
          <w:t> </w:t>
        </w:r>
        <w:r>
          <w:rPr>
            <w:rFonts w:ascii="Georgia"/>
            <w:sz w:val="32"/>
          </w:rPr>
          <w:t>of</w:t>
        </w:r>
        <w:r>
          <w:rPr>
            <w:rFonts w:ascii="Georgia"/>
            <w:spacing w:val="5"/>
            <w:sz w:val="32"/>
          </w:rPr>
          <w:t> </w:t>
        </w:r>
        <w:r>
          <w:rPr>
            <w:rFonts w:ascii="Georgia"/>
            <w:sz w:val="32"/>
          </w:rPr>
          <w:t>the</w:t>
        </w:r>
        <w:r>
          <w:rPr>
            <w:rFonts w:ascii="Georgia"/>
            <w:spacing w:val="5"/>
            <w:sz w:val="32"/>
          </w:rPr>
          <w:t> </w:t>
        </w:r>
        <w:r>
          <w:rPr>
            <w:rFonts w:ascii="Georgia"/>
            <w:sz w:val="32"/>
          </w:rPr>
          <w:t>Child</w:t>
        </w:r>
        <w:r>
          <w:rPr>
            <w:rFonts w:ascii="Georgia"/>
            <w:spacing w:val="5"/>
            <w:sz w:val="32"/>
          </w:rPr>
          <w:t> </w:t>
        </w:r>
        <w:r>
          <w:rPr>
            <w:rFonts w:ascii="Georgia"/>
            <w:spacing w:val="-2"/>
            <w:sz w:val="32"/>
          </w:rPr>
          <w:t>Advocate</w:t>
        </w:r>
        <w:r>
          <w:rPr>
            <w:rFonts w:ascii="Times New Roman"/>
            <w:sz w:val="32"/>
          </w:rPr>
          <w:tab/>
        </w:r>
        <w:r>
          <w:rPr>
            <w:rFonts w:ascii="Georgia"/>
            <w:spacing w:val="-5"/>
            <w:position w:val="1"/>
            <w:sz w:val="32"/>
          </w:rPr>
          <w:t>318</w:t>
        </w:r>
      </w:hyperlink>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8"/>
        <w:rPr>
          <w:rFonts w:ascii="Georgia"/>
          <w:sz w:val="20"/>
        </w:rPr>
      </w:pPr>
      <w:r>
        <w:rPr/>
        <mc:AlternateContent>
          <mc:Choice Requires="wps">
            <w:drawing>
              <wp:anchor distT="0" distB="0" distL="0" distR="0" allowOverlap="1" layoutInCell="1" locked="0" behindDoc="1" simplePos="0" relativeHeight="487590912">
                <wp:simplePos x="0" y="0"/>
                <wp:positionH relativeFrom="page">
                  <wp:posOffset>1945945</wp:posOffset>
                </wp:positionH>
                <wp:positionV relativeFrom="paragraph">
                  <wp:posOffset>196555</wp:posOffset>
                </wp:positionV>
                <wp:extent cx="367665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3676650" cy="1270"/>
                        </a:xfrm>
                        <a:custGeom>
                          <a:avLst/>
                          <a:gdLst/>
                          <a:ahLst/>
                          <a:cxnLst/>
                          <a:rect l="l" t="t" r="r" b="b"/>
                          <a:pathLst>
                            <a:path w="3676650" h="0">
                              <a:moveTo>
                                <a:pt x="0" y="0"/>
                              </a:moveTo>
                              <a:lnTo>
                                <a:pt x="3676039" y="0"/>
                              </a:lnTo>
                            </a:path>
                          </a:pathLst>
                        </a:custGeom>
                        <a:ln w="19049">
                          <a:solidFill>
                            <a:srgbClr val="325973"/>
                          </a:solidFill>
                          <a:prstDash val="solid"/>
                        </a:ln>
                      </wps:spPr>
                      <wps:bodyPr wrap="square" lIns="0" tIns="0" rIns="0" bIns="0" rtlCol="0">
                        <a:prstTxWarp prst="textNoShape">
                          <a:avLst/>
                        </a:prstTxWarp>
                        <a:noAutofit/>
                      </wps:bodyPr>
                    </wps:wsp>
                  </a:graphicData>
                </a:graphic>
              </wp:anchor>
            </w:drawing>
          </mc:Choice>
          <mc:Fallback>
            <w:pict>
              <v:shape style="position:absolute;margin-left:153.224091pt;margin-top:15.476812pt;width:289.5pt;height:.1pt;mso-position-horizontal-relative:page;mso-position-vertical-relative:paragraph;z-index:-15725568;mso-wrap-distance-left:0;mso-wrap-distance-right:0" id="docshape17" coordorigin="3064,310" coordsize="5790,0" path="m3064,310l8854,310e" filled="false" stroked="true" strokeweight="1.5pt" strokecolor="#325973">
                <v:path arrowok="t"/>
                <v:stroke dashstyle="solid"/>
                <w10:wrap type="topAndBottom"/>
              </v:shape>
            </w:pict>
          </mc:Fallback>
        </mc:AlternateContent>
      </w:r>
    </w:p>
    <w:p>
      <w:pPr>
        <w:spacing w:after="0"/>
        <w:rPr>
          <w:rFonts w:ascii="Georgia"/>
          <w:sz w:val="20"/>
        </w:rPr>
        <w:sectPr>
          <w:type w:val="continuous"/>
          <w:pgSz w:w="12240" w:h="15840"/>
          <w:pgMar w:header="1125" w:footer="1100" w:top="1420" w:bottom="280" w:left="1720" w:right="960"/>
        </w:sectPr>
      </w:pPr>
    </w:p>
    <w:p>
      <w:pPr>
        <w:pStyle w:val="Heading7"/>
        <w:spacing w:line="478" w:lineRule="exact"/>
        <w:ind w:left="604"/>
      </w:pPr>
      <w:bookmarkStart w:name="FY 2025 Executive Summary.pdf" w:id="16"/>
      <w:bookmarkEnd w:id="16"/>
      <w:r>
        <w:rPr/>
      </w:r>
      <w:bookmarkStart w:name="_bookmark8" w:id="17"/>
      <w:bookmarkEnd w:id="17"/>
      <w:r>
        <w:rPr/>
      </w:r>
      <w:hyperlink w:history="true" w:anchor="_bookmark0">
        <w:r>
          <w:rPr>
            <w:color w:val="365F91"/>
            <w:spacing w:val="-8"/>
          </w:rPr>
          <w:t>FY</w:t>
        </w:r>
        <w:r>
          <w:rPr>
            <w:color w:val="365F91"/>
            <w:spacing w:val="-12"/>
          </w:rPr>
          <w:t> </w:t>
        </w:r>
        <w:r>
          <w:rPr>
            <w:color w:val="365F91"/>
            <w:spacing w:val="-8"/>
          </w:rPr>
          <w:t>2025</w:t>
        </w:r>
        <w:r>
          <w:rPr>
            <w:color w:val="365F91"/>
            <w:spacing w:val="-13"/>
          </w:rPr>
          <w:t> </w:t>
        </w:r>
        <w:r>
          <w:rPr>
            <w:color w:val="365F91"/>
            <w:spacing w:val="-8"/>
          </w:rPr>
          <w:t>Executive</w:t>
        </w:r>
        <w:r>
          <w:rPr>
            <w:color w:val="365F91"/>
            <w:spacing w:val="-12"/>
          </w:rPr>
          <w:t> </w:t>
        </w:r>
        <w:r>
          <w:rPr>
            <w:color w:val="365F91"/>
            <w:spacing w:val="-8"/>
          </w:rPr>
          <w:t>Summary</w:t>
        </w:r>
      </w:hyperlink>
    </w:p>
    <w:p>
      <w:pPr>
        <w:spacing w:before="313"/>
        <w:ind w:left="604" w:right="0" w:firstLine="0"/>
        <w:jc w:val="left"/>
        <w:rPr>
          <w:sz w:val="28"/>
        </w:rPr>
      </w:pPr>
      <w:bookmarkStart w:name="Introduction" w:id="18"/>
      <w:bookmarkEnd w:id="18"/>
      <w:r>
        <w:rPr/>
      </w: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591936">
                <wp:simplePos x="0" y="0"/>
                <wp:positionH relativeFrom="page">
                  <wp:posOffset>986789</wp:posOffset>
                </wp:positionH>
                <wp:positionV relativeFrom="paragraph">
                  <wp:posOffset>44806</wp:posOffset>
                </wp:positionV>
                <wp:extent cx="5799455" cy="63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28043pt;width:456.601pt;height:.481pt;mso-position-horizontal-relative:page;mso-position-vertical-relative:paragraph;z-index:-15724544;mso-wrap-distance-left:0;mso-wrap-distance-right:0" id="docshape20" filled="true" fillcolor="#4f81bc" stroked="false">
                <v:fill type="solid"/>
                <w10:wrap type="topAndBottom"/>
              </v:rect>
            </w:pict>
          </mc:Fallback>
        </mc:AlternateContent>
      </w:r>
    </w:p>
    <w:p>
      <w:pPr>
        <w:pStyle w:val="BodyText"/>
        <w:spacing w:line="276" w:lineRule="auto" w:before="241"/>
        <w:ind w:left="603" w:right="420"/>
        <w:jc w:val="both"/>
      </w:pPr>
      <w:r>
        <w:rPr/>
        <w:t>The Massachusetts Commission on Lesbian, Gay, Bisexual, Transgender, Queer, and Questioning (LGBTQ)</w:t>
      </w:r>
      <w:r>
        <w:rPr>
          <w:spacing w:val="-2"/>
        </w:rPr>
        <w:t> </w:t>
      </w:r>
      <w:r>
        <w:rPr/>
        <w:t>Youth</w:t>
      </w:r>
      <w:r>
        <w:rPr>
          <w:spacing w:val="-3"/>
        </w:rPr>
        <w:t> </w:t>
      </w:r>
      <w:r>
        <w:rPr/>
        <w:t>is</w:t>
      </w:r>
      <w:r>
        <w:rPr>
          <w:spacing w:val="-3"/>
        </w:rPr>
        <w:t> </w:t>
      </w:r>
      <w:r>
        <w:rPr/>
        <w:t>an</w:t>
      </w:r>
      <w:r>
        <w:rPr>
          <w:spacing w:val="-3"/>
        </w:rPr>
        <w:t> </w:t>
      </w:r>
      <w:r>
        <w:rPr/>
        <w:t>independent</w:t>
      </w:r>
      <w:r>
        <w:rPr>
          <w:spacing w:val="-3"/>
        </w:rPr>
        <w:t> </w:t>
      </w:r>
      <w:r>
        <w:rPr/>
        <w:t>state</w:t>
      </w:r>
      <w:r>
        <w:rPr>
          <w:spacing w:val="-2"/>
        </w:rPr>
        <w:t> </w:t>
      </w:r>
      <w:r>
        <w:rPr/>
        <w:t>agency</w:t>
      </w:r>
      <w:r>
        <w:rPr>
          <w:spacing w:val="-3"/>
        </w:rPr>
        <w:t> </w:t>
      </w:r>
      <w:r>
        <w:rPr/>
        <w:t>first</w:t>
      </w:r>
      <w:r>
        <w:rPr>
          <w:spacing w:val="-2"/>
        </w:rPr>
        <w:t> </w:t>
      </w:r>
      <w:r>
        <w:rPr/>
        <w:t>founded</w:t>
      </w:r>
      <w:r>
        <w:rPr>
          <w:spacing w:val="-3"/>
        </w:rPr>
        <w:t> </w:t>
      </w:r>
      <w:r>
        <w:rPr/>
        <w:t>in</w:t>
      </w:r>
      <w:r>
        <w:rPr>
          <w:spacing w:val="-3"/>
        </w:rPr>
        <w:t> </w:t>
      </w:r>
      <w:r>
        <w:rPr/>
        <w:t>1992</w:t>
      </w:r>
      <w:r>
        <w:rPr>
          <w:spacing w:val="-3"/>
        </w:rPr>
        <w:t> </w:t>
      </w:r>
      <w:r>
        <w:rPr/>
        <w:t>as</w:t>
      </w:r>
      <w:r>
        <w:rPr>
          <w:spacing w:val="-3"/>
        </w:rPr>
        <w:t> </w:t>
      </w:r>
      <w:r>
        <w:rPr/>
        <w:t>a</w:t>
      </w:r>
      <w:r>
        <w:rPr>
          <w:spacing w:val="-3"/>
        </w:rPr>
        <w:t> </w:t>
      </w:r>
      <w:r>
        <w:rPr/>
        <w:t>Governor’s</w:t>
      </w:r>
      <w:r>
        <w:rPr>
          <w:spacing w:val="-3"/>
        </w:rPr>
        <w:t> </w:t>
      </w:r>
      <w:r>
        <w:rPr/>
        <w:t>Commission.</w:t>
      </w:r>
      <w:r>
        <w:rPr>
          <w:spacing w:val="-3"/>
        </w:rPr>
        <w:t> </w:t>
      </w:r>
      <w:r>
        <w:rPr/>
        <w:t>The Commission was established as an independent agency by the Legislature in 2006 and tasked with providing</w:t>
      </w:r>
      <w:r>
        <w:rPr>
          <w:spacing w:val="-11"/>
        </w:rPr>
        <w:t> </w:t>
      </w:r>
      <w:r>
        <w:rPr/>
        <w:t>expert</w:t>
      </w:r>
      <w:r>
        <w:rPr>
          <w:spacing w:val="-12"/>
        </w:rPr>
        <w:t> </w:t>
      </w:r>
      <w:r>
        <w:rPr/>
        <w:t>advice</w:t>
      </w:r>
      <w:r>
        <w:rPr>
          <w:spacing w:val="-11"/>
        </w:rPr>
        <w:t> </w:t>
      </w:r>
      <w:r>
        <w:rPr/>
        <w:t>and</w:t>
      </w:r>
      <w:r>
        <w:rPr>
          <w:spacing w:val="-11"/>
        </w:rPr>
        <w:t> </w:t>
      </w:r>
      <w:r>
        <w:rPr/>
        <w:t>programming</w:t>
      </w:r>
      <w:r>
        <w:rPr>
          <w:spacing w:val="-11"/>
        </w:rPr>
        <w:t> </w:t>
      </w:r>
      <w:r>
        <w:rPr/>
        <w:t>to</w:t>
      </w:r>
      <w:r>
        <w:rPr>
          <w:spacing w:val="-11"/>
        </w:rPr>
        <w:t> </w:t>
      </w:r>
      <w:r>
        <w:rPr/>
        <w:t>the</w:t>
      </w:r>
      <w:r>
        <w:rPr>
          <w:spacing w:val="-11"/>
        </w:rPr>
        <w:t> </w:t>
      </w:r>
      <w:r>
        <w:rPr/>
        <w:t>Commonwealth</w:t>
      </w:r>
      <w:r>
        <w:rPr>
          <w:spacing w:val="-10"/>
        </w:rPr>
        <w:t> </w:t>
      </w:r>
      <w:r>
        <w:rPr/>
        <w:t>of</w:t>
      </w:r>
      <w:r>
        <w:rPr>
          <w:spacing w:val="-11"/>
        </w:rPr>
        <w:t> </w:t>
      </w:r>
      <w:r>
        <w:rPr/>
        <w:t>Massachusetts</w:t>
      </w:r>
      <w:r>
        <w:rPr>
          <w:spacing w:val="-11"/>
        </w:rPr>
        <w:t> </w:t>
      </w:r>
      <w:r>
        <w:rPr/>
        <w:t>on</w:t>
      </w:r>
      <w:r>
        <w:rPr>
          <w:spacing w:val="-11"/>
        </w:rPr>
        <w:t> </w:t>
      </w:r>
      <w:r>
        <w:rPr/>
        <w:t>how</w:t>
      </w:r>
      <w:r>
        <w:rPr>
          <w:spacing w:val="-11"/>
        </w:rPr>
        <w:t> </w:t>
      </w:r>
      <w:r>
        <w:rPr/>
        <w:t>to</w:t>
      </w:r>
      <w:r>
        <w:rPr>
          <w:spacing w:val="-11"/>
        </w:rPr>
        <w:t> </w:t>
      </w:r>
      <w:r>
        <w:rPr/>
        <w:t>improve services and decrease inequities facing Massachusetts LGBTQ youth. In keeping with its legislative requirements,</w:t>
      </w:r>
      <w:r>
        <w:rPr>
          <w:spacing w:val="-2"/>
        </w:rPr>
        <w:t> </w:t>
      </w:r>
      <w:r>
        <w:rPr/>
        <w:t>the</w:t>
      </w:r>
      <w:r>
        <w:rPr>
          <w:spacing w:val="-2"/>
        </w:rPr>
        <w:t> </w:t>
      </w:r>
      <w:r>
        <w:rPr/>
        <w:t>Commission</w:t>
      </w:r>
      <w:r>
        <w:rPr>
          <w:spacing w:val="-2"/>
        </w:rPr>
        <w:t> </w:t>
      </w:r>
      <w:r>
        <w:rPr/>
        <w:t>submits this</w:t>
      </w:r>
      <w:r>
        <w:rPr>
          <w:spacing w:val="-1"/>
        </w:rPr>
        <w:t> </w:t>
      </w:r>
      <w:r>
        <w:rPr/>
        <w:t>annual</w:t>
      </w:r>
      <w:r>
        <w:rPr>
          <w:spacing w:val="-2"/>
        </w:rPr>
        <w:t> </w:t>
      </w:r>
      <w:r>
        <w:rPr/>
        <w:t>report</w:t>
      </w:r>
      <w:r>
        <w:rPr>
          <w:spacing w:val="-2"/>
        </w:rPr>
        <w:t> </w:t>
      </w:r>
      <w:r>
        <w:rPr/>
        <w:t>on</w:t>
      </w:r>
      <w:r>
        <w:rPr>
          <w:spacing w:val="-2"/>
        </w:rPr>
        <w:t> </w:t>
      </w:r>
      <w:r>
        <w:rPr/>
        <w:t>the</w:t>
      </w:r>
      <w:r>
        <w:rPr>
          <w:spacing w:val="-2"/>
        </w:rPr>
        <w:t> </w:t>
      </w:r>
      <w:r>
        <w:rPr/>
        <w:t>status</w:t>
      </w:r>
      <w:r>
        <w:rPr>
          <w:spacing w:val="-2"/>
        </w:rPr>
        <w:t> </w:t>
      </w:r>
      <w:r>
        <w:rPr/>
        <w:t>of</w:t>
      </w:r>
      <w:r>
        <w:rPr>
          <w:spacing w:val="-2"/>
        </w:rPr>
        <w:t> </w:t>
      </w:r>
      <w:r>
        <w:rPr/>
        <w:t>LGBTQ</w:t>
      </w:r>
      <w:r>
        <w:rPr>
          <w:spacing w:val="-2"/>
        </w:rPr>
        <w:t> </w:t>
      </w:r>
      <w:r>
        <w:rPr/>
        <w:t>youth,</w:t>
      </w:r>
      <w:r>
        <w:rPr>
          <w:spacing w:val="-2"/>
        </w:rPr>
        <w:t> </w:t>
      </w:r>
      <w:r>
        <w:rPr/>
        <w:t>as</w:t>
      </w:r>
      <w:r>
        <w:rPr>
          <w:spacing w:val="-2"/>
        </w:rPr>
        <w:t> </w:t>
      </w:r>
      <w:r>
        <w:rPr/>
        <w:t>well</w:t>
      </w:r>
      <w:r>
        <w:rPr>
          <w:spacing w:val="-2"/>
        </w:rPr>
        <w:t> </w:t>
      </w:r>
      <w:r>
        <w:rPr/>
        <w:t>as</w:t>
      </w:r>
      <w:r>
        <w:rPr>
          <w:spacing w:val="-2"/>
        </w:rPr>
        <w:t> </w:t>
      </w:r>
      <w:r>
        <w:rPr/>
        <w:t>its policy recommendations, for the 2025 fiscal year beginning July 1, 2024.</w:t>
      </w:r>
    </w:p>
    <w:p>
      <w:pPr>
        <w:pStyle w:val="BodyText"/>
        <w:spacing w:line="276" w:lineRule="auto" w:before="241"/>
        <w:ind w:left="603" w:right="419"/>
        <w:jc w:val="both"/>
      </w:pPr>
      <w:r>
        <w:rPr/>
        <w:t>This</w:t>
      </w:r>
      <w:r>
        <w:rPr>
          <w:spacing w:val="-5"/>
        </w:rPr>
        <w:t> </w:t>
      </w:r>
      <w:r>
        <w:rPr/>
        <w:t>year’s</w:t>
      </w:r>
      <w:r>
        <w:rPr>
          <w:spacing w:val="-5"/>
        </w:rPr>
        <w:t> </w:t>
      </w:r>
      <w:r>
        <w:rPr/>
        <w:t>report</w:t>
      </w:r>
      <w:r>
        <w:rPr>
          <w:spacing w:val="-6"/>
        </w:rPr>
        <w:t> </w:t>
      </w:r>
      <w:r>
        <w:rPr/>
        <w:t>features</w:t>
      </w:r>
      <w:r>
        <w:rPr>
          <w:spacing w:val="-4"/>
        </w:rPr>
        <w:t> </w:t>
      </w:r>
      <w:r>
        <w:rPr/>
        <w:t>thirteen</w:t>
      </w:r>
      <w:r>
        <w:rPr>
          <w:spacing w:val="-4"/>
        </w:rPr>
        <w:t> </w:t>
      </w:r>
      <w:r>
        <w:rPr/>
        <w:t>core</w:t>
      </w:r>
      <w:r>
        <w:rPr>
          <w:spacing w:val="-4"/>
        </w:rPr>
        <w:t> </w:t>
      </w:r>
      <w:r>
        <w:rPr/>
        <w:t>subject</w:t>
      </w:r>
      <w:r>
        <w:rPr>
          <w:spacing w:val="-5"/>
        </w:rPr>
        <w:t> </w:t>
      </w:r>
      <w:r>
        <w:rPr/>
        <w:t>sections</w:t>
      </w:r>
      <w:r>
        <w:rPr>
          <w:spacing w:val="-5"/>
        </w:rPr>
        <w:t> </w:t>
      </w:r>
      <w:r>
        <w:rPr/>
        <w:t>–</w:t>
      </w:r>
      <w:r>
        <w:rPr>
          <w:spacing w:val="-5"/>
        </w:rPr>
        <w:t> </w:t>
      </w:r>
      <w:r>
        <w:rPr/>
        <w:t>nine</w:t>
      </w:r>
      <w:r>
        <w:rPr>
          <w:spacing w:val="-5"/>
        </w:rPr>
        <w:t> </w:t>
      </w:r>
      <w:r>
        <w:rPr/>
        <w:t>of</w:t>
      </w:r>
      <w:r>
        <w:rPr>
          <w:spacing w:val="-4"/>
        </w:rPr>
        <w:t> </w:t>
      </w:r>
      <w:r>
        <w:rPr/>
        <w:t>which</w:t>
      </w:r>
      <w:r>
        <w:rPr>
          <w:spacing w:val="-4"/>
        </w:rPr>
        <w:t> </w:t>
      </w:r>
      <w:r>
        <w:rPr/>
        <w:t>have</w:t>
      </w:r>
      <w:r>
        <w:rPr>
          <w:spacing w:val="-4"/>
        </w:rPr>
        <w:t> </w:t>
      </w:r>
      <w:r>
        <w:rPr/>
        <w:t>been</w:t>
      </w:r>
      <w:r>
        <w:rPr>
          <w:spacing w:val="-6"/>
        </w:rPr>
        <w:t> </w:t>
      </w:r>
      <w:r>
        <w:rPr/>
        <w:t>re-published</w:t>
      </w:r>
      <w:r>
        <w:rPr>
          <w:spacing w:val="-6"/>
        </w:rPr>
        <w:t> </w:t>
      </w:r>
      <w:r>
        <w:rPr/>
        <w:t>from FY 2024 with minor updates made to bring current to FY 2025 – on child welfare, education, health areas, criminal justice, environmental justice, economic justice, homelessness, and inclusive service provision.</w:t>
      </w:r>
      <w:r>
        <w:rPr>
          <w:spacing w:val="-10"/>
        </w:rPr>
        <w:t> </w:t>
      </w:r>
      <w:r>
        <w:rPr/>
        <w:t>These</w:t>
      </w:r>
      <w:r>
        <w:rPr>
          <w:spacing w:val="-10"/>
        </w:rPr>
        <w:t> </w:t>
      </w:r>
      <w:r>
        <w:rPr/>
        <w:t>sections</w:t>
      </w:r>
      <w:r>
        <w:rPr>
          <w:spacing w:val="-9"/>
        </w:rPr>
        <w:t> </w:t>
      </w:r>
      <w:r>
        <w:rPr/>
        <w:t>include</w:t>
      </w:r>
      <w:r>
        <w:rPr>
          <w:spacing w:val="-10"/>
        </w:rPr>
        <w:t> </w:t>
      </w:r>
      <w:r>
        <w:rPr/>
        <w:t>targeted,</w:t>
      </w:r>
      <w:r>
        <w:rPr>
          <w:spacing w:val="-10"/>
        </w:rPr>
        <w:t> </w:t>
      </w:r>
      <w:r>
        <w:rPr/>
        <w:t>and</w:t>
      </w:r>
      <w:r>
        <w:rPr>
          <w:spacing w:val="-10"/>
        </w:rPr>
        <w:t> </w:t>
      </w:r>
      <w:r>
        <w:rPr/>
        <w:t>oft</w:t>
      </w:r>
      <w:r>
        <w:rPr>
          <w:spacing w:val="-10"/>
        </w:rPr>
        <w:t> </w:t>
      </w:r>
      <w:r>
        <w:rPr/>
        <w:t>intersectional,</w:t>
      </w:r>
      <w:r>
        <w:rPr>
          <w:spacing w:val="-8"/>
        </w:rPr>
        <w:t> </w:t>
      </w:r>
      <w:r>
        <w:rPr/>
        <w:t>policy</w:t>
      </w:r>
      <w:r>
        <w:rPr>
          <w:spacing w:val="-10"/>
        </w:rPr>
        <w:t> </w:t>
      </w:r>
      <w:r>
        <w:rPr/>
        <w:t>recommendations</w:t>
      </w:r>
      <w:r>
        <w:rPr>
          <w:spacing w:val="-9"/>
        </w:rPr>
        <w:t> </w:t>
      </w:r>
      <w:r>
        <w:rPr/>
        <w:t>that</w:t>
      </w:r>
      <w:r>
        <w:rPr>
          <w:spacing w:val="-10"/>
        </w:rPr>
        <w:t> </w:t>
      </w:r>
      <w:r>
        <w:rPr/>
        <w:t>reflect the work of the Commission over the past fiscal year. This report additionally features targeted recommendations to nineteen of the Commission’s state partners whom it collaborates with throughout the year to help improve policy, programming, and agency capacity.</w:t>
      </w:r>
    </w:p>
    <w:p>
      <w:pPr>
        <w:pStyle w:val="BodyText"/>
        <w:spacing w:line="276" w:lineRule="auto" w:before="240"/>
        <w:ind w:left="603" w:right="421"/>
        <w:jc w:val="both"/>
      </w:pPr>
      <w:r>
        <w:rPr/>
        <w:t>The Commission develops these policy recommendations with input from its staff, Commission members, consultants, community partners, educators, providers, state agency partners, and, most importantly –</w:t>
      </w:r>
      <w:r>
        <w:rPr>
          <w:spacing w:val="-1"/>
        </w:rPr>
        <w:t> </w:t>
      </w:r>
      <w:r>
        <w:rPr/>
        <w:t>youth.</w:t>
      </w:r>
      <w:r>
        <w:rPr>
          <w:spacing w:val="-1"/>
        </w:rPr>
        <w:t> </w:t>
      </w:r>
      <w:r>
        <w:rPr/>
        <w:t>The</w:t>
      </w:r>
      <w:r>
        <w:rPr>
          <w:spacing w:val="-2"/>
        </w:rPr>
        <w:t> </w:t>
      </w:r>
      <w:r>
        <w:rPr/>
        <w:t>Commission</w:t>
      </w:r>
      <w:r>
        <w:rPr>
          <w:spacing w:val="-2"/>
        </w:rPr>
        <w:t> </w:t>
      </w:r>
      <w:r>
        <w:rPr/>
        <w:t>defines</w:t>
      </w:r>
      <w:r>
        <w:rPr>
          <w:spacing w:val="-1"/>
        </w:rPr>
        <w:t> </w:t>
      </w:r>
      <w:r>
        <w:rPr/>
        <w:t>youth</w:t>
      </w:r>
      <w:r>
        <w:rPr>
          <w:spacing w:val="-1"/>
        </w:rPr>
        <w:t> </w:t>
      </w:r>
      <w:r>
        <w:rPr/>
        <w:t>as</w:t>
      </w:r>
      <w:r>
        <w:rPr>
          <w:spacing w:val="-1"/>
        </w:rPr>
        <w:t> </w:t>
      </w:r>
      <w:r>
        <w:rPr/>
        <w:t>“individuals</w:t>
      </w:r>
      <w:r>
        <w:rPr>
          <w:spacing w:val="-1"/>
        </w:rPr>
        <w:t> </w:t>
      </w:r>
      <w:r>
        <w:rPr/>
        <w:t>under the</w:t>
      </w:r>
      <w:r>
        <w:rPr>
          <w:spacing w:val="-2"/>
        </w:rPr>
        <w:t> </w:t>
      </w:r>
      <w:r>
        <w:rPr/>
        <w:t>age</w:t>
      </w:r>
      <w:r>
        <w:rPr>
          <w:spacing w:val="-2"/>
        </w:rPr>
        <w:t> </w:t>
      </w:r>
      <w:r>
        <w:rPr/>
        <w:t>of</w:t>
      </w:r>
      <w:r>
        <w:rPr>
          <w:spacing w:val="-2"/>
        </w:rPr>
        <w:t> </w:t>
      </w:r>
      <w:r>
        <w:rPr/>
        <w:t>25”</w:t>
      </w:r>
      <w:r>
        <w:rPr>
          <w:spacing w:val="-1"/>
        </w:rPr>
        <w:t> </w:t>
      </w:r>
      <w:r>
        <w:rPr/>
        <w:t>and</w:t>
      </w:r>
      <w:r>
        <w:rPr>
          <w:spacing w:val="-1"/>
        </w:rPr>
        <w:t> </w:t>
      </w:r>
      <w:r>
        <w:rPr/>
        <w:t>so</w:t>
      </w:r>
      <w:r>
        <w:rPr>
          <w:spacing w:val="-1"/>
        </w:rPr>
        <w:t> </w:t>
      </w:r>
      <w:r>
        <w:rPr/>
        <w:t>many of these recommendations cover a broad range of issues with an intersectional viewpoint that works to uplift the most marginalized voices within our Commonwealth so that </w:t>
      </w:r>
      <w:r>
        <w:rPr>
          <w:i/>
        </w:rPr>
        <w:t>all </w:t>
      </w:r>
      <w:r>
        <w:rPr/>
        <w:t>our young people have the opportunity to thrive.</w:t>
      </w:r>
    </w:p>
    <w:p>
      <w:pPr>
        <w:spacing w:before="240"/>
        <w:ind w:left="604" w:right="0" w:firstLine="0"/>
        <w:jc w:val="both"/>
        <w:rPr>
          <w:sz w:val="28"/>
        </w:rPr>
      </w:pPr>
      <w:bookmarkStart w:name="FY 2024 Listening Sessions" w:id="19"/>
      <w:bookmarkEnd w:id="19"/>
      <w:r>
        <w:rPr/>
      </w:r>
      <w:r>
        <w:rPr>
          <w:color w:val="365F91"/>
          <w:sz w:val="28"/>
        </w:rPr>
        <w:t>FY</w:t>
      </w:r>
      <w:r>
        <w:rPr>
          <w:color w:val="365F91"/>
          <w:spacing w:val="-10"/>
          <w:sz w:val="28"/>
        </w:rPr>
        <w:t> </w:t>
      </w:r>
      <w:r>
        <w:rPr>
          <w:color w:val="365F91"/>
          <w:sz w:val="28"/>
        </w:rPr>
        <w:t>2024</w:t>
      </w:r>
      <w:r>
        <w:rPr>
          <w:color w:val="365F91"/>
          <w:spacing w:val="-9"/>
          <w:sz w:val="28"/>
        </w:rPr>
        <w:t> </w:t>
      </w:r>
      <w:r>
        <w:rPr>
          <w:color w:val="365F91"/>
          <w:sz w:val="28"/>
        </w:rPr>
        <w:t>Listening</w:t>
      </w:r>
      <w:r>
        <w:rPr>
          <w:color w:val="365F91"/>
          <w:spacing w:val="-9"/>
          <w:sz w:val="28"/>
        </w:rPr>
        <w:t> </w:t>
      </w:r>
      <w:r>
        <w:rPr>
          <w:color w:val="365F91"/>
          <w:spacing w:val="-2"/>
          <w:sz w:val="28"/>
        </w:rPr>
        <w:t>Sessions</w:t>
      </w:r>
    </w:p>
    <w:p>
      <w:pPr>
        <w:pStyle w:val="BodyText"/>
        <w:spacing w:before="9"/>
        <w:rPr>
          <w:sz w:val="3"/>
        </w:rPr>
      </w:pPr>
      <w:r>
        <w:rPr/>
        <mc:AlternateContent>
          <mc:Choice Requires="wps">
            <w:drawing>
              <wp:anchor distT="0" distB="0" distL="0" distR="0" allowOverlap="1" layoutInCell="1" locked="0" behindDoc="1" simplePos="0" relativeHeight="487592448">
                <wp:simplePos x="0" y="0"/>
                <wp:positionH relativeFrom="page">
                  <wp:posOffset>986789</wp:posOffset>
                </wp:positionH>
                <wp:positionV relativeFrom="paragraph">
                  <wp:posOffset>44339</wp:posOffset>
                </wp:positionV>
                <wp:extent cx="5799455" cy="63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491266pt;width:456.601pt;height:.481pt;mso-position-horizontal-relative:page;mso-position-vertical-relative:paragraph;z-index:-15724032;mso-wrap-distance-left:0;mso-wrap-distance-right:0" id="docshape21" filled="true" fillcolor="#4f81bc" stroked="false">
                <v:fill type="solid"/>
                <w10:wrap type="topAndBottom"/>
              </v:rect>
            </w:pict>
          </mc:Fallback>
        </mc:AlternateContent>
      </w:r>
    </w:p>
    <w:p>
      <w:pPr>
        <w:pStyle w:val="BodyText"/>
        <w:spacing w:line="276" w:lineRule="auto" w:before="241"/>
        <w:ind w:left="603" w:right="421"/>
        <w:jc w:val="both"/>
      </w:pPr>
      <w:r>
        <w:rPr/>
        <w:t>As the Commission soon closes out the 2024 fiscal year, it looks back on the numerous opportunities it has had to engage with LGBTQ youth across the Commonwealth to receive input on its recommendations.</w:t>
      </w:r>
      <w:r>
        <w:rPr>
          <w:spacing w:val="-9"/>
        </w:rPr>
        <w:t> </w:t>
      </w:r>
      <w:r>
        <w:rPr/>
        <w:t>This</w:t>
      </w:r>
      <w:r>
        <w:rPr>
          <w:spacing w:val="-8"/>
        </w:rPr>
        <w:t> </w:t>
      </w:r>
      <w:r>
        <w:rPr/>
        <w:t>section</w:t>
      </w:r>
      <w:r>
        <w:rPr>
          <w:spacing w:val="-9"/>
        </w:rPr>
        <w:t> </w:t>
      </w:r>
      <w:r>
        <w:rPr/>
        <w:t>of</w:t>
      </w:r>
      <w:r>
        <w:rPr>
          <w:spacing w:val="-8"/>
        </w:rPr>
        <w:t> </w:t>
      </w:r>
      <w:r>
        <w:rPr/>
        <w:t>the</w:t>
      </w:r>
      <w:r>
        <w:rPr>
          <w:spacing w:val="-8"/>
        </w:rPr>
        <w:t> </w:t>
      </w:r>
      <w:r>
        <w:rPr/>
        <w:t>executive</w:t>
      </w:r>
      <w:r>
        <w:rPr>
          <w:spacing w:val="-9"/>
        </w:rPr>
        <w:t> </w:t>
      </w:r>
      <w:r>
        <w:rPr/>
        <w:t>summary</w:t>
      </w:r>
      <w:r>
        <w:rPr>
          <w:spacing w:val="-9"/>
        </w:rPr>
        <w:t> </w:t>
      </w:r>
      <w:r>
        <w:rPr/>
        <w:t>provides</w:t>
      </w:r>
      <w:r>
        <w:rPr>
          <w:spacing w:val="-8"/>
        </w:rPr>
        <w:t> </w:t>
      </w:r>
      <w:r>
        <w:rPr/>
        <w:t>a</w:t>
      </w:r>
      <w:r>
        <w:rPr>
          <w:spacing w:val="-9"/>
        </w:rPr>
        <w:t> </w:t>
      </w:r>
      <w:r>
        <w:rPr/>
        <w:t>quick</w:t>
      </w:r>
      <w:r>
        <w:rPr>
          <w:spacing w:val="-9"/>
        </w:rPr>
        <w:t> </w:t>
      </w:r>
      <w:r>
        <w:rPr/>
        <w:t>look</w:t>
      </w:r>
      <w:r>
        <w:rPr>
          <w:spacing w:val="-7"/>
        </w:rPr>
        <w:t> </w:t>
      </w:r>
      <w:r>
        <w:rPr/>
        <w:t>at</w:t>
      </w:r>
      <w:r>
        <w:rPr>
          <w:spacing w:val="-9"/>
        </w:rPr>
        <w:t> </w:t>
      </w:r>
      <w:r>
        <w:rPr/>
        <w:t>some</w:t>
      </w:r>
      <w:r>
        <w:rPr>
          <w:spacing w:val="-9"/>
        </w:rPr>
        <w:t> </w:t>
      </w:r>
      <w:r>
        <w:rPr/>
        <w:t>of</w:t>
      </w:r>
      <w:r>
        <w:rPr>
          <w:spacing w:val="-8"/>
        </w:rPr>
        <w:t> </w:t>
      </w:r>
      <w:r>
        <w:rPr/>
        <w:t>the</w:t>
      </w:r>
      <w:r>
        <w:rPr>
          <w:spacing w:val="-9"/>
        </w:rPr>
        <w:t> </w:t>
      </w:r>
      <w:r>
        <w:rPr/>
        <w:t>themes discussed in a series of listening sessions and one-on-one</w:t>
      </w:r>
      <w:r>
        <w:rPr>
          <w:spacing w:val="-1"/>
        </w:rPr>
        <w:t> </w:t>
      </w:r>
      <w:r>
        <w:rPr/>
        <w:t>interviews that have taken place this spring and will continue to occur throughout the upcoming fiscal year.</w:t>
      </w:r>
    </w:p>
    <w:p>
      <w:pPr>
        <w:spacing w:before="240"/>
        <w:ind w:left="604" w:right="0" w:firstLine="0"/>
        <w:jc w:val="left"/>
        <w:rPr>
          <w:sz w:val="24"/>
        </w:rPr>
      </w:pPr>
      <w:bookmarkStart w:name="Education" w:id="20"/>
      <w:bookmarkEnd w:id="20"/>
      <w:r>
        <w:rPr/>
      </w:r>
      <w:r>
        <w:rPr>
          <w:color w:val="365F91"/>
          <w:spacing w:val="-2"/>
          <w:sz w:val="24"/>
        </w:rPr>
        <w:t>Education</w:t>
      </w:r>
    </w:p>
    <w:p>
      <w:pPr>
        <w:spacing w:line="276" w:lineRule="auto" w:before="285"/>
        <w:ind w:left="604" w:right="420" w:firstLine="0"/>
        <w:jc w:val="both"/>
        <w:rPr>
          <w:sz w:val="21"/>
        </w:rPr>
      </w:pPr>
      <w:r>
        <w:rPr>
          <w:sz w:val="21"/>
        </w:rPr>
        <w:t>In April and May 2024, the Commission had the opportunity to host three listening sessions organized by its</w:t>
      </w:r>
      <w:r>
        <w:rPr>
          <w:spacing w:val="-12"/>
          <w:sz w:val="21"/>
        </w:rPr>
        <w:t> </w:t>
      </w:r>
      <w:r>
        <w:rPr>
          <w:sz w:val="21"/>
        </w:rPr>
        <w:t>Legislative</w:t>
      </w:r>
      <w:r>
        <w:rPr>
          <w:spacing w:val="-11"/>
          <w:sz w:val="21"/>
        </w:rPr>
        <w:t> </w:t>
      </w:r>
      <w:r>
        <w:rPr>
          <w:sz w:val="21"/>
        </w:rPr>
        <w:t>Team.</w:t>
      </w:r>
      <w:r>
        <w:rPr>
          <w:spacing w:val="-12"/>
          <w:sz w:val="21"/>
        </w:rPr>
        <w:t> </w:t>
      </w:r>
      <w:r>
        <w:rPr>
          <w:sz w:val="21"/>
        </w:rPr>
        <w:t>These</w:t>
      </w:r>
      <w:r>
        <w:rPr>
          <w:spacing w:val="-12"/>
          <w:sz w:val="21"/>
        </w:rPr>
        <w:t> </w:t>
      </w:r>
      <w:r>
        <w:rPr>
          <w:sz w:val="21"/>
        </w:rPr>
        <w:t>sessions</w:t>
      </w:r>
      <w:r>
        <w:rPr>
          <w:spacing w:val="-12"/>
          <w:sz w:val="21"/>
        </w:rPr>
        <w:t> </w:t>
      </w:r>
      <w:r>
        <w:rPr>
          <w:sz w:val="21"/>
        </w:rPr>
        <w:t>took</w:t>
      </w:r>
      <w:r>
        <w:rPr>
          <w:spacing w:val="-11"/>
          <w:sz w:val="21"/>
        </w:rPr>
        <w:t> </w:t>
      </w:r>
      <w:r>
        <w:rPr>
          <w:sz w:val="21"/>
        </w:rPr>
        <w:t>place</w:t>
      </w:r>
      <w:r>
        <w:rPr>
          <w:spacing w:val="-12"/>
          <w:sz w:val="21"/>
        </w:rPr>
        <w:t> </w:t>
      </w:r>
      <w:r>
        <w:rPr>
          <w:sz w:val="21"/>
        </w:rPr>
        <w:t>in</w:t>
      </w:r>
      <w:r>
        <w:rPr>
          <w:spacing w:val="-11"/>
          <w:sz w:val="21"/>
        </w:rPr>
        <w:t> </w:t>
      </w:r>
      <w:r>
        <w:rPr>
          <w:sz w:val="21"/>
        </w:rPr>
        <w:t>Springfield,</w:t>
      </w:r>
      <w:r>
        <w:rPr>
          <w:spacing w:val="-12"/>
          <w:sz w:val="21"/>
        </w:rPr>
        <w:t> </w:t>
      </w:r>
      <w:r>
        <w:rPr>
          <w:sz w:val="21"/>
        </w:rPr>
        <w:t>Worcester,</w:t>
      </w:r>
      <w:r>
        <w:rPr>
          <w:spacing w:val="-11"/>
          <w:sz w:val="21"/>
        </w:rPr>
        <w:t> </w:t>
      </w:r>
      <w:r>
        <w:rPr>
          <w:sz w:val="21"/>
        </w:rPr>
        <w:t>and</w:t>
      </w:r>
      <w:r>
        <w:rPr>
          <w:spacing w:val="-12"/>
          <w:sz w:val="21"/>
        </w:rPr>
        <w:t> </w:t>
      </w:r>
      <w:r>
        <w:rPr>
          <w:sz w:val="21"/>
        </w:rPr>
        <w:t>Boston.</w:t>
      </w:r>
      <w:r>
        <w:rPr>
          <w:spacing w:val="-12"/>
          <w:sz w:val="21"/>
        </w:rPr>
        <w:t> </w:t>
      </w:r>
      <w:r>
        <w:rPr>
          <w:sz w:val="21"/>
        </w:rPr>
        <w:t>The</w:t>
      </w:r>
      <w:r>
        <w:rPr>
          <w:spacing w:val="-12"/>
          <w:sz w:val="21"/>
        </w:rPr>
        <w:t> </w:t>
      </w:r>
      <w:r>
        <w:rPr>
          <w:sz w:val="21"/>
        </w:rPr>
        <w:t>questions</w:t>
      </w:r>
      <w:r>
        <w:rPr>
          <w:spacing w:val="-11"/>
          <w:sz w:val="21"/>
        </w:rPr>
        <w:t> </w:t>
      </w:r>
      <w:r>
        <w:rPr>
          <w:sz w:val="21"/>
        </w:rPr>
        <w:t>at</w:t>
      </w:r>
      <w:r>
        <w:rPr>
          <w:spacing w:val="-11"/>
          <w:sz w:val="21"/>
        </w:rPr>
        <w:t> </w:t>
      </w:r>
      <w:r>
        <w:rPr>
          <w:sz w:val="21"/>
        </w:rPr>
        <w:t>these sessions covered experiences in education and health care. Additionally, the Commission invited Boston Youth Pride attendees in May 2024 to attend mini-listening session on their experiences in schools.</w:t>
      </w:r>
    </w:p>
    <w:p>
      <w:pPr>
        <w:spacing w:after="0" w:line="276" w:lineRule="auto"/>
        <w:jc w:val="both"/>
        <w:rPr>
          <w:sz w:val="21"/>
        </w:rPr>
        <w:sectPr>
          <w:headerReference w:type="default" r:id="rId14"/>
          <w:footerReference w:type="default" r:id="rId15"/>
          <w:pgSz w:w="12240" w:h="15840"/>
          <w:pgMar w:header="0" w:footer="1061" w:top="1420" w:bottom="1260" w:left="980" w:right="1160"/>
          <w:pgNumType w:start="1"/>
        </w:sectPr>
      </w:pPr>
    </w:p>
    <w:p>
      <w:pPr>
        <w:spacing w:line="276" w:lineRule="auto" w:before="30"/>
        <w:ind w:left="604" w:right="420" w:firstLine="0"/>
        <w:jc w:val="both"/>
        <w:rPr>
          <w:sz w:val="21"/>
        </w:rPr>
      </w:pPr>
      <w:r>
        <w:rPr>
          <w:sz w:val="21"/>
        </w:rPr>
        <w:t>Participants in these sessions engaged with our Commission members and staff and shared some of the following concerns:</w:t>
      </w:r>
    </w:p>
    <w:p>
      <w:pPr>
        <w:pStyle w:val="ListParagraph"/>
        <w:numPr>
          <w:ilvl w:val="0"/>
          <w:numId w:val="1"/>
        </w:numPr>
        <w:tabs>
          <w:tab w:pos="1899" w:val="left" w:leader="none"/>
        </w:tabs>
        <w:spacing w:line="240" w:lineRule="auto" w:before="239" w:after="0"/>
        <w:ind w:left="1899" w:right="0" w:hanging="360"/>
        <w:jc w:val="left"/>
        <w:rPr>
          <w:rFonts w:ascii="Symbol" w:hAnsi="Symbol"/>
          <w:sz w:val="21"/>
        </w:rPr>
      </w:pPr>
      <w:r>
        <w:rPr>
          <w:sz w:val="21"/>
        </w:rPr>
        <w:t>Lack</w:t>
      </w:r>
      <w:r>
        <w:rPr>
          <w:spacing w:val="-6"/>
          <w:sz w:val="21"/>
        </w:rPr>
        <w:t> </w:t>
      </w:r>
      <w:r>
        <w:rPr>
          <w:sz w:val="21"/>
        </w:rPr>
        <w:t>of</w:t>
      </w:r>
      <w:r>
        <w:rPr>
          <w:spacing w:val="-3"/>
          <w:sz w:val="21"/>
        </w:rPr>
        <w:t> </w:t>
      </w:r>
      <w:r>
        <w:rPr>
          <w:sz w:val="21"/>
        </w:rPr>
        <w:t>access</w:t>
      </w:r>
      <w:r>
        <w:rPr>
          <w:spacing w:val="-2"/>
          <w:sz w:val="21"/>
        </w:rPr>
        <w:t> </w:t>
      </w:r>
      <w:r>
        <w:rPr>
          <w:sz w:val="21"/>
        </w:rPr>
        <w:t>to</w:t>
      </w:r>
      <w:r>
        <w:rPr>
          <w:spacing w:val="-3"/>
          <w:sz w:val="21"/>
        </w:rPr>
        <w:t> </w:t>
      </w:r>
      <w:r>
        <w:rPr>
          <w:sz w:val="21"/>
        </w:rPr>
        <w:t>LGBTQ-affirming</w:t>
      </w:r>
      <w:r>
        <w:rPr>
          <w:spacing w:val="-2"/>
          <w:sz w:val="21"/>
        </w:rPr>
        <w:t> </w:t>
      </w:r>
      <w:r>
        <w:rPr>
          <w:sz w:val="21"/>
        </w:rPr>
        <w:t>or</w:t>
      </w:r>
      <w:r>
        <w:rPr>
          <w:spacing w:val="-3"/>
          <w:sz w:val="21"/>
        </w:rPr>
        <w:t> </w:t>
      </w:r>
      <w:r>
        <w:rPr>
          <w:sz w:val="21"/>
        </w:rPr>
        <w:t>inclusive</w:t>
      </w:r>
      <w:r>
        <w:rPr>
          <w:spacing w:val="-3"/>
          <w:sz w:val="21"/>
        </w:rPr>
        <w:t> </w:t>
      </w:r>
      <w:r>
        <w:rPr>
          <w:sz w:val="21"/>
        </w:rPr>
        <w:t>curriculum,</w:t>
      </w:r>
      <w:r>
        <w:rPr>
          <w:spacing w:val="-2"/>
          <w:sz w:val="21"/>
        </w:rPr>
        <w:t> </w:t>
      </w:r>
      <w:r>
        <w:rPr>
          <w:sz w:val="21"/>
        </w:rPr>
        <w:t>materials,</w:t>
      </w:r>
      <w:r>
        <w:rPr>
          <w:spacing w:val="-4"/>
          <w:sz w:val="21"/>
        </w:rPr>
        <w:t> </w:t>
      </w:r>
      <w:r>
        <w:rPr>
          <w:sz w:val="21"/>
        </w:rPr>
        <w:t>and</w:t>
      </w:r>
      <w:r>
        <w:rPr>
          <w:spacing w:val="-2"/>
          <w:sz w:val="21"/>
        </w:rPr>
        <w:t> books</w:t>
      </w:r>
    </w:p>
    <w:p>
      <w:pPr>
        <w:pStyle w:val="ListParagraph"/>
        <w:numPr>
          <w:ilvl w:val="0"/>
          <w:numId w:val="1"/>
        </w:numPr>
        <w:tabs>
          <w:tab w:pos="1899" w:val="left" w:leader="none"/>
        </w:tabs>
        <w:spacing w:line="240" w:lineRule="auto" w:before="39" w:after="0"/>
        <w:ind w:left="1899" w:right="0" w:hanging="360"/>
        <w:jc w:val="left"/>
        <w:rPr>
          <w:rFonts w:ascii="Symbol" w:hAnsi="Symbol"/>
          <w:sz w:val="21"/>
        </w:rPr>
      </w:pPr>
      <w:r>
        <w:rPr>
          <w:sz w:val="21"/>
        </w:rPr>
        <w:t>Lack</w:t>
      </w:r>
      <w:r>
        <w:rPr>
          <w:spacing w:val="-6"/>
          <w:sz w:val="21"/>
        </w:rPr>
        <w:t> </w:t>
      </w:r>
      <w:r>
        <w:rPr>
          <w:sz w:val="21"/>
        </w:rPr>
        <w:t>of</w:t>
      </w:r>
      <w:r>
        <w:rPr>
          <w:spacing w:val="-3"/>
          <w:sz w:val="21"/>
        </w:rPr>
        <w:t> </w:t>
      </w:r>
      <w:r>
        <w:rPr>
          <w:sz w:val="21"/>
        </w:rPr>
        <w:t>access</w:t>
      </w:r>
      <w:r>
        <w:rPr>
          <w:spacing w:val="-2"/>
          <w:sz w:val="21"/>
        </w:rPr>
        <w:t> </w:t>
      </w:r>
      <w:r>
        <w:rPr>
          <w:sz w:val="21"/>
        </w:rPr>
        <w:t>to</w:t>
      </w:r>
      <w:r>
        <w:rPr>
          <w:spacing w:val="-3"/>
          <w:sz w:val="21"/>
        </w:rPr>
        <w:t> </w:t>
      </w:r>
      <w:r>
        <w:rPr>
          <w:sz w:val="21"/>
        </w:rPr>
        <w:t>comprehensive</w:t>
      </w:r>
      <w:r>
        <w:rPr>
          <w:spacing w:val="-3"/>
          <w:sz w:val="21"/>
        </w:rPr>
        <w:t> </w:t>
      </w:r>
      <w:r>
        <w:rPr>
          <w:sz w:val="21"/>
        </w:rPr>
        <w:t>or</w:t>
      </w:r>
      <w:r>
        <w:rPr>
          <w:spacing w:val="-3"/>
          <w:sz w:val="21"/>
        </w:rPr>
        <w:t> </w:t>
      </w:r>
      <w:r>
        <w:rPr>
          <w:sz w:val="21"/>
        </w:rPr>
        <w:t>LGBTQ-affirming</w:t>
      </w:r>
      <w:r>
        <w:rPr>
          <w:spacing w:val="-3"/>
          <w:sz w:val="21"/>
        </w:rPr>
        <w:t> </w:t>
      </w:r>
      <w:r>
        <w:rPr>
          <w:sz w:val="21"/>
        </w:rPr>
        <w:t>health</w:t>
      </w:r>
      <w:r>
        <w:rPr>
          <w:spacing w:val="-3"/>
          <w:sz w:val="21"/>
        </w:rPr>
        <w:t> </w:t>
      </w:r>
      <w:r>
        <w:rPr>
          <w:spacing w:val="-2"/>
          <w:sz w:val="21"/>
        </w:rPr>
        <w:t>education</w:t>
      </w:r>
    </w:p>
    <w:p>
      <w:pPr>
        <w:pStyle w:val="ListParagraph"/>
        <w:numPr>
          <w:ilvl w:val="0"/>
          <w:numId w:val="1"/>
        </w:numPr>
        <w:tabs>
          <w:tab w:pos="1899" w:val="left" w:leader="none"/>
        </w:tabs>
        <w:spacing w:line="276" w:lineRule="auto" w:before="38" w:after="0"/>
        <w:ind w:left="1899" w:right="422" w:hanging="360"/>
        <w:jc w:val="left"/>
        <w:rPr>
          <w:rFonts w:ascii="Symbol" w:hAnsi="Symbol"/>
          <w:sz w:val="21"/>
        </w:rPr>
      </w:pPr>
      <w:r>
        <w:rPr>
          <w:sz w:val="21"/>
        </w:rPr>
        <w:t>Separation</w:t>
      </w:r>
      <w:r>
        <w:rPr>
          <w:spacing w:val="-5"/>
          <w:sz w:val="21"/>
        </w:rPr>
        <w:t> </w:t>
      </w:r>
      <w:r>
        <w:rPr>
          <w:sz w:val="21"/>
        </w:rPr>
        <w:t>of</w:t>
      </w:r>
      <w:r>
        <w:rPr>
          <w:spacing w:val="-7"/>
          <w:sz w:val="21"/>
        </w:rPr>
        <w:t> </w:t>
      </w:r>
      <w:r>
        <w:rPr>
          <w:sz w:val="21"/>
        </w:rPr>
        <w:t>students</w:t>
      </w:r>
      <w:r>
        <w:rPr>
          <w:spacing w:val="-6"/>
          <w:sz w:val="21"/>
        </w:rPr>
        <w:t> </w:t>
      </w:r>
      <w:r>
        <w:rPr>
          <w:sz w:val="21"/>
        </w:rPr>
        <w:t>into</w:t>
      </w:r>
      <w:r>
        <w:rPr>
          <w:spacing w:val="-8"/>
          <w:sz w:val="21"/>
        </w:rPr>
        <w:t> </w:t>
      </w:r>
      <w:r>
        <w:rPr>
          <w:sz w:val="21"/>
        </w:rPr>
        <w:t>groups</w:t>
      </w:r>
      <w:r>
        <w:rPr>
          <w:spacing w:val="-6"/>
          <w:sz w:val="21"/>
        </w:rPr>
        <w:t> </w:t>
      </w:r>
      <w:r>
        <w:rPr>
          <w:sz w:val="21"/>
        </w:rPr>
        <w:t>of</w:t>
      </w:r>
      <w:r>
        <w:rPr>
          <w:spacing w:val="-6"/>
          <w:sz w:val="21"/>
        </w:rPr>
        <w:t> </w:t>
      </w:r>
      <w:r>
        <w:rPr>
          <w:sz w:val="21"/>
        </w:rPr>
        <w:t>“boys”</w:t>
      </w:r>
      <w:r>
        <w:rPr>
          <w:spacing w:val="-6"/>
          <w:sz w:val="21"/>
        </w:rPr>
        <w:t> </w:t>
      </w:r>
      <w:r>
        <w:rPr>
          <w:sz w:val="21"/>
        </w:rPr>
        <w:t>and</w:t>
      </w:r>
      <w:r>
        <w:rPr>
          <w:spacing w:val="-5"/>
          <w:sz w:val="21"/>
        </w:rPr>
        <w:t> </w:t>
      </w:r>
      <w:r>
        <w:rPr>
          <w:sz w:val="21"/>
        </w:rPr>
        <w:t>“girls”</w:t>
      </w:r>
      <w:r>
        <w:rPr>
          <w:spacing w:val="-4"/>
          <w:sz w:val="21"/>
        </w:rPr>
        <w:t> </w:t>
      </w:r>
      <w:r>
        <w:rPr>
          <w:sz w:val="21"/>
        </w:rPr>
        <w:t>in</w:t>
      </w:r>
      <w:r>
        <w:rPr>
          <w:spacing w:val="-7"/>
          <w:sz w:val="21"/>
        </w:rPr>
        <w:t> </w:t>
      </w:r>
      <w:r>
        <w:rPr>
          <w:sz w:val="21"/>
        </w:rPr>
        <w:t>health</w:t>
      </w:r>
      <w:r>
        <w:rPr>
          <w:spacing w:val="-7"/>
          <w:sz w:val="21"/>
        </w:rPr>
        <w:t> </w:t>
      </w:r>
      <w:r>
        <w:rPr>
          <w:sz w:val="21"/>
        </w:rPr>
        <w:t>classes,</w:t>
      </w:r>
      <w:r>
        <w:rPr>
          <w:spacing w:val="-5"/>
          <w:sz w:val="21"/>
        </w:rPr>
        <w:t> </w:t>
      </w:r>
      <w:r>
        <w:rPr>
          <w:sz w:val="21"/>
        </w:rPr>
        <w:t>leading</w:t>
      </w:r>
      <w:r>
        <w:rPr>
          <w:spacing w:val="-6"/>
          <w:sz w:val="21"/>
        </w:rPr>
        <w:t> </w:t>
      </w:r>
      <w:r>
        <w:rPr>
          <w:sz w:val="21"/>
        </w:rPr>
        <w:t>nonbinary and trans students with a lack of information about puberty</w:t>
      </w:r>
    </w:p>
    <w:p>
      <w:pPr>
        <w:pStyle w:val="ListParagraph"/>
        <w:numPr>
          <w:ilvl w:val="0"/>
          <w:numId w:val="1"/>
        </w:numPr>
        <w:tabs>
          <w:tab w:pos="1899" w:val="left" w:leader="none"/>
        </w:tabs>
        <w:spacing w:line="240" w:lineRule="auto" w:before="1" w:after="0"/>
        <w:ind w:left="1899" w:right="0" w:hanging="360"/>
        <w:jc w:val="left"/>
        <w:rPr>
          <w:rFonts w:ascii="Symbol" w:hAnsi="Symbol"/>
          <w:sz w:val="21"/>
        </w:rPr>
      </w:pPr>
      <w:r>
        <w:rPr>
          <w:sz w:val="21"/>
        </w:rPr>
        <w:t>Bullying</w:t>
      </w:r>
      <w:r>
        <w:rPr>
          <w:spacing w:val="-12"/>
          <w:sz w:val="21"/>
        </w:rPr>
        <w:t> </w:t>
      </w:r>
      <w:r>
        <w:rPr>
          <w:sz w:val="21"/>
        </w:rPr>
        <w:t>from</w:t>
      </w:r>
      <w:r>
        <w:rPr>
          <w:spacing w:val="-10"/>
          <w:sz w:val="21"/>
        </w:rPr>
        <w:t> </w:t>
      </w:r>
      <w:r>
        <w:rPr>
          <w:sz w:val="21"/>
        </w:rPr>
        <w:t>their</w:t>
      </w:r>
      <w:r>
        <w:rPr>
          <w:spacing w:val="-11"/>
          <w:sz w:val="21"/>
        </w:rPr>
        <w:t> </w:t>
      </w:r>
      <w:r>
        <w:rPr>
          <w:sz w:val="21"/>
        </w:rPr>
        <w:t>peers</w:t>
      </w:r>
      <w:r>
        <w:rPr>
          <w:spacing w:val="-11"/>
          <w:sz w:val="21"/>
        </w:rPr>
        <w:t> </w:t>
      </w:r>
      <w:r>
        <w:rPr>
          <w:sz w:val="21"/>
        </w:rPr>
        <w:t>with</w:t>
      </w:r>
      <w:r>
        <w:rPr>
          <w:spacing w:val="-11"/>
          <w:sz w:val="21"/>
        </w:rPr>
        <w:t> </w:t>
      </w:r>
      <w:r>
        <w:rPr>
          <w:sz w:val="21"/>
        </w:rPr>
        <w:t>a</w:t>
      </w:r>
      <w:r>
        <w:rPr>
          <w:spacing w:val="-11"/>
          <w:sz w:val="21"/>
        </w:rPr>
        <w:t> </w:t>
      </w:r>
      <w:r>
        <w:rPr>
          <w:sz w:val="21"/>
        </w:rPr>
        <w:t>lack</w:t>
      </w:r>
      <w:r>
        <w:rPr>
          <w:spacing w:val="-11"/>
          <w:sz w:val="21"/>
        </w:rPr>
        <w:t> </w:t>
      </w:r>
      <w:r>
        <w:rPr>
          <w:sz w:val="21"/>
        </w:rPr>
        <w:t>of</w:t>
      </w:r>
      <w:r>
        <w:rPr>
          <w:spacing w:val="-12"/>
          <w:sz w:val="21"/>
        </w:rPr>
        <w:t> </w:t>
      </w:r>
      <w:r>
        <w:rPr>
          <w:sz w:val="21"/>
        </w:rPr>
        <w:t>accountability</w:t>
      </w:r>
      <w:r>
        <w:rPr>
          <w:spacing w:val="-11"/>
          <w:sz w:val="21"/>
        </w:rPr>
        <w:t> </w:t>
      </w:r>
      <w:r>
        <w:rPr>
          <w:sz w:val="21"/>
        </w:rPr>
        <w:t>from</w:t>
      </w:r>
      <w:r>
        <w:rPr>
          <w:spacing w:val="-10"/>
          <w:sz w:val="21"/>
        </w:rPr>
        <w:t> </w:t>
      </w:r>
      <w:r>
        <w:rPr>
          <w:sz w:val="21"/>
        </w:rPr>
        <w:t>administrators</w:t>
      </w:r>
      <w:r>
        <w:rPr>
          <w:spacing w:val="-12"/>
          <w:sz w:val="21"/>
        </w:rPr>
        <w:t> </w:t>
      </w:r>
      <w:r>
        <w:rPr>
          <w:sz w:val="21"/>
        </w:rPr>
        <w:t>to</w:t>
      </w:r>
      <w:r>
        <w:rPr>
          <w:spacing w:val="-11"/>
          <w:sz w:val="21"/>
        </w:rPr>
        <w:t> </w:t>
      </w:r>
      <w:r>
        <w:rPr>
          <w:sz w:val="21"/>
        </w:rPr>
        <w:t>support</w:t>
      </w:r>
      <w:r>
        <w:rPr>
          <w:spacing w:val="-11"/>
          <w:sz w:val="21"/>
        </w:rPr>
        <w:t> </w:t>
      </w:r>
      <w:r>
        <w:rPr>
          <w:spacing w:val="-2"/>
          <w:sz w:val="21"/>
        </w:rPr>
        <w:t>victims</w:t>
      </w:r>
    </w:p>
    <w:p>
      <w:pPr>
        <w:pStyle w:val="ListParagraph"/>
        <w:numPr>
          <w:ilvl w:val="0"/>
          <w:numId w:val="1"/>
        </w:numPr>
        <w:tabs>
          <w:tab w:pos="1899" w:val="left" w:leader="none"/>
        </w:tabs>
        <w:spacing w:line="240" w:lineRule="auto" w:before="38" w:after="0"/>
        <w:ind w:left="1899" w:right="0" w:hanging="360"/>
        <w:jc w:val="left"/>
        <w:rPr>
          <w:rFonts w:ascii="Symbol" w:hAnsi="Symbol"/>
          <w:sz w:val="21"/>
        </w:rPr>
      </w:pPr>
      <w:r>
        <w:rPr>
          <w:sz w:val="21"/>
        </w:rPr>
        <w:t>Feeling</w:t>
      </w:r>
      <w:r>
        <w:rPr>
          <w:spacing w:val="-3"/>
          <w:sz w:val="21"/>
        </w:rPr>
        <w:t> </w:t>
      </w:r>
      <w:r>
        <w:rPr>
          <w:sz w:val="21"/>
        </w:rPr>
        <w:t>unsafe</w:t>
      </w:r>
      <w:r>
        <w:rPr>
          <w:spacing w:val="-2"/>
          <w:sz w:val="21"/>
        </w:rPr>
        <w:t> </w:t>
      </w:r>
      <w:r>
        <w:rPr>
          <w:sz w:val="21"/>
        </w:rPr>
        <w:t>reporting</w:t>
      </w:r>
      <w:r>
        <w:rPr>
          <w:spacing w:val="-3"/>
          <w:sz w:val="21"/>
        </w:rPr>
        <w:t> </w:t>
      </w:r>
      <w:r>
        <w:rPr>
          <w:sz w:val="21"/>
        </w:rPr>
        <w:t>bullying</w:t>
      </w:r>
      <w:r>
        <w:rPr>
          <w:spacing w:val="-2"/>
          <w:sz w:val="21"/>
        </w:rPr>
        <w:t> </w:t>
      </w:r>
      <w:r>
        <w:rPr>
          <w:sz w:val="21"/>
        </w:rPr>
        <w:t>due</w:t>
      </w:r>
      <w:r>
        <w:rPr>
          <w:spacing w:val="-2"/>
          <w:sz w:val="21"/>
        </w:rPr>
        <w:t> </w:t>
      </w:r>
      <w:r>
        <w:rPr>
          <w:sz w:val="21"/>
        </w:rPr>
        <w:t>to</w:t>
      </w:r>
      <w:r>
        <w:rPr>
          <w:spacing w:val="-3"/>
          <w:sz w:val="21"/>
        </w:rPr>
        <w:t> </w:t>
      </w:r>
      <w:r>
        <w:rPr>
          <w:sz w:val="21"/>
        </w:rPr>
        <w:t>a</w:t>
      </w:r>
      <w:r>
        <w:rPr>
          <w:spacing w:val="-3"/>
          <w:sz w:val="21"/>
        </w:rPr>
        <w:t> </w:t>
      </w:r>
      <w:r>
        <w:rPr>
          <w:sz w:val="21"/>
        </w:rPr>
        <w:t>fear</w:t>
      </w:r>
      <w:r>
        <w:rPr>
          <w:spacing w:val="-2"/>
          <w:sz w:val="21"/>
        </w:rPr>
        <w:t> </w:t>
      </w:r>
      <w:r>
        <w:rPr>
          <w:sz w:val="21"/>
        </w:rPr>
        <w:t>and</w:t>
      </w:r>
      <w:r>
        <w:rPr>
          <w:spacing w:val="-3"/>
          <w:sz w:val="21"/>
        </w:rPr>
        <w:t> </w:t>
      </w:r>
      <w:r>
        <w:rPr>
          <w:sz w:val="21"/>
        </w:rPr>
        <w:t>occurrences</w:t>
      </w:r>
      <w:r>
        <w:rPr>
          <w:spacing w:val="-2"/>
          <w:sz w:val="21"/>
        </w:rPr>
        <w:t> </w:t>
      </w:r>
      <w:r>
        <w:rPr>
          <w:sz w:val="21"/>
        </w:rPr>
        <w:t>of</w:t>
      </w:r>
      <w:r>
        <w:rPr>
          <w:spacing w:val="-2"/>
          <w:sz w:val="21"/>
        </w:rPr>
        <w:t> retaliation</w:t>
      </w:r>
    </w:p>
    <w:p>
      <w:pPr>
        <w:pStyle w:val="ListParagraph"/>
        <w:numPr>
          <w:ilvl w:val="0"/>
          <w:numId w:val="1"/>
        </w:numPr>
        <w:tabs>
          <w:tab w:pos="1899" w:val="left" w:leader="none"/>
        </w:tabs>
        <w:spacing w:line="240" w:lineRule="auto" w:before="38" w:after="0"/>
        <w:ind w:left="1899" w:right="0" w:hanging="360"/>
        <w:jc w:val="left"/>
        <w:rPr>
          <w:rFonts w:ascii="Symbol" w:hAnsi="Symbol"/>
          <w:sz w:val="21"/>
        </w:rPr>
      </w:pPr>
      <w:r>
        <w:rPr>
          <w:sz w:val="21"/>
        </w:rPr>
        <w:t>Lack</w:t>
      </w:r>
      <w:r>
        <w:rPr>
          <w:spacing w:val="-4"/>
          <w:sz w:val="21"/>
        </w:rPr>
        <w:t> </w:t>
      </w:r>
      <w:r>
        <w:rPr>
          <w:sz w:val="21"/>
        </w:rPr>
        <w:t>of</w:t>
      </w:r>
      <w:r>
        <w:rPr>
          <w:spacing w:val="-2"/>
          <w:sz w:val="21"/>
        </w:rPr>
        <w:t> </w:t>
      </w:r>
      <w:r>
        <w:rPr>
          <w:sz w:val="21"/>
        </w:rPr>
        <w:t>support</w:t>
      </w:r>
      <w:r>
        <w:rPr>
          <w:spacing w:val="-2"/>
          <w:sz w:val="21"/>
        </w:rPr>
        <w:t> </w:t>
      </w:r>
      <w:r>
        <w:rPr>
          <w:sz w:val="21"/>
        </w:rPr>
        <w:t>or</w:t>
      </w:r>
      <w:r>
        <w:rPr>
          <w:spacing w:val="-2"/>
          <w:sz w:val="21"/>
        </w:rPr>
        <w:t> </w:t>
      </w:r>
      <w:r>
        <w:rPr>
          <w:sz w:val="21"/>
        </w:rPr>
        <w:t>participation</w:t>
      </w:r>
      <w:r>
        <w:rPr>
          <w:spacing w:val="-2"/>
          <w:sz w:val="21"/>
        </w:rPr>
        <w:t> </w:t>
      </w:r>
      <w:r>
        <w:rPr>
          <w:sz w:val="21"/>
        </w:rPr>
        <w:t>for</w:t>
      </w:r>
      <w:r>
        <w:rPr>
          <w:spacing w:val="-2"/>
          <w:sz w:val="21"/>
        </w:rPr>
        <w:t> </w:t>
      </w:r>
      <w:r>
        <w:rPr>
          <w:spacing w:val="-4"/>
          <w:sz w:val="21"/>
        </w:rPr>
        <w:t>GSAs</w:t>
      </w:r>
    </w:p>
    <w:p>
      <w:pPr>
        <w:pStyle w:val="ListParagraph"/>
        <w:numPr>
          <w:ilvl w:val="0"/>
          <w:numId w:val="1"/>
        </w:numPr>
        <w:tabs>
          <w:tab w:pos="1899" w:val="left" w:leader="none"/>
        </w:tabs>
        <w:spacing w:line="240" w:lineRule="auto" w:before="39" w:after="0"/>
        <w:ind w:left="1899" w:right="0" w:hanging="360"/>
        <w:jc w:val="left"/>
        <w:rPr>
          <w:rFonts w:ascii="Symbol" w:hAnsi="Symbol"/>
          <w:sz w:val="21"/>
        </w:rPr>
      </w:pPr>
      <w:r>
        <w:rPr>
          <w:sz w:val="21"/>
        </w:rPr>
        <w:t>Lack</w:t>
      </w:r>
      <w:r>
        <w:rPr>
          <w:spacing w:val="-3"/>
          <w:sz w:val="21"/>
        </w:rPr>
        <w:t> </w:t>
      </w:r>
      <w:r>
        <w:rPr>
          <w:sz w:val="21"/>
        </w:rPr>
        <w:t>of</w:t>
      </w:r>
      <w:r>
        <w:rPr>
          <w:spacing w:val="-1"/>
          <w:sz w:val="21"/>
        </w:rPr>
        <w:t> </w:t>
      </w:r>
      <w:r>
        <w:rPr>
          <w:sz w:val="21"/>
        </w:rPr>
        <w:t>support</w:t>
      </w:r>
      <w:r>
        <w:rPr>
          <w:spacing w:val="-2"/>
          <w:sz w:val="21"/>
        </w:rPr>
        <w:t> </w:t>
      </w:r>
      <w:r>
        <w:rPr>
          <w:sz w:val="21"/>
        </w:rPr>
        <w:t>from</w:t>
      </w:r>
      <w:r>
        <w:rPr>
          <w:spacing w:val="-1"/>
          <w:sz w:val="21"/>
        </w:rPr>
        <w:t> </w:t>
      </w:r>
      <w:r>
        <w:rPr>
          <w:spacing w:val="-2"/>
          <w:sz w:val="21"/>
        </w:rPr>
        <w:t>caregivers</w:t>
      </w:r>
    </w:p>
    <w:p>
      <w:pPr>
        <w:pStyle w:val="ListParagraph"/>
        <w:numPr>
          <w:ilvl w:val="0"/>
          <w:numId w:val="1"/>
        </w:numPr>
        <w:tabs>
          <w:tab w:pos="1899" w:val="left" w:leader="none"/>
        </w:tabs>
        <w:spacing w:line="240" w:lineRule="auto" w:before="38" w:after="0"/>
        <w:ind w:left="1899" w:right="0" w:hanging="360"/>
        <w:jc w:val="left"/>
        <w:rPr>
          <w:rFonts w:ascii="Symbol" w:hAnsi="Symbol"/>
          <w:sz w:val="21"/>
        </w:rPr>
      </w:pPr>
      <w:r>
        <w:rPr>
          <w:sz w:val="21"/>
        </w:rPr>
        <w:t>Lack</w:t>
      </w:r>
      <w:r>
        <w:rPr>
          <w:spacing w:val="-3"/>
          <w:sz w:val="21"/>
        </w:rPr>
        <w:t> </w:t>
      </w:r>
      <w:r>
        <w:rPr>
          <w:sz w:val="21"/>
        </w:rPr>
        <w:t>of</w:t>
      </w:r>
      <w:r>
        <w:rPr>
          <w:spacing w:val="-1"/>
          <w:sz w:val="21"/>
        </w:rPr>
        <w:t> </w:t>
      </w:r>
      <w:r>
        <w:rPr>
          <w:sz w:val="21"/>
        </w:rPr>
        <w:t>access</w:t>
      </w:r>
      <w:r>
        <w:rPr>
          <w:spacing w:val="-1"/>
          <w:sz w:val="21"/>
        </w:rPr>
        <w:t> </w:t>
      </w:r>
      <w:r>
        <w:rPr>
          <w:sz w:val="21"/>
        </w:rPr>
        <w:t>to</w:t>
      </w:r>
      <w:r>
        <w:rPr>
          <w:spacing w:val="-2"/>
          <w:sz w:val="21"/>
        </w:rPr>
        <w:t> </w:t>
      </w:r>
      <w:r>
        <w:rPr>
          <w:sz w:val="21"/>
        </w:rPr>
        <w:t>play</w:t>
      </w:r>
      <w:r>
        <w:rPr>
          <w:spacing w:val="-1"/>
          <w:sz w:val="21"/>
        </w:rPr>
        <w:t> </w:t>
      </w:r>
      <w:r>
        <w:rPr>
          <w:sz w:val="21"/>
        </w:rPr>
        <w:t>sports</w:t>
      </w:r>
      <w:r>
        <w:rPr>
          <w:spacing w:val="-3"/>
          <w:sz w:val="21"/>
        </w:rPr>
        <w:t> </w:t>
      </w:r>
      <w:r>
        <w:rPr>
          <w:sz w:val="21"/>
        </w:rPr>
        <w:t>on</w:t>
      </w:r>
      <w:r>
        <w:rPr>
          <w:spacing w:val="-2"/>
          <w:sz w:val="21"/>
        </w:rPr>
        <w:t> </w:t>
      </w:r>
      <w:r>
        <w:rPr>
          <w:sz w:val="21"/>
        </w:rPr>
        <w:t>appropriate</w:t>
      </w:r>
      <w:r>
        <w:rPr>
          <w:spacing w:val="-1"/>
          <w:sz w:val="21"/>
        </w:rPr>
        <w:t> </w:t>
      </w:r>
      <w:r>
        <w:rPr>
          <w:spacing w:val="-2"/>
          <w:sz w:val="21"/>
        </w:rPr>
        <w:t>teams</w:t>
      </w:r>
    </w:p>
    <w:p>
      <w:pPr>
        <w:pStyle w:val="ListParagraph"/>
        <w:numPr>
          <w:ilvl w:val="0"/>
          <w:numId w:val="1"/>
        </w:numPr>
        <w:tabs>
          <w:tab w:pos="1899" w:val="left" w:leader="none"/>
        </w:tabs>
        <w:spacing w:line="276" w:lineRule="auto" w:before="39" w:after="0"/>
        <w:ind w:left="1899" w:right="421" w:hanging="360"/>
        <w:jc w:val="left"/>
        <w:rPr>
          <w:rFonts w:ascii="Symbol" w:hAnsi="Symbol"/>
          <w:sz w:val="21"/>
        </w:rPr>
      </w:pPr>
      <w:r>
        <w:rPr>
          <w:sz w:val="21"/>
        </w:rPr>
        <w:t>Lack of access to appropriate restroom spaces, and feeling unsafe using the restroom that matches their gender identity</w:t>
      </w:r>
    </w:p>
    <w:p>
      <w:pPr>
        <w:spacing w:line="276" w:lineRule="auto" w:before="239"/>
        <w:ind w:left="603" w:right="275" w:firstLine="0"/>
        <w:jc w:val="both"/>
        <w:rPr>
          <w:sz w:val="21"/>
        </w:rPr>
      </w:pPr>
      <w:r>
        <w:rPr>
          <w:sz w:val="21"/>
        </w:rPr>
        <w:t>Notably, every participant in these sessions (which so far have totaled over 25) reported that they have experienced bullying in their schools and do not feel as though the administration had an appropriate response to supporting them or their peers.</w:t>
      </w:r>
    </w:p>
    <w:p>
      <w:pPr>
        <w:spacing w:before="239"/>
        <w:ind w:left="604" w:right="0" w:firstLine="0"/>
        <w:jc w:val="both"/>
        <w:rPr>
          <w:sz w:val="24"/>
        </w:rPr>
      </w:pPr>
      <w:bookmarkStart w:name="Homelessness &amp; Criminal Justice" w:id="21"/>
      <w:bookmarkEnd w:id="21"/>
      <w:r>
        <w:rPr/>
      </w:r>
      <w:r>
        <w:rPr>
          <w:color w:val="365F91"/>
          <w:sz w:val="24"/>
        </w:rPr>
        <w:t>Homelessness</w:t>
      </w:r>
      <w:r>
        <w:rPr>
          <w:color w:val="365F91"/>
          <w:spacing w:val="-4"/>
          <w:sz w:val="24"/>
        </w:rPr>
        <w:t> </w:t>
      </w:r>
      <w:r>
        <w:rPr>
          <w:color w:val="365F91"/>
          <w:sz w:val="24"/>
        </w:rPr>
        <w:t>&amp;</w:t>
      </w:r>
      <w:r>
        <w:rPr>
          <w:color w:val="365F91"/>
          <w:spacing w:val="-3"/>
          <w:sz w:val="24"/>
        </w:rPr>
        <w:t> </w:t>
      </w:r>
      <w:r>
        <w:rPr>
          <w:color w:val="365F91"/>
          <w:sz w:val="24"/>
        </w:rPr>
        <w:t>Criminal</w:t>
      </w:r>
      <w:r>
        <w:rPr>
          <w:color w:val="365F91"/>
          <w:spacing w:val="-3"/>
          <w:sz w:val="24"/>
        </w:rPr>
        <w:t> </w:t>
      </w:r>
      <w:r>
        <w:rPr>
          <w:color w:val="365F91"/>
          <w:spacing w:val="-2"/>
          <w:sz w:val="24"/>
        </w:rPr>
        <w:t>Justice</w:t>
      </w:r>
    </w:p>
    <w:p>
      <w:pPr>
        <w:pStyle w:val="BodyText"/>
        <w:spacing w:line="276" w:lineRule="auto" w:before="286"/>
        <w:ind w:left="603" w:right="421"/>
        <w:jc w:val="both"/>
      </w:pPr>
      <w:r>
        <w:rPr/>
        <w:t>The</w:t>
      </w:r>
      <w:r>
        <w:rPr>
          <w:spacing w:val="-8"/>
        </w:rPr>
        <w:t> </w:t>
      </w:r>
      <w:r>
        <w:rPr/>
        <w:t>Commission</w:t>
      </w:r>
      <w:r>
        <w:rPr>
          <w:spacing w:val="-9"/>
        </w:rPr>
        <w:t> </w:t>
      </w:r>
      <w:r>
        <w:rPr/>
        <w:t>has</w:t>
      </w:r>
      <w:r>
        <w:rPr>
          <w:spacing w:val="-8"/>
        </w:rPr>
        <w:t> </w:t>
      </w:r>
      <w:r>
        <w:rPr/>
        <w:t>further</w:t>
      </w:r>
      <w:r>
        <w:rPr>
          <w:spacing w:val="-9"/>
        </w:rPr>
        <w:t> </w:t>
      </w:r>
      <w:r>
        <w:rPr/>
        <w:t>been</w:t>
      </w:r>
      <w:r>
        <w:rPr>
          <w:spacing w:val="-8"/>
        </w:rPr>
        <w:t> </w:t>
      </w:r>
      <w:r>
        <w:rPr/>
        <w:t>conducting</w:t>
      </w:r>
      <w:r>
        <w:rPr>
          <w:spacing w:val="-8"/>
        </w:rPr>
        <w:t> </w:t>
      </w:r>
      <w:r>
        <w:rPr/>
        <w:t>listening</w:t>
      </w:r>
      <w:r>
        <w:rPr>
          <w:spacing w:val="-9"/>
        </w:rPr>
        <w:t> </w:t>
      </w:r>
      <w:r>
        <w:rPr/>
        <w:t>sessions</w:t>
      </w:r>
      <w:r>
        <w:rPr>
          <w:spacing w:val="-8"/>
        </w:rPr>
        <w:t> </w:t>
      </w:r>
      <w:r>
        <w:rPr/>
        <w:t>and</w:t>
      </w:r>
      <w:r>
        <w:rPr>
          <w:spacing w:val="-9"/>
        </w:rPr>
        <w:t> </w:t>
      </w:r>
      <w:r>
        <w:rPr/>
        <w:t>one-on-one</w:t>
      </w:r>
      <w:r>
        <w:rPr>
          <w:spacing w:val="-9"/>
        </w:rPr>
        <w:t> </w:t>
      </w:r>
      <w:r>
        <w:rPr/>
        <w:t>interviews</w:t>
      </w:r>
      <w:r>
        <w:rPr>
          <w:spacing w:val="-6"/>
        </w:rPr>
        <w:t> </w:t>
      </w:r>
      <w:r>
        <w:rPr/>
        <w:t>with</w:t>
      </w:r>
      <w:r>
        <w:rPr>
          <w:spacing w:val="-8"/>
        </w:rPr>
        <w:t> </w:t>
      </w:r>
      <w:r>
        <w:rPr/>
        <w:t>youth in</w:t>
      </w:r>
      <w:r>
        <w:rPr>
          <w:spacing w:val="-4"/>
        </w:rPr>
        <w:t> </w:t>
      </w:r>
      <w:r>
        <w:rPr/>
        <w:t>other</w:t>
      </w:r>
      <w:r>
        <w:rPr>
          <w:spacing w:val="-3"/>
        </w:rPr>
        <w:t> </w:t>
      </w:r>
      <w:r>
        <w:rPr/>
        <w:t>areas,</w:t>
      </w:r>
      <w:r>
        <w:rPr>
          <w:spacing w:val="-4"/>
        </w:rPr>
        <w:t> </w:t>
      </w:r>
      <w:r>
        <w:rPr/>
        <w:t>noting</w:t>
      </w:r>
      <w:r>
        <w:rPr>
          <w:spacing w:val="-3"/>
        </w:rPr>
        <w:t> </w:t>
      </w:r>
      <w:r>
        <w:rPr/>
        <w:t>that</w:t>
      </w:r>
      <w:r>
        <w:rPr>
          <w:spacing w:val="-3"/>
        </w:rPr>
        <w:t> </w:t>
      </w:r>
      <w:r>
        <w:rPr/>
        <w:t>its</w:t>
      </w:r>
      <w:r>
        <w:rPr>
          <w:spacing w:val="-4"/>
        </w:rPr>
        <w:t> </w:t>
      </w:r>
      <w:r>
        <w:rPr/>
        <w:t>general</w:t>
      </w:r>
      <w:r>
        <w:rPr>
          <w:spacing w:val="-3"/>
        </w:rPr>
        <w:t> </w:t>
      </w:r>
      <w:r>
        <w:rPr/>
        <w:t>calls</w:t>
      </w:r>
      <w:r>
        <w:rPr>
          <w:spacing w:val="-4"/>
        </w:rPr>
        <w:t> </w:t>
      </w:r>
      <w:r>
        <w:rPr/>
        <w:t>for</w:t>
      </w:r>
      <w:r>
        <w:rPr>
          <w:spacing w:val="-4"/>
        </w:rPr>
        <w:t> </w:t>
      </w:r>
      <w:r>
        <w:rPr/>
        <w:t>listening</w:t>
      </w:r>
      <w:r>
        <w:rPr>
          <w:spacing w:val="-4"/>
        </w:rPr>
        <w:t> </w:t>
      </w:r>
      <w:r>
        <w:rPr/>
        <w:t>session</w:t>
      </w:r>
      <w:r>
        <w:rPr>
          <w:spacing w:val="-4"/>
        </w:rPr>
        <w:t> </w:t>
      </w:r>
      <w:r>
        <w:rPr/>
        <w:t>participants</w:t>
      </w:r>
      <w:r>
        <w:rPr>
          <w:spacing w:val="-4"/>
        </w:rPr>
        <w:t> </w:t>
      </w:r>
      <w:r>
        <w:rPr/>
        <w:t>often</w:t>
      </w:r>
      <w:r>
        <w:rPr>
          <w:spacing w:val="-3"/>
        </w:rPr>
        <w:t> </w:t>
      </w:r>
      <w:r>
        <w:rPr/>
        <w:t>fail</w:t>
      </w:r>
      <w:r>
        <w:rPr>
          <w:spacing w:val="-4"/>
        </w:rPr>
        <w:t> </w:t>
      </w:r>
      <w:r>
        <w:rPr/>
        <w:t>to</w:t>
      </w:r>
      <w:r>
        <w:rPr>
          <w:spacing w:val="-4"/>
        </w:rPr>
        <w:t> </w:t>
      </w:r>
      <w:r>
        <w:rPr/>
        <w:t>reach</w:t>
      </w:r>
      <w:r>
        <w:rPr>
          <w:spacing w:val="-3"/>
        </w:rPr>
        <w:t> </w:t>
      </w:r>
      <w:r>
        <w:rPr/>
        <w:t>some</w:t>
      </w:r>
      <w:r>
        <w:rPr>
          <w:spacing w:val="-4"/>
        </w:rPr>
        <w:t> </w:t>
      </w:r>
      <w:r>
        <w:rPr/>
        <w:t>of the</w:t>
      </w:r>
      <w:r>
        <w:rPr>
          <w:spacing w:val="-5"/>
        </w:rPr>
        <w:t> </w:t>
      </w:r>
      <w:r>
        <w:rPr/>
        <w:t>most</w:t>
      </w:r>
      <w:r>
        <w:rPr>
          <w:spacing w:val="-6"/>
        </w:rPr>
        <w:t> </w:t>
      </w:r>
      <w:r>
        <w:rPr/>
        <w:t>vulnerable</w:t>
      </w:r>
      <w:r>
        <w:rPr>
          <w:spacing w:val="-7"/>
        </w:rPr>
        <w:t> </w:t>
      </w:r>
      <w:r>
        <w:rPr/>
        <w:t>youth</w:t>
      </w:r>
      <w:r>
        <w:rPr>
          <w:spacing w:val="-4"/>
        </w:rPr>
        <w:t> </w:t>
      </w:r>
      <w:r>
        <w:rPr/>
        <w:t>in</w:t>
      </w:r>
      <w:r>
        <w:rPr>
          <w:spacing w:val="-6"/>
        </w:rPr>
        <w:t> </w:t>
      </w:r>
      <w:r>
        <w:rPr/>
        <w:t>the</w:t>
      </w:r>
      <w:r>
        <w:rPr>
          <w:spacing w:val="-5"/>
        </w:rPr>
        <w:t> </w:t>
      </w:r>
      <w:r>
        <w:rPr/>
        <w:t>state.</w:t>
      </w:r>
      <w:r>
        <w:rPr>
          <w:spacing w:val="-6"/>
        </w:rPr>
        <w:t> </w:t>
      </w:r>
      <w:r>
        <w:rPr/>
        <w:t>Continuing</w:t>
      </w:r>
      <w:r>
        <w:rPr>
          <w:spacing w:val="-6"/>
        </w:rPr>
        <w:t> </w:t>
      </w:r>
      <w:r>
        <w:rPr/>
        <w:t>into</w:t>
      </w:r>
      <w:r>
        <w:rPr>
          <w:spacing w:val="-6"/>
        </w:rPr>
        <w:t> </w:t>
      </w:r>
      <w:r>
        <w:rPr/>
        <w:t>FY</w:t>
      </w:r>
      <w:r>
        <w:rPr>
          <w:spacing w:val="-6"/>
        </w:rPr>
        <w:t> </w:t>
      </w:r>
      <w:r>
        <w:rPr/>
        <w:t>2025,</w:t>
      </w:r>
      <w:r>
        <w:rPr>
          <w:spacing w:val="-5"/>
        </w:rPr>
        <w:t> </w:t>
      </w:r>
      <w:r>
        <w:rPr/>
        <w:t>the</w:t>
      </w:r>
      <w:r>
        <w:rPr>
          <w:spacing w:val="-7"/>
        </w:rPr>
        <w:t> </w:t>
      </w:r>
      <w:r>
        <w:rPr/>
        <w:t>Commission</w:t>
      </w:r>
      <w:r>
        <w:rPr>
          <w:spacing w:val="-7"/>
        </w:rPr>
        <w:t> </w:t>
      </w:r>
      <w:r>
        <w:rPr/>
        <w:t>hopes</w:t>
      </w:r>
      <w:r>
        <w:rPr>
          <w:spacing w:val="-5"/>
        </w:rPr>
        <w:t> </w:t>
      </w:r>
      <w:r>
        <w:rPr/>
        <w:t>to</w:t>
      </w:r>
      <w:r>
        <w:rPr>
          <w:spacing w:val="-5"/>
        </w:rPr>
        <w:t> </w:t>
      </w:r>
      <w:r>
        <w:rPr/>
        <w:t>continue</w:t>
      </w:r>
      <w:r>
        <w:rPr>
          <w:spacing w:val="-5"/>
        </w:rPr>
        <w:t> </w:t>
      </w:r>
      <w:r>
        <w:rPr/>
        <w:t>to engage youth experiencing homelessness, who have interacted with or are currently involved in the legal</w:t>
      </w:r>
      <w:r>
        <w:rPr>
          <w:spacing w:val="-3"/>
        </w:rPr>
        <w:t> </w:t>
      </w:r>
      <w:r>
        <w:rPr/>
        <w:t>system, and</w:t>
      </w:r>
      <w:r>
        <w:rPr>
          <w:spacing w:val="-3"/>
        </w:rPr>
        <w:t> </w:t>
      </w:r>
      <w:r>
        <w:rPr/>
        <w:t>youth</w:t>
      </w:r>
      <w:r>
        <w:rPr>
          <w:spacing w:val="-2"/>
        </w:rPr>
        <w:t> </w:t>
      </w:r>
      <w:r>
        <w:rPr/>
        <w:t>transitioning</w:t>
      </w:r>
      <w:r>
        <w:rPr>
          <w:spacing w:val="-2"/>
        </w:rPr>
        <w:t> </w:t>
      </w:r>
      <w:r>
        <w:rPr/>
        <w:t>out</w:t>
      </w:r>
      <w:r>
        <w:rPr>
          <w:spacing w:val="-3"/>
        </w:rPr>
        <w:t> </w:t>
      </w:r>
      <w:r>
        <w:rPr/>
        <w:t>of</w:t>
      </w:r>
      <w:r>
        <w:rPr>
          <w:spacing w:val="-3"/>
        </w:rPr>
        <w:t> </w:t>
      </w:r>
      <w:r>
        <w:rPr/>
        <w:t>the</w:t>
      </w:r>
      <w:r>
        <w:rPr>
          <w:spacing w:val="-2"/>
        </w:rPr>
        <w:t> </w:t>
      </w:r>
      <w:r>
        <w:rPr/>
        <w:t>child</w:t>
      </w:r>
      <w:r>
        <w:rPr>
          <w:spacing w:val="-2"/>
        </w:rPr>
        <w:t> </w:t>
      </w:r>
      <w:r>
        <w:rPr/>
        <w:t>welfare</w:t>
      </w:r>
      <w:r>
        <w:rPr>
          <w:spacing w:val="-3"/>
        </w:rPr>
        <w:t> </w:t>
      </w:r>
      <w:r>
        <w:rPr/>
        <w:t>system.</w:t>
      </w:r>
      <w:r>
        <w:rPr>
          <w:spacing w:val="-3"/>
        </w:rPr>
        <w:t> </w:t>
      </w:r>
      <w:r>
        <w:rPr/>
        <w:t>Some</w:t>
      </w:r>
      <w:r>
        <w:rPr>
          <w:spacing w:val="-3"/>
        </w:rPr>
        <w:t> </w:t>
      </w:r>
      <w:r>
        <w:rPr/>
        <w:t>of</w:t>
      </w:r>
      <w:r>
        <w:rPr>
          <w:spacing w:val="-2"/>
        </w:rPr>
        <w:t> </w:t>
      </w:r>
      <w:r>
        <w:rPr/>
        <w:t>the</w:t>
      </w:r>
      <w:r>
        <w:rPr>
          <w:spacing w:val="-3"/>
        </w:rPr>
        <w:t> </w:t>
      </w:r>
      <w:r>
        <w:rPr/>
        <w:t>information</w:t>
      </w:r>
      <w:r>
        <w:rPr>
          <w:spacing w:val="-3"/>
        </w:rPr>
        <w:t> </w:t>
      </w:r>
      <w:r>
        <w:rPr/>
        <w:t>shared with the Commission so far raises significant concerns at the state of LGBTQ youth across </w:t>
      </w:r>
      <w:r>
        <w:rPr>
          <w:spacing w:val="-2"/>
        </w:rPr>
        <w:t>Massachusetts:</w:t>
      </w:r>
    </w:p>
    <w:p>
      <w:pPr>
        <w:pStyle w:val="ListParagraph"/>
        <w:numPr>
          <w:ilvl w:val="0"/>
          <w:numId w:val="1"/>
        </w:numPr>
        <w:tabs>
          <w:tab w:pos="1899" w:val="left" w:leader="none"/>
        </w:tabs>
        <w:spacing w:line="276" w:lineRule="auto" w:before="239" w:after="0"/>
        <w:ind w:left="1899" w:right="423" w:hanging="360"/>
        <w:jc w:val="left"/>
        <w:rPr>
          <w:rFonts w:ascii="Symbol" w:hAnsi="Symbol"/>
          <w:sz w:val="22"/>
        </w:rPr>
      </w:pPr>
      <w:r>
        <w:rPr>
          <w:sz w:val="22"/>
        </w:rPr>
        <w:t>Lack</w:t>
      </w:r>
      <w:r>
        <w:rPr>
          <w:spacing w:val="-9"/>
          <w:sz w:val="22"/>
        </w:rPr>
        <w:t> </w:t>
      </w:r>
      <w:r>
        <w:rPr>
          <w:sz w:val="22"/>
        </w:rPr>
        <w:t>of</w:t>
      </w:r>
      <w:r>
        <w:rPr>
          <w:spacing w:val="-10"/>
          <w:sz w:val="22"/>
        </w:rPr>
        <w:t> </w:t>
      </w:r>
      <w:r>
        <w:rPr>
          <w:sz w:val="22"/>
        </w:rPr>
        <w:t>access</w:t>
      </w:r>
      <w:r>
        <w:rPr>
          <w:spacing w:val="-9"/>
          <w:sz w:val="22"/>
        </w:rPr>
        <w:t> </w:t>
      </w:r>
      <w:r>
        <w:rPr>
          <w:sz w:val="22"/>
        </w:rPr>
        <w:t>to</w:t>
      </w:r>
      <w:r>
        <w:rPr>
          <w:spacing w:val="-9"/>
          <w:sz w:val="22"/>
        </w:rPr>
        <w:t> </w:t>
      </w:r>
      <w:r>
        <w:rPr>
          <w:sz w:val="22"/>
        </w:rPr>
        <w:t>affordable</w:t>
      </w:r>
      <w:r>
        <w:rPr>
          <w:spacing w:val="-10"/>
          <w:sz w:val="22"/>
        </w:rPr>
        <w:t> </w:t>
      </w:r>
      <w:r>
        <w:rPr>
          <w:sz w:val="22"/>
        </w:rPr>
        <w:t>housing,</w:t>
      </w:r>
      <w:r>
        <w:rPr>
          <w:spacing w:val="-8"/>
          <w:sz w:val="22"/>
        </w:rPr>
        <w:t> </w:t>
      </w:r>
      <w:r>
        <w:rPr>
          <w:sz w:val="22"/>
        </w:rPr>
        <w:t>particularly</w:t>
      </w:r>
      <w:r>
        <w:rPr>
          <w:spacing w:val="-9"/>
          <w:sz w:val="22"/>
        </w:rPr>
        <w:t> </w:t>
      </w:r>
      <w:r>
        <w:rPr>
          <w:sz w:val="22"/>
        </w:rPr>
        <w:t>housing</w:t>
      </w:r>
      <w:r>
        <w:rPr>
          <w:spacing w:val="-9"/>
          <w:sz w:val="22"/>
        </w:rPr>
        <w:t> </w:t>
      </w:r>
      <w:r>
        <w:rPr>
          <w:sz w:val="22"/>
        </w:rPr>
        <w:t>that</w:t>
      </w:r>
      <w:r>
        <w:rPr>
          <w:spacing w:val="-9"/>
          <w:sz w:val="22"/>
        </w:rPr>
        <w:t> </w:t>
      </w:r>
      <w:r>
        <w:rPr>
          <w:sz w:val="22"/>
        </w:rPr>
        <w:t>is</w:t>
      </w:r>
      <w:r>
        <w:rPr>
          <w:spacing w:val="-8"/>
          <w:sz w:val="22"/>
        </w:rPr>
        <w:t> </w:t>
      </w:r>
      <w:r>
        <w:rPr>
          <w:sz w:val="22"/>
        </w:rPr>
        <w:t>safe</w:t>
      </w:r>
      <w:r>
        <w:rPr>
          <w:spacing w:val="-10"/>
          <w:sz w:val="22"/>
        </w:rPr>
        <w:t> </w:t>
      </w:r>
      <w:r>
        <w:rPr>
          <w:sz w:val="22"/>
        </w:rPr>
        <w:t>to</w:t>
      </w:r>
      <w:r>
        <w:rPr>
          <w:spacing w:val="-8"/>
          <w:sz w:val="22"/>
        </w:rPr>
        <w:t> </w:t>
      </w:r>
      <w:r>
        <w:rPr>
          <w:sz w:val="22"/>
        </w:rPr>
        <w:t>habit</w:t>
      </w:r>
      <w:r>
        <w:rPr>
          <w:spacing w:val="-9"/>
          <w:sz w:val="22"/>
        </w:rPr>
        <w:t> </w:t>
      </w:r>
      <w:r>
        <w:rPr>
          <w:sz w:val="22"/>
        </w:rPr>
        <w:t>or</w:t>
      </w:r>
      <w:r>
        <w:rPr>
          <w:spacing w:val="-9"/>
          <w:sz w:val="22"/>
        </w:rPr>
        <w:t> </w:t>
      </w:r>
      <w:r>
        <w:rPr>
          <w:sz w:val="22"/>
        </w:rPr>
        <w:t>without constant need for repair</w:t>
      </w:r>
    </w:p>
    <w:p>
      <w:pPr>
        <w:pStyle w:val="ListParagraph"/>
        <w:numPr>
          <w:ilvl w:val="0"/>
          <w:numId w:val="1"/>
        </w:numPr>
        <w:tabs>
          <w:tab w:pos="1899" w:val="left" w:leader="none"/>
        </w:tabs>
        <w:spacing w:line="280" w:lineRule="exact" w:before="0" w:after="0"/>
        <w:ind w:left="1899" w:right="0" w:hanging="360"/>
        <w:jc w:val="left"/>
        <w:rPr>
          <w:rFonts w:ascii="Symbol" w:hAnsi="Symbol"/>
          <w:sz w:val="22"/>
        </w:rPr>
      </w:pPr>
      <w:r>
        <w:rPr>
          <w:sz w:val="22"/>
        </w:rPr>
        <w:t>Lack</w:t>
      </w:r>
      <w:r>
        <w:rPr>
          <w:spacing w:val="-9"/>
          <w:sz w:val="22"/>
        </w:rPr>
        <w:t> </w:t>
      </w:r>
      <w:r>
        <w:rPr>
          <w:sz w:val="22"/>
        </w:rPr>
        <w:t>of</w:t>
      </w:r>
      <w:r>
        <w:rPr>
          <w:spacing w:val="-8"/>
          <w:sz w:val="22"/>
        </w:rPr>
        <w:t> </w:t>
      </w:r>
      <w:r>
        <w:rPr>
          <w:sz w:val="22"/>
        </w:rPr>
        <w:t>accountability</w:t>
      </w:r>
      <w:r>
        <w:rPr>
          <w:spacing w:val="-7"/>
          <w:sz w:val="22"/>
        </w:rPr>
        <w:t> </w:t>
      </w:r>
      <w:r>
        <w:rPr>
          <w:sz w:val="22"/>
        </w:rPr>
        <w:t>for</w:t>
      </w:r>
      <w:r>
        <w:rPr>
          <w:spacing w:val="-8"/>
          <w:sz w:val="22"/>
        </w:rPr>
        <w:t> </w:t>
      </w:r>
      <w:r>
        <w:rPr>
          <w:sz w:val="22"/>
        </w:rPr>
        <w:t>landlords</w:t>
      </w:r>
      <w:r>
        <w:rPr>
          <w:spacing w:val="-8"/>
          <w:sz w:val="22"/>
        </w:rPr>
        <w:t> </w:t>
      </w:r>
      <w:r>
        <w:rPr>
          <w:sz w:val="22"/>
        </w:rPr>
        <w:t>who</w:t>
      </w:r>
      <w:r>
        <w:rPr>
          <w:spacing w:val="-6"/>
          <w:sz w:val="22"/>
        </w:rPr>
        <w:t> </w:t>
      </w:r>
      <w:r>
        <w:rPr>
          <w:sz w:val="22"/>
        </w:rPr>
        <w:t>do</w:t>
      </w:r>
      <w:r>
        <w:rPr>
          <w:spacing w:val="-7"/>
          <w:sz w:val="22"/>
        </w:rPr>
        <w:t> </w:t>
      </w:r>
      <w:r>
        <w:rPr>
          <w:sz w:val="22"/>
        </w:rPr>
        <w:t>oversee</w:t>
      </w:r>
      <w:r>
        <w:rPr>
          <w:spacing w:val="-8"/>
          <w:sz w:val="22"/>
        </w:rPr>
        <w:t> </w:t>
      </w:r>
      <w:r>
        <w:rPr>
          <w:sz w:val="22"/>
        </w:rPr>
        <w:t>affordable</w:t>
      </w:r>
      <w:r>
        <w:rPr>
          <w:spacing w:val="-8"/>
          <w:sz w:val="22"/>
        </w:rPr>
        <w:t> </w:t>
      </w:r>
      <w:r>
        <w:rPr>
          <w:spacing w:val="-2"/>
          <w:sz w:val="22"/>
        </w:rPr>
        <w:t>housing</w:t>
      </w:r>
    </w:p>
    <w:p>
      <w:pPr>
        <w:pStyle w:val="ListParagraph"/>
        <w:numPr>
          <w:ilvl w:val="0"/>
          <w:numId w:val="1"/>
        </w:numPr>
        <w:tabs>
          <w:tab w:pos="1899" w:val="left" w:leader="none"/>
        </w:tabs>
        <w:spacing w:line="276" w:lineRule="auto" w:before="40" w:after="0"/>
        <w:ind w:left="1899" w:right="424" w:hanging="360"/>
        <w:jc w:val="left"/>
        <w:rPr>
          <w:rFonts w:ascii="Symbol" w:hAnsi="Symbol"/>
          <w:sz w:val="22"/>
        </w:rPr>
      </w:pPr>
      <w:r>
        <w:rPr>
          <w:sz w:val="22"/>
        </w:rPr>
        <w:t>Lack</w:t>
      </w:r>
      <w:r>
        <w:rPr>
          <w:spacing w:val="-12"/>
          <w:sz w:val="22"/>
        </w:rPr>
        <w:t> </w:t>
      </w:r>
      <w:r>
        <w:rPr>
          <w:sz w:val="22"/>
        </w:rPr>
        <w:t>of</w:t>
      </w:r>
      <w:r>
        <w:rPr>
          <w:spacing w:val="-12"/>
          <w:sz w:val="22"/>
        </w:rPr>
        <w:t> </w:t>
      </w:r>
      <w:r>
        <w:rPr>
          <w:sz w:val="22"/>
        </w:rPr>
        <w:t>appropriate</w:t>
      </w:r>
      <w:r>
        <w:rPr>
          <w:spacing w:val="-11"/>
          <w:sz w:val="22"/>
        </w:rPr>
        <w:t> </w:t>
      </w:r>
      <w:r>
        <w:rPr>
          <w:sz w:val="22"/>
        </w:rPr>
        <w:t>rental</w:t>
      </w:r>
      <w:r>
        <w:rPr>
          <w:spacing w:val="-10"/>
          <w:sz w:val="22"/>
        </w:rPr>
        <w:t> </w:t>
      </w:r>
      <w:r>
        <w:rPr>
          <w:sz w:val="22"/>
        </w:rPr>
        <w:t>assistance</w:t>
      </w:r>
      <w:r>
        <w:rPr>
          <w:spacing w:val="-12"/>
          <w:sz w:val="22"/>
        </w:rPr>
        <w:t> </w:t>
      </w:r>
      <w:r>
        <w:rPr>
          <w:sz w:val="22"/>
        </w:rPr>
        <w:t>(i.e.</w:t>
      </w:r>
      <w:r>
        <w:rPr>
          <w:spacing w:val="-13"/>
          <w:sz w:val="22"/>
        </w:rPr>
        <w:t> </w:t>
      </w:r>
      <w:r>
        <w:rPr>
          <w:sz w:val="22"/>
        </w:rPr>
        <w:t>assistance</w:t>
      </w:r>
      <w:r>
        <w:rPr>
          <w:spacing w:val="-11"/>
          <w:sz w:val="22"/>
        </w:rPr>
        <w:t> </w:t>
      </w:r>
      <w:r>
        <w:rPr>
          <w:sz w:val="22"/>
        </w:rPr>
        <w:t>with</w:t>
      </w:r>
      <w:r>
        <w:rPr>
          <w:spacing w:val="-11"/>
          <w:sz w:val="22"/>
        </w:rPr>
        <w:t> </w:t>
      </w:r>
      <w:r>
        <w:rPr>
          <w:sz w:val="22"/>
        </w:rPr>
        <w:t>back</w:t>
      </w:r>
      <w:r>
        <w:rPr>
          <w:spacing w:val="-11"/>
          <w:sz w:val="22"/>
        </w:rPr>
        <w:t> </w:t>
      </w:r>
      <w:r>
        <w:rPr>
          <w:sz w:val="22"/>
        </w:rPr>
        <w:t>payment</w:t>
      </w:r>
      <w:r>
        <w:rPr>
          <w:spacing w:val="-12"/>
          <w:sz w:val="22"/>
        </w:rPr>
        <w:t> </w:t>
      </w:r>
      <w:r>
        <w:rPr>
          <w:sz w:val="22"/>
        </w:rPr>
        <w:t>on</w:t>
      </w:r>
      <w:r>
        <w:rPr>
          <w:spacing w:val="-11"/>
          <w:sz w:val="22"/>
        </w:rPr>
        <w:t> </w:t>
      </w:r>
      <w:r>
        <w:rPr>
          <w:sz w:val="22"/>
        </w:rPr>
        <w:t>rent,</w:t>
      </w:r>
      <w:r>
        <w:rPr>
          <w:spacing w:val="-11"/>
          <w:sz w:val="22"/>
        </w:rPr>
        <w:t> </w:t>
      </w:r>
      <w:r>
        <w:rPr>
          <w:sz w:val="22"/>
        </w:rPr>
        <w:t>brokers fees, timely payments from RAFT)</w:t>
      </w:r>
    </w:p>
    <w:p>
      <w:pPr>
        <w:pStyle w:val="ListParagraph"/>
        <w:numPr>
          <w:ilvl w:val="0"/>
          <w:numId w:val="1"/>
        </w:numPr>
        <w:tabs>
          <w:tab w:pos="1899" w:val="left" w:leader="none"/>
        </w:tabs>
        <w:spacing w:line="240" w:lineRule="auto" w:before="1" w:after="0"/>
        <w:ind w:left="1899" w:right="0" w:hanging="360"/>
        <w:jc w:val="left"/>
        <w:rPr>
          <w:rFonts w:ascii="Symbol" w:hAnsi="Symbol"/>
          <w:sz w:val="22"/>
        </w:rPr>
      </w:pPr>
      <w:r>
        <w:rPr>
          <w:sz w:val="22"/>
        </w:rPr>
        <w:t>Lack</w:t>
      </w:r>
      <w:r>
        <w:rPr>
          <w:spacing w:val="-8"/>
          <w:sz w:val="22"/>
        </w:rPr>
        <w:t> </w:t>
      </w:r>
      <w:r>
        <w:rPr>
          <w:sz w:val="22"/>
        </w:rPr>
        <w:t>of</w:t>
      </w:r>
      <w:r>
        <w:rPr>
          <w:spacing w:val="-8"/>
          <w:sz w:val="22"/>
        </w:rPr>
        <w:t> </w:t>
      </w:r>
      <w:r>
        <w:rPr>
          <w:sz w:val="22"/>
        </w:rPr>
        <w:t>access</w:t>
      </w:r>
      <w:r>
        <w:rPr>
          <w:spacing w:val="-8"/>
          <w:sz w:val="22"/>
        </w:rPr>
        <w:t> </w:t>
      </w:r>
      <w:r>
        <w:rPr>
          <w:sz w:val="22"/>
        </w:rPr>
        <w:t>to</w:t>
      </w:r>
      <w:r>
        <w:rPr>
          <w:spacing w:val="-7"/>
          <w:sz w:val="22"/>
        </w:rPr>
        <w:t> </w:t>
      </w:r>
      <w:r>
        <w:rPr>
          <w:sz w:val="22"/>
        </w:rPr>
        <w:t>short-term</w:t>
      </w:r>
      <w:r>
        <w:rPr>
          <w:spacing w:val="-8"/>
          <w:sz w:val="22"/>
        </w:rPr>
        <w:t> </w:t>
      </w:r>
      <w:r>
        <w:rPr>
          <w:sz w:val="22"/>
        </w:rPr>
        <w:t>housing</w:t>
      </w:r>
      <w:r>
        <w:rPr>
          <w:spacing w:val="-8"/>
          <w:sz w:val="22"/>
        </w:rPr>
        <w:t> </w:t>
      </w:r>
      <w:r>
        <w:rPr>
          <w:sz w:val="22"/>
        </w:rPr>
        <w:t>for</w:t>
      </w:r>
      <w:r>
        <w:rPr>
          <w:spacing w:val="-8"/>
          <w:sz w:val="22"/>
        </w:rPr>
        <w:t> </w:t>
      </w:r>
      <w:r>
        <w:rPr>
          <w:sz w:val="22"/>
        </w:rPr>
        <w:t>individuals</w:t>
      </w:r>
      <w:r>
        <w:rPr>
          <w:spacing w:val="-7"/>
          <w:sz w:val="22"/>
        </w:rPr>
        <w:t> </w:t>
      </w:r>
      <w:r>
        <w:rPr>
          <w:sz w:val="22"/>
        </w:rPr>
        <w:t>re-entering</w:t>
      </w:r>
      <w:r>
        <w:rPr>
          <w:spacing w:val="-7"/>
          <w:sz w:val="22"/>
        </w:rPr>
        <w:t> </w:t>
      </w:r>
      <w:r>
        <w:rPr>
          <w:sz w:val="22"/>
        </w:rPr>
        <w:t>into</w:t>
      </w:r>
      <w:r>
        <w:rPr>
          <w:spacing w:val="-7"/>
          <w:sz w:val="22"/>
        </w:rPr>
        <w:t> </w:t>
      </w:r>
      <w:r>
        <w:rPr>
          <w:sz w:val="22"/>
        </w:rPr>
        <w:t>the</w:t>
      </w:r>
      <w:r>
        <w:rPr>
          <w:spacing w:val="-7"/>
          <w:sz w:val="22"/>
        </w:rPr>
        <w:t> </w:t>
      </w:r>
      <w:r>
        <w:rPr>
          <w:spacing w:val="-2"/>
          <w:sz w:val="22"/>
        </w:rPr>
        <w:t>community</w:t>
      </w:r>
    </w:p>
    <w:p>
      <w:pPr>
        <w:pStyle w:val="ListParagraph"/>
        <w:numPr>
          <w:ilvl w:val="0"/>
          <w:numId w:val="1"/>
        </w:numPr>
        <w:tabs>
          <w:tab w:pos="1899" w:val="left" w:leader="none"/>
        </w:tabs>
        <w:spacing w:line="240" w:lineRule="auto" w:before="40" w:after="0"/>
        <w:ind w:left="1899" w:right="0" w:hanging="360"/>
        <w:jc w:val="left"/>
        <w:rPr>
          <w:rFonts w:ascii="Symbol" w:hAnsi="Symbol"/>
          <w:sz w:val="22"/>
        </w:rPr>
      </w:pPr>
      <w:r>
        <w:rPr>
          <w:sz w:val="22"/>
        </w:rPr>
        <w:t>Lack</w:t>
      </w:r>
      <w:r>
        <w:rPr>
          <w:spacing w:val="-5"/>
          <w:sz w:val="22"/>
        </w:rPr>
        <w:t> </w:t>
      </w:r>
      <w:r>
        <w:rPr>
          <w:sz w:val="22"/>
        </w:rPr>
        <w:t>of</w:t>
      </w:r>
      <w:r>
        <w:rPr>
          <w:spacing w:val="-5"/>
          <w:sz w:val="22"/>
        </w:rPr>
        <w:t> </w:t>
      </w:r>
      <w:r>
        <w:rPr>
          <w:sz w:val="22"/>
        </w:rPr>
        <w:t>access</w:t>
      </w:r>
      <w:r>
        <w:rPr>
          <w:spacing w:val="-5"/>
          <w:sz w:val="22"/>
        </w:rPr>
        <w:t> </w:t>
      </w:r>
      <w:r>
        <w:rPr>
          <w:sz w:val="22"/>
        </w:rPr>
        <w:t>to</w:t>
      </w:r>
      <w:r>
        <w:rPr>
          <w:spacing w:val="-5"/>
          <w:sz w:val="22"/>
        </w:rPr>
        <w:t> </w:t>
      </w:r>
      <w:r>
        <w:rPr>
          <w:sz w:val="22"/>
        </w:rPr>
        <w:t>safe</w:t>
      </w:r>
      <w:r>
        <w:rPr>
          <w:spacing w:val="-5"/>
          <w:sz w:val="22"/>
        </w:rPr>
        <w:t> </w:t>
      </w:r>
      <w:r>
        <w:rPr>
          <w:spacing w:val="-2"/>
          <w:sz w:val="22"/>
        </w:rPr>
        <w:t>shelters</w:t>
      </w:r>
    </w:p>
    <w:p>
      <w:pPr>
        <w:pStyle w:val="ListParagraph"/>
        <w:numPr>
          <w:ilvl w:val="0"/>
          <w:numId w:val="1"/>
        </w:numPr>
        <w:tabs>
          <w:tab w:pos="1899" w:val="left" w:leader="none"/>
        </w:tabs>
        <w:spacing w:line="240" w:lineRule="auto" w:before="40" w:after="0"/>
        <w:ind w:left="1899" w:right="0" w:hanging="360"/>
        <w:jc w:val="left"/>
        <w:rPr>
          <w:rFonts w:ascii="Symbol" w:hAnsi="Symbol"/>
          <w:sz w:val="22"/>
        </w:rPr>
      </w:pPr>
      <w:r>
        <w:rPr>
          <w:sz w:val="22"/>
        </w:rPr>
        <w:t>Significant</w:t>
      </w:r>
      <w:r>
        <w:rPr>
          <w:spacing w:val="-9"/>
          <w:sz w:val="22"/>
        </w:rPr>
        <w:t> </w:t>
      </w:r>
      <w:r>
        <w:rPr>
          <w:sz w:val="22"/>
        </w:rPr>
        <w:t>delays</w:t>
      </w:r>
      <w:r>
        <w:rPr>
          <w:spacing w:val="-8"/>
          <w:sz w:val="22"/>
        </w:rPr>
        <w:t> </w:t>
      </w:r>
      <w:r>
        <w:rPr>
          <w:sz w:val="22"/>
        </w:rPr>
        <w:t>with</w:t>
      </w:r>
      <w:r>
        <w:rPr>
          <w:spacing w:val="-9"/>
          <w:sz w:val="22"/>
        </w:rPr>
        <w:t> </w:t>
      </w:r>
      <w:r>
        <w:rPr>
          <w:sz w:val="22"/>
        </w:rPr>
        <w:t>housing</w:t>
      </w:r>
      <w:r>
        <w:rPr>
          <w:spacing w:val="-8"/>
          <w:sz w:val="22"/>
        </w:rPr>
        <w:t> </w:t>
      </w:r>
      <w:r>
        <w:rPr>
          <w:spacing w:val="-2"/>
          <w:sz w:val="22"/>
        </w:rPr>
        <w:t>vouchers</w:t>
      </w:r>
    </w:p>
    <w:p>
      <w:pPr>
        <w:pStyle w:val="ListParagraph"/>
        <w:numPr>
          <w:ilvl w:val="0"/>
          <w:numId w:val="1"/>
        </w:numPr>
        <w:tabs>
          <w:tab w:pos="1899" w:val="left" w:leader="none"/>
        </w:tabs>
        <w:spacing w:line="240" w:lineRule="auto" w:before="40" w:after="0"/>
        <w:ind w:left="1899" w:right="0" w:hanging="360"/>
        <w:jc w:val="left"/>
        <w:rPr>
          <w:rFonts w:ascii="Symbol" w:hAnsi="Symbol"/>
          <w:sz w:val="22"/>
        </w:rPr>
      </w:pPr>
      <w:r>
        <w:rPr>
          <w:sz w:val="22"/>
        </w:rPr>
        <w:t>Lack</w:t>
      </w:r>
      <w:r>
        <w:rPr>
          <w:spacing w:val="-8"/>
          <w:sz w:val="22"/>
        </w:rPr>
        <w:t> </w:t>
      </w:r>
      <w:r>
        <w:rPr>
          <w:sz w:val="22"/>
        </w:rPr>
        <w:t>of</w:t>
      </w:r>
      <w:r>
        <w:rPr>
          <w:spacing w:val="-8"/>
          <w:sz w:val="22"/>
        </w:rPr>
        <w:t> </w:t>
      </w:r>
      <w:r>
        <w:rPr>
          <w:sz w:val="22"/>
        </w:rPr>
        <w:t>funding</w:t>
      </w:r>
      <w:r>
        <w:rPr>
          <w:spacing w:val="-8"/>
          <w:sz w:val="22"/>
        </w:rPr>
        <w:t> </w:t>
      </w:r>
      <w:r>
        <w:rPr>
          <w:sz w:val="22"/>
        </w:rPr>
        <w:t>to</w:t>
      </w:r>
      <w:r>
        <w:rPr>
          <w:spacing w:val="-7"/>
          <w:sz w:val="22"/>
        </w:rPr>
        <w:t> </w:t>
      </w:r>
      <w:r>
        <w:rPr>
          <w:sz w:val="22"/>
        </w:rPr>
        <w:t>effective</w:t>
      </w:r>
      <w:r>
        <w:rPr>
          <w:spacing w:val="-8"/>
          <w:sz w:val="22"/>
        </w:rPr>
        <w:t> </w:t>
      </w:r>
      <w:r>
        <w:rPr>
          <w:sz w:val="22"/>
        </w:rPr>
        <w:t>community</w:t>
      </w:r>
      <w:r>
        <w:rPr>
          <w:spacing w:val="-7"/>
          <w:sz w:val="22"/>
        </w:rPr>
        <w:t> </w:t>
      </w:r>
      <w:r>
        <w:rPr>
          <w:spacing w:val="-2"/>
          <w:sz w:val="22"/>
        </w:rPr>
        <w:t>programming</w:t>
      </w:r>
    </w:p>
    <w:p>
      <w:pPr>
        <w:pStyle w:val="ListParagraph"/>
        <w:numPr>
          <w:ilvl w:val="0"/>
          <w:numId w:val="1"/>
        </w:numPr>
        <w:tabs>
          <w:tab w:pos="1899" w:val="left" w:leader="none"/>
        </w:tabs>
        <w:spacing w:line="240" w:lineRule="auto" w:before="40" w:after="0"/>
        <w:ind w:left="1899" w:right="0" w:hanging="360"/>
        <w:jc w:val="left"/>
        <w:rPr>
          <w:rFonts w:ascii="Symbol" w:hAnsi="Symbol"/>
          <w:sz w:val="22"/>
        </w:rPr>
      </w:pPr>
      <w:r>
        <w:rPr>
          <w:sz w:val="22"/>
        </w:rPr>
        <w:t>Lack</w:t>
      </w:r>
      <w:r>
        <w:rPr>
          <w:spacing w:val="-9"/>
          <w:sz w:val="22"/>
        </w:rPr>
        <w:t> </w:t>
      </w:r>
      <w:r>
        <w:rPr>
          <w:sz w:val="22"/>
        </w:rPr>
        <w:t>of</w:t>
      </w:r>
      <w:r>
        <w:rPr>
          <w:spacing w:val="-7"/>
          <w:sz w:val="22"/>
        </w:rPr>
        <w:t> </w:t>
      </w:r>
      <w:r>
        <w:rPr>
          <w:sz w:val="22"/>
        </w:rPr>
        <w:t>training</w:t>
      </w:r>
      <w:r>
        <w:rPr>
          <w:spacing w:val="-8"/>
          <w:sz w:val="22"/>
        </w:rPr>
        <w:t> </w:t>
      </w:r>
      <w:r>
        <w:rPr>
          <w:sz w:val="22"/>
        </w:rPr>
        <w:t>and</w:t>
      </w:r>
      <w:r>
        <w:rPr>
          <w:spacing w:val="-8"/>
          <w:sz w:val="22"/>
        </w:rPr>
        <w:t> </w:t>
      </w:r>
      <w:r>
        <w:rPr>
          <w:sz w:val="22"/>
        </w:rPr>
        <w:t>accountability</w:t>
      </w:r>
      <w:r>
        <w:rPr>
          <w:spacing w:val="-7"/>
          <w:sz w:val="22"/>
        </w:rPr>
        <w:t> </w:t>
      </w:r>
      <w:r>
        <w:rPr>
          <w:sz w:val="22"/>
        </w:rPr>
        <w:t>for</w:t>
      </w:r>
      <w:r>
        <w:rPr>
          <w:spacing w:val="-8"/>
          <w:sz w:val="22"/>
        </w:rPr>
        <w:t> </w:t>
      </w:r>
      <w:r>
        <w:rPr>
          <w:sz w:val="22"/>
        </w:rPr>
        <w:t>correctional</w:t>
      </w:r>
      <w:r>
        <w:rPr>
          <w:spacing w:val="-8"/>
          <w:sz w:val="22"/>
        </w:rPr>
        <w:t> </w:t>
      </w:r>
      <w:r>
        <w:rPr>
          <w:spacing w:val="-2"/>
          <w:sz w:val="22"/>
        </w:rPr>
        <w:t>facilities</w:t>
      </w:r>
    </w:p>
    <w:p>
      <w:pPr>
        <w:pStyle w:val="ListParagraph"/>
        <w:numPr>
          <w:ilvl w:val="0"/>
          <w:numId w:val="1"/>
        </w:numPr>
        <w:tabs>
          <w:tab w:pos="1899" w:val="left" w:leader="none"/>
        </w:tabs>
        <w:spacing w:line="276" w:lineRule="auto" w:before="42" w:after="0"/>
        <w:ind w:left="1899" w:right="423" w:hanging="360"/>
        <w:jc w:val="left"/>
        <w:rPr>
          <w:rFonts w:ascii="Symbol" w:hAnsi="Symbol"/>
          <w:sz w:val="22"/>
        </w:rPr>
      </w:pPr>
      <w:r>
        <w:rPr>
          <w:sz w:val="22"/>
        </w:rPr>
        <w:t>Lack of transparency and significant delays when requesting gender-affirming health care in prisons</w:t>
      </w:r>
    </w:p>
    <w:p>
      <w:pPr>
        <w:pStyle w:val="ListParagraph"/>
        <w:numPr>
          <w:ilvl w:val="0"/>
          <w:numId w:val="1"/>
        </w:numPr>
        <w:tabs>
          <w:tab w:pos="1899" w:val="left" w:leader="none"/>
        </w:tabs>
        <w:spacing w:line="280" w:lineRule="exact" w:before="0" w:after="0"/>
        <w:ind w:left="1899" w:right="0" w:hanging="360"/>
        <w:jc w:val="left"/>
        <w:rPr>
          <w:rFonts w:ascii="Symbol" w:hAnsi="Symbol"/>
          <w:sz w:val="22"/>
        </w:rPr>
      </w:pPr>
      <w:r>
        <w:rPr>
          <w:sz w:val="22"/>
        </w:rPr>
        <w:t>Discrimination,</w:t>
      </w:r>
      <w:r>
        <w:rPr>
          <w:spacing w:val="-11"/>
          <w:sz w:val="22"/>
        </w:rPr>
        <w:t> </w:t>
      </w:r>
      <w:r>
        <w:rPr>
          <w:sz w:val="22"/>
        </w:rPr>
        <w:t>violence,</w:t>
      </w:r>
      <w:r>
        <w:rPr>
          <w:spacing w:val="-9"/>
          <w:sz w:val="22"/>
        </w:rPr>
        <w:t> </w:t>
      </w:r>
      <w:r>
        <w:rPr>
          <w:sz w:val="22"/>
        </w:rPr>
        <w:t>and</w:t>
      </w:r>
      <w:r>
        <w:rPr>
          <w:spacing w:val="-11"/>
          <w:sz w:val="22"/>
        </w:rPr>
        <w:t> </w:t>
      </w:r>
      <w:r>
        <w:rPr>
          <w:sz w:val="22"/>
        </w:rPr>
        <w:t>retaliation</w:t>
      </w:r>
      <w:r>
        <w:rPr>
          <w:spacing w:val="-10"/>
          <w:sz w:val="22"/>
        </w:rPr>
        <w:t> </w:t>
      </w:r>
      <w:r>
        <w:rPr>
          <w:sz w:val="22"/>
        </w:rPr>
        <w:t>in</w:t>
      </w:r>
      <w:r>
        <w:rPr>
          <w:spacing w:val="-10"/>
          <w:sz w:val="22"/>
        </w:rPr>
        <w:t> </w:t>
      </w:r>
      <w:r>
        <w:rPr>
          <w:sz w:val="22"/>
        </w:rPr>
        <w:t>correctional</w:t>
      </w:r>
      <w:r>
        <w:rPr>
          <w:spacing w:val="-10"/>
          <w:sz w:val="22"/>
        </w:rPr>
        <w:t> </w:t>
      </w:r>
      <w:r>
        <w:rPr>
          <w:sz w:val="22"/>
        </w:rPr>
        <w:t>facilities</w:t>
      </w:r>
      <w:r>
        <w:rPr>
          <w:spacing w:val="-10"/>
          <w:sz w:val="22"/>
        </w:rPr>
        <w:t> </w:t>
      </w:r>
      <w:r>
        <w:rPr>
          <w:sz w:val="22"/>
        </w:rPr>
        <w:t>and</w:t>
      </w:r>
      <w:r>
        <w:rPr>
          <w:spacing w:val="-11"/>
          <w:sz w:val="22"/>
        </w:rPr>
        <w:t> </w:t>
      </w:r>
      <w:r>
        <w:rPr>
          <w:spacing w:val="-2"/>
          <w:sz w:val="22"/>
        </w:rPr>
        <w:t>shelters</w:t>
      </w:r>
    </w:p>
    <w:p>
      <w:pPr>
        <w:spacing w:after="0" w:line="280" w:lineRule="exact"/>
        <w:jc w:val="left"/>
        <w:rPr>
          <w:rFonts w:ascii="Symbol" w:hAnsi="Symbol"/>
          <w:sz w:val="22"/>
        </w:rPr>
        <w:sectPr>
          <w:headerReference w:type="default" r:id="rId16"/>
          <w:footerReference w:type="default" r:id="rId17"/>
          <w:pgSz w:w="12240" w:h="15840"/>
          <w:pgMar w:header="0" w:footer="1061" w:top="1140" w:bottom="1260" w:left="980" w:right="1160"/>
        </w:sectPr>
      </w:pPr>
    </w:p>
    <w:p>
      <w:pPr>
        <w:pStyle w:val="BodyText"/>
        <w:spacing w:line="276" w:lineRule="auto" w:before="30"/>
        <w:ind w:left="604" w:right="355"/>
      </w:pPr>
      <w:r>
        <w:rPr/>
        <w:t>Further</w:t>
      </w:r>
      <w:r>
        <w:rPr>
          <w:spacing w:val="-7"/>
        </w:rPr>
        <w:t> </w:t>
      </w:r>
      <w:r>
        <w:rPr/>
        <w:t>information</w:t>
      </w:r>
      <w:r>
        <w:rPr>
          <w:spacing w:val="-7"/>
        </w:rPr>
        <w:t> </w:t>
      </w:r>
      <w:r>
        <w:rPr/>
        <w:t>on</w:t>
      </w:r>
      <w:r>
        <w:rPr>
          <w:spacing w:val="-7"/>
        </w:rPr>
        <w:t> </w:t>
      </w:r>
      <w:r>
        <w:rPr/>
        <w:t>interviews</w:t>
      </w:r>
      <w:r>
        <w:rPr>
          <w:spacing w:val="-7"/>
        </w:rPr>
        <w:t> </w:t>
      </w:r>
      <w:r>
        <w:rPr/>
        <w:t>with</w:t>
      </w:r>
      <w:r>
        <w:rPr>
          <w:spacing w:val="-7"/>
        </w:rPr>
        <w:t> </w:t>
      </w:r>
      <w:r>
        <w:rPr/>
        <w:t>transition-aged</w:t>
      </w:r>
      <w:r>
        <w:rPr>
          <w:spacing w:val="-7"/>
        </w:rPr>
        <w:t> </w:t>
      </w:r>
      <w:r>
        <w:rPr/>
        <w:t>foster</w:t>
      </w:r>
      <w:r>
        <w:rPr>
          <w:spacing w:val="-7"/>
        </w:rPr>
        <w:t> </w:t>
      </w:r>
      <w:r>
        <w:rPr/>
        <w:t>youth</w:t>
      </w:r>
      <w:r>
        <w:rPr>
          <w:spacing w:val="-7"/>
        </w:rPr>
        <w:t> </w:t>
      </w:r>
      <w:r>
        <w:rPr/>
        <w:t>will</w:t>
      </w:r>
      <w:r>
        <w:rPr>
          <w:spacing w:val="-7"/>
        </w:rPr>
        <w:t> </w:t>
      </w:r>
      <w:r>
        <w:rPr/>
        <w:t>be</w:t>
      </w:r>
      <w:r>
        <w:rPr>
          <w:spacing w:val="-7"/>
        </w:rPr>
        <w:t> </w:t>
      </w:r>
      <w:r>
        <w:rPr/>
        <w:t>released</w:t>
      </w:r>
      <w:r>
        <w:rPr>
          <w:spacing w:val="-7"/>
        </w:rPr>
        <w:t> </w:t>
      </w:r>
      <w:r>
        <w:rPr/>
        <w:t>in</w:t>
      </w:r>
      <w:r>
        <w:rPr>
          <w:spacing w:val="-7"/>
        </w:rPr>
        <w:t> </w:t>
      </w:r>
      <w:r>
        <w:rPr/>
        <w:t>a</w:t>
      </w:r>
      <w:r>
        <w:rPr>
          <w:spacing w:val="-7"/>
        </w:rPr>
        <w:t> </w:t>
      </w:r>
      <w:r>
        <w:rPr/>
        <w:t>new</w:t>
      </w:r>
      <w:r>
        <w:rPr>
          <w:spacing w:val="-6"/>
        </w:rPr>
        <w:t> </w:t>
      </w:r>
      <w:r>
        <w:rPr/>
        <w:t>report</w:t>
      </w:r>
      <w:r>
        <w:rPr>
          <w:spacing w:val="-7"/>
        </w:rPr>
        <w:t> </w:t>
      </w:r>
      <w:r>
        <w:rPr/>
        <w:t>in FY 2025.</w:t>
      </w:r>
    </w:p>
    <w:p>
      <w:pPr>
        <w:spacing w:before="240"/>
        <w:ind w:left="604" w:right="0" w:firstLine="0"/>
        <w:jc w:val="left"/>
        <w:rPr>
          <w:sz w:val="28"/>
        </w:rPr>
      </w:pPr>
      <w:bookmarkStart w:name="Anti-LGBTQ Attacks in Massachusetts" w:id="22"/>
      <w:bookmarkEnd w:id="22"/>
      <w:r>
        <w:rPr/>
      </w:r>
      <w:r>
        <w:rPr>
          <w:color w:val="365F91"/>
          <w:sz w:val="28"/>
        </w:rPr>
        <w:t>Anti-LGBTQ</w:t>
      </w:r>
      <w:r>
        <w:rPr>
          <w:color w:val="365F91"/>
          <w:spacing w:val="-10"/>
          <w:sz w:val="28"/>
        </w:rPr>
        <w:t> </w:t>
      </w:r>
      <w:r>
        <w:rPr>
          <w:color w:val="365F91"/>
          <w:sz w:val="28"/>
        </w:rPr>
        <w:t>Attacks</w:t>
      </w:r>
      <w:r>
        <w:rPr>
          <w:color w:val="365F91"/>
          <w:spacing w:val="-9"/>
          <w:sz w:val="28"/>
        </w:rPr>
        <w:t> </w:t>
      </w:r>
      <w:r>
        <w:rPr>
          <w:color w:val="365F91"/>
          <w:sz w:val="28"/>
        </w:rPr>
        <w:t>in</w:t>
      </w:r>
      <w:r>
        <w:rPr>
          <w:color w:val="365F91"/>
          <w:spacing w:val="-10"/>
          <w:sz w:val="28"/>
        </w:rPr>
        <w:t> </w:t>
      </w:r>
      <w:r>
        <w:rPr>
          <w:color w:val="365F91"/>
          <w:spacing w:val="-2"/>
          <w:sz w:val="28"/>
        </w:rPr>
        <w:t>Massachusetts</w:t>
      </w:r>
    </w:p>
    <w:p>
      <w:pPr>
        <w:pStyle w:val="BodyText"/>
        <w:spacing w:before="9"/>
        <w:rPr>
          <w:sz w:val="3"/>
        </w:rPr>
      </w:pPr>
      <w:r>
        <w:rPr/>
        <mc:AlternateContent>
          <mc:Choice Requires="wps">
            <w:drawing>
              <wp:anchor distT="0" distB="0" distL="0" distR="0" allowOverlap="1" layoutInCell="1" locked="0" behindDoc="1" simplePos="0" relativeHeight="487592960">
                <wp:simplePos x="0" y="0"/>
                <wp:positionH relativeFrom="page">
                  <wp:posOffset>986789</wp:posOffset>
                </wp:positionH>
                <wp:positionV relativeFrom="paragraph">
                  <wp:posOffset>44518</wp:posOffset>
                </wp:positionV>
                <wp:extent cx="5799455"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05367pt;width:456.601pt;height:.481pt;mso-position-horizontal-relative:page;mso-position-vertical-relative:paragraph;z-index:-15723520;mso-wrap-distance-left:0;mso-wrap-distance-right:0" id="docshape26" filled="true" fillcolor="#4f81bc" stroked="false">
                <v:fill type="solid"/>
                <w10:wrap type="topAndBottom"/>
              </v:rect>
            </w:pict>
          </mc:Fallback>
        </mc:AlternateContent>
      </w:r>
    </w:p>
    <w:p>
      <w:pPr>
        <w:spacing w:line="276" w:lineRule="auto" w:before="241"/>
        <w:ind w:left="603" w:right="420" w:firstLine="0"/>
        <w:jc w:val="both"/>
        <w:rPr>
          <w:sz w:val="21"/>
        </w:rPr>
      </w:pPr>
      <w:r>
        <w:rPr>
          <w:sz w:val="21"/>
        </w:rPr>
        <w:t>As</w:t>
      </w:r>
      <w:r>
        <w:rPr>
          <w:spacing w:val="-6"/>
          <w:sz w:val="21"/>
        </w:rPr>
        <w:t> </w:t>
      </w:r>
      <w:r>
        <w:rPr>
          <w:sz w:val="21"/>
        </w:rPr>
        <w:t>discussed</w:t>
      </w:r>
      <w:r>
        <w:rPr>
          <w:spacing w:val="-5"/>
          <w:sz w:val="21"/>
        </w:rPr>
        <w:t> </w:t>
      </w:r>
      <w:r>
        <w:rPr>
          <w:sz w:val="21"/>
        </w:rPr>
        <w:t>throughout</w:t>
      </w:r>
      <w:r>
        <w:rPr>
          <w:spacing w:val="-5"/>
          <w:sz w:val="21"/>
        </w:rPr>
        <w:t> </w:t>
      </w:r>
      <w:r>
        <w:rPr>
          <w:sz w:val="21"/>
        </w:rPr>
        <w:t>this</w:t>
      </w:r>
      <w:r>
        <w:rPr>
          <w:spacing w:val="-6"/>
          <w:sz w:val="21"/>
        </w:rPr>
        <w:t> </w:t>
      </w:r>
      <w:r>
        <w:rPr>
          <w:sz w:val="21"/>
        </w:rPr>
        <w:t>annual</w:t>
      </w:r>
      <w:r>
        <w:rPr>
          <w:spacing w:val="-7"/>
          <w:sz w:val="21"/>
        </w:rPr>
        <w:t> </w:t>
      </w:r>
      <w:r>
        <w:rPr>
          <w:sz w:val="21"/>
        </w:rPr>
        <w:t>report,</w:t>
      </w:r>
      <w:r>
        <w:rPr>
          <w:spacing w:val="-6"/>
          <w:sz w:val="21"/>
        </w:rPr>
        <w:t> </w:t>
      </w:r>
      <w:r>
        <w:rPr>
          <w:sz w:val="21"/>
        </w:rPr>
        <w:t>the</w:t>
      </w:r>
      <w:r>
        <w:rPr>
          <w:spacing w:val="-7"/>
          <w:sz w:val="21"/>
        </w:rPr>
        <w:t> </w:t>
      </w:r>
      <w:r>
        <w:rPr>
          <w:sz w:val="21"/>
        </w:rPr>
        <w:t>nation</w:t>
      </w:r>
      <w:r>
        <w:rPr>
          <w:spacing w:val="-5"/>
          <w:sz w:val="21"/>
        </w:rPr>
        <w:t> </w:t>
      </w:r>
      <w:r>
        <w:rPr>
          <w:sz w:val="21"/>
        </w:rPr>
        <w:t>has</w:t>
      </w:r>
      <w:r>
        <w:rPr>
          <w:spacing w:val="-6"/>
          <w:sz w:val="21"/>
        </w:rPr>
        <w:t> </w:t>
      </w:r>
      <w:r>
        <w:rPr>
          <w:sz w:val="21"/>
        </w:rPr>
        <w:t>been</w:t>
      </w:r>
      <w:r>
        <w:rPr>
          <w:spacing w:val="-7"/>
          <w:sz w:val="21"/>
        </w:rPr>
        <w:t> </w:t>
      </w:r>
      <w:r>
        <w:rPr>
          <w:sz w:val="21"/>
        </w:rPr>
        <w:t>seeing</w:t>
      </w:r>
      <w:r>
        <w:rPr>
          <w:spacing w:val="-6"/>
          <w:sz w:val="21"/>
        </w:rPr>
        <w:t> </w:t>
      </w:r>
      <w:r>
        <w:rPr>
          <w:sz w:val="21"/>
        </w:rPr>
        <w:t>an</w:t>
      </w:r>
      <w:r>
        <w:rPr>
          <w:spacing w:val="-7"/>
          <w:sz w:val="21"/>
        </w:rPr>
        <w:t> </w:t>
      </w:r>
      <w:r>
        <w:rPr>
          <w:sz w:val="21"/>
        </w:rPr>
        <w:t>unprecedented</w:t>
      </w:r>
      <w:r>
        <w:rPr>
          <w:spacing w:val="-5"/>
          <w:sz w:val="21"/>
        </w:rPr>
        <w:t> </w:t>
      </w:r>
      <w:r>
        <w:rPr>
          <w:sz w:val="21"/>
        </w:rPr>
        <w:t>political</w:t>
      </w:r>
      <w:r>
        <w:rPr>
          <w:spacing w:val="-7"/>
          <w:sz w:val="21"/>
        </w:rPr>
        <w:t> </w:t>
      </w:r>
      <w:r>
        <w:rPr>
          <w:sz w:val="21"/>
        </w:rPr>
        <w:t>barrage of</w:t>
      </w:r>
      <w:r>
        <w:rPr>
          <w:spacing w:val="-8"/>
          <w:sz w:val="21"/>
        </w:rPr>
        <w:t> </w:t>
      </w:r>
      <w:r>
        <w:rPr>
          <w:sz w:val="21"/>
        </w:rPr>
        <w:t>attacks</w:t>
      </w:r>
      <w:r>
        <w:rPr>
          <w:spacing w:val="-8"/>
          <w:sz w:val="21"/>
        </w:rPr>
        <w:t> </w:t>
      </w:r>
      <w:r>
        <w:rPr>
          <w:sz w:val="21"/>
        </w:rPr>
        <w:t>against</w:t>
      </w:r>
      <w:r>
        <w:rPr>
          <w:spacing w:val="-8"/>
          <w:sz w:val="21"/>
        </w:rPr>
        <w:t> </w:t>
      </w:r>
      <w:r>
        <w:rPr>
          <w:sz w:val="21"/>
        </w:rPr>
        <w:t>LGBTQ</w:t>
      </w:r>
      <w:r>
        <w:rPr>
          <w:spacing w:val="-8"/>
          <w:sz w:val="21"/>
        </w:rPr>
        <w:t> </w:t>
      </w:r>
      <w:r>
        <w:rPr>
          <w:sz w:val="21"/>
        </w:rPr>
        <w:t>youth,</w:t>
      </w:r>
      <w:r>
        <w:rPr>
          <w:spacing w:val="-8"/>
          <w:sz w:val="21"/>
        </w:rPr>
        <w:t> </w:t>
      </w:r>
      <w:r>
        <w:rPr>
          <w:sz w:val="21"/>
        </w:rPr>
        <w:t>families,</w:t>
      </w:r>
      <w:r>
        <w:rPr>
          <w:spacing w:val="-9"/>
          <w:sz w:val="21"/>
        </w:rPr>
        <w:t> </w:t>
      </w:r>
      <w:r>
        <w:rPr>
          <w:sz w:val="21"/>
        </w:rPr>
        <w:t>and</w:t>
      </w:r>
      <w:r>
        <w:rPr>
          <w:spacing w:val="-8"/>
          <w:sz w:val="21"/>
        </w:rPr>
        <w:t> </w:t>
      </w:r>
      <w:r>
        <w:rPr>
          <w:sz w:val="21"/>
        </w:rPr>
        <w:t>educators</w:t>
      </w:r>
      <w:r>
        <w:rPr>
          <w:spacing w:val="-10"/>
          <w:sz w:val="21"/>
        </w:rPr>
        <w:t> </w:t>
      </w:r>
      <w:r>
        <w:rPr>
          <w:sz w:val="21"/>
        </w:rPr>
        <w:t>for</w:t>
      </w:r>
      <w:r>
        <w:rPr>
          <w:spacing w:val="-8"/>
          <w:sz w:val="21"/>
        </w:rPr>
        <w:t> </w:t>
      </w:r>
      <w:r>
        <w:rPr>
          <w:sz w:val="21"/>
        </w:rPr>
        <w:t>the</w:t>
      </w:r>
      <w:r>
        <w:rPr>
          <w:spacing w:val="-8"/>
          <w:sz w:val="21"/>
        </w:rPr>
        <w:t> </w:t>
      </w:r>
      <w:r>
        <w:rPr>
          <w:sz w:val="21"/>
        </w:rPr>
        <w:t>last</w:t>
      </w:r>
      <w:r>
        <w:rPr>
          <w:spacing w:val="-8"/>
          <w:sz w:val="21"/>
        </w:rPr>
        <w:t> </w:t>
      </w:r>
      <w:r>
        <w:rPr>
          <w:sz w:val="21"/>
        </w:rPr>
        <w:t>few</w:t>
      </w:r>
      <w:r>
        <w:rPr>
          <w:spacing w:val="-8"/>
          <w:sz w:val="21"/>
        </w:rPr>
        <w:t> </w:t>
      </w:r>
      <w:r>
        <w:rPr>
          <w:sz w:val="21"/>
        </w:rPr>
        <w:t>years.</w:t>
      </w:r>
      <w:r>
        <w:rPr>
          <w:spacing w:val="-8"/>
          <w:sz w:val="21"/>
        </w:rPr>
        <w:t> </w:t>
      </w:r>
      <w:r>
        <w:rPr>
          <w:sz w:val="21"/>
        </w:rPr>
        <w:t>As</w:t>
      </w:r>
      <w:r>
        <w:rPr>
          <w:spacing w:val="-9"/>
          <w:sz w:val="21"/>
        </w:rPr>
        <w:t> </w:t>
      </w:r>
      <w:r>
        <w:rPr>
          <w:sz w:val="21"/>
        </w:rPr>
        <w:t>of</w:t>
      </w:r>
      <w:r>
        <w:rPr>
          <w:spacing w:val="-7"/>
          <w:sz w:val="21"/>
        </w:rPr>
        <w:t> </w:t>
      </w:r>
      <w:r>
        <w:rPr>
          <w:sz w:val="21"/>
        </w:rPr>
        <w:t>May</w:t>
      </w:r>
      <w:r>
        <w:rPr>
          <w:spacing w:val="-8"/>
          <w:sz w:val="21"/>
        </w:rPr>
        <w:t> </w:t>
      </w:r>
      <w:r>
        <w:rPr>
          <w:sz w:val="21"/>
        </w:rPr>
        <w:t>22,</w:t>
      </w:r>
      <w:r>
        <w:rPr>
          <w:spacing w:val="-8"/>
          <w:sz w:val="21"/>
        </w:rPr>
        <w:t> </w:t>
      </w:r>
      <w:r>
        <w:rPr>
          <w:sz w:val="21"/>
        </w:rPr>
        <w:t>2024,</w:t>
      </w:r>
      <w:r>
        <w:rPr>
          <w:spacing w:val="-9"/>
          <w:sz w:val="21"/>
        </w:rPr>
        <w:t> </w:t>
      </w:r>
      <w:r>
        <w:rPr>
          <w:sz w:val="21"/>
        </w:rPr>
        <w:t>515</w:t>
      </w:r>
      <w:r>
        <w:rPr>
          <w:spacing w:val="-9"/>
          <w:sz w:val="21"/>
        </w:rPr>
        <w:t> </w:t>
      </w:r>
      <w:r>
        <w:rPr>
          <w:sz w:val="21"/>
        </w:rPr>
        <w:t>anti- </w:t>
      </w:r>
      <w:r>
        <w:rPr>
          <w:spacing w:val="-2"/>
          <w:sz w:val="21"/>
        </w:rPr>
        <w:t>LGBTQ bills have been filed across the country with bans against education materials, gender-affirming care, </w:t>
      </w:r>
      <w:r>
        <w:rPr>
          <w:sz w:val="21"/>
        </w:rPr>
        <w:t>and</w:t>
      </w:r>
      <w:r>
        <w:rPr>
          <w:spacing w:val="-4"/>
          <w:sz w:val="21"/>
        </w:rPr>
        <w:t> </w:t>
      </w:r>
      <w:r>
        <w:rPr>
          <w:sz w:val="21"/>
        </w:rPr>
        <w:t>books</w:t>
      </w:r>
      <w:r>
        <w:rPr>
          <w:spacing w:val="-5"/>
          <w:sz w:val="21"/>
        </w:rPr>
        <w:t> </w:t>
      </w:r>
      <w:r>
        <w:rPr>
          <w:sz w:val="21"/>
        </w:rPr>
        <w:t>featuring</w:t>
      </w:r>
      <w:r>
        <w:rPr>
          <w:spacing w:val="-5"/>
          <w:sz w:val="21"/>
        </w:rPr>
        <w:t> </w:t>
      </w:r>
      <w:r>
        <w:rPr>
          <w:sz w:val="21"/>
        </w:rPr>
        <w:t>LGBTQ</w:t>
      </w:r>
      <w:r>
        <w:rPr>
          <w:spacing w:val="-5"/>
          <w:sz w:val="21"/>
        </w:rPr>
        <w:t> </w:t>
      </w:r>
      <w:r>
        <w:rPr>
          <w:sz w:val="21"/>
        </w:rPr>
        <w:t>characters</w:t>
      </w:r>
      <w:r>
        <w:rPr>
          <w:spacing w:val="-5"/>
          <w:sz w:val="21"/>
        </w:rPr>
        <w:t> </w:t>
      </w:r>
      <w:r>
        <w:rPr>
          <w:sz w:val="21"/>
        </w:rPr>
        <w:t>or</w:t>
      </w:r>
      <w:r>
        <w:rPr>
          <w:spacing w:val="-5"/>
          <w:sz w:val="21"/>
        </w:rPr>
        <w:t> </w:t>
      </w:r>
      <w:r>
        <w:rPr>
          <w:sz w:val="21"/>
        </w:rPr>
        <w:t>talking</w:t>
      </w:r>
      <w:r>
        <w:rPr>
          <w:spacing w:val="-5"/>
          <w:sz w:val="21"/>
        </w:rPr>
        <w:t> </w:t>
      </w:r>
      <w:r>
        <w:rPr>
          <w:sz w:val="21"/>
        </w:rPr>
        <w:t>about</w:t>
      </w:r>
      <w:r>
        <w:rPr>
          <w:spacing w:val="-6"/>
          <w:sz w:val="21"/>
        </w:rPr>
        <w:t> </w:t>
      </w:r>
      <w:r>
        <w:rPr>
          <w:sz w:val="21"/>
        </w:rPr>
        <w:t>race.</w:t>
      </w:r>
      <w:r>
        <w:rPr>
          <w:spacing w:val="-5"/>
          <w:sz w:val="21"/>
        </w:rPr>
        <w:t> </w:t>
      </w:r>
      <w:r>
        <w:rPr>
          <w:sz w:val="21"/>
        </w:rPr>
        <w:t>It</w:t>
      </w:r>
      <w:r>
        <w:rPr>
          <w:spacing w:val="-4"/>
          <w:sz w:val="21"/>
        </w:rPr>
        <w:t> </w:t>
      </w:r>
      <w:r>
        <w:rPr>
          <w:sz w:val="21"/>
        </w:rPr>
        <w:t>is</w:t>
      </w:r>
      <w:r>
        <w:rPr>
          <w:spacing w:val="-5"/>
          <w:sz w:val="21"/>
        </w:rPr>
        <w:t> </w:t>
      </w:r>
      <w:r>
        <w:rPr>
          <w:sz w:val="21"/>
        </w:rPr>
        <w:t>a</w:t>
      </w:r>
      <w:r>
        <w:rPr>
          <w:spacing w:val="-5"/>
          <w:sz w:val="21"/>
        </w:rPr>
        <w:t> </w:t>
      </w:r>
      <w:r>
        <w:rPr>
          <w:sz w:val="21"/>
        </w:rPr>
        <w:t>critical</w:t>
      </w:r>
      <w:r>
        <w:rPr>
          <w:spacing w:val="-4"/>
          <w:sz w:val="21"/>
        </w:rPr>
        <w:t> </w:t>
      </w:r>
      <w:r>
        <w:rPr>
          <w:sz w:val="21"/>
        </w:rPr>
        <w:t>and</w:t>
      </w:r>
      <w:r>
        <w:rPr>
          <w:spacing w:val="-6"/>
          <w:sz w:val="21"/>
        </w:rPr>
        <w:t> </w:t>
      </w:r>
      <w:r>
        <w:rPr>
          <w:sz w:val="21"/>
        </w:rPr>
        <w:t>alarming</w:t>
      </w:r>
      <w:r>
        <w:rPr>
          <w:spacing w:val="-5"/>
          <w:sz w:val="21"/>
        </w:rPr>
        <w:t> </w:t>
      </w:r>
      <w:r>
        <w:rPr>
          <w:sz w:val="21"/>
        </w:rPr>
        <w:t>time</w:t>
      </w:r>
      <w:r>
        <w:rPr>
          <w:spacing w:val="-4"/>
          <w:sz w:val="21"/>
        </w:rPr>
        <w:t> </w:t>
      </w:r>
      <w:r>
        <w:rPr>
          <w:sz w:val="21"/>
        </w:rPr>
        <w:t>for</w:t>
      </w:r>
      <w:r>
        <w:rPr>
          <w:spacing w:val="-5"/>
          <w:sz w:val="21"/>
        </w:rPr>
        <w:t> </w:t>
      </w:r>
      <w:r>
        <w:rPr>
          <w:sz w:val="21"/>
        </w:rPr>
        <w:t>our</w:t>
      </w:r>
      <w:r>
        <w:rPr>
          <w:spacing w:val="-4"/>
          <w:sz w:val="21"/>
        </w:rPr>
        <w:t> </w:t>
      </w:r>
      <w:r>
        <w:rPr>
          <w:sz w:val="21"/>
        </w:rPr>
        <w:t>LGBTQ youth</w:t>
      </w:r>
      <w:r>
        <w:rPr>
          <w:spacing w:val="-1"/>
          <w:sz w:val="21"/>
        </w:rPr>
        <w:t> </w:t>
      </w:r>
      <w:r>
        <w:rPr>
          <w:sz w:val="21"/>
        </w:rPr>
        <w:t>in Massachusetts</w:t>
      </w:r>
      <w:r>
        <w:rPr>
          <w:spacing w:val="-1"/>
          <w:sz w:val="21"/>
        </w:rPr>
        <w:t> </w:t>
      </w:r>
      <w:r>
        <w:rPr>
          <w:sz w:val="21"/>
        </w:rPr>
        <w:t>with</w:t>
      </w:r>
      <w:r>
        <w:rPr>
          <w:spacing w:val="-1"/>
          <w:sz w:val="21"/>
        </w:rPr>
        <w:t> </w:t>
      </w:r>
      <w:r>
        <w:rPr>
          <w:sz w:val="21"/>
        </w:rPr>
        <w:t>90%</w:t>
      </w:r>
      <w:r>
        <w:rPr>
          <w:spacing w:val="-2"/>
          <w:sz w:val="21"/>
        </w:rPr>
        <w:t> </w:t>
      </w:r>
      <w:r>
        <w:rPr>
          <w:sz w:val="21"/>
        </w:rPr>
        <w:t>of</w:t>
      </w:r>
      <w:r>
        <w:rPr>
          <w:spacing w:val="-1"/>
          <w:sz w:val="21"/>
        </w:rPr>
        <w:t> </w:t>
      </w:r>
      <w:r>
        <w:rPr>
          <w:sz w:val="21"/>
        </w:rPr>
        <w:t>youth</w:t>
      </w:r>
      <w:r>
        <w:rPr>
          <w:spacing w:val="-1"/>
          <w:sz w:val="21"/>
        </w:rPr>
        <w:t> </w:t>
      </w:r>
      <w:r>
        <w:rPr>
          <w:sz w:val="21"/>
        </w:rPr>
        <w:t>experiencing</w:t>
      </w:r>
      <w:r>
        <w:rPr>
          <w:spacing w:val="-1"/>
          <w:sz w:val="21"/>
        </w:rPr>
        <w:t> </w:t>
      </w:r>
      <w:r>
        <w:rPr>
          <w:sz w:val="21"/>
        </w:rPr>
        <w:t>mental</w:t>
      </w:r>
      <w:r>
        <w:rPr>
          <w:spacing w:val="-1"/>
          <w:sz w:val="21"/>
        </w:rPr>
        <w:t> </w:t>
      </w:r>
      <w:r>
        <w:rPr>
          <w:sz w:val="21"/>
        </w:rPr>
        <w:t>distress</w:t>
      </w:r>
      <w:r>
        <w:rPr>
          <w:spacing w:val="-1"/>
          <w:sz w:val="21"/>
        </w:rPr>
        <w:t> </w:t>
      </w:r>
      <w:r>
        <w:rPr>
          <w:sz w:val="21"/>
        </w:rPr>
        <w:t>because</w:t>
      </w:r>
      <w:r>
        <w:rPr>
          <w:spacing w:val="-1"/>
          <w:sz w:val="21"/>
        </w:rPr>
        <w:t> </w:t>
      </w:r>
      <w:r>
        <w:rPr>
          <w:sz w:val="21"/>
        </w:rPr>
        <w:t>of</w:t>
      </w:r>
      <w:r>
        <w:rPr>
          <w:spacing w:val="-1"/>
          <w:sz w:val="21"/>
        </w:rPr>
        <w:t> </w:t>
      </w:r>
      <w:r>
        <w:rPr>
          <w:sz w:val="21"/>
        </w:rPr>
        <w:t>the</w:t>
      </w:r>
      <w:r>
        <w:rPr>
          <w:spacing w:val="-1"/>
          <w:sz w:val="21"/>
        </w:rPr>
        <w:t> </w:t>
      </w:r>
      <w:r>
        <w:rPr>
          <w:sz w:val="21"/>
        </w:rPr>
        <w:t>degrading</w:t>
      </w:r>
      <w:r>
        <w:rPr>
          <w:spacing w:val="-1"/>
          <w:sz w:val="21"/>
        </w:rPr>
        <w:t> </w:t>
      </w:r>
      <w:r>
        <w:rPr>
          <w:sz w:val="21"/>
        </w:rPr>
        <w:t>rhetoric lobbied on social media, through news outlets, and in dozens of state assemblies. Now more than ever, LGBTQ youth need Massachusetts communities, educators, agencies, and policymakers to stand up and enshrine</w:t>
      </w:r>
      <w:r>
        <w:rPr>
          <w:spacing w:val="-2"/>
          <w:sz w:val="21"/>
        </w:rPr>
        <w:t> </w:t>
      </w:r>
      <w:r>
        <w:rPr>
          <w:sz w:val="21"/>
        </w:rPr>
        <w:t>safety</w:t>
      </w:r>
      <w:r>
        <w:rPr>
          <w:spacing w:val="-2"/>
          <w:sz w:val="21"/>
        </w:rPr>
        <w:t> </w:t>
      </w:r>
      <w:r>
        <w:rPr>
          <w:sz w:val="21"/>
        </w:rPr>
        <w:t>and</w:t>
      </w:r>
      <w:r>
        <w:rPr>
          <w:spacing w:val="-2"/>
          <w:sz w:val="21"/>
        </w:rPr>
        <w:t> </w:t>
      </w:r>
      <w:r>
        <w:rPr>
          <w:sz w:val="21"/>
        </w:rPr>
        <w:t>freedom</w:t>
      </w:r>
      <w:r>
        <w:rPr>
          <w:spacing w:val="-2"/>
          <w:sz w:val="21"/>
        </w:rPr>
        <w:t> </w:t>
      </w:r>
      <w:r>
        <w:rPr>
          <w:sz w:val="21"/>
        </w:rPr>
        <w:t>of</w:t>
      </w:r>
      <w:r>
        <w:rPr>
          <w:spacing w:val="-2"/>
          <w:sz w:val="21"/>
        </w:rPr>
        <w:t> </w:t>
      </w:r>
      <w:r>
        <w:rPr>
          <w:sz w:val="21"/>
        </w:rPr>
        <w:t>the</w:t>
      </w:r>
      <w:r>
        <w:rPr>
          <w:spacing w:val="-2"/>
          <w:sz w:val="21"/>
        </w:rPr>
        <w:t> </w:t>
      </w:r>
      <w:r>
        <w:rPr>
          <w:sz w:val="21"/>
        </w:rPr>
        <w:t>right</w:t>
      </w:r>
      <w:r>
        <w:rPr>
          <w:spacing w:val="-4"/>
          <w:sz w:val="21"/>
        </w:rPr>
        <w:t> </w:t>
      </w:r>
      <w:r>
        <w:rPr>
          <w:sz w:val="21"/>
        </w:rPr>
        <w:t>to</w:t>
      </w:r>
      <w:r>
        <w:rPr>
          <w:spacing w:val="-2"/>
          <w:sz w:val="21"/>
        </w:rPr>
        <w:t> </w:t>
      </w:r>
      <w:r>
        <w:rPr>
          <w:sz w:val="21"/>
        </w:rPr>
        <w:t>autonomy</w:t>
      </w:r>
      <w:r>
        <w:rPr>
          <w:spacing w:val="-3"/>
          <w:sz w:val="21"/>
        </w:rPr>
        <w:t> </w:t>
      </w:r>
      <w:r>
        <w:rPr>
          <w:sz w:val="21"/>
        </w:rPr>
        <w:t>and</w:t>
      </w:r>
      <w:r>
        <w:rPr>
          <w:spacing w:val="-2"/>
          <w:sz w:val="21"/>
        </w:rPr>
        <w:t> </w:t>
      </w:r>
      <w:r>
        <w:rPr>
          <w:sz w:val="21"/>
        </w:rPr>
        <w:t>queer</w:t>
      </w:r>
      <w:r>
        <w:rPr>
          <w:spacing w:val="-2"/>
          <w:sz w:val="21"/>
        </w:rPr>
        <w:t> </w:t>
      </w:r>
      <w:r>
        <w:rPr>
          <w:sz w:val="21"/>
        </w:rPr>
        <w:t>joy.</w:t>
      </w:r>
      <w:r>
        <w:rPr>
          <w:spacing w:val="-4"/>
          <w:sz w:val="21"/>
        </w:rPr>
        <w:t> </w:t>
      </w:r>
      <w:r>
        <w:rPr>
          <w:sz w:val="21"/>
        </w:rPr>
        <w:t>Already</w:t>
      </w:r>
      <w:r>
        <w:rPr>
          <w:spacing w:val="-2"/>
          <w:sz w:val="21"/>
        </w:rPr>
        <w:t> </w:t>
      </w:r>
      <w:r>
        <w:rPr>
          <w:sz w:val="21"/>
        </w:rPr>
        <w:t>Massachusetts</w:t>
      </w:r>
      <w:r>
        <w:rPr>
          <w:spacing w:val="-3"/>
          <w:sz w:val="21"/>
        </w:rPr>
        <w:t> </w:t>
      </w:r>
      <w:r>
        <w:rPr>
          <w:sz w:val="21"/>
        </w:rPr>
        <w:t>LGBTQ</w:t>
      </w:r>
      <w:r>
        <w:rPr>
          <w:spacing w:val="-2"/>
          <w:sz w:val="21"/>
        </w:rPr>
        <w:t> </w:t>
      </w:r>
      <w:r>
        <w:rPr>
          <w:sz w:val="21"/>
        </w:rPr>
        <w:t>youth enjoy many protections that are not experienced by youth in surrounding states, but there is room for ongoing action.</w:t>
      </w:r>
    </w:p>
    <w:p>
      <w:pPr>
        <w:spacing w:line="276" w:lineRule="auto" w:before="241"/>
        <w:ind w:left="603" w:right="420" w:firstLine="0"/>
        <w:jc w:val="both"/>
        <w:rPr>
          <w:sz w:val="21"/>
        </w:rPr>
      </w:pPr>
      <w:r>
        <w:rPr>
          <w:sz w:val="21"/>
        </w:rPr>
        <w:t>Time and time again, the Commission hears from community members, advocates, and policymakers that there is little need to address anti-LGBTQ activity across the state, because it does not appear to be happening and the state’s protections are strong. However, this is not entirely the case. Across the state, numerous challenges to LGBTQ freedoms are occurring with little explicit action from the state to</w:t>
      </w:r>
      <w:r>
        <w:rPr>
          <w:spacing w:val="-2"/>
          <w:sz w:val="21"/>
        </w:rPr>
        <w:t> </w:t>
      </w:r>
      <w:r>
        <w:rPr>
          <w:sz w:val="21"/>
        </w:rPr>
        <w:t>support local schools, communities, families, and youth.</w:t>
      </w:r>
    </w:p>
    <w:p>
      <w:pPr>
        <w:spacing w:before="240"/>
        <w:ind w:left="603" w:right="0" w:firstLine="0"/>
        <w:jc w:val="both"/>
        <w:rPr>
          <w:sz w:val="21"/>
        </w:rPr>
      </w:pPr>
      <w:r>
        <w:rPr>
          <w:sz w:val="21"/>
        </w:rPr>
        <w:t>These</w:t>
      </w:r>
      <w:r>
        <w:rPr>
          <w:spacing w:val="-3"/>
          <w:sz w:val="21"/>
        </w:rPr>
        <w:t> </w:t>
      </w:r>
      <w:r>
        <w:rPr>
          <w:sz w:val="21"/>
        </w:rPr>
        <w:t>areas</w:t>
      </w:r>
      <w:r>
        <w:rPr>
          <w:spacing w:val="-2"/>
          <w:sz w:val="21"/>
        </w:rPr>
        <w:t> </w:t>
      </w:r>
      <w:r>
        <w:rPr>
          <w:sz w:val="21"/>
        </w:rPr>
        <w:t>include,</w:t>
      </w:r>
      <w:r>
        <w:rPr>
          <w:spacing w:val="-1"/>
          <w:sz w:val="21"/>
        </w:rPr>
        <w:t> </w:t>
      </w:r>
      <w:r>
        <w:rPr>
          <w:sz w:val="21"/>
        </w:rPr>
        <w:t>but</w:t>
      </w:r>
      <w:r>
        <w:rPr>
          <w:spacing w:val="-3"/>
          <w:sz w:val="21"/>
        </w:rPr>
        <w:t> </w:t>
      </w:r>
      <w:r>
        <w:rPr>
          <w:sz w:val="21"/>
        </w:rPr>
        <w:t>are</w:t>
      </w:r>
      <w:r>
        <w:rPr>
          <w:spacing w:val="-3"/>
          <w:sz w:val="21"/>
        </w:rPr>
        <w:t> </w:t>
      </w:r>
      <w:r>
        <w:rPr>
          <w:sz w:val="21"/>
        </w:rPr>
        <w:t>not</w:t>
      </w:r>
      <w:r>
        <w:rPr>
          <w:spacing w:val="-2"/>
          <w:sz w:val="21"/>
        </w:rPr>
        <w:t> </w:t>
      </w:r>
      <w:r>
        <w:rPr>
          <w:sz w:val="21"/>
        </w:rPr>
        <w:t>limited</w:t>
      </w:r>
      <w:r>
        <w:rPr>
          <w:spacing w:val="-2"/>
          <w:sz w:val="21"/>
        </w:rPr>
        <w:t> </w:t>
      </w:r>
      <w:r>
        <w:rPr>
          <w:spacing w:val="-5"/>
          <w:sz w:val="21"/>
        </w:rPr>
        <w:t>to:</w:t>
      </w:r>
    </w:p>
    <w:p>
      <w:pPr>
        <w:pStyle w:val="BodyText"/>
        <w:spacing w:before="22"/>
        <w:rPr>
          <w:sz w:val="21"/>
        </w:rPr>
      </w:pPr>
    </w:p>
    <w:p>
      <w:pPr>
        <w:spacing w:line="276" w:lineRule="auto" w:before="1"/>
        <w:ind w:left="603" w:right="420" w:firstLine="0"/>
        <w:jc w:val="both"/>
        <w:rPr>
          <w:sz w:val="21"/>
        </w:rPr>
      </w:pPr>
      <w:r>
        <w:rPr>
          <w:sz w:val="21"/>
        </w:rPr>
        <w:t>Abington, Arlington, Andover, Barnstable, Bedford, Beverly, Boston, Brewster, Brookline, Bridgewater- Raynham, Bristol County, Clarksburg, Concord-Carlisle, Danvers, Dudley, Edgartown, Fitchburg, Florida, Foxborough, Greater Fall River, Hamilton-Wenham, Hanover, Ludlow, Mansfield, Medway, Mendon- Upton,</w:t>
      </w:r>
      <w:r>
        <w:rPr>
          <w:spacing w:val="-12"/>
          <w:sz w:val="21"/>
        </w:rPr>
        <w:t> </w:t>
      </w:r>
      <w:r>
        <w:rPr>
          <w:sz w:val="21"/>
        </w:rPr>
        <w:t>Middleborough,</w:t>
      </w:r>
      <w:r>
        <w:rPr>
          <w:spacing w:val="-12"/>
          <w:sz w:val="21"/>
        </w:rPr>
        <w:t> </w:t>
      </w:r>
      <w:r>
        <w:rPr>
          <w:sz w:val="21"/>
        </w:rPr>
        <w:t>Millbury,</w:t>
      </w:r>
      <w:r>
        <w:rPr>
          <w:spacing w:val="-12"/>
          <w:sz w:val="21"/>
        </w:rPr>
        <w:t> </w:t>
      </w:r>
      <w:r>
        <w:rPr>
          <w:sz w:val="21"/>
        </w:rPr>
        <w:t>Milton,</w:t>
      </w:r>
      <w:r>
        <w:rPr>
          <w:spacing w:val="-12"/>
          <w:sz w:val="21"/>
        </w:rPr>
        <w:t> </w:t>
      </w:r>
      <w:r>
        <w:rPr>
          <w:sz w:val="21"/>
        </w:rPr>
        <w:t>Nauset,</w:t>
      </w:r>
      <w:r>
        <w:rPr>
          <w:spacing w:val="-12"/>
          <w:sz w:val="21"/>
        </w:rPr>
        <w:t> </w:t>
      </w:r>
      <w:r>
        <w:rPr>
          <w:sz w:val="21"/>
        </w:rPr>
        <w:t>Needham,</w:t>
      </w:r>
      <w:r>
        <w:rPr>
          <w:spacing w:val="-12"/>
          <w:sz w:val="21"/>
        </w:rPr>
        <w:t> </w:t>
      </w:r>
      <w:r>
        <w:rPr>
          <w:sz w:val="21"/>
        </w:rPr>
        <w:t>Newton,</w:t>
      </w:r>
      <w:r>
        <w:rPr>
          <w:spacing w:val="-12"/>
          <w:sz w:val="21"/>
        </w:rPr>
        <w:t> </w:t>
      </w:r>
      <w:r>
        <w:rPr>
          <w:sz w:val="21"/>
        </w:rPr>
        <w:t>Norfolk</w:t>
      </w:r>
      <w:r>
        <w:rPr>
          <w:spacing w:val="-11"/>
          <w:sz w:val="21"/>
        </w:rPr>
        <w:t> </w:t>
      </w:r>
      <w:r>
        <w:rPr>
          <w:sz w:val="21"/>
        </w:rPr>
        <w:t>County,</w:t>
      </w:r>
      <w:r>
        <w:rPr>
          <w:spacing w:val="-12"/>
          <w:sz w:val="21"/>
        </w:rPr>
        <w:t> </w:t>
      </w:r>
      <w:r>
        <w:rPr>
          <w:sz w:val="21"/>
        </w:rPr>
        <w:t>North</w:t>
      </w:r>
      <w:r>
        <w:rPr>
          <w:spacing w:val="-12"/>
          <w:sz w:val="21"/>
        </w:rPr>
        <w:t> </w:t>
      </w:r>
      <w:r>
        <w:rPr>
          <w:sz w:val="21"/>
        </w:rPr>
        <w:t>Brookfield,</w:t>
      </w:r>
      <w:r>
        <w:rPr>
          <w:spacing w:val="-12"/>
          <w:sz w:val="21"/>
        </w:rPr>
        <w:t> </w:t>
      </w:r>
      <w:r>
        <w:rPr>
          <w:sz w:val="21"/>
        </w:rPr>
        <w:t>Old Rochester, Pepperell, Plymouth, Revere, Rockland, Scituate, Somerville, South Hadley, and Sutton.</w:t>
      </w:r>
    </w:p>
    <w:p>
      <w:pPr>
        <w:spacing w:line="276" w:lineRule="auto" w:before="239"/>
        <w:ind w:left="603" w:right="421" w:firstLine="0"/>
        <w:jc w:val="both"/>
        <w:rPr>
          <w:sz w:val="21"/>
        </w:rPr>
      </w:pPr>
      <w:r>
        <w:rPr>
          <w:sz w:val="21"/>
        </w:rPr>
        <w:t>The attacks being seen on the ground by advocates and youth include book bans, LGBTQ flag removals in schools, graffiti, drag story hour protests, drag show bans, curriculum disputes, harassment at school committee meetings, doxxing against LGBTQ librarians and teachers, and much more. Furthermore, for months, healthcare providers at facilities, including Boston Children’s Hospital, have been receiving constant</w:t>
      </w:r>
      <w:r>
        <w:rPr>
          <w:spacing w:val="-10"/>
          <w:sz w:val="21"/>
        </w:rPr>
        <w:t> </w:t>
      </w:r>
      <w:r>
        <w:rPr>
          <w:sz w:val="21"/>
        </w:rPr>
        <w:t>security,</w:t>
      </w:r>
      <w:r>
        <w:rPr>
          <w:spacing w:val="-10"/>
          <w:sz w:val="21"/>
        </w:rPr>
        <w:t> </w:t>
      </w:r>
      <w:r>
        <w:rPr>
          <w:sz w:val="21"/>
        </w:rPr>
        <w:t>bombing,</w:t>
      </w:r>
      <w:r>
        <w:rPr>
          <w:spacing w:val="-10"/>
          <w:sz w:val="21"/>
        </w:rPr>
        <w:t> </w:t>
      </w:r>
      <w:r>
        <w:rPr>
          <w:sz w:val="21"/>
        </w:rPr>
        <w:t>and</w:t>
      </w:r>
      <w:r>
        <w:rPr>
          <w:spacing w:val="-10"/>
          <w:sz w:val="21"/>
        </w:rPr>
        <w:t> </w:t>
      </w:r>
      <w:r>
        <w:rPr>
          <w:sz w:val="21"/>
        </w:rPr>
        <w:t>violent</w:t>
      </w:r>
      <w:r>
        <w:rPr>
          <w:spacing w:val="-10"/>
          <w:sz w:val="21"/>
        </w:rPr>
        <w:t> </w:t>
      </w:r>
      <w:r>
        <w:rPr>
          <w:sz w:val="21"/>
        </w:rPr>
        <w:t>threats</w:t>
      </w:r>
      <w:r>
        <w:rPr>
          <w:spacing w:val="-11"/>
          <w:sz w:val="21"/>
        </w:rPr>
        <w:t> </w:t>
      </w:r>
      <w:r>
        <w:rPr>
          <w:sz w:val="21"/>
        </w:rPr>
        <w:t>for</w:t>
      </w:r>
      <w:r>
        <w:rPr>
          <w:spacing w:val="-10"/>
          <w:sz w:val="21"/>
        </w:rPr>
        <w:t> </w:t>
      </w:r>
      <w:r>
        <w:rPr>
          <w:sz w:val="21"/>
        </w:rPr>
        <w:t>the</w:t>
      </w:r>
      <w:r>
        <w:rPr>
          <w:spacing w:val="-10"/>
          <w:sz w:val="21"/>
        </w:rPr>
        <w:t> </w:t>
      </w:r>
      <w:r>
        <w:rPr>
          <w:sz w:val="21"/>
        </w:rPr>
        <w:t>provision</w:t>
      </w:r>
      <w:r>
        <w:rPr>
          <w:spacing w:val="-10"/>
          <w:sz w:val="21"/>
        </w:rPr>
        <w:t> </w:t>
      </w:r>
      <w:r>
        <w:rPr>
          <w:sz w:val="21"/>
        </w:rPr>
        <w:t>of</w:t>
      </w:r>
      <w:r>
        <w:rPr>
          <w:spacing w:val="-11"/>
          <w:sz w:val="21"/>
        </w:rPr>
        <w:t> </w:t>
      </w:r>
      <w:r>
        <w:rPr>
          <w:sz w:val="21"/>
        </w:rPr>
        <w:t>gender-affirming</w:t>
      </w:r>
      <w:r>
        <w:rPr>
          <w:spacing w:val="-11"/>
          <w:sz w:val="21"/>
        </w:rPr>
        <w:t> </w:t>
      </w:r>
      <w:r>
        <w:rPr>
          <w:sz w:val="21"/>
        </w:rPr>
        <w:t>care.</w:t>
      </w:r>
      <w:r>
        <w:rPr>
          <w:spacing w:val="-10"/>
          <w:sz w:val="21"/>
        </w:rPr>
        <w:t> </w:t>
      </w:r>
      <w:r>
        <w:rPr>
          <w:sz w:val="21"/>
        </w:rPr>
        <w:t>Combining</w:t>
      </w:r>
      <w:r>
        <w:rPr>
          <w:spacing w:val="-11"/>
          <w:sz w:val="21"/>
        </w:rPr>
        <w:t> </w:t>
      </w:r>
      <w:r>
        <w:rPr>
          <w:sz w:val="21"/>
        </w:rPr>
        <w:t>these with the alarming rise in racist hate crimes being seen across the state, the Commission has serious concerns</w:t>
      </w:r>
      <w:r>
        <w:rPr>
          <w:spacing w:val="-11"/>
          <w:sz w:val="21"/>
        </w:rPr>
        <w:t> </w:t>
      </w:r>
      <w:r>
        <w:rPr>
          <w:sz w:val="21"/>
        </w:rPr>
        <w:t>for</w:t>
      </w:r>
      <w:r>
        <w:rPr>
          <w:spacing w:val="-10"/>
          <w:sz w:val="21"/>
        </w:rPr>
        <w:t> </w:t>
      </w:r>
      <w:r>
        <w:rPr>
          <w:sz w:val="21"/>
        </w:rPr>
        <w:t>the</w:t>
      </w:r>
      <w:r>
        <w:rPr>
          <w:spacing w:val="-10"/>
          <w:sz w:val="21"/>
        </w:rPr>
        <w:t> </w:t>
      </w:r>
      <w:r>
        <w:rPr>
          <w:sz w:val="21"/>
        </w:rPr>
        <w:t>safety</w:t>
      </w:r>
      <w:r>
        <w:rPr>
          <w:spacing w:val="-10"/>
          <w:sz w:val="21"/>
        </w:rPr>
        <w:t> </w:t>
      </w:r>
      <w:r>
        <w:rPr>
          <w:sz w:val="21"/>
        </w:rPr>
        <w:t>of</w:t>
      </w:r>
      <w:r>
        <w:rPr>
          <w:spacing w:val="-11"/>
          <w:sz w:val="21"/>
        </w:rPr>
        <w:t> </w:t>
      </w:r>
      <w:r>
        <w:rPr>
          <w:sz w:val="21"/>
        </w:rPr>
        <w:t>LGBTQ</w:t>
      </w:r>
      <w:r>
        <w:rPr>
          <w:spacing w:val="-10"/>
          <w:sz w:val="21"/>
        </w:rPr>
        <w:t> </w:t>
      </w:r>
      <w:r>
        <w:rPr>
          <w:sz w:val="21"/>
        </w:rPr>
        <w:t>youth,</w:t>
      </w:r>
      <w:r>
        <w:rPr>
          <w:spacing w:val="-10"/>
          <w:sz w:val="21"/>
        </w:rPr>
        <w:t> </w:t>
      </w:r>
      <w:r>
        <w:rPr>
          <w:sz w:val="21"/>
        </w:rPr>
        <w:t>families,</w:t>
      </w:r>
      <w:r>
        <w:rPr>
          <w:spacing w:val="-10"/>
          <w:sz w:val="21"/>
        </w:rPr>
        <w:t> </w:t>
      </w:r>
      <w:r>
        <w:rPr>
          <w:sz w:val="21"/>
        </w:rPr>
        <w:t>providers,</w:t>
      </w:r>
      <w:r>
        <w:rPr>
          <w:spacing w:val="-10"/>
          <w:sz w:val="21"/>
        </w:rPr>
        <w:t> </w:t>
      </w:r>
      <w:r>
        <w:rPr>
          <w:sz w:val="21"/>
        </w:rPr>
        <w:t>librarians,</w:t>
      </w:r>
      <w:r>
        <w:rPr>
          <w:spacing w:val="-10"/>
          <w:sz w:val="21"/>
        </w:rPr>
        <w:t> </w:t>
      </w:r>
      <w:r>
        <w:rPr>
          <w:sz w:val="21"/>
        </w:rPr>
        <w:t>and</w:t>
      </w:r>
      <w:r>
        <w:rPr>
          <w:spacing w:val="-10"/>
          <w:sz w:val="21"/>
        </w:rPr>
        <w:t> </w:t>
      </w:r>
      <w:r>
        <w:rPr>
          <w:sz w:val="21"/>
        </w:rPr>
        <w:t>educators</w:t>
      </w:r>
      <w:r>
        <w:rPr>
          <w:spacing w:val="-11"/>
          <w:sz w:val="21"/>
        </w:rPr>
        <w:t> </w:t>
      </w:r>
      <w:r>
        <w:rPr>
          <w:sz w:val="21"/>
        </w:rPr>
        <w:t>in</w:t>
      </w:r>
      <w:r>
        <w:rPr>
          <w:spacing w:val="-10"/>
          <w:sz w:val="21"/>
        </w:rPr>
        <w:t> </w:t>
      </w:r>
      <w:r>
        <w:rPr>
          <w:sz w:val="21"/>
        </w:rPr>
        <w:t>Massachusetts.</w:t>
      </w:r>
      <w:r>
        <w:rPr>
          <w:spacing w:val="-11"/>
          <w:sz w:val="21"/>
        </w:rPr>
        <w:t> </w:t>
      </w:r>
      <w:r>
        <w:rPr>
          <w:sz w:val="21"/>
        </w:rPr>
        <w:t>The Commission</w:t>
      </w:r>
      <w:r>
        <w:rPr>
          <w:spacing w:val="-10"/>
          <w:sz w:val="21"/>
        </w:rPr>
        <w:t> </w:t>
      </w:r>
      <w:r>
        <w:rPr>
          <w:sz w:val="21"/>
        </w:rPr>
        <w:t>urges</w:t>
      </w:r>
      <w:r>
        <w:rPr>
          <w:spacing w:val="-11"/>
          <w:sz w:val="21"/>
        </w:rPr>
        <w:t> </w:t>
      </w:r>
      <w:r>
        <w:rPr>
          <w:sz w:val="21"/>
        </w:rPr>
        <w:t>the</w:t>
      </w:r>
      <w:r>
        <w:rPr>
          <w:spacing w:val="-10"/>
          <w:sz w:val="21"/>
        </w:rPr>
        <w:t> </w:t>
      </w:r>
      <w:r>
        <w:rPr>
          <w:sz w:val="21"/>
        </w:rPr>
        <w:t>Commonwealth</w:t>
      </w:r>
      <w:r>
        <w:rPr>
          <w:spacing w:val="-10"/>
          <w:sz w:val="21"/>
        </w:rPr>
        <w:t> </w:t>
      </w:r>
      <w:r>
        <w:rPr>
          <w:sz w:val="21"/>
        </w:rPr>
        <w:t>to</w:t>
      </w:r>
      <w:r>
        <w:rPr>
          <w:spacing w:val="-12"/>
          <w:sz w:val="21"/>
        </w:rPr>
        <w:t> </w:t>
      </w:r>
      <w:r>
        <w:rPr>
          <w:sz w:val="21"/>
        </w:rPr>
        <w:t>take</w:t>
      </w:r>
      <w:r>
        <w:rPr>
          <w:spacing w:val="-10"/>
          <w:sz w:val="21"/>
        </w:rPr>
        <w:t> </w:t>
      </w:r>
      <w:r>
        <w:rPr>
          <w:sz w:val="21"/>
        </w:rPr>
        <w:t>direct</w:t>
      </w:r>
      <w:r>
        <w:rPr>
          <w:spacing w:val="-10"/>
          <w:sz w:val="21"/>
        </w:rPr>
        <w:t> </w:t>
      </w:r>
      <w:r>
        <w:rPr>
          <w:sz w:val="21"/>
        </w:rPr>
        <w:t>and</w:t>
      </w:r>
      <w:r>
        <w:rPr>
          <w:spacing w:val="-10"/>
          <w:sz w:val="21"/>
        </w:rPr>
        <w:t> </w:t>
      </w:r>
      <w:r>
        <w:rPr>
          <w:sz w:val="21"/>
        </w:rPr>
        <w:t>explicit</w:t>
      </w:r>
      <w:r>
        <w:rPr>
          <w:spacing w:val="-10"/>
          <w:sz w:val="21"/>
        </w:rPr>
        <w:t> </w:t>
      </w:r>
      <w:r>
        <w:rPr>
          <w:sz w:val="21"/>
        </w:rPr>
        <w:t>action</w:t>
      </w:r>
      <w:r>
        <w:rPr>
          <w:spacing w:val="-10"/>
          <w:sz w:val="21"/>
        </w:rPr>
        <w:t> </w:t>
      </w:r>
      <w:r>
        <w:rPr>
          <w:sz w:val="21"/>
        </w:rPr>
        <w:t>to</w:t>
      </w:r>
      <w:r>
        <w:rPr>
          <w:spacing w:val="-11"/>
          <w:sz w:val="21"/>
        </w:rPr>
        <w:t> </w:t>
      </w:r>
      <w:r>
        <w:rPr>
          <w:sz w:val="21"/>
        </w:rPr>
        <w:t>protect</w:t>
      </w:r>
      <w:r>
        <w:rPr>
          <w:spacing w:val="-11"/>
          <w:sz w:val="21"/>
        </w:rPr>
        <w:t> </w:t>
      </w:r>
      <w:r>
        <w:rPr>
          <w:sz w:val="21"/>
        </w:rPr>
        <w:t>LGBTQ</w:t>
      </w:r>
      <w:r>
        <w:rPr>
          <w:spacing w:val="-10"/>
          <w:sz w:val="21"/>
        </w:rPr>
        <w:t> </w:t>
      </w:r>
      <w:r>
        <w:rPr>
          <w:sz w:val="21"/>
        </w:rPr>
        <w:t>youth,</w:t>
      </w:r>
      <w:r>
        <w:rPr>
          <w:spacing w:val="-10"/>
          <w:sz w:val="21"/>
        </w:rPr>
        <w:t> </w:t>
      </w:r>
      <w:r>
        <w:rPr>
          <w:sz w:val="21"/>
        </w:rPr>
        <w:t>educators, librarians, and caregivers.</w:t>
      </w:r>
    </w:p>
    <w:p>
      <w:pPr>
        <w:spacing w:after="0" w:line="276" w:lineRule="auto"/>
        <w:jc w:val="both"/>
        <w:rPr>
          <w:sz w:val="21"/>
        </w:rPr>
        <w:sectPr>
          <w:headerReference w:type="default" r:id="rId18"/>
          <w:footerReference w:type="default" r:id="rId19"/>
          <w:pgSz w:w="12240" w:h="15840"/>
          <w:pgMar w:header="0" w:footer="1061" w:top="1140" w:bottom="1260" w:left="980" w:right="1160"/>
        </w:sectPr>
      </w:pPr>
    </w:p>
    <w:p>
      <w:pPr>
        <w:spacing w:before="10"/>
        <w:ind w:left="604" w:right="0" w:firstLine="0"/>
        <w:jc w:val="left"/>
        <w:rPr>
          <w:sz w:val="32"/>
        </w:rPr>
      </w:pPr>
      <w:r>
        <w:rPr/>
        <mc:AlternateContent>
          <mc:Choice Requires="wps">
            <w:drawing>
              <wp:anchor distT="0" distB="0" distL="0" distR="0" allowOverlap="1" layoutInCell="1" locked="0" behindDoc="1" simplePos="0" relativeHeight="487593472">
                <wp:simplePos x="0" y="0"/>
                <wp:positionH relativeFrom="page">
                  <wp:posOffset>986789</wp:posOffset>
                </wp:positionH>
                <wp:positionV relativeFrom="paragraph">
                  <wp:posOffset>266954</wp:posOffset>
                </wp:positionV>
                <wp:extent cx="5890895" cy="635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5890895" cy="6350"/>
                        </a:xfrm>
                        <a:custGeom>
                          <a:avLst/>
                          <a:gdLst/>
                          <a:ahLst/>
                          <a:cxnLst/>
                          <a:rect l="l" t="t" r="r" b="b"/>
                          <a:pathLst>
                            <a:path w="5890895" h="6350">
                              <a:moveTo>
                                <a:pt x="5890272" y="0"/>
                              </a:moveTo>
                              <a:lnTo>
                                <a:pt x="0" y="0"/>
                              </a:lnTo>
                              <a:lnTo>
                                <a:pt x="0" y="6096"/>
                              </a:lnTo>
                              <a:lnTo>
                                <a:pt x="5890272" y="6096"/>
                              </a:lnTo>
                              <a:lnTo>
                                <a:pt x="589027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21.02pt;width:463.801pt;height:.48pt;mso-position-horizontal-relative:page;mso-position-vertical-relative:paragraph;z-index:-15723008;mso-wrap-distance-left:0;mso-wrap-distance-right:0" id="docshape29" filled="true" fillcolor="#4f81bc" stroked="false">
                <v:fill type="solid"/>
                <w10:wrap type="topAndBottom"/>
              </v:rect>
            </w:pict>
          </mc:Fallback>
        </mc:AlternateContent>
      </w:r>
      <w:bookmarkStart w:name="Summary of FY 2025 Recommendations" w:id="23"/>
      <w:bookmarkEnd w:id="23"/>
      <w:r>
        <w:rPr/>
      </w:r>
      <w:r>
        <w:rPr>
          <w:color w:val="365F91"/>
          <w:sz w:val="32"/>
        </w:rPr>
        <w:t>Summary</w:t>
      </w:r>
      <w:r>
        <w:rPr>
          <w:color w:val="365F91"/>
          <w:spacing w:val="-4"/>
          <w:sz w:val="32"/>
        </w:rPr>
        <w:t> </w:t>
      </w:r>
      <w:r>
        <w:rPr>
          <w:color w:val="365F91"/>
          <w:sz w:val="32"/>
        </w:rPr>
        <w:t>of</w:t>
      </w:r>
      <w:r>
        <w:rPr>
          <w:color w:val="365F91"/>
          <w:spacing w:val="-2"/>
          <w:sz w:val="32"/>
        </w:rPr>
        <w:t> </w:t>
      </w:r>
      <w:r>
        <w:rPr>
          <w:color w:val="365F91"/>
          <w:sz w:val="32"/>
        </w:rPr>
        <w:t>FY</w:t>
      </w:r>
      <w:r>
        <w:rPr>
          <w:color w:val="365F91"/>
          <w:spacing w:val="-3"/>
          <w:sz w:val="32"/>
        </w:rPr>
        <w:t> </w:t>
      </w:r>
      <w:r>
        <w:rPr>
          <w:color w:val="365F91"/>
          <w:sz w:val="32"/>
        </w:rPr>
        <w:t>2025</w:t>
      </w:r>
      <w:r>
        <w:rPr>
          <w:color w:val="365F91"/>
          <w:spacing w:val="-3"/>
          <w:sz w:val="32"/>
        </w:rPr>
        <w:t> </w:t>
      </w:r>
      <w:r>
        <w:rPr>
          <w:color w:val="365F91"/>
          <w:spacing w:val="-2"/>
          <w:sz w:val="32"/>
        </w:rPr>
        <w:t>Recommendations</w:t>
      </w:r>
    </w:p>
    <w:p>
      <w:pPr>
        <w:pStyle w:val="BodyText"/>
        <w:spacing w:before="140"/>
        <w:rPr>
          <w:sz w:val="28"/>
        </w:rPr>
      </w:pPr>
    </w:p>
    <w:p>
      <w:pPr>
        <w:spacing w:before="0"/>
        <w:ind w:left="604" w:right="0" w:firstLine="0"/>
        <w:jc w:val="both"/>
        <w:rPr>
          <w:sz w:val="28"/>
        </w:rPr>
      </w:pPr>
      <w:bookmarkStart w:name="Protecting LGBTQ Child Welfare &amp; Well-Be" w:id="24"/>
      <w:bookmarkEnd w:id="24"/>
      <w:r>
        <w:rPr/>
      </w:r>
      <w:r>
        <w:rPr>
          <w:color w:val="365F91"/>
          <w:sz w:val="28"/>
        </w:rPr>
        <w:t>Protecting</w:t>
      </w:r>
      <w:r>
        <w:rPr>
          <w:color w:val="365F91"/>
          <w:spacing w:val="-10"/>
          <w:sz w:val="28"/>
        </w:rPr>
        <w:t> </w:t>
      </w:r>
      <w:r>
        <w:rPr>
          <w:color w:val="365F91"/>
          <w:sz w:val="28"/>
        </w:rPr>
        <w:t>LGBTQ</w:t>
      </w:r>
      <w:r>
        <w:rPr>
          <w:color w:val="365F91"/>
          <w:spacing w:val="-10"/>
          <w:sz w:val="28"/>
        </w:rPr>
        <w:t> </w:t>
      </w:r>
      <w:r>
        <w:rPr>
          <w:color w:val="365F91"/>
          <w:sz w:val="28"/>
        </w:rPr>
        <w:t>Child</w:t>
      </w:r>
      <w:r>
        <w:rPr>
          <w:color w:val="365F91"/>
          <w:spacing w:val="-11"/>
          <w:sz w:val="28"/>
        </w:rPr>
        <w:t> </w:t>
      </w:r>
      <w:r>
        <w:rPr>
          <w:color w:val="365F91"/>
          <w:sz w:val="28"/>
        </w:rPr>
        <w:t>Welfare</w:t>
      </w:r>
      <w:r>
        <w:rPr>
          <w:color w:val="365F91"/>
          <w:spacing w:val="-11"/>
          <w:sz w:val="28"/>
        </w:rPr>
        <w:t> </w:t>
      </w:r>
      <w:r>
        <w:rPr>
          <w:color w:val="365F91"/>
          <w:sz w:val="28"/>
        </w:rPr>
        <w:t>&amp;</w:t>
      </w:r>
      <w:r>
        <w:rPr>
          <w:color w:val="365F91"/>
          <w:spacing w:val="-10"/>
          <w:sz w:val="28"/>
        </w:rPr>
        <w:t> </w:t>
      </w:r>
      <w:r>
        <w:rPr>
          <w:color w:val="365F91"/>
          <w:sz w:val="28"/>
        </w:rPr>
        <w:t>Well-Being</w:t>
      </w:r>
      <w:r>
        <w:rPr>
          <w:color w:val="365F91"/>
          <w:spacing w:val="-10"/>
          <w:sz w:val="28"/>
        </w:rPr>
        <w:t> </w:t>
      </w:r>
      <w:r>
        <w:rPr>
          <w:color w:val="365F91"/>
          <w:spacing w:val="-2"/>
          <w:sz w:val="28"/>
        </w:rPr>
        <w:t>(2023)</w:t>
      </w:r>
    </w:p>
    <w:p>
      <w:pPr>
        <w:pStyle w:val="BodyText"/>
        <w:spacing w:line="276" w:lineRule="auto" w:before="241"/>
        <w:ind w:left="604" w:right="421" w:hanging="1"/>
        <w:jc w:val="both"/>
      </w:pPr>
      <w:r>
        <w:rPr/>
        <w:t>Now in its 32</w:t>
      </w:r>
      <w:r>
        <w:rPr>
          <w:vertAlign w:val="superscript"/>
        </w:rPr>
        <w:t>nd</w:t>
      </w:r>
      <w:r>
        <w:rPr>
          <w:vertAlign w:val="baseline"/>
        </w:rPr>
        <w:t> year, the Massachusetts Commission on LGBTQ Youth voices its mission through the motto, “</w:t>
      </w:r>
      <w:r>
        <w:rPr>
          <w:b/>
          <w:vertAlign w:val="baseline"/>
        </w:rPr>
        <w:t>Helping All Youth Thrive</w:t>
      </w:r>
      <w:r>
        <w:rPr>
          <w:vertAlign w:val="baseline"/>
        </w:rPr>
        <w:t>.” The realization</w:t>
      </w:r>
      <w:r>
        <w:rPr>
          <w:spacing w:val="-1"/>
          <w:vertAlign w:val="baseline"/>
        </w:rPr>
        <w:t> </w:t>
      </w:r>
      <w:r>
        <w:rPr>
          <w:vertAlign w:val="baseline"/>
        </w:rPr>
        <w:t>of this seemingly simple</w:t>
      </w:r>
      <w:r>
        <w:rPr>
          <w:spacing w:val="-1"/>
          <w:vertAlign w:val="baseline"/>
        </w:rPr>
        <w:t> </w:t>
      </w:r>
      <w:r>
        <w:rPr>
          <w:vertAlign w:val="baseline"/>
        </w:rPr>
        <w:t>saying</w:t>
      </w:r>
      <w:r>
        <w:rPr>
          <w:spacing w:val="-1"/>
          <w:vertAlign w:val="baseline"/>
        </w:rPr>
        <w:t> </w:t>
      </w:r>
      <w:r>
        <w:rPr>
          <w:vertAlign w:val="baseline"/>
        </w:rPr>
        <w:t>requires leaders to take a high-level view of the stunningly complicated issues affecting the well-being of today’s LGBTQ youth—without losing sight of the importance of their individual realities.</w:t>
      </w:r>
    </w:p>
    <w:p>
      <w:pPr>
        <w:pStyle w:val="BodyText"/>
        <w:spacing w:before="239"/>
        <w:ind w:left="1141"/>
      </w:pPr>
      <w:r>
        <w:rPr>
          <w:color w:val="4F81BB"/>
        </w:rPr>
        <w:t>What</w:t>
      </w:r>
      <w:r>
        <w:rPr>
          <w:color w:val="4F81BB"/>
          <w:spacing w:val="-6"/>
        </w:rPr>
        <w:t> </w:t>
      </w:r>
      <w:r>
        <w:rPr>
          <w:color w:val="4F81BB"/>
        </w:rPr>
        <w:t>does</w:t>
      </w:r>
      <w:r>
        <w:rPr>
          <w:color w:val="4F81BB"/>
          <w:spacing w:val="-4"/>
        </w:rPr>
        <w:t> </w:t>
      </w:r>
      <w:r>
        <w:rPr>
          <w:color w:val="4F81BB"/>
        </w:rPr>
        <w:t>it</w:t>
      </w:r>
      <w:r>
        <w:rPr>
          <w:color w:val="4F81BB"/>
          <w:spacing w:val="-5"/>
        </w:rPr>
        <w:t> </w:t>
      </w:r>
      <w:r>
        <w:rPr>
          <w:color w:val="4F81BB"/>
        </w:rPr>
        <w:t>mean</w:t>
      </w:r>
      <w:r>
        <w:rPr>
          <w:color w:val="4F81BB"/>
          <w:spacing w:val="-5"/>
        </w:rPr>
        <w:t> </w:t>
      </w:r>
      <w:r>
        <w:rPr>
          <w:color w:val="4F81BB"/>
        </w:rPr>
        <w:t>to</w:t>
      </w:r>
      <w:r>
        <w:rPr>
          <w:color w:val="4F81BB"/>
          <w:spacing w:val="-5"/>
        </w:rPr>
        <w:t> </w:t>
      </w:r>
      <w:r>
        <w:rPr>
          <w:color w:val="4F81BB"/>
        </w:rPr>
        <w:t>serve</w:t>
      </w:r>
      <w:r>
        <w:rPr>
          <w:color w:val="4F81BB"/>
          <w:spacing w:val="-6"/>
        </w:rPr>
        <w:t> </w:t>
      </w:r>
      <w:r>
        <w:rPr>
          <w:b/>
          <w:i/>
          <w:color w:val="4F81BB"/>
        </w:rPr>
        <w:t>all</w:t>
      </w:r>
      <w:r>
        <w:rPr>
          <w:b/>
          <w:i/>
          <w:color w:val="4F81BB"/>
          <w:spacing w:val="-5"/>
        </w:rPr>
        <w:t> </w:t>
      </w:r>
      <w:r>
        <w:rPr>
          <w:b/>
          <w:i/>
          <w:color w:val="4F81BB"/>
        </w:rPr>
        <w:t>youth</w:t>
      </w:r>
      <w:r>
        <w:rPr>
          <w:color w:val="4F81BB"/>
        </w:rPr>
        <w:t>?</w:t>
      </w:r>
      <w:r>
        <w:rPr>
          <w:color w:val="4F81BB"/>
          <w:spacing w:val="-5"/>
        </w:rPr>
        <w:t> </w:t>
      </w:r>
      <w:r>
        <w:rPr>
          <w:color w:val="4F81BB"/>
        </w:rPr>
        <w:t>And</w:t>
      </w:r>
      <w:r>
        <w:rPr>
          <w:color w:val="4F81BB"/>
          <w:spacing w:val="-6"/>
        </w:rPr>
        <w:t> </w:t>
      </w:r>
      <w:r>
        <w:rPr>
          <w:color w:val="4F81BB"/>
        </w:rPr>
        <w:t>what</w:t>
      </w:r>
      <w:r>
        <w:rPr>
          <w:color w:val="4F81BB"/>
          <w:spacing w:val="-5"/>
        </w:rPr>
        <w:t> </w:t>
      </w:r>
      <w:r>
        <w:rPr>
          <w:color w:val="4F81BB"/>
        </w:rPr>
        <w:t>does</w:t>
      </w:r>
      <w:r>
        <w:rPr>
          <w:color w:val="4F81BB"/>
          <w:spacing w:val="-6"/>
        </w:rPr>
        <w:t> </w:t>
      </w:r>
      <w:r>
        <w:rPr>
          <w:color w:val="4F81BB"/>
        </w:rPr>
        <w:t>it</w:t>
      </w:r>
      <w:r>
        <w:rPr>
          <w:color w:val="4F81BB"/>
          <w:spacing w:val="-4"/>
        </w:rPr>
        <w:t> </w:t>
      </w:r>
      <w:r>
        <w:rPr>
          <w:color w:val="4F81BB"/>
        </w:rPr>
        <w:t>mean</w:t>
      </w:r>
      <w:r>
        <w:rPr>
          <w:color w:val="4F81BB"/>
          <w:spacing w:val="-5"/>
        </w:rPr>
        <w:t> </w:t>
      </w:r>
      <w:r>
        <w:rPr>
          <w:color w:val="4F81BB"/>
        </w:rPr>
        <w:t>for</w:t>
      </w:r>
      <w:r>
        <w:rPr>
          <w:color w:val="4F81BB"/>
          <w:spacing w:val="-6"/>
        </w:rPr>
        <w:t> </w:t>
      </w:r>
      <w:r>
        <w:rPr>
          <w:color w:val="4F81BB"/>
        </w:rPr>
        <w:t>LGBTQ</w:t>
      </w:r>
      <w:r>
        <w:rPr>
          <w:color w:val="4F81BB"/>
          <w:spacing w:val="-5"/>
        </w:rPr>
        <w:t> </w:t>
      </w:r>
      <w:r>
        <w:rPr>
          <w:color w:val="4F81BB"/>
        </w:rPr>
        <w:t>youth</w:t>
      </w:r>
      <w:r>
        <w:rPr>
          <w:color w:val="4F81BB"/>
          <w:spacing w:val="-6"/>
        </w:rPr>
        <w:t> </w:t>
      </w:r>
      <w:r>
        <w:rPr>
          <w:color w:val="4F81BB"/>
        </w:rPr>
        <w:t>to</w:t>
      </w:r>
      <w:r>
        <w:rPr>
          <w:color w:val="4F81BB"/>
          <w:spacing w:val="-4"/>
        </w:rPr>
        <w:t> </w:t>
      </w:r>
      <w:r>
        <w:rPr>
          <w:b/>
          <w:i/>
          <w:color w:val="4F81BB"/>
          <w:spacing w:val="-2"/>
        </w:rPr>
        <w:t>thrive</w:t>
      </w:r>
      <w:r>
        <w:rPr>
          <w:color w:val="4F81BB"/>
          <w:spacing w:val="-2"/>
        </w:rPr>
        <w:t>?</w:t>
      </w:r>
    </w:p>
    <w:p>
      <w:pPr>
        <w:pStyle w:val="BodyText"/>
        <w:spacing w:before="13"/>
      </w:pPr>
    </w:p>
    <w:p>
      <w:pPr>
        <w:pStyle w:val="BodyText"/>
        <w:spacing w:line="276" w:lineRule="auto"/>
        <w:ind w:left="604" w:right="420"/>
        <w:jc w:val="both"/>
      </w:pPr>
      <w:r>
        <w:rPr/>
        <w:t>From</w:t>
      </w:r>
      <w:r>
        <w:rPr>
          <w:spacing w:val="-8"/>
        </w:rPr>
        <w:t> </w:t>
      </w:r>
      <w:r>
        <w:rPr/>
        <w:t>the</w:t>
      </w:r>
      <w:r>
        <w:rPr>
          <w:spacing w:val="-7"/>
        </w:rPr>
        <w:t> </w:t>
      </w:r>
      <w:r>
        <w:rPr/>
        <w:t>wide-angle</w:t>
      </w:r>
      <w:r>
        <w:rPr>
          <w:spacing w:val="-8"/>
        </w:rPr>
        <w:t> </w:t>
      </w:r>
      <w:r>
        <w:rPr/>
        <w:t>lens</w:t>
      </w:r>
      <w:r>
        <w:rPr>
          <w:spacing w:val="-6"/>
        </w:rPr>
        <w:t> </w:t>
      </w:r>
      <w:r>
        <w:rPr/>
        <w:t>of</w:t>
      </w:r>
      <w:r>
        <w:rPr>
          <w:spacing w:val="-8"/>
        </w:rPr>
        <w:t> </w:t>
      </w:r>
      <w:r>
        <w:rPr/>
        <w:t>international</w:t>
      </w:r>
      <w:r>
        <w:rPr>
          <w:spacing w:val="-8"/>
        </w:rPr>
        <w:t> </w:t>
      </w:r>
      <w:r>
        <w:rPr/>
        <w:t>comparison</w:t>
      </w:r>
      <w:r>
        <w:rPr>
          <w:spacing w:val="-8"/>
        </w:rPr>
        <w:t> </w:t>
      </w:r>
      <w:r>
        <w:rPr/>
        <w:t>to</w:t>
      </w:r>
      <w:r>
        <w:rPr>
          <w:spacing w:val="-7"/>
        </w:rPr>
        <w:t> </w:t>
      </w:r>
      <w:r>
        <w:rPr/>
        <w:t>a</w:t>
      </w:r>
      <w:r>
        <w:rPr>
          <w:spacing w:val="-7"/>
        </w:rPr>
        <w:t> </w:t>
      </w:r>
      <w:r>
        <w:rPr/>
        <w:t>snapshot</w:t>
      </w:r>
      <w:r>
        <w:rPr>
          <w:spacing w:val="-8"/>
        </w:rPr>
        <w:t> </w:t>
      </w:r>
      <w:r>
        <w:rPr/>
        <w:t>of</w:t>
      </w:r>
      <w:r>
        <w:rPr>
          <w:spacing w:val="-7"/>
        </w:rPr>
        <w:t> </w:t>
      </w:r>
      <w:r>
        <w:rPr/>
        <w:t>the</w:t>
      </w:r>
      <w:r>
        <w:rPr>
          <w:spacing w:val="-7"/>
        </w:rPr>
        <w:t> </w:t>
      </w:r>
      <w:r>
        <w:rPr/>
        <w:t>current</w:t>
      </w:r>
      <w:r>
        <w:rPr>
          <w:spacing w:val="-8"/>
        </w:rPr>
        <w:t> </w:t>
      </w:r>
      <w:r>
        <w:rPr/>
        <w:t>national</w:t>
      </w:r>
      <w:r>
        <w:rPr>
          <w:spacing w:val="-6"/>
        </w:rPr>
        <w:t> </w:t>
      </w:r>
      <w:r>
        <w:rPr/>
        <w:t>climate,</w:t>
      </w:r>
      <w:r>
        <w:rPr>
          <w:spacing w:val="-7"/>
        </w:rPr>
        <w:t> </w:t>
      </w:r>
      <w:r>
        <w:rPr/>
        <w:t>to a</w:t>
      </w:r>
      <w:r>
        <w:rPr>
          <w:spacing w:val="-12"/>
        </w:rPr>
        <w:t> </w:t>
      </w:r>
      <w:r>
        <w:rPr/>
        <w:t>nuanced</w:t>
      </w:r>
      <w:r>
        <w:rPr>
          <w:spacing w:val="-11"/>
        </w:rPr>
        <w:t> </w:t>
      </w:r>
      <w:r>
        <w:rPr/>
        <w:t>view</w:t>
      </w:r>
      <w:r>
        <w:rPr>
          <w:spacing w:val="-12"/>
        </w:rPr>
        <w:t> </w:t>
      </w:r>
      <w:r>
        <w:rPr/>
        <w:t>of</w:t>
      </w:r>
      <w:r>
        <w:rPr>
          <w:spacing w:val="-11"/>
        </w:rPr>
        <w:t> </w:t>
      </w:r>
      <w:r>
        <w:rPr/>
        <w:t>the</w:t>
      </w:r>
      <w:r>
        <w:rPr>
          <w:spacing w:val="-10"/>
        </w:rPr>
        <w:t> </w:t>
      </w:r>
      <w:r>
        <w:rPr/>
        <w:t>complexities</w:t>
      </w:r>
      <w:r>
        <w:rPr>
          <w:spacing w:val="-12"/>
        </w:rPr>
        <w:t> </w:t>
      </w:r>
      <w:r>
        <w:rPr/>
        <w:t>of</w:t>
      </w:r>
      <w:r>
        <w:rPr>
          <w:spacing w:val="-11"/>
        </w:rPr>
        <w:t> </w:t>
      </w:r>
      <w:r>
        <w:rPr/>
        <w:t>youth-serving</w:t>
      </w:r>
      <w:r>
        <w:rPr>
          <w:spacing w:val="-11"/>
        </w:rPr>
        <w:t> </w:t>
      </w:r>
      <w:r>
        <w:rPr/>
        <w:t>systems</w:t>
      </w:r>
      <w:r>
        <w:rPr>
          <w:spacing w:val="-12"/>
        </w:rPr>
        <w:t> </w:t>
      </w:r>
      <w:r>
        <w:rPr/>
        <w:t>in</w:t>
      </w:r>
      <w:r>
        <w:rPr>
          <w:spacing w:val="-11"/>
        </w:rPr>
        <w:t> </w:t>
      </w:r>
      <w:r>
        <w:rPr/>
        <w:t>our</w:t>
      </w:r>
      <w:r>
        <w:rPr>
          <w:spacing w:val="-12"/>
        </w:rPr>
        <w:t> </w:t>
      </w:r>
      <w:r>
        <w:rPr/>
        <w:t>state,</w:t>
      </w:r>
      <w:r>
        <w:rPr>
          <w:spacing w:val="-11"/>
        </w:rPr>
        <w:t> </w:t>
      </w:r>
      <w:r>
        <w:rPr/>
        <w:t>particularly</w:t>
      </w:r>
      <w:r>
        <w:rPr>
          <w:spacing w:val="-12"/>
        </w:rPr>
        <w:t> </w:t>
      </w:r>
      <w:r>
        <w:rPr/>
        <w:t>the</w:t>
      </w:r>
      <w:r>
        <w:rPr>
          <w:spacing w:val="-11"/>
        </w:rPr>
        <w:t> </w:t>
      </w:r>
      <w:r>
        <w:rPr/>
        <w:t>child-welfare system,</w:t>
      </w:r>
      <w:r>
        <w:rPr>
          <w:spacing w:val="-1"/>
        </w:rPr>
        <w:t> </w:t>
      </w:r>
      <w:r>
        <w:rPr/>
        <w:t>many</w:t>
      </w:r>
      <w:r>
        <w:rPr>
          <w:spacing w:val="-1"/>
        </w:rPr>
        <w:t> </w:t>
      </w:r>
      <w:r>
        <w:rPr/>
        <w:t>layers</w:t>
      </w:r>
      <w:r>
        <w:rPr>
          <w:spacing w:val="-1"/>
        </w:rPr>
        <w:t> </w:t>
      </w:r>
      <w:r>
        <w:rPr/>
        <w:t>of consideration</w:t>
      </w:r>
      <w:r>
        <w:rPr>
          <w:spacing w:val="-1"/>
        </w:rPr>
        <w:t> </w:t>
      </w:r>
      <w:r>
        <w:rPr/>
        <w:t>inform</w:t>
      </w:r>
      <w:r>
        <w:rPr>
          <w:spacing w:val="-1"/>
        </w:rPr>
        <w:t> </w:t>
      </w:r>
      <w:r>
        <w:rPr/>
        <w:t>the most</w:t>
      </w:r>
      <w:r>
        <w:rPr>
          <w:spacing w:val="-2"/>
        </w:rPr>
        <w:t> </w:t>
      </w:r>
      <w:r>
        <w:rPr/>
        <w:t>promising</w:t>
      </w:r>
      <w:r>
        <w:rPr>
          <w:spacing w:val="-1"/>
        </w:rPr>
        <w:t> </w:t>
      </w:r>
      <w:r>
        <w:rPr/>
        <w:t>legislation</w:t>
      </w:r>
      <w:r>
        <w:rPr>
          <w:spacing w:val="-1"/>
        </w:rPr>
        <w:t> </w:t>
      </w:r>
      <w:r>
        <w:rPr/>
        <w:t>to support</w:t>
      </w:r>
      <w:r>
        <w:rPr>
          <w:spacing w:val="-1"/>
        </w:rPr>
        <w:t> </w:t>
      </w:r>
      <w:r>
        <w:rPr/>
        <w:t>the well-being of LGBTQ young people today.</w:t>
      </w:r>
    </w:p>
    <w:p>
      <w:pPr>
        <w:pStyle w:val="BodyText"/>
        <w:spacing w:line="276" w:lineRule="auto" w:before="239"/>
        <w:ind w:left="604" w:right="423"/>
        <w:jc w:val="both"/>
      </w:pPr>
      <w:r>
        <w:rPr/>
        <w:t>Although</w:t>
      </w:r>
      <w:r>
        <w:rPr>
          <w:spacing w:val="-1"/>
        </w:rPr>
        <w:t> </w:t>
      </w:r>
      <w:r>
        <w:rPr/>
        <w:t>the Commonwealth</w:t>
      </w:r>
      <w:r>
        <w:rPr>
          <w:spacing w:val="-2"/>
        </w:rPr>
        <w:t> </w:t>
      </w:r>
      <w:r>
        <w:rPr/>
        <w:t>has</w:t>
      </w:r>
      <w:r>
        <w:rPr>
          <w:spacing w:val="-1"/>
        </w:rPr>
        <w:t> </w:t>
      </w:r>
      <w:r>
        <w:rPr/>
        <w:t>made significant</w:t>
      </w:r>
      <w:r>
        <w:rPr>
          <w:spacing w:val="-3"/>
        </w:rPr>
        <w:t> </w:t>
      </w:r>
      <w:r>
        <w:rPr/>
        <w:t>strides</w:t>
      </w:r>
      <w:r>
        <w:rPr>
          <w:spacing w:val="-2"/>
        </w:rPr>
        <w:t> </w:t>
      </w:r>
      <w:r>
        <w:rPr/>
        <w:t>for</w:t>
      </w:r>
      <w:r>
        <w:rPr>
          <w:spacing w:val="-1"/>
        </w:rPr>
        <w:t> </w:t>
      </w:r>
      <w:r>
        <w:rPr/>
        <w:t>LGBTQ</w:t>
      </w:r>
      <w:r>
        <w:rPr>
          <w:spacing w:val="-3"/>
        </w:rPr>
        <w:t> </w:t>
      </w:r>
      <w:r>
        <w:rPr/>
        <w:t>youth,</w:t>
      </w:r>
      <w:r>
        <w:rPr>
          <w:spacing w:val="-1"/>
        </w:rPr>
        <w:t> </w:t>
      </w:r>
      <w:r>
        <w:rPr/>
        <w:t>we continue</w:t>
      </w:r>
      <w:r>
        <w:rPr>
          <w:spacing w:val="-2"/>
        </w:rPr>
        <w:t> </w:t>
      </w:r>
      <w:r>
        <w:rPr/>
        <w:t>to</w:t>
      </w:r>
      <w:r>
        <w:rPr>
          <w:spacing w:val="-1"/>
        </w:rPr>
        <w:t> </w:t>
      </w:r>
      <w:r>
        <w:rPr/>
        <w:t>fall</w:t>
      </w:r>
      <w:r>
        <w:rPr>
          <w:spacing w:val="-3"/>
        </w:rPr>
        <w:t> </w:t>
      </w:r>
      <w:r>
        <w:rPr/>
        <w:t>short, sometimes with tragic results, in many arenas that affect our young people. Equipped with a clear vision of goals for the well-being of LGBTQ youth, decision-makers can effect meaningful change. Legislative</w:t>
      </w:r>
      <w:r>
        <w:rPr>
          <w:spacing w:val="-10"/>
        </w:rPr>
        <w:t> </w:t>
      </w:r>
      <w:r>
        <w:rPr/>
        <w:t>actions</w:t>
      </w:r>
      <w:r>
        <w:rPr>
          <w:spacing w:val="-9"/>
        </w:rPr>
        <w:t> </w:t>
      </w:r>
      <w:r>
        <w:rPr/>
        <w:t>that</w:t>
      </w:r>
      <w:r>
        <w:rPr>
          <w:spacing w:val="-10"/>
        </w:rPr>
        <w:t> </w:t>
      </w:r>
      <w:r>
        <w:rPr/>
        <w:t>support</w:t>
      </w:r>
      <w:r>
        <w:rPr>
          <w:spacing w:val="-10"/>
        </w:rPr>
        <w:t> </w:t>
      </w:r>
      <w:r>
        <w:rPr/>
        <w:t>the</w:t>
      </w:r>
      <w:r>
        <w:rPr>
          <w:spacing w:val="-10"/>
        </w:rPr>
        <w:t> </w:t>
      </w:r>
      <w:r>
        <w:rPr/>
        <w:t>well-being</w:t>
      </w:r>
      <w:r>
        <w:rPr>
          <w:spacing w:val="-9"/>
        </w:rPr>
        <w:t> </w:t>
      </w:r>
      <w:r>
        <w:rPr/>
        <w:t>of</w:t>
      </w:r>
      <w:r>
        <w:rPr>
          <w:spacing w:val="-10"/>
        </w:rPr>
        <w:t> </w:t>
      </w:r>
      <w:r>
        <w:rPr/>
        <w:t>LGBTQ</w:t>
      </w:r>
      <w:r>
        <w:rPr>
          <w:spacing w:val="-10"/>
        </w:rPr>
        <w:t> </w:t>
      </w:r>
      <w:r>
        <w:rPr/>
        <w:t>youth</w:t>
      </w:r>
      <w:r>
        <w:rPr>
          <w:spacing w:val="-9"/>
        </w:rPr>
        <w:t> </w:t>
      </w:r>
      <w:r>
        <w:rPr/>
        <w:t>in</w:t>
      </w:r>
      <w:r>
        <w:rPr>
          <w:spacing w:val="-9"/>
        </w:rPr>
        <w:t> </w:t>
      </w:r>
      <w:r>
        <w:rPr/>
        <w:t>turn</w:t>
      </w:r>
      <w:r>
        <w:rPr>
          <w:spacing w:val="-10"/>
        </w:rPr>
        <w:t> </w:t>
      </w:r>
      <w:r>
        <w:rPr/>
        <w:t>support</w:t>
      </w:r>
      <w:r>
        <w:rPr>
          <w:spacing w:val="-9"/>
        </w:rPr>
        <w:t> </w:t>
      </w:r>
      <w:r>
        <w:rPr/>
        <w:t>the</w:t>
      </w:r>
      <w:r>
        <w:rPr>
          <w:spacing w:val="-10"/>
        </w:rPr>
        <w:t> </w:t>
      </w:r>
      <w:r>
        <w:rPr/>
        <w:t>strength</w:t>
      </w:r>
      <w:r>
        <w:rPr>
          <w:spacing w:val="-9"/>
        </w:rPr>
        <w:t> </w:t>
      </w:r>
      <w:r>
        <w:rPr/>
        <w:t>and</w:t>
      </w:r>
      <w:r>
        <w:rPr>
          <w:spacing w:val="-10"/>
        </w:rPr>
        <w:t> </w:t>
      </w:r>
      <w:r>
        <w:rPr/>
        <w:t>vitality of our Commonwealth. When all youth thrive, Massachusetts thrives.</w:t>
      </w:r>
    </w:p>
    <w:p>
      <w:pPr>
        <w:spacing w:before="240"/>
        <w:ind w:left="604" w:right="0" w:firstLine="0"/>
        <w:jc w:val="both"/>
        <w:rPr>
          <w:sz w:val="26"/>
        </w:rPr>
      </w:pPr>
      <w:bookmarkStart w:name="FY 2025 Recommendations to the Governor " w:id="25"/>
      <w:bookmarkEnd w:id="25"/>
      <w:r>
        <w:rPr/>
      </w:r>
      <w:r>
        <w:rPr>
          <w:color w:val="404040"/>
          <w:sz w:val="26"/>
        </w:rPr>
        <w:t>FY</w:t>
      </w:r>
      <w:r>
        <w:rPr>
          <w:color w:val="404040"/>
          <w:spacing w:val="-5"/>
          <w:sz w:val="26"/>
        </w:rPr>
        <w:t> </w:t>
      </w:r>
      <w:r>
        <w:rPr>
          <w:color w:val="404040"/>
          <w:sz w:val="26"/>
        </w:rPr>
        <w:t>2025</w:t>
      </w:r>
      <w:r>
        <w:rPr>
          <w:color w:val="404040"/>
          <w:spacing w:val="-2"/>
          <w:sz w:val="26"/>
        </w:rPr>
        <w:t> </w:t>
      </w:r>
      <w:r>
        <w:rPr>
          <w:color w:val="404040"/>
          <w:sz w:val="26"/>
        </w:rPr>
        <w:t>Recommendations</w:t>
      </w:r>
      <w:r>
        <w:rPr>
          <w:color w:val="404040"/>
          <w:spacing w:val="-3"/>
          <w:sz w:val="26"/>
        </w:rPr>
        <w:t> </w:t>
      </w:r>
      <w:r>
        <w:rPr>
          <w:color w:val="404040"/>
          <w:sz w:val="26"/>
        </w:rPr>
        <w:t>to</w:t>
      </w:r>
      <w:r>
        <w:rPr>
          <w:color w:val="404040"/>
          <w:spacing w:val="-4"/>
          <w:sz w:val="26"/>
        </w:rPr>
        <w:t> </w:t>
      </w:r>
      <w:r>
        <w:rPr>
          <w:color w:val="404040"/>
          <w:sz w:val="26"/>
        </w:rPr>
        <w:t>the</w:t>
      </w:r>
      <w:r>
        <w:rPr>
          <w:color w:val="404040"/>
          <w:spacing w:val="-4"/>
          <w:sz w:val="26"/>
        </w:rPr>
        <w:t> </w:t>
      </w:r>
      <w:r>
        <w:rPr>
          <w:color w:val="404040"/>
          <w:sz w:val="26"/>
        </w:rPr>
        <w:t>Governor</w:t>
      </w:r>
      <w:r>
        <w:rPr>
          <w:color w:val="404040"/>
          <w:spacing w:val="-4"/>
          <w:sz w:val="26"/>
        </w:rPr>
        <w:t> </w:t>
      </w:r>
      <w:r>
        <w:rPr>
          <w:color w:val="404040"/>
          <w:sz w:val="26"/>
        </w:rPr>
        <w:t>&amp;</w:t>
      </w:r>
      <w:r>
        <w:rPr>
          <w:color w:val="404040"/>
          <w:spacing w:val="-2"/>
          <w:sz w:val="26"/>
        </w:rPr>
        <w:t> </w:t>
      </w:r>
      <w:r>
        <w:rPr>
          <w:color w:val="404040"/>
          <w:sz w:val="26"/>
        </w:rPr>
        <w:t>Legislature</w:t>
      </w:r>
      <w:r>
        <w:rPr>
          <w:color w:val="404040"/>
          <w:spacing w:val="-3"/>
          <w:sz w:val="26"/>
        </w:rPr>
        <w:t> </w:t>
      </w:r>
      <w:r>
        <w:rPr>
          <w:color w:val="404040"/>
          <w:sz w:val="26"/>
        </w:rPr>
        <w:t>on</w:t>
      </w:r>
      <w:r>
        <w:rPr>
          <w:color w:val="404040"/>
          <w:spacing w:val="-3"/>
          <w:sz w:val="26"/>
        </w:rPr>
        <w:t> </w:t>
      </w:r>
      <w:r>
        <w:rPr>
          <w:color w:val="404040"/>
          <w:sz w:val="26"/>
        </w:rPr>
        <w:t>Child</w:t>
      </w:r>
      <w:r>
        <w:rPr>
          <w:color w:val="404040"/>
          <w:spacing w:val="-4"/>
          <w:sz w:val="26"/>
        </w:rPr>
        <w:t> </w:t>
      </w:r>
      <w:r>
        <w:rPr>
          <w:color w:val="404040"/>
          <w:spacing w:val="-2"/>
          <w:sz w:val="26"/>
        </w:rPr>
        <w:t>Welfare</w:t>
      </w:r>
    </w:p>
    <w:p>
      <w:pPr>
        <w:pStyle w:val="ListParagraph"/>
        <w:numPr>
          <w:ilvl w:val="0"/>
          <w:numId w:val="2"/>
        </w:numPr>
        <w:tabs>
          <w:tab w:pos="1179" w:val="left" w:leader="none"/>
        </w:tabs>
        <w:spacing w:line="240" w:lineRule="auto" w:before="241" w:after="0"/>
        <w:ind w:left="1179" w:right="0" w:hanging="359"/>
        <w:jc w:val="left"/>
        <w:rPr>
          <w:sz w:val="22"/>
        </w:rPr>
      </w:pPr>
      <w:bookmarkStart w:name="1. Create a program for universal basic " w:id="26"/>
      <w:bookmarkEnd w:id="26"/>
      <w:r>
        <w:rPr/>
      </w:r>
      <w:r>
        <w:rPr>
          <w:sz w:val="22"/>
        </w:rPr>
        <w:t>Create</w:t>
      </w:r>
      <w:r>
        <w:rPr>
          <w:spacing w:val="-7"/>
          <w:sz w:val="22"/>
        </w:rPr>
        <w:t> </w:t>
      </w:r>
      <w:r>
        <w:rPr>
          <w:sz w:val="22"/>
        </w:rPr>
        <w:t>a</w:t>
      </w:r>
      <w:r>
        <w:rPr>
          <w:spacing w:val="-6"/>
          <w:sz w:val="22"/>
        </w:rPr>
        <w:t> </w:t>
      </w:r>
      <w:r>
        <w:rPr>
          <w:sz w:val="22"/>
        </w:rPr>
        <w:t>program</w:t>
      </w:r>
      <w:r>
        <w:rPr>
          <w:spacing w:val="-6"/>
          <w:sz w:val="22"/>
        </w:rPr>
        <w:t> </w:t>
      </w:r>
      <w:r>
        <w:rPr>
          <w:sz w:val="22"/>
        </w:rPr>
        <w:t>for</w:t>
      </w:r>
      <w:r>
        <w:rPr>
          <w:spacing w:val="-7"/>
          <w:sz w:val="22"/>
        </w:rPr>
        <w:t> </w:t>
      </w:r>
      <w:r>
        <w:rPr>
          <w:sz w:val="22"/>
        </w:rPr>
        <w:t>universal</w:t>
      </w:r>
      <w:r>
        <w:rPr>
          <w:spacing w:val="-6"/>
          <w:sz w:val="22"/>
        </w:rPr>
        <w:t> </w:t>
      </w:r>
      <w:r>
        <w:rPr>
          <w:sz w:val="22"/>
        </w:rPr>
        <w:t>basic</w:t>
      </w:r>
      <w:r>
        <w:rPr>
          <w:spacing w:val="-6"/>
          <w:sz w:val="22"/>
        </w:rPr>
        <w:t> </w:t>
      </w:r>
      <w:r>
        <w:rPr>
          <w:sz w:val="22"/>
        </w:rPr>
        <w:t>income</w:t>
      </w:r>
      <w:r>
        <w:rPr>
          <w:spacing w:val="-7"/>
          <w:sz w:val="22"/>
        </w:rPr>
        <w:t> </w:t>
      </w:r>
      <w:r>
        <w:rPr>
          <w:sz w:val="22"/>
        </w:rPr>
        <w:t>for</w:t>
      </w:r>
      <w:r>
        <w:rPr>
          <w:spacing w:val="-6"/>
          <w:sz w:val="22"/>
        </w:rPr>
        <w:t> </w:t>
      </w:r>
      <w:r>
        <w:rPr>
          <w:sz w:val="22"/>
        </w:rPr>
        <w:t>foster</w:t>
      </w:r>
      <w:r>
        <w:rPr>
          <w:spacing w:val="-6"/>
          <w:sz w:val="22"/>
        </w:rPr>
        <w:t> </w:t>
      </w:r>
      <w:r>
        <w:rPr>
          <w:sz w:val="22"/>
        </w:rPr>
        <w:t>care</w:t>
      </w:r>
      <w:r>
        <w:rPr>
          <w:spacing w:val="-7"/>
          <w:sz w:val="22"/>
        </w:rPr>
        <w:t> </w:t>
      </w:r>
      <w:r>
        <w:rPr>
          <w:spacing w:val="-2"/>
          <w:sz w:val="22"/>
        </w:rPr>
        <w:t>youth.</w:t>
      </w:r>
    </w:p>
    <w:p>
      <w:pPr>
        <w:pStyle w:val="ListParagraph"/>
        <w:numPr>
          <w:ilvl w:val="0"/>
          <w:numId w:val="2"/>
        </w:numPr>
        <w:tabs>
          <w:tab w:pos="1179" w:val="left" w:leader="none"/>
        </w:tabs>
        <w:spacing w:line="240" w:lineRule="auto" w:before="40" w:after="0"/>
        <w:ind w:left="1179" w:right="0" w:hanging="359"/>
        <w:jc w:val="left"/>
        <w:rPr>
          <w:sz w:val="22"/>
        </w:rPr>
      </w:pPr>
      <w:bookmarkStart w:name="2. Protect youth in the foster care syst" w:id="27"/>
      <w:bookmarkEnd w:id="27"/>
      <w:r>
        <w:rPr/>
      </w:r>
      <w:r>
        <w:rPr>
          <w:sz w:val="22"/>
        </w:rPr>
        <w:t>Protect</w:t>
      </w:r>
      <w:r>
        <w:rPr>
          <w:spacing w:val="-8"/>
          <w:sz w:val="22"/>
        </w:rPr>
        <w:t> </w:t>
      </w:r>
      <w:r>
        <w:rPr>
          <w:sz w:val="22"/>
        </w:rPr>
        <w:t>youth</w:t>
      </w:r>
      <w:r>
        <w:rPr>
          <w:spacing w:val="-6"/>
          <w:sz w:val="22"/>
        </w:rPr>
        <w:t> </w:t>
      </w:r>
      <w:r>
        <w:rPr>
          <w:sz w:val="22"/>
        </w:rPr>
        <w:t>in</w:t>
      </w:r>
      <w:r>
        <w:rPr>
          <w:spacing w:val="-6"/>
          <w:sz w:val="22"/>
        </w:rPr>
        <w:t> </w:t>
      </w:r>
      <w:r>
        <w:rPr>
          <w:sz w:val="22"/>
        </w:rPr>
        <w:t>the</w:t>
      </w:r>
      <w:r>
        <w:rPr>
          <w:spacing w:val="-7"/>
          <w:sz w:val="22"/>
        </w:rPr>
        <w:t> </w:t>
      </w:r>
      <w:r>
        <w:rPr>
          <w:sz w:val="22"/>
        </w:rPr>
        <w:t>foster</w:t>
      </w:r>
      <w:r>
        <w:rPr>
          <w:spacing w:val="-6"/>
          <w:sz w:val="22"/>
        </w:rPr>
        <w:t> </w:t>
      </w:r>
      <w:r>
        <w:rPr>
          <w:sz w:val="22"/>
        </w:rPr>
        <w:t>care</w:t>
      </w:r>
      <w:r>
        <w:rPr>
          <w:spacing w:val="-7"/>
          <w:sz w:val="22"/>
        </w:rPr>
        <w:t> </w:t>
      </w:r>
      <w:r>
        <w:rPr>
          <w:sz w:val="22"/>
        </w:rPr>
        <w:t>system</w:t>
      </w:r>
      <w:r>
        <w:rPr>
          <w:spacing w:val="-7"/>
          <w:sz w:val="22"/>
        </w:rPr>
        <w:t> </w:t>
      </w:r>
      <w:r>
        <w:rPr>
          <w:sz w:val="22"/>
        </w:rPr>
        <w:t>from</w:t>
      </w:r>
      <w:r>
        <w:rPr>
          <w:spacing w:val="-7"/>
          <w:sz w:val="22"/>
        </w:rPr>
        <w:t> </w:t>
      </w:r>
      <w:r>
        <w:rPr>
          <w:sz w:val="22"/>
        </w:rPr>
        <w:t>having</w:t>
      </w:r>
      <w:r>
        <w:rPr>
          <w:spacing w:val="-6"/>
          <w:sz w:val="22"/>
        </w:rPr>
        <w:t> </w:t>
      </w:r>
      <w:r>
        <w:rPr>
          <w:sz w:val="22"/>
        </w:rPr>
        <w:t>their</w:t>
      </w:r>
      <w:r>
        <w:rPr>
          <w:spacing w:val="-7"/>
          <w:sz w:val="22"/>
        </w:rPr>
        <w:t> </w:t>
      </w:r>
      <w:r>
        <w:rPr>
          <w:sz w:val="22"/>
        </w:rPr>
        <w:t>federal</w:t>
      </w:r>
      <w:r>
        <w:rPr>
          <w:spacing w:val="-8"/>
          <w:sz w:val="22"/>
        </w:rPr>
        <w:t> </w:t>
      </w:r>
      <w:r>
        <w:rPr>
          <w:sz w:val="22"/>
        </w:rPr>
        <w:t>benefits</w:t>
      </w:r>
      <w:r>
        <w:rPr>
          <w:spacing w:val="-7"/>
          <w:sz w:val="22"/>
        </w:rPr>
        <w:t> </w:t>
      </w:r>
      <w:r>
        <w:rPr>
          <w:sz w:val="22"/>
        </w:rPr>
        <w:t>stripped</w:t>
      </w:r>
      <w:r>
        <w:rPr>
          <w:spacing w:val="-7"/>
          <w:sz w:val="22"/>
        </w:rPr>
        <w:t> </w:t>
      </w:r>
      <w:r>
        <w:rPr>
          <w:spacing w:val="-2"/>
          <w:sz w:val="22"/>
        </w:rPr>
        <w:t>away.</w:t>
      </w:r>
    </w:p>
    <w:p>
      <w:pPr>
        <w:pStyle w:val="ListParagraph"/>
        <w:numPr>
          <w:ilvl w:val="0"/>
          <w:numId w:val="2"/>
        </w:numPr>
        <w:tabs>
          <w:tab w:pos="1179" w:val="left" w:leader="none"/>
        </w:tabs>
        <w:spacing w:line="240" w:lineRule="auto" w:before="40" w:after="0"/>
        <w:ind w:left="1179" w:right="0" w:hanging="359"/>
        <w:jc w:val="left"/>
        <w:rPr>
          <w:sz w:val="22"/>
        </w:rPr>
      </w:pPr>
      <w:bookmarkStart w:name="3. Solidify parental rights for LGBTQ fa" w:id="28"/>
      <w:bookmarkEnd w:id="28"/>
      <w:r>
        <w:rPr/>
      </w:r>
      <w:r>
        <w:rPr>
          <w:sz w:val="22"/>
        </w:rPr>
        <w:t>Solidify</w:t>
      </w:r>
      <w:r>
        <w:rPr>
          <w:spacing w:val="-9"/>
          <w:sz w:val="22"/>
        </w:rPr>
        <w:t> </w:t>
      </w:r>
      <w:r>
        <w:rPr>
          <w:sz w:val="22"/>
        </w:rPr>
        <w:t>parental</w:t>
      </w:r>
      <w:r>
        <w:rPr>
          <w:spacing w:val="-8"/>
          <w:sz w:val="22"/>
        </w:rPr>
        <w:t> </w:t>
      </w:r>
      <w:r>
        <w:rPr>
          <w:sz w:val="22"/>
        </w:rPr>
        <w:t>rights</w:t>
      </w:r>
      <w:r>
        <w:rPr>
          <w:spacing w:val="-8"/>
          <w:sz w:val="22"/>
        </w:rPr>
        <w:t> </w:t>
      </w:r>
      <w:r>
        <w:rPr>
          <w:sz w:val="22"/>
        </w:rPr>
        <w:t>for</w:t>
      </w:r>
      <w:r>
        <w:rPr>
          <w:spacing w:val="-8"/>
          <w:sz w:val="22"/>
        </w:rPr>
        <w:t> </w:t>
      </w:r>
      <w:r>
        <w:rPr>
          <w:sz w:val="22"/>
        </w:rPr>
        <w:t>LGBTQ</w:t>
      </w:r>
      <w:r>
        <w:rPr>
          <w:spacing w:val="-7"/>
          <w:sz w:val="22"/>
        </w:rPr>
        <w:t> </w:t>
      </w:r>
      <w:r>
        <w:rPr>
          <w:spacing w:val="-2"/>
          <w:sz w:val="22"/>
        </w:rPr>
        <w:t>families.</w:t>
      </w:r>
    </w:p>
    <w:p>
      <w:pPr>
        <w:pStyle w:val="ListParagraph"/>
        <w:numPr>
          <w:ilvl w:val="0"/>
          <w:numId w:val="2"/>
        </w:numPr>
        <w:tabs>
          <w:tab w:pos="1179" w:val="left" w:leader="none"/>
        </w:tabs>
        <w:spacing w:line="240" w:lineRule="auto" w:before="41" w:after="0"/>
        <w:ind w:left="1179" w:right="0" w:hanging="359"/>
        <w:jc w:val="left"/>
        <w:rPr>
          <w:sz w:val="22"/>
        </w:rPr>
      </w:pPr>
      <w:r>
        <w:rPr>
          <w:sz w:val="22"/>
        </w:rPr>
        <w:t>Provide</w:t>
      </w:r>
      <w:r>
        <w:rPr>
          <w:spacing w:val="-10"/>
          <w:sz w:val="22"/>
        </w:rPr>
        <w:t> </w:t>
      </w:r>
      <w:r>
        <w:rPr>
          <w:sz w:val="22"/>
        </w:rPr>
        <w:t>mandatory</w:t>
      </w:r>
      <w:r>
        <w:rPr>
          <w:spacing w:val="-9"/>
          <w:sz w:val="22"/>
        </w:rPr>
        <w:t> </w:t>
      </w:r>
      <w:r>
        <w:rPr>
          <w:sz w:val="22"/>
        </w:rPr>
        <w:t>trainings</w:t>
      </w:r>
      <w:r>
        <w:rPr>
          <w:spacing w:val="-10"/>
          <w:sz w:val="22"/>
        </w:rPr>
        <w:t> </w:t>
      </w:r>
      <w:r>
        <w:rPr>
          <w:sz w:val="22"/>
        </w:rPr>
        <w:t>for</w:t>
      </w:r>
      <w:r>
        <w:rPr>
          <w:spacing w:val="-9"/>
          <w:sz w:val="22"/>
        </w:rPr>
        <w:t> </w:t>
      </w:r>
      <w:r>
        <w:rPr>
          <w:sz w:val="22"/>
        </w:rPr>
        <w:t>congregate</w:t>
      </w:r>
      <w:r>
        <w:rPr>
          <w:spacing w:val="-9"/>
          <w:sz w:val="22"/>
        </w:rPr>
        <w:t> </w:t>
      </w:r>
      <w:r>
        <w:rPr>
          <w:sz w:val="22"/>
        </w:rPr>
        <w:t>care</w:t>
      </w:r>
      <w:r>
        <w:rPr>
          <w:spacing w:val="-9"/>
          <w:sz w:val="22"/>
        </w:rPr>
        <w:t> </w:t>
      </w:r>
      <w:r>
        <w:rPr>
          <w:spacing w:val="-2"/>
          <w:sz w:val="22"/>
        </w:rPr>
        <w:t>settings.</w:t>
      </w:r>
    </w:p>
    <w:p>
      <w:pPr>
        <w:pStyle w:val="ListParagraph"/>
        <w:numPr>
          <w:ilvl w:val="0"/>
          <w:numId w:val="2"/>
        </w:numPr>
        <w:tabs>
          <w:tab w:pos="1178" w:val="left" w:leader="none"/>
          <w:tab w:pos="1180" w:val="left" w:leader="none"/>
        </w:tabs>
        <w:spacing w:line="276" w:lineRule="auto" w:before="40" w:after="0"/>
        <w:ind w:left="1180" w:right="640" w:hanging="361"/>
        <w:jc w:val="left"/>
        <w:rPr>
          <w:sz w:val="22"/>
        </w:rPr>
      </w:pPr>
      <w:r>
        <w:rPr>
          <w:sz w:val="22"/>
        </w:rPr>
        <w:t>Create</w:t>
      </w:r>
      <w:r>
        <w:rPr>
          <w:spacing w:val="-1"/>
          <w:sz w:val="22"/>
        </w:rPr>
        <w:t> </w:t>
      </w:r>
      <w:r>
        <w:rPr>
          <w:sz w:val="22"/>
        </w:rPr>
        <w:t>and</w:t>
      </w:r>
      <w:r>
        <w:rPr>
          <w:spacing w:val="-1"/>
          <w:sz w:val="22"/>
        </w:rPr>
        <w:t> </w:t>
      </w:r>
      <w:r>
        <w:rPr>
          <w:sz w:val="22"/>
        </w:rPr>
        <w:t>provide</w:t>
      </w:r>
      <w:r>
        <w:rPr>
          <w:spacing w:val="-1"/>
          <w:sz w:val="22"/>
        </w:rPr>
        <w:t> </w:t>
      </w:r>
      <w:r>
        <w:rPr>
          <w:sz w:val="22"/>
        </w:rPr>
        <w:t>training</w:t>
      </w:r>
      <w:r>
        <w:rPr>
          <w:spacing w:val="-1"/>
          <w:sz w:val="22"/>
        </w:rPr>
        <w:t> </w:t>
      </w:r>
      <w:r>
        <w:rPr>
          <w:sz w:val="22"/>
        </w:rPr>
        <w:t>opportunities for young people</w:t>
      </w:r>
      <w:r>
        <w:rPr>
          <w:spacing w:val="-1"/>
          <w:sz w:val="22"/>
        </w:rPr>
        <w:t> </w:t>
      </w:r>
      <w:r>
        <w:rPr>
          <w:sz w:val="22"/>
        </w:rPr>
        <w:t>and caregivers involved</w:t>
      </w:r>
      <w:r>
        <w:rPr>
          <w:spacing w:val="-1"/>
          <w:sz w:val="22"/>
        </w:rPr>
        <w:t> </w:t>
      </w:r>
      <w:r>
        <w:rPr>
          <w:sz w:val="22"/>
        </w:rPr>
        <w:t>with the child welfare system.</w:t>
      </w:r>
    </w:p>
    <w:p>
      <w:pPr>
        <w:pStyle w:val="ListParagraph"/>
        <w:numPr>
          <w:ilvl w:val="0"/>
          <w:numId w:val="2"/>
        </w:numPr>
        <w:tabs>
          <w:tab w:pos="1179" w:val="left" w:leader="none"/>
        </w:tabs>
        <w:spacing w:line="240" w:lineRule="auto" w:before="0" w:after="0"/>
        <w:ind w:left="1179" w:right="0" w:hanging="359"/>
        <w:jc w:val="left"/>
        <w:rPr>
          <w:sz w:val="22"/>
        </w:rPr>
      </w:pPr>
      <w:r>
        <w:rPr>
          <w:sz w:val="22"/>
        </w:rPr>
        <w:t>Review</w:t>
      </w:r>
      <w:r>
        <w:rPr>
          <w:spacing w:val="-10"/>
          <w:sz w:val="22"/>
        </w:rPr>
        <w:t> </w:t>
      </w:r>
      <w:r>
        <w:rPr>
          <w:sz w:val="22"/>
        </w:rPr>
        <w:t>and</w:t>
      </w:r>
      <w:r>
        <w:rPr>
          <w:spacing w:val="-8"/>
          <w:sz w:val="22"/>
        </w:rPr>
        <w:t> </w:t>
      </w:r>
      <w:r>
        <w:rPr>
          <w:sz w:val="22"/>
        </w:rPr>
        <w:t>update</w:t>
      </w:r>
      <w:r>
        <w:rPr>
          <w:spacing w:val="-8"/>
          <w:sz w:val="22"/>
        </w:rPr>
        <w:t> </w:t>
      </w:r>
      <w:r>
        <w:rPr>
          <w:sz w:val="22"/>
        </w:rPr>
        <w:t>quality</w:t>
      </w:r>
      <w:r>
        <w:rPr>
          <w:spacing w:val="-10"/>
          <w:sz w:val="22"/>
        </w:rPr>
        <w:t> </w:t>
      </w:r>
      <w:r>
        <w:rPr>
          <w:sz w:val="22"/>
        </w:rPr>
        <w:t>assurance</w:t>
      </w:r>
      <w:r>
        <w:rPr>
          <w:spacing w:val="-9"/>
          <w:sz w:val="22"/>
        </w:rPr>
        <w:t> </w:t>
      </w:r>
      <w:r>
        <w:rPr>
          <w:sz w:val="22"/>
        </w:rPr>
        <w:t>and</w:t>
      </w:r>
      <w:r>
        <w:rPr>
          <w:spacing w:val="-9"/>
          <w:sz w:val="22"/>
        </w:rPr>
        <w:t> </w:t>
      </w:r>
      <w:r>
        <w:rPr>
          <w:sz w:val="22"/>
        </w:rPr>
        <w:t>improvement</w:t>
      </w:r>
      <w:r>
        <w:rPr>
          <w:spacing w:val="-9"/>
          <w:sz w:val="22"/>
        </w:rPr>
        <w:t> </w:t>
      </w:r>
      <w:r>
        <w:rPr>
          <w:spacing w:val="-2"/>
          <w:sz w:val="22"/>
        </w:rPr>
        <w:t>procedures.</w:t>
      </w:r>
    </w:p>
    <w:p>
      <w:pPr>
        <w:pStyle w:val="ListParagraph"/>
        <w:numPr>
          <w:ilvl w:val="0"/>
          <w:numId w:val="2"/>
        </w:numPr>
        <w:tabs>
          <w:tab w:pos="1179" w:val="left" w:leader="none"/>
        </w:tabs>
        <w:spacing w:line="240" w:lineRule="auto" w:before="40" w:after="0"/>
        <w:ind w:left="1179" w:right="0" w:hanging="359"/>
        <w:jc w:val="left"/>
        <w:rPr>
          <w:sz w:val="22"/>
        </w:rPr>
      </w:pPr>
      <w:bookmarkStart w:name="7. Establish an independent foster care " w:id="29"/>
      <w:bookmarkEnd w:id="29"/>
      <w:r>
        <w:rPr/>
      </w:r>
      <w:r>
        <w:rPr>
          <w:sz w:val="22"/>
        </w:rPr>
        <w:t>Establish</w:t>
      </w:r>
      <w:r>
        <w:rPr>
          <w:spacing w:val="-9"/>
          <w:sz w:val="22"/>
        </w:rPr>
        <w:t> </w:t>
      </w:r>
      <w:r>
        <w:rPr>
          <w:sz w:val="22"/>
        </w:rPr>
        <w:t>an</w:t>
      </w:r>
      <w:r>
        <w:rPr>
          <w:spacing w:val="-7"/>
          <w:sz w:val="22"/>
        </w:rPr>
        <w:t> </w:t>
      </w:r>
      <w:r>
        <w:rPr>
          <w:sz w:val="22"/>
        </w:rPr>
        <w:t>independent</w:t>
      </w:r>
      <w:r>
        <w:rPr>
          <w:spacing w:val="-8"/>
          <w:sz w:val="22"/>
        </w:rPr>
        <w:t> </w:t>
      </w:r>
      <w:r>
        <w:rPr>
          <w:sz w:val="22"/>
        </w:rPr>
        <w:t>foster</w:t>
      </w:r>
      <w:r>
        <w:rPr>
          <w:spacing w:val="-8"/>
          <w:sz w:val="22"/>
        </w:rPr>
        <w:t> </w:t>
      </w:r>
      <w:r>
        <w:rPr>
          <w:sz w:val="22"/>
        </w:rPr>
        <w:t>care</w:t>
      </w:r>
      <w:r>
        <w:rPr>
          <w:spacing w:val="-8"/>
          <w:sz w:val="22"/>
        </w:rPr>
        <w:t> </w:t>
      </w:r>
      <w:r>
        <w:rPr>
          <w:sz w:val="22"/>
        </w:rPr>
        <w:t>review</w:t>
      </w:r>
      <w:r>
        <w:rPr>
          <w:spacing w:val="-8"/>
          <w:sz w:val="22"/>
        </w:rPr>
        <w:t> </w:t>
      </w:r>
      <w:r>
        <w:rPr>
          <w:spacing w:val="-2"/>
          <w:sz w:val="22"/>
        </w:rPr>
        <w:t>office.</w:t>
      </w:r>
    </w:p>
    <w:p>
      <w:pPr>
        <w:pStyle w:val="ListParagraph"/>
        <w:numPr>
          <w:ilvl w:val="0"/>
          <w:numId w:val="2"/>
        </w:numPr>
        <w:tabs>
          <w:tab w:pos="1179" w:val="left" w:leader="none"/>
          <w:tab w:pos="1181" w:val="left" w:leader="none"/>
        </w:tabs>
        <w:spacing w:line="276" w:lineRule="auto" w:before="41" w:after="0"/>
        <w:ind w:left="1181" w:right="637" w:hanging="361"/>
        <w:jc w:val="left"/>
        <w:rPr>
          <w:sz w:val="22"/>
        </w:rPr>
      </w:pPr>
      <w:bookmarkStart w:name="8. Explore the creation of an LGBTQ yout" w:id="30"/>
      <w:bookmarkEnd w:id="30"/>
      <w:r>
        <w:rPr/>
      </w:r>
      <w:r>
        <w:rPr>
          <w:sz w:val="22"/>
        </w:rPr>
        <w:t>Explore</w:t>
      </w:r>
      <w:r>
        <w:rPr>
          <w:spacing w:val="-7"/>
          <w:sz w:val="22"/>
        </w:rPr>
        <w:t> </w:t>
      </w:r>
      <w:r>
        <w:rPr>
          <w:sz w:val="22"/>
        </w:rPr>
        <w:t>the</w:t>
      </w:r>
      <w:r>
        <w:rPr>
          <w:spacing w:val="-7"/>
          <w:sz w:val="22"/>
        </w:rPr>
        <w:t> </w:t>
      </w:r>
      <w:r>
        <w:rPr>
          <w:sz w:val="22"/>
        </w:rPr>
        <w:t>creation</w:t>
      </w:r>
      <w:r>
        <w:rPr>
          <w:spacing w:val="-8"/>
          <w:sz w:val="22"/>
        </w:rPr>
        <w:t> </w:t>
      </w:r>
      <w:r>
        <w:rPr>
          <w:sz w:val="22"/>
        </w:rPr>
        <w:t>of</w:t>
      </w:r>
      <w:r>
        <w:rPr>
          <w:spacing w:val="-7"/>
          <w:sz w:val="22"/>
        </w:rPr>
        <w:t> </w:t>
      </w:r>
      <w:r>
        <w:rPr>
          <w:sz w:val="22"/>
        </w:rPr>
        <w:t>an</w:t>
      </w:r>
      <w:r>
        <w:rPr>
          <w:spacing w:val="-8"/>
          <w:sz w:val="22"/>
        </w:rPr>
        <w:t> </w:t>
      </w:r>
      <w:r>
        <w:rPr>
          <w:sz w:val="22"/>
        </w:rPr>
        <w:t>LGBTQ</w:t>
      </w:r>
      <w:r>
        <w:rPr>
          <w:spacing w:val="-8"/>
          <w:sz w:val="22"/>
        </w:rPr>
        <w:t> </w:t>
      </w:r>
      <w:r>
        <w:rPr>
          <w:sz w:val="22"/>
        </w:rPr>
        <w:t>youth</w:t>
      </w:r>
      <w:r>
        <w:rPr>
          <w:spacing w:val="-7"/>
          <w:sz w:val="22"/>
        </w:rPr>
        <w:t> </w:t>
      </w:r>
      <w:r>
        <w:rPr>
          <w:sz w:val="22"/>
        </w:rPr>
        <w:t>maltreatment</w:t>
      </w:r>
      <w:r>
        <w:rPr>
          <w:spacing w:val="-8"/>
          <w:sz w:val="22"/>
        </w:rPr>
        <w:t> </w:t>
      </w:r>
      <w:r>
        <w:rPr>
          <w:sz w:val="22"/>
        </w:rPr>
        <w:t>code</w:t>
      </w:r>
      <w:r>
        <w:rPr>
          <w:spacing w:val="-8"/>
          <w:sz w:val="22"/>
        </w:rPr>
        <w:t> </w:t>
      </w:r>
      <w:r>
        <w:rPr>
          <w:sz w:val="22"/>
        </w:rPr>
        <w:t>system</w:t>
      </w:r>
      <w:r>
        <w:rPr>
          <w:spacing w:val="-8"/>
          <w:sz w:val="22"/>
        </w:rPr>
        <w:t> </w:t>
      </w:r>
      <w:r>
        <w:rPr>
          <w:sz w:val="22"/>
        </w:rPr>
        <w:t>within</w:t>
      </w:r>
      <w:r>
        <w:rPr>
          <w:spacing w:val="-8"/>
          <w:sz w:val="22"/>
        </w:rPr>
        <w:t> </w:t>
      </w:r>
      <w:r>
        <w:rPr>
          <w:sz w:val="22"/>
        </w:rPr>
        <w:t>the</w:t>
      </w:r>
      <w:r>
        <w:rPr>
          <w:spacing w:val="-7"/>
          <w:sz w:val="22"/>
        </w:rPr>
        <w:t> </w:t>
      </w:r>
      <w:r>
        <w:rPr>
          <w:sz w:val="22"/>
        </w:rPr>
        <w:t>Department</w:t>
      </w:r>
      <w:r>
        <w:rPr>
          <w:spacing w:val="-7"/>
          <w:sz w:val="22"/>
        </w:rPr>
        <w:t> </w:t>
      </w:r>
      <w:r>
        <w:rPr>
          <w:sz w:val="22"/>
        </w:rPr>
        <w:t>of Children and Families.</w:t>
      </w:r>
    </w:p>
    <w:p>
      <w:pPr>
        <w:pStyle w:val="ListParagraph"/>
        <w:numPr>
          <w:ilvl w:val="0"/>
          <w:numId w:val="2"/>
        </w:numPr>
        <w:tabs>
          <w:tab w:pos="1179" w:val="left" w:leader="none"/>
          <w:tab w:pos="1181" w:val="left" w:leader="none"/>
        </w:tabs>
        <w:spacing w:line="276" w:lineRule="auto" w:before="0" w:after="0"/>
        <w:ind w:left="1181" w:right="635" w:hanging="361"/>
        <w:jc w:val="left"/>
        <w:rPr>
          <w:sz w:val="22"/>
        </w:rPr>
      </w:pPr>
      <w:bookmarkStart w:name="9. Update Chapter 119, Section 89 of the" w:id="31"/>
      <w:bookmarkEnd w:id="31"/>
      <w:r>
        <w:rPr/>
      </w:r>
      <w:r>
        <w:rPr>
          <w:sz w:val="22"/>
        </w:rPr>
        <w:t>Update</w:t>
      </w:r>
      <w:r>
        <w:rPr>
          <w:spacing w:val="75"/>
          <w:sz w:val="22"/>
        </w:rPr>
        <w:t> </w:t>
      </w:r>
      <w:r>
        <w:rPr>
          <w:sz w:val="22"/>
        </w:rPr>
        <w:t>Chapter</w:t>
      </w:r>
      <w:r>
        <w:rPr>
          <w:spacing w:val="75"/>
          <w:sz w:val="22"/>
        </w:rPr>
        <w:t> </w:t>
      </w:r>
      <w:r>
        <w:rPr>
          <w:sz w:val="22"/>
        </w:rPr>
        <w:t>119,</w:t>
      </w:r>
      <w:r>
        <w:rPr>
          <w:spacing w:val="75"/>
          <w:sz w:val="22"/>
        </w:rPr>
        <w:t> </w:t>
      </w:r>
      <w:r>
        <w:rPr>
          <w:sz w:val="22"/>
        </w:rPr>
        <w:t>Section</w:t>
      </w:r>
      <w:r>
        <w:rPr>
          <w:spacing w:val="75"/>
          <w:sz w:val="22"/>
        </w:rPr>
        <w:t> </w:t>
      </w:r>
      <w:r>
        <w:rPr>
          <w:sz w:val="22"/>
        </w:rPr>
        <w:t>89</w:t>
      </w:r>
      <w:r>
        <w:rPr>
          <w:spacing w:val="75"/>
          <w:sz w:val="22"/>
        </w:rPr>
        <w:t> </w:t>
      </w:r>
      <w:r>
        <w:rPr>
          <w:sz w:val="22"/>
        </w:rPr>
        <w:t>of</w:t>
      </w:r>
      <w:r>
        <w:rPr>
          <w:spacing w:val="76"/>
          <w:sz w:val="22"/>
        </w:rPr>
        <w:t> </w:t>
      </w:r>
      <w:r>
        <w:rPr>
          <w:sz w:val="22"/>
        </w:rPr>
        <w:t>the</w:t>
      </w:r>
      <w:r>
        <w:rPr>
          <w:spacing w:val="75"/>
          <w:sz w:val="22"/>
        </w:rPr>
        <w:t> </w:t>
      </w:r>
      <w:r>
        <w:rPr>
          <w:sz w:val="22"/>
        </w:rPr>
        <w:t>Massachusetts</w:t>
      </w:r>
      <w:r>
        <w:rPr>
          <w:spacing w:val="76"/>
          <w:sz w:val="22"/>
        </w:rPr>
        <w:t> </w:t>
      </w:r>
      <w:r>
        <w:rPr>
          <w:sz w:val="22"/>
        </w:rPr>
        <w:t>General</w:t>
      </w:r>
      <w:r>
        <w:rPr>
          <w:spacing w:val="75"/>
          <w:sz w:val="22"/>
        </w:rPr>
        <w:t> </w:t>
      </w:r>
      <w:r>
        <w:rPr>
          <w:sz w:val="22"/>
        </w:rPr>
        <w:t>Laws</w:t>
      </w:r>
      <w:r>
        <w:rPr>
          <w:spacing w:val="75"/>
          <w:sz w:val="22"/>
        </w:rPr>
        <w:t> </w:t>
      </w:r>
      <w:r>
        <w:rPr>
          <w:sz w:val="22"/>
        </w:rPr>
        <w:t>to</w:t>
      </w:r>
      <w:r>
        <w:rPr>
          <w:spacing w:val="75"/>
          <w:sz w:val="22"/>
        </w:rPr>
        <w:t> </w:t>
      </w:r>
      <w:r>
        <w:rPr>
          <w:sz w:val="22"/>
        </w:rPr>
        <w:t>include</w:t>
      </w:r>
      <w:r>
        <w:rPr>
          <w:spacing w:val="75"/>
          <w:sz w:val="22"/>
        </w:rPr>
        <w:t> </w:t>
      </w:r>
      <w:r>
        <w:rPr>
          <w:sz w:val="22"/>
        </w:rPr>
        <w:t>the Commission on the Juvenile Justice Policy and Data Board as a voting member.</w:t>
      </w:r>
    </w:p>
    <w:p>
      <w:pPr>
        <w:pStyle w:val="ListParagraph"/>
        <w:numPr>
          <w:ilvl w:val="0"/>
          <w:numId w:val="2"/>
        </w:numPr>
        <w:tabs>
          <w:tab w:pos="1180" w:val="left" w:leader="none"/>
        </w:tabs>
        <w:spacing w:line="240" w:lineRule="auto" w:before="0" w:after="0"/>
        <w:ind w:left="1180" w:right="0" w:hanging="359"/>
        <w:jc w:val="left"/>
        <w:rPr>
          <w:sz w:val="22"/>
        </w:rPr>
      </w:pPr>
      <w:bookmarkStart w:name="10. Codify the foster child bill of righ" w:id="32"/>
      <w:bookmarkEnd w:id="32"/>
      <w:r>
        <w:rPr/>
      </w:r>
      <w:r>
        <w:rPr>
          <w:sz w:val="22"/>
        </w:rPr>
        <w:t>Codify</w:t>
      </w:r>
      <w:r>
        <w:rPr>
          <w:spacing w:val="-7"/>
          <w:sz w:val="22"/>
        </w:rPr>
        <w:t> </w:t>
      </w:r>
      <w:r>
        <w:rPr>
          <w:sz w:val="22"/>
        </w:rPr>
        <w:t>the</w:t>
      </w:r>
      <w:r>
        <w:rPr>
          <w:spacing w:val="-5"/>
          <w:sz w:val="22"/>
        </w:rPr>
        <w:t> </w:t>
      </w:r>
      <w:r>
        <w:rPr>
          <w:sz w:val="22"/>
        </w:rPr>
        <w:t>foster</w:t>
      </w:r>
      <w:r>
        <w:rPr>
          <w:spacing w:val="-6"/>
          <w:sz w:val="22"/>
        </w:rPr>
        <w:t> </w:t>
      </w:r>
      <w:r>
        <w:rPr>
          <w:sz w:val="22"/>
        </w:rPr>
        <w:t>child</w:t>
      </w:r>
      <w:r>
        <w:rPr>
          <w:spacing w:val="-5"/>
          <w:sz w:val="22"/>
        </w:rPr>
        <w:t> </w:t>
      </w:r>
      <w:r>
        <w:rPr>
          <w:sz w:val="22"/>
        </w:rPr>
        <w:t>bill</w:t>
      </w:r>
      <w:r>
        <w:rPr>
          <w:spacing w:val="-6"/>
          <w:sz w:val="22"/>
        </w:rPr>
        <w:t> </w:t>
      </w:r>
      <w:r>
        <w:rPr>
          <w:sz w:val="22"/>
        </w:rPr>
        <w:t>of</w:t>
      </w:r>
      <w:r>
        <w:rPr>
          <w:spacing w:val="-6"/>
          <w:sz w:val="22"/>
        </w:rPr>
        <w:t> </w:t>
      </w:r>
      <w:r>
        <w:rPr>
          <w:sz w:val="22"/>
        </w:rPr>
        <w:t>rights</w:t>
      </w:r>
      <w:r>
        <w:rPr>
          <w:spacing w:val="-6"/>
          <w:sz w:val="22"/>
        </w:rPr>
        <w:t> </w:t>
      </w:r>
      <w:r>
        <w:rPr>
          <w:sz w:val="22"/>
        </w:rPr>
        <w:t>in</w:t>
      </w:r>
      <w:r>
        <w:rPr>
          <w:spacing w:val="-6"/>
          <w:sz w:val="22"/>
        </w:rPr>
        <w:t> </w:t>
      </w:r>
      <w:r>
        <w:rPr>
          <w:sz w:val="22"/>
        </w:rPr>
        <w:t>state</w:t>
      </w:r>
      <w:r>
        <w:rPr>
          <w:spacing w:val="-6"/>
          <w:sz w:val="22"/>
        </w:rPr>
        <w:t> </w:t>
      </w:r>
      <w:r>
        <w:rPr>
          <w:spacing w:val="-4"/>
          <w:sz w:val="22"/>
        </w:rPr>
        <w:t>law.</w:t>
      </w:r>
    </w:p>
    <w:p>
      <w:pPr>
        <w:pStyle w:val="ListParagraph"/>
        <w:numPr>
          <w:ilvl w:val="0"/>
          <w:numId w:val="2"/>
        </w:numPr>
        <w:tabs>
          <w:tab w:pos="1179" w:val="left" w:leader="none"/>
          <w:tab w:pos="1181" w:val="left" w:leader="none"/>
        </w:tabs>
        <w:spacing w:line="276" w:lineRule="auto" w:before="39" w:after="0"/>
        <w:ind w:left="1181" w:right="636" w:hanging="361"/>
        <w:jc w:val="left"/>
        <w:rPr>
          <w:sz w:val="22"/>
        </w:rPr>
      </w:pPr>
      <w:bookmarkStart w:name="11. Improve Massachusetts child abuse la" w:id="33"/>
      <w:bookmarkEnd w:id="33"/>
      <w:r>
        <w:rPr/>
      </w:r>
      <w:r>
        <w:rPr>
          <w:sz w:val="22"/>
        </w:rPr>
        <w:t>Improve</w:t>
      </w:r>
      <w:r>
        <w:rPr>
          <w:spacing w:val="35"/>
          <w:sz w:val="22"/>
        </w:rPr>
        <w:t> </w:t>
      </w:r>
      <w:r>
        <w:rPr>
          <w:sz w:val="22"/>
        </w:rPr>
        <w:t>Massachusetts</w:t>
      </w:r>
      <w:r>
        <w:rPr>
          <w:spacing w:val="37"/>
          <w:sz w:val="22"/>
        </w:rPr>
        <w:t> </w:t>
      </w:r>
      <w:r>
        <w:rPr>
          <w:sz w:val="22"/>
        </w:rPr>
        <w:t>child</w:t>
      </w:r>
      <w:r>
        <w:rPr>
          <w:spacing w:val="35"/>
          <w:sz w:val="22"/>
        </w:rPr>
        <w:t> </w:t>
      </w:r>
      <w:r>
        <w:rPr>
          <w:sz w:val="22"/>
        </w:rPr>
        <w:t>abuse</w:t>
      </w:r>
      <w:r>
        <w:rPr>
          <w:spacing w:val="36"/>
          <w:sz w:val="22"/>
        </w:rPr>
        <w:t> </w:t>
      </w:r>
      <w:r>
        <w:rPr>
          <w:sz w:val="22"/>
        </w:rPr>
        <w:t>laws</w:t>
      </w:r>
      <w:r>
        <w:rPr>
          <w:spacing w:val="35"/>
          <w:sz w:val="22"/>
        </w:rPr>
        <w:t> </w:t>
      </w:r>
      <w:r>
        <w:rPr>
          <w:sz w:val="22"/>
        </w:rPr>
        <w:t>to</w:t>
      </w:r>
      <w:r>
        <w:rPr>
          <w:spacing w:val="35"/>
          <w:sz w:val="22"/>
        </w:rPr>
        <w:t> </w:t>
      </w:r>
      <w:r>
        <w:rPr>
          <w:sz w:val="22"/>
        </w:rPr>
        <w:t>explicitly</w:t>
      </w:r>
      <w:r>
        <w:rPr>
          <w:spacing w:val="35"/>
          <w:sz w:val="22"/>
        </w:rPr>
        <w:t> </w:t>
      </w:r>
      <w:r>
        <w:rPr>
          <w:sz w:val="22"/>
        </w:rPr>
        <w:t>include</w:t>
      </w:r>
      <w:r>
        <w:rPr>
          <w:spacing w:val="36"/>
          <w:sz w:val="22"/>
        </w:rPr>
        <w:t> </w:t>
      </w:r>
      <w:r>
        <w:rPr>
          <w:sz w:val="22"/>
        </w:rPr>
        <w:t>the</w:t>
      </w:r>
      <w:r>
        <w:rPr>
          <w:spacing w:val="35"/>
          <w:sz w:val="22"/>
        </w:rPr>
        <w:t> </w:t>
      </w:r>
      <w:r>
        <w:rPr>
          <w:sz w:val="22"/>
        </w:rPr>
        <w:t>withholding</w:t>
      </w:r>
      <w:r>
        <w:rPr>
          <w:spacing w:val="35"/>
          <w:sz w:val="22"/>
        </w:rPr>
        <w:t> </w:t>
      </w:r>
      <w:r>
        <w:rPr>
          <w:sz w:val="22"/>
        </w:rPr>
        <w:t>of</w:t>
      </w:r>
      <w:r>
        <w:rPr>
          <w:spacing w:val="35"/>
          <w:sz w:val="22"/>
        </w:rPr>
        <w:t> </w:t>
      </w:r>
      <w:r>
        <w:rPr>
          <w:sz w:val="22"/>
        </w:rPr>
        <w:t>gender- affirming care for LGBTQ youth.</w:t>
      </w:r>
    </w:p>
    <w:p>
      <w:pPr>
        <w:pStyle w:val="ListParagraph"/>
        <w:numPr>
          <w:ilvl w:val="0"/>
          <w:numId w:val="2"/>
        </w:numPr>
        <w:tabs>
          <w:tab w:pos="1179" w:val="left" w:leader="none"/>
          <w:tab w:pos="1181" w:val="left" w:leader="none"/>
        </w:tabs>
        <w:spacing w:line="276" w:lineRule="auto" w:before="0" w:after="0"/>
        <w:ind w:left="1181" w:right="638" w:hanging="361"/>
        <w:jc w:val="left"/>
        <w:rPr>
          <w:sz w:val="22"/>
        </w:rPr>
      </w:pPr>
      <w:bookmarkStart w:name="12. Introduce the legislation needed to " w:id="34"/>
      <w:bookmarkEnd w:id="34"/>
      <w:r>
        <w:rPr/>
      </w:r>
      <w:r>
        <w:rPr>
          <w:sz w:val="22"/>
        </w:rPr>
        <w:t>Introduce the legislation needed to bring Massachusetts up to minimum standards of the</w:t>
      </w:r>
      <w:r>
        <w:rPr>
          <w:spacing w:val="80"/>
          <w:sz w:val="22"/>
        </w:rPr>
        <w:t> </w:t>
      </w:r>
      <w:r>
        <w:rPr>
          <w:sz w:val="22"/>
        </w:rPr>
        <w:t>United Nations Convention on the Rights of the Child.</w:t>
      </w:r>
    </w:p>
    <w:p>
      <w:pPr>
        <w:spacing w:after="0" w:line="276" w:lineRule="auto"/>
        <w:jc w:val="left"/>
        <w:rPr>
          <w:sz w:val="22"/>
        </w:rPr>
        <w:sectPr>
          <w:headerReference w:type="default" r:id="rId20"/>
          <w:footerReference w:type="default" r:id="rId21"/>
          <w:pgSz w:w="12240" w:h="15840"/>
          <w:pgMar w:header="0" w:footer="1061" w:top="1160" w:bottom="1260" w:left="980" w:right="1160"/>
        </w:sectPr>
      </w:pPr>
    </w:p>
    <w:p>
      <w:pPr>
        <w:spacing w:before="29"/>
        <w:ind w:left="604" w:right="0" w:firstLine="0"/>
        <w:jc w:val="both"/>
        <w:rPr>
          <w:sz w:val="28"/>
        </w:rPr>
      </w:pPr>
      <w:bookmarkStart w:name="Belonging in Education: Supporting LGBTQ" w:id="35"/>
      <w:bookmarkEnd w:id="35"/>
      <w:r>
        <w:rPr/>
      </w:r>
      <w:r>
        <w:rPr>
          <w:color w:val="365F91"/>
          <w:sz w:val="28"/>
        </w:rPr>
        <w:t>Belonging</w:t>
      </w:r>
      <w:r>
        <w:rPr>
          <w:color w:val="365F91"/>
          <w:spacing w:val="-10"/>
          <w:sz w:val="28"/>
        </w:rPr>
        <w:t> </w:t>
      </w:r>
      <w:r>
        <w:rPr>
          <w:color w:val="365F91"/>
          <w:sz w:val="28"/>
        </w:rPr>
        <w:t>in</w:t>
      </w:r>
      <w:r>
        <w:rPr>
          <w:color w:val="365F91"/>
          <w:spacing w:val="-10"/>
          <w:sz w:val="28"/>
        </w:rPr>
        <w:t> </w:t>
      </w:r>
      <w:r>
        <w:rPr>
          <w:color w:val="365F91"/>
          <w:sz w:val="28"/>
        </w:rPr>
        <w:t>Education:</w:t>
      </w:r>
      <w:r>
        <w:rPr>
          <w:color w:val="365F91"/>
          <w:spacing w:val="-11"/>
          <w:sz w:val="28"/>
        </w:rPr>
        <w:t> </w:t>
      </w:r>
      <w:r>
        <w:rPr>
          <w:color w:val="365F91"/>
          <w:sz w:val="28"/>
        </w:rPr>
        <w:t>Supporting</w:t>
      </w:r>
      <w:r>
        <w:rPr>
          <w:color w:val="365F91"/>
          <w:spacing w:val="-10"/>
          <w:sz w:val="28"/>
        </w:rPr>
        <w:t> </w:t>
      </w:r>
      <w:r>
        <w:rPr>
          <w:color w:val="365F91"/>
          <w:sz w:val="28"/>
        </w:rPr>
        <w:t>LGBTQ</w:t>
      </w:r>
      <w:r>
        <w:rPr>
          <w:color w:val="365F91"/>
          <w:spacing w:val="-9"/>
          <w:sz w:val="28"/>
        </w:rPr>
        <w:t> </w:t>
      </w:r>
      <w:r>
        <w:rPr>
          <w:color w:val="365F91"/>
          <w:sz w:val="28"/>
        </w:rPr>
        <w:t>Youth</w:t>
      </w:r>
      <w:r>
        <w:rPr>
          <w:color w:val="365F91"/>
          <w:spacing w:val="-11"/>
          <w:sz w:val="28"/>
        </w:rPr>
        <w:t> </w:t>
      </w:r>
      <w:r>
        <w:rPr>
          <w:color w:val="365F91"/>
          <w:sz w:val="28"/>
        </w:rPr>
        <w:t>in</w:t>
      </w:r>
      <w:r>
        <w:rPr>
          <w:color w:val="365F91"/>
          <w:spacing w:val="-9"/>
          <w:sz w:val="28"/>
        </w:rPr>
        <w:t> </w:t>
      </w:r>
      <w:r>
        <w:rPr>
          <w:color w:val="365F91"/>
          <w:sz w:val="28"/>
        </w:rPr>
        <w:t>Schools</w:t>
      </w:r>
      <w:r>
        <w:rPr>
          <w:color w:val="365F91"/>
          <w:spacing w:val="-10"/>
          <w:sz w:val="28"/>
        </w:rPr>
        <w:t> </w:t>
      </w:r>
      <w:r>
        <w:rPr>
          <w:color w:val="365F91"/>
          <w:spacing w:val="-2"/>
          <w:sz w:val="28"/>
        </w:rPr>
        <w:t>(2024)</w:t>
      </w:r>
    </w:p>
    <w:p>
      <w:pPr>
        <w:pStyle w:val="BodyText"/>
        <w:spacing w:line="276" w:lineRule="auto" w:before="241"/>
        <w:ind w:left="604" w:right="420"/>
        <w:jc w:val="both"/>
      </w:pPr>
      <w:r>
        <w:rPr/>
        <w:t>Following</w:t>
      </w:r>
      <w:r>
        <w:rPr>
          <w:spacing w:val="-9"/>
        </w:rPr>
        <w:t> </w:t>
      </w:r>
      <w:r>
        <w:rPr/>
        <w:t>the</w:t>
      </w:r>
      <w:r>
        <w:rPr>
          <w:spacing w:val="-9"/>
        </w:rPr>
        <w:t> </w:t>
      </w:r>
      <w:r>
        <w:rPr/>
        <w:t>Commission’s</w:t>
      </w:r>
      <w:r>
        <w:rPr>
          <w:spacing w:val="-9"/>
        </w:rPr>
        <w:t> </w:t>
      </w:r>
      <w:r>
        <w:rPr/>
        <w:t>report</w:t>
      </w:r>
      <w:r>
        <w:rPr>
          <w:spacing w:val="-9"/>
        </w:rPr>
        <w:t> </w:t>
      </w:r>
      <w:r>
        <w:rPr/>
        <w:t>on</w:t>
      </w:r>
      <w:r>
        <w:rPr>
          <w:spacing w:val="-9"/>
        </w:rPr>
        <w:t> </w:t>
      </w:r>
      <w:r>
        <w:rPr/>
        <w:t>child</w:t>
      </w:r>
      <w:r>
        <w:rPr>
          <w:spacing w:val="-10"/>
        </w:rPr>
        <w:t> </w:t>
      </w:r>
      <w:r>
        <w:rPr/>
        <w:t>welfare</w:t>
      </w:r>
      <w:r>
        <w:rPr>
          <w:spacing w:val="-10"/>
        </w:rPr>
        <w:t> </w:t>
      </w:r>
      <w:r>
        <w:rPr/>
        <w:t>and</w:t>
      </w:r>
      <w:r>
        <w:rPr>
          <w:spacing w:val="-10"/>
        </w:rPr>
        <w:t> </w:t>
      </w:r>
      <w:r>
        <w:rPr/>
        <w:t>well-being,</w:t>
      </w:r>
      <w:r>
        <w:rPr>
          <w:spacing w:val="-8"/>
        </w:rPr>
        <w:t> </w:t>
      </w:r>
      <w:r>
        <w:rPr/>
        <w:t>this</w:t>
      </w:r>
      <w:r>
        <w:rPr>
          <w:spacing w:val="-9"/>
        </w:rPr>
        <w:t> </w:t>
      </w:r>
      <w:r>
        <w:rPr/>
        <w:t>report</w:t>
      </w:r>
      <w:r>
        <w:rPr>
          <w:spacing w:val="-9"/>
        </w:rPr>
        <w:t> </w:t>
      </w:r>
      <w:r>
        <w:rPr/>
        <w:t>on</w:t>
      </w:r>
      <w:r>
        <w:rPr>
          <w:spacing w:val="-9"/>
        </w:rPr>
        <w:t> </w:t>
      </w:r>
      <w:r>
        <w:rPr/>
        <w:t>education</w:t>
      </w:r>
      <w:r>
        <w:rPr>
          <w:spacing w:val="-8"/>
        </w:rPr>
        <w:t> </w:t>
      </w:r>
      <w:r>
        <w:rPr/>
        <w:t>highlights key local and national findings that illustrate proven methods to create safer and supportive schools for LGBTQ youth, families, and educators.</w:t>
      </w:r>
    </w:p>
    <w:p>
      <w:pPr>
        <w:spacing w:line="276" w:lineRule="auto" w:before="240"/>
        <w:ind w:left="563" w:right="380" w:firstLine="0"/>
        <w:jc w:val="center"/>
        <w:rPr>
          <w:i/>
          <w:sz w:val="22"/>
        </w:rPr>
      </w:pPr>
      <w:r>
        <w:rPr>
          <w:i/>
          <w:color w:val="1F487C"/>
          <w:sz w:val="22"/>
        </w:rPr>
        <w:t>"School</w:t>
      </w:r>
      <w:r>
        <w:rPr>
          <w:i/>
          <w:color w:val="1F487C"/>
          <w:spacing w:val="-2"/>
          <w:sz w:val="22"/>
        </w:rPr>
        <w:t> </w:t>
      </w:r>
      <w:r>
        <w:rPr>
          <w:i/>
          <w:color w:val="1F487C"/>
          <w:sz w:val="22"/>
        </w:rPr>
        <w:t>should</w:t>
      </w:r>
      <w:r>
        <w:rPr>
          <w:i/>
          <w:color w:val="1F487C"/>
          <w:spacing w:val="-3"/>
          <w:sz w:val="22"/>
        </w:rPr>
        <w:t> </w:t>
      </w:r>
      <w:r>
        <w:rPr>
          <w:i/>
          <w:color w:val="1F487C"/>
          <w:sz w:val="22"/>
        </w:rPr>
        <w:t>be</w:t>
      </w:r>
      <w:r>
        <w:rPr>
          <w:i/>
          <w:color w:val="1F487C"/>
          <w:spacing w:val="-4"/>
          <w:sz w:val="22"/>
        </w:rPr>
        <w:t> </w:t>
      </w:r>
      <w:r>
        <w:rPr>
          <w:i/>
          <w:color w:val="1F487C"/>
          <w:sz w:val="22"/>
        </w:rPr>
        <w:t>a</w:t>
      </w:r>
      <w:r>
        <w:rPr>
          <w:i/>
          <w:color w:val="1F487C"/>
          <w:spacing w:val="-2"/>
          <w:sz w:val="22"/>
        </w:rPr>
        <w:t> </w:t>
      </w:r>
      <w:r>
        <w:rPr>
          <w:i/>
          <w:color w:val="1F487C"/>
          <w:sz w:val="22"/>
        </w:rPr>
        <w:t>place</w:t>
      </w:r>
      <w:r>
        <w:rPr>
          <w:i/>
          <w:color w:val="1F487C"/>
          <w:spacing w:val="-1"/>
          <w:sz w:val="22"/>
        </w:rPr>
        <w:t> </w:t>
      </w:r>
      <w:r>
        <w:rPr>
          <w:i/>
          <w:color w:val="1F487C"/>
          <w:sz w:val="22"/>
        </w:rPr>
        <w:t>where</w:t>
      </w:r>
      <w:r>
        <w:rPr>
          <w:i/>
          <w:color w:val="1F487C"/>
          <w:spacing w:val="-2"/>
          <w:sz w:val="22"/>
        </w:rPr>
        <w:t> </w:t>
      </w:r>
      <w:r>
        <w:rPr>
          <w:i/>
          <w:color w:val="1F487C"/>
          <w:sz w:val="22"/>
        </w:rPr>
        <w:t>all</w:t>
      </w:r>
      <w:r>
        <w:rPr>
          <w:i/>
          <w:color w:val="1F487C"/>
          <w:spacing w:val="-2"/>
          <w:sz w:val="22"/>
        </w:rPr>
        <w:t> </w:t>
      </w:r>
      <w:r>
        <w:rPr>
          <w:i/>
          <w:color w:val="1F487C"/>
          <w:sz w:val="22"/>
        </w:rPr>
        <w:t>students</w:t>
      </w:r>
      <w:r>
        <w:rPr>
          <w:i/>
          <w:color w:val="1F487C"/>
          <w:spacing w:val="-3"/>
          <w:sz w:val="22"/>
        </w:rPr>
        <w:t> </w:t>
      </w:r>
      <w:r>
        <w:rPr>
          <w:i/>
          <w:color w:val="1F487C"/>
          <w:sz w:val="22"/>
        </w:rPr>
        <w:t>feel</w:t>
      </w:r>
      <w:r>
        <w:rPr>
          <w:i/>
          <w:color w:val="1F487C"/>
          <w:spacing w:val="-2"/>
          <w:sz w:val="22"/>
        </w:rPr>
        <w:t> </w:t>
      </w:r>
      <w:r>
        <w:rPr>
          <w:i/>
          <w:color w:val="1F487C"/>
          <w:sz w:val="22"/>
        </w:rPr>
        <w:t>seen,</w:t>
      </w:r>
      <w:r>
        <w:rPr>
          <w:i/>
          <w:color w:val="1F487C"/>
          <w:spacing w:val="-3"/>
          <w:sz w:val="22"/>
        </w:rPr>
        <w:t> </w:t>
      </w:r>
      <w:r>
        <w:rPr>
          <w:i/>
          <w:color w:val="1F487C"/>
          <w:sz w:val="22"/>
        </w:rPr>
        <w:t>heard,</w:t>
      </w:r>
      <w:r>
        <w:rPr>
          <w:i/>
          <w:color w:val="1F487C"/>
          <w:spacing w:val="-3"/>
          <w:sz w:val="22"/>
        </w:rPr>
        <w:t> </w:t>
      </w:r>
      <w:r>
        <w:rPr>
          <w:i/>
          <w:color w:val="1F487C"/>
          <w:sz w:val="22"/>
        </w:rPr>
        <w:t>and</w:t>
      </w:r>
      <w:r>
        <w:rPr>
          <w:i/>
          <w:color w:val="1F487C"/>
          <w:spacing w:val="-2"/>
          <w:sz w:val="22"/>
        </w:rPr>
        <w:t> </w:t>
      </w:r>
      <w:r>
        <w:rPr>
          <w:i/>
          <w:color w:val="1F487C"/>
          <w:sz w:val="22"/>
        </w:rPr>
        <w:t>valued</w:t>
      </w:r>
      <w:r>
        <w:rPr>
          <w:i/>
          <w:color w:val="1F487C"/>
          <w:spacing w:val="-3"/>
          <w:sz w:val="22"/>
        </w:rPr>
        <w:t> </w:t>
      </w:r>
      <w:r>
        <w:rPr>
          <w:i/>
          <w:color w:val="1F487C"/>
          <w:sz w:val="22"/>
        </w:rPr>
        <w:t>for</w:t>
      </w:r>
      <w:r>
        <w:rPr>
          <w:i/>
          <w:color w:val="1F487C"/>
          <w:spacing w:val="-3"/>
          <w:sz w:val="22"/>
        </w:rPr>
        <w:t> </w:t>
      </w:r>
      <w:r>
        <w:rPr>
          <w:i/>
          <w:color w:val="1F487C"/>
          <w:sz w:val="22"/>
        </w:rPr>
        <w:t>who</w:t>
      </w:r>
      <w:r>
        <w:rPr>
          <w:i/>
          <w:color w:val="1F487C"/>
          <w:spacing w:val="-3"/>
          <w:sz w:val="22"/>
        </w:rPr>
        <w:t> </w:t>
      </w:r>
      <w:r>
        <w:rPr>
          <w:i/>
          <w:color w:val="1F487C"/>
          <w:sz w:val="22"/>
        </w:rPr>
        <w:t>they</w:t>
      </w:r>
      <w:r>
        <w:rPr>
          <w:i/>
          <w:color w:val="1F487C"/>
          <w:spacing w:val="-2"/>
          <w:sz w:val="22"/>
        </w:rPr>
        <w:t> </w:t>
      </w:r>
      <w:r>
        <w:rPr>
          <w:i/>
          <w:color w:val="1F487C"/>
          <w:sz w:val="22"/>
        </w:rPr>
        <w:t>are.</w:t>
      </w:r>
      <w:r>
        <w:rPr>
          <w:i/>
          <w:color w:val="1F487C"/>
          <w:spacing w:val="-1"/>
          <w:sz w:val="22"/>
        </w:rPr>
        <w:t> </w:t>
      </w:r>
      <w:r>
        <w:rPr>
          <w:i/>
          <w:color w:val="1F487C"/>
          <w:sz w:val="22"/>
        </w:rPr>
        <w:t>As</w:t>
      </w:r>
      <w:r>
        <w:rPr>
          <w:i/>
          <w:color w:val="1F487C"/>
          <w:spacing w:val="-3"/>
          <w:sz w:val="22"/>
        </w:rPr>
        <w:t> </w:t>
      </w:r>
      <w:r>
        <w:rPr>
          <w:i/>
          <w:color w:val="1F487C"/>
          <w:sz w:val="22"/>
        </w:rPr>
        <w:t>a</w:t>
      </w:r>
      <w:r>
        <w:rPr>
          <w:i/>
          <w:color w:val="1F487C"/>
          <w:spacing w:val="-2"/>
          <w:sz w:val="22"/>
        </w:rPr>
        <w:t> </w:t>
      </w:r>
      <w:r>
        <w:rPr>
          <w:i/>
          <w:color w:val="1F487C"/>
          <w:sz w:val="22"/>
        </w:rPr>
        <w:t>trans</w:t>
      </w:r>
      <w:r>
        <w:rPr>
          <w:i/>
          <w:color w:val="1F487C"/>
          <w:sz w:val="22"/>
        </w:rPr>
        <w:t> and black student, I want a school that celebrates diversity, promotes equity, and ensures that everyone belongs. Education should empower us, not alienate us."</w:t>
      </w:r>
    </w:p>
    <w:p>
      <w:pPr>
        <w:spacing w:before="240"/>
        <w:ind w:left="454" w:right="275" w:firstLine="0"/>
        <w:jc w:val="center"/>
        <w:rPr>
          <w:i/>
          <w:sz w:val="22"/>
        </w:rPr>
      </w:pPr>
      <w:r>
        <w:rPr>
          <w:i/>
          <w:color w:val="1F487C"/>
          <w:sz w:val="22"/>
        </w:rPr>
        <w:t>-</w:t>
      </w:r>
      <w:r>
        <w:rPr>
          <w:i/>
          <w:color w:val="1F487C"/>
          <w:spacing w:val="-9"/>
          <w:sz w:val="22"/>
        </w:rPr>
        <w:t> </w:t>
      </w:r>
      <w:r>
        <w:rPr>
          <w:i/>
          <w:color w:val="1F487C"/>
          <w:sz w:val="22"/>
        </w:rPr>
        <w:t>11th</w:t>
      </w:r>
      <w:r>
        <w:rPr>
          <w:i/>
          <w:color w:val="1F487C"/>
          <w:spacing w:val="-8"/>
          <w:sz w:val="22"/>
        </w:rPr>
        <w:t> </w:t>
      </w:r>
      <w:r>
        <w:rPr>
          <w:i/>
          <w:color w:val="1F487C"/>
          <w:sz w:val="22"/>
        </w:rPr>
        <w:t>Grade</w:t>
      </w:r>
      <w:r>
        <w:rPr>
          <w:i/>
          <w:color w:val="1F487C"/>
          <w:spacing w:val="-6"/>
          <w:sz w:val="22"/>
        </w:rPr>
        <w:t> </w:t>
      </w:r>
      <w:r>
        <w:rPr>
          <w:i/>
          <w:color w:val="1F487C"/>
          <w:sz w:val="22"/>
        </w:rPr>
        <w:t>Massachusetts</w:t>
      </w:r>
      <w:r>
        <w:rPr>
          <w:i/>
          <w:color w:val="1F487C"/>
          <w:spacing w:val="-9"/>
          <w:sz w:val="22"/>
        </w:rPr>
        <w:t> </w:t>
      </w:r>
      <w:r>
        <w:rPr>
          <w:i/>
          <w:color w:val="1F487C"/>
          <w:spacing w:val="-2"/>
          <w:sz w:val="22"/>
        </w:rPr>
        <w:t>Student</w:t>
      </w:r>
    </w:p>
    <w:p>
      <w:pPr>
        <w:pStyle w:val="BodyText"/>
        <w:spacing w:before="11"/>
        <w:rPr>
          <w:i/>
        </w:rPr>
      </w:pPr>
    </w:p>
    <w:p>
      <w:pPr>
        <w:pStyle w:val="BodyText"/>
        <w:spacing w:line="276" w:lineRule="auto"/>
        <w:ind w:left="604" w:right="423"/>
        <w:jc w:val="both"/>
      </w:pPr>
      <w:r>
        <w:rPr/>
        <w:t>The Commission and the Department of Elementary and Secondary Education (DESE) jointly sponsor the</w:t>
      </w:r>
      <w:r>
        <w:rPr>
          <w:spacing w:val="-10"/>
        </w:rPr>
        <w:t> </w:t>
      </w:r>
      <w:r>
        <w:rPr/>
        <w:t>Safe</w:t>
      </w:r>
      <w:r>
        <w:rPr>
          <w:spacing w:val="-10"/>
        </w:rPr>
        <w:t> </w:t>
      </w:r>
      <w:r>
        <w:rPr/>
        <w:t>Schools</w:t>
      </w:r>
      <w:r>
        <w:rPr>
          <w:spacing w:val="-11"/>
        </w:rPr>
        <w:t> </w:t>
      </w:r>
      <w:r>
        <w:rPr/>
        <w:t>Program</w:t>
      </w:r>
      <w:r>
        <w:rPr>
          <w:spacing w:val="-12"/>
        </w:rPr>
        <w:t> </w:t>
      </w:r>
      <w:r>
        <w:rPr/>
        <w:t>for</w:t>
      </w:r>
      <w:r>
        <w:rPr>
          <w:spacing w:val="-11"/>
        </w:rPr>
        <w:t> </w:t>
      </w:r>
      <w:r>
        <w:rPr/>
        <w:t>LGBTQ</w:t>
      </w:r>
      <w:r>
        <w:rPr>
          <w:spacing w:val="-10"/>
        </w:rPr>
        <w:t> </w:t>
      </w:r>
      <w:r>
        <w:rPr/>
        <w:t>Students,</w:t>
      </w:r>
      <w:r>
        <w:rPr>
          <w:spacing w:val="-11"/>
        </w:rPr>
        <w:t> </w:t>
      </w:r>
      <w:r>
        <w:rPr/>
        <w:t>a</w:t>
      </w:r>
      <w:r>
        <w:rPr>
          <w:spacing w:val="-10"/>
        </w:rPr>
        <w:t> </w:t>
      </w:r>
      <w:r>
        <w:rPr/>
        <w:t>program</w:t>
      </w:r>
      <w:r>
        <w:rPr>
          <w:spacing w:val="-12"/>
        </w:rPr>
        <w:t> </w:t>
      </w:r>
      <w:r>
        <w:rPr/>
        <w:t>which</w:t>
      </w:r>
      <w:r>
        <w:rPr>
          <w:spacing w:val="-10"/>
        </w:rPr>
        <w:t> </w:t>
      </w:r>
      <w:r>
        <w:rPr/>
        <w:t>offers</w:t>
      </w:r>
      <w:r>
        <w:rPr>
          <w:spacing w:val="-11"/>
        </w:rPr>
        <w:t> </w:t>
      </w:r>
      <w:r>
        <w:rPr/>
        <w:t>direct</w:t>
      </w:r>
      <w:r>
        <w:rPr>
          <w:spacing w:val="-11"/>
        </w:rPr>
        <w:t> </w:t>
      </w:r>
      <w:r>
        <w:rPr/>
        <w:t>support</w:t>
      </w:r>
      <w:r>
        <w:rPr>
          <w:spacing w:val="-11"/>
        </w:rPr>
        <w:t> </w:t>
      </w:r>
      <w:r>
        <w:rPr/>
        <w:t>to</w:t>
      </w:r>
      <w:r>
        <w:rPr>
          <w:spacing w:val="-11"/>
        </w:rPr>
        <w:t> </w:t>
      </w:r>
      <w:r>
        <w:rPr/>
        <w:t>districts</w:t>
      </w:r>
      <w:r>
        <w:rPr>
          <w:spacing w:val="-11"/>
        </w:rPr>
        <w:t> </w:t>
      </w:r>
      <w:r>
        <w:rPr/>
        <w:t>across Massachusetts on policy, training, technical assistance, and student leadership.</w:t>
      </w:r>
    </w:p>
    <w:p>
      <w:pPr>
        <w:spacing w:before="239"/>
        <w:ind w:left="604" w:right="0" w:firstLine="0"/>
        <w:jc w:val="both"/>
        <w:rPr>
          <w:sz w:val="26"/>
        </w:rPr>
      </w:pPr>
      <w:bookmarkStart w:name="FY 2025 Recommendations to the Governor " w:id="36"/>
      <w:bookmarkEnd w:id="36"/>
      <w:r>
        <w:rPr/>
      </w:r>
      <w:r>
        <w:rPr>
          <w:color w:val="404040"/>
          <w:sz w:val="26"/>
        </w:rPr>
        <w:t>FY</w:t>
      </w:r>
      <w:r>
        <w:rPr>
          <w:color w:val="404040"/>
          <w:spacing w:val="-5"/>
          <w:sz w:val="26"/>
        </w:rPr>
        <w:t> </w:t>
      </w:r>
      <w:r>
        <w:rPr>
          <w:color w:val="404040"/>
          <w:sz w:val="26"/>
        </w:rPr>
        <w:t>2025</w:t>
      </w:r>
      <w:r>
        <w:rPr>
          <w:color w:val="404040"/>
          <w:spacing w:val="-2"/>
          <w:sz w:val="26"/>
        </w:rPr>
        <w:t> </w:t>
      </w:r>
      <w:r>
        <w:rPr>
          <w:color w:val="404040"/>
          <w:sz w:val="26"/>
        </w:rPr>
        <w:t>Recommendations</w:t>
      </w:r>
      <w:r>
        <w:rPr>
          <w:color w:val="404040"/>
          <w:spacing w:val="-3"/>
          <w:sz w:val="26"/>
        </w:rPr>
        <w:t> </w:t>
      </w:r>
      <w:r>
        <w:rPr>
          <w:color w:val="404040"/>
          <w:sz w:val="26"/>
        </w:rPr>
        <w:t>to</w:t>
      </w:r>
      <w:r>
        <w:rPr>
          <w:color w:val="404040"/>
          <w:spacing w:val="-4"/>
          <w:sz w:val="26"/>
        </w:rPr>
        <w:t> </w:t>
      </w:r>
      <w:r>
        <w:rPr>
          <w:color w:val="404040"/>
          <w:sz w:val="26"/>
        </w:rPr>
        <w:t>the</w:t>
      </w:r>
      <w:r>
        <w:rPr>
          <w:color w:val="404040"/>
          <w:spacing w:val="-5"/>
          <w:sz w:val="26"/>
        </w:rPr>
        <w:t> </w:t>
      </w:r>
      <w:r>
        <w:rPr>
          <w:color w:val="404040"/>
          <w:sz w:val="26"/>
        </w:rPr>
        <w:t>Governor</w:t>
      </w:r>
      <w:r>
        <w:rPr>
          <w:color w:val="404040"/>
          <w:spacing w:val="-3"/>
          <w:sz w:val="26"/>
        </w:rPr>
        <w:t> </w:t>
      </w:r>
      <w:r>
        <w:rPr>
          <w:color w:val="404040"/>
          <w:sz w:val="26"/>
        </w:rPr>
        <w:t>&amp;</w:t>
      </w:r>
      <w:r>
        <w:rPr>
          <w:color w:val="404040"/>
          <w:spacing w:val="-3"/>
          <w:sz w:val="26"/>
        </w:rPr>
        <w:t> </w:t>
      </w:r>
      <w:r>
        <w:rPr>
          <w:color w:val="404040"/>
          <w:sz w:val="26"/>
        </w:rPr>
        <w:t>Legislature</w:t>
      </w:r>
      <w:r>
        <w:rPr>
          <w:color w:val="404040"/>
          <w:spacing w:val="-2"/>
          <w:sz w:val="26"/>
        </w:rPr>
        <w:t> </w:t>
      </w:r>
      <w:r>
        <w:rPr>
          <w:color w:val="404040"/>
          <w:sz w:val="26"/>
        </w:rPr>
        <w:t>on</w:t>
      </w:r>
      <w:r>
        <w:rPr>
          <w:color w:val="404040"/>
          <w:spacing w:val="-3"/>
          <w:sz w:val="26"/>
        </w:rPr>
        <w:t> </w:t>
      </w:r>
      <w:r>
        <w:rPr>
          <w:color w:val="404040"/>
          <w:spacing w:val="-2"/>
          <w:sz w:val="26"/>
        </w:rPr>
        <w:t>Education</w:t>
      </w:r>
    </w:p>
    <w:p>
      <w:pPr>
        <w:pStyle w:val="ListParagraph"/>
        <w:numPr>
          <w:ilvl w:val="0"/>
          <w:numId w:val="3"/>
        </w:numPr>
        <w:tabs>
          <w:tab w:pos="1178" w:val="left" w:leader="none"/>
          <w:tab w:pos="1180" w:val="left" w:leader="none"/>
        </w:tabs>
        <w:spacing w:line="276" w:lineRule="auto" w:before="242" w:after="0"/>
        <w:ind w:left="1180" w:right="639" w:hanging="361"/>
        <w:jc w:val="both"/>
        <w:rPr>
          <w:sz w:val="22"/>
        </w:rPr>
      </w:pPr>
      <w:r>
        <w:rPr>
          <w:sz w:val="22"/>
        </w:rPr>
        <w:t>Support efforts for all schools in the Commonwealth to receive comprehensive training and </w:t>
      </w:r>
      <w:r>
        <w:rPr>
          <w:spacing w:val="-2"/>
          <w:sz w:val="22"/>
        </w:rPr>
        <w:t>professional development to increase the capacity of educators and administrators to support </w:t>
      </w:r>
      <w:r>
        <w:rPr>
          <w:sz w:val="22"/>
        </w:rPr>
        <w:t>LGBTQ students, including BIPOC LGBTQ students.</w:t>
      </w:r>
    </w:p>
    <w:p>
      <w:pPr>
        <w:pStyle w:val="ListParagraph"/>
        <w:numPr>
          <w:ilvl w:val="0"/>
          <w:numId w:val="3"/>
        </w:numPr>
        <w:tabs>
          <w:tab w:pos="1178" w:val="left" w:leader="none"/>
          <w:tab w:pos="1180" w:val="left" w:leader="none"/>
        </w:tabs>
        <w:spacing w:line="276" w:lineRule="auto" w:before="0" w:after="0"/>
        <w:ind w:left="1180" w:right="636" w:hanging="361"/>
        <w:jc w:val="both"/>
        <w:rPr>
          <w:sz w:val="22"/>
        </w:rPr>
      </w:pPr>
      <w:r>
        <w:rPr>
          <w:sz w:val="22"/>
        </w:rPr>
        <w:t>Provide professional development, mentorship, and support for advisors of GSAs, affinity spaces and similar student clubs, focusing on: creating consistent, affirming, resource-rich environments responsive to student needs; supporting youth leadership and advocacy; and providing structure to meetings.</w:t>
      </w:r>
    </w:p>
    <w:p>
      <w:pPr>
        <w:pStyle w:val="ListParagraph"/>
        <w:numPr>
          <w:ilvl w:val="0"/>
          <w:numId w:val="3"/>
        </w:numPr>
        <w:tabs>
          <w:tab w:pos="1178" w:val="left" w:leader="none"/>
          <w:tab w:pos="1180" w:val="left" w:leader="none"/>
        </w:tabs>
        <w:spacing w:line="276" w:lineRule="auto" w:before="0" w:after="0"/>
        <w:ind w:left="1180" w:right="639" w:hanging="361"/>
        <w:jc w:val="both"/>
        <w:rPr>
          <w:sz w:val="22"/>
        </w:rPr>
      </w:pPr>
      <w:r>
        <w:rPr>
          <w:sz w:val="22"/>
        </w:rPr>
        <w:t>Encourage administrators and educators to actively express their support for materials on race and LGBTQ topics and establish statewide guidelines and best practices for addressing challenged curricula and conducting book reviews.</w:t>
      </w:r>
    </w:p>
    <w:p>
      <w:pPr>
        <w:pStyle w:val="ListParagraph"/>
        <w:numPr>
          <w:ilvl w:val="0"/>
          <w:numId w:val="3"/>
        </w:numPr>
        <w:tabs>
          <w:tab w:pos="1178" w:val="left" w:leader="none"/>
          <w:tab w:pos="1180" w:val="left" w:leader="none"/>
        </w:tabs>
        <w:spacing w:line="276" w:lineRule="auto" w:before="0" w:after="0"/>
        <w:ind w:left="1180" w:right="637" w:hanging="361"/>
        <w:jc w:val="both"/>
        <w:rPr>
          <w:sz w:val="22"/>
        </w:rPr>
      </w:pPr>
      <w:r>
        <w:rPr>
          <w:sz w:val="22"/>
        </w:rPr>
        <w:t>Ensure that all subject areas are reflective of LGBTQ &amp; BIPOC individuals, historical events, and concepts.</w:t>
      </w:r>
    </w:p>
    <w:p>
      <w:pPr>
        <w:pStyle w:val="ListParagraph"/>
        <w:numPr>
          <w:ilvl w:val="0"/>
          <w:numId w:val="3"/>
        </w:numPr>
        <w:tabs>
          <w:tab w:pos="1178" w:val="left" w:leader="none"/>
          <w:tab w:pos="1180" w:val="left" w:leader="none"/>
        </w:tabs>
        <w:spacing w:line="276" w:lineRule="auto" w:before="0" w:after="0"/>
        <w:ind w:left="1180" w:right="634" w:hanging="361"/>
        <w:jc w:val="both"/>
        <w:rPr>
          <w:sz w:val="22"/>
        </w:rPr>
      </w:pPr>
      <w:r>
        <w:rPr>
          <w:sz w:val="22"/>
        </w:rPr>
        <w:t>Invest</w:t>
      </w:r>
      <w:r>
        <w:rPr>
          <w:spacing w:val="-13"/>
          <w:sz w:val="22"/>
        </w:rPr>
        <w:t> </w:t>
      </w:r>
      <w:r>
        <w:rPr>
          <w:sz w:val="22"/>
        </w:rPr>
        <w:t>in</w:t>
      </w:r>
      <w:r>
        <w:rPr>
          <w:spacing w:val="-11"/>
          <w:sz w:val="22"/>
        </w:rPr>
        <w:t> </w:t>
      </w:r>
      <w:r>
        <w:rPr>
          <w:sz w:val="22"/>
        </w:rPr>
        <w:t>resources</w:t>
      </w:r>
      <w:r>
        <w:rPr>
          <w:spacing w:val="-12"/>
          <w:sz w:val="22"/>
        </w:rPr>
        <w:t> </w:t>
      </w:r>
      <w:r>
        <w:rPr>
          <w:sz w:val="22"/>
        </w:rPr>
        <w:t>for</w:t>
      </w:r>
      <w:r>
        <w:rPr>
          <w:spacing w:val="-12"/>
          <w:sz w:val="22"/>
        </w:rPr>
        <w:t> </w:t>
      </w:r>
      <w:r>
        <w:rPr>
          <w:sz w:val="22"/>
        </w:rPr>
        <w:t>family</w:t>
      </w:r>
      <w:r>
        <w:rPr>
          <w:spacing w:val="-12"/>
          <w:sz w:val="22"/>
        </w:rPr>
        <w:t> </w:t>
      </w:r>
      <w:r>
        <w:rPr>
          <w:sz w:val="22"/>
        </w:rPr>
        <w:t>liaisons</w:t>
      </w:r>
      <w:r>
        <w:rPr>
          <w:spacing w:val="-12"/>
          <w:sz w:val="22"/>
        </w:rPr>
        <w:t> </w:t>
      </w:r>
      <w:r>
        <w:rPr>
          <w:sz w:val="22"/>
        </w:rPr>
        <w:t>and</w:t>
      </w:r>
      <w:r>
        <w:rPr>
          <w:spacing w:val="-12"/>
          <w:sz w:val="22"/>
        </w:rPr>
        <w:t> </w:t>
      </w:r>
      <w:r>
        <w:rPr>
          <w:sz w:val="22"/>
        </w:rPr>
        <w:t>provide</w:t>
      </w:r>
      <w:r>
        <w:rPr>
          <w:spacing w:val="-11"/>
          <w:sz w:val="22"/>
        </w:rPr>
        <w:t> </w:t>
      </w:r>
      <w:r>
        <w:rPr>
          <w:sz w:val="22"/>
        </w:rPr>
        <w:t>professional</w:t>
      </w:r>
      <w:r>
        <w:rPr>
          <w:spacing w:val="-12"/>
          <w:sz w:val="22"/>
        </w:rPr>
        <w:t> </w:t>
      </w:r>
      <w:r>
        <w:rPr>
          <w:sz w:val="22"/>
        </w:rPr>
        <w:t>development</w:t>
      </w:r>
      <w:r>
        <w:rPr>
          <w:spacing w:val="-13"/>
          <w:sz w:val="22"/>
        </w:rPr>
        <w:t> </w:t>
      </w:r>
      <w:r>
        <w:rPr>
          <w:sz w:val="22"/>
        </w:rPr>
        <w:t>opportunities</w:t>
      </w:r>
      <w:r>
        <w:rPr>
          <w:spacing w:val="-11"/>
          <w:sz w:val="22"/>
        </w:rPr>
        <w:t> </w:t>
      </w:r>
      <w:r>
        <w:rPr>
          <w:sz w:val="22"/>
        </w:rPr>
        <w:t>for all school staff related to family engagement and acceptance.</w:t>
      </w:r>
    </w:p>
    <w:p>
      <w:pPr>
        <w:pStyle w:val="ListParagraph"/>
        <w:numPr>
          <w:ilvl w:val="0"/>
          <w:numId w:val="3"/>
        </w:numPr>
        <w:tabs>
          <w:tab w:pos="1178" w:val="left" w:leader="none"/>
          <w:tab w:pos="1180" w:val="left" w:leader="none"/>
        </w:tabs>
        <w:spacing w:line="276" w:lineRule="auto" w:before="0" w:after="0"/>
        <w:ind w:left="1180" w:right="637" w:hanging="361"/>
        <w:jc w:val="both"/>
        <w:rPr>
          <w:sz w:val="22"/>
        </w:rPr>
      </w:pPr>
      <w:r>
        <w:rPr>
          <w:sz w:val="22"/>
        </w:rPr>
        <w:t>Collect data to better understand the experiences of LGBTQ BIPOC students, who are disproportionately represented and involved in multiple systems, and often lack comprehensive, aligned support.</w:t>
      </w:r>
    </w:p>
    <w:p>
      <w:pPr>
        <w:pStyle w:val="ListParagraph"/>
        <w:numPr>
          <w:ilvl w:val="0"/>
          <w:numId w:val="3"/>
        </w:numPr>
        <w:tabs>
          <w:tab w:pos="1178" w:val="left" w:leader="none"/>
          <w:tab w:pos="1180" w:val="left" w:leader="none"/>
        </w:tabs>
        <w:spacing w:line="276" w:lineRule="auto" w:before="0" w:after="0"/>
        <w:ind w:left="1180" w:right="639" w:hanging="361"/>
        <w:jc w:val="both"/>
        <w:rPr>
          <w:sz w:val="22"/>
        </w:rPr>
      </w:pPr>
      <w:r>
        <w:rPr>
          <w:sz w:val="22"/>
        </w:rPr>
        <w:t>Support education efforts to expand policies and update guidance surrounding support for transgender and nonbinary students.</w:t>
      </w:r>
    </w:p>
    <w:p>
      <w:pPr>
        <w:pStyle w:val="ListParagraph"/>
        <w:numPr>
          <w:ilvl w:val="0"/>
          <w:numId w:val="3"/>
        </w:numPr>
        <w:tabs>
          <w:tab w:pos="1178" w:val="left" w:leader="none"/>
          <w:tab w:pos="1180" w:val="left" w:leader="none"/>
        </w:tabs>
        <w:spacing w:line="276" w:lineRule="auto" w:before="0" w:after="0"/>
        <w:ind w:left="1180" w:right="637" w:hanging="361"/>
        <w:jc w:val="both"/>
        <w:rPr>
          <w:sz w:val="22"/>
        </w:rPr>
      </w:pPr>
      <w:r>
        <w:rPr>
          <w:sz w:val="22"/>
        </w:rPr>
        <w:t>Support an annual convening of education agencies, including the Department of Early Education</w:t>
      </w:r>
      <w:r>
        <w:rPr>
          <w:spacing w:val="-13"/>
          <w:sz w:val="22"/>
        </w:rPr>
        <w:t> </w:t>
      </w:r>
      <w:r>
        <w:rPr>
          <w:sz w:val="22"/>
        </w:rPr>
        <w:t>and</w:t>
      </w:r>
      <w:r>
        <w:rPr>
          <w:spacing w:val="-12"/>
          <w:sz w:val="22"/>
        </w:rPr>
        <w:t> </w:t>
      </w:r>
      <w:r>
        <w:rPr>
          <w:sz w:val="22"/>
        </w:rPr>
        <w:t>Care,</w:t>
      </w:r>
      <w:r>
        <w:rPr>
          <w:spacing w:val="-13"/>
          <w:sz w:val="22"/>
        </w:rPr>
        <w:t> </w:t>
      </w:r>
      <w:r>
        <w:rPr>
          <w:sz w:val="22"/>
        </w:rPr>
        <w:t>Massachusetts</w:t>
      </w:r>
      <w:r>
        <w:rPr>
          <w:spacing w:val="-12"/>
          <w:sz w:val="22"/>
        </w:rPr>
        <w:t> </w:t>
      </w:r>
      <w:r>
        <w:rPr>
          <w:sz w:val="22"/>
        </w:rPr>
        <w:t>Department</w:t>
      </w:r>
      <w:r>
        <w:rPr>
          <w:spacing w:val="-13"/>
          <w:sz w:val="22"/>
        </w:rPr>
        <w:t> </w:t>
      </w:r>
      <w:r>
        <w:rPr>
          <w:sz w:val="22"/>
        </w:rPr>
        <w:t>of</w:t>
      </w:r>
      <w:r>
        <w:rPr>
          <w:spacing w:val="-12"/>
          <w:sz w:val="22"/>
        </w:rPr>
        <w:t> </w:t>
      </w:r>
      <w:r>
        <w:rPr>
          <w:sz w:val="22"/>
        </w:rPr>
        <w:t>Elementary</w:t>
      </w:r>
      <w:r>
        <w:rPr>
          <w:spacing w:val="-12"/>
          <w:sz w:val="22"/>
        </w:rPr>
        <w:t> </w:t>
      </w:r>
      <w:r>
        <w:rPr>
          <w:sz w:val="22"/>
        </w:rPr>
        <w:t>and</w:t>
      </w:r>
      <w:r>
        <w:rPr>
          <w:spacing w:val="-13"/>
          <w:sz w:val="22"/>
        </w:rPr>
        <w:t> </w:t>
      </w:r>
      <w:r>
        <w:rPr>
          <w:sz w:val="22"/>
        </w:rPr>
        <w:t>Secondary</w:t>
      </w:r>
      <w:r>
        <w:rPr>
          <w:spacing w:val="-11"/>
          <w:sz w:val="22"/>
        </w:rPr>
        <w:t> </w:t>
      </w:r>
      <w:r>
        <w:rPr>
          <w:sz w:val="22"/>
        </w:rPr>
        <w:t>Education,</w:t>
      </w:r>
      <w:r>
        <w:rPr>
          <w:spacing w:val="-12"/>
          <w:sz w:val="22"/>
        </w:rPr>
        <w:t> </w:t>
      </w:r>
      <w:r>
        <w:rPr>
          <w:sz w:val="22"/>
        </w:rPr>
        <w:t>and Massachusetts Department of Higher Education, to collaboratively explore a continuum of support for LGBTQ students and families as they progress through the education systems in the Commonwealth.</w:t>
      </w:r>
    </w:p>
    <w:p>
      <w:pPr>
        <w:spacing w:after="0" w:line="276" w:lineRule="auto"/>
        <w:jc w:val="both"/>
        <w:rPr>
          <w:sz w:val="22"/>
        </w:rPr>
        <w:sectPr>
          <w:headerReference w:type="default" r:id="rId22"/>
          <w:footerReference w:type="default" r:id="rId23"/>
          <w:pgSz w:w="12240" w:h="15840"/>
          <w:pgMar w:header="0" w:footer="1061" w:top="1140" w:bottom="1260" w:left="980" w:right="1160"/>
        </w:sectPr>
      </w:pPr>
    </w:p>
    <w:p>
      <w:pPr>
        <w:pStyle w:val="BodyText"/>
        <w:spacing w:before="29"/>
      </w:pPr>
    </w:p>
    <w:p>
      <w:pPr>
        <w:pStyle w:val="BodyText"/>
        <w:spacing w:line="276" w:lineRule="auto"/>
        <w:ind w:left="603" w:right="420"/>
        <w:jc w:val="both"/>
      </w:pPr>
      <w:bookmarkStart w:name="Destigmatizing Public Health (2023)" w:id="37"/>
      <w:bookmarkEnd w:id="37"/>
      <w:r>
        <w:rPr/>
      </w:r>
      <w:r>
        <w:rPr/>
        <w:t>The</w:t>
      </w:r>
      <w:r>
        <w:rPr>
          <w:spacing w:val="-13"/>
        </w:rPr>
        <w:t> </w:t>
      </w:r>
      <w:r>
        <w:rPr/>
        <w:t>public</w:t>
      </w:r>
      <w:r>
        <w:rPr>
          <w:spacing w:val="-12"/>
        </w:rPr>
        <w:t> </w:t>
      </w:r>
      <w:r>
        <w:rPr/>
        <w:t>health</w:t>
      </w:r>
      <w:r>
        <w:rPr>
          <w:spacing w:val="-13"/>
        </w:rPr>
        <w:t> </w:t>
      </w:r>
      <w:r>
        <w:rPr/>
        <w:t>crises</w:t>
      </w:r>
      <w:r>
        <w:rPr>
          <w:spacing w:val="-11"/>
        </w:rPr>
        <w:t> </w:t>
      </w:r>
      <w:r>
        <w:rPr/>
        <w:t>facing</w:t>
      </w:r>
      <w:r>
        <w:rPr>
          <w:spacing w:val="-13"/>
        </w:rPr>
        <w:t> </w:t>
      </w:r>
      <w:r>
        <w:rPr/>
        <w:t>LGBTQ</w:t>
      </w:r>
      <w:r>
        <w:rPr>
          <w:spacing w:val="-12"/>
        </w:rPr>
        <w:t> </w:t>
      </w:r>
      <w:r>
        <w:rPr/>
        <w:t>youth</w:t>
      </w:r>
      <w:r>
        <w:rPr>
          <w:spacing w:val="-13"/>
        </w:rPr>
        <w:t> </w:t>
      </w:r>
      <w:r>
        <w:rPr/>
        <w:t>are</w:t>
      </w:r>
      <w:r>
        <w:rPr>
          <w:spacing w:val="-12"/>
        </w:rPr>
        <w:t> </w:t>
      </w:r>
      <w:r>
        <w:rPr/>
        <w:t>largely</w:t>
      </w:r>
      <w:r>
        <w:rPr>
          <w:spacing w:val="-13"/>
        </w:rPr>
        <w:t> </w:t>
      </w:r>
      <w:r>
        <w:rPr/>
        <w:t>not</w:t>
      </w:r>
      <w:r>
        <w:rPr>
          <w:spacing w:val="-12"/>
        </w:rPr>
        <w:t> </w:t>
      </w:r>
      <w:r>
        <w:rPr/>
        <w:t>because</w:t>
      </w:r>
      <w:r>
        <w:rPr>
          <w:spacing w:val="-12"/>
        </w:rPr>
        <w:t> </w:t>
      </w:r>
      <w:r>
        <w:rPr/>
        <w:t>of</w:t>
      </w:r>
      <w:r>
        <w:rPr>
          <w:spacing w:val="-12"/>
        </w:rPr>
        <w:t> </w:t>
      </w:r>
      <w:r>
        <w:rPr/>
        <w:t>individual</w:t>
      </w:r>
      <w:r>
        <w:rPr>
          <w:spacing w:val="-11"/>
        </w:rPr>
        <w:t> </w:t>
      </w:r>
      <w:r>
        <w:rPr/>
        <w:t>risk</w:t>
      </w:r>
      <w:r>
        <w:rPr>
          <w:spacing w:val="-13"/>
        </w:rPr>
        <w:t> </w:t>
      </w:r>
      <w:r>
        <w:rPr/>
        <w:t>factors,</w:t>
      </w:r>
      <w:r>
        <w:rPr>
          <w:spacing w:val="-11"/>
        </w:rPr>
        <w:t> </w:t>
      </w:r>
      <w:r>
        <w:rPr/>
        <w:t>but</w:t>
      </w:r>
      <w:r>
        <w:rPr>
          <w:spacing w:val="-13"/>
        </w:rPr>
        <w:t> </w:t>
      </w:r>
      <w:r>
        <w:rPr/>
        <w:t>rather systemic issues that affect how LGBTQ youth navigate the spaces in which they exist. LGBTQ youth often</w:t>
      </w:r>
      <w:r>
        <w:rPr>
          <w:spacing w:val="-4"/>
        </w:rPr>
        <w:t> </w:t>
      </w:r>
      <w:r>
        <w:rPr/>
        <w:t>live</w:t>
      </w:r>
      <w:r>
        <w:rPr>
          <w:spacing w:val="-3"/>
        </w:rPr>
        <w:t> </w:t>
      </w:r>
      <w:r>
        <w:rPr/>
        <w:t>in</w:t>
      </w:r>
      <w:r>
        <w:rPr>
          <w:spacing w:val="-3"/>
        </w:rPr>
        <w:t> </w:t>
      </w:r>
      <w:r>
        <w:rPr/>
        <w:t>environments</w:t>
      </w:r>
      <w:r>
        <w:rPr>
          <w:spacing w:val="-1"/>
        </w:rPr>
        <w:t> </w:t>
      </w:r>
      <w:r>
        <w:rPr/>
        <w:t>hostile</w:t>
      </w:r>
      <w:r>
        <w:rPr>
          <w:spacing w:val="-3"/>
        </w:rPr>
        <w:t> </w:t>
      </w:r>
      <w:r>
        <w:rPr/>
        <w:t>to</w:t>
      </w:r>
      <w:r>
        <w:rPr>
          <w:spacing w:val="-2"/>
        </w:rPr>
        <w:t> </w:t>
      </w:r>
      <w:r>
        <w:rPr/>
        <w:t>their</w:t>
      </w:r>
      <w:r>
        <w:rPr>
          <w:spacing w:val="-4"/>
        </w:rPr>
        <w:t> </w:t>
      </w:r>
      <w:r>
        <w:rPr/>
        <w:t>existence,</w:t>
      </w:r>
      <w:r>
        <w:rPr>
          <w:spacing w:val="-2"/>
        </w:rPr>
        <w:t> </w:t>
      </w:r>
      <w:r>
        <w:rPr/>
        <w:t>whether</w:t>
      </w:r>
      <w:r>
        <w:rPr>
          <w:spacing w:val="-3"/>
        </w:rPr>
        <w:t> </w:t>
      </w:r>
      <w:r>
        <w:rPr/>
        <w:t>because</w:t>
      </w:r>
      <w:r>
        <w:rPr>
          <w:spacing w:val="-4"/>
        </w:rPr>
        <w:t> </w:t>
      </w:r>
      <w:r>
        <w:rPr/>
        <w:t>of</w:t>
      </w:r>
      <w:r>
        <w:rPr>
          <w:spacing w:val="-3"/>
        </w:rPr>
        <w:t> </w:t>
      </w:r>
      <w:r>
        <w:rPr/>
        <w:t>the</w:t>
      </w:r>
      <w:r>
        <w:rPr>
          <w:spacing w:val="-3"/>
        </w:rPr>
        <w:t> </w:t>
      </w:r>
      <w:r>
        <w:rPr/>
        <w:t>current</w:t>
      </w:r>
      <w:r>
        <w:rPr>
          <w:spacing w:val="-3"/>
        </w:rPr>
        <w:t> </w:t>
      </w:r>
      <w:r>
        <w:rPr/>
        <w:t>political</w:t>
      </w:r>
      <w:r>
        <w:rPr>
          <w:spacing w:val="-4"/>
        </w:rPr>
        <w:t> </w:t>
      </w:r>
      <w:r>
        <w:rPr/>
        <w:t>climate, unsupportive</w:t>
      </w:r>
      <w:r>
        <w:rPr>
          <w:spacing w:val="-13"/>
        </w:rPr>
        <w:t> </w:t>
      </w:r>
      <w:r>
        <w:rPr/>
        <w:t>families,</w:t>
      </w:r>
      <w:r>
        <w:rPr>
          <w:spacing w:val="-12"/>
        </w:rPr>
        <w:t> </w:t>
      </w:r>
      <w:r>
        <w:rPr/>
        <w:t>or</w:t>
      </w:r>
      <w:r>
        <w:rPr>
          <w:spacing w:val="-12"/>
        </w:rPr>
        <w:t> </w:t>
      </w:r>
      <w:r>
        <w:rPr/>
        <w:t>a</w:t>
      </w:r>
      <w:r>
        <w:rPr>
          <w:spacing w:val="-10"/>
        </w:rPr>
        <w:t> </w:t>
      </w:r>
      <w:r>
        <w:rPr/>
        <w:t>lack</w:t>
      </w:r>
      <w:r>
        <w:rPr>
          <w:spacing w:val="-13"/>
        </w:rPr>
        <w:t> </w:t>
      </w:r>
      <w:r>
        <w:rPr/>
        <w:t>of</w:t>
      </w:r>
      <w:r>
        <w:rPr>
          <w:spacing w:val="-12"/>
        </w:rPr>
        <w:t> </w:t>
      </w:r>
      <w:r>
        <w:rPr/>
        <w:t>LGBTQ</w:t>
      </w:r>
      <w:r>
        <w:rPr>
          <w:spacing w:val="-12"/>
        </w:rPr>
        <w:t> </w:t>
      </w:r>
      <w:r>
        <w:rPr/>
        <w:t>community</w:t>
      </w:r>
      <w:r>
        <w:rPr>
          <w:spacing w:val="-13"/>
        </w:rPr>
        <w:t> </w:t>
      </w:r>
      <w:r>
        <w:rPr/>
        <w:t>and</w:t>
      </w:r>
      <w:r>
        <w:rPr>
          <w:spacing w:val="-12"/>
        </w:rPr>
        <w:t> </w:t>
      </w:r>
      <w:r>
        <w:rPr/>
        <w:t>role</w:t>
      </w:r>
      <w:r>
        <w:rPr>
          <w:spacing w:val="-12"/>
        </w:rPr>
        <w:t> </w:t>
      </w:r>
      <w:r>
        <w:rPr/>
        <w:t>models.</w:t>
      </w:r>
      <w:r>
        <w:rPr>
          <w:spacing w:val="-13"/>
        </w:rPr>
        <w:t> </w:t>
      </w:r>
      <w:r>
        <w:rPr/>
        <w:t>The</w:t>
      </w:r>
      <w:r>
        <w:rPr>
          <w:spacing w:val="-12"/>
        </w:rPr>
        <w:t> </w:t>
      </w:r>
      <w:r>
        <w:rPr/>
        <w:t>future</w:t>
      </w:r>
      <w:r>
        <w:rPr>
          <w:spacing w:val="-10"/>
        </w:rPr>
        <w:t> </w:t>
      </w:r>
      <w:r>
        <w:rPr/>
        <w:t>is</w:t>
      </w:r>
      <w:r>
        <w:rPr>
          <w:spacing w:val="-12"/>
        </w:rPr>
        <w:t> </w:t>
      </w:r>
      <w:r>
        <w:rPr/>
        <w:t>uncertain</w:t>
      </w:r>
      <w:r>
        <w:rPr>
          <w:spacing w:val="-12"/>
        </w:rPr>
        <w:t> </w:t>
      </w:r>
      <w:r>
        <w:rPr/>
        <w:t>for</w:t>
      </w:r>
      <w:r>
        <w:rPr>
          <w:spacing w:val="-12"/>
        </w:rPr>
        <w:t> </w:t>
      </w:r>
      <w:r>
        <w:rPr/>
        <w:t>many youths,</w:t>
      </w:r>
      <w:r>
        <w:rPr>
          <w:spacing w:val="-11"/>
        </w:rPr>
        <w:t> </w:t>
      </w:r>
      <w:r>
        <w:rPr/>
        <w:t>and</w:t>
      </w:r>
      <w:r>
        <w:rPr>
          <w:spacing w:val="-10"/>
        </w:rPr>
        <w:t> </w:t>
      </w:r>
      <w:r>
        <w:rPr/>
        <w:t>it</w:t>
      </w:r>
      <w:r>
        <w:rPr>
          <w:spacing w:val="-11"/>
        </w:rPr>
        <w:t> </w:t>
      </w:r>
      <w:r>
        <w:rPr/>
        <w:t>can</w:t>
      </w:r>
      <w:r>
        <w:rPr>
          <w:spacing w:val="-10"/>
        </w:rPr>
        <w:t> </w:t>
      </w:r>
      <w:r>
        <w:rPr/>
        <w:t>be</w:t>
      </w:r>
      <w:r>
        <w:rPr>
          <w:spacing w:val="-10"/>
        </w:rPr>
        <w:t> </w:t>
      </w:r>
      <w:r>
        <w:rPr/>
        <w:t>difficult</w:t>
      </w:r>
      <w:r>
        <w:rPr>
          <w:spacing w:val="-12"/>
        </w:rPr>
        <w:t> </w:t>
      </w:r>
      <w:r>
        <w:rPr/>
        <w:t>for</w:t>
      </w:r>
      <w:r>
        <w:rPr>
          <w:spacing w:val="-11"/>
        </w:rPr>
        <w:t> </w:t>
      </w:r>
      <w:r>
        <w:rPr/>
        <w:t>them</w:t>
      </w:r>
      <w:r>
        <w:rPr>
          <w:spacing w:val="-10"/>
        </w:rPr>
        <w:t> </w:t>
      </w:r>
      <w:r>
        <w:rPr/>
        <w:t>to</w:t>
      </w:r>
      <w:r>
        <w:rPr>
          <w:spacing w:val="-10"/>
        </w:rPr>
        <w:t> </w:t>
      </w:r>
      <w:r>
        <w:rPr/>
        <w:t>envision</w:t>
      </w:r>
      <w:r>
        <w:rPr>
          <w:spacing w:val="-11"/>
        </w:rPr>
        <w:t> </w:t>
      </w:r>
      <w:r>
        <w:rPr/>
        <w:t>a</w:t>
      </w:r>
      <w:r>
        <w:rPr>
          <w:spacing w:val="-11"/>
        </w:rPr>
        <w:t> </w:t>
      </w:r>
      <w:r>
        <w:rPr/>
        <w:t>world</w:t>
      </w:r>
      <w:r>
        <w:rPr>
          <w:spacing w:val="-11"/>
        </w:rPr>
        <w:t> </w:t>
      </w:r>
      <w:r>
        <w:rPr/>
        <w:t>where</w:t>
      </w:r>
      <w:r>
        <w:rPr>
          <w:spacing w:val="-10"/>
        </w:rPr>
        <w:t> </w:t>
      </w:r>
      <w:r>
        <w:rPr/>
        <w:t>they</w:t>
      </w:r>
      <w:r>
        <w:rPr>
          <w:spacing w:val="-11"/>
        </w:rPr>
        <w:t> </w:t>
      </w:r>
      <w:r>
        <w:rPr/>
        <w:t>are</w:t>
      </w:r>
      <w:r>
        <w:rPr>
          <w:spacing w:val="-11"/>
        </w:rPr>
        <w:t> </w:t>
      </w:r>
      <w:r>
        <w:rPr/>
        <w:t>able</w:t>
      </w:r>
      <w:r>
        <w:rPr>
          <w:spacing w:val="-10"/>
        </w:rPr>
        <w:t> </w:t>
      </w:r>
      <w:r>
        <w:rPr/>
        <w:t>to</w:t>
      </w:r>
      <w:r>
        <w:rPr>
          <w:spacing w:val="-10"/>
        </w:rPr>
        <w:t> </w:t>
      </w:r>
      <w:r>
        <w:rPr/>
        <w:t>exist</w:t>
      </w:r>
      <w:r>
        <w:rPr>
          <w:spacing w:val="-12"/>
        </w:rPr>
        <w:t> </w:t>
      </w:r>
      <w:r>
        <w:rPr/>
        <w:t>freely</w:t>
      </w:r>
      <w:r>
        <w:rPr>
          <w:spacing w:val="-11"/>
        </w:rPr>
        <w:t> </w:t>
      </w:r>
      <w:r>
        <w:rPr/>
        <w:t>and</w:t>
      </w:r>
      <w:r>
        <w:rPr>
          <w:spacing w:val="-11"/>
        </w:rPr>
        <w:t> </w:t>
      </w:r>
      <w:r>
        <w:rPr/>
        <w:t>safely as queer and trans adults. However, despite the hostility, LGBTQ youth continue to resist, challenge, and change the relationships, communities, institutions, and systems that act as oppressive forces.</w:t>
      </w:r>
      <w:r>
        <w:rPr>
          <w:vertAlign w:val="superscript"/>
        </w:rPr>
        <w:t>1</w:t>
      </w:r>
      <w:r>
        <w:rPr>
          <w:vertAlign w:val="baseline"/>
        </w:rPr>
        <w:t> Public</w:t>
      </w:r>
      <w:r>
        <w:rPr>
          <w:spacing w:val="-3"/>
          <w:vertAlign w:val="baseline"/>
        </w:rPr>
        <w:t> </w:t>
      </w:r>
      <w:r>
        <w:rPr>
          <w:vertAlign w:val="baseline"/>
        </w:rPr>
        <w:t>health</w:t>
      </w:r>
      <w:r>
        <w:rPr>
          <w:spacing w:val="-3"/>
          <w:vertAlign w:val="baseline"/>
        </w:rPr>
        <w:t> </w:t>
      </w:r>
      <w:r>
        <w:rPr>
          <w:vertAlign w:val="baseline"/>
        </w:rPr>
        <w:t>has</w:t>
      </w:r>
      <w:r>
        <w:rPr>
          <w:spacing w:val="-4"/>
          <w:vertAlign w:val="baseline"/>
        </w:rPr>
        <w:t> </w:t>
      </w:r>
      <w:r>
        <w:rPr>
          <w:vertAlign w:val="baseline"/>
        </w:rPr>
        <w:t>an</w:t>
      </w:r>
      <w:r>
        <w:rPr>
          <w:spacing w:val="-4"/>
          <w:vertAlign w:val="baseline"/>
        </w:rPr>
        <w:t> </w:t>
      </w:r>
      <w:r>
        <w:rPr>
          <w:vertAlign w:val="baseline"/>
        </w:rPr>
        <w:t>obligation</w:t>
      </w:r>
      <w:r>
        <w:rPr>
          <w:spacing w:val="-3"/>
          <w:vertAlign w:val="baseline"/>
        </w:rPr>
        <w:t> </w:t>
      </w:r>
      <w:r>
        <w:rPr>
          <w:vertAlign w:val="baseline"/>
        </w:rPr>
        <w:t>to</w:t>
      </w:r>
      <w:r>
        <w:rPr>
          <w:spacing w:val="-4"/>
          <w:vertAlign w:val="baseline"/>
        </w:rPr>
        <w:t> </w:t>
      </w:r>
      <w:r>
        <w:rPr>
          <w:vertAlign w:val="baseline"/>
        </w:rPr>
        <w:t>support</w:t>
      </w:r>
      <w:r>
        <w:rPr>
          <w:spacing w:val="-4"/>
          <w:vertAlign w:val="baseline"/>
        </w:rPr>
        <w:t> </w:t>
      </w:r>
      <w:r>
        <w:rPr>
          <w:vertAlign w:val="baseline"/>
        </w:rPr>
        <w:t>and</w:t>
      </w:r>
      <w:r>
        <w:rPr>
          <w:spacing w:val="-3"/>
          <w:vertAlign w:val="baseline"/>
        </w:rPr>
        <w:t> </w:t>
      </w:r>
      <w:r>
        <w:rPr>
          <w:vertAlign w:val="baseline"/>
        </w:rPr>
        <w:t>uplift</w:t>
      </w:r>
      <w:r>
        <w:rPr>
          <w:spacing w:val="-3"/>
          <w:vertAlign w:val="baseline"/>
        </w:rPr>
        <w:t> </w:t>
      </w:r>
      <w:r>
        <w:rPr>
          <w:vertAlign w:val="baseline"/>
        </w:rPr>
        <w:t>LGBTQ</w:t>
      </w:r>
      <w:r>
        <w:rPr>
          <w:spacing w:val="-3"/>
          <w:vertAlign w:val="baseline"/>
        </w:rPr>
        <w:t> </w:t>
      </w:r>
      <w:r>
        <w:rPr>
          <w:vertAlign w:val="baseline"/>
        </w:rPr>
        <w:t>youth</w:t>
      </w:r>
      <w:r>
        <w:rPr>
          <w:spacing w:val="-2"/>
          <w:vertAlign w:val="baseline"/>
        </w:rPr>
        <w:t> </w:t>
      </w:r>
      <w:r>
        <w:rPr>
          <w:vertAlign w:val="baseline"/>
        </w:rPr>
        <w:t>as</w:t>
      </w:r>
      <w:r>
        <w:rPr>
          <w:spacing w:val="-4"/>
          <w:vertAlign w:val="baseline"/>
        </w:rPr>
        <w:t> </w:t>
      </w:r>
      <w:r>
        <w:rPr>
          <w:vertAlign w:val="baseline"/>
        </w:rPr>
        <w:t>they</w:t>
      </w:r>
      <w:r>
        <w:rPr>
          <w:spacing w:val="-3"/>
          <w:vertAlign w:val="baseline"/>
        </w:rPr>
        <w:t> </w:t>
      </w:r>
      <w:r>
        <w:rPr>
          <w:vertAlign w:val="baseline"/>
        </w:rPr>
        <w:t>resist</w:t>
      </w:r>
      <w:r>
        <w:rPr>
          <w:spacing w:val="-3"/>
          <w:vertAlign w:val="baseline"/>
        </w:rPr>
        <w:t> </w:t>
      </w:r>
      <w:r>
        <w:rPr>
          <w:vertAlign w:val="baseline"/>
        </w:rPr>
        <w:t>unjust</w:t>
      </w:r>
      <w:r>
        <w:rPr>
          <w:spacing w:val="-3"/>
          <w:vertAlign w:val="baseline"/>
        </w:rPr>
        <w:t> </w:t>
      </w:r>
      <w:r>
        <w:rPr>
          <w:vertAlign w:val="baseline"/>
        </w:rPr>
        <w:t>and</w:t>
      </w:r>
      <w:r>
        <w:rPr>
          <w:spacing w:val="-3"/>
          <w:vertAlign w:val="baseline"/>
        </w:rPr>
        <w:t> </w:t>
      </w:r>
      <w:r>
        <w:rPr>
          <w:vertAlign w:val="baseline"/>
        </w:rPr>
        <w:t>oppressive structures.</w:t>
      </w:r>
      <w:r>
        <w:rPr>
          <w:vertAlign w:val="superscript"/>
        </w:rPr>
        <w:t>2</w:t>
      </w:r>
      <w:r>
        <w:rPr>
          <w:vertAlign w:val="baseline"/>
        </w:rPr>
        <w:t> In doing so, policymakers, providers, and educators can better pave the way for a future where all LGBTQ youth thrive.</w:t>
      </w:r>
    </w:p>
    <w:p>
      <w:pPr>
        <w:pStyle w:val="BodyText"/>
        <w:spacing w:line="276" w:lineRule="auto" w:before="239"/>
        <w:ind w:left="603" w:right="421"/>
        <w:jc w:val="both"/>
      </w:pPr>
      <w:r>
        <w:rPr/>
        <w:t>When working to develop policies and programs to address public health concerns, it is essential to understand</w:t>
      </w:r>
      <w:r>
        <w:rPr>
          <w:spacing w:val="-13"/>
        </w:rPr>
        <w:t> </w:t>
      </w:r>
      <w:r>
        <w:rPr/>
        <w:t>that</w:t>
      </w:r>
      <w:r>
        <w:rPr>
          <w:spacing w:val="-12"/>
        </w:rPr>
        <w:t> </w:t>
      </w:r>
      <w:r>
        <w:rPr/>
        <w:t>many</w:t>
      </w:r>
      <w:r>
        <w:rPr>
          <w:spacing w:val="-13"/>
        </w:rPr>
        <w:t> </w:t>
      </w:r>
      <w:r>
        <w:rPr/>
        <w:t>of</w:t>
      </w:r>
      <w:r>
        <w:rPr>
          <w:spacing w:val="-12"/>
        </w:rPr>
        <w:t> </w:t>
      </w:r>
      <w:r>
        <w:rPr/>
        <w:t>the</w:t>
      </w:r>
      <w:r>
        <w:rPr>
          <w:spacing w:val="-13"/>
        </w:rPr>
        <w:t> </w:t>
      </w:r>
      <w:r>
        <w:rPr/>
        <w:t>issues</w:t>
      </w:r>
      <w:r>
        <w:rPr>
          <w:spacing w:val="-12"/>
        </w:rPr>
        <w:t> </w:t>
      </w:r>
      <w:r>
        <w:rPr/>
        <w:t>highlighted</w:t>
      </w:r>
      <w:r>
        <w:rPr>
          <w:spacing w:val="-13"/>
        </w:rPr>
        <w:t> </w:t>
      </w:r>
      <w:r>
        <w:rPr/>
        <w:t>in</w:t>
      </w:r>
      <w:r>
        <w:rPr>
          <w:spacing w:val="-12"/>
        </w:rPr>
        <w:t> </w:t>
      </w:r>
      <w:r>
        <w:rPr/>
        <w:t>this</w:t>
      </w:r>
      <w:r>
        <w:rPr>
          <w:spacing w:val="-12"/>
        </w:rPr>
        <w:t> </w:t>
      </w:r>
      <w:r>
        <w:rPr/>
        <w:t>section</w:t>
      </w:r>
      <w:r>
        <w:rPr>
          <w:spacing w:val="-13"/>
        </w:rPr>
        <w:t> </w:t>
      </w:r>
      <w:r>
        <w:rPr/>
        <w:t>are</w:t>
      </w:r>
      <w:r>
        <w:rPr>
          <w:spacing w:val="-12"/>
        </w:rPr>
        <w:t> </w:t>
      </w:r>
      <w:r>
        <w:rPr/>
        <w:t>compounded</w:t>
      </w:r>
      <w:r>
        <w:rPr>
          <w:spacing w:val="-13"/>
        </w:rPr>
        <w:t> </w:t>
      </w:r>
      <w:r>
        <w:rPr/>
        <w:t>by</w:t>
      </w:r>
      <w:r>
        <w:rPr>
          <w:spacing w:val="-12"/>
        </w:rPr>
        <w:t> </w:t>
      </w:r>
      <w:r>
        <w:rPr/>
        <w:t>intersecting</w:t>
      </w:r>
      <w:r>
        <w:rPr>
          <w:spacing w:val="-13"/>
        </w:rPr>
        <w:t> </w:t>
      </w:r>
      <w:r>
        <w:rPr/>
        <w:t>systems of oppression, including poverty, racism, homophobia, transphobia, and ableism that must simultaneously</w:t>
      </w:r>
      <w:r>
        <w:rPr>
          <w:spacing w:val="-6"/>
        </w:rPr>
        <w:t> </w:t>
      </w:r>
      <w:r>
        <w:rPr/>
        <w:t>be</w:t>
      </w:r>
      <w:r>
        <w:rPr>
          <w:spacing w:val="-7"/>
        </w:rPr>
        <w:t> </w:t>
      </w:r>
      <w:r>
        <w:rPr/>
        <w:t>addressed.</w:t>
      </w:r>
      <w:r>
        <w:rPr>
          <w:spacing w:val="-7"/>
        </w:rPr>
        <w:t> </w:t>
      </w:r>
      <w:r>
        <w:rPr/>
        <w:t>Tackling</w:t>
      </w:r>
      <w:r>
        <w:rPr>
          <w:spacing w:val="-7"/>
        </w:rPr>
        <w:t> </w:t>
      </w:r>
      <w:r>
        <w:rPr/>
        <w:t>such</w:t>
      </w:r>
      <w:r>
        <w:rPr>
          <w:spacing w:val="-5"/>
        </w:rPr>
        <w:t> </w:t>
      </w:r>
      <w:r>
        <w:rPr/>
        <w:t>large</w:t>
      </w:r>
      <w:r>
        <w:rPr>
          <w:spacing w:val="-7"/>
        </w:rPr>
        <w:t> </w:t>
      </w:r>
      <w:r>
        <w:rPr/>
        <w:t>structural</w:t>
      </w:r>
      <w:r>
        <w:rPr>
          <w:spacing w:val="-6"/>
        </w:rPr>
        <w:t> </w:t>
      </w:r>
      <w:r>
        <w:rPr/>
        <w:t>issues</w:t>
      </w:r>
      <w:r>
        <w:rPr>
          <w:spacing w:val="-5"/>
        </w:rPr>
        <w:t> </w:t>
      </w:r>
      <w:r>
        <w:rPr/>
        <w:t>may</w:t>
      </w:r>
      <w:r>
        <w:rPr>
          <w:spacing w:val="-6"/>
        </w:rPr>
        <w:t> </w:t>
      </w:r>
      <w:r>
        <w:rPr/>
        <w:t>seem</w:t>
      </w:r>
      <w:r>
        <w:rPr>
          <w:spacing w:val="-5"/>
        </w:rPr>
        <w:t> </w:t>
      </w:r>
      <w:r>
        <w:rPr/>
        <w:t>unfathomable,</w:t>
      </w:r>
      <w:r>
        <w:rPr>
          <w:spacing w:val="-5"/>
        </w:rPr>
        <w:t> </w:t>
      </w:r>
      <w:r>
        <w:rPr/>
        <w:t>however, there are actions that can be taken in the meantime to continue providing support to LGBTQ youth and</w:t>
      </w:r>
      <w:r>
        <w:rPr>
          <w:spacing w:val="-13"/>
        </w:rPr>
        <w:t> </w:t>
      </w:r>
      <w:r>
        <w:rPr/>
        <w:t>begin</w:t>
      </w:r>
      <w:r>
        <w:rPr>
          <w:spacing w:val="-12"/>
        </w:rPr>
        <w:t> </w:t>
      </w:r>
      <w:r>
        <w:rPr/>
        <w:t>shifting</w:t>
      </w:r>
      <w:r>
        <w:rPr>
          <w:spacing w:val="-13"/>
        </w:rPr>
        <w:t> </w:t>
      </w:r>
      <w:r>
        <w:rPr/>
        <w:t>the</w:t>
      </w:r>
      <w:r>
        <w:rPr>
          <w:spacing w:val="-12"/>
        </w:rPr>
        <w:t> </w:t>
      </w:r>
      <w:r>
        <w:rPr/>
        <w:t>cultural</w:t>
      </w:r>
      <w:r>
        <w:rPr>
          <w:spacing w:val="-13"/>
        </w:rPr>
        <w:t> </w:t>
      </w:r>
      <w:r>
        <w:rPr/>
        <w:t>norms</w:t>
      </w:r>
      <w:r>
        <w:rPr>
          <w:spacing w:val="-12"/>
        </w:rPr>
        <w:t> </w:t>
      </w:r>
      <w:r>
        <w:rPr/>
        <w:t>that</w:t>
      </w:r>
      <w:r>
        <w:rPr>
          <w:spacing w:val="-13"/>
        </w:rPr>
        <w:t> </w:t>
      </w:r>
      <w:r>
        <w:rPr/>
        <w:t>will</w:t>
      </w:r>
      <w:r>
        <w:rPr>
          <w:spacing w:val="-12"/>
        </w:rPr>
        <w:t> </w:t>
      </w:r>
      <w:r>
        <w:rPr/>
        <w:t>eventually</w:t>
      </w:r>
      <w:r>
        <w:rPr>
          <w:spacing w:val="-12"/>
        </w:rPr>
        <w:t> </w:t>
      </w:r>
      <w:r>
        <w:rPr/>
        <w:t>improve</w:t>
      </w:r>
      <w:r>
        <w:rPr>
          <w:spacing w:val="-13"/>
        </w:rPr>
        <w:t> </w:t>
      </w:r>
      <w:r>
        <w:rPr/>
        <w:t>health</w:t>
      </w:r>
      <w:r>
        <w:rPr>
          <w:spacing w:val="-12"/>
        </w:rPr>
        <w:t> </w:t>
      </w:r>
      <w:r>
        <w:rPr/>
        <w:t>outcomes</w:t>
      </w:r>
      <w:r>
        <w:rPr>
          <w:spacing w:val="-13"/>
        </w:rPr>
        <w:t> </w:t>
      </w:r>
      <w:r>
        <w:rPr/>
        <w:t>for</w:t>
      </w:r>
      <w:r>
        <w:rPr>
          <w:spacing w:val="-12"/>
        </w:rPr>
        <w:t> </w:t>
      </w:r>
      <w:r>
        <w:rPr/>
        <w:t>all</w:t>
      </w:r>
      <w:r>
        <w:rPr>
          <w:spacing w:val="-13"/>
        </w:rPr>
        <w:t> </w:t>
      </w:r>
      <w:r>
        <w:rPr/>
        <w:t>communities.</w:t>
      </w:r>
    </w:p>
    <w:p>
      <w:pPr>
        <w:spacing w:before="239"/>
        <w:ind w:left="604" w:right="0" w:firstLine="0"/>
        <w:jc w:val="both"/>
        <w:rPr>
          <w:sz w:val="26"/>
        </w:rPr>
      </w:pPr>
      <w:bookmarkStart w:name="FY 2025 Recommendations to the Governor " w:id="38"/>
      <w:bookmarkEnd w:id="38"/>
      <w:r>
        <w:rPr/>
      </w:r>
      <w:r>
        <w:rPr>
          <w:color w:val="404040"/>
          <w:sz w:val="26"/>
        </w:rPr>
        <w:t>FY</w:t>
      </w:r>
      <w:r>
        <w:rPr>
          <w:color w:val="404040"/>
          <w:spacing w:val="-5"/>
          <w:sz w:val="26"/>
        </w:rPr>
        <w:t> </w:t>
      </w:r>
      <w:r>
        <w:rPr>
          <w:color w:val="404040"/>
          <w:sz w:val="26"/>
        </w:rPr>
        <w:t>2025</w:t>
      </w:r>
      <w:r>
        <w:rPr>
          <w:color w:val="404040"/>
          <w:spacing w:val="-3"/>
          <w:sz w:val="26"/>
        </w:rPr>
        <w:t> </w:t>
      </w:r>
      <w:r>
        <w:rPr>
          <w:color w:val="404040"/>
          <w:sz w:val="26"/>
        </w:rPr>
        <w:t>Recommendations</w:t>
      </w:r>
      <w:r>
        <w:rPr>
          <w:color w:val="404040"/>
          <w:spacing w:val="-3"/>
          <w:sz w:val="26"/>
        </w:rPr>
        <w:t> </w:t>
      </w:r>
      <w:r>
        <w:rPr>
          <w:color w:val="404040"/>
          <w:sz w:val="26"/>
        </w:rPr>
        <w:t>to</w:t>
      </w:r>
      <w:r>
        <w:rPr>
          <w:color w:val="404040"/>
          <w:spacing w:val="-4"/>
          <w:sz w:val="26"/>
        </w:rPr>
        <w:t> </w:t>
      </w:r>
      <w:r>
        <w:rPr>
          <w:color w:val="404040"/>
          <w:sz w:val="26"/>
        </w:rPr>
        <w:t>the</w:t>
      </w:r>
      <w:r>
        <w:rPr>
          <w:color w:val="404040"/>
          <w:spacing w:val="-5"/>
          <w:sz w:val="26"/>
        </w:rPr>
        <w:t> </w:t>
      </w:r>
      <w:r>
        <w:rPr>
          <w:color w:val="404040"/>
          <w:sz w:val="26"/>
        </w:rPr>
        <w:t>Governor</w:t>
      </w:r>
      <w:r>
        <w:rPr>
          <w:color w:val="404040"/>
          <w:spacing w:val="-4"/>
          <w:sz w:val="26"/>
        </w:rPr>
        <w:t> </w:t>
      </w:r>
      <w:r>
        <w:rPr>
          <w:color w:val="404040"/>
          <w:sz w:val="26"/>
        </w:rPr>
        <w:t>&amp;</w:t>
      </w:r>
      <w:r>
        <w:rPr>
          <w:color w:val="404040"/>
          <w:spacing w:val="-2"/>
          <w:sz w:val="26"/>
        </w:rPr>
        <w:t> </w:t>
      </w:r>
      <w:r>
        <w:rPr>
          <w:color w:val="404040"/>
          <w:sz w:val="26"/>
        </w:rPr>
        <w:t>Legislature</w:t>
      </w:r>
      <w:r>
        <w:rPr>
          <w:color w:val="404040"/>
          <w:spacing w:val="-3"/>
          <w:sz w:val="26"/>
        </w:rPr>
        <w:t> </w:t>
      </w:r>
      <w:r>
        <w:rPr>
          <w:color w:val="404040"/>
          <w:sz w:val="26"/>
        </w:rPr>
        <w:t>on</w:t>
      </w:r>
      <w:r>
        <w:rPr>
          <w:color w:val="404040"/>
          <w:spacing w:val="-4"/>
          <w:sz w:val="26"/>
        </w:rPr>
        <w:t> </w:t>
      </w:r>
      <w:r>
        <w:rPr>
          <w:color w:val="404040"/>
          <w:sz w:val="26"/>
        </w:rPr>
        <w:t>Public</w:t>
      </w:r>
      <w:r>
        <w:rPr>
          <w:color w:val="404040"/>
          <w:spacing w:val="-2"/>
          <w:sz w:val="26"/>
        </w:rPr>
        <w:t> Health</w:t>
      </w:r>
    </w:p>
    <w:p>
      <w:pPr>
        <w:pStyle w:val="ListParagraph"/>
        <w:numPr>
          <w:ilvl w:val="0"/>
          <w:numId w:val="4"/>
        </w:numPr>
        <w:tabs>
          <w:tab w:pos="1178" w:val="left" w:leader="none"/>
          <w:tab w:pos="1180" w:val="left" w:leader="none"/>
        </w:tabs>
        <w:spacing w:line="276" w:lineRule="auto" w:before="290" w:after="0"/>
        <w:ind w:left="1180" w:right="638" w:hanging="361"/>
        <w:jc w:val="both"/>
        <w:rPr>
          <w:sz w:val="22"/>
        </w:rPr>
      </w:pPr>
      <w:bookmarkStart w:name="1. Create and expand community-based pub" w:id="39"/>
      <w:bookmarkEnd w:id="39"/>
      <w:r>
        <w:rPr/>
      </w:r>
      <w:r>
        <w:rPr>
          <w:sz w:val="22"/>
        </w:rPr>
        <w:t>Create and expand community-based public health programming that is accessible and engaging to youth with the most barriers to access, with specific attention to youth in rural </w:t>
      </w:r>
      <w:r>
        <w:rPr>
          <w:spacing w:val="-2"/>
          <w:sz w:val="22"/>
        </w:rPr>
        <w:t>communities.</w:t>
      </w:r>
    </w:p>
    <w:p>
      <w:pPr>
        <w:pStyle w:val="ListParagraph"/>
        <w:numPr>
          <w:ilvl w:val="0"/>
          <w:numId w:val="4"/>
        </w:numPr>
        <w:tabs>
          <w:tab w:pos="1179" w:val="left" w:leader="none"/>
        </w:tabs>
        <w:spacing w:line="240" w:lineRule="auto" w:before="239" w:after="0"/>
        <w:ind w:left="1179" w:right="0" w:hanging="359"/>
        <w:jc w:val="left"/>
        <w:rPr>
          <w:sz w:val="22"/>
        </w:rPr>
      </w:pPr>
      <w:bookmarkStart w:name="2. Increase funding to organizations tha" w:id="40"/>
      <w:bookmarkEnd w:id="40"/>
      <w:r>
        <w:rPr/>
      </w:r>
      <w:r>
        <w:rPr>
          <w:sz w:val="22"/>
        </w:rPr>
        <w:t>Increase</w:t>
      </w:r>
      <w:r>
        <w:rPr>
          <w:spacing w:val="-10"/>
          <w:sz w:val="22"/>
        </w:rPr>
        <w:t> </w:t>
      </w:r>
      <w:r>
        <w:rPr>
          <w:sz w:val="22"/>
        </w:rPr>
        <w:t>funding</w:t>
      </w:r>
      <w:r>
        <w:rPr>
          <w:spacing w:val="-8"/>
          <w:sz w:val="22"/>
        </w:rPr>
        <w:t> </w:t>
      </w:r>
      <w:r>
        <w:rPr>
          <w:sz w:val="22"/>
        </w:rPr>
        <w:t>to</w:t>
      </w:r>
      <w:r>
        <w:rPr>
          <w:spacing w:val="-8"/>
          <w:sz w:val="22"/>
        </w:rPr>
        <w:t> </w:t>
      </w:r>
      <w:r>
        <w:rPr>
          <w:sz w:val="22"/>
        </w:rPr>
        <w:t>organizations</w:t>
      </w:r>
      <w:r>
        <w:rPr>
          <w:spacing w:val="-10"/>
          <w:sz w:val="22"/>
        </w:rPr>
        <w:t> </w:t>
      </w:r>
      <w:r>
        <w:rPr>
          <w:sz w:val="22"/>
        </w:rPr>
        <w:t>that</w:t>
      </w:r>
      <w:r>
        <w:rPr>
          <w:spacing w:val="-8"/>
          <w:sz w:val="22"/>
        </w:rPr>
        <w:t> </w:t>
      </w:r>
      <w:r>
        <w:rPr>
          <w:sz w:val="22"/>
        </w:rPr>
        <w:t>support</w:t>
      </w:r>
      <w:r>
        <w:rPr>
          <w:spacing w:val="-9"/>
          <w:sz w:val="22"/>
        </w:rPr>
        <w:t> </w:t>
      </w:r>
      <w:r>
        <w:rPr>
          <w:sz w:val="22"/>
        </w:rPr>
        <w:t>LGBTQ</w:t>
      </w:r>
      <w:r>
        <w:rPr>
          <w:spacing w:val="-8"/>
          <w:sz w:val="22"/>
        </w:rPr>
        <w:t> </w:t>
      </w:r>
      <w:r>
        <w:rPr>
          <w:sz w:val="22"/>
        </w:rPr>
        <w:t>survivors</w:t>
      </w:r>
      <w:r>
        <w:rPr>
          <w:spacing w:val="-9"/>
          <w:sz w:val="22"/>
        </w:rPr>
        <w:t> </w:t>
      </w:r>
      <w:r>
        <w:rPr>
          <w:sz w:val="22"/>
        </w:rPr>
        <w:t>of</w:t>
      </w:r>
      <w:r>
        <w:rPr>
          <w:spacing w:val="-9"/>
          <w:sz w:val="22"/>
        </w:rPr>
        <w:t> </w:t>
      </w:r>
      <w:r>
        <w:rPr>
          <w:sz w:val="22"/>
        </w:rPr>
        <w:t>intimate</w:t>
      </w:r>
      <w:r>
        <w:rPr>
          <w:spacing w:val="-9"/>
          <w:sz w:val="22"/>
        </w:rPr>
        <w:t> </w:t>
      </w:r>
      <w:r>
        <w:rPr>
          <w:sz w:val="22"/>
        </w:rPr>
        <w:t>partner</w:t>
      </w:r>
      <w:r>
        <w:rPr>
          <w:spacing w:val="-10"/>
          <w:sz w:val="22"/>
        </w:rPr>
        <w:t> </w:t>
      </w:r>
      <w:r>
        <w:rPr>
          <w:spacing w:val="-2"/>
          <w:sz w:val="22"/>
        </w:rPr>
        <w:t>violence.</w:t>
      </w:r>
    </w:p>
    <w:p>
      <w:pPr>
        <w:pStyle w:val="BodyText"/>
        <w:spacing w:before="11"/>
      </w:pPr>
    </w:p>
    <w:p>
      <w:pPr>
        <w:pStyle w:val="ListParagraph"/>
        <w:numPr>
          <w:ilvl w:val="0"/>
          <w:numId w:val="4"/>
        </w:numPr>
        <w:tabs>
          <w:tab w:pos="1178" w:val="left" w:leader="none"/>
          <w:tab w:pos="1180" w:val="left" w:leader="none"/>
        </w:tabs>
        <w:spacing w:line="273" w:lineRule="auto" w:before="1" w:after="0"/>
        <w:ind w:left="1180" w:right="638" w:hanging="360"/>
        <w:jc w:val="both"/>
        <w:rPr>
          <w:sz w:val="22"/>
        </w:rPr>
      </w:pPr>
      <w:r>
        <w:rPr>
          <w:sz w:val="21"/>
        </w:rPr>
        <w:t>Ensure that public schools, colleges, and universities have comprehensive anti-bullying, anti- cyberbullying, and anti-harassment policies.</w:t>
      </w:r>
    </w:p>
    <w:p>
      <w:pPr>
        <w:pStyle w:val="ListParagraph"/>
        <w:numPr>
          <w:ilvl w:val="0"/>
          <w:numId w:val="4"/>
        </w:numPr>
        <w:tabs>
          <w:tab w:pos="1179" w:val="left" w:leader="none"/>
        </w:tabs>
        <w:spacing w:line="276" w:lineRule="auto" w:before="0" w:after="0"/>
        <w:ind w:left="1179" w:right="637" w:hanging="360"/>
        <w:jc w:val="both"/>
        <w:rPr>
          <w:sz w:val="21"/>
        </w:rPr>
      </w:pPr>
      <w:r>
        <w:rPr>
          <w:sz w:val="21"/>
        </w:rPr>
        <w:t>Decriminalize sex work and increase resources to programs working with youth at risk of commercial sex trafficking.</w:t>
      </w:r>
    </w:p>
    <w:p>
      <w:pPr>
        <w:pStyle w:val="ListParagraph"/>
        <w:numPr>
          <w:ilvl w:val="0"/>
          <w:numId w:val="4"/>
        </w:numPr>
        <w:tabs>
          <w:tab w:pos="1178" w:val="left" w:leader="none"/>
          <w:tab w:pos="1180" w:val="left" w:leader="none"/>
        </w:tabs>
        <w:spacing w:line="276" w:lineRule="auto" w:before="241" w:after="0"/>
        <w:ind w:left="1180" w:right="640" w:hanging="361"/>
        <w:jc w:val="both"/>
        <w:rPr>
          <w:sz w:val="22"/>
        </w:rPr>
      </w:pPr>
      <w:bookmarkStart w:name="5. Decriminalize consensual teen sex/sex" w:id="41"/>
      <w:bookmarkEnd w:id="41"/>
      <w:r>
        <w:rPr/>
      </w:r>
      <w:r>
        <w:rPr>
          <w:sz w:val="22"/>
        </w:rPr>
        <w:t>Decriminalize consensual teen sex/sexting and adjust the current age of consent laws for minors engaging in consensual sexual activity.</w:t>
      </w:r>
    </w:p>
    <w:p>
      <w:pPr>
        <w:pStyle w:val="ListParagraph"/>
        <w:numPr>
          <w:ilvl w:val="0"/>
          <w:numId w:val="4"/>
        </w:numPr>
        <w:tabs>
          <w:tab w:pos="1178" w:val="left" w:leader="none"/>
          <w:tab w:pos="1180" w:val="left" w:leader="none"/>
        </w:tabs>
        <w:spacing w:line="276" w:lineRule="auto" w:before="239" w:after="0"/>
        <w:ind w:left="1180" w:right="640" w:hanging="361"/>
        <w:jc w:val="both"/>
        <w:rPr>
          <w:sz w:val="22"/>
        </w:rPr>
      </w:pPr>
      <w:bookmarkStart w:name="6. Continue to increase access to sexual" w:id="42"/>
      <w:bookmarkEnd w:id="42"/>
      <w:r>
        <w:rPr/>
      </w:r>
      <w:r>
        <w:rPr>
          <w:sz w:val="22"/>
        </w:rPr>
        <w:t>Continue to increase access to sexually transmitted infection screenings, prevention, and </w:t>
      </w:r>
      <w:r>
        <w:rPr>
          <w:spacing w:val="-2"/>
          <w:sz w:val="22"/>
        </w:rPr>
        <w:t>treatment.</w:t>
      </w:r>
    </w:p>
    <w:p>
      <w:pPr>
        <w:spacing w:after="0" w:line="276" w:lineRule="auto"/>
        <w:jc w:val="both"/>
        <w:rPr>
          <w:sz w:val="22"/>
        </w:rPr>
        <w:sectPr>
          <w:headerReference w:type="default" r:id="rId24"/>
          <w:footerReference w:type="default" r:id="rId25"/>
          <w:pgSz w:w="12240" w:h="15840"/>
          <w:pgMar w:header="1227" w:footer="1061" w:top="1500" w:bottom="1260" w:left="980" w:right="1160"/>
        </w:sectPr>
      </w:pPr>
    </w:p>
    <w:p>
      <w:pPr>
        <w:pStyle w:val="BodyText"/>
        <w:spacing w:before="41"/>
        <w:rPr>
          <w:sz w:val="21"/>
        </w:rPr>
      </w:pPr>
    </w:p>
    <w:p>
      <w:pPr>
        <w:spacing w:line="276" w:lineRule="auto" w:before="0"/>
        <w:ind w:left="603" w:right="419" w:firstLine="0"/>
        <w:jc w:val="both"/>
        <w:rPr>
          <w:sz w:val="21"/>
        </w:rPr>
      </w:pPr>
      <w:bookmarkStart w:name="Supporting Mental Health (2023)" w:id="43"/>
      <w:bookmarkEnd w:id="43"/>
      <w:r>
        <w:rPr/>
      </w:r>
      <w:r>
        <w:rPr>
          <w:sz w:val="21"/>
        </w:rPr>
        <w:t>The</w:t>
      </w:r>
      <w:r>
        <w:rPr>
          <w:spacing w:val="-9"/>
          <w:sz w:val="21"/>
        </w:rPr>
        <w:t> </w:t>
      </w:r>
      <w:r>
        <w:rPr>
          <w:sz w:val="21"/>
        </w:rPr>
        <w:t>personal</w:t>
      </w:r>
      <w:r>
        <w:rPr>
          <w:spacing w:val="-10"/>
          <w:sz w:val="21"/>
        </w:rPr>
        <w:t> </w:t>
      </w:r>
      <w:r>
        <w:rPr>
          <w:sz w:val="21"/>
        </w:rPr>
        <w:t>is</w:t>
      </w:r>
      <w:r>
        <w:rPr>
          <w:spacing w:val="-11"/>
          <w:sz w:val="21"/>
        </w:rPr>
        <w:t> </w:t>
      </w:r>
      <w:r>
        <w:rPr>
          <w:sz w:val="21"/>
        </w:rPr>
        <w:t>political</w:t>
      </w:r>
      <w:r>
        <w:rPr>
          <w:spacing w:val="-11"/>
          <w:sz w:val="21"/>
        </w:rPr>
        <w:t> </w:t>
      </w:r>
      <w:r>
        <w:rPr>
          <w:sz w:val="21"/>
        </w:rPr>
        <w:t>–</w:t>
      </w:r>
      <w:r>
        <w:rPr>
          <w:spacing w:val="-10"/>
          <w:sz w:val="21"/>
        </w:rPr>
        <w:t> </w:t>
      </w:r>
      <w:r>
        <w:rPr>
          <w:sz w:val="21"/>
        </w:rPr>
        <w:t>and</w:t>
      </w:r>
      <w:r>
        <w:rPr>
          <w:spacing w:val="-10"/>
          <w:sz w:val="21"/>
        </w:rPr>
        <w:t> </w:t>
      </w:r>
      <w:r>
        <w:rPr>
          <w:sz w:val="21"/>
        </w:rPr>
        <w:t>that</w:t>
      </w:r>
      <w:r>
        <w:rPr>
          <w:spacing w:val="-10"/>
          <w:sz w:val="21"/>
        </w:rPr>
        <w:t> </w:t>
      </w:r>
      <w:r>
        <w:rPr>
          <w:sz w:val="21"/>
        </w:rPr>
        <w:t>includes</w:t>
      </w:r>
      <w:r>
        <w:rPr>
          <w:spacing w:val="-11"/>
          <w:sz w:val="21"/>
        </w:rPr>
        <w:t> </w:t>
      </w:r>
      <w:r>
        <w:rPr>
          <w:sz w:val="21"/>
        </w:rPr>
        <w:t>mental</w:t>
      </w:r>
      <w:r>
        <w:rPr>
          <w:spacing w:val="-10"/>
          <w:sz w:val="21"/>
        </w:rPr>
        <w:t> </w:t>
      </w:r>
      <w:r>
        <w:rPr>
          <w:sz w:val="21"/>
        </w:rPr>
        <w:t>health.</w:t>
      </w:r>
      <w:r>
        <w:rPr>
          <w:spacing w:val="-11"/>
          <w:sz w:val="21"/>
        </w:rPr>
        <w:t> </w:t>
      </w:r>
      <w:r>
        <w:rPr>
          <w:sz w:val="21"/>
        </w:rPr>
        <w:t>Across</w:t>
      </w:r>
      <w:r>
        <w:rPr>
          <w:spacing w:val="-11"/>
          <w:sz w:val="21"/>
        </w:rPr>
        <w:t> </w:t>
      </w:r>
      <w:r>
        <w:rPr>
          <w:sz w:val="21"/>
        </w:rPr>
        <w:t>the</w:t>
      </w:r>
      <w:r>
        <w:rPr>
          <w:spacing w:val="-10"/>
          <w:sz w:val="21"/>
        </w:rPr>
        <w:t> </w:t>
      </w:r>
      <w:r>
        <w:rPr>
          <w:sz w:val="21"/>
        </w:rPr>
        <w:t>Commonwealth,</w:t>
      </w:r>
      <w:r>
        <w:rPr>
          <w:spacing w:val="-10"/>
          <w:sz w:val="21"/>
        </w:rPr>
        <w:t> </w:t>
      </w:r>
      <w:r>
        <w:rPr>
          <w:sz w:val="21"/>
        </w:rPr>
        <w:t>LGBTQ</w:t>
      </w:r>
      <w:r>
        <w:rPr>
          <w:spacing w:val="-10"/>
          <w:sz w:val="21"/>
        </w:rPr>
        <w:t> </w:t>
      </w:r>
      <w:r>
        <w:rPr>
          <w:sz w:val="21"/>
        </w:rPr>
        <w:t>youth</w:t>
      </w:r>
      <w:r>
        <w:rPr>
          <w:spacing w:val="-10"/>
          <w:sz w:val="21"/>
        </w:rPr>
        <w:t> </w:t>
      </w:r>
      <w:r>
        <w:rPr>
          <w:sz w:val="21"/>
        </w:rPr>
        <w:t>mental health</w:t>
      </w:r>
      <w:r>
        <w:rPr>
          <w:spacing w:val="-4"/>
          <w:sz w:val="21"/>
        </w:rPr>
        <w:t> </w:t>
      </w:r>
      <w:r>
        <w:rPr>
          <w:sz w:val="21"/>
        </w:rPr>
        <w:t>is</w:t>
      </w:r>
      <w:r>
        <w:rPr>
          <w:spacing w:val="-5"/>
          <w:sz w:val="21"/>
        </w:rPr>
        <w:t> </w:t>
      </w:r>
      <w:r>
        <w:rPr>
          <w:sz w:val="21"/>
        </w:rPr>
        <w:t>in</w:t>
      </w:r>
      <w:r>
        <w:rPr>
          <w:spacing w:val="-4"/>
          <w:sz w:val="21"/>
        </w:rPr>
        <w:t> </w:t>
      </w:r>
      <w:r>
        <w:rPr>
          <w:sz w:val="21"/>
        </w:rPr>
        <w:t>crisis.</w:t>
      </w:r>
      <w:r>
        <w:rPr>
          <w:spacing w:val="-5"/>
          <w:sz w:val="21"/>
        </w:rPr>
        <w:t> </w:t>
      </w:r>
      <w:r>
        <w:rPr>
          <w:sz w:val="21"/>
        </w:rPr>
        <w:t>Last</w:t>
      </w:r>
      <w:r>
        <w:rPr>
          <w:spacing w:val="-4"/>
          <w:sz w:val="21"/>
        </w:rPr>
        <w:t> </w:t>
      </w:r>
      <w:r>
        <w:rPr>
          <w:sz w:val="21"/>
        </w:rPr>
        <w:t>year,</w:t>
      </w:r>
      <w:r>
        <w:rPr>
          <w:spacing w:val="-4"/>
          <w:sz w:val="21"/>
        </w:rPr>
        <w:t> </w:t>
      </w:r>
      <w:r>
        <w:rPr>
          <w:sz w:val="21"/>
        </w:rPr>
        <w:t>LGBTQ</w:t>
      </w:r>
      <w:r>
        <w:rPr>
          <w:spacing w:val="-4"/>
          <w:sz w:val="21"/>
        </w:rPr>
        <w:t> </w:t>
      </w:r>
      <w:r>
        <w:rPr>
          <w:sz w:val="21"/>
        </w:rPr>
        <w:t>youth</w:t>
      </w:r>
      <w:r>
        <w:rPr>
          <w:spacing w:val="-4"/>
          <w:sz w:val="21"/>
        </w:rPr>
        <w:t> </w:t>
      </w:r>
      <w:r>
        <w:rPr>
          <w:sz w:val="21"/>
        </w:rPr>
        <w:t>reported</w:t>
      </w:r>
      <w:r>
        <w:rPr>
          <w:spacing w:val="-4"/>
          <w:sz w:val="21"/>
        </w:rPr>
        <w:t> </w:t>
      </w:r>
      <w:r>
        <w:rPr>
          <w:sz w:val="21"/>
        </w:rPr>
        <w:t>alarmingly</w:t>
      </w:r>
      <w:r>
        <w:rPr>
          <w:spacing w:val="-5"/>
          <w:sz w:val="21"/>
        </w:rPr>
        <w:t> </w:t>
      </w:r>
      <w:r>
        <w:rPr>
          <w:sz w:val="21"/>
        </w:rPr>
        <w:t>high</w:t>
      </w:r>
      <w:r>
        <w:rPr>
          <w:spacing w:val="-4"/>
          <w:sz w:val="21"/>
        </w:rPr>
        <w:t> </w:t>
      </w:r>
      <w:r>
        <w:rPr>
          <w:sz w:val="21"/>
        </w:rPr>
        <w:t>levels</w:t>
      </w:r>
      <w:r>
        <w:rPr>
          <w:spacing w:val="-5"/>
          <w:sz w:val="21"/>
        </w:rPr>
        <w:t> </w:t>
      </w:r>
      <w:r>
        <w:rPr>
          <w:sz w:val="21"/>
        </w:rPr>
        <w:t>of</w:t>
      </w:r>
      <w:r>
        <w:rPr>
          <w:spacing w:val="-5"/>
          <w:sz w:val="21"/>
        </w:rPr>
        <w:t> </w:t>
      </w:r>
      <w:r>
        <w:rPr>
          <w:sz w:val="21"/>
        </w:rPr>
        <w:t>depression,</w:t>
      </w:r>
      <w:r>
        <w:rPr>
          <w:spacing w:val="-4"/>
          <w:sz w:val="21"/>
        </w:rPr>
        <w:t> </w:t>
      </w:r>
      <w:r>
        <w:rPr>
          <w:sz w:val="21"/>
        </w:rPr>
        <w:t>anxiety,</w:t>
      </w:r>
      <w:r>
        <w:rPr>
          <w:spacing w:val="-4"/>
          <w:sz w:val="21"/>
        </w:rPr>
        <w:t> </w:t>
      </w:r>
      <w:r>
        <w:rPr>
          <w:sz w:val="21"/>
        </w:rPr>
        <w:t>suicidality, and trauma, yet most who wanted mental healthcare did not receive it. In this report, the Commission discusses ways that allies across many fields can promote evidence-based, intersectional, and trauma- informed</w:t>
      </w:r>
      <w:r>
        <w:rPr>
          <w:spacing w:val="-3"/>
          <w:sz w:val="21"/>
        </w:rPr>
        <w:t> </w:t>
      </w:r>
      <w:r>
        <w:rPr>
          <w:sz w:val="21"/>
        </w:rPr>
        <w:t>mental</w:t>
      </w:r>
      <w:r>
        <w:rPr>
          <w:spacing w:val="-3"/>
          <w:sz w:val="21"/>
        </w:rPr>
        <w:t> </w:t>
      </w:r>
      <w:r>
        <w:rPr>
          <w:sz w:val="21"/>
        </w:rPr>
        <w:t>healthcare</w:t>
      </w:r>
      <w:r>
        <w:rPr>
          <w:spacing w:val="-5"/>
          <w:sz w:val="21"/>
        </w:rPr>
        <w:t> </w:t>
      </w:r>
      <w:r>
        <w:rPr>
          <w:sz w:val="21"/>
        </w:rPr>
        <w:t>for</w:t>
      </w:r>
      <w:r>
        <w:rPr>
          <w:spacing w:val="-3"/>
          <w:sz w:val="21"/>
        </w:rPr>
        <w:t> </w:t>
      </w:r>
      <w:r>
        <w:rPr>
          <w:sz w:val="21"/>
        </w:rPr>
        <w:t>LGBTQ</w:t>
      </w:r>
      <w:r>
        <w:rPr>
          <w:spacing w:val="-3"/>
          <w:sz w:val="21"/>
        </w:rPr>
        <w:t> </w:t>
      </w:r>
      <w:r>
        <w:rPr>
          <w:sz w:val="21"/>
        </w:rPr>
        <w:t>youth,</w:t>
      </w:r>
      <w:r>
        <w:rPr>
          <w:spacing w:val="-3"/>
          <w:sz w:val="21"/>
        </w:rPr>
        <w:t> </w:t>
      </w:r>
      <w:r>
        <w:rPr>
          <w:sz w:val="21"/>
        </w:rPr>
        <w:t>all</w:t>
      </w:r>
      <w:r>
        <w:rPr>
          <w:spacing w:val="-4"/>
          <w:sz w:val="21"/>
        </w:rPr>
        <w:t> </w:t>
      </w:r>
      <w:r>
        <w:rPr>
          <w:sz w:val="21"/>
        </w:rPr>
        <w:t>while</w:t>
      </w:r>
      <w:r>
        <w:rPr>
          <w:spacing w:val="-4"/>
          <w:sz w:val="21"/>
        </w:rPr>
        <w:t> </w:t>
      </w:r>
      <w:r>
        <w:rPr>
          <w:sz w:val="21"/>
        </w:rPr>
        <w:t>highlighting</w:t>
      </w:r>
      <w:r>
        <w:rPr>
          <w:spacing w:val="-3"/>
          <w:sz w:val="21"/>
        </w:rPr>
        <w:t> </w:t>
      </w:r>
      <w:r>
        <w:rPr>
          <w:sz w:val="21"/>
        </w:rPr>
        <w:t>youths’</w:t>
      </w:r>
      <w:r>
        <w:rPr>
          <w:spacing w:val="-3"/>
          <w:sz w:val="21"/>
        </w:rPr>
        <w:t> </w:t>
      </w:r>
      <w:r>
        <w:rPr>
          <w:sz w:val="21"/>
        </w:rPr>
        <w:t>voices</w:t>
      </w:r>
      <w:r>
        <w:rPr>
          <w:spacing w:val="-3"/>
          <w:sz w:val="21"/>
        </w:rPr>
        <w:t> </w:t>
      </w:r>
      <w:r>
        <w:rPr>
          <w:sz w:val="21"/>
        </w:rPr>
        <w:t>and</w:t>
      </w:r>
      <w:r>
        <w:rPr>
          <w:spacing w:val="-3"/>
          <w:sz w:val="21"/>
        </w:rPr>
        <w:t> </w:t>
      </w:r>
      <w:r>
        <w:rPr>
          <w:sz w:val="21"/>
        </w:rPr>
        <w:t>strengths.</w:t>
      </w:r>
      <w:r>
        <w:rPr>
          <w:spacing w:val="-3"/>
          <w:sz w:val="21"/>
        </w:rPr>
        <w:t> </w:t>
      </w:r>
      <w:r>
        <w:rPr>
          <w:sz w:val="21"/>
        </w:rPr>
        <w:t>From</w:t>
      </w:r>
      <w:r>
        <w:rPr>
          <w:spacing w:val="-3"/>
          <w:sz w:val="21"/>
        </w:rPr>
        <w:t> </w:t>
      </w:r>
      <w:r>
        <w:rPr>
          <w:sz w:val="21"/>
        </w:rPr>
        <w:t>the classroom to the campaign trail, discrimination wears down LGBTQ youths’ physical, social, and mental health on an everyday basis; LGBTQ youth mental health is a community-wide issue that deserves community-based</w:t>
      </w:r>
      <w:r>
        <w:rPr>
          <w:spacing w:val="-5"/>
          <w:sz w:val="21"/>
        </w:rPr>
        <w:t> </w:t>
      </w:r>
      <w:r>
        <w:rPr>
          <w:sz w:val="21"/>
        </w:rPr>
        <w:t>solutions</w:t>
      </w:r>
      <w:r>
        <w:rPr>
          <w:spacing w:val="-5"/>
          <w:sz w:val="21"/>
        </w:rPr>
        <w:t> </w:t>
      </w:r>
      <w:r>
        <w:rPr>
          <w:sz w:val="21"/>
        </w:rPr>
        <w:t>–</w:t>
      </w:r>
      <w:r>
        <w:rPr>
          <w:spacing w:val="-6"/>
          <w:sz w:val="21"/>
        </w:rPr>
        <w:t> </w:t>
      </w:r>
      <w:r>
        <w:rPr>
          <w:sz w:val="21"/>
        </w:rPr>
        <w:t>and</w:t>
      </w:r>
      <w:r>
        <w:rPr>
          <w:spacing w:val="-5"/>
          <w:sz w:val="21"/>
        </w:rPr>
        <w:t> </w:t>
      </w:r>
      <w:r>
        <w:rPr>
          <w:sz w:val="21"/>
        </w:rPr>
        <w:t>everyone</w:t>
      </w:r>
      <w:r>
        <w:rPr>
          <w:spacing w:val="-5"/>
          <w:sz w:val="21"/>
        </w:rPr>
        <w:t> </w:t>
      </w:r>
      <w:r>
        <w:rPr>
          <w:sz w:val="21"/>
        </w:rPr>
        <w:t>has</w:t>
      </w:r>
      <w:r>
        <w:rPr>
          <w:spacing w:val="-6"/>
          <w:sz w:val="21"/>
        </w:rPr>
        <w:t> </w:t>
      </w:r>
      <w:r>
        <w:rPr>
          <w:sz w:val="21"/>
        </w:rPr>
        <w:t>a</w:t>
      </w:r>
      <w:r>
        <w:rPr>
          <w:spacing w:val="-5"/>
          <w:sz w:val="21"/>
        </w:rPr>
        <w:t> </w:t>
      </w:r>
      <w:r>
        <w:rPr>
          <w:sz w:val="21"/>
        </w:rPr>
        <w:t>part</w:t>
      </w:r>
      <w:r>
        <w:rPr>
          <w:spacing w:val="-5"/>
          <w:sz w:val="21"/>
        </w:rPr>
        <w:t> </w:t>
      </w:r>
      <w:r>
        <w:rPr>
          <w:sz w:val="21"/>
        </w:rPr>
        <w:t>to</w:t>
      </w:r>
      <w:r>
        <w:rPr>
          <w:spacing w:val="-6"/>
          <w:sz w:val="21"/>
        </w:rPr>
        <w:t> </w:t>
      </w:r>
      <w:r>
        <w:rPr>
          <w:sz w:val="21"/>
        </w:rPr>
        <w:t>play.</w:t>
      </w:r>
      <w:r>
        <w:rPr>
          <w:spacing w:val="-6"/>
          <w:sz w:val="21"/>
        </w:rPr>
        <w:t> </w:t>
      </w:r>
      <w:r>
        <w:rPr>
          <w:sz w:val="21"/>
        </w:rPr>
        <w:t>For</w:t>
      </w:r>
      <w:r>
        <w:rPr>
          <w:spacing w:val="-5"/>
          <w:sz w:val="21"/>
        </w:rPr>
        <w:t> </w:t>
      </w:r>
      <w:r>
        <w:rPr>
          <w:sz w:val="21"/>
        </w:rPr>
        <w:t>this</w:t>
      </w:r>
      <w:r>
        <w:rPr>
          <w:spacing w:val="-6"/>
          <w:sz w:val="21"/>
        </w:rPr>
        <w:t> </w:t>
      </w:r>
      <w:r>
        <w:rPr>
          <w:sz w:val="21"/>
        </w:rPr>
        <w:t>dedicated</w:t>
      </w:r>
      <w:r>
        <w:rPr>
          <w:spacing w:val="-5"/>
          <w:sz w:val="21"/>
        </w:rPr>
        <w:t> </w:t>
      </w:r>
      <w:r>
        <w:rPr>
          <w:sz w:val="21"/>
        </w:rPr>
        <w:t>section</w:t>
      </w:r>
      <w:r>
        <w:rPr>
          <w:spacing w:val="-5"/>
          <w:sz w:val="21"/>
        </w:rPr>
        <w:t> </w:t>
      </w:r>
      <w:r>
        <w:rPr>
          <w:sz w:val="21"/>
        </w:rPr>
        <w:t>on</w:t>
      </w:r>
      <w:r>
        <w:rPr>
          <w:spacing w:val="-5"/>
          <w:sz w:val="21"/>
        </w:rPr>
        <w:t> </w:t>
      </w:r>
      <w:r>
        <w:rPr>
          <w:sz w:val="21"/>
        </w:rPr>
        <w:t>mental</w:t>
      </w:r>
      <w:r>
        <w:rPr>
          <w:spacing w:val="-5"/>
          <w:sz w:val="21"/>
        </w:rPr>
        <w:t> </w:t>
      </w:r>
      <w:r>
        <w:rPr>
          <w:sz w:val="21"/>
        </w:rPr>
        <w:t>health, the Commission’s recommendations center around three key principles: recognize that discrimination causes</w:t>
      </w:r>
      <w:r>
        <w:rPr>
          <w:spacing w:val="-12"/>
          <w:sz w:val="21"/>
        </w:rPr>
        <w:t> </w:t>
      </w:r>
      <w:r>
        <w:rPr>
          <w:sz w:val="21"/>
        </w:rPr>
        <w:t>trauma,</w:t>
      </w:r>
      <w:r>
        <w:rPr>
          <w:spacing w:val="-12"/>
          <w:sz w:val="21"/>
        </w:rPr>
        <w:t> </w:t>
      </w:r>
      <w:r>
        <w:rPr>
          <w:sz w:val="21"/>
        </w:rPr>
        <w:t>invest</w:t>
      </w:r>
      <w:r>
        <w:rPr>
          <w:spacing w:val="-11"/>
          <w:sz w:val="21"/>
        </w:rPr>
        <w:t> </w:t>
      </w:r>
      <w:r>
        <w:rPr>
          <w:sz w:val="21"/>
        </w:rPr>
        <w:t>in</w:t>
      </w:r>
      <w:r>
        <w:rPr>
          <w:spacing w:val="-11"/>
          <w:sz w:val="21"/>
        </w:rPr>
        <w:t> </w:t>
      </w:r>
      <w:r>
        <w:rPr>
          <w:sz w:val="21"/>
        </w:rPr>
        <w:t>early</w:t>
      </w:r>
      <w:r>
        <w:rPr>
          <w:spacing w:val="-12"/>
          <w:sz w:val="21"/>
        </w:rPr>
        <w:t> </w:t>
      </w:r>
      <w:r>
        <w:rPr>
          <w:sz w:val="21"/>
        </w:rPr>
        <w:t>intervention,</w:t>
      </w:r>
      <w:r>
        <w:rPr>
          <w:spacing w:val="-11"/>
          <w:sz w:val="21"/>
        </w:rPr>
        <w:t> </w:t>
      </w:r>
      <w:r>
        <w:rPr>
          <w:sz w:val="21"/>
        </w:rPr>
        <w:t>and</w:t>
      </w:r>
      <w:r>
        <w:rPr>
          <w:spacing w:val="-11"/>
          <w:sz w:val="21"/>
        </w:rPr>
        <w:t> </w:t>
      </w:r>
      <w:r>
        <w:rPr>
          <w:sz w:val="21"/>
        </w:rPr>
        <w:t>fuel</w:t>
      </w:r>
      <w:r>
        <w:rPr>
          <w:spacing w:val="-12"/>
          <w:sz w:val="21"/>
        </w:rPr>
        <w:t> </w:t>
      </w:r>
      <w:r>
        <w:rPr>
          <w:sz w:val="21"/>
        </w:rPr>
        <w:t>systemic</w:t>
      </w:r>
      <w:r>
        <w:rPr>
          <w:spacing w:val="-12"/>
          <w:sz w:val="21"/>
        </w:rPr>
        <w:t> </w:t>
      </w:r>
      <w:r>
        <w:rPr>
          <w:sz w:val="21"/>
        </w:rPr>
        <w:t>change</w:t>
      </w:r>
      <w:r>
        <w:rPr>
          <w:spacing w:val="-12"/>
          <w:sz w:val="21"/>
        </w:rPr>
        <w:t> </w:t>
      </w:r>
      <w:r>
        <w:rPr>
          <w:sz w:val="21"/>
        </w:rPr>
        <w:t>rather</w:t>
      </w:r>
      <w:r>
        <w:rPr>
          <w:spacing w:val="-11"/>
          <w:sz w:val="21"/>
        </w:rPr>
        <w:t> </w:t>
      </w:r>
      <w:r>
        <w:rPr>
          <w:sz w:val="21"/>
        </w:rPr>
        <w:t>than</w:t>
      </w:r>
      <w:r>
        <w:rPr>
          <w:spacing w:val="-11"/>
          <w:sz w:val="21"/>
        </w:rPr>
        <w:t> </w:t>
      </w:r>
      <w:r>
        <w:rPr>
          <w:sz w:val="21"/>
        </w:rPr>
        <w:t>focusing</w:t>
      </w:r>
      <w:r>
        <w:rPr>
          <w:spacing w:val="-12"/>
          <w:sz w:val="21"/>
        </w:rPr>
        <w:t> </w:t>
      </w:r>
      <w:r>
        <w:rPr>
          <w:sz w:val="21"/>
        </w:rPr>
        <w:t>only</w:t>
      </w:r>
      <w:r>
        <w:rPr>
          <w:spacing w:val="-11"/>
          <w:sz w:val="21"/>
        </w:rPr>
        <w:t> </w:t>
      </w:r>
      <w:r>
        <w:rPr>
          <w:sz w:val="21"/>
        </w:rPr>
        <w:t>on</w:t>
      </w:r>
      <w:r>
        <w:rPr>
          <w:spacing w:val="-11"/>
          <w:sz w:val="21"/>
        </w:rPr>
        <w:t> </w:t>
      </w:r>
      <w:r>
        <w:rPr>
          <w:sz w:val="21"/>
        </w:rPr>
        <w:t>individual </w:t>
      </w:r>
      <w:r>
        <w:rPr>
          <w:spacing w:val="-2"/>
          <w:sz w:val="21"/>
        </w:rPr>
        <w:t>therapy.</w:t>
      </w:r>
    </w:p>
    <w:p>
      <w:pPr>
        <w:spacing w:line="276" w:lineRule="auto" w:before="240"/>
        <w:ind w:left="454" w:right="269" w:firstLine="0"/>
        <w:jc w:val="center"/>
        <w:rPr>
          <w:i/>
          <w:sz w:val="21"/>
        </w:rPr>
      </w:pPr>
      <w:r>
        <w:rPr>
          <w:i/>
          <w:color w:val="4F81BC"/>
          <w:sz w:val="21"/>
        </w:rPr>
        <w:t>“If</w:t>
      </w:r>
      <w:r>
        <w:rPr>
          <w:i/>
          <w:color w:val="4F81BC"/>
          <w:spacing w:val="-2"/>
          <w:sz w:val="21"/>
        </w:rPr>
        <w:t> </w:t>
      </w:r>
      <w:r>
        <w:rPr>
          <w:i/>
          <w:color w:val="4F81BC"/>
          <w:sz w:val="21"/>
        </w:rPr>
        <w:t>I</w:t>
      </w:r>
      <w:r>
        <w:rPr>
          <w:i/>
          <w:color w:val="4F81BC"/>
          <w:spacing w:val="-2"/>
          <w:sz w:val="21"/>
        </w:rPr>
        <w:t> </w:t>
      </w:r>
      <w:r>
        <w:rPr>
          <w:i/>
          <w:color w:val="4F81BC"/>
          <w:sz w:val="21"/>
        </w:rPr>
        <w:t>am</w:t>
      </w:r>
      <w:r>
        <w:rPr>
          <w:i/>
          <w:color w:val="4F81BC"/>
          <w:spacing w:val="-2"/>
          <w:sz w:val="21"/>
        </w:rPr>
        <w:t> </w:t>
      </w:r>
      <w:r>
        <w:rPr>
          <w:i/>
          <w:color w:val="4F81BC"/>
          <w:sz w:val="21"/>
        </w:rPr>
        <w:t>depressed</w:t>
      </w:r>
      <w:r>
        <w:rPr>
          <w:i/>
          <w:color w:val="4F81BC"/>
          <w:spacing w:val="-2"/>
          <w:sz w:val="21"/>
        </w:rPr>
        <w:t> </w:t>
      </w:r>
      <w:r>
        <w:rPr>
          <w:i/>
          <w:color w:val="4F81BC"/>
          <w:sz w:val="21"/>
        </w:rPr>
        <w:t>or</w:t>
      </w:r>
      <w:r>
        <w:rPr>
          <w:i/>
          <w:color w:val="4F81BC"/>
          <w:spacing w:val="-2"/>
          <w:sz w:val="21"/>
        </w:rPr>
        <w:t> </w:t>
      </w:r>
      <w:r>
        <w:rPr>
          <w:i/>
          <w:color w:val="4F81BC"/>
          <w:sz w:val="21"/>
        </w:rPr>
        <w:t>anxious,</w:t>
      </w:r>
      <w:r>
        <w:rPr>
          <w:i/>
          <w:color w:val="4F81BC"/>
          <w:spacing w:val="-1"/>
          <w:sz w:val="21"/>
        </w:rPr>
        <w:t> </w:t>
      </w:r>
      <w:r>
        <w:rPr>
          <w:i/>
          <w:color w:val="4F81BC"/>
          <w:sz w:val="21"/>
        </w:rPr>
        <w:t>it’s</w:t>
      </w:r>
      <w:r>
        <w:rPr>
          <w:i/>
          <w:color w:val="4F81BC"/>
          <w:spacing w:val="-3"/>
          <w:sz w:val="21"/>
        </w:rPr>
        <w:t> </w:t>
      </w:r>
      <w:r>
        <w:rPr>
          <w:i/>
          <w:color w:val="4F81BC"/>
          <w:sz w:val="21"/>
        </w:rPr>
        <w:t>likely</w:t>
      </w:r>
      <w:r>
        <w:rPr>
          <w:i/>
          <w:color w:val="4F81BC"/>
          <w:spacing w:val="-2"/>
          <w:sz w:val="21"/>
        </w:rPr>
        <w:t> </w:t>
      </w:r>
      <w:r>
        <w:rPr>
          <w:i/>
          <w:color w:val="4F81BC"/>
          <w:sz w:val="21"/>
        </w:rPr>
        <w:t>not</w:t>
      </w:r>
      <w:r>
        <w:rPr>
          <w:i/>
          <w:color w:val="4F81BC"/>
          <w:spacing w:val="-2"/>
          <w:sz w:val="21"/>
        </w:rPr>
        <w:t> </w:t>
      </w:r>
      <w:r>
        <w:rPr>
          <w:i/>
          <w:color w:val="4F81BC"/>
          <w:sz w:val="21"/>
        </w:rPr>
        <w:t>because</w:t>
      </w:r>
      <w:r>
        <w:rPr>
          <w:i/>
          <w:color w:val="4F81BC"/>
          <w:spacing w:val="-1"/>
          <w:sz w:val="21"/>
        </w:rPr>
        <w:t> </w:t>
      </w:r>
      <w:r>
        <w:rPr>
          <w:i/>
          <w:color w:val="4F81BC"/>
          <w:sz w:val="21"/>
        </w:rPr>
        <w:t>I</w:t>
      </w:r>
      <w:r>
        <w:rPr>
          <w:i/>
          <w:color w:val="4F81BC"/>
          <w:spacing w:val="-3"/>
          <w:sz w:val="21"/>
        </w:rPr>
        <w:t> </w:t>
      </w:r>
      <w:r>
        <w:rPr>
          <w:i/>
          <w:color w:val="4F81BC"/>
          <w:sz w:val="21"/>
        </w:rPr>
        <w:t>have</w:t>
      </w:r>
      <w:r>
        <w:rPr>
          <w:i/>
          <w:color w:val="4F81BC"/>
          <w:spacing w:val="-1"/>
          <w:sz w:val="21"/>
        </w:rPr>
        <w:t> </w:t>
      </w:r>
      <w:r>
        <w:rPr>
          <w:i/>
          <w:color w:val="4F81BC"/>
          <w:sz w:val="21"/>
        </w:rPr>
        <w:t>issues</w:t>
      </w:r>
      <w:r>
        <w:rPr>
          <w:i/>
          <w:color w:val="4F81BC"/>
          <w:spacing w:val="-2"/>
          <w:sz w:val="21"/>
        </w:rPr>
        <w:t> </w:t>
      </w:r>
      <w:r>
        <w:rPr>
          <w:i/>
          <w:color w:val="4F81BC"/>
          <w:sz w:val="21"/>
        </w:rPr>
        <w:t>with</w:t>
      </w:r>
      <w:r>
        <w:rPr>
          <w:i/>
          <w:color w:val="4F81BC"/>
          <w:spacing w:val="-4"/>
          <w:sz w:val="21"/>
        </w:rPr>
        <w:t> </w:t>
      </w:r>
      <w:r>
        <w:rPr>
          <w:i/>
          <w:color w:val="4F81BC"/>
          <w:sz w:val="21"/>
        </w:rPr>
        <w:t>my</w:t>
      </w:r>
      <w:r>
        <w:rPr>
          <w:i/>
          <w:color w:val="4F81BC"/>
          <w:spacing w:val="-2"/>
          <w:sz w:val="21"/>
        </w:rPr>
        <w:t> </w:t>
      </w:r>
      <w:r>
        <w:rPr>
          <w:i/>
          <w:color w:val="4F81BC"/>
          <w:sz w:val="21"/>
        </w:rPr>
        <w:t>gender</w:t>
      </w:r>
      <w:r>
        <w:rPr>
          <w:i/>
          <w:color w:val="4F81BC"/>
          <w:spacing w:val="-2"/>
          <w:sz w:val="21"/>
        </w:rPr>
        <w:t> </w:t>
      </w:r>
      <w:r>
        <w:rPr>
          <w:i/>
          <w:color w:val="4F81BC"/>
          <w:sz w:val="21"/>
        </w:rPr>
        <w:t>identity,</w:t>
      </w:r>
      <w:r>
        <w:rPr>
          <w:i/>
          <w:color w:val="4F81BC"/>
          <w:spacing w:val="-1"/>
          <w:sz w:val="21"/>
        </w:rPr>
        <w:t> </w:t>
      </w:r>
      <w:r>
        <w:rPr>
          <w:i/>
          <w:color w:val="4F81BC"/>
          <w:sz w:val="21"/>
        </w:rPr>
        <w:t>but</w:t>
      </w:r>
      <w:r>
        <w:rPr>
          <w:i/>
          <w:color w:val="4F81BC"/>
          <w:spacing w:val="-2"/>
          <w:sz w:val="21"/>
        </w:rPr>
        <w:t> </w:t>
      </w:r>
      <w:r>
        <w:rPr>
          <w:i/>
          <w:color w:val="4F81BC"/>
          <w:sz w:val="21"/>
        </w:rPr>
        <w:t>because</w:t>
      </w:r>
      <w:r>
        <w:rPr>
          <w:i/>
          <w:color w:val="4F81BC"/>
          <w:sz w:val="21"/>
        </w:rPr>
        <w:t> everyone else does.” –</w:t>
      </w:r>
    </w:p>
    <w:p>
      <w:pPr>
        <w:spacing w:before="240"/>
        <w:ind w:left="454" w:right="273" w:firstLine="0"/>
        <w:jc w:val="center"/>
        <w:rPr>
          <w:i/>
          <w:sz w:val="21"/>
        </w:rPr>
      </w:pPr>
      <w:r>
        <w:rPr>
          <w:i/>
          <w:color w:val="4F81BC"/>
          <w:sz w:val="21"/>
        </w:rPr>
        <w:t>Youth</w:t>
      </w:r>
      <w:r>
        <w:rPr>
          <w:i/>
          <w:color w:val="4F81BC"/>
          <w:spacing w:val="-3"/>
          <w:sz w:val="21"/>
        </w:rPr>
        <w:t> </w:t>
      </w:r>
      <w:r>
        <w:rPr>
          <w:i/>
          <w:color w:val="4F81BC"/>
          <w:sz w:val="21"/>
        </w:rPr>
        <w:t>from</w:t>
      </w:r>
      <w:r>
        <w:rPr>
          <w:i/>
          <w:color w:val="4F81BC"/>
          <w:spacing w:val="-2"/>
          <w:sz w:val="21"/>
        </w:rPr>
        <w:t> </w:t>
      </w:r>
      <w:r>
        <w:rPr>
          <w:i/>
          <w:color w:val="4F81BC"/>
          <w:sz w:val="21"/>
        </w:rPr>
        <w:t>New</w:t>
      </w:r>
      <w:r>
        <w:rPr>
          <w:i/>
          <w:color w:val="4F81BC"/>
          <w:spacing w:val="-2"/>
          <w:sz w:val="21"/>
        </w:rPr>
        <w:t> </w:t>
      </w:r>
      <w:r>
        <w:rPr>
          <w:i/>
          <w:color w:val="4F81BC"/>
          <w:sz w:val="21"/>
        </w:rPr>
        <w:t>England,</w:t>
      </w:r>
      <w:r>
        <w:rPr>
          <w:i/>
          <w:color w:val="4F81BC"/>
          <w:sz w:val="21"/>
          <w:vertAlign w:val="superscript"/>
        </w:rPr>
        <w:t>1</w:t>
      </w:r>
      <w:r>
        <w:rPr>
          <w:i/>
          <w:color w:val="4F81BC"/>
          <w:spacing w:val="-2"/>
          <w:sz w:val="21"/>
          <w:vertAlign w:val="baseline"/>
        </w:rPr>
        <w:t> </w:t>
      </w:r>
      <w:r>
        <w:rPr>
          <w:i/>
          <w:color w:val="4F81BC"/>
          <w:spacing w:val="-4"/>
          <w:sz w:val="21"/>
          <w:vertAlign w:val="baseline"/>
        </w:rPr>
        <w:t>2017</w:t>
      </w:r>
    </w:p>
    <w:p>
      <w:pPr>
        <w:pStyle w:val="BodyText"/>
        <w:spacing w:before="21"/>
        <w:rPr>
          <w:i/>
          <w:sz w:val="21"/>
        </w:rPr>
      </w:pPr>
    </w:p>
    <w:p>
      <w:pPr>
        <w:spacing w:before="0"/>
        <w:ind w:left="604" w:right="0" w:firstLine="0"/>
        <w:jc w:val="both"/>
        <w:rPr>
          <w:sz w:val="26"/>
        </w:rPr>
      </w:pPr>
      <w:bookmarkStart w:name="FY 2025 Recommendations to the Governor " w:id="44"/>
      <w:bookmarkEnd w:id="44"/>
      <w:r>
        <w:rPr/>
      </w:r>
      <w:r>
        <w:rPr>
          <w:color w:val="404040"/>
          <w:sz w:val="26"/>
        </w:rPr>
        <w:t>FY</w:t>
      </w:r>
      <w:r>
        <w:rPr>
          <w:color w:val="404040"/>
          <w:spacing w:val="-5"/>
          <w:sz w:val="26"/>
        </w:rPr>
        <w:t> </w:t>
      </w:r>
      <w:r>
        <w:rPr>
          <w:color w:val="404040"/>
          <w:sz w:val="26"/>
        </w:rPr>
        <w:t>2025</w:t>
      </w:r>
      <w:r>
        <w:rPr>
          <w:color w:val="404040"/>
          <w:spacing w:val="-3"/>
          <w:sz w:val="26"/>
        </w:rPr>
        <w:t> </w:t>
      </w:r>
      <w:r>
        <w:rPr>
          <w:color w:val="404040"/>
          <w:sz w:val="26"/>
        </w:rPr>
        <w:t>Recommendations</w:t>
      </w:r>
      <w:r>
        <w:rPr>
          <w:color w:val="404040"/>
          <w:spacing w:val="-2"/>
          <w:sz w:val="26"/>
        </w:rPr>
        <w:t> </w:t>
      </w:r>
      <w:r>
        <w:rPr>
          <w:color w:val="404040"/>
          <w:sz w:val="26"/>
        </w:rPr>
        <w:t>to</w:t>
      </w:r>
      <w:r>
        <w:rPr>
          <w:color w:val="404040"/>
          <w:spacing w:val="-5"/>
          <w:sz w:val="26"/>
        </w:rPr>
        <w:t> </w:t>
      </w:r>
      <w:r>
        <w:rPr>
          <w:color w:val="404040"/>
          <w:sz w:val="26"/>
        </w:rPr>
        <w:t>the</w:t>
      </w:r>
      <w:r>
        <w:rPr>
          <w:color w:val="404040"/>
          <w:spacing w:val="-4"/>
          <w:sz w:val="26"/>
        </w:rPr>
        <w:t> </w:t>
      </w:r>
      <w:r>
        <w:rPr>
          <w:color w:val="404040"/>
          <w:sz w:val="26"/>
        </w:rPr>
        <w:t>Governor</w:t>
      </w:r>
      <w:r>
        <w:rPr>
          <w:color w:val="404040"/>
          <w:spacing w:val="-3"/>
          <w:sz w:val="26"/>
        </w:rPr>
        <w:t> </w:t>
      </w:r>
      <w:r>
        <w:rPr>
          <w:color w:val="404040"/>
          <w:sz w:val="26"/>
        </w:rPr>
        <w:t>&amp;</w:t>
      </w:r>
      <w:r>
        <w:rPr>
          <w:color w:val="404040"/>
          <w:spacing w:val="-3"/>
          <w:sz w:val="26"/>
        </w:rPr>
        <w:t> </w:t>
      </w:r>
      <w:r>
        <w:rPr>
          <w:color w:val="404040"/>
          <w:sz w:val="26"/>
        </w:rPr>
        <w:t>Legislature</w:t>
      </w:r>
      <w:r>
        <w:rPr>
          <w:color w:val="404040"/>
          <w:spacing w:val="-2"/>
          <w:sz w:val="26"/>
        </w:rPr>
        <w:t> </w:t>
      </w:r>
      <w:r>
        <w:rPr>
          <w:color w:val="404040"/>
          <w:sz w:val="26"/>
        </w:rPr>
        <w:t>on</w:t>
      </w:r>
      <w:r>
        <w:rPr>
          <w:color w:val="404040"/>
          <w:spacing w:val="-4"/>
          <w:sz w:val="26"/>
        </w:rPr>
        <w:t> </w:t>
      </w:r>
      <w:r>
        <w:rPr>
          <w:color w:val="404040"/>
          <w:sz w:val="26"/>
        </w:rPr>
        <w:t>Mental</w:t>
      </w:r>
      <w:r>
        <w:rPr>
          <w:color w:val="404040"/>
          <w:spacing w:val="-2"/>
          <w:sz w:val="26"/>
        </w:rPr>
        <w:t> Health</w:t>
      </w:r>
    </w:p>
    <w:p>
      <w:pPr>
        <w:pStyle w:val="ListParagraph"/>
        <w:numPr>
          <w:ilvl w:val="0"/>
          <w:numId w:val="5"/>
        </w:numPr>
        <w:tabs>
          <w:tab w:pos="1178" w:val="left" w:leader="none"/>
          <w:tab w:pos="1180" w:val="left" w:leader="none"/>
        </w:tabs>
        <w:spacing w:line="276" w:lineRule="auto" w:before="288" w:after="0"/>
        <w:ind w:left="1180" w:right="640" w:hanging="361"/>
        <w:jc w:val="left"/>
        <w:rPr>
          <w:sz w:val="22"/>
        </w:rPr>
      </w:pPr>
      <w:r>
        <w:rPr>
          <w:sz w:val="22"/>
        </w:rPr>
        <w:t>Fund</w:t>
      </w:r>
      <w:r>
        <w:rPr>
          <w:spacing w:val="40"/>
          <w:sz w:val="22"/>
        </w:rPr>
        <w:t> </w:t>
      </w:r>
      <w:r>
        <w:rPr>
          <w:sz w:val="22"/>
        </w:rPr>
        <w:t>more</w:t>
      </w:r>
      <w:r>
        <w:rPr>
          <w:spacing w:val="40"/>
          <w:sz w:val="22"/>
        </w:rPr>
        <w:t> </w:t>
      </w:r>
      <w:r>
        <w:rPr>
          <w:sz w:val="22"/>
        </w:rPr>
        <w:t>statewide</w:t>
      </w:r>
      <w:r>
        <w:rPr>
          <w:spacing w:val="40"/>
          <w:sz w:val="22"/>
        </w:rPr>
        <w:t> </w:t>
      </w:r>
      <w:r>
        <w:rPr>
          <w:sz w:val="22"/>
        </w:rPr>
        <w:t>research</w:t>
      </w:r>
      <w:r>
        <w:rPr>
          <w:spacing w:val="40"/>
          <w:sz w:val="22"/>
        </w:rPr>
        <w:t> </w:t>
      </w:r>
      <w:r>
        <w:rPr>
          <w:sz w:val="22"/>
        </w:rPr>
        <w:t>about</w:t>
      </w:r>
      <w:r>
        <w:rPr>
          <w:spacing w:val="40"/>
          <w:sz w:val="22"/>
        </w:rPr>
        <w:t> </w:t>
      </w:r>
      <w:r>
        <w:rPr>
          <w:sz w:val="22"/>
        </w:rPr>
        <w:t>mental</w:t>
      </w:r>
      <w:r>
        <w:rPr>
          <w:spacing w:val="40"/>
          <w:sz w:val="22"/>
        </w:rPr>
        <w:t> </w:t>
      </w:r>
      <w:r>
        <w:rPr>
          <w:sz w:val="22"/>
        </w:rPr>
        <w:t>health</w:t>
      </w:r>
      <w:r>
        <w:rPr>
          <w:spacing w:val="40"/>
          <w:sz w:val="22"/>
        </w:rPr>
        <w:t> </w:t>
      </w:r>
      <w:r>
        <w:rPr>
          <w:sz w:val="22"/>
        </w:rPr>
        <w:t>and</w:t>
      </w:r>
      <w:r>
        <w:rPr>
          <w:spacing w:val="40"/>
          <w:sz w:val="22"/>
        </w:rPr>
        <w:t> </w:t>
      </w:r>
      <w:r>
        <w:rPr>
          <w:sz w:val="22"/>
        </w:rPr>
        <w:t>suicide</w:t>
      </w:r>
      <w:r>
        <w:rPr>
          <w:spacing w:val="40"/>
          <w:sz w:val="22"/>
        </w:rPr>
        <w:t> </w:t>
      </w:r>
      <w:r>
        <w:rPr>
          <w:sz w:val="22"/>
        </w:rPr>
        <w:t>prevention</w:t>
      </w:r>
      <w:r>
        <w:rPr>
          <w:spacing w:val="40"/>
          <w:sz w:val="22"/>
        </w:rPr>
        <w:t> </w:t>
      </w:r>
      <w:r>
        <w:rPr>
          <w:sz w:val="22"/>
        </w:rPr>
        <w:t>treatment approaches for LGBTQ youth.</w:t>
      </w:r>
    </w:p>
    <w:p>
      <w:pPr>
        <w:pStyle w:val="ListParagraph"/>
        <w:numPr>
          <w:ilvl w:val="0"/>
          <w:numId w:val="5"/>
        </w:numPr>
        <w:tabs>
          <w:tab w:pos="1179" w:val="left" w:leader="none"/>
        </w:tabs>
        <w:spacing w:line="240" w:lineRule="auto" w:before="1" w:after="0"/>
        <w:ind w:left="1179" w:right="0" w:hanging="359"/>
        <w:jc w:val="left"/>
        <w:rPr>
          <w:sz w:val="22"/>
        </w:rPr>
      </w:pPr>
      <w:r>
        <w:rPr>
          <w:sz w:val="22"/>
        </w:rPr>
        <w:t>Support</w:t>
      </w:r>
      <w:r>
        <w:rPr>
          <w:spacing w:val="-8"/>
          <w:sz w:val="22"/>
        </w:rPr>
        <w:t> </w:t>
      </w:r>
      <w:r>
        <w:rPr>
          <w:sz w:val="22"/>
        </w:rPr>
        <w:t>reforms</w:t>
      </w:r>
      <w:r>
        <w:rPr>
          <w:spacing w:val="-7"/>
          <w:sz w:val="22"/>
        </w:rPr>
        <w:t> </w:t>
      </w:r>
      <w:r>
        <w:rPr>
          <w:sz w:val="22"/>
        </w:rPr>
        <w:t>of</w:t>
      </w:r>
      <w:r>
        <w:rPr>
          <w:spacing w:val="-8"/>
          <w:sz w:val="22"/>
        </w:rPr>
        <w:t> </w:t>
      </w:r>
      <w:r>
        <w:rPr>
          <w:sz w:val="22"/>
        </w:rPr>
        <w:t>the</w:t>
      </w:r>
      <w:r>
        <w:rPr>
          <w:spacing w:val="-8"/>
          <w:sz w:val="22"/>
        </w:rPr>
        <w:t> </w:t>
      </w:r>
      <w:r>
        <w:rPr>
          <w:sz w:val="22"/>
        </w:rPr>
        <w:t>mental</w:t>
      </w:r>
      <w:r>
        <w:rPr>
          <w:spacing w:val="-8"/>
          <w:sz w:val="22"/>
        </w:rPr>
        <w:t> </w:t>
      </w:r>
      <w:r>
        <w:rPr>
          <w:sz w:val="22"/>
        </w:rPr>
        <w:t>healthcare</w:t>
      </w:r>
      <w:r>
        <w:rPr>
          <w:spacing w:val="-8"/>
          <w:sz w:val="22"/>
        </w:rPr>
        <w:t> </w:t>
      </w:r>
      <w:r>
        <w:rPr>
          <w:sz w:val="22"/>
        </w:rPr>
        <w:t>and</w:t>
      </w:r>
      <w:r>
        <w:rPr>
          <w:spacing w:val="-7"/>
          <w:sz w:val="22"/>
        </w:rPr>
        <w:t> </w:t>
      </w:r>
      <w:r>
        <w:rPr>
          <w:sz w:val="22"/>
        </w:rPr>
        <w:t>health</w:t>
      </w:r>
      <w:r>
        <w:rPr>
          <w:spacing w:val="-7"/>
          <w:sz w:val="22"/>
        </w:rPr>
        <w:t> </w:t>
      </w:r>
      <w:r>
        <w:rPr>
          <w:sz w:val="22"/>
        </w:rPr>
        <w:t>insurance</w:t>
      </w:r>
      <w:r>
        <w:rPr>
          <w:spacing w:val="-8"/>
          <w:sz w:val="22"/>
        </w:rPr>
        <w:t> </w:t>
      </w:r>
      <w:r>
        <w:rPr>
          <w:spacing w:val="-2"/>
          <w:sz w:val="22"/>
        </w:rPr>
        <w:t>systems.</w:t>
      </w:r>
    </w:p>
    <w:p>
      <w:pPr>
        <w:pStyle w:val="ListParagraph"/>
        <w:numPr>
          <w:ilvl w:val="0"/>
          <w:numId w:val="5"/>
        </w:numPr>
        <w:tabs>
          <w:tab w:pos="1178" w:val="left" w:leader="none"/>
          <w:tab w:pos="1180" w:val="left" w:leader="none"/>
        </w:tabs>
        <w:spacing w:line="276" w:lineRule="auto" w:before="39" w:after="0"/>
        <w:ind w:left="1180" w:right="635" w:hanging="361"/>
        <w:jc w:val="left"/>
        <w:rPr>
          <w:sz w:val="22"/>
        </w:rPr>
      </w:pPr>
      <w:r>
        <w:rPr>
          <w:sz w:val="22"/>
        </w:rPr>
        <w:t>Promote</w:t>
      </w:r>
      <w:r>
        <w:rPr>
          <w:spacing w:val="40"/>
          <w:sz w:val="22"/>
        </w:rPr>
        <w:t> </w:t>
      </w:r>
      <w:r>
        <w:rPr>
          <w:sz w:val="22"/>
        </w:rPr>
        <w:t>services</w:t>
      </w:r>
      <w:r>
        <w:rPr>
          <w:spacing w:val="40"/>
          <w:sz w:val="22"/>
        </w:rPr>
        <w:t> </w:t>
      </w:r>
      <w:r>
        <w:rPr>
          <w:sz w:val="22"/>
        </w:rPr>
        <w:t>that</w:t>
      </w:r>
      <w:r>
        <w:rPr>
          <w:spacing w:val="40"/>
          <w:sz w:val="22"/>
        </w:rPr>
        <w:t> </w:t>
      </w:r>
      <w:r>
        <w:rPr>
          <w:sz w:val="22"/>
        </w:rPr>
        <w:t>address</w:t>
      </w:r>
      <w:r>
        <w:rPr>
          <w:spacing w:val="40"/>
          <w:sz w:val="22"/>
        </w:rPr>
        <w:t> </w:t>
      </w:r>
      <w:r>
        <w:rPr>
          <w:sz w:val="22"/>
        </w:rPr>
        <w:t>youths’</w:t>
      </w:r>
      <w:r>
        <w:rPr>
          <w:spacing w:val="40"/>
          <w:sz w:val="22"/>
        </w:rPr>
        <w:t> </w:t>
      </w:r>
      <w:r>
        <w:rPr>
          <w:sz w:val="22"/>
        </w:rPr>
        <w:t>intersectional</w:t>
      </w:r>
      <w:r>
        <w:rPr>
          <w:spacing w:val="40"/>
          <w:sz w:val="22"/>
        </w:rPr>
        <w:t> </w:t>
      </w:r>
      <w:r>
        <w:rPr>
          <w:sz w:val="22"/>
        </w:rPr>
        <w:t>identities,</w:t>
      </w:r>
      <w:r>
        <w:rPr>
          <w:spacing w:val="40"/>
          <w:sz w:val="22"/>
        </w:rPr>
        <w:t> </w:t>
      </w:r>
      <w:r>
        <w:rPr>
          <w:sz w:val="22"/>
        </w:rPr>
        <w:t>including</w:t>
      </w:r>
      <w:r>
        <w:rPr>
          <w:spacing w:val="40"/>
          <w:sz w:val="22"/>
        </w:rPr>
        <w:t> </w:t>
      </w:r>
      <w:r>
        <w:rPr>
          <w:sz w:val="22"/>
        </w:rPr>
        <w:t>race/ethnicity, immigration, ability, involvement in juvenile justice or foster care, and rural residence.</w:t>
      </w:r>
    </w:p>
    <w:p>
      <w:pPr>
        <w:pStyle w:val="ListParagraph"/>
        <w:numPr>
          <w:ilvl w:val="0"/>
          <w:numId w:val="5"/>
        </w:numPr>
        <w:tabs>
          <w:tab w:pos="1178" w:val="left" w:leader="none"/>
          <w:tab w:pos="1180" w:val="left" w:leader="none"/>
        </w:tabs>
        <w:spacing w:line="276" w:lineRule="auto" w:before="1" w:after="0"/>
        <w:ind w:left="1180" w:right="638" w:hanging="361"/>
        <w:jc w:val="left"/>
        <w:rPr>
          <w:sz w:val="22"/>
        </w:rPr>
      </w:pPr>
      <w:r>
        <w:rPr>
          <w:sz w:val="22"/>
        </w:rPr>
        <w:t>Increase funding to hire and retain more MHPs in order to meet nationally-recommended</w:t>
      </w:r>
      <w:r>
        <w:rPr>
          <w:spacing w:val="40"/>
          <w:sz w:val="22"/>
        </w:rPr>
        <w:t> </w:t>
      </w:r>
      <w:r>
        <w:rPr>
          <w:sz w:val="22"/>
        </w:rPr>
        <w:t>ratios between MHPs and youth.</w:t>
      </w:r>
    </w:p>
    <w:p>
      <w:pPr>
        <w:spacing w:after="0" w:line="276" w:lineRule="auto"/>
        <w:jc w:val="left"/>
        <w:rPr>
          <w:sz w:val="22"/>
        </w:rPr>
        <w:sectPr>
          <w:headerReference w:type="default" r:id="rId26"/>
          <w:footerReference w:type="default" r:id="rId27"/>
          <w:pgSz w:w="12240" w:h="15840"/>
          <w:pgMar w:header="1227" w:footer="1061" w:top="1500" w:bottom="1260" w:left="980" w:right="1160"/>
        </w:sectPr>
      </w:pPr>
    </w:p>
    <w:p>
      <w:pPr>
        <w:pStyle w:val="BodyText"/>
        <w:spacing w:before="29"/>
      </w:pPr>
    </w:p>
    <w:p>
      <w:pPr>
        <w:pStyle w:val="BodyText"/>
        <w:spacing w:line="276" w:lineRule="auto"/>
        <w:ind w:left="604" w:right="421" w:hanging="3"/>
        <w:jc w:val="both"/>
      </w:pPr>
      <w:bookmarkStart w:name="Addressing Pediatric Health (2023)" w:id="45"/>
      <w:bookmarkEnd w:id="45"/>
      <w:r>
        <w:rPr/>
      </w:r>
      <w:r>
        <w:rPr/>
        <w:t>The history of LGBTQ pediatric health is plagued by stigma, discrimination, and violence, and LGBTQ youth in the Commonwealth continue to face numerous challenges in accessing quality, culturally competent</w:t>
      </w:r>
      <w:r>
        <w:rPr>
          <w:spacing w:val="-11"/>
        </w:rPr>
        <w:t> </w:t>
      </w:r>
      <w:r>
        <w:rPr/>
        <w:t>healthcare.</w:t>
      </w:r>
      <w:r>
        <w:rPr>
          <w:spacing w:val="-10"/>
        </w:rPr>
        <w:t> </w:t>
      </w:r>
      <w:r>
        <w:rPr/>
        <w:t>With</w:t>
      </w:r>
      <w:r>
        <w:rPr>
          <w:spacing w:val="-10"/>
        </w:rPr>
        <w:t> </w:t>
      </w:r>
      <w:r>
        <w:rPr/>
        <w:t>the</w:t>
      </w:r>
      <w:r>
        <w:rPr>
          <w:spacing w:val="-10"/>
        </w:rPr>
        <w:t> </w:t>
      </w:r>
      <w:r>
        <w:rPr/>
        <w:t>proliferation</w:t>
      </w:r>
      <w:r>
        <w:rPr>
          <w:spacing w:val="-12"/>
        </w:rPr>
        <w:t> </w:t>
      </w:r>
      <w:r>
        <w:rPr/>
        <w:t>of</w:t>
      </w:r>
      <w:r>
        <w:rPr>
          <w:spacing w:val="-10"/>
        </w:rPr>
        <w:t> </w:t>
      </w:r>
      <w:r>
        <w:rPr/>
        <w:t>anti-trans</w:t>
      </w:r>
      <w:r>
        <w:rPr>
          <w:spacing w:val="-11"/>
        </w:rPr>
        <w:t> </w:t>
      </w:r>
      <w:r>
        <w:rPr/>
        <w:t>legislation</w:t>
      </w:r>
      <w:r>
        <w:rPr>
          <w:spacing w:val="-12"/>
        </w:rPr>
        <w:t> </w:t>
      </w:r>
      <w:r>
        <w:rPr/>
        <w:t>and</w:t>
      </w:r>
      <w:r>
        <w:rPr>
          <w:spacing w:val="-10"/>
        </w:rPr>
        <w:t> </w:t>
      </w:r>
      <w:r>
        <w:rPr/>
        <w:t>stigma</w:t>
      </w:r>
      <w:r>
        <w:rPr>
          <w:spacing w:val="-11"/>
        </w:rPr>
        <w:t> </w:t>
      </w:r>
      <w:r>
        <w:rPr/>
        <w:t>that</w:t>
      </w:r>
      <w:r>
        <w:rPr>
          <w:spacing w:val="-11"/>
        </w:rPr>
        <w:t> </w:t>
      </w:r>
      <w:r>
        <w:rPr/>
        <w:t>has</w:t>
      </w:r>
      <w:r>
        <w:rPr>
          <w:spacing w:val="-11"/>
        </w:rPr>
        <w:t> </w:t>
      </w:r>
      <w:r>
        <w:rPr/>
        <w:t>swept</w:t>
      </w:r>
      <w:r>
        <w:rPr>
          <w:spacing w:val="-11"/>
        </w:rPr>
        <w:t> </w:t>
      </w:r>
      <w:r>
        <w:rPr/>
        <w:t>across the</w:t>
      </w:r>
      <w:r>
        <w:rPr>
          <w:spacing w:val="-5"/>
        </w:rPr>
        <w:t> </w:t>
      </w:r>
      <w:r>
        <w:rPr/>
        <w:t>nation,</w:t>
      </w:r>
      <w:r>
        <w:rPr>
          <w:spacing w:val="-5"/>
        </w:rPr>
        <w:t> </w:t>
      </w:r>
      <w:r>
        <w:rPr/>
        <w:t>it</w:t>
      </w:r>
      <w:r>
        <w:rPr>
          <w:spacing w:val="-4"/>
        </w:rPr>
        <w:t> </w:t>
      </w:r>
      <w:r>
        <w:rPr/>
        <w:t>is</w:t>
      </w:r>
      <w:r>
        <w:rPr>
          <w:spacing w:val="-5"/>
        </w:rPr>
        <w:t> </w:t>
      </w:r>
      <w:r>
        <w:rPr/>
        <w:t>undeniable</w:t>
      </w:r>
      <w:r>
        <w:rPr>
          <w:spacing w:val="-4"/>
        </w:rPr>
        <w:t> </w:t>
      </w:r>
      <w:r>
        <w:rPr/>
        <w:t>that</w:t>
      </w:r>
      <w:r>
        <w:rPr>
          <w:spacing w:val="-5"/>
        </w:rPr>
        <w:t> </w:t>
      </w:r>
      <w:r>
        <w:rPr/>
        <w:t>the</w:t>
      </w:r>
      <w:r>
        <w:rPr>
          <w:spacing w:val="-5"/>
        </w:rPr>
        <w:t> </w:t>
      </w:r>
      <w:r>
        <w:rPr/>
        <w:t>access</w:t>
      </w:r>
      <w:r>
        <w:rPr>
          <w:spacing w:val="-5"/>
        </w:rPr>
        <w:t> </w:t>
      </w:r>
      <w:r>
        <w:rPr/>
        <w:t>of</w:t>
      </w:r>
      <w:r>
        <w:rPr>
          <w:spacing w:val="-5"/>
        </w:rPr>
        <w:t> </w:t>
      </w:r>
      <w:r>
        <w:rPr/>
        <w:t>LGBTQ</w:t>
      </w:r>
      <w:r>
        <w:rPr>
          <w:spacing w:val="-5"/>
        </w:rPr>
        <w:t> </w:t>
      </w:r>
      <w:r>
        <w:rPr/>
        <w:t>children</w:t>
      </w:r>
      <w:r>
        <w:rPr>
          <w:spacing w:val="-4"/>
        </w:rPr>
        <w:t> </w:t>
      </w:r>
      <w:r>
        <w:rPr/>
        <w:t>to</w:t>
      </w:r>
      <w:r>
        <w:rPr>
          <w:spacing w:val="-5"/>
        </w:rPr>
        <w:t> </w:t>
      </w:r>
      <w:r>
        <w:rPr/>
        <w:t>appropriate</w:t>
      </w:r>
      <w:r>
        <w:rPr>
          <w:spacing w:val="-5"/>
        </w:rPr>
        <w:t> </w:t>
      </w:r>
      <w:r>
        <w:rPr/>
        <w:t>and</w:t>
      </w:r>
      <w:r>
        <w:rPr>
          <w:spacing w:val="-4"/>
        </w:rPr>
        <w:t> </w:t>
      </w:r>
      <w:r>
        <w:rPr/>
        <w:t>affirming</w:t>
      </w:r>
      <w:r>
        <w:rPr>
          <w:spacing w:val="-5"/>
        </w:rPr>
        <w:t> </w:t>
      </w:r>
      <w:r>
        <w:rPr/>
        <w:t>health</w:t>
      </w:r>
      <w:r>
        <w:rPr>
          <w:spacing w:val="-5"/>
        </w:rPr>
        <w:t> </w:t>
      </w:r>
      <w:r>
        <w:rPr/>
        <w:t>care has</w:t>
      </w:r>
      <w:r>
        <w:rPr>
          <w:spacing w:val="-1"/>
        </w:rPr>
        <w:t> </w:t>
      </w:r>
      <w:r>
        <w:rPr/>
        <w:t>significantly decreased,</w:t>
      </w:r>
      <w:r>
        <w:rPr>
          <w:spacing w:val="-1"/>
        </w:rPr>
        <w:t> </w:t>
      </w:r>
      <w:r>
        <w:rPr/>
        <w:t>even</w:t>
      </w:r>
      <w:r>
        <w:rPr>
          <w:spacing w:val="-1"/>
        </w:rPr>
        <w:t> </w:t>
      </w:r>
      <w:r>
        <w:rPr/>
        <w:t>in</w:t>
      </w:r>
      <w:r>
        <w:rPr>
          <w:spacing w:val="-1"/>
        </w:rPr>
        <w:t> </w:t>
      </w:r>
      <w:r>
        <w:rPr/>
        <w:t>Massachusetts.</w:t>
      </w:r>
      <w:r>
        <w:rPr>
          <w:spacing w:val="-1"/>
        </w:rPr>
        <w:t> </w:t>
      </w:r>
      <w:r>
        <w:rPr/>
        <w:t>It</w:t>
      </w:r>
      <w:r>
        <w:rPr>
          <w:spacing w:val="-1"/>
        </w:rPr>
        <w:t> </w:t>
      </w:r>
      <w:r>
        <w:rPr/>
        <w:t>is imperative that</w:t>
      </w:r>
      <w:r>
        <w:rPr>
          <w:spacing w:val="-1"/>
        </w:rPr>
        <w:t> </w:t>
      </w:r>
      <w:r>
        <w:rPr/>
        <w:t>the</w:t>
      </w:r>
      <w:r>
        <w:rPr>
          <w:spacing w:val="-2"/>
        </w:rPr>
        <w:t> </w:t>
      </w:r>
      <w:r>
        <w:rPr/>
        <w:t>Commonwealth</w:t>
      </w:r>
      <w:r>
        <w:rPr>
          <w:spacing w:val="-1"/>
        </w:rPr>
        <w:t> </w:t>
      </w:r>
      <w:r>
        <w:rPr/>
        <w:t>continue to address priority needs identified in subsequent sections of this report, while also prioritizing addressing the multiple forms of oppression often experienced by individuals in uniquely adverse situations.</w:t>
      </w:r>
      <w:r>
        <w:rPr>
          <w:vertAlign w:val="superscript"/>
        </w:rPr>
        <w:t>1</w:t>
      </w:r>
      <w:r>
        <w:rPr>
          <w:vertAlign w:val="baseline"/>
        </w:rPr>
        <w:t> The Commonwealth must address the social inequities that create health disparities amongst marginalized and underserved communities, focus on social determinants of health, and move</w:t>
      </w:r>
      <w:r>
        <w:rPr>
          <w:spacing w:val="-13"/>
          <w:vertAlign w:val="baseline"/>
        </w:rPr>
        <w:t> </w:t>
      </w:r>
      <w:r>
        <w:rPr>
          <w:vertAlign w:val="baseline"/>
        </w:rPr>
        <w:t>away</w:t>
      </w:r>
      <w:r>
        <w:rPr>
          <w:spacing w:val="-12"/>
          <w:vertAlign w:val="baseline"/>
        </w:rPr>
        <w:t> </w:t>
      </w:r>
      <w:r>
        <w:rPr>
          <w:vertAlign w:val="baseline"/>
        </w:rPr>
        <w:t>from</w:t>
      </w:r>
      <w:r>
        <w:rPr>
          <w:spacing w:val="-13"/>
          <w:vertAlign w:val="baseline"/>
        </w:rPr>
        <w:t> </w:t>
      </w:r>
      <w:r>
        <w:rPr>
          <w:vertAlign w:val="baseline"/>
        </w:rPr>
        <w:t>an</w:t>
      </w:r>
      <w:r>
        <w:rPr>
          <w:spacing w:val="-12"/>
          <w:vertAlign w:val="baseline"/>
        </w:rPr>
        <w:t> </w:t>
      </w:r>
      <w:r>
        <w:rPr>
          <w:vertAlign w:val="baseline"/>
        </w:rPr>
        <w:t>individualistic</w:t>
      </w:r>
      <w:r>
        <w:rPr>
          <w:spacing w:val="-13"/>
          <w:vertAlign w:val="baseline"/>
        </w:rPr>
        <w:t> </w:t>
      </w:r>
      <w:r>
        <w:rPr>
          <w:vertAlign w:val="baseline"/>
        </w:rPr>
        <w:t>model</w:t>
      </w:r>
      <w:r>
        <w:rPr>
          <w:spacing w:val="-12"/>
          <w:vertAlign w:val="baseline"/>
        </w:rPr>
        <w:t> </w:t>
      </w:r>
      <w:r>
        <w:rPr>
          <w:vertAlign w:val="baseline"/>
        </w:rPr>
        <w:t>of</w:t>
      </w:r>
      <w:r>
        <w:rPr>
          <w:spacing w:val="-13"/>
          <w:vertAlign w:val="baseline"/>
        </w:rPr>
        <w:t> </w:t>
      </w:r>
      <w:r>
        <w:rPr>
          <w:vertAlign w:val="baseline"/>
        </w:rPr>
        <w:t>care.</w:t>
      </w:r>
      <w:r>
        <w:rPr>
          <w:spacing w:val="-12"/>
          <w:vertAlign w:val="baseline"/>
        </w:rPr>
        <w:t> </w:t>
      </w:r>
      <w:r>
        <w:rPr>
          <w:vertAlign w:val="baseline"/>
        </w:rPr>
        <w:t>Republishing</w:t>
      </w:r>
      <w:r>
        <w:rPr>
          <w:spacing w:val="-12"/>
          <w:vertAlign w:val="baseline"/>
        </w:rPr>
        <w:t> </w:t>
      </w:r>
      <w:r>
        <w:rPr>
          <w:vertAlign w:val="baseline"/>
        </w:rPr>
        <w:t>from</w:t>
      </w:r>
      <w:r>
        <w:rPr>
          <w:spacing w:val="-13"/>
          <w:vertAlign w:val="baseline"/>
        </w:rPr>
        <w:t> </w:t>
      </w:r>
      <w:r>
        <w:rPr>
          <w:vertAlign w:val="baseline"/>
        </w:rPr>
        <w:t>its</w:t>
      </w:r>
      <w:r>
        <w:rPr>
          <w:spacing w:val="-12"/>
          <w:vertAlign w:val="baseline"/>
        </w:rPr>
        <w:t> </w:t>
      </w:r>
      <w:r>
        <w:rPr>
          <w:vertAlign w:val="baseline"/>
        </w:rPr>
        <w:t>FY</w:t>
      </w:r>
      <w:r>
        <w:rPr>
          <w:spacing w:val="-13"/>
          <w:vertAlign w:val="baseline"/>
        </w:rPr>
        <w:t> </w:t>
      </w:r>
      <w:r>
        <w:rPr>
          <w:vertAlign w:val="baseline"/>
        </w:rPr>
        <w:t>2024</w:t>
      </w:r>
      <w:r>
        <w:rPr>
          <w:spacing w:val="-12"/>
          <w:vertAlign w:val="baseline"/>
        </w:rPr>
        <w:t> </w:t>
      </w:r>
      <w:r>
        <w:rPr>
          <w:vertAlign w:val="baseline"/>
        </w:rPr>
        <w:t>report,</w:t>
      </w:r>
      <w:r>
        <w:rPr>
          <w:spacing w:val="-13"/>
          <w:vertAlign w:val="baseline"/>
        </w:rPr>
        <w:t> </w:t>
      </w:r>
      <w:r>
        <w:rPr>
          <w:vertAlign w:val="baseline"/>
        </w:rPr>
        <w:t>the</w:t>
      </w:r>
      <w:r>
        <w:rPr>
          <w:spacing w:val="-12"/>
          <w:vertAlign w:val="baseline"/>
        </w:rPr>
        <w:t> </w:t>
      </w:r>
      <w:r>
        <w:rPr>
          <w:vertAlign w:val="baseline"/>
        </w:rPr>
        <w:t>Commission </w:t>
      </w:r>
      <w:r>
        <w:rPr>
          <w:spacing w:val="-2"/>
          <w:vertAlign w:val="baseline"/>
        </w:rPr>
        <w:t>dedicates</w:t>
      </w:r>
      <w:r>
        <w:rPr>
          <w:spacing w:val="-3"/>
          <w:vertAlign w:val="baseline"/>
        </w:rPr>
        <w:t> </w:t>
      </w:r>
      <w:r>
        <w:rPr>
          <w:spacing w:val="-2"/>
          <w:vertAlign w:val="baseline"/>
        </w:rPr>
        <w:t>this health</w:t>
      </w:r>
      <w:r>
        <w:rPr>
          <w:spacing w:val="-3"/>
          <w:vertAlign w:val="baseline"/>
        </w:rPr>
        <w:t> </w:t>
      </w:r>
      <w:r>
        <w:rPr>
          <w:spacing w:val="-2"/>
          <w:vertAlign w:val="baseline"/>
        </w:rPr>
        <w:t>section</w:t>
      </w:r>
      <w:r>
        <w:rPr>
          <w:spacing w:val="-3"/>
          <w:vertAlign w:val="baseline"/>
        </w:rPr>
        <w:t> </w:t>
      </w:r>
      <w:r>
        <w:rPr>
          <w:spacing w:val="-2"/>
          <w:vertAlign w:val="baseline"/>
        </w:rPr>
        <w:t>to</w:t>
      </w:r>
      <w:r>
        <w:rPr>
          <w:spacing w:val="-3"/>
          <w:vertAlign w:val="baseline"/>
        </w:rPr>
        <w:t> </w:t>
      </w:r>
      <w:r>
        <w:rPr>
          <w:spacing w:val="-2"/>
          <w:vertAlign w:val="baseline"/>
        </w:rPr>
        <w:t>research and</w:t>
      </w:r>
      <w:r>
        <w:rPr>
          <w:spacing w:val="-3"/>
          <w:vertAlign w:val="baseline"/>
        </w:rPr>
        <w:t> </w:t>
      </w:r>
      <w:r>
        <w:rPr>
          <w:spacing w:val="-2"/>
          <w:vertAlign w:val="baseline"/>
        </w:rPr>
        <w:t>recommendations</w:t>
      </w:r>
      <w:r>
        <w:rPr>
          <w:spacing w:val="-3"/>
          <w:vertAlign w:val="baseline"/>
        </w:rPr>
        <w:t> </w:t>
      </w:r>
      <w:r>
        <w:rPr>
          <w:spacing w:val="-2"/>
          <w:vertAlign w:val="baseline"/>
        </w:rPr>
        <w:t>in the</w:t>
      </w:r>
      <w:r>
        <w:rPr>
          <w:spacing w:val="-3"/>
          <w:vertAlign w:val="baseline"/>
        </w:rPr>
        <w:t> </w:t>
      </w:r>
      <w:r>
        <w:rPr>
          <w:spacing w:val="-2"/>
          <w:vertAlign w:val="baseline"/>
        </w:rPr>
        <w:t>specific areas</w:t>
      </w:r>
      <w:r>
        <w:rPr>
          <w:spacing w:val="-3"/>
          <w:vertAlign w:val="baseline"/>
        </w:rPr>
        <w:t> </w:t>
      </w:r>
      <w:r>
        <w:rPr>
          <w:spacing w:val="-2"/>
          <w:vertAlign w:val="baseline"/>
        </w:rPr>
        <w:t>of</w:t>
      </w:r>
      <w:r>
        <w:rPr>
          <w:spacing w:val="-3"/>
          <w:vertAlign w:val="baseline"/>
        </w:rPr>
        <w:t> </w:t>
      </w:r>
      <w:r>
        <w:rPr>
          <w:spacing w:val="-2"/>
          <w:vertAlign w:val="baseline"/>
        </w:rPr>
        <w:t>pediatric</w:t>
      </w:r>
      <w:r>
        <w:rPr>
          <w:spacing w:val="-4"/>
          <w:vertAlign w:val="baseline"/>
        </w:rPr>
        <w:t> </w:t>
      </w:r>
      <w:r>
        <w:rPr>
          <w:spacing w:val="-2"/>
          <w:vertAlign w:val="baseline"/>
        </w:rPr>
        <w:t>health, </w:t>
      </w:r>
      <w:r>
        <w:rPr>
          <w:vertAlign w:val="baseline"/>
        </w:rPr>
        <w:t>or the health care of youth under 18.</w:t>
      </w:r>
    </w:p>
    <w:p>
      <w:pPr>
        <w:spacing w:before="239"/>
        <w:ind w:left="604" w:right="0" w:firstLine="0"/>
        <w:jc w:val="both"/>
        <w:rPr>
          <w:sz w:val="26"/>
        </w:rPr>
      </w:pPr>
      <w:bookmarkStart w:name="FY 2025 Recommendations to the Governor " w:id="46"/>
      <w:bookmarkEnd w:id="46"/>
      <w:r>
        <w:rPr/>
      </w:r>
      <w:r>
        <w:rPr>
          <w:color w:val="404040"/>
          <w:sz w:val="26"/>
        </w:rPr>
        <w:t>FY</w:t>
      </w:r>
      <w:r>
        <w:rPr>
          <w:color w:val="404040"/>
          <w:spacing w:val="-5"/>
          <w:sz w:val="26"/>
        </w:rPr>
        <w:t> </w:t>
      </w:r>
      <w:r>
        <w:rPr>
          <w:color w:val="404040"/>
          <w:sz w:val="26"/>
        </w:rPr>
        <w:t>2025</w:t>
      </w:r>
      <w:r>
        <w:rPr>
          <w:color w:val="404040"/>
          <w:spacing w:val="-3"/>
          <w:sz w:val="26"/>
        </w:rPr>
        <w:t> </w:t>
      </w:r>
      <w:r>
        <w:rPr>
          <w:color w:val="404040"/>
          <w:sz w:val="26"/>
        </w:rPr>
        <w:t>Recommendations</w:t>
      </w:r>
      <w:r>
        <w:rPr>
          <w:color w:val="404040"/>
          <w:spacing w:val="-3"/>
          <w:sz w:val="26"/>
        </w:rPr>
        <w:t> </w:t>
      </w:r>
      <w:r>
        <w:rPr>
          <w:color w:val="404040"/>
          <w:sz w:val="26"/>
        </w:rPr>
        <w:t>to</w:t>
      </w:r>
      <w:r>
        <w:rPr>
          <w:color w:val="404040"/>
          <w:spacing w:val="-4"/>
          <w:sz w:val="26"/>
        </w:rPr>
        <w:t> </w:t>
      </w:r>
      <w:r>
        <w:rPr>
          <w:color w:val="404040"/>
          <w:sz w:val="26"/>
        </w:rPr>
        <w:t>the</w:t>
      </w:r>
      <w:r>
        <w:rPr>
          <w:color w:val="404040"/>
          <w:spacing w:val="-5"/>
          <w:sz w:val="26"/>
        </w:rPr>
        <w:t> </w:t>
      </w:r>
      <w:r>
        <w:rPr>
          <w:color w:val="404040"/>
          <w:sz w:val="26"/>
        </w:rPr>
        <w:t>Governor</w:t>
      </w:r>
      <w:r>
        <w:rPr>
          <w:color w:val="404040"/>
          <w:spacing w:val="-4"/>
          <w:sz w:val="26"/>
        </w:rPr>
        <w:t> </w:t>
      </w:r>
      <w:r>
        <w:rPr>
          <w:color w:val="404040"/>
          <w:sz w:val="26"/>
        </w:rPr>
        <w:t>&amp;</w:t>
      </w:r>
      <w:r>
        <w:rPr>
          <w:color w:val="404040"/>
          <w:spacing w:val="-2"/>
          <w:sz w:val="26"/>
        </w:rPr>
        <w:t> </w:t>
      </w:r>
      <w:r>
        <w:rPr>
          <w:color w:val="404040"/>
          <w:sz w:val="26"/>
        </w:rPr>
        <w:t>Legislature</w:t>
      </w:r>
      <w:r>
        <w:rPr>
          <w:color w:val="404040"/>
          <w:spacing w:val="-3"/>
          <w:sz w:val="26"/>
        </w:rPr>
        <w:t> </w:t>
      </w:r>
      <w:r>
        <w:rPr>
          <w:color w:val="404040"/>
          <w:sz w:val="26"/>
        </w:rPr>
        <w:t>on</w:t>
      </w:r>
      <w:r>
        <w:rPr>
          <w:color w:val="404040"/>
          <w:spacing w:val="-4"/>
          <w:sz w:val="26"/>
        </w:rPr>
        <w:t> </w:t>
      </w:r>
      <w:r>
        <w:rPr>
          <w:color w:val="404040"/>
          <w:sz w:val="26"/>
        </w:rPr>
        <w:t>Pediatric</w:t>
      </w:r>
      <w:r>
        <w:rPr>
          <w:color w:val="404040"/>
          <w:spacing w:val="-2"/>
          <w:sz w:val="26"/>
        </w:rPr>
        <w:t> Health</w:t>
      </w:r>
    </w:p>
    <w:p>
      <w:pPr>
        <w:pStyle w:val="ListParagraph"/>
        <w:numPr>
          <w:ilvl w:val="0"/>
          <w:numId w:val="6"/>
        </w:numPr>
        <w:tabs>
          <w:tab w:pos="1178" w:val="left" w:leader="none"/>
          <w:tab w:pos="1180" w:val="left" w:leader="none"/>
        </w:tabs>
        <w:spacing w:line="276" w:lineRule="auto" w:before="288" w:after="0"/>
        <w:ind w:left="1180" w:right="639" w:hanging="361"/>
        <w:jc w:val="both"/>
        <w:rPr>
          <w:sz w:val="22"/>
        </w:rPr>
      </w:pPr>
      <w:r>
        <w:rPr>
          <w:sz w:val="22"/>
        </w:rPr>
        <w:t>Invest in access to culturally competent LGBTQ healthcare in rural and underserved </w:t>
      </w:r>
      <w:r>
        <w:rPr>
          <w:spacing w:val="-2"/>
          <w:sz w:val="22"/>
        </w:rPr>
        <w:t>communities.</w:t>
      </w:r>
    </w:p>
    <w:p>
      <w:pPr>
        <w:pStyle w:val="ListParagraph"/>
        <w:numPr>
          <w:ilvl w:val="0"/>
          <w:numId w:val="6"/>
        </w:numPr>
        <w:tabs>
          <w:tab w:pos="1178" w:val="left" w:leader="none"/>
          <w:tab w:pos="1180" w:val="left" w:leader="none"/>
        </w:tabs>
        <w:spacing w:line="276" w:lineRule="auto" w:before="0" w:after="0"/>
        <w:ind w:left="1180" w:right="637" w:hanging="361"/>
        <w:jc w:val="both"/>
        <w:rPr>
          <w:sz w:val="22"/>
        </w:rPr>
      </w:pPr>
      <w:r>
        <w:rPr>
          <w:sz w:val="22"/>
        </w:rPr>
        <w:t>Invest in substantial community-based, participatory, action-oriented research with non- white LGBTQ youth to better understand the needs of this population and improve SOGIE data collection standards.</w:t>
      </w:r>
    </w:p>
    <w:p>
      <w:pPr>
        <w:pStyle w:val="ListParagraph"/>
        <w:numPr>
          <w:ilvl w:val="0"/>
          <w:numId w:val="6"/>
        </w:numPr>
        <w:tabs>
          <w:tab w:pos="1178" w:val="left" w:leader="none"/>
          <w:tab w:pos="1180" w:val="left" w:leader="none"/>
        </w:tabs>
        <w:spacing w:line="276" w:lineRule="auto" w:before="0" w:after="0"/>
        <w:ind w:left="1180" w:right="639" w:hanging="361"/>
        <w:jc w:val="both"/>
        <w:rPr>
          <w:sz w:val="22"/>
        </w:rPr>
      </w:pPr>
      <w:r>
        <w:rPr>
          <w:sz w:val="22"/>
        </w:rPr>
        <w:t>Improve research on intersex youth communities and prohibit non-consensual unnecessary medical interventions on minors.</w:t>
      </w:r>
    </w:p>
    <w:p>
      <w:pPr>
        <w:pStyle w:val="ListParagraph"/>
        <w:numPr>
          <w:ilvl w:val="0"/>
          <w:numId w:val="6"/>
        </w:numPr>
        <w:tabs>
          <w:tab w:pos="1179" w:val="left" w:leader="none"/>
        </w:tabs>
        <w:spacing w:line="240" w:lineRule="auto" w:before="0" w:after="0"/>
        <w:ind w:left="1179" w:right="0" w:hanging="359"/>
        <w:jc w:val="both"/>
        <w:rPr>
          <w:sz w:val="22"/>
        </w:rPr>
      </w:pPr>
      <w:r>
        <w:rPr>
          <w:sz w:val="22"/>
        </w:rPr>
        <w:t>Expand</w:t>
      </w:r>
      <w:r>
        <w:rPr>
          <w:spacing w:val="-9"/>
          <w:sz w:val="22"/>
        </w:rPr>
        <w:t> </w:t>
      </w:r>
      <w:r>
        <w:rPr>
          <w:sz w:val="22"/>
        </w:rPr>
        <w:t>coverage</w:t>
      </w:r>
      <w:r>
        <w:rPr>
          <w:spacing w:val="-10"/>
          <w:sz w:val="22"/>
        </w:rPr>
        <w:t> </w:t>
      </w:r>
      <w:r>
        <w:rPr>
          <w:sz w:val="22"/>
        </w:rPr>
        <w:t>of</w:t>
      </w:r>
      <w:r>
        <w:rPr>
          <w:spacing w:val="-10"/>
          <w:sz w:val="22"/>
        </w:rPr>
        <w:t> </w:t>
      </w:r>
      <w:r>
        <w:rPr>
          <w:sz w:val="22"/>
        </w:rPr>
        <w:t>gender-affirming</w:t>
      </w:r>
      <w:r>
        <w:rPr>
          <w:spacing w:val="-9"/>
          <w:sz w:val="22"/>
        </w:rPr>
        <w:t> </w:t>
      </w:r>
      <w:r>
        <w:rPr>
          <w:sz w:val="22"/>
        </w:rPr>
        <w:t>care</w:t>
      </w:r>
      <w:r>
        <w:rPr>
          <w:spacing w:val="-10"/>
          <w:sz w:val="22"/>
        </w:rPr>
        <w:t> </w:t>
      </w:r>
      <w:r>
        <w:rPr>
          <w:sz w:val="22"/>
        </w:rPr>
        <w:t>and</w:t>
      </w:r>
      <w:r>
        <w:rPr>
          <w:spacing w:val="-9"/>
          <w:sz w:val="22"/>
        </w:rPr>
        <w:t> </w:t>
      </w:r>
      <w:r>
        <w:rPr>
          <w:sz w:val="22"/>
        </w:rPr>
        <w:t>increase</w:t>
      </w:r>
      <w:r>
        <w:rPr>
          <w:spacing w:val="-9"/>
          <w:sz w:val="22"/>
        </w:rPr>
        <w:t> </w:t>
      </w:r>
      <w:r>
        <w:rPr>
          <w:sz w:val="22"/>
        </w:rPr>
        <w:t>reimbursement</w:t>
      </w:r>
      <w:r>
        <w:rPr>
          <w:spacing w:val="-9"/>
          <w:sz w:val="22"/>
        </w:rPr>
        <w:t> </w:t>
      </w:r>
      <w:r>
        <w:rPr>
          <w:sz w:val="22"/>
        </w:rPr>
        <w:t>to</w:t>
      </w:r>
      <w:r>
        <w:rPr>
          <w:spacing w:val="-9"/>
          <w:sz w:val="22"/>
        </w:rPr>
        <w:t> </w:t>
      </w:r>
      <w:r>
        <w:rPr>
          <w:sz w:val="22"/>
        </w:rPr>
        <w:t>incentivize</w:t>
      </w:r>
      <w:r>
        <w:rPr>
          <w:spacing w:val="-9"/>
          <w:sz w:val="22"/>
        </w:rPr>
        <w:t> </w:t>
      </w:r>
      <w:r>
        <w:rPr>
          <w:spacing w:val="-2"/>
          <w:sz w:val="22"/>
        </w:rPr>
        <w:t>care.</w:t>
      </w:r>
    </w:p>
    <w:p>
      <w:pPr>
        <w:pStyle w:val="ListParagraph"/>
        <w:numPr>
          <w:ilvl w:val="0"/>
          <w:numId w:val="6"/>
        </w:numPr>
        <w:tabs>
          <w:tab w:pos="1179" w:val="left" w:leader="none"/>
          <w:tab w:pos="1181" w:val="left" w:leader="none"/>
        </w:tabs>
        <w:spacing w:line="276" w:lineRule="auto" w:before="40" w:after="0"/>
        <w:ind w:left="1181" w:right="638" w:hanging="361"/>
        <w:jc w:val="both"/>
        <w:rPr>
          <w:sz w:val="22"/>
        </w:rPr>
      </w:pPr>
      <w:r>
        <w:rPr>
          <w:sz w:val="22"/>
        </w:rPr>
        <w:t>Dedicate funding to address intimidation and violence towards healthcare workers and healthcare centers.</w:t>
      </w:r>
    </w:p>
    <w:p>
      <w:pPr>
        <w:pStyle w:val="ListParagraph"/>
        <w:numPr>
          <w:ilvl w:val="0"/>
          <w:numId w:val="6"/>
        </w:numPr>
        <w:tabs>
          <w:tab w:pos="1179" w:val="left" w:leader="none"/>
          <w:tab w:pos="1181" w:val="left" w:leader="none"/>
        </w:tabs>
        <w:spacing w:line="276" w:lineRule="auto" w:before="0" w:after="0"/>
        <w:ind w:left="1181" w:right="639" w:hanging="361"/>
        <w:jc w:val="both"/>
        <w:rPr>
          <w:sz w:val="22"/>
        </w:rPr>
      </w:pPr>
      <w:r>
        <w:rPr>
          <w:sz w:val="22"/>
        </w:rPr>
        <w:t>Integrate gender-affirming health care into the modern health care environment, and combine with primary care, mental health, and community services.</w:t>
      </w:r>
    </w:p>
    <w:p>
      <w:pPr>
        <w:spacing w:after="0" w:line="276" w:lineRule="auto"/>
        <w:jc w:val="both"/>
        <w:rPr>
          <w:sz w:val="22"/>
        </w:rPr>
        <w:sectPr>
          <w:headerReference w:type="default" r:id="rId28"/>
          <w:footerReference w:type="default" r:id="rId29"/>
          <w:pgSz w:w="12240" w:h="15840"/>
          <w:pgMar w:header="1227" w:footer="1061" w:top="1500" w:bottom="1260" w:left="980" w:right="1160"/>
        </w:sectPr>
      </w:pPr>
    </w:p>
    <w:p>
      <w:pPr>
        <w:spacing w:before="29"/>
        <w:ind w:left="604" w:right="0" w:firstLine="0"/>
        <w:jc w:val="both"/>
        <w:rPr>
          <w:sz w:val="28"/>
        </w:rPr>
      </w:pPr>
      <w:bookmarkStart w:name="Broadening Pregnancy and Gynecological H" w:id="47"/>
      <w:bookmarkEnd w:id="47"/>
      <w:r>
        <w:rPr/>
      </w:r>
      <w:r>
        <w:rPr>
          <w:color w:val="365F91"/>
          <w:sz w:val="28"/>
        </w:rPr>
        <w:t>Broadening</w:t>
      </w:r>
      <w:r>
        <w:rPr>
          <w:color w:val="365F91"/>
          <w:spacing w:val="-13"/>
          <w:sz w:val="28"/>
        </w:rPr>
        <w:t> </w:t>
      </w:r>
      <w:r>
        <w:rPr>
          <w:color w:val="365F91"/>
          <w:sz w:val="28"/>
        </w:rPr>
        <w:t>Pregnancy</w:t>
      </w:r>
      <w:r>
        <w:rPr>
          <w:color w:val="365F91"/>
          <w:spacing w:val="-13"/>
          <w:sz w:val="28"/>
        </w:rPr>
        <w:t> </w:t>
      </w:r>
      <w:r>
        <w:rPr>
          <w:color w:val="365F91"/>
          <w:sz w:val="28"/>
        </w:rPr>
        <w:t>and</w:t>
      </w:r>
      <w:r>
        <w:rPr>
          <w:color w:val="365F91"/>
          <w:spacing w:val="-14"/>
          <w:sz w:val="28"/>
        </w:rPr>
        <w:t> </w:t>
      </w:r>
      <w:r>
        <w:rPr>
          <w:color w:val="365F91"/>
          <w:sz w:val="28"/>
        </w:rPr>
        <w:t>Gynecological</w:t>
      </w:r>
      <w:r>
        <w:rPr>
          <w:color w:val="365F91"/>
          <w:spacing w:val="-12"/>
          <w:sz w:val="28"/>
        </w:rPr>
        <w:t> </w:t>
      </w:r>
      <w:r>
        <w:rPr>
          <w:color w:val="365F91"/>
          <w:sz w:val="28"/>
        </w:rPr>
        <w:t>Health</w:t>
      </w:r>
      <w:r>
        <w:rPr>
          <w:color w:val="365F91"/>
          <w:spacing w:val="-14"/>
          <w:sz w:val="28"/>
        </w:rPr>
        <w:t> </w:t>
      </w:r>
      <w:r>
        <w:rPr>
          <w:color w:val="365F91"/>
          <w:spacing w:val="-2"/>
          <w:sz w:val="28"/>
        </w:rPr>
        <w:t>(2023)</w:t>
      </w:r>
    </w:p>
    <w:p>
      <w:pPr>
        <w:pStyle w:val="BodyText"/>
        <w:spacing w:line="276" w:lineRule="auto" w:before="293"/>
        <w:ind w:left="604" w:right="421"/>
        <w:jc w:val="both"/>
      </w:pPr>
      <w:r>
        <w:rPr/>
        <w:t>This report provides background information and literature regarding issues that fall under the umbrella of pregnancy and gynecological health related to LGBTQ youth. The information details healthcare services such as gender-affirming care, contraceptives, fertility treatments, and abortion discussed</w:t>
      </w:r>
      <w:r>
        <w:rPr>
          <w:spacing w:val="-9"/>
        </w:rPr>
        <w:t> </w:t>
      </w:r>
      <w:r>
        <w:rPr/>
        <w:t>in</w:t>
      </w:r>
      <w:r>
        <w:rPr>
          <w:spacing w:val="-9"/>
        </w:rPr>
        <w:t> </w:t>
      </w:r>
      <w:r>
        <w:rPr/>
        <w:t>relation</w:t>
      </w:r>
      <w:r>
        <w:rPr>
          <w:spacing w:val="-9"/>
        </w:rPr>
        <w:t> </w:t>
      </w:r>
      <w:r>
        <w:rPr/>
        <w:t>to</w:t>
      </w:r>
      <w:r>
        <w:rPr>
          <w:spacing w:val="-7"/>
        </w:rPr>
        <w:t> </w:t>
      </w:r>
      <w:r>
        <w:rPr/>
        <w:t>LGBTQ</w:t>
      </w:r>
      <w:r>
        <w:rPr>
          <w:spacing w:val="-9"/>
        </w:rPr>
        <w:t> </w:t>
      </w:r>
      <w:r>
        <w:rPr/>
        <w:t>youth</w:t>
      </w:r>
      <w:r>
        <w:rPr>
          <w:spacing w:val="-9"/>
        </w:rPr>
        <w:t> </w:t>
      </w:r>
      <w:r>
        <w:rPr/>
        <w:t>and</w:t>
      </w:r>
      <w:r>
        <w:rPr>
          <w:spacing w:val="-9"/>
        </w:rPr>
        <w:t> </w:t>
      </w:r>
      <w:r>
        <w:rPr/>
        <w:t>the</w:t>
      </w:r>
      <w:r>
        <w:rPr>
          <w:spacing w:val="-8"/>
        </w:rPr>
        <w:t> </w:t>
      </w:r>
      <w:r>
        <w:rPr/>
        <w:t>general</w:t>
      </w:r>
      <w:r>
        <w:rPr>
          <w:spacing w:val="-6"/>
        </w:rPr>
        <w:t> </w:t>
      </w:r>
      <w:r>
        <w:rPr/>
        <w:t>LGBTQ</w:t>
      </w:r>
      <w:r>
        <w:rPr>
          <w:spacing w:val="-8"/>
        </w:rPr>
        <w:t> </w:t>
      </w:r>
      <w:r>
        <w:rPr/>
        <w:t>population.</w:t>
      </w:r>
      <w:r>
        <w:rPr>
          <w:spacing w:val="-9"/>
        </w:rPr>
        <w:t> </w:t>
      </w:r>
      <w:r>
        <w:rPr/>
        <w:t>Background</w:t>
      </w:r>
      <w:r>
        <w:rPr>
          <w:spacing w:val="-9"/>
        </w:rPr>
        <w:t> </w:t>
      </w:r>
      <w:r>
        <w:rPr/>
        <w:t>on</w:t>
      </w:r>
      <w:r>
        <w:rPr>
          <w:spacing w:val="-8"/>
        </w:rPr>
        <w:t> </w:t>
      </w:r>
      <w:r>
        <w:rPr/>
        <w:t>menstruation and pregnancy is detailed below to capture the inequities LGBTQ youth and the general LGBTQ population experience with these two biological functions. Maternal mortality is also a topic of discussion</w:t>
      </w:r>
      <w:r>
        <w:rPr>
          <w:spacing w:val="-7"/>
        </w:rPr>
        <w:t> </w:t>
      </w:r>
      <w:r>
        <w:rPr/>
        <w:t>as</w:t>
      </w:r>
      <w:r>
        <w:rPr>
          <w:spacing w:val="-5"/>
        </w:rPr>
        <w:t> </w:t>
      </w:r>
      <w:r>
        <w:rPr/>
        <w:t>there</w:t>
      </w:r>
      <w:r>
        <w:rPr>
          <w:spacing w:val="-5"/>
        </w:rPr>
        <w:t> </w:t>
      </w:r>
      <w:r>
        <w:rPr/>
        <w:t>is</w:t>
      </w:r>
      <w:r>
        <w:rPr>
          <w:spacing w:val="-6"/>
        </w:rPr>
        <w:t> </w:t>
      </w:r>
      <w:r>
        <w:rPr/>
        <w:t>a</w:t>
      </w:r>
      <w:r>
        <w:rPr>
          <w:spacing w:val="-6"/>
        </w:rPr>
        <w:t> </w:t>
      </w:r>
      <w:r>
        <w:rPr/>
        <w:t>lack</w:t>
      </w:r>
      <w:r>
        <w:rPr>
          <w:spacing w:val="-6"/>
        </w:rPr>
        <w:t> </w:t>
      </w:r>
      <w:r>
        <w:rPr/>
        <w:t>of</w:t>
      </w:r>
      <w:r>
        <w:rPr>
          <w:spacing w:val="-6"/>
        </w:rPr>
        <w:t> </w:t>
      </w:r>
      <w:r>
        <w:rPr/>
        <w:t>universal</w:t>
      </w:r>
      <w:r>
        <w:rPr>
          <w:spacing w:val="-5"/>
        </w:rPr>
        <w:t> </w:t>
      </w:r>
      <w:r>
        <w:rPr/>
        <w:t>data</w:t>
      </w:r>
      <w:r>
        <w:rPr>
          <w:spacing w:val="-6"/>
        </w:rPr>
        <w:t> </w:t>
      </w:r>
      <w:r>
        <w:rPr/>
        <w:t>collection</w:t>
      </w:r>
      <w:r>
        <w:rPr>
          <w:spacing w:val="-7"/>
        </w:rPr>
        <w:t> </w:t>
      </w:r>
      <w:r>
        <w:rPr/>
        <w:t>on</w:t>
      </w:r>
      <w:r>
        <w:rPr>
          <w:spacing w:val="-6"/>
        </w:rPr>
        <w:t> </w:t>
      </w:r>
      <w:r>
        <w:rPr/>
        <w:t>maternal</w:t>
      </w:r>
      <w:r>
        <w:rPr>
          <w:spacing w:val="-7"/>
        </w:rPr>
        <w:t> </w:t>
      </w:r>
      <w:r>
        <w:rPr/>
        <w:t>deaths</w:t>
      </w:r>
      <w:r>
        <w:rPr>
          <w:spacing w:val="-6"/>
        </w:rPr>
        <w:t> </w:t>
      </w:r>
      <w:r>
        <w:rPr/>
        <w:t>for</w:t>
      </w:r>
      <w:r>
        <w:rPr>
          <w:spacing w:val="-6"/>
        </w:rPr>
        <w:t> </w:t>
      </w:r>
      <w:r>
        <w:rPr/>
        <w:t>LGBTQ</w:t>
      </w:r>
      <w:r>
        <w:rPr>
          <w:spacing w:val="-6"/>
        </w:rPr>
        <w:t> </w:t>
      </w:r>
      <w:r>
        <w:rPr/>
        <w:t>birthing</w:t>
      </w:r>
      <w:r>
        <w:rPr>
          <w:spacing w:val="-7"/>
        </w:rPr>
        <w:t> </w:t>
      </w:r>
      <w:r>
        <w:rPr/>
        <w:t>people.</w:t>
      </w:r>
    </w:p>
    <w:p>
      <w:pPr>
        <w:pStyle w:val="BodyText"/>
        <w:spacing w:line="276" w:lineRule="auto" w:before="239"/>
        <w:ind w:left="604" w:right="421"/>
        <w:jc w:val="both"/>
      </w:pPr>
      <w:r>
        <w:rPr/>
        <w:t>The</w:t>
      </w:r>
      <w:r>
        <w:rPr>
          <w:spacing w:val="-2"/>
        </w:rPr>
        <w:t> </w:t>
      </w:r>
      <w:r>
        <w:rPr/>
        <w:t>second</w:t>
      </w:r>
      <w:r>
        <w:rPr>
          <w:spacing w:val="-2"/>
        </w:rPr>
        <w:t> </w:t>
      </w:r>
      <w:r>
        <w:rPr/>
        <w:t>part</w:t>
      </w:r>
      <w:r>
        <w:rPr>
          <w:spacing w:val="-2"/>
        </w:rPr>
        <w:t> </w:t>
      </w:r>
      <w:r>
        <w:rPr/>
        <w:t>of</w:t>
      </w:r>
      <w:r>
        <w:rPr>
          <w:spacing w:val="-1"/>
        </w:rPr>
        <w:t> </w:t>
      </w:r>
      <w:r>
        <w:rPr/>
        <w:t>this</w:t>
      </w:r>
      <w:r>
        <w:rPr>
          <w:spacing w:val="-1"/>
        </w:rPr>
        <w:t> </w:t>
      </w:r>
      <w:r>
        <w:rPr/>
        <w:t>report</w:t>
      </w:r>
      <w:r>
        <w:rPr>
          <w:spacing w:val="-2"/>
        </w:rPr>
        <w:t> </w:t>
      </w:r>
      <w:r>
        <w:rPr/>
        <w:t>demonstrates</w:t>
      </w:r>
      <w:r>
        <w:rPr>
          <w:spacing w:val="-1"/>
        </w:rPr>
        <w:t> </w:t>
      </w:r>
      <w:r>
        <w:rPr/>
        <w:t>Massachusetts’</w:t>
      </w:r>
      <w:r>
        <w:rPr>
          <w:spacing w:val="-1"/>
        </w:rPr>
        <w:t> </w:t>
      </w:r>
      <w:r>
        <w:rPr/>
        <w:t>efforts</w:t>
      </w:r>
      <w:r>
        <w:rPr>
          <w:spacing w:val="-1"/>
        </w:rPr>
        <w:t> </w:t>
      </w:r>
      <w:r>
        <w:rPr/>
        <w:t>in</w:t>
      </w:r>
      <w:r>
        <w:rPr>
          <w:spacing w:val="-2"/>
        </w:rPr>
        <w:t> </w:t>
      </w:r>
      <w:r>
        <w:rPr/>
        <w:t>expanding</w:t>
      </w:r>
      <w:r>
        <w:rPr>
          <w:spacing w:val="-2"/>
        </w:rPr>
        <w:t> </w:t>
      </w:r>
      <w:r>
        <w:rPr/>
        <w:t>reproductive</w:t>
      </w:r>
      <w:r>
        <w:rPr>
          <w:spacing w:val="-2"/>
        </w:rPr>
        <w:t> </w:t>
      </w:r>
      <w:r>
        <w:rPr/>
        <w:t>health care that could improve pregnancy and gynecological outcomes for LGBTQ youth and where some policies fall short. Healthcare coverage is an essential component that can provide LGBTQ youth patients access to healthcare providers and facilities. This is crucial for LGBTQ birthing people who need healthcare access during pregnancy and post-partum. LGBTQ youth may experience infertility due</w:t>
      </w:r>
      <w:r>
        <w:rPr>
          <w:spacing w:val="-4"/>
        </w:rPr>
        <w:t> </w:t>
      </w:r>
      <w:r>
        <w:rPr/>
        <w:t>to</w:t>
      </w:r>
      <w:r>
        <w:rPr>
          <w:spacing w:val="-5"/>
        </w:rPr>
        <w:t> </w:t>
      </w:r>
      <w:r>
        <w:rPr/>
        <w:t>hormone</w:t>
      </w:r>
      <w:r>
        <w:rPr>
          <w:spacing w:val="-6"/>
        </w:rPr>
        <w:t> </w:t>
      </w:r>
      <w:r>
        <w:rPr/>
        <w:t>therapy</w:t>
      </w:r>
      <w:r>
        <w:rPr>
          <w:spacing w:val="-5"/>
        </w:rPr>
        <w:t> </w:t>
      </w:r>
      <w:r>
        <w:rPr/>
        <w:t>or</w:t>
      </w:r>
      <w:r>
        <w:rPr>
          <w:spacing w:val="-4"/>
        </w:rPr>
        <w:t> </w:t>
      </w:r>
      <w:r>
        <w:rPr/>
        <w:t>may</w:t>
      </w:r>
      <w:r>
        <w:rPr>
          <w:spacing w:val="-5"/>
        </w:rPr>
        <w:t> </w:t>
      </w:r>
      <w:r>
        <w:rPr/>
        <w:t>not</w:t>
      </w:r>
      <w:r>
        <w:rPr>
          <w:spacing w:val="-6"/>
        </w:rPr>
        <w:t> </w:t>
      </w:r>
      <w:r>
        <w:rPr/>
        <w:t>be</w:t>
      </w:r>
      <w:r>
        <w:rPr>
          <w:spacing w:val="-6"/>
        </w:rPr>
        <w:t> </w:t>
      </w:r>
      <w:r>
        <w:rPr/>
        <w:t>able</w:t>
      </w:r>
      <w:r>
        <w:rPr>
          <w:spacing w:val="-6"/>
        </w:rPr>
        <w:t> </w:t>
      </w:r>
      <w:r>
        <w:rPr/>
        <w:t>to</w:t>
      </w:r>
      <w:r>
        <w:rPr>
          <w:spacing w:val="-4"/>
        </w:rPr>
        <w:t> </w:t>
      </w:r>
      <w:r>
        <w:rPr/>
        <w:t>conceive</w:t>
      </w:r>
      <w:r>
        <w:rPr>
          <w:spacing w:val="-6"/>
        </w:rPr>
        <w:t> </w:t>
      </w:r>
      <w:r>
        <w:rPr/>
        <w:t>with</w:t>
      </w:r>
      <w:r>
        <w:rPr>
          <w:spacing w:val="-4"/>
        </w:rPr>
        <w:t> </w:t>
      </w:r>
      <w:r>
        <w:rPr/>
        <w:t>a</w:t>
      </w:r>
      <w:r>
        <w:rPr>
          <w:spacing w:val="-5"/>
        </w:rPr>
        <w:t> </w:t>
      </w:r>
      <w:r>
        <w:rPr/>
        <w:t>partner</w:t>
      </w:r>
      <w:r>
        <w:rPr>
          <w:spacing w:val="-5"/>
        </w:rPr>
        <w:t> </w:t>
      </w:r>
      <w:r>
        <w:rPr/>
        <w:t>who</w:t>
      </w:r>
      <w:r>
        <w:rPr>
          <w:spacing w:val="-5"/>
        </w:rPr>
        <w:t> </w:t>
      </w:r>
      <w:r>
        <w:rPr/>
        <w:t>is</w:t>
      </w:r>
      <w:r>
        <w:rPr>
          <w:spacing w:val="-4"/>
        </w:rPr>
        <w:t> </w:t>
      </w:r>
      <w:r>
        <w:rPr/>
        <w:t>the</w:t>
      </w:r>
      <w:r>
        <w:rPr>
          <w:spacing w:val="-6"/>
        </w:rPr>
        <w:t> </w:t>
      </w:r>
      <w:r>
        <w:rPr/>
        <w:t>same</w:t>
      </w:r>
      <w:r>
        <w:rPr>
          <w:spacing w:val="-6"/>
        </w:rPr>
        <w:t> </w:t>
      </w:r>
      <w:r>
        <w:rPr/>
        <w:t>sex</w:t>
      </w:r>
      <w:r>
        <w:rPr>
          <w:spacing w:val="-6"/>
        </w:rPr>
        <w:t> </w:t>
      </w:r>
      <w:r>
        <w:rPr/>
        <w:t>or</w:t>
      </w:r>
      <w:r>
        <w:rPr>
          <w:spacing w:val="-4"/>
        </w:rPr>
        <w:t> </w:t>
      </w:r>
      <w:r>
        <w:rPr/>
        <w:t>has</w:t>
      </w:r>
      <w:r>
        <w:rPr>
          <w:spacing w:val="-5"/>
        </w:rPr>
        <w:t> </w:t>
      </w:r>
      <w:r>
        <w:rPr/>
        <w:t>the same reproductive anatomy. Expanding access to fertility treatments for LGBTQ individuals assigned female</w:t>
      </w:r>
      <w:r>
        <w:rPr>
          <w:spacing w:val="-11"/>
        </w:rPr>
        <w:t> </w:t>
      </w:r>
      <w:r>
        <w:rPr/>
        <w:t>at</w:t>
      </w:r>
      <w:r>
        <w:rPr>
          <w:spacing w:val="-12"/>
        </w:rPr>
        <w:t> </w:t>
      </w:r>
      <w:r>
        <w:rPr/>
        <w:t>birth</w:t>
      </w:r>
      <w:r>
        <w:rPr>
          <w:spacing w:val="-11"/>
        </w:rPr>
        <w:t> </w:t>
      </w:r>
      <w:r>
        <w:rPr/>
        <w:t>furthers</w:t>
      </w:r>
      <w:r>
        <w:rPr>
          <w:spacing w:val="-11"/>
        </w:rPr>
        <w:t> </w:t>
      </w:r>
      <w:r>
        <w:rPr/>
        <w:t>reproductive</w:t>
      </w:r>
      <w:r>
        <w:rPr>
          <w:spacing w:val="-11"/>
        </w:rPr>
        <w:t> </w:t>
      </w:r>
      <w:r>
        <w:rPr/>
        <w:t>rights</w:t>
      </w:r>
      <w:r>
        <w:rPr>
          <w:spacing w:val="-11"/>
        </w:rPr>
        <w:t> </w:t>
      </w:r>
      <w:r>
        <w:rPr/>
        <w:t>for</w:t>
      </w:r>
      <w:r>
        <w:rPr>
          <w:spacing w:val="-11"/>
        </w:rPr>
        <w:t> </w:t>
      </w:r>
      <w:r>
        <w:rPr/>
        <w:t>those</w:t>
      </w:r>
      <w:r>
        <w:rPr>
          <w:spacing w:val="-10"/>
        </w:rPr>
        <w:t> </w:t>
      </w:r>
      <w:r>
        <w:rPr/>
        <w:t>who</w:t>
      </w:r>
      <w:r>
        <w:rPr>
          <w:spacing w:val="-11"/>
        </w:rPr>
        <w:t> </w:t>
      </w:r>
      <w:r>
        <w:rPr/>
        <w:t>do</w:t>
      </w:r>
      <w:r>
        <w:rPr>
          <w:spacing w:val="-11"/>
        </w:rPr>
        <w:t> </w:t>
      </w:r>
      <w:r>
        <w:rPr/>
        <w:t>not</w:t>
      </w:r>
      <w:r>
        <w:rPr>
          <w:spacing w:val="-12"/>
        </w:rPr>
        <w:t> </w:t>
      </w:r>
      <w:r>
        <w:rPr/>
        <w:t>fall</w:t>
      </w:r>
      <w:r>
        <w:rPr>
          <w:spacing w:val="-11"/>
        </w:rPr>
        <w:t> </w:t>
      </w:r>
      <w:r>
        <w:rPr/>
        <w:t>under</w:t>
      </w:r>
      <w:r>
        <w:rPr>
          <w:spacing w:val="-10"/>
        </w:rPr>
        <w:t> </w:t>
      </w:r>
      <w:r>
        <w:rPr/>
        <w:t>the</w:t>
      </w:r>
      <w:r>
        <w:rPr>
          <w:spacing w:val="-10"/>
        </w:rPr>
        <w:t> </w:t>
      </w:r>
      <w:r>
        <w:rPr/>
        <w:t>heteronormative</w:t>
      </w:r>
      <w:r>
        <w:rPr>
          <w:spacing w:val="-11"/>
        </w:rPr>
        <w:t> </w:t>
      </w:r>
      <w:r>
        <w:rPr/>
        <w:t>ideals of</w:t>
      </w:r>
      <w:r>
        <w:rPr>
          <w:spacing w:val="-3"/>
        </w:rPr>
        <w:t> </w:t>
      </w:r>
      <w:r>
        <w:rPr/>
        <w:t>what</w:t>
      </w:r>
      <w:r>
        <w:rPr>
          <w:spacing w:val="-3"/>
        </w:rPr>
        <w:t> </w:t>
      </w:r>
      <w:r>
        <w:rPr/>
        <w:t>a</w:t>
      </w:r>
      <w:r>
        <w:rPr>
          <w:spacing w:val="-3"/>
        </w:rPr>
        <w:t> </w:t>
      </w:r>
      <w:r>
        <w:rPr/>
        <w:t>“mother”</w:t>
      </w:r>
      <w:r>
        <w:rPr>
          <w:spacing w:val="-3"/>
        </w:rPr>
        <w:t> </w:t>
      </w:r>
      <w:r>
        <w:rPr/>
        <w:t>or</w:t>
      </w:r>
      <w:r>
        <w:rPr>
          <w:spacing w:val="-3"/>
        </w:rPr>
        <w:t> </w:t>
      </w:r>
      <w:r>
        <w:rPr/>
        <w:t>parent</w:t>
      </w:r>
      <w:r>
        <w:rPr>
          <w:spacing w:val="-3"/>
        </w:rPr>
        <w:t> </w:t>
      </w:r>
      <w:r>
        <w:rPr/>
        <w:t>should</w:t>
      </w:r>
      <w:r>
        <w:rPr>
          <w:spacing w:val="-3"/>
        </w:rPr>
        <w:t> </w:t>
      </w:r>
      <w:r>
        <w:rPr/>
        <w:t>be.</w:t>
      </w:r>
      <w:r>
        <w:rPr>
          <w:spacing w:val="-3"/>
        </w:rPr>
        <w:t> </w:t>
      </w:r>
      <w:r>
        <w:rPr/>
        <w:t>For</w:t>
      </w:r>
      <w:r>
        <w:rPr>
          <w:spacing w:val="-3"/>
        </w:rPr>
        <w:t> </w:t>
      </w:r>
      <w:r>
        <w:rPr/>
        <w:t>LGBTQ</w:t>
      </w:r>
      <w:r>
        <w:rPr>
          <w:spacing w:val="-3"/>
        </w:rPr>
        <w:t> </w:t>
      </w:r>
      <w:r>
        <w:rPr/>
        <w:t>youth,</w:t>
      </w:r>
      <w:r>
        <w:rPr>
          <w:spacing w:val="-3"/>
        </w:rPr>
        <w:t> </w:t>
      </w:r>
      <w:r>
        <w:rPr/>
        <w:t>doula</w:t>
      </w:r>
      <w:r>
        <w:rPr>
          <w:spacing w:val="-3"/>
        </w:rPr>
        <w:t> </w:t>
      </w:r>
      <w:r>
        <w:rPr/>
        <w:t>services</w:t>
      </w:r>
      <w:r>
        <w:rPr>
          <w:spacing w:val="-3"/>
        </w:rPr>
        <w:t> </w:t>
      </w:r>
      <w:r>
        <w:rPr/>
        <w:t>can</w:t>
      </w:r>
      <w:r>
        <w:rPr>
          <w:spacing w:val="-2"/>
        </w:rPr>
        <w:t> </w:t>
      </w:r>
      <w:r>
        <w:rPr/>
        <w:t>provide</w:t>
      </w:r>
      <w:r>
        <w:rPr>
          <w:spacing w:val="-3"/>
        </w:rPr>
        <w:t> </w:t>
      </w:r>
      <w:r>
        <w:rPr/>
        <w:t>a</w:t>
      </w:r>
      <w:r>
        <w:rPr>
          <w:spacing w:val="-3"/>
        </w:rPr>
        <w:t> </w:t>
      </w:r>
      <w:r>
        <w:rPr/>
        <w:t>wide</w:t>
      </w:r>
      <w:r>
        <w:rPr>
          <w:spacing w:val="-2"/>
        </w:rPr>
        <w:t> </w:t>
      </w:r>
      <w:r>
        <w:rPr/>
        <w:t>range</w:t>
      </w:r>
      <w:r>
        <w:rPr>
          <w:spacing w:val="-3"/>
        </w:rPr>
        <w:t> </w:t>
      </w:r>
      <w:r>
        <w:rPr/>
        <w:t>of support whether it be for pregnancy-related reasons, abortion support, and even gender-affirming healthcare</w:t>
      </w:r>
      <w:r>
        <w:rPr>
          <w:spacing w:val="-11"/>
        </w:rPr>
        <w:t> </w:t>
      </w:r>
      <w:r>
        <w:rPr/>
        <w:t>support.</w:t>
      </w:r>
      <w:r>
        <w:rPr>
          <w:spacing w:val="-12"/>
        </w:rPr>
        <w:t> </w:t>
      </w:r>
      <w:r>
        <w:rPr/>
        <w:t>LGBTQ</w:t>
      </w:r>
      <w:r>
        <w:rPr>
          <w:spacing w:val="-10"/>
        </w:rPr>
        <w:t> </w:t>
      </w:r>
      <w:r>
        <w:rPr/>
        <w:t>youth</w:t>
      </w:r>
      <w:r>
        <w:rPr>
          <w:spacing w:val="-11"/>
        </w:rPr>
        <w:t> </w:t>
      </w:r>
      <w:r>
        <w:rPr/>
        <w:t>also</w:t>
      </w:r>
      <w:r>
        <w:rPr>
          <w:spacing w:val="-11"/>
        </w:rPr>
        <w:t> </w:t>
      </w:r>
      <w:r>
        <w:rPr/>
        <w:t>deserve</w:t>
      </w:r>
      <w:r>
        <w:rPr>
          <w:spacing w:val="-11"/>
        </w:rPr>
        <w:t> </w:t>
      </w:r>
      <w:r>
        <w:rPr/>
        <w:t>access</w:t>
      </w:r>
      <w:r>
        <w:rPr>
          <w:spacing w:val="-10"/>
        </w:rPr>
        <w:t> </w:t>
      </w:r>
      <w:r>
        <w:rPr/>
        <w:t>to</w:t>
      </w:r>
      <w:r>
        <w:rPr>
          <w:spacing w:val="-11"/>
        </w:rPr>
        <w:t> </w:t>
      </w:r>
      <w:r>
        <w:rPr/>
        <w:t>abortion</w:t>
      </w:r>
      <w:r>
        <w:rPr>
          <w:spacing w:val="-11"/>
        </w:rPr>
        <w:t> </w:t>
      </w:r>
      <w:r>
        <w:rPr/>
        <w:t>care,</w:t>
      </w:r>
      <w:r>
        <w:rPr>
          <w:spacing w:val="-11"/>
        </w:rPr>
        <w:t> </w:t>
      </w:r>
      <w:r>
        <w:rPr/>
        <w:t>birth</w:t>
      </w:r>
      <w:r>
        <w:rPr>
          <w:spacing w:val="-11"/>
        </w:rPr>
        <w:t> </w:t>
      </w:r>
      <w:r>
        <w:rPr/>
        <w:t>control</w:t>
      </w:r>
      <w:r>
        <w:rPr>
          <w:spacing w:val="-11"/>
        </w:rPr>
        <w:t> </w:t>
      </w:r>
      <w:r>
        <w:rPr/>
        <w:t>access,</w:t>
      </w:r>
      <w:r>
        <w:rPr>
          <w:spacing w:val="-11"/>
        </w:rPr>
        <w:t> </w:t>
      </w:r>
      <w:r>
        <w:rPr/>
        <w:t>and</w:t>
      </w:r>
      <w:r>
        <w:rPr>
          <w:spacing w:val="-11"/>
        </w:rPr>
        <w:t> </w:t>
      </w:r>
      <w:r>
        <w:rPr/>
        <w:t>access to</w:t>
      </w:r>
      <w:r>
        <w:rPr>
          <w:spacing w:val="-1"/>
        </w:rPr>
        <w:t> </w:t>
      </w:r>
      <w:r>
        <w:rPr/>
        <w:t>menstrual products</w:t>
      </w:r>
      <w:r>
        <w:rPr>
          <w:spacing w:val="-1"/>
        </w:rPr>
        <w:t> </w:t>
      </w:r>
      <w:r>
        <w:rPr/>
        <w:t>and</w:t>
      </w:r>
      <w:r>
        <w:rPr>
          <w:spacing w:val="-1"/>
        </w:rPr>
        <w:t> </w:t>
      </w:r>
      <w:r>
        <w:rPr/>
        <w:t>the</w:t>
      </w:r>
      <w:r>
        <w:rPr>
          <w:spacing w:val="-2"/>
        </w:rPr>
        <w:t> </w:t>
      </w:r>
      <w:r>
        <w:rPr/>
        <w:t>Commonwealth</w:t>
      </w:r>
      <w:r>
        <w:rPr>
          <w:spacing w:val="-2"/>
        </w:rPr>
        <w:t> </w:t>
      </w:r>
      <w:r>
        <w:rPr/>
        <w:t>has</w:t>
      </w:r>
      <w:r>
        <w:rPr>
          <w:spacing w:val="-1"/>
        </w:rPr>
        <w:t> </w:t>
      </w:r>
      <w:r>
        <w:rPr/>
        <w:t>the</w:t>
      </w:r>
      <w:r>
        <w:rPr>
          <w:spacing w:val="-2"/>
        </w:rPr>
        <w:t> </w:t>
      </w:r>
      <w:r>
        <w:rPr/>
        <w:t>opportunity</w:t>
      </w:r>
      <w:r>
        <w:rPr>
          <w:spacing w:val="-1"/>
        </w:rPr>
        <w:t> </w:t>
      </w:r>
      <w:r>
        <w:rPr/>
        <w:t>to</w:t>
      </w:r>
      <w:r>
        <w:rPr>
          <w:spacing w:val="-1"/>
        </w:rPr>
        <w:t> </w:t>
      </w:r>
      <w:r>
        <w:rPr/>
        <w:t>further expand</w:t>
      </w:r>
      <w:r>
        <w:rPr>
          <w:spacing w:val="-2"/>
        </w:rPr>
        <w:t> </w:t>
      </w:r>
      <w:r>
        <w:rPr/>
        <w:t>access through </w:t>
      </w:r>
      <w:r>
        <w:rPr>
          <w:spacing w:val="-2"/>
        </w:rPr>
        <w:t>legislation.</w:t>
      </w:r>
    </w:p>
    <w:p>
      <w:pPr>
        <w:spacing w:line="276" w:lineRule="auto" w:before="240"/>
        <w:ind w:left="604" w:right="421" w:firstLine="0"/>
        <w:jc w:val="both"/>
        <w:rPr>
          <w:sz w:val="26"/>
        </w:rPr>
      </w:pPr>
      <w:bookmarkStart w:name="FY 2025 Recommendations to the Governor " w:id="48"/>
      <w:bookmarkEnd w:id="48"/>
      <w:r>
        <w:rPr/>
      </w:r>
      <w:r>
        <w:rPr>
          <w:color w:val="404040"/>
          <w:sz w:val="26"/>
        </w:rPr>
        <w:t>FY 2025 Recommendations to the Governor &amp; Legislature on Pregnancy &amp; Gynecological Health</w:t>
      </w:r>
    </w:p>
    <w:p>
      <w:pPr>
        <w:pStyle w:val="ListParagraph"/>
        <w:numPr>
          <w:ilvl w:val="0"/>
          <w:numId w:val="7"/>
        </w:numPr>
        <w:tabs>
          <w:tab w:pos="1176" w:val="left" w:leader="none"/>
          <w:tab w:pos="1178" w:val="left" w:leader="none"/>
        </w:tabs>
        <w:spacing w:line="276" w:lineRule="auto" w:before="240" w:after="0"/>
        <w:ind w:left="1178" w:right="423" w:hanging="361"/>
        <w:jc w:val="left"/>
        <w:rPr>
          <w:sz w:val="22"/>
        </w:rPr>
      </w:pPr>
      <w:r>
        <w:rPr>
          <w:sz w:val="22"/>
        </w:rPr>
        <w:t>Improve</w:t>
      </w:r>
      <w:r>
        <w:rPr>
          <w:spacing w:val="27"/>
          <w:sz w:val="22"/>
        </w:rPr>
        <w:t> </w:t>
      </w:r>
      <w:r>
        <w:rPr>
          <w:sz w:val="22"/>
        </w:rPr>
        <w:t>SOGI</w:t>
      </w:r>
      <w:r>
        <w:rPr>
          <w:spacing w:val="27"/>
          <w:sz w:val="22"/>
        </w:rPr>
        <w:t> </w:t>
      </w:r>
      <w:r>
        <w:rPr>
          <w:sz w:val="22"/>
        </w:rPr>
        <w:t>data</w:t>
      </w:r>
      <w:r>
        <w:rPr>
          <w:spacing w:val="28"/>
          <w:sz w:val="22"/>
        </w:rPr>
        <w:t> </w:t>
      </w:r>
      <w:r>
        <w:rPr>
          <w:sz w:val="22"/>
        </w:rPr>
        <w:t>collection</w:t>
      </w:r>
      <w:r>
        <w:rPr>
          <w:spacing w:val="27"/>
          <w:sz w:val="22"/>
        </w:rPr>
        <w:t> </w:t>
      </w:r>
      <w:r>
        <w:rPr>
          <w:sz w:val="22"/>
        </w:rPr>
        <w:t>efforts</w:t>
      </w:r>
      <w:r>
        <w:rPr>
          <w:spacing w:val="28"/>
          <w:sz w:val="22"/>
        </w:rPr>
        <w:t> </w:t>
      </w:r>
      <w:r>
        <w:rPr>
          <w:sz w:val="22"/>
        </w:rPr>
        <w:t>across</w:t>
      </w:r>
      <w:r>
        <w:rPr>
          <w:spacing w:val="28"/>
          <w:sz w:val="22"/>
        </w:rPr>
        <w:t> </w:t>
      </w:r>
      <w:r>
        <w:rPr>
          <w:sz w:val="22"/>
        </w:rPr>
        <w:t>state</w:t>
      </w:r>
      <w:r>
        <w:rPr>
          <w:spacing w:val="27"/>
          <w:sz w:val="22"/>
        </w:rPr>
        <w:t> </w:t>
      </w:r>
      <w:r>
        <w:rPr>
          <w:sz w:val="22"/>
        </w:rPr>
        <w:t>services</w:t>
      </w:r>
      <w:r>
        <w:rPr>
          <w:spacing w:val="28"/>
          <w:sz w:val="22"/>
        </w:rPr>
        <w:t> </w:t>
      </w:r>
      <w:r>
        <w:rPr>
          <w:sz w:val="22"/>
        </w:rPr>
        <w:t>as</w:t>
      </w:r>
      <w:r>
        <w:rPr>
          <w:spacing w:val="28"/>
          <w:sz w:val="22"/>
        </w:rPr>
        <w:t> </w:t>
      </w:r>
      <w:r>
        <w:rPr>
          <w:sz w:val="22"/>
        </w:rPr>
        <w:t>it</w:t>
      </w:r>
      <w:r>
        <w:rPr>
          <w:spacing w:val="27"/>
          <w:sz w:val="22"/>
        </w:rPr>
        <w:t> </w:t>
      </w:r>
      <w:r>
        <w:rPr>
          <w:sz w:val="22"/>
        </w:rPr>
        <w:t>relates</w:t>
      </w:r>
      <w:r>
        <w:rPr>
          <w:spacing w:val="28"/>
          <w:sz w:val="22"/>
        </w:rPr>
        <w:t> </w:t>
      </w:r>
      <w:r>
        <w:rPr>
          <w:sz w:val="22"/>
        </w:rPr>
        <w:t>to</w:t>
      </w:r>
      <w:r>
        <w:rPr>
          <w:spacing w:val="28"/>
          <w:sz w:val="22"/>
        </w:rPr>
        <w:t> </w:t>
      </w:r>
      <w:r>
        <w:rPr>
          <w:sz w:val="22"/>
        </w:rPr>
        <w:t>pregnancy</w:t>
      </w:r>
      <w:r>
        <w:rPr>
          <w:spacing w:val="28"/>
          <w:sz w:val="22"/>
        </w:rPr>
        <w:t> </w:t>
      </w:r>
      <w:r>
        <w:rPr>
          <w:sz w:val="22"/>
        </w:rPr>
        <w:t>service needs and mortality rates.</w:t>
      </w:r>
    </w:p>
    <w:p>
      <w:pPr>
        <w:pStyle w:val="ListParagraph"/>
        <w:numPr>
          <w:ilvl w:val="0"/>
          <w:numId w:val="7"/>
        </w:numPr>
        <w:tabs>
          <w:tab w:pos="1177" w:val="left" w:leader="none"/>
          <w:tab w:pos="1179" w:val="left" w:leader="none"/>
        </w:tabs>
        <w:spacing w:line="276" w:lineRule="auto" w:before="1" w:after="0"/>
        <w:ind w:left="1179" w:right="423" w:hanging="361"/>
        <w:jc w:val="left"/>
        <w:rPr>
          <w:sz w:val="22"/>
        </w:rPr>
      </w:pPr>
      <w:r>
        <w:rPr>
          <w:sz w:val="22"/>
        </w:rPr>
        <w:t>Create</w:t>
      </w:r>
      <w:r>
        <w:rPr>
          <w:spacing w:val="-1"/>
          <w:sz w:val="22"/>
        </w:rPr>
        <w:t> </w:t>
      </w:r>
      <w:r>
        <w:rPr>
          <w:sz w:val="22"/>
        </w:rPr>
        <w:t>and</w:t>
      </w:r>
      <w:r>
        <w:rPr>
          <w:spacing w:val="-1"/>
          <w:sz w:val="22"/>
        </w:rPr>
        <w:t> </w:t>
      </w:r>
      <w:r>
        <w:rPr>
          <w:sz w:val="22"/>
        </w:rPr>
        <w:t>fund</w:t>
      </w:r>
      <w:r>
        <w:rPr>
          <w:spacing w:val="-1"/>
          <w:sz w:val="22"/>
        </w:rPr>
        <w:t> </w:t>
      </w:r>
      <w:r>
        <w:rPr>
          <w:sz w:val="22"/>
        </w:rPr>
        <w:t>community birthing centers across the</w:t>
      </w:r>
      <w:r>
        <w:rPr>
          <w:spacing w:val="-1"/>
          <w:sz w:val="22"/>
        </w:rPr>
        <w:t> </w:t>
      </w:r>
      <w:r>
        <w:rPr>
          <w:sz w:val="22"/>
        </w:rPr>
        <w:t>Commonwealth</w:t>
      </w:r>
      <w:r>
        <w:rPr>
          <w:spacing w:val="-1"/>
          <w:sz w:val="22"/>
        </w:rPr>
        <w:t> </w:t>
      </w:r>
      <w:r>
        <w:rPr>
          <w:sz w:val="22"/>
        </w:rPr>
        <w:t>and</w:t>
      </w:r>
      <w:r>
        <w:rPr>
          <w:spacing w:val="-1"/>
          <w:sz w:val="22"/>
        </w:rPr>
        <w:t> </w:t>
      </w:r>
      <w:r>
        <w:rPr>
          <w:sz w:val="22"/>
        </w:rPr>
        <w:t>increase</w:t>
      </w:r>
      <w:r>
        <w:rPr>
          <w:spacing w:val="-1"/>
          <w:sz w:val="22"/>
        </w:rPr>
        <w:t> </w:t>
      </w:r>
      <w:r>
        <w:rPr>
          <w:sz w:val="22"/>
        </w:rPr>
        <w:t>access to culturally competent doula services.</w:t>
      </w:r>
    </w:p>
    <w:p>
      <w:pPr>
        <w:pStyle w:val="ListParagraph"/>
        <w:numPr>
          <w:ilvl w:val="0"/>
          <w:numId w:val="7"/>
        </w:numPr>
        <w:tabs>
          <w:tab w:pos="1177" w:val="left" w:leader="none"/>
          <w:tab w:pos="1179" w:val="left" w:leader="none"/>
        </w:tabs>
        <w:spacing w:line="276" w:lineRule="auto" w:before="0" w:after="0"/>
        <w:ind w:left="1179" w:right="421" w:hanging="361"/>
        <w:jc w:val="left"/>
        <w:rPr>
          <w:sz w:val="22"/>
        </w:rPr>
      </w:pPr>
      <w:r>
        <w:rPr>
          <w:sz w:val="22"/>
        </w:rPr>
        <w:t>Expand</w:t>
      </w:r>
      <w:r>
        <w:rPr>
          <w:spacing w:val="40"/>
          <w:sz w:val="22"/>
        </w:rPr>
        <w:t> </w:t>
      </w:r>
      <w:r>
        <w:rPr>
          <w:sz w:val="22"/>
        </w:rPr>
        <w:t>LGBTQ</w:t>
      </w:r>
      <w:r>
        <w:rPr>
          <w:spacing w:val="40"/>
          <w:sz w:val="22"/>
        </w:rPr>
        <w:t> </w:t>
      </w:r>
      <w:r>
        <w:rPr>
          <w:sz w:val="22"/>
        </w:rPr>
        <w:t>cultural</w:t>
      </w:r>
      <w:r>
        <w:rPr>
          <w:spacing w:val="40"/>
          <w:sz w:val="22"/>
        </w:rPr>
        <w:t> </w:t>
      </w:r>
      <w:r>
        <w:rPr>
          <w:sz w:val="22"/>
        </w:rPr>
        <w:t>awareness,</w:t>
      </w:r>
      <w:r>
        <w:rPr>
          <w:spacing w:val="40"/>
          <w:sz w:val="22"/>
        </w:rPr>
        <w:t> </w:t>
      </w:r>
      <w:r>
        <w:rPr>
          <w:sz w:val="22"/>
        </w:rPr>
        <w:t>anti-bias,</w:t>
      </w:r>
      <w:r>
        <w:rPr>
          <w:spacing w:val="40"/>
          <w:sz w:val="22"/>
        </w:rPr>
        <w:t> </w:t>
      </w:r>
      <w:r>
        <w:rPr>
          <w:sz w:val="22"/>
        </w:rPr>
        <w:t>and</w:t>
      </w:r>
      <w:r>
        <w:rPr>
          <w:spacing w:val="40"/>
          <w:sz w:val="22"/>
        </w:rPr>
        <w:t> </w:t>
      </w:r>
      <w:r>
        <w:rPr>
          <w:sz w:val="22"/>
        </w:rPr>
        <w:t>racial</w:t>
      </w:r>
      <w:r>
        <w:rPr>
          <w:spacing w:val="40"/>
          <w:sz w:val="22"/>
        </w:rPr>
        <w:t> </w:t>
      </w:r>
      <w:r>
        <w:rPr>
          <w:sz w:val="22"/>
        </w:rPr>
        <w:t>equity</w:t>
      </w:r>
      <w:r>
        <w:rPr>
          <w:spacing w:val="40"/>
          <w:sz w:val="22"/>
        </w:rPr>
        <w:t> </w:t>
      </w:r>
      <w:r>
        <w:rPr>
          <w:sz w:val="22"/>
        </w:rPr>
        <w:t>trainings</w:t>
      </w:r>
      <w:r>
        <w:rPr>
          <w:spacing w:val="40"/>
          <w:sz w:val="22"/>
        </w:rPr>
        <w:t> </w:t>
      </w:r>
      <w:r>
        <w:rPr>
          <w:sz w:val="22"/>
        </w:rPr>
        <w:t>for</w:t>
      </w:r>
      <w:r>
        <w:rPr>
          <w:spacing w:val="40"/>
          <w:sz w:val="22"/>
        </w:rPr>
        <w:t> </w:t>
      </w:r>
      <w:r>
        <w:rPr>
          <w:sz w:val="22"/>
        </w:rPr>
        <w:t>public</w:t>
      </w:r>
      <w:r>
        <w:rPr>
          <w:spacing w:val="40"/>
          <w:sz w:val="22"/>
        </w:rPr>
        <w:t> </w:t>
      </w:r>
      <w:r>
        <w:rPr>
          <w:sz w:val="22"/>
        </w:rPr>
        <w:t>hospital providers and staff.</w:t>
      </w:r>
    </w:p>
    <w:p>
      <w:pPr>
        <w:spacing w:after="0" w:line="276" w:lineRule="auto"/>
        <w:jc w:val="left"/>
        <w:rPr>
          <w:sz w:val="22"/>
        </w:rPr>
        <w:sectPr>
          <w:headerReference w:type="default" r:id="rId30"/>
          <w:footerReference w:type="default" r:id="rId31"/>
          <w:pgSz w:w="12240" w:h="15840"/>
          <w:pgMar w:header="0" w:footer="1061" w:top="1140" w:bottom="1260" w:left="980" w:right="1160"/>
        </w:sectPr>
      </w:pPr>
    </w:p>
    <w:p>
      <w:pPr>
        <w:spacing w:before="29"/>
        <w:ind w:left="604" w:right="0" w:firstLine="0"/>
        <w:jc w:val="both"/>
        <w:rPr>
          <w:sz w:val="28"/>
        </w:rPr>
      </w:pPr>
      <w:bookmarkStart w:name="Improving Sexual Health (2023)" w:id="49"/>
      <w:bookmarkEnd w:id="49"/>
      <w:r>
        <w:rPr/>
      </w:r>
      <w:r>
        <w:rPr>
          <w:color w:val="365F91"/>
          <w:sz w:val="28"/>
        </w:rPr>
        <w:t>Improving</w:t>
      </w:r>
      <w:r>
        <w:rPr>
          <w:color w:val="365F91"/>
          <w:spacing w:val="-13"/>
          <w:sz w:val="28"/>
        </w:rPr>
        <w:t> </w:t>
      </w:r>
      <w:r>
        <w:rPr>
          <w:color w:val="365F91"/>
          <w:sz w:val="28"/>
        </w:rPr>
        <w:t>Sexual</w:t>
      </w:r>
      <w:r>
        <w:rPr>
          <w:color w:val="365F91"/>
          <w:spacing w:val="-12"/>
          <w:sz w:val="28"/>
        </w:rPr>
        <w:t> </w:t>
      </w:r>
      <w:r>
        <w:rPr>
          <w:color w:val="365F91"/>
          <w:sz w:val="28"/>
        </w:rPr>
        <w:t>Health</w:t>
      </w:r>
      <w:r>
        <w:rPr>
          <w:color w:val="365F91"/>
          <w:spacing w:val="-13"/>
          <w:sz w:val="28"/>
        </w:rPr>
        <w:t> </w:t>
      </w:r>
      <w:r>
        <w:rPr>
          <w:color w:val="365F91"/>
          <w:spacing w:val="-2"/>
          <w:sz w:val="28"/>
        </w:rPr>
        <w:t>(2023)</w:t>
      </w:r>
    </w:p>
    <w:p>
      <w:pPr>
        <w:pStyle w:val="BodyText"/>
        <w:spacing w:line="276" w:lineRule="auto" w:before="293"/>
        <w:ind w:left="603" w:right="420"/>
        <w:jc w:val="both"/>
      </w:pPr>
      <w:r>
        <w:rPr/>
        <w:t>The Commission was founded in the early 1990s to address the significant disparities in LGBTQ youth mental</w:t>
      </w:r>
      <w:r>
        <w:rPr>
          <w:spacing w:val="-4"/>
        </w:rPr>
        <w:t> </w:t>
      </w:r>
      <w:r>
        <w:rPr/>
        <w:t>health</w:t>
      </w:r>
      <w:r>
        <w:rPr>
          <w:spacing w:val="-6"/>
        </w:rPr>
        <w:t> </w:t>
      </w:r>
      <w:r>
        <w:rPr/>
        <w:t>occurring</w:t>
      </w:r>
      <w:r>
        <w:rPr>
          <w:spacing w:val="-6"/>
        </w:rPr>
        <w:t> </w:t>
      </w:r>
      <w:r>
        <w:rPr/>
        <w:t>during</w:t>
      </w:r>
      <w:r>
        <w:rPr>
          <w:spacing w:val="-6"/>
        </w:rPr>
        <w:t> </w:t>
      </w:r>
      <w:r>
        <w:rPr/>
        <w:t>the</w:t>
      </w:r>
      <w:r>
        <w:rPr>
          <w:spacing w:val="-6"/>
        </w:rPr>
        <w:t> </w:t>
      </w:r>
      <w:r>
        <w:rPr/>
        <w:t>AIDS</w:t>
      </w:r>
      <w:r>
        <w:rPr>
          <w:spacing w:val="-6"/>
        </w:rPr>
        <w:t> </w:t>
      </w:r>
      <w:r>
        <w:rPr/>
        <w:t>epidemic.</w:t>
      </w:r>
      <w:r>
        <w:rPr>
          <w:spacing w:val="-6"/>
        </w:rPr>
        <w:t> </w:t>
      </w:r>
      <w:r>
        <w:rPr/>
        <w:t>Since</w:t>
      </w:r>
      <w:r>
        <w:rPr>
          <w:spacing w:val="-6"/>
        </w:rPr>
        <w:t> </w:t>
      </w:r>
      <w:r>
        <w:rPr/>
        <w:t>then,</w:t>
      </w:r>
      <w:r>
        <w:rPr>
          <w:spacing w:val="-5"/>
        </w:rPr>
        <w:t> </w:t>
      </w:r>
      <w:r>
        <w:rPr/>
        <w:t>the</w:t>
      </w:r>
      <w:r>
        <w:rPr>
          <w:spacing w:val="-4"/>
        </w:rPr>
        <w:t> </w:t>
      </w:r>
      <w:r>
        <w:rPr/>
        <w:t>Commission</w:t>
      </w:r>
      <w:r>
        <w:rPr>
          <w:spacing w:val="-6"/>
        </w:rPr>
        <w:t> </w:t>
      </w:r>
      <w:r>
        <w:rPr/>
        <w:t>has</w:t>
      </w:r>
      <w:r>
        <w:rPr>
          <w:spacing w:val="-5"/>
        </w:rPr>
        <w:t> </w:t>
      </w:r>
      <w:r>
        <w:rPr/>
        <w:t>dedicated</w:t>
      </w:r>
      <w:r>
        <w:rPr>
          <w:spacing w:val="-6"/>
        </w:rPr>
        <w:t> </w:t>
      </w:r>
      <w:r>
        <w:rPr/>
        <w:t>much</w:t>
      </w:r>
      <w:r>
        <w:rPr>
          <w:spacing w:val="-6"/>
        </w:rPr>
        <w:t> </w:t>
      </w:r>
      <w:r>
        <w:rPr/>
        <w:t>of its</w:t>
      </w:r>
      <w:r>
        <w:rPr>
          <w:spacing w:val="-13"/>
        </w:rPr>
        <w:t> </w:t>
      </w:r>
      <w:r>
        <w:rPr/>
        <w:t>work</w:t>
      </w:r>
      <w:r>
        <w:rPr>
          <w:spacing w:val="-12"/>
        </w:rPr>
        <w:t> </w:t>
      </w:r>
      <w:r>
        <w:rPr/>
        <w:t>and</w:t>
      </w:r>
      <w:r>
        <w:rPr>
          <w:spacing w:val="-13"/>
        </w:rPr>
        <w:t> </w:t>
      </w:r>
      <w:r>
        <w:rPr/>
        <w:t>resources</w:t>
      </w:r>
      <w:r>
        <w:rPr>
          <w:spacing w:val="-12"/>
        </w:rPr>
        <w:t> </w:t>
      </w:r>
      <w:r>
        <w:rPr/>
        <w:t>to</w:t>
      </w:r>
      <w:r>
        <w:rPr>
          <w:spacing w:val="-11"/>
        </w:rPr>
        <w:t> </w:t>
      </w:r>
      <w:r>
        <w:rPr/>
        <w:t>supporting</w:t>
      </w:r>
      <w:r>
        <w:rPr>
          <w:spacing w:val="-13"/>
        </w:rPr>
        <w:t> </w:t>
      </w:r>
      <w:r>
        <w:rPr/>
        <w:t>LGBTQ</w:t>
      </w:r>
      <w:r>
        <w:rPr>
          <w:spacing w:val="-12"/>
        </w:rPr>
        <w:t> </w:t>
      </w:r>
      <w:r>
        <w:rPr/>
        <w:t>youth</w:t>
      </w:r>
      <w:r>
        <w:rPr>
          <w:spacing w:val="-13"/>
        </w:rPr>
        <w:t> </w:t>
      </w:r>
      <w:r>
        <w:rPr/>
        <w:t>sexual</w:t>
      </w:r>
      <w:r>
        <w:rPr>
          <w:spacing w:val="-11"/>
        </w:rPr>
        <w:t> </w:t>
      </w:r>
      <w:r>
        <w:rPr/>
        <w:t>health</w:t>
      </w:r>
      <w:r>
        <w:rPr>
          <w:spacing w:val="-12"/>
        </w:rPr>
        <w:t> </w:t>
      </w:r>
      <w:r>
        <w:rPr/>
        <w:t>through</w:t>
      </w:r>
      <w:r>
        <w:rPr>
          <w:spacing w:val="-13"/>
        </w:rPr>
        <w:t> </w:t>
      </w:r>
      <w:r>
        <w:rPr/>
        <w:t>supporting</w:t>
      </w:r>
      <w:r>
        <w:rPr>
          <w:spacing w:val="-12"/>
        </w:rPr>
        <w:t> </w:t>
      </w:r>
      <w:r>
        <w:rPr/>
        <w:t>policies</w:t>
      </w:r>
      <w:r>
        <w:rPr>
          <w:spacing w:val="-12"/>
        </w:rPr>
        <w:t> </w:t>
      </w:r>
      <w:r>
        <w:rPr/>
        <w:t>increasing access to PrEP and PEP; advocating for comprehensive sexual health education; addressing factors leading</w:t>
      </w:r>
      <w:r>
        <w:rPr>
          <w:spacing w:val="-4"/>
        </w:rPr>
        <w:t> </w:t>
      </w:r>
      <w:r>
        <w:rPr/>
        <w:t>to</w:t>
      </w:r>
      <w:r>
        <w:rPr>
          <w:spacing w:val="-5"/>
        </w:rPr>
        <w:t> </w:t>
      </w:r>
      <w:r>
        <w:rPr/>
        <w:t>disparities</w:t>
      </w:r>
      <w:r>
        <w:rPr>
          <w:spacing w:val="-5"/>
        </w:rPr>
        <w:t> </w:t>
      </w:r>
      <w:r>
        <w:rPr/>
        <w:t>around</w:t>
      </w:r>
      <w:r>
        <w:rPr>
          <w:spacing w:val="-5"/>
        </w:rPr>
        <w:t> </w:t>
      </w:r>
      <w:r>
        <w:rPr/>
        <w:t>sexual</w:t>
      </w:r>
      <w:r>
        <w:rPr>
          <w:spacing w:val="-5"/>
        </w:rPr>
        <w:t> </w:t>
      </w:r>
      <w:r>
        <w:rPr/>
        <w:t>victimization;</w:t>
      </w:r>
      <w:r>
        <w:rPr>
          <w:spacing w:val="-4"/>
        </w:rPr>
        <w:t> </w:t>
      </w:r>
      <w:r>
        <w:rPr/>
        <w:t>and</w:t>
      </w:r>
      <w:r>
        <w:rPr>
          <w:spacing w:val="-5"/>
        </w:rPr>
        <w:t> </w:t>
      </w:r>
      <w:r>
        <w:rPr/>
        <w:t>more.</w:t>
      </w:r>
      <w:r>
        <w:rPr>
          <w:spacing w:val="-4"/>
        </w:rPr>
        <w:t> </w:t>
      </w:r>
      <w:r>
        <w:rPr/>
        <w:t>While</w:t>
      </w:r>
      <w:r>
        <w:rPr>
          <w:spacing w:val="-5"/>
        </w:rPr>
        <w:t> </w:t>
      </w:r>
      <w:r>
        <w:rPr/>
        <w:t>Massachusetts</w:t>
      </w:r>
      <w:r>
        <w:rPr>
          <w:spacing w:val="-5"/>
        </w:rPr>
        <w:t> </w:t>
      </w:r>
      <w:r>
        <w:rPr/>
        <w:t>remains</w:t>
      </w:r>
      <w:r>
        <w:rPr>
          <w:spacing w:val="-4"/>
        </w:rPr>
        <w:t> </w:t>
      </w:r>
      <w:r>
        <w:rPr/>
        <w:t>a</w:t>
      </w:r>
      <w:r>
        <w:rPr>
          <w:spacing w:val="-5"/>
        </w:rPr>
        <w:t> </w:t>
      </w:r>
      <w:r>
        <w:rPr/>
        <w:t>leader</w:t>
      </w:r>
      <w:r>
        <w:rPr>
          <w:spacing w:val="-5"/>
        </w:rPr>
        <w:t> </w:t>
      </w:r>
      <w:r>
        <w:rPr/>
        <w:t>in many areas of LGBTQ legal protections, there still remain a concerning number of areas where the state has failed to stay ahead and ensure that the unique gaps in resources, education, and services for LGBTQ youth are addressed.</w:t>
      </w:r>
    </w:p>
    <w:p>
      <w:pPr>
        <w:pStyle w:val="BodyText"/>
        <w:spacing w:line="276" w:lineRule="auto" w:before="239"/>
        <w:ind w:left="604" w:right="422"/>
        <w:jc w:val="both"/>
      </w:pPr>
      <w:r>
        <w:rPr/>
        <w:t>To this day, across the state and the nation, LGBTQ youth remain at a higher risk for STIs, HIV, and sexual</w:t>
      </w:r>
      <w:r>
        <w:rPr>
          <w:spacing w:val="-13"/>
        </w:rPr>
        <w:t> </w:t>
      </w:r>
      <w:r>
        <w:rPr/>
        <w:t>violence.</w:t>
      </w:r>
      <w:r>
        <w:rPr>
          <w:spacing w:val="-12"/>
        </w:rPr>
        <w:t> </w:t>
      </w:r>
      <w:r>
        <w:rPr/>
        <w:t>Furthermore,</w:t>
      </w:r>
      <w:r>
        <w:rPr>
          <w:spacing w:val="-13"/>
        </w:rPr>
        <w:t> </w:t>
      </w:r>
      <w:r>
        <w:rPr/>
        <w:t>as</w:t>
      </w:r>
      <w:r>
        <w:rPr>
          <w:spacing w:val="-12"/>
        </w:rPr>
        <w:t> </w:t>
      </w:r>
      <w:r>
        <w:rPr/>
        <w:t>discussed</w:t>
      </w:r>
      <w:r>
        <w:rPr>
          <w:spacing w:val="-13"/>
        </w:rPr>
        <w:t> </w:t>
      </w:r>
      <w:r>
        <w:rPr/>
        <w:t>in</w:t>
      </w:r>
      <w:r>
        <w:rPr>
          <w:spacing w:val="-12"/>
        </w:rPr>
        <w:t> </w:t>
      </w:r>
      <w:r>
        <w:rPr/>
        <w:t>the</w:t>
      </w:r>
      <w:r>
        <w:rPr>
          <w:spacing w:val="-13"/>
        </w:rPr>
        <w:t> </w:t>
      </w:r>
      <w:r>
        <w:rPr/>
        <w:t>pregnancy</w:t>
      </w:r>
      <w:r>
        <w:rPr>
          <w:spacing w:val="-12"/>
        </w:rPr>
        <w:t> </w:t>
      </w:r>
      <w:r>
        <w:rPr/>
        <w:t>section</w:t>
      </w:r>
      <w:r>
        <w:rPr>
          <w:spacing w:val="-12"/>
        </w:rPr>
        <w:t> </w:t>
      </w:r>
      <w:r>
        <w:rPr/>
        <w:t>of</w:t>
      </w:r>
      <w:r>
        <w:rPr>
          <w:spacing w:val="-13"/>
        </w:rPr>
        <w:t> </w:t>
      </w:r>
      <w:r>
        <w:rPr/>
        <w:t>this</w:t>
      </w:r>
      <w:r>
        <w:rPr>
          <w:spacing w:val="-12"/>
        </w:rPr>
        <w:t> </w:t>
      </w:r>
      <w:r>
        <w:rPr/>
        <w:t>annual</w:t>
      </w:r>
      <w:r>
        <w:rPr>
          <w:spacing w:val="-13"/>
        </w:rPr>
        <w:t> </w:t>
      </w:r>
      <w:r>
        <w:rPr/>
        <w:t>report,</w:t>
      </w:r>
      <w:r>
        <w:rPr>
          <w:spacing w:val="-12"/>
        </w:rPr>
        <w:t> </w:t>
      </w:r>
      <w:r>
        <w:rPr/>
        <w:t>LGBTQ</w:t>
      </w:r>
      <w:r>
        <w:rPr>
          <w:spacing w:val="-13"/>
        </w:rPr>
        <w:t> </w:t>
      </w:r>
      <w:r>
        <w:rPr/>
        <w:t>youth are</w:t>
      </w:r>
      <w:r>
        <w:rPr>
          <w:spacing w:val="-1"/>
        </w:rPr>
        <w:t> </w:t>
      </w:r>
      <w:r>
        <w:rPr/>
        <w:t>often</w:t>
      </w:r>
      <w:r>
        <w:rPr>
          <w:spacing w:val="-1"/>
        </w:rPr>
        <w:t> </w:t>
      </w:r>
      <w:r>
        <w:rPr/>
        <w:t>left out</w:t>
      </w:r>
      <w:r>
        <w:rPr>
          <w:spacing w:val="-1"/>
        </w:rPr>
        <w:t> </w:t>
      </w:r>
      <w:r>
        <w:rPr/>
        <w:t>of conversations around</w:t>
      </w:r>
      <w:r>
        <w:rPr>
          <w:spacing w:val="-1"/>
        </w:rPr>
        <w:t> </w:t>
      </w:r>
      <w:r>
        <w:rPr/>
        <w:t>national and</w:t>
      </w:r>
      <w:r>
        <w:rPr>
          <w:spacing w:val="-1"/>
        </w:rPr>
        <w:t> </w:t>
      </w:r>
      <w:r>
        <w:rPr/>
        <w:t>statewide conversations involving</w:t>
      </w:r>
      <w:r>
        <w:rPr>
          <w:spacing w:val="-1"/>
        </w:rPr>
        <w:t> </w:t>
      </w:r>
      <w:r>
        <w:rPr/>
        <w:t>pregnancy, abortion access, and gynecological health, but often face significant disparities in access and care. Compounding these issues, LGBTQ youth frequently encounter barriers to accessing contraceptives, affirming medical care, and inclusive sexual health education. Across the nation, 29 states and D.C. mandate sexual health education in schools, though only 7 states require curricula to include information on sexual orientation and gender identity - Massachusetts, which has not updated its education standards since 1999, mandates neither.</w:t>
      </w:r>
      <w:r>
        <w:rPr>
          <w:vertAlign w:val="superscript"/>
        </w:rPr>
        <w:t>1</w:t>
      </w:r>
    </w:p>
    <w:p>
      <w:pPr>
        <w:pStyle w:val="BodyText"/>
        <w:spacing w:line="276" w:lineRule="auto" w:before="241"/>
        <w:ind w:left="604" w:right="422"/>
        <w:jc w:val="both"/>
      </w:pPr>
      <w:r>
        <w:rPr/>
        <w:t>As</w:t>
      </w:r>
      <w:r>
        <w:rPr>
          <w:spacing w:val="-12"/>
        </w:rPr>
        <w:t> </w:t>
      </w:r>
      <w:r>
        <w:rPr/>
        <w:t>highlighted</w:t>
      </w:r>
      <w:r>
        <w:rPr>
          <w:spacing w:val="-13"/>
        </w:rPr>
        <w:t> </w:t>
      </w:r>
      <w:r>
        <w:rPr/>
        <w:t>in</w:t>
      </w:r>
      <w:r>
        <w:rPr>
          <w:spacing w:val="-12"/>
        </w:rPr>
        <w:t> </w:t>
      </w:r>
      <w:r>
        <w:rPr/>
        <w:t>numerous</w:t>
      </w:r>
      <w:r>
        <w:rPr>
          <w:spacing w:val="-12"/>
        </w:rPr>
        <w:t> </w:t>
      </w:r>
      <w:r>
        <w:rPr/>
        <w:t>areas</w:t>
      </w:r>
      <w:r>
        <w:rPr>
          <w:spacing w:val="-12"/>
        </w:rPr>
        <w:t> </w:t>
      </w:r>
      <w:r>
        <w:rPr/>
        <w:t>throughout</w:t>
      </w:r>
      <w:r>
        <w:rPr>
          <w:spacing w:val="-12"/>
        </w:rPr>
        <w:t> </w:t>
      </w:r>
      <w:r>
        <w:rPr/>
        <w:t>this</w:t>
      </w:r>
      <w:r>
        <w:rPr>
          <w:spacing w:val="-12"/>
        </w:rPr>
        <w:t> </w:t>
      </w:r>
      <w:r>
        <w:rPr/>
        <w:t>report,</w:t>
      </w:r>
      <w:r>
        <w:rPr>
          <w:spacing w:val="-12"/>
        </w:rPr>
        <w:t> </w:t>
      </w:r>
      <w:r>
        <w:rPr/>
        <w:t>sexual</w:t>
      </w:r>
      <w:r>
        <w:rPr>
          <w:spacing w:val="-12"/>
        </w:rPr>
        <w:t> </w:t>
      </w:r>
      <w:r>
        <w:rPr/>
        <w:t>health</w:t>
      </w:r>
      <w:r>
        <w:rPr>
          <w:spacing w:val="-13"/>
        </w:rPr>
        <w:t> </w:t>
      </w:r>
      <w:r>
        <w:rPr/>
        <w:t>goes</w:t>
      </w:r>
      <w:r>
        <w:rPr>
          <w:spacing w:val="-11"/>
        </w:rPr>
        <w:t> </w:t>
      </w:r>
      <w:r>
        <w:rPr/>
        <w:t>beyond</w:t>
      </w:r>
      <w:r>
        <w:rPr>
          <w:spacing w:val="-13"/>
        </w:rPr>
        <w:t> </w:t>
      </w:r>
      <w:r>
        <w:rPr/>
        <w:t>just</w:t>
      </w:r>
      <w:r>
        <w:rPr>
          <w:spacing w:val="-12"/>
        </w:rPr>
        <w:t> </w:t>
      </w:r>
      <w:r>
        <w:rPr/>
        <w:t>conversations around HIV, AIDS, and education. The following recommendations highlight solutions for critical gaps in Massachusetts policies and services, while also taking a broader look at how LGBTQ youth are affected by poor sexual health policies across the state.</w:t>
      </w:r>
    </w:p>
    <w:p>
      <w:pPr>
        <w:spacing w:before="238"/>
        <w:ind w:left="604" w:right="0" w:firstLine="0"/>
        <w:jc w:val="both"/>
        <w:rPr>
          <w:sz w:val="26"/>
        </w:rPr>
      </w:pPr>
      <w:bookmarkStart w:name="FY 2025 Recommendations to the Governor " w:id="50"/>
      <w:bookmarkEnd w:id="50"/>
      <w:r>
        <w:rPr/>
      </w:r>
      <w:r>
        <w:rPr>
          <w:color w:val="404040"/>
          <w:sz w:val="26"/>
        </w:rPr>
        <w:t>FY</w:t>
      </w:r>
      <w:r>
        <w:rPr>
          <w:color w:val="404040"/>
          <w:spacing w:val="-5"/>
          <w:sz w:val="26"/>
        </w:rPr>
        <w:t> </w:t>
      </w:r>
      <w:r>
        <w:rPr>
          <w:color w:val="404040"/>
          <w:sz w:val="26"/>
        </w:rPr>
        <w:t>2025</w:t>
      </w:r>
      <w:r>
        <w:rPr>
          <w:color w:val="404040"/>
          <w:spacing w:val="-3"/>
          <w:sz w:val="26"/>
        </w:rPr>
        <w:t> </w:t>
      </w:r>
      <w:r>
        <w:rPr>
          <w:color w:val="404040"/>
          <w:sz w:val="26"/>
        </w:rPr>
        <w:t>Recommendations</w:t>
      </w:r>
      <w:r>
        <w:rPr>
          <w:color w:val="404040"/>
          <w:spacing w:val="-3"/>
          <w:sz w:val="26"/>
        </w:rPr>
        <w:t> </w:t>
      </w:r>
      <w:r>
        <w:rPr>
          <w:color w:val="404040"/>
          <w:sz w:val="26"/>
        </w:rPr>
        <w:t>to</w:t>
      </w:r>
      <w:r>
        <w:rPr>
          <w:color w:val="404040"/>
          <w:spacing w:val="-5"/>
          <w:sz w:val="26"/>
        </w:rPr>
        <w:t> </w:t>
      </w:r>
      <w:r>
        <w:rPr>
          <w:color w:val="404040"/>
          <w:sz w:val="26"/>
        </w:rPr>
        <w:t>the</w:t>
      </w:r>
      <w:r>
        <w:rPr>
          <w:color w:val="404040"/>
          <w:spacing w:val="-4"/>
          <w:sz w:val="26"/>
        </w:rPr>
        <w:t> </w:t>
      </w:r>
      <w:r>
        <w:rPr>
          <w:color w:val="404040"/>
          <w:sz w:val="26"/>
        </w:rPr>
        <w:t>Governor</w:t>
      </w:r>
      <w:r>
        <w:rPr>
          <w:color w:val="404040"/>
          <w:spacing w:val="-4"/>
          <w:sz w:val="26"/>
        </w:rPr>
        <w:t> </w:t>
      </w:r>
      <w:r>
        <w:rPr>
          <w:color w:val="404040"/>
          <w:sz w:val="26"/>
        </w:rPr>
        <w:t>&amp;</w:t>
      </w:r>
      <w:r>
        <w:rPr>
          <w:color w:val="404040"/>
          <w:spacing w:val="-3"/>
          <w:sz w:val="26"/>
        </w:rPr>
        <w:t> </w:t>
      </w:r>
      <w:r>
        <w:rPr>
          <w:color w:val="404040"/>
          <w:sz w:val="26"/>
        </w:rPr>
        <w:t>Legislature</w:t>
      </w:r>
      <w:r>
        <w:rPr>
          <w:color w:val="404040"/>
          <w:spacing w:val="-3"/>
          <w:sz w:val="26"/>
        </w:rPr>
        <w:t> </w:t>
      </w:r>
      <w:r>
        <w:rPr>
          <w:color w:val="404040"/>
          <w:sz w:val="26"/>
        </w:rPr>
        <w:t>on</w:t>
      </w:r>
      <w:r>
        <w:rPr>
          <w:color w:val="404040"/>
          <w:spacing w:val="-4"/>
          <w:sz w:val="26"/>
        </w:rPr>
        <w:t> </w:t>
      </w:r>
      <w:r>
        <w:rPr>
          <w:color w:val="404040"/>
          <w:sz w:val="26"/>
        </w:rPr>
        <w:t>Sexual</w:t>
      </w:r>
      <w:r>
        <w:rPr>
          <w:color w:val="404040"/>
          <w:spacing w:val="-2"/>
          <w:sz w:val="26"/>
        </w:rPr>
        <w:t> Health</w:t>
      </w:r>
    </w:p>
    <w:p>
      <w:pPr>
        <w:pStyle w:val="ListParagraph"/>
        <w:numPr>
          <w:ilvl w:val="0"/>
          <w:numId w:val="8"/>
        </w:numPr>
        <w:tabs>
          <w:tab w:pos="1064" w:val="left" w:leader="none"/>
        </w:tabs>
        <w:spacing w:line="276" w:lineRule="auto" w:before="289" w:after="0"/>
        <w:ind w:left="1064" w:right="638" w:hanging="245"/>
        <w:jc w:val="left"/>
        <w:rPr>
          <w:sz w:val="22"/>
        </w:rPr>
      </w:pPr>
      <w:bookmarkStart w:name="1. Ensure that all youth have access to " w:id="51"/>
      <w:bookmarkEnd w:id="51"/>
      <w:r>
        <w:rPr/>
      </w:r>
      <w:r>
        <w:rPr>
          <w:sz w:val="22"/>
        </w:rPr>
        <w:t>Ensure</w:t>
      </w:r>
      <w:r>
        <w:rPr>
          <w:spacing w:val="31"/>
          <w:sz w:val="22"/>
        </w:rPr>
        <w:t> </w:t>
      </w:r>
      <w:r>
        <w:rPr>
          <w:sz w:val="22"/>
        </w:rPr>
        <w:t>that</w:t>
      </w:r>
      <w:r>
        <w:rPr>
          <w:spacing w:val="32"/>
          <w:sz w:val="22"/>
        </w:rPr>
        <w:t> </w:t>
      </w:r>
      <w:r>
        <w:rPr>
          <w:sz w:val="22"/>
        </w:rPr>
        <w:t>all</w:t>
      </w:r>
      <w:r>
        <w:rPr>
          <w:spacing w:val="30"/>
          <w:sz w:val="22"/>
        </w:rPr>
        <w:t> </w:t>
      </w:r>
      <w:r>
        <w:rPr>
          <w:sz w:val="22"/>
        </w:rPr>
        <w:t>youth</w:t>
      </w:r>
      <w:r>
        <w:rPr>
          <w:spacing w:val="31"/>
          <w:sz w:val="22"/>
        </w:rPr>
        <w:t> </w:t>
      </w:r>
      <w:r>
        <w:rPr>
          <w:sz w:val="22"/>
        </w:rPr>
        <w:t>have</w:t>
      </w:r>
      <w:r>
        <w:rPr>
          <w:spacing w:val="30"/>
          <w:sz w:val="22"/>
        </w:rPr>
        <w:t> </w:t>
      </w:r>
      <w:r>
        <w:rPr>
          <w:sz w:val="22"/>
        </w:rPr>
        <w:t>access</w:t>
      </w:r>
      <w:r>
        <w:rPr>
          <w:spacing w:val="32"/>
          <w:sz w:val="22"/>
        </w:rPr>
        <w:t> </w:t>
      </w:r>
      <w:r>
        <w:rPr>
          <w:sz w:val="22"/>
        </w:rPr>
        <w:t>to</w:t>
      </w:r>
      <w:r>
        <w:rPr>
          <w:spacing w:val="33"/>
          <w:sz w:val="22"/>
        </w:rPr>
        <w:t> </w:t>
      </w:r>
      <w:r>
        <w:rPr>
          <w:sz w:val="22"/>
        </w:rPr>
        <w:t>age-appropriate,</w:t>
      </w:r>
      <w:r>
        <w:rPr>
          <w:spacing w:val="30"/>
          <w:sz w:val="22"/>
        </w:rPr>
        <w:t> </w:t>
      </w:r>
      <w:r>
        <w:rPr>
          <w:sz w:val="22"/>
        </w:rPr>
        <w:t>LGBTQ-inclusive,</w:t>
      </w:r>
      <w:r>
        <w:rPr>
          <w:spacing w:val="32"/>
          <w:sz w:val="22"/>
        </w:rPr>
        <w:t> </w:t>
      </w:r>
      <w:r>
        <w:rPr>
          <w:sz w:val="22"/>
        </w:rPr>
        <w:t>and</w:t>
      </w:r>
      <w:r>
        <w:rPr>
          <w:spacing w:val="31"/>
          <w:sz w:val="22"/>
        </w:rPr>
        <w:t> </w:t>
      </w:r>
      <w:r>
        <w:rPr>
          <w:sz w:val="22"/>
        </w:rPr>
        <w:t>consent-based sexual health education, and that educators are provided with implementation support.</w:t>
      </w:r>
    </w:p>
    <w:p>
      <w:pPr>
        <w:pStyle w:val="ListParagraph"/>
        <w:numPr>
          <w:ilvl w:val="0"/>
          <w:numId w:val="8"/>
        </w:numPr>
        <w:tabs>
          <w:tab w:pos="1064" w:val="left" w:leader="none"/>
        </w:tabs>
        <w:spacing w:line="276" w:lineRule="auto" w:before="0" w:after="0"/>
        <w:ind w:left="1064" w:right="638" w:hanging="245"/>
        <w:jc w:val="left"/>
        <w:rPr>
          <w:sz w:val="22"/>
        </w:rPr>
      </w:pPr>
      <w:bookmarkStart w:name="2. Support and increase HIV &amp; STI preven" w:id="52"/>
      <w:bookmarkEnd w:id="52"/>
      <w:r>
        <w:rPr/>
      </w:r>
      <w:r>
        <w:rPr>
          <w:sz w:val="22"/>
        </w:rPr>
        <w:t>Support</w:t>
      </w:r>
      <w:r>
        <w:rPr>
          <w:spacing w:val="36"/>
          <w:sz w:val="22"/>
        </w:rPr>
        <w:t> </w:t>
      </w:r>
      <w:r>
        <w:rPr>
          <w:sz w:val="22"/>
        </w:rPr>
        <w:t>and</w:t>
      </w:r>
      <w:r>
        <w:rPr>
          <w:spacing w:val="37"/>
          <w:sz w:val="22"/>
        </w:rPr>
        <w:t> </w:t>
      </w:r>
      <w:r>
        <w:rPr>
          <w:sz w:val="22"/>
        </w:rPr>
        <w:t>increase</w:t>
      </w:r>
      <w:r>
        <w:rPr>
          <w:spacing w:val="35"/>
          <w:sz w:val="22"/>
        </w:rPr>
        <w:t> </w:t>
      </w:r>
      <w:r>
        <w:rPr>
          <w:sz w:val="22"/>
        </w:rPr>
        <w:t>HIV</w:t>
      </w:r>
      <w:r>
        <w:rPr>
          <w:spacing w:val="36"/>
          <w:sz w:val="22"/>
        </w:rPr>
        <w:t> </w:t>
      </w:r>
      <w:r>
        <w:rPr>
          <w:sz w:val="22"/>
        </w:rPr>
        <w:t>&amp;</w:t>
      </w:r>
      <w:r>
        <w:rPr>
          <w:spacing w:val="35"/>
          <w:sz w:val="22"/>
        </w:rPr>
        <w:t> </w:t>
      </w:r>
      <w:r>
        <w:rPr>
          <w:sz w:val="22"/>
        </w:rPr>
        <w:t>STI</w:t>
      </w:r>
      <w:r>
        <w:rPr>
          <w:spacing w:val="36"/>
          <w:sz w:val="22"/>
        </w:rPr>
        <w:t> </w:t>
      </w:r>
      <w:r>
        <w:rPr>
          <w:sz w:val="22"/>
        </w:rPr>
        <w:t>prevention</w:t>
      </w:r>
      <w:r>
        <w:rPr>
          <w:spacing w:val="34"/>
          <w:sz w:val="22"/>
        </w:rPr>
        <w:t> </w:t>
      </w:r>
      <w:r>
        <w:rPr>
          <w:sz w:val="22"/>
        </w:rPr>
        <w:t>and</w:t>
      </w:r>
      <w:r>
        <w:rPr>
          <w:spacing w:val="36"/>
          <w:sz w:val="22"/>
        </w:rPr>
        <w:t> </w:t>
      </w:r>
      <w:r>
        <w:rPr>
          <w:sz w:val="22"/>
        </w:rPr>
        <w:t>treatment</w:t>
      </w:r>
      <w:r>
        <w:rPr>
          <w:spacing w:val="34"/>
          <w:sz w:val="22"/>
        </w:rPr>
        <w:t> </w:t>
      </w:r>
      <w:r>
        <w:rPr>
          <w:sz w:val="22"/>
        </w:rPr>
        <w:t>services</w:t>
      </w:r>
      <w:r>
        <w:rPr>
          <w:spacing w:val="35"/>
          <w:sz w:val="22"/>
        </w:rPr>
        <w:t> </w:t>
      </w:r>
      <w:r>
        <w:rPr>
          <w:sz w:val="22"/>
        </w:rPr>
        <w:t>for</w:t>
      </w:r>
      <w:r>
        <w:rPr>
          <w:spacing w:val="35"/>
          <w:sz w:val="22"/>
        </w:rPr>
        <w:t> </w:t>
      </w:r>
      <w:r>
        <w:rPr>
          <w:sz w:val="22"/>
        </w:rPr>
        <w:t>LGBTQ</w:t>
      </w:r>
      <w:r>
        <w:rPr>
          <w:spacing w:val="34"/>
          <w:sz w:val="22"/>
        </w:rPr>
        <w:t> </w:t>
      </w:r>
      <w:r>
        <w:rPr>
          <w:sz w:val="22"/>
        </w:rPr>
        <w:t>youth,</w:t>
      </w:r>
      <w:r>
        <w:rPr>
          <w:spacing w:val="35"/>
          <w:sz w:val="22"/>
        </w:rPr>
        <w:t> </w:t>
      </w:r>
      <w:r>
        <w:rPr>
          <w:sz w:val="22"/>
        </w:rPr>
        <w:t>and awareness campaigns across the state.</w:t>
      </w:r>
    </w:p>
    <w:p>
      <w:pPr>
        <w:pStyle w:val="ListParagraph"/>
        <w:numPr>
          <w:ilvl w:val="0"/>
          <w:numId w:val="8"/>
        </w:numPr>
        <w:tabs>
          <w:tab w:pos="1064" w:val="left" w:leader="none"/>
        </w:tabs>
        <w:spacing w:line="276" w:lineRule="auto" w:before="0" w:after="0"/>
        <w:ind w:left="1064" w:right="639" w:hanging="245"/>
        <w:jc w:val="left"/>
        <w:rPr>
          <w:sz w:val="22"/>
        </w:rPr>
      </w:pPr>
      <w:bookmarkStart w:name="3. Prohibit medical providers from perfo" w:id="53"/>
      <w:bookmarkEnd w:id="53"/>
      <w:r>
        <w:rPr/>
      </w:r>
      <w:r>
        <w:rPr>
          <w:sz w:val="22"/>
        </w:rPr>
        <w:t>Prohibit</w:t>
      </w:r>
      <w:r>
        <w:rPr>
          <w:spacing w:val="38"/>
          <w:sz w:val="22"/>
        </w:rPr>
        <w:t> </w:t>
      </w:r>
      <w:r>
        <w:rPr>
          <w:sz w:val="22"/>
        </w:rPr>
        <w:t>medical</w:t>
      </w:r>
      <w:r>
        <w:rPr>
          <w:spacing w:val="39"/>
          <w:sz w:val="22"/>
        </w:rPr>
        <w:t> </w:t>
      </w:r>
      <w:r>
        <w:rPr>
          <w:sz w:val="22"/>
        </w:rPr>
        <w:t>providers</w:t>
      </w:r>
      <w:r>
        <w:rPr>
          <w:spacing w:val="39"/>
          <w:sz w:val="22"/>
        </w:rPr>
        <w:t> </w:t>
      </w:r>
      <w:r>
        <w:rPr>
          <w:sz w:val="22"/>
        </w:rPr>
        <w:t>from</w:t>
      </w:r>
      <w:r>
        <w:rPr>
          <w:spacing w:val="38"/>
          <w:sz w:val="22"/>
        </w:rPr>
        <w:t> </w:t>
      </w:r>
      <w:r>
        <w:rPr>
          <w:sz w:val="22"/>
        </w:rPr>
        <w:t>performing</w:t>
      </w:r>
      <w:r>
        <w:rPr>
          <w:spacing w:val="40"/>
          <w:sz w:val="22"/>
        </w:rPr>
        <w:t> </w:t>
      </w:r>
      <w:r>
        <w:rPr>
          <w:sz w:val="22"/>
        </w:rPr>
        <w:t>non-consensual</w:t>
      </w:r>
      <w:r>
        <w:rPr>
          <w:spacing w:val="39"/>
          <w:sz w:val="22"/>
        </w:rPr>
        <w:t> </w:t>
      </w:r>
      <w:r>
        <w:rPr>
          <w:sz w:val="22"/>
        </w:rPr>
        <w:t>examinations</w:t>
      </w:r>
      <w:r>
        <w:rPr>
          <w:spacing w:val="39"/>
          <w:sz w:val="22"/>
        </w:rPr>
        <w:t> </w:t>
      </w:r>
      <w:r>
        <w:rPr>
          <w:sz w:val="22"/>
        </w:rPr>
        <w:t>on</w:t>
      </w:r>
      <w:r>
        <w:rPr>
          <w:spacing w:val="38"/>
          <w:sz w:val="22"/>
        </w:rPr>
        <w:t> </w:t>
      </w:r>
      <w:r>
        <w:rPr>
          <w:sz w:val="22"/>
        </w:rPr>
        <w:t>unconscious </w:t>
      </w:r>
      <w:r>
        <w:rPr>
          <w:spacing w:val="-2"/>
          <w:sz w:val="22"/>
        </w:rPr>
        <w:t>patients.</w:t>
      </w:r>
    </w:p>
    <w:p>
      <w:pPr>
        <w:pStyle w:val="ListParagraph"/>
        <w:numPr>
          <w:ilvl w:val="0"/>
          <w:numId w:val="8"/>
        </w:numPr>
        <w:tabs>
          <w:tab w:pos="1064" w:val="left" w:leader="none"/>
        </w:tabs>
        <w:spacing w:line="276" w:lineRule="auto" w:before="0" w:after="0"/>
        <w:ind w:left="1064" w:right="640" w:hanging="245"/>
        <w:jc w:val="left"/>
        <w:rPr>
          <w:sz w:val="22"/>
        </w:rPr>
      </w:pPr>
      <w:r>
        <w:rPr>
          <w:sz w:val="22"/>
        </w:rPr>
        <w:t>Increase access to critical reproductive and sexual health items, such as contraceptives and</w:t>
      </w:r>
      <w:r>
        <w:rPr>
          <w:spacing w:val="40"/>
          <w:sz w:val="22"/>
        </w:rPr>
        <w:t> </w:t>
      </w:r>
      <w:r>
        <w:rPr>
          <w:sz w:val="22"/>
        </w:rPr>
        <w:t>menstrual products.</w:t>
      </w:r>
    </w:p>
    <w:p>
      <w:pPr>
        <w:pStyle w:val="ListParagraph"/>
        <w:numPr>
          <w:ilvl w:val="0"/>
          <w:numId w:val="8"/>
        </w:numPr>
        <w:tabs>
          <w:tab w:pos="1064" w:val="left" w:leader="none"/>
        </w:tabs>
        <w:spacing w:line="276" w:lineRule="auto" w:before="0" w:after="0"/>
        <w:ind w:left="1064" w:right="640" w:hanging="245"/>
        <w:jc w:val="left"/>
        <w:rPr>
          <w:sz w:val="22"/>
        </w:rPr>
      </w:pPr>
      <w:bookmarkStart w:name="5. Continue to explore paths to increase" w:id="54"/>
      <w:bookmarkEnd w:id="54"/>
      <w:r>
        <w:rPr/>
      </w:r>
      <w:r>
        <w:rPr>
          <w:sz w:val="22"/>
        </w:rPr>
        <w:t>Continue</w:t>
      </w:r>
      <w:r>
        <w:rPr>
          <w:spacing w:val="40"/>
          <w:sz w:val="22"/>
        </w:rPr>
        <w:t> </w:t>
      </w:r>
      <w:r>
        <w:rPr>
          <w:sz w:val="22"/>
        </w:rPr>
        <w:t>to</w:t>
      </w:r>
      <w:r>
        <w:rPr>
          <w:spacing w:val="40"/>
          <w:sz w:val="22"/>
        </w:rPr>
        <w:t> </w:t>
      </w:r>
      <w:r>
        <w:rPr>
          <w:sz w:val="22"/>
        </w:rPr>
        <w:t>explore</w:t>
      </w:r>
      <w:r>
        <w:rPr>
          <w:spacing w:val="40"/>
          <w:sz w:val="22"/>
        </w:rPr>
        <w:t> </w:t>
      </w:r>
      <w:r>
        <w:rPr>
          <w:sz w:val="22"/>
        </w:rPr>
        <w:t>paths</w:t>
      </w:r>
      <w:r>
        <w:rPr>
          <w:spacing w:val="40"/>
          <w:sz w:val="22"/>
        </w:rPr>
        <w:t> </w:t>
      </w:r>
      <w:r>
        <w:rPr>
          <w:sz w:val="22"/>
        </w:rPr>
        <w:t>to</w:t>
      </w:r>
      <w:r>
        <w:rPr>
          <w:spacing w:val="40"/>
          <w:sz w:val="22"/>
        </w:rPr>
        <w:t> </w:t>
      </w:r>
      <w:r>
        <w:rPr>
          <w:sz w:val="22"/>
        </w:rPr>
        <w:t>increase</w:t>
      </w:r>
      <w:r>
        <w:rPr>
          <w:spacing w:val="40"/>
          <w:sz w:val="22"/>
        </w:rPr>
        <w:t> </w:t>
      </w:r>
      <w:r>
        <w:rPr>
          <w:sz w:val="22"/>
        </w:rPr>
        <w:t>access</w:t>
      </w:r>
      <w:r>
        <w:rPr>
          <w:spacing w:val="40"/>
          <w:sz w:val="22"/>
        </w:rPr>
        <w:t> </w:t>
      </w:r>
      <w:r>
        <w:rPr>
          <w:sz w:val="22"/>
        </w:rPr>
        <w:t>to</w:t>
      </w:r>
      <w:r>
        <w:rPr>
          <w:spacing w:val="40"/>
          <w:sz w:val="22"/>
        </w:rPr>
        <w:t> </w:t>
      </w:r>
      <w:r>
        <w:rPr>
          <w:sz w:val="22"/>
        </w:rPr>
        <w:t>abortion</w:t>
      </w:r>
      <w:r>
        <w:rPr>
          <w:spacing w:val="40"/>
          <w:sz w:val="22"/>
        </w:rPr>
        <w:t> </w:t>
      </w:r>
      <w:r>
        <w:rPr>
          <w:sz w:val="22"/>
        </w:rPr>
        <w:t>services,</w:t>
      </w:r>
      <w:r>
        <w:rPr>
          <w:spacing w:val="40"/>
          <w:sz w:val="22"/>
        </w:rPr>
        <w:t> </w:t>
      </w:r>
      <w:r>
        <w:rPr>
          <w:sz w:val="22"/>
        </w:rPr>
        <w:t>and</w:t>
      </w:r>
      <w:r>
        <w:rPr>
          <w:spacing w:val="40"/>
          <w:sz w:val="22"/>
        </w:rPr>
        <w:t> </w:t>
      </w:r>
      <w:r>
        <w:rPr>
          <w:sz w:val="22"/>
        </w:rPr>
        <w:t>address</w:t>
      </w:r>
      <w:r>
        <w:rPr>
          <w:spacing w:val="40"/>
          <w:sz w:val="22"/>
        </w:rPr>
        <w:t> </w:t>
      </w:r>
      <w:r>
        <w:rPr>
          <w:sz w:val="22"/>
        </w:rPr>
        <w:t>barriers resulting from the proliferation of anti-abortion centers in the state.</w:t>
      </w:r>
    </w:p>
    <w:p>
      <w:pPr>
        <w:spacing w:after="0" w:line="276" w:lineRule="auto"/>
        <w:jc w:val="left"/>
        <w:rPr>
          <w:sz w:val="22"/>
        </w:rPr>
        <w:sectPr>
          <w:headerReference w:type="default" r:id="rId32"/>
          <w:footerReference w:type="default" r:id="rId33"/>
          <w:pgSz w:w="12240" w:h="15840"/>
          <w:pgMar w:header="0" w:footer="1061" w:top="1140" w:bottom="1260" w:left="980" w:right="1160"/>
        </w:sectPr>
      </w:pPr>
    </w:p>
    <w:p>
      <w:pPr>
        <w:spacing w:before="29"/>
        <w:ind w:left="604" w:right="0" w:firstLine="0"/>
        <w:jc w:val="both"/>
        <w:rPr>
          <w:sz w:val="28"/>
        </w:rPr>
      </w:pPr>
      <w:bookmarkStart w:name="Homelessness &amp; Housing Instability (2024" w:id="55"/>
      <w:bookmarkEnd w:id="55"/>
      <w:r>
        <w:rPr/>
      </w:r>
      <w:r>
        <w:rPr>
          <w:color w:val="365F91"/>
          <w:sz w:val="28"/>
        </w:rPr>
        <w:t>Homelessness</w:t>
      </w:r>
      <w:r>
        <w:rPr>
          <w:color w:val="365F91"/>
          <w:spacing w:val="-13"/>
          <w:sz w:val="28"/>
        </w:rPr>
        <w:t> </w:t>
      </w:r>
      <w:r>
        <w:rPr>
          <w:color w:val="365F91"/>
          <w:sz w:val="28"/>
        </w:rPr>
        <w:t>&amp;</w:t>
      </w:r>
      <w:r>
        <w:rPr>
          <w:color w:val="365F91"/>
          <w:spacing w:val="-13"/>
          <w:sz w:val="28"/>
        </w:rPr>
        <w:t> </w:t>
      </w:r>
      <w:r>
        <w:rPr>
          <w:color w:val="365F91"/>
          <w:sz w:val="28"/>
        </w:rPr>
        <w:t>Housing</w:t>
      </w:r>
      <w:r>
        <w:rPr>
          <w:color w:val="365F91"/>
          <w:spacing w:val="-12"/>
          <w:sz w:val="28"/>
        </w:rPr>
        <w:t> </w:t>
      </w:r>
      <w:r>
        <w:rPr>
          <w:color w:val="365F91"/>
          <w:sz w:val="28"/>
        </w:rPr>
        <w:t>Instability</w:t>
      </w:r>
      <w:r>
        <w:rPr>
          <w:color w:val="365F91"/>
          <w:spacing w:val="-14"/>
          <w:sz w:val="28"/>
        </w:rPr>
        <w:t> </w:t>
      </w:r>
      <w:r>
        <w:rPr>
          <w:color w:val="365F91"/>
          <w:spacing w:val="-2"/>
          <w:sz w:val="28"/>
        </w:rPr>
        <w:t>(2024)</w:t>
      </w:r>
    </w:p>
    <w:p>
      <w:pPr>
        <w:pStyle w:val="BodyText"/>
        <w:spacing w:line="276" w:lineRule="auto" w:before="293"/>
        <w:ind w:left="604" w:right="419"/>
        <w:jc w:val="both"/>
      </w:pPr>
      <w:r>
        <w:rPr/>
        <w:t>In the United States, rates of homelessness and housing insecurity reached a record high in 2023, making</w:t>
      </w:r>
      <w:r>
        <w:rPr>
          <w:spacing w:val="-2"/>
        </w:rPr>
        <w:t> </w:t>
      </w:r>
      <w:r>
        <w:rPr/>
        <w:t>homelessness</w:t>
      </w:r>
      <w:r>
        <w:rPr>
          <w:spacing w:val="-2"/>
        </w:rPr>
        <w:t> </w:t>
      </w:r>
      <w:r>
        <w:rPr/>
        <w:t>and</w:t>
      </w:r>
      <w:r>
        <w:rPr>
          <w:spacing w:val="-1"/>
        </w:rPr>
        <w:t> </w:t>
      </w:r>
      <w:r>
        <w:rPr/>
        <w:t>housing</w:t>
      </w:r>
      <w:r>
        <w:rPr>
          <w:spacing w:val="-2"/>
        </w:rPr>
        <w:t> </w:t>
      </w:r>
      <w:r>
        <w:rPr/>
        <w:t>insecurity</w:t>
      </w:r>
      <w:r>
        <w:rPr>
          <w:spacing w:val="-3"/>
        </w:rPr>
        <w:t> </w:t>
      </w:r>
      <w:r>
        <w:rPr/>
        <w:t>a</w:t>
      </w:r>
      <w:r>
        <w:rPr>
          <w:spacing w:val="-1"/>
        </w:rPr>
        <w:t> </w:t>
      </w:r>
      <w:r>
        <w:rPr/>
        <w:t>major</w:t>
      </w:r>
      <w:r>
        <w:rPr>
          <w:spacing w:val="-1"/>
        </w:rPr>
        <w:t> </w:t>
      </w:r>
      <w:r>
        <w:rPr/>
        <w:t>public</w:t>
      </w:r>
      <w:r>
        <w:rPr>
          <w:spacing w:val="-2"/>
        </w:rPr>
        <w:t> </w:t>
      </w:r>
      <w:r>
        <w:rPr/>
        <w:t>health</w:t>
      </w:r>
      <w:r>
        <w:rPr>
          <w:spacing w:val="-2"/>
        </w:rPr>
        <w:t> </w:t>
      </w:r>
      <w:r>
        <w:rPr/>
        <w:t>crisis</w:t>
      </w:r>
      <w:r>
        <w:rPr>
          <w:spacing w:val="-2"/>
        </w:rPr>
        <w:t> </w:t>
      </w:r>
      <w:r>
        <w:rPr/>
        <w:t>that</w:t>
      </w:r>
      <w:r>
        <w:rPr>
          <w:spacing w:val="-3"/>
        </w:rPr>
        <w:t> </w:t>
      </w:r>
      <w:r>
        <w:rPr/>
        <w:t>requires</w:t>
      </w:r>
      <w:r>
        <w:rPr>
          <w:spacing w:val="-2"/>
        </w:rPr>
        <w:t> </w:t>
      </w:r>
      <w:r>
        <w:rPr/>
        <w:t>effective</w:t>
      </w:r>
      <w:r>
        <w:rPr>
          <w:spacing w:val="-3"/>
        </w:rPr>
        <w:t> </w:t>
      </w:r>
      <w:r>
        <w:rPr/>
        <w:t>policy and program interventions. Currently, there is no single definition of youth homelessness defined federally, making it difficult to assess the extent of youth homelessness and develop appropriate responses and resources. For this report, the Commission has defined LGBTQ youth as individuals under the age of 25 who identify as lesbian, gay, bisexual, transgender, queer, questioning, and nonbinary. Additionally, the Commission has utilized the Massachusetts Unaccompanied Homeless Youth Commission’s definition of youth homelessness. This definition states that youth experiencing homelessness are individuals who are not in the physical custody of a parent or legal guardian, and who lack a fixed, regular, and adequate nighttime residence.</w:t>
      </w:r>
    </w:p>
    <w:p>
      <w:pPr>
        <w:pStyle w:val="BodyText"/>
        <w:spacing w:line="276" w:lineRule="auto" w:before="239"/>
        <w:ind w:left="604" w:right="420"/>
        <w:jc w:val="both"/>
      </w:pPr>
      <w:r>
        <w:rPr/>
        <w:t>This section provides an understanding of LGBTQ youth homelessness in the Commonwealth of Massachusetts</w:t>
      </w:r>
      <w:r>
        <w:rPr>
          <w:spacing w:val="-8"/>
        </w:rPr>
        <w:t> </w:t>
      </w:r>
      <w:r>
        <w:rPr/>
        <w:t>and</w:t>
      </w:r>
      <w:r>
        <w:rPr>
          <w:spacing w:val="-9"/>
        </w:rPr>
        <w:t> </w:t>
      </w:r>
      <w:r>
        <w:rPr/>
        <w:t>includes</w:t>
      </w:r>
      <w:r>
        <w:rPr>
          <w:spacing w:val="-8"/>
        </w:rPr>
        <w:t> </w:t>
      </w:r>
      <w:r>
        <w:rPr/>
        <w:t>legislative</w:t>
      </w:r>
      <w:r>
        <w:rPr>
          <w:spacing w:val="-8"/>
        </w:rPr>
        <w:t> </w:t>
      </w:r>
      <w:r>
        <w:rPr/>
        <w:t>priorities</w:t>
      </w:r>
      <w:r>
        <w:rPr>
          <w:spacing w:val="-8"/>
        </w:rPr>
        <w:t> </w:t>
      </w:r>
      <w:r>
        <w:rPr/>
        <w:t>and</w:t>
      </w:r>
      <w:r>
        <w:rPr>
          <w:spacing w:val="-8"/>
        </w:rPr>
        <w:t> </w:t>
      </w:r>
      <w:r>
        <w:rPr/>
        <w:t>recommendations</w:t>
      </w:r>
      <w:r>
        <w:rPr>
          <w:spacing w:val="-8"/>
        </w:rPr>
        <w:t> </w:t>
      </w:r>
      <w:r>
        <w:rPr/>
        <w:t>defined</w:t>
      </w:r>
      <w:r>
        <w:rPr>
          <w:spacing w:val="-9"/>
        </w:rPr>
        <w:t> </w:t>
      </w:r>
      <w:r>
        <w:rPr/>
        <w:t>by</w:t>
      </w:r>
      <w:r>
        <w:rPr>
          <w:spacing w:val="-9"/>
        </w:rPr>
        <w:t> </w:t>
      </w:r>
      <w:r>
        <w:rPr/>
        <w:t>the</w:t>
      </w:r>
      <w:r>
        <w:rPr>
          <w:spacing w:val="-9"/>
        </w:rPr>
        <w:t> </w:t>
      </w:r>
      <w:r>
        <w:rPr/>
        <w:t>Commission</w:t>
      </w:r>
      <w:r>
        <w:rPr>
          <w:spacing w:val="-9"/>
        </w:rPr>
        <w:t> </w:t>
      </w:r>
      <w:r>
        <w:rPr/>
        <w:t>on LGBTQ Youth to support the goal of eradicating youth homelessness in the Commonwealth.</w:t>
      </w:r>
    </w:p>
    <w:p>
      <w:pPr>
        <w:spacing w:line="276" w:lineRule="auto" w:before="239"/>
        <w:ind w:left="604" w:right="421" w:firstLine="0"/>
        <w:jc w:val="both"/>
        <w:rPr>
          <w:sz w:val="26"/>
        </w:rPr>
      </w:pPr>
      <w:bookmarkStart w:name="FY 2025 Recommendations to the Governor " w:id="56"/>
      <w:bookmarkEnd w:id="56"/>
      <w:r>
        <w:rPr/>
      </w:r>
      <w:r>
        <w:rPr>
          <w:color w:val="404040"/>
          <w:sz w:val="26"/>
        </w:rPr>
        <w:t>FY</w:t>
      </w:r>
      <w:r>
        <w:rPr>
          <w:color w:val="404040"/>
          <w:spacing w:val="-7"/>
          <w:sz w:val="26"/>
        </w:rPr>
        <w:t> </w:t>
      </w:r>
      <w:r>
        <w:rPr>
          <w:color w:val="404040"/>
          <w:sz w:val="26"/>
        </w:rPr>
        <w:t>2025</w:t>
      </w:r>
      <w:r>
        <w:rPr>
          <w:color w:val="404040"/>
          <w:spacing w:val="-8"/>
          <w:sz w:val="26"/>
        </w:rPr>
        <w:t> </w:t>
      </w:r>
      <w:r>
        <w:rPr>
          <w:color w:val="404040"/>
          <w:sz w:val="26"/>
        </w:rPr>
        <w:t>Recommendations</w:t>
      </w:r>
      <w:r>
        <w:rPr>
          <w:color w:val="404040"/>
          <w:spacing w:val="-8"/>
          <w:sz w:val="26"/>
        </w:rPr>
        <w:t> </w:t>
      </w:r>
      <w:r>
        <w:rPr>
          <w:color w:val="404040"/>
          <w:sz w:val="26"/>
        </w:rPr>
        <w:t>to</w:t>
      </w:r>
      <w:r>
        <w:rPr>
          <w:color w:val="404040"/>
          <w:spacing w:val="-8"/>
          <w:sz w:val="26"/>
        </w:rPr>
        <w:t> </w:t>
      </w:r>
      <w:r>
        <w:rPr>
          <w:color w:val="404040"/>
          <w:sz w:val="26"/>
        </w:rPr>
        <w:t>the</w:t>
      </w:r>
      <w:r>
        <w:rPr>
          <w:color w:val="404040"/>
          <w:spacing w:val="-8"/>
          <w:sz w:val="26"/>
        </w:rPr>
        <w:t> </w:t>
      </w:r>
      <w:r>
        <w:rPr>
          <w:color w:val="404040"/>
          <w:sz w:val="26"/>
        </w:rPr>
        <w:t>Governor</w:t>
      </w:r>
      <w:r>
        <w:rPr>
          <w:color w:val="404040"/>
          <w:spacing w:val="-8"/>
          <w:sz w:val="26"/>
        </w:rPr>
        <w:t> </w:t>
      </w:r>
      <w:r>
        <w:rPr>
          <w:color w:val="404040"/>
          <w:sz w:val="26"/>
        </w:rPr>
        <w:t>&amp;</w:t>
      </w:r>
      <w:r>
        <w:rPr>
          <w:color w:val="404040"/>
          <w:spacing w:val="-7"/>
          <w:sz w:val="26"/>
        </w:rPr>
        <w:t> </w:t>
      </w:r>
      <w:r>
        <w:rPr>
          <w:color w:val="404040"/>
          <w:sz w:val="26"/>
        </w:rPr>
        <w:t>Legislature</w:t>
      </w:r>
      <w:r>
        <w:rPr>
          <w:color w:val="404040"/>
          <w:spacing w:val="-7"/>
          <w:sz w:val="26"/>
        </w:rPr>
        <w:t> </w:t>
      </w:r>
      <w:r>
        <w:rPr>
          <w:color w:val="404040"/>
          <w:sz w:val="26"/>
        </w:rPr>
        <w:t>on</w:t>
      </w:r>
      <w:r>
        <w:rPr>
          <w:color w:val="404040"/>
          <w:spacing w:val="-7"/>
          <w:sz w:val="26"/>
        </w:rPr>
        <w:t> </w:t>
      </w:r>
      <w:r>
        <w:rPr>
          <w:color w:val="404040"/>
          <w:sz w:val="26"/>
        </w:rPr>
        <w:t>Homelessness</w:t>
      </w:r>
      <w:r>
        <w:rPr>
          <w:color w:val="404040"/>
          <w:spacing w:val="-8"/>
          <w:sz w:val="26"/>
        </w:rPr>
        <w:t> </w:t>
      </w:r>
      <w:r>
        <w:rPr>
          <w:color w:val="404040"/>
          <w:sz w:val="26"/>
        </w:rPr>
        <w:t>&amp;</w:t>
      </w:r>
      <w:r>
        <w:rPr>
          <w:color w:val="404040"/>
          <w:spacing w:val="-8"/>
          <w:sz w:val="26"/>
        </w:rPr>
        <w:t> </w:t>
      </w:r>
      <w:r>
        <w:rPr>
          <w:color w:val="404040"/>
          <w:sz w:val="26"/>
        </w:rPr>
        <w:t>Housing </w:t>
      </w:r>
      <w:r>
        <w:rPr>
          <w:color w:val="404040"/>
          <w:spacing w:val="-2"/>
          <w:sz w:val="26"/>
        </w:rPr>
        <w:t>Instability</w:t>
      </w:r>
    </w:p>
    <w:p>
      <w:pPr>
        <w:pStyle w:val="ListParagraph"/>
        <w:numPr>
          <w:ilvl w:val="0"/>
          <w:numId w:val="9"/>
        </w:numPr>
        <w:tabs>
          <w:tab w:pos="1178" w:val="left" w:leader="none"/>
          <w:tab w:pos="1180" w:val="left" w:leader="none"/>
        </w:tabs>
        <w:spacing w:line="276" w:lineRule="auto" w:before="242" w:after="0"/>
        <w:ind w:left="1180" w:right="637" w:hanging="361"/>
        <w:jc w:val="both"/>
        <w:rPr>
          <w:sz w:val="22"/>
        </w:rPr>
      </w:pPr>
      <w:r>
        <w:rPr>
          <w:sz w:val="22"/>
        </w:rPr>
        <w:t>Improving access to state IDs for youth experiencing homelessness and gender-expansive </w:t>
      </w:r>
      <w:r>
        <w:rPr>
          <w:spacing w:val="-2"/>
          <w:sz w:val="22"/>
        </w:rPr>
        <w:t>youth.</w:t>
      </w:r>
    </w:p>
    <w:p>
      <w:pPr>
        <w:pStyle w:val="ListParagraph"/>
        <w:numPr>
          <w:ilvl w:val="0"/>
          <w:numId w:val="9"/>
        </w:numPr>
        <w:tabs>
          <w:tab w:pos="1178" w:val="left" w:leader="none"/>
          <w:tab w:pos="1180" w:val="left" w:leader="none"/>
        </w:tabs>
        <w:spacing w:line="276" w:lineRule="auto" w:before="239" w:after="0"/>
        <w:ind w:left="1180" w:right="638" w:hanging="361"/>
        <w:jc w:val="both"/>
        <w:rPr>
          <w:sz w:val="22"/>
        </w:rPr>
      </w:pPr>
      <w:r>
        <w:rPr>
          <w:sz w:val="22"/>
        </w:rPr>
        <w:t>Increasing funding for services to expand</w:t>
      </w:r>
      <w:r>
        <w:rPr>
          <w:spacing w:val="-1"/>
          <w:sz w:val="22"/>
        </w:rPr>
        <w:t> </w:t>
      </w:r>
      <w:r>
        <w:rPr>
          <w:sz w:val="22"/>
        </w:rPr>
        <w:t>inclusive</w:t>
      </w:r>
      <w:r>
        <w:rPr>
          <w:spacing w:val="-1"/>
          <w:sz w:val="22"/>
        </w:rPr>
        <w:t> </w:t>
      </w:r>
      <w:r>
        <w:rPr>
          <w:sz w:val="22"/>
        </w:rPr>
        <w:t>drop-in centers, shelter spaces, and living programs for transition-aged youth to better support LGBTQ youth experiencing homelessness or housing instability.</w:t>
      </w:r>
    </w:p>
    <w:p>
      <w:pPr>
        <w:pStyle w:val="ListParagraph"/>
        <w:numPr>
          <w:ilvl w:val="0"/>
          <w:numId w:val="9"/>
        </w:numPr>
        <w:tabs>
          <w:tab w:pos="1179" w:val="left" w:leader="none"/>
        </w:tabs>
        <w:spacing w:line="240" w:lineRule="auto" w:before="240" w:after="0"/>
        <w:ind w:left="1179" w:right="0" w:hanging="359"/>
        <w:jc w:val="left"/>
        <w:rPr>
          <w:sz w:val="22"/>
        </w:rPr>
      </w:pPr>
      <w:r>
        <w:rPr>
          <w:sz w:val="22"/>
        </w:rPr>
        <w:t>Codifying</w:t>
      </w:r>
      <w:r>
        <w:rPr>
          <w:spacing w:val="-7"/>
          <w:sz w:val="22"/>
        </w:rPr>
        <w:t> </w:t>
      </w:r>
      <w:r>
        <w:rPr>
          <w:sz w:val="22"/>
        </w:rPr>
        <w:t>a</w:t>
      </w:r>
      <w:r>
        <w:rPr>
          <w:spacing w:val="-6"/>
          <w:sz w:val="22"/>
        </w:rPr>
        <w:t> </w:t>
      </w:r>
      <w:r>
        <w:rPr>
          <w:sz w:val="22"/>
        </w:rPr>
        <w:t>bill</w:t>
      </w:r>
      <w:r>
        <w:rPr>
          <w:spacing w:val="-7"/>
          <w:sz w:val="22"/>
        </w:rPr>
        <w:t> </w:t>
      </w:r>
      <w:r>
        <w:rPr>
          <w:sz w:val="22"/>
        </w:rPr>
        <w:t>of</w:t>
      </w:r>
      <w:r>
        <w:rPr>
          <w:spacing w:val="-6"/>
          <w:sz w:val="22"/>
        </w:rPr>
        <w:t> </w:t>
      </w:r>
      <w:r>
        <w:rPr>
          <w:sz w:val="22"/>
        </w:rPr>
        <w:t>rights</w:t>
      </w:r>
      <w:r>
        <w:rPr>
          <w:spacing w:val="-6"/>
          <w:sz w:val="22"/>
        </w:rPr>
        <w:t> </w:t>
      </w:r>
      <w:r>
        <w:rPr>
          <w:sz w:val="22"/>
        </w:rPr>
        <w:t>for</w:t>
      </w:r>
      <w:r>
        <w:rPr>
          <w:spacing w:val="-7"/>
          <w:sz w:val="22"/>
        </w:rPr>
        <w:t> </w:t>
      </w:r>
      <w:r>
        <w:rPr>
          <w:sz w:val="22"/>
        </w:rPr>
        <w:t>youth</w:t>
      </w:r>
      <w:r>
        <w:rPr>
          <w:spacing w:val="-5"/>
          <w:sz w:val="22"/>
        </w:rPr>
        <w:t> </w:t>
      </w:r>
      <w:r>
        <w:rPr>
          <w:sz w:val="22"/>
        </w:rPr>
        <w:t>experiencing</w:t>
      </w:r>
      <w:r>
        <w:rPr>
          <w:spacing w:val="-7"/>
          <w:sz w:val="22"/>
        </w:rPr>
        <w:t> </w:t>
      </w:r>
      <w:r>
        <w:rPr>
          <w:spacing w:val="-2"/>
          <w:sz w:val="22"/>
        </w:rPr>
        <w:t>homelessness.</w:t>
      </w:r>
    </w:p>
    <w:p>
      <w:pPr>
        <w:pStyle w:val="BodyText"/>
        <w:spacing w:before="12"/>
      </w:pPr>
    </w:p>
    <w:p>
      <w:pPr>
        <w:pStyle w:val="ListParagraph"/>
        <w:numPr>
          <w:ilvl w:val="0"/>
          <w:numId w:val="9"/>
        </w:numPr>
        <w:tabs>
          <w:tab w:pos="1179" w:val="left" w:leader="none"/>
        </w:tabs>
        <w:spacing w:line="240" w:lineRule="auto" w:before="0" w:after="0"/>
        <w:ind w:left="1179" w:right="0" w:hanging="359"/>
        <w:jc w:val="left"/>
        <w:rPr>
          <w:sz w:val="22"/>
        </w:rPr>
      </w:pPr>
      <w:r>
        <w:rPr>
          <w:sz w:val="22"/>
        </w:rPr>
        <w:t>Improve</w:t>
      </w:r>
      <w:r>
        <w:rPr>
          <w:spacing w:val="-9"/>
          <w:sz w:val="22"/>
        </w:rPr>
        <w:t> </w:t>
      </w:r>
      <w:r>
        <w:rPr>
          <w:sz w:val="22"/>
        </w:rPr>
        <w:t>access</w:t>
      </w:r>
      <w:r>
        <w:rPr>
          <w:spacing w:val="-8"/>
          <w:sz w:val="22"/>
        </w:rPr>
        <w:t> </w:t>
      </w:r>
      <w:r>
        <w:rPr>
          <w:sz w:val="22"/>
        </w:rPr>
        <w:t>to</w:t>
      </w:r>
      <w:r>
        <w:rPr>
          <w:spacing w:val="-7"/>
          <w:sz w:val="22"/>
        </w:rPr>
        <w:t> </w:t>
      </w:r>
      <w:r>
        <w:rPr>
          <w:sz w:val="22"/>
        </w:rPr>
        <w:t>rental</w:t>
      </w:r>
      <w:r>
        <w:rPr>
          <w:spacing w:val="-8"/>
          <w:sz w:val="22"/>
        </w:rPr>
        <w:t> </w:t>
      </w:r>
      <w:r>
        <w:rPr>
          <w:sz w:val="22"/>
        </w:rPr>
        <w:t>assistance</w:t>
      </w:r>
      <w:r>
        <w:rPr>
          <w:spacing w:val="-8"/>
          <w:sz w:val="22"/>
        </w:rPr>
        <w:t> </w:t>
      </w:r>
      <w:r>
        <w:rPr>
          <w:sz w:val="22"/>
        </w:rPr>
        <w:t>and</w:t>
      </w:r>
      <w:r>
        <w:rPr>
          <w:spacing w:val="-7"/>
          <w:sz w:val="22"/>
        </w:rPr>
        <w:t> </w:t>
      </w:r>
      <w:r>
        <w:rPr>
          <w:spacing w:val="-2"/>
          <w:sz w:val="22"/>
        </w:rPr>
        <w:t>stabilization.</w:t>
      </w:r>
    </w:p>
    <w:p>
      <w:pPr>
        <w:pStyle w:val="BodyText"/>
        <w:spacing w:before="11"/>
      </w:pPr>
    </w:p>
    <w:p>
      <w:pPr>
        <w:pStyle w:val="ListParagraph"/>
        <w:numPr>
          <w:ilvl w:val="0"/>
          <w:numId w:val="9"/>
        </w:numPr>
        <w:tabs>
          <w:tab w:pos="1178" w:val="left" w:leader="none"/>
          <w:tab w:pos="1180" w:val="left" w:leader="none"/>
        </w:tabs>
        <w:spacing w:line="276" w:lineRule="auto" w:before="1" w:after="0"/>
        <w:ind w:left="1180" w:right="638" w:hanging="361"/>
        <w:jc w:val="both"/>
        <w:rPr>
          <w:sz w:val="22"/>
        </w:rPr>
      </w:pPr>
      <w:r>
        <w:rPr>
          <w:sz w:val="22"/>
        </w:rPr>
        <w:t>Mandate LGBTQ cultural engagement trainings and LGBTQ-inclusive nondiscrimination policies and procedures in shelters.</w:t>
      </w:r>
    </w:p>
    <w:p>
      <w:pPr>
        <w:pStyle w:val="ListParagraph"/>
        <w:numPr>
          <w:ilvl w:val="0"/>
          <w:numId w:val="9"/>
        </w:numPr>
        <w:tabs>
          <w:tab w:pos="1178" w:val="left" w:leader="none"/>
          <w:tab w:pos="1180" w:val="left" w:leader="none"/>
        </w:tabs>
        <w:spacing w:line="276" w:lineRule="auto" w:before="240" w:after="0"/>
        <w:ind w:left="1180" w:right="637" w:hanging="361"/>
        <w:jc w:val="both"/>
        <w:rPr>
          <w:sz w:val="22"/>
        </w:rPr>
      </w:pPr>
      <w:r>
        <w:rPr>
          <w:sz w:val="22"/>
        </w:rPr>
        <w:t>Evaluate and improve coordinated entry tools to center an equitable approach to increase access to housing opportunities for QTBIPOC youth in the Commonwealth.</w:t>
      </w:r>
    </w:p>
    <w:p>
      <w:pPr>
        <w:pStyle w:val="ListParagraph"/>
        <w:numPr>
          <w:ilvl w:val="0"/>
          <w:numId w:val="9"/>
        </w:numPr>
        <w:tabs>
          <w:tab w:pos="1179" w:val="left" w:leader="none"/>
        </w:tabs>
        <w:spacing w:line="240" w:lineRule="auto" w:before="240" w:after="0"/>
        <w:ind w:left="1179" w:right="0" w:hanging="359"/>
        <w:jc w:val="left"/>
        <w:rPr>
          <w:sz w:val="22"/>
        </w:rPr>
      </w:pPr>
      <w:r>
        <w:rPr>
          <w:sz w:val="22"/>
        </w:rPr>
        <w:t>Address</w:t>
      </w:r>
      <w:r>
        <w:rPr>
          <w:spacing w:val="-9"/>
          <w:sz w:val="22"/>
        </w:rPr>
        <w:t> </w:t>
      </w:r>
      <w:r>
        <w:rPr>
          <w:sz w:val="22"/>
        </w:rPr>
        <w:t>issues</w:t>
      </w:r>
      <w:r>
        <w:rPr>
          <w:spacing w:val="-9"/>
          <w:sz w:val="22"/>
        </w:rPr>
        <w:t> </w:t>
      </w:r>
      <w:r>
        <w:rPr>
          <w:sz w:val="22"/>
        </w:rPr>
        <w:t>occurring</w:t>
      </w:r>
      <w:r>
        <w:rPr>
          <w:spacing w:val="-9"/>
          <w:sz w:val="22"/>
        </w:rPr>
        <w:t> </w:t>
      </w:r>
      <w:r>
        <w:rPr>
          <w:sz w:val="22"/>
        </w:rPr>
        <w:t>from</w:t>
      </w:r>
      <w:r>
        <w:rPr>
          <w:spacing w:val="-9"/>
          <w:sz w:val="22"/>
        </w:rPr>
        <w:t> </w:t>
      </w:r>
      <w:r>
        <w:rPr>
          <w:sz w:val="22"/>
        </w:rPr>
        <w:t>youth</w:t>
      </w:r>
      <w:r>
        <w:rPr>
          <w:spacing w:val="-8"/>
          <w:sz w:val="22"/>
        </w:rPr>
        <w:t> </w:t>
      </w:r>
      <w:r>
        <w:rPr>
          <w:sz w:val="22"/>
        </w:rPr>
        <w:t>shifting</w:t>
      </w:r>
      <w:r>
        <w:rPr>
          <w:spacing w:val="-8"/>
          <w:sz w:val="22"/>
        </w:rPr>
        <w:t> </w:t>
      </w:r>
      <w:r>
        <w:rPr>
          <w:sz w:val="22"/>
        </w:rPr>
        <w:t>between</w:t>
      </w:r>
      <w:r>
        <w:rPr>
          <w:spacing w:val="-9"/>
          <w:sz w:val="22"/>
        </w:rPr>
        <w:t> </w:t>
      </w:r>
      <w:r>
        <w:rPr>
          <w:sz w:val="22"/>
        </w:rPr>
        <w:t>Continuums</w:t>
      </w:r>
      <w:r>
        <w:rPr>
          <w:spacing w:val="-8"/>
          <w:sz w:val="22"/>
        </w:rPr>
        <w:t> </w:t>
      </w:r>
      <w:r>
        <w:rPr>
          <w:sz w:val="22"/>
        </w:rPr>
        <w:t>of</w:t>
      </w:r>
      <w:r>
        <w:rPr>
          <w:spacing w:val="-9"/>
          <w:sz w:val="22"/>
        </w:rPr>
        <w:t> </w:t>
      </w:r>
      <w:r>
        <w:rPr>
          <w:spacing w:val="-2"/>
          <w:sz w:val="22"/>
        </w:rPr>
        <w:t>Care.</w:t>
      </w:r>
    </w:p>
    <w:p>
      <w:pPr>
        <w:pStyle w:val="BodyText"/>
        <w:spacing w:before="11"/>
      </w:pPr>
    </w:p>
    <w:p>
      <w:pPr>
        <w:pStyle w:val="ListParagraph"/>
        <w:numPr>
          <w:ilvl w:val="0"/>
          <w:numId w:val="9"/>
        </w:numPr>
        <w:tabs>
          <w:tab w:pos="1179" w:val="left" w:leader="none"/>
        </w:tabs>
        <w:spacing w:line="240" w:lineRule="auto" w:before="0" w:after="0"/>
        <w:ind w:left="1179" w:right="0" w:hanging="359"/>
        <w:jc w:val="left"/>
        <w:rPr>
          <w:sz w:val="22"/>
        </w:rPr>
      </w:pPr>
      <w:r>
        <w:rPr>
          <w:sz w:val="22"/>
        </w:rPr>
        <w:t>Improve</w:t>
      </w:r>
      <w:r>
        <w:rPr>
          <w:spacing w:val="-12"/>
          <w:sz w:val="22"/>
        </w:rPr>
        <w:t> </w:t>
      </w:r>
      <w:r>
        <w:rPr>
          <w:sz w:val="22"/>
        </w:rPr>
        <w:t>multicultural,</w:t>
      </w:r>
      <w:r>
        <w:rPr>
          <w:spacing w:val="-12"/>
          <w:sz w:val="22"/>
        </w:rPr>
        <w:t> </w:t>
      </w:r>
      <w:r>
        <w:rPr>
          <w:sz w:val="22"/>
        </w:rPr>
        <w:t>LGBTQ-affirming</w:t>
      </w:r>
      <w:r>
        <w:rPr>
          <w:spacing w:val="-10"/>
          <w:sz w:val="22"/>
        </w:rPr>
        <w:t> </w:t>
      </w:r>
      <w:r>
        <w:rPr>
          <w:sz w:val="22"/>
        </w:rPr>
        <w:t>housing</w:t>
      </w:r>
      <w:r>
        <w:rPr>
          <w:spacing w:val="-12"/>
          <w:sz w:val="22"/>
        </w:rPr>
        <w:t> </w:t>
      </w:r>
      <w:r>
        <w:rPr>
          <w:sz w:val="22"/>
        </w:rPr>
        <w:t>resources</w:t>
      </w:r>
      <w:r>
        <w:rPr>
          <w:spacing w:val="-12"/>
          <w:sz w:val="22"/>
        </w:rPr>
        <w:t> </w:t>
      </w:r>
      <w:r>
        <w:rPr>
          <w:sz w:val="22"/>
        </w:rPr>
        <w:t>for</w:t>
      </w:r>
      <w:r>
        <w:rPr>
          <w:spacing w:val="-11"/>
          <w:sz w:val="22"/>
        </w:rPr>
        <w:t> </w:t>
      </w:r>
      <w:r>
        <w:rPr>
          <w:sz w:val="22"/>
        </w:rPr>
        <w:t>immigrants</w:t>
      </w:r>
      <w:r>
        <w:rPr>
          <w:spacing w:val="-12"/>
          <w:sz w:val="22"/>
        </w:rPr>
        <w:t> </w:t>
      </w:r>
      <w:r>
        <w:rPr>
          <w:sz w:val="22"/>
        </w:rPr>
        <w:t>and</w:t>
      </w:r>
      <w:r>
        <w:rPr>
          <w:spacing w:val="-11"/>
          <w:sz w:val="22"/>
        </w:rPr>
        <w:t> </w:t>
      </w:r>
      <w:r>
        <w:rPr>
          <w:spacing w:val="-2"/>
          <w:sz w:val="22"/>
        </w:rPr>
        <w:t>refugees.</w:t>
      </w:r>
    </w:p>
    <w:p>
      <w:pPr>
        <w:spacing w:after="0" w:line="240" w:lineRule="auto"/>
        <w:jc w:val="left"/>
        <w:rPr>
          <w:sz w:val="22"/>
        </w:rPr>
        <w:sectPr>
          <w:headerReference w:type="default" r:id="rId34"/>
          <w:footerReference w:type="default" r:id="rId35"/>
          <w:pgSz w:w="12240" w:h="15840"/>
          <w:pgMar w:header="0" w:footer="1061" w:top="1140" w:bottom="1260" w:left="980" w:right="1160"/>
        </w:sectPr>
      </w:pPr>
    </w:p>
    <w:p>
      <w:pPr>
        <w:spacing w:before="29"/>
        <w:ind w:left="604" w:right="0" w:firstLine="0"/>
        <w:jc w:val="both"/>
        <w:rPr>
          <w:sz w:val="28"/>
        </w:rPr>
      </w:pPr>
      <w:bookmarkStart w:name="Advancing Justice (2024)" w:id="57"/>
      <w:bookmarkEnd w:id="57"/>
      <w:r>
        <w:rPr/>
      </w:r>
      <w:r>
        <w:rPr>
          <w:color w:val="365F91"/>
          <w:sz w:val="28"/>
        </w:rPr>
        <w:t>Advancing</w:t>
      </w:r>
      <w:r>
        <w:rPr>
          <w:color w:val="365F91"/>
          <w:spacing w:val="-14"/>
          <w:sz w:val="28"/>
        </w:rPr>
        <w:t> </w:t>
      </w:r>
      <w:r>
        <w:rPr>
          <w:color w:val="365F91"/>
          <w:sz w:val="28"/>
        </w:rPr>
        <w:t>Justice</w:t>
      </w:r>
      <w:r>
        <w:rPr>
          <w:color w:val="365F91"/>
          <w:spacing w:val="-14"/>
          <w:sz w:val="28"/>
        </w:rPr>
        <w:t> </w:t>
      </w:r>
      <w:r>
        <w:rPr>
          <w:color w:val="365F91"/>
          <w:spacing w:val="-2"/>
          <w:sz w:val="28"/>
        </w:rPr>
        <w:t>(2024)</w:t>
      </w:r>
    </w:p>
    <w:p>
      <w:pPr>
        <w:spacing w:line="276" w:lineRule="auto" w:before="293"/>
        <w:ind w:left="603" w:right="418" w:firstLine="0"/>
        <w:jc w:val="both"/>
        <w:rPr>
          <w:sz w:val="21"/>
        </w:rPr>
      </w:pPr>
      <w:r>
        <w:rPr>
          <w:sz w:val="21"/>
        </w:rPr>
        <w:t>The Commission on LGBTQ Youth defines 'youth' as individuals younger than 25 years old. In formulating recommendations regarding LGBTQ youth within Massachusetts' criminal legal system, it is important to note that the Commission's report covers both juvenile and adult legal systems. Further, this section will rely on the phrase “criminal legal system” instead of “criminal justice system” throughout to more accurately</w:t>
      </w:r>
      <w:r>
        <w:rPr>
          <w:spacing w:val="-6"/>
          <w:sz w:val="21"/>
        </w:rPr>
        <w:t> </w:t>
      </w:r>
      <w:r>
        <w:rPr>
          <w:sz w:val="21"/>
        </w:rPr>
        <w:t>describe</w:t>
      </w:r>
      <w:r>
        <w:rPr>
          <w:spacing w:val="-5"/>
          <w:sz w:val="21"/>
        </w:rPr>
        <w:t> </w:t>
      </w:r>
      <w:r>
        <w:rPr>
          <w:sz w:val="21"/>
        </w:rPr>
        <w:t>the</w:t>
      </w:r>
      <w:r>
        <w:rPr>
          <w:spacing w:val="-5"/>
          <w:sz w:val="21"/>
        </w:rPr>
        <w:t> </w:t>
      </w:r>
      <w:r>
        <w:rPr>
          <w:sz w:val="21"/>
        </w:rPr>
        <w:t>inequitable</w:t>
      </w:r>
      <w:r>
        <w:rPr>
          <w:spacing w:val="-5"/>
          <w:sz w:val="21"/>
        </w:rPr>
        <w:t> </w:t>
      </w:r>
      <w:r>
        <w:rPr>
          <w:sz w:val="21"/>
        </w:rPr>
        <w:t>and</w:t>
      </w:r>
      <w:r>
        <w:rPr>
          <w:spacing w:val="-5"/>
          <w:sz w:val="21"/>
        </w:rPr>
        <w:t> </w:t>
      </w:r>
      <w:r>
        <w:rPr>
          <w:sz w:val="21"/>
        </w:rPr>
        <w:t>often</w:t>
      </w:r>
      <w:r>
        <w:rPr>
          <w:spacing w:val="-5"/>
          <w:sz w:val="21"/>
        </w:rPr>
        <w:t> </w:t>
      </w:r>
      <w:r>
        <w:rPr>
          <w:sz w:val="21"/>
        </w:rPr>
        <w:t>harmful</w:t>
      </w:r>
      <w:r>
        <w:rPr>
          <w:spacing w:val="-5"/>
          <w:sz w:val="21"/>
        </w:rPr>
        <w:t> </w:t>
      </w:r>
      <w:r>
        <w:rPr>
          <w:sz w:val="21"/>
        </w:rPr>
        <w:t>U.S.</w:t>
      </w:r>
      <w:r>
        <w:rPr>
          <w:spacing w:val="-6"/>
          <w:sz w:val="21"/>
        </w:rPr>
        <w:t> </w:t>
      </w:r>
      <w:r>
        <w:rPr>
          <w:sz w:val="21"/>
        </w:rPr>
        <w:t>institutions</w:t>
      </w:r>
      <w:r>
        <w:rPr>
          <w:spacing w:val="-5"/>
          <w:sz w:val="21"/>
        </w:rPr>
        <w:t> </w:t>
      </w:r>
      <w:r>
        <w:rPr>
          <w:sz w:val="21"/>
        </w:rPr>
        <w:t>of</w:t>
      </w:r>
      <w:r>
        <w:rPr>
          <w:spacing w:val="-6"/>
          <w:sz w:val="21"/>
        </w:rPr>
        <w:t> </w:t>
      </w:r>
      <w:r>
        <w:rPr>
          <w:sz w:val="21"/>
        </w:rPr>
        <w:t>policing,</w:t>
      </w:r>
      <w:r>
        <w:rPr>
          <w:spacing w:val="-5"/>
          <w:sz w:val="21"/>
        </w:rPr>
        <w:t> </w:t>
      </w:r>
      <w:r>
        <w:rPr>
          <w:sz w:val="21"/>
        </w:rPr>
        <w:t>prosecution,</w:t>
      </w:r>
      <w:r>
        <w:rPr>
          <w:spacing w:val="-5"/>
          <w:sz w:val="21"/>
        </w:rPr>
        <w:t> </w:t>
      </w:r>
      <w:r>
        <w:rPr>
          <w:sz w:val="21"/>
        </w:rPr>
        <w:t>courts,</w:t>
      </w:r>
      <w:r>
        <w:rPr>
          <w:spacing w:val="-5"/>
          <w:sz w:val="21"/>
        </w:rPr>
        <w:t> </w:t>
      </w:r>
      <w:r>
        <w:rPr>
          <w:sz w:val="21"/>
        </w:rPr>
        <w:t>and corrections. This preference stems from a critical examination of the criminal legal system's historical, discriminatory roots and its ongoing disproportionate impact on marginalized communities, particularly people</w:t>
      </w:r>
      <w:r>
        <w:rPr>
          <w:spacing w:val="-8"/>
          <w:sz w:val="21"/>
        </w:rPr>
        <w:t> </w:t>
      </w:r>
      <w:r>
        <w:rPr>
          <w:sz w:val="21"/>
        </w:rPr>
        <w:t>of</w:t>
      </w:r>
      <w:r>
        <w:rPr>
          <w:spacing w:val="-8"/>
          <w:sz w:val="21"/>
        </w:rPr>
        <w:t> </w:t>
      </w:r>
      <w:r>
        <w:rPr>
          <w:sz w:val="21"/>
        </w:rPr>
        <w:t>color</w:t>
      </w:r>
      <w:r>
        <w:rPr>
          <w:spacing w:val="-8"/>
          <w:sz w:val="21"/>
        </w:rPr>
        <w:t> </w:t>
      </w:r>
      <w:r>
        <w:rPr>
          <w:sz w:val="21"/>
        </w:rPr>
        <w:t>as</w:t>
      </w:r>
      <w:r>
        <w:rPr>
          <w:spacing w:val="-8"/>
          <w:sz w:val="21"/>
        </w:rPr>
        <w:t> </w:t>
      </w:r>
      <w:r>
        <w:rPr>
          <w:sz w:val="21"/>
        </w:rPr>
        <w:t>well</w:t>
      </w:r>
      <w:r>
        <w:rPr>
          <w:spacing w:val="-8"/>
          <w:sz w:val="21"/>
        </w:rPr>
        <w:t> </w:t>
      </w:r>
      <w:r>
        <w:rPr>
          <w:sz w:val="21"/>
        </w:rPr>
        <w:t>as</w:t>
      </w:r>
      <w:r>
        <w:rPr>
          <w:spacing w:val="-9"/>
          <w:sz w:val="21"/>
        </w:rPr>
        <w:t> </w:t>
      </w:r>
      <w:r>
        <w:rPr>
          <w:sz w:val="21"/>
        </w:rPr>
        <w:t>individuals</w:t>
      </w:r>
      <w:r>
        <w:rPr>
          <w:spacing w:val="-10"/>
          <w:sz w:val="21"/>
        </w:rPr>
        <w:t> </w:t>
      </w:r>
      <w:r>
        <w:rPr>
          <w:sz w:val="21"/>
        </w:rPr>
        <w:t>experiencing</w:t>
      </w:r>
      <w:r>
        <w:rPr>
          <w:spacing w:val="-8"/>
          <w:sz w:val="21"/>
        </w:rPr>
        <w:t> </w:t>
      </w:r>
      <w:r>
        <w:rPr>
          <w:sz w:val="21"/>
        </w:rPr>
        <w:t>poverty.</w:t>
      </w:r>
      <w:r>
        <w:rPr>
          <w:spacing w:val="-8"/>
          <w:sz w:val="21"/>
        </w:rPr>
        <w:t> </w:t>
      </w:r>
      <w:r>
        <w:rPr>
          <w:sz w:val="21"/>
        </w:rPr>
        <w:t>The</w:t>
      </w:r>
      <w:r>
        <w:rPr>
          <w:spacing w:val="-8"/>
          <w:sz w:val="21"/>
        </w:rPr>
        <w:t> </w:t>
      </w:r>
      <w:r>
        <w:rPr>
          <w:sz w:val="21"/>
        </w:rPr>
        <w:t>U.S.</w:t>
      </w:r>
      <w:r>
        <w:rPr>
          <w:spacing w:val="-8"/>
          <w:sz w:val="21"/>
        </w:rPr>
        <w:t> </w:t>
      </w:r>
      <w:r>
        <w:rPr>
          <w:sz w:val="21"/>
        </w:rPr>
        <w:t>criminal</w:t>
      </w:r>
      <w:r>
        <w:rPr>
          <w:spacing w:val="-8"/>
          <w:sz w:val="21"/>
        </w:rPr>
        <w:t> </w:t>
      </w:r>
      <w:r>
        <w:rPr>
          <w:sz w:val="21"/>
        </w:rPr>
        <w:t>legal</w:t>
      </w:r>
      <w:r>
        <w:rPr>
          <w:spacing w:val="-8"/>
          <w:sz w:val="21"/>
        </w:rPr>
        <w:t> </w:t>
      </w:r>
      <w:r>
        <w:rPr>
          <w:sz w:val="21"/>
        </w:rPr>
        <w:t>system</w:t>
      </w:r>
      <w:r>
        <w:rPr>
          <w:spacing w:val="-8"/>
          <w:sz w:val="21"/>
        </w:rPr>
        <w:t> </w:t>
      </w:r>
      <w:r>
        <w:rPr>
          <w:sz w:val="21"/>
        </w:rPr>
        <w:t>since</w:t>
      </w:r>
      <w:r>
        <w:rPr>
          <w:spacing w:val="-8"/>
          <w:sz w:val="21"/>
        </w:rPr>
        <w:t> </w:t>
      </w:r>
      <w:r>
        <w:rPr>
          <w:sz w:val="21"/>
        </w:rPr>
        <w:t>its</w:t>
      </w:r>
      <w:r>
        <w:rPr>
          <w:spacing w:val="-8"/>
          <w:sz w:val="21"/>
        </w:rPr>
        <w:t> </w:t>
      </w:r>
      <w:r>
        <w:rPr>
          <w:sz w:val="21"/>
        </w:rPr>
        <w:t>inception has been and continues to be deeply intertwined with racism and perpetuates inequality and injustice, evident</w:t>
      </w:r>
      <w:r>
        <w:rPr>
          <w:spacing w:val="-1"/>
          <w:sz w:val="21"/>
        </w:rPr>
        <w:t> </w:t>
      </w:r>
      <w:r>
        <w:rPr>
          <w:sz w:val="21"/>
        </w:rPr>
        <w:t>in</w:t>
      </w:r>
      <w:r>
        <w:rPr>
          <w:spacing w:val="-3"/>
          <w:sz w:val="21"/>
        </w:rPr>
        <w:t> </w:t>
      </w:r>
      <w:r>
        <w:rPr>
          <w:sz w:val="21"/>
        </w:rPr>
        <w:t>practices</w:t>
      </w:r>
      <w:r>
        <w:rPr>
          <w:spacing w:val="-2"/>
          <w:sz w:val="21"/>
        </w:rPr>
        <w:t> </w:t>
      </w:r>
      <w:r>
        <w:rPr>
          <w:sz w:val="21"/>
        </w:rPr>
        <w:t>like</w:t>
      </w:r>
      <w:r>
        <w:rPr>
          <w:spacing w:val="-2"/>
          <w:sz w:val="21"/>
        </w:rPr>
        <w:t> </w:t>
      </w:r>
      <w:r>
        <w:rPr>
          <w:sz w:val="21"/>
        </w:rPr>
        <w:t>racial</w:t>
      </w:r>
      <w:r>
        <w:rPr>
          <w:spacing w:val="-2"/>
          <w:sz w:val="21"/>
        </w:rPr>
        <w:t> </w:t>
      </w:r>
      <w:r>
        <w:rPr>
          <w:sz w:val="21"/>
        </w:rPr>
        <w:t>profiling,</w:t>
      </w:r>
      <w:r>
        <w:rPr>
          <w:spacing w:val="-1"/>
          <w:sz w:val="21"/>
        </w:rPr>
        <w:t> </w:t>
      </w:r>
      <w:r>
        <w:rPr>
          <w:sz w:val="21"/>
        </w:rPr>
        <w:t>disparities</w:t>
      </w:r>
      <w:r>
        <w:rPr>
          <w:spacing w:val="-2"/>
          <w:sz w:val="21"/>
        </w:rPr>
        <w:t> </w:t>
      </w:r>
      <w:r>
        <w:rPr>
          <w:sz w:val="21"/>
        </w:rPr>
        <w:t>in</w:t>
      </w:r>
      <w:r>
        <w:rPr>
          <w:spacing w:val="-2"/>
          <w:sz w:val="21"/>
        </w:rPr>
        <w:t> </w:t>
      </w:r>
      <w:r>
        <w:rPr>
          <w:sz w:val="21"/>
        </w:rPr>
        <w:t>bail</w:t>
      </w:r>
      <w:r>
        <w:rPr>
          <w:spacing w:val="-2"/>
          <w:sz w:val="21"/>
        </w:rPr>
        <w:t> </w:t>
      </w:r>
      <w:r>
        <w:rPr>
          <w:sz w:val="21"/>
        </w:rPr>
        <w:t>accessibility,</w:t>
      </w:r>
      <w:r>
        <w:rPr>
          <w:spacing w:val="-1"/>
          <w:sz w:val="21"/>
        </w:rPr>
        <w:t> </w:t>
      </w:r>
      <w:r>
        <w:rPr>
          <w:sz w:val="21"/>
        </w:rPr>
        <w:t>and</w:t>
      </w:r>
      <w:r>
        <w:rPr>
          <w:spacing w:val="-3"/>
          <w:sz w:val="21"/>
        </w:rPr>
        <w:t> </w:t>
      </w:r>
      <w:r>
        <w:rPr>
          <w:sz w:val="21"/>
        </w:rPr>
        <w:t>harsher</w:t>
      </w:r>
      <w:r>
        <w:rPr>
          <w:spacing w:val="-2"/>
          <w:sz w:val="21"/>
        </w:rPr>
        <w:t> </w:t>
      </w:r>
      <w:r>
        <w:rPr>
          <w:sz w:val="21"/>
        </w:rPr>
        <w:t>sentencing</w:t>
      </w:r>
      <w:r>
        <w:rPr>
          <w:spacing w:val="-2"/>
          <w:sz w:val="21"/>
        </w:rPr>
        <w:t> </w:t>
      </w:r>
      <w:r>
        <w:rPr>
          <w:sz w:val="21"/>
        </w:rPr>
        <w:t>of</w:t>
      </w:r>
      <w:r>
        <w:rPr>
          <w:spacing w:val="-3"/>
          <w:sz w:val="21"/>
        </w:rPr>
        <w:t> </w:t>
      </w:r>
      <w:r>
        <w:rPr>
          <w:sz w:val="21"/>
        </w:rPr>
        <w:t>Black</w:t>
      </w:r>
      <w:r>
        <w:rPr>
          <w:spacing w:val="-1"/>
          <w:sz w:val="21"/>
        </w:rPr>
        <w:t> </w:t>
      </w:r>
      <w:r>
        <w:rPr>
          <w:sz w:val="21"/>
        </w:rPr>
        <w:t>and Latinx</w:t>
      </w:r>
      <w:r>
        <w:rPr>
          <w:spacing w:val="-5"/>
          <w:sz w:val="21"/>
        </w:rPr>
        <w:t> </w:t>
      </w:r>
      <w:r>
        <w:rPr>
          <w:sz w:val="21"/>
        </w:rPr>
        <w:t>individuals</w:t>
      </w:r>
      <w:r>
        <w:rPr>
          <w:spacing w:val="-6"/>
          <w:sz w:val="21"/>
        </w:rPr>
        <w:t> </w:t>
      </w:r>
      <w:r>
        <w:rPr>
          <w:sz w:val="21"/>
        </w:rPr>
        <w:t>compared</w:t>
      </w:r>
      <w:r>
        <w:rPr>
          <w:spacing w:val="-6"/>
          <w:sz w:val="21"/>
        </w:rPr>
        <w:t> </w:t>
      </w:r>
      <w:r>
        <w:rPr>
          <w:sz w:val="21"/>
        </w:rPr>
        <w:t>to</w:t>
      </w:r>
      <w:r>
        <w:rPr>
          <w:spacing w:val="-6"/>
          <w:sz w:val="21"/>
        </w:rPr>
        <w:t> </w:t>
      </w:r>
      <w:r>
        <w:rPr>
          <w:sz w:val="21"/>
        </w:rPr>
        <w:t>their</w:t>
      </w:r>
      <w:r>
        <w:rPr>
          <w:spacing w:val="-6"/>
          <w:sz w:val="21"/>
        </w:rPr>
        <w:t> </w:t>
      </w:r>
      <w:r>
        <w:rPr>
          <w:sz w:val="21"/>
        </w:rPr>
        <w:t>white</w:t>
      </w:r>
      <w:r>
        <w:rPr>
          <w:spacing w:val="-6"/>
          <w:sz w:val="21"/>
        </w:rPr>
        <w:t> </w:t>
      </w:r>
      <w:r>
        <w:rPr>
          <w:sz w:val="21"/>
        </w:rPr>
        <w:t>counterparts.</w:t>
      </w:r>
      <w:r>
        <w:rPr>
          <w:spacing w:val="-6"/>
          <w:sz w:val="21"/>
        </w:rPr>
        <w:t> </w:t>
      </w:r>
      <w:r>
        <w:rPr>
          <w:sz w:val="21"/>
        </w:rPr>
        <w:t>Furthermore,</w:t>
      </w:r>
      <w:r>
        <w:rPr>
          <w:spacing w:val="-5"/>
          <w:sz w:val="21"/>
        </w:rPr>
        <w:t> </w:t>
      </w:r>
      <w:r>
        <w:rPr>
          <w:sz w:val="21"/>
        </w:rPr>
        <w:t>the</w:t>
      </w:r>
      <w:r>
        <w:rPr>
          <w:spacing w:val="-6"/>
          <w:sz w:val="21"/>
        </w:rPr>
        <w:t> </w:t>
      </w:r>
      <w:r>
        <w:rPr>
          <w:sz w:val="21"/>
        </w:rPr>
        <w:t>criminal</w:t>
      </w:r>
      <w:r>
        <w:rPr>
          <w:spacing w:val="-6"/>
          <w:sz w:val="21"/>
        </w:rPr>
        <w:t> </w:t>
      </w:r>
      <w:r>
        <w:rPr>
          <w:sz w:val="21"/>
        </w:rPr>
        <w:t>legal</w:t>
      </w:r>
      <w:r>
        <w:rPr>
          <w:spacing w:val="-6"/>
          <w:sz w:val="21"/>
        </w:rPr>
        <w:t> </w:t>
      </w:r>
      <w:r>
        <w:rPr>
          <w:sz w:val="21"/>
        </w:rPr>
        <w:t>system's</w:t>
      </w:r>
      <w:r>
        <w:rPr>
          <w:spacing w:val="-6"/>
          <w:sz w:val="21"/>
        </w:rPr>
        <w:t> </w:t>
      </w:r>
      <w:r>
        <w:rPr>
          <w:sz w:val="21"/>
        </w:rPr>
        <w:t>failure</w:t>
      </w:r>
      <w:r>
        <w:rPr>
          <w:spacing w:val="-6"/>
          <w:sz w:val="21"/>
        </w:rPr>
        <w:t> </w:t>
      </w:r>
      <w:r>
        <w:rPr>
          <w:sz w:val="21"/>
        </w:rPr>
        <w:t>to address or mitigate crimes of poverty, alongside the imposition of fines and long-lasting financial consequences post-incarceration, highlights its inefficacy in promoting fairness. By referring to it as the "criminal</w:t>
      </w:r>
      <w:r>
        <w:rPr>
          <w:spacing w:val="-1"/>
          <w:sz w:val="21"/>
        </w:rPr>
        <w:t> </w:t>
      </w:r>
      <w:r>
        <w:rPr>
          <w:sz w:val="21"/>
        </w:rPr>
        <w:t>legal</w:t>
      </w:r>
      <w:r>
        <w:rPr>
          <w:spacing w:val="-1"/>
          <w:sz w:val="21"/>
        </w:rPr>
        <w:t> </w:t>
      </w:r>
      <w:r>
        <w:rPr>
          <w:sz w:val="21"/>
        </w:rPr>
        <w:t>system,"</w:t>
      </w:r>
      <w:r>
        <w:rPr>
          <w:spacing w:val="-1"/>
          <w:sz w:val="21"/>
        </w:rPr>
        <w:t> </w:t>
      </w:r>
      <w:r>
        <w:rPr>
          <w:sz w:val="21"/>
        </w:rPr>
        <w:t>we</w:t>
      </w:r>
      <w:r>
        <w:rPr>
          <w:spacing w:val="-2"/>
          <w:sz w:val="21"/>
        </w:rPr>
        <w:t> </w:t>
      </w:r>
      <w:r>
        <w:rPr>
          <w:sz w:val="21"/>
        </w:rPr>
        <w:t>acknowledge</w:t>
      </w:r>
      <w:r>
        <w:rPr>
          <w:spacing w:val="-1"/>
          <w:sz w:val="21"/>
        </w:rPr>
        <w:t> </w:t>
      </w:r>
      <w:r>
        <w:rPr>
          <w:sz w:val="21"/>
        </w:rPr>
        <w:t>its</w:t>
      </w:r>
      <w:r>
        <w:rPr>
          <w:spacing w:val="-1"/>
          <w:sz w:val="21"/>
        </w:rPr>
        <w:t> </w:t>
      </w:r>
      <w:r>
        <w:rPr>
          <w:sz w:val="21"/>
        </w:rPr>
        <w:t>fundamental</w:t>
      </w:r>
      <w:r>
        <w:rPr>
          <w:spacing w:val="-1"/>
          <w:sz w:val="21"/>
        </w:rPr>
        <w:t> </w:t>
      </w:r>
      <w:r>
        <w:rPr>
          <w:sz w:val="21"/>
        </w:rPr>
        <w:t>flaws</w:t>
      </w:r>
      <w:r>
        <w:rPr>
          <w:spacing w:val="-1"/>
          <w:sz w:val="21"/>
        </w:rPr>
        <w:t> </w:t>
      </w:r>
      <w:r>
        <w:rPr>
          <w:sz w:val="21"/>
        </w:rPr>
        <w:t>and</w:t>
      </w:r>
      <w:r>
        <w:rPr>
          <w:spacing w:val="-1"/>
          <w:sz w:val="21"/>
        </w:rPr>
        <w:t> </w:t>
      </w:r>
      <w:r>
        <w:rPr>
          <w:sz w:val="21"/>
        </w:rPr>
        <w:t>the</w:t>
      </w:r>
      <w:r>
        <w:rPr>
          <w:spacing w:val="-1"/>
          <w:sz w:val="21"/>
        </w:rPr>
        <w:t> </w:t>
      </w:r>
      <w:r>
        <w:rPr>
          <w:sz w:val="21"/>
        </w:rPr>
        <w:t>need for reform, emphasizing</w:t>
      </w:r>
      <w:r>
        <w:rPr>
          <w:spacing w:val="-1"/>
          <w:sz w:val="21"/>
        </w:rPr>
        <w:t> </w:t>
      </w:r>
      <w:r>
        <w:rPr>
          <w:sz w:val="21"/>
        </w:rPr>
        <w:t>that justice, in its truest sense, remains elusive for many </w:t>
      </w:r>
      <w:r>
        <w:rPr>
          <w:i/>
          <w:sz w:val="21"/>
        </w:rPr>
        <w:t>caught up </w:t>
      </w:r>
      <w:r>
        <w:rPr>
          <w:sz w:val="21"/>
        </w:rPr>
        <w:t>within this system.</w:t>
      </w:r>
    </w:p>
    <w:p>
      <w:pPr>
        <w:spacing w:before="239"/>
        <w:ind w:left="604" w:right="0" w:firstLine="0"/>
        <w:jc w:val="both"/>
        <w:rPr>
          <w:sz w:val="26"/>
        </w:rPr>
      </w:pPr>
      <w:bookmarkStart w:name="FY 2025 Recommendations to the Governor " w:id="58"/>
      <w:bookmarkEnd w:id="58"/>
      <w:r>
        <w:rPr/>
      </w:r>
      <w:r>
        <w:rPr>
          <w:color w:val="404040"/>
          <w:sz w:val="26"/>
        </w:rPr>
        <w:t>FY</w:t>
      </w:r>
      <w:r>
        <w:rPr>
          <w:color w:val="404040"/>
          <w:spacing w:val="-5"/>
          <w:sz w:val="26"/>
        </w:rPr>
        <w:t> </w:t>
      </w:r>
      <w:r>
        <w:rPr>
          <w:color w:val="404040"/>
          <w:sz w:val="26"/>
        </w:rPr>
        <w:t>2025</w:t>
      </w:r>
      <w:r>
        <w:rPr>
          <w:color w:val="404040"/>
          <w:spacing w:val="-3"/>
          <w:sz w:val="26"/>
        </w:rPr>
        <w:t> </w:t>
      </w:r>
      <w:r>
        <w:rPr>
          <w:color w:val="404040"/>
          <w:sz w:val="26"/>
        </w:rPr>
        <w:t>Recommendations</w:t>
      </w:r>
      <w:r>
        <w:rPr>
          <w:color w:val="404040"/>
          <w:spacing w:val="-2"/>
          <w:sz w:val="26"/>
        </w:rPr>
        <w:t> </w:t>
      </w:r>
      <w:r>
        <w:rPr>
          <w:color w:val="404040"/>
          <w:sz w:val="26"/>
        </w:rPr>
        <w:t>to</w:t>
      </w:r>
      <w:r>
        <w:rPr>
          <w:color w:val="404040"/>
          <w:spacing w:val="-5"/>
          <w:sz w:val="26"/>
        </w:rPr>
        <w:t> </w:t>
      </w:r>
      <w:r>
        <w:rPr>
          <w:color w:val="404040"/>
          <w:sz w:val="26"/>
        </w:rPr>
        <w:t>the</w:t>
      </w:r>
      <w:r>
        <w:rPr>
          <w:color w:val="404040"/>
          <w:spacing w:val="-4"/>
          <w:sz w:val="26"/>
        </w:rPr>
        <w:t> </w:t>
      </w:r>
      <w:r>
        <w:rPr>
          <w:color w:val="404040"/>
          <w:sz w:val="26"/>
        </w:rPr>
        <w:t>Governor</w:t>
      </w:r>
      <w:r>
        <w:rPr>
          <w:color w:val="404040"/>
          <w:spacing w:val="-4"/>
          <w:sz w:val="26"/>
        </w:rPr>
        <w:t> </w:t>
      </w:r>
      <w:r>
        <w:rPr>
          <w:color w:val="404040"/>
          <w:sz w:val="26"/>
        </w:rPr>
        <w:t>&amp;</w:t>
      </w:r>
      <w:r>
        <w:rPr>
          <w:color w:val="404040"/>
          <w:spacing w:val="-3"/>
          <w:sz w:val="26"/>
        </w:rPr>
        <w:t> </w:t>
      </w:r>
      <w:r>
        <w:rPr>
          <w:color w:val="404040"/>
          <w:sz w:val="26"/>
        </w:rPr>
        <w:t>Legislature</w:t>
      </w:r>
      <w:r>
        <w:rPr>
          <w:color w:val="404040"/>
          <w:spacing w:val="-2"/>
          <w:sz w:val="26"/>
        </w:rPr>
        <w:t> </w:t>
      </w:r>
      <w:r>
        <w:rPr>
          <w:color w:val="404040"/>
          <w:sz w:val="26"/>
        </w:rPr>
        <w:t>on</w:t>
      </w:r>
      <w:r>
        <w:rPr>
          <w:color w:val="404040"/>
          <w:spacing w:val="-4"/>
          <w:sz w:val="26"/>
        </w:rPr>
        <w:t> </w:t>
      </w:r>
      <w:r>
        <w:rPr>
          <w:color w:val="404040"/>
          <w:sz w:val="26"/>
        </w:rPr>
        <w:t>Advancing</w:t>
      </w:r>
      <w:r>
        <w:rPr>
          <w:color w:val="404040"/>
          <w:spacing w:val="-3"/>
          <w:sz w:val="26"/>
        </w:rPr>
        <w:t> </w:t>
      </w:r>
      <w:r>
        <w:rPr>
          <w:color w:val="404040"/>
          <w:spacing w:val="-2"/>
          <w:sz w:val="26"/>
        </w:rPr>
        <w:t>Justice</w:t>
      </w:r>
    </w:p>
    <w:p>
      <w:pPr>
        <w:pStyle w:val="ListParagraph"/>
        <w:numPr>
          <w:ilvl w:val="0"/>
          <w:numId w:val="10"/>
        </w:numPr>
        <w:tabs>
          <w:tab w:pos="1178" w:val="left" w:leader="none"/>
        </w:tabs>
        <w:spacing w:line="276" w:lineRule="auto" w:before="288" w:after="0"/>
        <w:ind w:left="1178" w:right="421" w:hanging="360"/>
        <w:jc w:val="left"/>
        <w:rPr>
          <w:sz w:val="21"/>
        </w:rPr>
      </w:pPr>
      <w:r>
        <w:rPr>
          <w:sz w:val="21"/>
        </w:rPr>
        <w:t>Increase</w:t>
      </w:r>
      <w:r>
        <w:rPr>
          <w:spacing w:val="40"/>
          <w:sz w:val="21"/>
        </w:rPr>
        <w:t> </w:t>
      </w:r>
      <w:r>
        <w:rPr>
          <w:sz w:val="21"/>
        </w:rPr>
        <w:t>collection</w:t>
      </w:r>
      <w:r>
        <w:rPr>
          <w:spacing w:val="40"/>
          <w:sz w:val="21"/>
        </w:rPr>
        <w:t> </w:t>
      </w:r>
      <w:r>
        <w:rPr>
          <w:sz w:val="21"/>
        </w:rPr>
        <w:t>of</w:t>
      </w:r>
      <w:r>
        <w:rPr>
          <w:spacing w:val="40"/>
          <w:sz w:val="21"/>
        </w:rPr>
        <w:t> </w:t>
      </w:r>
      <w:r>
        <w:rPr>
          <w:sz w:val="21"/>
        </w:rPr>
        <w:t>data</w:t>
      </w:r>
      <w:r>
        <w:rPr>
          <w:spacing w:val="40"/>
          <w:sz w:val="21"/>
        </w:rPr>
        <w:t> </w:t>
      </w:r>
      <w:r>
        <w:rPr>
          <w:sz w:val="21"/>
        </w:rPr>
        <w:t>on</w:t>
      </w:r>
      <w:r>
        <w:rPr>
          <w:spacing w:val="40"/>
          <w:sz w:val="21"/>
        </w:rPr>
        <w:t> </w:t>
      </w:r>
      <w:r>
        <w:rPr>
          <w:sz w:val="21"/>
        </w:rPr>
        <w:t>sexual</w:t>
      </w:r>
      <w:r>
        <w:rPr>
          <w:spacing w:val="40"/>
          <w:sz w:val="21"/>
        </w:rPr>
        <w:t> </w:t>
      </w:r>
      <w:r>
        <w:rPr>
          <w:sz w:val="21"/>
        </w:rPr>
        <w:t>orientation</w:t>
      </w:r>
      <w:r>
        <w:rPr>
          <w:spacing w:val="40"/>
          <w:sz w:val="21"/>
        </w:rPr>
        <w:t> </w:t>
      </w:r>
      <w:r>
        <w:rPr>
          <w:sz w:val="21"/>
        </w:rPr>
        <w:t>and</w:t>
      </w:r>
      <w:r>
        <w:rPr>
          <w:spacing w:val="40"/>
          <w:sz w:val="21"/>
        </w:rPr>
        <w:t> </w:t>
      </w:r>
      <w:r>
        <w:rPr>
          <w:sz w:val="21"/>
        </w:rPr>
        <w:t>gender</w:t>
      </w:r>
      <w:r>
        <w:rPr>
          <w:spacing w:val="40"/>
          <w:sz w:val="21"/>
        </w:rPr>
        <w:t> </w:t>
      </w:r>
      <w:r>
        <w:rPr>
          <w:sz w:val="21"/>
        </w:rPr>
        <w:t>identity</w:t>
      </w:r>
      <w:r>
        <w:rPr>
          <w:spacing w:val="40"/>
          <w:sz w:val="21"/>
        </w:rPr>
        <w:t> </w:t>
      </w:r>
      <w:r>
        <w:rPr>
          <w:sz w:val="21"/>
        </w:rPr>
        <w:t>to</w:t>
      </w:r>
      <w:r>
        <w:rPr>
          <w:spacing w:val="40"/>
          <w:sz w:val="21"/>
        </w:rPr>
        <w:t> </w:t>
      </w:r>
      <w:r>
        <w:rPr>
          <w:sz w:val="21"/>
        </w:rPr>
        <w:t>identify</w:t>
      </w:r>
      <w:r>
        <w:rPr>
          <w:spacing w:val="40"/>
          <w:sz w:val="21"/>
        </w:rPr>
        <w:t> </w:t>
      </w:r>
      <w:r>
        <w:rPr>
          <w:sz w:val="21"/>
        </w:rPr>
        <w:t>and</w:t>
      </w:r>
      <w:r>
        <w:rPr>
          <w:spacing w:val="40"/>
          <w:sz w:val="21"/>
        </w:rPr>
        <w:t> </w:t>
      </w:r>
      <w:r>
        <w:rPr>
          <w:sz w:val="21"/>
        </w:rPr>
        <w:t>reduce disparities throughout the juvenile and criminal legal systems.</w:t>
      </w:r>
    </w:p>
    <w:p>
      <w:pPr>
        <w:pStyle w:val="ListParagraph"/>
        <w:numPr>
          <w:ilvl w:val="0"/>
          <w:numId w:val="10"/>
        </w:numPr>
        <w:tabs>
          <w:tab w:pos="1178" w:val="left" w:leader="none"/>
        </w:tabs>
        <w:spacing w:line="240" w:lineRule="auto" w:before="120" w:after="0"/>
        <w:ind w:left="1178" w:right="0" w:hanging="360"/>
        <w:jc w:val="left"/>
        <w:rPr>
          <w:sz w:val="21"/>
        </w:rPr>
      </w:pPr>
      <w:r>
        <w:rPr>
          <w:sz w:val="21"/>
        </w:rPr>
        <w:t>Disrupt</w:t>
      </w:r>
      <w:r>
        <w:rPr>
          <w:spacing w:val="-3"/>
          <w:sz w:val="21"/>
        </w:rPr>
        <w:t> </w:t>
      </w:r>
      <w:r>
        <w:rPr>
          <w:sz w:val="21"/>
        </w:rPr>
        <w:t>the</w:t>
      </w:r>
      <w:r>
        <w:rPr>
          <w:spacing w:val="-3"/>
          <w:sz w:val="21"/>
        </w:rPr>
        <w:t> </w:t>
      </w:r>
      <w:r>
        <w:rPr>
          <w:sz w:val="21"/>
        </w:rPr>
        <w:t>school-to-prison</w:t>
      </w:r>
      <w:r>
        <w:rPr>
          <w:spacing w:val="-4"/>
          <w:sz w:val="21"/>
        </w:rPr>
        <w:t> </w:t>
      </w:r>
      <w:r>
        <w:rPr>
          <w:sz w:val="21"/>
        </w:rPr>
        <w:t>pipeline</w:t>
      </w:r>
      <w:r>
        <w:rPr>
          <w:spacing w:val="-3"/>
          <w:sz w:val="21"/>
        </w:rPr>
        <w:t> </w:t>
      </w:r>
      <w:r>
        <w:rPr>
          <w:sz w:val="21"/>
        </w:rPr>
        <w:t>by</w:t>
      </w:r>
      <w:r>
        <w:rPr>
          <w:spacing w:val="-3"/>
          <w:sz w:val="21"/>
        </w:rPr>
        <w:t> </w:t>
      </w:r>
      <w:r>
        <w:rPr>
          <w:sz w:val="21"/>
        </w:rPr>
        <w:t>removing</w:t>
      </w:r>
      <w:r>
        <w:rPr>
          <w:spacing w:val="-4"/>
          <w:sz w:val="21"/>
        </w:rPr>
        <w:t> </w:t>
      </w:r>
      <w:r>
        <w:rPr>
          <w:sz w:val="21"/>
        </w:rPr>
        <w:t>police</w:t>
      </w:r>
      <w:r>
        <w:rPr>
          <w:spacing w:val="-2"/>
          <w:sz w:val="21"/>
        </w:rPr>
        <w:t> </w:t>
      </w:r>
      <w:r>
        <w:rPr>
          <w:sz w:val="21"/>
        </w:rPr>
        <w:t>from</w:t>
      </w:r>
      <w:r>
        <w:rPr>
          <w:spacing w:val="-3"/>
          <w:sz w:val="21"/>
        </w:rPr>
        <w:t> </w:t>
      </w:r>
      <w:r>
        <w:rPr>
          <w:spacing w:val="-2"/>
          <w:sz w:val="21"/>
        </w:rPr>
        <w:t>schools.</w:t>
      </w:r>
    </w:p>
    <w:p>
      <w:pPr>
        <w:pStyle w:val="ListParagraph"/>
        <w:numPr>
          <w:ilvl w:val="0"/>
          <w:numId w:val="10"/>
        </w:numPr>
        <w:tabs>
          <w:tab w:pos="1178" w:val="left" w:leader="none"/>
        </w:tabs>
        <w:spacing w:line="276" w:lineRule="auto" w:before="159" w:after="0"/>
        <w:ind w:left="1178" w:right="422" w:hanging="361"/>
        <w:jc w:val="left"/>
        <w:rPr>
          <w:sz w:val="21"/>
        </w:rPr>
      </w:pPr>
      <w:r>
        <w:rPr>
          <w:sz w:val="21"/>
        </w:rPr>
        <w:t>Limit the</w:t>
      </w:r>
      <w:r>
        <w:rPr>
          <w:spacing w:val="-1"/>
          <w:sz w:val="21"/>
        </w:rPr>
        <w:t> </w:t>
      </w:r>
      <w:r>
        <w:rPr>
          <w:sz w:val="21"/>
        </w:rPr>
        <w:t>use</w:t>
      </w:r>
      <w:r>
        <w:rPr>
          <w:spacing w:val="-1"/>
          <w:sz w:val="21"/>
        </w:rPr>
        <w:t> </w:t>
      </w:r>
      <w:r>
        <w:rPr>
          <w:sz w:val="21"/>
        </w:rPr>
        <w:t>of force by law enforcement and correctional officers and establish</w:t>
      </w:r>
      <w:r>
        <w:rPr>
          <w:spacing w:val="-1"/>
          <w:sz w:val="21"/>
        </w:rPr>
        <w:t> </w:t>
      </w:r>
      <w:r>
        <w:rPr>
          <w:sz w:val="21"/>
        </w:rPr>
        <w:t>community-based response systems to reduce police intervention.</w:t>
      </w:r>
    </w:p>
    <w:p>
      <w:pPr>
        <w:pStyle w:val="ListParagraph"/>
        <w:numPr>
          <w:ilvl w:val="0"/>
          <w:numId w:val="10"/>
        </w:numPr>
        <w:tabs>
          <w:tab w:pos="1178" w:val="left" w:leader="none"/>
        </w:tabs>
        <w:spacing w:line="276" w:lineRule="auto" w:before="119" w:after="0"/>
        <w:ind w:left="1178" w:right="420" w:hanging="360"/>
        <w:jc w:val="left"/>
        <w:rPr>
          <w:sz w:val="21"/>
        </w:rPr>
      </w:pPr>
      <w:r>
        <w:rPr>
          <w:sz w:val="21"/>
        </w:rPr>
        <w:t>Decriminalize consensual sexual relations among parties close in age and support education rather than criminal discipline.</w:t>
      </w:r>
    </w:p>
    <w:p>
      <w:pPr>
        <w:pStyle w:val="ListParagraph"/>
        <w:numPr>
          <w:ilvl w:val="0"/>
          <w:numId w:val="10"/>
        </w:numPr>
        <w:tabs>
          <w:tab w:pos="1178" w:val="left" w:leader="none"/>
        </w:tabs>
        <w:spacing w:line="276" w:lineRule="auto" w:before="120" w:after="0"/>
        <w:ind w:left="1178" w:right="422" w:hanging="360"/>
        <w:jc w:val="left"/>
        <w:rPr>
          <w:sz w:val="21"/>
        </w:rPr>
      </w:pPr>
      <w:r>
        <w:rPr>
          <w:sz w:val="21"/>
        </w:rPr>
        <w:t>Eliminate common night-walking laws and increase funding for programs serving LGBTQ youth at- risk of sexual exploitation.</w:t>
      </w:r>
    </w:p>
    <w:p>
      <w:pPr>
        <w:pStyle w:val="ListParagraph"/>
        <w:numPr>
          <w:ilvl w:val="0"/>
          <w:numId w:val="10"/>
        </w:numPr>
        <w:tabs>
          <w:tab w:pos="1178" w:val="left" w:leader="none"/>
        </w:tabs>
        <w:spacing w:line="240" w:lineRule="auto" w:before="121" w:after="0"/>
        <w:ind w:left="1178" w:right="0" w:hanging="360"/>
        <w:jc w:val="left"/>
        <w:rPr>
          <w:sz w:val="21"/>
        </w:rPr>
      </w:pPr>
      <w:r>
        <w:rPr>
          <w:sz w:val="21"/>
        </w:rPr>
        <w:t>Improve</w:t>
      </w:r>
      <w:r>
        <w:rPr>
          <w:spacing w:val="-6"/>
          <w:sz w:val="21"/>
        </w:rPr>
        <w:t> </w:t>
      </w:r>
      <w:r>
        <w:rPr>
          <w:sz w:val="21"/>
        </w:rPr>
        <w:t>conditions</w:t>
      </w:r>
      <w:r>
        <w:rPr>
          <w:spacing w:val="-4"/>
          <w:sz w:val="21"/>
        </w:rPr>
        <w:t> </w:t>
      </w:r>
      <w:r>
        <w:rPr>
          <w:sz w:val="21"/>
        </w:rPr>
        <w:t>of</w:t>
      </w:r>
      <w:r>
        <w:rPr>
          <w:spacing w:val="-3"/>
          <w:sz w:val="21"/>
        </w:rPr>
        <w:t> </w:t>
      </w:r>
      <w:r>
        <w:rPr>
          <w:sz w:val="21"/>
        </w:rPr>
        <w:t>confinement</w:t>
      </w:r>
      <w:r>
        <w:rPr>
          <w:spacing w:val="-3"/>
          <w:sz w:val="21"/>
        </w:rPr>
        <w:t> </w:t>
      </w:r>
      <w:r>
        <w:rPr>
          <w:sz w:val="21"/>
        </w:rPr>
        <w:t>for</w:t>
      </w:r>
      <w:r>
        <w:rPr>
          <w:spacing w:val="-3"/>
          <w:sz w:val="21"/>
        </w:rPr>
        <w:t> </w:t>
      </w:r>
      <w:r>
        <w:rPr>
          <w:sz w:val="21"/>
        </w:rPr>
        <w:t>incarcerated</w:t>
      </w:r>
      <w:r>
        <w:rPr>
          <w:spacing w:val="-4"/>
          <w:sz w:val="21"/>
        </w:rPr>
        <w:t> </w:t>
      </w:r>
      <w:r>
        <w:rPr>
          <w:sz w:val="21"/>
        </w:rPr>
        <w:t>LGBTQ</w:t>
      </w:r>
      <w:r>
        <w:rPr>
          <w:spacing w:val="-4"/>
          <w:sz w:val="21"/>
        </w:rPr>
        <w:t> </w:t>
      </w:r>
      <w:r>
        <w:rPr>
          <w:sz w:val="21"/>
        </w:rPr>
        <w:t>and</w:t>
      </w:r>
      <w:r>
        <w:rPr>
          <w:spacing w:val="-3"/>
          <w:sz w:val="21"/>
        </w:rPr>
        <w:t> </w:t>
      </w:r>
      <w:r>
        <w:rPr>
          <w:sz w:val="21"/>
        </w:rPr>
        <w:t>intersex</w:t>
      </w:r>
      <w:r>
        <w:rPr>
          <w:spacing w:val="-3"/>
          <w:sz w:val="21"/>
        </w:rPr>
        <w:t> </w:t>
      </w:r>
      <w:r>
        <w:rPr>
          <w:spacing w:val="-2"/>
          <w:sz w:val="21"/>
        </w:rPr>
        <w:t>individuals.</w:t>
      </w:r>
    </w:p>
    <w:p>
      <w:pPr>
        <w:pStyle w:val="ListParagraph"/>
        <w:numPr>
          <w:ilvl w:val="0"/>
          <w:numId w:val="10"/>
        </w:numPr>
        <w:tabs>
          <w:tab w:pos="1178" w:val="left" w:leader="none"/>
        </w:tabs>
        <w:spacing w:line="240" w:lineRule="auto" w:before="157" w:after="0"/>
        <w:ind w:left="1178" w:right="0" w:hanging="360"/>
        <w:jc w:val="left"/>
        <w:rPr>
          <w:sz w:val="21"/>
        </w:rPr>
      </w:pPr>
      <w:r>
        <w:rPr>
          <w:sz w:val="21"/>
        </w:rPr>
        <w:t>Provide</w:t>
      </w:r>
      <w:r>
        <w:rPr>
          <w:spacing w:val="-4"/>
          <w:sz w:val="21"/>
        </w:rPr>
        <w:t> </w:t>
      </w:r>
      <w:r>
        <w:rPr>
          <w:sz w:val="21"/>
        </w:rPr>
        <w:t>increased</w:t>
      </w:r>
      <w:r>
        <w:rPr>
          <w:spacing w:val="-3"/>
          <w:sz w:val="21"/>
        </w:rPr>
        <w:t> </w:t>
      </w:r>
      <w:r>
        <w:rPr>
          <w:sz w:val="21"/>
        </w:rPr>
        <w:t>legal</w:t>
      </w:r>
      <w:r>
        <w:rPr>
          <w:spacing w:val="-3"/>
          <w:sz w:val="21"/>
        </w:rPr>
        <w:t> </w:t>
      </w:r>
      <w:r>
        <w:rPr>
          <w:sz w:val="21"/>
        </w:rPr>
        <w:t>support</w:t>
      </w:r>
      <w:r>
        <w:rPr>
          <w:spacing w:val="-3"/>
          <w:sz w:val="21"/>
        </w:rPr>
        <w:t> </w:t>
      </w:r>
      <w:r>
        <w:rPr>
          <w:sz w:val="21"/>
        </w:rPr>
        <w:t>for</w:t>
      </w:r>
      <w:r>
        <w:rPr>
          <w:spacing w:val="-3"/>
          <w:sz w:val="21"/>
        </w:rPr>
        <w:t> </w:t>
      </w:r>
      <w:r>
        <w:rPr>
          <w:sz w:val="21"/>
        </w:rPr>
        <w:t>undocumented</w:t>
      </w:r>
      <w:r>
        <w:rPr>
          <w:spacing w:val="-3"/>
          <w:sz w:val="21"/>
        </w:rPr>
        <w:t> </w:t>
      </w:r>
      <w:r>
        <w:rPr>
          <w:spacing w:val="-2"/>
          <w:sz w:val="21"/>
        </w:rPr>
        <w:t>youth.</w:t>
      </w:r>
    </w:p>
    <w:p>
      <w:pPr>
        <w:pStyle w:val="ListParagraph"/>
        <w:numPr>
          <w:ilvl w:val="0"/>
          <w:numId w:val="10"/>
        </w:numPr>
        <w:tabs>
          <w:tab w:pos="1179" w:val="left" w:leader="none"/>
        </w:tabs>
        <w:spacing w:line="240" w:lineRule="auto" w:before="159" w:after="0"/>
        <w:ind w:left="1179" w:right="0" w:hanging="359"/>
        <w:jc w:val="left"/>
        <w:rPr>
          <w:sz w:val="22"/>
        </w:rPr>
      </w:pPr>
      <w:r>
        <w:rPr>
          <w:sz w:val="21"/>
        </w:rPr>
        <w:t>Raise</w:t>
      </w:r>
      <w:r>
        <w:rPr>
          <w:spacing w:val="-5"/>
          <w:sz w:val="21"/>
        </w:rPr>
        <w:t> </w:t>
      </w:r>
      <w:r>
        <w:rPr>
          <w:sz w:val="21"/>
        </w:rPr>
        <w:t>the</w:t>
      </w:r>
      <w:r>
        <w:rPr>
          <w:spacing w:val="-2"/>
          <w:sz w:val="21"/>
        </w:rPr>
        <w:t> </w:t>
      </w:r>
      <w:r>
        <w:rPr>
          <w:sz w:val="21"/>
        </w:rPr>
        <w:t>age</w:t>
      </w:r>
      <w:r>
        <w:rPr>
          <w:spacing w:val="-3"/>
          <w:sz w:val="21"/>
        </w:rPr>
        <w:t> </w:t>
      </w:r>
      <w:r>
        <w:rPr>
          <w:sz w:val="21"/>
        </w:rPr>
        <w:t>of</w:t>
      </w:r>
      <w:r>
        <w:rPr>
          <w:spacing w:val="-2"/>
          <w:sz w:val="21"/>
        </w:rPr>
        <w:t> </w:t>
      </w:r>
      <w:r>
        <w:rPr>
          <w:sz w:val="21"/>
        </w:rPr>
        <w:t>the</w:t>
      </w:r>
      <w:r>
        <w:rPr>
          <w:spacing w:val="-2"/>
          <w:sz w:val="21"/>
        </w:rPr>
        <w:t> </w:t>
      </w:r>
      <w:r>
        <w:rPr>
          <w:sz w:val="21"/>
        </w:rPr>
        <w:t>juvenile</w:t>
      </w:r>
      <w:r>
        <w:rPr>
          <w:spacing w:val="-3"/>
          <w:sz w:val="21"/>
        </w:rPr>
        <w:t> </w:t>
      </w:r>
      <w:r>
        <w:rPr>
          <w:sz w:val="21"/>
        </w:rPr>
        <w:t>legal</w:t>
      </w:r>
      <w:r>
        <w:rPr>
          <w:spacing w:val="-2"/>
          <w:sz w:val="21"/>
        </w:rPr>
        <w:t> </w:t>
      </w:r>
      <w:r>
        <w:rPr>
          <w:sz w:val="21"/>
        </w:rPr>
        <w:t>system</w:t>
      </w:r>
      <w:r>
        <w:rPr>
          <w:spacing w:val="-2"/>
          <w:sz w:val="21"/>
        </w:rPr>
        <w:t> </w:t>
      </w:r>
      <w:r>
        <w:rPr>
          <w:sz w:val="21"/>
        </w:rPr>
        <w:t>to</w:t>
      </w:r>
      <w:r>
        <w:rPr>
          <w:spacing w:val="-2"/>
          <w:sz w:val="21"/>
        </w:rPr>
        <w:t> </w:t>
      </w:r>
      <w:r>
        <w:rPr>
          <w:sz w:val="21"/>
        </w:rPr>
        <w:t>include</w:t>
      </w:r>
      <w:r>
        <w:rPr>
          <w:spacing w:val="-2"/>
          <w:sz w:val="21"/>
        </w:rPr>
        <w:t> </w:t>
      </w:r>
      <w:r>
        <w:rPr>
          <w:sz w:val="21"/>
        </w:rPr>
        <w:t>18-to</w:t>
      </w:r>
      <w:r>
        <w:rPr>
          <w:spacing w:val="-2"/>
          <w:sz w:val="21"/>
        </w:rPr>
        <w:t> </w:t>
      </w:r>
      <w:r>
        <w:rPr>
          <w:sz w:val="21"/>
        </w:rPr>
        <w:t>20-year-</w:t>
      </w:r>
      <w:r>
        <w:rPr>
          <w:spacing w:val="-2"/>
          <w:sz w:val="21"/>
        </w:rPr>
        <w:t>olds.</w:t>
      </w:r>
    </w:p>
    <w:p>
      <w:pPr>
        <w:pStyle w:val="ListParagraph"/>
        <w:numPr>
          <w:ilvl w:val="0"/>
          <w:numId w:val="10"/>
        </w:numPr>
        <w:tabs>
          <w:tab w:pos="1178" w:val="left" w:leader="none"/>
        </w:tabs>
        <w:spacing w:line="240" w:lineRule="auto" w:before="157" w:after="0"/>
        <w:ind w:left="1178" w:right="0" w:hanging="359"/>
        <w:jc w:val="left"/>
        <w:rPr>
          <w:sz w:val="22"/>
        </w:rPr>
      </w:pPr>
      <w:r>
        <w:rPr>
          <w:sz w:val="21"/>
        </w:rPr>
        <w:t>Increase</w:t>
      </w:r>
      <w:r>
        <w:rPr>
          <w:spacing w:val="-4"/>
          <w:sz w:val="21"/>
        </w:rPr>
        <w:t> </w:t>
      </w:r>
      <w:r>
        <w:rPr>
          <w:sz w:val="21"/>
        </w:rPr>
        <w:t>transitional</w:t>
      </w:r>
      <w:r>
        <w:rPr>
          <w:spacing w:val="-3"/>
          <w:sz w:val="21"/>
        </w:rPr>
        <w:t> </w:t>
      </w:r>
      <w:r>
        <w:rPr>
          <w:sz w:val="21"/>
        </w:rPr>
        <w:t>and</w:t>
      </w:r>
      <w:r>
        <w:rPr>
          <w:spacing w:val="-4"/>
          <w:sz w:val="21"/>
        </w:rPr>
        <w:t> </w:t>
      </w:r>
      <w:r>
        <w:rPr>
          <w:sz w:val="21"/>
        </w:rPr>
        <w:t>permanent</w:t>
      </w:r>
      <w:r>
        <w:rPr>
          <w:spacing w:val="-3"/>
          <w:sz w:val="21"/>
        </w:rPr>
        <w:t> </w:t>
      </w:r>
      <w:r>
        <w:rPr>
          <w:sz w:val="21"/>
        </w:rPr>
        <w:t>housing</w:t>
      </w:r>
      <w:r>
        <w:rPr>
          <w:spacing w:val="-3"/>
          <w:sz w:val="21"/>
        </w:rPr>
        <w:t> </w:t>
      </w:r>
      <w:r>
        <w:rPr>
          <w:sz w:val="21"/>
        </w:rPr>
        <w:t>resources</w:t>
      </w:r>
      <w:r>
        <w:rPr>
          <w:spacing w:val="-3"/>
          <w:sz w:val="21"/>
        </w:rPr>
        <w:t> </w:t>
      </w:r>
      <w:r>
        <w:rPr>
          <w:sz w:val="21"/>
        </w:rPr>
        <w:t>for</w:t>
      </w:r>
      <w:r>
        <w:rPr>
          <w:spacing w:val="-3"/>
          <w:sz w:val="21"/>
        </w:rPr>
        <w:t> </w:t>
      </w:r>
      <w:r>
        <w:rPr>
          <w:sz w:val="21"/>
        </w:rPr>
        <w:t>formerly</w:t>
      </w:r>
      <w:r>
        <w:rPr>
          <w:spacing w:val="-4"/>
          <w:sz w:val="21"/>
        </w:rPr>
        <w:t> </w:t>
      </w:r>
      <w:r>
        <w:rPr>
          <w:sz w:val="21"/>
        </w:rPr>
        <w:t>incarcerated</w:t>
      </w:r>
      <w:r>
        <w:rPr>
          <w:spacing w:val="-4"/>
          <w:sz w:val="21"/>
        </w:rPr>
        <w:t> </w:t>
      </w:r>
      <w:r>
        <w:rPr>
          <w:sz w:val="21"/>
        </w:rPr>
        <w:t>LGBTQ</w:t>
      </w:r>
      <w:r>
        <w:rPr>
          <w:spacing w:val="-3"/>
          <w:sz w:val="21"/>
        </w:rPr>
        <w:t> </w:t>
      </w:r>
      <w:r>
        <w:rPr>
          <w:spacing w:val="-2"/>
          <w:sz w:val="21"/>
        </w:rPr>
        <w:t>youth.</w:t>
      </w:r>
    </w:p>
    <w:p>
      <w:pPr>
        <w:pStyle w:val="ListParagraph"/>
        <w:numPr>
          <w:ilvl w:val="0"/>
          <w:numId w:val="10"/>
        </w:numPr>
        <w:tabs>
          <w:tab w:pos="1175" w:val="left" w:leader="none"/>
          <w:tab w:pos="1178" w:val="left" w:leader="none"/>
        </w:tabs>
        <w:spacing w:line="276" w:lineRule="auto" w:before="155" w:after="0"/>
        <w:ind w:left="1178" w:right="420" w:hanging="361"/>
        <w:jc w:val="left"/>
        <w:rPr>
          <w:sz w:val="21"/>
        </w:rPr>
      </w:pPr>
      <w:r>
        <w:rPr>
          <w:sz w:val="21"/>
        </w:rPr>
        <w:t>Support legislative initiatives to improve the Massachusetts legal system, and support diversion of </w:t>
      </w:r>
      <w:r>
        <w:rPr>
          <w:spacing w:val="-2"/>
          <w:sz w:val="21"/>
        </w:rPr>
        <w:t>youth.</w:t>
      </w:r>
    </w:p>
    <w:p>
      <w:pPr>
        <w:pStyle w:val="ListParagraph"/>
        <w:numPr>
          <w:ilvl w:val="0"/>
          <w:numId w:val="10"/>
        </w:numPr>
        <w:tabs>
          <w:tab w:pos="1176" w:val="left" w:leader="none"/>
          <w:tab w:pos="1179" w:val="left" w:leader="none"/>
        </w:tabs>
        <w:spacing w:line="276" w:lineRule="auto" w:before="120" w:after="0"/>
        <w:ind w:left="1179" w:right="421" w:hanging="361"/>
        <w:jc w:val="left"/>
        <w:rPr>
          <w:sz w:val="21"/>
        </w:rPr>
      </w:pPr>
      <w:r>
        <w:rPr>
          <w:sz w:val="21"/>
        </w:rPr>
        <w:t>Actively</w:t>
      </w:r>
      <w:r>
        <w:rPr>
          <w:spacing w:val="40"/>
          <w:sz w:val="21"/>
        </w:rPr>
        <w:t> </w:t>
      </w:r>
      <w:r>
        <w:rPr>
          <w:sz w:val="21"/>
        </w:rPr>
        <w:t>involve</w:t>
      </w:r>
      <w:r>
        <w:rPr>
          <w:spacing w:val="40"/>
          <w:sz w:val="21"/>
        </w:rPr>
        <w:t> </w:t>
      </w:r>
      <w:r>
        <w:rPr>
          <w:sz w:val="21"/>
        </w:rPr>
        <w:t>justice-involved</w:t>
      </w:r>
      <w:r>
        <w:rPr>
          <w:spacing w:val="40"/>
          <w:sz w:val="21"/>
        </w:rPr>
        <w:t> </w:t>
      </w:r>
      <w:r>
        <w:rPr>
          <w:sz w:val="21"/>
        </w:rPr>
        <w:t>youth</w:t>
      </w:r>
      <w:r>
        <w:rPr>
          <w:spacing w:val="40"/>
          <w:sz w:val="21"/>
        </w:rPr>
        <w:t> </w:t>
      </w:r>
      <w:r>
        <w:rPr>
          <w:sz w:val="21"/>
        </w:rPr>
        <w:t>in</w:t>
      </w:r>
      <w:r>
        <w:rPr>
          <w:spacing w:val="40"/>
          <w:sz w:val="21"/>
        </w:rPr>
        <w:t> </w:t>
      </w:r>
      <w:r>
        <w:rPr>
          <w:sz w:val="21"/>
        </w:rPr>
        <w:t>government</w:t>
      </w:r>
      <w:r>
        <w:rPr>
          <w:spacing w:val="40"/>
          <w:sz w:val="21"/>
        </w:rPr>
        <w:t> </w:t>
      </w:r>
      <w:r>
        <w:rPr>
          <w:sz w:val="21"/>
        </w:rPr>
        <w:t>decision</w:t>
      </w:r>
      <w:r>
        <w:rPr>
          <w:spacing w:val="40"/>
          <w:sz w:val="21"/>
        </w:rPr>
        <w:t> </w:t>
      </w:r>
      <w:r>
        <w:rPr>
          <w:sz w:val="21"/>
        </w:rPr>
        <w:t>affecting</w:t>
      </w:r>
      <w:r>
        <w:rPr>
          <w:spacing w:val="40"/>
          <w:sz w:val="21"/>
        </w:rPr>
        <w:t> </w:t>
      </w:r>
      <w:r>
        <w:rPr>
          <w:sz w:val="21"/>
        </w:rPr>
        <w:t>them,</w:t>
      </w:r>
      <w:r>
        <w:rPr>
          <w:spacing w:val="40"/>
          <w:sz w:val="21"/>
        </w:rPr>
        <w:t> </w:t>
      </w:r>
      <w:r>
        <w:rPr>
          <w:sz w:val="21"/>
        </w:rPr>
        <w:t>ensuring</w:t>
      </w:r>
      <w:r>
        <w:rPr>
          <w:spacing w:val="40"/>
          <w:sz w:val="21"/>
        </w:rPr>
        <w:t> </w:t>
      </w:r>
      <w:r>
        <w:rPr>
          <w:sz w:val="21"/>
        </w:rPr>
        <w:t>their experiences directly inform policies and programs designed to serve their needs.</w:t>
      </w:r>
    </w:p>
    <w:p>
      <w:pPr>
        <w:spacing w:after="0" w:line="276" w:lineRule="auto"/>
        <w:jc w:val="left"/>
        <w:rPr>
          <w:sz w:val="21"/>
        </w:rPr>
        <w:sectPr>
          <w:headerReference w:type="default" r:id="rId36"/>
          <w:footerReference w:type="default" r:id="rId37"/>
          <w:pgSz w:w="12240" w:h="15840"/>
          <w:pgMar w:header="0" w:footer="1061" w:top="1140" w:bottom="1260" w:left="980" w:right="1160"/>
        </w:sectPr>
      </w:pPr>
    </w:p>
    <w:p>
      <w:pPr>
        <w:spacing w:before="29"/>
        <w:ind w:left="604" w:right="0" w:firstLine="0"/>
        <w:jc w:val="both"/>
        <w:rPr>
          <w:sz w:val="28"/>
        </w:rPr>
      </w:pPr>
      <w:bookmarkStart w:name="Expanding Inclusive Service Provision fo" w:id="59"/>
      <w:bookmarkEnd w:id="59"/>
      <w:r>
        <w:rPr/>
      </w:r>
      <w:r>
        <w:rPr>
          <w:color w:val="365F91"/>
          <w:sz w:val="28"/>
        </w:rPr>
        <w:t>Expanding</w:t>
      </w:r>
      <w:r>
        <w:rPr>
          <w:color w:val="365F91"/>
          <w:spacing w:val="-12"/>
          <w:sz w:val="28"/>
        </w:rPr>
        <w:t> </w:t>
      </w:r>
      <w:r>
        <w:rPr>
          <w:color w:val="365F91"/>
          <w:sz w:val="28"/>
        </w:rPr>
        <w:t>Inclusive</w:t>
      </w:r>
      <w:r>
        <w:rPr>
          <w:color w:val="365F91"/>
          <w:spacing w:val="-12"/>
          <w:sz w:val="28"/>
        </w:rPr>
        <w:t> </w:t>
      </w:r>
      <w:r>
        <w:rPr>
          <w:color w:val="365F91"/>
          <w:sz w:val="28"/>
        </w:rPr>
        <w:t>Service</w:t>
      </w:r>
      <w:r>
        <w:rPr>
          <w:color w:val="365F91"/>
          <w:spacing w:val="-11"/>
          <w:sz w:val="28"/>
        </w:rPr>
        <w:t> </w:t>
      </w:r>
      <w:r>
        <w:rPr>
          <w:color w:val="365F91"/>
          <w:sz w:val="28"/>
        </w:rPr>
        <w:t>Provision</w:t>
      </w:r>
      <w:r>
        <w:rPr>
          <w:color w:val="365F91"/>
          <w:spacing w:val="-13"/>
          <w:sz w:val="28"/>
        </w:rPr>
        <w:t> </w:t>
      </w:r>
      <w:r>
        <w:rPr>
          <w:color w:val="365F91"/>
          <w:sz w:val="28"/>
        </w:rPr>
        <w:t>for</w:t>
      </w:r>
      <w:r>
        <w:rPr>
          <w:color w:val="365F91"/>
          <w:spacing w:val="-11"/>
          <w:sz w:val="28"/>
        </w:rPr>
        <w:t> </w:t>
      </w:r>
      <w:r>
        <w:rPr>
          <w:color w:val="365F91"/>
          <w:sz w:val="28"/>
        </w:rPr>
        <w:t>Foreign-Born</w:t>
      </w:r>
      <w:r>
        <w:rPr>
          <w:color w:val="365F91"/>
          <w:spacing w:val="-12"/>
          <w:sz w:val="28"/>
        </w:rPr>
        <w:t> </w:t>
      </w:r>
      <w:r>
        <w:rPr>
          <w:color w:val="365F91"/>
          <w:sz w:val="28"/>
        </w:rPr>
        <w:t>LGBTQ</w:t>
      </w:r>
      <w:r>
        <w:rPr>
          <w:color w:val="365F91"/>
          <w:spacing w:val="-11"/>
          <w:sz w:val="28"/>
        </w:rPr>
        <w:t> </w:t>
      </w:r>
      <w:r>
        <w:rPr>
          <w:color w:val="365F91"/>
          <w:sz w:val="28"/>
        </w:rPr>
        <w:t>Youth</w:t>
      </w:r>
      <w:r>
        <w:rPr>
          <w:color w:val="365F91"/>
          <w:spacing w:val="-12"/>
          <w:sz w:val="28"/>
        </w:rPr>
        <w:t> </w:t>
      </w:r>
      <w:r>
        <w:rPr>
          <w:color w:val="365F91"/>
          <w:spacing w:val="-2"/>
          <w:sz w:val="28"/>
        </w:rPr>
        <w:t>(2023)</w:t>
      </w:r>
    </w:p>
    <w:p>
      <w:pPr>
        <w:pStyle w:val="BodyText"/>
        <w:spacing w:line="276" w:lineRule="auto" w:before="293"/>
        <w:ind w:left="603" w:right="421"/>
        <w:jc w:val="both"/>
      </w:pPr>
      <w:bookmarkStart w:name="In FY 2024, the Commission published a f" w:id="60"/>
      <w:bookmarkEnd w:id="60"/>
      <w:r>
        <w:rPr/>
      </w:r>
      <w:r>
        <w:rPr>
          <w:color w:val="404040"/>
        </w:rPr>
        <w:t>In FY 2024, </w:t>
      </w:r>
      <w:r>
        <w:rPr/>
        <w:t>the Commission </w:t>
      </w:r>
      <w:r>
        <w:rPr>
          <w:color w:val="404040"/>
        </w:rPr>
        <w:t>published </w:t>
      </w:r>
      <w:r>
        <w:rPr/>
        <w:t>a first-of-its</w:t>
      </w:r>
      <w:r>
        <w:rPr>
          <w:color w:val="404040"/>
        </w:rPr>
        <w:t>-kind </w:t>
      </w:r>
      <w:r>
        <w:rPr/>
        <w:t>dedicated section on research and recommendations</w:t>
      </w:r>
      <w:r>
        <w:rPr>
          <w:spacing w:val="-5"/>
        </w:rPr>
        <w:t> </w:t>
      </w:r>
      <w:r>
        <w:rPr/>
        <w:t>to</w:t>
      </w:r>
      <w:r>
        <w:rPr>
          <w:spacing w:val="-3"/>
        </w:rPr>
        <w:t> </w:t>
      </w:r>
      <w:r>
        <w:rPr/>
        <w:t>improve</w:t>
      </w:r>
      <w:r>
        <w:rPr>
          <w:spacing w:val="-5"/>
        </w:rPr>
        <w:t> </w:t>
      </w:r>
      <w:r>
        <w:rPr/>
        <w:t>policies,</w:t>
      </w:r>
      <w:r>
        <w:rPr>
          <w:spacing w:val="-3"/>
        </w:rPr>
        <w:t> </w:t>
      </w:r>
      <w:r>
        <w:rPr/>
        <w:t>services,</w:t>
      </w:r>
      <w:r>
        <w:rPr>
          <w:spacing w:val="-5"/>
        </w:rPr>
        <w:t> </w:t>
      </w:r>
      <w:r>
        <w:rPr/>
        <w:t>and</w:t>
      </w:r>
      <w:r>
        <w:rPr>
          <w:spacing w:val="-3"/>
        </w:rPr>
        <w:t> </w:t>
      </w:r>
      <w:r>
        <w:rPr/>
        <w:t>programs</w:t>
      </w:r>
      <w:r>
        <w:rPr>
          <w:spacing w:val="-5"/>
        </w:rPr>
        <w:t> </w:t>
      </w:r>
      <w:r>
        <w:rPr/>
        <w:t>for</w:t>
      </w:r>
      <w:r>
        <w:rPr>
          <w:spacing w:val="-4"/>
        </w:rPr>
        <w:t> </w:t>
      </w:r>
      <w:r>
        <w:rPr/>
        <w:t>LGBTQ</w:t>
      </w:r>
      <w:r>
        <w:rPr>
          <w:spacing w:val="-4"/>
        </w:rPr>
        <w:t> </w:t>
      </w:r>
      <w:r>
        <w:rPr/>
        <w:t>foreign-born</w:t>
      </w:r>
      <w:r>
        <w:rPr>
          <w:spacing w:val="-5"/>
        </w:rPr>
        <w:t> </w:t>
      </w:r>
      <w:r>
        <w:rPr/>
        <w:t>Massachusetts residents,</w:t>
      </w:r>
      <w:r>
        <w:rPr>
          <w:spacing w:val="-7"/>
        </w:rPr>
        <w:t> </w:t>
      </w:r>
      <w:r>
        <w:rPr/>
        <w:t>including</w:t>
      </w:r>
      <w:r>
        <w:rPr>
          <w:spacing w:val="-7"/>
        </w:rPr>
        <w:t> </w:t>
      </w:r>
      <w:r>
        <w:rPr>
          <w:color w:val="404040"/>
        </w:rPr>
        <w:t>first-generation</w:t>
      </w:r>
      <w:r>
        <w:rPr/>
        <w:t>,</w:t>
      </w:r>
      <w:r>
        <w:rPr>
          <w:spacing w:val="-7"/>
        </w:rPr>
        <w:t> </w:t>
      </w:r>
      <w:r>
        <w:rPr/>
        <w:t>undocumented,</w:t>
      </w:r>
      <w:r>
        <w:rPr>
          <w:spacing w:val="-7"/>
        </w:rPr>
        <w:t> </w:t>
      </w:r>
      <w:r>
        <w:rPr/>
        <w:t>asylee,</w:t>
      </w:r>
      <w:r>
        <w:rPr>
          <w:spacing w:val="-7"/>
        </w:rPr>
        <w:t> </w:t>
      </w:r>
      <w:r>
        <w:rPr/>
        <w:t>and</w:t>
      </w:r>
      <w:r>
        <w:rPr>
          <w:spacing w:val="-7"/>
        </w:rPr>
        <w:t> </w:t>
      </w:r>
      <w:r>
        <w:rPr/>
        <w:t>refugee</w:t>
      </w:r>
      <w:r>
        <w:rPr>
          <w:spacing w:val="-7"/>
        </w:rPr>
        <w:t> </w:t>
      </w:r>
      <w:r>
        <w:rPr/>
        <w:t>youth.</w:t>
      </w:r>
      <w:r>
        <w:rPr>
          <w:spacing w:val="-7"/>
        </w:rPr>
        <w:t> </w:t>
      </w:r>
      <w:r>
        <w:rPr/>
        <w:t>The</w:t>
      </w:r>
      <w:r>
        <w:rPr>
          <w:spacing w:val="-7"/>
        </w:rPr>
        <w:t> </w:t>
      </w:r>
      <w:r>
        <w:rPr/>
        <w:t>Commission</w:t>
      </w:r>
      <w:r>
        <w:rPr>
          <w:spacing w:val="-7"/>
        </w:rPr>
        <w:t> </w:t>
      </w:r>
      <w:r>
        <w:rPr/>
        <w:t>uses the term ‘foreign-born’ throughout this report to encompass </w:t>
      </w:r>
      <w:r>
        <w:rPr>
          <w:color w:val="404040"/>
        </w:rPr>
        <w:t>the experiences </w:t>
      </w:r>
      <w:r>
        <w:rPr/>
        <w:t>of those who are legal residents and undocumented residents, as well as those who may have only temporarily migrated to the state. As detailed throughout this section, there are many reasons that LGBTQ individuals and families may immigrate to the U.S., including to escape persecution, violence, and discrimination in their</w:t>
      </w:r>
      <w:r>
        <w:rPr>
          <w:spacing w:val="-7"/>
        </w:rPr>
        <w:t> </w:t>
      </w:r>
      <w:r>
        <w:rPr/>
        <w:t>country</w:t>
      </w:r>
      <w:r>
        <w:rPr>
          <w:spacing w:val="-7"/>
        </w:rPr>
        <w:t> </w:t>
      </w:r>
      <w:r>
        <w:rPr/>
        <w:t>of</w:t>
      </w:r>
      <w:r>
        <w:rPr>
          <w:spacing w:val="-9"/>
        </w:rPr>
        <w:t> </w:t>
      </w:r>
      <w:r>
        <w:rPr/>
        <w:t>origin.</w:t>
      </w:r>
      <w:r>
        <w:rPr>
          <w:spacing w:val="-9"/>
        </w:rPr>
        <w:t> </w:t>
      </w:r>
      <w:r>
        <w:rPr/>
        <w:t>While</w:t>
      </w:r>
      <w:r>
        <w:rPr>
          <w:spacing w:val="-9"/>
        </w:rPr>
        <w:t> </w:t>
      </w:r>
      <w:r>
        <w:rPr/>
        <w:t>Massachusetts</w:t>
      </w:r>
      <w:r>
        <w:rPr>
          <w:spacing w:val="-8"/>
        </w:rPr>
        <w:t> </w:t>
      </w:r>
      <w:r>
        <w:rPr/>
        <w:t>has</w:t>
      </w:r>
      <w:r>
        <w:rPr>
          <w:spacing w:val="-8"/>
        </w:rPr>
        <w:t> </w:t>
      </w:r>
      <w:r>
        <w:rPr/>
        <w:t>made</w:t>
      </w:r>
      <w:r>
        <w:rPr>
          <w:spacing w:val="-9"/>
        </w:rPr>
        <w:t> </w:t>
      </w:r>
      <w:r>
        <w:rPr/>
        <w:t>great</w:t>
      </w:r>
      <w:r>
        <w:rPr>
          <w:spacing w:val="-9"/>
        </w:rPr>
        <w:t> </w:t>
      </w:r>
      <w:r>
        <w:rPr/>
        <w:t>strides</w:t>
      </w:r>
      <w:r>
        <w:rPr>
          <w:spacing w:val="-8"/>
        </w:rPr>
        <w:t> </w:t>
      </w:r>
      <w:r>
        <w:rPr/>
        <w:t>in</w:t>
      </w:r>
      <w:r>
        <w:rPr>
          <w:spacing w:val="-9"/>
        </w:rPr>
        <w:t> </w:t>
      </w:r>
      <w:r>
        <w:rPr/>
        <w:t>recent</w:t>
      </w:r>
      <w:r>
        <w:rPr>
          <w:spacing w:val="-9"/>
        </w:rPr>
        <w:t> </w:t>
      </w:r>
      <w:r>
        <w:rPr/>
        <w:t>years</w:t>
      </w:r>
      <w:r>
        <w:rPr>
          <w:spacing w:val="-8"/>
        </w:rPr>
        <w:t> </w:t>
      </w:r>
      <w:r>
        <w:rPr/>
        <w:t>towards</w:t>
      </w:r>
      <w:r>
        <w:rPr>
          <w:spacing w:val="-8"/>
        </w:rPr>
        <w:t> </w:t>
      </w:r>
      <w:r>
        <w:rPr/>
        <w:t>improving its</w:t>
      </w:r>
      <w:r>
        <w:rPr>
          <w:spacing w:val="-7"/>
        </w:rPr>
        <w:t> </w:t>
      </w:r>
      <w:r>
        <w:rPr/>
        <w:t>service</w:t>
      </w:r>
      <w:r>
        <w:rPr>
          <w:spacing w:val="-8"/>
        </w:rPr>
        <w:t> </w:t>
      </w:r>
      <w:r>
        <w:rPr/>
        <w:t>provision</w:t>
      </w:r>
      <w:r>
        <w:rPr>
          <w:spacing w:val="-8"/>
        </w:rPr>
        <w:t> </w:t>
      </w:r>
      <w:r>
        <w:rPr/>
        <w:t>for</w:t>
      </w:r>
      <w:r>
        <w:rPr>
          <w:spacing w:val="-8"/>
        </w:rPr>
        <w:t> </w:t>
      </w:r>
      <w:r>
        <w:rPr/>
        <w:t>these</w:t>
      </w:r>
      <w:r>
        <w:rPr>
          <w:spacing w:val="-8"/>
        </w:rPr>
        <w:t> </w:t>
      </w:r>
      <w:r>
        <w:rPr/>
        <w:t>communities,</w:t>
      </w:r>
      <w:r>
        <w:rPr>
          <w:spacing w:val="-7"/>
        </w:rPr>
        <w:t> </w:t>
      </w:r>
      <w:r>
        <w:rPr/>
        <w:t>further</w:t>
      </w:r>
      <w:r>
        <w:rPr>
          <w:spacing w:val="-8"/>
        </w:rPr>
        <w:t> </w:t>
      </w:r>
      <w:r>
        <w:rPr/>
        <w:t>steps</w:t>
      </w:r>
      <w:r>
        <w:rPr>
          <w:spacing w:val="-7"/>
        </w:rPr>
        <w:t> </w:t>
      </w:r>
      <w:r>
        <w:rPr/>
        <w:t>should</w:t>
      </w:r>
      <w:r>
        <w:rPr>
          <w:spacing w:val="-8"/>
        </w:rPr>
        <w:t> </w:t>
      </w:r>
      <w:r>
        <w:rPr/>
        <w:t>still</w:t>
      </w:r>
      <w:r>
        <w:rPr>
          <w:spacing w:val="-8"/>
        </w:rPr>
        <w:t> </w:t>
      </w:r>
      <w:r>
        <w:rPr/>
        <w:t>be</w:t>
      </w:r>
      <w:r>
        <w:rPr>
          <w:spacing w:val="-7"/>
        </w:rPr>
        <w:t> </w:t>
      </w:r>
      <w:r>
        <w:rPr/>
        <w:t>taken</w:t>
      </w:r>
      <w:r>
        <w:rPr>
          <w:spacing w:val="-8"/>
        </w:rPr>
        <w:t> </w:t>
      </w:r>
      <w:r>
        <w:rPr/>
        <w:t>to</w:t>
      </w:r>
      <w:r>
        <w:rPr>
          <w:spacing w:val="-7"/>
        </w:rPr>
        <w:t> </w:t>
      </w:r>
      <w:r>
        <w:rPr/>
        <w:t>ensure</w:t>
      </w:r>
      <w:r>
        <w:rPr>
          <w:spacing w:val="-8"/>
        </w:rPr>
        <w:t> </w:t>
      </w:r>
      <w:r>
        <w:rPr/>
        <w:t>that</w:t>
      </w:r>
      <w:r>
        <w:rPr>
          <w:spacing w:val="-7"/>
        </w:rPr>
        <w:t> </w:t>
      </w:r>
      <w:r>
        <w:rPr/>
        <w:t>all</w:t>
      </w:r>
      <w:r>
        <w:rPr>
          <w:spacing w:val="-8"/>
        </w:rPr>
        <w:t> </w:t>
      </w:r>
      <w:r>
        <w:rPr/>
        <w:t>LGBTQ youth can thrive.</w:t>
      </w:r>
    </w:p>
    <w:p>
      <w:pPr>
        <w:spacing w:before="238"/>
        <w:ind w:left="604" w:right="0" w:firstLine="0"/>
        <w:jc w:val="both"/>
        <w:rPr>
          <w:sz w:val="25"/>
        </w:rPr>
      </w:pPr>
      <w:bookmarkStart w:name="FY 2025 Recommendations to the Governor " w:id="61"/>
      <w:bookmarkEnd w:id="61"/>
      <w:r>
        <w:rPr/>
      </w:r>
      <w:r>
        <w:rPr>
          <w:color w:val="404040"/>
          <w:sz w:val="25"/>
        </w:rPr>
        <w:t>FY</w:t>
      </w:r>
      <w:r>
        <w:rPr>
          <w:color w:val="404040"/>
          <w:spacing w:val="-10"/>
          <w:sz w:val="25"/>
        </w:rPr>
        <w:t> </w:t>
      </w:r>
      <w:r>
        <w:rPr>
          <w:color w:val="404040"/>
          <w:sz w:val="25"/>
        </w:rPr>
        <w:t>2025</w:t>
      </w:r>
      <w:r>
        <w:rPr>
          <w:color w:val="404040"/>
          <w:spacing w:val="-9"/>
          <w:sz w:val="25"/>
        </w:rPr>
        <w:t> </w:t>
      </w:r>
      <w:r>
        <w:rPr>
          <w:color w:val="404040"/>
          <w:sz w:val="25"/>
        </w:rPr>
        <w:t>Recommendations</w:t>
      </w:r>
      <w:r>
        <w:rPr>
          <w:color w:val="404040"/>
          <w:spacing w:val="-10"/>
          <w:sz w:val="25"/>
        </w:rPr>
        <w:t> </w:t>
      </w:r>
      <w:r>
        <w:rPr>
          <w:color w:val="404040"/>
          <w:sz w:val="25"/>
        </w:rPr>
        <w:t>to</w:t>
      </w:r>
      <w:r>
        <w:rPr>
          <w:color w:val="404040"/>
          <w:spacing w:val="-8"/>
          <w:sz w:val="25"/>
        </w:rPr>
        <w:t> </w:t>
      </w:r>
      <w:r>
        <w:rPr>
          <w:color w:val="404040"/>
          <w:sz w:val="25"/>
        </w:rPr>
        <w:t>the</w:t>
      </w:r>
      <w:r>
        <w:rPr>
          <w:color w:val="404040"/>
          <w:spacing w:val="-8"/>
          <w:sz w:val="25"/>
        </w:rPr>
        <w:t> </w:t>
      </w:r>
      <w:r>
        <w:rPr>
          <w:color w:val="404040"/>
          <w:sz w:val="25"/>
        </w:rPr>
        <w:t>Governor</w:t>
      </w:r>
      <w:r>
        <w:rPr>
          <w:color w:val="404040"/>
          <w:spacing w:val="-8"/>
          <w:sz w:val="25"/>
        </w:rPr>
        <w:t> </w:t>
      </w:r>
      <w:r>
        <w:rPr>
          <w:color w:val="404040"/>
          <w:sz w:val="25"/>
        </w:rPr>
        <w:t>&amp;</w:t>
      </w:r>
      <w:r>
        <w:rPr>
          <w:color w:val="404040"/>
          <w:spacing w:val="-9"/>
          <w:sz w:val="25"/>
        </w:rPr>
        <w:t> </w:t>
      </w:r>
      <w:r>
        <w:rPr>
          <w:color w:val="404040"/>
          <w:sz w:val="25"/>
        </w:rPr>
        <w:t>Legislature</w:t>
      </w:r>
      <w:r>
        <w:rPr>
          <w:color w:val="404040"/>
          <w:spacing w:val="-9"/>
          <w:sz w:val="25"/>
        </w:rPr>
        <w:t> </w:t>
      </w:r>
      <w:r>
        <w:rPr>
          <w:color w:val="404040"/>
          <w:sz w:val="25"/>
        </w:rPr>
        <w:t>on</w:t>
      </w:r>
      <w:r>
        <w:rPr>
          <w:color w:val="404040"/>
          <w:spacing w:val="-9"/>
          <w:sz w:val="25"/>
        </w:rPr>
        <w:t> </w:t>
      </w:r>
      <w:r>
        <w:rPr>
          <w:color w:val="404040"/>
          <w:sz w:val="25"/>
        </w:rPr>
        <w:t>Foreign-Born</w:t>
      </w:r>
      <w:r>
        <w:rPr>
          <w:color w:val="404040"/>
          <w:spacing w:val="-9"/>
          <w:sz w:val="25"/>
        </w:rPr>
        <w:t> </w:t>
      </w:r>
      <w:r>
        <w:rPr>
          <w:color w:val="404040"/>
          <w:sz w:val="25"/>
        </w:rPr>
        <w:t>LGBTQ</w:t>
      </w:r>
      <w:r>
        <w:rPr>
          <w:color w:val="404040"/>
          <w:spacing w:val="-10"/>
          <w:sz w:val="25"/>
        </w:rPr>
        <w:t> </w:t>
      </w:r>
      <w:r>
        <w:rPr>
          <w:color w:val="404040"/>
          <w:spacing w:val="-2"/>
          <w:sz w:val="25"/>
        </w:rPr>
        <w:t>Youth</w:t>
      </w:r>
    </w:p>
    <w:p>
      <w:pPr>
        <w:pStyle w:val="ListParagraph"/>
        <w:numPr>
          <w:ilvl w:val="0"/>
          <w:numId w:val="11"/>
        </w:numPr>
        <w:tabs>
          <w:tab w:pos="1178" w:val="left" w:leader="none"/>
          <w:tab w:pos="1180" w:val="left" w:leader="none"/>
        </w:tabs>
        <w:spacing w:line="276" w:lineRule="auto" w:before="288" w:after="0"/>
        <w:ind w:left="1180" w:right="639" w:hanging="361"/>
        <w:jc w:val="left"/>
        <w:rPr>
          <w:sz w:val="22"/>
        </w:rPr>
      </w:pPr>
      <w:bookmarkStart w:name="1. Improve the availability of multiling" w:id="62"/>
      <w:bookmarkEnd w:id="62"/>
      <w:r>
        <w:rPr/>
      </w:r>
      <w:r>
        <w:rPr>
          <w:sz w:val="22"/>
        </w:rPr>
        <w:t>Improve the availability of multilingual, LGBTQ-affirming services for foreign-born residents, and increase funding for existing programs.</w:t>
      </w:r>
    </w:p>
    <w:p>
      <w:pPr>
        <w:pStyle w:val="ListParagraph"/>
        <w:numPr>
          <w:ilvl w:val="0"/>
          <w:numId w:val="11"/>
        </w:numPr>
        <w:tabs>
          <w:tab w:pos="1179" w:val="left" w:leader="none"/>
        </w:tabs>
        <w:spacing w:line="240" w:lineRule="auto" w:before="239" w:after="0"/>
        <w:ind w:left="1179" w:right="0" w:hanging="359"/>
        <w:jc w:val="left"/>
        <w:rPr>
          <w:sz w:val="22"/>
        </w:rPr>
      </w:pPr>
      <w:bookmarkStart w:name="2. Establish an LGBTQ Immigrant &amp; Refuge" w:id="63"/>
      <w:bookmarkEnd w:id="63"/>
      <w:r>
        <w:rPr/>
      </w:r>
      <w:r>
        <w:rPr>
          <w:sz w:val="22"/>
        </w:rPr>
        <w:t>Establish</w:t>
      </w:r>
      <w:r>
        <w:rPr>
          <w:spacing w:val="-8"/>
          <w:sz w:val="22"/>
        </w:rPr>
        <w:t> </w:t>
      </w:r>
      <w:r>
        <w:rPr>
          <w:sz w:val="22"/>
        </w:rPr>
        <w:t>an</w:t>
      </w:r>
      <w:r>
        <w:rPr>
          <w:spacing w:val="-7"/>
          <w:sz w:val="22"/>
        </w:rPr>
        <w:t> </w:t>
      </w:r>
      <w:r>
        <w:rPr>
          <w:sz w:val="22"/>
        </w:rPr>
        <w:t>LGBTQ</w:t>
      </w:r>
      <w:r>
        <w:rPr>
          <w:spacing w:val="-7"/>
          <w:sz w:val="22"/>
        </w:rPr>
        <w:t> </w:t>
      </w:r>
      <w:r>
        <w:rPr>
          <w:sz w:val="22"/>
        </w:rPr>
        <w:t>Immigrant</w:t>
      </w:r>
      <w:r>
        <w:rPr>
          <w:spacing w:val="-8"/>
          <w:sz w:val="22"/>
        </w:rPr>
        <w:t> </w:t>
      </w:r>
      <w:r>
        <w:rPr>
          <w:sz w:val="22"/>
        </w:rPr>
        <w:t>&amp;</w:t>
      </w:r>
      <w:r>
        <w:rPr>
          <w:spacing w:val="-7"/>
          <w:sz w:val="22"/>
        </w:rPr>
        <w:t> </w:t>
      </w:r>
      <w:r>
        <w:rPr>
          <w:sz w:val="22"/>
        </w:rPr>
        <w:t>Refugee</w:t>
      </w:r>
      <w:r>
        <w:rPr>
          <w:spacing w:val="-8"/>
          <w:sz w:val="22"/>
        </w:rPr>
        <w:t> </w:t>
      </w:r>
      <w:r>
        <w:rPr>
          <w:sz w:val="22"/>
        </w:rPr>
        <w:t>Task</w:t>
      </w:r>
      <w:r>
        <w:rPr>
          <w:spacing w:val="-7"/>
          <w:sz w:val="22"/>
        </w:rPr>
        <w:t> </w:t>
      </w:r>
      <w:r>
        <w:rPr>
          <w:spacing w:val="-2"/>
          <w:sz w:val="22"/>
        </w:rPr>
        <w:t>Force.</w:t>
      </w:r>
    </w:p>
    <w:p>
      <w:pPr>
        <w:pStyle w:val="BodyText"/>
        <w:spacing w:before="12"/>
      </w:pPr>
    </w:p>
    <w:p>
      <w:pPr>
        <w:pStyle w:val="ListParagraph"/>
        <w:numPr>
          <w:ilvl w:val="0"/>
          <w:numId w:val="11"/>
        </w:numPr>
        <w:tabs>
          <w:tab w:pos="1179" w:val="left" w:leader="none"/>
        </w:tabs>
        <w:spacing w:line="240" w:lineRule="auto" w:before="0" w:after="0"/>
        <w:ind w:left="1179" w:right="0" w:hanging="359"/>
        <w:jc w:val="left"/>
        <w:rPr>
          <w:sz w:val="22"/>
        </w:rPr>
      </w:pPr>
      <w:bookmarkStart w:name="3. Address the concerning lack of SOGIE " w:id="64"/>
      <w:bookmarkEnd w:id="64"/>
      <w:r>
        <w:rPr/>
      </w:r>
      <w:r>
        <w:rPr>
          <w:sz w:val="22"/>
        </w:rPr>
        <w:t>Address</w:t>
      </w:r>
      <w:r>
        <w:rPr>
          <w:spacing w:val="-7"/>
          <w:sz w:val="22"/>
        </w:rPr>
        <w:t> </w:t>
      </w:r>
      <w:r>
        <w:rPr>
          <w:sz w:val="22"/>
        </w:rPr>
        <w:t>the</w:t>
      </w:r>
      <w:r>
        <w:rPr>
          <w:spacing w:val="-6"/>
          <w:sz w:val="22"/>
        </w:rPr>
        <w:t> </w:t>
      </w:r>
      <w:r>
        <w:rPr>
          <w:sz w:val="22"/>
        </w:rPr>
        <w:t>concerning</w:t>
      </w:r>
      <w:r>
        <w:rPr>
          <w:spacing w:val="-7"/>
          <w:sz w:val="22"/>
        </w:rPr>
        <w:t> </w:t>
      </w:r>
      <w:r>
        <w:rPr>
          <w:sz w:val="22"/>
        </w:rPr>
        <w:t>lack</w:t>
      </w:r>
      <w:r>
        <w:rPr>
          <w:spacing w:val="-6"/>
          <w:sz w:val="22"/>
        </w:rPr>
        <w:t> </w:t>
      </w:r>
      <w:r>
        <w:rPr>
          <w:sz w:val="22"/>
        </w:rPr>
        <w:t>of</w:t>
      </w:r>
      <w:r>
        <w:rPr>
          <w:spacing w:val="-7"/>
          <w:sz w:val="22"/>
        </w:rPr>
        <w:t> </w:t>
      </w:r>
      <w:r>
        <w:rPr>
          <w:sz w:val="22"/>
        </w:rPr>
        <w:t>SOGIE</w:t>
      </w:r>
      <w:r>
        <w:rPr>
          <w:spacing w:val="-6"/>
          <w:sz w:val="22"/>
        </w:rPr>
        <w:t> </w:t>
      </w:r>
      <w:r>
        <w:rPr>
          <w:sz w:val="22"/>
        </w:rPr>
        <w:t>data</w:t>
      </w:r>
      <w:r>
        <w:rPr>
          <w:spacing w:val="-6"/>
          <w:sz w:val="22"/>
        </w:rPr>
        <w:t> </w:t>
      </w:r>
      <w:r>
        <w:rPr>
          <w:sz w:val="22"/>
        </w:rPr>
        <w:t>collection</w:t>
      </w:r>
      <w:r>
        <w:rPr>
          <w:spacing w:val="-5"/>
          <w:sz w:val="22"/>
        </w:rPr>
        <w:t> </w:t>
      </w:r>
      <w:r>
        <w:rPr>
          <w:sz w:val="22"/>
        </w:rPr>
        <w:t>at</w:t>
      </w:r>
      <w:r>
        <w:rPr>
          <w:spacing w:val="-7"/>
          <w:sz w:val="22"/>
        </w:rPr>
        <w:t> </w:t>
      </w:r>
      <w:r>
        <w:rPr>
          <w:sz w:val="22"/>
        </w:rPr>
        <w:t>the</w:t>
      </w:r>
      <w:r>
        <w:rPr>
          <w:spacing w:val="-7"/>
          <w:sz w:val="22"/>
        </w:rPr>
        <w:t> </w:t>
      </w:r>
      <w:r>
        <w:rPr>
          <w:sz w:val="22"/>
        </w:rPr>
        <w:t>state</w:t>
      </w:r>
      <w:r>
        <w:rPr>
          <w:spacing w:val="-6"/>
          <w:sz w:val="22"/>
        </w:rPr>
        <w:t> </w:t>
      </w:r>
      <w:r>
        <w:rPr>
          <w:spacing w:val="-2"/>
          <w:sz w:val="22"/>
        </w:rPr>
        <w:t>level.</w:t>
      </w:r>
    </w:p>
    <w:p>
      <w:pPr>
        <w:pStyle w:val="BodyText"/>
        <w:spacing w:before="11"/>
      </w:pPr>
    </w:p>
    <w:p>
      <w:pPr>
        <w:pStyle w:val="ListParagraph"/>
        <w:numPr>
          <w:ilvl w:val="0"/>
          <w:numId w:val="11"/>
        </w:numPr>
        <w:tabs>
          <w:tab w:pos="1179" w:val="left" w:leader="none"/>
        </w:tabs>
        <w:spacing w:line="240" w:lineRule="auto" w:before="0" w:after="0"/>
        <w:ind w:left="1179" w:right="0" w:hanging="359"/>
        <w:jc w:val="left"/>
        <w:rPr>
          <w:sz w:val="22"/>
        </w:rPr>
      </w:pPr>
      <w:bookmarkStart w:name="4. Protect and support undocumented yout" w:id="65"/>
      <w:bookmarkEnd w:id="65"/>
      <w:r>
        <w:rPr/>
      </w:r>
      <w:r>
        <w:rPr>
          <w:sz w:val="22"/>
        </w:rPr>
        <w:t>Protect</w:t>
      </w:r>
      <w:r>
        <w:rPr>
          <w:spacing w:val="-12"/>
          <w:sz w:val="22"/>
        </w:rPr>
        <w:t> </w:t>
      </w:r>
      <w:r>
        <w:rPr>
          <w:sz w:val="22"/>
        </w:rPr>
        <w:t>and</w:t>
      </w:r>
      <w:r>
        <w:rPr>
          <w:spacing w:val="-11"/>
          <w:sz w:val="22"/>
        </w:rPr>
        <w:t> </w:t>
      </w:r>
      <w:r>
        <w:rPr>
          <w:sz w:val="22"/>
        </w:rPr>
        <w:t>support</w:t>
      </w:r>
      <w:r>
        <w:rPr>
          <w:spacing w:val="-10"/>
          <w:sz w:val="22"/>
        </w:rPr>
        <w:t> </w:t>
      </w:r>
      <w:r>
        <w:rPr>
          <w:sz w:val="22"/>
        </w:rPr>
        <w:t>undocumented</w:t>
      </w:r>
      <w:r>
        <w:rPr>
          <w:spacing w:val="-10"/>
          <w:sz w:val="22"/>
        </w:rPr>
        <w:t> </w:t>
      </w:r>
      <w:r>
        <w:rPr>
          <w:spacing w:val="-2"/>
          <w:sz w:val="22"/>
        </w:rPr>
        <w:t>youth.</w:t>
      </w:r>
    </w:p>
    <w:p>
      <w:pPr>
        <w:spacing w:after="0" w:line="240" w:lineRule="auto"/>
        <w:jc w:val="left"/>
        <w:rPr>
          <w:sz w:val="22"/>
        </w:rPr>
        <w:sectPr>
          <w:headerReference w:type="default" r:id="rId38"/>
          <w:footerReference w:type="default" r:id="rId39"/>
          <w:pgSz w:w="12240" w:h="15840"/>
          <w:pgMar w:header="0" w:footer="1061" w:top="1140" w:bottom="1260" w:left="980" w:right="1160"/>
        </w:sectPr>
      </w:pPr>
    </w:p>
    <w:p>
      <w:pPr>
        <w:spacing w:before="29"/>
        <w:ind w:left="604" w:right="0" w:firstLine="0"/>
        <w:jc w:val="both"/>
        <w:rPr>
          <w:sz w:val="28"/>
        </w:rPr>
      </w:pPr>
      <w:bookmarkStart w:name="Understanding Environmental Justice (202" w:id="66"/>
      <w:bookmarkEnd w:id="66"/>
      <w:r>
        <w:rPr/>
      </w:r>
      <w:r>
        <w:rPr>
          <w:color w:val="365F91"/>
          <w:spacing w:val="-2"/>
          <w:sz w:val="28"/>
        </w:rPr>
        <w:t>Understanding</w:t>
      </w:r>
      <w:r>
        <w:rPr>
          <w:color w:val="365F91"/>
          <w:spacing w:val="3"/>
          <w:sz w:val="28"/>
        </w:rPr>
        <w:t> </w:t>
      </w:r>
      <w:r>
        <w:rPr>
          <w:color w:val="365F91"/>
          <w:spacing w:val="-2"/>
          <w:sz w:val="28"/>
        </w:rPr>
        <w:t>Environmental</w:t>
      </w:r>
      <w:r>
        <w:rPr>
          <w:color w:val="365F91"/>
          <w:spacing w:val="3"/>
          <w:sz w:val="28"/>
        </w:rPr>
        <w:t> </w:t>
      </w:r>
      <w:r>
        <w:rPr>
          <w:color w:val="365F91"/>
          <w:spacing w:val="-2"/>
          <w:sz w:val="28"/>
        </w:rPr>
        <w:t>Justice</w:t>
      </w:r>
      <w:r>
        <w:rPr>
          <w:color w:val="365F91"/>
          <w:spacing w:val="3"/>
          <w:sz w:val="28"/>
        </w:rPr>
        <w:t> </w:t>
      </w:r>
      <w:r>
        <w:rPr>
          <w:color w:val="365F91"/>
          <w:spacing w:val="-2"/>
          <w:sz w:val="28"/>
        </w:rPr>
        <w:t>(2023)</w:t>
      </w:r>
    </w:p>
    <w:p>
      <w:pPr>
        <w:pStyle w:val="BodyText"/>
        <w:spacing w:line="276" w:lineRule="auto" w:before="293"/>
        <w:ind w:left="604" w:right="420"/>
        <w:jc w:val="both"/>
      </w:pPr>
      <w:r>
        <w:rPr/>
        <w:t>Research examining the environmental justice needs of LGBTQ communities is still emerging, but a growing</w:t>
      </w:r>
      <w:r>
        <w:rPr>
          <w:spacing w:val="-6"/>
        </w:rPr>
        <w:t> </w:t>
      </w:r>
      <w:r>
        <w:rPr/>
        <w:t>body</w:t>
      </w:r>
      <w:r>
        <w:rPr>
          <w:spacing w:val="-4"/>
        </w:rPr>
        <w:t> </w:t>
      </w:r>
      <w:r>
        <w:rPr/>
        <w:t>of</w:t>
      </w:r>
      <w:r>
        <w:rPr>
          <w:spacing w:val="-5"/>
        </w:rPr>
        <w:t> </w:t>
      </w:r>
      <w:r>
        <w:rPr/>
        <w:t>evidence</w:t>
      </w:r>
      <w:r>
        <w:rPr>
          <w:spacing w:val="-6"/>
        </w:rPr>
        <w:t> </w:t>
      </w:r>
      <w:r>
        <w:rPr/>
        <w:t>indicates</w:t>
      </w:r>
      <w:r>
        <w:rPr>
          <w:spacing w:val="-5"/>
        </w:rPr>
        <w:t> </w:t>
      </w:r>
      <w:r>
        <w:rPr/>
        <w:t>that</w:t>
      </w:r>
      <w:r>
        <w:rPr>
          <w:spacing w:val="-5"/>
        </w:rPr>
        <w:t> </w:t>
      </w:r>
      <w:r>
        <w:rPr/>
        <w:t>environmental</w:t>
      </w:r>
      <w:r>
        <w:rPr>
          <w:spacing w:val="-5"/>
        </w:rPr>
        <w:t> </w:t>
      </w:r>
      <w:r>
        <w:rPr/>
        <w:t>justice</w:t>
      </w:r>
      <w:r>
        <w:rPr>
          <w:spacing w:val="-4"/>
        </w:rPr>
        <w:t> </w:t>
      </w:r>
      <w:r>
        <w:rPr/>
        <w:t>is</w:t>
      </w:r>
      <w:r>
        <w:rPr>
          <w:spacing w:val="-5"/>
        </w:rPr>
        <w:t> </w:t>
      </w:r>
      <w:r>
        <w:rPr/>
        <w:t>a</w:t>
      </w:r>
      <w:r>
        <w:rPr>
          <w:spacing w:val="-4"/>
        </w:rPr>
        <w:t> </w:t>
      </w:r>
      <w:r>
        <w:rPr/>
        <w:t>key</w:t>
      </w:r>
      <w:r>
        <w:rPr>
          <w:spacing w:val="-5"/>
        </w:rPr>
        <w:t> </w:t>
      </w:r>
      <w:r>
        <w:rPr/>
        <w:t>element</w:t>
      </w:r>
      <w:r>
        <w:rPr>
          <w:spacing w:val="-5"/>
        </w:rPr>
        <w:t> </w:t>
      </w:r>
      <w:r>
        <w:rPr/>
        <w:t>of</w:t>
      </w:r>
      <w:r>
        <w:rPr>
          <w:spacing w:val="-5"/>
        </w:rPr>
        <w:t> </w:t>
      </w:r>
      <w:r>
        <w:rPr/>
        <w:t>the</w:t>
      </w:r>
      <w:r>
        <w:rPr>
          <w:spacing w:val="-4"/>
        </w:rPr>
        <w:t> </w:t>
      </w:r>
      <w:r>
        <w:rPr/>
        <w:t>complex</w:t>
      </w:r>
      <w:r>
        <w:rPr>
          <w:spacing w:val="-6"/>
        </w:rPr>
        <w:t> </w:t>
      </w:r>
      <w:r>
        <w:rPr/>
        <w:t>web</w:t>
      </w:r>
      <w:r>
        <w:rPr>
          <w:spacing w:val="-6"/>
        </w:rPr>
        <w:t> </w:t>
      </w:r>
      <w:r>
        <w:rPr/>
        <w:t>of inequities that impact the health and well-being of LGBTQ youth, particularly LGBTQ youth of color and Indigenous, immigrant, disabled, and low-income LGBTQ youth. The necessity of examining the undue environmental burdens placed on LGBTQ youth is undeniable; exposure to environmental stressors such as air pollution and toxic chemicals exacerbates the health and economic inequalities LGBTQ communities already face. Those who hold multiple marginalized identities, such as QTBIPOC youth, experience compounding effects from multiple overlapping systems of oppression.</w:t>
      </w:r>
    </w:p>
    <w:p>
      <w:pPr>
        <w:pStyle w:val="BodyText"/>
        <w:spacing w:line="276" w:lineRule="auto" w:before="239"/>
        <w:ind w:left="603" w:right="421"/>
        <w:jc w:val="both"/>
      </w:pPr>
      <w:r>
        <w:rPr/>
        <w:t>Developing a more complete picture of the burdens and injustices faced by LGBTQ youth in Massachusetts, a population which itself holds great diversity, requires bringing intersectionality to the forefront and understanding the interactions between the multiple social, economic, environmental, and institutional systems that impact LGBTQ youth. As environmental justice and climate justice become increasingly high policy priorities in Massachusetts under the leadership of Governor Maura Healey, we must make sure that the needs of diverse LGBTQ communities are meaningfully incorporated into environmental and climate policymaking.</w:t>
      </w:r>
    </w:p>
    <w:p>
      <w:pPr>
        <w:pStyle w:val="BodyText"/>
        <w:spacing w:line="276" w:lineRule="auto" w:before="240"/>
        <w:ind w:left="604" w:right="424"/>
        <w:jc w:val="both"/>
      </w:pPr>
      <w:bookmarkStart w:name="In this section of the Commission’s annu" w:id="67"/>
      <w:bookmarkEnd w:id="67"/>
      <w:r>
        <w:rPr/>
      </w:r>
      <w:r>
        <w:rPr/>
        <w:t>In</w:t>
      </w:r>
      <w:r>
        <w:rPr>
          <w:spacing w:val="-1"/>
        </w:rPr>
        <w:t> </w:t>
      </w:r>
      <w:r>
        <w:rPr/>
        <w:t>this section</w:t>
      </w:r>
      <w:r>
        <w:rPr>
          <w:spacing w:val="-1"/>
        </w:rPr>
        <w:t> </w:t>
      </w:r>
      <w:r>
        <w:rPr/>
        <w:t>of the</w:t>
      </w:r>
      <w:r>
        <w:rPr>
          <w:spacing w:val="-1"/>
        </w:rPr>
        <w:t> </w:t>
      </w:r>
      <w:r>
        <w:rPr/>
        <w:t>Commission’s annual</w:t>
      </w:r>
      <w:r>
        <w:rPr>
          <w:spacing w:val="-1"/>
        </w:rPr>
        <w:t> </w:t>
      </w:r>
      <w:r>
        <w:rPr/>
        <w:t>report, the</w:t>
      </w:r>
      <w:r>
        <w:rPr>
          <w:spacing w:val="-1"/>
        </w:rPr>
        <w:t> </w:t>
      </w:r>
      <w:r>
        <w:rPr/>
        <w:t>environmental</w:t>
      </w:r>
      <w:r>
        <w:rPr>
          <w:spacing w:val="-1"/>
        </w:rPr>
        <w:t> </w:t>
      </w:r>
      <w:r>
        <w:rPr/>
        <w:t>justice needs of LGBTQ</w:t>
      </w:r>
      <w:r>
        <w:rPr>
          <w:spacing w:val="-1"/>
        </w:rPr>
        <w:t> </w:t>
      </w:r>
      <w:r>
        <w:rPr/>
        <w:t>youth</w:t>
      </w:r>
      <w:r>
        <w:rPr>
          <w:spacing w:val="-1"/>
        </w:rPr>
        <w:t> </w:t>
      </w:r>
      <w:r>
        <w:rPr/>
        <w:t>in Massachusetts will be explored.</w:t>
      </w:r>
    </w:p>
    <w:p>
      <w:pPr>
        <w:spacing w:before="240"/>
        <w:ind w:left="604" w:right="0" w:firstLine="0"/>
        <w:jc w:val="both"/>
        <w:rPr>
          <w:sz w:val="25"/>
        </w:rPr>
      </w:pPr>
      <w:bookmarkStart w:name="FY 2025 Recommendations to the Governor " w:id="68"/>
      <w:bookmarkEnd w:id="68"/>
      <w:r>
        <w:rPr/>
      </w:r>
      <w:r>
        <w:rPr>
          <w:color w:val="404040"/>
          <w:sz w:val="25"/>
        </w:rPr>
        <w:t>FY</w:t>
      </w:r>
      <w:r>
        <w:rPr>
          <w:color w:val="404040"/>
          <w:spacing w:val="-10"/>
          <w:sz w:val="25"/>
        </w:rPr>
        <w:t> </w:t>
      </w:r>
      <w:r>
        <w:rPr>
          <w:color w:val="404040"/>
          <w:sz w:val="25"/>
        </w:rPr>
        <w:t>2025</w:t>
      </w:r>
      <w:r>
        <w:rPr>
          <w:color w:val="404040"/>
          <w:spacing w:val="-9"/>
          <w:sz w:val="25"/>
        </w:rPr>
        <w:t> </w:t>
      </w:r>
      <w:r>
        <w:rPr>
          <w:color w:val="404040"/>
          <w:sz w:val="25"/>
        </w:rPr>
        <w:t>Recommendations</w:t>
      </w:r>
      <w:r>
        <w:rPr>
          <w:color w:val="404040"/>
          <w:spacing w:val="-10"/>
          <w:sz w:val="25"/>
        </w:rPr>
        <w:t> </w:t>
      </w:r>
      <w:r>
        <w:rPr>
          <w:color w:val="404040"/>
          <w:sz w:val="25"/>
        </w:rPr>
        <w:t>to</w:t>
      </w:r>
      <w:r>
        <w:rPr>
          <w:color w:val="404040"/>
          <w:spacing w:val="-9"/>
          <w:sz w:val="25"/>
        </w:rPr>
        <w:t> </w:t>
      </w:r>
      <w:r>
        <w:rPr>
          <w:color w:val="404040"/>
          <w:sz w:val="25"/>
        </w:rPr>
        <w:t>the</w:t>
      </w:r>
      <w:r>
        <w:rPr>
          <w:color w:val="404040"/>
          <w:spacing w:val="-7"/>
          <w:sz w:val="25"/>
        </w:rPr>
        <w:t> </w:t>
      </w:r>
      <w:r>
        <w:rPr>
          <w:color w:val="404040"/>
          <w:sz w:val="25"/>
        </w:rPr>
        <w:t>Governor</w:t>
      </w:r>
      <w:r>
        <w:rPr>
          <w:color w:val="404040"/>
          <w:spacing w:val="-9"/>
          <w:sz w:val="25"/>
        </w:rPr>
        <w:t> </w:t>
      </w:r>
      <w:r>
        <w:rPr>
          <w:color w:val="404040"/>
          <w:sz w:val="25"/>
        </w:rPr>
        <w:t>&amp;</w:t>
      </w:r>
      <w:r>
        <w:rPr>
          <w:color w:val="404040"/>
          <w:spacing w:val="-9"/>
          <w:sz w:val="25"/>
        </w:rPr>
        <w:t> </w:t>
      </w:r>
      <w:r>
        <w:rPr>
          <w:color w:val="404040"/>
          <w:sz w:val="25"/>
        </w:rPr>
        <w:t>Legislature</w:t>
      </w:r>
      <w:r>
        <w:rPr>
          <w:color w:val="404040"/>
          <w:spacing w:val="-8"/>
          <w:sz w:val="25"/>
        </w:rPr>
        <w:t> </w:t>
      </w:r>
      <w:r>
        <w:rPr>
          <w:color w:val="404040"/>
          <w:sz w:val="25"/>
        </w:rPr>
        <w:t>on</w:t>
      </w:r>
      <w:r>
        <w:rPr>
          <w:color w:val="404040"/>
          <w:spacing w:val="-10"/>
          <w:sz w:val="25"/>
        </w:rPr>
        <w:t> </w:t>
      </w:r>
      <w:r>
        <w:rPr>
          <w:color w:val="404040"/>
          <w:sz w:val="25"/>
        </w:rPr>
        <w:t>Environmental</w:t>
      </w:r>
      <w:r>
        <w:rPr>
          <w:color w:val="404040"/>
          <w:spacing w:val="-8"/>
          <w:sz w:val="25"/>
        </w:rPr>
        <w:t> </w:t>
      </w:r>
      <w:r>
        <w:rPr>
          <w:color w:val="404040"/>
          <w:spacing w:val="-2"/>
          <w:sz w:val="25"/>
        </w:rPr>
        <w:t>Justice</w:t>
      </w:r>
    </w:p>
    <w:p>
      <w:pPr>
        <w:pStyle w:val="ListParagraph"/>
        <w:numPr>
          <w:ilvl w:val="0"/>
          <w:numId w:val="12"/>
        </w:numPr>
        <w:tabs>
          <w:tab w:pos="1048" w:val="left" w:leader="none"/>
          <w:tab w:pos="1050" w:val="left" w:leader="none"/>
        </w:tabs>
        <w:spacing w:line="276" w:lineRule="auto" w:before="286" w:after="0"/>
        <w:ind w:left="1050" w:right="639" w:hanging="231"/>
        <w:jc w:val="left"/>
        <w:rPr>
          <w:sz w:val="22"/>
        </w:rPr>
      </w:pPr>
      <w:bookmarkStart w:name="1. Expand existing policies and programs" w:id="69"/>
      <w:bookmarkEnd w:id="69"/>
      <w:r>
        <w:rPr/>
      </w:r>
      <w:r>
        <w:rPr>
          <w:sz w:val="22"/>
        </w:rPr>
        <w:t>Expand</w:t>
      </w:r>
      <w:r>
        <w:rPr>
          <w:spacing w:val="33"/>
          <w:sz w:val="22"/>
        </w:rPr>
        <w:t> </w:t>
      </w:r>
      <w:r>
        <w:rPr>
          <w:sz w:val="22"/>
        </w:rPr>
        <w:t>existing</w:t>
      </w:r>
      <w:r>
        <w:rPr>
          <w:spacing w:val="33"/>
          <w:sz w:val="22"/>
        </w:rPr>
        <w:t> </w:t>
      </w:r>
      <w:r>
        <w:rPr>
          <w:sz w:val="22"/>
        </w:rPr>
        <w:t>policies</w:t>
      </w:r>
      <w:r>
        <w:rPr>
          <w:spacing w:val="34"/>
          <w:sz w:val="22"/>
        </w:rPr>
        <w:t> </w:t>
      </w:r>
      <w:r>
        <w:rPr>
          <w:sz w:val="22"/>
        </w:rPr>
        <w:t>and</w:t>
      </w:r>
      <w:r>
        <w:rPr>
          <w:spacing w:val="33"/>
          <w:sz w:val="22"/>
        </w:rPr>
        <w:t> </w:t>
      </w:r>
      <w:r>
        <w:rPr>
          <w:sz w:val="22"/>
        </w:rPr>
        <w:t>programs</w:t>
      </w:r>
      <w:r>
        <w:rPr>
          <w:spacing w:val="34"/>
          <w:sz w:val="22"/>
        </w:rPr>
        <w:t> </w:t>
      </w:r>
      <w:r>
        <w:rPr>
          <w:sz w:val="22"/>
        </w:rPr>
        <w:t>addressing</w:t>
      </w:r>
      <w:r>
        <w:rPr>
          <w:spacing w:val="35"/>
          <w:sz w:val="22"/>
        </w:rPr>
        <w:t> </w:t>
      </w:r>
      <w:r>
        <w:rPr>
          <w:sz w:val="22"/>
        </w:rPr>
        <w:t>environmental</w:t>
      </w:r>
      <w:r>
        <w:rPr>
          <w:spacing w:val="32"/>
          <w:sz w:val="22"/>
        </w:rPr>
        <w:t> </w:t>
      </w:r>
      <w:r>
        <w:rPr>
          <w:sz w:val="22"/>
        </w:rPr>
        <w:t>inequities</w:t>
      </w:r>
      <w:r>
        <w:rPr>
          <w:spacing w:val="34"/>
          <w:sz w:val="22"/>
        </w:rPr>
        <w:t> </w:t>
      </w:r>
      <w:r>
        <w:rPr>
          <w:sz w:val="22"/>
        </w:rPr>
        <w:t>to</w:t>
      </w:r>
      <w:r>
        <w:rPr>
          <w:spacing w:val="33"/>
          <w:sz w:val="22"/>
        </w:rPr>
        <w:t> </w:t>
      </w:r>
      <w:r>
        <w:rPr>
          <w:sz w:val="22"/>
        </w:rPr>
        <w:t>include</w:t>
      </w:r>
      <w:r>
        <w:rPr>
          <w:spacing w:val="33"/>
          <w:sz w:val="22"/>
        </w:rPr>
        <w:t> </w:t>
      </w:r>
      <w:r>
        <w:rPr>
          <w:sz w:val="22"/>
        </w:rPr>
        <w:t>and address the unique impacts on LGBTQ youth across the Commonwealth.</w:t>
      </w:r>
    </w:p>
    <w:p>
      <w:pPr>
        <w:pStyle w:val="ListParagraph"/>
        <w:numPr>
          <w:ilvl w:val="0"/>
          <w:numId w:val="12"/>
        </w:numPr>
        <w:tabs>
          <w:tab w:pos="1048" w:val="left" w:leader="none"/>
          <w:tab w:pos="1050" w:val="left" w:leader="none"/>
        </w:tabs>
        <w:spacing w:line="276" w:lineRule="auto" w:before="240" w:after="0"/>
        <w:ind w:left="1050" w:right="636" w:hanging="231"/>
        <w:jc w:val="left"/>
        <w:rPr>
          <w:sz w:val="22"/>
        </w:rPr>
      </w:pPr>
      <w:bookmarkStart w:name="2. Promote QTBIPOC youth voice in enviro" w:id="70"/>
      <w:bookmarkEnd w:id="70"/>
      <w:r>
        <w:rPr/>
      </w:r>
      <w:r>
        <w:rPr>
          <w:sz w:val="22"/>
        </w:rPr>
        <w:t>Promote QTBIPOC youth voice in environmental justice initiatives, research, working groups, and task forces.</w:t>
      </w:r>
    </w:p>
    <w:p>
      <w:pPr>
        <w:pStyle w:val="ListParagraph"/>
        <w:numPr>
          <w:ilvl w:val="0"/>
          <w:numId w:val="12"/>
        </w:numPr>
        <w:tabs>
          <w:tab w:pos="1049" w:val="left" w:leader="none"/>
        </w:tabs>
        <w:spacing w:line="240" w:lineRule="auto" w:before="241" w:after="0"/>
        <w:ind w:left="1049" w:right="0" w:hanging="229"/>
        <w:jc w:val="left"/>
        <w:rPr>
          <w:sz w:val="22"/>
        </w:rPr>
      </w:pPr>
      <w:bookmarkStart w:name="3. Improve access to quality health care" w:id="71"/>
      <w:bookmarkEnd w:id="71"/>
      <w:r>
        <w:rPr/>
      </w:r>
      <w:r>
        <w:rPr>
          <w:sz w:val="22"/>
        </w:rPr>
        <w:t>Improve</w:t>
      </w:r>
      <w:r>
        <w:rPr>
          <w:spacing w:val="-8"/>
          <w:sz w:val="22"/>
        </w:rPr>
        <w:t> </w:t>
      </w:r>
      <w:r>
        <w:rPr>
          <w:sz w:val="22"/>
        </w:rPr>
        <w:t>access</w:t>
      </w:r>
      <w:r>
        <w:rPr>
          <w:spacing w:val="-8"/>
          <w:sz w:val="22"/>
        </w:rPr>
        <w:t> </w:t>
      </w:r>
      <w:r>
        <w:rPr>
          <w:sz w:val="22"/>
        </w:rPr>
        <w:t>to</w:t>
      </w:r>
      <w:r>
        <w:rPr>
          <w:spacing w:val="-7"/>
          <w:sz w:val="22"/>
        </w:rPr>
        <w:t> </w:t>
      </w:r>
      <w:r>
        <w:rPr>
          <w:sz w:val="22"/>
        </w:rPr>
        <w:t>quality</w:t>
      </w:r>
      <w:r>
        <w:rPr>
          <w:spacing w:val="-5"/>
          <w:sz w:val="22"/>
        </w:rPr>
        <w:t> </w:t>
      </w:r>
      <w:r>
        <w:rPr>
          <w:sz w:val="22"/>
        </w:rPr>
        <w:t>health</w:t>
      </w:r>
      <w:r>
        <w:rPr>
          <w:spacing w:val="-7"/>
          <w:sz w:val="22"/>
        </w:rPr>
        <w:t> </w:t>
      </w:r>
      <w:r>
        <w:rPr>
          <w:sz w:val="22"/>
        </w:rPr>
        <w:t>care,</w:t>
      </w:r>
      <w:r>
        <w:rPr>
          <w:spacing w:val="-8"/>
          <w:sz w:val="22"/>
        </w:rPr>
        <w:t> </w:t>
      </w:r>
      <w:r>
        <w:rPr>
          <w:sz w:val="22"/>
        </w:rPr>
        <w:t>affordable</w:t>
      </w:r>
      <w:r>
        <w:rPr>
          <w:spacing w:val="-8"/>
          <w:sz w:val="22"/>
        </w:rPr>
        <w:t> </w:t>
      </w:r>
      <w:r>
        <w:rPr>
          <w:sz w:val="22"/>
        </w:rPr>
        <w:t>housing,</w:t>
      </w:r>
      <w:r>
        <w:rPr>
          <w:spacing w:val="-8"/>
          <w:sz w:val="22"/>
        </w:rPr>
        <w:t> </w:t>
      </w:r>
      <w:r>
        <w:rPr>
          <w:sz w:val="22"/>
        </w:rPr>
        <w:t>and</w:t>
      </w:r>
      <w:r>
        <w:rPr>
          <w:spacing w:val="-8"/>
          <w:sz w:val="22"/>
        </w:rPr>
        <w:t> </w:t>
      </w:r>
      <w:r>
        <w:rPr>
          <w:sz w:val="22"/>
        </w:rPr>
        <w:t>stable</w:t>
      </w:r>
      <w:r>
        <w:rPr>
          <w:spacing w:val="-7"/>
          <w:sz w:val="22"/>
        </w:rPr>
        <w:t> </w:t>
      </w:r>
      <w:r>
        <w:rPr>
          <w:spacing w:val="-2"/>
          <w:sz w:val="22"/>
        </w:rPr>
        <w:t>income.</w:t>
      </w:r>
    </w:p>
    <w:p>
      <w:pPr>
        <w:spacing w:after="0" w:line="240" w:lineRule="auto"/>
        <w:jc w:val="left"/>
        <w:rPr>
          <w:sz w:val="22"/>
        </w:rPr>
        <w:sectPr>
          <w:headerReference w:type="default" r:id="rId40"/>
          <w:footerReference w:type="default" r:id="rId41"/>
          <w:pgSz w:w="12240" w:h="15840"/>
          <w:pgMar w:header="0" w:footer="1061" w:top="1140" w:bottom="1260" w:left="980" w:right="1160"/>
        </w:sectPr>
      </w:pPr>
    </w:p>
    <w:p>
      <w:pPr>
        <w:spacing w:before="29"/>
        <w:ind w:left="604" w:right="0" w:firstLine="0"/>
        <w:jc w:val="both"/>
        <w:rPr>
          <w:sz w:val="28"/>
        </w:rPr>
      </w:pPr>
      <w:bookmarkStart w:name="Examining Economic Justice (2024)" w:id="72"/>
      <w:bookmarkEnd w:id="72"/>
      <w:r>
        <w:rPr/>
      </w:r>
      <w:r>
        <w:rPr>
          <w:color w:val="365F91"/>
          <w:sz w:val="28"/>
        </w:rPr>
        <w:t>Examining</w:t>
      </w:r>
      <w:r>
        <w:rPr>
          <w:color w:val="365F91"/>
          <w:spacing w:val="-14"/>
          <w:sz w:val="28"/>
        </w:rPr>
        <w:t> </w:t>
      </w:r>
      <w:r>
        <w:rPr>
          <w:color w:val="365F91"/>
          <w:sz w:val="28"/>
        </w:rPr>
        <w:t>Economic</w:t>
      </w:r>
      <w:r>
        <w:rPr>
          <w:color w:val="365F91"/>
          <w:spacing w:val="-13"/>
          <w:sz w:val="28"/>
        </w:rPr>
        <w:t> </w:t>
      </w:r>
      <w:r>
        <w:rPr>
          <w:color w:val="365F91"/>
          <w:sz w:val="28"/>
        </w:rPr>
        <w:t>Justice</w:t>
      </w:r>
      <w:r>
        <w:rPr>
          <w:color w:val="365F91"/>
          <w:spacing w:val="-13"/>
          <w:sz w:val="28"/>
        </w:rPr>
        <w:t> </w:t>
      </w:r>
      <w:r>
        <w:rPr>
          <w:color w:val="365F91"/>
          <w:spacing w:val="-2"/>
          <w:sz w:val="28"/>
        </w:rPr>
        <w:t>(2024)</w:t>
      </w:r>
    </w:p>
    <w:p>
      <w:pPr>
        <w:spacing w:line="276" w:lineRule="auto" w:before="293"/>
        <w:ind w:left="603" w:right="419" w:firstLine="0"/>
        <w:jc w:val="both"/>
        <w:rPr>
          <w:sz w:val="21"/>
        </w:rPr>
      </w:pPr>
      <w:r>
        <w:rPr>
          <w:sz w:val="21"/>
        </w:rPr>
        <w:t>LGBTQ</w:t>
      </w:r>
      <w:r>
        <w:rPr>
          <w:spacing w:val="-2"/>
          <w:sz w:val="21"/>
        </w:rPr>
        <w:t> </w:t>
      </w:r>
      <w:r>
        <w:rPr>
          <w:sz w:val="21"/>
        </w:rPr>
        <w:t>youth</w:t>
      </w:r>
      <w:r>
        <w:rPr>
          <w:spacing w:val="-3"/>
          <w:sz w:val="21"/>
        </w:rPr>
        <w:t> </w:t>
      </w:r>
      <w:r>
        <w:rPr>
          <w:sz w:val="21"/>
        </w:rPr>
        <w:t>in</w:t>
      </w:r>
      <w:r>
        <w:rPr>
          <w:spacing w:val="-2"/>
          <w:sz w:val="21"/>
        </w:rPr>
        <w:t> </w:t>
      </w:r>
      <w:r>
        <w:rPr>
          <w:sz w:val="21"/>
        </w:rPr>
        <w:t>Massachusetts</w:t>
      </w:r>
      <w:r>
        <w:rPr>
          <w:spacing w:val="-2"/>
          <w:sz w:val="21"/>
        </w:rPr>
        <w:t> </w:t>
      </w:r>
      <w:r>
        <w:rPr>
          <w:sz w:val="21"/>
        </w:rPr>
        <w:t>face</w:t>
      </w:r>
      <w:r>
        <w:rPr>
          <w:spacing w:val="-3"/>
          <w:sz w:val="21"/>
        </w:rPr>
        <w:t> </w:t>
      </w:r>
      <w:r>
        <w:rPr>
          <w:sz w:val="21"/>
        </w:rPr>
        <w:t>several</w:t>
      </w:r>
      <w:r>
        <w:rPr>
          <w:spacing w:val="-2"/>
          <w:sz w:val="21"/>
        </w:rPr>
        <w:t> </w:t>
      </w:r>
      <w:r>
        <w:rPr>
          <w:sz w:val="21"/>
        </w:rPr>
        <w:t>barriers</w:t>
      </w:r>
      <w:r>
        <w:rPr>
          <w:spacing w:val="-4"/>
          <w:sz w:val="21"/>
        </w:rPr>
        <w:t> </w:t>
      </w:r>
      <w:r>
        <w:rPr>
          <w:sz w:val="21"/>
        </w:rPr>
        <w:t>to</w:t>
      </w:r>
      <w:r>
        <w:rPr>
          <w:spacing w:val="-3"/>
          <w:sz w:val="21"/>
        </w:rPr>
        <w:t> </w:t>
      </w:r>
      <w:r>
        <w:rPr>
          <w:sz w:val="21"/>
        </w:rPr>
        <w:t>economic</w:t>
      </w:r>
      <w:r>
        <w:rPr>
          <w:spacing w:val="-2"/>
          <w:sz w:val="21"/>
        </w:rPr>
        <w:t> </w:t>
      </w:r>
      <w:r>
        <w:rPr>
          <w:sz w:val="21"/>
        </w:rPr>
        <w:t>success,</w:t>
      </w:r>
      <w:r>
        <w:rPr>
          <w:spacing w:val="-1"/>
          <w:sz w:val="21"/>
        </w:rPr>
        <w:t> </w:t>
      </w:r>
      <w:r>
        <w:rPr>
          <w:sz w:val="21"/>
        </w:rPr>
        <w:t>ranging</w:t>
      </w:r>
      <w:r>
        <w:rPr>
          <w:spacing w:val="-2"/>
          <w:sz w:val="21"/>
        </w:rPr>
        <w:t> </w:t>
      </w:r>
      <w:r>
        <w:rPr>
          <w:sz w:val="21"/>
        </w:rPr>
        <w:t>from</w:t>
      </w:r>
      <w:r>
        <w:rPr>
          <w:spacing w:val="-2"/>
          <w:sz w:val="21"/>
        </w:rPr>
        <w:t> </w:t>
      </w:r>
      <w:r>
        <w:rPr>
          <w:sz w:val="21"/>
        </w:rPr>
        <w:t>lack</w:t>
      </w:r>
      <w:r>
        <w:rPr>
          <w:spacing w:val="-2"/>
          <w:sz w:val="21"/>
        </w:rPr>
        <w:t> </w:t>
      </w:r>
      <w:r>
        <w:rPr>
          <w:sz w:val="21"/>
        </w:rPr>
        <w:t>of</w:t>
      </w:r>
      <w:r>
        <w:rPr>
          <w:spacing w:val="-2"/>
          <w:sz w:val="21"/>
        </w:rPr>
        <w:t> </w:t>
      </w:r>
      <w:r>
        <w:rPr>
          <w:sz w:val="21"/>
        </w:rPr>
        <w:t>educational and</w:t>
      </w:r>
      <w:r>
        <w:rPr>
          <w:spacing w:val="-5"/>
          <w:sz w:val="21"/>
        </w:rPr>
        <w:t> </w:t>
      </w:r>
      <w:r>
        <w:rPr>
          <w:sz w:val="21"/>
        </w:rPr>
        <w:t>career</w:t>
      </w:r>
      <w:r>
        <w:rPr>
          <w:spacing w:val="-5"/>
          <w:sz w:val="21"/>
        </w:rPr>
        <w:t> </w:t>
      </w:r>
      <w:r>
        <w:rPr>
          <w:sz w:val="21"/>
        </w:rPr>
        <w:t>readiness</w:t>
      </w:r>
      <w:r>
        <w:rPr>
          <w:spacing w:val="-6"/>
          <w:sz w:val="21"/>
        </w:rPr>
        <w:t> </w:t>
      </w:r>
      <w:r>
        <w:rPr>
          <w:sz w:val="21"/>
        </w:rPr>
        <w:t>resources</w:t>
      </w:r>
      <w:r>
        <w:rPr>
          <w:spacing w:val="-6"/>
          <w:sz w:val="21"/>
        </w:rPr>
        <w:t> </w:t>
      </w:r>
      <w:r>
        <w:rPr>
          <w:sz w:val="21"/>
        </w:rPr>
        <w:t>to</w:t>
      </w:r>
      <w:r>
        <w:rPr>
          <w:spacing w:val="-6"/>
          <w:sz w:val="21"/>
        </w:rPr>
        <w:t> </w:t>
      </w:r>
      <w:r>
        <w:rPr>
          <w:sz w:val="21"/>
        </w:rPr>
        <w:t>discrimination</w:t>
      </w:r>
      <w:r>
        <w:rPr>
          <w:spacing w:val="-5"/>
          <w:sz w:val="21"/>
        </w:rPr>
        <w:t> </w:t>
      </w:r>
      <w:r>
        <w:rPr>
          <w:sz w:val="21"/>
        </w:rPr>
        <w:t>based</w:t>
      </w:r>
      <w:r>
        <w:rPr>
          <w:spacing w:val="-5"/>
          <w:sz w:val="21"/>
        </w:rPr>
        <w:t> </w:t>
      </w:r>
      <w:r>
        <w:rPr>
          <w:sz w:val="21"/>
        </w:rPr>
        <w:t>on</w:t>
      </w:r>
      <w:r>
        <w:rPr>
          <w:spacing w:val="-5"/>
          <w:sz w:val="21"/>
        </w:rPr>
        <w:t> </w:t>
      </w:r>
      <w:r>
        <w:rPr>
          <w:sz w:val="21"/>
        </w:rPr>
        <w:t>their</w:t>
      </w:r>
      <w:r>
        <w:rPr>
          <w:spacing w:val="-5"/>
          <w:sz w:val="21"/>
        </w:rPr>
        <w:t> </w:t>
      </w:r>
      <w:r>
        <w:rPr>
          <w:sz w:val="21"/>
        </w:rPr>
        <w:t>LGBTQ</w:t>
      </w:r>
      <w:r>
        <w:rPr>
          <w:spacing w:val="-5"/>
          <w:sz w:val="21"/>
        </w:rPr>
        <w:t> </w:t>
      </w:r>
      <w:r>
        <w:rPr>
          <w:sz w:val="21"/>
        </w:rPr>
        <w:t>identity.</w:t>
      </w:r>
      <w:r>
        <w:rPr>
          <w:spacing w:val="-6"/>
          <w:sz w:val="21"/>
        </w:rPr>
        <w:t> </w:t>
      </w:r>
      <w:r>
        <w:rPr>
          <w:sz w:val="21"/>
        </w:rPr>
        <w:t>LGBTQ</w:t>
      </w:r>
      <w:r>
        <w:rPr>
          <w:spacing w:val="-5"/>
          <w:sz w:val="21"/>
        </w:rPr>
        <w:t> </w:t>
      </w:r>
      <w:r>
        <w:rPr>
          <w:sz w:val="21"/>
        </w:rPr>
        <w:t>youth</w:t>
      </w:r>
      <w:r>
        <w:rPr>
          <w:spacing w:val="-5"/>
          <w:sz w:val="21"/>
        </w:rPr>
        <w:t> </w:t>
      </w:r>
      <w:r>
        <w:rPr>
          <w:sz w:val="21"/>
        </w:rPr>
        <w:t>have</w:t>
      </w:r>
      <w:r>
        <w:rPr>
          <w:spacing w:val="-5"/>
          <w:sz w:val="21"/>
        </w:rPr>
        <w:t> </w:t>
      </w:r>
      <w:r>
        <w:rPr>
          <w:sz w:val="21"/>
        </w:rPr>
        <w:t>diverse identities and needs that must be addressed in education to sufficiently prepare them for the workforce. LGBTQ youth are overrepresented in the foster care system due to a lack of supportive homes, are more likely to age out of the foster care system than their cisgender and straight peers and are more likely to experience homelessness when aging out of the foster care system. Youth in the juvenile justice system, including LGBTQ youth, lack quality instruction, educational materials, and support in transitioning out of the</w:t>
      </w:r>
      <w:r>
        <w:rPr>
          <w:spacing w:val="-12"/>
          <w:sz w:val="21"/>
        </w:rPr>
        <w:t> </w:t>
      </w:r>
      <w:r>
        <w:rPr>
          <w:sz w:val="21"/>
        </w:rPr>
        <w:t>system</w:t>
      </w:r>
      <w:r>
        <w:rPr>
          <w:spacing w:val="-11"/>
          <w:sz w:val="21"/>
        </w:rPr>
        <w:t> </w:t>
      </w:r>
      <w:r>
        <w:rPr>
          <w:sz w:val="21"/>
        </w:rPr>
        <w:t>to</w:t>
      </w:r>
      <w:r>
        <w:rPr>
          <w:spacing w:val="-12"/>
          <w:sz w:val="21"/>
        </w:rPr>
        <w:t> </w:t>
      </w:r>
      <w:r>
        <w:rPr>
          <w:sz w:val="21"/>
        </w:rPr>
        <w:t>employment.</w:t>
      </w:r>
      <w:r>
        <w:rPr>
          <w:spacing w:val="-12"/>
          <w:sz w:val="21"/>
        </w:rPr>
        <w:t> </w:t>
      </w:r>
      <w:r>
        <w:rPr>
          <w:sz w:val="21"/>
        </w:rPr>
        <w:t>LGBTQ</w:t>
      </w:r>
      <w:r>
        <w:rPr>
          <w:spacing w:val="-11"/>
          <w:sz w:val="21"/>
        </w:rPr>
        <w:t> </w:t>
      </w:r>
      <w:r>
        <w:rPr>
          <w:sz w:val="21"/>
        </w:rPr>
        <w:t>youth</w:t>
      </w:r>
      <w:r>
        <w:rPr>
          <w:spacing w:val="-12"/>
          <w:sz w:val="21"/>
        </w:rPr>
        <w:t> </w:t>
      </w:r>
      <w:r>
        <w:rPr>
          <w:sz w:val="21"/>
        </w:rPr>
        <w:t>who</w:t>
      </w:r>
      <w:r>
        <w:rPr>
          <w:spacing w:val="-12"/>
          <w:sz w:val="21"/>
        </w:rPr>
        <w:t> </w:t>
      </w:r>
      <w:r>
        <w:rPr>
          <w:sz w:val="21"/>
        </w:rPr>
        <w:t>are</w:t>
      </w:r>
      <w:r>
        <w:rPr>
          <w:spacing w:val="-11"/>
          <w:sz w:val="21"/>
        </w:rPr>
        <w:t> </w:t>
      </w:r>
      <w:r>
        <w:rPr>
          <w:sz w:val="21"/>
        </w:rPr>
        <w:t>immigrants,</w:t>
      </w:r>
      <w:r>
        <w:rPr>
          <w:spacing w:val="-11"/>
          <w:sz w:val="21"/>
        </w:rPr>
        <w:t> </w:t>
      </w:r>
      <w:r>
        <w:rPr>
          <w:sz w:val="21"/>
        </w:rPr>
        <w:t>children</w:t>
      </w:r>
      <w:r>
        <w:rPr>
          <w:spacing w:val="-11"/>
          <w:sz w:val="21"/>
        </w:rPr>
        <w:t> </w:t>
      </w:r>
      <w:r>
        <w:rPr>
          <w:sz w:val="21"/>
        </w:rPr>
        <w:t>of</w:t>
      </w:r>
      <w:r>
        <w:rPr>
          <w:spacing w:val="-12"/>
          <w:sz w:val="21"/>
        </w:rPr>
        <w:t> </w:t>
      </w:r>
      <w:r>
        <w:rPr>
          <w:sz w:val="21"/>
        </w:rPr>
        <w:t>immigrants,</w:t>
      </w:r>
      <w:r>
        <w:rPr>
          <w:spacing w:val="-11"/>
          <w:sz w:val="21"/>
        </w:rPr>
        <w:t> </w:t>
      </w:r>
      <w:r>
        <w:rPr>
          <w:sz w:val="21"/>
        </w:rPr>
        <w:t>or</w:t>
      </w:r>
      <w:r>
        <w:rPr>
          <w:spacing w:val="-11"/>
          <w:sz w:val="21"/>
        </w:rPr>
        <w:t> </w:t>
      </w:r>
      <w:r>
        <w:rPr>
          <w:sz w:val="21"/>
        </w:rPr>
        <w:t>refugees</w:t>
      </w:r>
      <w:r>
        <w:rPr>
          <w:spacing w:val="-12"/>
          <w:sz w:val="21"/>
        </w:rPr>
        <w:t> </w:t>
      </w:r>
      <w:r>
        <w:rPr>
          <w:sz w:val="21"/>
        </w:rPr>
        <w:t>may</w:t>
      </w:r>
      <w:r>
        <w:rPr>
          <w:spacing w:val="-12"/>
          <w:sz w:val="21"/>
        </w:rPr>
        <w:t> </w:t>
      </w:r>
      <w:r>
        <w:rPr>
          <w:sz w:val="21"/>
        </w:rPr>
        <w:t>face language</w:t>
      </w:r>
      <w:r>
        <w:rPr>
          <w:spacing w:val="-1"/>
          <w:sz w:val="21"/>
        </w:rPr>
        <w:t> </w:t>
      </w:r>
      <w:r>
        <w:rPr>
          <w:sz w:val="21"/>
        </w:rPr>
        <w:t>barriers</w:t>
      </w:r>
      <w:r>
        <w:rPr>
          <w:spacing w:val="-1"/>
          <w:sz w:val="21"/>
        </w:rPr>
        <w:t> </w:t>
      </w:r>
      <w:r>
        <w:rPr>
          <w:sz w:val="21"/>
        </w:rPr>
        <w:t>to</w:t>
      </w:r>
      <w:r>
        <w:rPr>
          <w:spacing w:val="-1"/>
          <w:sz w:val="21"/>
        </w:rPr>
        <w:t> </w:t>
      </w:r>
      <w:r>
        <w:rPr>
          <w:sz w:val="21"/>
        </w:rPr>
        <w:t>education</w:t>
      </w:r>
      <w:r>
        <w:rPr>
          <w:spacing w:val="-1"/>
          <w:sz w:val="21"/>
        </w:rPr>
        <w:t> </w:t>
      </w:r>
      <w:r>
        <w:rPr>
          <w:sz w:val="21"/>
        </w:rPr>
        <w:t>and</w:t>
      </w:r>
      <w:r>
        <w:rPr>
          <w:spacing w:val="-1"/>
          <w:sz w:val="21"/>
        </w:rPr>
        <w:t> </w:t>
      </w:r>
      <w:r>
        <w:rPr>
          <w:sz w:val="21"/>
        </w:rPr>
        <w:t>employment, which</w:t>
      </w:r>
      <w:r>
        <w:rPr>
          <w:spacing w:val="-3"/>
          <w:sz w:val="21"/>
        </w:rPr>
        <w:t> </w:t>
      </w:r>
      <w:r>
        <w:rPr>
          <w:sz w:val="21"/>
        </w:rPr>
        <w:t>limit their</w:t>
      </w:r>
      <w:r>
        <w:rPr>
          <w:spacing w:val="-2"/>
          <w:sz w:val="21"/>
        </w:rPr>
        <w:t> </w:t>
      </w:r>
      <w:r>
        <w:rPr>
          <w:sz w:val="21"/>
        </w:rPr>
        <w:t>access</w:t>
      </w:r>
      <w:r>
        <w:rPr>
          <w:spacing w:val="-1"/>
          <w:sz w:val="21"/>
        </w:rPr>
        <w:t> </w:t>
      </w:r>
      <w:r>
        <w:rPr>
          <w:sz w:val="21"/>
        </w:rPr>
        <w:t>to</w:t>
      </w:r>
      <w:r>
        <w:rPr>
          <w:spacing w:val="-1"/>
          <w:sz w:val="21"/>
        </w:rPr>
        <w:t> </w:t>
      </w:r>
      <w:r>
        <w:rPr>
          <w:sz w:val="21"/>
        </w:rPr>
        <w:t>employment opportunities.</w:t>
      </w:r>
      <w:r>
        <w:rPr>
          <w:spacing w:val="-1"/>
          <w:sz w:val="21"/>
        </w:rPr>
        <w:t> </w:t>
      </w:r>
      <w:r>
        <w:rPr>
          <w:sz w:val="21"/>
        </w:rPr>
        <w:t>In general, LGBTQ high school students lack appropriate resources on career readiness and navigating being LGBTQ in the workplace.</w:t>
      </w:r>
    </w:p>
    <w:p>
      <w:pPr>
        <w:spacing w:line="276" w:lineRule="auto" w:before="240"/>
        <w:ind w:left="603" w:right="418" w:firstLine="0"/>
        <w:jc w:val="both"/>
        <w:rPr>
          <w:sz w:val="21"/>
        </w:rPr>
      </w:pPr>
      <w:r>
        <w:rPr>
          <w:sz w:val="21"/>
        </w:rPr>
        <w:t>Once they transition from education to the labor force, LGBTQ youth experience higher unemployment rates</w:t>
      </w:r>
      <w:r>
        <w:rPr>
          <w:spacing w:val="-5"/>
          <w:sz w:val="21"/>
        </w:rPr>
        <w:t> </w:t>
      </w:r>
      <w:r>
        <w:rPr>
          <w:sz w:val="21"/>
        </w:rPr>
        <w:t>than</w:t>
      </w:r>
      <w:r>
        <w:rPr>
          <w:spacing w:val="-4"/>
          <w:sz w:val="21"/>
        </w:rPr>
        <w:t> </w:t>
      </w:r>
      <w:r>
        <w:rPr>
          <w:sz w:val="21"/>
        </w:rPr>
        <w:t>their</w:t>
      </w:r>
      <w:r>
        <w:rPr>
          <w:spacing w:val="-4"/>
          <w:sz w:val="21"/>
        </w:rPr>
        <w:t> </w:t>
      </w:r>
      <w:r>
        <w:rPr>
          <w:sz w:val="21"/>
        </w:rPr>
        <w:t>cisgender</w:t>
      </w:r>
      <w:r>
        <w:rPr>
          <w:spacing w:val="-4"/>
          <w:sz w:val="21"/>
        </w:rPr>
        <w:t> </w:t>
      </w:r>
      <w:r>
        <w:rPr>
          <w:sz w:val="21"/>
        </w:rPr>
        <w:t>and</w:t>
      </w:r>
      <w:r>
        <w:rPr>
          <w:spacing w:val="-4"/>
          <w:sz w:val="21"/>
        </w:rPr>
        <w:t> </w:t>
      </w:r>
      <w:r>
        <w:rPr>
          <w:sz w:val="21"/>
        </w:rPr>
        <w:t>straight</w:t>
      </w:r>
      <w:r>
        <w:rPr>
          <w:spacing w:val="-4"/>
          <w:sz w:val="21"/>
        </w:rPr>
        <w:t> </w:t>
      </w:r>
      <w:r>
        <w:rPr>
          <w:sz w:val="21"/>
        </w:rPr>
        <w:t>peers</w:t>
      </w:r>
      <w:r>
        <w:rPr>
          <w:spacing w:val="-5"/>
          <w:sz w:val="21"/>
        </w:rPr>
        <w:t> </w:t>
      </w:r>
      <w:r>
        <w:rPr>
          <w:sz w:val="21"/>
        </w:rPr>
        <w:t>due</w:t>
      </w:r>
      <w:r>
        <w:rPr>
          <w:spacing w:val="-4"/>
          <w:sz w:val="21"/>
        </w:rPr>
        <w:t> </w:t>
      </w:r>
      <w:r>
        <w:rPr>
          <w:sz w:val="21"/>
        </w:rPr>
        <w:t>to</w:t>
      </w:r>
      <w:r>
        <w:rPr>
          <w:spacing w:val="-5"/>
          <w:sz w:val="21"/>
        </w:rPr>
        <w:t> </w:t>
      </w:r>
      <w:r>
        <w:rPr>
          <w:sz w:val="21"/>
        </w:rPr>
        <w:t>several</w:t>
      </w:r>
      <w:r>
        <w:rPr>
          <w:spacing w:val="-5"/>
          <w:sz w:val="21"/>
        </w:rPr>
        <w:t> </w:t>
      </w:r>
      <w:r>
        <w:rPr>
          <w:sz w:val="21"/>
        </w:rPr>
        <w:t>factors,</w:t>
      </w:r>
      <w:r>
        <w:rPr>
          <w:spacing w:val="-4"/>
          <w:sz w:val="21"/>
        </w:rPr>
        <w:t> </w:t>
      </w:r>
      <w:r>
        <w:rPr>
          <w:sz w:val="21"/>
        </w:rPr>
        <w:t>and</w:t>
      </w:r>
      <w:r>
        <w:rPr>
          <w:spacing w:val="-4"/>
          <w:sz w:val="21"/>
        </w:rPr>
        <w:t> </w:t>
      </w:r>
      <w:r>
        <w:rPr>
          <w:sz w:val="21"/>
        </w:rPr>
        <w:t>often</w:t>
      </w:r>
      <w:r>
        <w:rPr>
          <w:spacing w:val="-4"/>
          <w:sz w:val="21"/>
        </w:rPr>
        <w:t> </w:t>
      </w:r>
      <w:r>
        <w:rPr>
          <w:sz w:val="21"/>
        </w:rPr>
        <w:t>face</w:t>
      </w:r>
      <w:r>
        <w:rPr>
          <w:spacing w:val="-3"/>
          <w:sz w:val="21"/>
        </w:rPr>
        <w:t> </w:t>
      </w:r>
      <w:r>
        <w:rPr>
          <w:sz w:val="21"/>
        </w:rPr>
        <w:t>discrimination</w:t>
      </w:r>
      <w:r>
        <w:rPr>
          <w:spacing w:val="-4"/>
          <w:sz w:val="21"/>
        </w:rPr>
        <w:t> </w:t>
      </w:r>
      <w:r>
        <w:rPr>
          <w:sz w:val="21"/>
        </w:rPr>
        <w:t>based</w:t>
      </w:r>
      <w:r>
        <w:rPr>
          <w:spacing w:val="-4"/>
          <w:sz w:val="21"/>
        </w:rPr>
        <w:t> </w:t>
      </w:r>
      <w:r>
        <w:rPr>
          <w:sz w:val="21"/>
        </w:rPr>
        <w:t>on their</w:t>
      </w:r>
      <w:r>
        <w:rPr>
          <w:spacing w:val="-4"/>
          <w:sz w:val="21"/>
        </w:rPr>
        <w:t> </w:t>
      </w:r>
      <w:r>
        <w:rPr>
          <w:sz w:val="21"/>
        </w:rPr>
        <w:t>race</w:t>
      </w:r>
      <w:r>
        <w:rPr>
          <w:spacing w:val="-4"/>
          <w:sz w:val="21"/>
        </w:rPr>
        <w:t> </w:t>
      </w:r>
      <w:r>
        <w:rPr>
          <w:sz w:val="21"/>
        </w:rPr>
        <w:t>and</w:t>
      </w:r>
      <w:r>
        <w:rPr>
          <w:spacing w:val="-4"/>
          <w:sz w:val="21"/>
        </w:rPr>
        <w:t> </w:t>
      </w:r>
      <w:r>
        <w:rPr>
          <w:sz w:val="21"/>
        </w:rPr>
        <w:t>gender</w:t>
      </w:r>
      <w:r>
        <w:rPr>
          <w:spacing w:val="-4"/>
          <w:sz w:val="21"/>
        </w:rPr>
        <w:t> </w:t>
      </w:r>
      <w:r>
        <w:rPr>
          <w:sz w:val="21"/>
        </w:rPr>
        <w:t>identity,</w:t>
      </w:r>
      <w:r>
        <w:rPr>
          <w:spacing w:val="-4"/>
          <w:sz w:val="21"/>
        </w:rPr>
        <w:t> </w:t>
      </w:r>
      <w:r>
        <w:rPr>
          <w:sz w:val="21"/>
        </w:rPr>
        <w:t>which</w:t>
      </w:r>
      <w:r>
        <w:rPr>
          <w:spacing w:val="-4"/>
          <w:sz w:val="21"/>
        </w:rPr>
        <w:t> </w:t>
      </w:r>
      <w:r>
        <w:rPr>
          <w:sz w:val="21"/>
        </w:rPr>
        <w:t>makes</w:t>
      </w:r>
      <w:r>
        <w:rPr>
          <w:spacing w:val="-4"/>
          <w:sz w:val="21"/>
        </w:rPr>
        <w:t> </w:t>
      </w:r>
      <w:r>
        <w:rPr>
          <w:sz w:val="21"/>
        </w:rPr>
        <w:t>it</w:t>
      </w:r>
      <w:r>
        <w:rPr>
          <w:spacing w:val="-4"/>
          <w:sz w:val="21"/>
        </w:rPr>
        <w:t> </w:t>
      </w:r>
      <w:r>
        <w:rPr>
          <w:sz w:val="21"/>
        </w:rPr>
        <w:t>difficult</w:t>
      </w:r>
      <w:r>
        <w:rPr>
          <w:spacing w:val="-4"/>
          <w:sz w:val="21"/>
        </w:rPr>
        <w:t> </w:t>
      </w:r>
      <w:r>
        <w:rPr>
          <w:sz w:val="21"/>
        </w:rPr>
        <w:t>to</w:t>
      </w:r>
      <w:r>
        <w:rPr>
          <w:spacing w:val="-4"/>
          <w:sz w:val="21"/>
        </w:rPr>
        <w:t> </w:t>
      </w:r>
      <w:r>
        <w:rPr>
          <w:sz w:val="21"/>
        </w:rPr>
        <w:t>obtain</w:t>
      </w:r>
      <w:r>
        <w:rPr>
          <w:spacing w:val="-4"/>
          <w:sz w:val="21"/>
        </w:rPr>
        <w:t> </w:t>
      </w:r>
      <w:r>
        <w:rPr>
          <w:sz w:val="21"/>
        </w:rPr>
        <w:t>employment</w:t>
      </w:r>
      <w:r>
        <w:rPr>
          <w:spacing w:val="-4"/>
          <w:sz w:val="21"/>
        </w:rPr>
        <w:t> </w:t>
      </w:r>
      <w:r>
        <w:rPr>
          <w:sz w:val="21"/>
        </w:rPr>
        <w:t>and</w:t>
      </w:r>
      <w:r>
        <w:rPr>
          <w:spacing w:val="-6"/>
          <w:sz w:val="21"/>
        </w:rPr>
        <w:t> </w:t>
      </w:r>
      <w:r>
        <w:rPr>
          <w:sz w:val="21"/>
        </w:rPr>
        <w:t>maintain</w:t>
      </w:r>
      <w:r>
        <w:rPr>
          <w:spacing w:val="-4"/>
          <w:sz w:val="21"/>
        </w:rPr>
        <w:t> </w:t>
      </w:r>
      <w:r>
        <w:rPr>
          <w:sz w:val="21"/>
        </w:rPr>
        <w:t>job</w:t>
      </w:r>
      <w:r>
        <w:rPr>
          <w:spacing w:val="-4"/>
          <w:sz w:val="21"/>
        </w:rPr>
        <w:t> </w:t>
      </w:r>
      <w:r>
        <w:rPr>
          <w:sz w:val="21"/>
        </w:rPr>
        <w:t>stability.</w:t>
      </w:r>
      <w:r>
        <w:rPr>
          <w:spacing w:val="-4"/>
          <w:sz w:val="21"/>
        </w:rPr>
        <w:t> </w:t>
      </w:r>
      <w:r>
        <w:rPr>
          <w:sz w:val="21"/>
        </w:rPr>
        <w:t>As a result, LGBTQ youth can experience homelessness or housing instability at a higher rate than their cisgender and straight counterparts, which makes it difficult to obtain work or job stability. In Massachusetts</w:t>
      </w:r>
      <w:r>
        <w:rPr>
          <w:spacing w:val="-8"/>
          <w:sz w:val="21"/>
        </w:rPr>
        <w:t> </w:t>
      </w:r>
      <w:r>
        <w:rPr>
          <w:sz w:val="21"/>
        </w:rPr>
        <w:t>in</w:t>
      </w:r>
      <w:r>
        <w:rPr>
          <w:spacing w:val="-8"/>
          <w:sz w:val="21"/>
        </w:rPr>
        <w:t> </w:t>
      </w:r>
      <w:r>
        <w:rPr>
          <w:sz w:val="21"/>
        </w:rPr>
        <w:t>general,</w:t>
      </w:r>
      <w:r>
        <w:rPr>
          <w:spacing w:val="-7"/>
          <w:sz w:val="21"/>
        </w:rPr>
        <w:t> </w:t>
      </w:r>
      <w:r>
        <w:rPr>
          <w:sz w:val="21"/>
        </w:rPr>
        <w:t>there</w:t>
      </w:r>
      <w:r>
        <w:rPr>
          <w:spacing w:val="-8"/>
          <w:sz w:val="21"/>
        </w:rPr>
        <w:t> </w:t>
      </w:r>
      <w:r>
        <w:rPr>
          <w:sz w:val="21"/>
        </w:rPr>
        <w:t>is</w:t>
      </w:r>
      <w:r>
        <w:rPr>
          <w:spacing w:val="-8"/>
          <w:sz w:val="21"/>
        </w:rPr>
        <w:t> </w:t>
      </w:r>
      <w:r>
        <w:rPr>
          <w:sz w:val="21"/>
        </w:rPr>
        <w:t>a</w:t>
      </w:r>
      <w:r>
        <w:rPr>
          <w:spacing w:val="-7"/>
          <w:sz w:val="21"/>
        </w:rPr>
        <w:t> </w:t>
      </w:r>
      <w:r>
        <w:rPr>
          <w:sz w:val="21"/>
        </w:rPr>
        <w:t>concentration</w:t>
      </w:r>
      <w:r>
        <w:rPr>
          <w:spacing w:val="-8"/>
          <w:sz w:val="21"/>
        </w:rPr>
        <w:t> </w:t>
      </w:r>
      <w:r>
        <w:rPr>
          <w:sz w:val="21"/>
        </w:rPr>
        <w:t>of</w:t>
      </w:r>
      <w:r>
        <w:rPr>
          <w:spacing w:val="-8"/>
          <w:sz w:val="21"/>
        </w:rPr>
        <w:t> </w:t>
      </w:r>
      <w:r>
        <w:rPr>
          <w:sz w:val="21"/>
        </w:rPr>
        <w:t>job</w:t>
      </w:r>
      <w:r>
        <w:rPr>
          <w:spacing w:val="-8"/>
          <w:sz w:val="21"/>
        </w:rPr>
        <w:t> </w:t>
      </w:r>
      <w:r>
        <w:rPr>
          <w:sz w:val="21"/>
        </w:rPr>
        <w:t>opportunities</w:t>
      </w:r>
      <w:r>
        <w:rPr>
          <w:spacing w:val="-8"/>
          <w:sz w:val="21"/>
        </w:rPr>
        <w:t> </w:t>
      </w:r>
      <w:r>
        <w:rPr>
          <w:sz w:val="21"/>
        </w:rPr>
        <w:t>in</w:t>
      </w:r>
      <w:r>
        <w:rPr>
          <w:spacing w:val="-8"/>
          <w:sz w:val="21"/>
        </w:rPr>
        <w:t> </w:t>
      </w:r>
      <w:r>
        <w:rPr>
          <w:sz w:val="21"/>
        </w:rPr>
        <w:t>the</w:t>
      </w:r>
      <w:r>
        <w:rPr>
          <w:spacing w:val="-9"/>
          <w:sz w:val="21"/>
        </w:rPr>
        <w:t> </w:t>
      </w:r>
      <w:r>
        <w:rPr>
          <w:sz w:val="21"/>
        </w:rPr>
        <w:t>metro</w:t>
      </w:r>
      <w:r>
        <w:rPr>
          <w:spacing w:val="-8"/>
          <w:sz w:val="21"/>
        </w:rPr>
        <w:t> </w:t>
      </w:r>
      <w:r>
        <w:rPr>
          <w:sz w:val="21"/>
        </w:rPr>
        <w:t>Boston</w:t>
      </w:r>
      <w:r>
        <w:rPr>
          <w:spacing w:val="-8"/>
          <w:sz w:val="21"/>
        </w:rPr>
        <w:t> </w:t>
      </w:r>
      <w:r>
        <w:rPr>
          <w:sz w:val="21"/>
        </w:rPr>
        <w:t>area.</w:t>
      </w:r>
      <w:r>
        <w:rPr>
          <w:spacing w:val="-8"/>
          <w:sz w:val="21"/>
        </w:rPr>
        <w:t> </w:t>
      </w:r>
      <w:r>
        <w:rPr>
          <w:sz w:val="21"/>
        </w:rPr>
        <w:t>However, there</w:t>
      </w:r>
      <w:r>
        <w:rPr>
          <w:spacing w:val="-3"/>
          <w:sz w:val="21"/>
        </w:rPr>
        <w:t> </w:t>
      </w:r>
      <w:r>
        <w:rPr>
          <w:sz w:val="21"/>
        </w:rPr>
        <w:t>is</w:t>
      </w:r>
      <w:r>
        <w:rPr>
          <w:spacing w:val="-3"/>
          <w:sz w:val="21"/>
        </w:rPr>
        <w:t> </w:t>
      </w:r>
      <w:r>
        <w:rPr>
          <w:sz w:val="21"/>
        </w:rPr>
        <w:t>limited</w:t>
      </w:r>
      <w:r>
        <w:rPr>
          <w:spacing w:val="-3"/>
          <w:sz w:val="21"/>
        </w:rPr>
        <w:t> </w:t>
      </w:r>
      <w:r>
        <w:rPr>
          <w:sz w:val="21"/>
        </w:rPr>
        <w:t>access</w:t>
      </w:r>
      <w:r>
        <w:rPr>
          <w:spacing w:val="-4"/>
          <w:sz w:val="21"/>
        </w:rPr>
        <w:t> </w:t>
      </w:r>
      <w:r>
        <w:rPr>
          <w:sz w:val="21"/>
        </w:rPr>
        <w:t>to</w:t>
      </w:r>
      <w:r>
        <w:rPr>
          <w:spacing w:val="-4"/>
          <w:sz w:val="21"/>
        </w:rPr>
        <w:t> </w:t>
      </w:r>
      <w:r>
        <w:rPr>
          <w:sz w:val="21"/>
        </w:rPr>
        <w:t>public</w:t>
      </w:r>
      <w:r>
        <w:rPr>
          <w:spacing w:val="-3"/>
          <w:sz w:val="21"/>
        </w:rPr>
        <w:t> </w:t>
      </w:r>
      <w:r>
        <w:rPr>
          <w:sz w:val="21"/>
        </w:rPr>
        <w:t>transportation</w:t>
      </w:r>
      <w:r>
        <w:rPr>
          <w:spacing w:val="-3"/>
          <w:sz w:val="21"/>
        </w:rPr>
        <w:t> </w:t>
      </w:r>
      <w:r>
        <w:rPr>
          <w:sz w:val="21"/>
        </w:rPr>
        <w:t>from</w:t>
      </w:r>
      <w:r>
        <w:rPr>
          <w:spacing w:val="-3"/>
          <w:sz w:val="21"/>
        </w:rPr>
        <w:t> </w:t>
      </w:r>
      <w:r>
        <w:rPr>
          <w:sz w:val="21"/>
        </w:rPr>
        <w:t>suburban</w:t>
      </w:r>
      <w:r>
        <w:rPr>
          <w:spacing w:val="-3"/>
          <w:sz w:val="21"/>
        </w:rPr>
        <w:t> </w:t>
      </w:r>
      <w:r>
        <w:rPr>
          <w:sz w:val="21"/>
        </w:rPr>
        <w:t>and</w:t>
      </w:r>
      <w:r>
        <w:rPr>
          <w:spacing w:val="-3"/>
          <w:sz w:val="21"/>
        </w:rPr>
        <w:t> </w:t>
      </w:r>
      <w:r>
        <w:rPr>
          <w:sz w:val="21"/>
        </w:rPr>
        <w:t>rural</w:t>
      </w:r>
      <w:r>
        <w:rPr>
          <w:spacing w:val="-3"/>
          <w:sz w:val="21"/>
        </w:rPr>
        <w:t> </w:t>
      </w:r>
      <w:r>
        <w:rPr>
          <w:sz w:val="21"/>
        </w:rPr>
        <w:t>areas,</w:t>
      </w:r>
      <w:r>
        <w:rPr>
          <w:spacing w:val="-4"/>
          <w:sz w:val="21"/>
        </w:rPr>
        <w:t> </w:t>
      </w:r>
      <w:r>
        <w:rPr>
          <w:sz w:val="21"/>
        </w:rPr>
        <w:t>a</w:t>
      </w:r>
      <w:r>
        <w:rPr>
          <w:spacing w:val="-4"/>
          <w:sz w:val="21"/>
        </w:rPr>
        <w:t> </w:t>
      </w:r>
      <w:r>
        <w:rPr>
          <w:sz w:val="21"/>
        </w:rPr>
        <w:t>shift</w:t>
      </w:r>
      <w:r>
        <w:rPr>
          <w:spacing w:val="-3"/>
          <w:sz w:val="21"/>
        </w:rPr>
        <w:t> </w:t>
      </w:r>
      <w:r>
        <w:rPr>
          <w:sz w:val="21"/>
        </w:rPr>
        <w:t>from</w:t>
      </w:r>
      <w:r>
        <w:rPr>
          <w:spacing w:val="-3"/>
          <w:sz w:val="21"/>
        </w:rPr>
        <w:t> </w:t>
      </w:r>
      <w:r>
        <w:rPr>
          <w:sz w:val="21"/>
        </w:rPr>
        <w:t>remote</w:t>
      </w:r>
      <w:r>
        <w:rPr>
          <w:spacing w:val="-3"/>
          <w:sz w:val="21"/>
        </w:rPr>
        <w:t> </w:t>
      </w:r>
      <w:r>
        <w:rPr>
          <w:sz w:val="21"/>
        </w:rPr>
        <w:t>work</w:t>
      </w:r>
      <w:r>
        <w:rPr>
          <w:spacing w:val="-4"/>
          <w:sz w:val="21"/>
        </w:rPr>
        <w:t> </w:t>
      </w:r>
      <w:r>
        <w:rPr>
          <w:sz w:val="21"/>
        </w:rPr>
        <w:t>to in-person or hybrid work, and a lack of accessible public transportation for youth with disabilities. This makes</w:t>
      </w:r>
      <w:r>
        <w:rPr>
          <w:spacing w:val="-12"/>
          <w:sz w:val="21"/>
        </w:rPr>
        <w:t> </w:t>
      </w:r>
      <w:r>
        <w:rPr>
          <w:sz w:val="21"/>
        </w:rPr>
        <w:t>it</w:t>
      </w:r>
      <w:r>
        <w:rPr>
          <w:spacing w:val="-12"/>
          <w:sz w:val="21"/>
        </w:rPr>
        <w:t> </w:t>
      </w:r>
      <w:r>
        <w:rPr>
          <w:sz w:val="21"/>
        </w:rPr>
        <w:t>difficult</w:t>
      </w:r>
      <w:r>
        <w:rPr>
          <w:spacing w:val="-12"/>
          <w:sz w:val="21"/>
        </w:rPr>
        <w:t> </w:t>
      </w:r>
      <w:r>
        <w:rPr>
          <w:sz w:val="21"/>
        </w:rPr>
        <w:t>for</w:t>
      </w:r>
      <w:r>
        <w:rPr>
          <w:spacing w:val="-11"/>
          <w:sz w:val="21"/>
        </w:rPr>
        <w:t> </w:t>
      </w:r>
      <w:r>
        <w:rPr>
          <w:sz w:val="21"/>
        </w:rPr>
        <w:t>those</w:t>
      </w:r>
      <w:r>
        <w:rPr>
          <w:spacing w:val="-12"/>
          <w:sz w:val="21"/>
        </w:rPr>
        <w:t> </w:t>
      </w:r>
      <w:r>
        <w:rPr>
          <w:sz w:val="21"/>
        </w:rPr>
        <w:t>who</w:t>
      </w:r>
      <w:r>
        <w:rPr>
          <w:spacing w:val="-12"/>
          <w:sz w:val="21"/>
        </w:rPr>
        <w:t> </w:t>
      </w:r>
      <w:r>
        <w:rPr>
          <w:sz w:val="21"/>
        </w:rPr>
        <w:t>already</w:t>
      </w:r>
      <w:r>
        <w:rPr>
          <w:spacing w:val="-12"/>
          <w:sz w:val="21"/>
        </w:rPr>
        <w:t> </w:t>
      </w:r>
      <w:r>
        <w:rPr>
          <w:sz w:val="21"/>
        </w:rPr>
        <w:t>face</w:t>
      </w:r>
      <w:r>
        <w:rPr>
          <w:spacing w:val="-12"/>
          <w:sz w:val="21"/>
        </w:rPr>
        <w:t> </w:t>
      </w:r>
      <w:r>
        <w:rPr>
          <w:sz w:val="21"/>
        </w:rPr>
        <w:t>a</w:t>
      </w:r>
      <w:r>
        <w:rPr>
          <w:spacing w:val="-11"/>
          <w:sz w:val="21"/>
        </w:rPr>
        <w:t> </w:t>
      </w:r>
      <w:r>
        <w:rPr>
          <w:sz w:val="21"/>
        </w:rPr>
        <w:t>lack</w:t>
      </w:r>
      <w:r>
        <w:rPr>
          <w:spacing w:val="-12"/>
          <w:sz w:val="21"/>
        </w:rPr>
        <w:t> </w:t>
      </w:r>
      <w:r>
        <w:rPr>
          <w:sz w:val="21"/>
        </w:rPr>
        <w:t>of</w:t>
      </w:r>
      <w:r>
        <w:rPr>
          <w:spacing w:val="-12"/>
          <w:sz w:val="21"/>
        </w:rPr>
        <w:t> </w:t>
      </w:r>
      <w:r>
        <w:rPr>
          <w:sz w:val="21"/>
        </w:rPr>
        <w:t>career</w:t>
      </w:r>
      <w:r>
        <w:rPr>
          <w:spacing w:val="-11"/>
          <w:sz w:val="21"/>
        </w:rPr>
        <w:t> </w:t>
      </w:r>
      <w:r>
        <w:rPr>
          <w:sz w:val="21"/>
        </w:rPr>
        <w:t>opportunities</w:t>
      </w:r>
      <w:r>
        <w:rPr>
          <w:spacing w:val="-12"/>
          <w:sz w:val="21"/>
        </w:rPr>
        <w:t> </w:t>
      </w:r>
      <w:r>
        <w:rPr>
          <w:sz w:val="21"/>
        </w:rPr>
        <w:t>based</w:t>
      </w:r>
      <w:r>
        <w:rPr>
          <w:spacing w:val="-11"/>
          <w:sz w:val="21"/>
        </w:rPr>
        <w:t> </w:t>
      </w:r>
      <w:r>
        <w:rPr>
          <w:sz w:val="21"/>
        </w:rPr>
        <w:t>on</w:t>
      </w:r>
      <w:r>
        <w:rPr>
          <w:spacing w:val="-11"/>
          <w:sz w:val="21"/>
        </w:rPr>
        <w:t> </w:t>
      </w:r>
      <w:r>
        <w:rPr>
          <w:sz w:val="21"/>
        </w:rPr>
        <w:t>their</w:t>
      </w:r>
      <w:r>
        <w:rPr>
          <w:spacing w:val="-12"/>
          <w:sz w:val="21"/>
        </w:rPr>
        <w:t> </w:t>
      </w:r>
      <w:r>
        <w:rPr>
          <w:sz w:val="21"/>
        </w:rPr>
        <w:t>location,</w:t>
      </w:r>
      <w:r>
        <w:rPr>
          <w:spacing w:val="-12"/>
          <w:sz w:val="21"/>
        </w:rPr>
        <w:t> </w:t>
      </w:r>
      <w:r>
        <w:rPr>
          <w:sz w:val="21"/>
        </w:rPr>
        <w:t>especially those</w:t>
      </w:r>
      <w:r>
        <w:rPr>
          <w:spacing w:val="-7"/>
          <w:sz w:val="21"/>
        </w:rPr>
        <w:t> </w:t>
      </w:r>
      <w:r>
        <w:rPr>
          <w:sz w:val="21"/>
        </w:rPr>
        <w:t>in</w:t>
      </w:r>
      <w:r>
        <w:rPr>
          <w:spacing w:val="-8"/>
          <w:sz w:val="21"/>
        </w:rPr>
        <w:t> </w:t>
      </w:r>
      <w:r>
        <w:rPr>
          <w:sz w:val="21"/>
        </w:rPr>
        <w:t>Western</w:t>
      </w:r>
      <w:r>
        <w:rPr>
          <w:spacing w:val="-7"/>
          <w:sz w:val="21"/>
        </w:rPr>
        <w:t> </w:t>
      </w:r>
      <w:r>
        <w:rPr>
          <w:sz w:val="21"/>
        </w:rPr>
        <w:t>Mass</w:t>
      </w:r>
      <w:r>
        <w:rPr>
          <w:spacing w:val="-8"/>
          <w:sz w:val="21"/>
        </w:rPr>
        <w:t> </w:t>
      </w:r>
      <w:r>
        <w:rPr>
          <w:sz w:val="21"/>
        </w:rPr>
        <w:t>and</w:t>
      </w:r>
      <w:r>
        <w:rPr>
          <w:spacing w:val="-8"/>
          <w:sz w:val="21"/>
        </w:rPr>
        <w:t> </w:t>
      </w:r>
      <w:r>
        <w:rPr>
          <w:sz w:val="21"/>
        </w:rPr>
        <w:t>rural</w:t>
      </w:r>
      <w:r>
        <w:rPr>
          <w:spacing w:val="-7"/>
          <w:sz w:val="21"/>
        </w:rPr>
        <w:t> </w:t>
      </w:r>
      <w:r>
        <w:rPr>
          <w:sz w:val="21"/>
        </w:rPr>
        <w:t>areas,</w:t>
      </w:r>
      <w:r>
        <w:rPr>
          <w:spacing w:val="-7"/>
          <w:sz w:val="21"/>
        </w:rPr>
        <w:t> </w:t>
      </w:r>
      <w:r>
        <w:rPr>
          <w:sz w:val="21"/>
        </w:rPr>
        <w:t>to</w:t>
      </w:r>
      <w:r>
        <w:rPr>
          <w:spacing w:val="-8"/>
          <w:sz w:val="21"/>
        </w:rPr>
        <w:t> </w:t>
      </w:r>
      <w:r>
        <w:rPr>
          <w:sz w:val="21"/>
        </w:rPr>
        <w:t>obtain</w:t>
      </w:r>
      <w:r>
        <w:rPr>
          <w:spacing w:val="-8"/>
          <w:sz w:val="21"/>
        </w:rPr>
        <w:t> </w:t>
      </w:r>
      <w:r>
        <w:rPr>
          <w:sz w:val="21"/>
        </w:rPr>
        <w:t>employment</w:t>
      </w:r>
      <w:r>
        <w:rPr>
          <w:spacing w:val="-6"/>
          <w:sz w:val="21"/>
        </w:rPr>
        <w:t> </w:t>
      </w:r>
      <w:r>
        <w:rPr>
          <w:sz w:val="21"/>
        </w:rPr>
        <w:t>above</w:t>
      </w:r>
      <w:r>
        <w:rPr>
          <w:spacing w:val="-8"/>
          <w:sz w:val="21"/>
        </w:rPr>
        <w:t> </w:t>
      </w:r>
      <w:r>
        <w:rPr>
          <w:sz w:val="21"/>
        </w:rPr>
        <w:t>entry-level,</w:t>
      </w:r>
      <w:r>
        <w:rPr>
          <w:spacing w:val="-7"/>
          <w:sz w:val="21"/>
        </w:rPr>
        <w:t> </w:t>
      </w:r>
      <w:r>
        <w:rPr>
          <w:sz w:val="21"/>
        </w:rPr>
        <w:t>minimum</w:t>
      </w:r>
      <w:r>
        <w:rPr>
          <w:spacing w:val="-6"/>
          <w:sz w:val="21"/>
        </w:rPr>
        <w:t> </w:t>
      </w:r>
      <w:r>
        <w:rPr>
          <w:sz w:val="21"/>
        </w:rPr>
        <w:t>wage</w:t>
      </w:r>
      <w:r>
        <w:rPr>
          <w:spacing w:val="-8"/>
          <w:sz w:val="21"/>
        </w:rPr>
        <w:t> </w:t>
      </w:r>
      <w:r>
        <w:rPr>
          <w:sz w:val="21"/>
        </w:rPr>
        <w:t>positions. For LGBTQ youth who do not have the financial support of their families based on their identity, it is not possible to cover the expenses for commuting into Boston for work or renting an apartment near public </w:t>
      </w:r>
      <w:r>
        <w:rPr>
          <w:spacing w:val="-2"/>
          <w:sz w:val="21"/>
        </w:rPr>
        <w:t>transportation.</w:t>
      </w:r>
    </w:p>
    <w:p>
      <w:pPr>
        <w:spacing w:line="276" w:lineRule="auto" w:before="241"/>
        <w:ind w:left="603" w:right="421" w:firstLine="0"/>
        <w:jc w:val="both"/>
        <w:rPr>
          <w:sz w:val="21"/>
        </w:rPr>
      </w:pPr>
      <w:r>
        <w:rPr>
          <w:sz w:val="21"/>
        </w:rPr>
        <w:t>The MA legislature must engage in initiatives to remove barriers to employment, foster career readiness, and to support LGBTQ youth’s transition</w:t>
      </w:r>
      <w:r>
        <w:rPr>
          <w:spacing w:val="-1"/>
          <w:sz w:val="21"/>
        </w:rPr>
        <w:t> </w:t>
      </w:r>
      <w:r>
        <w:rPr>
          <w:sz w:val="21"/>
        </w:rPr>
        <w:t>to the labor force so that the Commonwealth is a place where all youth can thrive - both holistically and economically.</w:t>
      </w:r>
    </w:p>
    <w:p>
      <w:pPr>
        <w:spacing w:before="238"/>
        <w:ind w:left="604" w:right="0" w:firstLine="0"/>
        <w:jc w:val="both"/>
        <w:rPr>
          <w:sz w:val="25"/>
        </w:rPr>
      </w:pPr>
      <w:bookmarkStart w:name="FY 2025 Recommendations to the Governor " w:id="73"/>
      <w:bookmarkEnd w:id="73"/>
      <w:r>
        <w:rPr/>
      </w:r>
      <w:r>
        <w:rPr>
          <w:color w:val="404040"/>
          <w:sz w:val="25"/>
        </w:rPr>
        <w:t>FY</w:t>
      </w:r>
      <w:r>
        <w:rPr>
          <w:color w:val="404040"/>
          <w:spacing w:val="-9"/>
          <w:sz w:val="25"/>
        </w:rPr>
        <w:t> </w:t>
      </w:r>
      <w:r>
        <w:rPr>
          <w:color w:val="404040"/>
          <w:sz w:val="25"/>
        </w:rPr>
        <w:t>2025</w:t>
      </w:r>
      <w:r>
        <w:rPr>
          <w:color w:val="404040"/>
          <w:spacing w:val="-9"/>
          <w:sz w:val="25"/>
        </w:rPr>
        <w:t> </w:t>
      </w:r>
      <w:r>
        <w:rPr>
          <w:color w:val="404040"/>
          <w:sz w:val="25"/>
        </w:rPr>
        <w:t>Recommendations</w:t>
      </w:r>
      <w:r>
        <w:rPr>
          <w:color w:val="404040"/>
          <w:spacing w:val="-9"/>
          <w:sz w:val="25"/>
        </w:rPr>
        <w:t> </w:t>
      </w:r>
      <w:r>
        <w:rPr>
          <w:color w:val="404040"/>
          <w:sz w:val="25"/>
        </w:rPr>
        <w:t>to</w:t>
      </w:r>
      <w:r>
        <w:rPr>
          <w:color w:val="404040"/>
          <w:spacing w:val="-7"/>
          <w:sz w:val="25"/>
        </w:rPr>
        <w:t> </w:t>
      </w:r>
      <w:r>
        <w:rPr>
          <w:color w:val="404040"/>
          <w:sz w:val="25"/>
        </w:rPr>
        <w:t>the</w:t>
      </w:r>
      <w:r>
        <w:rPr>
          <w:color w:val="404040"/>
          <w:spacing w:val="-7"/>
          <w:sz w:val="25"/>
        </w:rPr>
        <w:t> </w:t>
      </w:r>
      <w:r>
        <w:rPr>
          <w:color w:val="404040"/>
          <w:sz w:val="25"/>
        </w:rPr>
        <w:t>Governor</w:t>
      </w:r>
      <w:r>
        <w:rPr>
          <w:color w:val="404040"/>
          <w:spacing w:val="-8"/>
          <w:sz w:val="25"/>
        </w:rPr>
        <w:t> </w:t>
      </w:r>
      <w:r>
        <w:rPr>
          <w:color w:val="404040"/>
          <w:sz w:val="25"/>
        </w:rPr>
        <w:t>&amp;</w:t>
      </w:r>
      <w:r>
        <w:rPr>
          <w:color w:val="404040"/>
          <w:spacing w:val="-8"/>
          <w:sz w:val="25"/>
        </w:rPr>
        <w:t> </w:t>
      </w:r>
      <w:r>
        <w:rPr>
          <w:color w:val="404040"/>
          <w:sz w:val="25"/>
        </w:rPr>
        <w:t>Legislature</w:t>
      </w:r>
      <w:r>
        <w:rPr>
          <w:color w:val="404040"/>
          <w:spacing w:val="-8"/>
          <w:sz w:val="25"/>
        </w:rPr>
        <w:t> </w:t>
      </w:r>
      <w:r>
        <w:rPr>
          <w:color w:val="404040"/>
          <w:sz w:val="25"/>
        </w:rPr>
        <w:t>on</w:t>
      </w:r>
      <w:r>
        <w:rPr>
          <w:color w:val="404040"/>
          <w:spacing w:val="-9"/>
          <w:sz w:val="25"/>
        </w:rPr>
        <w:t> </w:t>
      </w:r>
      <w:r>
        <w:rPr>
          <w:color w:val="404040"/>
          <w:sz w:val="25"/>
        </w:rPr>
        <w:t>Economic</w:t>
      </w:r>
      <w:r>
        <w:rPr>
          <w:color w:val="404040"/>
          <w:spacing w:val="-8"/>
          <w:sz w:val="25"/>
        </w:rPr>
        <w:t> </w:t>
      </w:r>
      <w:r>
        <w:rPr>
          <w:color w:val="404040"/>
          <w:spacing w:val="-2"/>
          <w:sz w:val="25"/>
        </w:rPr>
        <w:t>Justice</w:t>
      </w:r>
    </w:p>
    <w:p>
      <w:pPr>
        <w:pStyle w:val="ListParagraph"/>
        <w:numPr>
          <w:ilvl w:val="0"/>
          <w:numId w:val="13"/>
        </w:numPr>
        <w:tabs>
          <w:tab w:pos="1049" w:val="left" w:leader="none"/>
        </w:tabs>
        <w:spacing w:line="240" w:lineRule="auto" w:before="286" w:after="0"/>
        <w:ind w:left="1049" w:right="0" w:hanging="229"/>
        <w:jc w:val="left"/>
        <w:rPr>
          <w:sz w:val="21"/>
        </w:rPr>
      </w:pPr>
      <w:r>
        <w:rPr>
          <w:sz w:val="21"/>
        </w:rPr>
        <w:t>Improve</w:t>
      </w:r>
      <w:r>
        <w:rPr>
          <w:spacing w:val="-6"/>
          <w:sz w:val="21"/>
        </w:rPr>
        <w:t> </w:t>
      </w:r>
      <w:r>
        <w:rPr>
          <w:sz w:val="21"/>
        </w:rPr>
        <w:t>access</w:t>
      </w:r>
      <w:r>
        <w:rPr>
          <w:spacing w:val="-4"/>
          <w:sz w:val="21"/>
        </w:rPr>
        <w:t> </w:t>
      </w:r>
      <w:r>
        <w:rPr>
          <w:sz w:val="21"/>
        </w:rPr>
        <w:t>to</w:t>
      </w:r>
      <w:r>
        <w:rPr>
          <w:spacing w:val="-3"/>
          <w:sz w:val="21"/>
        </w:rPr>
        <w:t> </w:t>
      </w:r>
      <w:r>
        <w:rPr>
          <w:sz w:val="21"/>
        </w:rPr>
        <w:t>LGBTQ-affirming</w:t>
      </w:r>
      <w:r>
        <w:rPr>
          <w:spacing w:val="-3"/>
          <w:sz w:val="21"/>
        </w:rPr>
        <w:t> </w:t>
      </w:r>
      <w:r>
        <w:rPr>
          <w:sz w:val="21"/>
        </w:rPr>
        <w:t>job</w:t>
      </w:r>
      <w:r>
        <w:rPr>
          <w:spacing w:val="-3"/>
          <w:sz w:val="21"/>
        </w:rPr>
        <w:t> </w:t>
      </w:r>
      <w:r>
        <w:rPr>
          <w:sz w:val="21"/>
        </w:rPr>
        <w:t>and</w:t>
      </w:r>
      <w:r>
        <w:rPr>
          <w:spacing w:val="-3"/>
          <w:sz w:val="21"/>
        </w:rPr>
        <w:t> </w:t>
      </w:r>
      <w:r>
        <w:rPr>
          <w:sz w:val="21"/>
        </w:rPr>
        <w:t>professional</w:t>
      </w:r>
      <w:r>
        <w:rPr>
          <w:spacing w:val="-3"/>
          <w:sz w:val="21"/>
        </w:rPr>
        <w:t> </w:t>
      </w:r>
      <w:r>
        <w:rPr>
          <w:sz w:val="21"/>
        </w:rPr>
        <w:t>development</w:t>
      </w:r>
      <w:r>
        <w:rPr>
          <w:spacing w:val="-4"/>
          <w:sz w:val="21"/>
        </w:rPr>
        <w:t> </w:t>
      </w:r>
      <w:r>
        <w:rPr>
          <w:sz w:val="21"/>
        </w:rPr>
        <w:t>opportunities</w:t>
      </w:r>
      <w:r>
        <w:rPr>
          <w:spacing w:val="-3"/>
          <w:sz w:val="21"/>
        </w:rPr>
        <w:t> </w:t>
      </w:r>
      <w:r>
        <w:rPr>
          <w:sz w:val="21"/>
        </w:rPr>
        <w:t>in</w:t>
      </w:r>
      <w:r>
        <w:rPr>
          <w:spacing w:val="-3"/>
          <w:sz w:val="21"/>
        </w:rPr>
        <w:t> </w:t>
      </w:r>
      <w:r>
        <w:rPr>
          <w:sz w:val="21"/>
        </w:rPr>
        <w:t>rural</w:t>
      </w:r>
      <w:r>
        <w:rPr>
          <w:spacing w:val="-3"/>
          <w:sz w:val="21"/>
        </w:rPr>
        <w:t> </w:t>
      </w:r>
      <w:r>
        <w:rPr>
          <w:spacing w:val="-2"/>
          <w:sz w:val="21"/>
        </w:rPr>
        <w:t>areas.</w:t>
      </w:r>
    </w:p>
    <w:p>
      <w:pPr>
        <w:pStyle w:val="ListParagraph"/>
        <w:numPr>
          <w:ilvl w:val="0"/>
          <w:numId w:val="13"/>
        </w:numPr>
        <w:tabs>
          <w:tab w:pos="1049" w:val="left" w:leader="none"/>
        </w:tabs>
        <w:spacing w:line="240" w:lineRule="auto" w:before="37" w:after="0"/>
        <w:ind w:left="1049" w:right="0" w:hanging="229"/>
        <w:jc w:val="left"/>
        <w:rPr>
          <w:sz w:val="21"/>
        </w:rPr>
      </w:pPr>
      <w:r>
        <w:rPr>
          <w:sz w:val="21"/>
        </w:rPr>
        <w:t>Improve</w:t>
      </w:r>
      <w:r>
        <w:rPr>
          <w:spacing w:val="-4"/>
          <w:sz w:val="21"/>
        </w:rPr>
        <w:t> </w:t>
      </w:r>
      <w:r>
        <w:rPr>
          <w:sz w:val="21"/>
        </w:rPr>
        <w:t>independent</w:t>
      </w:r>
      <w:r>
        <w:rPr>
          <w:spacing w:val="-3"/>
          <w:sz w:val="21"/>
        </w:rPr>
        <w:t> </w:t>
      </w:r>
      <w:r>
        <w:rPr>
          <w:sz w:val="21"/>
        </w:rPr>
        <w:t>living</w:t>
      </w:r>
      <w:r>
        <w:rPr>
          <w:spacing w:val="-4"/>
          <w:sz w:val="21"/>
        </w:rPr>
        <w:t> </w:t>
      </w:r>
      <w:r>
        <w:rPr>
          <w:sz w:val="21"/>
        </w:rPr>
        <w:t>support</w:t>
      </w:r>
      <w:r>
        <w:rPr>
          <w:spacing w:val="-3"/>
          <w:sz w:val="21"/>
        </w:rPr>
        <w:t> </w:t>
      </w:r>
      <w:r>
        <w:rPr>
          <w:sz w:val="21"/>
        </w:rPr>
        <w:t>for</w:t>
      </w:r>
      <w:r>
        <w:rPr>
          <w:spacing w:val="-4"/>
          <w:sz w:val="21"/>
        </w:rPr>
        <w:t> </w:t>
      </w:r>
      <w:r>
        <w:rPr>
          <w:sz w:val="21"/>
        </w:rPr>
        <w:t>transition-age</w:t>
      </w:r>
      <w:r>
        <w:rPr>
          <w:spacing w:val="-4"/>
          <w:sz w:val="21"/>
        </w:rPr>
        <w:t> </w:t>
      </w:r>
      <w:r>
        <w:rPr>
          <w:sz w:val="21"/>
        </w:rPr>
        <w:t>foster</w:t>
      </w:r>
      <w:r>
        <w:rPr>
          <w:spacing w:val="-3"/>
          <w:sz w:val="21"/>
        </w:rPr>
        <w:t> </w:t>
      </w:r>
      <w:r>
        <w:rPr>
          <w:spacing w:val="-2"/>
          <w:sz w:val="21"/>
        </w:rPr>
        <w:t>youth.</w:t>
      </w:r>
    </w:p>
    <w:p>
      <w:pPr>
        <w:pStyle w:val="ListParagraph"/>
        <w:numPr>
          <w:ilvl w:val="0"/>
          <w:numId w:val="13"/>
        </w:numPr>
        <w:tabs>
          <w:tab w:pos="1049" w:val="left" w:leader="none"/>
        </w:tabs>
        <w:spacing w:line="240" w:lineRule="auto" w:before="35" w:after="0"/>
        <w:ind w:left="1049" w:right="0" w:hanging="229"/>
        <w:jc w:val="left"/>
        <w:rPr>
          <w:sz w:val="21"/>
        </w:rPr>
      </w:pPr>
      <w:r>
        <w:rPr>
          <w:sz w:val="21"/>
        </w:rPr>
        <w:t>Fund</w:t>
      </w:r>
      <w:r>
        <w:rPr>
          <w:spacing w:val="-6"/>
          <w:sz w:val="21"/>
        </w:rPr>
        <w:t> </w:t>
      </w:r>
      <w:r>
        <w:rPr>
          <w:sz w:val="21"/>
        </w:rPr>
        <w:t>employment</w:t>
      </w:r>
      <w:r>
        <w:rPr>
          <w:spacing w:val="-2"/>
          <w:sz w:val="21"/>
        </w:rPr>
        <w:t> </w:t>
      </w:r>
      <w:r>
        <w:rPr>
          <w:sz w:val="21"/>
        </w:rPr>
        <w:t>programming</w:t>
      </w:r>
      <w:r>
        <w:rPr>
          <w:spacing w:val="-3"/>
          <w:sz w:val="21"/>
        </w:rPr>
        <w:t> </w:t>
      </w:r>
      <w:r>
        <w:rPr>
          <w:sz w:val="21"/>
        </w:rPr>
        <w:t>designed</w:t>
      </w:r>
      <w:r>
        <w:rPr>
          <w:spacing w:val="-3"/>
          <w:sz w:val="21"/>
        </w:rPr>
        <w:t> </w:t>
      </w:r>
      <w:r>
        <w:rPr>
          <w:sz w:val="21"/>
        </w:rPr>
        <w:t>to</w:t>
      </w:r>
      <w:r>
        <w:rPr>
          <w:spacing w:val="-4"/>
          <w:sz w:val="21"/>
        </w:rPr>
        <w:t> </w:t>
      </w:r>
      <w:r>
        <w:rPr>
          <w:sz w:val="21"/>
        </w:rPr>
        <w:t>support</w:t>
      </w:r>
      <w:r>
        <w:rPr>
          <w:spacing w:val="-4"/>
          <w:sz w:val="21"/>
        </w:rPr>
        <w:t> </w:t>
      </w:r>
      <w:r>
        <w:rPr>
          <w:sz w:val="21"/>
        </w:rPr>
        <w:t>LGBTQ</w:t>
      </w:r>
      <w:r>
        <w:rPr>
          <w:spacing w:val="-3"/>
          <w:sz w:val="21"/>
        </w:rPr>
        <w:t> </w:t>
      </w:r>
      <w:r>
        <w:rPr>
          <w:sz w:val="21"/>
        </w:rPr>
        <w:t>youth</w:t>
      </w:r>
      <w:r>
        <w:rPr>
          <w:spacing w:val="-4"/>
          <w:sz w:val="21"/>
        </w:rPr>
        <w:t> </w:t>
      </w:r>
      <w:r>
        <w:rPr>
          <w:sz w:val="21"/>
        </w:rPr>
        <w:t>experiencing</w:t>
      </w:r>
      <w:r>
        <w:rPr>
          <w:spacing w:val="-3"/>
          <w:sz w:val="21"/>
        </w:rPr>
        <w:t> </w:t>
      </w:r>
      <w:r>
        <w:rPr>
          <w:spacing w:val="-2"/>
          <w:sz w:val="21"/>
        </w:rPr>
        <w:t>homelessness.</w:t>
      </w:r>
    </w:p>
    <w:p>
      <w:pPr>
        <w:spacing w:after="0" w:line="240" w:lineRule="auto"/>
        <w:jc w:val="left"/>
        <w:rPr>
          <w:sz w:val="21"/>
        </w:rPr>
        <w:sectPr>
          <w:headerReference w:type="default" r:id="rId42"/>
          <w:footerReference w:type="default" r:id="rId43"/>
          <w:pgSz w:w="12240" w:h="15840"/>
          <w:pgMar w:header="0" w:footer="1061" w:top="1140" w:bottom="1260" w:left="980" w:right="1160"/>
        </w:sectPr>
      </w:pPr>
    </w:p>
    <w:p>
      <w:pPr>
        <w:spacing w:before="29"/>
        <w:ind w:left="604" w:right="0" w:firstLine="0"/>
        <w:jc w:val="both"/>
        <w:rPr>
          <w:sz w:val="28"/>
        </w:rPr>
      </w:pPr>
      <w:bookmarkStart w:name="Eliminating Barriers to Service (2023)" w:id="74"/>
      <w:bookmarkEnd w:id="74"/>
      <w:r>
        <w:rPr/>
      </w:r>
      <w:r>
        <w:rPr>
          <w:color w:val="365F91"/>
          <w:sz w:val="28"/>
        </w:rPr>
        <w:t>Eliminating</w:t>
      </w:r>
      <w:r>
        <w:rPr>
          <w:color w:val="365F91"/>
          <w:spacing w:val="-11"/>
          <w:sz w:val="28"/>
        </w:rPr>
        <w:t> </w:t>
      </w:r>
      <w:r>
        <w:rPr>
          <w:color w:val="365F91"/>
          <w:sz w:val="28"/>
        </w:rPr>
        <w:t>Barriers</w:t>
      </w:r>
      <w:r>
        <w:rPr>
          <w:color w:val="365F91"/>
          <w:spacing w:val="-11"/>
          <w:sz w:val="28"/>
        </w:rPr>
        <w:t> </w:t>
      </w:r>
      <w:r>
        <w:rPr>
          <w:color w:val="365F91"/>
          <w:sz w:val="28"/>
        </w:rPr>
        <w:t>to</w:t>
      </w:r>
      <w:r>
        <w:rPr>
          <w:color w:val="365F91"/>
          <w:spacing w:val="-11"/>
          <w:sz w:val="28"/>
        </w:rPr>
        <w:t> </w:t>
      </w:r>
      <w:r>
        <w:rPr>
          <w:color w:val="365F91"/>
          <w:sz w:val="28"/>
        </w:rPr>
        <w:t>Service</w:t>
      </w:r>
      <w:r>
        <w:rPr>
          <w:color w:val="365F91"/>
          <w:spacing w:val="-11"/>
          <w:sz w:val="28"/>
        </w:rPr>
        <w:t> </w:t>
      </w:r>
      <w:r>
        <w:rPr>
          <w:color w:val="365F91"/>
          <w:spacing w:val="-2"/>
          <w:sz w:val="28"/>
        </w:rPr>
        <w:t>(2023)</w:t>
      </w:r>
    </w:p>
    <w:p>
      <w:pPr>
        <w:spacing w:line="276" w:lineRule="auto" w:before="293"/>
        <w:ind w:left="604" w:right="421" w:hanging="1"/>
        <w:jc w:val="both"/>
        <w:rPr>
          <w:sz w:val="21"/>
        </w:rPr>
      </w:pPr>
      <w:r>
        <w:rPr>
          <w:spacing w:val="-2"/>
          <w:sz w:val="21"/>
        </w:rPr>
        <w:t>Supporting</w:t>
      </w:r>
      <w:r>
        <w:rPr>
          <w:spacing w:val="-6"/>
          <w:sz w:val="21"/>
        </w:rPr>
        <w:t> </w:t>
      </w:r>
      <w:r>
        <w:rPr>
          <w:spacing w:val="-2"/>
          <w:sz w:val="21"/>
        </w:rPr>
        <w:t>and</w:t>
      </w:r>
      <w:r>
        <w:rPr>
          <w:spacing w:val="-5"/>
          <w:sz w:val="21"/>
        </w:rPr>
        <w:t> </w:t>
      </w:r>
      <w:r>
        <w:rPr>
          <w:spacing w:val="-2"/>
          <w:sz w:val="21"/>
        </w:rPr>
        <w:t>affirming</w:t>
      </w:r>
      <w:r>
        <w:rPr>
          <w:spacing w:val="-8"/>
          <w:sz w:val="21"/>
        </w:rPr>
        <w:t> </w:t>
      </w:r>
      <w:r>
        <w:rPr>
          <w:spacing w:val="-2"/>
          <w:sz w:val="21"/>
        </w:rPr>
        <w:t>LGBTQ</w:t>
      </w:r>
      <w:r>
        <w:rPr>
          <w:spacing w:val="-5"/>
          <w:sz w:val="21"/>
        </w:rPr>
        <w:t> </w:t>
      </w:r>
      <w:r>
        <w:rPr>
          <w:spacing w:val="-2"/>
          <w:sz w:val="21"/>
        </w:rPr>
        <w:t>youth</w:t>
      </w:r>
      <w:r>
        <w:rPr>
          <w:spacing w:val="-8"/>
          <w:sz w:val="21"/>
        </w:rPr>
        <w:t> </w:t>
      </w:r>
      <w:r>
        <w:rPr>
          <w:spacing w:val="-2"/>
          <w:sz w:val="21"/>
        </w:rPr>
        <w:t>in</w:t>
      </w:r>
      <w:r>
        <w:rPr>
          <w:spacing w:val="-8"/>
          <w:sz w:val="21"/>
        </w:rPr>
        <w:t> </w:t>
      </w:r>
      <w:r>
        <w:rPr>
          <w:spacing w:val="-2"/>
          <w:sz w:val="21"/>
        </w:rPr>
        <w:t>Massachusetts</w:t>
      </w:r>
      <w:r>
        <w:rPr>
          <w:spacing w:val="-6"/>
          <w:sz w:val="21"/>
        </w:rPr>
        <w:t> </w:t>
      </w:r>
      <w:r>
        <w:rPr>
          <w:spacing w:val="-2"/>
          <w:sz w:val="21"/>
        </w:rPr>
        <w:t>requires</w:t>
      </w:r>
      <w:r>
        <w:rPr>
          <w:spacing w:val="-8"/>
          <w:sz w:val="21"/>
        </w:rPr>
        <w:t> </w:t>
      </w:r>
      <w:r>
        <w:rPr>
          <w:spacing w:val="-2"/>
          <w:sz w:val="21"/>
        </w:rPr>
        <w:t>an</w:t>
      </w:r>
      <w:r>
        <w:rPr>
          <w:spacing w:val="-8"/>
          <w:sz w:val="21"/>
        </w:rPr>
        <w:t> </w:t>
      </w:r>
      <w:r>
        <w:rPr>
          <w:spacing w:val="-2"/>
          <w:sz w:val="21"/>
        </w:rPr>
        <w:t>integrated</w:t>
      </w:r>
      <w:r>
        <w:rPr>
          <w:spacing w:val="-5"/>
          <w:sz w:val="21"/>
        </w:rPr>
        <w:t> </w:t>
      </w:r>
      <w:r>
        <w:rPr>
          <w:spacing w:val="-2"/>
          <w:sz w:val="21"/>
        </w:rPr>
        <w:t>and</w:t>
      </w:r>
      <w:r>
        <w:rPr>
          <w:spacing w:val="-6"/>
          <w:sz w:val="21"/>
        </w:rPr>
        <w:t> </w:t>
      </w:r>
      <w:r>
        <w:rPr>
          <w:spacing w:val="-2"/>
          <w:sz w:val="21"/>
        </w:rPr>
        <w:t>comprehensive</w:t>
      </w:r>
      <w:r>
        <w:rPr>
          <w:spacing w:val="-9"/>
          <w:sz w:val="21"/>
        </w:rPr>
        <w:t> </w:t>
      </w:r>
      <w:r>
        <w:rPr>
          <w:spacing w:val="-2"/>
          <w:sz w:val="21"/>
        </w:rPr>
        <w:t>effort</w:t>
      </w:r>
      <w:r>
        <w:rPr>
          <w:spacing w:val="8"/>
          <w:sz w:val="21"/>
        </w:rPr>
        <w:t> </w:t>
      </w:r>
      <w:r>
        <w:rPr>
          <w:spacing w:val="-2"/>
          <w:sz w:val="21"/>
        </w:rPr>
        <w:t>by </w:t>
      </w:r>
      <w:r>
        <w:rPr>
          <w:sz w:val="21"/>
        </w:rPr>
        <w:t>all</w:t>
      </w:r>
      <w:r>
        <w:rPr>
          <w:spacing w:val="-7"/>
          <w:sz w:val="21"/>
        </w:rPr>
        <w:t> </w:t>
      </w:r>
      <w:r>
        <w:rPr>
          <w:sz w:val="21"/>
        </w:rPr>
        <w:t>state</w:t>
      </w:r>
      <w:r>
        <w:rPr>
          <w:spacing w:val="-7"/>
          <w:sz w:val="21"/>
        </w:rPr>
        <w:t> </w:t>
      </w:r>
      <w:r>
        <w:rPr>
          <w:sz w:val="21"/>
        </w:rPr>
        <w:t>systems,</w:t>
      </w:r>
      <w:r>
        <w:rPr>
          <w:spacing w:val="-6"/>
          <w:sz w:val="21"/>
        </w:rPr>
        <w:t> </w:t>
      </w:r>
      <w:r>
        <w:rPr>
          <w:sz w:val="21"/>
        </w:rPr>
        <w:t>leaders,</w:t>
      </w:r>
      <w:r>
        <w:rPr>
          <w:spacing w:val="-6"/>
          <w:sz w:val="21"/>
        </w:rPr>
        <w:t> </w:t>
      </w:r>
      <w:r>
        <w:rPr>
          <w:sz w:val="21"/>
        </w:rPr>
        <w:t>educators,</w:t>
      </w:r>
      <w:r>
        <w:rPr>
          <w:spacing w:val="-6"/>
          <w:sz w:val="21"/>
        </w:rPr>
        <w:t> </w:t>
      </w:r>
      <w:r>
        <w:rPr>
          <w:sz w:val="21"/>
        </w:rPr>
        <w:t>providers,</w:t>
      </w:r>
      <w:r>
        <w:rPr>
          <w:spacing w:val="-6"/>
          <w:sz w:val="21"/>
        </w:rPr>
        <w:t> </w:t>
      </w:r>
      <w:r>
        <w:rPr>
          <w:sz w:val="21"/>
        </w:rPr>
        <w:t>and</w:t>
      </w:r>
      <w:r>
        <w:rPr>
          <w:spacing w:val="-7"/>
          <w:sz w:val="21"/>
        </w:rPr>
        <w:t> </w:t>
      </w:r>
      <w:r>
        <w:rPr>
          <w:sz w:val="21"/>
        </w:rPr>
        <w:t>advocates.</w:t>
      </w:r>
      <w:r>
        <w:rPr>
          <w:spacing w:val="-7"/>
          <w:sz w:val="21"/>
        </w:rPr>
        <w:t> </w:t>
      </w:r>
      <w:r>
        <w:rPr>
          <w:sz w:val="21"/>
        </w:rPr>
        <w:t>In</w:t>
      </w:r>
      <w:r>
        <w:rPr>
          <w:spacing w:val="-7"/>
          <w:sz w:val="21"/>
        </w:rPr>
        <w:t> </w:t>
      </w:r>
      <w:r>
        <w:rPr>
          <w:sz w:val="21"/>
        </w:rPr>
        <w:t>the</w:t>
      </w:r>
      <w:r>
        <w:rPr>
          <w:spacing w:val="-7"/>
          <w:sz w:val="21"/>
        </w:rPr>
        <w:t> </w:t>
      </w:r>
      <w:r>
        <w:rPr>
          <w:sz w:val="21"/>
        </w:rPr>
        <w:t>development</w:t>
      </w:r>
      <w:r>
        <w:rPr>
          <w:spacing w:val="-6"/>
          <w:sz w:val="21"/>
        </w:rPr>
        <w:t> </w:t>
      </w:r>
      <w:r>
        <w:rPr>
          <w:sz w:val="21"/>
        </w:rPr>
        <w:t>of</w:t>
      </w:r>
      <w:r>
        <w:rPr>
          <w:spacing w:val="-7"/>
          <w:sz w:val="21"/>
        </w:rPr>
        <w:t> </w:t>
      </w:r>
      <w:r>
        <w:rPr>
          <w:sz w:val="21"/>
        </w:rPr>
        <w:t>the</w:t>
      </w:r>
      <w:r>
        <w:rPr>
          <w:spacing w:val="-7"/>
          <w:sz w:val="21"/>
        </w:rPr>
        <w:t> </w:t>
      </w:r>
      <w:r>
        <w:rPr>
          <w:sz w:val="21"/>
        </w:rPr>
        <w:t>Commission’s</w:t>
      </w:r>
      <w:r>
        <w:rPr>
          <w:spacing w:val="-7"/>
          <w:sz w:val="21"/>
        </w:rPr>
        <w:t> </w:t>
      </w:r>
      <w:r>
        <w:rPr>
          <w:sz w:val="21"/>
        </w:rPr>
        <w:t>FY 2024 annual report, it noted many overarching themes of gaps in data collection, a greater need for mandatory and comprehensive trainings, and expanded policy development across the state. Throughout this</w:t>
      </w:r>
      <w:r>
        <w:rPr>
          <w:spacing w:val="-9"/>
          <w:sz w:val="21"/>
        </w:rPr>
        <w:t> </w:t>
      </w:r>
      <w:r>
        <w:rPr>
          <w:sz w:val="21"/>
        </w:rPr>
        <w:t>report,</w:t>
      </w:r>
      <w:r>
        <w:rPr>
          <w:spacing w:val="-4"/>
          <w:sz w:val="21"/>
        </w:rPr>
        <w:t> </w:t>
      </w:r>
      <w:r>
        <w:rPr>
          <w:sz w:val="21"/>
        </w:rPr>
        <w:t>the</w:t>
      </w:r>
      <w:r>
        <w:rPr>
          <w:spacing w:val="-3"/>
          <w:sz w:val="21"/>
        </w:rPr>
        <w:t> </w:t>
      </w:r>
      <w:r>
        <w:rPr>
          <w:sz w:val="21"/>
        </w:rPr>
        <w:t>Commission</w:t>
      </w:r>
      <w:r>
        <w:rPr>
          <w:spacing w:val="-2"/>
          <w:sz w:val="21"/>
        </w:rPr>
        <w:t> </w:t>
      </w:r>
      <w:r>
        <w:rPr>
          <w:sz w:val="21"/>
        </w:rPr>
        <w:t>has</w:t>
      </w:r>
      <w:r>
        <w:rPr>
          <w:spacing w:val="-4"/>
          <w:sz w:val="21"/>
        </w:rPr>
        <w:t> </w:t>
      </w:r>
      <w:r>
        <w:rPr>
          <w:sz w:val="21"/>
        </w:rPr>
        <w:t>highlighted</w:t>
      </w:r>
      <w:r>
        <w:rPr>
          <w:spacing w:val="-3"/>
          <w:sz w:val="21"/>
        </w:rPr>
        <w:t> </w:t>
      </w:r>
      <w:r>
        <w:rPr>
          <w:sz w:val="21"/>
        </w:rPr>
        <w:t>numerous</w:t>
      </w:r>
      <w:r>
        <w:rPr>
          <w:spacing w:val="-5"/>
          <w:sz w:val="21"/>
        </w:rPr>
        <w:t> </w:t>
      </w:r>
      <w:r>
        <w:rPr>
          <w:sz w:val="21"/>
        </w:rPr>
        <w:t>areas</w:t>
      </w:r>
      <w:r>
        <w:rPr>
          <w:spacing w:val="-4"/>
          <w:sz w:val="21"/>
        </w:rPr>
        <w:t> </w:t>
      </w:r>
      <w:r>
        <w:rPr>
          <w:sz w:val="21"/>
        </w:rPr>
        <w:t>in</w:t>
      </w:r>
      <w:r>
        <w:rPr>
          <w:spacing w:val="-3"/>
          <w:sz w:val="21"/>
        </w:rPr>
        <w:t> </w:t>
      </w:r>
      <w:r>
        <w:rPr>
          <w:sz w:val="21"/>
        </w:rPr>
        <w:t>its</w:t>
      </w:r>
      <w:r>
        <w:rPr>
          <w:spacing w:val="-3"/>
          <w:sz w:val="21"/>
        </w:rPr>
        <w:t> </w:t>
      </w:r>
      <w:r>
        <w:rPr>
          <w:sz w:val="21"/>
        </w:rPr>
        <w:t>core</w:t>
      </w:r>
      <w:r>
        <w:rPr>
          <w:spacing w:val="-3"/>
          <w:sz w:val="21"/>
        </w:rPr>
        <w:t> </w:t>
      </w:r>
      <w:r>
        <w:rPr>
          <w:sz w:val="21"/>
        </w:rPr>
        <w:t>sections</w:t>
      </w:r>
      <w:r>
        <w:rPr>
          <w:spacing w:val="-4"/>
          <w:sz w:val="21"/>
        </w:rPr>
        <w:t> </w:t>
      </w:r>
      <w:r>
        <w:rPr>
          <w:sz w:val="21"/>
        </w:rPr>
        <w:t>and</w:t>
      </w:r>
      <w:r>
        <w:rPr>
          <w:spacing w:val="-3"/>
          <w:sz w:val="21"/>
        </w:rPr>
        <w:t> </w:t>
      </w:r>
      <w:r>
        <w:rPr>
          <w:sz w:val="21"/>
        </w:rPr>
        <w:t>below</w:t>
      </w:r>
      <w:r>
        <w:rPr>
          <w:spacing w:val="-12"/>
          <w:sz w:val="21"/>
        </w:rPr>
        <w:t> </w:t>
      </w:r>
      <w:r>
        <w:rPr>
          <w:sz w:val="21"/>
        </w:rPr>
        <w:t>agency</w:t>
      </w:r>
      <w:r>
        <w:rPr>
          <w:spacing w:val="-12"/>
          <w:sz w:val="21"/>
        </w:rPr>
        <w:t> </w:t>
      </w:r>
      <w:r>
        <w:rPr>
          <w:sz w:val="21"/>
        </w:rPr>
        <w:t>sections that</w:t>
      </w:r>
      <w:r>
        <w:rPr>
          <w:spacing w:val="-5"/>
          <w:sz w:val="21"/>
        </w:rPr>
        <w:t> </w:t>
      </w:r>
      <w:r>
        <w:rPr>
          <w:sz w:val="21"/>
        </w:rPr>
        <w:t>Massachusetts</w:t>
      </w:r>
      <w:r>
        <w:rPr>
          <w:spacing w:val="-7"/>
          <w:sz w:val="21"/>
        </w:rPr>
        <w:t> </w:t>
      </w:r>
      <w:r>
        <w:rPr>
          <w:sz w:val="21"/>
        </w:rPr>
        <w:t>must</w:t>
      </w:r>
      <w:r>
        <w:rPr>
          <w:spacing w:val="-4"/>
          <w:sz w:val="21"/>
        </w:rPr>
        <w:t> </w:t>
      </w:r>
      <w:r>
        <w:rPr>
          <w:sz w:val="21"/>
        </w:rPr>
        <w:t>address</w:t>
      </w:r>
      <w:r>
        <w:rPr>
          <w:spacing w:val="-7"/>
          <w:sz w:val="21"/>
        </w:rPr>
        <w:t> </w:t>
      </w:r>
      <w:r>
        <w:rPr>
          <w:sz w:val="21"/>
        </w:rPr>
        <w:t>to</w:t>
      </w:r>
      <w:r>
        <w:rPr>
          <w:spacing w:val="-4"/>
          <w:sz w:val="21"/>
        </w:rPr>
        <w:t> </w:t>
      </w:r>
      <w:r>
        <w:rPr>
          <w:sz w:val="21"/>
        </w:rPr>
        <w:t>better</w:t>
      </w:r>
      <w:r>
        <w:rPr>
          <w:spacing w:val="-4"/>
          <w:sz w:val="21"/>
        </w:rPr>
        <w:t> </w:t>
      </w:r>
      <w:r>
        <w:rPr>
          <w:sz w:val="21"/>
        </w:rPr>
        <w:t>support</w:t>
      </w:r>
      <w:r>
        <w:rPr>
          <w:spacing w:val="-5"/>
          <w:sz w:val="21"/>
        </w:rPr>
        <w:t> </w:t>
      </w:r>
      <w:r>
        <w:rPr>
          <w:sz w:val="21"/>
        </w:rPr>
        <w:t>the</w:t>
      </w:r>
      <w:r>
        <w:rPr>
          <w:spacing w:val="-5"/>
          <w:sz w:val="21"/>
        </w:rPr>
        <w:t> </w:t>
      </w:r>
      <w:r>
        <w:rPr>
          <w:sz w:val="21"/>
        </w:rPr>
        <w:t>overall</w:t>
      </w:r>
      <w:r>
        <w:rPr>
          <w:spacing w:val="-5"/>
          <w:sz w:val="21"/>
        </w:rPr>
        <w:t> </w:t>
      </w:r>
      <w:r>
        <w:rPr>
          <w:sz w:val="21"/>
        </w:rPr>
        <w:t>well-being</w:t>
      </w:r>
      <w:r>
        <w:rPr>
          <w:spacing w:val="-4"/>
          <w:sz w:val="21"/>
        </w:rPr>
        <w:t> </w:t>
      </w:r>
      <w:r>
        <w:rPr>
          <w:sz w:val="21"/>
        </w:rPr>
        <w:t>of</w:t>
      </w:r>
      <w:r>
        <w:rPr>
          <w:spacing w:val="-7"/>
          <w:sz w:val="21"/>
        </w:rPr>
        <w:t> </w:t>
      </w:r>
      <w:r>
        <w:rPr>
          <w:sz w:val="21"/>
        </w:rPr>
        <w:t>LGBTQ youth and families.</w:t>
      </w:r>
    </w:p>
    <w:p>
      <w:pPr>
        <w:spacing w:line="276" w:lineRule="auto" w:before="240"/>
        <w:ind w:left="603" w:right="419" w:firstLine="1"/>
        <w:jc w:val="both"/>
        <w:rPr>
          <w:sz w:val="21"/>
        </w:rPr>
      </w:pPr>
      <w:r>
        <w:rPr>
          <w:sz w:val="21"/>
        </w:rPr>
        <w:t>This section provides an overview of the Commission’s recommendations on thematic areas applicable to the whole state, as well as suggested revisions to existing Massachusetts laws. With this section, the Commission advises the state on recommendations that broadly intersect the core sections of the Commission’s annual report and</w:t>
      </w:r>
      <w:r>
        <w:rPr>
          <w:spacing w:val="-1"/>
          <w:sz w:val="21"/>
        </w:rPr>
        <w:t> </w:t>
      </w:r>
      <w:r>
        <w:rPr>
          <w:sz w:val="21"/>
        </w:rPr>
        <w:t>the below agency recommendations</w:t>
      </w:r>
      <w:r>
        <w:rPr>
          <w:spacing w:val="-3"/>
          <w:sz w:val="21"/>
        </w:rPr>
        <w:t> </w:t>
      </w:r>
      <w:r>
        <w:rPr>
          <w:sz w:val="21"/>
        </w:rPr>
        <w:t>to affirm and support LGBTQ</w:t>
      </w:r>
      <w:r>
        <w:rPr>
          <w:spacing w:val="-2"/>
          <w:sz w:val="21"/>
        </w:rPr>
        <w:t> </w:t>
      </w:r>
      <w:r>
        <w:rPr>
          <w:sz w:val="21"/>
        </w:rPr>
        <w:t>youth. The Commission appreciates the ongoing collaboration opportunities with its community and agency partners, legislators, and youth into FY 2025.</w:t>
      </w:r>
    </w:p>
    <w:p>
      <w:pPr>
        <w:spacing w:before="239"/>
        <w:ind w:left="604" w:right="0" w:firstLine="0"/>
        <w:jc w:val="both"/>
        <w:rPr>
          <w:sz w:val="25"/>
        </w:rPr>
      </w:pPr>
      <w:bookmarkStart w:name="FY 2025 Recommendations to the Commonwea" w:id="75"/>
      <w:bookmarkEnd w:id="75"/>
      <w:r>
        <w:rPr/>
      </w:r>
      <w:r>
        <w:rPr>
          <w:color w:val="404040"/>
          <w:sz w:val="25"/>
        </w:rPr>
        <w:t>FY</w:t>
      </w:r>
      <w:r>
        <w:rPr>
          <w:color w:val="404040"/>
          <w:spacing w:val="-10"/>
          <w:sz w:val="25"/>
        </w:rPr>
        <w:t> </w:t>
      </w:r>
      <w:r>
        <w:rPr>
          <w:color w:val="404040"/>
          <w:sz w:val="25"/>
        </w:rPr>
        <w:t>2025</w:t>
      </w:r>
      <w:r>
        <w:rPr>
          <w:color w:val="404040"/>
          <w:spacing w:val="-9"/>
          <w:sz w:val="25"/>
        </w:rPr>
        <w:t> </w:t>
      </w:r>
      <w:r>
        <w:rPr>
          <w:color w:val="404040"/>
          <w:sz w:val="25"/>
        </w:rPr>
        <w:t>Recommendations</w:t>
      </w:r>
      <w:r>
        <w:rPr>
          <w:color w:val="404040"/>
          <w:spacing w:val="-9"/>
          <w:sz w:val="25"/>
        </w:rPr>
        <w:t> </w:t>
      </w:r>
      <w:r>
        <w:rPr>
          <w:color w:val="404040"/>
          <w:sz w:val="25"/>
        </w:rPr>
        <w:t>to</w:t>
      </w:r>
      <w:r>
        <w:rPr>
          <w:color w:val="404040"/>
          <w:spacing w:val="-8"/>
          <w:sz w:val="25"/>
        </w:rPr>
        <w:t> </w:t>
      </w:r>
      <w:r>
        <w:rPr>
          <w:color w:val="404040"/>
          <w:sz w:val="25"/>
        </w:rPr>
        <w:t>the</w:t>
      </w:r>
      <w:r>
        <w:rPr>
          <w:color w:val="404040"/>
          <w:spacing w:val="-8"/>
          <w:sz w:val="25"/>
        </w:rPr>
        <w:t> </w:t>
      </w:r>
      <w:r>
        <w:rPr>
          <w:color w:val="404040"/>
          <w:sz w:val="25"/>
        </w:rPr>
        <w:t>Commonwealth</w:t>
      </w:r>
      <w:r>
        <w:rPr>
          <w:color w:val="404040"/>
          <w:spacing w:val="-10"/>
          <w:sz w:val="25"/>
        </w:rPr>
        <w:t> </w:t>
      </w:r>
      <w:r>
        <w:rPr>
          <w:color w:val="404040"/>
          <w:sz w:val="25"/>
        </w:rPr>
        <w:t>of</w:t>
      </w:r>
      <w:r>
        <w:rPr>
          <w:color w:val="404040"/>
          <w:spacing w:val="-8"/>
          <w:sz w:val="25"/>
        </w:rPr>
        <w:t> </w:t>
      </w:r>
      <w:r>
        <w:rPr>
          <w:color w:val="404040"/>
          <w:spacing w:val="-2"/>
          <w:sz w:val="25"/>
        </w:rPr>
        <w:t>Massachusetts</w:t>
      </w:r>
    </w:p>
    <w:p>
      <w:pPr>
        <w:pStyle w:val="ListParagraph"/>
        <w:numPr>
          <w:ilvl w:val="0"/>
          <w:numId w:val="14"/>
        </w:numPr>
        <w:tabs>
          <w:tab w:pos="1048" w:val="left" w:leader="none"/>
          <w:tab w:pos="1050" w:val="left" w:leader="none"/>
        </w:tabs>
        <w:spacing w:line="276" w:lineRule="auto" w:before="286" w:after="0"/>
        <w:ind w:left="1050" w:right="638" w:hanging="231"/>
        <w:jc w:val="both"/>
        <w:rPr>
          <w:sz w:val="22"/>
        </w:rPr>
      </w:pPr>
      <w:r>
        <w:rPr>
          <w:sz w:val="22"/>
        </w:rPr>
        <w:t>Improve and standardize SOGIE data collection practices to allow for more cross-agency data analysis and develop a plan to update all relevant state forms asking about sex, gender, and sexual orientation demographics.</w:t>
      </w:r>
    </w:p>
    <w:p>
      <w:pPr>
        <w:pStyle w:val="ListParagraph"/>
        <w:numPr>
          <w:ilvl w:val="0"/>
          <w:numId w:val="14"/>
        </w:numPr>
        <w:tabs>
          <w:tab w:pos="1048" w:val="left" w:leader="none"/>
          <w:tab w:pos="1050" w:val="left" w:leader="none"/>
        </w:tabs>
        <w:spacing w:line="276" w:lineRule="auto" w:before="240" w:after="0"/>
        <w:ind w:left="1050" w:right="636" w:hanging="231"/>
        <w:jc w:val="both"/>
        <w:rPr>
          <w:sz w:val="22"/>
        </w:rPr>
      </w:pPr>
      <w:bookmarkStart w:name="2. Mandate that all state agencies devel" w:id="76"/>
      <w:bookmarkEnd w:id="76"/>
      <w:r>
        <w:rPr/>
      </w:r>
      <w:r>
        <w:rPr>
          <w:sz w:val="22"/>
        </w:rPr>
        <w:t>Mandate that all state agencies develop a nondiscrimination policy, and a plan to review all relevant internal policies to ensure LGBTQ-inclusivity.</w:t>
      </w:r>
    </w:p>
    <w:p>
      <w:pPr>
        <w:pStyle w:val="ListParagraph"/>
        <w:numPr>
          <w:ilvl w:val="0"/>
          <w:numId w:val="14"/>
        </w:numPr>
        <w:tabs>
          <w:tab w:pos="1049" w:val="left" w:leader="none"/>
        </w:tabs>
        <w:spacing w:line="240" w:lineRule="auto" w:before="240" w:after="0"/>
        <w:ind w:left="1049" w:right="0" w:hanging="229"/>
        <w:jc w:val="left"/>
        <w:rPr>
          <w:sz w:val="22"/>
        </w:rPr>
      </w:pPr>
      <w:bookmarkStart w:name="3. Ensure that all agencies are providin" w:id="77"/>
      <w:bookmarkEnd w:id="77"/>
      <w:r>
        <w:rPr/>
      </w:r>
      <w:r>
        <w:rPr>
          <w:sz w:val="22"/>
        </w:rPr>
        <w:t>Ensure</w:t>
      </w:r>
      <w:r>
        <w:rPr>
          <w:spacing w:val="-9"/>
          <w:sz w:val="22"/>
        </w:rPr>
        <w:t> </w:t>
      </w:r>
      <w:r>
        <w:rPr>
          <w:sz w:val="22"/>
        </w:rPr>
        <w:t>that</w:t>
      </w:r>
      <w:r>
        <w:rPr>
          <w:spacing w:val="-8"/>
          <w:sz w:val="22"/>
        </w:rPr>
        <w:t> </w:t>
      </w:r>
      <w:r>
        <w:rPr>
          <w:sz w:val="22"/>
        </w:rPr>
        <w:t>all</w:t>
      </w:r>
      <w:r>
        <w:rPr>
          <w:spacing w:val="-9"/>
          <w:sz w:val="22"/>
        </w:rPr>
        <w:t> </w:t>
      </w:r>
      <w:r>
        <w:rPr>
          <w:sz w:val="22"/>
        </w:rPr>
        <w:t>agencies</w:t>
      </w:r>
      <w:r>
        <w:rPr>
          <w:spacing w:val="-9"/>
          <w:sz w:val="22"/>
        </w:rPr>
        <w:t> </w:t>
      </w:r>
      <w:r>
        <w:rPr>
          <w:sz w:val="22"/>
        </w:rPr>
        <w:t>are</w:t>
      </w:r>
      <w:r>
        <w:rPr>
          <w:spacing w:val="-9"/>
          <w:sz w:val="22"/>
        </w:rPr>
        <w:t> </w:t>
      </w:r>
      <w:r>
        <w:rPr>
          <w:sz w:val="22"/>
        </w:rPr>
        <w:t>providing</w:t>
      </w:r>
      <w:r>
        <w:rPr>
          <w:spacing w:val="-8"/>
          <w:sz w:val="22"/>
        </w:rPr>
        <w:t> </w:t>
      </w:r>
      <w:r>
        <w:rPr>
          <w:sz w:val="22"/>
        </w:rPr>
        <w:t>mandated</w:t>
      </w:r>
      <w:r>
        <w:rPr>
          <w:spacing w:val="-9"/>
          <w:sz w:val="22"/>
        </w:rPr>
        <w:t> </w:t>
      </w:r>
      <w:r>
        <w:rPr>
          <w:sz w:val="22"/>
        </w:rPr>
        <w:t>LGBTQ</w:t>
      </w:r>
      <w:r>
        <w:rPr>
          <w:spacing w:val="-8"/>
          <w:sz w:val="22"/>
        </w:rPr>
        <w:t> </w:t>
      </w:r>
      <w:r>
        <w:rPr>
          <w:sz w:val="22"/>
        </w:rPr>
        <w:t>cultural</w:t>
      </w:r>
      <w:r>
        <w:rPr>
          <w:spacing w:val="-9"/>
          <w:sz w:val="22"/>
        </w:rPr>
        <w:t> </w:t>
      </w:r>
      <w:r>
        <w:rPr>
          <w:sz w:val="22"/>
        </w:rPr>
        <w:t>awareness</w:t>
      </w:r>
      <w:r>
        <w:rPr>
          <w:spacing w:val="-9"/>
          <w:sz w:val="22"/>
        </w:rPr>
        <w:t> </w:t>
      </w:r>
      <w:r>
        <w:rPr>
          <w:spacing w:val="-2"/>
          <w:sz w:val="22"/>
        </w:rPr>
        <w:t>trainings.</w:t>
      </w:r>
    </w:p>
    <w:p>
      <w:pPr>
        <w:pStyle w:val="BodyText"/>
        <w:spacing w:before="11"/>
      </w:pPr>
    </w:p>
    <w:p>
      <w:pPr>
        <w:pStyle w:val="ListParagraph"/>
        <w:numPr>
          <w:ilvl w:val="0"/>
          <w:numId w:val="14"/>
        </w:numPr>
        <w:tabs>
          <w:tab w:pos="1049" w:val="left" w:leader="none"/>
          <w:tab w:pos="1051" w:val="left" w:leader="none"/>
        </w:tabs>
        <w:spacing w:line="276" w:lineRule="auto" w:before="1" w:after="0"/>
        <w:ind w:left="1051" w:right="638" w:hanging="231"/>
        <w:jc w:val="both"/>
        <w:rPr>
          <w:sz w:val="22"/>
        </w:rPr>
      </w:pPr>
      <w:bookmarkStart w:name="4. Develop a Youth Risk Behavior Survey " w:id="78"/>
      <w:bookmarkEnd w:id="78"/>
      <w:r>
        <w:rPr/>
      </w:r>
      <w:r>
        <w:rPr>
          <w:sz w:val="22"/>
        </w:rPr>
        <w:t>Develop a Youth Risk Behavior Survey at the middle-school level and conduct an assessment on the needs of parents and elementary school educators.</w:t>
      </w:r>
    </w:p>
    <w:p>
      <w:pPr>
        <w:pStyle w:val="ListParagraph"/>
        <w:numPr>
          <w:ilvl w:val="0"/>
          <w:numId w:val="14"/>
        </w:numPr>
        <w:tabs>
          <w:tab w:pos="1049" w:val="left" w:leader="none"/>
        </w:tabs>
        <w:spacing w:line="240" w:lineRule="auto" w:before="240" w:after="0"/>
        <w:ind w:left="1049" w:right="0" w:hanging="229"/>
        <w:jc w:val="left"/>
        <w:rPr>
          <w:sz w:val="22"/>
        </w:rPr>
      </w:pPr>
      <w:bookmarkStart w:name="5. Codify provisions to allow residents " w:id="79"/>
      <w:bookmarkEnd w:id="79"/>
      <w:r>
        <w:rPr/>
      </w:r>
      <w:r>
        <w:rPr>
          <w:sz w:val="22"/>
        </w:rPr>
        <w:t>Codify</w:t>
      </w:r>
      <w:r>
        <w:rPr>
          <w:spacing w:val="-8"/>
          <w:sz w:val="22"/>
        </w:rPr>
        <w:t> </w:t>
      </w:r>
      <w:r>
        <w:rPr>
          <w:sz w:val="22"/>
        </w:rPr>
        <w:t>provisions</w:t>
      </w:r>
      <w:r>
        <w:rPr>
          <w:spacing w:val="-8"/>
          <w:sz w:val="22"/>
        </w:rPr>
        <w:t> </w:t>
      </w:r>
      <w:r>
        <w:rPr>
          <w:sz w:val="22"/>
        </w:rPr>
        <w:t>to</w:t>
      </w:r>
      <w:r>
        <w:rPr>
          <w:spacing w:val="-7"/>
          <w:sz w:val="22"/>
        </w:rPr>
        <w:t> </w:t>
      </w:r>
      <w:r>
        <w:rPr>
          <w:sz w:val="22"/>
        </w:rPr>
        <w:t>allow</w:t>
      </w:r>
      <w:r>
        <w:rPr>
          <w:spacing w:val="-8"/>
          <w:sz w:val="22"/>
        </w:rPr>
        <w:t> </w:t>
      </w:r>
      <w:r>
        <w:rPr>
          <w:sz w:val="22"/>
        </w:rPr>
        <w:t>residents</w:t>
      </w:r>
      <w:r>
        <w:rPr>
          <w:spacing w:val="-6"/>
          <w:sz w:val="22"/>
        </w:rPr>
        <w:t> </w:t>
      </w:r>
      <w:r>
        <w:rPr>
          <w:sz w:val="22"/>
        </w:rPr>
        <w:t>to</w:t>
      </w:r>
      <w:r>
        <w:rPr>
          <w:spacing w:val="-7"/>
          <w:sz w:val="22"/>
        </w:rPr>
        <w:t> </w:t>
      </w:r>
      <w:r>
        <w:rPr>
          <w:sz w:val="22"/>
        </w:rPr>
        <w:t>change</w:t>
      </w:r>
      <w:r>
        <w:rPr>
          <w:spacing w:val="-7"/>
          <w:sz w:val="22"/>
        </w:rPr>
        <w:t> </w:t>
      </w:r>
      <w:r>
        <w:rPr>
          <w:sz w:val="22"/>
        </w:rPr>
        <w:t>gender</w:t>
      </w:r>
      <w:r>
        <w:rPr>
          <w:spacing w:val="-8"/>
          <w:sz w:val="22"/>
        </w:rPr>
        <w:t> </w:t>
      </w:r>
      <w:r>
        <w:rPr>
          <w:sz w:val="22"/>
        </w:rPr>
        <w:t>markers</w:t>
      </w:r>
      <w:r>
        <w:rPr>
          <w:spacing w:val="-8"/>
          <w:sz w:val="22"/>
        </w:rPr>
        <w:t> </w:t>
      </w:r>
      <w:r>
        <w:rPr>
          <w:sz w:val="22"/>
        </w:rPr>
        <w:t>on</w:t>
      </w:r>
      <w:r>
        <w:rPr>
          <w:spacing w:val="-6"/>
          <w:sz w:val="22"/>
        </w:rPr>
        <w:t> </w:t>
      </w:r>
      <w:r>
        <w:rPr>
          <w:sz w:val="22"/>
        </w:rPr>
        <w:t>birth</w:t>
      </w:r>
      <w:r>
        <w:rPr>
          <w:spacing w:val="-7"/>
          <w:sz w:val="22"/>
        </w:rPr>
        <w:t> </w:t>
      </w:r>
      <w:r>
        <w:rPr>
          <w:spacing w:val="-2"/>
          <w:sz w:val="22"/>
        </w:rPr>
        <w:t>certificates.</w:t>
      </w:r>
    </w:p>
    <w:p>
      <w:pPr>
        <w:pStyle w:val="BodyText"/>
        <w:spacing w:before="11"/>
      </w:pPr>
    </w:p>
    <w:p>
      <w:pPr>
        <w:pStyle w:val="ListParagraph"/>
        <w:numPr>
          <w:ilvl w:val="0"/>
          <w:numId w:val="14"/>
        </w:numPr>
        <w:tabs>
          <w:tab w:pos="1050" w:val="left" w:leader="none"/>
        </w:tabs>
        <w:spacing w:line="240" w:lineRule="auto" w:before="0" w:after="0"/>
        <w:ind w:left="1050" w:right="0" w:hanging="229"/>
        <w:jc w:val="left"/>
        <w:rPr>
          <w:sz w:val="22"/>
        </w:rPr>
      </w:pPr>
      <w:bookmarkStart w:name="6. Update the state plumbing code to all" w:id="80"/>
      <w:bookmarkEnd w:id="80"/>
      <w:r>
        <w:rPr/>
      </w:r>
      <w:r>
        <w:rPr>
          <w:sz w:val="22"/>
        </w:rPr>
        <w:t>Update</w:t>
      </w:r>
      <w:r>
        <w:rPr>
          <w:spacing w:val="-7"/>
          <w:sz w:val="22"/>
        </w:rPr>
        <w:t> </w:t>
      </w:r>
      <w:r>
        <w:rPr>
          <w:sz w:val="22"/>
        </w:rPr>
        <w:t>the</w:t>
      </w:r>
      <w:r>
        <w:rPr>
          <w:spacing w:val="-6"/>
          <w:sz w:val="22"/>
        </w:rPr>
        <w:t> </w:t>
      </w:r>
      <w:r>
        <w:rPr>
          <w:sz w:val="22"/>
        </w:rPr>
        <w:t>state</w:t>
      </w:r>
      <w:r>
        <w:rPr>
          <w:spacing w:val="-7"/>
          <w:sz w:val="22"/>
        </w:rPr>
        <w:t> </w:t>
      </w:r>
      <w:r>
        <w:rPr>
          <w:sz w:val="22"/>
        </w:rPr>
        <w:t>plumbing</w:t>
      </w:r>
      <w:r>
        <w:rPr>
          <w:spacing w:val="-6"/>
          <w:sz w:val="22"/>
        </w:rPr>
        <w:t> </w:t>
      </w:r>
      <w:r>
        <w:rPr>
          <w:sz w:val="22"/>
        </w:rPr>
        <w:t>code</w:t>
      </w:r>
      <w:r>
        <w:rPr>
          <w:spacing w:val="-6"/>
          <w:sz w:val="22"/>
        </w:rPr>
        <w:t> </w:t>
      </w:r>
      <w:r>
        <w:rPr>
          <w:sz w:val="22"/>
        </w:rPr>
        <w:t>to</w:t>
      </w:r>
      <w:r>
        <w:rPr>
          <w:spacing w:val="-6"/>
          <w:sz w:val="22"/>
        </w:rPr>
        <w:t> </w:t>
      </w:r>
      <w:r>
        <w:rPr>
          <w:sz w:val="22"/>
        </w:rPr>
        <w:t>allow</w:t>
      </w:r>
      <w:r>
        <w:rPr>
          <w:spacing w:val="-7"/>
          <w:sz w:val="22"/>
        </w:rPr>
        <w:t> </w:t>
      </w:r>
      <w:r>
        <w:rPr>
          <w:sz w:val="22"/>
        </w:rPr>
        <w:t>for</w:t>
      </w:r>
      <w:r>
        <w:rPr>
          <w:spacing w:val="-7"/>
          <w:sz w:val="22"/>
        </w:rPr>
        <w:t> </w:t>
      </w:r>
      <w:r>
        <w:rPr>
          <w:sz w:val="22"/>
        </w:rPr>
        <w:t>the</w:t>
      </w:r>
      <w:r>
        <w:rPr>
          <w:spacing w:val="-6"/>
          <w:sz w:val="22"/>
        </w:rPr>
        <w:t> </w:t>
      </w:r>
      <w:r>
        <w:rPr>
          <w:sz w:val="22"/>
        </w:rPr>
        <w:t>creation</w:t>
      </w:r>
      <w:r>
        <w:rPr>
          <w:spacing w:val="-7"/>
          <w:sz w:val="22"/>
        </w:rPr>
        <w:t> </w:t>
      </w:r>
      <w:r>
        <w:rPr>
          <w:sz w:val="22"/>
        </w:rPr>
        <w:t>of</w:t>
      </w:r>
      <w:r>
        <w:rPr>
          <w:spacing w:val="-7"/>
          <w:sz w:val="22"/>
        </w:rPr>
        <w:t> </w:t>
      </w:r>
      <w:r>
        <w:rPr>
          <w:sz w:val="22"/>
        </w:rPr>
        <w:t>multi-stall</w:t>
      </w:r>
      <w:r>
        <w:rPr>
          <w:spacing w:val="-7"/>
          <w:sz w:val="22"/>
        </w:rPr>
        <w:t> </w:t>
      </w:r>
      <w:r>
        <w:rPr>
          <w:sz w:val="22"/>
        </w:rPr>
        <w:t>all</w:t>
      </w:r>
      <w:r>
        <w:rPr>
          <w:spacing w:val="-7"/>
          <w:sz w:val="22"/>
        </w:rPr>
        <w:t> </w:t>
      </w:r>
      <w:r>
        <w:rPr>
          <w:sz w:val="22"/>
        </w:rPr>
        <w:t>gender</w:t>
      </w:r>
      <w:r>
        <w:rPr>
          <w:spacing w:val="-7"/>
          <w:sz w:val="22"/>
        </w:rPr>
        <w:t> </w:t>
      </w:r>
      <w:r>
        <w:rPr>
          <w:spacing w:val="-2"/>
          <w:sz w:val="22"/>
        </w:rPr>
        <w:t>restrooms.</w:t>
      </w:r>
    </w:p>
    <w:p>
      <w:pPr>
        <w:pStyle w:val="BodyText"/>
        <w:spacing w:before="12"/>
      </w:pPr>
    </w:p>
    <w:p>
      <w:pPr>
        <w:pStyle w:val="ListParagraph"/>
        <w:numPr>
          <w:ilvl w:val="0"/>
          <w:numId w:val="14"/>
        </w:numPr>
        <w:tabs>
          <w:tab w:pos="1050" w:val="left" w:leader="none"/>
        </w:tabs>
        <w:spacing w:line="240" w:lineRule="auto" w:before="1" w:after="0"/>
        <w:ind w:left="1050" w:right="0" w:hanging="229"/>
        <w:jc w:val="left"/>
        <w:rPr>
          <w:sz w:val="22"/>
        </w:rPr>
      </w:pPr>
      <w:bookmarkStart w:name="7. Eliminate archaic homophobic and tran" w:id="81"/>
      <w:bookmarkEnd w:id="81"/>
      <w:r>
        <w:rPr/>
      </w:r>
      <w:r>
        <w:rPr>
          <w:sz w:val="22"/>
        </w:rPr>
        <w:t>Eliminate</w:t>
      </w:r>
      <w:r>
        <w:rPr>
          <w:spacing w:val="-11"/>
          <w:sz w:val="22"/>
        </w:rPr>
        <w:t> </w:t>
      </w:r>
      <w:r>
        <w:rPr>
          <w:sz w:val="22"/>
        </w:rPr>
        <w:t>archaic</w:t>
      </w:r>
      <w:r>
        <w:rPr>
          <w:spacing w:val="-10"/>
          <w:sz w:val="22"/>
        </w:rPr>
        <w:t> </w:t>
      </w:r>
      <w:r>
        <w:rPr>
          <w:sz w:val="22"/>
        </w:rPr>
        <w:t>homophobic</w:t>
      </w:r>
      <w:r>
        <w:rPr>
          <w:spacing w:val="-10"/>
          <w:sz w:val="22"/>
        </w:rPr>
        <w:t> </w:t>
      </w:r>
      <w:r>
        <w:rPr>
          <w:sz w:val="22"/>
        </w:rPr>
        <w:t>and</w:t>
      </w:r>
      <w:r>
        <w:rPr>
          <w:spacing w:val="-9"/>
          <w:sz w:val="22"/>
        </w:rPr>
        <w:t> </w:t>
      </w:r>
      <w:r>
        <w:rPr>
          <w:sz w:val="22"/>
        </w:rPr>
        <w:t>transphobic</w:t>
      </w:r>
      <w:r>
        <w:rPr>
          <w:spacing w:val="-11"/>
          <w:sz w:val="22"/>
        </w:rPr>
        <w:t> </w:t>
      </w:r>
      <w:r>
        <w:rPr>
          <w:sz w:val="22"/>
        </w:rPr>
        <w:t>language</w:t>
      </w:r>
      <w:r>
        <w:rPr>
          <w:spacing w:val="-11"/>
          <w:sz w:val="22"/>
        </w:rPr>
        <w:t> </w:t>
      </w:r>
      <w:r>
        <w:rPr>
          <w:sz w:val="22"/>
        </w:rPr>
        <w:t>in</w:t>
      </w:r>
      <w:r>
        <w:rPr>
          <w:spacing w:val="-9"/>
          <w:sz w:val="22"/>
        </w:rPr>
        <w:t> </w:t>
      </w:r>
      <w:r>
        <w:rPr>
          <w:sz w:val="22"/>
        </w:rPr>
        <w:t>the</w:t>
      </w:r>
      <w:r>
        <w:rPr>
          <w:spacing w:val="-9"/>
          <w:sz w:val="22"/>
        </w:rPr>
        <w:t> </w:t>
      </w:r>
      <w:r>
        <w:rPr>
          <w:sz w:val="22"/>
        </w:rPr>
        <w:t>Massachusetts</w:t>
      </w:r>
      <w:r>
        <w:rPr>
          <w:spacing w:val="-10"/>
          <w:sz w:val="22"/>
        </w:rPr>
        <w:t> </w:t>
      </w:r>
      <w:r>
        <w:rPr>
          <w:sz w:val="22"/>
        </w:rPr>
        <w:t>General</w:t>
      </w:r>
      <w:r>
        <w:rPr>
          <w:spacing w:val="-11"/>
          <w:sz w:val="22"/>
        </w:rPr>
        <w:t> </w:t>
      </w:r>
      <w:r>
        <w:rPr>
          <w:spacing w:val="-2"/>
          <w:sz w:val="22"/>
        </w:rPr>
        <w:t>Laws.</w:t>
      </w:r>
    </w:p>
    <w:p>
      <w:pPr>
        <w:spacing w:after="0" w:line="240" w:lineRule="auto"/>
        <w:jc w:val="left"/>
        <w:rPr>
          <w:sz w:val="22"/>
        </w:rPr>
        <w:sectPr>
          <w:headerReference w:type="default" r:id="rId44"/>
          <w:footerReference w:type="default" r:id="rId45"/>
          <w:pgSz w:w="12240" w:h="15840"/>
          <w:pgMar w:header="0" w:footer="1061" w:top="1140" w:bottom="1260" w:left="980" w:right="1160"/>
        </w:sectPr>
      </w:pPr>
    </w:p>
    <w:p>
      <w:pPr>
        <w:pStyle w:val="BodyText"/>
        <w:rPr>
          <w:sz w:val="20"/>
        </w:rPr>
      </w:pPr>
    </w:p>
    <w:p>
      <w:pPr>
        <w:pStyle w:val="BodyText"/>
        <w:spacing w:before="49"/>
        <w:rPr>
          <w:sz w:val="20"/>
        </w:rPr>
      </w:pPr>
    </w:p>
    <w:p>
      <w:pPr>
        <w:pStyle w:val="BodyText"/>
        <w:spacing w:line="20" w:lineRule="exact"/>
        <w:ind w:left="420"/>
        <w:rPr>
          <w:sz w:val="2"/>
        </w:rPr>
      </w:pPr>
      <w:r>
        <w:rPr>
          <w:sz w:val="2"/>
        </w:rPr>
        <mc:AlternateContent>
          <mc:Choice Requires="wps">
            <w:drawing>
              <wp:inline distT="0" distB="0" distL="0" distR="0">
                <wp:extent cx="6350" cy="12700"/>
                <wp:effectExtent l="0" t="0" r="0" b="0"/>
                <wp:docPr id="76" name="Group 76"/>
                <wp:cNvGraphicFramePr>
                  <a:graphicFrameLocks/>
                </wp:cNvGraphicFramePr>
                <a:graphic>
                  <a:graphicData uri="http://schemas.microsoft.com/office/word/2010/wordprocessingGroup">
                    <wpg:wgp>
                      <wpg:cNvPr id="76" name="Group 76"/>
                      <wpg:cNvGrpSpPr/>
                      <wpg:grpSpPr>
                        <a:xfrm>
                          <a:off x="0" y="0"/>
                          <a:ext cx="6350" cy="12700"/>
                          <a:chExt cx="6350" cy="12700"/>
                        </a:xfrm>
                      </wpg:grpSpPr>
                      <wps:wsp>
                        <wps:cNvPr id="77" name="Graphic 77"/>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60" coordorigin="0,0" coordsize="10,20">
                <v:rect style="position:absolute;left:0;top:0;width:10;height:20" id="docshape61" filled="true" fillcolor="#4f81bb" stroked="false">
                  <v:fill type="solid"/>
                </v:rect>
              </v:group>
            </w:pict>
          </mc:Fallback>
        </mc:AlternateContent>
      </w:r>
      <w:r>
        <w:rPr>
          <w:sz w:val="2"/>
        </w:rPr>
      </w:r>
    </w:p>
    <w:p>
      <w:pPr>
        <w:pStyle w:val="Heading7"/>
        <w:ind w:left="463"/>
      </w:pPr>
      <w:bookmarkStart w:name="FY 2025 Annual Recommendations Report.pd" w:id="82"/>
      <w:bookmarkEnd w:id="82"/>
      <w:r>
        <w:rPr/>
      </w:r>
      <w:bookmarkStart w:name="_bookmark9" w:id="83"/>
      <w:bookmarkEnd w:id="83"/>
      <w:r>
        <w:rPr/>
      </w:r>
      <w:hyperlink w:history="true" w:anchor="_bookmark1">
        <w:r>
          <w:rPr>
            <w:color w:val="365F91"/>
            <w:spacing w:val="-8"/>
          </w:rPr>
          <w:t>Protecting</w:t>
        </w:r>
        <w:r>
          <w:rPr>
            <w:color w:val="365F91"/>
            <w:spacing w:val="-15"/>
          </w:rPr>
          <w:t> </w:t>
        </w:r>
        <w:r>
          <w:rPr>
            <w:color w:val="365F91"/>
            <w:spacing w:val="-8"/>
          </w:rPr>
          <w:t>LGBTQ</w:t>
        </w:r>
        <w:r>
          <w:rPr>
            <w:color w:val="365F91"/>
            <w:spacing w:val="-15"/>
          </w:rPr>
          <w:t> </w:t>
        </w:r>
        <w:r>
          <w:rPr>
            <w:color w:val="365F91"/>
            <w:spacing w:val="-8"/>
          </w:rPr>
          <w:t>Child</w:t>
        </w:r>
        <w:r>
          <w:rPr>
            <w:color w:val="365F91"/>
            <w:spacing w:val="-14"/>
          </w:rPr>
          <w:t> </w:t>
        </w:r>
        <w:r>
          <w:rPr>
            <w:color w:val="365F91"/>
            <w:spacing w:val="-8"/>
          </w:rPr>
          <w:t>Welfare</w:t>
        </w:r>
        <w:r>
          <w:rPr>
            <w:color w:val="365F91"/>
            <w:spacing w:val="-15"/>
          </w:rPr>
          <w:t> </w:t>
        </w:r>
        <w:r>
          <w:rPr>
            <w:color w:val="365F91"/>
            <w:spacing w:val="-8"/>
          </w:rPr>
          <w:t>&amp;</w:t>
        </w:r>
        <w:r>
          <w:rPr>
            <w:color w:val="365F91"/>
            <w:spacing w:val="-14"/>
          </w:rPr>
          <w:t> </w:t>
        </w:r>
        <w:r>
          <w:rPr>
            <w:color w:val="365F91"/>
            <w:spacing w:val="-8"/>
          </w:rPr>
          <w:t>Well-Being</w:t>
        </w:r>
      </w:hyperlink>
    </w:p>
    <w:p>
      <w:pPr>
        <w:spacing w:before="313"/>
        <w:ind w:left="463" w:right="0" w:firstLine="0"/>
        <w:jc w:val="left"/>
        <w:rPr>
          <w:i/>
          <w:sz w:val="28"/>
        </w:rPr>
      </w:pPr>
      <w:bookmarkStart w:name="Introduction: Toward a Commonwealth in W" w:id="84"/>
      <w:bookmarkEnd w:id="84"/>
      <w:r>
        <w:rPr/>
      </w:r>
      <w:r>
        <w:rPr>
          <w:color w:val="365F91"/>
          <w:sz w:val="28"/>
        </w:rPr>
        <w:t>Introduction:</w:t>
      </w:r>
      <w:r>
        <w:rPr>
          <w:color w:val="365F91"/>
          <w:spacing w:val="-11"/>
          <w:sz w:val="28"/>
        </w:rPr>
        <w:t> </w:t>
      </w:r>
      <w:r>
        <w:rPr>
          <w:color w:val="365F91"/>
          <w:sz w:val="28"/>
        </w:rPr>
        <w:t>Toward</w:t>
      </w:r>
      <w:r>
        <w:rPr>
          <w:color w:val="365F91"/>
          <w:spacing w:val="-10"/>
          <w:sz w:val="28"/>
        </w:rPr>
        <w:t> </w:t>
      </w:r>
      <w:r>
        <w:rPr>
          <w:color w:val="365F91"/>
          <w:sz w:val="28"/>
        </w:rPr>
        <w:t>a</w:t>
      </w:r>
      <w:r>
        <w:rPr>
          <w:color w:val="365F91"/>
          <w:spacing w:val="-9"/>
          <w:sz w:val="28"/>
        </w:rPr>
        <w:t> </w:t>
      </w:r>
      <w:r>
        <w:rPr>
          <w:color w:val="365F91"/>
          <w:sz w:val="28"/>
        </w:rPr>
        <w:t>Commonwealth</w:t>
      </w:r>
      <w:r>
        <w:rPr>
          <w:color w:val="365F91"/>
          <w:spacing w:val="-10"/>
          <w:sz w:val="28"/>
        </w:rPr>
        <w:t> </w:t>
      </w:r>
      <w:r>
        <w:rPr>
          <w:color w:val="365F91"/>
          <w:sz w:val="28"/>
        </w:rPr>
        <w:t>in</w:t>
      </w:r>
      <w:r>
        <w:rPr>
          <w:color w:val="365F91"/>
          <w:spacing w:val="-11"/>
          <w:sz w:val="28"/>
        </w:rPr>
        <w:t> </w:t>
      </w:r>
      <w:r>
        <w:rPr>
          <w:color w:val="365F91"/>
          <w:sz w:val="28"/>
        </w:rPr>
        <w:t>Which</w:t>
      </w:r>
      <w:r>
        <w:rPr>
          <w:color w:val="365F91"/>
          <w:spacing w:val="-10"/>
          <w:sz w:val="28"/>
        </w:rPr>
        <w:t> </w:t>
      </w:r>
      <w:r>
        <w:rPr>
          <w:i/>
          <w:color w:val="365F91"/>
          <w:sz w:val="28"/>
        </w:rPr>
        <w:t>All</w:t>
      </w:r>
      <w:r>
        <w:rPr>
          <w:i/>
          <w:color w:val="365F91"/>
          <w:spacing w:val="-9"/>
          <w:sz w:val="28"/>
        </w:rPr>
        <w:t> </w:t>
      </w:r>
      <w:r>
        <w:rPr>
          <w:i/>
          <w:color w:val="365F91"/>
          <w:sz w:val="28"/>
        </w:rPr>
        <w:t>Youth</w:t>
      </w:r>
      <w:r>
        <w:rPr>
          <w:i/>
          <w:color w:val="365F91"/>
          <w:spacing w:val="-11"/>
          <w:sz w:val="28"/>
        </w:rPr>
        <w:t> </w:t>
      </w:r>
      <w:r>
        <w:rPr>
          <w:i/>
          <w:color w:val="365F91"/>
          <w:spacing w:val="-2"/>
          <w:sz w:val="28"/>
        </w:rPr>
        <w:t>Thrive</w:t>
      </w:r>
    </w:p>
    <w:p>
      <w:pPr>
        <w:pStyle w:val="BodyText"/>
        <w:spacing w:before="9"/>
        <w:rPr>
          <w:i/>
          <w:sz w:val="3"/>
        </w:rPr>
      </w:pPr>
      <w:r>
        <w:rPr/>
        <mc:AlternateContent>
          <mc:Choice Requires="wps">
            <w:drawing>
              <wp:anchor distT="0" distB="0" distL="0" distR="0" allowOverlap="1" layoutInCell="1" locked="0" behindDoc="1" simplePos="0" relativeHeight="487594496">
                <wp:simplePos x="0" y="0"/>
                <wp:positionH relativeFrom="page">
                  <wp:posOffset>897636</wp:posOffset>
                </wp:positionH>
                <wp:positionV relativeFrom="paragraph">
                  <wp:posOffset>44768</wp:posOffset>
                </wp:positionV>
                <wp:extent cx="5976620" cy="635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5094pt;width:470.58pt;height:.481pt;mso-position-horizontal-relative:page;mso-position-vertical-relative:paragraph;z-index:-15721984;mso-wrap-distance-left:0;mso-wrap-distance-right:0" id="docshape62" filled="true" fillcolor="#4f81bc" stroked="false">
                <v:fill type="solid"/>
                <w10:wrap type="topAndBottom"/>
              </v:rect>
            </w:pict>
          </mc:Fallback>
        </mc:AlternateContent>
      </w:r>
    </w:p>
    <w:p>
      <w:pPr>
        <w:spacing w:line="321" w:lineRule="auto" w:before="241"/>
        <w:ind w:left="463" w:right="283" w:firstLine="0"/>
        <w:jc w:val="both"/>
        <w:rPr>
          <w:i/>
          <w:sz w:val="22"/>
        </w:rPr>
      </w:pPr>
      <w:bookmarkStart w:name="(first published in FY 2024 Annual Recom" w:id="85"/>
      <w:bookmarkEnd w:id="85"/>
      <w:r>
        <w:rPr/>
      </w:r>
      <w:r>
        <w:rPr>
          <w:i/>
          <w:sz w:val="22"/>
        </w:rPr>
        <w:t>(first published in FY 2024 Annual Recommendations Report, minor updates made to bring current to FY</w:t>
      </w:r>
      <w:r>
        <w:rPr>
          <w:i/>
          <w:sz w:val="22"/>
        </w:rPr>
        <w:t> </w:t>
      </w:r>
      <w:r>
        <w:rPr>
          <w:i/>
          <w:spacing w:val="-2"/>
          <w:sz w:val="22"/>
        </w:rPr>
        <w:t>2025)</w:t>
      </w:r>
    </w:p>
    <w:p>
      <w:pPr>
        <w:pStyle w:val="BodyText"/>
        <w:spacing w:line="276" w:lineRule="auto" w:before="190"/>
        <w:ind w:left="463" w:right="283"/>
        <w:jc w:val="both"/>
      </w:pPr>
      <w:r>
        <w:rPr/>
        <mc:AlternateContent>
          <mc:Choice Requires="wps">
            <w:drawing>
              <wp:anchor distT="0" distB="0" distL="0" distR="0" allowOverlap="1" layoutInCell="1" locked="0" behindDoc="0" simplePos="0" relativeHeight="15736832">
                <wp:simplePos x="0" y="0"/>
                <wp:positionH relativeFrom="page">
                  <wp:posOffset>889000</wp:posOffset>
                </wp:positionH>
                <wp:positionV relativeFrom="paragraph">
                  <wp:posOffset>-240872</wp:posOffset>
                </wp:positionV>
                <wp:extent cx="6350" cy="127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966328pt;width:.499pt;height:.961pt;mso-position-horizontal-relative:page;mso-position-vertical-relative:paragraph;z-index:15736832" id="docshape63" filled="true" fillcolor="#4f81bb" stroked="false">
                <v:fill type="solid"/>
                <w10:wrap type="none"/>
              </v:rect>
            </w:pict>
          </mc:Fallback>
        </mc:AlternateContent>
      </w:r>
      <w:r>
        <w:rPr/>
        <w:t>Now in its 32</w:t>
      </w:r>
      <w:r>
        <w:rPr>
          <w:vertAlign w:val="superscript"/>
        </w:rPr>
        <w:t>nd</w:t>
      </w:r>
      <w:r>
        <w:rPr>
          <w:vertAlign w:val="baseline"/>
        </w:rPr>
        <w:t> year, the Massachusetts Commission on LGBTQ Youth voices its mission through the motto,</w:t>
      </w:r>
      <w:r>
        <w:rPr>
          <w:spacing w:val="-11"/>
          <w:vertAlign w:val="baseline"/>
        </w:rPr>
        <w:t> </w:t>
      </w:r>
      <w:r>
        <w:rPr>
          <w:vertAlign w:val="baseline"/>
        </w:rPr>
        <w:t>“</w:t>
      </w:r>
      <w:r>
        <w:rPr>
          <w:b/>
          <w:vertAlign w:val="baseline"/>
        </w:rPr>
        <w:t>Helping</w:t>
      </w:r>
      <w:r>
        <w:rPr>
          <w:b/>
          <w:spacing w:val="-11"/>
          <w:vertAlign w:val="baseline"/>
        </w:rPr>
        <w:t> </w:t>
      </w:r>
      <w:r>
        <w:rPr>
          <w:b/>
          <w:vertAlign w:val="baseline"/>
        </w:rPr>
        <w:t>All</w:t>
      </w:r>
      <w:r>
        <w:rPr>
          <w:b/>
          <w:spacing w:val="-10"/>
          <w:vertAlign w:val="baseline"/>
        </w:rPr>
        <w:t> </w:t>
      </w:r>
      <w:r>
        <w:rPr>
          <w:b/>
          <w:vertAlign w:val="baseline"/>
        </w:rPr>
        <w:t>Youth</w:t>
      </w:r>
      <w:r>
        <w:rPr>
          <w:b/>
          <w:spacing w:val="-9"/>
          <w:vertAlign w:val="baseline"/>
        </w:rPr>
        <w:t> </w:t>
      </w:r>
      <w:r>
        <w:rPr>
          <w:b/>
          <w:vertAlign w:val="baseline"/>
        </w:rPr>
        <w:t>Thrive</w:t>
      </w:r>
      <w:r>
        <w:rPr>
          <w:vertAlign w:val="baseline"/>
        </w:rPr>
        <w:t>.”</w:t>
      </w:r>
      <w:r>
        <w:rPr>
          <w:spacing w:val="-11"/>
          <w:vertAlign w:val="baseline"/>
        </w:rPr>
        <w:t> </w:t>
      </w:r>
      <w:r>
        <w:rPr>
          <w:vertAlign w:val="baseline"/>
        </w:rPr>
        <w:t>The</w:t>
      </w:r>
      <w:r>
        <w:rPr>
          <w:spacing w:val="-10"/>
          <w:vertAlign w:val="baseline"/>
        </w:rPr>
        <w:t> </w:t>
      </w:r>
      <w:r>
        <w:rPr>
          <w:vertAlign w:val="baseline"/>
        </w:rPr>
        <w:t>realization</w:t>
      </w:r>
      <w:r>
        <w:rPr>
          <w:spacing w:val="-10"/>
          <w:vertAlign w:val="baseline"/>
        </w:rPr>
        <w:t> </w:t>
      </w:r>
      <w:r>
        <w:rPr>
          <w:vertAlign w:val="baseline"/>
        </w:rPr>
        <w:t>of</w:t>
      </w:r>
      <w:r>
        <w:rPr>
          <w:spacing w:val="-11"/>
          <w:vertAlign w:val="baseline"/>
        </w:rPr>
        <w:t> </w:t>
      </w:r>
      <w:r>
        <w:rPr>
          <w:vertAlign w:val="baseline"/>
        </w:rPr>
        <w:t>this</w:t>
      </w:r>
      <w:r>
        <w:rPr>
          <w:spacing w:val="-11"/>
          <w:vertAlign w:val="baseline"/>
        </w:rPr>
        <w:t> </w:t>
      </w:r>
      <w:r>
        <w:rPr>
          <w:vertAlign w:val="baseline"/>
        </w:rPr>
        <w:t>seemingly</w:t>
      </w:r>
      <w:r>
        <w:rPr>
          <w:spacing w:val="-10"/>
          <w:vertAlign w:val="baseline"/>
        </w:rPr>
        <w:t> </w:t>
      </w:r>
      <w:r>
        <w:rPr>
          <w:vertAlign w:val="baseline"/>
        </w:rPr>
        <w:t>simple</w:t>
      </w:r>
      <w:r>
        <w:rPr>
          <w:spacing w:val="-10"/>
          <w:vertAlign w:val="baseline"/>
        </w:rPr>
        <w:t> </w:t>
      </w:r>
      <w:r>
        <w:rPr>
          <w:vertAlign w:val="baseline"/>
        </w:rPr>
        <w:t>saying</w:t>
      </w:r>
      <w:r>
        <w:rPr>
          <w:spacing w:val="-11"/>
          <w:vertAlign w:val="baseline"/>
        </w:rPr>
        <w:t> </w:t>
      </w:r>
      <w:r>
        <w:rPr>
          <w:vertAlign w:val="baseline"/>
        </w:rPr>
        <w:t>requires</w:t>
      </w:r>
      <w:r>
        <w:rPr>
          <w:spacing w:val="-11"/>
          <w:vertAlign w:val="baseline"/>
        </w:rPr>
        <w:t> </w:t>
      </w:r>
      <w:r>
        <w:rPr>
          <w:vertAlign w:val="baseline"/>
        </w:rPr>
        <w:t>leaders</w:t>
      </w:r>
      <w:r>
        <w:rPr>
          <w:spacing w:val="-11"/>
          <w:vertAlign w:val="baseline"/>
        </w:rPr>
        <w:t> </w:t>
      </w:r>
      <w:r>
        <w:rPr>
          <w:vertAlign w:val="baseline"/>
        </w:rPr>
        <w:t>to</w:t>
      </w:r>
      <w:r>
        <w:rPr>
          <w:spacing w:val="-9"/>
          <w:vertAlign w:val="baseline"/>
        </w:rPr>
        <w:t> </w:t>
      </w:r>
      <w:r>
        <w:rPr>
          <w:vertAlign w:val="baseline"/>
        </w:rPr>
        <w:t>take a high-level view of the stunningly complicated</w:t>
      </w:r>
      <w:r>
        <w:rPr>
          <w:spacing w:val="-1"/>
          <w:vertAlign w:val="baseline"/>
        </w:rPr>
        <w:t> </w:t>
      </w:r>
      <w:r>
        <w:rPr>
          <w:vertAlign w:val="baseline"/>
        </w:rPr>
        <w:t>issues affecting</w:t>
      </w:r>
      <w:r>
        <w:rPr>
          <w:spacing w:val="-1"/>
          <w:vertAlign w:val="baseline"/>
        </w:rPr>
        <w:t> </w:t>
      </w:r>
      <w:r>
        <w:rPr>
          <w:vertAlign w:val="baseline"/>
        </w:rPr>
        <w:t>the</w:t>
      </w:r>
      <w:r>
        <w:rPr>
          <w:spacing w:val="-1"/>
          <w:vertAlign w:val="baseline"/>
        </w:rPr>
        <w:t> </w:t>
      </w:r>
      <w:r>
        <w:rPr>
          <w:vertAlign w:val="baseline"/>
        </w:rPr>
        <w:t>well-being of today’s LGBTQ</w:t>
      </w:r>
      <w:r>
        <w:rPr>
          <w:spacing w:val="-1"/>
          <w:vertAlign w:val="baseline"/>
        </w:rPr>
        <w:t> </w:t>
      </w:r>
      <w:r>
        <w:rPr>
          <w:vertAlign w:val="baseline"/>
        </w:rPr>
        <w:t>youth— without losing sight of the importance of their individual realities.</w:t>
      </w:r>
    </w:p>
    <w:p>
      <w:pPr>
        <w:pStyle w:val="BodyText"/>
        <w:spacing w:before="240"/>
        <w:ind w:left="1140"/>
      </w:pPr>
      <w:r>
        <w:rPr>
          <w:color w:val="4F81BB"/>
        </w:rPr>
        <w:t>What</w:t>
      </w:r>
      <w:r>
        <w:rPr>
          <w:color w:val="4F81BB"/>
          <w:spacing w:val="-6"/>
        </w:rPr>
        <w:t> </w:t>
      </w:r>
      <w:r>
        <w:rPr>
          <w:color w:val="4F81BB"/>
        </w:rPr>
        <w:t>does</w:t>
      </w:r>
      <w:r>
        <w:rPr>
          <w:color w:val="4F81BB"/>
          <w:spacing w:val="-4"/>
        </w:rPr>
        <w:t> </w:t>
      </w:r>
      <w:r>
        <w:rPr>
          <w:color w:val="4F81BB"/>
        </w:rPr>
        <w:t>it</w:t>
      </w:r>
      <w:r>
        <w:rPr>
          <w:color w:val="4F81BB"/>
          <w:spacing w:val="-5"/>
        </w:rPr>
        <w:t> </w:t>
      </w:r>
      <w:r>
        <w:rPr>
          <w:color w:val="4F81BB"/>
        </w:rPr>
        <w:t>mean</w:t>
      </w:r>
      <w:r>
        <w:rPr>
          <w:color w:val="4F81BB"/>
          <w:spacing w:val="-5"/>
        </w:rPr>
        <w:t> </w:t>
      </w:r>
      <w:r>
        <w:rPr>
          <w:color w:val="4F81BB"/>
        </w:rPr>
        <w:t>to</w:t>
      </w:r>
      <w:r>
        <w:rPr>
          <w:color w:val="4F81BB"/>
          <w:spacing w:val="-5"/>
        </w:rPr>
        <w:t> </w:t>
      </w:r>
      <w:r>
        <w:rPr>
          <w:color w:val="4F81BB"/>
        </w:rPr>
        <w:t>serve</w:t>
      </w:r>
      <w:r>
        <w:rPr>
          <w:color w:val="4F81BB"/>
          <w:spacing w:val="-6"/>
        </w:rPr>
        <w:t> </w:t>
      </w:r>
      <w:r>
        <w:rPr>
          <w:b/>
          <w:i/>
          <w:color w:val="4F81BB"/>
        </w:rPr>
        <w:t>all</w:t>
      </w:r>
      <w:r>
        <w:rPr>
          <w:b/>
          <w:i/>
          <w:color w:val="4F81BB"/>
          <w:spacing w:val="-5"/>
        </w:rPr>
        <w:t> </w:t>
      </w:r>
      <w:r>
        <w:rPr>
          <w:b/>
          <w:i/>
          <w:color w:val="4F81BB"/>
        </w:rPr>
        <w:t>youth</w:t>
      </w:r>
      <w:r>
        <w:rPr>
          <w:color w:val="4F81BB"/>
        </w:rPr>
        <w:t>?</w:t>
      </w:r>
      <w:r>
        <w:rPr>
          <w:color w:val="4F81BB"/>
          <w:spacing w:val="-5"/>
        </w:rPr>
        <w:t> </w:t>
      </w:r>
      <w:r>
        <w:rPr>
          <w:color w:val="4F81BB"/>
        </w:rPr>
        <w:t>And</w:t>
      </w:r>
      <w:r>
        <w:rPr>
          <w:color w:val="4F81BB"/>
          <w:spacing w:val="-6"/>
        </w:rPr>
        <w:t> </w:t>
      </w:r>
      <w:r>
        <w:rPr>
          <w:color w:val="4F81BB"/>
        </w:rPr>
        <w:t>what</w:t>
      </w:r>
      <w:r>
        <w:rPr>
          <w:color w:val="4F81BB"/>
          <w:spacing w:val="-5"/>
        </w:rPr>
        <w:t> </w:t>
      </w:r>
      <w:r>
        <w:rPr>
          <w:color w:val="4F81BB"/>
        </w:rPr>
        <w:t>does</w:t>
      </w:r>
      <w:r>
        <w:rPr>
          <w:color w:val="4F81BB"/>
          <w:spacing w:val="-6"/>
        </w:rPr>
        <w:t> </w:t>
      </w:r>
      <w:r>
        <w:rPr>
          <w:color w:val="4F81BB"/>
        </w:rPr>
        <w:t>it</w:t>
      </w:r>
      <w:r>
        <w:rPr>
          <w:color w:val="4F81BB"/>
          <w:spacing w:val="-4"/>
        </w:rPr>
        <w:t> </w:t>
      </w:r>
      <w:r>
        <w:rPr>
          <w:color w:val="4F81BB"/>
        </w:rPr>
        <w:t>mean</w:t>
      </w:r>
      <w:r>
        <w:rPr>
          <w:color w:val="4F81BB"/>
          <w:spacing w:val="-5"/>
        </w:rPr>
        <w:t> </w:t>
      </w:r>
      <w:r>
        <w:rPr>
          <w:color w:val="4F81BB"/>
        </w:rPr>
        <w:t>for</w:t>
      </w:r>
      <w:r>
        <w:rPr>
          <w:color w:val="4F81BB"/>
          <w:spacing w:val="-6"/>
        </w:rPr>
        <w:t> </w:t>
      </w:r>
      <w:r>
        <w:rPr>
          <w:color w:val="4F81BB"/>
        </w:rPr>
        <w:t>LGBTQ</w:t>
      </w:r>
      <w:r>
        <w:rPr>
          <w:color w:val="4F81BB"/>
          <w:spacing w:val="-5"/>
        </w:rPr>
        <w:t> </w:t>
      </w:r>
      <w:r>
        <w:rPr>
          <w:color w:val="4F81BB"/>
        </w:rPr>
        <w:t>youth</w:t>
      </w:r>
      <w:r>
        <w:rPr>
          <w:color w:val="4F81BB"/>
          <w:spacing w:val="-6"/>
        </w:rPr>
        <w:t> </w:t>
      </w:r>
      <w:r>
        <w:rPr>
          <w:color w:val="4F81BB"/>
        </w:rPr>
        <w:t>to</w:t>
      </w:r>
      <w:r>
        <w:rPr>
          <w:color w:val="4F81BB"/>
          <w:spacing w:val="-4"/>
        </w:rPr>
        <w:t> </w:t>
      </w:r>
      <w:r>
        <w:rPr>
          <w:b/>
          <w:i/>
          <w:color w:val="4F81BB"/>
          <w:spacing w:val="-2"/>
        </w:rPr>
        <w:t>thrive</w:t>
      </w:r>
      <w:r>
        <w:rPr>
          <w:color w:val="4F81BB"/>
          <w:spacing w:val="-2"/>
        </w:rPr>
        <w:t>?</w:t>
      </w:r>
    </w:p>
    <w:p>
      <w:pPr>
        <w:pStyle w:val="BodyText"/>
        <w:spacing w:before="11"/>
      </w:pPr>
    </w:p>
    <w:p>
      <w:pPr>
        <w:pStyle w:val="BodyText"/>
        <w:spacing w:line="276" w:lineRule="auto"/>
        <w:ind w:left="463" w:right="280"/>
        <w:jc w:val="both"/>
      </w:pPr>
      <w:r>
        <w:rPr/>
        <w:t>From the wide-angle lens of international comparison to a snapshot of the current national climate, to a nuanced view of the complexities of youth-serving systems in our state, particularly the child-welfare system, many layers of consideration inform the most promising legislation to support the well-being of LGBTQ young people today.</w:t>
      </w:r>
    </w:p>
    <w:p>
      <w:pPr>
        <w:pStyle w:val="BodyText"/>
        <w:spacing w:line="276" w:lineRule="auto" w:before="240"/>
        <w:ind w:left="463" w:right="283"/>
        <w:jc w:val="both"/>
      </w:pPr>
      <w:r>
        <w:rPr/>
        <w:t>Although the Commonwealth has made significant strides for LGBTQ youth, we continue to fall short, sometimes with</w:t>
      </w:r>
      <w:r>
        <w:rPr>
          <w:spacing w:val="-1"/>
        </w:rPr>
        <w:t> </w:t>
      </w:r>
      <w:r>
        <w:rPr/>
        <w:t>tragic</w:t>
      </w:r>
      <w:r>
        <w:rPr>
          <w:spacing w:val="-2"/>
        </w:rPr>
        <w:t> </w:t>
      </w:r>
      <w:r>
        <w:rPr/>
        <w:t>results,</w:t>
      </w:r>
      <w:r>
        <w:rPr>
          <w:spacing w:val="-1"/>
        </w:rPr>
        <w:t> </w:t>
      </w:r>
      <w:r>
        <w:rPr/>
        <w:t>in many arenas</w:t>
      </w:r>
      <w:r>
        <w:rPr>
          <w:spacing w:val="-1"/>
        </w:rPr>
        <w:t> </w:t>
      </w:r>
      <w:r>
        <w:rPr/>
        <w:t>that</w:t>
      </w:r>
      <w:r>
        <w:rPr>
          <w:spacing w:val="-1"/>
        </w:rPr>
        <w:t> </w:t>
      </w:r>
      <w:r>
        <w:rPr/>
        <w:t>affect</w:t>
      </w:r>
      <w:r>
        <w:rPr>
          <w:spacing w:val="-1"/>
        </w:rPr>
        <w:t> </w:t>
      </w:r>
      <w:r>
        <w:rPr/>
        <w:t>our</w:t>
      </w:r>
      <w:r>
        <w:rPr>
          <w:spacing w:val="-1"/>
        </w:rPr>
        <w:t> </w:t>
      </w:r>
      <w:r>
        <w:rPr/>
        <w:t>young</w:t>
      </w:r>
      <w:r>
        <w:rPr>
          <w:spacing w:val="-1"/>
        </w:rPr>
        <w:t> </w:t>
      </w:r>
      <w:r>
        <w:rPr/>
        <w:t>people. Equipped</w:t>
      </w:r>
      <w:r>
        <w:rPr>
          <w:spacing w:val="-2"/>
        </w:rPr>
        <w:t> </w:t>
      </w:r>
      <w:r>
        <w:rPr/>
        <w:t>with a</w:t>
      </w:r>
      <w:r>
        <w:rPr>
          <w:spacing w:val="-1"/>
        </w:rPr>
        <w:t> </w:t>
      </w:r>
      <w:r>
        <w:rPr/>
        <w:t>clear vision of goals for the well-being of LGBTQ youth, decision-makers can effect meaningful change. Legislative actions that support the well-being of LGBTQ youth in turn support the strength and vitality of our Commonwealth. When all youth thrive, Massachusetts thrives.</w:t>
      </w:r>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595008">
                <wp:simplePos x="0" y="0"/>
                <wp:positionH relativeFrom="page">
                  <wp:posOffset>889000</wp:posOffset>
                </wp:positionH>
                <wp:positionV relativeFrom="paragraph">
                  <wp:posOffset>213417</wp:posOffset>
                </wp:positionV>
                <wp:extent cx="6350" cy="1270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804543pt;width:.499pt;height:.96pt;mso-position-horizontal-relative:page;mso-position-vertical-relative:paragraph;z-index:-15721472;mso-wrap-distance-left:0;mso-wrap-distance-right:0" id="docshape64" filled="true" fillcolor="#4f81bb" stroked="false">
                <v:fill type="solid"/>
                <w10:wrap type="topAndBottom"/>
              </v:rect>
            </w:pict>
          </mc:Fallback>
        </mc:AlternateContent>
      </w:r>
    </w:p>
    <w:p>
      <w:pPr>
        <w:spacing w:before="1"/>
        <w:ind w:left="463" w:right="0" w:firstLine="0"/>
        <w:jc w:val="both"/>
        <w:rPr>
          <w:sz w:val="28"/>
        </w:rPr>
      </w:pPr>
      <w:bookmarkStart w:name="FY 2025 Recommendations to the Governor " w:id="86"/>
      <w:bookmarkEnd w:id="86"/>
      <w:r>
        <w:rPr/>
      </w: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Recommendations</w:t>
      </w:r>
      <w:r>
        <w:rPr>
          <w:color w:val="365F91"/>
          <w:spacing w:val="-9"/>
          <w:sz w:val="28"/>
        </w:rPr>
        <w:t> </w:t>
      </w:r>
      <w:r>
        <w:rPr>
          <w:color w:val="365F91"/>
          <w:sz w:val="28"/>
        </w:rPr>
        <w:t>to</w:t>
      </w:r>
      <w:r>
        <w:rPr>
          <w:color w:val="365F91"/>
          <w:spacing w:val="-9"/>
          <w:sz w:val="28"/>
        </w:rPr>
        <w:t> </w:t>
      </w:r>
      <w:r>
        <w:rPr>
          <w:color w:val="365F91"/>
          <w:sz w:val="28"/>
        </w:rPr>
        <w:t>the</w:t>
      </w:r>
      <w:r>
        <w:rPr>
          <w:color w:val="365F91"/>
          <w:spacing w:val="-9"/>
          <w:sz w:val="28"/>
        </w:rPr>
        <w:t> </w:t>
      </w:r>
      <w:r>
        <w:rPr>
          <w:color w:val="365F91"/>
          <w:sz w:val="28"/>
        </w:rPr>
        <w:t>Governor</w:t>
      </w:r>
      <w:r>
        <w:rPr>
          <w:color w:val="365F91"/>
          <w:spacing w:val="-10"/>
          <w:sz w:val="28"/>
        </w:rPr>
        <w:t> </w:t>
      </w:r>
      <w:r>
        <w:rPr>
          <w:color w:val="365F91"/>
          <w:sz w:val="28"/>
        </w:rPr>
        <w:t>and</w:t>
      </w:r>
      <w:r>
        <w:rPr>
          <w:color w:val="365F91"/>
          <w:spacing w:val="-10"/>
          <w:sz w:val="28"/>
        </w:rPr>
        <w:t> </w:t>
      </w:r>
      <w:r>
        <w:rPr>
          <w:color w:val="365F91"/>
          <w:sz w:val="28"/>
        </w:rPr>
        <w:t>Legislature</w:t>
      </w:r>
      <w:r>
        <w:rPr>
          <w:color w:val="365F91"/>
          <w:spacing w:val="-9"/>
          <w:sz w:val="28"/>
        </w:rPr>
        <w:t> </w:t>
      </w:r>
      <w:r>
        <w:rPr>
          <w:color w:val="365F91"/>
          <w:sz w:val="28"/>
        </w:rPr>
        <w:t>on</w:t>
      </w:r>
      <w:r>
        <w:rPr>
          <w:color w:val="365F91"/>
          <w:spacing w:val="-10"/>
          <w:sz w:val="28"/>
        </w:rPr>
        <w:t> </w:t>
      </w:r>
      <w:r>
        <w:rPr>
          <w:color w:val="365F91"/>
          <w:sz w:val="28"/>
        </w:rPr>
        <w:t>Child</w:t>
      </w:r>
      <w:r>
        <w:rPr>
          <w:color w:val="365F91"/>
          <w:spacing w:val="-11"/>
          <w:sz w:val="28"/>
        </w:rPr>
        <w:t> </w:t>
      </w:r>
      <w:r>
        <w:rPr>
          <w:color w:val="365F91"/>
          <w:spacing w:val="-2"/>
          <w:sz w:val="28"/>
        </w:rPr>
        <w:t>Welfare</w:t>
      </w:r>
    </w:p>
    <w:p>
      <w:pPr>
        <w:pStyle w:val="BodyText"/>
        <w:spacing w:before="9"/>
        <w:rPr>
          <w:sz w:val="3"/>
        </w:rPr>
      </w:pPr>
      <w:r>
        <w:rPr/>
        <mc:AlternateContent>
          <mc:Choice Requires="wps">
            <w:drawing>
              <wp:anchor distT="0" distB="0" distL="0" distR="0" allowOverlap="1" layoutInCell="1" locked="0" behindDoc="1" simplePos="0" relativeHeight="487595520">
                <wp:simplePos x="0" y="0"/>
                <wp:positionH relativeFrom="page">
                  <wp:posOffset>897636</wp:posOffset>
                </wp:positionH>
                <wp:positionV relativeFrom="paragraph">
                  <wp:posOffset>44477</wp:posOffset>
                </wp:positionV>
                <wp:extent cx="5976620" cy="635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2156pt;width:470.58pt;height:.48pt;mso-position-horizontal-relative:page;mso-position-vertical-relative:paragraph;z-index:-15720960;mso-wrap-distance-left:0;mso-wrap-distance-right:0" id="docshape65" filled="true" fillcolor="#4f81bc" stroked="false">
                <v:fill type="solid"/>
                <w10:wrap type="topAndBottom"/>
              </v:rect>
            </w:pict>
          </mc:Fallback>
        </mc:AlternateContent>
      </w:r>
    </w:p>
    <w:p>
      <w:pPr>
        <w:numPr>
          <w:ilvl w:val="0"/>
          <w:numId w:val="15"/>
        </w:numPr>
        <w:tabs>
          <w:tab w:pos="461" w:val="left" w:leader="none"/>
        </w:tabs>
        <w:spacing w:before="241"/>
        <w:ind w:left="461" w:right="0" w:hanging="358"/>
        <w:jc w:val="left"/>
        <w:rPr>
          <w:b/>
          <w:sz w:val="22"/>
        </w:rPr>
      </w:pPr>
      <w:bookmarkStart w:name="1. Create a program for universal basic " w:id="87"/>
      <w:bookmarkEnd w:id="87"/>
      <w:r>
        <w:rPr>
          <w:b/>
          <w:sz w:val="22"/>
        </w:rPr>
        <w:t>Crea</w:t>
      </w:r>
      <w:r>
        <w:rPr>
          <w:b/>
          <w:sz w:val="22"/>
        </w:rPr>
        <w:t>te</w:t>
      </w:r>
      <w:r>
        <w:rPr>
          <w:b/>
          <w:spacing w:val="-6"/>
          <w:sz w:val="22"/>
        </w:rPr>
        <w:t> </w:t>
      </w:r>
      <w:r>
        <w:rPr>
          <w:b/>
          <w:sz w:val="22"/>
        </w:rPr>
        <w:t>a</w:t>
      </w:r>
      <w:r>
        <w:rPr>
          <w:b/>
          <w:spacing w:val="-6"/>
          <w:sz w:val="22"/>
        </w:rPr>
        <w:t> </w:t>
      </w:r>
      <w:r>
        <w:rPr>
          <w:b/>
          <w:sz w:val="22"/>
        </w:rPr>
        <w:t>program</w:t>
      </w:r>
      <w:r>
        <w:rPr>
          <w:b/>
          <w:spacing w:val="-7"/>
          <w:sz w:val="22"/>
        </w:rPr>
        <w:t> </w:t>
      </w:r>
      <w:r>
        <w:rPr>
          <w:b/>
          <w:sz w:val="22"/>
        </w:rPr>
        <w:t>for</w:t>
      </w:r>
      <w:r>
        <w:rPr>
          <w:b/>
          <w:spacing w:val="-6"/>
          <w:sz w:val="22"/>
        </w:rPr>
        <w:t> </w:t>
      </w:r>
      <w:r>
        <w:rPr>
          <w:b/>
          <w:sz w:val="22"/>
        </w:rPr>
        <w:t>universal</w:t>
      </w:r>
      <w:r>
        <w:rPr>
          <w:b/>
          <w:spacing w:val="-6"/>
          <w:sz w:val="22"/>
        </w:rPr>
        <w:t> </w:t>
      </w:r>
      <w:r>
        <w:rPr>
          <w:b/>
          <w:sz w:val="22"/>
        </w:rPr>
        <w:t>basic</w:t>
      </w:r>
      <w:r>
        <w:rPr>
          <w:b/>
          <w:spacing w:val="-7"/>
          <w:sz w:val="22"/>
        </w:rPr>
        <w:t> </w:t>
      </w:r>
      <w:r>
        <w:rPr>
          <w:b/>
          <w:sz w:val="22"/>
        </w:rPr>
        <w:t>income</w:t>
      </w:r>
      <w:r>
        <w:rPr>
          <w:b/>
          <w:spacing w:val="-7"/>
          <w:sz w:val="22"/>
        </w:rPr>
        <w:t> </w:t>
      </w:r>
      <w:r>
        <w:rPr>
          <w:b/>
          <w:sz w:val="22"/>
        </w:rPr>
        <w:t>for</w:t>
      </w:r>
      <w:r>
        <w:rPr>
          <w:b/>
          <w:spacing w:val="-7"/>
          <w:sz w:val="22"/>
        </w:rPr>
        <w:t> </w:t>
      </w:r>
      <w:r>
        <w:rPr>
          <w:b/>
          <w:sz w:val="22"/>
        </w:rPr>
        <w:t>foster</w:t>
      </w:r>
      <w:r>
        <w:rPr>
          <w:b/>
          <w:spacing w:val="-7"/>
          <w:sz w:val="22"/>
        </w:rPr>
        <w:t> </w:t>
      </w:r>
      <w:r>
        <w:rPr>
          <w:b/>
          <w:sz w:val="22"/>
        </w:rPr>
        <w:t>care</w:t>
      </w:r>
      <w:r>
        <w:rPr>
          <w:b/>
          <w:spacing w:val="-7"/>
          <w:sz w:val="22"/>
        </w:rPr>
        <w:t> </w:t>
      </w:r>
      <w:r>
        <w:rPr>
          <w:b/>
          <w:spacing w:val="-2"/>
          <w:sz w:val="22"/>
        </w:rPr>
        <w:t>youth.</w:t>
      </w:r>
    </w:p>
    <w:p>
      <w:pPr>
        <w:pStyle w:val="BodyText"/>
        <w:spacing w:before="13"/>
        <w:rPr>
          <w:b/>
        </w:rPr>
      </w:pPr>
    </w:p>
    <w:p>
      <w:pPr>
        <w:spacing w:line="276" w:lineRule="auto" w:before="0"/>
        <w:ind w:left="463" w:right="285" w:firstLine="0"/>
        <w:jc w:val="both"/>
        <w:rPr>
          <w:sz w:val="22"/>
        </w:rPr>
      </w:pPr>
      <w:r>
        <w:rPr>
          <w:sz w:val="22"/>
        </w:rPr>
        <w:t>The Commission recommends that the legislature pass </w:t>
      </w:r>
      <w:r>
        <w:rPr>
          <w:i/>
          <w:sz w:val="22"/>
        </w:rPr>
        <w:t>An Act providing for a universal basic income for</w:t>
      </w:r>
      <w:r>
        <w:rPr>
          <w:i/>
          <w:sz w:val="22"/>
        </w:rPr>
        <w:t> youth aging out of foster care </w:t>
      </w:r>
      <w:r>
        <w:rPr>
          <w:sz w:val="22"/>
        </w:rPr>
        <w:t>(</w:t>
      </w:r>
      <w:hyperlink r:id="rId48">
        <w:r>
          <w:rPr>
            <w:b/>
            <w:color w:val="0000FF"/>
            <w:sz w:val="22"/>
            <w:u w:val="single" w:color="0000FF"/>
          </w:rPr>
          <w:t>S.114</w:t>
        </w:r>
      </w:hyperlink>
      <w:r>
        <w:rPr>
          <w:sz w:val="22"/>
          <w:u w:val="none"/>
        </w:rPr>
        <w:t>), which would provide youth transitioning out of foster care with a</w:t>
      </w:r>
    </w:p>
    <w:p>
      <w:pPr>
        <w:pStyle w:val="BodyText"/>
        <w:spacing w:line="276" w:lineRule="auto"/>
        <w:ind w:left="463" w:right="283"/>
        <w:jc w:val="both"/>
      </w:pPr>
      <w:r>
        <w:rPr/>
        <w:t>$1,000 per month cash stipend for 5 years. Youth transitioning out of the foster care system face significant</w:t>
      </w:r>
      <w:r>
        <w:rPr>
          <w:spacing w:val="-4"/>
        </w:rPr>
        <w:t> </w:t>
      </w:r>
      <w:r>
        <w:rPr/>
        <w:t>challenges</w:t>
      </w:r>
      <w:r>
        <w:rPr>
          <w:spacing w:val="-4"/>
        </w:rPr>
        <w:t> </w:t>
      </w:r>
      <w:r>
        <w:rPr/>
        <w:t>in</w:t>
      </w:r>
      <w:r>
        <w:rPr>
          <w:spacing w:val="-4"/>
        </w:rPr>
        <w:t> </w:t>
      </w:r>
      <w:r>
        <w:rPr/>
        <w:t>finding</w:t>
      </w:r>
      <w:r>
        <w:rPr>
          <w:spacing w:val="-4"/>
        </w:rPr>
        <w:t> </w:t>
      </w:r>
      <w:r>
        <w:rPr/>
        <w:t>stability,</w:t>
      </w:r>
      <w:r>
        <w:rPr>
          <w:spacing w:val="-2"/>
        </w:rPr>
        <w:t> </w:t>
      </w:r>
      <w:r>
        <w:rPr/>
        <w:t>as</w:t>
      </w:r>
      <w:r>
        <w:rPr>
          <w:spacing w:val="-4"/>
        </w:rPr>
        <w:t> </w:t>
      </w:r>
      <w:r>
        <w:rPr/>
        <w:t>discussed</w:t>
      </w:r>
      <w:r>
        <w:rPr>
          <w:spacing w:val="-4"/>
        </w:rPr>
        <w:t> </w:t>
      </w:r>
      <w:r>
        <w:rPr/>
        <w:t>in</w:t>
      </w:r>
      <w:r>
        <w:rPr>
          <w:spacing w:val="-4"/>
        </w:rPr>
        <w:t> </w:t>
      </w:r>
      <w:r>
        <w:rPr/>
        <w:t>this</w:t>
      </w:r>
      <w:r>
        <w:rPr>
          <w:spacing w:val="-4"/>
        </w:rPr>
        <w:t> </w:t>
      </w:r>
      <w:r>
        <w:rPr/>
        <w:t>section</w:t>
      </w:r>
      <w:r>
        <w:rPr>
          <w:spacing w:val="-4"/>
        </w:rPr>
        <w:t> </w:t>
      </w:r>
      <w:r>
        <w:rPr/>
        <w:t>and</w:t>
      </w:r>
      <w:r>
        <w:rPr>
          <w:spacing w:val="-4"/>
        </w:rPr>
        <w:t> </w:t>
      </w:r>
      <w:r>
        <w:rPr/>
        <w:t>subsequent</w:t>
      </w:r>
      <w:r>
        <w:rPr>
          <w:spacing w:val="-4"/>
        </w:rPr>
        <w:t> </w:t>
      </w:r>
      <w:r>
        <w:rPr/>
        <w:t>sections</w:t>
      </w:r>
      <w:r>
        <w:rPr>
          <w:spacing w:val="-2"/>
        </w:rPr>
        <w:t> </w:t>
      </w:r>
      <w:r>
        <w:rPr/>
        <w:t>throughout this</w:t>
      </w:r>
      <w:r>
        <w:rPr>
          <w:spacing w:val="-11"/>
        </w:rPr>
        <w:t> </w:t>
      </w:r>
      <w:r>
        <w:rPr/>
        <w:t>annual</w:t>
      </w:r>
      <w:r>
        <w:rPr>
          <w:spacing w:val="-10"/>
        </w:rPr>
        <w:t> </w:t>
      </w:r>
      <w:r>
        <w:rPr/>
        <w:t>report.</w:t>
      </w:r>
      <w:r>
        <w:rPr>
          <w:spacing w:val="-12"/>
        </w:rPr>
        <w:t> </w:t>
      </w:r>
      <w:r>
        <w:rPr/>
        <w:t>By</w:t>
      </w:r>
      <w:r>
        <w:rPr>
          <w:spacing w:val="-10"/>
        </w:rPr>
        <w:t> </w:t>
      </w:r>
      <w:r>
        <w:rPr/>
        <w:t>establishing</w:t>
      </w:r>
      <w:r>
        <w:rPr>
          <w:spacing w:val="-10"/>
        </w:rPr>
        <w:t> </w:t>
      </w:r>
      <w:r>
        <w:rPr/>
        <w:t>a</w:t>
      </w:r>
      <w:r>
        <w:rPr>
          <w:spacing w:val="-11"/>
        </w:rPr>
        <w:t> </w:t>
      </w:r>
      <w:r>
        <w:rPr/>
        <w:t>universal</w:t>
      </w:r>
      <w:r>
        <w:rPr>
          <w:spacing w:val="-11"/>
        </w:rPr>
        <w:t> </w:t>
      </w:r>
      <w:r>
        <w:rPr/>
        <w:t>basic</w:t>
      </w:r>
      <w:r>
        <w:rPr>
          <w:spacing w:val="-11"/>
        </w:rPr>
        <w:t> </w:t>
      </w:r>
      <w:r>
        <w:rPr/>
        <w:t>income</w:t>
      </w:r>
      <w:r>
        <w:rPr>
          <w:spacing w:val="-10"/>
        </w:rPr>
        <w:t> </w:t>
      </w:r>
      <w:r>
        <w:rPr/>
        <w:t>(UBI)</w:t>
      </w:r>
      <w:r>
        <w:rPr>
          <w:spacing w:val="-11"/>
        </w:rPr>
        <w:t> </w:t>
      </w:r>
      <w:r>
        <w:rPr/>
        <w:t>for</w:t>
      </w:r>
      <w:r>
        <w:rPr>
          <w:spacing w:val="-11"/>
        </w:rPr>
        <w:t> </w:t>
      </w:r>
      <w:r>
        <w:rPr/>
        <w:t>youth</w:t>
      </w:r>
      <w:r>
        <w:rPr>
          <w:spacing w:val="-10"/>
        </w:rPr>
        <w:t> </w:t>
      </w:r>
      <w:r>
        <w:rPr/>
        <w:t>transitioning</w:t>
      </w:r>
      <w:r>
        <w:rPr>
          <w:spacing w:val="-10"/>
        </w:rPr>
        <w:t> </w:t>
      </w:r>
      <w:r>
        <w:rPr/>
        <w:t>out</w:t>
      </w:r>
      <w:r>
        <w:rPr>
          <w:spacing w:val="-11"/>
        </w:rPr>
        <w:t> </w:t>
      </w:r>
      <w:r>
        <w:rPr/>
        <w:t>of</w:t>
      </w:r>
      <w:r>
        <w:rPr>
          <w:spacing w:val="-10"/>
        </w:rPr>
        <w:t> </w:t>
      </w:r>
      <w:r>
        <w:rPr/>
        <w:t>foster</w:t>
      </w:r>
      <w:r>
        <w:rPr>
          <w:spacing w:val="-10"/>
        </w:rPr>
        <w:t> </w:t>
      </w:r>
      <w:r>
        <w:rPr/>
        <w:t>care, as being piloted in California</w:t>
      </w:r>
      <w:hyperlink w:history="true" w:anchor="_bookmark11">
        <w:r>
          <w:rPr/>
          <w:t>,</w:t>
        </w:r>
        <w:r>
          <w:rPr>
            <w:vertAlign w:val="superscript"/>
          </w:rPr>
          <w:t>2</w:t>
        </w:r>
      </w:hyperlink>
      <w:r>
        <w:rPr>
          <w:vertAlign w:val="baseline"/>
        </w:rPr>
        <w:t> the state can help mitigate risk factors such as housing instability or involvement in the criminal legal system. The Commission advises policymakers and administrators to ensure that - should this program become a reality - there is a clear plan on how to directly transfer the cash assistance and make youth aware of the existence of the program.</w:t>
      </w:r>
      <w:hyperlink w:history="true" w:anchor="_bookmark12">
        <w:r>
          <w:rPr>
            <w:vertAlign w:val="superscript"/>
          </w:rPr>
          <w:t>3</w:t>
        </w:r>
      </w:hyperlink>
    </w:p>
    <w:p>
      <w:pPr>
        <w:spacing w:after="0" w:line="276" w:lineRule="auto"/>
        <w:jc w:val="both"/>
        <w:sectPr>
          <w:headerReference w:type="default" r:id="rId46"/>
          <w:footerReference w:type="default" r:id="rId47"/>
          <w:pgSz w:w="12240" w:h="15840"/>
          <w:pgMar w:header="804" w:footer="1263" w:top="1000" w:bottom="1460" w:left="980" w:right="1160"/>
        </w:sectPr>
      </w:pPr>
    </w:p>
    <w:p>
      <w:pPr>
        <w:numPr>
          <w:ilvl w:val="0"/>
          <w:numId w:val="15"/>
        </w:numPr>
        <w:tabs>
          <w:tab w:pos="461" w:val="left" w:leader="none"/>
        </w:tabs>
        <w:spacing w:before="139"/>
        <w:ind w:left="461" w:right="0" w:hanging="358"/>
        <w:jc w:val="left"/>
        <w:rPr>
          <w:b/>
          <w:sz w:val="22"/>
        </w:rPr>
      </w:pPr>
      <w:bookmarkStart w:name="2. Protect youth in the foster care syst" w:id="88"/>
      <w:bookmarkEnd w:id="88"/>
      <w:r>
        <w:rPr>
          <w:b/>
          <w:sz w:val="22"/>
        </w:rPr>
        <w:t>P</w:t>
      </w:r>
      <w:r>
        <w:rPr>
          <w:b/>
          <w:sz w:val="22"/>
        </w:rPr>
        <w:t>rotect</w:t>
      </w:r>
      <w:r>
        <w:rPr>
          <w:b/>
          <w:spacing w:val="-8"/>
          <w:sz w:val="22"/>
        </w:rPr>
        <w:t> </w:t>
      </w:r>
      <w:r>
        <w:rPr>
          <w:b/>
          <w:sz w:val="22"/>
        </w:rPr>
        <w:t>youth</w:t>
      </w:r>
      <w:r>
        <w:rPr>
          <w:b/>
          <w:spacing w:val="-8"/>
          <w:sz w:val="22"/>
        </w:rPr>
        <w:t> </w:t>
      </w:r>
      <w:r>
        <w:rPr>
          <w:b/>
          <w:sz w:val="22"/>
        </w:rPr>
        <w:t>in</w:t>
      </w:r>
      <w:r>
        <w:rPr>
          <w:b/>
          <w:spacing w:val="-7"/>
          <w:sz w:val="22"/>
        </w:rPr>
        <w:t> </w:t>
      </w:r>
      <w:r>
        <w:rPr>
          <w:b/>
          <w:sz w:val="22"/>
        </w:rPr>
        <w:t>the</w:t>
      </w:r>
      <w:r>
        <w:rPr>
          <w:b/>
          <w:spacing w:val="-8"/>
          <w:sz w:val="22"/>
        </w:rPr>
        <w:t> </w:t>
      </w:r>
      <w:r>
        <w:rPr>
          <w:b/>
          <w:sz w:val="22"/>
        </w:rPr>
        <w:t>foster</w:t>
      </w:r>
      <w:r>
        <w:rPr>
          <w:b/>
          <w:spacing w:val="-8"/>
          <w:sz w:val="22"/>
        </w:rPr>
        <w:t> </w:t>
      </w:r>
      <w:r>
        <w:rPr>
          <w:b/>
          <w:sz w:val="22"/>
        </w:rPr>
        <w:t>care</w:t>
      </w:r>
      <w:r>
        <w:rPr>
          <w:b/>
          <w:spacing w:val="-7"/>
          <w:sz w:val="22"/>
        </w:rPr>
        <w:t> </w:t>
      </w:r>
      <w:r>
        <w:rPr>
          <w:b/>
          <w:sz w:val="22"/>
        </w:rPr>
        <w:t>system</w:t>
      </w:r>
      <w:r>
        <w:rPr>
          <w:b/>
          <w:spacing w:val="-7"/>
          <w:sz w:val="22"/>
        </w:rPr>
        <w:t> </w:t>
      </w:r>
      <w:r>
        <w:rPr>
          <w:b/>
          <w:sz w:val="22"/>
        </w:rPr>
        <w:t>from</w:t>
      </w:r>
      <w:r>
        <w:rPr>
          <w:b/>
          <w:spacing w:val="-8"/>
          <w:sz w:val="22"/>
        </w:rPr>
        <w:t> </w:t>
      </w:r>
      <w:r>
        <w:rPr>
          <w:b/>
          <w:sz w:val="22"/>
        </w:rPr>
        <w:t>having</w:t>
      </w:r>
      <w:r>
        <w:rPr>
          <w:b/>
          <w:spacing w:val="-7"/>
          <w:sz w:val="22"/>
        </w:rPr>
        <w:t> </w:t>
      </w:r>
      <w:r>
        <w:rPr>
          <w:b/>
          <w:sz w:val="22"/>
        </w:rPr>
        <w:t>their</w:t>
      </w:r>
      <w:r>
        <w:rPr>
          <w:b/>
          <w:spacing w:val="-7"/>
          <w:sz w:val="22"/>
        </w:rPr>
        <w:t> </w:t>
      </w:r>
      <w:r>
        <w:rPr>
          <w:b/>
          <w:sz w:val="22"/>
        </w:rPr>
        <w:t>federal</w:t>
      </w:r>
      <w:r>
        <w:rPr>
          <w:b/>
          <w:spacing w:val="-7"/>
          <w:sz w:val="22"/>
        </w:rPr>
        <w:t> </w:t>
      </w:r>
      <w:r>
        <w:rPr>
          <w:b/>
          <w:sz w:val="22"/>
        </w:rPr>
        <w:t>benefits</w:t>
      </w:r>
      <w:r>
        <w:rPr>
          <w:b/>
          <w:spacing w:val="-7"/>
          <w:sz w:val="22"/>
        </w:rPr>
        <w:t> </w:t>
      </w:r>
      <w:r>
        <w:rPr>
          <w:b/>
          <w:sz w:val="22"/>
        </w:rPr>
        <w:t>stripped</w:t>
      </w:r>
      <w:r>
        <w:rPr>
          <w:b/>
          <w:spacing w:val="-8"/>
          <w:sz w:val="22"/>
        </w:rPr>
        <w:t> </w:t>
      </w:r>
      <w:r>
        <w:rPr>
          <w:b/>
          <w:spacing w:val="-2"/>
          <w:sz w:val="22"/>
        </w:rPr>
        <w:t>away.</w:t>
      </w:r>
    </w:p>
    <w:p>
      <w:pPr>
        <w:pStyle w:val="BodyText"/>
        <w:spacing w:before="11"/>
        <w:rPr>
          <w:b/>
        </w:rPr>
      </w:pPr>
    </w:p>
    <w:p>
      <w:pPr>
        <w:pStyle w:val="BodyText"/>
        <w:spacing w:line="276" w:lineRule="auto"/>
        <w:ind w:left="463" w:right="283"/>
        <w:jc w:val="both"/>
      </w:pPr>
      <w:r>
        <w:rPr/>
        <w:t>In a 2021 study from The Marshall Project and NPR</w:t>
      </w:r>
      <w:hyperlink w:history="true" w:anchor="_bookmark13">
        <w:r>
          <w:rPr/>
          <w:t>,</w:t>
        </w:r>
        <w:r>
          <w:rPr>
            <w:vertAlign w:val="superscript"/>
          </w:rPr>
          <w:t>4</w:t>
        </w:r>
      </w:hyperlink>
      <w:r>
        <w:rPr>
          <w:vertAlign w:val="baseline"/>
        </w:rPr>
        <w:t> it was detailed that 10% of foster youth across the country are</w:t>
      </w:r>
      <w:r>
        <w:rPr>
          <w:spacing w:val="-1"/>
          <w:vertAlign w:val="baseline"/>
        </w:rPr>
        <w:t> </w:t>
      </w:r>
      <w:r>
        <w:rPr>
          <w:vertAlign w:val="baseline"/>
        </w:rPr>
        <w:t>entitled to Social</w:t>
      </w:r>
      <w:r>
        <w:rPr>
          <w:spacing w:val="-1"/>
          <w:vertAlign w:val="baseline"/>
        </w:rPr>
        <w:t> </w:t>
      </w:r>
      <w:r>
        <w:rPr>
          <w:vertAlign w:val="baseline"/>
        </w:rPr>
        <w:t>Security benefits, with 36 states -</w:t>
      </w:r>
      <w:r>
        <w:rPr>
          <w:spacing w:val="-1"/>
          <w:vertAlign w:val="baseline"/>
        </w:rPr>
        <w:t> </w:t>
      </w:r>
      <w:r>
        <w:rPr>
          <w:vertAlign w:val="baseline"/>
        </w:rPr>
        <w:t>including</w:t>
      </w:r>
      <w:r>
        <w:rPr>
          <w:spacing w:val="-1"/>
          <w:vertAlign w:val="baseline"/>
        </w:rPr>
        <w:t> </w:t>
      </w:r>
      <w:r>
        <w:rPr>
          <w:vertAlign w:val="baseline"/>
        </w:rPr>
        <w:t>Massachusetts - then</w:t>
      </w:r>
      <w:r>
        <w:rPr>
          <w:spacing w:val="-1"/>
          <w:vertAlign w:val="baseline"/>
        </w:rPr>
        <w:t> </w:t>
      </w:r>
      <w:r>
        <w:rPr>
          <w:vertAlign w:val="baseline"/>
        </w:rPr>
        <w:t>accessing these</w:t>
      </w:r>
      <w:r>
        <w:rPr>
          <w:spacing w:val="-9"/>
          <w:vertAlign w:val="baseline"/>
        </w:rPr>
        <w:t> </w:t>
      </w:r>
      <w:r>
        <w:rPr>
          <w:vertAlign w:val="baseline"/>
        </w:rPr>
        <w:t>benefits,</w:t>
      </w:r>
      <w:r>
        <w:rPr>
          <w:spacing w:val="-8"/>
          <w:vertAlign w:val="baseline"/>
        </w:rPr>
        <w:t> </w:t>
      </w:r>
      <w:r>
        <w:rPr>
          <w:vertAlign w:val="baseline"/>
        </w:rPr>
        <w:t>often</w:t>
      </w:r>
      <w:r>
        <w:rPr>
          <w:spacing w:val="-9"/>
          <w:vertAlign w:val="baseline"/>
        </w:rPr>
        <w:t> </w:t>
      </w:r>
      <w:r>
        <w:rPr>
          <w:vertAlign w:val="baseline"/>
        </w:rPr>
        <w:t>without</w:t>
      </w:r>
      <w:r>
        <w:rPr>
          <w:spacing w:val="-9"/>
          <w:vertAlign w:val="baseline"/>
        </w:rPr>
        <w:t> </w:t>
      </w:r>
      <w:r>
        <w:rPr>
          <w:vertAlign w:val="baseline"/>
        </w:rPr>
        <w:t>ever</w:t>
      </w:r>
      <w:r>
        <w:rPr>
          <w:spacing w:val="-9"/>
          <w:vertAlign w:val="baseline"/>
        </w:rPr>
        <w:t> </w:t>
      </w:r>
      <w:r>
        <w:rPr>
          <w:vertAlign w:val="baseline"/>
        </w:rPr>
        <w:t>notifying</w:t>
      </w:r>
      <w:r>
        <w:rPr>
          <w:spacing w:val="-9"/>
          <w:vertAlign w:val="baseline"/>
        </w:rPr>
        <w:t> </w:t>
      </w:r>
      <w:r>
        <w:rPr>
          <w:vertAlign w:val="baseline"/>
        </w:rPr>
        <w:t>the</w:t>
      </w:r>
      <w:r>
        <w:rPr>
          <w:spacing w:val="-9"/>
          <w:vertAlign w:val="baseline"/>
        </w:rPr>
        <w:t> </w:t>
      </w:r>
      <w:r>
        <w:rPr>
          <w:vertAlign w:val="baseline"/>
        </w:rPr>
        <w:t>child</w:t>
      </w:r>
      <w:r>
        <w:rPr>
          <w:spacing w:val="-8"/>
          <w:vertAlign w:val="baseline"/>
        </w:rPr>
        <w:t> </w:t>
      </w:r>
      <w:r>
        <w:rPr>
          <w:vertAlign w:val="baseline"/>
        </w:rPr>
        <w:t>or</w:t>
      </w:r>
      <w:r>
        <w:rPr>
          <w:spacing w:val="-9"/>
          <w:vertAlign w:val="baseline"/>
        </w:rPr>
        <w:t> </w:t>
      </w:r>
      <w:r>
        <w:rPr>
          <w:vertAlign w:val="baseline"/>
        </w:rPr>
        <w:t>families</w:t>
      </w:r>
      <w:hyperlink w:history="true" w:anchor="_bookmark14">
        <w:r>
          <w:rPr>
            <w:vertAlign w:val="baseline"/>
          </w:rPr>
          <w:t>.</w:t>
        </w:r>
        <w:r>
          <w:rPr>
            <w:vertAlign w:val="superscript"/>
          </w:rPr>
          <w:t>5</w:t>
        </w:r>
      </w:hyperlink>
      <w:r>
        <w:rPr>
          <w:spacing w:val="-9"/>
          <w:vertAlign w:val="baseline"/>
        </w:rPr>
        <w:t> </w:t>
      </w:r>
      <w:r>
        <w:rPr>
          <w:vertAlign w:val="baseline"/>
        </w:rPr>
        <w:t>In</w:t>
      </w:r>
      <w:r>
        <w:rPr>
          <w:spacing w:val="-9"/>
          <w:vertAlign w:val="baseline"/>
        </w:rPr>
        <w:t> </w:t>
      </w:r>
      <w:r>
        <w:rPr>
          <w:vertAlign w:val="baseline"/>
        </w:rPr>
        <w:t>2018,</w:t>
      </w:r>
      <w:r>
        <w:rPr>
          <w:spacing w:val="-8"/>
          <w:vertAlign w:val="baseline"/>
        </w:rPr>
        <w:t> </w:t>
      </w:r>
      <w:r>
        <w:rPr>
          <w:vertAlign w:val="baseline"/>
        </w:rPr>
        <w:t>Massachusetts</w:t>
      </w:r>
      <w:r>
        <w:rPr>
          <w:spacing w:val="-8"/>
          <w:vertAlign w:val="baseline"/>
        </w:rPr>
        <w:t> </w:t>
      </w:r>
      <w:r>
        <w:rPr>
          <w:vertAlign w:val="baseline"/>
        </w:rPr>
        <w:t>took</w:t>
      </w:r>
      <w:r>
        <w:rPr>
          <w:spacing w:val="-9"/>
          <w:vertAlign w:val="baseline"/>
        </w:rPr>
        <w:t> </w:t>
      </w:r>
      <w:r>
        <w:rPr>
          <w:vertAlign w:val="baseline"/>
        </w:rPr>
        <w:t>a</w:t>
      </w:r>
      <w:r>
        <w:rPr>
          <w:spacing w:val="-8"/>
          <w:vertAlign w:val="baseline"/>
        </w:rPr>
        <w:t> </w:t>
      </w:r>
      <w:r>
        <w:rPr>
          <w:vertAlign w:val="baseline"/>
        </w:rPr>
        <w:t>reported</w:t>
      </w:r>
    </w:p>
    <w:p>
      <w:pPr>
        <w:pStyle w:val="BodyText"/>
        <w:spacing w:line="276" w:lineRule="auto"/>
        <w:ind w:left="463" w:right="281"/>
        <w:jc w:val="both"/>
        <w:rPr>
          <w:b/>
        </w:rPr>
      </w:pPr>
      <w:r>
        <w:rPr/>
        <w:t>$6.31 million from youth in the foster care system. Historically, child welfare agencies - including DCF - accessed Supplemental Support Income (SSI) and Social Security Disability Insurance (SSDI) to cover the cost</w:t>
      </w:r>
      <w:r>
        <w:rPr>
          <w:spacing w:val="-7"/>
        </w:rPr>
        <w:t> </w:t>
      </w:r>
      <w:r>
        <w:rPr/>
        <w:t>of</w:t>
      </w:r>
      <w:r>
        <w:rPr>
          <w:spacing w:val="-6"/>
        </w:rPr>
        <w:t> </w:t>
      </w:r>
      <w:r>
        <w:rPr/>
        <w:t>placements,</w:t>
      </w:r>
      <w:r>
        <w:rPr>
          <w:spacing w:val="-6"/>
        </w:rPr>
        <w:t> </w:t>
      </w:r>
      <w:r>
        <w:rPr/>
        <w:t>particularly</w:t>
      </w:r>
      <w:r>
        <w:rPr>
          <w:spacing w:val="-6"/>
        </w:rPr>
        <w:t> </w:t>
      </w:r>
      <w:r>
        <w:rPr/>
        <w:t>given</w:t>
      </w:r>
      <w:r>
        <w:rPr>
          <w:spacing w:val="-6"/>
        </w:rPr>
        <w:t> </w:t>
      </w:r>
      <w:r>
        <w:rPr/>
        <w:t>that</w:t>
      </w:r>
      <w:r>
        <w:rPr>
          <w:spacing w:val="-7"/>
        </w:rPr>
        <w:t> </w:t>
      </w:r>
      <w:r>
        <w:rPr/>
        <w:t>youth</w:t>
      </w:r>
      <w:r>
        <w:rPr>
          <w:spacing w:val="-6"/>
        </w:rPr>
        <w:t> </w:t>
      </w:r>
      <w:r>
        <w:rPr/>
        <w:t>were</w:t>
      </w:r>
      <w:r>
        <w:rPr>
          <w:spacing w:val="-7"/>
        </w:rPr>
        <w:t> </w:t>
      </w:r>
      <w:r>
        <w:rPr/>
        <w:t>not</w:t>
      </w:r>
      <w:r>
        <w:rPr>
          <w:spacing w:val="-7"/>
        </w:rPr>
        <w:t> </w:t>
      </w:r>
      <w:r>
        <w:rPr/>
        <w:t>able</w:t>
      </w:r>
      <w:r>
        <w:rPr>
          <w:spacing w:val="-5"/>
        </w:rPr>
        <w:t> </w:t>
      </w:r>
      <w:r>
        <w:rPr/>
        <w:t>to</w:t>
      </w:r>
      <w:r>
        <w:rPr>
          <w:spacing w:val="-5"/>
        </w:rPr>
        <w:t> </w:t>
      </w:r>
      <w:r>
        <w:rPr/>
        <w:t>build</w:t>
      </w:r>
      <w:r>
        <w:rPr>
          <w:spacing w:val="-6"/>
        </w:rPr>
        <w:t> </w:t>
      </w:r>
      <w:r>
        <w:rPr/>
        <w:t>up</w:t>
      </w:r>
      <w:r>
        <w:rPr>
          <w:spacing w:val="-7"/>
        </w:rPr>
        <w:t> </w:t>
      </w:r>
      <w:r>
        <w:rPr/>
        <w:t>assets</w:t>
      </w:r>
      <w:r>
        <w:rPr>
          <w:spacing w:val="-6"/>
        </w:rPr>
        <w:t> </w:t>
      </w:r>
      <w:r>
        <w:rPr/>
        <w:t>over</w:t>
      </w:r>
      <w:r>
        <w:rPr>
          <w:spacing w:val="-6"/>
        </w:rPr>
        <w:t> </w:t>
      </w:r>
      <w:r>
        <w:rPr/>
        <w:t>$2,000</w:t>
      </w:r>
      <w:r>
        <w:rPr>
          <w:spacing w:val="-6"/>
        </w:rPr>
        <w:t> </w:t>
      </w:r>
      <w:r>
        <w:rPr/>
        <w:t>to</w:t>
      </w:r>
      <w:r>
        <w:rPr>
          <w:spacing w:val="-6"/>
        </w:rPr>
        <w:t> </w:t>
      </w:r>
      <w:r>
        <w:rPr/>
        <w:t>maintain eligibility for these benefits. In 2023, DCF advised the Commission that it is currently working with the Disability</w:t>
      </w:r>
      <w:r>
        <w:rPr>
          <w:spacing w:val="-4"/>
        </w:rPr>
        <w:t> </w:t>
      </w:r>
      <w:r>
        <w:rPr/>
        <w:t>Law</w:t>
      </w:r>
      <w:r>
        <w:rPr>
          <w:spacing w:val="-3"/>
        </w:rPr>
        <w:t> </w:t>
      </w:r>
      <w:r>
        <w:rPr/>
        <w:t>Center</w:t>
      </w:r>
      <w:r>
        <w:rPr>
          <w:spacing w:val="-4"/>
        </w:rPr>
        <w:t> </w:t>
      </w:r>
      <w:r>
        <w:rPr/>
        <w:t>and</w:t>
      </w:r>
      <w:r>
        <w:rPr>
          <w:spacing w:val="-3"/>
        </w:rPr>
        <w:t> </w:t>
      </w:r>
      <w:r>
        <w:rPr/>
        <w:t>Fidelity</w:t>
      </w:r>
      <w:r>
        <w:rPr>
          <w:spacing w:val="-3"/>
        </w:rPr>
        <w:t> </w:t>
      </w:r>
      <w:r>
        <w:rPr/>
        <w:t>Investments</w:t>
      </w:r>
      <w:r>
        <w:rPr>
          <w:spacing w:val="-2"/>
        </w:rPr>
        <w:t> </w:t>
      </w:r>
      <w:r>
        <w:rPr/>
        <w:t>to</w:t>
      </w:r>
      <w:r>
        <w:rPr>
          <w:spacing w:val="-2"/>
        </w:rPr>
        <w:t> </w:t>
      </w:r>
      <w:r>
        <w:rPr/>
        <w:t>set</w:t>
      </w:r>
      <w:r>
        <w:rPr>
          <w:spacing w:val="-2"/>
        </w:rPr>
        <w:t> </w:t>
      </w:r>
      <w:r>
        <w:rPr/>
        <w:t>up</w:t>
      </w:r>
      <w:r>
        <w:rPr>
          <w:spacing w:val="-4"/>
        </w:rPr>
        <w:t> </w:t>
      </w:r>
      <w:r>
        <w:rPr/>
        <w:t>ABLE</w:t>
      </w:r>
      <w:r>
        <w:rPr>
          <w:spacing w:val="-3"/>
        </w:rPr>
        <w:t> </w:t>
      </w:r>
      <w:r>
        <w:rPr/>
        <w:t>accounts</w:t>
      </w:r>
      <w:r>
        <w:rPr>
          <w:spacing w:val="-2"/>
        </w:rPr>
        <w:t> </w:t>
      </w:r>
      <w:r>
        <w:rPr/>
        <w:t>for</w:t>
      </w:r>
      <w:r>
        <w:rPr>
          <w:spacing w:val="-4"/>
        </w:rPr>
        <w:t> </w:t>
      </w:r>
      <w:r>
        <w:rPr/>
        <w:t>youth</w:t>
      </w:r>
      <w:r>
        <w:rPr>
          <w:spacing w:val="-4"/>
        </w:rPr>
        <w:t> </w:t>
      </w:r>
      <w:r>
        <w:rPr/>
        <w:t>eligible</w:t>
      </w:r>
      <w:r>
        <w:rPr>
          <w:spacing w:val="-3"/>
        </w:rPr>
        <w:t> </w:t>
      </w:r>
      <w:r>
        <w:rPr/>
        <w:t>for</w:t>
      </w:r>
      <w:r>
        <w:rPr>
          <w:spacing w:val="-2"/>
        </w:rPr>
        <w:t> </w:t>
      </w:r>
      <w:r>
        <w:rPr/>
        <w:t>SSI</w:t>
      </w:r>
      <w:r>
        <w:rPr>
          <w:spacing w:val="-4"/>
        </w:rPr>
        <w:t> </w:t>
      </w:r>
      <w:r>
        <w:rPr/>
        <w:t>and</w:t>
      </w:r>
      <w:r>
        <w:rPr>
          <w:spacing w:val="-3"/>
        </w:rPr>
        <w:t> </w:t>
      </w:r>
      <w:r>
        <w:rPr/>
        <w:t>SSDI, and that it has halted this practice. In order to ensure that this practice continues, the Commission strongly recommends that the Legislature pass </w:t>
      </w:r>
      <w:r>
        <w:rPr>
          <w:i/>
        </w:rPr>
        <w:t>An Act Protecting Benefits Owed to Foster Children </w:t>
      </w:r>
      <w:r>
        <w:rPr/>
        <w:t>(</w:t>
      </w:r>
      <w:hyperlink r:id="rId49">
        <w:r>
          <w:rPr>
            <w:b/>
            <w:color w:val="1153CC"/>
            <w:u w:val="single" w:color="1153CC"/>
          </w:rPr>
          <w:t>S. 65</w:t>
        </w:r>
      </w:hyperlink>
    </w:p>
    <w:p>
      <w:pPr>
        <w:spacing w:before="0"/>
        <w:ind w:left="463" w:right="0" w:firstLine="0"/>
        <w:jc w:val="both"/>
        <w:rPr>
          <w:sz w:val="22"/>
        </w:rPr>
      </w:pPr>
      <w:r>
        <w:rPr>
          <w:b/>
          <w:sz w:val="22"/>
        </w:rPr>
        <w:t>/</w:t>
      </w:r>
      <w:r>
        <w:rPr>
          <w:b/>
          <w:spacing w:val="-2"/>
          <w:sz w:val="22"/>
        </w:rPr>
        <w:t> </w:t>
      </w:r>
      <w:hyperlink r:id="rId50">
        <w:r>
          <w:rPr>
            <w:b/>
            <w:color w:val="1153CC"/>
            <w:spacing w:val="-2"/>
            <w:sz w:val="22"/>
            <w:u w:val="single" w:color="1153CC"/>
          </w:rPr>
          <w:t>H.157</w:t>
        </w:r>
      </w:hyperlink>
      <w:r>
        <w:rPr>
          <w:spacing w:val="-2"/>
          <w:sz w:val="22"/>
          <w:u w:val="none"/>
        </w:rPr>
        <w:t>).</w:t>
      </w:r>
    </w:p>
    <w:p>
      <w:pPr>
        <w:pStyle w:val="BodyText"/>
        <w:spacing w:before="11"/>
      </w:pPr>
    </w:p>
    <w:p>
      <w:pPr>
        <w:numPr>
          <w:ilvl w:val="0"/>
          <w:numId w:val="15"/>
        </w:numPr>
        <w:tabs>
          <w:tab w:pos="461" w:val="left" w:leader="none"/>
        </w:tabs>
        <w:spacing w:before="1"/>
        <w:ind w:left="461" w:right="0" w:hanging="358"/>
        <w:jc w:val="left"/>
        <w:rPr>
          <w:b/>
          <w:sz w:val="22"/>
        </w:rPr>
      </w:pPr>
      <w:bookmarkStart w:name="3. Solidify parental rights for LGBTQ fa" w:id="89"/>
      <w:bookmarkEnd w:id="89"/>
      <w:r>
        <w:rPr>
          <w:b/>
          <w:sz w:val="22"/>
        </w:rPr>
        <w:t>S</w:t>
      </w:r>
      <w:r>
        <w:rPr>
          <w:b/>
          <w:sz w:val="22"/>
        </w:rPr>
        <w:t>olidify</w:t>
      </w:r>
      <w:r>
        <w:rPr>
          <w:b/>
          <w:spacing w:val="-9"/>
          <w:sz w:val="22"/>
        </w:rPr>
        <w:t> </w:t>
      </w:r>
      <w:r>
        <w:rPr>
          <w:b/>
          <w:sz w:val="22"/>
        </w:rPr>
        <w:t>parental</w:t>
      </w:r>
      <w:r>
        <w:rPr>
          <w:b/>
          <w:spacing w:val="-8"/>
          <w:sz w:val="22"/>
        </w:rPr>
        <w:t> </w:t>
      </w:r>
      <w:r>
        <w:rPr>
          <w:b/>
          <w:sz w:val="22"/>
        </w:rPr>
        <w:t>rights</w:t>
      </w:r>
      <w:r>
        <w:rPr>
          <w:b/>
          <w:spacing w:val="-8"/>
          <w:sz w:val="22"/>
        </w:rPr>
        <w:t> </w:t>
      </w:r>
      <w:r>
        <w:rPr>
          <w:b/>
          <w:sz w:val="22"/>
        </w:rPr>
        <w:t>for</w:t>
      </w:r>
      <w:r>
        <w:rPr>
          <w:b/>
          <w:spacing w:val="-9"/>
          <w:sz w:val="22"/>
        </w:rPr>
        <w:t> </w:t>
      </w:r>
      <w:r>
        <w:rPr>
          <w:b/>
          <w:sz w:val="22"/>
        </w:rPr>
        <w:t>LGBTQ</w:t>
      </w:r>
      <w:r>
        <w:rPr>
          <w:b/>
          <w:spacing w:val="-8"/>
          <w:sz w:val="22"/>
        </w:rPr>
        <w:t> </w:t>
      </w:r>
      <w:r>
        <w:rPr>
          <w:b/>
          <w:spacing w:val="-2"/>
          <w:sz w:val="22"/>
        </w:rPr>
        <w:t>families.</w:t>
      </w:r>
    </w:p>
    <w:p>
      <w:pPr>
        <w:pStyle w:val="BodyText"/>
        <w:spacing w:before="11"/>
        <w:rPr>
          <w:b/>
        </w:rPr>
      </w:pPr>
    </w:p>
    <w:p>
      <w:pPr>
        <w:pStyle w:val="BodyText"/>
        <w:spacing w:line="276" w:lineRule="auto"/>
        <w:ind w:left="463" w:right="282"/>
        <w:jc w:val="both"/>
      </w:pPr>
      <w:r>
        <w:rPr/>
        <w:t>Despite the significant strides that Massachusetts has made over the last couple of decades to support LGBTQ families, there still remain gaps in state law to ensure that all families have the same legal protections.</w:t>
      </w:r>
      <w:r>
        <w:rPr>
          <w:spacing w:val="-1"/>
        </w:rPr>
        <w:t> </w:t>
      </w:r>
      <w:r>
        <w:rPr/>
        <w:t>The Commission</w:t>
      </w:r>
      <w:r>
        <w:rPr>
          <w:spacing w:val="-2"/>
        </w:rPr>
        <w:t> </w:t>
      </w:r>
      <w:r>
        <w:rPr/>
        <w:t>strongly recommends and prioritizes</w:t>
      </w:r>
      <w:r>
        <w:rPr>
          <w:spacing w:val="-1"/>
        </w:rPr>
        <w:t> </w:t>
      </w:r>
      <w:r>
        <w:rPr/>
        <w:t>the passage</w:t>
      </w:r>
      <w:r>
        <w:rPr>
          <w:spacing w:val="-2"/>
        </w:rPr>
        <w:t> </w:t>
      </w:r>
      <w:r>
        <w:rPr/>
        <w:t>of</w:t>
      </w:r>
      <w:r>
        <w:rPr>
          <w:spacing w:val="-1"/>
        </w:rPr>
        <w:t> </w:t>
      </w:r>
      <w:r>
        <w:rPr>
          <w:i/>
        </w:rPr>
        <w:t>An</w:t>
      </w:r>
      <w:r>
        <w:rPr>
          <w:i/>
          <w:spacing w:val="-1"/>
        </w:rPr>
        <w:t> </w:t>
      </w:r>
      <w:r>
        <w:rPr>
          <w:i/>
        </w:rPr>
        <w:t>Act to Ensure</w:t>
      </w:r>
      <w:r>
        <w:rPr>
          <w:i/>
          <w:spacing w:val="-1"/>
        </w:rPr>
        <w:t> </w:t>
      </w:r>
      <w:r>
        <w:rPr>
          <w:i/>
        </w:rPr>
        <w:t>Legal</w:t>
      </w:r>
      <w:r>
        <w:rPr>
          <w:i/>
        </w:rPr>
        <w:t> Parentage</w:t>
      </w:r>
      <w:r>
        <w:rPr>
          <w:i/>
          <w:spacing w:val="-13"/>
        </w:rPr>
        <w:t> </w:t>
      </w:r>
      <w:r>
        <w:rPr>
          <w:i/>
        </w:rPr>
        <w:t>Equality</w:t>
      </w:r>
      <w:r>
        <w:rPr>
          <w:i/>
          <w:spacing w:val="-12"/>
        </w:rPr>
        <w:t> </w:t>
      </w:r>
      <w:r>
        <w:rPr/>
        <w:t>(</w:t>
      </w:r>
      <w:hyperlink r:id="rId51">
        <w:r>
          <w:rPr>
            <w:b/>
            <w:color w:val="1153CC"/>
            <w:u w:val="single" w:color="1153CC"/>
          </w:rPr>
          <w:t>S.</w:t>
        </w:r>
        <w:r>
          <w:rPr>
            <w:b/>
            <w:color w:val="1153CC"/>
            <w:spacing w:val="-13"/>
            <w:u w:val="single" w:color="1153CC"/>
          </w:rPr>
          <w:t> </w:t>
        </w:r>
        <w:r>
          <w:rPr>
            <w:b/>
            <w:color w:val="1153CC"/>
            <w:u w:val="single" w:color="1153CC"/>
          </w:rPr>
          <w:t>947</w:t>
        </w:r>
      </w:hyperlink>
      <w:r>
        <w:rPr>
          <w:b/>
          <w:color w:val="1153CC"/>
          <w:spacing w:val="-12"/>
          <w:u w:val="none"/>
        </w:rPr>
        <w:t> </w:t>
      </w:r>
      <w:r>
        <w:rPr>
          <w:b/>
          <w:u w:val="none"/>
        </w:rPr>
        <w:t>/</w:t>
      </w:r>
      <w:r>
        <w:rPr>
          <w:b/>
          <w:spacing w:val="-13"/>
          <w:u w:val="none"/>
        </w:rPr>
        <w:t> </w:t>
      </w:r>
      <w:hyperlink r:id="rId52">
        <w:r>
          <w:rPr>
            <w:b/>
            <w:color w:val="1153CC"/>
            <w:u w:val="single" w:color="1153CC"/>
          </w:rPr>
          <w:t>H.1713</w:t>
        </w:r>
      </w:hyperlink>
      <w:r>
        <w:rPr>
          <w:u w:val="none"/>
        </w:rPr>
        <w:t>),</w:t>
      </w:r>
      <w:r>
        <w:rPr>
          <w:spacing w:val="-12"/>
          <w:u w:val="none"/>
        </w:rPr>
        <w:t> </w:t>
      </w:r>
      <w:r>
        <w:rPr>
          <w:u w:val="none"/>
        </w:rPr>
        <w:t>also</w:t>
      </w:r>
      <w:r>
        <w:rPr>
          <w:spacing w:val="-13"/>
          <w:u w:val="none"/>
        </w:rPr>
        <w:t> </w:t>
      </w:r>
      <w:r>
        <w:rPr>
          <w:u w:val="none"/>
        </w:rPr>
        <w:t>known</w:t>
      </w:r>
      <w:r>
        <w:rPr>
          <w:spacing w:val="-12"/>
          <w:u w:val="none"/>
        </w:rPr>
        <w:t> </w:t>
      </w:r>
      <w:r>
        <w:rPr>
          <w:u w:val="none"/>
        </w:rPr>
        <w:t>as</w:t>
      </w:r>
      <w:r>
        <w:rPr>
          <w:spacing w:val="-12"/>
          <w:u w:val="none"/>
        </w:rPr>
        <w:t> </w:t>
      </w:r>
      <w:r>
        <w:rPr>
          <w:u w:val="none"/>
        </w:rPr>
        <w:t>the</w:t>
      </w:r>
      <w:r>
        <w:rPr>
          <w:spacing w:val="-13"/>
          <w:u w:val="none"/>
        </w:rPr>
        <w:t> </w:t>
      </w:r>
      <w:r>
        <w:rPr>
          <w:u w:val="none"/>
        </w:rPr>
        <w:t>Massachusetts</w:t>
      </w:r>
      <w:r>
        <w:rPr>
          <w:spacing w:val="-12"/>
          <w:u w:val="none"/>
        </w:rPr>
        <w:t> </w:t>
      </w:r>
      <w:r>
        <w:rPr>
          <w:u w:val="none"/>
        </w:rPr>
        <w:t>Parentage</w:t>
      </w:r>
      <w:r>
        <w:rPr>
          <w:spacing w:val="-13"/>
          <w:u w:val="none"/>
        </w:rPr>
        <w:t> </w:t>
      </w:r>
      <w:r>
        <w:rPr>
          <w:u w:val="none"/>
        </w:rPr>
        <w:t>Act</w:t>
      </w:r>
      <w:r>
        <w:rPr>
          <w:spacing w:val="-12"/>
          <w:u w:val="none"/>
        </w:rPr>
        <w:t> </w:t>
      </w:r>
      <w:r>
        <w:rPr>
          <w:u w:val="none"/>
        </w:rPr>
        <w:t>(MPA),</w:t>
      </w:r>
      <w:r>
        <w:rPr>
          <w:spacing w:val="-13"/>
          <w:u w:val="none"/>
        </w:rPr>
        <w:t> </w:t>
      </w:r>
      <w:r>
        <w:rPr>
          <w:u w:val="none"/>
        </w:rPr>
        <w:t>which</w:t>
      </w:r>
      <w:r>
        <w:rPr>
          <w:spacing w:val="-12"/>
          <w:u w:val="none"/>
        </w:rPr>
        <w:t> </w:t>
      </w:r>
      <w:r>
        <w:rPr>
          <w:u w:val="none"/>
        </w:rPr>
        <w:t>would update and strengthen legal parentage laws in the Commonwealth. The MPA clarifies how the state establishes parentage for children in families who are born through assisted reproduction or surrogacy, or to same-sex parents who are not married, as well as would recognize de facto parentage</w:t>
      </w:r>
      <w:hyperlink w:history="true" w:anchor="_bookmark14">
        <w:r>
          <w:rPr>
            <w:u w:val="none"/>
          </w:rPr>
          <w:t>.</w:t>
        </w:r>
        <w:r>
          <w:rPr>
            <w:u w:val="none"/>
            <w:vertAlign w:val="superscript"/>
          </w:rPr>
          <w:t>6</w:t>
        </w:r>
      </w:hyperlink>
    </w:p>
    <w:p>
      <w:pPr>
        <w:numPr>
          <w:ilvl w:val="0"/>
          <w:numId w:val="15"/>
        </w:numPr>
        <w:tabs>
          <w:tab w:pos="461" w:val="left" w:leader="none"/>
        </w:tabs>
        <w:spacing w:before="240"/>
        <w:ind w:left="461" w:right="0" w:hanging="358"/>
        <w:jc w:val="left"/>
        <w:rPr>
          <w:b/>
          <w:sz w:val="22"/>
        </w:rPr>
      </w:pPr>
      <w:r>
        <w:rPr>
          <w:b/>
          <w:sz w:val="22"/>
        </w:rPr>
        <w:t>Provide</w:t>
      </w:r>
      <w:r>
        <w:rPr>
          <w:b/>
          <w:spacing w:val="-10"/>
          <w:sz w:val="22"/>
        </w:rPr>
        <w:t> </w:t>
      </w:r>
      <w:r>
        <w:rPr>
          <w:b/>
          <w:sz w:val="22"/>
        </w:rPr>
        <w:t>mandatory</w:t>
      </w:r>
      <w:r>
        <w:rPr>
          <w:b/>
          <w:spacing w:val="-8"/>
          <w:sz w:val="22"/>
        </w:rPr>
        <w:t> </w:t>
      </w:r>
      <w:r>
        <w:rPr>
          <w:b/>
          <w:sz w:val="22"/>
        </w:rPr>
        <w:t>trainings</w:t>
      </w:r>
      <w:r>
        <w:rPr>
          <w:b/>
          <w:spacing w:val="-10"/>
          <w:sz w:val="22"/>
        </w:rPr>
        <w:t> </w:t>
      </w:r>
      <w:r>
        <w:rPr>
          <w:b/>
          <w:sz w:val="22"/>
        </w:rPr>
        <w:t>for</w:t>
      </w:r>
      <w:r>
        <w:rPr>
          <w:b/>
          <w:spacing w:val="-10"/>
          <w:sz w:val="22"/>
        </w:rPr>
        <w:t> </w:t>
      </w:r>
      <w:r>
        <w:rPr>
          <w:b/>
          <w:sz w:val="22"/>
        </w:rPr>
        <w:t>congregate</w:t>
      </w:r>
      <w:r>
        <w:rPr>
          <w:b/>
          <w:spacing w:val="-10"/>
          <w:sz w:val="22"/>
        </w:rPr>
        <w:t> </w:t>
      </w:r>
      <w:r>
        <w:rPr>
          <w:b/>
          <w:sz w:val="22"/>
        </w:rPr>
        <w:t>care</w:t>
      </w:r>
      <w:r>
        <w:rPr>
          <w:b/>
          <w:spacing w:val="-9"/>
          <w:sz w:val="22"/>
        </w:rPr>
        <w:t> </w:t>
      </w:r>
      <w:r>
        <w:rPr>
          <w:b/>
          <w:spacing w:val="-2"/>
          <w:sz w:val="22"/>
        </w:rPr>
        <w:t>settings.</w:t>
      </w:r>
    </w:p>
    <w:p>
      <w:pPr>
        <w:pStyle w:val="BodyText"/>
        <w:spacing w:before="11"/>
        <w:rPr>
          <w:b/>
        </w:rPr>
      </w:pPr>
    </w:p>
    <w:p>
      <w:pPr>
        <w:pStyle w:val="BodyText"/>
        <w:spacing w:line="276" w:lineRule="auto" w:before="1"/>
        <w:ind w:left="463" w:right="283"/>
        <w:jc w:val="both"/>
      </w:pPr>
      <w:r>
        <w:rPr/>
        <w:t>The Commission strongly recommends that the State provide mandatory trainings for congregate care workers, and increase accountability to ensuring that workers are providing LGBTQ-affirming services. Furthermore,</w:t>
      </w:r>
      <w:r>
        <w:rPr>
          <w:spacing w:val="-6"/>
        </w:rPr>
        <w:t> </w:t>
      </w:r>
      <w:r>
        <w:rPr/>
        <w:t>the</w:t>
      </w:r>
      <w:r>
        <w:rPr>
          <w:spacing w:val="-7"/>
        </w:rPr>
        <w:t> </w:t>
      </w:r>
      <w:r>
        <w:rPr/>
        <w:t>Commission</w:t>
      </w:r>
      <w:r>
        <w:rPr>
          <w:spacing w:val="-7"/>
        </w:rPr>
        <w:t> </w:t>
      </w:r>
      <w:r>
        <w:rPr/>
        <w:t>recommends</w:t>
      </w:r>
      <w:r>
        <w:rPr>
          <w:spacing w:val="-6"/>
        </w:rPr>
        <w:t> </w:t>
      </w:r>
      <w:r>
        <w:rPr/>
        <w:t>that</w:t>
      </w:r>
      <w:r>
        <w:rPr>
          <w:spacing w:val="-6"/>
        </w:rPr>
        <w:t> </w:t>
      </w:r>
      <w:r>
        <w:rPr/>
        <w:t>the</w:t>
      </w:r>
      <w:r>
        <w:rPr>
          <w:spacing w:val="-7"/>
        </w:rPr>
        <w:t> </w:t>
      </w:r>
      <w:r>
        <w:rPr/>
        <w:t>State</w:t>
      </w:r>
      <w:r>
        <w:rPr>
          <w:spacing w:val="-7"/>
        </w:rPr>
        <w:t> </w:t>
      </w:r>
      <w:r>
        <w:rPr/>
        <w:t>provide</w:t>
      </w:r>
      <w:r>
        <w:rPr>
          <w:spacing w:val="-7"/>
        </w:rPr>
        <w:t> </w:t>
      </w:r>
      <w:r>
        <w:rPr/>
        <w:t>trainings</w:t>
      </w:r>
      <w:r>
        <w:rPr>
          <w:spacing w:val="-6"/>
        </w:rPr>
        <w:t> </w:t>
      </w:r>
      <w:r>
        <w:rPr/>
        <w:t>and</w:t>
      </w:r>
      <w:r>
        <w:rPr>
          <w:spacing w:val="-7"/>
        </w:rPr>
        <w:t> </w:t>
      </w:r>
      <w:r>
        <w:rPr/>
        <w:t>resources</w:t>
      </w:r>
      <w:r>
        <w:rPr>
          <w:spacing w:val="-6"/>
        </w:rPr>
        <w:t> </w:t>
      </w:r>
      <w:r>
        <w:rPr/>
        <w:t>specifically</w:t>
      </w:r>
      <w:r>
        <w:rPr>
          <w:spacing w:val="-6"/>
        </w:rPr>
        <w:t> </w:t>
      </w:r>
      <w:r>
        <w:rPr/>
        <w:t>for youth so that young people understand their rights, as well as the formal process for complaints if they experience mistreatment while in a congregate care program.</w:t>
      </w:r>
    </w:p>
    <w:p>
      <w:pPr>
        <w:numPr>
          <w:ilvl w:val="0"/>
          <w:numId w:val="15"/>
        </w:numPr>
        <w:tabs>
          <w:tab w:pos="461" w:val="left" w:leader="none"/>
          <w:tab w:pos="463" w:val="left" w:leader="none"/>
        </w:tabs>
        <w:spacing w:line="276" w:lineRule="auto" w:before="240"/>
        <w:ind w:left="463" w:right="283" w:hanging="360"/>
        <w:jc w:val="left"/>
        <w:rPr>
          <w:b/>
          <w:sz w:val="22"/>
        </w:rPr>
      </w:pPr>
      <w:r>
        <w:rPr>
          <w:b/>
          <w:sz w:val="22"/>
        </w:rPr>
        <w:t>Create</w:t>
      </w:r>
      <w:r>
        <w:rPr>
          <w:b/>
          <w:spacing w:val="30"/>
          <w:sz w:val="22"/>
        </w:rPr>
        <w:t> </w:t>
      </w:r>
      <w:r>
        <w:rPr>
          <w:b/>
          <w:sz w:val="22"/>
        </w:rPr>
        <w:t>and</w:t>
      </w:r>
      <w:r>
        <w:rPr>
          <w:b/>
          <w:spacing w:val="31"/>
          <w:sz w:val="22"/>
        </w:rPr>
        <w:t> </w:t>
      </w:r>
      <w:r>
        <w:rPr>
          <w:b/>
          <w:sz w:val="22"/>
        </w:rPr>
        <w:t>provide</w:t>
      </w:r>
      <w:r>
        <w:rPr>
          <w:b/>
          <w:spacing w:val="30"/>
          <w:sz w:val="22"/>
        </w:rPr>
        <w:t> </w:t>
      </w:r>
      <w:r>
        <w:rPr>
          <w:b/>
          <w:sz w:val="22"/>
        </w:rPr>
        <w:t>training</w:t>
      </w:r>
      <w:r>
        <w:rPr>
          <w:b/>
          <w:spacing w:val="30"/>
          <w:sz w:val="22"/>
        </w:rPr>
        <w:t> </w:t>
      </w:r>
      <w:r>
        <w:rPr>
          <w:b/>
          <w:sz w:val="22"/>
        </w:rPr>
        <w:t>opportunities</w:t>
      </w:r>
      <w:r>
        <w:rPr>
          <w:b/>
          <w:spacing w:val="30"/>
          <w:sz w:val="22"/>
        </w:rPr>
        <w:t> </w:t>
      </w:r>
      <w:r>
        <w:rPr>
          <w:b/>
          <w:sz w:val="22"/>
        </w:rPr>
        <w:t>for</w:t>
      </w:r>
      <w:r>
        <w:rPr>
          <w:b/>
          <w:spacing w:val="30"/>
          <w:sz w:val="22"/>
        </w:rPr>
        <w:t> </w:t>
      </w:r>
      <w:r>
        <w:rPr>
          <w:b/>
          <w:sz w:val="22"/>
        </w:rPr>
        <w:t>young</w:t>
      </w:r>
      <w:r>
        <w:rPr>
          <w:b/>
          <w:spacing w:val="30"/>
          <w:sz w:val="22"/>
        </w:rPr>
        <w:t> </w:t>
      </w:r>
      <w:r>
        <w:rPr>
          <w:b/>
          <w:sz w:val="22"/>
        </w:rPr>
        <w:t>people</w:t>
      </w:r>
      <w:r>
        <w:rPr>
          <w:b/>
          <w:spacing w:val="30"/>
          <w:sz w:val="22"/>
        </w:rPr>
        <w:t> </w:t>
      </w:r>
      <w:r>
        <w:rPr>
          <w:b/>
          <w:sz w:val="22"/>
        </w:rPr>
        <w:t>and</w:t>
      </w:r>
      <w:r>
        <w:rPr>
          <w:b/>
          <w:spacing w:val="30"/>
          <w:sz w:val="22"/>
        </w:rPr>
        <w:t> </w:t>
      </w:r>
      <w:r>
        <w:rPr>
          <w:b/>
          <w:sz w:val="22"/>
        </w:rPr>
        <w:t>caregivers</w:t>
      </w:r>
      <w:r>
        <w:rPr>
          <w:b/>
          <w:spacing w:val="30"/>
          <w:sz w:val="22"/>
        </w:rPr>
        <w:t> </w:t>
      </w:r>
      <w:r>
        <w:rPr>
          <w:b/>
          <w:sz w:val="22"/>
        </w:rPr>
        <w:t>involved</w:t>
      </w:r>
      <w:r>
        <w:rPr>
          <w:b/>
          <w:spacing w:val="30"/>
          <w:sz w:val="22"/>
        </w:rPr>
        <w:t> </w:t>
      </w:r>
      <w:r>
        <w:rPr>
          <w:b/>
          <w:sz w:val="22"/>
        </w:rPr>
        <w:t>with</w:t>
      </w:r>
      <w:r>
        <w:rPr>
          <w:b/>
          <w:spacing w:val="30"/>
          <w:sz w:val="22"/>
        </w:rPr>
        <w:t> </w:t>
      </w:r>
      <w:r>
        <w:rPr>
          <w:b/>
          <w:sz w:val="22"/>
        </w:rPr>
        <w:t>the</w:t>
      </w:r>
      <w:r>
        <w:rPr>
          <w:b/>
          <w:spacing w:val="30"/>
          <w:sz w:val="22"/>
        </w:rPr>
        <w:t> </w:t>
      </w:r>
      <w:r>
        <w:rPr>
          <w:b/>
          <w:sz w:val="22"/>
        </w:rPr>
        <w:t>child welfare system.</w:t>
      </w:r>
    </w:p>
    <w:p>
      <w:pPr>
        <w:pStyle w:val="BodyText"/>
        <w:spacing w:line="276" w:lineRule="auto" w:before="240"/>
        <w:ind w:left="463" w:right="281"/>
        <w:jc w:val="both"/>
      </w:pPr>
      <w:r>
        <w:rPr/>
        <w:t>Expanding</w:t>
      </w:r>
      <w:r>
        <w:rPr>
          <w:spacing w:val="-2"/>
        </w:rPr>
        <w:t> </w:t>
      </w:r>
      <w:r>
        <w:rPr/>
        <w:t>on</w:t>
      </w:r>
      <w:r>
        <w:rPr>
          <w:spacing w:val="-2"/>
        </w:rPr>
        <w:t> </w:t>
      </w:r>
      <w:r>
        <w:rPr/>
        <w:t>the</w:t>
      </w:r>
      <w:r>
        <w:rPr>
          <w:spacing w:val="-2"/>
        </w:rPr>
        <w:t> </w:t>
      </w:r>
      <w:r>
        <w:rPr/>
        <w:t>above</w:t>
      </w:r>
      <w:r>
        <w:rPr>
          <w:spacing w:val="-3"/>
        </w:rPr>
        <w:t> </w:t>
      </w:r>
      <w:r>
        <w:rPr/>
        <w:t>recommendation,</w:t>
      </w:r>
      <w:r>
        <w:rPr>
          <w:spacing w:val="-3"/>
        </w:rPr>
        <w:t> </w:t>
      </w:r>
      <w:r>
        <w:rPr/>
        <w:t>the</w:t>
      </w:r>
      <w:r>
        <w:rPr>
          <w:spacing w:val="-2"/>
        </w:rPr>
        <w:t> </w:t>
      </w:r>
      <w:r>
        <w:rPr/>
        <w:t>Commission</w:t>
      </w:r>
      <w:r>
        <w:rPr>
          <w:spacing w:val="-3"/>
        </w:rPr>
        <w:t> </w:t>
      </w:r>
      <w:r>
        <w:rPr/>
        <w:t>further</w:t>
      </w:r>
      <w:r>
        <w:rPr>
          <w:spacing w:val="-3"/>
        </w:rPr>
        <w:t> </w:t>
      </w:r>
      <w:r>
        <w:rPr/>
        <w:t>recommends</w:t>
      </w:r>
      <w:r>
        <w:rPr>
          <w:spacing w:val="-2"/>
        </w:rPr>
        <w:t> </w:t>
      </w:r>
      <w:r>
        <w:rPr/>
        <w:t>that</w:t>
      </w:r>
      <w:r>
        <w:rPr>
          <w:spacing w:val="-2"/>
        </w:rPr>
        <w:t> </w:t>
      </w:r>
      <w:r>
        <w:rPr/>
        <w:t>the</w:t>
      </w:r>
      <w:r>
        <w:rPr>
          <w:spacing w:val="-3"/>
        </w:rPr>
        <w:t> </w:t>
      </w:r>
      <w:r>
        <w:rPr/>
        <w:t>State</w:t>
      </w:r>
      <w:r>
        <w:rPr>
          <w:spacing w:val="-3"/>
        </w:rPr>
        <w:t> </w:t>
      </w:r>
      <w:r>
        <w:rPr/>
        <w:t>creates</w:t>
      </w:r>
      <w:r>
        <w:rPr>
          <w:spacing w:val="-1"/>
        </w:rPr>
        <w:t> </w:t>
      </w:r>
      <w:r>
        <w:rPr/>
        <w:t>a strategic plan to create more opportunities to support and educate youth and their caregivers involved with</w:t>
      </w:r>
      <w:r>
        <w:rPr>
          <w:spacing w:val="-11"/>
        </w:rPr>
        <w:t> </w:t>
      </w:r>
      <w:r>
        <w:rPr/>
        <w:t>the</w:t>
      </w:r>
      <w:r>
        <w:rPr>
          <w:spacing w:val="-11"/>
        </w:rPr>
        <w:t> </w:t>
      </w:r>
      <w:r>
        <w:rPr/>
        <w:t>child</w:t>
      </w:r>
      <w:r>
        <w:rPr>
          <w:spacing w:val="-11"/>
        </w:rPr>
        <w:t> </w:t>
      </w:r>
      <w:r>
        <w:rPr/>
        <w:t>welfare</w:t>
      </w:r>
      <w:r>
        <w:rPr>
          <w:spacing w:val="-12"/>
        </w:rPr>
        <w:t> </w:t>
      </w:r>
      <w:r>
        <w:rPr/>
        <w:t>system.</w:t>
      </w:r>
      <w:r>
        <w:rPr>
          <w:spacing w:val="-13"/>
        </w:rPr>
        <w:t> </w:t>
      </w:r>
      <w:r>
        <w:rPr/>
        <w:t>Family</w:t>
      </w:r>
      <w:r>
        <w:rPr>
          <w:spacing w:val="-10"/>
        </w:rPr>
        <w:t> </w:t>
      </w:r>
      <w:r>
        <w:rPr/>
        <w:t>preservation</w:t>
      </w:r>
      <w:r>
        <w:rPr>
          <w:spacing w:val="-12"/>
        </w:rPr>
        <w:t> </w:t>
      </w:r>
      <w:r>
        <w:rPr/>
        <w:t>is</w:t>
      </w:r>
      <w:r>
        <w:rPr>
          <w:spacing w:val="-12"/>
        </w:rPr>
        <w:t> </w:t>
      </w:r>
      <w:r>
        <w:rPr/>
        <w:t>an</w:t>
      </w:r>
      <w:r>
        <w:rPr>
          <w:spacing w:val="-13"/>
        </w:rPr>
        <w:t> </w:t>
      </w:r>
      <w:r>
        <w:rPr/>
        <w:t>integral</w:t>
      </w:r>
      <w:r>
        <w:rPr>
          <w:spacing w:val="-10"/>
        </w:rPr>
        <w:t> </w:t>
      </w:r>
      <w:r>
        <w:rPr/>
        <w:t>component</w:t>
      </w:r>
      <w:r>
        <w:rPr>
          <w:spacing w:val="-12"/>
        </w:rPr>
        <w:t> </w:t>
      </w:r>
      <w:r>
        <w:rPr/>
        <w:t>to</w:t>
      </w:r>
      <w:r>
        <w:rPr>
          <w:spacing w:val="-12"/>
        </w:rPr>
        <w:t> </w:t>
      </w:r>
      <w:r>
        <w:rPr/>
        <w:t>ensuring</w:t>
      </w:r>
      <w:r>
        <w:rPr>
          <w:spacing w:val="-11"/>
        </w:rPr>
        <w:t> </w:t>
      </w:r>
      <w:r>
        <w:rPr/>
        <w:t>that</w:t>
      </w:r>
      <w:r>
        <w:rPr>
          <w:spacing w:val="-12"/>
        </w:rPr>
        <w:t> </w:t>
      </w:r>
      <w:r>
        <w:rPr/>
        <w:t>LGBTQ</w:t>
      </w:r>
      <w:r>
        <w:rPr>
          <w:spacing w:val="-11"/>
        </w:rPr>
        <w:t> </w:t>
      </w:r>
      <w:r>
        <w:rPr/>
        <w:t>youth thrive</w:t>
      </w:r>
      <w:r>
        <w:rPr>
          <w:spacing w:val="-9"/>
        </w:rPr>
        <w:t> </w:t>
      </w:r>
      <w:r>
        <w:rPr/>
        <w:t>in</w:t>
      </w:r>
      <w:r>
        <w:rPr>
          <w:spacing w:val="-9"/>
        </w:rPr>
        <w:t> </w:t>
      </w:r>
      <w:r>
        <w:rPr/>
        <w:t>the</w:t>
      </w:r>
      <w:r>
        <w:rPr>
          <w:spacing w:val="-8"/>
        </w:rPr>
        <w:t> </w:t>
      </w:r>
      <w:r>
        <w:rPr/>
        <w:t>Commonwealth,</w:t>
      </w:r>
      <w:r>
        <w:rPr>
          <w:spacing w:val="-8"/>
        </w:rPr>
        <w:t> </w:t>
      </w:r>
      <w:r>
        <w:rPr/>
        <w:t>yet</w:t>
      </w:r>
      <w:r>
        <w:rPr>
          <w:spacing w:val="-9"/>
        </w:rPr>
        <w:t> </w:t>
      </w:r>
      <w:r>
        <w:rPr/>
        <w:t>very</w:t>
      </w:r>
      <w:r>
        <w:rPr>
          <w:spacing w:val="-9"/>
        </w:rPr>
        <w:t> </w:t>
      </w:r>
      <w:r>
        <w:rPr/>
        <w:t>few</w:t>
      </w:r>
      <w:r>
        <w:rPr>
          <w:spacing w:val="-9"/>
        </w:rPr>
        <w:t> </w:t>
      </w:r>
      <w:r>
        <w:rPr/>
        <w:t>LGBTQ-affirming</w:t>
      </w:r>
      <w:r>
        <w:rPr>
          <w:spacing w:val="-8"/>
        </w:rPr>
        <w:t> </w:t>
      </w:r>
      <w:r>
        <w:rPr/>
        <w:t>resources</w:t>
      </w:r>
      <w:r>
        <w:rPr>
          <w:spacing w:val="-8"/>
        </w:rPr>
        <w:t> </w:t>
      </w:r>
      <w:r>
        <w:rPr/>
        <w:t>currently</w:t>
      </w:r>
      <w:r>
        <w:rPr>
          <w:spacing w:val="-7"/>
        </w:rPr>
        <w:t> </w:t>
      </w:r>
      <w:r>
        <w:rPr/>
        <w:t>exist</w:t>
      </w:r>
      <w:r>
        <w:rPr>
          <w:spacing w:val="-8"/>
        </w:rPr>
        <w:t> </w:t>
      </w:r>
      <w:r>
        <w:rPr/>
        <w:t>to</w:t>
      </w:r>
      <w:r>
        <w:rPr>
          <w:spacing w:val="-8"/>
        </w:rPr>
        <w:t> </w:t>
      </w:r>
      <w:r>
        <w:rPr/>
        <w:t>support</w:t>
      </w:r>
      <w:r>
        <w:rPr>
          <w:spacing w:val="-9"/>
        </w:rPr>
        <w:t> </w:t>
      </w:r>
      <w:r>
        <w:rPr/>
        <w:t>caregiver </w:t>
      </w:r>
      <w:r>
        <w:rPr>
          <w:spacing w:val="-2"/>
        </w:rPr>
        <w:t>education.</w:t>
      </w:r>
    </w:p>
    <w:p>
      <w:pPr>
        <w:pStyle w:val="BodyText"/>
        <w:spacing w:line="276" w:lineRule="auto" w:before="240"/>
        <w:ind w:left="463" w:right="283"/>
        <w:jc w:val="both"/>
      </w:pPr>
      <w:r>
        <w:rPr/>
        <w:t>Furthermore, far too many youths involved with the child welfare system are not given the resources needed</w:t>
      </w:r>
      <w:r>
        <w:rPr>
          <w:spacing w:val="-5"/>
        </w:rPr>
        <w:t> </w:t>
      </w:r>
      <w:r>
        <w:rPr/>
        <w:t>to</w:t>
      </w:r>
      <w:r>
        <w:rPr>
          <w:spacing w:val="-5"/>
        </w:rPr>
        <w:t> </w:t>
      </w:r>
      <w:r>
        <w:rPr/>
        <w:t>understand</w:t>
      </w:r>
      <w:r>
        <w:rPr>
          <w:spacing w:val="-4"/>
        </w:rPr>
        <w:t> </w:t>
      </w:r>
      <w:r>
        <w:rPr/>
        <w:t>their</w:t>
      </w:r>
      <w:r>
        <w:rPr>
          <w:spacing w:val="-5"/>
        </w:rPr>
        <w:t> </w:t>
      </w:r>
      <w:r>
        <w:rPr/>
        <w:t>rights,</w:t>
      </w:r>
      <w:r>
        <w:rPr>
          <w:spacing w:val="-5"/>
        </w:rPr>
        <w:t> </w:t>
      </w:r>
      <w:r>
        <w:rPr/>
        <w:t>nor</w:t>
      </w:r>
      <w:r>
        <w:rPr>
          <w:spacing w:val="-5"/>
        </w:rPr>
        <w:t> </w:t>
      </w:r>
      <w:r>
        <w:rPr/>
        <w:t>is</w:t>
      </w:r>
      <w:r>
        <w:rPr>
          <w:spacing w:val="-3"/>
        </w:rPr>
        <w:t> </w:t>
      </w:r>
      <w:r>
        <w:rPr/>
        <w:t>there</w:t>
      </w:r>
      <w:r>
        <w:rPr>
          <w:spacing w:val="-4"/>
        </w:rPr>
        <w:t> </w:t>
      </w:r>
      <w:r>
        <w:rPr/>
        <w:t>an</w:t>
      </w:r>
      <w:r>
        <w:rPr>
          <w:spacing w:val="-5"/>
        </w:rPr>
        <w:t> </w:t>
      </w:r>
      <w:r>
        <w:rPr/>
        <w:t>accessible</w:t>
      </w:r>
      <w:r>
        <w:rPr>
          <w:spacing w:val="-5"/>
        </w:rPr>
        <w:t> </w:t>
      </w:r>
      <w:r>
        <w:rPr/>
        <w:t>process</w:t>
      </w:r>
      <w:r>
        <w:rPr>
          <w:spacing w:val="-5"/>
        </w:rPr>
        <w:t> </w:t>
      </w:r>
      <w:r>
        <w:rPr/>
        <w:t>of</w:t>
      </w:r>
      <w:r>
        <w:rPr>
          <w:spacing w:val="-5"/>
        </w:rPr>
        <w:t> </w:t>
      </w:r>
      <w:r>
        <w:rPr/>
        <w:t>accountability</w:t>
      </w:r>
      <w:r>
        <w:rPr>
          <w:spacing w:val="-5"/>
        </w:rPr>
        <w:t> </w:t>
      </w:r>
      <w:r>
        <w:rPr/>
        <w:t>to</w:t>
      </w:r>
      <w:r>
        <w:rPr>
          <w:spacing w:val="-3"/>
        </w:rPr>
        <w:t> </w:t>
      </w:r>
      <w:r>
        <w:rPr/>
        <w:t>ensure</w:t>
      </w:r>
      <w:r>
        <w:rPr>
          <w:spacing w:val="-5"/>
        </w:rPr>
        <w:t> </w:t>
      </w:r>
      <w:r>
        <w:rPr/>
        <w:t>that</w:t>
      </w:r>
      <w:r>
        <w:rPr>
          <w:spacing w:val="-5"/>
        </w:rPr>
        <w:t> </w:t>
      </w:r>
      <w:r>
        <w:rPr/>
        <w:t>DCF is</w:t>
      </w:r>
      <w:r>
        <w:rPr>
          <w:spacing w:val="-13"/>
        </w:rPr>
        <w:t> </w:t>
      </w:r>
      <w:r>
        <w:rPr/>
        <w:t>appropriately</w:t>
      </w:r>
      <w:r>
        <w:rPr>
          <w:spacing w:val="-12"/>
        </w:rPr>
        <w:t> </w:t>
      </w:r>
      <w:r>
        <w:rPr/>
        <w:t>preparing</w:t>
      </w:r>
      <w:r>
        <w:rPr>
          <w:spacing w:val="-13"/>
        </w:rPr>
        <w:t> </w:t>
      </w:r>
      <w:r>
        <w:rPr/>
        <w:t>youth</w:t>
      </w:r>
      <w:r>
        <w:rPr>
          <w:spacing w:val="-12"/>
        </w:rPr>
        <w:t> </w:t>
      </w:r>
      <w:r>
        <w:rPr/>
        <w:t>to</w:t>
      </w:r>
      <w:r>
        <w:rPr>
          <w:spacing w:val="-13"/>
        </w:rPr>
        <w:t> </w:t>
      </w:r>
      <w:r>
        <w:rPr/>
        <w:t>transition</w:t>
      </w:r>
      <w:r>
        <w:rPr>
          <w:spacing w:val="-12"/>
        </w:rPr>
        <w:t> </w:t>
      </w:r>
      <w:r>
        <w:rPr/>
        <w:t>out</w:t>
      </w:r>
      <w:r>
        <w:rPr>
          <w:spacing w:val="-13"/>
        </w:rPr>
        <w:t> </w:t>
      </w:r>
      <w:r>
        <w:rPr/>
        <w:t>of</w:t>
      </w:r>
      <w:r>
        <w:rPr>
          <w:spacing w:val="-12"/>
        </w:rPr>
        <w:t> </w:t>
      </w:r>
      <w:r>
        <w:rPr/>
        <w:t>care.</w:t>
      </w:r>
      <w:r>
        <w:rPr>
          <w:spacing w:val="-12"/>
        </w:rPr>
        <w:t> </w:t>
      </w:r>
      <w:r>
        <w:rPr/>
        <w:t>The</w:t>
      </w:r>
      <w:r>
        <w:rPr>
          <w:spacing w:val="-13"/>
        </w:rPr>
        <w:t> </w:t>
      </w:r>
      <w:r>
        <w:rPr/>
        <w:t>Commission</w:t>
      </w:r>
      <w:r>
        <w:rPr>
          <w:spacing w:val="-12"/>
        </w:rPr>
        <w:t> </w:t>
      </w:r>
      <w:r>
        <w:rPr/>
        <w:t>recommends</w:t>
      </w:r>
      <w:r>
        <w:rPr>
          <w:spacing w:val="-11"/>
        </w:rPr>
        <w:t> </w:t>
      </w:r>
      <w:r>
        <w:rPr/>
        <w:t>that</w:t>
      </w:r>
      <w:r>
        <w:rPr>
          <w:spacing w:val="-12"/>
        </w:rPr>
        <w:t> </w:t>
      </w:r>
      <w:r>
        <w:rPr/>
        <w:t>stakeholders</w:t>
      </w:r>
    </w:p>
    <w:p>
      <w:pPr>
        <w:spacing w:after="0" w:line="276" w:lineRule="auto"/>
        <w:jc w:val="both"/>
        <w:sectPr>
          <w:pgSz w:w="12240" w:h="15840"/>
          <w:pgMar w:header="804" w:footer="1263" w:top="1000" w:bottom="1460" w:left="980" w:right="1160"/>
        </w:sectPr>
      </w:pPr>
    </w:p>
    <w:p>
      <w:pPr>
        <w:pStyle w:val="BodyText"/>
        <w:spacing w:line="276" w:lineRule="auto" w:before="139"/>
        <w:ind w:left="463" w:right="280"/>
        <w:jc w:val="both"/>
      </w:pPr>
      <w:r>
        <w:rPr/>
        <w:t>look</w:t>
      </w:r>
      <w:r>
        <w:rPr>
          <w:spacing w:val="-3"/>
        </w:rPr>
        <w:t> </w:t>
      </w:r>
      <w:r>
        <w:rPr/>
        <w:t>into</w:t>
      </w:r>
      <w:r>
        <w:rPr>
          <w:spacing w:val="-2"/>
        </w:rPr>
        <w:t> </w:t>
      </w:r>
      <w:r>
        <w:rPr/>
        <w:t>how</w:t>
      </w:r>
      <w:r>
        <w:rPr>
          <w:spacing w:val="-2"/>
        </w:rPr>
        <w:t> </w:t>
      </w:r>
      <w:r>
        <w:rPr/>
        <w:t>the</w:t>
      </w:r>
      <w:r>
        <w:rPr>
          <w:spacing w:val="-3"/>
        </w:rPr>
        <w:t> </w:t>
      </w:r>
      <w:r>
        <w:rPr/>
        <w:t>State</w:t>
      </w:r>
      <w:r>
        <w:rPr>
          <w:spacing w:val="-2"/>
        </w:rPr>
        <w:t> </w:t>
      </w:r>
      <w:r>
        <w:rPr/>
        <w:t>might</w:t>
      </w:r>
      <w:r>
        <w:rPr>
          <w:spacing w:val="-3"/>
        </w:rPr>
        <w:t> </w:t>
      </w:r>
      <w:r>
        <w:rPr/>
        <w:t>provide</w:t>
      </w:r>
      <w:r>
        <w:rPr>
          <w:spacing w:val="-1"/>
        </w:rPr>
        <w:t> </w:t>
      </w:r>
      <w:r>
        <w:rPr/>
        <w:t>more</w:t>
      </w:r>
      <w:r>
        <w:rPr>
          <w:spacing w:val="-3"/>
        </w:rPr>
        <w:t> </w:t>
      </w:r>
      <w:r>
        <w:rPr/>
        <w:t>support</w:t>
      </w:r>
      <w:r>
        <w:rPr>
          <w:spacing w:val="-2"/>
        </w:rPr>
        <w:t> </w:t>
      </w:r>
      <w:r>
        <w:rPr/>
        <w:t>for</w:t>
      </w:r>
      <w:r>
        <w:rPr>
          <w:spacing w:val="-3"/>
        </w:rPr>
        <w:t> </w:t>
      </w:r>
      <w:r>
        <w:rPr/>
        <w:t>youth,</w:t>
      </w:r>
      <w:r>
        <w:rPr>
          <w:spacing w:val="-3"/>
        </w:rPr>
        <w:t> </w:t>
      </w:r>
      <w:r>
        <w:rPr/>
        <w:t>including</w:t>
      </w:r>
      <w:r>
        <w:rPr>
          <w:spacing w:val="-3"/>
        </w:rPr>
        <w:t> </w:t>
      </w:r>
      <w:r>
        <w:rPr/>
        <w:t>the</w:t>
      </w:r>
      <w:r>
        <w:rPr>
          <w:spacing w:val="-3"/>
        </w:rPr>
        <w:t> </w:t>
      </w:r>
      <w:r>
        <w:rPr/>
        <w:t>development</w:t>
      </w:r>
      <w:r>
        <w:rPr>
          <w:spacing w:val="-2"/>
        </w:rPr>
        <w:t> </w:t>
      </w:r>
      <w:r>
        <w:rPr/>
        <w:t>of</w:t>
      </w:r>
      <w:r>
        <w:rPr>
          <w:spacing w:val="-3"/>
        </w:rPr>
        <w:t> </w:t>
      </w:r>
      <w:r>
        <w:rPr/>
        <w:t>an</w:t>
      </w:r>
      <w:r>
        <w:rPr>
          <w:spacing w:val="-3"/>
        </w:rPr>
        <w:t> </w:t>
      </w:r>
      <w:r>
        <w:rPr/>
        <w:t>app</w:t>
      </w:r>
      <w:r>
        <w:rPr>
          <w:spacing w:val="-3"/>
        </w:rPr>
        <w:t> </w:t>
      </w:r>
      <w:r>
        <w:rPr/>
        <w:t>that allows young people to better track any requests made to DCF, provide easily accessible information on DCF policies, and access to resources they have through DCF.</w:t>
      </w:r>
    </w:p>
    <w:p>
      <w:pPr>
        <w:numPr>
          <w:ilvl w:val="0"/>
          <w:numId w:val="15"/>
        </w:numPr>
        <w:tabs>
          <w:tab w:pos="461" w:val="left" w:leader="none"/>
        </w:tabs>
        <w:spacing w:before="239"/>
        <w:ind w:left="461" w:right="0" w:hanging="358"/>
        <w:jc w:val="left"/>
        <w:rPr>
          <w:b/>
          <w:sz w:val="22"/>
        </w:rPr>
      </w:pPr>
      <w:r>
        <w:rPr>
          <w:b/>
          <w:sz w:val="22"/>
        </w:rPr>
        <w:t>Review</w:t>
      </w:r>
      <w:r>
        <w:rPr>
          <w:b/>
          <w:spacing w:val="-10"/>
          <w:sz w:val="22"/>
        </w:rPr>
        <w:t> </w:t>
      </w:r>
      <w:r>
        <w:rPr>
          <w:b/>
          <w:sz w:val="22"/>
        </w:rPr>
        <w:t>and</w:t>
      </w:r>
      <w:r>
        <w:rPr>
          <w:b/>
          <w:spacing w:val="-9"/>
          <w:sz w:val="22"/>
        </w:rPr>
        <w:t> </w:t>
      </w:r>
      <w:r>
        <w:rPr>
          <w:b/>
          <w:sz w:val="22"/>
        </w:rPr>
        <w:t>update</w:t>
      </w:r>
      <w:r>
        <w:rPr>
          <w:b/>
          <w:spacing w:val="-9"/>
          <w:sz w:val="22"/>
        </w:rPr>
        <w:t> </w:t>
      </w:r>
      <w:r>
        <w:rPr>
          <w:b/>
          <w:sz w:val="22"/>
        </w:rPr>
        <w:t>quality</w:t>
      </w:r>
      <w:r>
        <w:rPr>
          <w:b/>
          <w:spacing w:val="-10"/>
          <w:sz w:val="22"/>
        </w:rPr>
        <w:t> </w:t>
      </w:r>
      <w:r>
        <w:rPr>
          <w:b/>
          <w:sz w:val="22"/>
        </w:rPr>
        <w:t>assurance</w:t>
      </w:r>
      <w:r>
        <w:rPr>
          <w:b/>
          <w:spacing w:val="-9"/>
          <w:sz w:val="22"/>
        </w:rPr>
        <w:t> </w:t>
      </w:r>
      <w:r>
        <w:rPr>
          <w:b/>
          <w:sz w:val="22"/>
        </w:rPr>
        <w:t>and</w:t>
      </w:r>
      <w:r>
        <w:rPr>
          <w:b/>
          <w:spacing w:val="-9"/>
          <w:sz w:val="22"/>
        </w:rPr>
        <w:t> </w:t>
      </w:r>
      <w:r>
        <w:rPr>
          <w:b/>
          <w:sz w:val="22"/>
        </w:rPr>
        <w:t>improvement</w:t>
      </w:r>
      <w:r>
        <w:rPr>
          <w:b/>
          <w:spacing w:val="-9"/>
          <w:sz w:val="22"/>
        </w:rPr>
        <w:t> </w:t>
      </w:r>
      <w:r>
        <w:rPr>
          <w:b/>
          <w:spacing w:val="-2"/>
          <w:sz w:val="22"/>
        </w:rPr>
        <w:t>procedures.</w:t>
      </w:r>
    </w:p>
    <w:p>
      <w:pPr>
        <w:pStyle w:val="BodyText"/>
        <w:spacing w:before="11"/>
        <w:rPr>
          <w:b/>
        </w:rPr>
      </w:pPr>
    </w:p>
    <w:p>
      <w:pPr>
        <w:pStyle w:val="BodyText"/>
        <w:spacing w:line="276" w:lineRule="auto" w:before="1"/>
        <w:ind w:left="463" w:right="282"/>
        <w:jc w:val="both"/>
      </w:pPr>
      <w:r>
        <w:rPr/>
        <w:t>In</w:t>
      </w:r>
      <w:r>
        <w:rPr>
          <w:spacing w:val="-6"/>
        </w:rPr>
        <w:t> </w:t>
      </w:r>
      <w:r>
        <w:rPr/>
        <w:t>many</w:t>
      </w:r>
      <w:r>
        <w:rPr>
          <w:spacing w:val="-5"/>
        </w:rPr>
        <w:t> </w:t>
      </w:r>
      <w:r>
        <w:rPr/>
        <w:t>of</w:t>
      </w:r>
      <w:r>
        <w:rPr>
          <w:spacing w:val="-6"/>
        </w:rPr>
        <w:t> </w:t>
      </w:r>
      <w:r>
        <w:rPr/>
        <w:t>the</w:t>
      </w:r>
      <w:r>
        <w:rPr>
          <w:spacing w:val="-5"/>
        </w:rPr>
        <w:t> </w:t>
      </w:r>
      <w:r>
        <w:rPr/>
        <w:t>conversations</w:t>
      </w:r>
      <w:r>
        <w:rPr>
          <w:spacing w:val="-6"/>
        </w:rPr>
        <w:t> </w:t>
      </w:r>
      <w:r>
        <w:rPr/>
        <w:t>that</w:t>
      </w:r>
      <w:r>
        <w:rPr>
          <w:spacing w:val="-6"/>
        </w:rPr>
        <w:t> </w:t>
      </w:r>
      <w:r>
        <w:rPr/>
        <w:t>the</w:t>
      </w:r>
      <w:r>
        <w:rPr>
          <w:spacing w:val="-5"/>
        </w:rPr>
        <w:t> </w:t>
      </w:r>
      <w:r>
        <w:rPr/>
        <w:t>Commission</w:t>
      </w:r>
      <w:r>
        <w:rPr>
          <w:spacing w:val="-7"/>
        </w:rPr>
        <w:t> </w:t>
      </w:r>
      <w:r>
        <w:rPr/>
        <w:t>engages</w:t>
      </w:r>
      <w:r>
        <w:rPr>
          <w:spacing w:val="-6"/>
        </w:rPr>
        <w:t> </w:t>
      </w:r>
      <w:r>
        <w:rPr/>
        <w:t>in</w:t>
      </w:r>
      <w:r>
        <w:rPr>
          <w:spacing w:val="-6"/>
        </w:rPr>
        <w:t> </w:t>
      </w:r>
      <w:r>
        <w:rPr/>
        <w:t>with</w:t>
      </w:r>
      <w:r>
        <w:rPr>
          <w:spacing w:val="-7"/>
        </w:rPr>
        <w:t> </w:t>
      </w:r>
      <w:r>
        <w:rPr/>
        <w:t>state</w:t>
      </w:r>
      <w:r>
        <w:rPr>
          <w:spacing w:val="-7"/>
        </w:rPr>
        <w:t> </w:t>
      </w:r>
      <w:r>
        <w:rPr/>
        <w:t>agencies</w:t>
      </w:r>
      <w:r>
        <w:rPr>
          <w:spacing w:val="-6"/>
        </w:rPr>
        <w:t> </w:t>
      </w:r>
      <w:r>
        <w:rPr/>
        <w:t>as</w:t>
      </w:r>
      <w:r>
        <w:rPr>
          <w:spacing w:val="-6"/>
        </w:rPr>
        <w:t> </w:t>
      </w:r>
      <w:r>
        <w:rPr/>
        <w:t>it</w:t>
      </w:r>
      <w:r>
        <w:rPr>
          <w:spacing w:val="-7"/>
        </w:rPr>
        <w:t> </w:t>
      </w:r>
      <w:r>
        <w:rPr/>
        <w:t>relates</w:t>
      </w:r>
      <w:r>
        <w:rPr>
          <w:spacing w:val="-6"/>
        </w:rPr>
        <w:t> </w:t>
      </w:r>
      <w:r>
        <w:rPr/>
        <w:t>to</w:t>
      </w:r>
      <w:r>
        <w:rPr>
          <w:spacing w:val="-5"/>
        </w:rPr>
        <w:t> </w:t>
      </w:r>
      <w:r>
        <w:rPr/>
        <w:t>trainings or accountability processes, agencies often note their inability to mandate trainings or hold their contracted providers accountable to providing LGBTQ-affirming services. However, many agencies have a system of quality assurance and improvement procedures to ensure that the providers they contract are providing the contracted services. Thus, the Commission recommends that all youth-serving state agencies examine how they already hold their contracted providers accountable to services that they must provide and see where updates could be made to increase accountability.</w:t>
      </w:r>
    </w:p>
    <w:p>
      <w:pPr>
        <w:numPr>
          <w:ilvl w:val="0"/>
          <w:numId w:val="15"/>
        </w:numPr>
        <w:tabs>
          <w:tab w:pos="461" w:val="left" w:leader="none"/>
        </w:tabs>
        <w:spacing w:before="240"/>
        <w:ind w:left="461" w:right="0" w:hanging="358"/>
        <w:jc w:val="left"/>
        <w:rPr>
          <w:b/>
          <w:sz w:val="22"/>
        </w:rPr>
      </w:pPr>
      <w:bookmarkStart w:name="7. Establish an independent foster care " w:id="90"/>
      <w:bookmarkEnd w:id="90"/>
      <w:r>
        <w:rPr>
          <w:b/>
          <w:sz w:val="22"/>
        </w:rPr>
        <w:t>E</w:t>
      </w:r>
      <w:r>
        <w:rPr>
          <w:b/>
          <w:sz w:val="22"/>
        </w:rPr>
        <w:t>stablish</w:t>
      </w:r>
      <w:r>
        <w:rPr>
          <w:b/>
          <w:spacing w:val="-9"/>
          <w:sz w:val="22"/>
        </w:rPr>
        <w:t> </w:t>
      </w:r>
      <w:r>
        <w:rPr>
          <w:b/>
          <w:sz w:val="22"/>
        </w:rPr>
        <w:t>an</w:t>
      </w:r>
      <w:r>
        <w:rPr>
          <w:b/>
          <w:spacing w:val="-9"/>
          <w:sz w:val="22"/>
        </w:rPr>
        <w:t> </w:t>
      </w:r>
      <w:r>
        <w:rPr>
          <w:b/>
          <w:sz w:val="22"/>
        </w:rPr>
        <w:t>independent</w:t>
      </w:r>
      <w:r>
        <w:rPr>
          <w:b/>
          <w:spacing w:val="-8"/>
          <w:sz w:val="22"/>
        </w:rPr>
        <w:t> </w:t>
      </w:r>
      <w:r>
        <w:rPr>
          <w:b/>
          <w:sz w:val="22"/>
        </w:rPr>
        <w:t>foster</w:t>
      </w:r>
      <w:r>
        <w:rPr>
          <w:b/>
          <w:spacing w:val="-9"/>
          <w:sz w:val="22"/>
        </w:rPr>
        <w:t> </w:t>
      </w:r>
      <w:r>
        <w:rPr>
          <w:b/>
          <w:sz w:val="22"/>
        </w:rPr>
        <w:t>care</w:t>
      </w:r>
      <w:r>
        <w:rPr>
          <w:b/>
          <w:spacing w:val="-8"/>
          <w:sz w:val="22"/>
        </w:rPr>
        <w:t> </w:t>
      </w:r>
      <w:r>
        <w:rPr>
          <w:b/>
          <w:sz w:val="22"/>
        </w:rPr>
        <w:t>review</w:t>
      </w:r>
      <w:r>
        <w:rPr>
          <w:b/>
          <w:spacing w:val="-8"/>
          <w:sz w:val="22"/>
        </w:rPr>
        <w:t> </w:t>
      </w:r>
      <w:r>
        <w:rPr>
          <w:b/>
          <w:spacing w:val="-2"/>
          <w:sz w:val="22"/>
        </w:rPr>
        <w:t>office.</w:t>
      </w:r>
    </w:p>
    <w:p>
      <w:pPr>
        <w:pStyle w:val="BodyText"/>
        <w:spacing w:before="11"/>
        <w:rPr>
          <w:b/>
        </w:rPr>
      </w:pPr>
    </w:p>
    <w:p>
      <w:pPr>
        <w:pStyle w:val="BodyText"/>
        <w:spacing w:line="276" w:lineRule="auto" w:before="1"/>
        <w:ind w:left="463" w:right="281" w:hanging="1"/>
        <w:jc w:val="both"/>
      </w:pPr>
      <w:r>
        <w:rPr/>
        <w:t>The</w:t>
      </w:r>
      <w:r>
        <w:rPr>
          <w:spacing w:val="-2"/>
        </w:rPr>
        <w:t> </w:t>
      </w:r>
      <w:r>
        <w:rPr/>
        <w:t>Commission</w:t>
      </w:r>
      <w:r>
        <w:rPr>
          <w:spacing w:val="-2"/>
        </w:rPr>
        <w:t> </w:t>
      </w:r>
      <w:r>
        <w:rPr/>
        <w:t>supports and</w:t>
      </w:r>
      <w:r>
        <w:rPr>
          <w:spacing w:val="-2"/>
        </w:rPr>
        <w:t> </w:t>
      </w:r>
      <w:r>
        <w:rPr/>
        <w:t>prioritizes</w:t>
      </w:r>
      <w:r>
        <w:rPr>
          <w:spacing w:val="-1"/>
        </w:rPr>
        <w:t> </w:t>
      </w:r>
      <w:r>
        <w:rPr/>
        <w:t>the</w:t>
      </w:r>
      <w:r>
        <w:rPr>
          <w:spacing w:val="-2"/>
        </w:rPr>
        <w:t> </w:t>
      </w:r>
      <w:r>
        <w:rPr/>
        <w:t>creation</w:t>
      </w:r>
      <w:r>
        <w:rPr>
          <w:spacing w:val="-1"/>
        </w:rPr>
        <w:t> </w:t>
      </w:r>
      <w:r>
        <w:rPr/>
        <w:t>of</w:t>
      </w:r>
      <w:r>
        <w:rPr>
          <w:spacing w:val="-2"/>
        </w:rPr>
        <w:t> </w:t>
      </w:r>
      <w:r>
        <w:rPr/>
        <w:t>an</w:t>
      </w:r>
      <w:r>
        <w:rPr>
          <w:spacing w:val="-2"/>
        </w:rPr>
        <w:t> </w:t>
      </w:r>
      <w:r>
        <w:rPr/>
        <w:t>independent</w:t>
      </w:r>
      <w:r>
        <w:rPr>
          <w:spacing w:val="-2"/>
        </w:rPr>
        <w:t> </w:t>
      </w:r>
      <w:r>
        <w:rPr/>
        <w:t>foster care</w:t>
      </w:r>
      <w:r>
        <w:rPr>
          <w:spacing w:val="-2"/>
        </w:rPr>
        <w:t> </w:t>
      </w:r>
      <w:r>
        <w:rPr/>
        <w:t>review</w:t>
      </w:r>
      <w:r>
        <w:rPr>
          <w:spacing w:val="-2"/>
        </w:rPr>
        <w:t> </w:t>
      </w:r>
      <w:r>
        <w:rPr/>
        <w:t>office</w:t>
      </w:r>
      <w:r>
        <w:rPr>
          <w:spacing w:val="-2"/>
        </w:rPr>
        <w:t> </w:t>
      </w:r>
      <w:r>
        <w:rPr>
          <w:b/>
        </w:rPr>
        <w:t>(</w:t>
      </w:r>
      <w:hyperlink r:id="rId53">
        <w:r>
          <w:rPr>
            <w:b/>
            <w:color w:val="1153CC"/>
            <w:u w:val="single" w:color="1153CC"/>
          </w:rPr>
          <w:t>S.66</w:t>
        </w:r>
      </w:hyperlink>
      <w:r>
        <w:rPr>
          <w:b/>
          <w:color w:val="1153CC"/>
          <w:spacing w:val="-3"/>
          <w:u w:val="none"/>
        </w:rPr>
        <w:t> </w:t>
      </w:r>
      <w:r>
        <w:rPr>
          <w:b/>
          <w:u w:val="none"/>
        </w:rPr>
        <w:t>/ </w:t>
      </w:r>
      <w:hyperlink r:id="rId54">
        <w:r>
          <w:rPr>
            <w:b/>
            <w:color w:val="1153CC"/>
            <w:u w:val="single" w:color="1153CC"/>
          </w:rPr>
          <w:t>H.158</w:t>
        </w:r>
      </w:hyperlink>
      <w:r>
        <w:rPr>
          <w:b/>
          <w:u w:val="none"/>
        </w:rPr>
        <w:t>)</w:t>
      </w:r>
      <w:r>
        <w:rPr>
          <w:b/>
          <w:spacing w:val="-5"/>
          <w:u w:val="none"/>
        </w:rPr>
        <w:t> </w:t>
      </w:r>
      <w:r>
        <w:rPr>
          <w:u w:val="none"/>
        </w:rPr>
        <w:t>outside</w:t>
      </w:r>
      <w:r>
        <w:rPr>
          <w:spacing w:val="-6"/>
          <w:u w:val="none"/>
        </w:rPr>
        <w:t> </w:t>
      </w:r>
      <w:r>
        <w:rPr>
          <w:u w:val="none"/>
        </w:rPr>
        <w:t>the</w:t>
      </w:r>
      <w:r>
        <w:rPr>
          <w:spacing w:val="-6"/>
          <w:u w:val="none"/>
        </w:rPr>
        <w:t> </w:t>
      </w:r>
      <w:r>
        <w:rPr>
          <w:u w:val="none"/>
        </w:rPr>
        <w:t>Department</w:t>
      </w:r>
      <w:r>
        <w:rPr>
          <w:spacing w:val="-5"/>
          <w:u w:val="none"/>
        </w:rPr>
        <w:t> </w:t>
      </w:r>
      <w:r>
        <w:rPr>
          <w:u w:val="none"/>
        </w:rPr>
        <w:t>of</w:t>
      </w:r>
      <w:r>
        <w:rPr>
          <w:spacing w:val="-5"/>
          <w:u w:val="none"/>
        </w:rPr>
        <w:t> </w:t>
      </w:r>
      <w:r>
        <w:rPr>
          <w:u w:val="none"/>
        </w:rPr>
        <w:t>Children</w:t>
      </w:r>
      <w:r>
        <w:rPr>
          <w:spacing w:val="-6"/>
          <w:u w:val="none"/>
        </w:rPr>
        <w:t> </w:t>
      </w:r>
      <w:r>
        <w:rPr>
          <w:u w:val="none"/>
        </w:rPr>
        <w:t>&amp;</w:t>
      </w:r>
      <w:r>
        <w:rPr>
          <w:spacing w:val="-4"/>
          <w:u w:val="none"/>
        </w:rPr>
        <w:t> </w:t>
      </w:r>
      <w:r>
        <w:rPr>
          <w:u w:val="none"/>
        </w:rPr>
        <w:t>Families</w:t>
      </w:r>
      <w:r>
        <w:rPr>
          <w:spacing w:val="-5"/>
          <w:u w:val="none"/>
        </w:rPr>
        <w:t> </w:t>
      </w:r>
      <w:r>
        <w:rPr>
          <w:u w:val="none"/>
        </w:rPr>
        <w:t>to</w:t>
      </w:r>
      <w:r>
        <w:rPr>
          <w:spacing w:val="-5"/>
          <w:u w:val="none"/>
        </w:rPr>
        <w:t> </w:t>
      </w:r>
      <w:r>
        <w:rPr>
          <w:u w:val="none"/>
        </w:rPr>
        <w:t>ensure</w:t>
      </w:r>
      <w:r>
        <w:rPr>
          <w:spacing w:val="-4"/>
          <w:u w:val="none"/>
        </w:rPr>
        <w:t> </w:t>
      </w:r>
      <w:r>
        <w:rPr>
          <w:u w:val="none"/>
        </w:rPr>
        <w:t>that</w:t>
      </w:r>
      <w:r>
        <w:rPr>
          <w:spacing w:val="-6"/>
          <w:u w:val="none"/>
        </w:rPr>
        <w:t> </w:t>
      </w:r>
      <w:r>
        <w:rPr>
          <w:u w:val="none"/>
        </w:rPr>
        <w:t>all</w:t>
      </w:r>
      <w:r>
        <w:rPr>
          <w:spacing w:val="-4"/>
          <w:u w:val="none"/>
        </w:rPr>
        <w:t> </w:t>
      </w:r>
      <w:r>
        <w:rPr>
          <w:u w:val="none"/>
        </w:rPr>
        <w:t>cases</w:t>
      </w:r>
      <w:r>
        <w:rPr>
          <w:spacing w:val="-5"/>
          <w:u w:val="none"/>
        </w:rPr>
        <w:t> </w:t>
      </w:r>
      <w:r>
        <w:rPr>
          <w:u w:val="none"/>
        </w:rPr>
        <w:t>are</w:t>
      </w:r>
      <w:r>
        <w:rPr>
          <w:spacing w:val="-6"/>
          <w:u w:val="none"/>
        </w:rPr>
        <w:t> </w:t>
      </w:r>
      <w:r>
        <w:rPr>
          <w:u w:val="none"/>
        </w:rPr>
        <w:t>appropriately</w:t>
      </w:r>
      <w:r>
        <w:rPr>
          <w:spacing w:val="-5"/>
          <w:u w:val="none"/>
        </w:rPr>
        <w:t> </w:t>
      </w:r>
      <w:r>
        <w:rPr>
          <w:u w:val="none"/>
        </w:rPr>
        <w:t>receiving impartial</w:t>
      </w:r>
      <w:r>
        <w:rPr>
          <w:spacing w:val="-8"/>
          <w:u w:val="none"/>
        </w:rPr>
        <w:t> </w:t>
      </w:r>
      <w:r>
        <w:rPr>
          <w:u w:val="none"/>
        </w:rPr>
        <w:t>reviews.</w:t>
      </w:r>
      <w:r>
        <w:rPr>
          <w:spacing w:val="-8"/>
          <w:u w:val="none"/>
        </w:rPr>
        <w:t> </w:t>
      </w:r>
      <w:r>
        <w:rPr>
          <w:u w:val="none"/>
        </w:rPr>
        <w:t>Currently,</w:t>
      </w:r>
      <w:r>
        <w:rPr>
          <w:spacing w:val="-7"/>
          <w:u w:val="none"/>
        </w:rPr>
        <w:t> </w:t>
      </w:r>
      <w:r>
        <w:rPr>
          <w:u w:val="none"/>
        </w:rPr>
        <w:t>state</w:t>
      </w:r>
      <w:r>
        <w:rPr>
          <w:spacing w:val="-8"/>
          <w:u w:val="none"/>
        </w:rPr>
        <w:t> </w:t>
      </w:r>
      <w:r>
        <w:rPr>
          <w:u w:val="none"/>
        </w:rPr>
        <w:t>law</w:t>
      </w:r>
      <w:r>
        <w:rPr>
          <w:spacing w:val="-8"/>
          <w:u w:val="none"/>
        </w:rPr>
        <w:t> </w:t>
      </w:r>
      <w:r>
        <w:rPr>
          <w:u w:val="none"/>
        </w:rPr>
        <w:t>requires</w:t>
      </w:r>
      <w:r>
        <w:rPr>
          <w:spacing w:val="-7"/>
          <w:u w:val="none"/>
        </w:rPr>
        <w:t> </w:t>
      </w:r>
      <w:r>
        <w:rPr>
          <w:u w:val="none"/>
        </w:rPr>
        <w:t>that</w:t>
      </w:r>
      <w:r>
        <w:rPr>
          <w:spacing w:val="-8"/>
          <w:u w:val="none"/>
        </w:rPr>
        <w:t> </w:t>
      </w:r>
      <w:r>
        <w:rPr>
          <w:u w:val="none"/>
        </w:rPr>
        <w:t>a</w:t>
      </w:r>
      <w:r>
        <w:rPr>
          <w:spacing w:val="-6"/>
          <w:u w:val="none"/>
        </w:rPr>
        <w:t> </w:t>
      </w:r>
      <w:r>
        <w:rPr>
          <w:u w:val="none"/>
        </w:rPr>
        <w:t>review</w:t>
      </w:r>
      <w:r>
        <w:rPr>
          <w:spacing w:val="-8"/>
          <w:u w:val="none"/>
        </w:rPr>
        <w:t> </w:t>
      </w:r>
      <w:r>
        <w:rPr>
          <w:u w:val="none"/>
        </w:rPr>
        <w:t>of</w:t>
      </w:r>
      <w:r>
        <w:rPr>
          <w:spacing w:val="-8"/>
          <w:u w:val="none"/>
        </w:rPr>
        <w:t> </w:t>
      </w:r>
      <w:r>
        <w:rPr>
          <w:u w:val="none"/>
        </w:rPr>
        <w:t>all</w:t>
      </w:r>
      <w:r>
        <w:rPr>
          <w:spacing w:val="-8"/>
          <w:u w:val="none"/>
        </w:rPr>
        <w:t> </w:t>
      </w:r>
      <w:r>
        <w:rPr>
          <w:u w:val="none"/>
        </w:rPr>
        <w:t>DCF</w:t>
      </w:r>
      <w:r>
        <w:rPr>
          <w:spacing w:val="-8"/>
          <w:u w:val="none"/>
        </w:rPr>
        <w:t> </w:t>
      </w:r>
      <w:r>
        <w:rPr>
          <w:u w:val="none"/>
        </w:rPr>
        <w:t>cases</w:t>
      </w:r>
      <w:r>
        <w:rPr>
          <w:spacing w:val="-7"/>
          <w:u w:val="none"/>
        </w:rPr>
        <w:t> </w:t>
      </w:r>
      <w:r>
        <w:rPr>
          <w:u w:val="none"/>
        </w:rPr>
        <w:t>takes</w:t>
      </w:r>
      <w:r>
        <w:rPr>
          <w:spacing w:val="-7"/>
          <w:u w:val="none"/>
        </w:rPr>
        <w:t> </w:t>
      </w:r>
      <w:r>
        <w:rPr>
          <w:u w:val="none"/>
        </w:rPr>
        <w:t>place</w:t>
      </w:r>
      <w:r>
        <w:rPr>
          <w:spacing w:val="-8"/>
          <w:u w:val="none"/>
        </w:rPr>
        <w:t> </w:t>
      </w:r>
      <w:r>
        <w:rPr>
          <w:u w:val="none"/>
        </w:rPr>
        <w:t>every</w:t>
      </w:r>
      <w:r>
        <w:rPr>
          <w:spacing w:val="-8"/>
          <w:u w:val="none"/>
        </w:rPr>
        <w:t> </w:t>
      </w:r>
      <w:r>
        <w:rPr>
          <w:u w:val="none"/>
        </w:rPr>
        <w:t>six</w:t>
      </w:r>
      <w:r>
        <w:rPr>
          <w:spacing w:val="-8"/>
          <w:u w:val="none"/>
        </w:rPr>
        <w:t> </w:t>
      </w:r>
      <w:r>
        <w:rPr>
          <w:u w:val="none"/>
        </w:rPr>
        <w:t>months to ensure that every child is receiving appropriate care and services. However, these reviews take place within</w:t>
      </w:r>
      <w:r>
        <w:rPr>
          <w:spacing w:val="-13"/>
          <w:u w:val="none"/>
        </w:rPr>
        <w:t> </w:t>
      </w:r>
      <w:r>
        <w:rPr>
          <w:u w:val="none"/>
        </w:rPr>
        <w:t>DCF,</w:t>
      </w:r>
      <w:r>
        <w:rPr>
          <w:spacing w:val="-12"/>
          <w:u w:val="none"/>
        </w:rPr>
        <w:t> </w:t>
      </w:r>
      <w:r>
        <w:rPr>
          <w:u w:val="none"/>
        </w:rPr>
        <w:t>leaving</w:t>
      </w:r>
      <w:r>
        <w:rPr>
          <w:spacing w:val="-13"/>
          <w:u w:val="none"/>
        </w:rPr>
        <w:t> </w:t>
      </w:r>
      <w:r>
        <w:rPr>
          <w:u w:val="none"/>
        </w:rPr>
        <w:t>advocates</w:t>
      </w:r>
      <w:r>
        <w:rPr>
          <w:spacing w:val="-12"/>
          <w:u w:val="none"/>
        </w:rPr>
        <w:t> </w:t>
      </w:r>
      <w:r>
        <w:rPr>
          <w:u w:val="none"/>
        </w:rPr>
        <w:t>to</w:t>
      </w:r>
      <w:r>
        <w:rPr>
          <w:spacing w:val="-13"/>
          <w:u w:val="none"/>
        </w:rPr>
        <w:t> </w:t>
      </w:r>
      <w:r>
        <w:rPr>
          <w:u w:val="none"/>
        </w:rPr>
        <w:t>continuously</w:t>
      </w:r>
      <w:r>
        <w:rPr>
          <w:spacing w:val="-12"/>
          <w:u w:val="none"/>
        </w:rPr>
        <w:t> </w:t>
      </w:r>
      <w:r>
        <w:rPr>
          <w:u w:val="none"/>
        </w:rPr>
        <w:t>raise</w:t>
      </w:r>
      <w:r>
        <w:rPr>
          <w:spacing w:val="-13"/>
          <w:u w:val="none"/>
        </w:rPr>
        <w:t> </w:t>
      </w:r>
      <w:r>
        <w:rPr>
          <w:u w:val="none"/>
        </w:rPr>
        <w:t>tremendous</w:t>
      </w:r>
      <w:r>
        <w:rPr>
          <w:spacing w:val="-12"/>
          <w:u w:val="none"/>
        </w:rPr>
        <w:t> </w:t>
      </w:r>
      <w:r>
        <w:rPr>
          <w:u w:val="none"/>
        </w:rPr>
        <w:t>concerns</w:t>
      </w:r>
      <w:r>
        <w:rPr>
          <w:spacing w:val="-12"/>
          <w:u w:val="none"/>
        </w:rPr>
        <w:t> </w:t>
      </w:r>
      <w:r>
        <w:rPr>
          <w:u w:val="none"/>
        </w:rPr>
        <w:t>over</w:t>
      </w:r>
      <w:r>
        <w:rPr>
          <w:spacing w:val="-13"/>
          <w:u w:val="none"/>
        </w:rPr>
        <w:t> </w:t>
      </w:r>
      <w:r>
        <w:rPr>
          <w:u w:val="none"/>
        </w:rPr>
        <w:t>the</w:t>
      </w:r>
      <w:r>
        <w:rPr>
          <w:spacing w:val="-12"/>
          <w:u w:val="none"/>
        </w:rPr>
        <w:t> </w:t>
      </w:r>
      <w:r>
        <w:rPr>
          <w:u w:val="none"/>
        </w:rPr>
        <w:t>quality</w:t>
      </w:r>
      <w:r>
        <w:rPr>
          <w:spacing w:val="-13"/>
          <w:u w:val="none"/>
        </w:rPr>
        <w:t> </w:t>
      </w:r>
      <w:r>
        <w:rPr>
          <w:u w:val="none"/>
        </w:rPr>
        <w:t>and</w:t>
      </w:r>
      <w:r>
        <w:rPr>
          <w:spacing w:val="-12"/>
          <w:u w:val="none"/>
        </w:rPr>
        <w:t> </w:t>
      </w:r>
      <w:r>
        <w:rPr>
          <w:u w:val="none"/>
        </w:rPr>
        <w:t>consistency of the review process.</w:t>
      </w:r>
    </w:p>
    <w:p>
      <w:pPr>
        <w:numPr>
          <w:ilvl w:val="0"/>
          <w:numId w:val="15"/>
        </w:numPr>
        <w:tabs>
          <w:tab w:pos="461" w:val="left" w:leader="none"/>
          <w:tab w:pos="463" w:val="left" w:leader="none"/>
        </w:tabs>
        <w:spacing w:line="276" w:lineRule="auto" w:before="239"/>
        <w:ind w:left="463" w:right="285" w:hanging="360"/>
        <w:jc w:val="left"/>
        <w:rPr>
          <w:b/>
          <w:sz w:val="22"/>
        </w:rPr>
      </w:pPr>
      <w:bookmarkStart w:name="8. Explore the creation of an LGBTQ yout" w:id="91"/>
      <w:bookmarkEnd w:id="91"/>
      <w:r>
        <w:rPr>
          <w:b/>
          <w:sz w:val="22"/>
        </w:rPr>
        <w:t>E</w:t>
      </w:r>
      <w:r>
        <w:rPr>
          <w:b/>
          <w:sz w:val="22"/>
        </w:rPr>
        <w:t>xplore</w:t>
      </w:r>
      <w:r>
        <w:rPr>
          <w:b/>
          <w:spacing w:val="-2"/>
          <w:sz w:val="22"/>
        </w:rPr>
        <w:t> </w:t>
      </w:r>
      <w:r>
        <w:rPr>
          <w:b/>
          <w:sz w:val="22"/>
        </w:rPr>
        <w:t>the</w:t>
      </w:r>
      <w:r>
        <w:rPr>
          <w:b/>
          <w:spacing w:val="-2"/>
          <w:sz w:val="22"/>
        </w:rPr>
        <w:t> </w:t>
      </w:r>
      <w:r>
        <w:rPr>
          <w:b/>
          <w:sz w:val="22"/>
        </w:rPr>
        <w:t>creation</w:t>
      </w:r>
      <w:r>
        <w:rPr>
          <w:b/>
          <w:spacing w:val="-1"/>
          <w:sz w:val="22"/>
        </w:rPr>
        <w:t> </w:t>
      </w:r>
      <w:r>
        <w:rPr>
          <w:b/>
          <w:sz w:val="22"/>
        </w:rPr>
        <w:t>of</w:t>
      </w:r>
      <w:r>
        <w:rPr>
          <w:b/>
          <w:spacing w:val="-2"/>
          <w:sz w:val="22"/>
        </w:rPr>
        <w:t> </w:t>
      </w:r>
      <w:r>
        <w:rPr>
          <w:b/>
          <w:sz w:val="22"/>
        </w:rPr>
        <w:t>an</w:t>
      </w:r>
      <w:r>
        <w:rPr>
          <w:b/>
          <w:spacing w:val="-2"/>
          <w:sz w:val="22"/>
        </w:rPr>
        <w:t> </w:t>
      </w:r>
      <w:r>
        <w:rPr>
          <w:b/>
          <w:sz w:val="22"/>
        </w:rPr>
        <w:t>LGBTQ</w:t>
      </w:r>
      <w:r>
        <w:rPr>
          <w:b/>
          <w:spacing w:val="-2"/>
          <w:sz w:val="22"/>
        </w:rPr>
        <w:t> </w:t>
      </w:r>
      <w:r>
        <w:rPr>
          <w:b/>
          <w:sz w:val="22"/>
        </w:rPr>
        <w:t>youth</w:t>
      </w:r>
      <w:r>
        <w:rPr>
          <w:b/>
          <w:spacing w:val="-3"/>
          <w:sz w:val="22"/>
        </w:rPr>
        <w:t> </w:t>
      </w:r>
      <w:r>
        <w:rPr>
          <w:b/>
          <w:sz w:val="22"/>
        </w:rPr>
        <w:t>maltreatment</w:t>
      </w:r>
      <w:r>
        <w:rPr>
          <w:b/>
          <w:spacing w:val="-2"/>
          <w:sz w:val="22"/>
        </w:rPr>
        <w:t> </w:t>
      </w:r>
      <w:r>
        <w:rPr>
          <w:b/>
          <w:sz w:val="22"/>
        </w:rPr>
        <w:t>code</w:t>
      </w:r>
      <w:r>
        <w:rPr>
          <w:b/>
          <w:spacing w:val="-2"/>
          <w:sz w:val="22"/>
        </w:rPr>
        <w:t> </w:t>
      </w:r>
      <w:r>
        <w:rPr>
          <w:b/>
          <w:sz w:val="22"/>
        </w:rPr>
        <w:t>system</w:t>
      </w:r>
      <w:r>
        <w:rPr>
          <w:b/>
          <w:spacing w:val="-1"/>
          <w:sz w:val="22"/>
        </w:rPr>
        <w:t> </w:t>
      </w:r>
      <w:r>
        <w:rPr>
          <w:b/>
          <w:sz w:val="22"/>
        </w:rPr>
        <w:t>within</w:t>
      </w:r>
      <w:r>
        <w:rPr>
          <w:b/>
          <w:spacing w:val="-2"/>
          <w:sz w:val="22"/>
        </w:rPr>
        <w:t> </w:t>
      </w:r>
      <w:r>
        <w:rPr>
          <w:b/>
          <w:sz w:val="22"/>
        </w:rPr>
        <w:t>the</w:t>
      </w:r>
      <w:r>
        <w:rPr>
          <w:b/>
          <w:spacing w:val="-2"/>
          <w:sz w:val="22"/>
        </w:rPr>
        <w:t> </w:t>
      </w:r>
      <w:r>
        <w:rPr>
          <w:b/>
          <w:sz w:val="22"/>
        </w:rPr>
        <w:t>Department</w:t>
      </w:r>
      <w:r>
        <w:rPr>
          <w:b/>
          <w:spacing w:val="-2"/>
          <w:sz w:val="22"/>
        </w:rPr>
        <w:t> </w:t>
      </w:r>
      <w:r>
        <w:rPr>
          <w:b/>
          <w:sz w:val="22"/>
        </w:rPr>
        <w:t>of</w:t>
      </w:r>
      <w:r>
        <w:rPr>
          <w:b/>
          <w:spacing w:val="-2"/>
          <w:sz w:val="22"/>
        </w:rPr>
        <w:t> </w:t>
      </w:r>
      <w:r>
        <w:rPr>
          <w:b/>
          <w:sz w:val="22"/>
        </w:rPr>
        <w:t>Children and Families.</w:t>
      </w:r>
    </w:p>
    <w:p>
      <w:pPr>
        <w:pStyle w:val="BodyText"/>
        <w:spacing w:line="276" w:lineRule="auto" w:before="241"/>
        <w:ind w:left="463" w:right="279"/>
        <w:jc w:val="both"/>
      </w:pPr>
      <w:r>
        <w:rPr/>
        <w:t>Expanding on the above recommendation, the Commission recommends that the state explore the creation of a maltreatment code system for use in the child welfare system to better support social workers in tracking and addressing critical cases and incidents, with a specific maltreatment code being assigned to LGBTQ youth. Such a system would also provide clearer information on the child’s case as it is reviewed to better ensure that all youth are receiving appropriate access to resources and care. The Commission understands that there are other states, such as Georgia</w:t>
      </w:r>
      <w:hyperlink w:history="true" w:anchor="_bookmark15">
        <w:r>
          <w:rPr/>
          <w:t>,</w:t>
        </w:r>
        <w:r>
          <w:rPr>
            <w:vertAlign w:val="superscript"/>
          </w:rPr>
          <w:t>7</w:t>
        </w:r>
      </w:hyperlink>
      <w:r>
        <w:rPr>
          <w:vertAlign w:val="baseline"/>
        </w:rPr>
        <w:t> that have implemented a maltreatment</w:t>
      </w:r>
      <w:r>
        <w:rPr>
          <w:spacing w:val="-4"/>
          <w:vertAlign w:val="baseline"/>
        </w:rPr>
        <w:t> </w:t>
      </w:r>
      <w:r>
        <w:rPr>
          <w:vertAlign w:val="baseline"/>
        </w:rPr>
        <w:t>code</w:t>
      </w:r>
      <w:r>
        <w:rPr>
          <w:spacing w:val="-4"/>
          <w:vertAlign w:val="baseline"/>
        </w:rPr>
        <w:t> </w:t>
      </w:r>
      <w:r>
        <w:rPr>
          <w:vertAlign w:val="baseline"/>
        </w:rPr>
        <w:t>system</w:t>
      </w:r>
      <w:r>
        <w:rPr>
          <w:spacing w:val="-4"/>
          <w:vertAlign w:val="baseline"/>
        </w:rPr>
        <w:t> </w:t>
      </w:r>
      <w:r>
        <w:rPr>
          <w:vertAlign w:val="baseline"/>
        </w:rPr>
        <w:t>that</w:t>
      </w:r>
      <w:r>
        <w:rPr>
          <w:spacing w:val="-4"/>
          <w:vertAlign w:val="baseline"/>
        </w:rPr>
        <w:t> </w:t>
      </w:r>
      <w:r>
        <w:rPr>
          <w:vertAlign w:val="baseline"/>
        </w:rPr>
        <w:t>provides</w:t>
      </w:r>
      <w:r>
        <w:rPr>
          <w:spacing w:val="-5"/>
          <w:vertAlign w:val="baseline"/>
        </w:rPr>
        <w:t> </w:t>
      </w:r>
      <w:r>
        <w:rPr>
          <w:vertAlign w:val="baseline"/>
        </w:rPr>
        <w:t>multiple</w:t>
      </w:r>
      <w:r>
        <w:rPr>
          <w:spacing w:val="-4"/>
          <w:vertAlign w:val="baseline"/>
        </w:rPr>
        <w:t> </w:t>
      </w:r>
      <w:r>
        <w:rPr>
          <w:vertAlign w:val="baseline"/>
        </w:rPr>
        <w:t>benefits,</w:t>
      </w:r>
      <w:r>
        <w:rPr>
          <w:spacing w:val="-5"/>
          <w:vertAlign w:val="baseline"/>
        </w:rPr>
        <w:t> </w:t>
      </w:r>
      <w:r>
        <w:rPr>
          <w:vertAlign w:val="baseline"/>
        </w:rPr>
        <w:t>including</w:t>
      </w:r>
      <w:r>
        <w:rPr>
          <w:spacing w:val="-4"/>
          <w:vertAlign w:val="baseline"/>
        </w:rPr>
        <w:t> </w:t>
      </w:r>
      <w:r>
        <w:rPr>
          <w:vertAlign w:val="baseline"/>
        </w:rPr>
        <w:t>indicating</w:t>
      </w:r>
      <w:r>
        <w:rPr>
          <w:spacing w:val="-5"/>
          <w:vertAlign w:val="baseline"/>
        </w:rPr>
        <w:t> </w:t>
      </w:r>
      <w:r>
        <w:rPr>
          <w:vertAlign w:val="baseline"/>
        </w:rPr>
        <w:t>and</w:t>
      </w:r>
      <w:r>
        <w:rPr>
          <w:spacing w:val="-3"/>
          <w:vertAlign w:val="baseline"/>
        </w:rPr>
        <w:t> </w:t>
      </w:r>
      <w:r>
        <w:rPr>
          <w:vertAlign w:val="baseline"/>
        </w:rPr>
        <w:t>categorizing</w:t>
      </w:r>
      <w:r>
        <w:rPr>
          <w:spacing w:val="-4"/>
          <w:vertAlign w:val="baseline"/>
        </w:rPr>
        <w:t> </w:t>
      </w:r>
      <w:r>
        <w:rPr>
          <w:vertAlign w:val="baseline"/>
        </w:rPr>
        <w:t>levels</w:t>
      </w:r>
      <w:r>
        <w:rPr>
          <w:spacing w:val="-3"/>
          <w:vertAlign w:val="baseline"/>
        </w:rPr>
        <w:t> </w:t>
      </w:r>
      <w:r>
        <w:rPr>
          <w:vertAlign w:val="baseline"/>
        </w:rPr>
        <w:t>of imminent</w:t>
      </w:r>
      <w:r>
        <w:rPr>
          <w:spacing w:val="-2"/>
          <w:vertAlign w:val="baseline"/>
        </w:rPr>
        <w:t> </w:t>
      </w:r>
      <w:r>
        <w:rPr>
          <w:vertAlign w:val="baseline"/>
        </w:rPr>
        <w:t>risk</w:t>
      </w:r>
      <w:r>
        <w:rPr>
          <w:spacing w:val="-3"/>
          <w:vertAlign w:val="baseline"/>
        </w:rPr>
        <w:t> </w:t>
      </w:r>
      <w:r>
        <w:rPr>
          <w:vertAlign w:val="baseline"/>
        </w:rPr>
        <w:t>–</w:t>
      </w:r>
      <w:r>
        <w:rPr>
          <w:spacing w:val="-2"/>
          <w:vertAlign w:val="baseline"/>
        </w:rPr>
        <w:t> </w:t>
      </w:r>
      <w:r>
        <w:rPr>
          <w:vertAlign w:val="baseline"/>
        </w:rPr>
        <w:t>used</w:t>
      </w:r>
      <w:r>
        <w:rPr>
          <w:spacing w:val="-2"/>
          <w:vertAlign w:val="baseline"/>
        </w:rPr>
        <w:t> </w:t>
      </w:r>
      <w:r>
        <w:rPr>
          <w:vertAlign w:val="baseline"/>
        </w:rPr>
        <w:t>by</w:t>
      </w:r>
      <w:r>
        <w:rPr>
          <w:spacing w:val="-3"/>
          <w:vertAlign w:val="baseline"/>
        </w:rPr>
        <w:t> </w:t>
      </w:r>
      <w:r>
        <w:rPr>
          <w:vertAlign w:val="baseline"/>
        </w:rPr>
        <w:t>social</w:t>
      </w:r>
      <w:r>
        <w:rPr>
          <w:spacing w:val="-3"/>
          <w:vertAlign w:val="baseline"/>
        </w:rPr>
        <w:t> </w:t>
      </w:r>
      <w:r>
        <w:rPr>
          <w:vertAlign w:val="baseline"/>
        </w:rPr>
        <w:t>workers</w:t>
      </w:r>
      <w:r>
        <w:rPr>
          <w:spacing w:val="-1"/>
          <w:vertAlign w:val="baseline"/>
        </w:rPr>
        <w:t> </w:t>
      </w:r>
      <w:r>
        <w:rPr>
          <w:vertAlign w:val="baseline"/>
        </w:rPr>
        <w:t>to</w:t>
      </w:r>
      <w:r>
        <w:rPr>
          <w:spacing w:val="-1"/>
          <w:vertAlign w:val="baseline"/>
        </w:rPr>
        <w:t> </w:t>
      </w:r>
      <w:r>
        <w:rPr>
          <w:vertAlign w:val="baseline"/>
        </w:rPr>
        <w:t>better</w:t>
      </w:r>
      <w:r>
        <w:rPr>
          <w:spacing w:val="-2"/>
          <w:vertAlign w:val="baseline"/>
        </w:rPr>
        <w:t> </w:t>
      </w:r>
      <w:r>
        <w:rPr>
          <w:vertAlign w:val="baseline"/>
        </w:rPr>
        <w:t>prepare</w:t>
      </w:r>
      <w:r>
        <w:rPr>
          <w:spacing w:val="-3"/>
          <w:vertAlign w:val="baseline"/>
        </w:rPr>
        <w:t> </w:t>
      </w:r>
      <w:r>
        <w:rPr>
          <w:vertAlign w:val="baseline"/>
        </w:rPr>
        <w:t>and</w:t>
      </w:r>
      <w:r>
        <w:rPr>
          <w:spacing w:val="-2"/>
          <w:vertAlign w:val="baseline"/>
        </w:rPr>
        <w:t> </w:t>
      </w:r>
      <w:r>
        <w:rPr>
          <w:vertAlign w:val="baseline"/>
        </w:rPr>
        <w:t>support</w:t>
      </w:r>
      <w:r>
        <w:rPr>
          <w:spacing w:val="-3"/>
          <w:vertAlign w:val="baseline"/>
        </w:rPr>
        <w:t> </w:t>
      </w:r>
      <w:r>
        <w:rPr>
          <w:vertAlign w:val="baseline"/>
        </w:rPr>
        <w:t>youth</w:t>
      </w:r>
      <w:r>
        <w:rPr>
          <w:spacing w:val="-3"/>
          <w:vertAlign w:val="baseline"/>
        </w:rPr>
        <w:t> </w:t>
      </w:r>
      <w:r>
        <w:rPr>
          <w:vertAlign w:val="baseline"/>
        </w:rPr>
        <w:t>in</w:t>
      </w:r>
      <w:r>
        <w:rPr>
          <w:spacing w:val="-2"/>
          <w:vertAlign w:val="baseline"/>
        </w:rPr>
        <w:t> </w:t>
      </w:r>
      <w:r>
        <w:rPr>
          <w:vertAlign w:val="baseline"/>
        </w:rPr>
        <w:t>their</w:t>
      </w:r>
      <w:r>
        <w:rPr>
          <w:spacing w:val="-2"/>
          <w:vertAlign w:val="baseline"/>
        </w:rPr>
        <w:t> </w:t>
      </w:r>
      <w:r>
        <w:rPr>
          <w:vertAlign w:val="baseline"/>
        </w:rPr>
        <w:t>caseload</w:t>
      </w:r>
      <w:r>
        <w:rPr>
          <w:spacing w:val="-3"/>
          <w:vertAlign w:val="baseline"/>
        </w:rPr>
        <w:t> </w:t>
      </w:r>
      <w:r>
        <w:rPr>
          <w:vertAlign w:val="baseline"/>
        </w:rPr>
        <w:t>–</w:t>
      </w:r>
      <w:r>
        <w:rPr>
          <w:spacing w:val="-1"/>
          <w:vertAlign w:val="baseline"/>
        </w:rPr>
        <w:t> </w:t>
      </w:r>
      <w:r>
        <w:rPr>
          <w:vertAlign w:val="baseline"/>
        </w:rPr>
        <w:t>as</w:t>
      </w:r>
      <w:r>
        <w:rPr>
          <w:spacing w:val="-3"/>
          <w:vertAlign w:val="baseline"/>
        </w:rPr>
        <w:t> </w:t>
      </w:r>
      <w:r>
        <w:rPr>
          <w:vertAlign w:val="baseline"/>
        </w:rPr>
        <w:t>well</w:t>
      </w:r>
      <w:r>
        <w:rPr>
          <w:spacing w:val="-3"/>
          <w:vertAlign w:val="baseline"/>
        </w:rPr>
        <w:t> </w:t>
      </w:r>
      <w:r>
        <w:rPr>
          <w:vertAlign w:val="baseline"/>
        </w:rPr>
        <w:t>as better categorizing a case’s eligibility for family preservation services; and providing the state and researchers with helpful data to better understand critical trends and gaps in case. Furthermore, proper coding</w:t>
      </w:r>
      <w:r>
        <w:rPr>
          <w:spacing w:val="-2"/>
          <w:vertAlign w:val="baseline"/>
        </w:rPr>
        <w:t> </w:t>
      </w:r>
      <w:r>
        <w:rPr>
          <w:vertAlign w:val="baseline"/>
        </w:rPr>
        <w:t>of</w:t>
      </w:r>
      <w:r>
        <w:rPr>
          <w:spacing w:val="-3"/>
          <w:vertAlign w:val="baseline"/>
        </w:rPr>
        <w:t> </w:t>
      </w:r>
      <w:r>
        <w:rPr>
          <w:vertAlign w:val="baseline"/>
        </w:rPr>
        <w:t>cases</w:t>
      </w:r>
      <w:r>
        <w:rPr>
          <w:spacing w:val="-3"/>
          <w:vertAlign w:val="baseline"/>
        </w:rPr>
        <w:t> </w:t>
      </w:r>
      <w:r>
        <w:rPr>
          <w:vertAlign w:val="baseline"/>
        </w:rPr>
        <w:t>minimizes</w:t>
      </w:r>
      <w:r>
        <w:rPr>
          <w:spacing w:val="-1"/>
          <w:vertAlign w:val="baseline"/>
        </w:rPr>
        <w:t> </w:t>
      </w:r>
      <w:r>
        <w:rPr>
          <w:vertAlign w:val="baseline"/>
        </w:rPr>
        <w:t>child</w:t>
      </w:r>
      <w:r>
        <w:rPr>
          <w:spacing w:val="-2"/>
          <w:vertAlign w:val="baseline"/>
        </w:rPr>
        <w:t> </w:t>
      </w:r>
      <w:r>
        <w:rPr>
          <w:vertAlign w:val="baseline"/>
        </w:rPr>
        <w:t>abuse</w:t>
      </w:r>
      <w:r>
        <w:rPr>
          <w:spacing w:val="-3"/>
          <w:vertAlign w:val="baseline"/>
        </w:rPr>
        <w:t> </w:t>
      </w:r>
      <w:r>
        <w:rPr>
          <w:vertAlign w:val="baseline"/>
        </w:rPr>
        <w:t>and</w:t>
      </w:r>
      <w:r>
        <w:rPr>
          <w:spacing w:val="-3"/>
          <w:vertAlign w:val="baseline"/>
        </w:rPr>
        <w:t> </w:t>
      </w:r>
      <w:r>
        <w:rPr>
          <w:vertAlign w:val="baseline"/>
        </w:rPr>
        <w:t>neglect</w:t>
      </w:r>
      <w:r>
        <w:rPr>
          <w:spacing w:val="-3"/>
          <w:vertAlign w:val="baseline"/>
        </w:rPr>
        <w:t> </w:t>
      </w:r>
      <w:r>
        <w:rPr>
          <w:vertAlign w:val="baseline"/>
        </w:rPr>
        <w:t>(CAN)</w:t>
      </w:r>
      <w:r>
        <w:rPr>
          <w:spacing w:val="-2"/>
          <w:vertAlign w:val="baseline"/>
        </w:rPr>
        <w:t> </w:t>
      </w:r>
      <w:r>
        <w:rPr>
          <w:vertAlign w:val="baseline"/>
        </w:rPr>
        <w:t>registries</w:t>
      </w:r>
      <w:r>
        <w:rPr>
          <w:spacing w:val="-1"/>
          <w:vertAlign w:val="baseline"/>
        </w:rPr>
        <w:t> </w:t>
      </w:r>
      <w:r>
        <w:rPr>
          <w:vertAlign w:val="baseline"/>
        </w:rPr>
        <w:t>for</w:t>
      </w:r>
      <w:r>
        <w:rPr>
          <w:spacing w:val="-3"/>
          <w:vertAlign w:val="baseline"/>
        </w:rPr>
        <w:t> </w:t>
      </w:r>
      <w:r>
        <w:rPr>
          <w:vertAlign w:val="baseline"/>
        </w:rPr>
        <w:t>parents</w:t>
      </w:r>
      <w:r>
        <w:rPr>
          <w:spacing w:val="-3"/>
          <w:vertAlign w:val="baseline"/>
        </w:rPr>
        <w:t> </w:t>
      </w:r>
      <w:r>
        <w:rPr>
          <w:vertAlign w:val="baseline"/>
        </w:rPr>
        <w:t>and</w:t>
      </w:r>
      <w:r>
        <w:rPr>
          <w:spacing w:val="-3"/>
          <w:vertAlign w:val="baseline"/>
        </w:rPr>
        <w:t> </w:t>
      </w:r>
      <w:r>
        <w:rPr>
          <w:vertAlign w:val="baseline"/>
        </w:rPr>
        <w:t>families</w:t>
      </w:r>
      <w:r>
        <w:rPr>
          <w:spacing w:val="-3"/>
          <w:vertAlign w:val="baseline"/>
        </w:rPr>
        <w:t> </w:t>
      </w:r>
      <w:r>
        <w:rPr>
          <w:vertAlign w:val="baseline"/>
        </w:rPr>
        <w:t>by</w:t>
      </w:r>
      <w:r>
        <w:rPr>
          <w:spacing w:val="-3"/>
          <w:vertAlign w:val="baseline"/>
        </w:rPr>
        <w:t> </w:t>
      </w:r>
      <w:r>
        <w:rPr>
          <w:vertAlign w:val="baseline"/>
        </w:rPr>
        <w:t>supporting service intervention rather than a removal, as having a CAN registry can negatively impact caregivers’ economic status and ability to retain employment.</w:t>
      </w:r>
    </w:p>
    <w:p>
      <w:pPr>
        <w:pStyle w:val="BodyText"/>
        <w:spacing w:line="276" w:lineRule="auto" w:before="240"/>
        <w:ind w:left="463" w:right="282"/>
        <w:jc w:val="both"/>
      </w:pPr>
      <w:r>
        <w:rPr/>
        <w:t>However,</w:t>
      </w:r>
      <w:r>
        <w:rPr>
          <w:spacing w:val="-5"/>
        </w:rPr>
        <w:t> </w:t>
      </w:r>
      <w:r>
        <w:rPr/>
        <w:t>despite</w:t>
      </w:r>
      <w:r>
        <w:rPr>
          <w:spacing w:val="-4"/>
        </w:rPr>
        <w:t> </w:t>
      </w:r>
      <w:r>
        <w:rPr/>
        <w:t>the</w:t>
      </w:r>
      <w:r>
        <w:rPr>
          <w:spacing w:val="-4"/>
        </w:rPr>
        <w:t> </w:t>
      </w:r>
      <w:r>
        <w:rPr/>
        <w:t>unique</w:t>
      </w:r>
      <w:r>
        <w:rPr>
          <w:spacing w:val="-6"/>
        </w:rPr>
        <w:t> </w:t>
      </w:r>
      <w:r>
        <w:rPr/>
        <w:t>experiences</w:t>
      </w:r>
      <w:r>
        <w:rPr>
          <w:spacing w:val="-5"/>
        </w:rPr>
        <w:t> </w:t>
      </w:r>
      <w:r>
        <w:rPr/>
        <w:t>faced</w:t>
      </w:r>
      <w:r>
        <w:rPr>
          <w:spacing w:val="-4"/>
        </w:rPr>
        <w:t> </w:t>
      </w:r>
      <w:r>
        <w:rPr/>
        <w:t>by</w:t>
      </w:r>
      <w:r>
        <w:rPr>
          <w:spacing w:val="-4"/>
        </w:rPr>
        <w:t> </w:t>
      </w:r>
      <w:r>
        <w:rPr/>
        <w:t>LGBTQ</w:t>
      </w:r>
      <w:r>
        <w:rPr>
          <w:spacing w:val="-4"/>
        </w:rPr>
        <w:t> </w:t>
      </w:r>
      <w:r>
        <w:rPr/>
        <w:t>youth</w:t>
      </w:r>
      <w:r>
        <w:rPr>
          <w:spacing w:val="-4"/>
        </w:rPr>
        <w:t> </w:t>
      </w:r>
      <w:r>
        <w:rPr/>
        <w:t>who</w:t>
      </w:r>
      <w:r>
        <w:rPr>
          <w:spacing w:val="-5"/>
        </w:rPr>
        <w:t> </w:t>
      </w:r>
      <w:r>
        <w:rPr/>
        <w:t>may</w:t>
      </w:r>
      <w:r>
        <w:rPr>
          <w:spacing w:val="-4"/>
        </w:rPr>
        <w:t> </w:t>
      </w:r>
      <w:r>
        <w:rPr/>
        <w:t>be</w:t>
      </w:r>
      <w:r>
        <w:rPr>
          <w:spacing w:val="-4"/>
        </w:rPr>
        <w:t> </w:t>
      </w:r>
      <w:r>
        <w:rPr/>
        <w:t>in</w:t>
      </w:r>
      <w:r>
        <w:rPr>
          <w:spacing w:val="-6"/>
        </w:rPr>
        <w:t> </w:t>
      </w:r>
      <w:r>
        <w:rPr/>
        <w:t>the</w:t>
      </w:r>
      <w:r>
        <w:rPr>
          <w:spacing w:val="-4"/>
        </w:rPr>
        <w:t> </w:t>
      </w:r>
      <w:r>
        <w:rPr/>
        <w:t>child</w:t>
      </w:r>
      <w:r>
        <w:rPr>
          <w:spacing w:val="-4"/>
        </w:rPr>
        <w:t> </w:t>
      </w:r>
      <w:r>
        <w:rPr/>
        <w:t>welfare</w:t>
      </w:r>
      <w:r>
        <w:rPr>
          <w:spacing w:val="-6"/>
        </w:rPr>
        <w:t> </w:t>
      </w:r>
      <w:r>
        <w:rPr/>
        <w:t>system, or may potentially become involved in the system, no state has any LGBTQ-specific codes to support youth, providers, and families. Without these codes, collecting more comprehensive qualitative and quantitative data on LGBTQ youth maltreatment experiences is incredibly difficult</w:t>
      </w:r>
      <w:hyperlink w:history="true" w:anchor="_bookmark16">
        <w:r>
          <w:rPr/>
          <w:t>.</w:t>
        </w:r>
        <w:r>
          <w:rPr>
            <w:vertAlign w:val="superscript"/>
          </w:rPr>
          <w:t>8</w:t>
        </w:r>
      </w:hyperlink>
    </w:p>
    <w:p>
      <w:pPr>
        <w:spacing w:after="0" w:line="276" w:lineRule="auto"/>
        <w:jc w:val="both"/>
        <w:sectPr>
          <w:pgSz w:w="12240" w:h="15840"/>
          <w:pgMar w:header="804" w:footer="1263" w:top="1000" w:bottom="1460" w:left="980" w:right="1160"/>
        </w:sectPr>
      </w:pPr>
    </w:p>
    <w:p>
      <w:pPr>
        <w:numPr>
          <w:ilvl w:val="0"/>
          <w:numId w:val="15"/>
        </w:numPr>
        <w:tabs>
          <w:tab w:pos="461" w:val="left" w:leader="none"/>
          <w:tab w:pos="463" w:val="left" w:leader="none"/>
        </w:tabs>
        <w:spacing w:line="276" w:lineRule="auto" w:before="139"/>
        <w:ind w:left="463" w:right="282" w:hanging="360"/>
        <w:jc w:val="left"/>
        <w:rPr>
          <w:b/>
          <w:sz w:val="22"/>
        </w:rPr>
      </w:pPr>
      <w:bookmarkStart w:name="9. Update Chapter 119, Section 89 of the" w:id="92"/>
      <w:bookmarkEnd w:id="92"/>
      <w:r>
        <w:rPr>
          <w:b/>
          <w:sz w:val="22"/>
        </w:rPr>
        <w:t>U</w:t>
      </w:r>
      <w:r>
        <w:rPr>
          <w:b/>
          <w:sz w:val="22"/>
        </w:rPr>
        <w:t>pdate Chapter 119, Section 89 of the Massachusetts General Laws to include the Commission on the Juvenile Justice Policy and Data Board as a voting member.</w:t>
      </w:r>
    </w:p>
    <w:p>
      <w:pPr>
        <w:pStyle w:val="BodyText"/>
        <w:spacing w:line="276" w:lineRule="auto" w:before="239"/>
        <w:ind w:left="463" w:right="282"/>
        <w:jc w:val="both"/>
      </w:pPr>
      <w:r>
        <w:rPr/>
        <w:t>As discussed further in this annual report, the Juvenile Justice Policy and Data Board (JJPAD) evaluates juvenile justice system policies and outcomes to make recommendations on areas of improvement. Risk factors</w:t>
      </w:r>
      <w:r>
        <w:rPr>
          <w:spacing w:val="-1"/>
        </w:rPr>
        <w:t> </w:t>
      </w:r>
      <w:r>
        <w:rPr/>
        <w:t>for</w:t>
      </w:r>
      <w:r>
        <w:rPr>
          <w:spacing w:val="-2"/>
        </w:rPr>
        <w:t> </w:t>
      </w:r>
      <w:r>
        <w:rPr/>
        <w:t>juvenile</w:t>
      </w:r>
      <w:r>
        <w:rPr>
          <w:spacing w:val="-2"/>
        </w:rPr>
        <w:t> </w:t>
      </w:r>
      <w:r>
        <w:rPr/>
        <w:t>justice</w:t>
      </w:r>
      <w:r>
        <w:rPr>
          <w:spacing w:val="-1"/>
        </w:rPr>
        <w:t> </w:t>
      </w:r>
      <w:r>
        <w:rPr/>
        <w:t>system</w:t>
      </w:r>
      <w:r>
        <w:rPr>
          <w:spacing w:val="-2"/>
        </w:rPr>
        <w:t> </w:t>
      </w:r>
      <w:r>
        <w:rPr/>
        <w:t>involvement</w:t>
      </w:r>
      <w:r>
        <w:rPr>
          <w:spacing w:val="-2"/>
        </w:rPr>
        <w:t> </w:t>
      </w:r>
      <w:r>
        <w:rPr/>
        <w:t>is</w:t>
      </w:r>
      <w:r>
        <w:rPr>
          <w:spacing w:val="-1"/>
        </w:rPr>
        <w:t> </w:t>
      </w:r>
      <w:r>
        <w:rPr/>
        <w:t>involvement</w:t>
      </w:r>
      <w:r>
        <w:rPr>
          <w:spacing w:val="-1"/>
        </w:rPr>
        <w:t> </w:t>
      </w:r>
      <w:r>
        <w:rPr/>
        <w:t>in</w:t>
      </w:r>
      <w:r>
        <w:rPr>
          <w:spacing w:val="-1"/>
        </w:rPr>
        <w:t> </w:t>
      </w:r>
      <w:r>
        <w:rPr/>
        <w:t>the</w:t>
      </w:r>
      <w:r>
        <w:rPr>
          <w:spacing w:val="-2"/>
        </w:rPr>
        <w:t> </w:t>
      </w:r>
      <w:r>
        <w:rPr/>
        <w:t>child</w:t>
      </w:r>
      <w:r>
        <w:rPr>
          <w:spacing w:val="-2"/>
        </w:rPr>
        <w:t> </w:t>
      </w:r>
      <w:r>
        <w:rPr/>
        <w:t>welfare</w:t>
      </w:r>
      <w:r>
        <w:rPr>
          <w:spacing w:val="-2"/>
        </w:rPr>
        <w:t> </w:t>
      </w:r>
      <w:r>
        <w:rPr/>
        <w:t>system,</w:t>
      </w:r>
      <w:r>
        <w:rPr>
          <w:spacing w:val="-2"/>
        </w:rPr>
        <w:t> </w:t>
      </w:r>
      <w:r>
        <w:rPr/>
        <w:t>which</w:t>
      </w:r>
      <w:r>
        <w:rPr>
          <w:spacing w:val="-2"/>
        </w:rPr>
        <w:t> </w:t>
      </w:r>
      <w:r>
        <w:rPr/>
        <w:t>also</w:t>
      </w:r>
      <w:r>
        <w:rPr>
          <w:spacing w:val="-1"/>
        </w:rPr>
        <w:t> </w:t>
      </w:r>
      <w:r>
        <w:rPr/>
        <w:t>is</w:t>
      </w:r>
      <w:r>
        <w:rPr>
          <w:spacing w:val="-1"/>
        </w:rPr>
        <w:t> </w:t>
      </w:r>
      <w:r>
        <w:rPr/>
        <w:t>a factor</w:t>
      </w:r>
      <w:r>
        <w:rPr>
          <w:spacing w:val="-9"/>
        </w:rPr>
        <w:t> </w:t>
      </w:r>
      <w:r>
        <w:rPr/>
        <w:t>for</w:t>
      </w:r>
      <w:r>
        <w:rPr>
          <w:spacing w:val="-9"/>
        </w:rPr>
        <w:t> </w:t>
      </w:r>
      <w:r>
        <w:rPr/>
        <w:t>childhood</w:t>
      </w:r>
      <w:r>
        <w:rPr>
          <w:spacing w:val="-9"/>
        </w:rPr>
        <w:t> </w:t>
      </w:r>
      <w:r>
        <w:rPr/>
        <w:t>trauma.</w:t>
      </w:r>
      <w:r>
        <w:rPr>
          <w:spacing w:val="-9"/>
        </w:rPr>
        <w:t> </w:t>
      </w:r>
      <w:r>
        <w:rPr/>
        <w:t>However,</w:t>
      </w:r>
      <w:r>
        <w:rPr>
          <w:spacing w:val="-9"/>
        </w:rPr>
        <w:t> </w:t>
      </w:r>
      <w:r>
        <w:rPr/>
        <w:t>even</w:t>
      </w:r>
      <w:r>
        <w:rPr>
          <w:spacing w:val="-9"/>
        </w:rPr>
        <w:t> </w:t>
      </w:r>
      <w:r>
        <w:rPr/>
        <w:t>though</w:t>
      </w:r>
      <w:r>
        <w:rPr>
          <w:spacing w:val="-7"/>
        </w:rPr>
        <w:t> </w:t>
      </w:r>
      <w:r>
        <w:rPr/>
        <w:t>LGBTQ</w:t>
      </w:r>
      <w:r>
        <w:rPr>
          <w:spacing w:val="-9"/>
        </w:rPr>
        <w:t> </w:t>
      </w:r>
      <w:r>
        <w:rPr/>
        <w:t>youth</w:t>
      </w:r>
      <w:r>
        <w:rPr>
          <w:spacing w:val="-7"/>
        </w:rPr>
        <w:t> </w:t>
      </w:r>
      <w:r>
        <w:rPr/>
        <w:t>often</w:t>
      </w:r>
      <w:r>
        <w:rPr>
          <w:spacing w:val="-9"/>
        </w:rPr>
        <w:t> </w:t>
      </w:r>
      <w:r>
        <w:rPr/>
        <w:t>face</w:t>
      </w:r>
      <w:r>
        <w:rPr>
          <w:spacing w:val="-8"/>
        </w:rPr>
        <w:t> </w:t>
      </w:r>
      <w:r>
        <w:rPr/>
        <w:t>numerous</w:t>
      </w:r>
      <w:r>
        <w:rPr>
          <w:spacing w:val="-8"/>
        </w:rPr>
        <w:t> </w:t>
      </w:r>
      <w:r>
        <w:rPr/>
        <w:t>disparities</w:t>
      </w:r>
      <w:r>
        <w:rPr>
          <w:spacing w:val="-8"/>
        </w:rPr>
        <w:t> </w:t>
      </w:r>
      <w:r>
        <w:rPr/>
        <w:t>in</w:t>
      </w:r>
      <w:r>
        <w:rPr>
          <w:spacing w:val="-8"/>
        </w:rPr>
        <w:t> </w:t>
      </w:r>
      <w:r>
        <w:rPr/>
        <w:t>both the child welfare and juvenile justice systems, there remains no formal and dedicated voice for LGBTQ youth on JJPAD or its Childhood Trauma Task Force (CTTF). The Commission urges the legislature to address this concerning gap in representation by passing </w:t>
      </w:r>
      <w:r>
        <w:rPr>
          <w:i/>
        </w:rPr>
        <w:t>An Act Updating the Juvenile Justice Policy and</w:t>
      </w:r>
      <w:r>
        <w:rPr>
          <w:i/>
        </w:rPr>
        <w:t> Data Board </w:t>
      </w:r>
      <w:r>
        <w:rPr>
          <w:b/>
        </w:rPr>
        <w:t>(</w:t>
      </w:r>
      <w:hyperlink r:id="rId55">
        <w:r>
          <w:rPr>
            <w:b/>
            <w:color w:val="1153CC"/>
            <w:u w:val="single" w:color="1153CC"/>
          </w:rPr>
          <w:t>S. 78</w:t>
        </w:r>
      </w:hyperlink>
      <w:r>
        <w:rPr>
          <w:b/>
          <w:u w:val="none"/>
        </w:rPr>
        <w:t>) </w:t>
      </w:r>
      <w:r>
        <w:rPr>
          <w:u w:val="none"/>
        </w:rPr>
        <w:t>which is currently pending in the Senate Committee on Rules.</w:t>
      </w:r>
    </w:p>
    <w:p>
      <w:pPr>
        <w:numPr>
          <w:ilvl w:val="0"/>
          <w:numId w:val="15"/>
        </w:numPr>
        <w:tabs>
          <w:tab w:pos="461" w:val="left" w:leader="none"/>
        </w:tabs>
        <w:spacing w:before="240"/>
        <w:ind w:left="461" w:right="0" w:hanging="358"/>
        <w:jc w:val="left"/>
        <w:rPr>
          <w:b/>
          <w:sz w:val="22"/>
        </w:rPr>
      </w:pPr>
      <w:bookmarkStart w:name="10. Codify the foster child bill of righ" w:id="93"/>
      <w:bookmarkEnd w:id="93"/>
      <w:r>
        <w:rPr/>
      </w:r>
      <w:r>
        <w:rPr>
          <w:b/>
          <w:sz w:val="22"/>
        </w:rPr>
        <w:t>Codify</w:t>
      </w:r>
      <w:r>
        <w:rPr>
          <w:b/>
          <w:spacing w:val="-5"/>
          <w:sz w:val="22"/>
        </w:rPr>
        <w:t> </w:t>
      </w:r>
      <w:r>
        <w:rPr>
          <w:b/>
          <w:sz w:val="22"/>
        </w:rPr>
        <w:t>the</w:t>
      </w:r>
      <w:r>
        <w:rPr>
          <w:b/>
          <w:spacing w:val="-5"/>
          <w:sz w:val="22"/>
        </w:rPr>
        <w:t> </w:t>
      </w:r>
      <w:r>
        <w:rPr>
          <w:b/>
          <w:sz w:val="22"/>
        </w:rPr>
        <w:t>foster</w:t>
      </w:r>
      <w:r>
        <w:rPr>
          <w:b/>
          <w:spacing w:val="-6"/>
          <w:sz w:val="22"/>
        </w:rPr>
        <w:t> </w:t>
      </w:r>
      <w:r>
        <w:rPr>
          <w:b/>
          <w:sz w:val="22"/>
        </w:rPr>
        <w:t>child</w:t>
      </w:r>
      <w:r>
        <w:rPr>
          <w:b/>
          <w:spacing w:val="-5"/>
          <w:sz w:val="22"/>
        </w:rPr>
        <w:t> </w:t>
      </w:r>
      <w:r>
        <w:rPr>
          <w:b/>
          <w:sz w:val="22"/>
        </w:rPr>
        <w:t>bill</w:t>
      </w:r>
      <w:r>
        <w:rPr>
          <w:b/>
          <w:spacing w:val="-6"/>
          <w:sz w:val="22"/>
        </w:rPr>
        <w:t> </w:t>
      </w:r>
      <w:r>
        <w:rPr>
          <w:b/>
          <w:sz w:val="22"/>
        </w:rPr>
        <w:t>of</w:t>
      </w:r>
      <w:r>
        <w:rPr>
          <w:b/>
          <w:spacing w:val="-6"/>
          <w:sz w:val="22"/>
        </w:rPr>
        <w:t> </w:t>
      </w:r>
      <w:r>
        <w:rPr>
          <w:b/>
          <w:sz w:val="22"/>
        </w:rPr>
        <w:t>rights</w:t>
      </w:r>
      <w:r>
        <w:rPr>
          <w:b/>
          <w:spacing w:val="-5"/>
          <w:sz w:val="22"/>
        </w:rPr>
        <w:t> </w:t>
      </w:r>
      <w:r>
        <w:rPr>
          <w:b/>
          <w:sz w:val="22"/>
        </w:rPr>
        <w:t>in</w:t>
      </w:r>
      <w:r>
        <w:rPr>
          <w:b/>
          <w:spacing w:val="-6"/>
          <w:sz w:val="22"/>
        </w:rPr>
        <w:t> </w:t>
      </w:r>
      <w:r>
        <w:rPr>
          <w:b/>
          <w:sz w:val="22"/>
        </w:rPr>
        <w:t>state</w:t>
      </w:r>
      <w:r>
        <w:rPr>
          <w:b/>
          <w:spacing w:val="-5"/>
          <w:sz w:val="22"/>
        </w:rPr>
        <w:t> </w:t>
      </w:r>
      <w:r>
        <w:rPr>
          <w:b/>
          <w:spacing w:val="-4"/>
          <w:sz w:val="22"/>
        </w:rPr>
        <w:t>law.</w:t>
      </w:r>
    </w:p>
    <w:p>
      <w:pPr>
        <w:pStyle w:val="BodyText"/>
        <w:spacing w:before="12"/>
        <w:rPr>
          <w:b/>
        </w:rPr>
      </w:pPr>
    </w:p>
    <w:p>
      <w:pPr>
        <w:pStyle w:val="BodyText"/>
        <w:spacing w:line="276" w:lineRule="auto"/>
        <w:ind w:left="463" w:right="282"/>
        <w:jc w:val="both"/>
      </w:pPr>
      <w:r>
        <w:rPr/>
        <w:t>The</w:t>
      </w:r>
      <w:r>
        <w:rPr>
          <w:spacing w:val="-8"/>
        </w:rPr>
        <w:t> </w:t>
      </w:r>
      <w:r>
        <w:rPr/>
        <w:t>Commission</w:t>
      </w:r>
      <w:r>
        <w:rPr>
          <w:spacing w:val="-8"/>
        </w:rPr>
        <w:t> </w:t>
      </w:r>
      <w:r>
        <w:rPr/>
        <w:t>was</w:t>
      </w:r>
      <w:r>
        <w:rPr>
          <w:spacing w:val="-7"/>
        </w:rPr>
        <w:t> </w:t>
      </w:r>
      <w:r>
        <w:rPr/>
        <w:t>pleased</w:t>
      </w:r>
      <w:r>
        <w:rPr>
          <w:spacing w:val="-8"/>
        </w:rPr>
        <w:t> </w:t>
      </w:r>
      <w:r>
        <w:rPr/>
        <w:t>to</w:t>
      </w:r>
      <w:r>
        <w:rPr>
          <w:spacing w:val="-7"/>
        </w:rPr>
        <w:t> </w:t>
      </w:r>
      <w:r>
        <w:rPr/>
        <w:t>see</w:t>
      </w:r>
      <w:r>
        <w:rPr>
          <w:spacing w:val="-7"/>
        </w:rPr>
        <w:t> </w:t>
      </w:r>
      <w:r>
        <w:rPr/>
        <w:t>the</w:t>
      </w:r>
      <w:r>
        <w:rPr>
          <w:spacing w:val="-7"/>
        </w:rPr>
        <w:t> </w:t>
      </w:r>
      <w:r>
        <w:rPr/>
        <w:t>development</w:t>
      </w:r>
      <w:r>
        <w:rPr>
          <w:spacing w:val="-7"/>
        </w:rPr>
        <w:t> </w:t>
      </w:r>
      <w:r>
        <w:rPr/>
        <w:t>of</w:t>
      </w:r>
      <w:r>
        <w:rPr>
          <w:spacing w:val="-8"/>
        </w:rPr>
        <w:t> </w:t>
      </w:r>
      <w:r>
        <w:rPr/>
        <w:t>the</w:t>
      </w:r>
      <w:r>
        <w:rPr>
          <w:spacing w:val="-8"/>
        </w:rPr>
        <w:t> </w:t>
      </w:r>
      <w:r>
        <w:rPr/>
        <w:t>Foster</w:t>
      </w:r>
      <w:r>
        <w:rPr>
          <w:spacing w:val="-6"/>
        </w:rPr>
        <w:t> </w:t>
      </w:r>
      <w:r>
        <w:rPr/>
        <w:t>Child</w:t>
      </w:r>
      <w:r>
        <w:rPr>
          <w:spacing w:val="-8"/>
        </w:rPr>
        <w:t> </w:t>
      </w:r>
      <w:r>
        <w:rPr/>
        <w:t>Bill</w:t>
      </w:r>
      <w:r>
        <w:rPr>
          <w:spacing w:val="-8"/>
        </w:rPr>
        <w:t> </w:t>
      </w:r>
      <w:r>
        <w:rPr/>
        <w:t>of</w:t>
      </w:r>
      <w:r>
        <w:rPr>
          <w:spacing w:val="-8"/>
        </w:rPr>
        <w:t> </w:t>
      </w:r>
      <w:r>
        <w:rPr/>
        <w:t>Rights</w:t>
      </w:r>
      <w:r>
        <w:rPr>
          <w:spacing w:val="-7"/>
        </w:rPr>
        <w:t> </w:t>
      </w:r>
      <w:r>
        <w:rPr/>
        <w:t>developed</w:t>
      </w:r>
      <w:r>
        <w:rPr>
          <w:spacing w:val="-8"/>
        </w:rPr>
        <w:t> </w:t>
      </w:r>
      <w:r>
        <w:rPr/>
        <w:t>by</w:t>
      </w:r>
      <w:r>
        <w:rPr>
          <w:spacing w:val="-8"/>
        </w:rPr>
        <w:t> </w:t>
      </w:r>
      <w:r>
        <w:rPr/>
        <w:t>DCF’s Youth Advisory Board which includes guidance that every child should be treated with respect without regard to gender identity and sexual orientation. The Commission supports </w:t>
      </w:r>
      <w:r>
        <w:rPr>
          <w:i/>
        </w:rPr>
        <w:t>An Act Establishing a Bill of</w:t>
      </w:r>
      <w:r>
        <w:rPr>
          <w:i/>
        </w:rPr>
        <w:t> Rights</w:t>
      </w:r>
      <w:r>
        <w:rPr>
          <w:i/>
          <w:spacing w:val="-11"/>
        </w:rPr>
        <w:t> </w:t>
      </w:r>
      <w:r>
        <w:rPr>
          <w:i/>
        </w:rPr>
        <w:t>for</w:t>
      </w:r>
      <w:r>
        <w:rPr>
          <w:i/>
          <w:spacing w:val="-9"/>
        </w:rPr>
        <w:t> </w:t>
      </w:r>
      <w:r>
        <w:rPr>
          <w:i/>
        </w:rPr>
        <w:t>Children</w:t>
      </w:r>
      <w:r>
        <w:rPr>
          <w:i/>
          <w:spacing w:val="-10"/>
        </w:rPr>
        <w:t> </w:t>
      </w:r>
      <w:r>
        <w:rPr>
          <w:i/>
        </w:rPr>
        <w:t>in</w:t>
      </w:r>
      <w:r>
        <w:rPr>
          <w:i/>
          <w:spacing w:val="-10"/>
        </w:rPr>
        <w:t> </w:t>
      </w:r>
      <w:r>
        <w:rPr>
          <w:i/>
        </w:rPr>
        <w:t>Foster</w:t>
      </w:r>
      <w:r>
        <w:rPr>
          <w:i/>
          <w:spacing w:val="-10"/>
        </w:rPr>
        <w:t> </w:t>
      </w:r>
      <w:r>
        <w:rPr>
          <w:i/>
        </w:rPr>
        <w:t>Care</w:t>
      </w:r>
      <w:r>
        <w:rPr>
          <w:i/>
          <w:spacing w:val="-11"/>
        </w:rPr>
        <w:t> </w:t>
      </w:r>
      <w:r>
        <w:rPr/>
        <w:t>(</w:t>
      </w:r>
      <w:hyperlink r:id="rId56">
        <w:r>
          <w:rPr>
            <w:b/>
            <w:color w:val="1153CC"/>
            <w:u w:val="single" w:color="1153CC"/>
          </w:rPr>
          <w:t>S.</w:t>
        </w:r>
        <w:r>
          <w:rPr>
            <w:b/>
            <w:color w:val="1153CC"/>
            <w:spacing w:val="-10"/>
            <w:u w:val="single" w:color="1153CC"/>
          </w:rPr>
          <w:t> </w:t>
        </w:r>
        <w:r>
          <w:rPr>
            <w:b/>
            <w:color w:val="1153CC"/>
            <w:u w:val="single" w:color="1153CC"/>
          </w:rPr>
          <w:t>68</w:t>
        </w:r>
      </w:hyperlink>
      <w:r>
        <w:rPr>
          <w:b/>
          <w:color w:val="1153CC"/>
          <w:spacing w:val="-10"/>
          <w:u w:val="none"/>
        </w:rPr>
        <w:t> </w:t>
      </w:r>
      <w:r>
        <w:rPr>
          <w:b/>
          <w:u w:val="none"/>
        </w:rPr>
        <w:t>/</w:t>
      </w:r>
      <w:r>
        <w:rPr>
          <w:b/>
          <w:spacing w:val="-9"/>
          <w:u w:val="none"/>
        </w:rPr>
        <w:t> </w:t>
      </w:r>
      <w:hyperlink r:id="rId57">
        <w:r>
          <w:rPr>
            <w:b/>
            <w:color w:val="1153CC"/>
            <w:u w:val="single" w:color="1153CC"/>
          </w:rPr>
          <w:t>H.164</w:t>
        </w:r>
      </w:hyperlink>
      <w:r>
        <w:rPr>
          <w:u w:val="none"/>
        </w:rPr>
        <w:t>)</w:t>
      </w:r>
      <w:r>
        <w:rPr>
          <w:spacing w:val="-10"/>
          <w:u w:val="none"/>
        </w:rPr>
        <w:t> </w:t>
      </w:r>
      <w:r>
        <w:rPr>
          <w:u w:val="none"/>
        </w:rPr>
        <w:t>which</w:t>
      </w:r>
      <w:r>
        <w:rPr>
          <w:spacing w:val="-9"/>
          <w:u w:val="none"/>
        </w:rPr>
        <w:t> </w:t>
      </w:r>
      <w:r>
        <w:rPr>
          <w:u w:val="none"/>
        </w:rPr>
        <w:t>would</w:t>
      </w:r>
      <w:r>
        <w:rPr>
          <w:spacing w:val="-10"/>
          <w:u w:val="none"/>
        </w:rPr>
        <w:t> </w:t>
      </w:r>
      <w:r>
        <w:rPr>
          <w:u w:val="none"/>
        </w:rPr>
        <w:t>require</w:t>
      </w:r>
      <w:r>
        <w:rPr>
          <w:spacing w:val="-10"/>
          <w:u w:val="none"/>
        </w:rPr>
        <w:t> </w:t>
      </w:r>
      <w:r>
        <w:rPr>
          <w:u w:val="none"/>
        </w:rPr>
        <w:t>DCF</w:t>
      </w:r>
      <w:r>
        <w:rPr>
          <w:spacing w:val="-10"/>
          <w:u w:val="none"/>
        </w:rPr>
        <w:t> </w:t>
      </w:r>
      <w:r>
        <w:rPr>
          <w:u w:val="none"/>
        </w:rPr>
        <w:t>to</w:t>
      </w:r>
      <w:r>
        <w:rPr>
          <w:spacing w:val="-8"/>
          <w:u w:val="none"/>
        </w:rPr>
        <w:t> </w:t>
      </w:r>
      <w:r>
        <w:rPr>
          <w:u w:val="none"/>
        </w:rPr>
        <w:t>present</w:t>
      </w:r>
      <w:r>
        <w:rPr>
          <w:spacing w:val="-11"/>
          <w:u w:val="none"/>
        </w:rPr>
        <w:t> </w:t>
      </w:r>
      <w:r>
        <w:rPr>
          <w:u w:val="none"/>
        </w:rPr>
        <w:t>a</w:t>
      </w:r>
      <w:r>
        <w:rPr>
          <w:spacing w:val="-9"/>
          <w:u w:val="none"/>
        </w:rPr>
        <w:t> </w:t>
      </w:r>
      <w:r>
        <w:rPr>
          <w:u w:val="none"/>
        </w:rPr>
        <w:t>copy</w:t>
      </w:r>
      <w:r>
        <w:rPr>
          <w:spacing w:val="-10"/>
          <w:u w:val="none"/>
        </w:rPr>
        <w:t> </w:t>
      </w:r>
      <w:r>
        <w:rPr>
          <w:u w:val="none"/>
        </w:rPr>
        <w:t>of</w:t>
      </w:r>
      <w:r>
        <w:rPr>
          <w:spacing w:val="-9"/>
          <w:u w:val="none"/>
        </w:rPr>
        <w:t> </w:t>
      </w:r>
      <w:r>
        <w:rPr>
          <w:u w:val="none"/>
        </w:rPr>
        <w:t>these</w:t>
      </w:r>
      <w:r>
        <w:rPr>
          <w:spacing w:val="-10"/>
          <w:u w:val="none"/>
        </w:rPr>
        <w:t> </w:t>
      </w:r>
      <w:r>
        <w:rPr>
          <w:u w:val="none"/>
        </w:rPr>
        <w:t>rights to youth, and their attorneys.</w:t>
      </w:r>
    </w:p>
    <w:p>
      <w:pPr>
        <w:numPr>
          <w:ilvl w:val="0"/>
          <w:numId w:val="15"/>
        </w:numPr>
        <w:tabs>
          <w:tab w:pos="461" w:val="left" w:leader="none"/>
          <w:tab w:pos="463" w:val="left" w:leader="none"/>
        </w:tabs>
        <w:spacing w:line="276" w:lineRule="auto" w:before="239"/>
        <w:ind w:left="463" w:right="284" w:hanging="360"/>
        <w:jc w:val="left"/>
        <w:rPr>
          <w:b/>
          <w:sz w:val="22"/>
        </w:rPr>
      </w:pPr>
      <w:bookmarkStart w:name="11. Improve Massachusetts child abuse la" w:id="94"/>
      <w:bookmarkEnd w:id="94"/>
      <w:r>
        <w:rPr/>
      </w:r>
      <w:r>
        <w:rPr>
          <w:b/>
          <w:sz w:val="22"/>
        </w:rPr>
        <w:t>Improve Massachusetts</w:t>
      </w:r>
      <w:r>
        <w:rPr>
          <w:b/>
          <w:spacing w:val="-1"/>
          <w:sz w:val="22"/>
        </w:rPr>
        <w:t> </w:t>
      </w:r>
      <w:r>
        <w:rPr>
          <w:b/>
          <w:sz w:val="22"/>
        </w:rPr>
        <w:t>child</w:t>
      </w:r>
      <w:r>
        <w:rPr>
          <w:b/>
          <w:spacing w:val="-1"/>
          <w:sz w:val="22"/>
        </w:rPr>
        <w:t> </w:t>
      </w:r>
      <w:r>
        <w:rPr>
          <w:b/>
          <w:sz w:val="22"/>
        </w:rPr>
        <w:t>abuse laws</w:t>
      </w:r>
      <w:r>
        <w:rPr>
          <w:b/>
          <w:spacing w:val="-1"/>
          <w:sz w:val="22"/>
        </w:rPr>
        <w:t> </w:t>
      </w:r>
      <w:r>
        <w:rPr>
          <w:b/>
          <w:sz w:val="22"/>
        </w:rPr>
        <w:t>to</w:t>
      </w:r>
      <w:r>
        <w:rPr>
          <w:b/>
          <w:spacing w:val="-1"/>
          <w:sz w:val="22"/>
        </w:rPr>
        <w:t> </w:t>
      </w:r>
      <w:r>
        <w:rPr>
          <w:b/>
          <w:sz w:val="22"/>
        </w:rPr>
        <w:t>explicitly include</w:t>
      </w:r>
      <w:r>
        <w:rPr>
          <w:b/>
          <w:spacing w:val="-1"/>
          <w:sz w:val="22"/>
        </w:rPr>
        <w:t> </w:t>
      </w:r>
      <w:r>
        <w:rPr>
          <w:b/>
          <w:sz w:val="22"/>
        </w:rPr>
        <w:t>the withholding of gender-affirming care for LGBTQ youth.</w:t>
      </w:r>
    </w:p>
    <w:p>
      <w:pPr>
        <w:pStyle w:val="BodyText"/>
        <w:spacing w:line="276" w:lineRule="auto" w:before="241"/>
        <w:ind w:left="463" w:right="283"/>
        <w:jc w:val="both"/>
      </w:pPr>
      <w:r>
        <w:rPr/>
        <w:t>With</w:t>
      </w:r>
      <w:r>
        <w:rPr>
          <w:spacing w:val="-13"/>
        </w:rPr>
        <w:t> </w:t>
      </w:r>
      <w:r>
        <w:rPr/>
        <w:t>the</w:t>
      </w:r>
      <w:r>
        <w:rPr>
          <w:spacing w:val="-12"/>
        </w:rPr>
        <w:t> </w:t>
      </w:r>
      <w:r>
        <w:rPr/>
        <w:t>significant</w:t>
      </w:r>
      <w:r>
        <w:rPr>
          <w:spacing w:val="-13"/>
        </w:rPr>
        <w:t> </w:t>
      </w:r>
      <w:r>
        <w:rPr/>
        <w:t>rise</w:t>
      </w:r>
      <w:r>
        <w:rPr>
          <w:spacing w:val="-12"/>
        </w:rPr>
        <w:t> </w:t>
      </w:r>
      <w:r>
        <w:rPr/>
        <w:t>in</w:t>
      </w:r>
      <w:r>
        <w:rPr>
          <w:spacing w:val="-13"/>
        </w:rPr>
        <w:t> </w:t>
      </w:r>
      <w:r>
        <w:rPr/>
        <w:t>public</w:t>
      </w:r>
      <w:r>
        <w:rPr>
          <w:spacing w:val="-12"/>
        </w:rPr>
        <w:t> </w:t>
      </w:r>
      <w:r>
        <w:rPr/>
        <w:t>transphobia</w:t>
      </w:r>
      <w:r>
        <w:rPr>
          <w:spacing w:val="-13"/>
        </w:rPr>
        <w:t> </w:t>
      </w:r>
      <w:r>
        <w:rPr/>
        <w:t>across</w:t>
      </w:r>
      <w:r>
        <w:rPr>
          <w:spacing w:val="-12"/>
        </w:rPr>
        <w:t> </w:t>
      </w:r>
      <w:r>
        <w:rPr/>
        <w:t>the</w:t>
      </w:r>
      <w:r>
        <w:rPr>
          <w:spacing w:val="-12"/>
        </w:rPr>
        <w:t> </w:t>
      </w:r>
      <w:r>
        <w:rPr/>
        <w:t>state,</w:t>
      </w:r>
      <w:r>
        <w:rPr>
          <w:spacing w:val="-13"/>
        </w:rPr>
        <w:t> </w:t>
      </w:r>
      <w:r>
        <w:rPr/>
        <w:t>the</w:t>
      </w:r>
      <w:r>
        <w:rPr>
          <w:spacing w:val="-12"/>
        </w:rPr>
        <w:t> </w:t>
      </w:r>
      <w:r>
        <w:rPr/>
        <w:t>Commission</w:t>
      </w:r>
      <w:r>
        <w:rPr>
          <w:spacing w:val="-13"/>
        </w:rPr>
        <w:t> </w:t>
      </w:r>
      <w:r>
        <w:rPr/>
        <w:t>has</w:t>
      </w:r>
      <w:r>
        <w:rPr>
          <w:spacing w:val="-12"/>
        </w:rPr>
        <w:t> </w:t>
      </w:r>
      <w:r>
        <w:rPr/>
        <w:t>serious</w:t>
      </w:r>
      <w:r>
        <w:rPr>
          <w:spacing w:val="-13"/>
        </w:rPr>
        <w:t> </w:t>
      </w:r>
      <w:r>
        <w:rPr/>
        <w:t>concerns</w:t>
      </w:r>
      <w:r>
        <w:rPr>
          <w:spacing w:val="-12"/>
        </w:rPr>
        <w:t> </w:t>
      </w:r>
      <w:r>
        <w:rPr/>
        <w:t>about the wellbeing of trans and gender expansive youth in the home, and advises that the state examine current laws around child abuse and welfare to ensure that the unique situations faced by LGBTQ youth are</w:t>
      </w:r>
      <w:r>
        <w:rPr>
          <w:spacing w:val="-5"/>
        </w:rPr>
        <w:t> </w:t>
      </w:r>
      <w:r>
        <w:rPr/>
        <w:t>being</w:t>
      </w:r>
      <w:r>
        <w:rPr>
          <w:spacing w:val="-4"/>
        </w:rPr>
        <w:t> </w:t>
      </w:r>
      <w:r>
        <w:rPr/>
        <w:t>addressed.</w:t>
      </w:r>
      <w:r>
        <w:rPr>
          <w:spacing w:val="-5"/>
        </w:rPr>
        <w:t> </w:t>
      </w:r>
      <w:r>
        <w:rPr/>
        <w:t>In</w:t>
      </w:r>
      <w:r>
        <w:rPr>
          <w:spacing w:val="-4"/>
        </w:rPr>
        <w:t> </w:t>
      </w:r>
      <w:r>
        <w:rPr/>
        <w:t>particular,</w:t>
      </w:r>
      <w:r>
        <w:rPr>
          <w:spacing w:val="-4"/>
        </w:rPr>
        <w:t> </w:t>
      </w:r>
      <w:r>
        <w:rPr/>
        <w:t>the</w:t>
      </w:r>
      <w:r>
        <w:rPr>
          <w:spacing w:val="-4"/>
        </w:rPr>
        <w:t> </w:t>
      </w:r>
      <w:r>
        <w:rPr/>
        <w:t>Commission</w:t>
      </w:r>
      <w:r>
        <w:rPr>
          <w:spacing w:val="-5"/>
        </w:rPr>
        <w:t> </w:t>
      </w:r>
      <w:r>
        <w:rPr/>
        <w:t>recommends</w:t>
      </w:r>
      <w:r>
        <w:rPr>
          <w:spacing w:val="-4"/>
        </w:rPr>
        <w:t> </w:t>
      </w:r>
      <w:r>
        <w:rPr/>
        <w:t>that</w:t>
      </w:r>
      <w:r>
        <w:rPr>
          <w:spacing w:val="-4"/>
        </w:rPr>
        <w:t> </w:t>
      </w:r>
      <w:r>
        <w:rPr/>
        <w:t>the</w:t>
      </w:r>
      <w:r>
        <w:rPr>
          <w:spacing w:val="-4"/>
        </w:rPr>
        <w:t> </w:t>
      </w:r>
      <w:r>
        <w:rPr/>
        <w:t>state</w:t>
      </w:r>
      <w:r>
        <w:rPr>
          <w:spacing w:val="-3"/>
        </w:rPr>
        <w:t> </w:t>
      </w:r>
      <w:r>
        <w:rPr/>
        <w:t>examine</w:t>
      </w:r>
      <w:r>
        <w:rPr>
          <w:spacing w:val="-3"/>
        </w:rPr>
        <w:t> </w:t>
      </w:r>
      <w:r>
        <w:rPr/>
        <w:t>the</w:t>
      </w:r>
      <w:r>
        <w:rPr>
          <w:spacing w:val="-4"/>
        </w:rPr>
        <w:t> </w:t>
      </w:r>
      <w:r>
        <w:rPr/>
        <w:t>possibility</w:t>
      </w:r>
      <w:r>
        <w:rPr>
          <w:spacing w:val="-5"/>
        </w:rPr>
        <w:t> </w:t>
      </w:r>
      <w:r>
        <w:rPr/>
        <w:t>of codifying gender-affirming child welfare protections in state law to better support youth and families.</w:t>
      </w:r>
    </w:p>
    <w:p>
      <w:pPr>
        <w:numPr>
          <w:ilvl w:val="0"/>
          <w:numId w:val="15"/>
        </w:numPr>
        <w:tabs>
          <w:tab w:pos="461" w:val="left" w:leader="none"/>
          <w:tab w:pos="463" w:val="left" w:leader="none"/>
        </w:tabs>
        <w:spacing w:line="276" w:lineRule="auto" w:before="240"/>
        <w:ind w:left="463" w:right="284" w:hanging="360"/>
        <w:jc w:val="left"/>
        <w:rPr>
          <w:b/>
          <w:sz w:val="22"/>
        </w:rPr>
      </w:pPr>
      <w:bookmarkStart w:name="12. Introduce the legislation needed to " w:id="95"/>
      <w:bookmarkEnd w:id="95"/>
      <w:r>
        <w:rPr/>
      </w:r>
      <w:r>
        <w:rPr>
          <w:b/>
          <w:sz w:val="22"/>
        </w:rPr>
        <w:t>Introduce</w:t>
      </w:r>
      <w:r>
        <w:rPr>
          <w:b/>
          <w:spacing w:val="38"/>
          <w:sz w:val="22"/>
        </w:rPr>
        <w:t> </w:t>
      </w:r>
      <w:r>
        <w:rPr>
          <w:b/>
          <w:sz w:val="22"/>
        </w:rPr>
        <w:t>the</w:t>
      </w:r>
      <w:r>
        <w:rPr>
          <w:b/>
          <w:spacing w:val="37"/>
          <w:sz w:val="22"/>
        </w:rPr>
        <w:t> </w:t>
      </w:r>
      <w:r>
        <w:rPr>
          <w:b/>
          <w:sz w:val="22"/>
        </w:rPr>
        <w:t>legislation</w:t>
      </w:r>
      <w:r>
        <w:rPr>
          <w:b/>
          <w:spacing w:val="38"/>
          <w:sz w:val="22"/>
        </w:rPr>
        <w:t> </w:t>
      </w:r>
      <w:r>
        <w:rPr>
          <w:b/>
          <w:sz w:val="22"/>
        </w:rPr>
        <w:t>needed</w:t>
      </w:r>
      <w:r>
        <w:rPr>
          <w:b/>
          <w:spacing w:val="38"/>
          <w:sz w:val="22"/>
        </w:rPr>
        <w:t> </w:t>
      </w:r>
      <w:r>
        <w:rPr>
          <w:b/>
          <w:sz w:val="22"/>
        </w:rPr>
        <w:t>to</w:t>
      </w:r>
      <w:r>
        <w:rPr>
          <w:b/>
          <w:spacing w:val="38"/>
          <w:sz w:val="22"/>
        </w:rPr>
        <w:t> </w:t>
      </w:r>
      <w:r>
        <w:rPr>
          <w:b/>
          <w:sz w:val="22"/>
        </w:rPr>
        <w:t>bring</w:t>
      </w:r>
      <w:r>
        <w:rPr>
          <w:b/>
          <w:spacing w:val="37"/>
          <w:sz w:val="22"/>
        </w:rPr>
        <w:t> </w:t>
      </w:r>
      <w:r>
        <w:rPr>
          <w:b/>
          <w:sz w:val="22"/>
        </w:rPr>
        <w:t>Massachusetts</w:t>
      </w:r>
      <w:r>
        <w:rPr>
          <w:b/>
          <w:spacing w:val="38"/>
          <w:sz w:val="22"/>
        </w:rPr>
        <w:t> </w:t>
      </w:r>
      <w:r>
        <w:rPr>
          <w:b/>
          <w:sz w:val="22"/>
        </w:rPr>
        <w:t>up</w:t>
      </w:r>
      <w:r>
        <w:rPr>
          <w:b/>
          <w:spacing w:val="38"/>
          <w:sz w:val="22"/>
        </w:rPr>
        <w:t> </w:t>
      </w:r>
      <w:r>
        <w:rPr>
          <w:b/>
          <w:sz w:val="22"/>
        </w:rPr>
        <w:t>to</w:t>
      </w:r>
      <w:r>
        <w:rPr>
          <w:b/>
          <w:spacing w:val="37"/>
          <w:sz w:val="22"/>
        </w:rPr>
        <w:t> </w:t>
      </w:r>
      <w:r>
        <w:rPr>
          <w:b/>
          <w:sz w:val="22"/>
        </w:rPr>
        <w:t>minimum</w:t>
      </w:r>
      <w:r>
        <w:rPr>
          <w:b/>
          <w:spacing w:val="39"/>
          <w:sz w:val="22"/>
        </w:rPr>
        <w:t> </w:t>
      </w:r>
      <w:r>
        <w:rPr>
          <w:b/>
          <w:sz w:val="22"/>
        </w:rPr>
        <w:t>standards</w:t>
      </w:r>
      <w:r>
        <w:rPr>
          <w:b/>
          <w:spacing w:val="38"/>
          <w:sz w:val="22"/>
        </w:rPr>
        <w:t> </w:t>
      </w:r>
      <w:r>
        <w:rPr>
          <w:b/>
          <w:sz w:val="22"/>
        </w:rPr>
        <w:t>of</w:t>
      </w:r>
      <w:r>
        <w:rPr>
          <w:b/>
          <w:spacing w:val="37"/>
          <w:sz w:val="22"/>
        </w:rPr>
        <w:t> </w:t>
      </w:r>
      <w:r>
        <w:rPr>
          <w:b/>
          <w:sz w:val="22"/>
        </w:rPr>
        <w:t>the</w:t>
      </w:r>
      <w:r>
        <w:rPr>
          <w:b/>
          <w:spacing w:val="37"/>
          <w:sz w:val="22"/>
        </w:rPr>
        <w:t> </w:t>
      </w:r>
      <w:r>
        <w:rPr>
          <w:b/>
          <w:sz w:val="22"/>
        </w:rPr>
        <w:t>United Nations Convention on the Rights of the Child.</w:t>
      </w:r>
    </w:p>
    <w:p>
      <w:pPr>
        <w:pStyle w:val="BodyText"/>
        <w:spacing w:line="276" w:lineRule="auto" w:before="240"/>
        <w:ind w:left="463" w:right="282"/>
        <w:jc w:val="both"/>
      </w:pPr>
      <w:r>
        <w:rPr/>
        <w:t>As discussed further below, the United States remains the only United Nations member state that has failed to ratify the most-ratified human rights treaty in world history: The United Nations Convention on the Rights of the Child (CRC). </w:t>
      </w:r>
      <w:hyperlink w:history="true" w:anchor="_bookmark10">
        <w:r>
          <w:rPr>
            <w:vertAlign w:val="superscript"/>
          </w:rPr>
          <w:t>1</w:t>
        </w:r>
      </w:hyperlink>
      <w:r>
        <w:rPr>
          <w:vertAlign w:val="baseline"/>
        </w:rPr>
        <w:t> In a 2022 Human Rights Watch evaluation of all 50 U.S. states, Massachusetts</w:t>
      </w:r>
      <w:r>
        <w:rPr>
          <w:spacing w:val="-6"/>
          <w:vertAlign w:val="baseline"/>
        </w:rPr>
        <w:t> </w:t>
      </w:r>
      <w:r>
        <w:rPr>
          <w:vertAlign w:val="baseline"/>
        </w:rPr>
        <w:t>-</w:t>
      </w:r>
      <w:r>
        <w:rPr>
          <w:spacing w:val="-7"/>
          <w:vertAlign w:val="baseline"/>
        </w:rPr>
        <w:t> </w:t>
      </w:r>
      <w:r>
        <w:rPr>
          <w:vertAlign w:val="baseline"/>
        </w:rPr>
        <w:t>like</w:t>
      </w:r>
      <w:r>
        <w:rPr>
          <w:spacing w:val="-7"/>
          <w:vertAlign w:val="baseline"/>
        </w:rPr>
        <w:t> </w:t>
      </w:r>
      <w:r>
        <w:rPr>
          <w:vertAlign w:val="baseline"/>
        </w:rPr>
        <w:t>most</w:t>
      </w:r>
      <w:r>
        <w:rPr>
          <w:spacing w:val="-6"/>
          <w:vertAlign w:val="baseline"/>
        </w:rPr>
        <w:t> </w:t>
      </w:r>
      <w:r>
        <w:rPr>
          <w:vertAlign w:val="baseline"/>
        </w:rPr>
        <w:t>other</w:t>
      </w:r>
      <w:r>
        <w:rPr>
          <w:spacing w:val="-6"/>
          <w:vertAlign w:val="baseline"/>
        </w:rPr>
        <w:t> </w:t>
      </w:r>
      <w:r>
        <w:rPr>
          <w:vertAlign w:val="baseline"/>
        </w:rPr>
        <w:t>states</w:t>
      </w:r>
      <w:r>
        <w:rPr>
          <w:spacing w:val="-6"/>
          <w:vertAlign w:val="baseline"/>
        </w:rPr>
        <w:t> </w:t>
      </w:r>
      <w:r>
        <w:rPr>
          <w:vertAlign w:val="baseline"/>
        </w:rPr>
        <w:t>-</w:t>
      </w:r>
      <w:r>
        <w:rPr>
          <w:spacing w:val="-6"/>
          <w:vertAlign w:val="baseline"/>
        </w:rPr>
        <w:t> </w:t>
      </w:r>
      <w:r>
        <w:rPr>
          <w:vertAlign w:val="baseline"/>
        </w:rPr>
        <w:t>earned</w:t>
      </w:r>
      <w:r>
        <w:rPr>
          <w:spacing w:val="-7"/>
          <w:vertAlign w:val="baseline"/>
        </w:rPr>
        <w:t> </w:t>
      </w:r>
      <w:r>
        <w:rPr>
          <w:vertAlign w:val="baseline"/>
        </w:rPr>
        <w:t>a</w:t>
      </w:r>
      <w:r>
        <w:rPr>
          <w:spacing w:val="-6"/>
          <w:vertAlign w:val="baseline"/>
        </w:rPr>
        <w:t> </w:t>
      </w:r>
      <w:r>
        <w:rPr>
          <w:vertAlign w:val="baseline"/>
        </w:rPr>
        <w:t>‘D’</w:t>
      </w:r>
      <w:r>
        <w:rPr>
          <w:spacing w:val="-6"/>
          <w:vertAlign w:val="baseline"/>
        </w:rPr>
        <w:t> </w:t>
      </w:r>
      <w:r>
        <w:rPr>
          <w:vertAlign w:val="baseline"/>
        </w:rPr>
        <w:t>in</w:t>
      </w:r>
      <w:r>
        <w:rPr>
          <w:spacing w:val="-7"/>
          <w:vertAlign w:val="baseline"/>
        </w:rPr>
        <w:t> </w:t>
      </w:r>
      <w:r>
        <w:rPr>
          <w:vertAlign w:val="baseline"/>
        </w:rPr>
        <w:t>its</w:t>
      </w:r>
      <w:r>
        <w:rPr>
          <w:spacing w:val="-6"/>
          <w:vertAlign w:val="baseline"/>
        </w:rPr>
        <w:t> </w:t>
      </w:r>
      <w:r>
        <w:rPr>
          <w:vertAlign w:val="baseline"/>
        </w:rPr>
        <w:t>protections</w:t>
      </w:r>
      <w:r>
        <w:rPr>
          <w:spacing w:val="-6"/>
          <w:vertAlign w:val="baseline"/>
        </w:rPr>
        <w:t> </w:t>
      </w:r>
      <w:r>
        <w:rPr>
          <w:vertAlign w:val="baseline"/>
        </w:rPr>
        <w:t>for</w:t>
      </w:r>
      <w:r>
        <w:rPr>
          <w:spacing w:val="-6"/>
          <w:vertAlign w:val="baseline"/>
        </w:rPr>
        <w:t> </w:t>
      </w:r>
      <w:r>
        <w:rPr>
          <w:vertAlign w:val="baseline"/>
        </w:rPr>
        <w:t>youth</w:t>
      </w:r>
      <w:r>
        <w:rPr>
          <w:spacing w:val="-7"/>
          <w:vertAlign w:val="baseline"/>
        </w:rPr>
        <w:t> </w:t>
      </w:r>
      <w:r>
        <w:rPr>
          <w:vertAlign w:val="baseline"/>
        </w:rPr>
        <w:t>in</w:t>
      </w:r>
      <w:r>
        <w:rPr>
          <w:spacing w:val="-7"/>
          <w:vertAlign w:val="baseline"/>
        </w:rPr>
        <w:t> </w:t>
      </w:r>
      <w:r>
        <w:rPr>
          <w:vertAlign w:val="baseline"/>
        </w:rPr>
        <w:t>the</w:t>
      </w:r>
      <w:r>
        <w:rPr>
          <w:spacing w:val="-7"/>
          <w:vertAlign w:val="baseline"/>
        </w:rPr>
        <w:t> </w:t>
      </w:r>
      <w:r>
        <w:rPr>
          <w:vertAlign w:val="baseline"/>
        </w:rPr>
        <w:t>Commonwealth.</w:t>
      </w:r>
      <w:r>
        <w:rPr>
          <w:spacing w:val="-7"/>
          <w:vertAlign w:val="baseline"/>
        </w:rPr>
        <w:t> </w:t>
      </w:r>
      <w:r>
        <w:rPr>
          <w:vertAlign w:val="baseline"/>
        </w:rPr>
        <w:t>In order to bring Massachusetts up to the minimum standards of the convention, the Commission recommends that the state abolish corporal punishment in all settings, including private schools, alternative care settings, and penal settings; and increase the minimum age of juvenile jurisdiction from 12 to 14.</w:t>
      </w:r>
    </w:p>
    <w:p>
      <w:pPr>
        <w:spacing w:after="0" w:line="276" w:lineRule="auto"/>
        <w:jc w:val="both"/>
        <w:sectPr>
          <w:pgSz w:w="12240" w:h="15840"/>
          <w:pgMar w:header="804" w:footer="1263" w:top="1000" w:bottom="1460" w:left="980" w:right="1160"/>
        </w:sectPr>
      </w:pPr>
    </w:p>
    <w:p>
      <w:pPr>
        <w:spacing w:before="138"/>
        <w:ind w:left="463" w:right="0" w:firstLine="0"/>
        <w:jc w:val="left"/>
        <w:rPr>
          <w:sz w:val="28"/>
        </w:rPr>
      </w:pPr>
      <w:bookmarkStart w:name="Research: Defining What it Means for You" w:id="96"/>
      <w:bookmarkEnd w:id="96"/>
      <w:r>
        <w:rPr/>
      </w:r>
      <w:r>
        <w:rPr>
          <w:color w:val="365F91"/>
          <w:sz w:val="28"/>
        </w:rPr>
        <w:t>Research:</w:t>
      </w:r>
      <w:r>
        <w:rPr>
          <w:color w:val="365F91"/>
          <w:spacing w:val="-7"/>
          <w:sz w:val="28"/>
        </w:rPr>
        <w:t> </w:t>
      </w:r>
      <w:r>
        <w:rPr>
          <w:color w:val="365F91"/>
          <w:sz w:val="28"/>
        </w:rPr>
        <w:t>Defining</w:t>
      </w:r>
      <w:r>
        <w:rPr>
          <w:color w:val="365F91"/>
          <w:spacing w:val="-7"/>
          <w:sz w:val="28"/>
        </w:rPr>
        <w:t> </w:t>
      </w:r>
      <w:r>
        <w:rPr>
          <w:color w:val="365F91"/>
          <w:sz w:val="28"/>
        </w:rPr>
        <w:t>What</w:t>
      </w:r>
      <w:r>
        <w:rPr>
          <w:color w:val="365F91"/>
          <w:spacing w:val="-8"/>
          <w:sz w:val="28"/>
        </w:rPr>
        <w:t> </w:t>
      </w:r>
      <w:r>
        <w:rPr>
          <w:color w:val="365F91"/>
          <w:sz w:val="28"/>
        </w:rPr>
        <w:t>it</w:t>
      </w:r>
      <w:r>
        <w:rPr>
          <w:color w:val="365F91"/>
          <w:spacing w:val="-8"/>
          <w:sz w:val="28"/>
        </w:rPr>
        <w:t> </w:t>
      </w:r>
      <w:r>
        <w:rPr>
          <w:color w:val="365F91"/>
          <w:sz w:val="28"/>
        </w:rPr>
        <w:t>Means</w:t>
      </w:r>
      <w:r>
        <w:rPr>
          <w:color w:val="365F91"/>
          <w:spacing w:val="-8"/>
          <w:sz w:val="28"/>
        </w:rPr>
        <w:t> </w:t>
      </w:r>
      <w:r>
        <w:rPr>
          <w:color w:val="365F91"/>
          <w:sz w:val="28"/>
        </w:rPr>
        <w:t>for</w:t>
      </w:r>
      <w:r>
        <w:rPr>
          <w:color w:val="365F91"/>
          <w:spacing w:val="-9"/>
          <w:sz w:val="28"/>
        </w:rPr>
        <w:t> </w:t>
      </w:r>
      <w:r>
        <w:rPr>
          <w:color w:val="365F91"/>
          <w:sz w:val="28"/>
        </w:rPr>
        <w:t>Youth</w:t>
      </w:r>
      <w:r>
        <w:rPr>
          <w:color w:val="365F91"/>
          <w:spacing w:val="-8"/>
          <w:sz w:val="28"/>
        </w:rPr>
        <w:t> </w:t>
      </w:r>
      <w:r>
        <w:rPr>
          <w:color w:val="365F91"/>
          <w:sz w:val="28"/>
        </w:rPr>
        <w:t>to</w:t>
      </w:r>
      <w:r>
        <w:rPr>
          <w:color w:val="365F91"/>
          <w:spacing w:val="-8"/>
          <w:sz w:val="28"/>
        </w:rPr>
        <w:t> </w:t>
      </w:r>
      <w:r>
        <w:rPr>
          <w:color w:val="365F91"/>
          <w:spacing w:val="-2"/>
          <w:sz w:val="28"/>
        </w:rPr>
        <w:t>Thrive</w:t>
      </w:r>
    </w:p>
    <w:p>
      <w:pPr>
        <w:pStyle w:val="BodyText"/>
        <w:spacing w:before="9"/>
        <w:rPr>
          <w:sz w:val="3"/>
        </w:rPr>
      </w:pPr>
      <w:r>
        <w:rPr/>
        <mc:AlternateContent>
          <mc:Choice Requires="wps">
            <w:drawing>
              <wp:anchor distT="0" distB="0" distL="0" distR="0" allowOverlap="1" layoutInCell="1" locked="0" behindDoc="1" simplePos="0" relativeHeight="487596544">
                <wp:simplePos x="0" y="0"/>
                <wp:positionH relativeFrom="page">
                  <wp:posOffset>897636</wp:posOffset>
                </wp:positionH>
                <wp:positionV relativeFrom="paragraph">
                  <wp:posOffset>44515</wp:posOffset>
                </wp:positionV>
                <wp:extent cx="5976620" cy="635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5156pt;width:470.58pt;height:.48pt;mso-position-horizontal-relative:page;mso-position-vertical-relative:paragraph;z-index:-15719936;mso-wrap-distance-left:0;mso-wrap-distance-right:0" id="docshape66" filled="true" fillcolor="#4f81bc" stroked="false">
                <v:fill type="solid"/>
                <w10:wrap type="topAndBottom"/>
              </v:rect>
            </w:pict>
          </mc:Fallback>
        </mc:AlternateContent>
      </w:r>
    </w:p>
    <w:p>
      <w:pPr>
        <w:pStyle w:val="BodyText"/>
        <w:spacing w:line="276" w:lineRule="auto" w:before="241"/>
        <w:ind w:left="463" w:right="281"/>
        <w:jc w:val="both"/>
      </w:pPr>
      <w:r>
        <w:rPr/>
        <w:t>The development of effective policies to support LGBTQ young people begins with an understanding of the</w:t>
      </w:r>
      <w:r>
        <w:rPr>
          <w:spacing w:val="-6"/>
        </w:rPr>
        <w:t> </w:t>
      </w:r>
      <w:r>
        <w:rPr/>
        <w:t>youth</w:t>
      </w:r>
      <w:r>
        <w:rPr>
          <w:spacing w:val="-7"/>
        </w:rPr>
        <w:t> </w:t>
      </w:r>
      <w:r>
        <w:rPr/>
        <w:t>themselves.</w:t>
      </w:r>
      <w:r>
        <w:rPr>
          <w:spacing w:val="-8"/>
        </w:rPr>
        <w:t> </w:t>
      </w:r>
      <w:r>
        <w:rPr/>
        <w:t>For</w:t>
      </w:r>
      <w:r>
        <w:rPr>
          <w:spacing w:val="-5"/>
        </w:rPr>
        <w:t> </w:t>
      </w:r>
      <w:r>
        <w:rPr/>
        <w:t>many,</w:t>
      </w:r>
      <w:r>
        <w:rPr>
          <w:spacing w:val="-7"/>
        </w:rPr>
        <w:t> </w:t>
      </w:r>
      <w:r>
        <w:rPr/>
        <w:t>their</w:t>
      </w:r>
      <w:r>
        <w:rPr>
          <w:spacing w:val="-6"/>
        </w:rPr>
        <w:t> </w:t>
      </w:r>
      <w:r>
        <w:rPr/>
        <w:t>lived</w:t>
      </w:r>
      <w:r>
        <w:rPr>
          <w:spacing w:val="-8"/>
        </w:rPr>
        <w:t> </w:t>
      </w:r>
      <w:r>
        <w:rPr/>
        <w:t>reality</w:t>
      </w:r>
      <w:r>
        <w:rPr>
          <w:spacing w:val="-6"/>
        </w:rPr>
        <w:t> </w:t>
      </w:r>
      <w:r>
        <w:rPr/>
        <w:t>involves</w:t>
      </w:r>
      <w:r>
        <w:rPr>
          <w:spacing w:val="-7"/>
        </w:rPr>
        <w:t> </w:t>
      </w:r>
      <w:r>
        <w:rPr/>
        <w:t>intersectionality—multiple</w:t>
      </w:r>
      <w:r>
        <w:rPr>
          <w:spacing w:val="-6"/>
        </w:rPr>
        <w:t> </w:t>
      </w:r>
      <w:r>
        <w:rPr/>
        <w:t>layers</w:t>
      </w:r>
      <w:r>
        <w:rPr>
          <w:spacing w:val="-7"/>
        </w:rPr>
        <w:t> </w:t>
      </w:r>
      <w:r>
        <w:rPr/>
        <w:t>of</w:t>
      </w:r>
      <w:r>
        <w:rPr>
          <w:spacing w:val="-7"/>
        </w:rPr>
        <w:t> </w:t>
      </w:r>
      <w:r>
        <w:rPr/>
        <w:t>identity</w:t>
      </w:r>
      <w:hyperlink w:history="true" w:anchor="_bookmark17">
        <w:r>
          <w:rPr/>
          <w:t>.</w:t>
        </w:r>
        <w:r>
          <w:rPr>
            <w:vertAlign w:val="superscript"/>
          </w:rPr>
          <w:t>9</w:t>
        </w:r>
      </w:hyperlink>
      <w:r>
        <w:rPr>
          <w:vertAlign w:val="baseline"/>
        </w:rPr>
        <w:t> An LGBTQ young person, already a member of a vulnerable group, may belong to multiple groups, including racial, ethnic, linguistic, religious, cognitive, and ability-related minorities. Many of the Commonwealth’s LGBTQ young people identify with multiple groups, and this intersectionality hold significant implications, both for opportunity and for oppression. Diversity merits positive recognition as a</w:t>
      </w:r>
      <w:r>
        <w:rPr>
          <w:spacing w:val="-5"/>
          <w:vertAlign w:val="baseline"/>
        </w:rPr>
        <w:t> </w:t>
      </w:r>
      <w:r>
        <w:rPr>
          <w:vertAlign w:val="baseline"/>
        </w:rPr>
        <w:t>source</w:t>
      </w:r>
      <w:r>
        <w:rPr>
          <w:spacing w:val="-6"/>
          <w:vertAlign w:val="baseline"/>
        </w:rPr>
        <w:t> </w:t>
      </w:r>
      <w:r>
        <w:rPr>
          <w:vertAlign w:val="baseline"/>
        </w:rPr>
        <w:t>of</w:t>
      </w:r>
      <w:r>
        <w:rPr>
          <w:spacing w:val="-5"/>
          <w:vertAlign w:val="baseline"/>
        </w:rPr>
        <w:t> </w:t>
      </w:r>
      <w:r>
        <w:rPr>
          <w:vertAlign w:val="baseline"/>
        </w:rPr>
        <w:t>strength</w:t>
      </w:r>
      <w:r>
        <w:rPr>
          <w:spacing w:val="-4"/>
          <w:vertAlign w:val="baseline"/>
        </w:rPr>
        <w:t> </w:t>
      </w:r>
      <w:r>
        <w:rPr>
          <w:vertAlign w:val="baseline"/>
        </w:rPr>
        <w:t>for</w:t>
      </w:r>
      <w:r>
        <w:rPr>
          <w:spacing w:val="-5"/>
          <w:vertAlign w:val="baseline"/>
        </w:rPr>
        <w:t> </w:t>
      </w:r>
      <w:r>
        <w:rPr>
          <w:vertAlign w:val="baseline"/>
        </w:rPr>
        <w:t>our</w:t>
      </w:r>
      <w:r>
        <w:rPr>
          <w:spacing w:val="-5"/>
          <w:vertAlign w:val="baseline"/>
        </w:rPr>
        <w:t> </w:t>
      </w:r>
      <w:r>
        <w:rPr>
          <w:vertAlign w:val="baseline"/>
        </w:rPr>
        <w:t>society.</w:t>
      </w:r>
      <w:r>
        <w:rPr>
          <w:spacing w:val="-4"/>
          <w:vertAlign w:val="baseline"/>
        </w:rPr>
        <w:t> </w:t>
      </w:r>
      <w:r>
        <w:rPr>
          <w:vertAlign w:val="baseline"/>
        </w:rPr>
        <w:t>However,</w:t>
      </w:r>
      <w:r>
        <w:rPr>
          <w:spacing w:val="-5"/>
          <w:vertAlign w:val="baseline"/>
        </w:rPr>
        <w:t> </w:t>
      </w:r>
      <w:r>
        <w:rPr>
          <w:vertAlign w:val="baseline"/>
        </w:rPr>
        <w:t>as</w:t>
      </w:r>
      <w:r>
        <w:rPr>
          <w:spacing w:val="-5"/>
          <w:vertAlign w:val="baseline"/>
        </w:rPr>
        <w:t> </w:t>
      </w:r>
      <w:r>
        <w:rPr>
          <w:vertAlign w:val="baseline"/>
        </w:rPr>
        <w:t>detailed</w:t>
      </w:r>
      <w:r>
        <w:rPr>
          <w:spacing w:val="-6"/>
          <w:vertAlign w:val="baseline"/>
        </w:rPr>
        <w:t> </w:t>
      </w:r>
      <w:r>
        <w:rPr>
          <w:vertAlign w:val="baseline"/>
        </w:rPr>
        <w:t>further</w:t>
      </w:r>
      <w:r>
        <w:rPr>
          <w:spacing w:val="-5"/>
          <w:vertAlign w:val="baseline"/>
        </w:rPr>
        <w:t> </w:t>
      </w:r>
      <w:r>
        <w:rPr>
          <w:vertAlign w:val="baseline"/>
        </w:rPr>
        <w:t>in</w:t>
      </w:r>
      <w:r>
        <w:rPr>
          <w:spacing w:val="-6"/>
          <w:vertAlign w:val="baseline"/>
        </w:rPr>
        <w:t> </w:t>
      </w:r>
      <w:r>
        <w:rPr>
          <w:vertAlign w:val="baseline"/>
        </w:rPr>
        <w:t>several</w:t>
      </w:r>
      <w:r>
        <w:rPr>
          <w:spacing w:val="-6"/>
          <w:vertAlign w:val="baseline"/>
        </w:rPr>
        <w:t> </w:t>
      </w:r>
      <w:r>
        <w:rPr>
          <w:vertAlign w:val="baseline"/>
        </w:rPr>
        <w:t>of</w:t>
      </w:r>
      <w:r>
        <w:rPr>
          <w:spacing w:val="-5"/>
          <w:vertAlign w:val="baseline"/>
        </w:rPr>
        <w:t> </w:t>
      </w:r>
      <w:r>
        <w:rPr>
          <w:vertAlign w:val="baseline"/>
        </w:rPr>
        <w:t>the</w:t>
      </w:r>
      <w:r>
        <w:rPr>
          <w:spacing w:val="-6"/>
          <w:vertAlign w:val="baseline"/>
        </w:rPr>
        <w:t> </w:t>
      </w:r>
      <w:r>
        <w:rPr>
          <w:vertAlign w:val="baseline"/>
        </w:rPr>
        <w:t>subsequent</w:t>
      </w:r>
      <w:r>
        <w:rPr>
          <w:spacing w:val="-6"/>
          <w:vertAlign w:val="baseline"/>
        </w:rPr>
        <w:t> </w:t>
      </w:r>
      <w:r>
        <w:rPr>
          <w:vertAlign w:val="baseline"/>
        </w:rPr>
        <w:t>sections</w:t>
      </w:r>
      <w:r>
        <w:rPr>
          <w:spacing w:val="-5"/>
          <w:vertAlign w:val="baseline"/>
        </w:rPr>
        <w:t> </w:t>
      </w:r>
      <w:r>
        <w:rPr>
          <w:vertAlign w:val="baseline"/>
        </w:rPr>
        <w:t>of the Commission’s report, the harsh realities of minority stress experienced by LGBTQ youth</w:t>
      </w:r>
      <w:hyperlink w:history="true" w:anchor="_bookmark18">
        <w:r>
          <w:rPr>
            <w:vertAlign w:val="superscript"/>
          </w:rPr>
          <w:t>10</w:t>
        </w:r>
      </w:hyperlink>
      <w:r>
        <w:rPr>
          <w:vertAlign w:val="baseline"/>
        </w:rPr>
        <w:t> can be compounded when youth identify with additional minority groups. A recent report from The Trevor Project illustrates this challenge,</w:t>
      </w:r>
    </w:p>
    <w:p>
      <w:pPr>
        <w:pStyle w:val="BodyText"/>
        <w:spacing w:line="276" w:lineRule="auto" w:before="241"/>
        <w:ind w:left="463" w:right="283" w:firstLine="2"/>
        <w:jc w:val="both"/>
      </w:pPr>
      <w:r>
        <w:rPr>
          <w:color w:val="4F81BB"/>
        </w:rPr>
        <w:t>“LGBTQ</w:t>
      </w:r>
      <w:r>
        <w:rPr>
          <w:color w:val="4F81BB"/>
          <w:spacing w:val="-7"/>
        </w:rPr>
        <w:t> </w:t>
      </w:r>
      <w:r>
        <w:rPr>
          <w:color w:val="4F81BB"/>
        </w:rPr>
        <w:t>youth</w:t>
      </w:r>
      <w:r>
        <w:rPr>
          <w:color w:val="4F81BB"/>
          <w:spacing w:val="-8"/>
        </w:rPr>
        <w:t> </w:t>
      </w:r>
      <w:r>
        <w:rPr>
          <w:color w:val="4F81BB"/>
        </w:rPr>
        <w:t>of</w:t>
      </w:r>
      <w:r>
        <w:rPr>
          <w:color w:val="4F81BB"/>
          <w:spacing w:val="-6"/>
        </w:rPr>
        <w:t> </w:t>
      </w:r>
      <w:r>
        <w:rPr>
          <w:color w:val="4F81BB"/>
        </w:rPr>
        <w:t>color</w:t>
      </w:r>
      <w:r>
        <w:rPr>
          <w:color w:val="4F81BB"/>
          <w:spacing w:val="-6"/>
        </w:rPr>
        <w:t> </w:t>
      </w:r>
      <w:r>
        <w:rPr>
          <w:color w:val="4F81BB"/>
        </w:rPr>
        <w:t>may</w:t>
      </w:r>
      <w:r>
        <w:rPr>
          <w:color w:val="4F81BB"/>
          <w:spacing w:val="-6"/>
        </w:rPr>
        <w:t> </w:t>
      </w:r>
      <w:r>
        <w:rPr>
          <w:color w:val="4F81BB"/>
        </w:rPr>
        <w:t>have</w:t>
      </w:r>
      <w:r>
        <w:rPr>
          <w:color w:val="4F81BB"/>
          <w:spacing w:val="-8"/>
        </w:rPr>
        <w:t> </w:t>
      </w:r>
      <w:r>
        <w:rPr>
          <w:color w:val="4F81BB"/>
        </w:rPr>
        <w:t>parents</w:t>
      </w:r>
      <w:r>
        <w:rPr>
          <w:color w:val="4F81BB"/>
          <w:spacing w:val="-7"/>
        </w:rPr>
        <w:t> </w:t>
      </w:r>
      <w:r>
        <w:rPr>
          <w:color w:val="4F81BB"/>
        </w:rPr>
        <w:t>or</w:t>
      </w:r>
      <w:r>
        <w:rPr>
          <w:color w:val="4F81BB"/>
          <w:spacing w:val="-6"/>
        </w:rPr>
        <w:t> </w:t>
      </w:r>
      <w:r>
        <w:rPr>
          <w:color w:val="4F81BB"/>
        </w:rPr>
        <w:t>caregivers</w:t>
      </w:r>
      <w:r>
        <w:rPr>
          <w:color w:val="4F81BB"/>
          <w:spacing w:val="-6"/>
        </w:rPr>
        <w:t> </w:t>
      </w:r>
      <w:r>
        <w:rPr>
          <w:color w:val="4F81BB"/>
        </w:rPr>
        <w:t>who</w:t>
      </w:r>
      <w:r>
        <w:rPr>
          <w:color w:val="4F81BB"/>
          <w:spacing w:val="-7"/>
        </w:rPr>
        <w:t> </w:t>
      </w:r>
      <w:r>
        <w:rPr>
          <w:color w:val="4F81BB"/>
        </w:rPr>
        <w:t>have</w:t>
      </w:r>
      <w:r>
        <w:rPr>
          <w:color w:val="4F81BB"/>
          <w:spacing w:val="-7"/>
        </w:rPr>
        <w:t> </w:t>
      </w:r>
      <w:r>
        <w:rPr>
          <w:color w:val="4F81BB"/>
        </w:rPr>
        <w:t>concerns</w:t>
      </w:r>
      <w:r>
        <w:rPr>
          <w:color w:val="4F81BB"/>
          <w:spacing w:val="-6"/>
        </w:rPr>
        <w:t> </w:t>
      </w:r>
      <w:r>
        <w:rPr>
          <w:color w:val="4F81BB"/>
        </w:rPr>
        <w:t>about</w:t>
      </w:r>
      <w:r>
        <w:rPr>
          <w:color w:val="4F81BB"/>
          <w:spacing w:val="-7"/>
        </w:rPr>
        <w:t> </w:t>
      </w:r>
      <w:r>
        <w:rPr>
          <w:color w:val="4F81BB"/>
        </w:rPr>
        <w:t>their</w:t>
      </w:r>
      <w:r>
        <w:rPr>
          <w:color w:val="4F81BB"/>
          <w:spacing w:val="-5"/>
        </w:rPr>
        <w:t> </w:t>
      </w:r>
      <w:r>
        <w:rPr>
          <w:color w:val="4F81BB"/>
        </w:rPr>
        <w:t>child</w:t>
      </w:r>
      <w:r>
        <w:rPr>
          <w:color w:val="4F81BB"/>
          <w:spacing w:val="-8"/>
        </w:rPr>
        <w:t> </w:t>
      </w:r>
      <w:r>
        <w:rPr>
          <w:color w:val="4F81BB"/>
        </w:rPr>
        <w:t>facing</w:t>
      </w:r>
      <w:r>
        <w:rPr>
          <w:color w:val="4F81BB"/>
          <w:spacing w:val="-7"/>
        </w:rPr>
        <w:t> </w:t>
      </w:r>
      <w:r>
        <w:rPr>
          <w:color w:val="4F81BB"/>
        </w:rPr>
        <w:t>further discrimination and victimization on top of their racial/ethnic identity, and may feel that withholding support for their sexual orientation is in the best interest of their safety.”</w:t>
      </w:r>
      <w:hyperlink w:history="true" w:anchor="_bookmark19">
        <w:r>
          <w:rPr>
            <w:color w:val="4F81BB"/>
            <w:vertAlign w:val="superscript"/>
          </w:rPr>
          <w:t>11</w:t>
        </w:r>
      </w:hyperlink>
    </w:p>
    <w:p>
      <w:pPr>
        <w:pStyle w:val="BodyText"/>
        <w:spacing w:line="276" w:lineRule="auto" w:before="240"/>
        <w:ind w:left="463" w:right="281"/>
        <w:jc w:val="both"/>
      </w:pPr>
      <w:r>
        <w:rPr/>
        <w:t>Leaders</w:t>
      </w:r>
      <w:r>
        <w:rPr>
          <w:spacing w:val="-1"/>
        </w:rPr>
        <w:t> </w:t>
      </w:r>
      <w:r>
        <w:rPr/>
        <w:t>are called</w:t>
      </w:r>
      <w:r>
        <w:rPr>
          <w:spacing w:val="-1"/>
        </w:rPr>
        <w:t> </w:t>
      </w:r>
      <w:r>
        <w:rPr/>
        <w:t>to</w:t>
      </w:r>
      <w:r>
        <w:rPr>
          <w:spacing w:val="-1"/>
        </w:rPr>
        <w:t> </w:t>
      </w:r>
      <w:r>
        <w:rPr/>
        <w:t>recognize the complexities</w:t>
      </w:r>
      <w:r>
        <w:rPr>
          <w:spacing w:val="-1"/>
        </w:rPr>
        <w:t> </w:t>
      </w:r>
      <w:r>
        <w:rPr/>
        <w:t>of identity as they consider effective, culturally</w:t>
      </w:r>
      <w:r>
        <w:rPr>
          <w:spacing w:val="-2"/>
        </w:rPr>
        <w:t> </w:t>
      </w:r>
      <w:r>
        <w:rPr/>
        <w:t>relevant policies. Specifically, throughout this report, we seek to illuminate the underserved needs of QTBIPOC (Queer, Trans, Black, Indigenous People of Color</w:t>
      </w:r>
      <w:r>
        <w:rPr>
          <w:color w:val="6E2E9F"/>
        </w:rPr>
        <w:t>) </w:t>
      </w:r>
      <w:r>
        <w:rPr/>
        <w:t>youth in the Commonwealth. Further, we believe that to truly serve all youth implies that the voices and realities of young people themselves must inform the decisions made in their names.</w:t>
      </w:r>
    </w:p>
    <w:p>
      <w:pPr>
        <w:pStyle w:val="BodyText"/>
        <w:spacing w:line="276" w:lineRule="auto" w:before="240"/>
        <w:ind w:left="463" w:right="281"/>
        <w:jc w:val="both"/>
      </w:pPr>
      <w:r>
        <w:rPr/>
        <w:t>Though</w:t>
      </w:r>
      <w:r>
        <w:rPr>
          <w:spacing w:val="-4"/>
        </w:rPr>
        <w:t> </w:t>
      </w:r>
      <w:r>
        <w:rPr/>
        <w:t>at</w:t>
      </w:r>
      <w:r>
        <w:rPr>
          <w:spacing w:val="-4"/>
        </w:rPr>
        <w:t> </w:t>
      </w:r>
      <w:r>
        <w:rPr/>
        <w:t>first</w:t>
      </w:r>
      <w:r>
        <w:rPr>
          <w:spacing w:val="-5"/>
        </w:rPr>
        <w:t> </w:t>
      </w:r>
      <w:r>
        <w:rPr/>
        <w:t>glance,</w:t>
      </w:r>
      <w:r>
        <w:rPr>
          <w:spacing w:val="-4"/>
        </w:rPr>
        <w:t> </w:t>
      </w:r>
      <w:r>
        <w:rPr/>
        <w:t>an</w:t>
      </w:r>
      <w:r>
        <w:rPr>
          <w:spacing w:val="-3"/>
        </w:rPr>
        <w:t> </w:t>
      </w:r>
      <w:r>
        <w:rPr/>
        <w:t>understanding</w:t>
      </w:r>
      <w:r>
        <w:rPr>
          <w:spacing w:val="-5"/>
        </w:rPr>
        <w:t> </w:t>
      </w:r>
      <w:r>
        <w:rPr/>
        <w:t>of</w:t>
      </w:r>
      <w:r>
        <w:rPr>
          <w:spacing w:val="-4"/>
        </w:rPr>
        <w:t> </w:t>
      </w:r>
      <w:r>
        <w:rPr/>
        <w:t>well-being</w:t>
      </w:r>
      <w:r>
        <w:rPr>
          <w:spacing w:val="-4"/>
        </w:rPr>
        <w:t> </w:t>
      </w:r>
      <w:r>
        <w:rPr/>
        <w:t>may</w:t>
      </w:r>
      <w:r>
        <w:rPr>
          <w:spacing w:val="-5"/>
        </w:rPr>
        <w:t> </w:t>
      </w:r>
      <w:r>
        <w:rPr/>
        <w:t>seem</w:t>
      </w:r>
      <w:r>
        <w:rPr>
          <w:spacing w:val="-4"/>
        </w:rPr>
        <w:t> </w:t>
      </w:r>
      <w:r>
        <w:rPr/>
        <w:t>self-evident,</w:t>
      </w:r>
      <w:r>
        <w:rPr>
          <w:spacing w:val="-5"/>
        </w:rPr>
        <w:t> </w:t>
      </w:r>
      <w:r>
        <w:rPr/>
        <w:t>some</w:t>
      </w:r>
      <w:r>
        <w:rPr>
          <w:spacing w:val="-5"/>
        </w:rPr>
        <w:t> </w:t>
      </w:r>
      <w:r>
        <w:rPr/>
        <w:t>analysts</w:t>
      </w:r>
      <w:r>
        <w:rPr>
          <w:spacing w:val="-2"/>
        </w:rPr>
        <w:t> </w:t>
      </w:r>
      <w:r>
        <w:rPr/>
        <w:t>believe</w:t>
      </w:r>
      <w:r>
        <w:rPr>
          <w:spacing w:val="-4"/>
        </w:rPr>
        <w:t> </w:t>
      </w:r>
      <w:r>
        <w:rPr/>
        <w:t>that a lack of consensus on</w:t>
      </w:r>
      <w:r>
        <w:rPr>
          <w:spacing w:val="-1"/>
        </w:rPr>
        <w:t> </w:t>
      </w:r>
      <w:r>
        <w:rPr/>
        <w:t>what</w:t>
      </w:r>
      <w:r>
        <w:rPr>
          <w:spacing w:val="-1"/>
        </w:rPr>
        <w:t> </w:t>
      </w:r>
      <w:r>
        <w:rPr/>
        <w:t>children</w:t>
      </w:r>
      <w:r>
        <w:rPr>
          <w:spacing w:val="-1"/>
        </w:rPr>
        <w:t> </w:t>
      </w:r>
      <w:r>
        <w:rPr/>
        <w:t>and</w:t>
      </w:r>
      <w:r>
        <w:rPr>
          <w:spacing w:val="-1"/>
        </w:rPr>
        <w:t> </w:t>
      </w:r>
      <w:r>
        <w:rPr/>
        <w:t>youth</w:t>
      </w:r>
      <w:r>
        <w:rPr>
          <w:spacing w:val="-1"/>
        </w:rPr>
        <w:t> </w:t>
      </w:r>
      <w:r>
        <w:rPr/>
        <w:t>actually need</w:t>
      </w:r>
      <w:r>
        <w:rPr>
          <w:spacing w:val="-1"/>
        </w:rPr>
        <w:t> </w:t>
      </w:r>
      <w:r>
        <w:rPr/>
        <w:t>to thrive</w:t>
      </w:r>
      <w:r>
        <w:rPr>
          <w:spacing w:val="-1"/>
        </w:rPr>
        <w:t> </w:t>
      </w:r>
      <w:r>
        <w:rPr/>
        <w:t>is hampering the United States in the development of children’s rights policies</w:t>
      </w:r>
      <w:hyperlink w:history="true" w:anchor="_bookmark34">
        <w:r>
          <w:rPr/>
          <w:t>.</w:t>
        </w:r>
        <w:r>
          <w:rPr>
            <w:vertAlign w:val="superscript"/>
          </w:rPr>
          <w:t>10</w:t>
        </w:r>
      </w:hyperlink>
      <w:r>
        <w:rPr>
          <w:vertAlign w:val="baseline"/>
        </w:rPr>
        <w:t> Child development experts worldwide, however, do concur that a holistic view of well-being for children and youth involves physical, medical, social, emotional, psychological, moral, and educational dimensions, which necessarily involve environmental, cultural, and artistic components</w:t>
      </w:r>
      <w:hyperlink w:history="true" w:anchor="_bookmark35">
        <w:r>
          <w:rPr>
            <w:vertAlign w:val="baseline"/>
          </w:rPr>
          <w:t>.</w:t>
        </w:r>
        <w:r>
          <w:rPr>
            <w:vertAlign w:val="superscript"/>
          </w:rPr>
          <w:t>11</w:t>
        </w:r>
      </w:hyperlink>
      <w:r>
        <w:rPr>
          <w:vertAlign w:val="baseline"/>
        </w:rPr>
        <w:t> Dimensions of well-being promote thriving youth and thriving youth see</w:t>
      </w:r>
      <w:r>
        <w:rPr>
          <w:spacing w:val="-2"/>
          <w:vertAlign w:val="baseline"/>
        </w:rPr>
        <w:t> </w:t>
      </w:r>
      <w:r>
        <w:rPr>
          <w:vertAlign w:val="baseline"/>
        </w:rPr>
        <w:t>hopeful</w:t>
      </w:r>
      <w:r>
        <w:rPr>
          <w:spacing w:val="-2"/>
          <w:vertAlign w:val="baseline"/>
        </w:rPr>
        <w:t> </w:t>
      </w:r>
      <w:r>
        <w:rPr>
          <w:vertAlign w:val="baseline"/>
        </w:rPr>
        <w:t>futures</w:t>
      </w:r>
      <w:r>
        <w:rPr>
          <w:spacing w:val="-1"/>
          <w:vertAlign w:val="baseline"/>
        </w:rPr>
        <w:t> </w:t>
      </w:r>
      <w:r>
        <w:rPr>
          <w:vertAlign w:val="baseline"/>
        </w:rPr>
        <w:t>for themselves</w:t>
      </w:r>
      <w:r>
        <w:rPr>
          <w:spacing w:val="-1"/>
          <w:vertAlign w:val="baseline"/>
        </w:rPr>
        <w:t> </w:t>
      </w:r>
      <w:r>
        <w:rPr>
          <w:vertAlign w:val="baseline"/>
        </w:rPr>
        <w:t>as</w:t>
      </w:r>
      <w:r>
        <w:rPr>
          <w:spacing w:val="-1"/>
          <w:vertAlign w:val="baseline"/>
        </w:rPr>
        <w:t> </w:t>
      </w:r>
      <w:r>
        <w:rPr>
          <w:vertAlign w:val="baseline"/>
        </w:rPr>
        <w:t>adults.</w:t>
      </w:r>
      <w:r>
        <w:rPr>
          <w:spacing w:val="-1"/>
          <w:vertAlign w:val="baseline"/>
        </w:rPr>
        <w:t> </w:t>
      </w:r>
      <w:r>
        <w:rPr>
          <w:vertAlign w:val="baseline"/>
        </w:rPr>
        <w:t>Later sections of</w:t>
      </w:r>
      <w:r>
        <w:rPr>
          <w:spacing w:val="-2"/>
          <w:vertAlign w:val="baseline"/>
        </w:rPr>
        <w:t> </w:t>
      </w:r>
      <w:r>
        <w:rPr>
          <w:vertAlign w:val="baseline"/>
        </w:rPr>
        <w:t>this</w:t>
      </w:r>
      <w:r>
        <w:rPr>
          <w:spacing w:val="-1"/>
          <w:vertAlign w:val="baseline"/>
        </w:rPr>
        <w:t> </w:t>
      </w:r>
      <w:r>
        <w:rPr>
          <w:vertAlign w:val="baseline"/>
        </w:rPr>
        <w:t>report</w:t>
      </w:r>
      <w:r>
        <w:rPr>
          <w:spacing w:val="-2"/>
          <w:vertAlign w:val="baseline"/>
        </w:rPr>
        <w:t> </w:t>
      </w:r>
      <w:r>
        <w:rPr>
          <w:vertAlign w:val="baseline"/>
        </w:rPr>
        <w:t>address</w:t>
      </w:r>
      <w:r>
        <w:rPr>
          <w:spacing w:val="-1"/>
          <w:vertAlign w:val="baseline"/>
        </w:rPr>
        <w:t> </w:t>
      </w:r>
      <w:r>
        <w:rPr>
          <w:vertAlign w:val="baseline"/>
        </w:rPr>
        <w:t>each</w:t>
      </w:r>
      <w:r>
        <w:rPr>
          <w:spacing w:val="-1"/>
          <w:vertAlign w:val="baseline"/>
        </w:rPr>
        <w:t> </w:t>
      </w:r>
      <w:r>
        <w:rPr>
          <w:vertAlign w:val="baseline"/>
        </w:rPr>
        <w:t>of</w:t>
      </w:r>
      <w:r>
        <w:rPr>
          <w:spacing w:val="-2"/>
          <w:vertAlign w:val="baseline"/>
        </w:rPr>
        <w:t> </w:t>
      </w:r>
      <w:r>
        <w:rPr>
          <w:vertAlign w:val="baseline"/>
        </w:rPr>
        <w:t>these</w:t>
      </w:r>
      <w:r>
        <w:rPr>
          <w:spacing w:val="-2"/>
          <w:vertAlign w:val="baseline"/>
        </w:rPr>
        <w:t> </w:t>
      </w:r>
      <w:r>
        <w:rPr>
          <w:vertAlign w:val="baseline"/>
        </w:rPr>
        <w:t>domains in detail.</w:t>
      </w:r>
    </w:p>
    <w:p>
      <w:pPr>
        <w:pStyle w:val="BodyText"/>
        <w:spacing w:line="276" w:lineRule="auto" w:before="240"/>
        <w:ind w:left="463" w:right="280"/>
        <w:jc w:val="both"/>
      </w:pPr>
      <w:r>
        <w:rPr/>
        <w:t>Of</w:t>
      </w:r>
      <w:r>
        <w:rPr>
          <w:spacing w:val="-5"/>
        </w:rPr>
        <w:t> </w:t>
      </w:r>
      <w:r>
        <w:rPr/>
        <w:t>all</w:t>
      </w:r>
      <w:r>
        <w:rPr>
          <w:spacing w:val="-5"/>
        </w:rPr>
        <w:t> </w:t>
      </w:r>
      <w:r>
        <w:rPr/>
        <w:t>the</w:t>
      </w:r>
      <w:r>
        <w:rPr>
          <w:spacing w:val="-4"/>
        </w:rPr>
        <w:t> </w:t>
      </w:r>
      <w:r>
        <w:rPr/>
        <w:t>dimensions</w:t>
      </w:r>
      <w:r>
        <w:rPr>
          <w:spacing w:val="-5"/>
        </w:rPr>
        <w:t> </w:t>
      </w:r>
      <w:r>
        <w:rPr/>
        <w:t>of</w:t>
      </w:r>
      <w:r>
        <w:rPr>
          <w:spacing w:val="-5"/>
        </w:rPr>
        <w:t> </w:t>
      </w:r>
      <w:r>
        <w:rPr/>
        <w:t>wellbeing,</w:t>
      </w:r>
      <w:r>
        <w:rPr>
          <w:spacing w:val="-5"/>
        </w:rPr>
        <w:t> </w:t>
      </w:r>
      <w:r>
        <w:rPr/>
        <w:t>emotional</w:t>
      </w:r>
      <w:r>
        <w:rPr>
          <w:spacing w:val="-5"/>
        </w:rPr>
        <w:t> </w:t>
      </w:r>
      <w:r>
        <w:rPr/>
        <w:t>health</w:t>
      </w:r>
      <w:r>
        <w:rPr>
          <w:spacing w:val="-4"/>
        </w:rPr>
        <w:t> </w:t>
      </w:r>
      <w:r>
        <w:rPr/>
        <w:t>continues</w:t>
      </w:r>
      <w:r>
        <w:rPr>
          <w:spacing w:val="-4"/>
        </w:rPr>
        <w:t> </w:t>
      </w:r>
      <w:r>
        <w:rPr/>
        <w:t>to</w:t>
      </w:r>
      <w:r>
        <w:rPr>
          <w:spacing w:val="-5"/>
        </w:rPr>
        <w:t> </w:t>
      </w:r>
      <w:r>
        <w:rPr/>
        <w:t>demand</w:t>
      </w:r>
      <w:r>
        <w:rPr>
          <w:spacing w:val="-5"/>
        </w:rPr>
        <w:t> </w:t>
      </w:r>
      <w:r>
        <w:rPr/>
        <w:t>special</w:t>
      </w:r>
      <w:r>
        <w:rPr>
          <w:spacing w:val="-5"/>
        </w:rPr>
        <w:t> </w:t>
      </w:r>
      <w:r>
        <w:rPr/>
        <w:t>attention</w:t>
      </w:r>
      <w:r>
        <w:rPr>
          <w:spacing w:val="-5"/>
        </w:rPr>
        <w:t> </w:t>
      </w:r>
      <w:r>
        <w:rPr/>
        <w:t>as</w:t>
      </w:r>
      <w:r>
        <w:rPr>
          <w:spacing w:val="-5"/>
        </w:rPr>
        <w:t> </w:t>
      </w:r>
      <w:r>
        <w:rPr/>
        <w:t>a</w:t>
      </w:r>
      <w:r>
        <w:rPr>
          <w:spacing w:val="-5"/>
        </w:rPr>
        <w:t> </w:t>
      </w:r>
      <w:r>
        <w:rPr/>
        <w:t>leverage point for policymakers. Longstanding research underscores the specific importance of emotional health for LGBTQ youth, particularly in our politically polarized and often hostile climate. The research on emotional support for LGBTQ youth has evolved significantly in recent decades. Social scientists have developed models to foster family acceptance, even among unsupportive and reticent adults</w:t>
      </w:r>
      <w:hyperlink w:history="true" w:anchor="_bookmark36">
        <w:r>
          <w:rPr/>
          <w:t>.</w:t>
        </w:r>
        <w:r>
          <w:rPr>
            <w:vertAlign w:val="superscript"/>
          </w:rPr>
          <w:t>12</w:t>
        </w:r>
      </w:hyperlink>
      <w:r>
        <w:rPr>
          <w:vertAlign w:val="baseline"/>
        </w:rPr>
        <w:t> Specific supportive</w:t>
      </w:r>
      <w:r>
        <w:rPr>
          <w:spacing w:val="-6"/>
          <w:vertAlign w:val="baseline"/>
        </w:rPr>
        <w:t> </w:t>
      </w:r>
      <w:r>
        <w:rPr>
          <w:vertAlign w:val="baseline"/>
        </w:rPr>
        <w:t>behaviors</w:t>
      </w:r>
      <w:r>
        <w:rPr>
          <w:spacing w:val="-7"/>
          <w:vertAlign w:val="baseline"/>
        </w:rPr>
        <w:t> </w:t>
      </w:r>
      <w:r>
        <w:rPr>
          <w:vertAlign w:val="baseline"/>
        </w:rPr>
        <w:t>have</w:t>
      </w:r>
      <w:r>
        <w:rPr>
          <w:spacing w:val="-8"/>
          <w:vertAlign w:val="baseline"/>
        </w:rPr>
        <w:t> </w:t>
      </w:r>
      <w:r>
        <w:rPr>
          <w:vertAlign w:val="baseline"/>
        </w:rPr>
        <w:t>been</w:t>
      </w:r>
      <w:r>
        <w:rPr>
          <w:spacing w:val="-7"/>
          <w:vertAlign w:val="baseline"/>
        </w:rPr>
        <w:t> </w:t>
      </w:r>
      <w:r>
        <w:rPr>
          <w:vertAlign w:val="baseline"/>
        </w:rPr>
        <w:t>correlated</w:t>
      </w:r>
      <w:r>
        <w:rPr>
          <w:spacing w:val="-8"/>
          <w:vertAlign w:val="baseline"/>
        </w:rPr>
        <w:t> </w:t>
      </w:r>
      <w:r>
        <w:rPr>
          <w:vertAlign w:val="baseline"/>
        </w:rPr>
        <w:t>with</w:t>
      </w:r>
      <w:r>
        <w:rPr>
          <w:spacing w:val="-7"/>
          <w:vertAlign w:val="baseline"/>
        </w:rPr>
        <w:t> </w:t>
      </w:r>
      <w:r>
        <w:rPr>
          <w:vertAlign w:val="baseline"/>
        </w:rPr>
        <w:t>positive</w:t>
      </w:r>
      <w:r>
        <w:rPr>
          <w:spacing w:val="-8"/>
          <w:vertAlign w:val="baseline"/>
        </w:rPr>
        <w:t> </w:t>
      </w:r>
      <w:r>
        <w:rPr>
          <w:vertAlign w:val="baseline"/>
        </w:rPr>
        <w:t>emotional</w:t>
      </w:r>
      <w:r>
        <w:rPr>
          <w:spacing w:val="-8"/>
          <w:vertAlign w:val="baseline"/>
        </w:rPr>
        <w:t> </w:t>
      </w:r>
      <w:r>
        <w:rPr>
          <w:vertAlign w:val="baseline"/>
        </w:rPr>
        <w:t>outcomes</w:t>
      </w:r>
      <w:r>
        <w:rPr>
          <w:spacing w:val="-7"/>
          <w:vertAlign w:val="baseline"/>
        </w:rPr>
        <w:t> </w:t>
      </w:r>
      <w:r>
        <w:rPr>
          <w:vertAlign w:val="baseline"/>
        </w:rPr>
        <w:t>for</w:t>
      </w:r>
      <w:r>
        <w:rPr>
          <w:spacing w:val="-7"/>
          <w:vertAlign w:val="baseline"/>
        </w:rPr>
        <w:t> </w:t>
      </w:r>
      <w:r>
        <w:rPr>
          <w:vertAlign w:val="baseline"/>
        </w:rPr>
        <w:t>LGBTQ</w:t>
      </w:r>
      <w:r>
        <w:rPr>
          <w:spacing w:val="-7"/>
          <w:vertAlign w:val="baseline"/>
        </w:rPr>
        <w:t> </w:t>
      </w:r>
      <w:r>
        <w:rPr>
          <w:vertAlign w:val="baseline"/>
        </w:rPr>
        <w:t>youth</w:t>
      </w:r>
      <w:hyperlink w:history="true" w:anchor="_bookmark37">
        <w:r>
          <w:rPr>
            <w:vertAlign w:val="baseline"/>
          </w:rPr>
          <w:t>.</w:t>
        </w:r>
        <w:r>
          <w:rPr>
            <w:vertAlign w:val="superscript"/>
          </w:rPr>
          <w:t>13</w:t>
        </w:r>
      </w:hyperlink>
      <w:r>
        <w:rPr>
          <w:spacing w:val="-7"/>
          <w:vertAlign w:val="baseline"/>
        </w:rPr>
        <w:t> </w:t>
      </w:r>
      <w:r>
        <w:rPr>
          <w:vertAlign w:val="baseline"/>
        </w:rPr>
        <w:t>Indeed, the</w:t>
      </w:r>
      <w:r>
        <w:rPr>
          <w:spacing w:val="-12"/>
          <w:vertAlign w:val="baseline"/>
        </w:rPr>
        <w:t> </w:t>
      </w:r>
      <w:r>
        <w:rPr>
          <w:vertAlign w:val="baseline"/>
        </w:rPr>
        <w:t>ongoing</w:t>
      </w:r>
      <w:r>
        <w:rPr>
          <w:spacing w:val="-10"/>
          <w:vertAlign w:val="baseline"/>
        </w:rPr>
        <w:t> </w:t>
      </w:r>
      <w:r>
        <w:rPr>
          <w:vertAlign w:val="baseline"/>
        </w:rPr>
        <w:t>presence</w:t>
      </w:r>
      <w:r>
        <w:rPr>
          <w:spacing w:val="-12"/>
          <w:vertAlign w:val="baseline"/>
        </w:rPr>
        <w:t> </w:t>
      </w:r>
      <w:r>
        <w:rPr>
          <w:vertAlign w:val="baseline"/>
        </w:rPr>
        <w:t>of</w:t>
      </w:r>
      <w:r>
        <w:rPr>
          <w:spacing w:val="-13"/>
          <w:vertAlign w:val="baseline"/>
        </w:rPr>
        <w:t> </w:t>
      </w:r>
      <w:r>
        <w:rPr>
          <w:vertAlign w:val="baseline"/>
        </w:rPr>
        <w:t>a</w:t>
      </w:r>
      <w:r>
        <w:rPr>
          <w:spacing w:val="-10"/>
          <w:vertAlign w:val="baseline"/>
        </w:rPr>
        <w:t> </w:t>
      </w:r>
      <w:r>
        <w:rPr>
          <w:vertAlign w:val="baseline"/>
        </w:rPr>
        <w:t>single</w:t>
      </w:r>
      <w:r>
        <w:rPr>
          <w:spacing w:val="-12"/>
          <w:vertAlign w:val="baseline"/>
        </w:rPr>
        <w:t> </w:t>
      </w:r>
      <w:r>
        <w:rPr>
          <w:vertAlign w:val="baseline"/>
        </w:rPr>
        <w:t>supportive</w:t>
      </w:r>
      <w:r>
        <w:rPr>
          <w:spacing w:val="-13"/>
          <w:vertAlign w:val="baseline"/>
        </w:rPr>
        <w:t> </w:t>
      </w:r>
      <w:r>
        <w:rPr>
          <w:vertAlign w:val="baseline"/>
        </w:rPr>
        <w:t>adult</w:t>
      </w:r>
      <w:r>
        <w:rPr>
          <w:spacing w:val="-11"/>
          <w:vertAlign w:val="baseline"/>
        </w:rPr>
        <w:t> </w:t>
      </w:r>
      <w:r>
        <w:rPr>
          <w:vertAlign w:val="baseline"/>
        </w:rPr>
        <w:t>can</w:t>
      </w:r>
      <w:r>
        <w:rPr>
          <w:spacing w:val="-10"/>
          <w:vertAlign w:val="baseline"/>
        </w:rPr>
        <w:t> </w:t>
      </w:r>
      <w:r>
        <w:rPr>
          <w:vertAlign w:val="baseline"/>
        </w:rPr>
        <w:t>make</w:t>
      </w:r>
      <w:r>
        <w:rPr>
          <w:spacing w:val="-12"/>
          <w:vertAlign w:val="baseline"/>
        </w:rPr>
        <w:t> </w:t>
      </w:r>
      <w:r>
        <w:rPr>
          <w:vertAlign w:val="baseline"/>
        </w:rPr>
        <w:t>an</w:t>
      </w:r>
      <w:r>
        <w:rPr>
          <w:spacing w:val="-12"/>
          <w:vertAlign w:val="baseline"/>
        </w:rPr>
        <w:t> </w:t>
      </w:r>
      <w:r>
        <w:rPr>
          <w:vertAlign w:val="baseline"/>
        </w:rPr>
        <w:t>enormous</w:t>
      </w:r>
      <w:r>
        <w:rPr>
          <w:spacing w:val="-12"/>
          <w:vertAlign w:val="baseline"/>
        </w:rPr>
        <w:t> </w:t>
      </w:r>
      <w:r>
        <w:rPr>
          <w:vertAlign w:val="baseline"/>
        </w:rPr>
        <w:t>difference</w:t>
      </w:r>
      <w:r>
        <w:rPr>
          <w:spacing w:val="-12"/>
          <w:vertAlign w:val="baseline"/>
        </w:rPr>
        <w:t> </w:t>
      </w:r>
      <w:r>
        <w:rPr>
          <w:vertAlign w:val="baseline"/>
        </w:rPr>
        <w:t>to</w:t>
      </w:r>
      <w:r>
        <w:rPr>
          <w:spacing w:val="-11"/>
          <w:vertAlign w:val="baseline"/>
        </w:rPr>
        <w:t> </w:t>
      </w:r>
      <w:r>
        <w:rPr>
          <w:vertAlign w:val="baseline"/>
        </w:rPr>
        <w:t>a</w:t>
      </w:r>
      <w:r>
        <w:rPr>
          <w:spacing w:val="-12"/>
          <w:vertAlign w:val="baseline"/>
        </w:rPr>
        <w:t> </w:t>
      </w:r>
      <w:r>
        <w:rPr>
          <w:vertAlign w:val="baseline"/>
        </w:rPr>
        <w:t>vulnerable</w:t>
      </w:r>
      <w:r>
        <w:rPr>
          <w:spacing w:val="-13"/>
          <w:vertAlign w:val="baseline"/>
        </w:rPr>
        <w:t> </w:t>
      </w:r>
      <w:r>
        <w:rPr>
          <w:vertAlign w:val="baseline"/>
        </w:rPr>
        <w:t>young </w:t>
      </w:r>
      <w:r>
        <w:rPr>
          <w:spacing w:val="-2"/>
          <w:vertAlign w:val="baseline"/>
        </w:rPr>
        <w:t>person.</w:t>
      </w:r>
    </w:p>
    <w:p>
      <w:pPr>
        <w:pStyle w:val="BodyText"/>
        <w:spacing w:line="276" w:lineRule="auto" w:before="240"/>
        <w:ind w:left="463" w:right="283"/>
        <w:jc w:val="both"/>
      </w:pPr>
      <w:r>
        <w:rPr/>
        <w:t>When</w:t>
      </w:r>
      <w:r>
        <w:rPr>
          <w:spacing w:val="-13"/>
        </w:rPr>
        <w:t> </w:t>
      </w:r>
      <w:r>
        <w:rPr/>
        <w:t>the</w:t>
      </w:r>
      <w:r>
        <w:rPr>
          <w:spacing w:val="-12"/>
        </w:rPr>
        <w:t> </w:t>
      </w:r>
      <w:r>
        <w:rPr/>
        <w:t>Commission</w:t>
      </w:r>
      <w:r>
        <w:rPr>
          <w:spacing w:val="-13"/>
        </w:rPr>
        <w:t> </w:t>
      </w:r>
      <w:r>
        <w:rPr/>
        <w:t>on</w:t>
      </w:r>
      <w:r>
        <w:rPr>
          <w:spacing w:val="-12"/>
        </w:rPr>
        <w:t> </w:t>
      </w:r>
      <w:r>
        <w:rPr/>
        <w:t>LGBTQ</w:t>
      </w:r>
      <w:r>
        <w:rPr>
          <w:spacing w:val="-13"/>
        </w:rPr>
        <w:t> </w:t>
      </w:r>
      <w:r>
        <w:rPr/>
        <w:t>Youth</w:t>
      </w:r>
      <w:r>
        <w:rPr>
          <w:spacing w:val="-12"/>
        </w:rPr>
        <w:t> </w:t>
      </w:r>
      <w:r>
        <w:rPr/>
        <w:t>was</w:t>
      </w:r>
      <w:r>
        <w:rPr>
          <w:spacing w:val="-13"/>
        </w:rPr>
        <w:t> </w:t>
      </w:r>
      <w:r>
        <w:rPr/>
        <w:t>formed</w:t>
      </w:r>
      <w:r>
        <w:rPr>
          <w:spacing w:val="-12"/>
        </w:rPr>
        <w:t> </w:t>
      </w:r>
      <w:r>
        <w:rPr/>
        <w:t>in</w:t>
      </w:r>
      <w:r>
        <w:rPr>
          <w:spacing w:val="-12"/>
        </w:rPr>
        <w:t> </w:t>
      </w:r>
      <w:r>
        <w:rPr/>
        <w:t>1992,</w:t>
      </w:r>
      <w:r>
        <w:rPr>
          <w:spacing w:val="-13"/>
        </w:rPr>
        <w:t> </w:t>
      </w:r>
      <w:r>
        <w:rPr/>
        <w:t>in</w:t>
      </w:r>
      <w:r>
        <w:rPr>
          <w:spacing w:val="-12"/>
        </w:rPr>
        <w:t> </w:t>
      </w:r>
      <w:r>
        <w:rPr/>
        <w:t>the</w:t>
      </w:r>
      <w:r>
        <w:rPr>
          <w:spacing w:val="-13"/>
        </w:rPr>
        <w:t> </w:t>
      </w:r>
      <w:r>
        <w:rPr/>
        <w:t>wake</w:t>
      </w:r>
      <w:r>
        <w:rPr>
          <w:spacing w:val="-12"/>
        </w:rPr>
        <w:t> </w:t>
      </w:r>
      <w:r>
        <w:rPr/>
        <w:t>of</w:t>
      </w:r>
      <w:r>
        <w:rPr>
          <w:spacing w:val="-13"/>
        </w:rPr>
        <w:t> </w:t>
      </w:r>
      <w:r>
        <w:rPr/>
        <w:t>alarming</w:t>
      </w:r>
      <w:r>
        <w:rPr>
          <w:spacing w:val="-12"/>
        </w:rPr>
        <w:t> </w:t>
      </w:r>
      <w:r>
        <w:rPr/>
        <w:t>suicide</w:t>
      </w:r>
      <w:r>
        <w:rPr>
          <w:spacing w:val="-12"/>
        </w:rPr>
        <w:t> </w:t>
      </w:r>
      <w:r>
        <w:rPr/>
        <w:t>trends</w:t>
      </w:r>
      <w:r>
        <w:rPr>
          <w:spacing w:val="-13"/>
        </w:rPr>
        <w:t> </w:t>
      </w:r>
      <w:r>
        <w:rPr/>
        <w:t>among gay</w:t>
      </w:r>
      <w:r>
        <w:rPr>
          <w:spacing w:val="35"/>
        </w:rPr>
        <w:t> </w:t>
      </w:r>
      <w:r>
        <w:rPr/>
        <w:t>and</w:t>
      </w:r>
      <w:r>
        <w:rPr>
          <w:spacing w:val="36"/>
        </w:rPr>
        <w:t> </w:t>
      </w:r>
      <w:r>
        <w:rPr/>
        <w:t>lesbian</w:t>
      </w:r>
      <w:r>
        <w:rPr>
          <w:spacing w:val="34"/>
        </w:rPr>
        <w:t> </w:t>
      </w:r>
      <w:r>
        <w:rPr/>
        <w:t>youth,</w:t>
      </w:r>
      <w:r>
        <w:rPr>
          <w:spacing w:val="36"/>
        </w:rPr>
        <w:t> </w:t>
      </w:r>
      <w:r>
        <w:rPr/>
        <w:t>policy</w:t>
      </w:r>
      <w:r>
        <w:rPr>
          <w:spacing w:val="35"/>
        </w:rPr>
        <w:t> </w:t>
      </w:r>
      <w:r>
        <w:rPr/>
        <w:t>discussion</w:t>
      </w:r>
      <w:r>
        <w:rPr>
          <w:spacing w:val="34"/>
        </w:rPr>
        <w:t> </w:t>
      </w:r>
      <w:r>
        <w:rPr/>
        <w:t>focused</w:t>
      </w:r>
      <w:r>
        <w:rPr>
          <w:spacing w:val="36"/>
        </w:rPr>
        <w:t> </w:t>
      </w:r>
      <w:r>
        <w:rPr/>
        <w:t>primarily</w:t>
      </w:r>
      <w:r>
        <w:rPr>
          <w:spacing w:val="35"/>
        </w:rPr>
        <w:t> </w:t>
      </w:r>
      <w:r>
        <w:rPr/>
        <w:t>on</w:t>
      </w:r>
      <w:r>
        <w:rPr>
          <w:spacing w:val="34"/>
        </w:rPr>
        <w:t> </w:t>
      </w:r>
      <w:r>
        <w:rPr/>
        <w:t>reducing</w:t>
      </w:r>
      <w:r>
        <w:rPr>
          <w:spacing w:val="36"/>
        </w:rPr>
        <w:t> </w:t>
      </w:r>
      <w:r>
        <w:rPr/>
        <w:t>harm.</w:t>
      </w:r>
      <w:r>
        <w:rPr>
          <w:spacing w:val="36"/>
        </w:rPr>
        <w:t> </w:t>
      </w:r>
      <w:r>
        <w:rPr/>
        <w:t>Today,</w:t>
      </w:r>
      <w:r>
        <w:rPr>
          <w:spacing w:val="35"/>
        </w:rPr>
        <w:t> </w:t>
      </w:r>
      <w:r>
        <w:rPr/>
        <w:t>although</w:t>
      </w:r>
      <w:r>
        <w:rPr>
          <w:spacing w:val="36"/>
        </w:rPr>
        <w:t> </w:t>
      </w:r>
      <w:r>
        <w:rPr/>
        <w:t>harm</w:t>
      </w:r>
    </w:p>
    <w:p>
      <w:pPr>
        <w:spacing w:after="0" w:line="276" w:lineRule="auto"/>
        <w:jc w:val="both"/>
        <w:sectPr>
          <w:pgSz w:w="12240" w:h="15840"/>
          <w:pgMar w:header="804" w:footer="1263" w:top="1000" w:bottom="1460" w:left="980" w:right="1160"/>
        </w:sectPr>
      </w:pPr>
    </w:p>
    <w:p>
      <w:pPr>
        <w:pStyle w:val="BodyText"/>
        <w:spacing w:line="276" w:lineRule="auto" w:before="139"/>
        <w:ind w:left="463" w:right="280"/>
        <w:jc w:val="both"/>
      </w:pPr>
      <w:r>
        <w:rPr/>
        <w:t>reduction</w:t>
      </w:r>
      <w:r>
        <w:rPr>
          <w:spacing w:val="-12"/>
        </w:rPr>
        <w:t> </w:t>
      </w:r>
      <w:r>
        <w:rPr/>
        <w:t>remains</w:t>
      </w:r>
      <w:r>
        <w:rPr>
          <w:spacing w:val="-11"/>
        </w:rPr>
        <w:t> </w:t>
      </w:r>
      <w:r>
        <w:rPr/>
        <w:t>a</w:t>
      </w:r>
      <w:r>
        <w:rPr>
          <w:spacing w:val="-11"/>
        </w:rPr>
        <w:t> </w:t>
      </w:r>
      <w:r>
        <w:rPr/>
        <w:t>priority,</w:t>
      </w:r>
      <w:r>
        <w:rPr>
          <w:spacing w:val="-11"/>
        </w:rPr>
        <w:t> </w:t>
      </w:r>
      <w:r>
        <w:rPr/>
        <w:t>leaders</w:t>
      </w:r>
      <w:r>
        <w:rPr>
          <w:spacing w:val="-11"/>
        </w:rPr>
        <w:t> </w:t>
      </w:r>
      <w:r>
        <w:rPr/>
        <w:t>have</w:t>
      </w:r>
      <w:r>
        <w:rPr>
          <w:spacing w:val="-12"/>
        </w:rPr>
        <w:t> </w:t>
      </w:r>
      <w:r>
        <w:rPr/>
        <w:t>broadened</w:t>
      </w:r>
      <w:r>
        <w:rPr>
          <w:spacing w:val="-12"/>
        </w:rPr>
        <w:t> </w:t>
      </w:r>
      <w:r>
        <w:rPr/>
        <w:t>the</w:t>
      </w:r>
      <w:r>
        <w:rPr>
          <w:spacing w:val="-12"/>
        </w:rPr>
        <w:t> </w:t>
      </w:r>
      <w:r>
        <w:rPr/>
        <w:t>scope</w:t>
      </w:r>
      <w:r>
        <w:rPr>
          <w:spacing w:val="-12"/>
        </w:rPr>
        <w:t> </w:t>
      </w:r>
      <w:r>
        <w:rPr/>
        <w:t>of</w:t>
      </w:r>
      <w:r>
        <w:rPr>
          <w:spacing w:val="-11"/>
        </w:rPr>
        <w:t> </w:t>
      </w:r>
      <w:r>
        <w:rPr/>
        <w:t>their</w:t>
      </w:r>
      <w:r>
        <w:rPr>
          <w:spacing w:val="-11"/>
        </w:rPr>
        <w:t> </w:t>
      </w:r>
      <w:r>
        <w:rPr/>
        <w:t>work</w:t>
      </w:r>
      <w:r>
        <w:rPr>
          <w:spacing w:val="-12"/>
        </w:rPr>
        <w:t> </w:t>
      </w:r>
      <w:r>
        <w:rPr/>
        <w:t>to</w:t>
      </w:r>
      <w:r>
        <w:rPr>
          <w:spacing w:val="-11"/>
        </w:rPr>
        <w:t> </w:t>
      </w:r>
      <w:r>
        <w:rPr/>
        <w:t>help</w:t>
      </w:r>
      <w:r>
        <w:rPr>
          <w:spacing w:val="-12"/>
        </w:rPr>
        <w:t> </w:t>
      </w:r>
      <w:r>
        <w:rPr/>
        <w:t>LGBTQ</w:t>
      </w:r>
      <w:r>
        <w:rPr>
          <w:spacing w:val="-10"/>
        </w:rPr>
        <w:t> </w:t>
      </w:r>
      <w:r>
        <w:rPr/>
        <w:t>young</w:t>
      </w:r>
      <w:r>
        <w:rPr>
          <w:spacing w:val="-12"/>
        </w:rPr>
        <w:t> </w:t>
      </w:r>
      <w:r>
        <w:rPr/>
        <w:t>people realize the totality of their potential, both as individuals and as important contributing members of society. </w:t>
      </w:r>
      <w:hyperlink w:history="true" w:anchor="_bookmark38">
        <w:r>
          <w:rPr>
            <w:vertAlign w:val="superscript"/>
          </w:rPr>
          <w:t>14</w:t>
        </w:r>
      </w:hyperlink>
      <w:r>
        <w:rPr>
          <w:vertAlign w:val="baseline"/>
        </w:rPr>
        <w:t> The focus has expanded from surviving to thriving.</w:t>
      </w:r>
    </w:p>
    <w:p>
      <w:pPr>
        <w:spacing w:before="239"/>
        <w:ind w:left="463" w:right="0" w:firstLine="0"/>
        <w:jc w:val="both"/>
        <w:rPr>
          <w:sz w:val="28"/>
        </w:rPr>
      </w:pPr>
      <w:bookmarkStart w:name="The International Context: Massachusetts" w:id="97"/>
      <w:bookmarkEnd w:id="97"/>
      <w:r>
        <w:rPr/>
      </w:r>
      <w:r>
        <w:rPr>
          <w:color w:val="365F91"/>
          <w:sz w:val="28"/>
        </w:rPr>
        <w:t>The</w:t>
      </w:r>
      <w:r>
        <w:rPr>
          <w:color w:val="365F91"/>
          <w:spacing w:val="-13"/>
          <w:sz w:val="28"/>
        </w:rPr>
        <w:t> </w:t>
      </w:r>
      <w:r>
        <w:rPr>
          <w:color w:val="365F91"/>
          <w:sz w:val="28"/>
        </w:rPr>
        <w:t>International</w:t>
      </w:r>
      <w:r>
        <w:rPr>
          <w:color w:val="365F91"/>
          <w:spacing w:val="-12"/>
          <w:sz w:val="28"/>
        </w:rPr>
        <w:t> </w:t>
      </w:r>
      <w:r>
        <w:rPr>
          <w:color w:val="365F91"/>
          <w:sz w:val="28"/>
        </w:rPr>
        <w:t>Context:</w:t>
      </w:r>
      <w:r>
        <w:rPr>
          <w:color w:val="365F91"/>
          <w:spacing w:val="-12"/>
          <w:sz w:val="28"/>
        </w:rPr>
        <w:t> </w:t>
      </w:r>
      <w:r>
        <w:rPr>
          <w:color w:val="365F91"/>
          <w:sz w:val="28"/>
        </w:rPr>
        <w:t>Massachusetts</w:t>
      </w:r>
      <w:r>
        <w:rPr>
          <w:color w:val="365F91"/>
          <w:spacing w:val="-11"/>
          <w:sz w:val="28"/>
        </w:rPr>
        <w:t> </w:t>
      </w:r>
      <w:r>
        <w:rPr>
          <w:color w:val="365F91"/>
          <w:sz w:val="28"/>
        </w:rPr>
        <w:t>As</w:t>
      </w:r>
      <w:r>
        <w:rPr>
          <w:color w:val="365F91"/>
          <w:spacing w:val="-12"/>
          <w:sz w:val="28"/>
        </w:rPr>
        <w:t> </w:t>
      </w:r>
      <w:r>
        <w:rPr>
          <w:color w:val="365F91"/>
          <w:sz w:val="28"/>
        </w:rPr>
        <w:t>Compared</w:t>
      </w:r>
      <w:r>
        <w:rPr>
          <w:color w:val="365F91"/>
          <w:spacing w:val="-14"/>
          <w:sz w:val="28"/>
        </w:rPr>
        <w:t> </w:t>
      </w:r>
      <w:r>
        <w:rPr>
          <w:color w:val="365F91"/>
          <w:spacing w:val="-2"/>
          <w:sz w:val="28"/>
        </w:rPr>
        <w:t>Internationally</w:t>
      </w:r>
    </w:p>
    <w:p>
      <w:pPr>
        <w:pStyle w:val="BodyText"/>
        <w:spacing w:line="276" w:lineRule="auto" w:before="291"/>
        <w:ind w:left="463" w:right="282" w:hanging="2"/>
        <w:jc w:val="both"/>
      </w:pPr>
      <w:r>
        <w:rPr/>
        <w:t>LGBTQ youth are first and foremost young people. Contrary to popular opinion, the sobering reality for children</w:t>
      </w:r>
      <w:r>
        <w:rPr>
          <w:spacing w:val="-1"/>
        </w:rPr>
        <w:t> </w:t>
      </w:r>
      <w:r>
        <w:rPr/>
        <w:t>in</w:t>
      </w:r>
      <w:r>
        <w:rPr>
          <w:spacing w:val="-1"/>
        </w:rPr>
        <w:t> </w:t>
      </w:r>
      <w:r>
        <w:rPr/>
        <w:t>the</w:t>
      </w:r>
      <w:r>
        <w:rPr>
          <w:spacing w:val="-1"/>
        </w:rPr>
        <w:t> </w:t>
      </w:r>
      <w:r>
        <w:rPr/>
        <w:t>United</w:t>
      </w:r>
      <w:r>
        <w:rPr>
          <w:spacing w:val="-1"/>
        </w:rPr>
        <w:t> </w:t>
      </w:r>
      <w:r>
        <w:rPr/>
        <w:t>States is that they lack most</w:t>
      </w:r>
      <w:r>
        <w:rPr>
          <w:spacing w:val="-1"/>
        </w:rPr>
        <w:t> </w:t>
      </w:r>
      <w:r>
        <w:rPr/>
        <w:t>of the basic human</w:t>
      </w:r>
      <w:r>
        <w:rPr>
          <w:spacing w:val="-1"/>
        </w:rPr>
        <w:t> </w:t>
      </w:r>
      <w:r>
        <w:rPr/>
        <w:t>rights that</w:t>
      </w:r>
      <w:r>
        <w:rPr>
          <w:spacing w:val="-1"/>
        </w:rPr>
        <w:t> </w:t>
      </w:r>
      <w:r>
        <w:rPr/>
        <w:t>children enjoy in</w:t>
      </w:r>
      <w:r>
        <w:rPr>
          <w:spacing w:val="-1"/>
        </w:rPr>
        <w:t> </w:t>
      </w:r>
      <w:r>
        <w:rPr/>
        <w:t>other nations. The United States remains the only United Nations member state that has failed to ratify the most-ratified human rights treaty in world history: The United Nations Convention on the Rights of the Child</w:t>
      </w:r>
      <w:r>
        <w:rPr>
          <w:spacing w:val="-13"/>
        </w:rPr>
        <w:t> </w:t>
      </w:r>
      <w:r>
        <w:rPr/>
        <w:t>(CRC)</w:t>
      </w:r>
      <w:hyperlink w:history="true" w:anchor="_bookmark20">
        <w:r>
          <w:rPr/>
          <w:t>.</w:t>
        </w:r>
        <w:r>
          <w:rPr>
            <w:vertAlign w:val="superscript"/>
          </w:rPr>
          <w:t>12</w:t>
        </w:r>
      </w:hyperlink>
      <w:r>
        <w:rPr>
          <w:spacing w:val="-12"/>
          <w:vertAlign w:val="baseline"/>
        </w:rPr>
        <w:t> </w:t>
      </w:r>
      <w:r>
        <w:rPr>
          <w:vertAlign w:val="baseline"/>
        </w:rPr>
        <w:t>Adopted</w:t>
      </w:r>
      <w:r>
        <w:rPr>
          <w:spacing w:val="-13"/>
          <w:vertAlign w:val="baseline"/>
        </w:rPr>
        <w:t> </w:t>
      </w:r>
      <w:r>
        <w:rPr>
          <w:vertAlign w:val="baseline"/>
        </w:rPr>
        <w:t>in</w:t>
      </w:r>
      <w:r>
        <w:rPr>
          <w:spacing w:val="-12"/>
          <w:vertAlign w:val="baseline"/>
        </w:rPr>
        <w:t> </w:t>
      </w:r>
      <w:r>
        <w:rPr>
          <w:vertAlign w:val="baseline"/>
        </w:rPr>
        <w:t>1989,</w:t>
      </w:r>
      <w:r>
        <w:rPr>
          <w:spacing w:val="-13"/>
          <w:vertAlign w:val="baseline"/>
        </w:rPr>
        <w:t> </w:t>
      </w:r>
      <w:r>
        <w:rPr>
          <w:vertAlign w:val="baseline"/>
        </w:rPr>
        <w:t>the</w:t>
      </w:r>
      <w:r>
        <w:rPr>
          <w:spacing w:val="-12"/>
          <w:vertAlign w:val="baseline"/>
        </w:rPr>
        <w:t> </w:t>
      </w:r>
      <w:r>
        <w:rPr>
          <w:vertAlign w:val="baseline"/>
        </w:rPr>
        <w:t>United</w:t>
      </w:r>
      <w:r>
        <w:rPr>
          <w:spacing w:val="-13"/>
          <w:vertAlign w:val="baseline"/>
        </w:rPr>
        <w:t> </w:t>
      </w:r>
      <w:r>
        <w:rPr>
          <w:vertAlign w:val="baseline"/>
        </w:rPr>
        <w:t>Nations</w:t>
      </w:r>
      <w:r>
        <w:rPr>
          <w:spacing w:val="-12"/>
          <w:vertAlign w:val="baseline"/>
        </w:rPr>
        <w:t> </w:t>
      </w:r>
      <w:r>
        <w:rPr>
          <w:vertAlign w:val="baseline"/>
        </w:rPr>
        <w:t>CRC</w:t>
      </w:r>
      <w:r>
        <w:rPr>
          <w:spacing w:val="-12"/>
          <w:vertAlign w:val="baseline"/>
        </w:rPr>
        <w:t> </w:t>
      </w:r>
      <w:r>
        <w:rPr>
          <w:vertAlign w:val="baseline"/>
        </w:rPr>
        <w:t>offers</w:t>
      </w:r>
      <w:r>
        <w:rPr>
          <w:spacing w:val="-13"/>
          <w:vertAlign w:val="baseline"/>
        </w:rPr>
        <w:t> </w:t>
      </w:r>
      <w:r>
        <w:rPr>
          <w:vertAlign w:val="baseline"/>
        </w:rPr>
        <w:t>a</w:t>
      </w:r>
      <w:r>
        <w:rPr>
          <w:spacing w:val="-12"/>
          <w:vertAlign w:val="baseline"/>
        </w:rPr>
        <w:t> </w:t>
      </w:r>
      <w:r>
        <w:rPr>
          <w:vertAlign w:val="baseline"/>
        </w:rPr>
        <w:t>minimum</w:t>
      </w:r>
      <w:r>
        <w:rPr>
          <w:spacing w:val="-13"/>
          <w:vertAlign w:val="baseline"/>
        </w:rPr>
        <w:t> </w:t>
      </w:r>
      <w:r>
        <w:rPr>
          <w:vertAlign w:val="baseline"/>
        </w:rPr>
        <w:t>standard</w:t>
      </w:r>
      <w:r>
        <w:rPr>
          <w:spacing w:val="-12"/>
          <w:vertAlign w:val="baseline"/>
        </w:rPr>
        <w:t> </w:t>
      </w:r>
      <w:r>
        <w:rPr>
          <w:vertAlign w:val="baseline"/>
        </w:rPr>
        <w:t>for</w:t>
      </w:r>
      <w:r>
        <w:rPr>
          <w:spacing w:val="-13"/>
          <w:vertAlign w:val="baseline"/>
        </w:rPr>
        <w:t> </w:t>
      </w:r>
      <w:r>
        <w:rPr>
          <w:vertAlign w:val="baseline"/>
        </w:rPr>
        <w:t>the</w:t>
      </w:r>
      <w:r>
        <w:rPr>
          <w:spacing w:val="-12"/>
          <w:vertAlign w:val="baseline"/>
        </w:rPr>
        <w:t> </w:t>
      </w:r>
      <w:r>
        <w:rPr>
          <w:vertAlign w:val="baseline"/>
        </w:rPr>
        <w:t>legal</w:t>
      </w:r>
      <w:r>
        <w:rPr>
          <w:spacing w:val="-12"/>
          <w:vertAlign w:val="baseline"/>
        </w:rPr>
        <w:t> </w:t>
      </w:r>
      <w:r>
        <w:rPr>
          <w:vertAlign w:val="baseline"/>
        </w:rPr>
        <w:t>protection of children and youth in domains that affect their well-being including child marriage, juvenile justice, child labor, corporal punishment, and education, among other critical arenas.</w:t>
      </w:r>
    </w:p>
    <w:p>
      <w:pPr>
        <w:pStyle w:val="BodyText"/>
        <w:spacing w:line="276" w:lineRule="auto" w:before="240"/>
        <w:ind w:left="4941" w:right="281"/>
        <w:jc w:val="both"/>
      </w:pPr>
      <w:r>
        <w:rPr/>
        <w:drawing>
          <wp:anchor distT="0" distB="0" distL="0" distR="0" allowOverlap="1" layoutInCell="1" locked="0" behindDoc="0" simplePos="0" relativeHeight="15737856">
            <wp:simplePos x="0" y="0"/>
            <wp:positionH relativeFrom="page">
              <wp:posOffset>825499</wp:posOffset>
            </wp:positionH>
            <wp:positionV relativeFrom="paragraph">
              <wp:posOffset>160756</wp:posOffset>
            </wp:positionV>
            <wp:extent cx="2843529" cy="2843529"/>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8" cstate="print"/>
                    <a:stretch>
                      <a:fillRect/>
                    </a:stretch>
                  </pic:blipFill>
                  <pic:spPr>
                    <a:xfrm>
                      <a:off x="0" y="0"/>
                      <a:ext cx="2843529" cy="2843529"/>
                    </a:xfrm>
                    <a:prstGeom prst="rect">
                      <a:avLst/>
                    </a:prstGeom>
                  </pic:spPr>
                </pic:pic>
              </a:graphicData>
            </a:graphic>
          </wp:anchor>
        </w:drawing>
      </w:r>
      <w:r>
        <w:rPr/>
        <w:t>Given</w:t>
      </w:r>
      <w:r>
        <w:rPr>
          <w:spacing w:val="-13"/>
        </w:rPr>
        <w:t> </w:t>
      </w:r>
      <w:r>
        <w:rPr/>
        <w:t>the</w:t>
      </w:r>
      <w:r>
        <w:rPr>
          <w:spacing w:val="-12"/>
        </w:rPr>
        <w:t> </w:t>
      </w:r>
      <w:r>
        <w:rPr/>
        <w:t>impact</w:t>
      </w:r>
      <w:r>
        <w:rPr>
          <w:spacing w:val="-13"/>
        </w:rPr>
        <w:t> </w:t>
      </w:r>
      <w:r>
        <w:rPr/>
        <w:t>of</w:t>
      </w:r>
      <w:r>
        <w:rPr>
          <w:spacing w:val="-12"/>
        </w:rPr>
        <w:t> </w:t>
      </w:r>
      <w:r>
        <w:rPr/>
        <w:t>state-level</w:t>
      </w:r>
      <w:r>
        <w:rPr>
          <w:spacing w:val="-13"/>
        </w:rPr>
        <w:t> </w:t>
      </w:r>
      <w:r>
        <w:rPr/>
        <w:t>laws</w:t>
      </w:r>
      <w:r>
        <w:rPr>
          <w:spacing w:val="-12"/>
        </w:rPr>
        <w:t> </w:t>
      </w:r>
      <w:r>
        <w:rPr/>
        <w:t>on</w:t>
      </w:r>
      <w:r>
        <w:rPr>
          <w:spacing w:val="-13"/>
        </w:rPr>
        <w:t> </w:t>
      </w:r>
      <w:r>
        <w:rPr/>
        <w:t>children’s</w:t>
      </w:r>
      <w:r>
        <w:rPr>
          <w:spacing w:val="-12"/>
        </w:rPr>
        <w:t> </w:t>
      </w:r>
      <w:r>
        <w:rPr/>
        <w:t>rights in our country, the Human Rights Watch recently evaluated the laws of the individual 50 United States against four of the key protections of the United Nations Convention on the Rights of the Child: child marriage, corporal punishment, child labor, and juvenile justice</w:t>
      </w:r>
      <w:hyperlink w:history="true" w:anchor="_bookmark21">
        <w:r>
          <w:rPr/>
          <w:t>.</w:t>
        </w:r>
        <w:r>
          <w:rPr>
            <w:vertAlign w:val="superscript"/>
          </w:rPr>
          <w:t>13</w:t>
        </w:r>
      </w:hyperlink>
      <w:r>
        <w:rPr>
          <w:vertAlign w:val="baseline"/>
        </w:rPr>
        <w:t> Most states demonstrate overwhelming noncompliance with internationally accepted children’s rights standards. Only four states earned</w:t>
      </w:r>
      <w:r>
        <w:rPr>
          <w:spacing w:val="-13"/>
          <w:vertAlign w:val="baseline"/>
        </w:rPr>
        <w:t> </w:t>
      </w:r>
      <w:r>
        <w:rPr>
          <w:vertAlign w:val="baseline"/>
        </w:rPr>
        <w:t>a</w:t>
      </w:r>
      <w:r>
        <w:rPr>
          <w:spacing w:val="-12"/>
          <w:vertAlign w:val="baseline"/>
        </w:rPr>
        <w:t> </w:t>
      </w:r>
      <w:r>
        <w:rPr>
          <w:vertAlign w:val="baseline"/>
        </w:rPr>
        <w:t>C</w:t>
      </w:r>
      <w:r>
        <w:rPr>
          <w:spacing w:val="-13"/>
          <w:vertAlign w:val="baseline"/>
        </w:rPr>
        <w:t> </w:t>
      </w:r>
      <w:r>
        <w:rPr>
          <w:vertAlign w:val="baseline"/>
        </w:rPr>
        <w:t>in</w:t>
      </w:r>
      <w:r>
        <w:rPr>
          <w:spacing w:val="-12"/>
          <w:vertAlign w:val="baseline"/>
        </w:rPr>
        <w:t> </w:t>
      </w:r>
      <w:r>
        <w:rPr>
          <w:vertAlign w:val="baseline"/>
        </w:rPr>
        <w:t>the</w:t>
      </w:r>
      <w:r>
        <w:rPr>
          <w:spacing w:val="-13"/>
          <w:vertAlign w:val="baseline"/>
        </w:rPr>
        <w:t> </w:t>
      </w:r>
      <w:r>
        <w:rPr>
          <w:vertAlign w:val="baseline"/>
        </w:rPr>
        <w:t>evaluation,</w:t>
      </w:r>
      <w:r>
        <w:rPr>
          <w:spacing w:val="-12"/>
          <w:vertAlign w:val="baseline"/>
        </w:rPr>
        <w:t> </w:t>
      </w:r>
      <w:r>
        <w:rPr>
          <w:vertAlign w:val="baseline"/>
        </w:rPr>
        <w:t>and</w:t>
      </w:r>
      <w:r>
        <w:rPr>
          <w:spacing w:val="-13"/>
          <w:vertAlign w:val="baseline"/>
        </w:rPr>
        <w:t> </w:t>
      </w:r>
      <w:r>
        <w:rPr>
          <w:vertAlign w:val="baseline"/>
        </w:rPr>
        <w:t>Massachusetts,</w:t>
      </w:r>
      <w:r>
        <w:rPr>
          <w:spacing w:val="-12"/>
          <w:vertAlign w:val="baseline"/>
        </w:rPr>
        <w:t> </w:t>
      </w:r>
      <w:r>
        <w:rPr>
          <w:vertAlign w:val="baseline"/>
        </w:rPr>
        <w:t>which ranked fifth, earned a D. This evaluation merits significant attention because it underscores key areas in</w:t>
      </w:r>
      <w:r>
        <w:rPr>
          <w:spacing w:val="-3"/>
          <w:vertAlign w:val="baseline"/>
        </w:rPr>
        <w:t> </w:t>
      </w:r>
      <w:r>
        <w:rPr>
          <w:vertAlign w:val="baseline"/>
        </w:rPr>
        <w:t>which</w:t>
      </w:r>
      <w:r>
        <w:rPr>
          <w:spacing w:val="-3"/>
          <w:vertAlign w:val="baseline"/>
        </w:rPr>
        <w:t> </w:t>
      </w:r>
      <w:r>
        <w:rPr>
          <w:vertAlign w:val="baseline"/>
        </w:rPr>
        <w:t>our</w:t>
      </w:r>
      <w:r>
        <w:rPr>
          <w:spacing w:val="-1"/>
          <w:vertAlign w:val="baseline"/>
        </w:rPr>
        <w:t> </w:t>
      </w:r>
      <w:r>
        <w:rPr>
          <w:vertAlign w:val="baseline"/>
        </w:rPr>
        <w:t>state</w:t>
      </w:r>
      <w:r>
        <w:rPr>
          <w:spacing w:val="-3"/>
          <w:vertAlign w:val="baseline"/>
        </w:rPr>
        <w:t> </w:t>
      </w:r>
      <w:r>
        <w:rPr>
          <w:vertAlign w:val="baseline"/>
        </w:rPr>
        <w:t>can</w:t>
      </w:r>
      <w:r>
        <w:rPr>
          <w:spacing w:val="-2"/>
          <w:vertAlign w:val="baseline"/>
        </w:rPr>
        <w:t> </w:t>
      </w:r>
      <w:r>
        <w:rPr>
          <w:vertAlign w:val="baseline"/>
        </w:rPr>
        <w:t>make</w:t>
      </w:r>
      <w:r>
        <w:rPr>
          <w:spacing w:val="-3"/>
          <w:vertAlign w:val="baseline"/>
        </w:rPr>
        <w:t> </w:t>
      </w:r>
      <w:r>
        <w:rPr>
          <w:vertAlign w:val="baseline"/>
        </w:rPr>
        <w:t>legal</w:t>
      </w:r>
      <w:r>
        <w:rPr>
          <w:spacing w:val="-1"/>
          <w:vertAlign w:val="baseline"/>
        </w:rPr>
        <w:t> </w:t>
      </w:r>
      <w:r>
        <w:rPr>
          <w:vertAlign w:val="baseline"/>
        </w:rPr>
        <w:t>changes</w:t>
      </w:r>
      <w:r>
        <w:rPr>
          <w:spacing w:val="-2"/>
          <w:vertAlign w:val="baseline"/>
        </w:rPr>
        <w:t> </w:t>
      </w:r>
      <w:r>
        <w:rPr>
          <w:vertAlign w:val="baseline"/>
        </w:rPr>
        <w:t>to</w:t>
      </w:r>
      <w:r>
        <w:rPr>
          <w:spacing w:val="-2"/>
          <w:vertAlign w:val="baseline"/>
        </w:rPr>
        <w:t> </w:t>
      </w:r>
      <w:r>
        <w:rPr>
          <w:vertAlign w:val="baseline"/>
        </w:rPr>
        <w:t>bring</w:t>
      </w:r>
      <w:r>
        <w:rPr>
          <w:spacing w:val="-2"/>
          <w:vertAlign w:val="baseline"/>
        </w:rPr>
        <w:t> </w:t>
      </w:r>
      <w:r>
        <w:rPr>
          <w:vertAlign w:val="baseline"/>
        </w:rPr>
        <w:t>the rights</w:t>
      </w:r>
      <w:r>
        <w:rPr>
          <w:spacing w:val="-1"/>
          <w:vertAlign w:val="baseline"/>
        </w:rPr>
        <w:t> </w:t>
      </w:r>
      <w:r>
        <w:rPr>
          <w:vertAlign w:val="baseline"/>
        </w:rPr>
        <w:t>of</w:t>
      </w:r>
      <w:r>
        <w:rPr>
          <w:spacing w:val="-1"/>
          <w:vertAlign w:val="baseline"/>
        </w:rPr>
        <w:t> </w:t>
      </w:r>
      <w:r>
        <w:rPr>
          <w:vertAlign w:val="baseline"/>
        </w:rPr>
        <w:t>all</w:t>
      </w:r>
      <w:r>
        <w:rPr>
          <w:spacing w:val="-2"/>
          <w:vertAlign w:val="baseline"/>
        </w:rPr>
        <w:t> </w:t>
      </w:r>
      <w:r>
        <w:rPr>
          <w:vertAlign w:val="baseline"/>
        </w:rPr>
        <w:t>our</w:t>
      </w:r>
      <w:r>
        <w:rPr>
          <w:spacing w:val="-1"/>
          <w:vertAlign w:val="baseline"/>
        </w:rPr>
        <w:t> </w:t>
      </w:r>
      <w:r>
        <w:rPr>
          <w:vertAlign w:val="baseline"/>
        </w:rPr>
        <w:t>children,</w:t>
      </w:r>
      <w:r>
        <w:rPr>
          <w:spacing w:val="-1"/>
          <w:vertAlign w:val="baseline"/>
        </w:rPr>
        <w:t> </w:t>
      </w:r>
      <w:r>
        <w:rPr>
          <w:vertAlign w:val="baseline"/>
        </w:rPr>
        <w:t>including</w:t>
      </w:r>
      <w:r>
        <w:rPr>
          <w:spacing w:val="-2"/>
          <w:vertAlign w:val="baseline"/>
        </w:rPr>
        <w:t> </w:t>
      </w:r>
      <w:r>
        <w:rPr>
          <w:vertAlign w:val="baseline"/>
        </w:rPr>
        <w:t>LGBTQ</w:t>
      </w:r>
      <w:r>
        <w:rPr>
          <w:spacing w:val="-2"/>
          <w:vertAlign w:val="baseline"/>
        </w:rPr>
        <w:t> </w:t>
      </w:r>
      <w:r>
        <w:rPr>
          <w:vertAlign w:val="baseline"/>
        </w:rPr>
        <w:t>youth,</w:t>
      </w:r>
      <w:r>
        <w:rPr>
          <w:spacing w:val="-1"/>
          <w:vertAlign w:val="baseline"/>
        </w:rPr>
        <w:t> </w:t>
      </w:r>
      <w:r>
        <w:rPr>
          <w:vertAlign w:val="baseline"/>
        </w:rPr>
        <w:t>up to the baseline level of other countries.</w:t>
      </w:r>
    </w:p>
    <w:p>
      <w:pPr>
        <w:pStyle w:val="BodyText"/>
        <w:spacing w:line="276" w:lineRule="auto" w:before="240"/>
        <w:ind w:left="463" w:right="281"/>
        <w:jc w:val="both"/>
      </w:pPr>
      <w:r>
        <w:rPr/>
        <w:t>Although our nation has not ratified the United Nations Convention on the Rights of the Child, our Commonwealth can and should consider the specifics of the CRC as part of its legislative roadmap. To align</w:t>
      </w:r>
      <w:r>
        <w:rPr>
          <w:spacing w:val="-13"/>
        </w:rPr>
        <w:t> </w:t>
      </w:r>
      <w:r>
        <w:rPr/>
        <w:t>with</w:t>
      </w:r>
      <w:r>
        <w:rPr>
          <w:spacing w:val="-12"/>
        </w:rPr>
        <w:t> </w:t>
      </w:r>
      <w:r>
        <w:rPr/>
        <w:t>the</w:t>
      </w:r>
      <w:r>
        <w:rPr>
          <w:spacing w:val="-13"/>
        </w:rPr>
        <w:t> </w:t>
      </w:r>
      <w:r>
        <w:rPr/>
        <w:t>rights</w:t>
      </w:r>
      <w:r>
        <w:rPr>
          <w:spacing w:val="-12"/>
        </w:rPr>
        <w:t> </w:t>
      </w:r>
      <w:r>
        <w:rPr/>
        <w:t>in</w:t>
      </w:r>
      <w:r>
        <w:rPr>
          <w:spacing w:val="-13"/>
        </w:rPr>
        <w:t> </w:t>
      </w:r>
      <w:r>
        <w:rPr/>
        <w:t>the</w:t>
      </w:r>
      <w:r>
        <w:rPr>
          <w:spacing w:val="-12"/>
        </w:rPr>
        <w:t> </w:t>
      </w:r>
      <w:r>
        <w:rPr/>
        <w:t>United</w:t>
      </w:r>
      <w:r>
        <w:rPr>
          <w:spacing w:val="-13"/>
        </w:rPr>
        <w:t> </w:t>
      </w:r>
      <w:r>
        <w:rPr/>
        <w:t>Nations</w:t>
      </w:r>
      <w:r>
        <w:rPr>
          <w:spacing w:val="-12"/>
        </w:rPr>
        <w:t> </w:t>
      </w:r>
      <w:r>
        <w:rPr/>
        <w:t>CRC,</w:t>
      </w:r>
      <w:r>
        <w:rPr>
          <w:spacing w:val="-12"/>
        </w:rPr>
        <w:t> </w:t>
      </w:r>
      <w:r>
        <w:rPr/>
        <w:t>Massachusetts</w:t>
      </w:r>
      <w:r>
        <w:rPr>
          <w:spacing w:val="-13"/>
        </w:rPr>
        <w:t> </w:t>
      </w:r>
      <w:r>
        <w:rPr/>
        <w:t>would</w:t>
      </w:r>
      <w:r>
        <w:rPr>
          <w:spacing w:val="-12"/>
        </w:rPr>
        <w:t> </w:t>
      </w:r>
      <w:r>
        <w:rPr/>
        <w:t>need</w:t>
      </w:r>
      <w:r>
        <w:rPr>
          <w:spacing w:val="-13"/>
        </w:rPr>
        <w:t> </w:t>
      </w:r>
      <w:r>
        <w:rPr/>
        <w:t>to</w:t>
      </w:r>
      <w:r>
        <w:rPr>
          <w:spacing w:val="-12"/>
        </w:rPr>
        <w:t> </w:t>
      </w:r>
      <w:r>
        <w:rPr/>
        <w:t>abolish</w:t>
      </w:r>
      <w:r>
        <w:rPr>
          <w:spacing w:val="-13"/>
        </w:rPr>
        <w:t> </w:t>
      </w:r>
      <w:r>
        <w:rPr/>
        <w:t>corporal</w:t>
      </w:r>
      <w:r>
        <w:rPr>
          <w:spacing w:val="-12"/>
        </w:rPr>
        <w:t> </w:t>
      </w:r>
      <w:r>
        <w:rPr/>
        <w:t>punishment in all settings raise the minimum age for agricultural work from zero to 15, raise the minimum age for hazardous agricultural work from 16 to 18, increase the minimum age of juvenile jurisdiction from 12 to 14, and explicitly prohibit the transfer of any child under 18 to adult courts for any reason. Corporal punishment, which disproportionately harms LGBTQ youth, remains legal in Massachusetts in private schools, alternative care settings, and penal settings.</w:t>
      </w:r>
    </w:p>
    <w:p>
      <w:pPr>
        <w:pStyle w:val="BodyText"/>
        <w:spacing w:line="276" w:lineRule="auto" w:before="240"/>
        <w:ind w:left="463" w:right="280"/>
        <w:jc w:val="both"/>
      </w:pPr>
      <w:r>
        <w:rPr/>
        <w:t>Further, QTBIPOC youth are overrepresented and mistreated in our juvenile justice system,</w:t>
      </w:r>
      <w:hyperlink w:history="true" w:anchor="_bookmark22">
        <w:r>
          <w:rPr>
            <w:color w:val="1154CC"/>
            <w:u w:val="single" w:color="1154CC"/>
            <w:vertAlign w:val="superscript"/>
          </w:rPr>
          <w:t>14</w:t>
        </w:r>
      </w:hyperlink>
      <w:r>
        <w:rPr>
          <w:color w:val="1154CC"/>
          <w:u w:val="none"/>
          <w:vertAlign w:val="baseline"/>
        </w:rPr>
        <w:t> </w:t>
      </w:r>
      <w:r>
        <w:rPr>
          <w:u w:val="none"/>
          <w:vertAlign w:val="baseline"/>
        </w:rPr>
        <w:t>a system that requires change in all 50 states to be brought to the minimum international standard articulated in the</w:t>
      </w:r>
      <w:r>
        <w:rPr>
          <w:spacing w:val="-4"/>
          <w:u w:val="none"/>
          <w:vertAlign w:val="baseline"/>
        </w:rPr>
        <w:t> </w:t>
      </w:r>
      <w:r>
        <w:rPr>
          <w:u w:val="none"/>
          <w:vertAlign w:val="baseline"/>
        </w:rPr>
        <w:t>United</w:t>
      </w:r>
      <w:r>
        <w:rPr>
          <w:spacing w:val="-6"/>
          <w:u w:val="none"/>
          <w:vertAlign w:val="baseline"/>
        </w:rPr>
        <w:t> </w:t>
      </w:r>
      <w:r>
        <w:rPr>
          <w:u w:val="none"/>
          <w:vertAlign w:val="baseline"/>
        </w:rPr>
        <w:t>Nations</w:t>
      </w:r>
      <w:r>
        <w:rPr>
          <w:spacing w:val="-5"/>
          <w:u w:val="none"/>
          <w:vertAlign w:val="baseline"/>
        </w:rPr>
        <w:t> </w:t>
      </w:r>
      <w:r>
        <w:rPr>
          <w:u w:val="none"/>
          <w:vertAlign w:val="baseline"/>
        </w:rPr>
        <w:t>CRC.</w:t>
      </w:r>
      <w:r>
        <w:rPr>
          <w:spacing w:val="-6"/>
          <w:u w:val="none"/>
          <w:vertAlign w:val="baseline"/>
        </w:rPr>
        <w:t> </w:t>
      </w:r>
      <w:r>
        <w:rPr>
          <w:u w:val="none"/>
          <w:vertAlign w:val="baseline"/>
        </w:rPr>
        <w:t>Juvenile</w:t>
      </w:r>
      <w:r>
        <w:rPr>
          <w:spacing w:val="-6"/>
          <w:u w:val="none"/>
          <w:vertAlign w:val="baseline"/>
        </w:rPr>
        <w:t> </w:t>
      </w:r>
      <w:r>
        <w:rPr>
          <w:u w:val="none"/>
          <w:vertAlign w:val="baseline"/>
        </w:rPr>
        <w:t>justice,</w:t>
      </w:r>
      <w:r>
        <w:rPr>
          <w:spacing w:val="-5"/>
          <w:u w:val="none"/>
          <w:vertAlign w:val="baseline"/>
        </w:rPr>
        <w:t> </w:t>
      </w:r>
      <w:r>
        <w:rPr>
          <w:u w:val="none"/>
          <w:vertAlign w:val="baseline"/>
        </w:rPr>
        <w:t>education,</w:t>
      </w:r>
      <w:r>
        <w:rPr>
          <w:spacing w:val="-5"/>
          <w:u w:val="none"/>
          <w:vertAlign w:val="baseline"/>
        </w:rPr>
        <w:t> </w:t>
      </w:r>
      <w:r>
        <w:rPr>
          <w:u w:val="none"/>
          <w:vertAlign w:val="baseline"/>
        </w:rPr>
        <w:t>and</w:t>
      </w:r>
      <w:r>
        <w:rPr>
          <w:spacing w:val="-6"/>
          <w:u w:val="none"/>
          <w:vertAlign w:val="baseline"/>
        </w:rPr>
        <w:t> </w:t>
      </w:r>
      <w:r>
        <w:rPr>
          <w:u w:val="none"/>
          <w:vertAlign w:val="baseline"/>
        </w:rPr>
        <w:t>labor</w:t>
      </w:r>
      <w:r>
        <w:rPr>
          <w:spacing w:val="-5"/>
          <w:u w:val="none"/>
          <w:vertAlign w:val="baseline"/>
        </w:rPr>
        <w:t> </w:t>
      </w:r>
      <w:r>
        <w:rPr>
          <w:u w:val="none"/>
          <w:vertAlign w:val="baseline"/>
        </w:rPr>
        <w:t>rights</w:t>
      </w:r>
      <w:r>
        <w:rPr>
          <w:spacing w:val="-5"/>
          <w:u w:val="none"/>
          <w:vertAlign w:val="baseline"/>
        </w:rPr>
        <w:t> </w:t>
      </w:r>
      <w:r>
        <w:rPr>
          <w:u w:val="none"/>
          <w:vertAlign w:val="baseline"/>
        </w:rPr>
        <w:t>are</w:t>
      </w:r>
      <w:r>
        <w:rPr>
          <w:spacing w:val="-6"/>
          <w:u w:val="none"/>
          <w:vertAlign w:val="baseline"/>
        </w:rPr>
        <w:t> </w:t>
      </w:r>
      <w:r>
        <w:rPr>
          <w:u w:val="none"/>
          <w:vertAlign w:val="baseline"/>
        </w:rPr>
        <w:t>all</w:t>
      </w:r>
      <w:r>
        <w:rPr>
          <w:spacing w:val="-6"/>
          <w:u w:val="none"/>
          <w:vertAlign w:val="baseline"/>
        </w:rPr>
        <w:t> </w:t>
      </w:r>
      <w:r>
        <w:rPr>
          <w:u w:val="none"/>
          <w:vertAlign w:val="baseline"/>
        </w:rPr>
        <w:t>addressed</w:t>
      </w:r>
      <w:r>
        <w:rPr>
          <w:spacing w:val="-6"/>
          <w:u w:val="none"/>
          <w:vertAlign w:val="baseline"/>
        </w:rPr>
        <w:t> </w:t>
      </w:r>
      <w:r>
        <w:rPr>
          <w:u w:val="none"/>
          <w:vertAlign w:val="baseline"/>
        </w:rPr>
        <w:t>more</w:t>
      </w:r>
      <w:r>
        <w:rPr>
          <w:spacing w:val="-4"/>
          <w:u w:val="none"/>
          <w:vertAlign w:val="baseline"/>
        </w:rPr>
        <w:t> </w:t>
      </w:r>
      <w:r>
        <w:rPr>
          <w:u w:val="none"/>
          <w:vertAlign w:val="baseline"/>
        </w:rPr>
        <w:t>specifically</w:t>
      </w:r>
      <w:r>
        <w:rPr>
          <w:spacing w:val="-5"/>
          <w:u w:val="none"/>
          <w:vertAlign w:val="baseline"/>
        </w:rPr>
        <w:t> </w:t>
      </w:r>
      <w:r>
        <w:rPr>
          <w:u w:val="none"/>
          <w:vertAlign w:val="baseline"/>
        </w:rPr>
        <w:t>in subsequent sections of this report.</w:t>
      </w:r>
    </w:p>
    <w:p>
      <w:pPr>
        <w:spacing w:after="0" w:line="276" w:lineRule="auto"/>
        <w:jc w:val="both"/>
        <w:sectPr>
          <w:pgSz w:w="12240" w:h="15840"/>
          <w:pgMar w:header="804" w:footer="1263" w:top="1000" w:bottom="1460" w:left="980" w:right="1160"/>
        </w:sectPr>
      </w:pPr>
    </w:p>
    <w:p>
      <w:pPr>
        <w:pStyle w:val="BodyText"/>
        <w:spacing w:line="276" w:lineRule="auto" w:before="139"/>
        <w:ind w:left="463" w:right="282"/>
        <w:jc w:val="both"/>
      </w:pPr>
      <w:r>
        <w:rPr/>
        <w:t>One</w:t>
      </w:r>
      <w:r>
        <w:rPr>
          <w:spacing w:val="-13"/>
        </w:rPr>
        <w:t> </w:t>
      </w:r>
      <w:r>
        <w:rPr/>
        <w:t>important</w:t>
      </w:r>
      <w:r>
        <w:rPr>
          <w:spacing w:val="-12"/>
        </w:rPr>
        <w:t> </w:t>
      </w:r>
      <w:r>
        <w:rPr/>
        <w:t>measure</w:t>
      </w:r>
      <w:r>
        <w:rPr>
          <w:spacing w:val="-13"/>
        </w:rPr>
        <w:t> </w:t>
      </w:r>
      <w:r>
        <w:rPr/>
        <w:t>on</w:t>
      </w:r>
      <w:r>
        <w:rPr>
          <w:spacing w:val="-12"/>
        </w:rPr>
        <w:t> </w:t>
      </w:r>
      <w:r>
        <w:rPr/>
        <w:t>which</w:t>
      </w:r>
      <w:r>
        <w:rPr>
          <w:spacing w:val="-13"/>
        </w:rPr>
        <w:t> </w:t>
      </w:r>
      <w:r>
        <w:rPr/>
        <w:t>Massachusetts</w:t>
      </w:r>
      <w:r>
        <w:rPr>
          <w:spacing w:val="-12"/>
        </w:rPr>
        <w:t> </w:t>
      </w:r>
      <w:r>
        <w:rPr/>
        <w:t>only</w:t>
      </w:r>
      <w:r>
        <w:rPr>
          <w:spacing w:val="-13"/>
        </w:rPr>
        <w:t> </w:t>
      </w:r>
      <w:r>
        <w:rPr/>
        <w:t>recently</w:t>
      </w:r>
      <w:r>
        <w:rPr>
          <w:spacing w:val="-12"/>
        </w:rPr>
        <w:t> </w:t>
      </w:r>
      <w:r>
        <w:rPr/>
        <w:t>became</w:t>
      </w:r>
      <w:r>
        <w:rPr>
          <w:spacing w:val="-12"/>
        </w:rPr>
        <w:t> </w:t>
      </w:r>
      <w:r>
        <w:rPr/>
        <w:t>compliant</w:t>
      </w:r>
      <w:r>
        <w:rPr>
          <w:spacing w:val="-13"/>
        </w:rPr>
        <w:t> </w:t>
      </w:r>
      <w:r>
        <w:rPr/>
        <w:t>with</w:t>
      </w:r>
      <w:r>
        <w:rPr>
          <w:spacing w:val="-12"/>
        </w:rPr>
        <w:t> </w:t>
      </w:r>
      <w:r>
        <w:rPr/>
        <w:t>the</w:t>
      </w:r>
      <w:r>
        <w:rPr>
          <w:spacing w:val="-13"/>
        </w:rPr>
        <w:t> </w:t>
      </w:r>
      <w:r>
        <w:rPr/>
        <w:t>United</w:t>
      </w:r>
      <w:r>
        <w:rPr>
          <w:spacing w:val="-12"/>
        </w:rPr>
        <w:t> </w:t>
      </w:r>
      <w:r>
        <w:rPr/>
        <w:t>Nations CRC is child marriage. In July 2022, Massachusetts passed </w:t>
      </w:r>
      <w:hyperlink r:id="rId61">
        <w:r>
          <w:rPr>
            <w:color w:val="3366CC"/>
            <w:u w:val="single" w:color="3366CC"/>
            <w:shd w:fill="F8F8F0" w:color="auto" w:val="clear"/>
          </w:rPr>
          <w:t>MA Gen L Ch. 207 § 7 (2021)</w:t>
        </w:r>
      </w:hyperlink>
      <w:r>
        <w:rPr>
          <w:color w:val="3366CC"/>
          <w:u w:val="none"/>
        </w:rPr>
        <w:t> </w:t>
      </w:r>
      <w:r>
        <w:rPr>
          <w:color w:val="000000"/>
          <w:u w:val="none"/>
        </w:rPr>
        <w:t>to raise the minimum age for marriage to 18 without exception, effectively ending child marriage—a protection and victory for all children. Beyond a consideration of the standards set by the United Nations Convention, other</w:t>
      </w:r>
      <w:r>
        <w:rPr>
          <w:color w:val="000000"/>
          <w:spacing w:val="-13"/>
          <w:u w:val="none"/>
        </w:rPr>
        <w:t> </w:t>
      </w:r>
      <w:r>
        <w:rPr>
          <w:color w:val="000000"/>
          <w:u w:val="none"/>
        </w:rPr>
        <w:t>global</w:t>
      </w:r>
      <w:r>
        <w:rPr>
          <w:color w:val="000000"/>
          <w:spacing w:val="-12"/>
          <w:u w:val="none"/>
        </w:rPr>
        <w:t> </w:t>
      </w:r>
      <w:r>
        <w:rPr>
          <w:color w:val="000000"/>
          <w:u w:val="none"/>
        </w:rPr>
        <w:t>indicators</w:t>
      </w:r>
      <w:r>
        <w:rPr>
          <w:color w:val="000000"/>
          <w:spacing w:val="-13"/>
          <w:u w:val="none"/>
        </w:rPr>
        <w:t> </w:t>
      </w:r>
      <w:r>
        <w:rPr>
          <w:color w:val="000000"/>
          <w:u w:val="none"/>
        </w:rPr>
        <w:t>put</w:t>
      </w:r>
      <w:r>
        <w:rPr>
          <w:color w:val="000000"/>
          <w:spacing w:val="-12"/>
          <w:u w:val="none"/>
        </w:rPr>
        <w:t> </w:t>
      </w:r>
      <w:r>
        <w:rPr>
          <w:color w:val="000000"/>
          <w:u w:val="none"/>
        </w:rPr>
        <w:t>the</w:t>
      </w:r>
      <w:r>
        <w:rPr>
          <w:color w:val="000000"/>
          <w:spacing w:val="-13"/>
          <w:u w:val="none"/>
        </w:rPr>
        <w:t> </w:t>
      </w:r>
      <w:r>
        <w:rPr>
          <w:color w:val="000000"/>
          <w:u w:val="none"/>
        </w:rPr>
        <w:t>realities</w:t>
      </w:r>
      <w:r>
        <w:rPr>
          <w:color w:val="000000"/>
          <w:spacing w:val="-12"/>
          <w:u w:val="none"/>
        </w:rPr>
        <w:t> </w:t>
      </w:r>
      <w:r>
        <w:rPr>
          <w:color w:val="000000"/>
          <w:u w:val="none"/>
        </w:rPr>
        <w:t>of</w:t>
      </w:r>
      <w:r>
        <w:rPr>
          <w:color w:val="000000"/>
          <w:spacing w:val="-13"/>
          <w:u w:val="none"/>
        </w:rPr>
        <w:t> </w:t>
      </w:r>
      <w:r>
        <w:rPr>
          <w:color w:val="000000"/>
          <w:u w:val="none"/>
        </w:rPr>
        <w:t>LGBTQ</w:t>
      </w:r>
      <w:r>
        <w:rPr>
          <w:color w:val="000000"/>
          <w:spacing w:val="-12"/>
          <w:u w:val="none"/>
        </w:rPr>
        <w:t> </w:t>
      </w:r>
      <w:r>
        <w:rPr>
          <w:color w:val="000000"/>
          <w:u w:val="none"/>
        </w:rPr>
        <w:t>youth</w:t>
      </w:r>
      <w:r>
        <w:rPr>
          <w:color w:val="000000"/>
          <w:spacing w:val="-12"/>
          <w:u w:val="none"/>
        </w:rPr>
        <w:t> </w:t>
      </w:r>
      <w:r>
        <w:rPr>
          <w:color w:val="000000"/>
          <w:u w:val="none"/>
        </w:rPr>
        <w:t>in</w:t>
      </w:r>
      <w:r>
        <w:rPr>
          <w:color w:val="000000"/>
          <w:spacing w:val="-13"/>
          <w:u w:val="none"/>
        </w:rPr>
        <w:t> </w:t>
      </w:r>
      <w:r>
        <w:rPr>
          <w:color w:val="000000"/>
          <w:u w:val="none"/>
        </w:rPr>
        <w:t>Massachusetts</w:t>
      </w:r>
      <w:r>
        <w:rPr>
          <w:color w:val="000000"/>
          <w:spacing w:val="-12"/>
          <w:u w:val="none"/>
        </w:rPr>
        <w:t> </w:t>
      </w:r>
      <w:r>
        <w:rPr>
          <w:color w:val="000000"/>
          <w:u w:val="none"/>
        </w:rPr>
        <w:t>in</w:t>
      </w:r>
      <w:r>
        <w:rPr>
          <w:color w:val="000000"/>
          <w:spacing w:val="-13"/>
          <w:u w:val="none"/>
        </w:rPr>
        <w:t> </w:t>
      </w:r>
      <w:r>
        <w:rPr>
          <w:color w:val="000000"/>
          <w:u w:val="none"/>
        </w:rPr>
        <w:t>perspective.</w:t>
      </w:r>
      <w:r>
        <w:rPr>
          <w:color w:val="000000"/>
          <w:spacing w:val="-12"/>
          <w:u w:val="none"/>
        </w:rPr>
        <w:t> </w:t>
      </w:r>
      <w:r>
        <w:rPr>
          <w:color w:val="000000"/>
          <w:u w:val="none"/>
        </w:rPr>
        <w:t>The</w:t>
      </w:r>
      <w:r>
        <w:rPr>
          <w:color w:val="000000"/>
          <w:spacing w:val="-13"/>
          <w:u w:val="none"/>
        </w:rPr>
        <w:t> </w:t>
      </w:r>
      <w:r>
        <w:rPr>
          <w:color w:val="000000"/>
          <w:u w:val="none"/>
        </w:rPr>
        <w:t>United</w:t>
      </w:r>
      <w:r>
        <w:rPr>
          <w:color w:val="000000"/>
          <w:spacing w:val="-12"/>
          <w:u w:val="none"/>
        </w:rPr>
        <w:t> </w:t>
      </w:r>
      <w:r>
        <w:rPr>
          <w:color w:val="000000"/>
          <w:u w:val="none"/>
        </w:rPr>
        <w:t>States continues to rank at the bottom of developed countries for child poverty. In a comparison of 26 OECD (Organization for Economic Co-operation and Development) countries, the U.S. rates of poverty are substantially higher and more extreme than those found in the other 25 nations</w:t>
      </w:r>
      <w:hyperlink w:history="true" w:anchor="_bookmark23">
        <w:r>
          <w:rPr>
            <w:color w:val="404040"/>
            <w:u w:val="none"/>
          </w:rPr>
          <w:t>.</w:t>
        </w:r>
        <w:r>
          <w:rPr>
            <w:color w:val="404040"/>
            <w:u w:val="none"/>
            <w:vertAlign w:val="superscript"/>
          </w:rPr>
          <w:t>15</w:t>
        </w:r>
      </w:hyperlink>
      <w:r>
        <w:rPr>
          <w:color w:val="404040"/>
          <w:u w:val="none"/>
          <w:vertAlign w:val="baseline"/>
        </w:rPr>
        <w:t> </w:t>
      </w:r>
      <w:r>
        <w:rPr>
          <w:color w:val="000000"/>
          <w:u w:val="none"/>
          <w:vertAlign w:val="baseline"/>
        </w:rPr>
        <w:t>Among developed countries, the average poverty rate stands at 10%; in the United States 17% of children live at or below the poverty line—a stark contrast</w:t>
      </w:r>
      <w:hyperlink w:history="true" w:anchor="_bookmark24">
        <w:r>
          <w:rPr>
            <w:color w:val="000000"/>
            <w:u w:val="none"/>
            <w:vertAlign w:val="baseline"/>
          </w:rPr>
          <w:t>.</w:t>
        </w:r>
        <w:r>
          <w:rPr>
            <w:color w:val="000000"/>
            <w:u w:val="none"/>
            <w:vertAlign w:val="superscript"/>
          </w:rPr>
          <w:t>16</w:t>
        </w:r>
      </w:hyperlink>
      <w:r>
        <w:rPr>
          <w:color w:val="000000"/>
          <w:u w:val="none"/>
          <w:vertAlign w:val="baseline"/>
        </w:rPr>
        <w:t> At 12%, the child poverty rate in Massachusetts is lower than the national average, however Massachusetts fares worse than 21 other states because of the Commonwealth’s high cost of living</w:t>
      </w:r>
      <w:hyperlink w:history="true" w:anchor="_bookmark25">
        <w:r>
          <w:rPr>
            <w:color w:val="000000"/>
            <w:u w:val="none"/>
            <w:vertAlign w:val="baseline"/>
          </w:rPr>
          <w:t>.</w:t>
        </w:r>
        <w:r>
          <w:rPr>
            <w:color w:val="000000"/>
            <w:u w:val="none"/>
            <w:vertAlign w:val="superscript"/>
          </w:rPr>
          <w:t>17</w:t>
        </w:r>
      </w:hyperlink>
      <w:r>
        <w:rPr>
          <w:color w:val="000000"/>
          <w:u w:val="none"/>
          <w:vertAlign w:val="baseline"/>
        </w:rPr>
        <w:t> Though in Massachusetts poverty does not affect LGBTQ youth uniquely, it does affect them profoundly.</w:t>
      </w:r>
    </w:p>
    <w:p>
      <w:pPr>
        <w:pStyle w:val="BodyText"/>
        <w:spacing w:line="276" w:lineRule="auto" w:before="238"/>
        <w:ind w:left="463" w:right="281"/>
        <w:jc w:val="both"/>
      </w:pPr>
      <w:r>
        <w:rPr/>
        <w:t>Recent</w:t>
      </w:r>
      <w:r>
        <w:rPr>
          <w:spacing w:val="-13"/>
        </w:rPr>
        <w:t> </w:t>
      </w:r>
      <w:r>
        <w:rPr/>
        <w:t>international</w:t>
      </w:r>
      <w:r>
        <w:rPr>
          <w:spacing w:val="-12"/>
        </w:rPr>
        <w:t> </w:t>
      </w:r>
      <w:r>
        <w:rPr/>
        <w:t>research</w:t>
      </w:r>
      <w:r>
        <w:rPr>
          <w:spacing w:val="-13"/>
        </w:rPr>
        <w:t> </w:t>
      </w:r>
      <w:r>
        <w:rPr/>
        <w:t>that</w:t>
      </w:r>
      <w:r>
        <w:rPr>
          <w:spacing w:val="-12"/>
        </w:rPr>
        <w:t> </w:t>
      </w:r>
      <w:r>
        <w:rPr/>
        <w:t>evaluates</w:t>
      </w:r>
      <w:r>
        <w:rPr>
          <w:spacing w:val="-13"/>
        </w:rPr>
        <w:t> </w:t>
      </w:r>
      <w:r>
        <w:rPr/>
        <w:t>the</w:t>
      </w:r>
      <w:r>
        <w:rPr>
          <w:spacing w:val="-12"/>
        </w:rPr>
        <w:t> </w:t>
      </w:r>
      <w:r>
        <w:rPr/>
        <w:t>social</w:t>
      </w:r>
      <w:r>
        <w:rPr>
          <w:spacing w:val="-13"/>
        </w:rPr>
        <w:t> </w:t>
      </w:r>
      <w:r>
        <w:rPr/>
        <w:t>acceptance</w:t>
      </w:r>
      <w:r>
        <w:rPr>
          <w:spacing w:val="-12"/>
        </w:rPr>
        <w:t> </w:t>
      </w:r>
      <w:r>
        <w:rPr/>
        <w:t>of</w:t>
      </w:r>
      <w:r>
        <w:rPr>
          <w:spacing w:val="-12"/>
        </w:rPr>
        <w:t> </w:t>
      </w:r>
      <w:r>
        <w:rPr/>
        <w:t>LGBTQ</w:t>
      </w:r>
      <w:r>
        <w:rPr>
          <w:spacing w:val="-13"/>
        </w:rPr>
        <w:t> </w:t>
      </w:r>
      <w:r>
        <w:rPr/>
        <w:t>people</w:t>
      </w:r>
      <w:r>
        <w:rPr>
          <w:spacing w:val="-12"/>
        </w:rPr>
        <w:t> </w:t>
      </w:r>
      <w:r>
        <w:rPr/>
        <w:t>offers</w:t>
      </w:r>
      <w:r>
        <w:rPr>
          <w:spacing w:val="-13"/>
        </w:rPr>
        <w:t> </w:t>
      </w:r>
      <w:r>
        <w:rPr/>
        <w:t>another</w:t>
      </w:r>
      <w:r>
        <w:rPr>
          <w:spacing w:val="-12"/>
        </w:rPr>
        <w:t> </w:t>
      </w:r>
      <w:r>
        <w:rPr/>
        <w:t>helpful lens for contextualizing the situation of youth in Massachusetts. Social acceptance of LGBTQ people is correlated with their well-being and economic vitality. Using a sophisticated Global Acceptance Model, research at UCLA ranked social acceptance of LGBTI people in 175 countries and locations</w:t>
      </w:r>
      <w:hyperlink w:history="true" w:anchor="_bookmark26">
        <w:r>
          <w:rPr/>
          <w:t>.</w:t>
        </w:r>
        <w:r>
          <w:rPr>
            <w:vertAlign w:val="superscript"/>
          </w:rPr>
          <w:t>18</w:t>
        </w:r>
      </w:hyperlink>
      <w:r>
        <w:rPr>
          <w:vertAlign w:val="baseline"/>
        </w:rPr>
        <w:t> This study found</w:t>
      </w:r>
      <w:r>
        <w:rPr>
          <w:spacing w:val="-13"/>
          <w:vertAlign w:val="baseline"/>
        </w:rPr>
        <w:t> </w:t>
      </w:r>
      <w:r>
        <w:rPr>
          <w:vertAlign w:val="baseline"/>
        </w:rPr>
        <w:t>that</w:t>
      </w:r>
      <w:r>
        <w:rPr>
          <w:spacing w:val="-12"/>
          <w:vertAlign w:val="baseline"/>
        </w:rPr>
        <w:t> </w:t>
      </w:r>
      <w:r>
        <w:rPr>
          <w:vertAlign w:val="baseline"/>
        </w:rPr>
        <w:t>although</w:t>
      </w:r>
      <w:r>
        <w:rPr>
          <w:spacing w:val="-13"/>
          <w:vertAlign w:val="baseline"/>
        </w:rPr>
        <w:t> </w:t>
      </w:r>
      <w:r>
        <w:rPr>
          <w:vertAlign w:val="baseline"/>
        </w:rPr>
        <w:t>support</w:t>
      </w:r>
      <w:r>
        <w:rPr>
          <w:spacing w:val="-12"/>
          <w:vertAlign w:val="baseline"/>
        </w:rPr>
        <w:t> </w:t>
      </w:r>
      <w:r>
        <w:rPr>
          <w:vertAlign w:val="baseline"/>
        </w:rPr>
        <w:t>of</w:t>
      </w:r>
      <w:r>
        <w:rPr>
          <w:spacing w:val="-13"/>
          <w:vertAlign w:val="baseline"/>
        </w:rPr>
        <w:t> </w:t>
      </w:r>
      <w:r>
        <w:rPr>
          <w:vertAlign w:val="baseline"/>
        </w:rPr>
        <w:t>LGBT</w:t>
      </w:r>
      <w:r>
        <w:rPr>
          <w:spacing w:val="-11"/>
          <w:vertAlign w:val="baseline"/>
        </w:rPr>
        <w:t> </w:t>
      </w:r>
      <w:r>
        <w:rPr>
          <w:vertAlign w:val="baseline"/>
        </w:rPr>
        <w:t>and</w:t>
      </w:r>
      <w:r>
        <w:rPr>
          <w:spacing w:val="-13"/>
          <w:vertAlign w:val="baseline"/>
        </w:rPr>
        <w:t> </w:t>
      </w:r>
      <w:r>
        <w:rPr>
          <w:vertAlign w:val="baseline"/>
        </w:rPr>
        <w:t>intersex</w:t>
      </w:r>
      <w:r>
        <w:rPr>
          <w:spacing w:val="-12"/>
          <w:vertAlign w:val="baseline"/>
        </w:rPr>
        <w:t> </w:t>
      </w:r>
      <w:r>
        <w:rPr>
          <w:vertAlign w:val="baseline"/>
        </w:rPr>
        <w:t>people</w:t>
      </w:r>
      <w:r>
        <w:rPr>
          <w:spacing w:val="-13"/>
          <w:vertAlign w:val="baseline"/>
        </w:rPr>
        <w:t> </w:t>
      </w:r>
      <w:r>
        <w:rPr>
          <w:vertAlign w:val="baseline"/>
        </w:rPr>
        <w:t>is</w:t>
      </w:r>
      <w:r>
        <w:rPr>
          <w:spacing w:val="-11"/>
          <w:vertAlign w:val="baseline"/>
        </w:rPr>
        <w:t> </w:t>
      </w:r>
      <w:r>
        <w:rPr>
          <w:vertAlign w:val="baseline"/>
        </w:rPr>
        <w:t>on</w:t>
      </w:r>
      <w:r>
        <w:rPr>
          <w:spacing w:val="-13"/>
          <w:vertAlign w:val="baseline"/>
        </w:rPr>
        <w:t> </w:t>
      </w:r>
      <w:r>
        <w:rPr>
          <w:vertAlign w:val="baseline"/>
        </w:rPr>
        <w:t>the</w:t>
      </w:r>
      <w:r>
        <w:rPr>
          <w:spacing w:val="-11"/>
          <w:vertAlign w:val="baseline"/>
        </w:rPr>
        <w:t> </w:t>
      </w:r>
      <w:r>
        <w:rPr>
          <w:vertAlign w:val="baseline"/>
        </w:rPr>
        <w:t>rise</w:t>
      </w:r>
      <w:r>
        <w:rPr>
          <w:spacing w:val="-13"/>
          <w:vertAlign w:val="baseline"/>
        </w:rPr>
        <w:t> </w:t>
      </w:r>
      <w:r>
        <w:rPr>
          <w:vertAlign w:val="baseline"/>
        </w:rPr>
        <w:t>worldwide,</w:t>
      </w:r>
      <w:r>
        <w:rPr>
          <w:spacing w:val="-11"/>
          <w:vertAlign w:val="baseline"/>
        </w:rPr>
        <w:t> </w:t>
      </w:r>
      <w:r>
        <w:rPr>
          <w:vertAlign w:val="baseline"/>
        </w:rPr>
        <w:t>some</w:t>
      </w:r>
      <w:r>
        <w:rPr>
          <w:spacing w:val="-13"/>
          <w:vertAlign w:val="baseline"/>
        </w:rPr>
        <w:t> </w:t>
      </w:r>
      <w:r>
        <w:rPr>
          <w:vertAlign w:val="baseline"/>
        </w:rPr>
        <w:t>nations,</w:t>
      </w:r>
      <w:r>
        <w:rPr>
          <w:spacing w:val="-11"/>
          <w:vertAlign w:val="baseline"/>
        </w:rPr>
        <w:t> </w:t>
      </w:r>
      <w:r>
        <w:rPr>
          <w:vertAlign w:val="baseline"/>
        </w:rPr>
        <w:t>including the United States, have become more polarized. In this evaluation, the United States ranked 23</w:t>
      </w:r>
      <w:r>
        <w:rPr>
          <w:vertAlign w:val="superscript"/>
        </w:rPr>
        <w:t>rd</w:t>
      </w:r>
      <w:r>
        <w:rPr>
          <w:vertAlign w:val="baseline"/>
        </w:rPr>
        <w:t> overall for</w:t>
      </w:r>
      <w:r>
        <w:rPr>
          <w:spacing w:val="-13"/>
          <w:vertAlign w:val="baseline"/>
        </w:rPr>
        <w:t> </w:t>
      </w:r>
      <w:r>
        <w:rPr>
          <w:vertAlign w:val="baseline"/>
        </w:rPr>
        <w:t>social</w:t>
      </w:r>
      <w:r>
        <w:rPr>
          <w:spacing w:val="-12"/>
          <w:vertAlign w:val="baseline"/>
        </w:rPr>
        <w:t> </w:t>
      </w:r>
      <w:r>
        <w:rPr>
          <w:vertAlign w:val="baseline"/>
        </w:rPr>
        <w:t>acceptance</w:t>
      </w:r>
      <w:r>
        <w:rPr>
          <w:spacing w:val="-13"/>
          <w:vertAlign w:val="baseline"/>
        </w:rPr>
        <w:t> </w:t>
      </w:r>
      <w:r>
        <w:rPr>
          <w:vertAlign w:val="baseline"/>
        </w:rPr>
        <w:t>among</w:t>
      </w:r>
      <w:r>
        <w:rPr>
          <w:spacing w:val="-12"/>
          <w:vertAlign w:val="baseline"/>
        </w:rPr>
        <w:t> </w:t>
      </w:r>
      <w:r>
        <w:rPr>
          <w:vertAlign w:val="baseline"/>
        </w:rPr>
        <w:t>world</w:t>
      </w:r>
      <w:r>
        <w:rPr>
          <w:spacing w:val="-13"/>
          <w:vertAlign w:val="baseline"/>
        </w:rPr>
        <w:t> </w:t>
      </w:r>
      <w:r>
        <w:rPr>
          <w:vertAlign w:val="baseline"/>
        </w:rPr>
        <w:t>nations.</w:t>
      </w:r>
      <w:r>
        <w:rPr>
          <w:spacing w:val="-12"/>
          <w:vertAlign w:val="baseline"/>
        </w:rPr>
        <w:t> </w:t>
      </w:r>
      <w:r>
        <w:rPr>
          <w:vertAlign w:val="baseline"/>
        </w:rPr>
        <w:t>Canada,</w:t>
      </w:r>
      <w:r>
        <w:rPr>
          <w:spacing w:val="-13"/>
          <w:vertAlign w:val="baseline"/>
        </w:rPr>
        <w:t> </w:t>
      </w:r>
      <w:r>
        <w:rPr>
          <w:vertAlign w:val="baseline"/>
        </w:rPr>
        <w:t>just</w:t>
      </w:r>
      <w:r>
        <w:rPr>
          <w:spacing w:val="-12"/>
          <w:vertAlign w:val="baseline"/>
        </w:rPr>
        <w:t> </w:t>
      </w:r>
      <w:r>
        <w:rPr>
          <w:vertAlign w:val="baseline"/>
        </w:rPr>
        <w:t>a</w:t>
      </w:r>
      <w:r>
        <w:rPr>
          <w:spacing w:val="-12"/>
          <w:vertAlign w:val="baseline"/>
        </w:rPr>
        <w:t> </w:t>
      </w:r>
      <w:r>
        <w:rPr>
          <w:vertAlign w:val="baseline"/>
        </w:rPr>
        <w:t>few</w:t>
      </w:r>
      <w:r>
        <w:rPr>
          <w:spacing w:val="-12"/>
          <w:vertAlign w:val="baseline"/>
        </w:rPr>
        <w:t> </w:t>
      </w:r>
      <w:r>
        <w:rPr>
          <w:vertAlign w:val="baseline"/>
        </w:rPr>
        <w:t>hours’</w:t>
      </w:r>
      <w:r>
        <w:rPr>
          <w:spacing w:val="-11"/>
          <w:vertAlign w:val="baseline"/>
        </w:rPr>
        <w:t> </w:t>
      </w:r>
      <w:r>
        <w:rPr>
          <w:vertAlign w:val="baseline"/>
        </w:rPr>
        <w:t>drive</w:t>
      </w:r>
      <w:r>
        <w:rPr>
          <w:spacing w:val="-13"/>
          <w:vertAlign w:val="baseline"/>
        </w:rPr>
        <w:t> </w:t>
      </w:r>
      <w:r>
        <w:rPr>
          <w:vertAlign w:val="baseline"/>
        </w:rPr>
        <w:t>from</w:t>
      </w:r>
      <w:r>
        <w:rPr>
          <w:spacing w:val="-12"/>
          <w:vertAlign w:val="baseline"/>
        </w:rPr>
        <w:t> </w:t>
      </w:r>
      <w:r>
        <w:rPr>
          <w:vertAlign w:val="baseline"/>
        </w:rPr>
        <w:t>the</w:t>
      </w:r>
      <w:r>
        <w:rPr>
          <w:spacing w:val="-13"/>
          <w:vertAlign w:val="baseline"/>
        </w:rPr>
        <w:t> </w:t>
      </w:r>
      <w:r>
        <w:rPr>
          <w:vertAlign w:val="baseline"/>
        </w:rPr>
        <w:t>Statehouse</w:t>
      </w:r>
      <w:r>
        <w:rPr>
          <w:spacing w:val="-12"/>
          <w:vertAlign w:val="baseline"/>
        </w:rPr>
        <w:t> </w:t>
      </w:r>
      <w:r>
        <w:rPr>
          <w:vertAlign w:val="baseline"/>
        </w:rPr>
        <w:t>in</w:t>
      </w:r>
      <w:r>
        <w:rPr>
          <w:spacing w:val="-13"/>
          <w:vertAlign w:val="baseline"/>
        </w:rPr>
        <w:t> </w:t>
      </w:r>
      <w:r>
        <w:rPr>
          <w:vertAlign w:val="baseline"/>
        </w:rPr>
        <w:t>Boston, ranked 5</w:t>
      </w:r>
      <w:r>
        <w:rPr>
          <w:vertAlign w:val="superscript"/>
        </w:rPr>
        <w:t>th</w:t>
      </w:r>
      <w:r>
        <w:rPr>
          <w:vertAlign w:val="baseline"/>
        </w:rPr>
        <w:t>.</w:t>
      </w:r>
    </w:p>
    <w:p>
      <w:pPr>
        <w:pStyle w:val="BodyText"/>
        <w:spacing w:line="276" w:lineRule="auto" w:before="241"/>
        <w:ind w:left="463" w:right="282"/>
        <w:jc w:val="both"/>
      </w:pPr>
      <w:r>
        <w:rPr/>
        <w:t>Beyond</w:t>
      </w:r>
      <w:r>
        <w:rPr>
          <w:spacing w:val="-13"/>
        </w:rPr>
        <w:t> </w:t>
      </w:r>
      <w:r>
        <w:rPr/>
        <w:t>human</w:t>
      </w:r>
      <w:r>
        <w:rPr>
          <w:spacing w:val="-12"/>
        </w:rPr>
        <w:t> </w:t>
      </w:r>
      <w:r>
        <w:rPr/>
        <w:t>rights</w:t>
      </w:r>
      <w:r>
        <w:rPr>
          <w:spacing w:val="-13"/>
        </w:rPr>
        <w:t> </w:t>
      </w:r>
      <w:r>
        <w:rPr/>
        <w:t>and</w:t>
      </w:r>
      <w:r>
        <w:rPr>
          <w:spacing w:val="-12"/>
        </w:rPr>
        <w:t> </w:t>
      </w:r>
      <w:r>
        <w:rPr/>
        <w:t>social</w:t>
      </w:r>
      <w:r>
        <w:rPr>
          <w:spacing w:val="-13"/>
        </w:rPr>
        <w:t> </w:t>
      </w:r>
      <w:r>
        <w:rPr/>
        <w:t>acceptance,</w:t>
      </w:r>
      <w:r>
        <w:rPr>
          <w:spacing w:val="-12"/>
        </w:rPr>
        <w:t> </w:t>
      </w:r>
      <w:r>
        <w:rPr/>
        <w:t>recent</w:t>
      </w:r>
      <w:r>
        <w:rPr>
          <w:spacing w:val="-13"/>
        </w:rPr>
        <w:t> </w:t>
      </w:r>
      <w:r>
        <w:rPr/>
        <w:t>international</w:t>
      </w:r>
      <w:r>
        <w:rPr>
          <w:spacing w:val="-12"/>
        </w:rPr>
        <w:t> </w:t>
      </w:r>
      <w:r>
        <w:rPr/>
        <w:t>comparative</w:t>
      </w:r>
      <w:r>
        <w:rPr>
          <w:spacing w:val="-12"/>
        </w:rPr>
        <w:t> </w:t>
      </w:r>
      <w:r>
        <w:rPr/>
        <w:t>research</w:t>
      </w:r>
      <w:r>
        <w:rPr>
          <w:spacing w:val="-13"/>
        </w:rPr>
        <w:t> </w:t>
      </w:r>
      <w:r>
        <w:rPr/>
        <w:t>has</w:t>
      </w:r>
      <w:r>
        <w:rPr>
          <w:spacing w:val="-12"/>
        </w:rPr>
        <w:t> </w:t>
      </w:r>
      <w:r>
        <w:rPr/>
        <w:t>also</w:t>
      </w:r>
      <w:r>
        <w:rPr>
          <w:spacing w:val="-13"/>
        </w:rPr>
        <w:t> </w:t>
      </w:r>
      <w:r>
        <w:rPr/>
        <w:t>identified the</w:t>
      </w:r>
      <w:r>
        <w:rPr>
          <w:spacing w:val="-2"/>
        </w:rPr>
        <w:t> </w:t>
      </w:r>
      <w:r>
        <w:rPr/>
        <w:t>economic</w:t>
      </w:r>
      <w:r>
        <w:rPr>
          <w:spacing w:val="-2"/>
        </w:rPr>
        <w:t> </w:t>
      </w:r>
      <w:r>
        <w:rPr/>
        <w:t>power</w:t>
      </w:r>
      <w:r>
        <w:rPr>
          <w:spacing w:val="-1"/>
        </w:rPr>
        <w:t> </w:t>
      </w:r>
      <w:r>
        <w:rPr/>
        <w:t>of</w:t>
      </w:r>
      <w:r>
        <w:rPr>
          <w:spacing w:val="-3"/>
        </w:rPr>
        <w:t> </w:t>
      </w:r>
      <w:r>
        <w:rPr/>
        <w:t>LGBTQ</w:t>
      </w:r>
      <w:r>
        <w:rPr>
          <w:spacing w:val="-3"/>
        </w:rPr>
        <w:t> </w:t>
      </w:r>
      <w:r>
        <w:rPr/>
        <w:t>rights.</w:t>
      </w:r>
      <w:r>
        <w:rPr>
          <w:spacing w:val="-2"/>
        </w:rPr>
        <w:t> </w:t>
      </w:r>
      <w:r>
        <w:rPr/>
        <w:t>Drawing</w:t>
      </w:r>
      <w:r>
        <w:rPr>
          <w:spacing w:val="-3"/>
        </w:rPr>
        <w:t> </w:t>
      </w:r>
      <w:r>
        <w:rPr/>
        <w:t>from</w:t>
      </w:r>
      <w:r>
        <w:rPr>
          <w:spacing w:val="-1"/>
        </w:rPr>
        <w:t> </w:t>
      </w:r>
      <w:r>
        <w:rPr/>
        <w:t>data</w:t>
      </w:r>
      <w:r>
        <w:rPr>
          <w:spacing w:val="-3"/>
        </w:rPr>
        <w:t> </w:t>
      </w:r>
      <w:r>
        <w:rPr/>
        <w:t>sets</w:t>
      </w:r>
      <w:r>
        <w:rPr>
          <w:spacing w:val="-1"/>
        </w:rPr>
        <w:t> </w:t>
      </w:r>
      <w:r>
        <w:rPr/>
        <w:t>worldwide,</w:t>
      </w:r>
      <w:r>
        <w:rPr>
          <w:spacing w:val="-1"/>
        </w:rPr>
        <w:t> </w:t>
      </w:r>
      <w:r>
        <w:rPr/>
        <w:t>including</w:t>
      </w:r>
      <w:r>
        <w:rPr>
          <w:spacing w:val="-2"/>
        </w:rPr>
        <w:t> </w:t>
      </w:r>
      <w:r>
        <w:rPr/>
        <w:t>data</w:t>
      </w:r>
      <w:r>
        <w:rPr>
          <w:spacing w:val="-1"/>
        </w:rPr>
        <w:t> </w:t>
      </w:r>
      <w:r>
        <w:rPr/>
        <w:t>from</w:t>
      </w:r>
      <w:r>
        <w:rPr>
          <w:spacing w:val="-2"/>
        </w:rPr>
        <w:t> </w:t>
      </w:r>
      <w:r>
        <w:rPr/>
        <w:t>the</w:t>
      </w:r>
      <w:r>
        <w:rPr>
          <w:spacing w:val="-2"/>
        </w:rPr>
        <w:t> </w:t>
      </w:r>
      <w:r>
        <w:rPr/>
        <w:t>United States, research demonstrates a positive effect between LGBT inclusion and economic development</w:t>
      </w:r>
      <w:hyperlink w:history="true" w:anchor="_bookmark27">
        <w:r>
          <w:rPr/>
          <w:t>.</w:t>
        </w:r>
        <w:r>
          <w:rPr>
            <w:vertAlign w:val="superscript"/>
          </w:rPr>
          <w:t>19</w:t>
        </w:r>
      </w:hyperlink>
      <w:r>
        <w:rPr>
          <w:vertAlign w:val="baseline"/>
        </w:rPr>
        <w:t> When decision-makers work to improve the lives of LGBTQ people, including youth, their jurisdictions benefit economically.</w:t>
      </w:r>
    </w:p>
    <w:p>
      <w:pPr>
        <w:spacing w:before="239"/>
        <w:ind w:left="463" w:right="0" w:firstLine="0"/>
        <w:jc w:val="both"/>
        <w:rPr>
          <w:sz w:val="28"/>
        </w:rPr>
      </w:pPr>
      <w:bookmarkStart w:name="The National Context: Massachusetts as a" w:id="98"/>
      <w:bookmarkEnd w:id="98"/>
      <w:r>
        <w:rPr/>
      </w:r>
      <w:r>
        <w:rPr>
          <w:color w:val="365F91"/>
          <w:sz w:val="28"/>
        </w:rPr>
        <w:t>The</w:t>
      </w:r>
      <w:r>
        <w:rPr>
          <w:color w:val="365F91"/>
          <w:spacing w:val="-9"/>
          <w:sz w:val="28"/>
        </w:rPr>
        <w:t> </w:t>
      </w:r>
      <w:r>
        <w:rPr>
          <w:color w:val="365F91"/>
          <w:sz w:val="28"/>
        </w:rPr>
        <w:t>National</w:t>
      </w:r>
      <w:r>
        <w:rPr>
          <w:color w:val="365F91"/>
          <w:spacing w:val="-9"/>
          <w:sz w:val="28"/>
        </w:rPr>
        <w:t> </w:t>
      </w:r>
      <w:r>
        <w:rPr>
          <w:color w:val="365F91"/>
          <w:sz w:val="28"/>
        </w:rPr>
        <w:t>Context:</w:t>
      </w:r>
      <w:r>
        <w:rPr>
          <w:color w:val="365F91"/>
          <w:spacing w:val="-10"/>
          <w:sz w:val="28"/>
        </w:rPr>
        <w:t> </w:t>
      </w:r>
      <w:r>
        <w:rPr>
          <w:color w:val="365F91"/>
          <w:sz w:val="28"/>
        </w:rPr>
        <w:t>Massachusetts</w:t>
      </w:r>
      <w:r>
        <w:rPr>
          <w:color w:val="365F91"/>
          <w:spacing w:val="-9"/>
          <w:sz w:val="28"/>
        </w:rPr>
        <w:t> </w:t>
      </w:r>
      <w:r>
        <w:rPr>
          <w:color w:val="365F91"/>
          <w:sz w:val="28"/>
        </w:rPr>
        <w:t>as</w:t>
      </w:r>
      <w:r>
        <w:rPr>
          <w:color w:val="365F91"/>
          <w:spacing w:val="-9"/>
          <w:sz w:val="28"/>
        </w:rPr>
        <w:t> </w:t>
      </w:r>
      <w:r>
        <w:rPr>
          <w:color w:val="365F91"/>
          <w:sz w:val="28"/>
        </w:rPr>
        <w:t>a</w:t>
      </w:r>
      <w:r>
        <w:rPr>
          <w:color w:val="365F91"/>
          <w:spacing w:val="-9"/>
          <w:sz w:val="28"/>
        </w:rPr>
        <w:t> </w:t>
      </w:r>
      <w:r>
        <w:rPr>
          <w:color w:val="365F91"/>
          <w:sz w:val="28"/>
        </w:rPr>
        <w:t>Potential</w:t>
      </w:r>
      <w:r>
        <w:rPr>
          <w:color w:val="365F91"/>
          <w:spacing w:val="-9"/>
          <w:sz w:val="28"/>
        </w:rPr>
        <w:t> </w:t>
      </w:r>
      <w:r>
        <w:rPr>
          <w:color w:val="365F91"/>
          <w:sz w:val="28"/>
        </w:rPr>
        <w:t>Beacon</w:t>
      </w:r>
      <w:r>
        <w:rPr>
          <w:color w:val="365F91"/>
          <w:spacing w:val="-10"/>
          <w:sz w:val="28"/>
        </w:rPr>
        <w:t> </w:t>
      </w:r>
      <w:r>
        <w:rPr>
          <w:color w:val="365F91"/>
          <w:sz w:val="28"/>
        </w:rPr>
        <w:t>for</w:t>
      </w:r>
      <w:r>
        <w:rPr>
          <w:color w:val="365F91"/>
          <w:spacing w:val="-10"/>
          <w:sz w:val="28"/>
        </w:rPr>
        <w:t> </w:t>
      </w:r>
      <w:r>
        <w:rPr>
          <w:color w:val="365F91"/>
          <w:sz w:val="28"/>
        </w:rPr>
        <w:t>a</w:t>
      </w:r>
      <w:r>
        <w:rPr>
          <w:color w:val="365F91"/>
          <w:spacing w:val="-8"/>
          <w:sz w:val="28"/>
        </w:rPr>
        <w:t> </w:t>
      </w:r>
      <w:r>
        <w:rPr>
          <w:color w:val="365F91"/>
          <w:sz w:val="28"/>
        </w:rPr>
        <w:t>Troubled</w:t>
      </w:r>
      <w:r>
        <w:rPr>
          <w:color w:val="365F91"/>
          <w:spacing w:val="-10"/>
          <w:sz w:val="28"/>
        </w:rPr>
        <w:t> </w:t>
      </w:r>
      <w:r>
        <w:rPr>
          <w:color w:val="365F91"/>
          <w:spacing w:val="-2"/>
          <w:sz w:val="28"/>
        </w:rPr>
        <w:t>Nation</w:t>
      </w:r>
    </w:p>
    <w:p>
      <w:pPr>
        <w:pStyle w:val="BodyText"/>
        <w:spacing w:before="293"/>
        <w:ind w:left="463"/>
        <w:jc w:val="both"/>
      </w:pPr>
      <w:r>
        <w:rPr/>
        <w:t>The Commission on</w:t>
      </w:r>
      <w:r>
        <w:rPr>
          <w:spacing w:val="1"/>
        </w:rPr>
        <w:t> </w:t>
      </w:r>
      <w:r>
        <w:rPr/>
        <w:t>LGBTQ Youth,</w:t>
      </w:r>
      <w:r>
        <w:rPr>
          <w:spacing w:val="2"/>
        </w:rPr>
        <w:t> </w:t>
      </w:r>
      <w:r>
        <w:rPr/>
        <w:t>the</w:t>
      </w:r>
      <w:r>
        <w:rPr>
          <w:spacing w:val="1"/>
        </w:rPr>
        <w:t> </w:t>
      </w:r>
      <w:r>
        <w:rPr/>
        <w:t>only</w:t>
      </w:r>
      <w:r>
        <w:rPr>
          <w:spacing w:val="1"/>
        </w:rPr>
        <w:t> </w:t>
      </w:r>
      <w:r>
        <w:rPr/>
        <w:t>commission of</w:t>
      </w:r>
      <w:r>
        <w:rPr>
          <w:spacing w:val="1"/>
        </w:rPr>
        <w:t> </w:t>
      </w:r>
      <w:r>
        <w:rPr/>
        <w:t>its</w:t>
      </w:r>
      <w:r>
        <w:rPr>
          <w:spacing w:val="1"/>
        </w:rPr>
        <w:t> </w:t>
      </w:r>
      <w:r>
        <w:rPr/>
        <w:t>type</w:t>
      </w:r>
      <w:r>
        <w:rPr>
          <w:spacing w:val="1"/>
        </w:rPr>
        <w:t> </w:t>
      </w:r>
      <w:r>
        <w:rPr/>
        <w:t>among all</w:t>
      </w:r>
      <w:r>
        <w:rPr>
          <w:spacing w:val="1"/>
        </w:rPr>
        <w:t> </w:t>
      </w:r>
      <w:r>
        <w:rPr/>
        <w:t>50</w:t>
      </w:r>
      <w:r>
        <w:rPr>
          <w:spacing w:val="2"/>
        </w:rPr>
        <w:t> </w:t>
      </w:r>
      <w:r>
        <w:rPr/>
        <w:t>states</w:t>
      </w:r>
      <w:r>
        <w:rPr>
          <w:spacing w:val="1"/>
        </w:rPr>
        <w:t> </w:t>
      </w:r>
      <w:r>
        <w:rPr/>
        <w:t>for</w:t>
      </w:r>
      <w:r>
        <w:rPr>
          <w:spacing w:val="3"/>
        </w:rPr>
        <w:t> </w:t>
      </w:r>
      <w:r>
        <w:rPr/>
        <w:t>more than</w:t>
      </w:r>
      <w:r>
        <w:rPr>
          <w:spacing w:val="1"/>
        </w:rPr>
        <w:t> </w:t>
      </w:r>
      <w:r>
        <w:rPr>
          <w:spacing w:val="-5"/>
        </w:rPr>
        <w:t>30</w:t>
      </w:r>
    </w:p>
    <w:p>
      <w:pPr>
        <w:pStyle w:val="BodyText"/>
        <w:spacing w:before="11"/>
        <w:rPr>
          <w:sz w:val="4"/>
        </w:rPr>
      </w:pPr>
      <w:r>
        <w:rPr/>
        <mc:AlternateContent>
          <mc:Choice Requires="wps">
            <w:drawing>
              <wp:anchor distT="0" distB="0" distL="0" distR="0" allowOverlap="1" layoutInCell="1" locked="0" behindDoc="1" simplePos="0" relativeHeight="487597568">
                <wp:simplePos x="0" y="0"/>
                <wp:positionH relativeFrom="page">
                  <wp:posOffset>806195</wp:posOffset>
                </wp:positionH>
                <wp:positionV relativeFrom="paragraph">
                  <wp:posOffset>53230</wp:posOffset>
                </wp:positionV>
                <wp:extent cx="6159500" cy="2221865"/>
                <wp:effectExtent l="0" t="0" r="0" b="0"/>
                <wp:wrapTopAndBottom/>
                <wp:docPr id="86" name="Group 86"/>
                <wp:cNvGraphicFramePr>
                  <a:graphicFrameLocks/>
                </wp:cNvGraphicFramePr>
                <a:graphic>
                  <a:graphicData uri="http://schemas.microsoft.com/office/word/2010/wordprocessingGroup">
                    <wpg:wgp>
                      <wpg:cNvPr id="86" name="Group 86"/>
                      <wpg:cNvGrpSpPr/>
                      <wpg:grpSpPr>
                        <a:xfrm>
                          <a:off x="0" y="0"/>
                          <a:ext cx="6159500" cy="2221865"/>
                          <a:chExt cx="6159500" cy="2221865"/>
                        </a:xfrm>
                      </wpg:grpSpPr>
                      <wps:wsp>
                        <wps:cNvPr id="87" name="Graphic 87"/>
                        <wps:cNvSpPr/>
                        <wps:spPr>
                          <a:xfrm>
                            <a:off x="0" y="2215363"/>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pic:pic>
                        <pic:nvPicPr>
                          <pic:cNvPr id="88" name="Image 88"/>
                          <pic:cNvPicPr/>
                        </pic:nvPicPr>
                        <pic:blipFill>
                          <a:blip r:embed="rId62" cstate="print"/>
                          <a:stretch>
                            <a:fillRect/>
                          </a:stretch>
                        </pic:blipFill>
                        <pic:spPr>
                          <a:xfrm>
                            <a:off x="4045203" y="38736"/>
                            <a:ext cx="2093593" cy="2175869"/>
                          </a:xfrm>
                          <a:prstGeom prst="rect">
                            <a:avLst/>
                          </a:prstGeom>
                        </pic:spPr>
                      </pic:pic>
                      <wps:wsp>
                        <wps:cNvPr id="89" name="Textbox 89"/>
                        <wps:cNvSpPr txBox="1"/>
                        <wps:spPr>
                          <a:xfrm>
                            <a:off x="0" y="0"/>
                            <a:ext cx="6159500" cy="2221865"/>
                          </a:xfrm>
                          <a:prstGeom prst="rect">
                            <a:avLst/>
                          </a:prstGeom>
                        </wps:spPr>
                        <wps:txbx>
                          <w:txbxContent>
                            <w:p>
                              <w:pPr>
                                <w:spacing w:line="224" w:lineRule="exact" w:before="0"/>
                                <w:ind w:left="174" w:right="0" w:firstLine="0"/>
                                <w:jc w:val="both"/>
                                <w:rPr>
                                  <w:sz w:val="22"/>
                                </w:rPr>
                              </w:pPr>
                              <w:r>
                                <w:rPr>
                                  <w:spacing w:val="-2"/>
                                  <w:sz w:val="22"/>
                                </w:rPr>
                                <w:t>years,</w:t>
                              </w:r>
                              <w:r>
                                <w:rPr>
                                  <w:spacing w:val="-3"/>
                                  <w:sz w:val="22"/>
                                </w:rPr>
                                <w:t> </w:t>
                              </w:r>
                              <w:r>
                                <w:rPr>
                                  <w:spacing w:val="-2"/>
                                  <w:sz w:val="22"/>
                                </w:rPr>
                                <w:t>offers Massachusetts decision-makers expertise</w:t>
                              </w:r>
                              <w:r>
                                <w:rPr>
                                  <w:spacing w:val="-3"/>
                                  <w:sz w:val="22"/>
                                </w:rPr>
                                <w:t> </w:t>
                              </w:r>
                              <w:r>
                                <w:rPr>
                                  <w:spacing w:val="-2"/>
                                  <w:sz w:val="22"/>
                                </w:rPr>
                                <w:t>that uniquely</w:t>
                              </w:r>
                            </w:p>
                            <w:p>
                              <w:pPr>
                                <w:spacing w:line="276" w:lineRule="auto" w:before="39"/>
                                <w:ind w:left="174" w:right="3470" w:firstLine="0"/>
                                <w:jc w:val="both"/>
                                <w:rPr>
                                  <w:sz w:val="22"/>
                                </w:rPr>
                              </w:pPr>
                              <w:r>
                                <w:rPr>
                                  <w:sz w:val="22"/>
                                </w:rPr>
                                <w:t>positions the Commonwealth to lead the way in the nation and beyond with effective policies to better serve LGBTQ youth. Sadly, that</w:t>
                              </w:r>
                              <w:r>
                                <w:rPr>
                                  <w:spacing w:val="-9"/>
                                  <w:sz w:val="22"/>
                                </w:rPr>
                                <w:t> </w:t>
                              </w:r>
                              <w:r>
                                <w:rPr>
                                  <w:sz w:val="22"/>
                                </w:rPr>
                                <w:t>leadership</w:t>
                              </w:r>
                              <w:r>
                                <w:rPr>
                                  <w:spacing w:val="-10"/>
                                  <w:sz w:val="22"/>
                                </w:rPr>
                                <w:t> </w:t>
                              </w:r>
                              <w:r>
                                <w:rPr>
                                  <w:sz w:val="22"/>
                                </w:rPr>
                                <w:t>is</w:t>
                              </w:r>
                              <w:r>
                                <w:rPr>
                                  <w:spacing w:val="-8"/>
                                  <w:sz w:val="22"/>
                                </w:rPr>
                                <w:t> </w:t>
                              </w:r>
                              <w:r>
                                <w:rPr>
                                  <w:sz w:val="22"/>
                                </w:rPr>
                                <w:t>needed</w:t>
                              </w:r>
                              <w:r>
                                <w:rPr>
                                  <w:spacing w:val="-8"/>
                                  <w:sz w:val="22"/>
                                </w:rPr>
                                <w:t> </w:t>
                              </w:r>
                              <w:r>
                                <w:rPr>
                                  <w:sz w:val="22"/>
                                </w:rPr>
                                <w:t>more</w:t>
                              </w:r>
                              <w:r>
                                <w:rPr>
                                  <w:spacing w:val="-10"/>
                                  <w:sz w:val="22"/>
                                </w:rPr>
                                <w:t> </w:t>
                              </w:r>
                              <w:r>
                                <w:rPr>
                                  <w:sz w:val="22"/>
                                </w:rPr>
                                <w:t>than</w:t>
                              </w:r>
                              <w:r>
                                <w:rPr>
                                  <w:spacing w:val="-10"/>
                                  <w:sz w:val="22"/>
                                </w:rPr>
                                <w:t> </w:t>
                              </w:r>
                              <w:r>
                                <w:rPr>
                                  <w:sz w:val="22"/>
                                </w:rPr>
                                <w:t>ever.</w:t>
                              </w:r>
                              <w:r>
                                <w:rPr>
                                  <w:spacing w:val="-10"/>
                                  <w:sz w:val="22"/>
                                </w:rPr>
                                <w:t> </w:t>
                              </w:r>
                              <w:r>
                                <w:rPr>
                                  <w:sz w:val="22"/>
                                </w:rPr>
                                <w:t>In</w:t>
                              </w:r>
                              <w:r>
                                <w:rPr>
                                  <w:spacing w:val="-9"/>
                                  <w:sz w:val="22"/>
                                </w:rPr>
                                <w:t> </w:t>
                              </w:r>
                              <w:r>
                                <w:rPr>
                                  <w:sz w:val="22"/>
                                </w:rPr>
                                <w:t>the</w:t>
                              </w:r>
                              <w:r>
                                <w:rPr>
                                  <w:spacing w:val="-9"/>
                                  <w:sz w:val="22"/>
                                </w:rPr>
                                <w:t> </w:t>
                              </w:r>
                              <w:r>
                                <w:rPr>
                                  <w:sz w:val="22"/>
                                </w:rPr>
                                <w:t>United</w:t>
                              </w:r>
                              <w:r>
                                <w:rPr>
                                  <w:spacing w:val="-10"/>
                                  <w:sz w:val="22"/>
                                </w:rPr>
                                <w:t> </w:t>
                              </w:r>
                              <w:r>
                                <w:rPr>
                                  <w:sz w:val="22"/>
                                </w:rPr>
                                <w:t>States,</w:t>
                              </w:r>
                              <w:r>
                                <w:rPr>
                                  <w:spacing w:val="-10"/>
                                  <w:sz w:val="22"/>
                                </w:rPr>
                                <w:t> </w:t>
                              </w:r>
                              <w:r>
                                <w:rPr>
                                  <w:sz w:val="22"/>
                                </w:rPr>
                                <w:t>from Supreme Court threats to LGBTQ rights on Capitol Hill to the daily microaggressions LGBTQ youth endure at school and at home, the challenge has grown more crucial while the nation has grown more </w:t>
                              </w:r>
                              <w:r>
                                <w:rPr>
                                  <w:spacing w:val="-2"/>
                                  <w:sz w:val="22"/>
                                </w:rPr>
                                <w:t>volatile.</w:t>
                              </w:r>
                            </w:p>
                            <w:p>
                              <w:pPr>
                                <w:spacing w:line="276" w:lineRule="auto" w:before="241"/>
                                <w:ind w:left="174" w:right="3470" w:firstLine="0"/>
                                <w:jc w:val="both"/>
                                <w:rPr>
                                  <w:sz w:val="22"/>
                                </w:rPr>
                              </w:pPr>
                              <w:r>
                                <w:rPr>
                                  <w:spacing w:val="-2"/>
                                  <w:sz w:val="22"/>
                                </w:rPr>
                                <w:t>An</w:t>
                              </w:r>
                              <w:r>
                                <w:rPr>
                                  <w:spacing w:val="-5"/>
                                  <w:sz w:val="22"/>
                                </w:rPr>
                                <w:t> </w:t>
                              </w:r>
                              <w:r>
                                <w:rPr>
                                  <w:spacing w:val="-2"/>
                                  <w:sz w:val="22"/>
                                </w:rPr>
                                <w:t>explosion</w:t>
                              </w:r>
                              <w:r>
                                <w:rPr>
                                  <w:spacing w:val="-5"/>
                                  <w:sz w:val="22"/>
                                </w:rPr>
                                <w:t> </w:t>
                              </w:r>
                              <w:r>
                                <w:rPr>
                                  <w:spacing w:val="-2"/>
                                  <w:sz w:val="22"/>
                                </w:rPr>
                                <w:t>of</w:t>
                              </w:r>
                              <w:r>
                                <w:rPr>
                                  <w:spacing w:val="-5"/>
                                  <w:sz w:val="22"/>
                                </w:rPr>
                                <w:t> </w:t>
                              </w:r>
                              <w:r>
                                <w:rPr>
                                  <w:spacing w:val="-2"/>
                                  <w:sz w:val="22"/>
                                </w:rPr>
                                <w:t>proposed</w:t>
                              </w:r>
                              <w:r>
                                <w:rPr>
                                  <w:spacing w:val="-5"/>
                                  <w:sz w:val="22"/>
                                </w:rPr>
                                <w:t> </w:t>
                              </w:r>
                              <w:r>
                                <w:rPr>
                                  <w:spacing w:val="-2"/>
                                  <w:sz w:val="22"/>
                                </w:rPr>
                                <w:t>anti-LGBTQ</w:t>
                              </w:r>
                              <w:r>
                                <w:rPr>
                                  <w:spacing w:val="-5"/>
                                  <w:sz w:val="22"/>
                                </w:rPr>
                                <w:t> </w:t>
                              </w:r>
                              <w:r>
                                <w:rPr>
                                  <w:spacing w:val="-2"/>
                                  <w:sz w:val="22"/>
                                </w:rPr>
                                <w:t>rights</w:t>
                              </w:r>
                              <w:r>
                                <w:rPr>
                                  <w:spacing w:val="-5"/>
                                  <w:sz w:val="22"/>
                                </w:rPr>
                                <w:t> </w:t>
                              </w:r>
                              <w:r>
                                <w:rPr>
                                  <w:spacing w:val="-2"/>
                                  <w:sz w:val="22"/>
                                </w:rPr>
                                <w:t>laws</w:t>
                              </w:r>
                              <w:r>
                                <w:rPr>
                                  <w:spacing w:val="-5"/>
                                  <w:sz w:val="22"/>
                                </w:rPr>
                                <w:t> </w:t>
                              </w:r>
                              <w:r>
                                <w:rPr>
                                  <w:spacing w:val="-2"/>
                                  <w:sz w:val="22"/>
                                </w:rPr>
                                <w:t>in</w:t>
                              </w:r>
                              <w:r>
                                <w:rPr>
                                  <w:spacing w:val="-4"/>
                                  <w:sz w:val="22"/>
                                </w:rPr>
                                <w:t> </w:t>
                              </w:r>
                              <w:r>
                                <w:rPr>
                                  <w:spacing w:val="-2"/>
                                  <w:sz w:val="22"/>
                                </w:rPr>
                                <w:t>the</w:t>
                              </w:r>
                              <w:r>
                                <w:rPr>
                                  <w:spacing w:val="-5"/>
                                  <w:sz w:val="22"/>
                                </w:rPr>
                                <w:t> </w:t>
                              </w:r>
                              <w:r>
                                <w:rPr>
                                  <w:spacing w:val="-2"/>
                                  <w:sz w:val="22"/>
                                </w:rPr>
                                <w:t>United</w:t>
                              </w:r>
                              <w:r>
                                <w:rPr>
                                  <w:spacing w:val="-4"/>
                                  <w:sz w:val="22"/>
                                </w:rPr>
                                <w:t> </w:t>
                              </w:r>
                              <w:r>
                                <w:rPr>
                                  <w:spacing w:val="-2"/>
                                  <w:sz w:val="22"/>
                                </w:rPr>
                                <w:t>States </w:t>
                              </w:r>
                              <w:r>
                                <w:rPr>
                                  <w:sz w:val="22"/>
                                </w:rPr>
                                <w:t>in</w:t>
                              </w:r>
                              <w:r>
                                <w:rPr>
                                  <w:spacing w:val="45"/>
                                  <w:sz w:val="22"/>
                                </w:rPr>
                                <w:t> </w:t>
                              </w:r>
                              <w:r>
                                <w:rPr>
                                  <w:sz w:val="22"/>
                                </w:rPr>
                                <w:t>recent</w:t>
                              </w:r>
                              <w:r>
                                <w:rPr>
                                  <w:spacing w:val="46"/>
                                  <w:sz w:val="22"/>
                                </w:rPr>
                                <w:t> </w:t>
                              </w:r>
                              <w:r>
                                <w:rPr>
                                  <w:sz w:val="22"/>
                                </w:rPr>
                                <w:t>months</w:t>
                              </w:r>
                              <w:r>
                                <w:rPr>
                                  <w:spacing w:val="48"/>
                                  <w:sz w:val="22"/>
                                </w:rPr>
                                <w:t> </w:t>
                              </w:r>
                              <w:r>
                                <w:rPr>
                                  <w:sz w:val="22"/>
                                </w:rPr>
                                <w:t>reflects</w:t>
                              </w:r>
                              <w:r>
                                <w:rPr>
                                  <w:spacing w:val="47"/>
                                  <w:sz w:val="22"/>
                                </w:rPr>
                                <w:t> </w:t>
                              </w:r>
                              <w:r>
                                <w:rPr>
                                  <w:sz w:val="22"/>
                                </w:rPr>
                                <w:t>and</w:t>
                              </w:r>
                              <w:r>
                                <w:rPr>
                                  <w:spacing w:val="47"/>
                                  <w:sz w:val="22"/>
                                </w:rPr>
                                <w:t> </w:t>
                              </w:r>
                              <w:r>
                                <w:rPr>
                                  <w:sz w:val="22"/>
                                </w:rPr>
                                <w:t>amplifies</w:t>
                              </w:r>
                              <w:r>
                                <w:rPr>
                                  <w:spacing w:val="48"/>
                                  <w:sz w:val="22"/>
                                </w:rPr>
                                <w:t> </w:t>
                              </w:r>
                              <w:r>
                                <w:rPr>
                                  <w:sz w:val="22"/>
                                </w:rPr>
                                <w:t>hostility</w:t>
                              </w:r>
                              <w:r>
                                <w:rPr>
                                  <w:spacing w:val="48"/>
                                  <w:sz w:val="22"/>
                                </w:rPr>
                                <w:t> </w:t>
                              </w:r>
                              <w:r>
                                <w:rPr>
                                  <w:sz w:val="22"/>
                                </w:rPr>
                                <w:t>toward</w:t>
                              </w:r>
                              <w:r>
                                <w:rPr>
                                  <w:spacing w:val="48"/>
                                  <w:sz w:val="22"/>
                                </w:rPr>
                                <w:t> </w:t>
                              </w:r>
                              <w:r>
                                <w:rPr>
                                  <w:spacing w:val="-2"/>
                                  <w:sz w:val="22"/>
                                </w:rPr>
                                <w:t>LGBTQ</w:t>
                              </w:r>
                            </w:p>
                          </w:txbxContent>
                        </wps:txbx>
                        <wps:bodyPr wrap="square" lIns="0" tIns="0" rIns="0" bIns="0" rtlCol="0">
                          <a:noAutofit/>
                        </wps:bodyPr>
                      </wps:wsp>
                    </wpg:wgp>
                  </a:graphicData>
                </a:graphic>
              </wp:anchor>
            </w:drawing>
          </mc:Choice>
          <mc:Fallback>
            <w:pict>
              <v:group style="position:absolute;margin-left:63.48pt;margin-top:4.191406pt;width:485pt;height:174.95pt;mso-position-horizontal-relative:page;mso-position-vertical-relative:paragraph;z-index:-15718912;mso-wrap-distance-left:0;mso-wrap-distance-right:0" id="docshapegroup69" coordorigin="1270,84" coordsize="9700,3499">
                <v:rect style="position:absolute;left:1269;top:3572;width:9700;height:10" id="docshape70" filled="true" fillcolor="#d9d9d9" stroked="false">
                  <v:fill type="solid"/>
                </v:rect>
                <v:shape style="position:absolute;left:7640;top:144;width:3297;height:3427" type="#_x0000_t75" id="docshape71" stroked="false">
                  <v:imagedata r:id="rId62" o:title=""/>
                </v:shape>
                <v:shape style="position:absolute;left:1269;top:83;width:9700;height:3499" type="#_x0000_t202" id="docshape72" filled="false" stroked="false">
                  <v:textbox inset="0,0,0,0">
                    <w:txbxContent>
                      <w:p>
                        <w:pPr>
                          <w:spacing w:line="224" w:lineRule="exact" w:before="0"/>
                          <w:ind w:left="174" w:right="0" w:firstLine="0"/>
                          <w:jc w:val="both"/>
                          <w:rPr>
                            <w:sz w:val="22"/>
                          </w:rPr>
                        </w:pPr>
                        <w:r>
                          <w:rPr>
                            <w:spacing w:val="-2"/>
                            <w:sz w:val="22"/>
                          </w:rPr>
                          <w:t>years,</w:t>
                        </w:r>
                        <w:r>
                          <w:rPr>
                            <w:spacing w:val="-3"/>
                            <w:sz w:val="22"/>
                          </w:rPr>
                          <w:t> </w:t>
                        </w:r>
                        <w:r>
                          <w:rPr>
                            <w:spacing w:val="-2"/>
                            <w:sz w:val="22"/>
                          </w:rPr>
                          <w:t>offers Massachusetts decision-makers expertise</w:t>
                        </w:r>
                        <w:r>
                          <w:rPr>
                            <w:spacing w:val="-3"/>
                            <w:sz w:val="22"/>
                          </w:rPr>
                          <w:t> </w:t>
                        </w:r>
                        <w:r>
                          <w:rPr>
                            <w:spacing w:val="-2"/>
                            <w:sz w:val="22"/>
                          </w:rPr>
                          <w:t>that uniquely</w:t>
                        </w:r>
                      </w:p>
                      <w:p>
                        <w:pPr>
                          <w:spacing w:line="276" w:lineRule="auto" w:before="39"/>
                          <w:ind w:left="174" w:right="3470" w:firstLine="0"/>
                          <w:jc w:val="both"/>
                          <w:rPr>
                            <w:sz w:val="22"/>
                          </w:rPr>
                        </w:pPr>
                        <w:r>
                          <w:rPr>
                            <w:sz w:val="22"/>
                          </w:rPr>
                          <w:t>positions the Commonwealth to lead the way in the nation and beyond with effective policies to better serve LGBTQ youth. Sadly, that</w:t>
                        </w:r>
                        <w:r>
                          <w:rPr>
                            <w:spacing w:val="-9"/>
                            <w:sz w:val="22"/>
                          </w:rPr>
                          <w:t> </w:t>
                        </w:r>
                        <w:r>
                          <w:rPr>
                            <w:sz w:val="22"/>
                          </w:rPr>
                          <w:t>leadership</w:t>
                        </w:r>
                        <w:r>
                          <w:rPr>
                            <w:spacing w:val="-10"/>
                            <w:sz w:val="22"/>
                          </w:rPr>
                          <w:t> </w:t>
                        </w:r>
                        <w:r>
                          <w:rPr>
                            <w:sz w:val="22"/>
                          </w:rPr>
                          <w:t>is</w:t>
                        </w:r>
                        <w:r>
                          <w:rPr>
                            <w:spacing w:val="-8"/>
                            <w:sz w:val="22"/>
                          </w:rPr>
                          <w:t> </w:t>
                        </w:r>
                        <w:r>
                          <w:rPr>
                            <w:sz w:val="22"/>
                          </w:rPr>
                          <w:t>needed</w:t>
                        </w:r>
                        <w:r>
                          <w:rPr>
                            <w:spacing w:val="-8"/>
                            <w:sz w:val="22"/>
                          </w:rPr>
                          <w:t> </w:t>
                        </w:r>
                        <w:r>
                          <w:rPr>
                            <w:sz w:val="22"/>
                          </w:rPr>
                          <w:t>more</w:t>
                        </w:r>
                        <w:r>
                          <w:rPr>
                            <w:spacing w:val="-10"/>
                            <w:sz w:val="22"/>
                          </w:rPr>
                          <w:t> </w:t>
                        </w:r>
                        <w:r>
                          <w:rPr>
                            <w:sz w:val="22"/>
                          </w:rPr>
                          <w:t>than</w:t>
                        </w:r>
                        <w:r>
                          <w:rPr>
                            <w:spacing w:val="-10"/>
                            <w:sz w:val="22"/>
                          </w:rPr>
                          <w:t> </w:t>
                        </w:r>
                        <w:r>
                          <w:rPr>
                            <w:sz w:val="22"/>
                          </w:rPr>
                          <w:t>ever.</w:t>
                        </w:r>
                        <w:r>
                          <w:rPr>
                            <w:spacing w:val="-10"/>
                            <w:sz w:val="22"/>
                          </w:rPr>
                          <w:t> </w:t>
                        </w:r>
                        <w:r>
                          <w:rPr>
                            <w:sz w:val="22"/>
                          </w:rPr>
                          <w:t>In</w:t>
                        </w:r>
                        <w:r>
                          <w:rPr>
                            <w:spacing w:val="-9"/>
                            <w:sz w:val="22"/>
                          </w:rPr>
                          <w:t> </w:t>
                        </w:r>
                        <w:r>
                          <w:rPr>
                            <w:sz w:val="22"/>
                          </w:rPr>
                          <w:t>the</w:t>
                        </w:r>
                        <w:r>
                          <w:rPr>
                            <w:spacing w:val="-9"/>
                            <w:sz w:val="22"/>
                          </w:rPr>
                          <w:t> </w:t>
                        </w:r>
                        <w:r>
                          <w:rPr>
                            <w:sz w:val="22"/>
                          </w:rPr>
                          <w:t>United</w:t>
                        </w:r>
                        <w:r>
                          <w:rPr>
                            <w:spacing w:val="-10"/>
                            <w:sz w:val="22"/>
                          </w:rPr>
                          <w:t> </w:t>
                        </w:r>
                        <w:r>
                          <w:rPr>
                            <w:sz w:val="22"/>
                          </w:rPr>
                          <w:t>States,</w:t>
                        </w:r>
                        <w:r>
                          <w:rPr>
                            <w:spacing w:val="-10"/>
                            <w:sz w:val="22"/>
                          </w:rPr>
                          <w:t> </w:t>
                        </w:r>
                        <w:r>
                          <w:rPr>
                            <w:sz w:val="22"/>
                          </w:rPr>
                          <w:t>from Supreme Court threats to LGBTQ rights on Capitol Hill to the daily microaggressions LGBTQ youth endure at school and at home, the challenge has grown more crucial while the nation has grown more </w:t>
                        </w:r>
                        <w:r>
                          <w:rPr>
                            <w:spacing w:val="-2"/>
                            <w:sz w:val="22"/>
                          </w:rPr>
                          <w:t>volatile.</w:t>
                        </w:r>
                      </w:p>
                      <w:p>
                        <w:pPr>
                          <w:spacing w:line="276" w:lineRule="auto" w:before="241"/>
                          <w:ind w:left="174" w:right="3470" w:firstLine="0"/>
                          <w:jc w:val="both"/>
                          <w:rPr>
                            <w:sz w:val="22"/>
                          </w:rPr>
                        </w:pPr>
                        <w:r>
                          <w:rPr>
                            <w:spacing w:val="-2"/>
                            <w:sz w:val="22"/>
                          </w:rPr>
                          <w:t>An</w:t>
                        </w:r>
                        <w:r>
                          <w:rPr>
                            <w:spacing w:val="-5"/>
                            <w:sz w:val="22"/>
                          </w:rPr>
                          <w:t> </w:t>
                        </w:r>
                        <w:r>
                          <w:rPr>
                            <w:spacing w:val="-2"/>
                            <w:sz w:val="22"/>
                          </w:rPr>
                          <w:t>explosion</w:t>
                        </w:r>
                        <w:r>
                          <w:rPr>
                            <w:spacing w:val="-5"/>
                            <w:sz w:val="22"/>
                          </w:rPr>
                          <w:t> </w:t>
                        </w:r>
                        <w:r>
                          <w:rPr>
                            <w:spacing w:val="-2"/>
                            <w:sz w:val="22"/>
                          </w:rPr>
                          <w:t>of</w:t>
                        </w:r>
                        <w:r>
                          <w:rPr>
                            <w:spacing w:val="-5"/>
                            <w:sz w:val="22"/>
                          </w:rPr>
                          <w:t> </w:t>
                        </w:r>
                        <w:r>
                          <w:rPr>
                            <w:spacing w:val="-2"/>
                            <w:sz w:val="22"/>
                          </w:rPr>
                          <w:t>proposed</w:t>
                        </w:r>
                        <w:r>
                          <w:rPr>
                            <w:spacing w:val="-5"/>
                            <w:sz w:val="22"/>
                          </w:rPr>
                          <w:t> </w:t>
                        </w:r>
                        <w:r>
                          <w:rPr>
                            <w:spacing w:val="-2"/>
                            <w:sz w:val="22"/>
                          </w:rPr>
                          <w:t>anti-LGBTQ</w:t>
                        </w:r>
                        <w:r>
                          <w:rPr>
                            <w:spacing w:val="-5"/>
                            <w:sz w:val="22"/>
                          </w:rPr>
                          <w:t> </w:t>
                        </w:r>
                        <w:r>
                          <w:rPr>
                            <w:spacing w:val="-2"/>
                            <w:sz w:val="22"/>
                          </w:rPr>
                          <w:t>rights</w:t>
                        </w:r>
                        <w:r>
                          <w:rPr>
                            <w:spacing w:val="-5"/>
                            <w:sz w:val="22"/>
                          </w:rPr>
                          <w:t> </w:t>
                        </w:r>
                        <w:r>
                          <w:rPr>
                            <w:spacing w:val="-2"/>
                            <w:sz w:val="22"/>
                          </w:rPr>
                          <w:t>laws</w:t>
                        </w:r>
                        <w:r>
                          <w:rPr>
                            <w:spacing w:val="-5"/>
                            <w:sz w:val="22"/>
                          </w:rPr>
                          <w:t> </w:t>
                        </w:r>
                        <w:r>
                          <w:rPr>
                            <w:spacing w:val="-2"/>
                            <w:sz w:val="22"/>
                          </w:rPr>
                          <w:t>in</w:t>
                        </w:r>
                        <w:r>
                          <w:rPr>
                            <w:spacing w:val="-4"/>
                            <w:sz w:val="22"/>
                          </w:rPr>
                          <w:t> </w:t>
                        </w:r>
                        <w:r>
                          <w:rPr>
                            <w:spacing w:val="-2"/>
                            <w:sz w:val="22"/>
                          </w:rPr>
                          <w:t>the</w:t>
                        </w:r>
                        <w:r>
                          <w:rPr>
                            <w:spacing w:val="-5"/>
                            <w:sz w:val="22"/>
                          </w:rPr>
                          <w:t> </w:t>
                        </w:r>
                        <w:r>
                          <w:rPr>
                            <w:spacing w:val="-2"/>
                            <w:sz w:val="22"/>
                          </w:rPr>
                          <w:t>United</w:t>
                        </w:r>
                        <w:r>
                          <w:rPr>
                            <w:spacing w:val="-4"/>
                            <w:sz w:val="22"/>
                          </w:rPr>
                          <w:t> </w:t>
                        </w:r>
                        <w:r>
                          <w:rPr>
                            <w:spacing w:val="-2"/>
                            <w:sz w:val="22"/>
                          </w:rPr>
                          <w:t>States </w:t>
                        </w:r>
                        <w:r>
                          <w:rPr>
                            <w:sz w:val="22"/>
                          </w:rPr>
                          <w:t>in</w:t>
                        </w:r>
                        <w:r>
                          <w:rPr>
                            <w:spacing w:val="45"/>
                            <w:sz w:val="22"/>
                          </w:rPr>
                          <w:t> </w:t>
                        </w:r>
                        <w:r>
                          <w:rPr>
                            <w:sz w:val="22"/>
                          </w:rPr>
                          <w:t>recent</w:t>
                        </w:r>
                        <w:r>
                          <w:rPr>
                            <w:spacing w:val="46"/>
                            <w:sz w:val="22"/>
                          </w:rPr>
                          <w:t> </w:t>
                        </w:r>
                        <w:r>
                          <w:rPr>
                            <w:sz w:val="22"/>
                          </w:rPr>
                          <w:t>months</w:t>
                        </w:r>
                        <w:r>
                          <w:rPr>
                            <w:spacing w:val="48"/>
                            <w:sz w:val="22"/>
                          </w:rPr>
                          <w:t> </w:t>
                        </w:r>
                        <w:r>
                          <w:rPr>
                            <w:sz w:val="22"/>
                          </w:rPr>
                          <w:t>reflects</w:t>
                        </w:r>
                        <w:r>
                          <w:rPr>
                            <w:spacing w:val="47"/>
                            <w:sz w:val="22"/>
                          </w:rPr>
                          <w:t> </w:t>
                        </w:r>
                        <w:r>
                          <w:rPr>
                            <w:sz w:val="22"/>
                          </w:rPr>
                          <w:t>and</w:t>
                        </w:r>
                        <w:r>
                          <w:rPr>
                            <w:spacing w:val="47"/>
                            <w:sz w:val="22"/>
                          </w:rPr>
                          <w:t> </w:t>
                        </w:r>
                        <w:r>
                          <w:rPr>
                            <w:sz w:val="22"/>
                          </w:rPr>
                          <w:t>amplifies</w:t>
                        </w:r>
                        <w:r>
                          <w:rPr>
                            <w:spacing w:val="48"/>
                            <w:sz w:val="22"/>
                          </w:rPr>
                          <w:t> </w:t>
                        </w:r>
                        <w:r>
                          <w:rPr>
                            <w:sz w:val="22"/>
                          </w:rPr>
                          <w:t>hostility</w:t>
                        </w:r>
                        <w:r>
                          <w:rPr>
                            <w:spacing w:val="48"/>
                            <w:sz w:val="22"/>
                          </w:rPr>
                          <w:t> </w:t>
                        </w:r>
                        <w:r>
                          <w:rPr>
                            <w:sz w:val="22"/>
                          </w:rPr>
                          <w:t>toward</w:t>
                        </w:r>
                        <w:r>
                          <w:rPr>
                            <w:spacing w:val="48"/>
                            <w:sz w:val="22"/>
                          </w:rPr>
                          <w:t> </w:t>
                        </w:r>
                        <w:r>
                          <w:rPr>
                            <w:spacing w:val="-2"/>
                            <w:sz w:val="22"/>
                          </w:rPr>
                          <w:t>LGBTQ</w:t>
                        </w:r>
                      </w:p>
                    </w:txbxContent>
                  </v:textbox>
                  <w10:wrap type="none"/>
                </v:shape>
                <w10:wrap type="topAndBottom"/>
              </v:group>
            </w:pict>
          </mc:Fallback>
        </mc:AlternateContent>
      </w:r>
    </w:p>
    <w:p>
      <w:pPr>
        <w:spacing w:after="0"/>
        <w:rPr>
          <w:sz w:val="4"/>
        </w:rPr>
        <w:sectPr>
          <w:headerReference w:type="default" r:id="rId59"/>
          <w:footerReference w:type="default" r:id="rId60"/>
          <w:pgSz w:w="12240" w:h="15840"/>
          <w:pgMar w:header="804" w:footer="1191" w:top="1000" w:bottom="1380" w:left="980" w:right="1160"/>
        </w:sectPr>
      </w:pPr>
    </w:p>
    <w:p>
      <w:pPr>
        <w:pStyle w:val="BodyText"/>
        <w:spacing w:line="276" w:lineRule="auto" w:before="139"/>
        <w:ind w:left="463" w:right="283"/>
        <w:jc w:val="both"/>
      </w:pPr>
      <w:r>
        <w:rPr/>
        <w:t>youth. As of the week of April 24, 2023, 469 anti-LGBTQ bills have been introduced across the United States – the highest number of anti-LGBTQ ever on record. Many of these pieces of proposed legislation specifically target transgender youth.</w:t>
      </w:r>
      <w:hyperlink w:history="true" w:anchor="_bookmark28">
        <w:r>
          <w:rPr>
            <w:vertAlign w:val="superscript"/>
          </w:rPr>
          <w:t>20</w:t>
        </w:r>
      </w:hyperlink>
    </w:p>
    <w:p>
      <w:pPr>
        <w:pStyle w:val="BodyText"/>
        <w:spacing w:line="276" w:lineRule="auto" w:before="239"/>
        <w:ind w:left="463" w:right="282"/>
        <w:jc w:val="both"/>
      </w:pPr>
      <w:r>
        <w:rPr/>
        <w:t>The</w:t>
      </w:r>
      <w:r>
        <w:rPr>
          <w:spacing w:val="-10"/>
        </w:rPr>
        <w:t> </w:t>
      </w:r>
      <w:r>
        <w:rPr/>
        <w:t>current</w:t>
      </w:r>
      <w:r>
        <w:rPr>
          <w:spacing w:val="-12"/>
        </w:rPr>
        <w:t> </w:t>
      </w:r>
      <w:r>
        <w:rPr/>
        <w:t>political</w:t>
      </w:r>
      <w:r>
        <w:rPr>
          <w:spacing w:val="-11"/>
        </w:rPr>
        <w:t> </w:t>
      </w:r>
      <w:r>
        <w:rPr/>
        <w:t>climate</w:t>
      </w:r>
      <w:r>
        <w:rPr>
          <w:spacing w:val="-11"/>
        </w:rPr>
        <w:t> </w:t>
      </w:r>
      <w:r>
        <w:rPr/>
        <w:t>and</w:t>
      </w:r>
      <w:r>
        <w:rPr>
          <w:spacing w:val="-11"/>
        </w:rPr>
        <w:t> </w:t>
      </w:r>
      <w:r>
        <w:rPr/>
        <w:t>the</w:t>
      </w:r>
      <w:r>
        <w:rPr>
          <w:spacing w:val="-11"/>
        </w:rPr>
        <w:t> </w:t>
      </w:r>
      <w:r>
        <w:rPr/>
        <w:t>very</w:t>
      </w:r>
      <w:r>
        <w:rPr>
          <w:spacing w:val="-11"/>
        </w:rPr>
        <w:t> </w:t>
      </w:r>
      <w:r>
        <w:rPr/>
        <w:t>existence</w:t>
      </w:r>
      <w:r>
        <w:rPr>
          <w:spacing w:val="-11"/>
        </w:rPr>
        <w:t> </w:t>
      </w:r>
      <w:r>
        <w:rPr/>
        <w:t>of</w:t>
      </w:r>
      <w:r>
        <w:rPr>
          <w:spacing w:val="-10"/>
        </w:rPr>
        <w:t> </w:t>
      </w:r>
      <w:r>
        <w:rPr/>
        <w:t>these</w:t>
      </w:r>
      <w:r>
        <w:rPr>
          <w:spacing w:val="-10"/>
        </w:rPr>
        <w:t> </w:t>
      </w:r>
      <w:r>
        <w:rPr/>
        <w:t>proposals</w:t>
      </w:r>
      <w:r>
        <w:rPr>
          <w:spacing w:val="-11"/>
        </w:rPr>
        <w:t> </w:t>
      </w:r>
      <w:r>
        <w:rPr/>
        <w:t>stigmatize</w:t>
      </w:r>
      <w:r>
        <w:rPr>
          <w:spacing w:val="-10"/>
        </w:rPr>
        <w:t> </w:t>
      </w:r>
      <w:r>
        <w:rPr/>
        <w:t>and</w:t>
      </w:r>
      <w:r>
        <w:rPr>
          <w:spacing w:val="-11"/>
        </w:rPr>
        <w:t> </w:t>
      </w:r>
      <w:r>
        <w:rPr/>
        <w:t>harm</w:t>
      </w:r>
      <w:r>
        <w:rPr>
          <w:spacing w:val="-10"/>
        </w:rPr>
        <w:t> </w:t>
      </w:r>
      <w:r>
        <w:rPr/>
        <w:t>the</w:t>
      </w:r>
      <w:r>
        <w:rPr>
          <w:spacing w:val="-11"/>
        </w:rPr>
        <w:t> </w:t>
      </w:r>
      <w:r>
        <w:rPr/>
        <w:t>well-being of young people. Even in states where anti-LGBTQ legislation has not been proposed, youth are experiencing collective trauma</w:t>
      </w:r>
      <w:hyperlink w:history="true" w:anchor="_bookmark29">
        <w:r>
          <w:rPr/>
          <w:t>.</w:t>
        </w:r>
        <w:r>
          <w:rPr>
            <w:vertAlign w:val="superscript"/>
          </w:rPr>
          <w:t>21</w:t>
        </w:r>
      </w:hyperlink>
      <w:r>
        <w:rPr>
          <w:vertAlign w:val="baseline"/>
        </w:rPr>
        <w:t> Indeed, throughout the nation, the pervasive sense of reality is that LGBTQ rights are conditional and can be rescinded.</w:t>
      </w:r>
    </w:p>
    <w:p>
      <w:pPr>
        <w:pStyle w:val="BodyText"/>
        <w:spacing w:line="276" w:lineRule="auto" w:before="240"/>
        <w:ind w:left="463" w:right="283"/>
        <w:jc w:val="both"/>
      </w:pPr>
      <w:r>
        <w:rPr/>
        <w:t>In a December 2022 survey from The Trevor Project, 90% of LGBTQ youth in Massachusetts stated that the recent national and community rhetoric attacking LGBTQ youth had negatively affected their well- being. In its analysis of the poll results, The Trevor Project notes that “LGBTQ youth are not inherently prone to suicide risk because of their sexual orientation or gender identity, but rather placed at higher risk</w:t>
      </w:r>
      <w:r>
        <w:rPr>
          <w:spacing w:val="-2"/>
        </w:rPr>
        <w:t> </w:t>
      </w:r>
      <w:r>
        <w:rPr/>
        <w:t>because</w:t>
      </w:r>
      <w:r>
        <w:rPr>
          <w:spacing w:val="-1"/>
        </w:rPr>
        <w:t> </w:t>
      </w:r>
      <w:r>
        <w:rPr/>
        <w:t>of</w:t>
      </w:r>
      <w:r>
        <w:rPr>
          <w:spacing w:val="-2"/>
        </w:rPr>
        <w:t> </w:t>
      </w:r>
      <w:r>
        <w:rPr/>
        <w:t>how</w:t>
      </w:r>
      <w:r>
        <w:rPr>
          <w:spacing w:val="-2"/>
        </w:rPr>
        <w:t> </w:t>
      </w:r>
      <w:r>
        <w:rPr/>
        <w:t>they</w:t>
      </w:r>
      <w:r>
        <w:rPr>
          <w:spacing w:val="-2"/>
        </w:rPr>
        <w:t> </w:t>
      </w:r>
      <w:r>
        <w:rPr/>
        <w:t>are</w:t>
      </w:r>
      <w:r>
        <w:rPr>
          <w:spacing w:val="-2"/>
        </w:rPr>
        <w:t> </w:t>
      </w:r>
      <w:r>
        <w:rPr/>
        <w:t>mistreated</w:t>
      </w:r>
      <w:r>
        <w:rPr>
          <w:spacing w:val="-1"/>
        </w:rPr>
        <w:t> </w:t>
      </w:r>
      <w:r>
        <w:rPr/>
        <w:t>and</w:t>
      </w:r>
      <w:r>
        <w:rPr>
          <w:spacing w:val="-2"/>
        </w:rPr>
        <w:t> </w:t>
      </w:r>
      <w:r>
        <w:rPr/>
        <w:t>stigmatized</w:t>
      </w:r>
      <w:r>
        <w:rPr>
          <w:spacing w:val="-2"/>
        </w:rPr>
        <w:t> </w:t>
      </w:r>
      <w:r>
        <w:rPr/>
        <w:t>in</w:t>
      </w:r>
      <w:r>
        <w:rPr>
          <w:spacing w:val="-2"/>
        </w:rPr>
        <w:t> </w:t>
      </w:r>
      <w:r>
        <w:rPr/>
        <w:t>society.”</w:t>
      </w:r>
      <w:hyperlink w:history="true" w:anchor="_bookmark30">
        <w:r>
          <w:rPr>
            <w:color w:val="1154CC"/>
            <w:u w:val="single" w:color="1154CC"/>
            <w:vertAlign w:val="superscript"/>
          </w:rPr>
          <w:t>22</w:t>
        </w:r>
      </w:hyperlink>
      <w:r>
        <w:rPr>
          <w:color w:val="1154CC"/>
          <w:spacing w:val="-2"/>
          <w:u w:val="none"/>
          <w:vertAlign w:val="baseline"/>
        </w:rPr>
        <w:t> </w:t>
      </w:r>
      <w:r>
        <w:rPr>
          <w:u w:val="none"/>
          <w:vertAlign w:val="baseline"/>
        </w:rPr>
        <w:t>The</w:t>
      </w:r>
      <w:r>
        <w:rPr>
          <w:spacing w:val="-2"/>
          <w:u w:val="none"/>
          <w:vertAlign w:val="baseline"/>
        </w:rPr>
        <w:t> </w:t>
      </w:r>
      <w:r>
        <w:rPr>
          <w:u w:val="none"/>
          <w:vertAlign w:val="baseline"/>
        </w:rPr>
        <w:t>mental</w:t>
      </w:r>
      <w:r>
        <w:rPr>
          <w:spacing w:val="-2"/>
          <w:u w:val="none"/>
          <w:vertAlign w:val="baseline"/>
        </w:rPr>
        <w:t> </w:t>
      </w:r>
      <w:r>
        <w:rPr>
          <w:u w:val="none"/>
          <w:vertAlign w:val="baseline"/>
        </w:rPr>
        <w:t>health</w:t>
      </w:r>
      <w:r>
        <w:rPr>
          <w:spacing w:val="-2"/>
          <w:u w:val="none"/>
          <w:vertAlign w:val="baseline"/>
        </w:rPr>
        <w:t> </w:t>
      </w:r>
      <w:r>
        <w:rPr>
          <w:u w:val="none"/>
          <w:vertAlign w:val="baseline"/>
        </w:rPr>
        <w:t>toll</w:t>
      </w:r>
      <w:r>
        <w:rPr>
          <w:spacing w:val="-1"/>
          <w:u w:val="none"/>
          <w:vertAlign w:val="baseline"/>
        </w:rPr>
        <w:t> </w:t>
      </w:r>
      <w:r>
        <w:rPr>
          <w:u w:val="none"/>
          <w:vertAlign w:val="baseline"/>
        </w:rPr>
        <w:t>on</w:t>
      </w:r>
      <w:r>
        <w:rPr>
          <w:spacing w:val="-2"/>
          <w:u w:val="none"/>
          <w:vertAlign w:val="baseline"/>
        </w:rPr>
        <w:t> </w:t>
      </w:r>
      <w:r>
        <w:rPr>
          <w:u w:val="none"/>
          <w:vertAlign w:val="baseline"/>
        </w:rPr>
        <w:t>youth</w:t>
      </w:r>
      <w:r>
        <w:rPr>
          <w:spacing w:val="-2"/>
          <w:u w:val="none"/>
          <w:vertAlign w:val="baseline"/>
        </w:rPr>
        <w:t> </w:t>
      </w:r>
      <w:r>
        <w:rPr>
          <w:u w:val="none"/>
          <w:vertAlign w:val="baseline"/>
        </w:rPr>
        <w:t>of the current national environment underscores the need for Massachusetts policymakers to bolster laws that protect our LGBTQ young people and for educators, providers, and agencies to examine their own responsibilities in serving LGBTQ youth.</w:t>
      </w:r>
    </w:p>
    <w:p>
      <w:pPr>
        <w:spacing w:before="239"/>
        <w:ind w:left="463" w:right="0" w:firstLine="0"/>
        <w:jc w:val="both"/>
        <w:rPr>
          <w:sz w:val="28"/>
        </w:rPr>
      </w:pPr>
      <w:bookmarkStart w:name="The State Context: Anxiety, Vulnerable Y" w:id="99"/>
      <w:bookmarkEnd w:id="99"/>
      <w:r>
        <w:rPr/>
      </w:r>
      <w:r>
        <w:rPr>
          <w:color w:val="365F91"/>
          <w:sz w:val="28"/>
        </w:rPr>
        <w:t>The</w:t>
      </w:r>
      <w:r>
        <w:rPr>
          <w:color w:val="365F91"/>
          <w:spacing w:val="-9"/>
          <w:sz w:val="28"/>
        </w:rPr>
        <w:t> </w:t>
      </w:r>
      <w:r>
        <w:rPr>
          <w:color w:val="365F91"/>
          <w:sz w:val="28"/>
        </w:rPr>
        <w:t>State</w:t>
      </w:r>
      <w:r>
        <w:rPr>
          <w:color w:val="365F91"/>
          <w:spacing w:val="-9"/>
          <w:sz w:val="28"/>
        </w:rPr>
        <w:t> </w:t>
      </w:r>
      <w:r>
        <w:rPr>
          <w:color w:val="365F91"/>
          <w:sz w:val="28"/>
        </w:rPr>
        <w:t>Context:</w:t>
      </w:r>
      <w:r>
        <w:rPr>
          <w:color w:val="365F91"/>
          <w:spacing w:val="-10"/>
          <w:sz w:val="28"/>
        </w:rPr>
        <w:t> </w:t>
      </w:r>
      <w:r>
        <w:rPr>
          <w:color w:val="365F91"/>
          <w:sz w:val="28"/>
        </w:rPr>
        <w:t>Anxiety,</w:t>
      </w:r>
      <w:r>
        <w:rPr>
          <w:color w:val="365F91"/>
          <w:spacing w:val="-9"/>
          <w:sz w:val="28"/>
        </w:rPr>
        <w:t> </w:t>
      </w:r>
      <w:r>
        <w:rPr>
          <w:color w:val="365F91"/>
          <w:sz w:val="28"/>
        </w:rPr>
        <w:t>Vulnerable</w:t>
      </w:r>
      <w:r>
        <w:rPr>
          <w:color w:val="365F91"/>
          <w:spacing w:val="-9"/>
          <w:sz w:val="28"/>
        </w:rPr>
        <w:t> </w:t>
      </w:r>
      <w:r>
        <w:rPr>
          <w:color w:val="365F91"/>
          <w:sz w:val="28"/>
        </w:rPr>
        <w:t>Youth,</w:t>
      </w:r>
      <w:r>
        <w:rPr>
          <w:color w:val="365F91"/>
          <w:spacing w:val="-8"/>
          <w:sz w:val="28"/>
        </w:rPr>
        <w:t> </w:t>
      </w:r>
      <w:r>
        <w:rPr>
          <w:color w:val="365F91"/>
          <w:sz w:val="28"/>
        </w:rPr>
        <w:t>and</w:t>
      </w:r>
      <w:r>
        <w:rPr>
          <w:color w:val="365F91"/>
          <w:spacing w:val="-10"/>
          <w:sz w:val="28"/>
        </w:rPr>
        <w:t> </w:t>
      </w:r>
      <w:r>
        <w:rPr>
          <w:color w:val="365F91"/>
          <w:sz w:val="28"/>
        </w:rPr>
        <w:t>Failing</w:t>
      </w:r>
      <w:r>
        <w:rPr>
          <w:color w:val="365F91"/>
          <w:spacing w:val="-9"/>
          <w:sz w:val="28"/>
        </w:rPr>
        <w:t> </w:t>
      </w:r>
      <w:r>
        <w:rPr>
          <w:color w:val="365F91"/>
          <w:spacing w:val="-2"/>
          <w:sz w:val="28"/>
        </w:rPr>
        <w:t>Systems</w:t>
      </w:r>
    </w:p>
    <w:p>
      <w:pPr>
        <w:pStyle w:val="BodyText"/>
        <w:spacing w:line="276" w:lineRule="auto" w:before="293"/>
        <w:ind w:left="463" w:right="282"/>
        <w:jc w:val="both"/>
      </w:pPr>
      <w:r>
        <w:rPr/>
        <w:t>Narrowing the focus from international and national perspectives to a state-level view, recent data specific to Massachusetts reveal unsettling levels of anxiety and distress--despite the state’s history of efforts to support LGBTQ youth. As highlighted in the MYRBS analysis section, new data from the 2021 Massachusetts Youth Risk Behavior Survey indicates that at least 1 in 5 (21.9%) Massachusetts youth identify as LGB, with 5.3% identifying as transgender or questioning. The 2022 U.S. National Survey on LGBTQ Youth Mental Health by State reveals that in Massachusetts last year, 41% of LGBTQ youth, including</w:t>
      </w:r>
      <w:r>
        <w:rPr>
          <w:spacing w:val="-7"/>
        </w:rPr>
        <w:t> </w:t>
      </w:r>
      <w:r>
        <w:rPr/>
        <w:t>51%</w:t>
      </w:r>
      <w:r>
        <w:rPr>
          <w:spacing w:val="-7"/>
        </w:rPr>
        <w:t> </w:t>
      </w:r>
      <w:r>
        <w:rPr/>
        <w:t>of</w:t>
      </w:r>
      <w:r>
        <w:rPr>
          <w:spacing w:val="-6"/>
        </w:rPr>
        <w:t> </w:t>
      </w:r>
      <w:r>
        <w:rPr/>
        <w:t>transgender</w:t>
      </w:r>
      <w:r>
        <w:rPr>
          <w:spacing w:val="-7"/>
        </w:rPr>
        <w:t> </w:t>
      </w:r>
      <w:r>
        <w:rPr/>
        <w:t>and</w:t>
      </w:r>
      <w:r>
        <w:rPr>
          <w:spacing w:val="-7"/>
        </w:rPr>
        <w:t> </w:t>
      </w:r>
      <w:r>
        <w:rPr/>
        <w:t>nonbinary</w:t>
      </w:r>
      <w:r>
        <w:rPr>
          <w:spacing w:val="-7"/>
        </w:rPr>
        <w:t> </w:t>
      </w:r>
      <w:r>
        <w:rPr/>
        <w:t>youth,</w:t>
      </w:r>
      <w:r>
        <w:rPr>
          <w:spacing w:val="-7"/>
        </w:rPr>
        <w:t> </w:t>
      </w:r>
      <w:r>
        <w:rPr/>
        <w:t>seriously</w:t>
      </w:r>
      <w:r>
        <w:rPr>
          <w:spacing w:val="-7"/>
        </w:rPr>
        <w:t> </w:t>
      </w:r>
      <w:r>
        <w:rPr/>
        <w:t>considered</w:t>
      </w:r>
      <w:r>
        <w:rPr>
          <w:spacing w:val="-7"/>
        </w:rPr>
        <w:t> </w:t>
      </w:r>
      <w:r>
        <w:rPr/>
        <w:t>suicide</w:t>
      </w:r>
      <w:r>
        <w:rPr>
          <w:spacing w:val="-6"/>
        </w:rPr>
        <w:t> </w:t>
      </w:r>
      <w:r>
        <w:rPr/>
        <w:t>in</w:t>
      </w:r>
      <w:r>
        <w:rPr>
          <w:spacing w:val="-5"/>
        </w:rPr>
        <w:t> </w:t>
      </w:r>
      <w:r>
        <w:rPr/>
        <w:t>the</w:t>
      </w:r>
      <w:r>
        <w:rPr>
          <w:spacing w:val="-6"/>
        </w:rPr>
        <w:t> </w:t>
      </w:r>
      <w:r>
        <w:rPr/>
        <w:t>past</w:t>
      </w:r>
      <w:r>
        <w:rPr>
          <w:spacing w:val="-7"/>
        </w:rPr>
        <w:t> </w:t>
      </w:r>
      <w:r>
        <w:rPr/>
        <w:t>year.</w:t>
      </w:r>
      <w:r>
        <w:rPr>
          <w:spacing w:val="-7"/>
        </w:rPr>
        <w:t> </w:t>
      </w:r>
      <w:r>
        <w:rPr/>
        <w:t>Further, 11% of LGBTQ youth, including 15% of transgender and nonbinary youth, attempted suicide in the past year.</w:t>
      </w:r>
      <w:r>
        <w:rPr>
          <w:spacing w:val="-12"/>
        </w:rPr>
        <w:t> </w:t>
      </w:r>
      <w:r>
        <w:rPr/>
        <w:t>These</w:t>
      </w:r>
      <w:r>
        <w:rPr>
          <w:spacing w:val="-11"/>
        </w:rPr>
        <w:t> </w:t>
      </w:r>
      <w:r>
        <w:rPr/>
        <w:t>feelings</w:t>
      </w:r>
      <w:r>
        <w:rPr>
          <w:spacing w:val="-11"/>
        </w:rPr>
        <w:t> </w:t>
      </w:r>
      <w:r>
        <w:rPr/>
        <w:t>do</w:t>
      </w:r>
      <w:r>
        <w:rPr>
          <w:spacing w:val="-11"/>
        </w:rPr>
        <w:t> </w:t>
      </w:r>
      <w:r>
        <w:rPr/>
        <w:t>not</w:t>
      </w:r>
      <w:r>
        <w:rPr>
          <w:spacing w:val="-12"/>
        </w:rPr>
        <w:t> </w:t>
      </w:r>
      <w:r>
        <w:rPr/>
        <w:t>come</w:t>
      </w:r>
      <w:r>
        <w:rPr>
          <w:spacing w:val="-10"/>
        </w:rPr>
        <w:t> </w:t>
      </w:r>
      <w:r>
        <w:rPr/>
        <w:t>unaccompanied,</w:t>
      </w:r>
      <w:r>
        <w:rPr>
          <w:spacing w:val="-11"/>
        </w:rPr>
        <w:t> </w:t>
      </w:r>
      <w:r>
        <w:rPr/>
        <w:t>71%</w:t>
      </w:r>
      <w:r>
        <w:rPr>
          <w:spacing w:val="-11"/>
        </w:rPr>
        <w:t> </w:t>
      </w:r>
      <w:r>
        <w:rPr/>
        <w:t>of</w:t>
      </w:r>
      <w:r>
        <w:rPr>
          <w:spacing w:val="-11"/>
        </w:rPr>
        <w:t> </w:t>
      </w:r>
      <w:r>
        <w:rPr/>
        <w:t>LGBTQ</w:t>
      </w:r>
      <w:r>
        <w:rPr>
          <w:spacing w:val="-11"/>
        </w:rPr>
        <w:t> </w:t>
      </w:r>
      <w:r>
        <w:rPr/>
        <w:t>youth,</w:t>
      </w:r>
      <w:r>
        <w:rPr>
          <w:spacing w:val="-11"/>
        </w:rPr>
        <w:t> </w:t>
      </w:r>
      <w:r>
        <w:rPr/>
        <w:t>including</w:t>
      </w:r>
      <w:r>
        <w:rPr>
          <w:spacing w:val="-11"/>
        </w:rPr>
        <w:t> </w:t>
      </w:r>
      <w:r>
        <w:rPr/>
        <w:t>78%</w:t>
      </w:r>
      <w:r>
        <w:rPr>
          <w:spacing w:val="-11"/>
        </w:rPr>
        <w:t> </w:t>
      </w:r>
      <w:r>
        <w:rPr/>
        <w:t>of</w:t>
      </w:r>
      <w:r>
        <w:rPr>
          <w:spacing w:val="-11"/>
        </w:rPr>
        <w:t> </w:t>
      </w:r>
      <w:r>
        <w:rPr/>
        <w:t>transgender</w:t>
      </w:r>
      <w:r>
        <w:rPr>
          <w:spacing w:val="-11"/>
        </w:rPr>
        <w:t> </w:t>
      </w:r>
      <w:r>
        <w:rPr/>
        <w:t>and nonbinary youth, reported experiencing symptoms of anxiety symptoms, and 51% of LGBTQ youth, including 64% of transgender youth, reported experiencing symptoms of depression.</w:t>
      </w:r>
    </w:p>
    <w:p>
      <w:pPr>
        <w:pStyle w:val="BodyText"/>
        <w:spacing w:line="276" w:lineRule="auto" w:before="239"/>
        <w:ind w:left="463" w:right="283"/>
        <w:jc w:val="both"/>
      </w:pPr>
      <w:r>
        <w:rPr/>
        <w:t>As noted above, the Commission recommends that the legislature codify the Massachusetts Parentage Act, which would update the Commonwealth’s outdated parentage laws by allowing same-gender non- </w:t>
      </w:r>
      <w:r>
        <w:rPr>
          <w:spacing w:val="-2"/>
        </w:rPr>
        <w:t>biological</w:t>
      </w:r>
      <w:r>
        <w:rPr>
          <w:spacing w:val="-3"/>
        </w:rPr>
        <w:t> </w:t>
      </w:r>
      <w:r>
        <w:rPr>
          <w:spacing w:val="-2"/>
        </w:rPr>
        <w:t>parents to</w:t>
      </w:r>
      <w:r>
        <w:rPr>
          <w:spacing w:val="-3"/>
        </w:rPr>
        <w:t> </w:t>
      </w:r>
      <w:r>
        <w:rPr>
          <w:spacing w:val="-2"/>
        </w:rPr>
        <w:t>be legally</w:t>
      </w:r>
      <w:r>
        <w:rPr>
          <w:spacing w:val="-3"/>
        </w:rPr>
        <w:t> </w:t>
      </w:r>
      <w:r>
        <w:rPr>
          <w:spacing w:val="-2"/>
        </w:rPr>
        <w:t>recognized</w:t>
      </w:r>
      <w:r>
        <w:rPr>
          <w:spacing w:val="-3"/>
        </w:rPr>
        <w:t> </w:t>
      </w:r>
      <w:r>
        <w:rPr>
          <w:spacing w:val="-2"/>
        </w:rPr>
        <w:t>as</w:t>
      </w:r>
      <w:r>
        <w:rPr>
          <w:spacing w:val="-3"/>
        </w:rPr>
        <w:t> </w:t>
      </w:r>
      <w:r>
        <w:rPr>
          <w:spacing w:val="-2"/>
        </w:rPr>
        <w:t>parents, as</w:t>
      </w:r>
      <w:r>
        <w:rPr>
          <w:spacing w:val="-3"/>
        </w:rPr>
        <w:t> </w:t>
      </w:r>
      <w:r>
        <w:rPr>
          <w:spacing w:val="-2"/>
        </w:rPr>
        <w:t>well</w:t>
      </w:r>
      <w:r>
        <w:rPr>
          <w:spacing w:val="-3"/>
        </w:rPr>
        <w:t> </w:t>
      </w:r>
      <w:r>
        <w:rPr>
          <w:spacing w:val="-2"/>
        </w:rPr>
        <w:t>as</w:t>
      </w:r>
      <w:r>
        <w:rPr>
          <w:spacing w:val="-3"/>
        </w:rPr>
        <w:t> </w:t>
      </w:r>
      <w:r>
        <w:rPr>
          <w:spacing w:val="-2"/>
        </w:rPr>
        <w:t>would</w:t>
      </w:r>
      <w:r>
        <w:rPr>
          <w:spacing w:val="-3"/>
        </w:rPr>
        <w:t> </w:t>
      </w:r>
      <w:r>
        <w:rPr>
          <w:spacing w:val="-2"/>
        </w:rPr>
        <w:t>recognize de-facto parentage which </w:t>
      </w:r>
      <w:r>
        <w:rPr/>
        <w:t>would reduce instances of youth being placed in the child welfare system</w:t>
      </w:r>
      <w:hyperlink w:history="true" w:anchor="_bookmark31">
        <w:r>
          <w:rPr/>
          <w:t>.</w:t>
        </w:r>
        <w:r>
          <w:rPr>
            <w:vertAlign w:val="superscript"/>
          </w:rPr>
          <w:t>23</w:t>
        </w:r>
      </w:hyperlink>
    </w:p>
    <w:p>
      <w:pPr>
        <w:spacing w:line="276" w:lineRule="auto" w:before="239"/>
        <w:ind w:left="463" w:right="284" w:firstLine="0"/>
        <w:jc w:val="both"/>
        <w:rPr>
          <w:sz w:val="28"/>
        </w:rPr>
      </w:pPr>
      <w:bookmarkStart w:name="Among the Most Marginalized: LGBTQ Youth" w:id="100"/>
      <w:bookmarkEnd w:id="100"/>
      <w:r>
        <w:rPr/>
      </w:r>
      <w:r>
        <w:rPr>
          <w:color w:val="365F91"/>
          <w:sz w:val="28"/>
        </w:rPr>
        <w:t>Among</w:t>
      </w:r>
      <w:r>
        <w:rPr>
          <w:color w:val="365F91"/>
          <w:spacing w:val="-5"/>
          <w:sz w:val="28"/>
        </w:rPr>
        <w:t> </w:t>
      </w:r>
      <w:r>
        <w:rPr>
          <w:color w:val="365F91"/>
          <w:sz w:val="28"/>
        </w:rPr>
        <w:t>the</w:t>
      </w:r>
      <w:r>
        <w:rPr>
          <w:color w:val="365F91"/>
          <w:spacing w:val="-5"/>
          <w:sz w:val="28"/>
        </w:rPr>
        <w:t> </w:t>
      </w:r>
      <w:r>
        <w:rPr>
          <w:color w:val="365F91"/>
          <w:sz w:val="28"/>
        </w:rPr>
        <w:t>Most</w:t>
      </w:r>
      <w:r>
        <w:rPr>
          <w:color w:val="365F91"/>
          <w:spacing w:val="-5"/>
          <w:sz w:val="28"/>
        </w:rPr>
        <w:t> </w:t>
      </w:r>
      <w:r>
        <w:rPr>
          <w:color w:val="365F91"/>
          <w:sz w:val="28"/>
        </w:rPr>
        <w:t>Marginalized:</w:t>
      </w:r>
      <w:r>
        <w:rPr>
          <w:color w:val="365F91"/>
          <w:spacing w:val="-6"/>
          <w:sz w:val="28"/>
        </w:rPr>
        <w:t> </w:t>
      </w:r>
      <w:r>
        <w:rPr>
          <w:color w:val="365F91"/>
          <w:sz w:val="28"/>
        </w:rPr>
        <w:t>LGBTQ</w:t>
      </w:r>
      <w:r>
        <w:rPr>
          <w:color w:val="365F91"/>
          <w:spacing w:val="-5"/>
          <w:sz w:val="28"/>
        </w:rPr>
        <w:t> </w:t>
      </w:r>
      <w:r>
        <w:rPr>
          <w:color w:val="365F91"/>
          <w:sz w:val="28"/>
        </w:rPr>
        <w:t>Youth</w:t>
      </w:r>
      <w:r>
        <w:rPr>
          <w:color w:val="365F91"/>
          <w:spacing w:val="-6"/>
          <w:sz w:val="28"/>
        </w:rPr>
        <w:t> </w:t>
      </w:r>
      <w:r>
        <w:rPr>
          <w:color w:val="365F91"/>
          <w:sz w:val="28"/>
        </w:rPr>
        <w:t>in</w:t>
      </w:r>
      <w:r>
        <w:rPr>
          <w:color w:val="365F91"/>
          <w:spacing w:val="-6"/>
          <w:sz w:val="28"/>
        </w:rPr>
        <w:t> </w:t>
      </w:r>
      <w:r>
        <w:rPr>
          <w:color w:val="365F91"/>
          <w:sz w:val="28"/>
        </w:rPr>
        <w:t>the</w:t>
      </w:r>
      <w:r>
        <w:rPr>
          <w:color w:val="365F91"/>
          <w:spacing w:val="-4"/>
          <w:sz w:val="28"/>
        </w:rPr>
        <w:t> </w:t>
      </w:r>
      <w:r>
        <w:rPr>
          <w:color w:val="365F91"/>
          <w:sz w:val="28"/>
        </w:rPr>
        <w:t>Child</w:t>
      </w:r>
      <w:r>
        <w:rPr>
          <w:color w:val="365F91"/>
          <w:spacing w:val="-6"/>
          <w:sz w:val="28"/>
        </w:rPr>
        <w:t> </w:t>
      </w:r>
      <w:r>
        <w:rPr>
          <w:color w:val="365F91"/>
          <w:sz w:val="28"/>
        </w:rPr>
        <w:t>Welfare,</w:t>
      </w:r>
      <w:r>
        <w:rPr>
          <w:color w:val="365F91"/>
          <w:spacing w:val="-6"/>
          <w:sz w:val="28"/>
        </w:rPr>
        <w:t> </w:t>
      </w:r>
      <w:r>
        <w:rPr>
          <w:color w:val="365F91"/>
          <w:sz w:val="28"/>
        </w:rPr>
        <w:t>Juvenile</w:t>
      </w:r>
      <w:r>
        <w:rPr>
          <w:color w:val="365F91"/>
          <w:spacing w:val="-5"/>
          <w:sz w:val="28"/>
        </w:rPr>
        <w:t> </w:t>
      </w:r>
      <w:r>
        <w:rPr>
          <w:color w:val="365F91"/>
          <w:sz w:val="28"/>
        </w:rPr>
        <w:t>Justice, and Mental Health Systems</w:t>
      </w:r>
    </w:p>
    <w:p>
      <w:pPr>
        <w:pStyle w:val="BodyText"/>
        <w:spacing w:line="276" w:lineRule="auto" w:before="241"/>
        <w:ind w:left="463" w:right="283"/>
        <w:jc w:val="both"/>
      </w:pPr>
      <w:r>
        <w:rPr/>
        <w:t>Though</w:t>
      </w:r>
      <w:r>
        <w:rPr>
          <w:spacing w:val="-7"/>
        </w:rPr>
        <w:t> </w:t>
      </w:r>
      <w:r>
        <w:rPr/>
        <w:t>the</w:t>
      </w:r>
      <w:r>
        <w:rPr>
          <w:spacing w:val="-7"/>
        </w:rPr>
        <w:t> </w:t>
      </w:r>
      <w:r>
        <w:rPr/>
        <w:t>well-being</w:t>
      </w:r>
      <w:r>
        <w:rPr>
          <w:spacing w:val="-7"/>
        </w:rPr>
        <w:t> </w:t>
      </w:r>
      <w:r>
        <w:rPr/>
        <w:t>of</w:t>
      </w:r>
      <w:r>
        <w:rPr>
          <w:spacing w:val="-7"/>
        </w:rPr>
        <w:t> </w:t>
      </w:r>
      <w:r>
        <w:rPr/>
        <w:t>all</w:t>
      </w:r>
      <w:r>
        <w:rPr>
          <w:spacing w:val="-7"/>
        </w:rPr>
        <w:t> </w:t>
      </w:r>
      <w:r>
        <w:rPr/>
        <w:t>LGBTQ</w:t>
      </w:r>
      <w:r>
        <w:rPr>
          <w:spacing w:val="-7"/>
        </w:rPr>
        <w:t> </w:t>
      </w:r>
      <w:r>
        <w:rPr/>
        <w:t>young</w:t>
      </w:r>
      <w:r>
        <w:rPr>
          <w:spacing w:val="-7"/>
        </w:rPr>
        <w:t> </w:t>
      </w:r>
      <w:r>
        <w:rPr/>
        <w:t>people</w:t>
      </w:r>
      <w:r>
        <w:rPr>
          <w:spacing w:val="-7"/>
        </w:rPr>
        <w:t> </w:t>
      </w:r>
      <w:r>
        <w:rPr/>
        <w:t>in</w:t>
      </w:r>
      <w:r>
        <w:rPr>
          <w:spacing w:val="-7"/>
        </w:rPr>
        <w:t> </w:t>
      </w:r>
      <w:r>
        <w:rPr/>
        <w:t>the</w:t>
      </w:r>
      <w:r>
        <w:rPr>
          <w:spacing w:val="-7"/>
        </w:rPr>
        <w:t> </w:t>
      </w:r>
      <w:r>
        <w:rPr/>
        <w:t>state</w:t>
      </w:r>
      <w:r>
        <w:rPr>
          <w:spacing w:val="-7"/>
        </w:rPr>
        <w:t> </w:t>
      </w:r>
      <w:r>
        <w:rPr/>
        <w:t>merits</w:t>
      </w:r>
      <w:r>
        <w:rPr>
          <w:spacing w:val="-6"/>
        </w:rPr>
        <w:t> </w:t>
      </w:r>
      <w:r>
        <w:rPr/>
        <w:t>concerted</w:t>
      </w:r>
      <w:r>
        <w:rPr>
          <w:spacing w:val="-7"/>
        </w:rPr>
        <w:t> </w:t>
      </w:r>
      <w:r>
        <w:rPr/>
        <w:t>ongoing</w:t>
      </w:r>
      <w:r>
        <w:rPr>
          <w:spacing w:val="-7"/>
        </w:rPr>
        <w:t> </w:t>
      </w:r>
      <w:r>
        <w:rPr/>
        <w:t>attention,</w:t>
      </w:r>
      <w:r>
        <w:rPr>
          <w:spacing w:val="-7"/>
        </w:rPr>
        <w:t> </w:t>
      </w:r>
      <w:r>
        <w:rPr/>
        <w:t>LGBTQ young</w:t>
      </w:r>
      <w:r>
        <w:rPr>
          <w:spacing w:val="-2"/>
        </w:rPr>
        <w:t> </w:t>
      </w:r>
      <w:r>
        <w:rPr/>
        <w:t>people involved</w:t>
      </w:r>
      <w:r>
        <w:rPr>
          <w:spacing w:val="-2"/>
        </w:rPr>
        <w:t> </w:t>
      </w:r>
      <w:r>
        <w:rPr/>
        <w:t>with</w:t>
      </w:r>
      <w:r>
        <w:rPr>
          <w:spacing w:val="-2"/>
        </w:rPr>
        <w:t> </w:t>
      </w:r>
      <w:r>
        <w:rPr/>
        <w:t>the child</w:t>
      </w:r>
      <w:r>
        <w:rPr>
          <w:spacing w:val="-2"/>
        </w:rPr>
        <w:t> </w:t>
      </w:r>
      <w:r>
        <w:rPr/>
        <w:t>welfare,</w:t>
      </w:r>
      <w:r>
        <w:rPr>
          <w:spacing w:val="-1"/>
        </w:rPr>
        <w:t> </w:t>
      </w:r>
      <w:r>
        <w:rPr/>
        <w:t>juvenile</w:t>
      </w:r>
      <w:r>
        <w:rPr>
          <w:spacing w:val="-2"/>
        </w:rPr>
        <w:t> </w:t>
      </w:r>
      <w:r>
        <w:rPr/>
        <w:t>justice,</w:t>
      </w:r>
      <w:r>
        <w:rPr>
          <w:spacing w:val="-1"/>
        </w:rPr>
        <w:t> </w:t>
      </w:r>
      <w:r>
        <w:rPr/>
        <w:t>and</w:t>
      </w:r>
      <w:r>
        <w:rPr>
          <w:spacing w:val="-1"/>
        </w:rPr>
        <w:t> </w:t>
      </w:r>
      <w:r>
        <w:rPr/>
        <w:t>mental</w:t>
      </w:r>
      <w:r>
        <w:rPr>
          <w:spacing w:val="-2"/>
        </w:rPr>
        <w:t> </w:t>
      </w:r>
      <w:r>
        <w:rPr/>
        <w:t>health</w:t>
      </w:r>
      <w:r>
        <w:rPr>
          <w:spacing w:val="-2"/>
        </w:rPr>
        <w:t> </w:t>
      </w:r>
      <w:r>
        <w:rPr/>
        <w:t>systems</w:t>
      </w:r>
      <w:r>
        <w:rPr>
          <w:spacing w:val="-1"/>
        </w:rPr>
        <w:t> </w:t>
      </w:r>
      <w:r>
        <w:rPr/>
        <w:t>are among</w:t>
      </w:r>
      <w:r>
        <w:rPr>
          <w:spacing w:val="-2"/>
        </w:rPr>
        <w:t> </w:t>
      </w:r>
      <w:r>
        <w:rPr/>
        <w:t>the most</w:t>
      </w:r>
      <w:r>
        <w:rPr>
          <w:spacing w:val="34"/>
        </w:rPr>
        <w:t> </w:t>
      </w:r>
      <w:r>
        <w:rPr/>
        <w:t>vulnerable</w:t>
      </w:r>
      <w:r>
        <w:rPr>
          <w:spacing w:val="35"/>
        </w:rPr>
        <w:t> </w:t>
      </w:r>
      <w:r>
        <w:rPr/>
        <w:t>youth</w:t>
      </w:r>
      <w:r>
        <w:rPr>
          <w:spacing w:val="34"/>
        </w:rPr>
        <w:t> </w:t>
      </w:r>
      <w:r>
        <w:rPr/>
        <w:t>in</w:t>
      </w:r>
      <w:r>
        <w:rPr>
          <w:spacing w:val="37"/>
        </w:rPr>
        <w:t> </w:t>
      </w:r>
      <w:r>
        <w:rPr/>
        <w:t>our</w:t>
      </w:r>
      <w:r>
        <w:rPr>
          <w:spacing w:val="35"/>
        </w:rPr>
        <w:t> </w:t>
      </w:r>
      <w:r>
        <w:rPr/>
        <w:t>state.</w:t>
      </w:r>
      <w:r>
        <w:rPr>
          <w:spacing w:val="36"/>
        </w:rPr>
        <w:t> </w:t>
      </w:r>
      <w:r>
        <w:rPr/>
        <w:t>The</w:t>
      </w:r>
      <w:r>
        <w:rPr>
          <w:spacing w:val="35"/>
        </w:rPr>
        <w:t> </w:t>
      </w:r>
      <w:r>
        <w:rPr/>
        <w:t>state</w:t>
      </w:r>
      <w:r>
        <w:rPr>
          <w:spacing w:val="36"/>
        </w:rPr>
        <w:t> </w:t>
      </w:r>
      <w:r>
        <w:rPr/>
        <w:t>agencies</w:t>
      </w:r>
      <w:r>
        <w:rPr>
          <w:spacing w:val="35"/>
        </w:rPr>
        <w:t> </w:t>
      </w:r>
      <w:r>
        <w:rPr/>
        <w:t>that</w:t>
      </w:r>
      <w:r>
        <w:rPr>
          <w:spacing w:val="34"/>
        </w:rPr>
        <w:t> </w:t>
      </w:r>
      <w:r>
        <w:rPr/>
        <w:t>serve</w:t>
      </w:r>
      <w:r>
        <w:rPr>
          <w:spacing w:val="35"/>
        </w:rPr>
        <w:t> </w:t>
      </w:r>
      <w:r>
        <w:rPr/>
        <w:t>youth</w:t>
      </w:r>
      <w:r>
        <w:rPr>
          <w:spacing w:val="36"/>
        </w:rPr>
        <w:t> </w:t>
      </w:r>
      <w:r>
        <w:rPr/>
        <w:t>in</w:t>
      </w:r>
      <w:r>
        <w:rPr>
          <w:spacing w:val="36"/>
        </w:rPr>
        <w:t> </w:t>
      </w:r>
      <w:r>
        <w:rPr/>
        <w:t>crisis</w:t>
      </w:r>
      <w:r>
        <w:rPr>
          <w:spacing w:val="35"/>
        </w:rPr>
        <w:t> </w:t>
      </w:r>
      <w:r>
        <w:rPr/>
        <w:t>demand</w:t>
      </w:r>
      <w:r>
        <w:rPr>
          <w:spacing w:val="34"/>
        </w:rPr>
        <w:t> </w:t>
      </w:r>
      <w:r>
        <w:rPr/>
        <w:t>particular</w:t>
      </w:r>
    </w:p>
    <w:p>
      <w:pPr>
        <w:spacing w:after="0" w:line="276" w:lineRule="auto"/>
        <w:jc w:val="both"/>
        <w:sectPr>
          <w:headerReference w:type="default" r:id="rId63"/>
          <w:footerReference w:type="default" r:id="rId64"/>
          <w:pgSz w:w="12240" w:h="15840"/>
          <w:pgMar w:header="804" w:footer="1263" w:top="1000" w:bottom="1460" w:left="980" w:right="1160"/>
        </w:sectPr>
      </w:pPr>
    </w:p>
    <w:p>
      <w:pPr>
        <w:pStyle w:val="BodyText"/>
        <w:spacing w:line="276" w:lineRule="auto" w:before="139"/>
        <w:ind w:left="463" w:right="284"/>
        <w:jc w:val="both"/>
      </w:pPr>
      <w:r>
        <w:rPr/>
        <w:t>attention,</w:t>
      </w:r>
      <w:r>
        <w:rPr>
          <w:spacing w:val="-7"/>
        </w:rPr>
        <w:t> </w:t>
      </w:r>
      <w:r>
        <w:rPr/>
        <w:t>as</w:t>
      </w:r>
      <w:r>
        <w:rPr>
          <w:spacing w:val="-7"/>
        </w:rPr>
        <w:t> </w:t>
      </w:r>
      <w:r>
        <w:rPr/>
        <w:t>national</w:t>
      </w:r>
      <w:r>
        <w:rPr>
          <w:spacing w:val="-8"/>
        </w:rPr>
        <w:t> </w:t>
      </w:r>
      <w:r>
        <w:rPr/>
        <w:t>data</w:t>
      </w:r>
      <w:r>
        <w:rPr>
          <w:spacing w:val="-6"/>
        </w:rPr>
        <w:t> </w:t>
      </w:r>
      <w:r>
        <w:rPr/>
        <w:t>indicates</w:t>
      </w:r>
      <w:r>
        <w:rPr>
          <w:spacing w:val="-7"/>
        </w:rPr>
        <w:t> </w:t>
      </w:r>
      <w:r>
        <w:rPr/>
        <w:t>that</w:t>
      </w:r>
      <w:r>
        <w:rPr>
          <w:spacing w:val="-7"/>
        </w:rPr>
        <w:t> </w:t>
      </w:r>
      <w:r>
        <w:rPr/>
        <w:t>QTBIPOC</w:t>
      </w:r>
      <w:r>
        <w:rPr>
          <w:spacing w:val="-7"/>
        </w:rPr>
        <w:t> </w:t>
      </w:r>
      <w:r>
        <w:rPr/>
        <w:t>youth</w:t>
      </w:r>
      <w:r>
        <w:rPr>
          <w:spacing w:val="-8"/>
        </w:rPr>
        <w:t> </w:t>
      </w:r>
      <w:r>
        <w:rPr/>
        <w:t>are</w:t>
      </w:r>
      <w:r>
        <w:rPr>
          <w:spacing w:val="-8"/>
        </w:rPr>
        <w:t> </w:t>
      </w:r>
      <w:r>
        <w:rPr/>
        <w:t>often</w:t>
      </w:r>
      <w:r>
        <w:rPr>
          <w:spacing w:val="-7"/>
        </w:rPr>
        <w:t> </w:t>
      </w:r>
      <w:r>
        <w:rPr/>
        <w:t>the</w:t>
      </w:r>
      <w:r>
        <w:rPr>
          <w:spacing w:val="-7"/>
        </w:rPr>
        <w:t> </w:t>
      </w:r>
      <w:r>
        <w:rPr/>
        <w:t>most</w:t>
      </w:r>
      <w:r>
        <w:rPr>
          <w:spacing w:val="-8"/>
        </w:rPr>
        <w:t> </w:t>
      </w:r>
      <w:r>
        <w:rPr/>
        <w:t>underserved</w:t>
      </w:r>
      <w:r>
        <w:rPr>
          <w:spacing w:val="-8"/>
        </w:rPr>
        <w:t> </w:t>
      </w:r>
      <w:r>
        <w:rPr/>
        <w:t>among</w:t>
      </w:r>
      <w:r>
        <w:rPr>
          <w:spacing w:val="-8"/>
        </w:rPr>
        <w:t> </w:t>
      </w:r>
      <w:r>
        <w:rPr/>
        <w:t>youth</w:t>
      </w:r>
      <w:r>
        <w:rPr>
          <w:spacing w:val="-8"/>
        </w:rPr>
        <w:t> </w:t>
      </w:r>
      <w:r>
        <w:rPr/>
        <w:t>in the child welfare and juvenile justice systems</w:t>
      </w:r>
      <w:hyperlink w:history="true" w:anchor="_bookmark32">
        <w:r>
          <w:rPr/>
          <w:t>.</w:t>
        </w:r>
        <w:r>
          <w:rPr>
            <w:vertAlign w:val="superscript"/>
          </w:rPr>
          <w:t>24</w:t>
        </w:r>
      </w:hyperlink>
    </w:p>
    <w:p>
      <w:pPr>
        <w:pStyle w:val="BodyText"/>
        <w:spacing w:line="276" w:lineRule="auto" w:before="239"/>
        <w:ind w:left="463" w:right="283"/>
        <w:jc w:val="both"/>
      </w:pPr>
      <w:r>
        <w:rPr/>
        <w:t>Often,</w:t>
      </w:r>
      <w:r>
        <w:rPr>
          <w:spacing w:val="-2"/>
        </w:rPr>
        <w:t> </w:t>
      </w:r>
      <w:r>
        <w:rPr/>
        <w:t>youth</w:t>
      </w:r>
      <w:r>
        <w:rPr>
          <w:spacing w:val="-1"/>
        </w:rPr>
        <w:t> </w:t>
      </w:r>
      <w:r>
        <w:rPr/>
        <w:t>involved</w:t>
      </w:r>
      <w:r>
        <w:rPr>
          <w:spacing w:val="-2"/>
        </w:rPr>
        <w:t> </w:t>
      </w:r>
      <w:r>
        <w:rPr/>
        <w:t>in</w:t>
      </w:r>
      <w:r>
        <w:rPr>
          <w:spacing w:val="-2"/>
        </w:rPr>
        <w:t> </w:t>
      </w:r>
      <w:r>
        <w:rPr/>
        <w:t>one</w:t>
      </w:r>
      <w:r>
        <w:rPr>
          <w:spacing w:val="-2"/>
        </w:rPr>
        <w:t> </w:t>
      </w:r>
      <w:r>
        <w:rPr/>
        <w:t>system</w:t>
      </w:r>
      <w:r>
        <w:rPr>
          <w:spacing w:val="-1"/>
        </w:rPr>
        <w:t> </w:t>
      </w:r>
      <w:r>
        <w:rPr/>
        <w:t>are</w:t>
      </w:r>
      <w:r>
        <w:rPr>
          <w:spacing w:val="-2"/>
        </w:rPr>
        <w:t> </w:t>
      </w:r>
      <w:r>
        <w:rPr/>
        <w:t>actually</w:t>
      </w:r>
      <w:r>
        <w:rPr>
          <w:spacing w:val="-2"/>
        </w:rPr>
        <w:t> </w:t>
      </w:r>
      <w:r>
        <w:rPr/>
        <w:t>involved</w:t>
      </w:r>
      <w:r>
        <w:rPr>
          <w:spacing w:val="-2"/>
        </w:rPr>
        <w:t> </w:t>
      </w:r>
      <w:r>
        <w:rPr/>
        <w:t>in</w:t>
      </w:r>
      <w:r>
        <w:rPr>
          <w:spacing w:val="-1"/>
        </w:rPr>
        <w:t> </w:t>
      </w:r>
      <w:r>
        <w:rPr/>
        <w:t>multiple</w:t>
      </w:r>
      <w:r>
        <w:rPr>
          <w:spacing w:val="-2"/>
        </w:rPr>
        <w:t> </w:t>
      </w:r>
      <w:r>
        <w:rPr/>
        <w:t>systems;</w:t>
      </w:r>
      <w:hyperlink w:history="true" w:anchor="_bookmark33">
        <w:r>
          <w:rPr>
            <w:vertAlign w:val="superscript"/>
          </w:rPr>
          <w:t>25</w:t>
        </w:r>
      </w:hyperlink>
      <w:r>
        <w:rPr>
          <w:spacing w:val="-2"/>
          <w:vertAlign w:val="baseline"/>
        </w:rPr>
        <w:t> </w:t>
      </w:r>
      <w:r>
        <w:rPr>
          <w:vertAlign w:val="baseline"/>
        </w:rPr>
        <w:t>these</w:t>
      </w:r>
      <w:r>
        <w:rPr>
          <w:spacing w:val="-1"/>
          <w:vertAlign w:val="baseline"/>
        </w:rPr>
        <w:t> </w:t>
      </w:r>
      <w:r>
        <w:rPr>
          <w:vertAlign w:val="baseline"/>
        </w:rPr>
        <w:t>young</w:t>
      </w:r>
      <w:r>
        <w:rPr>
          <w:spacing w:val="-1"/>
          <w:vertAlign w:val="baseline"/>
        </w:rPr>
        <w:t> </w:t>
      </w:r>
      <w:r>
        <w:rPr>
          <w:vertAlign w:val="baseline"/>
        </w:rPr>
        <w:t>people</w:t>
      </w:r>
      <w:r>
        <w:rPr>
          <w:spacing w:val="-1"/>
          <w:vertAlign w:val="baseline"/>
        </w:rPr>
        <w:t> </w:t>
      </w:r>
      <w:r>
        <w:rPr>
          <w:vertAlign w:val="baseline"/>
        </w:rPr>
        <w:t>may be</w:t>
      </w:r>
      <w:r>
        <w:rPr>
          <w:spacing w:val="-8"/>
          <w:vertAlign w:val="baseline"/>
        </w:rPr>
        <w:t> </w:t>
      </w:r>
      <w:r>
        <w:rPr>
          <w:vertAlign w:val="baseline"/>
        </w:rPr>
        <w:t>labeled</w:t>
      </w:r>
      <w:r>
        <w:rPr>
          <w:spacing w:val="-8"/>
          <w:vertAlign w:val="baseline"/>
        </w:rPr>
        <w:t> </w:t>
      </w:r>
      <w:r>
        <w:rPr>
          <w:vertAlign w:val="baseline"/>
        </w:rPr>
        <w:t>as</w:t>
      </w:r>
      <w:r>
        <w:rPr>
          <w:spacing w:val="-6"/>
          <w:vertAlign w:val="baseline"/>
        </w:rPr>
        <w:t> </w:t>
      </w:r>
      <w:r>
        <w:rPr>
          <w:vertAlign w:val="baseline"/>
        </w:rPr>
        <w:t>multisystem-involved</w:t>
      </w:r>
      <w:r>
        <w:rPr>
          <w:spacing w:val="-8"/>
          <w:vertAlign w:val="baseline"/>
        </w:rPr>
        <w:t> </w:t>
      </w:r>
      <w:r>
        <w:rPr>
          <w:vertAlign w:val="baseline"/>
        </w:rPr>
        <w:t>youth,</w:t>
      </w:r>
      <w:r>
        <w:rPr>
          <w:spacing w:val="-7"/>
          <w:vertAlign w:val="baseline"/>
        </w:rPr>
        <w:t> </w:t>
      </w:r>
      <w:r>
        <w:rPr>
          <w:vertAlign w:val="baseline"/>
        </w:rPr>
        <w:t>dual-system-involved</w:t>
      </w:r>
      <w:r>
        <w:rPr>
          <w:spacing w:val="-8"/>
          <w:vertAlign w:val="baseline"/>
        </w:rPr>
        <w:t> </w:t>
      </w:r>
      <w:r>
        <w:rPr>
          <w:vertAlign w:val="baseline"/>
        </w:rPr>
        <w:t>youth,</w:t>
      </w:r>
      <w:r>
        <w:rPr>
          <w:spacing w:val="-7"/>
          <w:vertAlign w:val="baseline"/>
        </w:rPr>
        <w:t> </w:t>
      </w:r>
      <w:r>
        <w:rPr>
          <w:vertAlign w:val="baseline"/>
        </w:rPr>
        <w:t>or</w:t>
      </w:r>
      <w:r>
        <w:rPr>
          <w:spacing w:val="-7"/>
          <w:vertAlign w:val="baseline"/>
        </w:rPr>
        <w:t> </w:t>
      </w:r>
      <w:r>
        <w:rPr>
          <w:vertAlign w:val="baseline"/>
        </w:rPr>
        <w:t>crossover</w:t>
      </w:r>
      <w:r>
        <w:rPr>
          <w:spacing w:val="-7"/>
          <w:vertAlign w:val="baseline"/>
        </w:rPr>
        <w:t> </w:t>
      </w:r>
      <w:r>
        <w:rPr>
          <w:vertAlign w:val="baseline"/>
        </w:rPr>
        <w:t>youth.</w:t>
      </w:r>
      <w:r>
        <w:rPr>
          <w:spacing w:val="-8"/>
          <w:vertAlign w:val="baseline"/>
        </w:rPr>
        <w:t> </w:t>
      </w:r>
      <w:r>
        <w:rPr>
          <w:vertAlign w:val="baseline"/>
        </w:rPr>
        <w:t>The</w:t>
      </w:r>
      <w:r>
        <w:rPr>
          <w:spacing w:val="-8"/>
          <w:vertAlign w:val="baseline"/>
        </w:rPr>
        <w:t> </w:t>
      </w:r>
      <w:r>
        <w:rPr>
          <w:vertAlign w:val="baseline"/>
        </w:rPr>
        <w:t>effects</w:t>
      </w:r>
      <w:r>
        <w:rPr>
          <w:spacing w:val="-7"/>
          <w:vertAlign w:val="baseline"/>
        </w:rPr>
        <w:t> </w:t>
      </w:r>
      <w:r>
        <w:rPr>
          <w:vertAlign w:val="baseline"/>
        </w:rPr>
        <w:t>of entering</w:t>
      </w:r>
      <w:r>
        <w:rPr>
          <w:spacing w:val="-3"/>
          <w:vertAlign w:val="baseline"/>
        </w:rPr>
        <w:t> </w:t>
      </w:r>
      <w:r>
        <w:rPr>
          <w:vertAlign w:val="baseline"/>
        </w:rPr>
        <w:t>these</w:t>
      </w:r>
      <w:r>
        <w:rPr>
          <w:spacing w:val="-4"/>
          <w:vertAlign w:val="baseline"/>
        </w:rPr>
        <w:t> </w:t>
      </w:r>
      <w:r>
        <w:rPr>
          <w:vertAlign w:val="baseline"/>
        </w:rPr>
        <w:t>systems</w:t>
      </w:r>
      <w:r>
        <w:rPr>
          <w:spacing w:val="-2"/>
          <w:vertAlign w:val="baseline"/>
        </w:rPr>
        <w:t> </w:t>
      </w:r>
      <w:r>
        <w:rPr>
          <w:vertAlign w:val="baseline"/>
        </w:rPr>
        <w:t>cascade</w:t>
      </w:r>
      <w:r>
        <w:rPr>
          <w:spacing w:val="-4"/>
          <w:vertAlign w:val="baseline"/>
        </w:rPr>
        <w:t> </w:t>
      </w:r>
      <w:r>
        <w:rPr>
          <w:vertAlign w:val="baseline"/>
        </w:rPr>
        <w:t>as</w:t>
      </w:r>
      <w:r>
        <w:rPr>
          <w:spacing w:val="-2"/>
          <w:vertAlign w:val="baseline"/>
        </w:rPr>
        <w:t> </w:t>
      </w:r>
      <w:r>
        <w:rPr>
          <w:vertAlign w:val="baseline"/>
        </w:rPr>
        <w:t>children</w:t>
      </w:r>
      <w:r>
        <w:rPr>
          <w:spacing w:val="-4"/>
          <w:vertAlign w:val="baseline"/>
        </w:rPr>
        <w:t> </w:t>
      </w:r>
      <w:r>
        <w:rPr>
          <w:vertAlign w:val="baseline"/>
        </w:rPr>
        <w:t>develop.</w:t>
      </w:r>
      <w:r>
        <w:rPr>
          <w:spacing w:val="-4"/>
          <w:vertAlign w:val="baseline"/>
        </w:rPr>
        <w:t> </w:t>
      </w:r>
      <w:r>
        <w:rPr>
          <w:vertAlign w:val="baseline"/>
        </w:rPr>
        <w:t>Pre-adolescent</w:t>
      </w:r>
      <w:r>
        <w:rPr>
          <w:spacing w:val="-4"/>
          <w:vertAlign w:val="baseline"/>
        </w:rPr>
        <w:t> </w:t>
      </w:r>
      <w:r>
        <w:rPr>
          <w:vertAlign w:val="baseline"/>
        </w:rPr>
        <w:t>children</w:t>
      </w:r>
      <w:r>
        <w:rPr>
          <w:spacing w:val="-4"/>
          <w:vertAlign w:val="baseline"/>
        </w:rPr>
        <w:t> </w:t>
      </w:r>
      <w:r>
        <w:rPr>
          <w:vertAlign w:val="baseline"/>
        </w:rPr>
        <w:t>who</w:t>
      </w:r>
      <w:r>
        <w:rPr>
          <w:spacing w:val="-3"/>
          <w:vertAlign w:val="baseline"/>
        </w:rPr>
        <w:t> </w:t>
      </w:r>
      <w:r>
        <w:rPr>
          <w:vertAlign w:val="baseline"/>
        </w:rPr>
        <w:t>enter</w:t>
      </w:r>
      <w:r>
        <w:rPr>
          <w:spacing w:val="-3"/>
          <w:vertAlign w:val="baseline"/>
        </w:rPr>
        <w:t> </w:t>
      </w:r>
      <w:r>
        <w:rPr>
          <w:vertAlign w:val="baseline"/>
        </w:rPr>
        <w:t>the</w:t>
      </w:r>
      <w:r>
        <w:rPr>
          <w:spacing w:val="-3"/>
          <w:vertAlign w:val="baseline"/>
        </w:rPr>
        <w:t> </w:t>
      </w:r>
      <w:r>
        <w:rPr>
          <w:vertAlign w:val="baseline"/>
        </w:rPr>
        <w:t>child</w:t>
      </w:r>
      <w:r>
        <w:rPr>
          <w:spacing w:val="-4"/>
          <w:vertAlign w:val="baseline"/>
        </w:rPr>
        <w:t> </w:t>
      </w:r>
      <w:r>
        <w:rPr>
          <w:vertAlign w:val="baseline"/>
        </w:rPr>
        <w:t>welfare system disproportionately enter the mental health system; and adolescents who enter the child welfare system often become enmeshed in the juvenile justice system as well as the mental health system. Research</w:t>
      </w:r>
      <w:r>
        <w:rPr>
          <w:spacing w:val="-9"/>
          <w:vertAlign w:val="baseline"/>
        </w:rPr>
        <w:t> </w:t>
      </w:r>
      <w:r>
        <w:rPr>
          <w:vertAlign w:val="baseline"/>
        </w:rPr>
        <w:t>underscores</w:t>
      </w:r>
      <w:r>
        <w:rPr>
          <w:spacing w:val="-9"/>
          <w:vertAlign w:val="baseline"/>
        </w:rPr>
        <w:t> </w:t>
      </w:r>
      <w:r>
        <w:rPr>
          <w:vertAlign w:val="baseline"/>
        </w:rPr>
        <w:t>that</w:t>
      </w:r>
      <w:r>
        <w:rPr>
          <w:spacing w:val="-8"/>
          <w:vertAlign w:val="baseline"/>
        </w:rPr>
        <w:t> </w:t>
      </w:r>
      <w:r>
        <w:rPr>
          <w:vertAlign w:val="baseline"/>
        </w:rPr>
        <w:t>multisystem-involvement</w:t>
      </w:r>
      <w:r>
        <w:rPr>
          <w:spacing w:val="-8"/>
          <w:vertAlign w:val="baseline"/>
        </w:rPr>
        <w:t> </w:t>
      </w:r>
      <w:r>
        <w:rPr>
          <w:vertAlign w:val="baseline"/>
        </w:rPr>
        <w:t>compounds</w:t>
      </w:r>
      <w:r>
        <w:rPr>
          <w:spacing w:val="-8"/>
          <w:vertAlign w:val="baseline"/>
        </w:rPr>
        <w:t> </w:t>
      </w:r>
      <w:r>
        <w:rPr>
          <w:vertAlign w:val="baseline"/>
        </w:rPr>
        <w:t>negative</w:t>
      </w:r>
      <w:r>
        <w:rPr>
          <w:spacing w:val="-10"/>
          <w:vertAlign w:val="baseline"/>
        </w:rPr>
        <w:t> </w:t>
      </w:r>
      <w:r>
        <w:rPr>
          <w:vertAlign w:val="baseline"/>
        </w:rPr>
        <w:t>outcomes</w:t>
      </w:r>
      <w:r>
        <w:rPr>
          <w:spacing w:val="-9"/>
          <w:vertAlign w:val="baseline"/>
        </w:rPr>
        <w:t> </w:t>
      </w:r>
      <w:r>
        <w:rPr>
          <w:vertAlign w:val="baseline"/>
        </w:rPr>
        <w:t>for</w:t>
      </w:r>
      <w:r>
        <w:rPr>
          <w:spacing w:val="-8"/>
          <w:vertAlign w:val="baseline"/>
        </w:rPr>
        <w:t> </w:t>
      </w:r>
      <w:r>
        <w:rPr>
          <w:vertAlign w:val="baseline"/>
        </w:rPr>
        <w:t>all</w:t>
      </w:r>
      <w:r>
        <w:rPr>
          <w:spacing w:val="-10"/>
          <w:vertAlign w:val="baseline"/>
        </w:rPr>
        <w:t> </w:t>
      </w:r>
      <w:r>
        <w:rPr>
          <w:vertAlign w:val="baseline"/>
        </w:rPr>
        <w:t>young</w:t>
      </w:r>
      <w:r>
        <w:rPr>
          <w:spacing w:val="-9"/>
          <w:vertAlign w:val="baseline"/>
        </w:rPr>
        <w:t> </w:t>
      </w:r>
      <w:r>
        <w:rPr>
          <w:vertAlign w:val="baseline"/>
        </w:rPr>
        <w:t>people perhaps in part because the goals of each of these systems can be at odds and because inadequate tracking and communication exists among the systems. The situations of multisystem-involved youth, especially and including LGBTQ youth, remain largely understudied. What is known is that the systems meant to help youth often harm already vulnerable LGBTQ youth, too often with negative and tragic outcomes. The subsequent sections of this report dedicated to juvenile justice and mental health delve further into approaches to support LGBTQ multisystem-involved youth.</w:t>
      </w:r>
    </w:p>
    <w:p>
      <w:pPr>
        <w:spacing w:before="240"/>
        <w:ind w:left="463" w:right="0" w:firstLine="0"/>
        <w:jc w:val="both"/>
        <w:rPr>
          <w:sz w:val="28"/>
        </w:rPr>
      </w:pPr>
      <w:bookmarkStart w:name="LGBTQ Youth Aging Out of Foster Care: An" w:id="101"/>
      <w:bookmarkEnd w:id="101"/>
      <w:r>
        <w:rPr/>
      </w:r>
      <w:r>
        <w:rPr>
          <w:color w:val="365F91"/>
          <w:sz w:val="28"/>
        </w:rPr>
        <w:t>LGBTQ</w:t>
      </w:r>
      <w:r>
        <w:rPr>
          <w:color w:val="365F91"/>
          <w:spacing w:val="-8"/>
          <w:sz w:val="28"/>
        </w:rPr>
        <w:t> </w:t>
      </w:r>
      <w:r>
        <w:rPr>
          <w:color w:val="365F91"/>
          <w:sz w:val="28"/>
        </w:rPr>
        <w:t>Youth</w:t>
      </w:r>
      <w:r>
        <w:rPr>
          <w:color w:val="365F91"/>
          <w:spacing w:val="-9"/>
          <w:sz w:val="28"/>
        </w:rPr>
        <w:t> </w:t>
      </w:r>
      <w:r>
        <w:rPr>
          <w:color w:val="365F91"/>
          <w:sz w:val="28"/>
        </w:rPr>
        <w:t>Aging</w:t>
      </w:r>
      <w:r>
        <w:rPr>
          <w:color w:val="365F91"/>
          <w:spacing w:val="-7"/>
          <w:sz w:val="28"/>
        </w:rPr>
        <w:t> </w:t>
      </w:r>
      <w:r>
        <w:rPr>
          <w:color w:val="365F91"/>
          <w:sz w:val="28"/>
        </w:rPr>
        <w:t>Out</w:t>
      </w:r>
      <w:r>
        <w:rPr>
          <w:color w:val="365F91"/>
          <w:spacing w:val="-8"/>
          <w:sz w:val="28"/>
        </w:rPr>
        <w:t> </w:t>
      </w:r>
      <w:r>
        <w:rPr>
          <w:color w:val="365F91"/>
          <w:sz w:val="28"/>
        </w:rPr>
        <w:t>of</w:t>
      </w:r>
      <w:r>
        <w:rPr>
          <w:color w:val="365F91"/>
          <w:spacing w:val="-8"/>
          <w:sz w:val="28"/>
        </w:rPr>
        <w:t> </w:t>
      </w:r>
      <w:r>
        <w:rPr>
          <w:color w:val="365F91"/>
          <w:sz w:val="28"/>
        </w:rPr>
        <w:t>Foster</w:t>
      </w:r>
      <w:r>
        <w:rPr>
          <w:color w:val="365F91"/>
          <w:spacing w:val="-9"/>
          <w:sz w:val="28"/>
        </w:rPr>
        <w:t> </w:t>
      </w:r>
      <w:r>
        <w:rPr>
          <w:color w:val="365F91"/>
          <w:sz w:val="28"/>
        </w:rPr>
        <w:t>Care:</w:t>
      </w:r>
      <w:r>
        <w:rPr>
          <w:color w:val="365F91"/>
          <w:spacing w:val="-9"/>
          <w:sz w:val="28"/>
        </w:rPr>
        <w:t> </w:t>
      </w:r>
      <w:r>
        <w:rPr>
          <w:color w:val="365F91"/>
          <w:sz w:val="28"/>
        </w:rPr>
        <w:t>An</w:t>
      </w:r>
      <w:r>
        <w:rPr>
          <w:color w:val="365F91"/>
          <w:spacing w:val="-9"/>
          <w:sz w:val="28"/>
        </w:rPr>
        <w:t> </w:t>
      </w:r>
      <w:r>
        <w:rPr>
          <w:color w:val="365F91"/>
          <w:sz w:val="28"/>
        </w:rPr>
        <w:t>Acutely</w:t>
      </w:r>
      <w:r>
        <w:rPr>
          <w:color w:val="365F91"/>
          <w:spacing w:val="-8"/>
          <w:sz w:val="28"/>
        </w:rPr>
        <w:t> </w:t>
      </w:r>
      <w:r>
        <w:rPr>
          <w:color w:val="365F91"/>
          <w:sz w:val="28"/>
        </w:rPr>
        <w:t>Vulnerable</w:t>
      </w:r>
      <w:r>
        <w:rPr>
          <w:color w:val="365F91"/>
          <w:spacing w:val="-8"/>
          <w:sz w:val="28"/>
        </w:rPr>
        <w:t> </w:t>
      </w:r>
      <w:r>
        <w:rPr>
          <w:color w:val="365F91"/>
          <w:spacing w:val="-2"/>
          <w:sz w:val="28"/>
        </w:rPr>
        <w:t>Population</w:t>
      </w:r>
    </w:p>
    <w:p>
      <w:pPr>
        <w:pStyle w:val="BodyText"/>
        <w:spacing w:line="276" w:lineRule="auto" w:before="291"/>
        <w:ind w:left="463" w:right="282"/>
        <w:jc w:val="both"/>
      </w:pPr>
      <w:r>
        <w:rPr/>
        <w:t>Of the many underserved LGBTQ youth in Massachusetts, LGBTQ youth aging out of foster care, often referenced as transition-aged foster youth, merit special focus. On their 18</w:t>
      </w:r>
      <w:r>
        <w:rPr>
          <w:vertAlign w:val="superscript"/>
        </w:rPr>
        <w:t>th</w:t>
      </w:r>
      <w:r>
        <w:rPr>
          <w:vertAlign w:val="baseline"/>
        </w:rPr>
        <w:t> birthdays, youth in foster care</w:t>
      </w:r>
      <w:r>
        <w:rPr>
          <w:spacing w:val="-9"/>
          <w:vertAlign w:val="baseline"/>
        </w:rPr>
        <w:t> </w:t>
      </w:r>
      <w:r>
        <w:rPr>
          <w:vertAlign w:val="baseline"/>
        </w:rPr>
        <w:t>exit</w:t>
      </w:r>
      <w:r>
        <w:rPr>
          <w:spacing w:val="-9"/>
          <w:vertAlign w:val="baseline"/>
        </w:rPr>
        <w:t> </w:t>
      </w:r>
      <w:r>
        <w:rPr>
          <w:vertAlign w:val="baseline"/>
        </w:rPr>
        <w:t>the</w:t>
      </w:r>
      <w:r>
        <w:rPr>
          <w:spacing w:val="-8"/>
          <w:vertAlign w:val="baseline"/>
        </w:rPr>
        <w:t> </w:t>
      </w:r>
      <w:r>
        <w:rPr>
          <w:vertAlign w:val="baseline"/>
        </w:rPr>
        <w:t>child-</w:t>
      </w:r>
      <w:r>
        <w:rPr>
          <w:spacing w:val="-8"/>
          <w:vertAlign w:val="baseline"/>
        </w:rPr>
        <w:t> </w:t>
      </w:r>
      <w:r>
        <w:rPr>
          <w:vertAlign w:val="baseline"/>
        </w:rPr>
        <w:t>welfare</w:t>
      </w:r>
      <w:r>
        <w:rPr>
          <w:spacing w:val="-8"/>
          <w:vertAlign w:val="baseline"/>
        </w:rPr>
        <w:t> </w:t>
      </w:r>
      <w:r>
        <w:rPr>
          <w:vertAlign w:val="baseline"/>
        </w:rPr>
        <w:t>system</w:t>
      </w:r>
      <w:r>
        <w:rPr>
          <w:spacing w:val="-9"/>
          <w:vertAlign w:val="baseline"/>
        </w:rPr>
        <w:t> </w:t>
      </w:r>
      <w:r>
        <w:rPr>
          <w:vertAlign w:val="baseline"/>
        </w:rPr>
        <w:t>unless</w:t>
      </w:r>
      <w:r>
        <w:rPr>
          <w:spacing w:val="-8"/>
          <w:vertAlign w:val="baseline"/>
        </w:rPr>
        <w:t> </w:t>
      </w:r>
      <w:r>
        <w:rPr>
          <w:vertAlign w:val="baseline"/>
        </w:rPr>
        <w:t>they</w:t>
      </w:r>
      <w:r>
        <w:rPr>
          <w:spacing w:val="-9"/>
          <w:vertAlign w:val="baseline"/>
        </w:rPr>
        <w:t> </w:t>
      </w:r>
      <w:r>
        <w:rPr>
          <w:vertAlign w:val="baseline"/>
        </w:rPr>
        <w:t>sign</w:t>
      </w:r>
      <w:r>
        <w:rPr>
          <w:spacing w:val="-9"/>
          <w:vertAlign w:val="baseline"/>
        </w:rPr>
        <w:t> </w:t>
      </w:r>
      <w:r>
        <w:rPr>
          <w:vertAlign w:val="baseline"/>
        </w:rPr>
        <w:t>a</w:t>
      </w:r>
      <w:r>
        <w:rPr>
          <w:spacing w:val="-8"/>
          <w:vertAlign w:val="baseline"/>
        </w:rPr>
        <w:t> </w:t>
      </w:r>
      <w:r>
        <w:rPr>
          <w:vertAlign w:val="baseline"/>
        </w:rPr>
        <w:t>voluntary</w:t>
      </w:r>
      <w:r>
        <w:rPr>
          <w:spacing w:val="-9"/>
          <w:vertAlign w:val="baseline"/>
        </w:rPr>
        <w:t> </w:t>
      </w:r>
      <w:r>
        <w:rPr>
          <w:vertAlign w:val="baseline"/>
        </w:rPr>
        <w:t>placement</w:t>
      </w:r>
      <w:r>
        <w:rPr>
          <w:spacing w:val="-9"/>
          <w:vertAlign w:val="baseline"/>
        </w:rPr>
        <w:t> </w:t>
      </w:r>
      <w:r>
        <w:rPr>
          <w:vertAlign w:val="baseline"/>
        </w:rPr>
        <w:t>agreement</w:t>
      </w:r>
      <w:r>
        <w:rPr>
          <w:spacing w:val="-8"/>
          <w:vertAlign w:val="baseline"/>
        </w:rPr>
        <w:t> </w:t>
      </w:r>
      <w:r>
        <w:rPr>
          <w:vertAlign w:val="baseline"/>
        </w:rPr>
        <w:t>to</w:t>
      </w:r>
      <w:r>
        <w:rPr>
          <w:spacing w:val="-8"/>
          <w:vertAlign w:val="baseline"/>
        </w:rPr>
        <w:t> </w:t>
      </w:r>
      <w:r>
        <w:rPr>
          <w:vertAlign w:val="baseline"/>
        </w:rPr>
        <w:t>remain</w:t>
      </w:r>
      <w:r>
        <w:rPr>
          <w:spacing w:val="-9"/>
          <w:vertAlign w:val="baseline"/>
        </w:rPr>
        <w:t> </w:t>
      </w:r>
      <w:r>
        <w:rPr>
          <w:vertAlign w:val="baseline"/>
        </w:rPr>
        <w:t>until</w:t>
      </w:r>
      <w:r>
        <w:rPr>
          <w:spacing w:val="-9"/>
          <w:vertAlign w:val="baseline"/>
        </w:rPr>
        <w:t> </w:t>
      </w:r>
      <w:r>
        <w:rPr>
          <w:vertAlign w:val="baseline"/>
        </w:rPr>
        <w:t>they are 23. In 2022, 2,761 of the young people aging out of foster care, or 73%, chose to remain in care – DCF’s annual report for FY 2023 has yet to be released as of May 2024. Many of these transition-aged young people have lingered in care for years without finding permanent homes, and as such, they are uniquely</w:t>
      </w:r>
      <w:r>
        <w:rPr>
          <w:spacing w:val="-5"/>
          <w:vertAlign w:val="baseline"/>
        </w:rPr>
        <w:t> </w:t>
      </w:r>
      <w:r>
        <w:rPr>
          <w:vertAlign w:val="baseline"/>
        </w:rPr>
        <w:t>vulnerable;</w:t>
      </w:r>
      <w:r>
        <w:rPr>
          <w:spacing w:val="-5"/>
          <w:vertAlign w:val="baseline"/>
        </w:rPr>
        <w:t> </w:t>
      </w:r>
      <w:r>
        <w:rPr>
          <w:vertAlign w:val="baseline"/>
        </w:rPr>
        <w:t>transition-aged</w:t>
      </w:r>
      <w:r>
        <w:rPr>
          <w:spacing w:val="-5"/>
          <w:vertAlign w:val="baseline"/>
        </w:rPr>
        <w:t> </w:t>
      </w:r>
      <w:r>
        <w:rPr>
          <w:vertAlign w:val="baseline"/>
        </w:rPr>
        <w:t>foster</w:t>
      </w:r>
      <w:r>
        <w:rPr>
          <w:spacing w:val="-5"/>
          <w:vertAlign w:val="baseline"/>
        </w:rPr>
        <w:t> </w:t>
      </w:r>
      <w:r>
        <w:rPr>
          <w:vertAlign w:val="baseline"/>
        </w:rPr>
        <w:t>youth</w:t>
      </w:r>
      <w:r>
        <w:rPr>
          <w:spacing w:val="-4"/>
          <w:vertAlign w:val="baseline"/>
        </w:rPr>
        <w:t> </w:t>
      </w:r>
      <w:r>
        <w:rPr>
          <w:vertAlign w:val="baseline"/>
        </w:rPr>
        <w:t>can</w:t>
      </w:r>
      <w:r>
        <w:rPr>
          <w:spacing w:val="-4"/>
          <w:vertAlign w:val="baseline"/>
        </w:rPr>
        <w:t> </w:t>
      </w:r>
      <w:r>
        <w:rPr>
          <w:vertAlign w:val="baseline"/>
        </w:rPr>
        <w:t>easily</w:t>
      </w:r>
      <w:r>
        <w:rPr>
          <w:spacing w:val="-5"/>
          <w:vertAlign w:val="baseline"/>
        </w:rPr>
        <w:t> </w:t>
      </w:r>
      <w:r>
        <w:rPr>
          <w:vertAlign w:val="baseline"/>
        </w:rPr>
        <w:t>fall</w:t>
      </w:r>
      <w:r>
        <w:rPr>
          <w:spacing w:val="-5"/>
          <w:vertAlign w:val="baseline"/>
        </w:rPr>
        <w:t> </w:t>
      </w:r>
      <w:r>
        <w:rPr>
          <w:vertAlign w:val="baseline"/>
        </w:rPr>
        <w:t>into</w:t>
      </w:r>
      <w:r>
        <w:rPr>
          <w:spacing w:val="-5"/>
          <w:vertAlign w:val="baseline"/>
        </w:rPr>
        <w:t> </w:t>
      </w:r>
      <w:r>
        <w:rPr>
          <w:vertAlign w:val="baseline"/>
        </w:rPr>
        <w:t>homelessness</w:t>
      </w:r>
      <w:r>
        <w:rPr>
          <w:spacing w:val="-5"/>
          <w:vertAlign w:val="baseline"/>
        </w:rPr>
        <w:t> </w:t>
      </w:r>
      <w:r>
        <w:rPr>
          <w:vertAlign w:val="baseline"/>
        </w:rPr>
        <w:t>and</w:t>
      </w:r>
      <w:r>
        <w:rPr>
          <w:spacing w:val="-5"/>
          <w:vertAlign w:val="baseline"/>
        </w:rPr>
        <w:t> </w:t>
      </w:r>
      <w:r>
        <w:rPr>
          <w:vertAlign w:val="baseline"/>
        </w:rPr>
        <w:t>too</w:t>
      </w:r>
      <w:r>
        <w:rPr>
          <w:spacing w:val="-5"/>
          <w:vertAlign w:val="baseline"/>
        </w:rPr>
        <w:t> </w:t>
      </w:r>
      <w:r>
        <w:rPr>
          <w:vertAlign w:val="baseline"/>
        </w:rPr>
        <w:t>often</w:t>
      </w:r>
      <w:r>
        <w:rPr>
          <w:spacing w:val="-5"/>
          <w:vertAlign w:val="baseline"/>
        </w:rPr>
        <w:t> </w:t>
      </w:r>
      <w:r>
        <w:rPr>
          <w:vertAlign w:val="baseline"/>
        </w:rPr>
        <w:t>become victims</w:t>
      </w:r>
      <w:r>
        <w:rPr>
          <w:spacing w:val="-13"/>
          <w:vertAlign w:val="baseline"/>
        </w:rPr>
        <w:t> </w:t>
      </w:r>
      <w:r>
        <w:rPr>
          <w:vertAlign w:val="baseline"/>
        </w:rPr>
        <w:t>of</w:t>
      </w:r>
      <w:r>
        <w:rPr>
          <w:spacing w:val="-11"/>
          <w:vertAlign w:val="baseline"/>
        </w:rPr>
        <w:t> </w:t>
      </w:r>
      <w:r>
        <w:rPr>
          <w:vertAlign w:val="baseline"/>
        </w:rPr>
        <w:t>trafficking</w:t>
      </w:r>
      <w:r>
        <w:rPr>
          <w:spacing w:val="-13"/>
          <w:vertAlign w:val="baseline"/>
        </w:rPr>
        <w:t> </w:t>
      </w:r>
      <w:r>
        <w:rPr>
          <w:vertAlign w:val="baseline"/>
        </w:rPr>
        <w:t>and</w:t>
      </w:r>
      <w:r>
        <w:rPr>
          <w:spacing w:val="-12"/>
          <w:vertAlign w:val="baseline"/>
        </w:rPr>
        <w:t> </w:t>
      </w:r>
      <w:r>
        <w:rPr>
          <w:vertAlign w:val="baseline"/>
        </w:rPr>
        <w:t>predation.</w:t>
      </w:r>
      <w:r>
        <w:rPr>
          <w:spacing w:val="-12"/>
          <w:vertAlign w:val="baseline"/>
        </w:rPr>
        <w:t> </w:t>
      </w:r>
      <w:r>
        <w:rPr>
          <w:vertAlign w:val="baseline"/>
        </w:rPr>
        <w:t>A</w:t>
      </w:r>
      <w:r>
        <w:rPr>
          <w:spacing w:val="-12"/>
          <w:vertAlign w:val="baseline"/>
        </w:rPr>
        <w:t> </w:t>
      </w:r>
      <w:r>
        <w:rPr>
          <w:vertAlign w:val="baseline"/>
        </w:rPr>
        <w:t>subsequent</w:t>
      </w:r>
      <w:r>
        <w:rPr>
          <w:spacing w:val="-12"/>
          <w:vertAlign w:val="baseline"/>
        </w:rPr>
        <w:t> </w:t>
      </w:r>
      <w:r>
        <w:rPr>
          <w:vertAlign w:val="baseline"/>
        </w:rPr>
        <w:t>section</w:t>
      </w:r>
      <w:r>
        <w:rPr>
          <w:spacing w:val="-13"/>
          <w:vertAlign w:val="baseline"/>
        </w:rPr>
        <w:t> </w:t>
      </w:r>
      <w:r>
        <w:rPr>
          <w:vertAlign w:val="baseline"/>
        </w:rPr>
        <w:t>of</w:t>
      </w:r>
      <w:r>
        <w:rPr>
          <w:spacing w:val="-11"/>
          <w:vertAlign w:val="baseline"/>
        </w:rPr>
        <w:t> </w:t>
      </w:r>
      <w:r>
        <w:rPr>
          <w:vertAlign w:val="baseline"/>
        </w:rPr>
        <w:t>this</w:t>
      </w:r>
      <w:r>
        <w:rPr>
          <w:spacing w:val="-13"/>
          <w:vertAlign w:val="baseline"/>
        </w:rPr>
        <w:t> </w:t>
      </w:r>
      <w:r>
        <w:rPr>
          <w:vertAlign w:val="baseline"/>
        </w:rPr>
        <w:t>report</w:t>
      </w:r>
      <w:r>
        <w:rPr>
          <w:spacing w:val="-12"/>
          <w:vertAlign w:val="baseline"/>
        </w:rPr>
        <w:t> </w:t>
      </w:r>
      <w:r>
        <w:rPr>
          <w:vertAlign w:val="baseline"/>
        </w:rPr>
        <w:t>addresses</w:t>
      </w:r>
      <w:r>
        <w:rPr>
          <w:spacing w:val="-12"/>
          <w:vertAlign w:val="baseline"/>
        </w:rPr>
        <w:t> </w:t>
      </w:r>
      <w:r>
        <w:rPr>
          <w:vertAlign w:val="baseline"/>
        </w:rPr>
        <w:t>agency-specific</w:t>
      </w:r>
      <w:r>
        <w:rPr>
          <w:spacing w:val="-13"/>
          <w:vertAlign w:val="baseline"/>
        </w:rPr>
        <w:t> </w:t>
      </w:r>
      <w:r>
        <w:rPr>
          <w:vertAlign w:val="baseline"/>
        </w:rPr>
        <w:t>internal policy recommendations for the Department of Children and Families.</w:t>
      </w:r>
    </w:p>
    <w:p>
      <w:pPr>
        <w:spacing w:before="240"/>
        <w:ind w:left="463" w:right="0" w:firstLine="0"/>
        <w:jc w:val="both"/>
        <w:rPr>
          <w:sz w:val="28"/>
        </w:rPr>
      </w:pPr>
      <w:bookmarkStart w:name="The Massachusetts Child Welfare System" w:id="102"/>
      <w:bookmarkEnd w:id="102"/>
      <w:r>
        <w:rPr/>
      </w:r>
      <w:r>
        <w:rPr>
          <w:color w:val="365F91"/>
          <w:sz w:val="28"/>
        </w:rPr>
        <w:t>The</w:t>
      </w:r>
      <w:r>
        <w:rPr>
          <w:color w:val="365F91"/>
          <w:spacing w:val="-12"/>
          <w:sz w:val="28"/>
        </w:rPr>
        <w:t> </w:t>
      </w:r>
      <w:r>
        <w:rPr>
          <w:color w:val="365F91"/>
          <w:sz w:val="28"/>
        </w:rPr>
        <w:t>Massachusetts</w:t>
      </w:r>
      <w:r>
        <w:rPr>
          <w:color w:val="365F91"/>
          <w:spacing w:val="-11"/>
          <w:sz w:val="28"/>
        </w:rPr>
        <w:t> </w:t>
      </w:r>
      <w:r>
        <w:rPr>
          <w:color w:val="365F91"/>
          <w:sz w:val="28"/>
        </w:rPr>
        <w:t>Child</w:t>
      </w:r>
      <w:r>
        <w:rPr>
          <w:color w:val="365F91"/>
          <w:spacing w:val="-11"/>
          <w:sz w:val="28"/>
        </w:rPr>
        <w:t> </w:t>
      </w:r>
      <w:r>
        <w:rPr>
          <w:color w:val="365F91"/>
          <w:sz w:val="28"/>
        </w:rPr>
        <w:t>Welfare</w:t>
      </w:r>
      <w:r>
        <w:rPr>
          <w:color w:val="365F91"/>
          <w:spacing w:val="-11"/>
          <w:sz w:val="28"/>
        </w:rPr>
        <w:t> </w:t>
      </w:r>
      <w:r>
        <w:rPr>
          <w:color w:val="365F91"/>
          <w:spacing w:val="-2"/>
          <w:sz w:val="28"/>
        </w:rPr>
        <w:t>System</w:t>
      </w:r>
    </w:p>
    <w:p>
      <w:pPr>
        <w:pStyle w:val="BodyText"/>
        <w:spacing w:line="276" w:lineRule="auto" w:before="291"/>
        <w:ind w:left="463" w:right="283"/>
        <w:jc w:val="both"/>
      </w:pPr>
      <w:r>
        <w:rPr/>
        <w:t>Recent</w:t>
      </w:r>
      <w:r>
        <w:rPr>
          <w:spacing w:val="-1"/>
        </w:rPr>
        <w:t> </w:t>
      </w:r>
      <w:r>
        <w:rPr/>
        <w:t>years have</w:t>
      </w:r>
      <w:r>
        <w:rPr>
          <w:spacing w:val="-2"/>
        </w:rPr>
        <w:t> </w:t>
      </w:r>
      <w:r>
        <w:rPr/>
        <w:t>seen</w:t>
      </w:r>
      <w:r>
        <w:rPr>
          <w:spacing w:val="-1"/>
        </w:rPr>
        <w:t> </w:t>
      </w:r>
      <w:r>
        <w:rPr/>
        <w:t>several</w:t>
      </w:r>
      <w:r>
        <w:rPr>
          <w:spacing w:val="-2"/>
        </w:rPr>
        <w:t> </w:t>
      </w:r>
      <w:r>
        <w:rPr/>
        <w:t>major</w:t>
      </w:r>
      <w:r>
        <w:rPr>
          <w:spacing w:val="-2"/>
        </w:rPr>
        <w:t> </w:t>
      </w:r>
      <w:r>
        <w:rPr/>
        <w:t>reports</w:t>
      </w:r>
      <w:r>
        <w:rPr>
          <w:spacing w:val="-2"/>
        </w:rPr>
        <w:t> </w:t>
      </w:r>
      <w:r>
        <w:rPr/>
        <w:t>declare</w:t>
      </w:r>
      <w:r>
        <w:rPr>
          <w:spacing w:val="-2"/>
        </w:rPr>
        <w:t> </w:t>
      </w:r>
      <w:r>
        <w:rPr/>
        <w:t>a</w:t>
      </w:r>
      <w:r>
        <w:rPr>
          <w:spacing w:val="-1"/>
        </w:rPr>
        <w:t> </w:t>
      </w:r>
      <w:r>
        <w:rPr/>
        <w:t>state</w:t>
      </w:r>
      <w:r>
        <w:rPr>
          <w:spacing w:val="-1"/>
        </w:rPr>
        <w:t> </w:t>
      </w:r>
      <w:r>
        <w:rPr/>
        <w:t>of</w:t>
      </w:r>
      <w:r>
        <w:rPr>
          <w:spacing w:val="-2"/>
        </w:rPr>
        <w:t> </w:t>
      </w:r>
      <w:r>
        <w:rPr/>
        <w:t>emergency</w:t>
      </w:r>
      <w:r>
        <w:rPr>
          <w:spacing w:val="-1"/>
        </w:rPr>
        <w:t> </w:t>
      </w:r>
      <w:r>
        <w:rPr/>
        <w:t>regarding</w:t>
      </w:r>
      <w:r>
        <w:rPr>
          <w:spacing w:val="-1"/>
        </w:rPr>
        <w:t> </w:t>
      </w:r>
      <w:r>
        <w:rPr/>
        <w:t>the</w:t>
      </w:r>
      <w:r>
        <w:rPr>
          <w:spacing w:val="-1"/>
        </w:rPr>
        <w:t> </w:t>
      </w:r>
      <w:r>
        <w:rPr/>
        <w:t>Massachusetts child welfare system, including this Commission’s own report, “LGBTQ Youth in the Massachusetts Child Welfare System: A Report on Pervasive Threats to Safety, Wellbeing, and Permanency,” released in July 2021. </w:t>
      </w:r>
      <w:hyperlink w:history="true" w:anchor="_bookmark34">
        <w:r>
          <w:rPr>
            <w:vertAlign w:val="superscript"/>
          </w:rPr>
          <w:t>26</w:t>
        </w:r>
      </w:hyperlink>
      <w:r>
        <w:rPr>
          <w:vertAlign w:val="baseline"/>
        </w:rPr>
        <w:t> Another report, “Failing Our Kids: Measures of the Broken Child Welfare System in Massachusetts,”</w:t>
      </w:r>
      <w:hyperlink w:history="true" w:anchor="_bookmark35">
        <w:r>
          <w:rPr>
            <w:vertAlign w:val="superscript"/>
          </w:rPr>
          <w:t>27</w:t>
        </w:r>
      </w:hyperlink>
      <w:r>
        <w:rPr>
          <w:vertAlign w:val="baseline"/>
        </w:rPr>
        <w:t> released by the advocacy group Friends of Children, asserts:</w:t>
      </w:r>
    </w:p>
    <w:p>
      <w:pPr>
        <w:spacing w:line="276" w:lineRule="auto" w:before="241"/>
        <w:ind w:left="463" w:right="280" w:firstLine="44"/>
        <w:jc w:val="both"/>
        <w:rPr>
          <w:i/>
          <w:sz w:val="22"/>
        </w:rPr>
      </w:pPr>
      <w:r>
        <w:rPr>
          <w:i/>
          <w:sz w:val="22"/>
        </w:rPr>
        <w:t>“Children</w:t>
      </w:r>
      <w:r>
        <w:rPr>
          <w:i/>
          <w:spacing w:val="-11"/>
          <w:sz w:val="22"/>
        </w:rPr>
        <w:t> </w:t>
      </w:r>
      <w:r>
        <w:rPr>
          <w:i/>
          <w:sz w:val="22"/>
        </w:rPr>
        <w:t>and</w:t>
      </w:r>
      <w:r>
        <w:rPr>
          <w:i/>
          <w:spacing w:val="-12"/>
          <w:sz w:val="22"/>
        </w:rPr>
        <w:t> </w:t>
      </w:r>
      <w:r>
        <w:rPr>
          <w:i/>
          <w:sz w:val="22"/>
        </w:rPr>
        <w:t>youth</w:t>
      </w:r>
      <w:r>
        <w:rPr>
          <w:i/>
          <w:spacing w:val="-13"/>
          <w:sz w:val="22"/>
        </w:rPr>
        <w:t> </w:t>
      </w:r>
      <w:r>
        <w:rPr>
          <w:i/>
          <w:sz w:val="22"/>
        </w:rPr>
        <w:t>involved</w:t>
      </w:r>
      <w:r>
        <w:rPr>
          <w:i/>
          <w:spacing w:val="-12"/>
          <w:sz w:val="22"/>
        </w:rPr>
        <w:t> </w:t>
      </w:r>
      <w:r>
        <w:rPr>
          <w:i/>
          <w:sz w:val="22"/>
        </w:rPr>
        <w:t>with</w:t>
      </w:r>
      <w:r>
        <w:rPr>
          <w:i/>
          <w:spacing w:val="-13"/>
          <w:sz w:val="22"/>
        </w:rPr>
        <w:t> </w:t>
      </w:r>
      <w:r>
        <w:rPr>
          <w:i/>
          <w:sz w:val="22"/>
        </w:rPr>
        <w:t>DCF,</w:t>
      </w:r>
      <w:r>
        <w:rPr>
          <w:i/>
          <w:spacing w:val="-11"/>
          <w:sz w:val="22"/>
        </w:rPr>
        <w:t> </w:t>
      </w:r>
      <w:r>
        <w:rPr>
          <w:i/>
          <w:sz w:val="22"/>
        </w:rPr>
        <w:t>among</w:t>
      </w:r>
      <w:r>
        <w:rPr>
          <w:i/>
          <w:spacing w:val="-11"/>
          <w:sz w:val="22"/>
        </w:rPr>
        <w:t> </w:t>
      </w:r>
      <w:r>
        <w:rPr>
          <w:i/>
          <w:sz w:val="22"/>
        </w:rPr>
        <w:t>the</w:t>
      </w:r>
      <w:r>
        <w:rPr>
          <w:i/>
          <w:spacing w:val="-12"/>
          <w:sz w:val="22"/>
        </w:rPr>
        <w:t> </w:t>
      </w:r>
      <w:r>
        <w:rPr>
          <w:i/>
          <w:sz w:val="22"/>
        </w:rPr>
        <w:t>most</w:t>
      </w:r>
      <w:r>
        <w:rPr>
          <w:i/>
          <w:spacing w:val="-13"/>
          <w:sz w:val="22"/>
        </w:rPr>
        <w:t> </w:t>
      </w:r>
      <w:r>
        <w:rPr>
          <w:i/>
          <w:sz w:val="22"/>
        </w:rPr>
        <w:t>vulnerable</w:t>
      </w:r>
      <w:r>
        <w:rPr>
          <w:i/>
          <w:spacing w:val="-11"/>
          <w:sz w:val="22"/>
        </w:rPr>
        <w:t> </w:t>
      </w:r>
      <w:r>
        <w:rPr>
          <w:i/>
          <w:sz w:val="22"/>
        </w:rPr>
        <w:t>in</w:t>
      </w:r>
      <w:r>
        <w:rPr>
          <w:i/>
          <w:spacing w:val="-13"/>
          <w:sz w:val="22"/>
        </w:rPr>
        <w:t> </w:t>
      </w:r>
      <w:r>
        <w:rPr>
          <w:i/>
          <w:sz w:val="22"/>
        </w:rPr>
        <w:t>our</w:t>
      </w:r>
      <w:r>
        <w:rPr>
          <w:i/>
          <w:spacing w:val="-10"/>
          <w:sz w:val="22"/>
        </w:rPr>
        <w:t> </w:t>
      </w:r>
      <w:r>
        <w:rPr>
          <w:i/>
          <w:sz w:val="22"/>
        </w:rPr>
        <w:t>society,</w:t>
      </w:r>
      <w:r>
        <w:rPr>
          <w:i/>
          <w:spacing w:val="-11"/>
          <w:sz w:val="22"/>
        </w:rPr>
        <w:t> </w:t>
      </w:r>
      <w:r>
        <w:rPr>
          <w:i/>
          <w:sz w:val="22"/>
        </w:rPr>
        <w:t>have</w:t>
      </w:r>
      <w:r>
        <w:rPr>
          <w:i/>
          <w:spacing w:val="-13"/>
          <w:sz w:val="22"/>
        </w:rPr>
        <w:t> </w:t>
      </w:r>
      <w:r>
        <w:rPr>
          <w:i/>
          <w:sz w:val="22"/>
        </w:rPr>
        <w:t>very</w:t>
      </w:r>
      <w:r>
        <w:rPr>
          <w:i/>
          <w:spacing w:val="-12"/>
          <w:sz w:val="22"/>
        </w:rPr>
        <w:t> </w:t>
      </w:r>
      <w:r>
        <w:rPr>
          <w:i/>
          <w:sz w:val="22"/>
        </w:rPr>
        <w:t>little</w:t>
      </w:r>
      <w:r>
        <w:rPr>
          <w:i/>
          <w:spacing w:val="-13"/>
          <w:sz w:val="22"/>
        </w:rPr>
        <w:t> </w:t>
      </w:r>
      <w:r>
        <w:rPr>
          <w:i/>
          <w:sz w:val="22"/>
        </w:rPr>
        <w:t>presence</w:t>
      </w:r>
      <w:r>
        <w:rPr>
          <w:i/>
          <w:sz w:val="22"/>
        </w:rPr>
        <w:t> in</w:t>
      </w:r>
      <w:r>
        <w:rPr>
          <w:i/>
          <w:spacing w:val="-10"/>
          <w:sz w:val="22"/>
        </w:rPr>
        <w:t> </w:t>
      </w:r>
      <w:r>
        <w:rPr>
          <w:i/>
          <w:sz w:val="22"/>
        </w:rPr>
        <w:t>our</w:t>
      </w:r>
      <w:r>
        <w:rPr>
          <w:i/>
          <w:spacing w:val="-8"/>
          <w:sz w:val="22"/>
        </w:rPr>
        <w:t> </w:t>
      </w:r>
      <w:r>
        <w:rPr>
          <w:i/>
          <w:sz w:val="22"/>
        </w:rPr>
        <w:t>legislative</w:t>
      </w:r>
      <w:r>
        <w:rPr>
          <w:i/>
          <w:spacing w:val="-10"/>
          <w:sz w:val="22"/>
        </w:rPr>
        <w:t> </w:t>
      </w:r>
      <w:r>
        <w:rPr>
          <w:i/>
          <w:sz w:val="22"/>
        </w:rPr>
        <w:t>chambers,</w:t>
      </w:r>
      <w:r>
        <w:rPr>
          <w:i/>
          <w:spacing w:val="-10"/>
          <w:sz w:val="22"/>
        </w:rPr>
        <w:t> </w:t>
      </w:r>
      <w:r>
        <w:rPr>
          <w:i/>
          <w:sz w:val="22"/>
        </w:rPr>
        <w:t>our</w:t>
      </w:r>
      <w:r>
        <w:rPr>
          <w:i/>
          <w:spacing w:val="-10"/>
          <w:sz w:val="22"/>
        </w:rPr>
        <w:t> </w:t>
      </w:r>
      <w:r>
        <w:rPr>
          <w:i/>
          <w:sz w:val="22"/>
        </w:rPr>
        <w:t>newsrooms,</w:t>
      </w:r>
      <w:r>
        <w:rPr>
          <w:i/>
          <w:spacing w:val="-10"/>
          <w:sz w:val="22"/>
        </w:rPr>
        <w:t> </w:t>
      </w:r>
      <w:r>
        <w:rPr>
          <w:i/>
          <w:sz w:val="22"/>
        </w:rPr>
        <w:t>and</w:t>
      </w:r>
      <w:r>
        <w:rPr>
          <w:i/>
          <w:spacing w:val="-9"/>
          <w:sz w:val="22"/>
        </w:rPr>
        <w:t> </w:t>
      </w:r>
      <w:r>
        <w:rPr>
          <w:i/>
          <w:sz w:val="22"/>
        </w:rPr>
        <w:t>our</w:t>
      </w:r>
      <w:r>
        <w:rPr>
          <w:i/>
          <w:spacing w:val="-8"/>
          <w:sz w:val="22"/>
        </w:rPr>
        <w:t> </w:t>
      </w:r>
      <w:r>
        <w:rPr>
          <w:i/>
          <w:sz w:val="22"/>
        </w:rPr>
        <w:t>boardrooms.</w:t>
      </w:r>
      <w:r>
        <w:rPr>
          <w:i/>
          <w:spacing w:val="-9"/>
          <w:sz w:val="22"/>
        </w:rPr>
        <w:t> </w:t>
      </w:r>
      <w:r>
        <w:rPr>
          <w:i/>
          <w:sz w:val="22"/>
        </w:rPr>
        <w:t>And</w:t>
      </w:r>
      <w:r>
        <w:rPr>
          <w:i/>
          <w:spacing w:val="-10"/>
          <w:sz w:val="22"/>
        </w:rPr>
        <w:t> </w:t>
      </w:r>
      <w:r>
        <w:rPr>
          <w:i/>
          <w:sz w:val="22"/>
        </w:rPr>
        <w:t>they</w:t>
      </w:r>
      <w:r>
        <w:rPr>
          <w:i/>
          <w:spacing w:val="-9"/>
          <w:sz w:val="22"/>
        </w:rPr>
        <w:t> </w:t>
      </w:r>
      <w:r>
        <w:rPr>
          <w:i/>
          <w:sz w:val="22"/>
        </w:rPr>
        <w:t>have</w:t>
      </w:r>
      <w:r>
        <w:rPr>
          <w:i/>
          <w:spacing w:val="-9"/>
          <w:sz w:val="22"/>
        </w:rPr>
        <w:t> </w:t>
      </w:r>
      <w:r>
        <w:rPr>
          <w:i/>
          <w:sz w:val="22"/>
        </w:rPr>
        <w:t>no</w:t>
      </w:r>
      <w:r>
        <w:rPr>
          <w:i/>
          <w:spacing w:val="-10"/>
          <w:sz w:val="22"/>
        </w:rPr>
        <w:t> </w:t>
      </w:r>
      <w:r>
        <w:rPr>
          <w:i/>
          <w:sz w:val="22"/>
        </w:rPr>
        <w:t>direct</w:t>
      </w:r>
      <w:r>
        <w:rPr>
          <w:i/>
          <w:spacing w:val="-9"/>
          <w:sz w:val="22"/>
        </w:rPr>
        <w:t> </w:t>
      </w:r>
      <w:r>
        <w:rPr>
          <w:i/>
          <w:sz w:val="22"/>
        </w:rPr>
        <w:t>say</w:t>
      </w:r>
      <w:r>
        <w:rPr>
          <w:i/>
          <w:spacing w:val="-7"/>
          <w:sz w:val="22"/>
        </w:rPr>
        <w:t> </w:t>
      </w:r>
      <w:r>
        <w:rPr>
          <w:i/>
          <w:sz w:val="22"/>
        </w:rPr>
        <w:t>whatsoever in our voting booths. A total of 13,045 unique children were in foster care during FY2022, a staggering number of young lives … Children have no money and no power. They are functionally voiceless in the policy</w:t>
      </w:r>
      <w:r>
        <w:rPr>
          <w:i/>
          <w:spacing w:val="-4"/>
          <w:sz w:val="22"/>
        </w:rPr>
        <w:t> </w:t>
      </w:r>
      <w:r>
        <w:rPr>
          <w:i/>
          <w:sz w:val="22"/>
        </w:rPr>
        <w:t>decisions</w:t>
      </w:r>
      <w:r>
        <w:rPr>
          <w:i/>
          <w:spacing w:val="-4"/>
          <w:sz w:val="22"/>
        </w:rPr>
        <w:t> </w:t>
      </w:r>
      <w:r>
        <w:rPr>
          <w:i/>
          <w:sz w:val="22"/>
        </w:rPr>
        <w:t>that</w:t>
      </w:r>
      <w:r>
        <w:rPr>
          <w:i/>
          <w:spacing w:val="-4"/>
          <w:sz w:val="22"/>
        </w:rPr>
        <w:t> </w:t>
      </w:r>
      <w:r>
        <w:rPr>
          <w:i/>
          <w:sz w:val="22"/>
        </w:rPr>
        <w:t>most</w:t>
      </w:r>
      <w:r>
        <w:rPr>
          <w:i/>
          <w:spacing w:val="-3"/>
          <w:sz w:val="22"/>
        </w:rPr>
        <w:t> </w:t>
      </w:r>
      <w:r>
        <w:rPr>
          <w:i/>
          <w:sz w:val="22"/>
        </w:rPr>
        <w:t>affect</w:t>
      </w:r>
      <w:r>
        <w:rPr>
          <w:i/>
          <w:spacing w:val="-3"/>
          <w:sz w:val="22"/>
        </w:rPr>
        <w:t> </w:t>
      </w:r>
      <w:r>
        <w:rPr>
          <w:i/>
          <w:sz w:val="22"/>
        </w:rPr>
        <w:t>their</w:t>
      </w:r>
      <w:r>
        <w:rPr>
          <w:i/>
          <w:spacing w:val="-4"/>
          <w:sz w:val="22"/>
        </w:rPr>
        <w:t> </w:t>
      </w:r>
      <w:r>
        <w:rPr>
          <w:i/>
          <w:sz w:val="22"/>
        </w:rPr>
        <w:t>lives</w:t>
      </w:r>
      <w:r>
        <w:rPr>
          <w:i/>
          <w:spacing w:val="-4"/>
          <w:sz w:val="22"/>
        </w:rPr>
        <w:t> </w:t>
      </w:r>
      <w:r>
        <w:rPr>
          <w:i/>
          <w:sz w:val="22"/>
        </w:rPr>
        <w:t>…</w:t>
      </w:r>
      <w:r>
        <w:rPr>
          <w:i/>
          <w:spacing w:val="-3"/>
          <w:sz w:val="22"/>
        </w:rPr>
        <w:t> </w:t>
      </w:r>
      <w:r>
        <w:rPr>
          <w:i/>
          <w:sz w:val="22"/>
        </w:rPr>
        <w:t>children</w:t>
      </w:r>
      <w:r>
        <w:rPr>
          <w:i/>
          <w:spacing w:val="-4"/>
          <w:sz w:val="22"/>
        </w:rPr>
        <w:t> </w:t>
      </w:r>
      <w:r>
        <w:rPr>
          <w:i/>
          <w:sz w:val="22"/>
        </w:rPr>
        <w:t>in</w:t>
      </w:r>
      <w:r>
        <w:rPr>
          <w:i/>
          <w:spacing w:val="-4"/>
          <w:sz w:val="22"/>
        </w:rPr>
        <w:t> </w:t>
      </w:r>
      <w:r>
        <w:rPr>
          <w:i/>
          <w:sz w:val="22"/>
        </w:rPr>
        <w:t>DCF</w:t>
      </w:r>
      <w:r>
        <w:rPr>
          <w:i/>
          <w:spacing w:val="-4"/>
          <w:sz w:val="22"/>
        </w:rPr>
        <w:t> </w:t>
      </w:r>
      <w:r>
        <w:rPr>
          <w:i/>
          <w:sz w:val="22"/>
        </w:rPr>
        <w:t>custody</w:t>
      </w:r>
      <w:r>
        <w:rPr>
          <w:i/>
          <w:spacing w:val="-4"/>
          <w:sz w:val="22"/>
        </w:rPr>
        <w:t> </w:t>
      </w:r>
      <w:r>
        <w:rPr>
          <w:i/>
          <w:sz w:val="22"/>
        </w:rPr>
        <w:t>in</w:t>
      </w:r>
      <w:r>
        <w:rPr>
          <w:i/>
          <w:spacing w:val="-4"/>
          <w:sz w:val="22"/>
        </w:rPr>
        <w:t> </w:t>
      </w:r>
      <w:r>
        <w:rPr>
          <w:i/>
          <w:sz w:val="22"/>
        </w:rPr>
        <w:t>Massachusetts</w:t>
      </w:r>
      <w:r>
        <w:rPr>
          <w:i/>
          <w:spacing w:val="-4"/>
          <w:sz w:val="22"/>
        </w:rPr>
        <w:t> </w:t>
      </w:r>
      <w:r>
        <w:rPr>
          <w:i/>
          <w:sz w:val="22"/>
        </w:rPr>
        <w:t>would</w:t>
      </w:r>
      <w:r>
        <w:rPr>
          <w:i/>
          <w:spacing w:val="-4"/>
          <w:sz w:val="22"/>
        </w:rPr>
        <w:t> </w:t>
      </w:r>
      <w:r>
        <w:rPr>
          <w:i/>
          <w:sz w:val="22"/>
        </w:rPr>
        <w:t>do</w:t>
      </w:r>
      <w:r>
        <w:rPr>
          <w:i/>
          <w:spacing w:val="-4"/>
          <w:sz w:val="22"/>
        </w:rPr>
        <w:t> </w:t>
      </w:r>
      <w:r>
        <w:rPr>
          <w:i/>
          <w:sz w:val="22"/>
        </w:rPr>
        <w:t>better</w:t>
      </w:r>
      <w:r>
        <w:rPr>
          <w:i/>
          <w:spacing w:val="-4"/>
          <w:sz w:val="22"/>
        </w:rPr>
        <w:t> </w:t>
      </w:r>
      <w:r>
        <w:rPr>
          <w:i/>
          <w:sz w:val="22"/>
        </w:rPr>
        <w:t>to live in almost any other state.”</w:t>
      </w:r>
    </w:p>
    <w:p>
      <w:pPr>
        <w:spacing w:after="0" w:line="276" w:lineRule="auto"/>
        <w:jc w:val="both"/>
        <w:rPr>
          <w:sz w:val="22"/>
        </w:rPr>
        <w:sectPr>
          <w:pgSz w:w="12240" w:h="15840"/>
          <w:pgMar w:header="804" w:footer="1263" w:top="1000" w:bottom="1460" w:left="980" w:right="1160"/>
        </w:sectPr>
      </w:pPr>
    </w:p>
    <w:p>
      <w:pPr>
        <w:pStyle w:val="BodyText"/>
        <w:spacing w:line="276" w:lineRule="auto" w:before="139"/>
        <w:ind w:left="463" w:right="281"/>
        <w:jc w:val="both"/>
      </w:pPr>
      <w:r>
        <w:rPr/>
        <w:t>With</w:t>
      </w:r>
      <w:r>
        <w:rPr>
          <w:spacing w:val="-7"/>
        </w:rPr>
        <w:t> </w:t>
      </w:r>
      <w:r>
        <w:rPr/>
        <w:t>a</w:t>
      </w:r>
      <w:r>
        <w:rPr>
          <w:spacing w:val="-6"/>
        </w:rPr>
        <w:t> </w:t>
      </w:r>
      <w:r>
        <w:rPr/>
        <w:t>$1.2</w:t>
      </w:r>
      <w:r>
        <w:rPr>
          <w:spacing w:val="-6"/>
        </w:rPr>
        <w:t> </w:t>
      </w:r>
      <w:r>
        <w:rPr/>
        <w:t>billion</w:t>
      </w:r>
      <w:r>
        <w:rPr>
          <w:spacing w:val="-7"/>
        </w:rPr>
        <w:t> </w:t>
      </w:r>
      <w:r>
        <w:rPr/>
        <w:t>annual</w:t>
      </w:r>
      <w:r>
        <w:rPr>
          <w:spacing w:val="-5"/>
        </w:rPr>
        <w:t> </w:t>
      </w:r>
      <w:r>
        <w:rPr/>
        <w:t>budget,</w:t>
      </w:r>
      <w:r>
        <w:rPr>
          <w:spacing w:val="-6"/>
        </w:rPr>
        <w:t> </w:t>
      </w:r>
      <w:r>
        <w:rPr/>
        <w:t>the</w:t>
      </w:r>
      <w:r>
        <w:rPr>
          <w:spacing w:val="-5"/>
        </w:rPr>
        <w:t> </w:t>
      </w:r>
      <w:r>
        <w:rPr/>
        <w:t>Massachusetts</w:t>
      </w:r>
      <w:r>
        <w:rPr>
          <w:spacing w:val="-6"/>
        </w:rPr>
        <w:t> </w:t>
      </w:r>
      <w:r>
        <w:rPr/>
        <w:t>Department</w:t>
      </w:r>
      <w:r>
        <w:rPr>
          <w:spacing w:val="-7"/>
        </w:rPr>
        <w:t> </w:t>
      </w:r>
      <w:r>
        <w:rPr/>
        <w:t>of</w:t>
      </w:r>
      <w:r>
        <w:rPr>
          <w:spacing w:val="-6"/>
        </w:rPr>
        <w:t> </w:t>
      </w:r>
      <w:r>
        <w:rPr/>
        <w:t>Children</w:t>
      </w:r>
      <w:r>
        <w:rPr>
          <w:spacing w:val="-5"/>
        </w:rPr>
        <w:t> </w:t>
      </w:r>
      <w:r>
        <w:rPr/>
        <w:t>and</w:t>
      </w:r>
      <w:r>
        <w:rPr>
          <w:spacing w:val="-7"/>
        </w:rPr>
        <w:t> </w:t>
      </w:r>
      <w:r>
        <w:rPr/>
        <w:t>Families</w:t>
      </w:r>
      <w:r>
        <w:rPr>
          <w:spacing w:val="-6"/>
        </w:rPr>
        <w:t> </w:t>
      </w:r>
      <w:r>
        <w:rPr/>
        <w:t>(DCF)</w:t>
      </w:r>
      <w:r>
        <w:rPr>
          <w:spacing w:val="-6"/>
        </w:rPr>
        <w:t> </w:t>
      </w:r>
      <w:r>
        <w:rPr/>
        <w:t>remains one</w:t>
      </w:r>
      <w:r>
        <w:rPr>
          <w:spacing w:val="-6"/>
        </w:rPr>
        <w:t> </w:t>
      </w:r>
      <w:r>
        <w:rPr/>
        <w:t>of</w:t>
      </w:r>
      <w:r>
        <w:rPr>
          <w:spacing w:val="-4"/>
        </w:rPr>
        <w:t> </w:t>
      </w:r>
      <w:r>
        <w:rPr/>
        <w:t>the</w:t>
      </w:r>
      <w:r>
        <w:rPr>
          <w:spacing w:val="-4"/>
        </w:rPr>
        <w:t> </w:t>
      </w:r>
      <w:r>
        <w:rPr/>
        <w:t>worst-performing</w:t>
      </w:r>
      <w:r>
        <w:rPr>
          <w:spacing w:val="-6"/>
        </w:rPr>
        <w:t> </w:t>
      </w:r>
      <w:r>
        <w:rPr/>
        <w:t>state</w:t>
      </w:r>
      <w:r>
        <w:rPr>
          <w:spacing w:val="-4"/>
        </w:rPr>
        <w:t> </w:t>
      </w:r>
      <w:r>
        <w:rPr/>
        <w:t>child</w:t>
      </w:r>
      <w:r>
        <w:rPr>
          <w:spacing w:val="-4"/>
        </w:rPr>
        <w:t> </w:t>
      </w:r>
      <w:r>
        <w:rPr/>
        <w:t>welfare</w:t>
      </w:r>
      <w:r>
        <w:rPr>
          <w:spacing w:val="-6"/>
        </w:rPr>
        <w:t> </w:t>
      </w:r>
      <w:r>
        <w:rPr/>
        <w:t>agencies</w:t>
      </w:r>
      <w:r>
        <w:rPr>
          <w:spacing w:val="-5"/>
        </w:rPr>
        <w:t> </w:t>
      </w:r>
      <w:r>
        <w:rPr/>
        <w:t>in</w:t>
      </w:r>
      <w:r>
        <w:rPr>
          <w:spacing w:val="-4"/>
        </w:rPr>
        <w:t> </w:t>
      </w:r>
      <w:r>
        <w:rPr/>
        <w:t>the</w:t>
      </w:r>
      <w:r>
        <w:rPr>
          <w:spacing w:val="-4"/>
        </w:rPr>
        <w:t> </w:t>
      </w:r>
      <w:r>
        <w:rPr/>
        <w:t>nation</w:t>
      </w:r>
      <w:r>
        <w:rPr>
          <w:spacing w:val="-6"/>
        </w:rPr>
        <w:t> </w:t>
      </w:r>
      <w:r>
        <w:rPr/>
        <w:t>based</w:t>
      </w:r>
      <w:r>
        <w:rPr>
          <w:spacing w:val="-4"/>
        </w:rPr>
        <w:t> </w:t>
      </w:r>
      <w:r>
        <w:rPr/>
        <w:t>on</w:t>
      </w:r>
      <w:r>
        <w:rPr>
          <w:spacing w:val="-4"/>
        </w:rPr>
        <w:t> </w:t>
      </w:r>
      <w:r>
        <w:rPr/>
        <w:t>comparisons</w:t>
      </w:r>
      <w:r>
        <w:rPr>
          <w:spacing w:val="-5"/>
        </w:rPr>
        <w:t> </w:t>
      </w:r>
      <w:r>
        <w:rPr/>
        <w:t>of</w:t>
      </w:r>
      <w:r>
        <w:rPr>
          <w:spacing w:val="-5"/>
        </w:rPr>
        <w:t> </w:t>
      </w:r>
      <w:r>
        <w:rPr/>
        <w:t>federally mandated data on several critical measures: the average length of time in foster care; the percentage of children</w:t>
      </w:r>
      <w:r>
        <w:rPr>
          <w:spacing w:val="-10"/>
        </w:rPr>
        <w:t> </w:t>
      </w:r>
      <w:r>
        <w:rPr/>
        <w:t>in</w:t>
      </w:r>
      <w:r>
        <w:rPr>
          <w:spacing w:val="-10"/>
        </w:rPr>
        <w:t> </w:t>
      </w:r>
      <w:r>
        <w:rPr/>
        <w:t>foster</w:t>
      </w:r>
      <w:r>
        <w:rPr>
          <w:spacing w:val="-10"/>
        </w:rPr>
        <w:t> </w:t>
      </w:r>
      <w:r>
        <w:rPr/>
        <w:t>care</w:t>
      </w:r>
      <w:r>
        <w:rPr>
          <w:spacing w:val="-11"/>
        </w:rPr>
        <w:t> </w:t>
      </w:r>
      <w:r>
        <w:rPr/>
        <w:t>for</w:t>
      </w:r>
      <w:r>
        <w:rPr>
          <w:spacing w:val="-9"/>
        </w:rPr>
        <w:t> </w:t>
      </w:r>
      <w:r>
        <w:rPr/>
        <w:t>more</w:t>
      </w:r>
      <w:r>
        <w:rPr>
          <w:spacing w:val="-10"/>
        </w:rPr>
        <w:t> </w:t>
      </w:r>
      <w:r>
        <w:rPr/>
        <w:t>than</w:t>
      </w:r>
      <w:r>
        <w:rPr>
          <w:spacing w:val="-10"/>
        </w:rPr>
        <w:t> </w:t>
      </w:r>
      <w:r>
        <w:rPr/>
        <w:t>five</w:t>
      </w:r>
      <w:r>
        <w:rPr>
          <w:spacing w:val="-11"/>
        </w:rPr>
        <w:t> </w:t>
      </w:r>
      <w:r>
        <w:rPr/>
        <w:t>years;</w:t>
      </w:r>
      <w:r>
        <w:rPr>
          <w:spacing w:val="-10"/>
        </w:rPr>
        <w:t> </w:t>
      </w:r>
      <w:r>
        <w:rPr/>
        <w:t>children</w:t>
      </w:r>
      <w:r>
        <w:rPr>
          <w:spacing w:val="-10"/>
        </w:rPr>
        <w:t> </w:t>
      </w:r>
      <w:r>
        <w:rPr/>
        <w:t>experiencing</w:t>
      </w:r>
      <w:r>
        <w:rPr>
          <w:spacing w:val="-10"/>
        </w:rPr>
        <w:t> </w:t>
      </w:r>
      <w:r>
        <w:rPr/>
        <w:t>four</w:t>
      </w:r>
      <w:r>
        <w:rPr>
          <w:spacing w:val="-11"/>
        </w:rPr>
        <w:t> </w:t>
      </w:r>
      <w:r>
        <w:rPr/>
        <w:t>or</w:t>
      </w:r>
      <w:r>
        <w:rPr>
          <w:spacing w:val="-10"/>
        </w:rPr>
        <w:t> </w:t>
      </w:r>
      <w:r>
        <w:rPr/>
        <w:t>more</w:t>
      </w:r>
      <w:r>
        <w:rPr>
          <w:spacing w:val="-11"/>
        </w:rPr>
        <w:t> </w:t>
      </w:r>
      <w:r>
        <w:rPr/>
        <w:t>foster</w:t>
      </w:r>
      <w:r>
        <w:rPr>
          <w:spacing w:val="-10"/>
        </w:rPr>
        <w:t> </w:t>
      </w:r>
      <w:r>
        <w:rPr/>
        <w:t>care</w:t>
      </w:r>
      <w:r>
        <w:rPr>
          <w:spacing w:val="-11"/>
        </w:rPr>
        <w:t> </w:t>
      </w:r>
      <w:r>
        <w:rPr/>
        <w:t>placements while in DCF custody; and the percentage of children adopted by relatives</w:t>
      </w:r>
      <w:hyperlink w:history="true" w:anchor="_bookmark36">
        <w:r>
          <w:rPr/>
          <w:t>.</w:t>
        </w:r>
        <w:r>
          <w:rPr>
            <w:vertAlign w:val="superscript"/>
          </w:rPr>
          <w:t>28</w:t>
        </w:r>
      </w:hyperlink>
    </w:p>
    <w:p>
      <w:pPr>
        <w:pStyle w:val="BodyText"/>
        <w:spacing w:line="276" w:lineRule="auto" w:before="238"/>
        <w:ind w:left="463" w:right="280"/>
        <w:jc w:val="both"/>
      </w:pPr>
      <w:r>
        <w:rPr/>
        <w:t>Across the</w:t>
      </w:r>
      <w:r>
        <w:rPr>
          <w:spacing w:val="-1"/>
        </w:rPr>
        <w:t> </w:t>
      </w:r>
      <w:r>
        <w:rPr/>
        <w:t>nation, LGBTQ youth, and QTBIPOC youth in</w:t>
      </w:r>
      <w:r>
        <w:rPr>
          <w:spacing w:val="-1"/>
        </w:rPr>
        <w:t> </w:t>
      </w:r>
      <w:r>
        <w:rPr/>
        <w:t>particular, are</w:t>
      </w:r>
      <w:r>
        <w:rPr>
          <w:spacing w:val="-1"/>
        </w:rPr>
        <w:t> </w:t>
      </w:r>
      <w:r>
        <w:rPr/>
        <w:t>disproportionately represented in the</w:t>
      </w:r>
      <w:r>
        <w:rPr>
          <w:spacing w:val="-3"/>
        </w:rPr>
        <w:t> </w:t>
      </w:r>
      <w:r>
        <w:rPr/>
        <w:t>child</w:t>
      </w:r>
      <w:r>
        <w:rPr>
          <w:spacing w:val="-3"/>
        </w:rPr>
        <w:t> </w:t>
      </w:r>
      <w:r>
        <w:rPr/>
        <w:t>welfare</w:t>
      </w:r>
      <w:r>
        <w:rPr>
          <w:spacing w:val="-4"/>
        </w:rPr>
        <w:t> </w:t>
      </w:r>
      <w:r>
        <w:rPr/>
        <w:t>system</w:t>
      </w:r>
      <w:r>
        <w:rPr>
          <w:spacing w:val="-4"/>
        </w:rPr>
        <w:t> </w:t>
      </w:r>
      <w:r>
        <w:rPr/>
        <w:t>and</w:t>
      </w:r>
      <w:r>
        <w:rPr>
          <w:spacing w:val="-4"/>
        </w:rPr>
        <w:t> </w:t>
      </w:r>
      <w:r>
        <w:rPr/>
        <w:t>experience</w:t>
      </w:r>
      <w:r>
        <w:rPr>
          <w:spacing w:val="-4"/>
        </w:rPr>
        <w:t> </w:t>
      </w:r>
      <w:r>
        <w:rPr/>
        <w:t>disproportionate</w:t>
      </w:r>
      <w:r>
        <w:rPr>
          <w:spacing w:val="-4"/>
        </w:rPr>
        <w:t> </w:t>
      </w:r>
      <w:r>
        <w:rPr/>
        <w:t>negative</w:t>
      </w:r>
      <w:r>
        <w:rPr>
          <w:spacing w:val="-4"/>
        </w:rPr>
        <w:t> </w:t>
      </w:r>
      <w:r>
        <w:rPr/>
        <w:t>outcomes,</w:t>
      </w:r>
      <w:r>
        <w:rPr>
          <w:spacing w:val="-4"/>
        </w:rPr>
        <w:t> </w:t>
      </w:r>
      <w:r>
        <w:rPr/>
        <w:t>including</w:t>
      </w:r>
      <w:r>
        <w:rPr>
          <w:spacing w:val="-3"/>
        </w:rPr>
        <w:t> </w:t>
      </w:r>
      <w:r>
        <w:rPr/>
        <w:t>more</w:t>
      </w:r>
      <w:r>
        <w:rPr>
          <w:spacing w:val="-4"/>
        </w:rPr>
        <w:t> </w:t>
      </w:r>
      <w:r>
        <w:rPr/>
        <w:t>placement changes,</w:t>
      </w:r>
      <w:r>
        <w:rPr>
          <w:spacing w:val="-13"/>
        </w:rPr>
        <w:t> </w:t>
      </w:r>
      <w:r>
        <w:rPr/>
        <w:t>a</w:t>
      </w:r>
      <w:r>
        <w:rPr>
          <w:spacing w:val="-12"/>
        </w:rPr>
        <w:t> </w:t>
      </w:r>
      <w:r>
        <w:rPr/>
        <w:t>longer</w:t>
      </w:r>
      <w:r>
        <w:rPr>
          <w:spacing w:val="-12"/>
        </w:rPr>
        <w:t> </w:t>
      </w:r>
      <w:r>
        <w:rPr/>
        <w:t>duration</w:t>
      </w:r>
      <w:r>
        <w:rPr>
          <w:spacing w:val="-12"/>
        </w:rPr>
        <w:t> </w:t>
      </w:r>
      <w:r>
        <w:rPr/>
        <w:t>in</w:t>
      </w:r>
      <w:r>
        <w:rPr>
          <w:spacing w:val="-13"/>
        </w:rPr>
        <w:t> </w:t>
      </w:r>
      <w:r>
        <w:rPr/>
        <w:t>the</w:t>
      </w:r>
      <w:r>
        <w:rPr>
          <w:spacing w:val="-12"/>
        </w:rPr>
        <w:t> </w:t>
      </w:r>
      <w:r>
        <w:rPr/>
        <w:t>system,</w:t>
      </w:r>
      <w:r>
        <w:rPr>
          <w:spacing w:val="-12"/>
        </w:rPr>
        <w:t> </w:t>
      </w:r>
      <w:r>
        <w:rPr/>
        <w:t>a</w:t>
      </w:r>
      <w:r>
        <w:rPr>
          <w:spacing w:val="-12"/>
        </w:rPr>
        <w:t> </w:t>
      </w:r>
      <w:r>
        <w:rPr/>
        <w:t>lower</w:t>
      </w:r>
      <w:r>
        <w:rPr>
          <w:spacing w:val="-12"/>
        </w:rPr>
        <w:t> </w:t>
      </w:r>
      <w:r>
        <w:rPr/>
        <w:t>rate</w:t>
      </w:r>
      <w:r>
        <w:rPr>
          <w:spacing w:val="-12"/>
        </w:rPr>
        <w:t> </w:t>
      </w:r>
      <w:r>
        <w:rPr/>
        <w:t>of</w:t>
      </w:r>
      <w:r>
        <w:rPr>
          <w:spacing w:val="-13"/>
        </w:rPr>
        <w:t> </w:t>
      </w:r>
      <w:r>
        <w:rPr/>
        <w:t>adoption,</w:t>
      </w:r>
      <w:r>
        <w:rPr>
          <w:spacing w:val="-12"/>
        </w:rPr>
        <w:t> </w:t>
      </w:r>
      <w:r>
        <w:rPr/>
        <w:t>and</w:t>
      </w:r>
      <w:r>
        <w:rPr>
          <w:spacing w:val="-12"/>
        </w:rPr>
        <w:t> </w:t>
      </w:r>
      <w:r>
        <w:rPr/>
        <w:t>negative</w:t>
      </w:r>
      <w:r>
        <w:rPr>
          <w:spacing w:val="-12"/>
        </w:rPr>
        <w:t> </w:t>
      </w:r>
      <w:r>
        <w:rPr/>
        <w:t>and</w:t>
      </w:r>
      <w:r>
        <w:rPr>
          <w:spacing w:val="-13"/>
        </w:rPr>
        <w:t> </w:t>
      </w:r>
      <w:r>
        <w:rPr/>
        <w:t>frightening</w:t>
      </w:r>
      <w:r>
        <w:rPr>
          <w:spacing w:val="-12"/>
        </w:rPr>
        <w:t> </w:t>
      </w:r>
      <w:r>
        <w:rPr/>
        <w:t>outcomes when aging out of the child welfare system.</w:t>
      </w:r>
      <w:hyperlink w:history="true" w:anchor="_bookmark37">
        <w:r>
          <w:rPr>
            <w:vertAlign w:val="superscript"/>
          </w:rPr>
          <w:t>29</w:t>
        </w:r>
      </w:hyperlink>
      <w:r>
        <w:rPr>
          <w:vertAlign w:val="baseline"/>
        </w:rPr>
        <w:t> As of DCF’s most recent FY 2024 Quarter 2 report, approximately</w:t>
      </w:r>
      <w:r>
        <w:rPr>
          <w:spacing w:val="-3"/>
          <w:vertAlign w:val="baseline"/>
        </w:rPr>
        <w:t> </w:t>
      </w:r>
      <w:r>
        <w:rPr>
          <w:vertAlign w:val="baseline"/>
        </w:rPr>
        <w:t>374</w:t>
      </w:r>
      <w:r>
        <w:rPr>
          <w:spacing w:val="-3"/>
          <w:vertAlign w:val="baseline"/>
        </w:rPr>
        <w:t> </w:t>
      </w:r>
      <w:r>
        <w:rPr>
          <w:vertAlign w:val="baseline"/>
        </w:rPr>
        <w:t>youth</w:t>
      </w:r>
      <w:r>
        <w:rPr>
          <w:spacing w:val="-3"/>
          <w:vertAlign w:val="baseline"/>
        </w:rPr>
        <w:t> </w:t>
      </w:r>
      <w:r>
        <w:rPr>
          <w:vertAlign w:val="baseline"/>
        </w:rPr>
        <w:t>(6%)</w:t>
      </w:r>
      <w:r>
        <w:rPr>
          <w:spacing w:val="-2"/>
          <w:vertAlign w:val="baseline"/>
        </w:rPr>
        <w:t> </w:t>
      </w:r>
      <w:r>
        <w:rPr>
          <w:vertAlign w:val="baseline"/>
        </w:rPr>
        <w:t>aged</w:t>
      </w:r>
      <w:r>
        <w:rPr>
          <w:spacing w:val="-3"/>
          <w:vertAlign w:val="baseline"/>
        </w:rPr>
        <w:t> </w:t>
      </w:r>
      <w:r>
        <w:rPr>
          <w:vertAlign w:val="baseline"/>
        </w:rPr>
        <w:t>3-17</w:t>
      </w:r>
      <w:r>
        <w:rPr>
          <w:spacing w:val="-3"/>
          <w:vertAlign w:val="baseline"/>
        </w:rPr>
        <w:t> </w:t>
      </w:r>
      <w:r>
        <w:rPr>
          <w:vertAlign w:val="baseline"/>
        </w:rPr>
        <w:t>identified</w:t>
      </w:r>
      <w:r>
        <w:rPr>
          <w:spacing w:val="-2"/>
          <w:vertAlign w:val="baseline"/>
        </w:rPr>
        <w:t> </w:t>
      </w:r>
      <w:r>
        <w:rPr>
          <w:vertAlign w:val="baseline"/>
        </w:rPr>
        <w:t>as</w:t>
      </w:r>
      <w:r>
        <w:rPr>
          <w:spacing w:val="-3"/>
          <w:vertAlign w:val="baseline"/>
        </w:rPr>
        <w:t> </w:t>
      </w:r>
      <w:r>
        <w:rPr>
          <w:vertAlign w:val="baseline"/>
        </w:rPr>
        <w:t>LGBQ,</w:t>
      </w:r>
      <w:r>
        <w:rPr>
          <w:spacing w:val="-2"/>
          <w:vertAlign w:val="baseline"/>
        </w:rPr>
        <w:t> </w:t>
      </w:r>
      <w:r>
        <w:rPr>
          <w:vertAlign w:val="baseline"/>
        </w:rPr>
        <w:t>though</w:t>
      </w:r>
      <w:r>
        <w:rPr>
          <w:spacing w:val="-3"/>
          <w:vertAlign w:val="baseline"/>
        </w:rPr>
        <w:t> </w:t>
      </w:r>
      <w:r>
        <w:rPr>
          <w:vertAlign w:val="baseline"/>
        </w:rPr>
        <w:t>a</w:t>
      </w:r>
      <w:r>
        <w:rPr>
          <w:spacing w:val="-1"/>
          <w:vertAlign w:val="baseline"/>
        </w:rPr>
        <w:t> </w:t>
      </w:r>
      <w:r>
        <w:rPr>
          <w:vertAlign w:val="baseline"/>
        </w:rPr>
        <w:t>further</w:t>
      </w:r>
      <w:r>
        <w:rPr>
          <w:spacing w:val="-3"/>
          <w:vertAlign w:val="baseline"/>
        </w:rPr>
        <w:t> </w:t>
      </w:r>
      <w:r>
        <w:rPr>
          <w:vertAlign w:val="baseline"/>
        </w:rPr>
        <w:t>1,002</w:t>
      </w:r>
      <w:r>
        <w:rPr>
          <w:spacing w:val="-3"/>
          <w:vertAlign w:val="baseline"/>
        </w:rPr>
        <w:t> </w:t>
      </w:r>
      <w:r>
        <w:rPr>
          <w:vertAlign w:val="baseline"/>
        </w:rPr>
        <w:t>were</w:t>
      </w:r>
      <w:r>
        <w:rPr>
          <w:spacing w:val="-3"/>
          <w:vertAlign w:val="baseline"/>
        </w:rPr>
        <w:t> </w:t>
      </w:r>
      <w:r>
        <w:rPr>
          <w:vertAlign w:val="baseline"/>
        </w:rPr>
        <w:t>marked</w:t>
      </w:r>
      <w:r>
        <w:rPr>
          <w:spacing w:val="-3"/>
          <w:vertAlign w:val="baseline"/>
        </w:rPr>
        <w:t> </w:t>
      </w:r>
      <w:r>
        <w:rPr>
          <w:vertAlign w:val="baseline"/>
        </w:rPr>
        <w:t>as</w:t>
      </w:r>
      <w:r>
        <w:rPr>
          <w:spacing w:val="-3"/>
          <w:vertAlign w:val="baseline"/>
        </w:rPr>
        <w:t> </w:t>
      </w:r>
      <w:r>
        <w:rPr>
          <w:vertAlign w:val="baseline"/>
        </w:rPr>
        <w:t>‘not listed’ or ‘other’ which could suggest higher numbers if the youth identify with a sexual orientation not listed;</w:t>
      </w:r>
      <w:r>
        <w:rPr>
          <w:spacing w:val="-4"/>
          <w:vertAlign w:val="baseline"/>
        </w:rPr>
        <w:t> </w:t>
      </w:r>
      <w:r>
        <w:rPr>
          <w:vertAlign w:val="baseline"/>
        </w:rPr>
        <w:t>136</w:t>
      </w:r>
      <w:r>
        <w:rPr>
          <w:spacing w:val="-4"/>
          <w:vertAlign w:val="baseline"/>
        </w:rPr>
        <w:t> </w:t>
      </w:r>
      <w:r>
        <w:rPr>
          <w:vertAlign w:val="baseline"/>
        </w:rPr>
        <w:t>youth</w:t>
      </w:r>
      <w:r>
        <w:rPr>
          <w:spacing w:val="-4"/>
          <w:vertAlign w:val="baseline"/>
        </w:rPr>
        <w:t> </w:t>
      </w:r>
      <w:r>
        <w:rPr>
          <w:vertAlign w:val="baseline"/>
        </w:rPr>
        <w:t>aged</w:t>
      </w:r>
      <w:r>
        <w:rPr>
          <w:spacing w:val="-4"/>
          <w:vertAlign w:val="baseline"/>
        </w:rPr>
        <w:t> </w:t>
      </w:r>
      <w:r>
        <w:rPr>
          <w:vertAlign w:val="baseline"/>
        </w:rPr>
        <w:t>3-17</w:t>
      </w:r>
      <w:r>
        <w:rPr>
          <w:spacing w:val="-4"/>
          <w:vertAlign w:val="baseline"/>
        </w:rPr>
        <w:t> </w:t>
      </w:r>
      <w:r>
        <w:rPr>
          <w:vertAlign w:val="baseline"/>
        </w:rPr>
        <w:t>identified</w:t>
      </w:r>
      <w:r>
        <w:rPr>
          <w:spacing w:val="-4"/>
          <w:vertAlign w:val="baseline"/>
        </w:rPr>
        <w:t> </w:t>
      </w:r>
      <w:r>
        <w:rPr>
          <w:vertAlign w:val="baseline"/>
        </w:rPr>
        <w:t>as</w:t>
      </w:r>
      <w:r>
        <w:rPr>
          <w:spacing w:val="-4"/>
          <w:vertAlign w:val="baseline"/>
        </w:rPr>
        <w:t> </w:t>
      </w:r>
      <w:r>
        <w:rPr>
          <w:vertAlign w:val="baseline"/>
        </w:rPr>
        <w:t>transgender</w:t>
      </w:r>
      <w:r>
        <w:rPr>
          <w:spacing w:val="-3"/>
          <w:vertAlign w:val="baseline"/>
        </w:rPr>
        <w:t> </w:t>
      </w:r>
      <w:r>
        <w:rPr>
          <w:vertAlign w:val="baseline"/>
        </w:rPr>
        <w:t>or</w:t>
      </w:r>
      <w:r>
        <w:rPr>
          <w:spacing w:val="-4"/>
          <w:vertAlign w:val="baseline"/>
        </w:rPr>
        <w:t> </w:t>
      </w:r>
      <w:r>
        <w:rPr>
          <w:vertAlign w:val="baseline"/>
        </w:rPr>
        <w:t>otherwise</w:t>
      </w:r>
      <w:r>
        <w:rPr>
          <w:spacing w:val="-4"/>
          <w:vertAlign w:val="baseline"/>
        </w:rPr>
        <w:t> </w:t>
      </w:r>
      <w:r>
        <w:rPr>
          <w:vertAlign w:val="baseline"/>
        </w:rPr>
        <w:t>under</w:t>
      </w:r>
      <w:r>
        <w:rPr>
          <w:spacing w:val="-3"/>
          <w:vertAlign w:val="baseline"/>
        </w:rPr>
        <w:t> </w:t>
      </w:r>
      <w:r>
        <w:rPr>
          <w:vertAlign w:val="baseline"/>
        </w:rPr>
        <w:t>the</w:t>
      </w:r>
      <w:r>
        <w:rPr>
          <w:spacing w:val="-4"/>
          <w:vertAlign w:val="baseline"/>
        </w:rPr>
        <w:t> </w:t>
      </w:r>
      <w:r>
        <w:rPr>
          <w:vertAlign w:val="baseline"/>
        </w:rPr>
        <w:t>gender</w:t>
      </w:r>
      <w:r>
        <w:rPr>
          <w:spacing w:val="-4"/>
          <w:vertAlign w:val="baseline"/>
        </w:rPr>
        <w:t> </w:t>
      </w:r>
      <w:r>
        <w:rPr>
          <w:vertAlign w:val="baseline"/>
        </w:rPr>
        <w:t>expansive</w:t>
      </w:r>
      <w:r>
        <w:rPr>
          <w:spacing w:val="-4"/>
          <w:vertAlign w:val="baseline"/>
        </w:rPr>
        <w:t> </w:t>
      </w:r>
      <w:r>
        <w:rPr>
          <w:vertAlign w:val="baseline"/>
        </w:rPr>
        <w:t>umbrella, making</w:t>
      </w:r>
      <w:r>
        <w:rPr>
          <w:spacing w:val="-1"/>
          <w:vertAlign w:val="baseline"/>
        </w:rPr>
        <w:t> </w:t>
      </w:r>
      <w:r>
        <w:rPr>
          <w:vertAlign w:val="baseline"/>
        </w:rPr>
        <w:t>up</w:t>
      </w:r>
      <w:r>
        <w:rPr>
          <w:spacing w:val="-2"/>
          <w:vertAlign w:val="baseline"/>
        </w:rPr>
        <w:t> </w:t>
      </w:r>
      <w:r>
        <w:rPr>
          <w:vertAlign w:val="baseline"/>
        </w:rPr>
        <w:t>approximately 2%</w:t>
      </w:r>
      <w:r>
        <w:rPr>
          <w:spacing w:val="-2"/>
          <w:vertAlign w:val="baseline"/>
        </w:rPr>
        <w:t> </w:t>
      </w:r>
      <w:r>
        <w:rPr>
          <w:vertAlign w:val="baseline"/>
        </w:rPr>
        <w:t>of</w:t>
      </w:r>
      <w:r>
        <w:rPr>
          <w:spacing w:val="-2"/>
          <w:vertAlign w:val="baseline"/>
        </w:rPr>
        <w:t> </w:t>
      </w:r>
      <w:r>
        <w:rPr>
          <w:vertAlign w:val="baseline"/>
        </w:rPr>
        <w:t>DCF</w:t>
      </w:r>
      <w:r>
        <w:rPr>
          <w:spacing w:val="-2"/>
          <w:vertAlign w:val="baseline"/>
        </w:rPr>
        <w:t> </w:t>
      </w:r>
      <w:r>
        <w:rPr>
          <w:vertAlign w:val="baseline"/>
        </w:rPr>
        <w:t>3-17</w:t>
      </w:r>
      <w:r>
        <w:rPr>
          <w:spacing w:val="-2"/>
          <w:vertAlign w:val="baseline"/>
        </w:rPr>
        <w:t> </w:t>
      </w:r>
      <w:r>
        <w:rPr>
          <w:vertAlign w:val="baseline"/>
        </w:rPr>
        <w:t>youth.</w:t>
      </w:r>
      <w:r>
        <w:rPr>
          <w:spacing w:val="-2"/>
          <w:vertAlign w:val="baseline"/>
        </w:rPr>
        <w:t> </w:t>
      </w:r>
      <w:r>
        <w:rPr>
          <w:vertAlign w:val="baseline"/>
        </w:rPr>
        <w:t>For youth</w:t>
      </w:r>
      <w:r>
        <w:rPr>
          <w:spacing w:val="-2"/>
          <w:vertAlign w:val="baseline"/>
        </w:rPr>
        <w:t> </w:t>
      </w:r>
      <w:r>
        <w:rPr>
          <w:vertAlign w:val="baseline"/>
        </w:rPr>
        <w:t>in</w:t>
      </w:r>
      <w:r>
        <w:rPr>
          <w:spacing w:val="-2"/>
          <w:vertAlign w:val="baseline"/>
        </w:rPr>
        <w:t> </w:t>
      </w:r>
      <w:r>
        <w:rPr>
          <w:vertAlign w:val="baseline"/>
        </w:rPr>
        <w:t>DCF</w:t>
      </w:r>
      <w:r>
        <w:rPr>
          <w:spacing w:val="-1"/>
          <w:vertAlign w:val="baseline"/>
        </w:rPr>
        <w:t> </w:t>
      </w:r>
      <w:r>
        <w:rPr>
          <w:vertAlign w:val="baseline"/>
        </w:rPr>
        <w:t>care</w:t>
      </w:r>
      <w:r>
        <w:rPr>
          <w:spacing w:val="-2"/>
          <w:vertAlign w:val="baseline"/>
        </w:rPr>
        <w:t> </w:t>
      </w:r>
      <w:r>
        <w:rPr>
          <w:vertAlign w:val="baseline"/>
        </w:rPr>
        <w:t>over</w:t>
      </w:r>
      <w:r>
        <w:rPr>
          <w:spacing w:val="-2"/>
          <w:vertAlign w:val="baseline"/>
        </w:rPr>
        <w:t> </w:t>
      </w:r>
      <w:r>
        <w:rPr>
          <w:vertAlign w:val="baseline"/>
        </w:rPr>
        <w:t>the</w:t>
      </w:r>
      <w:r>
        <w:rPr>
          <w:spacing w:val="-2"/>
          <w:vertAlign w:val="baseline"/>
        </w:rPr>
        <w:t> </w:t>
      </w:r>
      <w:r>
        <w:rPr>
          <w:vertAlign w:val="baseline"/>
        </w:rPr>
        <w:t>age</w:t>
      </w:r>
      <w:r>
        <w:rPr>
          <w:spacing w:val="-2"/>
          <w:vertAlign w:val="baseline"/>
        </w:rPr>
        <w:t> </w:t>
      </w:r>
      <w:r>
        <w:rPr>
          <w:vertAlign w:val="baseline"/>
        </w:rPr>
        <w:t>of</w:t>
      </w:r>
      <w:r>
        <w:rPr>
          <w:spacing w:val="-2"/>
          <w:vertAlign w:val="baseline"/>
        </w:rPr>
        <w:t> </w:t>
      </w:r>
      <w:r>
        <w:rPr>
          <w:vertAlign w:val="baseline"/>
        </w:rPr>
        <w:t>18,</w:t>
      </w:r>
      <w:r>
        <w:rPr>
          <w:spacing w:val="-1"/>
          <w:vertAlign w:val="baseline"/>
        </w:rPr>
        <w:t> </w:t>
      </w:r>
      <w:r>
        <w:rPr>
          <w:vertAlign w:val="baseline"/>
        </w:rPr>
        <w:t>approximately 13% identify as LGB, and 4% under the gender expansive umbrella</w:t>
      </w:r>
      <w:hyperlink w:history="true" w:anchor="_bookmark38">
        <w:r>
          <w:rPr>
            <w:vertAlign w:val="baseline"/>
          </w:rPr>
          <w:t>.</w:t>
        </w:r>
        <w:r>
          <w:rPr>
            <w:vertAlign w:val="superscript"/>
          </w:rPr>
          <w:t>30</w:t>
        </w:r>
      </w:hyperlink>
    </w:p>
    <w:p>
      <w:pPr>
        <w:pStyle w:val="BodyText"/>
        <w:spacing w:line="276" w:lineRule="auto" w:before="241"/>
        <w:ind w:left="463" w:right="280"/>
        <w:jc w:val="both"/>
      </w:pPr>
      <w:r>
        <w:rPr/>
        <w:t>For</w:t>
      </w:r>
      <w:r>
        <w:rPr>
          <w:spacing w:val="-5"/>
        </w:rPr>
        <w:t> </w:t>
      </w:r>
      <w:r>
        <w:rPr/>
        <w:t>child</w:t>
      </w:r>
      <w:r>
        <w:rPr>
          <w:spacing w:val="-4"/>
        </w:rPr>
        <w:t> </w:t>
      </w:r>
      <w:r>
        <w:rPr/>
        <w:t>advocates,</w:t>
      </w:r>
      <w:r>
        <w:rPr>
          <w:spacing w:val="-5"/>
        </w:rPr>
        <w:t> </w:t>
      </w:r>
      <w:r>
        <w:rPr/>
        <w:t>particularly</w:t>
      </w:r>
      <w:r>
        <w:rPr>
          <w:spacing w:val="-4"/>
        </w:rPr>
        <w:t> </w:t>
      </w:r>
      <w:r>
        <w:rPr/>
        <w:t>those</w:t>
      </w:r>
      <w:r>
        <w:rPr>
          <w:spacing w:val="-4"/>
        </w:rPr>
        <w:t> </w:t>
      </w:r>
      <w:r>
        <w:rPr/>
        <w:t>working</w:t>
      </w:r>
      <w:r>
        <w:rPr>
          <w:spacing w:val="-4"/>
        </w:rPr>
        <w:t> </w:t>
      </w:r>
      <w:r>
        <w:rPr/>
        <w:t>with</w:t>
      </w:r>
      <w:r>
        <w:rPr>
          <w:spacing w:val="-3"/>
        </w:rPr>
        <w:t> </w:t>
      </w:r>
      <w:r>
        <w:rPr/>
        <w:t>LGBTQ</w:t>
      </w:r>
      <w:r>
        <w:rPr>
          <w:spacing w:val="-4"/>
        </w:rPr>
        <w:t> </w:t>
      </w:r>
      <w:r>
        <w:rPr/>
        <w:t>youth,</w:t>
      </w:r>
      <w:r>
        <w:rPr>
          <w:spacing w:val="-5"/>
        </w:rPr>
        <w:t> </w:t>
      </w:r>
      <w:r>
        <w:rPr/>
        <w:t>the</w:t>
      </w:r>
      <w:r>
        <w:rPr>
          <w:spacing w:val="-4"/>
        </w:rPr>
        <w:t> </w:t>
      </w:r>
      <w:r>
        <w:rPr/>
        <w:t>state</w:t>
      </w:r>
      <w:r>
        <w:rPr>
          <w:spacing w:val="-3"/>
        </w:rPr>
        <w:t> </w:t>
      </w:r>
      <w:r>
        <w:rPr/>
        <w:t>child</w:t>
      </w:r>
      <w:r>
        <w:rPr>
          <w:spacing w:val="-6"/>
        </w:rPr>
        <w:t> </w:t>
      </w:r>
      <w:r>
        <w:rPr/>
        <w:t>welfare</w:t>
      </w:r>
      <w:r>
        <w:rPr>
          <w:spacing w:val="-6"/>
        </w:rPr>
        <w:t> </w:t>
      </w:r>
      <w:r>
        <w:rPr/>
        <w:t>system</w:t>
      </w:r>
      <w:r>
        <w:rPr>
          <w:spacing w:val="-4"/>
        </w:rPr>
        <w:t> </w:t>
      </w:r>
      <w:r>
        <w:rPr/>
        <w:t>is</w:t>
      </w:r>
      <w:r>
        <w:rPr>
          <w:spacing w:val="-4"/>
        </w:rPr>
        <w:t> </w:t>
      </w:r>
      <w:r>
        <w:rPr/>
        <w:t>mired in</w:t>
      </w:r>
      <w:r>
        <w:rPr>
          <w:spacing w:val="-13"/>
        </w:rPr>
        <w:t> </w:t>
      </w:r>
      <w:r>
        <w:rPr/>
        <w:t>complexity.</w:t>
      </w:r>
      <w:r>
        <w:rPr>
          <w:spacing w:val="-12"/>
        </w:rPr>
        <w:t> </w:t>
      </w:r>
      <w:r>
        <w:rPr/>
        <w:t>From</w:t>
      </w:r>
      <w:r>
        <w:rPr>
          <w:spacing w:val="-13"/>
        </w:rPr>
        <w:t> </w:t>
      </w:r>
      <w:r>
        <w:rPr/>
        <w:t>the</w:t>
      </w:r>
      <w:r>
        <w:rPr>
          <w:spacing w:val="-12"/>
        </w:rPr>
        <w:t> </w:t>
      </w:r>
      <w:r>
        <w:rPr/>
        <w:t>moment</w:t>
      </w:r>
      <w:r>
        <w:rPr>
          <w:spacing w:val="-13"/>
        </w:rPr>
        <w:t> </w:t>
      </w:r>
      <w:r>
        <w:rPr/>
        <w:t>LGBTQ</w:t>
      </w:r>
      <w:r>
        <w:rPr>
          <w:spacing w:val="-12"/>
        </w:rPr>
        <w:t> </w:t>
      </w:r>
      <w:r>
        <w:rPr/>
        <w:t>children</w:t>
      </w:r>
      <w:r>
        <w:rPr>
          <w:spacing w:val="-13"/>
        </w:rPr>
        <w:t> </w:t>
      </w:r>
      <w:r>
        <w:rPr/>
        <w:t>and</w:t>
      </w:r>
      <w:r>
        <w:rPr>
          <w:spacing w:val="-12"/>
        </w:rPr>
        <w:t> </w:t>
      </w:r>
      <w:r>
        <w:rPr/>
        <w:t>youth</w:t>
      </w:r>
      <w:r>
        <w:rPr>
          <w:spacing w:val="-12"/>
        </w:rPr>
        <w:t> </w:t>
      </w:r>
      <w:r>
        <w:rPr/>
        <w:t>enter</w:t>
      </w:r>
      <w:r>
        <w:rPr>
          <w:spacing w:val="-13"/>
        </w:rPr>
        <w:t> </w:t>
      </w:r>
      <w:r>
        <w:rPr/>
        <w:t>the</w:t>
      </w:r>
      <w:r>
        <w:rPr>
          <w:spacing w:val="-12"/>
        </w:rPr>
        <w:t> </w:t>
      </w:r>
      <w:r>
        <w:rPr/>
        <w:t>Massachusetts</w:t>
      </w:r>
      <w:r>
        <w:rPr>
          <w:spacing w:val="-13"/>
        </w:rPr>
        <w:t> </w:t>
      </w:r>
      <w:r>
        <w:rPr/>
        <w:t>child</w:t>
      </w:r>
      <w:r>
        <w:rPr>
          <w:spacing w:val="-12"/>
        </w:rPr>
        <w:t> </w:t>
      </w:r>
      <w:r>
        <w:rPr/>
        <w:t>welfare</w:t>
      </w:r>
      <w:r>
        <w:rPr>
          <w:spacing w:val="-13"/>
        </w:rPr>
        <w:t> </w:t>
      </w:r>
      <w:r>
        <w:rPr/>
        <w:t>system, the</w:t>
      </w:r>
      <w:r>
        <w:rPr>
          <w:spacing w:val="-5"/>
        </w:rPr>
        <w:t> </w:t>
      </w:r>
      <w:r>
        <w:rPr/>
        <w:t>system</w:t>
      </w:r>
      <w:r>
        <w:rPr>
          <w:spacing w:val="-6"/>
        </w:rPr>
        <w:t> </w:t>
      </w:r>
      <w:r>
        <w:rPr/>
        <w:t>fails</w:t>
      </w:r>
      <w:r>
        <w:rPr>
          <w:spacing w:val="-6"/>
        </w:rPr>
        <w:t> </w:t>
      </w:r>
      <w:r>
        <w:rPr/>
        <w:t>to</w:t>
      </w:r>
      <w:r>
        <w:rPr>
          <w:spacing w:val="-6"/>
        </w:rPr>
        <w:t> </w:t>
      </w:r>
      <w:r>
        <w:rPr/>
        <w:t>fully</w:t>
      </w:r>
      <w:r>
        <w:rPr>
          <w:spacing w:val="-6"/>
        </w:rPr>
        <w:t> </w:t>
      </w:r>
      <w:r>
        <w:rPr/>
        <w:t>serve</w:t>
      </w:r>
      <w:r>
        <w:rPr>
          <w:spacing w:val="-7"/>
        </w:rPr>
        <w:t> </w:t>
      </w:r>
      <w:r>
        <w:rPr/>
        <w:t>them—by</w:t>
      </w:r>
      <w:r>
        <w:rPr>
          <w:spacing w:val="-4"/>
        </w:rPr>
        <w:t> </w:t>
      </w:r>
      <w:r>
        <w:rPr/>
        <w:t>failing</w:t>
      </w:r>
      <w:r>
        <w:rPr>
          <w:spacing w:val="-6"/>
        </w:rPr>
        <w:t> </w:t>
      </w:r>
      <w:r>
        <w:rPr/>
        <w:t>to</w:t>
      </w:r>
      <w:r>
        <w:rPr>
          <w:spacing w:val="-6"/>
        </w:rPr>
        <w:t> </w:t>
      </w:r>
      <w:r>
        <w:rPr/>
        <w:t>even</w:t>
      </w:r>
      <w:r>
        <w:rPr>
          <w:spacing w:val="-5"/>
        </w:rPr>
        <w:t> </w:t>
      </w:r>
      <w:r>
        <w:rPr/>
        <w:t>collect</w:t>
      </w:r>
      <w:r>
        <w:rPr>
          <w:spacing w:val="-5"/>
        </w:rPr>
        <w:t> </w:t>
      </w:r>
      <w:r>
        <w:rPr/>
        <w:t>complete</w:t>
      </w:r>
      <w:r>
        <w:rPr>
          <w:spacing w:val="-5"/>
        </w:rPr>
        <w:t> </w:t>
      </w:r>
      <w:r>
        <w:rPr/>
        <w:t>and</w:t>
      </w:r>
      <w:r>
        <w:rPr>
          <w:spacing w:val="-6"/>
        </w:rPr>
        <w:t> </w:t>
      </w:r>
      <w:r>
        <w:rPr/>
        <w:t>accurate</w:t>
      </w:r>
      <w:r>
        <w:rPr>
          <w:spacing w:val="-5"/>
        </w:rPr>
        <w:t> </w:t>
      </w:r>
      <w:r>
        <w:rPr/>
        <w:t>data</w:t>
      </w:r>
      <w:r>
        <w:rPr>
          <w:spacing w:val="-6"/>
        </w:rPr>
        <w:t> </w:t>
      </w:r>
      <w:r>
        <w:rPr/>
        <w:t>on</w:t>
      </w:r>
      <w:r>
        <w:rPr>
          <w:spacing w:val="-6"/>
        </w:rPr>
        <w:t> </w:t>
      </w:r>
      <w:r>
        <w:rPr/>
        <w:t>the</w:t>
      </w:r>
      <w:r>
        <w:rPr>
          <w:spacing w:val="-7"/>
        </w:rPr>
        <w:t> </w:t>
      </w:r>
      <w:r>
        <w:rPr/>
        <w:t>reasons they are entering the system. Although DCF should be credited for positively improving its collection of SOGIE data, the agency must also mandate the collection of more complete information on why LGBTQ youth</w:t>
      </w:r>
      <w:r>
        <w:rPr>
          <w:spacing w:val="-8"/>
        </w:rPr>
        <w:t> </w:t>
      </w:r>
      <w:r>
        <w:rPr/>
        <w:t>are</w:t>
      </w:r>
      <w:r>
        <w:rPr>
          <w:spacing w:val="-8"/>
        </w:rPr>
        <w:t> </w:t>
      </w:r>
      <w:r>
        <w:rPr/>
        <w:t>entering</w:t>
      </w:r>
      <w:r>
        <w:rPr>
          <w:spacing w:val="-8"/>
        </w:rPr>
        <w:t> </w:t>
      </w:r>
      <w:r>
        <w:rPr/>
        <w:t>the</w:t>
      </w:r>
      <w:r>
        <w:rPr>
          <w:spacing w:val="-8"/>
        </w:rPr>
        <w:t> </w:t>
      </w:r>
      <w:r>
        <w:rPr/>
        <w:t>system</w:t>
      </w:r>
      <w:r>
        <w:rPr>
          <w:spacing w:val="-8"/>
        </w:rPr>
        <w:t> </w:t>
      </w:r>
      <w:r>
        <w:rPr/>
        <w:t>in</w:t>
      </w:r>
      <w:r>
        <w:rPr>
          <w:spacing w:val="-8"/>
        </w:rPr>
        <w:t> </w:t>
      </w:r>
      <w:r>
        <w:rPr/>
        <w:t>the</w:t>
      </w:r>
      <w:r>
        <w:rPr>
          <w:spacing w:val="-8"/>
        </w:rPr>
        <w:t> </w:t>
      </w:r>
      <w:r>
        <w:rPr/>
        <w:t>first</w:t>
      </w:r>
      <w:r>
        <w:rPr>
          <w:spacing w:val="-8"/>
        </w:rPr>
        <w:t> </w:t>
      </w:r>
      <w:r>
        <w:rPr/>
        <w:t>place</w:t>
      </w:r>
      <w:r>
        <w:rPr>
          <w:spacing w:val="-8"/>
        </w:rPr>
        <w:t> </w:t>
      </w:r>
      <w:r>
        <w:rPr/>
        <w:t>and</w:t>
      </w:r>
      <w:r>
        <w:rPr>
          <w:spacing w:val="-9"/>
        </w:rPr>
        <w:t> </w:t>
      </w:r>
      <w:r>
        <w:rPr/>
        <w:t>ensure</w:t>
      </w:r>
      <w:r>
        <w:rPr>
          <w:spacing w:val="-8"/>
        </w:rPr>
        <w:t> </w:t>
      </w:r>
      <w:r>
        <w:rPr/>
        <w:t>that</w:t>
      </w:r>
      <w:r>
        <w:rPr>
          <w:spacing w:val="-8"/>
        </w:rPr>
        <w:t> </w:t>
      </w:r>
      <w:r>
        <w:rPr/>
        <w:t>workers</w:t>
      </w:r>
      <w:r>
        <w:rPr>
          <w:spacing w:val="-7"/>
        </w:rPr>
        <w:t> </w:t>
      </w:r>
      <w:r>
        <w:rPr/>
        <w:t>are</w:t>
      </w:r>
      <w:r>
        <w:rPr>
          <w:spacing w:val="-8"/>
        </w:rPr>
        <w:t> </w:t>
      </w:r>
      <w:r>
        <w:rPr/>
        <w:t>appropriately</w:t>
      </w:r>
      <w:r>
        <w:rPr>
          <w:spacing w:val="-8"/>
        </w:rPr>
        <w:t> </w:t>
      </w:r>
      <w:r>
        <w:rPr/>
        <w:t>trained</w:t>
      </w:r>
      <w:r>
        <w:rPr>
          <w:spacing w:val="-8"/>
        </w:rPr>
        <w:t> </w:t>
      </w:r>
      <w:r>
        <w:rPr/>
        <w:t>on</w:t>
      </w:r>
      <w:r>
        <w:rPr>
          <w:spacing w:val="-8"/>
        </w:rPr>
        <w:t> </w:t>
      </w:r>
      <w:r>
        <w:rPr/>
        <w:t>how to appropriately ask SOGIE questions. National research indicates that family rejection of LGBTQ youth for their sexual orientation and/or gender identity may in fact lead to their overrepresentation in child welfare</w:t>
      </w:r>
      <w:r>
        <w:rPr>
          <w:spacing w:val="-13"/>
        </w:rPr>
        <w:t> </w:t>
      </w:r>
      <w:r>
        <w:rPr/>
        <w:t>systems.</w:t>
      </w:r>
      <w:r>
        <w:rPr>
          <w:spacing w:val="-12"/>
        </w:rPr>
        <w:t> </w:t>
      </w:r>
      <w:r>
        <w:rPr/>
        <w:t>Massachusetts</w:t>
      </w:r>
      <w:r>
        <w:rPr>
          <w:spacing w:val="-13"/>
        </w:rPr>
        <w:t> </w:t>
      </w:r>
      <w:r>
        <w:rPr/>
        <w:t>policymakers</w:t>
      </w:r>
      <w:r>
        <w:rPr>
          <w:spacing w:val="-12"/>
        </w:rPr>
        <w:t> </w:t>
      </w:r>
      <w:r>
        <w:rPr/>
        <w:t>need</w:t>
      </w:r>
      <w:r>
        <w:rPr>
          <w:spacing w:val="-13"/>
        </w:rPr>
        <w:t> </w:t>
      </w:r>
      <w:r>
        <w:rPr/>
        <w:t>more</w:t>
      </w:r>
      <w:r>
        <w:rPr>
          <w:spacing w:val="-12"/>
        </w:rPr>
        <w:t> </w:t>
      </w:r>
      <w:r>
        <w:rPr/>
        <w:t>data</w:t>
      </w:r>
      <w:r>
        <w:rPr>
          <w:spacing w:val="-13"/>
        </w:rPr>
        <w:t> </w:t>
      </w:r>
      <w:r>
        <w:rPr/>
        <w:t>to</w:t>
      </w:r>
      <w:r>
        <w:rPr>
          <w:spacing w:val="-12"/>
        </w:rPr>
        <w:t> </w:t>
      </w:r>
      <w:r>
        <w:rPr/>
        <w:t>better</w:t>
      </w:r>
      <w:r>
        <w:rPr>
          <w:spacing w:val="-12"/>
        </w:rPr>
        <w:t> </w:t>
      </w:r>
      <w:r>
        <w:rPr/>
        <w:t>serve</w:t>
      </w:r>
      <w:r>
        <w:rPr>
          <w:spacing w:val="-13"/>
        </w:rPr>
        <w:t> </w:t>
      </w:r>
      <w:r>
        <w:rPr/>
        <w:t>youth</w:t>
      </w:r>
      <w:r>
        <w:rPr>
          <w:spacing w:val="-12"/>
        </w:rPr>
        <w:t> </w:t>
      </w:r>
      <w:r>
        <w:rPr/>
        <w:t>and</w:t>
      </w:r>
      <w:r>
        <w:rPr>
          <w:spacing w:val="-13"/>
        </w:rPr>
        <w:t> </w:t>
      </w:r>
      <w:r>
        <w:rPr/>
        <w:t>accurately</w:t>
      </w:r>
      <w:r>
        <w:rPr>
          <w:spacing w:val="-12"/>
        </w:rPr>
        <w:t> </w:t>
      </w:r>
      <w:r>
        <w:rPr/>
        <w:t>report on the misfortunes they face.</w:t>
      </w:r>
    </w:p>
    <w:p>
      <w:pPr>
        <w:pStyle w:val="BodyText"/>
        <w:spacing w:line="276" w:lineRule="auto" w:before="239"/>
        <w:ind w:left="463" w:right="281"/>
        <w:jc w:val="both"/>
      </w:pPr>
      <w:r>
        <w:rPr/>
        <w:t>Once in the child welfare system, LGBTQ youth typically experience higher risks of bullying and physical violence</w:t>
      </w:r>
      <w:r>
        <w:rPr>
          <w:spacing w:val="-4"/>
        </w:rPr>
        <w:t> </w:t>
      </w:r>
      <w:r>
        <w:rPr/>
        <w:t>due</w:t>
      </w:r>
      <w:r>
        <w:rPr>
          <w:spacing w:val="-3"/>
        </w:rPr>
        <w:t> </w:t>
      </w:r>
      <w:r>
        <w:rPr/>
        <w:t>to</w:t>
      </w:r>
      <w:r>
        <w:rPr>
          <w:spacing w:val="-3"/>
        </w:rPr>
        <w:t> </w:t>
      </w:r>
      <w:r>
        <w:rPr/>
        <w:t>serious</w:t>
      </w:r>
      <w:r>
        <w:rPr>
          <w:spacing w:val="-4"/>
        </w:rPr>
        <w:t> </w:t>
      </w:r>
      <w:r>
        <w:rPr/>
        <w:t>difficulty</w:t>
      </w:r>
      <w:r>
        <w:rPr>
          <w:spacing w:val="-4"/>
        </w:rPr>
        <w:t> </w:t>
      </w:r>
      <w:r>
        <w:rPr/>
        <w:t>finding</w:t>
      </w:r>
      <w:r>
        <w:rPr>
          <w:spacing w:val="-3"/>
        </w:rPr>
        <w:t> </w:t>
      </w:r>
      <w:r>
        <w:rPr/>
        <w:t>foster</w:t>
      </w:r>
      <w:r>
        <w:rPr>
          <w:spacing w:val="-4"/>
        </w:rPr>
        <w:t> </w:t>
      </w:r>
      <w:r>
        <w:rPr/>
        <w:t>placements</w:t>
      </w:r>
      <w:r>
        <w:rPr>
          <w:spacing w:val="-2"/>
        </w:rPr>
        <w:t> </w:t>
      </w:r>
      <w:r>
        <w:rPr/>
        <w:t>that</w:t>
      </w:r>
      <w:r>
        <w:rPr>
          <w:spacing w:val="-4"/>
        </w:rPr>
        <w:t> </w:t>
      </w:r>
      <w:r>
        <w:rPr/>
        <w:t>are</w:t>
      </w:r>
      <w:r>
        <w:rPr>
          <w:spacing w:val="-4"/>
        </w:rPr>
        <w:t> </w:t>
      </w:r>
      <w:r>
        <w:rPr/>
        <w:t>affirming.</w:t>
      </w:r>
      <w:r>
        <w:rPr>
          <w:spacing w:val="-3"/>
        </w:rPr>
        <w:t> </w:t>
      </w:r>
      <w:r>
        <w:rPr/>
        <w:t>Involvement</w:t>
      </w:r>
      <w:r>
        <w:rPr>
          <w:spacing w:val="-3"/>
        </w:rPr>
        <w:t> </w:t>
      </w:r>
      <w:r>
        <w:rPr/>
        <w:t>with</w:t>
      </w:r>
      <w:r>
        <w:rPr>
          <w:spacing w:val="-4"/>
        </w:rPr>
        <w:t> </w:t>
      </w:r>
      <w:r>
        <w:rPr/>
        <w:t>a</w:t>
      </w:r>
      <w:r>
        <w:rPr>
          <w:spacing w:val="-4"/>
        </w:rPr>
        <w:t> </w:t>
      </w:r>
      <w:r>
        <w:rPr/>
        <w:t>system that is meant to help them only worsens their well-being. The Commission’s 2021 report, “LGBTQ Youth in the Massachusetts Child Welfare System: A Report on Pervasive Threats to Safety, Wellbeing, and Permanency,” further examines the harms to the well-being of LGBTQ youth caught in this system.</w:t>
      </w:r>
    </w:p>
    <w:p>
      <w:pPr>
        <w:spacing w:line="276" w:lineRule="auto" w:before="240"/>
        <w:ind w:left="463" w:right="283" w:firstLine="0"/>
        <w:jc w:val="both"/>
        <w:rPr>
          <w:sz w:val="28"/>
        </w:rPr>
      </w:pPr>
      <w:bookmarkStart w:name="The Need for True Oversight, Accountabil" w:id="103"/>
      <w:bookmarkEnd w:id="103"/>
      <w:r>
        <w:rPr/>
      </w:r>
      <w:r>
        <w:rPr>
          <w:color w:val="365F91"/>
          <w:sz w:val="28"/>
        </w:rPr>
        <w:t>The Need for True Oversight, Accountability, and Transparency for the Child Welfare System</w:t>
      </w:r>
    </w:p>
    <w:p>
      <w:pPr>
        <w:pStyle w:val="BodyText"/>
        <w:spacing w:line="276" w:lineRule="auto" w:before="241"/>
        <w:ind w:left="463" w:right="280"/>
        <w:jc w:val="both"/>
      </w:pPr>
      <w:r>
        <w:rPr/>
        <w:t>Perpetuating alarming</w:t>
      </w:r>
      <w:r>
        <w:rPr>
          <w:spacing w:val="-1"/>
        </w:rPr>
        <w:t> </w:t>
      </w:r>
      <w:r>
        <w:rPr/>
        <w:t>failures are</w:t>
      </w:r>
      <w:r>
        <w:rPr>
          <w:spacing w:val="-1"/>
        </w:rPr>
        <w:t> </w:t>
      </w:r>
      <w:r>
        <w:rPr/>
        <w:t>a lack of adequate oversight, accountability, and</w:t>
      </w:r>
      <w:r>
        <w:rPr>
          <w:spacing w:val="-1"/>
        </w:rPr>
        <w:t> </w:t>
      </w:r>
      <w:r>
        <w:rPr/>
        <w:t>transparency among the</w:t>
      </w:r>
      <w:r>
        <w:rPr>
          <w:spacing w:val="-2"/>
        </w:rPr>
        <w:t> </w:t>
      </w:r>
      <w:r>
        <w:rPr/>
        <w:t>systems</w:t>
      </w:r>
      <w:r>
        <w:rPr>
          <w:spacing w:val="-1"/>
        </w:rPr>
        <w:t> </w:t>
      </w:r>
      <w:r>
        <w:rPr/>
        <w:t>serving</w:t>
      </w:r>
      <w:r>
        <w:rPr>
          <w:spacing w:val="-2"/>
        </w:rPr>
        <w:t> </w:t>
      </w:r>
      <w:r>
        <w:rPr/>
        <w:t>our</w:t>
      </w:r>
      <w:r>
        <w:rPr>
          <w:spacing w:val="-1"/>
        </w:rPr>
        <w:t> </w:t>
      </w:r>
      <w:r>
        <w:rPr/>
        <w:t>most</w:t>
      </w:r>
      <w:r>
        <w:rPr>
          <w:spacing w:val="-2"/>
        </w:rPr>
        <w:t> </w:t>
      </w:r>
      <w:r>
        <w:rPr/>
        <w:t>vulnerable</w:t>
      </w:r>
      <w:r>
        <w:rPr>
          <w:spacing w:val="-2"/>
        </w:rPr>
        <w:t> </w:t>
      </w:r>
      <w:r>
        <w:rPr/>
        <w:t>youth.</w:t>
      </w:r>
      <w:r>
        <w:rPr>
          <w:spacing w:val="-1"/>
        </w:rPr>
        <w:t> </w:t>
      </w:r>
      <w:r>
        <w:rPr/>
        <w:t>The</w:t>
      </w:r>
      <w:r>
        <w:rPr>
          <w:spacing w:val="-1"/>
        </w:rPr>
        <w:t> </w:t>
      </w:r>
      <w:r>
        <w:rPr/>
        <w:t>recent</w:t>
      </w:r>
      <w:r>
        <w:rPr>
          <w:spacing w:val="-2"/>
        </w:rPr>
        <w:t> </w:t>
      </w:r>
      <w:r>
        <w:rPr/>
        <w:t>Friends</w:t>
      </w:r>
      <w:r>
        <w:rPr>
          <w:spacing w:val="-1"/>
        </w:rPr>
        <w:t> </w:t>
      </w:r>
      <w:r>
        <w:rPr/>
        <w:t>of</w:t>
      </w:r>
      <w:r>
        <w:rPr>
          <w:spacing w:val="-1"/>
        </w:rPr>
        <w:t> </w:t>
      </w:r>
      <w:r>
        <w:rPr/>
        <w:t>Children</w:t>
      </w:r>
      <w:r>
        <w:rPr>
          <w:spacing w:val="-1"/>
        </w:rPr>
        <w:t> </w:t>
      </w:r>
      <w:r>
        <w:rPr/>
        <w:t>report,</w:t>
      </w:r>
      <w:r>
        <w:rPr>
          <w:spacing w:val="-1"/>
        </w:rPr>
        <w:t> </w:t>
      </w:r>
      <w:r>
        <w:rPr/>
        <w:t>“</w:t>
      </w:r>
      <w:hyperlink r:id="rId65">
        <w:r>
          <w:rPr>
            <w:color w:val="112D51"/>
            <w:u w:val="single" w:color="112D51"/>
          </w:rPr>
          <w:t>Ten</w:t>
        </w:r>
        <w:r>
          <w:rPr>
            <w:color w:val="112D51"/>
            <w:spacing w:val="-1"/>
            <w:u w:val="single" w:color="112D51"/>
          </w:rPr>
          <w:t> </w:t>
        </w:r>
        <w:r>
          <w:rPr>
            <w:color w:val="112D51"/>
            <w:u w:val="single" w:color="112D51"/>
          </w:rPr>
          <w:t>Myths</w:t>
        </w:r>
        <w:r>
          <w:rPr>
            <w:color w:val="112D51"/>
            <w:spacing w:val="-1"/>
            <w:u w:val="single" w:color="112D51"/>
          </w:rPr>
          <w:t> </w:t>
        </w:r>
        <w:r>
          <w:rPr>
            <w:color w:val="112D51"/>
            <w:u w:val="single" w:color="112D51"/>
          </w:rPr>
          <w:t>about</w:t>
        </w:r>
      </w:hyperlink>
      <w:r>
        <w:rPr>
          <w:color w:val="112D51"/>
          <w:u w:val="none"/>
        </w:rPr>
        <w:t> </w:t>
      </w:r>
      <w:hyperlink r:id="rId65">
        <w:r>
          <w:rPr>
            <w:color w:val="112D51"/>
            <w:u w:val="single" w:color="112D51"/>
          </w:rPr>
          <w:t>Child Welfare Oversight in Massachusetts</w:t>
        </w:r>
      </w:hyperlink>
      <w:r>
        <w:rPr>
          <w:u w:val="none"/>
        </w:rPr>
        <w:t>”</w:t>
      </w:r>
      <w:hyperlink r:id="rId66">
        <w:r>
          <w:rPr>
            <w:u w:val="none"/>
            <w:vertAlign w:val="superscript"/>
          </w:rPr>
          <w:t>33</w:t>
        </w:r>
      </w:hyperlink>
      <w:r>
        <w:rPr>
          <w:u w:val="none"/>
          <w:vertAlign w:val="baseline"/>
        </w:rPr>
        <w:t> details the misconceptions about the current child welfare system that enable the system to evade change. Many of the key roles leading the child welfare system, including the Secretary of the Office of Health and Human Services, the DCF Commissioner, and juvenile court judgeships are gubernatorial appointments, and as such the Governor has outsize influence over the Massachusetts child welfare system as compared to other states. Apart from the Governor and the</w:t>
      </w:r>
    </w:p>
    <w:p>
      <w:pPr>
        <w:spacing w:after="0" w:line="276" w:lineRule="auto"/>
        <w:jc w:val="both"/>
        <w:sectPr>
          <w:pgSz w:w="12240" w:h="15840"/>
          <w:pgMar w:header="804" w:footer="1263" w:top="1000" w:bottom="1460" w:left="980" w:right="1160"/>
        </w:sectPr>
      </w:pPr>
    </w:p>
    <w:p>
      <w:pPr>
        <w:pStyle w:val="BodyText"/>
        <w:spacing w:line="276" w:lineRule="auto" w:before="139"/>
        <w:ind w:left="463" w:right="281"/>
        <w:jc w:val="both"/>
      </w:pPr>
      <w:r>
        <w:rPr/>
        <w:t>Executive</w:t>
      </w:r>
      <w:r>
        <w:rPr>
          <w:spacing w:val="-6"/>
        </w:rPr>
        <w:t> </w:t>
      </w:r>
      <w:r>
        <w:rPr/>
        <w:t>Office</w:t>
      </w:r>
      <w:r>
        <w:rPr>
          <w:spacing w:val="-8"/>
        </w:rPr>
        <w:t> </w:t>
      </w:r>
      <w:r>
        <w:rPr/>
        <w:t>of</w:t>
      </w:r>
      <w:r>
        <w:rPr>
          <w:spacing w:val="-7"/>
        </w:rPr>
        <w:t> </w:t>
      </w:r>
      <w:r>
        <w:rPr/>
        <w:t>Health</w:t>
      </w:r>
      <w:r>
        <w:rPr>
          <w:spacing w:val="-7"/>
        </w:rPr>
        <w:t> </w:t>
      </w:r>
      <w:r>
        <w:rPr/>
        <w:t>and</w:t>
      </w:r>
      <w:r>
        <w:rPr>
          <w:spacing w:val="-8"/>
        </w:rPr>
        <w:t> </w:t>
      </w:r>
      <w:r>
        <w:rPr/>
        <w:t>Human</w:t>
      </w:r>
      <w:r>
        <w:rPr>
          <w:spacing w:val="-8"/>
        </w:rPr>
        <w:t> </w:t>
      </w:r>
      <w:r>
        <w:rPr/>
        <w:t>Services,</w:t>
      </w:r>
      <w:r>
        <w:rPr>
          <w:spacing w:val="-7"/>
        </w:rPr>
        <w:t> </w:t>
      </w:r>
      <w:r>
        <w:rPr/>
        <w:t>other</w:t>
      </w:r>
      <w:r>
        <w:rPr>
          <w:spacing w:val="-6"/>
        </w:rPr>
        <w:t> </w:t>
      </w:r>
      <w:r>
        <w:rPr/>
        <w:t>accountability</w:t>
      </w:r>
      <w:r>
        <w:rPr>
          <w:spacing w:val="-7"/>
        </w:rPr>
        <w:t> </w:t>
      </w:r>
      <w:r>
        <w:rPr/>
        <w:t>mechanisms</w:t>
      </w:r>
      <w:r>
        <w:rPr>
          <w:spacing w:val="-7"/>
        </w:rPr>
        <w:t> </w:t>
      </w:r>
      <w:r>
        <w:rPr/>
        <w:t>for</w:t>
      </w:r>
      <w:r>
        <w:rPr>
          <w:spacing w:val="-7"/>
        </w:rPr>
        <w:t> </w:t>
      </w:r>
      <w:r>
        <w:rPr/>
        <w:t>DCF</w:t>
      </w:r>
      <w:r>
        <w:rPr>
          <w:spacing w:val="-8"/>
        </w:rPr>
        <w:t> </w:t>
      </w:r>
      <w:r>
        <w:rPr/>
        <w:t>have</w:t>
      </w:r>
      <w:r>
        <w:rPr>
          <w:spacing w:val="-8"/>
        </w:rPr>
        <w:t> </w:t>
      </w:r>
      <w:r>
        <w:rPr/>
        <w:t>little</w:t>
      </w:r>
      <w:r>
        <w:rPr>
          <w:spacing w:val="-8"/>
        </w:rPr>
        <w:t> </w:t>
      </w:r>
      <w:r>
        <w:rPr/>
        <w:t>to</w:t>
      </w:r>
      <w:r>
        <w:rPr>
          <w:spacing w:val="-6"/>
        </w:rPr>
        <w:t> </w:t>
      </w:r>
      <w:r>
        <w:rPr/>
        <w:t>no authority over DCF. In Massachusetts, the Office of the Child Advocate (OCA) is directed to provide oversight and accountability for state agencies serving the Commonwealth’s most vulnerable youth. However,</w:t>
      </w:r>
      <w:r>
        <w:rPr>
          <w:spacing w:val="-1"/>
        </w:rPr>
        <w:t> </w:t>
      </w:r>
      <w:r>
        <w:rPr/>
        <w:t>as discussed</w:t>
      </w:r>
      <w:r>
        <w:rPr>
          <w:spacing w:val="-1"/>
        </w:rPr>
        <w:t> </w:t>
      </w:r>
      <w:r>
        <w:rPr/>
        <w:t>in</w:t>
      </w:r>
      <w:r>
        <w:rPr>
          <w:spacing w:val="-1"/>
        </w:rPr>
        <w:t> </w:t>
      </w:r>
      <w:r>
        <w:rPr/>
        <w:t>the OCA</w:t>
      </w:r>
      <w:r>
        <w:rPr>
          <w:spacing w:val="-1"/>
        </w:rPr>
        <w:t> </w:t>
      </w:r>
      <w:r>
        <w:rPr/>
        <w:t>recommendations</w:t>
      </w:r>
      <w:r>
        <w:rPr>
          <w:spacing w:val="-1"/>
        </w:rPr>
        <w:t> </w:t>
      </w:r>
      <w:r>
        <w:rPr/>
        <w:t>below, the Commission</w:t>
      </w:r>
      <w:r>
        <w:rPr>
          <w:spacing w:val="-1"/>
        </w:rPr>
        <w:t> </w:t>
      </w:r>
      <w:r>
        <w:rPr/>
        <w:t>has</w:t>
      </w:r>
      <w:r>
        <w:rPr>
          <w:spacing w:val="-1"/>
        </w:rPr>
        <w:t> </w:t>
      </w:r>
      <w:r>
        <w:rPr/>
        <w:t>serious</w:t>
      </w:r>
      <w:r>
        <w:rPr>
          <w:spacing w:val="-1"/>
        </w:rPr>
        <w:t> </w:t>
      </w:r>
      <w:r>
        <w:rPr/>
        <w:t>concerns</w:t>
      </w:r>
      <w:r>
        <w:rPr>
          <w:spacing w:val="-1"/>
        </w:rPr>
        <w:t> </w:t>
      </w:r>
      <w:r>
        <w:rPr/>
        <w:t>about the OCA’s commitment to impartial and transparent accountability for the child welfare system.</w:t>
      </w:r>
    </w:p>
    <w:p>
      <w:pPr>
        <w:pStyle w:val="BodyText"/>
        <w:spacing w:line="276" w:lineRule="auto" w:before="238"/>
        <w:ind w:left="463" w:right="282"/>
        <w:jc w:val="both"/>
      </w:pPr>
      <w:r>
        <w:rPr/>
        <w:t>In Massachusetts, the child welfare Ombudsman is an employee of DCF charged with investigating complaint reports against DCF, leading to concerns from the Commission about the appropriate impartiality of the role. Additionally, foster case review occurs internally through DCF, leading to little external</w:t>
      </w:r>
      <w:r>
        <w:rPr>
          <w:spacing w:val="-1"/>
        </w:rPr>
        <w:t> </w:t>
      </w:r>
      <w:r>
        <w:rPr/>
        <w:t>accountability</w:t>
      </w:r>
      <w:r>
        <w:rPr>
          <w:spacing w:val="-1"/>
        </w:rPr>
        <w:t> </w:t>
      </w:r>
      <w:r>
        <w:rPr/>
        <w:t>to ensure</w:t>
      </w:r>
      <w:r>
        <w:rPr>
          <w:spacing w:val="-1"/>
        </w:rPr>
        <w:t> </w:t>
      </w:r>
      <w:r>
        <w:rPr/>
        <w:t>that</w:t>
      </w:r>
      <w:r>
        <w:rPr>
          <w:spacing w:val="-1"/>
        </w:rPr>
        <w:t> </w:t>
      </w:r>
      <w:r>
        <w:rPr/>
        <w:t>the</w:t>
      </w:r>
      <w:r>
        <w:rPr>
          <w:spacing w:val="-2"/>
        </w:rPr>
        <w:t> </w:t>
      </w:r>
      <w:r>
        <w:rPr/>
        <w:t>well-being</w:t>
      </w:r>
      <w:r>
        <w:rPr>
          <w:spacing w:val="-1"/>
        </w:rPr>
        <w:t> </w:t>
      </w:r>
      <w:r>
        <w:rPr/>
        <w:t>of</w:t>
      </w:r>
      <w:r>
        <w:rPr>
          <w:spacing w:val="-2"/>
        </w:rPr>
        <w:t> </w:t>
      </w:r>
      <w:r>
        <w:rPr/>
        <w:t>youth</w:t>
      </w:r>
      <w:r>
        <w:rPr>
          <w:spacing w:val="-1"/>
        </w:rPr>
        <w:t> </w:t>
      </w:r>
      <w:r>
        <w:rPr/>
        <w:t>in</w:t>
      </w:r>
      <w:r>
        <w:rPr>
          <w:spacing w:val="-1"/>
        </w:rPr>
        <w:t> </w:t>
      </w:r>
      <w:r>
        <w:rPr/>
        <w:t>foster</w:t>
      </w:r>
      <w:r>
        <w:rPr>
          <w:spacing w:val="-2"/>
        </w:rPr>
        <w:t> </w:t>
      </w:r>
      <w:r>
        <w:rPr/>
        <w:t>care</w:t>
      </w:r>
      <w:r>
        <w:rPr>
          <w:spacing w:val="-1"/>
        </w:rPr>
        <w:t> </w:t>
      </w:r>
      <w:r>
        <w:rPr/>
        <w:t>is being</w:t>
      </w:r>
      <w:r>
        <w:rPr>
          <w:spacing w:val="-1"/>
        </w:rPr>
        <w:t> </w:t>
      </w:r>
      <w:r>
        <w:rPr/>
        <w:t>protected.</w:t>
      </w:r>
      <w:r>
        <w:rPr>
          <w:spacing w:val="-1"/>
        </w:rPr>
        <w:t> </w:t>
      </w:r>
      <w:r>
        <w:rPr/>
        <w:t>To better address these concerns, the Commission recommends that the state implement an independent foster care review office - used by many other states across the U.S. - which would provide an opportunity to objectively assess each child welfare case and make impartial recommendations to all relevant stakeholders regarding the safety and well-being of youth in DCF. For LGBTQ youth, who are among the most vulnerable youth in foster care, the establishment of independent foster care review is paramount to protecting their well-being. Furthermore, as noted in the above recommendations, the Commission recommends that the state explore the creation of a more expansive maltreatment coding system to provide clearer categorizations of maltreatment, with a specific code for LGBTQ youth.</w:t>
      </w:r>
    </w:p>
    <w:p>
      <w:pPr>
        <w:pStyle w:val="BodyText"/>
        <w:spacing w:line="276" w:lineRule="auto" w:before="241"/>
        <w:ind w:left="463" w:right="279"/>
        <w:jc w:val="both"/>
      </w:pPr>
      <w:r>
        <w:rPr/>
        <w:t>In</w:t>
      </w:r>
      <w:r>
        <w:rPr>
          <w:spacing w:val="-3"/>
        </w:rPr>
        <w:t> </w:t>
      </w:r>
      <w:r>
        <w:rPr/>
        <w:t>Massachusetts,</w:t>
      </w:r>
      <w:r>
        <w:rPr>
          <w:spacing w:val="-3"/>
        </w:rPr>
        <w:t> </w:t>
      </w:r>
      <w:r>
        <w:rPr/>
        <w:t>Juvenile</w:t>
      </w:r>
      <w:r>
        <w:rPr>
          <w:spacing w:val="-2"/>
        </w:rPr>
        <w:t> </w:t>
      </w:r>
      <w:r>
        <w:rPr/>
        <w:t>Court</w:t>
      </w:r>
      <w:r>
        <w:rPr>
          <w:spacing w:val="-3"/>
        </w:rPr>
        <w:t> </w:t>
      </w:r>
      <w:r>
        <w:rPr/>
        <w:t>judges</w:t>
      </w:r>
      <w:r>
        <w:rPr>
          <w:spacing w:val="-1"/>
        </w:rPr>
        <w:t> </w:t>
      </w:r>
      <w:r>
        <w:rPr/>
        <w:t>make</w:t>
      </w:r>
      <w:r>
        <w:rPr>
          <w:spacing w:val="-3"/>
        </w:rPr>
        <w:t> </w:t>
      </w:r>
      <w:r>
        <w:rPr/>
        <w:t>decisions</w:t>
      </w:r>
      <w:r>
        <w:rPr>
          <w:spacing w:val="-2"/>
        </w:rPr>
        <w:t> </w:t>
      </w:r>
      <w:r>
        <w:rPr/>
        <w:t>regarding</w:t>
      </w:r>
      <w:r>
        <w:rPr>
          <w:spacing w:val="-1"/>
        </w:rPr>
        <w:t> </w:t>
      </w:r>
      <w:r>
        <w:rPr/>
        <w:t>the</w:t>
      </w:r>
      <w:r>
        <w:rPr>
          <w:spacing w:val="-2"/>
        </w:rPr>
        <w:t> </w:t>
      </w:r>
      <w:r>
        <w:rPr/>
        <w:t>custody</w:t>
      </w:r>
      <w:r>
        <w:rPr>
          <w:spacing w:val="-3"/>
        </w:rPr>
        <w:t> </w:t>
      </w:r>
      <w:r>
        <w:rPr/>
        <w:t>of</w:t>
      </w:r>
      <w:r>
        <w:rPr>
          <w:spacing w:val="-3"/>
        </w:rPr>
        <w:t> </w:t>
      </w:r>
      <w:r>
        <w:rPr/>
        <w:t>children</w:t>
      </w:r>
      <w:r>
        <w:rPr>
          <w:spacing w:val="-3"/>
        </w:rPr>
        <w:t> </w:t>
      </w:r>
      <w:r>
        <w:rPr/>
        <w:t>and</w:t>
      </w:r>
      <w:r>
        <w:rPr>
          <w:spacing w:val="-3"/>
        </w:rPr>
        <w:t> </w:t>
      </w:r>
      <w:r>
        <w:rPr/>
        <w:t>youth,</w:t>
      </w:r>
      <w:r>
        <w:rPr>
          <w:spacing w:val="-1"/>
        </w:rPr>
        <w:t> </w:t>
      </w:r>
      <w:r>
        <w:rPr/>
        <w:t>the termination</w:t>
      </w:r>
      <w:r>
        <w:rPr>
          <w:spacing w:val="-9"/>
        </w:rPr>
        <w:t> </w:t>
      </w:r>
      <w:r>
        <w:rPr/>
        <w:t>of</w:t>
      </w:r>
      <w:r>
        <w:rPr>
          <w:spacing w:val="-9"/>
        </w:rPr>
        <w:t> </w:t>
      </w:r>
      <w:r>
        <w:rPr/>
        <w:t>parental</w:t>
      </w:r>
      <w:r>
        <w:rPr>
          <w:spacing w:val="-8"/>
        </w:rPr>
        <w:t> </w:t>
      </w:r>
      <w:r>
        <w:rPr/>
        <w:t>rights,</w:t>
      </w:r>
      <w:r>
        <w:rPr>
          <w:spacing w:val="-8"/>
        </w:rPr>
        <w:t> </w:t>
      </w:r>
      <w:r>
        <w:rPr/>
        <w:t>guardianship,</w:t>
      </w:r>
      <w:r>
        <w:rPr>
          <w:spacing w:val="-8"/>
        </w:rPr>
        <w:t> </w:t>
      </w:r>
      <w:r>
        <w:rPr/>
        <w:t>and</w:t>
      </w:r>
      <w:r>
        <w:rPr>
          <w:spacing w:val="-9"/>
        </w:rPr>
        <w:t> </w:t>
      </w:r>
      <w:r>
        <w:rPr/>
        <w:t>adoption.</w:t>
      </w:r>
      <w:r>
        <w:rPr>
          <w:spacing w:val="-8"/>
        </w:rPr>
        <w:t> </w:t>
      </w:r>
      <w:r>
        <w:rPr/>
        <w:t>However,</w:t>
      </w:r>
      <w:r>
        <w:rPr>
          <w:spacing w:val="-8"/>
        </w:rPr>
        <w:t> </w:t>
      </w:r>
      <w:r>
        <w:rPr/>
        <w:t>due</w:t>
      </w:r>
      <w:r>
        <w:rPr>
          <w:spacing w:val="-8"/>
        </w:rPr>
        <w:t> </w:t>
      </w:r>
      <w:r>
        <w:rPr/>
        <w:t>to</w:t>
      </w:r>
      <w:r>
        <w:rPr>
          <w:spacing w:val="-8"/>
        </w:rPr>
        <w:t> </w:t>
      </w:r>
      <w:r>
        <w:rPr/>
        <w:t>several</w:t>
      </w:r>
      <w:r>
        <w:rPr>
          <w:spacing w:val="-9"/>
        </w:rPr>
        <w:t> </w:t>
      </w:r>
      <w:r>
        <w:rPr/>
        <w:t>MA</w:t>
      </w:r>
      <w:r>
        <w:rPr>
          <w:spacing w:val="-9"/>
        </w:rPr>
        <w:t> </w:t>
      </w:r>
      <w:r>
        <w:rPr/>
        <w:t>Supreme</w:t>
      </w:r>
      <w:r>
        <w:rPr>
          <w:spacing w:val="-8"/>
        </w:rPr>
        <w:t> </w:t>
      </w:r>
      <w:r>
        <w:rPr/>
        <w:t>Judicial Court rulings, the legal standard to overcome DCF decisions is high, and Juvenile Court judges in Massachusetts</w:t>
      </w:r>
      <w:r>
        <w:rPr>
          <w:spacing w:val="-7"/>
        </w:rPr>
        <w:t> </w:t>
      </w:r>
      <w:r>
        <w:rPr/>
        <w:t>have</w:t>
      </w:r>
      <w:r>
        <w:rPr>
          <w:spacing w:val="-8"/>
        </w:rPr>
        <w:t> </w:t>
      </w:r>
      <w:r>
        <w:rPr/>
        <w:t>limited</w:t>
      </w:r>
      <w:r>
        <w:rPr>
          <w:spacing w:val="-8"/>
        </w:rPr>
        <w:t> </w:t>
      </w:r>
      <w:r>
        <w:rPr/>
        <w:t>recourse</w:t>
      </w:r>
      <w:r>
        <w:rPr>
          <w:spacing w:val="-6"/>
        </w:rPr>
        <w:t> </w:t>
      </w:r>
      <w:r>
        <w:rPr/>
        <w:t>on</w:t>
      </w:r>
      <w:r>
        <w:rPr>
          <w:spacing w:val="-7"/>
        </w:rPr>
        <w:t> </w:t>
      </w:r>
      <w:r>
        <w:rPr/>
        <w:t>DCF’s</w:t>
      </w:r>
      <w:r>
        <w:rPr>
          <w:spacing w:val="-7"/>
        </w:rPr>
        <w:t> </w:t>
      </w:r>
      <w:r>
        <w:rPr/>
        <w:t>actions.</w:t>
      </w:r>
      <w:r>
        <w:rPr>
          <w:spacing w:val="-8"/>
        </w:rPr>
        <w:t> </w:t>
      </w:r>
      <w:r>
        <w:rPr/>
        <w:t>Additionally,</w:t>
      </w:r>
      <w:r>
        <w:rPr>
          <w:spacing w:val="-6"/>
        </w:rPr>
        <w:t> </w:t>
      </w:r>
      <w:r>
        <w:rPr/>
        <w:t>it</w:t>
      </w:r>
      <w:r>
        <w:rPr>
          <w:spacing w:val="-8"/>
        </w:rPr>
        <w:t> </w:t>
      </w:r>
      <w:r>
        <w:rPr/>
        <w:t>is</w:t>
      </w:r>
      <w:r>
        <w:rPr>
          <w:spacing w:val="-6"/>
        </w:rPr>
        <w:t> </w:t>
      </w:r>
      <w:r>
        <w:rPr/>
        <w:t>the</w:t>
      </w:r>
      <w:r>
        <w:rPr>
          <w:spacing w:val="-6"/>
        </w:rPr>
        <w:t> </w:t>
      </w:r>
      <w:r>
        <w:rPr/>
        <w:t>Commission’s</w:t>
      </w:r>
      <w:r>
        <w:rPr>
          <w:spacing w:val="-7"/>
        </w:rPr>
        <w:t> </w:t>
      </w:r>
      <w:r>
        <w:rPr/>
        <w:t>understanding that the juvenile courts are suffering from a shortage of public defenders to represent children, youth, and parents when the court has granted custody to DCF</w:t>
      </w:r>
      <w:hyperlink r:id="rId67">
        <w:r>
          <w:rPr/>
          <w:t>;</w:t>
        </w:r>
        <w:r>
          <w:rPr>
            <w:vertAlign w:val="superscript"/>
          </w:rPr>
          <w:t>34</w:t>
        </w:r>
      </w:hyperlink>
      <w:r>
        <w:rPr>
          <w:vertAlign w:val="baseline"/>
        </w:rPr>
        <w:t> these attorneys are hired by the Committee for Public Counsel Services which the Commission has newly issued recommendations to for FY 2024. Further,</w:t>
      </w:r>
      <w:r>
        <w:rPr>
          <w:spacing w:val="-9"/>
          <w:vertAlign w:val="baseline"/>
        </w:rPr>
        <w:t> </w:t>
      </w:r>
      <w:r>
        <w:rPr>
          <w:vertAlign w:val="baseline"/>
        </w:rPr>
        <w:t>many</w:t>
      </w:r>
      <w:r>
        <w:rPr>
          <w:spacing w:val="-10"/>
          <w:vertAlign w:val="baseline"/>
        </w:rPr>
        <w:t> </w:t>
      </w:r>
      <w:r>
        <w:rPr>
          <w:vertAlign w:val="baseline"/>
        </w:rPr>
        <w:t>issues</w:t>
      </w:r>
      <w:r>
        <w:rPr>
          <w:spacing w:val="-9"/>
          <w:vertAlign w:val="baseline"/>
        </w:rPr>
        <w:t> </w:t>
      </w:r>
      <w:r>
        <w:rPr>
          <w:vertAlign w:val="baseline"/>
        </w:rPr>
        <w:t>exist</w:t>
      </w:r>
      <w:r>
        <w:rPr>
          <w:spacing w:val="-8"/>
          <w:vertAlign w:val="baseline"/>
        </w:rPr>
        <w:t> </w:t>
      </w:r>
      <w:r>
        <w:rPr>
          <w:vertAlign w:val="baseline"/>
        </w:rPr>
        <w:t>regarding</w:t>
      </w:r>
      <w:r>
        <w:rPr>
          <w:spacing w:val="-9"/>
          <w:vertAlign w:val="baseline"/>
        </w:rPr>
        <w:t> </w:t>
      </w:r>
      <w:r>
        <w:rPr>
          <w:vertAlign w:val="baseline"/>
        </w:rPr>
        <w:t>the</w:t>
      </w:r>
      <w:r>
        <w:rPr>
          <w:spacing w:val="-9"/>
          <w:vertAlign w:val="baseline"/>
        </w:rPr>
        <w:t> </w:t>
      </w:r>
      <w:r>
        <w:rPr>
          <w:vertAlign w:val="baseline"/>
        </w:rPr>
        <w:t>quality</w:t>
      </w:r>
      <w:r>
        <w:rPr>
          <w:spacing w:val="-9"/>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defense</w:t>
      </w:r>
      <w:r>
        <w:rPr>
          <w:spacing w:val="-9"/>
          <w:vertAlign w:val="baseline"/>
        </w:rPr>
        <w:t> </w:t>
      </w:r>
      <w:r>
        <w:rPr>
          <w:vertAlign w:val="baseline"/>
        </w:rPr>
        <w:t>and</w:t>
      </w:r>
      <w:r>
        <w:rPr>
          <w:spacing w:val="-8"/>
          <w:vertAlign w:val="baseline"/>
        </w:rPr>
        <w:t> </w:t>
      </w:r>
      <w:r>
        <w:rPr>
          <w:vertAlign w:val="baseline"/>
        </w:rPr>
        <w:t>the</w:t>
      </w:r>
      <w:r>
        <w:rPr>
          <w:spacing w:val="-9"/>
          <w:vertAlign w:val="baseline"/>
        </w:rPr>
        <w:t> </w:t>
      </w:r>
      <w:r>
        <w:rPr>
          <w:vertAlign w:val="baseline"/>
        </w:rPr>
        <w:t>support</w:t>
      </w:r>
      <w:r>
        <w:rPr>
          <w:spacing w:val="-9"/>
          <w:vertAlign w:val="baseline"/>
        </w:rPr>
        <w:t> </w:t>
      </w:r>
      <w:r>
        <w:rPr>
          <w:vertAlign w:val="baseline"/>
        </w:rPr>
        <w:t>youth</w:t>
      </w:r>
      <w:r>
        <w:rPr>
          <w:spacing w:val="-9"/>
          <w:vertAlign w:val="baseline"/>
        </w:rPr>
        <w:t> </w:t>
      </w:r>
      <w:r>
        <w:rPr>
          <w:vertAlign w:val="baseline"/>
        </w:rPr>
        <w:t>and</w:t>
      </w:r>
      <w:r>
        <w:rPr>
          <w:spacing w:val="-9"/>
          <w:vertAlign w:val="baseline"/>
        </w:rPr>
        <w:t> </w:t>
      </w:r>
      <w:r>
        <w:rPr>
          <w:vertAlign w:val="baseline"/>
        </w:rPr>
        <w:t>families</w:t>
      </w:r>
      <w:r>
        <w:rPr>
          <w:spacing w:val="-10"/>
          <w:vertAlign w:val="baseline"/>
        </w:rPr>
        <w:t> </w:t>
      </w:r>
      <w:r>
        <w:rPr>
          <w:vertAlign w:val="baseline"/>
        </w:rPr>
        <w:t>receive from their assigned attorneys. Worse still, required hearings are not always held in a timely fashion, further distressing youth in custody.</w:t>
      </w:r>
    </w:p>
    <w:p>
      <w:pPr>
        <w:pStyle w:val="BodyText"/>
        <w:spacing w:line="276" w:lineRule="auto" w:before="241"/>
        <w:ind w:left="463" w:right="280"/>
        <w:jc w:val="both"/>
      </w:pPr>
      <w:r>
        <w:rPr/>
        <w:t>Additionally,</w:t>
      </w:r>
      <w:r>
        <w:rPr>
          <w:spacing w:val="-13"/>
        </w:rPr>
        <w:t> </w:t>
      </w:r>
      <w:r>
        <w:rPr/>
        <w:t>the</w:t>
      </w:r>
      <w:r>
        <w:rPr>
          <w:spacing w:val="-12"/>
        </w:rPr>
        <w:t> </w:t>
      </w:r>
      <w:r>
        <w:rPr/>
        <w:t>lack</w:t>
      </w:r>
      <w:r>
        <w:rPr>
          <w:spacing w:val="-13"/>
        </w:rPr>
        <w:t> </w:t>
      </w:r>
      <w:r>
        <w:rPr/>
        <w:t>of</w:t>
      </w:r>
      <w:r>
        <w:rPr>
          <w:spacing w:val="-12"/>
        </w:rPr>
        <w:t> </w:t>
      </w:r>
      <w:r>
        <w:rPr/>
        <w:t>transparency</w:t>
      </w:r>
      <w:r>
        <w:rPr>
          <w:spacing w:val="-13"/>
        </w:rPr>
        <w:t> </w:t>
      </w:r>
      <w:r>
        <w:rPr/>
        <w:t>in</w:t>
      </w:r>
      <w:r>
        <w:rPr>
          <w:spacing w:val="-12"/>
        </w:rPr>
        <w:t> </w:t>
      </w:r>
      <w:r>
        <w:rPr/>
        <w:t>Massachusetts</w:t>
      </w:r>
      <w:r>
        <w:rPr>
          <w:spacing w:val="-13"/>
        </w:rPr>
        <w:t> </w:t>
      </w:r>
      <w:r>
        <w:rPr/>
        <w:t>resulting</w:t>
      </w:r>
      <w:r>
        <w:rPr>
          <w:spacing w:val="-12"/>
        </w:rPr>
        <w:t> </w:t>
      </w:r>
      <w:r>
        <w:rPr/>
        <w:t>from</w:t>
      </w:r>
      <w:r>
        <w:rPr>
          <w:spacing w:val="-12"/>
        </w:rPr>
        <w:t> </w:t>
      </w:r>
      <w:r>
        <w:rPr/>
        <w:t>weak</w:t>
      </w:r>
      <w:r>
        <w:rPr>
          <w:spacing w:val="-13"/>
        </w:rPr>
        <w:t> </w:t>
      </w:r>
      <w:r>
        <w:rPr/>
        <w:t>or</w:t>
      </w:r>
      <w:r>
        <w:rPr>
          <w:spacing w:val="-12"/>
        </w:rPr>
        <w:t> </w:t>
      </w:r>
      <w:r>
        <w:rPr/>
        <w:t>nonexistent</w:t>
      </w:r>
      <w:r>
        <w:rPr>
          <w:spacing w:val="-13"/>
        </w:rPr>
        <w:t> </w:t>
      </w:r>
      <w:r>
        <w:rPr/>
        <w:t>public</w:t>
      </w:r>
      <w:r>
        <w:rPr>
          <w:spacing w:val="-12"/>
        </w:rPr>
        <w:t> </w:t>
      </w:r>
      <w:r>
        <w:rPr/>
        <w:t>meeting and public records laws further perpetuates the dysfunction of systems serving vulnerable children. Citizens, advocates, and the media often cannot access records related to the content of important meetings, nor can the public access voting records in many state-agency hearings. The COVID pandemic has</w:t>
      </w:r>
      <w:r>
        <w:rPr>
          <w:spacing w:val="-5"/>
        </w:rPr>
        <w:t> </w:t>
      </w:r>
      <w:r>
        <w:rPr/>
        <w:t>also</w:t>
      </w:r>
      <w:r>
        <w:rPr>
          <w:spacing w:val="-5"/>
        </w:rPr>
        <w:t> </w:t>
      </w:r>
      <w:r>
        <w:rPr/>
        <w:t>compromised</w:t>
      </w:r>
      <w:r>
        <w:rPr>
          <w:spacing w:val="-4"/>
        </w:rPr>
        <w:t> </w:t>
      </w:r>
      <w:r>
        <w:rPr/>
        <w:t>transparency.</w:t>
      </w:r>
      <w:r>
        <w:rPr>
          <w:spacing w:val="-4"/>
        </w:rPr>
        <w:t> </w:t>
      </w:r>
      <w:r>
        <w:rPr/>
        <w:t>The</w:t>
      </w:r>
      <w:r>
        <w:rPr>
          <w:spacing w:val="-6"/>
        </w:rPr>
        <w:t> </w:t>
      </w:r>
      <w:r>
        <w:rPr/>
        <w:t>deleterious</w:t>
      </w:r>
      <w:r>
        <w:rPr>
          <w:spacing w:val="-5"/>
        </w:rPr>
        <w:t> </w:t>
      </w:r>
      <w:r>
        <w:rPr/>
        <w:t>effects</w:t>
      </w:r>
      <w:r>
        <w:rPr>
          <w:spacing w:val="-5"/>
        </w:rPr>
        <w:t> </w:t>
      </w:r>
      <w:r>
        <w:rPr/>
        <w:t>of</w:t>
      </w:r>
      <w:r>
        <w:rPr>
          <w:spacing w:val="-5"/>
        </w:rPr>
        <w:t> </w:t>
      </w:r>
      <w:r>
        <w:rPr/>
        <w:t>the</w:t>
      </w:r>
      <w:r>
        <w:rPr>
          <w:spacing w:val="-6"/>
        </w:rPr>
        <w:t> </w:t>
      </w:r>
      <w:r>
        <w:rPr/>
        <w:t>pandemic</w:t>
      </w:r>
      <w:r>
        <w:rPr>
          <w:spacing w:val="-6"/>
        </w:rPr>
        <w:t> </w:t>
      </w:r>
      <w:r>
        <w:rPr/>
        <w:t>on</w:t>
      </w:r>
      <w:r>
        <w:rPr>
          <w:spacing w:val="-6"/>
        </w:rPr>
        <w:t> </w:t>
      </w:r>
      <w:r>
        <w:rPr/>
        <w:t>the</w:t>
      </w:r>
      <w:r>
        <w:rPr>
          <w:spacing w:val="-6"/>
        </w:rPr>
        <w:t> </w:t>
      </w:r>
      <w:r>
        <w:rPr/>
        <w:t>well-being</w:t>
      </w:r>
      <w:r>
        <w:rPr>
          <w:spacing w:val="-6"/>
        </w:rPr>
        <w:t> </w:t>
      </w:r>
      <w:r>
        <w:rPr/>
        <w:t>of</w:t>
      </w:r>
      <w:r>
        <w:rPr>
          <w:spacing w:val="-5"/>
        </w:rPr>
        <w:t> </w:t>
      </w:r>
      <w:r>
        <w:rPr/>
        <w:t>LGBTQ youth, particularly system-involved youth, continue to alarm those who serve them. However, all too often</w:t>
      </w:r>
      <w:r>
        <w:rPr>
          <w:spacing w:val="-12"/>
        </w:rPr>
        <w:t> </w:t>
      </w:r>
      <w:r>
        <w:rPr/>
        <w:t>in</w:t>
      </w:r>
      <w:r>
        <w:rPr>
          <w:spacing w:val="-12"/>
        </w:rPr>
        <w:t> </w:t>
      </w:r>
      <w:r>
        <w:rPr/>
        <w:t>recent</w:t>
      </w:r>
      <w:r>
        <w:rPr>
          <w:spacing w:val="-12"/>
        </w:rPr>
        <w:t> </w:t>
      </w:r>
      <w:r>
        <w:rPr/>
        <w:t>months,</w:t>
      </w:r>
      <w:r>
        <w:rPr>
          <w:spacing w:val="-11"/>
        </w:rPr>
        <w:t> </w:t>
      </w:r>
      <w:r>
        <w:rPr/>
        <w:t>officials</w:t>
      </w:r>
      <w:r>
        <w:rPr>
          <w:spacing w:val="-11"/>
        </w:rPr>
        <w:t> </w:t>
      </w:r>
      <w:r>
        <w:rPr/>
        <w:t>have</w:t>
      </w:r>
      <w:r>
        <w:rPr>
          <w:spacing w:val="-12"/>
        </w:rPr>
        <w:t> </w:t>
      </w:r>
      <w:r>
        <w:rPr/>
        <w:t>claimed</w:t>
      </w:r>
      <w:r>
        <w:rPr>
          <w:spacing w:val="-12"/>
        </w:rPr>
        <w:t> </w:t>
      </w:r>
      <w:r>
        <w:rPr/>
        <w:t>the</w:t>
      </w:r>
      <w:r>
        <w:rPr>
          <w:spacing w:val="-12"/>
        </w:rPr>
        <w:t> </w:t>
      </w:r>
      <w:r>
        <w:rPr/>
        <w:t>COVID</w:t>
      </w:r>
      <w:r>
        <w:rPr>
          <w:spacing w:val="-11"/>
        </w:rPr>
        <w:t> </w:t>
      </w:r>
      <w:r>
        <w:rPr/>
        <w:t>pandemic</w:t>
      </w:r>
      <w:r>
        <w:rPr>
          <w:spacing w:val="-12"/>
        </w:rPr>
        <w:t> </w:t>
      </w:r>
      <w:r>
        <w:rPr/>
        <w:t>as</w:t>
      </w:r>
      <w:r>
        <w:rPr>
          <w:spacing w:val="-11"/>
        </w:rPr>
        <w:t> </w:t>
      </w:r>
      <w:r>
        <w:rPr/>
        <w:t>a</w:t>
      </w:r>
      <w:r>
        <w:rPr>
          <w:spacing w:val="-11"/>
        </w:rPr>
        <w:t> </w:t>
      </w:r>
      <w:r>
        <w:rPr/>
        <w:t>smokescreen</w:t>
      </w:r>
      <w:r>
        <w:rPr>
          <w:spacing w:val="-12"/>
        </w:rPr>
        <w:t> </w:t>
      </w:r>
      <w:r>
        <w:rPr/>
        <w:t>for</w:t>
      </w:r>
      <w:r>
        <w:rPr>
          <w:spacing w:val="-11"/>
        </w:rPr>
        <w:t> </w:t>
      </w:r>
      <w:r>
        <w:rPr/>
        <w:t>failing</w:t>
      </w:r>
      <w:r>
        <w:rPr>
          <w:spacing w:val="-12"/>
        </w:rPr>
        <w:t> </w:t>
      </w:r>
      <w:r>
        <w:rPr/>
        <w:t>to</w:t>
      </w:r>
      <w:r>
        <w:rPr>
          <w:spacing w:val="-11"/>
        </w:rPr>
        <w:t> </w:t>
      </w:r>
      <w:r>
        <w:rPr/>
        <w:t>address issues</w:t>
      </w:r>
      <w:r>
        <w:rPr>
          <w:spacing w:val="-13"/>
        </w:rPr>
        <w:t> </w:t>
      </w:r>
      <w:r>
        <w:rPr/>
        <w:t>in</w:t>
      </w:r>
      <w:r>
        <w:rPr>
          <w:spacing w:val="-12"/>
        </w:rPr>
        <w:t> </w:t>
      </w:r>
      <w:r>
        <w:rPr/>
        <w:t>state</w:t>
      </w:r>
      <w:r>
        <w:rPr>
          <w:spacing w:val="-13"/>
        </w:rPr>
        <w:t> </w:t>
      </w:r>
      <w:r>
        <w:rPr/>
        <w:t>government</w:t>
      </w:r>
      <w:r>
        <w:rPr>
          <w:spacing w:val="-12"/>
        </w:rPr>
        <w:t> </w:t>
      </w:r>
      <w:r>
        <w:rPr/>
        <w:t>agencies</w:t>
      </w:r>
      <w:r>
        <w:rPr>
          <w:spacing w:val="-13"/>
        </w:rPr>
        <w:t> </w:t>
      </w:r>
      <w:r>
        <w:rPr/>
        <w:t>that</w:t>
      </w:r>
      <w:r>
        <w:rPr>
          <w:spacing w:val="-12"/>
        </w:rPr>
        <w:t> </w:t>
      </w:r>
      <w:r>
        <w:rPr/>
        <w:t>existed</w:t>
      </w:r>
      <w:r>
        <w:rPr>
          <w:spacing w:val="-13"/>
        </w:rPr>
        <w:t> </w:t>
      </w:r>
      <w:r>
        <w:rPr/>
        <w:t>long</w:t>
      </w:r>
      <w:r>
        <w:rPr>
          <w:spacing w:val="-12"/>
        </w:rPr>
        <w:t> </w:t>
      </w:r>
      <w:r>
        <w:rPr/>
        <w:t>before</w:t>
      </w:r>
      <w:r>
        <w:rPr>
          <w:spacing w:val="-12"/>
        </w:rPr>
        <w:t> </w:t>
      </w:r>
      <w:r>
        <w:rPr/>
        <w:t>the</w:t>
      </w:r>
      <w:r>
        <w:rPr>
          <w:spacing w:val="-13"/>
        </w:rPr>
        <w:t> </w:t>
      </w:r>
      <w:r>
        <w:rPr/>
        <w:t>pandemic.</w:t>
      </w:r>
      <w:r>
        <w:rPr>
          <w:spacing w:val="-12"/>
        </w:rPr>
        <w:t> </w:t>
      </w:r>
      <w:r>
        <w:rPr/>
        <w:t>The</w:t>
      </w:r>
      <w:r>
        <w:rPr>
          <w:spacing w:val="-13"/>
        </w:rPr>
        <w:t> </w:t>
      </w:r>
      <w:r>
        <w:rPr/>
        <w:t>Commission</w:t>
      </w:r>
      <w:r>
        <w:rPr>
          <w:spacing w:val="-12"/>
        </w:rPr>
        <w:t> </w:t>
      </w:r>
      <w:r>
        <w:rPr/>
        <w:t>recommends that</w:t>
      </w:r>
      <w:r>
        <w:rPr>
          <w:spacing w:val="-5"/>
        </w:rPr>
        <w:t> </w:t>
      </w:r>
      <w:r>
        <w:rPr/>
        <w:t>Massachusetts</w:t>
      </w:r>
      <w:r>
        <w:rPr>
          <w:spacing w:val="-5"/>
        </w:rPr>
        <w:t> </w:t>
      </w:r>
      <w:r>
        <w:rPr/>
        <w:t>examine</w:t>
      </w:r>
      <w:r>
        <w:rPr>
          <w:spacing w:val="-5"/>
        </w:rPr>
        <w:t> </w:t>
      </w:r>
      <w:r>
        <w:rPr/>
        <w:t>how</w:t>
      </w:r>
      <w:r>
        <w:rPr>
          <w:spacing w:val="-5"/>
        </w:rPr>
        <w:t> </w:t>
      </w:r>
      <w:r>
        <w:rPr/>
        <w:t>it</w:t>
      </w:r>
      <w:r>
        <w:rPr>
          <w:spacing w:val="-4"/>
        </w:rPr>
        <w:t> </w:t>
      </w:r>
      <w:r>
        <w:rPr/>
        <w:t>can</w:t>
      </w:r>
      <w:r>
        <w:rPr>
          <w:spacing w:val="-4"/>
        </w:rPr>
        <w:t> </w:t>
      </w:r>
      <w:r>
        <w:rPr/>
        <w:t>increase</w:t>
      </w:r>
      <w:r>
        <w:rPr>
          <w:spacing w:val="-5"/>
        </w:rPr>
        <w:t> </w:t>
      </w:r>
      <w:r>
        <w:rPr/>
        <w:t>state</w:t>
      </w:r>
      <w:r>
        <w:rPr>
          <w:spacing w:val="-5"/>
        </w:rPr>
        <w:t> </w:t>
      </w:r>
      <w:r>
        <w:rPr/>
        <w:t>and</w:t>
      </w:r>
      <w:r>
        <w:rPr>
          <w:spacing w:val="-5"/>
        </w:rPr>
        <w:t> </w:t>
      </w:r>
      <w:r>
        <w:rPr/>
        <w:t>local</w:t>
      </w:r>
      <w:r>
        <w:rPr>
          <w:spacing w:val="-5"/>
        </w:rPr>
        <w:t> </w:t>
      </w:r>
      <w:r>
        <w:rPr/>
        <w:t>government</w:t>
      </w:r>
      <w:r>
        <w:rPr>
          <w:spacing w:val="-5"/>
        </w:rPr>
        <w:t> </w:t>
      </w:r>
      <w:r>
        <w:rPr/>
        <w:t>transparency</w:t>
      </w:r>
      <w:r>
        <w:rPr>
          <w:spacing w:val="-4"/>
        </w:rPr>
        <w:t> </w:t>
      </w:r>
      <w:r>
        <w:rPr/>
        <w:t>to</w:t>
      </w:r>
      <w:r>
        <w:rPr>
          <w:spacing w:val="-5"/>
        </w:rPr>
        <w:t> </w:t>
      </w:r>
      <w:r>
        <w:rPr/>
        <w:t>better</w:t>
      </w:r>
      <w:r>
        <w:rPr>
          <w:spacing w:val="-5"/>
        </w:rPr>
        <w:t> </w:t>
      </w:r>
      <w:r>
        <w:rPr/>
        <w:t>offer avenues of accountability on behalf of youth.</w:t>
      </w:r>
    </w:p>
    <w:p>
      <w:pPr>
        <w:spacing w:after="0" w:line="276" w:lineRule="auto"/>
        <w:jc w:val="both"/>
        <w:sectPr>
          <w:pgSz w:w="12240" w:h="15840"/>
          <w:pgMar w:header="804" w:footer="1263" w:top="1000" w:bottom="1460" w:left="980" w:right="1160"/>
        </w:sectPr>
      </w:pPr>
    </w:p>
    <w:p>
      <w:pPr>
        <w:spacing w:before="138"/>
        <w:ind w:left="463" w:right="0" w:firstLine="0"/>
        <w:jc w:val="left"/>
        <w:rPr>
          <w:sz w:val="28"/>
        </w:rPr>
      </w:pPr>
      <w:bookmarkStart w:name="Conclusion" w:id="104"/>
      <w:bookmarkEnd w:id="104"/>
      <w:r>
        <w:rPr/>
      </w:r>
      <w:r>
        <w:rPr>
          <w:color w:val="365F91"/>
          <w:spacing w:val="-2"/>
          <w:sz w:val="28"/>
        </w:rPr>
        <w:t>Conclusion</w:t>
      </w:r>
    </w:p>
    <w:p>
      <w:pPr>
        <w:pStyle w:val="BodyText"/>
        <w:spacing w:before="9"/>
        <w:rPr>
          <w:sz w:val="3"/>
        </w:rPr>
      </w:pPr>
      <w:r>
        <w:rPr/>
        <mc:AlternateContent>
          <mc:Choice Requires="wps">
            <w:drawing>
              <wp:anchor distT="0" distB="0" distL="0" distR="0" allowOverlap="1" layoutInCell="1" locked="0" behindDoc="1" simplePos="0" relativeHeight="487598080">
                <wp:simplePos x="0" y="0"/>
                <wp:positionH relativeFrom="page">
                  <wp:posOffset>897636</wp:posOffset>
                </wp:positionH>
                <wp:positionV relativeFrom="paragraph">
                  <wp:posOffset>44515</wp:posOffset>
                </wp:positionV>
                <wp:extent cx="5976620" cy="635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5156pt;width:470.58pt;height:.48pt;mso-position-horizontal-relative:page;mso-position-vertical-relative:paragraph;z-index:-15718400;mso-wrap-distance-left:0;mso-wrap-distance-right:0" id="docshape76" filled="true" fillcolor="#4f81bc" stroked="false">
                <v:fill type="solid"/>
                <w10:wrap type="topAndBottom"/>
              </v:rect>
            </w:pict>
          </mc:Fallback>
        </mc:AlternateContent>
      </w:r>
    </w:p>
    <w:p>
      <w:pPr>
        <w:pStyle w:val="BodyText"/>
        <w:spacing w:line="276" w:lineRule="auto" w:before="241"/>
        <w:ind w:left="463" w:right="281"/>
        <w:jc w:val="both"/>
      </w:pPr>
      <w:r>
        <w:rPr/>
        <w:t>The</w:t>
      </w:r>
      <w:r>
        <w:rPr>
          <w:spacing w:val="-1"/>
        </w:rPr>
        <w:t> </w:t>
      </w:r>
      <w:r>
        <w:rPr/>
        <w:t>Commission</w:t>
      </w:r>
      <w:r>
        <w:rPr>
          <w:spacing w:val="-1"/>
        </w:rPr>
        <w:t> </w:t>
      </w:r>
      <w:r>
        <w:rPr/>
        <w:t>appreciates the</w:t>
      </w:r>
      <w:r>
        <w:rPr>
          <w:spacing w:val="-1"/>
        </w:rPr>
        <w:t> </w:t>
      </w:r>
      <w:r>
        <w:rPr/>
        <w:t>ongoing</w:t>
      </w:r>
      <w:r>
        <w:rPr>
          <w:spacing w:val="-1"/>
        </w:rPr>
        <w:t> </w:t>
      </w:r>
      <w:r>
        <w:rPr/>
        <w:t>work</w:t>
      </w:r>
      <w:r>
        <w:rPr>
          <w:spacing w:val="-1"/>
        </w:rPr>
        <w:t> </w:t>
      </w:r>
      <w:r>
        <w:rPr/>
        <w:t>of youth, families, advocates, agencies, and legislators to comprehensively address systemic barriers that prevent all youth from thriving in the Commonwealth. However, as discussed in this section, and throughout this annual report, the state must broaden its understanding of what it means to </w:t>
      </w:r>
      <w:r>
        <w:rPr>
          <w:i/>
        </w:rPr>
        <w:t>thrive</w:t>
      </w:r>
      <w:r>
        <w:rPr/>
        <w:t>, and the role of state government and agencies within this </w:t>
      </w:r>
      <w:r>
        <w:rPr>
          <w:spacing w:val="-2"/>
        </w:rPr>
        <w:t>framework.</w:t>
      </w:r>
    </w:p>
    <w:p>
      <w:pPr>
        <w:spacing w:before="240"/>
        <w:ind w:left="463" w:right="0" w:firstLine="0"/>
        <w:jc w:val="both"/>
        <w:rPr>
          <w:sz w:val="28"/>
        </w:rPr>
      </w:pPr>
      <w:bookmarkStart w:name="Acknowledgments &amp; Citations" w:id="105"/>
      <w:bookmarkEnd w:id="105"/>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10"/>
        <w:rPr>
          <w:sz w:val="3"/>
        </w:rPr>
      </w:pPr>
      <w:r>
        <w:rPr/>
        <mc:AlternateContent>
          <mc:Choice Requires="wps">
            <w:drawing>
              <wp:anchor distT="0" distB="0" distL="0" distR="0" allowOverlap="1" layoutInCell="1" locked="0" behindDoc="1" simplePos="0" relativeHeight="487598592">
                <wp:simplePos x="0" y="0"/>
                <wp:positionH relativeFrom="page">
                  <wp:posOffset>897636</wp:posOffset>
                </wp:positionH>
                <wp:positionV relativeFrom="paragraph">
                  <wp:posOffset>45347</wp:posOffset>
                </wp:positionV>
                <wp:extent cx="5976620" cy="635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0683pt;width:470.58pt;height:.48pt;mso-position-horizontal-relative:page;mso-position-vertical-relative:paragraph;z-index:-15717888;mso-wrap-distance-left:0;mso-wrap-distance-right:0" id="docshape77" filled="true" fillcolor="#4f81bc" stroked="false">
                <v:fill type="solid"/>
                <w10:wrap type="topAndBottom"/>
              </v:rect>
            </w:pict>
          </mc:Fallback>
        </mc:AlternateContent>
      </w:r>
    </w:p>
    <w:p>
      <w:pPr>
        <w:spacing w:before="241"/>
        <w:ind w:left="463" w:right="0" w:firstLine="0"/>
        <w:jc w:val="left"/>
        <w:rPr>
          <w:i/>
          <w:sz w:val="21"/>
        </w:rPr>
      </w:pPr>
      <w:r>
        <w:rPr>
          <w:i/>
          <w:sz w:val="21"/>
        </w:rPr>
        <w:t>Acknowledgments:</w:t>
      </w:r>
      <w:r>
        <w:rPr>
          <w:i/>
          <w:spacing w:val="-6"/>
          <w:sz w:val="21"/>
        </w:rPr>
        <w:t> </w:t>
      </w:r>
      <w:r>
        <w:rPr>
          <w:i/>
          <w:sz w:val="21"/>
        </w:rPr>
        <w:t>Joan</w:t>
      </w:r>
      <w:r>
        <w:rPr>
          <w:i/>
          <w:spacing w:val="-4"/>
          <w:sz w:val="21"/>
        </w:rPr>
        <w:t> </w:t>
      </w:r>
      <w:r>
        <w:rPr>
          <w:i/>
          <w:sz w:val="21"/>
        </w:rPr>
        <w:t>Montgomery</w:t>
      </w:r>
      <w:r>
        <w:rPr>
          <w:i/>
          <w:spacing w:val="-3"/>
          <w:sz w:val="21"/>
        </w:rPr>
        <w:t> </w:t>
      </w:r>
      <w:r>
        <w:rPr>
          <w:i/>
          <w:sz w:val="21"/>
        </w:rPr>
        <w:t>Halford,</w:t>
      </w:r>
      <w:r>
        <w:rPr>
          <w:i/>
          <w:spacing w:val="-3"/>
          <w:sz w:val="21"/>
        </w:rPr>
        <w:t> </w:t>
      </w:r>
      <w:r>
        <w:rPr>
          <w:i/>
          <w:sz w:val="21"/>
        </w:rPr>
        <w:t>lead</w:t>
      </w:r>
      <w:r>
        <w:rPr>
          <w:i/>
          <w:spacing w:val="-3"/>
          <w:sz w:val="21"/>
        </w:rPr>
        <w:t> </w:t>
      </w:r>
      <w:r>
        <w:rPr>
          <w:i/>
          <w:sz w:val="21"/>
        </w:rPr>
        <w:t>researcher</w:t>
      </w:r>
      <w:r>
        <w:rPr>
          <w:i/>
          <w:spacing w:val="-4"/>
          <w:sz w:val="21"/>
        </w:rPr>
        <w:t> </w:t>
      </w:r>
      <w:r>
        <w:rPr>
          <w:i/>
          <w:sz w:val="21"/>
        </w:rPr>
        <w:t>and</w:t>
      </w:r>
      <w:r>
        <w:rPr>
          <w:i/>
          <w:spacing w:val="-3"/>
          <w:sz w:val="21"/>
        </w:rPr>
        <w:t> </w:t>
      </w:r>
      <w:r>
        <w:rPr>
          <w:i/>
          <w:sz w:val="21"/>
        </w:rPr>
        <w:t>author</w:t>
      </w:r>
      <w:r>
        <w:rPr>
          <w:i/>
          <w:spacing w:val="-3"/>
          <w:sz w:val="21"/>
        </w:rPr>
        <w:t> </w:t>
      </w:r>
      <w:r>
        <w:rPr>
          <w:i/>
          <w:spacing w:val="-2"/>
          <w:sz w:val="21"/>
        </w:rPr>
        <w:t>(2023)</w:t>
      </w:r>
    </w:p>
    <w:p>
      <w:pPr>
        <w:pStyle w:val="BodyText"/>
        <w:spacing w:before="21"/>
        <w:rPr>
          <w:i/>
          <w:sz w:val="21"/>
        </w:rPr>
      </w:pPr>
    </w:p>
    <w:p>
      <w:pPr>
        <w:spacing w:before="0"/>
        <w:ind w:left="463" w:right="755" w:firstLine="0"/>
        <w:jc w:val="left"/>
        <w:rPr>
          <w:sz w:val="18"/>
        </w:rPr>
      </w:pPr>
      <w:bookmarkStart w:name="_bookmark10" w:id="106"/>
      <w:bookmarkEnd w:id="106"/>
      <w:r>
        <w:rPr/>
      </w:r>
      <w:r>
        <w:rPr>
          <w:sz w:val="18"/>
          <w:vertAlign w:val="superscript"/>
        </w:rPr>
        <w:t>1</w:t>
      </w:r>
      <w:r>
        <w:rPr>
          <w:spacing w:val="-13"/>
          <w:sz w:val="18"/>
          <w:vertAlign w:val="baseline"/>
        </w:rPr>
        <w:t> </w:t>
      </w:r>
      <w:hyperlink r:id="rId68">
        <w:r>
          <w:rPr>
            <w:sz w:val="18"/>
            <w:vertAlign w:val="baseline"/>
          </w:rPr>
          <w:t>Office</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Nations</w:t>
        </w:r>
        <w:r>
          <w:rPr>
            <w:spacing w:val="-2"/>
            <w:sz w:val="18"/>
            <w:vertAlign w:val="baseline"/>
          </w:rPr>
          <w:t> </w:t>
        </w:r>
        <w:r>
          <w:rPr>
            <w:sz w:val="18"/>
            <w:vertAlign w:val="baseline"/>
          </w:rPr>
          <w:t>High</w:t>
        </w:r>
        <w:r>
          <w:rPr>
            <w:spacing w:val="-2"/>
            <w:sz w:val="18"/>
            <w:vertAlign w:val="baseline"/>
          </w:rPr>
          <w:t> </w:t>
        </w:r>
        <w:r>
          <w:rPr>
            <w:sz w:val="18"/>
            <w:vertAlign w:val="baseline"/>
          </w:rPr>
          <w:t>Commissioner</w:t>
        </w:r>
        <w:r>
          <w:rPr>
            <w:spacing w:val="-3"/>
            <w:sz w:val="18"/>
            <w:vertAlign w:val="baseline"/>
          </w:rPr>
          <w:t> </w:t>
        </w:r>
        <w:r>
          <w:rPr>
            <w:sz w:val="18"/>
            <w:vertAlign w:val="baseline"/>
          </w:rPr>
          <w:t>for</w:t>
        </w:r>
        <w:r>
          <w:rPr>
            <w:spacing w:val="-3"/>
            <w:sz w:val="18"/>
            <w:vertAlign w:val="baseline"/>
          </w:rPr>
          <w:t> </w:t>
        </w:r>
        <w:r>
          <w:rPr>
            <w:sz w:val="18"/>
            <w:vertAlign w:val="baseline"/>
          </w:rPr>
          <w:t>Human</w:t>
        </w:r>
        <w:r>
          <w:rPr>
            <w:spacing w:val="-2"/>
            <w:sz w:val="18"/>
            <w:vertAlign w:val="baseline"/>
          </w:rPr>
          <w:t> </w:t>
        </w:r>
        <w:r>
          <w:rPr>
            <w:sz w:val="18"/>
            <w:vertAlign w:val="baseline"/>
          </w:rPr>
          <w:t>Rights,</w:t>
        </w:r>
        <w:r>
          <w:rPr>
            <w:spacing w:val="-3"/>
            <w:sz w:val="18"/>
            <w:vertAlign w:val="baseline"/>
          </w:rPr>
          <w:t> </w:t>
        </w:r>
        <w:r>
          <w:rPr>
            <w:sz w:val="18"/>
            <w:vertAlign w:val="baseline"/>
          </w:rPr>
          <w:t>“Convention</w:t>
        </w:r>
        <w:r>
          <w:rPr>
            <w:spacing w:val="-3"/>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Rights</w:t>
        </w:r>
        <w:r>
          <w:rPr>
            <w:spacing w:val="-2"/>
            <w:sz w:val="18"/>
            <w:vertAlign w:val="baseline"/>
          </w:rPr>
          <w:t> </w:t>
        </w:r>
        <w:r>
          <w:rPr>
            <w:sz w:val="18"/>
            <w:vertAlign w:val="baseline"/>
          </w:rPr>
          <w:t>of</w:t>
        </w:r>
        <w:r>
          <w:rPr>
            <w:spacing w:val="-3"/>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the</w:t>
        </w:r>
      </w:hyperlink>
      <w:r>
        <w:rPr>
          <w:sz w:val="18"/>
          <w:vertAlign w:val="baseline"/>
        </w:rPr>
        <w:t> </w:t>
      </w:r>
      <w:hyperlink r:id="rId68">
        <w:r>
          <w:rPr>
            <w:sz w:val="18"/>
            <w:vertAlign w:val="baseline"/>
          </w:rPr>
          <w:t>United Nations High Commissioner for Human Rights, March 2023, https://www.ohchr.org/en/instruments-</w:t>
        </w:r>
      </w:hyperlink>
      <w:r>
        <w:rPr>
          <w:sz w:val="18"/>
          <w:vertAlign w:val="baseline"/>
        </w:rPr>
        <w:t> </w:t>
      </w:r>
      <w:hyperlink r:id="rId68">
        <w:r>
          <w:rPr>
            <w:spacing w:val="-2"/>
            <w:sz w:val="18"/>
            <w:vertAlign w:val="baseline"/>
          </w:rPr>
          <w:t>mechanisms/instruments/convention-rights-child.</w:t>
        </w:r>
      </w:hyperlink>
    </w:p>
    <w:p>
      <w:pPr>
        <w:spacing w:before="1"/>
        <w:ind w:left="463" w:right="450" w:firstLine="0"/>
        <w:jc w:val="left"/>
        <w:rPr>
          <w:sz w:val="18"/>
        </w:rPr>
      </w:pPr>
      <w:bookmarkStart w:name="_bookmark11" w:id="107"/>
      <w:bookmarkEnd w:id="107"/>
      <w:r>
        <w:rPr/>
      </w:r>
      <w:r>
        <w:rPr>
          <w:sz w:val="18"/>
          <w:vertAlign w:val="superscript"/>
        </w:rPr>
        <w:t>2</w:t>
      </w:r>
      <w:r>
        <w:rPr>
          <w:spacing w:val="-12"/>
          <w:sz w:val="18"/>
          <w:vertAlign w:val="baseline"/>
        </w:rPr>
        <w:t> </w:t>
      </w:r>
      <w:r>
        <w:rPr>
          <w:sz w:val="18"/>
          <w:vertAlign w:val="baseline"/>
        </w:rPr>
        <w:t>Eli Dvorkin and Mo Russell Leed, “Basic Income for Transition-Age Foster Youth:</w:t>
      </w:r>
      <w:r>
        <w:rPr>
          <w:spacing w:val="-1"/>
          <w:sz w:val="18"/>
          <w:vertAlign w:val="baseline"/>
        </w:rPr>
        <w:t> </w:t>
      </w:r>
      <w:r>
        <w:rPr>
          <w:sz w:val="18"/>
          <w:vertAlign w:val="baseline"/>
        </w:rPr>
        <w:t>Adopting California’s Approach,” Center for an</w:t>
      </w:r>
      <w:r>
        <w:rPr>
          <w:spacing w:val="-5"/>
          <w:sz w:val="18"/>
          <w:vertAlign w:val="baseline"/>
        </w:rPr>
        <w:t> </w:t>
      </w:r>
      <w:r>
        <w:rPr>
          <w:sz w:val="18"/>
          <w:vertAlign w:val="baseline"/>
        </w:rPr>
        <w:t>Urban</w:t>
      </w:r>
      <w:r>
        <w:rPr>
          <w:spacing w:val="-5"/>
          <w:sz w:val="18"/>
          <w:vertAlign w:val="baseline"/>
        </w:rPr>
        <w:t> </w:t>
      </w:r>
      <w:r>
        <w:rPr>
          <w:sz w:val="18"/>
          <w:vertAlign w:val="baseline"/>
        </w:rPr>
        <w:t>Future</w:t>
      </w:r>
      <w:r>
        <w:rPr>
          <w:spacing w:val="-6"/>
          <w:sz w:val="18"/>
          <w:vertAlign w:val="baseline"/>
        </w:rPr>
        <w:t> </w:t>
      </w:r>
      <w:r>
        <w:rPr>
          <w:sz w:val="18"/>
          <w:vertAlign w:val="baseline"/>
        </w:rPr>
        <w:t>(CUF),</w:t>
      </w:r>
      <w:r>
        <w:rPr>
          <w:spacing w:val="-6"/>
          <w:sz w:val="18"/>
          <w:vertAlign w:val="baseline"/>
        </w:rPr>
        <w:t> </w:t>
      </w:r>
      <w:r>
        <w:rPr>
          <w:sz w:val="18"/>
          <w:vertAlign w:val="baseline"/>
        </w:rPr>
        <w:t>accessed</w:t>
      </w:r>
      <w:r>
        <w:rPr>
          <w:spacing w:val="-6"/>
          <w:sz w:val="18"/>
          <w:vertAlign w:val="baseline"/>
        </w:rPr>
        <w:t> </w:t>
      </w:r>
      <w:r>
        <w:rPr>
          <w:sz w:val="18"/>
          <w:vertAlign w:val="baseline"/>
        </w:rPr>
        <w:t>April</w:t>
      </w:r>
      <w:r>
        <w:rPr>
          <w:spacing w:val="-6"/>
          <w:sz w:val="18"/>
          <w:vertAlign w:val="baseline"/>
        </w:rPr>
        <w:t> </w:t>
      </w:r>
      <w:r>
        <w:rPr>
          <w:sz w:val="18"/>
          <w:vertAlign w:val="baseline"/>
        </w:rPr>
        <w:t>24,</w:t>
      </w:r>
      <w:r>
        <w:rPr>
          <w:spacing w:val="-6"/>
          <w:sz w:val="18"/>
          <w:vertAlign w:val="baseline"/>
        </w:rPr>
        <w:t> </w:t>
      </w:r>
      <w:r>
        <w:rPr>
          <w:sz w:val="18"/>
          <w:vertAlign w:val="baseline"/>
        </w:rPr>
        <w:t>2023,</w:t>
      </w:r>
      <w:r>
        <w:rPr>
          <w:spacing w:val="-6"/>
          <w:sz w:val="18"/>
          <w:vertAlign w:val="baseline"/>
        </w:rPr>
        <w:t> </w:t>
      </w:r>
      <w:hyperlink r:id="rId69">
        <w:r>
          <w:rPr>
            <w:color w:val="1154CC"/>
            <w:sz w:val="18"/>
            <w:u w:val="single" w:color="1154CC"/>
            <w:vertAlign w:val="baseline"/>
          </w:rPr>
          <w:t>https://nycfuture.org/research/basic-income-for-transition-age-foster-youth</w:t>
        </w:r>
        <w:r>
          <w:rPr>
            <w:sz w:val="18"/>
            <w:u w:val="none"/>
            <w:vertAlign w:val="baseline"/>
          </w:rPr>
          <w:t>.</w:t>
        </w:r>
      </w:hyperlink>
      <w:r>
        <w:rPr>
          <w:sz w:val="18"/>
          <w:u w:val="none"/>
          <w:vertAlign w:val="baseline"/>
        </w:rPr>
        <w:t> </w:t>
      </w:r>
      <w:bookmarkStart w:name="_bookmark12" w:id="108"/>
      <w:bookmarkEnd w:id="108"/>
      <w:r>
        <w:rPr>
          <w:sz w:val="18"/>
          <w:u w:val="none"/>
          <w:vertAlign w:val="baseline"/>
        </w:rPr>
      </w:r>
      <w:r>
        <w:rPr>
          <w:sz w:val="18"/>
          <w:u w:val="none"/>
          <w:vertAlign w:val="superscript"/>
        </w:rPr>
        <w:t>3</w:t>
      </w:r>
      <w:r>
        <w:rPr>
          <w:spacing w:val="-7"/>
          <w:sz w:val="18"/>
          <w:u w:val="none"/>
          <w:vertAlign w:val="baseline"/>
        </w:rPr>
        <w:t> </w:t>
      </w:r>
      <w:r>
        <w:rPr>
          <w:sz w:val="18"/>
          <w:u w:val="none"/>
          <w:vertAlign w:val="baseline"/>
        </w:rPr>
        <w:t>ChildWelfare.gov, “Providing Direct Financial Assistance to Youth and Young Adults,” April 7, 2023, </w:t>
      </w:r>
      <w:r>
        <w:rPr>
          <w:spacing w:val="-2"/>
          <w:sz w:val="18"/>
          <w:u w:val="none"/>
          <w:vertAlign w:val="baseline"/>
        </w:rPr>
        <w:t>https://</w:t>
      </w:r>
      <w:hyperlink r:id="rId70">
        <w:r>
          <w:rPr>
            <w:spacing w:val="-2"/>
            <w:sz w:val="18"/>
            <w:u w:val="none"/>
            <w:vertAlign w:val="baseline"/>
          </w:rPr>
          <w:t>www.childwelfare.gov/pubPDFs/div-x/product7-direct-financial-assistance.pdf.</w:t>
        </w:r>
      </w:hyperlink>
    </w:p>
    <w:p>
      <w:pPr>
        <w:spacing w:before="0"/>
        <w:ind w:left="463" w:right="289" w:hanging="1"/>
        <w:jc w:val="left"/>
        <w:rPr>
          <w:sz w:val="18"/>
        </w:rPr>
      </w:pPr>
      <w:bookmarkStart w:name="_bookmark13" w:id="109"/>
      <w:bookmarkEnd w:id="109"/>
      <w:r>
        <w:rPr/>
      </w:r>
      <w:r>
        <w:rPr>
          <w:sz w:val="18"/>
          <w:vertAlign w:val="superscript"/>
        </w:rPr>
        <w:t>4</w:t>
      </w:r>
      <w:r>
        <w:rPr>
          <w:spacing w:val="-13"/>
          <w:sz w:val="18"/>
          <w:vertAlign w:val="baseline"/>
        </w:rPr>
        <w:t> </w:t>
      </w:r>
      <w:r>
        <w:rPr>
          <w:sz w:val="18"/>
          <w:vertAlign w:val="baseline"/>
        </w:rPr>
        <w:t>Michelle</w:t>
      </w:r>
      <w:r>
        <w:rPr>
          <w:spacing w:val="-3"/>
          <w:sz w:val="18"/>
          <w:vertAlign w:val="baseline"/>
        </w:rPr>
        <w:t> </w:t>
      </w:r>
      <w:r>
        <w:rPr>
          <w:sz w:val="18"/>
          <w:vertAlign w:val="baseline"/>
        </w:rPr>
        <w:t>Pitcher,</w:t>
      </w:r>
      <w:r>
        <w:rPr>
          <w:spacing w:val="-3"/>
          <w:sz w:val="18"/>
          <w:vertAlign w:val="baseline"/>
        </w:rPr>
        <w:t> </w:t>
      </w:r>
      <w:r>
        <w:rPr>
          <w:sz w:val="18"/>
          <w:vertAlign w:val="baseline"/>
        </w:rPr>
        <w:t>Weihua</w:t>
      </w:r>
      <w:r>
        <w:rPr>
          <w:spacing w:val="-2"/>
          <w:sz w:val="18"/>
          <w:vertAlign w:val="baseline"/>
        </w:rPr>
        <w:t> </w:t>
      </w:r>
      <w:r>
        <w:rPr>
          <w:sz w:val="18"/>
          <w:vertAlign w:val="baseline"/>
        </w:rPr>
        <w:t>Li,</w:t>
      </w:r>
      <w:r>
        <w:rPr>
          <w:spacing w:val="-3"/>
          <w:sz w:val="18"/>
          <w:vertAlign w:val="baseline"/>
        </w:rPr>
        <w:t> </w:t>
      </w:r>
      <w:r>
        <w:rPr>
          <w:sz w:val="18"/>
          <w:vertAlign w:val="baseline"/>
        </w:rPr>
        <w:t>and</w:t>
      </w:r>
      <w:r>
        <w:rPr>
          <w:spacing w:val="-2"/>
          <w:sz w:val="18"/>
          <w:vertAlign w:val="baseline"/>
        </w:rPr>
        <w:t> </w:t>
      </w:r>
      <w:r>
        <w:rPr>
          <w:sz w:val="18"/>
          <w:vertAlign w:val="baseline"/>
        </w:rPr>
        <w:t>David</w:t>
      </w:r>
      <w:r>
        <w:rPr>
          <w:spacing w:val="-2"/>
          <w:sz w:val="18"/>
          <w:vertAlign w:val="baseline"/>
        </w:rPr>
        <w:t> </w:t>
      </w:r>
      <w:r>
        <w:rPr>
          <w:sz w:val="18"/>
          <w:vertAlign w:val="baseline"/>
        </w:rPr>
        <w:t>Eads,</w:t>
      </w:r>
      <w:r>
        <w:rPr>
          <w:spacing w:val="-3"/>
          <w:sz w:val="18"/>
          <w:vertAlign w:val="baseline"/>
        </w:rPr>
        <w:t> </w:t>
      </w:r>
      <w:r>
        <w:rPr>
          <w:sz w:val="18"/>
          <w:vertAlign w:val="baseline"/>
        </w:rPr>
        <w:t>“These</w:t>
      </w:r>
      <w:r>
        <w:rPr>
          <w:spacing w:val="-2"/>
          <w:sz w:val="18"/>
          <w:vertAlign w:val="baseline"/>
        </w:rPr>
        <w:t> </w:t>
      </w:r>
      <w:r>
        <w:rPr>
          <w:sz w:val="18"/>
          <w:vertAlign w:val="baseline"/>
        </w:rPr>
        <w:t>States</w:t>
      </w:r>
      <w:r>
        <w:rPr>
          <w:spacing w:val="-2"/>
          <w:sz w:val="18"/>
          <w:vertAlign w:val="baseline"/>
        </w:rPr>
        <w:t> </w:t>
      </w:r>
      <w:r>
        <w:rPr>
          <w:sz w:val="18"/>
          <w:vertAlign w:val="baseline"/>
        </w:rPr>
        <w:t>Take</w:t>
      </w:r>
      <w:r>
        <w:rPr>
          <w:spacing w:val="-3"/>
          <w:sz w:val="18"/>
          <w:vertAlign w:val="baseline"/>
        </w:rPr>
        <w:t> </w:t>
      </w:r>
      <w:r>
        <w:rPr>
          <w:sz w:val="18"/>
          <w:vertAlign w:val="baseline"/>
        </w:rPr>
        <w:t>Money</w:t>
      </w:r>
      <w:r>
        <w:rPr>
          <w:spacing w:val="-2"/>
          <w:sz w:val="18"/>
          <w:vertAlign w:val="baseline"/>
        </w:rPr>
        <w:t> </w:t>
      </w:r>
      <w:r>
        <w:rPr>
          <w:sz w:val="18"/>
          <w:vertAlign w:val="baseline"/>
        </w:rPr>
        <w:t>Meant</w:t>
      </w:r>
      <w:r>
        <w:rPr>
          <w:spacing w:val="-3"/>
          <w:sz w:val="18"/>
          <w:vertAlign w:val="baseline"/>
        </w:rPr>
        <w:t> </w:t>
      </w:r>
      <w:r>
        <w:rPr>
          <w:sz w:val="18"/>
          <w:vertAlign w:val="baseline"/>
        </w:rPr>
        <w:t>for</w:t>
      </w:r>
      <w:r>
        <w:rPr>
          <w:spacing w:val="-3"/>
          <w:sz w:val="18"/>
          <w:vertAlign w:val="baseline"/>
        </w:rPr>
        <w:t> </w:t>
      </w:r>
      <w:r>
        <w:rPr>
          <w:sz w:val="18"/>
          <w:vertAlign w:val="baseline"/>
        </w:rPr>
        <w:t>Foster</w:t>
      </w:r>
      <w:r>
        <w:rPr>
          <w:spacing w:val="-3"/>
          <w:sz w:val="18"/>
          <w:vertAlign w:val="baseline"/>
        </w:rPr>
        <w:t> </w:t>
      </w:r>
      <w:r>
        <w:rPr>
          <w:sz w:val="18"/>
          <w:vertAlign w:val="baseline"/>
        </w:rPr>
        <w:t>Children,”</w:t>
      </w:r>
      <w:r>
        <w:rPr>
          <w:spacing w:val="-2"/>
          <w:sz w:val="18"/>
          <w:vertAlign w:val="baseline"/>
        </w:rPr>
        <w:t> </w:t>
      </w:r>
      <w:r>
        <w:rPr>
          <w:sz w:val="18"/>
          <w:vertAlign w:val="baseline"/>
        </w:rPr>
        <w:t>The</w:t>
      </w:r>
      <w:r>
        <w:rPr>
          <w:spacing w:val="-2"/>
          <w:sz w:val="18"/>
          <w:vertAlign w:val="baseline"/>
        </w:rPr>
        <w:t> </w:t>
      </w:r>
      <w:r>
        <w:rPr>
          <w:sz w:val="18"/>
          <w:vertAlign w:val="baseline"/>
        </w:rPr>
        <w:t>Marshall</w:t>
      </w:r>
      <w:r>
        <w:rPr>
          <w:spacing w:val="-3"/>
          <w:sz w:val="18"/>
          <w:vertAlign w:val="baseline"/>
        </w:rPr>
        <w:t> </w:t>
      </w:r>
      <w:r>
        <w:rPr>
          <w:sz w:val="18"/>
          <w:vertAlign w:val="baseline"/>
        </w:rPr>
        <w:t>Project,</w:t>
      </w:r>
      <w:r>
        <w:rPr>
          <w:spacing w:val="-3"/>
          <w:sz w:val="18"/>
          <w:vertAlign w:val="baseline"/>
        </w:rPr>
        <w:t> </w:t>
      </w:r>
      <w:r>
        <w:rPr>
          <w:sz w:val="18"/>
          <w:vertAlign w:val="baseline"/>
        </w:rPr>
        <w:t>May 17, 2021, https://</w:t>
      </w:r>
      <w:hyperlink r:id="rId71">
        <w:r>
          <w:rPr>
            <w:sz w:val="18"/>
            <w:vertAlign w:val="baseline"/>
          </w:rPr>
          <w:t>www.themarshallproject.org/2021/05/17/these-states-take-money-meant-for-foster-children.</w:t>
        </w:r>
      </w:hyperlink>
    </w:p>
    <w:p>
      <w:pPr>
        <w:spacing w:before="0"/>
        <w:ind w:left="463" w:right="355" w:firstLine="0"/>
        <w:jc w:val="left"/>
        <w:rPr>
          <w:sz w:val="18"/>
        </w:rPr>
      </w:pPr>
      <w:bookmarkStart w:name="_bookmark14" w:id="110"/>
      <w:bookmarkEnd w:id="110"/>
      <w:r>
        <w:rPr/>
      </w:r>
      <w:r>
        <w:rPr>
          <w:sz w:val="18"/>
          <w:vertAlign w:val="superscript"/>
        </w:rPr>
        <w:t>5</w:t>
      </w:r>
      <w:r>
        <w:rPr>
          <w:spacing w:val="-9"/>
          <w:sz w:val="18"/>
          <w:vertAlign w:val="baseline"/>
        </w:rPr>
        <w:t> </w:t>
      </w:r>
      <w:r>
        <w:rPr>
          <w:sz w:val="18"/>
          <w:vertAlign w:val="baseline"/>
        </w:rPr>
        <w:t>“States Take Social Security Benefits Of Foster Care Children To Pay For Services : NPR,” accessed April 1, 2023, </w:t>
      </w:r>
      <w:r>
        <w:rPr>
          <w:spacing w:val="-2"/>
          <w:sz w:val="18"/>
          <w:vertAlign w:val="baseline"/>
        </w:rPr>
        <w:t>https://</w:t>
      </w:r>
      <w:hyperlink r:id="rId72">
        <w:r>
          <w:rPr>
            <w:spacing w:val="-2"/>
            <w:sz w:val="18"/>
            <w:vertAlign w:val="baseline"/>
          </w:rPr>
          <w:t>www.npr.org/2021/04/22/988806806/state-foster-care-agencies-take-millions-of-dollars-owed-to-children-in-their-ca.</w:t>
        </w:r>
      </w:hyperlink>
    </w:p>
    <w:p>
      <w:pPr>
        <w:spacing w:line="219" w:lineRule="exact" w:before="0"/>
        <w:ind w:left="463" w:right="0" w:firstLine="0"/>
        <w:jc w:val="left"/>
        <w:rPr>
          <w:sz w:val="18"/>
        </w:rPr>
      </w:pPr>
      <w:bookmarkStart w:name="_bookmark15" w:id="111"/>
      <w:bookmarkEnd w:id="111"/>
      <w:r>
        <w:rPr/>
      </w:r>
      <w:r>
        <w:rPr>
          <w:sz w:val="18"/>
          <w:vertAlign w:val="superscript"/>
        </w:rPr>
        <w:t>6</w:t>
      </w:r>
      <w:r>
        <w:rPr>
          <w:spacing w:val="-15"/>
          <w:sz w:val="18"/>
          <w:vertAlign w:val="baseline"/>
        </w:rPr>
        <w:t> </w:t>
      </w:r>
      <w:r>
        <w:rPr>
          <w:sz w:val="18"/>
          <w:vertAlign w:val="baseline"/>
        </w:rPr>
        <w:t>“MPA</w:t>
      </w:r>
      <w:r>
        <w:rPr>
          <w:spacing w:val="-8"/>
          <w:sz w:val="18"/>
          <w:vertAlign w:val="baseline"/>
        </w:rPr>
        <w:t> </w:t>
      </w:r>
      <w:r>
        <w:rPr>
          <w:sz w:val="18"/>
          <w:vertAlign w:val="baseline"/>
        </w:rPr>
        <w:t>Overview,”</w:t>
      </w:r>
      <w:r>
        <w:rPr>
          <w:spacing w:val="-4"/>
          <w:sz w:val="18"/>
          <w:vertAlign w:val="baseline"/>
        </w:rPr>
        <w:t> </w:t>
      </w:r>
      <w:r>
        <w:rPr>
          <w:sz w:val="18"/>
          <w:vertAlign w:val="baseline"/>
        </w:rPr>
        <w:t>GLAD,</w:t>
      </w:r>
      <w:r>
        <w:rPr>
          <w:spacing w:val="-5"/>
          <w:sz w:val="18"/>
          <w:vertAlign w:val="baseline"/>
        </w:rPr>
        <w:t> </w:t>
      </w:r>
      <w:r>
        <w:rPr>
          <w:sz w:val="18"/>
          <w:vertAlign w:val="baseline"/>
        </w:rPr>
        <w:t>accessed</w:t>
      </w:r>
      <w:r>
        <w:rPr>
          <w:spacing w:val="-4"/>
          <w:sz w:val="18"/>
          <w:vertAlign w:val="baseline"/>
        </w:rPr>
        <w:t> </w:t>
      </w:r>
      <w:r>
        <w:rPr>
          <w:sz w:val="18"/>
          <w:vertAlign w:val="baseline"/>
        </w:rPr>
        <w:t>March</w:t>
      </w:r>
      <w:r>
        <w:rPr>
          <w:spacing w:val="-4"/>
          <w:sz w:val="18"/>
          <w:vertAlign w:val="baseline"/>
        </w:rPr>
        <w:t> </w:t>
      </w:r>
      <w:r>
        <w:rPr>
          <w:sz w:val="18"/>
          <w:vertAlign w:val="baseline"/>
        </w:rPr>
        <w:t>14,</w:t>
      </w:r>
      <w:r>
        <w:rPr>
          <w:spacing w:val="-5"/>
          <w:sz w:val="18"/>
          <w:vertAlign w:val="baseline"/>
        </w:rPr>
        <w:t> </w:t>
      </w:r>
      <w:r>
        <w:rPr>
          <w:sz w:val="18"/>
          <w:vertAlign w:val="baseline"/>
        </w:rPr>
        <w:t>2023,</w:t>
      </w:r>
      <w:r>
        <w:rPr>
          <w:spacing w:val="-4"/>
          <w:sz w:val="18"/>
          <w:vertAlign w:val="baseline"/>
        </w:rPr>
        <w:t> </w:t>
      </w:r>
      <w:r>
        <w:rPr>
          <w:sz w:val="18"/>
          <w:vertAlign w:val="baseline"/>
        </w:rPr>
        <w:t>https://</w:t>
      </w:r>
      <w:hyperlink r:id="rId73">
        <w:r>
          <w:rPr>
            <w:sz w:val="18"/>
            <w:vertAlign w:val="baseline"/>
          </w:rPr>
          <w:t>www.glad.org/mpa-</w:t>
        </w:r>
        <w:r>
          <w:rPr>
            <w:spacing w:val="-2"/>
            <w:sz w:val="18"/>
            <w:vertAlign w:val="baseline"/>
          </w:rPr>
          <w:t>overview/.</w:t>
        </w:r>
      </w:hyperlink>
    </w:p>
    <w:p>
      <w:pPr>
        <w:spacing w:before="1"/>
        <w:ind w:left="463" w:right="0" w:hanging="1"/>
        <w:jc w:val="left"/>
        <w:rPr>
          <w:sz w:val="18"/>
        </w:rPr>
      </w:pPr>
      <w:bookmarkStart w:name="_bookmark16" w:id="112"/>
      <w:bookmarkEnd w:id="112"/>
      <w:r>
        <w:rPr/>
      </w:r>
      <w:r>
        <w:rPr>
          <w:sz w:val="18"/>
          <w:vertAlign w:val="superscript"/>
        </w:rPr>
        <w:t>7</w:t>
      </w:r>
      <w:r>
        <w:rPr>
          <w:spacing w:val="-4"/>
          <w:sz w:val="18"/>
          <w:vertAlign w:val="baseline"/>
        </w:rPr>
        <w:t> </w:t>
      </w:r>
      <w:r>
        <w:rPr>
          <w:sz w:val="18"/>
          <w:vertAlign w:val="baseline"/>
        </w:rPr>
        <w:t>“Online Directives Information System - ODIS,” accessed March 27, 2023, </w:t>
      </w:r>
      <w:r>
        <w:rPr>
          <w:spacing w:val="-2"/>
          <w:sz w:val="18"/>
          <w:vertAlign w:val="baseline"/>
        </w:rPr>
        <w:t>https://odis.dhs.ga.gov/General/Home/Search?searchtext=Maltreatment%20Codes.</w:t>
      </w:r>
    </w:p>
    <w:p>
      <w:pPr>
        <w:spacing w:before="0"/>
        <w:ind w:left="463" w:right="289" w:hanging="1"/>
        <w:jc w:val="left"/>
        <w:rPr>
          <w:sz w:val="18"/>
        </w:rPr>
      </w:pPr>
      <w:r>
        <w:rPr>
          <w:sz w:val="18"/>
          <w:vertAlign w:val="superscript"/>
        </w:rPr>
        <w:t>8</w:t>
      </w:r>
      <w:r>
        <w:rPr>
          <w:spacing w:val="-13"/>
          <w:sz w:val="18"/>
          <w:vertAlign w:val="baseline"/>
        </w:rPr>
        <w:t> </w:t>
      </w:r>
      <w:r>
        <w:rPr>
          <w:sz w:val="18"/>
          <w:vertAlign w:val="baseline"/>
        </w:rPr>
        <w:t>Lindsay</w:t>
      </w:r>
      <w:r>
        <w:rPr>
          <w:spacing w:val="-4"/>
          <w:sz w:val="18"/>
          <w:vertAlign w:val="baseline"/>
        </w:rPr>
        <w:t> </w:t>
      </w:r>
      <w:r>
        <w:rPr>
          <w:sz w:val="18"/>
          <w:vertAlign w:val="baseline"/>
        </w:rPr>
        <w:t>Huffhines</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“Case</w:t>
      </w:r>
      <w:r>
        <w:rPr>
          <w:spacing w:val="-2"/>
          <w:sz w:val="18"/>
          <w:vertAlign w:val="baseline"/>
        </w:rPr>
        <w:t> </w:t>
      </w:r>
      <w:r>
        <w:rPr>
          <w:sz w:val="18"/>
          <w:vertAlign w:val="baseline"/>
        </w:rPr>
        <w:t>File</w:t>
      </w:r>
      <w:r>
        <w:rPr>
          <w:spacing w:val="-2"/>
          <w:sz w:val="18"/>
          <w:vertAlign w:val="baseline"/>
        </w:rPr>
        <w:t> </w:t>
      </w:r>
      <w:r>
        <w:rPr>
          <w:sz w:val="18"/>
          <w:vertAlign w:val="baseline"/>
        </w:rPr>
        <w:t>Coding</w:t>
      </w:r>
      <w:r>
        <w:rPr>
          <w:spacing w:val="-2"/>
          <w:sz w:val="18"/>
          <w:vertAlign w:val="baseline"/>
        </w:rPr>
        <w:t> </w:t>
      </w:r>
      <w:r>
        <w:rPr>
          <w:sz w:val="18"/>
          <w:vertAlign w:val="baseline"/>
        </w:rPr>
        <w:t>of</w:t>
      </w:r>
      <w:r>
        <w:rPr>
          <w:spacing w:val="-2"/>
          <w:sz w:val="18"/>
          <w:vertAlign w:val="baseline"/>
        </w:rPr>
        <w:t> </w:t>
      </w:r>
      <w:r>
        <w:rPr>
          <w:sz w:val="18"/>
          <w:vertAlign w:val="baseline"/>
        </w:rPr>
        <w:t>Child</w:t>
      </w:r>
      <w:r>
        <w:rPr>
          <w:spacing w:val="-2"/>
          <w:sz w:val="18"/>
          <w:vertAlign w:val="baseline"/>
        </w:rPr>
        <w:t> </w:t>
      </w:r>
      <w:r>
        <w:rPr>
          <w:sz w:val="18"/>
          <w:vertAlign w:val="baseline"/>
        </w:rPr>
        <w:t>Maltreatment:</w:t>
      </w:r>
      <w:r>
        <w:rPr>
          <w:spacing w:val="-2"/>
          <w:sz w:val="18"/>
          <w:vertAlign w:val="baseline"/>
        </w:rPr>
        <w:t> </w:t>
      </w:r>
      <w:r>
        <w:rPr>
          <w:sz w:val="18"/>
          <w:vertAlign w:val="baseline"/>
        </w:rPr>
        <w:t>Methods,</w:t>
      </w:r>
      <w:r>
        <w:rPr>
          <w:spacing w:val="-3"/>
          <w:sz w:val="18"/>
          <w:vertAlign w:val="baseline"/>
        </w:rPr>
        <w:t> </w:t>
      </w:r>
      <w:r>
        <w:rPr>
          <w:sz w:val="18"/>
          <w:vertAlign w:val="baseline"/>
        </w:rPr>
        <w:t>Challenges,</w:t>
      </w:r>
      <w:r>
        <w:rPr>
          <w:spacing w:val="-3"/>
          <w:sz w:val="18"/>
          <w:vertAlign w:val="baseline"/>
        </w:rPr>
        <w:t> </w:t>
      </w:r>
      <w:r>
        <w:rPr>
          <w:sz w:val="18"/>
          <w:vertAlign w:val="baseline"/>
        </w:rPr>
        <w:t>and</w:t>
      </w:r>
      <w:r>
        <w:rPr>
          <w:spacing w:val="-2"/>
          <w:sz w:val="18"/>
          <w:vertAlign w:val="baseline"/>
        </w:rPr>
        <w:t> </w:t>
      </w:r>
      <w:r>
        <w:rPr>
          <w:sz w:val="18"/>
          <w:vertAlign w:val="baseline"/>
        </w:rPr>
        <w:t>Innovations</w:t>
      </w:r>
      <w:r>
        <w:rPr>
          <w:spacing w:val="-2"/>
          <w:sz w:val="18"/>
          <w:vertAlign w:val="baseline"/>
        </w:rPr>
        <w:t> </w:t>
      </w:r>
      <w:r>
        <w:rPr>
          <w:sz w:val="18"/>
          <w:vertAlign w:val="baseline"/>
        </w:rPr>
        <w:t>in</w:t>
      </w:r>
      <w:r>
        <w:rPr>
          <w:spacing w:val="-2"/>
          <w:sz w:val="18"/>
          <w:vertAlign w:val="baseline"/>
        </w:rPr>
        <w:t> </w:t>
      </w:r>
      <w:r>
        <w:rPr>
          <w:sz w:val="18"/>
          <w:vertAlign w:val="baseline"/>
        </w:rPr>
        <w:t>a</w:t>
      </w:r>
      <w:r>
        <w:rPr>
          <w:spacing w:val="-2"/>
          <w:sz w:val="18"/>
          <w:vertAlign w:val="baseline"/>
        </w:rPr>
        <w:t> </w:t>
      </w:r>
      <w:r>
        <w:rPr>
          <w:sz w:val="18"/>
          <w:vertAlign w:val="baseline"/>
        </w:rPr>
        <w:t>Longitudinal Project of Youth in Foster Care,” </w:t>
      </w:r>
      <w:r>
        <w:rPr>
          <w:i/>
          <w:sz w:val="18"/>
          <w:vertAlign w:val="baseline"/>
        </w:rPr>
        <w:t>Children and Youth Services Review </w:t>
      </w:r>
      <w:r>
        <w:rPr>
          <w:sz w:val="18"/>
          <w:vertAlign w:val="baseline"/>
        </w:rPr>
        <w:t>67 (August 2016): 254–62, </w:t>
      </w:r>
      <w:r>
        <w:rPr>
          <w:spacing w:val="-2"/>
          <w:sz w:val="18"/>
          <w:vertAlign w:val="baseline"/>
        </w:rPr>
        <w:t>https://doi.org/10.1016/j.childyouth.2016.06.019.</w:t>
      </w:r>
    </w:p>
    <w:p>
      <w:pPr>
        <w:spacing w:before="0"/>
        <w:ind w:left="463" w:right="1228" w:hanging="1"/>
        <w:jc w:val="left"/>
        <w:rPr>
          <w:sz w:val="18"/>
        </w:rPr>
      </w:pPr>
      <w:bookmarkStart w:name="_bookmark17" w:id="113"/>
      <w:bookmarkEnd w:id="113"/>
      <w:r>
        <w:rPr/>
      </w:r>
      <w:r>
        <w:rPr>
          <w:sz w:val="18"/>
          <w:vertAlign w:val="superscript"/>
        </w:rPr>
        <w:t>9</w:t>
      </w:r>
      <w:r>
        <w:rPr>
          <w:spacing w:val="-5"/>
          <w:sz w:val="18"/>
          <w:vertAlign w:val="baseline"/>
        </w:rPr>
        <w:t> </w:t>
      </w:r>
      <w:hyperlink r:id="rId74">
        <w:r>
          <w:rPr>
            <w:sz w:val="18"/>
            <w:vertAlign w:val="baseline"/>
          </w:rPr>
          <w:t>The Trevor Project, “Protectiveness of Family Sexual Orientation Support,” November 2022,</w:t>
        </w:r>
      </w:hyperlink>
      <w:r>
        <w:rPr>
          <w:sz w:val="18"/>
          <w:vertAlign w:val="baseline"/>
        </w:rPr>
        <w:t> </w:t>
      </w:r>
      <w:hyperlink r:id="rId74">
        <w:r>
          <w:rPr>
            <w:spacing w:val="-2"/>
            <w:sz w:val="18"/>
            <w:vertAlign w:val="baseline"/>
          </w:rPr>
          <w:t>https://www.thetrevorproject.org/research-briefs/protectiveness-of-family-sexual-orientation-support-nov-2022/.</w:t>
        </w:r>
      </w:hyperlink>
    </w:p>
    <w:p>
      <w:pPr>
        <w:spacing w:before="0"/>
        <w:ind w:left="463" w:right="298" w:firstLine="0"/>
        <w:jc w:val="left"/>
        <w:rPr>
          <w:sz w:val="18"/>
        </w:rPr>
      </w:pPr>
      <w:bookmarkStart w:name="_bookmark18" w:id="114"/>
      <w:bookmarkEnd w:id="114"/>
      <w:r>
        <w:rPr/>
      </w:r>
      <w:r>
        <w:rPr>
          <w:sz w:val="18"/>
          <w:vertAlign w:val="superscript"/>
        </w:rPr>
        <w:t>10</w:t>
      </w:r>
      <w:r>
        <w:rPr>
          <w:spacing w:val="-11"/>
          <w:sz w:val="18"/>
          <w:vertAlign w:val="baseline"/>
        </w:rPr>
        <w:t> </w:t>
      </w:r>
      <w:hyperlink r:id="rId75">
        <w:r>
          <w:rPr>
            <w:sz w:val="18"/>
            <w:vertAlign w:val="baseline"/>
          </w:rPr>
          <w:t>Mark L. Hatzenbuehler and John E. Pachankis, “Stigma and Minority Stress as Social Determinants of Health Among Lesbian,</w:t>
        </w:r>
      </w:hyperlink>
      <w:r>
        <w:rPr>
          <w:sz w:val="18"/>
          <w:vertAlign w:val="baseline"/>
        </w:rPr>
        <w:t> </w:t>
      </w:r>
      <w:hyperlink r:id="rId75">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and</w:t>
        </w:r>
        <w:r>
          <w:rPr>
            <w:spacing w:val="-2"/>
            <w:sz w:val="18"/>
            <w:vertAlign w:val="baseline"/>
          </w:rPr>
          <w:t> </w:t>
        </w:r>
        <w:r>
          <w:rPr>
            <w:sz w:val="18"/>
            <w:vertAlign w:val="baseline"/>
          </w:rPr>
          <w:t>Transgender</w:t>
        </w:r>
        <w:r>
          <w:rPr>
            <w:spacing w:val="-4"/>
            <w:sz w:val="18"/>
            <w:vertAlign w:val="baseline"/>
          </w:rPr>
          <w:t> </w:t>
        </w:r>
        <w:r>
          <w:rPr>
            <w:sz w:val="18"/>
            <w:vertAlign w:val="baseline"/>
          </w:rPr>
          <w:t>Youth:</w:t>
        </w:r>
        <w:r>
          <w:rPr>
            <w:spacing w:val="-2"/>
            <w:sz w:val="18"/>
            <w:vertAlign w:val="baseline"/>
          </w:rPr>
          <w:t> </w:t>
        </w:r>
        <w:r>
          <w:rPr>
            <w:sz w:val="18"/>
            <w:vertAlign w:val="baseline"/>
          </w:rPr>
          <w:t>Research</w:t>
        </w:r>
        <w:r>
          <w:rPr>
            <w:spacing w:val="-2"/>
            <w:sz w:val="18"/>
            <w:vertAlign w:val="baseline"/>
          </w:rPr>
          <w:t> </w:t>
        </w:r>
        <w:r>
          <w:rPr>
            <w:sz w:val="18"/>
            <w:vertAlign w:val="baseline"/>
          </w:rPr>
          <w:t>Evidence</w:t>
        </w:r>
        <w:r>
          <w:rPr>
            <w:spacing w:val="-2"/>
            <w:sz w:val="18"/>
            <w:vertAlign w:val="baseline"/>
          </w:rPr>
          <w:t> </w:t>
        </w:r>
        <w:r>
          <w:rPr>
            <w:sz w:val="18"/>
            <w:vertAlign w:val="baseline"/>
          </w:rPr>
          <w:t>and</w:t>
        </w:r>
        <w:r>
          <w:rPr>
            <w:spacing w:val="-2"/>
            <w:sz w:val="18"/>
            <w:vertAlign w:val="baseline"/>
          </w:rPr>
          <w:t> </w:t>
        </w:r>
        <w:r>
          <w:rPr>
            <w:sz w:val="18"/>
            <w:vertAlign w:val="baseline"/>
          </w:rPr>
          <w:t>Clinical</w:t>
        </w:r>
        <w:r>
          <w:rPr>
            <w:spacing w:val="-3"/>
            <w:sz w:val="18"/>
            <w:vertAlign w:val="baseline"/>
          </w:rPr>
          <w:t> </w:t>
        </w:r>
        <w:r>
          <w:rPr>
            <w:sz w:val="18"/>
            <w:vertAlign w:val="baseline"/>
          </w:rPr>
          <w:t>Implications,”</w:t>
        </w:r>
      </w:hyperlink>
      <w:r>
        <w:rPr>
          <w:spacing w:val="-2"/>
          <w:sz w:val="18"/>
          <w:vertAlign w:val="baseline"/>
        </w:rPr>
        <w:t> </w:t>
      </w:r>
      <w:hyperlink r:id="rId75">
        <w:r>
          <w:rPr>
            <w:i/>
            <w:sz w:val="18"/>
            <w:vertAlign w:val="baseline"/>
          </w:rPr>
          <w:t>Pediatric</w:t>
        </w:r>
        <w:r>
          <w:rPr>
            <w:i/>
            <w:spacing w:val="-3"/>
            <w:sz w:val="18"/>
            <w:vertAlign w:val="baseline"/>
          </w:rPr>
          <w:t> </w:t>
        </w:r>
        <w:r>
          <w:rPr>
            <w:i/>
            <w:sz w:val="18"/>
            <w:vertAlign w:val="baseline"/>
          </w:rPr>
          <w:t>Clinics</w:t>
        </w:r>
        <w:r>
          <w:rPr>
            <w:i/>
            <w:spacing w:val="-3"/>
            <w:sz w:val="18"/>
            <w:vertAlign w:val="baseline"/>
          </w:rPr>
          <w:t> </w:t>
        </w:r>
        <w:r>
          <w:rPr>
            <w:i/>
            <w:sz w:val="18"/>
            <w:vertAlign w:val="baseline"/>
          </w:rPr>
          <w:t>of</w:t>
        </w:r>
        <w:r>
          <w:rPr>
            <w:i/>
            <w:spacing w:val="-2"/>
            <w:sz w:val="18"/>
            <w:vertAlign w:val="baseline"/>
          </w:rPr>
          <w:t> </w:t>
        </w:r>
        <w:r>
          <w:rPr>
            <w:i/>
            <w:sz w:val="18"/>
            <w:vertAlign w:val="baseline"/>
          </w:rPr>
          <w:t>North</w:t>
        </w:r>
        <w:r>
          <w:rPr>
            <w:i/>
            <w:spacing w:val="-2"/>
            <w:sz w:val="18"/>
            <w:vertAlign w:val="baseline"/>
          </w:rPr>
          <w:t> </w:t>
        </w:r>
        <w:r>
          <w:rPr>
            <w:i/>
            <w:sz w:val="18"/>
            <w:vertAlign w:val="baseline"/>
          </w:rPr>
          <w:t>America</w:t>
        </w:r>
      </w:hyperlink>
      <w:r>
        <w:rPr>
          <w:i/>
          <w:spacing w:val="-2"/>
          <w:sz w:val="18"/>
          <w:vertAlign w:val="baseline"/>
        </w:rPr>
        <w:t> </w:t>
      </w:r>
      <w:hyperlink r:id="rId75">
        <w:r>
          <w:rPr>
            <w:sz w:val="18"/>
            <w:vertAlign w:val="baseline"/>
          </w:rPr>
          <w:t>63,</w:t>
        </w:r>
        <w:r>
          <w:rPr>
            <w:spacing w:val="-3"/>
            <w:sz w:val="18"/>
            <w:vertAlign w:val="baseline"/>
          </w:rPr>
          <w:t> </w:t>
        </w:r>
        <w:r>
          <w:rPr>
            <w:sz w:val="18"/>
            <w:vertAlign w:val="baseline"/>
          </w:rPr>
          <w:t>no.</w:t>
        </w:r>
        <w:r>
          <w:rPr>
            <w:spacing w:val="-2"/>
            <w:sz w:val="18"/>
            <w:vertAlign w:val="baseline"/>
          </w:rPr>
          <w:t> </w:t>
        </w:r>
        <w:r>
          <w:rPr>
            <w:sz w:val="18"/>
            <w:vertAlign w:val="baseline"/>
          </w:rPr>
          <w:t>6</w:t>
        </w:r>
      </w:hyperlink>
      <w:r>
        <w:rPr>
          <w:sz w:val="18"/>
          <w:vertAlign w:val="baseline"/>
        </w:rPr>
        <w:t> </w:t>
      </w:r>
      <w:hyperlink r:id="rId75">
        <w:r>
          <w:rPr>
            <w:sz w:val="18"/>
            <w:vertAlign w:val="baseline"/>
          </w:rPr>
          <w:t>(December 2016): 985–97, https://doi.org/10.1016/j.pcl.2016.07.003.</w:t>
        </w:r>
      </w:hyperlink>
    </w:p>
    <w:p>
      <w:pPr>
        <w:spacing w:before="0"/>
        <w:ind w:left="463" w:right="0" w:firstLine="0"/>
        <w:jc w:val="left"/>
        <w:rPr>
          <w:sz w:val="18"/>
        </w:rPr>
      </w:pPr>
      <w:bookmarkStart w:name="_bookmark19" w:id="115"/>
      <w:bookmarkEnd w:id="115"/>
      <w:r>
        <w:rPr/>
      </w:r>
      <w:r>
        <w:rPr>
          <w:sz w:val="18"/>
          <w:vertAlign w:val="superscript"/>
        </w:rPr>
        <w:t>11</w:t>
      </w:r>
      <w:r>
        <w:rPr>
          <w:spacing w:val="-15"/>
          <w:sz w:val="18"/>
          <w:vertAlign w:val="baseline"/>
        </w:rPr>
        <w:t> </w:t>
      </w:r>
      <w:hyperlink r:id="rId76">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“Protectiveness</w:t>
        </w:r>
        <w:r>
          <w:rPr>
            <w:spacing w:val="-3"/>
            <w:sz w:val="18"/>
            <w:vertAlign w:val="baseline"/>
          </w:rPr>
          <w:t> </w:t>
        </w:r>
        <w:r>
          <w:rPr>
            <w:sz w:val="18"/>
            <w:vertAlign w:val="baseline"/>
          </w:rPr>
          <w:t>of</w:t>
        </w:r>
        <w:r>
          <w:rPr>
            <w:spacing w:val="-3"/>
            <w:sz w:val="18"/>
            <w:vertAlign w:val="baseline"/>
          </w:rPr>
          <w:t> </w:t>
        </w:r>
        <w:r>
          <w:rPr>
            <w:sz w:val="18"/>
            <w:vertAlign w:val="baseline"/>
          </w:rPr>
          <w:t>Family</w:t>
        </w:r>
        <w:r>
          <w:rPr>
            <w:spacing w:val="-4"/>
            <w:sz w:val="18"/>
            <w:vertAlign w:val="baseline"/>
          </w:rPr>
          <w:t> </w:t>
        </w:r>
        <w:r>
          <w:rPr>
            <w:sz w:val="18"/>
            <w:vertAlign w:val="baseline"/>
          </w:rPr>
          <w:t>Sexual</w:t>
        </w:r>
        <w:r>
          <w:rPr>
            <w:spacing w:val="-4"/>
            <w:sz w:val="18"/>
            <w:vertAlign w:val="baseline"/>
          </w:rPr>
          <w:t> </w:t>
        </w:r>
        <w:r>
          <w:rPr>
            <w:sz w:val="18"/>
            <w:vertAlign w:val="baseline"/>
          </w:rPr>
          <w:t>Orientation</w:t>
        </w:r>
        <w:r>
          <w:rPr>
            <w:spacing w:val="-2"/>
            <w:sz w:val="18"/>
            <w:vertAlign w:val="baseline"/>
          </w:rPr>
          <w:t> Support.”</w:t>
        </w:r>
      </w:hyperlink>
    </w:p>
    <w:p>
      <w:pPr>
        <w:spacing w:before="0"/>
        <w:ind w:left="463" w:right="694" w:hanging="1"/>
        <w:jc w:val="left"/>
        <w:rPr>
          <w:sz w:val="18"/>
        </w:rPr>
      </w:pPr>
      <w:bookmarkStart w:name="_bookmark20" w:id="116"/>
      <w:bookmarkEnd w:id="116"/>
      <w:r>
        <w:rPr/>
      </w:r>
      <w:r>
        <w:rPr>
          <w:sz w:val="18"/>
          <w:vertAlign w:val="superscript"/>
        </w:rPr>
        <w:t>12</w:t>
      </w:r>
      <w:r>
        <w:rPr>
          <w:spacing w:val="-13"/>
          <w:sz w:val="18"/>
          <w:vertAlign w:val="baseline"/>
        </w:rPr>
        <w:t> </w:t>
      </w:r>
      <w:r>
        <w:rPr>
          <w:sz w:val="18"/>
          <w:vertAlign w:val="baseline"/>
        </w:rPr>
        <w:t>Office</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Nations</w:t>
      </w:r>
      <w:r>
        <w:rPr>
          <w:spacing w:val="-2"/>
          <w:sz w:val="18"/>
          <w:vertAlign w:val="baseline"/>
        </w:rPr>
        <w:t> </w:t>
      </w:r>
      <w:r>
        <w:rPr>
          <w:sz w:val="18"/>
          <w:vertAlign w:val="baseline"/>
        </w:rPr>
        <w:t>High</w:t>
      </w:r>
      <w:r>
        <w:rPr>
          <w:spacing w:val="-2"/>
          <w:sz w:val="18"/>
          <w:vertAlign w:val="baseline"/>
        </w:rPr>
        <w:t> </w:t>
      </w:r>
      <w:r>
        <w:rPr>
          <w:sz w:val="18"/>
          <w:vertAlign w:val="baseline"/>
        </w:rPr>
        <w:t>Commissioner</w:t>
      </w:r>
      <w:r>
        <w:rPr>
          <w:spacing w:val="-3"/>
          <w:sz w:val="18"/>
          <w:vertAlign w:val="baseline"/>
        </w:rPr>
        <w:t> </w:t>
      </w:r>
      <w:r>
        <w:rPr>
          <w:sz w:val="18"/>
          <w:vertAlign w:val="baseline"/>
        </w:rPr>
        <w:t>for</w:t>
      </w:r>
      <w:r>
        <w:rPr>
          <w:spacing w:val="-3"/>
          <w:sz w:val="18"/>
          <w:vertAlign w:val="baseline"/>
        </w:rPr>
        <w:t> </w:t>
      </w:r>
      <w:r>
        <w:rPr>
          <w:sz w:val="18"/>
          <w:vertAlign w:val="baseline"/>
        </w:rPr>
        <w:t>Human</w:t>
      </w:r>
      <w:r>
        <w:rPr>
          <w:spacing w:val="-2"/>
          <w:sz w:val="18"/>
          <w:vertAlign w:val="baseline"/>
        </w:rPr>
        <w:t> </w:t>
      </w:r>
      <w:r>
        <w:rPr>
          <w:sz w:val="18"/>
          <w:vertAlign w:val="baseline"/>
        </w:rPr>
        <w:t>Rights,</w:t>
      </w:r>
      <w:r>
        <w:rPr>
          <w:spacing w:val="-3"/>
          <w:sz w:val="18"/>
          <w:vertAlign w:val="baseline"/>
        </w:rPr>
        <w:t> </w:t>
      </w:r>
      <w:r>
        <w:rPr>
          <w:sz w:val="18"/>
          <w:vertAlign w:val="baseline"/>
        </w:rPr>
        <w:t>“Convention</w:t>
      </w:r>
      <w:r>
        <w:rPr>
          <w:spacing w:val="-3"/>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Rights</w:t>
      </w:r>
      <w:r>
        <w:rPr>
          <w:spacing w:val="-2"/>
          <w:sz w:val="18"/>
          <w:vertAlign w:val="baseline"/>
        </w:rPr>
        <w:t> </w:t>
      </w:r>
      <w:r>
        <w:rPr>
          <w:sz w:val="18"/>
          <w:vertAlign w:val="baseline"/>
        </w:rPr>
        <w:t>of</w:t>
      </w:r>
      <w:r>
        <w:rPr>
          <w:spacing w:val="-3"/>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the United Nations High Commissioner for Human Rights, March 2023, https://</w:t>
      </w:r>
      <w:hyperlink r:id="rId77">
        <w:r>
          <w:rPr>
            <w:sz w:val="18"/>
            <w:vertAlign w:val="baseline"/>
          </w:rPr>
          <w:t>www.ohchr.org/en/instruments-</w:t>
        </w:r>
      </w:hyperlink>
      <w:r>
        <w:rPr>
          <w:sz w:val="18"/>
          <w:vertAlign w:val="baseline"/>
        </w:rPr>
        <w:t> </w:t>
      </w:r>
      <w:bookmarkStart w:name="_bookmark21" w:id="117"/>
      <w:bookmarkEnd w:id="117"/>
      <w:r>
        <w:rPr>
          <w:spacing w:val="-2"/>
          <w:sz w:val="18"/>
          <w:vertAlign w:val="baseline"/>
        </w:rPr>
        <w:t>me</w:t>
      </w:r>
      <w:r>
        <w:rPr>
          <w:spacing w:val="-2"/>
          <w:sz w:val="18"/>
          <w:vertAlign w:val="baseline"/>
        </w:rPr>
        <w:t>chanisms/instruments/convention-rights-child.</w:t>
      </w:r>
    </w:p>
    <w:p>
      <w:pPr>
        <w:spacing w:before="0"/>
        <w:ind w:left="463" w:right="2636" w:hanging="1"/>
        <w:jc w:val="left"/>
        <w:rPr>
          <w:sz w:val="18"/>
        </w:rPr>
      </w:pPr>
      <w:r>
        <w:rPr>
          <w:sz w:val="18"/>
          <w:vertAlign w:val="superscript"/>
        </w:rPr>
        <w:t>13</w:t>
      </w:r>
      <w:r>
        <w:rPr>
          <w:spacing w:val="-13"/>
          <w:sz w:val="18"/>
          <w:vertAlign w:val="baseline"/>
        </w:rPr>
        <w:t> </w:t>
      </w:r>
      <w:hyperlink r:id="rId78">
        <w:r>
          <w:rPr>
            <w:sz w:val="18"/>
            <w:vertAlign w:val="baseline"/>
          </w:rPr>
          <w:t>Human</w:t>
        </w:r>
        <w:r>
          <w:rPr>
            <w:spacing w:val="-4"/>
            <w:sz w:val="18"/>
            <w:vertAlign w:val="baseline"/>
          </w:rPr>
          <w:t> </w:t>
        </w:r>
        <w:r>
          <w:rPr>
            <w:sz w:val="18"/>
            <w:vertAlign w:val="baseline"/>
          </w:rPr>
          <w:t>Rights</w:t>
        </w:r>
        <w:r>
          <w:rPr>
            <w:spacing w:val="-4"/>
            <w:sz w:val="18"/>
            <w:vertAlign w:val="baseline"/>
          </w:rPr>
          <w:t> </w:t>
        </w:r>
        <w:r>
          <w:rPr>
            <w:sz w:val="18"/>
            <w:vertAlign w:val="baseline"/>
          </w:rPr>
          <w:t>Watch,</w:t>
        </w:r>
        <w:r>
          <w:rPr>
            <w:spacing w:val="-4"/>
            <w:sz w:val="18"/>
            <w:vertAlign w:val="baseline"/>
          </w:rPr>
          <w:t> </w:t>
        </w:r>
        <w:r>
          <w:rPr>
            <w:sz w:val="18"/>
            <w:vertAlign w:val="baseline"/>
          </w:rPr>
          <w:t>“How</w:t>
        </w:r>
        <w:r>
          <w:rPr>
            <w:spacing w:val="-4"/>
            <w:sz w:val="18"/>
            <w:vertAlign w:val="baseline"/>
          </w:rPr>
          <w:t> </w:t>
        </w:r>
        <w:r>
          <w:rPr>
            <w:sz w:val="18"/>
            <w:vertAlign w:val="baseline"/>
          </w:rPr>
          <w:t>Do</w:t>
        </w:r>
        <w:r>
          <w:rPr>
            <w:spacing w:val="-2"/>
            <w:sz w:val="18"/>
            <w:vertAlign w:val="baseline"/>
          </w:rPr>
          <w:t> </w:t>
        </w:r>
        <w:r>
          <w:rPr>
            <w:sz w:val="18"/>
            <w:vertAlign w:val="baseline"/>
          </w:rPr>
          <w:t>US</w:t>
        </w:r>
        <w:r>
          <w:rPr>
            <w:spacing w:val="-3"/>
            <w:sz w:val="18"/>
            <w:vertAlign w:val="baseline"/>
          </w:rPr>
          <w:t> </w:t>
        </w:r>
        <w:r>
          <w:rPr>
            <w:sz w:val="18"/>
            <w:vertAlign w:val="baseline"/>
          </w:rPr>
          <w:t>States</w:t>
        </w:r>
        <w:r>
          <w:rPr>
            <w:spacing w:val="-3"/>
            <w:sz w:val="18"/>
            <w:vertAlign w:val="baseline"/>
          </w:rPr>
          <w:t> </w:t>
        </w:r>
        <w:r>
          <w:rPr>
            <w:sz w:val="18"/>
            <w:vertAlign w:val="baseline"/>
          </w:rPr>
          <w:t>Measure</w:t>
        </w:r>
        <w:r>
          <w:rPr>
            <w:spacing w:val="-3"/>
            <w:sz w:val="18"/>
            <w:vertAlign w:val="baseline"/>
          </w:rPr>
          <w:t> </w:t>
        </w:r>
        <w:r>
          <w:rPr>
            <w:sz w:val="18"/>
            <w:vertAlign w:val="baseline"/>
          </w:rPr>
          <w:t>Up</w:t>
        </w:r>
        <w:r>
          <w:rPr>
            <w:spacing w:val="-3"/>
            <w:sz w:val="18"/>
            <w:vertAlign w:val="baseline"/>
          </w:rPr>
          <w:t> </w:t>
        </w:r>
        <w:r>
          <w:rPr>
            <w:sz w:val="18"/>
            <w:vertAlign w:val="baseline"/>
          </w:rPr>
          <w:t>on</w:t>
        </w:r>
        <w:r>
          <w:rPr>
            <w:spacing w:val="-3"/>
            <w:sz w:val="18"/>
            <w:vertAlign w:val="baseline"/>
          </w:rPr>
          <w:t> </w:t>
        </w:r>
        <w:r>
          <w:rPr>
            <w:sz w:val="18"/>
            <w:vertAlign w:val="baseline"/>
          </w:rPr>
          <w:t>Child</w:t>
        </w:r>
        <w:r>
          <w:rPr>
            <w:spacing w:val="-3"/>
            <w:sz w:val="18"/>
            <w:vertAlign w:val="baseline"/>
          </w:rPr>
          <w:t> </w:t>
        </w:r>
        <w:r>
          <w:rPr>
            <w:sz w:val="18"/>
            <w:vertAlign w:val="baseline"/>
          </w:rPr>
          <w:t>Rights?,”</w:t>
        </w:r>
        <w:r>
          <w:rPr>
            <w:spacing w:val="-3"/>
            <w:sz w:val="18"/>
            <w:vertAlign w:val="baseline"/>
          </w:rPr>
          <w:t> </w:t>
        </w:r>
        <w:r>
          <w:rPr>
            <w:sz w:val="18"/>
            <w:vertAlign w:val="baseline"/>
          </w:rPr>
          <w:t>September</w:t>
        </w:r>
        <w:r>
          <w:rPr>
            <w:spacing w:val="-4"/>
            <w:sz w:val="18"/>
            <w:vertAlign w:val="baseline"/>
          </w:rPr>
          <w:t> </w:t>
        </w:r>
        <w:r>
          <w:rPr>
            <w:sz w:val="18"/>
            <w:vertAlign w:val="baseline"/>
          </w:rPr>
          <w:t>29,</w:t>
        </w:r>
        <w:r>
          <w:rPr>
            <w:spacing w:val="-4"/>
            <w:sz w:val="18"/>
            <w:vertAlign w:val="baseline"/>
          </w:rPr>
          <w:t> </w:t>
        </w:r>
        <w:r>
          <w:rPr>
            <w:sz w:val="18"/>
            <w:vertAlign w:val="baseline"/>
          </w:rPr>
          <w:t>2022,</w:t>
        </w:r>
      </w:hyperlink>
      <w:r>
        <w:rPr>
          <w:sz w:val="18"/>
          <w:vertAlign w:val="baseline"/>
        </w:rPr>
        <w:t> </w:t>
      </w:r>
      <w:bookmarkStart w:name="_bookmark22" w:id="118"/>
      <w:bookmarkEnd w:id="118"/>
      <w:r>
        <w:rPr>
          <w:sz w:val="18"/>
          <w:vertAlign w:val="baseline"/>
        </w:rPr>
      </w:r>
      <w:hyperlink r:id="rId78">
        <w:r>
          <w:rPr>
            <w:spacing w:val="-2"/>
            <w:sz w:val="18"/>
            <w:vertAlign w:val="baseline"/>
          </w:rPr>
          <w:t>https://www.hrw.org/feature/2022/09/13/how-do-states-measure-up-child-rights.</w:t>
        </w:r>
      </w:hyperlink>
    </w:p>
    <w:p>
      <w:pPr>
        <w:spacing w:before="0"/>
        <w:ind w:left="463" w:right="289" w:hanging="1"/>
        <w:jc w:val="left"/>
        <w:rPr>
          <w:sz w:val="18"/>
        </w:rPr>
      </w:pPr>
      <w:r>
        <w:rPr>
          <w:sz w:val="18"/>
          <w:vertAlign w:val="superscript"/>
        </w:rPr>
        <w:t>14</w:t>
      </w:r>
      <w:r>
        <w:rPr>
          <w:spacing w:val="-13"/>
          <w:sz w:val="18"/>
          <w:vertAlign w:val="baseline"/>
        </w:rPr>
        <w:t> </w:t>
      </w:r>
      <w:hyperlink r:id="rId79">
        <w:r>
          <w:rPr>
            <w:sz w:val="18"/>
            <w:vertAlign w:val="baseline"/>
          </w:rPr>
          <w:t>Kerith</w:t>
        </w:r>
        <w:r>
          <w:rPr>
            <w:spacing w:val="-3"/>
            <w:sz w:val="18"/>
            <w:vertAlign w:val="baseline"/>
          </w:rPr>
          <w:t> </w:t>
        </w:r>
        <w:r>
          <w:rPr>
            <w:sz w:val="18"/>
            <w:vertAlign w:val="baseline"/>
          </w:rPr>
          <w:t>J.</w:t>
        </w:r>
        <w:r>
          <w:rPr>
            <w:spacing w:val="-2"/>
            <w:sz w:val="18"/>
            <w:vertAlign w:val="baseline"/>
          </w:rPr>
          <w:t> </w:t>
        </w:r>
        <w:r>
          <w:rPr>
            <w:sz w:val="18"/>
            <w:vertAlign w:val="baseline"/>
          </w:rPr>
          <w:t>Conron</w:t>
        </w:r>
        <w:r>
          <w:rPr>
            <w:spacing w:val="-2"/>
            <w:sz w:val="18"/>
            <w:vertAlign w:val="baseline"/>
          </w:rPr>
          <w:t> </w:t>
        </w:r>
        <w:r>
          <w:rPr>
            <w:sz w:val="18"/>
            <w:vertAlign w:val="baseline"/>
          </w:rPr>
          <w:t>and</w:t>
        </w:r>
        <w:r>
          <w:rPr>
            <w:spacing w:val="-2"/>
            <w:sz w:val="18"/>
            <w:vertAlign w:val="baseline"/>
          </w:rPr>
          <w:t> </w:t>
        </w:r>
        <w:r>
          <w:rPr>
            <w:sz w:val="18"/>
            <w:vertAlign w:val="baseline"/>
          </w:rPr>
          <w:t>Bianca</w:t>
        </w:r>
        <w:r>
          <w:rPr>
            <w:spacing w:val="-2"/>
            <w:sz w:val="18"/>
            <w:vertAlign w:val="baseline"/>
          </w:rPr>
          <w:t> </w:t>
        </w:r>
        <w:r>
          <w:rPr>
            <w:sz w:val="18"/>
            <w:vertAlign w:val="baseline"/>
          </w:rPr>
          <w:t>D.M.</w:t>
        </w:r>
        <w:r>
          <w:rPr>
            <w:spacing w:val="-2"/>
            <w:sz w:val="18"/>
            <w:vertAlign w:val="baseline"/>
          </w:rPr>
          <w:t> </w:t>
        </w:r>
        <w:r>
          <w:rPr>
            <w:sz w:val="18"/>
            <w:vertAlign w:val="baseline"/>
          </w:rPr>
          <w:t>Wilson,</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of</w:t>
        </w:r>
        <w:r>
          <w:rPr>
            <w:spacing w:val="-2"/>
            <w:sz w:val="18"/>
            <w:vertAlign w:val="baseline"/>
          </w:rPr>
          <w:t> </w:t>
        </w:r>
        <w:r>
          <w:rPr>
            <w:sz w:val="18"/>
            <w:vertAlign w:val="baseline"/>
          </w:rPr>
          <w:t>Color</w:t>
        </w:r>
        <w:r>
          <w:rPr>
            <w:spacing w:val="-3"/>
            <w:sz w:val="18"/>
            <w:vertAlign w:val="baseline"/>
          </w:rPr>
          <w:t> </w:t>
        </w:r>
        <w:r>
          <w:rPr>
            <w:sz w:val="18"/>
            <w:vertAlign w:val="baseline"/>
          </w:rPr>
          <w:t>Impacted</w:t>
        </w:r>
        <w:r>
          <w:rPr>
            <w:spacing w:val="-2"/>
            <w:sz w:val="18"/>
            <w:vertAlign w:val="baseline"/>
          </w:rPr>
          <w:t> </w:t>
        </w:r>
        <w:r>
          <w:rPr>
            <w:sz w:val="18"/>
            <w:vertAlign w:val="baseline"/>
          </w:rPr>
          <w:t>by</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and</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Systems,”</w:t>
        </w:r>
      </w:hyperlink>
      <w:r>
        <w:rPr>
          <w:sz w:val="18"/>
          <w:vertAlign w:val="baseline"/>
        </w:rPr>
        <w:t> </w:t>
      </w:r>
      <w:hyperlink r:id="rId79">
        <w:r>
          <w:rPr>
            <w:sz w:val="18"/>
            <w:vertAlign w:val="baseline"/>
          </w:rPr>
          <w:t>A Research Agenda (Williams Institute: UCLA School of Law, July 2019),</w:t>
        </w:r>
      </w:hyperlink>
      <w:r>
        <w:rPr>
          <w:spacing w:val="80"/>
          <w:w w:val="150"/>
          <w:sz w:val="18"/>
          <w:vertAlign w:val="baseline"/>
        </w:rPr>
        <w:t> </w:t>
      </w:r>
      <w:bookmarkStart w:name="_bookmark23" w:id="119"/>
      <w:bookmarkEnd w:id="119"/>
      <w:r>
        <w:rPr>
          <w:sz w:val="18"/>
          <w:vertAlign w:val="baseline"/>
        </w:rPr>
      </w:r>
      <w:hyperlink r:id="rId79">
        <w:r>
          <w:rPr>
            <w:spacing w:val="-2"/>
            <w:sz w:val="18"/>
            <w:vertAlign w:val="baseline"/>
          </w:rPr>
          <w:t>https://williamsinstitute.law.ucla.edu/publications/lgbtq-yoc-social-services/.</w:t>
        </w:r>
      </w:hyperlink>
    </w:p>
    <w:p>
      <w:pPr>
        <w:spacing w:before="0"/>
        <w:ind w:left="463" w:right="298" w:firstLine="0"/>
        <w:jc w:val="left"/>
        <w:rPr>
          <w:sz w:val="18"/>
        </w:rPr>
      </w:pPr>
      <w:r>
        <w:rPr>
          <w:sz w:val="18"/>
          <w:vertAlign w:val="superscript"/>
        </w:rPr>
        <w:t>15</w:t>
      </w:r>
      <w:r>
        <w:rPr>
          <w:spacing w:val="-9"/>
          <w:sz w:val="18"/>
          <w:vertAlign w:val="baseline"/>
        </w:rPr>
        <w:t> </w:t>
      </w:r>
      <w:hyperlink r:id="rId80">
        <w:r>
          <w:rPr>
            <w:sz w:val="18"/>
            <w:vertAlign w:val="baseline"/>
          </w:rPr>
          <w:t>Rank, Mark and Hirschl, Tom, “America’s Poor Are Worse Off Than Elsewhere,” Confronting Poverty, School of Social Work,</w:t>
        </w:r>
      </w:hyperlink>
      <w:r>
        <w:rPr>
          <w:sz w:val="18"/>
          <w:vertAlign w:val="baseline"/>
        </w:rPr>
        <w:t> </w:t>
      </w:r>
      <w:hyperlink r:id="rId80">
        <w:r>
          <w:rPr>
            <w:sz w:val="18"/>
            <w:vertAlign w:val="baseline"/>
          </w:rPr>
          <w:t>Washington</w:t>
        </w:r>
        <w:r>
          <w:rPr>
            <w:spacing w:val="-6"/>
            <w:sz w:val="18"/>
            <w:vertAlign w:val="baseline"/>
          </w:rPr>
          <w:t> </w:t>
        </w:r>
        <w:r>
          <w:rPr>
            <w:sz w:val="18"/>
            <w:vertAlign w:val="baseline"/>
          </w:rPr>
          <w:t>University</w:t>
        </w:r>
        <w:r>
          <w:rPr>
            <w:spacing w:val="-6"/>
            <w:sz w:val="18"/>
            <w:vertAlign w:val="baseline"/>
          </w:rPr>
          <w:t> </w:t>
        </w:r>
        <w:r>
          <w:rPr>
            <w:sz w:val="18"/>
            <w:vertAlign w:val="baseline"/>
          </w:rPr>
          <w:t>of</w:t>
        </w:r>
        <w:r>
          <w:rPr>
            <w:spacing w:val="-6"/>
            <w:sz w:val="18"/>
            <w:vertAlign w:val="baseline"/>
          </w:rPr>
          <w:t> </w:t>
        </w:r>
        <w:r>
          <w:rPr>
            <w:sz w:val="18"/>
            <w:vertAlign w:val="baseline"/>
          </w:rPr>
          <w:t>Saint</w:t>
        </w:r>
        <w:r>
          <w:rPr>
            <w:spacing w:val="-7"/>
            <w:sz w:val="18"/>
            <w:vertAlign w:val="baseline"/>
          </w:rPr>
          <w:t> </w:t>
        </w:r>
        <w:r>
          <w:rPr>
            <w:sz w:val="18"/>
            <w:vertAlign w:val="baseline"/>
          </w:rPr>
          <w:t>Louis,</w:t>
        </w:r>
        <w:r>
          <w:rPr>
            <w:spacing w:val="-7"/>
            <w:sz w:val="18"/>
            <w:vertAlign w:val="baseline"/>
          </w:rPr>
          <w:t> </w:t>
        </w:r>
        <w:r>
          <w:rPr>
            <w:sz w:val="18"/>
            <w:vertAlign w:val="baseline"/>
          </w:rPr>
          <w:t>2023,</w:t>
        </w:r>
        <w:r>
          <w:rPr>
            <w:spacing w:val="-7"/>
            <w:sz w:val="18"/>
            <w:vertAlign w:val="baseline"/>
          </w:rPr>
          <w:t> </w:t>
        </w:r>
        <w:r>
          <w:rPr>
            <w:sz w:val="18"/>
            <w:vertAlign w:val="baseline"/>
          </w:rPr>
          <w:t>https://confrontingpoverty.org/poverty-facts-and-myths/americas-poor-are-worse-</w:t>
        </w:r>
      </w:hyperlink>
      <w:r>
        <w:rPr>
          <w:sz w:val="18"/>
          <w:vertAlign w:val="baseline"/>
        </w:rPr>
        <w:t> </w:t>
      </w:r>
      <w:bookmarkStart w:name="_bookmark24" w:id="120"/>
      <w:bookmarkEnd w:id="120"/>
      <w:r>
        <w:rPr>
          <w:sz w:val="18"/>
          <w:vertAlign w:val="baseline"/>
        </w:rPr>
      </w:r>
      <w:hyperlink r:id="rId80">
        <w:r>
          <w:rPr>
            <w:spacing w:val="-2"/>
            <w:sz w:val="18"/>
            <w:vertAlign w:val="baseline"/>
          </w:rPr>
          <w:t>off-than-elsewhere/.</w:t>
        </w:r>
      </w:hyperlink>
    </w:p>
    <w:p>
      <w:pPr>
        <w:spacing w:before="0"/>
        <w:ind w:left="463" w:right="289" w:hanging="1"/>
        <w:jc w:val="left"/>
        <w:rPr>
          <w:sz w:val="18"/>
        </w:rPr>
      </w:pPr>
      <w:r>
        <w:rPr>
          <w:sz w:val="18"/>
          <w:vertAlign w:val="superscript"/>
        </w:rPr>
        <w:t>16</w:t>
      </w:r>
      <w:r>
        <w:rPr>
          <w:spacing w:val="-13"/>
          <w:sz w:val="18"/>
          <w:vertAlign w:val="baseline"/>
        </w:rPr>
        <w:t> </w:t>
      </w:r>
      <w:hyperlink r:id="rId81">
        <w:r>
          <w:rPr>
            <w:sz w:val="18"/>
            <w:vertAlign w:val="baseline"/>
          </w:rPr>
          <w:t>US</w:t>
        </w:r>
        <w:r>
          <w:rPr>
            <w:spacing w:val="-3"/>
            <w:sz w:val="18"/>
            <w:vertAlign w:val="baseline"/>
          </w:rPr>
          <w:t> </w:t>
        </w:r>
        <w:r>
          <w:rPr>
            <w:sz w:val="18"/>
            <w:vertAlign w:val="baseline"/>
          </w:rPr>
          <w:t>Census</w:t>
        </w:r>
        <w:r>
          <w:rPr>
            <w:spacing w:val="-3"/>
            <w:sz w:val="18"/>
            <w:vertAlign w:val="baseline"/>
          </w:rPr>
          <w:t> </w:t>
        </w:r>
        <w:r>
          <w:rPr>
            <w:sz w:val="18"/>
            <w:vertAlign w:val="baseline"/>
          </w:rPr>
          <w:t>Bureau,</w:t>
        </w:r>
        <w:r>
          <w:rPr>
            <w:spacing w:val="-3"/>
            <w:sz w:val="18"/>
            <w:vertAlign w:val="baseline"/>
          </w:rPr>
          <w:t> </w:t>
        </w:r>
        <w:r>
          <w:rPr>
            <w:sz w:val="18"/>
            <w:vertAlign w:val="baseline"/>
          </w:rPr>
          <w:t>“Poverty</w:t>
        </w:r>
        <w:r>
          <w:rPr>
            <w:spacing w:val="-2"/>
            <w:sz w:val="18"/>
            <w:vertAlign w:val="baseline"/>
          </w:rPr>
          <w:t> </w:t>
        </w:r>
        <w:r>
          <w:rPr>
            <w:sz w:val="18"/>
            <w:vertAlign w:val="baseline"/>
          </w:rPr>
          <w:t>Rate</w:t>
        </w:r>
        <w:r>
          <w:rPr>
            <w:spacing w:val="-2"/>
            <w:sz w:val="18"/>
            <w:vertAlign w:val="baseline"/>
          </w:rPr>
          <w:t> </w:t>
        </w:r>
        <w:r>
          <w:rPr>
            <w:sz w:val="18"/>
            <w:vertAlign w:val="baseline"/>
          </w:rPr>
          <w:t>of</w:t>
        </w:r>
        <w:r>
          <w:rPr>
            <w:spacing w:val="-2"/>
            <w:sz w:val="18"/>
            <w:vertAlign w:val="baseline"/>
          </w:rPr>
          <w:t> </w:t>
        </w:r>
        <w:r>
          <w:rPr>
            <w:sz w:val="18"/>
            <w:vertAlign w:val="baseline"/>
          </w:rPr>
          <w:t>Children</w:t>
        </w:r>
        <w:r>
          <w:rPr>
            <w:spacing w:val="-2"/>
            <w:sz w:val="18"/>
            <w:vertAlign w:val="baseline"/>
          </w:rPr>
          <w:t> </w:t>
        </w:r>
        <w:r>
          <w:rPr>
            <w:sz w:val="18"/>
            <w:vertAlign w:val="baseline"/>
          </w:rPr>
          <w:t>Higher</w:t>
        </w:r>
        <w:r>
          <w:rPr>
            <w:spacing w:val="-3"/>
            <w:sz w:val="18"/>
            <w:vertAlign w:val="baseline"/>
          </w:rPr>
          <w:t> </w:t>
        </w:r>
        <w:r>
          <w:rPr>
            <w:sz w:val="18"/>
            <w:vertAlign w:val="baseline"/>
          </w:rPr>
          <w:t>Than</w:t>
        </w:r>
        <w:r>
          <w:rPr>
            <w:spacing w:val="-2"/>
            <w:sz w:val="18"/>
            <w:vertAlign w:val="baseline"/>
          </w:rPr>
          <w:t> </w:t>
        </w:r>
        <w:r>
          <w:rPr>
            <w:sz w:val="18"/>
            <w:vertAlign w:val="baseline"/>
          </w:rPr>
          <w:t>National</w:t>
        </w:r>
        <w:r>
          <w:rPr>
            <w:spacing w:val="-3"/>
            <w:sz w:val="18"/>
            <w:vertAlign w:val="baseline"/>
          </w:rPr>
          <w:t> </w:t>
        </w:r>
        <w:r>
          <w:rPr>
            <w:sz w:val="18"/>
            <w:vertAlign w:val="baseline"/>
          </w:rPr>
          <w:t>Rate,</w:t>
        </w:r>
        <w:r>
          <w:rPr>
            <w:spacing w:val="-3"/>
            <w:sz w:val="18"/>
            <w:vertAlign w:val="baseline"/>
          </w:rPr>
          <w:t> </w:t>
        </w:r>
        <w:r>
          <w:rPr>
            <w:sz w:val="18"/>
            <w:vertAlign w:val="baseline"/>
          </w:rPr>
          <w:t>Lower</w:t>
        </w:r>
        <w:r>
          <w:rPr>
            <w:spacing w:val="-2"/>
            <w:sz w:val="18"/>
            <w:vertAlign w:val="baseline"/>
          </w:rPr>
          <w:t> </w:t>
        </w:r>
        <w:r>
          <w:rPr>
            <w:sz w:val="18"/>
            <w:vertAlign w:val="baseline"/>
          </w:rPr>
          <w:t>for</w:t>
        </w:r>
        <w:r>
          <w:rPr>
            <w:spacing w:val="-3"/>
            <w:sz w:val="18"/>
            <w:vertAlign w:val="baseline"/>
          </w:rPr>
          <w:t> </w:t>
        </w:r>
        <w:r>
          <w:rPr>
            <w:sz w:val="18"/>
            <w:vertAlign w:val="baseline"/>
          </w:rPr>
          <w:t>Older</w:t>
        </w:r>
        <w:r>
          <w:rPr>
            <w:spacing w:val="-3"/>
            <w:sz w:val="18"/>
            <w:vertAlign w:val="baseline"/>
          </w:rPr>
          <w:t> </w:t>
        </w:r>
        <w:r>
          <w:rPr>
            <w:sz w:val="18"/>
            <w:vertAlign w:val="baseline"/>
          </w:rPr>
          <w:t>Populations,”</w:t>
        </w:r>
      </w:hyperlink>
      <w:r>
        <w:rPr>
          <w:spacing w:val="-2"/>
          <w:sz w:val="18"/>
          <w:vertAlign w:val="baseline"/>
        </w:rPr>
        <w:t> </w:t>
      </w:r>
      <w:hyperlink r:id="rId81">
        <w:r>
          <w:rPr>
            <w:i/>
            <w:sz w:val="18"/>
            <w:vertAlign w:val="baseline"/>
          </w:rPr>
          <w:t>Census.Gov</w:t>
        </w:r>
      </w:hyperlink>
      <w:hyperlink r:id="rId81">
        <w:r>
          <w:rPr>
            <w:sz w:val="18"/>
            <w:vertAlign w:val="baseline"/>
          </w:rPr>
          <w:t>,</w:t>
        </w:r>
        <w:r>
          <w:rPr>
            <w:spacing w:val="-3"/>
            <w:sz w:val="18"/>
            <w:vertAlign w:val="baseline"/>
          </w:rPr>
          <w:t> </w:t>
        </w:r>
        <w:r>
          <w:rPr>
            <w:sz w:val="18"/>
            <w:vertAlign w:val="baseline"/>
          </w:rPr>
          <w:t>October</w:t>
        </w:r>
      </w:hyperlink>
      <w:r>
        <w:rPr>
          <w:sz w:val="18"/>
          <w:vertAlign w:val="baseline"/>
        </w:rPr>
        <w:t> </w:t>
      </w:r>
      <w:bookmarkStart w:name="_bookmark25" w:id="121"/>
      <w:bookmarkEnd w:id="121"/>
      <w:r>
        <w:rPr>
          <w:sz w:val="18"/>
          <w:vertAlign w:val="baseline"/>
        </w:rPr>
      </w:r>
      <w:hyperlink r:id="rId81">
        <w:r>
          <w:rPr>
            <w:sz w:val="18"/>
            <w:vertAlign w:val="baseline"/>
          </w:rPr>
          <w:t>2022,</w:t>
        </w:r>
        <w:r>
          <w:rPr>
            <w:spacing w:val="-2"/>
            <w:sz w:val="18"/>
            <w:vertAlign w:val="baseline"/>
          </w:rPr>
          <w:t> </w:t>
        </w:r>
        <w:r>
          <w:rPr>
            <w:sz w:val="18"/>
            <w:vertAlign w:val="baseline"/>
          </w:rPr>
          <w:t>https://www.census.gov/library/stories/2022/10/poverty-rate-varies-by-age-groups.html.</w:t>
        </w:r>
      </w:hyperlink>
    </w:p>
    <w:p>
      <w:pPr>
        <w:spacing w:before="0"/>
        <w:ind w:left="463" w:right="320" w:hanging="1"/>
        <w:jc w:val="left"/>
        <w:rPr>
          <w:sz w:val="18"/>
        </w:rPr>
      </w:pPr>
      <w:r>
        <w:rPr>
          <w:sz w:val="18"/>
          <w:vertAlign w:val="superscript"/>
        </w:rPr>
        <w:t>17</w:t>
      </w:r>
      <w:r>
        <w:rPr>
          <w:spacing w:val="-13"/>
          <w:sz w:val="18"/>
          <w:vertAlign w:val="baseline"/>
        </w:rPr>
        <w:t> </w:t>
      </w:r>
      <w:hyperlink r:id="rId82">
        <w:r>
          <w:rPr>
            <w:sz w:val="18"/>
            <w:vertAlign w:val="baseline"/>
          </w:rPr>
          <w:t>Anne</w:t>
        </w:r>
        <w:r>
          <w:rPr>
            <w:spacing w:val="-3"/>
            <w:sz w:val="18"/>
            <w:vertAlign w:val="baseline"/>
          </w:rPr>
          <w:t> </w:t>
        </w:r>
        <w:r>
          <w:rPr>
            <w:sz w:val="18"/>
            <w:vertAlign w:val="baseline"/>
          </w:rPr>
          <w:t>Calef,</w:t>
        </w:r>
        <w:r>
          <w:rPr>
            <w:spacing w:val="-3"/>
            <w:sz w:val="18"/>
            <w:vertAlign w:val="baseline"/>
          </w:rPr>
          <w:t> </w:t>
        </w:r>
        <w:r>
          <w:rPr>
            <w:sz w:val="18"/>
            <w:vertAlign w:val="baseline"/>
          </w:rPr>
          <w:t>“Massachusetts</w:t>
        </w:r>
        <w:r>
          <w:rPr>
            <w:spacing w:val="-2"/>
            <w:sz w:val="18"/>
            <w:vertAlign w:val="baseline"/>
          </w:rPr>
          <w:t> </w:t>
        </w:r>
        <w:r>
          <w:rPr>
            <w:sz w:val="18"/>
            <w:vertAlign w:val="baseline"/>
          </w:rPr>
          <w:t>Shows</w:t>
        </w:r>
        <w:r>
          <w:rPr>
            <w:spacing w:val="-2"/>
            <w:sz w:val="18"/>
            <w:vertAlign w:val="baseline"/>
          </w:rPr>
          <w:t> </w:t>
        </w:r>
        <w:r>
          <w:rPr>
            <w:sz w:val="18"/>
            <w:vertAlign w:val="baseline"/>
          </w:rPr>
          <w:t>Progress</w:t>
        </w:r>
        <w:r>
          <w:rPr>
            <w:spacing w:val="-2"/>
            <w:sz w:val="18"/>
            <w:vertAlign w:val="baseline"/>
          </w:rPr>
          <w:t> </w:t>
        </w:r>
        <w:r>
          <w:rPr>
            <w:sz w:val="18"/>
            <w:vertAlign w:val="baseline"/>
          </w:rPr>
          <w:t>on</w:t>
        </w:r>
        <w:r>
          <w:rPr>
            <w:spacing w:val="-2"/>
            <w:sz w:val="18"/>
            <w:vertAlign w:val="baseline"/>
          </w:rPr>
          <w:t> </w:t>
        </w:r>
        <w:r>
          <w:rPr>
            <w:sz w:val="18"/>
            <w:vertAlign w:val="baseline"/>
          </w:rPr>
          <w:t>Poverty,</w:t>
        </w:r>
        <w:r>
          <w:rPr>
            <w:spacing w:val="-3"/>
            <w:sz w:val="18"/>
            <w:vertAlign w:val="baseline"/>
          </w:rPr>
          <w:t> </w:t>
        </w:r>
        <w:r>
          <w:rPr>
            <w:sz w:val="18"/>
            <w:vertAlign w:val="baseline"/>
          </w:rPr>
          <w:t>but</w:t>
        </w:r>
        <w:r>
          <w:rPr>
            <w:spacing w:val="-3"/>
            <w:sz w:val="18"/>
            <w:vertAlign w:val="baseline"/>
          </w:rPr>
          <w:t> </w:t>
        </w:r>
        <w:r>
          <w:rPr>
            <w:sz w:val="18"/>
            <w:vertAlign w:val="baseline"/>
          </w:rPr>
          <w:t>Remains</w:t>
        </w:r>
        <w:r>
          <w:rPr>
            <w:spacing w:val="-2"/>
            <w:sz w:val="18"/>
            <w:vertAlign w:val="baseline"/>
          </w:rPr>
          <w:t> </w:t>
        </w:r>
        <w:r>
          <w:rPr>
            <w:sz w:val="18"/>
            <w:vertAlign w:val="baseline"/>
          </w:rPr>
          <w:t>Worse</w:t>
        </w:r>
        <w:r>
          <w:rPr>
            <w:spacing w:val="-2"/>
            <w:sz w:val="18"/>
            <w:vertAlign w:val="baseline"/>
          </w:rPr>
          <w:t> </w:t>
        </w:r>
        <w:r>
          <w:rPr>
            <w:sz w:val="18"/>
            <w:vertAlign w:val="baseline"/>
          </w:rPr>
          <w:t>than</w:t>
        </w:r>
        <w:r>
          <w:rPr>
            <w:spacing w:val="-2"/>
            <w:sz w:val="18"/>
            <w:vertAlign w:val="baseline"/>
          </w:rPr>
          <w:t> </w:t>
        </w:r>
        <w:r>
          <w:rPr>
            <w:sz w:val="18"/>
            <w:vertAlign w:val="baseline"/>
          </w:rPr>
          <w:t>21</w:t>
        </w:r>
        <w:r>
          <w:rPr>
            <w:spacing w:val="-2"/>
            <w:sz w:val="18"/>
            <w:vertAlign w:val="baseline"/>
          </w:rPr>
          <w:t> </w:t>
        </w:r>
        <w:r>
          <w:rPr>
            <w:sz w:val="18"/>
            <w:vertAlign w:val="baseline"/>
          </w:rPr>
          <w:t>Other</w:t>
        </w:r>
        <w:r>
          <w:rPr>
            <w:spacing w:val="-3"/>
            <w:sz w:val="18"/>
            <w:vertAlign w:val="baseline"/>
          </w:rPr>
          <w:t> </w:t>
        </w:r>
        <w:r>
          <w:rPr>
            <w:sz w:val="18"/>
            <w:vertAlign w:val="baseline"/>
          </w:rPr>
          <w:t>States</w:t>
        </w:r>
        <w:r>
          <w:rPr>
            <w:spacing w:val="-2"/>
            <w:sz w:val="18"/>
            <w:vertAlign w:val="baseline"/>
          </w:rPr>
          <w:t> </w:t>
        </w:r>
        <w:r>
          <w:rPr>
            <w:sz w:val="18"/>
            <w:vertAlign w:val="baseline"/>
          </w:rPr>
          <w:t>Due</w:t>
        </w:r>
        <w:r>
          <w:rPr>
            <w:spacing w:val="-2"/>
            <w:sz w:val="18"/>
            <w:vertAlign w:val="baseline"/>
          </w:rPr>
          <w:t> </w:t>
        </w:r>
        <w:r>
          <w:rPr>
            <w:sz w:val="18"/>
            <w:vertAlign w:val="baseline"/>
          </w:rPr>
          <w:t>to</w:t>
        </w:r>
        <w:r>
          <w:rPr>
            <w:spacing w:val="-2"/>
            <w:sz w:val="18"/>
            <w:vertAlign w:val="baseline"/>
          </w:rPr>
          <w:t> </w:t>
        </w:r>
        <w:r>
          <w:rPr>
            <w:sz w:val="18"/>
            <w:vertAlign w:val="baseline"/>
          </w:rPr>
          <w:t>High</w:t>
        </w:r>
        <w:r>
          <w:rPr>
            <w:spacing w:val="-3"/>
            <w:sz w:val="18"/>
            <w:vertAlign w:val="baseline"/>
          </w:rPr>
          <w:t> </w:t>
        </w:r>
        <w:r>
          <w:rPr>
            <w:sz w:val="18"/>
            <w:vertAlign w:val="baseline"/>
          </w:rPr>
          <w:t>Cost</w:t>
        </w:r>
        <w:r>
          <w:rPr>
            <w:spacing w:val="-3"/>
            <w:sz w:val="18"/>
            <w:vertAlign w:val="baseline"/>
          </w:rPr>
          <w:t> </w:t>
        </w:r>
        <w:r>
          <w:rPr>
            <w:sz w:val="18"/>
            <w:vertAlign w:val="baseline"/>
          </w:rPr>
          <w:t>of</w:t>
        </w:r>
        <w:r>
          <w:rPr>
            <w:spacing w:val="-2"/>
            <w:sz w:val="18"/>
            <w:vertAlign w:val="baseline"/>
          </w:rPr>
          <w:t> </w:t>
        </w:r>
        <w:r>
          <w:rPr>
            <w:sz w:val="18"/>
            <w:vertAlign w:val="baseline"/>
          </w:rPr>
          <w:t>Living,”</w:t>
        </w:r>
      </w:hyperlink>
      <w:r>
        <w:rPr>
          <w:sz w:val="18"/>
          <w:vertAlign w:val="baseline"/>
        </w:rPr>
        <w:t> </w:t>
      </w:r>
      <w:hyperlink r:id="rId82">
        <w:r>
          <w:rPr>
            <w:i/>
            <w:sz w:val="18"/>
            <w:vertAlign w:val="baseline"/>
          </w:rPr>
          <w:t>Boston Indicators</w:t>
        </w:r>
      </w:hyperlink>
      <w:hyperlink r:id="rId82">
        <w:r>
          <w:rPr>
            <w:sz w:val="18"/>
            <w:vertAlign w:val="baseline"/>
          </w:rPr>
          <w:t>, September 21, 2022, https://www.bostonindicators.org/article-pages/2022/september/supplemental-</w:t>
        </w:r>
      </w:hyperlink>
      <w:r>
        <w:rPr>
          <w:sz w:val="18"/>
          <w:vertAlign w:val="baseline"/>
        </w:rPr>
        <w:t> </w:t>
      </w:r>
      <w:bookmarkStart w:name="_bookmark26" w:id="122"/>
      <w:bookmarkEnd w:id="122"/>
      <w:r>
        <w:rPr>
          <w:sz w:val="18"/>
          <w:vertAlign w:val="baseline"/>
        </w:rPr>
      </w:r>
      <w:hyperlink r:id="rId82">
        <w:r>
          <w:rPr>
            <w:spacing w:val="-2"/>
            <w:sz w:val="18"/>
            <w:vertAlign w:val="baseline"/>
          </w:rPr>
          <w:t>poverty-measure-2022.</w:t>
        </w:r>
      </w:hyperlink>
    </w:p>
    <w:p>
      <w:pPr>
        <w:spacing w:before="0"/>
        <w:ind w:left="463" w:right="450" w:hanging="1"/>
        <w:jc w:val="left"/>
        <w:rPr>
          <w:sz w:val="18"/>
        </w:rPr>
      </w:pPr>
      <w:r>
        <w:rPr>
          <w:sz w:val="18"/>
          <w:vertAlign w:val="superscript"/>
        </w:rPr>
        <w:t>18</w:t>
      </w:r>
      <w:r>
        <w:rPr>
          <w:spacing w:val="-13"/>
          <w:sz w:val="18"/>
          <w:vertAlign w:val="baseline"/>
        </w:rPr>
        <w:t> </w:t>
      </w:r>
      <w:hyperlink r:id="rId83">
        <w:r>
          <w:rPr>
            <w:sz w:val="18"/>
            <w:vertAlign w:val="baseline"/>
          </w:rPr>
          <w:t>Andrew</w:t>
        </w:r>
        <w:r>
          <w:rPr>
            <w:spacing w:val="-4"/>
            <w:sz w:val="18"/>
            <w:vertAlign w:val="baseline"/>
          </w:rPr>
          <w:t> </w:t>
        </w:r>
        <w:r>
          <w:rPr>
            <w:sz w:val="18"/>
            <w:vertAlign w:val="baseline"/>
          </w:rPr>
          <w:t>R.</w:t>
        </w:r>
        <w:r>
          <w:rPr>
            <w:spacing w:val="-2"/>
            <w:sz w:val="18"/>
            <w:vertAlign w:val="baseline"/>
          </w:rPr>
          <w:t> </w:t>
        </w:r>
        <w:r>
          <w:rPr>
            <w:sz w:val="18"/>
            <w:vertAlign w:val="baseline"/>
          </w:rPr>
          <w:t>Flores,</w:t>
        </w:r>
        <w:r>
          <w:rPr>
            <w:spacing w:val="-3"/>
            <w:sz w:val="18"/>
            <w:vertAlign w:val="baseline"/>
          </w:rPr>
          <w:t> </w:t>
        </w:r>
        <w:r>
          <w:rPr>
            <w:sz w:val="18"/>
            <w:vertAlign w:val="baseline"/>
          </w:rPr>
          <w:t>“Social</w:t>
        </w:r>
        <w:r>
          <w:rPr>
            <w:spacing w:val="-3"/>
            <w:sz w:val="18"/>
            <w:vertAlign w:val="baseline"/>
          </w:rPr>
          <w:t> </w:t>
        </w:r>
        <w:r>
          <w:rPr>
            <w:sz w:val="18"/>
            <w:vertAlign w:val="baseline"/>
          </w:rPr>
          <w:t>Acceptance</w:t>
        </w:r>
        <w:r>
          <w:rPr>
            <w:spacing w:val="-2"/>
            <w:sz w:val="18"/>
            <w:vertAlign w:val="baseline"/>
          </w:rPr>
          <w:t> </w:t>
        </w:r>
        <w:r>
          <w:rPr>
            <w:sz w:val="18"/>
            <w:vertAlign w:val="baseline"/>
          </w:rPr>
          <w:t>of</w:t>
        </w:r>
        <w:r>
          <w:rPr>
            <w:spacing w:val="-2"/>
            <w:sz w:val="18"/>
            <w:vertAlign w:val="baseline"/>
          </w:rPr>
          <w:t> </w:t>
        </w:r>
        <w:r>
          <w:rPr>
            <w:sz w:val="18"/>
            <w:vertAlign w:val="baseline"/>
          </w:rPr>
          <w:t>LGBTI</w:t>
        </w:r>
        <w:r>
          <w:rPr>
            <w:spacing w:val="-3"/>
            <w:sz w:val="18"/>
            <w:vertAlign w:val="baseline"/>
          </w:rPr>
          <w:t> </w:t>
        </w:r>
        <w:r>
          <w:rPr>
            <w:sz w:val="18"/>
            <w:vertAlign w:val="baseline"/>
          </w:rPr>
          <w:t>People</w:t>
        </w:r>
        <w:r>
          <w:rPr>
            <w:spacing w:val="-2"/>
            <w:sz w:val="18"/>
            <w:vertAlign w:val="baseline"/>
          </w:rPr>
          <w:t> </w:t>
        </w:r>
        <w:r>
          <w:rPr>
            <w:sz w:val="18"/>
            <w:vertAlign w:val="baseline"/>
          </w:rPr>
          <w:t>in</w:t>
        </w:r>
        <w:r>
          <w:rPr>
            <w:spacing w:val="-2"/>
            <w:sz w:val="18"/>
            <w:vertAlign w:val="baseline"/>
          </w:rPr>
          <w:t> </w:t>
        </w:r>
        <w:r>
          <w:rPr>
            <w:sz w:val="18"/>
            <w:vertAlign w:val="baseline"/>
          </w:rPr>
          <w:t>175</w:t>
        </w:r>
        <w:r>
          <w:rPr>
            <w:spacing w:val="-2"/>
            <w:sz w:val="18"/>
            <w:vertAlign w:val="baseline"/>
          </w:rPr>
          <w:t> </w:t>
        </w:r>
        <w:r>
          <w:rPr>
            <w:sz w:val="18"/>
            <w:vertAlign w:val="baseline"/>
          </w:rPr>
          <w:t>Countries</w:t>
        </w:r>
        <w:r>
          <w:rPr>
            <w:spacing w:val="-2"/>
            <w:sz w:val="18"/>
            <w:vertAlign w:val="baseline"/>
          </w:rPr>
          <w:t> </w:t>
        </w:r>
        <w:r>
          <w:rPr>
            <w:sz w:val="18"/>
            <w:vertAlign w:val="baseline"/>
          </w:rPr>
          <w:t>and</w:t>
        </w:r>
        <w:r>
          <w:rPr>
            <w:spacing w:val="-2"/>
            <w:sz w:val="18"/>
            <w:vertAlign w:val="baseline"/>
          </w:rPr>
          <w:t> </w:t>
        </w:r>
        <w:r>
          <w:rPr>
            <w:sz w:val="18"/>
            <w:vertAlign w:val="baseline"/>
          </w:rPr>
          <w:t>Locations”</w:t>
        </w:r>
        <w:r>
          <w:rPr>
            <w:spacing w:val="-2"/>
            <w:sz w:val="18"/>
            <w:vertAlign w:val="baseline"/>
          </w:rPr>
          <w:t> </w:t>
        </w:r>
        <w:r>
          <w:rPr>
            <w:sz w:val="18"/>
            <w:vertAlign w:val="baseline"/>
          </w:rPr>
          <w:t>(Williams</w:t>
        </w:r>
        <w:r>
          <w:rPr>
            <w:spacing w:val="-2"/>
            <w:sz w:val="18"/>
            <w:vertAlign w:val="baseline"/>
          </w:rPr>
          <w:t> </w:t>
        </w:r>
        <w:r>
          <w:rPr>
            <w:sz w:val="18"/>
            <w:vertAlign w:val="baseline"/>
          </w:rPr>
          <w:t>Institute:</w:t>
        </w:r>
        <w:r>
          <w:rPr>
            <w:spacing w:val="-2"/>
            <w:sz w:val="18"/>
            <w:vertAlign w:val="baseline"/>
          </w:rPr>
          <w:t> </w:t>
        </w:r>
        <w:r>
          <w:rPr>
            <w:sz w:val="18"/>
            <w:vertAlign w:val="baseline"/>
          </w:rPr>
          <w:t>UCLA</w:t>
        </w:r>
        <w:r>
          <w:rPr>
            <w:spacing w:val="-2"/>
            <w:sz w:val="18"/>
            <w:vertAlign w:val="baseline"/>
          </w:rPr>
          <w:t> </w:t>
        </w:r>
        <w:r>
          <w:rPr>
            <w:sz w:val="18"/>
            <w:vertAlign w:val="baseline"/>
          </w:rPr>
          <w:t>School</w:t>
        </w:r>
        <w:r>
          <w:rPr>
            <w:spacing w:val="-3"/>
            <w:sz w:val="18"/>
            <w:vertAlign w:val="baseline"/>
          </w:rPr>
          <w:t> </w:t>
        </w:r>
        <w:r>
          <w:rPr>
            <w:sz w:val="18"/>
            <w:vertAlign w:val="baseline"/>
          </w:rPr>
          <w:t>of</w:t>
        </w:r>
      </w:hyperlink>
      <w:r>
        <w:rPr>
          <w:sz w:val="18"/>
          <w:vertAlign w:val="baseline"/>
        </w:rPr>
        <w:t> </w:t>
      </w:r>
      <w:hyperlink r:id="rId83">
        <w:r>
          <w:rPr>
            <w:sz w:val="18"/>
            <w:vertAlign w:val="baseline"/>
          </w:rPr>
          <w:t>Law, November 2021), https://williamsinstitute.law.ucla.edu/publications/global-acceptance-index-lgbt/.</w:t>
        </w:r>
      </w:hyperlink>
    </w:p>
    <w:p>
      <w:pPr>
        <w:spacing w:after="0"/>
        <w:jc w:val="left"/>
        <w:rPr>
          <w:sz w:val="18"/>
        </w:rPr>
        <w:sectPr>
          <w:pgSz w:w="12240" w:h="15840"/>
          <w:pgMar w:header="804" w:footer="1263" w:top="1000" w:bottom="1460" w:left="980" w:right="1160"/>
        </w:sectPr>
      </w:pPr>
    </w:p>
    <w:p>
      <w:pPr>
        <w:spacing w:before="138"/>
        <w:ind w:left="463" w:right="296" w:hanging="1"/>
        <w:jc w:val="left"/>
        <w:rPr>
          <w:sz w:val="18"/>
        </w:rPr>
      </w:pPr>
      <w:bookmarkStart w:name="_bookmark27" w:id="123"/>
      <w:bookmarkEnd w:id="123"/>
      <w:r>
        <w:rPr/>
      </w:r>
      <w:r>
        <w:rPr>
          <w:sz w:val="18"/>
          <w:vertAlign w:val="superscript"/>
        </w:rPr>
        <w:t>19</w:t>
      </w:r>
      <w:r>
        <w:rPr>
          <w:spacing w:val="-13"/>
          <w:sz w:val="18"/>
          <w:vertAlign w:val="baseline"/>
        </w:rPr>
        <w:t> </w:t>
      </w:r>
      <w:hyperlink r:id="rId84">
        <w:r>
          <w:rPr>
            <w:sz w:val="18"/>
            <w:vertAlign w:val="baseline"/>
          </w:rPr>
          <w:t>M.V.</w:t>
        </w:r>
        <w:r>
          <w:rPr>
            <w:spacing w:val="-4"/>
            <w:sz w:val="18"/>
            <w:vertAlign w:val="baseline"/>
          </w:rPr>
          <w:t> </w:t>
        </w:r>
        <w:r>
          <w:rPr>
            <w:sz w:val="18"/>
            <w:vertAlign w:val="baseline"/>
          </w:rPr>
          <w:t>Lee</w:t>
        </w:r>
        <w:r>
          <w:rPr>
            <w:spacing w:val="-2"/>
            <w:sz w:val="18"/>
            <w:vertAlign w:val="baseline"/>
          </w:rPr>
          <w:t> </w:t>
        </w:r>
        <w:r>
          <w:rPr>
            <w:sz w:val="18"/>
            <w:vertAlign w:val="baseline"/>
          </w:rPr>
          <w:t>Badgett,</w:t>
        </w:r>
        <w:r>
          <w:rPr>
            <w:spacing w:val="-3"/>
            <w:sz w:val="18"/>
            <w:vertAlign w:val="baseline"/>
          </w:rPr>
          <w:t> </w:t>
        </w:r>
        <w:r>
          <w:rPr>
            <w:sz w:val="18"/>
            <w:vertAlign w:val="baseline"/>
          </w:rPr>
          <w:t>Kees</w:t>
        </w:r>
        <w:r>
          <w:rPr>
            <w:spacing w:val="-2"/>
            <w:sz w:val="18"/>
            <w:vertAlign w:val="baseline"/>
          </w:rPr>
          <w:t> </w:t>
        </w:r>
        <w:r>
          <w:rPr>
            <w:sz w:val="18"/>
            <w:vertAlign w:val="baseline"/>
          </w:rPr>
          <w:t>Waaldijk,</w:t>
        </w:r>
        <w:r>
          <w:rPr>
            <w:spacing w:val="-3"/>
            <w:sz w:val="18"/>
            <w:vertAlign w:val="baseline"/>
          </w:rPr>
          <w:t> </w:t>
        </w:r>
        <w:r>
          <w:rPr>
            <w:sz w:val="18"/>
            <w:vertAlign w:val="baseline"/>
          </w:rPr>
          <w:t>and</w:t>
        </w:r>
        <w:r>
          <w:rPr>
            <w:spacing w:val="-2"/>
            <w:sz w:val="18"/>
            <w:vertAlign w:val="baseline"/>
          </w:rPr>
          <w:t> </w:t>
        </w:r>
        <w:r>
          <w:rPr>
            <w:sz w:val="18"/>
            <w:vertAlign w:val="baseline"/>
          </w:rPr>
          <w:t>Yana</w:t>
        </w:r>
        <w:r>
          <w:rPr>
            <w:spacing w:val="-2"/>
            <w:sz w:val="18"/>
            <w:vertAlign w:val="baseline"/>
          </w:rPr>
          <w:t> </w:t>
        </w:r>
        <w:r>
          <w:rPr>
            <w:sz w:val="18"/>
            <w:vertAlign w:val="baseline"/>
          </w:rPr>
          <w:t>van</w:t>
        </w:r>
        <w:r>
          <w:rPr>
            <w:spacing w:val="-3"/>
            <w:sz w:val="18"/>
            <w:vertAlign w:val="baseline"/>
          </w:rPr>
          <w:t> </w:t>
        </w:r>
        <w:r>
          <w:rPr>
            <w:sz w:val="18"/>
            <w:vertAlign w:val="baseline"/>
          </w:rPr>
          <w:t>der</w:t>
        </w:r>
        <w:r>
          <w:rPr>
            <w:spacing w:val="-3"/>
            <w:sz w:val="18"/>
            <w:vertAlign w:val="baseline"/>
          </w:rPr>
          <w:t> </w:t>
        </w:r>
        <w:r>
          <w:rPr>
            <w:sz w:val="18"/>
            <w:vertAlign w:val="baseline"/>
          </w:rPr>
          <w:t>Meulen</w:t>
        </w:r>
        <w:r>
          <w:rPr>
            <w:spacing w:val="-2"/>
            <w:sz w:val="18"/>
            <w:vertAlign w:val="baseline"/>
          </w:rPr>
          <w:t> </w:t>
        </w:r>
        <w:r>
          <w:rPr>
            <w:sz w:val="18"/>
            <w:vertAlign w:val="baseline"/>
          </w:rPr>
          <w:t>Rodgers,</w:t>
        </w:r>
        <w:r>
          <w:rPr>
            <w:spacing w:val="-3"/>
            <w:sz w:val="18"/>
            <w:vertAlign w:val="baseline"/>
          </w:rPr>
          <w:t> </w:t>
        </w:r>
        <w:r>
          <w:rPr>
            <w:sz w:val="18"/>
            <w:vertAlign w:val="baseline"/>
          </w:rPr>
          <w:t>“The</w:t>
        </w:r>
        <w:r>
          <w:rPr>
            <w:spacing w:val="-2"/>
            <w:sz w:val="18"/>
            <w:vertAlign w:val="baseline"/>
          </w:rPr>
          <w:t> </w:t>
        </w:r>
        <w:r>
          <w:rPr>
            <w:sz w:val="18"/>
            <w:vertAlign w:val="baseline"/>
          </w:rPr>
          <w:t>Relationship</w:t>
        </w:r>
        <w:r>
          <w:rPr>
            <w:spacing w:val="-2"/>
            <w:sz w:val="18"/>
            <w:vertAlign w:val="baseline"/>
          </w:rPr>
          <w:t> </w:t>
        </w:r>
        <w:r>
          <w:rPr>
            <w:sz w:val="18"/>
            <w:vertAlign w:val="baseline"/>
          </w:rPr>
          <w:t>between</w:t>
        </w:r>
        <w:r>
          <w:rPr>
            <w:spacing w:val="-3"/>
            <w:sz w:val="18"/>
            <w:vertAlign w:val="baseline"/>
          </w:rPr>
          <w:t> </w:t>
        </w:r>
        <w:r>
          <w:rPr>
            <w:sz w:val="18"/>
            <w:vertAlign w:val="baseline"/>
          </w:rPr>
          <w:t>LGBT</w:t>
        </w:r>
        <w:r>
          <w:rPr>
            <w:spacing w:val="-2"/>
            <w:sz w:val="18"/>
            <w:vertAlign w:val="baseline"/>
          </w:rPr>
          <w:t> </w:t>
        </w:r>
        <w:r>
          <w:rPr>
            <w:sz w:val="18"/>
            <w:vertAlign w:val="baseline"/>
          </w:rPr>
          <w:t>Inclusion</w:t>
        </w:r>
        <w:r>
          <w:rPr>
            <w:spacing w:val="-2"/>
            <w:sz w:val="18"/>
            <w:vertAlign w:val="baseline"/>
          </w:rPr>
          <w:t> </w:t>
        </w:r>
        <w:r>
          <w:rPr>
            <w:sz w:val="18"/>
            <w:vertAlign w:val="baseline"/>
          </w:rPr>
          <w:t>and</w:t>
        </w:r>
        <w:r>
          <w:rPr>
            <w:spacing w:val="-2"/>
            <w:sz w:val="18"/>
            <w:vertAlign w:val="baseline"/>
          </w:rPr>
          <w:t> </w:t>
        </w:r>
        <w:r>
          <w:rPr>
            <w:sz w:val="18"/>
            <w:vertAlign w:val="baseline"/>
          </w:rPr>
          <w:t>Economic</w:t>
        </w:r>
      </w:hyperlink>
      <w:r>
        <w:rPr>
          <w:sz w:val="18"/>
          <w:vertAlign w:val="baseline"/>
        </w:rPr>
        <w:t> </w:t>
      </w:r>
      <w:hyperlink r:id="rId84">
        <w:r>
          <w:rPr>
            <w:sz w:val="18"/>
            <w:vertAlign w:val="baseline"/>
          </w:rPr>
          <w:t>Development” (Williams Institute: UCLA School of Law, August 2019), https://williamsinstitute.law.ucla.edu/publications/lgbt-</w:t>
        </w:r>
      </w:hyperlink>
      <w:r>
        <w:rPr>
          <w:sz w:val="18"/>
          <w:vertAlign w:val="baseline"/>
        </w:rPr>
        <w:t> </w:t>
      </w:r>
      <w:hyperlink r:id="rId84">
        <w:r>
          <w:rPr>
            <w:spacing w:val="-2"/>
            <w:sz w:val="18"/>
            <w:vertAlign w:val="baseline"/>
          </w:rPr>
          <w:t>inclusion-development/.</w:t>
        </w:r>
      </w:hyperlink>
    </w:p>
    <w:p>
      <w:pPr>
        <w:spacing w:before="0"/>
        <w:ind w:left="463" w:right="355" w:firstLine="0"/>
        <w:jc w:val="left"/>
        <w:rPr>
          <w:sz w:val="18"/>
        </w:rPr>
      </w:pPr>
      <w:bookmarkStart w:name="_bookmark28" w:id="124"/>
      <w:bookmarkEnd w:id="124"/>
      <w:r>
        <w:rPr/>
      </w:r>
      <w:r>
        <w:rPr>
          <w:sz w:val="18"/>
          <w:vertAlign w:val="superscript"/>
        </w:rPr>
        <w:t>20</w:t>
      </w:r>
      <w:r>
        <w:rPr>
          <w:spacing w:val="-13"/>
          <w:sz w:val="18"/>
          <w:vertAlign w:val="baseline"/>
        </w:rPr>
        <w:t> </w:t>
      </w:r>
      <w:hyperlink r:id="rId85">
        <w:r>
          <w:rPr>
            <w:sz w:val="18"/>
            <w:vertAlign w:val="baseline"/>
          </w:rPr>
          <w:t>American</w:t>
        </w:r>
        <w:r>
          <w:rPr>
            <w:spacing w:val="-4"/>
            <w:sz w:val="18"/>
            <w:vertAlign w:val="baseline"/>
          </w:rPr>
          <w:t> </w:t>
        </w:r>
        <w:r>
          <w:rPr>
            <w:sz w:val="18"/>
            <w:vertAlign w:val="baseline"/>
          </w:rPr>
          <w:t>Civil</w:t>
        </w:r>
        <w:r>
          <w:rPr>
            <w:spacing w:val="-3"/>
            <w:sz w:val="18"/>
            <w:vertAlign w:val="baseline"/>
          </w:rPr>
          <w:t> </w:t>
        </w:r>
        <w:r>
          <w:rPr>
            <w:sz w:val="18"/>
            <w:vertAlign w:val="baseline"/>
          </w:rPr>
          <w:t>Liberties</w:t>
        </w:r>
        <w:r>
          <w:rPr>
            <w:spacing w:val="-3"/>
            <w:sz w:val="18"/>
            <w:vertAlign w:val="baseline"/>
          </w:rPr>
          <w:t> </w:t>
        </w:r>
        <w:r>
          <w:rPr>
            <w:sz w:val="18"/>
            <w:vertAlign w:val="baseline"/>
          </w:rPr>
          <w:t>Union,</w:t>
        </w:r>
        <w:r>
          <w:rPr>
            <w:spacing w:val="-3"/>
            <w:sz w:val="18"/>
            <w:vertAlign w:val="baseline"/>
          </w:rPr>
          <w:t> </w:t>
        </w:r>
        <w:r>
          <w:rPr>
            <w:sz w:val="18"/>
            <w:vertAlign w:val="baseline"/>
          </w:rPr>
          <w:t>“Mapping</w:t>
        </w:r>
        <w:r>
          <w:rPr>
            <w:spacing w:val="-3"/>
            <w:sz w:val="18"/>
            <w:vertAlign w:val="baseline"/>
          </w:rPr>
          <w:t> </w:t>
        </w:r>
        <w:r>
          <w:rPr>
            <w:sz w:val="18"/>
            <w:vertAlign w:val="baseline"/>
          </w:rPr>
          <w:t>Attacks</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Rights</w:t>
        </w:r>
        <w:r>
          <w:rPr>
            <w:spacing w:val="-3"/>
            <w:sz w:val="18"/>
            <w:vertAlign w:val="baseline"/>
          </w:rPr>
          <w:t> </w:t>
        </w:r>
        <w:r>
          <w:rPr>
            <w:sz w:val="18"/>
            <w:vertAlign w:val="baseline"/>
          </w:rPr>
          <w:t>in</w:t>
        </w:r>
        <w:r>
          <w:rPr>
            <w:spacing w:val="-3"/>
            <w:sz w:val="18"/>
            <w:vertAlign w:val="baseline"/>
          </w:rPr>
          <w:t> </w:t>
        </w:r>
        <w:r>
          <w:rPr>
            <w:sz w:val="18"/>
            <w:vertAlign w:val="baseline"/>
          </w:rPr>
          <w:t>U.S.</w:t>
        </w:r>
        <w:r>
          <w:rPr>
            <w:spacing w:val="-3"/>
            <w:sz w:val="18"/>
            <w:vertAlign w:val="baseline"/>
          </w:rPr>
          <w:t> </w:t>
        </w:r>
        <w:r>
          <w:rPr>
            <w:sz w:val="18"/>
            <w:vertAlign w:val="baseline"/>
          </w:rPr>
          <w:t>State</w:t>
        </w:r>
        <w:r>
          <w:rPr>
            <w:spacing w:val="-4"/>
            <w:sz w:val="18"/>
            <w:vertAlign w:val="baseline"/>
          </w:rPr>
          <w:t> </w:t>
        </w:r>
        <w:r>
          <w:rPr>
            <w:sz w:val="18"/>
            <w:vertAlign w:val="baseline"/>
          </w:rPr>
          <w:t>Legislatures,”</w:t>
        </w:r>
        <w:r>
          <w:rPr>
            <w:spacing w:val="-3"/>
            <w:sz w:val="18"/>
            <w:vertAlign w:val="baseline"/>
          </w:rPr>
          <w:t> </w:t>
        </w:r>
        <w:r>
          <w:rPr>
            <w:sz w:val="18"/>
            <w:vertAlign w:val="baseline"/>
          </w:rPr>
          <w:t>American</w:t>
        </w:r>
        <w:r>
          <w:rPr>
            <w:spacing w:val="-3"/>
            <w:sz w:val="18"/>
            <w:vertAlign w:val="baseline"/>
          </w:rPr>
          <w:t> </w:t>
        </w:r>
        <w:r>
          <w:rPr>
            <w:sz w:val="18"/>
            <w:vertAlign w:val="baseline"/>
          </w:rPr>
          <w:t>Civil</w:t>
        </w:r>
        <w:r>
          <w:rPr>
            <w:spacing w:val="-4"/>
            <w:sz w:val="18"/>
            <w:vertAlign w:val="baseline"/>
          </w:rPr>
          <w:t> </w:t>
        </w:r>
        <w:r>
          <w:rPr>
            <w:sz w:val="18"/>
            <w:vertAlign w:val="baseline"/>
          </w:rPr>
          <w:t>Liberties</w:t>
        </w:r>
        <w:r>
          <w:rPr>
            <w:spacing w:val="-3"/>
            <w:sz w:val="18"/>
            <w:vertAlign w:val="baseline"/>
          </w:rPr>
          <w:t> </w:t>
        </w:r>
        <w:r>
          <w:rPr>
            <w:sz w:val="18"/>
            <w:vertAlign w:val="baseline"/>
          </w:rPr>
          <w:t>Union,</w:t>
        </w:r>
      </w:hyperlink>
      <w:r>
        <w:rPr>
          <w:sz w:val="18"/>
          <w:vertAlign w:val="baseline"/>
        </w:rPr>
        <w:t> </w:t>
      </w:r>
      <w:hyperlink r:id="rId85">
        <w:r>
          <w:rPr>
            <w:sz w:val="18"/>
            <w:vertAlign w:val="baseline"/>
          </w:rPr>
          <w:t>2023,</w:t>
        </w:r>
        <w:r>
          <w:rPr>
            <w:spacing w:val="-2"/>
            <w:sz w:val="18"/>
            <w:vertAlign w:val="baseline"/>
          </w:rPr>
          <w:t> </w:t>
        </w:r>
        <w:r>
          <w:rPr>
            <w:sz w:val="18"/>
            <w:vertAlign w:val="baseline"/>
          </w:rPr>
          <w:t>https://www.aclu.org/legislative-attacks-on-lgbtq-rights.</w:t>
        </w:r>
      </w:hyperlink>
    </w:p>
    <w:p>
      <w:pPr>
        <w:spacing w:before="0"/>
        <w:ind w:left="463" w:right="776" w:hanging="1"/>
        <w:jc w:val="left"/>
        <w:rPr>
          <w:sz w:val="18"/>
        </w:rPr>
      </w:pPr>
      <w:bookmarkStart w:name="_bookmark29" w:id="125"/>
      <w:bookmarkEnd w:id="125"/>
      <w:r>
        <w:rPr/>
      </w:r>
      <w:r>
        <w:rPr>
          <w:sz w:val="18"/>
          <w:vertAlign w:val="superscript"/>
        </w:rPr>
        <w:t>21</w:t>
      </w:r>
      <w:r>
        <w:rPr>
          <w:spacing w:val="-13"/>
          <w:sz w:val="18"/>
          <w:vertAlign w:val="baseline"/>
        </w:rPr>
        <w:t> </w:t>
      </w:r>
      <w:hyperlink r:id="rId86">
        <w:r>
          <w:rPr>
            <w:sz w:val="18"/>
            <w:vertAlign w:val="baseline"/>
          </w:rPr>
          <w:t>“New</w:t>
        </w:r>
        <w:r>
          <w:rPr>
            <w:spacing w:val="-5"/>
            <w:sz w:val="18"/>
            <w:vertAlign w:val="baseline"/>
          </w:rPr>
          <w:t> </w:t>
        </w:r>
        <w:r>
          <w:rPr>
            <w:sz w:val="18"/>
            <w:vertAlign w:val="baseline"/>
          </w:rPr>
          <w:t>Poll</w:t>
        </w:r>
        <w:r>
          <w:rPr>
            <w:spacing w:val="-3"/>
            <w:sz w:val="18"/>
            <w:vertAlign w:val="baseline"/>
          </w:rPr>
          <w:t> </w:t>
        </w:r>
        <w:r>
          <w:rPr>
            <w:sz w:val="18"/>
            <w:vertAlign w:val="baseline"/>
          </w:rPr>
          <w:t>Emphasizes</w:t>
        </w:r>
        <w:r>
          <w:rPr>
            <w:spacing w:val="-2"/>
            <w:sz w:val="18"/>
            <w:vertAlign w:val="baseline"/>
          </w:rPr>
          <w:t> </w:t>
        </w:r>
        <w:r>
          <w:rPr>
            <w:sz w:val="18"/>
            <w:vertAlign w:val="baseline"/>
          </w:rPr>
          <w:t>Negative</w:t>
        </w:r>
        <w:r>
          <w:rPr>
            <w:spacing w:val="-2"/>
            <w:sz w:val="18"/>
            <w:vertAlign w:val="baseline"/>
          </w:rPr>
          <w:t> </w:t>
        </w:r>
        <w:r>
          <w:rPr>
            <w:sz w:val="18"/>
            <w:vertAlign w:val="baseline"/>
          </w:rPr>
          <w:t>Impacts</w:t>
        </w:r>
        <w:r>
          <w:rPr>
            <w:spacing w:val="-2"/>
            <w:sz w:val="18"/>
            <w:vertAlign w:val="baseline"/>
          </w:rPr>
          <w:t> </w:t>
        </w:r>
        <w:r>
          <w:rPr>
            <w:sz w:val="18"/>
            <w:vertAlign w:val="baseline"/>
          </w:rPr>
          <w:t>of</w:t>
        </w:r>
        <w:r>
          <w:rPr>
            <w:spacing w:val="-2"/>
            <w:sz w:val="18"/>
            <w:vertAlign w:val="baseline"/>
          </w:rPr>
          <w:t> </w:t>
        </w:r>
        <w:r>
          <w:rPr>
            <w:sz w:val="18"/>
            <w:vertAlign w:val="baseline"/>
          </w:rPr>
          <w:t>Anti-LGBTQ</w:t>
        </w:r>
        <w:r>
          <w:rPr>
            <w:spacing w:val="-2"/>
            <w:sz w:val="18"/>
            <w:vertAlign w:val="baseline"/>
          </w:rPr>
          <w:t> </w:t>
        </w:r>
        <w:r>
          <w:rPr>
            <w:sz w:val="18"/>
            <w:vertAlign w:val="baseline"/>
          </w:rPr>
          <w:t>Policies</w:t>
        </w:r>
        <w:r>
          <w:rPr>
            <w:spacing w:val="-2"/>
            <w:sz w:val="18"/>
            <w:vertAlign w:val="baseline"/>
          </w:rPr>
          <w:t> </w:t>
        </w:r>
        <w:r>
          <w:rPr>
            <w:sz w:val="18"/>
            <w:vertAlign w:val="baseline"/>
          </w:rPr>
          <w:t>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The</w:t>
        </w:r>
        <w:r>
          <w:rPr>
            <w:spacing w:val="-2"/>
            <w:sz w:val="18"/>
            <w:vertAlign w:val="baseline"/>
          </w:rPr>
          <w:t> </w:t>
        </w:r>
        <w:r>
          <w:rPr>
            <w:sz w:val="18"/>
            <w:vertAlign w:val="baseline"/>
          </w:rPr>
          <w:t>Trevor</w:t>
        </w:r>
        <w:r>
          <w:rPr>
            <w:spacing w:val="-3"/>
            <w:sz w:val="18"/>
            <w:vertAlign w:val="baseline"/>
          </w:rPr>
          <w:t> </w:t>
        </w:r>
        <w:r>
          <w:rPr>
            <w:sz w:val="18"/>
            <w:vertAlign w:val="baseline"/>
          </w:rPr>
          <w:t>Project,</w:t>
        </w:r>
        <w:r>
          <w:rPr>
            <w:spacing w:val="-3"/>
            <w:sz w:val="18"/>
            <w:vertAlign w:val="baseline"/>
          </w:rPr>
          <w:t> </w:t>
        </w:r>
        <w:r>
          <w:rPr>
            <w:sz w:val="18"/>
            <w:vertAlign w:val="baseline"/>
          </w:rPr>
          <w:t>January</w:t>
        </w:r>
        <w:r>
          <w:rPr>
            <w:spacing w:val="-2"/>
            <w:sz w:val="18"/>
            <w:vertAlign w:val="baseline"/>
          </w:rPr>
          <w:t> </w:t>
        </w:r>
        <w:r>
          <w:rPr>
            <w:sz w:val="18"/>
            <w:vertAlign w:val="baseline"/>
          </w:rPr>
          <w:t>19,</w:t>
        </w:r>
        <w:r>
          <w:rPr>
            <w:spacing w:val="-3"/>
            <w:sz w:val="18"/>
            <w:vertAlign w:val="baseline"/>
          </w:rPr>
          <w:t> </w:t>
        </w:r>
        <w:r>
          <w:rPr>
            <w:sz w:val="18"/>
            <w:vertAlign w:val="baseline"/>
          </w:rPr>
          <w:t>2023,</w:t>
        </w:r>
      </w:hyperlink>
      <w:r>
        <w:rPr>
          <w:sz w:val="18"/>
          <w:vertAlign w:val="baseline"/>
        </w:rPr>
        <w:t> </w:t>
      </w:r>
      <w:bookmarkStart w:name="_bookmark30" w:id="126"/>
      <w:bookmarkEnd w:id="126"/>
      <w:r>
        <w:rPr>
          <w:sz w:val="18"/>
          <w:vertAlign w:val="baseline"/>
        </w:rPr>
      </w:r>
      <w:hyperlink r:id="rId86">
        <w:r>
          <w:rPr>
            <w:spacing w:val="-2"/>
            <w:sz w:val="18"/>
            <w:vertAlign w:val="baseline"/>
          </w:rPr>
          <w:t>https://www.thetrevorproject.org/blog/new-poll-emphasizes-negative-impacts-of-anti-lgbtq-policies-on-lgbtq-youth/.</w:t>
        </w:r>
      </w:hyperlink>
    </w:p>
    <w:p>
      <w:pPr>
        <w:spacing w:before="0"/>
        <w:ind w:left="463" w:right="289" w:hanging="1"/>
        <w:jc w:val="left"/>
        <w:rPr>
          <w:sz w:val="18"/>
        </w:rPr>
      </w:pPr>
      <w:r>
        <w:rPr>
          <w:sz w:val="18"/>
          <w:vertAlign w:val="superscript"/>
        </w:rPr>
        <w:t>22</w:t>
      </w:r>
      <w:r>
        <w:rPr>
          <w:spacing w:val="-13"/>
          <w:sz w:val="18"/>
          <w:vertAlign w:val="baseline"/>
        </w:rPr>
        <w:t> </w:t>
      </w:r>
      <w:hyperlink r:id="rId87">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“2022</w:t>
        </w:r>
        <w:r>
          <w:rPr>
            <w:spacing w:val="-3"/>
            <w:sz w:val="18"/>
            <w:vertAlign w:val="baseline"/>
          </w:rPr>
          <w:t> </w:t>
        </w:r>
        <w:r>
          <w:rPr>
            <w:sz w:val="18"/>
            <w:vertAlign w:val="baseline"/>
          </w:rPr>
          <w:t>National</w:t>
        </w:r>
        <w:r>
          <w:rPr>
            <w:spacing w:val="-4"/>
            <w:sz w:val="18"/>
            <w:vertAlign w:val="baseline"/>
          </w:rPr>
          <w:t> </w:t>
        </w:r>
        <w:r>
          <w:rPr>
            <w:sz w:val="18"/>
            <w:vertAlign w:val="baseline"/>
          </w:rPr>
          <w:t>Survey</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2023,</w:t>
        </w:r>
        <w:r>
          <w:rPr>
            <w:spacing w:val="-4"/>
            <w:sz w:val="18"/>
            <w:vertAlign w:val="baseline"/>
          </w:rPr>
          <w:t> </w:t>
        </w:r>
        <w:r>
          <w:rPr>
            <w:sz w:val="18"/>
            <w:vertAlign w:val="baseline"/>
          </w:rPr>
          <w:t>https://www.thetrevorproject.org/survey-</w:t>
        </w:r>
      </w:hyperlink>
      <w:r>
        <w:rPr>
          <w:sz w:val="18"/>
          <w:vertAlign w:val="baseline"/>
        </w:rPr>
        <w:t> </w:t>
      </w:r>
      <w:bookmarkStart w:name="_bookmark31" w:id="127"/>
      <w:bookmarkEnd w:id="127"/>
      <w:r>
        <w:rPr>
          <w:sz w:val="18"/>
          <w:vertAlign w:val="baseline"/>
        </w:rPr>
      </w:r>
      <w:hyperlink r:id="rId87">
        <w:r>
          <w:rPr>
            <w:spacing w:val="-2"/>
            <w:sz w:val="18"/>
            <w:vertAlign w:val="baseline"/>
          </w:rPr>
          <w:t>2022/.</w:t>
        </w:r>
      </w:hyperlink>
    </w:p>
    <w:p>
      <w:pPr>
        <w:spacing w:before="0"/>
        <w:ind w:left="463" w:right="0" w:firstLine="0"/>
        <w:jc w:val="left"/>
        <w:rPr>
          <w:sz w:val="18"/>
        </w:rPr>
      </w:pPr>
      <w:r>
        <w:rPr>
          <w:sz w:val="18"/>
          <w:vertAlign w:val="superscript"/>
        </w:rPr>
        <w:t>23</w:t>
      </w:r>
      <w:r>
        <w:rPr>
          <w:spacing w:val="-13"/>
          <w:sz w:val="18"/>
          <w:vertAlign w:val="baseline"/>
        </w:rPr>
        <w:t> </w:t>
      </w:r>
      <w:bookmarkStart w:name="_bookmark32" w:id="128"/>
      <w:bookmarkEnd w:id="128"/>
      <w:r>
        <w:rPr>
          <w:sz w:val="18"/>
          <w:vertAlign w:val="baseline"/>
        </w:rPr>
        <w:t>“</w:t>
      </w:r>
      <w:r>
        <w:rPr>
          <w:sz w:val="18"/>
          <w:vertAlign w:val="baseline"/>
        </w:rPr>
        <w:t>MPA</w:t>
      </w:r>
      <w:r>
        <w:rPr>
          <w:spacing w:val="-2"/>
          <w:sz w:val="18"/>
          <w:vertAlign w:val="baseline"/>
        </w:rPr>
        <w:t> Overview.”</w:t>
      </w:r>
    </w:p>
    <w:p>
      <w:pPr>
        <w:spacing w:before="0"/>
        <w:ind w:left="463" w:right="0" w:firstLine="0"/>
        <w:jc w:val="left"/>
        <w:rPr>
          <w:sz w:val="18"/>
        </w:rPr>
      </w:pPr>
      <w:r>
        <w:rPr>
          <w:sz w:val="18"/>
          <w:vertAlign w:val="superscript"/>
        </w:rPr>
        <w:t>24</w:t>
      </w:r>
      <w:r>
        <w:rPr>
          <w:spacing w:val="-15"/>
          <w:sz w:val="18"/>
          <w:vertAlign w:val="baseline"/>
        </w:rPr>
        <w:t> </w:t>
      </w:r>
      <w:bookmarkStart w:name="_bookmark33" w:id="129"/>
      <w:bookmarkEnd w:id="129"/>
      <w:r>
        <w:rPr>
          <w:spacing w:val="-13"/>
          <w:sz w:val="18"/>
          <w:vertAlign w:val="baseline"/>
        </w:rPr>
      </w:r>
      <w:hyperlink r:id="rId88">
        <w:r>
          <w:rPr>
            <w:sz w:val="18"/>
            <w:vertAlign w:val="baseline"/>
          </w:rPr>
          <w:t>Conron</w:t>
        </w:r>
        <w:r>
          <w:rPr>
            <w:spacing w:val="-4"/>
            <w:sz w:val="18"/>
            <w:vertAlign w:val="baseline"/>
          </w:rPr>
          <w:t> </w:t>
        </w:r>
        <w:r>
          <w:rPr>
            <w:sz w:val="18"/>
            <w:vertAlign w:val="baseline"/>
          </w:rPr>
          <w:t>and</w:t>
        </w:r>
        <w:r>
          <w:rPr>
            <w:spacing w:val="-2"/>
            <w:sz w:val="18"/>
            <w:vertAlign w:val="baseline"/>
          </w:rPr>
          <w:t> </w:t>
        </w:r>
        <w:r>
          <w:rPr>
            <w:sz w:val="18"/>
            <w:vertAlign w:val="baseline"/>
          </w:rPr>
          <w:t>Wilson,</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of</w:t>
        </w:r>
        <w:r>
          <w:rPr>
            <w:spacing w:val="-2"/>
            <w:sz w:val="18"/>
            <w:vertAlign w:val="baseline"/>
          </w:rPr>
          <w:t> </w:t>
        </w:r>
        <w:r>
          <w:rPr>
            <w:sz w:val="18"/>
            <w:vertAlign w:val="baseline"/>
          </w:rPr>
          <w:t>Color</w:t>
        </w:r>
        <w:r>
          <w:rPr>
            <w:spacing w:val="-3"/>
            <w:sz w:val="18"/>
            <w:vertAlign w:val="baseline"/>
          </w:rPr>
          <w:t> </w:t>
        </w:r>
        <w:r>
          <w:rPr>
            <w:sz w:val="18"/>
            <w:vertAlign w:val="baseline"/>
          </w:rPr>
          <w:t>Impacted</w:t>
        </w:r>
        <w:r>
          <w:rPr>
            <w:spacing w:val="-2"/>
            <w:sz w:val="18"/>
            <w:vertAlign w:val="baseline"/>
          </w:rPr>
          <w:t> </w:t>
        </w:r>
        <w:r>
          <w:rPr>
            <w:sz w:val="18"/>
            <w:vertAlign w:val="baseline"/>
          </w:rPr>
          <w:t>by</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and</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1"/>
            <w:sz w:val="18"/>
            <w:vertAlign w:val="baseline"/>
          </w:rPr>
          <w:t> </w:t>
        </w:r>
        <w:r>
          <w:rPr>
            <w:spacing w:val="-2"/>
            <w:sz w:val="18"/>
            <w:vertAlign w:val="baseline"/>
          </w:rPr>
          <w:t>Systems.”</w:t>
        </w:r>
      </w:hyperlink>
    </w:p>
    <w:p>
      <w:pPr>
        <w:spacing w:before="0"/>
        <w:ind w:left="463" w:right="355" w:hanging="1"/>
        <w:jc w:val="left"/>
        <w:rPr>
          <w:sz w:val="18"/>
        </w:rPr>
      </w:pPr>
      <w:r>
        <w:rPr>
          <w:sz w:val="18"/>
          <w:vertAlign w:val="superscript"/>
        </w:rPr>
        <w:t>25</w:t>
      </w:r>
      <w:r>
        <w:rPr>
          <w:spacing w:val="-13"/>
          <w:sz w:val="18"/>
          <w:vertAlign w:val="baseline"/>
        </w:rPr>
        <w:t> </w:t>
      </w:r>
      <w:hyperlink r:id="rId89">
        <w:r>
          <w:rPr>
            <w:sz w:val="18"/>
            <w:vertAlign w:val="baseline"/>
          </w:rPr>
          <w:t>Sarah</w:t>
        </w:r>
        <w:r>
          <w:rPr>
            <w:spacing w:val="-4"/>
            <w:sz w:val="18"/>
            <w:vertAlign w:val="baseline"/>
          </w:rPr>
          <w:t> </w:t>
        </w:r>
        <w:r>
          <w:rPr>
            <w:sz w:val="18"/>
            <w:vertAlign w:val="baseline"/>
          </w:rPr>
          <w:t>Vidal</w:t>
        </w:r>
        <w:r>
          <w:rPr>
            <w:spacing w:val="-3"/>
            <w:sz w:val="18"/>
            <w:vertAlign w:val="baseline"/>
          </w:rPr>
          <w:t> </w:t>
        </w:r>
        <w:r>
          <w:rPr>
            <w:sz w:val="18"/>
            <w:vertAlign w:val="baseline"/>
          </w:rPr>
          <w:t>et</w:t>
        </w:r>
        <w:r>
          <w:rPr>
            <w:spacing w:val="-4"/>
            <w:sz w:val="18"/>
            <w:vertAlign w:val="baseline"/>
          </w:rPr>
          <w:t> </w:t>
        </w:r>
        <w:r>
          <w:rPr>
            <w:sz w:val="18"/>
            <w:vertAlign w:val="baseline"/>
          </w:rPr>
          <w:t>al.,</w:t>
        </w:r>
        <w:r>
          <w:rPr>
            <w:spacing w:val="-3"/>
            <w:sz w:val="18"/>
            <w:vertAlign w:val="baseline"/>
          </w:rPr>
          <w:t> </w:t>
        </w:r>
        <w:r>
          <w:rPr>
            <w:sz w:val="18"/>
            <w:vertAlign w:val="baseline"/>
          </w:rPr>
          <w:t>“Multisystem-Involved</w:t>
        </w:r>
        <w:r>
          <w:rPr>
            <w:spacing w:val="-2"/>
            <w:sz w:val="18"/>
            <w:vertAlign w:val="baseline"/>
          </w:rPr>
          <w:t> </w:t>
        </w:r>
        <w:r>
          <w:rPr>
            <w:sz w:val="18"/>
            <w:vertAlign w:val="baseline"/>
          </w:rPr>
          <w:t>Youth:</w:t>
        </w:r>
        <w:r>
          <w:rPr>
            <w:spacing w:val="-2"/>
            <w:sz w:val="18"/>
            <w:vertAlign w:val="baseline"/>
          </w:rPr>
          <w:t> </w:t>
        </w:r>
        <w:r>
          <w:rPr>
            <w:sz w:val="18"/>
            <w:vertAlign w:val="baseline"/>
          </w:rPr>
          <w:t>A</w:t>
        </w:r>
        <w:r>
          <w:rPr>
            <w:spacing w:val="-2"/>
            <w:sz w:val="18"/>
            <w:vertAlign w:val="baseline"/>
          </w:rPr>
          <w:t> </w:t>
        </w:r>
        <w:r>
          <w:rPr>
            <w:sz w:val="18"/>
            <w:vertAlign w:val="baseline"/>
          </w:rPr>
          <w:t>Developmental</w:t>
        </w:r>
        <w:r>
          <w:rPr>
            <w:spacing w:val="-3"/>
            <w:sz w:val="18"/>
            <w:vertAlign w:val="baseline"/>
          </w:rPr>
          <w:t> </w:t>
        </w:r>
        <w:r>
          <w:rPr>
            <w:sz w:val="18"/>
            <w:vertAlign w:val="baseline"/>
          </w:rPr>
          <w:t>Framework</w:t>
        </w:r>
        <w:r>
          <w:rPr>
            <w:spacing w:val="-3"/>
            <w:sz w:val="18"/>
            <w:vertAlign w:val="baseline"/>
          </w:rPr>
          <w:t> </w:t>
        </w:r>
        <w:r>
          <w:rPr>
            <w:sz w:val="18"/>
            <w:vertAlign w:val="baseline"/>
          </w:rPr>
          <w:t>and</w:t>
        </w:r>
        <w:r>
          <w:rPr>
            <w:spacing w:val="-2"/>
            <w:sz w:val="18"/>
            <w:vertAlign w:val="baseline"/>
          </w:rPr>
          <w:t> </w:t>
        </w:r>
        <w:r>
          <w:rPr>
            <w:sz w:val="18"/>
            <w:vertAlign w:val="baseline"/>
          </w:rPr>
          <w:t>Implications</w:t>
        </w:r>
        <w:r>
          <w:rPr>
            <w:spacing w:val="-2"/>
            <w:sz w:val="18"/>
            <w:vertAlign w:val="baseline"/>
          </w:rPr>
          <w:t> </w:t>
        </w:r>
        <w:r>
          <w:rPr>
            <w:sz w:val="18"/>
            <w:vertAlign w:val="baseline"/>
          </w:rPr>
          <w:t>for</w:t>
        </w:r>
        <w:r>
          <w:rPr>
            <w:spacing w:val="-3"/>
            <w:sz w:val="18"/>
            <w:vertAlign w:val="baseline"/>
          </w:rPr>
          <w:t> </w:t>
        </w:r>
        <w:r>
          <w:rPr>
            <w:sz w:val="18"/>
            <w:vertAlign w:val="baseline"/>
          </w:rPr>
          <w:t>Research,</w:t>
        </w:r>
        <w:r>
          <w:rPr>
            <w:spacing w:val="-3"/>
            <w:sz w:val="18"/>
            <w:vertAlign w:val="baseline"/>
          </w:rPr>
          <w:t> </w:t>
        </w:r>
        <w:r>
          <w:rPr>
            <w:sz w:val="18"/>
            <w:vertAlign w:val="baseline"/>
          </w:rPr>
          <w:t>Policy,</w:t>
        </w:r>
        <w:r>
          <w:rPr>
            <w:spacing w:val="-3"/>
            <w:sz w:val="18"/>
            <w:vertAlign w:val="baseline"/>
          </w:rPr>
          <w:t> </w:t>
        </w:r>
        <w:r>
          <w:rPr>
            <w:sz w:val="18"/>
            <w:vertAlign w:val="baseline"/>
          </w:rPr>
          <w:t>and</w:t>
        </w:r>
      </w:hyperlink>
      <w:r>
        <w:rPr>
          <w:sz w:val="18"/>
          <w:vertAlign w:val="baseline"/>
        </w:rPr>
        <w:t> </w:t>
      </w:r>
      <w:bookmarkStart w:name="_bookmark34" w:id="130"/>
      <w:bookmarkEnd w:id="130"/>
      <w:r>
        <w:rPr>
          <w:sz w:val="18"/>
          <w:vertAlign w:val="baseline"/>
        </w:rPr>
      </w:r>
      <w:hyperlink r:id="rId89">
        <w:r>
          <w:rPr>
            <w:sz w:val="18"/>
            <w:vertAlign w:val="baseline"/>
          </w:rPr>
          <w:t>Practice,”</w:t>
        </w:r>
      </w:hyperlink>
      <w:r>
        <w:rPr>
          <w:sz w:val="18"/>
          <w:vertAlign w:val="baseline"/>
        </w:rPr>
        <w:t> </w:t>
      </w:r>
      <w:hyperlink r:id="rId89">
        <w:r>
          <w:rPr>
            <w:i/>
            <w:sz w:val="18"/>
            <w:vertAlign w:val="baseline"/>
          </w:rPr>
          <w:t>Adolescent Research Review</w:t>
        </w:r>
      </w:hyperlink>
      <w:r>
        <w:rPr>
          <w:i/>
          <w:sz w:val="18"/>
          <w:vertAlign w:val="baseline"/>
        </w:rPr>
        <w:t> </w:t>
      </w:r>
      <w:hyperlink r:id="rId89">
        <w:r>
          <w:rPr>
            <w:sz w:val="18"/>
            <w:vertAlign w:val="baseline"/>
          </w:rPr>
          <w:t>4, no. 1 (March 2019): 15–29, https://doi.org/10.1007/s40894-018-0088-1.</w:t>
        </w:r>
      </w:hyperlink>
    </w:p>
    <w:p>
      <w:pPr>
        <w:spacing w:before="0"/>
        <w:ind w:left="463" w:right="965" w:hanging="1"/>
        <w:jc w:val="left"/>
        <w:rPr>
          <w:sz w:val="18"/>
        </w:rPr>
      </w:pPr>
      <w:r>
        <w:rPr>
          <w:sz w:val="18"/>
          <w:vertAlign w:val="superscript"/>
        </w:rPr>
        <w:t>26</w:t>
      </w:r>
      <w:r>
        <w:rPr>
          <w:spacing w:val="-13"/>
          <w:sz w:val="18"/>
          <w:vertAlign w:val="baseline"/>
        </w:rPr>
        <w:t> </w:t>
      </w:r>
      <w:hyperlink r:id="rId90">
        <w:r>
          <w:rPr>
            <w:sz w:val="18"/>
            <w:vertAlign w:val="baseline"/>
          </w:rPr>
          <w:t>Hussey,</w:t>
        </w:r>
        <w:r>
          <w:rPr>
            <w:spacing w:val="-4"/>
            <w:sz w:val="18"/>
            <w:vertAlign w:val="baseline"/>
          </w:rPr>
          <w:t> </w:t>
        </w:r>
        <w:r>
          <w:rPr>
            <w:sz w:val="18"/>
            <w:vertAlign w:val="baseline"/>
          </w:rPr>
          <w:t>Hannah,</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3"/>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Massachusetts</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System:</w:t>
        </w:r>
        <w:r>
          <w:rPr>
            <w:spacing w:val="-4"/>
            <w:sz w:val="18"/>
            <w:vertAlign w:val="baseline"/>
          </w:rPr>
          <w:t> </w:t>
        </w:r>
        <w:r>
          <w:rPr>
            <w:sz w:val="18"/>
            <w:vertAlign w:val="baseline"/>
          </w:rPr>
          <w:t>A</w:t>
        </w:r>
        <w:r>
          <w:rPr>
            <w:spacing w:val="-2"/>
            <w:sz w:val="18"/>
            <w:vertAlign w:val="baseline"/>
          </w:rPr>
          <w:t> </w:t>
        </w:r>
        <w:r>
          <w:rPr>
            <w:sz w:val="18"/>
            <w:vertAlign w:val="baseline"/>
          </w:rPr>
          <w:t>Report</w:t>
        </w:r>
        <w:r>
          <w:rPr>
            <w:spacing w:val="-3"/>
            <w:sz w:val="18"/>
            <w:vertAlign w:val="baseline"/>
          </w:rPr>
          <w:t> </w:t>
        </w:r>
        <w:r>
          <w:rPr>
            <w:sz w:val="18"/>
            <w:vertAlign w:val="baseline"/>
          </w:rPr>
          <w:t>on</w:t>
        </w:r>
        <w:r>
          <w:rPr>
            <w:spacing w:val="-2"/>
            <w:sz w:val="18"/>
            <w:vertAlign w:val="baseline"/>
          </w:rPr>
          <w:t> </w:t>
        </w:r>
        <w:r>
          <w:rPr>
            <w:sz w:val="18"/>
            <w:vertAlign w:val="baseline"/>
          </w:rPr>
          <w:t>Pervasive</w:t>
        </w:r>
        <w:r>
          <w:rPr>
            <w:spacing w:val="-2"/>
            <w:sz w:val="18"/>
            <w:vertAlign w:val="baseline"/>
          </w:rPr>
          <w:t> </w:t>
        </w:r>
        <w:r>
          <w:rPr>
            <w:sz w:val="18"/>
            <w:vertAlign w:val="baseline"/>
          </w:rPr>
          <w:t>Threats</w:t>
        </w:r>
        <w:r>
          <w:rPr>
            <w:spacing w:val="-2"/>
            <w:sz w:val="18"/>
            <w:vertAlign w:val="baseline"/>
          </w:rPr>
          <w:t> </w:t>
        </w:r>
        <w:r>
          <w:rPr>
            <w:sz w:val="18"/>
            <w:vertAlign w:val="baseline"/>
          </w:rPr>
          <w:t>to</w:t>
        </w:r>
        <w:r>
          <w:rPr>
            <w:spacing w:val="-2"/>
            <w:sz w:val="18"/>
            <w:vertAlign w:val="baseline"/>
          </w:rPr>
          <w:t> </w:t>
        </w:r>
        <w:r>
          <w:rPr>
            <w:sz w:val="18"/>
            <w:vertAlign w:val="baseline"/>
          </w:rPr>
          <w:t>Safety,</w:t>
        </w:r>
      </w:hyperlink>
      <w:r>
        <w:rPr>
          <w:sz w:val="18"/>
          <w:vertAlign w:val="baseline"/>
        </w:rPr>
        <w:t> </w:t>
      </w:r>
      <w:hyperlink r:id="rId90">
        <w:r>
          <w:rPr>
            <w:sz w:val="18"/>
            <w:vertAlign w:val="baseline"/>
          </w:rPr>
          <w:t>Wellbeing, and Permanency” (Massachusetts Commission on LGBTQ Youth, July 2021),</w:t>
        </w:r>
      </w:hyperlink>
      <w:r>
        <w:rPr>
          <w:sz w:val="18"/>
          <w:vertAlign w:val="baseline"/>
        </w:rPr>
        <w:t> </w:t>
      </w:r>
      <w:bookmarkStart w:name="_bookmark35" w:id="131"/>
      <w:bookmarkEnd w:id="131"/>
      <w:r>
        <w:rPr>
          <w:sz w:val="18"/>
          <w:vertAlign w:val="baseline"/>
        </w:rPr>
      </w:r>
      <w:hyperlink r:id="rId90">
        <w:r>
          <w:rPr>
            <w:spacing w:val="-2"/>
            <w:sz w:val="18"/>
            <w:vertAlign w:val="baseline"/>
          </w:rPr>
          <w:t>https://www.mass.gov/doc/commission-report-on-dcf.</w:t>
        </w:r>
      </w:hyperlink>
    </w:p>
    <w:p>
      <w:pPr>
        <w:spacing w:before="0"/>
        <w:ind w:left="463" w:right="1574" w:hanging="1"/>
        <w:jc w:val="left"/>
        <w:rPr>
          <w:sz w:val="18"/>
        </w:rPr>
      </w:pPr>
      <w:r>
        <w:rPr>
          <w:sz w:val="18"/>
          <w:vertAlign w:val="superscript"/>
        </w:rPr>
        <w:t>27</w:t>
      </w:r>
      <w:r>
        <w:rPr>
          <w:spacing w:val="-13"/>
          <w:sz w:val="18"/>
          <w:vertAlign w:val="baseline"/>
        </w:rPr>
        <w:t> </w:t>
      </w:r>
      <w:hyperlink r:id="rId91">
        <w:r>
          <w:rPr>
            <w:sz w:val="18"/>
            <w:vertAlign w:val="baseline"/>
          </w:rPr>
          <w:t>June</w:t>
        </w:r>
        <w:r>
          <w:rPr>
            <w:spacing w:val="-4"/>
            <w:sz w:val="18"/>
            <w:vertAlign w:val="baseline"/>
          </w:rPr>
          <w:t> </w:t>
        </w:r>
        <w:r>
          <w:rPr>
            <w:sz w:val="18"/>
            <w:vertAlign w:val="baseline"/>
          </w:rPr>
          <w:t>Ameen,</w:t>
        </w:r>
        <w:r>
          <w:rPr>
            <w:spacing w:val="-4"/>
            <w:sz w:val="18"/>
            <w:vertAlign w:val="baseline"/>
          </w:rPr>
          <w:t> </w:t>
        </w:r>
        <w:r>
          <w:rPr>
            <w:sz w:val="18"/>
            <w:vertAlign w:val="baseline"/>
          </w:rPr>
          <w:t>Kate</w:t>
        </w:r>
        <w:r>
          <w:rPr>
            <w:spacing w:val="-3"/>
            <w:sz w:val="18"/>
            <w:vertAlign w:val="baseline"/>
          </w:rPr>
          <w:t> </w:t>
        </w:r>
        <w:r>
          <w:rPr>
            <w:sz w:val="18"/>
            <w:vertAlign w:val="baseline"/>
          </w:rPr>
          <w:t>Lowenstein,</w:t>
        </w:r>
        <w:r>
          <w:rPr>
            <w:spacing w:val="-4"/>
            <w:sz w:val="18"/>
            <w:vertAlign w:val="baseline"/>
          </w:rPr>
          <w:t> </w:t>
        </w:r>
        <w:r>
          <w:rPr>
            <w:sz w:val="18"/>
            <w:vertAlign w:val="baseline"/>
          </w:rPr>
          <w:t>and</w:t>
        </w:r>
        <w:r>
          <w:rPr>
            <w:spacing w:val="-3"/>
            <w:sz w:val="18"/>
            <w:vertAlign w:val="baseline"/>
          </w:rPr>
          <w:t> </w:t>
        </w:r>
        <w:r>
          <w:rPr>
            <w:sz w:val="18"/>
            <w:vertAlign w:val="baseline"/>
          </w:rPr>
          <w:t>Joan</w:t>
        </w:r>
        <w:r>
          <w:rPr>
            <w:spacing w:val="-3"/>
            <w:sz w:val="18"/>
            <w:vertAlign w:val="baseline"/>
          </w:rPr>
          <w:t> </w:t>
        </w:r>
        <w:r>
          <w:rPr>
            <w:sz w:val="18"/>
            <w:vertAlign w:val="baseline"/>
          </w:rPr>
          <w:t>Montgomery</w:t>
        </w:r>
        <w:r>
          <w:rPr>
            <w:spacing w:val="-3"/>
            <w:sz w:val="18"/>
            <w:vertAlign w:val="baseline"/>
          </w:rPr>
          <w:t> </w:t>
        </w:r>
        <w:r>
          <w:rPr>
            <w:sz w:val="18"/>
            <w:vertAlign w:val="baseline"/>
          </w:rPr>
          <w:t>Halford,</w:t>
        </w:r>
        <w:r>
          <w:rPr>
            <w:spacing w:val="-4"/>
            <w:sz w:val="18"/>
            <w:vertAlign w:val="baseline"/>
          </w:rPr>
          <w:t> </w:t>
        </w:r>
        <w:r>
          <w:rPr>
            <w:sz w:val="18"/>
            <w:vertAlign w:val="baseline"/>
          </w:rPr>
          <w:t>“Failing</w:t>
        </w:r>
        <w:r>
          <w:rPr>
            <w:spacing w:val="-3"/>
            <w:sz w:val="18"/>
            <w:vertAlign w:val="baseline"/>
          </w:rPr>
          <w:t> </w:t>
        </w:r>
        <w:r>
          <w:rPr>
            <w:sz w:val="18"/>
            <w:vertAlign w:val="baseline"/>
          </w:rPr>
          <w:t>Our</w:t>
        </w:r>
        <w:r>
          <w:rPr>
            <w:spacing w:val="-4"/>
            <w:sz w:val="18"/>
            <w:vertAlign w:val="baseline"/>
          </w:rPr>
          <w:t> </w:t>
        </w:r>
        <w:r>
          <w:rPr>
            <w:sz w:val="18"/>
            <w:vertAlign w:val="baseline"/>
          </w:rPr>
          <w:t>Kids”</w:t>
        </w:r>
        <w:r>
          <w:rPr>
            <w:spacing w:val="-3"/>
            <w:sz w:val="18"/>
            <w:vertAlign w:val="baseline"/>
          </w:rPr>
          <w:t> </w:t>
        </w:r>
        <w:r>
          <w:rPr>
            <w:sz w:val="18"/>
            <w:vertAlign w:val="baseline"/>
          </w:rPr>
          <w:t>(Friends</w:t>
        </w:r>
        <w:r>
          <w:rPr>
            <w:spacing w:val="-3"/>
            <w:sz w:val="18"/>
            <w:vertAlign w:val="baseline"/>
          </w:rPr>
          <w:t> </w:t>
        </w:r>
        <w:r>
          <w:rPr>
            <w:sz w:val="18"/>
            <w:vertAlign w:val="baseline"/>
          </w:rPr>
          <w:t>of</w:t>
        </w:r>
        <w:r>
          <w:rPr>
            <w:spacing w:val="-3"/>
            <w:sz w:val="18"/>
            <w:vertAlign w:val="baseline"/>
          </w:rPr>
          <w:t> </w:t>
        </w:r>
        <w:r>
          <w:rPr>
            <w:sz w:val="18"/>
            <w:vertAlign w:val="baseline"/>
          </w:rPr>
          <w:t>Children,</w:t>
        </w:r>
        <w:r>
          <w:rPr>
            <w:spacing w:val="-4"/>
            <w:sz w:val="18"/>
            <w:vertAlign w:val="baseline"/>
          </w:rPr>
          <w:t> </w:t>
        </w:r>
        <w:r>
          <w:rPr>
            <w:sz w:val="18"/>
            <w:vertAlign w:val="baseline"/>
          </w:rPr>
          <w:t>2021),</w:t>
        </w:r>
      </w:hyperlink>
      <w:r>
        <w:rPr>
          <w:sz w:val="18"/>
          <w:vertAlign w:val="baseline"/>
        </w:rPr>
        <w:t> </w:t>
      </w:r>
      <w:bookmarkStart w:name="_bookmark36" w:id="132"/>
      <w:bookmarkEnd w:id="132"/>
      <w:r>
        <w:rPr>
          <w:sz w:val="18"/>
          <w:vertAlign w:val="baseline"/>
        </w:rPr>
      </w:r>
      <w:hyperlink r:id="rId91">
        <w:r>
          <w:rPr>
            <w:spacing w:val="-2"/>
            <w:sz w:val="18"/>
            <w:vertAlign w:val="baseline"/>
          </w:rPr>
          <w:t>https://friendsofchildreninc.org/failing-our-kids/.</w:t>
        </w:r>
      </w:hyperlink>
    </w:p>
    <w:p>
      <w:pPr>
        <w:spacing w:before="0"/>
        <w:ind w:left="463" w:right="0" w:firstLine="0"/>
        <w:jc w:val="left"/>
        <w:rPr>
          <w:sz w:val="18"/>
        </w:rPr>
      </w:pPr>
      <w:r>
        <w:rPr>
          <w:sz w:val="18"/>
          <w:vertAlign w:val="superscript"/>
        </w:rPr>
        <w:t>28</w:t>
      </w:r>
      <w:r>
        <w:rPr>
          <w:spacing w:val="-13"/>
          <w:sz w:val="18"/>
          <w:vertAlign w:val="baseline"/>
        </w:rPr>
        <w:t> </w:t>
      </w:r>
      <w:bookmarkStart w:name="_bookmark37" w:id="133"/>
      <w:bookmarkEnd w:id="133"/>
      <w:r>
        <w:rPr>
          <w:spacing w:val="-13"/>
          <w:sz w:val="18"/>
          <w:vertAlign w:val="baseline"/>
        </w:rPr>
      </w:r>
      <w:hyperlink r:id="rId92">
        <w:r>
          <w:rPr>
            <w:sz w:val="18"/>
            <w:vertAlign w:val="baseline"/>
          </w:rPr>
          <w:t>Ameen,</w:t>
        </w:r>
        <w:r>
          <w:rPr>
            <w:spacing w:val="-5"/>
            <w:sz w:val="18"/>
            <w:vertAlign w:val="baseline"/>
          </w:rPr>
          <w:t> </w:t>
        </w:r>
        <w:r>
          <w:rPr>
            <w:sz w:val="18"/>
            <w:vertAlign w:val="baseline"/>
          </w:rPr>
          <w:t>Lowenstein,</w:t>
        </w:r>
        <w:r>
          <w:rPr>
            <w:spacing w:val="-3"/>
            <w:sz w:val="18"/>
            <w:vertAlign w:val="baseline"/>
          </w:rPr>
          <w:t> </w:t>
        </w:r>
        <w:r>
          <w:rPr>
            <w:sz w:val="18"/>
            <w:vertAlign w:val="baseline"/>
          </w:rPr>
          <w:t>and</w:t>
        </w:r>
        <w:r>
          <w:rPr>
            <w:spacing w:val="-1"/>
            <w:sz w:val="18"/>
            <w:vertAlign w:val="baseline"/>
          </w:rPr>
          <w:t> </w:t>
        </w:r>
        <w:r>
          <w:rPr>
            <w:spacing w:val="-2"/>
            <w:sz w:val="18"/>
            <w:vertAlign w:val="baseline"/>
          </w:rPr>
          <w:t>Halford.</w:t>
        </w:r>
      </w:hyperlink>
    </w:p>
    <w:p>
      <w:pPr>
        <w:spacing w:before="0"/>
        <w:ind w:left="463" w:right="289" w:hanging="1"/>
        <w:jc w:val="left"/>
        <w:rPr>
          <w:sz w:val="18"/>
        </w:rPr>
      </w:pPr>
      <w:r>
        <w:rPr>
          <w:sz w:val="18"/>
          <w:vertAlign w:val="superscript"/>
        </w:rPr>
        <w:t>29</w:t>
      </w:r>
      <w:r>
        <w:rPr>
          <w:spacing w:val="-13"/>
          <w:sz w:val="18"/>
          <w:vertAlign w:val="baseline"/>
        </w:rPr>
        <w:t> </w:t>
      </w:r>
      <w:hyperlink r:id="rId93">
        <w:r>
          <w:rPr>
            <w:sz w:val="18"/>
            <w:vertAlign w:val="baseline"/>
          </w:rPr>
          <w:t>Hussey,</w:t>
        </w:r>
        <w:r>
          <w:rPr>
            <w:spacing w:val="-4"/>
            <w:sz w:val="18"/>
            <w:vertAlign w:val="baseline"/>
          </w:rPr>
          <w:t> </w:t>
        </w:r>
        <w:r>
          <w:rPr>
            <w:sz w:val="18"/>
            <w:vertAlign w:val="baseline"/>
          </w:rPr>
          <w:t>Hannah,</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3"/>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Massachusetts</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System:</w:t>
        </w:r>
        <w:r>
          <w:rPr>
            <w:spacing w:val="-4"/>
            <w:sz w:val="18"/>
            <w:vertAlign w:val="baseline"/>
          </w:rPr>
          <w:t> </w:t>
        </w:r>
        <w:r>
          <w:rPr>
            <w:sz w:val="18"/>
            <w:vertAlign w:val="baseline"/>
          </w:rPr>
          <w:t>A</w:t>
        </w:r>
        <w:r>
          <w:rPr>
            <w:spacing w:val="-2"/>
            <w:sz w:val="18"/>
            <w:vertAlign w:val="baseline"/>
          </w:rPr>
          <w:t> </w:t>
        </w:r>
        <w:r>
          <w:rPr>
            <w:sz w:val="18"/>
            <w:vertAlign w:val="baseline"/>
          </w:rPr>
          <w:t>Report</w:t>
        </w:r>
        <w:r>
          <w:rPr>
            <w:spacing w:val="-3"/>
            <w:sz w:val="18"/>
            <w:vertAlign w:val="baseline"/>
          </w:rPr>
          <w:t> </w:t>
        </w:r>
        <w:r>
          <w:rPr>
            <w:sz w:val="18"/>
            <w:vertAlign w:val="baseline"/>
          </w:rPr>
          <w:t>on</w:t>
        </w:r>
        <w:r>
          <w:rPr>
            <w:spacing w:val="-2"/>
            <w:sz w:val="18"/>
            <w:vertAlign w:val="baseline"/>
          </w:rPr>
          <w:t> </w:t>
        </w:r>
        <w:r>
          <w:rPr>
            <w:sz w:val="18"/>
            <w:vertAlign w:val="baseline"/>
          </w:rPr>
          <w:t>Pervasive</w:t>
        </w:r>
        <w:r>
          <w:rPr>
            <w:spacing w:val="-2"/>
            <w:sz w:val="18"/>
            <w:vertAlign w:val="baseline"/>
          </w:rPr>
          <w:t> </w:t>
        </w:r>
        <w:r>
          <w:rPr>
            <w:sz w:val="18"/>
            <w:vertAlign w:val="baseline"/>
          </w:rPr>
          <w:t>Threats</w:t>
        </w:r>
        <w:r>
          <w:rPr>
            <w:spacing w:val="-2"/>
            <w:sz w:val="18"/>
            <w:vertAlign w:val="baseline"/>
          </w:rPr>
          <w:t> </w:t>
        </w:r>
        <w:r>
          <w:rPr>
            <w:sz w:val="18"/>
            <w:vertAlign w:val="baseline"/>
          </w:rPr>
          <w:t>to</w:t>
        </w:r>
        <w:r>
          <w:rPr>
            <w:spacing w:val="-2"/>
            <w:sz w:val="18"/>
            <w:vertAlign w:val="baseline"/>
          </w:rPr>
          <w:t> </w:t>
        </w:r>
        <w:r>
          <w:rPr>
            <w:sz w:val="18"/>
            <w:vertAlign w:val="baseline"/>
          </w:rPr>
          <w:t>Safety,</w:t>
        </w:r>
      </w:hyperlink>
      <w:r>
        <w:rPr>
          <w:sz w:val="18"/>
          <w:vertAlign w:val="baseline"/>
        </w:rPr>
        <w:t> </w:t>
      </w:r>
      <w:bookmarkStart w:name="_bookmark38" w:id="134"/>
      <w:bookmarkEnd w:id="134"/>
      <w:r>
        <w:rPr>
          <w:sz w:val="18"/>
          <w:vertAlign w:val="baseline"/>
        </w:rPr>
      </w:r>
      <w:hyperlink r:id="rId93">
        <w:r>
          <w:rPr>
            <w:sz w:val="18"/>
            <w:vertAlign w:val="baseline"/>
          </w:rPr>
          <w:t>Wellbeing, and Permanency.”</w:t>
        </w:r>
      </w:hyperlink>
    </w:p>
    <w:p>
      <w:pPr>
        <w:spacing w:line="219" w:lineRule="exact" w:before="0"/>
        <w:ind w:left="463" w:right="0" w:firstLine="0"/>
        <w:jc w:val="left"/>
        <w:rPr>
          <w:sz w:val="18"/>
        </w:rPr>
      </w:pPr>
      <w:r>
        <w:rPr>
          <w:sz w:val="18"/>
          <w:vertAlign w:val="superscript"/>
        </w:rPr>
        <w:t>30</w:t>
      </w:r>
      <w:r>
        <w:rPr>
          <w:spacing w:val="-15"/>
          <w:sz w:val="18"/>
          <w:vertAlign w:val="baseline"/>
        </w:rPr>
        <w:t> </w:t>
      </w:r>
      <w:r>
        <w:rPr>
          <w:sz w:val="18"/>
          <w:vertAlign w:val="baseline"/>
        </w:rPr>
        <w:t>Department</w:t>
      </w:r>
      <w:r>
        <w:rPr>
          <w:spacing w:val="-6"/>
          <w:sz w:val="18"/>
          <w:vertAlign w:val="baseline"/>
        </w:rPr>
        <w:t> </w:t>
      </w:r>
      <w:r>
        <w:rPr>
          <w:sz w:val="18"/>
          <w:vertAlign w:val="baseline"/>
        </w:rPr>
        <w:t>of</w:t>
      </w:r>
      <w:r>
        <w:rPr>
          <w:spacing w:val="-3"/>
          <w:sz w:val="18"/>
          <w:vertAlign w:val="baseline"/>
        </w:rPr>
        <w:t> </w:t>
      </w:r>
      <w:r>
        <w:rPr>
          <w:sz w:val="18"/>
          <w:vertAlign w:val="baseline"/>
        </w:rPr>
        <w:t>Children</w:t>
      </w:r>
      <w:r>
        <w:rPr>
          <w:spacing w:val="-2"/>
          <w:sz w:val="18"/>
          <w:vertAlign w:val="baseline"/>
        </w:rPr>
        <w:t> </w:t>
      </w:r>
      <w:r>
        <w:rPr>
          <w:sz w:val="18"/>
          <w:vertAlign w:val="baseline"/>
        </w:rPr>
        <w:t>&amp;</w:t>
      </w:r>
      <w:r>
        <w:rPr>
          <w:spacing w:val="-4"/>
          <w:sz w:val="18"/>
          <w:vertAlign w:val="baseline"/>
        </w:rPr>
        <w:t> </w:t>
      </w:r>
      <w:r>
        <w:rPr>
          <w:sz w:val="18"/>
          <w:vertAlign w:val="baseline"/>
        </w:rPr>
        <w:t>Families,</w:t>
      </w:r>
      <w:r>
        <w:rPr>
          <w:spacing w:val="-3"/>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CHILDREN</w:t>
      </w:r>
      <w:r>
        <w:rPr>
          <w:spacing w:val="-3"/>
          <w:sz w:val="18"/>
          <w:vertAlign w:val="baseline"/>
        </w:rPr>
        <w:t> </w:t>
      </w:r>
      <w:r>
        <w:rPr>
          <w:sz w:val="18"/>
          <w:vertAlign w:val="baseline"/>
        </w:rPr>
        <w:t>&amp;</w:t>
      </w:r>
      <w:r>
        <w:rPr>
          <w:spacing w:val="-4"/>
          <w:sz w:val="18"/>
          <w:vertAlign w:val="baseline"/>
        </w:rPr>
        <w:t> </w:t>
      </w:r>
      <w:r>
        <w:rPr>
          <w:sz w:val="18"/>
          <w:vertAlign w:val="baseline"/>
        </w:rPr>
        <w:t>FAMILIES</w:t>
      </w:r>
      <w:r>
        <w:rPr>
          <w:spacing w:val="-2"/>
          <w:sz w:val="18"/>
          <w:vertAlign w:val="baseline"/>
        </w:rPr>
        <w:t> </w:t>
      </w:r>
      <w:r>
        <w:rPr>
          <w:sz w:val="18"/>
          <w:vertAlign w:val="baseline"/>
        </w:rPr>
        <w:t>QUARTERLY</w:t>
      </w:r>
      <w:r>
        <w:rPr>
          <w:spacing w:val="-3"/>
          <w:sz w:val="18"/>
          <w:vertAlign w:val="baseline"/>
        </w:rPr>
        <w:t> </w:t>
      </w:r>
      <w:r>
        <w:rPr>
          <w:sz w:val="18"/>
          <w:vertAlign w:val="baseline"/>
        </w:rPr>
        <w:t>PROFILE</w:t>
      </w:r>
      <w:r>
        <w:rPr>
          <w:spacing w:val="-3"/>
          <w:sz w:val="18"/>
          <w:vertAlign w:val="baseline"/>
        </w:rPr>
        <w:t> </w:t>
      </w:r>
      <w:r>
        <w:rPr>
          <w:sz w:val="18"/>
          <w:vertAlign w:val="baseline"/>
        </w:rPr>
        <w:t>-</w:t>
      </w:r>
      <w:r>
        <w:rPr>
          <w:spacing w:val="-10"/>
          <w:sz w:val="18"/>
          <w:vertAlign w:val="baseline"/>
        </w:rPr>
        <w:t>-</w:t>
      </w:r>
    </w:p>
    <w:p>
      <w:pPr>
        <w:spacing w:before="0"/>
        <w:ind w:left="504" w:right="0" w:firstLine="0"/>
        <w:jc w:val="left"/>
        <w:rPr>
          <w:sz w:val="18"/>
        </w:rPr>
      </w:pPr>
      <w:r>
        <w:rPr>
          <w:sz w:val="18"/>
        </w:rPr>
        <w:t>FY’2023,</w:t>
      </w:r>
      <w:r>
        <w:rPr>
          <w:spacing w:val="-8"/>
          <w:sz w:val="18"/>
        </w:rPr>
        <w:t> </w:t>
      </w:r>
      <w:r>
        <w:rPr>
          <w:sz w:val="18"/>
        </w:rPr>
        <w:t>Q2</w:t>
      </w:r>
      <w:r>
        <w:rPr>
          <w:spacing w:val="-4"/>
          <w:sz w:val="18"/>
        </w:rPr>
        <w:t> </w:t>
      </w:r>
      <w:r>
        <w:rPr>
          <w:sz w:val="18"/>
        </w:rPr>
        <w:t>(10/01/22</w:t>
      </w:r>
      <w:r>
        <w:rPr>
          <w:spacing w:val="-5"/>
          <w:sz w:val="18"/>
        </w:rPr>
        <w:t> </w:t>
      </w:r>
      <w:r>
        <w:rPr>
          <w:sz w:val="18"/>
        </w:rPr>
        <w:t>-</w:t>
      </w:r>
      <w:r>
        <w:rPr>
          <w:spacing w:val="-5"/>
          <w:sz w:val="18"/>
        </w:rPr>
        <w:t> </w:t>
      </w:r>
      <w:r>
        <w:rPr>
          <w:sz w:val="18"/>
        </w:rPr>
        <w:t>12/31/22),”</w:t>
      </w:r>
      <w:r>
        <w:rPr>
          <w:spacing w:val="-5"/>
          <w:sz w:val="18"/>
        </w:rPr>
        <w:t> </w:t>
      </w:r>
      <w:r>
        <w:rPr>
          <w:sz w:val="18"/>
        </w:rPr>
        <w:t>n.d.,</w:t>
      </w:r>
      <w:r>
        <w:rPr>
          <w:spacing w:val="-5"/>
          <w:sz w:val="18"/>
        </w:rPr>
        <w:t> </w:t>
      </w:r>
      <w:r>
        <w:rPr>
          <w:sz w:val="18"/>
        </w:rPr>
        <w:t>https://</w:t>
      </w:r>
      <w:hyperlink r:id="rId94">
        <w:r>
          <w:rPr>
            <w:sz w:val="18"/>
          </w:rPr>
          <w:t>www.mass.gov/doc/quarter-</w:t>
        </w:r>
        <w:r>
          <w:rPr>
            <w:spacing w:val="-2"/>
            <w:sz w:val="18"/>
          </w:rPr>
          <w:t>2/download.</w:t>
        </w:r>
      </w:hyperlink>
    </w:p>
    <w:p>
      <w:pPr>
        <w:spacing w:after="0"/>
        <w:jc w:val="left"/>
        <w:rPr>
          <w:sz w:val="18"/>
        </w:rPr>
        <w:sectPr>
          <w:pgSz w:w="12240" w:h="15840"/>
          <w:pgMar w:header="804" w:footer="1263" w:top="1000" w:bottom="1460" w:left="980" w:right="1160"/>
        </w:sectPr>
      </w:pPr>
    </w:p>
    <w:p>
      <w:pPr>
        <w:pStyle w:val="BodyText"/>
        <w:rPr>
          <w:sz w:val="34"/>
        </w:rPr>
      </w:pPr>
    </w:p>
    <w:p>
      <w:pPr>
        <w:pStyle w:val="BodyText"/>
        <w:spacing w:before="243"/>
        <w:rPr>
          <w:sz w:val="34"/>
        </w:rPr>
      </w:pPr>
    </w:p>
    <w:p>
      <w:pPr>
        <w:spacing w:line="407" w:lineRule="exact" w:before="1"/>
        <w:ind w:left="654" w:right="0" w:firstLine="0"/>
        <w:jc w:val="left"/>
        <w:rPr>
          <w:sz w:val="34"/>
        </w:rPr>
      </w:pP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spacing w:line="218" w:lineRule="auto" w:before="42"/>
        <w:ind w:left="654" w:right="4502" w:firstLine="0"/>
        <w:jc w:val="left"/>
        <w:rPr>
          <w:rFonts w:ascii="Verdana"/>
          <w:b/>
          <w:sz w:val="55"/>
        </w:rPr>
      </w:pPr>
      <w:r>
        <w:rPr>
          <w:rFonts w:ascii="Verdana"/>
          <w:b/>
          <w:color w:val="FFFFFF"/>
          <w:spacing w:val="-6"/>
          <w:sz w:val="55"/>
        </w:rPr>
        <w:t>EMOTIONAL </w:t>
      </w:r>
      <w:r>
        <w:rPr>
          <w:rFonts w:ascii="Verdana"/>
          <w:b/>
          <w:color w:val="FFFFFF"/>
          <w:w w:val="90"/>
          <w:sz w:val="55"/>
        </w:rPr>
        <w:t>WELLBEING </w:t>
      </w:r>
      <w:r>
        <w:rPr>
          <w:rFonts w:ascii="Verdana"/>
          <w:b/>
          <w:color w:val="FFFFFF"/>
          <w:w w:val="90"/>
          <w:sz w:val="55"/>
        </w:rPr>
        <w:t>AND </w:t>
      </w:r>
      <w:r>
        <w:rPr>
          <w:rFonts w:ascii="Verdana"/>
          <w:b/>
          <w:color w:val="FFFFFF"/>
          <w:spacing w:val="-18"/>
          <w:sz w:val="55"/>
        </w:rPr>
        <w:t>CHILD</w:t>
      </w:r>
      <w:r>
        <w:rPr>
          <w:rFonts w:ascii="Verdana"/>
          <w:b/>
          <w:color w:val="FFFFFF"/>
          <w:spacing w:val="-72"/>
          <w:sz w:val="55"/>
        </w:rPr>
        <w:t> </w:t>
      </w:r>
      <w:r>
        <w:rPr>
          <w:rFonts w:ascii="Verdana"/>
          <w:b/>
          <w:color w:val="FFFFFF"/>
          <w:spacing w:val="-18"/>
          <w:sz w:val="55"/>
        </w:rPr>
        <w:t>WELFARE</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08"/>
        <w:rPr>
          <w:rFonts w:ascii="Verdana"/>
          <w:b/>
          <w:sz w:val="20"/>
        </w:rPr>
      </w:pPr>
    </w:p>
    <w:p>
      <w:pPr>
        <w:spacing w:after="0"/>
        <w:rPr>
          <w:rFonts w:ascii="Verdana"/>
          <w:sz w:val="20"/>
        </w:rPr>
        <w:sectPr>
          <w:headerReference w:type="default" r:id="rId95"/>
          <w:footerReference w:type="default" r:id="rId96"/>
          <w:pgSz w:w="12240" w:h="15840"/>
          <w:pgMar w:header="0" w:footer="0" w:top="0" w:bottom="280" w:left="940" w:right="1320"/>
        </w:sectPr>
      </w:pPr>
    </w:p>
    <w:p>
      <w:pPr>
        <w:pStyle w:val="Heading9"/>
        <w:ind w:left="391"/>
        <w:rPr>
          <w:i/>
        </w:rPr>
      </w:pPr>
      <w:r>
        <w:rPr>
          <w:i/>
          <w:spacing w:val="11"/>
          <w:w w:val="125"/>
        </w:rPr>
        <w:t>ABOUT</w:t>
      </w:r>
    </w:p>
    <w:p>
      <w:pPr>
        <w:spacing w:line="232" w:lineRule="auto" w:before="127"/>
        <w:ind w:left="2018" w:right="514" w:hanging="1236"/>
        <w:jc w:val="left"/>
        <w:rPr>
          <w:rFonts w:ascii="Book Antiqua"/>
          <w:i/>
          <w:sz w:val="25"/>
        </w:rPr>
      </w:pPr>
      <w:r>
        <w:rPr>
          <w:rFonts w:ascii="Book Antiqua"/>
          <w:i/>
          <w:sz w:val="25"/>
        </w:rPr>
        <w:t>"</w:t>
      </w:r>
      <w:r>
        <w:rPr>
          <w:rFonts w:ascii="Book Antiqua"/>
          <w:i/>
          <w:spacing w:val="-16"/>
          <w:sz w:val="25"/>
        </w:rPr>
        <w:t> </w:t>
      </w:r>
      <w:r>
        <w:rPr>
          <w:rFonts w:ascii="Book Antiqua"/>
          <w:i/>
          <w:w w:val="120"/>
          <w:sz w:val="25"/>
        </w:rPr>
        <w:t>H</w:t>
      </w:r>
      <w:r>
        <w:rPr>
          <w:rFonts w:ascii="Book Antiqua"/>
          <w:i/>
          <w:spacing w:val="-26"/>
          <w:w w:val="120"/>
          <w:sz w:val="25"/>
        </w:rPr>
        <w:t> </w:t>
      </w:r>
      <w:r>
        <w:rPr>
          <w:rFonts w:ascii="Book Antiqua"/>
          <w:i/>
          <w:w w:val="120"/>
          <w:sz w:val="25"/>
        </w:rPr>
        <w:t>E</w:t>
      </w:r>
      <w:r>
        <w:rPr>
          <w:rFonts w:ascii="Book Antiqua"/>
          <w:i/>
          <w:spacing w:val="-25"/>
          <w:w w:val="120"/>
          <w:sz w:val="25"/>
        </w:rPr>
        <w:t> </w:t>
      </w:r>
      <w:r>
        <w:rPr>
          <w:rFonts w:ascii="Book Antiqua"/>
          <w:i/>
          <w:w w:val="120"/>
          <w:sz w:val="25"/>
        </w:rPr>
        <w:t>L</w:t>
      </w:r>
      <w:r>
        <w:rPr>
          <w:rFonts w:ascii="Book Antiqua"/>
          <w:i/>
          <w:spacing w:val="-26"/>
          <w:w w:val="120"/>
          <w:sz w:val="25"/>
        </w:rPr>
        <w:t> </w:t>
      </w:r>
      <w:r>
        <w:rPr>
          <w:rFonts w:ascii="Book Antiqua"/>
          <w:i/>
          <w:w w:val="120"/>
          <w:sz w:val="25"/>
        </w:rPr>
        <w:t>P</w:t>
      </w:r>
      <w:r>
        <w:rPr>
          <w:rFonts w:ascii="Book Antiqua"/>
          <w:i/>
          <w:spacing w:val="-25"/>
          <w:w w:val="120"/>
          <w:sz w:val="25"/>
        </w:rPr>
        <w:t> </w:t>
      </w:r>
      <w:r>
        <w:rPr>
          <w:rFonts w:ascii="Book Antiqua"/>
          <w:i/>
          <w:w w:val="120"/>
          <w:sz w:val="25"/>
        </w:rPr>
        <w:t>I</w:t>
      </w:r>
      <w:r>
        <w:rPr>
          <w:rFonts w:ascii="Book Antiqua"/>
          <w:i/>
          <w:spacing w:val="-26"/>
          <w:w w:val="120"/>
          <w:sz w:val="25"/>
        </w:rPr>
        <w:t> </w:t>
      </w:r>
      <w:r>
        <w:rPr>
          <w:rFonts w:ascii="Book Antiqua"/>
          <w:i/>
          <w:w w:val="120"/>
          <w:sz w:val="25"/>
        </w:rPr>
        <w:t>N</w:t>
      </w:r>
      <w:r>
        <w:rPr>
          <w:rFonts w:ascii="Book Antiqua"/>
          <w:i/>
          <w:spacing w:val="-25"/>
          <w:w w:val="120"/>
          <w:sz w:val="25"/>
        </w:rPr>
        <w:t> </w:t>
      </w:r>
      <w:r>
        <w:rPr>
          <w:rFonts w:ascii="Book Antiqua"/>
          <w:i/>
          <w:w w:val="120"/>
          <w:sz w:val="25"/>
        </w:rPr>
        <w:t>G</w:t>
      </w:r>
      <w:r>
        <w:rPr>
          <w:rFonts w:ascii="Book Antiqua"/>
          <w:i/>
          <w:spacing w:val="36"/>
          <w:w w:val="120"/>
          <w:sz w:val="25"/>
        </w:rPr>
        <w:t> </w:t>
      </w:r>
      <w:r>
        <w:rPr>
          <w:rFonts w:ascii="Book Antiqua"/>
          <w:i/>
          <w:w w:val="120"/>
          <w:sz w:val="25"/>
        </w:rPr>
        <w:t>A</w:t>
      </w:r>
      <w:r>
        <w:rPr>
          <w:rFonts w:ascii="Book Antiqua"/>
          <w:i/>
          <w:spacing w:val="-26"/>
          <w:w w:val="120"/>
          <w:sz w:val="25"/>
        </w:rPr>
        <w:t> </w:t>
      </w:r>
      <w:r>
        <w:rPr>
          <w:rFonts w:ascii="Book Antiqua"/>
          <w:i/>
          <w:w w:val="120"/>
          <w:sz w:val="25"/>
        </w:rPr>
        <w:t>L</w:t>
      </w:r>
      <w:r>
        <w:rPr>
          <w:rFonts w:ascii="Book Antiqua"/>
          <w:i/>
          <w:spacing w:val="-25"/>
          <w:w w:val="120"/>
          <w:sz w:val="25"/>
        </w:rPr>
        <w:t> </w:t>
      </w:r>
      <w:r>
        <w:rPr>
          <w:rFonts w:ascii="Book Antiqua"/>
          <w:i/>
          <w:w w:val="120"/>
          <w:sz w:val="25"/>
        </w:rPr>
        <w:t>L</w:t>
      </w:r>
      <w:r>
        <w:rPr>
          <w:rFonts w:ascii="Book Antiqua"/>
          <w:i/>
          <w:spacing w:val="52"/>
          <w:w w:val="120"/>
          <w:sz w:val="25"/>
        </w:rPr>
        <w:t> </w:t>
      </w:r>
      <w:r>
        <w:rPr>
          <w:rFonts w:ascii="Book Antiqua"/>
          <w:i/>
          <w:w w:val="120"/>
          <w:sz w:val="25"/>
        </w:rPr>
        <w:t>Y</w:t>
      </w:r>
      <w:r>
        <w:rPr>
          <w:rFonts w:ascii="Book Antiqua"/>
          <w:i/>
          <w:spacing w:val="-25"/>
          <w:w w:val="120"/>
          <w:sz w:val="25"/>
        </w:rPr>
        <w:t> </w:t>
      </w:r>
      <w:r>
        <w:rPr>
          <w:rFonts w:ascii="Book Antiqua"/>
          <w:i/>
          <w:w w:val="120"/>
          <w:sz w:val="25"/>
        </w:rPr>
        <w:t>O</w:t>
      </w:r>
      <w:r>
        <w:rPr>
          <w:rFonts w:ascii="Book Antiqua"/>
          <w:i/>
          <w:spacing w:val="-26"/>
          <w:w w:val="120"/>
          <w:sz w:val="25"/>
        </w:rPr>
        <w:t> </w:t>
      </w:r>
      <w:r>
        <w:rPr>
          <w:rFonts w:ascii="Book Antiqua"/>
          <w:i/>
          <w:w w:val="120"/>
          <w:sz w:val="25"/>
        </w:rPr>
        <w:t>U</w:t>
      </w:r>
      <w:r>
        <w:rPr>
          <w:rFonts w:ascii="Book Antiqua"/>
          <w:i/>
          <w:spacing w:val="-25"/>
          <w:w w:val="120"/>
          <w:sz w:val="25"/>
        </w:rPr>
        <w:t> </w:t>
      </w:r>
      <w:r>
        <w:rPr>
          <w:rFonts w:ascii="Book Antiqua"/>
          <w:i/>
          <w:w w:val="120"/>
          <w:sz w:val="25"/>
        </w:rPr>
        <w:t>T</w:t>
      </w:r>
      <w:r>
        <w:rPr>
          <w:rFonts w:ascii="Book Antiqua"/>
          <w:i/>
          <w:spacing w:val="-26"/>
          <w:w w:val="120"/>
          <w:sz w:val="25"/>
        </w:rPr>
        <w:t> </w:t>
      </w:r>
      <w:r>
        <w:rPr>
          <w:rFonts w:ascii="Book Antiqua"/>
          <w:i/>
          <w:w w:val="120"/>
          <w:sz w:val="25"/>
        </w:rPr>
        <w:t>H</w:t>
      </w:r>
      <w:r>
        <w:rPr>
          <w:rFonts w:ascii="Book Antiqua"/>
          <w:i/>
          <w:w w:val="120"/>
          <w:sz w:val="25"/>
        </w:rPr>
        <w:t> T</w:t>
      </w:r>
      <w:r>
        <w:rPr>
          <w:rFonts w:ascii="Book Antiqua"/>
          <w:i/>
          <w:spacing w:val="-3"/>
          <w:w w:val="120"/>
          <w:sz w:val="25"/>
        </w:rPr>
        <w:t> </w:t>
      </w:r>
      <w:r>
        <w:rPr>
          <w:rFonts w:ascii="Book Antiqua"/>
          <w:i/>
          <w:w w:val="120"/>
          <w:sz w:val="25"/>
        </w:rPr>
        <w:t>H</w:t>
      </w:r>
      <w:r>
        <w:rPr>
          <w:rFonts w:ascii="Book Antiqua"/>
          <w:i/>
          <w:spacing w:val="-3"/>
          <w:w w:val="120"/>
          <w:sz w:val="25"/>
        </w:rPr>
        <w:t> </w:t>
      </w:r>
      <w:r>
        <w:rPr>
          <w:rFonts w:ascii="Book Antiqua"/>
          <w:i/>
          <w:w w:val="120"/>
          <w:sz w:val="25"/>
        </w:rPr>
        <w:t>R</w:t>
      </w:r>
      <w:r>
        <w:rPr>
          <w:rFonts w:ascii="Book Antiqua"/>
          <w:i/>
          <w:spacing w:val="-3"/>
          <w:w w:val="120"/>
          <w:sz w:val="25"/>
        </w:rPr>
        <w:t> </w:t>
      </w:r>
      <w:r>
        <w:rPr>
          <w:rFonts w:ascii="Book Antiqua"/>
          <w:i/>
          <w:w w:val="120"/>
          <w:sz w:val="25"/>
        </w:rPr>
        <w:t>I</w:t>
      </w:r>
      <w:r>
        <w:rPr>
          <w:rFonts w:ascii="Book Antiqua"/>
          <w:i/>
          <w:spacing w:val="-3"/>
          <w:w w:val="120"/>
          <w:sz w:val="25"/>
        </w:rPr>
        <w:t> </w:t>
      </w:r>
      <w:r>
        <w:rPr>
          <w:rFonts w:ascii="Book Antiqua"/>
          <w:i/>
          <w:w w:val="120"/>
          <w:sz w:val="25"/>
        </w:rPr>
        <w:t>V</w:t>
      </w:r>
      <w:r>
        <w:rPr>
          <w:rFonts w:ascii="Book Antiqua"/>
          <w:i/>
          <w:spacing w:val="-3"/>
          <w:w w:val="120"/>
          <w:sz w:val="25"/>
        </w:rPr>
        <w:t> </w:t>
      </w:r>
      <w:r>
        <w:rPr>
          <w:rFonts w:ascii="Book Antiqua"/>
          <w:i/>
          <w:w w:val="120"/>
          <w:sz w:val="25"/>
        </w:rPr>
        <w:t>E</w:t>
      </w:r>
      <w:r>
        <w:rPr>
          <w:rFonts w:ascii="Book Antiqua"/>
          <w:i/>
          <w:spacing w:val="-3"/>
          <w:w w:val="120"/>
          <w:sz w:val="25"/>
        </w:rPr>
        <w:t> </w:t>
      </w:r>
      <w:r>
        <w:rPr>
          <w:rFonts w:ascii="Book Antiqua"/>
          <w:i/>
          <w:sz w:val="25"/>
        </w:rPr>
        <w:t>"</w:t>
      </w:r>
    </w:p>
    <w:p>
      <w:pPr>
        <w:spacing w:line="266" w:lineRule="auto" w:before="110"/>
        <w:ind w:left="303" w:right="38" w:firstLine="0"/>
        <w:jc w:val="both"/>
        <w:rPr>
          <w:rFonts w:ascii="Georgia"/>
          <w:sz w:val="24"/>
        </w:rPr>
      </w:pPr>
      <w:r>
        <w:rPr>
          <w:rFonts w:ascii="Garamond"/>
          <w:w w:val="105"/>
          <w:sz w:val="24"/>
        </w:rPr>
        <w:t>I</w:t>
      </w:r>
      <w:r>
        <w:rPr>
          <w:rFonts w:ascii="Georgia"/>
          <w:w w:val="105"/>
          <w:sz w:val="24"/>
        </w:rPr>
        <w:t>n</w:t>
      </w:r>
      <w:r>
        <w:rPr>
          <w:rFonts w:ascii="Georgia"/>
          <w:w w:val="105"/>
          <w:sz w:val="24"/>
        </w:rPr>
        <w:t> order</w:t>
      </w:r>
      <w:r>
        <w:rPr>
          <w:rFonts w:ascii="Georgia"/>
          <w:w w:val="105"/>
          <w:sz w:val="24"/>
        </w:rPr>
        <w:t> to</w:t>
      </w:r>
      <w:r>
        <w:rPr>
          <w:rFonts w:ascii="Georgia"/>
          <w:w w:val="105"/>
          <w:sz w:val="24"/>
        </w:rPr>
        <w:t> best</w:t>
      </w:r>
      <w:r>
        <w:rPr>
          <w:rFonts w:ascii="Georgia"/>
          <w:w w:val="105"/>
          <w:sz w:val="24"/>
        </w:rPr>
        <w:t> serve</w:t>
      </w:r>
      <w:r>
        <w:rPr>
          <w:rFonts w:ascii="Georgia"/>
          <w:w w:val="105"/>
          <w:sz w:val="24"/>
        </w:rPr>
        <w:t> our</w:t>
      </w:r>
      <w:r>
        <w:rPr>
          <w:rFonts w:ascii="Georgia"/>
          <w:w w:val="105"/>
          <w:sz w:val="24"/>
        </w:rPr>
        <w:t> youth</w:t>
      </w:r>
      <w:r>
        <w:rPr>
          <w:rFonts w:ascii="Georgia"/>
          <w:w w:val="105"/>
          <w:sz w:val="24"/>
        </w:rPr>
        <w:t> in complicated</w:t>
      </w:r>
      <w:r>
        <w:rPr>
          <w:rFonts w:ascii="Georgia"/>
          <w:w w:val="105"/>
          <w:sz w:val="24"/>
        </w:rPr>
        <w:t> times,</w:t>
      </w:r>
      <w:r>
        <w:rPr>
          <w:rFonts w:ascii="Georgia"/>
          <w:w w:val="105"/>
          <w:sz w:val="24"/>
        </w:rPr>
        <w:t> leaders</w:t>
      </w:r>
      <w:r>
        <w:rPr>
          <w:rFonts w:ascii="Georgia"/>
          <w:w w:val="105"/>
          <w:sz w:val="24"/>
        </w:rPr>
        <w:t> must</w:t>
      </w:r>
      <w:r>
        <w:rPr>
          <w:rFonts w:ascii="Georgia"/>
          <w:w w:val="105"/>
          <w:sz w:val="24"/>
        </w:rPr>
        <w:t> understand all</w:t>
      </w:r>
      <w:r>
        <w:rPr>
          <w:rFonts w:ascii="Georgia"/>
          <w:spacing w:val="-8"/>
          <w:w w:val="105"/>
          <w:sz w:val="24"/>
        </w:rPr>
        <w:t> </w:t>
      </w:r>
      <w:r>
        <w:rPr>
          <w:rFonts w:ascii="Georgia"/>
          <w:w w:val="105"/>
          <w:sz w:val="24"/>
        </w:rPr>
        <w:t>youth.</w:t>
      </w:r>
      <w:r>
        <w:rPr>
          <w:rFonts w:ascii="Georgia"/>
          <w:spacing w:val="-8"/>
          <w:w w:val="105"/>
          <w:sz w:val="24"/>
        </w:rPr>
        <w:t> </w:t>
      </w:r>
      <w:r>
        <w:rPr>
          <w:rFonts w:ascii="Georgia"/>
          <w:w w:val="105"/>
          <w:sz w:val="24"/>
        </w:rPr>
        <w:t>Understanding</w:t>
      </w:r>
      <w:r>
        <w:rPr>
          <w:rFonts w:ascii="Georgia"/>
          <w:spacing w:val="-8"/>
          <w:w w:val="105"/>
          <w:sz w:val="24"/>
        </w:rPr>
        <w:t> </w:t>
      </w:r>
      <w:r>
        <w:rPr>
          <w:rFonts w:ascii="Georgia"/>
          <w:w w:val="105"/>
          <w:sz w:val="24"/>
        </w:rPr>
        <w:t>the</w:t>
      </w:r>
      <w:r>
        <w:rPr>
          <w:rFonts w:ascii="Georgia"/>
          <w:spacing w:val="-8"/>
          <w:w w:val="105"/>
          <w:sz w:val="24"/>
        </w:rPr>
        <w:t> </w:t>
      </w:r>
      <w:r>
        <w:rPr>
          <w:rFonts w:ascii="Georgia"/>
          <w:w w:val="105"/>
          <w:sz w:val="24"/>
        </w:rPr>
        <w:t>intersectionality of</w:t>
      </w:r>
      <w:r>
        <w:rPr>
          <w:rFonts w:ascii="Georgia"/>
          <w:w w:val="105"/>
          <w:sz w:val="24"/>
        </w:rPr>
        <w:t> identity</w:t>
      </w:r>
      <w:r>
        <w:rPr>
          <w:rFonts w:ascii="Georgia"/>
          <w:w w:val="105"/>
          <w:sz w:val="24"/>
        </w:rPr>
        <w:t> of</w:t>
      </w:r>
      <w:r>
        <w:rPr>
          <w:rFonts w:ascii="Georgia"/>
          <w:w w:val="105"/>
          <w:sz w:val="24"/>
        </w:rPr>
        <w:t> our</w:t>
      </w:r>
      <w:r>
        <w:rPr>
          <w:rFonts w:ascii="Georgia"/>
          <w:w w:val="105"/>
          <w:sz w:val="24"/>
        </w:rPr>
        <w:t> LGBTQ</w:t>
      </w:r>
      <w:r>
        <w:rPr>
          <w:rFonts w:ascii="Georgia"/>
          <w:w w:val="105"/>
          <w:sz w:val="24"/>
        </w:rPr>
        <w:t> youth</w:t>
      </w:r>
      <w:r>
        <w:rPr>
          <w:rFonts w:ascii="Georgia"/>
          <w:w w:val="105"/>
          <w:sz w:val="24"/>
        </w:rPr>
        <w:t> gives</w:t>
      </w:r>
      <w:r>
        <w:rPr>
          <w:rFonts w:ascii="Georgia"/>
          <w:w w:val="105"/>
          <w:sz w:val="24"/>
        </w:rPr>
        <w:t> insight into their mental stressors.</w:t>
      </w:r>
    </w:p>
    <w:p>
      <w:pPr>
        <w:spacing w:before="98"/>
        <w:ind w:left="1187" w:right="0" w:firstLine="0"/>
        <w:jc w:val="left"/>
        <w:rPr>
          <w:rFonts w:ascii="Verdana"/>
          <w:b/>
          <w:sz w:val="77"/>
        </w:rPr>
      </w:pPr>
      <w:r>
        <w:rPr/>
        <w:br w:type="column"/>
      </w:r>
      <w:r>
        <w:rPr>
          <w:rFonts w:ascii="Verdana"/>
          <w:b/>
          <w:emboss/>
          <w:color w:val="FF66C3"/>
          <w:spacing w:val="20"/>
          <w:w w:val="85"/>
          <w:sz w:val="77"/>
        </w:rPr>
        <w:t>90%</w:t>
      </w:r>
    </w:p>
    <w:p>
      <w:pPr>
        <w:pStyle w:val="BodyText"/>
        <w:spacing w:line="266" w:lineRule="auto" w:before="96"/>
        <w:ind w:left="303" w:right="163" w:hanging="1"/>
        <w:jc w:val="center"/>
        <w:rPr>
          <w:rFonts w:ascii="Georgia"/>
        </w:rPr>
      </w:pPr>
      <w:r>
        <w:rPr>
          <w:rFonts w:ascii="Georgia"/>
        </w:rPr>
        <w:t>Of LGBTQ youth in Massachusetts </w:t>
      </w:r>
      <w:r>
        <w:rPr>
          <w:rFonts w:ascii="Georgia"/>
          <w:spacing w:val="-2"/>
          <w:w w:val="105"/>
        </w:rPr>
        <w:t>claim</w:t>
      </w:r>
      <w:r>
        <w:rPr>
          <w:rFonts w:ascii="Georgia"/>
          <w:spacing w:val="-12"/>
          <w:w w:val="105"/>
        </w:rPr>
        <w:t> </w:t>
      </w:r>
      <w:r>
        <w:rPr>
          <w:rFonts w:ascii="Georgia"/>
          <w:spacing w:val="-2"/>
          <w:w w:val="105"/>
        </w:rPr>
        <w:t>that</w:t>
      </w:r>
      <w:r>
        <w:rPr>
          <w:rFonts w:ascii="Georgia"/>
          <w:spacing w:val="-11"/>
          <w:w w:val="105"/>
        </w:rPr>
        <w:t> </w:t>
      </w:r>
      <w:r>
        <w:rPr>
          <w:rFonts w:ascii="Georgia"/>
          <w:spacing w:val="-2"/>
          <w:w w:val="105"/>
        </w:rPr>
        <w:t>recent</w:t>
      </w:r>
      <w:r>
        <w:rPr>
          <w:rFonts w:ascii="Georgia"/>
          <w:spacing w:val="-12"/>
          <w:w w:val="105"/>
        </w:rPr>
        <w:t> </w:t>
      </w:r>
      <w:r>
        <w:rPr>
          <w:rFonts w:ascii="Georgia"/>
          <w:spacing w:val="-2"/>
          <w:w w:val="105"/>
        </w:rPr>
        <w:t>national</w:t>
      </w:r>
      <w:r>
        <w:rPr>
          <w:rFonts w:ascii="Georgia"/>
          <w:spacing w:val="-11"/>
          <w:w w:val="105"/>
        </w:rPr>
        <w:t> </w:t>
      </w:r>
      <w:r>
        <w:rPr>
          <w:rFonts w:ascii="Georgia"/>
          <w:spacing w:val="-2"/>
          <w:w w:val="105"/>
        </w:rPr>
        <w:t>rhetoric </w:t>
      </w:r>
      <w:r>
        <w:rPr>
          <w:rFonts w:ascii="Georgia"/>
          <w:w w:val="105"/>
        </w:rPr>
        <w:t>has</w:t>
      </w:r>
      <w:r>
        <w:rPr>
          <w:rFonts w:ascii="Georgia"/>
          <w:spacing w:val="-7"/>
          <w:w w:val="105"/>
        </w:rPr>
        <w:t> </w:t>
      </w:r>
      <w:r>
        <w:rPr>
          <w:rFonts w:ascii="Georgia"/>
          <w:w w:val="105"/>
        </w:rPr>
        <w:t>negatively</w:t>
      </w:r>
      <w:r>
        <w:rPr>
          <w:rFonts w:ascii="Georgia"/>
          <w:spacing w:val="-7"/>
          <w:w w:val="105"/>
        </w:rPr>
        <w:t> </w:t>
      </w:r>
      <w:r>
        <w:rPr>
          <w:rFonts w:ascii="Georgia"/>
          <w:w w:val="105"/>
        </w:rPr>
        <w:t>affected</w:t>
      </w:r>
      <w:r>
        <w:rPr>
          <w:rFonts w:ascii="Georgia"/>
          <w:spacing w:val="-7"/>
          <w:w w:val="105"/>
        </w:rPr>
        <w:t> </w:t>
      </w:r>
      <w:r>
        <w:rPr>
          <w:rFonts w:ascii="Georgia"/>
          <w:w w:val="105"/>
        </w:rPr>
        <w:t>their</w:t>
      </w:r>
      <w:r>
        <w:rPr>
          <w:rFonts w:ascii="Georgia"/>
          <w:spacing w:val="-7"/>
          <w:w w:val="105"/>
        </w:rPr>
        <w:t> </w:t>
      </w:r>
      <w:r>
        <w:rPr>
          <w:rFonts w:ascii="Georgia"/>
          <w:w w:val="105"/>
        </w:rPr>
        <w:t>well- </w:t>
      </w:r>
      <w:r>
        <w:rPr>
          <w:rFonts w:ascii="Georgia"/>
          <w:spacing w:val="-2"/>
          <w:w w:val="105"/>
        </w:rPr>
        <w:t>being</w:t>
      </w:r>
    </w:p>
    <w:p>
      <w:pPr>
        <w:pStyle w:val="BodyText"/>
        <w:spacing w:before="66"/>
        <w:rPr>
          <w:rFonts w:ascii="Georgia"/>
        </w:rPr>
      </w:pPr>
    </w:p>
    <w:p>
      <w:pPr>
        <w:pStyle w:val="Heading3"/>
        <w:ind w:left="1327"/>
      </w:pPr>
      <w:r>
        <w:rPr>
          <w:emboss/>
          <w:color w:val="FF66C3"/>
          <w:spacing w:val="19"/>
          <w:w w:val="75"/>
        </w:rPr>
        <w:t>51%</w:t>
      </w:r>
    </w:p>
    <w:p>
      <w:pPr>
        <w:pStyle w:val="BodyText"/>
        <w:spacing w:line="266" w:lineRule="auto" w:before="14"/>
        <w:ind w:left="273"/>
        <w:jc w:val="center"/>
        <w:rPr>
          <w:rFonts w:ascii="Georgia"/>
        </w:rPr>
      </w:pPr>
      <w:r>
        <w:rPr/>
        <mc:AlternateContent>
          <mc:Choice Requires="wps">
            <w:drawing>
              <wp:anchor distT="0" distB="0" distL="0" distR="0" allowOverlap="1" layoutInCell="1" locked="0" behindDoc="0" simplePos="0" relativeHeight="15740928">
                <wp:simplePos x="0" y="0"/>
                <wp:positionH relativeFrom="page">
                  <wp:posOffset>661416</wp:posOffset>
                </wp:positionH>
                <wp:positionV relativeFrom="paragraph">
                  <wp:posOffset>562506</wp:posOffset>
                </wp:positionV>
                <wp:extent cx="3473450" cy="225171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3473450" cy="2251710"/>
                          <a:chExt cx="3473450" cy="2251710"/>
                        </a:xfrm>
                      </wpg:grpSpPr>
                      <wps:wsp>
                        <wps:cNvPr id="96" name="Graphic 96"/>
                        <wps:cNvSpPr/>
                        <wps:spPr>
                          <a:xfrm>
                            <a:off x="0" y="0"/>
                            <a:ext cx="3473450" cy="2251710"/>
                          </a:xfrm>
                          <a:custGeom>
                            <a:avLst/>
                            <a:gdLst/>
                            <a:ahLst/>
                            <a:cxnLst/>
                            <a:rect l="l" t="t" r="r" b="b"/>
                            <a:pathLst>
                              <a:path w="3473450" h="2251710">
                                <a:moveTo>
                                  <a:pt x="3113780" y="2251087"/>
                                </a:moveTo>
                                <a:lnTo>
                                  <a:pt x="361948" y="2251087"/>
                                </a:lnTo>
                                <a:lnTo>
                                  <a:pt x="312835" y="2247783"/>
                                </a:lnTo>
                                <a:lnTo>
                                  <a:pt x="265729" y="2238158"/>
                                </a:lnTo>
                                <a:lnTo>
                                  <a:pt x="221062" y="2222644"/>
                                </a:lnTo>
                                <a:lnTo>
                                  <a:pt x="179266" y="2201671"/>
                                </a:lnTo>
                                <a:lnTo>
                                  <a:pt x="140773" y="2175671"/>
                                </a:lnTo>
                                <a:lnTo>
                                  <a:pt x="106012" y="2145075"/>
                                </a:lnTo>
                                <a:lnTo>
                                  <a:pt x="75416" y="2110314"/>
                                </a:lnTo>
                                <a:lnTo>
                                  <a:pt x="49416" y="2071821"/>
                                </a:lnTo>
                                <a:lnTo>
                                  <a:pt x="28443" y="2030025"/>
                                </a:lnTo>
                                <a:lnTo>
                                  <a:pt x="12929" y="1985358"/>
                                </a:lnTo>
                                <a:lnTo>
                                  <a:pt x="3304" y="1938252"/>
                                </a:lnTo>
                                <a:lnTo>
                                  <a:pt x="0" y="1889137"/>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8" y="0"/>
                                </a:lnTo>
                                <a:lnTo>
                                  <a:pt x="3162893" y="3304"/>
                                </a:lnTo>
                                <a:lnTo>
                                  <a:pt x="3209999" y="12929"/>
                                </a:lnTo>
                                <a:lnTo>
                                  <a:pt x="3254666" y="28443"/>
                                </a:lnTo>
                                <a:lnTo>
                                  <a:pt x="3296461" y="49416"/>
                                </a:lnTo>
                                <a:lnTo>
                                  <a:pt x="3334955" y="75416"/>
                                </a:lnTo>
                                <a:lnTo>
                                  <a:pt x="3369716" y="106012"/>
                                </a:lnTo>
                                <a:lnTo>
                                  <a:pt x="3400312" y="140773"/>
                                </a:lnTo>
                                <a:lnTo>
                                  <a:pt x="3426312" y="179266"/>
                                </a:lnTo>
                                <a:lnTo>
                                  <a:pt x="3447285" y="221062"/>
                                </a:lnTo>
                                <a:lnTo>
                                  <a:pt x="3462799" y="265729"/>
                                </a:lnTo>
                                <a:lnTo>
                                  <a:pt x="3472424" y="312835"/>
                                </a:lnTo>
                                <a:lnTo>
                                  <a:pt x="3473358" y="326710"/>
                                </a:lnTo>
                                <a:lnTo>
                                  <a:pt x="3473358" y="1924377"/>
                                </a:lnTo>
                                <a:lnTo>
                                  <a:pt x="3462799" y="1985358"/>
                                </a:lnTo>
                                <a:lnTo>
                                  <a:pt x="3447285" y="2030025"/>
                                </a:lnTo>
                                <a:lnTo>
                                  <a:pt x="3426312" y="2071821"/>
                                </a:lnTo>
                                <a:lnTo>
                                  <a:pt x="3400312" y="2110314"/>
                                </a:lnTo>
                                <a:lnTo>
                                  <a:pt x="3369716" y="2145075"/>
                                </a:lnTo>
                                <a:lnTo>
                                  <a:pt x="3334955" y="2175671"/>
                                </a:lnTo>
                                <a:lnTo>
                                  <a:pt x="3296461" y="2201671"/>
                                </a:lnTo>
                                <a:lnTo>
                                  <a:pt x="3254666" y="2222644"/>
                                </a:lnTo>
                                <a:lnTo>
                                  <a:pt x="3209999" y="2238158"/>
                                </a:lnTo>
                                <a:lnTo>
                                  <a:pt x="3162893" y="2247783"/>
                                </a:lnTo>
                                <a:lnTo>
                                  <a:pt x="3113780" y="2251087"/>
                                </a:lnTo>
                                <a:close/>
                              </a:path>
                            </a:pathLst>
                          </a:custGeom>
                          <a:solidFill>
                            <a:srgbClr val="FFAFC7">
                              <a:alpha val="55999"/>
                            </a:srgbClr>
                          </a:solidFill>
                        </wps:spPr>
                        <wps:bodyPr wrap="square" lIns="0" tIns="0" rIns="0" bIns="0" rtlCol="0">
                          <a:prstTxWarp prst="textNoShape">
                            <a:avLst/>
                          </a:prstTxWarp>
                          <a:noAutofit/>
                        </wps:bodyPr>
                      </wps:wsp>
                      <wps:wsp>
                        <wps:cNvPr id="97" name="Graphic 97"/>
                        <wps:cNvSpPr/>
                        <wps:spPr>
                          <a:xfrm>
                            <a:off x="183883" y="383926"/>
                            <a:ext cx="485140" cy="485140"/>
                          </a:xfrm>
                          <a:custGeom>
                            <a:avLst/>
                            <a:gdLst/>
                            <a:ahLst/>
                            <a:cxnLst/>
                            <a:rect l="l" t="t" r="r" b="b"/>
                            <a:pathLst>
                              <a:path w="485140" h="485140">
                                <a:moveTo>
                                  <a:pt x="458533" y="235204"/>
                                </a:moveTo>
                                <a:lnTo>
                                  <a:pt x="452996" y="193154"/>
                                </a:lnTo>
                                <a:lnTo>
                                  <a:pt x="439369" y="152996"/>
                                </a:lnTo>
                                <a:lnTo>
                                  <a:pt x="418160" y="116268"/>
                                </a:lnTo>
                                <a:lnTo>
                                  <a:pt x="390194" y="84378"/>
                                </a:lnTo>
                                <a:lnTo>
                                  <a:pt x="356552" y="58559"/>
                                </a:lnTo>
                                <a:lnTo>
                                  <a:pt x="318516" y="39801"/>
                                </a:lnTo>
                                <a:lnTo>
                                  <a:pt x="277545" y="28829"/>
                                </a:lnTo>
                                <a:lnTo>
                                  <a:pt x="249389" y="26047"/>
                                </a:lnTo>
                                <a:lnTo>
                                  <a:pt x="235229" y="26047"/>
                                </a:lnTo>
                                <a:lnTo>
                                  <a:pt x="193179" y="31584"/>
                                </a:lnTo>
                                <a:lnTo>
                                  <a:pt x="153009" y="45224"/>
                                </a:lnTo>
                                <a:lnTo>
                                  <a:pt x="116281" y="66433"/>
                                </a:lnTo>
                                <a:lnTo>
                                  <a:pt x="84404" y="94386"/>
                                </a:lnTo>
                                <a:lnTo>
                                  <a:pt x="58585" y="128041"/>
                                </a:lnTo>
                                <a:lnTo>
                                  <a:pt x="39827" y="166077"/>
                                </a:lnTo>
                                <a:lnTo>
                                  <a:pt x="28841" y="207048"/>
                                </a:lnTo>
                                <a:lnTo>
                                  <a:pt x="26073" y="235204"/>
                                </a:lnTo>
                                <a:lnTo>
                                  <a:pt x="26073" y="249364"/>
                                </a:lnTo>
                                <a:lnTo>
                                  <a:pt x="31610" y="291414"/>
                                </a:lnTo>
                                <a:lnTo>
                                  <a:pt x="45250" y="331571"/>
                                </a:lnTo>
                                <a:lnTo>
                                  <a:pt x="66446" y="368300"/>
                                </a:lnTo>
                                <a:lnTo>
                                  <a:pt x="94411" y="400189"/>
                                </a:lnTo>
                                <a:lnTo>
                                  <a:pt x="128066" y="426008"/>
                                </a:lnTo>
                                <a:lnTo>
                                  <a:pt x="166103" y="444766"/>
                                </a:lnTo>
                                <a:lnTo>
                                  <a:pt x="207060" y="455739"/>
                                </a:lnTo>
                                <a:lnTo>
                                  <a:pt x="235229" y="458520"/>
                                </a:lnTo>
                                <a:lnTo>
                                  <a:pt x="249389" y="458520"/>
                                </a:lnTo>
                                <a:lnTo>
                                  <a:pt x="291439" y="452983"/>
                                </a:lnTo>
                                <a:lnTo>
                                  <a:pt x="331597" y="439343"/>
                                </a:lnTo>
                                <a:lnTo>
                                  <a:pt x="368325" y="418134"/>
                                </a:lnTo>
                                <a:lnTo>
                                  <a:pt x="400215" y="390169"/>
                                </a:lnTo>
                                <a:lnTo>
                                  <a:pt x="426034" y="356527"/>
                                </a:lnTo>
                                <a:lnTo>
                                  <a:pt x="444792" y="318490"/>
                                </a:lnTo>
                                <a:lnTo>
                                  <a:pt x="455764" y="277520"/>
                                </a:lnTo>
                                <a:lnTo>
                                  <a:pt x="458533" y="249364"/>
                                </a:lnTo>
                                <a:lnTo>
                                  <a:pt x="458533" y="242277"/>
                                </a:lnTo>
                                <a:lnTo>
                                  <a:pt x="458533" y="235204"/>
                                </a:lnTo>
                                <a:close/>
                              </a:path>
                              <a:path w="485140" h="485140">
                                <a:moveTo>
                                  <a:pt x="484593" y="242290"/>
                                </a:moveTo>
                                <a:lnTo>
                                  <a:pt x="479653" y="193522"/>
                                </a:lnTo>
                                <a:lnTo>
                                  <a:pt x="467982" y="155994"/>
                                </a:lnTo>
                                <a:lnTo>
                                  <a:pt x="467982" y="242290"/>
                                </a:lnTo>
                                <a:lnTo>
                                  <a:pt x="463384" y="287718"/>
                                </a:lnTo>
                                <a:lnTo>
                                  <a:pt x="450215" y="330060"/>
                                </a:lnTo>
                                <a:lnTo>
                                  <a:pt x="429387" y="368388"/>
                                </a:lnTo>
                                <a:lnTo>
                                  <a:pt x="401802" y="401802"/>
                                </a:lnTo>
                                <a:lnTo>
                                  <a:pt x="368388" y="429374"/>
                                </a:lnTo>
                                <a:lnTo>
                                  <a:pt x="330060" y="450202"/>
                                </a:lnTo>
                                <a:lnTo>
                                  <a:pt x="287718" y="463372"/>
                                </a:lnTo>
                                <a:lnTo>
                                  <a:pt x="242290" y="467969"/>
                                </a:lnTo>
                                <a:lnTo>
                                  <a:pt x="196862" y="463372"/>
                                </a:lnTo>
                                <a:lnTo>
                                  <a:pt x="154533" y="450215"/>
                                </a:lnTo>
                                <a:lnTo>
                                  <a:pt x="116205" y="429374"/>
                                </a:lnTo>
                                <a:lnTo>
                                  <a:pt x="82791" y="401802"/>
                                </a:lnTo>
                                <a:lnTo>
                                  <a:pt x="55206" y="368388"/>
                                </a:lnTo>
                                <a:lnTo>
                                  <a:pt x="34378" y="330060"/>
                                </a:lnTo>
                                <a:lnTo>
                                  <a:pt x="21209" y="287718"/>
                                </a:lnTo>
                                <a:lnTo>
                                  <a:pt x="16611" y="242290"/>
                                </a:lnTo>
                                <a:lnTo>
                                  <a:pt x="21209" y="196862"/>
                                </a:lnTo>
                                <a:lnTo>
                                  <a:pt x="34378" y="154533"/>
                                </a:lnTo>
                                <a:lnTo>
                                  <a:pt x="55206" y="116205"/>
                                </a:lnTo>
                                <a:lnTo>
                                  <a:pt x="82791" y="82791"/>
                                </a:lnTo>
                                <a:lnTo>
                                  <a:pt x="116205" y="55206"/>
                                </a:lnTo>
                                <a:lnTo>
                                  <a:pt x="154533" y="34378"/>
                                </a:lnTo>
                                <a:lnTo>
                                  <a:pt x="196862" y="21209"/>
                                </a:lnTo>
                                <a:lnTo>
                                  <a:pt x="242290" y="16611"/>
                                </a:lnTo>
                                <a:lnTo>
                                  <a:pt x="287718" y="21209"/>
                                </a:lnTo>
                                <a:lnTo>
                                  <a:pt x="330060" y="34378"/>
                                </a:lnTo>
                                <a:lnTo>
                                  <a:pt x="368388" y="55206"/>
                                </a:lnTo>
                                <a:lnTo>
                                  <a:pt x="401815" y="82791"/>
                                </a:lnTo>
                                <a:lnTo>
                                  <a:pt x="429387" y="116205"/>
                                </a:lnTo>
                                <a:lnTo>
                                  <a:pt x="450227" y="154533"/>
                                </a:lnTo>
                                <a:lnTo>
                                  <a:pt x="463397" y="196862"/>
                                </a:lnTo>
                                <a:lnTo>
                                  <a:pt x="467982" y="242290"/>
                                </a:lnTo>
                                <a:lnTo>
                                  <a:pt x="467982" y="155994"/>
                                </a:lnTo>
                                <a:lnTo>
                                  <a:pt x="443153" y="106921"/>
                                </a:lnTo>
                                <a:lnTo>
                                  <a:pt x="413537" y="71043"/>
                                </a:lnTo>
                                <a:lnTo>
                                  <a:pt x="377659" y="41440"/>
                                </a:lnTo>
                                <a:lnTo>
                                  <a:pt x="336511" y="19075"/>
                                </a:lnTo>
                                <a:lnTo>
                                  <a:pt x="291058" y="4940"/>
                                </a:lnTo>
                                <a:lnTo>
                                  <a:pt x="242290" y="0"/>
                                </a:lnTo>
                                <a:lnTo>
                                  <a:pt x="193522" y="4940"/>
                                </a:lnTo>
                                <a:lnTo>
                                  <a:pt x="148069" y="19075"/>
                                </a:lnTo>
                                <a:lnTo>
                                  <a:pt x="106908" y="41440"/>
                                </a:lnTo>
                                <a:lnTo>
                                  <a:pt x="71043" y="71043"/>
                                </a:lnTo>
                                <a:lnTo>
                                  <a:pt x="41440" y="106921"/>
                                </a:lnTo>
                                <a:lnTo>
                                  <a:pt x="19075" y="148069"/>
                                </a:lnTo>
                                <a:lnTo>
                                  <a:pt x="4940" y="193522"/>
                                </a:lnTo>
                                <a:lnTo>
                                  <a:pt x="0" y="242290"/>
                                </a:lnTo>
                                <a:lnTo>
                                  <a:pt x="4940" y="291058"/>
                                </a:lnTo>
                                <a:lnTo>
                                  <a:pt x="19075" y="336511"/>
                                </a:lnTo>
                                <a:lnTo>
                                  <a:pt x="41440" y="377659"/>
                                </a:lnTo>
                                <a:lnTo>
                                  <a:pt x="71043" y="413537"/>
                                </a:lnTo>
                                <a:lnTo>
                                  <a:pt x="106908" y="443141"/>
                                </a:lnTo>
                                <a:lnTo>
                                  <a:pt x="148069" y="465505"/>
                                </a:lnTo>
                                <a:lnTo>
                                  <a:pt x="193522" y="479640"/>
                                </a:lnTo>
                                <a:lnTo>
                                  <a:pt x="242290" y="484581"/>
                                </a:lnTo>
                                <a:lnTo>
                                  <a:pt x="291058" y="479640"/>
                                </a:lnTo>
                                <a:lnTo>
                                  <a:pt x="328599" y="467969"/>
                                </a:lnTo>
                                <a:lnTo>
                                  <a:pt x="377672" y="443141"/>
                                </a:lnTo>
                                <a:lnTo>
                                  <a:pt x="413550" y="413537"/>
                                </a:lnTo>
                                <a:lnTo>
                                  <a:pt x="443153" y="377659"/>
                                </a:lnTo>
                                <a:lnTo>
                                  <a:pt x="465518" y="336511"/>
                                </a:lnTo>
                                <a:lnTo>
                                  <a:pt x="479653" y="291058"/>
                                </a:lnTo>
                                <a:lnTo>
                                  <a:pt x="484593" y="242290"/>
                                </a:lnTo>
                                <a:close/>
                              </a:path>
                            </a:pathLst>
                          </a:custGeom>
                          <a:solidFill>
                            <a:srgbClr val="F4B648"/>
                          </a:solidFill>
                        </wps:spPr>
                        <wps:bodyPr wrap="square" lIns="0" tIns="0" rIns="0" bIns="0" rtlCol="0">
                          <a:prstTxWarp prst="textNoShape">
                            <a:avLst/>
                          </a:prstTxWarp>
                          <a:noAutofit/>
                        </wps:bodyPr>
                      </wps:wsp>
                      <wps:wsp>
                        <wps:cNvPr id="98" name="Graphic 98"/>
                        <wps:cNvSpPr/>
                        <wps:spPr>
                          <a:xfrm>
                            <a:off x="341596" y="481158"/>
                            <a:ext cx="179705" cy="287020"/>
                          </a:xfrm>
                          <a:custGeom>
                            <a:avLst/>
                            <a:gdLst/>
                            <a:ahLst/>
                            <a:cxnLst/>
                            <a:rect l="l" t="t" r="r" b="b"/>
                            <a:pathLst>
                              <a:path w="179705" h="287020">
                                <a:moveTo>
                                  <a:pt x="179170" y="287009"/>
                                </a:moveTo>
                                <a:lnTo>
                                  <a:pt x="3469" y="286457"/>
                                </a:lnTo>
                                <a:lnTo>
                                  <a:pt x="3711" y="214278"/>
                                </a:lnTo>
                                <a:lnTo>
                                  <a:pt x="26157" y="214346"/>
                                </a:lnTo>
                                <a:lnTo>
                                  <a:pt x="31250" y="212199"/>
                                </a:lnTo>
                                <a:lnTo>
                                  <a:pt x="37899" y="203496"/>
                                </a:lnTo>
                                <a:lnTo>
                                  <a:pt x="39566" y="198810"/>
                                </a:lnTo>
                                <a:lnTo>
                                  <a:pt x="39886" y="100149"/>
                                </a:lnTo>
                                <a:lnTo>
                                  <a:pt x="0" y="100018"/>
                                </a:lnTo>
                                <a:lnTo>
                                  <a:pt x="174" y="35805"/>
                                </a:lnTo>
                                <a:lnTo>
                                  <a:pt x="40976" y="25993"/>
                                </a:lnTo>
                                <a:lnTo>
                                  <a:pt x="54210" y="0"/>
                                </a:lnTo>
                                <a:lnTo>
                                  <a:pt x="144309" y="310"/>
                                </a:lnTo>
                                <a:lnTo>
                                  <a:pt x="143659" y="202391"/>
                                </a:lnTo>
                                <a:lnTo>
                                  <a:pt x="179446" y="214816"/>
                                </a:lnTo>
                                <a:lnTo>
                                  <a:pt x="179170" y="287009"/>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183883" y="1044720"/>
                            <a:ext cx="483234" cy="483234"/>
                          </a:xfrm>
                          <a:custGeom>
                            <a:avLst/>
                            <a:gdLst/>
                            <a:ahLst/>
                            <a:cxnLst/>
                            <a:rect l="l" t="t" r="r" b="b"/>
                            <a:pathLst>
                              <a:path w="483234" h="483234">
                                <a:moveTo>
                                  <a:pt x="457123" y="234467"/>
                                </a:moveTo>
                                <a:lnTo>
                                  <a:pt x="451612" y="192557"/>
                                </a:lnTo>
                                <a:lnTo>
                                  <a:pt x="438023" y="152514"/>
                                </a:lnTo>
                                <a:lnTo>
                                  <a:pt x="416877" y="115900"/>
                                </a:lnTo>
                                <a:lnTo>
                                  <a:pt x="389001" y="84112"/>
                                </a:lnTo>
                                <a:lnTo>
                                  <a:pt x="355460" y="58369"/>
                                </a:lnTo>
                                <a:lnTo>
                                  <a:pt x="317538" y="39674"/>
                                </a:lnTo>
                                <a:lnTo>
                                  <a:pt x="276694" y="28727"/>
                                </a:lnTo>
                                <a:lnTo>
                                  <a:pt x="248627" y="25971"/>
                                </a:lnTo>
                                <a:lnTo>
                                  <a:pt x="234505" y="25971"/>
                                </a:lnTo>
                                <a:lnTo>
                                  <a:pt x="192582" y="31483"/>
                                </a:lnTo>
                                <a:lnTo>
                                  <a:pt x="152539" y="45072"/>
                                </a:lnTo>
                                <a:lnTo>
                                  <a:pt x="115925" y="66217"/>
                                </a:lnTo>
                                <a:lnTo>
                                  <a:pt x="84137" y="94094"/>
                                </a:lnTo>
                                <a:lnTo>
                                  <a:pt x="58407" y="127635"/>
                                </a:lnTo>
                                <a:lnTo>
                                  <a:pt x="39700" y="165557"/>
                                </a:lnTo>
                                <a:lnTo>
                                  <a:pt x="28765" y="206400"/>
                                </a:lnTo>
                                <a:lnTo>
                                  <a:pt x="25996" y="234467"/>
                                </a:lnTo>
                                <a:lnTo>
                                  <a:pt x="25996" y="248589"/>
                                </a:lnTo>
                                <a:lnTo>
                                  <a:pt x="31508" y="290512"/>
                                </a:lnTo>
                                <a:lnTo>
                                  <a:pt x="45110" y="330555"/>
                                </a:lnTo>
                                <a:lnTo>
                                  <a:pt x="66243" y="367169"/>
                                </a:lnTo>
                                <a:lnTo>
                                  <a:pt x="94119" y="398957"/>
                                </a:lnTo>
                                <a:lnTo>
                                  <a:pt x="127673" y="424688"/>
                                </a:lnTo>
                                <a:lnTo>
                                  <a:pt x="165595" y="443395"/>
                                </a:lnTo>
                                <a:lnTo>
                                  <a:pt x="206425" y="454329"/>
                                </a:lnTo>
                                <a:lnTo>
                                  <a:pt x="234505" y="457098"/>
                                </a:lnTo>
                                <a:lnTo>
                                  <a:pt x="248627" y="457098"/>
                                </a:lnTo>
                                <a:lnTo>
                                  <a:pt x="290537" y="451586"/>
                                </a:lnTo>
                                <a:lnTo>
                                  <a:pt x="330581" y="437984"/>
                                </a:lnTo>
                                <a:lnTo>
                                  <a:pt x="367195" y="416852"/>
                                </a:lnTo>
                                <a:lnTo>
                                  <a:pt x="398983" y="388975"/>
                                </a:lnTo>
                                <a:lnTo>
                                  <a:pt x="424726" y="355422"/>
                                </a:lnTo>
                                <a:lnTo>
                                  <a:pt x="443420" y="317500"/>
                                </a:lnTo>
                                <a:lnTo>
                                  <a:pt x="454367" y="276669"/>
                                </a:lnTo>
                                <a:lnTo>
                                  <a:pt x="457123" y="248589"/>
                                </a:lnTo>
                                <a:lnTo>
                                  <a:pt x="457123" y="241528"/>
                                </a:lnTo>
                                <a:lnTo>
                                  <a:pt x="457123" y="234467"/>
                                </a:lnTo>
                                <a:close/>
                              </a:path>
                              <a:path w="483234" h="483234">
                                <a:moveTo>
                                  <a:pt x="483095" y="241541"/>
                                </a:moveTo>
                                <a:lnTo>
                                  <a:pt x="478180" y="192925"/>
                                </a:lnTo>
                                <a:lnTo>
                                  <a:pt x="466547" y="155536"/>
                                </a:lnTo>
                                <a:lnTo>
                                  <a:pt x="466547" y="241541"/>
                                </a:lnTo>
                                <a:lnTo>
                                  <a:pt x="461962" y="286829"/>
                                </a:lnTo>
                                <a:lnTo>
                                  <a:pt x="448830" y="329031"/>
                                </a:lnTo>
                                <a:lnTo>
                                  <a:pt x="428066" y="367245"/>
                                </a:lnTo>
                                <a:lnTo>
                                  <a:pt x="400570" y="400558"/>
                                </a:lnTo>
                                <a:lnTo>
                                  <a:pt x="367258" y="428053"/>
                                </a:lnTo>
                                <a:lnTo>
                                  <a:pt x="329044" y="448818"/>
                                </a:lnTo>
                                <a:lnTo>
                                  <a:pt x="286829" y="461949"/>
                                </a:lnTo>
                                <a:lnTo>
                                  <a:pt x="241541" y="466521"/>
                                </a:lnTo>
                                <a:lnTo>
                                  <a:pt x="196265" y="461949"/>
                                </a:lnTo>
                                <a:lnTo>
                                  <a:pt x="154063" y="448818"/>
                                </a:lnTo>
                                <a:lnTo>
                                  <a:pt x="115849" y="428053"/>
                                </a:lnTo>
                                <a:lnTo>
                                  <a:pt x="82537" y="400558"/>
                                </a:lnTo>
                                <a:lnTo>
                                  <a:pt x="55041" y="367258"/>
                                </a:lnTo>
                                <a:lnTo>
                                  <a:pt x="34264" y="329044"/>
                                </a:lnTo>
                                <a:lnTo>
                                  <a:pt x="21145" y="286829"/>
                                </a:lnTo>
                                <a:lnTo>
                                  <a:pt x="16560" y="241541"/>
                                </a:lnTo>
                                <a:lnTo>
                                  <a:pt x="21132" y="196253"/>
                                </a:lnTo>
                                <a:lnTo>
                                  <a:pt x="34264" y="154051"/>
                                </a:lnTo>
                                <a:lnTo>
                                  <a:pt x="55041" y="115836"/>
                                </a:lnTo>
                                <a:lnTo>
                                  <a:pt x="82537" y="82524"/>
                                </a:lnTo>
                                <a:lnTo>
                                  <a:pt x="115849" y="55029"/>
                                </a:lnTo>
                                <a:lnTo>
                                  <a:pt x="154063" y="34264"/>
                                </a:lnTo>
                                <a:lnTo>
                                  <a:pt x="196265" y="21132"/>
                                </a:lnTo>
                                <a:lnTo>
                                  <a:pt x="241541" y="16560"/>
                                </a:lnTo>
                                <a:lnTo>
                                  <a:pt x="286829" y="21132"/>
                                </a:lnTo>
                                <a:lnTo>
                                  <a:pt x="329044" y="34264"/>
                                </a:lnTo>
                                <a:lnTo>
                                  <a:pt x="367258" y="55029"/>
                                </a:lnTo>
                                <a:lnTo>
                                  <a:pt x="400570" y="82524"/>
                                </a:lnTo>
                                <a:lnTo>
                                  <a:pt x="428078" y="115836"/>
                                </a:lnTo>
                                <a:lnTo>
                                  <a:pt x="448843" y="154051"/>
                                </a:lnTo>
                                <a:lnTo>
                                  <a:pt x="461975" y="196253"/>
                                </a:lnTo>
                                <a:lnTo>
                                  <a:pt x="466547" y="241541"/>
                                </a:lnTo>
                                <a:lnTo>
                                  <a:pt x="466547" y="155536"/>
                                </a:lnTo>
                                <a:lnTo>
                                  <a:pt x="441794" y="106578"/>
                                </a:lnTo>
                                <a:lnTo>
                                  <a:pt x="412267" y="70827"/>
                                </a:lnTo>
                                <a:lnTo>
                                  <a:pt x="376504" y="41300"/>
                                </a:lnTo>
                                <a:lnTo>
                                  <a:pt x="335483" y="19011"/>
                                </a:lnTo>
                                <a:lnTo>
                                  <a:pt x="327583" y="16560"/>
                                </a:lnTo>
                                <a:lnTo>
                                  <a:pt x="290156" y="4914"/>
                                </a:lnTo>
                                <a:lnTo>
                                  <a:pt x="241541" y="0"/>
                                </a:lnTo>
                                <a:lnTo>
                                  <a:pt x="192925" y="4914"/>
                                </a:lnTo>
                                <a:lnTo>
                                  <a:pt x="147612" y="19011"/>
                                </a:lnTo>
                                <a:lnTo>
                                  <a:pt x="106591" y="41300"/>
                                </a:lnTo>
                                <a:lnTo>
                                  <a:pt x="70827" y="70827"/>
                                </a:lnTo>
                                <a:lnTo>
                                  <a:pt x="41313" y="106578"/>
                                </a:lnTo>
                                <a:lnTo>
                                  <a:pt x="19011" y="147612"/>
                                </a:lnTo>
                                <a:lnTo>
                                  <a:pt x="4914" y="192925"/>
                                </a:lnTo>
                                <a:lnTo>
                                  <a:pt x="0" y="241541"/>
                                </a:lnTo>
                                <a:lnTo>
                                  <a:pt x="4914" y="290156"/>
                                </a:lnTo>
                                <a:lnTo>
                                  <a:pt x="19011" y="335470"/>
                                </a:lnTo>
                                <a:lnTo>
                                  <a:pt x="41313" y="376504"/>
                                </a:lnTo>
                                <a:lnTo>
                                  <a:pt x="70827" y="412254"/>
                                </a:lnTo>
                                <a:lnTo>
                                  <a:pt x="106591" y="441782"/>
                                </a:lnTo>
                                <a:lnTo>
                                  <a:pt x="147612" y="464070"/>
                                </a:lnTo>
                                <a:lnTo>
                                  <a:pt x="192925" y="478167"/>
                                </a:lnTo>
                                <a:lnTo>
                                  <a:pt x="241541" y="483082"/>
                                </a:lnTo>
                                <a:lnTo>
                                  <a:pt x="290169" y="478167"/>
                                </a:lnTo>
                                <a:lnTo>
                                  <a:pt x="327596" y="466521"/>
                                </a:lnTo>
                                <a:lnTo>
                                  <a:pt x="335483" y="464070"/>
                                </a:lnTo>
                                <a:lnTo>
                                  <a:pt x="376516" y="441782"/>
                                </a:lnTo>
                                <a:lnTo>
                                  <a:pt x="412280" y="412254"/>
                                </a:lnTo>
                                <a:lnTo>
                                  <a:pt x="441794" y="376504"/>
                                </a:lnTo>
                                <a:lnTo>
                                  <a:pt x="464083" y="335470"/>
                                </a:lnTo>
                                <a:lnTo>
                                  <a:pt x="478180" y="290156"/>
                                </a:lnTo>
                                <a:lnTo>
                                  <a:pt x="483095" y="241541"/>
                                </a:lnTo>
                                <a:close/>
                              </a:path>
                            </a:pathLst>
                          </a:custGeom>
                          <a:solidFill>
                            <a:srgbClr val="FF66C3"/>
                          </a:solidFill>
                        </wps:spPr>
                        <wps:bodyPr wrap="square" lIns="0" tIns="0" rIns="0" bIns="0" rtlCol="0">
                          <a:prstTxWarp prst="textNoShape">
                            <a:avLst/>
                          </a:prstTxWarp>
                          <a:noAutofit/>
                        </wps:bodyPr>
                      </wps:wsp>
                      <wps:wsp>
                        <wps:cNvPr id="100" name="Graphic 100"/>
                        <wps:cNvSpPr/>
                        <wps:spPr>
                          <a:xfrm>
                            <a:off x="296759" y="1129860"/>
                            <a:ext cx="267335" cy="294005"/>
                          </a:xfrm>
                          <a:custGeom>
                            <a:avLst/>
                            <a:gdLst/>
                            <a:ahLst/>
                            <a:cxnLst/>
                            <a:rect l="l" t="t" r="r" b="b"/>
                            <a:pathLst>
                              <a:path w="267335" h="294005">
                                <a:moveTo>
                                  <a:pt x="176122" y="293678"/>
                                </a:moveTo>
                                <a:lnTo>
                                  <a:pt x="133164" y="287588"/>
                                </a:lnTo>
                                <a:lnTo>
                                  <a:pt x="87546" y="275751"/>
                                </a:lnTo>
                                <a:lnTo>
                                  <a:pt x="80203" y="274698"/>
                                </a:lnTo>
                                <a:lnTo>
                                  <a:pt x="45367" y="289374"/>
                                </a:lnTo>
                                <a:lnTo>
                                  <a:pt x="927" y="289215"/>
                                </a:lnTo>
                                <a:lnTo>
                                  <a:pt x="4721" y="249991"/>
                                </a:lnTo>
                                <a:lnTo>
                                  <a:pt x="19836" y="210119"/>
                                </a:lnTo>
                                <a:lnTo>
                                  <a:pt x="49700" y="174822"/>
                                </a:lnTo>
                                <a:lnTo>
                                  <a:pt x="85147" y="150881"/>
                                </a:lnTo>
                                <a:lnTo>
                                  <a:pt x="113019" y="136385"/>
                                </a:lnTo>
                                <a:lnTo>
                                  <a:pt x="119384" y="132940"/>
                                </a:lnTo>
                                <a:lnTo>
                                  <a:pt x="152595" y="104870"/>
                                </a:lnTo>
                                <a:lnTo>
                                  <a:pt x="154827" y="90657"/>
                                </a:lnTo>
                                <a:lnTo>
                                  <a:pt x="154021" y="82660"/>
                                </a:lnTo>
                                <a:lnTo>
                                  <a:pt x="118715" y="57303"/>
                                </a:lnTo>
                                <a:lnTo>
                                  <a:pt x="100947" y="56705"/>
                                </a:lnTo>
                                <a:lnTo>
                                  <a:pt x="93053" y="57338"/>
                                </a:lnTo>
                                <a:lnTo>
                                  <a:pt x="79073" y="59894"/>
                                </a:lnTo>
                                <a:lnTo>
                                  <a:pt x="72411" y="62126"/>
                                </a:lnTo>
                                <a:lnTo>
                                  <a:pt x="66058" y="65343"/>
                                </a:lnTo>
                                <a:lnTo>
                                  <a:pt x="73947" y="67686"/>
                                </a:lnTo>
                                <a:lnTo>
                                  <a:pt x="80783" y="71474"/>
                                </a:lnTo>
                                <a:lnTo>
                                  <a:pt x="94184" y="108459"/>
                                </a:lnTo>
                                <a:lnTo>
                                  <a:pt x="63082" y="134213"/>
                                </a:lnTo>
                                <a:lnTo>
                                  <a:pt x="20806" y="127624"/>
                                </a:lnTo>
                                <a:lnTo>
                                  <a:pt x="0" y="93479"/>
                                </a:lnTo>
                                <a:lnTo>
                                  <a:pt x="33" y="84150"/>
                                </a:lnTo>
                                <a:lnTo>
                                  <a:pt x="15492" y="42553"/>
                                </a:lnTo>
                                <a:lnTo>
                                  <a:pt x="47257" y="17932"/>
                                </a:lnTo>
                                <a:lnTo>
                                  <a:pt x="93628" y="3303"/>
                                </a:lnTo>
                                <a:lnTo>
                                  <a:pt x="135716" y="0"/>
                                </a:lnTo>
                                <a:lnTo>
                                  <a:pt x="151151" y="476"/>
                                </a:lnTo>
                                <a:lnTo>
                                  <a:pt x="191750" y="6966"/>
                                </a:lnTo>
                                <a:lnTo>
                                  <a:pt x="232427" y="25831"/>
                                </a:lnTo>
                                <a:lnTo>
                                  <a:pt x="260802" y="61713"/>
                                </a:lnTo>
                                <a:lnTo>
                                  <a:pt x="265403" y="87527"/>
                                </a:lnTo>
                                <a:lnTo>
                                  <a:pt x="264937" y="97941"/>
                                </a:lnTo>
                                <a:lnTo>
                                  <a:pt x="250046" y="137042"/>
                                </a:lnTo>
                                <a:lnTo>
                                  <a:pt x="219362" y="160073"/>
                                </a:lnTo>
                                <a:lnTo>
                                  <a:pt x="179170" y="173967"/>
                                </a:lnTo>
                                <a:lnTo>
                                  <a:pt x="144643" y="183069"/>
                                </a:lnTo>
                                <a:lnTo>
                                  <a:pt x="136010" y="185468"/>
                                </a:lnTo>
                                <a:lnTo>
                                  <a:pt x="96372" y="202091"/>
                                </a:lnTo>
                                <a:lnTo>
                                  <a:pt x="66343" y="229839"/>
                                </a:lnTo>
                                <a:lnTo>
                                  <a:pt x="62208" y="237407"/>
                                </a:lnTo>
                                <a:lnTo>
                                  <a:pt x="65478" y="238601"/>
                                </a:lnTo>
                                <a:lnTo>
                                  <a:pt x="68082" y="235369"/>
                                </a:lnTo>
                                <a:lnTo>
                                  <a:pt x="71527" y="231847"/>
                                </a:lnTo>
                                <a:lnTo>
                                  <a:pt x="116435" y="206895"/>
                                </a:lnTo>
                                <a:lnTo>
                                  <a:pt x="124068" y="205784"/>
                                </a:lnTo>
                                <a:lnTo>
                                  <a:pt x="140750" y="205847"/>
                                </a:lnTo>
                                <a:lnTo>
                                  <a:pt x="147866" y="206315"/>
                                </a:lnTo>
                                <a:lnTo>
                                  <a:pt x="159503" y="208170"/>
                                </a:lnTo>
                                <a:lnTo>
                                  <a:pt x="164808" y="209093"/>
                                </a:lnTo>
                                <a:lnTo>
                                  <a:pt x="187407" y="213895"/>
                                </a:lnTo>
                                <a:lnTo>
                                  <a:pt x="192112" y="214349"/>
                                </a:lnTo>
                                <a:lnTo>
                                  <a:pt x="228794" y="195856"/>
                                </a:lnTo>
                                <a:lnTo>
                                  <a:pt x="228828" y="184214"/>
                                </a:lnTo>
                                <a:lnTo>
                                  <a:pt x="267041" y="184354"/>
                                </a:lnTo>
                                <a:lnTo>
                                  <a:pt x="262982" y="231342"/>
                                </a:lnTo>
                                <a:lnTo>
                                  <a:pt x="246422" y="270004"/>
                                </a:lnTo>
                                <a:lnTo>
                                  <a:pt x="211818" y="290669"/>
                                </a:lnTo>
                                <a:lnTo>
                                  <a:pt x="185481" y="293509"/>
                                </a:lnTo>
                                <a:lnTo>
                                  <a:pt x="176122" y="293678"/>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183883" y="1678615"/>
                            <a:ext cx="494665" cy="494665"/>
                          </a:xfrm>
                          <a:custGeom>
                            <a:avLst/>
                            <a:gdLst/>
                            <a:ahLst/>
                            <a:cxnLst/>
                            <a:rect l="l" t="t" r="r" b="b"/>
                            <a:pathLst>
                              <a:path w="494665" h="494665">
                                <a:moveTo>
                                  <a:pt x="467690" y="239890"/>
                                </a:moveTo>
                                <a:lnTo>
                                  <a:pt x="462038" y="197002"/>
                                </a:lnTo>
                                <a:lnTo>
                                  <a:pt x="448132" y="156044"/>
                                </a:lnTo>
                                <a:lnTo>
                                  <a:pt x="426504" y="118579"/>
                                </a:lnTo>
                                <a:lnTo>
                                  <a:pt x="397979" y="86055"/>
                                </a:lnTo>
                                <a:lnTo>
                                  <a:pt x="363664" y="59728"/>
                                </a:lnTo>
                                <a:lnTo>
                                  <a:pt x="324866" y="40589"/>
                                </a:lnTo>
                                <a:lnTo>
                                  <a:pt x="283083" y="29400"/>
                                </a:lnTo>
                                <a:lnTo>
                                  <a:pt x="254368" y="26568"/>
                                </a:lnTo>
                                <a:lnTo>
                                  <a:pt x="239915" y="26568"/>
                                </a:lnTo>
                                <a:lnTo>
                                  <a:pt x="197027" y="32219"/>
                                </a:lnTo>
                                <a:lnTo>
                                  <a:pt x="156070" y="46113"/>
                                </a:lnTo>
                                <a:lnTo>
                                  <a:pt x="118605" y="67754"/>
                                </a:lnTo>
                                <a:lnTo>
                                  <a:pt x="86080" y="96266"/>
                                </a:lnTo>
                                <a:lnTo>
                                  <a:pt x="59753" y="130594"/>
                                </a:lnTo>
                                <a:lnTo>
                                  <a:pt x="40614" y="169392"/>
                                </a:lnTo>
                                <a:lnTo>
                                  <a:pt x="29425" y="211175"/>
                                </a:lnTo>
                                <a:lnTo>
                                  <a:pt x="26593" y="239890"/>
                                </a:lnTo>
                                <a:lnTo>
                                  <a:pt x="26593" y="254342"/>
                                </a:lnTo>
                                <a:lnTo>
                                  <a:pt x="32245" y="297230"/>
                                </a:lnTo>
                                <a:lnTo>
                                  <a:pt x="46151" y="338188"/>
                                </a:lnTo>
                                <a:lnTo>
                                  <a:pt x="67779" y="375653"/>
                                </a:lnTo>
                                <a:lnTo>
                                  <a:pt x="96304" y="408178"/>
                                </a:lnTo>
                                <a:lnTo>
                                  <a:pt x="130619" y="434505"/>
                                </a:lnTo>
                                <a:lnTo>
                                  <a:pt x="169418" y="453644"/>
                                </a:lnTo>
                                <a:lnTo>
                                  <a:pt x="211201" y="464832"/>
                                </a:lnTo>
                                <a:lnTo>
                                  <a:pt x="239915" y="467664"/>
                                </a:lnTo>
                                <a:lnTo>
                                  <a:pt x="254368" y="467664"/>
                                </a:lnTo>
                                <a:lnTo>
                                  <a:pt x="297256" y="462013"/>
                                </a:lnTo>
                                <a:lnTo>
                                  <a:pt x="338213" y="448106"/>
                                </a:lnTo>
                                <a:lnTo>
                                  <a:pt x="375678" y="426478"/>
                                </a:lnTo>
                                <a:lnTo>
                                  <a:pt x="408203" y="397954"/>
                                </a:lnTo>
                                <a:lnTo>
                                  <a:pt x="434530" y="363639"/>
                                </a:lnTo>
                                <a:lnTo>
                                  <a:pt x="453669" y="324840"/>
                                </a:lnTo>
                                <a:lnTo>
                                  <a:pt x="464858" y="283057"/>
                                </a:lnTo>
                                <a:lnTo>
                                  <a:pt x="467690" y="254342"/>
                                </a:lnTo>
                                <a:lnTo>
                                  <a:pt x="467690" y="247116"/>
                                </a:lnTo>
                                <a:lnTo>
                                  <a:pt x="467690" y="239890"/>
                                </a:lnTo>
                                <a:close/>
                              </a:path>
                              <a:path w="494665" h="494665">
                                <a:moveTo>
                                  <a:pt x="494258" y="247116"/>
                                </a:moveTo>
                                <a:lnTo>
                                  <a:pt x="489229" y="197383"/>
                                </a:lnTo>
                                <a:lnTo>
                                  <a:pt x="477329" y="159105"/>
                                </a:lnTo>
                                <a:lnTo>
                                  <a:pt x="477329" y="247116"/>
                                </a:lnTo>
                                <a:lnTo>
                                  <a:pt x="472643" y="293446"/>
                                </a:lnTo>
                                <a:lnTo>
                                  <a:pt x="459206" y="336638"/>
                                </a:lnTo>
                                <a:lnTo>
                                  <a:pt x="437959" y="375729"/>
                                </a:lnTo>
                                <a:lnTo>
                                  <a:pt x="409829" y="409803"/>
                                </a:lnTo>
                                <a:lnTo>
                                  <a:pt x="375742" y="437934"/>
                                </a:lnTo>
                                <a:lnTo>
                                  <a:pt x="336651" y="459193"/>
                                </a:lnTo>
                                <a:lnTo>
                                  <a:pt x="293458" y="472617"/>
                                </a:lnTo>
                                <a:lnTo>
                                  <a:pt x="247129" y="477304"/>
                                </a:lnTo>
                                <a:lnTo>
                                  <a:pt x="200799" y="472617"/>
                                </a:lnTo>
                                <a:lnTo>
                                  <a:pt x="157619" y="459193"/>
                                </a:lnTo>
                                <a:lnTo>
                                  <a:pt x="118529" y="437946"/>
                                </a:lnTo>
                                <a:lnTo>
                                  <a:pt x="84442" y="409816"/>
                                </a:lnTo>
                                <a:lnTo>
                                  <a:pt x="56311" y="375729"/>
                                </a:lnTo>
                                <a:lnTo>
                                  <a:pt x="35064" y="336638"/>
                                </a:lnTo>
                                <a:lnTo>
                                  <a:pt x="21628" y="293458"/>
                                </a:lnTo>
                                <a:lnTo>
                                  <a:pt x="16941" y="247116"/>
                                </a:lnTo>
                                <a:lnTo>
                                  <a:pt x="21628" y="200787"/>
                                </a:lnTo>
                                <a:lnTo>
                                  <a:pt x="35064" y="157607"/>
                                </a:lnTo>
                                <a:lnTo>
                                  <a:pt x="56311" y="118516"/>
                                </a:lnTo>
                                <a:lnTo>
                                  <a:pt x="84442" y="84429"/>
                                </a:lnTo>
                                <a:lnTo>
                                  <a:pt x="118516" y="56299"/>
                                </a:lnTo>
                                <a:lnTo>
                                  <a:pt x="157619" y="35052"/>
                                </a:lnTo>
                                <a:lnTo>
                                  <a:pt x="200799" y="21628"/>
                                </a:lnTo>
                                <a:lnTo>
                                  <a:pt x="247129" y="16941"/>
                                </a:lnTo>
                                <a:lnTo>
                                  <a:pt x="293458" y="21628"/>
                                </a:lnTo>
                                <a:lnTo>
                                  <a:pt x="336638" y="35052"/>
                                </a:lnTo>
                                <a:lnTo>
                                  <a:pt x="375742" y="56299"/>
                                </a:lnTo>
                                <a:lnTo>
                                  <a:pt x="409829" y="84429"/>
                                </a:lnTo>
                                <a:lnTo>
                                  <a:pt x="437959" y="118516"/>
                                </a:lnTo>
                                <a:lnTo>
                                  <a:pt x="459206" y="157607"/>
                                </a:lnTo>
                                <a:lnTo>
                                  <a:pt x="472643" y="200787"/>
                                </a:lnTo>
                                <a:lnTo>
                                  <a:pt x="477329" y="247116"/>
                                </a:lnTo>
                                <a:lnTo>
                                  <a:pt x="477329" y="159105"/>
                                </a:lnTo>
                                <a:lnTo>
                                  <a:pt x="451993" y="109042"/>
                                </a:lnTo>
                                <a:lnTo>
                                  <a:pt x="421792" y="72466"/>
                                </a:lnTo>
                                <a:lnTo>
                                  <a:pt x="385203" y="42265"/>
                                </a:lnTo>
                                <a:lnTo>
                                  <a:pt x="343230" y="19456"/>
                                </a:lnTo>
                                <a:lnTo>
                                  <a:pt x="296862" y="5029"/>
                                </a:lnTo>
                                <a:lnTo>
                                  <a:pt x="247129" y="0"/>
                                </a:lnTo>
                                <a:lnTo>
                                  <a:pt x="197383" y="5029"/>
                                </a:lnTo>
                                <a:lnTo>
                                  <a:pt x="151015" y="19456"/>
                                </a:lnTo>
                                <a:lnTo>
                                  <a:pt x="109042" y="42265"/>
                                </a:lnTo>
                                <a:lnTo>
                                  <a:pt x="72466" y="72466"/>
                                </a:lnTo>
                                <a:lnTo>
                                  <a:pt x="42265" y="109042"/>
                                </a:lnTo>
                                <a:lnTo>
                                  <a:pt x="19456" y="151015"/>
                                </a:lnTo>
                                <a:lnTo>
                                  <a:pt x="5029" y="197383"/>
                                </a:lnTo>
                                <a:lnTo>
                                  <a:pt x="0" y="247116"/>
                                </a:lnTo>
                                <a:lnTo>
                                  <a:pt x="5029" y="296862"/>
                                </a:lnTo>
                                <a:lnTo>
                                  <a:pt x="19456" y="343217"/>
                                </a:lnTo>
                                <a:lnTo>
                                  <a:pt x="42265" y="385191"/>
                                </a:lnTo>
                                <a:lnTo>
                                  <a:pt x="72466" y="421779"/>
                                </a:lnTo>
                                <a:lnTo>
                                  <a:pt x="109042" y="451980"/>
                                </a:lnTo>
                                <a:lnTo>
                                  <a:pt x="151015" y="474789"/>
                                </a:lnTo>
                                <a:lnTo>
                                  <a:pt x="197383" y="489216"/>
                                </a:lnTo>
                                <a:lnTo>
                                  <a:pt x="247129" y="494245"/>
                                </a:lnTo>
                                <a:lnTo>
                                  <a:pt x="296875" y="489216"/>
                                </a:lnTo>
                                <a:lnTo>
                                  <a:pt x="335153" y="477304"/>
                                </a:lnTo>
                                <a:lnTo>
                                  <a:pt x="343242" y="474789"/>
                                </a:lnTo>
                                <a:lnTo>
                                  <a:pt x="385216" y="451980"/>
                                </a:lnTo>
                                <a:lnTo>
                                  <a:pt x="421805" y="421779"/>
                                </a:lnTo>
                                <a:lnTo>
                                  <a:pt x="452005" y="385191"/>
                                </a:lnTo>
                                <a:lnTo>
                                  <a:pt x="474814" y="343217"/>
                                </a:lnTo>
                                <a:lnTo>
                                  <a:pt x="489242" y="296862"/>
                                </a:lnTo>
                                <a:lnTo>
                                  <a:pt x="494258" y="247116"/>
                                </a:lnTo>
                                <a:close/>
                              </a:path>
                            </a:pathLst>
                          </a:custGeom>
                          <a:solidFill>
                            <a:srgbClr val="9A2F59"/>
                          </a:solidFill>
                        </wps:spPr>
                        <wps:bodyPr wrap="square" lIns="0" tIns="0" rIns="0" bIns="0" rtlCol="0">
                          <a:prstTxWarp prst="textNoShape">
                            <a:avLst/>
                          </a:prstTxWarp>
                          <a:noAutofit/>
                        </wps:bodyPr>
                      </wps:wsp>
                      <wps:wsp>
                        <wps:cNvPr id="102" name="Graphic 102"/>
                        <wps:cNvSpPr/>
                        <wps:spPr>
                          <a:xfrm>
                            <a:off x="289995" y="1765742"/>
                            <a:ext cx="288290" cy="304800"/>
                          </a:xfrm>
                          <a:custGeom>
                            <a:avLst/>
                            <a:gdLst/>
                            <a:ahLst/>
                            <a:cxnLst/>
                            <a:rect l="l" t="t" r="r" b="b"/>
                            <a:pathLst>
                              <a:path w="288290" h="304800">
                                <a:moveTo>
                                  <a:pt x="141214" y="304472"/>
                                </a:moveTo>
                                <a:lnTo>
                                  <a:pt x="89757" y="299714"/>
                                </a:lnTo>
                                <a:lnTo>
                                  <a:pt x="51094" y="286729"/>
                                </a:lnTo>
                                <a:lnTo>
                                  <a:pt x="17245" y="261313"/>
                                </a:lnTo>
                                <a:lnTo>
                                  <a:pt x="434" y="221214"/>
                                </a:lnTo>
                                <a:lnTo>
                                  <a:pt x="0" y="212906"/>
                                </a:lnTo>
                                <a:lnTo>
                                  <a:pt x="19" y="204039"/>
                                </a:lnTo>
                                <a:lnTo>
                                  <a:pt x="20180" y="166525"/>
                                </a:lnTo>
                                <a:lnTo>
                                  <a:pt x="45155" y="157085"/>
                                </a:lnTo>
                                <a:lnTo>
                                  <a:pt x="61149" y="157134"/>
                                </a:lnTo>
                                <a:lnTo>
                                  <a:pt x="95584" y="177705"/>
                                </a:lnTo>
                                <a:lnTo>
                                  <a:pt x="89579" y="220547"/>
                                </a:lnTo>
                                <a:lnTo>
                                  <a:pt x="67401" y="233166"/>
                                </a:lnTo>
                                <a:lnTo>
                                  <a:pt x="78173" y="238496"/>
                                </a:lnTo>
                                <a:lnTo>
                                  <a:pt x="90686" y="242321"/>
                                </a:lnTo>
                                <a:lnTo>
                                  <a:pt x="104941" y="244640"/>
                                </a:lnTo>
                                <a:lnTo>
                                  <a:pt x="120940" y="245453"/>
                                </a:lnTo>
                                <a:lnTo>
                                  <a:pt x="133910" y="244835"/>
                                </a:lnTo>
                                <a:lnTo>
                                  <a:pt x="171555" y="222289"/>
                                </a:lnTo>
                                <a:lnTo>
                                  <a:pt x="174858" y="198449"/>
                                </a:lnTo>
                                <a:lnTo>
                                  <a:pt x="173618" y="192903"/>
                                </a:lnTo>
                                <a:lnTo>
                                  <a:pt x="140952" y="169372"/>
                                </a:lnTo>
                                <a:lnTo>
                                  <a:pt x="116007" y="168626"/>
                                </a:lnTo>
                                <a:lnTo>
                                  <a:pt x="116155" y="125556"/>
                                </a:lnTo>
                                <a:lnTo>
                                  <a:pt x="154160" y="120212"/>
                                </a:lnTo>
                                <a:lnTo>
                                  <a:pt x="169461" y="86445"/>
                                </a:lnTo>
                                <a:lnTo>
                                  <a:pt x="168186" y="80737"/>
                                </a:lnTo>
                                <a:lnTo>
                                  <a:pt x="135125" y="58268"/>
                                </a:lnTo>
                                <a:lnTo>
                                  <a:pt x="122956" y="57709"/>
                                </a:lnTo>
                                <a:lnTo>
                                  <a:pt x="113399" y="57952"/>
                                </a:lnTo>
                                <a:lnTo>
                                  <a:pt x="77657" y="70461"/>
                                </a:lnTo>
                                <a:lnTo>
                                  <a:pt x="80435" y="70723"/>
                                </a:lnTo>
                                <a:lnTo>
                                  <a:pt x="83514" y="71435"/>
                                </a:lnTo>
                                <a:lnTo>
                                  <a:pt x="105398" y="108252"/>
                                </a:lnTo>
                                <a:lnTo>
                                  <a:pt x="71526" y="134934"/>
                                </a:lnTo>
                                <a:lnTo>
                                  <a:pt x="29161" y="126628"/>
                                </a:lnTo>
                                <a:lnTo>
                                  <a:pt x="8501" y="91398"/>
                                </a:lnTo>
                                <a:lnTo>
                                  <a:pt x="8530" y="82531"/>
                                </a:lnTo>
                                <a:lnTo>
                                  <a:pt x="23171" y="41263"/>
                                </a:lnTo>
                                <a:lnTo>
                                  <a:pt x="54058" y="17259"/>
                                </a:lnTo>
                                <a:lnTo>
                                  <a:pt x="99985" y="3149"/>
                                </a:lnTo>
                                <a:lnTo>
                                  <a:pt x="142969" y="0"/>
                                </a:lnTo>
                                <a:lnTo>
                                  <a:pt x="155720" y="281"/>
                                </a:lnTo>
                                <a:lnTo>
                                  <a:pt x="205434" y="6346"/>
                                </a:lnTo>
                                <a:lnTo>
                                  <a:pt x="246554" y="22448"/>
                                </a:lnTo>
                                <a:lnTo>
                                  <a:pt x="273530" y="50177"/>
                                </a:lnTo>
                                <a:lnTo>
                                  <a:pt x="280066" y="79634"/>
                                </a:lnTo>
                                <a:lnTo>
                                  <a:pt x="278990" y="92843"/>
                                </a:lnTo>
                                <a:lnTo>
                                  <a:pt x="254143" y="131943"/>
                                </a:lnTo>
                                <a:lnTo>
                                  <a:pt x="213573" y="146508"/>
                                </a:lnTo>
                                <a:lnTo>
                                  <a:pt x="213559" y="148687"/>
                                </a:lnTo>
                                <a:lnTo>
                                  <a:pt x="256340" y="162489"/>
                                </a:lnTo>
                                <a:lnTo>
                                  <a:pt x="282726" y="192140"/>
                                </a:lnTo>
                                <a:lnTo>
                                  <a:pt x="287757" y="221575"/>
                                </a:lnTo>
                                <a:lnTo>
                                  <a:pt x="287262" y="228753"/>
                                </a:lnTo>
                                <a:lnTo>
                                  <a:pt x="270109" y="264691"/>
                                </a:lnTo>
                                <a:lnTo>
                                  <a:pt x="235248" y="288227"/>
                                </a:lnTo>
                                <a:lnTo>
                                  <a:pt x="195108" y="300293"/>
                                </a:lnTo>
                                <a:lnTo>
                                  <a:pt x="160764" y="304051"/>
                                </a:lnTo>
                                <a:lnTo>
                                  <a:pt x="141214" y="304472"/>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0" y="0"/>
                            <a:ext cx="3473450" cy="2251710"/>
                          </a:xfrm>
                          <a:prstGeom prst="rect">
                            <a:avLst/>
                          </a:prstGeom>
                        </wps:spPr>
                        <wps:txbx>
                          <w:txbxContent>
                            <w:p>
                              <w:pPr>
                                <w:spacing w:before="173"/>
                                <w:ind w:left="202" w:right="0" w:firstLine="0"/>
                                <w:jc w:val="left"/>
                                <w:rPr>
                                  <w:b/>
                                  <w:i/>
                                  <w:sz w:val="34"/>
                                </w:rPr>
                              </w:pPr>
                              <w:r>
                                <w:rPr>
                                  <w:b/>
                                  <w:i/>
                                  <w:spacing w:val="13"/>
                                  <w:w w:val="125"/>
                                  <w:sz w:val="34"/>
                                </w:rPr>
                                <w:t>RECOMMENDATIONS</w:t>
                              </w:r>
                            </w:p>
                            <w:p>
                              <w:pPr>
                                <w:spacing w:line="278" w:lineRule="auto" w:before="108"/>
                                <w:ind w:left="1147" w:right="289" w:firstLine="0"/>
                                <w:jc w:val="left"/>
                                <w:rPr>
                                  <w:rFonts w:ascii="Georgia"/>
                                  <w:sz w:val="20"/>
                                </w:rPr>
                              </w:pPr>
                              <w:r>
                                <w:rPr>
                                  <w:rFonts w:ascii="Georgia"/>
                                  <w:w w:val="105"/>
                                  <w:sz w:val="20"/>
                                </w:rPr>
                                <w:t>Codify</w:t>
                              </w:r>
                              <w:r>
                                <w:rPr>
                                  <w:rFonts w:ascii="Georgia"/>
                                  <w:spacing w:val="-12"/>
                                  <w:w w:val="105"/>
                                  <w:sz w:val="20"/>
                                </w:rPr>
                                <w:t> </w:t>
                              </w:r>
                              <w:r>
                                <w:rPr>
                                  <w:rFonts w:ascii="Georgia"/>
                                  <w:w w:val="105"/>
                                  <w:sz w:val="20"/>
                                </w:rPr>
                                <w:t>the</w:t>
                              </w:r>
                              <w:r>
                                <w:rPr>
                                  <w:rFonts w:ascii="Georgia"/>
                                  <w:spacing w:val="-12"/>
                                  <w:w w:val="105"/>
                                  <w:sz w:val="20"/>
                                </w:rPr>
                                <w:t> </w:t>
                              </w:r>
                              <w:r>
                                <w:rPr>
                                  <w:rFonts w:ascii="Georgia"/>
                                  <w:w w:val="105"/>
                                  <w:sz w:val="20"/>
                                </w:rPr>
                                <w:t>foster</w:t>
                              </w:r>
                              <w:r>
                                <w:rPr>
                                  <w:rFonts w:ascii="Georgia"/>
                                  <w:spacing w:val="-12"/>
                                  <w:w w:val="105"/>
                                  <w:sz w:val="20"/>
                                </w:rPr>
                                <w:t> </w:t>
                              </w:r>
                              <w:r>
                                <w:rPr>
                                  <w:rFonts w:ascii="Georgia"/>
                                  <w:w w:val="105"/>
                                  <w:sz w:val="20"/>
                                </w:rPr>
                                <w:t>child</w:t>
                              </w:r>
                              <w:r>
                                <w:rPr>
                                  <w:rFonts w:ascii="Georgia"/>
                                  <w:spacing w:val="-12"/>
                                  <w:w w:val="105"/>
                                  <w:sz w:val="20"/>
                                </w:rPr>
                                <w:t> </w:t>
                              </w:r>
                              <w:r>
                                <w:rPr>
                                  <w:rFonts w:ascii="Georgia"/>
                                  <w:w w:val="105"/>
                                  <w:sz w:val="20"/>
                                </w:rPr>
                                <w:t>bill</w:t>
                              </w:r>
                              <w:r>
                                <w:rPr>
                                  <w:rFonts w:ascii="Georgia"/>
                                  <w:spacing w:val="-12"/>
                                  <w:w w:val="105"/>
                                  <w:sz w:val="20"/>
                                </w:rPr>
                                <w:t> </w:t>
                              </w:r>
                              <w:r>
                                <w:rPr>
                                  <w:rFonts w:ascii="Georgia"/>
                                  <w:w w:val="105"/>
                                  <w:sz w:val="20"/>
                                </w:rPr>
                                <w:t>of</w:t>
                              </w:r>
                              <w:r>
                                <w:rPr>
                                  <w:rFonts w:ascii="Georgia"/>
                                  <w:spacing w:val="-12"/>
                                  <w:w w:val="105"/>
                                  <w:sz w:val="20"/>
                                </w:rPr>
                                <w:t> </w:t>
                              </w:r>
                              <w:r>
                                <w:rPr>
                                  <w:rFonts w:ascii="Georgia"/>
                                  <w:w w:val="105"/>
                                  <w:sz w:val="20"/>
                                </w:rPr>
                                <w:t>rights</w:t>
                              </w:r>
                              <w:r>
                                <w:rPr>
                                  <w:rFonts w:ascii="Georgia"/>
                                  <w:spacing w:val="-12"/>
                                  <w:w w:val="105"/>
                                  <w:sz w:val="20"/>
                                </w:rPr>
                                <w:t> </w:t>
                              </w:r>
                              <w:r>
                                <w:rPr>
                                  <w:rFonts w:ascii="Georgia"/>
                                  <w:w w:val="105"/>
                                  <w:sz w:val="20"/>
                                </w:rPr>
                                <w:t>in</w:t>
                              </w:r>
                              <w:r>
                                <w:rPr>
                                  <w:rFonts w:ascii="Georgia"/>
                                  <w:spacing w:val="-12"/>
                                  <w:w w:val="105"/>
                                  <w:sz w:val="20"/>
                                </w:rPr>
                                <w:t> </w:t>
                              </w:r>
                              <w:r>
                                <w:rPr>
                                  <w:rFonts w:ascii="Georgia"/>
                                  <w:w w:val="105"/>
                                  <w:sz w:val="20"/>
                                </w:rPr>
                                <w:t>state </w:t>
                              </w:r>
                              <w:r>
                                <w:rPr>
                                  <w:rFonts w:ascii="Georgia"/>
                                  <w:spacing w:val="-4"/>
                                  <w:w w:val="105"/>
                                  <w:sz w:val="20"/>
                                </w:rPr>
                                <w:t>law.</w:t>
                              </w:r>
                            </w:p>
                            <w:p>
                              <w:pPr>
                                <w:spacing w:line="240" w:lineRule="auto" w:before="176"/>
                                <w:rPr>
                                  <w:rFonts w:ascii="Georgia"/>
                                  <w:sz w:val="20"/>
                                </w:rPr>
                              </w:pPr>
                            </w:p>
                            <w:p>
                              <w:pPr>
                                <w:spacing w:line="278" w:lineRule="auto" w:before="1"/>
                                <w:ind w:left="1147" w:right="0" w:firstLine="0"/>
                                <w:jc w:val="left"/>
                                <w:rPr>
                                  <w:rFonts w:ascii="Georgia"/>
                                  <w:sz w:val="20"/>
                                </w:rPr>
                              </w:pPr>
                              <w:r>
                                <w:rPr>
                                  <w:rFonts w:ascii="Georgia"/>
                                  <w:w w:val="105"/>
                                  <w:sz w:val="20"/>
                                </w:rPr>
                                <w:t>Improve Massachusetts child abuse laws to explicitly</w:t>
                              </w:r>
                              <w:r>
                                <w:rPr>
                                  <w:rFonts w:ascii="Georgia"/>
                                  <w:spacing w:val="-13"/>
                                  <w:w w:val="105"/>
                                  <w:sz w:val="20"/>
                                </w:rPr>
                                <w:t> </w:t>
                              </w:r>
                              <w:r>
                                <w:rPr>
                                  <w:rFonts w:ascii="Georgia"/>
                                  <w:w w:val="105"/>
                                  <w:sz w:val="20"/>
                                </w:rPr>
                                <w:t>include</w:t>
                              </w:r>
                              <w:r>
                                <w:rPr>
                                  <w:rFonts w:ascii="Georgia"/>
                                  <w:spacing w:val="-13"/>
                                  <w:w w:val="105"/>
                                  <w:sz w:val="20"/>
                                </w:rPr>
                                <w:t> </w:t>
                              </w:r>
                              <w:r>
                                <w:rPr>
                                  <w:rFonts w:ascii="Georgia"/>
                                  <w:w w:val="105"/>
                                  <w:sz w:val="20"/>
                                </w:rPr>
                                <w:t>the</w:t>
                              </w:r>
                              <w:r>
                                <w:rPr>
                                  <w:rFonts w:ascii="Georgia"/>
                                  <w:spacing w:val="-12"/>
                                  <w:w w:val="105"/>
                                  <w:sz w:val="20"/>
                                </w:rPr>
                                <w:t> </w:t>
                              </w:r>
                              <w:r>
                                <w:rPr>
                                  <w:rFonts w:ascii="Georgia"/>
                                  <w:w w:val="105"/>
                                  <w:sz w:val="20"/>
                                </w:rPr>
                                <w:t>withholding</w:t>
                              </w:r>
                              <w:r>
                                <w:rPr>
                                  <w:rFonts w:ascii="Georgia"/>
                                  <w:spacing w:val="-13"/>
                                  <w:w w:val="105"/>
                                  <w:sz w:val="20"/>
                                </w:rPr>
                                <w:t> </w:t>
                              </w:r>
                              <w:r>
                                <w:rPr>
                                  <w:rFonts w:ascii="Georgia"/>
                                  <w:w w:val="105"/>
                                  <w:sz w:val="20"/>
                                </w:rPr>
                                <w:t>of</w:t>
                              </w:r>
                              <w:r>
                                <w:rPr>
                                  <w:rFonts w:ascii="Georgia"/>
                                  <w:spacing w:val="-13"/>
                                  <w:w w:val="105"/>
                                  <w:sz w:val="20"/>
                                </w:rPr>
                                <w:t> </w:t>
                              </w:r>
                              <w:r>
                                <w:rPr>
                                  <w:rFonts w:ascii="Georgia"/>
                                  <w:w w:val="105"/>
                                  <w:sz w:val="20"/>
                                </w:rPr>
                                <w:t>gender- affirming care for LGBTQ youth.</w:t>
                              </w:r>
                            </w:p>
                            <w:p>
                              <w:pPr>
                                <w:spacing w:line="240" w:lineRule="auto" w:before="148"/>
                                <w:rPr>
                                  <w:rFonts w:ascii="Georgia"/>
                                  <w:sz w:val="20"/>
                                </w:rPr>
                              </w:pPr>
                            </w:p>
                            <w:p>
                              <w:pPr>
                                <w:spacing w:line="278" w:lineRule="auto" w:before="1"/>
                                <w:ind w:left="1147" w:right="289" w:firstLine="0"/>
                                <w:jc w:val="left"/>
                                <w:rPr>
                                  <w:rFonts w:ascii="Georgia"/>
                                  <w:sz w:val="20"/>
                                </w:rPr>
                              </w:pPr>
                              <w:r>
                                <w:rPr>
                                  <w:rFonts w:ascii="Georgia"/>
                                  <w:w w:val="105"/>
                                  <w:sz w:val="20"/>
                                </w:rPr>
                                <w:t>Create</w:t>
                              </w:r>
                              <w:r>
                                <w:rPr>
                                  <w:rFonts w:ascii="Georgia"/>
                                  <w:spacing w:val="-13"/>
                                  <w:w w:val="105"/>
                                  <w:sz w:val="20"/>
                                </w:rPr>
                                <w:t> </w:t>
                              </w:r>
                              <w:r>
                                <w:rPr>
                                  <w:rFonts w:ascii="Georgia"/>
                                  <w:w w:val="105"/>
                                  <w:sz w:val="20"/>
                                </w:rPr>
                                <w:t>a</w:t>
                              </w:r>
                              <w:r>
                                <w:rPr>
                                  <w:rFonts w:ascii="Georgia"/>
                                  <w:spacing w:val="-13"/>
                                  <w:w w:val="105"/>
                                  <w:sz w:val="20"/>
                                </w:rPr>
                                <w:t> </w:t>
                              </w:r>
                              <w:r>
                                <w:rPr>
                                  <w:rFonts w:ascii="Georgia"/>
                                  <w:w w:val="105"/>
                                  <w:sz w:val="20"/>
                                </w:rPr>
                                <w:t>program</w:t>
                              </w:r>
                              <w:r>
                                <w:rPr>
                                  <w:rFonts w:ascii="Georgia"/>
                                  <w:spacing w:val="-12"/>
                                  <w:w w:val="105"/>
                                  <w:sz w:val="20"/>
                                </w:rPr>
                                <w:t> </w:t>
                              </w:r>
                              <w:r>
                                <w:rPr>
                                  <w:rFonts w:ascii="Georgia"/>
                                  <w:w w:val="105"/>
                                  <w:sz w:val="20"/>
                                </w:rPr>
                                <w:t>for</w:t>
                              </w:r>
                              <w:r>
                                <w:rPr>
                                  <w:rFonts w:ascii="Georgia"/>
                                  <w:spacing w:val="-13"/>
                                  <w:w w:val="105"/>
                                  <w:sz w:val="20"/>
                                </w:rPr>
                                <w:t> </w:t>
                              </w:r>
                              <w:r>
                                <w:rPr>
                                  <w:rFonts w:ascii="Georgia"/>
                                  <w:w w:val="105"/>
                                  <w:sz w:val="20"/>
                                </w:rPr>
                                <w:t>universal</w:t>
                              </w:r>
                              <w:r>
                                <w:rPr>
                                  <w:rFonts w:ascii="Georgia"/>
                                  <w:spacing w:val="-13"/>
                                  <w:w w:val="105"/>
                                  <w:sz w:val="20"/>
                                </w:rPr>
                                <w:t> </w:t>
                              </w:r>
                              <w:r>
                                <w:rPr>
                                  <w:rFonts w:ascii="Georgia"/>
                                  <w:w w:val="105"/>
                                  <w:sz w:val="20"/>
                                </w:rPr>
                                <w:t>basic</w:t>
                              </w:r>
                              <w:r>
                                <w:rPr>
                                  <w:rFonts w:ascii="Georgia"/>
                                  <w:spacing w:val="-12"/>
                                  <w:w w:val="105"/>
                                  <w:sz w:val="20"/>
                                </w:rPr>
                                <w:t> </w:t>
                              </w:r>
                              <w:r>
                                <w:rPr>
                                  <w:rFonts w:ascii="Georgia"/>
                                  <w:w w:val="105"/>
                                  <w:sz w:val="20"/>
                                </w:rPr>
                                <w:t>income for foster care youth.</w:t>
                              </w:r>
                            </w:p>
                          </w:txbxContent>
                        </wps:txbx>
                        <wps:bodyPr wrap="square" lIns="0" tIns="0" rIns="0" bIns="0" rtlCol="0">
                          <a:noAutofit/>
                        </wps:bodyPr>
                      </wps:wsp>
                    </wpg:wgp>
                  </a:graphicData>
                </a:graphic>
              </wp:anchor>
            </w:drawing>
          </mc:Choice>
          <mc:Fallback>
            <w:pict>
              <v:group style="position:absolute;margin-left:52.080006pt;margin-top:44.291882pt;width:273.5pt;height:177.3pt;mso-position-horizontal-relative:page;mso-position-vertical-relative:paragraph;z-index:15740928" id="docshapegroup78" coordorigin="1042,886" coordsize="5470,3546">
                <v:shape style="position:absolute;left:1041;top:885;width:5470;height:3546" id="docshape79" coordorigin="1042,886" coordsize="5470,3546" path="m5945,4431l1612,4431,1534,4426,1460,4410,1390,4386,1324,4353,1263,4312,1209,4264,1160,4209,1119,4149,1086,4083,1062,4012,1047,3938,1042,3861,1042,1456,1047,1378,1062,1304,1086,1234,1119,1168,1160,1108,1209,1053,1263,1005,1324,964,1390,931,1460,906,1534,891,1612,886,5945,886,6023,891,6097,906,6167,931,6233,964,6293,1005,6348,1053,6396,1108,6437,1168,6470,1234,6495,1304,6510,1378,6511,1400,6511,3916,6495,4012,6470,4083,6437,4149,6396,4209,6348,4264,6293,4312,6233,4353,6167,4386,6097,4410,6023,4426,5945,4431xe" filled="true" fillcolor="#ffafc7" stroked="false">
                  <v:path arrowok="t"/>
                  <v:fill opacity="36700f" type="solid"/>
                </v:shape>
                <v:shape style="position:absolute;left:1331;top:1490;width:764;height:764" id="docshape80" coordorigin="1331,1490" coordsize="764,764" path="m2053,1861l2053,1850,2051,1828,2049,1817,2045,1795,2042,1784,2035,1762,2032,1752,2023,1731,2018,1721,2008,1702,2002,1692,1990,1674,1983,1665,1969,1647,1961,1639,1946,1623,1937,1616,1920,1602,1911,1595,1893,1583,1883,1577,1863,1566,1853,1562,1833,1553,1822,1549,1801,1543,1790,1540,1768,1536,1757,1534,1735,1532,1724,1531,1702,1531,1690,1532,1668,1534,1657,1536,1635,1540,1625,1543,1603,1549,1593,1553,1572,1562,1562,1566,1542,1577,1533,1583,1514,1595,1505,1602,1488,1616,1480,1623,1464,1639,1457,1647,1442,1665,1436,1674,1423,1692,1418,1702,1407,1721,1402,1731,1394,1752,1390,1762,1384,1784,1381,1795,1377,1817,1375,1828,1373,1850,1372,1861,1372,1883,1373,1894,1375,1916,1377,1927,1381,1949,1384,1960,1390,1982,1394,1992,1402,2013,1407,2023,1418,2042,1423,2052,1436,2070,1442,2079,1457,2097,1464,2105,1480,2121,1488,2128,1505,2142,1514,2149,1533,2161,1542,2167,1562,2178,1572,2182,1593,2191,1603,2195,1625,2201,1635,2204,1657,2208,1668,2210,1690,2212,1702,2213,1724,2213,1735,2212,1757,2210,1768,2208,1790,2204,1801,2201,1822,2195,1833,2191,1853,2182,1863,2178,1883,2167,1893,2161,1911,2149,1920,2142,1937,2128,1946,2121,1961,2105,1969,2097,1983,2079,1990,2070,2002,2052,2008,2042,2018,2023,2023,2013,2032,1992,2035,1982,2042,1960,2045,1949,2049,1927,2051,1916,2053,1894,2053,1883,2053,1872,2053,1861xm2094,1872l2087,1795,2068,1736,2068,1872,2061,1944,2040,2010,2007,2071,1964,2123,1911,2167,1851,2199,1784,2220,1713,2227,1641,2220,1575,2199,1514,2167,1462,2123,1418,2071,1385,2010,1365,1944,1357,1872,1365,1800,1385,1734,1418,1673,1462,1621,1514,1577,1575,1545,1641,1524,1713,1517,1784,1524,1851,1545,1911,1577,1964,1621,2007,1673,2040,1734,2061,1800,2068,1872,2068,1736,2064,1724,2029,1659,1982,1602,1926,1556,1861,1520,1849,1517,1790,1498,1713,1490,1636,1498,1564,1520,1500,1556,1443,1602,1396,1659,1361,1724,1339,1795,1331,1872,1339,1949,1361,2020,1396,2085,1443,2142,1500,2188,1564,2224,1636,2246,1713,2254,1790,2246,1849,2227,1861,2224,1926,2188,1982,2142,2029,2085,2064,2020,2087,1949,2094,1872xe" filled="true" fillcolor="#f4b648" stroked="false">
                  <v:path arrowok="t"/>
                  <v:fill type="solid"/>
                </v:shape>
                <v:shape style="position:absolute;left:1579;top:1643;width:283;height:452" id="docshape81" coordorigin="1580,1644" coordsize="283,452" path="m1862,2096l1585,2095,1585,1981,1621,1981,1629,1978,1639,1964,1642,1957,1642,1801,1580,1801,1580,1700,1644,1685,1665,1644,1807,1644,1806,1962,1862,1982,1862,2096xe" filled="true" fillcolor="#ffffff" stroked="false">
                  <v:path arrowok="t"/>
                  <v:fill type="solid"/>
                </v:shape>
                <v:shape style="position:absolute;left:1331;top:2531;width:761;height:761" id="docshape82" coordorigin="1331,2531" coordsize="761,761" path="m2051,2900l2051,2889,2048,2867,2047,2856,2042,2834,2040,2824,2033,2802,2029,2792,2021,2771,2016,2761,2006,2742,2000,2732,1988,2714,1981,2705,1967,2687,1960,2679,1944,2664,1936,2656,1918,2642,1909,2635,1891,2623,1881,2617,1862,2607,1852,2602,1831,2594,1821,2590,1800,2583,1789,2581,1767,2576,1756,2575,1734,2573,1723,2572,1700,2572,1689,2573,1667,2575,1656,2576,1634,2581,1624,2583,1602,2590,1592,2594,1571,2602,1561,2607,1542,2617,1532,2623,1514,2635,1505,2642,1488,2656,1479,2664,1464,2679,1456,2687,1442,2705,1436,2714,1423,2732,1417,2742,1407,2761,1402,2771,1394,2792,1390,2802,1384,2824,1381,2834,1376,2856,1375,2867,1373,2889,1372,2900,1372,2923,1373,2934,1375,2956,1376,2967,1381,2989,1384,2999,1390,3021,1394,3031,1402,3052,1407,3062,1417,3081,1423,3091,1436,3109,1442,3118,1456,3135,1464,3144,1479,3159,1488,3167,1505,3181,1514,3188,1532,3200,1542,3206,1561,3216,1571,3221,1592,3229,1602,3233,1624,3240,1634,3242,1656,3247,1667,3248,1689,3250,1700,3251,1723,3251,1734,3250,1756,3248,1767,3247,1789,3242,1800,3240,1821,3233,1831,3229,1852,3221,1862,3216,1881,3206,1891,3200,1909,3188,1918,3181,1936,3167,1944,3159,1960,3144,1967,3135,1981,3118,1988,3109,2000,3091,2006,3081,2016,3062,2021,3052,2029,3031,2033,3021,2040,2999,2042,2989,2047,2967,2048,2956,2051,2934,2051,2923,2051,2911,2051,2900xm2092,2911l2084,2835,2066,2776,2066,2911,2059,2983,2038,3049,2005,3109,1962,3162,1910,3205,1849,3238,1783,3259,1712,3266,1640,3259,1574,3238,1514,3205,1461,3162,1418,3109,1385,3049,1364,2983,1357,2911,1364,2840,1385,2774,1418,2713,1461,2661,1514,2618,1574,2585,1640,2564,1712,2557,1783,2564,1849,2585,1910,2618,1962,2661,2005,2713,2038,2774,2059,2840,2066,2911,2066,2776,2062,2764,2027,2699,1980,2643,1924,2596,1860,2561,1847,2557,1788,2539,1712,2531,1635,2539,1564,2561,1499,2596,1443,2643,1396,2699,1361,2764,1339,2835,1331,2911,1339,2988,1361,3059,1396,3124,1443,3180,1499,3227,1564,3262,1635,3284,1712,3292,1788,3284,1847,3266,1860,3262,1924,3227,1980,3180,2027,3124,2062,3059,2084,2988,2092,2911xe" filled="true" fillcolor="#ff66c3" stroked="false">
                  <v:path arrowok="t"/>
                  <v:fill type="solid"/>
                </v:shape>
                <v:shape style="position:absolute;left:1508;top:2665;width:421;height:463" id="docshape83" coordorigin="1509,2665" coordsize="421,463" path="m1786,3128l1719,3118,1647,3099,1635,3098,1580,3121,1510,3121,1516,3059,1540,2996,1587,2940,1643,2903,1687,2880,1697,2875,1749,2830,1753,2808,1751,2795,1696,2755,1668,2754,1655,2755,1633,2759,1623,2763,1613,2768,1625,2772,1636,2778,1657,2836,1608,2877,1542,2866,1509,2812,1509,2798,1533,2732,1583,2693,1656,2670,1723,2665,1747,2666,1811,2676,1875,2706,1920,2762,1927,2803,1926,2819,1903,2881,1854,2917,1791,2939,1737,2953,1723,2957,1661,2983,1613,3027,1607,3039,1612,3041,1616,3036,1622,3030,1692,2991,1704,2989,1731,2989,1742,2990,1760,2993,1768,2994,1804,3002,1811,3003,1869,2974,1869,2955,1929,2955,1923,3029,1897,3090,1843,3123,1801,3127,1786,3128xe" filled="true" fillcolor="#ffffff" stroked="false">
                  <v:path arrowok="t"/>
                  <v:fill type="solid"/>
                </v:shape>
                <v:shape style="position:absolute;left:1331;top:3529;width:779;height:779" id="docshape84" coordorigin="1331,3529" coordsize="779,779" path="m2068,3907l2067,3896,2065,3873,2063,3862,2059,3840,2056,3829,2049,3807,2046,3796,2037,3775,2032,3765,2021,3745,2015,3735,2003,3716,1996,3707,1982,3689,1974,3681,1958,3665,1950,3657,1932,3643,1923,3636,1904,3623,1894,3618,1874,3607,1864,3602,1843,3593,1832,3589,1810,3583,1799,3580,1777,3576,1766,3574,1743,3572,1732,3571,1709,3571,1698,3572,1675,3574,1664,3576,1641,3580,1630,3583,1609,3589,1598,3593,1577,3602,1567,3607,1547,3618,1537,3623,1518,3636,1509,3643,1491,3657,1483,3665,1467,3681,1459,3689,1445,3707,1438,3716,1425,3735,1419,3745,1409,3765,1404,3775,1395,3796,1391,3807,1385,3829,1382,3840,1378,3862,1376,3873,1374,3896,1373,3907,1373,3930,1374,3941,1376,3964,1378,3975,1382,3997,1385,4008,1391,4030,1395,4041,1404,4062,1409,4072,1419,4092,1425,4102,1438,4121,1445,4130,1459,4148,1467,4156,1483,4172,1491,4180,1509,4194,1518,4201,1537,4214,1547,4219,1567,4230,1577,4235,1598,4244,1609,4248,1630,4254,1641,4257,1664,4261,1675,4263,1698,4265,1709,4266,1732,4266,1743,4265,1766,4263,1777,4261,1799,4257,1810,4254,1832,4248,1843,4244,1864,4235,1874,4230,1894,4219,1904,4214,1923,4201,1932,4194,1950,4180,1958,4172,1974,4156,1982,4148,1996,4130,2003,4121,2015,4102,2021,4092,2032,4072,2037,4062,2046,4041,2049,4030,2056,4008,2059,3997,2063,3975,2065,3964,2067,3941,2068,3930,2068,3918,2068,3907xm2110,3918l2102,3840,2083,3780,2083,3918,2076,3991,2054,4059,2021,4121,1977,4175,1923,4219,1861,4252,1793,4274,1720,4281,1647,4274,1579,4252,1518,4219,1464,4175,1420,4121,1386,4059,1365,3991,1358,3918,1365,3846,1386,3778,1420,3716,1464,3662,1518,3618,1579,3585,1647,3563,1720,3556,1793,3563,1861,3585,1923,3618,1977,3662,2021,3716,2054,3778,2076,3846,2083,3918,2083,3780,2079,3767,2043,3701,1995,3643,1938,3596,1872,3560,1859,3556,1799,3537,1720,3529,1642,3537,1569,3560,1503,3596,1445,3643,1398,3701,1362,3767,1339,3840,1331,3918,1339,3997,1362,4070,1398,4136,1445,4194,1503,4241,1569,4277,1642,4300,1720,4308,1799,4300,1859,4281,1872,4277,1938,4241,1995,4194,2043,4136,2079,4070,2102,3997,2110,3918xe" filled="true" fillcolor="#9a2f59" stroked="false">
                  <v:path arrowok="t"/>
                  <v:fill type="solid"/>
                </v:shape>
                <v:shape style="position:absolute;left:1498;top:3666;width:454;height:480" id="docshape85" coordorigin="1498,3667" coordsize="454,480" path="m1721,4146l1640,4139,1579,4118,1525,4078,1499,4015,1498,4002,1498,3988,1530,3929,1569,3914,1595,3914,1649,3946,1639,4014,1604,4034,1621,4042,1641,4048,1664,4052,1689,4053,1709,4052,1768,4017,1774,3979,1772,3970,1720,3933,1681,3932,1681,3864,1741,3856,1765,3803,1763,3794,1711,3758,1692,3757,1677,3758,1621,3777,1625,3778,1630,3779,1664,3837,1611,3879,1544,3866,1512,3810,1512,3797,1535,3732,1583,3694,1656,3671,1723,3667,1744,3667,1822,3677,1887,3702,1929,3746,1939,3792,1938,3813,1899,3874,1835,3897,1835,3901,1902,3922,1944,3969,1951,4015,1951,4027,1924,4083,1869,4120,1806,4139,1751,4145,1721,4146xe" filled="true" fillcolor="#ffffff" stroked="false">
                  <v:path arrowok="t"/>
                  <v:fill type="solid"/>
                </v:shape>
                <v:shape style="position:absolute;left:1041;top:885;width:5470;height:3546" type="#_x0000_t202" id="docshape86" filled="false" stroked="false">
                  <v:textbox inset="0,0,0,0">
                    <w:txbxContent>
                      <w:p>
                        <w:pPr>
                          <w:spacing w:before="173"/>
                          <w:ind w:left="202" w:right="0" w:firstLine="0"/>
                          <w:jc w:val="left"/>
                          <w:rPr>
                            <w:b/>
                            <w:i/>
                            <w:sz w:val="34"/>
                          </w:rPr>
                        </w:pPr>
                        <w:r>
                          <w:rPr>
                            <w:b/>
                            <w:i/>
                            <w:spacing w:val="13"/>
                            <w:w w:val="125"/>
                            <w:sz w:val="34"/>
                          </w:rPr>
                          <w:t>RECOMMENDATIONS</w:t>
                        </w:r>
                      </w:p>
                      <w:p>
                        <w:pPr>
                          <w:spacing w:line="278" w:lineRule="auto" w:before="108"/>
                          <w:ind w:left="1147" w:right="289" w:firstLine="0"/>
                          <w:jc w:val="left"/>
                          <w:rPr>
                            <w:rFonts w:ascii="Georgia"/>
                            <w:sz w:val="20"/>
                          </w:rPr>
                        </w:pPr>
                        <w:r>
                          <w:rPr>
                            <w:rFonts w:ascii="Georgia"/>
                            <w:w w:val="105"/>
                            <w:sz w:val="20"/>
                          </w:rPr>
                          <w:t>Codify</w:t>
                        </w:r>
                        <w:r>
                          <w:rPr>
                            <w:rFonts w:ascii="Georgia"/>
                            <w:spacing w:val="-12"/>
                            <w:w w:val="105"/>
                            <w:sz w:val="20"/>
                          </w:rPr>
                          <w:t> </w:t>
                        </w:r>
                        <w:r>
                          <w:rPr>
                            <w:rFonts w:ascii="Georgia"/>
                            <w:w w:val="105"/>
                            <w:sz w:val="20"/>
                          </w:rPr>
                          <w:t>the</w:t>
                        </w:r>
                        <w:r>
                          <w:rPr>
                            <w:rFonts w:ascii="Georgia"/>
                            <w:spacing w:val="-12"/>
                            <w:w w:val="105"/>
                            <w:sz w:val="20"/>
                          </w:rPr>
                          <w:t> </w:t>
                        </w:r>
                        <w:r>
                          <w:rPr>
                            <w:rFonts w:ascii="Georgia"/>
                            <w:w w:val="105"/>
                            <w:sz w:val="20"/>
                          </w:rPr>
                          <w:t>foster</w:t>
                        </w:r>
                        <w:r>
                          <w:rPr>
                            <w:rFonts w:ascii="Georgia"/>
                            <w:spacing w:val="-12"/>
                            <w:w w:val="105"/>
                            <w:sz w:val="20"/>
                          </w:rPr>
                          <w:t> </w:t>
                        </w:r>
                        <w:r>
                          <w:rPr>
                            <w:rFonts w:ascii="Georgia"/>
                            <w:w w:val="105"/>
                            <w:sz w:val="20"/>
                          </w:rPr>
                          <w:t>child</w:t>
                        </w:r>
                        <w:r>
                          <w:rPr>
                            <w:rFonts w:ascii="Georgia"/>
                            <w:spacing w:val="-12"/>
                            <w:w w:val="105"/>
                            <w:sz w:val="20"/>
                          </w:rPr>
                          <w:t> </w:t>
                        </w:r>
                        <w:r>
                          <w:rPr>
                            <w:rFonts w:ascii="Georgia"/>
                            <w:w w:val="105"/>
                            <w:sz w:val="20"/>
                          </w:rPr>
                          <w:t>bill</w:t>
                        </w:r>
                        <w:r>
                          <w:rPr>
                            <w:rFonts w:ascii="Georgia"/>
                            <w:spacing w:val="-12"/>
                            <w:w w:val="105"/>
                            <w:sz w:val="20"/>
                          </w:rPr>
                          <w:t> </w:t>
                        </w:r>
                        <w:r>
                          <w:rPr>
                            <w:rFonts w:ascii="Georgia"/>
                            <w:w w:val="105"/>
                            <w:sz w:val="20"/>
                          </w:rPr>
                          <w:t>of</w:t>
                        </w:r>
                        <w:r>
                          <w:rPr>
                            <w:rFonts w:ascii="Georgia"/>
                            <w:spacing w:val="-12"/>
                            <w:w w:val="105"/>
                            <w:sz w:val="20"/>
                          </w:rPr>
                          <w:t> </w:t>
                        </w:r>
                        <w:r>
                          <w:rPr>
                            <w:rFonts w:ascii="Georgia"/>
                            <w:w w:val="105"/>
                            <w:sz w:val="20"/>
                          </w:rPr>
                          <w:t>rights</w:t>
                        </w:r>
                        <w:r>
                          <w:rPr>
                            <w:rFonts w:ascii="Georgia"/>
                            <w:spacing w:val="-12"/>
                            <w:w w:val="105"/>
                            <w:sz w:val="20"/>
                          </w:rPr>
                          <w:t> </w:t>
                        </w:r>
                        <w:r>
                          <w:rPr>
                            <w:rFonts w:ascii="Georgia"/>
                            <w:w w:val="105"/>
                            <w:sz w:val="20"/>
                          </w:rPr>
                          <w:t>in</w:t>
                        </w:r>
                        <w:r>
                          <w:rPr>
                            <w:rFonts w:ascii="Georgia"/>
                            <w:spacing w:val="-12"/>
                            <w:w w:val="105"/>
                            <w:sz w:val="20"/>
                          </w:rPr>
                          <w:t> </w:t>
                        </w:r>
                        <w:r>
                          <w:rPr>
                            <w:rFonts w:ascii="Georgia"/>
                            <w:w w:val="105"/>
                            <w:sz w:val="20"/>
                          </w:rPr>
                          <w:t>state </w:t>
                        </w:r>
                        <w:r>
                          <w:rPr>
                            <w:rFonts w:ascii="Georgia"/>
                            <w:spacing w:val="-4"/>
                            <w:w w:val="105"/>
                            <w:sz w:val="20"/>
                          </w:rPr>
                          <w:t>law.</w:t>
                        </w:r>
                      </w:p>
                      <w:p>
                        <w:pPr>
                          <w:spacing w:line="240" w:lineRule="auto" w:before="176"/>
                          <w:rPr>
                            <w:rFonts w:ascii="Georgia"/>
                            <w:sz w:val="20"/>
                          </w:rPr>
                        </w:pPr>
                      </w:p>
                      <w:p>
                        <w:pPr>
                          <w:spacing w:line="278" w:lineRule="auto" w:before="1"/>
                          <w:ind w:left="1147" w:right="0" w:firstLine="0"/>
                          <w:jc w:val="left"/>
                          <w:rPr>
                            <w:rFonts w:ascii="Georgia"/>
                            <w:sz w:val="20"/>
                          </w:rPr>
                        </w:pPr>
                        <w:r>
                          <w:rPr>
                            <w:rFonts w:ascii="Georgia"/>
                            <w:w w:val="105"/>
                            <w:sz w:val="20"/>
                          </w:rPr>
                          <w:t>Improve Massachusetts child abuse laws to explicitly</w:t>
                        </w:r>
                        <w:r>
                          <w:rPr>
                            <w:rFonts w:ascii="Georgia"/>
                            <w:spacing w:val="-13"/>
                            <w:w w:val="105"/>
                            <w:sz w:val="20"/>
                          </w:rPr>
                          <w:t> </w:t>
                        </w:r>
                        <w:r>
                          <w:rPr>
                            <w:rFonts w:ascii="Georgia"/>
                            <w:w w:val="105"/>
                            <w:sz w:val="20"/>
                          </w:rPr>
                          <w:t>include</w:t>
                        </w:r>
                        <w:r>
                          <w:rPr>
                            <w:rFonts w:ascii="Georgia"/>
                            <w:spacing w:val="-13"/>
                            <w:w w:val="105"/>
                            <w:sz w:val="20"/>
                          </w:rPr>
                          <w:t> </w:t>
                        </w:r>
                        <w:r>
                          <w:rPr>
                            <w:rFonts w:ascii="Georgia"/>
                            <w:w w:val="105"/>
                            <w:sz w:val="20"/>
                          </w:rPr>
                          <w:t>the</w:t>
                        </w:r>
                        <w:r>
                          <w:rPr>
                            <w:rFonts w:ascii="Georgia"/>
                            <w:spacing w:val="-12"/>
                            <w:w w:val="105"/>
                            <w:sz w:val="20"/>
                          </w:rPr>
                          <w:t> </w:t>
                        </w:r>
                        <w:r>
                          <w:rPr>
                            <w:rFonts w:ascii="Georgia"/>
                            <w:w w:val="105"/>
                            <w:sz w:val="20"/>
                          </w:rPr>
                          <w:t>withholding</w:t>
                        </w:r>
                        <w:r>
                          <w:rPr>
                            <w:rFonts w:ascii="Georgia"/>
                            <w:spacing w:val="-13"/>
                            <w:w w:val="105"/>
                            <w:sz w:val="20"/>
                          </w:rPr>
                          <w:t> </w:t>
                        </w:r>
                        <w:r>
                          <w:rPr>
                            <w:rFonts w:ascii="Georgia"/>
                            <w:w w:val="105"/>
                            <w:sz w:val="20"/>
                          </w:rPr>
                          <w:t>of</w:t>
                        </w:r>
                        <w:r>
                          <w:rPr>
                            <w:rFonts w:ascii="Georgia"/>
                            <w:spacing w:val="-13"/>
                            <w:w w:val="105"/>
                            <w:sz w:val="20"/>
                          </w:rPr>
                          <w:t> </w:t>
                        </w:r>
                        <w:r>
                          <w:rPr>
                            <w:rFonts w:ascii="Georgia"/>
                            <w:w w:val="105"/>
                            <w:sz w:val="20"/>
                          </w:rPr>
                          <w:t>gender- affirming care for LGBTQ youth.</w:t>
                        </w:r>
                      </w:p>
                      <w:p>
                        <w:pPr>
                          <w:spacing w:line="240" w:lineRule="auto" w:before="148"/>
                          <w:rPr>
                            <w:rFonts w:ascii="Georgia"/>
                            <w:sz w:val="20"/>
                          </w:rPr>
                        </w:pPr>
                      </w:p>
                      <w:p>
                        <w:pPr>
                          <w:spacing w:line="278" w:lineRule="auto" w:before="1"/>
                          <w:ind w:left="1147" w:right="289" w:firstLine="0"/>
                          <w:jc w:val="left"/>
                          <w:rPr>
                            <w:rFonts w:ascii="Georgia"/>
                            <w:sz w:val="20"/>
                          </w:rPr>
                        </w:pPr>
                        <w:r>
                          <w:rPr>
                            <w:rFonts w:ascii="Georgia"/>
                            <w:w w:val="105"/>
                            <w:sz w:val="20"/>
                          </w:rPr>
                          <w:t>Create</w:t>
                        </w:r>
                        <w:r>
                          <w:rPr>
                            <w:rFonts w:ascii="Georgia"/>
                            <w:spacing w:val="-13"/>
                            <w:w w:val="105"/>
                            <w:sz w:val="20"/>
                          </w:rPr>
                          <w:t> </w:t>
                        </w:r>
                        <w:r>
                          <w:rPr>
                            <w:rFonts w:ascii="Georgia"/>
                            <w:w w:val="105"/>
                            <w:sz w:val="20"/>
                          </w:rPr>
                          <w:t>a</w:t>
                        </w:r>
                        <w:r>
                          <w:rPr>
                            <w:rFonts w:ascii="Georgia"/>
                            <w:spacing w:val="-13"/>
                            <w:w w:val="105"/>
                            <w:sz w:val="20"/>
                          </w:rPr>
                          <w:t> </w:t>
                        </w:r>
                        <w:r>
                          <w:rPr>
                            <w:rFonts w:ascii="Georgia"/>
                            <w:w w:val="105"/>
                            <w:sz w:val="20"/>
                          </w:rPr>
                          <w:t>program</w:t>
                        </w:r>
                        <w:r>
                          <w:rPr>
                            <w:rFonts w:ascii="Georgia"/>
                            <w:spacing w:val="-12"/>
                            <w:w w:val="105"/>
                            <w:sz w:val="20"/>
                          </w:rPr>
                          <w:t> </w:t>
                        </w:r>
                        <w:r>
                          <w:rPr>
                            <w:rFonts w:ascii="Georgia"/>
                            <w:w w:val="105"/>
                            <w:sz w:val="20"/>
                          </w:rPr>
                          <w:t>for</w:t>
                        </w:r>
                        <w:r>
                          <w:rPr>
                            <w:rFonts w:ascii="Georgia"/>
                            <w:spacing w:val="-13"/>
                            <w:w w:val="105"/>
                            <w:sz w:val="20"/>
                          </w:rPr>
                          <w:t> </w:t>
                        </w:r>
                        <w:r>
                          <w:rPr>
                            <w:rFonts w:ascii="Georgia"/>
                            <w:w w:val="105"/>
                            <w:sz w:val="20"/>
                          </w:rPr>
                          <w:t>universal</w:t>
                        </w:r>
                        <w:r>
                          <w:rPr>
                            <w:rFonts w:ascii="Georgia"/>
                            <w:spacing w:val="-13"/>
                            <w:w w:val="105"/>
                            <w:sz w:val="20"/>
                          </w:rPr>
                          <w:t> </w:t>
                        </w:r>
                        <w:r>
                          <w:rPr>
                            <w:rFonts w:ascii="Georgia"/>
                            <w:w w:val="105"/>
                            <w:sz w:val="20"/>
                          </w:rPr>
                          <w:t>basic</w:t>
                        </w:r>
                        <w:r>
                          <w:rPr>
                            <w:rFonts w:ascii="Georgia"/>
                            <w:spacing w:val="-12"/>
                            <w:w w:val="105"/>
                            <w:sz w:val="20"/>
                          </w:rPr>
                          <w:t> </w:t>
                        </w:r>
                        <w:r>
                          <w:rPr>
                            <w:rFonts w:ascii="Georgia"/>
                            <w:w w:val="105"/>
                            <w:sz w:val="20"/>
                          </w:rPr>
                          <w:t>income for foster care youth.</w:t>
                        </w:r>
                      </w:p>
                    </w:txbxContent>
                  </v:textbox>
                  <w10:wrap type="none"/>
                </v:shape>
                <w10:wrap type="none"/>
              </v:group>
            </w:pict>
          </mc:Fallback>
        </mc:AlternateContent>
      </w:r>
      <w:r>
        <w:rPr>
          <w:rFonts w:ascii="Georgia"/>
        </w:rPr>
        <w:t>of Massachusetts transgender and </w:t>
      </w:r>
      <w:r>
        <w:rPr>
          <w:rFonts w:ascii="Georgia"/>
          <w:w w:val="105"/>
        </w:rPr>
        <w:t>nonbinary youth seriously contemplated suicide</w:t>
      </w:r>
    </w:p>
    <w:p>
      <w:pPr>
        <w:pStyle w:val="Heading3"/>
        <w:spacing w:before="155"/>
        <w:ind w:left="1332"/>
      </w:pPr>
      <w:r>
        <w:rPr>
          <w:emboss/>
          <w:color w:val="FF66C3"/>
          <w:spacing w:val="19"/>
          <w:w w:val="90"/>
        </w:rPr>
        <w:t>510</w:t>
      </w:r>
    </w:p>
    <w:p>
      <w:pPr>
        <w:pStyle w:val="BodyText"/>
        <w:spacing w:line="266" w:lineRule="auto" w:before="23"/>
        <w:ind w:left="321" w:right="181" w:hanging="1"/>
        <w:jc w:val="center"/>
        <w:rPr>
          <w:rFonts w:ascii="Georgia"/>
        </w:rPr>
      </w:pPr>
      <w:r>
        <w:rPr>
          <w:rFonts w:ascii="Georgia"/>
          <w:w w:val="105"/>
        </w:rPr>
        <w:t>Anti-LGBTQ laws have been </w:t>
      </w:r>
      <w:r>
        <w:rPr>
          <w:rFonts w:ascii="Georgia"/>
        </w:rPr>
        <w:t>introduced</w:t>
      </w:r>
      <w:r>
        <w:rPr>
          <w:rFonts w:ascii="Georgia"/>
          <w:spacing w:val="-3"/>
        </w:rPr>
        <w:t> </w:t>
      </w:r>
      <w:r>
        <w:rPr>
          <w:rFonts w:ascii="Georgia"/>
        </w:rPr>
        <w:t>as</w:t>
      </w:r>
      <w:r>
        <w:rPr>
          <w:rFonts w:ascii="Georgia"/>
          <w:spacing w:val="-3"/>
        </w:rPr>
        <w:t> </w:t>
      </w:r>
      <w:r>
        <w:rPr>
          <w:rFonts w:ascii="Georgia"/>
        </w:rPr>
        <w:t>of</w:t>
      </w:r>
      <w:r>
        <w:rPr>
          <w:rFonts w:ascii="Georgia"/>
          <w:spacing w:val="40"/>
        </w:rPr>
        <w:t> </w:t>
      </w:r>
      <w:r>
        <w:rPr>
          <w:rFonts w:ascii="Georgia"/>
        </w:rPr>
        <w:t>2023,</w:t>
      </w:r>
      <w:r>
        <w:rPr>
          <w:rFonts w:ascii="Georgia"/>
          <w:spacing w:val="-3"/>
        </w:rPr>
        <w:t> </w:t>
      </w:r>
      <w:r>
        <w:rPr>
          <w:rFonts w:ascii="Georgia"/>
        </w:rPr>
        <w:t>specifically </w:t>
      </w:r>
      <w:r>
        <w:rPr>
          <w:rFonts w:ascii="Georgia"/>
          <w:w w:val="105"/>
        </w:rPr>
        <w:t>targeting LGBTQ youth</w:t>
      </w:r>
    </w:p>
    <w:p>
      <w:pPr>
        <w:spacing w:after="0" w:line="266" w:lineRule="auto"/>
        <w:jc w:val="center"/>
        <w:rPr>
          <w:rFonts w:ascii="Georgia"/>
        </w:rPr>
        <w:sectPr>
          <w:type w:val="continuous"/>
          <w:pgSz w:w="12240" w:h="15840"/>
          <w:pgMar w:header="0" w:footer="0" w:top="1420" w:bottom="280" w:left="940" w:right="1320"/>
          <w:cols w:num="2" w:equalWidth="0">
            <w:col w:w="5414" w:space="679"/>
            <w:col w:w="3887"/>
          </w:cols>
        </w:sectPr>
      </w:pPr>
    </w:p>
    <w:p>
      <w:pPr>
        <w:pStyle w:val="BodyText"/>
        <w:rPr>
          <w:rFonts w:ascii="Georgia"/>
          <w:sz w:val="20"/>
        </w:rPr>
      </w:pPr>
      <w:r>
        <w:rPr/>
        <mc:AlternateContent>
          <mc:Choice Requires="wps">
            <w:drawing>
              <wp:anchor distT="0" distB="0" distL="0" distR="0" allowOverlap="1" layoutInCell="1" locked="0" behindDoc="1" simplePos="0" relativeHeight="482562048">
                <wp:simplePos x="0" y="0"/>
                <wp:positionH relativeFrom="page">
                  <wp:posOffset>0</wp:posOffset>
                </wp:positionH>
                <wp:positionV relativeFrom="page">
                  <wp:posOffset>0</wp:posOffset>
                </wp:positionV>
                <wp:extent cx="7772400" cy="563181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772400" cy="5631815"/>
                          <a:chExt cx="7772400" cy="5631815"/>
                        </a:xfrm>
                      </wpg:grpSpPr>
                      <pic:pic>
                        <pic:nvPicPr>
                          <pic:cNvPr id="105" name="Image 105"/>
                          <pic:cNvPicPr/>
                        </pic:nvPicPr>
                        <pic:blipFill>
                          <a:blip r:embed="rId97" cstate="print"/>
                          <a:stretch>
                            <a:fillRect/>
                          </a:stretch>
                        </pic:blipFill>
                        <pic:spPr>
                          <a:xfrm>
                            <a:off x="0" y="0"/>
                            <a:ext cx="7772399" cy="3186465"/>
                          </a:xfrm>
                          <a:prstGeom prst="rect">
                            <a:avLst/>
                          </a:prstGeom>
                        </pic:spPr>
                      </pic:pic>
                      <pic:pic>
                        <pic:nvPicPr>
                          <pic:cNvPr id="106" name="Image 106"/>
                          <pic:cNvPicPr/>
                        </pic:nvPicPr>
                        <pic:blipFill>
                          <a:blip r:embed="rId98" cstate="print"/>
                          <a:stretch>
                            <a:fillRect/>
                          </a:stretch>
                        </pic:blipFill>
                        <pic:spPr>
                          <a:xfrm>
                            <a:off x="4978374" y="735420"/>
                            <a:ext cx="1480888" cy="1480632"/>
                          </a:xfrm>
                          <a:prstGeom prst="rect">
                            <a:avLst/>
                          </a:prstGeom>
                        </pic:spPr>
                      </pic:pic>
                      <wps:wsp>
                        <wps:cNvPr id="107" name="Graphic 107"/>
                        <wps:cNvSpPr/>
                        <wps:spPr>
                          <a:xfrm>
                            <a:off x="4964629" y="721666"/>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655211" y="2933569"/>
                            <a:ext cx="3475990" cy="2697480"/>
                          </a:xfrm>
                          <a:custGeom>
                            <a:avLst/>
                            <a:gdLst/>
                            <a:ahLst/>
                            <a:cxnLst/>
                            <a:rect l="l" t="t" r="r" b="b"/>
                            <a:pathLst>
                              <a:path w="3475990" h="2697480">
                                <a:moveTo>
                                  <a:pt x="3113778" y="2696863"/>
                                </a:moveTo>
                                <a:lnTo>
                                  <a:pt x="361949" y="2696863"/>
                                </a:lnTo>
                                <a:lnTo>
                                  <a:pt x="312835" y="2693559"/>
                                </a:lnTo>
                                <a:lnTo>
                                  <a:pt x="265729" y="2683934"/>
                                </a:lnTo>
                                <a:lnTo>
                                  <a:pt x="221062" y="2668419"/>
                                </a:lnTo>
                                <a:lnTo>
                                  <a:pt x="179266" y="2647447"/>
                                </a:lnTo>
                                <a:lnTo>
                                  <a:pt x="140773" y="2621446"/>
                                </a:lnTo>
                                <a:lnTo>
                                  <a:pt x="106012" y="2590851"/>
                                </a:lnTo>
                                <a:lnTo>
                                  <a:pt x="75416" y="2556090"/>
                                </a:lnTo>
                                <a:lnTo>
                                  <a:pt x="49416" y="2517596"/>
                                </a:lnTo>
                                <a:lnTo>
                                  <a:pt x="28443" y="2475801"/>
                                </a:lnTo>
                                <a:lnTo>
                                  <a:pt x="12929" y="2431134"/>
                                </a:lnTo>
                                <a:lnTo>
                                  <a:pt x="3304" y="2384028"/>
                                </a:lnTo>
                                <a:lnTo>
                                  <a:pt x="0" y="2334913"/>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13778" y="0"/>
                                </a:lnTo>
                                <a:lnTo>
                                  <a:pt x="3162893" y="3304"/>
                                </a:lnTo>
                                <a:lnTo>
                                  <a:pt x="3209999" y="12929"/>
                                </a:lnTo>
                                <a:lnTo>
                                  <a:pt x="3254666" y="28443"/>
                                </a:lnTo>
                                <a:lnTo>
                                  <a:pt x="3296461" y="49416"/>
                                </a:lnTo>
                                <a:lnTo>
                                  <a:pt x="3334955" y="75416"/>
                                </a:lnTo>
                                <a:lnTo>
                                  <a:pt x="3369716" y="106012"/>
                                </a:lnTo>
                                <a:lnTo>
                                  <a:pt x="3400311" y="140773"/>
                                </a:lnTo>
                                <a:lnTo>
                                  <a:pt x="3426311" y="179266"/>
                                </a:lnTo>
                                <a:lnTo>
                                  <a:pt x="3447284" y="221062"/>
                                </a:lnTo>
                                <a:lnTo>
                                  <a:pt x="3462799" y="265729"/>
                                </a:lnTo>
                                <a:lnTo>
                                  <a:pt x="3472424" y="312835"/>
                                </a:lnTo>
                                <a:lnTo>
                                  <a:pt x="3475728" y="361949"/>
                                </a:lnTo>
                                <a:lnTo>
                                  <a:pt x="3475728" y="2334913"/>
                                </a:lnTo>
                                <a:lnTo>
                                  <a:pt x="3472424" y="2384028"/>
                                </a:lnTo>
                                <a:lnTo>
                                  <a:pt x="3462799" y="2431134"/>
                                </a:lnTo>
                                <a:lnTo>
                                  <a:pt x="3447284" y="2475801"/>
                                </a:lnTo>
                                <a:lnTo>
                                  <a:pt x="3426311" y="2517596"/>
                                </a:lnTo>
                                <a:lnTo>
                                  <a:pt x="3400311" y="2556090"/>
                                </a:lnTo>
                                <a:lnTo>
                                  <a:pt x="3369716" y="2590851"/>
                                </a:lnTo>
                                <a:lnTo>
                                  <a:pt x="3334955" y="2621446"/>
                                </a:lnTo>
                                <a:lnTo>
                                  <a:pt x="3296461" y="2647447"/>
                                </a:lnTo>
                                <a:lnTo>
                                  <a:pt x="3254666" y="2668419"/>
                                </a:lnTo>
                                <a:lnTo>
                                  <a:pt x="3209999" y="2683934"/>
                                </a:lnTo>
                                <a:lnTo>
                                  <a:pt x="3162893" y="2693559"/>
                                </a:lnTo>
                                <a:lnTo>
                                  <a:pt x="3113778" y="2696863"/>
                                </a:lnTo>
                                <a:close/>
                              </a:path>
                            </a:pathLst>
                          </a:custGeom>
                          <a:solidFill>
                            <a:srgbClr val="FFAFC7">
                              <a:alpha val="55999"/>
                            </a:srgbClr>
                          </a:solidFill>
                        </wps:spPr>
                        <wps:bodyPr wrap="square" lIns="0" tIns="0" rIns="0" bIns="0" rtlCol="0">
                          <a:prstTxWarp prst="textNoShape">
                            <a:avLst/>
                          </a:prstTxWarp>
                          <a:noAutofit/>
                        </wps:bodyPr>
                      </wps:wsp>
                      <wps:wsp>
                        <wps:cNvPr id="109" name="Graphic 109"/>
                        <wps:cNvSpPr/>
                        <wps:spPr>
                          <a:xfrm>
                            <a:off x="4364175" y="4471300"/>
                            <a:ext cx="2773680" cy="1270"/>
                          </a:xfrm>
                          <a:custGeom>
                            <a:avLst/>
                            <a:gdLst/>
                            <a:ahLst/>
                            <a:cxnLst/>
                            <a:rect l="l" t="t" r="r" b="b"/>
                            <a:pathLst>
                              <a:path w="2773680" h="0">
                                <a:moveTo>
                                  <a:pt x="0" y="0"/>
                                </a:moveTo>
                                <a:lnTo>
                                  <a:pt x="2773600" y="0"/>
                                </a:lnTo>
                              </a:path>
                            </a:pathLst>
                          </a:custGeom>
                          <a:ln w="28574">
                            <a:solidFill>
                              <a:srgbClr val="FF66C3"/>
                            </a:solidFill>
                            <a:prstDash val="sysDash"/>
                          </a:ln>
                        </wps:spPr>
                        <wps:bodyPr wrap="square" lIns="0" tIns="0" rIns="0" bIns="0" rtlCol="0">
                          <a:prstTxWarp prst="textNoShape">
                            <a:avLst/>
                          </a:prstTxWarp>
                          <a:noAutofit/>
                        </wps:bodyPr>
                      </wps:wsp>
                      <pic:pic>
                        <pic:nvPicPr>
                          <pic:cNvPr id="110" name="Image 110"/>
                          <pic:cNvPicPr/>
                        </pic:nvPicPr>
                        <pic:blipFill>
                          <a:blip r:embed="rId99" cstate="print"/>
                          <a:stretch>
                            <a:fillRect/>
                          </a:stretch>
                        </pic:blipFill>
                        <pic:spPr>
                          <a:xfrm>
                            <a:off x="1434832" y="4945674"/>
                            <a:ext cx="1933574" cy="685799"/>
                          </a:xfrm>
                          <a:prstGeom prst="rect">
                            <a:avLst/>
                          </a:prstGeom>
                        </pic:spPr>
                      </pic:pic>
                    </wpg:wgp>
                  </a:graphicData>
                </a:graphic>
              </wp:anchor>
            </w:drawing>
          </mc:Choice>
          <mc:Fallback>
            <w:pict>
              <v:group style="position:absolute;margin-left:-.000007pt;margin-top:.000013pt;width:612pt;height:443.45pt;mso-position-horizontal-relative:page;mso-position-vertical-relative:page;z-index:-20754432" id="docshapegroup87" coordorigin="0,0" coordsize="12240,8869">
                <v:shape style="position:absolute;left:0;top:0;width:12240;height:5019" type="#_x0000_t75" id="docshape88" stroked="false">
                  <v:imagedata r:id="rId97" o:title=""/>
                </v:shape>
                <v:shape style="position:absolute;left:7839;top:1158;width:2333;height:2332" type="#_x0000_t75" id="docshape89" stroked="false">
                  <v:imagedata r:id="rId98" o:title=""/>
                </v:shape>
                <v:shape style="position:absolute;left:7818;top:1136;width:2375;height:2375" id="docshape90"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74;height:4248" id="docshape91" coordorigin="1032,4620" coordsize="5474,4248" path="m5935,8867l1602,8867,1524,8862,1450,8846,1380,8822,1314,8789,1254,8748,1199,8700,1151,8645,1110,8585,1077,8519,1052,8448,1037,8374,1032,8297,1032,5190,1037,5112,1052,5038,1077,4968,1110,4902,1151,4841,1199,4787,1254,4739,1314,4698,1380,4665,1450,4640,1524,4625,1602,4620,5935,4620,6013,4625,6087,4640,6157,4665,6223,4698,6284,4739,6338,4787,6387,4841,6428,4902,6461,4968,6485,5038,6500,5112,6505,5190,6505,8297,6500,8374,6485,8448,6461,8519,6428,8585,6387,8645,6338,8700,6284,8748,6223,8789,6157,8822,6087,8846,6013,8862,5935,8867xe" filled="true" fillcolor="#ffafc7" stroked="false">
                  <v:path arrowok="t"/>
                  <v:fill opacity="36700f" type="solid"/>
                </v:shape>
                <v:line style="position:absolute" from="6873,7041" to="11241,7041" stroked="true" strokeweight="2.25pt" strokecolor="#ff66c3">
                  <v:stroke dashstyle="shortdash"/>
                </v:line>
                <v:shape style="position:absolute;left:2259;top:7788;width:3045;height:1080" type="#_x0000_t75" id="docshape92" stroked="false">
                  <v:imagedata r:id="rId99" o:titl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4356887</wp:posOffset>
                </wp:positionH>
                <wp:positionV relativeFrom="page">
                  <wp:posOffset>5724639</wp:posOffset>
                </wp:positionV>
                <wp:extent cx="277368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773680" cy="1270"/>
                        </a:xfrm>
                        <a:custGeom>
                          <a:avLst/>
                          <a:gdLst/>
                          <a:ahLst/>
                          <a:cxnLst/>
                          <a:rect l="l" t="t" r="r" b="b"/>
                          <a:pathLst>
                            <a:path w="2773680" h="0">
                              <a:moveTo>
                                <a:pt x="0" y="0"/>
                              </a:moveTo>
                              <a:lnTo>
                                <a:pt x="2773600" y="0"/>
                              </a:lnTo>
                            </a:path>
                          </a:pathLst>
                        </a:custGeom>
                        <a:ln w="28574">
                          <a:solidFill>
                            <a:srgbClr val="FF66C3"/>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1440" from="343.062012pt,450.759003pt" to="561.455786pt,450.759003pt" stroked="true" strokeweight="2.25pt" strokecolor="#ff66c3">
                <v:stroke dashstyle="shortdash"/>
                <w10:wrap type="none"/>
              </v:line>
            </w:pict>
          </mc:Fallback>
        </mc:AlternateContent>
      </w:r>
      <w:r>
        <w:rPr/>
        <mc:AlternateContent>
          <mc:Choice Requires="wps">
            <w:drawing>
              <wp:anchor distT="0" distB="0" distL="0" distR="0" allowOverlap="1" layoutInCell="1" locked="0" behindDoc="0" simplePos="0" relativeHeight="15741952">
                <wp:simplePos x="0" y="0"/>
                <wp:positionH relativeFrom="page">
                  <wp:posOffset>4607029</wp:posOffset>
                </wp:positionH>
                <wp:positionV relativeFrom="page">
                  <wp:posOffset>7398909</wp:posOffset>
                </wp:positionV>
                <wp:extent cx="2872740" cy="232791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2872740" cy="2327910"/>
                          <a:chExt cx="2872740" cy="2327910"/>
                        </a:xfrm>
                      </wpg:grpSpPr>
                      <wps:wsp>
                        <wps:cNvPr id="113" name="Graphic 113"/>
                        <wps:cNvSpPr/>
                        <wps:spPr>
                          <a:xfrm>
                            <a:off x="-2" y="1433216"/>
                            <a:ext cx="2321560" cy="333375"/>
                          </a:xfrm>
                          <a:custGeom>
                            <a:avLst/>
                            <a:gdLst/>
                            <a:ahLst/>
                            <a:cxnLst/>
                            <a:rect l="l" t="t" r="r" b="b"/>
                            <a:pathLst>
                              <a:path w="2321560" h="333375">
                                <a:moveTo>
                                  <a:pt x="2321268" y="47167"/>
                                </a:moveTo>
                                <a:lnTo>
                                  <a:pt x="2307310" y="26962"/>
                                </a:lnTo>
                                <a:lnTo>
                                  <a:pt x="2282088" y="12763"/>
                                </a:lnTo>
                                <a:lnTo>
                                  <a:pt x="2248814" y="7404"/>
                                </a:lnTo>
                                <a:lnTo>
                                  <a:pt x="2033816" y="7404"/>
                                </a:lnTo>
                                <a:lnTo>
                                  <a:pt x="2033816" y="0"/>
                                </a:lnTo>
                                <a:lnTo>
                                  <a:pt x="1959317" y="0"/>
                                </a:lnTo>
                                <a:lnTo>
                                  <a:pt x="1959317" y="7404"/>
                                </a:lnTo>
                                <a:lnTo>
                                  <a:pt x="350088" y="7404"/>
                                </a:lnTo>
                                <a:lnTo>
                                  <a:pt x="350088" y="0"/>
                                </a:lnTo>
                                <a:lnTo>
                                  <a:pt x="275590" y="0"/>
                                </a:lnTo>
                                <a:lnTo>
                                  <a:pt x="275590" y="7404"/>
                                </a:lnTo>
                                <a:lnTo>
                                  <a:pt x="72453" y="7404"/>
                                </a:lnTo>
                                <a:lnTo>
                                  <a:pt x="39179" y="12763"/>
                                </a:lnTo>
                                <a:lnTo>
                                  <a:pt x="13957" y="26962"/>
                                </a:lnTo>
                                <a:lnTo>
                                  <a:pt x="0" y="47167"/>
                                </a:lnTo>
                                <a:lnTo>
                                  <a:pt x="520" y="70561"/>
                                </a:lnTo>
                                <a:lnTo>
                                  <a:pt x="10477" y="86080"/>
                                </a:lnTo>
                                <a:lnTo>
                                  <a:pt x="26847" y="98209"/>
                                </a:lnTo>
                                <a:lnTo>
                                  <a:pt x="48044" y="106121"/>
                                </a:lnTo>
                                <a:lnTo>
                                  <a:pt x="72453" y="108940"/>
                                </a:lnTo>
                                <a:lnTo>
                                  <a:pt x="275590" y="108940"/>
                                </a:lnTo>
                                <a:lnTo>
                                  <a:pt x="275590" y="240614"/>
                                </a:lnTo>
                                <a:lnTo>
                                  <a:pt x="350088" y="240614"/>
                                </a:lnTo>
                                <a:lnTo>
                                  <a:pt x="350088" y="108940"/>
                                </a:lnTo>
                                <a:lnTo>
                                  <a:pt x="767321" y="108940"/>
                                </a:lnTo>
                                <a:lnTo>
                                  <a:pt x="767321" y="333146"/>
                                </a:lnTo>
                                <a:lnTo>
                                  <a:pt x="841819" y="333146"/>
                                </a:lnTo>
                                <a:lnTo>
                                  <a:pt x="841819" y="108940"/>
                                </a:lnTo>
                                <a:lnTo>
                                  <a:pt x="1477175" y="108940"/>
                                </a:lnTo>
                                <a:lnTo>
                                  <a:pt x="1477175" y="333146"/>
                                </a:lnTo>
                                <a:lnTo>
                                  <a:pt x="1551673" y="333146"/>
                                </a:lnTo>
                                <a:lnTo>
                                  <a:pt x="1551673" y="108940"/>
                                </a:lnTo>
                                <a:lnTo>
                                  <a:pt x="1959317" y="108940"/>
                                </a:lnTo>
                                <a:lnTo>
                                  <a:pt x="1959317" y="240614"/>
                                </a:lnTo>
                                <a:lnTo>
                                  <a:pt x="2033816" y="240614"/>
                                </a:lnTo>
                                <a:lnTo>
                                  <a:pt x="2033816" y="108940"/>
                                </a:lnTo>
                                <a:lnTo>
                                  <a:pt x="2248814" y="108940"/>
                                </a:lnTo>
                                <a:lnTo>
                                  <a:pt x="2273223" y="106121"/>
                                </a:lnTo>
                                <a:lnTo>
                                  <a:pt x="2294420" y="98209"/>
                                </a:lnTo>
                                <a:lnTo>
                                  <a:pt x="2310790" y="86080"/>
                                </a:lnTo>
                                <a:lnTo>
                                  <a:pt x="2320747" y="70561"/>
                                </a:lnTo>
                                <a:lnTo>
                                  <a:pt x="2321268" y="47167"/>
                                </a:lnTo>
                                <a:close/>
                              </a:path>
                            </a:pathLst>
                          </a:custGeom>
                          <a:solidFill>
                            <a:srgbClr val="3C1D21"/>
                          </a:solidFill>
                        </wps:spPr>
                        <wps:bodyPr wrap="square" lIns="0" tIns="0" rIns="0" bIns="0" rtlCol="0">
                          <a:prstTxWarp prst="textNoShape">
                            <a:avLst/>
                          </a:prstTxWarp>
                          <a:noAutofit/>
                        </wps:bodyPr>
                      </wps:wsp>
                      <pic:pic>
                        <pic:nvPicPr>
                          <pic:cNvPr id="114" name="Image 114"/>
                          <pic:cNvPicPr/>
                        </pic:nvPicPr>
                        <pic:blipFill>
                          <a:blip r:embed="rId100" cstate="print"/>
                          <a:stretch>
                            <a:fillRect/>
                          </a:stretch>
                        </pic:blipFill>
                        <pic:spPr>
                          <a:xfrm>
                            <a:off x="40986" y="0"/>
                            <a:ext cx="2239825" cy="1447242"/>
                          </a:xfrm>
                          <a:prstGeom prst="rect">
                            <a:avLst/>
                          </a:prstGeom>
                        </pic:spPr>
                      </pic:pic>
                      <wps:wsp>
                        <wps:cNvPr id="115" name="Graphic 115"/>
                        <wps:cNvSpPr/>
                        <wps:spPr>
                          <a:xfrm>
                            <a:off x="257070" y="1673830"/>
                            <a:ext cx="1795780" cy="169545"/>
                          </a:xfrm>
                          <a:custGeom>
                            <a:avLst/>
                            <a:gdLst/>
                            <a:ahLst/>
                            <a:cxnLst/>
                            <a:rect l="l" t="t" r="r" b="b"/>
                            <a:pathLst>
                              <a:path w="1795780" h="169545">
                                <a:moveTo>
                                  <a:pt x="111963" y="0"/>
                                </a:moveTo>
                                <a:lnTo>
                                  <a:pt x="0" y="0"/>
                                </a:lnTo>
                                <a:lnTo>
                                  <a:pt x="0" y="76631"/>
                                </a:lnTo>
                                <a:lnTo>
                                  <a:pt x="111963" y="76631"/>
                                </a:lnTo>
                                <a:lnTo>
                                  <a:pt x="111963" y="0"/>
                                </a:lnTo>
                                <a:close/>
                              </a:path>
                              <a:path w="1795780" h="169545">
                                <a:moveTo>
                                  <a:pt x="603681" y="92532"/>
                                </a:moveTo>
                                <a:lnTo>
                                  <a:pt x="491718" y="92532"/>
                                </a:lnTo>
                                <a:lnTo>
                                  <a:pt x="491718" y="169164"/>
                                </a:lnTo>
                                <a:lnTo>
                                  <a:pt x="603681" y="169164"/>
                                </a:lnTo>
                                <a:lnTo>
                                  <a:pt x="603681" y="92532"/>
                                </a:lnTo>
                                <a:close/>
                              </a:path>
                              <a:path w="1795780" h="169545">
                                <a:moveTo>
                                  <a:pt x="1313548" y="92532"/>
                                </a:moveTo>
                                <a:lnTo>
                                  <a:pt x="1201585" y="92532"/>
                                </a:lnTo>
                                <a:lnTo>
                                  <a:pt x="1201585" y="169164"/>
                                </a:lnTo>
                                <a:lnTo>
                                  <a:pt x="1313548" y="169164"/>
                                </a:lnTo>
                                <a:lnTo>
                                  <a:pt x="1313548" y="92532"/>
                                </a:lnTo>
                                <a:close/>
                              </a:path>
                              <a:path w="1795780" h="169545">
                                <a:moveTo>
                                  <a:pt x="1795691" y="0"/>
                                </a:moveTo>
                                <a:lnTo>
                                  <a:pt x="1683727" y="0"/>
                                </a:lnTo>
                                <a:lnTo>
                                  <a:pt x="1683727" y="76631"/>
                                </a:lnTo>
                                <a:lnTo>
                                  <a:pt x="1795691" y="76631"/>
                                </a:lnTo>
                                <a:lnTo>
                                  <a:pt x="1795691" y="0"/>
                                </a:lnTo>
                                <a:close/>
                              </a:path>
                            </a:pathLst>
                          </a:custGeom>
                          <a:solidFill>
                            <a:srgbClr val="F4B648"/>
                          </a:solidFill>
                        </wps:spPr>
                        <wps:bodyPr wrap="square" lIns="0" tIns="0" rIns="0" bIns="0" rtlCol="0">
                          <a:prstTxWarp prst="textNoShape">
                            <a:avLst/>
                          </a:prstTxWarp>
                          <a:noAutofit/>
                        </wps:bodyPr>
                      </wps:wsp>
                      <wps:wsp>
                        <wps:cNvPr id="116" name="Graphic 116"/>
                        <wps:cNvSpPr/>
                        <wps:spPr>
                          <a:xfrm>
                            <a:off x="1530639" y="1079648"/>
                            <a:ext cx="1342390" cy="1247775"/>
                          </a:xfrm>
                          <a:custGeom>
                            <a:avLst/>
                            <a:gdLst/>
                            <a:ahLst/>
                            <a:cxnLst/>
                            <a:rect l="l" t="t" r="r" b="b"/>
                            <a:pathLst>
                              <a:path w="1342390" h="1247775">
                                <a:moveTo>
                                  <a:pt x="1341805" y="0"/>
                                </a:moveTo>
                                <a:lnTo>
                                  <a:pt x="12" y="1247762"/>
                                </a:lnTo>
                                <a:lnTo>
                                  <a:pt x="1341805" y="1247775"/>
                                </a:lnTo>
                                <a:lnTo>
                                  <a:pt x="1341805" y="832104"/>
                                </a:lnTo>
                                <a:lnTo>
                                  <a:pt x="1341805" y="0"/>
                                </a:lnTo>
                                <a:close/>
                              </a:path>
                            </a:pathLst>
                          </a:custGeom>
                          <a:solidFill>
                            <a:srgbClr val="F7CD4D"/>
                          </a:solidFill>
                        </wps:spPr>
                        <wps:bodyPr wrap="square" lIns="0" tIns="0" rIns="0" bIns="0" rtlCol="0">
                          <a:prstTxWarp prst="textNoShape">
                            <a:avLst/>
                          </a:prstTxWarp>
                          <a:noAutofit/>
                        </wps:bodyPr>
                      </wps:wsp>
                      <wps:wsp>
                        <wps:cNvPr id="117" name="Graphic 117"/>
                        <wps:cNvSpPr/>
                        <wps:spPr>
                          <a:xfrm>
                            <a:off x="1530617" y="1079642"/>
                            <a:ext cx="1342390" cy="1248410"/>
                          </a:xfrm>
                          <a:custGeom>
                            <a:avLst/>
                            <a:gdLst/>
                            <a:ahLst/>
                            <a:cxnLst/>
                            <a:rect l="l" t="t" r="r" b="b"/>
                            <a:pathLst>
                              <a:path w="1342390" h="1248410">
                                <a:moveTo>
                                  <a:pt x="0" y="1247799"/>
                                </a:moveTo>
                                <a:lnTo>
                                  <a:pt x="1341837" y="0"/>
                                </a:lnTo>
                                <a:lnTo>
                                  <a:pt x="1341837" y="200126"/>
                                </a:lnTo>
                                <a:lnTo>
                                  <a:pt x="0" y="1247799"/>
                                </a:lnTo>
                                <a:close/>
                              </a:path>
                            </a:pathLst>
                          </a:custGeom>
                          <a:solidFill>
                            <a:srgbClr val="B079CC"/>
                          </a:solidFill>
                        </wps:spPr>
                        <wps:bodyPr wrap="square" lIns="0" tIns="0" rIns="0" bIns="0" rtlCol="0">
                          <a:prstTxWarp prst="textNoShape">
                            <a:avLst/>
                          </a:prstTxWarp>
                          <a:noAutofit/>
                        </wps:bodyPr>
                      </wps:wsp>
                      <wps:wsp>
                        <wps:cNvPr id="118" name="Graphic 118"/>
                        <wps:cNvSpPr/>
                        <wps:spPr>
                          <a:xfrm>
                            <a:off x="1530619" y="1279769"/>
                            <a:ext cx="1342390" cy="1047750"/>
                          </a:xfrm>
                          <a:custGeom>
                            <a:avLst/>
                            <a:gdLst/>
                            <a:ahLst/>
                            <a:cxnLst/>
                            <a:rect l="l" t="t" r="r" b="b"/>
                            <a:pathLst>
                              <a:path w="1342390" h="1047750">
                                <a:moveTo>
                                  <a:pt x="0" y="1047674"/>
                                </a:moveTo>
                                <a:lnTo>
                                  <a:pt x="1341836" y="0"/>
                                </a:lnTo>
                                <a:lnTo>
                                  <a:pt x="1341836" y="210659"/>
                                </a:lnTo>
                                <a:lnTo>
                                  <a:pt x="0" y="1047674"/>
                                </a:lnTo>
                                <a:close/>
                              </a:path>
                            </a:pathLst>
                          </a:custGeom>
                          <a:solidFill>
                            <a:srgbClr val="3C81DA"/>
                          </a:solidFill>
                        </wps:spPr>
                        <wps:bodyPr wrap="square" lIns="0" tIns="0" rIns="0" bIns="0" rtlCol="0">
                          <a:prstTxWarp prst="textNoShape">
                            <a:avLst/>
                          </a:prstTxWarp>
                          <a:noAutofit/>
                        </wps:bodyPr>
                      </wps:wsp>
                      <wps:wsp>
                        <wps:cNvPr id="119" name="Graphic 119"/>
                        <wps:cNvSpPr/>
                        <wps:spPr>
                          <a:xfrm>
                            <a:off x="1530592" y="1490428"/>
                            <a:ext cx="1342390" cy="837565"/>
                          </a:xfrm>
                          <a:custGeom>
                            <a:avLst/>
                            <a:gdLst/>
                            <a:ahLst/>
                            <a:cxnLst/>
                            <a:rect l="l" t="t" r="r" b="b"/>
                            <a:pathLst>
                              <a:path w="1342390" h="837565">
                                <a:moveTo>
                                  <a:pt x="217" y="836909"/>
                                </a:moveTo>
                                <a:lnTo>
                                  <a:pt x="1341862" y="0"/>
                                </a:lnTo>
                                <a:lnTo>
                                  <a:pt x="1341862" y="210659"/>
                                </a:lnTo>
                                <a:lnTo>
                                  <a:pt x="217" y="836909"/>
                                </a:lnTo>
                                <a:close/>
                              </a:path>
                              <a:path w="1342390" h="837565">
                                <a:moveTo>
                                  <a:pt x="82" y="836993"/>
                                </a:moveTo>
                                <a:lnTo>
                                  <a:pt x="217" y="836909"/>
                                </a:lnTo>
                                <a:lnTo>
                                  <a:pt x="82" y="836993"/>
                                </a:lnTo>
                                <a:close/>
                              </a:path>
                              <a:path w="1342390" h="837565">
                                <a:moveTo>
                                  <a:pt x="0" y="837010"/>
                                </a:moveTo>
                                <a:close/>
                              </a:path>
                            </a:pathLst>
                          </a:custGeom>
                          <a:solidFill>
                            <a:srgbClr val="4D9E53"/>
                          </a:solidFill>
                        </wps:spPr>
                        <wps:bodyPr wrap="square" lIns="0" tIns="0" rIns="0" bIns="0" rtlCol="0">
                          <a:prstTxWarp prst="textNoShape">
                            <a:avLst/>
                          </a:prstTxWarp>
                          <a:noAutofit/>
                        </wps:bodyPr>
                      </wps:wsp>
                      <wps:wsp>
                        <wps:cNvPr id="120" name="Graphic 120"/>
                        <wps:cNvSpPr/>
                        <wps:spPr>
                          <a:xfrm>
                            <a:off x="1530572" y="1701088"/>
                            <a:ext cx="1342390" cy="626745"/>
                          </a:xfrm>
                          <a:custGeom>
                            <a:avLst/>
                            <a:gdLst/>
                            <a:ahLst/>
                            <a:cxnLst/>
                            <a:rect l="l" t="t" r="r" b="b"/>
                            <a:pathLst>
                              <a:path w="1342390" h="626745">
                                <a:moveTo>
                                  <a:pt x="129" y="626307"/>
                                </a:moveTo>
                                <a:lnTo>
                                  <a:pt x="1341883" y="0"/>
                                </a:lnTo>
                                <a:lnTo>
                                  <a:pt x="1341883" y="210660"/>
                                </a:lnTo>
                                <a:lnTo>
                                  <a:pt x="129" y="626307"/>
                                </a:lnTo>
                                <a:close/>
                              </a:path>
                              <a:path w="1342390" h="626745">
                                <a:moveTo>
                                  <a:pt x="73" y="626333"/>
                                </a:moveTo>
                                <a:close/>
                              </a:path>
                              <a:path w="1342390" h="626745">
                                <a:moveTo>
                                  <a:pt x="0" y="626347"/>
                                </a:moveTo>
                                <a:close/>
                              </a:path>
                            </a:pathLst>
                          </a:custGeom>
                          <a:solidFill>
                            <a:srgbClr val="F7CD4D"/>
                          </a:solidFill>
                        </wps:spPr>
                        <wps:bodyPr wrap="square" lIns="0" tIns="0" rIns="0" bIns="0" rtlCol="0">
                          <a:prstTxWarp prst="textNoShape">
                            <a:avLst/>
                          </a:prstTxWarp>
                          <a:noAutofit/>
                        </wps:bodyPr>
                      </wps:wsp>
                      <wps:wsp>
                        <wps:cNvPr id="121" name="Graphic 121"/>
                        <wps:cNvSpPr/>
                        <wps:spPr>
                          <a:xfrm>
                            <a:off x="1530567" y="1911749"/>
                            <a:ext cx="1342390" cy="415925"/>
                          </a:xfrm>
                          <a:custGeom>
                            <a:avLst/>
                            <a:gdLst/>
                            <a:ahLst/>
                            <a:cxnLst/>
                            <a:rect l="l" t="t" r="r" b="b"/>
                            <a:pathLst>
                              <a:path w="1342390" h="415925">
                                <a:moveTo>
                                  <a:pt x="0" y="415682"/>
                                </a:moveTo>
                                <a:lnTo>
                                  <a:pt x="1341887" y="0"/>
                                </a:lnTo>
                                <a:lnTo>
                                  <a:pt x="1341887" y="205393"/>
                                </a:lnTo>
                                <a:lnTo>
                                  <a:pt x="0" y="415682"/>
                                </a:lnTo>
                                <a:close/>
                              </a:path>
                            </a:pathLst>
                          </a:custGeom>
                          <a:solidFill>
                            <a:srgbClr val="F67B28"/>
                          </a:solidFill>
                        </wps:spPr>
                        <wps:bodyPr wrap="square" lIns="0" tIns="0" rIns="0" bIns="0" rtlCol="0">
                          <a:prstTxWarp prst="textNoShape">
                            <a:avLst/>
                          </a:prstTxWarp>
                          <a:noAutofit/>
                        </wps:bodyPr>
                      </wps:wsp>
                      <wps:wsp>
                        <wps:cNvPr id="122" name="Graphic 122"/>
                        <wps:cNvSpPr/>
                        <wps:spPr>
                          <a:xfrm>
                            <a:off x="1530555" y="2327422"/>
                            <a:ext cx="1252855" cy="1270"/>
                          </a:xfrm>
                          <a:custGeom>
                            <a:avLst/>
                            <a:gdLst/>
                            <a:ahLst/>
                            <a:cxnLst/>
                            <a:rect l="l" t="t" r="r" b="b"/>
                            <a:pathLst>
                              <a:path w="1252855" h="0">
                                <a:moveTo>
                                  <a:pt x="0" y="4"/>
                                </a:moveTo>
                                <a:lnTo>
                                  <a:pt x="1252440" y="0"/>
                                </a:lnTo>
                                <a:lnTo>
                                  <a:pt x="0" y="4"/>
                                </a:lnTo>
                                <a:close/>
                              </a:path>
                            </a:pathLst>
                          </a:custGeom>
                          <a:solidFill>
                            <a:srgbClr val="DD2954"/>
                          </a:solidFill>
                        </wps:spPr>
                        <wps:bodyPr wrap="square" lIns="0" tIns="0" rIns="0" bIns="0" rtlCol="0">
                          <a:prstTxWarp prst="textNoShape">
                            <a:avLst/>
                          </a:prstTxWarp>
                          <a:noAutofit/>
                        </wps:bodyPr>
                      </wps:wsp>
                    </wpg:wgp>
                  </a:graphicData>
                </a:graphic>
              </wp:anchor>
            </w:drawing>
          </mc:Choice>
          <mc:Fallback>
            <w:pict>
              <v:group style="position:absolute;margin-left:362.75824pt;margin-top:582.591309pt;width:226.2pt;height:183.3pt;mso-position-horizontal-relative:page;mso-position-vertical-relative:page;z-index:15741952" id="docshapegroup93" coordorigin="7255,11652" coordsize="4524,3666">
                <v:shape style="position:absolute;left:7255;top:13908;width:3656;height:525" id="docshape94" coordorigin="7255,13909" coordsize="3656,525" path="m10911,13983l10889,13951,10849,13929,10797,13921,10458,13921,10458,13909,10341,13909,10341,13921,7806,13921,7806,13909,7689,13909,7689,13921,7369,13921,7317,13929,7277,13951,7255,13983,7256,14020,7272,14044,7297,14064,7331,14076,7369,14080,7689,14080,7689,14288,7806,14288,7806,14080,8464,14080,8464,14433,8581,14433,8581,14080,9581,14080,9581,14433,9699,14433,9699,14080,10341,14080,10341,14288,10458,14288,10458,14080,10797,14080,10835,14076,10868,14064,10894,14044,10910,14020,10911,13983xe" filled="true" fillcolor="#3c1d21" stroked="false">
                  <v:path arrowok="t"/>
                  <v:fill type="solid"/>
                </v:shape>
                <v:shape style="position:absolute;left:7319;top:11651;width:3528;height:2280" type="#_x0000_t75" id="docshape95" stroked="false">
                  <v:imagedata r:id="rId100" o:title=""/>
                </v:shape>
                <v:shape style="position:absolute;left:7660;top:14287;width:2828;height:267" id="docshape96" coordorigin="7660,14288" coordsize="2828,267" path="m7836,14288l7660,14288,7660,14408,7836,14408,7836,14288xm8611,14433l8434,14433,8434,14554,8611,14554,8611,14433xm9729,14433l9552,14433,9552,14554,9729,14554,9729,14433xm10488,14288l10312,14288,10312,14408,10488,14408,10488,14288xe" filled="true" fillcolor="#f4b648" stroked="false">
                  <v:path arrowok="t"/>
                  <v:fill type="solid"/>
                </v:shape>
                <v:shape style="position:absolute;left:9665;top:13352;width:2114;height:1965" id="docshape97" coordorigin="9666,13352" coordsize="2114,1965" path="m11779,13352l9666,15317,11779,15317,11779,14662,11779,13352xe" filled="true" fillcolor="#f7cd4d" stroked="false">
                  <v:path arrowok="t"/>
                  <v:fill type="solid"/>
                </v:shape>
                <v:shape style="position:absolute;left:9665;top:13352;width:2114;height:1966" id="docshape98" coordorigin="9666,13352" coordsize="2114,1966" path="m9666,15317l11779,13352,11779,13667,9666,15317xe" filled="true" fillcolor="#b079cc" stroked="false">
                  <v:path arrowok="t"/>
                  <v:fill type="solid"/>
                </v:shape>
                <v:shape style="position:absolute;left:9665;top:13667;width:2114;height:1650" id="docshape99" coordorigin="9666,13667" coordsize="2114,1650" path="m9666,15317l11779,13667,11779,13999,9666,15317xe" filled="true" fillcolor="#3c81da" stroked="false">
                  <v:path arrowok="t"/>
                  <v:fill type="solid"/>
                </v:shape>
                <v:shape style="position:absolute;left:9665;top:13998;width:2114;height:1319" id="docshape100" coordorigin="9666,13999" coordsize="2114,1319" path="m9666,15317l11779,13999,11779,14331,9666,15317xm9666,15317l9666,15317,9666,15317,9666,15317xm9666,15317l9666,15317,9666,15317,9666,15317xe" filled="true" fillcolor="#4d9e53" stroked="false">
                  <v:path arrowok="t"/>
                  <v:fill type="solid"/>
                </v:shape>
                <v:shape style="position:absolute;left:9665;top:14330;width:2114;height:987" id="docshape101" coordorigin="9666,14331" coordsize="2114,987" path="m9666,15317l11779,14331,11779,14662,9666,15317xm9666,15317l9666,15317,9666,15317,9666,15317xm9666,15317l9666,15317,9666,15317,9666,15317xe" filled="true" fillcolor="#f7cd4d" stroked="false">
                  <v:path arrowok="t"/>
                  <v:fill type="solid"/>
                </v:shape>
                <v:shape style="position:absolute;left:9665;top:14662;width:2114;height:655" id="docshape102" coordorigin="9666,14662" coordsize="2114,655" path="m9666,15317l11779,14662,11779,14986,9666,15317xe" filled="true" fillcolor="#f67b28" stroked="false">
                  <v:path arrowok="t"/>
                  <v:fill type="solid"/>
                </v:shape>
                <v:shape style="position:absolute;left:9665;top:15317;width:1973;height:2" id="docshape103" coordorigin="9665,15317" coordsize="1973,0" path="m9665,15317l11638,15317,9665,15317xe" filled="true" fillcolor="#dd2954" stroked="false">
                  <v:path arrowok="t"/>
                  <v:fill type="solid"/>
                </v:shape>
                <w10:wrap type="none"/>
              </v:group>
            </w:pict>
          </mc:Fallback>
        </mc:AlternateConten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after="1"/>
        <w:rPr>
          <w:rFonts w:ascii="Georgia"/>
          <w:sz w:val="20"/>
        </w:rPr>
      </w:pPr>
    </w:p>
    <w:p>
      <w:pPr>
        <w:pStyle w:val="BodyText"/>
        <w:ind w:left="101"/>
        <w:rPr>
          <w:rFonts w:ascii="Georgia"/>
          <w:sz w:val="20"/>
        </w:rPr>
      </w:pPr>
      <w:r>
        <w:rPr>
          <w:rFonts w:ascii="Georgia"/>
          <w:sz w:val="20"/>
        </w:rPr>
        <mc:AlternateContent>
          <mc:Choice Requires="wps">
            <w:drawing>
              <wp:inline distT="0" distB="0" distL="0" distR="0">
                <wp:extent cx="3475990" cy="1167130"/>
                <wp:effectExtent l="0" t="0" r="0" b="4444"/>
                <wp:docPr id="123" name="Group 123"/>
                <wp:cNvGraphicFramePr>
                  <a:graphicFrameLocks/>
                </wp:cNvGraphicFramePr>
                <a:graphic>
                  <a:graphicData uri="http://schemas.microsoft.com/office/word/2010/wordprocessingGroup">
                    <wpg:wgp>
                      <wpg:cNvPr id="123" name="Group 123"/>
                      <wpg:cNvGrpSpPr/>
                      <wpg:grpSpPr>
                        <a:xfrm>
                          <a:off x="0" y="0"/>
                          <a:ext cx="3475990" cy="1167130"/>
                          <a:chExt cx="3475990" cy="1167130"/>
                        </a:xfrm>
                      </wpg:grpSpPr>
                      <wps:wsp>
                        <wps:cNvPr id="124" name="Graphic 124"/>
                        <wps:cNvSpPr/>
                        <wps:spPr>
                          <a:xfrm>
                            <a:off x="0" y="0"/>
                            <a:ext cx="3475990" cy="1167130"/>
                          </a:xfrm>
                          <a:custGeom>
                            <a:avLst/>
                            <a:gdLst/>
                            <a:ahLst/>
                            <a:cxnLst/>
                            <a:rect l="l" t="t" r="r" b="b"/>
                            <a:pathLst>
                              <a:path w="3475990" h="1167130">
                                <a:moveTo>
                                  <a:pt x="3113778" y="1166805"/>
                                </a:moveTo>
                                <a:lnTo>
                                  <a:pt x="361949" y="1166805"/>
                                </a:lnTo>
                                <a:lnTo>
                                  <a:pt x="312835" y="1163501"/>
                                </a:lnTo>
                                <a:lnTo>
                                  <a:pt x="265729" y="1153876"/>
                                </a:lnTo>
                                <a:lnTo>
                                  <a:pt x="221062" y="1138361"/>
                                </a:lnTo>
                                <a:lnTo>
                                  <a:pt x="179266" y="1117388"/>
                                </a:lnTo>
                                <a:lnTo>
                                  <a:pt x="140773" y="1091388"/>
                                </a:lnTo>
                                <a:lnTo>
                                  <a:pt x="106012" y="1060792"/>
                                </a:lnTo>
                                <a:lnTo>
                                  <a:pt x="75416" y="1026032"/>
                                </a:lnTo>
                                <a:lnTo>
                                  <a:pt x="49416" y="987538"/>
                                </a:lnTo>
                                <a:lnTo>
                                  <a:pt x="28443" y="945742"/>
                                </a:lnTo>
                                <a:lnTo>
                                  <a:pt x="12929" y="901076"/>
                                </a:lnTo>
                                <a:lnTo>
                                  <a:pt x="3304" y="853970"/>
                                </a:lnTo>
                                <a:lnTo>
                                  <a:pt x="0" y="804855"/>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13778" y="0"/>
                                </a:lnTo>
                                <a:lnTo>
                                  <a:pt x="3162893" y="3304"/>
                                </a:lnTo>
                                <a:lnTo>
                                  <a:pt x="3209999" y="12929"/>
                                </a:lnTo>
                                <a:lnTo>
                                  <a:pt x="3254666" y="28443"/>
                                </a:lnTo>
                                <a:lnTo>
                                  <a:pt x="3296461" y="49416"/>
                                </a:lnTo>
                                <a:lnTo>
                                  <a:pt x="3334955" y="75416"/>
                                </a:lnTo>
                                <a:lnTo>
                                  <a:pt x="3369716" y="106012"/>
                                </a:lnTo>
                                <a:lnTo>
                                  <a:pt x="3400311" y="140773"/>
                                </a:lnTo>
                                <a:lnTo>
                                  <a:pt x="3426311" y="179266"/>
                                </a:lnTo>
                                <a:lnTo>
                                  <a:pt x="3447284" y="221062"/>
                                </a:lnTo>
                                <a:lnTo>
                                  <a:pt x="3462799" y="265729"/>
                                </a:lnTo>
                                <a:lnTo>
                                  <a:pt x="3472424" y="312835"/>
                                </a:lnTo>
                                <a:lnTo>
                                  <a:pt x="3475728" y="361949"/>
                                </a:lnTo>
                                <a:lnTo>
                                  <a:pt x="3475728" y="804855"/>
                                </a:lnTo>
                                <a:lnTo>
                                  <a:pt x="3472424" y="853970"/>
                                </a:lnTo>
                                <a:lnTo>
                                  <a:pt x="3462799" y="901076"/>
                                </a:lnTo>
                                <a:lnTo>
                                  <a:pt x="3447284" y="945742"/>
                                </a:lnTo>
                                <a:lnTo>
                                  <a:pt x="3426311" y="987538"/>
                                </a:lnTo>
                                <a:lnTo>
                                  <a:pt x="3400311" y="1026032"/>
                                </a:lnTo>
                                <a:lnTo>
                                  <a:pt x="3369716" y="1060792"/>
                                </a:lnTo>
                                <a:lnTo>
                                  <a:pt x="3334955" y="1091388"/>
                                </a:lnTo>
                                <a:lnTo>
                                  <a:pt x="3296461" y="1117388"/>
                                </a:lnTo>
                                <a:lnTo>
                                  <a:pt x="3254666" y="1138361"/>
                                </a:lnTo>
                                <a:lnTo>
                                  <a:pt x="3209999" y="1153876"/>
                                </a:lnTo>
                                <a:lnTo>
                                  <a:pt x="3162893" y="1163501"/>
                                </a:lnTo>
                                <a:lnTo>
                                  <a:pt x="3113778" y="1166805"/>
                                </a:lnTo>
                                <a:close/>
                              </a:path>
                            </a:pathLst>
                          </a:custGeom>
                          <a:solidFill>
                            <a:srgbClr val="FFAFC7">
                              <a:alpha val="55999"/>
                            </a:srgbClr>
                          </a:solidFill>
                        </wps:spPr>
                        <wps:bodyPr wrap="square" lIns="0" tIns="0" rIns="0" bIns="0" rtlCol="0">
                          <a:prstTxWarp prst="textNoShape">
                            <a:avLst/>
                          </a:prstTxWarp>
                          <a:noAutofit/>
                        </wps:bodyPr>
                      </wps:wsp>
                      <wps:wsp>
                        <wps:cNvPr id="125" name="Textbox 125"/>
                        <wps:cNvSpPr txBox="1"/>
                        <wps:spPr>
                          <a:xfrm>
                            <a:off x="0" y="0"/>
                            <a:ext cx="3475990" cy="1167130"/>
                          </a:xfrm>
                          <a:prstGeom prst="rect">
                            <a:avLst/>
                          </a:prstGeom>
                        </wps:spPr>
                        <wps:txbx>
                          <w:txbxContent>
                            <w:p>
                              <w:pPr>
                                <w:spacing w:before="108"/>
                                <w:ind w:left="202" w:right="0" w:firstLine="0"/>
                                <w:jc w:val="left"/>
                                <w:rPr>
                                  <w:b/>
                                  <w:i/>
                                  <w:sz w:val="34"/>
                                </w:rPr>
                              </w:pPr>
                              <w:r>
                                <w:rPr>
                                  <w:b/>
                                  <w:i/>
                                  <w:spacing w:val="11"/>
                                  <w:w w:val="130"/>
                                  <w:sz w:val="34"/>
                                </w:rPr>
                                <w:t>LEGISLATION</w:t>
                              </w:r>
                            </w:p>
                            <w:p>
                              <w:pPr>
                                <w:spacing w:line="564" w:lineRule="auto" w:before="52"/>
                                <w:ind w:left="289" w:right="0" w:firstLine="0"/>
                                <w:jc w:val="left"/>
                                <w:rPr>
                                  <w:rFonts w:ascii="Georgia"/>
                                  <w:sz w:val="18"/>
                                </w:rPr>
                              </w:pPr>
                              <w:r>
                                <w:rPr>
                                  <w:rFonts w:ascii="Georgia"/>
                                  <w:spacing w:val="-2"/>
                                  <w:w w:val="105"/>
                                  <w:sz w:val="18"/>
                                </w:rPr>
                                <w:t>S.114:</w:t>
                              </w:r>
                              <w:r>
                                <w:rPr>
                                  <w:rFonts w:ascii="Georgia"/>
                                  <w:spacing w:val="-8"/>
                                  <w:w w:val="105"/>
                                  <w:sz w:val="18"/>
                                </w:rPr>
                                <w:t> </w:t>
                              </w:r>
                              <w:r>
                                <w:rPr>
                                  <w:rFonts w:ascii="Georgia"/>
                                  <w:spacing w:val="-2"/>
                                  <w:w w:val="105"/>
                                  <w:sz w:val="18"/>
                                </w:rPr>
                                <w:t>Universal</w:t>
                              </w:r>
                              <w:r>
                                <w:rPr>
                                  <w:rFonts w:ascii="Georgia"/>
                                  <w:spacing w:val="-8"/>
                                  <w:w w:val="105"/>
                                  <w:sz w:val="18"/>
                                </w:rPr>
                                <w:t> </w:t>
                              </w:r>
                              <w:r>
                                <w:rPr>
                                  <w:rFonts w:ascii="Georgia"/>
                                  <w:spacing w:val="-2"/>
                                  <w:w w:val="105"/>
                                  <w:sz w:val="18"/>
                                </w:rPr>
                                <w:t>Basic</w:t>
                              </w:r>
                              <w:r>
                                <w:rPr>
                                  <w:rFonts w:ascii="Georgia"/>
                                  <w:spacing w:val="-8"/>
                                  <w:w w:val="105"/>
                                  <w:sz w:val="18"/>
                                </w:rPr>
                                <w:t> </w:t>
                              </w:r>
                              <w:r>
                                <w:rPr>
                                  <w:rFonts w:ascii="Georgia"/>
                                  <w:spacing w:val="-2"/>
                                  <w:w w:val="105"/>
                                  <w:sz w:val="18"/>
                                </w:rPr>
                                <w:t>Income</w:t>
                              </w:r>
                              <w:r>
                                <w:rPr>
                                  <w:rFonts w:ascii="Georgia"/>
                                  <w:spacing w:val="-8"/>
                                  <w:w w:val="105"/>
                                  <w:sz w:val="18"/>
                                </w:rPr>
                                <w:t> </w:t>
                              </w:r>
                              <w:r>
                                <w:rPr>
                                  <w:rFonts w:ascii="Georgia"/>
                                  <w:spacing w:val="-2"/>
                                  <w:w w:val="105"/>
                                  <w:sz w:val="18"/>
                                </w:rPr>
                                <w:t>for</w:t>
                              </w:r>
                              <w:r>
                                <w:rPr>
                                  <w:rFonts w:ascii="Georgia"/>
                                  <w:spacing w:val="-8"/>
                                  <w:w w:val="105"/>
                                  <w:sz w:val="18"/>
                                </w:rPr>
                                <w:t> </w:t>
                              </w:r>
                              <w:r>
                                <w:rPr>
                                  <w:rFonts w:ascii="Georgia"/>
                                  <w:spacing w:val="-2"/>
                                  <w:w w:val="105"/>
                                  <w:sz w:val="18"/>
                                </w:rPr>
                                <w:t>Transition-Aged</w:t>
                              </w:r>
                              <w:r>
                                <w:rPr>
                                  <w:rFonts w:ascii="Georgia"/>
                                  <w:spacing w:val="-8"/>
                                  <w:w w:val="105"/>
                                  <w:sz w:val="18"/>
                                </w:rPr>
                                <w:t> </w:t>
                              </w:r>
                              <w:r>
                                <w:rPr>
                                  <w:rFonts w:ascii="Georgia"/>
                                  <w:spacing w:val="-2"/>
                                  <w:w w:val="105"/>
                                  <w:sz w:val="18"/>
                                </w:rPr>
                                <w:t>Youth </w:t>
                              </w:r>
                              <w:r>
                                <w:rPr>
                                  <w:rFonts w:ascii="Georgia"/>
                                  <w:w w:val="105"/>
                                  <w:sz w:val="18"/>
                                </w:rPr>
                                <w:t>S.68/H.164: Bill of Rights for Children in Foster Care</w:t>
                              </w:r>
                            </w:p>
                            <w:p>
                              <w:pPr>
                                <w:spacing w:line="203" w:lineRule="exact" w:before="0"/>
                                <w:ind w:left="289" w:right="0" w:firstLine="0"/>
                                <w:jc w:val="left"/>
                                <w:rPr>
                                  <w:rFonts w:ascii="Georgia"/>
                                  <w:sz w:val="18"/>
                                </w:rPr>
                              </w:pPr>
                              <w:r>
                                <w:rPr>
                                  <w:rFonts w:ascii="Georgia"/>
                                  <w:spacing w:val="-2"/>
                                  <w:sz w:val="18"/>
                                </w:rPr>
                                <w:t>S.947/H.1713:</w:t>
                              </w:r>
                              <w:r>
                                <w:rPr>
                                  <w:rFonts w:ascii="Georgia"/>
                                  <w:spacing w:val="7"/>
                                  <w:sz w:val="18"/>
                                </w:rPr>
                                <w:t> </w:t>
                              </w:r>
                              <w:r>
                                <w:rPr>
                                  <w:rFonts w:ascii="Georgia"/>
                                  <w:spacing w:val="-2"/>
                                  <w:sz w:val="18"/>
                                </w:rPr>
                                <w:t>Massachusetts</w:t>
                              </w:r>
                              <w:r>
                                <w:rPr>
                                  <w:rFonts w:ascii="Georgia"/>
                                  <w:spacing w:val="8"/>
                                  <w:sz w:val="18"/>
                                </w:rPr>
                                <w:t> </w:t>
                              </w:r>
                              <w:r>
                                <w:rPr>
                                  <w:rFonts w:ascii="Georgia"/>
                                  <w:spacing w:val="-2"/>
                                  <w:sz w:val="18"/>
                                </w:rPr>
                                <w:t>Parentage</w:t>
                              </w:r>
                              <w:r>
                                <w:rPr>
                                  <w:rFonts w:ascii="Georgia"/>
                                  <w:spacing w:val="8"/>
                                  <w:sz w:val="18"/>
                                </w:rPr>
                                <w:t> </w:t>
                              </w:r>
                              <w:r>
                                <w:rPr>
                                  <w:rFonts w:ascii="Georgia"/>
                                  <w:spacing w:val="-5"/>
                                  <w:sz w:val="18"/>
                                </w:rPr>
                                <w:t>Act</w:t>
                              </w:r>
                            </w:p>
                          </w:txbxContent>
                        </wps:txbx>
                        <wps:bodyPr wrap="square" lIns="0" tIns="0" rIns="0" bIns="0" rtlCol="0">
                          <a:noAutofit/>
                        </wps:bodyPr>
                      </wps:wsp>
                    </wpg:wgp>
                  </a:graphicData>
                </a:graphic>
              </wp:inline>
            </w:drawing>
          </mc:Choice>
          <mc:Fallback>
            <w:pict>
              <v:group style="width:273.7pt;height:91.9pt;mso-position-horizontal-relative:char;mso-position-vertical-relative:line" id="docshapegroup104" coordorigin="0,0" coordsize="5474,1838">
                <v:shape style="position:absolute;left:0;top:0;width:5474;height:1838" id="docshape105" coordorigin="0,0" coordsize="5474,1838" path="m4904,1837l570,1837,493,1832,418,1817,348,1793,282,1760,222,1719,167,1671,119,1616,78,1555,45,1489,20,1419,5,1345,0,1267,0,570,5,493,20,418,45,348,78,282,119,222,167,167,222,119,282,78,348,45,418,20,493,5,570,0,4904,0,4981,5,5055,20,5125,45,5191,78,5252,119,5307,167,5355,222,5396,282,5429,348,5453,418,5468,493,5474,570,5474,1267,5468,1345,5453,1419,5429,1489,5396,1555,5355,1616,5307,1671,5252,1719,5191,1760,5125,1793,5055,1817,4981,1832,4904,1837xe" filled="true" fillcolor="#ffafc7" stroked="false">
                  <v:path arrowok="t"/>
                  <v:fill opacity="36700f" type="solid"/>
                </v:shape>
                <v:shape style="position:absolute;left:0;top:0;width:5474;height:1838" type="#_x0000_t202" id="docshape106" filled="false" stroked="false">
                  <v:textbox inset="0,0,0,0">
                    <w:txbxContent>
                      <w:p>
                        <w:pPr>
                          <w:spacing w:before="108"/>
                          <w:ind w:left="202" w:right="0" w:firstLine="0"/>
                          <w:jc w:val="left"/>
                          <w:rPr>
                            <w:b/>
                            <w:i/>
                            <w:sz w:val="34"/>
                          </w:rPr>
                        </w:pPr>
                        <w:r>
                          <w:rPr>
                            <w:b/>
                            <w:i/>
                            <w:spacing w:val="11"/>
                            <w:w w:val="130"/>
                            <w:sz w:val="34"/>
                          </w:rPr>
                          <w:t>LEGISLATION</w:t>
                        </w:r>
                      </w:p>
                      <w:p>
                        <w:pPr>
                          <w:spacing w:line="564" w:lineRule="auto" w:before="52"/>
                          <w:ind w:left="289" w:right="0" w:firstLine="0"/>
                          <w:jc w:val="left"/>
                          <w:rPr>
                            <w:rFonts w:ascii="Georgia"/>
                            <w:sz w:val="18"/>
                          </w:rPr>
                        </w:pPr>
                        <w:r>
                          <w:rPr>
                            <w:rFonts w:ascii="Georgia"/>
                            <w:spacing w:val="-2"/>
                            <w:w w:val="105"/>
                            <w:sz w:val="18"/>
                          </w:rPr>
                          <w:t>S.114:</w:t>
                        </w:r>
                        <w:r>
                          <w:rPr>
                            <w:rFonts w:ascii="Georgia"/>
                            <w:spacing w:val="-8"/>
                            <w:w w:val="105"/>
                            <w:sz w:val="18"/>
                          </w:rPr>
                          <w:t> </w:t>
                        </w:r>
                        <w:r>
                          <w:rPr>
                            <w:rFonts w:ascii="Georgia"/>
                            <w:spacing w:val="-2"/>
                            <w:w w:val="105"/>
                            <w:sz w:val="18"/>
                          </w:rPr>
                          <w:t>Universal</w:t>
                        </w:r>
                        <w:r>
                          <w:rPr>
                            <w:rFonts w:ascii="Georgia"/>
                            <w:spacing w:val="-8"/>
                            <w:w w:val="105"/>
                            <w:sz w:val="18"/>
                          </w:rPr>
                          <w:t> </w:t>
                        </w:r>
                        <w:r>
                          <w:rPr>
                            <w:rFonts w:ascii="Georgia"/>
                            <w:spacing w:val="-2"/>
                            <w:w w:val="105"/>
                            <w:sz w:val="18"/>
                          </w:rPr>
                          <w:t>Basic</w:t>
                        </w:r>
                        <w:r>
                          <w:rPr>
                            <w:rFonts w:ascii="Georgia"/>
                            <w:spacing w:val="-8"/>
                            <w:w w:val="105"/>
                            <w:sz w:val="18"/>
                          </w:rPr>
                          <w:t> </w:t>
                        </w:r>
                        <w:r>
                          <w:rPr>
                            <w:rFonts w:ascii="Georgia"/>
                            <w:spacing w:val="-2"/>
                            <w:w w:val="105"/>
                            <w:sz w:val="18"/>
                          </w:rPr>
                          <w:t>Income</w:t>
                        </w:r>
                        <w:r>
                          <w:rPr>
                            <w:rFonts w:ascii="Georgia"/>
                            <w:spacing w:val="-8"/>
                            <w:w w:val="105"/>
                            <w:sz w:val="18"/>
                          </w:rPr>
                          <w:t> </w:t>
                        </w:r>
                        <w:r>
                          <w:rPr>
                            <w:rFonts w:ascii="Georgia"/>
                            <w:spacing w:val="-2"/>
                            <w:w w:val="105"/>
                            <w:sz w:val="18"/>
                          </w:rPr>
                          <w:t>for</w:t>
                        </w:r>
                        <w:r>
                          <w:rPr>
                            <w:rFonts w:ascii="Georgia"/>
                            <w:spacing w:val="-8"/>
                            <w:w w:val="105"/>
                            <w:sz w:val="18"/>
                          </w:rPr>
                          <w:t> </w:t>
                        </w:r>
                        <w:r>
                          <w:rPr>
                            <w:rFonts w:ascii="Georgia"/>
                            <w:spacing w:val="-2"/>
                            <w:w w:val="105"/>
                            <w:sz w:val="18"/>
                          </w:rPr>
                          <w:t>Transition-Aged</w:t>
                        </w:r>
                        <w:r>
                          <w:rPr>
                            <w:rFonts w:ascii="Georgia"/>
                            <w:spacing w:val="-8"/>
                            <w:w w:val="105"/>
                            <w:sz w:val="18"/>
                          </w:rPr>
                          <w:t> </w:t>
                        </w:r>
                        <w:r>
                          <w:rPr>
                            <w:rFonts w:ascii="Georgia"/>
                            <w:spacing w:val="-2"/>
                            <w:w w:val="105"/>
                            <w:sz w:val="18"/>
                          </w:rPr>
                          <w:t>Youth </w:t>
                        </w:r>
                        <w:r>
                          <w:rPr>
                            <w:rFonts w:ascii="Georgia"/>
                            <w:w w:val="105"/>
                            <w:sz w:val="18"/>
                          </w:rPr>
                          <w:t>S.68/H.164: Bill of Rights for Children in Foster Care</w:t>
                        </w:r>
                      </w:p>
                      <w:p>
                        <w:pPr>
                          <w:spacing w:line="203" w:lineRule="exact" w:before="0"/>
                          <w:ind w:left="289" w:right="0" w:firstLine="0"/>
                          <w:jc w:val="left"/>
                          <w:rPr>
                            <w:rFonts w:ascii="Georgia"/>
                            <w:sz w:val="18"/>
                          </w:rPr>
                        </w:pPr>
                        <w:r>
                          <w:rPr>
                            <w:rFonts w:ascii="Georgia"/>
                            <w:spacing w:val="-2"/>
                            <w:sz w:val="18"/>
                          </w:rPr>
                          <w:t>S.947/H.1713:</w:t>
                        </w:r>
                        <w:r>
                          <w:rPr>
                            <w:rFonts w:ascii="Georgia"/>
                            <w:spacing w:val="7"/>
                            <w:sz w:val="18"/>
                          </w:rPr>
                          <w:t> </w:t>
                        </w:r>
                        <w:r>
                          <w:rPr>
                            <w:rFonts w:ascii="Georgia"/>
                            <w:spacing w:val="-2"/>
                            <w:sz w:val="18"/>
                          </w:rPr>
                          <w:t>Massachusetts</w:t>
                        </w:r>
                        <w:r>
                          <w:rPr>
                            <w:rFonts w:ascii="Georgia"/>
                            <w:spacing w:val="8"/>
                            <w:sz w:val="18"/>
                          </w:rPr>
                          <w:t> </w:t>
                        </w:r>
                        <w:r>
                          <w:rPr>
                            <w:rFonts w:ascii="Georgia"/>
                            <w:spacing w:val="-2"/>
                            <w:sz w:val="18"/>
                          </w:rPr>
                          <w:t>Parentage</w:t>
                        </w:r>
                        <w:r>
                          <w:rPr>
                            <w:rFonts w:ascii="Georgia"/>
                            <w:spacing w:val="8"/>
                            <w:sz w:val="18"/>
                          </w:rPr>
                          <w:t> </w:t>
                        </w:r>
                        <w:r>
                          <w:rPr>
                            <w:rFonts w:ascii="Georgia"/>
                            <w:spacing w:val="-5"/>
                            <w:sz w:val="18"/>
                          </w:rPr>
                          <w:t>Act</w:t>
                        </w:r>
                      </w:p>
                    </w:txbxContent>
                  </v:textbox>
                  <w10:wrap type="none"/>
                </v:shape>
              </v:group>
            </w:pict>
          </mc:Fallback>
        </mc:AlternateContent>
      </w:r>
      <w:r>
        <w:rPr>
          <w:rFonts w:ascii="Georgia"/>
          <w:sz w:val="20"/>
        </w:rPr>
      </w:r>
    </w:p>
    <w:p>
      <w:pPr>
        <w:spacing w:after="0"/>
        <w:rPr>
          <w:rFonts w:ascii="Georgia"/>
          <w:sz w:val="20"/>
        </w:rPr>
        <w:sectPr>
          <w:type w:val="continuous"/>
          <w:pgSz w:w="12240" w:h="15840"/>
          <w:pgMar w:header="0" w:footer="0" w:top="1420" w:bottom="280" w:left="940" w:right="1320"/>
        </w:sectPr>
      </w:pPr>
    </w:p>
    <w:p>
      <w:pPr>
        <w:spacing w:before="306"/>
        <w:ind w:left="464" w:right="0" w:firstLine="0"/>
        <w:jc w:val="left"/>
        <w:rPr>
          <w:sz w:val="38"/>
        </w:rPr>
      </w:pPr>
      <w:bookmarkStart w:name="FY 2025 - Uplifting Education in Schools" w:id="135"/>
      <w:bookmarkEnd w:id="135"/>
      <w:r>
        <w:rPr/>
      </w:r>
      <w:bookmarkStart w:name="_bookmark39" w:id="136"/>
      <w:bookmarkEnd w:id="136"/>
      <w:r>
        <w:rPr/>
      </w:r>
      <w:hyperlink w:history="true" w:anchor="_bookmark2">
        <w:r>
          <w:rPr>
            <w:color w:val="365F91"/>
            <w:spacing w:val="-8"/>
            <w:sz w:val="38"/>
          </w:rPr>
          <w:t>Belonging</w:t>
        </w:r>
        <w:r>
          <w:rPr>
            <w:color w:val="365F91"/>
            <w:spacing w:val="-5"/>
            <w:sz w:val="38"/>
          </w:rPr>
          <w:t> </w:t>
        </w:r>
        <w:r>
          <w:rPr>
            <w:color w:val="365F91"/>
            <w:spacing w:val="-8"/>
            <w:sz w:val="38"/>
          </w:rPr>
          <w:t>in</w:t>
        </w:r>
        <w:r>
          <w:rPr>
            <w:color w:val="365F91"/>
            <w:spacing w:val="-5"/>
            <w:sz w:val="38"/>
          </w:rPr>
          <w:t> </w:t>
        </w:r>
        <w:r>
          <w:rPr>
            <w:color w:val="365F91"/>
            <w:spacing w:val="-8"/>
            <w:sz w:val="38"/>
          </w:rPr>
          <w:t>Education:</w:t>
        </w:r>
        <w:r>
          <w:rPr>
            <w:color w:val="365F91"/>
            <w:spacing w:val="-4"/>
            <w:sz w:val="38"/>
          </w:rPr>
          <w:t> </w:t>
        </w:r>
        <w:r>
          <w:rPr>
            <w:color w:val="365F91"/>
            <w:spacing w:val="-8"/>
            <w:sz w:val="38"/>
          </w:rPr>
          <w:t>Supporting</w:t>
        </w:r>
        <w:r>
          <w:rPr>
            <w:color w:val="365F91"/>
            <w:spacing w:val="-5"/>
            <w:sz w:val="38"/>
          </w:rPr>
          <w:t> </w:t>
        </w:r>
        <w:r>
          <w:rPr>
            <w:color w:val="365F91"/>
            <w:spacing w:val="-8"/>
            <w:sz w:val="38"/>
          </w:rPr>
          <w:t>LGBTQ</w:t>
        </w:r>
        <w:r>
          <w:rPr>
            <w:color w:val="365F91"/>
            <w:spacing w:val="-5"/>
            <w:sz w:val="38"/>
          </w:rPr>
          <w:t> </w:t>
        </w:r>
        <w:r>
          <w:rPr>
            <w:color w:val="365F91"/>
            <w:spacing w:val="-8"/>
            <w:sz w:val="38"/>
          </w:rPr>
          <w:t>Youth</w:t>
        </w:r>
        <w:r>
          <w:rPr>
            <w:color w:val="365F91"/>
            <w:spacing w:val="-3"/>
            <w:sz w:val="38"/>
          </w:rPr>
          <w:t> </w:t>
        </w:r>
        <w:r>
          <w:rPr>
            <w:color w:val="365F91"/>
            <w:spacing w:val="-8"/>
            <w:sz w:val="38"/>
          </w:rPr>
          <w:t>in</w:t>
        </w:r>
        <w:r>
          <w:rPr>
            <w:color w:val="365F91"/>
            <w:spacing w:val="-3"/>
            <w:sz w:val="38"/>
          </w:rPr>
          <w:t> </w:t>
        </w:r>
        <w:r>
          <w:rPr>
            <w:color w:val="365F91"/>
            <w:spacing w:val="-8"/>
            <w:sz w:val="38"/>
          </w:rPr>
          <w:t>Schools</w:t>
        </w:r>
      </w:hyperlink>
    </w:p>
    <w:p>
      <w:pPr>
        <w:spacing w:before="239"/>
        <w:ind w:left="464" w:right="0" w:firstLine="0"/>
        <w:jc w:val="left"/>
        <w:rPr>
          <w:sz w:val="28"/>
        </w:rPr>
      </w:pPr>
      <w:bookmarkStart w:name="Introduction" w:id="137"/>
      <w:bookmarkEnd w:id="137"/>
      <w:r>
        <w:rPr/>
      </w: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601664">
                <wp:simplePos x="0" y="0"/>
                <wp:positionH relativeFrom="page">
                  <wp:posOffset>986789</wp:posOffset>
                </wp:positionH>
                <wp:positionV relativeFrom="paragraph">
                  <wp:posOffset>45107</wp:posOffset>
                </wp:positionV>
                <wp:extent cx="5799455" cy="635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51797pt;width:456.601pt;height:.48pt;mso-position-horizontal-relative:page;mso-position-vertical-relative:paragraph;z-index:-15714816;mso-wrap-distance-left:0;mso-wrap-distance-right:0" id="docshape110" filled="true" fillcolor="#4f81bc" stroked="false">
                <v:fill type="solid"/>
                <w10:wrap type="topAndBottom"/>
              </v:rect>
            </w:pict>
          </mc:Fallback>
        </mc:AlternateContent>
      </w:r>
    </w:p>
    <w:p>
      <w:pPr>
        <w:pStyle w:val="BodyText"/>
        <w:spacing w:line="276" w:lineRule="auto" w:before="241"/>
        <w:ind w:left="464" w:right="400"/>
        <w:jc w:val="both"/>
      </w:pPr>
      <w:r>
        <w:rPr/>
        <w:t>Following</w:t>
      </w:r>
      <w:r>
        <w:rPr>
          <w:spacing w:val="-9"/>
        </w:rPr>
        <w:t> </w:t>
      </w:r>
      <w:r>
        <w:rPr/>
        <w:t>the</w:t>
      </w:r>
      <w:r>
        <w:rPr>
          <w:spacing w:val="-9"/>
        </w:rPr>
        <w:t> </w:t>
      </w:r>
      <w:r>
        <w:rPr/>
        <w:t>Commission’s</w:t>
      </w:r>
      <w:r>
        <w:rPr>
          <w:spacing w:val="-9"/>
        </w:rPr>
        <w:t> </w:t>
      </w:r>
      <w:r>
        <w:rPr/>
        <w:t>report</w:t>
      </w:r>
      <w:r>
        <w:rPr>
          <w:spacing w:val="-9"/>
        </w:rPr>
        <w:t> </w:t>
      </w:r>
      <w:r>
        <w:rPr/>
        <w:t>on</w:t>
      </w:r>
      <w:r>
        <w:rPr>
          <w:spacing w:val="-9"/>
        </w:rPr>
        <w:t> </w:t>
      </w:r>
      <w:r>
        <w:rPr/>
        <w:t>child</w:t>
      </w:r>
      <w:r>
        <w:rPr>
          <w:spacing w:val="-10"/>
        </w:rPr>
        <w:t> </w:t>
      </w:r>
      <w:r>
        <w:rPr/>
        <w:t>welfare</w:t>
      </w:r>
      <w:r>
        <w:rPr>
          <w:spacing w:val="-10"/>
        </w:rPr>
        <w:t> </w:t>
      </w:r>
      <w:r>
        <w:rPr/>
        <w:t>and</w:t>
      </w:r>
      <w:r>
        <w:rPr>
          <w:spacing w:val="-10"/>
        </w:rPr>
        <w:t> </w:t>
      </w:r>
      <w:r>
        <w:rPr/>
        <w:t>well-being,</w:t>
      </w:r>
      <w:r>
        <w:rPr>
          <w:spacing w:val="-8"/>
        </w:rPr>
        <w:t> </w:t>
      </w:r>
      <w:r>
        <w:rPr/>
        <w:t>this</w:t>
      </w:r>
      <w:r>
        <w:rPr>
          <w:spacing w:val="-9"/>
        </w:rPr>
        <w:t> </w:t>
      </w:r>
      <w:r>
        <w:rPr/>
        <w:t>report</w:t>
      </w:r>
      <w:r>
        <w:rPr>
          <w:spacing w:val="-9"/>
        </w:rPr>
        <w:t> </w:t>
      </w:r>
      <w:r>
        <w:rPr/>
        <w:t>on</w:t>
      </w:r>
      <w:r>
        <w:rPr>
          <w:spacing w:val="-9"/>
        </w:rPr>
        <w:t> </w:t>
      </w:r>
      <w:r>
        <w:rPr/>
        <w:t>education</w:t>
      </w:r>
      <w:r>
        <w:rPr>
          <w:spacing w:val="-8"/>
        </w:rPr>
        <w:t> </w:t>
      </w:r>
      <w:r>
        <w:rPr/>
        <w:t>highlights key local and national findings that illustrate proven methods to create safer and supportive schools for LGBTQ youth, families, and educators.</w:t>
      </w:r>
    </w:p>
    <w:p>
      <w:pPr>
        <w:spacing w:line="276" w:lineRule="auto" w:before="240"/>
        <w:ind w:left="423" w:right="360" w:firstLine="0"/>
        <w:jc w:val="center"/>
        <w:rPr>
          <w:i/>
          <w:sz w:val="22"/>
        </w:rPr>
      </w:pPr>
      <w:r>
        <w:rPr>
          <w:i/>
          <w:color w:val="1F487C"/>
          <w:sz w:val="22"/>
        </w:rPr>
        <w:t>"School</w:t>
      </w:r>
      <w:r>
        <w:rPr>
          <w:i/>
          <w:color w:val="1F487C"/>
          <w:spacing w:val="-2"/>
          <w:sz w:val="22"/>
        </w:rPr>
        <w:t> </w:t>
      </w:r>
      <w:r>
        <w:rPr>
          <w:i/>
          <w:color w:val="1F487C"/>
          <w:sz w:val="22"/>
        </w:rPr>
        <w:t>should</w:t>
      </w:r>
      <w:r>
        <w:rPr>
          <w:i/>
          <w:color w:val="1F487C"/>
          <w:spacing w:val="-3"/>
          <w:sz w:val="22"/>
        </w:rPr>
        <w:t> </w:t>
      </w:r>
      <w:r>
        <w:rPr>
          <w:i/>
          <w:color w:val="1F487C"/>
          <w:sz w:val="22"/>
        </w:rPr>
        <w:t>be</w:t>
      </w:r>
      <w:r>
        <w:rPr>
          <w:i/>
          <w:color w:val="1F487C"/>
          <w:spacing w:val="-4"/>
          <w:sz w:val="22"/>
        </w:rPr>
        <w:t> </w:t>
      </w:r>
      <w:r>
        <w:rPr>
          <w:i/>
          <w:color w:val="1F487C"/>
          <w:sz w:val="22"/>
        </w:rPr>
        <w:t>a</w:t>
      </w:r>
      <w:r>
        <w:rPr>
          <w:i/>
          <w:color w:val="1F487C"/>
          <w:spacing w:val="-2"/>
          <w:sz w:val="22"/>
        </w:rPr>
        <w:t> </w:t>
      </w:r>
      <w:r>
        <w:rPr>
          <w:i/>
          <w:color w:val="1F487C"/>
          <w:sz w:val="22"/>
        </w:rPr>
        <w:t>place</w:t>
      </w:r>
      <w:r>
        <w:rPr>
          <w:i/>
          <w:color w:val="1F487C"/>
          <w:spacing w:val="-1"/>
          <w:sz w:val="22"/>
        </w:rPr>
        <w:t> </w:t>
      </w:r>
      <w:r>
        <w:rPr>
          <w:i/>
          <w:color w:val="1F487C"/>
          <w:sz w:val="22"/>
        </w:rPr>
        <w:t>where</w:t>
      </w:r>
      <w:r>
        <w:rPr>
          <w:i/>
          <w:color w:val="1F487C"/>
          <w:spacing w:val="-2"/>
          <w:sz w:val="22"/>
        </w:rPr>
        <w:t> </w:t>
      </w:r>
      <w:r>
        <w:rPr>
          <w:i/>
          <w:color w:val="1F487C"/>
          <w:sz w:val="22"/>
        </w:rPr>
        <w:t>all</w:t>
      </w:r>
      <w:r>
        <w:rPr>
          <w:i/>
          <w:color w:val="1F487C"/>
          <w:spacing w:val="-2"/>
          <w:sz w:val="22"/>
        </w:rPr>
        <w:t> </w:t>
      </w:r>
      <w:r>
        <w:rPr>
          <w:i/>
          <w:color w:val="1F487C"/>
          <w:sz w:val="22"/>
        </w:rPr>
        <w:t>students</w:t>
      </w:r>
      <w:r>
        <w:rPr>
          <w:i/>
          <w:color w:val="1F487C"/>
          <w:spacing w:val="-3"/>
          <w:sz w:val="22"/>
        </w:rPr>
        <w:t> </w:t>
      </w:r>
      <w:r>
        <w:rPr>
          <w:i/>
          <w:color w:val="1F487C"/>
          <w:sz w:val="22"/>
        </w:rPr>
        <w:t>feel</w:t>
      </w:r>
      <w:r>
        <w:rPr>
          <w:i/>
          <w:color w:val="1F487C"/>
          <w:spacing w:val="-2"/>
          <w:sz w:val="22"/>
        </w:rPr>
        <w:t> </w:t>
      </w:r>
      <w:r>
        <w:rPr>
          <w:i/>
          <w:color w:val="1F487C"/>
          <w:sz w:val="22"/>
        </w:rPr>
        <w:t>seen,</w:t>
      </w:r>
      <w:r>
        <w:rPr>
          <w:i/>
          <w:color w:val="1F487C"/>
          <w:spacing w:val="-3"/>
          <w:sz w:val="22"/>
        </w:rPr>
        <w:t> </w:t>
      </w:r>
      <w:r>
        <w:rPr>
          <w:i/>
          <w:color w:val="1F487C"/>
          <w:sz w:val="22"/>
        </w:rPr>
        <w:t>heard,</w:t>
      </w:r>
      <w:r>
        <w:rPr>
          <w:i/>
          <w:color w:val="1F487C"/>
          <w:spacing w:val="-3"/>
          <w:sz w:val="22"/>
        </w:rPr>
        <w:t> </w:t>
      </w:r>
      <w:r>
        <w:rPr>
          <w:i/>
          <w:color w:val="1F487C"/>
          <w:sz w:val="22"/>
        </w:rPr>
        <w:t>and</w:t>
      </w:r>
      <w:r>
        <w:rPr>
          <w:i/>
          <w:color w:val="1F487C"/>
          <w:spacing w:val="-2"/>
          <w:sz w:val="22"/>
        </w:rPr>
        <w:t> </w:t>
      </w:r>
      <w:r>
        <w:rPr>
          <w:i/>
          <w:color w:val="1F487C"/>
          <w:sz w:val="22"/>
        </w:rPr>
        <w:t>valued</w:t>
      </w:r>
      <w:r>
        <w:rPr>
          <w:i/>
          <w:color w:val="1F487C"/>
          <w:spacing w:val="-3"/>
          <w:sz w:val="22"/>
        </w:rPr>
        <w:t> </w:t>
      </w:r>
      <w:r>
        <w:rPr>
          <w:i/>
          <w:color w:val="1F487C"/>
          <w:sz w:val="22"/>
        </w:rPr>
        <w:t>for</w:t>
      </w:r>
      <w:r>
        <w:rPr>
          <w:i/>
          <w:color w:val="1F487C"/>
          <w:spacing w:val="-3"/>
          <w:sz w:val="22"/>
        </w:rPr>
        <w:t> </w:t>
      </w:r>
      <w:r>
        <w:rPr>
          <w:i/>
          <w:color w:val="1F487C"/>
          <w:sz w:val="22"/>
        </w:rPr>
        <w:t>who</w:t>
      </w:r>
      <w:r>
        <w:rPr>
          <w:i/>
          <w:color w:val="1F487C"/>
          <w:spacing w:val="-3"/>
          <w:sz w:val="22"/>
        </w:rPr>
        <w:t> </w:t>
      </w:r>
      <w:r>
        <w:rPr>
          <w:i/>
          <w:color w:val="1F487C"/>
          <w:sz w:val="22"/>
        </w:rPr>
        <w:t>they</w:t>
      </w:r>
      <w:r>
        <w:rPr>
          <w:i/>
          <w:color w:val="1F487C"/>
          <w:spacing w:val="-2"/>
          <w:sz w:val="22"/>
        </w:rPr>
        <w:t> </w:t>
      </w:r>
      <w:r>
        <w:rPr>
          <w:i/>
          <w:color w:val="1F487C"/>
          <w:sz w:val="22"/>
        </w:rPr>
        <w:t>are.</w:t>
      </w:r>
      <w:r>
        <w:rPr>
          <w:i/>
          <w:color w:val="1F487C"/>
          <w:spacing w:val="-1"/>
          <w:sz w:val="22"/>
        </w:rPr>
        <w:t> </w:t>
      </w:r>
      <w:r>
        <w:rPr>
          <w:i/>
          <w:color w:val="1F487C"/>
          <w:sz w:val="22"/>
        </w:rPr>
        <w:t>As</w:t>
      </w:r>
      <w:r>
        <w:rPr>
          <w:i/>
          <w:color w:val="1F487C"/>
          <w:spacing w:val="-3"/>
          <w:sz w:val="22"/>
        </w:rPr>
        <w:t> </w:t>
      </w:r>
      <w:r>
        <w:rPr>
          <w:i/>
          <w:color w:val="1F487C"/>
          <w:sz w:val="22"/>
        </w:rPr>
        <w:t>a</w:t>
      </w:r>
      <w:r>
        <w:rPr>
          <w:i/>
          <w:color w:val="1F487C"/>
          <w:spacing w:val="-2"/>
          <w:sz w:val="22"/>
        </w:rPr>
        <w:t> </w:t>
      </w:r>
      <w:r>
        <w:rPr>
          <w:i/>
          <w:color w:val="1F487C"/>
          <w:sz w:val="22"/>
        </w:rPr>
        <w:t>trans</w:t>
      </w:r>
      <w:r>
        <w:rPr>
          <w:i/>
          <w:color w:val="1F487C"/>
          <w:sz w:val="22"/>
        </w:rPr>
        <w:t> and black student, I want a school that celebrates diversity, promotes equity, and ensures that everyone belongs. Education should empower us, not alienate us."</w:t>
      </w:r>
    </w:p>
    <w:p>
      <w:pPr>
        <w:spacing w:before="240"/>
        <w:ind w:left="1161" w:right="1102" w:firstLine="0"/>
        <w:jc w:val="center"/>
        <w:rPr>
          <w:i/>
          <w:sz w:val="22"/>
        </w:rPr>
      </w:pPr>
      <w:r>
        <w:rPr>
          <w:i/>
          <w:color w:val="1F487C"/>
          <w:sz w:val="22"/>
        </w:rPr>
        <w:t>-</w:t>
      </w:r>
      <w:r>
        <w:rPr>
          <w:i/>
          <w:color w:val="1F487C"/>
          <w:spacing w:val="-9"/>
          <w:sz w:val="22"/>
        </w:rPr>
        <w:t> </w:t>
      </w:r>
      <w:r>
        <w:rPr>
          <w:i/>
          <w:color w:val="1F487C"/>
          <w:sz w:val="22"/>
        </w:rPr>
        <w:t>11th</w:t>
      </w:r>
      <w:r>
        <w:rPr>
          <w:i/>
          <w:color w:val="1F487C"/>
          <w:spacing w:val="-8"/>
          <w:sz w:val="22"/>
        </w:rPr>
        <w:t> </w:t>
      </w:r>
      <w:r>
        <w:rPr>
          <w:i/>
          <w:color w:val="1F487C"/>
          <w:sz w:val="22"/>
        </w:rPr>
        <w:t>Grade</w:t>
      </w:r>
      <w:r>
        <w:rPr>
          <w:i/>
          <w:color w:val="1F487C"/>
          <w:spacing w:val="-6"/>
          <w:sz w:val="22"/>
        </w:rPr>
        <w:t> </w:t>
      </w:r>
      <w:r>
        <w:rPr>
          <w:i/>
          <w:color w:val="1F487C"/>
          <w:sz w:val="22"/>
        </w:rPr>
        <w:t>Massachusetts</w:t>
      </w:r>
      <w:r>
        <w:rPr>
          <w:i/>
          <w:color w:val="1F487C"/>
          <w:spacing w:val="-9"/>
          <w:sz w:val="22"/>
        </w:rPr>
        <w:t> </w:t>
      </w:r>
      <w:r>
        <w:rPr>
          <w:i/>
          <w:color w:val="1F487C"/>
          <w:spacing w:val="-2"/>
          <w:sz w:val="22"/>
        </w:rPr>
        <w:t>Student</w:t>
      </w:r>
    </w:p>
    <w:p>
      <w:pPr>
        <w:pStyle w:val="BodyText"/>
        <w:spacing w:before="11"/>
        <w:rPr>
          <w:i/>
        </w:rPr>
      </w:pPr>
    </w:p>
    <w:p>
      <w:pPr>
        <w:pStyle w:val="BodyText"/>
        <w:spacing w:line="276" w:lineRule="auto"/>
        <w:ind w:left="464" w:right="403"/>
        <w:jc w:val="both"/>
      </w:pPr>
      <w:r>
        <w:rPr/>
        <w:t>The Commission and the Department of Elementary and Secondary Education (DESE) jointly sponsor the</w:t>
      </w:r>
      <w:r>
        <w:rPr>
          <w:spacing w:val="-10"/>
        </w:rPr>
        <w:t> </w:t>
      </w:r>
      <w:r>
        <w:rPr/>
        <w:t>Safe</w:t>
      </w:r>
      <w:r>
        <w:rPr>
          <w:spacing w:val="-10"/>
        </w:rPr>
        <w:t> </w:t>
      </w:r>
      <w:r>
        <w:rPr/>
        <w:t>Schools</w:t>
      </w:r>
      <w:r>
        <w:rPr>
          <w:spacing w:val="-11"/>
        </w:rPr>
        <w:t> </w:t>
      </w:r>
      <w:r>
        <w:rPr/>
        <w:t>Program</w:t>
      </w:r>
      <w:r>
        <w:rPr>
          <w:spacing w:val="-12"/>
        </w:rPr>
        <w:t> </w:t>
      </w:r>
      <w:r>
        <w:rPr/>
        <w:t>for</w:t>
      </w:r>
      <w:r>
        <w:rPr>
          <w:spacing w:val="-11"/>
        </w:rPr>
        <w:t> </w:t>
      </w:r>
      <w:r>
        <w:rPr/>
        <w:t>LGBTQ</w:t>
      </w:r>
      <w:r>
        <w:rPr>
          <w:spacing w:val="-10"/>
        </w:rPr>
        <w:t> </w:t>
      </w:r>
      <w:r>
        <w:rPr/>
        <w:t>Students,</w:t>
      </w:r>
      <w:r>
        <w:rPr>
          <w:spacing w:val="-11"/>
        </w:rPr>
        <w:t> </w:t>
      </w:r>
      <w:r>
        <w:rPr/>
        <w:t>a</w:t>
      </w:r>
      <w:r>
        <w:rPr>
          <w:spacing w:val="-10"/>
        </w:rPr>
        <w:t> </w:t>
      </w:r>
      <w:r>
        <w:rPr/>
        <w:t>program</w:t>
      </w:r>
      <w:r>
        <w:rPr>
          <w:spacing w:val="-12"/>
        </w:rPr>
        <w:t> </w:t>
      </w:r>
      <w:r>
        <w:rPr/>
        <w:t>which</w:t>
      </w:r>
      <w:r>
        <w:rPr>
          <w:spacing w:val="-10"/>
        </w:rPr>
        <w:t> </w:t>
      </w:r>
      <w:r>
        <w:rPr/>
        <w:t>offers</w:t>
      </w:r>
      <w:r>
        <w:rPr>
          <w:spacing w:val="-11"/>
        </w:rPr>
        <w:t> </w:t>
      </w:r>
      <w:r>
        <w:rPr/>
        <w:t>direct</w:t>
      </w:r>
      <w:r>
        <w:rPr>
          <w:spacing w:val="-11"/>
        </w:rPr>
        <w:t> </w:t>
      </w:r>
      <w:r>
        <w:rPr/>
        <w:t>support</w:t>
      </w:r>
      <w:r>
        <w:rPr>
          <w:spacing w:val="-11"/>
        </w:rPr>
        <w:t> </w:t>
      </w:r>
      <w:r>
        <w:rPr/>
        <w:t>to</w:t>
      </w:r>
      <w:r>
        <w:rPr>
          <w:spacing w:val="-11"/>
        </w:rPr>
        <w:t> </w:t>
      </w:r>
      <w:r>
        <w:rPr/>
        <w:t>districts</w:t>
      </w:r>
      <w:r>
        <w:rPr>
          <w:spacing w:val="-11"/>
        </w:rPr>
        <w:t> </w:t>
      </w:r>
      <w:r>
        <w:rPr/>
        <w:t>across Massachusetts on policy, training, technical assistance, and student leadership.</w:t>
      </w:r>
    </w:p>
    <w:p>
      <w:pPr>
        <w:spacing w:before="241"/>
        <w:ind w:left="464" w:right="0" w:firstLine="0"/>
        <w:jc w:val="both"/>
        <w:rPr>
          <w:sz w:val="28"/>
        </w:rPr>
      </w:pPr>
      <w:bookmarkStart w:name="FY 2025 Recommendations to the Governor " w:id="138"/>
      <w:bookmarkEnd w:id="138"/>
      <w:r>
        <w:rPr/>
      </w: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Recommendations</w:t>
      </w:r>
      <w:r>
        <w:rPr>
          <w:color w:val="365F91"/>
          <w:spacing w:val="-10"/>
          <w:sz w:val="28"/>
        </w:rPr>
        <w:t> </w:t>
      </w:r>
      <w:r>
        <w:rPr>
          <w:color w:val="365F91"/>
          <w:sz w:val="28"/>
        </w:rPr>
        <w:t>to</w:t>
      </w:r>
      <w:r>
        <w:rPr>
          <w:color w:val="365F91"/>
          <w:spacing w:val="-8"/>
          <w:sz w:val="28"/>
        </w:rPr>
        <w:t> </w:t>
      </w:r>
      <w:r>
        <w:rPr>
          <w:color w:val="365F91"/>
          <w:sz w:val="28"/>
        </w:rPr>
        <w:t>the</w:t>
      </w:r>
      <w:r>
        <w:rPr>
          <w:color w:val="365F91"/>
          <w:spacing w:val="-10"/>
          <w:sz w:val="28"/>
        </w:rPr>
        <w:t> </w:t>
      </w:r>
      <w:r>
        <w:rPr>
          <w:color w:val="365F91"/>
          <w:sz w:val="28"/>
        </w:rPr>
        <w:t>Governor</w:t>
      </w:r>
      <w:r>
        <w:rPr>
          <w:color w:val="365F91"/>
          <w:spacing w:val="-10"/>
          <w:sz w:val="28"/>
        </w:rPr>
        <w:t> </w:t>
      </w:r>
      <w:r>
        <w:rPr>
          <w:color w:val="365F91"/>
          <w:sz w:val="28"/>
        </w:rPr>
        <w:t>and</w:t>
      </w:r>
      <w:r>
        <w:rPr>
          <w:color w:val="365F91"/>
          <w:spacing w:val="-10"/>
          <w:sz w:val="28"/>
        </w:rPr>
        <w:t> </w:t>
      </w:r>
      <w:r>
        <w:rPr>
          <w:color w:val="365F91"/>
          <w:sz w:val="28"/>
        </w:rPr>
        <w:t>Legislature</w:t>
      </w:r>
      <w:r>
        <w:rPr>
          <w:color w:val="365F91"/>
          <w:spacing w:val="-10"/>
          <w:sz w:val="28"/>
        </w:rPr>
        <w:t> </w:t>
      </w:r>
      <w:r>
        <w:rPr>
          <w:color w:val="365F91"/>
          <w:sz w:val="28"/>
        </w:rPr>
        <w:t>on</w:t>
      </w:r>
      <w:r>
        <w:rPr>
          <w:color w:val="365F91"/>
          <w:spacing w:val="-10"/>
          <w:sz w:val="28"/>
        </w:rPr>
        <w:t> </w:t>
      </w:r>
      <w:r>
        <w:rPr>
          <w:color w:val="365F91"/>
          <w:spacing w:val="-2"/>
          <w:sz w:val="28"/>
        </w:rPr>
        <w:t>Education</w:t>
      </w:r>
    </w:p>
    <w:p>
      <w:pPr>
        <w:pStyle w:val="BodyText"/>
        <w:spacing w:before="9"/>
        <w:rPr>
          <w:sz w:val="3"/>
        </w:rPr>
      </w:pPr>
      <w:r>
        <w:rPr/>
        <mc:AlternateContent>
          <mc:Choice Requires="wps">
            <w:drawing>
              <wp:anchor distT="0" distB="0" distL="0" distR="0" allowOverlap="1" layoutInCell="1" locked="0" behindDoc="1" simplePos="0" relativeHeight="487602176">
                <wp:simplePos x="0" y="0"/>
                <wp:positionH relativeFrom="page">
                  <wp:posOffset>986789</wp:posOffset>
                </wp:positionH>
                <wp:positionV relativeFrom="paragraph">
                  <wp:posOffset>44546</wp:posOffset>
                </wp:positionV>
                <wp:extent cx="5799455" cy="635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07637pt;width:456.601pt;height:.48pt;mso-position-horizontal-relative:page;mso-position-vertical-relative:paragraph;z-index:-15714304;mso-wrap-distance-left:0;mso-wrap-distance-right:0" id="docshape111" filled="true" fillcolor="#4f81bc" stroked="false">
                <v:fill type="solid"/>
                <w10:wrap type="topAndBottom"/>
              </v:rect>
            </w:pict>
          </mc:Fallback>
        </mc:AlternateContent>
      </w:r>
    </w:p>
    <w:p>
      <w:pPr>
        <w:numPr>
          <w:ilvl w:val="0"/>
          <w:numId w:val="16"/>
        </w:numPr>
        <w:tabs>
          <w:tab w:pos="461" w:val="left" w:leader="none"/>
          <w:tab w:pos="463" w:val="left" w:leader="none"/>
        </w:tabs>
        <w:spacing w:line="276" w:lineRule="auto" w:before="241"/>
        <w:ind w:left="463" w:right="400" w:hanging="360"/>
        <w:jc w:val="both"/>
        <w:rPr>
          <w:b/>
          <w:sz w:val="22"/>
        </w:rPr>
      </w:pPr>
      <w:r>
        <w:rPr>
          <w:b/>
          <w:sz w:val="22"/>
        </w:rPr>
        <w:t>Support efforts for all schools in the Commonwealth to receive comprehensive training and professional development to increase the capacity of educators and administrators to support LGBTQ students, including BIPOC LGBTQ students.</w:t>
      </w:r>
    </w:p>
    <w:p>
      <w:pPr>
        <w:pStyle w:val="BodyText"/>
        <w:spacing w:line="276" w:lineRule="auto" w:before="240"/>
        <w:ind w:left="463" w:right="403"/>
        <w:jc w:val="both"/>
      </w:pPr>
      <w:r>
        <w:rPr/>
        <w:t>The Commission recommends that schools at all levels provide training for all staff and educators on empathy building, inclusive curriculum, skill development for support, student leadership and development,</w:t>
      </w:r>
      <w:r>
        <w:rPr>
          <w:spacing w:val="-3"/>
        </w:rPr>
        <w:t> </w:t>
      </w:r>
      <w:r>
        <w:rPr/>
        <w:t>and</w:t>
      </w:r>
      <w:r>
        <w:rPr>
          <w:spacing w:val="-3"/>
        </w:rPr>
        <w:t> </w:t>
      </w:r>
      <w:r>
        <w:rPr/>
        <w:t>policy</w:t>
      </w:r>
      <w:r>
        <w:rPr>
          <w:spacing w:val="-3"/>
        </w:rPr>
        <w:t> </w:t>
      </w:r>
      <w:r>
        <w:rPr/>
        <w:t>creation.</w:t>
      </w:r>
      <w:r>
        <w:rPr>
          <w:spacing w:val="-3"/>
        </w:rPr>
        <w:t> </w:t>
      </w:r>
      <w:r>
        <w:rPr/>
        <w:t>This</w:t>
      </w:r>
      <w:r>
        <w:rPr>
          <w:spacing w:val="-1"/>
        </w:rPr>
        <w:t> </w:t>
      </w:r>
      <w:r>
        <w:rPr/>
        <w:t>training</w:t>
      </w:r>
      <w:r>
        <w:rPr>
          <w:spacing w:val="-2"/>
        </w:rPr>
        <w:t> </w:t>
      </w:r>
      <w:r>
        <w:rPr/>
        <w:t>should</w:t>
      </w:r>
      <w:r>
        <w:rPr>
          <w:spacing w:val="-3"/>
        </w:rPr>
        <w:t> </w:t>
      </w:r>
      <w:r>
        <w:rPr/>
        <w:t>specifically</w:t>
      </w:r>
      <w:r>
        <w:rPr>
          <w:spacing w:val="-1"/>
        </w:rPr>
        <w:t> </w:t>
      </w:r>
      <w:r>
        <w:rPr/>
        <w:t>address</w:t>
      </w:r>
      <w:r>
        <w:rPr>
          <w:spacing w:val="-2"/>
        </w:rPr>
        <w:t> </w:t>
      </w:r>
      <w:r>
        <w:rPr/>
        <w:t>the</w:t>
      </w:r>
      <w:r>
        <w:rPr>
          <w:spacing w:val="-2"/>
        </w:rPr>
        <w:t> </w:t>
      </w:r>
      <w:r>
        <w:rPr/>
        <w:t>unique</w:t>
      </w:r>
      <w:r>
        <w:rPr>
          <w:spacing w:val="-2"/>
        </w:rPr>
        <w:t> </w:t>
      </w:r>
      <w:r>
        <w:rPr/>
        <w:t>needs</w:t>
      </w:r>
      <w:r>
        <w:rPr>
          <w:spacing w:val="-1"/>
        </w:rPr>
        <w:t> </w:t>
      </w:r>
      <w:r>
        <w:rPr/>
        <w:t>of</w:t>
      </w:r>
      <w:r>
        <w:rPr>
          <w:spacing w:val="-3"/>
        </w:rPr>
        <w:t> </w:t>
      </w:r>
      <w:r>
        <w:rPr/>
        <w:t>BIPOC LGBTQ students and include current information on the role of schools in preventing sexual violence against LGBTQ students.</w:t>
      </w:r>
    </w:p>
    <w:p>
      <w:pPr>
        <w:pStyle w:val="BodyText"/>
        <w:spacing w:line="276" w:lineRule="auto" w:before="240"/>
        <w:ind w:left="463" w:right="404"/>
        <w:jc w:val="both"/>
      </w:pPr>
      <w:r>
        <w:rPr/>
        <w:t>Moreover, the Commission advises that these trainings include interactive components on how to intervene in bullying incidents and educate youth on preventing bullying and discrimination, with special attention to supporting neurodivergent and disabled students. Additional recommendations on bullying are detailed in the public health section of this annual report.</w:t>
      </w:r>
    </w:p>
    <w:p>
      <w:pPr>
        <w:numPr>
          <w:ilvl w:val="0"/>
          <w:numId w:val="16"/>
        </w:numPr>
        <w:tabs>
          <w:tab w:pos="461" w:val="left" w:leader="none"/>
          <w:tab w:pos="463" w:val="left" w:leader="none"/>
        </w:tabs>
        <w:spacing w:line="276" w:lineRule="auto" w:before="240"/>
        <w:ind w:left="463" w:right="402" w:hanging="360"/>
        <w:jc w:val="both"/>
        <w:rPr>
          <w:b/>
          <w:sz w:val="22"/>
        </w:rPr>
      </w:pPr>
      <w:r>
        <w:rPr>
          <w:b/>
          <w:sz w:val="22"/>
        </w:rPr>
        <w:t>Provide</w:t>
      </w:r>
      <w:r>
        <w:rPr>
          <w:b/>
          <w:spacing w:val="-13"/>
          <w:sz w:val="22"/>
        </w:rPr>
        <w:t> </w:t>
      </w:r>
      <w:r>
        <w:rPr>
          <w:b/>
          <w:sz w:val="22"/>
        </w:rPr>
        <w:t>professional</w:t>
      </w:r>
      <w:r>
        <w:rPr>
          <w:b/>
          <w:spacing w:val="-12"/>
          <w:sz w:val="22"/>
        </w:rPr>
        <w:t> </w:t>
      </w:r>
      <w:r>
        <w:rPr>
          <w:b/>
          <w:sz w:val="22"/>
        </w:rPr>
        <w:t>development,</w:t>
      </w:r>
      <w:r>
        <w:rPr>
          <w:b/>
          <w:spacing w:val="-13"/>
          <w:sz w:val="22"/>
        </w:rPr>
        <w:t> </w:t>
      </w:r>
      <w:r>
        <w:rPr>
          <w:b/>
          <w:sz w:val="22"/>
        </w:rPr>
        <w:t>mentorship,</w:t>
      </w:r>
      <w:r>
        <w:rPr>
          <w:b/>
          <w:spacing w:val="-12"/>
          <w:sz w:val="22"/>
        </w:rPr>
        <w:t> </w:t>
      </w:r>
      <w:r>
        <w:rPr>
          <w:b/>
          <w:sz w:val="22"/>
        </w:rPr>
        <w:t>and</w:t>
      </w:r>
      <w:r>
        <w:rPr>
          <w:b/>
          <w:spacing w:val="-13"/>
          <w:sz w:val="22"/>
        </w:rPr>
        <w:t> </w:t>
      </w:r>
      <w:r>
        <w:rPr>
          <w:b/>
          <w:sz w:val="22"/>
        </w:rPr>
        <w:t>support</w:t>
      </w:r>
      <w:r>
        <w:rPr>
          <w:b/>
          <w:spacing w:val="-12"/>
          <w:sz w:val="22"/>
        </w:rPr>
        <w:t> </w:t>
      </w:r>
      <w:r>
        <w:rPr>
          <w:b/>
          <w:sz w:val="22"/>
        </w:rPr>
        <w:t>for</w:t>
      </w:r>
      <w:r>
        <w:rPr>
          <w:b/>
          <w:spacing w:val="-13"/>
          <w:sz w:val="22"/>
        </w:rPr>
        <w:t> </w:t>
      </w:r>
      <w:r>
        <w:rPr>
          <w:b/>
          <w:sz w:val="22"/>
        </w:rPr>
        <w:t>advisors</w:t>
      </w:r>
      <w:r>
        <w:rPr>
          <w:b/>
          <w:spacing w:val="-12"/>
          <w:sz w:val="22"/>
        </w:rPr>
        <w:t> </w:t>
      </w:r>
      <w:r>
        <w:rPr>
          <w:b/>
          <w:sz w:val="22"/>
        </w:rPr>
        <w:t>of</w:t>
      </w:r>
      <w:r>
        <w:rPr>
          <w:b/>
          <w:spacing w:val="-12"/>
          <w:sz w:val="22"/>
        </w:rPr>
        <w:t> </w:t>
      </w:r>
      <w:r>
        <w:rPr>
          <w:b/>
          <w:sz w:val="22"/>
        </w:rPr>
        <w:t>GSAs,</w:t>
      </w:r>
      <w:r>
        <w:rPr>
          <w:b/>
          <w:spacing w:val="-13"/>
          <w:sz w:val="22"/>
        </w:rPr>
        <w:t> </w:t>
      </w:r>
      <w:r>
        <w:rPr>
          <w:b/>
          <w:sz w:val="22"/>
        </w:rPr>
        <w:t>affinity</w:t>
      </w:r>
      <w:r>
        <w:rPr>
          <w:b/>
          <w:spacing w:val="-12"/>
          <w:sz w:val="22"/>
        </w:rPr>
        <w:t> </w:t>
      </w:r>
      <w:r>
        <w:rPr>
          <w:b/>
          <w:sz w:val="22"/>
        </w:rPr>
        <w:t>spaces</w:t>
      </w:r>
      <w:r>
        <w:rPr>
          <w:b/>
          <w:spacing w:val="-13"/>
          <w:sz w:val="22"/>
        </w:rPr>
        <w:t> </w:t>
      </w:r>
      <w:r>
        <w:rPr>
          <w:b/>
          <w:sz w:val="22"/>
        </w:rPr>
        <w:t>and similar student clubs, focusing on: creating consistent, affirming, resource-rich environments responsive</w:t>
      </w:r>
      <w:r>
        <w:rPr>
          <w:b/>
          <w:spacing w:val="-3"/>
          <w:sz w:val="22"/>
        </w:rPr>
        <w:t> </w:t>
      </w:r>
      <w:r>
        <w:rPr>
          <w:b/>
          <w:sz w:val="22"/>
        </w:rPr>
        <w:t>to</w:t>
      </w:r>
      <w:r>
        <w:rPr>
          <w:b/>
          <w:spacing w:val="-4"/>
          <w:sz w:val="22"/>
        </w:rPr>
        <w:t> </w:t>
      </w:r>
      <w:r>
        <w:rPr>
          <w:b/>
          <w:sz w:val="22"/>
        </w:rPr>
        <w:t>student</w:t>
      </w:r>
      <w:r>
        <w:rPr>
          <w:b/>
          <w:spacing w:val="-3"/>
          <w:sz w:val="22"/>
        </w:rPr>
        <w:t> </w:t>
      </w:r>
      <w:r>
        <w:rPr>
          <w:b/>
          <w:sz w:val="22"/>
        </w:rPr>
        <w:t>needs;</w:t>
      </w:r>
      <w:r>
        <w:rPr>
          <w:b/>
          <w:spacing w:val="-3"/>
          <w:sz w:val="22"/>
        </w:rPr>
        <w:t> </w:t>
      </w:r>
      <w:r>
        <w:rPr>
          <w:b/>
          <w:sz w:val="22"/>
        </w:rPr>
        <w:t>supporting</w:t>
      </w:r>
      <w:r>
        <w:rPr>
          <w:b/>
          <w:spacing w:val="-4"/>
          <w:sz w:val="22"/>
        </w:rPr>
        <w:t> </w:t>
      </w:r>
      <w:r>
        <w:rPr>
          <w:b/>
          <w:sz w:val="22"/>
        </w:rPr>
        <w:t>youth</w:t>
      </w:r>
      <w:r>
        <w:rPr>
          <w:b/>
          <w:spacing w:val="-4"/>
          <w:sz w:val="22"/>
        </w:rPr>
        <w:t> </w:t>
      </w:r>
      <w:r>
        <w:rPr>
          <w:b/>
          <w:sz w:val="22"/>
        </w:rPr>
        <w:t>leadership</w:t>
      </w:r>
      <w:r>
        <w:rPr>
          <w:b/>
          <w:spacing w:val="-3"/>
          <w:sz w:val="22"/>
        </w:rPr>
        <w:t> </w:t>
      </w:r>
      <w:r>
        <w:rPr>
          <w:b/>
          <w:sz w:val="22"/>
        </w:rPr>
        <w:t>and</w:t>
      </w:r>
      <w:r>
        <w:rPr>
          <w:b/>
          <w:spacing w:val="-3"/>
          <w:sz w:val="22"/>
        </w:rPr>
        <w:t> </w:t>
      </w:r>
      <w:r>
        <w:rPr>
          <w:b/>
          <w:sz w:val="22"/>
        </w:rPr>
        <w:t>advocacy;</w:t>
      </w:r>
      <w:r>
        <w:rPr>
          <w:b/>
          <w:spacing w:val="-2"/>
          <w:sz w:val="22"/>
        </w:rPr>
        <w:t> </w:t>
      </w:r>
      <w:r>
        <w:rPr>
          <w:b/>
          <w:sz w:val="22"/>
        </w:rPr>
        <w:t>and</w:t>
      </w:r>
      <w:r>
        <w:rPr>
          <w:b/>
          <w:spacing w:val="-4"/>
          <w:sz w:val="22"/>
        </w:rPr>
        <w:t> </w:t>
      </w:r>
      <w:r>
        <w:rPr>
          <w:b/>
          <w:sz w:val="22"/>
        </w:rPr>
        <w:t>providing</w:t>
      </w:r>
      <w:r>
        <w:rPr>
          <w:b/>
          <w:spacing w:val="-3"/>
          <w:sz w:val="22"/>
        </w:rPr>
        <w:t> </w:t>
      </w:r>
      <w:r>
        <w:rPr>
          <w:b/>
          <w:sz w:val="22"/>
        </w:rPr>
        <w:t>structure</w:t>
      </w:r>
      <w:r>
        <w:rPr>
          <w:b/>
          <w:spacing w:val="-3"/>
          <w:sz w:val="22"/>
        </w:rPr>
        <w:t> </w:t>
      </w:r>
      <w:r>
        <w:rPr>
          <w:b/>
          <w:sz w:val="22"/>
        </w:rPr>
        <w:t>to </w:t>
      </w:r>
      <w:r>
        <w:rPr>
          <w:b/>
          <w:spacing w:val="-2"/>
          <w:sz w:val="22"/>
        </w:rPr>
        <w:t>meetings.</w:t>
      </w:r>
    </w:p>
    <w:p>
      <w:pPr>
        <w:pStyle w:val="BodyText"/>
        <w:spacing w:line="276" w:lineRule="auto" w:before="240"/>
        <w:ind w:left="463" w:right="403"/>
        <w:jc w:val="both"/>
      </w:pPr>
      <w:r>
        <w:rPr/>
        <w:t>It is essential for advisors of all student clubs to possess knowledge and skills in best practices for supporting youth leadership, running effective meetings, and creating supportive environments for young</w:t>
      </w:r>
      <w:r>
        <w:rPr>
          <w:spacing w:val="-6"/>
        </w:rPr>
        <w:t> </w:t>
      </w:r>
      <w:r>
        <w:rPr/>
        <w:t>people.</w:t>
      </w:r>
      <w:r>
        <w:rPr>
          <w:spacing w:val="-6"/>
        </w:rPr>
        <w:t> </w:t>
      </w:r>
      <w:r>
        <w:rPr/>
        <w:t>However,</w:t>
      </w:r>
      <w:r>
        <w:rPr>
          <w:spacing w:val="-5"/>
        </w:rPr>
        <w:t> </w:t>
      </w:r>
      <w:r>
        <w:rPr/>
        <w:t>this</w:t>
      </w:r>
      <w:r>
        <w:rPr>
          <w:spacing w:val="-5"/>
        </w:rPr>
        <w:t> </w:t>
      </w:r>
      <w:r>
        <w:rPr/>
        <w:t>is</w:t>
      </w:r>
      <w:r>
        <w:rPr>
          <w:spacing w:val="-5"/>
        </w:rPr>
        <w:t> </w:t>
      </w:r>
      <w:r>
        <w:rPr/>
        <w:t>especially</w:t>
      </w:r>
      <w:r>
        <w:rPr>
          <w:spacing w:val="-5"/>
        </w:rPr>
        <w:t> </w:t>
      </w:r>
      <w:r>
        <w:rPr/>
        <w:t>important</w:t>
      </w:r>
      <w:r>
        <w:rPr>
          <w:spacing w:val="-6"/>
        </w:rPr>
        <w:t> </w:t>
      </w:r>
      <w:r>
        <w:rPr/>
        <w:t>for</w:t>
      </w:r>
      <w:r>
        <w:rPr>
          <w:spacing w:val="-5"/>
        </w:rPr>
        <w:t> </w:t>
      </w:r>
      <w:r>
        <w:rPr/>
        <w:t>advisors</w:t>
      </w:r>
      <w:r>
        <w:rPr>
          <w:spacing w:val="-5"/>
        </w:rPr>
        <w:t> </w:t>
      </w:r>
      <w:r>
        <w:rPr/>
        <w:t>of</w:t>
      </w:r>
      <w:r>
        <w:rPr>
          <w:spacing w:val="-6"/>
        </w:rPr>
        <w:t> </w:t>
      </w:r>
      <w:r>
        <w:rPr/>
        <w:t>identity-based</w:t>
      </w:r>
      <w:r>
        <w:rPr>
          <w:spacing w:val="-6"/>
        </w:rPr>
        <w:t> </w:t>
      </w:r>
      <w:r>
        <w:rPr/>
        <w:t>clubs,</w:t>
      </w:r>
      <w:r>
        <w:rPr>
          <w:spacing w:val="-5"/>
        </w:rPr>
        <w:t> </w:t>
      </w:r>
      <w:r>
        <w:rPr/>
        <w:t>such</w:t>
      </w:r>
      <w:r>
        <w:rPr>
          <w:spacing w:val="-4"/>
        </w:rPr>
        <w:t> </w:t>
      </w:r>
      <w:r>
        <w:rPr/>
        <w:t>as</w:t>
      </w:r>
      <w:r>
        <w:rPr>
          <w:spacing w:val="-5"/>
        </w:rPr>
        <w:t> </w:t>
      </w:r>
      <w:r>
        <w:rPr/>
        <w:t>GSAs,</w:t>
      </w:r>
    </w:p>
    <w:p>
      <w:pPr>
        <w:spacing w:after="0" w:line="276" w:lineRule="auto"/>
        <w:jc w:val="both"/>
        <w:sectPr>
          <w:headerReference w:type="default" r:id="rId101"/>
          <w:footerReference w:type="default" r:id="rId102"/>
          <w:pgSz w:w="12240" w:h="15840"/>
          <w:pgMar w:header="763" w:footer="1041" w:top="1140" w:bottom="1240" w:left="1120" w:right="1180"/>
          <w:pgNumType w:start="31"/>
        </w:sectPr>
      </w:pPr>
    </w:p>
    <w:p>
      <w:pPr>
        <w:pStyle w:val="BodyText"/>
        <w:spacing w:line="276" w:lineRule="auto" w:before="66"/>
        <w:ind w:left="463" w:right="404"/>
        <w:jc w:val="both"/>
      </w:pPr>
      <w:r>
        <w:rPr/>
        <w:t>who are responsible for creating co-curricular spaces that foster belonging and community for marginalized students. Therefore, the Commission recommends providing training, mentorship, and support for GSA advisors in these areas, as well as allocating dedicated planning time during their workday specifically for club-related activities.</w:t>
      </w:r>
    </w:p>
    <w:p>
      <w:pPr>
        <w:numPr>
          <w:ilvl w:val="0"/>
          <w:numId w:val="16"/>
        </w:numPr>
        <w:tabs>
          <w:tab w:pos="461" w:val="left" w:leader="none"/>
          <w:tab w:pos="463" w:val="left" w:leader="none"/>
        </w:tabs>
        <w:spacing w:line="276" w:lineRule="auto" w:before="239"/>
        <w:ind w:left="463" w:right="400" w:hanging="360"/>
        <w:jc w:val="both"/>
        <w:rPr>
          <w:b/>
          <w:sz w:val="22"/>
        </w:rPr>
      </w:pPr>
      <w:r>
        <w:rPr>
          <w:b/>
          <w:sz w:val="22"/>
        </w:rPr>
        <w:t>Encourage administrators</w:t>
      </w:r>
      <w:r>
        <w:rPr>
          <w:b/>
          <w:spacing w:val="-2"/>
          <w:sz w:val="22"/>
        </w:rPr>
        <w:t> </w:t>
      </w:r>
      <w:r>
        <w:rPr>
          <w:b/>
          <w:sz w:val="22"/>
        </w:rPr>
        <w:t>and</w:t>
      </w:r>
      <w:r>
        <w:rPr>
          <w:b/>
          <w:spacing w:val="-1"/>
          <w:sz w:val="22"/>
        </w:rPr>
        <w:t> </w:t>
      </w:r>
      <w:r>
        <w:rPr>
          <w:b/>
          <w:sz w:val="22"/>
        </w:rPr>
        <w:t>educators to</w:t>
      </w:r>
      <w:r>
        <w:rPr>
          <w:b/>
          <w:spacing w:val="-1"/>
          <w:sz w:val="22"/>
        </w:rPr>
        <w:t> </w:t>
      </w:r>
      <w:r>
        <w:rPr>
          <w:b/>
          <w:sz w:val="22"/>
        </w:rPr>
        <w:t>actively</w:t>
      </w:r>
      <w:r>
        <w:rPr>
          <w:b/>
          <w:spacing w:val="-1"/>
          <w:sz w:val="22"/>
        </w:rPr>
        <w:t> </w:t>
      </w:r>
      <w:r>
        <w:rPr>
          <w:b/>
          <w:sz w:val="22"/>
        </w:rPr>
        <w:t>express their</w:t>
      </w:r>
      <w:r>
        <w:rPr>
          <w:b/>
          <w:spacing w:val="-2"/>
          <w:sz w:val="22"/>
        </w:rPr>
        <w:t> </w:t>
      </w:r>
      <w:r>
        <w:rPr>
          <w:b/>
          <w:sz w:val="22"/>
        </w:rPr>
        <w:t>support</w:t>
      </w:r>
      <w:r>
        <w:rPr>
          <w:b/>
          <w:spacing w:val="-1"/>
          <w:sz w:val="22"/>
        </w:rPr>
        <w:t> </w:t>
      </w:r>
      <w:r>
        <w:rPr>
          <w:b/>
          <w:sz w:val="22"/>
        </w:rPr>
        <w:t>for materials on</w:t>
      </w:r>
      <w:r>
        <w:rPr>
          <w:b/>
          <w:spacing w:val="-1"/>
          <w:sz w:val="22"/>
        </w:rPr>
        <w:t> </w:t>
      </w:r>
      <w:r>
        <w:rPr>
          <w:b/>
          <w:sz w:val="22"/>
        </w:rPr>
        <w:t>race and LGBTQ topics and establish statewide guidelines and best practices for addressing challenged curricula and conducting book reviews.</w:t>
      </w:r>
    </w:p>
    <w:p>
      <w:pPr>
        <w:pStyle w:val="BodyText"/>
        <w:spacing w:line="276" w:lineRule="auto" w:before="240"/>
        <w:ind w:left="463" w:right="402"/>
        <w:jc w:val="both"/>
      </w:pPr>
      <w:r>
        <w:rPr/>
        <w:t>As the trend of attacking school-based content related to race and LGBTQ+ topics continues throughout the Commonwealth, a concerted effort should be made to develop strategies and best practices for addressing challenges related to curricula and books, and to provide support and resources to administrators, educators, and librarians. The Commission recommends that administrators proactively voice their support of LGBTQ materials, in line with the Principles for Ensuring</w:t>
      </w:r>
      <w:r>
        <w:rPr>
          <w:spacing w:val="-1"/>
        </w:rPr>
        <w:t> </w:t>
      </w:r>
      <w:r>
        <w:rPr/>
        <w:t>Safe</w:t>
      </w:r>
      <w:r>
        <w:rPr>
          <w:spacing w:val="-2"/>
        </w:rPr>
        <w:t> </w:t>
      </w:r>
      <w:r>
        <w:rPr/>
        <w:t>and</w:t>
      </w:r>
      <w:r>
        <w:rPr>
          <w:spacing w:val="-2"/>
        </w:rPr>
        <w:t> </w:t>
      </w:r>
      <w:r>
        <w:rPr/>
        <w:t>Supportive</w:t>
      </w:r>
      <w:r>
        <w:rPr>
          <w:spacing w:val="-3"/>
        </w:rPr>
        <w:t> </w:t>
      </w:r>
      <w:r>
        <w:rPr/>
        <w:t>Learning</w:t>
      </w:r>
      <w:r>
        <w:rPr>
          <w:spacing w:val="-2"/>
        </w:rPr>
        <w:t> </w:t>
      </w:r>
      <w:r>
        <w:rPr/>
        <w:t>Environments</w:t>
      </w:r>
      <w:r>
        <w:rPr>
          <w:spacing w:val="-1"/>
        </w:rPr>
        <w:t> </w:t>
      </w:r>
      <w:r>
        <w:rPr/>
        <w:t>for</w:t>
      </w:r>
      <w:r>
        <w:rPr>
          <w:spacing w:val="-3"/>
        </w:rPr>
        <w:t> </w:t>
      </w:r>
      <w:r>
        <w:rPr/>
        <w:t>LGBTQ</w:t>
      </w:r>
      <w:r>
        <w:rPr>
          <w:spacing w:val="-2"/>
        </w:rPr>
        <w:t> </w:t>
      </w:r>
      <w:r>
        <w:rPr/>
        <w:t>Students</w:t>
      </w:r>
      <w:hyperlink w:history="true" w:anchor="_bookmark40">
        <w:r>
          <w:rPr>
            <w:vertAlign w:val="superscript"/>
          </w:rPr>
          <w:t>1</w:t>
        </w:r>
      </w:hyperlink>
      <w:r>
        <w:rPr>
          <w:vertAlign w:val="baseline"/>
        </w:rPr>
        <w:t>.</w:t>
      </w:r>
      <w:r>
        <w:rPr>
          <w:spacing w:val="-3"/>
          <w:vertAlign w:val="baseline"/>
        </w:rPr>
        <w:t> </w:t>
      </w:r>
      <w:r>
        <w:rPr>
          <w:vertAlign w:val="baseline"/>
        </w:rPr>
        <w:t>Furthermore,</w:t>
      </w:r>
      <w:r>
        <w:rPr>
          <w:spacing w:val="-3"/>
          <w:vertAlign w:val="baseline"/>
        </w:rPr>
        <w:t> </w:t>
      </w:r>
      <w:r>
        <w:rPr>
          <w:vertAlign w:val="baseline"/>
        </w:rPr>
        <w:t>as</w:t>
      </w:r>
      <w:r>
        <w:rPr>
          <w:spacing w:val="-1"/>
          <w:vertAlign w:val="baseline"/>
        </w:rPr>
        <w:t> </w:t>
      </w:r>
      <w:r>
        <w:rPr>
          <w:vertAlign w:val="baseline"/>
        </w:rPr>
        <w:t>discussed throughout this annual report, schools and libraries are seeing an unprecedented increase in book challenges, particularly against LGBTQ and BIPOC affirming books and materials. The Commission recommends</w:t>
      </w:r>
      <w:r>
        <w:rPr>
          <w:spacing w:val="-10"/>
          <w:vertAlign w:val="baseline"/>
        </w:rPr>
        <w:t> </w:t>
      </w:r>
      <w:r>
        <w:rPr>
          <w:vertAlign w:val="baseline"/>
        </w:rPr>
        <w:t>that</w:t>
      </w:r>
      <w:r>
        <w:rPr>
          <w:spacing w:val="-10"/>
          <w:vertAlign w:val="baseline"/>
        </w:rPr>
        <w:t> </w:t>
      </w:r>
      <w:r>
        <w:rPr>
          <w:vertAlign w:val="baseline"/>
        </w:rPr>
        <w:t>the</w:t>
      </w:r>
      <w:r>
        <w:rPr>
          <w:spacing w:val="-10"/>
          <w:vertAlign w:val="baseline"/>
        </w:rPr>
        <w:t> </w:t>
      </w:r>
      <w:r>
        <w:rPr>
          <w:vertAlign w:val="baseline"/>
        </w:rPr>
        <w:t>state</w:t>
      </w:r>
      <w:r>
        <w:rPr>
          <w:spacing w:val="-10"/>
          <w:vertAlign w:val="baseline"/>
        </w:rPr>
        <w:t> </w:t>
      </w:r>
      <w:r>
        <w:rPr>
          <w:vertAlign w:val="baseline"/>
        </w:rPr>
        <w:t>determine</w:t>
      </w:r>
      <w:r>
        <w:rPr>
          <w:spacing w:val="-11"/>
          <w:vertAlign w:val="baseline"/>
        </w:rPr>
        <w:t> </w:t>
      </w:r>
      <w:r>
        <w:rPr>
          <w:vertAlign w:val="baseline"/>
        </w:rPr>
        <w:t>thoughtful</w:t>
      </w:r>
      <w:r>
        <w:rPr>
          <w:spacing w:val="-10"/>
          <w:vertAlign w:val="baseline"/>
        </w:rPr>
        <w:t> </w:t>
      </w:r>
      <w:r>
        <w:rPr>
          <w:vertAlign w:val="baseline"/>
        </w:rPr>
        <w:t>processes</w:t>
      </w:r>
      <w:r>
        <w:rPr>
          <w:spacing w:val="-11"/>
          <w:vertAlign w:val="baseline"/>
        </w:rPr>
        <w:t> </w:t>
      </w:r>
      <w:r>
        <w:rPr>
          <w:vertAlign w:val="baseline"/>
        </w:rPr>
        <w:t>for</w:t>
      </w:r>
      <w:r>
        <w:rPr>
          <w:spacing w:val="-11"/>
          <w:vertAlign w:val="baseline"/>
        </w:rPr>
        <w:t> </w:t>
      </w:r>
      <w:r>
        <w:rPr>
          <w:vertAlign w:val="baseline"/>
        </w:rPr>
        <w:t>reviewing</w:t>
      </w:r>
      <w:r>
        <w:rPr>
          <w:spacing w:val="-11"/>
          <w:vertAlign w:val="baseline"/>
        </w:rPr>
        <w:t> </w:t>
      </w:r>
      <w:r>
        <w:rPr>
          <w:vertAlign w:val="baseline"/>
        </w:rPr>
        <w:t>any</w:t>
      </w:r>
      <w:r>
        <w:rPr>
          <w:spacing w:val="-11"/>
          <w:vertAlign w:val="baseline"/>
        </w:rPr>
        <w:t> </w:t>
      </w:r>
      <w:r>
        <w:rPr>
          <w:vertAlign w:val="baseline"/>
        </w:rPr>
        <w:t>books</w:t>
      </w:r>
      <w:r>
        <w:rPr>
          <w:spacing w:val="-11"/>
          <w:vertAlign w:val="baseline"/>
        </w:rPr>
        <w:t> </w:t>
      </w:r>
      <w:r>
        <w:rPr>
          <w:vertAlign w:val="baseline"/>
        </w:rPr>
        <w:t>and</w:t>
      </w:r>
      <w:r>
        <w:rPr>
          <w:spacing w:val="-10"/>
          <w:vertAlign w:val="baseline"/>
        </w:rPr>
        <w:t> </w:t>
      </w:r>
      <w:r>
        <w:rPr>
          <w:vertAlign w:val="baseline"/>
        </w:rPr>
        <w:t>curricula</w:t>
      </w:r>
      <w:r>
        <w:rPr>
          <w:spacing w:val="-10"/>
          <w:vertAlign w:val="baseline"/>
        </w:rPr>
        <w:t> </w:t>
      </w:r>
      <w:r>
        <w:rPr>
          <w:vertAlign w:val="baseline"/>
        </w:rPr>
        <w:t>that are challenged.</w:t>
      </w:r>
    </w:p>
    <w:p>
      <w:pPr>
        <w:numPr>
          <w:ilvl w:val="0"/>
          <w:numId w:val="16"/>
        </w:numPr>
        <w:tabs>
          <w:tab w:pos="462" w:val="left" w:leader="none"/>
          <w:tab w:pos="464" w:val="left" w:leader="none"/>
        </w:tabs>
        <w:spacing w:line="276" w:lineRule="auto" w:before="241"/>
        <w:ind w:left="464" w:right="402" w:hanging="360"/>
        <w:jc w:val="both"/>
        <w:rPr>
          <w:b/>
          <w:sz w:val="22"/>
        </w:rPr>
      </w:pPr>
      <w:r>
        <w:rPr>
          <w:b/>
          <w:sz w:val="22"/>
        </w:rPr>
        <w:t>Ensure that all subject areas are reflective of LGBTQ &amp; BIPOC individuals, historical events, and </w:t>
      </w:r>
      <w:r>
        <w:rPr>
          <w:b/>
          <w:spacing w:val="-2"/>
          <w:sz w:val="22"/>
        </w:rPr>
        <w:t>concepts.</w:t>
      </w:r>
    </w:p>
    <w:p>
      <w:pPr>
        <w:pStyle w:val="BodyText"/>
        <w:spacing w:line="276" w:lineRule="auto" w:before="240"/>
        <w:ind w:left="464" w:right="401"/>
        <w:jc w:val="both"/>
      </w:pPr>
      <w:r>
        <w:rPr/>
        <w:t>The Commission recommends that policymakers and educators broaden their focus on gender, sexuality, and race inclusive curricula and materials by ensuring that all state subject frameworks include LGBTQ and BIPOC individuals, historical events, and social concepts. In particular, the Commission highlights the necessity of updating arts, and music curricula frameworks to include LGBTQ and BIPOC contributions. The Commission supports An Act Relative to LGBTQ+ Inclusive Curriculum (S.259/H.498), though highlights the limitations of the bill as its current filed draft only targets inclusivity in history curriculum. Additionally, the Commission advises that schools - preK-12 and</w:t>
      </w:r>
      <w:r>
        <w:rPr>
          <w:spacing w:val="-2"/>
        </w:rPr>
        <w:t> </w:t>
      </w:r>
      <w:r>
        <w:rPr/>
        <w:t>colleges</w:t>
      </w:r>
      <w:r>
        <w:rPr>
          <w:spacing w:val="-1"/>
        </w:rPr>
        <w:t> </w:t>
      </w:r>
      <w:r>
        <w:rPr/>
        <w:t>-</w:t>
      </w:r>
      <w:r>
        <w:rPr>
          <w:spacing w:val="-2"/>
        </w:rPr>
        <w:t> </w:t>
      </w:r>
      <w:r>
        <w:rPr/>
        <w:t>should</w:t>
      </w:r>
      <w:r>
        <w:rPr>
          <w:spacing w:val="-2"/>
        </w:rPr>
        <w:t> </w:t>
      </w:r>
      <w:r>
        <w:rPr/>
        <w:t>provide</w:t>
      </w:r>
      <w:r>
        <w:rPr>
          <w:spacing w:val="-2"/>
        </w:rPr>
        <w:t> </w:t>
      </w:r>
      <w:r>
        <w:rPr/>
        <w:t>resources and</w:t>
      </w:r>
      <w:r>
        <w:rPr>
          <w:spacing w:val="-2"/>
        </w:rPr>
        <w:t> </w:t>
      </w:r>
      <w:r>
        <w:rPr/>
        <w:t>professional</w:t>
      </w:r>
      <w:r>
        <w:rPr>
          <w:spacing w:val="-2"/>
        </w:rPr>
        <w:t> </w:t>
      </w:r>
      <w:r>
        <w:rPr/>
        <w:t>development</w:t>
      </w:r>
      <w:r>
        <w:rPr>
          <w:spacing w:val="-2"/>
        </w:rPr>
        <w:t> </w:t>
      </w:r>
      <w:r>
        <w:rPr/>
        <w:t>opportunities</w:t>
      </w:r>
      <w:r>
        <w:rPr>
          <w:spacing w:val="-1"/>
        </w:rPr>
        <w:t> </w:t>
      </w:r>
      <w:r>
        <w:rPr/>
        <w:t>for</w:t>
      </w:r>
      <w:r>
        <w:rPr>
          <w:spacing w:val="-1"/>
        </w:rPr>
        <w:t> </w:t>
      </w:r>
      <w:r>
        <w:rPr/>
        <w:t>educators</w:t>
      </w:r>
      <w:r>
        <w:rPr>
          <w:spacing w:val="-1"/>
        </w:rPr>
        <w:t> </w:t>
      </w:r>
      <w:r>
        <w:rPr/>
        <w:t>to support instruction in these areas. This includes integrating LGBTQ topics and narratives across all subjects and grade levels to foster a more inclusive and supportive educational environment for all </w:t>
      </w:r>
      <w:r>
        <w:rPr>
          <w:spacing w:val="-2"/>
        </w:rPr>
        <w:t>students.</w:t>
      </w:r>
    </w:p>
    <w:p>
      <w:pPr>
        <w:numPr>
          <w:ilvl w:val="0"/>
          <w:numId w:val="16"/>
        </w:numPr>
        <w:tabs>
          <w:tab w:pos="462" w:val="left" w:leader="none"/>
          <w:tab w:pos="464" w:val="left" w:leader="none"/>
        </w:tabs>
        <w:spacing w:line="276" w:lineRule="auto" w:before="239"/>
        <w:ind w:left="464" w:right="403" w:hanging="360"/>
        <w:jc w:val="both"/>
        <w:rPr>
          <w:b/>
          <w:sz w:val="22"/>
        </w:rPr>
      </w:pPr>
      <w:r>
        <w:rPr>
          <w:b/>
          <w:sz w:val="22"/>
        </w:rPr>
        <w:t>Invest in resources for family liaisons and provide professional development opportunities for all school staff related to family engagement and acceptance.</w:t>
      </w:r>
    </w:p>
    <w:p>
      <w:pPr>
        <w:pStyle w:val="BodyText"/>
        <w:spacing w:line="276" w:lineRule="auto" w:before="239"/>
        <w:ind w:left="464" w:right="402"/>
        <w:jc w:val="both"/>
      </w:pPr>
      <w:r>
        <w:rPr/>
        <w:t>Family engagement and LGBTQ acceptance are crucial for a positive school climate, leading to improved</w:t>
      </w:r>
      <w:r>
        <w:rPr>
          <w:spacing w:val="-3"/>
        </w:rPr>
        <w:t> </w:t>
      </w:r>
      <w:r>
        <w:rPr/>
        <w:t>student</w:t>
      </w:r>
      <w:r>
        <w:rPr>
          <w:spacing w:val="-2"/>
        </w:rPr>
        <w:t> </w:t>
      </w:r>
      <w:r>
        <w:rPr/>
        <w:t>outcomes</w:t>
      </w:r>
      <w:r>
        <w:rPr>
          <w:spacing w:val="-2"/>
        </w:rPr>
        <w:t> </w:t>
      </w:r>
      <w:r>
        <w:rPr/>
        <w:t>such</w:t>
      </w:r>
      <w:r>
        <w:rPr>
          <w:spacing w:val="-3"/>
        </w:rPr>
        <w:t> </w:t>
      </w:r>
      <w:r>
        <w:rPr/>
        <w:t>as</w:t>
      </w:r>
      <w:r>
        <w:rPr>
          <w:spacing w:val="-2"/>
        </w:rPr>
        <w:t> </w:t>
      </w:r>
      <w:r>
        <w:rPr/>
        <w:t>higher</w:t>
      </w:r>
      <w:r>
        <w:rPr>
          <w:spacing w:val="-3"/>
        </w:rPr>
        <w:t> </w:t>
      </w:r>
      <w:r>
        <w:rPr/>
        <w:t>academic</w:t>
      </w:r>
      <w:r>
        <w:rPr>
          <w:spacing w:val="-2"/>
        </w:rPr>
        <w:t> </w:t>
      </w:r>
      <w:r>
        <w:rPr/>
        <w:t>achievement,</w:t>
      </w:r>
      <w:r>
        <w:rPr>
          <w:spacing w:val="-3"/>
        </w:rPr>
        <w:t> </w:t>
      </w:r>
      <w:r>
        <w:rPr/>
        <w:t>better</w:t>
      </w:r>
      <w:r>
        <w:rPr>
          <w:spacing w:val="-3"/>
        </w:rPr>
        <w:t> </w:t>
      </w:r>
      <w:r>
        <w:rPr/>
        <w:t>attendance,</w:t>
      </w:r>
      <w:r>
        <w:rPr>
          <w:spacing w:val="-3"/>
        </w:rPr>
        <w:t> </w:t>
      </w:r>
      <w:r>
        <w:rPr/>
        <w:t>and</w:t>
      </w:r>
      <w:r>
        <w:rPr>
          <w:spacing w:val="-3"/>
        </w:rPr>
        <w:t> </w:t>
      </w:r>
      <w:r>
        <w:rPr/>
        <w:t>enhanced social-emotional well-being. Schools that actively promote LGBTQ acceptance create safer and more inclusive environments, reducing bullying and discrimination. Specialized training should be provided on best practices in family engagement, particularly for diverse families, including those with LGBTQ members.</w:t>
      </w:r>
      <w:r>
        <w:rPr>
          <w:spacing w:val="21"/>
        </w:rPr>
        <w:t> </w:t>
      </w:r>
      <w:r>
        <w:rPr/>
        <w:t>Additionally,</w:t>
      </w:r>
      <w:r>
        <w:rPr>
          <w:spacing w:val="22"/>
        </w:rPr>
        <w:t> </w:t>
      </w:r>
      <w:r>
        <w:rPr/>
        <w:t>mandatory</w:t>
      </w:r>
      <w:r>
        <w:rPr>
          <w:spacing w:val="22"/>
        </w:rPr>
        <w:t> </w:t>
      </w:r>
      <w:r>
        <w:rPr/>
        <w:t>professional</w:t>
      </w:r>
      <w:r>
        <w:rPr>
          <w:spacing w:val="22"/>
        </w:rPr>
        <w:t> </w:t>
      </w:r>
      <w:r>
        <w:rPr/>
        <w:t>development</w:t>
      </w:r>
      <w:r>
        <w:rPr>
          <w:spacing w:val="21"/>
        </w:rPr>
        <w:t> </w:t>
      </w:r>
      <w:r>
        <w:rPr/>
        <w:t>for</w:t>
      </w:r>
      <w:r>
        <w:rPr>
          <w:spacing w:val="23"/>
        </w:rPr>
        <w:t> </w:t>
      </w:r>
      <w:r>
        <w:rPr/>
        <w:t>school</w:t>
      </w:r>
      <w:r>
        <w:rPr>
          <w:spacing w:val="22"/>
        </w:rPr>
        <w:t> </w:t>
      </w:r>
      <w:r>
        <w:rPr/>
        <w:t>staff</w:t>
      </w:r>
      <w:r>
        <w:rPr>
          <w:spacing w:val="23"/>
        </w:rPr>
        <w:t> </w:t>
      </w:r>
      <w:r>
        <w:rPr/>
        <w:t>should</w:t>
      </w:r>
      <w:r>
        <w:rPr>
          <w:spacing w:val="21"/>
        </w:rPr>
        <w:t> </w:t>
      </w:r>
      <w:r>
        <w:rPr/>
        <w:t>cover</w:t>
      </w:r>
      <w:r>
        <w:rPr>
          <w:spacing w:val="23"/>
        </w:rPr>
        <w:t> </w:t>
      </w:r>
      <w:r>
        <w:rPr/>
        <w:t>cultural</w:t>
      </w:r>
    </w:p>
    <w:p>
      <w:pPr>
        <w:spacing w:after="0" w:line="276" w:lineRule="auto"/>
        <w:jc w:val="both"/>
        <w:sectPr>
          <w:pgSz w:w="12240" w:h="15840"/>
          <w:pgMar w:header="763" w:footer="1041" w:top="1140" w:bottom="1240" w:left="1120" w:right="1180"/>
        </w:sectPr>
      </w:pPr>
    </w:p>
    <w:p>
      <w:pPr>
        <w:pStyle w:val="BodyText"/>
        <w:spacing w:line="276" w:lineRule="auto" w:before="66"/>
        <w:ind w:left="463" w:right="403"/>
        <w:jc w:val="both"/>
      </w:pPr>
      <w:r>
        <w:rPr/>
        <w:t>competence,</w:t>
      </w:r>
      <w:r>
        <w:rPr>
          <w:spacing w:val="-13"/>
        </w:rPr>
        <w:t> </w:t>
      </w:r>
      <w:r>
        <w:rPr/>
        <w:t>family</w:t>
      </w:r>
      <w:r>
        <w:rPr>
          <w:spacing w:val="-12"/>
        </w:rPr>
        <w:t> </w:t>
      </w:r>
      <w:r>
        <w:rPr/>
        <w:t>engagement</w:t>
      </w:r>
      <w:r>
        <w:rPr>
          <w:spacing w:val="-13"/>
        </w:rPr>
        <w:t> </w:t>
      </w:r>
      <w:r>
        <w:rPr/>
        <w:t>strategies,</w:t>
      </w:r>
      <w:r>
        <w:rPr>
          <w:spacing w:val="-12"/>
        </w:rPr>
        <w:t> </w:t>
      </w:r>
      <w:r>
        <w:rPr/>
        <w:t>and</w:t>
      </w:r>
      <w:r>
        <w:rPr>
          <w:spacing w:val="-13"/>
        </w:rPr>
        <w:t> </w:t>
      </w:r>
      <w:r>
        <w:rPr/>
        <w:t>LGBTQ</w:t>
      </w:r>
      <w:r>
        <w:rPr>
          <w:spacing w:val="-12"/>
        </w:rPr>
        <w:t> </w:t>
      </w:r>
      <w:r>
        <w:rPr/>
        <w:t>acceptance.</w:t>
      </w:r>
      <w:r>
        <w:rPr>
          <w:spacing w:val="-13"/>
        </w:rPr>
        <w:t> </w:t>
      </w:r>
      <w:r>
        <w:rPr/>
        <w:t>Schools</w:t>
      </w:r>
      <w:r>
        <w:rPr>
          <w:spacing w:val="-12"/>
        </w:rPr>
        <w:t> </w:t>
      </w:r>
      <w:r>
        <w:rPr/>
        <w:t>should</w:t>
      </w:r>
      <w:r>
        <w:rPr>
          <w:spacing w:val="-12"/>
        </w:rPr>
        <w:t> </w:t>
      </w:r>
      <w:r>
        <w:rPr/>
        <w:t>review</w:t>
      </w:r>
      <w:r>
        <w:rPr>
          <w:spacing w:val="-13"/>
        </w:rPr>
        <w:t> </w:t>
      </w:r>
      <w:r>
        <w:rPr/>
        <w:t>and</w:t>
      </w:r>
      <w:r>
        <w:rPr>
          <w:spacing w:val="-12"/>
        </w:rPr>
        <w:t> </w:t>
      </w:r>
      <w:r>
        <w:rPr/>
        <w:t>update their policies to explicitly support family engagement and LGBTQ inclusion, provide guidance on effective implementation, and integrate LGBTQ-inclusive content into the curriculum to emphasize diversity and acceptance in all subjects.</w:t>
      </w:r>
    </w:p>
    <w:p>
      <w:pPr>
        <w:numPr>
          <w:ilvl w:val="0"/>
          <w:numId w:val="16"/>
        </w:numPr>
        <w:tabs>
          <w:tab w:pos="461" w:val="left" w:leader="none"/>
          <w:tab w:pos="463" w:val="left" w:leader="none"/>
        </w:tabs>
        <w:spacing w:line="276" w:lineRule="auto" w:before="239"/>
        <w:ind w:left="463" w:right="402" w:hanging="360"/>
        <w:jc w:val="both"/>
        <w:rPr>
          <w:b/>
          <w:sz w:val="22"/>
        </w:rPr>
      </w:pPr>
      <w:r>
        <w:rPr>
          <w:b/>
          <w:sz w:val="22"/>
        </w:rPr>
        <w:t>Collect data to better understand the experiences of LGBTQ BIPOC students, who are disproportionately represented and involved in multiple systems, and often lack comprehensive, aligned support.</w:t>
      </w:r>
    </w:p>
    <w:p>
      <w:pPr>
        <w:pStyle w:val="BodyText"/>
        <w:spacing w:line="276" w:lineRule="auto" w:before="240"/>
        <w:ind w:left="463" w:right="399"/>
        <w:jc w:val="both"/>
      </w:pPr>
      <w:r>
        <w:rPr/>
        <w:t>Education agencies should prioritize collecting comprehensive data to better understand the unique experiences of LGBTQ BIPOC students, who are disproportionately represented and often involved in multiple systems. These students frequently lack comprehensive and aligned support, which can impact their academic and social-emotional well-being. By gathering detailed and nuanced data, education agencies can identify the specific needs and challenges faced by these students, enabling the development of targeted interventions and resources. This data-driven approach will help create more equitable and supportive educational environments for LGBTQ BIPOC students.</w:t>
      </w:r>
    </w:p>
    <w:p>
      <w:pPr>
        <w:numPr>
          <w:ilvl w:val="0"/>
          <w:numId w:val="16"/>
        </w:numPr>
        <w:tabs>
          <w:tab w:pos="461" w:val="left" w:leader="none"/>
          <w:tab w:pos="463" w:val="left" w:leader="none"/>
        </w:tabs>
        <w:spacing w:line="276" w:lineRule="auto" w:before="240"/>
        <w:ind w:left="463" w:right="403" w:hanging="360"/>
        <w:jc w:val="both"/>
        <w:rPr>
          <w:b/>
          <w:sz w:val="22"/>
        </w:rPr>
      </w:pPr>
      <w:r>
        <w:rPr>
          <w:b/>
          <w:sz w:val="22"/>
        </w:rPr>
        <w:t>Support education efforts to expand policies and update guidance surrounding support for transgender and nonbinary students.</w:t>
      </w:r>
    </w:p>
    <w:p>
      <w:pPr>
        <w:pStyle w:val="BodyText"/>
        <w:spacing w:line="276" w:lineRule="auto" w:before="241"/>
        <w:ind w:left="463" w:right="400"/>
        <w:jc w:val="both"/>
      </w:pPr>
      <w:r>
        <w:rPr/>
        <w:t>Education agencies should support efforts to expand policies and update guidance to better support transgender</w:t>
      </w:r>
      <w:r>
        <w:rPr>
          <w:spacing w:val="-4"/>
        </w:rPr>
        <w:t> </w:t>
      </w:r>
      <w:r>
        <w:rPr/>
        <w:t>and</w:t>
      </w:r>
      <w:r>
        <w:rPr>
          <w:spacing w:val="-5"/>
        </w:rPr>
        <w:t> </w:t>
      </w:r>
      <w:r>
        <w:rPr/>
        <w:t>nonbinary</w:t>
      </w:r>
      <w:r>
        <w:rPr>
          <w:spacing w:val="-5"/>
        </w:rPr>
        <w:t> </w:t>
      </w:r>
      <w:r>
        <w:rPr/>
        <w:t>students.</w:t>
      </w:r>
      <w:r>
        <w:rPr>
          <w:spacing w:val="-5"/>
        </w:rPr>
        <w:t> </w:t>
      </w:r>
      <w:r>
        <w:rPr/>
        <w:t>This</w:t>
      </w:r>
      <w:r>
        <w:rPr>
          <w:spacing w:val="-5"/>
        </w:rPr>
        <w:t> </w:t>
      </w:r>
      <w:r>
        <w:rPr/>
        <w:t>includes</w:t>
      </w:r>
      <w:r>
        <w:rPr>
          <w:spacing w:val="-5"/>
        </w:rPr>
        <w:t> </w:t>
      </w:r>
      <w:r>
        <w:rPr/>
        <w:t>implementing</w:t>
      </w:r>
      <w:r>
        <w:rPr>
          <w:spacing w:val="-4"/>
        </w:rPr>
        <w:t> </w:t>
      </w:r>
      <w:r>
        <w:rPr/>
        <w:t>comprehensive</w:t>
      </w:r>
      <w:r>
        <w:rPr>
          <w:spacing w:val="-5"/>
        </w:rPr>
        <w:t> </w:t>
      </w:r>
      <w:r>
        <w:rPr/>
        <w:t>policies</w:t>
      </w:r>
      <w:r>
        <w:rPr>
          <w:spacing w:val="-5"/>
        </w:rPr>
        <w:t> </w:t>
      </w:r>
      <w:r>
        <w:rPr/>
        <w:t>that</w:t>
      </w:r>
      <w:r>
        <w:rPr>
          <w:spacing w:val="-5"/>
        </w:rPr>
        <w:t> </w:t>
      </w:r>
      <w:r>
        <w:rPr/>
        <w:t>protect the rights and well-being of these students, ensuring access to gender-affirming facilities and resources, and providing professional development for staff on gender inclusivity and sensitivity. By creating a safe and inclusive environment, education agencies can promote the academic and social- emotional well-being of transgender and nonbinary students, fostering a school climate of belonging that values and respects all identities.</w:t>
      </w:r>
    </w:p>
    <w:p>
      <w:pPr>
        <w:numPr>
          <w:ilvl w:val="0"/>
          <w:numId w:val="16"/>
        </w:numPr>
        <w:tabs>
          <w:tab w:pos="461" w:val="left" w:leader="none"/>
          <w:tab w:pos="463" w:val="left" w:leader="none"/>
        </w:tabs>
        <w:spacing w:line="276" w:lineRule="auto" w:before="239"/>
        <w:ind w:left="463" w:right="402" w:hanging="360"/>
        <w:jc w:val="both"/>
        <w:rPr>
          <w:b/>
          <w:sz w:val="22"/>
        </w:rPr>
      </w:pPr>
      <w:r>
        <w:rPr>
          <w:b/>
          <w:sz w:val="22"/>
        </w:rPr>
        <w:t>Support an annual convening of education agencies, including the Department of Early Education and Care, Massachusetts Department of Elementary and Secondary Education, and Massachusetts Department of Higher Education, to collaboratively explore a continuum of support for LGBTQ students and families as they progress through the education systems in the Commonwealth.</w:t>
      </w:r>
    </w:p>
    <w:p>
      <w:pPr>
        <w:pStyle w:val="BodyText"/>
        <w:spacing w:line="276" w:lineRule="auto" w:before="240"/>
        <w:ind w:left="463" w:right="401"/>
        <w:jc w:val="both"/>
      </w:pPr>
      <w:r>
        <w:rPr/>
        <w:t>Support</w:t>
      </w:r>
      <w:r>
        <w:rPr>
          <w:spacing w:val="-3"/>
        </w:rPr>
        <w:t> </w:t>
      </w:r>
      <w:r>
        <w:rPr/>
        <w:t>an</w:t>
      </w:r>
      <w:r>
        <w:rPr>
          <w:spacing w:val="-3"/>
        </w:rPr>
        <w:t> </w:t>
      </w:r>
      <w:r>
        <w:rPr/>
        <w:t>annual</w:t>
      </w:r>
      <w:r>
        <w:rPr>
          <w:spacing w:val="-3"/>
        </w:rPr>
        <w:t> </w:t>
      </w:r>
      <w:r>
        <w:rPr/>
        <w:t>convening</w:t>
      </w:r>
      <w:r>
        <w:rPr>
          <w:spacing w:val="-3"/>
        </w:rPr>
        <w:t> </w:t>
      </w:r>
      <w:r>
        <w:rPr/>
        <w:t>of</w:t>
      </w:r>
      <w:r>
        <w:rPr>
          <w:spacing w:val="-4"/>
        </w:rPr>
        <w:t> </w:t>
      </w:r>
      <w:r>
        <w:rPr/>
        <w:t>education</w:t>
      </w:r>
      <w:r>
        <w:rPr>
          <w:spacing w:val="-4"/>
        </w:rPr>
        <w:t> </w:t>
      </w:r>
      <w:r>
        <w:rPr/>
        <w:t>agencies,</w:t>
      </w:r>
      <w:r>
        <w:rPr>
          <w:spacing w:val="-2"/>
        </w:rPr>
        <w:t> </w:t>
      </w:r>
      <w:r>
        <w:rPr/>
        <w:t>including</w:t>
      </w:r>
      <w:r>
        <w:rPr>
          <w:spacing w:val="-3"/>
        </w:rPr>
        <w:t> </w:t>
      </w:r>
      <w:r>
        <w:rPr/>
        <w:t>the</w:t>
      </w:r>
      <w:r>
        <w:rPr>
          <w:spacing w:val="-2"/>
        </w:rPr>
        <w:t> </w:t>
      </w:r>
      <w:r>
        <w:rPr/>
        <w:t>Department</w:t>
      </w:r>
      <w:r>
        <w:rPr>
          <w:spacing w:val="-2"/>
        </w:rPr>
        <w:t> </w:t>
      </w:r>
      <w:r>
        <w:rPr/>
        <w:t>of</w:t>
      </w:r>
      <w:r>
        <w:rPr>
          <w:spacing w:val="-4"/>
        </w:rPr>
        <w:t> </w:t>
      </w:r>
      <w:r>
        <w:rPr/>
        <w:t>Early</w:t>
      </w:r>
      <w:r>
        <w:rPr>
          <w:spacing w:val="-3"/>
        </w:rPr>
        <w:t> </w:t>
      </w:r>
      <w:r>
        <w:rPr/>
        <w:t>Education</w:t>
      </w:r>
      <w:r>
        <w:rPr>
          <w:spacing w:val="-4"/>
        </w:rPr>
        <w:t> </w:t>
      </w:r>
      <w:r>
        <w:rPr/>
        <w:t>and Care,</w:t>
      </w:r>
      <w:r>
        <w:rPr>
          <w:spacing w:val="-7"/>
        </w:rPr>
        <w:t> </w:t>
      </w:r>
      <w:r>
        <w:rPr/>
        <w:t>the</w:t>
      </w:r>
      <w:r>
        <w:rPr>
          <w:spacing w:val="-6"/>
        </w:rPr>
        <w:t> </w:t>
      </w:r>
      <w:r>
        <w:rPr/>
        <w:t>Massachusetts</w:t>
      </w:r>
      <w:r>
        <w:rPr>
          <w:spacing w:val="-6"/>
        </w:rPr>
        <w:t> </w:t>
      </w:r>
      <w:r>
        <w:rPr/>
        <w:t>Department</w:t>
      </w:r>
      <w:r>
        <w:rPr>
          <w:spacing w:val="-7"/>
        </w:rPr>
        <w:t> </w:t>
      </w:r>
      <w:r>
        <w:rPr/>
        <w:t>of</w:t>
      </w:r>
      <w:r>
        <w:rPr>
          <w:spacing w:val="-7"/>
        </w:rPr>
        <w:t> </w:t>
      </w:r>
      <w:r>
        <w:rPr/>
        <w:t>Elementary</w:t>
      </w:r>
      <w:r>
        <w:rPr>
          <w:spacing w:val="-7"/>
        </w:rPr>
        <w:t> </w:t>
      </w:r>
      <w:r>
        <w:rPr/>
        <w:t>and</w:t>
      </w:r>
      <w:r>
        <w:rPr>
          <w:spacing w:val="-7"/>
        </w:rPr>
        <w:t> </w:t>
      </w:r>
      <w:r>
        <w:rPr/>
        <w:t>Secondary</w:t>
      </w:r>
      <w:r>
        <w:rPr>
          <w:spacing w:val="-7"/>
        </w:rPr>
        <w:t> </w:t>
      </w:r>
      <w:r>
        <w:rPr/>
        <w:t>Education,</w:t>
      </w:r>
      <w:r>
        <w:rPr>
          <w:spacing w:val="-7"/>
        </w:rPr>
        <w:t> </w:t>
      </w:r>
      <w:r>
        <w:rPr/>
        <w:t>and</w:t>
      </w:r>
      <w:r>
        <w:rPr>
          <w:spacing w:val="-7"/>
        </w:rPr>
        <w:t> </w:t>
      </w:r>
      <w:r>
        <w:rPr/>
        <w:t>the</w:t>
      </w:r>
      <w:r>
        <w:rPr>
          <w:spacing w:val="-6"/>
        </w:rPr>
        <w:t> </w:t>
      </w:r>
      <w:r>
        <w:rPr/>
        <w:t>Massachusetts Department of Higher Education, to collaboratively explore and develop a continuum of support for LGBTQ</w:t>
      </w:r>
      <w:r>
        <w:rPr>
          <w:spacing w:val="-13"/>
        </w:rPr>
        <w:t> </w:t>
      </w:r>
      <w:r>
        <w:rPr/>
        <w:t>students</w:t>
      </w:r>
      <w:r>
        <w:rPr>
          <w:spacing w:val="-12"/>
        </w:rPr>
        <w:t> </w:t>
      </w:r>
      <w:r>
        <w:rPr/>
        <w:t>and</w:t>
      </w:r>
      <w:r>
        <w:rPr>
          <w:spacing w:val="-12"/>
        </w:rPr>
        <w:t> </w:t>
      </w:r>
      <w:r>
        <w:rPr/>
        <w:t>their</w:t>
      </w:r>
      <w:r>
        <w:rPr>
          <w:spacing w:val="-11"/>
        </w:rPr>
        <w:t> </w:t>
      </w:r>
      <w:r>
        <w:rPr/>
        <w:t>families</w:t>
      </w:r>
      <w:r>
        <w:rPr>
          <w:spacing w:val="-12"/>
        </w:rPr>
        <w:t> </w:t>
      </w:r>
      <w:r>
        <w:rPr/>
        <w:t>as</w:t>
      </w:r>
      <w:r>
        <w:rPr>
          <w:spacing w:val="-11"/>
        </w:rPr>
        <w:t> </w:t>
      </w:r>
      <w:r>
        <w:rPr/>
        <w:t>they</w:t>
      </w:r>
      <w:r>
        <w:rPr>
          <w:spacing w:val="-12"/>
        </w:rPr>
        <w:t> </w:t>
      </w:r>
      <w:r>
        <w:rPr/>
        <w:t>move</w:t>
      </w:r>
      <w:r>
        <w:rPr>
          <w:spacing w:val="-12"/>
        </w:rPr>
        <w:t> </w:t>
      </w:r>
      <w:r>
        <w:rPr/>
        <w:t>through</w:t>
      </w:r>
      <w:r>
        <w:rPr>
          <w:spacing w:val="-12"/>
        </w:rPr>
        <w:t> </w:t>
      </w:r>
      <w:r>
        <w:rPr/>
        <w:t>the</w:t>
      </w:r>
      <w:r>
        <w:rPr>
          <w:spacing w:val="-12"/>
        </w:rPr>
        <w:t> </w:t>
      </w:r>
      <w:r>
        <w:rPr/>
        <w:t>education</w:t>
      </w:r>
      <w:r>
        <w:rPr>
          <w:spacing w:val="-13"/>
        </w:rPr>
        <w:t> </w:t>
      </w:r>
      <w:r>
        <w:rPr/>
        <w:t>systems</w:t>
      </w:r>
      <w:r>
        <w:rPr>
          <w:spacing w:val="-11"/>
        </w:rPr>
        <w:t> </w:t>
      </w:r>
      <w:r>
        <w:rPr/>
        <w:t>in</w:t>
      </w:r>
      <w:r>
        <w:rPr>
          <w:spacing w:val="-13"/>
        </w:rPr>
        <w:t> </w:t>
      </w:r>
      <w:r>
        <w:rPr/>
        <w:t>the</w:t>
      </w:r>
      <w:r>
        <w:rPr>
          <w:spacing w:val="-12"/>
        </w:rPr>
        <w:t> </w:t>
      </w:r>
      <w:r>
        <w:rPr/>
        <w:t>Commonwealth. This convening should focus on identifying and addressing the unique challenges faced by LGBTQ students at each educational level, ensuring seamless support and resources from early education through higher education. By fostering collaboration and sharing best practices, these agencies can create</w:t>
      </w:r>
      <w:r>
        <w:rPr>
          <w:spacing w:val="-3"/>
        </w:rPr>
        <w:t> </w:t>
      </w:r>
      <w:r>
        <w:rPr/>
        <w:t>a</w:t>
      </w:r>
      <w:r>
        <w:rPr>
          <w:spacing w:val="-2"/>
        </w:rPr>
        <w:t> </w:t>
      </w:r>
      <w:r>
        <w:rPr/>
        <w:t>cohesive</w:t>
      </w:r>
      <w:r>
        <w:rPr>
          <w:spacing w:val="-4"/>
        </w:rPr>
        <w:t> </w:t>
      </w:r>
      <w:r>
        <w:rPr/>
        <w:t>and</w:t>
      </w:r>
      <w:r>
        <w:rPr>
          <w:spacing w:val="-3"/>
        </w:rPr>
        <w:t> </w:t>
      </w:r>
      <w:r>
        <w:rPr/>
        <w:t>inclusive</w:t>
      </w:r>
      <w:r>
        <w:rPr>
          <w:spacing w:val="-4"/>
        </w:rPr>
        <w:t> </w:t>
      </w:r>
      <w:r>
        <w:rPr/>
        <w:t>educational</w:t>
      </w:r>
      <w:r>
        <w:rPr>
          <w:spacing w:val="-4"/>
        </w:rPr>
        <w:t> </w:t>
      </w:r>
      <w:r>
        <w:rPr/>
        <w:t>environment</w:t>
      </w:r>
      <w:r>
        <w:rPr>
          <w:spacing w:val="-3"/>
        </w:rPr>
        <w:t> </w:t>
      </w:r>
      <w:r>
        <w:rPr/>
        <w:t>that</w:t>
      </w:r>
      <w:r>
        <w:rPr>
          <w:spacing w:val="-3"/>
        </w:rPr>
        <w:t> </w:t>
      </w:r>
      <w:r>
        <w:rPr/>
        <w:t>promotes</w:t>
      </w:r>
      <w:r>
        <w:rPr>
          <w:spacing w:val="-4"/>
        </w:rPr>
        <w:t> </w:t>
      </w:r>
      <w:r>
        <w:rPr/>
        <w:t>the</w:t>
      </w:r>
      <w:r>
        <w:rPr>
          <w:spacing w:val="-3"/>
        </w:rPr>
        <w:t> </w:t>
      </w:r>
      <w:r>
        <w:rPr/>
        <w:t>well-being</w:t>
      </w:r>
      <w:r>
        <w:rPr>
          <w:spacing w:val="-4"/>
        </w:rPr>
        <w:t> </w:t>
      </w:r>
      <w:r>
        <w:rPr/>
        <w:t>and</w:t>
      </w:r>
      <w:r>
        <w:rPr>
          <w:spacing w:val="-4"/>
        </w:rPr>
        <w:t> </w:t>
      </w:r>
      <w:r>
        <w:rPr/>
        <w:t>success</w:t>
      </w:r>
      <w:r>
        <w:rPr>
          <w:spacing w:val="-4"/>
        </w:rPr>
        <w:t> </w:t>
      </w:r>
      <w:r>
        <w:rPr/>
        <w:t>of LGBTQ students throughout their academic journeys.</w:t>
      </w:r>
    </w:p>
    <w:p>
      <w:pPr>
        <w:spacing w:after="0" w:line="276" w:lineRule="auto"/>
        <w:jc w:val="both"/>
        <w:sectPr>
          <w:pgSz w:w="12240" w:h="15840"/>
          <w:pgMar w:header="763" w:footer="1041" w:top="1140" w:bottom="1240" w:left="1120" w:right="1180"/>
        </w:sectPr>
      </w:pPr>
    </w:p>
    <w:p>
      <w:pPr>
        <w:spacing w:before="65"/>
        <w:ind w:left="464" w:right="0" w:firstLine="0"/>
        <w:jc w:val="left"/>
        <w:rPr>
          <w:sz w:val="28"/>
        </w:rPr>
      </w:pPr>
      <w:bookmarkStart w:name="Research: Uplifting LGBTQ Youth in Schoo" w:id="139"/>
      <w:bookmarkEnd w:id="139"/>
      <w:r>
        <w:rPr/>
      </w:r>
      <w:r>
        <w:rPr>
          <w:color w:val="365F91"/>
          <w:sz w:val="28"/>
        </w:rPr>
        <w:t>Research:</w:t>
      </w:r>
      <w:r>
        <w:rPr>
          <w:color w:val="365F91"/>
          <w:spacing w:val="-9"/>
          <w:sz w:val="28"/>
        </w:rPr>
        <w:t> </w:t>
      </w:r>
      <w:r>
        <w:rPr>
          <w:color w:val="365F91"/>
          <w:sz w:val="28"/>
        </w:rPr>
        <w:t>Uplifting</w:t>
      </w:r>
      <w:r>
        <w:rPr>
          <w:color w:val="365F91"/>
          <w:spacing w:val="-9"/>
          <w:sz w:val="28"/>
        </w:rPr>
        <w:t> </w:t>
      </w:r>
      <w:r>
        <w:rPr>
          <w:color w:val="365F91"/>
          <w:sz w:val="28"/>
        </w:rPr>
        <w:t>LGBTQ</w:t>
      </w:r>
      <w:r>
        <w:rPr>
          <w:color w:val="365F91"/>
          <w:spacing w:val="-10"/>
          <w:sz w:val="28"/>
        </w:rPr>
        <w:t> </w:t>
      </w:r>
      <w:r>
        <w:rPr>
          <w:color w:val="365F91"/>
          <w:sz w:val="28"/>
        </w:rPr>
        <w:t>Youth</w:t>
      </w:r>
      <w:r>
        <w:rPr>
          <w:color w:val="365F91"/>
          <w:spacing w:val="-10"/>
          <w:sz w:val="28"/>
        </w:rPr>
        <w:t> </w:t>
      </w:r>
      <w:r>
        <w:rPr>
          <w:color w:val="365F91"/>
          <w:sz w:val="28"/>
        </w:rPr>
        <w:t>in</w:t>
      </w:r>
      <w:r>
        <w:rPr>
          <w:color w:val="365F91"/>
          <w:spacing w:val="-10"/>
          <w:sz w:val="28"/>
        </w:rPr>
        <w:t> </w:t>
      </w:r>
      <w:r>
        <w:rPr>
          <w:color w:val="365F91"/>
          <w:spacing w:val="-2"/>
          <w:sz w:val="28"/>
        </w:rPr>
        <w:t>Schools</w:t>
      </w:r>
    </w:p>
    <w:p>
      <w:pPr>
        <w:pStyle w:val="BodyText"/>
        <w:spacing w:before="9"/>
        <w:rPr>
          <w:sz w:val="3"/>
        </w:rPr>
      </w:pPr>
      <w:r>
        <w:rPr/>
        <mc:AlternateContent>
          <mc:Choice Requires="wps">
            <w:drawing>
              <wp:anchor distT="0" distB="0" distL="0" distR="0" allowOverlap="1" layoutInCell="1" locked="0" behindDoc="1" simplePos="0" relativeHeight="487602688">
                <wp:simplePos x="0" y="0"/>
                <wp:positionH relativeFrom="page">
                  <wp:posOffset>986789</wp:posOffset>
                </wp:positionH>
                <wp:positionV relativeFrom="paragraph">
                  <wp:posOffset>44769</wp:posOffset>
                </wp:positionV>
                <wp:extent cx="5799455" cy="635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25156pt;width:456.601pt;height:.48pt;mso-position-horizontal-relative:page;mso-position-vertical-relative:paragraph;z-index:-15713792;mso-wrap-distance-left:0;mso-wrap-distance-right:0" id="docshape112" filled="true" fillcolor="#4f81bc" stroked="false">
                <v:fill type="solid"/>
                <w10:wrap type="topAndBottom"/>
              </v:rect>
            </w:pict>
          </mc:Fallback>
        </mc:AlternateContent>
      </w:r>
    </w:p>
    <w:p>
      <w:pPr>
        <w:spacing w:line="276" w:lineRule="auto" w:before="241"/>
        <w:ind w:left="502" w:right="439" w:hanging="1"/>
        <w:jc w:val="center"/>
        <w:rPr>
          <w:i/>
          <w:sz w:val="22"/>
        </w:rPr>
      </w:pPr>
      <w:r>
        <w:rPr>
          <w:i/>
          <w:color w:val="1F487C"/>
          <w:sz w:val="22"/>
        </w:rPr>
        <w:t>"The attacks on LGBTQ content has made me feel invisible and unwelcome in my own school. It’s</w:t>
      </w:r>
      <w:r>
        <w:rPr>
          <w:i/>
          <w:color w:val="1F487C"/>
          <w:sz w:val="22"/>
        </w:rPr>
        <w:t> disheartening</w:t>
      </w:r>
      <w:r>
        <w:rPr>
          <w:i/>
          <w:color w:val="1F487C"/>
          <w:spacing w:val="-2"/>
          <w:sz w:val="22"/>
        </w:rPr>
        <w:t> </w:t>
      </w:r>
      <w:r>
        <w:rPr>
          <w:i/>
          <w:color w:val="1F487C"/>
          <w:sz w:val="22"/>
        </w:rPr>
        <w:t>to</w:t>
      </w:r>
      <w:r>
        <w:rPr>
          <w:i/>
          <w:color w:val="1F487C"/>
          <w:spacing w:val="-2"/>
          <w:sz w:val="22"/>
        </w:rPr>
        <w:t> </w:t>
      </w:r>
      <w:r>
        <w:rPr>
          <w:i/>
          <w:color w:val="1F487C"/>
          <w:sz w:val="22"/>
        </w:rPr>
        <w:t>see</w:t>
      </w:r>
      <w:r>
        <w:rPr>
          <w:i/>
          <w:color w:val="1F487C"/>
          <w:spacing w:val="-2"/>
          <w:sz w:val="22"/>
        </w:rPr>
        <w:t> </w:t>
      </w:r>
      <w:r>
        <w:rPr>
          <w:i/>
          <w:color w:val="1F487C"/>
          <w:sz w:val="22"/>
        </w:rPr>
        <w:t>parts</w:t>
      </w:r>
      <w:r>
        <w:rPr>
          <w:i/>
          <w:color w:val="1F487C"/>
          <w:spacing w:val="-1"/>
          <w:sz w:val="22"/>
        </w:rPr>
        <w:t> </w:t>
      </w:r>
      <w:r>
        <w:rPr>
          <w:i/>
          <w:color w:val="1F487C"/>
          <w:sz w:val="22"/>
        </w:rPr>
        <w:t>of</w:t>
      </w:r>
      <w:r>
        <w:rPr>
          <w:i/>
          <w:color w:val="1F487C"/>
          <w:spacing w:val="-3"/>
          <w:sz w:val="22"/>
        </w:rPr>
        <w:t> </w:t>
      </w:r>
      <w:r>
        <w:rPr>
          <w:i/>
          <w:color w:val="1F487C"/>
          <w:sz w:val="22"/>
        </w:rPr>
        <w:t>my</w:t>
      </w:r>
      <w:r>
        <w:rPr>
          <w:i/>
          <w:color w:val="1F487C"/>
          <w:spacing w:val="-3"/>
          <w:sz w:val="22"/>
        </w:rPr>
        <w:t> </w:t>
      </w:r>
      <w:r>
        <w:rPr>
          <w:i/>
          <w:color w:val="1F487C"/>
          <w:sz w:val="22"/>
        </w:rPr>
        <w:t>identity</w:t>
      </w:r>
      <w:r>
        <w:rPr>
          <w:i/>
          <w:color w:val="1F487C"/>
          <w:spacing w:val="-3"/>
          <w:sz w:val="22"/>
        </w:rPr>
        <w:t> </w:t>
      </w:r>
      <w:r>
        <w:rPr>
          <w:i/>
          <w:color w:val="1F487C"/>
          <w:sz w:val="22"/>
        </w:rPr>
        <w:t>erased</w:t>
      </w:r>
      <w:r>
        <w:rPr>
          <w:i/>
          <w:color w:val="1F487C"/>
          <w:spacing w:val="-2"/>
          <w:sz w:val="22"/>
        </w:rPr>
        <w:t> </w:t>
      </w:r>
      <w:r>
        <w:rPr>
          <w:i/>
          <w:color w:val="1F487C"/>
          <w:sz w:val="22"/>
        </w:rPr>
        <w:t>from</w:t>
      </w:r>
      <w:r>
        <w:rPr>
          <w:i/>
          <w:color w:val="1F487C"/>
          <w:spacing w:val="-2"/>
          <w:sz w:val="22"/>
        </w:rPr>
        <w:t> </w:t>
      </w:r>
      <w:r>
        <w:rPr>
          <w:i/>
          <w:color w:val="1F487C"/>
          <w:sz w:val="22"/>
        </w:rPr>
        <w:t>the</w:t>
      </w:r>
      <w:r>
        <w:rPr>
          <w:i/>
          <w:color w:val="1F487C"/>
          <w:spacing w:val="-4"/>
          <w:sz w:val="22"/>
        </w:rPr>
        <w:t> </w:t>
      </w:r>
      <w:r>
        <w:rPr>
          <w:i/>
          <w:color w:val="1F487C"/>
          <w:sz w:val="22"/>
        </w:rPr>
        <w:t>curriculum,</w:t>
      </w:r>
      <w:r>
        <w:rPr>
          <w:i/>
          <w:color w:val="1F487C"/>
          <w:spacing w:val="-3"/>
          <w:sz w:val="22"/>
        </w:rPr>
        <w:t> </w:t>
      </w:r>
      <w:r>
        <w:rPr>
          <w:i/>
          <w:color w:val="1F487C"/>
          <w:sz w:val="22"/>
        </w:rPr>
        <w:t>making</w:t>
      </w:r>
      <w:r>
        <w:rPr>
          <w:i/>
          <w:color w:val="1F487C"/>
          <w:spacing w:val="-2"/>
          <w:sz w:val="22"/>
        </w:rPr>
        <w:t> </w:t>
      </w:r>
      <w:r>
        <w:rPr>
          <w:i/>
          <w:color w:val="1F487C"/>
          <w:sz w:val="22"/>
        </w:rPr>
        <w:t>it</w:t>
      </w:r>
      <w:r>
        <w:rPr>
          <w:i/>
          <w:color w:val="1F487C"/>
          <w:spacing w:val="-1"/>
          <w:sz w:val="22"/>
        </w:rPr>
        <w:t> </w:t>
      </w:r>
      <w:r>
        <w:rPr>
          <w:i/>
          <w:color w:val="1F487C"/>
          <w:sz w:val="22"/>
        </w:rPr>
        <w:t>harder</w:t>
      </w:r>
      <w:r>
        <w:rPr>
          <w:i/>
          <w:color w:val="1F487C"/>
          <w:spacing w:val="-3"/>
          <w:sz w:val="22"/>
        </w:rPr>
        <w:t> </w:t>
      </w:r>
      <w:r>
        <w:rPr>
          <w:i/>
          <w:color w:val="1F487C"/>
          <w:sz w:val="22"/>
        </w:rPr>
        <w:t>for</w:t>
      </w:r>
      <w:r>
        <w:rPr>
          <w:i/>
          <w:color w:val="1F487C"/>
          <w:spacing w:val="-2"/>
          <w:sz w:val="22"/>
        </w:rPr>
        <w:t> </w:t>
      </w:r>
      <w:r>
        <w:rPr>
          <w:i/>
          <w:color w:val="1F487C"/>
          <w:sz w:val="22"/>
        </w:rPr>
        <w:t>me</w:t>
      </w:r>
      <w:r>
        <w:rPr>
          <w:i/>
          <w:color w:val="1F487C"/>
          <w:spacing w:val="-4"/>
          <w:sz w:val="22"/>
        </w:rPr>
        <w:t> </w:t>
      </w:r>
      <w:r>
        <w:rPr>
          <w:i/>
          <w:color w:val="1F487C"/>
          <w:sz w:val="22"/>
        </w:rPr>
        <w:t>and</w:t>
      </w:r>
      <w:r>
        <w:rPr>
          <w:i/>
          <w:color w:val="1F487C"/>
          <w:spacing w:val="-3"/>
          <w:sz w:val="22"/>
        </w:rPr>
        <w:t> </w:t>
      </w:r>
      <w:r>
        <w:rPr>
          <w:i/>
          <w:color w:val="1F487C"/>
          <w:sz w:val="22"/>
        </w:rPr>
        <w:t>my friends to learn about and understand ourselves and each other. These attacks not only affect our education but also our mental health and sense of belonging."</w:t>
      </w:r>
    </w:p>
    <w:p>
      <w:pPr>
        <w:spacing w:before="241"/>
        <w:ind w:left="1161" w:right="1102" w:firstLine="0"/>
        <w:jc w:val="center"/>
        <w:rPr>
          <w:i/>
          <w:sz w:val="22"/>
        </w:rPr>
      </w:pPr>
      <w:r>
        <w:rPr>
          <w:i/>
          <w:color w:val="1F487C"/>
          <w:sz w:val="22"/>
        </w:rPr>
        <w:t>-10th</w:t>
      </w:r>
      <w:r>
        <w:rPr>
          <w:i/>
          <w:color w:val="1F487C"/>
          <w:spacing w:val="-11"/>
          <w:sz w:val="22"/>
        </w:rPr>
        <w:t> </w:t>
      </w:r>
      <w:r>
        <w:rPr>
          <w:i/>
          <w:color w:val="1F487C"/>
          <w:sz w:val="22"/>
        </w:rPr>
        <w:t>Grade</w:t>
      </w:r>
      <w:r>
        <w:rPr>
          <w:i/>
          <w:color w:val="1F487C"/>
          <w:spacing w:val="-11"/>
          <w:sz w:val="22"/>
        </w:rPr>
        <w:t> </w:t>
      </w:r>
      <w:r>
        <w:rPr>
          <w:i/>
          <w:color w:val="1F487C"/>
          <w:sz w:val="22"/>
        </w:rPr>
        <w:t>Massachusetts</w:t>
      </w:r>
      <w:r>
        <w:rPr>
          <w:i/>
          <w:color w:val="1F487C"/>
          <w:spacing w:val="-12"/>
          <w:sz w:val="22"/>
        </w:rPr>
        <w:t> </w:t>
      </w:r>
      <w:r>
        <w:rPr>
          <w:i/>
          <w:color w:val="1F487C"/>
          <w:spacing w:val="-2"/>
          <w:sz w:val="22"/>
        </w:rPr>
        <w:t>Student</w:t>
      </w:r>
    </w:p>
    <w:p>
      <w:pPr>
        <w:pStyle w:val="BodyText"/>
        <w:spacing w:before="10"/>
        <w:rPr>
          <w:i/>
        </w:rPr>
      </w:pPr>
    </w:p>
    <w:p>
      <w:pPr>
        <w:spacing w:before="1"/>
        <w:ind w:left="464" w:right="0" w:firstLine="0"/>
        <w:jc w:val="left"/>
        <w:rPr>
          <w:sz w:val="28"/>
        </w:rPr>
      </w:pPr>
      <w:bookmarkStart w:name="Policy" w:id="140"/>
      <w:bookmarkEnd w:id="140"/>
      <w:r>
        <w:rPr/>
      </w:r>
      <w:r>
        <w:rPr>
          <w:color w:val="365F91"/>
          <w:spacing w:val="-2"/>
          <w:sz w:val="28"/>
        </w:rPr>
        <w:t>Policy</w:t>
      </w:r>
    </w:p>
    <w:p>
      <w:pPr>
        <w:pStyle w:val="BodyText"/>
        <w:spacing w:line="276" w:lineRule="auto" w:before="292"/>
        <w:ind w:left="463" w:right="401"/>
        <w:jc w:val="both"/>
      </w:pPr>
      <w:r>
        <w:rPr/>
        <w:t>An analysis of Youth Risk Behavior Survey data from 22 states between 2005-2015, indicated that lesbian, gay, bisexual, and questioning youth, especially cisgender boys 15 and younger, experienced lower rates of bullying victimization in states with general or enumerated anti-bullying laws.</w:t>
      </w:r>
      <w:r>
        <w:rPr>
          <w:spacing w:val="-6"/>
        </w:rPr>
        <w:t> </w:t>
      </w:r>
      <w:hyperlink w:history="true" w:anchor="_bookmark41">
        <w:r>
          <w:rPr>
            <w:vertAlign w:val="superscript"/>
          </w:rPr>
          <w:t>2</w:t>
        </w:r>
      </w:hyperlink>
      <w:r>
        <w:rPr>
          <w:vertAlign w:val="baseline"/>
        </w:rPr>
        <w:t> Additionally, a 2020 study found that LGBTQ-focused policies were more strongly associated with student</w:t>
      </w:r>
      <w:r>
        <w:rPr>
          <w:spacing w:val="-3"/>
          <w:vertAlign w:val="baseline"/>
        </w:rPr>
        <w:t> </w:t>
      </w:r>
      <w:r>
        <w:rPr>
          <w:vertAlign w:val="baseline"/>
        </w:rPr>
        <w:t>perceptions</w:t>
      </w:r>
      <w:r>
        <w:rPr>
          <w:spacing w:val="-4"/>
          <w:vertAlign w:val="baseline"/>
        </w:rPr>
        <w:t> </w:t>
      </w:r>
      <w:r>
        <w:rPr>
          <w:vertAlign w:val="baseline"/>
        </w:rPr>
        <w:t>of</w:t>
      </w:r>
      <w:r>
        <w:rPr>
          <w:spacing w:val="-3"/>
          <w:vertAlign w:val="baseline"/>
        </w:rPr>
        <w:t> </w:t>
      </w:r>
      <w:r>
        <w:rPr>
          <w:vertAlign w:val="baseline"/>
        </w:rPr>
        <w:t>teacher</w:t>
      </w:r>
      <w:r>
        <w:rPr>
          <w:spacing w:val="-4"/>
          <w:vertAlign w:val="baseline"/>
        </w:rPr>
        <w:t> </w:t>
      </w:r>
      <w:r>
        <w:rPr>
          <w:vertAlign w:val="baseline"/>
        </w:rPr>
        <w:t>support</w:t>
      </w:r>
      <w:hyperlink w:history="true" w:anchor="_bookmark42">
        <w:r>
          <w:rPr>
            <w:vertAlign w:val="superscript"/>
          </w:rPr>
          <w:t>3</w:t>
        </w:r>
      </w:hyperlink>
      <w:r>
        <w:rPr>
          <w:spacing w:val="-3"/>
          <w:vertAlign w:val="baseline"/>
        </w:rPr>
        <w:t> </w:t>
      </w:r>
      <w:r>
        <w:rPr>
          <w:vertAlign w:val="baseline"/>
        </w:rPr>
        <w:t>and</w:t>
      </w:r>
      <w:r>
        <w:rPr>
          <w:spacing w:val="-3"/>
          <w:vertAlign w:val="baseline"/>
        </w:rPr>
        <w:t> </w:t>
      </w:r>
      <w:r>
        <w:rPr>
          <w:vertAlign w:val="baseline"/>
        </w:rPr>
        <w:t>GLSEN’s</w:t>
      </w:r>
      <w:r>
        <w:rPr>
          <w:spacing w:val="-4"/>
          <w:vertAlign w:val="baseline"/>
        </w:rPr>
        <w:t> </w:t>
      </w:r>
      <w:r>
        <w:rPr>
          <w:vertAlign w:val="baseline"/>
        </w:rPr>
        <w:t>2021</w:t>
      </w:r>
      <w:r>
        <w:rPr>
          <w:spacing w:val="-4"/>
          <w:vertAlign w:val="baseline"/>
        </w:rPr>
        <w:t> </w:t>
      </w:r>
      <w:r>
        <w:rPr>
          <w:vertAlign w:val="baseline"/>
        </w:rPr>
        <w:t>National</w:t>
      </w:r>
      <w:r>
        <w:rPr>
          <w:spacing w:val="-4"/>
          <w:vertAlign w:val="baseline"/>
        </w:rPr>
        <w:t> </w:t>
      </w:r>
      <w:r>
        <w:rPr>
          <w:vertAlign w:val="baseline"/>
        </w:rPr>
        <w:t>School</w:t>
      </w:r>
      <w:r>
        <w:rPr>
          <w:spacing w:val="-4"/>
          <w:vertAlign w:val="baseline"/>
        </w:rPr>
        <w:t> </w:t>
      </w:r>
      <w:r>
        <w:rPr>
          <w:vertAlign w:val="baseline"/>
        </w:rPr>
        <w:t>Climate</w:t>
      </w:r>
      <w:r>
        <w:rPr>
          <w:spacing w:val="-3"/>
          <w:vertAlign w:val="baseline"/>
        </w:rPr>
        <w:t> </w:t>
      </w:r>
      <w:r>
        <w:rPr>
          <w:vertAlign w:val="baseline"/>
        </w:rPr>
        <w:t>Survey</w:t>
      </w:r>
      <w:r>
        <w:rPr>
          <w:spacing w:val="-2"/>
          <w:vertAlign w:val="baseline"/>
        </w:rPr>
        <w:t> </w:t>
      </w:r>
      <w:r>
        <w:rPr>
          <w:vertAlign w:val="baseline"/>
        </w:rPr>
        <w:t>found</w:t>
      </w:r>
      <w:r>
        <w:rPr>
          <w:spacing w:val="-3"/>
          <w:vertAlign w:val="baseline"/>
        </w:rPr>
        <w:t> </w:t>
      </w:r>
      <w:r>
        <w:rPr>
          <w:vertAlign w:val="baseline"/>
        </w:rPr>
        <w:t>that students in schools with anti-bullying policies that protect sexual orientation and gender expression experienced</w:t>
      </w:r>
      <w:r>
        <w:rPr>
          <w:spacing w:val="-11"/>
          <w:vertAlign w:val="baseline"/>
        </w:rPr>
        <w:t> </w:t>
      </w:r>
      <w:r>
        <w:rPr>
          <w:vertAlign w:val="baseline"/>
        </w:rPr>
        <w:t>less</w:t>
      </w:r>
      <w:r>
        <w:rPr>
          <w:spacing w:val="-11"/>
          <w:vertAlign w:val="baseline"/>
        </w:rPr>
        <w:t> </w:t>
      </w:r>
      <w:r>
        <w:rPr>
          <w:vertAlign w:val="baseline"/>
        </w:rPr>
        <w:t>anti-LGBTQ</w:t>
      </w:r>
      <w:r>
        <w:rPr>
          <w:spacing w:val="-11"/>
          <w:vertAlign w:val="baseline"/>
        </w:rPr>
        <w:t> </w:t>
      </w:r>
      <w:r>
        <w:rPr>
          <w:vertAlign w:val="baseline"/>
        </w:rPr>
        <w:t>remarks</w:t>
      </w:r>
      <w:r>
        <w:rPr>
          <w:spacing w:val="-10"/>
          <w:vertAlign w:val="baseline"/>
        </w:rPr>
        <w:t> </w:t>
      </w:r>
      <w:r>
        <w:rPr>
          <w:vertAlign w:val="baseline"/>
        </w:rPr>
        <w:t>and</w:t>
      </w:r>
      <w:r>
        <w:rPr>
          <w:spacing w:val="-11"/>
          <w:vertAlign w:val="baseline"/>
        </w:rPr>
        <w:t> </w:t>
      </w:r>
      <w:r>
        <w:rPr>
          <w:vertAlign w:val="baseline"/>
        </w:rPr>
        <w:t>victimization,</w:t>
      </w:r>
      <w:r>
        <w:rPr>
          <w:spacing w:val="-11"/>
          <w:vertAlign w:val="baseline"/>
        </w:rPr>
        <w:t> </w:t>
      </w:r>
      <w:r>
        <w:rPr>
          <w:vertAlign w:val="baseline"/>
        </w:rPr>
        <w:t>missed</w:t>
      </w:r>
      <w:r>
        <w:rPr>
          <w:spacing w:val="-11"/>
          <w:vertAlign w:val="baseline"/>
        </w:rPr>
        <w:t> </w:t>
      </w:r>
      <w:r>
        <w:rPr>
          <w:vertAlign w:val="baseline"/>
        </w:rPr>
        <w:t>school</w:t>
      </w:r>
      <w:r>
        <w:rPr>
          <w:spacing w:val="-11"/>
          <w:vertAlign w:val="baseline"/>
        </w:rPr>
        <w:t> </w:t>
      </w:r>
      <w:r>
        <w:rPr>
          <w:vertAlign w:val="baseline"/>
        </w:rPr>
        <w:t>less</w:t>
      </w:r>
      <w:r>
        <w:rPr>
          <w:spacing w:val="-11"/>
          <w:vertAlign w:val="baseline"/>
        </w:rPr>
        <w:t> </w:t>
      </w:r>
      <w:r>
        <w:rPr>
          <w:vertAlign w:val="baseline"/>
        </w:rPr>
        <w:t>often</w:t>
      </w:r>
      <w:r>
        <w:rPr>
          <w:spacing w:val="-10"/>
          <w:vertAlign w:val="baseline"/>
        </w:rPr>
        <w:t> </w:t>
      </w:r>
      <w:r>
        <w:rPr>
          <w:vertAlign w:val="baseline"/>
        </w:rPr>
        <w:t>due</w:t>
      </w:r>
      <w:r>
        <w:rPr>
          <w:spacing w:val="-10"/>
          <w:vertAlign w:val="baseline"/>
        </w:rPr>
        <w:t> </w:t>
      </w:r>
      <w:r>
        <w:rPr>
          <w:vertAlign w:val="baseline"/>
        </w:rPr>
        <w:t>to</w:t>
      </w:r>
      <w:r>
        <w:rPr>
          <w:spacing w:val="-11"/>
          <w:vertAlign w:val="baseline"/>
        </w:rPr>
        <w:t> </w:t>
      </w:r>
      <w:r>
        <w:rPr>
          <w:vertAlign w:val="baseline"/>
        </w:rPr>
        <w:t>feeling</w:t>
      </w:r>
      <w:r>
        <w:rPr>
          <w:spacing w:val="-11"/>
          <w:vertAlign w:val="baseline"/>
        </w:rPr>
        <w:t> </w:t>
      </w:r>
      <w:r>
        <w:rPr>
          <w:vertAlign w:val="baseline"/>
        </w:rPr>
        <w:t>unsafe, and were more likely to feel they belonged at school.</w:t>
      </w:r>
      <w:hyperlink w:history="true" w:anchor="_bookmark43">
        <w:r>
          <w:rPr>
            <w:vertAlign w:val="superscript"/>
          </w:rPr>
          <w:t>4</w:t>
        </w:r>
      </w:hyperlink>
      <w:r>
        <w:rPr>
          <w:spacing w:val="-2"/>
          <w:vertAlign w:val="baseline"/>
        </w:rPr>
        <w:t> </w:t>
      </w:r>
      <w:r>
        <w:rPr>
          <w:vertAlign w:val="baseline"/>
        </w:rPr>
        <w:t>Given this, it is imperative that educators and school administrators make known state laws that mandate district non-discrimination policies to include gender identity and</w:t>
      </w:r>
      <w:r>
        <w:rPr>
          <w:spacing w:val="-1"/>
          <w:vertAlign w:val="baseline"/>
        </w:rPr>
        <w:t> </w:t>
      </w:r>
      <w:r>
        <w:rPr>
          <w:vertAlign w:val="baseline"/>
        </w:rPr>
        <w:t>sexual orientation</w:t>
      </w:r>
      <w:hyperlink w:history="true" w:anchor="_bookmark44">
        <w:r>
          <w:rPr>
            <w:vertAlign w:val="superscript"/>
          </w:rPr>
          <w:t>5</w:t>
        </w:r>
      </w:hyperlink>
      <w:r>
        <w:rPr>
          <w:spacing w:val="-3"/>
          <w:vertAlign w:val="baseline"/>
        </w:rPr>
        <w:t> </w:t>
      </w:r>
      <w:r>
        <w:rPr>
          <w:vertAlign w:val="baseline"/>
        </w:rPr>
        <w:t>so that</w:t>
      </w:r>
      <w:r>
        <w:rPr>
          <w:spacing w:val="-1"/>
          <w:vertAlign w:val="baseline"/>
        </w:rPr>
        <w:t> </w:t>
      </w:r>
      <w:r>
        <w:rPr>
          <w:vertAlign w:val="baseline"/>
        </w:rPr>
        <w:t>students and</w:t>
      </w:r>
      <w:r>
        <w:rPr>
          <w:spacing w:val="-1"/>
          <w:vertAlign w:val="baseline"/>
        </w:rPr>
        <w:t> </w:t>
      </w:r>
      <w:r>
        <w:rPr>
          <w:vertAlign w:val="baseline"/>
        </w:rPr>
        <w:t>families are</w:t>
      </w:r>
      <w:r>
        <w:rPr>
          <w:spacing w:val="-1"/>
          <w:vertAlign w:val="baseline"/>
        </w:rPr>
        <w:t> </w:t>
      </w:r>
      <w:r>
        <w:rPr>
          <w:vertAlign w:val="baseline"/>
        </w:rPr>
        <w:t>aware</w:t>
      </w:r>
      <w:r>
        <w:rPr>
          <w:spacing w:val="-1"/>
          <w:vertAlign w:val="baseline"/>
        </w:rPr>
        <w:t> </w:t>
      </w:r>
      <w:r>
        <w:rPr>
          <w:vertAlign w:val="baseline"/>
        </w:rPr>
        <w:t>of their rights and protections.</w:t>
      </w:r>
    </w:p>
    <w:p>
      <w:pPr>
        <w:spacing w:before="239"/>
        <w:ind w:left="464" w:right="0" w:firstLine="0"/>
        <w:jc w:val="left"/>
        <w:rPr>
          <w:sz w:val="26"/>
        </w:rPr>
      </w:pPr>
      <w:bookmarkStart w:name="District Policies" w:id="141"/>
      <w:bookmarkEnd w:id="141"/>
      <w:r>
        <w:rPr/>
      </w:r>
      <w:r>
        <w:rPr>
          <w:color w:val="404040"/>
          <w:sz w:val="26"/>
        </w:rPr>
        <w:t>District</w:t>
      </w:r>
      <w:r>
        <w:rPr>
          <w:color w:val="404040"/>
          <w:spacing w:val="-5"/>
          <w:sz w:val="26"/>
        </w:rPr>
        <w:t> </w:t>
      </w:r>
      <w:r>
        <w:rPr>
          <w:color w:val="404040"/>
          <w:spacing w:val="-2"/>
          <w:sz w:val="26"/>
        </w:rPr>
        <w:t>Policies</w:t>
      </w:r>
    </w:p>
    <w:p>
      <w:pPr>
        <w:pStyle w:val="BodyText"/>
        <w:spacing w:line="276" w:lineRule="auto" w:before="289"/>
        <w:ind w:left="464" w:right="403"/>
        <w:jc w:val="both"/>
      </w:pPr>
      <w:r>
        <w:rPr/>
        <w:t>In 2022, the Commission published a special report on LGBTQ inclusive education policy, which examined</w:t>
      </w:r>
      <w:r>
        <w:rPr>
          <w:spacing w:val="-4"/>
        </w:rPr>
        <w:t> </w:t>
      </w:r>
      <w:r>
        <w:rPr/>
        <w:t>whether</w:t>
      </w:r>
      <w:r>
        <w:rPr>
          <w:spacing w:val="-2"/>
        </w:rPr>
        <w:t> </w:t>
      </w:r>
      <w:r>
        <w:rPr/>
        <w:t>more</w:t>
      </w:r>
      <w:r>
        <w:rPr>
          <w:spacing w:val="-4"/>
        </w:rPr>
        <w:t> </w:t>
      </w:r>
      <w:r>
        <w:rPr/>
        <w:t>than</w:t>
      </w:r>
      <w:r>
        <w:rPr>
          <w:spacing w:val="-4"/>
        </w:rPr>
        <w:t> </w:t>
      </w:r>
      <w:r>
        <w:rPr/>
        <w:t>1,700</w:t>
      </w:r>
      <w:r>
        <w:rPr>
          <w:spacing w:val="-4"/>
        </w:rPr>
        <w:t> </w:t>
      </w:r>
      <w:r>
        <w:rPr/>
        <w:t>Massachusetts</w:t>
      </w:r>
      <w:r>
        <w:rPr>
          <w:spacing w:val="-2"/>
        </w:rPr>
        <w:t> </w:t>
      </w:r>
      <w:r>
        <w:rPr/>
        <w:t>public</w:t>
      </w:r>
      <w:r>
        <w:rPr>
          <w:spacing w:val="-4"/>
        </w:rPr>
        <w:t> </w:t>
      </w:r>
      <w:r>
        <w:rPr/>
        <w:t>schools</w:t>
      </w:r>
      <w:r>
        <w:rPr>
          <w:spacing w:val="-3"/>
        </w:rPr>
        <w:t> </w:t>
      </w:r>
      <w:r>
        <w:rPr/>
        <w:t>include</w:t>
      </w:r>
      <w:r>
        <w:rPr>
          <w:spacing w:val="-4"/>
        </w:rPr>
        <w:t> </w:t>
      </w:r>
      <w:r>
        <w:rPr/>
        <w:t>LGBTQ-specific</w:t>
      </w:r>
      <w:r>
        <w:rPr>
          <w:spacing w:val="-4"/>
        </w:rPr>
        <w:t> </w:t>
      </w:r>
      <w:r>
        <w:rPr/>
        <w:t>language</w:t>
      </w:r>
      <w:r>
        <w:rPr>
          <w:spacing w:val="-4"/>
        </w:rPr>
        <w:t> </w:t>
      </w:r>
      <w:r>
        <w:rPr/>
        <w:t>in their 2021-2022 student/caregiver handbooks. The review found that about one-fifth of</w:t>
      </w:r>
      <w:r>
        <w:rPr>
          <w:spacing w:val="40"/>
        </w:rPr>
        <w:t> </w:t>
      </w:r>
      <w:r>
        <w:rPr/>
        <w:t>include “gender</w:t>
      </w:r>
      <w:r>
        <w:rPr>
          <w:spacing w:val="35"/>
        </w:rPr>
        <w:t> </w:t>
      </w:r>
      <w:r>
        <w:rPr/>
        <w:t>identity”</w:t>
      </w:r>
      <w:r>
        <w:rPr>
          <w:spacing w:val="34"/>
        </w:rPr>
        <w:t> </w:t>
      </w:r>
      <w:r>
        <w:rPr/>
        <w:t>as</w:t>
      </w:r>
      <w:r>
        <w:rPr>
          <w:spacing w:val="35"/>
        </w:rPr>
        <w:t> </w:t>
      </w:r>
      <w:r>
        <w:rPr/>
        <w:t>a</w:t>
      </w:r>
      <w:r>
        <w:rPr>
          <w:spacing w:val="34"/>
        </w:rPr>
        <w:t> </w:t>
      </w:r>
      <w:r>
        <w:rPr/>
        <w:t>protected</w:t>
      </w:r>
      <w:r>
        <w:rPr>
          <w:spacing w:val="34"/>
        </w:rPr>
        <w:t> </w:t>
      </w:r>
      <w:r>
        <w:rPr/>
        <w:t>class</w:t>
      </w:r>
      <w:r>
        <w:rPr>
          <w:spacing w:val="34"/>
        </w:rPr>
        <w:t> </w:t>
      </w:r>
      <w:r>
        <w:rPr/>
        <w:t>in</w:t>
      </w:r>
      <w:r>
        <w:rPr>
          <w:spacing w:val="34"/>
        </w:rPr>
        <w:t> </w:t>
      </w:r>
      <w:r>
        <w:rPr/>
        <w:t>their</w:t>
      </w:r>
      <w:r>
        <w:rPr>
          <w:spacing w:val="35"/>
        </w:rPr>
        <w:t> </w:t>
      </w:r>
      <w:r>
        <w:rPr/>
        <w:t>handbooks.</w:t>
      </w:r>
      <w:r>
        <w:rPr>
          <w:spacing w:val="33"/>
        </w:rPr>
        <w:t> </w:t>
      </w:r>
      <w:r>
        <w:rPr/>
        <w:t>In</w:t>
      </w:r>
      <w:r>
        <w:rPr>
          <w:spacing w:val="33"/>
        </w:rPr>
        <w:t> </w:t>
      </w:r>
      <w:r>
        <w:rPr/>
        <w:t>2023,</w:t>
      </w:r>
      <w:r>
        <w:rPr>
          <w:spacing w:val="34"/>
        </w:rPr>
        <w:t> </w:t>
      </w:r>
      <w:r>
        <w:rPr/>
        <w:t>a</w:t>
      </w:r>
      <w:r>
        <w:rPr>
          <w:spacing w:val="34"/>
        </w:rPr>
        <w:t> </w:t>
      </w:r>
      <w:r>
        <w:rPr/>
        <w:t>follow-up</w:t>
      </w:r>
      <w:r>
        <w:rPr>
          <w:spacing w:val="33"/>
        </w:rPr>
        <w:t> </w:t>
      </w:r>
      <w:r>
        <w:rPr/>
        <w:t>review</w:t>
      </w:r>
      <w:r>
        <w:rPr>
          <w:spacing w:val="35"/>
        </w:rPr>
        <w:t> </w:t>
      </w:r>
      <w:r>
        <w:rPr/>
        <w:t>examined</w:t>
      </w:r>
    </w:p>
    <w:p>
      <w:pPr>
        <w:pStyle w:val="BodyText"/>
        <w:tabs>
          <w:tab w:pos="7232" w:val="left" w:leader="none"/>
          <w:tab w:pos="8565" w:val="left" w:leader="none"/>
        </w:tabs>
        <w:spacing w:line="276" w:lineRule="auto"/>
        <w:ind w:left="5735" w:right="401"/>
        <w:jc w:val="both"/>
      </w:pPr>
      <w:r>
        <w:rPr/>
        <w:drawing>
          <wp:anchor distT="0" distB="0" distL="0" distR="0" allowOverlap="1" layoutInCell="1" locked="0" behindDoc="0" simplePos="0" relativeHeight="15744000">
            <wp:simplePos x="0" y="0"/>
            <wp:positionH relativeFrom="page">
              <wp:posOffset>1038225</wp:posOffset>
            </wp:positionH>
            <wp:positionV relativeFrom="paragraph">
              <wp:posOffset>145968</wp:posOffset>
            </wp:positionV>
            <wp:extent cx="3195954" cy="1378580"/>
            <wp:effectExtent l="0" t="0" r="0" b="0"/>
            <wp:wrapNone/>
            <wp:docPr id="132" name="Image 132" descr="A row of books with text  Description automatically generated "/>
            <wp:cNvGraphicFramePr>
              <a:graphicFrameLocks/>
            </wp:cNvGraphicFramePr>
            <a:graphic>
              <a:graphicData uri="http://schemas.openxmlformats.org/drawingml/2006/picture">
                <pic:pic>
                  <pic:nvPicPr>
                    <pic:cNvPr id="132" name="Image 132" descr="A row of books with text  Description automatically generated "/>
                    <pic:cNvPicPr/>
                  </pic:nvPicPr>
                  <pic:blipFill>
                    <a:blip r:embed="rId103" cstate="print"/>
                    <a:stretch>
                      <a:fillRect/>
                    </a:stretch>
                  </pic:blipFill>
                  <pic:spPr>
                    <a:xfrm>
                      <a:off x="0" y="0"/>
                      <a:ext cx="3195954" cy="1378580"/>
                    </a:xfrm>
                    <a:prstGeom prst="rect">
                      <a:avLst/>
                    </a:prstGeom>
                  </pic:spPr>
                </pic:pic>
              </a:graphicData>
            </a:graphic>
          </wp:anchor>
        </w:drawing>
      </w:r>
      <w:r>
        <w:rPr/>
        <w:t>whether district-level policies of Massachusetts public schools include </w:t>
      </w:r>
      <w:r>
        <w:rPr>
          <w:spacing w:val="-2"/>
        </w:rPr>
        <w:t>guidance</w:t>
      </w:r>
      <w:r>
        <w:rPr/>
        <w:tab/>
      </w:r>
      <w:r>
        <w:rPr>
          <w:spacing w:val="-2"/>
        </w:rPr>
        <w:t>around</w:t>
      </w:r>
      <w:r>
        <w:rPr/>
        <w:tab/>
      </w:r>
      <w:r>
        <w:rPr>
          <w:spacing w:val="-2"/>
        </w:rPr>
        <w:t>supporting </w:t>
      </w:r>
      <w:r>
        <w:rPr/>
        <w:t>transgender/nonbinary students. These policies provide language beyond the required inclusion of “gender identity” in the district’s anti-discrimination statutes, or</w:t>
      </w:r>
      <w:r>
        <w:rPr>
          <w:spacing w:val="74"/>
          <w:w w:val="150"/>
        </w:rPr>
        <w:t>  </w:t>
      </w:r>
      <w:r>
        <w:rPr/>
        <w:t>the</w:t>
      </w:r>
      <w:r>
        <w:rPr>
          <w:spacing w:val="74"/>
          <w:w w:val="150"/>
        </w:rPr>
        <w:t>  </w:t>
      </w:r>
      <w:r>
        <w:rPr/>
        <w:t>commonplace</w:t>
      </w:r>
      <w:r>
        <w:rPr>
          <w:spacing w:val="75"/>
          <w:w w:val="150"/>
        </w:rPr>
        <w:t>  </w:t>
      </w:r>
      <w:r>
        <w:rPr/>
        <w:t>anti-</w:t>
      </w:r>
      <w:r>
        <w:rPr>
          <w:spacing w:val="-2"/>
        </w:rPr>
        <w:t>bullying</w:t>
      </w:r>
    </w:p>
    <w:p>
      <w:pPr>
        <w:pStyle w:val="BodyText"/>
        <w:spacing w:line="276" w:lineRule="auto"/>
        <w:ind w:left="463" w:right="402"/>
        <w:jc w:val="both"/>
      </w:pPr>
      <w:r>
        <w:rPr>
          <w:spacing w:val="-2"/>
        </w:rPr>
        <w:t>provision that acknowledges the disproportionate rates of bullying among LGBTQ students. This review </w:t>
      </w:r>
      <w:r>
        <w:rPr/>
        <w:t>was able to locate 1,842 of 1,851 (99%) Massachusetts public schools’ district policies for the 2022- 2023 school year. 358 of 1,842 schools (19.4%) are subject to specific district-level policies related to gender identity and supporting trans/nonbinary students; these policies are maintained by 25 public school districts and 8 public charter schools/districts across the Commonwealth.</w:t>
      </w:r>
    </w:p>
    <w:p>
      <w:pPr>
        <w:spacing w:after="0" w:line="276" w:lineRule="auto"/>
        <w:jc w:val="both"/>
        <w:sectPr>
          <w:pgSz w:w="12240" w:h="15840"/>
          <w:pgMar w:header="763" w:footer="1041" w:top="1140" w:bottom="1240" w:left="1120" w:right="1180"/>
        </w:sectPr>
      </w:pPr>
    </w:p>
    <w:p>
      <w:pPr>
        <w:pStyle w:val="BodyText"/>
        <w:spacing w:line="276" w:lineRule="auto" w:before="66"/>
        <w:ind w:left="463" w:right="400"/>
        <w:jc w:val="both"/>
      </w:pPr>
      <w:r>
        <w:rPr/>
        <w:t>Several studies, as described above, found a correlation between lower bullying rates and the existence</w:t>
      </w:r>
      <w:r>
        <w:rPr>
          <w:spacing w:val="-8"/>
        </w:rPr>
        <w:t> </w:t>
      </w:r>
      <w:r>
        <w:rPr/>
        <w:t>of school anti-discrimination and harassment policies,</w:t>
      </w:r>
      <w:r>
        <w:rPr>
          <w:vertAlign w:val="superscript"/>
        </w:rPr>
        <w:t>1,</w:t>
      </w:r>
      <w:r>
        <w:rPr>
          <w:spacing w:val="-13"/>
          <w:vertAlign w:val="baseline"/>
        </w:rPr>
        <w:t> </w:t>
      </w:r>
      <w:r>
        <w:rPr>
          <w:vertAlign w:val="superscript"/>
        </w:rPr>
        <w:t>2,</w:t>
      </w:r>
      <w:r>
        <w:rPr>
          <w:spacing w:val="-12"/>
          <w:vertAlign w:val="baseline"/>
        </w:rPr>
        <w:t> </w:t>
      </w:r>
      <w:r>
        <w:rPr>
          <w:vertAlign w:val="superscript"/>
        </w:rPr>
        <w:t>3</w:t>
      </w:r>
      <w:r>
        <w:rPr>
          <w:vertAlign w:val="baseline"/>
        </w:rPr>
        <w:t> it is important to note that some studies found no correlation.</w:t>
      </w:r>
      <w:r>
        <w:rPr>
          <w:vertAlign w:val="superscript"/>
        </w:rPr>
        <w:t>1,</w:t>
      </w:r>
      <w:r>
        <w:rPr>
          <w:spacing w:val="-13"/>
          <w:vertAlign w:val="baseline"/>
        </w:rPr>
        <w:t> </w:t>
      </w:r>
      <w:hyperlink w:history="true" w:anchor="_bookmark45">
        <w:r>
          <w:rPr>
            <w:vertAlign w:val="superscript"/>
          </w:rPr>
          <w:t>6</w:t>
        </w:r>
      </w:hyperlink>
      <w:r>
        <w:rPr>
          <w:vertAlign w:val="baseline"/>
        </w:rPr>
        <w:t> This means that enumerated policies that are inclusive of sexual orientation, gender identity, and gender expression are useful, but cannot be the only mechanism in place to support LGBTQ students in our schools. LGBTQ-inclusive curriculum and a positive school climate for marginalized students are among other areas that require the attention of policymakers, school administrators, educators, and support staff.</w:t>
      </w:r>
    </w:p>
    <w:p>
      <w:pPr>
        <w:spacing w:before="238"/>
        <w:ind w:left="464" w:right="0" w:firstLine="0"/>
        <w:jc w:val="both"/>
        <w:rPr>
          <w:sz w:val="26"/>
        </w:rPr>
      </w:pPr>
      <w:bookmarkStart w:name="LGBTQ-Inclusive Curriculum" w:id="142"/>
      <w:bookmarkEnd w:id="142"/>
      <w:r>
        <w:rPr/>
      </w:r>
      <w:r>
        <w:rPr>
          <w:color w:val="404040"/>
          <w:sz w:val="26"/>
        </w:rPr>
        <w:t>LGBTQ-Inclusive</w:t>
      </w:r>
      <w:r>
        <w:rPr>
          <w:color w:val="404040"/>
          <w:spacing w:val="-9"/>
          <w:sz w:val="26"/>
        </w:rPr>
        <w:t> </w:t>
      </w:r>
      <w:r>
        <w:rPr>
          <w:color w:val="404040"/>
          <w:spacing w:val="-2"/>
          <w:sz w:val="26"/>
        </w:rPr>
        <w:t>Curriculum</w:t>
      </w:r>
    </w:p>
    <w:p>
      <w:pPr>
        <w:pStyle w:val="BodyText"/>
        <w:spacing w:line="276" w:lineRule="auto" w:before="289"/>
        <w:ind w:left="464" w:right="4967"/>
        <w:jc w:val="both"/>
      </w:pPr>
      <w:r>
        <w:rPr/>
        <w:drawing>
          <wp:anchor distT="0" distB="0" distL="0" distR="0" allowOverlap="1" layoutInCell="1" locked="0" behindDoc="0" simplePos="0" relativeHeight="15745024">
            <wp:simplePos x="0" y="0"/>
            <wp:positionH relativeFrom="page">
              <wp:posOffset>3981450</wp:posOffset>
            </wp:positionH>
            <wp:positionV relativeFrom="paragraph">
              <wp:posOffset>189262</wp:posOffset>
            </wp:positionV>
            <wp:extent cx="2859278" cy="1904352"/>
            <wp:effectExtent l="0" t="0" r="0" b="0"/>
            <wp:wrapNone/>
            <wp:docPr id="133" name="Image 133" descr="A pie chart with text and words  Description automatically generated "/>
            <wp:cNvGraphicFramePr>
              <a:graphicFrameLocks/>
            </wp:cNvGraphicFramePr>
            <a:graphic>
              <a:graphicData uri="http://schemas.openxmlformats.org/drawingml/2006/picture">
                <pic:pic>
                  <pic:nvPicPr>
                    <pic:cNvPr id="133" name="Image 133" descr="A pie chart with text and words  Description automatically generated "/>
                    <pic:cNvPicPr/>
                  </pic:nvPicPr>
                  <pic:blipFill>
                    <a:blip r:embed="rId104" cstate="print"/>
                    <a:stretch>
                      <a:fillRect/>
                    </a:stretch>
                  </pic:blipFill>
                  <pic:spPr>
                    <a:xfrm>
                      <a:off x="0" y="0"/>
                      <a:ext cx="2859278" cy="1904352"/>
                    </a:xfrm>
                    <a:prstGeom prst="rect">
                      <a:avLst/>
                    </a:prstGeom>
                  </pic:spPr>
                </pic:pic>
              </a:graphicData>
            </a:graphic>
          </wp:anchor>
        </w:drawing>
      </w:r>
      <w:r>
        <w:rPr/>
        <w:t>GLSEN’s 2021 National School Climate Survey found</w:t>
      </w:r>
      <w:r>
        <w:rPr>
          <w:spacing w:val="-9"/>
        </w:rPr>
        <w:t> </w:t>
      </w:r>
      <w:r>
        <w:rPr/>
        <w:t>that</w:t>
      </w:r>
      <w:r>
        <w:rPr>
          <w:spacing w:val="-9"/>
        </w:rPr>
        <w:t> </w:t>
      </w:r>
      <w:r>
        <w:rPr/>
        <w:t>LGBTQ</w:t>
      </w:r>
      <w:r>
        <w:rPr>
          <w:spacing w:val="-10"/>
        </w:rPr>
        <w:t> </w:t>
      </w:r>
      <w:r>
        <w:rPr/>
        <w:t>students</w:t>
      </w:r>
      <w:r>
        <w:rPr>
          <w:spacing w:val="-8"/>
        </w:rPr>
        <w:t> </w:t>
      </w:r>
      <w:r>
        <w:rPr/>
        <w:t>in</w:t>
      </w:r>
      <w:r>
        <w:rPr>
          <w:spacing w:val="-9"/>
        </w:rPr>
        <w:t> </w:t>
      </w:r>
      <w:r>
        <w:rPr/>
        <w:t>schools</w:t>
      </w:r>
      <w:r>
        <w:rPr>
          <w:spacing w:val="-9"/>
        </w:rPr>
        <w:t> </w:t>
      </w:r>
      <w:r>
        <w:rPr/>
        <w:t>with</w:t>
      </w:r>
      <w:r>
        <w:rPr>
          <w:spacing w:val="-9"/>
        </w:rPr>
        <w:t> </w:t>
      </w:r>
      <w:r>
        <w:rPr/>
        <w:t>LGBTQ- inclusive curriculum experienced a variety of positive</w:t>
      </w:r>
      <w:r>
        <w:rPr>
          <w:spacing w:val="-11"/>
        </w:rPr>
        <w:t> </w:t>
      </w:r>
      <w:r>
        <w:rPr/>
        <w:t>outcomes</w:t>
      </w:r>
      <w:r>
        <w:rPr>
          <w:spacing w:val="-10"/>
        </w:rPr>
        <w:t> </w:t>
      </w:r>
      <w:r>
        <w:rPr/>
        <w:t>compared</w:t>
      </w:r>
      <w:r>
        <w:rPr>
          <w:spacing w:val="-11"/>
        </w:rPr>
        <w:t> </w:t>
      </w:r>
      <w:r>
        <w:rPr/>
        <w:t>to</w:t>
      </w:r>
      <w:r>
        <w:rPr>
          <w:spacing w:val="-10"/>
        </w:rPr>
        <w:t> </w:t>
      </w:r>
      <w:r>
        <w:rPr/>
        <w:t>LGBTQ</w:t>
      </w:r>
      <w:r>
        <w:rPr>
          <w:spacing w:val="-10"/>
        </w:rPr>
        <w:t> </w:t>
      </w:r>
      <w:r>
        <w:rPr/>
        <w:t>students</w:t>
      </w:r>
      <w:r>
        <w:rPr>
          <w:spacing w:val="-10"/>
        </w:rPr>
        <w:t> </w:t>
      </w:r>
      <w:r>
        <w:rPr/>
        <w:t>in schools without LGBTQ-inclusive curriculum. For instance,</w:t>
      </w:r>
      <w:r>
        <w:rPr>
          <w:spacing w:val="-7"/>
        </w:rPr>
        <w:t> </w:t>
      </w:r>
      <w:r>
        <w:rPr/>
        <w:t>they</w:t>
      </w:r>
      <w:r>
        <w:rPr>
          <w:spacing w:val="-8"/>
        </w:rPr>
        <w:t> </w:t>
      </w:r>
      <w:r>
        <w:rPr/>
        <w:t>were</w:t>
      </w:r>
      <w:r>
        <w:rPr>
          <w:spacing w:val="-9"/>
        </w:rPr>
        <w:t> </w:t>
      </w:r>
      <w:r>
        <w:rPr/>
        <w:t>less</w:t>
      </w:r>
      <w:r>
        <w:rPr>
          <w:spacing w:val="-8"/>
        </w:rPr>
        <w:t> </w:t>
      </w:r>
      <w:r>
        <w:rPr/>
        <w:t>likely</w:t>
      </w:r>
      <w:r>
        <w:rPr>
          <w:spacing w:val="-8"/>
        </w:rPr>
        <w:t> </w:t>
      </w:r>
      <w:r>
        <w:rPr/>
        <w:t>to</w:t>
      </w:r>
      <w:r>
        <w:rPr>
          <w:spacing w:val="-7"/>
        </w:rPr>
        <w:t> </w:t>
      </w:r>
      <w:r>
        <w:rPr/>
        <w:t>hear</w:t>
      </w:r>
      <w:r>
        <w:rPr>
          <w:spacing w:val="-8"/>
        </w:rPr>
        <w:t> </w:t>
      </w:r>
      <w:r>
        <w:rPr/>
        <w:t>homophobic comments, had less absenteeism as a result of feeling unsafe or uncomfortable, they felt an increased sense of belonging to their school communities,</w:t>
      </w:r>
      <w:r>
        <w:rPr>
          <w:spacing w:val="20"/>
        </w:rPr>
        <w:t> </w:t>
      </w:r>
      <w:r>
        <w:rPr/>
        <w:t>and</w:t>
      </w:r>
      <w:r>
        <w:rPr>
          <w:spacing w:val="20"/>
        </w:rPr>
        <w:t> </w:t>
      </w:r>
      <w:r>
        <w:rPr/>
        <w:t>reported</w:t>
      </w:r>
      <w:r>
        <w:rPr>
          <w:spacing w:val="19"/>
        </w:rPr>
        <w:t> </w:t>
      </w:r>
      <w:r>
        <w:rPr/>
        <w:t>better</w:t>
      </w:r>
      <w:r>
        <w:rPr>
          <w:spacing w:val="20"/>
        </w:rPr>
        <w:t> </w:t>
      </w:r>
      <w:r>
        <w:rPr/>
        <w:t>mental</w:t>
      </w:r>
      <w:r>
        <w:rPr>
          <w:spacing w:val="20"/>
        </w:rPr>
        <w:t> </w:t>
      </w:r>
      <w:r>
        <w:rPr>
          <w:spacing w:val="-2"/>
        </w:rPr>
        <w:t>health</w:t>
      </w:r>
    </w:p>
    <w:p>
      <w:pPr>
        <w:pStyle w:val="BodyText"/>
        <w:spacing w:line="276" w:lineRule="auto"/>
        <w:ind w:left="463" w:right="401"/>
        <w:jc w:val="both"/>
      </w:pPr>
      <w:r>
        <w:rPr/>
        <w:t>experiences (higher self-esteem, lower rates of depression, and lower rates of suicidality).</w:t>
      </w:r>
      <w:r>
        <w:rPr>
          <w:vertAlign w:val="superscript"/>
        </w:rPr>
        <w:t>3</w:t>
      </w:r>
      <w:r>
        <w:rPr>
          <w:vertAlign w:val="baseline"/>
        </w:rPr>
        <w:t> Massachusetts-specific data from the same survey found that in the Commonwealth, only 31% of LGBTQ students surveyed were taught positive representations of LGBTQ+ people, history, or events (“inclusive curriculum”), 54% said they had access to inclusive library resources, and 15% of LGBTQ+ students in Massachusetts reported receiving LGBTQ+-inclusive sex education at school.</w:t>
      </w:r>
      <w:hyperlink w:history="true" w:anchor="_bookmark46">
        <w:r>
          <w:rPr>
            <w:vertAlign w:val="superscript"/>
          </w:rPr>
          <w:t>7</w:t>
        </w:r>
      </w:hyperlink>
    </w:p>
    <w:p>
      <w:pPr>
        <w:pStyle w:val="BodyText"/>
        <w:spacing w:line="276" w:lineRule="auto" w:before="240"/>
        <w:ind w:left="463" w:right="400"/>
        <w:jc w:val="both"/>
      </w:pPr>
      <w:r>
        <w:rPr/>
        <w:t>However,</w:t>
      </w:r>
      <w:r>
        <w:rPr>
          <w:spacing w:val="-4"/>
        </w:rPr>
        <w:t> </w:t>
      </w:r>
      <w:r>
        <w:rPr/>
        <w:t>mere</w:t>
      </w:r>
      <w:r>
        <w:rPr>
          <w:spacing w:val="-4"/>
        </w:rPr>
        <w:t> </w:t>
      </w:r>
      <w:r>
        <w:rPr/>
        <w:t>inclusion</w:t>
      </w:r>
      <w:r>
        <w:rPr>
          <w:spacing w:val="-4"/>
        </w:rPr>
        <w:t> </w:t>
      </w:r>
      <w:r>
        <w:rPr/>
        <w:t>of</w:t>
      </w:r>
      <w:r>
        <w:rPr>
          <w:spacing w:val="-4"/>
        </w:rPr>
        <w:t> </w:t>
      </w:r>
      <w:r>
        <w:rPr/>
        <w:t>LGBTQ</w:t>
      </w:r>
      <w:r>
        <w:rPr>
          <w:spacing w:val="-4"/>
        </w:rPr>
        <w:t> </w:t>
      </w:r>
      <w:r>
        <w:rPr/>
        <w:t>perspectives,</w:t>
      </w:r>
      <w:r>
        <w:rPr>
          <w:spacing w:val="-4"/>
        </w:rPr>
        <w:t> </w:t>
      </w:r>
      <w:r>
        <w:rPr/>
        <w:t>people,</w:t>
      </w:r>
      <w:r>
        <w:rPr>
          <w:spacing w:val="-4"/>
        </w:rPr>
        <w:t> </w:t>
      </w:r>
      <w:r>
        <w:rPr/>
        <w:t>topics,</w:t>
      </w:r>
      <w:r>
        <w:rPr>
          <w:spacing w:val="-4"/>
        </w:rPr>
        <w:t> </w:t>
      </w:r>
      <w:r>
        <w:rPr/>
        <w:t>etc.</w:t>
      </w:r>
      <w:r>
        <w:rPr>
          <w:spacing w:val="-4"/>
        </w:rPr>
        <w:t> </w:t>
      </w:r>
      <w:r>
        <w:rPr/>
        <w:t>is</w:t>
      </w:r>
      <w:r>
        <w:rPr>
          <w:spacing w:val="-4"/>
        </w:rPr>
        <w:t> </w:t>
      </w:r>
      <w:r>
        <w:rPr/>
        <w:t>not</w:t>
      </w:r>
      <w:r>
        <w:rPr>
          <w:spacing w:val="-4"/>
        </w:rPr>
        <w:t> </w:t>
      </w:r>
      <w:r>
        <w:rPr/>
        <w:t>sufficient</w:t>
      </w:r>
      <w:r>
        <w:rPr>
          <w:spacing w:val="-4"/>
        </w:rPr>
        <w:t> </w:t>
      </w:r>
      <w:r>
        <w:rPr/>
        <w:t>to</w:t>
      </w:r>
      <w:r>
        <w:rPr>
          <w:spacing w:val="-3"/>
        </w:rPr>
        <w:t> </w:t>
      </w:r>
      <w:r>
        <w:rPr/>
        <w:t>make</w:t>
      </w:r>
      <w:r>
        <w:rPr>
          <w:spacing w:val="-3"/>
        </w:rPr>
        <w:t> </w:t>
      </w:r>
      <w:r>
        <w:rPr/>
        <w:t>the</w:t>
      </w:r>
      <w:r>
        <w:rPr>
          <w:spacing w:val="-4"/>
        </w:rPr>
        <w:t> </w:t>
      </w:r>
      <w:r>
        <w:rPr/>
        <w:t>type of liberatory educational change the Commission advocates for. Intersectional curricular inclusion of queer and trans perspectives (i.e., curricular content that examines the intersections of race, class, gender, sexuality, ability, immigration status, etc.) is required to work towards schools as liberatory environments for all LGBTQ students,</w:t>
      </w:r>
      <w:hyperlink w:history="true" w:anchor="_bookmark47">
        <w:r>
          <w:rPr>
            <w:vertAlign w:val="superscript"/>
          </w:rPr>
          <w:t>8</w:t>
        </w:r>
      </w:hyperlink>
      <w:r>
        <w:rPr>
          <w:spacing w:val="-3"/>
          <w:vertAlign w:val="baseline"/>
        </w:rPr>
        <w:t> </w:t>
      </w:r>
      <w:r>
        <w:rPr>
          <w:vertAlign w:val="baseline"/>
        </w:rPr>
        <w:t>including populations such as BIPOC LGBTQ students, LGBTQ students who are immigrants, disabled LGBTQ students, and LGBTQ students with multiple marginalized</w:t>
      </w:r>
      <w:r>
        <w:rPr>
          <w:spacing w:val="-3"/>
          <w:vertAlign w:val="baseline"/>
        </w:rPr>
        <w:t> </w:t>
      </w:r>
      <w:r>
        <w:rPr>
          <w:vertAlign w:val="baseline"/>
        </w:rPr>
        <w:t>identities.</w:t>
      </w:r>
      <w:r>
        <w:rPr>
          <w:spacing w:val="-4"/>
          <w:vertAlign w:val="baseline"/>
        </w:rPr>
        <w:t> </w:t>
      </w:r>
      <w:r>
        <w:rPr>
          <w:vertAlign w:val="baseline"/>
        </w:rPr>
        <w:t>As</w:t>
      </w:r>
      <w:r>
        <w:rPr>
          <w:spacing w:val="-2"/>
          <w:vertAlign w:val="baseline"/>
        </w:rPr>
        <w:t> </w:t>
      </w:r>
      <w:r>
        <w:rPr>
          <w:vertAlign w:val="baseline"/>
        </w:rPr>
        <w:t>such,</w:t>
      </w:r>
      <w:r>
        <w:rPr>
          <w:spacing w:val="-5"/>
          <w:vertAlign w:val="baseline"/>
        </w:rPr>
        <w:t> </w:t>
      </w:r>
      <w:r>
        <w:rPr>
          <w:vertAlign w:val="baseline"/>
        </w:rPr>
        <w:t>administrators</w:t>
      </w:r>
      <w:r>
        <w:rPr>
          <w:spacing w:val="-5"/>
          <w:vertAlign w:val="baseline"/>
        </w:rPr>
        <w:t> </w:t>
      </w:r>
      <w:r>
        <w:rPr>
          <w:vertAlign w:val="baseline"/>
        </w:rPr>
        <w:t>should</w:t>
      </w:r>
      <w:r>
        <w:rPr>
          <w:spacing w:val="-5"/>
          <w:vertAlign w:val="baseline"/>
        </w:rPr>
        <w:t> </w:t>
      </w:r>
      <w:r>
        <w:rPr>
          <w:vertAlign w:val="baseline"/>
        </w:rPr>
        <w:t>proactively</w:t>
      </w:r>
      <w:r>
        <w:rPr>
          <w:spacing w:val="-3"/>
          <w:vertAlign w:val="baseline"/>
        </w:rPr>
        <w:t> </w:t>
      </w:r>
      <w:r>
        <w:rPr>
          <w:vertAlign w:val="baseline"/>
        </w:rPr>
        <w:t>voice</w:t>
      </w:r>
      <w:r>
        <w:rPr>
          <w:spacing w:val="-4"/>
          <w:vertAlign w:val="baseline"/>
        </w:rPr>
        <w:t> </w:t>
      </w:r>
      <w:r>
        <w:rPr>
          <w:vertAlign w:val="baseline"/>
        </w:rPr>
        <w:t>their</w:t>
      </w:r>
      <w:r>
        <w:rPr>
          <w:spacing w:val="-4"/>
          <w:vertAlign w:val="baseline"/>
        </w:rPr>
        <w:t> </w:t>
      </w:r>
      <w:r>
        <w:rPr>
          <w:vertAlign w:val="baseline"/>
        </w:rPr>
        <w:t>support</w:t>
      </w:r>
      <w:r>
        <w:rPr>
          <w:spacing w:val="-6"/>
          <w:vertAlign w:val="baseline"/>
        </w:rPr>
        <w:t> </w:t>
      </w:r>
      <w:r>
        <w:rPr>
          <w:vertAlign w:val="baseline"/>
        </w:rPr>
        <w:t>of</w:t>
      </w:r>
      <w:r>
        <w:rPr>
          <w:spacing w:val="-4"/>
          <w:vertAlign w:val="baseline"/>
        </w:rPr>
        <w:t> </w:t>
      </w:r>
      <w:r>
        <w:rPr>
          <w:vertAlign w:val="baseline"/>
        </w:rPr>
        <w:t>and</w:t>
      </w:r>
      <w:r>
        <w:rPr>
          <w:spacing w:val="-3"/>
          <w:vertAlign w:val="baseline"/>
        </w:rPr>
        <w:t> </w:t>
      </w:r>
      <w:r>
        <w:rPr>
          <w:vertAlign w:val="baseline"/>
        </w:rPr>
        <w:t>seek</w:t>
      </w:r>
      <w:r>
        <w:rPr>
          <w:spacing w:val="-5"/>
          <w:vertAlign w:val="baseline"/>
        </w:rPr>
        <w:t> </w:t>
      </w:r>
      <w:r>
        <w:rPr>
          <w:vertAlign w:val="baseline"/>
        </w:rPr>
        <w:t>out intersectional LGBTQ-affirming curriculum and educational materials, as supported by the Principles for Ensuring Safe and Supportive Learning Environments for LGBTQ Students.</w:t>
      </w:r>
      <w:hyperlink w:history="true" w:anchor="_bookmark48">
        <w:r>
          <w:rPr>
            <w:vertAlign w:val="superscript"/>
          </w:rPr>
          <w:t>9</w:t>
        </w:r>
      </w:hyperlink>
    </w:p>
    <w:p>
      <w:pPr>
        <w:pStyle w:val="BodyText"/>
        <w:spacing w:before="8"/>
        <w:rPr>
          <w:sz w:val="17"/>
        </w:rPr>
      </w:pPr>
      <w:r>
        <w:rPr/>
        <w:drawing>
          <wp:anchor distT="0" distB="0" distL="0" distR="0" allowOverlap="1" layoutInCell="1" locked="0" behindDoc="1" simplePos="0" relativeHeight="487603712">
            <wp:simplePos x="0" y="0"/>
            <wp:positionH relativeFrom="page">
              <wp:posOffset>1005839</wp:posOffset>
            </wp:positionH>
            <wp:positionV relativeFrom="paragraph">
              <wp:posOffset>152431</wp:posOffset>
            </wp:positionV>
            <wp:extent cx="5915237" cy="731519"/>
            <wp:effectExtent l="0" t="0" r="0" b="0"/>
            <wp:wrapTopAndBottom/>
            <wp:docPr id="134" name="Image 134" descr="A close up of a text  Description automatically generated "/>
            <wp:cNvGraphicFramePr>
              <a:graphicFrameLocks/>
            </wp:cNvGraphicFramePr>
            <a:graphic>
              <a:graphicData uri="http://schemas.openxmlformats.org/drawingml/2006/picture">
                <pic:pic>
                  <pic:nvPicPr>
                    <pic:cNvPr id="134" name="Image 134" descr="A close up of a text  Description automatically generated "/>
                    <pic:cNvPicPr/>
                  </pic:nvPicPr>
                  <pic:blipFill>
                    <a:blip r:embed="rId105" cstate="print"/>
                    <a:stretch>
                      <a:fillRect/>
                    </a:stretch>
                  </pic:blipFill>
                  <pic:spPr>
                    <a:xfrm>
                      <a:off x="0" y="0"/>
                      <a:ext cx="5915237" cy="731519"/>
                    </a:xfrm>
                    <a:prstGeom prst="rect">
                      <a:avLst/>
                    </a:prstGeom>
                  </pic:spPr>
                </pic:pic>
              </a:graphicData>
            </a:graphic>
          </wp:anchor>
        </w:drawing>
      </w:r>
    </w:p>
    <w:p>
      <w:pPr>
        <w:pStyle w:val="BodyText"/>
        <w:spacing w:before="31"/>
      </w:pPr>
    </w:p>
    <w:p>
      <w:pPr>
        <w:pStyle w:val="BodyText"/>
        <w:spacing w:line="276" w:lineRule="auto" w:before="1"/>
        <w:ind w:left="464" w:right="403"/>
        <w:jc w:val="both"/>
      </w:pPr>
      <w:r>
        <w:rPr/>
        <w:t>Furthermore, policymakers and educators should ensure that the contributions of LGBTQ people be included</w:t>
      </w:r>
      <w:r>
        <w:rPr>
          <w:spacing w:val="29"/>
        </w:rPr>
        <w:t> </w:t>
      </w:r>
      <w:r>
        <w:rPr/>
        <w:t>in</w:t>
      </w:r>
      <w:r>
        <w:rPr>
          <w:spacing w:val="29"/>
        </w:rPr>
        <w:t> </w:t>
      </w:r>
      <w:r>
        <w:rPr/>
        <w:t>all</w:t>
      </w:r>
      <w:r>
        <w:rPr>
          <w:spacing w:val="29"/>
        </w:rPr>
        <w:t> </w:t>
      </w:r>
      <w:r>
        <w:rPr/>
        <w:t>subject</w:t>
      </w:r>
      <w:r>
        <w:rPr>
          <w:spacing w:val="28"/>
        </w:rPr>
        <w:t> </w:t>
      </w:r>
      <w:r>
        <w:rPr/>
        <w:t>areas</w:t>
      </w:r>
      <w:r>
        <w:rPr>
          <w:spacing w:val="29"/>
        </w:rPr>
        <w:t> </w:t>
      </w:r>
      <w:r>
        <w:rPr/>
        <w:t>through</w:t>
      </w:r>
      <w:r>
        <w:rPr>
          <w:spacing w:val="30"/>
        </w:rPr>
        <w:t> </w:t>
      </w:r>
      <w:r>
        <w:rPr/>
        <w:t>the</w:t>
      </w:r>
      <w:r>
        <w:rPr>
          <w:spacing w:val="28"/>
        </w:rPr>
        <w:t> </w:t>
      </w:r>
      <w:r>
        <w:rPr/>
        <w:t>statewide</w:t>
      </w:r>
      <w:r>
        <w:rPr>
          <w:spacing w:val="30"/>
        </w:rPr>
        <w:t> </w:t>
      </w:r>
      <w:r>
        <w:rPr/>
        <w:t>frameworks,</w:t>
      </w:r>
      <w:r>
        <w:rPr>
          <w:spacing w:val="29"/>
        </w:rPr>
        <w:t> </w:t>
      </w:r>
      <w:r>
        <w:rPr/>
        <w:t>and</w:t>
      </w:r>
      <w:r>
        <w:rPr>
          <w:spacing w:val="29"/>
        </w:rPr>
        <w:t> </w:t>
      </w:r>
      <w:r>
        <w:rPr/>
        <w:t>that</w:t>
      </w:r>
      <w:r>
        <w:rPr>
          <w:spacing w:val="28"/>
        </w:rPr>
        <w:t> </w:t>
      </w:r>
      <w:r>
        <w:rPr/>
        <w:t>BIPOC</w:t>
      </w:r>
      <w:r>
        <w:rPr>
          <w:spacing w:val="29"/>
        </w:rPr>
        <w:t> </w:t>
      </w:r>
      <w:r>
        <w:rPr/>
        <w:t>perspectives</w:t>
      </w:r>
      <w:r>
        <w:rPr>
          <w:spacing w:val="29"/>
        </w:rPr>
        <w:t> </w:t>
      </w:r>
      <w:r>
        <w:rPr/>
        <w:t>and</w:t>
      </w:r>
    </w:p>
    <w:p>
      <w:pPr>
        <w:spacing w:after="0" w:line="276" w:lineRule="auto"/>
        <w:jc w:val="both"/>
        <w:sectPr>
          <w:pgSz w:w="12240" w:h="15840"/>
          <w:pgMar w:header="763" w:footer="1041" w:top="1140" w:bottom="1240" w:left="1120" w:right="1180"/>
        </w:sectPr>
      </w:pPr>
    </w:p>
    <w:p>
      <w:pPr>
        <w:pStyle w:val="BodyText"/>
        <w:spacing w:line="276" w:lineRule="auto" w:before="66"/>
        <w:ind w:left="464" w:right="400"/>
        <w:jc w:val="both"/>
      </w:pPr>
      <w:r>
        <w:rPr/>
        <w:t>histories</w:t>
      </w:r>
      <w:r>
        <w:rPr>
          <w:spacing w:val="-6"/>
        </w:rPr>
        <w:t> </w:t>
      </w:r>
      <w:r>
        <w:rPr/>
        <w:t>are</w:t>
      </w:r>
      <w:r>
        <w:rPr>
          <w:spacing w:val="-5"/>
        </w:rPr>
        <w:t> </w:t>
      </w:r>
      <w:r>
        <w:rPr/>
        <w:t>represented</w:t>
      </w:r>
      <w:r>
        <w:rPr>
          <w:spacing w:val="-6"/>
        </w:rPr>
        <w:t> </w:t>
      </w:r>
      <w:r>
        <w:rPr/>
        <w:t>accurately</w:t>
      </w:r>
      <w:r>
        <w:rPr>
          <w:spacing w:val="-5"/>
        </w:rPr>
        <w:t> </w:t>
      </w:r>
      <w:r>
        <w:rPr/>
        <w:t>in</w:t>
      </w:r>
      <w:r>
        <w:rPr>
          <w:spacing w:val="-6"/>
        </w:rPr>
        <w:t> </w:t>
      </w:r>
      <w:r>
        <w:rPr/>
        <w:t>all</w:t>
      </w:r>
      <w:r>
        <w:rPr>
          <w:spacing w:val="-7"/>
        </w:rPr>
        <w:t> </w:t>
      </w:r>
      <w:r>
        <w:rPr/>
        <w:t>subject</w:t>
      </w:r>
      <w:r>
        <w:rPr>
          <w:spacing w:val="-6"/>
        </w:rPr>
        <w:t> </w:t>
      </w:r>
      <w:r>
        <w:rPr/>
        <w:t>areas.</w:t>
      </w:r>
      <w:r>
        <w:rPr>
          <w:spacing w:val="36"/>
        </w:rPr>
        <w:t> </w:t>
      </w:r>
      <w:r>
        <w:rPr/>
        <w:t>An</w:t>
      </w:r>
      <w:r>
        <w:rPr>
          <w:spacing w:val="-6"/>
        </w:rPr>
        <w:t> </w:t>
      </w:r>
      <w:r>
        <w:rPr/>
        <w:t>Act</w:t>
      </w:r>
      <w:r>
        <w:rPr>
          <w:spacing w:val="-6"/>
        </w:rPr>
        <w:t> </w:t>
      </w:r>
      <w:r>
        <w:rPr/>
        <w:t>relative</w:t>
      </w:r>
      <w:r>
        <w:rPr>
          <w:spacing w:val="-7"/>
        </w:rPr>
        <w:t> </w:t>
      </w:r>
      <w:r>
        <w:rPr/>
        <w:t>to</w:t>
      </w:r>
      <w:r>
        <w:rPr>
          <w:spacing w:val="-5"/>
        </w:rPr>
        <w:t> </w:t>
      </w:r>
      <w:r>
        <w:rPr/>
        <w:t>LGBTQ</w:t>
      </w:r>
      <w:r>
        <w:rPr>
          <w:spacing w:val="-7"/>
        </w:rPr>
        <w:t> </w:t>
      </w:r>
      <w:r>
        <w:rPr/>
        <w:t>inclusive</w:t>
      </w:r>
      <w:r>
        <w:rPr>
          <w:spacing w:val="-5"/>
        </w:rPr>
        <w:t> </w:t>
      </w:r>
      <w:r>
        <w:rPr/>
        <w:t>curriculum would</w:t>
      </w:r>
      <w:r>
        <w:rPr>
          <w:spacing w:val="-4"/>
        </w:rPr>
        <w:t> </w:t>
      </w:r>
      <w:r>
        <w:rPr/>
        <w:t>ensure</w:t>
      </w:r>
      <w:r>
        <w:rPr>
          <w:spacing w:val="-3"/>
        </w:rPr>
        <w:t> </w:t>
      </w:r>
      <w:r>
        <w:rPr/>
        <w:t>that</w:t>
      </w:r>
      <w:r>
        <w:rPr>
          <w:spacing w:val="-4"/>
        </w:rPr>
        <w:t> </w:t>
      </w:r>
      <w:r>
        <w:rPr/>
        <w:t>all</w:t>
      </w:r>
      <w:r>
        <w:rPr>
          <w:spacing w:val="-3"/>
        </w:rPr>
        <w:t> </w:t>
      </w:r>
      <w:r>
        <w:rPr/>
        <w:t>students</w:t>
      </w:r>
      <w:r>
        <w:rPr>
          <w:spacing w:val="-4"/>
        </w:rPr>
        <w:t> </w:t>
      </w:r>
      <w:r>
        <w:rPr/>
        <w:t>receive</w:t>
      </w:r>
      <w:r>
        <w:rPr>
          <w:spacing w:val="-4"/>
        </w:rPr>
        <w:t> </w:t>
      </w:r>
      <w:r>
        <w:rPr/>
        <w:t>"sufficient</w:t>
      </w:r>
      <w:r>
        <w:rPr>
          <w:spacing w:val="-4"/>
        </w:rPr>
        <w:t> </w:t>
      </w:r>
      <w:r>
        <w:rPr/>
        <w:t>instruction</w:t>
      </w:r>
      <w:r>
        <w:rPr>
          <w:spacing w:val="-3"/>
        </w:rPr>
        <w:t> </w:t>
      </w:r>
      <w:r>
        <w:rPr/>
        <w:t>on</w:t>
      </w:r>
      <w:r>
        <w:rPr>
          <w:spacing w:val="-4"/>
        </w:rPr>
        <w:t> </w:t>
      </w:r>
      <w:r>
        <w:rPr/>
        <w:t>the</w:t>
      </w:r>
      <w:r>
        <w:rPr>
          <w:spacing w:val="-3"/>
        </w:rPr>
        <w:t> </w:t>
      </w:r>
      <w:r>
        <w:rPr/>
        <w:t>histories,</w:t>
      </w:r>
      <w:r>
        <w:rPr>
          <w:spacing w:val="-4"/>
        </w:rPr>
        <w:t> </w:t>
      </w:r>
      <w:r>
        <w:rPr/>
        <w:t>roles,</w:t>
      </w:r>
      <w:r>
        <w:rPr>
          <w:spacing w:val="-4"/>
        </w:rPr>
        <w:t> </w:t>
      </w:r>
      <w:r>
        <w:rPr/>
        <w:t>and</w:t>
      </w:r>
      <w:r>
        <w:rPr>
          <w:spacing w:val="-4"/>
        </w:rPr>
        <w:t> </w:t>
      </w:r>
      <w:r>
        <w:rPr/>
        <w:t>contributions of lesbian, gay, bisexual, transgender, and queer people in the history of this country and this </w:t>
      </w:r>
      <w:r>
        <w:rPr>
          <w:spacing w:val="-2"/>
        </w:rPr>
        <w:t>Commonwealth."</w:t>
      </w:r>
    </w:p>
    <w:p>
      <w:pPr>
        <w:pStyle w:val="BodyText"/>
        <w:spacing w:line="276" w:lineRule="auto" w:before="239"/>
        <w:ind w:left="463" w:right="401"/>
        <w:jc w:val="both"/>
      </w:pPr>
      <w:r>
        <w:rPr/>
        <w:t>Intersectional LGBTQ-affirming curriculum refers not only to classroom content, but also to books available</w:t>
      </w:r>
      <w:r>
        <w:rPr>
          <w:spacing w:val="-8"/>
        </w:rPr>
        <w:t> </w:t>
      </w:r>
      <w:r>
        <w:rPr/>
        <w:t>in</w:t>
      </w:r>
      <w:r>
        <w:rPr>
          <w:spacing w:val="-6"/>
        </w:rPr>
        <w:t> </w:t>
      </w:r>
      <w:r>
        <w:rPr/>
        <w:t>the</w:t>
      </w:r>
      <w:r>
        <w:rPr>
          <w:spacing w:val="-7"/>
        </w:rPr>
        <w:t> </w:t>
      </w:r>
      <w:r>
        <w:rPr/>
        <w:t>library</w:t>
      </w:r>
      <w:r>
        <w:rPr>
          <w:spacing w:val="-8"/>
        </w:rPr>
        <w:t> </w:t>
      </w:r>
      <w:r>
        <w:rPr/>
        <w:t>and</w:t>
      </w:r>
      <w:r>
        <w:rPr>
          <w:spacing w:val="-7"/>
        </w:rPr>
        <w:t> </w:t>
      </w:r>
      <w:r>
        <w:rPr/>
        <w:t>posters,</w:t>
      </w:r>
      <w:r>
        <w:rPr>
          <w:spacing w:val="-6"/>
        </w:rPr>
        <w:t> </w:t>
      </w:r>
      <w:r>
        <w:rPr/>
        <w:t>bulletin</w:t>
      </w:r>
      <w:r>
        <w:rPr>
          <w:spacing w:val="-7"/>
        </w:rPr>
        <w:t> </w:t>
      </w:r>
      <w:r>
        <w:rPr/>
        <w:t>boards,</w:t>
      </w:r>
      <w:r>
        <w:rPr>
          <w:spacing w:val="-7"/>
        </w:rPr>
        <w:t> </w:t>
      </w:r>
      <w:r>
        <w:rPr/>
        <w:t>and</w:t>
      </w:r>
      <w:r>
        <w:rPr>
          <w:spacing w:val="-7"/>
        </w:rPr>
        <w:t> </w:t>
      </w:r>
      <w:r>
        <w:rPr/>
        <w:t>other</w:t>
      </w:r>
      <w:r>
        <w:rPr>
          <w:spacing w:val="-6"/>
        </w:rPr>
        <w:t> </w:t>
      </w:r>
      <w:r>
        <w:rPr/>
        <w:t>visual</w:t>
      </w:r>
      <w:r>
        <w:rPr>
          <w:spacing w:val="-8"/>
        </w:rPr>
        <w:t> </w:t>
      </w:r>
      <w:r>
        <w:rPr/>
        <w:t>displays</w:t>
      </w:r>
      <w:r>
        <w:rPr>
          <w:spacing w:val="-6"/>
        </w:rPr>
        <w:t> </w:t>
      </w:r>
      <w:r>
        <w:rPr/>
        <w:t>found</w:t>
      </w:r>
      <w:r>
        <w:rPr>
          <w:spacing w:val="-7"/>
        </w:rPr>
        <w:t> </w:t>
      </w:r>
      <w:r>
        <w:rPr/>
        <w:t>around</w:t>
      </w:r>
      <w:r>
        <w:rPr>
          <w:spacing w:val="-6"/>
        </w:rPr>
        <w:t> </w:t>
      </w:r>
      <w:r>
        <w:rPr/>
        <w:t>the</w:t>
      </w:r>
      <w:r>
        <w:rPr>
          <w:spacing w:val="-8"/>
        </w:rPr>
        <w:t> </w:t>
      </w:r>
      <w:r>
        <w:rPr/>
        <w:t>school. For</w:t>
      </w:r>
      <w:r>
        <w:rPr>
          <w:spacing w:val="-13"/>
        </w:rPr>
        <w:t> </w:t>
      </w:r>
      <w:r>
        <w:rPr/>
        <w:t>example,</w:t>
      </w:r>
      <w:r>
        <w:rPr>
          <w:spacing w:val="-12"/>
        </w:rPr>
        <w:t> </w:t>
      </w:r>
      <w:r>
        <w:rPr/>
        <w:t>according</w:t>
      </w:r>
      <w:r>
        <w:rPr>
          <w:spacing w:val="-13"/>
        </w:rPr>
        <w:t> </w:t>
      </w:r>
      <w:r>
        <w:rPr/>
        <w:t>to</w:t>
      </w:r>
      <w:r>
        <w:rPr>
          <w:spacing w:val="-12"/>
        </w:rPr>
        <w:t> </w:t>
      </w:r>
      <w:r>
        <w:rPr/>
        <w:t>GLSEN,</w:t>
      </w:r>
      <w:r>
        <w:rPr>
          <w:spacing w:val="-13"/>
        </w:rPr>
        <w:t> </w:t>
      </w:r>
      <w:r>
        <w:rPr/>
        <w:t>LGBTQ</w:t>
      </w:r>
      <w:r>
        <w:rPr>
          <w:spacing w:val="-12"/>
        </w:rPr>
        <w:t> </w:t>
      </w:r>
      <w:r>
        <w:rPr/>
        <w:t>students</w:t>
      </w:r>
      <w:r>
        <w:rPr>
          <w:spacing w:val="-13"/>
        </w:rPr>
        <w:t> </w:t>
      </w:r>
      <w:r>
        <w:rPr/>
        <w:t>who</w:t>
      </w:r>
      <w:r>
        <w:rPr>
          <w:spacing w:val="-12"/>
        </w:rPr>
        <w:t> </w:t>
      </w:r>
      <w:r>
        <w:rPr/>
        <w:t>reported</w:t>
      </w:r>
      <w:r>
        <w:rPr>
          <w:spacing w:val="-12"/>
        </w:rPr>
        <w:t> </w:t>
      </w:r>
      <w:r>
        <w:rPr/>
        <w:t>seeing</w:t>
      </w:r>
      <w:r>
        <w:rPr>
          <w:spacing w:val="-13"/>
        </w:rPr>
        <w:t> </w:t>
      </w:r>
      <w:r>
        <w:rPr/>
        <w:t>Safe</w:t>
      </w:r>
      <w:r>
        <w:rPr>
          <w:spacing w:val="-12"/>
        </w:rPr>
        <w:t> </w:t>
      </w:r>
      <w:r>
        <w:rPr/>
        <w:t>Space</w:t>
      </w:r>
      <w:r>
        <w:rPr>
          <w:spacing w:val="-13"/>
        </w:rPr>
        <w:t> </w:t>
      </w:r>
      <w:r>
        <w:rPr/>
        <w:t>stickers</w:t>
      </w:r>
      <w:r>
        <w:rPr>
          <w:spacing w:val="-12"/>
        </w:rPr>
        <w:t> </w:t>
      </w:r>
      <w:r>
        <w:rPr/>
        <w:t>and</w:t>
      </w:r>
      <w:r>
        <w:rPr>
          <w:spacing w:val="-13"/>
        </w:rPr>
        <w:t> </w:t>
      </w:r>
      <w:r>
        <w:rPr/>
        <w:t>posters in their schools were more likely to report having one or more supportive adults at school, as well as had more positive mental health outcomes.</w:t>
      </w:r>
      <w:r>
        <w:rPr>
          <w:vertAlign w:val="superscript"/>
        </w:rPr>
        <w:t>3</w:t>
      </w:r>
      <w:r>
        <w:rPr>
          <w:spacing w:val="-13"/>
          <w:vertAlign w:val="baseline"/>
        </w:rPr>
        <w:t> </w:t>
      </w:r>
      <w:r>
        <w:rPr>
          <w:vertAlign w:val="baseline"/>
        </w:rPr>
        <w:t>Given the efficacy of this approach, it is concerning that some schools and school committees have provided unclear or oppositional guidance to staff about affirming displays, such as a recent (unanimously rejected) proposal to the Pembroke School Committee</w:t>
      </w:r>
      <w:r>
        <w:rPr>
          <w:spacing w:val="-4"/>
          <w:vertAlign w:val="baseline"/>
        </w:rPr>
        <w:t> </w:t>
      </w:r>
      <w:r>
        <w:rPr>
          <w:vertAlign w:val="baseline"/>
        </w:rPr>
        <w:t>that</w:t>
      </w:r>
      <w:r>
        <w:rPr>
          <w:spacing w:val="-5"/>
          <w:vertAlign w:val="baseline"/>
        </w:rPr>
        <w:t> </w:t>
      </w:r>
      <w:r>
        <w:rPr>
          <w:vertAlign w:val="baseline"/>
        </w:rPr>
        <w:t>would’ve</w:t>
      </w:r>
      <w:r>
        <w:rPr>
          <w:spacing w:val="-4"/>
          <w:vertAlign w:val="baseline"/>
        </w:rPr>
        <w:t> </w:t>
      </w:r>
      <w:r>
        <w:rPr>
          <w:vertAlign w:val="baseline"/>
        </w:rPr>
        <w:t>prohibited</w:t>
      </w:r>
      <w:r>
        <w:rPr>
          <w:spacing w:val="-5"/>
          <w:vertAlign w:val="baseline"/>
        </w:rPr>
        <w:t> </w:t>
      </w:r>
      <w:r>
        <w:rPr>
          <w:vertAlign w:val="baseline"/>
        </w:rPr>
        <w:t>educators</w:t>
      </w:r>
      <w:r>
        <w:rPr>
          <w:spacing w:val="-5"/>
          <w:vertAlign w:val="baseline"/>
        </w:rPr>
        <w:t> </w:t>
      </w:r>
      <w:r>
        <w:rPr>
          <w:vertAlign w:val="baseline"/>
        </w:rPr>
        <w:t>from</w:t>
      </w:r>
      <w:r>
        <w:rPr>
          <w:spacing w:val="-3"/>
          <w:vertAlign w:val="baseline"/>
        </w:rPr>
        <w:t> </w:t>
      </w:r>
      <w:r>
        <w:rPr>
          <w:vertAlign w:val="baseline"/>
        </w:rPr>
        <w:t>displaying</w:t>
      </w:r>
      <w:r>
        <w:rPr>
          <w:spacing w:val="-4"/>
          <w:vertAlign w:val="baseline"/>
        </w:rPr>
        <w:t> </w:t>
      </w:r>
      <w:r>
        <w:rPr>
          <w:vertAlign w:val="baseline"/>
        </w:rPr>
        <w:t>Pride</w:t>
      </w:r>
      <w:r>
        <w:rPr>
          <w:spacing w:val="-5"/>
          <w:vertAlign w:val="baseline"/>
        </w:rPr>
        <w:t> </w:t>
      </w:r>
      <w:r>
        <w:rPr>
          <w:vertAlign w:val="baseline"/>
        </w:rPr>
        <w:t>flags</w:t>
      </w:r>
      <w:r>
        <w:rPr>
          <w:spacing w:val="-4"/>
          <w:vertAlign w:val="baseline"/>
        </w:rPr>
        <w:t> </w:t>
      </w:r>
      <w:r>
        <w:rPr>
          <w:vertAlign w:val="baseline"/>
        </w:rPr>
        <w:t>or</w:t>
      </w:r>
      <w:r>
        <w:rPr>
          <w:spacing w:val="-5"/>
          <w:vertAlign w:val="baseline"/>
        </w:rPr>
        <w:t> </w:t>
      </w:r>
      <w:r>
        <w:rPr>
          <w:vertAlign w:val="baseline"/>
        </w:rPr>
        <w:t>other</w:t>
      </w:r>
      <w:r>
        <w:rPr>
          <w:spacing w:val="-5"/>
          <w:vertAlign w:val="baseline"/>
        </w:rPr>
        <w:t> </w:t>
      </w:r>
      <w:r>
        <w:rPr>
          <w:vertAlign w:val="baseline"/>
        </w:rPr>
        <w:t>activist</w:t>
      </w:r>
      <w:r>
        <w:rPr>
          <w:spacing w:val="-4"/>
          <w:vertAlign w:val="baseline"/>
        </w:rPr>
        <w:t> </w:t>
      </w:r>
      <w:r>
        <w:rPr>
          <w:vertAlign w:val="baseline"/>
        </w:rPr>
        <w:t>symbols</w:t>
      </w:r>
      <w:r>
        <w:rPr>
          <w:spacing w:val="-5"/>
          <w:vertAlign w:val="baseline"/>
        </w:rPr>
        <w:t> </w:t>
      </w:r>
      <w:r>
        <w:rPr>
          <w:vertAlign w:val="baseline"/>
        </w:rPr>
        <w:t>in their</w:t>
      </w:r>
      <w:r>
        <w:rPr>
          <w:spacing w:val="-11"/>
          <w:vertAlign w:val="baseline"/>
        </w:rPr>
        <w:t> </w:t>
      </w:r>
      <w:r>
        <w:rPr>
          <w:vertAlign w:val="baseline"/>
        </w:rPr>
        <w:t>classrooms.</w:t>
      </w:r>
      <w:hyperlink w:history="true" w:anchor="_bookmark49">
        <w:r>
          <w:rPr>
            <w:vertAlign w:val="superscript"/>
          </w:rPr>
          <w:t>10</w:t>
        </w:r>
      </w:hyperlink>
      <w:r>
        <w:rPr>
          <w:spacing w:val="-3"/>
          <w:vertAlign w:val="baseline"/>
        </w:rPr>
        <w:t> </w:t>
      </w:r>
      <w:r>
        <w:rPr>
          <w:vertAlign w:val="baseline"/>
        </w:rPr>
        <w:t>Such</w:t>
      </w:r>
      <w:r>
        <w:rPr>
          <w:spacing w:val="-13"/>
          <w:vertAlign w:val="baseline"/>
        </w:rPr>
        <w:t> </w:t>
      </w:r>
      <w:r>
        <w:rPr>
          <w:vertAlign w:val="baseline"/>
        </w:rPr>
        <w:t>an</w:t>
      </w:r>
      <w:r>
        <w:rPr>
          <w:spacing w:val="-11"/>
          <w:vertAlign w:val="baseline"/>
        </w:rPr>
        <w:t> </w:t>
      </w:r>
      <w:r>
        <w:rPr>
          <w:vertAlign w:val="baseline"/>
        </w:rPr>
        <w:t>example</w:t>
      </w:r>
      <w:r>
        <w:rPr>
          <w:spacing w:val="-12"/>
          <w:vertAlign w:val="baseline"/>
        </w:rPr>
        <w:t> </w:t>
      </w:r>
      <w:r>
        <w:rPr>
          <w:vertAlign w:val="baseline"/>
        </w:rPr>
        <w:t>from</w:t>
      </w:r>
      <w:r>
        <w:rPr>
          <w:spacing w:val="-12"/>
          <w:vertAlign w:val="baseline"/>
        </w:rPr>
        <w:t> </w:t>
      </w:r>
      <w:r>
        <w:rPr>
          <w:vertAlign w:val="baseline"/>
        </w:rPr>
        <w:t>the</w:t>
      </w:r>
      <w:r>
        <w:rPr>
          <w:spacing w:val="-13"/>
          <w:vertAlign w:val="baseline"/>
        </w:rPr>
        <w:t> </w:t>
      </w:r>
      <w:r>
        <w:rPr>
          <w:vertAlign w:val="baseline"/>
        </w:rPr>
        <w:t>Pembroke</w:t>
      </w:r>
      <w:r>
        <w:rPr>
          <w:spacing w:val="-12"/>
          <w:vertAlign w:val="baseline"/>
        </w:rPr>
        <w:t> </w:t>
      </w:r>
      <w:r>
        <w:rPr>
          <w:vertAlign w:val="baseline"/>
        </w:rPr>
        <w:t>School</w:t>
      </w:r>
      <w:r>
        <w:rPr>
          <w:spacing w:val="-13"/>
          <w:vertAlign w:val="baseline"/>
        </w:rPr>
        <w:t> </w:t>
      </w:r>
      <w:r>
        <w:rPr>
          <w:vertAlign w:val="baseline"/>
        </w:rPr>
        <w:t>Committee</w:t>
      </w:r>
      <w:r>
        <w:rPr>
          <w:spacing w:val="-12"/>
          <w:vertAlign w:val="baseline"/>
        </w:rPr>
        <w:t> </w:t>
      </w:r>
      <w:r>
        <w:rPr>
          <w:vertAlign w:val="baseline"/>
        </w:rPr>
        <w:t>is</w:t>
      </w:r>
      <w:r>
        <w:rPr>
          <w:spacing w:val="-12"/>
          <w:vertAlign w:val="baseline"/>
        </w:rPr>
        <w:t> </w:t>
      </w:r>
      <w:r>
        <w:rPr>
          <w:vertAlign w:val="baseline"/>
        </w:rPr>
        <w:t>only</w:t>
      </w:r>
      <w:r>
        <w:rPr>
          <w:spacing w:val="-11"/>
          <w:vertAlign w:val="baseline"/>
        </w:rPr>
        <w:t> </w:t>
      </w:r>
      <w:r>
        <w:rPr>
          <w:vertAlign w:val="baseline"/>
        </w:rPr>
        <w:t>one</w:t>
      </w:r>
      <w:r>
        <w:rPr>
          <w:spacing w:val="-13"/>
          <w:vertAlign w:val="baseline"/>
        </w:rPr>
        <w:t> </w:t>
      </w:r>
      <w:r>
        <w:rPr>
          <w:vertAlign w:val="baseline"/>
        </w:rPr>
        <w:t>instance</w:t>
      </w:r>
      <w:r>
        <w:rPr>
          <w:spacing w:val="-9"/>
          <w:vertAlign w:val="baseline"/>
        </w:rPr>
        <w:t> </w:t>
      </w:r>
      <w:r>
        <w:rPr>
          <w:vertAlign w:val="baseline"/>
        </w:rPr>
        <w:t>among dozens of challenges that Massachusetts school districts have seen in the last couple of years.</w:t>
      </w:r>
    </w:p>
    <w:p>
      <w:pPr>
        <w:pStyle w:val="BodyText"/>
        <w:spacing w:line="276" w:lineRule="auto" w:before="241"/>
        <w:ind w:left="463" w:right="398"/>
        <w:jc w:val="both"/>
      </w:pPr>
      <w:r>
        <w:rPr/>
        <w:t>Given the national climate of anti-LGBTQ legislation, policy, and rhetoric, it is critical that the state respond to the rise of anti-LGBTQ efforts in Massachusetts. Earlier this year, the Boston Globe conducted a survey of 291 public school districts in Massachusetts about book challenges they’ve experienced over the last five years. They found that eight books account for almost a third of all challenges</w:t>
      </w:r>
      <w:r>
        <w:rPr>
          <w:spacing w:val="-13"/>
        </w:rPr>
        <w:t> </w:t>
      </w:r>
      <w:r>
        <w:rPr/>
        <w:t>received,</w:t>
      </w:r>
      <w:r>
        <w:rPr>
          <w:spacing w:val="-12"/>
        </w:rPr>
        <w:t> </w:t>
      </w:r>
      <w:r>
        <w:rPr/>
        <w:t>and</w:t>
      </w:r>
      <w:r>
        <w:rPr>
          <w:spacing w:val="-13"/>
        </w:rPr>
        <w:t> </w:t>
      </w:r>
      <w:r>
        <w:rPr/>
        <w:t>a</w:t>
      </w:r>
      <w:r>
        <w:rPr>
          <w:spacing w:val="-12"/>
        </w:rPr>
        <w:t> </w:t>
      </w:r>
      <w:r>
        <w:rPr/>
        <w:t>majority</w:t>
      </w:r>
      <w:r>
        <w:rPr>
          <w:spacing w:val="-13"/>
        </w:rPr>
        <w:t> </w:t>
      </w:r>
      <w:r>
        <w:rPr/>
        <w:t>of</w:t>
      </w:r>
      <w:r>
        <w:rPr>
          <w:spacing w:val="-12"/>
        </w:rPr>
        <w:t> </w:t>
      </w:r>
      <w:r>
        <w:rPr/>
        <w:t>these</w:t>
      </w:r>
      <w:r>
        <w:rPr>
          <w:spacing w:val="-13"/>
        </w:rPr>
        <w:t> </w:t>
      </w:r>
      <w:r>
        <w:rPr/>
        <w:t>eight</w:t>
      </w:r>
      <w:r>
        <w:rPr>
          <w:spacing w:val="-12"/>
        </w:rPr>
        <w:t> </w:t>
      </w:r>
      <w:r>
        <w:rPr/>
        <w:t>texts</w:t>
      </w:r>
      <w:r>
        <w:rPr>
          <w:spacing w:val="-12"/>
        </w:rPr>
        <w:t> </w:t>
      </w:r>
      <w:r>
        <w:rPr/>
        <w:t>are</w:t>
      </w:r>
      <w:r>
        <w:rPr>
          <w:spacing w:val="-13"/>
        </w:rPr>
        <w:t> </w:t>
      </w:r>
      <w:r>
        <w:rPr/>
        <w:t>graphic</w:t>
      </w:r>
      <w:r>
        <w:rPr>
          <w:spacing w:val="-12"/>
        </w:rPr>
        <w:t> </w:t>
      </w:r>
      <w:r>
        <w:rPr/>
        <w:t>novels</w:t>
      </w:r>
      <w:r>
        <w:rPr>
          <w:spacing w:val="-13"/>
        </w:rPr>
        <w:t> </w:t>
      </w:r>
      <w:r>
        <w:rPr/>
        <w:t>that</w:t>
      </w:r>
      <w:r>
        <w:rPr>
          <w:spacing w:val="-12"/>
        </w:rPr>
        <w:t> </w:t>
      </w:r>
      <w:r>
        <w:rPr/>
        <w:t>address</w:t>
      </w:r>
      <w:r>
        <w:rPr>
          <w:spacing w:val="-13"/>
        </w:rPr>
        <w:t> </w:t>
      </w:r>
      <w:r>
        <w:rPr/>
        <w:t>issues</w:t>
      </w:r>
      <w:r>
        <w:rPr>
          <w:spacing w:val="-12"/>
        </w:rPr>
        <w:t> </w:t>
      </w:r>
      <w:r>
        <w:rPr/>
        <w:t>of</w:t>
      </w:r>
      <w:r>
        <w:rPr>
          <w:spacing w:val="-12"/>
        </w:rPr>
        <w:t> </w:t>
      </w:r>
      <w:r>
        <w:rPr/>
        <w:t>gender and sexuality.</w:t>
      </w:r>
      <w:r>
        <w:rPr>
          <w:spacing w:val="-13"/>
        </w:rPr>
        <w:t> </w:t>
      </w:r>
      <w:hyperlink w:history="true" w:anchor="_bookmark50">
        <w:r>
          <w:rPr>
            <w:vertAlign w:val="superscript"/>
          </w:rPr>
          <w:t>11</w:t>
        </w:r>
      </w:hyperlink>
      <w:r>
        <w:rPr>
          <w:vertAlign w:val="baseline"/>
        </w:rPr>
        <w:t> For instance, in December 2023, police officers searched a classroom in a Great Barrington middle school after a complaint from a school staff member about an LGBTQ educator teaching the book </w:t>
      </w:r>
      <w:r>
        <w:rPr>
          <w:i/>
          <w:vertAlign w:val="baseline"/>
        </w:rPr>
        <w:t>Gender Queer</w:t>
      </w:r>
      <w:r>
        <w:rPr>
          <w:vertAlign w:val="baseline"/>
        </w:rPr>
        <w:t>, alleging it was pornographic.</w:t>
      </w:r>
      <w:hyperlink w:history="true" w:anchor="_bookmark51">
        <w:r>
          <w:rPr>
            <w:vertAlign w:val="superscript"/>
          </w:rPr>
          <w:t>12</w:t>
        </w:r>
      </w:hyperlink>
      <w:r>
        <w:rPr>
          <w:spacing w:val="-2"/>
          <w:vertAlign w:val="baseline"/>
        </w:rPr>
        <w:t> </w:t>
      </w:r>
      <w:r>
        <w:rPr>
          <w:vertAlign w:val="baseline"/>
        </w:rPr>
        <w:t>Furthermore, in July 2023, the Joint Task Force for Intellectual Freedom (which includes members from a variety of library associations around</w:t>
      </w:r>
      <w:r>
        <w:rPr>
          <w:spacing w:val="-6"/>
          <w:vertAlign w:val="baseline"/>
        </w:rPr>
        <w:t> </w:t>
      </w:r>
      <w:r>
        <w:rPr>
          <w:vertAlign w:val="baseline"/>
        </w:rPr>
        <w:t>Massachusetts),</w:t>
      </w:r>
      <w:r>
        <w:rPr>
          <w:spacing w:val="-6"/>
          <w:vertAlign w:val="baseline"/>
        </w:rPr>
        <w:t> </w:t>
      </w:r>
      <w:r>
        <w:rPr>
          <w:vertAlign w:val="baseline"/>
        </w:rPr>
        <w:t>conducted</w:t>
      </w:r>
      <w:r>
        <w:rPr>
          <w:spacing w:val="-5"/>
          <w:vertAlign w:val="baseline"/>
        </w:rPr>
        <w:t> </w:t>
      </w:r>
      <w:r>
        <w:rPr>
          <w:vertAlign w:val="baseline"/>
        </w:rPr>
        <w:t>a</w:t>
      </w:r>
      <w:r>
        <w:rPr>
          <w:spacing w:val="-5"/>
          <w:vertAlign w:val="baseline"/>
        </w:rPr>
        <w:t> </w:t>
      </w:r>
      <w:r>
        <w:rPr>
          <w:vertAlign w:val="baseline"/>
        </w:rPr>
        <w:t>survey</w:t>
      </w:r>
      <w:r>
        <w:rPr>
          <w:spacing w:val="-5"/>
          <w:vertAlign w:val="baseline"/>
        </w:rPr>
        <w:t> </w:t>
      </w:r>
      <w:r>
        <w:rPr>
          <w:vertAlign w:val="baseline"/>
        </w:rPr>
        <w:t>to</w:t>
      </w:r>
      <w:r>
        <w:rPr>
          <w:spacing w:val="-5"/>
          <w:vertAlign w:val="baseline"/>
        </w:rPr>
        <w:t> </w:t>
      </w:r>
      <w:r>
        <w:rPr>
          <w:vertAlign w:val="baseline"/>
        </w:rPr>
        <w:t>understand</w:t>
      </w:r>
      <w:r>
        <w:rPr>
          <w:spacing w:val="-5"/>
          <w:vertAlign w:val="baseline"/>
        </w:rPr>
        <w:t> </w:t>
      </w:r>
      <w:r>
        <w:rPr>
          <w:vertAlign w:val="baseline"/>
        </w:rPr>
        <w:t>the</w:t>
      </w:r>
      <w:r>
        <w:rPr>
          <w:spacing w:val="-5"/>
          <w:vertAlign w:val="baseline"/>
        </w:rPr>
        <w:t> </w:t>
      </w:r>
      <w:r>
        <w:rPr>
          <w:vertAlign w:val="baseline"/>
        </w:rPr>
        <w:t>impact</w:t>
      </w:r>
      <w:r>
        <w:rPr>
          <w:spacing w:val="-6"/>
          <w:vertAlign w:val="baseline"/>
        </w:rPr>
        <w:t> </w:t>
      </w:r>
      <w:r>
        <w:rPr>
          <w:vertAlign w:val="baseline"/>
        </w:rPr>
        <w:t>of</w:t>
      </w:r>
      <w:r>
        <w:rPr>
          <w:spacing w:val="-5"/>
          <w:vertAlign w:val="baseline"/>
        </w:rPr>
        <w:t> </w:t>
      </w:r>
      <w:r>
        <w:rPr>
          <w:vertAlign w:val="baseline"/>
        </w:rPr>
        <w:t>book</w:t>
      </w:r>
      <w:r>
        <w:rPr>
          <w:spacing w:val="-5"/>
          <w:vertAlign w:val="baseline"/>
        </w:rPr>
        <w:t> </w:t>
      </w:r>
      <w:r>
        <w:rPr>
          <w:vertAlign w:val="baseline"/>
        </w:rPr>
        <w:t>challenges.</w:t>
      </w:r>
      <w:r>
        <w:rPr>
          <w:spacing w:val="-4"/>
          <w:vertAlign w:val="baseline"/>
        </w:rPr>
        <w:t> </w:t>
      </w:r>
      <w:r>
        <w:rPr>
          <w:vertAlign w:val="baseline"/>
        </w:rPr>
        <w:t>They</w:t>
      </w:r>
      <w:r>
        <w:rPr>
          <w:spacing w:val="-5"/>
          <w:vertAlign w:val="baseline"/>
        </w:rPr>
        <w:t> </w:t>
      </w:r>
      <w:r>
        <w:rPr>
          <w:vertAlign w:val="baseline"/>
        </w:rPr>
        <w:t>found nearly 25% of school and public librarian respondents reported being harassed on social media, 22% reported being harassed via email, and 18% reported being harassed in-person regarding book or program</w:t>
      </w:r>
      <w:r>
        <w:rPr>
          <w:spacing w:val="-13"/>
          <w:vertAlign w:val="baseline"/>
        </w:rPr>
        <w:t> </w:t>
      </w:r>
      <w:r>
        <w:rPr>
          <w:vertAlign w:val="baseline"/>
        </w:rPr>
        <w:t>challenges.</w:t>
      </w:r>
      <w:r>
        <w:rPr>
          <w:spacing w:val="-12"/>
          <w:vertAlign w:val="baseline"/>
        </w:rPr>
        <w:t> </w:t>
      </w:r>
      <w:r>
        <w:rPr>
          <w:vertAlign w:val="baseline"/>
        </w:rPr>
        <w:t>Additionally,</w:t>
      </w:r>
      <w:r>
        <w:rPr>
          <w:spacing w:val="-13"/>
          <w:vertAlign w:val="baseline"/>
        </w:rPr>
        <w:t> </w:t>
      </w:r>
      <w:r>
        <w:rPr>
          <w:vertAlign w:val="baseline"/>
        </w:rPr>
        <w:t>48.5%</w:t>
      </w:r>
      <w:r>
        <w:rPr>
          <w:spacing w:val="-12"/>
          <w:vertAlign w:val="baseline"/>
        </w:rPr>
        <w:t> </w:t>
      </w:r>
      <w:r>
        <w:rPr>
          <w:vertAlign w:val="baseline"/>
        </w:rPr>
        <w:t>of</w:t>
      </w:r>
      <w:r>
        <w:rPr>
          <w:spacing w:val="-13"/>
          <w:vertAlign w:val="baseline"/>
        </w:rPr>
        <w:t> </w:t>
      </w:r>
      <w:r>
        <w:rPr>
          <w:vertAlign w:val="baseline"/>
        </w:rPr>
        <w:t>school</w:t>
      </w:r>
      <w:r>
        <w:rPr>
          <w:spacing w:val="-12"/>
          <w:vertAlign w:val="baseline"/>
        </w:rPr>
        <w:t> </w:t>
      </w:r>
      <w:r>
        <w:rPr>
          <w:vertAlign w:val="baseline"/>
        </w:rPr>
        <w:t>library</w:t>
      </w:r>
      <w:r>
        <w:rPr>
          <w:spacing w:val="-13"/>
          <w:vertAlign w:val="baseline"/>
        </w:rPr>
        <w:t> </w:t>
      </w:r>
      <w:r>
        <w:rPr>
          <w:vertAlign w:val="baseline"/>
        </w:rPr>
        <w:t>respondents</w:t>
      </w:r>
      <w:r>
        <w:rPr>
          <w:spacing w:val="-12"/>
          <w:vertAlign w:val="baseline"/>
        </w:rPr>
        <w:t> </w:t>
      </w:r>
      <w:r>
        <w:rPr>
          <w:vertAlign w:val="baseline"/>
        </w:rPr>
        <w:t>reported</w:t>
      </w:r>
      <w:r>
        <w:rPr>
          <w:spacing w:val="-12"/>
          <w:vertAlign w:val="baseline"/>
        </w:rPr>
        <w:t> </w:t>
      </w:r>
      <w:r>
        <w:rPr>
          <w:vertAlign w:val="baseline"/>
        </w:rPr>
        <w:t>reconsidering</w:t>
      </w:r>
      <w:r>
        <w:rPr>
          <w:spacing w:val="-13"/>
          <w:vertAlign w:val="baseline"/>
        </w:rPr>
        <w:t> </w:t>
      </w:r>
      <w:r>
        <w:rPr>
          <w:vertAlign w:val="baseline"/>
        </w:rPr>
        <w:t>displays, books,</w:t>
      </w:r>
      <w:r>
        <w:rPr>
          <w:spacing w:val="-11"/>
          <w:vertAlign w:val="baseline"/>
        </w:rPr>
        <w:t> </w:t>
      </w:r>
      <w:r>
        <w:rPr>
          <w:vertAlign w:val="baseline"/>
        </w:rPr>
        <w:t>or</w:t>
      </w:r>
      <w:r>
        <w:rPr>
          <w:spacing w:val="-11"/>
          <w:vertAlign w:val="baseline"/>
        </w:rPr>
        <w:t> </w:t>
      </w:r>
      <w:r>
        <w:rPr>
          <w:vertAlign w:val="baseline"/>
        </w:rPr>
        <w:t>featured</w:t>
      </w:r>
      <w:r>
        <w:rPr>
          <w:spacing w:val="-11"/>
          <w:vertAlign w:val="baseline"/>
        </w:rPr>
        <w:t> </w:t>
      </w:r>
      <w:r>
        <w:rPr>
          <w:vertAlign w:val="baseline"/>
        </w:rPr>
        <w:t>items</w:t>
      </w:r>
      <w:r>
        <w:rPr>
          <w:spacing w:val="-10"/>
          <w:vertAlign w:val="baseline"/>
        </w:rPr>
        <w:t> </w:t>
      </w:r>
      <w:r>
        <w:rPr>
          <w:vertAlign w:val="baseline"/>
        </w:rPr>
        <w:t>due</w:t>
      </w:r>
      <w:r>
        <w:rPr>
          <w:spacing w:val="-11"/>
          <w:vertAlign w:val="baseline"/>
        </w:rPr>
        <w:t> </w:t>
      </w:r>
      <w:r>
        <w:rPr>
          <w:vertAlign w:val="baseline"/>
        </w:rPr>
        <w:t>to</w:t>
      </w:r>
      <w:r>
        <w:rPr>
          <w:spacing w:val="-11"/>
          <w:vertAlign w:val="baseline"/>
        </w:rPr>
        <w:t> </w:t>
      </w:r>
      <w:r>
        <w:rPr>
          <w:vertAlign w:val="baseline"/>
        </w:rPr>
        <w:t>negativity</w:t>
      </w:r>
      <w:r>
        <w:rPr>
          <w:spacing w:val="-12"/>
          <w:vertAlign w:val="baseline"/>
        </w:rPr>
        <w:t> </w:t>
      </w:r>
      <w:r>
        <w:rPr>
          <w:vertAlign w:val="baseline"/>
        </w:rPr>
        <w:t>and</w:t>
      </w:r>
      <w:r>
        <w:rPr>
          <w:spacing w:val="-9"/>
          <w:vertAlign w:val="baseline"/>
        </w:rPr>
        <w:t> </w:t>
      </w:r>
      <w:r>
        <w:rPr>
          <w:vertAlign w:val="baseline"/>
        </w:rPr>
        <w:t>controversy</w:t>
      </w:r>
      <w:r>
        <w:rPr>
          <w:spacing w:val="-11"/>
          <w:vertAlign w:val="baseline"/>
        </w:rPr>
        <w:t> </w:t>
      </w:r>
      <w:r>
        <w:rPr>
          <w:vertAlign w:val="baseline"/>
        </w:rPr>
        <w:t>around</w:t>
      </w:r>
      <w:r>
        <w:rPr>
          <w:spacing w:val="-11"/>
          <w:vertAlign w:val="baseline"/>
        </w:rPr>
        <w:t> </w:t>
      </w:r>
      <w:r>
        <w:rPr>
          <w:vertAlign w:val="baseline"/>
        </w:rPr>
        <w:t>book</w:t>
      </w:r>
      <w:r>
        <w:rPr>
          <w:spacing w:val="-12"/>
          <w:vertAlign w:val="baseline"/>
        </w:rPr>
        <w:t> </w:t>
      </w:r>
      <w:r>
        <w:rPr>
          <w:vertAlign w:val="baseline"/>
        </w:rPr>
        <w:t>challenges.</w:t>
      </w:r>
      <w:hyperlink w:history="true" w:anchor="_bookmark52">
        <w:r>
          <w:rPr>
            <w:vertAlign w:val="superscript"/>
          </w:rPr>
          <w:t>13</w:t>
        </w:r>
      </w:hyperlink>
      <w:r>
        <w:rPr>
          <w:spacing w:val="-2"/>
          <w:vertAlign w:val="baseline"/>
        </w:rPr>
        <w:t> </w:t>
      </w:r>
      <w:r>
        <w:rPr>
          <w:vertAlign w:val="baseline"/>
        </w:rPr>
        <w:t>The</w:t>
      </w:r>
      <w:r>
        <w:rPr>
          <w:spacing w:val="-11"/>
          <w:vertAlign w:val="baseline"/>
        </w:rPr>
        <w:t> </w:t>
      </w:r>
      <w:r>
        <w:rPr>
          <w:vertAlign w:val="baseline"/>
        </w:rPr>
        <w:t>Safe</w:t>
      </w:r>
      <w:r>
        <w:rPr>
          <w:spacing w:val="-11"/>
          <w:vertAlign w:val="baseline"/>
        </w:rPr>
        <w:t> </w:t>
      </w:r>
      <w:r>
        <w:rPr>
          <w:vertAlign w:val="baseline"/>
        </w:rPr>
        <w:t>Schools Program</w:t>
      </w:r>
      <w:r>
        <w:rPr>
          <w:spacing w:val="-12"/>
          <w:vertAlign w:val="baseline"/>
        </w:rPr>
        <w:t> </w:t>
      </w:r>
      <w:r>
        <w:rPr>
          <w:vertAlign w:val="baseline"/>
        </w:rPr>
        <w:t>for</w:t>
      </w:r>
      <w:r>
        <w:rPr>
          <w:spacing w:val="-11"/>
          <w:vertAlign w:val="baseline"/>
        </w:rPr>
        <w:t> </w:t>
      </w:r>
      <w:r>
        <w:rPr>
          <w:vertAlign w:val="baseline"/>
        </w:rPr>
        <w:t>LGBTQ</w:t>
      </w:r>
      <w:r>
        <w:rPr>
          <w:spacing w:val="-10"/>
          <w:vertAlign w:val="baseline"/>
        </w:rPr>
        <w:t> </w:t>
      </w:r>
      <w:r>
        <w:rPr>
          <w:vertAlign w:val="baseline"/>
        </w:rPr>
        <w:t>Students</w:t>
      </w:r>
      <w:r>
        <w:rPr>
          <w:spacing w:val="-11"/>
          <w:vertAlign w:val="baseline"/>
        </w:rPr>
        <w:t> </w:t>
      </w:r>
      <w:r>
        <w:rPr>
          <w:vertAlign w:val="baseline"/>
        </w:rPr>
        <w:t>provided</w:t>
      </w:r>
      <w:r>
        <w:rPr>
          <w:spacing w:val="-10"/>
          <w:vertAlign w:val="baseline"/>
        </w:rPr>
        <w:t> </w:t>
      </w:r>
      <w:r>
        <w:rPr>
          <w:vertAlign w:val="baseline"/>
        </w:rPr>
        <w:t>support</w:t>
      </w:r>
      <w:r>
        <w:rPr>
          <w:spacing w:val="-11"/>
          <w:vertAlign w:val="baseline"/>
        </w:rPr>
        <w:t> </w:t>
      </w:r>
      <w:r>
        <w:rPr>
          <w:vertAlign w:val="baseline"/>
        </w:rPr>
        <w:t>to</w:t>
      </w:r>
      <w:r>
        <w:rPr>
          <w:spacing w:val="-11"/>
          <w:vertAlign w:val="baseline"/>
        </w:rPr>
        <w:t> </w:t>
      </w:r>
      <w:r>
        <w:rPr>
          <w:vertAlign w:val="baseline"/>
        </w:rPr>
        <w:t>several</w:t>
      </w:r>
      <w:r>
        <w:rPr>
          <w:spacing w:val="-11"/>
          <w:vertAlign w:val="baseline"/>
        </w:rPr>
        <w:t> </w:t>
      </w:r>
      <w:r>
        <w:rPr>
          <w:vertAlign w:val="baseline"/>
        </w:rPr>
        <w:t>districts</w:t>
      </w:r>
      <w:r>
        <w:rPr>
          <w:spacing w:val="-11"/>
          <w:vertAlign w:val="baseline"/>
        </w:rPr>
        <w:t> </w:t>
      </w:r>
      <w:r>
        <w:rPr>
          <w:vertAlign w:val="baseline"/>
        </w:rPr>
        <w:t>in</w:t>
      </w:r>
      <w:r>
        <w:rPr>
          <w:spacing w:val="-12"/>
          <w:vertAlign w:val="baseline"/>
        </w:rPr>
        <w:t> </w:t>
      </w:r>
      <w:r>
        <w:rPr>
          <w:vertAlign w:val="baseline"/>
        </w:rPr>
        <w:t>the</w:t>
      </w:r>
      <w:r>
        <w:rPr>
          <w:spacing w:val="-12"/>
          <w:vertAlign w:val="baseline"/>
        </w:rPr>
        <w:t> </w:t>
      </w:r>
      <w:r>
        <w:rPr>
          <w:vertAlign w:val="baseline"/>
        </w:rPr>
        <w:t>2023-2024</w:t>
      </w:r>
      <w:r>
        <w:rPr>
          <w:spacing w:val="-11"/>
          <w:vertAlign w:val="baseline"/>
        </w:rPr>
        <w:t> </w:t>
      </w:r>
      <w:r>
        <w:rPr>
          <w:vertAlign w:val="baseline"/>
        </w:rPr>
        <w:t>school</w:t>
      </w:r>
      <w:r>
        <w:rPr>
          <w:spacing w:val="-11"/>
          <w:vertAlign w:val="baseline"/>
        </w:rPr>
        <w:t> </w:t>
      </w:r>
      <w:r>
        <w:rPr>
          <w:vertAlign w:val="baseline"/>
        </w:rPr>
        <w:t>year</w:t>
      </w:r>
      <w:r>
        <w:rPr>
          <w:spacing w:val="-11"/>
          <w:vertAlign w:val="baseline"/>
        </w:rPr>
        <w:t> </w:t>
      </w:r>
      <w:r>
        <w:rPr>
          <w:vertAlign w:val="baseline"/>
        </w:rPr>
        <w:t>around the issue of book bans. However, some school districts do not have a clear review policy; school committees</w:t>
      </w:r>
      <w:r>
        <w:rPr>
          <w:spacing w:val="-10"/>
          <w:vertAlign w:val="baseline"/>
        </w:rPr>
        <w:t> </w:t>
      </w:r>
      <w:r>
        <w:rPr>
          <w:vertAlign w:val="baseline"/>
        </w:rPr>
        <w:t>and</w:t>
      </w:r>
      <w:r>
        <w:rPr>
          <w:spacing w:val="-11"/>
          <w:vertAlign w:val="baseline"/>
        </w:rPr>
        <w:t> </w:t>
      </w:r>
      <w:r>
        <w:rPr>
          <w:vertAlign w:val="baseline"/>
        </w:rPr>
        <w:t>superintendents</w:t>
      </w:r>
      <w:r>
        <w:rPr>
          <w:spacing w:val="-10"/>
          <w:vertAlign w:val="baseline"/>
        </w:rPr>
        <w:t> </w:t>
      </w:r>
      <w:r>
        <w:rPr>
          <w:vertAlign w:val="baseline"/>
        </w:rPr>
        <w:t>should</w:t>
      </w:r>
      <w:r>
        <w:rPr>
          <w:spacing w:val="-11"/>
          <w:vertAlign w:val="baseline"/>
        </w:rPr>
        <w:t> </w:t>
      </w:r>
      <w:r>
        <w:rPr>
          <w:vertAlign w:val="baseline"/>
        </w:rPr>
        <w:t>assist</w:t>
      </w:r>
      <w:r>
        <w:rPr>
          <w:spacing w:val="-11"/>
          <w:vertAlign w:val="baseline"/>
        </w:rPr>
        <w:t> </w:t>
      </w:r>
      <w:r>
        <w:rPr>
          <w:vertAlign w:val="baseline"/>
        </w:rPr>
        <w:t>school</w:t>
      </w:r>
      <w:r>
        <w:rPr>
          <w:spacing w:val="-11"/>
          <w:vertAlign w:val="baseline"/>
        </w:rPr>
        <w:t> </w:t>
      </w:r>
      <w:r>
        <w:rPr>
          <w:vertAlign w:val="baseline"/>
        </w:rPr>
        <w:t>districts</w:t>
      </w:r>
      <w:r>
        <w:rPr>
          <w:spacing w:val="-10"/>
          <w:vertAlign w:val="baseline"/>
        </w:rPr>
        <w:t> </w:t>
      </w:r>
      <w:r>
        <w:rPr>
          <w:vertAlign w:val="baseline"/>
        </w:rPr>
        <w:t>and</w:t>
      </w:r>
      <w:r>
        <w:rPr>
          <w:spacing w:val="-10"/>
          <w:vertAlign w:val="baseline"/>
        </w:rPr>
        <w:t> </w:t>
      </w:r>
      <w:r>
        <w:rPr>
          <w:vertAlign w:val="baseline"/>
        </w:rPr>
        <w:t>determine</w:t>
      </w:r>
      <w:r>
        <w:rPr>
          <w:spacing w:val="-10"/>
          <w:vertAlign w:val="baseline"/>
        </w:rPr>
        <w:t> </w:t>
      </w:r>
      <w:r>
        <w:rPr>
          <w:vertAlign w:val="baseline"/>
        </w:rPr>
        <w:t>thoughtful</w:t>
      </w:r>
      <w:r>
        <w:rPr>
          <w:spacing w:val="-10"/>
          <w:vertAlign w:val="baseline"/>
        </w:rPr>
        <w:t> </w:t>
      </w:r>
      <w:r>
        <w:rPr>
          <w:vertAlign w:val="baseline"/>
        </w:rPr>
        <w:t>processes</w:t>
      </w:r>
      <w:r>
        <w:rPr>
          <w:spacing w:val="-10"/>
          <w:vertAlign w:val="baseline"/>
        </w:rPr>
        <w:t> </w:t>
      </w:r>
      <w:r>
        <w:rPr>
          <w:vertAlign w:val="baseline"/>
        </w:rPr>
        <w:t>for reviewing any books that are challenged.</w:t>
      </w:r>
    </w:p>
    <w:p>
      <w:pPr>
        <w:spacing w:before="238"/>
        <w:ind w:left="464" w:right="0" w:firstLine="0"/>
        <w:jc w:val="both"/>
        <w:rPr>
          <w:sz w:val="26"/>
        </w:rPr>
      </w:pPr>
      <w:bookmarkStart w:name="School Climate" w:id="143"/>
      <w:bookmarkEnd w:id="143"/>
      <w:r>
        <w:rPr/>
      </w:r>
      <w:r>
        <w:rPr>
          <w:color w:val="404040"/>
          <w:sz w:val="26"/>
        </w:rPr>
        <w:t>School</w:t>
      </w:r>
      <w:r>
        <w:rPr>
          <w:color w:val="404040"/>
          <w:spacing w:val="-3"/>
          <w:sz w:val="26"/>
        </w:rPr>
        <w:t> </w:t>
      </w:r>
      <w:r>
        <w:rPr>
          <w:color w:val="404040"/>
          <w:spacing w:val="-2"/>
          <w:sz w:val="26"/>
        </w:rPr>
        <w:t>Climate</w:t>
      </w:r>
    </w:p>
    <w:p>
      <w:pPr>
        <w:pStyle w:val="BodyText"/>
        <w:spacing w:line="276" w:lineRule="auto" w:before="290"/>
        <w:ind w:left="463" w:right="402"/>
        <w:jc w:val="both"/>
      </w:pPr>
      <w:r>
        <w:rPr/>
        <w:t>An extensive review of literature on protective factors for LGBTQ youth in schools revealed seven support systems that have positive impacts on LGBTQ youth’s socioemotional, behavioral, and educational outcomes: family, curriculum, school professionals and teachers, peers, school policies, GSAs and programs, and school climate.</w:t>
      </w:r>
      <w:hyperlink w:history="true" w:anchor="_bookmark53">
        <w:r>
          <w:rPr>
            <w:vertAlign w:val="superscript"/>
          </w:rPr>
          <w:t>14</w:t>
        </w:r>
      </w:hyperlink>
      <w:r>
        <w:rPr>
          <w:spacing w:val="-2"/>
          <w:vertAlign w:val="baseline"/>
        </w:rPr>
        <w:t> </w:t>
      </w:r>
      <w:r>
        <w:rPr>
          <w:vertAlign w:val="baseline"/>
        </w:rPr>
        <w:t>School climate is defined as “the quality and character of school life…based on patterns of students’, parents’, and school personnel’s experience of school life and</w:t>
      </w:r>
      <w:r>
        <w:rPr>
          <w:spacing w:val="25"/>
          <w:vertAlign w:val="baseline"/>
        </w:rPr>
        <w:t> </w:t>
      </w:r>
      <w:r>
        <w:rPr>
          <w:vertAlign w:val="baseline"/>
        </w:rPr>
        <w:t>reflects</w:t>
      </w:r>
      <w:r>
        <w:rPr>
          <w:spacing w:val="27"/>
          <w:vertAlign w:val="baseline"/>
        </w:rPr>
        <w:t> </w:t>
      </w:r>
      <w:r>
        <w:rPr>
          <w:vertAlign w:val="baseline"/>
        </w:rPr>
        <w:t>norms,</w:t>
      </w:r>
      <w:r>
        <w:rPr>
          <w:spacing w:val="26"/>
          <w:vertAlign w:val="baseline"/>
        </w:rPr>
        <w:t> </w:t>
      </w:r>
      <w:r>
        <w:rPr>
          <w:vertAlign w:val="baseline"/>
        </w:rPr>
        <w:t>goals,</w:t>
      </w:r>
      <w:r>
        <w:rPr>
          <w:spacing w:val="25"/>
          <w:vertAlign w:val="baseline"/>
        </w:rPr>
        <w:t> </w:t>
      </w:r>
      <w:r>
        <w:rPr>
          <w:vertAlign w:val="baseline"/>
        </w:rPr>
        <w:t>values,</w:t>
      </w:r>
      <w:r>
        <w:rPr>
          <w:spacing w:val="26"/>
          <w:vertAlign w:val="baseline"/>
        </w:rPr>
        <w:t> </w:t>
      </w:r>
      <w:r>
        <w:rPr>
          <w:vertAlign w:val="baseline"/>
        </w:rPr>
        <w:t>interpersonal</w:t>
      </w:r>
      <w:r>
        <w:rPr>
          <w:spacing w:val="25"/>
          <w:vertAlign w:val="baseline"/>
        </w:rPr>
        <w:t> </w:t>
      </w:r>
      <w:r>
        <w:rPr>
          <w:vertAlign w:val="baseline"/>
        </w:rPr>
        <w:t>relationships,</w:t>
      </w:r>
      <w:r>
        <w:rPr>
          <w:spacing w:val="26"/>
          <w:vertAlign w:val="baseline"/>
        </w:rPr>
        <w:t> </w:t>
      </w:r>
      <w:r>
        <w:rPr>
          <w:vertAlign w:val="baseline"/>
        </w:rPr>
        <w:t>teaching</w:t>
      </w:r>
      <w:r>
        <w:rPr>
          <w:spacing w:val="26"/>
          <w:vertAlign w:val="baseline"/>
        </w:rPr>
        <w:t> </w:t>
      </w:r>
      <w:r>
        <w:rPr>
          <w:vertAlign w:val="baseline"/>
        </w:rPr>
        <w:t>and</w:t>
      </w:r>
      <w:r>
        <w:rPr>
          <w:spacing w:val="25"/>
          <w:vertAlign w:val="baseline"/>
        </w:rPr>
        <w:t> </w:t>
      </w:r>
      <w:r>
        <w:rPr>
          <w:vertAlign w:val="baseline"/>
        </w:rPr>
        <w:t>learning</w:t>
      </w:r>
      <w:r>
        <w:rPr>
          <w:spacing w:val="25"/>
          <w:vertAlign w:val="baseline"/>
        </w:rPr>
        <w:t> </w:t>
      </w:r>
      <w:r>
        <w:rPr>
          <w:vertAlign w:val="baseline"/>
        </w:rPr>
        <w:t>practices,</w:t>
      </w:r>
      <w:r>
        <w:rPr>
          <w:spacing w:val="26"/>
          <w:vertAlign w:val="baseline"/>
        </w:rPr>
        <w:t> </w:t>
      </w:r>
      <w:r>
        <w:rPr>
          <w:vertAlign w:val="baseline"/>
        </w:rPr>
        <w:t>and</w:t>
      </w:r>
    </w:p>
    <w:p>
      <w:pPr>
        <w:spacing w:after="0" w:line="276" w:lineRule="auto"/>
        <w:jc w:val="both"/>
        <w:sectPr>
          <w:pgSz w:w="12240" w:h="15840"/>
          <w:pgMar w:header="763" w:footer="1041" w:top="1140" w:bottom="1240" w:left="1120" w:right="1180"/>
        </w:sectPr>
      </w:pPr>
    </w:p>
    <w:p>
      <w:pPr>
        <w:pStyle w:val="BodyText"/>
        <w:spacing w:line="276" w:lineRule="auto" w:before="66"/>
        <w:ind w:left="464" w:right="401" w:hanging="1"/>
        <w:jc w:val="both"/>
      </w:pPr>
      <w:r>
        <w:rPr/>
        <w:t>organizational</w:t>
      </w:r>
      <w:r>
        <w:rPr>
          <w:spacing w:val="-13"/>
        </w:rPr>
        <w:t> </w:t>
      </w:r>
      <w:r>
        <w:rPr/>
        <w:t>structures”</w:t>
      </w:r>
      <w:hyperlink w:history="true" w:anchor="_bookmark54">
        <w:r>
          <w:rPr>
            <w:vertAlign w:val="superscript"/>
          </w:rPr>
          <w:t>15</w:t>
        </w:r>
      </w:hyperlink>
      <w:r>
        <w:rPr>
          <w:spacing w:val="-8"/>
          <w:vertAlign w:val="baseline"/>
        </w:rPr>
        <w:t> </w:t>
      </w:r>
      <w:r>
        <w:rPr>
          <w:vertAlign w:val="baseline"/>
        </w:rPr>
        <w:t>Educators,</w:t>
      </w:r>
      <w:r>
        <w:rPr>
          <w:spacing w:val="-12"/>
          <w:vertAlign w:val="baseline"/>
        </w:rPr>
        <w:t> </w:t>
      </w:r>
      <w:r>
        <w:rPr>
          <w:vertAlign w:val="baseline"/>
        </w:rPr>
        <w:t>administrators,</w:t>
      </w:r>
      <w:r>
        <w:rPr>
          <w:spacing w:val="-13"/>
          <w:vertAlign w:val="baseline"/>
        </w:rPr>
        <w:t> </w:t>
      </w:r>
      <w:r>
        <w:rPr>
          <w:vertAlign w:val="baseline"/>
        </w:rPr>
        <w:t>and</w:t>
      </w:r>
      <w:r>
        <w:rPr>
          <w:spacing w:val="-12"/>
          <w:vertAlign w:val="baseline"/>
        </w:rPr>
        <w:t> </w:t>
      </w:r>
      <w:r>
        <w:rPr>
          <w:vertAlign w:val="baseline"/>
        </w:rPr>
        <w:t>policymakers</w:t>
      </w:r>
      <w:r>
        <w:rPr>
          <w:spacing w:val="-13"/>
          <w:vertAlign w:val="baseline"/>
        </w:rPr>
        <w:t> </w:t>
      </w:r>
      <w:r>
        <w:rPr>
          <w:vertAlign w:val="baseline"/>
        </w:rPr>
        <w:t>should</w:t>
      </w:r>
      <w:r>
        <w:rPr>
          <w:spacing w:val="-12"/>
          <w:vertAlign w:val="baseline"/>
        </w:rPr>
        <w:t> </w:t>
      </w:r>
      <w:r>
        <w:rPr>
          <w:vertAlign w:val="baseline"/>
        </w:rPr>
        <w:t>actively</w:t>
      </w:r>
      <w:r>
        <w:rPr>
          <w:spacing w:val="-12"/>
          <w:vertAlign w:val="baseline"/>
        </w:rPr>
        <w:t> </w:t>
      </w:r>
      <w:r>
        <w:rPr>
          <w:vertAlign w:val="baseline"/>
        </w:rPr>
        <w:t>work</w:t>
      </w:r>
      <w:r>
        <w:rPr>
          <w:spacing w:val="-13"/>
          <w:vertAlign w:val="baseline"/>
        </w:rPr>
        <w:t> </w:t>
      </w:r>
      <w:r>
        <w:rPr>
          <w:vertAlign w:val="baseline"/>
        </w:rPr>
        <w:t>towards creating</w:t>
      </w:r>
      <w:r>
        <w:rPr>
          <w:spacing w:val="-5"/>
          <w:vertAlign w:val="baseline"/>
        </w:rPr>
        <w:t> </w:t>
      </w:r>
      <w:r>
        <w:rPr>
          <w:vertAlign w:val="baseline"/>
        </w:rPr>
        <w:t>positive</w:t>
      </w:r>
      <w:r>
        <w:rPr>
          <w:spacing w:val="-5"/>
          <w:vertAlign w:val="baseline"/>
        </w:rPr>
        <w:t> </w:t>
      </w:r>
      <w:r>
        <w:rPr>
          <w:vertAlign w:val="baseline"/>
        </w:rPr>
        <w:t>school</w:t>
      </w:r>
      <w:r>
        <w:rPr>
          <w:spacing w:val="-5"/>
          <w:vertAlign w:val="baseline"/>
        </w:rPr>
        <w:t> </w:t>
      </w:r>
      <w:r>
        <w:rPr>
          <w:vertAlign w:val="baseline"/>
        </w:rPr>
        <w:t>climates</w:t>
      </w:r>
      <w:r>
        <w:rPr>
          <w:spacing w:val="-5"/>
          <w:vertAlign w:val="baseline"/>
        </w:rPr>
        <w:t> </w:t>
      </w:r>
      <w:r>
        <w:rPr>
          <w:vertAlign w:val="baseline"/>
        </w:rPr>
        <w:t>for</w:t>
      </w:r>
      <w:r>
        <w:rPr>
          <w:spacing w:val="-5"/>
          <w:vertAlign w:val="baseline"/>
        </w:rPr>
        <w:t> </w:t>
      </w:r>
      <w:r>
        <w:rPr>
          <w:vertAlign w:val="baseline"/>
        </w:rPr>
        <w:t>all</w:t>
      </w:r>
      <w:r>
        <w:rPr>
          <w:spacing w:val="-4"/>
          <w:vertAlign w:val="baseline"/>
        </w:rPr>
        <w:t> </w:t>
      </w:r>
      <w:r>
        <w:rPr>
          <w:vertAlign w:val="baseline"/>
        </w:rPr>
        <w:t>marginalized</w:t>
      </w:r>
      <w:r>
        <w:rPr>
          <w:spacing w:val="-4"/>
          <w:vertAlign w:val="baseline"/>
        </w:rPr>
        <w:t> </w:t>
      </w:r>
      <w:r>
        <w:rPr>
          <w:vertAlign w:val="baseline"/>
        </w:rPr>
        <w:t>students</w:t>
      </w:r>
      <w:r>
        <w:rPr>
          <w:spacing w:val="-5"/>
          <w:vertAlign w:val="baseline"/>
        </w:rPr>
        <w:t> </w:t>
      </w:r>
      <w:r>
        <w:rPr>
          <w:vertAlign w:val="baseline"/>
        </w:rPr>
        <w:t>because</w:t>
      </w:r>
      <w:r>
        <w:rPr>
          <w:spacing w:val="-5"/>
          <w:vertAlign w:val="baseline"/>
        </w:rPr>
        <w:t> </w:t>
      </w:r>
      <w:r>
        <w:rPr>
          <w:vertAlign w:val="baseline"/>
        </w:rPr>
        <w:t>LGBTQ</w:t>
      </w:r>
      <w:r>
        <w:rPr>
          <w:spacing w:val="-5"/>
          <w:vertAlign w:val="baseline"/>
        </w:rPr>
        <w:t> </w:t>
      </w:r>
      <w:r>
        <w:rPr>
          <w:vertAlign w:val="baseline"/>
        </w:rPr>
        <w:t>youth</w:t>
      </w:r>
      <w:r>
        <w:rPr>
          <w:spacing w:val="-5"/>
          <w:vertAlign w:val="baseline"/>
        </w:rPr>
        <w:t> </w:t>
      </w:r>
      <w:r>
        <w:rPr>
          <w:vertAlign w:val="baseline"/>
        </w:rPr>
        <w:t>experience</w:t>
      </w:r>
      <w:r>
        <w:rPr>
          <w:spacing w:val="-5"/>
          <w:vertAlign w:val="baseline"/>
        </w:rPr>
        <w:t> </w:t>
      </w:r>
      <w:r>
        <w:rPr>
          <w:vertAlign w:val="baseline"/>
        </w:rPr>
        <w:t>lower risk of suicidality and fewer depressive symptoms when in schools with positive climates.</w:t>
      </w:r>
      <w:hyperlink w:history="true" w:anchor="_bookmark55">
        <w:r>
          <w:rPr>
            <w:vertAlign w:val="superscript"/>
          </w:rPr>
          <w:t>16</w:t>
        </w:r>
      </w:hyperlink>
    </w:p>
    <w:p>
      <w:pPr>
        <w:pStyle w:val="BodyText"/>
        <w:spacing w:line="276" w:lineRule="auto" w:before="240"/>
        <w:ind w:left="463" w:right="402"/>
        <w:jc w:val="both"/>
      </w:pPr>
      <w:r>
        <w:rPr/>
        <w:t>Specific attention should be paid to the needs and experiences of BIPOC LGBTQ youth in creating a positive school climate. Recent GLSEN research on LGBTQ youth of color in K-12 public schools demonstrates that BIPOC LGBTQ youth experience feeling a lack of safety in school because of their sexual orientation, </w:t>
      </w:r>
      <w:r>
        <w:rPr>
          <w:i/>
        </w:rPr>
        <w:t>and </w:t>
      </w:r>
      <w:r>
        <w:rPr/>
        <w:t>race or ethnicity. For example:</w:t>
      </w:r>
    </w:p>
    <w:p>
      <w:pPr>
        <w:pStyle w:val="ListParagraph"/>
        <w:numPr>
          <w:ilvl w:val="0"/>
          <w:numId w:val="17"/>
        </w:numPr>
        <w:tabs>
          <w:tab w:pos="1183" w:val="left" w:leader="none"/>
        </w:tabs>
        <w:spacing w:line="276" w:lineRule="auto" w:before="238" w:after="0"/>
        <w:ind w:left="1183" w:right="403" w:hanging="360"/>
        <w:jc w:val="both"/>
        <w:rPr>
          <w:sz w:val="22"/>
        </w:rPr>
      </w:pPr>
      <w:r>
        <w:rPr>
          <w:sz w:val="22"/>
        </w:rPr>
        <w:t>54.9% of Latine students felt unsafe at school because of their sexual orientation, 44.2% because of their gender expression, and 22.3% because of their race or ethnicity</w:t>
      </w:r>
      <w:r>
        <w:rPr>
          <w:sz w:val="22"/>
          <w:vertAlign w:val="superscript"/>
        </w:rPr>
        <w:t>21</w:t>
      </w:r>
    </w:p>
    <w:p>
      <w:pPr>
        <w:pStyle w:val="ListParagraph"/>
        <w:numPr>
          <w:ilvl w:val="0"/>
          <w:numId w:val="17"/>
        </w:numPr>
        <w:tabs>
          <w:tab w:pos="1183" w:val="left" w:leader="none"/>
        </w:tabs>
        <w:spacing w:line="276" w:lineRule="auto" w:before="1" w:after="0"/>
        <w:ind w:left="1183" w:right="401" w:hanging="360"/>
        <w:jc w:val="both"/>
        <w:rPr>
          <w:sz w:val="22"/>
        </w:rPr>
      </w:pPr>
      <w:r>
        <w:rPr>
          <w:sz w:val="22"/>
        </w:rPr>
        <w:t>Latine LGBTQ students born outside the US were more likely to feel unsafe about their race/ethnicity than those born in the US (29.1% vs 21.8%)</w:t>
      </w:r>
      <w:r>
        <w:rPr>
          <w:sz w:val="22"/>
          <w:vertAlign w:val="superscript"/>
        </w:rPr>
        <w:t>21</w:t>
      </w:r>
    </w:p>
    <w:p>
      <w:pPr>
        <w:pStyle w:val="ListParagraph"/>
        <w:numPr>
          <w:ilvl w:val="0"/>
          <w:numId w:val="17"/>
        </w:numPr>
        <w:tabs>
          <w:tab w:pos="1183" w:val="left" w:leader="none"/>
        </w:tabs>
        <w:spacing w:line="276" w:lineRule="auto" w:before="0" w:after="0"/>
        <w:ind w:left="1183" w:right="401" w:hanging="360"/>
        <w:jc w:val="both"/>
        <w:rPr>
          <w:sz w:val="22"/>
        </w:rPr>
      </w:pPr>
      <w:r>
        <w:rPr>
          <w:sz w:val="22"/>
        </w:rPr>
        <w:t>65% of Native LGBTQ students felt unsafe at school because of their sexual orientation, 51% felt</w:t>
      </w:r>
      <w:r>
        <w:rPr>
          <w:spacing w:val="-3"/>
          <w:sz w:val="22"/>
        </w:rPr>
        <w:t> </w:t>
      </w:r>
      <w:r>
        <w:rPr>
          <w:sz w:val="22"/>
        </w:rPr>
        <w:t>unsafe</w:t>
      </w:r>
      <w:r>
        <w:rPr>
          <w:spacing w:val="-3"/>
          <w:sz w:val="22"/>
        </w:rPr>
        <w:t> </w:t>
      </w:r>
      <w:r>
        <w:rPr>
          <w:sz w:val="22"/>
        </w:rPr>
        <w:t>because</w:t>
      </w:r>
      <w:r>
        <w:rPr>
          <w:spacing w:val="-3"/>
          <w:sz w:val="22"/>
        </w:rPr>
        <w:t> </w:t>
      </w:r>
      <w:r>
        <w:rPr>
          <w:sz w:val="22"/>
        </w:rPr>
        <w:t>of</w:t>
      </w:r>
      <w:r>
        <w:rPr>
          <w:spacing w:val="-3"/>
          <w:sz w:val="22"/>
        </w:rPr>
        <w:t> </w:t>
      </w:r>
      <w:r>
        <w:rPr>
          <w:sz w:val="22"/>
        </w:rPr>
        <w:t>their</w:t>
      </w:r>
      <w:r>
        <w:rPr>
          <w:spacing w:val="-1"/>
          <w:sz w:val="22"/>
        </w:rPr>
        <w:t> </w:t>
      </w:r>
      <w:r>
        <w:rPr>
          <w:sz w:val="22"/>
        </w:rPr>
        <w:t>gender</w:t>
      </w:r>
      <w:r>
        <w:rPr>
          <w:spacing w:val="-1"/>
          <w:sz w:val="22"/>
        </w:rPr>
        <w:t> </w:t>
      </w:r>
      <w:r>
        <w:rPr>
          <w:sz w:val="22"/>
        </w:rPr>
        <w:t>expression,</w:t>
      </w:r>
      <w:r>
        <w:rPr>
          <w:spacing w:val="-3"/>
          <w:sz w:val="22"/>
        </w:rPr>
        <w:t> </w:t>
      </w:r>
      <w:r>
        <w:rPr>
          <w:sz w:val="22"/>
        </w:rPr>
        <w:t>and</w:t>
      </w:r>
      <w:r>
        <w:rPr>
          <w:spacing w:val="-3"/>
          <w:sz w:val="22"/>
        </w:rPr>
        <w:t> </w:t>
      </w:r>
      <w:r>
        <w:rPr>
          <w:sz w:val="22"/>
        </w:rPr>
        <w:t>19.7%</w:t>
      </w:r>
      <w:r>
        <w:rPr>
          <w:spacing w:val="-3"/>
          <w:sz w:val="22"/>
        </w:rPr>
        <w:t> </w:t>
      </w:r>
      <w:r>
        <w:rPr>
          <w:sz w:val="22"/>
        </w:rPr>
        <w:t>felt</w:t>
      </w:r>
      <w:r>
        <w:rPr>
          <w:spacing w:val="-3"/>
          <w:sz w:val="22"/>
        </w:rPr>
        <w:t> </w:t>
      </w:r>
      <w:r>
        <w:rPr>
          <w:sz w:val="22"/>
        </w:rPr>
        <w:t>unsafe</w:t>
      </w:r>
      <w:r>
        <w:rPr>
          <w:spacing w:val="-3"/>
          <w:sz w:val="22"/>
        </w:rPr>
        <w:t> </w:t>
      </w:r>
      <w:r>
        <w:rPr>
          <w:sz w:val="22"/>
        </w:rPr>
        <w:t>because</w:t>
      </w:r>
      <w:r>
        <w:rPr>
          <w:spacing w:val="-2"/>
          <w:sz w:val="22"/>
        </w:rPr>
        <w:t> </w:t>
      </w:r>
      <w:r>
        <w:rPr>
          <w:sz w:val="22"/>
        </w:rPr>
        <w:t>of</w:t>
      </w:r>
      <w:r>
        <w:rPr>
          <w:spacing w:val="-3"/>
          <w:sz w:val="22"/>
        </w:rPr>
        <w:t> </w:t>
      </w:r>
      <w:r>
        <w:rPr>
          <w:sz w:val="22"/>
        </w:rPr>
        <w:t>their</w:t>
      </w:r>
      <w:r>
        <w:rPr>
          <w:spacing w:val="-3"/>
          <w:sz w:val="22"/>
        </w:rPr>
        <w:t> </w:t>
      </w:r>
      <w:r>
        <w:rPr>
          <w:sz w:val="22"/>
        </w:rPr>
        <w:t>race</w:t>
      </w:r>
      <w:r>
        <w:rPr>
          <w:spacing w:val="-2"/>
          <w:sz w:val="22"/>
        </w:rPr>
        <w:t> </w:t>
      </w:r>
      <w:r>
        <w:rPr>
          <w:sz w:val="22"/>
        </w:rPr>
        <w:t>or </w:t>
      </w:r>
      <w:r>
        <w:rPr>
          <w:spacing w:val="-2"/>
          <w:sz w:val="22"/>
        </w:rPr>
        <w:t>ethnicity</w:t>
      </w:r>
      <w:r>
        <w:rPr>
          <w:spacing w:val="-2"/>
          <w:sz w:val="22"/>
          <w:vertAlign w:val="superscript"/>
        </w:rPr>
        <w:t>32</w:t>
      </w:r>
    </w:p>
    <w:p>
      <w:pPr>
        <w:pStyle w:val="ListParagraph"/>
        <w:numPr>
          <w:ilvl w:val="0"/>
          <w:numId w:val="17"/>
        </w:numPr>
        <w:tabs>
          <w:tab w:pos="1183" w:val="left" w:leader="none"/>
        </w:tabs>
        <w:spacing w:line="276" w:lineRule="auto" w:before="0" w:after="0"/>
        <w:ind w:left="1183" w:right="398" w:hanging="360"/>
        <w:jc w:val="both"/>
        <w:rPr>
          <w:sz w:val="22"/>
        </w:rPr>
      </w:pPr>
      <w:r>
        <w:rPr>
          <w:sz w:val="22"/>
        </w:rPr>
        <w:t>Feelings</w:t>
      </w:r>
      <w:r>
        <w:rPr>
          <w:spacing w:val="-13"/>
          <w:sz w:val="22"/>
        </w:rPr>
        <w:t> </w:t>
      </w:r>
      <w:r>
        <w:rPr>
          <w:sz w:val="22"/>
        </w:rPr>
        <w:t>of</w:t>
      </w:r>
      <w:r>
        <w:rPr>
          <w:spacing w:val="-12"/>
          <w:sz w:val="22"/>
        </w:rPr>
        <w:t> </w:t>
      </w:r>
      <w:r>
        <w:rPr>
          <w:sz w:val="22"/>
        </w:rPr>
        <w:t>unsafety</w:t>
      </w:r>
      <w:r>
        <w:rPr>
          <w:spacing w:val="-13"/>
          <w:sz w:val="22"/>
        </w:rPr>
        <w:t> </w:t>
      </w:r>
      <w:r>
        <w:rPr>
          <w:sz w:val="22"/>
        </w:rPr>
        <w:t>based</w:t>
      </w:r>
      <w:r>
        <w:rPr>
          <w:spacing w:val="-12"/>
          <w:sz w:val="22"/>
        </w:rPr>
        <w:t> </w:t>
      </w:r>
      <w:r>
        <w:rPr>
          <w:sz w:val="22"/>
        </w:rPr>
        <w:t>on</w:t>
      </w:r>
      <w:r>
        <w:rPr>
          <w:spacing w:val="-13"/>
          <w:sz w:val="22"/>
        </w:rPr>
        <w:t> </w:t>
      </w:r>
      <w:r>
        <w:rPr>
          <w:sz w:val="22"/>
        </w:rPr>
        <w:t>race/ethnicity</w:t>
      </w:r>
      <w:r>
        <w:rPr>
          <w:spacing w:val="-12"/>
          <w:sz w:val="22"/>
        </w:rPr>
        <w:t> </w:t>
      </w:r>
      <w:r>
        <w:rPr>
          <w:sz w:val="22"/>
        </w:rPr>
        <w:t>differed</w:t>
      </w:r>
      <w:r>
        <w:rPr>
          <w:spacing w:val="-13"/>
          <w:sz w:val="22"/>
        </w:rPr>
        <w:t> </w:t>
      </w:r>
      <w:r>
        <w:rPr>
          <w:sz w:val="22"/>
        </w:rPr>
        <w:t>significantly</w:t>
      </w:r>
      <w:r>
        <w:rPr>
          <w:spacing w:val="-12"/>
          <w:sz w:val="22"/>
        </w:rPr>
        <w:t> </w:t>
      </w:r>
      <w:r>
        <w:rPr>
          <w:sz w:val="22"/>
        </w:rPr>
        <w:t>among</w:t>
      </w:r>
      <w:r>
        <w:rPr>
          <w:spacing w:val="-12"/>
          <w:sz w:val="22"/>
        </w:rPr>
        <w:t> </w:t>
      </w:r>
      <w:r>
        <w:rPr>
          <w:sz w:val="22"/>
        </w:rPr>
        <w:t>Native</w:t>
      </w:r>
      <w:r>
        <w:rPr>
          <w:spacing w:val="-13"/>
          <w:sz w:val="22"/>
        </w:rPr>
        <w:t> </w:t>
      </w:r>
      <w:r>
        <w:rPr>
          <w:sz w:val="22"/>
        </w:rPr>
        <w:t>students.</w:t>
      </w:r>
      <w:r>
        <w:rPr>
          <w:spacing w:val="-12"/>
          <w:sz w:val="22"/>
        </w:rPr>
        <w:t> </w:t>
      </w:r>
      <w:r>
        <w:rPr>
          <w:sz w:val="22"/>
        </w:rPr>
        <w:t>5.9% of</w:t>
      </w:r>
      <w:r>
        <w:rPr>
          <w:spacing w:val="-1"/>
          <w:sz w:val="22"/>
        </w:rPr>
        <w:t> </w:t>
      </w:r>
      <w:r>
        <w:rPr>
          <w:sz w:val="22"/>
        </w:rPr>
        <w:t>students</w:t>
      </w:r>
      <w:r>
        <w:rPr>
          <w:spacing w:val="-1"/>
          <w:sz w:val="22"/>
        </w:rPr>
        <w:t> </w:t>
      </w:r>
      <w:r>
        <w:rPr>
          <w:sz w:val="22"/>
        </w:rPr>
        <w:t>who</w:t>
      </w:r>
      <w:r>
        <w:rPr>
          <w:spacing w:val="-1"/>
          <w:sz w:val="22"/>
        </w:rPr>
        <w:t> </w:t>
      </w:r>
      <w:r>
        <w:rPr>
          <w:sz w:val="22"/>
        </w:rPr>
        <w:t>identify</w:t>
      </w:r>
      <w:r>
        <w:rPr>
          <w:spacing w:val="-2"/>
          <w:sz w:val="22"/>
        </w:rPr>
        <w:t> </w:t>
      </w:r>
      <w:r>
        <w:rPr>
          <w:sz w:val="22"/>
        </w:rPr>
        <w:t>as white and</w:t>
      </w:r>
      <w:r>
        <w:rPr>
          <w:spacing w:val="-1"/>
          <w:sz w:val="22"/>
        </w:rPr>
        <w:t> </w:t>
      </w:r>
      <w:r>
        <w:rPr>
          <w:sz w:val="22"/>
        </w:rPr>
        <w:t>Native</w:t>
      </w:r>
      <w:r>
        <w:rPr>
          <w:spacing w:val="-2"/>
          <w:sz w:val="22"/>
        </w:rPr>
        <w:t> </w:t>
      </w:r>
      <w:r>
        <w:rPr>
          <w:sz w:val="22"/>
        </w:rPr>
        <w:t>felt</w:t>
      </w:r>
      <w:r>
        <w:rPr>
          <w:spacing w:val="-1"/>
          <w:sz w:val="22"/>
        </w:rPr>
        <w:t> </w:t>
      </w:r>
      <w:r>
        <w:rPr>
          <w:sz w:val="22"/>
        </w:rPr>
        <w:t>unsafe</w:t>
      </w:r>
      <w:r>
        <w:rPr>
          <w:spacing w:val="-2"/>
          <w:sz w:val="22"/>
        </w:rPr>
        <w:t> </w:t>
      </w:r>
      <w:r>
        <w:rPr>
          <w:sz w:val="22"/>
        </w:rPr>
        <w:t>because of</w:t>
      </w:r>
      <w:r>
        <w:rPr>
          <w:spacing w:val="-1"/>
          <w:sz w:val="22"/>
        </w:rPr>
        <w:t> </w:t>
      </w:r>
      <w:r>
        <w:rPr>
          <w:sz w:val="22"/>
        </w:rPr>
        <w:t>race/ethnicity, compared to 18.9% of students who identified as only Native, and 34.4% of other multiracial Native </w:t>
      </w:r>
      <w:r>
        <w:rPr>
          <w:spacing w:val="-2"/>
          <w:sz w:val="22"/>
        </w:rPr>
        <w:t>students.</w:t>
      </w:r>
      <w:r>
        <w:rPr>
          <w:spacing w:val="-2"/>
          <w:sz w:val="22"/>
          <w:vertAlign w:val="superscript"/>
        </w:rPr>
        <w:t>32</w:t>
      </w:r>
    </w:p>
    <w:p>
      <w:pPr>
        <w:pStyle w:val="ListParagraph"/>
        <w:numPr>
          <w:ilvl w:val="0"/>
          <w:numId w:val="17"/>
        </w:numPr>
        <w:tabs>
          <w:tab w:pos="1183" w:val="left" w:leader="none"/>
        </w:tabs>
        <w:spacing w:line="276" w:lineRule="auto" w:before="0" w:after="0"/>
        <w:ind w:left="1183" w:right="403" w:hanging="360"/>
        <w:jc w:val="both"/>
        <w:rPr>
          <w:sz w:val="22"/>
        </w:rPr>
      </w:pPr>
      <w:r>
        <w:rPr>
          <w:sz w:val="22"/>
        </w:rPr>
        <w:t>51.6%</w:t>
      </w:r>
      <w:r>
        <w:rPr>
          <w:spacing w:val="-5"/>
          <w:sz w:val="22"/>
        </w:rPr>
        <w:t> </w:t>
      </w:r>
      <w:r>
        <w:rPr>
          <w:sz w:val="22"/>
        </w:rPr>
        <w:t>of</w:t>
      </w:r>
      <w:r>
        <w:rPr>
          <w:spacing w:val="-5"/>
          <w:sz w:val="22"/>
        </w:rPr>
        <w:t> </w:t>
      </w:r>
      <w:r>
        <w:rPr>
          <w:sz w:val="22"/>
        </w:rPr>
        <w:t>Black</w:t>
      </w:r>
      <w:r>
        <w:rPr>
          <w:spacing w:val="-5"/>
          <w:sz w:val="22"/>
        </w:rPr>
        <w:t> </w:t>
      </w:r>
      <w:r>
        <w:rPr>
          <w:sz w:val="22"/>
        </w:rPr>
        <w:t>LGBTQ</w:t>
      </w:r>
      <w:r>
        <w:rPr>
          <w:spacing w:val="-5"/>
          <w:sz w:val="22"/>
        </w:rPr>
        <w:t> </w:t>
      </w:r>
      <w:r>
        <w:rPr>
          <w:sz w:val="22"/>
        </w:rPr>
        <w:t>students</w:t>
      </w:r>
      <w:r>
        <w:rPr>
          <w:spacing w:val="-5"/>
          <w:sz w:val="22"/>
        </w:rPr>
        <w:t> </w:t>
      </w:r>
      <w:r>
        <w:rPr>
          <w:sz w:val="22"/>
        </w:rPr>
        <w:t>felt</w:t>
      </w:r>
      <w:r>
        <w:rPr>
          <w:spacing w:val="-4"/>
          <w:sz w:val="22"/>
        </w:rPr>
        <w:t> </w:t>
      </w:r>
      <w:r>
        <w:rPr>
          <w:sz w:val="22"/>
        </w:rPr>
        <w:t>unsafe</w:t>
      </w:r>
      <w:r>
        <w:rPr>
          <w:spacing w:val="-5"/>
          <w:sz w:val="22"/>
        </w:rPr>
        <w:t> </w:t>
      </w:r>
      <w:r>
        <w:rPr>
          <w:sz w:val="22"/>
        </w:rPr>
        <w:t>because</w:t>
      </w:r>
      <w:r>
        <w:rPr>
          <w:spacing w:val="-5"/>
          <w:sz w:val="22"/>
        </w:rPr>
        <w:t> </w:t>
      </w:r>
      <w:r>
        <w:rPr>
          <w:sz w:val="22"/>
        </w:rPr>
        <w:t>of</w:t>
      </w:r>
      <w:r>
        <w:rPr>
          <w:spacing w:val="-4"/>
          <w:sz w:val="22"/>
        </w:rPr>
        <w:t> </w:t>
      </w:r>
      <w:r>
        <w:rPr>
          <w:sz w:val="22"/>
        </w:rPr>
        <w:t>their</w:t>
      </w:r>
      <w:r>
        <w:rPr>
          <w:spacing w:val="-5"/>
          <w:sz w:val="22"/>
        </w:rPr>
        <w:t> </w:t>
      </w:r>
      <w:r>
        <w:rPr>
          <w:sz w:val="22"/>
        </w:rPr>
        <w:t>sexual</w:t>
      </w:r>
      <w:r>
        <w:rPr>
          <w:spacing w:val="-4"/>
          <w:sz w:val="22"/>
        </w:rPr>
        <w:t> </w:t>
      </w:r>
      <w:r>
        <w:rPr>
          <w:sz w:val="22"/>
        </w:rPr>
        <w:t>orientation,</w:t>
      </w:r>
      <w:r>
        <w:rPr>
          <w:spacing w:val="-5"/>
          <w:sz w:val="22"/>
        </w:rPr>
        <w:t> </w:t>
      </w:r>
      <w:r>
        <w:rPr>
          <w:sz w:val="22"/>
        </w:rPr>
        <w:t>40.2%</w:t>
      </w:r>
      <w:r>
        <w:rPr>
          <w:spacing w:val="-5"/>
          <w:sz w:val="22"/>
        </w:rPr>
        <w:t> </w:t>
      </w:r>
      <w:r>
        <w:rPr>
          <w:sz w:val="22"/>
        </w:rPr>
        <w:t>because of their gender expression, and 30.6% because of their race or ethnicity</w:t>
      </w:r>
      <w:r>
        <w:rPr>
          <w:sz w:val="22"/>
          <w:vertAlign w:val="superscript"/>
        </w:rPr>
        <w:t>31</w:t>
      </w:r>
    </w:p>
    <w:p>
      <w:pPr>
        <w:pStyle w:val="ListParagraph"/>
        <w:numPr>
          <w:ilvl w:val="0"/>
          <w:numId w:val="17"/>
        </w:numPr>
        <w:tabs>
          <w:tab w:pos="1183" w:val="left" w:leader="none"/>
        </w:tabs>
        <w:spacing w:line="276" w:lineRule="auto" w:before="0" w:after="0"/>
        <w:ind w:left="1183" w:right="402" w:hanging="360"/>
        <w:jc w:val="both"/>
        <w:rPr>
          <w:sz w:val="22"/>
        </w:rPr>
      </w:pPr>
      <w:r>
        <w:rPr>
          <w:sz w:val="22"/>
        </w:rPr>
        <w:t>30.4% of Black LGBTQ students reported missing at least one day of school in the last month because they felt unsafe or uncomfortable</w:t>
      </w:r>
      <w:r>
        <w:rPr>
          <w:sz w:val="22"/>
          <w:vertAlign w:val="superscript"/>
        </w:rPr>
        <w:t>31</w:t>
      </w:r>
    </w:p>
    <w:p>
      <w:pPr>
        <w:pStyle w:val="BodyText"/>
        <w:spacing w:line="276" w:lineRule="auto" w:before="239"/>
        <w:ind w:left="463" w:right="402"/>
        <w:jc w:val="both"/>
      </w:pPr>
      <w:r>
        <w:rPr/>
        <w:t>These intersections of oppression, based specifically on sexual orientation, gender expression, and race/ethnicity, and their cumulative impacts are experienced differently or not at all by white LGBTQ students and thus deserve specific consideration. Educators and administrators should engage in consistent professional development (i.e., trainings, workshops, professional learning communities, etc.) related to gender, sexuality, race, ethnicity, and their intersections, including self-reflection and skill building for supporting BIPOC LGBTQ students.</w:t>
      </w:r>
    </w:p>
    <w:p>
      <w:pPr>
        <w:pStyle w:val="BodyText"/>
        <w:spacing w:line="276" w:lineRule="auto" w:before="241"/>
        <w:ind w:left="464" w:right="399"/>
        <w:jc w:val="both"/>
      </w:pPr>
      <w:r>
        <w:rPr/>
        <w:t>Additionally, inclusive policies should be crafted with BIPOC and other marginalized LGBTQ youth in mind, striving to create safe, affirming, and celebratory educational environments for the most marginalized students. According to the National Education Association and Centers for Disease Control</w:t>
      </w:r>
      <w:r>
        <w:rPr>
          <w:spacing w:val="-1"/>
        </w:rPr>
        <w:t> </w:t>
      </w:r>
      <w:r>
        <w:rPr/>
        <w:t>and Prevention respectively, culturally responsive</w:t>
      </w:r>
      <w:r>
        <w:rPr>
          <w:spacing w:val="-1"/>
        </w:rPr>
        <w:t> </w:t>
      </w:r>
      <w:r>
        <w:rPr/>
        <w:t>and racially inclusive education benefits </w:t>
      </w:r>
      <w:r>
        <w:rPr>
          <w:i/>
        </w:rPr>
        <w:t>all</w:t>
      </w:r>
      <w:r>
        <w:rPr>
          <w:i/>
        </w:rPr>
        <w:t> </w:t>
      </w:r>
      <w:r>
        <w:rPr/>
        <w:t>students</w:t>
      </w:r>
      <w:hyperlink w:history="true" w:anchor="_bookmark56">
        <w:r>
          <w:rPr>
            <w:vertAlign w:val="superscript"/>
          </w:rPr>
          <w:t>17</w:t>
        </w:r>
      </w:hyperlink>
      <w:r>
        <w:rPr>
          <w:spacing w:val="-3"/>
          <w:vertAlign w:val="baseline"/>
        </w:rPr>
        <w:t> </w:t>
      </w:r>
      <w:r>
        <w:rPr>
          <w:vertAlign w:val="baseline"/>
        </w:rPr>
        <w:t>and in schools with LGBTQ supportive policies and practices, </w:t>
      </w:r>
      <w:r>
        <w:rPr>
          <w:i/>
          <w:vertAlign w:val="baseline"/>
        </w:rPr>
        <w:t>all </w:t>
      </w:r>
      <w:r>
        <w:rPr>
          <w:vertAlign w:val="baseline"/>
        </w:rPr>
        <w:t>students experience less emotional distress, less violence and harassment, and less suicidal thoughts and behaviors.</w:t>
      </w:r>
      <w:r>
        <w:rPr>
          <w:spacing w:val="-13"/>
          <w:vertAlign w:val="baseline"/>
        </w:rPr>
        <w:t> </w:t>
      </w:r>
      <w:hyperlink w:history="true" w:anchor="_bookmark57">
        <w:r>
          <w:rPr>
            <w:vertAlign w:val="superscript"/>
          </w:rPr>
          <w:t>18</w:t>
        </w:r>
      </w:hyperlink>
      <w:r>
        <w:rPr>
          <w:vertAlign w:val="baseline"/>
        </w:rPr>
        <w:t> If Massachusetts</w:t>
      </w:r>
      <w:r>
        <w:rPr>
          <w:spacing w:val="-7"/>
          <w:vertAlign w:val="baseline"/>
        </w:rPr>
        <w:t> </w:t>
      </w:r>
      <w:r>
        <w:rPr>
          <w:vertAlign w:val="baseline"/>
        </w:rPr>
        <w:t>schools</w:t>
      </w:r>
      <w:r>
        <w:rPr>
          <w:spacing w:val="-7"/>
          <w:vertAlign w:val="baseline"/>
        </w:rPr>
        <w:t> </w:t>
      </w:r>
      <w:r>
        <w:rPr>
          <w:vertAlign w:val="baseline"/>
        </w:rPr>
        <w:t>are</w:t>
      </w:r>
      <w:r>
        <w:rPr>
          <w:spacing w:val="-8"/>
          <w:vertAlign w:val="baseline"/>
        </w:rPr>
        <w:t> </w:t>
      </w:r>
      <w:r>
        <w:rPr>
          <w:vertAlign w:val="baseline"/>
        </w:rPr>
        <w:t>welcoming</w:t>
      </w:r>
      <w:r>
        <w:rPr>
          <w:spacing w:val="-8"/>
          <w:vertAlign w:val="baseline"/>
        </w:rPr>
        <w:t> </w:t>
      </w:r>
      <w:r>
        <w:rPr>
          <w:vertAlign w:val="baseline"/>
        </w:rPr>
        <w:t>for</w:t>
      </w:r>
      <w:r>
        <w:rPr>
          <w:spacing w:val="-7"/>
          <w:vertAlign w:val="baseline"/>
        </w:rPr>
        <w:t> </w:t>
      </w:r>
      <w:r>
        <w:rPr>
          <w:vertAlign w:val="baseline"/>
        </w:rPr>
        <w:t>BIPOC,</w:t>
      </w:r>
      <w:r>
        <w:rPr>
          <w:spacing w:val="-7"/>
          <w:vertAlign w:val="baseline"/>
        </w:rPr>
        <w:t> </w:t>
      </w:r>
      <w:r>
        <w:rPr>
          <w:vertAlign w:val="baseline"/>
        </w:rPr>
        <w:t>disabled,</w:t>
      </w:r>
      <w:r>
        <w:rPr>
          <w:spacing w:val="-7"/>
          <w:vertAlign w:val="baseline"/>
        </w:rPr>
        <w:t> </w:t>
      </w:r>
      <w:r>
        <w:rPr>
          <w:vertAlign w:val="baseline"/>
        </w:rPr>
        <w:t>poor,</w:t>
      </w:r>
      <w:r>
        <w:rPr>
          <w:spacing w:val="-7"/>
          <w:vertAlign w:val="baseline"/>
        </w:rPr>
        <w:t> </w:t>
      </w:r>
      <w:r>
        <w:rPr>
          <w:vertAlign w:val="baseline"/>
        </w:rPr>
        <w:t>and/or</w:t>
      </w:r>
      <w:r>
        <w:rPr>
          <w:spacing w:val="-7"/>
          <w:vertAlign w:val="baseline"/>
        </w:rPr>
        <w:t> </w:t>
      </w:r>
      <w:r>
        <w:rPr>
          <w:vertAlign w:val="baseline"/>
        </w:rPr>
        <w:t>immigrant</w:t>
      </w:r>
      <w:r>
        <w:rPr>
          <w:spacing w:val="-8"/>
          <w:vertAlign w:val="baseline"/>
        </w:rPr>
        <w:t> </w:t>
      </w:r>
      <w:r>
        <w:rPr>
          <w:vertAlign w:val="baseline"/>
        </w:rPr>
        <w:t>LGBTQ</w:t>
      </w:r>
      <w:r>
        <w:rPr>
          <w:spacing w:val="-8"/>
          <w:vertAlign w:val="baseline"/>
        </w:rPr>
        <w:t> </w:t>
      </w:r>
      <w:r>
        <w:rPr>
          <w:vertAlign w:val="baseline"/>
        </w:rPr>
        <w:t>youth,</w:t>
      </w:r>
      <w:r>
        <w:rPr>
          <w:spacing w:val="-7"/>
          <w:vertAlign w:val="baseline"/>
        </w:rPr>
        <w:t> </w:t>
      </w:r>
      <w:r>
        <w:rPr>
          <w:vertAlign w:val="baseline"/>
        </w:rPr>
        <w:t>they will be welcoming for all students. However, not much is known about the specific experiences of BIPOC</w:t>
      </w:r>
      <w:r>
        <w:rPr>
          <w:spacing w:val="-6"/>
          <w:vertAlign w:val="baseline"/>
        </w:rPr>
        <w:t> </w:t>
      </w:r>
      <w:r>
        <w:rPr>
          <w:vertAlign w:val="baseline"/>
        </w:rPr>
        <w:t>LGBTQ</w:t>
      </w:r>
      <w:r>
        <w:rPr>
          <w:spacing w:val="-5"/>
          <w:vertAlign w:val="baseline"/>
        </w:rPr>
        <w:t> </w:t>
      </w:r>
      <w:r>
        <w:rPr>
          <w:vertAlign w:val="baseline"/>
        </w:rPr>
        <w:t>youth</w:t>
      </w:r>
      <w:r>
        <w:rPr>
          <w:spacing w:val="-5"/>
          <w:vertAlign w:val="baseline"/>
        </w:rPr>
        <w:t> </w:t>
      </w:r>
      <w:r>
        <w:rPr>
          <w:vertAlign w:val="baseline"/>
        </w:rPr>
        <w:t>in</w:t>
      </w:r>
      <w:r>
        <w:rPr>
          <w:spacing w:val="-5"/>
          <w:vertAlign w:val="baseline"/>
        </w:rPr>
        <w:t> </w:t>
      </w:r>
      <w:r>
        <w:rPr>
          <w:vertAlign w:val="baseline"/>
        </w:rPr>
        <w:t>the</w:t>
      </w:r>
      <w:r>
        <w:rPr>
          <w:spacing w:val="-4"/>
          <w:vertAlign w:val="baseline"/>
        </w:rPr>
        <w:t> </w:t>
      </w:r>
      <w:r>
        <w:rPr>
          <w:vertAlign w:val="baseline"/>
        </w:rPr>
        <w:t>Commonwealth.</w:t>
      </w:r>
      <w:r>
        <w:rPr>
          <w:spacing w:val="-5"/>
          <w:vertAlign w:val="baseline"/>
        </w:rPr>
        <w:t> </w:t>
      </w:r>
      <w:r>
        <w:rPr>
          <w:vertAlign w:val="baseline"/>
        </w:rPr>
        <w:t>As</w:t>
      </w:r>
      <w:r>
        <w:rPr>
          <w:spacing w:val="-6"/>
          <w:vertAlign w:val="baseline"/>
        </w:rPr>
        <w:t> </w:t>
      </w:r>
      <w:r>
        <w:rPr>
          <w:vertAlign w:val="baseline"/>
        </w:rPr>
        <w:t>such,</w:t>
      </w:r>
      <w:r>
        <w:rPr>
          <w:spacing w:val="-5"/>
          <w:vertAlign w:val="baseline"/>
        </w:rPr>
        <w:t> </w:t>
      </w:r>
      <w:r>
        <w:rPr>
          <w:vertAlign w:val="baseline"/>
        </w:rPr>
        <w:t>administrators</w:t>
      </w:r>
      <w:r>
        <w:rPr>
          <w:spacing w:val="-5"/>
          <w:vertAlign w:val="baseline"/>
        </w:rPr>
        <w:t> </w:t>
      </w:r>
      <w:r>
        <w:rPr>
          <w:vertAlign w:val="baseline"/>
        </w:rPr>
        <w:t>and</w:t>
      </w:r>
      <w:r>
        <w:rPr>
          <w:spacing w:val="-5"/>
          <w:vertAlign w:val="baseline"/>
        </w:rPr>
        <w:t> </w:t>
      </w:r>
      <w:r>
        <w:rPr>
          <w:vertAlign w:val="baseline"/>
        </w:rPr>
        <w:t>policymakers</w:t>
      </w:r>
      <w:r>
        <w:rPr>
          <w:spacing w:val="-6"/>
          <w:vertAlign w:val="baseline"/>
        </w:rPr>
        <w:t> </w:t>
      </w:r>
      <w:r>
        <w:rPr>
          <w:vertAlign w:val="baseline"/>
        </w:rPr>
        <w:t>should</w:t>
      </w:r>
      <w:r>
        <w:rPr>
          <w:spacing w:val="-4"/>
          <w:vertAlign w:val="baseline"/>
        </w:rPr>
        <w:t> </w:t>
      </w:r>
      <w:r>
        <w:rPr>
          <w:vertAlign w:val="baseline"/>
        </w:rPr>
        <w:t>dedicate resources to collecting data on these students’ experiences with school climate in Massachusetts so that they can be better understood and addressed.</w:t>
      </w:r>
    </w:p>
    <w:p>
      <w:pPr>
        <w:spacing w:after="0" w:line="276" w:lineRule="auto"/>
        <w:jc w:val="both"/>
        <w:sectPr>
          <w:pgSz w:w="12240" w:h="15840"/>
          <w:pgMar w:header="763" w:footer="1041" w:top="1140" w:bottom="1240" w:left="1120" w:right="1180"/>
        </w:sectPr>
      </w:pPr>
    </w:p>
    <w:p>
      <w:pPr>
        <w:pStyle w:val="BodyText"/>
        <w:spacing w:line="276" w:lineRule="auto" w:before="66"/>
        <w:ind w:left="463" w:right="401"/>
        <w:jc w:val="both"/>
      </w:pPr>
      <w:r>
        <w:rPr/>
        <w:t>Although BIPOC LGBTQ youth have a higher chance of being at risk for negative mental and physical health outcomes than white LGBTQ youth, it is critically important to note that Black LGBTQ+ youth (and BIPOC LGBTQ+ youth in general) are not only victims, but are fully agentic, even when intentionally</w:t>
      </w:r>
      <w:r>
        <w:rPr>
          <w:spacing w:val="-5"/>
        </w:rPr>
        <w:t> </w:t>
      </w:r>
      <w:r>
        <w:rPr/>
        <w:t>deciding</w:t>
      </w:r>
      <w:r>
        <w:rPr>
          <w:spacing w:val="-5"/>
        </w:rPr>
        <w:t> </w:t>
      </w:r>
      <w:r>
        <w:rPr/>
        <w:t>to</w:t>
      </w:r>
      <w:r>
        <w:rPr>
          <w:spacing w:val="-5"/>
        </w:rPr>
        <w:t> </w:t>
      </w:r>
      <w:r>
        <w:rPr/>
        <w:t>conceal</w:t>
      </w:r>
      <w:r>
        <w:rPr>
          <w:spacing w:val="-5"/>
        </w:rPr>
        <w:t> </w:t>
      </w:r>
      <w:r>
        <w:rPr/>
        <w:t>their</w:t>
      </w:r>
      <w:r>
        <w:rPr>
          <w:spacing w:val="-5"/>
        </w:rPr>
        <w:t> </w:t>
      </w:r>
      <w:r>
        <w:rPr/>
        <w:t>queer</w:t>
      </w:r>
      <w:r>
        <w:rPr>
          <w:spacing w:val="-6"/>
        </w:rPr>
        <w:t> </w:t>
      </w:r>
      <w:r>
        <w:rPr/>
        <w:t>and</w:t>
      </w:r>
      <w:r>
        <w:rPr>
          <w:spacing w:val="-5"/>
        </w:rPr>
        <w:t> </w:t>
      </w:r>
      <w:r>
        <w:rPr/>
        <w:t>trans</w:t>
      </w:r>
      <w:r>
        <w:rPr>
          <w:spacing w:val="-6"/>
        </w:rPr>
        <w:t> </w:t>
      </w:r>
      <w:r>
        <w:rPr/>
        <w:t>identities</w:t>
      </w:r>
      <w:r>
        <w:rPr>
          <w:spacing w:val="-5"/>
        </w:rPr>
        <w:t> </w:t>
      </w:r>
      <w:r>
        <w:rPr/>
        <w:t>at</w:t>
      </w:r>
      <w:r>
        <w:rPr>
          <w:spacing w:val="-6"/>
        </w:rPr>
        <w:t> </w:t>
      </w:r>
      <w:r>
        <w:rPr/>
        <w:t>school</w:t>
      </w:r>
      <w:r>
        <w:rPr>
          <w:spacing w:val="-6"/>
        </w:rPr>
        <w:t> </w:t>
      </w:r>
      <w:r>
        <w:rPr/>
        <w:t>for</w:t>
      </w:r>
      <w:r>
        <w:rPr>
          <w:spacing w:val="-6"/>
        </w:rPr>
        <w:t> </w:t>
      </w:r>
      <w:r>
        <w:rPr/>
        <w:t>safety</w:t>
      </w:r>
      <w:r>
        <w:rPr>
          <w:spacing w:val="-6"/>
        </w:rPr>
        <w:t> </w:t>
      </w:r>
      <w:r>
        <w:rPr/>
        <w:t>and</w:t>
      </w:r>
      <w:r>
        <w:rPr>
          <w:spacing w:val="-6"/>
        </w:rPr>
        <w:t> </w:t>
      </w:r>
      <w:r>
        <w:rPr/>
        <w:t>security.</w:t>
      </w:r>
      <w:r>
        <w:rPr>
          <w:spacing w:val="-5"/>
        </w:rPr>
        <w:t> </w:t>
      </w:r>
      <w:r>
        <w:rPr/>
        <w:t>One study</w:t>
      </w:r>
      <w:r>
        <w:rPr>
          <w:spacing w:val="-3"/>
        </w:rPr>
        <w:t> </w:t>
      </w:r>
      <w:r>
        <w:rPr/>
        <w:t>found</w:t>
      </w:r>
      <w:r>
        <w:rPr>
          <w:spacing w:val="-2"/>
        </w:rPr>
        <w:t> </w:t>
      </w:r>
      <w:r>
        <w:rPr/>
        <w:t>that</w:t>
      </w:r>
      <w:r>
        <w:rPr>
          <w:spacing w:val="-3"/>
        </w:rPr>
        <w:t> </w:t>
      </w:r>
      <w:r>
        <w:rPr/>
        <w:t>when</w:t>
      </w:r>
      <w:r>
        <w:rPr>
          <w:spacing w:val="-3"/>
        </w:rPr>
        <w:t> </w:t>
      </w:r>
      <w:r>
        <w:rPr/>
        <w:t>able</w:t>
      </w:r>
      <w:r>
        <w:rPr>
          <w:spacing w:val="-3"/>
        </w:rPr>
        <w:t> </w:t>
      </w:r>
      <w:r>
        <w:rPr/>
        <w:t>to</w:t>
      </w:r>
      <w:r>
        <w:rPr>
          <w:spacing w:val="-2"/>
        </w:rPr>
        <w:t> </w:t>
      </w:r>
      <w:r>
        <w:rPr/>
        <w:t>exist</w:t>
      </w:r>
      <w:r>
        <w:rPr>
          <w:spacing w:val="-2"/>
        </w:rPr>
        <w:t> </w:t>
      </w:r>
      <w:r>
        <w:rPr/>
        <w:t>in</w:t>
      </w:r>
      <w:r>
        <w:rPr>
          <w:spacing w:val="-3"/>
        </w:rPr>
        <w:t> </w:t>
      </w:r>
      <w:r>
        <w:rPr/>
        <w:t>spaces</w:t>
      </w:r>
      <w:r>
        <w:rPr>
          <w:spacing w:val="-3"/>
        </w:rPr>
        <w:t> </w:t>
      </w:r>
      <w:r>
        <w:rPr/>
        <w:t>outside</w:t>
      </w:r>
      <w:r>
        <w:rPr>
          <w:spacing w:val="-2"/>
        </w:rPr>
        <w:t> </w:t>
      </w:r>
      <w:r>
        <w:rPr/>
        <w:t>of</w:t>
      </w:r>
      <w:r>
        <w:rPr>
          <w:spacing w:val="-3"/>
        </w:rPr>
        <w:t> </w:t>
      </w:r>
      <w:r>
        <w:rPr/>
        <w:t>those</w:t>
      </w:r>
      <w:r>
        <w:rPr>
          <w:spacing w:val="-2"/>
        </w:rPr>
        <w:t> </w:t>
      </w:r>
      <w:r>
        <w:rPr/>
        <w:t>governed</w:t>
      </w:r>
      <w:r>
        <w:rPr>
          <w:spacing w:val="-2"/>
        </w:rPr>
        <w:t> </w:t>
      </w:r>
      <w:r>
        <w:rPr/>
        <w:t>by</w:t>
      </w:r>
      <w:r>
        <w:rPr>
          <w:spacing w:val="-3"/>
        </w:rPr>
        <w:t> </w:t>
      </w:r>
      <w:r>
        <w:rPr/>
        <w:t>whiteness,</w:t>
      </w:r>
      <w:r>
        <w:rPr>
          <w:spacing w:val="-3"/>
        </w:rPr>
        <w:t> </w:t>
      </w:r>
      <w:r>
        <w:rPr/>
        <w:t>cisnormativity, heteronormativity, etc., such as in ballroom spaces, Black LGBTQ+ youth can access “a radical Black LGBTQ+ creative imagination” (p. 113) that is transformative for themselves and others.</w:t>
      </w:r>
      <w:hyperlink w:history="true" w:anchor="_bookmark58">
        <w:r>
          <w:rPr>
            <w:vertAlign w:val="superscript"/>
          </w:rPr>
          <w:t>19</w:t>
        </w:r>
      </w:hyperlink>
    </w:p>
    <w:p>
      <w:pPr>
        <w:pStyle w:val="BodyText"/>
        <w:spacing w:line="276" w:lineRule="auto" w:before="239"/>
        <w:ind w:left="463" w:right="401"/>
        <w:jc w:val="both"/>
      </w:pPr>
      <w:r>
        <w:rPr/>
        <w:t>Another</w:t>
      </w:r>
      <w:r>
        <w:rPr>
          <w:spacing w:val="-11"/>
        </w:rPr>
        <w:t> </w:t>
      </w:r>
      <w:r>
        <w:rPr/>
        <w:t>primary</w:t>
      </w:r>
      <w:r>
        <w:rPr>
          <w:spacing w:val="-12"/>
        </w:rPr>
        <w:t> </w:t>
      </w:r>
      <w:r>
        <w:rPr/>
        <w:t>area</w:t>
      </w:r>
      <w:r>
        <w:rPr>
          <w:spacing w:val="-12"/>
        </w:rPr>
        <w:t> </w:t>
      </w:r>
      <w:r>
        <w:rPr/>
        <w:t>of</w:t>
      </w:r>
      <w:r>
        <w:rPr>
          <w:spacing w:val="-12"/>
        </w:rPr>
        <w:t> </w:t>
      </w:r>
      <w:r>
        <w:rPr/>
        <w:t>concern</w:t>
      </w:r>
      <w:r>
        <w:rPr>
          <w:spacing w:val="-11"/>
        </w:rPr>
        <w:t> </w:t>
      </w:r>
      <w:r>
        <w:rPr/>
        <w:t>in</w:t>
      </w:r>
      <w:r>
        <w:rPr>
          <w:spacing w:val="-11"/>
        </w:rPr>
        <w:t> </w:t>
      </w:r>
      <w:r>
        <w:rPr/>
        <w:t>current</w:t>
      </w:r>
      <w:r>
        <w:rPr>
          <w:spacing w:val="-13"/>
        </w:rPr>
        <w:t> </w:t>
      </w:r>
      <w:r>
        <w:rPr/>
        <w:t>literature</w:t>
      </w:r>
      <w:r>
        <w:rPr>
          <w:spacing w:val="-10"/>
        </w:rPr>
        <w:t> </w:t>
      </w:r>
      <w:r>
        <w:rPr/>
        <w:t>is</w:t>
      </w:r>
      <w:r>
        <w:rPr>
          <w:spacing w:val="-12"/>
        </w:rPr>
        <w:t> </w:t>
      </w:r>
      <w:r>
        <w:rPr/>
        <w:t>LGBTQ</w:t>
      </w:r>
      <w:r>
        <w:rPr>
          <w:spacing w:val="-11"/>
        </w:rPr>
        <w:t> </w:t>
      </w:r>
      <w:r>
        <w:rPr/>
        <w:t>youth’s</w:t>
      </w:r>
      <w:r>
        <w:rPr>
          <w:spacing w:val="-12"/>
        </w:rPr>
        <w:t> </w:t>
      </w:r>
      <w:r>
        <w:rPr/>
        <w:t>experience</w:t>
      </w:r>
      <w:r>
        <w:rPr>
          <w:spacing w:val="-12"/>
        </w:rPr>
        <w:t> </w:t>
      </w:r>
      <w:r>
        <w:rPr/>
        <w:t>with</w:t>
      </w:r>
      <w:r>
        <w:rPr>
          <w:spacing w:val="-12"/>
        </w:rPr>
        <w:t> </w:t>
      </w:r>
      <w:r>
        <w:rPr/>
        <w:t>sexual</w:t>
      </w:r>
      <w:r>
        <w:rPr>
          <w:spacing w:val="-12"/>
        </w:rPr>
        <w:t> </w:t>
      </w:r>
      <w:r>
        <w:rPr/>
        <w:t>violence and the role schools play in not only in interrupting this violence, but also in supporting survivors. LGBTQ youth experience higher rates of sexual</w:t>
      </w:r>
      <w:r>
        <w:rPr>
          <w:spacing w:val="-1"/>
        </w:rPr>
        <w:t> </w:t>
      </w:r>
      <w:r>
        <w:rPr/>
        <w:t>violence than their heterosexual and cisgender peers, with transgender and gender non-conforming students at the highest risk.</w:t>
      </w:r>
      <w:r>
        <w:rPr>
          <w:spacing w:val="-13"/>
        </w:rPr>
        <w:t> </w:t>
      </w:r>
      <w:hyperlink w:history="true" w:anchor="_bookmark59">
        <w:r>
          <w:rPr>
            <w:vertAlign w:val="superscript"/>
          </w:rPr>
          <w:t>20</w:t>
        </w:r>
      </w:hyperlink>
      <w:r>
        <w:rPr>
          <w:vertAlign w:val="superscript"/>
        </w:rPr>
        <w:t>,</w:t>
      </w:r>
      <w:hyperlink w:history="true" w:anchor="_bookmark60">
        <w:r>
          <w:rPr>
            <w:vertAlign w:val="superscript"/>
          </w:rPr>
          <w:t>21</w:t>
        </w:r>
      </w:hyperlink>
      <w:r>
        <w:rPr>
          <w:vertAlign w:val="baseline"/>
        </w:rPr>
        <w:t> A survey of 39,126 LGBTQ youth between the ages of 13-24 in the U.S. found that 11% of LGBTQ youth who were in a relationship</w:t>
      </w:r>
      <w:r>
        <w:rPr>
          <w:spacing w:val="-13"/>
          <w:vertAlign w:val="baseline"/>
        </w:rPr>
        <w:t> </w:t>
      </w:r>
      <w:r>
        <w:rPr>
          <w:vertAlign w:val="baseline"/>
        </w:rPr>
        <w:t>in</w:t>
      </w:r>
      <w:r>
        <w:rPr>
          <w:spacing w:val="-12"/>
          <w:vertAlign w:val="baseline"/>
        </w:rPr>
        <w:t> </w:t>
      </w:r>
      <w:r>
        <w:rPr>
          <w:vertAlign w:val="baseline"/>
        </w:rPr>
        <w:t>the</w:t>
      </w:r>
      <w:r>
        <w:rPr>
          <w:spacing w:val="-13"/>
          <w:vertAlign w:val="baseline"/>
        </w:rPr>
        <w:t> </w:t>
      </w:r>
      <w:r>
        <w:rPr>
          <w:vertAlign w:val="baseline"/>
        </w:rPr>
        <w:t>past</w:t>
      </w:r>
      <w:r>
        <w:rPr>
          <w:spacing w:val="-12"/>
          <w:vertAlign w:val="baseline"/>
        </w:rPr>
        <w:t> </w:t>
      </w:r>
      <w:r>
        <w:rPr>
          <w:vertAlign w:val="baseline"/>
        </w:rPr>
        <w:t>year</w:t>
      </w:r>
      <w:r>
        <w:rPr>
          <w:spacing w:val="-13"/>
          <w:vertAlign w:val="baseline"/>
        </w:rPr>
        <w:t> </w:t>
      </w:r>
      <w:r>
        <w:rPr>
          <w:vertAlign w:val="baseline"/>
        </w:rPr>
        <w:t>experienced</w:t>
      </w:r>
      <w:r>
        <w:rPr>
          <w:spacing w:val="-12"/>
          <w:vertAlign w:val="baseline"/>
        </w:rPr>
        <w:t> </w:t>
      </w:r>
      <w:r>
        <w:rPr>
          <w:vertAlign w:val="baseline"/>
        </w:rPr>
        <w:t>physical</w:t>
      </w:r>
      <w:r>
        <w:rPr>
          <w:spacing w:val="-13"/>
          <w:vertAlign w:val="baseline"/>
        </w:rPr>
        <w:t> </w:t>
      </w:r>
      <w:r>
        <w:rPr>
          <w:vertAlign w:val="baseline"/>
        </w:rPr>
        <w:t>dating</w:t>
      </w:r>
      <w:r>
        <w:rPr>
          <w:spacing w:val="-12"/>
          <w:vertAlign w:val="baseline"/>
        </w:rPr>
        <w:t> </w:t>
      </w:r>
      <w:r>
        <w:rPr>
          <w:vertAlign w:val="baseline"/>
        </w:rPr>
        <w:t>violence</w:t>
      </w:r>
      <w:r>
        <w:rPr>
          <w:spacing w:val="-12"/>
          <w:vertAlign w:val="baseline"/>
        </w:rPr>
        <w:t> </w:t>
      </w:r>
      <w:r>
        <w:rPr>
          <w:vertAlign w:val="baseline"/>
        </w:rPr>
        <w:t>victimization</w:t>
      </w:r>
      <w:r>
        <w:rPr>
          <w:spacing w:val="-13"/>
          <w:vertAlign w:val="baseline"/>
        </w:rPr>
        <w:t> </w:t>
      </w:r>
      <w:r>
        <w:rPr>
          <w:vertAlign w:val="baseline"/>
        </w:rPr>
        <w:t>and</w:t>
      </w:r>
      <w:r>
        <w:rPr>
          <w:spacing w:val="-12"/>
          <w:vertAlign w:val="baseline"/>
        </w:rPr>
        <w:t> </w:t>
      </w:r>
      <w:r>
        <w:rPr>
          <w:vertAlign w:val="baseline"/>
        </w:rPr>
        <w:t>that</w:t>
      </w:r>
      <w:r>
        <w:rPr>
          <w:spacing w:val="-13"/>
          <w:vertAlign w:val="baseline"/>
        </w:rPr>
        <w:t> </w:t>
      </w:r>
      <w:r>
        <w:rPr>
          <w:vertAlign w:val="baseline"/>
        </w:rPr>
        <w:t>physical</w:t>
      </w:r>
      <w:r>
        <w:rPr>
          <w:spacing w:val="-12"/>
          <w:vertAlign w:val="baseline"/>
        </w:rPr>
        <w:t> </w:t>
      </w:r>
      <w:r>
        <w:rPr>
          <w:vertAlign w:val="baseline"/>
        </w:rPr>
        <w:t>dating violence victimization in the past year was associated with nearly 4 times rate of suicide attempts in the past year. LGBTQ youth with multiple marginalized identities, including being BIPOC and/or poor, were at increased risk to experience dating violence.</w:t>
      </w:r>
      <w:hyperlink w:history="true" w:anchor="_bookmark61">
        <w:r>
          <w:rPr>
            <w:vertAlign w:val="superscript"/>
          </w:rPr>
          <w:t>22</w:t>
        </w:r>
      </w:hyperlink>
    </w:p>
    <w:p>
      <w:pPr>
        <w:pStyle w:val="BodyText"/>
        <w:spacing w:line="276" w:lineRule="auto" w:before="241"/>
        <w:ind w:left="463" w:right="401"/>
        <w:jc w:val="both"/>
      </w:pPr>
      <w:r>
        <w:rPr/>
        <w:t>To best support the most at-risk LGBTQ+ students, educators and school staff need intersectional training around gender, sexuality, sexual violence, and sex trading. This training should include “trauma-informed, healing-focused, and affirming approaches; having an understanding of sexual exploitation; responding in a nonjudgmental and non-pathologizing manner; and deconstructing and challenging dominant narratives and expectations of gender and sexuality (p. 506).”</w:t>
      </w:r>
      <w:hyperlink w:history="true" w:anchor="_bookmark62">
        <w:r>
          <w:rPr>
            <w:vertAlign w:val="superscript"/>
          </w:rPr>
          <w:t>23</w:t>
        </w:r>
      </w:hyperlink>
      <w:r>
        <w:rPr>
          <w:spacing w:val="-3"/>
          <w:vertAlign w:val="baseline"/>
        </w:rPr>
        <w:t> </w:t>
      </w:r>
      <w:r>
        <w:rPr>
          <w:vertAlign w:val="baseline"/>
        </w:rPr>
        <w:t>A recent study of</w:t>
      </w:r>
      <w:r>
        <w:rPr>
          <w:spacing w:val="-3"/>
          <w:vertAlign w:val="baseline"/>
        </w:rPr>
        <w:t> </w:t>
      </w:r>
      <w:r>
        <w:rPr>
          <w:vertAlign w:val="baseline"/>
        </w:rPr>
        <w:t>high</w:t>
      </w:r>
      <w:r>
        <w:rPr>
          <w:spacing w:val="-3"/>
          <w:vertAlign w:val="baseline"/>
        </w:rPr>
        <w:t> </w:t>
      </w:r>
      <w:r>
        <w:rPr>
          <w:vertAlign w:val="baseline"/>
        </w:rPr>
        <w:t>school</w:t>
      </w:r>
      <w:r>
        <w:rPr>
          <w:spacing w:val="-3"/>
          <w:vertAlign w:val="baseline"/>
        </w:rPr>
        <w:t> </w:t>
      </w:r>
      <w:r>
        <w:rPr>
          <w:vertAlign w:val="baseline"/>
        </w:rPr>
        <w:t>youth</w:t>
      </w:r>
      <w:r>
        <w:rPr>
          <w:spacing w:val="-3"/>
          <w:vertAlign w:val="baseline"/>
        </w:rPr>
        <w:t> </w:t>
      </w:r>
      <w:r>
        <w:rPr>
          <w:vertAlign w:val="baseline"/>
        </w:rPr>
        <w:t>in</w:t>
      </w:r>
      <w:r>
        <w:rPr>
          <w:spacing w:val="-3"/>
          <w:vertAlign w:val="baseline"/>
        </w:rPr>
        <w:t> </w:t>
      </w:r>
      <w:r>
        <w:rPr>
          <w:vertAlign w:val="baseline"/>
        </w:rPr>
        <w:t>Minnesota</w:t>
      </w:r>
      <w:r>
        <w:rPr>
          <w:spacing w:val="-3"/>
          <w:vertAlign w:val="baseline"/>
        </w:rPr>
        <w:t> </w:t>
      </w:r>
      <w:r>
        <w:rPr>
          <w:vertAlign w:val="baseline"/>
        </w:rPr>
        <w:t>found</w:t>
      </w:r>
      <w:r>
        <w:rPr>
          <w:spacing w:val="-3"/>
          <w:vertAlign w:val="baseline"/>
        </w:rPr>
        <w:t> </w:t>
      </w:r>
      <w:r>
        <w:rPr>
          <w:vertAlign w:val="baseline"/>
        </w:rPr>
        <w:t>that</w:t>
      </w:r>
      <w:r>
        <w:rPr>
          <w:spacing w:val="-2"/>
          <w:vertAlign w:val="baseline"/>
        </w:rPr>
        <w:t> </w:t>
      </w:r>
      <w:r>
        <w:rPr>
          <w:vertAlign w:val="baseline"/>
        </w:rPr>
        <w:t>for</w:t>
      </w:r>
      <w:r>
        <w:rPr>
          <w:spacing w:val="-3"/>
          <w:vertAlign w:val="baseline"/>
        </w:rPr>
        <w:t> </w:t>
      </w:r>
      <w:r>
        <w:rPr>
          <w:vertAlign w:val="baseline"/>
        </w:rPr>
        <w:t>9th</w:t>
      </w:r>
      <w:r>
        <w:rPr>
          <w:spacing w:val="-2"/>
          <w:vertAlign w:val="baseline"/>
        </w:rPr>
        <w:t> </w:t>
      </w:r>
      <w:r>
        <w:rPr>
          <w:vertAlign w:val="baseline"/>
        </w:rPr>
        <w:t>and</w:t>
      </w:r>
      <w:r>
        <w:rPr>
          <w:spacing w:val="-3"/>
          <w:vertAlign w:val="baseline"/>
        </w:rPr>
        <w:t> </w:t>
      </w:r>
      <w:r>
        <w:rPr>
          <w:vertAlign w:val="baseline"/>
        </w:rPr>
        <w:t>11th</w:t>
      </w:r>
      <w:r>
        <w:rPr>
          <w:spacing w:val="-2"/>
          <w:vertAlign w:val="baseline"/>
        </w:rPr>
        <w:t> </w:t>
      </w:r>
      <w:r>
        <w:rPr>
          <w:vertAlign w:val="baseline"/>
        </w:rPr>
        <w:t>graders</w:t>
      </w:r>
      <w:r>
        <w:rPr>
          <w:spacing w:val="-3"/>
          <w:vertAlign w:val="baseline"/>
        </w:rPr>
        <w:t> </w:t>
      </w:r>
      <w:r>
        <w:rPr>
          <w:vertAlign w:val="baseline"/>
        </w:rPr>
        <w:t>who</w:t>
      </w:r>
      <w:r>
        <w:rPr>
          <w:spacing w:val="-2"/>
          <w:vertAlign w:val="baseline"/>
        </w:rPr>
        <w:t> </w:t>
      </w:r>
      <w:r>
        <w:rPr>
          <w:vertAlign w:val="baseline"/>
        </w:rPr>
        <w:t>completed</w:t>
      </w:r>
      <w:r>
        <w:rPr>
          <w:spacing w:val="-2"/>
          <w:vertAlign w:val="baseline"/>
        </w:rPr>
        <w:t> </w:t>
      </w:r>
      <w:r>
        <w:rPr>
          <w:vertAlign w:val="baseline"/>
        </w:rPr>
        <w:t>the</w:t>
      </w:r>
      <w:r>
        <w:rPr>
          <w:spacing w:val="-2"/>
          <w:vertAlign w:val="baseline"/>
        </w:rPr>
        <w:t> </w:t>
      </w:r>
      <w:r>
        <w:rPr>
          <w:vertAlign w:val="baseline"/>
        </w:rPr>
        <w:t>Minnesota Student Survey (similar to the youth risk behavior survey), 1.2% of cisgender boys, 1.3% of cisgender girls,</w:t>
      </w:r>
      <w:r>
        <w:rPr>
          <w:spacing w:val="-1"/>
          <w:vertAlign w:val="baseline"/>
        </w:rPr>
        <w:t> </w:t>
      </w:r>
      <w:r>
        <w:rPr>
          <w:vertAlign w:val="baseline"/>
        </w:rPr>
        <w:t>and</w:t>
      </w:r>
      <w:r>
        <w:rPr>
          <w:spacing w:val="-1"/>
          <w:vertAlign w:val="baseline"/>
        </w:rPr>
        <w:t> </w:t>
      </w:r>
      <w:r>
        <w:rPr>
          <w:vertAlign w:val="baseline"/>
        </w:rPr>
        <w:t>5.9%</w:t>
      </w:r>
      <w:r>
        <w:rPr>
          <w:spacing w:val="-2"/>
          <w:vertAlign w:val="baseline"/>
        </w:rPr>
        <w:t> </w:t>
      </w:r>
      <w:r>
        <w:rPr>
          <w:vertAlign w:val="baseline"/>
        </w:rPr>
        <w:t>of trans</w:t>
      </w:r>
      <w:r>
        <w:rPr>
          <w:spacing w:val="-1"/>
          <w:vertAlign w:val="baseline"/>
        </w:rPr>
        <w:t> </w:t>
      </w:r>
      <w:r>
        <w:rPr>
          <w:vertAlign w:val="baseline"/>
        </w:rPr>
        <w:t>and</w:t>
      </w:r>
      <w:r>
        <w:rPr>
          <w:spacing w:val="-2"/>
          <w:vertAlign w:val="baseline"/>
        </w:rPr>
        <w:t> </w:t>
      </w:r>
      <w:r>
        <w:rPr>
          <w:vertAlign w:val="baseline"/>
        </w:rPr>
        <w:t>gender diverse</w:t>
      </w:r>
      <w:r>
        <w:rPr>
          <w:spacing w:val="-2"/>
          <w:vertAlign w:val="baseline"/>
        </w:rPr>
        <w:t> </w:t>
      </w:r>
      <w:r>
        <w:rPr>
          <w:vertAlign w:val="baseline"/>
        </w:rPr>
        <w:t>youth</w:t>
      </w:r>
      <w:r>
        <w:rPr>
          <w:spacing w:val="-1"/>
          <w:vertAlign w:val="baseline"/>
        </w:rPr>
        <w:t> </w:t>
      </w:r>
      <w:r>
        <w:rPr>
          <w:vertAlign w:val="baseline"/>
        </w:rPr>
        <w:t>reported</w:t>
      </w:r>
      <w:r>
        <w:rPr>
          <w:spacing w:val="-1"/>
          <w:vertAlign w:val="baseline"/>
        </w:rPr>
        <w:t> </w:t>
      </w:r>
      <w:r>
        <w:rPr>
          <w:vertAlign w:val="baseline"/>
        </w:rPr>
        <w:t>trading</w:t>
      </w:r>
      <w:r>
        <w:rPr>
          <w:spacing w:val="-1"/>
          <w:vertAlign w:val="baseline"/>
        </w:rPr>
        <w:t> </w:t>
      </w:r>
      <w:r>
        <w:rPr>
          <w:vertAlign w:val="baseline"/>
        </w:rPr>
        <w:t>sex</w:t>
      </w:r>
      <w:r>
        <w:rPr>
          <w:spacing w:val="-1"/>
          <w:vertAlign w:val="baseline"/>
        </w:rPr>
        <w:t> </w:t>
      </w:r>
      <w:r>
        <w:rPr>
          <w:vertAlign w:val="baseline"/>
        </w:rPr>
        <w:t>(exchanging</w:t>
      </w:r>
      <w:r>
        <w:rPr>
          <w:spacing w:val="-2"/>
          <w:vertAlign w:val="baseline"/>
        </w:rPr>
        <w:t> </w:t>
      </w:r>
      <w:r>
        <w:rPr>
          <w:vertAlign w:val="baseline"/>
        </w:rPr>
        <w:t>sexual</w:t>
      </w:r>
      <w:r>
        <w:rPr>
          <w:spacing w:val="-1"/>
          <w:vertAlign w:val="baseline"/>
        </w:rPr>
        <w:t> </w:t>
      </w:r>
      <w:r>
        <w:rPr>
          <w:vertAlign w:val="baseline"/>
        </w:rPr>
        <w:t>services</w:t>
      </w:r>
      <w:r>
        <w:rPr>
          <w:spacing w:val="-1"/>
          <w:vertAlign w:val="baseline"/>
        </w:rPr>
        <w:t> </w:t>
      </w:r>
      <w:r>
        <w:rPr>
          <w:vertAlign w:val="baseline"/>
        </w:rPr>
        <w:t>for money, food, drugs/alcohol, shelter, etc.). Of the trans and gender diverse students who traded sex, over</w:t>
      </w:r>
      <w:r>
        <w:rPr>
          <w:spacing w:val="-6"/>
          <w:vertAlign w:val="baseline"/>
        </w:rPr>
        <w:t> </w:t>
      </w:r>
      <w:r>
        <w:rPr>
          <w:vertAlign w:val="baseline"/>
        </w:rPr>
        <w:t>three</w:t>
      </w:r>
      <w:r>
        <w:rPr>
          <w:spacing w:val="-5"/>
          <w:vertAlign w:val="baseline"/>
        </w:rPr>
        <w:t> </w:t>
      </w:r>
      <w:r>
        <w:rPr>
          <w:vertAlign w:val="baseline"/>
        </w:rPr>
        <w:t>quarters</w:t>
      </w:r>
      <w:r>
        <w:rPr>
          <w:spacing w:val="-6"/>
          <w:vertAlign w:val="baseline"/>
        </w:rPr>
        <w:t> </w:t>
      </w:r>
      <w:r>
        <w:rPr>
          <w:vertAlign w:val="baseline"/>
        </w:rPr>
        <w:t>(75.9%)</w:t>
      </w:r>
      <w:r>
        <w:rPr>
          <w:spacing w:val="-6"/>
          <w:vertAlign w:val="baseline"/>
        </w:rPr>
        <w:t> </w:t>
      </w:r>
      <w:r>
        <w:rPr>
          <w:vertAlign w:val="baseline"/>
        </w:rPr>
        <w:t>reported</w:t>
      </w:r>
      <w:r>
        <w:rPr>
          <w:spacing w:val="-5"/>
          <w:vertAlign w:val="baseline"/>
        </w:rPr>
        <w:t> </w:t>
      </w:r>
      <w:r>
        <w:rPr>
          <w:vertAlign w:val="baseline"/>
        </w:rPr>
        <w:t>a</w:t>
      </w:r>
      <w:r>
        <w:rPr>
          <w:spacing w:val="-6"/>
          <w:vertAlign w:val="baseline"/>
        </w:rPr>
        <w:t> </w:t>
      </w:r>
      <w:r>
        <w:rPr>
          <w:vertAlign w:val="baseline"/>
        </w:rPr>
        <w:t>lifetime</w:t>
      </w:r>
      <w:r>
        <w:rPr>
          <w:spacing w:val="-5"/>
          <w:vertAlign w:val="baseline"/>
        </w:rPr>
        <w:t> </w:t>
      </w:r>
      <w:r>
        <w:rPr>
          <w:vertAlign w:val="baseline"/>
        </w:rPr>
        <w:t>suicide</w:t>
      </w:r>
      <w:r>
        <w:rPr>
          <w:spacing w:val="-7"/>
          <w:vertAlign w:val="baseline"/>
        </w:rPr>
        <w:t> </w:t>
      </w:r>
      <w:r>
        <w:rPr>
          <w:vertAlign w:val="baseline"/>
        </w:rPr>
        <w:t>attempt,</w:t>
      </w:r>
      <w:r>
        <w:rPr>
          <w:spacing w:val="-6"/>
          <w:vertAlign w:val="baseline"/>
        </w:rPr>
        <w:t> </w:t>
      </w:r>
      <w:r>
        <w:rPr>
          <w:vertAlign w:val="baseline"/>
        </w:rPr>
        <w:t>and</w:t>
      </w:r>
      <w:r>
        <w:rPr>
          <w:spacing w:val="-7"/>
          <w:vertAlign w:val="baseline"/>
        </w:rPr>
        <w:t> </w:t>
      </w:r>
      <w:r>
        <w:rPr>
          <w:vertAlign w:val="baseline"/>
        </w:rPr>
        <w:t>86.2%</w:t>
      </w:r>
      <w:r>
        <w:rPr>
          <w:spacing w:val="-5"/>
          <w:vertAlign w:val="baseline"/>
        </w:rPr>
        <w:t> </w:t>
      </w:r>
      <w:r>
        <w:rPr>
          <w:vertAlign w:val="baseline"/>
        </w:rPr>
        <w:t>reported</w:t>
      </w:r>
      <w:r>
        <w:rPr>
          <w:spacing w:val="-5"/>
          <w:vertAlign w:val="baseline"/>
        </w:rPr>
        <w:t> </w:t>
      </w:r>
      <w:r>
        <w:rPr>
          <w:vertAlign w:val="baseline"/>
        </w:rPr>
        <w:t>non-suicidal</w:t>
      </w:r>
      <w:r>
        <w:rPr>
          <w:spacing w:val="-7"/>
          <w:vertAlign w:val="baseline"/>
        </w:rPr>
        <w:t> </w:t>
      </w:r>
      <w:r>
        <w:rPr>
          <w:vertAlign w:val="baseline"/>
        </w:rPr>
        <w:t>self- injury.</w:t>
      </w:r>
      <w:r>
        <w:rPr>
          <w:spacing w:val="-5"/>
          <w:vertAlign w:val="baseline"/>
        </w:rPr>
        <w:t> </w:t>
      </w:r>
      <w:r>
        <w:rPr>
          <w:vertAlign w:val="baseline"/>
        </w:rPr>
        <w:t>Trans</w:t>
      </w:r>
      <w:r>
        <w:rPr>
          <w:spacing w:val="-4"/>
          <w:vertAlign w:val="baseline"/>
        </w:rPr>
        <w:t> </w:t>
      </w:r>
      <w:r>
        <w:rPr>
          <w:vertAlign w:val="baseline"/>
        </w:rPr>
        <w:t>and</w:t>
      </w:r>
      <w:r>
        <w:rPr>
          <w:spacing w:val="-6"/>
          <w:vertAlign w:val="baseline"/>
        </w:rPr>
        <w:t> </w:t>
      </w:r>
      <w:r>
        <w:rPr>
          <w:vertAlign w:val="baseline"/>
        </w:rPr>
        <w:t>gender</w:t>
      </w:r>
      <w:r>
        <w:rPr>
          <w:spacing w:val="-5"/>
          <w:vertAlign w:val="baseline"/>
        </w:rPr>
        <w:t> </w:t>
      </w:r>
      <w:r>
        <w:rPr>
          <w:vertAlign w:val="baseline"/>
        </w:rPr>
        <w:t>diverse</w:t>
      </w:r>
      <w:r>
        <w:rPr>
          <w:spacing w:val="-6"/>
          <w:vertAlign w:val="baseline"/>
        </w:rPr>
        <w:t> </w:t>
      </w:r>
      <w:r>
        <w:rPr>
          <w:vertAlign w:val="baseline"/>
        </w:rPr>
        <w:t>young</w:t>
      </w:r>
      <w:r>
        <w:rPr>
          <w:spacing w:val="-3"/>
          <w:vertAlign w:val="baseline"/>
        </w:rPr>
        <w:t> </w:t>
      </w:r>
      <w:r>
        <w:rPr>
          <w:vertAlign w:val="baseline"/>
        </w:rPr>
        <w:t>people</w:t>
      </w:r>
      <w:r>
        <w:rPr>
          <w:spacing w:val="-4"/>
          <w:vertAlign w:val="baseline"/>
        </w:rPr>
        <w:t> </w:t>
      </w:r>
      <w:r>
        <w:rPr>
          <w:vertAlign w:val="baseline"/>
        </w:rPr>
        <w:t>who</w:t>
      </w:r>
      <w:r>
        <w:rPr>
          <w:spacing w:val="-5"/>
          <w:vertAlign w:val="baseline"/>
        </w:rPr>
        <w:t> </w:t>
      </w:r>
      <w:r>
        <w:rPr>
          <w:vertAlign w:val="baseline"/>
        </w:rPr>
        <w:t>reported</w:t>
      </w:r>
      <w:r>
        <w:rPr>
          <w:spacing w:val="-4"/>
          <w:vertAlign w:val="baseline"/>
        </w:rPr>
        <w:t> </w:t>
      </w:r>
      <w:r>
        <w:rPr>
          <w:vertAlign w:val="baseline"/>
        </w:rPr>
        <w:t>trading</w:t>
      </w:r>
      <w:r>
        <w:rPr>
          <w:spacing w:val="-6"/>
          <w:vertAlign w:val="baseline"/>
        </w:rPr>
        <w:t> </w:t>
      </w:r>
      <w:r>
        <w:rPr>
          <w:vertAlign w:val="baseline"/>
        </w:rPr>
        <w:t>sex</w:t>
      </w:r>
      <w:r>
        <w:rPr>
          <w:spacing w:val="-6"/>
          <w:vertAlign w:val="baseline"/>
        </w:rPr>
        <w:t> </w:t>
      </w:r>
      <w:r>
        <w:rPr>
          <w:vertAlign w:val="baseline"/>
        </w:rPr>
        <w:t>were</w:t>
      </w:r>
      <w:r>
        <w:rPr>
          <w:spacing w:val="-4"/>
          <w:vertAlign w:val="baseline"/>
        </w:rPr>
        <w:t> </w:t>
      </w:r>
      <w:r>
        <w:rPr>
          <w:vertAlign w:val="baseline"/>
        </w:rPr>
        <w:t>more</w:t>
      </w:r>
      <w:r>
        <w:rPr>
          <w:spacing w:val="-6"/>
          <w:vertAlign w:val="baseline"/>
        </w:rPr>
        <w:t> </w:t>
      </w:r>
      <w:r>
        <w:rPr>
          <w:vertAlign w:val="baseline"/>
        </w:rPr>
        <w:t>likely</w:t>
      </w:r>
      <w:r>
        <w:rPr>
          <w:spacing w:val="-4"/>
          <w:vertAlign w:val="baseline"/>
        </w:rPr>
        <w:t> </w:t>
      </w:r>
      <w:r>
        <w:rPr>
          <w:vertAlign w:val="baseline"/>
        </w:rPr>
        <w:t>to</w:t>
      </w:r>
      <w:r>
        <w:rPr>
          <w:spacing w:val="-5"/>
          <w:vertAlign w:val="baseline"/>
        </w:rPr>
        <w:t> </w:t>
      </w:r>
      <w:r>
        <w:rPr>
          <w:vertAlign w:val="baseline"/>
        </w:rPr>
        <w:t>be</w:t>
      </w:r>
      <w:r>
        <w:rPr>
          <w:spacing w:val="-4"/>
          <w:vertAlign w:val="baseline"/>
        </w:rPr>
        <w:t> </w:t>
      </w:r>
      <w:r>
        <w:rPr>
          <w:vertAlign w:val="baseline"/>
        </w:rPr>
        <w:t>BIPOC (23.3%</w:t>
      </w:r>
      <w:r>
        <w:rPr>
          <w:spacing w:val="-9"/>
          <w:vertAlign w:val="baseline"/>
        </w:rPr>
        <w:t> </w:t>
      </w:r>
      <w:r>
        <w:rPr>
          <w:vertAlign w:val="baseline"/>
        </w:rPr>
        <w:t>Native,</w:t>
      </w:r>
      <w:r>
        <w:rPr>
          <w:spacing w:val="-8"/>
          <w:vertAlign w:val="baseline"/>
        </w:rPr>
        <w:t> </w:t>
      </w:r>
      <w:r>
        <w:rPr>
          <w:vertAlign w:val="baseline"/>
        </w:rPr>
        <w:t>10%</w:t>
      </w:r>
      <w:r>
        <w:rPr>
          <w:spacing w:val="-9"/>
          <w:vertAlign w:val="baseline"/>
        </w:rPr>
        <w:t> </w:t>
      </w:r>
      <w:r>
        <w:rPr>
          <w:vertAlign w:val="baseline"/>
        </w:rPr>
        <w:t>Black),</w:t>
      </w:r>
      <w:r>
        <w:rPr>
          <w:spacing w:val="-8"/>
          <w:vertAlign w:val="baseline"/>
        </w:rPr>
        <w:t> </w:t>
      </w:r>
      <w:r>
        <w:rPr>
          <w:vertAlign w:val="baseline"/>
        </w:rPr>
        <w:t>to</w:t>
      </w:r>
      <w:r>
        <w:rPr>
          <w:spacing w:val="-8"/>
          <w:vertAlign w:val="baseline"/>
        </w:rPr>
        <w:t> </w:t>
      </w:r>
      <w:r>
        <w:rPr>
          <w:vertAlign w:val="baseline"/>
        </w:rPr>
        <w:t>identify</w:t>
      </w:r>
      <w:r>
        <w:rPr>
          <w:spacing w:val="-9"/>
          <w:vertAlign w:val="baseline"/>
        </w:rPr>
        <w:t> </w:t>
      </w:r>
      <w:r>
        <w:rPr>
          <w:vertAlign w:val="baseline"/>
        </w:rPr>
        <w:t>as</w:t>
      </w:r>
      <w:r>
        <w:rPr>
          <w:spacing w:val="-7"/>
          <w:vertAlign w:val="baseline"/>
        </w:rPr>
        <w:t> </w:t>
      </w:r>
      <w:r>
        <w:rPr>
          <w:vertAlign w:val="baseline"/>
        </w:rPr>
        <w:t>LGBQ</w:t>
      </w:r>
      <w:r>
        <w:rPr>
          <w:spacing w:val="-9"/>
          <w:vertAlign w:val="baseline"/>
        </w:rPr>
        <w:t> </w:t>
      </w:r>
      <w:r>
        <w:rPr>
          <w:vertAlign w:val="baseline"/>
        </w:rPr>
        <w:t>(26.7%</w:t>
      </w:r>
      <w:r>
        <w:rPr>
          <w:spacing w:val="-7"/>
          <w:vertAlign w:val="baseline"/>
        </w:rPr>
        <w:t> </w:t>
      </w:r>
      <w:r>
        <w:rPr>
          <w:vertAlign w:val="baseline"/>
        </w:rPr>
        <w:t>pansexual,</w:t>
      </w:r>
      <w:r>
        <w:rPr>
          <w:spacing w:val="-8"/>
          <w:vertAlign w:val="baseline"/>
        </w:rPr>
        <w:t> </w:t>
      </w:r>
      <w:r>
        <w:rPr>
          <w:vertAlign w:val="baseline"/>
        </w:rPr>
        <w:t>25%</w:t>
      </w:r>
      <w:r>
        <w:rPr>
          <w:spacing w:val="-9"/>
          <w:vertAlign w:val="baseline"/>
        </w:rPr>
        <w:t> </w:t>
      </w:r>
      <w:r>
        <w:rPr>
          <w:vertAlign w:val="baseline"/>
        </w:rPr>
        <w:t>bisexual),</w:t>
      </w:r>
      <w:r>
        <w:rPr>
          <w:spacing w:val="-7"/>
          <w:vertAlign w:val="baseline"/>
        </w:rPr>
        <w:t> </w:t>
      </w:r>
      <w:r>
        <w:rPr>
          <w:vertAlign w:val="baseline"/>
        </w:rPr>
        <w:t>and</w:t>
      </w:r>
      <w:r>
        <w:rPr>
          <w:spacing w:val="-9"/>
          <w:vertAlign w:val="baseline"/>
        </w:rPr>
        <w:t> </w:t>
      </w:r>
      <w:r>
        <w:rPr>
          <w:vertAlign w:val="baseline"/>
        </w:rPr>
        <w:t>have</w:t>
      </w:r>
      <w:r>
        <w:rPr>
          <w:spacing w:val="-9"/>
          <w:vertAlign w:val="baseline"/>
        </w:rPr>
        <w:t> </w:t>
      </w:r>
      <w:r>
        <w:rPr>
          <w:vertAlign w:val="baseline"/>
        </w:rPr>
        <w:t>experienced unstable housing. Cisgender and transgender youth who reported trading sex attended metropolitan and non-metropolitan schools at equal rates.</w:t>
      </w:r>
      <w:r>
        <w:rPr>
          <w:vertAlign w:val="superscript"/>
        </w:rPr>
        <w:t>19</w:t>
      </w:r>
    </w:p>
    <w:p>
      <w:pPr>
        <w:pStyle w:val="BodyText"/>
        <w:spacing w:line="276" w:lineRule="auto" w:before="240"/>
        <w:ind w:left="464" w:right="402"/>
        <w:jc w:val="both"/>
      </w:pPr>
      <w:r>
        <w:rPr/>
        <w:t>One study found that LGBTQ students recommend the following for schools to better address and prevent</w:t>
      </w:r>
      <w:r>
        <w:rPr>
          <w:spacing w:val="-1"/>
        </w:rPr>
        <w:t> </w:t>
      </w:r>
      <w:r>
        <w:rPr/>
        <w:t>sexual</w:t>
      </w:r>
      <w:r>
        <w:rPr>
          <w:spacing w:val="-2"/>
        </w:rPr>
        <w:t> </w:t>
      </w:r>
      <w:r>
        <w:rPr/>
        <w:t>violence:</w:t>
      </w:r>
      <w:r>
        <w:rPr>
          <w:spacing w:val="-1"/>
        </w:rPr>
        <w:t> </w:t>
      </w:r>
      <w:r>
        <w:rPr/>
        <w:t>(1)</w:t>
      </w:r>
      <w:r>
        <w:rPr>
          <w:spacing w:val="-2"/>
        </w:rPr>
        <w:t> </w:t>
      </w:r>
      <w:r>
        <w:rPr/>
        <w:t>access</w:t>
      </w:r>
      <w:r>
        <w:rPr>
          <w:spacing w:val="-1"/>
        </w:rPr>
        <w:t> </w:t>
      </w:r>
      <w:r>
        <w:rPr/>
        <w:t>to</w:t>
      </w:r>
      <w:r>
        <w:rPr>
          <w:spacing w:val="-1"/>
        </w:rPr>
        <w:t> </w:t>
      </w:r>
      <w:r>
        <w:rPr/>
        <w:t>gender-neutral</w:t>
      </w:r>
      <w:r>
        <w:rPr>
          <w:spacing w:val="-2"/>
        </w:rPr>
        <w:t> </w:t>
      </w:r>
      <w:r>
        <w:rPr/>
        <w:t>spaces</w:t>
      </w:r>
      <w:r>
        <w:rPr>
          <w:spacing w:val="-2"/>
        </w:rPr>
        <w:t> </w:t>
      </w:r>
      <w:r>
        <w:rPr/>
        <w:t>such</w:t>
      </w:r>
      <w:r>
        <w:rPr>
          <w:spacing w:val="-1"/>
        </w:rPr>
        <w:t> </w:t>
      </w:r>
      <w:r>
        <w:rPr/>
        <w:t>as</w:t>
      </w:r>
      <w:r>
        <w:rPr>
          <w:spacing w:val="-2"/>
        </w:rPr>
        <w:t> </w:t>
      </w:r>
      <w:r>
        <w:rPr/>
        <w:t>bathrooms</w:t>
      </w:r>
      <w:r>
        <w:rPr>
          <w:spacing w:val="-1"/>
        </w:rPr>
        <w:t> </w:t>
      </w:r>
      <w:r>
        <w:rPr/>
        <w:t>and</w:t>
      </w:r>
      <w:r>
        <w:rPr>
          <w:spacing w:val="-1"/>
        </w:rPr>
        <w:t> </w:t>
      </w:r>
      <w:r>
        <w:rPr/>
        <w:t>locker</w:t>
      </w:r>
      <w:r>
        <w:rPr>
          <w:spacing w:val="-1"/>
        </w:rPr>
        <w:t> </w:t>
      </w:r>
      <w:r>
        <w:rPr/>
        <w:t>rooms;</w:t>
      </w:r>
      <w:r>
        <w:rPr>
          <w:spacing w:val="-2"/>
        </w:rPr>
        <w:t> </w:t>
      </w:r>
      <w:r>
        <w:rPr/>
        <w:t>(2) LGBTQ competency training for all school staff; (3) enforcement of school policies regarding sexual violence, anti-bullying, etc.; (4) mental health support that is LGBTQ competent; and, (5) comprehensive sexual health education that includes information about LGBTQ identities and experiences and sexual violence.</w:t>
      </w:r>
      <w:r>
        <w:rPr>
          <w:vertAlign w:val="superscript"/>
        </w:rPr>
        <w:t>16</w:t>
      </w:r>
      <w:r>
        <w:rPr>
          <w:spacing w:val="40"/>
          <w:vertAlign w:val="baseline"/>
        </w:rPr>
        <w:t> </w:t>
      </w:r>
      <w:r>
        <w:rPr>
          <w:vertAlign w:val="baseline"/>
        </w:rPr>
        <w:t>As mentioned throughout this report, incorporating these recommendations into school policy, practice, and culture benefits all students, not only those who are</w:t>
      </w:r>
      <w:r>
        <w:rPr>
          <w:spacing w:val="-7"/>
          <w:vertAlign w:val="baseline"/>
        </w:rPr>
        <w:t> </w:t>
      </w:r>
      <w:r>
        <w:rPr>
          <w:vertAlign w:val="baseline"/>
        </w:rPr>
        <w:t>LGBTQ.</w:t>
      </w:r>
      <w:r>
        <w:rPr>
          <w:spacing w:val="-6"/>
          <w:vertAlign w:val="baseline"/>
        </w:rPr>
        <w:t> </w:t>
      </w:r>
      <w:r>
        <w:rPr>
          <w:vertAlign w:val="baseline"/>
        </w:rPr>
        <w:t>In</w:t>
      </w:r>
      <w:r>
        <w:rPr>
          <w:spacing w:val="-6"/>
          <w:vertAlign w:val="baseline"/>
        </w:rPr>
        <w:t> </w:t>
      </w:r>
      <w:r>
        <w:rPr>
          <w:vertAlign w:val="baseline"/>
        </w:rPr>
        <w:t>FY</w:t>
      </w:r>
      <w:r>
        <w:rPr>
          <w:spacing w:val="-6"/>
          <w:vertAlign w:val="baseline"/>
        </w:rPr>
        <w:t> </w:t>
      </w:r>
      <w:r>
        <w:rPr>
          <w:vertAlign w:val="baseline"/>
        </w:rPr>
        <w:t>2024,</w:t>
      </w:r>
      <w:r>
        <w:rPr>
          <w:spacing w:val="-6"/>
          <w:vertAlign w:val="baseline"/>
        </w:rPr>
        <w:t> </w:t>
      </w:r>
      <w:r>
        <w:rPr>
          <w:vertAlign w:val="baseline"/>
        </w:rPr>
        <w:t>the</w:t>
      </w:r>
      <w:r>
        <w:rPr>
          <w:spacing w:val="-5"/>
          <w:vertAlign w:val="baseline"/>
        </w:rPr>
        <w:t> </w:t>
      </w:r>
      <w:r>
        <w:rPr>
          <w:vertAlign w:val="baseline"/>
        </w:rPr>
        <w:t>Commission</w:t>
      </w:r>
      <w:r>
        <w:rPr>
          <w:spacing w:val="-7"/>
          <w:vertAlign w:val="baseline"/>
        </w:rPr>
        <w:t> </w:t>
      </w:r>
      <w:r>
        <w:rPr>
          <w:vertAlign w:val="baseline"/>
        </w:rPr>
        <w:t>was</w:t>
      </w:r>
      <w:r>
        <w:rPr>
          <w:spacing w:val="-6"/>
          <w:vertAlign w:val="baseline"/>
        </w:rPr>
        <w:t> </w:t>
      </w:r>
      <w:r>
        <w:rPr>
          <w:vertAlign w:val="baseline"/>
        </w:rPr>
        <w:t>pleased</w:t>
      </w:r>
      <w:r>
        <w:rPr>
          <w:spacing w:val="-6"/>
          <w:vertAlign w:val="baseline"/>
        </w:rPr>
        <w:t> </w:t>
      </w:r>
      <w:r>
        <w:rPr>
          <w:vertAlign w:val="baseline"/>
        </w:rPr>
        <w:t>to</w:t>
      </w:r>
      <w:r>
        <w:rPr>
          <w:spacing w:val="-6"/>
          <w:vertAlign w:val="baseline"/>
        </w:rPr>
        <w:t> </w:t>
      </w:r>
      <w:r>
        <w:rPr>
          <w:vertAlign w:val="baseline"/>
        </w:rPr>
        <w:t>see</w:t>
      </w:r>
      <w:r>
        <w:rPr>
          <w:spacing w:val="-7"/>
          <w:vertAlign w:val="baseline"/>
        </w:rPr>
        <w:t> </w:t>
      </w:r>
      <w:r>
        <w:rPr>
          <w:vertAlign w:val="baseline"/>
        </w:rPr>
        <w:t>updates</w:t>
      </w:r>
      <w:r>
        <w:rPr>
          <w:spacing w:val="-6"/>
          <w:vertAlign w:val="baseline"/>
        </w:rPr>
        <w:t> </w:t>
      </w:r>
      <w:r>
        <w:rPr>
          <w:vertAlign w:val="baseline"/>
        </w:rPr>
        <w:t>from</w:t>
      </w:r>
      <w:r>
        <w:rPr>
          <w:spacing w:val="-7"/>
          <w:vertAlign w:val="baseline"/>
        </w:rPr>
        <w:t> </w:t>
      </w:r>
      <w:r>
        <w:rPr>
          <w:vertAlign w:val="baseline"/>
        </w:rPr>
        <w:t>the</w:t>
      </w:r>
      <w:r>
        <w:rPr>
          <w:spacing w:val="-7"/>
          <w:vertAlign w:val="baseline"/>
        </w:rPr>
        <w:t> </w:t>
      </w:r>
      <w:r>
        <w:rPr>
          <w:vertAlign w:val="baseline"/>
        </w:rPr>
        <w:t>Massachusetts</w:t>
      </w:r>
      <w:r>
        <w:rPr>
          <w:spacing w:val="-5"/>
          <w:vertAlign w:val="baseline"/>
        </w:rPr>
        <w:t> </w:t>
      </w:r>
      <w:r>
        <w:rPr>
          <w:vertAlign w:val="baseline"/>
        </w:rPr>
        <w:t>Plumbing Board</w:t>
      </w:r>
      <w:r>
        <w:rPr>
          <w:spacing w:val="-3"/>
          <w:vertAlign w:val="baseline"/>
        </w:rPr>
        <w:t> </w:t>
      </w:r>
      <w:r>
        <w:rPr>
          <w:vertAlign w:val="baseline"/>
        </w:rPr>
        <w:t>making</w:t>
      </w:r>
      <w:r>
        <w:rPr>
          <w:spacing w:val="-3"/>
          <w:vertAlign w:val="baseline"/>
        </w:rPr>
        <w:t> </w:t>
      </w:r>
      <w:r>
        <w:rPr>
          <w:vertAlign w:val="baseline"/>
        </w:rPr>
        <w:t>long-awaited</w:t>
      </w:r>
      <w:r>
        <w:rPr>
          <w:spacing w:val="-3"/>
          <w:vertAlign w:val="baseline"/>
        </w:rPr>
        <w:t> </w:t>
      </w:r>
      <w:r>
        <w:rPr>
          <w:vertAlign w:val="baseline"/>
        </w:rPr>
        <w:t>and</w:t>
      </w:r>
      <w:r>
        <w:rPr>
          <w:spacing w:val="-2"/>
          <w:vertAlign w:val="baseline"/>
        </w:rPr>
        <w:t> </w:t>
      </w:r>
      <w:r>
        <w:rPr>
          <w:vertAlign w:val="baseline"/>
        </w:rPr>
        <w:t>much-needed</w:t>
      </w:r>
      <w:r>
        <w:rPr>
          <w:spacing w:val="-3"/>
          <w:vertAlign w:val="baseline"/>
        </w:rPr>
        <w:t> </w:t>
      </w:r>
      <w:r>
        <w:rPr>
          <w:vertAlign w:val="baseline"/>
        </w:rPr>
        <w:t>updates</w:t>
      </w:r>
      <w:r>
        <w:rPr>
          <w:spacing w:val="-2"/>
          <w:vertAlign w:val="baseline"/>
        </w:rPr>
        <w:t> </w:t>
      </w:r>
      <w:r>
        <w:rPr>
          <w:vertAlign w:val="baseline"/>
        </w:rPr>
        <w:t>to</w:t>
      </w:r>
      <w:r>
        <w:rPr>
          <w:spacing w:val="-1"/>
          <w:vertAlign w:val="baseline"/>
        </w:rPr>
        <w:t> </w:t>
      </w:r>
      <w:r>
        <w:rPr>
          <w:vertAlign w:val="baseline"/>
        </w:rPr>
        <w:t>the</w:t>
      </w:r>
      <w:r>
        <w:rPr>
          <w:spacing w:val="-2"/>
          <w:vertAlign w:val="baseline"/>
        </w:rPr>
        <w:t> </w:t>
      </w:r>
      <w:r>
        <w:rPr>
          <w:vertAlign w:val="baseline"/>
        </w:rPr>
        <w:t>state’s</w:t>
      </w:r>
      <w:r>
        <w:rPr>
          <w:spacing w:val="-2"/>
          <w:vertAlign w:val="baseline"/>
        </w:rPr>
        <w:t> </w:t>
      </w:r>
      <w:r>
        <w:rPr>
          <w:vertAlign w:val="baseline"/>
        </w:rPr>
        <w:t>plumbing</w:t>
      </w:r>
      <w:r>
        <w:rPr>
          <w:spacing w:val="-2"/>
          <w:vertAlign w:val="baseline"/>
        </w:rPr>
        <w:t> </w:t>
      </w:r>
      <w:r>
        <w:rPr>
          <w:vertAlign w:val="baseline"/>
        </w:rPr>
        <w:t>code</w:t>
      </w:r>
      <w:r>
        <w:rPr>
          <w:spacing w:val="-2"/>
          <w:vertAlign w:val="baseline"/>
        </w:rPr>
        <w:t> </w:t>
      </w:r>
      <w:r>
        <w:rPr>
          <w:vertAlign w:val="baseline"/>
        </w:rPr>
        <w:t>which</w:t>
      </w:r>
      <w:r>
        <w:rPr>
          <w:spacing w:val="-1"/>
          <w:vertAlign w:val="baseline"/>
        </w:rPr>
        <w:t> </w:t>
      </w:r>
      <w:r>
        <w:rPr>
          <w:vertAlign w:val="baseline"/>
        </w:rPr>
        <w:t>will</w:t>
      </w:r>
      <w:r>
        <w:rPr>
          <w:spacing w:val="-3"/>
          <w:vertAlign w:val="baseline"/>
        </w:rPr>
        <w:t> </w:t>
      </w:r>
      <w:r>
        <w:rPr>
          <w:vertAlign w:val="baseline"/>
        </w:rPr>
        <w:t>better allow for the creation of gender-neutral bathrooms in new and existing buildings.</w:t>
      </w:r>
    </w:p>
    <w:p>
      <w:pPr>
        <w:spacing w:after="0" w:line="276" w:lineRule="auto"/>
        <w:jc w:val="both"/>
        <w:sectPr>
          <w:pgSz w:w="12240" w:h="15840"/>
          <w:pgMar w:header="763" w:footer="1041" w:top="1140" w:bottom="1240" w:left="1120" w:right="1180"/>
        </w:sectPr>
      </w:pPr>
    </w:p>
    <w:p>
      <w:pPr>
        <w:spacing w:before="65"/>
        <w:ind w:left="464" w:right="0" w:firstLine="0"/>
        <w:jc w:val="both"/>
        <w:rPr>
          <w:sz w:val="26"/>
        </w:rPr>
      </w:pPr>
      <w:bookmarkStart w:name="School Supports for LGBTQ Students" w:id="144"/>
      <w:bookmarkEnd w:id="144"/>
      <w:r>
        <w:rPr/>
      </w:r>
      <w:r>
        <w:rPr>
          <w:color w:val="404040"/>
          <w:sz w:val="26"/>
        </w:rPr>
        <w:t>School</w:t>
      </w:r>
      <w:r>
        <w:rPr>
          <w:color w:val="404040"/>
          <w:spacing w:val="-4"/>
          <w:sz w:val="26"/>
        </w:rPr>
        <w:t> </w:t>
      </w:r>
      <w:r>
        <w:rPr>
          <w:color w:val="404040"/>
          <w:sz w:val="26"/>
        </w:rPr>
        <w:t>Supports</w:t>
      </w:r>
      <w:r>
        <w:rPr>
          <w:color w:val="404040"/>
          <w:spacing w:val="-4"/>
          <w:sz w:val="26"/>
        </w:rPr>
        <w:t> </w:t>
      </w:r>
      <w:r>
        <w:rPr>
          <w:color w:val="404040"/>
          <w:sz w:val="26"/>
        </w:rPr>
        <w:t>for</w:t>
      </w:r>
      <w:r>
        <w:rPr>
          <w:color w:val="404040"/>
          <w:spacing w:val="-3"/>
          <w:sz w:val="26"/>
        </w:rPr>
        <w:t> </w:t>
      </w:r>
      <w:r>
        <w:rPr>
          <w:color w:val="404040"/>
          <w:sz w:val="26"/>
        </w:rPr>
        <w:t>LGBTQ</w:t>
      </w:r>
      <w:r>
        <w:rPr>
          <w:color w:val="404040"/>
          <w:spacing w:val="-5"/>
          <w:sz w:val="26"/>
        </w:rPr>
        <w:t> </w:t>
      </w:r>
      <w:r>
        <w:rPr>
          <w:color w:val="404040"/>
          <w:spacing w:val="-2"/>
          <w:sz w:val="26"/>
        </w:rPr>
        <w:t>Students</w:t>
      </w:r>
    </w:p>
    <w:p>
      <w:pPr>
        <w:pStyle w:val="BodyText"/>
        <w:spacing w:line="276" w:lineRule="auto" w:before="288"/>
        <w:ind w:left="464" w:right="400"/>
        <w:jc w:val="both"/>
      </w:pPr>
      <w:r>
        <w:rPr/>
        <w:t>Another factor associated with a decrease in sexual violence for LGBTQ students is the presence of Gender-Sexuality</w:t>
      </w:r>
      <w:r>
        <w:rPr>
          <w:spacing w:val="-4"/>
        </w:rPr>
        <w:t> </w:t>
      </w:r>
      <w:r>
        <w:rPr/>
        <w:t>Alliance</w:t>
      </w:r>
      <w:r>
        <w:rPr>
          <w:spacing w:val="-2"/>
        </w:rPr>
        <w:t> </w:t>
      </w:r>
      <w:r>
        <w:rPr/>
        <w:t>(GSA)</w:t>
      </w:r>
      <w:r>
        <w:rPr>
          <w:spacing w:val="-3"/>
        </w:rPr>
        <w:t> </w:t>
      </w:r>
      <w:r>
        <w:rPr/>
        <w:t>clubs</w:t>
      </w:r>
      <w:r>
        <w:rPr>
          <w:spacing w:val="-4"/>
        </w:rPr>
        <w:t> </w:t>
      </w:r>
      <w:r>
        <w:rPr/>
        <w:t>in</w:t>
      </w:r>
      <w:r>
        <w:rPr>
          <w:spacing w:val="-3"/>
        </w:rPr>
        <w:t> </w:t>
      </w:r>
      <w:r>
        <w:rPr/>
        <w:t>schools.</w:t>
      </w:r>
      <w:r>
        <w:rPr>
          <w:spacing w:val="-3"/>
        </w:rPr>
        <w:t> </w:t>
      </w:r>
      <w:r>
        <w:rPr/>
        <w:t>Research</w:t>
      </w:r>
      <w:r>
        <w:rPr>
          <w:spacing w:val="-3"/>
        </w:rPr>
        <w:t> </w:t>
      </w:r>
      <w:r>
        <w:rPr/>
        <w:t>demonstrates</w:t>
      </w:r>
      <w:r>
        <w:rPr>
          <w:spacing w:val="-4"/>
        </w:rPr>
        <w:t> </w:t>
      </w:r>
      <w:r>
        <w:rPr/>
        <w:t>that</w:t>
      </w:r>
      <w:r>
        <w:rPr>
          <w:spacing w:val="-3"/>
        </w:rPr>
        <w:t> </w:t>
      </w:r>
      <w:r>
        <w:rPr/>
        <w:t>the</w:t>
      </w:r>
      <w:r>
        <w:rPr>
          <w:spacing w:val="-4"/>
        </w:rPr>
        <w:t> </w:t>
      </w:r>
      <w:r>
        <w:rPr/>
        <w:t>existence</w:t>
      </w:r>
      <w:r>
        <w:rPr>
          <w:spacing w:val="-2"/>
        </w:rPr>
        <w:t> </w:t>
      </w:r>
      <w:r>
        <w:rPr/>
        <w:t>of</w:t>
      </w:r>
      <w:r>
        <w:rPr>
          <w:spacing w:val="-4"/>
        </w:rPr>
        <w:t> </w:t>
      </w:r>
      <w:r>
        <w:rPr/>
        <w:t>GSAs</w:t>
      </w:r>
      <w:r>
        <w:rPr>
          <w:spacing w:val="-2"/>
        </w:rPr>
        <w:t> </w:t>
      </w:r>
      <w:r>
        <w:rPr/>
        <w:t>is associated with reduced rates of forced sex for lesbian, gay, bisexual students.</w:t>
      </w:r>
      <w:r>
        <w:rPr>
          <w:vertAlign w:val="superscript"/>
        </w:rPr>
        <w:t>17</w:t>
      </w:r>
      <w:r>
        <w:rPr>
          <w:spacing w:val="-7"/>
          <w:vertAlign w:val="baseline"/>
        </w:rPr>
        <w:t> </w:t>
      </w:r>
      <w:r>
        <w:rPr>
          <w:vertAlign w:val="baseline"/>
        </w:rPr>
        <w:t>Additionally, GSAs empower LGBTQ youth to build resilience, hope, and positive support networks, and tend to actively improve</w:t>
      </w:r>
      <w:r>
        <w:rPr>
          <w:spacing w:val="-1"/>
          <w:vertAlign w:val="baseline"/>
        </w:rPr>
        <w:t> </w:t>
      </w:r>
      <w:r>
        <w:rPr>
          <w:vertAlign w:val="baseline"/>
        </w:rPr>
        <w:t>school</w:t>
      </w:r>
      <w:r>
        <w:rPr>
          <w:spacing w:val="-1"/>
          <w:vertAlign w:val="baseline"/>
        </w:rPr>
        <w:t> </w:t>
      </w:r>
      <w:r>
        <w:rPr>
          <w:vertAlign w:val="baseline"/>
        </w:rPr>
        <w:t>culture. GLSEN found that</w:t>
      </w:r>
      <w:r>
        <w:rPr>
          <w:spacing w:val="-1"/>
          <w:vertAlign w:val="baseline"/>
        </w:rPr>
        <w:t> </w:t>
      </w:r>
      <w:r>
        <w:rPr>
          <w:vertAlign w:val="baseline"/>
        </w:rPr>
        <w:t>students with active GSAs experienced nearly half as much in-person victimization for their sexual orientation or gender expression as their peers.</w:t>
      </w:r>
    </w:p>
    <w:p>
      <w:pPr>
        <w:pStyle w:val="BodyText"/>
        <w:spacing w:line="276" w:lineRule="auto" w:before="240"/>
        <w:ind w:left="463" w:right="401"/>
        <w:jc w:val="both"/>
      </w:pPr>
      <w:r>
        <w:rPr/>
        <w:t>Given</w:t>
      </w:r>
      <w:r>
        <w:rPr>
          <w:spacing w:val="-3"/>
        </w:rPr>
        <w:t> </w:t>
      </w:r>
      <w:r>
        <w:rPr/>
        <w:t>the</w:t>
      </w:r>
      <w:r>
        <w:rPr>
          <w:spacing w:val="-3"/>
        </w:rPr>
        <w:t> </w:t>
      </w:r>
      <w:r>
        <w:rPr/>
        <w:t>positive</w:t>
      </w:r>
      <w:r>
        <w:rPr>
          <w:spacing w:val="-4"/>
        </w:rPr>
        <w:t> </w:t>
      </w:r>
      <w:r>
        <w:rPr/>
        <w:t>impact</w:t>
      </w:r>
      <w:r>
        <w:rPr>
          <w:spacing w:val="-3"/>
        </w:rPr>
        <w:t> </w:t>
      </w:r>
      <w:r>
        <w:rPr/>
        <w:t>that</w:t>
      </w:r>
      <w:r>
        <w:rPr>
          <w:spacing w:val="-5"/>
        </w:rPr>
        <w:t> </w:t>
      </w:r>
      <w:r>
        <w:rPr/>
        <w:t>GSAs</w:t>
      </w:r>
      <w:r>
        <w:rPr>
          <w:spacing w:val="-4"/>
        </w:rPr>
        <w:t> </w:t>
      </w:r>
      <w:r>
        <w:rPr/>
        <w:t>can</w:t>
      </w:r>
      <w:r>
        <w:rPr>
          <w:spacing w:val="-2"/>
        </w:rPr>
        <w:t> </w:t>
      </w:r>
      <w:r>
        <w:rPr/>
        <w:t>have</w:t>
      </w:r>
      <w:r>
        <w:rPr>
          <w:spacing w:val="-4"/>
        </w:rPr>
        <w:t> </w:t>
      </w:r>
      <w:r>
        <w:rPr/>
        <w:t>on</w:t>
      </w:r>
      <w:r>
        <w:rPr>
          <w:spacing w:val="-4"/>
        </w:rPr>
        <w:t> </w:t>
      </w:r>
      <w:r>
        <w:rPr/>
        <w:t>mental</w:t>
      </w:r>
      <w:r>
        <w:rPr>
          <w:spacing w:val="-4"/>
        </w:rPr>
        <w:t> </w:t>
      </w:r>
      <w:r>
        <w:rPr/>
        <w:t>health</w:t>
      </w:r>
      <w:r>
        <w:rPr>
          <w:spacing w:val="-4"/>
        </w:rPr>
        <w:t> </w:t>
      </w:r>
      <w:r>
        <w:rPr/>
        <w:t>outcomes</w:t>
      </w:r>
      <w:r>
        <w:rPr>
          <w:spacing w:val="-4"/>
        </w:rPr>
        <w:t> </w:t>
      </w:r>
      <w:r>
        <w:rPr/>
        <w:t>for</w:t>
      </w:r>
      <w:r>
        <w:rPr>
          <w:spacing w:val="-4"/>
        </w:rPr>
        <w:t> </w:t>
      </w:r>
      <w:r>
        <w:rPr/>
        <w:t>LGBTQ</w:t>
      </w:r>
      <w:r>
        <w:rPr>
          <w:spacing w:val="-4"/>
        </w:rPr>
        <w:t> </w:t>
      </w:r>
      <w:r>
        <w:rPr/>
        <w:t>youth</w:t>
      </w:r>
      <w:r>
        <w:rPr>
          <w:spacing w:val="-3"/>
        </w:rPr>
        <w:t> </w:t>
      </w:r>
      <w:r>
        <w:rPr/>
        <w:t>it</w:t>
      </w:r>
      <w:r>
        <w:rPr>
          <w:spacing w:val="-5"/>
        </w:rPr>
        <w:t> </w:t>
      </w:r>
      <w:r>
        <w:rPr/>
        <w:t>is</w:t>
      </w:r>
      <w:r>
        <w:rPr>
          <w:spacing w:val="-4"/>
        </w:rPr>
        <w:t> </w:t>
      </w:r>
      <w:r>
        <w:rPr/>
        <w:t>critical that all LGBTQ have access to GSAs or other spaces that fulfill similar goals. GLSEN studies found that Black and Latine students who attended majority-white schools were more likely to have a GSA than those in majority-Latine schools.</w:t>
      </w:r>
      <w:hyperlink w:history="true" w:anchor="_bookmark63">
        <w:r>
          <w:rPr>
            <w:vertAlign w:val="superscript"/>
          </w:rPr>
          <w:t>24</w:t>
        </w:r>
      </w:hyperlink>
      <w:r>
        <w:rPr>
          <w:spacing w:val="-3"/>
          <w:vertAlign w:val="baseline"/>
        </w:rPr>
        <w:t> </w:t>
      </w:r>
      <w:r>
        <w:rPr>
          <w:vertAlign w:val="baseline"/>
        </w:rPr>
        <w:t>Given this disparity, the Commission recommends that the State looks to invest more intentional support and resources to create safe and supportive spaces, as well as to foster and develop LGBTQ student leadership in schools that are not majority-white. Furthermore, the State should provide more intersectional professional development opportunities for educators to better foster learning on how to be effective advisors of school clubs.</w:t>
      </w:r>
    </w:p>
    <w:p>
      <w:pPr>
        <w:pStyle w:val="BodyText"/>
        <w:spacing w:line="276" w:lineRule="auto" w:before="240"/>
        <w:ind w:left="463" w:right="402"/>
        <w:jc w:val="both"/>
      </w:pPr>
      <w:r>
        <w:rPr/>
        <w:t>However,</w:t>
      </w:r>
      <w:r>
        <w:rPr>
          <w:spacing w:val="-3"/>
        </w:rPr>
        <w:t> </w:t>
      </w:r>
      <w:r>
        <w:rPr/>
        <w:t>we</w:t>
      </w:r>
      <w:r>
        <w:rPr>
          <w:spacing w:val="-3"/>
        </w:rPr>
        <w:t> </w:t>
      </w:r>
      <w:r>
        <w:rPr/>
        <w:t>must</w:t>
      </w:r>
      <w:r>
        <w:rPr>
          <w:spacing w:val="-3"/>
        </w:rPr>
        <w:t> </w:t>
      </w:r>
      <w:r>
        <w:rPr/>
        <w:t>look</w:t>
      </w:r>
      <w:r>
        <w:rPr>
          <w:spacing w:val="-3"/>
        </w:rPr>
        <w:t> </w:t>
      </w:r>
      <w:r>
        <w:rPr/>
        <w:t>beyond</w:t>
      </w:r>
      <w:r>
        <w:rPr>
          <w:spacing w:val="-3"/>
        </w:rPr>
        <w:t> </w:t>
      </w:r>
      <w:r>
        <w:rPr/>
        <w:t>simply</w:t>
      </w:r>
      <w:r>
        <w:rPr>
          <w:spacing w:val="-3"/>
        </w:rPr>
        <w:t> </w:t>
      </w:r>
      <w:r>
        <w:rPr/>
        <w:t>whether</w:t>
      </w:r>
      <w:r>
        <w:rPr>
          <w:spacing w:val="-3"/>
        </w:rPr>
        <w:t> </w:t>
      </w:r>
      <w:r>
        <w:rPr/>
        <w:t>youth</w:t>
      </w:r>
      <w:r>
        <w:rPr>
          <w:spacing w:val="-3"/>
        </w:rPr>
        <w:t> </w:t>
      </w:r>
      <w:r>
        <w:rPr/>
        <w:t>have</w:t>
      </w:r>
      <w:r>
        <w:rPr>
          <w:spacing w:val="-3"/>
        </w:rPr>
        <w:t> </w:t>
      </w:r>
      <w:r>
        <w:rPr/>
        <w:t>access</w:t>
      </w:r>
      <w:r>
        <w:rPr>
          <w:spacing w:val="-3"/>
        </w:rPr>
        <w:t> </w:t>
      </w:r>
      <w:r>
        <w:rPr/>
        <w:t>to</w:t>
      </w:r>
      <w:r>
        <w:rPr>
          <w:spacing w:val="-3"/>
        </w:rPr>
        <w:t> </w:t>
      </w:r>
      <w:r>
        <w:rPr/>
        <w:t>or</w:t>
      </w:r>
      <w:r>
        <w:rPr>
          <w:spacing w:val="-3"/>
        </w:rPr>
        <w:t> </w:t>
      </w:r>
      <w:r>
        <w:rPr/>
        <w:t>attend</w:t>
      </w:r>
      <w:r>
        <w:rPr>
          <w:spacing w:val="-3"/>
        </w:rPr>
        <w:t> </w:t>
      </w:r>
      <w:r>
        <w:rPr/>
        <w:t>GSA</w:t>
      </w:r>
      <w:r>
        <w:rPr>
          <w:spacing w:val="-3"/>
        </w:rPr>
        <w:t> </w:t>
      </w:r>
      <w:r>
        <w:rPr/>
        <w:t>meetings</w:t>
      </w:r>
      <w:r>
        <w:rPr>
          <w:spacing w:val="-3"/>
        </w:rPr>
        <w:t> </w:t>
      </w:r>
      <w:r>
        <w:rPr/>
        <w:t>but</w:t>
      </w:r>
      <w:r>
        <w:rPr>
          <w:spacing w:val="-3"/>
        </w:rPr>
        <w:t> </w:t>
      </w:r>
      <w:r>
        <w:rPr/>
        <w:t>pay attention to the specific happenings of those meetings to have a greater understanding of mental health</w:t>
      </w:r>
      <w:r>
        <w:rPr>
          <w:spacing w:val="-5"/>
        </w:rPr>
        <w:t> </w:t>
      </w:r>
      <w:r>
        <w:rPr/>
        <w:t>outcomes</w:t>
      </w:r>
      <w:r>
        <w:rPr>
          <w:spacing w:val="-5"/>
        </w:rPr>
        <w:t> </w:t>
      </w:r>
      <w:r>
        <w:rPr/>
        <w:t>for</w:t>
      </w:r>
      <w:r>
        <w:rPr>
          <w:spacing w:val="-5"/>
        </w:rPr>
        <w:t> </w:t>
      </w:r>
      <w:r>
        <w:rPr/>
        <w:t>LGBTQ</w:t>
      </w:r>
      <w:r>
        <w:rPr>
          <w:spacing w:val="-5"/>
        </w:rPr>
        <w:t> </w:t>
      </w:r>
      <w:r>
        <w:rPr/>
        <w:t>young</w:t>
      </w:r>
      <w:r>
        <w:rPr>
          <w:spacing w:val="-5"/>
        </w:rPr>
        <w:t> </w:t>
      </w:r>
      <w:r>
        <w:rPr/>
        <w:t>people.</w:t>
      </w:r>
      <w:r>
        <w:rPr>
          <w:spacing w:val="-6"/>
        </w:rPr>
        <w:t> </w:t>
      </w:r>
      <w:r>
        <w:rPr/>
        <w:t>For</w:t>
      </w:r>
      <w:r>
        <w:rPr>
          <w:spacing w:val="-5"/>
        </w:rPr>
        <w:t> </w:t>
      </w:r>
      <w:r>
        <w:rPr/>
        <w:t>example,</w:t>
      </w:r>
      <w:r>
        <w:rPr>
          <w:spacing w:val="-5"/>
        </w:rPr>
        <w:t> </w:t>
      </w:r>
      <w:r>
        <w:rPr/>
        <w:t>youth</w:t>
      </w:r>
      <w:r>
        <w:rPr>
          <w:spacing w:val="-5"/>
        </w:rPr>
        <w:t> </w:t>
      </w:r>
      <w:r>
        <w:rPr/>
        <w:t>reported</w:t>
      </w:r>
      <w:r>
        <w:rPr>
          <w:spacing w:val="-5"/>
        </w:rPr>
        <w:t> </w:t>
      </w:r>
      <w:r>
        <w:rPr/>
        <w:t>feeling</w:t>
      </w:r>
      <w:r>
        <w:rPr>
          <w:spacing w:val="-5"/>
        </w:rPr>
        <w:t> </w:t>
      </w:r>
      <w:r>
        <w:rPr/>
        <w:t>greater</w:t>
      </w:r>
      <w:r>
        <w:rPr>
          <w:spacing w:val="-4"/>
        </w:rPr>
        <w:t> </w:t>
      </w:r>
      <w:r>
        <w:rPr/>
        <w:t>positive</w:t>
      </w:r>
      <w:r>
        <w:rPr>
          <w:spacing w:val="-5"/>
        </w:rPr>
        <w:t> </w:t>
      </w:r>
      <w:r>
        <w:rPr/>
        <w:t>affect and decreased negative affect after GSA meetings where they were more behaviorally engaged, compared to meetings where they were less engaged. Furthermore, youth reported less negative affect after meetings where their GSA advisor was more involved and responsive.</w:t>
      </w:r>
      <w:hyperlink w:history="true" w:anchor="_bookmark64">
        <w:r>
          <w:rPr>
            <w:vertAlign w:val="superscript"/>
          </w:rPr>
          <w:t>25</w:t>
        </w:r>
      </w:hyperlink>
      <w:r>
        <w:rPr>
          <w:vertAlign w:val="baseline"/>
        </w:rPr>
        <w:t> However, GSA advisors report receiving no training or mentorship of how to serve in this role.</w:t>
      </w:r>
      <w:hyperlink w:history="true" w:anchor="_bookmark65">
        <w:r>
          <w:rPr>
            <w:vertAlign w:val="superscript"/>
          </w:rPr>
          <w:t>26</w:t>
        </w:r>
      </w:hyperlink>
      <w:r>
        <w:rPr>
          <w:spacing w:val="-2"/>
          <w:vertAlign w:val="baseline"/>
        </w:rPr>
        <w:t> </w:t>
      </w:r>
      <w:r>
        <w:rPr>
          <w:vertAlign w:val="baseline"/>
        </w:rPr>
        <w:t>Furthermore, the Commission has received reports from students and educators about GSAs, particularly those in smaller schools, struggling with attendance and engagement, as well as support from school </w:t>
      </w:r>
      <w:r>
        <w:rPr>
          <w:spacing w:val="-2"/>
          <w:vertAlign w:val="baseline"/>
        </w:rPr>
        <w:t>administration.</w:t>
      </w:r>
    </w:p>
    <w:p>
      <w:pPr>
        <w:pStyle w:val="BodyText"/>
        <w:spacing w:line="276" w:lineRule="auto" w:before="241"/>
        <w:ind w:left="463" w:right="399"/>
        <w:jc w:val="both"/>
      </w:pPr>
      <w:r>
        <w:rPr/>
        <w:t>A longer number of years as an advisor, increased time given to the GSA on a weekly basis, and more structured</w:t>
      </w:r>
      <w:r>
        <w:rPr>
          <w:spacing w:val="-7"/>
        </w:rPr>
        <w:t> </w:t>
      </w:r>
      <w:r>
        <w:rPr/>
        <w:t>meetings</w:t>
      </w:r>
      <w:r>
        <w:rPr>
          <w:spacing w:val="-6"/>
        </w:rPr>
        <w:t> </w:t>
      </w:r>
      <w:r>
        <w:rPr/>
        <w:t>yielded</w:t>
      </w:r>
      <w:r>
        <w:rPr>
          <w:spacing w:val="-7"/>
        </w:rPr>
        <w:t> </w:t>
      </w:r>
      <w:r>
        <w:rPr/>
        <w:t>greater</w:t>
      </w:r>
      <w:r>
        <w:rPr>
          <w:spacing w:val="-6"/>
        </w:rPr>
        <w:t> </w:t>
      </w:r>
      <w:r>
        <w:rPr/>
        <w:t>increases</w:t>
      </w:r>
      <w:r>
        <w:rPr>
          <w:spacing w:val="-6"/>
        </w:rPr>
        <w:t> </w:t>
      </w:r>
      <w:r>
        <w:rPr/>
        <w:t>in</w:t>
      </w:r>
      <w:r>
        <w:rPr>
          <w:spacing w:val="-7"/>
        </w:rPr>
        <w:t> </w:t>
      </w:r>
      <w:r>
        <w:rPr/>
        <w:t>advocacy</w:t>
      </w:r>
      <w:r>
        <w:rPr>
          <w:spacing w:val="-6"/>
        </w:rPr>
        <w:t> </w:t>
      </w:r>
      <w:r>
        <w:rPr/>
        <w:t>from</w:t>
      </w:r>
      <w:r>
        <w:rPr>
          <w:spacing w:val="-7"/>
        </w:rPr>
        <w:t> </w:t>
      </w:r>
      <w:r>
        <w:rPr/>
        <w:t>LGBTQ</w:t>
      </w:r>
      <w:r>
        <w:rPr>
          <w:spacing w:val="-7"/>
        </w:rPr>
        <w:t> </w:t>
      </w:r>
      <w:r>
        <w:rPr/>
        <w:t>students</w:t>
      </w:r>
      <w:r>
        <w:rPr>
          <w:spacing w:val="-6"/>
        </w:rPr>
        <w:t> </w:t>
      </w:r>
      <w:r>
        <w:rPr/>
        <w:t>in</w:t>
      </w:r>
      <w:r>
        <w:rPr>
          <w:spacing w:val="-7"/>
        </w:rPr>
        <w:t> </w:t>
      </w:r>
      <w:r>
        <w:rPr/>
        <w:t>the</w:t>
      </w:r>
      <w:r>
        <w:rPr>
          <w:spacing w:val="-5"/>
        </w:rPr>
        <w:t> </w:t>
      </w:r>
      <w:r>
        <w:rPr/>
        <w:t>GSA</w:t>
      </w:r>
      <w:r>
        <w:rPr>
          <w:spacing w:val="-5"/>
        </w:rPr>
        <w:t> </w:t>
      </w:r>
      <w:r>
        <w:rPr/>
        <w:t>during</w:t>
      </w:r>
      <w:r>
        <w:rPr>
          <w:spacing w:val="-5"/>
        </w:rPr>
        <w:t> </w:t>
      </w:r>
      <w:r>
        <w:rPr/>
        <w:t>the year.</w:t>
      </w:r>
      <w:r>
        <w:rPr>
          <w:vertAlign w:val="superscript"/>
        </w:rPr>
        <w:t>23</w:t>
      </w:r>
      <w:r>
        <w:rPr>
          <w:spacing w:val="-11"/>
          <w:vertAlign w:val="baseline"/>
        </w:rPr>
        <w:t> </w:t>
      </w:r>
      <w:r>
        <w:rPr>
          <w:vertAlign w:val="baseline"/>
        </w:rPr>
        <w:t>In</w:t>
      </w:r>
      <w:r>
        <w:rPr>
          <w:spacing w:val="-10"/>
          <w:vertAlign w:val="baseline"/>
        </w:rPr>
        <w:t> </w:t>
      </w:r>
      <w:r>
        <w:rPr>
          <w:vertAlign w:val="baseline"/>
        </w:rPr>
        <w:t>addition,</w:t>
      </w:r>
      <w:r>
        <w:rPr>
          <w:spacing w:val="-10"/>
          <w:vertAlign w:val="baseline"/>
        </w:rPr>
        <w:t> </w:t>
      </w:r>
      <w:r>
        <w:rPr>
          <w:vertAlign w:val="baseline"/>
        </w:rPr>
        <w:t>although</w:t>
      </w:r>
      <w:r>
        <w:rPr>
          <w:spacing w:val="-10"/>
          <w:vertAlign w:val="baseline"/>
        </w:rPr>
        <w:t> </w:t>
      </w:r>
      <w:r>
        <w:rPr>
          <w:vertAlign w:val="baseline"/>
        </w:rPr>
        <w:t>research</w:t>
      </w:r>
      <w:r>
        <w:rPr>
          <w:spacing w:val="-10"/>
          <w:vertAlign w:val="baseline"/>
        </w:rPr>
        <w:t> </w:t>
      </w:r>
      <w:r>
        <w:rPr>
          <w:vertAlign w:val="baseline"/>
        </w:rPr>
        <w:t>shows</w:t>
      </w:r>
      <w:r>
        <w:rPr>
          <w:spacing w:val="-10"/>
          <w:vertAlign w:val="baseline"/>
        </w:rPr>
        <w:t> </w:t>
      </w:r>
      <w:r>
        <w:rPr>
          <w:vertAlign w:val="baseline"/>
        </w:rPr>
        <w:t>that</w:t>
      </w:r>
      <w:r>
        <w:rPr>
          <w:spacing w:val="-11"/>
          <w:vertAlign w:val="baseline"/>
        </w:rPr>
        <w:t> </w:t>
      </w:r>
      <w:r>
        <w:rPr>
          <w:vertAlign w:val="baseline"/>
        </w:rPr>
        <w:t>GSAs</w:t>
      </w:r>
      <w:r>
        <w:rPr>
          <w:spacing w:val="-10"/>
          <w:vertAlign w:val="baseline"/>
        </w:rPr>
        <w:t> </w:t>
      </w:r>
      <w:r>
        <w:rPr>
          <w:vertAlign w:val="baseline"/>
        </w:rPr>
        <w:t>are</w:t>
      </w:r>
      <w:r>
        <w:rPr>
          <w:spacing w:val="-10"/>
          <w:vertAlign w:val="baseline"/>
        </w:rPr>
        <w:t> </w:t>
      </w:r>
      <w:r>
        <w:rPr>
          <w:vertAlign w:val="baseline"/>
        </w:rPr>
        <w:t>effective</w:t>
      </w:r>
      <w:r>
        <w:rPr>
          <w:spacing w:val="-10"/>
          <w:vertAlign w:val="baseline"/>
        </w:rPr>
        <w:t> </w:t>
      </w:r>
      <w:r>
        <w:rPr>
          <w:vertAlign w:val="baseline"/>
        </w:rPr>
        <w:t>mental</w:t>
      </w:r>
      <w:r>
        <w:rPr>
          <w:spacing w:val="-10"/>
          <w:vertAlign w:val="baseline"/>
        </w:rPr>
        <w:t> </w:t>
      </w:r>
      <w:r>
        <w:rPr>
          <w:vertAlign w:val="baseline"/>
        </w:rPr>
        <w:t>health</w:t>
      </w:r>
      <w:r>
        <w:rPr>
          <w:spacing w:val="-10"/>
          <w:vertAlign w:val="baseline"/>
        </w:rPr>
        <w:t> </w:t>
      </w:r>
      <w:r>
        <w:rPr>
          <w:vertAlign w:val="baseline"/>
        </w:rPr>
        <w:t>interventions,</w:t>
      </w:r>
      <w:r>
        <w:rPr>
          <w:spacing w:val="-10"/>
          <w:vertAlign w:val="baseline"/>
        </w:rPr>
        <w:t> </w:t>
      </w:r>
      <w:r>
        <w:rPr>
          <w:vertAlign w:val="baseline"/>
        </w:rPr>
        <w:t>many school staff are minimally compensated for advising GSAs (if they are compensated at all), creating issues with retaining advisors and keeping clubs operational.</w:t>
      </w:r>
      <w:r>
        <w:rPr>
          <w:vertAlign w:val="superscript"/>
        </w:rPr>
        <w:t>23</w:t>
      </w:r>
      <w:r>
        <w:rPr>
          <w:vertAlign w:val="baseline"/>
        </w:rPr>
        <w:t> As such, schools should give GSA advisors</w:t>
      </w:r>
      <w:r>
        <w:rPr>
          <w:spacing w:val="-8"/>
          <w:vertAlign w:val="baseline"/>
        </w:rPr>
        <w:t> </w:t>
      </w:r>
      <w:r>
        <w:rPr>
          <w:vertAlign w:val="baseline"/>
        </w:rPr>
        <w:t>time</w:t>
      </w:r>
      <w:r>
        <w:rPr>
          <w:spacing w:val="-9"/>
          <w:vertAlign w:val="baseline"/>
        </w:rPr>
        <w:t> </w:t>
      </w:r>
      <w:r>
        <w:rPr>
          <w:vertAlign w:val="baseline"/>
        </w:rPr>
        <w:t>during</w:t>
      </w:r>
      <w:r>
        <w:rPr>
          <w:spacing w:val="-8"/>
          <w:vertAlign w:val="baseline"/>
        </w:rPr>
        <w:t> </w:t>
      </w:r>
      <w:r>
        <w:rPr>
          <w:vertAlign w:val="baseline"/>
        </w:rPr>
        <w:t>their</w:t>
      </w:r>
      <w:r>
        <w:rPr>
          <w:spacing w:val="-7"/>
          <w:vertAlign w:val="baseline"/>
        </w:rPr>
        <w:t> </w:t>
      </w:r>
      <w:r>
        <w:rPr>
          <w:vertAlign w:val="baseline"/>
        </w:rPr>
        <w:t>work</w:t>
      </w:r>
      <w:r>
        <w:rPr>
          <w:spacing w:val="-9"/>
          <w:vertAlign w:val="baseline"/>
        </w:rPr>
        <w:t> </w:t>
      </w:r>
      <w:r>
        <w:rPr>
          <w:vertAlign w:val="baseline"/>
        </w:rPr>
        <w:t>day</w:t>
      </w:r>
      <w:r>
        <w:rPr>
          <w:spacing w:val="-9"/>
          <w:vertAlign w:val="baseline"/>
        </w:rPr>
        <w:t> </w:t>
      </w:r>
      <w:r>
        <w:rPr>
          <w:vertAlign w:val="baseline"/>
        </w:rPr>
        <w:t>to</w:t>
      </w:r>
      <w:r>
        <w:rPr>
          <w:spacing w:val="-8"/>
          <w:vertAlign w:val="baseline"/>
        </w:rPr>
        <w:t> </w:t>
      </w:r>
      <w:r>
        <w:rPr>
          <w:vertAlign w:val="baseline"/>
        </w:rPr>
        <w:t>devote</w:t>
      </w:r>
      <w:r>
        <w:rPr>
          <w:spacing w:val="-9"/>
          <w:vertAlign w:val="baseline"/>
        </w:rPr>
        <w:t> </w:t>
      </w:r>
      <w:r>
        <w:rPr>
          <w:vertAlign w:val="baseline"/>
        </w:rPr>
        <w:t>to</w:t>
      </w:r>
      <w:r>
        <w:rPr>
          <w:spacing w:val="-8"/>
          <w:vertAlign w:val="baseline"/>
        </w:rPr>
        <w:t> </w:t>
      </w:r>
      <w:r>
        <w:rPr>
          <w:vertAlign w:val="baseline"/>
        </w:rPr>
        <w:t>the</w:t>
      </w:r>
      <w:r>
        <w:rPr>
          <w:spacing w:val="-8"/>
          <w:vertAlign w:val="baseline"/>
        </w:rPr>
        <w:t> </w:t>
      </w:r>
      <w:r>
        <w:rPr>
          <w:vertAlign w:val="baseline"/>
        </w:rPr>
        <w:t>GSA,</w:t>
      </w:r>
      <w:r>
        <w:rPr>
          <w:spacing w:val="-8"/>
          <w:vertAlign w:val="baseline"/>
        </w:rPr>
        <w:t> </w:t>
      </w:r>
      <w:r>
        <w:rPr>
          <w:vertAlign w:val="baseline"/>
        </w:rPr>
        <w:t>as</w:t>
      </w:r>
      <w:r>
        <w:rPr>
          <w:spacing w:val="-8"/>
          <w:vertAlign w:val="baseline"/>
        </w:rPr>
        <w:t> </w:t>
      </w:r>
      <w:r>
        <w:rPr>
          <w:vertAlign w:val="baseline"/>
        </w:rPr>
        <w:t>well</w:t>
      </w:r>
      <w:r>
        <w:rPr>
          <w:spacing w:val="-9"/>
          <w:vertAlign w:val="baseline"/>
        </w:rPr>
        <w:t> </w:t>
      </w:r>
      <w:r>
        <w:rPr>
          <w:vertAlign w:val="baseline"/>
        </w:rPr>
        <w:t>as</w:t>
      </w:r>
      <w:r>
        <w:rPr>
          <w:spacing w:val="-8"/>
          <w:vertAlign w:val="baseline"/>
        </w:rPr>
        <w:t> </w:t>
      </w:r>
      <w:r>
        <w:rPr>
          <w:vertAlign w:val="baseline"/>
        </w:rPr>
        <w:t>provide</w:t>
      </w:r>
      <w:r>
        <w:rPr>
          <w:spacing w:val="-9"/>
          <w:vertAlign w:val="baseline"/>
        </w:rPr>
        <w:t> </w:t>
      </w:r>
      <w:r>
        <w:rPr>
          <w:vertAlign w:val="baseline"/>
        </w:rPr>
        <w:t>professional</w:t>
      </w:r>
      <w:r>
        <w:rPr>
          <w:spacing w:val="-9"/>
          <w:vertAlign w:val="baseline"/>
        </w:rPr>
        <w:t> </w:t>
      </w:r>
      <w:r>
        <w:rPr>
          <w:vertAlign w:val="baseline"/>
        </w:rPr>
        <w:t>development and mentorship related to supporting LGBTQ youth, youth leadership development, and how to structure GSA meetings.</w:t>
      </w:r>
    </w:p>
    <w:p>
      <w:pPr>
        <w:pStyle w:val="BodyText"/>
        <w:spacing w:line="276" w:lineRule="auto" w:before="240"/>
        <w:ind w:left="464" w:right="401"/>
        <w:jc w:val="both"/>
      </w:pPr>
      <w:r>
        <w:rPr/>
        <w:t>In addition to in-school, in-person supports for LGBTQ students such as GSAs, research on the impact of</w:t>
      </w:r>
      <w:r>
        <w:rPr>
          <w:spacing w:val="-10"/>
        </w:rPr>
        <w:t> </w:t>
      </w:r>
      <w:r>
        <w:rPr/>
        <w:t>COVID</w:t>
      </w:r>
      <w:r>
        <w:rPr>
          <w:spacing w:val="-9"/>
        </w:rPr>
        <w:t> </w:t>
      </w:r>
      <w:r>
        <w:rPr/>
        <w:t>on</w:t>
      </w:r>
      <w:r>
        <w:rPr>
          <w:spacing w:val="-9"/>
        </w:rPr>
        <w:t> </w:t>
      </w:r>
      <w:r>
        <w:rPr/>
        <w:t>the</w:t>
      </w:r>
      <w:r>
        <w:rPr>
          <w:spacing w:val="-10"/>
        </w:rPr>
        <w:t> </w:t>
      </w:r>
      <w:r>
        <w:rPr/>
        <w:t>mental</w:t>
      </w:r>
      <w:r>
        <w:rPr>
          <w:spacing w:val="-9"/>
        </w:rPr>
        <w:t> </w:t>
      </w:r>
      <w:r>
        <w:rPr/>
        <w:t>health</w:t>
      </w:r>
      <w:r>
        <w:rPr>
          <w:spacing w:val="-10"/>
        </w:rPr>
        <w:t> </w:t>
      </w:r>
      <w:r>
        <w:rPr/>
        <w:t>of</w:t>
      </w:r>
      <w:r>
        <w:rPr>
          <w:spacing w:val="-10"/>
        </w:rPr>
        <w:t> </w:t>
      </w:r>
      <w:r>
        <w:rPr/>
        <w:t>LGBTQ</w:t>
      </w:r>
      <w:r>
        <w:rPr>
          <w:spacing w:val="-9"/>
        </w:rPr>
        <w:t> </w:t>
      </w:r>
      <w:r>
        <w:rPr/>
        <w:t>youth</w:t>
      </w:r>
      <w:r>
        <w:rPr>
          <w:spacing w:val="-9"/>
        </w:rPr>
        <w:t> </w:t>
      </w:r>
      <w:r>
        <w:rPr/>
        <w:t>demonstrates</w:t>
      </w:r>
      <w:r>
        <w:rPr>
          <w:spacing w:val="-9"/>
        </w:rPr>
        <w:t> </w:t>
      </w:r>
      <w:r>
        <w:rPr/>
        <w:t>the</w:t>
      </w:r>
      <w:r>
        <w:rPr>
          <w:spacing w:val="-9"/>
        </w:rPr>
        <w:t> </w:t>
      </w:r>
      <w:r>
        <w:rPr/>
        <w:t>effectiveness</w:t>
      </w:r>
      <w:r>
        <w:rPr>
          <w:spacing w:val="-9"/>
        </w:rPr>
        <w:t> </w:t>
      </w:r>
      <w:r>
        <w:rPr/>
        <w:t>of</w:t>
      </w:r>
      <w:r>
        <w:rPr>
          <w:spacing w:val="-10"/>
        </w:rPr>
        <w:t> </w:t>
      </w:r>
      <w:r>
        <w:rPr/>
        <w:t>alternative</w:t>
      </w:r>
      <w:r>
        <w:rPr>
          <w:spacing w:val="-9"/>
        </w:rPr>
        <w:t> </w:t>
      </w:r>
      <w:r>
        <w:rPr/>
        <w:t>supports provided by schools. Between 2019 and 2021, rates of substance use among LGB youth decreased. While</w:t>
      </w:r>
      <w:r>
        <w:rPr>
          <w:spacing w:val="-10"/>
        </w:rPr>
        <w:t> </w:t>
      </w:r>
      <w:r>
        <w:rPr/>
        <w:t>more</w:t>
      </w:r>
      <w:r>
        <w:rPr>
          <w:spacing w:val="-11"/>
        </w:rPr>
        <w:t> </w:t>
      </w:r>
      <w:r>
        <w:rPr/>
        <w:t>research</w:t>
      </w:r>
      <w:r>
        <w:rPr>
          <w:spacing w:val="-11"/>
        </w:rPr>
        <w:t> </w:t>
      </w:r>
      <w:r>
        <w:rPr/>
        <w:t>is</w:t>
      </w:r>
      <w:r>
        <w:rPr>
          <w:spacing w:val="-10"/>
        </w:rPr>
        <w:t> </w:t>
      </w:r>
      <w:r>
        <w:rPr/>
        <w:t>needed,</w:t>
      </w:r>
      <w:r>
        <w:rPr>
          <w:spacing w:val="-10"/>
        </w:rPr>
        <w:t> </w:t>
      </w:r>
      <w:r>
        <w:rPr/>
        <w:t>these</w:t>
      </w:r>
      <w:r>
        <w:rPr>
          <w:spacing w:val="-10"/>
        </w:rPr>
        <w:t> </w:t>
      </w:r>
      <w:r>
        <w:rPr/>
        <w:t>findings</w:t>
      </w:r>
      <w:r>
        <w:rPr>
          <w:spacing w:val="-10"/>
        </w:rPr>
        <w:t> </w:t>
      </w:r>
      <w:r>
        <w:rPr/>
        <w:t>suggest</w:t>
      </w:r>
      <w:r>
        <w:rPr>
          <w:spacing w:val="-12"/>
        </w:rPr>
        <w:t> </w:t>
      </w:r>
      <w:r>
        <w:rPr/>
        <w:t>in-person</w:t>
      </w:r>
      <w:r>
        <w:rPr>
          <w:spacing w:val="-11"/>
        </w:rPr>
        <w:t> </w:t>
      </w:r>
      <w:r>
        <w:rPr/>
        <w:t>social</w:t>
      </w:r>
      <w:r>
        <w:rPr>
          <w:spacing w:val="-11"/>
        </w:rPr>
        <w:t> </w:t>
      </w:r>
      <w:r>
        <w:rPr/>
        <w:t>experiences</w:t>
      </w:r>
      <w:r>
        <w:rPr>
          <w:spacing w:val="-11"/>
        </w:rPr>
        <w:t> </w:t>
      </w:r>
      <w:r>
        <w:rPr/>
        <w:t>and</w:t>
      </w:r>
      <w:r>
        <w:rPr>
          <w:spacing w:val="-10"/>
        </w:rPr>
        <w:t> </w:t>
      </w:r>
      <w:r>
        <w:rPr/>
        <w:t>peer</w:t>
      </w:r>
      <w:r>
        <w:rPr>
          <w:spacing w:val="-11"/>
        </w:rPr>
        <w:t> </w:t>
      </w:r>
      <w:r>
        <w:rPr/>
        <w:t>influence may</w:t>
      </w:r>
      <w:r>
        <w:rPr>
          <w:spacing w:val="-6"/>
        </w:rPr>
        <w:t> </w:t>
      </w:r>
      <w:r>
        <w:rPr/>
        <w:t>have</w:t>
      </w:r>
      <w:r>
        <w:rPr>
          <w:spacing w:val="-5"/>
        </w:rPr>
        <w:t> </w:t>
      </w:r>
      <w:r>
        <w:rPr/>
        <w:t>a</w:t>
      </w:r>
      <w:r>
        <w:rPr>
          <w:spacing w:val="-5"/>
        </w:rPr>
        <w:t> </w:t>
      </w:r>
      <w:r>
        <w:rPr/>
        <w:t>greater</w:t>
      </w:r>
      <w:r>
        <w:rPr>
          <w:spacing w:val="-6"/>
        </w:rPr>
        <w:t> </w:t>
      </w:r>
      <w:r>
        <w:rPr/>
        <w:t>impact</w:t>
      </w:r>
      <w:r>
        <w:rPr>
          <w:spacing w:val="-6"/>
        </w:rPr>
        <w:t> </w:t>
      </w:r>
      <w:r>
        <w:rPr/>
        <w:t>on</w:t>
      </w:r>
      <w:r>
        <w:rPr>
          <w:spacing w:val="-6"/>
        </w:rPr>
        <w:t> </w:t>
      </w:r>
      <w:r>
        <w:rPr/>
        <w:t>substance</w:t>
      </w:r>
      <w:r>
        <w:rPr>
          <w:spacing w:val="-5"/>
        </w:rPr>
        <w:t> </w:t>
      </w:r>
      <w:r>
        <w:rPr/>
        <w:t>use</w:t>
      </w:r>
      <w:r>
        <w:rPr>
          <w:spacing w:val="-5"/>
        </w:rPr>
        <w:t> </w:t>
      </w:r>
      <w:r>
        <w:rPr/>
        <w:t>than</w:t>
      </w:r>
      <w:r>
        <w:rPr>
          <w:spacing w:val="-6"/>
        </w:rPr>
        <w:t> </w:t>
      </w:r>
      <w:r>
        <w:rPr/>
        <w:t>mental</w:t>
      </w:r>
      <w:r>
        <w:rPr>
          <w:spacing w:val="-5"/>
        </w:rPr>
        <w:t> </w:t>
      </w:r>
      <w:r>
        <w:rPr/>
        <w:t>health</w:t>
      </w:r>
      <w:r>
        <w:rPr>
          <w:spacing w:val="-7"/>
        </w:rPr>
        <w:t> </w:t>
      </w:r>
      <w:r>
        <w:rPr/>
        <w:t>factors.</w:t>
      </w:r>
      <w:hyperlink w:history="true" w:anchor="_bookmark66">
        <w:r>
          <w:rPr>
            <w:vertAlign w:val="superscript"/>
          </w:rPr>
          <w:t>27</w:t>
        </w:r>
      </w:hyperlink>
      <w:r>
        <w:rPr>
          <w:spacing w:val="-3"/>
          <w:vertAlign w:val="baseline"/>
        </w:rPr>
        <w:t> </w:t>
      </w:r>
      <w:r>
        <w:rPr>
          <w:vertAlign w:val="baseline"/>
        </w:rPr>
        <w:t>We</w:t>
      </w:r>
      <w:r>
        <w:rPr>
          <w:spacing w:val="-5"/>
          <w:vertAlign w:val="baseline"/>
        </w:rPr>
        <w:t> </w:t>
      </w:r>
      <w:r>
        <w:rPr>
          <w:vertAlign w:val="baseline"/>
        </w:rPr>
        <w:t>interpret</w:t>
      </w:r>
      <w:r>
        <w:rPr>
          <w:spacing w:val="-6"/>
          <w:vertAlign w:val="baseline"/>
        </w:rPr>
        <w:t> </w:t>
      </w:r>
      <w:r>
        <w:rPr>
          <w:vertAlign w:val="baseline"/>
        </w:rPr>
        <w:t>these</w:t>
      </w:r>
      <w:r>
        <w:rPr>
          <w:spacing w:val="-5"/>
          <w:vertAlign w:val="baseline"/>
        </w:rPr>
        <w:t> </w:t>
      </w:r>
      <w:r>
        <w:rPr>
          <w:vertAlign w:val="baseline"/>
        </w:rPr>
        <w:t>findings</w:t>
      </w:r>
    </w:p>
    <w:p>
      <w:pPr>
        <w:spacing w:after="0" w:line="276" w:lineRule="auto"/>
        <w:jc w:val="both"/>
        <w:sectPr>
          <w:pgSz w:w="12240" w:h="15840"/>
          <w:pgMar w:header="763" w:footer="1041" w:top="1140" w:bottom="1240" w:left="1120" w:right="1180"/>
        </w:sectPr>
      </w:pPr>
    </w:p>
    <w:p>
      <w:pPr>
        <w:pStyle w:val="BodyText"/>
        <w:spacing w:line="276" w:lineRule="auto" w:before="66"/>
        <w:ind w:left="464" w:right="401"/>
        <w:jc w:val="both"/>
      </w:pPr>
      <w:r>
        <w:rPr/>
        <w:t>not</w:t>
      </w:r>
      <w:r>
        <w:rPr>
          <w:spacing w:val="-6"/>
        </w:rPr>
        <w:t> </w:t>
      </w:r>
      <w:r>
        <w:rPr/>
        <w:t>as</w:t>
      </w:r>
      <w:r>
        <w:rPr>
          <w:spacing w:val="-5"/>
        </w:rPr>
        <w:t> </w:t>
      </w:r>
      <w:r>
        <w:rPr/>
        <w:t>a</w:t>
      </w:r>
      <w:r>
        <w:rPr>
          <w:spacing w:val="-5"/>
        </w:rPr>
        <w:t> </w:t>
      </w:r>
      <w:r>
        <w:rPr/>
        <w:t>call</w:t>
      </w:r>
      <w:r>
        <w:rPr>
          <w:spacing w:val="-5"/>
        </w:rPr>
        <w:t> </w:t>
      </w:r>
      <w:r>
        <w:rPr/>
        <w:t>for</w:t>
      </w:r>
      <w:r>
        <w:rPr>
          <w:spacing w:val="-5"/>
        </w:rPr>
        <w:t> </w:t>
      </w:r>
      <w:r>
        <w:rPr/>
        <w:t>a</w:t>
      </w:r>
      <w:r>
        <w:rPr>
          <w:spacing w:val="-5"/>
        </w:rPr>
        <w:t> </w:t>
      </w:r>
      <w:r>
        <w:rPr/>
        <w:t>decrease</w:t>
      </w:r>
      <w:r>
        <w:rPr>
          <w:spacing w:val="-4"/>
        </w:rPr>
        <w:t> </w:t>
      </w:r>
      <w:r>
        <w:rPr/>
        <w:t>of</w:t>
      </w:r>
      <w:r>
        <w:rPr>
          <w:spacing w:val="-5"/>
        </w:rPr>
        <w:t> </w:t>
      </w:r>
      <w:r>
        <w:rPr/>
        <w:t>in-person</w:t>
      </w:r>
      <w:r>
        <w:rPr>
          <w:spacing w:val="-4"/>
        </w:rPr>
        <w:t> </w:t>
      </w:r>
      <w:r>
        <w:rPr/>
        <w:t>social</w:t>
      </w:r>
      <w:r>
        <w:rPr>
          <w:spacing w:val="-5"/>
        </w:rPr>
        <w:t> </w:t>
      </w:r>
      <w:r>
        <w:rPr/>
        <w:t>interaction,</w:t>
      </w:r>
      <w:r>
        <w:rPr>
          <w:spacing w:val="-5"/>
        </w:rPr>
        <w:t> </w:t>
      </w:r>
      <w:r>
        <w:rPr/>
        <w:t>but</w:t>
      </w:r>
      <w:r>
        <w:rPr>
          <w:spacing w:val="-6"/>
        </w:rPr>
        <w:t> </w:t>
      </w:r>
      <w:r>
        <w:rPr/>
        <w:t>as</w:t>
      </w:r>
      <w:r>
        <w:rPr>
          <w:spacing w:val="-5"/>
        </w:rPr>
        <w:t> </w:t>
      </w:r>
      <w:r>
        <w:rPr/>
        <w:t>a</w:t>
      </w:r>
      <w:r>
        <w:rPr>
          <w:spacing w:val="-4"/>
        </w:rPr>
        <w:t> </w:t>
      </w:r>
      <w:r>
        <w:rPr/>
        <w:t>reminder</w:t>
      </w:r>
      <w:r>
        <w:rPr>
          <w:spacing w:val="-4"/>
        </w:rPr>
        <w:t> </w:t>
      </w:r>
      <w:r>
        <w:rPr/>
        <w:t>that</w:t>
      </w:r>
      <w:r>
        <w:rPr>
          <w:spacing w:val="-6"/>
        </w:rPr>
        <w:t> </w:t>
      </w:r>
      <w:r>
        <w:rPr/>
        <w:t>LGBTQ</w:t>
      </w:r>
      <w:r>
        <w:rPr>
          <w:spacing w:val="-6"/>
        </w:rPr>
        <w:t> </w:t>
      </w:r>
      <w:r>
        <w:rPr/>
        <w:t>youth</w:t>
      </w:r>
      <w:r>
        <w:rPr>
          <w:spacing w:val="-6"/>
        </w:rPr>
        <w:t> </w:t>
      </w:r>
      <w:r>
        <w:rPr/>
        <w:t>(and</w:t>
      </w:r>
      <w:r>
        <w:rPr>
          <w:spacing w:val="-6"/>
        </w:rPr>
        <w:t> </w:t>
      </w:r>
      <w:r>
        <w:rPr/>
        <w:t>all youth)</w:t>
      </w:r>
      <w:r>
        <w:rPr>
          <w:spacing w:val="-13"/>
        </w:rPr>
        <w:t> </w:t>
      </w:r>
      <w:r>
        <w:rPr/>
        <w:t>need</w:t>
      </w:r>
      <w:r>
        <w:rPr>
          <w:spacing w:val="-12"/>
        </w:rPr>
        <w:t> </w:t>
      </w:r>
      <w:r>
        <w:rPr/>
        <w:t>a</w:t>
      </w:r>
      <w:r>
        <w:rPr>
          <w:spacing w:val="-13"/>
        </w:rPr>
        <w:t> </w:t>
      </w:r>
      <w:r>
        <w:rPr/>
        <w:t>variety</w:t>
      </w:r>
      <w:r>
        <w:rPr>
          <w:spacing w:val="-12"/>
        </w:rPr>
        <w:t> </w:t>
      </w:r>
      <w:r>
        <w:rPr/>
        <w:t>of</w:t>
      </w:r>
      <w:r>
        <w:rPr>
          <w:spacing w:val="-13"/>
        </w:rPr>
        <w:t> </w:t>
      </w:r>
      <w:r>
        <w:rPr/>
        <w:t>potential</w:t>
      </w:r>
      <w:r>
        <w:rPr>
          <w:spacing w:val="-12"/>
        </w:rPr>
        <w:t> </w:t>
      </w:r>
      <w:r>
        <w:rPr/>
        <w:t>entry</w:t>
      </w:r>
      <w:r>
        <w:rPr>
          <w:spacing w:val="-13"/>
        </w:rPr>
        <w:t> </w:t>
      </w:r>
      <w:r>
        <w:rPr/>
        <w:t>points</w:t>
      </w:r>
      <w:r>
        <w:rPr>
          <w:spacing w:val="-12"/>
        </w:rPr>
        <w:t> </w:t>
      </w:r>
      <w:r>
        <w:rPr/>
        <w:t>into</w:t>
      </w:r>
      <w:r>
        <w:rPr>
          <w:spacing w:val="-12"/>
        </w:rPr>
        <w:t> </w:t>
      </w:r>
      <w:r>
        <w:rPr/>
        <w:t>social</w:t>
      </w:r>
      <w:r>
        <w:rPr>
          <w:spacing w:val="-13"/>
        </w:rPr>
        <w:t> </w:t>
      </w:r>
      <w:r>
        <w:rPr/>
        <w:t>interaction</w:t>
      </w:r>
      <w:r>
        <w:rPr>
          <w:spacing w:val="-12"/>
        </w:rPr>
        <w:t> </w:t>
      </w:r>
      <w:r>
        <w:rPr/>
        <w:t>and</w:t>
      </w:r>
      <w:r>
        <w:rPr>
          <w:spacing w:val="-13"/>
        </w:rPr>
        <w:t> </w:t>
      </w:r>
      <w:r>
        <w:rPr/>
        <w:t>relationships</w:t>
      </w:r>
      <w:r>
        <w:rPr>
          <w:spacing w:val="-12"/>
        </w:rPr>
        <w:t> </w:t>
      </w:r>
      <w:r>
        <w:rPr/>
        <w:t>in</w:t>
      </w:r>
      <w:r>
        <w:rPr>
          <w:spacing w:val="-13"/>
        </w:rPr>
        <w:t> </w:t>
      </w:r>
      <w:r>
        <w:rPr/>
        <w:t>order</w:t>
      </w:r>
      <w:r>
        <w:rPr>
          <w:spacing w:val="-12"/>
        </w:rPr>
        <w:t> </w:t>
      </w:r>
      <w:r>
        <w:rPr/>
        <w:t>to</w:t>
      </w:r>
      <w:r>
        <w:rPr>
          <w:spacing w:val="-12"/>
        </w:rPr>
        <w:t> </w:t>
      </w:r>
      <w:r>
        <w:rPr/>
        <w:t>make the best and healthiest choices for themselves.</w:t>
      </w:r>
    </w:p>
    <w:p>
      <w:pPr>
        <w:pStyle w:val="BodyText"/>
        <w:spacing w:line="276" w:lineRule="auto" w:before="240"/>
        <w:ind w:left="463" w:right="403"/>
        <w:jc w:val="both"/>
      </w:pPr>
      <w:r>
        <w:rPr/>
        <w:t>Through the isolation of COVID-19, we learned the importance of “synchronous, text-based online platforms</w:t>
      </w:r>
      <w:r>
        <w:rPr>
          <w:spacing w:val="-2"/>
        </w:rPr>
        <w:t> </w:t>
      </w:r>
      <w:r>
        <w:rPr/>
        <w:t>to enable</w:t>
      </w:r>
      <w:r>
        <w:rPr>
          <w:spacing w:val="-1"/>
        </w:rPr>
        <w:t> </w:t>
      </w:r>
      <w:r>
        <w:rPr/>
        <w:t>LGBTQ</w:t>
      </w:r>
      <w:r>
        <w:rPr>
          <w:spacing w:val="-2"/>
        </w:rPr>
        <w:t> </w:t>
      </w:r>
      <w:r>
        <w:rPr/>
        <w:t>youth</w:t>
      </w:r>
      <w:r>
        <w:rPr>
          <w:spacing w:val="-2"/>
        </w:rPr>
        <w:t> </w:t>
      </w:r>
      <w:r>
        <w:rPr/>
        <w:t>to feel</w:t>
      </w:r>
      <w:r>
        <w:rPr>
          <w:spacing w:val="-2"/>
        </w:rPr>
        <w:t> </w:t>
      </w:r>
      <w:r>
        <w:rPr/>
        <w:t>safe</w:t>
      </w:r>
      <w:r>
        <w:rPr>
          <w:spacing w:val="-2"/>
        </w:rPr>
        <w:t> </w:t>
      </w:r>
      <w:r>
        <w:rPr/>
        <w:t>to seek</w:t>
      </w:r>
      <w:r>
        <w:rPr>
          <w:spacing w:val="-2"/>
        </w:rPr>
        <w:t> </w:t>
      </w:r>
      <w:r>
        <w:rPr/>
        <w:t>support</w:t>
      </w:r>
      <w:r>
        <w:rPr>
          <w:spacing w:val="-2"/>
        </w:rPr>
        <w:t> </w:t>
      </w:r>
      <w:r>
        <w:rPr/>
        <w:t>while</w:t>
      </w:r>
      <w:r>
        <w:rPr>
          <w:spacing w:val="-2"/>
        </w:rPr>
        <w:t> </w:t>
      </w:r>
      <w:r>
        <w:rPr/>
        <w:t>at</w:t>
      </w:r>
      <w:r>
        <w:rPr>
          <w:spacing w:val="-1"/>
        </w:rPr>
        <w:t> </w:t>
      </w:r>
      <w:r>
        <w:rPr/>
        <w:t>home”</w:t>
      </w:r>
      <w:r>
        <w:rPr>
          <w:spacing w:val="-2"/>
        </w:rPr>
        <w:t> </w:t>
      </w:r>
      <w:r>
        <w:rPr/>
        <w:t>(p.</w:t>
      </w:r>
      <w:r>
        <w:rPr>
          <w:spacing w:val="-2"/>
        </w:rPr>
        <w:t> </w:t>
      </w:r>
      <w:r>
        <w:rPr/>
        <w:t>480).</w:t>
      </w:r>
      <w:hyperlink w:history="true" w:anchor="_bookmark67">
        <w:r>
          <w:rPr>
            <w:vertAlign w:val="superscript"/>
          </w:rPr>
          <w:t>28</w:t>
        </w:r>
      </w:hyperlink>
      <w:r>
        <w:rPr>
          <w:spacing w:val="-2"/>
          <w:vertAlign w:val="baseline"/>
        </w:rPr>
        <w:t> </w:t>
      </w:r>
      <w:r>
        <w:rPr>
          <w:vertAlign w:val="baseline"/>
        </w:rPr>
        <w:t>While</w:t>
      </w:r>
      <w:r>
        <w:rPr>
          <w:spacing w:val="-2"/>
          <w:vertAlign w:val="baseline"/>
        </w:rPr>
        <w:t> </w:t>
      </w:r>
      <w:r>
        <w:rPr>
          <w:vertAlign w:val="baseline"/>
        </w:rPr>
        <w:t>we</w:t>
      </w:r>
      <w:r>
        <w:rPr>
          <w:spacing w:val="-1"/>
          <w:vertAlign w:val="baseline"/>
        </w:rPr>
        <w:t> </w:t>
      </w:r>
      <w:r>
        <w:rPr>
          <w:vertAlign w:val="baseline"/>
        </w:rPr>
        <w:t>are no longer confined to our houses, there are many LGBTQ youth who are still living with unsupportive parents</w:t>
      </w:r>
      <w:r>
        <w:rPr>
          <w:spacing w:val="-13"/>
          <w:vertAlign w:val="baseline"/>
        </w:rPr>
        <w:t> </w:t>
      </w:r>
      <w:r>
        <w:rPr>
          <w:vertAlign w:val="baseline"/>
        </w:rPr>
        <w:t>and</w:t>
      </w:r>
      <w:r>
        <w:rPr>
          <w:spacing w:val="-12"/>
          <w:vertAlign w:val="baseline"/>
        </w:rPr>
        <w:t> </w:t>
      </w:r>
      <w:r>
        <w:rPr>
          <w:vertAlign w:val="baseline"/>
        </w:rPr>
        <w:t>who</w:t>
      </w:r>
      <w:r>
        <w:rPr>
          <w:spacing w:val="-13"/>
          <w:vertAlign w:val="baseline"/>
        </w:rPr>
        <w:t> </w:t>
      </w:r>
      <w:r>
        <w:rPr>
          <w:vertAlign w:val="baseline"/>
        </w:rPr>
        <w:t>would</w:t>
      </w:r>
      <w:r>
        <w:rPr>
          <w:spacing w:val="-12"/>
          <w:vertAlign w:val="baseline"/>
        </w:rPr>
        <w:t> </w:t>
      </w:r>
      <w:r>
        <w:rPr>
          <w:vertAlign w:val="baseline"/>
        </w:rPr>
        <w:t>benefit</w:t>
      </w:r>
      <w:r>
        <w:rPr>
          <w:spacing w:val="-13"/>
          <w:vertAlign w:val="baseline"/>
        </w:rPr>
        <w:t> </w:t>
      </w:r>
      <w:r>
        <w:rPr>
          <w:vertAlign w:val="baseline"/>
        </w:rPr>
        <w:t>from</w:t>
      </w:r>
      <w:r>
        <w:rPr>
          <w:spacing w:val="-12"/>
          <w:vertAlign w:val="baseline"/>
        </w:rPr>
        <w:t> </w:t>
      </w:r>
      <w:r>
        <w:rPr>
          <w:vertAlign w:val="baseline"/>
        </w:rPr>
        <w:t>resources</w:t>
      </w:r>
      <w:r>
        <w:rPr>
          <w:spacing w:val="-13"/>
          <w:vertAlign w:val="baseline"/>
        </w:rPr>
        <w:t> </w:t>
      </w:r>
      <w:r>
        <w:rPr>
          <w:vertAlign w:val="baseline"/>
        </w:rPr>
        <w:t>similar</w:t>
      </w:r>
      <w:r>
        <w:rPr>
          <w:spacing w:val="-12"/>
          <w:vertAlign w:val="baseline"/>
        </w:rPr>
        <w:t> </w:t>
      </w:r>
      <w:r>
        <w:rPr>
          <w:vertAlign w:val="baseline"/>
        </w:rPr>
        <w:t>to</w:t>
      </w:r>
      <w:r>
        <w:rPr>
          <w:spacing w:val="-12"/>
          <w:vertAlign w:val="baseline"/>
        </w:rPr>
        <w:t> </w:t>
      </w:r>
      <w:r>
        <w:rPr>
          <w:vertAlign w:val="baseline"/>
        </w:rPr>
        <w:t>those</w:t>
      </w:r>
      <w:r>
        <w:rPr>
          <w:spacing w:val="-13"/>
          <w:vertAlign w:val="baseline"/>
        </w:rPr>
        <w:t> </w:t>
      </w:r>
      <w:r>
        <w:rPr>
          <w:vertAlign w:val="baseline"/>
        </w:rPr>
        <w:t>offered</w:t>
      </w:r>
      <w:r>
        <w:rPr>
          <w:spacing w:val="-12"/>
          <w:vertAlign w:val="baseline"/>
        </w:rPr>
        <w:t> </w:t>
      </w:r>
      <w:r>
        <w:rPr>
          <w:vertAlign w:val="baseline"/>
        </w:rPr>
        <w:t>during</w:t>
      </w:r>
      <w:r>
        <w:rPr>
          <w:spacing w:val="-11"/>
          <w:vertAlign w:val="baseline"/>
        </w:rPr>
        <w:t> </w:t>
      </w:r>
      <w:r>
        <w:rPr>
          <w:vertAlign w:val="baseline"/>
        </w:rPr>
        <w:t>COVID</w:t>
      </w:r>
      <w:r>
        <w:rPr>
          <w:spacing w:val="-12"/>
          <w:vertAlign w:val="baseline"/>
        </w:rPr>
        <w:t> </w:t>
      </w:r>
      <w:r>
        <w:rPr>
          <w:vertAlign w:val="baseline"/>
        </w:rPr>
        <w:t>such</w:t>
      </w:r>
      <w:r>
        <w:rPr>
          <w:spacing w:val="-13"/>
          <w:vertAlign w:val="baseline"/>
        </w:rPr>
        <w:t> </w:t>
      </w:r>
      <w:r>
        <w:rPr>
          <w:vertAlign w:val="baseline"/>
        </w:rPr>
        <w:t>as</w:t>
      </w:r>
      <w:r>
        <w:rPr>
          <w:spacing w:val="-12"/>
          <w:vertAlign w:val="baseline"/>
        </w:rPr>
        <w:t> </w:t>
      </w:r>
      <w:r>
        <w:rPr>
          <w:vertAlign w:val="baseline"/>
        </w:rPr>
        <w:t>In-person and online mental health supports, text-based mental health-focused platforms, and virtual communities.</w:t>
      </w:r>
      <w:hyperlink w:history="true" w:anchor="_bookmark68">
        <w:r>
          <w:rPr>
            <w:vertAlign w:val="superscript"/>
          </w:rPr>
          <w:t>29</w:t>
        </w:r>
      </w:hyperlink>
      <w:r>
        <w:rPr>
          <w:spacing w:val="-3"/>
          <w:vertAlign w:val="baseline"/>
        </w:rPr>
        <w:t> </w:t>
      </w:r>
      <w:r>
        <w:rPr>
          <w:vertAlign w:val="baseline"/>
        </w:rPr>
        <w:t>Therefore, schools should have</w:t>
      </w:r>
      <w:r>
        <w:rPr>
          <w:spacing w:val="-1"/>
          <w:vertAlign w:val="baseline"/>
        </w:rPr>
        <w:t> </w:t>
      </w:r>
      <w:r>
        <w:rPr>
          <w:vertAlign w:val="baseline"/>
        </w:rPr>
        <w:t>both in-person</w:t>
      </w:r>
      <w:r>
        <w:rPr>
          <w:spacing w:val="-1"/>
          <w:vertAlign w:val="baseline"/>
        </w:rPr>
        <w:t> </w:t>
      </w:r>
      <w:r>
        <w:rPr>
          <w:vertAlign w:val="baseline"/>
        </w:rPr>
        <w:t>and text-based</w:t>
      </w:r>
      <w:r>
        <w:rPr>
          <w:spacing w:val="-1"/>
          <w:vertAlign w:val="baseline"/>
        </w:rPr>
        <w:t> </w:t>
      </w:r>
      <w:r>
        <w:rPr>
          <w:vertAlign w:val="baseline"/>
        </w:rPr>
        <w:t>online</w:t>
      </w:r>
      <w:r>
        <w:rPr>
          <w:spacing w:val="-1"/>
          <w:vertAlign w:val="baseline"/>
        </w:rPr>
        <w:t> </w:t>
      </w:r>
      <w:r>
        <w:rPr>
          <w:vertAlign w:val="baseline"/>
        </w:rPr>
        <w:t>support options</w:t>
      </w:r>
    </w:p>
    <w:p>
      <w:pPr>
        <w:pStyle w:val="BodyText"/>
        <w:spacing w:line="276" w:lineRule="auto"/>
        <w:ind w:left="463" w:right="401"/>
        <w:jc w:val="both"/>
      </w:pPr>
      <w:r>
        <w:rPr/>
        <w:t>/ communities available to students so that LGBTQ youth in a variety of settings with differing social and support needs can be well-resourced.</w:t>
      </w:r>
    </w:p>
    <w:p>
      <w:pPr>
        <w:spacing w:before="239"/>
        <w:ind w:left="464" w:right="0" w:firstLine="0"/>
        <w:jc w:val="left"/>
        <w:rPr>
          <w:sz w:val="28"/>
        </w:rPr>
      </w:pPr>
      <w:bookmarkStart w:name="Athletics" w:id="145"/>
      <w:bookmarkEnd w:id="145"/>
      <w:r>
        <w:rPr/>
      </w:r>
      <w:r>
        <w:rPr>
          <w:color w:val="404040"/>
          <w:spacing w:val="-2"/>
          <w:sz w:val="28"/>
        </w:rPr>
        <w:t>Athletics</w:t>
      </w:r>
    </w:p>
    <w:p>
      <w:pPr>
        <w:pStyle w:val="BodyText"/>
        <w:spacing w:line="276" w:lineRule="auto" w:before="292"/>
        <w:ind w:left="464" w:right="401"/>
        <w:jc w:val="both"/>
      </w:pPr>
      <w:r>
        <w:rPr/>
        <w:t>LGBTQ youth who participate in school sports demonstrate increased well-being and higher rates of school belonging. However, LGBTQ youth report wanting to participate in sports, but avoid doing so because of homophobic comments and feeling unsafe.</w:t>
      </w:r>
      <w:hyperlink w:history="true" w:anchor="_bookmark69">
        <w:r>
          <w:rPr>
            <w:vertAlign w:val="superscript"/>
          </w:rPr>
          <w:t>30</w:t>
        </w:r>
      </w:hyperlink>
      <w:r>
        <w:rPr>
          <w:vertAlign w:val="baseline"/>
        </w:rPr>
        <w:t> Participation in sports has been linked to higher self-esteem and school belonging and less depressive symptoms. Notably, the same research suggests</w:t>
      </w:r>
      <w:r>
        <w:rPr>
          <w:spacing w:val="-5"/>
          <w:vertAlign w:val="baseline"/>
        </w:rPr>
        <w:t> </w:t>
      </w:r>
      <w:r>
        <w:rPr>
          <w:vertAlign w:val="baseline"/>
        </w:rPr>
        <w:t>that</w:t>
      </w:r>
      <w:r>
        <w:rPr>
          <w:spacing w:val="-4"/>
          <w:vertAlign w:val="baseline"/>
        </w:rPr>
        <w:t> </w:t>
      </w:r>
      <w:r>
        <w:rPr>
          <w:vertAlign w:val="baseline"/>
        </w:rPr>
        <w:t>gender</w:t>
      </w:r>
      <w:r>
        <w:rPr>
          <w:spacing w:val="-5"/>
          <w:vertAlign w:val="baseline"/>
        </w:rPr>
        <w:t> </w:t>
      </w:r>
      <w:r>
        <w:rPr>
          <w:vertAlign w:val="baseline"/>
        </w:rPr>
        <w:t>expansive</w:t>
      </w:r>
      <w:r>
        <w:rPr>
          <w:spacing w:val="-7"/>
          <w:vertAlign w:val="baseline"/>
        </w:rPr>
        <w:t> </w:t>
      </w:r>
      <w:r>
        <w:rPr>
          <w:vertAlign w:val="baseline"/>
        </w:rPr>
        <w:t>youth</w:t>
      </w:r>
      <w:r>
        <w:rPr>
          <w:spacing w:val="-5"/>
          <w:vertAlign w:val="baseline"/>
        </w:rPr>
        <w:t> </w:t>
      </w:r>
      <w:r>
        <w:rPr>
          <w:vertAlign w:val="baseline"/>
        </w:rPr>
        <w:t>do</w:t>
      </w:r>
      <w:r>
        <w:rPr>
          <w:spacing w:val="-5"/>
          <w:vertAlign w:val="baseline"/>
        </w:rPr>
        <w:t> </w:t>
      </w:r>
      <w:r>
        <w:rPr>
          <w:vertAlign w:val="baseline"/>
        </w:rPr>
        <w:t>not</w:t>
      </w:r>
      <w:r>
        <w:rPr>
          <w:spacing w:val="-7"/>
          <w:vertAlign w:val="baseline"/>
        </w:rPr>
        <w:t> </w:t>
      </w:r>
      <w:r>
        <w:rPr>
          <w:vertAlign w:val="baseline"/>
        </w:rPr>
        <w:t>always</w:t>
      </w:r>
      <w:r>
        <w:rPr>
          <w:spacing w:val="-5"/>
          <w:vertAlign w:val="baseline"/>
        </w:rPr>
        <w:t> </w:t>
      </w:r>
      <w:r>
        <w:rPr>
          <w:vertAlign w:val="baseline"/>
        </w:rPr>
        <w:t>know</w:t>
      </w:r>
      <w:r>
        <w:rPr>
          <w:spacing w:val="-6"/>
          <w:vertAlign w:val="baseline"/>
        </w:rPr>
        <w:t> </w:t>
      </w:r>
      <w:r>
        <w:rPr>
          <w:vertAlign w:val="baseline"/>
        </w:rPr>
        <w:t>that</w:t>
      </w:r>
      <w:r>
        <w:rPr>
          <w:spacing w:val="-7"/>
          <w:vertAlign w:val="baseline"/>
        </w:rPr>
        <w:t> </w:t>
      </w:r>
      <w:r>
        <w:rPr>
          <w:vertAlign w:val="baseline"/>
        </w:rPr>
        <w:t>local</w:t>
      </w:r>
      <w:r>
        <w:rPr>
          <w:spacing w:val="-6"/>
          <w:vertAlign w:val="baseline"/>
        </w:rPr>
        <w:t> </w:t>
      </w:r>
      <w:r>
        <w:rPr>
          <w:vertAlign w:val="baseline"/>
        </w:rPr>
        <w:t>and</w:t>
      </w:r>
      <w:r>
        <w:rPr>
          <w:spacing w:val="-5"/>
          <w:vertAlign w:val="baseline"/>
        </w:rPr>
        <w:t> </w:t>
      </w:r>
      <w:r>
        <w:rPr>
          <w:vertAlign w:val="baseline"/>
        </w:rPr>
        <w:t>state</w:t>
      </w:r>
      <w:r>
        <w:rPr>
          <w:spacing w:val="-5"/>
          <w:vertAlign w:val="baseline"/>
        </w:rPr>
        <w:t> </w:t>
      </w:r>
      <w:r>
        <w:rPr>
          <w:vertAlign w:val="baseline"/>
        </w:rPr>
        <w:t>policies</w:t>
      </w:r>
      <w:r>
        <w:rPr>
          <w:spacing w:val="-6"/>
          <w:vertAlign w:val="baseline"/>
        </w:rPr>
        <w:t> </w:t>
      </w:r>
      <w:r>
        <w:rPr>
          <w:vertAlign w:val="baseline"/>
        </w:rPr>
        <w:t>already</w:t>
      </w:r>
      <w:r>
        <w:rPr>
          <w:spacing w:val="-4"/>
          <w:vertAlign w:val="baseline"/>
        </w:rPr>
        <w:t> </w:t>
      </w:r>
      <w:r>
        <w:rPr>
          <w:vertAlign w:val="baseline"/>
        </w:rPr>
        <w:t>protect </w:t>
      </w:r>
      <w:r>
        <w:rPr>
          <w:spacing w:val="-2"/>
          <w:vertAlign w:val="baseline"/>
        </w:rPr>
        <w:t>them.</w:t>
      </w:r>
      <w:r>
        <w:rPr>
          <w:spacing w:val="-2"/>
          <w:vertAlign w:val="superscript"/>
        </w:rPr>
        <w:t>26</w:t>
      </w:r>
    </w:p>
    <w:p>
      <w:pPr>
        <w:pStyle w:val="BodyText"/>
        <w:spacing w:line="276" w:lineRule="auto" w:before="241"/>
        <w:ind w:left="463" w:right="401"/>
        <w:jc w:val="both"/>
      </w:pPr>
      <w:r>
        <w:rPr/>
        <w:t>LGBTQ students reported their desire for increased coed sport options, gender-inclusive changing facilities / safer changing facilities, the ability to wear uniforms that are gender-affirming, and increased LGBTQ competency training for physical education teachers.</w:t>
      </w:r>
      <w:hyperlink w:history="true" w:anchor="_bookmark70">
        <w:r>
          <w:rPr>
            <w:vertAlign w:val="superscript"/>
          </w:rPr>
          <w:t>31</w:t>
        </w:r>
      </w:hyperlink>
      <w:r>
        <w:rPr>
          <w:spacing w:val="-3"/>
          <w:vertAlign w:val="baseline"/>
        </w:rPr>
        <w:t> </w:t>
      </w:r>
      <w:r>
        <w:rPr>
          <w:vertAlign w:val="baseline"/>
        </w:rPr>
        <w:t>Coaches and administrators can play a supportive role by ensuring that policies are clear, publicly known, and enforced. For example, MIAA has developed a supportive policy that asserts that students should be able to participate</w:t>
      </w:r>
      <w:r>
        <w:rPr>
          <w:spacing w:val="-5"/>
          <w:vertAlign w:val="baseline"/>
        </w:rPr>
        <w:t> </w:t>
      </w:r>
      <w:r>
        <w:rPr>
          <w:vertAlign w:val="baseline"/>
        </w:rPr>
        <w:t>in</w:t>
      </w:r>
      <w:r>
        <w:rPr>
          <w:spacing w:val="-6"/>
          <w:vertAlign w:val="baseline"/>
        </w:rPr>
        <w:t> </w:t>
      </w:r>
      <w:r>
        <w:rPr>
          <w:vertAlign w:val="baseline"/>
        </w:rPr>
        <w:t>the</w:t>
      </w:r>
      <w:r>
        <w:rPr>
          <w:spacing w:val="-7"/>
          <w:vertAlign w:val="baseline"/>
        </w:rPr>
        <w:t> </w:t>
      </w:r>
      <w:r>
        <w:rPr>
          <w:vertAlign w:val="baseline"/>
        </w:rPr>
        <w:t>sports</w:t>
      </w:r>
      <w:r>
        <w:rPr>
          <w:spacing w:val="-5"/>
          <w:vertAlign w:val="baseline"/>
        </w:rPr>
        <w:t> </w:t>
      </w:r>
      <w:r>
        <w:rPr>
          <w:vertAlign w:val="baseline"/>
        </w:rPr>
        <w:t>team</w:t>
      </w:r>
      <w:r>
        <w:rPr>
          <w:spacing w:val="-7"/>
          <w:vertAlign w:val="baseline"/>
        </w:rPr>
        <w:t> </w:t>
      </w:r>
      <w:r>
        <w:rPr>
          <w:vertAlign w:val="baseline"/>
        </w:rPr>
        <w:t>that</w:t>
      </w:r>
      <w:r>
        <w:rPr>
          <w:spacing w:val="-6"/>
          <w:vertAlign w:val="baseline"/>
        </w:rPr>
        <w:t> </w:t>
      </w:r>
      <w:r>
        <w:rPr>
          <w:vertAlign w:val="baseline"/>
        </w:rPr>
        <w:t>aligns</w:t>
      </w:r>
      <w:r>
        <w:rPr>
          <w:spacing w:val="-6"/>
          <w:vertAlign w:val="baseline"/>
        </w:rPr>
        <w:t> </w:t>
      </w:r>
      <w:r>
        <w:rPr>
          <w:vertAlign w:val="baseline"/>
        </w:rPr>
        <w:t>with</w:t>
      </w:r>
      <w:r>
        <w:rPr>
          <w:spacing w:val="-6"/>
          <w:vertAlign w:val="baseline"/>
        </w:rPr>
        <w:t> </w:t>
      </w:r>
      <w:r>
        <w:rPr>
          <w:vertAlign w:val="baseline"/>
        </w:rPr>
        <w:t>their</w:t>
      </w:r>
      <w:r>
        <w:rPr>
          <w:spacing w:val="-5"/>
          <w:vertAlign w:val="baseline"/>
        </w:rPr>
        <w:t> </w:t>
      </w:r>
      <w:r>
        <w:rPr>
          <w:vertAlign w:val="baseline"/>
        </w:rPr>
        <w:t>gender</w:t>
      </w:r>
      <w:r>
        <w:rPr>
          <w:spacing w:val="-5"/>
          <w:vertAlign w:val="baseline"/>
        </w:rPr>
        <w:t> </w:t>
      </w:r>
      <w:r>
        <w:rPr>
          <w:vertAlign w:val="baseline"/>
        </w:rPr>
        <w:t>identity.</w:t>
      </w:r>
      <w:hyperlink w:history="true" w:anchor="_bookmark71">
        <w:r>
          <w:rPr>
            <w:vertAlign w:val="superscript"/>
          </w:rPr>
          <w:t>32</w:t>
        </w:r>
      </w:hyperlink>
      <w:r>
        <w:rPr>
          <w:spacing w:val="-3"/>
          <w:vertAlign w:val="baseline"/>
        </w:rPr>
        <w:t> </w:t>
      </w:r>
      <w:r>
        <w:rPr>
          <w:vertAlign w:val="baseline"/>
        </w:rPr>
        <w:t>Administrators</w:t>
      </w:r>
      <w:r>
        <w:rPr>
          <w:spacing w:val="-6"/>
          <w:vertAlign w:val="baseline"/>
        </w:rPr>
        <w:t> </w:t>
      </w:r>
      <w:r>
        <w:rPr>
          <w:vertAlign w:val="baseline"/>
        </w:rPr>
        <w:t>and</w:t>
      </w:r>
      <w:r>
        <w:rPr>
          <w:spacing w:val="-7"/>
          <w:vertAlign w:val="baseline"/>
        </w:rPr>
        <w:t> </w:t>
      </w:r>
      <w:r>
        <w:rPr>
          <w:vertAlign w:val="baseline"/>
        </w:rPr>
        <w:t>athletic</w:t>
      </w:r>
      <w:r>
        <w:rPr>
          <w:spacing w:val="-6"/>
          <w:vertAlign w:val="baseline"/>
        </w:rPr>
        <w:t> </w:t>
      </w:r>
      <w:r>
        <w:rPr>
          <w:vertAlign w:val="baseline"/>
        </w:rPr>
        <w:t>staff should make sure this policy is adhered to.</w:t>
      </w:r>
    </w:p>
    <w:p>
      <w:pPr>
        <w:spacing w:before="238"/>
        <w:ind w:left="464" w:right="0" w:firstLine="0"/>
        <w:jc w:val="left"/>
        <w:rPr>
          <w:sz w:val="28"/>
        </w:rPr>
      </w:pPr>
      <w:bookmarkStart w:name="Training and Professional Development fo" w:id="146"/>
      <w:bookmarkEnd w:id="146"/>
      <w:r>
        <w:rPr/>
      </w:r>
      <w:r>
        <w:rPr>
          <w:color w:val="365F91"/>
          <w:sz w:val="28"/>
        </w:rPr>
        <w:t>Training</w:t>
      </w:r>
      <w:r>
        <w:rPr>
          <w:color w:val="365F91"/>
          <w:spacing w:val="-12"/>
          <w:sz w:val="28"/>
        </w:rPr>
        <w:t> </w:t>
      </w:r>
      <w:r>
        <w:rPr>
          <w:color w:val="365F91"/>
          <w:sz w:val="28"/>
        </w:rPr>
        <w:t>and</w:t>
      </w:r>
      <w:r>
        <w:rPr>
          <w:color w:val="365F91"/>
          <w:spacing w:val="-12"/>
          <w:sz w:val="28"/>
        </w:rPr>
        <w:t> </w:t>
      </w:r>
      <w:r>
        <w:rPr>
          <w:color w:val="365F91"/>
          <w:sz w:val="28"/>
        </w:rPr>
        <w:t>Professional</w:t>
      </w:r>
      <w:r>
        <w:rPr>
          <w:color w:val="365F91"/>
          <w:spacing w:val="-11"/>
          <w:sz w:val="28"/>
        </w:rPr>
        <w:t> </w:t>
      </w:r>
      <w:r>
        <w:rPr>
          <w:color w:val="365F91"/>
          <w:sz w:val="28"/>
        </w:rPr>
        <w:t>Development</w:t>
      </w:r>
      <w:r>
        <w:rPr>
          <w:color w:val="365F91"/>
          <w:spacing w:val="-12"/>
          <w:sz w:val="28"/>
        </w:rPr>
        <w:t> </w:t>
      </w:r>
      <w:r>
        <w:rPr>
          <w:color w:val="365F91"/>
          <w:sz w:val="28"/>
        </w:rPr>
        <w:t>for</w:t>
      </w:r>
      <w:r>
        <w:rPr>
          <w:color w:val="365F91"/>
          <w:spacing w:val="-12"/>
          <w:sz w:val="28"/>
        </w:rPr>
        <w:t> </w:t>
      </w:r>
      <w:r>
        <w:rPr>
          <w:color w:val="365F91"/>
          <w:spacing w:val="-2"/>
          <w:sz w:val="28"/>
        </w:rPr>
        <w:t>Educators</w:t>
      </w:r>
    </w:p>
    <w:p>
      <w:pPr>
        <w:pStyle w:val="BodyText"/>
        <w:spacing w:line="276" w:lineRule="auto" w:before="293"/>
        <w:ind w:left="464" w:right="402"/>
        <w:jc w:val="both"/>
      </w:pPr>
      <w:r>
        <w:rPr/>
        <w:t>The</w:t>
      </w:r>
      <w:r>
        <w:rPr>
          <w:spacing w:val="-2"/>
        </w:rPr>
        <w:t> </w:t>
      </w:r>
      <w:r>
        <w:rPr/>
        <w:t>Safe</w:t>
      </w:r>
      <w:r>
        <w:rPr>
          <w:spacing w:val="-2"/>
        </w:rPr>
        <w:t> </w:t>
      </w:r>
      <w:r>
        <w:rPr/>
        <w:t>Schools</w:t>
      </w:r>
      <w:r>
        <w:rPr>
          <w:spacing w:val="-1"/>
        </w:rPr>
        <w:t> </w:t>
      </w:r>
      <w:r>
        <w:rPr/>
        <w:t>Program</w:t>
      </w:r>
      <w:r>
        <w:rPr>
          <w:spacing w:val="-2"/>
        </w:rPr>
        <w:t> </w:t>
      </w:r>
      <w:r>
        <w:rPr/>
        <w:t>for</w:t>
      </w:r>
      <w:r>
        <w:rPr>
          <w:spacing w:val="-2"/>
        </w:rPr>
        <w:t> </w:t>
      </w:r>
      <w:r>
        <w:rPr/>
        <w:t>LGBTQ</w:t>
      </w:r>
      <w:r>
        <w:rPr>
          <w:spacing w:val="-2"/>
        </w:rPr>
        <w:t> </w:t>
      </w:r>
      <w:r>
        <w:rPr/>
        <w:t>Students</w:t>
      </w:r>
      <w:r>
        <w:rPr>
          <w:spacing w:val="-1"/>
        </w:rPr>
        <w:t> </w:t>
      </w:r>
      <w:r>
        <w:rPr/>
        <w:t>will</w:t>
      </w:r>
      <w:r>
        <w:rPr>
          <w:spacing w:val="-2"/>
        </w:rPr>
        <w:t> </w:t>
      </w:r>
      <w:r>
        <w:rPr/>
        <w:t>provide</w:t>
      </w:r>
      <w:r>
        <w:rPr>
          <w:spacing w:val="-2"/>
        </w:rPr>
        <w:t> </w:t>
      </w:r>
      <w:r>
        <w:rPr/>
        <w:t>over</w:t>
      </w:r>
      <w:r>
        <w:rPr>
          <w:spacing w:val="-2"/>
        </w:rPr>
        <w:t> </w:t>
      </w:r>
      <w:r>
        <w:rPr/>
        <w:t>150</w:t>
      </w:r>
      <w:r>
        <w:rPr>
          <w:spacing w:val="-2"/>
        </w:rPr>
        <w:t> </w:t>
      </w:r>
      <w:r>
        <w:rPr/>
        <w:t>trainings</w:t>
      </w:r>
      <w:r>
        <w:rPr>
          <w:spacing w:val="-1"/>
        </w:rPr>
        <w:t> </w:t>
      </w:r>
      <w:r>
        <w:rPr/>
        <w:t>to schools</w:t>
      </w:r>
      <w:r>
        <w:rPr>
          <w:spacing w:val="-1"/>
        </w:rPr>
        <w:t> </w:t>
      </w:r>
      <w:r>
        <w:rPr/>
        <w:t>by</w:t>
      </w:r>
      <w:r>
        <w:rPr>
          <w:spacing w:val="-2"/>
        </w:rPr>
        <w:t> </w:t>
      </w:r>
      <w:r>
        <w:rPr/>
        <w:t>the</w:t>
      </w:r>
      <w:r>
        <w:rPr>
          <w:spacing w:val="-2"/>
        </w:rPr>
        <w:t> </w:t>
      </w:r>
      <w:r>
        <w:rPr/>
        <w:t>end</w:t>
      </w:r>
      <w:r>
        <w:rPr>
          <w:spacing w:val="-2"/>
        </w:rPr>
        <w:t> </w:t>
      </w:r>
      <w:r>
        <w:rPr/>
        <w:t>of the 2023-2024 school year, as well as over 175 technical assistance requests.</w:t>
      </w:r>
    </w:p>
    <w:p>
      <w:pPr>
        <w:pStyle w:val="BodyText"/>
        <w:spacing w:before="7"/>
        <w:rPr>
          <w:sz w:val="17"/>
        </w:rPr>
      </w:pPr>
      <w:r>
        <w:rPr/>
        <w:drawing>
          <wp:anchor distT="0" distB="0" distL="0" distR="0" allowOverlap="1" layoutInCell="1" locked="0" behindDoc="1" simplePos="0" relativeHeight="487604736">
            <wp:simplePos x="0" y="0"/>
            <wp:positionH relativeFrom="page">
              <wp:posOffset>1005839</wp:posOffset>
            </wp:positionH>
            <wp:positionV relativeFrom="paragraph">
              <wp:posOffset>151753</wp:posOffset>
            </wp:positionV>
            <wp:extent cx="5956504" cy="762381"/>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106" cstate="print"/>
                    <a:stretch>
                      <a:fillRect/>
                    </a:stretch>
                  </pic:blipFill>
                  <pic:spPr>
                    <a:xfrm>
                      <a:off x="0" y="0"/>
                      <a:ext cx="5956504" cy="762381"/>
                    </a:xfrm>
                    <a:prstGeom prst="rect">
                      <a:avLst/>
                    </a:prstGeom>
                  </pic:spPr>
                </pic:pic>
              </a:graphicData>
            </a:graphic>
          </wp:anchor>
        </w:drawing>
      </w:r>
    </w:p>
    <w:p>
      <w:pPr>
        <w:pStyle w:val="BodyText"/>
        <w:spacing w:before="11"/>
      </w:pPr>
    </w:p>
    <w:p>
      <w:pPr>
        <w:pStyle w:val="BodyText"/>
        <w:spacing w:line="276" w:lineRule="auto"/>
        <w:ind w:left="463" w:right="402"/>
        <w:jc w:val="both"/>
      </w:pPr>
      <w:r>
        <w:rPr/>
        <w:t>Training and professional development (PD) for educators, administrators, and staff is critical to making safer school environments for LGBTQ students. One study found that training elementary school educators on LGBTQ-inclusive practices leads to lower rates of discipline for all students. This same study found that while schools with higher rates of low-income BIPOC students were less likely</w:t>
      </w:r>
    </w:p>
    <w:p>
      <w:pPr>
        <w:spacing w:after="0" w:line="276" w:lineRule="auto"/>
        <w:jc w:val="both"/>
        <w:sectPr>
          <w:pgSz w:w="12240" w:h="15840"/>
          <w:pgMar w:header="763" w:footer="1041" w:top="1140" w:bottom="1240" w:left="1120" w:right="1180"/>
        </w:sectPr>
      </w:pPr>
    </w:p>
    <w:p>
      <w:pPr>
        <w:pStyle w:val="BodyText"/>
        <w:spacing w:line="276" w:lineRule="auto" w:before="66"/>
        <w:ind w:left="464" w:right="401"/>
        <w:jc w:val="both"/>
      </w:pPr>
      <w:r>
        <w:rPr/>
        <w:t>to offer LGBTQ-inclusivity trainings for their staff, these schools also saw a decrease in disciplinary rates when trainings did occur.</w:t>
      </w:r>
      <w:r>
        <w:rPr>
          <w:vertAlign w:val="superscript"/>
        </w:rPr>
        <w:t>29</w:t>
      </w:r>
      <w:r>
        <w:rPr>
          <w:vertAlign w:val="baseline"/>
        </w:rPr>
        <w:t> Providing professional development for schools serving low-income BIPOC students is a priority for the Safe Schools Programs for LGBTQ Students for the 2024-2025 academic year.</w:t>
      </w:r>
    </w:p>
    <w:p>
      <w:pPr>
        <w:pStyle w:val="BodyText"/>
        <w:spacing w:line="276" w:lineRule="auto" w:before="239"/>
        <w:ind w:left="463" w:right="399"/>
        <w:jc w:val="both"/>
      </w:pPr>
      <w:r>
        <w:rPr/>
        <w:t>Current literature demonstrates that educators need increased opportunities for training that addresses the needs and experiences of LGBTQ youth.</w:t>
      </w:r>
      <w:hyperlink w:history="true" w:anchor="_bookmark72">
        <w:r>
          <w:rPr>
            <w:vertAlign w:val="superscript"/>
          </w:rPr>
          <w:t>33</w:t>
        </w:r>
      </w:hyperlink>
      <w:r>
        <w:rPr>
          <w:vertAlign w:val="baseline"/>
        </w:rPr>
        <w:t> As mentioned throughout this report, an intersectional</w:t>
      </w:r>
      <w:r>
        <w:rPr>
          <w:spacing w:val="-8"/>
          <w:vertAlign w:val="baseline"/>
        </w:rPr>
        <w:t> </w:t>
      </w:r>
      <w:r>
        <w:rPr>
          <w:vertAlign w:val="baseline"/>
        </w:rPr>
        <w:t>approach</w:t>
      </w:r>
      <w:r>
        <w:rPr>
          <w:spacing w:val="-8"/>
          <w:vertAlign w:val="baseline"/>
        </w:rPr>
        <w:t> </w:t>
      </w:r>
      <w:r>
        <w:rPr>
          <w:vertAlign w:val="baseline"/>
        </w:rPr>
        <w:t>to</w:t>
      </w:r>
      <w:r>
        <w:rPr>
          <w:spacing w:val="-7"/>
          <w:vertAlign w:val="baseline"/>
        </w:rPr>
        <w:t> </w:t>
      </w:r>
      <w:r>
        <w:rPr>
          <w:vertAlign w:val="baseline"/>
        </w:rPr>
        <w:t>LGBTQ</w:t>
      </w:r>
      <w:r>
        <w:rPr>
          <w:spacing w:val="-8"/>
          <w:vertAlign w:val="baseline"/>
        </w:rPr>
        <w:t> </w:t>
      </w:r>
      <w:r>
        <w:rPr>
          <w:vertAlign w:val="baseline"/>
        </w:rPr>
        <w:t>justice</w:t>
      </w:r>
      <w:r>
        <w:rPr>
          <w:spacing w:val="-9"/>
          <w:vertAlign w:val="baseline"/>
        </w:rPr>
        <w:t> </w:t>
      </w:r>
      <w:r>
        <w:rPr>
          <w:vertAlign w:val="baseline"/>
        </w:rPr>
        <w:t>is</w:t>
      </w:r>
      <w:r>
        <w:rPr>
          <w:spacing w:val="-7"/>
          <w:vertAlign w:val="baseline"/>
        </w:rPr>
        <w:t> </w:t>
      </w:r>
      <w:r>
        <w:rPr>
          <w:vertAlign w:val="baseline"/>
        </w:rPr>
        <w:t>critical.</w:t>
      </w:r>
      <w:r>
        <w:rPr>
          <w:spacing w:val="-8"/>
          <w:vertAlign w:val="baseline"/>
        </w:rPr>
        <w:t> </w:t>
      </w:r>
      <w:r>
        <w:rPr>
          <w:vertAlign w:val="baseline"/>
        </w:rPr>
        <w:t>Data</w:t>
      </w:r>
      <w:r>
        <w:rPr>
          <w:spacing w:val="-9"/>
          <w:vertAlign w:val="baseline"/>
        </w:rPr>
        <w:t> </w:t>
      </w:r>
      <w:r>
        <w:rPr>
          <w:vertAlign w:val="baseline"/>
        </w:rPr>
        <w:t>shows</w:t>
      </w:r>
      <w:r>
        <w:rPr>
          <w:spacing w:val="-7"/>
          <w:vertAlign w:val="baseline"/>
        </w:rPr>
        <w:t> </w:t>
      </w:r>
      <w:r>
        <w:rPr>
          <w:vertAlign w:val="baseline"/>
        </w:rPr>
        <w:t>that</w:t>
      </w:r>
      <w:r>
        <w:rPr>
          <w:spacing w:val="-9"/>
          <w:vertAlign w:val="baseline"/>
        </w:rPr>
        <w:t> </w:t>
      </w:r>
      <w:r>
        <w:rPr>
          <w:vertAlign w:val="baseline"/>
        </w:rPr>
        <w:t>students</w:t>
      </w:r>
      <w:r>
        <w:rPr>
          <w:spacing w:val="-8"/>
          <w:vertAlign w:val="baseline"/>
        </w:rPr>
        <w:t> </w:t>
      </w:r>
      <w:r>
        <w:rPr>
          <w:vertAlign w:val="baseline"/>
        </w:rPr>
        <w:t>of</w:t>
      </w:r>
      <w:r>
        <w:rPr>
          <w:spacing w:val="-8"/>
          <w:vertAlign w:val="baseline"/>
        </w:rPr>
        <w:t> </w:t>
      </w:r>
      <w:r>
        <w:rPr>
          <w:vertAlign w:val="baseline"/>
        </w:rPr>
        <w:t>color</w:t>
      </w:r>
      <w:r>
        <w:rPr>
          <w:spacing w:val="-9"/>
          <w:vertAlign w:val="baseline"/>
        </w:rPr>
        <w:t> </w:t>
      </w:r>
      <w:r>
        <w:rPr>
          <w:vertAlign w:val="baseline"/>
        </w:rPr>
        <w:t>often</w:t>
      </w:r>
      <w:r>
        <w:rPr>
          <w:spacing w:val="-8"/>
          <w:vertAlign w:val="baseline"/>
        </w:rPr>
        <w:t> </w:t>
      </w:r>
      <w:r>
        <w:rPr>
          <w:vertAlign w:val="baseline"/>
        </w:rPr>
        <w:t>feel</w:t>
      </w:r>
      <w:r>
        <w:rPr>
          <w:spacing w:val="-8"/>
          <w:vertAlign w:val="baseline"/>
        </w:rPr>
        <w:t> </w:t>
      </w:r>
      <w:r>
        <w:rPr>
          <w:vertAlign w:val="baseline"/>
        </w:rPr>
        <w:t>unsafe at school because of their sexual orientation, gender identity, </w:t>
      </w:r>
      <w:r>
        <w:rPr>
          <w:i/>
          <w:vertAlign w:val="baseline"/>
        </w:rPr>
        <w:t>and </w:t>
      </w:r>
      <w:r>
        <w:rPr>
          <w:vertAlign w:val="baseline"/>
        </w:rPr>
        <w:t>race/ethnicity.</w:t>
      </w:r>
      <w:r>
        <w:rPr>
          <w:vertAlign w:val="superscript"/>
        </w:rPr>
        <w:t>20,</w:t>
      </w:r>
      <w:r>
        <w:rPr>
          <w:spacing w:val="-13"/>
          <w:vertAlign w:val="baseline"/>
        </w:rPr>
        <w:t> </w:t>
      </w:r>
      <w:hyperlink w:history="true" w:anchor="_bookmark73">
        <w:r>
          <w:rPr>
            <w:vertAlign w:val="superscript"/>
          </w:rPr>
          <w:t>34</w:t>
        </w:r>
      </w:hyperlink>
      <w:r>
        <w:rPr>
          <w:vertAlign w:val="superscript"/>
        </w:rPr>
        <w:t>,</w:t>
      </w:r>
      <w:r>
        <w:rPr>
          <w:spacing w:val="-12"/>
          <w:vertAlign w:val="baseline"/>
        </w:rPr>
        <w:t> </w:t>
      </w:r>
      <w:hyperlink w:history="true" w:anchor="_bookmark74">
        <w:r>
          <w:rPr>
            <w:vertAlign w:val="superscript"/>
          </w:rPr>
          <w:t>35</w:t>
        </w:r>
      </w:hyperlink>
      <w:r>
        <w:rPr>
          <w:spacing w:val="-1"/>
          <w:vertAlign w:val="baseline"/>
        </w:rPr>
        <w:t> </w:t>
      </w:r>
      <w:r>
        <w:rPr>
          <w:vertAlign w:val="baseline"/>
        </w:rPr>
        <w:t>The Safe Schools Program for LGBTQ Students recommends training for all educators in the Commonwealth that highlights the experiences of BIPOC LGBTQ students. To provide the best care for all LGBTQ students, educators must be able to support BIPOC LGBTQ students in culturally competent and sustainable ways.</w:t>
      </w:r>
    </w:p>
    <w:p>
      <w:pPr>
        <w:pStyle w:val="BodyText"/>
        <w:spacing w:line="276" w:lineRule="auto" w:before="240"/>
        <w:ind w:left="463" w:right="402"/>
        <w:jc w:val="both"/>
      </w:pPr>
      <w:r>
        <w:rPr/>
        <w:t>According to research, key elements of successful gender and sexuality-focused PD for educators include</w:t>
      </w:r>
      <w:r>
        <w:rPr>
          <w:spacing w:val="-12"/>
        </w:rPr>
        <w:t> </w:t>
      </w:r>
      <w:r>
        <w:rPr/>
        <w:t>having</w:t>
      </w:r>
      <w:r>
        <w:rPr>
          <w:spacing w:val="-12"/>
        </w:rPr>
        <w:t> </w:t>
      </w:r>
      <w:r>
        <w:rPr/>
        <w:t>the</w:t>
      </w:r>
      <w:r>
        <w:rPr>
          <w:spacing w:val="-11"/>
        </w:rPr>
        <w:t> </w:t>
      </w:r>
      <w:r>
        <w:rPr/>
        <w:t>entire</w:t>
      </w:r>
      <w:r>
        <w:rPr>
          <w:spacing w:val="-12"/>
        </w:rPr>
        <w:t> </w:t>
      </w:r>
      <w:r>
        <w:rPr/>
        <w:t>school</w:t>
      </w:r>
      <w:r>
        <w:rPr>
          <w:spacing w:val="-11"/>
        </w:rPr>
        <w:t> </w:t>
      </w:r>
      <w:r>
        <w:rPr/>
        <w:t>and</w:t>
      </w:r>
      <w:r>
        <w:rPr>
          <w:spacing w:val="-11"/>
        </w:rPr>
        <w:t> </w:t>
      </w:r>
      <w:r>
        <w:rPr/>
        <w:t>community</w:t>
      </w:r>
      <w:r>
        <w:rPr>
          <w:spacing w:val="-11"/>
        </w:rPr>
        <w:t> </w:t>
      </w:r>
      <w:r>
        <w:rPr/>
        <w:t>involved,</w:t>
      </w:r>
      <w:r>
        <w:rPr>
          <w:spacing w:val="-11"/>
        </w:rPr>
        <w:t> </w:t>
      </w:r>
      <w:r>
        <w:rPr/>
        <w:t>active</w:t>
      </w:r>
      <w:r>
        <w:rPr>
          <w:spacing w:val="-12"/>
        </w:rPr>
        <w:t> </w:t>
      </w:r>
      <w:r>
        <w:rPr/>
        <w:t>learning</w:t>
      </w:r>
      <w:r>
        <w:rPr>
          <w:spacing w:val="-12"/>
        </w:rPr>
        <w:t> </w:t>
      </w:r>
      <w:r>
        <w:rPr/>
        <w:t>such</w:t>
      </w:r>
      <w:r>
        <w:rPr>
          <w:spacing w:val="-11"/>
        </w:rPr>
        <w:t> </w:t>
      </w:r>
      <w:r>
        <w:rPr/>
        <w:t>as</w:t>
      </w:r>
      <w:r>
        <w:rPr>
          <w:spacing w:val="-11"/>
        </w:rPr>
        <w:t> </w:t>
      </w:r>
      <w:r>
        <w:rPr/>
        <w:t>small</w:t>
      </w:r>
      <w:r>
        <w:rPr>
          <w:spacing w:val="-11"/>
        </w:rPr>
        <w:t> </w:t>
      </w:r>
      <w:r>
        <w:rPr/>
        <w:t>group</w:t>
      </w:r>
      <w:r>
        <w:rPr>
          <w:spacing w:val="-12"/>
        </w:rPr>
        <w:t> </w:t>
      </w:r>
      <w:r>
        <w:rPr/>
        <w:t>work</w:t>
      </w:r>
      <w:r>
        <w:rPr>
          <w:spacing w:val="-12"/>
        </w:rPr>
        <w:t> </w:t>
      </w:r>
      <w:r>
        <w:rPr/>
        <w:t>and activities,</w:t>
      </w:r>
      <w:r>
        <w:rPr>
          <w:spacing w:val="-9"/>
        </w:rPr>
        <w:t> </w:t>
      </w:r>
      <w:r>
        <w:rPr/>
        <w:t>and</w:t>
      </w:r>
      <w:r>
        <w:rPr>
          <w:spacing w:val="-9"/>
        </w:rPr>
        <w:t> </w:t>
      </w:r>
      <w:r>
        <w:rPr/>
        <w:t>having</w:t>
      </w:r>
      <w:r>
        <w:rPr>
          <w:spacing w:val="-10"/>
        </w:rPr>
        <w:t> </w:t>
      </w:r>
      <w:r>
        <w:rPr/>
        <w:t>a</w:t>
      </w:r>
      <w:r>
        <w:rPr>
          <w:spacing w:val="-7"/>
        </w:rPr>
        <w:t> </w:t>
      </w:r>
      <w:r>
        <w:rPr/>
        <w:t>curriculum</w:t>
      </w:r>
      <w:r>
        <w:rPr>
          <w:spacing w:val="-9"/>
        </w:rPr>
        <w:t> </w:t>
      </w:r>
      <w:r>
        <w:rPr/>
        <w:t>that</w:t>
      </w:r>
      <w:r>
        <w:rPr>
          <w:spacing w:val="-11"/>
        </w:rPr>
        <w:t> </w:t>
      </w:r>
      <w:r>
        <w:rPr/>
        <w:t>occurs</w:t>
      </w:r>
      <w:r>
        <w:rPr>
          <w:spacing w:val="-9"/>
        </w:rPr>
        <w:t> </w:t>
      </w:r>
      <w:r>
        <w:rPr/>
        <w:t>over</w:t>
      </w:r>
      <w:r>
        <w:rPr>
          <w:spacing w:val="-10"/>
        </w:rPr>
        <w:t> </w:t>
      </w:r>
      <w:r>
        <w:rPr/>
        <w:t>an</w:t>
      </w:r>
      <w:r>
        <w:rPr>
          <w:spacing w:val="-8"/>
        </w:rPr>
        <w:t> </w:t>
      </w:r>
      <w:r>
        <w:rPr/>
        <w:t>extended</w:t>
      </w:r>
      <w:r>
        <w:rPr>
          <w:spacing w:val="-8"/>
        </w:rPr>
        <w:t> </w:t>
      </w:r>
      <w:r>
        <w:rPr/>
        <w:t>period</w:t>
      </w:r>
      <w:r>
        <w:rPr>
          <w:spacing w:val="-10"/>
        </w:rPr>
        <w:t> </w:t>
      </w:r>
      <w:r>
        <w:rPr/>
        <w:t>of</w:t>
      </w:r>
      <w:r>
        <w:rPr>
          <w:spacing w:val="-9"/>
        </w:rPr>
        <w:t> </w:t>
      </w:r>
      <w:r>
        <w:rPr/>
        <w:t>time.</w:t>
      </w:r>
      <w:hyperlink w:history="true" w:anchor="_bookmark75">
        <w:r>
          <w:rPr>
            <w:vertAlign w:val="superscript"/>
          </w:rPr>
          <w:t>36</w:t>
        </w:r>
      </w:hyperlink>
      <w:r>
        <w:rPr>
          <w:spacing w:val="-2"/>
          <w:vertAlign w:val="baseline"/>
        </w:rPr>
        <w:t> </w:t>
      </w:r>
      <w:r>
        <w:rPr>
          <w:vertAlign w:val="baseline"/>
        </w:rPr>
        <w:t>While</w:t>
      </w:r>
      <w:r>
        <w:rPr>
          <w:spacing w:val="-9"/>
          <w:vertAlign w:val="baseline"/>
        </w:rPr>
        <w:t> </w:t>
      </w:r>
      <w:r>
        <w:rPr>
          <w:vertAlign w:val="baseline"/>
        </w:rPr>
        <w:t>it</w:t>
      </w:r>
      <w:r>
        <w:rPr>
          <w:spacing w:val="-9"/>
          <w:vertAlign w:val="baseline"/>
        </w:rPr>
        <w:t> </w:t>
      </w:r>
      <w:r>
        <w:rPr>
          <w:vertAlign w:val="baseline"/>
        </w:rPr>
        <w:t>is</w:t>
      </w:r>
      <w:r>
        <w:rPr>
          <w:spacing w:val="-9"/>
          <w:vertAlign w:val="baseline"/>
        </w:rPr>
        <w:t> </w:t>
      </w:r>
      <w:r>
        <w:rPr>
          <w:vertAlign w:val="baseline"/>
        </w:rPr>
        <w:t>not</w:t>
      </w:r>
      <w:r>
        <w:rPr>
          <w:spacing w:val="-9"/>
          <w:vertAlign w:val="baseline"/>
        </w:rPr>
        <w:t> </w:t>
      </w:r>
      <w:r>
        <w:rPr>
          <w:vertAlign w:val="baseline"/>
        </w:rPr>
        <w:t>always possible for schools to adopt longitudinal training programs, the Safe Schools Program for LGBTQ Students operates with a goal of developing sustainable and lasting relationships with schools and districts</w:t>
      </w:r>
      <w:r>
        <w:rPr>
          <w:spacing w:val="-6"/>
          <w:vertAlign w:val="baseline"/>
        </w:rPr>
        <w:t> </w:t>
      </w:r>
      <w:r>
        <w:rPr>
          <w:vertAlign w:val="baseline"/>
        </w:rPr>
        <w:t>so</w:t>
      </w:r>
      <w:r>
        <w:rPr>
          <w:spacing w:val="-6"/>
          <w:vertAlign w:val="baseline"/>
        </w:rPr>
        <w:t> </w:t>
      </w:r>
      <w:r>
        <w:rPr>
          <w:vertAlign w:val="baseline"/>
        </w:rPr>
        <w:t>that</w:t>
      </w:r>
      <w:r>
        <w:rPr>
          <w:spacing w:val="-7"/>
          <w:vertAlign w:val="baseline"/>
        </w:rPr>
        <w:t> </w:t>
      </w:r>
      <w:r>
        <w:rPr>
          <w:vertAlign w:val="baseline"/>
        </w:rPr>
        <w:t>training</w:t>
      </w:r>
      <w:r>
        <w:rPr>
          <w:spacing w:val="-7"/>
          <w:vertAlign w:val="baseline"/>
        </w:rPr>
        <w:t> </w:t>
      </w:r>
      <w:r>
        <w:rPr>
          <w:vertAlign w:val="baseline"/>
        </w:rPr>
        <w:t>is</w:t>
      </w:r>
      <w:r>
        <w:rPr>
          <w:spacing w:val="-5"/>
          <w:vertAlign w:val="baseline"/>
        </w:rPr>
        <w:t> </w:t>
      </w:r>
      <w:r>
        <w:rPr>
          <w:vertAlign w:val="baseline"/>
        </w:rPr>
        <w:t>offered</w:t>
      </w:r>
      <w:r>
        <w:rPr>
          <w:spacing w:val="-8"/>
          <w:vertAlign w:val="baseline"/>
        </w:rPr>
        <w:t> </w:t>
      </w:r>
      <w:r>
        <w:rPr>
          <w:vertAlign w:val="baseline"/>
        </w:rPr>
        <w:t>on</w:t>
      </w:r>
      <w:r>
        <w:rPr>
          <w:spacing w:val="-7"/>
          <w:vertAlign w:val="baseline"/>
        </w:rPr>
        <w:t> </w:t>
      </w:r>
      <w:r>
        <w:rPr>
          <w:vertAlign w:val="baseline"/>
        </w:rPr>
        <w:t>an</w:t>
      </w:r>
      <w:r>
        <w:rPr>
          <w:spacing w:val="-7"/>
          <w:vertAlign w:val="baseline"/>
        </w:rPr>
        <w:t> </w:t>
      </w:r>
      <w:r>
        <w:rPr>
          <w:vertAlign w:val="baseline"/>
        </w:rPr>
        <w:t>annual</w:t>
      </w:r>
      <w:r>
        <w:rPr>
          <w:spacing w:val="-7"/>
          <w:vertAlign w:val="baseline"/>
        </w:rPr>
        <w:t> </w:t>
      </w:r>
      <w:r>
        <w:rPr>
          <w:vertAlign w:val="baseline"/>
        </w:rPr>
        <w:t>basis</w:t>
      </w:r>
      <w:r>
        <w:rPr>
          <w:spacing w:val="-6"/>
          <w:vertAlign w:val="baseline"/>
        </w:rPr>
        <w:t> </w:t>
      </w:r>
      <w:r>
        <w:rPr>
          <w:vertAlign w:val="baseline"/>
        </w:rPr>
        <w:t>and</w:t>
      </w:r>
      <w:r>
        <w:rPr>
          <w:spacing w:val="-7"/>
          <w:vertAlign w:val="baseline"/>
        </w:rPr>
        <w:t> </w:t>
      </w:r>
      <w:r>
        <w:rPr>
          <w:vertAlign w:val="baseline"/>
        </w:rPr>
        <w:t>technical</w:t>
      </w:r>
      <w:r>
        <w:rPr>
          <w:spacing w:val="-7"/>
          <w:vertAlign w:val="baseline"/>
        </w:rPr>
        <w:t> </w:t>
      </w:r>
      <w:r>
        <w:rPr>
          <w:vertAlign w:val="baseline"/>
        </w:rPr>
        <w:t>assistance</w:t>
      </w:r>
      <w:r>
        <w:rPr>
          <w:spacing w:val="-7"/>
          <w:vertAlign w:val="baseline"/>
        </w:rPr>
        <w:t> </w:t>
      </w:r>
      <w:r>
        <w:rPr>
          <w:vertAlign w:val="baseline"/>
        </w:rPr>
        <w:t>is</w:t>
      </w:r>
      <w:r>
        <w:rPr>
          <w:spacing w:val="-5"/>
          <w:vertAlign w:val="baseline"/>
        </w:rPr>
        <w:t> </w:t>
      </w:r>
      <w:r>
        <w:rPr>
          <w:vertAlign w:val="baseline"/>
        </w:rPr>
        <w:t>sought</w:t>
      </w:r>
      <w:r>
        <w:rPr>
          <w:spacing w:val="-7"/>
          <w:vertAlign w:val="baseline"/>
        </w:rPr>
        <w:t> </w:t>
      </w:r>
      <w:r>
        <w:rPr>
          <w:vertAlign w:val="baseline"/>
        </w:rPr>
        <w:t>out</w:t>
      </w:r>
      <w:r>
        <w:rPr>
          <w:spacing w:val="-7"/>
          <w:vertAlign w:val="baseline"/>
        </w:rPr>
        <w:t> </w:t>
      </w:r>
      <w:r>
        <w:rPr>
          <w:vertAlign w:val="baseline"/>
        </w:rPr>
        <w:t>as</w:t>
      </w:r>
      <w:r>
        <w:rPr>
          <w:spacing w:val="-7"/>
          <w:vertAlign w:val="baseline"/>
        </w:rPr>
        <w:t> </w:t>
      </w:r>
      <w:r>
        <w:rPr>
          <w:vertAlign w:val="baseline"/>
        </w:rPr>
        <w:t>needed.</w:t>
      </w:r>
    </w:p>
    <w:p>
      <w:pPr>
        <w:pStyle w:val="BodyText"/>
        <w:spacing w:line="276" w:lineRule="auto" w:before="240"/>
        <w:ind w:left="464" w:right="398"/>
        <w:jc w:val="both"/>
      </w:pPr>
      <w:r>
        <w:rPr/>
        <w:t>Survey evaluations collected by the Safe Schools Program for LGBTQ Students following professional development sessions for schools and districts show that participants learn to better understand the experiences</w:t>
      </w:r>
      <w:r>
        <w:rPr>
          <w:spacing w:val="-6"/>
        </w:rPr>
        <w:t> </w:t>
      </w:r>
      <w:r>
        <w:rPr/>
        <w:t>of</w:t>
      </w:r>
      <w:r>
        <w:rPr>
          <w:spacing w:val="-9"/>
        </w:rPr>
        <w:t> </w:t>
      </w:r>
      <w:r>
        <w:rPr/>
        <w:t>LGBTQ</w:t>
      </w:r>
      <w:r>
        <w:rPr>
          <w:spacing w:val="-8"/>
        </w:rPr>
        <w:t> </w:t>
      </w:r>
      <w:r>
        <w:rPr/>
        <w:t>youth</w:t>
      </w:r>
      <w:r>
        <w:rPr>
          <w:spacing w:val="-9"/>
        </w:rPr>
        <w:t> </w:t>
      </w:r>
      <w:r>
        <w:rPr/>
        <w:t>and</w:t>
      </w:r>
      <w:r>
        <w:rPr>
          <w:spacing w:val="-8"/>
        </w:rPr>
        <w:t> </w:t>
      </w:r>
      <w:r>
        <w:rPr/>
        <w:t>often</w:t>
      </w:r>
      <w:r>
        <w:rPr>
          <w:spacing w:val="-7"/>
        </w:rPr>
        <w:t> </w:t>
      </w:r>
      <w:r>
        <w:rPr/>
        <w:t>walk</w:t>
      </w:r>
      <w:r>
        <w:rPr>
          <w:spacing w:val="-9"/>
        </w:rPr>
        <w:t> </w:t>
      </w:r>
      <w:r>
        <w:rPr/>
        <w:t>away</w:t>
      </w:r>
      <w:r>
        <w:rPr>
          <w:spacing w:val="-9"/>
        </w:rPr>
        <w:t> </w:t>
      </w:r>
      <w:r>
        <w:rPr/>
        <w:t>with</w:t>
      </w:r>
      <w:r>
        <w:rPr>
          <w:spacing w:val="-8"/>
        </w:rPr>
        <w:t> </w:t>
      </w:r>
      <w:r>
        <w:rPr/>
        <w:t>concrete</w:t>
      </w:r>
      <w:r>
        <w:rPr>
          <w:spacing w:val="-8"/>
        </w:rPr>
        <w:t> </w:t>
      </w:r>
      <w:r>
        <w:rPr/>
        <w:t>tools</w:t>
      </w:r>
      <w:r>
        <w:rPr>
          <w:spacing w:val="-8"/>
        </w:rPr>
        <w:t> </w:t>
      </w:r>
      <w:r>
        <w:rPr/>
        <w:t>and</w:t>
      </w:r>
      <w:r>
        <w:rPr>
          <w:spacing w:val="-9"/>
        </w:rPr>
        <w:t> </w:t>
      </w:r>
      <w:r>
        <w:rPr/>
        <w:t>strategies</w:t>
      </w:r>
      <w:r>
        <w:rPr>
          <w:spacing w:val="-7"/>
        </w:rPr>
        <w:t> </w:t>
      </w:r>
      <w:r>
        <w:rPr/>
        <w:t>to</w:t>
      </w:r>
      <w:r>
        <w:rPr>
          <w:spacing w:val="-8"/>
        </w:rPr>
        <w:t> </w:t>
      </w:r>
      <w:r>
        <w:rPr/>
        <w:t>support</w:t>
      </w:r>
      <w:r>
        <w:rPr>
          <w:spacing w:val="-9"/>
        </w:rPr>
        <w:t> </w:t>
      </w:r>
      <w:r>
        <w:rPr/>
        <w:t>LGBTQ youth in their classrooms and schools. This knowledge acquisition is demonstrated through written comments provided by educators:</w:t>
      </w:r>
    </w:p>
    <w:p>
      <w:pPr>
        <w:pStyle w:val="ListParagraph"/>
        <w:numPr>
          <w:ilvl w:val="0"/>
          <w:numId w:val="18"/>
        </w:numPr>
        <w:tabs>
          <w:tab w:pos="1400" w:val="left" w:leader="none"/>
        </w:tabs>
        <w:spacing w:line="276" w:lineRule="auto" w:before="240" w:after="0"/>
        <w:ind w:left="1400" w:right="401" w:hanging="360"/>
        <w:jc w:val="both"/>
        <w:rPr>
          <w:sz w:val="22"/>
        </w:rPr>
      </w:pPr>
      <w:r>
        <w:rPr>
          <w:sz w:val="22"/>
        </w:rPr>
        <w:t>"The</w:t>
      </w:r>
      <w:r>
        <w:rPr>
          <w:spacing w:val="-5"/>
          <w:sz w:val="22"/>
        </w:rPr>
        <w:t> </w:t>
      </w:r>
      <w:r>
        <w:rPr>
          <w:sz w:val="22"/>
        </w:rPr>
        <w:t>session</w:t>
      </w:r>
      <w:r>
        <w:rPr>
          <w:spacing w:val="-4"/>
          <w:sz w:val="22"/>
        </w:rPr>
        <w:t> </w:t>
      </w:r>
      <w:r>
        <w:rPr>
          <w:sz w:val="22"/>
        </w:rPr>
        <w:t>provided</w:t>
      </w:r>
      <w:r>
        <w:rPr>
          <w:spacing w:val="-5"/>
          <w:sz w:val="22"/>
        </w:rPr>
        <w:t> </w:t>
      </w:r>
      <w:r>
        <w:rPr>
          <w:b/>
          <w:sz w:val="22"/>
        </w:rPr>
        <w:t>practical</w:t>
      </w:r>
      <w:r>
        <w:rPr>
          <w:b/>
          <w:spacing w:val="-5"/>
          <w:sz w:val="22"/>
        </w:rPr>
        <w:t> </w:t>
      </w:r>
      <w:r>
        <w:rPr>
          <w:b/>
          <w:sz w:val="22"/>
        </w:rPr>
        <w:t>strategies</w:t>
      </w:r>
      <w:r>
        <w:rPr>
          <w:b/>
          <w:spacing w:val="-4"/>
          <w:sz w:val="22"/>
        </w:rPr>
        <w:t> </w:t>
      </w:r>
      <w:r>
        <w:rPr>
          <w:sz w:val="22"/>
        </w:rPr>
        <w:t>and</w:t>
      </w:r>
      <w:r>
        <w:rPr>
          <w:spacing w:val="-5"/>
          <w:sz w:val="22"/>
        </w:rPr>
        <w:t> </w:t>
      </w:r>
      <w:r>
        <w:rPr>
          <w:b/>
          <w:sz w:val="22"/>
        </w:rPr>
        <w:t>resources</w:t>
      </w:r>
      <w:r>
        <w:rPr>
          <w:b/>
          <w:spacing w:val="-5"/>
          <w:sz w:val="22"/>
        </w:rPr>
        <w:t> </w:t>
      </w:r>
      <w:r>
        <w:rPr>
          <w:sz w:val="22"/>
        </w:rPr>
        <w:t>that</w:t>
      </w:r>
      <w:r>
        <w:rPr>
          <w:spacing w:val="-5"/>
          <w:sz w:val="22"/>
        </w:rPr>
        <w:t> </w:t>
      </w:r>
      <w:r>
        <w:rPr>
          <w:sz w:val="22"/>
        </w:rPr>
        <w:t>I</w:t>
      </w:r>
      <w:r>
        <w:rPr>
          <w:spacing w:val="-4"/>
          <w:sz w:val="22"/>
        </w:rPr>
        <w:t> </w:t>
      </w:r>
      <w:r>
        <w:rPr>
          <w:sz w:val="22"/>
        </w:rPr>
        <w:t>can</w:t>
      </w:r>
      <w:r>
        <w:rPr>
          <w:spacing w:val="-4"/>
          <w:sz w:val="22"/>
        </w:rPr>
        <w:t> </w:t>
      </w:r>
      <w:r>
        <w:rPr>
          <w:sz w:val="22"/>
        </w:rPr>
        <w:t>immediately</w:t>
      </w:r>
      <w:r>
        <w:rPr>
          <w:spacing w:val="-5"/>
          <w:sz w:val="22"/>
        </w:rPr>
        <w:t> </w:t>
      </w:r>
      <w:r>
        <w:rPr>
          <w:sz w:val="22"/>
        </w:rPr>
        <w:t>implement to create a more </w:t>
      </w:r>
      <w:r>
        <w:rPr>
          <w:b/>
          <w:sz w:val="22"/>
        </w:rPr>
        <w:t>inclusive and supportive environment </w:t>
      </w:r>
      <w:r>
        <w:rPr>
          <w:sz w:val="22"/>
        </w:rPr>
        <w:t>for all students, particularly those who identify as LGBTQ."</w:t>
      </w:r>
    </w:p>
    <w:p>
      <w:pPr>
        <w:pStyle w:val="ListParagraph"/>
        <w:numPr>
          <w:ilvl w:val="0"/>
          <w:numId w:val="18"/>
        </w:numPr>
        <w:tabs>
          <w:tab w:pos="1399" w:val="left" w:leader="none"/>
        </w:tabs>
        <w:spacing w:line="240" w:lineRule="auto" w:before="0" w:after="0"/>
        <w:ind w:left="1399" w:right="0" w:hanging="359"/>
        <w:jc w:val="both"/>
        <w:rPr>
          <w:b/>
          <w:sz w:val="22"/>
        </w:rPr>
      </w:pPr>
      <w:r>
        <w:rPr>
          <w:spacing w:val="-2"/>
          <w:sz w:val="22"/>
        </w:rPr>
        <w:t>"I</w:t>
      </w:r>
      <w:r>
        <w:rPr>
          <w:spacing w:val="-3"/>
          <w:sz w:val="22"/>
        </w:rPr>
        <w:t> </w:t>
      </w:r>
      <w:r>
        <w:rPr>
          <w:spacing w:val="-2"/>
          <w:sz w:val="22"/>
        </w:rPr>
        <w:t>learned</w:t>
      </w:r>
      <w:r>
        <w:rPr>
          <w:spacing w:val="-3"/>
          <w:sz w:val="22"/>
        </w:rPr>
        <w:t> </w:t>
      </w:r>
      <w:r>
        <w:rPr>
          <w:spacing w:val="-2"/>
          <w:sz w:val="22"/>
        </w:rPr>
        <w:t>valuable </w:t>
      </w:r>
      <w:r>
        <w:rPr>
          <w:b/>
          <w:spacing w:val="-2"/>
          <w:sz w:val="22"/>
        </w:rPr>
        <w:t>communication techniques </w:t>
      </w:r>
      <w:r>
        <w:rPr>
          <w:spacing w:val="-2"/>
          <w:sz w:val="22"/>
        </w:rPr>
        <w:t>to better</w:t>
      </w:r>
      <w:r>
        <w:rPr>
          <w:spacing w:val="-3"/>
          <w:sz w:val="22"/>
        </w:rPr>
        <w:t> </w:t>
      </w:r>
      <w:r>
        <w:rPr>
          <w:b/>
          <w:spacing w:val="-2"/>
          <w:sz w:val="22"/>
        </w:rPr>
        <w:t>engage with</w:t>
      </w:r>
      <w:r>
        <w:rPr>
          <w:b/>
          <w:spacing w:val="-3"/>
          <w:sz w:val="22"/>
        </w:rPr>
        <w:t> </w:t>
      </w:r>
      <w:r>
        <w:rPr>
          <w:b/>
          <w:spacing w:val="-2"/>
          <w:sz w:val="22"/>
        </w:rPr>
        <w:t>students and</w:t>
      </w:r>
      <w:r>
        <w:rPr>
          <w:b/>
          <w:spacing w:val="-3"/>
          <w:sz w:val="22"/>
        </w:rPr>
        <w:t> </w:t>
      </w:r>
      <w:r>
        <w:rPr>
          <w:b/>
          <w:spacing w:val="-2"/>
          <w:sz w:val="22"/>
        </w:rPr>
        <w:t>parents</w:t>
      </w:r>
    </w:p>
    <w:p>
      <w:pPr>
        <w:pStyle w:val="BodyText"/>
        <w:spacing w:before="41"/>
        <w:ind w:left="1400"/>
        <w:jc w:val="both"/>
      </w:pPr>
      <w:r>
        <w:rPr/>
        <w:t>on</w:t>
      </w:r>
      <w:r>
        <w:rPr>
          <w:spacing w:val="-8"/>
        </w:rPr>
        <w:t> </w:t>
      </w:r>
      <w:r>
        <w:rPr/>
        <w:t>sensitive</w:t>
      </w:r>
      <w:r>
        <w:rPr>
          <w:spacing w:val="-7"/>
        </w:rPr>
        <w:t> </w:t>
      </w:r>
      <w:r>
        <w:rPr/>
        <w:t>topics</w:t>
      </w:r>
      <w:r>
        <w:rPr>
          <w:spacing w:val="-7"/>
        </w:rPr>
        <w:t> </w:t>
      </w:r>
      <w:r>
        <w:rPr/>
        <w:t>related</w:t>
      </w:r>
      <w:r>
        <w:rPr>
          <w:spacing w:val="-7"/>
        </w:rPr>
        <w:t> </w:t>
      </w:r>
      <w:r>
        <w:rPr/>
        <w:t>to</w:t>
      </w:r>
      <w:r>
        <w:rPr>
          <w:spacing w:val="-7"/>
        </w:rPr>
        <w:t> </w:t>
      </w:r>
      <w:r>
        <w:rPr/>
        <w:t>gender</w:t>
      </w:r>
      <w:r>
        <w:rPr>
          <w:spacing w:val="-7"/>
        </w:rPr>
        <w:t> </w:t>
      </w:r>
      <w:r>
        <w:rPr/>
        <w:t>identity.</w:t>
      </w:r>
      <w:r>
        <w:rPr>
          <w:spacing w:val="-7"/>
        </w:rPr>
        <w:t> </w:t>
      </w:r>
      <w:r>
        <w:rPr>
          <w:spacing w:val="-10"/>
        </w:rPr>
        <w:t>“</w:t>
      </w:r>
    </w:p>
    <w:p>
      <w:pPr>
        <w:pStyle w:val="ListParagraph"/>
        <w:numPr>
          <w:ilvl w:val="0"/>
          <w:numId w:val="18"/>
        </w:numPr>
        <w:tabs>
          <w:tab w:pos="1400" w:val="left" w:leader="none"/>
        </w:tabs>
        <w:spacing w:line="276" w:lineRule="auto" w:before="40" w:after="0"/>
        <w:ind w:left="1400" w:right="403" w:hanging="360"/>
        <w:jc w:val="both"/>
        <w:rPr>
          <w:sz w:val="22"/>
        </w:rPr>
      </w:pPr>
      <w:r>
        <w:rPr>
          <w:sz w:val="22"/>
        </w:rPr>
        <w:t>"The</w:t>
      </w:r>
      <w:r>
        <w:rPr>
          <w:spacing w:val="-7"/>
          <w:sz w:val="22"/>
        </w:rPr>
        <w:t> </w:t>
      </w:r>
      <w:r>
        <w:rPr>
          <w:sz w:val="22"/>
        </w:rPr>
        <w:t>workshop</w:t>
      </w:r>
      <w:r>
        <w:rPr>
          <w:spacing w:val="-8"/>
          <w:sz w:val="22"/>
        </w:rPr>
        <w:t> </w:t>
      </w:r>
      <w:r>
        <w:rPr>
          <w:sz w:val="22"/>
        </w:rPr>
        <w:t>clarified</w:t>
      </w:r>
      <w:r>
        <w:rPr>
          <w:spacing w:val="-8"/>
          <w:sz w:val="22"/>
        </w:rPr>
        <w:t> </w:t>
      </w:r>
      <w:r>
        <w:rPr>
          <w:sz w:val="22"/>
        </w:rPr>
        <w:t>our</w:t>
      </w:r>
      <w:r>
        <w:rPr>
          <w:spacing w:val="-7"/>
          <w:sz w:val="22"/>
        </w:rPr>
        <w:t> </w:t>
      </w:r>
      <w:r>
        <w:rPr>
          <w:b/>
          <w:sz w:val="22"/>
        </w:rPr>
        <w:t>school's</w:t>
      </w:r>
      <w:r>
        <w:rPr>
          <w:b/>
          <w:spacing w:val="-8"/>
          <w:sz w:val="22"/>
        </w:rPr>
        <w:t> </w:t>
      </w:r>
      <w:r>
        <w:rPr>
          <w:b/>
          <w:sz w:val="22"/>
        </w:rPr>
        <w:t>policies</w:t>
      </w:r>
      <w:r>
        <w:rPr>
          <w:b/>
          <w:spacing w:val="-8"/>
          <w:sz w:val="22"/>
        </w:rPr>
        <w:t> </w:t>
      </w:r>
      <w:r>
        <w:rPr>
          <w:b/>
          <w:sz w:val="22"/>
        </w:rPr>
        <w:t>and</w:t>
      </w:r>
      <w:r>
        <w:rPr>
          <w:b/>
          <w:spacing w:val="-8"/>
          <w:sz w:val="22"/>
        </w:rPr>
        <w:t> </w:t>
      </w:r>
      <w:r>
        <w:rPr>
          <w:b/>
          <w:sz w:val="22"/>
        </w:rPr>
        <w:t>legal</w:t>
      </w:r>
      <w:r>
        <w:rPr>
          <w:b/>
          <w:spacing w:val="-7"/>
          <w:sz w:val="22"/>
        </w:rPr>
        <w:t> </w:t>
      </w:r>
      <w:r>
        <w:rPr>
          <w:b/>
          <w:sz w:val="22"/>
        </w:rPr>
        <w:t>obligations</w:t>
      </w:r>
      <w:r>
        <w:rPr>
          <w:b/>
          <w:spacing w:val="-8"/>
          <w:sz w:val="22"/>
        </w:rPr>
        <w:t> </w:t>
      </w:r>
      <w:r>
        <w:rPr>
          <w:sz w:val="22"/>
        </w:rPr>
        <w:t>regarding</w:t>
      </w:r>
      <w:r>
        <w:rPr>
          <w:spacing w:val="-7"/>
          <w:sz w:val="22"/>
        </w:rPr>
        <w:t> </w:t>
      </w:r>
      <w:r>
        <w:rPr>
          <w:sz w:val="22"/>
        </w:rPr>
        <w:t>the</w:t>
      </w:r>
      <w:r>
        <w:rPr>
          <w:spacing w:val="-8"/>
          <w:sz w:val="22"/>
        </w:rPr>
        <w:t> </w:t>
      </w:r>
      <w:r>
        <w:rPr>
          <w:sz w:val="22"/>
        </w:rPr>
        <w:t>protection of LGBTQ students. I feel more confident in my role and my ability to uphold these policies</w:t>
      </w:r>
    </w:p>
    <w:p>
      <w:pPr>
        <w:spacing w:before="0"/>
        <w:ind w:left="1400" w:right="0" w:firstLine="0"/>
        <w:jc w:val="both"/>
        <w:rPr>
          <w:sz w:val="22"/>
        </w:rPr>
      </w:pPr>
      <w:r>
        <w:rPr>
          <w:sz w:val="22"/>
        </w:rPr>
        <w:t>—</w:t>
      </w:r>
      <w:r>
        <w:rPr>
          <w:spacing w:val="-7"/>
          <w:sz w:val="22"/>
        </w:rPr>
        <w:t> </w:t>
      </w:r>
      <w:r>
        <w:rPr>
          <w:sz w:val="22"/>
        </w:rPr>
        <w:t>while</w:t>
      </w:r>
      <w:r>
        <w:rPr>
          <w:spacing w:val="-6"/>
          <w:sz w:val="22"/>
        </w:rPr>
        <w:t> </w:t>
      </w:r>
      <w:r>
        <w:rPr>
          <w:sz w:val="22"/>
        </w:rPr>
        <w:t>also</w:t>
      </w:r>
      <w:r>
        <w:rPr>
          <w:spacing w:val="-5"/>
          <w:sz w:val="22"/>
        </w:rPr>
        <w:t> </w:t>
      </w:r>
      <w:r>
        <w:rPr>
          <w:b/>
          <w:sz w:val="22"/>
        </w:rPr>
        <w:t>advocating</w:t>
      </w:r>
      <w:r>
        <w:rPr>
          <w:b/>
          <w:spacing w:val="-6"/>
          <w:sz w:val="22"/>
        </w:rPr>
        <w:t> </w:t>
      </w:r>
      <w:r>
        <w:rPr>
          <w:sz w:val="22"/>
        </w:rPr>
        <w:t>for</w:t>
      </w:r>
      <w:r>
        <w:rPr>
          <w:spacing w:val="-7"/>
          <w:sz w:val="22"/>
        </w:rPr>
        <w:t> </w:t>
      </w:r>
      <w:r>
        <w:rPr>
          <w:spacing w:val="-2"/>
          <w:sz w:val="22"/>
        </w:rPr>
        <w:t>students.”</w:t>
      </w:r>
    </w:p>
    <w:p>
      <w:pPr>
        <w:pStyle w:val="ListParagraph"/>
        <w:numPr>
          <w:ilvl w:val="0"/>
          <w:numId w:val="18"/>
        </w:numPr>
        <w:tabs>
          <w:tab w:pos="1400" w:val="left" w:leader="none"/>
        </w:tabs>
        <w:spacing w:line="276" w:lineRule="auto" w:before="39" w:after="0"/>
        <w:ind w:left="1400" w:right="403" w:hanging="360"/>
        <w:jc w:val="both"/>
        <w:rPr>
          <w:sz w:val="22"/>
        </w:rPr>
      </w:pPr>
      <w:r>
        <w:rPr>
          <w:sz w:val="22"/>
        </w:rPr>
        <w:t>"I left the workshop feeling empowered to take the needed steps in promoting a </w:t>
      </w:r>
      <w:r>
        <w:rPr>
          <w:b/>
          <w:sz w:val="22"/>
        </w:rPr>
        <w:t>safe and affirming</w:t>
      </w:r>
      <w:r>
        <w:rPr>
          <w:b/>
          <w:spacing w:val="-6"/>
          <w:sz w:val="22"/>
        </w:rPr>
        <w:t> </w:t>
      </w:r>
      <w:r>
        <w:rPr>
          <w:sz w:val="22"/>
        </w:rPr>
        <w:t>school</w:t>
      </w:r>
      <w:r>
        <w:rPr>
          <w:spacing w:val="-8"/>
          <w:sz w:val="22"/>
        </w:rPr>
        <w:t> </w:t>
      </w:r>
      <w:r>
        <w:rPr>
          <w:sz w:val="22"/>
        </w:rPr>
        <w:t>culture.</w:t>
      </w:r>
      <w:r>
        <w:rPr>
          <w:spacing w:val="-7"/>
          <w:sz w:val="22"/>
        </w:rPr>
        <w:t> </w:t>
      </w:r>
      <w:r>
        <w:rPr>
          <w:sz w:val="22"/>
        </w:rPr>
        <w:t>The</w:t>
      </w:r>
      <w:r>
        <w:rPr>
          <w:spacing w:val="-7"/>
          <w:sz w:val="22"/>
        </w:rPr>
        <w:t> </w:t>
      </w:r>
      <w:r>
        <w:rPr>
          <w:sz w:val="22"/>
        </w:rPr>
        <w:t>training</w:t>
      </w:r>
      <w:r>
        <w:rPr>
          <w:spacing w:val="-8"/>
          <w:sz w:val="22"/>
        </w:rPr>
        <w:t> </w:t>
      </w:r>
      <w:r>
        <w:rPr>
          <w:sz w:val="22"/>
        </w:rPr>
        <w:t>inspired</w:t>
      </w:r>
      <w:r>
        <w:rPr>
          <w:spacing w:val="-7"/>
          <w:sz w:val="22"/>
        </w:rPr>
        <w:t> </w:t>
      </w:r>
      <w:r>
        <w:rPr>
          <w:sz w:val="22"/>
        </w:rPr>
        <w:t>me</w:t>
      </w:r>
      <w:r>
        <w:rPr>
          <w:spacing w:val="-6"/>
          <w:sz w:val="22"/>
        </w:rPr>
        <w:t> </w:t>
      </w:r>
      <w:r>
        <w:rPr>
          <w:sz w:val="22"/>
        </w:rPr>
        <w:t>to</w:t>
      </w:r>
      <w:r>
        <w:rPr>
          <w:spacing w:val="-5"/>
          <w:sz w:val="22"/>
        </w:rPr>
        <w:t> </w:t>
      </w:r>
      <w:r>
        <w:rPr>
          <w:b/>
          <w:sz w:val="22"/>
        </w:rPr>
        <w:t>take</w:t>
      </w:r>
      <w:r>
        <w:rPr>
          <w:b/>
          <w:spacing w:val="-5"/>
          <w:sz w:val="22"/>
        </w:rPr>
        <w:t> </w:t>
      </w:r>
      <w:r>
        <w:rPr>
          <w:b/>
          <w:sz w:val="22"/>
        </w:rPr>
        <w:t>on</w:t>
      </w:r>
      <w:r>
        <w:rPr>
          <w:b/>
          <w:spacing w:val="-7"/>
          <w:sz w:val="22"/>
        </w:rPr>
        <w:t> </w:t>
      </w:r>
      <w:r>
        <w:rPr>
          <w:b/>
          <w:sz w:val="22"/>
        </w:rPr>
        <w:t>initiatives</w:t>
      </w:r>
      <w:r>
        <w:rPr>
          <w:b/>
          <w:spacing w:val="-6"/>
          <w:sz w:val="22"/>
        </w:rPr>
        <w:t> </w:t>
      </w:r>
      <w:r>
        <w:rPr>
          <w:sz w:val="22"/>
        </w:rPr>
        <w:t>that</w:t>
      </w:r>
      <w:r>
        <w:rPr>
          <w:spacing w:val="-8"/>
          <w:sz w:val="22"/>
        </w:rPr>
        <w:t> </w:t>
      </w:r>
      <w:r>
        <w:rPr>
          <w:sz w:val="22"/>
        </w:rPr>
        <w:t>support</w:t>
      </w:r>
      <w:r>
        <w:rPr>
          <w:spacing w:val="-8"/>
          <w:sz w:val="22"/>
        </w:rPr>
        <w:t> </w:t>
      </w:r>
      <w:r>
        <w:rPr>
          <w:sz w:val="22"/>
        </w:rPr>
        <w:t>LGBTQ </w:t>
      </w:r>
      <w:r>
        <w:rPr>
          <w:spacing w:val="-2"/>
          <w:sz w:val="22"/>
        </w:rPr>
        <w:t>students."</w:t>
      </w:r>
    </w:p>
    <w:p>
      <w:pPr>
        <w:pStyle w:val="BodyText"/>
        <w:spacing w:line="276" w:lineRule="auto" w:before="241"/>
        <w:ind w:left="463" w:right="403"/>
        <w:jc w:val="both"/>
      </w:pPr>
      <w:r>
        <w:rPr/>
        <w:t>In addition to receiving professional development on the aforementioned topics, educators should also be trained on the current trends and challenges facing LGBTQ+ youth, trans youth in particular, and the ways the political climate can contribute to increased stress and other mental health challenges.</w:t>
      </w:r>
      <w:r>
        <w:rPr>
          <w:vertAlign w:val="superscript"/>
        </w:rPr>
        <w:t>29</w:t>
      </w:r>
      <w:r>
        <w:rPr>
          <w:vertAlign w:val="baseline"/>
        </w:rPr>
        <w:t> At</w:t>
      </w:r>
      <w:r>
        <w:rPr>
          <w:spacing w:val="29"/>
          <w:vertAlign w:val="baseline"/>
        </w:rPr>
        <w:t> </w:t>
      </w:r>
      <w:r>
        <w:rPr>
          <w:vertAlign w:val="baseline"/>
        </w:rPr>
        <w:t>the</w:t>
      </w:r>
      <w:r>
        <w:rPr>
          <w:spacing w:val="30"/>
          <w:vertAlign w:val="baseline"/>
        </w:rPr>
        <w:t> </w:t>
      </w:r>
      <w:r>
        <w:rPr>
          <w:vertAlign w:val="baseline"/>
        </w:rPr>
        <w:t>time</w:t>
      </w:r>
      <w:r>
        <w:rPr>
          <w:spacing w:val="31"/>
          <w:vertAlign w:val="baseline"/>
        </w:rPr>
        <w:t> </w:t>
      </w:r>
      <w:r>
        <w:rPr>
          <w:vertAlign w:val="baseline"/>
        </w:rPr>
        <w:t>of</w:t>
      </w:r>
      <w:r>
        <w:rPr>
          <w:spacing w:val="30"/>
          <w:vertAlign w:val="baseline"/>
        </w:rPr>
        <w:t> </w:t>
      </w:r>
      <w:r>
        <w:rPr>
          <w:vertAlign w:val="baseline"/>
        </w:rPr>
        <w:t>writing</w:t>
      </w:r>
      <w:r>
        <w:rPr>
          <w:spacing w:val="31"/>
          <w:vertAlign w:val="baseline"/>
        </w:rPr>
        <w:t> </w:t>
      </w:r>
      <w:r>
        <w:rPr>
          <w:vertAlign w:val="baseline"/>
        </w:rPr>
        <w:t>this</w:t>
      </w:r>
      <w:r>
        <w:rPr>
          <w:spacing w:val="30"/>
          <w:vertAlign w:val="baseline"/>
        </w:rPr>
        <w:t> </w:t>
      </w:r>
      <w:r>
        <w:rPr>
          <w:vertAlign w:val="baseline"/>
        </w:rPr>
        <w:t>report</w:t>
      </w:r>
      <w:r>
        <w:rPr>
          <w:spacing w:val="29"/>
          <w:vertAlign w:val="baseline"/>
        </w:rPr>
        <w:t> </w:t>
      </w:r>
      <w:r>
        <w:rPr>
          <w:vertAlign w:val="baseline"/>
        </w:rPr>
        <w:t>in</w:t>
      </w:r>
      <w:r>
        <w:rPr>
          <w:spacing w:val="31"/>
          <w:vertAlign w:val="baseline"/>
        </w:rPr>
        <w:t> </w:t>
      </w:r>
      <w:r>
        <w:rPr>
          <w:vertAlign w:val="baseline"/>
        </w:rPr>
        <w:t>May</w:t>
      </w:r>
      <w:r>
        <w:rPr>
          <w:spacing w:val="30"/>
          <w:vertAlign w:val="baseline"/>
        </w:rPr>
        <w:t> </w:t>
      </w:r>
      <w:r>
        <w:rPr>
          <w:vertAlign w:val="baseline"/>
        </w:rPr>
        <w:t>2024,</w:t>
      </w:r>
      <w:r>
        <w:rPr>
          <w:spacing w:val="30"/>
          <w:vertAlign w:val="baseline"/>
        </w:rPr>
        <w:t> </w:t>
      </w:r>
      <w:r>
        <w:rPr>
          <w:vertAlign w:val="baseline"/>
        </w:rPr>
        <w:t>the</w:t>
      </w:r>
      <w:r>
        <w:rPr>
          <w:spacing w:val="30"/>
          <w:vertAlign w:val="baseline"/>
        </w:rPr>
        <w:t> </w:t>
      </w:r>
      <w:r>
        <w:rPr>
          <w:vertAlign w:val="baseline"/>
        </w:rPr>
        <w:t>American</w:t>
      </w:r>
      <w:r>
        <w:rPr>
          <w:spacing w:val="31"/>
          <w:vertAlign w:val="baseline"/>
        </w:rPr>
        <w:t> </w:t>
      </w:r>
      <w:r>
        <w:rPr>
          <w:vertAlign w:val="baseline"/>
        </w:rPr>
        <w:t>Civil</w:t>
      </w:r>
      <w:r>
        <w:rPr>
          <w:spacing w:val="30"/>
          <w:vertAlign w:val="baseline"/>
        </w:rPr>
        <w:t> </w:t>
      </w:r>
      <w:r>
        <w:rPr>
          <w:vertAlign w:val="baseline"/>
        </w:rPr>
        <w:t>Liberties</w:t>
      </w:r>
      <w:r>
        <w:rPr>
          <w:spacing w:val="30"/>
          <w:vertAlign w:val="baseline"/>
        </w:rPr>
        <w:t> </w:t>
      </w:r>
      <w:r>
        <w:rPr>
          <w:vertAlign w:val="baseline"/>
        </w:rPr>
        <w:t>Union</w:t>
      </w:r>
      <w:r>
        <w:rPr>
          <w:spacing w:val="30"/>
          <w:vertAlign w:val="baseline"/>
        </w:rPr>
        <w:t> </w:t>
      </w:r>
      <w:r>
        <w:rPr>
          <w:vertAlign w:val="baseline"/>
        </w:rPr>
        <w:t>is</w:t>
      </w:r>
    </w:p>
    <w:p>
      <w:pPr>
        <w:spacing w:after="0" w:line="276" w:lineRule="auto"/>
        <w:jc w:val="both"/>
        <w:sectPr>
          <w:pgSz w:w="12240" w:h="15840"/>
          <w:pgMar w:header="763" w:footer="1041" w:top="1140" w:bottom="1240" w:left="1120" w:right="1180"/>
        </w:sectPr>
      </w:pPr>
    </w:p>
    <w:p>
      <w:pPr>
        <w:pStyle w:val="BodyText"/>
        <w:spacing w:line="276" w:lineRule="auto" w:before="66"/>
        <w:ind w:left="463" w:right="401"/>
        <w:jc w:val="both"/>
      </w:pPr>
      <w:r>
        <w:rPr/>
        <w:t>tracking</w:t>
      </w:r>
      <w:r>
        <w:rPr>
          <w:spacing w:val="-12"/>
        </w:rPr>
        <w:t> </w:t>
      </w:r>
      <w:r>
        <w:rPr/>
        <w:t>515</w:t>
      </w:r>
      <w:r>
        <w:rPr>
          <w:spacing w:val="-9"/>
        </w:rPr>
        <w:t> </w:t>
      </w:r>
      <w:r>
        <w:rPr/>
        <w:t>anti-LGBTQ</w:t>
      </w:r>
      <w:r>
        <w:rPr>
          <w:spacing w:val="-10"/>
        </w:rPr>
        <w:t> </w:t>
      </w:r>
      <w:r>
        <w:rPr/>
        <w:t>bills</w:t>
      </w:r>
      <w:r>
        <w:rPr>
          <w:spacing w:val="-11"/>
        </w:rPr>
        <w:t> </w:t>
      </w:r>
      <w:r>
        <w:rPr/>
        <w:t>in</w:t>
      </w:r>
      <w:r>
        <w:rPr>
          <w:spacing w:val="-11"/>
        </w:rPr>
        <w:t> </w:t>
      </w:r>
      <w:r>
        <w:rPr/>
        <w:t>state</w:t>
      </w:r>
      <w:r>
        <w:rPr>
          <w:spacing w:val="-10"/>
        </w:rPr>
        <w:t> </w:t>
      </w:r>
      <w:r>
        <w:rPr/>
        <w:t>legislatures</w:t>
      </w:r>
      <w:r>
        <w:rPr>
          <w:spacing w:val="-11"/>
        </w:rPr>
        <w:t> </w:t>
      </w:r>
      <w:r>
        <w:rPr/>
        <w:t>across</w:t>
      </w:r>
      <w:r>
        <w:rPr>
          <w:spacing w:val="-11"/>
        </w:rPr>
        <w:t> </w:t>
      </w:r>
      <w:r>
        <w:rPr/>
        <w:t>the</w:t>
      </w:r>
      <w:r>
        <w:rPr>
          <w:spacing w:val="-10"/>
        </w:rPr>
        <w:t> </w:t>
      </w:r>
      <w:r>
        <w:rPr/>
        <w:t>U.S.,</w:t>
      </w:r>
      <w:r>
        <w:rPr>
          <w:spacing w:val="-11"/>
        </w:rPr>
        <w:t> </w:t>
      </w:r>
      <w:r>
        <w:rPr/>
        <w:t>203</w:t>
      </w:r>
      <w:r>
        <w:rPr>
          <w:spacing w:val="-11"/>
        </w:rPr>
        <w:t> </w:t>
      </w:r>
      <w:r>
        <w:rPr/>
        <w:t>of</w:t>
      </w:r>
      <w:r>
        <w:rPr>
          <w:spacing w:val="-11"/>
        </w:rPr>
        <w:t> </w:t>
      </w:r>
      <w:r>
        <w:rPr/>
        <w:t>which</w:t>
      </w:r>
      <w:r>
        <w:rPr>
          <w:spacing w:val="-10"/>
        </w:rPr>
        <w:t> </w:t>
      </w:r>
      <w:r>
        <w:rPr/>
        <w:t>are</w:t>
      </w:r>
      <w:r>
        <w:rPr>
          <w:spacing w:val="-11"/>
        </w:rPr>
        <w:t> </w:t>
      </w:r>
      <w:r>
        <w:rPr/>
        <w:t>related</w:t>
      </w:r>
      <w:r>
        <w:rPr>
          <w:spacing w:val="-10"/>
        </w:rPr>
        <w:t> </w:t>
      </w:r>
      <w:r>
        <w:rPr/>
        <w:t>to</w:t>
      </w:r>
      <w:r>
        <w:rPr>
          <w:spacing w:val="-11"/>
        </w:rPr>
        <w:t> </w:t>
      </w:r>
      <w:r>
        <w:rPr/>
        <w:t>restricting student and educator rights.</w:t>
      </w:r>
      <w:r>
        <w:rPr>
          <w:spacing w:val="-13"/>
        </w:rPr>
        <w:t> </w:t>
      </w:r>
      <w:hyperlink w:history="true" w:anchor="_bookmark76">
        <w:r>
          <w:rPr>
            <w:vertAlign w:val="superscript"/>
          </w:rPr>
          <w:t>37</w:t>
        </w:r>
      </w:hyperlink>
      <w:r>
        <w:rPr>
          <w:vertAlign w:val="baseline"/>
        </w:rPr>
        <w:t> The impact of the current political climate on LGBTQ youth and supportive educators is significant.</w:t>
      </w:r>
    </w:p>
    <w:p>
      <w:pPr>
        <w:spacing w:before="239"/>
        <w:ind w:left="464" w:right="0" w:firstLine="0"/>
        <w:jc w:val="left"/>
        <w:rPr>
          <w:sz w:val="28"/>
        </w:rPr>
      </w:pPr>
      <w:bookmarkStart w:name="Anti-Bullying" w:id="147"/>
      <w:bookmarkEnd w:id="147"/>
      <w:r>
        <w:rPr/>
      </w:r>
      <w:r>
        <w:rPr>
          <w:color w:val="365F91"/>
          <w:spacing w:val="-2"/>
          <w:sz w:val="28"/>
        </w:rPr>
        <w:t>Anti-Bullying</w:t>
      </w:r>
    </w:p>
    <w:p>
      <w:pPr>
        <w:pStyle w:val="BodyText"/>
        <w:spacing w:line="276" w:lineRule="auto" w:before="291"/>
        <w:ind w:left="463" w:right="401"/>
        <w:jc w:val="both"/>
      </w:pPr>
      <w:r>
        <w:rPr/>
        <w:t>Implementation</w:t>
      </w:r>
      <w:r>
        <w:rPr>
          <w:spacing w:val="-8"/>
        </w:rPr>
        <w:t> </w:t>
      </w:r>
      <w:r>
        <w:rPr/>
        <w:t>of</w:t>
      </w:r>
      <w:r>
        <w:rPr>
          <w:spacing w:val="-8"/>
        </w:rPr>
        <w:t> </w:t>
      </w:r>
      <w:r>
        <w:rPr/>
        <w:t>the</w:t>
      </w:r>
      <w:r>
        <w:rPr>
          <w:spacing w:val="-7"/>
        </w:rPr>
        <w:t> </w:t>
      </w:r>
      <w:r>
        <w:rPr/>
        <w:t>state’s</w:t>
      </w:r>
      <w:r>
        <w:rPr>
          <w:spacing w:val="-7"/>
        </w:rPr>
        <w:t> </w:t>
      </w:r>
      <w:r>
        <w:rPr/>
        <w:t>anti-bullying</w:t>
      </w:r>
      <w:r>
        <w:rPr>
          <w:spacing w:val="-8"/>
        </w:rPr>
        <w:t> </w:t>
      </w:r>
      <w:r>
        <w:rPr/>
        <w:t>plan</w:t>
      </w:r>
      <w:r>
        <w:rPr>
          <w:spacing w:val="-7"/>
        </w:rPr>
        <w:t> </w:t>
      </w:r>
      <w:r>
        <w:rPr/>
        <w:t>has</w:t>
      </w:r>
      <w:r>
        <w:rPr>
          <w:spacing w:val="-7"/>
        </w:rPr>
        <w:t> </w:t>
      </w:r>
      <w:r>
        <w:rPr/>
        <w:t>been</w:t>
      </w:r>
      <w:r>
        <w:rPr>
          <w:spacing w:val="-8"/>
        </w:rPr>
        <w:t> </w:t>
      </w:r>
      <w:r>
        <w:rPr/>
        <w:t>a</w:t>
      </w:r>
      <w:r>
        <w:rPr>
          <w:spacing w:val="-6"/>
        </w:rPr>
        <w:t> </w:t>
      </w:r>
      <w:r>
        <w:rPr/>
        <w:t>key</w:t>
      </w:r>
      <w:r>
        <w:rPr>
          <w:spacing w:val="-8"/>
        </w:rPr>
        <w:t> </w:t>
      </w:r>
      <w:r>
        <w:rPr/>
        <w:t>part</w:t>
      </w:r>
      <w:r>
        <w:rPr>
          <w:spacing w:val="-8"/>
        </w:rPr>
        <w:t> </w:t>
      </w:r>
      <w:r>
        <w:rPr/>
        <w:t>of</w:t>
      </w:r>
      <w:r>
        <w:rPr>
          <w:spacing w:val="-8"/>
        </w:rPr>
        <w:t> </w:t>
      </w:r>
      <w:r>
        <w:rPr/>
        <w:t>the</w:t>
      </w:r>
      <w:r>
        <w:rPr>
          <w:spacing w:val="-8"/>
        </w:rPr>
        <w:t> </w:t>
      </w:r>
      <w:r>
        <w:rPr/>
        <w:t>Commission’s</w:t>
      </w:r>
      <w:r>
        <w:rPr>
          <w:spacing w:val="-7"/>
        </w:rPr>
        <w:t> </w:t>
      </w:r>
      <w:r>
        <w:rPr/>
        <w:t>work</w:t>
      </w:r>
      <w:r>
        <w:rPr>
          <w:spacing w:val="-8"/>
        </w:rPr>
        <w:t> </w:t>
      </w:r>
      <w:r>
        <w:rPr/>
        <w:t>and</w:t>
      </w:r>
      <w:r>
        <w:rPr>
          <w:spacing w:val="-7"/>
        </w:rPr>
        <w:t> </w:t>
      </w:r>
      <w:r>
        <w:rPr/>
        <w:t>the cornerstone of its programming for many years. Data on anti-LGBTQ bullying from the 2021 MYRBS (2023</w:t>
      </w:r>
      <w:r>
        <w:rPr>
          <w:spacing w:val="-13"/>
        </w:rPr>
        <w:t> </w:t>
      </w:r>
      <w:r>
        <w:rPr/>
        <w:t>MYRBS</w:t>
      </w:r>
      <w:r>
        <w:rPr>
          <w:spacing w:val="-12"/>
        </w:rPr>
        <w:t> </w:t>
      </w:r>
      <w:r>
        <w:rPr/>
        <w:t>data</w:t>
      </w:r>
      <w:r>
        <w:rPr>
          <w:spacing w:val="-11"/>
        </w:rPr>
        <w:t> </w:t>
      </w:r>
      <w:r>
        <w:rPr/>
        <w:t>is</w:t>
      </w:r>
      <w:r>
        <w:rPr>
          <w:spacing w:val="-12"/>
        </w:rPr>
        <w:t> </w:t>
      </w:r>
      <w:r>
        <w:rPr/>
        <w:t>not</w:t>
      </w:r>
      <w:r>
        <w:rPr>
          <w:spacing w:val="-12"/>
        </w:rPr>
        <w:t> </w:t>
      </w:r>
      <w:r>
        <w:rPr/>
        <w:t>yet</w:t>
      </w:r>
      <w:r>
        <w:rPr>
          <w:spacing w:val="-13"/>
        </w:rPr>
        <w:t> </w:t>
      </w:r>
      <w:r>
        <w:rPr/>
        <w:t>available)</w:t>
      </w:r>
      <w:r>
        <w:rPr>
          <w:spacing w:val="-11"/>
        </w:rPr>
        <w:t> </w:t>
      </w:r>
      <w:r>
        <w:rPr/>
        <w:t>demonstrates</w:t>
      </w:r>
      <w:r>
        <w:rPr>
          <w:spacing w:val="-11"/>
        </w:rPr>
        <w:t> </w:t>
      </w:r>
      <w:r>
        <w:rPr/>
        <w:t>the</w:t>
      </w:r>
      <w:r>
        <w:rPr>
          <w:spacing w:val="-12"/>
        </w:rPr>
        <w:t> </w:t>
      </w:r>
      <w:r>
        <w:rPr/>
        <w:t>continued</w:t>
      </w:r>
      <w:r>
        <w:rPr>
          <w:spacing w:val="-13"/>
        </w:rPr>
        <w:t> </w:t>
      </w:r>
      <w:r>
        <w:rPr/>
        <w:t>need</w:t>
      </w:r>
      <w:r>
        <w:rPr>
          <w:spacing w:val="-12"/>
        </w:rPr>
        <w:t> </w:t>
      </w:r>
      <w:r>
        <w:rPr/>
        <w:t>to</w:t>
      </w:r>
      <w:r>
        <w:rPr>
          <w:spacing w:val="-12"/>
        </w:rPr>
        <w:t> </w:t>
      </w:r>
      <w:r>
        <w:rPr/>
        <w:t>address</w:t>
      </w:r>
      <w:r>
        <w:rPr>
          <w:spacing w:val="-12"/>
        </w:rPr>
        <w:t> </w:t>
      </w:r>
      <w:r>
        <w:rPr/>
        <w:t>this</w:t>
      </w:r>
      <w:r>
        <w:rPr>
          <w:spacing w:val="-11"/>
        </w:rPr>
        <w:t> </w:t>
      </w:r>
      <w:r>
        <w:rPr/>
        <w:t>bias</w:t>
      </w:r>
      <w:r>
        <w:rPr>
          <w:spacing w:val="-12"/>
        </w:rPr>
        <w:t> </w:t>
      </w:r>
      <w:r>
        <w:rPr/>
        <w:t>in</w:t>
      </w:r>
      <w:r>
        <w:rPr>
          <w:spacing w:val="-13"/>
        </w:rPr>
        <w:t> </w:t>
      </w:r>
      <w:r>
        <w:rPr/>
        <w:t>schools to protect vulnerable students, prevent the negative health consequences of bullying, and improve educational outcomes. However, the Commission believes that the Commonwealth’s anti-bullying laws need to be strengthened.</w:t>
      </w:r>
    </w:p>
    <w:p>
      <w:pPr>
        <w:pStyle w:val="BodyText"/>
        <w:spacing w:line="276" w:lineRule="auto" w:before="241"/>
        <w:ind w:left="463" w:right="403"/>
        <w:jc w:val="both"/>
      </w:pPr>
      <w:r>
        <w:rPr/>
        <w:t>School districts need more funding and clearly defined mandatory requirements for how to counter bullying and proactively build more inclusive communities. These requirements should explicitly address LGBTQ students and, as mentioned above, mandate that districts make LGBTQ trainings available</w:t>
      </w:r>
      <w:r>
        <w:rPr>
          <w:spacing w:val="-2"/>
        </w:rPr>
        <w:t> </w:t>
      </w:r>
      <w:r>
        <w:rPr/>
        <w:t>to</w:t>
      </w:r>
      <w:r>
        <w:rPr>
          <w:spacing w:val="-1"/>
        </w:rPr>
        <w:t> </w:t>
      </w:r>
      <w:r>
        <w:rPr/>
        <w:t>all</w:t>
      </w:r>
      <w:r>
        <w:rPr>
          <w:spacing w:val="-2"/>
        </w:rPr>
        <w:t> </w:t>
      </w:r>
      <w:r>
        <w:rPr/>
        <w:t>staff</w:t>
      </w:r>
      <w:r>
        <w:rPr>
          <w:spacing w:val="-2"/>
        </w:rPr>
        <w:t> </w:t>
      </w:r>
      <w:r>
        <w:rPr/>
        <w:t>on</w:t>
      </w:r>
      <w:r>
        <w:rPr>
          <w:spacing w:val="-2"/>
        </w:rPr>
        <w:t> </w:t>
      </w:r>
      <w:r>
        <w:rPr/>
        <w:t>a</w:t>
      </w:r>
      <w:r>
        <w:rPr>
          <w:spacing w:val="-2"/>
        </w:rPr>
        <w:t> </w:t>
      </w:r>
      <w:r>
        <w:rPr/>
        <w:t>regular</w:t>
      </w:r>
      <w:r>
        <w:rPr>
          <w:spacing w:val="-2"/>
        </w:rPr>
        <w:t> </w:t>
      </w:r>
      <w:r>
        <w:rPr/>
        <w:t>basis.</w:t>
      </w:r>
      <w:r>
        <w:rPr>
          <w:spacing w:val="-2"/>
        </w:rPr>
        <w:t> </w:t>
      </w:r>
      <w:r>
        <w:rPr/>
        <w:t>Given</w:t>
      </w:r>
      <w:r>
        <w:rPr>
          <w:spacing w:val="-2"/>
        </w:rPr>
        <w:t> </w:t>
      </w:r>
      <w:r>
        <w:rPr/>
        <w:t>the</w:t>
      </w:r>
      <w:r>
        <w:rPr>
          <w:spacing w:val="-2"/>
        </w:rPr>
        <w:t> </w:t>
      </w:r>
      <w:r>
        <w:rPr/>
        <w:t>intersection</w:t>
      </w:r>
      <w:r>
        <w:rPr>
          <w:spacing w:val="-2"/>
        </w:rPr>
        <w:t> </w:t>
      </w:r>
      <w:r>
        <w:rPr/>
        <w:t>between</w:t>
      </w:r>
      <w:r>
        <w:rPr>
          <w:spacing w:val="-2"/>
        </w:rPr>
        <w:t> </w:t>
      </w:r>
      <w:r>
        <w:rPr/>
        <w:t>anti-LGBTQ</w:t>
      </w:r>
      <w:r>
        <w:rPr>
          <w:spacing w:val="-2"/>
        </w:rPr>
        <w:t> </w:t>
      </w:r>
      <w:r>
        <w:rPr/>
        <w:t>bias</w:t>
      </w:r>
      <w:r>
        <w:rPr>
          <w:spacing w:val="-1"/>
        </w:rPr>
        <w:t> </w:t>
      </w:r>
      <w:r>
        <w:rPr/>
        <w:t>and</w:t>
      </w:r>
      <w:r>
        <w:rPr>
          <w:spacing w:val="-2"/>
        </w:rPr>
        <w:t> </w:t>
      </w:r>
      <w:r>
        <w:rPr/>
        <w:t>racial</w:t>
      </w:r>
      <w:r>
        <w:rPr>
          <w:spacing w:val="-2"/>
        </w:rPr>
        <w:t> </w:t>
      </w:r>
      <w:r>
        <w:rPr/>
        <w:t>and ethnic biases, and thus the specific experiences and needs of BIPOC LGBTQ youth, the Commission recommends that these trainings be approached using an intersectional antiracist framework.</w:t>
      </w:r>
    </w:p>
    <w:p>
      <w:pPr>
        <w:pStyle w:val="BodyText"/>
        <w:spacing w:line="276" w:lineRule="auto" w:before="240"/>
        <w:ind w:left="463" w:right="402"/>
        <w:jc w:val="both"/>
      </w:pPr>
      <w:r>
        <w:rPr/>
        <w:t>Beyond</w:t>
      </w:r>
      <w:r>
        <w:rPr>
          <w:spacing w:val="-2"/>
        </w:rPr>
        <w:t> </w:t>
      </w:r>
      <w:r>
        <w:rPr/>
        <w:t>staff training,</w:t>
      </w:r>
      <w:r>
        <w:rPr>
          <w:spacing w:val="-1"/>
        </w:rPr>
        <w:t> </w:t>
      </w:r>
      <w:r>
        <w:rPr/>
        <w:t>students</w:t>
      </w:r>
      <w:r>
        <w:rPr>
          <w:spacing w:val="-2"/>
        </w:rPr>
        <w:t> </w:t>
      </w:r>
      <w:r>
        <w:rPr/>
        <w:t>also</w:t>
      </w:r>
      <w:r>
        <w:rPr>
          <w:spacing w:val="-1"/>
        </w:rPr>
        <w:t> </w:t>
      </w:r>
      <w:r>
        <w:rPr/>
        <w:t>need</w:t>
      </w:r>
      <w:r>
        <w:rPr>
          <w:spacing w:val="-2"/>
        </w:rPr>
        <w:t> </w:t>
      </w:r>
      <w:r>
        <w:rPr/>
        <w:t>more</w:t>
      </w:r>
      <w:r>
        <w:rPr>
          <w:spacing w:val="-2"/>
        </w:rPr>
        <w:t> </w:t>
      </w:r>
      <w:r>
        <w:rPr/>
        <w:t>education</w:t>
      </w:r>
      <w:r>
        <w:rPr>
          <w:spacing w:val="-2"/>
        </w:rPr>
        <w:t> </w:t>
      </w:r>
      <w:r>
        <w:rPr/>
        <w:t>to</w:t>
      </w:r>
      <w:r>
        <w:rPr>
          <w:spacing w:val="-1"/>
        </w:rPr>
        <w:t> </w:t>
      </w:r>
      <w:r>
        <w:rPr/>
        <w:t>prepare</w:t>
      </w:r>
      <w:r>
        <w:rPr>
          <w:spacing w:val="-2"/>
        </w:rPr>
        <w:t> </w:t>
      </w:r>
      <w:r>
        <w:rPr/>
        <w:t>them</w:t>
      </w:r>
      <w:r>
        <w:rPr>
          <w:spacing w:val="-2"/>
        </w:rPr>
        <w:t> </w:t>
      </w:r>
      <w:r>
        <w:rPr/>
        <w:t>to</w:t>
      </w:r>
      <w:r>
        <w:rPr>
          <w:spacing w:val="-1"/>
        </w:rPr>
        <w:t> </w:t>
      </w:r>
      <w:r>
        <w:rPr/>
        <w:t>prevent</w:t>
      </w:r>
      <w:r>
        <w:rPr>
          <w:spacing w:val="-2"/>
        </w:rPr>
        <w:t> </w:t>
      </w:r>
      <w:r>
        <w:rPr/>
        <w:t>and</w:t>
      </w:r>
      <w:r>
        <w:rPr>
          <w:spacing w:val="-2"/>
        </w:rPr>
        <w:t> </w:t>
      </w:r>
      <w:r>
        <w:rPr/>
        <w:t>respond</w:t>
      </w:r>
      <w:r>
        <w:rPr>
          <w:spacing w:val="-2"/>
        </w:rPr>
        <w:t> </w:t>
      </w:r>
      <w:r>
        <w:rPr/>
        <w:t>to bullying, bias, and mistreatment. The Commonwealth should also strengthen existing requirements that schools provide age-appropriate instruction on bullying prevention, to ensure that the state is monitoring evidence-based instruction at every level.</w:t>
      </w:r>
    </w:p>
    <w:p>
      <w:pPr>
        <w:pStyle w:val="BodyText"/>
        <w:spacing w:line="276" w:lineRule="auto" w:before="239"/>
        <w:ind w:left="5559" w:right="401"/>
        <w:jc w:val="both"/>
      </w:pPr>
      <w:r>
        <w:rPr/>
        <w:drawing>
          <wp:anchor distT="0" distB="0" distL="0" distR="0" allowOverlap="1" layoutInCell="1" locked="0" behindDoc="0" simplePos="0" relativeHeight="15746048">
            <wp:simplePos x="0" y="0"/>
            <wp:positionH relativeFrom="page">
              <wp:posOffset>1002664</wp:posOffset>
            </wp:positionH>
            <wp:positionV relativeFrom="paragraph">
              <wp:posOffset>215544</wp:posOffset>
            </wp:positionV>
            <wp:extent cx="3115114" cy="1795373"/>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07" cstate="print"/>
                    <a:stretch>
                      <a:fillRect/>
                    </a:stretch>
                  </pic:blipFill>
                  <pic:spPr>
                    <a:xfrm>
                      <a:off x="0" y="0"/>
                      <a:ext cx="3115114" cy="1795373"/>
                    </a:xfrm>
                    <a:prstGeom prst="rect">
                      <a:avLst/>
                    </a:prstGeom>
                  </pic:spPr>
                </pic:pic>
              </a:graphicData>
            </a:graphic>
          </wp:anchor>
        </w:drawing>
      </w:r>
      <w:r>
        <w:rPr/>
        <w:t>Furthermore,</w:t>
      </w:r>
      <w:r>
        <w:rPr>
          <w:spacing w:val="-4"/>
        </w:rPr>
        <w:t> </w:t>
      </w:r>
      <w:r>
        <w:rPr/>
        <w:t>in</w:t>
      </w:r>
      <w:r>
        <w:rPr>
          <w:spacing w:val="-5"/>
        </w:rPr>
        <w:t> </w:t>
      </w:r>
      <w:r>
        <w:rPr/>
        <w:t>a</w:t>
      </w:r>
      <w:r>
        <w:rPr>
          <w:spacing w:val="-4"/>
        </w:rPr>
        <w:t> </w:t>
      </w:r>
      <w:r>
        <w:rPr/>
        <w:t>series</w:t>
      </w:r>
      <w:r>
        <w:rPr>
          <w:spacing w:val="-4"/>
        </w:rPr>
        <w:t> </w:t>
      </w:r>
      <w:r>
        <w:rPr/>
        <w:t>of</w:t>
      </w:r>
      <w:r>
        <w:rPr>
          <w:spacing w:val="-3"/>
        </w:rPr>
        <w:t> </w:t>
      </w:r>
      <w:r>
        <w:rPr/>
        <w:t>listening</w:t>
      </w:r>
      <w:r>
        <w:rPr>
          <w:spacing w:val="-5"/>
        </w:rPr>
        <w:t> </w:t>
      </w:r>
      <w:r>
        <w:rPr/>
        <w:t>sessions that</w:t>
      </w:r>
      <w:r>
        <w:rPr>
          <w:spacing w:val="-6"/>
        </w:rPr>
        <w:t> </w:t>
      </w:r>
      <w:r>
        <w:rPr/>
        <w:t>were</w:t>
      </w:r>
      <w:r>
        <w:rPr>
          <w:spacing w:val="-6"/>
        </w:rPr>
        <w:t> </w:t>
      </w:r>
      <w:r>
        <w:rPr/>
        <w:t>hosted</w:t>
      </w:r>
      <w:r>
        <w:rPr>
          <w:spacing w:val="-6"/>
        </w:rPr>
        <w:t> </w:t>
      </w:r>
      <w:r>
        <w:rPr/>
        <w:t>by</w:t>
      </w:r>
      <w:r>
        <w:rPr>
          <w:spacing w:val="-6"/>
        </w:rPr>
        <w:t> </w:t>
      </w:r>
      <w:r>
        <w:rPr/>
        <w:t>the</w:t>
      </w:r>
      <w:r>
        <w:rPr>
          <w:spacing w:val="-6"/>
        </w:rPr>
        <w:t> </w:t>
      </w:r>
      <w:r>
        <w:rPr/>
        <w:t>Commission</w:t>
      </w:r>
      <w:r>
        <w:rPr>
          <w:spacing w:val="-6"/>
        </w:rPr>
        <w:t> </w:t>
      </w:r>
      <w:r>
        <w:rPr/>
        <w:t>in</w:t>
      </w:r>
      <w:r>
        <w:rPr>
          <w:spacing w:val="-6"/>
        </w:rPr>
        <w:t> </w:t>
      </w:r>
      <w:r>
        <w:rPr/>
        <w:t>April and</w:t>
      </w:r>
      <w:r>
        <w:rPr>
          <w:spacing w:val="-3"/>
        </w:rPr>
        <w:t> </w:t>
      </w:r>
      <w:r>
        <w:rPr/>
        <w:t>May</w:t>
      </w:r>
      <w:r>
        <w:rPr>
          <w:spacing w:val="-2"/>
        </w:rPr>
        <w:t> </w:t>
      </w:r>
      <w:r>
        <w:rPr/>
        <w:t>2024,</w:t>
      </w:r>
      <w:r>
        <w:rPr>
          <w:spacing w:val="-2"/>
        </w:rPr>
        <w:t> </w:t>
      </w:r>
      <w:r>
        <w:rPr/>
        <w:t>20</w:t>
      </w:r>
      <w:r>
        <w:rPr>
          <w:spacing w:val="-2"/>
        </w:rPr>
        <w:t> </w:t>
      </w:r>
      <w:r>
        <w:rPr/>
        <w:t>students</w:t>
      </w:r>
      <w:r>
        <w:rPr>
          <w:spacing w:val="-2"/>
        </w:rPr>
        <w:t> </w:t>
      </w:r>
      <w:r>
        <w:rPr/>
        <w:t>attending</w:t>
      </w:r>
      <w:r>
        <w:rPr>
          <w:spacing w:val="-1"/>
        </w:rPr>
        <w:t> </w:t>
      </w:r>
      <w:r>
        <w:rPr/>
        <w:t>a K-12 school</w:t>
      </w:r>
      <w:r>
        <w:rPr>
          <w:spacing w:val="-3"/>
        </w:rPr>
        <w:t> </w:t>
      </w:r>
      <w:r>
        <w:rPr/>
        <w:t>from</w:t>
      </w:r>
      <w:r>
        <w:rPr>
          <w:spacing w:val="-4"/>
        </w:rPr>
        <w:t> </w:t>
      </w:r>
      <w:r>
        <w:rPr/>
        <w:t>Springfield</w:t>
      </w:r>
      <w:r>
        <w:rPr>
          <w:spacing w:val="-4"/>
        </w:rPr>
        <w:t> </w:t>
      </w:r>
      <w:r>
        <w:rPr/>
        <w:t>to</w:t>
      </w:r>
      <w:r>
        <w:rPr>
          <w:spacing w:val="-2"/>
        </w:rPr>
        <w:t> </w:t>
      </w:r>
      <w:r>
        <w:rPr/>
        <w:t>Medford</w:t>
      </w:r>
      <w:r>
        <w:rPr>
          <w:spacing w:val="-4"/>
        </w:rPr>
        <w:t> </w:t>
      </w:r>
      <w:r>
        <w:rPr/>
        <w:t>to</w:t>
      </w:r>
      <w:r>
        <w:rPr>
          <w:spacing w:val="-3"/>
        </w:rPr>
        <w:t> </w:t>
      </w:r>
      <w:r>
        <w:rPr/>
        <w:t>South Hadley all expressed significant concerns about bullying from their peers and a significant lack of response from school administration. Additionally, several students at the sessions shared that even though</w:t>
      </w:r>
      <w:r>
        <w:rPr>
          <w:spacing w:val="36"/>
        </w:rPr>
        <w:t> </w:t>
      </w:r>
      <w:r>
        <w:rPr/>
        <w:t>they</w:t>
      </w:r>
      <w:r>
        <w:rPr>
          <w:spacing w:val="35"/>
        </w:rPr>
        <w:t> </w:t>
      </w:r>
      <w:r>
        <w:rPr/>
        <w:t>had</w:t>
      </w:r>
      <w:r>
        <w:rPr>
          <w:spacing w:val="35"/>
        </w:rPr>
        <w:t> </w:t>
      </w:r>
      <w:r>
        <w:rPr/>
        <w:t>reported</w:t>
      </w:r>
      <w:r>
        <w:rPr>
          <w:spacing w:val="36"/>
        </w:rPr>
        <w:t> </w:t>
      </w:r>
      <w:r>
        <w:rPr/>
        <w:t>bullying</w:t>
      </w:r>
      <w:r>
        <w:rPr>
          <w:spacing w:val="34"/>
        </w:rPr>
        <w:t> </w:t>
      </w:r>
      <w:r>
        <w:rPr>
          <w:spacing w:val="-2"/>
        </w:rPr>
        <w:t>several</w:t>
      </w:r>
    </w:p>
    <w:p>
      <w:pPr>
        <w:pStyle w:val="BodyText"/>
        <w:spacing w:line="276" w:lineRule="auto"/>
        <w:ind w:left="464" w:right="402"/>
        <w:jc w:val="both"/>
      </w:pPr>
      <w:r>
        <w:rPr/>
        <w:t>times to their schools, little to no action was taken by the school - nor did the school support the student when they faced significant retaliation from their peers for reporting the bullying. Schools must have clear antibullying policies that address these noted issues and ensure that a system of transparency and accountability is in place.</w:t>
      </w:r>
    </w:p>
    <w:p>
      <w:pPr>
        <w:spacing w:after="0" w:line="276" w:lineRule="auto"/>
        <w:jc w:val="both"/>
        <w:sectPr>
          <w:pgSz w:w="12240" w:h="15840"/>
          <w:pgMar w:header="763" w:footer="1041" w:top="1140" w:bottom="1240" w:left="1120" w:right="1180"/>
        </w:sectPr>
      </w:pPr>
    </w:p>
    <w:p>
      <w:pPr>
        <w:spacing w:before="65"/>
        <w:ind w:left="464" w:right="0" w:firstLine="0"/>
        <w:jc w:val="both"/>
        <w:rPr>
          <w:sz w:val="28"/>
        </w:rPr>
      </w:pPr>
      <w:bookmarkStart w:name="Early Childhood Education, Higher Educat" w:id="148"/>
      <w:bookmarkEnd w:id="148"/>
      <w:r>
        <w:rPr/>
      </w:r>
      <w:r>
        <w:rPr>
          <w:color w:val="365F91"/>
          <w:sz w:val="28"/>
        </w:rPr>
        <w:t>Early</w:t>
      </w:r>
      <w:r>
        <w:rPr>
          <w:color w:val="365F91"/>
          <w:spacing w:val="-10"/>
          <w:sz w:val="28"/>
        </w:rPr>
        <w:t> </w:t>
      </w:r>
      <w:r>
        <w:rPr>
          <w:color w:val="365F91"/>
          <w:sz w:val="28"/>
        </w:rPr>
        <w:t>Childhood</w:t>
      </w:r>
      <w:r>
        <w:rPr>
          <w:color w:val="365F91"/>
          <w:spacing w:val="-11"/>
          <w:sz w:val="28"/>
        </w:rPr>
        <w:t> </w:t>
      </w:r>
      <w:r>
        <w:rPr>
          <w:color w:val="365F91"/>
          <w:sz w:val="28"/>
        </w:rPr>
        <w:t>Education,</w:t>
      </w:r>
      <w:r>
        <w:rPr>
          <w:color w:val="365F91"/>
          <w:spacing w:val="-9"/>
          <w:sz w:val="28"/>
        </w:rPr>
        <w:t> </w:t>
      </w:r>
      <w:r>
        <w:rPr>
          <w:color w:val="365F91"/>
          <w:sz w:val="28"/>
        </w:rPr>
        <w:t>Higher</w:t>
      </w:r>
      <w:r>
        <w:rPr>
          <w:color w:val="365F91"/>
          <w:spacing w:val="-11"/>
          <w:sz w:val="28"/>
        </w:rPr>
        <w:t> </w:t>
      </w:r>
      <w:r>
        <w:rPr>
          <w:color w:val="365F91"/>
          <w:sz w:val="28"/>
        </w:rPr>
        <w:t>Education,</w:t>
      </w:r>
      <w:r>
        <w:rPr>
          <w:color w:val="365F91"/>
          <w:spacing w:val="-9"/>
          <w:sz w:val="28"/>
        </w:rPr>
        <w:t> </w:t>
      </w:r>
      <w:r>
        <w:rPr>
          <w:color w:val="365F91"/>
          <w:sz w:val="28"/>
        </w:rPr>
        <w:t>and</w:t>
      </w:r>
      <w:r>
        <w:rPr>
          <w:color w:val="365F91"/>
          <w:spacing w:val="-11"/>
          <w:sz w:val="28"/>
        </w:rPr>
        <w:t> </w:t>
      </w:r>
      <w:r>
        <w:rPr>
          <w:color w:val="365F91"/>
          <w:sz w:val="28"/>
        </w:rPr>
        <w:t>a</w:t>
      </w:r>
      <w:r>
        <w:rPr>
          <w:color w:val="365F91"/>
          <w:spacing w:val="-10"/>
          <w:sz w:val="28"/>
        </w:rPr>
        <w:t> </w:t>
      </w:r>
      <w:r>
        <w:rPr>
          <w:color w:val="365F91"/>
          <w:sz w:val="28"/>
        </w:rPr>
        <w:t>Continuum</w:t>
      </w:r>
      <w:r>
        <w:rPr>
          <w:color w:val="365F91"/>
          <w:spacing w:val="-9"/>
          <w:sz w:val="28"/>
        </w:rPr>
        <w:t> </w:t>
      </w:r>
      <w:r>
        <w:rPr>
          <w:color w:val="365F91"/>
          <w:sz w:val="28"/>
        </w:rPr>
        <w:t>of</w:t>
      </w:r>
      <w:r>
        <w:rPr>
          <w:color w:val="365F91"/>
          <w:spacing w:val="-10"/>
          <w:sz w:val="28"/>
        </w:rPr>
        <w:t> </w:t>
      </w:r>
      <w:r>
        <w:rPr>
          <w:color w:val="365F91"/>
          <w:spacing w:val="-4"/>
          <w:sz w:val="28"/>
        </w:rPr>
        <w:t>Care</w:t>
      </w:r>
    </w:p>
    <w:p>
      <w:pPr>
        <w:pStyle w:val="BodyText"/>
        <w:spacing w:line="276" w:lineRule="auto" w:before="292"/>
        <w:ind w:left="464" w:right="399"/>
        <w:jc w:val="both"/>
      </w:pPr>
      <w:r>
        <w:rPr/>
        <w:t>The Commission envisions an education system in the Commonwealth, including early childhood education (ECE) through higher education, where LGBTQ students feel safe, affirmed, and have what they</w:t>
      </w:r>
      <w:r>
        <w:rPr>
          <w:spacing w:val="-1"/>
        </w:rPr>
        <w:t> </w:t>
      </w:r>
      <w:r>
        <w:rPr/>
        <w:t>need</w:t>
      </w:r>
      <w:r>
        <w:rPr>
          <w:spacing w:val="-1"/>
        </w:rPr>
        <w:t> </w:t>
      </w:r>
      <w:r>
        <w:rPr/>
        <w:t>to do</w:t>
      </w:r>
      <w:r>
        <w:rPr>
          <w:spacing w:val="-1"/>
        </w:rPr>
        <w:t> </w:t>
      </w:r>
      <w:r>
        <w:rPr/>
        <w:t>their best learning.</w:t>
      </w:r>
      <w:r>
        <w:rPr>
          <w:spacing w:val="-1"/>
        </w:rPr>
        <w:t> </w:t>
      </w:r>
      <w:r>
        <w:rPr/>
        <w:t>While</w:t>
      </w:r>
      <w:r>
        <w:rPr>
          <w:spacing w:val="-2"/>
        </w:rPr>
        <w:t> </w:t>
      </w:r>
      <w:r>
        <w:rPr/>
        <w:t>it</w:t>
      </w:r>
      <w:r>
        <w:rPr>
          <w:spacing w:val="-2"/>
        </w:rPr>
        <w:t> </w:t>
      </w:r>
      <w:r>
        <w:rPr/>
        <w:t>is important</w:t>
      </w:r>
      <w:r>
        <w:rPr>
          <w:spacing w:val="-1"/>
        </w:rPr>
        <w:t> </w:t>
      </w:r>
      <w:r>
        <w:rPr/>
        <w:t>to</w:t>
      </w:r>
      <w:r>
        <w:rPr>
          <w:spacing w:val="-1"/>
        </w:rPr>
        <w:t> </w:t>
      </w:r>
      <w:r>
        <w:rPr/>
        <w:t>focus on</w:t>
      </w:r>
      <w:r>
        <w:rPr>
          <w:spacing w:val="-2"/>
        </w:rPr>
        <w:t> </w:t>
      </w:r>
      <w:r>
        <w:rPr/>
        <w:t>providing</w:t>
      </w:r>
      <w:r>
        <w:rPr>
          <w:spacing w:val="-1"/>
        </w:rPr>
        <w:t> </w:t>
      </w:r>
      <w:r>
        <w:rPr/>
        <w:t>safe</w:t>
      </w:r>
      <w:r>
        <w:rPr>
          <w:spacing w:val="-2"/>
        </w:rPr>
        <w:t> </w:t>
      </w:r>
      <w:r>
        <w:rPr/>
        <w:t>and</w:t>
      </w:r>
      <w:r>
        <w:rPr>
          <w:spacing w:val="-1"/>
        </w:rPr>
        <w:t> </w:t>
      </w:r>
      <w:r>
        <w:rPr/>
        <w:t>welcoming</w:t>
      </w:r>
      <w:r>
        <w:rPr>
          <w:spacing w:val="-1"/>
        </w:rPr>
        <w:t> </w:t>
      </w:r>
      <w:r>
        <w:rPr/>
        <w:t>K- 12 school environments for LGBTQ students and families, it is also critical that attention be given to early childhood and higher education to work towards seamless transitions for students and families as they move from ECE to K-12 to higher education in the Commonwealth.</w:t>
      </w:r>
    </w:p>
    <w:p>
      <w:pPr>
        <w:pStyle w:val="BodyText"/>
        <w:spacing w:line="276" w:lineRule="auto" w:before="240"/>
        <w:ind w:left="463" w:right="402"/>
        <w:jc w:val="both"/>
      </w:pPr>
      <w:r>
        <w:rPr/>
        <w:t>Much of the rhetoric being used in current attacks on LGBTQ-inclusive education claims that young children are being taught about gender and sexuality in ways that are not age appropriate. However, according to the Mayo Clinic, children can label their own</w:t>
      </w:r>
      <w:r>
        <w:rPr>
          <w:spacing w:val="-1"/>
        </w:rPr>
        <w:t> </w:t>
      </w:r>
      <w:r>
        <w:rPr/>
        <w:t>gender around the age of 3.</w:t>
      </w:r>
      <w:hyperlink w:history="true" w:anchor="_bookmark77">
        <w:r>
          <w:rPr>
            <w:vertAlign w:val="superscript"/>
          </w:rPr>
          <w:t>38</w:t>
        </w:r>
      </w:hyperlink>
      <w:r>
        <w:rPr>
          <w:spacing w:val="-3"/>
          <w:vertAlign w:val="baseline"/>
        </w:rPr>
        <w:t> </w:t>
      </w:r>
      <w:r>
        <w:rPr>
          <w:vertAlign w:val="baseline"/>
        </w:rPr>
        <w:t>This is not to suggest that all transgender people know they are trans at the age of 3. Rather, it is to demonstrate that children are aware of and thinking about gender during early childhood years, thus it is developmentally appropriate for ECE programs to engage with age-appropriate material on topics of gender. One of the Commission’s goals for the 2024-2025 academic year is to deepen relationships with ECE centers and providers around Massachusetts to continue to provide training and technical assistance for educators, administrators, students, and families.</w:t>
      </w:r>
    </w:p>
    <w:p>
      <w:pPr>
        <w:pStyle w:val="BodyText"/>
        <w:spacing w:line="276" w:lineRule="auto" w:before="240"/>
        <w:ind w:left="463" w:right="403"/>
        <w:jc w:val="both"/>
      </w:pPr>
      <w:r>
        <w:rPr/>
        <w:t>While many strides have been made at colleges and universities across the country, trans and nonbinary students, as well as BIPOC LGBTQ students, still report lower rates of belonging and have lower</w:t>
      </w:r>
      <w:r>
        <w:rPr>
          <w:spacing w:val="-3"/>
        </w:rPr>
        <w:t> </w:t>
      </w:r>
      <w:r>
        <w:rPr/>
        <w:t>graduation</w:t>
      </w:r>
      <w:r>
        <w:rPr>
          <w:spacing w:val="-3"/>
        </w:rPr>
        <w:t> </w:t>
      </w:r>
      <w:r>
        <w:rPr/>
        <w:t>rates.</w:t>
      </w:r>
      <w:r>
        <w:rPr>
          <w:spacing w:val="-3"/>
        </w:rPr>
        <w:t> </w:t>
      </w:r>
      <w:r>
        <w:rPr/>
        <w:t>However,</w:t>
      </w:r>
      <w:r>
        <w:rPr>
          <w:spacing w:val="-3"/>
        </w:rPr>
        <w:t> </w:t>
      </w:r>
      <w:r>
        <w:rPr/>
        <w:t>there</w:t>
      </w:r>
      <w:r>
        <w:rPr>
          <w:spacing w:val="-2"/>
        </w:rPr>
        <w:t> </w:t>
      </w:r>
      <w:r>
        <w:rPr/>
        <w:t>is</w:t>
      </w:r>
      <w:r>
        <w:rPr>
          <w:spacing w:val="-2"/>
        </w:rPr>
        <w:t> </w:t>
      </w:r>
      <w:r>
        <w:rPr/>
        <w:t>incredible</w:t>
      </w:r>
      <w:r>
        <w:rPr>
          <w:spacing w:val="-2"/>
        </w:rPr>
        <w:t> </w:t>
      </w:r>
      <w:r>
        <w:rPr/>
        <w:t>work</w:t>
      </w:r>
      <w:r>
        <w:rPr>
          <w:spacing w:val="-3"/>
        </w:rPr>
        <w:t> </w:t>
      </w:r>
      <w:r>
        <w:rPr/>
        <w:t>being</w:t>
      </w:r>
      <w:r>
        <w:rPr>
          <w:spacing w:val="-3"/>
        </w:rPr>
        <w:t> </w:t>
      </w:r>
      <w:r>
        <w:rPr/>
        <w:t>done</w:t>
      </w:r>
      <w:r>
        <w:rPr>
          <w:spacing w:val="-3"/>
        </w:rPr>
        <w:t> </w:t>
      </w:r>
      <w:r>
        <w:rPr/>
        <w:t>at</w:t>
      </w:r>
      <w:r>
        <w:rPr>
          <w:spacing w:val="-3"/>
        </w:rPr>
        <w:t> </w:t>
      </w:r>
      <w:r>
        <w:rPr/>
        <w:t>higher</w:t>
      </w:r>
      <w:r>
        <w:rPr>
          <w:spacing w:val="-3"/>
        </w:rPr>
        <w:t> </w:t>
      </w:r>
      <w:r>
        <w:rPr/>
        <w:t>education</w:t>
      </w:r>
      <w:r>
        <w:rPr>
          <w:spacing w:val="-3"/>
        </w:rPr>
        <w:t> </w:t>
      </w:r>
      <w:r>
        <w:rPr/>
        <w:t>institutions in the Commonwealth by faculty and staff to support these students to have equitable educational opportunities as they are</w:t>
      </w:r>
      <w:r>
        <w:rPr>
          <w:spacing w:val="-1"/>
        </w:rPr>
        <w:t> </w:t>
      </w:r>
      <w:r>
        <w:rPr/>
        <w:t>afforded</w:t>
      </w:r>
      <w:r>
        <w:rPr>
          <w:spacing w:val="-1"/>
        </w:rPr>
        <w:t> </w:t>
      </w:r>
      <w:r>
        <w:rPr/>
        <w:t>to white</w:t>
      </w:r>
      <w:r>
        <w:rPr>
          <w:spacing w:val="-1"/>
        </w:rPr>
        <w:t> </w:t>
      </w:r>
      <w:r>
        <w:rPr/>
        <w:t>and/or non-LGBTQ students.</w:t>
      </w:r>
      <w:r>
        <w:rPr>
          <w:spacing w:val="-1"/>
        </w:rPr>
        <w:t> </w:t>
      </w:r>
      <w:r>
        <w:rPr/>
        <w:t>To bridge the gaps between ECE, K-12, and higher education, the Commission advocates for an annual convening of the Department</w:t>
      </w:r>
      <w:r>
        <w:rPr>
          <w:spacing w:val="-13"/>
        </w:rPr>
        <w:t> </w:t>
      </w:r>
      <w:r>
        <w:rPr/>
        <w:t>of</w:t>
      </w:r>
      <w:r>
        <w:rPr>
          <w:spacing w:val="-12"/>
        </w:rPr>
        <w:t> </w:t>
      </w:r>
      <w:r>
        <w:rPr/>
        <w:t>Early</w:t>
      </w:r>
      <w:r>
        <w:rPr>
          <w:spacing w:val="-13"/>
        </w:rPr>
        <w:t> </w:t>
      </w:r>
      <w:r>
        <w:rPr/>
        <w:t>Education</w:t>
      </w:r>
      <w:r>
        <w:rPr>
          <w:spacing w:val="-12"/>
        </w:rPr>
        <w:t> </w:t>
      </w:r>
      <w:r>
        <w:rPr/>
        <w:t>and</w:t>
      </w:r>
      <w:r>
        <w:rPr>
          <w:spacing w:val="-13"/>
        </w:rPr>
        <w:t> </w:t>
      </w:r>
      <w:r>
        <w:rPr/>
        <w:t>Care,</w:t>
      </w:r>
      <w:r>
        <w:rPr>
          <w:spacing w:val="-12"/>
        </w:rPr>
        <w:t> </w:t>
      </w:r>
      <w:r>
        <w:rPr/>
        <w:t>the</w:t>
      </w:r>
      <w:r>
        <w:rPr>
          <w:spacing w:val="-13"/>
        </w:rPr>
        <w:t> </w:t>
      </w:r>
      <w:r>
        <w:rPr/>
        <w:t>Massachusetts</w:t>
      </w:r>
      <w:r>
        <w:rPr>
          <w:spacing w:val="-12"/>
        </w:rPr>
        <w:t> </w:t>
      </w:r>
      <w:r>
        <w:rPr/>
        <w:t>Department</w:t>
      </w:r>
      <w:r>
        <w:rPr>
          <w:spacing w:val="-12"/>
        </w:rPr>
        <w:t> </w:t>
      </w:r>
      <w:r>
        <w:rPr/>
        <w:t>of</w:t>
      </w:r>
      <w:r>
        <w:rPr>
          <w:spacing w:val="-13"/>
        </w:rPr>
        <w:t> </w:t>
      </w:r>
      <w:r>
        <w:rPr/>
        <w:t>Elementary</w:t>
      </w:r>
      <w:r>
        <w:rPr>
          <w:spacing w:val="-12"/>
        </w:rPr>
        <w:t> </w:t>
      </w:r>
      <w:r>
        <w:rPr/>
        <w:t>and</w:t>
      </w:r>
      <w:r>
        <w:rPr>
          <w:spacing w:val="-13"/>
        </w:rPr>
        <w:t> </w:t>
      </w:r>
      <w:r>
        <w:rPr/>
        <w:t>Secondary Education, and the Massachusetts Department of Higher Education to develop and sustain a continuum</w:t>
      </w:r>
      <w:r>
        <w:rPr>
          <w:spacing w:val="-3"/>
        </w:rPr>
        <w:t> </w:t>
      </w:r>
      <w:r>
        <w:rPr/>
        <w:t>of</w:t>
      </w:r>
      <w:r>
        <w:rPr>
          <w:spacing w:val="-3"/>
        </w:rPr>
        <w:t> </w:t>
      </w:r>
      <w:r>
        <w:rPr/>
        <w:t>support</w:t>
      </w:r>
      <w:r>
        <w:rPr>
          <w:spacing w:val="-3"/>
        </w:rPr>
        <w:t> </w:t>
      </w:r>
      <w:r>
        <w:rPr/>
        <w:t>for</w:t>
      </w:r>
      <w:r>
        <w:rPr>
          <w:spacing w:val="-4"/>
        </w:rPr>
        <w:t> </w:t>
      </w:r>
      <w:r>
        <w:rPr/>
        <w:t>LGBTQ</w:t>
      </w:r>
      <w:r>
        <w:rPr>
          <w:spacing w:val="-3"/>
        </w:rPr>
        <w:t> </w:t>
      </w:r>
      <w:r>
        <w:rPr/>
        <w:t>students</w:t>
      </w:r>
      <w:r>
        <w:rPr>
          <w:spacing w:val="-4"/>
        </w:rPr>
        <w:t> </w:t>
      </w:r>
      <w:r>
        <w:rPr/>
        <w:t>and</w:t>
      </w:r>
      <w:r>
        <w:rPr>
          <w:spacing w:val="-3"/>
        </w:rPr>
        <w:t> </w:t>
      </w:r>
      <w:r>
        <w:rPr/>
        <w:t>families</w:t>
      </w:r>
      <w:r>
        <w:rPr>
          <w:spacing w:val="-4"/>
        </w:rPr>
        <w:t> </w:t>
      </w:r>
      <w:r>
        <w:rPr/>
        <w:t>as</w:t>
      </w:r>
      <w:r>
        <w:rPr>
          <w:spacing w:val="-4"/>
        </w:rPr>
        <w:t> </w:t>
      </w:r>
      <w:r>
        <w:rPr/>
        <w:t>they</w:t>
      </w:r>
      <w:r>
        <w:rPr>
          <w:spacing w:val="-3"/>
        </w:rPr>
        <w:t> </w:t>
      </w:r>
      <w:r>
        <w:rPr/>
        <w:t>move</w:t>
      </w:r>
      <w:r>
        <w:rPr>
          <w:spacing w:val="-4"/>
        </w:rPr>
        <w:t> </w:t>
      </w:r>
      <w:r>
        <w:rPr/>
        <w:t>through</w:t>
      </w:r>
      <w:r>
        <w:rPr>
          <w:spacing w:val="-3"/>
        </w:rPr>
        <w:t> </w:t>
      </w:r>
      <w:r>
        <w:rPr/>
        <w:t>the</w:t>
      </w:r>
      <w:r>
        <w:rPr>
          <w:spacing w:val="-3"/>
        </w:rPr>
        <w:t> </w:t>
      </w:r>
      <w:r>
        <w:rPr/>
        <w:t>education</w:t>
      </w:r>
      <w:r>
        <w:rPr>
          <w:spacing w:val="-3"/>
        </w:rPr>
        <w:t> </w:t>
      </w:r>
      <w:r>
        <w:rPr/>
        <w:t>system</w:t>
      </w:r>
      <w:r>
        <w:rPr>
          <w:spacing w:val="-4"/>
        </w:rPr>
        <w:t> </w:t>
      </w:r>
      <w:r>
        <w:rPr/>
        <w:t>in </w:t>
      </w:r>
      <w:r>
        <w:rPr>
          <w:spacing w:val="-2"/>
        </w:rPr>
        <w:t>Massachusetts.</w:t>
      </w:r>
    </w:p>
    <w:p>
      <w:pPr>
        <w:pStyle w:val="BodyText"/>
        <w:spacing w:before="130"/>
      </w:pPr>
    </w:p>
    <w:p>
      <w:pPr>
        <w:spacing w:before="0"/>
        <w:ind w:left="464" w:right="0" w:firstLine="0"/>
        <w:jc w:val="both"/>
        <w:rPr>
          <w:sz w:val="28"/>
        </w:rPr>
      </w:pPr>
      <w:r>
        <w:rPr/>
        <mc:AlternateContent>
          <mc:Choice Requires="wps">
            <w:drawing>
              <wp:anchor distT="0" distB="0" distL="0" distR="0" allowOverlap="1" layoutInCell="1" locked="0" behindDoc="1" simplePos="0" relativeHeight="487605760">
                <wp:simplePos x="0" y="0"/>
                <wp:positionH relativeFrom="page">
                  <wp:posOffset>986789</wp:posOffset>
                </wp:positionH>
                <wp:positionV relativeFrom="paragraph">
                  <wp:posOffset>230251</wp:posOffset>
                </wp:positionV>
                <wp:extent cx="5890895" cy="635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5890895" cy="6350"/>
                        </a:xfrm>
                        <a:custGeom>
                          <a:avLst/>
                          <a:gdLst/>
                          <a:ahLst/>
                          <a:cxnLst/>
                          <a:rect l="l" t="t" r="r" b="b"/>
                          <a:pathLst>
                            <a:path w="5890895" h="6350">
                              <a:moveTo>
                                <a:pt x="5890272" y="0"/>
                              </a:moveTo>
                              <a:lnTo>
                                <a:pt x="0" y="0"/>
                              </a:lnTo>
                              <a:lnTo>
                                <a:pt x="0" y="6096"/>
                              </a:lnTo>
                              <a:lnTo>
                                <a:pt x="5890272" y="6096"/>
                              </a:lnTo>
                              <a:lnTo>
                                <a:pt x="589027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18.130058pt;width:463.801pt;height:.48pt;mso-position-horizontal-relative:page;mso-position-vertical-relative:paragraph;z-index:-15710720;mso-wrap-distance-left:0;mso-wrap-distance-right:0" id="docshape113" filled="true" fillcolor="#4f81bc" stroked="false">
                <v:fill type="solid"/>
                <w10:wrap type="topAndBottom"/>
              </v:rect>
            </w:pict>
          </mc:Fallback>
        </mc:AlternateContent>
      </w:r>
      <w:bookmarkStart w:name="Acknowledgments &amp; Citations" w:id="149"/>
      <w:bookmarkEnd w:id="149"/>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175"/>
        <w:rPr>
          <w:sz w:val="21"/>
        </w:rPr>
      </w:pPr>
    </w:p>
    <w:p>
      <w:pPr>
        <w:spacing w:before="0"/>
        <w:ind w:left="464" w:right="0" w:firstLine="0"/>
        <w:jc w:val="left"/>
        <w:rPr>
          <w:rFonts w:ascii="Cambria"/>
          <w:i/>
          <w:sz w:val="21"/>
        </w:rPr>
      </w:pPr>
      <w:r>
        <w:rPr>
          <w:rFonts w:ascii="Cambria"/>
          <w:i/>
          <w:sz w:val="21"/>
        </w:rPr>
        <w:t>Acknowledgments:</w:t>
      </w:r>
      <w:r>
        <w:rPr>
          <w:rFonts w:ascii="Cambria"/>
          <w:i/>
          <w:spacing w:val="-6"/>
          <w:sz w:val="21"/>
        </w:rPr>
        <w:t> </w:t>
      </w:r>
      <w:r>
        <w:rPr>
          <w:rFonts w:ascii="Cambria"/>
          <w:i/>
          <w:sz w:val="21"/>
        </w:rPr>
        <w:t>Hillary</w:t>
      </w:r>
      <w:r>
        <w:rPr>
          <w:rFonts w:ascii="Cambria"/>
          <w:i/>
          <w:spacing w:val="-3"/>
          <w:sz w:val="21"/>
        </w:rPr>
        <w:t> </w:t>
      </w:r>
      <w:r>
        <w:rPr>
          <w:rFonts w:ascii="Cambria"/>
          <w:i/>
          <w:sz w:val="21"/>
        </w:rPr>
        <w:t>Montague-Asp,</w:t>
      </w:r>
      <w:r>
        <w:rPr>
          <w:rFonts w:ascii="Cambria"/>
          <w:i/>
          <w:spacing w:val="-3"/>
          <w:sz w:val="21"/>
        </w:rPr>
        <w:t> </w:t>
      </w:r>
      <w:r>
        <w:rPr>
          <w:rFonts w:ascii="Cambria"/>
          <w:i/>
          <w:sz w:val="21"/>
        </w:rPr>
        <w:t>lead</w:t>
      </w:r>
      <w:r>
        <w:rPr>
          <w:rFonts w:ascii="Cambria"/>
          <w:i/>
          <w:spacing w:val="-4"/>
          <w:sz w:val="21"/>
        </w:rPr>
        <w:t> </w:t>
      </w:r>
      <w:r>
        <w:rPr>
          <w:rFonts w:ascii="Cambria"/>
          <w:i/>
          <w:sz w:val="21"/>
        </w:rPr>
        <w:t>researcher</w:t>
      </w:r>
      <w:r>
        <w:rPr>
          <w:rFonts w:ascii="Cambria"/>
          <w:i/>
          <w:spacing w:val="-4"/>
          <w:sz w:val="21"/>
        </w:rPr>
        <w:t> </w:t>
      </w:r>
      <w:r>
        <w:rPr>
          <w:rFonts w:ascii="Cambria"/>
          <w:i/>
          <w:sz w:val="21"/>
        </w:rPr>
        <w:t>and</w:t>
      </w:r>
      <w:r>
        <w:rPr>
          <w:rFonts w:ascii="Cambria"/>
          <w:i/>
          <w:spacing w:val="-3"/>
          <w:sz w:val="21"/>
        </w:rPr>
        <w:t> </w:t>
      </w:r>
      <w:r>
        <w:rPr>
          <w:rFonts w:ascii="Cambria"/>
          <w:i/>
          <w:spacing w:val="-2"/>
          <w:sz w:val="21"/>
        </w:rPr>
        <w:t>author</w:t>
      </w:r>
    </w:p>
    <w:p>
      <w:pPr>
        <w:pStyle w:val="BodyText"/>
        <w:spacing w:before="144"/>
        <w:rPr>
          <w:rFonts w:ascii="Cambria"/>
          <w:i/>
          <w:sz w:val="21"/>
        </w:rPr>
      </w:pPr>
    </w:p>
    <w:p>
      <w:pPr>
        <w:spacing w:before="0"/>
        <w:ind w:left="464" w:right="435" w:firstLine="0"/>
        <w:jc w:val="left"/>
        <w:rPr>
          <w:sz w:val="18"/>
        </w:rPr>
      </w:pPr>
      <w:bookmarkStart w:name="_bookmark40" w:id="150"/>
      <w:bookmarkEnd w:id="150"/>
      <w:r>
        <w:rPr/>
      </w:r>
      <w:r>
        <w:rPr>
          <w:sz w:val="18"/>
          <w:vertAlign w:val="superscript"/>
        </w:rPr>
        <w:t>1</w:t>
      </w:r>
      <w:r>
        <w:rPr>
          <w:sz w:val="18"/>
          <w:vertAlign w:val="baseline"/>
        </w:rPr>
        <w:t> Massachusetts Board of Elementary and Secondary Education. (2015). Principles for Ensuring Safe and Supportive</w:t>
      </w:r>
      <w:r>
        <w:rPr>
          <w:spacing w:val="40"/>
          <w:sz w:val="18"/>
          <w:vertAlign w:val="baseline"/>
        </w:rPr>
        <w:t> </w:t>
      </w:r>
      <w:r>
        <w:rPr>
          <w:sz w:val="18"/>
          <w:vertAlign w:val="baseline"/>
        </w:rPr>
        <w:t>Learning</w:t>
      </w:r>
      <w:r>
        <w:rPr>
          <w:spacing w:val="-3"/>
          <w:sz w:val="18"/>
          <w:vertAlign w:val="baseline"/>
        </w:rPr>
        <w:t> </w:t>
      </w:r>
      <w:r>
        <w:rPr>
          <w:sz w:val="18"/>
          <w:vertAlign w:val="baseline"/>
        </w:rPr>
        <w:t>Environments</w:t>
      </w:r>
      <w:r>
        <w:rPr>
          <w:spacing w:val="-3"/>
          <w:sz w:val="18"/>
          <w:vertAlign w:val="baseline"/>
        </w:rPr>
        <w:t> </w:t>
      </w:r>
      <w:r>
        <w:rPr>
          <w:sz w:val="18"/>
          <w:vertAlign w:val="baseline"/>
        </w:rPr>
        <w:t>for</w:t>
      </w:r>
      <w:r>
        <w:rPr>
          <w:spacing w:val="-4"/>
          <w:sz w:val="18"/>
          <w:vertAlign w:val="baseline"/>
        </w:rPr>
        <w:t> </w:t>
      </w:r>
      <w:r>
        <w:rPr>
          <w:sz w:val="18"/>
          <w:vertAlign w:val="baseline"/>
        </w:rPr>
        <w:t>Lesbian,</w:t>
      </w:r>
      <w:r>
        <w:rPr>
          <w:spacing w:val="-4"/>
          <w:sz w:val="18"/>
          <w:vertAlign w:val="baseline"/>
        </w:rPr>
        <w:t> </w:t>
      </w:r>
      <w:r>
        <w:rPr>
          <w:sz w:val="18"/>
          <w:vertAlign w:val="baseline"/>
        </w:rPr>
        <w:t>Gay,</w:t>
      </w:r>
      <w:r>
        <w:rPr>
          <w:spacing w:val="-4"/>
          <w:sz w:val="18"/>
          <w:vertAlign w:val="baseline"/>
        </w:rPr>
        <w:t> </w:t>
      </w:r>
      <w:r>
        <w:rPr>
          <w:sz w:val="18"/>
          <w:vertAlign w:val="baseline"/>
        </w:rPr>
        <w:t>Bisexual,</w:t>
      </w:r>
      <w:r>
        <w:rPr>
          <w:spacing w:val="-4"/>
          <w:sz w:val="18"/>
          <w:vertAlign w:val="baseline"/>
        </w:rPr>
        <w:t> </w:t>
      </w:r>
      <w:r>
        <w:rPr>
          <w:sz w:val="18"/>
          <w:vertAlign w:val="baseline"/>
        </w:rPr>
        <w:t>Transgender,</w:t>
      </w:r>
      <w:r>
        <w:rPr>
          <w:spacing w:val="-4"/>
          <w:sz w:val="18"/>
          <w:vertAlign w:val="baseline"/>
        </w:rPr>
        <w:t> </w:t>
      </w:r>
      <w:r>
        <w:rPr>
          <w:sz w:val="18"/>
          <w:vertAlign w:val="baseline"/>
        </w:rPr>
        <w:t>Queer,</w:t>
      </w:r>
      <w:r>
        <w:rPr>
          <w:spacing w:val="-4"/>
          <w:sz w:val="18"/>
          <w:vertAlign w:val="baseline"/>
        </w:rPr>
        <w:t> </w:t>
      </w:r>
      <w:r>
        <w:rPr>
          <w:sz w:val="18"/>
          <w:vertAlign w:val="baseline"/>
        </w:rPr>
        <w:t>and</w:t>
      </w:r>
      <w:r>
        <w:rPr>
          <w:spacing w:val="-3"/>
          <w:sz w:val="18"/>
          <w:vertAlign w:val="baseline"/>
        </w:rPr>
        <w:t> </w:t>
      </w:r>
      <w:r>
        <w:rPr>
          <w:sz w:val="18"/>
          <w:vertAlign w:val="baseline"/>
        </w:rPr>
        <w:t>Questioning</w:t>
      </w:r>
      <w:r>
        <w:rPr>
          <w:spacing w:val="-3"/>
          <w:sz w:val="18"/>
          <w:vertAlign w:val="baseline"/>
        </w:rPr>
        <w:t> </w:t>
      </w:r>
      <w:r>
        <w:rPr>
          <w:sz w:val="18"/>
          <w:vertAlign w:val="baseline"/>
        </w:rPr>
        <w:t>(LGBTQ)</w:t>
      </w:r>
      <w:r>
        <w:rPr>
          <w:spacing w:val="-3"/>
          <w:sz w:val="18"/>
          <w:vertAlign w:val="baseline"/>
        </w:rPr>
        <w:t> </w:t>
      </w:r>
      <w:r>
        <w:rPr>
          <w:sz w:val="18"/>
          <w:vertAlign w:val="baseline"/>
        </w:rPr>
        <w:t>Students.</w:t>
      </w:r>
      <w:r>
        <w:rPr>
          <w:spacing w:val="-3"/>
          <w:sz w:val="18"/>
          <w:vertAlign w:val="baseline"/>
        </w:rPr>
        <w:t> </w:t>
      </w:r>
      <w:r>
        <w:rPr>
          <w:sz w:val="18"/>
          <w:vertAlign w:val="baseline"/>
        </w:rPr>
        <w:t>Accessed</w:t>
      </w:r>
      <w:r>
        <w:rPr>
          <w:spacing w:val="-3"/>
          <w:sz w:val="18"/>
          <w:vertAlign w:val="baseline"/>
        </w:rPr>
        <w:t> </w:t>
      </w:r>
      <w:r>
        <w:rPr>
          <w:sz w:val="18"/>
          <w:vertAlign w:val="baseline"/>
        </w:rPr>
        <w:t>May</w:t>
      </w:r>
      <w:r>
        <w:rPr>
          <w:spacing w:val="-3"/>
          <w:sz w:val="18"/>
          <w:vertAlign w:val="baseline"/>
        </w:rPr>
        <w:t> </w:t>
      </w:r>
      <w:r>
        <w:rPr>
          <w:sz w:val="18"/>
          <w:vertAlign w:val="baseline"/>
        </w:rPr>
        <w:t>2, </w:t>
      </w:r>
      <w:r>
        <w:rPr>
          <w:spacing w:val="-2"/>
          <w:sz w:val="18"/>
          <w:vertAlign w:val="baseline"/>
        </w:rPr>
        <w:t>2024.</w:t>
      </w:r>
    </w:p>
    <w:p>
      <w:pPr>
        <w:spacing w:before="1"/>
        <w:ind w:left="464" w:right="565" w:hanging="1"/>
        <w:jc w:val="left"/>
        <w:rPr>
          <w:sz w:val="18"/>
        </w:rPr>
      </w:pPr>
      <w:bookmarkStart w:name="_bookmark41" w:id="151"/>
      <w:bookmarkEnd w:id="151"/>
      <w:r>
        <w:rPr/>
      </w:r>
      <w:r>
        <w:rPr>
          <w:sz w:val="18"/>
          <w:vertAlign w:val="superscript"/>
        </w:rPr>
        <w:t>2</w:t>
      </w:r>
      <w:r>
        <w:rPr>
          <w:spacing w:val="-2"/>
          <w:sz w:val="18"/>
          <w:vertAlign w:val="baseline"/>
        </w:rPr>
        <w:t> </w:t>
      </w:r>
      <w:r>
        <w:rPr>
          <w:sz w:val="18"/>
          <w:vertAlign w:val="baseline"/>
        </w:rPr>
        <w:t>Seelman,</w:t>
      </w:r>
      <w:r>
        <w:rPr>
          <w:spacing w:val="-3"/>
          <w:sz w:val="18"/>
          <w:vertAlign w:val="baseline"/>
        </w:rPr>
        <w:t> </w:t>
      </w:r>
      <w:r>
        <w:rPr>
          <w:sz w:val="18"/>
          <w:vertAlign w:val="baseline"/>
        </w:rPr>
        <w:t>K.</w:t>
      </w:r>
      <w:r>
        <w:rPr>
          <w:spacing w:val="-2"/>
          <w:sz w:val="18"/>
          <w:vertAlign w:val="baseline"/>
        </w:rPr>
        <w:t> </w:t>
      </w:r>
      <w:r>
        <w:rPr>
          <w:sz w:val="18"/>
          <w:vertAlign w:val="baseline"/>
        </w:rPr>
        <w:t>L.,</w:t>
      </w:r>
      <w:r>
        <w:rPr>
          <w:spacing w:val="-4"/>
          <w:sz w:val="18"/>
          <w:vertAlign w:val="baseline"/>
        </w:rPr>
        <w:t> </w:t>
      </w:r>
      <w:r>
        <w:rPr>
          <w:sz w:val="18"/>
          <w:vertAlign w:val="baseline"/>
        </w:rPr>
        <w:t>&amp;</w:t>
      </w:r>
      <w:r>
        <w:rPr>
          <w:spacing w:val="-3"/>
          <w:sz w:val="18"/>
          <w:vertAlign w:val="baseline"/>
        </w:rPr>
        <w:t> </w:t>
      </w:r>
      <w:r>
        <w:rPr>
          <w:sz w:val="18"/>
          <w:vertAlign w:val="baseline"/>
        </w:rPr>
        <w:t>Walker,</w:t>
      </w:r>
      <w:r>
        <w:rPr>
          <w:spacing w:val="-2"/>
          <w:sz w:val="18"/>
          <w:vertAlign w:val="baseline"/>
        </w:rPr>
        <w:t> </w:t>
      </w:r>
      <w:r>
        <w:rPr>
          <w:sz w:val="18"/>
          <w:vertAlign w:val="baseline"/>
        </w:rPr>
        <w:t>M.</w:t>
      </w:r>
      <w:r>
        <w:rPr>
          <w:spacing w:val="-2"/>
          <w:sz w:val="18"/>
          <w:vertAlign w:val="baseline"/>
        </w:rPr>
        <w:t> </w:t>
      </w:r>
      <w:r>
        <w:rPr>
          <w:sz w:val="18"/>
          <w:vertAlign w:val="baseline"/>
        </w:rPr>
        <w:t>B.</w:t>
      </w:r>
      <w:r>
        <w:rPr>
          <w:spacing w:val="-2"/>
          <w:sz w:val="18"/>
          <w:vertAlign w:val="baseline"/>
        </w:rPr>
        <w:t> </w:t>
      </w:r>
      <w:r>
        <w:rPr>
          <w:sz w:val="18"/>
          <w:vertAlign w:val="baseline"/>
        </w:rPr>
        <w:t>(2018).</w:t>
      </w:r>
      <w:r>
        <w:rPr>
          <w:spacing w:val="-2"/>
          <w:sz w:val="18"/>
          <w:vertAlign w:val="baseline"/>
        </w:rPr>
        <w:t> </w:t>
      </w:r>
      <w:r>
        <w:rPr>
          <w:sz w:val="18"/>
          <w:vertAlign w:val="baseline"/>
        </w:rPr>
        <w:t>Do</w:t>
      </w:r>
      <w:r>
        <w:rPr>
          <w:spacing w:val="-2"/>
          <w:sz w:val="18"/>
          <w:vertAlign w:val="baseline"/>
        </w:rPr>
        <w:t> </w:t>
      </w:r>
      <w:r>
        <w:rPr>
          <w:sz w:val="18"/>
          <w:vertAlign w:val="baseline"/>
        </w:rPr>
        <w:t>anti-bullying</w:t>
      </w:r>
      <w:r>
        <w:rPr>
          <w:spacing w:val="-2"/>
          <w:sz w:val="18"/>
          <w:vertAlign w:val="baseline"/>
        </w:rPr>
        <w:t> </w:t>
      </w:r>
      <w:r>
        <w:rPr>
          <w:sz w:val="18"/>
          <w:vertAlign w:val="baseline"/>
        </w:rPr>
        <w:t>laws</w:t>
      </w:r>
      <w:r>
        <w:rPr>
          <w:spacing w:val="-2"/>
          <w:sz w:val="18"/>
          <w:vertAlign w:val="baseline"/>
        </w:rPr>
        <w:t> </w:t>
      </w:r>
      <w:r>
        <w:rPr>
          <w:sz w:val="18"/>
          <w:vertAlign w:val="baseline"/>
        </w:rPr>
        <w:t>reduce</w:t>
      </w:r>
      <w:r>
        <w:rPr>
          <w:spacing w:val="-2"/>
          <w:sz w:val="18"/>
          <w:vertAlign w:val="baseline"/>
        </w:rPr>
        <w:t> </w:t>
      </w:r>
      <w:r>
        <w:rPr>
          <w:sz w:val="18"/>
          <w:vertAlign w:val="baseline"/>
        </w:rPr>
        <w:t>in-school</w:t>
      </w:r>
      <w:r>
        <w:rPr>
          <w:spacing w:val="-3"/>
          <w:sz w:val="18"/>
          <w:vertAlign w:val="baseline"/>
        </w:rPr>
        <w:t> </w:t>
      </w:r>
      <w:r>
        <w:rPr>
          <w:sz w:val="18"/>
          <w:vertAlign w:val="baseline"/>
        </w:rPr>
        <w:t>victimization,</w:t>
      </w:r>
      <w:r>
        <w:rPr>
          <w:spacing w:val="-3"/>
          <w:sz w:val="18"/>
          <w:vertAlign w:val="baseline"/>
        </w:rPr>
        <w:t> </w:t>
      </w:r>
      <w:r>
        <w:rPr>
          <w:sz w:val="18"/>
          <w:vertAlign w:val="baseline"/>
        </w:rPr>
        <w:t>fear-based</w:t>
      </w:r>
      <w:r>
        <w:rPr>
          <w:spacing w:val="-3"/>
          <w:sz w:val="18"/>
          <w:vertAlign w:val="baseline"/>
        </w:rPr>
        <w:t> </w:t>
      </w:r>
      <w:r>
        <w:rPr>
          <w:sz w:val="18"/>
          <w:vertAlign w:val="baseline"/>
        </w:rPr>
        <w:t>absenteeism,</w:t>
      </w:r>
      <w:r>
        <w:rPr>
          <w:spacing w:val="-3"/>
          <w:sz w:val="18"/>
          <w:vertAlign w:val="baseline"/>
        </w:rPr>
        <w:t> </w:t>
      </w:r>
      <w:r>
        <w:rPr>
          <w:sz w:val="18"/>
          <w:vertAlign w:val="baseline"/>
        </w:rPr>
        <w:t>and suicidality for lesbian, gay, bisexual, and questioning youth? </w:t>
      </w:r>
      <w:r>
        <w:rPr>
          <w:i/>
          <w:sz w:val="18"/>
          <w:vertAlign w:val="baseline"/>
        </w:rPr>
        <w:t>Journal of Youth and Adolescence, 47</w:t>
      </w:r>
      <w:r>
        <w:rPr>
          <w:sz w:val="18"/>
          <w:vertAlign w:val="baseline"/>
        </w:rPr>
        <w:t>, 2301-2319. </w:t>
      </w:r>
      <w:r>
        <w:rPr>
          <w:spacing w:val="-2"/>
          <w:sz w:val="18"/>
          <w:vertAlign w:val="baseline"/>
        </w:rPr>
        <w:t>https://doi.org/10.1007/s10964-018-0904-8</w:t>
      </w:r>
    </w:p>
    <w:p>
      <w:pPr>
        <w:spacing w:before="0"/>
        <w:ind w:left="464" w:right="565" w:hanging="1"/>
        <w:jc w:val="left"/>
        <w:rPr>
          <w:sz w:val="18"/>
        </w:rPr>
      </w:pPr>
      <w:bookmarkStart w:name="_bookmark42" w:id="152"/>
      <w:bookmarkEnd w:id="152"/>
      <w:r>
        <w:rPr/>
      </w:r>
      <w:r>
        <w:rPr>
          <w:sz w:val="18"/>
          <w:vertAlign w:val="superscript"/>
        </w:rPr>
        <w:t>3</w:t>
      </w:r>
      <w:r>
        <w:rPr>
          <w:spacing w:val="-2"/>
          <w:sz w:val="18"/>
          <w:vertAlign w:val="baseline"/>
        </w:rPr>
        <w:t> </w:t>
      </w:r>
      <w:r>
        <w:rPr>
          <w:sz w:val="18"/>
          <w:vertAlign w:val="baseline"/>
        </w:rPr>
        <w:t>Day,</w:t>
      </w:r>
      <w:r>
        <w:rPr>
          <w:spacing w:val="-3"/>
          <w:sz w:val="18"/>
          <w:vertAlign w:val="baseline"/>
        </w:rPr>
        <w:t> </w:t>
      </w:r>
      <w:r>
        <w:rPr>
          <w:sz w:val="18"/>
          <w:vertAlign w:val="baseline"/>
        </w:rPr>
        <w:t>J.</w:t>
      </w:r>
      <w:r>
        <w:rPr>
          <w:spacing w:val="-2"/>
          <w:sz w:val="18"/>
          <w:vertAlign w:val="baseline"/>
        </w:rPr>
        <w:t> </w:t>
      </w:r>
      <w:r>
        <w:rPr>
          <w:sz w:val="18"/>
          <w:vertAlign w:val="baseline"/>
        </w:rPr>
        <w:t>K.,</w:t>
      </w:r>
      <w:r>
        <w:rPr>
          <w:spacing w:val="-3"/>
          <w:sz w:val="18"/>
          <w:vertAlign w:val="baseline"/>
        </w:rPr>
        <w:t> </w:t>
      </w:r>
      <w:r>
        <w:rPr>
          <w:sz w:val="18"/>
          <w:vertAlign w:val="baseline"/>
        </w:rPr>
        <w:t>Fish,</w:t>
      </w:r>
      <w:r>
        <w:rPr>
          <w:spacing w:val="-3"/>
          <w:sz w:val="18"/>
          <w:vertAlign w:val="baseline"/>
        </w:rPr>
        <w:t> </w:t>
      </w:r>
      <w:r>
        <w:rPr>
          <w:sz w:val="18"/>
          <w:vertAlign w:val="baseline"/>
        </w:rPr>
        <w:t>J.</w:t>
      </w:r>
      <w:r>
        <w:rPr>
          <w:spacing w:val="-2"/>
          <w:sz w:val="18"/>
          <w:vertAlign w:val="baseline"/>
        </w:rPr>
        <w:t> </w:t>
      </w:r>
      <w:r>
        <w:rPr>
          <w:sz w:val="18"/>
          <w:vertAlign w:val="baseline"/>
        </w:rPr>
        <w:t>N.,</w:t>
      </w:r>
      <w:r>
        <w:rPr>
          <w:spacing w:val="-3"/>
          <w:sz w:val="18"/>
          <w:vertAlign w:val="baseline"/>
        </w:rPr>
        <w:t> </w:t>
      </w:r>
      <w:r>
        <w:rPr>
          <w:sz w:val="18"/>
          <w:vertAlign w:val="baseline"/>
        </w:rPr>
        <w:t>Grossman,</w:t>
      </w:r>
      <w:r>
        <w:rPr>
          <w:spacing w:val="-4"/>
          <w:sz w:val="18"/>
          <w:vertAlign w:val="baseline"/>
        </w:rPr>
        <w:t> </w:t>
      </w:r>
      <w:r>
        <w:rPr>
          <w:sz w:val="18"/>
          <w:vertAlign w:val="baseline"/>
        </w:rPr>
        <w:t>A.</w:t>
      </w:r>
      <w:r>
        <w:rPr>
          <w:spacing w:val="-2"/>
          <w:sz w:val="18"/>
          <w:vertAlign w:val="baseline"/>
        </w:rPr>
        <w:t> </w:t>
      </w:r>
      <w:r>
        <w:rPr>
          <w:sz w:val="18"/>
          <w:vertAlign w:val="baseline"/>
        </w:rPr>
        <w:t>H.,</w:t>
      </w:r>
      <w:r>
        <w:rPr>
          <w:spacing w:val="-3"/>
          <w:sz w:val="18"/>
          <w:vertAlign w:val="baseline"/>
        </w:rPr>
        <w:t> </w:t>
      </w:r>
      <w:r>
        <w:rPr>
          <w:sz w:val="18"/>
          <w:vertAlign w:val="baseline"/>
        </w:rPr>
        <w:t>&amp;</w:t>
      </w:r>
      <w:r>
        <w:rPr>
          <w:spacing w:val="-3"/>
          <w:sz w:val="18"/>
          <w:vertAlign w:val="baseline"/>
        </w:rPr>
        <w:t> </w:t>
      </w:r>
      <w:r>
        <w:rPr>
          <w:sz w:val="18"/>
          <w:vertAlign w:val="baseline"/>
        </w:rPr>
        <w:t>Russell,</w:t>
      </w:r>
      <w:r>
        <w:rPr>
          <w:spacing w:val="-2"/>
          <w:sz w:val="18"/>
          <w:vertAlign w:val="baseline"/>
        </w:rPr>
        <w:t> </w:t>
      </w:r>
      <w:r>
        <w:rPr>
          <w:sz w:val="18"/>
          <w:vertAlign w:val="baseline"/>
        </w:rPr>
        <w:t>S.</w:t>
      </w:r>
      <w:r>
        <w:rPr>
          <w:spacing w:val="-2"/>
          <w:sz w:val="18"/>
          <w:vertAlign w:val="baseline"/>
        </w:rPr>
        <w:t> </w:t>
      </w:r>
      <w:r>
        <w:rPr>
          <w:sz w:val="18"/>
          <w:vertAlign w:val="baseline"/>
        </w:rPr>
        <w:t>T.</w:t>
      </w:r>
      <w:r>
        <w:rPr>
          <w:spacing w:val="-2"/>
          <w:sz w:val="18"/>
          <w:vertAlign w:val="baseline"/>
        </w:rPr>
        <w:t> </w:t>
      </w:r>
      <w:r>
        <w:rPr>
          <w:sz w:val="18"/>
          <w:vertAlign w:val="baseline"/>
        </w:rPr>
        <w:t>(2020).</w:t>
      </w:r>
      <w:r>
        <w:rPr>
          <w:spacing w:val="-2"/>
          <w:sz w:val="18"/>
          <w:vertAlign w:val="baseline"/>
        </w:rPr>
        <w:t> </w:t>
      </w:r>
      <w:r>
        <w:rPr>
          <w:sz w:val="18"/>
          <w:vertAlign w:val="baseline"/>
        </w:rPr>
        <w:t>Gay-straight</w:t>
      </w:r>
      <w:r>
        <w:rPr>
          <w:spacing w:val="-3"/>
          <w:sz w:val="18"/>
          <w:vertAlign w:val="baseline"/>
        </w:rPr>
        <w:t> </w:t>
      </w:r>
      <w:r>
        <w:rPr>
          <w:sz w:val="18"/>
          <w:vertAlign w:val="baseline"/>
        </w:rPr>
        <w:t>alliances,</w:t>
      </w:r>
      <w:r>
        <w:rPr>
          <w:spacing w:val="-3"/>
          <w:sz w:val="18"/>
          <w:vertAlign w:val="baseline"/>
        </w:rPr>
        <w:t> </w:t>
      </w:r>
      <w:r>
        <w:rPr>
          <w:sz w:val="18"/>
          <w:vertAlign w:val="baseline"/>
        </w:rPr>
        <w:t>inclusive</w:t>
      </w:r>
      <w:r>
        <w:rPr>
          <w:spacing w:val="-2"/>
          <w:sz w:val="18"/>
          <w:vertAlign w:val="baseline"/>
        </w:rPr>
        <w:t> </w:t>
      </w:r>
      <w:r>
        <w:rPr>
          <w:sz w:val="18"/>
          <w:vertAlign w:val="baseline"/>
        </w:rPr>
        <w:t>policy,</w:t>
      </w:r>
      <w:r>
        <w:rPr>
          <w:spacing w:val="-3"/>
          <w:sz w:val="18"/>
          <w:vertAlign w:val="baseline"/>
        </w:rPr>
        <w:t> </w:t>
      </w:r>
      <w:r>
        <w:rPr>
          <w:sz w:val="18"/>
          <w:vertAlign w:val="baseline"/>
        </w:rPr>
        <w:t>and</w:t>
      </w:r>
      <w:r>
        <w:rPr>
          <w:spacing w:val="-2"/>
          <w:sz w:val="18"/>
          <w:vertAlign w:val="baseline"/>
        </w:rPr>
        <w:t> </w:t>
      </w:r>
      <w:r>
        <w:rPr>
          <w:sz w:val="18"/>
          <w:vertAlign w:val="baseline"/>
        </w:rPr>
        <w:t>school</w:t>
      </w:r>
      <w:r>
        <w:rPr>
          <w:spacing w:val="-3"/>
          <w:sz w:val="18"/>
          <w:vertAlign w:val="baseline"/>
        </w:rPr>
        <w:t> </w:t>
      </w:r>
      <w:r>
        <w:rPr>
          <w:sz w:val="18"/>
          <w:vertAlign w:val="baseline"/>
        </w:rPr>
        <w:t>climate: LGBTQ youths’ experiences of social support and bullying. </w:t>
      </w:r>
      <w:r>
        <w:rPr>
          <w:i/>
          <w:sz w:val="18"/>
          <w:vertAlign w:val="baseline"/>
        </w:rPr>
        <w:t>Journal of Research on Adolescence</w:t>
      </w:r>
      <w:r>
        <w:rPr>
          <w:sz w:val="18"/>
          <w:vertAlign w:val="baseline"/>
        </w:rPr>
        <w:t>, </w:t>
      </w:r>
      <w:r>
        <w:rPr>
          <w:i/>
          <w:sz w:val="18"/>
          <w:vertAlign w:val="baseline"/>
        </w:rPr>
        <w:t>30</w:t>
      </w:r>
      <w:r>
        <w:rPr>
          <w:sz w:val="18"/>
          <w:vertAlign w:val="baseline"/>
        </w:rPr>
        <w:t>(S2), 418–430. </w:t>
      </w:r>
      <w:r>
        <w:rPr>
          <w:spacing w:val="-2"/>
          <w:sz w:val="18"/>
          <w:vertAlign w:val="baseline"/>
        </w:rPr>
        <w:t>https://doi.org/10.1111/jora.12487</w:t>
      </w:r>
    </w:p>
    <w:p>
      <w:pPr>
        <w:spacing w:before="0"/>
        <w:ind w:left="464" w:right="3416" w:firstLine="0"/>
        <w:jc w:val="left"/>
        <w:rPr>
          <w:sz w:val="18"/>
        </w:rPr>
      </w:pPr>
      <w:bookmarkStart w:name="_bookmark43" w:id="153"/>
      <w:bookmarkEnd w:id="153"/>
      <w:r>
        <w:rPr/>
      </w:r>
      <w:r>
        <w:rPr>
          <w:sz w:val="18"/>
          <w:vertAlign w:val="superscript"/>
        </w:rPr>
        <w:t>4</w:t>
      </w:r>
      <w:r>
        <w:rPr>
          <w:spacing w:val="-3"/>
          <w:sz w:val="18"/>
          <w:vertAlign w:val="baseline"/>
        </w:rPr>
        <w:t> </w:t>
      </w:r>
      <w:r>
        <w:rPr>
          <w:sz w:val="18"/>
          <w:vertAlign w:val="baseline"/>
        </w:rPr>
        <w:t>GLSEN,</w:t>
      </w:r>
      <w:r>
        <w:rPr>
          <w:spacing w:val="-4"/>
          <w:sz w:val="18"/>
          <w:vertAlign w:val="baseline"/>
        </w:rPr>
        <w:t> </w:t>
      </w:r>
      <w:r>
        <w:rPr>
          <w:sz w:val="18"/>
          <w:vertAlign w:val="baseline"/>
        </w:rPr>
        <w:t>“The</w:t>
      </w:r>
      <w:r>
        <w:rPr>
          <w:spacing w:val="-3"/>
          <w:sz w:val="18"/>
          <w:vertAlign w:val="baseline"/>
        </w:rPr>
        <w:t> </w:t>
      </w:r>
      <w:r>
        <w:rPr>
          <w:sz w:val="18"/>
          <w:vertAlign w:val="baseline"/>
        </w:rPr>
        <w:t>2021</w:t>
      </w:r>
      <w:r>
        <w:rPr>
          <w:spacing w:val="-3"/>
          <w:sz w:val="18"/>
          <w:vertAlign w:val="baseline"/>
        </w:rPr>
        <w:t> </w:t>
      </w:r>
      <w:r>
        <w:rPr>
          <w:sz w:val="18"/>
          <w:vertAlign w:val="baseline"/>
        </w:rPr>
        <w:t>National</w:t>
      </w:r>
      <w:r>
        <w:rPr>
          <w:spacing w:val="-4"/>
          <w:sz w:val="18"/>
          <w:vertAlign w:val="baseline"/>
        </w:rPr>
        <w:t> </w:t>
      </w:r>
      <w:r>
        <w:rPr>
          <w:sz w:val="18"/>
          <w:vertAlign w:val="baseline"/>
        </w:rPr>
        <w:t>School</w:t>
      </w:r>
      <w:r>
        <w:rPr>
          <w:spacing w:val="-4"/>
          <w:sz w:val="18"/>
          <w:vertAlign w:val="baseline"/>
        </w:rPr>
        <w:t> </w:t>
      </w:r>
      <w:r>
        <w:rPr>
          <w:sz w:val="18"/>
          <w:vertAlign w:val="baseline"/>
        </w:rPr>
        <w:t>Climate</w:t>
      </w:r>
      <w:r>
        <w:rPr>
          <w:spacing w:val="-3"/>
          <w:sz w:val="18"/>
          <w:vertAlign w:val="baseline"/>
        </w:rPr>
        <w:t> </w:t>
      </w:r>
      <w:r>
        <w:rPr>
          <w:sz w:val="18"/>
          <w:vertAlign w:val="baseline"/>
        </w:rPr>
        <w:t>Survey,”</w:t>
      </w:r>
      <w:r>
        <w:rPr>
          <w:spacing w:val="-3"/>
          <w:sz w:val="18"/>
          <w:vertAlign w:val="baseline"/>
        </w:rPr>
        <w:t> </w:t>
      </w:r>
      <w:r>
        <w:rPr>
          <w:sz w:val="18"/>
          <w:vertAlign w:val="baseline"/>
        </w:rPr>
        <w:t>GLSEN,</w:t>
      </w:r>
      <w:r>
        <w:rPr>
          <w:spacing w:val="-4"/>
          <w:sz w:val="18"/>
          <w:vertAlign w:val="baseline"/>
        </w:rPr>
        <w:t> </w:t>
      </w:r>
      <w:r>
        <w:rPr>
          <w:sz w:val="18"/>
          <w:vertAlign w:val="baseline"/>
        </w:rPr>
        <w:t>accessed</w:t>
      </w:r>
      <w:r>
        <w:rPr>
          <w:spacing w:val="-3"/>
          <w:sz w:val="18"/>
          <w:vertAlign w:val="baseline"/>
        </w:rPr>
        <w:t> </w:t>
      </w:r>
      <w:r>
        <w:rPr>
          <w:sz w:val="18"/>
          <w:vertAlign w:val="baseline"/>
        </w:rPr>
        <w:t>May</w:t>
      </w:r>
      <w:r>
        <w:rPr>
          <w:spacing w:val="-3"/>
          <w:sz w:val="18"/>
          <w:vertAlign w:val="baseline"/>
        </w:rPr>
        <w:t> </w:t>
      </w:r>
      <w:r>
        <w:rPr>
          <w:sz w:val="18"/>
          <w:vertAlign w:val="baseline"/>
        </w:rPr>
        <w:t>1,</w:t>
      </w:r>
      <w:r>
        <w:rPr>
          <w:spacing w:val="-4"/>
          <w:sz w:val="18"/>
          <w:vertAlign w:val="baseline"/>
        </w:rPr>
        <w:t> </w:t>
      </w:r>
      <w:r>
        <w:rPr>
          <w:sz w:val="18"/>
          <w:vertAlign w:val="baseline"/>
        </w:rPr>
        <w:t>2024 </w:t>
      </w:r>
      <w:r>
        <w:rPr>
          <w:spacing w:val="-2"/>
          <w:sz w:val="18"/>
          <w:vertAlign w:val="baseline"/>
        </w:rPr>
        <w:t>https://</w:t>
      </w:r>
      <w:hyperlink r:id="rId108">
        <w:r>
          <w:rPr>
            <w:spacing w:val="-2"/>
            <w:sz w:val="18"/>
            <w:vertAlign w:val="baseline"/>
          </w:rPr>
          <w:t>www.glsen.org/sites/default/files/2022-10/NSCS-2021-Full-Report.pdf</w:t>
        </w:r>
      </w:hyperlink>
    </w:p>
    <w:p>
      <w:pPr>
        <w:spacing w:after="0"/>
        <w:jc w:val="left"/>
        <w:rPr>
          <w:sz w:val="18"/>
        </w:rPr>
        <w:sectPr>
          <w:pgSz w:w="12240" w:h="15840"/>
          <w:pgMar w:header="763" w:footer="1041" w:top="1140" w:bottom="1240" w:left="1120" w:right="1180"/>
        </w:sectPr>
      </w:pPr>
    </w:p>
    <w:p>
      <w:pPr>
        <w:pStyle w:val="BodyText"/>
        <w:spacing w:before="92"/>
        <w:rPr>
          <w:sz w:val="18"/>
        </w:rPr>
      </w:pPr>
    </w:p>
    <w:p>
      <w:pPr>
        <w:spacing w:before="0"/>
        <w:ind w:left="464" w:right="565" w:firstLine="0"/>
        <w:jc w:val="left"/>
        <w:rPr>
          <w:sz w:val="18"/>
        </w:rPr>
      </w:pPr>
      <w:bookmarkStart w:name="_bookmark44" w:id="154"/>
      <w:bookmarkEnd w:id="154"/>
      <w:r>
        <w:rPr/>
      </w:r>
      <w:r>
        <w:rPr>
          <w:sz w:val="18"/>
          <w:vertAlign w:val="superscript"/>
        </w:rPr>
        <w:t>5</w:t>
      </w:r>
      <w:r>
        <w:rPr>
          <w:spacing w:val="-3"/>
          <w:sz w:val="18"/>
          <w:vertAlign w:val="baseline"/>
        </w:rPr>
        <w:t> </w:t>
      </w:r>
      <w:r>
        <w:rPr>
          <w:sz w:val="18"/>
          <w:vertAlign w:val="baseline"/>
        </w:rPr>
        <w:t>Massachusetts</w:t>
      </w:r>
      <w:r>
        <w:rPr>
          <w:spacing w:val="-4"/>
          <w:sz w:val="18"/>
          <w:vertAlign w:val="baseline"/>
        </w:rPr>
        <w:t> </w:t>
      </w:r>
      <w:r>
        <w:rPr>
          <w:sz w:val="18"/>
          <w:vertAlign w:val="baseline"/>
        </w:rPr>
        <w:t>Department</w:t>
      </w:r>
      <w:r>
        <w:rPr>
          <w:spacing w:val="-4"/>
          <w:sz w:val="18"/>
          <w:vertAlign w:val="baseline"/>
        </w:rPr>
        <w:t> </w:t>
      </w:r>
      <w:r>
        <w:rPr>
          <w:sz w:val="18"/>
          <w:vertAlign w:val="baseline"/>
        </w:rPr>
        <w:t>of</w:t>
      </w:r>
      <w:r>
        <w:rPr>
          <w:spacing w:val="-3"/>
          <w:sz w:val="18"/>
          <w:vertAlign w:val="baseline"/>
        </w:rPr>
        <w:t> </w:t>
      </w:r>
      <w:r>
        <w:rPr>
          <w:sz w:val="18"/>
          <w:vertAlign w:val="baseline"/>
        </w:rPr>
        <w:t>Elementary</w:t>
      </w:r>
      <w:r>
        <w:rPr>
          <w:spacing w:val="-3"/>
          <w:sz w:val="18"/>
          <w:vertAlign w:val="baseline"/>
        </w:rPr>
        <w:t> </w:t>
      </w:r>
      <w:r>
        <w:rPr>
          <w:sz w:val="18"/>
          <w:vertAlign w:val="baseline"/>
        </w:rPr>
        <w:t>and</w:t>
      </w:r>
      <w:r>
        <w:rPr>
          <w:spacing w:val="-3"/>
          <w:sz w:val="18"/>
          <w:vertAlign w:val="baseline"/>
        </w:rPr>
        <w:t> </w:t>
      </w:r>
      <w:r>
        <w:rPr>
          <w:sz w:val="18"/>
          <w:vertAlign w:val="baseline"/>
        </w:rPr>
        <w:t>Secondary</w:t>
      </w:r>
      <w:r>
        <w:rPr>
          <w:spacing w:val="-3"/>
          <w:sz w:val="18"/>
          <w:vertAlign w:val="baseline"/>
        </w:rPr>
        <w:t> </w:t>
      </w:r>
      <w:r>
        <w:rPr>
          <w:sz w:val="18"/>
          <w:vertAlign w:val="baseline"/>
        </w:rPr>
        <w:t>Education.</w:t>
      </w:r>
      <w:r>
        <w:rPr>
          <w:spacing w:val="-3"/>
          <w:sz w:val="18"/>
          <w:vertAlign w:val="baseline"/>
        </w:rPr>
        <w:t> </w:t>
      </w:r>
      <w:r>
        <w:rPr>
          <w:sz w:val="18"/>
          <w:vertAlign w:val="baseline"/>
        </w:rPr>
        <w:t>(2014).</w:t>
      </w:r>
      <w:r>
        <w:rPr>
          <w:spacing w:val="-3"/>
          <w:sz w:val="18"/>
          <w:vertAlign w:val="baseline"/>
        </w:rPr>
        <w:t> </w:t>
      </w:r>
      <w:r>
        <w:rPr>
          <w:color w:val="212121"/>
          <w:sz w:val="18"/>
          <w:vertAlign w:val="baseline"/>
        </w:rPr>
        <w:t>Information</w:t>
      </w:r>
      <w:r>
        <w:rPr>
          <w:color w:val="212121"/>
          <w:spacing w:val="-3"/>
          <w:sz w:val="18"/>
          <w:vertAlign w:val="baseline"/>
        </w:rPr>
        <w:t> </w:t>
      </w:r>
      <w:r>
        <w:rPr>
          <w:color w:val="212121"/>
          <w:sz w:val="18"/>
          <w:vertAlign w:val="baseline"/>
        </w:rPr>
        <w:t>on</w:t>
      </w:r>
      <w:r>
        <w:rPr>
          <w:color w:val="212121"/>
          <w:spacing w:val="-3"/>
          <w:sz w:val="18"/>
          <w:vertAlign w:val="baseline"/>
        </w:rPr>
        <w:t> </w:t>
      </w:r>
      <w:r>
        <w:rPr>
          <w:color w:val="212121"/>
          <w:sz w:val="18"/>
          <w:vertAlign w:val="baseline"/>
        </w:rPr>
        <w:t>State</w:t>
      </w:r>
      <w:r>
        <w:rPr>
          <w:color w:val="212121"/>
          <w:spacing w:val="-3"/>
          <w:sz w:val="18"/>
          <w:vertAlign w:val="baseline"/>
        </w:rPr>
        <w:t> </w:t>
      </w:r>
      <w:r>
        <w:rPr>
          <w:color w:val="212121"/>
          <w:sz w:val="18"/>
          <w:vertAlign w:val="baseline"/>
        </w:rPr>
        <w:t>Laws</w:t>
      </w:r>
      <w:r>
        <w:rPr>
          <w:color w:val="212121"/>
          <w:spacing w:val="-3"/>
          <w:sz w:val="18"/>
          <w:vertAlign w:val="baseline"/>
        </w:rPr>
        <w:t> </w:t>
      </w:r>
      <w:r>
        <w:rPr>
          <w:color w:val="212121"/>
          <w:sz w:val="18"/>
          <w:vertAlign w:val="baseline"/>
        </w:rPr>
        <w:t>and</w:t>
      </w:r>
      <w:r>
        <w:rPr>
          <w:color w:val="212121"/>
          <w:spacing w:val="-4"/>
          <w:sz w:val="18"/>
          <w:vertAlign w:val="baseline"/>
        </w:rPr>
        <w:t> </w:t>
      </w:r>
      <w:r>
        <w:rPr>
          <w:color w:val="212121"/>
          <w:sz w:val="18"/>
          <w:vertAlign w:val="baseline"/>
        </w:rPr>
        <w:t>Policies Regarding LGBTQ Students and the Amended Massachusetts Anti-Bullying Law, accessed May 1, 2024. </w:t>
      </w:r>
      <w:r>
        <w:rPr>
          <w:color w:val="212121"/>
          <w:spacing w:val="-2"/>
          <w:sz w:val="18"/>
          <w:vertAlign w:val="baseline"/>
        </w:rPr>
        <w:t>https:</w:t>
      </w:r>
      <w:hyperlink r:id="rId109">
        <w:r>
          <w:rPr>
            <w:color w:val="212121"/>
            <w:spacing w:val="-2"/>
            <w:sz w:val="18"/>
            <w:vertAlign w:val="baseline"/>
          </w:rPr>
          <w:t>//www.doe.mass.edu/sfs/lgbtq/LawsInfo.html</w:t>
        </w:r>
      </w:hyperlink>
    </w:p>
    <w:p>
      <w:pPr>
        <w:spacing w:before="0"/>
        <w:ind w:left="464" w:right="413" w:hanging="1"/>
        <w:jc w:val="left"/>
        <w:rPr>
          <w:sz w:val="18"/>
        </w:rPr>
      </w:pPr>
      <w:bookmarkStart w:name="_bookmark45" w:id="155"/>
      <w:bookmarkEnd w:id="155"/>
      <w:r>
        <w:rPr/>
      </w:r>
      <w:r>
        <w:rPr>
          <w:sz w:val="18"/>
          <w:vertAlign w:val="superscript"/>
        </w:rPr>
        <w:t>6</w:t>
      </w:r>
      <w:r>
        <w:rPr>
          <w:sz w:val="18"/>
          <w:vertAlign w:val="baseline"/>
        </w:rPr>
        <w:t> Cruz, T. H., Ross-Reed, D. E., Fitzgerald, C. A., Overton, K., Landrau, E., &amp; Schiff, M. (2023). Effects of school policies and programs</w:t>
      </w:r>
      <w:r>
        <w:rPr>
          <w:spacing w:val="-2"/>
          <w:sz w:val="18"/>
          <w:vertAlign w:val="baseline"/>
        </w:rPr>
        <w:t> </w:t>
      </w:r>
      <w:r>
        <w:rPr>
          <w:sz w:val="18"/>
          <w:vertAlign w:val="baseline"/>
        </w:rPr>
        <w:t>on</w:t>
      </w:r>
      <w:r>
        <w:rPr>
          <w:spacing w:val="-2"/>
          <w:sz w:val="18"/>
          <w:vertAlign w:val="baseline"/>
        </w:rPr>
        <w:t> </w:t>
      </w:r>
      <w:r>
        <w:rPr>
          <w:sz w:val="18"/>
          <w:vertAlign w:val="baseline"/>
        </w:rPr>
        <w:t>violence</w:t>
      </w:r>
      <w:r>
        <w:rPr>
          <w:spacing w:val="-2"/>
          <w:sz w:val="18"/>
          <w:vertAlign w:val="baseline"/>
        </w:rPr>
        <w:t> </w:t>
      </w:r>
      <w:r>
        <w:rPr>
          <w:sz w:val="18"/>
          <w:vertAlign w:val="baseline"/>
        </w:rPr>
        <w:t>among</w:t>
      </w:r>
      <w:r>
        <w:rPr>
          <w:spacing w:val="-2"/>
          <w:sz w:val="18"/>
          <w:vertAlign w:val="baseline"/>
        </w:rPr>
        <w:t> </w:t>
      </w:r>
      <w:r>
        <w:rPr>
          <w:sz w:val="18"/>
          <w:vertAlign w:val="baseline"/>
        </w:rPr>
        <w:t>all</w:t>
      </w:r>
      <w:r>
        <w:rPr>
          <w:spacing w:val="-3"/>
          <w:sz w:val="18"/>
          <w:vertAlign w:val="baseline"/>
        </w:rPr>
        <w:t> </w:t>
      </w:r>
      <w:r>
        <w:rPr>
          <w:sz w:val="18"/>
          <w:vertAlign w:val="baseline"/>
        </w:rPr>
        <w:t>high</w:t>
      </w:r>
      <w:r>
        <w:rPr>
          <w:spacing w:val="-2"/>
          <w:sz w:val="18"/>
          <w:vertAlign w:val="baseline"/>
        </w:rPr>
        <w:t> </w:t>
      </w:r>
      <w:r>
        <w:rPr>
          <w:sz w:val="18"/>
          <w:vertAlign w:val="baseline"/>
        </w:rPr>
        <w:t>school</w:t>
      </w:r>
      <w:r>
        <w:rPr>
          <w:spacing w:val="-3"/>
          <w:sz w:val="18"/>
          <w:vertAlign w:val="baseline"/>
        </w:rPr>
        <w:t> </w:t>
      </w:r>
      <w:r>
        <w:rPr>
          <w:sz w:val="18"/>
          <w:vertAlign w:val="baseline"/>
        </w:rPr>
        <w:t>students</w:t>
      </w:r>
      <w:r>
        <w:rPr>
          <w:spacing w:val="-2"/>
          <w:sz w:val="18"/>
          <w:vertAlign w:val="baseline"/>
        </w:rPr>
        <w:t> </w:t>
      </w:r>
      <w:r>
        <w:rPr>
          <w:sz w:val="18"/>
          <w:vertAlign w:val="baseline"/>
        </w:rPr>
        <w:t>and</w:t>
      </w:r>
      <w:r>
        <w:rPr>
          <w:spacing w:val="-3"/>
          <w:sz w:val="18"/>
          <w:vertAlign w:val="baseline"/>
        </w:rPr>
        <w:t> </w:t>
      </w:r>
      <w:r>
        <w:rPr>
          <w:sz w:val="18"/>
          <w:vertAlign w:val="baseline"/>
        </w:rPr>
        <w:t>sexual</w:t>
      </w:r>
      <w:r>
        <w:rPr>
          <w:spacing w:val="-4"/>
          <w:sz w:val="18"/>
          <w:vertAlign w:val="baseline"/>
        </w:rPr>
        <w:t> </w:t>
      </w:r>
      <w:r>
        <w:rPr>
          <w:sz w:val="18"/>
          <w:vertAlign w:val="baseline"/>
        </w:rPr>
        <w:t>and</w:t>
      </w:r>
      <w:r>
        <w:rPr>
          <w:spacing w:val="-2"/>
          <w:sz w:val="18"/>
          <w:vertAlign w:val="baseline"/>
        </w:rPr>
        <w:t> </w:t>
      </w:r>
      <w:r>
        <w:rPr>
          <w:sz w:val="18"/>
          <w:vertAlign w:val="baseline"/>
        </w:rPr>
        <w:t>gender</w:t>
      </w:r>
      <w:r>
        <w:rPr>
          <w:spacing w:val="-3"/>
          <w:sz w:val="18"/>
          <w:vertAlign w:val="baseline"/>
        </w:rPr>
        <w:t> </w:t>
      </w:r>
      <w:r>
        <w:rPr>
          <w:sz w:val="18"/>
          <w:vertAlign w:val="baseline"/>
        </w:rPr>
        <w:t>minority</w:t>
      </w:r>
      <w:r>
        <w:rPr>
          <w:spacing w:val="-2"/>
          <w:sz w:val="18"/>
          <w:vertAlign w:val="baseline"/>
        </w:rPr>
        <w:t> </w:t>
      </w:r>
      <w:r>
        <w:rPr>
          <w:sz w:val="18"/>
          <w:vertAlign w:val="baseline"/>
        </w:rPr>
        <w:t>students.</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School</w:t>
      </w:r>
      <w:r>
        <w:rPr>
          <w:i/>
          <w:spacing w:val="-2"/>
          <w:sz w:val="18"/>
          <w:vertAlign w:val="baseline"/>
        </w:rPr>
        <w:t> </w:t>
      </w:r>
      <w:r>
        <w:rPr>
          <w:i/>
          <w:sz w:val="18"/>
          <w:vertAlign w:val="baseline"/>
        </w:rPr>
        <w:t>Health,</w:t>
      </w:r>
      <w:r>
        <w:rPr>
          <w:i/>
          <w:spacing w:val="-3"/>
          <w:sz w:val="18"/>
          <w:vertAlign w:val="baseline"/>
        </w:rPr>
        <w:t> </w:t>
      </w:r>
      <w:r>
        <w:rPr>
          <w:i/>
          <w:sz w:val="18"/>
          <w:vertAlign w:val="baseline"/>
        </w:rPr>
        <w:t>93,</w:t>
      </w:r>
      <w:r>
        <w:rPr>
          <w:i/>
          <w:sz w:val="18"/>
          <w:vertAlign w:val="baseline"/>
        </w:rPr>
        <w:t> </w:t>
      </w:r>
      <w:r>
        <w:rPr>
          <w:sz w:val="18"/>
          <w:vertAlign w:val="baseline"/>
        </w:rPr>
        <w:t>679-689. https://doi.org/10.1111/josh.13297</w:t>
      </w:r>
    </w:p>
    <w:p>
      <w:pPr>
        <w:spacing w:before="0"/>
        <w:ind w:left="464" w:right="434" w:firstLine="0"/>
        <w:jc w:val="left"/>
        <w:rPr>
          <w:sz w:val="18"/>
        </w:rPr>
      </w:pPr>
      <w:bookmarkStart w:name="_bookmark46" w:id="156"/>
      <w:bookmarkEnd w:id="156"/>
      <w:r>
        <w:rPr/>
      </w:r>
      <w:r>
        <w:rPr>
          <w:sz w:val="18"/>
          <w:vertAlign w:val="superscript"/>
        </w:rPr>
        <w:t>7</w:t>
      </w:r>
      <w:r>
        <w:rPr>
          <w:spacing w:val="-1"/>
          <w:sz w:val="18"/>
          <w:vertAlign w:val="baseline"/>
        </w:rPr>
        <w:t> </w:t>
      </w:r>
      <w:r>
        <w:rPr>
          <w:sz w:val="18"/>
          <w:vertAlign w:val="baseline"/>
        </w:rPr>
        <w:t>GLSEN.</w:t>
      </w:r>
      <w:r>
        <w:rPr>
          <w:spacing w:val="-1"/>
          <w:sz w:val="18"/>
          <w:vertAlign w:val="baseline"/>
        </w:rPr>
        <w:t> </w:t>
      </w:r>
      <w:r>
        <w:rPr>
          <w:sz w:val="18"/>
          <w:vertAlign w:val="baseline"/>
        </w:rPr>
        <w:t>(2023).</w:t>
      </w:r>
      <w:r>
        <w:rPr>
          <w:spacing w:val="-2"/>
          <w:sz w:val="18"/>
          <w:vertAlign w:val="baseline"/>
        </w:rPr>
        <w:t> </w:t>
      </w:r>
      <w:r>
        <w:rPr>
          <w:sz w:val="18"/>
          <w:vertAlign w:val="baseline"/>
        </w:rPr>
        <w:t>2021</w:t>
      </w:r>
      <w:r>
        <w:rPr>
          <w:spacing w:val="-1"/>
          <w:sz w:val="18"/>
          <w:vertAlign w:val="baseline"/>
        </w:rPr>
        <w:t> </w:t>
      </w:r>
      <w:r>
        <w:rPr>
          <w:sz w:val="18"/>
          <w:vertAlign w:val="baseline"/>
        </w:rPr>
        <w:t>national</w:t>
      </w:r>
      <w:r>
        <w:rPr>
          <w:spacing w:val="-2"/>
          <w:sz w:val="18"/>
          <w:vertAlign w:val="baseline"/>
        </w:rPr>
        <w:t> </w:t>
      </w:r>
      <w:r>
        <w:rPr>
          <w:sz w:val="18"/>
          <w:vertAlign w:val="baseline"/>
        </w:rPr>
        <w:t>school</w:t>
      </w:r>
      <w:r>
        <w:rPr>
          <w:spacing w:val="-2"/>
          <w:sz w:val="18"/>
          <w:vertAlign w:val="baseline"/>
        </w:rPr>
        <w:t> </w:t>
      </w:r>
      <w:r>
        <w:rPr>
          <w:sz w:val="18"/>
          <w:vertAlign w:val="baseline"/>
        </w:rPr>
        <w:t>climate</w:t>
      </w:r>
      <w:r>
        <w:rPr>
          <w:spacing w:val="-1"/>
          <w:sz w:val="18"/>
          <w:vertAlign w:val="baseline"/>
        </w:rPr>
        <w:t> </w:t>
      </w:r>
      <w:r>
        <w:rPr>
          <w:sz w:val="18"/>
          <w:vertAlign w:val="baseline"/>
        </w:rPr>
        <w:t>survey</w:t>
      </w:r>
      <w:r>
        <w:rPr>
          <w:spacing w:val="-1"/>
          <w:sz w:val="18"/>
          <w:vertAlign w:val="baseline"/>
        </w:rPr>
        <w:t> </w:t>
      </w:r>
      <w:r>
        <w:rPr>
          <w:sz w:val="18"/>
          <w:vertAlign w:val="baseline"/>
        </w:rPr>
        <w:t>state</w:t>
      </w:r>
      <w:r>
        <w:rPr>
          <w:spacing w:val="-2"/>
          <w:sz w:val="18"/>
          <w:vertAlign w:val="baseline"/>
        </w:rPr>
        <w:t> </w:t>
      </w:r>
      <w:r>
        <w:rPr>
          <w:sz w:val="18"/>
          <w:vertAlign w:val="baseline"/>
        </w:rPr>
        <w:t>snapshot:</w:t>
      </w:r>
      <w:r>
        <w:rPr>
          <w:spacing w:val="-1"/>
          <w:sz w:val="18"/>
          <w:vertAlign w:val="baseline"/>
        </w:rPr>
        <w:t> </w:t>
      </w:r>
      <w:r>
        <w:rPr>
          <w:sz w:val="18"/>
          <w:vertAlign w:val="baseline"/>
        </w:rPr>
        <w:t>School</w:t>
      </w:r>
      <w:r>
        <w:rPr>
          <w:spacing w:val="-2"/>
          <w:sz w:val="18"/>
          <w:vertAlign w:val="baseline"/>
        </w:rPr>
        <w:t> </w:t>
      </w:r>
      <w:r>
        <w:rPr>
          <w:sz w:val="18"/>
          <w:vertAlign w:val="baseline"/>
        </w:rPr>
        <w:t>climate</w:t>
      </w:r>
      <w:r>
        <w:rPr>
          <w:spacing w:val="-1"/>
          <w:sz w:val="18"/>
          <w:vertAlign w:val="baseline"/>
        </w:rPr>
        <w:t> </w:t>
      </w:r>
      <w:r>
        <w:rPr>
          <w:sz w:val="18"/>
          <w:vertAlign w:val="baseline"/>
        </w:rPr>
        <w:t>for</w:t>
      </w:r>
      <w:r>
        <w:rPr>
          <w:spacing w:val="-2"/>
          <w:sz w:val="18"/>
          <w:vertAlign w:val="baseline"/>
        </w:rPr>
        <w:t> </w:t>
      </w:r>
      <w:r>
        <w:rPr>
          <w:sz w:val="18"/>
          <w:vertAlign w:val="baseline"/>
        </w:rPr>
        <w:t>LGBTQ+</w:t>
      </w:r>
      <w:r>
        <w:rPr>
          <w:spacing w:val="-2"/>
          <w:sz w:val="18"/>
          <w:vertAlign w:val="baseline"/>
        </w:rPr>
        <w:t> </w:t>
      </w:r>
      <w:r>
        <w:rPr>
          <w:sz w:val="18"/>
          <w:vertAlign w:val="baseline"/>
        </w:rPr>
        <w:t>students</w:t>
      </w:r>
      <w:r>
        <w:rPr>
          <w:spacing w:val="-1"/>
          <w:sz w:val="18"/>
          <w:vertAlign w:val="baseline"/>
        </w:rPr>
        <w:t> </w:t>
      </w:r>
      <w:r>
        <w:rPr>
          <w:sz w:val="18"/>
          <w:vertAlign w:val="baseline"/>
        </w:rPr>
        <w:t>in</w:t>
      </w:r>
      <w:r>
        <w:rPr>
          <w:spacing w:val="-1"/>
          <w:sz w:val="18"/>
          <w:vertAlign w:val="baseline"/>
        </w:rPr>
        <w:t> </w:t>
      </w:r>
      <w:r>
        <w:rPr>
          <w:sz w:val="18"/>
          <w:vertAlign w:val="baseline"/>
        </w:rPr>
        <w:t>Massachusetts. Accessed</w:t>
      </w:r>
      <w:r>
        <w:rPr>
          <w:spacing w:val="-10"/>
          <w:sz w:val="18"/>
          <w:vertAlign w:val="baseline"/>
        </w:rPr>
        <w:t> </w:t>
      </w:r>
      <w:r>
        <w:rPr>
          <w:sz w:val="18"/>
          <w:vertAlign w:val="baseline"/>
        </w:rPr>
        <w:t>May</w:t>
      </w:r>
      <w:r>
        <w:rPr>
          <w:spacing w:val="-9"/>
          <w:sz w:val="18"/>
          <w:vertAlign w:val="baseline"/>
        </w:rPr>
        <w:t> </w:t>
      </w:r>
      <w:r>
        <w:rPr>
          <w:sz w:val="18"/>
          <w:vertAlign w:val="baseline"/>
        </w:rPr>
        <w:t>2,</w:t>
      </w:r>
      <w:r>
        <w:rPr>
          <w:spacing w:val="-11"/>
          <w:sz w:val="18"/>
          <w:vertAlign w:val="baseline"/>
        </w:rPr>
        <w:t> </w:t>
      </w:r>
      <w:r>
        <w:rPr>
          <w:sz w:val="18"/>
          <w:vertAlign w:val="baseline"/>
        </w:rPr>
        <w:t>2024.</w:t>
      </w:r>
      <w:r>
        <w:rPr>
          <w:spacing w:val="-9"/>
          <w:sz w:val="18"/>
          <w:vertAlign w:val="baseline"/>
        </w:rPr>
        <w:t> </w:t>
      </w:r>
      <w:r>
        <w:rPr>
          <w:sz w:val="18"/>
          <w:vertAlign w:val="baseline"/>
        </w:rPr>
        <w:t>https://maps.glsen.org/wp-content/uploads/2023/02/GLSEN_2021_NSCS_State_Snapshots_MA.pdf </w:t>
      </w:r>
      <w:bookmarkStart w:name="_bookmark47" w:id="157"/>
      <w:bookmarkEnd w:id="157"/>
      <w:r>
        <w:rPr>
          <w:sz w:val="18"/>
          <w:vertAlign w:val="baseline"/>
        </w:rPr>
      </w:r>
      <w:r>
        <w:rPr>
          <w:sz w:val="18"/>
          <w:vertAlign w:val="superscript"/>
        </w:rPr>
        <w:t>8</w:t>
      </w:r>
      <w:r>
        <w:rPr>
          <w:sz w:val="18"/>
          <w:vertAlign w:val="baseline"/>
        </w:rPr>
        <w:t> Schey, R. (2022). Literacy (dis)orientations in a secondary classroom: Possibilities and limits of an intersectional LGBTQ+- inclusive curriculum. </w:t>
      </w:r>
      <w:r>
        <w:rPr>
          <w:i/>
          <w:sz w:val="18"/>
          <w:vertAlign w:val="baseline"/>
        </w:rPr>
        <w:t>Reading Research Quarterly, 58</w:t>
      </w:r>
      <w:r>
        <w:rPr>
          <w:sz w:val="18"/>
          <w:vertAlign w:val="baseline"/>
        </w:rPr>
        <w:t>(1), 25-43. https://doi.org/10.1002/rrq.485</w:t>
      </w:r>
    </w:p>
    <w:p>
      <w:pPr>
        <w:spacing w:before="0"/>
        <w:ind w:left="464" w:right="432" w:firstLine="0"/>
        <w:jc w:val="left"/>
        <w:rPr>
          <w:sz w:val="18"/>
        </w:rPr>
      </w:pPr>
      <w:bookmarkStart w:name="_bookmark48" w:id="158"/>
      <w:bookmarkEnd w:id="158"/>
      <w:r>
        <w:rPr/>
      </w:r>
      <w:r>
        <w:rPr>
          <w:sz w:val="18"/>
          <w:vertAlign w:val="superscript"/>
        </w:rPr>
        <w:t>9</w:t>
      </w:r>
      <w:r>
        <w:rPr>
          <w:spacing w:val="40"/>
          <w:sz w:val="18"/>
          <w:vertAlign w:val="baseline"/>
        </w:rPr>
        <w:t> </w:t>
      </w:r>
      <w:r>
        <w:rPr>
          <w:sz w:val="18"/>
          <w:vertAlign w:val="baseline"/>
        </w:rPr>
        <w:t>Massachusetts Board of Elementary and Secondary Education. (2015). Principles for Ensuring Safe and Supportive Learning</w:t>
      </w:r>
      <w:r>
        <w:rPr>
          <w:spacing w:val="-3"/>
          <w:sz w:val="18"/>
          <w:vertAlign w:val="baseline"/>
        </w:rPr>
        <w:t> </w:t>
      </w:r>
      <w:r>
        <w:rPr>
          <w:sz w:val="18"/>
          <w:vertAlign w:val="baseline"/>
        </w:rPr>
        <w:t>Environments</w:t>
      </w:r>
      <w:r>
        <w:rPr>
          <w:spacing w:val="-3"/>
          <w:sz w:val="18"/>
          <w:vertAlign w:val="baseline"/>
        </w:rPr>
        <w:t> </w:t>
      </w:r>
      <w:r>
        <w:rPr>
          <w:sz w:val="18"/>
          <w:vertAlign w:val="baseline"/>
        </w:rPr>
        <w:t>for</w:t>
      </w:r>
      <w:r>
        <w:rPr>
          <w:spacing w:val="-4"/>
          <w:sz w:val="18"/>
          <w:vertAlign w:val="baseline"/>
        </w:rPr>
        <w:t> </w:t>
      </w:r>
      <w:r>
        <w:rPr>
          <w:sz w:val="18"/>
          <w:vertAlign w:val="baseline"/>
        </w:rPr>
        <w:t>Lesbian,</w:t>
      </w:r>
      <w:r>
        <w:rPr>
          <w:spacing w:val="-4"/>
          <w:sz w:val="18"/>
          <w:vertAlign w:val="baseline"/>
        </w:rPr>
        <w:t> </w:t>
      </w:r>
      <w:r>
        <w:rPr>
          <w:sz w:val="18"/>
          <w:vertAlign w:val="baseline"/>
        </w:rPr>
        <w:t>Gay,</w:t>
      </w:r>
      <w:r>
        <w:rPr>
          <w:spacing w:val="-4"/>
          <w:sz w:val="18"/>
          <w:vertAlign w:val="baseline"/>
        </w:rPr>
        <w:t> </w:t>
      </w:r>
      <w:r>
        <w:rPr>
          <w:sz w:val="18"/>
          <w:vertAlign w:val="baseline"/>
        </w:rPr>
        <w:t>Bisexual,</w:t>
      </w:r>
      <w:r>
        <w:rPr>
          <w:spacing w:val="-4"/>
          <w:sz w:val="18"/>
          <w:vertAlign w:val="baseline"/>
        </w:rPr>
        <w:t> </w:t>
      </w:r>
      <w:r>
        <w:rPr>
          <w:sz w:val="18"/>
          <w:vertAlign w:val="baseline"/>
        </w:rPr>
        <w:t>Transgender,</w:t>
      </w:r>
      <w:r>
        <w:rPr>
          <w:spacing w:val="-4"/>
          <w:sz w:val="18"/>
          <w:vertAlign w:val="baseline"/>
        </w:rPr>
        <w:t> </w:t>
      </w:r>
      <w:r>
        <w:rPr>
          <w:sz w:val="18"/>
          <w:vertAlign w:val="baseline"/>
        </w:rPr>
        <w:t>Queer,</w:t>
      </w:r>
      <w:r>
        <w:rPr>
          <w:spacing w:val="-4"/>
          <w:sz w:val="18"/>
          <w:vertAlign w:val="baseline"/>
        </w:rPr>
        <w:t> </w:t>
      </w:r>
      <w:r>
        <w:rPr>
          <w:sz w:val="18"/>
          <w:vertAlign w:val="baseline"/>
        </w:rPr>
        <w:t>and</w:t>
      </w:r>
      <w:r>
        <w:rPr>
          <w:spacing w:val="-3"/>
          <w:sz w:val="18"/>
          <w:vertAlign w:val="baseline"/>
        </w:rPr>
        <w:t> </w:t>
      </w:r>
      <w:r>
        <w:rPr>
          <w:sz w:val="18"/>
          <w:vertAlign w:val="baseline"/>
        </w:rPr>
        <w:t>Questioning</w:t>
      </w:r>
      <w:r>
        <w:rPr>
          <w:spacing w:val="-3"/>
          <w:sz w:val="18"/>
          <w:vertAlign w:val="baseline"/>
        </w:rPr>
        <w:t> </w:t>
      </w:r>
      <w:r>
        <w:rPr>
          <w:sz w:val="18"/>
          <w:vertAlign w:val="baseline"/>
        </w:rPr>
        <w:t>(LGBTQ)</w:t>
      </w:r>
      <w:r>
        <w:rPr>
          <w:spacing w:val="-3"/>
          <w:sz w:val="18"/>
          <w:vertAlign w:val="baseline"/>
        </w:rPr>
        <w:t> </w:t>
      </w:r>
      <w:r>
        <w:rPr>
          <w:sz w:val="18"/>
          <w:vertAlign w:val="baseline"/>
        </w:rPr>
        <w:t>Students.</w:t>
      </w:r>
      <w:r>
        <w:rPr>
          <w:spacing w:val="-3"/>
          <w:sz w:val="18"/>
          <w:vertAlign w:val="baseline"/>
        </w:rPr>
        <w:t> </w:t>
      </w:r>
      <w:r>
        <w:rPr>
          <w:sz w:val="18"/>
          <w:vertAlign w:val="baseline"/>
        </w:rPr>
        <w:t>Accessed</w:t>
      </w:r>
      <w:r>
        <w:rPr>
          <w:spacing w:val="-3"/>
          <w:sz w:val="18"/>
          <w:vertAlign w:val="baseline"/>
        </w:rPr>
        <w:t> </w:t>
      </w:r>
      <w:r>
        <w:rPr>
          <w:sz w:val="18"/>
          <w:vertAlign w:val="baseline"/>
        </w:rPr>
        <w:t>May</w:t>
      </w:r>
      <w:r>
        <w:rPr>
          <w:spacing w:val="-3"/>
          <w:sz w:val="18"/>
          <w:vertAlign w:val="baseline"/>
        </w:rPr>
        <w:t> </w:t>
      </w:r>
      <w:r>
        <w:rPr>
          <w:sz w:val="18"/>
          <w:vertAlign w:val="baseline"/>
        </w:rPr>
        <w:t>2, </w:t>
      </w:r>
      <w:bookmarkStart w:name="_bookmark49" w:id="159"/>
      <w:bookmarkEnd w:id="159"/>
      <w:r>
        <w:rPr>
          <w:sz w:val="18"/>
          <w:vertAlign w:val="baseline"/>
        </w:rPr>
        <w:t>2024</w:t>
      </w:r>
      <w:r>
        <w:rPr>
          <w:sz w:val="18"/>
          <w:vertAlign w:val="baseline"/>
        </w:rPr>
        <w:t>. https://</w:t>
      </w:r>
      <w:hyperlink r:id="rId110">
        <w:r>
          <w:rPr>
            <w:sz w:val="18"/>
            <w:vertAlign w:val="baseline"/>
          </w:rPr>
          <w:t>www.doe.mass.edu/sfs/lgbtq/Principles-SafeEnvironment.html</w:t>
        </w:r>
      </w:hyperlink>
    </w:p>
    <w:p>
      <w:pPr>
        <w:spacing w:before="0"/>
        <w:ind w:left="464" w:right="787" w:firstLine="0"/>
        <w:jc w:val="left"/>
        <w:rPr>
          <w:sz w:val="18"/>
        </w:rPr>
      </w:pPr>
      <w:r>
        <w:rPr>
          <w:sz w:val="18"/>
          <w:vertAlign w:val="superscript"/>
        </w:rPr>
        <w:t>10</w:t>
      </w:r>
      <w:r>
        <w:rPr>
          <w:sz w:val="18"/>
          <w:vertAlign w:val="baseline"/>
        </w:rPr>
        <w:t> Adame, D. (2024). Pembroke schools reject effort that would ban Pride flags. Accessed May 2, 2024. </w:t>
      </w:r>
      <w:r>
        <w:rPr>
          <w:spacing w:val="-2"/>
          <w:sz w:val="18"/>
          <w:vertAlign w:val="baseline"/>
        </w:rPr>
        <w:t>https:</w:t>
      </w:r>
      <w:hyperlink r:id="rId111">
        <w:r>
          <w:rPr>
            <w:spacing w:val="-2"/>
            <w:sz w:val="18"/>
            <w:vertAlign w:val="baseline"/>
          </w:rPr>
          <w:t>//www.wgbh.org/news/education-news/2024-01-17/pembroke-schools-reject-effort-that-would-ban-pride-flags</w:t>
        </w:r>
      </w:hyperlink>
      <w:r>
        <w:rPr>
          <w:spacing w:val="80"/>
          <w:w w:val="150"/>
          <w:sz w:val="18"/>
          <w:vertAlign w:val="baseline"/>
        </w:rPr>
        <w:t> </w:t>
      </w:r>
      <w:bookmarkStart w:name="_bookmark50" w:id="160"/>
      <w:bookmarkEnd w:id="160"/>
      <w:r>
        <w:rPr>
          <w:sz w:val="18"/>
          <w:vertAlign w:val="baseline"/>
        </w:rPr>
      </w:r>
      <w:r>
        <w:rPr>
          <w:sz w:val="18"/>
          <w:vertAlign w:val="superscript"/>
        </w:rPr>
        <w:t>11</w:t>
      </w:r>
      <w:r>
        <w:rPr>
          <w:spacing w:val="-1"/>
          <w:sz w:val="18"/>
          <w:vertAlign w:val="baseline"/>
        </w:rPr>
        <w:t> </w:t>
      </w:r>
      <w:r>
        <w:rPr>
          <w:sz w:val="18"/>
          <w:vertAlign w:val="baseline"/>
        </w:rPr>
        <w:t>Huffaker,</w:t>
      </w:r>
      <w:r>
        <w:rPr>
          <w:spacing w:val="-2"/>
          <w:sz w:val="18"/>
          <w:vertAlign w:val="baseline"/>
        </w:rPr>
        <w:t> </w:t>
      </w:r>
      <w:r>
        <w:rPr>
          <w:sz w:val="18"/>
          <w:vertAlign w:val="baseline"/>
        </w:rPr>
        <w:t>C.</w:t>
      </w:r>
      <w:r>
        <w:rPr>
          <w:spacing w:val="-1"/>
          <w:sz w:val="18"/>
          <w:vertAlign w:val="baseline"/>
        </w:rPr>
        <w:t> </w:t>
      </w:r>
      <w:r>
        <w:rPr>
          <w:sz w:val="18"/>
          <w:vertAlign w:val="baseline"/>
        </w:rPr>
        <w:t>(2024,</w:t>
      </w:r>
      <w:r>
        <w:rPr>
          <w:spacing w:val="-2"/>
          <w:sz w:val="18"/>
          <w:vertAlign w:val="baseline"/>
        </w:rPr>
        <w:t> </w:t>
      </w:r>
      <w:r>
        <w:rPr>
          <w:sz w:val="18"/>
          <w:vertAlign w:val="baseline"/>
        </w:rPr>
        <w:t>January</w:t>
      </w:r>
      <w:r>
        <w:rPr>
          <w:spacing w:val="-1"/>
          <w:sz w:val="18"/>
          <w:vertAlign w:val="baseline"/>
        </w:rPr>
        <w:t> </w:t>
      </w:r>
      <w:r>
        <w:rPr>
          <w:sz w:val="18"/>
          <w:vertAlign w:val="baseline"/>
        </w:rPr>
        <w:t>17).</w:t>
      </w:r>
      <w:r>
        <w:rPr>
          <w:spacing w:val="-2"/>
          <w:sz w:val="18"/>
          <w:vertAlign w:val="baseline"/>
        </w:rPr>
        <w:t> </w:t>
      </w:r>
      <w:r>
        <w:rPr>
          <w:sz w:val="18"/>
          <w:vertAlign w:val="baseline"/>
        </w:rPr>
        <w:t>Charts:</w:t>
      </w:r>
      <w:r>
        <w:rPr>
          <w:spacing w:val="-1"/>
          <w:sz w:val="18"/>
          <w:vertAlign w:val="baseline"/>
        </w:rPr>
        <w:t> </w:t>
      </w:r>
      <w:r>
        <w:rPr>
          <w:sz w:val="18"/>
          <w:vertAlign w:val="baseline"/>
        </w:rPr>
        <w:t>See</w:t>
      </w:r>
      <w:r>
        <w:rPr>
          <w:spacing w:val="-1"/>
          <w:sz w:val="18"/>
          <w:vertAlign w:val="baseline"/>
        </w:rPr>
        <w:t> </w:t>
      </w:r>
      <w:r>
        <w:rPr>
          <w:sz w:val="18"/>
          <w:vertAlign w:val="baseline"/>
        </w:rPr>
        <w:t>which</w:t>
      </w:r>
      <w:r>
        <w:rPr>
          <w:spacing w:val="-1"/>
          <w:sz w:val="18"/>
          <w:vertAlign w:val="baseline"/>
        </w:rPr>
        <w:t> </w:t>
      </w:r>
      <w:r>
        <w:rPr>
          <w:sz w:val="18"/>
          <w:vertAlign w:val="baseline"/>
        </w:rPr>
        <w:t>Mass.</w:t>
      </w:r>
      <w:r>
        <w:rPr>
          <w:spacing w:val="-1"/>
          <w:sz w:val="18"/>
          <w:vertAlign w:val="baseline"/>
        </w:rPr>
        <w:t> </w:t>
      </w:r>
      <w:r>
        <w:rPr>
          <w:sz w:val="18"/>
          <w:vertAlign w:val="baseline"/>
        </w:rPr>
        <w:t>districts</w:t>
      </w:r>
      <w:r>
        <w:rPr>
          <w:spacing w:val="-1"/>
          <w:sz w:val="18"/>
          <w:vertAlign w:val="baseline"/>
        </w:rPr>
        <w:t> </w:t>
      </w:r>
      <w:r>
        <w:rPr>
          <w:sz w:val="18"/>
          <w:vertAlign w:val="baseline"/>
        </w:rPr>
        <w:t>have</w:t>
      </w:r>
      <w:r>
        <w:rPr>
          <w:spacing w:val="-1"/>
          <w:sz w:val="18"/>
          <w:vertAlign w:val="baseline"/>
        </w:rPr>
        <w:t> </w:t>
      </w:r>
      <w:r>
        <w:rPr>
          <w:sz w:val="18"/>
          <w:vertAlign w:val="baseline"/>
        </w:rPr>
        <w:t>banned</w:t>
      </w:r>
      <w:r>
        <w:rPr>
          <w:spacing w:val="-2"/>
          <w:sz w:val="18"/>
          <w:vertAlign w:val="baseline"/>
        </w:rPr>
        <w:t> </w:t>
      </w:r>
      <w:r>
        <w:rPr>
          <w:sz w:val="18"/>
          <w:vertAlign w:val="baseline"/>
        </w:rPr>
        <w:t>books,</w:t>
      </w:r>
      <w:r>
        <w:rPr>
          <w:spacing w:val="-2"/>
          <w:sz w:val="18"/>
          <w:vertAlign w:val="baseline"/>
        </w:rPr>
        <w:t> </w:t>
      </w:r>
      <w:r>
        <w:rPr>
          <w:sz w:val="18"/>
          <w:vertAlign w:val="baseline"/>
        </w:rPr>
        <w:t>what</w:t>
      </w:r>
      <w:r>
        <w:rPr>
          <w:spacing w:val="-2"/>
          <w:sz w:val="18"/>
          <w:vertAlign w:val="baseline"/>
        </w:rPr>
        <w:t> </w:t>
      </w:r>
      <w:r>
        <w:rPr>
          <w:sz w:val="18"/>
          <w:vertAlign w:val="baseline"/>
        </w:rPr>
        <w:t>books</w:t>
      </w:r>
      <w:r>
        <w:rPr>
          <w:spacing w:val="-1"/>
          <w:sz w:val="18"/>
          <w:vertAlign w:val="baseline"/>
        </w:rPr>
        <w:t> </w:t>
      </w:r>
      <w:r>
        <w:rPr>
          <w:sz w:val="18"/>
          <w:vertAlign w:val="baseline"/>
        </w:rPr>
        <w:t>are</w:t>
      </w:r>
      <w:r>
        <w:rPr>
          <w:spacing w:val="-1"/>
          <w:sz w:val="18"/>
          <w:vertAlign w:val="baseline"/>
        </w:rPr>
        <w:t> </w:t>
      </w:r>
      <w:r>
        <w:rPr>
          <w:sz w:val="18"/>
          <w:vertAlign w:val="baseline"/>
        </w:rPr>
        <w:t>most</w:t>
      </w:r>
      <w:r>
        <w:rPr>
          <w:spacing w:val="-2"/>
          <w:sz w:val="18"/>
          <w:vertAlign w:val="baseline"/>
        </w:rPr>
        <w:t> </w:t>
      </w:r>
      <w:r>
        <w:rPr>
          <w:sz w:val="18"/>
          <w:vertAlign w:val="baseline"/>
        </w:rPr>
        <w:t>common targets of challenges. </w:t>
      </w:r>
      <w:r>
        <w:rPr>
          <w:i/>
          <w:sz w:val="18"/>
          <w:vertAlign w:val="baseline"/>
        </w:rPr>
        <w:t>The Boston Globe. </w:t>
      </w:r>
      <w:r>
        <w:rPr>
          <w:sz w:val="18"/>
          <w:vertAlign w:val="baseline"/>
        </w:rPr>
        <w:t>Accessed May 2, 2024. </w:t>
      </w:r>
      <w:r>
        <w:rPr>
          <w:spacing w:val="-2"/>
          <w:sz w:val="18"/>
          <w:vertAlign w:val="baseline"/>
        </w:rPr>
        <w:t>https://</w:t>
      </w:r>
      <w:hyperlink r:id="rId112">
        <w:r>
          <w:rPr>
            <w:spacing w:val="-2"/>
            <w:sz w:val="18"/>
            <w:vertAlign w:val="baseline"/>
          </w:rPr>
          <w:t>www.bostonglobe.com/2024/01/17/metro/banned-books-charts/</w:t>
        </w:r>
      </w:hyperlink>
    </w:p>
    <w:p>
      <w:pPr>
        <w:spacing w:before="0"/>
        <w:ind w:left="463" w:right="484" w:firstLine="0"/>
        <w:jc w:val="left"/>
        <w:rPr>
          <w:sz w:val="18"/>
        </w:rPr>
      </w:pPr>
      <w:bookmarkStart w:name="_bookmark51" w:id="161"/>
      <w:bookmarkEnd w:id="161"/>
      <w:r>
        <w:rPr/>
      </w:r>
      <w:r>
        <w:rPr>
          <w:sz w:val="18"/>
          <w:vertAlign w:val="superscript"/>
        </w:rPr>
        <w:t>12</w:t>
      </w:r>
      <w:r>
        <w:rPr>
          <w:spacing w:val="-2"/>
          <w:sz w:val="18"/>
          <w:vertAlign w:val="baseline"/>
        </w:rPr>
        <w:t> </w:t>
      </w:r>
      <w:r>
        <w:rPr>
          <w:sz w:val="18"/>
          <w:vertAlign w:val="baseline"/>
        </w:rPr>
        <w:t>Bellow,</w:t>
      </w:r>
      <w:r>
        <w:rPr>
          <w:spacing w:val="-3"/>
          <w:sz w:val="18"/>
          <w:vertAlign w:val="baseline"/>
        </w:rPr>
        <w:t> </w:t>
      </w:r>
      <w:r>
        <w:rPr>
          <w:sz w:val="18"/>
          <w:vertAlign w:val="baseline"/>
        </w:rPr>
        <w:t>H.</w:t>
      </w:r>
      <w:r>
        <w:rPr>
          <w:spacing w:val="-2"/>
          <w:sz w:val="18"/>
          <w:vertAlign w:val="baseline"/>
        </w:rPr>
        <w:t> </w:t>
      </w:r>
      <w:r>
        <w:rPr>
          <w:sz w:val="18"/>
          <w:vertAlign w:val="baseline"/>
        </w:rPr>
        <w:t>(2024).</w:t>
      </w:r>
      <w:r>
        <w:rPr>
          <w:spacing w:val="-2"/>
          <w:sz w:val="18"/>
          <w:vertAlign w:val="baseline"/>
        </w:rPr>
        <w:t> </w:t>
      </w:r>
      <w:r>
        <w:rPr>
          <w:sz w:val="18"/>
          <w:vertAlign w:val="baseline"/>
        </w:rPr>
        <w:t>A</w:t>
      </w:r>
      <w:r>
        <w:rPr>
          <w:spacing w:val="-2"/>
          <w:sz w:val="18"/>
          <w:vertAlign w:val="baseline"/>
        </w:rPr>
        <w:t> </w:t>
      </w:r>
      <w:r>
        <w:rPr>
          <w:sz w:val="18"/>
          <w:vertAlign w:val="baseline"/>
        </w:rPr>
        <w:t>custodian</w:t>
      </w:r>
      <w:r>
        <w:rPr>
          <w:spacing w:val="-3"/>
          <w:sz w:val="18"/>
          <w:vertAlign w:val="baseline"/>
        </w:rPr>
        <w:t> </w:t>
      </w:r>
      <w:r>
        <w:rPr>
          <w:sz w:val="18"/>
          <w:vertAlign w:val="baseline"/>
        </w:rPr>
        <w:t>was</w:t>
      </w:r>
      <w:r>
        <w:rPr>
          <w:spacing w:val="-2"/>
          <w:sz w:val="18"/>
          <w:vertAlign w:val="baseline"/>
        </w:rPr>
        <w:t> </w:t>
      </w:r>
      <w:r>
        <w:rPr>
          <w:sz w:val="18"/>
          <w:vertAlign w:val="baseline"/>
        </w:rPr>
        <w:t>behind</w:t>
      </w:r>
      <w:r>
        <w:rPr>
          <w:spacing w:val="-2"/>
          <w:sz w:val="18"/>
          <w:vertAlign w:val="baseline"/>
        </w:rPr>
        <w:t> </w:t>
      </w:r>
      <w:r>
        <w:rPr>
          <w:sz w:val="18"/>
          <w:vertAlign w:val="baseline"/>
        </w:rPr>
        <w:t>the</w:t>
      </w:r>
      <w:r>
        <w:rPr>
          <w:spacing w:val="-4"/>
          <w:sz w:val="18"/>
          <w:vertAlign w:val="baseline"/>
        </w:rPr>
        <w:t> </w:t>
      </w:r>
      <w:r>
        <w:rPr>
          <w:sz w:val="18"/>
          <w:vertAlign w:val="baseline"/>
        </w:rPr>
        <w:t>complaint</w:t>
      </w:r>
      <w:r>
        <w:rPr>
          <w:spacing w:val="-3"/>
          <w:sz w:val="18"/>
          <w:vertAlign w:val="baseline"/>
        </w:rPr>
        <w:t> </w:t>
      </w:r>
      <w:r>
        <w:rPr>
          <w:sz w:val="18"/>
          <w:vertAlign w:val="baseline"/>
        </w:rPr>
        <w:t>about</w:t>
      </w:r>
      <w:r>
        <w:rPr>
          <w:spacing w:val="-1"/>
          <w:sz w:val="18"/>
          <w:vertAlign w:val="baseline"/>
        </w:rPr>
        <w:t> </w:t>
      </w:r>
      <w:r>
        <w:rPr>
          <w:sz w:val="18"/>
          <w:vertAlign w:val="baseline"/>
        </w:rPr>
        <w:t>the</w:t>
      </w:r>
      <w:r>
        <w:rPr>
          <w:spacing w:val="-2"/>
          <w:sz w:val="18"/>
          <w:vertAlign w:val="baseline"/>
        </w:rPr>
        <w:t> </w:t>
      </w:r>
      <w:r>
        <w:rPr>
          <w:sz w:val="18"/>
          <w:vertAlign w:val="baseline"/>
        </w:rPr>
        <w:t>book</w:t>
      </w:r>
      <w:r>
        <w:rPr>
          <w:spacing w:val="-3"/>
          <w:sz w:val="18"/>
          <w:vertAlign w:val="baseline"/>
        </w:rPr>
        <w:t> </w:t>
      </w:r>
      <w:r>
        <w:rPr>
          <w:sz w:val="18"/>
          <w:vertAlign w:val="baseline"/>
        </w:rPr>
        <w:t>‘Gender</w:t>
      </w:r>
      <w:r>
        <w:rPr>
          <w:spacing w:val="-3"/>
          <w:sz w:val="18"/>
          <w:vertAlign w:val="baseline"/>
        </w:rPr>
        <w:t> </w:t>
      </w:r>
      <w:r>
        <w:rPr>
          <w:sz w:val="18"/>
          <w:vertAlign w:val="baseline"/>
        </w:rPr>
        <w:t>Queer’</w:t>
      </w:r>
      <w:r>
        <w:rPr>
          <w:spacing w:val="-3"/>
          <w:sz w:val="18"/>
          <w:vertAlign w:val="baseline"/>
        </w:rPr>
        <w:t> </w:t>
      </w:r>
      <w:r>
        <w:rPr>
          <w:sz w:val="18"/>
          <w:vertAlign w:val="baseline"/>
        </w:rPr>
        <w:t>that</w:t>
      </w:r>
      <w:r>
        <w:rPr>
          <w:spacing w:val="-3"/>
          <w:sz w:val="18"/>
          <w:vertAlign w:val="baseline"/>
        </w:rPr>
        <w:t> </w:t>
      </w:r>
      <w:r>
        <w:rPr>
          <w:sz w:val="18"/>
          <w:vertAlign w:val="baseline"/>
        </w:rPr>
        <w:t>led</w:t>
      </w:r>
      <w:r>
        <w:rPr>
          <w:spacing w:val="-2"/>
          <w:sz w:val="18"/>
          <w:vertAlign w:val="baseline"/>
        </w:rPr>
        <w:t> </w:t>
      </w:r>
      <w:r>
        <w:rPr>
          <w:sz w:val="18"/>
          <w:vertAlign w:val="baseline"/>
        </w:rPr>
        <w:t>Great</w:t>
      </w:r>
      <w:r>
        <w:rPr>
          <w:spacing w:val="-3"/>
          <w:sz w:val="18"/>
          <w:vertAlign w:val="baseline"/>
        </w:rPr>
        <w:t> </w:t>
      </w:r>
      <w:r>
        <w:rPr>
          <w:sz w:val="18"/>
          <w:vertAlign w:val="baseline"/>
        </w:rPr>
        <w:t>Barrington</w:t>
      </w:r>
      <w:r>
        <w:rPr>
          <w:spacing w:val="-2"/>
          <w:sz w:val="18"/>
          <w:vertAlign w:val="baseline"/>
        </w:rPr>
        <w:t> </w:t>
      </w:r>
      <w:r>
        <w:rPr>
          <w:sz w:val="18"/>
          <w:vertAlign w:val="baseline"/>
        </w:rPr>
        <w:t>police to search a classroom. The Berkshire Eagle. Accessed May 2, 2024. https:</w:t>
      </w:r>
      <w:hyperlink r:id="rId113">
        <w:r>
          <w:rPr>
            <w:sz w:val="18"/>
            <w:vertAlign w:val="baseline"/>
          </w:rPr>
          <w:t>//www.berkshireeagle.com/breaking/gender-</w:t>
        </w:r>
      </w:hyperlink>
      <w:r>
        <w:rPr>
          <w:sz w:val="18"/>
          <w:vertAlign w:val="baseline"/>
        </w:rPr>
        <w:t> </w:t>
      </w:r>
      <w:r>
        <w:rPr>
          <w:spacing w:val="-2"/>
          <w:sz w:val="18"/>
          <w:vertAlign w:val="baseline"/>
        </w:rPr>
        <w:t>queer-school-police-book-search-banned-great-barrington-du-bois/article_c3b94f20-cd0a-11ee-9238-cff55cef40ab.html</w:t>
      </w:r>
    </w:p>
    <w:p>
      <w:pPr>
        <w:spacing w:before="0"/>
        <w:ind w:left="464" w:right="528" w:firstLine="0"/>
        <w:jc w:val="left"/>
        <w:rPr>
          <w:sz w:val="18"/>
        </w:rPr>
      </w:pPr>
      <w:bookmarkStart w:name="_bookmark52" w:id="162"/>
      <w:bookmarkEnd w:id="162"/>
      <w:r>
        <w:rPr/>
      </w:r>
      <w:r>
        <w:rPr>
          <w:sz w:val="18"/>
          <w:vertAlign w:val="superscript"/>
        </w:rPr>
        <w:t>13</w:t>
      </w:r>
      <w:r>
        <w:rPr>
          <w:spacing w:val="-2"/>
          <w:sz w:val="18"/>
          <w:vertAlign w:val="baseline"/>
        </w:rPr>
        <w:t> </w:t>
      </w:r>
      <w:r>
        <w:rPr>
          <w:sz w:val="18"/>
          <w:vertAlign w:val="baseline"/>
        </w:rPr>
        <w:t>Bruno,</w:t>
      </w:r>
      <w:r>
        <w:rPr>
          <w:spacing w:val="-3"/>
          <w:sz w:val="18"/>
          <w:vertAlign w:val="baseline"/>
        </w:rPr>
        <w:t> </w:t>
      </w:r>
      <w:r>
        <w:rPr>
          <w:sz w:val="18"/>
          <w:vertAlign w:val="baseline"/>
        </w:rPr>
        <w:t>C.</w:t>
      </w:r>
      <w:r>
        <w:rPr>
          <w:spacing w:val="-2"/>
          <w:sz w:val="18"/>
          <w:vertAlign w:val="baseline"/>
        </w:rPr>
        <w:t> </w:t>
      </w:r>
      <w:r>
        <w:rPr>
          <w:sz w:val="18"/>
          <w:vertAlign w:val="baseline"/>
        </w:rPr>
        <w:t>(2023).</w:t>
      </w:r>
      <w:r>
        <w:rPr>
          <w:spacing w:val="-2"/>
          <w:sz w:val="18"/>
          <w:vertAlign w:val="baseline"/>
        </w:rPr>
        <w:t> </w:t>
      </w:r>
      <w:r>
        <w:rPr>
          <w:sz w:val="18"/>
          <w:vertAlign w:val="baseline"/>
        </w:rPr>
        <w:t>Beyond</w:t>
      </w:r>
      <w:r>
        <w:rPr>
          <w:spacing w:val="-3"/>
          <w:sz w:val="18"/>
          <w:vertAlign w:val="baseline"/>
        </w:rPr>
        <w:t> </w:t>
      </w:r>
      <w:r>
        <w:rPr>
          <w:sz w:val="18"/>
          <w:vertAlign w:val="baseline"/>
        </w:rPr>
        <w:t>book</w:t>
      </w:r>
      <w:r>
        <w:rPr>
          <w:spacing w:val="-3"/>
          <w:sz w:val="18"/>
          <w:vertAlign w:val="baseline"/>
        </w:rPr>
        <w:t> </w:t>
      </w:r>
      <w:r>
        <w:rPr>
          <w:sz w:val="18"/>
          <w:vertAlign w:val="baseline"/>
        </w:rPr>
        <w:t>bans:</w:t>
      </w:r>
      <w:r>
        <w:rPr>
          <w:spacing w:val="-2"/>
          <w:sz w:val="18"/>
          <w:vertAlign w:val="baseline"/>
        </w:rPr>
        <w:t> </w:t>
      </w:r>
      <w:r>
        <w:rPr>
          <w:sz w:val="18"/>
          <w:vertAlign w:val="baseline"/>
        </w:rPr>
        <w:t>How</w:t>
      </w:r>
      <w:r>
        <w:rPr>
          <w:spacing w:val="-3"/>
          <w:sz w:val="18"/>
          <w:vertAlign w:val="baseline"/>
        </w:rPr>
        <w:t> </w:t>
      </w:r>
      <w:r>
        <w:rPr>
          <w:sz w:val="18"/>
          <w:vertAlign w:val="baseline"/>
        </w:rPr>
        <w:t>book</w:t>
      </w:r>
      <w:r>
        <w:rPr>
          <w:spacing w:val="-3"/>
          <w:sz w:val="18"/>
          <w:vertAlign w:val="baseline"/>
        </w:rPr>
        <w:t> </w:t>
      </w:r>
      <w:r>
        <w:rPr>
          <w:sz w:val="18"/>
          <w:vertAlign w:val="baseline"/>
        </w:rPr>
        <w:t>challenges</w:t>
      </w:r>
      <w:r>
        <w:rPr>
          <w:spacing w:val="-2"/>
          <w:sz w:val="18"/>
          <w:vertAlign w:val="baseline"/>
        </w:rPr>
        <w:t> </w:t>
      </w:r>
      <w:r>
        <w:rPr>
          <w:sz w:val="18"/>
          <w:vertAlign w:val="baseline"/>
        </w:rPr>
        <w:t>are</w:t>
      </w:r>
      <w:r>
        <w:rPr>
          <w:spacing w:val="-3"/>
          <w:sz w:val="18"/>
          <w:vertAlign w:val="baseline"/>
        </w:rPr>
        <w:t> </w:t>
      </w:r>
      <w:r>
        <w:rPr>
          <w:sz w:val="18"/>
          <w:vertAlign w:val="baseline"/>
        </w:rPr>
        <w:t>impacting</w:t>
      </w:r>
      <w:r>
        <w:rPr>
          <w:spacing w:val="-2"/>
          <w:sz w:val="18"/>
          <w:vertAlign w:val="baseline"/>
        </w:rPr>
        <w:t> </w:t>
      </w:r>
      <w:r>
        <w:rPr>
          <w:sz w:val="18"/>
          <w:vertAlign w:val="baseline"/>
        </w:rPr>
        <w:t>librarians</w:t>
      </w:r>
      <w:r>
        <w:rPr>
          <w:spacing w:val="-2"/>
          <w:sz w:val="18"/>
          <w:vertAlign w:val="baseline"/>
        </w:rPr>
        <w:t> </w:t>
      </w:r>
      <w:r>
        <w:rPr>
          <w:sz w:val="18"/>
          <w:vertAlign w:val="baseline"/>
        </w:rPr>
        <w:t>and</w:t>
      </w:r>
      <w:r>
        <w:rPr>
          <w:spacing w:val="-2"/>
          <w:sz w:val="18"/>
          <w:vertAlign w:val="baseline"/>
        </w:rPr>
        <w:t> </w:t>
      </w:r>
      <w:r>
        <w:rPr>
          <w:sz w:val="18"/>
          <w:vertAlign w:val="baseline"/>
        </w:rPr>
        <w:t>libraries</w:t>
      </w:r>
      <w:r>
        <w:rPr>
          <w:spacing w:val="-2"/>
          <w:sz w:val="18"/>
          <w:vertAlign w:val="baseline"/>
        </w:rPr>
        <w:t> </w:t>
      </w:r>
      <w:r>
        <w:rPr>
          <w:sz w:val="18"/>
          <w:vertAlign w:val="baseline"/>
        </w:rPr>
        <w:t>in</w:t>
      </w:r>
      <w:r>
        <w:rPr>
          <w:spacing w:val="-2"/>
          <w:sz w:val="18"/>
          <w:vertAlign w:val="baseline"/>
        </w:rPr>
        <w:t> </w:t>
      </w:r>
      <w:r>
        <w:rPr>
          <w:sz w:val="18"/>
          <w:vertAlign w:val="baseline"/>
        </w:rPr>
        <w:t>Massachusetts.</w:t>
      </w:r>
      <w:r>
        <w:rPr>
          <w:spacing w:val="-5"/>
          <w:sz w:val="18"/>
          <w:vertAlign w:val="baseline"/>
        </w:rPr>
        <w:t> </w:t>
      </w:r>
      <w:r>
        <w:rPr>
          <w:sz w:val="18"/>
          <w:vertAlign w:val="baseline"/>
        </w:rPr>
        <w:t>MBLC Blog. Accessed May 2, 2024. https://mblc.state.ma.us/mblc_blog/2023/09/12/beyond-book-bans-how-book-challenges- </w:t>
      </w:r>
      <w:r>
        <w:rPr>
          <w:spacing w:val="-2"/>
          <w:sz w:val="18"/>
          <w:vertAlign w:val="baseline"/>
        </w:rPr>
        <w:t>are-impacting-librarians-and-libraries-in-massachusetts/</w:t>
      </w:r>
    </w:p>
    <w:p>
      <w:pPr>
        <w:spacing w:before="0"/>
        <w:ind w:left="464" w:right="813" w:firstLine="0"/>
        <w:jc w:val="left"/>
        <w:rPr>
          <w:sz w:val="18"/>
        </w:rPr>
      </w:pPr>
      <w:bookmarkStart w:name="_bookmark53" w:id="163"/>
      <w:bookmarkEnd w:id="163"/>
      <w:r>
        <w:rPr/>
      </w:r>
      <w:r>
        <w:rPr>
          <w:sz w:val="18"/>
          <w:vertAlign w:val="superscript"/>
        </w:rPr>
        <w:t>14</w:t>
      </w:r>
      <w:r>
        <w:rPr>
          <w:sz w:val="18"/>
          <w:vertAlign w:val="baseline"/>
        </w:rPr>
        <w:t> Leung, E., Kassel-Gomez, G., Sullivan, S., Murahara, F., &amp; Flanagan, T. (2022). Social support in schools and related outcomes</w:t>
      </w:r>
      <w:r>
        <w:rPr>
          <w:spacing w:val="-4"/>
          <w:sz w:val="18"/>
          <w:vertAlign w:val="baseline"/>
        </w:rPr>
        <w:t> </w:t>
      </w:r>
      <w:r>
        <w:rPr>
          <w:sz w:val="18"/>
          <w:vertAlign w:val="baseline"/>
        </w:rPr>
        <w:t>for</w:t>
      </w:r>
      <w:r>
        <w:rPr>
          <w:spacing w:val="-5"/>
          <w:sz w:val="18"/>
          <w:vertAlign w:val="baseline"/>
        </w:rPr>
        <w:t> </w:t>
      </w:r>
      <w:r>
        <w:rPr>
          <w:sz w:val="18"/>
          <w:vertAlign w:val="baseline"/>
        </w:rPr>
        <w:t>LGBTQ</w:t>
      </w:r>
      <w:r>
        <w:rPr>
          <w:spacing w:val="-4"/>
          <w:sz w:val="18"/>
          <w:vertAlign w:val="baseline"/>
        </w:rPr>
        <w:t> </w:t>
      </w:r>
      <w:r>
        <w:rPr>
          <w:sz w:val="18"/>
          <w:vertAlign w:val="baseline"/>
        </w:rPr>
        <w:t>youth:</w:t>
      </w:r>
      <w:r>
        <w:rPr>
          <w:spacing w:val="-4"/>
          <w:sz w:val="18"/>
          <w:vertAlign w:val="baseline"/>
        </w:rPr>
        <w:t> </w:t>
      </w:r>
      <w:r>
        <w:rPr>
          <w:sz w:val="18"/>
          <w:vertAlign w:val="baseline"/>
        </w:rPr>
        <w:t>A</w:t>
      </w:r>
      <w:r>
        <w:rPr>
          <w:spacing w:val="-4"/>
          <w:sz w:val="18"/>
          <w:vertAlign w:val="baseline"/>
        </w:rPr>
        <w:t> </w:t>
      </w:r>
      <w:r>
        <w:rPr>
          <w:sz w:val="18"/>
          <w:vertAlign w:val="baseline"/>
        </w:rPr>
        <w:t>scoping</w:t>
      </w:r>
      <w:r>
        <w:rPr>
          <w:spacing w:val="-4"/>
          <w:sz w:val="18"/>
          <w:vertAlign w:val="baseline"/>
        </w:rPr>
        <w:t> </w:t>
      </w:r>
      <w:r>
        <w:rPr>
          <w:sz w:val="18"/>
          <w:vertAlign w:val="baseline"/>
        </w:rPr>
        <w:t>review.</w:t>
      </w:r>
      <w:r>
        <w:rPr>
          <w:spacing w:val="-4"/>
          <w:sz w:val="18"/>
          <w:vertAlign w:val="baseline"/>
        </w:rPr>
        <w:t> </w:t>
      </w:r>
      <w:r>
        <w:rPr>
          <w:i/>
          <w:sz w:val="18"/>
          <w:vertAlign w:val="baseline"/>
        </w:rPr>
        <w:t>Discover</w:t>
      </w:r>
      <w:r>
        <w:rPr>
          <w:i/>
          <w:spacing w:val="-5"/>
          <w:sz w:val="18"/>
          <w:vertAlign w:val="baseline"/>
        </w:rPr>
        <w:t> </w:t>
      </w:r>
      <w:r>
        <w:rPr>
          <w:i/>
          <w:sz w:val="18"/>
          <w:vertAlign w:val="baseline"/>
        </w:rPr>
        <w:t>Education,</w:t>
      </w:r>
      <w:r>
        <w:rPr>
          <w:i/>
          <w:spacing w:val="-5"/>
          <w:sz w:val="18"/>
          <w:vertAlign w:val="baseline"/>
        </w:rPr>
        <w:t> </w:t>
      </w:r>
      <w:r>
        <w:rPr>
          <w:i/>
          <w:sz w:val="18"/>
          <w:vertAlign w:val="baseline"/>
        </w:rPr>
        <w:t>1</w:t>
      </w:r>
      <w:r>
        <w:rPr>
          <w:sz w:val="18"/>
          <w:vertAlign w:val="baseline"/>
        </w:rPr>
        <w:t>(18).</w:t>
      </w:r>
      <w:r>
        <w:rPr>
          <w:spacing w:val="-4"/>
          <w:sz w:val="18"/>
          <w:vertAlign w:val="baseline"/>
        </w:rPr>
        <w:t> </w:t>
      </w:r>
      <w:r>
        <w:rPr>
          <w:sz w:val="18"/>
          <w:vertAlign w:val="baseline"/>
        </w:rPr>
        <w:t>https://doi.org/10.1007/s44217-022-00016-9 </w:t>
      </w:r>
      <w:bookmarkStart w:name="_bookmark54" w:id="164"/>
      <w:bookmarkEnd w:id="164"/>
      <w:r>
        <w:rPr>
          <w:sz w:val="18"/>
          <w:vertAlign w:val="baseline"/>
        </w:rPr>
      </w:r>
      <w:r>
        <w:rPr>
          <w:sz w:val="18"/>
          <w:vertAlign w:val="superscript"/>
        </w:rPr>
        <w:t>15</w:t>
      </w:r>
      <w:r>
        <w:rPr>
          <w:sz w:val="18"/>
          <w:vertAlign w:val="baseline"/>
        </w:rPr>
        <w:t> National School Climate Center. (n.d.). What is school climate and why is it important? Accessed May 6, 2024. </w:t>
      </w:r>
      <w:r>
        <w:rPr>
          <w:spacing w:val="-2"/>
          <w:sz w:val="18"/>
          <w:vertAlign w:val="baseline"/>
        </w:rPr>
        <w:t>https://schoolclimate.org/school-climate/</w:t>
      </w:r>
    </w:p>
    <w:p>
      <w:pPr>
        <w:spacing w:before="0"/>
        <w:ind w:left="463" w:right="565" w:firstLine="0"/>
        <w:jc w:val="left"/>
        <w:rPr>
          <w:sz w:val="18"/>
        </w:rPr>
      </w:pPr>
      <w:bookmarkStart w:name="_bookmark55" w:id="165"/>
      <w:bookmarkEnd w:id="165"/>
      <w:r>
        <w:rPr/>
      </w:r>
      <w:r>
        <w:rPr>
          <w:sz w:val="18"/>
          <w:vertAlign w:val="superscript"/>
        </w:rPr>
        <w:t>16</w:t>
      </w:r>
      <w:r>
        <w:rPr>
          <w:spacing w:val="-2"/>
          <w:sz w:val="18"/>
          <w:vertAlign w:val="baseline"/>
        </w:rPr>
        <w:t> </w:t>
      </w:r>
      <w:r>
        <w:rPr>
          <w:sz w:val="18"/>
          <w:vertAlign w:val="baseline"/>
        </w:rPr>
        <w:t>Ancheta,</w:t>
      </w:r>
      <w:r>
        <w:rPr>
          <w:spacing w:val="-3"/>
          <w:sz w:val="18"/>
          <w:vertAlign w:val="baseline"/>
        </w:rPr>
        <w:t> </w:t>
      </w:r>
      <w:r>
        <w:rPr>
          <w:sz w:val="18"/>
          <w:vertAlign w:val="baseline"/>
        </w:rPr>
        <w:t>A.</w:t>
      </w:r>
      <w:r>
        <w:rPr>
          <w:spacing w:val="-2"/>
          <w:sz w:val="18"/>
          <w:vertAlign w:val="baseline"/>
        </w:rPr>
        <w:t> </w:t>
      </w:r>
      <w:r>
        <w:rPr>
          <w:sz w:val="18"/>
          <w:vertAlign w:val="baseline"/>
        </w:rPr>
        <w:t>J.,</w:t>
      </w:r>
      <w:r>
        <w:rPr>
          <w:spacing w:val="-4"/>
          <w:sz w:val="18"/>
          <w:vertAlign w:val="baseline"/>
        </w:rPr>
        <w:t> </w:t>
      </w:r>
      <w:r>
        <w:rPr>
          <w:sz w:val="18"/>
          <w:vertAlign w:val="baseline"/>
        </w:rPr>
        <w:t>MPhil,</w:t>
      </w:r>
      <w:r>
        <w:rPr>
          <w:spacing w:val="-3"/>
          <w:sz w:val="18"/>
          <w:vertAlign w:val="baseline"/>
        </w:rPr>
        <w:t> </w:t>
      </w:r>
      <w:r>
        <w:rPr>
          <w:sz w:val="18"/>
          <w:vertAlign w:val="baseline"/>
        </w:rPr>
        <w:t>Bruzzese,</w:t>
      </w:r>
      <w:r>
        <w:rPr>
          <w:spacing w:val="-3"/>
          <w:sz w:val="18"/>
          <w:vertAlign w:val="baseline"/>
        </w:rPr>
        <w:t> </w:t>
      </w:r>
      <w:r>
        <w:rPr>
          <w:sz w:val="18"/>
          <w:vertAlign w:val="baseline"/>
        </w:rPr>
        <w:t>J.-M.,</w:t>
      </w:r>
      <w:r>
        <w:rPr>
          <w:spacing w:val="-3"/>
          <w:sz w:val="18"/>
          <w:vertAlign w:val="baseline"/>
        </w:rPr>
        <w:t> </w:t>
      </w:r>
      <w:r>
        <w:rPr>
          <w:sz w:val="18"/>
          <w:vertAlign w:val="baseline"/>
        </w:rPr>
        <w:t>&amp;</w:t>
      </w:r>
      <w:r>
        <w:rPr>
          <w:spacing w:val="-3"/>
          <w:sz w:val="18"/>
          <w:vertAlign w:val="baseline"/>
        </w:rPr>
        <w:t> </w:t>
      </w:r>
      <w:r>
        <w:rPr>
          <w:sz w:val="18"/>
          <w:vertAlign w:val="baseline"/>
        </w:rPr>
        <w:t>Hughes,</w:t>
      </w:r>
      <w:r>
        <w:rPr>
          <w:spacing w:val="-3"/>
          <w:sz w:val="18"/>
          <w:vertAlign w:val="baseline"/>
        </w:rPr>
        <w:t> </w:t>
      </w:r>
      <w:r>
        <w:rPr>
          <w:sz w:val="18"/>
          <w:vertAlign w:val="baseline"/>
        </w:rPr>
        <w:t>T.</w:t>
      </w:r>
      <w:r>
        <w:rPr>
          <w:spacing w:val="-2"/>
          <w:sz w:val="18"/>
          <w:vertAlign w:val="baseline"/>
        </w:rPr>
        <w:t> </w:t>
      </w:r>
      <w:r>
        <w:rPr>
          <w:sz w:val="18"/>
          <w:vertAlign w:val="baseline"/>
        </w:rPr>
        <w:t>L.</w:t>
      </w:r>
      <w:r>
        <w:rPr>
          <w:spacing w:val="-2"/>
          <w:sz w:val="18"/>
          <w:vertAlign w:val="baseline"/>
        </w:rPr>
        <w:t> </w:t>
      </w:r>
      <w:r>
        <w:rPr>
          <w:sz w:val="18"/>
          <w:vertAlign w:val="baseline"/>
        </w:rPr>
        <w:t>(2021).</w:t>
      </w:r>
      <w:r>
        <w:rPr>
          <w:spacing w:val="-2"/>
          <w:sz w:val="18"/>
          <w:vertAlign w:val="baseline"/>
        </w:rPr>
        <w:t> </w:t>
      </w:r>
      <w:r>
        <w:rPr>
          <w:sz w:val="18"/>
          <w:vertAlign w:val="baseline"/>
        </w:rPr>
        <w:t>The</w:t>
      </w:r>
      <w:r>
        <w:rPr>
          <w:spacing w:val="-2"/>
          <w:sz w:val="18"/>
          <w:vertAlign w:val="baseline"/>
        </w:rPr>
        <w:t> </w:t>
      </w:r>
      <w:r>
        <w:rPr>
          <w:sz w:val="18"/>
          <w:vertAlign w:val="baseline"/>
        </w:rPr>
        <w:t>impact</w:t>
      </w:r>
      <w:r>
        <w:rPr>
          <w:spacing w:val="-3"/>
          <w:sz w:val="18"/>
          <w:vertAlign w:val="baseline"/>
        </w:rPr>
        <w:t> </w:t>
      </w:r>
      <w:r>
        <w:rPr>
          <w:sz w:val="18"/>
          <w:vertAlign w:val="baseline"/>
        </w:rPr>
        <w:t>of</w:t>
      </w:r>
      <w:r>
        <w:rPr>
          <w:spacing w:val="-2"/>
          <w:sz w:val="18"/>
          <w:vertAlign w:val="baseline"/>
        </w:rPr>
        <w:t> </w:t>
      </w:r>
      <w:r>
        <w:rPr>
          <w:sz w:val="18"/>
          <w:vertAlign w:val="baseline"/>
        </w:rPr>
        <w:t>positive</w:t>
      </w:r>
      <w:r>
        <w:rPr>
          <w:spacing w:val="-2"/>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on</w:t>
      </w:r>
      <w:r>
        <w:rPr>
          <w:spacing w:val="-2"/>
          <w:sz w:val="18"/>
          <w:vertAlign w:val="baseline"/>
        </w:rPr>
        <w:t> </w:t>
      </w:r>
      <w:r>
        <w:rPr>
          <w:sz w:val="18"/>
          <w:vertAlign w:val="baseline"/>
        </w:rPr>
        <w:t>suicidality</w:t>
      </w:r>
      <w:r>
        <w:rPr>
          <w:spacing w:val="-2"/>
          <w:sz w:val="18"/>
          <w:vertAlign w:val="baseline"/>
        </w:rPr>
        <w:t> </w:t>
      </w:r>
      <w:r>
        <w:rPr>
          <w:sz w:val="18"/>
          <w:vertAlign w:val="baseline"/>
        </w:rPr>
        <w:t>and mental health among LGBTQ adolescents: A systematic review. </w:t>
      </w:r>
      <w:r>
        <w:rPr>
          <w:i/>
          <w:sz w:val="18"/>
          <w:vertAlign w:val="baseline"/>
        </w:rPr>
        <w:t>The Journal of School Nursing, 37</w:t>
      </w:r>
      <w:r>
        <w:rPr>
          <w:sz w:val="18"/>
          <w:vertAlign w:val="baseline"/>
        </w:rPr>
        <w:t>(2), 75-86. </w:t>
      </w:r>
      <w:r>
        <w:rPr>
          <w:spacing w:val="-2"/>
          <w:sz w:val="18"/>
          <w:vertAlign w:val="baseline"/>
        </w:rPr>
        <w:t>https://doi.org/10.1177/1059840520970847</w:t>
      </w:r>
    </w:p>
    <w:p>
      <w:pPr>
        <w:spacing w:before="0"/>
        <w:ind w:left="463" w:right="432" w:firstLine="0"/>
        <w:jc w:val="left"/>
        <w:rPr>
          <w:sz w:val="18"/>
        </w:rPr>
      </w:pPr>
      <w:bookmarkStart w:name="_bookmark56" w:id="166"/>
      <w:bookmarkEnd w:id="166"/>
      <w:r>
        <w:rPr/>
      </w:r>
      <w:r>
        <w:rPr>
          <w:sz w:val="18"/>
          <w:vertAlign w:val="superscript"/>
        </w:rPr>
        <w:t>17</w:t>
      </w:r>
      <w:r>
        <w:rPr>
          <w:sz w:val="18"/>
          <w:vertAlign w:val="baseline"/>
        </w:rPr>
        <w:t> National Education Association. (2022, September 29). </w:t>
      </w:r>
      <w:r>
        <w:rPr>
          <w:i/>
          <w:sz w:val="18"/>
          <w:vertAlign w:val="baseline"/>
        </w:rPr>
        <w:t>New report: Culturally responsive &amp; racially inclusive education is</w:t>
      </w:r>
      <w:r>
        <w:rPr>
          <w:i/>
          <w:sz w:val="18"/>
          <w:vertAlign w:val="baseline"/>
        </w:rPr>
        <w:t> legal</w:t>
      </w:r>
      <w:r>
        <w:rPr>
          <w:i/>
          <w:spacing w:val="-5"/>
          <w:sz w:val="18"/>
          <w:vertAlign w:val="baseline"/>
        </w:rPr>
        <w:t> </w:t>
      </w:r>
      <w:r>
        <w:rPr>
          <w:i/>
          <w:sz w:val="18"/>
          <w:vertAlign w:val="baseline"/>
        </w:rPr>
        <w:t>and</w:t>
      </w:r>
      <w:r>
        <w:rPr>
          <w:i/>
          <w:spacing w:val="-5"/>
          <w:sz w:val="18"/>
          <w:vertAlign w:val="baseline"/>
        </w:rPr>
        <w:t> </w:t>
      </w:r>
      <w:r>
        <w:rPr>
          <w:i/>
          <w:sz w:val="18"/>
          <w:vertAlign w:val="baseline"/>
        </w:rPr>
        <w:t>benefits</w:t>
      </w:r>
      <w:r>
        <w:rPr>
          <w:i/>
          <w:spacing w:val="-5"/>
          <w:sz w:val="18"/>
          <w:vertAlign w:val="baseline"/>
        </w:rPr>
        <w:t> </w:t>
      </w:r>
      <w:r>
        <w:rPr>
          <w:i/>
          <w:sz w:val="18"/>
          <w:vertAlign w:val="baseline"/>
        </w:rPr>
        <w:t>all</w:t>
      </w:r>
      <w:r>
        <w:rPr>
          <w:i/>
          <w:spacing w:val="-4"/>
          <w:sz w:val="18"/>
          <w:vertAlign w:val="baseline"/>
        </w:rPr>
        <w:t> </w:t>
      </w:r>
      <w:r>
        <w:rPr>
          <w:i/>
          <w:sz w:val="18"/>
          <w:vertAlign w:val="baseline"/>
        </w:rPr>
        <w:t>students.</w:t>
      </w:r>
      <w:r>
        <w:rPr>
          <w:i/>
          <w:spacing w:val="-4"/>
          <w:sz w:val="18"/>
          <w:vertAlign w:val="baseline"/>
        </w:rPr>
        <w:t> </w:t>
      </w:r>
      <w:r>
        <w:rPr>
          <w:sz w:val="18"/>
          <w:vertAlign w:val="baseline"/>
        </w:rPr>
        <w:t>Accessed</w:t>
      </w:r>
      <w:r>
        <w:rPr>
          <w:spacing w:val="-4"/>
          <w:sz w:val="18"/>
          <w:vertAlign w:val="baseline"/>
        </w:rPr>
        <w:t> </w:t>
      </w:r>
      <w:r>
        <w:rPr>
          <w:sz w:val="18"/>
          <w:vertAlign w:val="baseline"/>
        </w:rPr>
        <w:t>May</w:t>
      </w:r>
      <w:r>
        <w:rPr>
          <w:spacing w:val="-4"/>
          <w:sz w:val="18"/>
          <w:vertAlign w:val="baseline"/>
        </w:rPr>
        <w:t> </w:t>
      </w:r>
      <w:r>
        <w:rPr>
          <w:sz w:val="18"/>
          <w:vertAlign w:val="baseline"/>
        </w:rPr>
        <w:t>18,</w:t>
      </w:r>
      <w:r>
        <w:rPr>
          <w:spacing w:val="-6"/>
          <w:sz w:val="18"/>
          <w:vertAlign w:val="baseline"/>
        </w:rPr>
        <w:t> </w:t>
      </w:r>
      <w:r>
        <w:rPr>
          <w:sz w:val="18"/>
          <w:vertAlign w:val="baseline"/>
        </w:rPr>
        <w:t>2024.</w:t>
      </w:r>
      <w:r>
        <w:rPr>
          <w:spacing w:val="-4"/>
          <w:sz w:val="18"/>
          <w:vertAlign w:val="baseline"/>
        </w:rPr>
        <w:t> </w:t>
      </w:r>
      <w:r>
        <w:rPr>
          <w:sz w:val="18"/>
          <w:vertAlign w:val="baseline"/>
        </w:rPr>
        <w:t>https:</w:t>
      </w:r>
      <w:hyperlink r:id="rId114">
        <w:r>
          <w:rPr>
            <w:sz w:val="18"/>
            <w:vertAlign w:val="baseline"/>
          </w:rPr>
          <w:t>//www.nea.org/about-nea/media-center/press-releases/new-</w:t>
        </w:r>
      </w:hyperlink>
      <w:r>
        <w:rPr>
          <w:sz w:val="18"/>
          <w:vertAlign w:val="baseline"/>
        </w:rPr>
        <w:t> </w:t>
      </w:r>
      <w:r>
        <w:rPr>
          <w:spacing w:val="-2"/>
          <w:sz w:val="18"/>
          <w:vertAlign w:val="baseline"/>
        </w:rPr>
        <w:t>report-culturally-responsive-racially-inclusive-education-legal-and-benefits-all-students</w:t>
      </w:r>
    </w:p>
    <w:p>
      <w:pPr>
        <w:spacing w:before="0"/>
        <w:ind w:left="464" w:right="413" w:hanging="1"/>
        <w:jc w:val="left"/>
        <w:rPr>
          <w:sz w:val="18"/>
        </w:rPr>
      </w:pPr>
      <w:bookmarkStart w:name="_bookmark57" w:id="167"/>
      <w:bookmarkEnd w:id="167"/>
      <w:r>
        <w:rPr/>
      </w:r>
      <w:r>
        <w:rPr>
          <w:sz w:val="18"/>
          <w:vertAlign w:val="superscript"/>
        </w:rPr>
        <w:t>18</w:t>
      </w:r>
      <w:r>
        <w:rPr>
          <w:spacing w:val="-2"/>
          <w:sz w:val="18"/>
          <w:vertAlign w:val="baseline"/>
        </w:rPr>
        <w:t> </w:t>
      </w:r>
      <w:r>
        <w:rPr>
          <w:sz w:val="18"/>
          <w:vertAlign w:val="baseline"/>
        </w:rPr>
        <w:t>Centers</w:t>
      </w:r>
      <w:r>
        <w:rPr>
          <w:spacing w:val="-2"/>
          <w:sz w:val="18"/>
          <w:vertAlign w:val="baseline"/>
        </w:rPr>
        <w:t> </w:t>
      </w:r>
      <w:r>
        <w:rPr>
          <w:sz w:val="18"/>
          <w:vertAlign w:val="baseline"/>
        </w:rPr>
        <w:t>for</w:t>
      </w:r>
      <w:r>
        <w:rPr>
          <w:spacing w:val="-3"/>
          <w:sz w:val="18"/>
          <w:vertAlign w:val="baseline"/>
        </w:rPr>
        <w:t> </w:t>
      </w:r>
      <w:r>
        <w:rPr>
          <w:sz w:val="18"/>
          <w:vertAlign w:val="baseline"/>
        </w:rPr>
        <w:t>Disease</w:t>
      </w:r>
      <w:r>
        <w:rPr>
          <w:spacing w:val="-2"/>
          <w:sz w:val="18"/>
          <w:vertAlign w:val="baseline"/>
        </w:rPr>
        <w:t> </w:t>
      </w:r>
      <w:r>
        <w:rPr>
          <w:sz w:val="18"/>
          <w:vertAlign w:val="baseline"/>
        </w:rPr>
        <w:t>Control</w:t>
      </w:r>
      <w:r>
        <w:rPr>
          <w:spacing w:val="-3"/>
          <w:sz w:val="18"/>
          <w:vertAlign w:val="baseline"/>
        </w:rPr>
        <w:t> </w:t>
      </w:r>
      <w:r>
        <w:rPr>
          <w:sz w:val="18"/>
          <w:vertAlign w:val="baseline"/>
        </w:rPr>
        <w:t>and</w:t>
      </w:r>
      <w:r>
        <w:rPr>
          <w:spacing w:val="-3"/>
          <w:sz w:val="18"/>
          <w:vertAlign w:val="baseline"/>
        </w:rPr>
        <w:t> </w:t>
      </w:r>
      <w:r>
        <w:rPr>
          <w:sz w:val="18"/>
          <w:vertAlign w:val="baseline"/>
        </w:rPr>
        <w:t>Prevention.</w:t>
      </w:r>
      <w:r>
        <w:rPr>
          <w:spacing w:val="-3"/>
          <w:sz w:val="18"/>
          <w:vertAlign w:val="baseline"/>
        </w:rPr>
        <w:t> </w:t>
      </w:r>
      <w:r>
        <w:rPr>
          <w:sz w:val="18"/>
          <w:vertAlign w:val="baseline"/>
        </w:rPr>
        <w:t>(2022,</w:t>
      </w:r>
      <w:r>
        <w:rPr>
          <w:spacing w:val="-3"/>
          <w:sz w:val="18"/>
          <w:vertAlign w:val="baseline"/>
        </w:rPr>
        <w:t> </w:t>
      </w:r>
      <w:r>
        <w:rPr>
          <w:sz w:val="18"/>
          <w:vertAlign w:val="baseline"/>
        </w:rPr>
        <w:t>June</w:t>
      </w:r>
      <w:r>
        <w:rPr>
          <w:spacing w:val="-2"/>
          <w:sz w:val="18"/>
          <w:vertAlign w:val="baseline"/>
        </w:rPr>
        <w:t> </w:t>
      </w:r>
      <w:r>
        <w:rPr>
          <w:sz w:val="18"/>
          <w:vertAlign w:val="baseline"/>
        </w:rPr>
        <w:t>27).</w:t>
      </w:r>
      <w:r>
        <w:rPr>
          <w:spacing w:val="-3"/>
          <w:sz w:val="18"/>
          <w:vertAlign w:val="baseline"/>
        </w:rPr>
        <w:t> </w:t>
      </w:r>
      <w:r>
        <w:rPr>
          <w:i/>
          <w:sz w:val="18"/>
          <w:vertAlign w:val="baseline"/>
        </w:rPr>
        <w:t>Inclusive</w:t>
      </w:r>
      <w:r>
        <w:rPr>
          <w:i/>
          <w:spacing w:val="-2"/>
          <w:sz w:val="18"/>
          <w:vertAlign w:val="baseline"/>
        </w:rPr>
        <w:t> </w:t>
      </w:r>
      <w:r>
        <w:rPr>
          <w:i/>
          <w:sz w:val="18"/>
          <w:vertAlign w:val="baseline"/>
        </w:rPr>
        <w:t>practices</w:t>
      </w:r>
      <w:r>
        <w:rPr>
          <w:i/>
          <w:spacing w:val="-3"/>
          <w:sz w:val="18"/>
          <w:vertAlign w:val="baseline"/>
        </w:rPr>
        <w:t> </w:t>
      </w:r>
      <w:r>
        <w:rPr>
          <w:i/>
          <w:sz w:val="18"/>
          <w:vertAlign w:val="baseline"/>
        </w:rPr>
        <w:t>help</w:t>
      </w:r>
      <w:r>
        <w:rPr>
          <w:i/>
          <w:spacing w:val="-2"/>
          <w:sz w:val="18"/>
          <w:vertAlign w:val="baseline"/>
        </w:rPr>
        <w:t> </w:t>
      </w:r>
      <w:r>
        <w:rPr>
          <w:i/>
          <w:sz w:val="18"/>
          <w:vertAlign w:val="baseline"/>
        </w:rPr>
        <w:t>all</w:t>
      </w:r>
      <w:r>
        <w:rPr>
          <w:i/>
          <w:spacing w:val="-2"/>
          <w:sz w:val="18"/>
          <w:vertAlign w:val="baseline"/>
        </w:rPr>
        <w:t> </w:t>
      </w:r>
      <w:r>
        <w:rPr>
          <w:i/>
          <w:sz w:val="18"/>
          <w:vertAlign w:val="baseline"/>
        </w:rPr>
        <w:t>students</w:t>
      </w:r>
      <w:r>
        <w:rPr>
          <w:i/>
          <w:spacing w:val="-3"/>
          <w:sz w:val="18"/>
          <w:vertAlign w:val="baseline"/>
        </w:rPr>
        <w:t> </w:t>
      </w:r>
      <w:r>
        <w:rPr>
          <w:i/>
          <w:sz w:val="18"/>
          <w:vertAlign w:val="baseline"/>
        </w:rPr>
        <w:t>thrive.</w:t>
      </w:r>
      <w:r>
        <w:rPr>
          <w:i/>
          <w:spacing w:val="-2"/>
          <w:sz w:val="18"/>
          <w:vertAlign w:val="baseline"/>
        </w:rPr>
        <w:t> </w:t>
      </w:r>
      <w:r>
        <w:rPr>
          <w:sz w:val="18"/>
          <w:vertAlign w:val="baseline"/>
        </w:rPr>
        <w:t>Accessed</w:t>
      </w:r>
      <w:r>
        <w:rPr>
          <w:spacing w:val="-2"/>
          <w:sz w:val="18"/>
          <w:vertAlign w:val="baseline"/>
        </w:rPr>
        <w:t> </w:t>
      </w:r>
      <w:r>
        <w:rPr>
          <w:sz w:val="18"/>
          <w:vertAlign w:val="baseline"/>
        </w:rPr>
        <w:t>May</w:t>
      </w:r>
      <w:r>
        <w:rPr>
          <w:spacing w:val="-2"/>
          <w:sz w:val="18"/>
          <w:vertAlign w:val="baseline"/>
        </w:rPr>
        <w:t> </w:t>
      </w:r>
      <w:r>
        <w:rPr>
          <w:sz w:val="18"/>
          <w:vertAlign w:val="baseline"/>
        </w:rPr>
        <w:t>18, 2024. https:</w:t>
      </w:r>
      <w:hyperlink r:id="rId115">
        <w:r>
          <w:rPr>
            <w:sz w:val="18"/>
            <w:vertAlign w:val="baseline"/>
          </w:rPr>
          <w:t>//www.cdc.gov/healthyyouth/safe-supportive-environments/LGBTQ-policies-practices.htm</w:t>
        </w:r>
      </w:hyperlink>
    </w:p>
    <w:p>
      <w:pPr>
        <w:spacing w:before="0"/>
        <w:ind w:left="464" w:right="565" w:firstLine="0"/>
        <w:jc w:val="left"/>
        <w:rPr>
          <w:sz w:val="18"/>
        </w:rPr>
      </w:pPr>
      <w:bookmarkStart w:name="_bookmark58" w:id="168"/>
      <w:bookmarkEnd w:id="168"/>
      <w:r>
        <w:rPr/>
      </w:r>
      <w:r>
        <w:rPr>
          <w:sz w:val="18"/>
          <w:vertAlign w:val="superscript"/>
        </w:rPr>
        <w:t>19</w:t>
      </w:r>
      <w:r>
        <w:rPr>
          <w:spacing w:val="-2"/>
          <w:sz w:val="18"/>
          <w:vertAlign w:val="baseline"/>
        </w:rPr>
        <w:t> </w:t>
      </w:r>
      <w:r>
        <w:rPr>
          <w:sz w:val="18"/>
          <w:vertAlign w:val="baseline"/>
        </w:rPr>
        <w:t>Reid,</w:t>
      </w:r>
      <w:r>
        <w:rPr>
          <w:spacing w:val="-3"/>
          <w:sz w:val="18"/>
          <w:vertAlign w:val="baseline"/>
        </w:rPr>
        <w:t> </w:t>
      </w:r>
      <w:r>
        <w:rPr>
          <w:sz w:val="18"/>
          <w:vertAlign w:val="baseline"/>
        </w:rPr>
        <w:t>S.</w:t>
      </w:r>
      <w:r>
        <w:rPr>
          <w:spacing w:val="-2"/>
          <w:sz w:val="18"/>
          <w:vertAlign w:val="baseline"/>
        </w:rPr>
        <w:t> </w:t>
      </w:r>
      <w:r>
        <w:rPr>
          <w:sz w:val="18"/>
          <w:vertAlign w:val="baseline"/>
        </w:rPr>
        <w:t>(2022).</w:t>
      </w:r>
      <w:r>
        <w:rPr>
          <w:spacing w:val="-3"/>
          <w:sz w:val="18"/>
          <w:vertAlign w:val="baseline"/>
        </w:rPr>
        <w:t> </w:t>
      </w:r>
      <w:r>
        <w:rPr>
          <w:sz w:val="18"/>
          <w:vertAlign w:val="baseline"/>
        </w:rPr>
        <w:t>Exploring</w:t>
      </w:r>
      <w:r>
        <w:rPr>
          <w:spacing w:val="-2"/>
          <w:sz w:val="18"/>
          <w:vertAlign w:val="baseline"/>
        </w:rPr>
        <w:t> </w:t>
      </w:r>
      <w:r>
        <w:rPr>
          <w:sz w:val="18"/>
          <w:vertAlign w:val="baseline"/>
        </w:rPr>
        <w:t>the</w:t>
      </w:r>
      <w:r>
        <w:rPr>
          <w:spacing w:val="-2"/>
          <w:sz w:val="18"/>
          <w:vertAlign w:val="baseline"/>
        </w:rPr>
        <w:t> </w:t>
      </w:r>
      <w:r>
        <w:rPr>
          <w:sz w:val="18"/>
          <w:vertAlign w:val="baseline"/>
        </w:rPr>
        <w:t>agency</w:t>
      </w:r>
      <w:r>
        <w:rPr>
          <w:spacing w:val="-2"/>
          <w:sz w:val="18"/>
          <w:vertAlign w:val="baseline"/>
        </w:rPr>
        <w:t> </w:t>
      </w:r>
      <w:r>
        <w:rPr>
          <w:sz w:val="18"/>
          <w:vertAlign w:val="baseline"/>
        </w:rPr>
        <w:t>of</w:t>
      </w:r>
      <w:r>
        <w:rPr>
          <w:spacing w:val="-2"/>
          <w:sz w:val="18"/>
          <w:vertAlign w:val="baseline"/>
        </w:rPr>
        <w:t> </w:t>
      </w:r>
      <w:r>
        <w:rPr>
          <w:sz w:val="18"/>
          <w:vertAlign w:val="baseline"/>
        </w:rPr>
        <w:t>Black</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schools</w:t>
      </w:r>
      <w:r>
        <w:rPr>
          <w:spacing w:val="-2"/>
          <w:sz w:val="18"/>
          <w:vertAlign w:val="baseline"/>
        </w:rPr>
        <w:t> </w:t>
      </w:r>
      <w:r>
        <w:rPr>
          <w:sz w:val="18"/>
          <w:vertAlign w:val="baseline"/>
        </w:rPr>
        <w:t>and</w:t>
      </w:r>
      <w:r>
        <w:rPr>
          <w:spacing w:val="-2"/>
          <w:sz w:val="18"/>
          <w:vertAlign w:val="baseline"/>
        </w:rPr>
        <w:t> </w:t>
      </w:r>
      <w:r>
        <w:rPr>
          <w:sz w:val="18"/>
          <w:vertAlign w:val="baseline"/>
        </w:rPr>
        <w:t>in</w:t>
      </w:r>
      <w:r>
        <w:rPr>
          <w:spacing w:val="-2"/>
          <w:sz w:val="18"/>
          <w:vertAlign w:val="baseline"/>
        </w:rPr>
        <w:t> </w:t>
      </w:r>
      <w:r>
        <w:rPr>
          <w:sz w:val="18"/>
          <w:vertAlign w:val="baseline"/>
        </w:rPr>
        <w:t>NYC’s</w:t>
      </w:r>
      <w:r>
        <w:rPr>
          <w:spacing w:val="-2"/>
          <w:sz w:val="18"/>
          <w:vertAlign w:val="baseline"/>
        </w:rPr>
        <w:t> </w:t>
      </w:r>
      <w:r>
        <w:rPr>
          <w:sz w:val="18"/>
          <w:vertAlign w:val="baseline"/>
        </w:rPr>
        <w:t>ballroom</w:t>
      </w:r>
      <w:r>
        <w:rPr>
          <w:spacing w:val="-2"/>
          <w:sz w:val="18"/>
          <w:vertAlign w:val="baseline"/>
        </w:rPr>
        <w:t> </w:t>
      </w:r>
      <w:r>
        <w:rPr>
          <w:sz w:val="18"/>
          <w:vertAlign w:val="baseline"/>
        </w:rPr>
        <w:t>culture.</w:t>
      </w:r>
      <w:r>
        <w:rPr>
          <w:spacing w:val="-2"/>
          <w:sz w:val="18"/>
          <w:vertAlign w:val="baseline"/>
        </w:rPr>
        <w:t> </w:t>
      </w:r>
      <w:r>
        <w:rPr>
          <w:i/>
          <w:sz w:val="18"/>
          <w:vertAlign w:val="baseline"/>
        </w:rPr>
        <w:t>Teachers</w:t>
      </w:r>
      <w:r>
        <w:rPr>
          <w:i/>
          <w:spacing w:val="-3"/>
          <w:sz w:val="18"/>
          <w:vertAlign w:val="baseline"/>
        </w:rPr>
        <w:t> </w:t>
      </w:r>
      <w:r>
        <w:rPr>
          <w:i/>
          <w:sz w:val="18"/>
          <w:vertAlign w:val="baseline"/>
        </w:rPr>
        <w:t>College</w:t>
      </w:r>
      <w:r>
        <w:rPr>
          <w:i/>
          <w:sz w:val="18"/>
          <w:vertAlign w:val="baseline"/>
        </w:rPr>
        <w:t> Record, 124</w:t>
      </w:r>
      <w:r>
        <w:rPr>
          <w:sz w:val="18"/>
          <w:vertAlign w:val="baseline"/>
        </w:rPr>
        <w:t>(6), 92-117. https://doi.org/10.1177/01614681221111072</w:t>
      </w:r>
    </w:p>
    <w:p>
      <w:pPr>
        <w:spacing w:before="0"/>
        <w:ind w:left="464" w:right="565" w:firstLine="0"/>
        <w:jc w:val="left"/>
        <w:rPr>
          <w:sz w:val="18"/>
        </w:rPr>
      </w:pPr>
      <w:bookmarkStart w:name="_bookmark59" w:id="169"/>
      <w:bookmarkEnd w:id="169"/>
      <w:r>
        <w:rPr/>
      </w:r>
      <w:r>
        <w:rPr>
          <w:sz w:val="18"/>
          <w:vertAlign w:val="superscript"/>
        </w:rPr>
        <w:t>20</w:t>
      </w:r>
      <w:r>
        <w:rPr>
          <w:spacing w:val="-2"/>
          <w:sz w:val="18"/>
          <w:vertAlign w:val="baseline"/>
        </w:rPr>
        <w:t> </w:t>
      </w:r>
      <w:r>
        <w:rPr>
          <w:sz w:val="18"/>
          <w:vertAlign w:val="baseline"/>
        </w:rPr>
        <w:t>Adhia,</w:t>
      </w:r>
      <w:r>
        <w:rPr>
          <w:spacing w:val="-3"/>
          <w:sz w:val="18"/>
          <w:vertAlign w:val="baseline"/>
        </w:rPr>
        <w:t> </w:t>
      </w:r>
      <w:r>
        <w:rPr>
          <w:sz w:val="18"/>
          <w:vertAlign w:val="baseline"/>
        </w:rPr>
        <w:t>A.,</w:t>
      </w:r>
      <w:r>
        <w:rPr>
          <w:spacing w:val="-3"/>
          <w:sz w:val="18"/>
          <w:vertAlign w:val="baseline"/>
        </w:rPr>
        <w:t> </w:t>
      </w:r>
      <w:r>
        <w:rPr>
          <w:sz w:val="18"/>
          <w:vertAlign w:val="baseline"/>
        </w:rPr>
        <w:t>Pugh,</w:t>
      </w:r>
      <w:r>
        <w:rPr>
          <w:spacing w:val="-4"/>
          <w:sz w:val="18"/>
          <w:vertAlign w:val="baseline"/>
        </w:rPr>
        <w:t> </w:t>
      </w:r>
      <w:r>
        <w:rPr>
          <w:sz w:val="18"/>
          <w:vertAlign w:val="baseline"/>
        </w:rPr>
        <w:t>D.,</w:t>
      </w:r>
      <w:r>
        <w:rPr>
          <w:spacing w:val="-3"/>
          <w:sz w:val="18"/>
          <w:vertAlign w:val="baseline"/>
        </w:rPr>
        <w:t> </w:t>
      </w:r>
      <w:r>
        <w:rPr>
          <w:sz w:val="18"/>
          <w:vertAlign w:val="baseline"/>
        </w:rPr>
        <w:t>Lucas,</w:t>
      </w:r>
      <w:r>
        <w:rPr>
          <w:spacing w:val="-3"/>
          <w:sz w:val="18"/>
          <w:vertAlign w:val="baseline"/>
        </w:rPr>
        <w:t> </w:t>
      </w:r>
      <w:r>
        <w:rPr>
          <w:sz w:val="18"/>
          <w:vertAlign w:val="baseline"/>
        </w:rPr>
        <w:t>R.,</w:t>
      </w:r>
      <w:r>
        <w:rPr>
          <w:spacing w:val="-3"/>
          <w:sz w:val="18"/>
          <w:vertAlign w:val="baseline"/>
        </w:rPr>
        <w:t> </w:t>
      </w:r>
      <w:r>
        <w:rPr>
          <w:sz w:val="18"/>
          <w:vertAlign w:val="baseline"/>
        </w:rPr>
        <w:t>Kelley,</w:t>
      </w:r>
      <w:r>
        <w:rPr>
          <w:spacing w:val="-3"/>
          <w:sz w:val="18"/>
          <w:vertAlign w:val="baseline"/>
        </w:rPr>
        <w:t> </w:t>
      </w:r>
      <w:r>
        <w:rPr>
          <w:sz w:val="18"/>
          <w:vertAlign w:val="baseline"/>
        </w:rPr>
        <w:t>J.,</w:t>
      </w:r>
      <w:r>
        <w:rPr>
          <w:spacing w:val="-3"/>
          <w:sz w:val="18"/>
          <w:vertAlign w:val="baseline"/>
        </w:rPr>
        <w:t> </w:t>
      </w:r>
      <w:r>
        <w:rPr>
          <w:sz w:val="18"/>
          <w:vertAlign w:val="baseline"/>
        </w:rPr>
        <w:t>&amp;</w:t>
      </w:r>
      <w:r>
        <w:rPr>
          <w:spacing w:val="-3"/>
          <w:sz w:val="18"/>
          <w:vertAlign w:val="baseline"/>
        </w:rPr>
        <w:t> </w:t>
      </w:r>
      <w:r>
        <w:rPr>
          <w:sz w:val="18"/>
          <w:vertAlign w:val="baseline"/>
        </w:rPr>
        <w:t>Bekemeier,</w:t>
      </w:r>
      <w:r>
        <w:rPr>
          <w:spacing w:val="-3"/>
          <w:sz w:val="18"/>
          <w:vertAlign w:val="baseline"/>
        </w:rPr>
        <w:t> </w:t>
      </w:r>
      <w:r>
        <w:rPr>
          <w:sz w:val="18"/>
          <w:vertAlign w:val="baseline"/>
        </w:rPr>
        <w:t>B.</w:t>
      </w:r>
      <w:r>
        <w:rPr>
          <w:spacing w:val="-2"/>
          <w:sz w:val="18"/>
          <w:vertAlign w:val="baseline"/>
        </w:rPr>
        <w:t> </w:t>
      </w:r>
      <w:r>
        <w:rPr>
          <w:sz w:val="18"/>
          <w:vertAlign w:val="baseline"/>
        </w:rPr>
        <w:t>(2023).</w:t>
      </w:r>
      <w:r>
        <w:rPr>
          <w:spacing w:val="-3"/>
          <w:sz w:val="18"/>
          <w:vertAlign w:val="baseline"/>
        </w:rPr>
        <w:t> </w:t>
      </w:r>
      <w:r>
        <w:rPr>
          <w:sz w:val="18"/>
          <w:vertAlign w:val="baseline"/>
        </w:rPr>
        <w:t>Improving</w:t>
      </w:r>
      <w:r>
        <w:rPr>
          <w:spacing w:val="-2"/>
          <w:sz w:val="18"/>
          <w:vertAlign w:val="baseline"/>
        </w:rPr>
        <w:t> </w:t>
      </w:r>
      <w:r>
        <w:rPr>
          <w:sz w:val="18"/>
          <w:vertAlign w:val="baseline"/>
        </w:rPr>
        <w:t>school</w:t>
      </w:r>
      <w:r>
        <w:rPr>
          <w:spacing w:val="-3"/>
          <w:sz w:val="18"/>
          <w:vertAlign w:val="baseline"/>
        </w:rPr>
        <w:t> </w:t>
      </w:r>
      <w:r>
        <w:rPr>
          <w:sz w:val="18"/>
          <w:vertAlign w:val="baseline"/>
        </w:rPr>
        <w:t>environments</w:t>
      </w:r>
      <w:r>
        <w:rPr>
          <w:spacing w:val="-2"/>
          <w:sz w:val="18"/>
          <w:vertAlign w:val="baseline"/>
        </w:rPr>
        <w:t> </w:t>
      </w:r>
      <w:r>
        <w:rPr>
          <w:sz w:val="18"/>
          <w:vertAlign w:val="baseline"/>
        </w:rPr>
        <w:t>for</w:t>
      </w:r>
      <w:r>
        <w:rPr>
          <w:spacing w:val="-3"/>
          <w:sz w:val="18"/>
          <w:vertAlign w:val="baseline"/>
        </w:rPr>
        <w:t> </w:t>
      </w:r>
      <w:r>
        <w:rPr>
          <w:sz w:val="18"/>
          <w:vertAlign w:val="baseline"/>
        </w:rPr>
        <w:t>preventing</w:t>
      </w:r>
      <w:r>
        <w:rPr>
          <w:spacing w:val="-2"/>
          <w:sz w:val="18"/>
          <w:vertAlign w:val="baseline"/>
        </w:rPr>
        <w:t> </w:t>
      </w:r>
      <w:r>
        <w:rPr>
          <w:sz w:val="18"/>
          <w:vertAlign w:val="baseline"/>
        </w:rPr>
        <w:t>sexual violence among LGBTQ+ youth. </w:t>
      </w:r>
      <w:r>
        <w:rPr>
          <w:i/>
          <w:sz w:val="18"/>
          <w:vertAlign w:val="baseline"/>
        </w:rPr>
        <w:t>Journal of School Health, 94</w:t>
      </w:r>
      <w:r>
        <w:rPr>
          <w:sz w:val="18"/>
          <w:vertAlign w:val="baseline"/>
        </w:rPr>
        <w:t>(3), 243-250.</w:t>
      </w:r>
    </w:p>
    <w:p>
      <w:pPr>
        <w:spacing w:before="0"/>
        <w:ind w:left="464" w:right="565" w:hanging="1"/>
        <w:jc w:val="left"/>
        <w:rPr>
          <w:sz w:val="18"/>
        </w:rPr>
      </w:pPr>
      <w:bookmarkStart w:name="_bookmark60" w:id="170"/>
      <w:bookmarkEnd w:id="170"/>
      <w:r>
        <w:rPr/>
      </w:r>
      <w:r>
        <w:rPr>
          <w:sz w:val="18"/>
          <w:vertAlign w:val="superscript"/>
        </w:rPr>
        <w:t>21</w:t>
      </w:r>
      <w:r>
        <w:rPr>
          <w:spacing w:val="-2"/>
          <w:sz w:val="18"/>
          <w:vertAlign w:val="baseline"/>
        </w:rPr>
        <w:t> </w:t>
      </w:r>
      <w:r>
        <w:rPr>
          <w:sz w:val="18"/>
          <w:vertAlign w:val="baseline"/>
        </w:rPr>
        <w:t>Cruz,</w:t>
      </w:r>
      <w:r>
        <w:rPr>
          <w:spacing w:val="-3"/>
          <w:sz w:val="18"/>
          <w:vertAlign w:val="baseline"/>
        </w:rPr>
        <w:t> </w:t>
      </w:r>
      <w:r>
        <w:rPr>
          <w:sz w:val="18"/>
          <w:vertAlign w:val="baseline"/>
        </w:rPr>
        <w:t>T.</w:t>
      </w:r>
      <w:r>
        <w:rPr>
          <w:spacing w:val="-2"/>
          <w:sz w:val="18"/>
          <w:vertAlign w:val="baseline"/>
        </w:rPr>
        <w:t> </w:t>
      </w:r>
      <w:r>
        <w:rPr>
          <w:sz w:val="18"/>
          <w:vertAlign w:val="baseline"/>
        </w:rPr>
        <w:t>H.,</w:t>
      </w:r>
      <w:r>
        <w:rPr>
          <w:spacing w:val="-2"/>
          <w:sz w:val="18"/>
          <w:vertAlign w:val="baseline"/>
        </w:rPr>
        <w:t> </w:t>
      </w:r>
      <w:r>
        <w:rPr>
          <w:sz w:val="18"/>
          <w:vertAlign w:val="baseline"/>
        </w:rPr>
        <w:t>Ross-Reed,</w:t>
      </w:r>
      <w:r>
        <w:rPr>
          <w:spacing w:val="-3"/>
          <w:sz w:val="18"/>
          <w:vertAlign w:val="baseline"/>
        </w:rPr>
        <w:t> </w:t>
      </w:r>
      <w:r>
        <w:rPr>
          <w:sz w:val="18"/>
          <w:vertAlign w:val="baseline"/>
        </w:rPr>
        <w:t>D.</w:t>
      </w:r>
      <w:r>
        <w:rPr>
          <w:spacing w:val="-2"/>
          <w:sz w:val="18"/>
          <w:vertAlign w:val="baseline"/>
        </w:rPr>
        <w:t> </w:t>
      </w:r>
      <w:r>
        <w:rPr>
          <w:sz w:val="18"/>
          <w:vertAlign w:val="baseline"/>
        </w:rPr>
        <w:t>E.,</w:t>
      </w:r>
      <w:r>
        <w:rPr>
          <w:spacing w:val="-3"/>
          <w:sz w:val="18"/>
          <w:vertAlign w:val="baseline"/>
        </w:rPr>
        <w:t> </w:t>
      </w:r>
      <w:r>
        <w:rPr>
          <w:sz w:val="18"/>
          <w:vertAlign w:val="baseline"/>
        </w:rPr>
        <w:t>FitzGerald,</w:t>
      </w:r>
      <w:r>
        <w:rPr>
          <w:spacing w:val="-3"/>
          <w:sz w:val="18"/>
          <w:vertAlign w:val="baseline"/>
        </w:rPr>
        <w:t> </w:t>
      </w:r>
      <w:r>
        <w:rPr>
          <w:sz w:val="18"/>
          <w:vertAlign w:val="baseline"/>
        </w:rPr>
        <w:t>C.</w:t>
      </w:r>
      <w:r>
        <w:rPr>
          <w:spacing w:val="-2"/>
          <w:sz w:val="18"/>
          <w:vertAlign w:val="baseline"/>
        </w:rPr>
        <w:t> </w:t>
      </w:r>
      <w:r>
        <w:rPr>
          <w:sz w:val="18"/>
          <w:vertAlign w:val="baseline"/>
        </w:rPr>
        <w:t>A.,</w:t>
      </w:r>
      <w:r>
        <w:rPr>
          <w:spacing w:val="-3"/>
          <w:sz w:val="18"/>
          <w:vertAlign w:val="baseline"/>
        </w:rPr>
        <w:t> </w:t>
      </w:r>
      <w:r>
        <w:rPr>
          <w:sz w:val="18"/>
          <w:vertAlign w:val="baseline"/>
        </w:rPr>
        <w:t>Overton,</w:t>
      </w:r>
      <w:r>
        <w:rPr>
          <w:spacing w:val="-3"/>
          <w:sz w:val="18"/>
          <w:vertAlign w:val="baseline"/>
        </w:rPr>
        <w:t> </w:t>
      </w:r>
      <w:r>
        <w:rPr>
          <w:sz w:val="18"/>
          <w:vertAlign w:val="baseline"/>
        </w:rPr>
        <w:t>K.,</w:t>
      </w:r>
      <w:r>
        <w:rPr>
          <w:spacing w:val="-3"/>
          <w:sz w:val="18"/>
          <w:vertAlign w:val="baseline"/>
        </w:rPr>
        <w:t> </w:t>
      </w:r>
      <w:r>
        <w:rPr>
          <w:sz w:val="18"/>
          <w:vertAlign w:val="baseline"/>
        </w:rPr>
        <w:t>Landrau-Cribbs,</w:t>
      </w:r>
      <w:r>
        <w:rPr>
          <w:spacing w:val="-3"/>
          <w:sz w:val="18"/>
          <w:vertAlign w:val="baseline"/>
        </w:rPr>
        <w:t> </w:t>
      </w:r>
      <w:r>
        <w:rPr>
          <w:sz w:val="18"/>
          <w:vertAlign w:val="baseline"/>
        </w:rPr>
        <w:t>E.,</w:t>
      </w:r>
      <w:r>
        <w:rPr>
          <w:spacing w:val="-3"/>
          <w:sz w:val="18"/>
          <w:vertAlign w:val="baseline"/>
        </w:rPr>
        <w:t> </w:t>
      </w:r>
      <w:r>
        <w:rPr>
          <w:sz w:val="18"/>
          <w:vertAlign w:val="baseline"/>
        </w:rPr>
        <w:t>Schiff,</w:t>
      </w:r>
      <w:r>
        <w:rPr>
          <w:spacing w:val="-3"/>
          <w:sz w:val="18"/>
          <w:vertAlign w:val="baseline"/>
        </w:rPr>
        <w:t> </w:t>
      </w:r>
      <w:r>
        <w:rPr>
          <w:sz w:val="18"/>
          <w:vertAlign w:val="baseline"/>
        </w:rPr>
        <w:t>M.</w:t>
      </w:r>
      <w:r>
        <w:rPr>
          <w:spacing w:val="-2"/>
          <w:sz w:val="18"/>
          <w:vertAlign w:val="baseline"/>
        </w:rPr>
        <w:t> </w:t>
      </w:r>
      <w:r>
        <w:rPr>
          <w:sz w:val="18"/>
          <w:vertAlign w:val="baseline"/>
        </w:rPr>
        <w:t>(2023).</w:t>
      </w:r>
      <w:r>
        <w:rPr>
          <w:spacing w:val="-2"/>
          <w:sz w:val="18"/>
          <w:vertAlign w:val="baseline"/>
        </w:rPr>
        <w:t> </w:t>
      </w:r>
      <w:r>
        <w:rPr>
          <w:sz w:val="18"/>
          <w:vertAlign w:val="baseline"/>
        </w:rPr>
        <w:t>Effects</w:t>
      </w:r>
      <w:r>
        <w:rPr>
          <w:spacing w:val="-2"/>
          <w:sz w:val="18"/>
          <w:vertAlign w:val="baseline"/>
        </w:rPr>
        <w:t> </w:t>
      </w:r>
      <w:r>
        <w:rPr>
          <w:sz w:val="18"/>
          <w:vertAlign w:val="baseline"/>
        </w:rPr>
        <w:t>of</w:t>
      </w:r>
      <w:r>
        <w:rPr>
          <w:spacing w:val="-2"/>
          <w:sz w:val="18"/>
          <w:vertAlign w:val="baseline"/>
        </w:rPr>
        <w:t> </w:t>
      </w:r>
      <w:r>
        <w:rPr>
          <w:sz w:val="18"/>
          <w:vertAlign w:val="baseline"/>
        </w:rPr>
        <w:t>school</w:t>
      </w:r>
      <w:r>
        <w:rPr>
          <w:spacing w:val="-3"/>
          <w:sz w:val="18"/>
          <w:vertAlign w:val="baseline"/>
        </w:rPr>
        <w:t> </w:t>
      </w:r>
      <w:r>
        <w:rPr>
          <w:sz w:val="18"/>
          <w:vertAlign w:val="baseline"/>
        </w:rPr>
        <w:t>policies and programs on violence among all high school students and sexual and gender minority students. </w:t>
      </w:r>
      <w:r>
        <w:rPr>
          <w:i/>
          <w:sz w:val="18"/>
          <w:vertAlign w:val="baseline"/>
        </w:rPr>
        <w:t>Journal of School</w:t>
      </w:r>
      <w:r>
        <w:rPr>
          <w:i/>
          <w:sz w:val="18"/>
          <w:vertAlign w:val="baseline"/>
        </w:rPr>
        <w:t> Health, 93</w:t>
      </w:r>
      <w:r>
        <w:rPr>
          <w:sz w:val="18"/>
          <w:vertAlign w:val="baseline"/>
        </w:rPr>
        <w:t>(8), 679-689.</w:t>
      </w:r>
    </w:p>
    <w:p>
      <w:pPr>
        <w:spacing w:before="0"/>
        <w:ind w:left="464" w:right="0" w:firstLine="0"/>
        <w:jc w:val="left"/>
        <w:rPr>
          <w:sz w:val="18"/>
        </w:rPr>
      </w:pPr>
      <w:bookmarkStart w:name="_bookmark61" w:id="171"/>
      <w:bookmarkEnd w:id="171"/>
      <w:r>
        <w:rPr/>
      </w:r>
      <w:r>
        <w:rPr>
          <w:sz w:val="18"/>
          <w:vertAlign w:val="superscript"/>
        </w:rPr>
        <w:t>22</w:t>
      </w:r>
      <w:r>
        <w:rPr>
          <w:spacing w:val="-2"/>
          <w:sz w:val="18"/>
          <w:vertAlign w:val="baseline"/>
        </w:rPr>
        <w:t> </w:t>
      </w:r>
      <w:r>
        <w:rPr>
          <w:sz w:val="18"/>
          <w:vertAlign w:val="baseline"/>
        </w:rPr>
        <w:t>Price,</w:t>
      </w:r>
      <w:r>
        <w:rPr>
          <w:spacing w:val="-3"/>
          <w:sz w:val="18"/>
          <w:vertAlign w:val="baseline"/>
        </w:rPr>
        <w:t> </w:t>
      </w:r>
      <w:r>
        <w:rPr>
          <w:sz w:val="18"/>
          <w:vertAlign w:val="baseline"/>
        </w:rPr>
        <w:t>M.</w:t>
      </w:r>
      <w:r>
        <w:rPr>
          <w:spacing w:val="-2"/>
          <w:sz w:val="18"/>
          <w:vertAlign w:val="baseline"/>
        </w:rPr>
        <w:t> </w:t>
      </w:r>
      <w:r>
        <w:rPr>
          <w:sz w:val="18"/>
          <w:vertAlign w:val="baseline"/>
        </w:rPr>
        <w:t>N.,</w:t>
      </w:r>
      <w:r>
        <w:rPr>
          <w:spacing w:val="-3"/>
          <w:sz w:val="18"/>
          <w:vertAlign w:val="baseline"/>
        </w:rPr>
        <w:t> </w:t>
      </w:r>
      <w:r>
        <w:rPr>
          <w:sz w:val="18"/>
          <w:vertAlign w:val="baseline"/>
        </w:rPr>
        <w:t>Green,</w:t>
      </w:r>
      <w:r>
        <w:rPr>
          <w:spacing w:val="-3"/>
          <w:sz w:val="18"/>
          <w:vertAlign w:val="baseline"/>
        </w:rPr>
        <w:t> </w:t>
      </w:r>
      <w:r>
        <w:rPr>
          <w:sz w:val="18"/>
          <w:vertAlign w:val="baseline"/>
        </w:rPr>
        <w:t>A.</w:t>
      </w:r>
      <w:r>
        <w:rPr>
          <w:spacing w:val="-2"/>
          <w:sz w:val="18"/>
          <w:vertAlign w:val="baseline"/>
        </w:rPr>
        <w:t> </w:t>
      </w:r>
      <w:r>
        <w:rPr>
          <w:sz w:val="18"/>
          <w:vertAlign w:val="baseline"/>
        </w:rPr>
        <w:t>E.,</w:t>
      </w:r>
      <w:r>
        <w:rPr>
          <w:spacing w:val="-3"/>
          <w:sz w:val="18"/>
          <w:vertAlign w:val="baseline"/>
        </w:rPr>
        <w:t> </w:t>
      </w:r>
      <w:r>
        <w:rPr>
          <w:sz w:val="18"/>
          <w:vertAlign w:val="baseline"/>
        </w:rPr>
        <w:t>DeChants,</w:t>
      </w:r>
      <w:r>
        <w:rPr>
          <w:spacing w:val="-3"/>
          <w:sz w:val="18"/>
          <w:vertAlign w:val="baseline"/>
        </w:rPr>
        <w:t> </w:t>
      </w:r>
      <w:r>
        <w:rPr>
          <w:sz w:val="18"/>
          <w:vertAlign w:val="baseline"/>
        </w:rPr>
        <w:t>J.</w:t>
      </w:r>
      <w:r>
        <w:rPr>
          <w:spacing w:val="-2"/>
          <w:sz w:val="18"/>
          <w:vertAlign w:val="baseline"/>
        </w:rPr>
        <w:t> </w:t>
      </w:r>
      <w:r>
        <w:rPr>
          <w:sz w:val="18"/>
          <w:vertAlign w:val="baseline"/>
        </w:rPr>
        <w:t>P.,</w:t>
      </w:r>
      <w:r>
        <w:rPr>
          <w:spacing w:val="-3"/>
          <w:sz w:val="18"/>
          <w:vertAlign w:val="baseline"/>
        </w:rPr>
        <w:t> </w:t>
      </w:r>
      <w:r>
        <w:rPr>
          <w:sz w:val="18"/>
          <w:vertAlign w:val="baseline"/>
        </w:rPr>
        <w:t>Davis,</w:t>
      </w:r>
      <w:r>
        <w:rPr>
          <w:spacing w:val="-3"/>
          <w:sz w:val="18"/>
          <w:vertAlign w:val="baseline"/>
        </w:rPr>
        <w:t> </w:t>
      </w:r>
      <w:r>
        <w:rPr>
          <w:sz w:val="18"/>
          <w:vertAlign w:val="baseline"/>
        </w:rPr>
        <w:t>C.</w:t>
      </w:r>
      <w:r>
        <w:rPr>
          <w:spacing w:val="-2"/>
          <w:sz w:val="18"/>
          <w:vertAlign w:val="baseline"/>
        </w:rPr>
        <w:t> </w:t>
      </w:r>
      <w:r>
        <w:rPr>
          <w:sz w:val="18"/>
          <w:vertAlign w:val="baseline"/>
        </w:rPr>
        <w:t>K.</w:t>
      </w:r>
      <w:r>
        <w:rPr>
          <w:spacing w:val="-2"/>
          <w:sz w:val="18"/>
          <w:vertAlign w:val="baseline"/>
        </w:rPr>
        <w:t> </w:t>
      </w:r>
      <w:r>
        <w:rPr>
          <w:sz w:val="18"/>
          <w:vertAlign w:val="baseline"/>
        </w:rPr>
        <w:t>(2023).</w:t>
      </w:r>
      <w:r>
        <w:rPr>
          <w:spacing w:val="-2"/>
          <w:sz w:val="18"/>
          <w:vertAlign w:val="baseline"/>
        </w:rPr>
        <w:t> </w:t>
      </w:r>
      <w:r>
        <w:rPr>
          <w:sz w:val="18"/>
          <w:vertAlign w:val="baseline"/>
        </w:rPr>
        <w:t>Physical</w:t>
      </w:r>
      <w:r>
        <w:rPr>
          <w:spacing w:val="-3"/>
          <w:sz w:val="18"/>
          <w:vertAlign w:val="baseline"/>
        </w:rPr>
        <w:t> </w:t>
      </w:r>
      <w:r>
        <w:rPr>
          <w:sz w:val="18"/>
          <w:vertAlign w:val="baseline"/>
        </w:rPr>
        <w:t>dating</w:t>
      </w:r>
      <w:r>
        <w:rPr>
          <w:spacing w:val="-2"/>
          <w:sz w:val="18"/>
          <w:vertAlign w:val="baseline"/>
        </w:rPr>
        <w:t> </w:t>
      </w:r>
      <w:r>
        <w:rPr>
          <w:sz w:val="18"/>
          <w:vertAlign w:val="baseline"/>
        </w:rPr>
        <w:t>violence</w:t>
      </w:r>
      <w:r>
        <w:rPr>
          <w:spacing w:val="-2"/>
          <w:sz w:val="18"/>
          <w:vertAlign w:val="baseline"/>
        </w:rPr>
        <w:t> </w:t>
      </w:r>
      <w:r>
        <w:rPr>
          <w:sz w:val="18"/>
          <w:vertAlign w:val="baseline"/>
        </w:rPr>
        <w:t>victimization</w:t>
      </w:r>
      <w:r>
        <w:rPr>
          <w:spacing w:val="-2"/>
          <w:sz w:val="18"/>
          <w:vertAlign w:val="baseline"/>
        </w:rPr>
        <w:t> </w:t>
      </w:r>
      <w:r>
        <w:rPr>
          <w:sz w:val="18"/>
          <w:vertAlign w:val="baseline"/>
        </w:rPr>
        <w:t>among</w:t>
      </w:r>
      <w:r>
        <w:rPr>
          <w:spacing w:val="-2"/>
          <w:sz w:val="18"/>
          <w:vertAlign w:val="baseline"/>
        </w:rPr>
        <w:t> </w:t>
      </w:r>
      <w:r>
        <w:rPr>
          <w:sz w:val="18"/>
          <w:vertAlign w:val="baseline"/>
        </w:rPr>
        <w:t>LGBTQ</w:t>
      </w:r>
      <w:r>
        <w:rPr>
          <w:spacing w:val="-2"/>
          <w:sz w:val="18"/>
          <w:vertAlign w:val="baseline"/>
        </w:rPr>
        <w:t> </w:t>
      </w:r>
      <w:r>
        <w:rPr>
          <w:sz w:val="18"/>
          <w:vertAlign w:val="baseline"/>
        </w:rPr>
        <w:t>youth: Disclosure and association with mental health. </w:t>
      </w:r>
      <w:r>
        <w:rPr>
          <w:i/>
          <w:sz w:val="18"/>
          <w:vertAlign w:val="baseline"/>
        </w:rPr>
        <w:t>Journal of Interpersonal Violence, 38</w:t>
      </w:r>
      <w:r>
        <w:rPr>
          <w:sz w:val="18"/>
          <w:vertAlign w:val="baseline"/>
        </w:rPr>
        <w:t>(15-16), 9059-9085. </w:t>
      </w:r>
      <w:r>
        <w:rPr>
          <w:spacing w:val="-2"/>
          <w:sz w:val="18"/>
          <w:vertAlign w:val="baseline"/>
        </w:rPr>
        <w:t>https://doi.org/10.1177/08862605231162655</w:t>
      </w:r>
    </w:p>
    <w:p>
      <w:pPr>
        <w:spacing w:before="0"/>
        <w:ind w:left="464" w:right="413" w:hanging="1"/>
        <w:jc w:val="left"/>
        <w:rPr>
          <w:sz w:val="18"/>
        </w:rPr>
      </w:pPr>
      <w:bookmarkStart w:name="_bookmark62" w:id="172"/>
      <w:bookmarkEnd w:id="172"/>
      <w:r>
        <w:rPr/>
      </w:r>
      <w:r>
        <w:rPr>
          <w:sz w:val="18"/>
          <w:vertAlign w:val="superscript"/>
        </w:rPr>
        <w:t>23</w:t>
      </w:r>
      <w:r>
        <w:rPr>
          <w:spacing w:val="-1"/>
          <w:sz w:val="18"/>
          <w:vertAlign w:val="baseline"/>
        </w:rPr>
        <w:t> </w:t>
      </w:r>
      <w:r>
        <w:rPr>
          <w:sz w:val="18"/>
          <w:vertAlign w:val="baseline"/>
        </w:rPr>
        <w:t>Rider,</w:t>
      </w:r>
      <w:r>
        <w:rPr>
          <w:spacing w:val="-2"/>
          <w:sz w:val="18"/>
          <w:vertAlign w:val="baseline"/>
        </w:rPr>
        <w:t> </w:t>
      </w:r>
      <w:r>
        <w:rPr>
          <w:sz w:val="18"/>
          <w:vertAlign w:val="baseline"/>
        </w:rPr>
        <w:t>G.</w:t>
      </w:r>
      <w:r>
        <w:rPr>
          <w:spacing w:val="-1"/>
          <w:sz w:val="18"/>
          <w:vertAlign w:val="baseline"/>
        </w:rPr>
        <w:t> </w:t>
      </w:r>
      <w:r>
        <w:rPr>
          <w:sz w:val="18"/>
          <w:vertAlign w:val="baseline"/>
        </w:rPr>
        <w:t>N.,</w:t>
      </w:r>
      <w:r>
        <w:rPr>
          <w:spacing w:val="-2"/>
          <w:sz w:val="18"/>
          <w:vertAlign w:val="baseline"/>
        </w:rPr>
        <w:t> </w:t>
      </w:r>
      <w:r>
        <w:rPr>
          <w:sz w:val="18"/>
          <w:vertAlign w:val="baseline"/>
        </w:rPr>
        <w:t>McMorris,</w:t>
      </w:r>
      <w:r>
        <w:rPr>
          <w:spacing w:val="-2"/>
          <w:sz w:val="18"/>
          <w:vertAlign w:val="baseline"/>
        </w:rPr>
        <w:t> </w:t>
      </w:r>
      <w:r>
        <w:rPr>
          <w:sz w:val="18"/>
          <w:vertAlign w:val="baseline"/>
        </w:rPr>
        <w:t>B.</w:t>
      </w:r>
      <w:r>
        <w:rPr>
          <w:spacing w:val="-1"/>
          <w:sz w:val="18"/>
          <w:vertAlign w:val="baseline"/>
        </w:rPr>
        <w:t> </w:t>
      </w:r>
      <w:r>
        <w:rPr>
          <w:sz w:val="18"/>
          <w:vertAlign w:val="baseline"/>
        </w:rPr>
        <w:t>J.,</w:t>
      </w:r>
      <w:r>
        <w:rPr>
          <w:spacing w:val="-2"/>
          <w:sz w:val="18"/>
          <w:vertAlign w:val="baseline"/>
        </w:rPr>
        <w:t> </w:t>
      </w:r>
      <w:r>
        <w:rPr>
          <w:sz w:val="18"/>
          <w:vertAlign w:val="baseline"/>
        </w:rPr>
        <w:t>Brown,</w:t>
      </w:r>
      <w:r>
        <w:rPr>
          <w:spacing w:val="-2"/>
          <w:sz w:val="18"/>
          <w:vertAlign w:val="baseline"/>
        </w:rPr>
        <w:t> </w:t>
      </w:r>
      <w:r>
        <w:rPr>
          <w:sz w:val="18"/>
          <w:vertAlign w:val="baseline"/>
        </w:rPr>
        <w:t>C.,</w:t>
      </w:r>
      <w:r>
        <w:rPr>
          <w:spacing w:val="-2"/>
          <w:sz w:val="18"/>
          <w:vertAlign w:val="baseline"/>
        </w:rPr>
        <w:t> </w:t>
      </w:r>
      <w:r>
        <w:rPr>
          <w:sz w:val="18"/>
          <w:vertAlign w:val="baseline"/>
        </w:rPr>
        <w:t>Eisenberg,</w:t>
      </w:r>
      <w:r>
        <w:rPr>
          <w:spacing w:val="-2"/>
          <w:sz w:val="18"/>
          <w:vertAlign w:val="baseline"/>
        </w:rPr>
        <w:t> </w:t>
      </w:r>
      <w:r>
        <w:rPr>
          <w:sz w:val="18"/>
          <w:vertAlign w:val="baseline"/>
        </w:rPr>
        <w:t>M.</w:t>
      </w:r>
      <w:r>
        <w:rPr>
          <w:spacing w:val="-1"/>
          <w:sz w:val="18"/>
          <w:vertAlign w:val="baseline"/>
        </w:rPr>
        <w:t> </w:t>
      </w:r>
      <w:r>
        <w:rPr>
          <w:sz w:val="18"/>
          <w:vertAlign w:val="baseline"/>
        </w:rPr>
        <w:t>E.,</w:t>
      </w:r>
      <w:r>
        <w:rPr>
          <w:spacing w:val="-2"/>
          <w:sz w:val="18"/>
          <w:vertAlign w:val="baseline"/>
        </w:rPr>
        <w:t> </w:t>
      </w:r>
      <w:r>
        <w:rPr>
          <w:sz w:val="18"/>
          <w:vertAlign w:val="baseline"/>
        </w:rPr>
        <w:t>Gower,</w:t>
      </w:r>
      <w:r>
        <w:rPr>
          <w:spacing w:val="-1"/>
          <w:sz w:val="18"/>
          <w:vertAlign w:val="baseline"/>
        </w:rPr>
        <w:t> </w:t>
      </w:r>
      <w:r>
        <w:rPr>
          <w:sz w:val="18"/>
          <w:vertAlign w:val="baseline"/>
        </w:rPr>
        <w:t>A.</w:t>
      </w:r>
      <w:r>
        <w:rPr>
          <w:spacing w:val="-1"/>
          <w:sz w:val="18"/>
          <w:vertAlign w:val="baseline"/>
        </w:rPr>
        <w:t> </w:t>
      </w:r>
      <w:r>
        <w:rPr>
          <w:sz w:val="18"/>
          <w:vertAlign w:val="baseline"/>
        </w:rPr>
        <w:t>L.,</w:t>
      </w:r>
      <w:r>
        <w:rPr>
          <w:spacing w:val="-2"/>
          <w:sz w:val="18"/>
          <w:vertAlign w:val="baseline"/>
        </w:rPr>
        <w:t> </w:t>
      </w:r>
      <w:r>
        <w:rPr>
          <w:sz w:val="18"/>
          <w:vertAlign w:val="baseline"/>
        </w:rPr>
        <w:t>Johnston-Goodstar,</w:t>
      </w:r>
      <w:r>
        <w:rPr>
          <w:spacing w:val="-2"/>
          <w:sz w:val="18"/>
          <w:vertAlign w:val="baseline"/>
        </w:rPr>
        <w:t> </w:t>
      </w:r>
      <w:r>
        <w:rPr>
          <w:sz w:val="18"/>
          <w:vertAlign w:val="baseline"/>
        </w:rPr>
        <w:t>K.,</w:t>
      </w:r>
      <w:r>
        <w:rPr>
          <w:spacing w:val="-2"/>
          <w:sz w:val="18"/>
          <w:vertAlign w:val="baseline"/>
        </w:rPr>
        <w:t> </w:t>
      </w:r>
      <w:r>
        <w:rPr>
          <w:sz w:val="18"/>
          <w:vertAlign w:val="baseline"/>
        </w:rPr>
        <w:t>Filoteo,</w:t>
      </w:r>
      <w:r>
        <w:rPr>
          <w:spacing w:val="-2"/>
          <w:sz w:val="18"/>
          <w:vertAlign w:val="baseline"/>
        </w:rPr>
        <w:t> </w:t>
      </w:r>
      <w:r>
        <w:rPr>
          <w:sz w:val="18"/>
          <w:vertAlign w:val="baseline"/>
        </w:rPr>
        <w:t>M.,</w:t>
      </w:r>
      <w:r>
        <w:rPr>
          <w:spacing w:val="-2"/>
          <w:sz w:val="18"/>
          <w:vertAlign w:val="baseline"/>
        </w:rPr>
        <w:t> </w:t>
      </w:r>
      <w:r>
        <w:rPr>
          <w:sz w:val="18"/>
          <w:vertAlign w:val="baseline"/>
        </w:rPr>
        <w:t>Singergouse,</w:t>
      </w:r>
      <w:r>
        <w:rPr>
          <w:spacing w:val="-2"/>
          <w:sz w:val="18"/>
          <w:vertAlign w:val="baseline"/>
        </w:rPr>
        <w:t> </w:t>
      </w:r>
      <w:r>
        <w:rPr>
          <w:sz w:val="18"/>
          <w:vertAlign w:val="baseline"/>
        </w:rPr>
        <w:t>E., &amp; Martin, L. (2022). Mental health and protective factors for transgender and gender-diverse youths who trade sex: A Minnesota statewide school-based study, 2019. </w:t>
      </w:r>
      <w:r>
        <w:rPr>
          <w:i/>
          <w:sz w:val="18"/>
          <w:vertAlign w:val="baseline"/>
        </w:rPr>
        <w:t>American Journal of Public Health, 112</w:t>
      </w:r>
      <w:r>
        <w:rPr>
          <w:sz w:val="18"/>
          <w:vertAlign w:val="baseline"/>
        </w:rPr>
        <w:t>(3), 499-508. </w:t>
      </w:r>
      <w:r>
        <w:rPr>
          <w:spacing w:val="-2"/>
          <w:sz w:val="18"/>
          <w:vertAlign w:val="baseline"/>
        </w:rPr>
        <w:t>https://doi.org/10.2105/AJPH.2021.306623</w:t>
      </w:r>
    </w:p>
    <w:p>
      <w:pPr>
        <w:spacing w:before="0"/>
        <w:ind w:left="464" w:right="438" w:hanging="1"/>
        <w:jc w:val="left"/>
        <w:rPr>
          <w:sz w:val="18"/>
        </w:rPr>
      </w:pPr>
      <w:bookmarkStart w:name="_bookmark63" w:id="173"/>
      <w:bookmarkEnd w:id="173"/>
      <w:r>
        <w:rPr/>
      </w:r>
      <w:r>
        <w:rPr>
          <w:sz w:val="18"/>
          <w:vertAlign w:val="superscript"/>
        </w:rPr>
        <w:t>24</w:t>
      </w:r>
      <w:r>
        <w:rPr>
          <w:spacing w:val="-2"/>
          <w:sz w:val="18"/>
          <w:vertAlign w:val="baseline"/>
        </w:rPr>
        <w:t> </w:t>
      </w:r>
      <w:r>
        <w:rPr>
          <w:sz w:val="18"/>
          <w:vertAlign w:val="baseline"/>
        </w:rPr>
        <w:t>Zongrone,</w:t>
      </w:r>
      <w:r>
        <w:rPr>
          <w:spacing w:val="-3"/>
          <w:sz w:val="18"/>
          <w:vertAlign w:val="baseline"/>
        </w:rPr>
        <w:t> </w:t>
      </w:r>
      <w:r>
        <w:rPr>
          <w:sz w:val="18"/>
          <w:vertAlign w:val="baseline"/>
        </w:rPr>
        <w:t>A.</w:t>
      </w:r>
      <w:r>
        <w:rPr>
          <w:spacing w:val="-2"/>
          <w:sz w:val="18"/>
          <w:vertAlign w:val="baseline"/>
        </w:rPr>
        <w:t> </w:t>
      </w:r>
      <w:r>
        <w:rPr>
          <w:sz w:val="18"/>
          <w:vertAlign w:val="baseline"/>
        </w:rPr>
        <w:t>D.,</w:t>
      </w:r>
      <w:r>
        <w:rPr>
          <w:spacing w:val="-3"/>
          <w:sz w:val="18"/>
          <w:vertAlign w:val="baseline"/>
        </w:rPr>
        <w:t> </w:t>
      </w:r>
      <w:r>
        <w:rPr>
          <w:sz w:val="18"/>
          <w:vertAlign w:val="baseline"/>
        </w:rPr>
        <w:t>Truong,</w:t>
      </w:r>
      <w:r>
        <w:rPr>
          <w:spacing w:val="-3"/>
          <w:sz w:val="18"/>
          <w:vertAlign w:val="baseline"/>
        </w:rPr>
        <w:t> </w:t>
      </w:r>
      <w:r>
        <w:rPr>
          <w:sz w:val="18"/>
          <w:vertAlign w:val="baseline"/>
        </w:rPr>
        <w:t>N.</w:t>
      </w:r>
      <w:r>
        <w:rPr>
          <w:spacing w:val="-2"/>
          <w:sz w:val="18"/>
          <w:vertAlign w:val="baseline"/>
        </w:rPr>
        <w:t> </w:t>
      </w:r>
      <w:r>
        <w:rPr>
          <w:sz w:val="18"/>
          <w:vertAlign w:val="baseline"/>
        </w:rPr>
        <w:t>L.,</w:t>
      </w:r>
      <w:r>
        <w:rPr>
          <w:spacing w:val="-3"/>
          <w:sz w:val="18"/>
          <w:vertAlign w:val="baseline"/>
        </w:rPr>
        <w:t> </w:t>
      </w:r>
      <w:r>
        <w:rPr>
          <w:sz w:val="18"/>
          <w:vertAlign w:val="baseline"/>
        </w:rPr>
        <w:t>&amp;</w:t>
      </w:r>
      <w:r>
        <w:rPr>
          <w:spacing w:val="-3"/>
          <w:sz w:val="18"/>
          <w:vertAlign w:val="baseline"/>
        </w:rPr>
        <w:t> </w:t>
      </w:r>
      <w:r>
        <w:rPr>
          <w:sz w:val="18"/>
          <w:vertAlign w:val="baseline"/>
        </w:rPr>
        <w:t>Kosciw,</w:t>
      </w:r>
      <w:r>
        <w:rPr>
          <w:spacing w:val="-3"/>
          <w:sz w:val="18"/>
          <w:vertAlign w:val="baseline"/>
        </w:rPr>
        <w:t> </w:t>
      </w:r>
      <w:r>
        <w:rPr>
          <w:sz w:val="18"/>
          <w:vertAlign w:val="baseline"/>
        </w:rPr>
        <w:t>J.</w:t>
      </w:r>
      <w:r>
        <w:rPr>
          <w:spacing w:val="-2"/>
          <w:sz w:val="18"/>
          <w:vertAlign w:val="baseline"/>
        </w:rPr>
        <w:t> </w:t>
      </w:r>
      <w:r>
        <w:rPr>
          <w:sz w:val="18"/>
          <w:vertAlign w:val="baseline"/>
        </w:rPr>
        <w:t>G.</w:t>
      </w:r>
      <w:r>
        <w:rPr>
          <w:spacing w:val="-2"/>
          <w:sz w:val="18"/>
          <w:vertAlign w:val="baseline"/>
        </w:rPr>
        <w:t> </w:t>
      </w:r>
      <w:r>
        <w:rPr>
          <w:sz w:val="18"/>
          <w:vertAlign w:val="baseline"/>
        </w:rPr>
        <w:t>(2020).</w:t>
      </w:r>
      <w:r>
        <w:rPr>
          <w:spacing w:val="-2"/>
          <w:sz w:val="18"/>
          <w:vertAlign w:val="baseline"/>
        </w:rPr>
        <w:t> </w:t>
      </w:r>
      <w:r>
        <w:rPr>
          <w:sz w:val="18"/>
          <w:vertAlign w:val="baseline"/>
        </w:rPr>
        <w:t>Erasure</w:t>
      </w:r>
      <w:r>
        <w:rPr>
          <w:spacing w:val="-2"/>
          <w:sz w:val="18"/>
          <w:vertAlign w:val="baseline"/>
        </w:rPr>
        <w:t> </w:t>
      </w:r>
      <w:r>
        <w:rPr>
          <w:sz w:val="18"/>
          <w:vertAlign w:val="baseline"/>
        </w:rPr>
        <w:t>and</w:t>
      </w:r>
      <w:r>
        <w:rPr>
          <w:spacing w:val="-3"/>
          <w:sz w:val="18"/>
          <w:vertAlign w:val="baseline"/>
        </w:rPr>
        <w:t> </w:t>
      </w:r>
      <w:r>
        <w:rPr>
          <w:sz w:val="18"/>
          <w:vertAlign w:val="baseline"/>
        </w:rPr>
        <w:t>resilience:</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students</w:t>
      </w:r>
      <w:r>
        <w:rPr>
          <w:spacing w:val="-2"/>
          <w:sz w:val="18"/>
          <w:vertAlign w:val="baseline"/>
        </w:rPr>
        <w:t> </w:t>
      </w:r>
      <w:r>
        <w:rPr>
          <w:sz w:val="18"/>
          <w:vertAlign w:val="baseline"/>
        </w:rPr>
        <w:t>of</w:t>
      </w:r>
      <w:r>
        <w:rPr>
          <w:spacing w:val="-3"/>
          <w:sz w:val="18"/>
          <w:vertAlign w:val="baseline"/>
        </w:rPr>
        <w:t> </w:t>
      </w:r>
      <w:r>
        <w:rPr>
          <w:sz w:val="18"/>
          <w:vertAlign w:val="baseline"/>
        </w:rPr>
        <w:t>color</w:t>
      </w:r>
      <w:r>
        <w:rPr>
          <w:spacing w:val="-3"/>
          <w:sz w:val="18"/>
          <w:vertAlign w:val="baseline"/>
        </w:rPr>
        <w:t> </w:t>
      </w:r>
      <w:r>
        <w:rPr>
          <w:sz w:val="18"/>
          <w:vertAlign w:val="baseline"/>
        </w:rPr>
        <w:t>- Latinx LGBTQ youth in U.S. schools. Accessed May 10, 2024. https:</w:t>
      </w:r>
      <w:hyperlink r:id="rId116">
        <w:r>
          <w:rPr>
            <w:sz w:val="18"/>
            <w:vertAlign w:val="baseline"/>
          </w:rPr>
          <w:t>//www.glsen.org/sites/default/files/2020-06/Erasure-</w:t>
        </w:r>
      </w:hyperlink>
      <w:r>
        <w:rPr>
          <w:sz w:val="18"/>
          <w:vertAlign w:val="baseline"/>
        </w:rPr>
        <w:t> </w:t>
      </w:r>
      <w:r>
        <w:rPr>
          <w:spacing w:val="-2"/>
          <w:sz w:val="18"/>
          <w:vertAlign w:val="baseline"/>
        </w:rPr>
        <w:t>and-Resilience-Latinx-2020.pdf</w:t>
      </w:r>
    </w:p>
    <w:p>
      <w:pPr>
        <w:spacing w:before="0"/>
        <w:ind w:left="464" w:right="0" w:firstLine="0"/>
        <w:jc w:val="left"/>
        <w:rPr>
          <w:sz w:val="18"/>
        </w:rPr>
      </w:pPr>
      <w:bookmarkStart w:name="_bookmark64" w:id="174"/>
      <w:bookmarkEnd w:id="174"/>
      <w:r>
        <w:rPr/>
      </w:r>
      <w:r>
        <w:rPr>
          <w:sz w:val="18"/>
          <w:vertAlign w:val="superscript"/>
        </w:rPr>
        <w:t>25</w:t>
      </w:r>
      <w:r>
        <w:rPr>
          <w:spacing w:val="-4"/>
          <w:sz w:val="18"/>
          <w:vertAlign w:val="baseline"/>
        </w:rPr>
        <w:t> </w:t>
      </w:r>
      <w:r>
        <w:rPr>
          <w:sz w:val="18"/>
          <w:vertAlign w:val="baseline"/>
        </w:rPr>
        <w:t>Poteat,</w:t>
      </w:r>
      <w:r>
        <w:rPr>
          <w:spacing w:val="-2"/>
          <w:sz w:val="18"/>
          <w:vertAlign w:val="baseline"/>
        </w:rPr>
        <w:t> </w:t>
      </w:r>
      <w:r>
        <w:rPr>
          <w:sz w:val="18"/>
          <w:vertAlign w:val="baseline"/>
        </w:rPr>
        <w:t>V.</w:t>
      </w:r>
      <w:r>
        <w:rPr>
          <w:spacing w:val="-2"/>
          <w:sz w:val="18"/>
          <w:vertAlign w:val="baseline"/>
        </w:rPr>
        <w:t> </w:t>
      </w:r>
      <w:r>
        <w:rPr>
          <w:sz w:val="18"/>
          <w:vertAlign w:val="baseline"/>
        </w:rPr>
        <w:t>P.,</w:t>
      </w:r>
      <w:r>
        <w:rPr>
          <w:spacing w:val="-2"/>
          <w:sz w:val="18"/>
          <w:vertAlign w:val="baseline"/>
        </w:rPr>
        <w:t> </w:t>
      </w:r>
      <w:r>
        <w:rPr>
          <w:sz w:val="18"/>
          <w:vertAlign w:val="baseline"/>
        </w:rPr>
        <w:t>Yoshikawa,</w:t>
      </w:r>
      <w:r>
        <w:rPr>
          <w:spacing w:val="-2"/>
          <w:sz w:val="18"/>
          <w:vertAlign w:val="baseline"/>
        </w:rPr>
        <w:t> </w:t>
      </w:r>
      <w:r>
        <w:rPr>
          <w:sz w:val="18"/>
          <w:vertAlign w:val="baseline"/>
        </w:rPr>
        <w:t>H.,</w:t>
      </w:r>
      <w:r>
        <w:rPr>
          <w:spacing w:val="-3"/>
          <w:sz w:val="18"/>
          <w:vertAlign w:val="baseline"/>
        </w:rPr>
        <w:t> </w:t>
      </w:r>
      <w:r>
        <w:rPr>
          <w:sz w:val="18"/>
          <w:vertAlign w:val="baseline"/>
        </w:rPr>
        <w:t>Marx,</w:t>
      </w:r>
      <w:r>
        <w:rPr>
          <w:spacing w:val="-2"/>
          <w:sz w:val="18"/>
          <w:vertAlign w:val="baseline"/>
        </w:rPr>
        <w:t> </w:t>
      </w:r>
      <w:r>
        <w:rPr>
          <w:sz w:val="18"/>
          <w:vertAlign w:val="baseline"/>
        </w:rPr>
        <w:t>R.</w:t>
      </w:r>
      <w:r>
        <w:rPr>
          <w:spacing w:val="-1"/>
          <w:sz w:val="18"/>
          <w:vertAlign w:val="baseline"/>
        </w:rPr>
        <w:t> </w:t>
      </w:r>
      <w:r>
        <w:rPr>
          <w:sz w:val="18"/>
          <w:vertAlign w:val="baseline"/>
        </w:rPr>
        <w:t>A.,</w:t>
      </w:r>
      <w:r>
        <w:rPr>
          <w:spacing w:val="-3"/>
          <w:sz w:val="18"/>
          <w:vertAlign w:val="baseline"/>
        </w:rPr>
        <w:t> </w:t>
      </w:r>
      <w:r>
        <w:rPr>
          <w:sz w:val="18"/>
          <w:vertAlign w:val="baseline"/>
        </w:rPr>
        <w:t>Sherwood,</w:t>
      </w:r>
      <w:r>
        <w:rPr>
          <w:spacing w:val="-2"/>
          <w:sz w:val="18"/>
          <w:vertAlign w:val="baseline"/>
        </w:rPr>
        <w:t> </w:t>
      </w:r>
      <w:r>
        <w:rPr>
          <w:sz w:val="18"/>
          <w:vertAlign w:val="baseline"/>
        </w:rPr>
        <w:t>S.</w:t>
      </w:r>
      <w:r>
        <w:rPr>
          <w:spacing w:val="-1"/>
          <w:sz w:val="18"/>
          <w:vertAlign w:val="baseline"/>
        </w:rPr>
        <w:t> </w:t>
      </w:r>
      <w:r>
        <w:rPr>
          <w:sz w:val="18"/>
          <w:vertAlign w:val="baseline"/>
        </w:rPr>
        <w:t>H.,</w:t>
      </w:r>
      <w:r>
        <w:rPr>
          <w:spacing w:val="-3"/>
          <w:sz w:val="18"/>
          <w:vertAlign w:val="baseline"/>
        </w:rPr>
        <w:t> </w:t>
      </w:r>
      <w:r>
        <w:rPr>
          <w:sz w:val="18"/>
          <w:vertAlign w:val="baseline"/>
        </w:rPr>
        <w:t>Richburg,</w:t>
      </w:r>
      <w:r>
        <w:rPr>
          <w:spacing w:val="-2"/>
          <w:sz w:val="18"/>
          <w:vertAlign w:val="baseline"/>
        </w:rPr>
        <w:t> </w:t>
      </w:r>
      <w:r>
        <w:rPr>
          <w:sz w:val="18"/>
          <w:vertAlign w:val="baseline"/>
        </w:rPr>
        <w:t>A.,</w:t>
      </w:r>
      <w:r>
        <w:rPr>
          <w:spacing w:val="-2"/>
          <w:sz w:val="18"/>
          <w:vertAlign w:val="baseline"/>
        </w:rPr>
        <w:t> </w:t>
      </w:r>
      <w:r>
        <w:rPr>
          <w:sz w:val="18"/>
          <w:vertAlign w:val="baseline"/>
        </w:rPr>
        <w:t>Murchison,</w:t>
      </w:r>
      <w:r>
        <w:rPr>
          <w:spacing w:val="-3"/>
          <w:sz w:val="18"/>
          <w:vertAlign w:val="baseline"/>
        </w:rPr>
        <w:t> </w:t>
      </w:r>
      <w:r>
        <w:rPr>
          <w:sz w:val="18"/>
          <w:vertAlign w:val="baseline"/>
        </w:rPr>
        <w:t>G.</w:t>
      </w:r>
      <w:r>
        <w:rPr>
          <w:spacing w:val="-1"/>
          <w:sz w:val="18"/>
          <w:vertAlign w:val="baseline"/>
        </w:rPr>
        <w:t> </w:t>
      </w:r>
      <w:r>
        <w:rPr>
          <w:sz w:val="18"/>
          <w:vertAlign w:val="baseline"/>
        </w:rPr>
        <w:t>R.,</w:t>
      </w:r>
      <w:r>
        <w:rPr>
          <w:spacing w:val="-2"/>
          <w:sz w:val="18"/>
          <w:vertAlign w:val="baseline"/>
        </w:rPr>
        <w:t> </w:t>
      </w:r>
      <w:r>
        <w:rPr>
          <w:sz w:val="18"/>
          <w:vertAlign w:val="baseline"/>
        </w:rPr>
        <w:t>Lipkin,</w:t>
      </w:r>
      <w:r>
        <w:rPr>
          <w:spacing w:val="-3"/>
          <w:sz w:val="18"/>
          <w:vertAlign w:val="baseline"/>
        </w:rPr>
        <w:t> </w:t>
      </w:r>
      <w:r>
        <w:rPr>
          <w:sz w:val="18"/>
          <w:vertAlign w:val="baseline"/>
        </w:rPr>
        <w:t>A.,</w:t>
      </w:r>
      <w:r>
        <w:rPr>
          <w:spacing w:val="-2"/>
          <w:sz w:val="18"/>
          <w:vertAlign w:val="baseline"/>
        </w:rPr>
        <w:t> </w:t>
      </w:r>
      <w:r>
        <w:rPr>
          <w:sz w:val="18"/>
          <w:vertAlign w:val="baseline"/>
        </w:rPr>
        <w:t>Yang,</w:t>
      </w:r>
      <w:r>
        <w:rPr>
          <w:spacing w:val="-2"/>
          <w:sz w:val="18"/>
          <w:vertAlign w:val="baseline"/>
        </w:rPr>
        <w:t> </w:t>
      </w:r>
      <w:r>
        <w:rPr>
          <w:sz w:val="18"/>
          <w:vertAlign w:val="baseline"/>
        </w:rPr>
        <w:t>M.</w:t>
      </w:r>
      <w:r>
        <w:rPr>
          <w:spacing w:val="-2"/>
          <w:sz w:val="18"/>
          <w:vertAlign w:val="baseline"/>
        </w:rPr>
        <w:t> </w:t>
      </w:r>
      <w:r>
        <w:rPr>
          <w:sz w:val="18"/>
          <w:vertAlign w:val="baseline"/>
        </w:rPr>
        <w:t>K.,</w:t>
      </w:r>
      <w:r>
        <w:rPr>
          <w:spacing w:val="-2"/>
          <w:sz w:val="18"/>
          <w:vertAlign w:val="baseline"/>
        </w:rPr>
        <w:t> </w:t>
      </w:r>
      <w:r>
        <w:rPr>
          <w:sz w:val="18"/>
          <w:vertAlign w:val="baseline"/>
        </w:rPr>
        <w:t>&amp;</w:t>
      </w:r>
      <w:r>
        <w:rPr>
          <w:spacing w:val="-2"/>
          <w:sz w:val="18"/>
          <w:vertAlign w:val="baseline"/>
        </w:rPr>
        <w:t> </w:t>
      </w:r>
      <w:r>
        <w:rPr>
          <w:sz w:val="18"/>
          <w:vertAlign w:val="baseline"/>
        </w:rPr>
        <w:t>Calzo,</w:t>
      </w:r>
      <w:r>
        <w:rPr>
          <w:spacing w:val="-4"/>
          <w:sz w:val="18"/>
          <w:vertAlign w:val="baseline"/>
        </w:rPr>
        <w:t> </w:t>
      </w:r>
      <w:r>
        <w:rPr>
          <w:spacing w:val="-5"/>
          <w:sz w:val="18"/>
          <w:vertAlign w:val="baseline"/>
        </w:rPr>
        <w:t>J.</w:t>
      </w:r>
    </w:p>
    <w:p>
      <w:pPr>
        <w:spacing w:before="0"/>
        <w:ind w:left="464" w:right="565" w:hanging="1"/>
        <w:jc w:val="left"/>
        <w:rPr>
          <w:sz w:val="18"/>
        </w:rPr>
      </w:pPr>
      <w:r>
        <w:rPr>
          <w:sz w:val="18"/>
        </w:rPr>
        <w:t>P.</w:t>
      </w:r>
      <w:r>
        <w:rPr>
          <w:spacing w:val="-3"/>
          <w:sz w:val="18"/>
        </w:rPr>
        <w:t> </w:t>
      </w:r>
      <w:r>
        <w:rPr>
          <w:sz w:val="18"/>
        </w:rPr>
        <w:t>(2023).</w:t>
      </w:r>
      <w:r>
        <w:rPr>
          <w:spacing w:val="-3"/>
          <w:sz w:val="18"/>
        </w:rPr>
        <w:t> </w:t>
      </w:r>
      <w:r>
        <w:rPr>
          <w:sz w:val="18"/>
        </w:rPr>
        <w:t>Engagement</w:t>
      </w:r>
      <w:r>
        <w:rPr>
          <w:spacing w:val="-4"/>
          <w:sz w:val="18"/>
        </w:rPr>
        <w:t> </w:t>
      </w:r>
      <w:r>
        <w:rPr>
          <w:sz w:val="18"/>
        </w:rPr>
        <w:t>in</w:t>
      </w:r>
      <w:r>
        <w:rPr>
          <w:spacing w:val="-3"/>
          <w:sz w:val="18"/>
        </w:rPr>
        <w:t> </w:t>
      </w:r>
      <w:r>
        <w:rPr>
          <w:sz w:val="18"/>
        </w:rPr>
        <w:t>gender-sexuality</w:t>
      </w:r>
      <w:r>
        <w:rPr>
          <w:spacing w:val="-3"/>
          <w:sz w:val="18"/>
        </w:rPr>
        <w:t> </w:t>
      </w:r>
      <w:r>
        <w:rPr>
          <w:sz w:val="18"/>
        </w:rPr>
        <w:t>alliances</w:t>
      </w:r>
      <w:r>
        <w:rPr>
          <w:spacing w:val="-3"/>
          <w:sz w:val="18"/>
        </w:rPr>
        <w:t> </w:t>
      </w:r>
      <w:r>
        <w:rPr>
          <w:sz w:val="18"/>
        </w:rPr>
        <w:t>predicts</w:t>
      </w:r>
      <w:r>
        <w:rPr>
          <w:spacing w:val="-3"/>
          <w:sz w:val="18"/>
        </w:rPr>
        <w:t> </w:t>
      </w:r>
      <w:r>
        <w:rPr>
          <w:sz w:val="18"/>
        </w:rPr>
        <w:t>youth’s</w:t>
      </w:r>
      <w:r>
        <w:rPr>
          <w:spacing w:val="-3"/>
          <w:sz w:val="18"/>
        </w:rPr>
        <w:t> </w:t>
      </w:r>
      <w:r>
        <w:rPr>
          <w:sz w:val="18"/>
        </w:rPr>
        <w:t>positive</w:t>
      </w:r>
      <w:r>
        <w:rPr>
          <w:spacing w:val="-3"/>
          <w:sz w:val="18"/>
        </w:rPr>
        <w:t> </w:t>
      </w:r>
      <w:r>
        <w:rPr>
          <w:sz w:val="18"/>
        </w:rPr>
        <w:t>and</w:t>
      </w:r>
      <w:r>
        <w:rPr>
          <w:spacing w:val="-4"/>
          <w:sz w:val="18"/>
        </w:rPr>
        <w:t> </w:t>
      </w:r>
      <w:r>
        <w:rPr>
          <w:sz w:val="18"/>
        </w:rPr>
        <w:t>negative</w:t>
      </w:r>
      <w:r>
        <w:rPr>
          <w:spacing w:val="-3"/>
          <w:sz w:val="18"/>
        </w:rPr>
        <w:t> </w:t>
      </w:r>
      <w:r>
        <w:rPr>
          <w:sz w:val="18"/>
        </w:rPr>
        <w:t>affect:</w:t>
      </w:r>
      <w:r>
        <w:rPr>
          <w:spacing w:val="-3"/>
          <w:sz w:val="18"/>
        </w:rPr>
        <w:t> </w:t>
      </w:r>
      <w:r>
        <w:rPr>
          <w:sz w:val="18"/>
        </w:rPr>
        <w:t>An</w:t>
      </w:r>
      <w:r>
        <w:rPr>
          <w:spacing w:val="-3"/>
          <w:sz w:val="18"/>
        </w:rPr>
        <w:t> </w:t>
      </w:r>
      <w:r>
        <w:rPr>
          <w:sz w:val="18"/>
        </w:rPr>
        <w:t>8-week</w:t>
      </w:r>
      <w:r>
        <w:rPr>
          <w:spacing w:val="-4"/>
          <w:sz w:val="18"/>
        </w:rPr>
        <w:t> </w:t>
      </w:r>
      <w:r>
        <w:rPr>
          <w:sz w:val="18"/>
        </w:rPr>
        <w:t>weekly</w:t>
      </w:r>
      <w:r>
        <w:rPr>
          <w:spacing w:val="-3"/>
          <w:sz w:val="18"/>
        </w:rPr>
        <w:t> </w:t>
      </w:r>
      <w:r>
        <w:rPr>
          <w:sz w:val="18"/>
        </w:rPr>
        <w:t>diary study. </w:t>
      </w:r>
      <w:r>
        <w:rPr>
          <w:i/>
          <w:sz w:val="18"/>
        </w:rPr>
        <w:t>Journal of Youth and Adolescence, 52</w:t>
      </w:r>
      <w:r>
        <w:rPr>
          <w:sz w:val="18"/>
        </w:rPr>
        <w:t>, 1-14. https://doi.org/10.1007/s10964-022-01692-4</w:t>
      </w:r>
    </w:p>
    <w:p>
      <w:pPr>
        <w:spacing w:before="0"/>
        <w:ind w:left="463" w:right="565" w:firstLine="0"/>
        <w:jc w:val="left"/>
        <w:rPr>
          <w:sz w:val="18"/>
        </w:rPr>
      </w:pPr>
      <w:bookmarkStart w:name="_bookmark65" w:id="175"/>
      <w:bookmarkEnd w:id="175"/>
      <w:r>
        <w:rPr/>
      </w:r>
      <w:r>
        <w:rPr>
          <w:sz w:val="18"/>
          <w:vertAlign w:val="superscript"/>
        </w:rPr>
        <w:t>26</w:t>
      </w:r>
      <w:r>
        <w:rPr>
          <w:spacing w:val="-2"/>
          <w:sz w:val="18"/>
          <w:vertAlign w:val="baseline"/>
        </w:rPr>
        <w:t> </w:t>
      </w:r>
      <w:r>
        <w:rPr>
          <w:sz w:val="18"/>
          <w:vertAlign w:val="baseline"/>
        </w:rPr>
        <w:t>Poteat,</w:t>
      </w:r>
      <w:r>
        <w:rPr>
          <w:spacing w:val="-3"/>
          <w:sz w:val="18"/>
          <w:vertAlign w:val="baseline"/>
        </w:rPr>
        <w:t> </w:t>
      </w:r>
      <w:r>
        <w:rPr>
          <w:sz w:val="18"/>
          <w:vertAlign w:val="baseline"/>
        </w:rPr>
        <w:t>V.</w:t>
      </w:r>
      <w:r>
        <w:rPr>
          <w:spacing w:val="-2"/>
          <w:sz w:val="18"/>
          <w:vertAlign w:val="baseline"/>
        </w:rPr>
        <w:t> </w:t>
      </w:r>
      <w:r>
        <w:rPr>
          <w:sz w:val="18"/>
          <w:vertAlign w:val="baseline"/>
        </w:rPr>
        <w:t>P.,</w:t>
      </w:r>
      <w:r>
        <w:rPr>
          <w:spacing w:val="-3"/>
          <w:sz w:val="18"/>
          <w:vertAlign w:val="baseline"/>
        </w:rPr>
        <w:t> </w:t>
      </w:r>
      <w:r>
        <w:rPr>
          <w:sz w:val="18"/>
          <w:vertAlign w:val="baseline"/>
        </w:rPr>
        <w:t>O’Brien,</w:t>
      </w:r>
      <w:r>
        <w:rPr>
          <w:spacing w:val="-3"/>
          <w:sz w:val="18"/>
          <w:vertAlign w:val="baseline"/>
        </w:rPr>
        <w:t> </w:t>
      </w:r>
      <w:r>
        <w:rPr>
          <w:sz w:val="18"/>
          <w:vertAlign w:val="baseline"/>
        </w:rPr>
        <w:t>M.</w:t>
      </w:r>
      <w:r>
        <w:rPr>
          <w:spacing w:val="-2"/>
          <w:sz w:val="18"/>
          <w:vertAlign w:val="baseline"/>
        </w:rPr>
        <w:t> </w:t>
      </w:r>
      <w:r>
        <w:rPr>
          <w:sz w:val="18"/>
          <w:vertAlign w:val="baseline"/>
        </w:rPr>
        <w:t>D.,</w:t>
      </w:r>
      <w:r>
        <w:rPr>
          <w:spacing w:val="-3"/>
          <w:sz w:val="18"/>
          <w:vertAlign w:val="baseline"/>
        </w:rPr>
        <w:t> </w:t>
      </w:r>
      <w:r>
        <w:rPr>
          <w:sz w:val="18"/>
          <w:vertAlign w:val="baseline"/>
        </w:rPr>
        <w:t>Yang,</w:t>
      </w:r>
      <w:r>
        <w:rPr>
          <w:spacing w:val="-3"/>
          <w:sz w:val="18"/>
          <w:vertAlign w:val="baseline"/>
        </w:rPr>
        <w:t> </w:t>
      </w:r>
      <w:r>
        <w:rPr>
          <w:sz w:val="18"/>
          <w:vertAlign w:val="baseline"/>
        </w:rPr>
        <w:t>M.</w:t>
      </w:r>
      <w:r>
        <w:rPr>
          <w:spacing w:val="-2"/>
          <w:sz w:val="18"/>
          <w:vertAlign w:val="baseline"/>
        </w:rPr>
        <w:t> </w:t>
      </w:r>
      <w:r>
        <w:rPr>
          <w:sz w:val="18"/>
          <w:vertAlign w:val="baseline"/>
        </w:rPr>
        <w:t>K.,</w:t>
      </w:r>
      <w:r>
        <w:rPr>
          <w:spacing w:val="-3"/>
          <w:sz w:val="18"/>
          <w:vertAlign w:val="baseline"/>
        </w:rPr>
        <w:t> </w:t>
      </w:r>
      <w:r>
        <w:rPr>
          <w:sz w:val="18"/>
          <w:vertAlign w:val="baseline"/>
        </w:rPr>
        <w:t>Rosenbach,</w:t>
      </w:r>
      <w:r>
        <w:rPr>
          <w:spacing w:val="-3"/>
          <w:sz w:val="18"/>
          <w:vertAlign w:val="baseline"/>
        </w:rPr>
        <w:t> </w:t>
      </w:r>
      <w:r>
        <w:rPr>
          <w:sz w:val="18"/>
          <w:vertAlign w:val="baseline"/>
        </w:rPr>
        <w:t>S.</w:t>
      </w:r>
      <w:r>
        <w:rPr>
          <w:spacing w:val="-2"/>
          <w:sz w:val="18"/>
          <w:vertAlign w:val="baseline"/>
        </w:rPr>
        <w:t> </w:t>
      </w:r>
      <w:r>
        <w:rPr>
          <w:sz w:val="18"/>
          <w:vertAlign w:val="baseline"/>
        </w:rPr>
        <w:t>B.,</w:t>
      </w:r>
      <w:r>
        <w:rPr>
          <w:spacing w:val="-3"/>
          <w:sz w:val="18"/>
          <w:vertAlign w:val="baseline"/>
        </w:rPr>
        <w:t> </w:t>
      </w:r>
      <w:r>
        <w:rPr>
          <w:sz w:val="18"/>
          <w:vertAlign w:val="baseline"/>
        </w:rPr>
        <w:t>&amp;</w:t>
      </w:r>
      <w:r>
        <w:rPr>
          <w:spacing w:val="-3"/>
          <w:sz w:val="18"/>
          <w:vertAlign w:val="baseline"/>
        </w:rPr>
        <w:t> </w:t>
      </w:r>
      <w:r>
        <w:rPr>
          <w:sz w:val="18"/>
          <w:vertAlign w:val="baseline"/>
        </w:rPr>
        <w:t>Lipkin,</w:t>
      </w:r>
      <w:r>
        <w:rPr>
          <w:spacing w:val="-3"/>
          <w:sz w:val="18"/>
          <w:vertAlign w:val="baseline"/>
        </w:rPr>
        <w:t> </w:t>
      </w:r>
      <w:r>
        <w:rPr>
          <w:sz w:val="18"/>
          <w:vertAlign w:val="baseline"/>
        </w:rPr>
        <w:t>A.</w:t>
      </w:r>
      <w:r>
        <w:rPr>
          <w:spacing w:val="-2"/>
          <w:sz w:val="18"/>
          <w:vertAlign w:val="baseline"/>
        </w:rPr>
        <w:t> </w:t>
      </w:r>
      <w:r>
        <w:rPr>
          <w:sz w:val="18"/>
          <w:vertAlign w:val="baseline"/>
        </w:rPr>
        <w:t>(2022).</w:t>
      </w:r>
      <w:r>
        <w:rPr>
          <w:spacing w:val="-2"/>
          <w:sz w:val="18"/>
          <w:vertAlign w:val="baseline"/>
        </w:rPr>
        <w:t> </w:t>
      </w:r>
      <w:r>
        <w:rPr>
          <w:sz w:val="18"/>
          <w:vertAlign w:val="baseline"/>
        </w:rPr>
        <w:t>Youth</w:t>
      </w:r>
      <w:r>
        <w:rPr>
          <w:spacing w:val="-2"/>
          <w:sz w:val="18"/>
          <w:vertAlign w:val="baseline"/>
        </w:rPr>
        <w:t> </w:t>
      </w:r>
      <w:r>
        <w:rPr>
          <w:sz w:val="18"/>
          <w:vertAlign w:val="baseline"/>
        </w:rPr>
        <w:t>advocacy</w:t>
      </w:r>
      <w:r>
        <w:rPr>
          <w:spacing w:val="-2"/>
          <w:sz w:val="18"/>
          <w:vertAlign w:val="baseline"/>
        </w:rPr>
        <w:t> </w:t>
      </w:r>
      <w:r>
        <w:rPr>
          <w:sz w:val="18"/>
          <w:vertAlign w:val="baseline"/>
        </w:rPr>
        <w:t>varies</w:t>
      </w:r>
      <w:r>
        <w:rPr>
          <w:spacing w:val="-2"/>
          <w:sz w:val="18"/>
          <w:vertAlign w:val="baseline"/>
        </w:rPr>
        <w:t> </w:t>
      </w:r>
      <w:r>
        <w:rPr>
          <w:sz w:val="18"/>
          <w:vertAlign w:val="baseline"/>
        </w:rPr>
        <w:t>in</w:t>
      </w:r>
      <w:r>
        <w:rPr>
          <w:spacing w:val="-2"/>
          <w:sz w:val="18"/>
          <w:vertAlign w:val="baseline"/>
        </w:rPr>
        <w:t> </w:t>
      </w:r>
      <w:r>
        <w:rPr>
          <w:sz w:val="18"/>
          <w:vertAlign w:val="baseline"/>
        </w:rPr>
        <w:t>relation</w:t>
      </w:r>
      <w:r>
        <w:rPr>
          <w:spacing w:val="-2"/>
          <w:sz w:val="18"/>
          <w:vertAlign w:val="baseline"/>
        </w:rPr>
        <w:t> </w:t>
      </w:r>
      <w:r>
        <w:rPr>
          <w:sz w:val="18"/>
          <w:vertAlign w:val="baseline"/>
        </w:rPr>
        <w:t>to</w:t>
      </w:r>
      <w:r>
        <w:rPr>
          <w:spacing w:val="-2"/>
          <w:sz w:val="18"/>
          <w:vertAlign w:val="baseline"/>
        </w:rPr>
        <w:t> </w:t>
      </w:r>
      <w:r>
        <w:rPr>
          <w:sz w:val="18"/>
          <w:vertAlign w:val="baseline"/>
        </w:rPr>
        <w:t>adult advisor characteristics and practices in gender-sexuality alliances. </w:t>
      </w:r>
      <w:r>
        <w:rPr>
          <w:i/>
          <w:sz w:val="18"/>
          <w:vertAlign w:val="baseline"/>
        </w:rPr>
        <w:t>Applied Developmental Science, 26</w:t>
      </w:r>
      <w:r>
        <w:rPr>
          <w:sz w:val="18"/>
          <w:vertAlign w:val="baseline"/>
        </w:rPr>
        <w:t>(3), 460-470. </w:t>
      </w:r>
      <w:r>
        <w:rPr>
          <w:spacing w:val="-2"/>
          <w:sz w:val="18"/>
          <w:vertAlign w:val="baseline"/>
        </w:rPr>
        <w:t>https://doi.org/10.1080/10888691.2020.1861945</w:t>
      </w:r>
    </w:p>
    <w:p>
      <w:pPr>
        <w:spacing w:after="0"/>
        <w:jc w:val="left"/>
        <w:rPr>
          <w:sz w:val="18"/>
        </w:rPr>
        <w:sectPr>
          <w:pgSz w:w="12240" w:h="15840"/>
          <w:pgMar w:header="763" w:footer="1041" w:top="1140" w:bottom="1240" w:left="1120" w:right="1180"/>
        </w:sectPr>
      </w:pPr>
    </w:p>
    <w:p>
      <w:pPr>
        <w:pStyle w:val="BodyText"/>
        <w:spacing w:before="92"/>
        <w:rPr>
          <w:sz w:val="18"/>
        </w:rPr>
      </w:pPr>
    </w:p>
    <w:p>
      <w:pPr>
        <w:spacing w:before="0"/>
        <w:ind w:left="464" w:right="538" w:firstLine="0"/>
        <w:jc w:val="both"/>
        <w:rPr>
          <w:sz w:val="18"/>
        </w:rPr>
      </w:pPr>
      <w:bookmarkStart w:name="_bookmark66" w:id="176"/>
      <w:bookmarkEnd w:id="176"/>
      <w:r>
        <w:rPr/>
      </w:r>
      <w:r>
        <w:rPr>
          <w:sz w:val="18"/>
          <w:vertAlign w:val="superscript"/>
        </w:rPr>
        <w:t>27</w:t>
      </w:r>
      <w:r>
        <w:rPr>
          <w:spacing w:val="-2"/>
          <w:sz w:val="18"/>
          <w:vertAlign w:val="baseline"/>
        </w:rPr>
        <w:t> </w:t>
      </w:r>
      <w:r>
        <w:rPr>
          <w:sz w:val="18"/>
          <w:vertAlign w:val="baseline"/>
        </w:rPr>
        <w:t>Lee,</w:t>
      </w:r>
      <w:r>
        <w:rPr>
          <w:spacing w:val="-3"/>
          <w:sz w:val="18"/>
          <w:vertAlign w:val="baseline"/>
        </w:rPr>
        <w:t> </w:t>
      </w:r>
      <w:r>
        <w:rPr>
          <w:sz w:val="18"/>
          <w:vertAlign w:val="baseline"/>
        </w:rPr>
        <w:t>J.,</w:t>
      </w:r>
      <w:r>
        <w:rPr>
          <w:spacing w:val="-3"/>
          <w:sz w:val="18"/>
          <w:vertAlign w:val="baseline"/>
        </w:rPr>
        <w:t> </w:t>
      </w:r>
      <w:r>
        <w:rPr>
          <w:sz w:val="18"/>
          <w:vertAlign w:val="baseline"/>
        </w:rPr>
        <w:t>Hayes,</w:t>
      </w:r>
      <w:r>
        <w:rPr>
          <w:spacing w:val="-3"/>
          <w:sz w:val="18"/>
          <w:vertAlign w:val="baseline"/>
        </w:rPr>
        <w:t> </w:t>
      </w:r>
      <w:r>
        <w:rPr>
          <w:sz w:val="18"/>
          <w:vertAlign w:val="baseline"/>
        </w:rPr>
        <w:t>E.,</w:t>
      </w:r>
      <w:r>
        <w:rPr>
          <w:spacing w:val="-3"/>
          <w:sz w:val="18"/>
          <w:vertAlign w:val="baseline"/>
        </w:rPr>
        <w:t> </w:t>
      </w:r>
      <w:r>
        <w:rPr>
          <w:sz w:val="18"/>
          <w:vertAlign w:val="baseline"/>
        </w:rPr>
        <w:t>&amp;</w:t>
      </w:r>
      <w:r>
        <w:rPr>
          <w:spacing w:val="-3"/>
          <w:sz w:val="18"/>
          <w:vertAlign w:val="baseline"/>
        </w:rPr>
        <w:t> </w:t>
      </w:r>
      <w:r>
        <w:rPr>
          <w:sz w:val="18"/>
          <w:vertAlign w:val="baseline"/>
        </w:rPr>
        <w:t>Wyatt,</w:t>
      </w:r>
      <w:r>
        <w:rPr>
          <w:spacing w:val="-3"/>
          <w:sz w:val="18"/>
          <w:vertAlign w:val="baseline"/>
        </w:rPr>
        <w:t> </w:t>
      </w:r>
      <w:r>
        <w:rPr>
          <w:sz w:val="18"/>
          <w:vertAlign w:val="baseline"/>
        </w:rPr>
        <w:t>A.</w:t>
      </w:r>
      <w:r>
        <w:rPr>
          <w:spacing w:val="-2"/>
          <w:sz w:val="18"/>
          <w:vertAlign w:val="baseline"/>
        </w:rPr>
        <w:t> </w:t>
      </w:r>
      <w:r>
        <w:rPr>
          <w:sz w:val="18"/>
          <w:vertAlign w:val="baseline"/>
        </w:rPr>
        <w:t>(2023).</w:t>
      </w:r>
      <w:r>
        <w:rPr>
          <w:spacing w:val="-2"/>
          <w:sz w:val="18"/>
          <w:vertAlign w:val="baseline"/>
        </w:rPr>
        <w:t> </w:t>
      </w:r>
      <w:r>
        <w:rPr>
          <w:sz w:val="18"/>
          <w:vertAlign w:val="baseline"/>
        </w:rPr>
        <w:t>Prevalence</w:t>
      </w:r>
      <w:r>
        <w:rPr>
          <w:spacing w:val="-3"/>
          <w:sz w:val="18"/>
          <w:vertAlign w:val="baseline"/>
        </w:rPr>
        <w:t> </w:t>
      </w:r>
      <w:r>
        <w:rPr>
          <w:sz w:val="18"/>
          <w:vertAlign w:val="baseline"/>
        </w:rPr>
        <w:t>of</w:t>
      </w:r>
      <w:r>
        <w:rPr>
          <w:spacing w:val="-2"/>
          <w:sz w:val="18"/>
          <w:vertAlign w:val="baseline"/>
        </w:rPr>
        <w:t> </w:t>
      </w:r>
      <w:r>
        <w:rPr>
          <w:sz w:val="18"/>
          <w:vertAlign w:val="baseline"/>
        </w:rPr>
        <w:t>substance</w:t>
      </w:r>
      <w:r>
        <w:rPr>
          <w:spacing w:val="-3"/>
          <w:sz w:val="18"/>
          <w:vertAlign w:val="baseline"/>
        </w:rPr>
        <w:t> </w:t>
      </w:r>
      <w:r>
        <w:rPr>
          <w:sz w:val="18"/>
          <w:vertAlign w:val="baseline"/>
        </w:rPr>
        <w:t>use</w:t>
      </w:r>
      <w:r>
        <w:rPr>
          <w:spacing w:val="-2"/>
          <w:sz w:val="18"/>
          <w:vertAlign w:val="baseline"/>
        </w:rPr>
        <w:t> </w:t>
      </w:r>
      <w:r>
        <w:rPr>
          <w:sz w:val="18"/>
          <w:vertAlign w:val="baseline"/>
        </w:rPr>
        <w:t>among</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and</w:t>
      </w:r>
      <w:r>
        <w:rPr>
          <w:spacing w:val="-2"/>
          <w:sz w:val="18"/>
          <w:vertAlign w:val="baseline"/>
        </w:rPr>
        <w:t> </w:t>
      </w:r>
      <w:r>
        <w:rPr>
          <w:sz w:val="18"/>
          <w:vertAlign w:val="baseline"/>
        </w:rPr>
        <w:t>bisexual</w:t>
      </w:r>
      <w:r>
        <w:rPr>
          <w:spacing w:val="-3"/>
          <w:sz w:val="18"/>
          <w:vertAlign w:val="baseline"/>
        </w:rPr>
        <w:t> </w:t>
      </w:r>
      <w:r>
        <w:rPr>
          <w:sz w:val="18"/>
          <w:vertAlign w:val="baseline"/>
        </w:rPr>
        <w:t>high</w:t>
      </w:r>
      <w:r>
        <w:rPr>
          <w:spacing w:val="-2"/>
          <w:sz w:val="18"/>
          <w:vertAlign w:val="baseline"/>
        </w:rPr>
        <w:t> </w:t>
      </w:r>
      <w:r>
        <w:rPr>
          <w:sz w:val="18"/>
          <w:vertAlign w:val="baseline"/>
        </w:rPr>
        <w:t>school</w:t>
      </w:r>
      <w:r>
        <w:rPr>
          <w:spacing w:val="-3"/>
          <w:sz w:val="18"/>
          <w:vertAlign w:val="baseline"/>
        </w:rPr>
        <w:t> </w:t>
      </w:r>
      <w:r>
        <w:rPr>
          <w:sz w:val="18"/>
          <w:vertAlign w:val="baseline"/>
        </w:rPr>
        <w:t>students in 2019 vs 2021. </w:t>
      </w:r>
      <w:r>
        <w:rPr>
          <w:i/>
          <w:sz w:val="18"/>
          <w:vertAlign w:val="baseline"/>
        </w:rPr>
        <w:t>Nursing and Health Science Research Journal, 6</w:t>
      </w:r>
      <w:r>
        <w:rPr>
          <w:sz w:val="18"/>
          <w:vertAlign w:val="baseline"/>
        </w:rPr>
        <w:t>(1), 80-88.</w:t>
      </w:r>
    </w:p>
    <w:p>
      <w:pPr>
        <w:spacing w:before="0"/>
        <w:ind w:left="463" w:right="765" w:firstLine="0"/>
        <w:jc w:val="both"/>
        <w:rPr>
          <w:sz w:val="18"/>
        </w:rPr>
      </w:pPr>
      <w:bookmarkStart w:name="_bookmark67" w:id="177"/>
      <w:bookmarkEnd w:id="177"/>
      <w:r>
        <w:rPr/>
      </w:r>
      <w:r>
        <w:rPr>
          <w:sz w:val="18"/>
          <w:vertAlign w:val="superscript"/>
        </w:rPr>
        <w:t>28</w:t>
      </w:r>
      <w:r>
        <w:rPr>
          <w:spacing w:val="-1"/>
          <w:sz w:val="18"/>
          <w:vertAlign w:val="baseline"/>
        </w:rPr>
        <w:t> </w:t>
      </w:r>
      <w:r>
        <w:rPr>
          <w:sz w:val="18"/>
          <w:vertAlign w:val="baseline"/>
        </w:rPr>
        <w:t>Fish,</w:t>
      </w:r>
      <w:r>
        <w:rPr>
          <w:spacing w:val="-2"/>
          <w:sz w:val="18"/>
          <w:vertAlign w:val="baseline"/>
        </w:rPr>
        <w:t> </w:t>
      </w:r>
      <w:r>
        <w:rPr>
          <w:sz w:val="18"/>
          <w:vertAlign w:val="baseline"/>
        </w:rPr>
        <w:t>J.</w:t>
      </w:r>
      <w:r>
        <w:rPr>
          <w:spacing w:val="-1"/>
          <w:sz w:val="18"/>
          <w:vertAlign w:val="baseline"/>
        </w:rPr>
        <w:t> </w:t>
      </w:r>
      <w:r>
        <w:rPr>
          <w:sz w:val="18"/>
          <w:vertAlign w:val="baseline"/>
        </w:rPr>
        <w:t>N.,</w:t>
      </w:r>
      <w:r>
        <w:rPr>
          <w:spacing w:val="-2"/>
          <w:sz w:val="18"/>
          <w:vertAlign w:val="baseline"/>
        </w:rPr>
        <w:t> </w:t>
      </w:r>
      <w:r>
        <w:rPr>
          <w:sz w:val="18"/>
          <w:vertAlign w:val="baseline"/>
        </w:rPr>
        <w:t>McInroy,</w:t>
      </w:r>
      <w:r>
        <w:rPr>
          <w:spacing w:val="-2"/>
          <w:sz w:val="18"/>
          <w:vertAlign w:val="baseline"/>
        </w:rPr>
        <w:t> </w:t>
      </w:r>
      <w:r>
        <w:rPr>
          <w:sz w:val="18"/>
          <w:vertAlign w:val="baseline"/>
        </w:rPr>
        <w:t>L.</w:t>
      </w:r>
      <w:r>
        <w:rPr>
          <w:spacing w:val="-1"/>
          <w:sz w:val="18"/>
          <w:vertAlign w:val="baseline"/>
        </w:rPr>
        <w:t> </w:t>
      </w:r>
      <w:r>
        <w:rPr>
          <w:sz w:val="18"/>
          <w:vertAlign w:val="baseline"/>
        </w:rPr>
        <w:t>B.,</w:t>
      </w:r>
      <w:r>
        <w:rPr>
          <w:spacing w:val="-2"/>
          <w:sz w:val="18"/>
          <w:vertAlign w:val="baseline"/>
        </w:rPr>
        <w:t> </w:t>
      </w:r>
      <w:r>
        <w:rPr>
          <w:sz w:val="18"/>
          <w:vertAlign w:val="baseline"/>
        </w:rPr>
        <w:t>Paceley,</w:t>
      </w:r>
      <w:r>
        <w:rPr>
          <w:spacing w:val="-2"/>
          <w:sz w:val="18"/>
          <w:vertAlign w:val="baseline"/>
        </w:rPr>
        <w:t> </w:t>
      </w:r>
      <w:r>
        <w:rPr>
          <w:sz w:val="18"/>
          <w:vertAlign w:val="baseline"/>
        </w:rPr>
        <w:t>M.</w:t>
      </w:r>
      <w:r>
        <w:rPr>
          <w:spacing w:val="-1"/>
          <w:sz w:val="18"/>
          <w:vertAlign w:val="baseline"/>
        </w:rPr>
        <w:t> </w:t>
      </w:r>
      <w:r>
        <w:rPr>
          <w:sz w:val="18"/>
          <w:vertAlign w:val="baseline"/>
        </w:rPr>
        <w:t>S.,</w:t>
      </w:r>
      <w:r>
        <w:rPr>
          <w:spacing w:val="-2"/>
          <w:sz w:val="18"/>
          <w:vertAlign w:val="baseline"/>
        </w:rPr>
        <w:t> </w:t>
      </w:r>
      <w:r>
        <w:rPr>
          <w:sz w:val="18"/>
          <w:vertAlign w:val="baseline"/>
        </w:rPr>
        <w:t>Williams,</w:t>
      </w:r>
      <w:r>
        <w:rPr>
          <w:spacing w:val="-2"/>
          <w:sz w:val="18"/>
          <w:vertAlign w:val="baseline"/>
        </w:rPr>
        <w:t> </w:t>
      </w:r>
      <w:r>
        <w:rPr>
          <w:sz w:val="18"/>
          <w:vertAlign w:val="baseline"/>
        </w:rPr>
        <w:t>N.</w:t>
      </w:r>
      <w:r>
        <w:rPr>
          <w:spacing w:val="-1"/>
          <w:sz w:val="18"/>
          <w:vertAlign w:val="baseline"/>
        </w:rPr>
        <w:t> </w:t>
      </w:r>
      <w:r>
        <w:rPr>
          <w:sz w:val="18"/>
          <w:vertAlign w:val="baseline"/>
        </w:rPr>
        <w:t>D.,</w:t>
      </w:r>
      <w:r>
        <w:rPr>
          <w:spacing w:val="-2"/>
          <w:sz w:val="18"/>
          <w:vertAlign w:val="baseline"/>
        </w:rPr>
        <w:t> </w:t>
      </w:r>
      <w:r>
        <w:rPr>
          <w:sz w:val="18"/>
          <w:vertAlign w:val="baseline"/>
        </w:rPr>
        <w:t>Henderson,</w:t>
      </w:r>
      <w:r>
        <w:rPr>
          <w:spacing w:val="-2"/>
          <w:sz w:val="18"/>
          <w:vertAlign w:val="baseline"/>
        </w:rPr>
        <w:t> </w:t>
      </w:r>
      <w:r>
        <w:rPr>
          <w:sz w:val="18"/>
          <w:vertAlign w:val="baseline"/>
        </w:rPr>
        <w:t>S.,</w:t>
      </w:r>
      <w:r>
        <w:rPr>
          <w:spacing w:val="-2"/>
          <w:sz w:val="18"/>
          <w:vertAlign w:val="baseline"/>
        </w:rPr>
        <w:t> </w:t>
      </w:r>
      <w:r>
        <w:rPr>
          <w:sz w:val="18"/>
          <w:vertAlign w:val="baseline"/>
        </w:rPr>
        <w:t>Levine,</w:t>
      </w:r>
      <w:r>
        <w:rPr>
          <w:spacing w:val="-2"/>
          <w:sz w:val="18"/>
          <w:vertAlign w:val="baseline"/>
        </w:rPr>
        <w:t> </w:t>
      </w:r>
      <w:r>
        <w:rPr>
          <w:sz w:val="18"/>
          <w:vertAlign w:val="baseline"/>
        </w:rPr>
        <w:t>D.</w:t>
      </w:r>
      <w:r>
        <w:rPr>
          <w:spacing w:val="-1"/>
          <w:sz w:val="18"/>
          <w:vertAlign w:val="baseline"/>
        </w:rPr>
        <w:t> </w:t>
      </w:r>
      <w:r>
        <w:rPr>
          <w:sz w:val="18"/>
          <w:vertAlign w:val="baseline"/>
        </w:rPr>
        <w:t>S.,</w:t>
      </w:r>
      <w:r>
        <w:rPr>
          <w:spacing w:val="-2"/>
          <w:sz w:val="18"/>
          <w:vertAlign w:val="baseline"/>
        </w:rPr>
        <w:t> </w:t>
      </w:r>
      <w:r>
        <w:rPr>
          <w:sz w:val="18"/>
          <w:vertAlign w:val="baseline"/>
        </w:rPr>
        <w:t>&amp;</w:t>
      </w:r>
      <w:r>
        <w:rPr>
          <w:spacing w:val="-2"/>
          <w:sz w:val="18"/>
          <w:vertAlign w:val="baseline"/>
        </w:rPr>
        <w:t> </w:t>
      </w:r>
      <w:r>
        <w:rPr>
          <w:sz w:val="18"/>
          <w:vertAlign w:val="baseline"/>
        </w:rPr>
        <w:t>Edsall,</w:t>
      </w:r>
      <w:r>
        <w:rPr>
          <w:spacing w:val="-2"/>
          <w:sz w:val="18"/>
          <w:vertAlign w:val="baseline"/>
        </w:rPr>
        <w:t> </w:t>
      </w:r>
      <w:r>
        <w:rPr>
          <w:sz w:val="18"/>
          <w:vertAlign w:val="baseline"/>
        </w:rPr>
        <w:t>R.</w:t>
      </w:r>
      <w:r>
        <w:rPr>
          <w:spacing w:val="-1"/>
          <w:sz w:val="18"/>
          <w:vertAlign w:val="baseline"/>
        </w:rPr>
        <w:t> </w:t>
      </w:r>
      <w:r>
        <w:rPr>
          <w:sz w:val="18"/>
          <w:vertAlign w:val="baseline"/>
        </w:rPr>
        <w:t>N.</w:t>
      </w:r>
      <w:r>
        <w:rPr>
          <w:spacing w:val="-1"/>
          <w:sz w:val="18"/>
          <w:vertAlign w:val="baseline"/>
        </w:rPr>
        <w:t> </w:t>
      </w:r>
      <w:r>
        <w:rPr>
          <w:sz w:val="18"/>
          <w:vertAlign w:val="baseline"/>
        </w:rPr>
        <w:t>(2020).</w:t>
      </w:r>
      <w:r>
        <w:rPr>
          <w:spacing w:val="-2"/>
          <w:sz w:val="18"/>
          <w:vertAlign w:val="baseline"/>
        </w:rPr>
        <w:t> </w:t>
      </w:r>
      <w:r>
        <w:rPr>
          <w:sz w:val="18"/>
          <w:vertAlign w:val="baseline"/>
        </w:rPr>
        <w:t>“I’m</w:t>
      </w:r>
      <w:r>
        <w:rPr>
          <w:spacing w:val="-1"/>
          <w:sz w:val="18"/>
          <w:vertAlign w:val="baseline"/>
        </w:rPr>
        <w:t> </w:t>
      </w:r>
      <w:r>
        <w:rPr>
          <w:sz w:val="18"/>
          <w:vertAlign w:val="baseline"/>
        </w:rPr>
        <w:t>kinda stuck</w:t>
      </w:r>
      <w:r>
        <w:rPr>
          <w:spacing w:val="-3"/>
          <w:sz w:val="18"/>
          <w:vertAlign w:val="baseline"/>
        </w:rPr>
        <w:t> </w:t>
      </w:r>
      <w:r>
        <w:rPr>
          <w:sz w:val="18"/>
          <w:vertAlign w:val="baseline"/>
        </w:rPr>
        <w:t>at</w:t>
      </w:r>
      <w:r>
        <w:rPr>
          <w:spacing w:val="-3"/>
          <w:sz w:val="18"/>
          <w:vertAlign w:val="baseline"/>
        </w:rPr>
        <w:t> </w:t>
      </w:r>
      <w:r>
        <w:rPr>
          <w:sz w:val="18"/>
          <w:vertAlign w:val="baseline"/>
        </w:rPr>
        <w:t>home</w:t>
      </w:r>
      <w:r>
        <w:rPr>
          <w:spacing w:val="-2"/>
          <w:sz w:val="18"/>
          <w:vertAlign w:val="baseline"/>
        </w:rPr>
        <w:t> </w:t>
      </w:r>
      <w:r>
        <w:rPr>
          <w:sz w:val="18"/>
          <w:vertAlign w:val="baseline"/>
        </w:rPr>
        <w:t>with</w:t>
      </w:r>
      <w:r>
        <w:rPr>
          <w:spacing w:val="-2"/>
          <w:sz w:val="18"/>
          <w:vertAlign w:val="baseline"/>
        </w:rPr>
        <w:t> </w:t>
      </w:r>
      <w:r>
        <w:rPr>
          <w:sz w:val="18"/>
          <w:vertAlign w:val="baseline"/>
        </w:rPr>
        <w:t>unsupportive</w:t>
      </w:r>
      <w:r>
        <w:rPr>
          <w:spacing w:val="-2"/>
          <w:sz w:val="18"/>
          <w:vertAlign w:val="baseline"/>
        </w:rPr>
        <w:t> </w:t>
      </w:r>
      <w:r>
        <w:rPr>
          <w:sz w:val="18"/>
          <w:vertAlign w:val="baseline"/>
        </w:rPr>
        <w:t>parents</w:t>
      </w:r>
      <w:r>
        <w:rPr>
          <w:spacing w:val="-2"/>
          <w:sz w:val="18"/>
          <w:vertAlign w:val="baseline"/>
        </w:rPr>
        <w:t> </w:t>
      </w:r>
      <w:r>
        <w:rPr>
          <w:sz w:val="18"/>
          <w:vertAlign w:val="baseline"/>
        </w:rPr>
        <w:t>right</w:t>
      </w:r>
      <w:r>
        <w:rPr>
          <w:spacing w:val="-3"/>
          <w:sz w:val="18"/>
          <w:vertAlign w:val="baseline"/>
        </w:rPr>
        <w:t> </w:t>
      </w:r>
      <w:r>
        <w:rPr>
          <w:sz w:val="18"/>
          <w:vertAlign w:val="baseline"/>
        </w:rPr>
        <w:t>now”:</w:t>
      </w:r>
      <w:r>
        <w:rPr>
          <w:spacing w:val="-2"/>
          <w:sz w:val="18"/>
          <w:vertAlign w:val="baseline"/>
        </w:rPr>
        <w:t> </w:t>
      </w:r>
      <w:r>
        <w:rPr>
          <w:sz w:val="18"/>
          <w:vertAlign w:val="baseline"/>
        </w:rPr>
        <w:t>LGBTQ</w:t>
      </w:r>
      <w:r>
        <w:rPr>
          <w:spacing w:val="-2"/>
          <w:sz w:val="18"/>
          <w:vertAlign w:val="baseline"/>
        </w:rPr>
        <w:t> </w:t>
      </w:r>
      <w:r>
        <w:rPr>
          <w:sz w:val="18"/>
          <w:vertAlign w:val="baseline"/>
        </w:rPr>
        <w:t>youths’</w:t>
      </w:r>
      <w:r>
        <w:rPr>
          <w:spacing w:val="-3"/>
          <w:sz w:val="18"/>
          <w:vertAlign w:val="baseline"/>
        </w:rPr>
        <w:t> </w:t>
      </w:r>
      <w:r>
        <w:rPr>
          <w:sz w:val="18"/>
          <w:vertAlign w:val="baseline"/>
        </w:rPr>
        <w:t>experiences</w:t>
      </w:r>
      <w:r>
        <w:rPr>
          <w:spacing w:val="-3"/>
          <w:sz w:val="18"/>
          <w:vertAlign w:val="baseline"/>
        </w:rPr>
        <w:t> </w:t>
      </w:r>
      <w:r>
        <w:rPr>
          <w:sz w:val="18"/>
          <w:vertAlign w:val="baseline"/>
        </w:rPr>
        <w:t>with</w:t>
      </w:r>
      <w:r>
        <w:rPr>
          <w:spacing w:val="-2"/>
          <w:sz w:val="18"/>
          <w:vertAlign w:val="baseline"/>
        </w:rPr>
        <w:t> </w:t>
      </w:r>
      <w:r>
        <w:rPr>
          <w:sz w:val="18"/>
          <w:vertAlign w:val="baseline"/>
        </w:rPr>
        <w:t>COVID-19</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2"/>
          <w:sz w:val="18"/>
          <w:vertAlign w:val="baseline"/>
        </w:rPr>
        <w:t> </w:t>
      </w:r>
      <w:r>
        <w:rPr>
          <w:sz w:val="18"/>
          <w:vertAlign w:val="baseline"/>
        </w:rPr>
        <w:t>importance</w:t>
      </w:r>
      <w:r>
        <w:rPr>
          <w:spacing w:val="-2"/>
          <w:sz w:val="18"/>
          <w:vertAlign w:val="baseline"/>
        </w:rPr>
        <w:t> </w:t>
      </w:r>
      <w:r>
        <w:rPr>
          <w:sz w:val="18"/>
          <w:vertAlign w:val="baseline"/>
        </w:rPr>
        <w:t>of online support. </w:t>
      </w:r>
      <w:r>
        <w:rPr>
          <w:i/>
          <w:sz w:val="18"/>
          <w:vertAlign w:val="baseline"/>
        </w:rPr>
        <w:t>Journal of Adolescent Health, 67, </w:t>
      </w:r>
      <w:r>
        <w:rPr>
          <w:sz w:val="18"/>
          <w:vertAlign w:val="baseline"/>
        </w:rPr>
        <w:t>450-452.</w:t>
      </w:r>
    </w:p>
    <w:p>
      <w:pPr>
        <w:spacing w:before="0"/>
        <w:ind w:left="464" w:right="682" w:hanging="1"/>
        <w:jc w:val="both"/>
        <w:rPr>
          <w:sz w:val="18"/>
        </w:rPr>
      </w:pPr>
      <w:bookmarkStart w:name="_bookmark68" w:id="178"/>
      <w:bookmarkEnd w:id="178"/>
      <w:r>
        <w:rPr/>
      </w:r>
      <w:r>
        <w:rPr>
          <w:sz w:val="18"/>
          <w:vertAlign w:val="superscript"/>
        </w:rPr>
        <w:t>29</w:t>
      </w:r>
      <w:r>
        <w:rPr>
          <w:spacing w:val="-2"/>
          <w:sz w:val="18"/>
          <w:vertAlign w:val="baseline"/>
        </w:rPr>
        <w:t> </w:t>
      </w:r>
      <w:r>
        <w:rPr>
          <w:sz w:val="18"/>
          <w:vertAlign w:val="baseline"/>
        </w:rPr>
        <w:t>Ormiston,</w:t>
      </w:r>
      <w:r>
        <w:rPr>
          <w:spacing w:val="-3"/>
          <w:sz w:val="18"/>
          <w:vertAlign w:val="baseline"/>
        </w:rPr>
        <w:t> </w:t>
      </w:r>
      <w:r>
        <w:rPr>
          <w:sz w:val="18"/>
          <w:vertAlign w:val="baseline"/>
        </w:rPr>
        <w:t>C.</w:t>
      </w:r>
      <w:r>
        <w:rPr>
          <w:spacing w:val="-2"/>
          <w:sz w:val="18"/>
          <w:vertAlign w:val="baseline"/>
        </w:rPr>
        <w:t> </w:t>
      </w:r>
      <w:r>
        <w:rPr>
          <w:sz w:val="18"/>
          <w:vertAlign w:val="baseline"/>
        </w:rPr>
        <w:t>K.,</w:t>
      </w:r>
      <w:r>
        <w:rPr>
          <w:spacing w:val="-2"/>
          <w:sz w:val="18"/>
          <w:vertAlign w:val="baseline"/>
        </w:rPr>
        <w:t> </w:t>
      </w:r>
      <w:r>
        <w:rPr>
          <w:sz w:val="18"/>
          <w:vertAlign w:val="baseline"/>
        </w:rPr>
        <w:t>&amp;</w:t>
      </w:r>
      <w:r>
        <w:rPr>
          <w:spacing w:val="-3"/>
          <w:sz w:val="18"/>
          <w:vertAlign w:val="baseline"/>
        </w:rPr>
        <w:t> </w:t>
      </w:r>
      <w:r>
        <w:rPr>
          <w:sz w:val="18"/>
          <w:vertAlign w:val="baseline"/>
        </w:rPr>
        <w:t>Williams,</w:t>
      </w:r>
      <w:r>
        <w:rPr>
          <w:spacing w:val="-3"/>
          <w:sz w:val="18"/>
          <w:vertAlign w:val="baseline"/>
        </w:rPr>
        <w:t> </w:t>
      </w:r>
      <w:r>
        <w:rPr>
          <w:sz w:val="18"/>
          <w:vertAlign w:val="baseline"/>
        </w:rPr>
        <w:t>F.</w:t>
      </w:r>
      <w:r>
        <w:rPr>
          <w:spacing w:val="-2"/>
          <w:sz w:val="18"/>
          <w:vertAlign w:val="baseline"/>
        </w:rPr>
        <w:t> </w:t>
      </w:r>
      <w:r>
        <w:rPr>
          <w:sz w:val="18"/>
          <w:vertAlign w:val="baseline"/>
        </w:rPr>
        <w:t>(2021).</w:t>
      </w:r>
      <w:r>
        <w:rPr>
          <w:spacing w:val="-2"/>
          <w:sz w:val="18"/>
          <w:vertAlign w:val="baseline"/>
        </w:rPr>
        <w:t> </w:t>
      </w:r>
      <w:r>
        <w:rPr>
          <w:sz w:val="18"/>
          <w:vertAlign w:val="baseline"/>
        </w:rPr>
        <w:t>LGBTQ</w:t>
      </w:r>
      <w:r>
        <w:rPr>
          <w:spacing w:val="-4"/>
          <w:sz w:val="18"/>
          <w:vertAlign w:val="baseline"/>
        </w:rPr>
        <w:t> </w:t>
      </w:r>
      <w:r>
        <w:rPr>
          <w:sz w:val="18"/>
          <w:vertAlign w:val="baseline"/>
        </w:rPr>
        <w:t>youth</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3"/>
          <w:sz w:val="18"/>
          <w:vertAlign w:val="baseline"/>
        </w:rPr>
        <w:t> </w:t>
      </w:r>
      <w:r>
        <w:rPr>
          <w:sz w:val="18"/>
          <w:vertAlign w:val="baseline"/>
        </w:rPr>
        <w:t>during</w:t>
      </w:r>
      <w:r>
        <w:rPr>
          <w:spacing w:val="-2"/>
          <w:sz w:val="18"/>
          <w:vertAlign w:val="baseline"/>
        </w:rPr>
        <w:t> </w:t>
      </w:r>
      <w:r>
        <w:rPr>
          <w:sz w:val="18"/>
          <w:vertAlign w:val="baseline"/>
        </w:rPr>
        <w:t>COVID-19:</w:t>
      </w:r>
      <w:r>
        <w:rPr>
          <w:spacing w:val="-2"/>
          <w:sz w:val="18"/>
          <w:vertAlign w:val="baseline"/>
        </w:rPr>
        <w:t> </w:t>
      </w:r>
      <w:r>
        <w:rPr>
          <w:sz w:val="18"/>
          <w:vertAlign w:val="baseline"/>
        </w:rPr>
        <w:t>Unmet</w:t>
      </w:r>
      <w:r>
        <w:rPr>
          <w:spacing w:val="-3"/>
          <w:sz w:val="18"/>
          <w:vertAlign w:val="baseline"/>
        </w:rPr>
        <w:t> </w:t>
      </w:r>
      <w:r>
        <w:rPr>
          <w:sz w:val="18"/>
          <w:vertAlign w:val="baseline"/>
        </w:rPr>
        <w:t>needs</w:t>
      </w:r>
      <w:r>
        <w:rPr>
          <w:spacing w:val="-3"/>
          <w:sz w:val="18"/>
          <w:vertAlign w:val="baseline"/>
        </w:rPr>
        <w:t> </w:t>
      </w:r>
      <w:r>
        <w:rPr>
          <w:sz w:val="18"/>
          <w:vertAlign w:val="baseline"/>
        </w:rPr>
        <w:t>in</w:t>
      </w:r>
      <w:r>
        <w:rPr>
          <w:spacing w:val="-2"/>
          <w:sz w:val="18"/>
          <w:vertAlign w:val="baseline"/>
        </w:rPr>
        <w:t> </w:t>
      </w:r>
      <w:r>
        <w:rPr>
          <w:sz w:val="18"/>
          <w:vertAlign w:val="baseline"/>
        </w:rPr>
        <w:t>public</w:t>
      </w:r>
      <w:r>
        <w:rPr>
          <w:spacing w:val="-3"/>
          <w:sz w:val="18"/>
          <w:vertAlign w:val="baseline"/>
        </w:rPr>
        <w:t> </w:t>
      </w:r>
      <w:r>
        <w:rPr>
          <w:sz w:val="18"/>
          <w:vertAlign w:val="baseline"/>
        </w:rPr>
        <w:t>health</w:t>
      </w:r>
      <w:r>
        <w:rPr>
          <w:spacing w:val="-2"/>
          <w:sz w:val="18"/>
          <w:vertAlign w:val="baseline"/>
        </w:rPr>
        <w:t> </w:t>
      </w:r>
      <w:r>
        <w:rPr>
          <w:sz w:val="18"/>
          <w:vertAlign w:val="baseline"/>
        </w:rPr>
        <w:t>and policy. </w:t>
      </w:r>
      <w:r>
        <w:rPr>
          <w:i/>
          <w:sz w:val="18"/>
          <w:vertAlign w:val="baseline"/>
        </w:rPr>
        <w:t>The Lancet, 399, </w:t>
      </w:r>
      <w:r>
        <w:rPr>
          <w:sz w:val="18"/>
          <w:vertAlign w:val="baseline"/>
        </w:rPr>
        <w:t>501-503. https://doi.org/10.1016/S0140-6736(21)02872-5</w:t>
      </w:r>
    </w:p>
    <w:p>
      <w:pPr>
        <w:spacing w:before="0"/>
        <w:ind w:left="464" w:right="565" w:firstLine="0"/>
        <w:jc w:val="left"/>
        <w:rPr>
          <w:sz w:val="18"/>
        </w:rPr>
      </w:pPr>
      <w:bookmarkStart w:name="_bookmark69" w:id="179"/>
      <w:bookmarkEnd w:id="179"/>
      <w:r>
        <w:rPr/>
      </w:r>
      <w:r>
        <w:rPr>
          <w:sz w:val="18"/>
          <w:vertAlign w:val="superscript"/>
        </w:rPr>
        <w:t>30</w:t>
      </w:r>
      <w:r>
        <w:rPr>
          <w:sz w:val="18"/>
          <w:vertAlign w:val="baseline"/>
        </w:rPr>
        <w:t> Clark, C. M., &amp; Kosciw, J. G. (2022). Engaged or excluded: LGBTQ youth’s participation in school sports and their relationship</w:t>
      </w:r>
      <w:r>
        <w:rPr>
          <w:spacing w:val="-4"/>
          <w:sz w:val="18"/>
          <w:vertAlign w:val="baseline"/>
        </w:rPr>
        <w:t> </w:t>
      </w:r>
      <w:r>
        <w:rPr>
          <w:sz w:val="18"/>
          <w:vertAlign w:val="baseline"/>
        </w:rPr>
        <w:t>to</w:t>
      </w:r>
      <w:r>
        <w:rPr>
          <w:spacing w:val="-4"/>
          <w:sz w:val="18"/>
          <w:vertAlign w:val="baseline"/>
        </w:rPr>
        <w:t> </w:t>
      </w:r>
      <w:r>
        <w:rPr>
          <w:sz w:val="18"/>
          <w:vertAlign w:val="baseline"/>
        </w:rPr>
        <w:t>psychological</w:t>
      </w:r>
      <w:r>
        <w:rPr>
          <w:spacing w:val="-5"/>
          <w:sz w:val="18"/>
          <w:vertAlign w:val="baseline"/>
        </w:rPr>
        <w:t> </w:t>
      </w:r>
      <w:r>
        <w:rPr>
          <w:sz w:val="18"/>
          <w:vertAlign w:val="baseline"/>
        </w:rPr>
        <w:t>well-being.</w:t>
      </w:r>
      <w:r>
        <w:rPr>
          <w:spacing w:val="-5"/>
          <w:sz w:val="18"/>
          <w:vertAlign w:val="baseline"/>
        </w:rPr>
        <w:t> </w:t>
      </w:r>
      <w:r>
        <w:rPr>
          <w:i/>
          <w:sz w:val="18"/>
          <w:vertAlign w:val="baseline"/>
        </w:rPr>
        <w:t>Psychology</w:t>
      </w:r>
      <w:r>
        <w:rPr>
          <w:i/>
          <w:spacing w:val="-4"/>
          <w:sz w:val="18"/>
          <w:vertAlign w:val="baseline"/>
        </w:rPr>
        <w:t> </w:t>
      </w:r>
      <w:r>
        <w:rPr>
          <w:i/>
          <w:sz w:val="18"/>
          <w:vertAlign w:val="baseline"/>
        </w:rPr>
        <w:t>in</w:t>
      </w:r>
      <w:r>
        <w:rPr>
          <w:i/>
          <w:spacing w:val="-5"/>
          <w:sz w:val="18"/>
          <w:vertAlign w:val="baseline"/>
        </w:rPr>
        <w:t> </w:t>
      </w:r>
      <w:r>
        <w:rPr>
          <w:i/>
          <w:sz w:val="18"/>
          <w:vertAlign w:val="baseline"/>
        </w:rPr>
        <w:t>the</w:t>
      </w:r>
      <w:r>
        <w:rPr>
          <w:i/>
          <w:spacing w:val="-4"/>
          <w:sz w:val="18"/>
          <w:vertAlign w:val="baseline"/>
        </w:rPr>
        <w:t> </w:t>
      </w:r>
      <w:r>
        <w:rPr>
          <w:i/>
          <w:sz w:val="18"/>
          <w:vertAlign w:val="baseline"/>
        </w:rPr>
        <w:t>Schools,</w:t>
      </w:r>
      <w:r>
        <w:rPr>
          <w:i/>
          <w:spacing w:val="-5"/>
          <w:sz w:val="18"/>
          <w:vertAlign w:val="baseline"/>
        </w:rPr>
        <w:t> </w:t>
      </w:r>
      <w:r>
        <w:rPr>
          <w:i/>
          <w:sz w:val="18"/>
          <w:vertAlign w:val="baseline"/>
        </w:rPr>
        <w:t>59,</w:t>
      </w:r>
      <w:r>
        <w:rPr>
          <w:i/>
          <w:spacing w:val="-5"/>
          <w:sz w:val="18"/>
          <w:vertAlign w:val="baseline"/>
        </w:rPr>
        <w:t> </w:t>
      </w:r>
      <w:r>
        <w:rPr>
          <w:sz w:val="18"/>
          <w:vertAlign w:val="baseline"/>
        </w:rPr>
        <w:t>95-114.</w:t>
      </w:r>
      <w:r>
        <w:rPr>
          <w:spacing w:val="-4"/>
          <w:sz w:val="18"/>
          <w:vertAlign w:val="baseline"/>
        </w:rPr>
        <w:t> </w:t>
      </w:r>
      <w:r>
        <w:rPr>
          <w:sz w:val="18"/>
          <w:vertAlign w:val="baseline"/>
        </w:rPr>
        <w:t>https://doi.org/10.1002/pits.22500</w:t>
      </w:r>
    </w:p>
    <w:p>
      <w:pPr>
        <w:spacing w:before="0"/>
        <w:ind w:left="464" w:right="480" w:firstLine="0"/>
        <w:jc w:val="left"/>
        <w:rPr>
          <w:sz w:val="18"/>
        </w:rPr>
      </w:pPr>
      <w:bookmarkStart w:name="_bookmark70" w:id="180"/>
      <w:bookmarkEnd w:id="180"/>
      <w:r>
        <w:rPr/>
      </w:r>
      <w:r>
        <w:rPr>
          <w:sz w:val="18"/>
          <w:vertAlign w:val="superscript"/>
        </w:rPr>
        <w:t>31</w:t>
      </w:r>
      <w:r>
        <w:rPr>
          <w:spacing w:val="-2"/>
          <w:sz w:val="18"/>
          <w:vertAlign w:val="baseline"/>
        </w:rPr>
        <w:t> </w:t>
      </w:r>
      <w:r>
        <w:rPr>
          <w:sz w:val="18"/>
          <w:vertAlign w:val="baseline"/>
        </w:rPr>
        <w:t>Greenspan,</w:t>
      </w:r>
      <w:r>
        <w:rPr>
          <w:spacing w:val="-3"/>
          <w:sz w:val="18"/>
          <w:vertAlign w:val="baseline"/>
        </w:rPr>
        <w:t> </w:t>
      </w:r>
      <w:r>
        <w:rPr>
          <w:sz w:val="18"/>
          <w:vertAlign w:val="baseline"/>
        </w:rPr>
        <w:t>S.</w:t>
      </w:r>
      <w:r>
        <w:rPr>
          <w:spacing w:val="-2"/>
          <w:sz w:val="18"/>
          <w:vertAlign w:val="baseline"/>
        </w:rPr>
        <w:t> </w:t>
      </w:r>
      <w:r>
        <w:rPr>
          <w:sz w:val="18"/>
          <w:vertAlign w:val="baseline"/>
        </w:rPr>
        <w:t>B.,</w:t>
      </w:r>
      <w:r>
        <w:rPr>
          <w:spacing w:val="-3"/>
          <w:sz w:val="18"/>
          <w:vertAlign w:val="baseline"/>
        </w:rPr>
        <w:t> </w:t>
      </w:r>
      <w:r>
        <w:rPr>
          <w:sz w:val="18"/>
          <w:vertAlign w:val="baseline"/>
        </w:rPr>
        <w:t>Griffith,</w:t>
      </w:r>
      <w:r>
        <w:rPr>
          <w:spacing w:val="-3"/>
          <w:sz w:val="18"/>
          <w:vertAlign w:val="baseline"/>
        </w:rPr>
        <w:t> </w:t>
      </w:r>
      <w:r>
        <w:rPr>
          <w:sz w:val="18"/>
          <w:vertAlign w:val="baseline"/>
        </w:rPr>
        <w:t>C.,</w:t>
      </w:r>
      <w:r>
        <w:rPr>
          <w:spacing w:val="-2"/>
          <w:sz w:val="18"/>
          <w:vertAlign w:val="baseline"/>
        </w:rPr>
        <w:t> </w:t>
      </w:r>
      <w:r>
        <w:rPr>
          <w:sz w:val="18"/>
          <w:vertAlign w:val="baseline"/>
        </w:rPr>
        <w:t>Hayes,</w:t>
      </w:r>
      <w:r>
        <w:rPr>
          <w:spacing w:val="-3"/>
          <w:sz w:val="18"/>
          <w:vertAlign w:val="baseline"/>
        </w:rPr>
        <w:t> </w:t>
      </w:r>
      <w:r>
        <w:rPr>
          <w:sz w:val="18"/>
          <w:vertAlign w:val="baseline"/>
        </w:rPr>
        <w:t>C.</w:t>
      </w:r>
      <w:r>
        <w:rPr>
          <w:spacing w:val="-2"/>
          <w:sz w:val="18"/>
          <w:vertAlign w:val="baseline"/>
        </w:rPr>
        <w:t> </w:t>
      </w:r>
      <w:r>
        <w:rPr>
          <w:sz w:val="18"/>
          <w:vertAlign w:val="baseline"/>
        </w:rPr>
        <w:t>R.,</w:t>
      </w:r>
      <w:r>
        <w:rPr>
          <w:spacing w:val="-3"/>
          <w:sz w:val="18"/>
          <w:vertAlign w:val="baseline"/>
        </w:rPr>
        <w:t> </w:t>
      </w:r>
      <w:r>
        <w:rPr>
          <w:sz w:val="18"/>
          <w:vertAlign w:val="baseline"/>
        </w:rPr>
        <w:t>&amp;</w:t>
      </w:r>
      <w:r>
        <w:rPr>
          <w:spacing w:val="-3"/>
          <w:sz w:val="18"/>
          <w:vertAlign w:val="baseline"/>
        </w:rPr>
        <w:t> </w:t>
      </w:r>
      <w:r>
        <w:rPr>
          <w:sz w:val="18"/>
          <w:vertAlign w:val="baseline"/>
        </w:rPr>
        <w:t>Murtagh,</w:t>
      </w:r>
      <w:r>
        <w:rPr>
          <w:spacing w:val="-3"/>
          <w:sz w:val="18"/>
          <w:vertAlign w:val="baseline"/>
        </w:rPr>
        <w:t> </w:t>
      </w:r>
      <w:r>
        <w:rPr>
          <w:sz w:val="18"/>
          <w:vertAlign w:val="baseline"/>
        </w:rPr>
        <w:t>E.</w:t>
      </w:r>
      <w:r>
        <w:rPr>
          <w:spacing w:val="-2"/>
          <w:sz w:val="18"/>
          <w:vertAlign w:val="baseline"/>
        </w:rPr>
        <w:t> </w:t>
      </w:r>
      <w:r>
        <w:rPr>
          <w:sz w:val="18"/>
          <w:vertAlign w:val="baseline"/>
        </w:rPr>
        <w:t>F.</w:t>
      </w:r>
      <w:r>
        <w:rPr>
          <w:spacing w:val="-2"/>
          <w:sz w:val="18"/>
          <w:vertAlign w:val="baseline"/>
        </w:rPr>
        <w:t> </w:t>
      </w:r>
      <w:r>
        <w:rPr>
          <w:sz w:val="18"/>
          <w:vertAlign w:val="baseline"/>
        </w:rPr>
        <w:t>(2019).</w:t>
      </w:r>
      <w:r>
        <w:rPr>
          <w:spacing w:val="-2"/>
          <w:sz w:val="18"/>
          <w:vertAlign w:val="baseline"/>
        </w:rPr>
        <w:t> </w:t>
      </w:r>
      <w:r>
        <w:rPr>
          <w:sz w:val="18"/>
          <w:vertAlign w:val="baseline"/>
        </w:rPr>
        <w:t>LGBTQ+</w:t>
      </w:r>
      <w:r>
        <w:rPr>
          <w:spacing w:val="-2"/>
          <w:sz w:val="18"/>
          <w:vertAlign w:val="baseline"/>
        </w:rPr>
        <w:t> </w:t>
      </w:r>
      <w:r>
        <w:rPr>
          <w:sz w:val="18"/>
          <w:vertAlign w:val="baseline"/>
        </w:rPr>
        <w:t>and</w:t>
      </w:r>
      <w:r>
        <w:rPr>
          <w:spacing w:val="-3"/>
          <w:sz w:val="18"/>
          <w:vertAlign w:val="baseline"/>
        </w:rPr>
        <w:t> </w:t>
      </w:r>
      <w:r>
        <w:rPr>
          <w:sz w:val="18"/>
          <w:vertAlign w:val="baseline"/>
        </w:rPr>
        <w:t>ally</w:t>
      </w:r>
      <w:r>
        <w:rPr>
          <w:spacing w:val="-2"/>
          <w:sz w:val="18"/>
          <w:vertAlign w:val="baseline"/>
        </w:rPr>
        <w:t> </w:t>
      </w:r>
      <w:r>
        <w:rPr>
          <w:sz w:val="18"/>
          <w:vertAlign w:val="baseline"/>
        </w:rPr>
        <w:t>youths’</w:t>
      </w:r>
      <w:r>
        <w:rPr>
          <w:spacing w:val="-3"/>
          <w:sz w:val="18"/>
          <w:vertAlign w:val="baseline"/>
        </w:rPr>
        <w:t> </w:t>
      </w:r>
      <w:r>
        <w:rPr>
          <w:sz w:val="18"/>
          <w:vertAlign w:val="baseline"/>
        </w:rPr>
        <w:t>school</w:t>
      </w:r>
      <w:r>
        <w:rPr>
          <w:spacing w:val="-2"/>
          <w:sz w:val="18"/>
          <w:vertAlign w:val="baseline"/>
        </w:rPr>
        <w:t> </w:t>
      </w:r>
      <w:r>
        <w:rPr>
          <w:sz w:val="18"/>
          <w:vertAlign w:val="baseline"/>
        </w:rPr>
        <w:t>athletics</w:t>
      </w:r>
      <w:r>
        <w:rPr>
          <w:spacing w:val="-2"/>
          <w:sz w:val="18"/>
          <w:vertAlign w:val="baseline"/>
        </w:rPr>
        <w:t> </w:t>
      </w:r>
      <w:r>
        <w:rPr>
          <w:sz w:val="18"/>
          <w:vertAlign w:val="baseline"/>
        </w:rPr>
        <w:t>perspectives: A mixed-methods analysis. </w:t>
      </w:r>
      <w:r>
        <w:rPr>
          <w:i/>
          <w:sz w:val="18"/>
          <w:vertAlign w:val="baseline"/>
        </w:rPr>
        <w:t>Journal of LGBT Youth, 16</w:t>
      </w:r>
      <w:r>
        <w:rPr>
          <w:sz w:val="18"/>
          <w:vertAlign w:val="baseline"/>
        </w:rPr>
        <w:t>(4), 403-434. https://doi.org/10.1080/19361653.2019.1595988</w:t>
      </w:r>
    </w:p>
    <w:p>
      <w:pPr>
        <w:spacing w:before="0"/>
        <w:ind w:left="464" w:right="480" w:firstLine="0"/>
        <w:jc w:val="left"/>
        <w:rPr>
          <w:sz w:val="18"/>
        </w:rPr>
      </w:pPr>
      <w:bookmarkStart w:name="_bookmark71" w:id="181"/>
      <w:bookmarkEnd w:id="181"/>
      <w:r>
        <w:rPr/>
      </w:r>
      <w:r>
        <w:rPr>
          <w:sz w:val="18"/>
          <w:vertAlign w:val="superscript"/>
        </w:rPr>
        <w:t>32</w:t>
      </w:r>
      <w:r>
        <w:rPr>
          <w:sz w:val="18"/>
          <w:vertAlign w:val="baseline"/>
        </w:rPr>
        <w:t> Massachusetts Interscholastic Athletic Association. Rules and regulations governing athletics: A handbook for principals </w:t>
      </w:r>
      <w:bookmarkStart w:name="_bookmark72" w:id="182"/>
      <w:bookmarkEnd w:id="182"/>
      <w:r>
        <w:rPr>
          <w:sz w:val="18"/>
          <w:vertAlign w:val="baseline"/>
        </w:rPr>
        <w:t>and</w:t>
      </w:r>
      <w:r>
        <w:rPr>
          <w:spacing w:val="-6"/>
          <w:sz w:val="18"/>
          <w:vertAlign w:val="baseline"/>
        </w:rPr>
        <w:t> </w:t>
      </w:r>
      <w:r>
        <w:rPr>
          <w:sz w:val="18"/>
          <w:vertAlign w:val="baseline"/>
        </w:rPr>
        <w:t>athletic</w:t>
      </w:r>
      <w:r>
        <w:rPr>
          <w:spacing w:val="-6"/>
          <w:sz w:val="18"/>
          <w:vertAlign w:val="baseline"/>
        </w:rPr>
        <w:t> </w:t>
      </w:r>
      <w:r>
        <w:rPr>
          <w:sz w:val="18"/>
          <w:vertAlign w:val="baseline"/>
        </w:rPr>
        <w:t>directors.</w:t>
      </w:r>
      <w:r>
        <w:rPr>
          <w:spacing w:val="-6"/>
          <w:sz w:val="18"/>
          <w:vertAlign w:val="baseline"/>
        </w:rPr>
        <w:t> </w:t>
      </w:r>
      <w:r>
        <w:rPr>
          <w:sz w:val="18"/>
          <w:vertAlign w:val="baseline"/>
        </w:rPr>
        <w:t>Accessed</w:t>
      </w:r>
      <w:r>
        <w:rPr>
          <w:spacing w:val="-6"/>
          <w:sz w:val="18"/>
          <w:vertAlign w:val="baseline"/>
        </w:rPr>
        <w:t> </w:t>
      </w:r>
      <w:r>
        <w:rPr>
          <w:sz w:val="18"/>
          <w:vertAlign w:val="baseline"/>
        </w:rPr>
        <w:t>May</w:t>
      </w:r>
      <w:r>
        <w:rPr>
          <w:spacing w:val="-6"/>
          <w:sz w:val="18"/>
          <w:vertAlign w:val="baseline"/>
        </w:rPr>
        <w:t> </w:t>
      </w:r>
      <w:r>
        <w:rPr>
          <w:sz w:val="18"/>
          <w:vertAlign w:val="baseline"/>
        </w:rPr>
        <w:t>10,</w:t>
      </w:r>
      <w:r>
        <w:rPr>
          <w:spacing w:val="-6"/>
          <w:sz w:val="18"/>
          <w:vertAlign w:val="baseline"/>
        </w:rPr>
        <w:t> </w:t>
      </w:r>
      <w:r>
        <w:rPr>
          <w:sz w:val="18"/>
          <w:vertAlign w:val="baseline"/>
        </w:rPr>
        <w:t>2024.</w:t>
      </w:r>
      <w:r>
        <w:rPr>
          <w:spacing w:val="-6"/>
          <w:sz w:val="18"/>
          <w:vertAlign w:val="baseline"/>
        </w:rPr>
        <w:t> </w:t>
      </w:r>
      <w:r>
        <w:rPr>
          <w:sz w:val="18"/>
          <w:vertAlign w:val="baseline"/>
        </w:rPr>
        <w:t>https://miaa.net/wp-content/uploads/2023/07/MIAA-Handbook-23-25.pdf </w:t>
      </w:r>
      <w:r>
        <w:rPr>
          <w:sz w:val="18"/>
          <w:vertAlign w:val="superscript"/>
        </w:rPr>
        <w:t>33</w:t>
      </w:r>
      <w:r>
        <w:rPr>
          <w:sz w:val="18"/>
          <w:vertAlign w:val="baseline"/>
        </w:rPr>
        <w:t> Owens, M, &amp; Mattheus, D. (2022). Addressing health disparities in LGBTQ youth through professional development of middle school staff. </w:t>
      </w:r>
      <w:r>
        <w:rPr>
          <w:i/>
          <w:sz w:val="18"/>
          <w:vertAlign w:val="baseline"/>
        </w:rPr>
        <w:t>Journal of School Health, 92</w:t>
      </w:r>
      <w:r>
        <w:rPr>
          <w:sz w:val="18"/>
          <w:vertAlign w:val="baseline"/>
        </w:rPr>
        <w:t>(12), 1148-1154. https://doi.org/10.1111/josh.13244</w:t>
      </w:r>
    </w:p>
    <w:p>
      <w:pPr>
        <w:spacing w:before="0"/>
        <w:ind w:left="464" w:right="0" w:firstLine="0"/>
        <w:jc w:val="left"/>
        <w:rPr>
          <w:sz w:val="18"/>
        </w:rPr>
      </w:pPr>
      <w:bookmarkStart w:name="_bookmark73" w:id="183"/>
      <w:bookmarkEnd w:id="183"/>
      <w:r>
        <w:rPr/>
      </w:r>
      <w:r>
        <w:rPr>
          <w:sz w:val="18"/>
          <w:vertAlign w:val="superscript"/>
        </w:rPr>
        <w:t>34</w:t>
      </w:r>
      <w:r>
        <w:rPr>
          <w:spacing w:val="-4"/>
          <w:sz w:val="18"/>
          <w:vertAlign w:val="baseline"/>
        </w:rPr>
        <w:t> </w:t>
      </w:r>
      <w:r>
        <w:rPr>
          <w:sz w:val="18"/>
          <w:vertAlign w:val="baseline"/>
        </w:rPr>
        <w:t>Truong,</w:t>
      </w:r>
      <w:r>
        <w:rPr>
          <w:spacing w:val="-3"/>
          <w:sz w:val="18"/>
          <w:vertAlign w:val="baseline"/>
        </w:rPr>
        <w:t> </w:t>
      </w:r>
      <w:r>
        <w:rPr>
          <w:sz w:val="18"/>
          <w:vertAlign w:val="baseline"/>
        </w:rPr>
        <w:t>N.</w:t>
      </w:r>
      <w:r>
        <w:rPr>
          <w:spacing w:val="-2"/>
          <w:sz w:val="18"/>
          <w:vertAlign w:val="baseline"/>
        </w:rPr>
        <w:t> </w:t>
      </w:r>
      <w:r>
        <w:rPr>
          <w:sz w:val="18"/>
          <w:vertAlign w:val="baseline"/>
        </w:rPr>
        <w:t>L.,</w:t>
      </w:r>
      <w:r>
        <w:rPr>
          <w:spacing w:val="-3"/>
          <w:sz w:val="18"/>
          <w:vertAlign w:val="baseline"/>
        </w:rPr>
        <w:t> </w:t>
      </w:r>
      <w:r>
        <w:rPr>
          <w:sz w:val="18"/>
          <w:vertAlign w:val="baseline"/>
        </w:rPr>
        <w:t>Zongrone,</w:t>
      </w:r>
      <w:r>
        <w:rPr>
          <w:spacing w:val="-3"/>
          <w:sz w:val="18"/>
          <w:vertAlign w:val="baseline"/>
        </w:rPr>
        <w:t> </w:t>
      </w:r>
      <w:r>
        <w:rPr>
          <w:sz w:val="18"/>
          <w:vertAlign w:val="baseline"/>
        </w:rPr>
        <w:t>A.,</w:t>
      </w:r>
      <w:r>
        <w:rPr>
          <w:spacing w:val="-3"/>
          <w:sz w:val="18"/>
          <w:vertAlign w:val="baseline"/>
        </w:rPr>
        <w:t> </w:t>
      </w:r>
      <w:r>
        <w:rPr>
          <w:sz w:val="18"/>
          <w:vertAlign w:val="baseline"/>
        </w:rPr>
        <w:t>D.,</w:t>
      </w:r>
      <w:r>
        <w:rPr>
          <w:spacing w:val="-2"/>
          <w:sz w:val="18"/>
          <w:vertAlign w:val="baseline"/>
        </w:rPr>
        <w:t> </w:t>
      </w:r>
      <w:r>
        <w:rPr>
          <w:sz w:val="18"/>
          <w:vertAlign w:val="baseline"/>
        </w:rPr>
        <w:t>&amp;</w:t>
      </w:r>
      <w:r>
        <w:rPr>
          <w:spacing w:val="-3"/>
          <w:sz w:val="18"/>
          <w:vertAlign w:val="baseline"/>
        </w:rPr>
        <w:t> </w:t>
      </w:r>
      <w:r>
        <w:rPr>
          <w:sz w:val="18"/>
          <w:vertAlign w:val="baseline"/>
        </w:rPr>
        <w:t>Kosciw,</w:t>
      </w:r>
      <w:r>
        <w:rPr>
          <w:spacing w:val="-3"/>
          <w:sz w:val="18"/>
          <w:vertAlign w:val="baseline"/>
        </w:rPr>
        <w:t> </w:t>
      </w:r>
      <w:r>
        <w:rPr>
          <w:sz w:val="18"/>
          <w:vertAlign w:val="baseline"/>
        </w:rPr>
        <w:t>J.</w:t>
      </w:r>
      <w:r>
        <w:rPr>
          <w:spacing w:val="-2"/>
          <w:sz w:val="18"/>
          <w:vertAlign w:val="baseline"/>
        </w:rPr>
        <w:t> </w:t>
      </w:r>
      <w:r>
        <w:rPr>
          <w:sz w:val="18"/>
          <w:vertAlign w:val="baseline"/>
        </w:rPr>
        <w:t>G.</w:t>
      </w:r>
      <w:r>
        <w:rPr>
          <w:spacing w:val="-2"/>
          <w:sz w:val="18"/>
          <w:vertAlign w:val="baseline"/>
        </w:rPr>
        <w:t> </w:t>
      </w:r>
      <w:r>
        <w:rPr>
          <w:sz w:val="18"/>
          <w:vertAlign w:val="baseline"/>
        </w:rPr>
        <w:t>(2020).</w:t>
      </w:r>
      <w:r>
        <w:rPr>
          <w:spacing w:val="-2"/>
          <w:sz w:val="18"/>
          <w:vertAlign w:val="baseline"/>
        </w:rPr>
        <w:t> </w:t>
      </w:r>
      <w:r>
        <w:rPr>
          <w:sz w:val="18"/>
          <w:vertAlign w:val="baseline"/>
        </w:rPr>
        <w:t>Erasure</w:t>
      </w:r>
      <w:r>
        <w:rPr>
          <w:spacing w:val="-2"/>
          <w:sz w:val="18"/>
          <w:vertAlign w:val="baseline"/>
        </w:rPr>
        <w:t> </w:t>
      </w:r>
      <w:r>
        <w:rPr>
          <w:sz w:val="18"/>
          <w:vertAlign w:val="baseline"/>
        </w:rPr>
        <w:t>and</w:t>
      </w:r>
      <w:r>
        <w:rPr>
          <w:spacing w:val="-1"/>
          <w:sz w:val="18"/>
          <w:vertAlign w:val="baseline"/>
        </w:rPr>
        <w:t> </w:t>
      </w:r>
      <w:r>
        <w:rPr>
          <w:sz w:val="18"/>
          <w:vertAlign w:val="baseline"/>
        </w:rPr>
        <w:t>resilience:</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students</w:t>
      </w:r>
      <w:r>
        <w:rPr>
          <w:spacing w:val="-3"/>
          <w:sz w:val="18"/>
          <w:vertAlign w:val="baseline"/>
        </w:rPr>
        <w:t> </w:t>
      </w:r>
      <w:r>
        <w:rPr>
          <w:sz w:val="18"/>
          <w:vertAlign w:val="baseline"/>
        </w:rPr>
        <w:t>of</w:t>
      </w:r>
      <w:r>
        <w:rPr>
          <w:spacing w:val="-1"/>
          <w:sz w:val="18"/>
          <w:vertAlign w:val="baseline"/>
        </w:rPr>
        <w:t> </w:t>
      </w:r>
      <w:r>
        <w:rPr>
          <w:spacing w:val="-2"/>
          <w:sz w:val="18"/>
          <w:vertAlign w:val="baseline"/>
        </w:rPr>
        <w:t>color</w:t>
      </w:r>
    </w:p>
    <w:p>
      <w:pPr>
        <w:spacing w:before="0"/>
        <w:ind w:left="464" w:right="645" w:hanging="1"/>
        <w:jc w:val="left"/>
        <w:rPr>
          <w:sz w:val="18"/>
        </w:rPr>
      </w:pPr>
      <w:r>
        <w:rPr>
          <w:sz w:val="18"/>
        </w:rPr>
        <w:t>-</w:t>
      </w:r>
      <w:r>
        <w:rPr>
          <w:spacing w:val="-4"/>
          <w:sz w:val="18"/>
        </w:rPr>
        <w:t> </w:t>
      </w:r>
      <w:r>
        <w:rPr>
          <w:sz w:val="18"/>
        </w:rPr>
        <w:t>Black</w:t>
      </w:r>
      <w:r>
        <w:rPr>
          <w:spacing w:val="-5"/>
          <w:sz w:val="18"/>
        </w:rPr>
        <w:t> </w:t>
      </w:r>
      <w:r>
        <w:rPr>
          <w:sz w:val="18"/>
        </w:rPr>
        <w:t>LGBTQ</w:t>
      </w:r>
      <w:r>
        <w:rPr>
          <w:spacing w:val="-4"/>
          <w:sz w:val="18"/>
        </w:rPr>
        <w:t> </w:t>
      </w:r>
      <w:r>
        <w:rPr>
          <w:sz w:val="18"/>
        </w:rPr>
        <w:t>youth</w:t>
      </w:r>
      <w:r>
        <w:rPr>
          <w:spacing w:val="-4"/>
          <w:sz w:val="18"/>
        </w:rPr>
        <w:t> </w:t>
      </w:r>
      <w:r>
        <w:rPr>
          <w:sz w:val="18"/>
        </w:rPr>
        <w:t>in</w:t>
      </w:r>
      <w:r>
        <w:rPr>
          <w:spacing w:val="-4"/>
          <w:sz w:val="18"/>
        </w:rPr>
        <w:t> </w:t>
      </w:r>
      <w:r>
        <w:rPr>
          <w:sz w:val="18"/>
        </w:rPr>
        <w:t>U.S.</w:t>
      </w:r>
      <w:r>
        <w:rPr>
          <w:spacing w:val="-4"/>
          <w:sz w:val="18"/>
        </w:rPr>
        <w:t> </w:t>
      </w:r>
      <w:r>
        <w:rPr>
          <w:sz w:val="18"/>
        </w:rPr>
        <w:t>schools.</w:t>
      </w:r>
      <w:r>
        <w:rPr>
          <w:spacing w:val="-4"/>
          <w:sz w:val="18"/>
        </w:rPr>
        <w:t> </w:t>
      </w:r>
      <w:r>
        <w:rPr>
          <w:sz w:val="18"/>
        </w:rPr>
        <w:t>Accessed</w:t>
      </w:r>
      <w:r>
        <w:rPr>
          <w:spacing w:val="-4"/>
          <w:sz w:val="18"/>
        </w:rPr>
        <w:t> </w:t>
      </w:r>
      <w:r>
        <w:rPr>
          <w:sz w:val="18"/>
        </w:rPr>
        <w:t>May</w:t>
      </w:r>
      <w:r>
        <w:rPr>
          <w:spacing w:val="-4"/>
          <w:sz w:val="18"/>
        </w:rPr>
        <w:t> </w:t>
      </w:r>
      <w:r>
        <w:rPr>
          <w:sz w:val="18"/>
        </w:rPr>
        <w:t>10,</w:t>
      </w:r>
      <w:r>
        <w:rPr>
          <w:spacing w:val="-5"/>
          <w:sz w:val="18"/>
        </w:rPr>
        <w:t> </w:t>
      </w:r>
      <w:r>
        <w:rPr>
          <w:sz w:val="18"/>
        </w:rPr>
        <w:t>2024.</w:t>
      </w:r>
      <w:r>
        <w:rPr>
          <w:spacing w:val="-4"/>
          <w:sz w:val="18"/>
        </w:rPr>
        <w:t> </w:t>
      </w:r>
      <w:r>
        <w:rPr>
          <w:sz w:val="18"/>
        </w:rPr>
        <w:t>https:</w:t>
      </w:r>
      <w:hyperlink r:id="rId116">
        <w:r>
          <w:rPr>
            <w:sz w:val="18"/>
          </w:rPr>
          <w:t>//www.glsen.org/sites/default/files/2020-06/Erasure-</w:t>
        </w:r>
      </w:hyperlink>
      <w:r>
        <w:rPr>
          <w:sz w:val="18"/>
        </w:rPr>
        <w:t> </w:t>
      </w:r>
      <w:r>
        <w:rPr>
          <w:spacing w:val="-2"/>
          <w:sz w:val="18"/>
        </w:rPr>
        <w:t>and-Resilience-Black-2020.pdf</w:t>
      </w:r>
    </w:p>
    <w:p>
      <w:pPr>
        <w:spacing w:before="0"/>
        <w:ind w:left="464" w:right="600" w:hanging="1"/>
        <w:jc w:val="left"/>
        <w:rPr>
          <w:sz w:val="18"/>
        </w:rPr>
      </w:pPr>
      <w:bookmarkStart w:name="_bookmark74" w:id="184"/>
      <w:bookmarkEnd w:id="184"/>
      <w:r>
        <w:rPr/>
      </w:r>
      <w:r>
        <w:rPr>
          <w:sz w:val="18"/>
          <w:vertAlign w:val="superscript"/>
        </w:rPr>
        <w:t>35</w:t>
      </w:r>
      <w:r>
        <w:rPr>
          <w:spacing w:val="-2"/>
          <w:sz w:val="18"/>
          <w:vertAlign w:val="baseline"/>
        </w:rPr>
        <w:t> </w:t>
      </w:r>
      <w:r>
        <w:rPr>
          <w:sz w:val="18"/>
          <w:vertAlign w:val="baseline"/>
        </w:rPr>
        <w:t>Zongrone,</w:t>
      </w:r>
      <w:r>
        <w:rPr>
          <w:spacing w:val="-3"/>
          <w:sz w:val="18"/>
          <w:vertAlign w:val="baseline"/>
        </w:rPr>
        <w:t> </w:t>
      </w:r>
      <w:r>
        <w:rPr>
          <w:sz w:val="18"/>
          <w:vertAlign w:val="baseline"/>
        </w:rPr>
        <w:t>A.</w:t>
      </w:r>
      <w:r>
        <w:rPr>
          <w:spacing w:val="-2"/>
          <w:sz w:val="18"/>
          <w:vertAlign w:val="baseline"/>
        </w:rPr>
        <w:t> </w:t>
      </w:r>
      <w:r>
        <w:rPr>
          <w:sz w:val="18"/>
          <w:vertAlign w:val="baseline"/>
        </w:rPr>
        <w:t>D.,</w:t>
      </w:r>
      <w:r>
        <w:rPr>
          <w:spacing w:val="-3"/>
          <w:sz w:val="18"/>
          <w:vertAlign w:val="baseline"/>
        </w:rPr>
        <w:t> </w:t>
      </w:r>
      <w:r>
        <w:rPr>
          <w:sz w:val="18"/>
          <w:vertAlign w:val="baseline"/>
        </w:rPr>
        <w:t>Truong,</w:t>
      </w:r>
      <w:r>
        <w:rPr>
          <w:spacing w:val="-3"/>
          <w:sz w:val="18"/>
          <w:vertAlign w:val="baseline"/>
        </w:rPr>
        <w:t> </w:t>
      </w:r>
      <w:r>
        <w:rPr>
          <w:sz w:val="18"/>
          <w:vertAlign w:val="baseline"/>
        </w:rPr>
        <w:t>N.</w:t>
      </w:r>
      <w:r>
        <w:rPr>
          <w:spacing w:val="-2"/>
          <w:sz w:val="18"/>
          <w:vertAlign w:val="baseline"/>
        </w:rPr>
        <w:t> </w:t>
      </w:r>
      <w:r>
        <w:rPr>
          <w:sz w:val="18"/>
          <w:vertAlign w:val="baseline"/>
        </w:rPr>
        <w:t>L.,</w:t>
      </w:r>
      <w:r>
        <w:rPr>
          <w:spacing w:val="-3"/>
          <w:sz w:val="18"/>
          <w:vertAlign w:val="baseline"/>
        </w:rPr>
        <w:t> </w:t>
      </w:r>
      <w:r>
        <w:rPr>
          <w:sz w:val="18"/>
          <w:vertAlign w:val="baseline"/>
        </w:rPr>
        <w:t>Kosciw,</w:t>
      </w:r>
      <w:r>
        <w:rPr>
          <w:spacing w:val="-3"/>
          <w:sz w:val="18"/>
          <w:vertAlign w:val="baseline"/>
        </w:rPr>
        <w:t> </w:t>
      </w:r>
      <w:r>
        <w:rPr>
          <w:sz w:val="18"/>
          <w:vertAlign w:val="baseline"/>
        </w:rPr>
        <w:t>J.</w:t>
      </w:r>
      <w:r>
        <w:rPr>
          <w:spacing w:val="-2"/>
          <w:sz w:val="18"/>
          <w:vertAlign w:val="baseline"/>
        </w:rPr>
        <w:t> </w:t>
      </w:r>
      <w:r>
        <w:rPr>
          <w:sz w:val="18"/>
          <w:vertAlign w:val="baseline"/>
        </w:rPr>
        <w:t>G.</w:t>
      </w:r>
      <w:r>
        <w:rPr>
          <w:spacing w:val="-2"/>
          <w:sz w:val="18"/>
          <w:vertAlign w:val="baseline"/>
        </w:rPr>
        <w:t> </w:t>
      </w:r>
      <w:r>
        <w:rPr>
          <w:sz w:val="18"/>
          <w:vertAlign w:val="baseline"/>
        </w:rPr>
        <w:t>(2020).</w:t>
      </w:r>
      <w:r>
        <w:rPr>
          <w:spacing w:val="-2"/>
          <w:sz w:val="18"/>
          <w:vertAlign w:val="baseline"/>
        </w:rPr>
        <w:t> </w:t>
      </w:r>
      <w:r>
        <w:rPr>
          <w:sz w:val="18"/>
          <w:vertAlign w:val="baseline"/>
        </w:rPr>
        <w:t>Erasure</w:t>
      </w:r>
      <w:r>
        <w:rPr>
          <w:spacing w:val="-2"/>
          <w:sz w:val="18"/>
          <w:vertAlign w:val="baseline"/>
        </w:rPr>
        <w:t> </w:t>
      </w:r>
      <w:r>
        <w:rPr>
          <w:sz w:val="18"/>
          <w:vertAlign w:val="baseline"/>
        </w:rPr>
        <w:t>and</w:t>
      </w:r>
      <w:r>
        <w:rPr>
          <w:spacing w:val="-2"/>
          <w:sz w:val="18"/>
          <w:vertAlign w:val="baseline"/>
        </w:rPr>
        <w:t> </w:t>
      </w:r>
      <w:r>
        <w:rPr>
          <w:sz w:val="18"/>
          <w:vertAlign w:val="baseline"/>
        </w:rPr>
        <w:t>resilience:</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students</w:t>
      </w:r>
      <w:r>
        <w:rPr>
          <w:spacing w:val="-2"/>
          <w:sz w:val="18"/>
          <w:vertAlign w:val="baseline"/>
        </w:rPr>
        <w:t> </w:t>
      </w:r>
      <w:r>
        <w:rPr>
          <w:sz w:val="18"/>
          <w:vertAlign w:val="baseline"/>
        </w:rPr>
        <w:t>of</w:t>
      </w:r>
      <w:r>
        <w:rPr>
          <w:spacing w:val="-3"/>
          <w:sz w:val="18"/>
          <w:vertAlign w:val="baseline"/>
        </w:rPr>
        <w:t> </w:t>
      </w:r>
      <w:r>
        <w:rPr>
          <w:sz w:val="18"/>
          <w:vertAlign w:val="baseline"/>
        </w:rPr>
        <w:t>color</w:t>
      </w:r>
      <w:r>
        <w:rPr>
          <w:spacing w:val="-3"/>
          <w:sz w:val="18"/>
          <w:vertAlign w:val="baseline"/>
        </w:rPr>
        <w:t> </w:t>
      </w:r>
      <w:r>
        <w:rPr>
          <w:sz w:val="18"/>
          <w:vertAlign w:val="baseline"/>
        </w:rPr>
        <w:t>- Native American, American Indian, and Alaska Native LGBTQ youth in U.S. schools. Accessed May 10, 2024. </w:t>
      </w:r>
      <w:r>
        <w:rPr>
          <w:spacing w:val="-2"/>
          <w:sz w:val="18"/>
          <w:vertAlign w:val="baseline"/>
        </w:rPr>
        <w:t>https://</w:t>
      </w:r>
      <w:hyperlink r:id="rId117">
        <w:r>
          <w:rPr>
            <w:spacing w:val="-2"/>
            <w:sz w:val="18"/>
            <w:vertAlign w:val="baseline"/>
          </w:rPr>
          <w:t>www.glsen.org/sites/default/files/2020-06/Erasure-and-Resilience-Native-2020.pdf</w:t>
        </w:r>
      </w:hyperlink>
    </w:p>
    <w:p>
      <w:pPr>
        <w:spacing w:before="0"/>
        <w:ind w:left="464" w:right="434" w:hanging="1"/>
        <w:jc w:val="left"/>
        <w:rPr>
          <w:sz w:val="18"/>
        </w:rPr>
      </w:pPr>
      <w:bookmarkStart w:name="_bookmark75" w:id="185"/>
      <w:bookmarkEnd w:id="185"/>
      <w:r>
        <w:rPr/>
      </w:r>
      <w:r>
        <w:rPr>
          <w:sz w:val="18"/>
          <w:vertAlign w:val="superscript"/>
        </w:rPr>
        <w:t>36</w:t>
      </w:r>
      <w:r>
        <w:rPr>
          <w:spacing w:val="-2"/>
          <w:sz w:val="18"/>
          <w:vertAlign w:val="baseline"/>
        </w:rPr>
        <w:t> </w:t>
      </w:r>
      <w:r>
        <w:rPr>
          <w:sz w:val="18"/>
          <w:vertAlign w:val="baseline"/>
        </w:rPr>
        <w:t>McQuillan,</w:t>
      </w:r>
      <w:r>
        <w:rPr>
          <w:spacing w:val="-3"/>
          <w:sz w:val="18"/>
          <w:vertAlign w:val="baseline"/>
        </w:rPr>
        <w:t> </w:t>
      </w:r>
      <w:r>
        <w:rPr>
          <w:sz w:val="18"/>
          <w:vertAlign w:val="baseline"/>
        </w:rPr>
        <w:t>M.</w:t>
      </w:r>
      <w:r>
        <w:rPr>
          <w:spacing w:val="-2"/>
          <w:sz w:val="18"/>
          <w:vertAlign w:val="baseline"/>
        </w:rPr>
        <w:t> </w:t>
      </w:r>
      <w:r>
        <w:rPr>
          <w:sz w:val="18"/>
          <w:vertAlign w:val="baseline"/>
        </w:rPr>
        <w:t>T.,</w:t>
      </w:r>
      <w:r>
        <w:rPr>
          <w:spacing w:val="-3"/>
          <w:sz w:val="18"/>
          <w:vertAlign w:val="baseline"/>
        </w:rPr>
        <w:t> </w:t>
      </w:r>
      <w:r>
        <w:rPr>
          <w:sz w:val="18"/>
          <w:vertAlign w:val="baseline"/>
        </w:rPr>
        <w:t>Gill,</w:t>
      </w:r>
      <w:r>
        <w:rPr>
          <w:spacing w:val="-3"/>
          <w:sz w:val="18"/>
          <w:vertAlign w:val="baseline"/>
        </w:rPr>
        <w:t> </w:t>
      </w:r>
      <w:r>
        <w:rPr>
          <w:sz w:val="18"/>
          <w:vertAlign w:val="baseline"/>
        </w:rPr>
        <w:t>E.</w:t>
      </w:r>
      <w:r>
        <w:rPr>
          <w:spacing w:val="-2"/>
          <w:sz w:val="18"/>
          <w:vertAlign w:val="baseline"/>
        </w:rPr>
        <w:t> </w:t>
      </w:r>
      <w:r>
        <w:rPr>
          <w:sz w:val="18"/>
          <w:vertAlign w:val="baseline"/>
        </w:rPr>
        <w:t>K.,</w:t>
      </w:r>
      <w:r>
        <w:rPr>
          <w:spacing w:val="-3"/>
          <w:sz w:val="18"/>
          <w:vertAlign w:val="baseline"/>
        </w:rPr>
        <w:t> </w:t>
      </w:r>
      <w:r>
        <w:rPr>
          <w:sz w:val="18"/>
          <w:vertAlign w:val="baseline"/>
        </w:rPr>
        <w:t>&amp;</w:t>
      </w:r>
      <w:r>
        <w:rPr>
          <w:spacing w:val="-3"/>
          <w:sz w:val="18"/>
          <w:vertAlign w:val="baseline"/>
        </w:rPr>
        <w:t> </w:t>
      </w:r>
      <w:r>
        <w:rPr>
          <w:sz w:val="18"/>
          <w:vertAlign w:val="baseline"/>
        </w:rPr>
        <w:t>Gong,</w:t>
      </w:r>
      <w:r>
        <w:rPr>
          <w:spacing w:val="-3"/>
          <w:sz w:val="18"/>
          <w:vertAlign w:val="baseline"/>
        </w:rPr>
        <w:t> </w:t>
      </w:r>
      <w:r>
        <w:rPr>
          <w:sz w:val="18"/>
          <w:vertAlign w:val="baseline"/>
        </w:rPr>
        <w:t>X.</w:t>
      </w:r>
      <w:r>
        <w:rPr>
          <w:spacing w:val="-2"/>
          <w:sz w:val="18"/>
          <w:vertAlign w:val="baseline"/>
        </w:rPr>
        <w:t> </w:t>
      </w:r>
      <w:r>
        <w:rPr>
          <w:sz w:val="18"/>
          <w:vertAlign w:val="baseline"/>
        </w:rPr>
        <w:t>(2023).</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School</w:t>
      </w:r>
      <w:r>
        <w:rPr>
          <w:i/>
          <w:spacing w:val="-3"/>
          <w:sz w:val="18"/>
          <w:vertAlign w:val="baseline"/>
        </w:rPr>
        <w:t> </w:t>
      </w:r>
      <w:r>
        <w:rPr>
          <w:i/>
          <w:sz w:val="18"/>
          <w:vertAlign w:val="baseline"/>
        </w:rPr>
        <w:t>Leadership,</w:t>
      </w:r>
      <w:r>
        <w:rPr>
          <w:i/>
          <w:spacing w:val="-3"/>
          <w:sz w:val="18"/>
          <w:vertAlign w:val="baseline"/>
        </w:rPr>
        <w:t> </w:t>
      </w:r>
      <w:r>
        <w:rPr>
          <w:i/>
          <w:sz w:val="18"/>
          <w:vertAlign w:val="baseline"/>
        </w:rPr>
        <w:t>33</w:t>
      </w:r>
      <w:r>
        <w:rPr>
          <w:sz w:val="18"/>
          <w:vertAlign w:val="baseline"/>
        </w:rPr>
        <w:t>(4),</w:t>
      </w:r>
      <w:r>
        <w:rPr>
          <w:spacing w:val="-3"/>
          <w:sz w:val="18"/>
          <w:vertAlign w:val="baseline"/>
        </w:rPr>
        <w:t> </w:t>
      </w:r>
      <w:r>
        <w:rPr>
          <w:sz w:val="18"/>
          <w:vertAlign w:val="baseline"/>
        </w:rPr>
        <w:t>382-408. </w:t>
      </w:r>
      <w:r>
        <w:rPr>
          <w:spacing w:val="-2"/>
          <w:sz w:val="18"/>
          <w:vertAlign w:val="baseline"/>
        </w:rPr>
        <w:t>https://doi.org/10.1177/10526846231174051</w:t>
      </w:r>
    </w:p>
    <w:p>
      <w:pPr>
        <w:spacing w:before="0"/>
        <w:ind w:left="463" w:right="565" w:firstLine="0"/>
        <w:jc w:val="left"/>
        <w:rPr>
          <w:sz w:val="18"/>
        </w:rPr>
      </w:pPr>
      <w:bookmarkStart w:name="_bookmark76" w:id="186"/>
      <w:bookmarkEnd w:id="186"/>
      <w:r>
        <w:rPr/>
      </w:r>
      <w:r>
        <w:rPr>
          <w:sz w:val="18"/>
          <w:vertAlign w:val="superscript"/>
        </w:rPr>
        <w:t>37</w:t>
      </w:r>
      <w:r>
        <w:rPr>
          <w:spacing w:val="-2"/>
          <w:sz w:val="18"/>
          <w:vertAlign w:val="baseline"/>
        </w:rPr>
        <w:t> </w:t>
      </w:r>
      <w:r>
        <w:rPr>
          <w:sz w:val="18"/>
          <w:vertAlign w:val="baseline"/>
        </w:rPr>
        <w:t>American</w:t>
      </w:r>
      <w:r>
        <w:rPr>
          <w:spacing w:val="-2"/>
          <w:sz w:val="18"/>
          <w:vertAlign w:val="baseline"/>
        </w:rPr>
        <w:t> </w:t>
      </w:r>
      <w:r>
        <w:rPr>
          <w:sz w:val="18"/>
          <w:vertAlign w:val="baseline"/>
        </w:rPr>
        <w:t>Civil</w:t>
      </w:r>
      <w:r>
        <w:rPr>
          <w:spacing w:val="-3"/>
          <w:sz w:val="18"/>
          <w:vertAlign w:val="baseline"/>
        </w:rPr>
        <w:t> </w:t>
      </w:r>
      <w:r>
        <w:rPr>
          <w:sz w:val="18"/>
          <w:vertAlign w:val="baseline"/>
        </w:rPr>
        <w:t>Liberties</w:t>
      </w:r>
      <w:r>
        <w:rPr>
          <w:spacing w:val="-2"/>
          <w:sz w:val="18"/>
          <w:vertAlign w:val="baseline"/>
        </w:rPr>
        <w:t> </w:t>
      </w:r>
      <w:r>
        <w:rPr>
          <w:sz w:val="18"/>
          <w:vertAlign w:val="baseline"/>
        </w:rPr>
        <w:t>Union.</w:t>
      </w:r>
      <w:r>
        <w:rPr>
          <w:spacing w:val="-2"/>
          <w:sz w:val="18"/>
          <w:vertAlign w:val="baseline"/>
        </w:rPr>
        <w:t> </w:t>
      </w:r>
      <w:r>
        <w:rPr>
          <w:sz w:val="18"/>
          <w:vertAlign w:val="baseline"/>
        </w:rPr>
        <w:t>2024</w:t>
      </w:r>
      <w:r>
        <w:rPr>
          <w:spacing w:val="-2"/>
          <w:sz w:val="18"/>
          <w:vertAlign w:val="baseline"/>
        </w:rPr>
        <w:t> </w:t>
      </w:r>
      <w:r>
        <w:rPr>
          <w:sz w:val="18"/>
          <w:vertAlign w:val="baseline"/>
        </w:rPr>
        <w:t>Legislative</w:t>
      </w:r>
      <w:r>
        <w:rPr>
          <w:spacing w:val="-2"/>
          <w:sz w:val="18"/>
          <w:vertAlign w:val="baseline"/>
        </w:rPr>
        <w:t> </w:t>
      </w:r>
      <w:r>
        <w:rPr>
          <w:sz w:val="18"/>
          <w:vertAlign w:val="baseline"/>
        </w:rPr>
        <w:t>Session:</w:t>
      </w:r>
      <w:r>
        <w:rPr>
          <w:spacing w:val="-2"/>
          <w:sz w:val="18"/>
          <w:vertAlign w:val="baseline"/>
        </w:rPr>
        <w:t> </w:t>
      </w:r>
      <w:r>
        <w:rPr>
          <w:sz w:val="18"/>
          <w:vertAlign w:val="baseline"/>
        </w:rPr>
        <w:t>The</w:t>
      </w:r>
      <w:r>
        <w:rPr>
          <w:spacing w:val="-2"/>
          <w:sz w:val="18"/>
          <w:vertAlign w:val="baseline"/>
        </w:rPr>
        <w:t> </w:t>
      </w:r>
      <w:r>
        <w:rPr>
          <w:sz w:val="18"/>
          <w:vertAlign w:val="baseline"/>
        </w:rPr>
        <w:t>ACLU</w:t>
      </w:r>
      <w:r>
        <w:rPr>
          <w:spacing w:val="-3"/>
          <w:sz w:val="18"/>
          <w:vertAlign w:val="baseline"/>
        </w:rPr>
        <w:t> </w:t>
      </w:r>
      <w:r>
        <w:rPr>
          <w:sz w:val="18"/>
          <w:vertAlign w:val="baseline"/>
        </w:rPr>
        <w:t>is</w:t>
      </w:r>
      <w:r>
        <w:rPr>
          <w:spacing w:val="-2"/>
          <w:sz w:val="18"/>
          <w:vertAlign w:val="baseline"/>
        </w:rPr>
        <w:t> </w:t>
      </w:r>
      <w:r>
        <w:rPr>
          <w:sz w:val="18"/>
          <w:vertAlign w:val="baseline"/>
        </w:rPr>
        <w:t>currently</w:t>
      </w:r>
      <w:r>
        <w:rPr>
          <w:spacing w:val="-2"/>
          <w:sz w:val="18"/>
          <w:vertAlign w:val="baseline"/>
        </w:rPr>
        <w:t> </w:t>
      </w:r>
      <w:r>
        <w:rPr>
          <w:sz w:val="18"/>
          <w:vertAlign w:val="baseline"/>
        </w:rPr>
        <w:t>tracking</w:t>
      </w:r>
      <w:r>
        <w:rPr>
          <w:spacing w:val="-2"/>
          <w:sz w:val="18"/>
          <w:vertAlign w:val="baseline"/>
        </w:rPr>
        <w:t> </w:t>
      </w:r>
      <w:r>
        <w:rPr>
          <w:sz w:val="18"/>
          <w:vertAlign w:val="baseline"/>
        </w:rPr>
        <w:t>515</w:t>
      </w:r>
      <w:r>
        <w:rPr>
          <w:spacing w:val="-2"/>
          <w:sz w:val="18"/>
          <w:vertAlign w:val="baseline"/>
        </w:rPr>
        <w:t> </w:t>
      </w:r>
      <w:r>
        <w:rPr>
          <w:sz w:val="18"/>
          <w:vertAlign w:val="baseline"/>
        </w:rPr>
        <w:t>anti-LGBTQ</w:t>
      </w:r>
      <w:r>
        <w:rPr>
          <w:spacing w:val="-2"/>
          <w:sz w:val="18"/>
          <w:vertAlign w:val="baseline"/>
        </w:rPr>
        <w:t> </w:t>
      </w:r>
      <w:r>
        <w:rPr>
          <w:sz w:val="18"/>
          <w:vertAlign w:val="baseline"/>
        </w:rPr>
        <w:t>bills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U.S. Accessed May 16, 2024. https:</w:t>
      </w:r>
      <w:hyperlink r:id="rId118">
        <w:r>
          <w:rPr>
            <w:sz w:val="18"/>
            <w:vertAlign w:val="baseline"/>
          </w:rPr>
          <w:t>//www.aclu.org/legislative-attacks-on-lgbtq-rights-2024</w:t>
        </w:r>
      </w:hyperlink>
    </w:p>
    <w:p>
      <w:pPr>
        <w:spacing w:before="0"/>
        <w:ind w:left="464" w:right="967" w:hanging="1"/>
        <w:jc w:val="left"/>
        <w:rPr>
          <w:sz w:val="18"/>
        </w:rPr>
      </w:pPr>
      <w:bookmarkStart w:name="_bookmark77" w:id="187"/>
      <w:bookmarkEnd w:id="187"/>
      <w:r>
        <w:rPr/>
      </w:r>
      <w:r>
        <w:rPr>
          <w:sz w:val="18"/>
          <w:vertAlign w:val="superscript"/>
        </w:rPr>
        <w:t>38</w:t>
      </w:r>
      <w:r>
        <w:rPr>
          <w:sz w:val="18"/>
          <w:vertAlign w:val="baseline"/>
        </w:rPr>
        <w:t> Mayo Clinic. (n.d.). </w:t>
      </w:r>
      <w:r>
        <w:rPr>
          <w:i/>
          <w:sz w:val="18"/>
          <w:vertAlign w:val="baseline"/>
        </w:rPr>
        <w:t>Children and gender identity: Supporting your child. </w:t>
      </w:r>
      <w:r>
        <w:rPr>
          <w:sz w:val="18"/>
          <w:vertAlign w:val="baseline"/>
        </w:rPr>
        <w:t>Accessed May 18, 2024. </w:t>
      </w:r>
      <w:r>
        <w:rPr>
          <w:spacing w:val="-2"/>
          <w:sz w:val="18"/>
          <w:vertAlign w:val="baseline"/>
        </w:rPr>
        <w:t>https:</w:t>
      </w:r>
      <w:hyperlink r:id="rId119">
        <w:r>
          <w:rPr>
            <w:spacing w:val="-2"/>
            <w:sz w:val="18"/>
            <w:vertAlign w:val="baseline"/>
          </w:rPr>
          <w:t>//www.mayoclinic.org/healthy-lifestyle/childrens-health/in-depth/children-and-gender-identity/art-20266811</w:t>
        </w:r>
      </w:hyperlink>
    </w:p>
    <w:p>
      <w:pPr>
        <w:spacing w:after="0"/>
        <w:jc w:val="left"/>
        <w:rPr>
          <w:sz w:val="18"/>
        </w:rPr>
        <w:sectPr>
          <w:pgSz w:w="12240" w:h="15840"/>
          <w:pgMar w:header="763" w:footer="1041" w:top="1140" w:bottom="1240" w:left="1120" w:right="1180"/>
        </w:sectPr>
      </w:pPr>
    </w:p>
    <w:p>
      <w:pPr>
        <w:pStyle w:val="BodyText"/>
        <w:rPr>
          <w:sz w:val="34"/>
        </w:rPr>
      </w:pPr>
    </w:p>
    <w:p>
      <w:pPr>
        <w:pStyle w:val="BodyText"/>
        <w:spacing w:before="243"/>
        <w:rPr>
          <w:sz w:val="34"/>
        </w:rPr>
      </w:pPr>
    </w:p>
    <w:p>
      <w:pPr>
        <w:spacing w:line="359" w:lineRule="exact" w:before="1"/>
        <w:ind w:left="874" w:right="0" w:firstLine="0"/>
        <w:jc w:val="left"/>
        <w:rPr>
          <w:sz w:val="34"/>
        </w:rPr>
      </w:pP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1"/>
        <w:spacing w:line="187" w:lineRule="auto"/>
        <w:ind w:left="874"/>
      </w:pPr>
      <w:r>
        <w:rPr>
          <w:color w:val="FFFFFF"/>
          <w:spacing w:val="-26"/>
        </w:rPr>
        <w:t>UPLIFTING </w:t>
      </w:r>
      <w:r>
        <w:rPr>
          <w:color w:val="FFFFFF"/>
          <w:spacing w:val="-2"/>
          <w:w w:val="90"/>
        </w:rPr>
        <w:t>EDUCATION</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5"/>
        <w:rPr>
          <w:rFonts w:ascii="Arial Black"/>
          <w:sz w:val="20"/>
        </w:rPr>
      </w:pPr>
    </w:p>
    <w:p>
      <w:pPr>
        <w:spacing w:after="0"/>
        <w:rPr>
          <w:rFonts w:ascii="Arial Black"/>
          <w:sz w:val="20"/>
        </w:rPr>
        <w:sectPr>
          <w:headerReference w:type="default" r:id="rId120"/>
          <w:footerReference w:type="default" r:id="rId121"/>
          <w:pgSz w:w="12240" w:h="15840"/>
          <w:pgMar w:header="0" w:footer="0" w:top="0" w:bottom="280" w:left="720" w:right="1260"/>
        </w:sectPr>
      </w:pPr>
    </w:p>
    <w:p>
      <w:pPr>
        <w:pStyle w:val="Heading9"/>
        <w:ind w:left="357"/>
        <w:jc w:val="left"/>
        <w:rPr>
          <w:i/>
        </w:rPr>
      </w:pPr>
      <w:r>
        <w:rPr>
          <w:i/>
          <w:spacing w:val="11"/>
          <w:w w:val="125"/>
        </w:rPr>
        <w:t>ABOUT</w:t>
      </w:r>
    </w:p>
    <w:p>
      <w:pPr>
        <w:spacing w:line="268" w:lineRule="auto" w:before="45"/>
        <w:ind w:left="523" w:right="0" w:firstLine="0"/>
        <w:jc w:val="left"/>
        <w:rPr>
          <w:rFonts w:ascii="Georgia"/>
          <w:sz w:val="24"/>
        </w:rPr>
      </w:pPr>
      <w:r>
        <w:rPr>
          <w:rFonts w:ascii="Georgia"/>
          <w:sz w:val="24"/>
        </w:rPr>
        <w:t>This report highlights key findings both locally and nationally that illustrate what is proven to create safer, more supportive schools for LGBTQ+</w:t>
      </w:r>
      <w:r>
        <w:rPr>
          <w:rFonts w:ascii="Georgia"/>
          <w:spacing w:val="-2"/>
          <w:sz w:val="24"/>
        </w:rPr>
        <w:t> </w:t>
      </w:r>
      <w:r>
        <w:rPr>
          <w:rFonts w:ascii="Georgia"/>
          <w:sz w:val="24"/>
        </w:rPr>
        <w:t>youth,</w:t>
      </w:r>
      <w:r>
        <w:rPr>
          <w:rFonts w:ascii="Georgia"/>
          <w:spacing w:val="-2"/>
          <w:sz w:val="24"/>
        </w:rPr>
        <w:t> </w:t>
      </w:r>
      <w:r>
        <w:rPr>
          <w:rFonts w:ascii="Georgia"/>
          <w:sz w:val="24"/>
        </w:rPr>
        <w:t>educators,</w:t>
      </w:r>
      <w:r>
        <w:rPr>
          <w:rFonts w:ascii="Georgia"/>
          <w:spacing w:val="-2"/>
          <w:sz w:val="24"/>
        </w:rPr>
        <w:t> </w:t>
      </w:r>
      <w:r>
        <w:rPr>
          <w:rFonts w:ascii="Georgia"/>
          <w:sz w:val="24"/>
        </w:rPr>
        <w:t>and</w:t>
      </w:r>
      <w:r>
        <w:rPr>
          <w:rFonts w:ascii="Georgia"/>
          <w:spacing w:val="-2"/>
          <w:sz w:val="24"/>
        </w:rPr>
        <w:t> </w:t>
      </w:r>
      <w:r>
        <w:rPr>
          <w:rFonts w:ascii="Georgia"/>
          <w:sz w:val="24"/>
        </w:rPr>
        <w:t>families</w:t>
      </w:r>
      <w:r>
        <w:rPr>
          <w:rFonts w:ascii="Georgia"/>
          <w:spacing w:val="-2"/>
          <w:sz w:val="24"/>
        </w:rPr>
        <w:t> </w:t>
      </w:r>
      <w:r>
        <w:rPr>
          <w:rFonts w:ascii="Georgia"/>
          <w:sz w:val="24"/>
        </w:rPr>
        <w:t>so</w:t>
      </w:r>
      <w:r>
        <w:rPr>
          <w:rFonts w:ascii="Georgia"/>
          <w:spacing w:val="-2"/>
          <w:sz w:val="24"/>
        </w:rPr>
        <w:t> </w:t>
      </w:r>
      <w:r>
        <w:rPr>
          <w:rFonts w:ascii="Georgia"/>
          <w:sz w:val="24"/>
        </w:rPr>
        <w:t>they can access joy, well-being, and successful </w:t>
      </w:r>
      <w:r>
        <w:rPr>
          <w:rFonts w:ascii="Georgia"/>
          <w:spacing w:val="-2"/>
          <w:sz w:val="24"/>
        </w:rPr>
        <w:t>futures.</w:t>
      </w:r>
    </w:p>
    <w:p>
      <w:pPr>
        <w:pStyle w:val="BodyText"/>
        <w:rPr>
          <w:rFonts w:ascii="Georgia"/>
          <w:sz w:val="24"/>
        </w:rPr>
      </w:pPr>
    </w:p>
    <w:p>
      <w:pPr>
        <w:pStyle w:val="BodyText"/>
        <w:spacing w:before="115"/>
        <w:rPr>
          <w:rFonts w:ascii="Georgia"/>
          <w:sz w:val="24"/>
        </w:rPr>
      </w:pPr>
    </w:p>
    <w:p>
      <w:pPr>
        <w:pStyle w:val="Heading9"/>
        <w:spacing w:before="0"/>
        <w:ind w:left="357"/>
        <w:jc w:val="left"/>
        <w:rPr>
          <w:i/>
        </w:rPr>
      </w:pPr>
      <w:r>
        <w:rPr>
          <w:i/>
          <w:spacing w:val="13"/>
          <w:w w:val="125"/>
        </w:rPr>
        <w:t>RECOMMENDATIONS</w:t>
      </w:r>
    </w:p>
    <w:p>
      <w:pPr>
        <w:spacing w:line="278" w:lineRule="auto" w:before="97"/>
        <w:ind w:left="1083" w:right="0" w:firstLine="0"/>
        <w:jc w:val="left"/>
        <w:rPr>
          <w:rFonts w:ascii="Georgia"/>
          <w:sz w:val="19"/>
        </w:rPr>
      </w:pPr>
      <w:r>
        <w:rPr>
          <w:rFonts w:ascii="Georgia"/>
          <w:w w:val="105"/>
          <w:sz w:val="19"/>
        </w:rPr>
        <w:t>Advise</w:t>
      </w:r>
      <w:r>
        <w:rPr>
          <w:rFonts w:ascii="Georgia"/>
          <w:spacing w:val="-11"/>
          <w:w w:val="105"/>
          <w:sz w:val="19"/>
        </w:rPr>
        <w:t> </w:t>
      </w:r>
      <w:r>
        <w:rPr>
          <w:rFonts w:ascii="Georgia"/>
          <w:w w:val="105"/>
          <w:sz w:val="19"/>
        </w:rPr>
        <w:t>administrators</w:t>
      </w:r>
      <w:r>
        <w:rPr>
          <w:rFonts w:ascii="Georgia"/>
          <w:spacing w:val="-11"/>
          <w:w w:val="105"/>
          <w:sz w:val="19"/>
        </w:rPr>
        <w:t> </w:t>
      </w:r>
      <w:r>
        <w:rPr>
          <w:rFonts w:ascii="Georgia"/>
          <w:w w:val="105"/>
          <w:sz w:val="19"/>
        </w:rPr>
        <w:t>and</w:t>
      </w:r>
      <w:r>
        <w:rPr>
          <w:rFonts w:ascii="Georgia"/>
          <w:spacing w:val="-11"/>
          <w:w w:val="105"/>
          <w:sz w:val="19"/>
        </w:rPr>
        <w:t> </w:t>
      </w:r>
      <w:r>
        <w:rPr>
          <w:rFonts w:ascii="Georgia"/>
          <w:w w:val="105"/>
          <w:sz w:val="19"/>
        </w:rPr>
        <w:t>educators</w:t>
      </w:r>
      <w:r>
        <w:rPr>
          <w:rFonts w:ascii="Georgia"/>
          <w:spacing w:val="-11"/>
          <w:w w:val="105"/>
          <w:sz w:val="19"/>
        </w:rPr>
        <w:t> </w:t>
      </w:r>
      <w:r>
        <w:rPr>
          <w:rFonts w:ascii="Georgia"/>
          <w:w w:val="105"/>
          <w:sz w:val="19"/>
        </w:rPr>
        <w:t>to</w:t>
      </w:r>
      <w:r>
        <w:rPr>
          <w:rFonts w:ascii="Georgia"/>
          <w:spacing w:val="-11"/>
          <w:w w:val="105"/>
          <w:sz w:val="19"/>
        </w:rPr>
        <w:t> </w:t>
      </w:r>
      <w:r>
        <w:rPr>
          <w:rFonts w:ascii="Georgia"/>
          <w:w w:val="105"/>
          <w:sz w:val="19"/>
        </w:rPr>
        <w:t>proactively voice support of LGBTQ materials, and establish statewide process guidelines for challenged book </w:t>
      </w:r>
      <w:r>
        <w:rPr>
          <w:rFonts w:ascii="Georgia"/>
          <w:spacing w:val="-2"/>
          <w:w w:val="105"/>
          <w:sz w:val="19"/>
        </w:rPr>
        <w:t>reviews.</w:t>
      </w:r>
    </w:p>
    <w:p>
      <w:pPr>
        <w:spacing w:line="1080" w:lineRule="exact" w:before="332"/>
        <w:ind w:left="330" w:right="76" w:firstLine="0"/>
        <w:jc w:val="center"/>
        <w:rPr>
          <w:rFonts w:ascii="Arial Black"/>
          <w:sz w:val="77"/>
        </w:rPr>
      </w:pPr>
      <w:r>
        <w:rPr/>
        <w:br w:type="column"/>
      </w:r>
      <w:r>
        <w:rPr>
          <w:rFonts w:ascii="Arial Black"/>
          <w:emboss/>
          <w:color w:val="EC3105"/>
          <w:spacing w:val="8"/>
          <w:sz w:val="77"/>
        </w:rPr>
        <w:t>56%</w:t>
      </w:r>
    </w:p>
    <w:p>
      <w:pPr>
        <w:pStyle w:val="BodyText"/>
        <w:spacing w:line="266" w:lineRule="auto"/>
        <w:ind w:left="380" w:right="124"/>
        <w:jc w:val="center"/>
        <w:rPr>
          <w:rFonts w:ascii="Georgia"/>
        </w:rPr>
      </w:pPr>
      <w:r>
        <w:rPr>
          <w:rFonts w:ascii="Georgia"/>
        </w:rPr>
        <w:t>of LGBTQ students reported </w:t>
      </w:r>
      <w:r>
        <w:rPr>
          <w:rFonts w:ascii="Georgia"/>
        </w:rPr>
        <w:t>hearing homophobic remarks from teachers and staff</w:t>
      </w:r>
    </w:p>
    <w:p>
      <w:pPr>
        <w:pStyle w:val="BodyText"/>
        <w:spacing w:before="242"/>
        <w:rPr>
          <w:rFonts w:ascii="Georgia"/>
        </w:rPr>
      </w:pPr>
    </w:p>
    <w:p>
      <w:pPr>
        <w:pStyle w:val="Heading4"/>
        <w:ind w:left="330"/>
        <w:jc w:val="center"/>
      </w:pPr>
      <w:r>
        <w:rPr>
          <w:emboss/>
          <w:color w:val="EC3105"/>
          <w:spacing w:val="13"/>
        </w:rPr>
        <w:t>70%</w:t>
      </w:r>
    </w:p>
    <w:p>
      <w:pPr>
        <w:pStyle w:val="BodyText"/>
        <w:spacing w:line="266" w:lineRule="auto" w:before="36"/>
        <w:ind w:left="330" w:right="74"/>
        <w:jc w:val="center"/>
        <w:rPr>
          <w:rFonts w:ascii="Georgia"/>
        </w:rPr>
      </w:pPr>
      <w:r>
        <w:rPr>
          <w:rFonts w:ascii="Georgia"/>
        </w:rPr>
        <w:t>of LGBTQ+ students report being </w:t>
      </w:r>
      <w:r>
        <w:rPr>
          <w:rFonts w:ascii="Georgia"/>
        </w:rPr>
        <w:t>the </w:t>
      </w:r>
      <w:r>
        <w:rPr>
          <w:rFonts w:ascii="Georgia"/>
          <w:w w:val="105"/>
        </w:rPr>
        <w:t>victim of bullying</w:t>
      </w:r>
    </w:p>
    <w:p>
      <w:pPr>
        <w:spacing w:after="0" w:line="266" w:lineRule="auto"/>
        <w:jc w:val="center"/>
        <w:rPr>
          <w:rFonts w:ascii="Georgia"/>
        </w:rPr>
        <w:sectPr>
          <w:type w:val="continuous"/>
          <w:pgSz w:w="12240" w:h="15840"/>
          <w:pgMar w:header="0" w:footer="0" w:top="1420" w:bottom="280" w:left="720" w:right="1260"/>
          <w:cols w:num="2" w:equalWidth="0">
            <w:col w:w="5598" w:space="537"/>
            <w:col w:w="4125"/>
          </w:cols>
        </w:sectPr>
      </w:pPr>
    </w:p>
    <w:p>
      <w:pPr>
        <w:pStyle w:val="BodyText"/>
        <w:spacing w:before="1"/>
        <w:rPr>
          <w:rFonts w:ascii="Georgia"/>
          <w:sz w:val="12"/>
        </w:rPr>
      </w:pPr>
    </w:p>
    <w:p>
      <w:pPr>
        <w:spacing w:after="0"/>
        <w:rPr>
          <w:rFonts w:ascii="Georgia"/>
          <w:sz w:val="12"/>
        </w:rPr>
        <w:sectPr>
          <w:type w:val="continuous"/>
          <w:pgSz w:w="12240" w:h="15840"/>
          <w:pgMar w:header="0" w:footer="0" w:top="1420" w:bottom="280" w:left="720" w:right="1260"/>
        </w:sectPr>
      </w:pPr>
    </w:p>
    <w:p>
      <w:pPr>
        <w:spacing w:line="278" w:lineRule="auto" w:before="103"/>
        <w:ind w:left="1083" w:right="0" w:firstLine="0"/>
        <w:jc w:val="left"/>
        <w:rPr>
          <w:rFonts w:ascii="Georgia"/>
          <w:sz w:val="19"/>
        </w:rPr>
      </w:pPr>
      <w:r>
        <w:rPr>
          <w:rFonts w:ascii="Georgia"/>
          <w:w w:val="105"/>
          <w:sz w:val="19"/>
        </w:rPr>
        <w:t>Ensure that all subject areas are reflective of </w:t>
      </w:r>
      <w:r>
        <w:rPr>
          <w:rFonts w:ascii="Georgia"/>
          <w:spacing w:val="-2"/>
          <w:w w:val="105"/>
          <w:sz w:val="19"/>
        </w:rPr>
        <w:t>LGBTQ</w:t>
      </w:r>
      <w:r>
        <w:rPr>
          <w:rFonts w:ascii="Georgia"/>
          <w:spacing w:val="-7"/>
          <w:w w:val="105"/>
          <w:sz w:val="19"/>
        </w:rPr>
        <w:t> </w:t>
      </w:r>
      <w:r>
        <w:rPr>
          <w:rFonts w:ascii="Georgia"/>
          <w:spacing w:val="-2"/>
          <w:w w:val="105"/>
          <w:sz w:val="19"/>
        </w:rPr>
        <w:t>&amp;</w:t>
      </w:r>
      <w:r>
        <w:rPr>
          <w:rFonts w:ascii="Georgia"/>
          <w:spacing w:val="-7"/>
          <w:w w:val="105"/>
          <w:sz w:val="19"/>
        </w:rPr>
        <w:t> </w:t>
      </w:r>
      <w:r>
        <w:rPr>
          <w:rFonts w:ascii="Georgia"/>
          <w:spacing w:val="-2"/>
          <w:w w:val="105"/>
          <w:sz w:val="19"/>
        </w:rPr>
        <w:t>BIPOC</w:t>
      </w:r>
      <w:r>
        <w:rPr>
          <w:rFonts w:ascii="Georgia"/>
          <w:spacing w:val="-7"/>
          <w:w w:val="105"/>
          <w:sz w:val="19"/>
        </w:rPr>
        <w:t> </w:t>
      </w:r>
      <w:r>
        <w:rPr>
          <w:rFonts w:ascii="Georgia"/>
          <w:spacing w:val="-2"/>
          <w:w w:val="105"/>
          <w:sz w:val="19"/>
        </w:rPr>
        <w:t>individuals,</w:t>
      </w:r>
      <w:r>
        <w:rPr>
          <w:rFonts w:ascii="Georgia"/>
          <w:spacing w:val="-7"/>
          <w:w w:val="105"/>
          <w:sz w:val="19"/>
        </w:rPr>
        <w:t> </w:t>
      </w:r>
      <w:r>
        <w:rPr>
          <w:rFonts w:ascii="Georgia"/>
          <w:spacing w:val="-2"/>
          <w:w w:val="105"/>
          <w:sz w:val="19"/>
        </w:rPr>
        <w:t>historical</w:t>
      </w:r>
      <w:r>
        <w:rPr>
          <w:rFonts w:ascii="Georgia"/>
          <w:spacing w:val="-7"/>
          <w:w w:val="105"/>
          <w:sz w:val="19"/>
        </w:rPr>
        <w:t> </w:t>
      </w:r>
      <w:r>
        <w:rPr>
          <w:rFonts w:ascii="Georgia"/>
          <w:spacing w:val="-2"/>
          <w:w w:val="105"/>
          <w:sz w:val="19"/>
        </w:rPr>
        <w:t>events,</w:t>
      </w:r>
      <w:r>
        <w:rPr>
          <w:rFonts w:ascii="Georgia"/>
          <w:spacing w:val="-7"/>
          <w:w w:val="105"/>
          <w:sz w:val="19"/>
        </w:rPr>
        <w:t> </w:t>
      </w:r>
      <w:r>
        <w:rPr>
          <w:rFonts w:ascii="Georgia"/>
          <w:spacing w:val="-2"/>
          <w:w w:val="105"/>
          <w:sz w:val="19"/>
        </w:rPr>
        <w:t>and concepts.</w:t>
      </w:r>
    </w:p>
    <w:p>
      <w:pPr>
        <w:pStyle w:val="BodyText"/>
        <w:spacing w:before="182"/>
        <w:rPr>
          <w:rFonts w:ascii="Georgia"/>
          <w:sz w:val="19"/>
        </w:rPr>
      </w:pPr>
    </w:p>
    <w:p>
      <w:pPr>
        <w:spacing w:line="278" w:lineRule="auto" w:before="0"/>
        <w:ind w:left="1083" w:right="0" w:firstLine="0"/>
        <w:jc w:val="left"/>
        <w:rPr>
          <w:rFonts w:ascii="Georgia"/>
          <w:sz w:val="19"/>
        </w:rPr>
      </w:pPr>
      <w:r>
        <w:rPr>
          <w:rFonts w:ascii="Georgia"/>
          <w:spacing w:val="-2"/>
          <w:w w:val="105"/>
          <w:sz w:val="19"/>
        </w:rPr>
        <w:t>Mandate annual professional development for </w:t>
      </w:r>
      <w:r>
        <w:rPr>
          <w:rFonts w:ascii="Georgia"/>
          <w:spacing w:val="-2"/>
          <w:w w:val="105"/>
          <w:sz w:val="19"/>
        </w:rPr>
        <w:t>all educators.</w:t>
      </w:r>
    </w:p>
    <w:p>
      <w:pPr>
        <w:spacing w:before="75"/>
        <w:ind w:left="852" w:right="16" w:firstLine="0"/>
        <w:jc w:val="center"/>
        <w:rPr>
          <w:rFonts w:ascii="Arial Black"/>
          <w:sz w:val="75"/>
        </w:rPr>
      </w:pPr>
      <w:r>
        <w:rPr/>
        <w:br w:type="column"/>
      </w:r>
      <w:r>
        <w:rPr>
          <w:rFonts w:ascii="Arial Black"/>
          <w:emboss/>
          <w:color w:val="EC3105"/>
          <w:spacing w:val="19"/>
          <w:w w:val="95"/>
          <w:sz w:val="75"/>
        </w:rPr>
        <w:t>82%</w:t>
      </w:r>
    </w:p>
    <w:p>
      <w:pPr>
        <w:pStyle w:val="BodyText"/>
        <w:spacing w:line="266" w:lineRule="auto" w:before="34"/>
        <w:ind w:left="852" w:right="14"/>
        <w:jc w:val="center"/>
        <w:rPr>
          <w:rFonts w:ascii="Georgia"/>
        </w:rPr>
      </w:pPr>
      <w:r>
        <w:rPr>
          <w:rFonts w:ascii="Georgia"/>
        </w:rPr>
        <w:t>of LGBTQ+ youth report not </w:t>
      </w:r>
      <w:r>
        <w:rPr>
          <w:rFonts w:ascii="Georgia"/>
        </w:rPr>
        <w:t>feeling </w:t>
      </w:r>
      <w:r>
        <w:rPr>
          <w:rFonts w:ascii="Georgia"/>
          <w:w w:val="105"/>
        </w:rPr>
        <w:t>safe</w:t>
      </w:r>
      <w:r>
        <w:rPr>
          <w:rFonts w:ascii="Georgia"/>
          <w:spacing w:val="-3"/>
          <w:w w:val="105"/>
        </w:rPr>
        <w:t> </w:t>
      </w:r>
      <w:r>
        <w:rPr>
          <w:rFonts w:ascii="Georgia"/>
          <w:w w:val="105"/>
        </w:rPr>
        <w:t>in</w:t>
      </w:r>
      <w:r>
        <w:rPr>
          <w:rFonts w:ascii="Georgia"/>
          <w:spacing w:val="-3"/>
          <w:w w:val="105"/>
        </w:rPr>
        <w:t> </w:t>
      </w:r>
      <w:r>
        <w:rPr>
          <w:rFonts w:ascii="Georgia"/>
          <w:w w:val="105"/>
        </w:rPr>
        <w:t>school</w:t>
      </w:r>
      <w:r>
        <w:rPr>
          <w:rFonts w:ascii="Georgia"/>
          <w:spacing w:val="-3"/>
          <w:w w:val="105"/>
        </w:rPr>
        <w:t> </w:t>
      </w:r>
      <w:r>
        <w:rPr>
          <w:rFonts w:ascii="Georgia"/>
          <w:w w:val="105"/>
        </w:rPr>
        <w:t>due</w:t>
      </w:r>
      <w:r>
        <w:rPr>
          <w:rFonts w:ascii="Georgia"/>
          <w:spacing w:val="-3"/>
          <w:w w:val="105"/>
        </w:rPr>
        <w:t> </w:t>
      </w:r>
      <w:r>
        <w:rPr>
          <w:rFonts w:ascii="Georgia"/>
          <w:w w:val="105"/>
        </w:rPr>
        <w:t>to</w:t>
      </w:r>
      <w:r>
        <w:rPr>
          <w:rFonts w:ascii="Georgia"/>
          <w:spacing w:val="-3"/>
          <w:w w:val="105"/>
        </w:rPr>
        <w:t> </w:t>
      </w:r>
      <w:r>
        <w:rPr>
          <w:rFonts w:ascii="Georgia"/>
          <w:w w:val="105"/>
        </w:rPr>
        <w:t>their</w:t>
      </w:r>
      <w:r>
        <w:rPr>
          <w:rFonts w:ascii="Georgia"/>
          <w:spacing w:val="-3"/>
          <w:w w:val="105"/>
        </w:rPr>
        <w:t> </w:t>
      </w:r>
      <w:r>
        <w:rPr>
          <w:rFonts w:ascii="Georgia"/>
          <w:w w:val="105"/>
        </w:rPr>
        <w:t>physical </w:t>
      </w:r>
      <w:r>
        <w:rPr>
          <w:rFonts w:ascii="Georgia"/>
          <w:spacing w:val="-2"/>
          <w:w w:val="105"/>
        </w:rPr>
        <w:t>appearance</w:t>
      </w:r>
    </w:p>
    <w:p>
      <w:pPr>
        <w:spacing w:after="0" w:line="266" w:lineRule="auto"/>
        <w:jc w:val="center"/>
        <w:rPr>
          <w:rFonts w:ascii="Georgia"/>
        </w:rPr>
        <w:sectPr>
          <w:type w:val="continuous"/>
          <w:pgSz w:w="12240" w:h="15840"/>
          <w:pgMar w:header="0" w:footer="0" w:top="1420" w:bottom="280" w:left="720" w:right="1260"/>
          <w:cols w:num="2" w:equalWidth="0">
            <w:col w:w="5514" w:space="40"/>
            <w:col w:w="4706"/>
          </w:cols>
        </w:sectPr>
      </w:pPr>
    </w:p>
    <w:p>
      <w:pPr>
        <w:pStyle w:val="BodyText"/>
        <w:spacing w:before="73"/>
        <w:rPr>
          <w:rFonts w:ascii="Georgia"/>
          <w:sz w:val="20"/>
        </w:rPr>
      </w:pPr>
      <w:r>
        <w:rPr/>
        <mc:AlternateContent>
          <mc:Choice Requires="wps">
            <w:drawing>
              <wp:anchor distT="0" distB="0" distL="0" distR="0" allowOverlap="1" layoutInCell="1" locked="0" behindDoc="1" simplePos="0" relativeHeight="482569216">
                <wp:simplePos x="0" y="0"/>
                <wp:positionH relativeFrom="page">
                  <wp:posOffset>0</wp:posOffset>
                </wp:positionH>
                <wp:positionV relativeFrom="page">
                  <wp:posOffset>0</wp:posOffset>
                </wp:positionV>
                <wp:extent cx="7772400" cy="729932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772400" cy="7299325"/>
                          <a:chExt cx="7772400" cy="7299325"/>
                        </a:xfrm>
                      </wpg:grpSpPr>
                      <pic:pic>
                        <pic:nvPicPr>
                          <pic:cNvPr id="139" name="Image 139"/>
                          <pic:cNvPicPr/>
                        </pic:nvPicPr>
                        <pic:blipFill>
                          <a:blip r:embed="rId122" cstate="print"/>
                          <a:stretch>
                            <a:fillRect/>
                          </a:stretch>
                        </pic:blipFill>
                        <pic:spPr>
                          <a:xfrm>
                            <a:off x="0" y="0"/>
                            <a:ext cx="7772400" cy="3174273"/>
                          </a:xfrm>
                          <a:prstGeom prst="rect">
                            <a:avLst/>
                          </a:prstGeom>
                        </pic:spPr>
                      </pic:pic>
                      <pic:pic>
                        <pic:nvPicPr>
                          <pic:cNvPr id="140" name="Image 140"/>
                          <pic:cNvPicPr/>
                        </pic:nvPicPr>
                        <pic:blipFill>
                          <a:blip r:embed="rId98" cstate="print"/>
                          <a:stretch>
                            <a:fillRect/>
                          </a:stretch>
                        </pic:blipFill>
                        <pic:spPr>
                          <a:xfrm>
                            <a:off x="4978373" y="735421"/>
                            <a:ext cx="1480888" cy="1480632"/>
                          </a:xfrm>
                          <a:prstGeom prst="rect">
                            <a:avLst/>
                          </a:prstGeom>
                        </pic:spPr>
                      </pic:pic>
                      <wps:wsp>
                        <wps:cNvPr id="141" name="Graphic 141"/>
                        <wps:cNvSpPr/>
                        <wps:spPr>
                          <a:xfrm>
                            <a:off x="4964628"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4724031" y="4619942"/>
                            <a:ext cx="885825" cy="28575"/>
                          </a:xfrm>
                          <a:custGeom>
                            <a:avLst/>
                            <a:gdLst/>
                            <a:ahLst/>
                            <a:cxnLst/>
                            <a:rect l="l" t="t" r="r" b="b"/>
                            <a:pathLst>
                              <a:path w="885825" h="28575">
                                <a:moveTo>
                                  <a:pt x="85725" y="0"/>
                                </a:moveTo>
                                <a:lnTo>
                                  <a:pt x="0" y="0"/>
                                </a:lnTo>
                                <a:lnTo>
                                  <a:pt x="0" y="28575"/>
                                </a:lnTo>
                                <a:lnTo>
                                  <a:pt x="85725" y="28575"/>
                                </a:lnTo>
                                <a:lnTo>
                                  <a:pt x="85725" y="0"/>
                                </a:lnTo>
                                <a:close/>
                              </a:path>
                              <a:path w="885825" h="28575">
                                <a:moveTo>
                                  <a:pt x="200025" y="0"/>
                                </a:moveTo>
                                <a:lnTo>
                                  <a:pt x="114300" y="0"/>
                                </a:lnTo>
                                <a:lnTo>
                                  <a:pt x="114300" y="28575"/>
                                </a:lnTo>
                                <a:lnTo>
                                  <a:pt x="200025" y="28575"/>
                                </a:lnTo>
                                <a:lnTo>
                                  <a:pt x="200025" y="0"/>
                                </a:lnTo>
                                <a:close/>
                              </a:path>
                              <a:path w="885825" h="28575">
                                <a:moveTo>
                                  <a:pt x="314325" y="0"/>
                                </a:moveTo>
                                <a:lnTo>
                                  <a:pt x="228600" y="0"/>
                                </a:lnTo>
                                <a:lnTo>
                                  <a:pt x="228600" y="28575"/>
                                </a:lnTo>
                                <a:lnTo>
                                  <a:pt x="314325" y="28575"/>
                                </a:lnTo>
                                <a:lnTo>
                                  <a:pt x="314325" y="0"/>
                                </a:lnTo>
                                <a:close/>
                              </a:path>
                              <a:path w="885825" h="28575">
                                <a:moveTo>
                                  <a:pt x="428625" y="0"/>
                                </a:moveTo>
                                <a:lnTo>
                                  <a:pt x="342900" y="0"/>
                                </a:lnTo>
                                <a:lnTo>
                                  <a:pt x="342900" y="28575"/>
                                </a:lnTo>
                                <a:lnTo>
                                  <a:pt x="428625" y="28575"/>
                                </a:lnTo>
                                <a:lnTo>
                                  <a:pt x="428625" y="0"/>
                                </a:lnTo>
                                <a:close/>
                              </a:path>
                              <a:path w="885825" h="28575">
                                <a:moveTo>
                                  <a:pt x="542925" y="0"/>
                                </a:moveTo>
                                <a:lnTo>
                                  <a:pt x="457200" y="0"/>
                                </a:lnTo>
                                <a:lnTo>
                                  <a:pt x="457200" y="28575"/>
                                </a:lnTo>
                                <a:lnTo>
                                  <a:pt x="542925" y="28575"/>
                                </a:lnTo>
                                <a:lnTo>
                                  <a:pt x="542925" y="0"/>
                                </a:lnTo>
                                <a:close/>
                              </a:path>
                              <a:path w="885825" h="28575">
                                <a:moveTo>
                                  <a:pt x="657225" y="0"/>
                                </a:moveTo>
                                <a:lnTo>
                                  <a:pt x="571500" y="0"/>
                                </a:lnTo>
                                <a:lnTo>
                                  <a:pt x="571500" y="28575"/>
                                </a:lnTo>
                                <a:lnTo>
                                  <a:pt x="657225" y="28575"/>
                                </a:lnTo>
                                <a:lnTo>
                                  <a:pt x="657225" y="0"/>
                                </a:lnTo>
                                <a:close/>
                              </a:path>
                              <a:path w="885825" h="28575">
                                <a:moveTo>
                                  <a:pt x="771525" y="0"/>
                                </a:moveTo>
                                <a:lnTo>
                                  <a:pt x="685800" y="0"/>
                                </a:lnTo>
                                <a:lnTo>
                                  <a:pt x="685800" y="28575"/>
                                </a:lnTo>
                                <a:lnTo>
                                  <a:pt x="771525" y="28575"/>
                                </a:lnTo>
                                <a:lnTo>
                                  <a:pt x="771525" y="0"/>
                                </a:lnTo>
                                <a:close/>
                              </a:path>
                              <a:path w="885825" h="28575">
                                <a:moveTo>
                                  <a:pt x="885825" y="0"/>
                                </a:moveTo>
                                <a:lnTo>
                                  <a:pt x="800100" y="0"/>
                                </a:lnTo>
                                <a:lnTo>
                                  <a:pt x="800100" y="28575"/>
                                </a:lnTo>
                                <a:lnTo>
                                  <a:pt x="885825" y="28575"/>
                                </a:lnTo>
                                <a:lnTo>
                                  <a:pt x="885825" y="0"/>
                                </a:lnTo>
                                <a:close/>
                              </a:path>
                            </a:pathLst>
                          </a:custGeom>
                          <a:solidFill>
                            <a:srgbClr val="EC3105"/>
                          </a:solidFill>
                        </wps:spPr>
                        <wps:bodyPr wrap="square" lIns="0" tIns="0" rIns="0" bIns="0" rtlCol="0">
                          <a:prstTxWarp prst="textNoShape">
                            <a:avLst/>
                          </a:prstTxWarp>
                          <a:noAutofit/>
                        </wps:bodyPr>
                      </wps:wsp>
                      <pic:pic>
                        <pic:nvPicPr>
                          <pic:cNvPr id="143" name="Image 143"/>
                          <pic:cNvPicPr/>
                        </pic:nvPicPr>
                        <pic:blipFill>
                          <a:blip r:embed="rId123" cstate="print"/>
                          <a:stretch>
                            <a:fillRect/>
                          </a:stretch>
                        </pic:blipFill>
                        <pic:spPr>
                          <a:xfrm>
                            <a:off x="533119" y="2957588"/>
                            <a:ext cx="4162339" cy="4341271"/>
                          </a:xfrm>
                          <a:prstGeom prst="rect">
                            <a:avLst/>
                          </a:prstGeom>
                        </pic:spPr>
                      </pic:pic>
                      <wps:wsp>
                        <wps:cNvPr id="144" name="Graphic 144"/>
                        <wps:cNvSpPr/>
                        <wps:spPr>
                          <a:xfrm>
                            <a:off x="5638431" y="4619942"/>
                            <a:ext cx="1516380" cy="28575"/>
                          </a:xfrm>
                          <a:custGeom>
                            <a:avLst/>
                            <a:gdLst/>
                            <a:ahLst/>
                            <a:cxnLst/>
                            <a:rect l="l" t="t" r="r" b="b"/>
                            <a:pathLst>
                              <a:path w="1516380" h="28575">
                                <a:moveTo>
                                  <a:pt x="85725" y="0"/>
                                </a:moveTo>
                                <a:lnTo>
                                  <a:pt x="0" y="0"/>
                                </a:lnTo>
                                <a:lnTo>
                                  <a:pt x="0" y="28575"/>
                                </a:lnTo>
                                <a:lnTo>
                                  <a:pt x="85725" y="28575"/>
                                </a:lnTo>
                                <a:lnTo>
                                  <a:pt x="85725" y="0"/>
                                </a:lnTo>
                                <a:close/>
                              </a:path>
                              <a:path w="1516380" h="28575">
                                <a:moveTo>
                                  <a:pt x="200025" y="0"/>
                                </a:moveTo>
                                <a:lnTo>
                                  <a:pt x="114300" y="0"/>
                                </a:lnTo>
                                <a:lnTo>
                                  <a:pt x="114300" y="28575"/>
                                </a:lnTo>
                                <a:lnTo>
                                  <a:pt x="200025" y="28575"/>
                                </a:lnTo>
                                <a:lnTo>
                                  <a:pt x="200025" y="0"/>
                                </a:lnTo>
                                <a:close/>
                              </a:path>
                              <a:path w="1516380" h="28575">
                                <a:moveTo>
                                  <a:pt x="314325" y="0"/>
                                </a:moveTo>
                                <a:lnTo>
                                  <a:pt x="228600" y="0"/>
                                </a:lnTo>
                                <a:lnTo>
                                  <a:pt x="228600" y="28575"/>
                                </a:lnTo>
                                <a:lnTo>
                                  <a:pt x="314325" y="28575"/>
                                </a:lnTo>
                                <a:lnTo>
                                  <a:pt x="314325" y="0"/>
                                </a:lnTo>
                                <a:close/>
                              </a:path>
                              <a:path w="1516380" h="28575">
                                <a:moveTo>
                                  <a:pt x="428625" y="0"/>
                                </a:moveTo>
                                <a:lnTo>
                                  <a:pt x="342900" y="0"/>
                                </a:lnTo>
                                <a:lnTo>
                                  <a:pt x="342900" y="28575"/>
                                </a:lnTo>
                                <a:lnTo>
                                  <a:pt x="428625" y="28575"/>
                                </a:lnTo>
                                <a:lnTo>
                                  <a:pt x="428625" y="0"/>
                                </a:lnTo>
                                <a:close/>
                              </a:path>
                              <a:path w="1516380" h="28575">
                                <a:moveTo>
                                  <a:pt x="542925" y="0"/>
                                </a:moveTo>
                                <a:lnTo>
                                  <a:pt x="457200" y="0"/>
                                </a:lnTo>
                                <a:lnTo>
                                  <a:pt x="457200" y="28575"/>
                                </a:lnTo>
                                <a:lnTo>
                                  <a:pt x="542925" y="28575"/>
                                </a:lnTo>
                                <a:lnTo>
                                  <a:pt x="542925" y="0"/>
                                </a:lnTo>
                                <a:close/>
                              </a:path>
                              <a:path w="1516380" h="28575">
                                <a:moveTo>
                                  <a:pt x="657225" y="0"/>
                                </a:moveTo>
                                <a:lnTo>
                                  <a:pt x="571500" y="0"/>
                                </a:lnTo>
                                <a:lnTo>
                                  <a:pt x="571500" y="28575"/>
                                </a:lnTo>
                                <a:lnTo>
                                  <a:pt x="657225" y="28575"/>
                                </a:lnTo>
                                <a:lnTo>
                                  <a:pt x="657225" y="0"/>
                                </a:lnTo>
                                <a:close/>
                              </a:path>
                              <a:path w="1516380" h="28575">
                                <a:moveTo>
                                  <a:pt x="771525" y="0"/>
                                </a:moveTo>
                                <a:lnTo>
                                  <a:pt x="685800" y="0"/>
                                </a:lnTo>
                                <a:lnTo>
                                  <a:pt x="685800" y="28575"/>
                                </a:lnTo>
                                <a:lnTo>
                                  <a:pt x="771525" y="28575"/>
                                </a:lnTo>
                                <a:lnTo>
                                  <a:pt x="771525" y="0"/>
                                </a:lnTo>
                                <a:close/>
                              </a:path>
                              <a:path w="1516380" h="28575">
                                <a:moveTo>
                                  <a:pt x="885825" y="0"/>
                                </a:moveTo>
                                <a:lnTo>
                                  <a:pt x="800100" y="0"/>
                                </a:lnTo>
                                <a:lnTo>
                                  <a:pt x="800100" y="28575"/>
                                </a:lnTo>
                                <a:lnTo>
                                  <a:pt x="885825" y="28575"/>
                                </a:lnTo>
                                <a:lnTo>
                                  <a:pt x="885825" y="0"/>
                                </a:lnTo>
                                <a:close/>
                              </a:path>
                              <a:path w="1516380" h="28575">
                                <a:moveTo>
                                  <a:pt x="1000125" y="0"/>
                                </a:moveTo>
                                <a:lnTo>
                                  <a:pt x="914400" y="0"/>
                                </a:lnTo>
                                <a:lnTo>
                                  <a:pt x="914400" y="28575"/>
                                </a:lnTo>
                                <a:lnTo>
                                  <a:pt x="1000125" y="28575"/>
                                </a:lnTo>
                                <a:lnTo>
                                  <a:pt x="1000125" y="0"/>
                                </a:lnTo>
                                <a:close/>
                              </a:path>
                              <a:path w="1516380" h="28575">
                                <a:moveTo>
                                  <a:pt x="1114425" y="0"/>
                                </a:moveTo>
                                <a:lnTo>
                                  <a:pt x="1028700" y="0"/>
                                </a:lnTo>
                                <a:lnTo>
                                  <a:pt x="1028700" y="28575"/>
                                </a:lnTo>
                                <a:lnTo>
                                  <a:pt x="1114425" y="28575"/>
                                </a:lnTo>
                                <a:lnTo>
                                  <a:pt x="1114425" y="0"/>
                                </a:lnTo>
                                <a:close/>
                              </a:path>
                              <a:path w="1516380" h="28575">
                                <a:moveTo>
                                  <a:pt x="1228725" y="0"/>
                                </a:moveTo>
                                <a:lnTo>
                                  <a:pt x="1143000" y="0"/>
                                </a:lnTo>
                                <a:lnTo>
                                  <a:pt x="1143000" y="28575"/>
                                </a:lnTo>
                                <a:lnTo>
                                  <a:pt x="1228725" y="28575"/>
                                </a:lnTo>
                                <a:lnTo>
                                  <a:pt x="1228725" y="0"/>
                                </a:lnTo>
                                <a:close/>
                              </a:path>
                              <a:path w="1516380" h="28575">
                                <a:moveTo>
                                  <a:pt x="1343025" y="0"/>
                                </a:moveTo>
                                <a:lnTo>
                                  <a:pt x="1257300" y="0"/>
                                </a:lnTo>
                                <a:lnTo>
                                  <a:pt x="1257300" y="28575"/>
                                </a:lnTo>
                                <a:lnTo>
                                  <a:pt x="1343025" y="28575"/>
                                </a:lnTo>
                                <a:lnTo>
                                  <a:pt x="1343025" y="0"/>
                                </a:lnTo>
                                <a:close/>
                              </a:path>
                              <a:path w="1516380" h="28575">
                                <a:moveTo>
                                  <a:pt x="1457325" y="0"/>
                                </a:moveTo>
                                <a:lnTo>
                                  <a:pt x="1371600" y="0"/>
                                </a:lnTo>
                                <a:lnTo>
                                  <a:pt x="1371600" y="28575"/>
                                </a:lnTo>
                                <a:lnTo>
                                  <a:pt x="1457325" y="28575"/>
                                </a:lnTo>
                                <a:lnTo>
                                  <a:pt x="1457325" y="0"/>
                                </a:lnTo>
                                <a:close/>
                              </a:path>
                              <a:path w="1516380" h="28575">
                                <a:moveTo>
                                  <a:pt x="1516291" y="0"/>
                                </a:moveTo>
                                <a:lnTo>
                                  <a:pt x="1485900" y="0"/>
                                </a:lnTo>
                                <a:lnTo>
                                  <a:pt x="1485900" y="28575"/>
                                </a:lnTo>
                                <a:lnTo>
                                  <a:pt x="1516291" y="28575"/>
                                </a:lnTo>
                                <a:lnTo>
                                  <a:pt x="1516291" y="0"/>
                                </a:lnTo>
                                <a:close/>
                              </a:path>
                            </a:pathLst>
                          </a:custGeom>
                          <a:solidFill>
                            <a:srgbClr val="EC3105"/>
                          </a:solidFill>
                        </wps:spPr>
                        <wps:bodyPr wrap="square" lIns="0" tIns="0" rIns="0" bIns="0" rtlCol="0">
                          <a:prstTxWarp prst="textNoShape">
                            <a:avLst/>
                          </a:prstTxWarp>
                          <a:noAutofit/>
                        </wps:bodyPr>
                      </wps:wsp>
                      <wps:wsp>
                        <wps:cNvPr id="145" name="Graphic 145"/>
                        <wps:cNvSpPr/>
                        <wps:spPr>
                          <a:xfrm>
                            <a:off x="4356887" y="6026641"/>
                            <a:ext cx="2773680" cy="1270"/>
                          </a:xfrm>
                          <a:custGeom>
                            <a:avLst/>
                            <a:gdLst/>
                            <a:ahLst/>
                            <a:cxnLst/>
                            <a:rect l="l" t="t" r="r" b="b"/>
                            <a:pathLst>
                              <a:path w="2773680" h="0">
                                <a:moveTo>
                                  <a:pt x="0" y="0"/>
                                </a:moveTo>
                                <a:lnTo>
                                  <a:pt x="2773600" y="0"/>
                                </a:lnTo>
                              </a:path>
                            </a:pathLst>
                          </a:custGeom>
                          <a:ln w="28574">
                            <a:solidFill>
                              <a:srgbClr val="EC3105"/>
                            </a:solidFill>
                            <a:prstDash val="sysDash"/>
                          </a:ln>
                        </wps:spPr>
                        <wps:bodyPr wrap="square" lIns="0" tIns="0" rIns="0" bIns="0" rtlCol="0">
                          <a:prstTxWarp prst="textNoShape">
                            <a:avLst/>
                          </a:prstTxWarp>
                          <a:noAutofit/>
                        </wps:bodyPr>
                      </wps:wsp>
                      <wps:wsp>
                        <wps:cNvPr id="146" name="Graphic 146"/>
                        <wps:cNvSpPr/>
                        <wps:spPr>
                          <a:xfrm>
                            <a:off x="4220407" y="2806056"/>
                            <a:ext cx="1212215" cy="524510"/>
                          </a:xfrm>
                          <a:custGeom>
                            <a:avLst/>
                            <a:gdLst/>
                            <a:ahLst/>
                            <a:cxnLst/>
                            <a:rect l="l" t="t" r="r" b="b"/>
                            <a:pathLst>
                              <a:path w="1212215" h="524510">
                                <a:moveTo>
                                  <a:pt x="685089" y="524065"/>
                                </a:moveTo>
                                <a:lnTo>
                                  <a:pt x="3548" y="391748"/>
                                </a:lnTo>
                                <a:lnTo>
                                  <a:pt x="1653" y="389193"/>
                                </a:lnTo>
                                <a:lnTo>
                                  <a:pt x="0" y="382989"/>
                                </a:lnTo>
                                <a:lnTo>
                                  <a:pt x="4639" y="375328"/>
                                </a:lnTo>
                                <a:lnTo>
                                  <a:pt x="21621" y="368401"/>
                                </a:lnTo>
                                <a:lnTo>
                                  <a:pt x="21621" y="181598"/>
                                </a:lnTo>
                                <a:lnTo>
                                  <a:pt x="18072" y="180546"/>
                                </a:lnTo>
                                <a:lnTo>
                                  <a:pt x="10650" y="177065"/>
                                </a:lnTo>
                                <a:lnTo>
                                  <a:pt x="4196" y="170665"/>
                                </a:lnTo>
                                <a:lnTo>
                                  <a:pt x="3548" y="160859"/>
                                </a:lnTo>
                                <a:lnTo>
                                  <a:pt x="545687" y="0"/>
                                </a:lnTo>
                                <a:lnTo>
                                  <a:pt x="1167851" y="114165"/>
                                </a:lnTo>
                                <a:lnTo>
                                  <a:pt x="1179806" y="130600"/>
                                </a:lnTo>
                                <a:lnTo>
                                  <a:pt x="1201528" y="175609"/>
                                </a:lnTo>
                                <a:lnTo>
                                  <a:pt x="1211802" y="242753"/>
                                </a:lnTo>
                                <a:lnTo>
                                  <a:pt x="1189412" y="325589"/>
                                </a:lnTo>
                                <a:lnTo>
                                  <a:pt x="1050711" y="379587"/>
                                </a:lnTo>
                                <a:lnTo>
                                  <a:pt x="884006" y="445259"/>
                                </a:lnTo>
                                <a:lnTo>
                                  <a:pt x="743923" y="500715"/>
                                </a:lnTo>
                                <a:lnTo>
                                  <a:pt x="685089" y="524065"/>
                                </a:lnTo>
                                <a:close/>
                              </a:path>
                            </a:pathLst>
                          </a:custGeom>
                          <a:solidFill>
                            <a:srgbClr val="5C85BD"/>
                          </a:solidFill>
                        </wps:spPr>
                        <wps:bodyPr wrap="square" lIns="0" tIns="0" rIns="0" bIns="0" rtlCol="0">
                          <a:prstTxWarp prst="textNoShape">
                            <a:avLst/>
                          </a:prstTxWarp>
                          <a:noAutofit/>
                        </wps:bodyPr>
                      </wps:wsp>
                      <wps:wsp>
                        <wps:cNvPr id="147" name="Graphic 147"/>
                        <wps:cNvSpPr/>
                        <wps:spPr>
                          <a:xfrm>
                            <a:off x="4927362" y="3034772"/>
                            <a:ext cx="194945" cy="265430"/>
                          </a:xfrm>
                          <a:custGeom>
                            <a:avLst/>
                            <a:gdLst/>
                            <a:ahLst/>
                            <a:cxnLst/>
                            <a:rect l="l" t="t" r="r" b="b"/>
                            <a:pathLst>
                              <a:path w="194945" h="265430">
                                <a:moveTo>
                                  <a:pt x="2800" y="265089"/>
                                </a:moveTo>
                                <a:lnTo>
                                  <a:pt x="29067" y="185677"/>
                                </a:lnTo>
                                <a:lnTo>
                                  <a:pt x="25137" y="119836"/>
                                </a:lnTo>
                                <a:lnTo>
                                  <a:pt x="9338" y="74932"/>
                                </a:lnTo>
                                <a:lnTo>
                                  <a:pt x="0" y="58327"/>
                                </a:lnTo>
                                <a:lnTo>
                                  <a:pt x="16978" y="52354"/>
                                </a:lnTo>
                                <a:lnTo>
                                  <a:pt x="58278" y="37712"/>
                                </a:lnTo>
                                <a:lnTo>
                                  <a:pt x="109444" y="19317"/>
                                </a:lnTo>
                                <a:lnTo>
                                  <a:pt x="156019" y="2083"/>
                                </a:lnTo>
                                <a:lnTo>
                                  <a:pt x="166761" y="0"/>
                                </a:lnTo>
                                <a:lnTo>
                                  <a:pt x="192580" y="77084"/>
                                </a:lnTo>
                                <a:lnTo>
                                  <a:pt x="194623" y="138978"/>
                                </a:lnTo>
                                <a:lnTo>
                                  <a:pt x="186135" y="180163"/>
                                </a:lnTo>
                                <a:lnTo>
                                  <a:pt x="180362" y="195118"/>
                                </a:lnTo>
                                <a:lnTo>
                                  <a:pt x="2800" y="265089"/>
                                </a:lnTo>
                                <a:close/>
                              </a:path>
                            </a:pathLst>
                          </a:custGeom>
                          <a:solidFill>
                            <a:srgbClr val="3F5882"/>
                          </a:solidFill>
                        </wps:spPr>
                        <wps:bodyPr wrap="square" lIns="0" tIns="0" rIns="0" bIns="0" rtlCol="0">
                          <a:prstTxWarp prst="textNoShape">
                            <a:avLst/>
                          </a:prstTxWarp>
                          <a:noAutofit/>
                        </wps:bodyPr>
                      </wps:wsp>
                      <wps:wsp>
                        <wps:cNvPr id="148" name="Graphic 148"/>
                        <wps:cNvSpPr/>
                        <wps:spPr>
                          <a:xfrm>
                            <a:off x="4237547" y="2987654"/>
                            <a:ext cx="691515" cy="311785"/>
                          </a:xfrm>
                          <a:custGeom>
                            <a:avLst/>
                            <a:gdLst/>
                            <a:ahLst/>
                            <a:cxnLst/>
                            <a:rect l="l" t="t" r="r" b="b"/>
                            <a:pathLst>
                              <a:path w="691515" h="311785">
                                <a:moveTo>
                                  <a:pt x="662593" y="311328"/>
                                </a:moveTo>
                                <a:lnTo>
                                  <a:pt x="0" y="186803"/>
                                </a:lnTo>
                                <a:lnTo>
                                  <a:pt x="0" y="0"/>
                                </a:lnTo>
                                <a:lnTo>
                                  <a:pt x="64067" y="9364"/>
                                </a:lnTo>
                                <a:lnTo>
                                  <a:pt x="226063" y="34052"/>
                                </a:lnTo>
                                <a:lnTo>
                                  <a:pt x="440675" y="68953"/>
                                </a:lnTo>
                                <a:lnTo>
                                  <a:pt x="662593" y="108961"/>
                                </a:lnTo>
                                <a:lnTo>
                                  <a:pt x="691092" y="194210"/>
                                </a:lnTo>
                                <a:lnTo>
                                  <a:pt x="687926" y="257815"/>
                                </a:lnTo>
                                <a:lnTo>
                                  <a:pt x="672093" y="297585"/>
                                </a:lnTo>
                                <a:lnTo>
                                  <a:pt x="662593" y="311328"/>
                                </a:lnTo>
                                <a:close/>
                              </a:path>
                            </a:pathLst>
                          </a:custGeom>
                          <a:solidFill>
                            <a:srgbClr val="F1F1F1"/>
                          </a:solidFill>
                        </wps:spPr>
                        <wps:bodyPr wrap="square" lIns="0" tIns="0" rIns="0" bIns="0" rtlCol="0">
                          <a:prstTxWarp prst="textNoShape">
                            <a:avLst/>
                          </a:prstTxWarp>
                          <a:noAutofit/>
                        </wps:bodyPr>
                      </wps:wsp>
                      <wps:wsp>
                        <wps:cNvPr id="149" name="Graphic 149"/>
                        <wps:cNvSpPr/>
                        <wps:spPr>
                          <a:xfrm>
                            <a:off x="4237547" y="2987654"/>
                            <a:ext cx="692785" cy="311785"/>
                          </a:xfrm>
                          <a:custGeom>
                            <a:avLst/>
                            <a:gdLst/>
                            <a:ahLst/>
                            <a:cxnLst/>
                            <a:rect l="l" t="t" r="r" b="b"/>
                            <a:pathLst>
                              <a:path w="692785" h="311785">
                                <a:moveTo>
                                  <a:pt x="662593" y="311328"/>
                                </a:moveTo>
                                <a:lnTo>
                                  <a:pt x="0" y="186803"/>
                                </a:lnTo>
                                <a:lnTo>
                                  <a:pt x="0" y="0"/>
                                </a:lnTo>
                                <a:lnTo>
                                  <a:pt x="122786" y="18160"/>
                                </a:lnTo>
                                <a:lnTo>
                                  <a:pt x="251940" y="38118"/>
                                </a:lnTo>
                                <a:lnTo>
                                  <a:pt x="404643" y="62889"/>
                                </a:lnTo>
                                <a:lnTo>
                                  <a:pt x="526473" y="111202"/>
                                </a:lnTo>
                                <a:lnTo>
                                  <a:pt x="599521" y="97021"/>
                                </a:lnTo>
                                <a:lnTo>
                                  <a:pt x="662593" y="108961"/>
                                </a:lnTo>
                                <a:lnTo>
                                  <a:pt x="686058" y="168121"/>
                                </a:lnTo>
                                <a:lnTo>
                                  <a:pt x="692616" y="217971"/>
                                </a:lnTo>
                                <a:lnTo>
                                  <a:pt x="687920" y="257840"/>
                                </a:lnTo>
                                <a:lnTo>
                                  <a:pt x="677601" y="287122"/>
                                </a:lnTo>
                                <a:lnTo>
                                  <a:pt x="667283" y="305168"/>
                                </a:lnTo>
                                <a:lnTo>
                                  <a:pt x="662593" y="311328"/>
                                </a:lnTo>
                                <a:close/>
                              </a:path>
                            </a:pathLst>
                          </a:custGeom>
                          <a:solidFill>
                            <a:srgbClr val="D9D9D6"/>
                          </a:solidFill>
                        </wps:spPr>
                        <wps:bodyPr wrap="square" lIns="0" tIns="0" rIns="0" bIns="0" rtlCol="0">
                          <a:prstTxWarp prst="textNoShape">
                            <a:avLst/>
                          </a:prstTxWarp>
                          <a:noAutofit/>
                        </wps:bodyPr>
                      </wps:wsp>
                      <wps:wsp>
                        <wps:cNvPr id="150" name="Graphic 150"/>
                        <wps:cNvSpPr/>
                        <wps:spPr>
                          <a:xfrm>
                            <a:off x="4237312" y="2574791"/>
                            <a:ext cx="1212215" cy="524510"/>
                          </a:xfrm>
                          <a:custGeom>
                            <a:avLst/>
                            <a:gdLst/>
                            <a:ahLst/>
                            <a:cxnLst/>
                            <a:rect l="l" t="t" r="r" b="b"/>
                            <a:pathLst>
                              <a:path w="1212215" h="524510">
                                <a:moveTo>
                                  <a:pt x="526708" y="524065"/>
                                </a:moveTo>
                                <a:lnTo>
                                  <a:pt x="467876" y="500717"/>
                                </a:lnTo>
                                <a:lnTo>
                                  <a:pt x="327795" y="445263"/>
                                </a:lnTo>
                                <a:lnTo>
                                  <a:pt x="161090" y="379591"/>
                                </a:lnTo>
                                <a:lnTo>
                                  <a:pt x="22385" y="325589"/>
                                </a:lnTo>
                                <a:lnTo>
                                  <a:pt x="0" y="242757"/>
                                </a:lnTo>
                                <a:lnTo>
                                  <a:pt x="10273" y="175613"/>
                                </a:lnTo>
                                <a:lnTo>
                                  <a:pt x="31993" y="130601"/>
                                </a:lnTo>
                                <a:lnTo>
                                  <a:pt x="43946" y="114165"/>
                                </a:lnTo>
                                <a:lnTo>
                                  <a:pt x="666110" y="0"/>
                                </a:lnTo>
                                <a:lnTo>
                                  <a:pt x="1208249" y="169312"/>
                                </a:lnTo>
                                <a:lnTo>
                                  <a:pt x="1207606" y="178758"/>
                                </a:lnTo>
                                <a:lnTo>
                                  <a:pt x="1201151" y="184363"/>
                                </a:lnTo>
                                <a:lnTo>
                                  <a:pt x="1193727" y="187050"/>
                                </a:lnTo>
                                <a:lnTo>
                                  <a:pt x="1190176" y="187741"/>
                                </a:lnTo>
                                <a:lnTo>
                                  <a:pt x="1190176" y="368401"/>
                                </a:lnTo>
                                <a:lnTo>
                                  <a:pt x="1207163" y="375329"/>
                                </a:lnTo>
                                <a:lnTo>
                                  <a:pt x="1211801" y="382994"/>
                                </a:lnTo>
                                <a:lnTo>
                                  <a:pt x="1210146" y="389201"/>
                                </a:lnTo>
                                <a:lnTo>
                                  <a:pt x="1208249" y="391758"/>
                                </a:lnTo>
                                <a:lnTo>
                                  <a:pt x="526708" y="524065"/>
                                </a:lnTo>
                                <a:close/>
                              </a:path>
                            </a:pathLst>
                          </a:custGeom>
                          <a:solidFill>
                            <a:srgbClr val="ECB348"/>
                          </a:solidFill>
                        </wps:spPr>
                        <wps:bodyPr wrap="square" lIns="0" tIns="0" rIns="0" bIns="0" rtlCol="0">
                          <a:prstTxWarp prst="textNoShape">
                            <a:avLst/>
                          </a:prstTxWarp>
                          <a:noAutofit/>
                        </wps:bodyPr>
                      </wps:wsp>
                      <wps:wsp>
                        <wps:cNvPr id="151" name="Graphic 151"/>
                        <wps:cNvSpPr/>
                        <wps:spPr>
                          <a:xfrm>
                            <a:off x="4263907" y="2711474"/>
                            <a:ext cx="1166495" cy="365760"/>
                          </a:xfrm>
                          <a:custGeom>
                            <a:avLst/>
                            <a:gdLst/>
                            <a:ahLst/>
                            <a:cxnLst/>
                            <a:rect l="l" t="t" r="r" b="b"/>
                            <a:pathLst>
                              <a:path w="1166495" h="365760">
                                <a:moveTo>
                                  <a:pt x="497990" y="365379"/>
                                </a:moveTo>
                                <a:lnTo>
                                  <a:pt x="14953" y="175643"/>
                                </a:lnTo>
                                <a:lnTo>
                                  <a:pt x="8878" y="161144"/>
                                </a:lnTo>
                                <a:lnTo>
                                  <a:pt x="0" y="122341"/>
                                </a:lnTo>
                                <a:lnTo>
                                  <a:pt x="2337" y="66279"/>
                                </a:lnTo>
                                <a:lnTo>
                                  <a:pt x="29910" y="0"/>
                                </a:lnTo>
                                <a:lnTo>
                                  <a:pt x="144584" y="41385"/>
                                </a:lnTo>
                                <a:lnTo>
                                  <a:pt x="303912" y="95806"/>
                                </a:lnTo>
                                <a:lnTo>
                                  <a:pt x="445365" y="143182"/>
                                </a:lnTo>
                                <a:lnTo>
                                  <a:pt x="506412" y="163436"/>
                                </a:lnTo>
                                <a:lnTo>
                                  <a:pt x="1166391" y="50554"/>
                                </a:lnTo>
                                <a:lnTo>
                                  <a:pt x="1166391" y="231718"/>
                                </a:lnTo>
                                <a:lnTo>
                                  <a:pt x="497990" y="365379"/>
                                </a:lnTo>
                                <a:close/>
                              </a:path>
                            </a:pathLst>
                          </a:custGeom>
                          <a:solidFill>
                            <a:srgbClr val="F1F1F1"/>
                          </a:solidFill>
                        </wps:spPr>
                        <wps:bodyPr wrap="square" lIns="0" tIns="0" rIns="0" bIns="0" rtlCol="0">
                          <a:prstTxWarp prst="textNoShape">
                            <a:avLst/>
                          </a:prstTxWarp>
                          <a:noAutofit/>
                        </wps:bodyPr>
                      </wps:wsp>
                      <wps:wsp>
                        <wps:cNvPr id="152" name="Graphic 152"/>
                        <wps:cNvSpPr/>
                        <wps:spPr>
                          <a:xfrm>
                            <a:off x="4262715" y="2730801"/>
                            <a:ext cx="508000" cy="346075"/>
                          </a:xfrm>
                          <a:custGeom>
                            <a:avLst/>
                            <a:gdLst/>
                            <a:ahLst/>
                            <a:cxnLst/>
                            <a:rect l="l" t="t" r="r" b="b"/>
                            <a:pathLst>
                              <a:path w="508000" h="346075">
                                <a:moveTo>
                                  <a:pt x="499183" y="346052"/>
                                </a:moveTo>
                                <a:lnTo>
                                  <a:pt x="16146" y="156316"/>
                                </a:lnTo>
                                <a:lnTo>
                                  <a:pt x="2518" y="112368"/>
                                </a:lnTo>
                                <a:lnTo>
                                  <a:pt x="0" y="82246"/>
                                </a:lnTo>
                                <a:lnTo>
                                  <a:pt x="997" y="63404"/>
                                </a:lnTo>
                                <a:lnTo>
                                  <a:pt x="4322" y="43249"/>
                                </a:lnTo>
                                <a:lnTo>
                                  <a:pt x="10476" y="22031"/>
                                </a:lnTo>
                                <a:lnTo>
                                  <a:pt x="19959" y="0"/>
                                </a:lnTo>
                                <a:lnTo>
                                  <a:pt x="161307" y="27445"/>
                                </a:lnTo>
                                <a:lnTo>
                                  <a:pt x="277207" y="67055"/>
                                </a:lnTo>
                                <a:lnTo>
                                  <a:pt x="389381" y="104783"/>
                                </a:lnTo>
                                <a:lnTo>
                                  <a:pt x="474093" y="133007"/>
                                </a:lnTo>
                                <a:lnTo>
                                  <a:pt x="507605" y="144109"/>
                                </a:lnTo>
                                <a:lnTo>
                                  <a:pt x="499183" y="346052"/>
                                </a:lnTo>
                                <a:close/>
                              </a:path>
                            </a:pathLst>
                          </a:custGeom>
                          <a:solidFill>
                            <a:srgbClr val="D9D9D6"/>
                          </a:solidFill>
                        </wps:spPr>
                        <wps:bodyPr wrap="square" lIns="0" tIns="0" rIns="0" bIns="0" rtlCol="0">
                          <a:prstTxWarp prst="textNoShape">
                            <a:avLst/>
                          </a:prstTxWarp>
                          <a:noAutofit/>
                        </wps:bodyPr>
                      </wps:wsp>
                      <wps:wsp>
                        <wps:cNvPr id="153" name="Graphic 153"/>
                        <wps:cNvSpPr/>
                        <wps:spPr>
                          <a:xfrm>
                            <a:off x="4237231" y="2330925"/>
                            <a:ext cx="1212215" cy="524510"/>
                          </a:xfrm>
                          <a:custGeom>
                            <a:avLst/>
                            <a:gdLst/>
                            <a:ahLst/>
                            <a:cxnLst/>
                            <a:rect l="l" t="t" r="r" b="b"/>
                            <a:pathLst>
                              <a:path w="1212215" h="524510">
                                <a:moveTo>
                                  <a:pt x="685089" y="524055"/>
                                </a:moveTo>
                                <a:lnTo>
                                  <a:pt x="3548" y="391748"/>
                                </a:lnTo>
                                <a:lnTo>
                                  <a:pt x="1653" y="389191"/>
                                </a:lnTo>
                                <a:lnTo>
                                  <a:pt x="0" y="382984"/>
                                </a:lnTo>
                                <a:lnTo>
                                  <a:pt x="4639" y="375320"/>
                                </a:lnTo>
                                <a:lnTo>
                                  <a:pt x="21621" y="368391"/>
                                </a:lnTo>
                                <a:lnTo>
                                  <a:pt x="21621" y="181598"/>
                                </a:lnTo>
                                <a:lnTo>
                                  <a:pt x="18072" y="180545"/>
                                </a:lnTo>
                                <a:lnTo>
                                  <a:pt x="10650" y="177060"/>
                                </a:lnTo>
                                <a:lnTo>
                                  <a:pt x="4196" y="170657"/>
                                </a:lnTo>
                                <a:lnTo>
                                  <a:pt x="3548" y="160849"/>
                                </a:lnTo>
                                <a:lnTo>
                                  <a:pt x="545687" y="0"/>
                                </a:lnTo>
                                <a:lnTo>
                                  <a:pt x="1167851" y="114155"/>
                                </a:lnTo>
                                <a:lnTo>
                                  <a:pt x="1179806" y="130591"/>
                                </a:lnTo>
                                <a:lnTo>
                                  <a:pt x="1201528" y="175603"/>
                                </a:lnTo>
                                <a:lnTo>
                                  <a:pt x="1211802" y="242747"/>
                                </a:lnTo>
                                <a:lnTo>
                                  <a:pt x="1189412" y="325579"/>
                                </a:lnTo>
                                <a:lnTo>
                                  <a:pt x="1050711" y="379581"/>
                                </a:lnTo>
                                <a:lnTo>
                                  <a:pt x="884006" y="445253"/>
                                </a:lnTo>
                                <a:lnTo>
                                  <a:pt x="743923" y="500707"/>
                                </a:lnTo>
                                <a:lnTo>
                                  <a:pt x="685089" y="524055"/>
                                </a:lnTo>
                                <a:close/>
                              </a:path>
                            </a:pathLst>
                          </a:custGeom>
                          <a:solidFill>
                            <a:srgbClr val="46AC95"/>
                          </a:solidFill>
                        </wps:spPr>
                        <wps:bodyPr wrap="square" lIns="0" tIns="0" rIns="0" bIns="0" rtlCol="0">
                          <a:prstTxWarp prst="textNoShape">
                            <a:avLst/>
                          </a:prstTxWarp>
                          <a:noAutofit/>
                        </wps:bodyPr>
                      </wps:wsp>
                      <wps:wsp>
                        <wps:cNvPr id="154" name="Graphic 154"/>
                        <wps:cNvSpPr/>
                        <wps:spPr>
                          <a:xfrm>
                            <a:off x="4782919" y="2330925"/>
                            <a:ext cx="260985" cy="48260"/>
                          </a:xfrm>
                          <a:custGeom>
                            <a:avLst/>
                            <a:gdLst/>
                            <a:ahLst/>
                            <a:cxnLst/>
                            <a:rect l="l" t="t" r="r" b="b"/>
                            <a:pathLst>
                              <a:path w="260985" h="48260">
                                <a:moveTo>
                                  <a:pt x="260721" y="47838"/>
                                </a:moveTo>
                                <a:lnTo>
                                  <a:pt x="0" y="0"/>
                                </a:lnTo>
                                <a:lnTo>
                                  <a:pt x="260721" y="47838"/>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4240014" y="2330925"/>
                            <a:ext cx="803910" cy="181610"/>
                          </a:xfrm>
                          <a:custGeom>
                            <a:avLst/>
                            <a:gdLst/>
                            <a:ahLst/>
                            <a:cxnLst/>
                            <a:rect l="l" t="t" r="r" b="b"/>
                            <a:pathLst>
                              <a:path w="803910" h="181610">
                                <a:moveTo>
                                  <a:pt x="18839" y="181598"/>
                                </a:moveTo>
                                <a:lnTo>
                                  <a:pt x="0" y="177391"/>
                                </a:lnTo>
                                <a:lnTo>
                                  <a:pt x="19" y="163841"/>
                                </a:lnTo>
                                <a:lnTo>
                                  <a:pt x="255" y="162399"/>
                                </a:lnTo>
                                <a:lnTo>
                                  <a:pt x="766" y="160849"/>
                                </a:lnTo>
                                <a:lnTo>
                                  <a:pt x="542905" y="0"/>
                                </a:lnTo>
                                <a:lnTo>
                                  <a:pt x="803626" y="47838"/>
                                </a:lnTo>
                                <a:lnTo>
                                  <a:pt x="18839" y="181598"/>
                                </a:lnTo>
                                <a:close/>
                              </a:path>
                            </a:pathLst>
                          </a:custGeom>
                          <a:solidFill>
                            <a:srgbClr val="61BEA8"/>
                          </a:solidFill>
                        </wps:spPr>
                        <wps:bodyPr wrap="square" lIns="0" tIns="0" rIns="0" bIns="0" rtlCol="0">
                          <a:prstTxWarp prst="textNoShape">
                            <a:avLst/>
                          </a:prstTxWarp>
                          <a:noAutofit/>
                        </wps:bodyPr>
                      </wps:wsp>
                      <wps:wsp>
                        <wps:cNvPr id="156" name="Graphic 156"/>
                        <wps:cNvSpPr/>
                        <wps:spPr>
                          <a:xfrm>
                            <a:off x="4254371" y="2512524"/>
                            <a:ext cx="691515" cy="311785"/>
                          </a:xfrm>
                          <a:custGeom>
                            <a:avLst/>
                            <a:gdLst/>
                            <a:ahLst/>
                            <a:cxnLst/>
                            <a:rect l="l" t="t" r="r" b="b"/>
                            <a:pathLst>
                              <a:path w="691515" h="311785">
                                <a:moveTo>
                                  <a:pt x="662593" y="311318"/>
                                </a:moveTo>
                                <a:lnTo>
                                  <a:pt x="0" y="186793"/>
                                </a:lnTo>
                                <a:lnTo>
                                  <a:pt x="0" y="0"/>
                                </a:lnTo>
                                <a:lnTo>
                                  <a:pt x="64067" y="9364"/>
                                </a:lnTo>
                                <a:lnTo>
                                  <a:pt x="226063" y="34052"/>
                                </a:lnTo>
                                <a:lnTo>
                                  <a:pt x="440675" y="68953"/>
                                </a:lnTo>
                                <a:lnTo>
                                  <a:pt x="662593" y="108961"/>
                                </a:lnTo>
                                <a:lnTo>
                                  <a:pt x="691092" y="194209"/>
                                </a:lnTo>
                                <a:lnTo>
                                  <a:pt x="687926" y="257810"/>
                                </a:lnTo>
                                <a:lnTo>
                                  <a:pt x="672093" y="297576"/>
                                </a:lnTo>
                                <a:lnTo>
                                  <a:pt x="662593" y="311318"/>
                                </a:lnTo>
                                <a:close/>
                              </a:path>
                            </a:pathLst>
                          </a:custGeom>
                          <a:solidFill>
                            <a:srgbClr val="F1F1F1"/>
                          </a:solidFill>
                        </wps:spPr>
                        <wps:bodyPr wrap="square" lIns="0" tIns="0" rIns="0" bIns="0" rtlCol="0">
                          <a:prstTxWarp prst="textNoShape">
                            <a:avLst/>
                          </a:prstTxWarp>
                          <a:noAutofit/>
                        </wps:bodyPr>
                      </wps:wsp>
                      <wps:wsp>
                        <wps:cNvPr id="157" name="Graphic 157"/>
                        <wps:cNvSpPr/>
                        <wps:spPr>
                          <a:xfrm>
                            <a:off x="4944186" y="2560708"/>
                            <a:ext cx="197485" cy="263525"/>
                          </a:xfrm>
                          <a:custGeom>
                            <a:avLst/>
                            <a:gdLst/>
                            <a:ahLst/>
                            <a:cxnLst/>
                            <a:rect l="l" t="t" r="r" b="b"/>
                            <a:pathLst>
                              <a:path w="197485" h="263525">
                                <a:moveTo>
                                  <a:pt x="2800" y="263134"/>
                                </a:moveTo>
                                <a:lnTo>
                                  <a:pt x="29067" y="183722"/>
                                </a:lnTo>
                                <a:lnTo>
                                  <a:pt x="25137" y="117881"/>
                                </a:lnTo>
                                <a:lnTo>
                                  <a:pt x="9338" y="72976"/>
                                </a:lnTo>
                                <a:lnTo>
                                  <a:pt x="0" y="56371"/>
                                </a:lnTo>
                                <a:lnTo>
                                  <a:pt x="19490" y="49544"/>
                                </a:lnTo>
                                <a:lnTo>
                                  <a:pt x="66187" y="33467"/>
                                </a:lnTo>
                                <a:lnTo>
                                  <a:pt x="122429" y="14749"/>
                                </a:lnTo>
                                <a:lnTo>
                                  <a:pt x="170554" y="0"/>
                                </a:lnTo>
                                <a:lnTo>
                                  <a:pt x="196336" y="77523"/>
                                </a:lnTo>
                                <a:lnTo>
                                  <a:pt x="197013" y="139576"/>
                                </a:lnTo>
                                <a:lnTo>
                                  <a:pt x="186913" y="180763"/>
                                </a:lnTo>
                                <a:lnTo>
                                  <a:pt x="180362" y="195691"/>
                                </a:lnTo>
                                <a:lnTo>
                                  <a:pt x="2800" y="263134"/>
                                </a:lnTo>
                                <a:close/>
                              </a:path>
                            </a:pathLst>
                          </a:custGeom>
                          <a:solidFill>
                            <a:srgbClr val="9DDAC7"/>
                          </a:solidFill>
                        </wps:spPr>
                        <wps:bodyPr wrap="square" lIns="0" tIns="0" rIns="0" bIns="0" rtlCol="0">
                          <a:prstTxWarp prst="textNoShape">
                            <a:avLst/>
                          </a:prstTxWarp>
                          <a:noAutofit/>
                        </wps:bodyPr>
                      </wps:wsp>
                    </wpg:wgp>
                  </a:graphicData>
                </a:graphic>
              </wp:anchor>
            </w:drawing>
          </mc:Choice>
          <mc:Fallback>
            <w:pict>
              <v:group style="position:absolute;margin-left:.000028pt;margin-top:-.00003pt;width:612pt;height:574.75pt;mso-position-horizontal-relative:page;mso-position-vertical-relative:page;z-index:-20747264" id="docshapegroup114" coordorigin="0,0" coordsize="12240,11495">
                <v:shape style="position:absolute;left:0;top:0;width:12240;height:4999" type="#_x0000_t75" id="docshape115" stroked="false">
                  <v:imagedata r:id="rId122" o:title=""/>
                </v:shape>
                <v:shape style="position:absolute;left:7839;top:1158;width:2333;height:2332" type="#_x0000_t75" id="docshape116" stroked="false">
                  <v:imagedata r:id="rId98" o:title=""/>
                </v:shape>
                <v:shape style="position:absolute;left:7818;top:1136;width:2375;height:2375" id="docshape117"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7439;top:7275;width:1395;height:45" id="docshape118" coordorigin="7439,7275" coordsize="1395,45" path="m7574,7275l7439,7275,7439,7320,7574,7320,7574,7275xm7754,7275l7619,7275,7619,7320,7754,7320,7754,7275xm7934,7275l7799,7275,7799,7320,7934,7320,7934,7275xm8114,7275l7979,7275,7979,7320,8114,7320,8114,7275xm8294,7275l8159,7275,8159,7320,8294,7320,8294,7275xm8474,7275l8339,7275,8339,7320,8474,7320,8474,7275xm8654,7275l8519,7275,8519,7320,8654,7320,8654,7275xm8834,7275l8699,7275,8699,7320,8834,7320,8834,7275xe" filled="true" fillcolor="#ec3105" stroked="false">
                  <v:path arrowok="t"/>
                  <v:fill type="solid"/>
                </v:shape>
                <v:shape style="position:absolute;left:839;top:4657;width:6555;height:6837" type="#_x0000_t75" id="docshape119" stroked="false">
                  <v:imagedata r:id="rId123" o:title=""/>
                </v:shape>
                <v:shape style="position:absolute;left:8879;top:7275;width:2388;height:45" id="docshape120" coordorigin="8879,7275" coordsize="2388,45" path="m9014,7275l8879,7275,8879,7320,9014,7320,9014,7275xm9194,7275l9059,7275,9059,7320,9194,7320,9194,7275xm9374,7275l9239,7275,9239,7320,9374,7320,9374,7275xm9554,7275l9419,7275,9419,7320,9554,7320,9554,7275xm9734,7275l9599,7275,9599,7320,9734,7320,9734,7275xm9914,7275l9779,7275,9779,7320,9914,7320,9914,7275xm10094,7275l9959,7275,9959,7320,10094,7320,10094,7275xm10274,7275l10139,7275,10139,7320,10274,7320,10274,7275xm10454,7275l10319,7275,10319,7320,10454,7320,10454,7275xm10634,7275l10499,7275,10499,7320,10634,7320,10634,7275xm10814,7275l10679,7275,10679,7320,10814,7320,10814,7275xm10994,7275l10859,7275,10859,7320,10994,7320,10994,7275xm11174,7275l11039,7275,11039,7320,11174,7320,11174,7275xm11267,7275l11219,7275,11219,7320,11267,7320,11267,7275xe" filled="true" fillcolor="#ec3105" stroked="false">
                  <v:path arrowok="t"/>
                  <v:fill type="solid"/>
                </v:shape>
                <v:line style="position:absolute" from="6861,9491" to="11229,9491" stroked="true" strokeweight="2.25pt" strokecolor="#ec3105">
                  <v:stroke dashstyle="shortdash"/>
                </v:line>
                <v:shape style="position:absolute;left:6646;top:4418;width:1909;height:826" id="docshape121" coordorigin="6646,4419" coordsize="1909,826" path="m7725,5244l6652,5036,6649,5032,6646,5022,6654,5010,6680,4999,6680,4705,6675,4703,6663,4698,6653,4688,6652,4672,7506,4419,8485,4599,8504,4625,8538,4696,8555,4801,8519,4932,8301,5017,8038,5120,7818,5208,7725,5244xe" filled="true" fillcolor="#5c85bd" stroked="false">
                  <v:path arrowok="t"/>
                  <v:fill type="solid"/>
                </v:shape>
                <v:shape style="position:absolute;left:7759;top:4779;width:307;height:418" id="docshape122" coordorigin="7760,4779" coordsize="307,418" path="m7764,5197l7805,5072,7799,4968,7774,4897,7760,4871,7786,4862,7851,4839,7932,4810,8005,4782,8022,4779,8063,4901,8066,4998,8053,5063,8044,5086,7764,5197xe" filled="true" fillcolor="#3f5882" stroked="false">
                  <v:path arrowok="t"/>
                  <v:fill type="solid"/>
                </v:shape>
                <v:shape style="position:absolute;left:6673;top:4704;width:1089;height:491" id="docshape123" coordorigin="6673,4705" coordsize="1089,491" path="m7717,5195l6673,4999,6673,4705,6774,4720,7029,4759,7367,4814,7717,4877,7762,5011,7757,5111,7732,5174,7717,5195xe" filled="true" fillcolor="#f1f1f1" stroked="false">
                  <v:path arrowok="t"/>
                  <v:fill type="solid"/>
                </v:shape>
                <v:shape style="position:absolute;left:6673;top:4704;width:1091;height:491" id="docshape124" coordorigin="6673,4705" coordsize="1091,491" path="m7717,5195l6673,4999,6673,4705,6867,4734,7070,4765,7311,4804,7502,4880,7617,4858,7717,4877,7754,4970,7764,5048,7757,5111,7740,5157,7724,5186,7717,5195xe" filled="true" fillcolor="#d9d9d6" stroked="false">
                  <v:path arrowok="t"/>
                  <v:fill type="solid"/>
                </v:shape>
                <v:shape style="position:absolute;left:6672;top:4054;width:1909;height:826" id="docshape125" coordorigin="6673,4055" coordsize="1909,826" path="m7502,4880l7410,4843,7189,4756,6927,4653,6708,4568,6673,4437,6689,4331,6723,4260,6742,4235,7722,4055,8576,4321,8575,4336,8565,4345,8553,4349,8547,4350,8547,4635,8574,4646,8581,4658,8579,4668,8576,4672,7502,4880xe" filled="true" fillcolor="#ecb348" stroked="false">
                  <v:path arrowok="t"/>
                  <v:fill type="solid"/>
                </v:shape>
                <v:shape style="position:absolute;left:6714;top:4270;width:1837;height:576" id="docshape126" coordorigin="6715,4270" coordsize="1837,576" path="m7499,4845l6738,4547,6729,4524,6715,4463,6718,4374,6762,4270,6943,4335,7193,4421,7416,4496,7512,4527,8552,4350,8552,4635,7499,4845xe" filled="true" fillcolor="#f1f1f1" stroked="false">
                  <v:path arrowok="t"/>
                  <v:fill type="solid"/>
                </v:shape>
                <v:shape style="position:absolute;left:6712;top:4300;width:800;height:545" id="docshape127" coordorigin="6713,4300" coordsize="800,545" path="m7499,4845l6738,4547,6717,4477,6713,4430,6715,4400,6720,4369,6729,4335,6744,4300,6967,4344,7149,4406,7326,4465,7460,4510,7512,4527,7499,4845xe" filled="true" fillcolor="#d9d9d6" stroked="false">
                  <v:path arrowok="t"/>
                  <v:fill type="solid"/>
                </v:shape>
                <v:shape style="position:absolute;left:6672;top:3670;width:1909;height:826" id="docshape128" coordorigin="6673,3671" coordsize="1909,826" path="m7752,4496l6678,4288,6675,4284,6673,4274,6680,4262,6707,4251,6707,3957,6701,3955,6690,3950,6679,3940,6678,3924,7532,3671,8512,3851,8531,3876,8565,3947,8581,4053,8546,4183,8327,4269,8065,4372,7844,4459,7752,4496xe" filled="true" fillcolor="#46ac95" stroked="false">
                  <v:path arrowok="t"/>
                  <v:fill type="solid"/>
                </v:shape>
                <v:shape style="position:absolute;left:7532;top:3670;width:411;height:76" id="docshape129" coordorigin="7532,3671" coordsize="411,76" path="m7943,3746l7532,3671,7943,3746xe" filled="true" fillcolor="#ffffff" stroked="false">
                  <v:path arrowok="t"/>
                  <v:fill type="solid"/>
                </v:shape>
                <v:shape style="position:absolute;left:6677;top:3670;width:1266;height:286" id="docshape130" coordorigin="6677,3671" coordsize="1266,286" path="m6707,3957l6677,3950,6677,3929,6678,3926,6678,3924,7532,3671,7943,3746,6707,3957xe" filled="true" fillcolor="#61bea8" stroked="false">
                  <v:path arrowok="t"/>
                  <v:fill type="solid"/>
                </v:shape>
                <v:shape style="position:absolute;left:6699;top:3956;width:1089;height:491" id="docshape131" coordorigin="6700,3957" coordsize="1089,491" path="m7743,4447l6700,4251,6700,3957,6801,3971,7056,4010,7394,4065,7743,4128,7788,4263,7783,4363,7758,4425,7743,4447xe" filled="true" fillcolor="#f1f1f1" stroked="false">
                  <v:path arrowok="t"/>
                  <v:fill type="solid"/>
                </v:shape>
                <v:shape style="position:absolute;left:7786;top:4032;width:311;height:415" id="docshape132" coordorigin="7786,4033" coordsize="311,415" path="m7791,4447l7832,4322,7826,4218,7801,4148,7786,4121,7817,4111,7890,4085,7979,4056,8055,4033,8095,4155,8096,4252,8080,4317,8070,4341,7791,4447xe" filled="true" fillcolor="#9ddac7"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4056110</wp:posOffset>
                </wp:positionH>
                <wp:positionV relativeFrom="page">
                  <wp:posOffset>7475406</wp:posOffset>
                </wp:positionV>
                <wp:extent cx="3425825" cy="220726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3425825" cy="2207260"/>
                          <a:chExt cx="3425825" cy="2207260"/>
                        </a:xfrm>
                      </wpg:grpSpPr>
                      <pic:pic>
                        <pic:nvPicPr>
                          <pic:cNvPr id="159" name="Image 159"/>
                          <pic:cNvPicPr/>
                        </pic:nvPicPr>
                        <pic:blipFill>
                          <a:blip r:embed="rId124" cstate="print"/>
                          <a:stretch>
                            <a:fillRect/>
                          </a:stretch>
                        </pic:blipFill>
                        <pic:spPr>
                          <a:xfrm>
                            <a:off x="0" y="0"/>
                            <a:ext cx="3324224" cy="1762124"/>
                          </a:xfrm>
                          <a:prstGeom prst="rect">
                            <a:avLst/>
                          </a:prstGeom>
                        </pic:spPr>
                      </pic:pic>
                      <wps:wsp>
                        <wps:cNvPr id="160" name="Graphic 160"/>
                        <wps:cNvSpPr/>
                        <wps:spPr>
                          <a:xfrm>
                            <a:off x="2102449" y="978106"/>
                            <a:ext cx="1323340" cy="1228725"/>
                          </a:xfrm>
                          <a:custGeom>
                            <a:avLst/>
                            <a:gdLst/>
                            <a:ahLst/>
                            <a:cxnLst/>
                            <a:rect l="l" t="t" r="r" b="b"/>
                            <a:pathLst>
                              <a:path w="1323340" h="1228725">
                                <a:moveTo>
                                  <a:pt x="1322743" y="0"/>
                                </a:moveTo>
                                <a:lnTo>
                                  <a:pt x="12" y="1228712"/>
                                </a:lnTo>
                                <a:lnTo>
                                  <a:pt x="1322743" y="1228725"/>
                                </a:lnTo>
                                <a:lnTo>
                                  <a:pt x="1322743" y="819404"/>
                                </a:lnTo>
                                <a:lnTo>
                                  <a:pt x="1322743" y="0"/>
                                </a:lnTo>
                                <a:close/>
                              </a:path>
                            </a:pathLst>
                          </a:custGeom>
                          <a:solidFill>
                            <a:srgbClr val="F7CD4D"/>
                          </a:solidFill>
                        </wps:spPr>
                        <wps:bodyPr wrap="square" lIns="0" tIns="0" rIns="0" bIns="0" rtlCol="0">
                          <a:prstTxWarp prst="textNoShape">
                            <a:avLst/>
                          </a:prstTxWarp>
                          <a:noAutofit/>
                        </wps:bodyPr>
                      </wps:wsp>
                      <wps:wsp>
                        <wps:cNvPr id="161" name="Graphic 161"/>
                        <wps:cNvSpPr/>
                        <wps:spPr>
                          <a:xfrm>
                            <a:off x="2102426" y="978100"/>
                            <a:ext cx="1323340" cy="1229360"/>
                          </a:xfrm>
                          <a:custGeom>
                            <a:avLst/>
                            <a:gdLst/>
                            <a:ahLst/>
                            <a:cxnLst/>
                            <a:rect l="l" t="t" r="r" b="b"/>
                            <a:pathLst>
                              <a:path w="1323340" h="1229360">
                                <a:moveTo>
                                  <a:pt x="0" y="1228749"/>
                                </a:moveTo>
                                <a:lnTo>
                                  <a:pt x="1322774" y="0"/>
                                </a:lnTo>
                                <a:lnTo>
                                  <a:pt x="1322774" y="197071"/>
                                </a:lnTo>
                                <a:lnTo>
                                  <a:pt x="0" y="1228749"/>
                                </a:lnTo>
                                <a:close/>
                              </a:path>
                            </a:pathLst>
                          </a:custGeom>
                          <a:solidFill>
                            <a:srgbClr val="B079CC"/>
                          </a:solidFill>
                        </wps:spPr>
                        <wps:bodyPr wrap="square" lIns="0" tIns="0" rIns="0" bIns="0" rtlCol="0">
                          <a:prstTxWarp prst="textNoShape">
                            <a:avLst/>
                          </a:prstTxWarp>
                          <a:noAutofit/>
                        </wps:bodyPr>
                      </wps:wsp>
                      <wps:wsp>
                        <wps:cNvPr id="162" name="Graphic 162"/>
                        <wps:cNvSpPr/>
                        <wps:spPr>
                          <a:xfrm>
                            <a:off x="2102428" y="1175171"/>
                            <a:ext cx="1323340" cy="1031875"/>
                          </a:xfrm>
                          <a:custGeom>
                            <a:avLst/>
                            <a:gdLst/>
                            <a:ahLst/>
                            <a:cxnLst/>
                            <a:rect l="l" t="t" r="r" b="b"/>
                            <a:pathLst>
                              <a:path w="1323340" h="1031875">
                                <a:moveTo>
                                  <a:pt x="0" y="1031679"/>
                                </a:moveTo>
                                <a:lnTo>
                                  <a:pt x="1322772" y="0"/>
                                </a:lnTo>
                                <a:lnTo>
                                  <a:pt x="1322772" y="207443"/>
                                </a:lnTo>
                                <a:lnTo>
                                  <a:pt x="0" y="1031679"/>
                                </a:lnTo>
                                <a:close/>
                              </a:path>
                            </a:pathLst>
                          </a:custGeom>
                          <a:solidFill>
                            <a:srgbClr val="3C81DA"/>
                          </a:solidFill>
                        </wps:spPr>
                        <wps:bodyPr wrap="square" lIns="0" tIns="0" rIns="0" bIns="0" rtlCol="0">
                          <a:prstTxWarp prst="textNoShape">
                            <a:avLst/>
                          </a:prstTxWarp>
                          <a:noAutofit/>
                        </wps:bodyPr>
                      </wps:wsp>
                      <wps:wsp>
                        <wps:cNvPr id="163" name="Graphic 163"/>
                        <wps:cNvSpPr/>
                        <wps:spPr>
                          <a:xfrm>
                            <a:off x="2102402" y="1382615"/>
                            <a:ext cx="1323340" cy="824230"/>
                          </a:xfrm>
                          <a:custGeom>
                            <a:avLst/>
                            <a:gdLst/>
                            <a:ahLst/>
                            <a:cxnLst/>
                            <a:rect l="l" t="t" r="r" b="b"/>
                            <a:pathLst>
                              <a:path w="1323340" h="824230">
                                <a:moveTo>
                                  <a:pt x="213" y="824132"/>
                                </a:moveTo>
                                <a:lnTo>
                                  <a:pt x="1322798" y="0"/>
                                </a:lnTo>
                                <a:lnTo>
                                  <a:pt x="1322798" y="207443"/>
                                </a:lnTo>
                                <a:lnTo>
                                  <a:pt x="213" y="824132"/>
                                </a:lnTo>
                                <a:close/>
                              </a:path>
                              <a:path w="1323340" h="824230">
                                <a:moveTo>
                                  <a:pt x="81" y="824214"/>
                                </a:moveTo>
                                <a:lnTo>
                                  <a:pt x="213" y="824132"/>
                                </a:lnTo>
                                <a:lnTo>
                                  <a:pt x="81" y="824214"/>
                                </a:lnTo>
                                <a:close/>
                              </a:path>
                              <a:path w="1323340" h="824230">
                                <a:moveTo>
                                  <a:pt x="0" y="824232"/>
                                </a:moveTo>
                                <a:close/>
                              </a:path>
                            </a:pathLst>
                          </a:custGeom>
                          <a:solidFill>
                            <a:srgbClr val="4D9E53"/>
                          </a:solidFill>
                        </wps:spPr>
                        <wps:bodyPr wrap="square" lIns="0" tIns="0" rIns="0" bIns="0" rtlCol="0">
                          <a:prstTxWarp prst="textNoShape">
                            <a:avLst/>
                          </a:prstTxWarp>
                          <a:noAutofit/>
                        </wps:bodyPr>
                      </wps:wsp>
                      <wps:wsp>
                        <wps:cNvPr id="164" name="Graphic 164"/>
                        <wps:cNvSpPr/>
                        <wps:spPr>
                          <a:xfrm>
                            <a:off x="2102381" y="1590059"/>
                            <a:ext cx="1323340" cy="617220"/>
                          </a:xfrm>
                          <a:custGeom>
                            <a:avLst/>
                            <a:gdLst/>
                            <a:ahLst/>
                            <a:cxnLst/>
                            <a:rect l="l" t="t" r="r" b="b"/>
                            <a:pathLst>
                              <a:path w="1323340" h="617220">
                                <a:moveTo>
                                  <a:pt x="127" y="616745"/>
                                </a:moveTo>
                                <a:lnTo>
                                  <a:pt x="1322818" y="0"/>
                                </a:lnTo>
                                <a:lnTo>
                                  <a:pt x="1322818" y="207444"/>
                                </a:lnTo>
                                <a:lnTo>
                                  <a:pt x="127" y="616745"/>
                                </a:lnTo>
                                <a:close/>
                              </a:path>
                              <a:path w="1323340" h="617220">
                                <a:moveTo>
                                  <a:pt x="72" y="616771"/>
                                </a:moveTo>
                                <a:close/>
                              </a:path>
                              <a:path w="1323340" h="617220">
                                <a:moveTo>
                                  <a:pt x="0" y="616784"/>
                                </a:moveTo>
                                <a:close/>
                              </a:path>
                            </a:pathLst>
                          </a:custGeom>
                          <a:solidFill>
                            <a:srgbClr val="F7CD4D"/>
                          </a:solidFill>
                        </wps:spPr>
                        <wps:bodyPr wrap="square" lIns="0" tIns="0" rIns="0" bIns="0" rtlCol="0">
                          <a:prstTxWarp prst="textNoShape">
                            <a:avLst/>
                          </a:prstTxWarp>
                          <a:noAutofit/>
                        </wps:bodyPr>
                      </wps:wsp>
                      <wps:wsp>
                        <wps:cNvPr id="165" name="Graphic 165"/>
                        <wps:cNvSpPr/>
                        <wps:spPr>
                          <a:xfrm>
                            <a:off x="2102377" y="1797503"/>
                            <a:ext cx="1323340" cy="409575"/>
                          </a:xfrm>
                          <a:custGeom>
                            <a:avLst/>
                            <a:gdLst/>
                            <a:ahLst/>
                            <a:cxnLst/>
                            <a:rect l="l" t="t" r="r" b="b"/>
                            <a:pathLst>
                              <a:path w="1323340" h="409575">
                                <a:moveTo>
                                  <a:pt x="0" y="409336"/>
                                </a:moveTo>
                                <a:lnTo>
                                  <a:pt x="1322823" y="0"/>
                                </a:lnTo>
                                <a:lnTo>
                                  <a:pt x="1322823" y="202257"/>
                                </a:lnTo>
                                <a:lnTo>
                                  <a:pt x="0" y="409336"/>
                                </a:lnTo>
                                <a:close/>
                              </a:path>
                            </a:pathLst>
                          </a:custGeom>
                          <a:solidFill>
                            <a:srgbClr val="F67B28"/>
                          </a:solidFill>
                        </wps:spPr>
                        <wps:bodyPr wrap="square" lIns="0" tIns="0" rIns="0" bIns="0" rtlCol="0">
                          <a:prstTxWarp prst="textNoShape">
                            <a:avLst/>
                          </a:prstTxWarp>
                          <a:noAutofit/>
                        </wps:bodyPr>
                      </wps:wsp>
                      <wps:wsp>
                        <wps:cNvPr id="166" name="Graphic 166"/>
                        <wps:cNvSpPr/>
                        <wps:spPr>
                          <a:xfrm>
                            <a:off x="2102365" y="2206830"/>
                            <a:ext cx="1235075" cy="1270"/>
                          </a:xfrm>
                          <a:custGeom>
                            <a:avLst/>
                            <a:gdLst/>
                            <a:ahLst/>
                            <a:cxnLst/>
                            <a:rect l="l" t="t" r="r" b="b"/>
                            <a:pathLst>
                              <a:path w="1235075" h="0">
                                <a:moveTo>
                                  <a:pt x="0" y="4"/>
                                </a:moveTo>
                                <a:lnTo>
                                  <a:pt x="1234646" y="0"/>
                                </a:lnTo>
                                <a:lnTo>
                                  <a:pt x="0" y="4"/>
                                </a:lnTo>
                                <a:close/>
                              </a:path>
                            </a:pathLst>
                          </a:custGeom>
                          <a:solidFill>
                            <a:srgbClr val="DD2954"/>
                          </a:solidFill>
                        </wps:spPr>
                        <wps:bodyPr wrap="square" lIns="0" tIns="0" rIns="0" bIns="0" rtlCol="0">
                          <a:prstTxWarp prst="textNoShape">
                            <a:avLst/>
                          </a:prstTxWarp>
                          <a:noAutofit/>
                        </wps:bodyPr>
                      </wps:wsp>
                    </wpg:wgp>
                  </a:graphicData>
                </a:graphic>
              </wp:anchor>
            </w:drawing>
          </mc:Choice>
          <mc:Fallback>
            <w:pict>
              <v:group style="position:absolute;margin-left:319.378815pt;margin-top:588.614685pt;width:269.75pt;height:173.8pt;mso-position-horizontal-relative:page;mso-position-vertical-relative:page;z-index:15748096" id="docshapegroup133" coordorigin="6388,11772" coordsize="5395,3476">
                <v:shape style="position:absolute;left:6387;top:11772;width:5235;height:2775" type="#_x0000_t75" id="docshape134" stroked="false">
                  <v:imagedata r:id="rId124" o:title=""/>
                </v:shape>
                <v:shape style="position:absolute;left:9698;top:13312;width:2084;height:1935" id="docshape135" coordorigin="9699,13313" coordsize="2084,1935" path="m11782,13313l9699,15248,11782,15248,11782,14603,11782,13313xe" filled="true" fillcolor="#f7cd4d" stroked="false">
                  <v:path arrowok="t"/>
                  <v:fill type="solid"/>
                </v:shape>
                <v:shape style="position:absolute;left:9698;top:13312;width:2084;height:1936" id="docshape136" coordorigin="9698,13313" coordsize="2084,1936" path="m9698,15248l11782,13313,11782,13623,9698,15248xe" filled="true" fillcolor="#b079cc" stroked="false">
                  <v:path arrowok="t"/>
                  <v:fill type="solid"/>
                </v:shape>
                <v:shape style="position:absolute;left:9698;top:13622;width:2084;height:1625" id="docshape137" coordorigin="9698,13623" coordsize="2084,1625" path="m9698,15248l11782,13623,11782,13950,9698,15248xe" filled="true" fillcolor="#3c81da" stroked="false">
                  <v:path arrowok="t"/>
                  <v:fill type="solid"/>
                </v:shape>
                <v:shape style="position:absolute;left:9698;top:13949;width:2084;height:1298" id="docshape138" coordorigin="9698,13950" coordsize="2084,1298" path="m9699,15247l11782,13950,11782,14276,9699,15247xm9699,15248l9699,15248,9699,15247,9699,15248xm9698,15248l9698,15248,9699,15248,9698,15248xe" filled="true" fillcolor="#4d9e53" stroked="false">
                  <v:path arrowok="t"/>
                  <v:fill type="solid"/>
                </v:shape>
                <v:shape style="position:absolute;left:9698;top:14276;width:2084;height:972" id="docshape139" coordorigin="9698,14276" coordsize="2084,972" path="m9699,15248l11782,14276,11782,14603,9699,15248xm9699,15248l9698,15248,9699,15248,9699,15248xm9698,15248l9698,15248,9698,15248,9698,15248xe" filled="true" fillcolor="#f7cd4d" stroked="false">
                  <v:path arrowok="t"/>
                  <v:fill type="solid"/>
                </v:shape>
                <v:shape style="position:absolute;left:9698;top:14603;width:2084;height:645" id="docshape140" coordorigin="9698,14603" coordsize="2084,645" path="m9698,15248l11782,14603,11782,14922,9698,15248xe" filled="true" fillcolor="#f67b28" stroked="false">
                  <v:path arrowok="t"/>
                  <v:fill type="solid"/>
                </v:shape>
                <v:shape style="position:absolute;left:9698;top:15247;width:1945;height:2" id="docshape141" coordorigin="9698,15248" coordsize="1945,0" path="m9698,15248l11643,15248,9698,15248xe" filled="true" fillcolor="#dd2954" stroked="false">
                  <v:path arrowok="t"/>
                  <v:fill type="solid"/>
                </v:shape>
                <w10:wrap type="none"/>
              </v:group>
            </w:pict>
          </mc:Fallback>
        </mc:AlternateContent>
      </w:r>
    </w:p>
    <w:p>
      <w:pPr>
        <w:pStyle w:val="BodyText"/>
        <w:ind w:left="119"/>
        <w:rPr>
          <w:rFonts w:ascii="Georgia"/>
          <w:sz w:val="20"/>
        </w:rPr>
      </w:pPr>
      <w:r>
        <w:rPr>
          <w:rFonts w:ascii="Georgia"/>
          <w:sz w:val="20"/>
        </w:rPr>
        <mc:AlternateContent>
          <mc:Choice Requires="wps">
            <w:drawing>
              <wp:inline distT="0" distB="0" distL="0" distR="0">
                <wp:extent cx="3475990" cy="1821180"/>
                <wp:effectExtent l="0" t="0" r="0" b="7619"/>
                <wp:docPr id="167" name="Group 167"/>
                <wp:cNvGraphicFramePr>
                  <a:graphicFrameLocks/>
                </wp:cNvGraphicFramePr>
                <a:graphic>
                  <a:graphicData uri="http://schemas.microsoft.com/office/word/2010/wordprocessingGroup">
                    <wpg:wgp>
                      <wpg:cNvPr id="167" name="Group 167"/>
                      <wpg:cNvGrpSpPr/>
                      <wpg:grpSpPr>
                        <a:xfrm>
                          <a:off x="0" y="0"/>
                          <a:ext cx="3475990" cy="1821180"/>
                          <a:chExt cx="3475990" cy="1821180"/>
                        </a:xfrm>
                      </wpg:grpSpPr>
                      <wps:wsp>
                        <wps:cNvPr id="168" name="Graphic 168"/>
                        <wps:cNvSpPr/>
                        <wps:spPr>
                          <a:xfrm>
                            <a:off x="0" y="0"/>
                            <a:ext cx="3475990" cy="1821180"/>
                          </a:xfrm>
                          <a:custGeom>
                            <a:avLst/>
                            <a:gdLst/>
                            <a:ahLst/>
                            <a:cxnLst/>
                            <a:rect l="l" t="t" r="r" b="b"/>
                            <a:pathLst>
                              <a:path w="3475990" h="1821180">
                                <a:moveTo>
                                  <a:pt x="3113779" y="1821059"/>
                                </a:moveTo>
                                <a:lnTo>
                                  <a:pt x="361950" y="1821059"/>
                                </a:lnTo>
                                <a:lnTo>
                                  <a:pt x="312835" y="1817755"/>
                                </a:lnTo>
                                <a:lnTo>
                                  <a:pt x="265729" y="1808130"/>
                                </a:lnTo>
                                <a:lnTo>
                                  <a:pt x="221062" y="1792615"/>
                                </a:lnTo>
                                <a:lnTo>
                                  <a:pt x="179266" y="1771642"/>
                                </a:lnTo>
                                <a:lnTo>
                                  <a:pt x="140773" y="1745642"/>
                                </a:lnTo>
                                <a:lnTo>
                                  <a:pt x="106012" y="1715047"/>
                                </a:lnTo>
                                <a:lnTo>
                                  <a:pt x="75416" y="1680286"/>
                                </a:lnTo>
                                <a:lnTo>
                                  <a:pt x="49416" y="1641792"/>
                                </a:lnTo>
                                <a:lnTo>
                                  <a:pt x="28443" y="1599996"/>
                                </a:lnTo>
                                <a:lnTo>
                                  <a:pt x="12929" y="1555330"/>
                                </a:lnTo>
                                <a:lnTo>
                                  <a:pt x="3304" y="1508224"/>
                                </a:lnTo>
                                <a:lnTo>
                                  <a:pt x="0" y="1459109"/>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9" y="0"/>
                                </a:lnTo>
                                <a:lnTo>
                                  <a:pt x="3162893" y="3304"/>
                                </a:lnTo>
                                <a:lnTo>
                                  <a:pt x="3209999" y="12929"/>
                                </a:lnTo>
                                <a:lnTo>
                                  <a:pt x="3254666" y="28443"/>
                                </a:lnTo>
                                <a:lnTo>
                                  <a:pt x="3296462" y="49416"/>
                                </a:lnTo>
                                <a:lnTo>
                                  <a:pt x="3334955" y="75416"/>
                                </a:lnTo>
                                <a:lnTo>
                                  <a:pt x="3369716" y="106012"/>
                                </a:lnTo>
                                <a:lnTo>
                                  <a:pt x="3400312" y="140773"/>
                                </a:lnTo>
                                <a:lnTo>
                                  <a:pt x="3426312" y="179266"/>
                                </a:lnTo>
                                <a:lnTo>
                                  <a:pt x="3447285" y="221062"/>
                                </a:lnTo>
                                <a:lnTo>
                                  <a:pt x="3462799" y="265729"/>
                                </a:lnTo>
                                <a:lnTo>
                                  <a:pt x="3472424" y="312835"/>
                                </a:lnTo>
                                <a:lnTo>
                                  <a:pt x="3475729" y="361950"/>
                                </a:lnTo>
                                <a:lnTo>
                                  <a:pt x="3475729" y="1459109"/>
                                </a:lnTo>
                                <a:lnTo>
                                  <a:pt x="3472424" y="1508224"/>
                                </a:lnTo>
                                <a:lnTo>
                                  <a:pt x="3462799" y="1555330"/>
                                </a:lnTo>
                                <a:lnTo>
                                  <a:pt x="3447285" y="1599996"/>
                                </a:lnTo>
                                <a:lnTo>
                                  <a:pt x="3426312" y="1641792"/>
                                </a:lnTo>
                                <a:lnTo>
                                  <a:pt x="3400312" y="1680286"/>
                                </a:lnTo>
                                <a:lnTo>
                                  <a:pt x="3369716" y="1715047"/>
                                </a:lnTo>
                                <a:lnTo>
                                  <a:pt x="3334955" y="1745642"/>
                                </a:lnTo>
                                <a:lnTo>
                                  <a:pt x="3296462" y="1771642"/>
                                </a:lnTo>
                                <a:lnTo>
                                  <a:pt x="3254666" y="1792615"/>
                                </a:lnTo>
                                <a:lnTo>
                                  <a:pt x="3209999" y="1808130"/>
                                </a:lnTo>
                                <a:lnTo>
                                  <a:pt x="3162893" y="1817755"/>
                                </a:lnTo>
                                <a:lnTo>
                                  <a:pt x="3113779" y="1821059"/>
                                </a:lnTo>
                                <a:close/>
                              </a:path>
                            </a:pathLst>
                          </a:custGeom>
                          <a:solidFill>
                            <a:srgbClr val="F4E2D4">
                              <a:alpha val="55999"/>
                            </a:srgbClr>
                          </a:solidFill>
                        </wps:spPr>
                        <wps:bodyPr wrap="square" lIns="0" tIns="0" rIns="0" bIns="0" rtlCol="0">
                          <a:prstTxWarp prst="textNoShape">
                            <a:avLst/>
                          </a:prstTxWarp>
                          <a:noAutofit/>
                        </wps:bodyPr>
                      </wps:wsp>
                      <wps:wsp>
                        <wps:cNvPr id="169" name="Textbox 169"/>
                        <wps:cNvSpPr txBox="1"/>
                        <wps:spPr>
                          <a:xfrm>
                            <a:off x="0" y="0"/>
                            <a:ext cx="3475990" cy="1821180"/>
                          </a:xfrm>
                          <a:prstGeom prst="rect">
                            <a:avLst/>
                          </a:prstGeom>
                        </wps:spPr>
                        <wps:txbx>
                          <w:txbxContent>
                            <w:p>
                              <w:pPr>
                                <w:spacing w:before="158"/>
                                <w:ind w:left="238" w:right="0" w:firstLine="0"/>
                                <w:jc w:val="left"/>
                                <w:rPr>
                                  <w:b/>
                                  <w:i/>
                                  <w:sz w:val="34"/>
                                </w:rPr>
                              </w:pPr>
                              <w:r>
                                <w:rPr>
                                  <w:b/>
                                  <w:i/>
                                  <w:spacing w:val="11"/>
                                  <w:w w:val="130"/>
                                  <w:sz w:val="34"/>
                                </w:rPr>
                                <w:t>LEGISLATION</w:t>
                              </w:r>
                            </w:p>
                            <w:p>
                              <w:pPr>
                                <w:spacing w:line="532" w:lineRule="auto" w:before="236"/>
                                <w:ind w:left="238" w:right="0" w:firstLine="0"/>
                                <w:jc w:val="left"/>
                                <w:rPr>
                                  <w:rFonts w:ascii="Georgia"/>
                                  <w:sz w:val="22"/>
                                </w:rPr>
                              </w:pPr>
                              <w:r>
                                <w:rPr>
                                  <w:rFonts w:ascii="Georgia"/>
                                  <w:spacing w:val="-4"/>
                                  <w:sz w:val="22"/>
                                </w:rPr>
                                <w:t>S.259/H.498: LGBTQ+ Inclusive </w:t>
                              </w:r>
                              <w:r>
                                <w:rPr>
                                  <w:rFonts w:ascii="Georgia"/>
                                  <w:spacing w:val="-4"/>
                                  <w:sz w:val="22"/>
                                </w:rPr>
                                <w:t>Curriculum </w:t>
                              </w:r>
                              <w:r>
                                <w:rPr>
                                  <w:rFonts w:ascii="Georgia"/>
                                  <w:sz w:val="22"/>
                                </w:rPr>
                                <w:t>S.311/H.549: Educator Diversity</w:t>
                              </w:r>
                            </w:p>
                            <w:p>
                              <w:pPr>
                                <w:spacing w:line="249" w:lineRule="exact" w:before="0"/>
                                <w:ind w:left="238" w:right="0" w:firstLine="0"/>
                                <w:jc w:val="left"/>
                                <w:rPr>
                                  <w:rFonts w:ascii="Georgia"/>
                                  <w:sz w:val="22"/>
                                </w:rPr>
                              </w:pPr>
                              <w:r>
                                <w:rPr>
                                  <w:rFonts w:ascii="Georgia"/>
                                  <w:sz w:val="22"/>
                                </w:rPr>
                                <w:t>S.346:</w:t>
                              </w:r>
                              <w:r>
                                <w:rPr>
                                  <w:rFonts w:ascii="Georgia"/>
                                  <w:spacing w:val="-9"/>
                                  <w:sz w:val="22"/>
                                </w:rPr>
                                <w:t> </w:t>
                              </w:r>
                              <w:r>
                                <w:rPr>
                                  <w:rFonts w:ascii="Georgia"/>
                                  <w:sz w:val="22"/>
                                </w:rPr>
                                <w:t>Mental</w:t>
                              </w:r>
                              <w:r>
                                <w:rPr>
                                  <w:rFonts w:ascii="Georgia"/>
                                  <w:spacing w:val="-9"/>
                                  <w:sz w:val="22"/>
                                </w:rPr>
                                <w:t> </w:t>
                              </w:r>
                              <w:r>
                                <w:rPr>
                                  <w:rFonts w:ascii="Georgia"/>
                                  <w:sz w:val="22"/>
                                </w:rPr>
                                <w:t>Health</w:t>
                              </w:r>
                              <w:r>
                                <w:rPr>
                                  <w:rFonts w:ascii="Georgia"/>
                                  <w:spacing w:val="-9"/>
                                  <w:sz w:val="22"/>
                                </w:rPr>
                                <w:t> </w:t>
                              </w:r>
                              <w:r>
                                <w:rPr>
                                  <w:rFonts w:ascii="Georgia"/>
                                  <w:sz w:val="22"/>
                                </w:rPr>
                                <w:t>Supports</w:t>
                              </w:r>
                              <w:r>
                                <w:rPr>
                                  <w:rFonts w:ascii="Georgia"/>
                                  <w:spacing w:val="-9"/>
                                  <w:sz w:val="22"/>
                                </w:rPr>
                                <w:t> </w:t>
                              </w:r>
                              <w:r>
                                <w:rPr>
                                  <w:rFonts w:ascii="Georgia"/>
                                  <w:sz w:val="22"/>
                                </w:rPr>
                                <w:t>for</w:t>
                              </w:r>
                              <w:r>
                                <w:rPr>
                                  <w:rFonts w:ascii="Georgia"/>
                                  <w:spacing w:val="-9"/>
                                  <w:sz w:val="22"/>
                                </w:rPr>
                                <w:t> </w:t>
                              </w:r>
                              <w:r>
                                <w:rPr>
                                  <w:rFonts w:ascii="Georgia"/>
                                  <w:sz w:val="22"/>
                                </w:rPr>
                                <w:t>K-12</w:t>
                              </w:r>
                              <w:r>
                                <w:rPr>
                                  <w:rFonts w:ascii="Georgia"/>
                                  <w:spacing w:val="-9"/>
                                  <w:sz w:val="22"/>
                                </w:rPr>
                                <w:t> </w:t>
                              </w:r>
                              <w:r>
                                <w:rPr>
                                  <w:rFonts w:ascii="Georgia"/>
                                  <w:spacing w:val="-2"/>
                                  <w:sz w:val="22"/>
                                </w:rPr>
                                <w:t>Schools</w:t>
                              </w:r>
                            </w:p>
                          </w:txbxContent>
                        </wps:txbx>
                        <wps:bodyPr wrap="square" lIns="0" tIns="0" rIns="0" bIns="0" rtlCol="0">
                          <a:noAutofit/>
                        </wps:bodyPr>
                      </wps:wsp>
                    </wpg:wgp>
                  </a:graphicData>
                </a:graphic>
              </wp:inline>
            </w:drawing>
          </mc:Choice>
          <mc:Fallback>
            <w:pict>
              <v:group style="width:273.7pt;height:143.4pt;mso-position-horizontal-relative:char;mso-position-vertical-relative:line" id="docshapegroup142" coordorigin="0,0" coordsize="5474,2868">
                <v:shape style="position:absolute;left:0;top:0;width:5474;height:2868" id="docshape143" coordorigin="0,0" coordsize="5474,2868" path="m4904,2868l570,2868,493,2863,418,2847,348,2823,282,2790,222,2749,167,2701,119,2646,78,2586,45,2520,20,2449,5,2375,0,2298,0,570,5,493,20,418,45,348,78,282,119,222,167,167,222,119,282,78,348,45,418,20,493,5,570,0,4904,0,4981,5,5055,20,5125,45,5191,78,5252,119,5307,167,5355,222,5396,282,5429,348,5453,418,5468,493,5474,570,5474,2298,5468,2375,5453,2449,5429,2520,5396,2586,5355,2646,5307,2701,5252,2749,5191,2790,5125,2823,5055,2847,4981,2863,4904,2868xe" filled="true" fillcolor="#f4e2d4" stroked="false">
                  <v:path arrowok="t"/>
                  <v:fill opacity="36700f" type="solid"/>
                </v:shape>
                <v:shape style="position:absolute;left:0;top:0;width:5474;height:2868" type="#_x0000_t202" id="docshape144" filled="false" stroked="false">
                  <v:textbox inset="0,0,0,0">
                    <w:txbxContent>
                      <w:p>
                        <w:pPr>
                          <w:spacing w:before="158"/>
                          <w:ind w:left="238" w:right="0" w:firstLine="0"/>
                          <w:jc w:val="left"/>
                          <w:rPr>
                            <w:b/>
                            <w:i/>
                            <w:sz w:val="34"/>
                          </w:rPr>
                        </w:pPr>
                        <w:r>
                          <w:rPr>
                            <w:b/>
                            <w:i/>
                            <w:spacing w:val="11"/>
                            <w:w w:val="130"/>
                            <w:sz w:val="34"/>
                          </w:rPr>
                          <w:t>LEGISLATION</w:t>
                        </w:r>
                      </w:p>
                      <w:p>
                        <w:pPr>
                          <w:spacing w:line="532" w:lineRule="auto" w:before="236"/>
                          <w:ind w:left="238" w:right="0" w:firstLine="0"/>
                          <w:jc w:val="left"/>
                          <w:rPr>
                            <w:rFonts w:ascii="Georgia"/>
                            <w:sz w:val="22"/>
                          </w:rPr>
                        </w:pPr>
                        <w:r>
                          <w:rPr>
                            <w:rFonts w:ascii="Georgia"/>
                            <w:spacing w:val="-4"/>
                            <w:sz w:val="22"/>
                          </w:rPr>
                          <w:t>S.259/H.498: LGBTQ+ Inclusive </w:t>
                        </w:r>
                        <w:r>
                          <w:rPr>
                            <w:rFonts w:ascii="Georgia"/>
                            <w:spacing w:val="-4"/>
                            <w:sz w:val="22"/>
                          </w:rPr>
                          <w:t>Curriculum </w:t>
                        </w:r>
                        <w:r>
                          <w:rPr>
                            <w:rFonts w:ascii="Georgia"/>
                            <w:sz w:val="22"/>
                          </w:rPr>
                          <w:t>S.311/H.549: Educator Diversity</w:t>
                        </w:r>
                      </w:p>
                      <w:p>
                        <w:pPr>
                          <w:spacing w:line="249" w:lineRule="exact" w:before="0"/>
                          <w:ind w:left="238" w:right="0" w:firstLine="0"/>
                          <w:jc w:val="left"/>
                          <w:rPr>
                            <w:rFonts w:ascii="Georgia"/>
                            <w:sz w:val="22"/>
                          </w:rPr>
                        </w:pPr>
                        <w:r>
                          <w:rPr>
                            <w:rFonts w:ascii="Georgia"/>
                            <w:sz w:val="22"/>
                          </w:rPr>
                          <w:t>S.346:</w:t>
                        </w:r>
                        <w:r>
                          <w:rPr>
                            <w:rFonts w:ascii="Georgia"/>
                            <w:spacing w:val="-9"/>
                            <w:sz w:val="22"/>
                          </w:rPr>
                          <w:t> </w:t>
                        </w:r>
                        <w:r>
                          <w:rPr>
                            <w:rFonts w:ascii="Georgia"/>
                            <w:sz w:val="22"/>
                          </w:rPr>
                          <w:t>Mental</w:t>
                        </w:r>
                        <w:r>
                          <w:rPr>
                            <w:rFonts w:ascii="Georgia"/>
                            <w:spacing w:val="-9"/>
                            <w:sz w:val="22"/>
                          </w:rPr>
                          <w:t> </w:t>
                        </w:r>
                        <w:r>
                          <w:rPr>
                            <w:rFonts w:ascii="Georgia"/>
                            <w:sz w:val="22"/>
                          </w:rPr>
                          <w:t>Health</w:t>
                        </w:r>
                        <w:r>
                          <w:rPr>
                            <w:rFonts w:ascii="Georgia"/>
                            <w:spacing w:val="-9"/>
                            <w:sz w:val="22"/>
                          </w:rPr>
                          <w:t> </w:t>
                        </w:r>
                        <w:r>
                          <w:rPr>
                            <w:rFonts w:ascii="Georgia"/>
                            <w:sz w:val="22"/>
                          </w:rPr>
                          <w:t>Supports</w:t>
                        </w:r>
                        <w:r>
                          <w:rPr>
                            <w:rFonts w:ascii="Georgia"/>
                            <w:spacing w:val="-9"/>
                            <w:sz w:val="22"/>
                          </w:rPr>
                          <w:t> </w:t>
                        </w:r>
                        <w:r>
                          <w:rPr>
                            <w:rFonts w:ascii="Georgia"/>
                            <w:sz w:val="22"/>
                          </w:rPr>
                          <w:t>for</w:t>
                        </w:r>
                        <w:r>
                          <w:rPr>
                            <w:rFonts w:ascii="Georgia"/>
                            <w:spacing w:val="-9"/>
                            <w:sz w:val="22"/>
                          </w:rPr>
                          <w:t> </w:t>
                        </w:r>
                        <w:r>
                          <w:rPr>
                            <w:rFonts w:ascii="Georgia"/>
                            <w:sz w:val="22"/>
                          </w:rPr>
                          <w:t>K-12</w:t>
                        </w:r>
                        <w:r>
                          <w:rPr>
                            <w:rFonts w:ascii="Georgia"/>
                            <w:spacing w:val="-9"/>
                            <w:sz w:val="22"/>
                          </w:rPr>
                          <w:t> </w:t>
                        </w:r>
                        <w:r>
                          <w:rPr>
                            <w:rFonts w:ascii="Georgia"/>
                            <w:spacing w:val="-2"/>
                            <w:sz w:val="22"/>
                          </w:rPr>
                          <w:t>Schools</w:t>
                        </w:r>
                      </w:p>
                    </w:txbxContent>
                  </v:textbox>
                  <w10:wrap type="none"/>
                </v:shape>
              </v:group>
            </w:pict>
          </mc:Fallback>
        </mc:AlternateContent>
      </w:r>
      <w:r>
        <w:rPr>
          <w:rFonts w:ascii="Georgia"/>
          <w:sz w:val="20"/>
        </w:rPr>
      </w:r>
    </w:p>
    <w:p>
      <w:pPr>
        <w:spacing w:after="0"/>
        <w:rPr>
          <w:rFonts w:ascii="Georgia"/>
          <w:sz w:val="20"/>
        </w:rPr>
        <w:sectPr>
          <w:type w:val="continuous"/>
          <w:pgSz w:w="12240" w:h="15840"/>
          <w:pgMar w:header="0" w:footer="0" w:top="1420" w:bottom="280" w:left="720" w:right="1260"/>
        </w:sectPr>
      </w:pPr>
    </w:p>
    <w:p>
      <w:pPr>
        <w:pStyle w:val="Heading7"/>
        <w:spacing w:before="68"/>
        <w:ind w:left="319"/>
      </w:pPr>
      <w:r>
        <w:rPr/>
        <mc:AlternateContent>
          <mc:Choice Requires="wps">
            <w:drawing>
              <wp:anchor distT="0" distB="0" distL="0" distR="0" allowOverlap="1" layoutInCell="1" locked="0" behindDoc="1" simplePos="0" relativeHeight="487607808">
                <wp:simplePos x="0" y="0"/>
                <wp:positionH relativeFrom="page">
                  <wp:posOffset>889000</wp:posOffset>
                </wp:positionH>
                <wp:positionV relativeFrom="paragraph">
                  <wp:posOffset>391718</wp:posOffset>
                </wp:positionV>
                <wp:extent cx="6350" cy="12700"/>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30.844pt;width:.499pt;height:.962pt;mso-position-horizontal-relative:page;mso-position-vertical-relative:paragraph;z-index:-15708672;mso-wrap-distance-left:0;mso-wrap-distance-right:0" id="docshape148" filled="true" fillcolor="#0f6dc5" stroked="false">
                <v:fill type="solid"/>
                <w10:wrap type="topAndBottom"/>
              </v:rect>
            </w:pict>
          </mc:Fallback>
        </mc:AlternateContent>
      </w:r>
      <w:r>
        <w:rPr/>
        <mc:AlternateContent>
          <mc:Choice Requires="wps">
            <w:drawing>
              <wp:anchor distT="0" distB="0" distL="0" distR="0" allowOverlap="1" layoutInCell="1" locked="0" behindDoc="1" simplePos="0" relativeHeight="487608320">
                <wp:simplePos x="0" y="0"/>
                <wp:positionH relativeFrom="page">
                  <wp:posOffset>889000</wp:posOffset>
                </wp:positionH>
                <wp:positionV relativeFrom="paragraph">
                  <wp:posOffset>491870</wp:posOffset>
                </wp:positionV>
                <wp:extent cx="6350" cy="1270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38.730pt;width:.499pt;height:.959pt;mso-position-horizontal-relative:page;mso-position-vertical-relative:paragraph;z-index:-15708160;mso-wrap-distance-left:0;mso-wrap-distance-right:0" id="docshape149" filled="true" fillcolor="#0f6dc5" stroked="false">
                <v:fill type="solid"/>
                <w10:wrap type="topAndBottom"/>
              </v:rect>
            </w:pict>
          </mc:Fallback>
        </mc:AlternateContent>
      </w:r>
      <w:bookmarkStart w:name="FY 2025 - Public Health - Final.pdf" w:id="188"/>
      <w:bookmarkEnd w:id="188"/>
      <w:r>
        <w:rPr/>
      </w:r>
      <w:bookmarkStart w:name="_bookmark78" w:id="189"/>
      <w:bookmarkEnd w:id="189"/>
      <w:r>
        <w:rPr/>
      </w:r>
      <w:hyperlink w:history="true" w:anchor="_bookmark3">
        <w:r>
          <w:rPr>
            <w:color w:val="365F91"/>
            <w:spacing w:val="-10"/>
          </w:rPr>
          <w:t>Destigmatizing</w:t>
        </w:r>
        <w:r>
          <w:rPr>
            <w:color w:val="365F91"/>
            <w:spacing w:val="2"/>
          </w:rPr>
          <w:t> </w:t>
        </w:r>
        <w:r>
          <w:rPr>
            <w:color w:val="365F91"/>
            <w:spacing w:val="-10"/>
          </w:rPr>
          <w:t>Public</w:t>
        </w:r>
        <w:r>
          <w:rPr>
            <w:color w:val="365F91"/>
            <w:spacing w:val="5"/>
          </w:rPr>
          <w:t> </w:t>
        </w:r>
        <w:r>
          <w:rPr>
            <w:color w:val="365F91"/>
            <w:spacing w:val="-10"/>
          </w:rPr>
          <w:t>Health</w:t>
        </w:r>
      </w:hyperlink>
    </w:p>
    <w:p>
      <w:pPr>
        <w:pStyle w:val="BodyText"/>
        <w:spacing w:before="4"/>
        <w:rPr>
          <w:sz w:val="9"/>
        </w:rPr>
      </w:pPr>
    </w:p>
    <w:p>
      <w:pPr>
        <w:spacing w:before="280" w:after="20"/>
        <w:ind w:left="319" w:right="0" w:firstLine="0"/>
        <w:jc w:val="left"/>
        <w:rPr>
          <w:sz w:val="28"/>
        </w:rPr>
      </w:pPr>
      <w:bookmarkStart w:name="Introduction" w:id="190"/>
      <w:bookmarkEnd w:id="190"/>
      <w:r>
        <w:rPr/>
      </w:r>
      <w:r>
        <w:rPr>
          <w:color w:val="365F91"/>
          <w:spacing w:val="-2"/>
          <w:sz w:val="28"/>
        </w:rPr>
        <w:t>Introduction</w:t>
      </w:r>
    </w:p>
    <w:p>
      <w:pPr>
        <w:pStyle w:val="BodyText"/>
        <w:spacing w:line="20" w:lineRule="exact"/>
        <w:ind w:left="289"/>
        <w:rPr>
          <w:sz w:val="2"/>
        </w:rPr>
      </w:pPr>
      <w:r>
        <w:rPr>
          <w:sz w:val="2"/>
        </w:rPr>
        <mc:AlternateContent>
          <mc:Choice Requires="wps">
            <w:drawing>
              <wp:inline distT="0" distB="0" distL="0" distR="0">
                <wp:extent cx="6115050" cy="6350"/>
                <wp:effectExtent l="0" t="0" r="0" b="0"/>
                <wp:docPr id="175" name="Group 175"/>
                <wp:cNvGraphicFramePr>
                  <a:graphicFrameLocks/>
                </wp:cNvGraphicFramePr>
                <a:graphic>
                  <a:graphicData uri="http://schemas.microsoft.com/office/word/2010/wordprocessingGroup">
                    <wpg:wgp>
                      <wpg:cNvPr id="175" name="Group 175"/>
                      <wpg:cNvGrpSpPr/>
                      <wpg:grpSpPr>
                        <a:xfrm>
                          <a:off x="0" y="0"/>
                          <a:ext cx="6115050" cy="6350"/>
                          <a:chExt cx="6115050" cy="6350"/>
                        </a:xfrm>
                      </wpg:grpSpPr>
                      <wps:wsp>
                        <wps:cNvPr id="176" name="Graphic 176"/>
                        <wps:cNvSpPr/>
                        <wps:spPr>
                          <a:xfrm>
                            <a:off x="0" y="0"/>
                            <a:ext cx="6115050" cy="6350"/>
                          </a:xfrm>
                          <a:custGeom>
                            <a:avLst/>
                            <a:gdLst/>
                            <a:ahLst/>
                            <a:cxnLst/>
                            <a:rect l="l" t="t" r="r" b="b"/>
                            <a:pathLst>
                              <a:path w="6115050" h="6350">
                                <a:moveTo>
                                  <a:pt x="6115050" y="0"/>
                                </a:moveTo>
                                <a:lnTo>
                                  <a:pt x="0" y="0"/>
                                </a:lnTo>
                                <a:lnTo>
                                  <a:pt x="0" y="6096"/>
                                </a:lnTo>
                                <a:lnTo>
                                  <a:pt x="6115050" y="6096"/>
                                </a:lnTo>
                                <a:lnTo>
                                  <a:pt x="6115050"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81.5pt;height:.5pt;mso-position-horizontal-relative:char;mso-position-vertical-relative:line" id="docshapegroup150" coordorigin="0,0" coordsize="9630,10">
                <v:rect style="position:absolute;left:0;top:0;width:9630;height:10" id="docshape151" filled="true" fillcolor="#4f81bc" stroked="false">
                  <v:fill type="solid"/>
                </v:rect>
              </v:group>
            </w:pict>
          </mc:Fallback>
        </mc:AlternateContent>
      </w:r>
      <w:r>
        <w:rPr>
          <w:sz w:val="2"/>
        </w:rPr>
      </w:r>
    </w:p>
    <w:p>
      <w:pPr>
        <w:spacing w:line="264" w:lineRule="auto" w:before="71"/>
        <w:ind w:left="319" w:right="311" w:firstLine="0"/>
        <w:jc w:val="left"/>
        <w:rPr>
          <w:i/>
          <w:sz w:val="22"/>
        </w:rPr>
      </w:pPr>
      <w:bookmarkStart w:name="(first published in FY 2024 Annual Recom" w:id="191"/>
      <w:bookmarkEnd w:id="191"/>
      <w:r>
        <w:rPr/>
      </w:r>
      <w:r>
        <w:rPr>
          <w:i/>
          <w:sz w:val="22"/>
        </w:rPr>
        <w:t>(first</w:t>
      </w:r>
      <w:r>
        <w:rPr>
          <w:i/>
          <w:spacing w:val="-4"/>
          <w:sz w:val="22"/>
        </w:rPr>
        <w:t> </w:t>
      </w:r>
      <w:r>
        <w:rPr>
          <w:i/>
          <w:sz w:val="22"/>
        </w:rPr>
        <w:t>published</w:t>
      </w:r>
      <w:r>
        <w:rPr>
          <w:i/>
          <w:spacing w:val="-4"/>
          <w:sz w:val="22"/>
        </w:rPr>
        <w:t> </w:t>
      </w:r>
      <w:r>
        <w:rPr>
          <w:i/>
          <w:sz w:val="22"/>
        </w:rPr>
        <w:t>in</w:t>
      </w:r>
      <w:r>
        <w:rPr>
          <w:i/>
          <w:spacing w:val="-3"/>
          <w:sz w:val="22"/>
        </w:rPr>
        <w:t> </w:t>
      </w:r>
      <w:r>
        <w:rPr>
          <w:i/>
          <w:sz w:val="22"/>
        </w:rPr>
        <w:t>FY</w:t>
      </w:r>
      <w:r>
        <w:rPr>
          <w:i/>
          <w:spacing w:val="-4"/>
          <w:sz w:val="22"/>
        </w:rPr>
        <w:t> </w:t>
      </w:r>
      <w:r>
        <w:rPr>
          <w:i/>
          <w:sz w:val="22"/>
        </w:rPr>
        <w:t>2024</w:t>
      </w:r>
      <w:r>
        <w:rPr>
          <w:i/>
          <w:spacing w:val="-1"/>
          <w:sz w:val="22"/>
        </w:rPr>
        <w:t> </w:t>
      </w:r>
      <w:r>
        <w:rPr>
          <w:i/>
          <w:sz w:val="22"/>
        </w:rPr>
        <w:t>Annual</w:t>
      </w:r>
      <w:r>
        <w:rPr>
          <w:i/>
          <w:spacing w:val="-3"/>
          <w:sz w:val="22"/>
        </w:rPr>
        <w:t> </w:t>
      </w:r>
      <w:r>
        <w:rPr>
          <w:i/>
          <w:sz w:val="22"/>
        </w:rPr>
        <w:t>Recommendations</w:t>
      </w:r>
      <w:r>
        <w:rPr>
          <w:i/>
          <w:spacing w:val="-4"/>
          <w:sz w:val="22"/>
        </w:rPr>
        <w:t> </w:t>
      </w:r>
      <w:r>
        <w:rPr>
          <w:i/>
          <w:sz w:val="22"/>
        </w:rPr>
        <w:t>Report,</w:t>
      </w:r>
      <w:r>
        <w:rPr>
          <w:i/>
          <w:spacing w:val="-2"/>
          <w:sz w:val="22"/>
        </w:rPr>
        <w:t> </w:t>
      </w:r>
      <w:r>
        <w:rPr>
          <w:i/>
          <w:sz w:val="22"/>
        </w:rPr>
        <w:t>minor</w:t>
      </w:r>
      <w:r>
        <w:rPr>
          <w:i/>
          <w:spacing w:val="-4"/>
          <w:sz w:val="22"/>
        </w:rPr>
        <w:t> </w:t>
      </w:r>
      <w:r>
        <w:rPr>
          <w:i/>
          <w:sz w:val="22"/>
        </w:rPr>
        <w:t>updates</w:t>
      </w:r>
      <w:r>
        <w:rPr>
          <w:i/>
          <w:spacing w:val="-4"/>
          <w:sz w:val="22"/>
        </w:rPr>
        <w:t> </w:t>
      </w:r>
      <w:r>
        <w:rPr>
          <w:i/>
          <w:sz w:val="22"/>
        </w:rPr>
        <w:t>made</w:t>
      </w:r>
      <w:r>
        <w:rPr>
          <w:i/>
          <w:spacing w:val="-3"/>
          <w:sz w:val="22"/>
        </w:rPr>
        <w:t> </w:t>
      </w:r>
      <w:r>
        <w:rPr>
          <w:i/>
          <w:sz w:val="22"/>
        </w:rPr>
        <w:t>to</w:t>
      </w:r>
      <w:r>
        <w:rPr>
          <w:i/>
          <w:spacing w:val="-3"/>
          <w:sz w:val="22"/>
        </w:rPr>
        <w:t> </w:t>
      </w:r>
      <w:r>
        <w:rPr>
          <w:i/>
          <w:sz w:val="22"/>
        </w:rPr>
        <w:t>bring</w:t>
      </w:r>
      <w:r>
        <w:rPr>
          <w:i/>
          <w:spacing w:val="-3"/>
          <w:sz w:val="22"/>
        </w:rPr>
        <w:t> </w:t>
      </w:r>
      <w:r>
        <w:rPr>
          <w:i/>
          <w:sz w:val="22"/>
        </w:rPr>
        <w:t>current</w:t>
      </w:r>
      <w:r>
        <w:rPr>
          <w:i/>
          <w:spacing w:val="-3"/>
          <w:sz w:val="22"/>
        </w:rPr>
        <w:t> </w:t>
      </w:r>
      <w:r>
        <w:rPr>
          <w:i/>
          <w:sz w:val="22"/>
        </w:rPr>
        <w:t>to</w:t>
      </w:r>
      <w:r>
        <w:rPr>
          <w:i/>
          <w:spacing w:val="-3"/>
          <w:sz w:val="22"/>
        </w:rPr>
        <w:t> </w:t>
      </w:r>
      <w:r>
        <w:rPr>
          <w:i/>
          <w:sz w:val="22"/>
        </w:rPr>
        <w:t>FY</w:t>
      </w:r>
      <w:r>
        <w:rPr>
          <w:i/>
          <w:sz w:val="22"/>
        </w:rPr>
        <w:t> </w:t>
      </w:r>
      <w:r>
        <w:rPr>
          <w:i/>
          <w:spacing w:val="-2"/>
          <w:sz w:val="22"/>
        </w:rPr>
        <w:t>2025)</w:t>
      </w:r>
    </w:p>
    <w:p>
      <w:pPr>
        <w:pStyle w:val="BodyText"/>
        <w:spacing w:line="276" w:lineRule="auto" w:before="240"/>
        <w:ind w:left="463" w:right="280"/>
        <w:jc w:val="both"/>
      </w:pPr>
      <w:r>
        <w:rPr/>
        <w:t>The public health crises facing LGBTQ youth are largely not because of individual risk factors, but rather systemic</w:t>
      </w:r>
      <w:r>
        <w:rPr>
          <w:spacing w:val="-6"/>
        </w:rPr>
        <w:t> </w:t>
      </w:r>
      <w:r>
        <w:rPr/>
        <w:t>issues</w:t>
      </w:r>
      <w:r>
        <w:rPr>
          <w:spacing w:val="-6"/>
        </w:rPr>
        <w:t> </w:t>
      </w:r>
      <w:r>
        <w:rPr/>
        <w:t>that</w:t>
      </w:r>
      <w:r>
        <w:rPr>
          <w:spacing w:val="-7"/>
        </w:rPr>
        <w:t> </w:t>
      </w:r>
      <w:r>
        <w:rPr/>
        <w:t>affect</w:t>
      </w:r>
      <w:r>
        <w:rPr>
          <w:spacing w:val="-5"/>
        </w:rPr>
        <w:t> </w:t>
      </w:r>
      <w:r>
        <w:rPr/>
        <w:t>how</w:t>
      </w:r>
      <w:r>
        <w:rPr>
          <w:spacing w:val="-6"/>
        </w:rPr>
        <w:t> </w:t>
      </w:r>
      <w:r>
        <w:rPr/>
        <w:t>LGBTQ</w:t>
      </w:r>
      <w:r>
        <w:rPr>
          <w:spacing w:val="-7"/>
        </w:rPr>
        <w:t> </w:t>
      </w:r>
      <w:r>
        <w:rPr/>
        <w:t>youth</w:t>
      </w:r>
      <w:r>
        <w:rPr>
          <w:spacing w:val="-6"/>
        </w:rPr>
        <w:t> </w:t>
      </w:r>
      <w:r>
        <w:rPr/>
        <w:t>navigate</w:t>
      </w:r>
      <w:r>
        <w:rPr>
          <w:spacing w:val="-7"/>
        </w:rPr>
        <w:t> </w:t>
      </w:r>
      <w:r>
        <w:rPr/>
        <w:t>the</w:t>
      </w:r>
      <w:r>
        <w:rPr>
          <w:spacing w:val="-7"/>
        </w:rPr>
        <w:t> </w:t>
      </w:r>
      <w:r>
        <w:rPr/>
        <w:t>spaces</w:t>
      </w:r>
      <w:r>
        <w:rPr>
          <w:spacing w:val="-6"/>
        </w:rPr>
        <w:t> </w:t>
      </w:r>
      <w:r>
        <w:rPr/>
        <w:t>in</w:t>
      </w:r>
      <w:r>
        <w:rPr>
          <w:spacing w:val="-7"/>
        </w:rPr>
        <w:t> </w:t>
      </w:r>
      <w:r>
        <w:rPr/>
        <w:t>which</w:t>
      </w:r>
      <w:r>
        <w:rPr>
          <w:spacing w:val="-6"/>
        </w:rPr>
        <w:t> </w:t>
      </w:r>
      <w:r>
        <w:rPr/>
        <w:t>they</w:t>
      </w:r>
      <w:r>
        <w:rPr>
          <w:spacing w:val="-5"/>
        </w:rPr>
        <w:t> </w:t>
      </w:r>
      <w:r>
        <w:rPr/>
        <w:t>exist.</w:t>
      </w:r>
      <w:r>
        <w:rPr>
          <w:spacing w:val="-6"/>
        </w:rPr>
        <w:t> </w:t>
      </w:r>
      <w:r>
        <w:rPr/>
        <w:t>LGBTQ</w:t>
      </w:r>
      <w:r>
        <w:rPr>
          <w:spacing w:val="-6"/>
        </w:rPr>
        <w:t> </w:t>
      </w:r>
      <w:r>
        <w:rPr/>
        <w:t>youth</w:t>
      </w:r>
      <w:r>
        <w:rPr>
          <w:spacing w:val="-7"/>
        </w:rPr>
        <w:t> </w:t>
      </w:r>
      <w:r>
        <w:rPr/>
        <w:t>often live in environments hostile to their existence, whether because of the current political climate, unsupportive families, or a lack of LGBTQ community and role models. The future is uncertain for many youths, and</w:t>
      </w:r>
      <w:r>
        <w:rPr>
          <w:spacing w:val="-1"/>
        </w:rPr>
        <w:t> </w:t>
      </w:r>
      <w:r>
        <w:rPr/>
        <w:t>it can</w:t>
      </w:r>
      <w:r>
        <w:rPr>
          <w:spacing w:val="-1"/>
        </w:rPr>
        <w:t> </w:t>
      </w:r>
      <w:r>
        <w:rPr/>
        <w:t>be</w:t>
      </w:r>
      <w:r>
        <w:rPr>
          <w:spacing w:val="-1"/>
        </w:rPr>
        <w:t> </w:t>
      </w:r>
      <w:r>
        <w:rPr/>
        <w:t>difficult</w:t>
      </w:r>
      <w:r>
        <w:rPr>
          <w:spacing w:val="-1"/>
        </w:rPr>
        <w:t> </w:t>
      </w:r>
      <w:r>
        <w:rPr/>
        <w:t>for them to envision</w:t>
      </w:r>
      <w:r>
        <w:rPr>
          <w:spacing w:val="-1"/>
        </w:rPr>
        <w:t> </w:t>
      </w:r>
      <w:r>
        <w:rPr/>
        <w:t>a world</w:t>
      </w:r>
      <w:r>
        <w:rPr>
          <w:spacing w:val="-1"/>
        </w:rPr>
        <w:t> </w:t>
      </w:r>
      <w:r>
        <w:rPr/>
        <w:t>where they are</w:t>
      </w:r>
      <w:r>
        <w:rPr>
          <w:spacing w:val="-1"/>
        </w:rPr>
        <w:t> </w:t>
      </w:r>
      <w:r>
        <w:rPr/>
        <w:t>able to exist</w:t>
      </w:r>
      <w:r>
        <w:rPr>
          <w:spacing w:val="-1"/>
        </w:rPr>
        <w:t> </w:t>
      </w:r>
      <w:r>
        <w:rPr/>
        <w:t>freely and</w:t>
      </w:r>
      <w:r>
        <w:rPr>
          <w:spacing w:val="-1"/>
        </w:rPr>
        <w:t> </w:t>
      </w:r>
      <w:r>
        <w:rPr/>
        <w:t>safely as</w:t>
      </w:r>
      <w:r>
        <w:rPr>
          <w:spacing w:val="-7"/>
        </w:rPr>
        <w:t> </w:t>
      </w:r>
      <w:r>
        <w:rPr/>
        <w:t>queer</w:t>
      </w:r>
      <w:r>
        <w:rPr>
          <w:spacing w:val="-7"/>
        </w:rPr>
        <w:t> </w:t>
      </w:r>
      <w:r>
        <w:rPr/>
        <w:t>and</w:t>
      </w:r>
      <w:r>
        <w:rPr>
          <w:spacing w:val="-7"/>
        </w:rPr>
        <w:t> </w:t>
      </w:r>
      <w:r>
        <w:rPr/>
        <w:t>trans</w:t>
      </w:r>
      <w:r>
        <w:rPr>
          <w:spacing w:val="-7"/>
        </w:rPr>
        <w:t> </w:t>
      </w:r>
      <w:r>
        <w:rPr/>
        <w:t>adults.</w:t>
      </w:r>
      <w:r>
        <w:rPr>
          <w:spacing w:val="-5"/>
        </w:rPr>
        <w:t> </w:t>
      </w:r>
      <w:r>
        <w:rPr/>
        <w:t>However,</w:t>
      </w:r>
      <w:r>
        <w:rPr>
          <w:spacing w:val="-7"/>
        </w:rPr>
        <w:t> </w:t>
      </w:r>
      <w:r>
        <w:rPr/>
        <w:t>despite</w:t>
      </w:r>
      <w:r>
        <w:rPr>
          <w:spacing w:val="-6"/>
        </w:rPr>
        <w:t> </w:t>
      </w:r>
      <w:r>
        <w:rPr/>
        <w:t>the</w:t>
      </w:r>
      <w:r>
        <w:rPr>
          <w:spacing w:val="-6"/>
        </w:rPr>
        <w:t> </w:t>
      </w:r>
      <w:r>
        <w:rPr/>
        <w:t>hostility,</w:t>
      </w:r>
      <w:r>
        <w:rPr>
          <w:spacing w:val="-7"/>
        </w:rPr>
        <w:t> </w:t>
      </w:r>
      <w:r>
        <w:rPr/>
        <w:t>LGBTQ</w:t>
      </w:r>
      <w:r>
        <w:rPr>
          <w:spacing w:val="-8"/>
        </w:rPr>
        <w:t> </w:t>
      </w:r>
      <w:r>
        <w:rPr/>
        <w:t>youth</w:t>
      </w:r>
      <w:r>
        <w:rPr>
          <w:spacing w:val="-7"/>
        </w:rPr>
        <w:t> </w:t>
      </w:r>
      <w:r>
        <w:rPr/>
        <w:t>continue</w:t>
      </w:r>
      <w:r>
        <w:rPr>
          <w:spacing w:val="-8"/>
        </w:rPr>
        <w:t> </w:t>
      </w:r>
      <w:r>
        <w:rPr/>
        <w:t>to</w:t>
      </w:r>
      <w:r>
        <w:rPr>
          <w:spacing w:val="-7"/>
        </w:rPr>
        <w:t> </w:t>
      </w:r>
      <w:r>
        <w:rPr/>
        <w:t>resist,</w:t>
      </w:r>
      <w:r>
        <w:rPr>
          <w:spacing w:val="-6"/>
        </w:rPr>
        <w:t> </w:t>
      </w:r>
      <w:r>
        <w:rPr/>
        <w:t>challenge,</w:t>
      </w:r>
      <w:r>
        <w:rPr>
          <w:spacing w:val="-7"/>
        </w:rPr>
        <w:t> </w:t>
      </w:r>
      <w:r>
        <w:rPr/>
        <w:t>and change the relationships, communities, institutions, and systems that act as oppressive forces.</w:t>
      </w:r>
      <w:hyperlink w:history="true" w:anchor="_bookmark79">
        <w:r>
          <w:rPr>
            <w:vertAlign w:val="superscript"/>
          </w:rPr>
          <w:t>1</w:t>
        </w:r>
      </w:hyperlink>
      <w:r>
        <w:rPr>
          <w:vertAlign w:val="baseline"/>
        </w:rPr>
        <w:t> Public health has an obligation to support and uplift LGBTQ youth as they resist unjust and oppressive structures</w:t>
      </w:r>
      <w:hyperlink w:history="true" w:anchor="_bookmark79">
        <w:r>
          <w:rPr>
            <w:vertAlign w:val="baseline"/>
          </w:rPr>
          <w:t>.</w:t>
        </w:r>
        <w:r>
          <w:rPr>
            <w:vertAlign w:val="superscript"/>
          </w:rPr>
          <w:t>2</w:t>
        </w:r>
      </w:hyperlink>
      <w:r>
        <w:rPr>
          <w:vertAlign w:val="baseline"/>
        </w:rPr>
        <w:t> In doing so, policymakers, providers, and educators can better pave the way for a future where all LGBTQ youth thrive.</w:t>
      </w:r>
    </w:p>
    <w:p>
      <w:pPr>
        <w:pStyle w:val="BodyText"/>
        <w:spacing w:line="276" w:lineRule="auto" w:before="239"/>
        <w:ind w:left="463" w:right="283"/>
        <w:jc w:val="both"/>
      </w:pPr>
      <w:r>
        <w:rPr/>
        <w:t>When working to develop policies and programs to address public health concerns, it is essential to understand that many of the issues highlighted in this section are compounded by intersecting systems of oppression, including poverty, racism, homophobia, transphobia, and ableism that must simultaneously be addressed. Tackling such large structural issues may seem unfathomable, however, there are actions that can be taken in the meantime to continue providing support to LGBTQ youth and begin shifting the cultural norms that will eventually improve health outcomes for all communities.</w:t>
      </w:r>
    </w:p>
    <w:p>
      <w:pPr>
        <w:pStyle w:val="BodyText"/>
        <w:spacing w:before="192"/>
        <w:rPr>
          <w:sz w:val="20"/>
        </w:rPr>
      </w:pPr>
      <w:r>
        <w:rPr/>
        <mc:AlternateContent>
          <mc:Choice Requires="wps">
            <w:drawing>
              <wp:anchor distT="0" distB="0" distL="0" distR="0" allowOverlap="1" layoutInCell="1" locked="0" behindDoc="1" simplePos="0" relativeHeight="487609344">
                <wp:simplePos x="0" y="0"/>
                <wp:positionH relativeFrom="page">
                  <wp:posOffset>889000</wp:posOffset>
                </wp:positionH>
                <wp:positionV relativeFrom="paragraph">
                  <wp:posOffset>292464</wp:posOffset>
                </wp:positionV>
                <wp:extent cx="6350" cy="12700"/>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23.028671pt;width:.499pt;height:.96pt;mso-position-horizontal-relative:page;mso-position-vertical-relative:paragraph;z-index:-15707136;mso-wrap-distance-left:0;mso-wrap-distance-right:0" id="docshape152" filled="true" fillcolor="#0f6dc5" stroked="false">
                <v:fill type="solid"/>
                <w10:wrap type="topAndBottom"/>
              </v:rect>
            </w:pict>
          </mc:Fallback>
        </mc:AlternateContent>
      </w:r>
    </w:p>
    <w:p>
      <w:pPr>
        <w:spacing w:before="121"/>
        <w:ind w:left="319" w:right="0" w:firstLine="0"/>
        <w:jc w:val="left"/>
        <w:rPr>
          <w:sz w:val="28"/>
        </w:rPr>
      </w:pPr>
      <w:bookmarkStart w:name="FY2025 Recommendations to the Governor a" w:id="192"/>
      <w:bookmarkEnd w:id="192"/>
      <w:r>
        <w:rPr/>
      </w:r>
      <w:r>
        <w:rPr>
          <w:color w:val="365F91"/>
          <w:sz w:val="28"/>
        </w:rPr>
        <w:t>FY2025</w:t>
      </w:r>
      <w:r>
        <w:rPr>
          <w:color w:val="365F91"/>
          <w:spacing w:val="-11"/>
          <w:sz w:val="28"/>
        </w:rPr>
        <w:t> </w:t>
      </w:r>
      <w:r>
        <w:rPr>
          <w:color w:val="365F91"/>
          <w:sz w:val="28"/>
        </w:rPr>
        <w:t>Recommendations</w:t>
      </w:r>
      <w:r>
        <w:rPr>
          <w:color w:val="365F91"/>
          <w:spacing w:val="-10"/>
          <w:sz w:val="28"/>
        </w:rPr>
        <w:t> </w:t>
      </w:r>
      <w:r>
        <w:rPr>
          <w:color w:val="365F91"/>
          <w:sz w:val="28"/>
        </w:rPr>
        <w:t>to</w:t>
      </w:r>
      <w:r>
        <w:rPr>
          <w:color w:val="365F91"/>
          <w:spacing w:val="-11"/>
          <w:sz w:val="28"/>
        </w:rPr>
        <w:t> </w:t>
      </w:r>
      <w:r>
        <w:rPr>
          <w:color w:val="365F91"/>
          <w:sz w:val="28"/>
        </w:rPr>
        <w:t>the</w:t>
      </w:r>
      <w:r>
        <w:rPr>
          <w:color w:val="365F91"/>
          <w:spacing w:val="-10"/>
          <w:sz w:val="28"/>
        </w:rPr>
        <w:t> </w:t>
      </w:r>
      <w:r>
        <w:rPr>
          <w:color w:val="365F91"/>
          <w:sz w:val="28"/>
        </w:rPr>
        <w:t>Governor</w:t>
      </w:r>
      <w:r>
        <w:rPr>
          <w:color w:val="365F91"/>
          <w:spacing w:val="-12"/>
          <w:sz w:val="28"/>
        </w:rPr>
        <w:t> </w:t>
      </w:r>
      <w:r>
        <w:rPr>
          <w:color w:val="365F91"/>
          <w:sz w:val="28"/>
        </w:rPr>
        <w:t>and</w:t>
      </w:r>
      <w:r>
        <w:rPr>
          <w:color w:val="365F91"/>
          <w:spacing w:val="-11"/>
          <w:sz w:val="28"/>
        </w:rPr>
        <w:t> </w:t>
      </w:r>
      <w:r>
        <w:rPr>
          <w:color w:val="365F91"/>
          <w:sz w:val="28"/>
        </w:rPr>
        <w:t>Legislature</w:t>
      </w:r>
      <w:r>
        <w:rPr>
          <w:color w:val="365F91"/>
          <w:spacing w:val="-11"/>
          <w:sz w:val="28"/>
        </w:rPr>
        <w:t> </w:t>
      </w:r>
      <w:r>
        <w:rPr>
          <w:color w:val="365F91"/>
          <w:sz w:val="28"/>
        </w:rPr>
        <w:t>on</w:t>
      </w:r>
      <w:r>
        <w:rPr>
          <w:color w:val="365F91"/>
          <w:spacing w:val="-10"/>
          <w:sz w:val="28"/>
        </w:rPr>
        <w:t> </w:t>
      </w:r>
      <w:r>
        <w:rPr>
          <w:color w:val="365F91"/>
          <w:sz w:val="28"/>
        </w:rPr>
        <w:t>Public</w:t>
      </w:r>
      <w:r>
        <w:rPr>
          <w:color w:val="365F91"/>
          <w:spacing w:val="-11"/>
          <w:sz w:val="28"/>
        </w:rPr>
        <w:t> </w:t>
      </w:r>
      <w:r>
        <w:rPr>
          <w:color w:val="365F91"/>
          <w:spacing w:val="-2"/>
          <w:sz w:val="28"/>
        </w:rPr>
        <w:t>Health</w:t>
      </w:r>
    </w:p>
    <w:p>
      <w:pPr>
        <w:pStyle w:val="BodyText"/>
        <w:spacing w:before="9"/>
        <w:rPr>
          <w:sz w:val="3"/>
        </w:rPr>
      </w:pPr>
      <w:r>
        <w:rPr/>
        <mc:AlternateContent>
          <mc:Choice Requires="wps">
            <w:drawing>
              <wp:anchor distT="0" distB="0" distL="0" distR="0" allowOverlap="1" layoutInCell="1" locked="0" behindDoc="1" simplePos="0" relativeHeight="487609856">
                <wp:simplePos x="0" y="0"/>
                <wp:positionH relativeFrom="page">
                  <wp:posOffset>806195</wp:posOffset>
                </wp:positionH>
                <wp:positionV relativeFrom="paragraph">
                  <wp:posOffset>44451</wp:posOffset>
                </wp:positionV>
                <wp:extent cx="6115050" cy="635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6115050" cy="6350"/>
                        </a:xfrm>
                        <a:custGeom>
                          <a:avLst/>
                          <a:gdLst/>
                          <a:ahLst/>
                          <a:cxnLst/>
                          <a:rect l="l" t="t" r="r" b="b"/>
                          <a:pathLst>
                            <a:path w="6115050" h="6350">
                              <a:moveTo>
                                <a:pt x="6115050" y="0"/>
                              </a:moveTo>
                              <a:lnTo>
                                <a:pt x="0" y="0"/>
                              </a:lnTo>
                              <a:lnTo>
                                <a:pt x="0" y="6096"/>
                              </a:lnTo>
                              <a:lnTo>
                                <a:pt x="6115050" y="6096"/>
                              </a:lnTo>
                              <a:lnTo>
                                <a:pt x="611505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3.500156pt;width:481.5pt;height:.48pt;mso-position-horizontal-relative:page;mso-position-vertical-relative:paragraph;z-index:-15706624;mso-wrap-distance-left:0;mso-wrap-distance-right:0" id="docshape153" filled="true" fillcolor="#4f81bc" stroked="false">
                <v:fill type="solid"/>
                <w10:wrap type="topAndBottom"/>
              </v:rect>
            </w:pict>
          </mc:Fallback>
        </mc:AlternateContent>
      </w:r>
    </w:p>
    <w:p>
      <w:pPr>
        <w:numPr>
          <w:ilvl w:val="0"/>
          <w:numId w:val="19"/>
        </w:numPr>
        <w:tabs>
          <w:tab w:pos="461" w:val="left" w:leader="none"/>
          <w:tab w:pos="463" w:val="left" w:leader="none"/>
        </w:tabs>
        <w:spacing w:line="276" w:lineRule="auto" w:before="241"/>
        <w:ind w:left="463" w:right="283" w:hanging="360"/>
        <w:jc w:val="left"/>
        <w:rPr>
          <w:b/>
          <w:sz w:val="22"/>
        </w:rPr>
      </w:pPr>
      <w:bookmarkStart w:name="1. Create and expand community-based pub" w:id="193"/>
      <w:bookmarkEnd w:id="193"/>
      <w:r>
        <w:rPr>
          <w:b/>
          <w:sz w:val="22"/>
        </w:rPr>
        <w:t>C</w:t>
      </w:r>
      <w:r>
        <w:rPr>
          <w:b/>
          <w:sz w:val="22"/>
        </w:rPr>
        <w:t>reate and expand community-based public health programming that is accessible and engaging to youth with the most barriers to access, with specific attention to youth in rural communities.</w:t>
      </w:r>
    </w:p>
    <w:p>
      <w:pPr>
        <w:pStyle w:val="BodyText"/>
        <w:spacing w:line="276" w:lineRule="auto" w:before="241"/>
        <w:ind w:left="463" w:right="281"/>
        <w:jc w:val="both"/>
      </w:pPr>
      <w:r>
        <w:rPr/>
        <w:t>The Commission recommends that Massachusetts continue to explore and develop accessible programming for youth to eliminate public health disparities, with particular attention to youth in rural areas, Deaf and hard of hearing youth, multilingual youth, and QTBIPOC youth. As detailed below, Massachusetts employs a wide array of programming services to support public health, including harm reduction,</w:t>
      </w:r>
      <w:r>
        <w:rPr>
          <w:spacing w:val="-12"/>
        </w:rPr>
        <w:t> </w:t>
      </w:r>
      <w:r>
        <w:rPr/>
        <w:t>prevention,</w:t>
      </w:r>
      <w:r>
        <w:rPr>
          <w:spacing w:val="-12"/>
        </w:rPr>
        <w:t> </w:t>
      </w:r>
      <w:r>
        <w:rPr/>
        <w:t>and</w:t>
      </w:r>
      <w:r>
        <w:rPr>
          <w:spacing w:val="-11"/>
        </w:rPr>
        <w:t> </w:t>
      </w:r>
      <w:r>
        <w:rPr/>
        <w:t>recovery</w:t>
      </w:r>
      <w:r>
        <w:rPr>
          <w:spacing w:val="-12"/>
        </w:rPr>
        <w:t> </w:t>
      </w:r>
      <w:r>
        <w:rPr/>
        <w:t>services,</w:t>
      </w:r>
      <w:r>
        <w:rPr>
          <w:spacing w:val="-12"/>
        </w:rPr>
        <w:t> </w:t>
      </w:r>
      <w:r>
        <w:rPr/>
        <w:t>as</w:t>
      </w:r>
      <w:r>
        <w:rPr>
          <w:spacing w:val="-12"/>
        </w:rPr>
        <w:t> </w:t>
      </w:r>
      <w:r>
        <w:rPr/>
        <w:t>well</w:t>
      </w:r>
      <w:r>
        <w:rPr>
          <w:spacing w:val="-12"/>
        </w:rPr>
        <w:t> </w:t>
      </w:r>
      <w:r>
        <w:rPr/>
        <w:t>as</w:t>
      </w:r>
      <w:r>
        <w:rPr>
          <w:spacing w:val="-12"/>
        </w:rPr>
        <w:t> </w:t>
      </w:r>
      <w:r>
        <w:rPr/>
        <w:t>support</w:t>
      </w:r>
      <w:r>
        <w:rPr>
          <w:spacing w:val="-13"/>
        </w:rPr>
        <w:t> </w:t>
      </w:r>
      <w:r>
        <w:rPr/>
        <w:t>for</w:t>
      </w:r>
      <w:r>
        <w:rPr>
          <w:spacing w:val="-11"/>
        </w:rPr>
        <w:t> </w:t>
      </w:r>
      <w:r>
        <w:rPr/>
        <w:t>survivors</w:t>
      </w:r>
      <w:r>
        <w:rPr>
          <w:spacing w:val="-13"/>
        </w:rPr>
        <w:t> </w:t>
      </w:r>
      <w:r>
        <w:rPr/>
        <w:t>of</w:t>
      </w:r>
      <w:r>
        <w:rPr>
          <w:spacing w:val="-12"/>
        </w:rPr>
        <w:t> </w:t>
      </w:r>
      <w:r>
        <w:rPr/>
        <w:t>intimate</w:t>
      </w:r>
      <w:r>
        <w:rPr>
          <w:spacing w:val="-12"/>
        </w:rPr>
        <w:t> </w:t>
      </w:r>
      <w:r>
        <w:rPr/>
        <w:t>partner</w:t>
      </w:r>
      <w:r>
        <w:rPr>
          <w:spacing w:val="-12"/>
        </w:rPr>
        <w:t> </w:t>
      </w:r>
      <w:r>
        <w:rPr/>
        <w:t>violence and sexual exploitation. The need for trauma-informed and culturally aware is essential, particularly for QTBIPOC</w:t>
      </w:r>
      <w:r>
        <w:rPr>
          <w:spacing w:val="-13"/>
        </w:rPr>
        <w:t> </w:t>
      </w:r>
      <w:r>
        <w:rPr/>
        <w:t>youth</w:t>
      </w:r>
      <w:r>
        <w:rPr>
          <w:spacing w:val="-12"/>
        </w:rPr>
        <w:t> </w:t>
      </w:r>
      <w:r>
        <w:rPr/>
        <w:t>who</w:t>
      </w:r>
      <w:r>
        <w:rPr>
          <w:spacing w:val="-13"/>
        </w:rPr>
        <w:t> </w:t>
      </w:r>
      <w:r>
        <w:rPr/>
        <w:t>often</w:t>
      </w:r>
      <w:r>
        <w:rPr>
          <w:spacing w:val="-12"/>
        </w:rPr>
        <w:t> </w:t>
      </w:r>
      <w:r>
        <w:rPr/>
        <w:t>lack</w:t>
      </w:r>
      <w:r>
        <w:rPr>
          <w:spacing w:val="-13"/>
        </w:rPr>
        <w:t> </w:t>
      </w:r>
      <w:r>
        <w:rPr/>
        <w:t>sufficient</w:t>
      </w:r>
      <w:r>
        <w:rPr>
          <w:spacing w:val="-12"/>
        </w:rPr>
        <w:t> </w:t>
      </w:r>
      <w:r>
        <w:rPr/>
        <w:t>access</w:t>
      </w:r>
      <w:r>
        <w:rPr>
          <w:spacing w:val="-13"/>
        </w:rPr>
        <w:t> </w:t>
      </w:r>
      <w:r>
        <w:rPr/>
        <w:t>to</w:t>
      </w:r>
      <w:r>
        <w:rPr>
          <w:spacing w:val="-12"/>
        </w:rPr>
        <w:t> </w:t>
      </w:r>
      <w:r>
        <w:rPr/>
        <w:t>programs</w:t>
      </w:r>
      <w:r>
        <w:rPr>
          <w:spacing w:val="-12"/>
        </w:rPr>
        <w:t> </w:t>
      </w:r>
      <w:r>
        <w:rPr/>
        <w:t>that</w:t>
      </w:r>
      <w:r>
        <w:rPr>
          <w:spacing w:val="-13"/>
        </w:rPr>
        <w:t> </w:t>
      </w:r>
      <w:r>
        <w:rPr/>
        <w:t>are</w:t>
      </w:r>
      <w:r>
        <w:rPr>
          <w:spacing w:val="-12"/>
        </w:rPr>
        <w:t> </w:t>
      </w:r>
      <w:r>
        <w:rPr/>
        <w:t>both</w:t>
      </w:r>
      <w:r>
        <w:rPr>
          <w:spacing w:val="-13"/>
        </w:rPr>
        <w:t> </w:t>
      </w:r>
      <w:r>
        <w:rPr/>
        <w:t>LGBTQ-</w:t>
      </w:r>
      <w:r>
        <w:rPr>
          <w:spacing w:val="-12"/>
        </w:rPr>
        <w:t> </w:t>
      </w:r>
      <w:r>
        <w:rPr/>
        <w:t>affirming,</w:t>
      </w:r>
      <w:r>
        <w:rPr>
          <w:spacing w:val="-13"/>
        </w:rPr>
        <w:t> </w:t>
      </w:r>
      <w:r>
        <w:rPr/>
        <w:t>multilingual, and anti-racist. Additionally, by creating more peer-led education programs, it is more likely that youth will become engaged and build skills needed to address public health disparities in their own </w:t>
      </w:r>
      <w:r>
        <w:rPr>
          <w:spacing w:val="-2"/>
        </w:rPr>
        <w:t>communities.</w:t>
      </w:r>
    </w:p>
    <w:p>
      <w:pPr>
        <w:spacing w:line="276" w:lineRule="auto" w:before="240"/>
        <w:ind w:left="463" w:right="282" w:firstLine="0"/>
        <w:jc w:val="both"/>
        <w:rPr>
          <w:sz w:val="22"/>
        </w:rPr>
      </w:pPr>
      <w:r>
        <w:rPr>
          <w:sz w:val="22"/>
        </w:rPr>
        <w:t>Furthermore,</w:t>
      </w:r>
      <w:r>
        <w:rPr>
          <w:spacing w:val="-3"/>
          <w:sz w:val="22"/>
        </w:rPr>
        <w:t> </w:t>
      </w:r>
      <w:r>
        <w:rPr>
          <w:sz w:val="22"/>
        </w:rPr>
        <w:t>the</w:t>
      </w:r>
      <w:r>
        <w:rPr>
          <w:spacing w:val="-2"/>
          <w:sz w:val="22"/>
        </w:rPr>
        <w:t> </w:t>
      </w:r>
      <w:r>
        <w:rPr>
          <w:sz w:val="22"/>
        </w:rPr>
        <w:t>Commission</w:t>
      </w:r>
      <w:r>
        <w:rPr>
          <w:spacing w:val="-3"/>
          <w:sz w:val="22"/>
        </w:rPr>
        <w:t> </w:t>
      </w:r>
      <w:r>
        <w:rPr>
          <w:sz w:val="22"/>
        </w:rPr>
        <w:t>recommends</w:t>
      </w:r>
      <w:r>
        <w:rPr>
          <w:spacing w:val="-1"/>
          <w:sz w:val="22"/>
        </w:rPr>
        <w:t> </w:t>
      </w:r>
      <w:r>
        <w:rPr>
          <w:sz w:val="22"/>
        </w:rPr>
        <w:t>that</w:t>
      </w:r>
      <w:r>
        <w:rPr>
          <w:spacing w:val="-2"/>
          <w:sz w:val="22"/>
        </w:rPr>
        <w:t> </w:t>
      </w:r>
      <w:r>
        <w:rPr>
          <w:sz w:val="22"/>
        </w:rPr>
        <w:t>Massachusetts</w:t>
      </w:r>
      <w:r>
        <w:rPr>
          <w:spacing w:val="-1"/>
          <w:sz w:val="22"/>
        </w:rPr>
        <w:t> </w:t>
      </w:r>
      <w:r>
        <w:rPr>
          <w:sz w:val="22"/>
        </w:rPr>
        <w:t>improve</w:t>
      </w:r>
      <w:r>
        <w:rPr>
          <w:spacing w:val="-3"/>
          <w:sz w:val="22"/>
        </w:rPr>
        <w:t> </w:t>
      </w:r>
      <w:r>
        <w:rPr>
          <w:sz w:val="22"/>
        </w:rPr>
        <w:t>the</w:t>
      </w:r>
      <w:r>
        <w:rPr>
          <w:spacing w:val="-3"/>
          <w:sz w:val="22"/>
        </w:rPr>
        <w:t> </w:t>
      </w:r>
      <w:r>
        <w:rPr>
          <w:sz w:val="22"/>
        </w:rPr>
        <w:t>accessibility</w:t>
      </w:r>
      <w:r>
        <w:rPr>
          <w:spacing w:val="-3"/>
          <w:sz w:val="22"/>
        </w:rPr>
        <w:t> </w:t>
      </w:r>
      <w:r>
        <w:rPr>
          <w:sz w:val="22"/>
        </w:rPr>
        <w:t>of</w:t>
      </w:r>
      <w:r>
        <w:rPr>
          <w:spacing w:val="-2"/>
          <w:sz w:val="22"/>
        </w:rPr>
        <w:t> </w:t>
      </w:r>
      <w:r>
        <w:rPr>
          <w:sz w:val="22"/>
        </w:rPr>
        <w:t>holistic</w:t>
      </w:r>
      <w:r>
        <w:rPr>
          <w:spacing w:val="-3"/>
          <w:sz w:val="22"/>
        </w:rPr>
        <w:t> </w:t>
      </w:r>
      <w:r>
        <w:rPr>
          <w:sz w:val="22"/>
        </w:rPr>
        <w:t>and community-based substance use reduction, prevention, and recovery programs. The Commission supports </w:t>
      </w:r>
      <w:r>
        <w:rPr>
          <w:i/>
          <w:sz w:val="22"/>
        </w:rPr>
        <w:t>An Act Relative to Preventing Overdose Deaths and Increasing Access to Treatment</w:t>
      </w:r>
      <w:r>
        <w:rPr>
          <w:i/>
          <w:sz w:val="22"/>
        </w:rPr>
        <w:t> </w:t>
      </w:r>
      <w:r>
        <w:rPr>
          <w:sz w:val="22"/>
        </w:rPr>
        <w:t>(</w:t>
      </w:r>
      <w:hyperlink r:id="rId127">
        <w:r>
          <w:rPr>
            <w:color w:val="1153CC"/>
            <w:sz w:val="22"/>
            <w:u w:val="single" w:color="1153CC"/>
          </w:rPr>
          <w:t>S.1242</w:t>
        </w:r>
      </w:hyperlink>
      <w:r>
        <w:rPr>
          <w:sz w:val="22"/>
          <w:u w:val="none"/>
        </w:rPr>
        <w:t>/</w:t>
      </w:r>
      <w:hyperlink r:id="rId128">
        <w:r>
          <w:rPr>
            <w:color w:val="1153CC"/>
            <w:sz w:val="22"/>
            <w:u w:val="single" w:color="1153CC"/>
          </w:rPr>
          <w:t>H.1981</w:t>
        </w:r>
      </w:hyperlink>
      <w:r>
        <w:rPr>
          <w:sz w:val="22"/>
          <w:u w:val="none"/>
        </w:rPr>
        <w:t>), which would allow for the creation of a 10-year pilot program establishing overdose</w:t>
      </w:r>
    </w:p>
    <w:p>
      <w:pPr>
        <w:spacing w:after="0" w:line="276" w:lineRule="auto"/>
        <w:jc w:val="both"/>
        <w:rPr>
          <w:sz w:val="22"/>
        </w:rPr>
        <w:sectPr>
          <w:headerReference w:type="default" r:id="rId125"/>
          <w:footerReference w:type="default" r:id="rId126"/>
          <w:pgSz w:w="11910" w:h="16840"/>
          <w:pgMar w:header="804" w:footer="1230" w:top="1080" w:bottom="1420" w:left="980" w:right="900"/>
          <w:pgNumType w:start="47"/>
        </w:sectPr>
      </w:pPr>
    </w:p>
    <w:p>
      <w:pPr>
        <w:pStyle w:val="BodyText"/>
        <w:spacing w:line="276" w:lineRule="auto" w:before="69"/>
        <w:ind w:left="463" w:right="282" w:hanging="1"/>
        <w:jc w:val="both"/>
      </w:pPr>
      <w:r>
        <w:rPr/>
        <w:t>prevention centers - also known as supervised consumption sites or harm reduction sites - to increase access to health and education services. In Massachusetts, Somerville is exploring and has released a proposal to open the state’s first overdose prevention site.</w:t>
      </w:r>
    </w:p>
    <w:p>
      <w:pPr>
        <w:numPr>
          <w:ilvl w:val="0"/>
          <w:numId w:val="19"/>
        </w:numPr>
        <w:tabs>
          <w:tab w:pos="461" w:val="left" w:leader="none"/>
        </w:tabs>
        <w:spacing w:before="240"/>
        <w:ind w:left="461" w:right="0" w:hanging="358"/>
        <w:jc w:val="left"/>
        <w:rPr>
          <w:b/>
          <w:sz w:val="22"/>
        </w:rPr>
      </w:pPr>
      <w:bookmarkStart w:name="2. Increase funding to organizations tha" w:id="194"/>
      <w:bookmarkEnd w:id="194"/>
      <w:r>
        <w:rPr>
          <w:b/>
          <w:sz w:val="22"/>
        </w:rPr>
        <w:t>I</w:t>
      </w:r>
      <w:r>
        <w:rPr>
          <w:b/>
          <w:sz w:val="22"/>
        </w:rPr>
        <w:t>ncrease</w:t>
      </w:r>
      <w:r>
        <w:rPr>
          <w:b/>
          <w:spacing w:val="-9"/>
          <w:sz w:val="22"/>
        </w:rPr>
        <w:t> </w:t>
      </w:r>
      <w:r>
        <w:rPr>
          <w:b/>
          <w:sz w:val="22"/>
        </w:rPr>
        <w:t>funding</w:t>
      </w:r>
      <w:r>
        <w:rPr>
          <w:b/>
          <w:spacing w:val="-9"/>
          <w:sz w:val="22"/>
        </w:rPr>
        <w:t> </w:t>
      </w:r>
      <w:r>
        <w:rPr>
          <w:b/>
          <w:sz w:val="22"/>
        </w:rPr>
        <w:t>to</w:t>
      </w:r>
      <w:r>
        <w:rPr>
          <w:b/>
          <w:spacing w:val="-9"/>
          <w:sz w:val="22"/>
        </w:rPr>
        <w:t> </w:t>
      </w:r>
      <w:r>
        <w:rPr>
          <w:b/>
          <w:sz w:val="22"/>
        </w:rPr>
        <w:t>organizations</w:t>
      </w:r>
      <w:r>
        <w:rPr>
          <w:b/>
          <w:spacing w:val="-9"/>
          <w:sz w:val="22"/>
        </w:rPr>
        <w:t> </w:t>
      </w:r>
      <w:r>
        <w:rPr>
          <w:b/>
          <w:sz w:val="22"/>
        </w:rPr>
        <w:t>that</w:t>
      </w:r>
      <w:r>
        <w:rPr>
          <w:b/>
          <w:spacing w:val="-9"/>
          <w:sz w:val="22"/>
        </w:rPr>
        <w:t> </w:t>
      </w:r>
      <w:r>
        <w:rPr>
          <w:b/>
          <w:sz w:val="22"/>
        </w:rPr>
        <w:t>support</w:t>
      </w:r>
      <w:r>
        <w:rPr>
          <w:b/>
          <w:spacing w:val="-9"/>
          <w:sz w:val="22"/>
        </w:rPr>
        <w:t> </w:t>
      </w:r>
      <w:r>
        <w:rPr>
          <w:b/>
          <w:sz w:val="22"/>
        </w:rPr>
        <w:t>LGBTQ</w:t>
      </w:r>
      <w:r>
        <w:rPr>
          <w:b/>
          <w:spacing w:val="-9"/>
          <w:sz w:val="22"/>
        </w:rPr>
        <w:t> </w:t>
      </w:r>
      <w:r>
        <w:rPr>
          <w:b/>
          <w:sz w:val="22"/>
        </w:rPr>
        <w:t>survivors</w:t>
      </w:r>
      <w:r>
        <w:rPr>
          <w:b/>
          <w:spacing w:val="-9"/>
          <w:sz w:val="22"/>
        </w:rPr>
        <w:t> </w:t>
      </w:r>
      <w:r>
        <w:rPr>
          <w:b/>
          <w:sz w:val="22"/>
        </w:rPr>
        <w:t>of</w:t>
      </w:r>
      <w:r>
        <w:rPr>
          <w:b/>
          <w:spacing w:val="-9"/>
          <w:sz w:val="22"/>
        </w:rPr>
        <w:t> </w:t>
      </w:r>
      <w:r>
        <w:rPr>
          <w:b/>
          <w:sz w:val="22"/>
        </w:rPr>
        <w:t>intimate</w:t>
      </w:r>
      <w:r>
        <w:rPr>
          <w:b/>
          <w:spacing w:val="-9"/>
          <w:sz w:val="22"/>
        </w:rPr>
        <w:t> </w:t>
      </w:r>
      <w:r>
        <w:rPr>
          <w:b/>
          <w:sz w:val="22"/>
        </w:rPr>
        <w:t>partner</w:t>
      </w:r>
      <w:r>
        <w:rPr>
          <w:b/>
          <w:spacing w:val="-9"/>
          <w:sz w:val="22"/>
        </w:rPr>
        <w:t> </w:t>
      </w:r>
      <w:r>
        <w:rPr>
          <w:b/>
          <w:spacing w:val="-2"/>
          <w:sz w:val="22"/>
        </w:rPr>
        <w:t>violence.</w:t>
      </w:r>
    </w:p>
    <w:p>
      <w:pPr>
        <w:pStyle w:val="BodyText"/>
        <w:spacing w:before="11"/>
        <w:rPr>
          <w:b/>
        </w:rPr>
      </w:pPr>
    </w:p>
    <w:p>
      <w:pPr>
        <w:pStyle w:val="BodyText"/>
        <w:spacing w:line="276" w:lineRule="auto"/>
        <w:ind w:left="463" w:right="282"/>
        <w:jc w:val="both"/>
      </w:pPr>
      <w:r>
        <w:rPr/>
        <w:t>The Commission recommends that Massachusetts continue to increase funding to organizations that support LGBTQ youth who are survivors of intimate partner violence and ensure that laws and services currently</w:t>
      </w:r>
      <w:r>
        <w:rPr>
          <w:spacing w:val="-10"/>
        </w:rPr>
        <w:t> </w:t>
      </w:r>
      <w:r>
        <w:rPr/>
        <w:t>in</w:t>
      </w:r>
      <w:r>
        <w:rPr>
          <w:spacing w:val="-9"/>
        </w:rPr>
        <w:t> </w:t>
      </w:r>
      <w:r>
        <w:rPr/>
        <w:t>place</w:t>
      </w:r>
      <w:r>
        <w:rPr>
          <w:spacing w:val="-10"/>
        </w:rPr>
        <w:t> </w:t>
      </w:r>
      <w:r>
        <w:rPr/>
        <w:t>are</w:t>
      </w:r>
      <w:r>
        <w:rPr>
          <w:spacing w:val="-9"/>
        </w:rPr>
        <w:t> </w:t>
      </w:r>
      <w:r>
        <w:rPr/>
        <w:t>working</w:t>
      </w:r>
      <w:r>
        <w:rPr>
          <w:spacing w:val="-10"/>
        </w:rPr>
        <w:t> </w:t>
      </w:r>
      <w:r>
        <w:rPr/>
        <w:t>as</w:t>
      </w:r>
      <w:r>
        <w:rPr>
          <w:spacing w:val="-10"/>
        </w:rPr>
        <w:t> </w:t>
      </w:r>
      <w:r>
        <w:rPr/>
        <w:t>intended</w:t>
      </w:r>
      <w:r>
        <w:rPr>
          <w:spacing w:val="-9"/>
        </w:rPr>
        <w:t> </w:t>
      </w:r>
      <w:r>
        <w:rPr/>
        <w:t>to</w:t>
      </w:r>
      <w:r>
        <w:rPr>
          <w:spacing w:val="-10"/>
        </w:rPr>
        <w:t> </w:t>
      </w:r>
      <w:r>
        <w:rPr/>
        <w:t>protect</w:t>
      </w:r>
      <w:r>
        <w:rPr>
          <w:spacing w:val="-8"/>
        </w:rPr>
        <w:t> </w:t>
      </w:r>
      <w:r>
        <w:rPr/>
        <w:t>and</w:t>
      </w:r>
      <w:r>
        <w:rPr>
          <w:spacing w:val="-11"/>
        </w:rPr>
        <w:t> </w:t>
      </w:r>
      <w:r>
        <w:rPr/>
        <w:t>support</w:t>
      </w:r>
      <w:r>
        <w:rPr>
          <w:spacing w:val="-11"/>
        </w:rPr>
        <w:t> </w:t>
      </w:r>
      <w:r>
        <w:rPr/>
        <w:t>survivors,</w:t>
      </w:r>
      <w:r>
        <w:rPr>
          <w:spacing w:val="-10"/>
        </w:rPr>
        <w:t> </w:t>
      </w:r>
      <w:r>
        <w:rPr/>
        <w:t>rather</w:t>
      </w:r>
      <w:r>
        <w:rPr>
          <w:spacing w:val="-10"/>
        </w:rPr>
        <w:t> </w:t>
      </w:r>
      <w:r>
        <w:rPr/>
        <w:t>than</w:t>
      </w:r>
      <w:r>
        <w:rPr>
          <w:spacing w:val="-9"/>
        </w:rPr>
        <w:t> </w:t>
      </w:r>
      <w:r>
        <w:rPr/>
        <w:t>placing</w:t>
      </w:r>
      <w:r>
        <w:rPr>
          <w:spacing w:val="-10"/>
        </w:rPr>
        <w:t> </w:t>
      </w:r>
      <w:r>
        <w:rPr/>
        <w:t>an</w:t>
      </w:r>
      <w:r>
        <w:rPr>
          <w:spacing w:val="-9"/>
        </w:rPr>
        <w:t> </w:t>
      </w:r>
      <w:r>
        <w:rPr/>
        <w:t>undue burden on them. As further explained below, LGBTQ survivors of intimate partner violence most desire support from services that are respectful, safe, and affirming.</w:t>
      </w:r>
    </w:p>
    <w:p>
      <w:pPr>
        <w:pStyle w:val="ListParagraph"/>
        <w:numPr>
          <w:ilvl w:val="0"/>
          <w:numId w:val="19"/>
        </w:numPr>
        <w:tabs>
          <w:tab w:pos="461" w:val="left" w:leader="none"/>
          <w:tab w:pos="463" w:val="left" w:leader="none"/>
        </w:tabs>
        <w:spacing w:line="271" w:lineRule="auto" w:before="241" w:after="0"/>
        <w:ind w:left="463" w:right="283" w:hanging="361"/>
        <w:jc w:val="left"/>
        <w:rPr>
          <w:sz w:val="22"/>
        </w:rPr>
      </w:pPr>
      <w:r>
        <w:rPr>
          <w:b/>
          <w:sz w:val="21"/>
        </w:rPr>
        <w:t>Ensure</w:t>
      </w:r>
      <w:r>
        <w:rPr>
          <w:b/>
          <w:spacing w:val="-9"/>
          <w:sz w:val="21"/>
        </w:rPr>
        <w:t> </w:t>
      </w:r>
      <w:r>
        <w:rPr>
          <w:b/>
          <w:sz w:val="21"/>
        </w:rPr>
        <w:t>that</w:t>
      </w:r>
      <w:r>
        <w:rPr>
          <w:b/>
          <w:spacing w:val="-8"/>
          <w:sz w:val="21"/>
        </w:rPr>
        <w:t> </w:t>
      </w:r>
      <w:r>
        <w:rPr>
          <w:b/>
          <w:sz w:val="21"/>
        </w:rPr>
        <w:t>public</w:t>
      </w:r>
      <w:r>
        <w:rPr>
          <w:b/>
          <w:spacing w:val="-9"/>
          <w:sz w:val="21"/>
        </w:rPr>
        <w:t> </w:t>
      </w:r>
      <w:r>
        <w:rPr>
          <w:b/>
          <w:sz w:val="21"/>
        </w:rPr>
        <w:t>schools,</w:t>
      </w:r>
      <w:r>
        <w:rPr>
          <w:b/>
          <w:spacing w:val="-9"/>
          <w:sz w:val="21"/>
        </w:rPr>
        <w:t> </w:t>
      </w:r>
      <w:r>
        <w:rPr>
          <w:b/>
          <w:sz w:val="21"/>
        </w:rPr>
        <w:t>colleges,</w:t>
      </w:r>
      <w:r>
        <w:rPr>
          <w:b/>
          <w:spacing w:val="-9"/>
          <w:sz w:val="21"/>
        </w:rPr>
        <w:t> </w:t>
      </w:r>
      <w:r>
        <w:rPr>
          <w:b/>
          <w:sz w:val="21"/>
        </w:rPr>
        <w:t>and</w:t>
      </w:r>
      <w:r>
        <w:rPr>
          <w:b/>
          <w:spacing w:val="-9"/>
          <w:sz w:val="21"/>
        </w:rPr>
        <w:t> </w:t>
      </w:r>
      <w:r>
        <w:rPr>
          <w:b/>
          <w:sz w:val="21"/>
        </w:rPr>
        <w:t>universities</w:t>
      </w:r>
      <w:r>
        <w:rPr>
          <w:b/>
          <w:spacing w:val="-8"/>
          <w:sz w:val="21"/>
        </w:rPr>
        <w:t> </w:t>
      </w:r>
      <w:r>
        <w:rPr>
          <w:b/>
          <w:sz w:val="21"/>
        </w:rPr>
        <w:t>have</w:t>
      </w:r>
      <w:r>
        <w:rPr>
          <w:b/>
          <w:spacing w:val="-9"/>
          <w:sz w:val="21"/>
        </w:rPr>
        <w:t> </w:t>
      </w:r>
      <w:r>
        <w:rPr>
          <w:b/>
          <w:sz w:val="21"/>
        </w:rPr>
        <w:t>comprehensive</w:t>
      </w:r>
      <w:r>
        <w:rPr>
          <w:b/>
          <w:spacing w:val="-9"/>
          <w:sz w:val="21"/>
        </w:rPr>
        <w:t> </w:t>
      </w:r>
      <w:r>
        <w:rPr>
          <w:b/>
          <w:sz w:val="21"/>
        </w:rPr>
        <w:t>anti-bullying,</w:t>
      </w:r>
      <w:r>
        <w:rPr>
          <w:b/>
          <w:spacing w:val="-9"/>
          <w:sz w:val="21"/>
        </w:rPr>
        <w:t> </w:t>
      </w:r>
      <w:r>
        <w:rPr>
          <w:b/>
          <w:sz w:val="21"/>
        </w:rPr>
        <w:t>anti-</w:t>
      </w:r>
      <w:r>
        <w:rPr>
          <w:b/>
          <w:spacing w:val="-8"/>
          <w:sz w:val="21"/>
        </w:rPr>
        <w:t> </w:t>
      </w:r>
      <w:r>
        <w:rPr>
          <w:b/>
          <w:sz w:val="21"/>
        </w:rPr>
        <w:t>cyberbullying, and anti-harassment policies.</w:t>
      </w:r>
    </w:p>
    <w:p>
      <w:pPr>
        <w:pStyle w:val="BodyText"/>
        <w:spacing w:line="276" w:lineRule="auto" w:before="245"/>
        <w:ind w:left="463" w:right="278"/>
        <w:jc w:val="both"/>
      </w:pPr>
      <w:r>
        <w:rPr/>
        <w:t>Despite the adverse physical, emotional, mental, social, and educational outcomes that can occur from youth</w:t>
      </w:r>
      <w:r>
        <w:rPr>
          <w:spacing w:val="-3"/>
        </w:rPr>
        <w:t> </w:t>
      </w:r>
      <w:r>
        <w:rPr/>
        <w:t>who</w:t>
      </w:r>
      <w:r>
        <w:rPr>
          <w:spacing w:val="-2"/>
        </w:rPr>
        <w:t> </w:t>
      </w:r>
      <w:r>
        <w:rPr/>
        <w:t>are</w:t>
      </w:r>
      <w:r>
        <w:rPr>
          <w:spacing w:val="-4"/>
        </w:rPr>
        <w:t> </w:t>
      </w:r>
      <w:r>
        <w:rPr/>
        <w:t>victims</w:t>
      </w:r>
      <w:r>
        <w:rPr>
          <w:spacing w:val="-2"/>
        </w:rPr>
        <w:t> </w:t>
      </w:r>
      <w:r>
        <w:rPr/>
        <w:t>of</w:t>
      </w:r>
      <w:r>
        <w:rPr>
          <w:spacing w:val="-3"/>
        </w:rPr>
        <w:t> </w:t>
      </w:r>
      <w:r>
        <w:rPr/>
        <w:t>bullying,</w:t>
      </w:r>
      <w:r>
        <w:rPr>
          <w:spacing w:val="-3"/>
        </w:rPr>
        <w:t> </w:t>
      </w:r>
      <w:r>
        <w:rPr/>
        <w:t>confusion</w:t>
      </w:r>
      <w:r>
        <w:rPr>
          <w:spacing w:val="-4"/>
        </w:rPr>
        <w:t> </w:t>
      </w:r>
      <w:r>
        <w:rPr/>
        <w:t>remains</w:t>
      </w:r>
      <w:r>
        <w:rPr>
          <w:spacing w:val="-1"/>
        </w:rPr>
        <w:t> </w:t>
      </w:r>
      <w:r>
        <w:rPr/>
        <w:t>on</w:t>
      </w:r>
      <w:r>
        <w:rPr>
          <w:spacing w:val="-4"/>
        </w:rPr>
        <w:t> </w:t>
      </w:r>
      <w:r>
        <w:rPr/>
        <w:t>the</w:t>
      </w:r>
      <w:r>
        <w:rPr>
          <w:spacing w:val="-3"/>
        </w:rPr>
        <w:t> </w:t>
      </w:r>
      <w:r>
        <w:rPr/>
        <w:t>recourse</w:t>
      </w:r>
      <w:r>
        <w:rPr>
          <w:spacing w:val="-4"/>
        </w:rPr>
        <w:t> </w:t>
      </w:r>
      <w:r>
        <w:rPr/>
        <w:t>that</w:t>
      </w:r>
      <w:r>
        <w:rPr>
          <w:spacing w:val="-3"/>
        </w:rPr>
        <w:t> </w:t>
      </w:r>
      <w:r>
        <w:rPr/>
        <w:t>many</w:t>
      </w:r>
      <w:r>
        <w:rPr>
          <w:spacing w:val="-2"/>
        </w:rPr>
        <w:t> </w:t>
      </w:r>
      <w:r>
        <w:rPr/>
        <w:t>students</w:t>
      </w:r>
      <w:r>
        <w:rPr>
          <w:spacing w:val="-4"/>
        </w:rPr>
        <w:t> </w:t>
      </w:r>
      <w:r>
        <w:rPr/>
        <w:t>and</w:t>
      </w:r>
      <w:r>
        <w:rPr>
          <w:spacing w:val="-2"/>
        </w:rPr>
        <w:t> </w:t>
      </w:r>
      <w:r>
        <w:rPr/>
        <w:t>educators have to address incidents of bullying. The Commission recommends that public schools, college, and universities examine their anti-bullying and anti-harassment policies to ensure that: 1) there is a clear and</w:t>
      </w:r>
      <w:r>
        <w:rPr>
          <w:spacing w:val="-7"/>
        </w:rPr>
        <w:t> </w:t>
      </w:r>
      <w:r>
        <w:rPr/>
        <w:t>detailed</w:t>
      </w:r>
      <w:r>
        <w:rPr>
          <w:spacing w:val="-7"/>
        </w:rPr>
        <w:t> </w:t>
      </w:r>
      <w:r>
        <w:rPr/>
        <w:t>plan</w:t>
      </w:r>
      <w:r>
        <w:rPr>
          <w:spacing w:val="-7"/>
        </w:rPr>
        <w:t> </w:t>
      </w:r>
      <w:r>
        <w:rPr/>
        <w:t>that</w:t>
      </w:r>
      <w:r>
        <w:rPr>
          <w:spacing w:val="-7"/>
        </w:rPr>
        <w:t> </w:t>
      </w:r>
      <w:r>
        <w:rPr/>
        <w:t>supports</w:t>
      </w:r>
      <w:r>
        <w:rPr>
          <w:spacing w:val="-7"/>
        </w:rPr>
        <w:t> </w:t>
      </w:r>
      <w:r>
        <w:rPr/>
        <w:t>victims</w:t>
      </w:r>
      <w:r>
        <w:rPr>
          <w:spacing w:val="-5"/>
        </w:rPr>
        <w:t> </w:t>
      </w:r>
      <w:r>
        <w:rPr/>
        <w:t>of</w:t>
      </w:r>
      <w:r>
        <w:rPr>
          <w:spacing w:val="-8"/>
        </w:rPr>
        <w:t> </w:t>
      </w:r>
      <w:r>
        <w:rPr/>
        <w:t>bullying,</w:t>
      </w:r>
      <w:r>
        <w:rPr>
          <w:spacing w:val="-7"/>
        </w:rPr>
        <w:t> </w:t>
      </w:r>
      <w:r>
        <w:rPr/>
        <w:t>and</w:t>
      </w:r>
      <w:r>
        <w:rPr>
          <w:spacing w:val="-8"/>
        </w:rPr>
        <w:t> </w:t>
      </w:r>
      <w:r>
        <w:rPr/>
        <w:t>offers</w:t>
      </w:r>
      <w:r>
        <w:rPr>
          <w:spacing w:val="-6"/>
        </w:rPr>
        <w:t> </w:t>
      </w:r>
      <w:r>
        <w:rPr/>
        <w:t>training</w:t>
      </w:r>
      <w:r>
        <w:rPr>
          <w:spacing w:val="-7"/>
        </w:rPr>
        <w:t> </w:t>
      </w:r>
      <w:r>
        <w:rPr/>
        <w:t>and</w:t>
      </w:r>
      <w:r>
        <w:rPr>
          <w:spacing w:val="-7"/>
        </w:rPr>
        <w:t> </w:t>
      </w:r>
      <w:r>
        <w:rPr/>
        <w:t>appropriate</w:t>
      </w:r>
      <w:r>
        <w:rPr>
          <w:spacing w:val="-7"/>
        </w:rPr>
        <w:t> </w:t>
      </w:r>
      <w:r>
        <w:rPr/>
        <w:t>consequences</w:t>
      </w:r>
      <w:r>
        <w:rPr>
          <w:spacing w:val="-7"/>
        </w:rPr>
        <w:t> </w:t>
      </w:r>
      <w:r>
        <w:rPr/>
        <w:t>for perpetrators of bullying; 2) there is a clear definition of the role of school staff and educators on addressing</w:t>
      </w:r>
      <w:r>
        <w:rPr>
          <w:spacing w:val="-11"/>
        </w:rPr>
        <w:t> </w:t>
      </w:r>
      <w:r>
        <w:rPr/>
        <w:t>bullying,</w:t>
      </w:r>
      <w:r>
        <w:rPr>
          <w:spacing w:val="-12"/>
        </w:rPr>
        <w:t> </w:t>
      </w:r>
      <w:r>
        <w:rPr/>
        <w:t>and</w:t>
      </w:r>
      <w:r>
        <w:rPr>
          <w:spacing w:val="-13"/>
        </w:rPr>
        <w:t> </w:t>
      </w:r>
      <w:r>
        <w:rPr/>
        <w:t>recurring</w:t>
      </w:r>
      <w:r>
        <w:rPr>
          <w:spacing w:val="-12"/>
        </w:rPr>
        <w:t> </w:t>
      </w:r>
      <w:r>
        <w:rPr/>
        <w:t>scenario-based</w:t>
      </w:r>
      <w:r>
        <w:rPr>
          <w:spacing w:val="-12"/>
        </w:rPr>
        <w:t> </w:t>
      </w:r>
      <w:r>
        <w:rPr/>
        <w:t>professional</w:t>
      </w:r>
      <w:r>
        <w:rPr>
          <w:spacing w:val="-12"/>
        </w:rPr>
        <w:t> </w:t>
      </w:r>
      <w:r>
        <w:rPr/>
        <w:t>development</w:t>
      </w:r>
      <w:r>
        <w:rPr>
          <w:spacing w:val="-12"/>
        </w:rPr>
        <w:t> </w:t>
      </w:r>
      <w:r>
        <w:rPr/>
        <w:t>trainings</w:t>
      </w:r>
      <w:r>
        <w:rPr>
          <w:spacing w:val="-12"/>
        </w:rPr>
        <w:t> </w:t>
      </w:r>
      <w:r>
        <w:rPr/>
        <w:t>are</w:t>
      </w:r>
      <w:r>
        <w:rPr>
          <w:spacing w:val="-11"/>
        </w:rPr>
        <w:t> </w:t>
      </w:r>
      <w:r>
        <w:rPr/>
        <w:t>available</w:t>
      </w:r>
      <w:r>
        <w:rPr>
          <w:spacing w:val="-12"/>
        </w:rPr>
        <w:t> </w:t>
      </w:r>
      <w:r>
        <w:rPr/>
        <w:t>on</w:t>
      </w:r>
      <w:r>
        <w:rPr>
          <w:spacing w:val="-13"/>
        </w:rPr>
        <w:t> </w:t>
      </w:r>
      <w:r>
        <w:rPr/>
        <w:t>an annual basis; 3) there is a clear and impartial review process to examine disciplinary incidents occurring from</w:t>
      </w:r>
      <w:r>
        <w:rPr>
          <w:spacing w:val="-13"/>
        </w:rPr>
        <w:t> </w:t>
      </w:r>
      <w:r>
        <w:rPr/>
        <w:t>bullying;</w:t>
      </w:r>
      <w:r>
        <w:rPr>
          <w:spacing w:val="-11"/>
        </w:rPr>
        <w:t> </w:t>
      </w:r>
      <w:r>
        <w:rPr/>
        <w:t>4)</w:t>
      </w:r>
      <w:r>
        <w:rPr>
          <w:spacing w:val="-12"/>
        </w:rPr>
        <w:t> </w:t>
      </w:r>
      <w:r>
        <w:rPr/>
        <w:t>bullying</w:t>
      </w:r>
      <w:r>
        <w:rPr>
          <w:spacing w:val="-13"/>
        </w:rPr>
        <w:t> </w:t>
      </w:r>
      <w:r>
        <w:rPr/>
        <w:t>policies</w:t>
      </w:r>
      <w:r>
        <w:rPr>
          <w:spacing w:val="-11"/>
        </w:rPr>
        <w:t> </w:t>
      </w:r>
      <w:r>
        <w:rPr/>
        <w:t>include</w:t>
      </w:r>
      <w:r>
        <w:rPr>
          <w:spacing w:val="-12"/>
        </w:rPr>
        <w:t> </w:t>
      </w:r>
      <w:r>
        <w:rPr/>
        <w:t>anti-cyberbullying</w:t>
      </w:r>
      <w:r>
        <w:rPr>
          <w:spacing w:val="-13"/>
        </w:rPr>
        <w:t> </w:t>
      </w:r>
      <w:r>
        <w:rPr/>
        <w:t>provisions</w:t>
      </w:r>
      <w:r>
        <w:rPr>
          <w:spacing w:val="-11"/>
        </w:rPr>
        <w:t> </w:t>
      </w:r>
      <w:r>
        <w:rPr/>
        <w:t>with</w:t>
      </w:r>
      <w:r>
        <w:rPr>
          <w:spacing w:val="-12"/>
        </w:rPr>
        <w:t> </w:t>
      </w:r>
      <w:r>
        <w:rPr/>
        <w:t>lessons</w:t>
      </w:r>
      <w:r>
        <w:rPr>
          <w:spacing w:val="-12"/>
        </w:rPr>
        <w:t> </w:t>
      </w:r>
      <w:r>
        <w:rPr/>
        <w:t>available</w:t>
      </w:r>
      <w:r>
        <w:rPr>
          <w:spacing w:val="-12"/>
        </w:rPr>
        <w:t> </w:t>
      </w:r>
      <w:r>
        <w:rPr/>
        <w:t>for</w:t>
      </w:r>
      <w:r>
        <w:rPr>
          <w:spacing w:val="-12"/>
        </w:rPr>
        <w:t> </w:t>
      </w:r>
      <w:r>
        <w:rPr/>
        <w:t>students and educators on appropriate technology usage.</w:t>
      </w:r>
    </w:p>
    <w:p>
      <w:pPr>
        <w:pStyle w:val="ListParagraph"/>
        <w:numPr>
          <w:ilvl w:val="0"/>
          <w:numId w:val="19"/>
        </w:numPr>
        <w:tabs>
          <w:tab w:pos="463" w:val="left" w:leader="none"/>
        </w:tabs>
        <w:spacing w:line="276" w:lineRule="auto" w:before="241" w:after="0"/>
        <w:ind w:left="463" w:right="283" w:hanging="360"/>
        <w:jc w:val="left"/>
        <w:rPr>
          <w:b/>
          <w:sz w:val="21"/>
        </w:rPr>
      </w:pPr>
      <w:r>
        <w:rPr>
          <w:b/>
          <w:sz w:val="21"/>
        </w:rPr>
        <w:t>Decriminalize sex work and increase resources to programs working with youth at risk of commercial sex </w:t>
      </w:r>
      <w:r>
        <w:rPr>
          <w:b/>
          <w:spacing w:val="-2"/>
          <w:sz w:val="21"/>
        </w:rPr>
        <w:t>trafficking.</w:t>
      </w:r>
    </w:p>
    <w:p>
      <w:pPr>
        <w:pStyle w:val="BodyText"/>
        <w:spacing w:line="276" w:lineRule="auto" w:before="239"/>
        <w:ind w:left="463" w:right="280"/>
        <w:jc w:val="both"/>
      </w:pPr>
      <w:r>
        <w:rPr/>
        <w:t>As highlighted in several sections of this annual report, the Commission continues to recommend the decriminalization of sex work for youth over the age of 18 to better address public health disparities, increase housing access, and reduce criminal legal system involvement for LGBTQ youth. By decriminalizing</w:t>
      </w:r>
      <w:r>
        <w:rPr>
          <w:spacing w:val="-4"/>
        </w:rPr>
        <w:t> </w:t>
      </w:r>
      <w:r>
        <w:rPr/>
        <w:t>sex</w:t>
      </w:r>
      <w:r>
        <w:rPr>
          <w:spacing w:val="-4"/>
        </w:rPr>
        <w:t> </w:t>
      </w:r>
      <w:r>
        <w:rPr/>
        <w:t>work,</w:t>
      </w:r>
      <w:r>
        <w:rPr>
          <w:spacing w:val="-2"/>
        </w:rPr>
        <w:t> </w:t>
      </w:r>
      <w:r>
        <w:rPr/>
        <w:t>resources</w:t>
      </w:r>
      <w:r>
        <w:rPr>
          <w:spacing w:val="-4"/>
        </w:rPr>
        <w:t> </w:t>
      </w:r>
      <w:r>
        <w:rPr/>
        <w:t>are</w:t>
      </w:r>
      <w:r>
        <w:rPr>
          <w:spacing w:val="-4"/>
        </w:rPr>
        <w:t> </w:t>
      </w:r>
      <w:r>
        <w:rPr/>
        <w:t>better</w:t>
      </w:r>
      <w:r>
        <w:rPr>
          <w:spacing w:val="-4"/>
        </w:rPr>
        <w:t> </w:t>
      </w:r>
      <w:r>
        <w:rPr/>
        <w:t>diverted</w:t>
      </w:r>
      <w:r>
        <w:rPr>
          <w:spacing w:val="-4"/>
        </w:rPr>
        <w:t> </w:t>
      </w:r>
      <w:r>
        <w:rPr/>
        <w:t>to</w:t>
      </w:r>
      <w:r>
        <w:rPr>
          <w:spacing w:val="-3"/>
        </w:rPr>
        <w:t> </w:t>
      </w:r>
      <w:r>
        <w:rPr/>
        <w:t>effectively</w:t>
      </w:r>
      <w:r>
        <w:rPr>
          <w:spacing w:val="-4"/>
        </w:rPr>
        <w:t> </w:t>
      </w:r>
      <w:r>
        <w:rPr/>
        <w:t>address</w:t>
      </w:r>
      <w:r>
        <w:rPr>
          <w:spacing w:val="-4"/>
        </w:rPr>
        <w:t> </w:t>
      </w:r>
      <w:r>
        <w:rPr/>
        <w:t>supporting</w:t>
      </w:r>
      <w:r>
        <w:rPr>
          <w:spacing w:val="-4"/>
        </w:rPr>
        <w:t> </w:t>
      </w:r>
      <w:r>
        <w:rPr/>
        <w:t>youth</w:t>
      </w:r>
      <w:r>
        <w:rPr>
          <w:spacing w:val="-4"/>
        </w:rPr>
        <w:t> </w:t>
      </w:r>
      <w:r>
        <w:rPr/>
        <w:t>at</w:t>
      </w:r>
      <w:r>
        <w:rPr>
          <w:spacing w:val="-4"/>
        </w:rPr>
        <w:t> </w:t>
      </w:r>
      <w:r>
        <w:rPr/>
        <w:t>risk</w:t>
      </w:r>
      <w:r>
        <w:rPr>
          <w:spacing w:val="-4"/>
        </w:rPr>
        <w:t> </w:t>
      </w:r>
      <w:r>
        <w:rPr/>
        <w:t>of commercial</w:t>
      </w:r>
      <w:r>
        <w:rPr>
          <w:spacing w:val="-3"/>
        </w:rPr>
        <w:t> </w:t>
      </w:r>
      <w:r>
        <w:rPr/>
        <w:t>sexual</w:t>
      </w:r>
      <w:r>
        <w:rPr>
          <w:spacing w:val="-3"/>
        </w:rPr>
        <w:t> </w:t>
      </w:r>
      <w:r>
        <w:rPr/>
        <w:t>exploitation</w:t>
      </w:r>
      <w:r>
        <w:rPr>
          <w:spacing w:val="-3"/>
        </w:rPr>
        <w:t> </w:t>
      </w:r>
      <w:r>
        <w:rPr/>
        <w:t>and</w:t>
      </w:r>
      <w:r>
        <w:rPr>
          <w:spacing w:val="-3"/>
        </w:rPr>
        <w:t> </w:t>
      </w:r>
      <w:r>
        <w:rPr/>
        <w:t>trafficking.</w:t>
      </w:r>
      <w:r>
        <w:rPr>
          <w:spacing w:val="-3"/>
        </w:rPr>
        <w:t> </w:t>
      </w:r>
      <w:r>
        <w:rPr/>
        <w:t>As</w:t>
      </w:r>
      <w:r>
        <w:rPr>
          <w:spacing w:val="-3"/>
        </w:rPr>
        <w:t> </w:t>
      </w:r>
      <w:r>
        <w:rPr/>
        <w:t>noted</w:t>
      </w:r>
      <w:r>
        <w:rPr>
          <w:spacing w:val="-3"/>
        </w:rPr>
        <w:t> </w:t>
      </w:r>
      <w:r>
        <w:rPr/>
        <w:t>below,</w:t>
      </w:r>
      <w:r>
        <w:rPr>
          <w:spacing w:val="-3"/>
        </w:rPr>
        <w:t> </w:t>
      </w:r>
      <w:r>
        <w:rPr/>
        <w:t>the</w:t>
      </w:r>
      <w:r>
        <w:rPr>
          <w:spacing w:val="-3"/>
        </w:rPr>
        <w:t> </w:t>
      </w:r>
      <w:r>
        <w:rPr/>
        <w:t>incorrect</w:t>
      </w:r>
      <w:r>
        <w:rPr>
          <w:spacing w:val="-2"/>
        </w:rPr>
        <w:t> </w:t>
      </w:r>
      <w:r>
        <w:rPr/>
        <w:t>conflation</w:t>
      </w:r>
      <w:r>
        <w:rPr>
          <w:spacing w:val="-3"/>
        </w:rPr>
        <w:t> </w:t>
      </w:r>
      <w:r>
        <w:rPr/>
        <w:t>of</w:t>
      </w:r>
      <w:r>
        <w:rPr>
          <w:spacing w:val="-3"/>
        </w:rPr>
        <w:t> </w:t>
      </w:r>
      <w:r>
        <w:rPr/>
        <w:t>sex</w:t>
      </w:r>
      <w:r>
        <w:rPr>
          <w:spacing w:val="-3"/>
        </w:rPr>
        <w:t> </w:t>
      </w:r>
      <w:r>
        <w:rPr/>
        <w:t>work</w:t>
      </w:r>
      <w:r>
        <w:rPr>
          <w:spacing w:val="-3"/>
        </w:rPr>
        <w:t> </w:t>
      </w:r>
      <w:r>
        <w:rPr/>
        <w:t>and sex</w:t>
      </w:r>
      <w:r>
        <w:rPr>
          <w:spacing w:val="-12"/>
        </w:rPr>
        <w:t> </w:t>
      </w:r>
      <w:r>
        <w:rPr/>
        <w:t>trafficking</w:t>
      </w:r>
      <w:r>
        <w:rPr>
          <w:spacing w:val="-12"/>
        </w:rPr>
        <w:t> </w:t>
      </w:r>
      <w:r>
        <w:rPr/>
        <w:t>sets</w:t>
      </w:r>
      <w:r>
        <w:rPr>
          <w:spacing w:val="-10"/>
        </w:rPr>
        <w:t> </w:t>
      </w:r>
      <w:r>
        <w:rPr/>
        <w:t>up</w:t>
      </w:r>
      <w:r>
        <w:rPr>
          <w:spacing w:val="-10"/>
        </w:rPr>
        <w:t> </w:t>
      </w:r>
      <w:r>
        <w:rPr/>
        <w:t>ineffective</w:t>
      </w:r>
      <w:r>
        <w:rPr>
          <w:spacing w:val="-10"/>
        </w:rPr>
        <w:t> </w:t>
      </w:r>
      <w:r>
        <w:rPr/>
        <w:t>and</w:t>
      </w:r>
      <w:r>
        <w:rPr>
          <w:spacing w:val="-10"/>
        </w:rPr>
        <w:t> </w:t>
      </w:r>
      <w:r>
        <w:rPr/>
        <w:t>inefficient</w:t>
      </w:r>
      <w:r>
        <w:rPr>
          <w:spacing w:val="-11"/>
        </w:rPr>
        <w:t> </w:t>
      </w:r>
      <w:r>
        <w:rPr/>
        <w:t>programs</w:t>
      </w:r>
      <w:r>
        <w:rPr>
          <w:spacing w:val="-11"/>
        </w:rPr>
        <w:t> </w:t>
      </w:r>
      <w:r>
        <w:rPr/>
        <w:t>to</w:t>
      </w:r>
      <w:r>
        <w:rPr>
          <w:spacing w:val="-11"/>
        </w:rPr>
        <w:t> </w:t>
      </w:r>
      <w:r>
        <w:rPr/>
        <w:t>often</w:t>
      </w:r>
      <w:r>
        <w:rPr>
          <w:spacing w:val="-10"/>
        </w:rPr>
        <w:t> </w:t>
      </w:r>
      <w:r>
        <w:rPr/>
        <w:t>treat</w:t>
      </w:r>
      <w:r>
        <w:rPr>
          <w:spacing w:val="-11"/>
        </w:rPr>
        <w:t> </w:t>
      </w:r>
      <w:r>
        <w:rPr/>
        <w:t>incidents</w:t>
      </w:r>
      <w:r>
        <w:rPr>
          <w:spacing w:val="-11"/>
        </w:rPr>
        <w:t> </w:t>
      </w:r>
      <w:r>
        <w:rPr/>
        <w:t>of</w:t>
      </w:r>
      <w:r>
        <w:rPr>
          <w:spacing w:val="-10"/>
        </w:rPr>
        <w:t> </w:t>
      </w:r>
      <w:r>
        <w:rPr/>
        <w:t>consensual</w:t>
      </w:r>
      <w:r>
        <w:rPr>
          <w:spacing w:val="-11"/>
        </w:rPr>
        <w:t> </w:t>
      </w:r>
      <w:r>
        <w:rPr/>
        <w:t>sex</w:t>
      </w:r>
      <w:r>
        <w:rPr>
          <w:spacing w:val="-10"/>
        </w:rPr>
        <w:t> </w:t>
      </w:r>
      <w:r>
        <w:rPr/>
        <w:t>work as trafficking, while also sometimes simultaneously punishing sexually exploited victims as criminalized sex workers.</w:t>
      </w:r>
    </w:p>
    <w:p>
      <w:pPr>
        <w:pStyle w:val="BodyText"/>
        <w:spacing w:line="276" w:lineRule="auto" w:before="240"/>
        <w:ind w:left="463" w:right="282"/>
        <w:jc w:val="both"/>
      </w:pPr>
      <w:r>
        <w:rPr/>
        <w:t>Additionally, the Commission advises that the state invest more resources to programs specifically working with youth at risk of commercial sexual exploitation, with particular attention to LGBTQ youth and cisgender boys who are often left out of conversations around sexual exploitation and trafficking. Furthermore, the Commission recommends that the state broaden its understanding of how to reduce incidents of youth exchanging sex to meet their financial or material needs. For example, programs providing</w:t>
      </w:r>
      <w:r>
        <w:rPr>
          <w:spacing w:val="-4"/>
        </w:rPr>
        <w:t> </w:t>
      </w:r>
      <w:r>
        <w:rPr/>
        <w:t>gender-affirming</w:t>
      </w:r>
      <w:r>
        <w:rPr>
          <w:spacing w:val="-3"/>
        </w:rPr>
        <w:t> </w:t>
      </w:r>
      <w:r>
        <w:rPr/>
        <w:t>care</w:t>
      </w:r>
      <w:r>
        <w:rPr>
          <w:spacing w:val="-4"/>
        </w:rPr>
        <w:t> </w:t>
      </w:r>
      <w:r>
        <w:rPr/>
        <w:t>products</w:t>
      </w:r>
      <w:r>
        <w:rPr>
          <w:spacing w:val="-4"/>
        </w:rPr>
        <w:t> </w:t>
      </w:r>
      <w:r>
        <w:rPr/>
        <w:t>have</w:t>
      </w:r>
      <w:r>
        <w:rPr>
          <w:spacing w:val="-4"/>
        </w:rPr>
        <w:t> </w:t>
      </w:r>
      <w:r>
        <w:rPr/>
        <w:t>the</w:t>
      </w:r>
      <w:r>
        <w:rPr>
          <w:spacing w:val="-4"/>
        </w:rPr>
        <w:t> </w:t>
      </w:r>
      <w:r>
        <w:rPr/>
        <w:t>potential</w:t>
      </w:r>
      <w:r>
        <w:rPr>
          <w:spacing w:val="-3"/>
        </w:rPr>
        <w:t> </w:t>
      </w:r>
      <w:r>
        <w:rPr/>
        <w:t>to</w:t>
      </w:r>
      <w:r>
        <w:rPr>
          <w:spacing w:val="-3"/>
        </w:rPr>
        <w:t> </w:t>
      </w:r>
      <w:r>
        <w:rPr/>
        <w:t>reduce</w:t>
      </w:r>
      <w:r>
        <w:rPr>
          <w:spacing w:val="-4"/>
        </w:rPr>
        <w:t> </w:t>
      </w:r>
      <w:r>
        <w:rPr/>
        <w:t>risk</w:t>
      </w:r>
      <w:r>
        <w:rPr>
          <w:spacing w:val="-4"/>
        </w:rPr>
        <w:t> </w:t>
      </w:r>
      <w:r>
        <w:rPr/>
        <w:t>of</w:t>
      </w:r>
      <w:r>
        <w:rPr>
          <w:spacing w:val="-4"/>
        </w:rPr>
        <w:t> </w:t>
      </w:r>
      <w:r>
        <w:rPr/>
        <w:t>engaging</w:t>
      </w:r>
      <w:r>
        <w:rPr>
          <w:spacing w:val="-4"/>
        </w:rPr>
        <w:t> </w:t>
      </w:r>
      <w:r>
        <w:rPr/>
        <w:t>in</w:t>
      </w:r>
      <w:r>
        <w:rPr>
          <w:spacing w:val="-4"/>
        </w:rPr>
        <w:t> </w:t>
      </w:r>
      <w:r>
        <w:rPr/>
        <w:t>sex</w:t>
      </w:r>
      <w:r>
        <w:rPr>
          <w:spacing w:val="-3"/>
        </w:rPr>
        <w:t> </w:t>
      </w:r>
      <w:r>
        <w:rPr/>
        <w:t>work</w:t>
      </w:r>
      <w:r>
        <w:rPr>
          <w:spacing w:val="-4"/>
        </w:rPr>
        <w:t> </w:t>
      </w:r>
      <w:r>
        <w:rPr/>
        <w:t>-</w:t>
      </w:r>
      <w:r>
        <w:rPr>
          <w:spacing w:val="-3"/>
        </w:rPr>
        <w:t> </w:t>
      </w:r>
      <w:r>
        <w:rPr/>
        <w:t>and thus also decreasing</w:t>
      </w:r>
      <w:r>
        <w:rPr>
          <w:spacing w:val="-1"/>
        </w:rPr>
        <w:t> </w:t>
      </w:r>
      <w:r>
        <w:rPr/>
        <w:t>risks of commercial</w:t>
      </w:r>
      <w:r>
        <w:rPr>
          <w:spacing w:val="-1"/>
        </w:rPr>
        <w:t> </w:t>
      </w:r>
      <w:r>
        <w:rPr/>
        <w:t>sexual</w:t>
      </w:r>
      <w:r>
        <w:rPr>
          <w:spacing w:val="-1"/>
        </w:rPr>
        <w:t> </w:t>
      </w:r>
      <w:r>
        <w:rPr/>
        <w:t>exploitation</w:t>
      </w:r>
      <w:r>
        <w:rPr>
          <w:spacing w:val="-1"/>
        </w:rPr>
        <w:t> </w:t>
      </w:r>
      <w:r>
        <w:rPr/>
        <w:t>- by supporting trans and</w:t>
      </w:r>
      <w:r>
        <w:rPr>
          <w:spacing w:val="-1"/>
        </w:rPr>
        <w:t> </w:t>
      </w:r>
      <w:r>
        <w:rPr/>
        <w:t>gender expansive youth who may engage in sex work for funds to purchase items such as wigs, binders, packers, and makeup.</w:t>
      </w:r>
      <w:r>
        <w:rPr>
          <w:spacing w:val="25"/>
        </w:rPr>
        <w:t> </w:t>
      </w:r>
      <w:r>
        <w:rPr/>
        <w:t>Programs</w:t>
      </w:r>
      <w:r>
        <w:rPr>
          <w:spacing w:val="25"/>
        </w:rPr>
        <w:t> </w:t>
      </w:r>
      <w:r>
        <w:rPr/>
        <w:t>that</w:t>
      </w:r>
      <w:r>
        <w:rPr>
          <w:spacing w:val="25"/>
        </w:rPr>
        <w:t> </w:t>
      </w:r>
      <w:r>
        <w:rPr/>
        <w:t>already</w:t>
      </w:r>
      <w:r>
        <w:rPr>
          <w:spacing w:val="25"/>
        </w:rPr>
        <w:t> </w:t>
      </w:r>
      <w:r>
        <w:rPr/>
        <w:t>receive</w:t>
      </w:r>
      <w:r>
        <w:rPr>
          <w:spacing w:val="25"/>
        </w:rPr>
        <w:t> </w:t>
      </w:r>
      <w:r>
        <w:rPr/>
        <w:t>funding</w:t>
      </w:r>
      <w:r>
        <w:rPr>
          <w:spacing w:val="26"/>
        </w:rPr>
        <w:t> </w:t>
      </w:r>
      <w:r>
        <w:rPr/>
        <w:t>to</w:t>
      </w:r>
      <w:r>
        <w:rPr>
          <w:spacing w:val="27"/>
        </w:rPr>
        <w:t> </w:t>
      </w:r>
      <w:r>
        <w:rPr/>
        <w:t>address</w:t>
      </w:r>
      <w:r>
        <w:rPr>
          <w:spacing w:val="26"/>
        </w:rPr>
        <w:t> </w:t>
      </w:r>
      <w:r>
        <w:rPr/>
        <w:t>human</w:t>
      </w:r>
      <w:r>
        <w:rPr>
          <w:spacing w:val="25"/>
        </w:rPr>
        <w:t> </w:t>
      </w:r>
      <w:r>
        <w:rPr/>
        <w:t>sexual</w:t>
      </w:r>
      <w:r>
        <w:rPr>
          <w:spacing w:val="26"/>
        </w:rPr>
        <w:t> </w:t>
      </w:r>
      <w:r>
        <w:rPr/>
        <w:t>exploitation,</w:t>
      </w:r>
      <w:r>
        <w:rPr>
          <w:spacing w:val="25"/>
        </w:rPr>
        <w:t> </w:t>
      </w:r>
      <w:r>
        <w:rPr/>
        <w:t>or</w:t>
      </w:r>
      <w:r>
        <w:rPr>
          <w:spacing w:val="26"/>
        </w:rPr>
        <w:t> </w:t>
      </w:r>
      <w:r>
        <w:rPr/>
        <w:t>funding</w:t>
      </w:r>
      <w:r>
        <w:rPr>
          <w:spacing w:val="26"/>
        </w:rPr>
        <w:t> </w:t>
      </w:r>
      <w:r>
        <w:rPr/>
        <w:t>to</w:t>
      </w:r>
    </w:p>
    <w:p>
      <w:pPr>
        <w:spacing w:after="0" w:line="276" w:lineRule="auto"/>
        <w:jc w:val="both"/>
        <w:sectPr>
          <w:pgSz w:w="11910" w:h="16840"/>
          <w:pgMar w:header="804" w:footer="1230" w:top="1080" w:bottom="1480" w:left="980" w:right="900"/>
        </w:sectPr>
      </w:pPr>
    </w:p>
    <w:p>
      <w:pPr>
        <w:pStyle w:val="BodyText"/>
        <w:spacing w:line="276" w:lineRule="auto" w:before="69"/>
        <w:ind w:left="463" w:right="283"/>
        <w:jc w:val="both"/>
      </w:pPr>
      <w:r>
        <w:rPr/>
        <w:t>support</w:t>
      </w:r>
      <w:r>
        <w:rPr>
          <w:spacing w:val="-4"/>
        </w:rPr>
        <w:t> </w:t>
      </w:r>
      <w:r>
        <w:rPr/>
        <w:t>youth</w:t>
      </w:r>
      <w:r>
        <w:rPr>
          <w:spacing w:val="-4"/>
        </w:rPr>
        <w:t> </w:t>
      </w:r>
      <w:r>
        <w:rPr/>
        <w:t>at</w:t>
      </w:r>
      <w:r>
        <w:rPr>
          <w:spacing w:val="-4"/>
        </w:rPr>
        <w:t> </w:t>
      </w:r>
      <w:r>
        <w:rPr/>
        <w:t>risk,</w:t>
      </w:r>
      <w:r>
        <w:rPr>
          <w:spacing w:val="-4"/>
        </w:rPr>
        <w:t> </w:t>
      </w:r>
      <w:r>
        <w:rPr/>
        <w:t>should</w:t>
      </w:r>
      <w:r>
        <w:rPr>
          <w:spacing w:val="-4"/>
        </w:rPr>
        <w:t> </w:t>
      </w:r>
      <w:r>
        <w:rPr/>
        <w:t>explore</w:t>
      </w:r>
      <w:r>
        <w:rPr>
          <w:spacing w:val="-4"/>
        </w:rPr>
        <w:t> </w:t>
      </w:r>
      <w:r>
        <w:rPr/>
        <w:t>plans</w:t>
      </w:r>
      <w:r>
        <w:rPr>
          <w:spacing w:val="-4"/>
        </w:rPr>
        <w:t> </w:t>
      </w:r>
      <w:r>
        <w:rPr/>
        <w:t>to</w:t>
      </w:r>
      <w:r>
        <w:rPr>
          <w:spacing w:val="-3"/>
        </w:rPr>
        <w:t> </w:t>
      </w:r>
      <w:r>
        <w:rPr/>
        <w:t>increase</w:t>
      </w:r>
      <w:r>
        <w:rPr>
          <w:spacing w:val="-4"/>
        </w:rPr>
        <w:t> </w:t>
      </w:r>
      <w:r>
        <w:rPr/>
        <w:t>funding</w:t>
      </w:r>
      <w:r>
        <w:rPr>
          <w:spacing w:val="-3"/>
        </w:rPr>
        <w:t> </w:t>
      </w:r>
      <w:r>
        <w:rPr/>
        <w:t>to</w:t>
      </w:r>
      <w:r>
        <w:rPr>
          <w:spacing w:val="-2"/>
        </w:rPr>
        <w:t> </w:t>
      </w:r>
      <w:r>
        <w:rPr/>
        <w:t>services</w:t>
      </w:r>
      <w:r>
        <w:rPr>
          <w:spacing w:val="-4"/>
        </w:rPr>
        <w:t> </w:t>
      </w:r>
      <w:r>
        <w:rPr/>
        <w:t>that</w:t>
      </w:r>
      <w:r>
        <w:rPr>
          <w:spacing w:val="-3"/>
        </w:rPr>
        <w:t> </w:t>
      </w:r>
      <w:r>
        <w:rPr/>
        <w:t>provide</w:t>
      </w:r>
      <w:r>
        <w:rPr>
          <w:spacing w:val="-4"/>
        </w:rPr>
        <w:t> </w:t>
      </w:r>
      <w:r>
        <w:rPr/>
        <w:t>gender-affirming products to LGBTQ youth.</w:t>
      </w:r>
    </w:p>
    <w:p>
      <w:pPr>
        <w:numPr>
          <w:ilvl w:val="0"/>
          <w:numId w:val="19"/>
        </w:numPr>
        <w:tabs>
          <w:tab w:pos="461" w:val="left" w:leader="none"/>
          <w:tab w:pos="463" w:val="left" w:leader="none"/>
        </w:tabs>
        <w:spacing w:line="276" w:lineRule="auto" w:before="239"/>
        <w:ind w:left="463" w:right="284" w:hanging="360"/>
        <w:jc w:val="left"/>
        <w:rPr>
          <w:b/>
          <w:sz w:val="22"/>
        </w:rPr>
      </w:pPr>
      <w:bookmarkStart w:name="5. Decriminalize consensual teen sex/sex" w:id="195"/>
      <w:bookmarkEnd w:id="195"/>
      <w:r>
        <w:rPr>
          <w:b/>
          <w:sz w:val="22"/>
        </w:rPr>
        <w:t>D</w:t>
      </w:r>
      <w:r>
        <w:rPr>
          <w:b/>
          <w:sz w:val="22"/>
        </w:rPr>
        <w:t>ecriminalize</w:t>
      </w:r>
      <w:r>
        <w:rPr>
          <w:b/>
          <w:spacing w:val="33"/>
          <w:sz w:val="22"/>
        </w:rPr>
        <w:t> </w:t>
      </w:r>
      <w:r>
        <w:rPr>
          <w:b/>
          <w:sz w:val="22"/>
        </w:rPr>
        <w:t>consensual</w:t>
      </w:r>
      <w:r>
        <w:rPr>
          <w:b/>
          <w:spacing w:val="35"/>
          <w:sz w:val="22"/>
        </w:rPr>
        <w:t> </w:t>
      </w:r>
      <w:r>
        <w:rPr>
          <w:b/>
          <w:sz w:val="22"/>
        </w:rPr>
        <w:t>teen</w:t>
      </w:r>
      <w:r>
        <w:rPr>
          <w:b/>
          <w:spacing w:val="34"/>
          <w:sz w:val="22"/>
        </w:rPr>
        <w:t> </w:t>
      </w:r>
      <w:r>
        <w:rPr>
          <w:b/>
          <w:sz w:val="22"/>
        </w:rPr>
        <w:t>sex/sexting</w:t>
      </w:r>
      <w:r>
        <w:rPr>
          <w:b/>
          <w:spacing w:val="35"/>
          <w:sz w:val="22"/>
        </w:rPr>
        <w:t> </w:t>
      </w:r>
      <w:r>
        <w:rPr>
          <w:b/>
          <w:sz w:val="22"/>
        </w:rPr>
        <w:t>and</w:t>
      </w:r>
      <w:r>
        <w:rPr>
          <w:b/>
          <w:spacing w:val="34"/>
          <w:sz w:val="22"/>
        </w:rPr>
        <w:t> </w:t>
      </w:r>
      <w:r>
        <w:rPr>
          <w:b/>
          <w:sz w:val="22"/>
        </w:rPr>
        <w:t>adjust</w:t>
      </w:r>
      <w:r>
        <w:rPr>
          <w:b/>
          <w:spacing w:val="34"/>
          <w:sz w:val="22"/>
        </w:rPr>
        <w:t> </w:t>
      </w:r>
      <w:r>
        <w:rPr>
          <w:b/>
          <w:sz w:val="22"/>
        </w:rPr>
        <w:t>the</w:t>
      </w:r>
      <w:r>
        <w:rPr>
          <w:b/>
          <w:spacing w:val="33"/>
          <w:sz w:val="22"/>
        </w:rPr>
        <w:t> </w:t>
      </w:r>
      <w:r>
        <w:rPr>
          <w:b/>
          <w:sz w:val="22"/>
        </w:rPr>
        <w:t>current</w:t>
      </w:r>
      <w:r>
        <w:rPr>
          <w:b/>
          <w:spacing w:val="34"/>
          <w:sz w:val="22"/>
        </w:rPr>
        <w:t> </w:t>
      </w:r>
      <w:r>
        <w:rPr>
          <w:b/>
          <w:sz w:val="22"/>
        </w:rPr>
        <w:t>age</w:t>
      </w:r>
      <w:r>
        <w:rPr>
          <w:b/>
          <w:spacing w:val="36"/>
          <w:sz w:val="22"/>
        </w:rPr>
        <w:t> </w:t>
      </w:r>
      <w:r>
        <w:rPr>
          <w:b/>
          <w:sz w:val="22"/>
        </w:rPr>
        <w:t>of</w:t>
      </w:r>
      <w:r>
        <w:rPr>
          <w:b/>
          <w:spacing w:val="33"/>
          <w:sz w:val="22"/>
        </w:rPr>
        <w:t> </w:t>
      </w:r>
      <w:r>
        <w:rPr>
          <w:b/>
          <w:sz w:val="22"/>
        </w:rPr>
        <w:t>consent</w:t>
      </w:r>
      <w:r>
        <w:rPr>
          <w:b/>
          <w:spacing w:val="34"/>
          <w:sz w:val="22"/>
        </w:rPr>
        <w:t> </w:t>
      </w:r>
      <w:r>
        <w:rPr>
          <w:b/>
          <w:sz w:val="22"/>
        </w:rPr>
        <w:t>laws</w:t>
      </w:r>
      <w:r>
        <w:rPr>
          <w:b/>
          <w:spacing w:val="36"/>
          <w:sz w:val="22"/>
        </w:rPr>
        <w:t> </w:t>
      </w:r>
      <w:r>
        <w:rPr>
          <w:b/>
          <w:sz w:val="22"/>
        </w:rPr>
        <w:t>for</w:t>
      </w:r>
      <w:r>
        <w:rPr>
          <w:b/>
          <w:spacing w:val="33"/>
          <w:sz w:val="22"/>
        </w:rPr>
        <w:t> </w:t>
      </w:r>
      <w:r>
        <w:rPr>
          <w:b/>
          <w:sz w:val="22"/>
        </w:rPr>
        <w:t>minors engaging in consensual sexual activity.</w:t>
      </w:r>
    </w:p>
    <w:p>
      <w:pPr>
        <w:pStyle w:val="BodyText"/>
        <w:spacing w:line="276" w:lineRule="auto" w:before="241"/>
        <w:ind w:left="463" w:right="280"/>
        <w:jc w:val="both"/>
      </w:pPr>
      <w:r>
        <w:rPr/>
        <w:t>As discussed more thoroughly below, there are a number of ways to address sexual exploitation and inequitable</w:t>
      </w:r>
      <w:r>
        <w:rPr>
          <w:spacing w:val="-6"/>
        </w:rPr>
        <w:t> </w:t>
      </w:r>
      <w:r>
        <w:rPr/>
        <w:t>penalties</w:t>
      </w:r>
      <w:r>
        <w:rPr>
          <w:spacing w:val="-7"/>
        </w:rPr>
        <w:t> </w:t>
      </w:r>
      <w:r>
        <w:rPr/>
        <w:t>against</w:t>
      </w:r>
      <w:r>
        <w:rPr>
          <w:spacing w:val="-8"/>
        </w:rPr>
        <w:t> </w:t>
      </w:r>
      <w:r>
        <w:rPr/>
        <w:t>youth</w:t>
      </w:r>
      <w:r>
        <w:rPr>
          <w:spacing w:val="-8"/>
        </w:rPr>
        <w:t> </w:t>
      </w:r>
      <w:r>
        <w:rPr/>
        <w:t>who</w:t>
      </w:r>
      <w:r>
        <w:rPr>
          <w:spacing w:val="-6"/>
        </w:rPr>
        <w:t> </w:t>
      </w:r>
      <w:r>
        <w:rPr/>
        <w:t>are</w:t>
      </w:r>
      <w:r>
        <w:rPr>
          <w:spacing w:val="-8"/>
        </w:rPr>
        <w:t> </w:t>
      </w:r>
      <w:r>
        <w:rPr/>
        <w:t>victims</w:t>
      </w:r>
      <w:r>
        <w:rPr>
          <w:spacing w:val="-7"/>
        </w:rPr>
        <w:t> </w:t>
      </w:r>
      <w:r>
        <w:rPr/>
        <w:t>of</w:t>
      </w:r>
      <w:r>
        <w:rPr>
          <w:spacing w:val="-6"/>
        </w:rPr>
        <w:t> </w:t>
      </w:r>
      <w:r>
        <w:rPr/>
        <w:t>exploitation.</w:t>
      </w:r>
      <w:r>
        <w:rPr>
          <w:spacing w:val="-7"/>
        </w:rPr>
        <w:t> </w:t>
      </w:r>
      <w:r>
        <w:rPr/>
        <w:t>Currently,</w:t>
      </w:r>
      <w:r>
        <w:rPr>
          <w:spacing w:val="-7"/>
        </w:rPr>
        <w:t> </w:t>
      </w:r>
      <w:r>
        <w:rPr/>
        <w:t>while</w:t>
      </w:r>
      <w:r>
        <w:rPr>
          <w:spacing w:val="-8"/>
        </w:rPr>
        <w:t> </w:t>
      </w:r>
      <w:r>
        <w:rPr/>
        <w:t>Massachusetts</w:t>
      </w:r>
      <w:r>
        <w:rPr>
          <w:spacing w:val="-7"/>
        </w:rPr>
        <w:t> </w:t>
      </w:r>
      <w:r>
        <w:rPr/>
        <w:t>does not</w:t>
      </w:r>
      <w:r>
        <w:rPr>
          <w:spacing w:val="-13"/>
        </w:rPr>
        <w:t> </w:t>
      </w:r>
      <w:r>
        <w:rPr/>
        <w:t>have</w:t>
      </w:r>
      <w:r>
        <w:rPr>
          <w:spacing w:val="-12"/>
        </w:rPr>
        <w:t> </w:t>
      </w:r>
      <w:r>
        <w:rPr/>
        <w:t>explicit</w:t>
      </w:r>
      <w:r>
        <w:rPr>
          <w:spacing w:val="-13"/>
        </w:rPr>
        <w:t> </w:t>
      </w:r>
      <w:r>
        <w:rPr/>
        <w:t>laws</w:t>
      </w:r>
      <w:r>
        <w:rPr>
          <w:spacing w:val="-12"/>
        </w:rPr>
        <w:t> </w:t>
      </w:r>
      <w:r>
        <w:rPr/>
        <w:t>against</w:t>
      </w:r>
      <w:r>
        <w:rPr>
          <w:spacing w:val="-13"/>
        </w:rPr>
        <w:t> </w:t>
      </w:r>
      <w:r>
        <w:rPr/>
        <w:t>sexting,</w:t>
      </w:r>
      <w:r>
        <w:rPr>
          <w:spacing w:val="-12"/>
        </w:rPr>
        <w:t> </w:t>
      </w:r>
      <w:r>
        <w:rPr/>
        <w:t>child</w:t>
      </w:r>
      <w:r>
        <w:rPr>
          <w:spacing w:val="-13"/>
        </w:rPr>
        <w:t> </w:t>
      </w:r>
      <w:r>
        <w:rPr/>
        <w:t>pornography</w:t>
      </w:r>
      <w:r>
        <w:rPr>
          <w:spacing w:val="-12"/>
        </w:rPr>
        <w:t> </w:t>
      </w:r>
      <w:r>
        <w:rPr/>
        <w:t>laws</w:t>
      </w:r>
      <w:r>
        <w:rPr>
          <w:spacing w:val="-12"/>
        </w:rPr>
        <w:t> </w:t>
      </w:r>
      <w:r>
        <w:rPr/>
        <w:t>do</w:t>
      </w:r>
      <w:r>
        <w:rPr>
          <w:spacing w:val="-13"/>
        </w:rPr>
        <w:t> </w:t>
      </w:r>
      <w:r>
        <w:rPr/>
        <w:t>prohibit</w:t>
      </w:r>
      <w:r>
        <w:rPr>
          <w:spacing w:val="-12"/>
        </w:rPr>
        <w:t> </w:t>
      </w:r>
      <w:r>
        <w:rPr/>
        <w:t>the</w:t>
      </w:r>
      <w:r>
        <w:rPr>
          <w:spacing w:val="-13"/>
        </w:rPr>
        <w:t> </w:t>
      </w:r>
      <w:r>
        <w:rPr/>
        <w:t>exchange</w:t>
      </w:r>
      <w:r>
        <w:rPr>
          <w:spacing w:val="-12"/>
        </w:rPr>
        <w:t> </w:t>
      </w:r>
      <w:r>
        <w:rPr/>
        <w:t>of</w:t>
      </w:r>
      <w:r>
        <w:rPr>
          <w:spacing w:val="-13"/>
        </w:rPr>
        <w:t> </w:t>
      </w:r>
      <w:r>
        <w:rPr/>
        <w:t>sexually</w:t>
      </w:r>
      <w:r>
        <w:rPr>
          <w:spacing w:val="-12"/>
        </w:rPr>
        <w:t> </w:t>
      </w:r>
      <w:r>
        <w:rPr/>
        <w:t>explicit images</w:t>
      </w:r>
      <w:r>
        <w:rPr>
          <w:spacing w:val="-3"/>
        </w:rPr>
        <w:t> </w:t>
      </w:r>
      <w:r>
        <w:rPr/>
        <w:t>of</w:t>
      </w:r>
      <w:r>
        <w:rPr>
          <w:spacing w:val="-2"/>
        </w:rPr>
        <w:t> </w:t>
      </w:r>
      <w:r>
        <w:rPr/>
        <w:t>minors</w:t>
      </w:r>
      <w:r>
        <w:rPr>
          <w:spacing w:val="-3"/>
        </w:rPr>
        <w:t> </w:t>
      </w:r>
      <w:r>
        <w:rPr/>
        <w:t>-</w:t>
      </w:r>
      <w:r>
        <w:rPr>
          <w:spacing w:val="-2"/>
        </w:rPr>
        <w:t> </w:t>
      </w:r>
      <w:r>
        <w:rPr/>
        <w:t>no</w:t>
      </w:r>
      <w:r>
        <w:rPr>
          <w:spacing w:val="-1"/>
        </w:rPr>
        <w:t> </w:t>
      </w:r>
      <w:r>
        <w:rPr/>
        <w:t>matter</w:t>
      </w:r>
      <w:r>
        <w:rPr>
          <w:spacing w:val="-2"/>
        </w:rPr>
        <w:t> </w:t>
      </w:r>
      <w:r>
        <w:rPr/>
        <w:t>the</w:t>
      </w:r>
      <w:r>
        <w:rPr>
          <w:spacing w:val="-2"/>
        </w:rPr>
        <w:t> </w:t>
      </w:r>
      <w:r>
        <w:rPr/>
        <w:t>age</w:t>
      </w:r>
      <w:r>
        <w:rPr>
          <w:spacing w:val="-2"/>
        </w:rPr>
        <w:t> </w:t>
      </w:r>
      <w:r>
        <w:rPr/>
        <w:t>of</w:t>
      </w:r>
      <w:r>
        <w:rPr>
          <w:spacing w:val="-3"/>
        </w:rPr>
        <w:t> </w:t>
      </w:r>
      <w:r>
        <w:rPr/>
        <w:t>the</w:t>
      </w:r>
      <w:r>
        <w:rPr>
          <w:spacing w:val="-2"/>
        </w:rPr>
        <w:t> </w:t>
      </w:r>
      <w:r>
        <w:rPr/>
        <w:t>recipient.</w:t>
      </w:r>
      <w:r>
        <w:rPr>
          <w:spacing w:val="-2"/>
        </w:rPr>
        <w:t> </w:t>
      </w:r>
      <w:r>
        <w:rPr/>
        <w:t>Therefore,</w:t>
      </w:r>
      <w:r>
        <w:rPr>
          <w:spacing w:val="-1"/>
        </w:rPr>
        <w:t> </w:t>
      </w:r>
      <w:r>
        <w:rPr/>
        <w:t>teens</w:t>
      </w:r>
      <w:r>
        <w:rPr>
          <w:spacing w:val="-1"/>
        </w:rPr>
        <w:t> </w:t>
      </w:r>
      <w:r>
        <w:rPr/>
        <w:t>under</w:t>
      </w:r>
      <w:r>
        <w:rPr>
          <w:spacing w:val="-2"/>
        </w:rPr>
        <w:t> </w:t>
      </w:r>
      <w:r>
        <w:rPr/>
        <w:t>the</w:t>
      </w:r>
      <w:r>
        <w:rPr>
          <w:spacing w:val="-3"/>
        </w:rPr>
        <w:t> </w:t>
      </w:r>
      <w:r>
        <w:rPr/>
        <w:t>age</w:t>
      </w:r>
      <w:r>
        <w:rPr>
          <w:spacing w:val="-2"/>
        </w:rPr>
        <w:t> </w:t>
      </w:r>
      <w:r>
        <w:rPr/>
        <w:t>of</w:t>
      </w:r>
      <w:r>
        <w:rPr>
          <w:spacing w:val="-3"/>
        </w:rPr>
        <w:t> </w:t>
      </w:r>
      <w:r>
        <w:rPr/>
        <w:t>16 who</w:t>
      </w:r>
      <w:r>
        <w:rPr>
          <w:spacing w:val="-2"/>
        </w:rPr>
        <w:t> </w:t>
      </w:r>
      <w:r>
        <w:rPr/>
        <w:t>engage in</w:t>
      </w:r>
      <w:r>
        <w:rPr>
          <w:spacing w:val="-7"/>
        </w:rPr>
        <w:t> </w:t>
      </w:r>
      <w:r>
        <w:rPr/>
        <w:t>consensual</w:t>
      </w:r>
      <w:r>
        <w:rPr>
          <w:spacing w:val="-5"/>
        </w:rPr>
        <w:t> </w:t>
      </w:r>
      <w:r>
        <w:rPr/>
        <w:t>sexting</w:t>
      </w:r>
      <w:r>
        <w:rPr>
          <w:spacing w:val="-7"/>
        </w:rPr>
        <w:t> </w:t>
      </w:r>
      <w:r>
        <w:rPr/>
        <w:t>with</w:t>
      </w:r>
      <w:r>
        <w:rPr>
          <w:spacing w:val="-4"/>
        </w:rPr>
        <w:t> </w:t>
      </w:r>
      <w:r>
        <w:rPr/>
        <w:t>another</w:t>
      </w:r>
      <w:r>
        <w:rPr>
          <w:spacing w:val="-5"/>
        </w:rPr>
        <w:t> </w:t>
      </w:r>
      <w:r>
        <w:rPr/>
        <w:t>teen</w:t>
      </w:r>
      <w:r>
        <w:rPr>
          <w:spacing w:val="-4"/>
        </w:rPr>
        <w:t> </w:t>
      </w:r>
      <w:r>
        <w:rPr/>
        <w:t>could</w:t>
      </w:r>
      <w:r>
        <w:rPr>
          <w:spacing w:val="-5"/>
        </w:rPr>
        <w:t> </w:t>
      </w:r>
      <w:r>
        <w:rPr/>
        <w:t>potentially</w:t>
      </w:r>
      <w:r>
        <w:rPr>
          <w:spacing w:val="-6"/>
        </w:rPr>
        <w:t> </w:t>
      </w:r>
      <w:r>
        <w:rPr/>
        <w:t>face</w:t>
      </w:r>
      <w:r>
        <w:rPr>
          <w:spacing w:val="-7"/>
        </w:rPr>
        <w:t> </w:t>
      </w:r>
      <w:r>
        <w:rPr/>
        <w:t>legal</w:t>
      </w:r>
      <w:r>
        <w:rPr>
          <w:spacing w:val="-5"/>
        </w:rPr>
        <w:t> </w:t>
      </w:r>
      <w:r>
        <w:rPr/>
        <w:t>ramifications</w:t>
      </w:r>
      <w:r>
        <w:rPr>
          <w:spacing w:val="-6"/>
        </w:rPr>
        <w:t> </w:t>
      </w:r>
      <w:r>
        <w:rPr/>
        <w:t>for</w:t>
      </w:r>
      <w:r>
        <w:rPr>
          <w:spacing w:val="-6"/>
        </w:rPr>
        <w:t> </w:t>
      </w:r>
      <w:r>
        <w:rPr/>
        <w:t>their</w:t>
      </w:r>
      <w:r>
        <w:rPr>
          <w:spacing w:val="-5"/>
        </w:rPr>
        <w:t> </w:t>
      </w:r>
      <w:r>
        <w:rPr/>
        <w:t>decisions.</w:t>
      </w:r>
      <w:r>
        <w:rPr>
          <w:spacing w:val="-7"/>
        </w:rPr>
        <w:t> </w:t>
      </w:r>
      <w:r>
        <w:rPr/>
        <w:t>The Commission</w:t>
      </w:r>
      <w:r>
        <w:rPr>
          <w:spacing w:val="-11"/>
        </w:rPr>
        <w:t> </w:t>
      </w:r>
      <w:r>
        <w:rPr/>
        <w:t>recommends</w:t>
      </w:r>
      <w:r>
        <w:rPr>
          <w:spacing w:val="-10"/>
        </w:rPr>
        <w:t> </w:t>
      </w:r>
      <w:r>
        <w:rPr/>
        <w:t>that</w:t>
      </w:r>
      <w:r>
        <w:rPr>
          <w:spacing w:val="-10"/>
        </w:rPr>
        <w:t> </w:t>
      </w:r>
      <w:r>
        <w:rPr/>
        <w:t>the</w:t>
      </w:r>
      <w:r>
        <w:rPr>
          <w:spacing w:val="-10"/>
        </w:rPr>
        <w:t> </w:t>
      </w:r>
      <w:r>
        <w:rPr/>
        <w:t>legislature</w:t>
      </w:r>
      <w:r>
        <w:rPr>
          <w:spacing w:val="-11"/>
        </w:rPr>
        <w:t> </w:t>
      </w:r>
      <w:r>
        <w:rPr/>
        <w:t>adjust</w:t>
      </w:r>
      <w:r>
        <w:rPr>
          <w:spacing w:val="-10"/>
        </w:rPr>
        <w:t> </w:t>
      </w:r>
      <w:r>
        <w:rPr/>
        <w:t>legal</w:t>
      </w:r>
      <w:r>
        <w:rPr>
          <w:spacing w:val="-11"/>
        </w:rPr>
        <w:t> </w:t>
      </w:r>
      <w:r>
        <w:rPr/>
        <w:t>protections</w:t>
      </w:r>
      <w:r>
        <w:rPr>
          <w:spacing w:val="-11"/>
        </w:rPr>
        <w:t> </w:t>
      </w:r>
      <w:r>
        <w:rPr/>
        <w:t>to</w:t>
      </w:r>
      <w:r>
        <w:rPr>
          <w:spacing w:val="-11"/>
        </w:rPr>
        <w:t> </w:t>
      </w:r>
      <w:r>
        <w:rPr/>
        <w:t>appropriately</w:t>
      </w:r>
      <w:r>
        <w:rPr>
          <w:spacing w:val="-10"/>
        </w:rPr>
        <w:t> </w:t>
      </w:r>
      <w:r>
        <w:rPr/>
        <w:t>support</w:t>
      </w:r>
      <w:r>
        <w:rPr>
          <w:spacing w:val="-12"/>
        </w:rPr>
        <w:t> </w:t>
      </w:r>
      <w:r>
        <w:rPr/>
        <w:t>minors</w:t>
      </w:r>
      <w:r>
        <w:rPr>
          <w:spacing w:val="-11"/>
        </w:rPr>
        <w:t> </w:t>
      </w:r>
      <w:r>
        <w:rPr/>
        <w:t>as technology</w:t>
      </w:r>
      <w:r>
        <w:rPr>
          <w:spacing w:val="-5"/>
        </w:rPr>
        <w:t> </w:t>
      </w:r>
      <w:r>
        <w:rPr/>
        <w:t>and</w:t>
      </w:r>
      <w:r>
        <w:rPr>
          <w:spacing w:val="-4"/>
        </w:rPr>
        <w:t> </w:t>
      </w:r>
      <w:r>
        <w:rPr/>
        <w:t>teen</w:t>
      </w:r>
      <w:r>
        <w:rPr>
          <w:spacing w:val="-4"/>
        </w:rPr>
        <w:t> </w:t>
      </w:r>
      <w:r>
        <w:rPr/>
        <w:t>dating</w:t>
      </w:r>
      <w:r>
        <w:rPr>
          <w:spacing w:val="-4"/>
        </w:rPr>
        <w:t> </w:t>
      </w:r>
      <w:r>
        <w:rPr/>
        <w:t>culture</w:t>
      </w:r>
      <w:r>
        <w:rPr>
          <w:spacing w:val="-4"/>
        </w:rPr>
        <w:t> </w:t>
      </w:r>
      <w:r>
        <w:rPr/>
        <w:t>shifts,</w:t>
      </w:r>
      <w:r>
        <w:rPr>
          <w:spacing w:val="-5"/>
        </w:rPr>
        <w:t> </w:t>
      </w:r>
      <w:r>
        <w:rPr/>
        <w:t>rather</w:t>
      </w:r>
      <w:r>
        <w:rPr>
          <w:spacing w:val="-3"/>
        </w:rPr>
        <w:t> </w:t>
      </w:r>
      <w:r>
        <w:rPr/>
        <w:t>than</w:t>
      </w:r>
      <w:r>
        <w:rPr>
          <w:spacing w:val="-4"/>
        </w:rPr>
        <w:t> </w:t>
      </w:r>
      <w:r>
        <w:rPr/>
        <w:t>criminalizing</w:t>
      </w:r>
      <w:r>
        <w:rPr>
          <w:spacing w:val="-4"/>
        </w:rPr>
        <w:t> </w:t>
      </w:r>
      <w:r>
        <w:rPr/>
        <w:t>teens</w:t>
      </w:r>
      <w:r>
        <w:rPr>
          <w:spacing w:val="-4"/>
        </w:rPr>
        <w:t> </w:t>
      </w:r>
      <w:r>
        <w:rPr/>
        <w:t>who</w:t>
      </w:r>
      <w:r>
        <w:rPr>
          <w:spacing w:val="-2"/>
        </w:rPr>
        <w:t> </w:t>
      </w:r>
      <w:r>
        <w:rPr/>
        <w:t>engage</w:t>
      </w:r>
      <w:r>
        <w:rPr>
          <w:spacing w:val="-4"/>
        </w:rPr>
        <w:t> </w:t>
      </w:r>
      <w:r>
        <w:rPr/>
        <w:t>in</w:t>
      </w:r>
      <w:r>
        <w:rPr>
          <w:spacing w:val="-4"/>
        </w:rPr>
        <w:t> </w:t>
      </w:r>
      <w:r>
        <w:rPr/>
        <w:t>sexting</w:t>
      </w:r>
      <w:r>
        <w:rPr>
          <w:spacing w:val="-4"/>
        </w:rPr>
        <w:t> </w:t>
      </w:r>
      <w:r>
        <w:rPr/>
        <w:t>without fully understanding any legal consequences that may occur.</w:t>
      </w:r>
    </w:p>
    <w:p>
      <w:pPr>
        <w:pStyle w:val="BodyText"/>
        <w:spacing w:line="276" w:lineRule="auto" w:before="239"/>
        <w:ind w:left="463" w:right="283"/>
        <w:jc w:val="both"/>
      </w:pPr>
      <w:r>
        <w:rPr/>
        <w:t>Furthermore, the Commission additionally recommends that the legislature better understand and address any gaps in legal protections that may exist for victims of revenge porn and sexual deepfakes, particularly for those who are adults. Presumably, child pornography laws would protect and provide legal support for victims of revenge porn or deepfakes under the age of 16, however, legal supports for those over the age of consent remain unclear.</w:t>
      </w:r>
    </w:p>
    <w:p>
      <w:pPr>
        <w:numPr>
          <w:ilvl w:val="0"/>
          <w:numId w:val="19"/>
        </w:numPr>
        <w:tabs>
          <w:tab w:pos="461" w:val="left" w:leader="none"/>
        </w:tabs>
        <w:spacing w:before="240"/>
        <w:ind w:left="461" w:right="0" w:hanging="358"/>
        <w:jc w:val="left"/>
        <w:rPr>
          <w:b/>
          <w:sz w:val="22"/>
        </w:rPr>
      </w:pPr>
      <w:bookmarkStart w:name="6. Continue to increase access to sexual" w:id="196"/>
      <w:bookmarkEnd w:id="196"/>
      <w:r>
        <w:rPr>
          <w:b/>
          <w:sz w:val="22"/>
        </w:rPr>
        <w:t>C</w:t>
      </w:r>
      <w:r>
        <w:rPr>
          <w:b/>
          <w:sz w:val="22"/>
        </w:rPr>
        <w:t>ontinue</w:t>
      </w:r>
      <w:r>
        <w:rPr>
          <w:b/>
          <w:spacing w:val="-10"/>
          <w:sz w:val="22"/>
        </w:rPr>
        <w:t> </w:t>
      </w:r>
      <w:r>
        <w:rPr>
          <w:b/>
          <w:sz w:val="22"/>
        </w:rPr>
        <w:t>to</w:t>
      </w:r>
      <w:r>
        <w:rPr>
          <w:b/>
          <w:spacing w:val="-9"/>
          <w:sz w:val="22"/>
        </w:rPr>
        <w:t> </w:t>
      </w:r>
      <w:r>
        <w:rPr>
          <w:b/>
          <w:sz w:val="22"/>
        </w:rPr>
        <w:t>increase</w:t>
      </w:r>
      <w:r>
        <w:rPr>
          <w:b/>
          <w:spacing w:val="-9"/>
          <w:sz w:val="22"/>
        </w:rPr>
        <w:t> </w:t>
      </w:r>
      <w:r>
        <w:rPr>
          <w:b/>
          <w:sz w:val="22"/>
        </w:rPr>
        <w:t>access</w:t>
      </w:r>
      <w:r>
        <w:rPr>
          <w:b/>
          <w:spacing w:val="-10"/>
          <w:sz w:val="22"/>
        </w:rPr>
        <w:t> </w:t>
      </w:r>
      <w:r>
        <w:rPr>
          <w:b/>
          <w:sz w:val="22"/>
        </w:rPr>
        <w:t>to</w:t>
      </w:r>
      <w:r>
        <w:rPr>
          <w:b/>
          <w:spacing w:val="-10"/>
          <w:sz w:val="22"/>
        </w:rPr>
        <w:t> </w:t>
      </w:r>
      <w:r>
        <w:rPr>
          <w:b/>
          <w:sz w:val="22"/>
        </w:rPr>
        <w:t>sexually</w:t>
      </w:r>
      <w:r>
        <w:rPr>
          <w:b/>
          <w:spacing w:val="-8"/>
          <w:sz w:val="22"/>
        </w:rPr>
        <w:t> </w:t>
      </w:r>
      <w:r>
        <w:rPr>
          <w:b/>
          <w:sz w:val="22"/>
        </w:rPr>
        <w:t>transmitted</w:t>
      </w:r>
      <w:r>
        <w:rPr>
          <w:b/>
          <w:spacing w:val="-8"/>
          <w:sz w:val="22"/>
        </w:rPr>
        <w:t> </w:t>
      </w:r>
      <w:r>
        <w:rPr>
          <w:b/>
          <w:sz w:val="22"/>
        </w:rPr>
        <w:t>infection</w:t>
      </w:r>
      <w:r>
        <w:rPr>
          <w:b/>
          <w:spacing w:val="-9"/>
          <w:sz w:val="22"/>
        </w:rPr>
        <w:t> </w:t>
      </w:r>
      <w:r>
        <w:rPr>
          <w:b/>
          <w:sz w:val="22"/>
        </w:rPr>
        <w:t>screenings,</w:t>
      </w:r>
      <w:r>
        <w:rPr>
          <w:b/>
          <w:spacing w:val="-10"/>
          <w:sz w:val="22"/>
        </w:rPr>
        <w:t> </w:t>
      </w:r>
      <w:r>
        <w:rPr>
          <w:b/>
          <w:sz w:val="22"/>
        </w:rPr>
        <w:t>prevention,</w:t>
      </w:r>
      <w:r>
        <w:rPr>
          <w:b/>
          <w:spacing w:val="-9"/>
          <w:sz w:val="22"/>
        </w:rPr>
        <w:t> </w:t>
      </w:r>
      <w:r>
        <w:rPr>
          <w:b/>
          <w:sz w:val="22"/>
        </w:rPr>
        <w:t>and</w:t>
      </w:r>
      <w:r>
        <w:rPr>
          <w:b/>
          <w:spacing w:val="-10"/>
          <w:sz w:val="22"/>
        </w:rPr>
        <w:t> </w:t>
      </w:r>
      <w:r>
        <w:rPr>
          <w:b/>
          <w:spacing w:val="-2"/>
          <w:sz w:val="22"/>
        </w:rPr>
        <w:t>treatment.</w:t>
      </w:r>
    </w:p>
    <w:p>
      <w:pPr>
        <w:pStyle w:val="BodyText"/>
        <w:spacing w:before="11"/>
        <w:rPr>
          <w:b/>
        </w:rPr>
      </w:pPr>
    </w:p>
    <w:p>
      <w:pPr>
        <w:pStyle w:val="BodyText"/>
        <w:spacing w:line="276" w:lineRule="auto" w:before="1"/>
        <w:ind w:left="463" w:right="282"/>
        <w:jc w:val="both"/>
      </w:pPr>
      <w:r>
        <w:rPr/>
        <w:t>The Commission appreciates the dedication that Massachusetts policymakers, agencies, and advocates have given to increasing access to PrEP and PEP for LGBTQ youth across the state; HIV rates have continued to lower for Massachusetts youth aged 0-29 over the last decade. However, other STI transmission</w:t>
      </w:r>
      <w:r>
        <w:rPr>
          <w:spacing w:val="-3"/>
        </w:rPr>
        <w:t> </w:t>
      </w:r>
      <w:r>
        <w:rPr/>
        <w:t>rates</w:t>
      </w:r>
      <w:r>
        <w:rPr>
          <w:spacing w:val="-4"/>
        </w:rPr>
        <w:t> </w:t>
      </w:r>
      <w:r>
        <w:rPr/>
        <w:t>have</w:t>
      </w:r>
      <w:r>
        <w:rPr>
          <w:spacing w:val="-3"/>
        </w:rPr>
        <w:t> </w:t>
      </w:r>
      <w:r>
        <w:rPr/>
        <w:t>risen</w:t>
      </w:r>
      <w:r>
        <w:rPr>
          <w:spacing w:val="-4"/>
        </w:rPr>
        <w:t> </w:t>
      </w:r>
      <w:r>
        <w:rPr/>
        <w:t>for</w:t>
      </w:r>
      <w:r>
        <w:rPr>
          <w:spacing w:val="-3"/>
        </w:rPr>
        <w:t> </w:t>
      </w:r>
      <w:r>
        <w:rPr/>
        <w:t>youth</w:t>
      </w:r>
      <w:r>
        <w:rPr>
          <w:spacing w:val="-2"/>
        </w:rPr>
        <w:t> </w:t>
      </w:r>
      <w:r>
        <w:rPr/>
        <w:t>across</w:t>
      </w:r>
      <w:r>
        <w:rPr>
          <w:spacing w:val="-4"/>
        </w:rPr>
        <w:t> </w:t>
      </w:r>
      <w:r>
        <w:rPr/>
        <w:t>the</w:t>
      </w:r>
      <w:r>
        <w:rPr>
          <w:spacing w:val="-3"/>
        </w:rPr>
        <w:t> </w:t>
      </w:r>
      <w:r>
        <w:rPr/>
        <w:t>Commonwealth,</w:t>
      </w:r>
      <w:r>
        <w:rPr>
          <w:spacing w:val="-4"/>
        </w:rPr>
        <w:t> </w:t>
      </w:r>
      <w:r>
        <w:rPr/>
        <w:t>and</w:t>
      </w:r>
      <w:r>
        <w:rPr>
          <w:spacing w:val="-3"/>
        </w:rPr>
        <w:t> </w:t>
      </w:r>
      <w:r>
        <w:rPr/>
        <w:t>barriers</w:t>
      </w:r>
      <w:r>
        <w:rPr>
          <w:spacing w:val="-2"/>
        </w:rPr>
        <w:t> </w:t>
      </w:r>
      <w:r>
        <w:rPr/>
        <w:t>to</w:t>
      </w:r>
      <w:r>
        <w:rPr>
          <w:spacing w:val="-2"/>
        </w:rPr>
        <w:t> </w:t>
      </w:r>
      <w:r>
        <w:rPr/>
        <w:t>accessing</w:t>
      </w:r>
      <w:r>
        <w:rPr>
          <w:spacing w:val="-2"/>
        </w:rPr>
        <w:t> </w:t>
      </w:r>
      <w:r>
        <w:rPr/>
        <w:t>prevention and screening for HIV continues to occur. The Commission recommends that the state boost its partnerships with community organizations to create more grantee and sub-grantee agreements to increase access to screening and prescriptions for PrEP and PEP. While the focus should be holistic, we are</w:t>
      </w:r>
      <w:r>
        <w:rPr>
          <w:spacing w:val="-11"/>
        </w:rPr>
        <w:t> </w:t>
      </w:r>
      <w:r>
        <w:rPr/>
        <w:t>seeing</w:t>
      </w:r>
      <w:r>
        <w:rPr>
          <w:spacing w:val="-10"/>
        </w:rPr>
        <w:t> </w:t>
      </w:r>
      <w:r>
        <w:rPr/>
        <w:t>a</w:t>
      </w:r>
      <w:r>
        <w:rPr>
          <w:spacing w:val="-11"/>
        </w:rPr>
        <w:t> </w:t>
      </w:r>
      <w:r>
        <w:rPr/>
        <w:t>rise</w:t>
      </w:r>
      <w:r>
        <w:rPr>
          <w:spacing w:val="-11"/>
        </w:rPr>
        <w:t> </w:t>
      </w:r>
      <w:r>
        <w:rPr/>
        <w:t>in</w:t>
      </w:r>
      <w:r>
        <w:rPr>
          <w:spacing w:val="-10"/>
        </w:rPr>
        <w:t> </w:t>
      </w:r>
      <w:r>
        <w:rPr/>
        <w:t>STI</w:t>
      </w:r>
      <w:r>
        <w:rPr>
          <w:spacing w:val="-10"/>
        </w:rPr>
        <w:t> </w:t>
      </w:r>
      <w:r>
        <w:rPr/>
        <w:t>rates</w:t>
      </w:r>
      <w:r>
        <w:rPr>
          <w:spacing w:val="-10"/>
        </w:rPr>
        <w:t> </w:t>
      </w:r>
      <w:r>
        <w:rPr/>
        <w:t>in</w:t>
      </w:r>
      <w:r>
        <w:rPr>
          <w:spacing w:val="-10"/>
        </w:rPr>
        <w:t> </w:t>
      </w:r>
      <w:r>
        <w:rPr/>
        <w:t>the</w:t>
      </w:r>
      <w:r>
        <w:rPr>
          <w:spacing w:val="-10"/>
        </w:rPr>
        <w:t> </w:t>
      </w:r>
      <w:r>
        <w:rPr/>
        <w:t>LGBTQ</w:t>
      </w:r>
      <w:r>
        <w:rPr>
          <w:spacing w:val="-10"/>
        </w:rPr>
        <w:t> </w:t>
      </w:r>
      <w:r>
        <w:rPr/>
        <w:t>community</w:t>
      </w:r>
      <w:r>
        <w:rPr>
          <w:spacing w:val="-10"/>
        </w:rPr>
        <w:t> </w:t>
      </w:r>
      <w:r>
        <w:rPr/>
        <w:t>across</w:t>
      </w:r>
      <w:r>
        <w:rPr>
          <w:spacing w:val="-11"/>
        </w:rPr>
        <w:t> </w:t>
      </w:r>
      <w:r>
        <w:rPr/>
        <w:t>the</w:t>
      </w:r>
      <w:r>
        <w:rPr>
          <w:spacing w:val="-10"/>
        </w:rPr>
        <w:t> </w:t>
      </w:r>
      <w:r>
        <w:rPr/>
        <w:t>Commonwealth</w:t>
      </w:r>
      <w:r>
        <w:rPr>
          <w:spacing w:val="-10"/>
        </w:rPr>
        <w:t> </w:t>
      </w:r>
      <w:r>
        <w:rPr/>
        <w:t>and</w:t>
      </w:r>
      <w:r>
        <w:rPr>
          <w:spacing w:val="-10"/>
        </w:rPr>
        <w:t> </w:t>
      </w:r>
      <w:r>
        <w:rPr/>
        <w:t>therefore</w:t>
      </w:r>
      <w:r>
        <w:rPr>
          <w:spacing w:val="-11"/>
        </w:rPr>
        <w:t> </w:t>
      </w:r>
      <w:r>
        <w:rPr/>
        <w:t>resources should not be diverted from meaningful STI screening, prevention, and treatment.</w:t>
      </w:r>
    </w:p>
    <w:p>
      <w:pPr>
        <w:spacing w:before="240"/>
        <w:ind w:left="463" w:right="0" w:firstLine="0"/>
        <w:jc w:val="both"/>
        <w:rPr>
          <w:sz w:val="28"/>
        </w:rPr>
      </w:pPr>
      <w:bookmarkStart w:name="Research: Destigmatizing Public Health &amp;" w:id="197"/>
      <w:bookmarkEnd w:id="197"/>
      <w:r>
        <w:rPr/>
      </w:r>
      <w:r>
        <w:rPr>
          <w:color w:val="365F91"/>
          <w:sz w:val="28"/>
        </w:rPr>
        <w:t>Research:</w:t>
      </w:r>
      <w:r>
        <w:rPr>
          <w:color w:val="365F91"/>
          <w:spacing w:val="-11"/>
          <w:sz w:val="28"/>
        </w:rPr>
        <w:t> </w:t>
      </w:r>
      <w:r>
        <w:rPr>
          <w:color w:val="365F91"/>
          <w:sz w:val="28"/>
        </w:rPr>
        <w:t>Destigmatizing</w:t>
      </w:r>
      <w:r>
        <w:rPr>
          <w:color w:val="365F91"/>
          <w:spacing w:val="-12"/>
          <w:sz w:val="28"/>
        </w:rPr>
        <w:t> </w:t>
      </w:r>
      <w:r>
        <w:rPr>
          <w:color w:val="365F91"/>
          <w:sz w:val="28"/>
        </w:rPr>
        <w:t>Public</w:t>
      </w:r>
      <w:r>
        <w:rPr>
          <w:color w:val="365F91"/>
          <w:spacing w:val="-13"/>
          <w:sz w:val="28"/>
        </w:rPr>
        <w:t> </w:t>
      </w:r>
      <w:r>
        <w:rPr>
          <w:color w:val="365F91"/>
          <w:sz w:val="28"/>
        </w:rPr>
        <w:t>Health</w:t>
      </w:r>
      <w:r>
        <w:rPr>
          <w:color w:val="365F91"/>
          <w:spacing w:val="-12"/>
          <w:sz w:val="28"/>
        </w:rPr>
        <w:t> </w:t>
      </w:r>
      <w:r>
        <w:rPr>
          <w:color w:val="365F91"/>
          <w:sz w:val="28"/>
        </w:rPr>
        <w:t>&amp;</w:t>
      </w:r>
      <w:r>
        <w:rPr>
          <w:color w:val="365F91"/>
          <w:spacing w:val="-12"/>
          <w:sz w:val="28"/>
        </w:rPr>
        <w:t> </w:t>
      </w:r>
      <w:r>
        <w:rPr>
          <w:color w:val="365F91"/>
          <w:spacing w:val="-2"/>
          <w:sz w:val="28"/>
        </w:rPr>
        <w:t>Interventions</w:t>
      </w:r>
    </w:p>
    <w:p>
      <w:pPr>
        <w:pStyle w:val="BodyText"/>
        <w:spacing w:before="10"/>
        <w:rPr>
          <w:sz w:val="3"/>
        </w:rPr>
      </w:pPr>
      <w:r>
        <w:rPr/>
        <mc:AlternateContent>
          <mc:Choice Requires="wps">
            <w:drawing>
              <wp:anchor distT="0" distB="0" distL="0" distR="0" allowOverlap="1" layoutInCell="1" locked="0" behindDoc="1" simplePos="0" relativeHeight="487610368">
                <wp:simplePos x="0" y="0"/>
                <wp:positionH relativeFrom="page">
                  <wp:posOffset>897636</wp:posOffset>
                </wp:positionH>
                <wp:positionV relativeFrom="paragraph">
                  <wp:posOffset>44899</wp:posOffset>
                </wp:positionV>
                <wp:extent cx="5932170" cy="635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5932170" cy="6350"/>
                        </a:xfrm>
                        <a:custGeom>
                          <a:avLst/>
                          <a:gdLst/>
                          <a:ahLst/>
                          <a:cxnLst/>
                          <a:rect l="l" t="t" r="r" b="b"/>
                          <a:pathLst>
                            <a:path w="5932170" h="6350">
                              <a:moveTo>
                                <a:pt x="5932170" y="0"/>
                              </a:moveTo>
                              <a:lnTo>
                                <a:pt x="0" y="0"/>
                              </a:lnTo>
                              <a:lnTo>
                                <a:pt x="0" y="6096"/>
                              </a:lnTo>
                              <a:lnTo>
                                <a:pt x="5932170" y="6096"/>
                              </a:lnTo>
                              <a:lnTo>
                                <a:pt x="593217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543pt;width:467.1pt;height:.48pt;mso-position-horizontal-relative:page;mso-position-vertical-relative:paragraph;z-index:-15706112;mso-wrap-distance-left:0;mso-wrap-distance-right:0" id="docshape154" filled="true" fillcolor="#4f81bc" stroked="false">
                <v:fill type="solid"/>
                <w10:wrap type="topAndBottom"/>
              </v:rect>
            </w:pict>
          </mc:Fallback>
        </mc:AlternateContent>
      </w:r>
    </w:p>
    <w:p>
      <w:pPr>
        <w:pStyle w:val="BodyText"/>
        <w:spacing w:line="276" w:lineRule="auto" w:before="241"/>
        <w:ind w:left="463" w:right="283"/>
        <w:jc w:val="both"/>
      </w:pPr>
      <w:bookmarkStart w:name="_bookmark79" w:id="198"/>
      <w:bookmarkEnd w:id="198"/>
      <w:r>
        <w:rPr/>
      </w:r>
      <w:r>
        <w:rPr/>
        <w:t>The</w:t>
      </w:r>
      <w:r>
        <w:rPr>
          <w:spacing w:val="-4"/>
        </w:rPr>
        <w:t> </w:t>
      </w:r>
      <w:r>
        <w:rPr/>
        <w:t>social-ecological</w:t>
      </w:r>
      <w:r>
        <w:rPr>
          <w:spacing w:val="-4"/>
        </w:rPr>
        <w:t> </w:t>
      </w:r>
      <w:r>
        <w:rPr/>
        <w:t>model,</w:t>
      </w:r>
      <w:r>
        <w:rPr>
          <w:spacing w:val="-4"/>
        </w:rPr>
        <w:t> </w:t>
      </w:r>
      <w:r>
        <w:rPr/>
        <w:t>sometimes</w:t>
      </w:r>
      <w:r>
        <w:rPr>
          <w:spacing w:val="-4"/>
        </w:rPr>
        <w:t> </w:t>
      </w:r>
      <w:r>
        <w:rPr/>
        <w:t>known</w:t>
      </w:r>
      <w:r>
        <w:rPr>
          <w:spacing w:val="-4"/>
        </w:rPr>
        <w:t> </w:t>
      </w:r>
      <w:r>
        <w:rPr/>
        <w:t>as</w:t>
      </w:r>
      <w:r>
        <w:rPr>
          <w:spacing w:val="-4"/>
        </w:rPr>
        <w:t> </w:t>
      </w:r>
      <w:r>
        <w:rPr/>
        <w:t>the</w:t>
      </w:r>
      <w:r>
        <w:rPr>
          <w:spacing w:val="-4"/>
        </w:rPr>
        <w:t> </w:t>
      </w:r>
      <w:r>
        <w:rPr/>
        <w:t>socioecological</w:t>
      </w:r>
      <w:r>
        <w:rPr>
          <w:spacing w:val="-4"/>
        </w:rPr>
        <w:t> </w:t>
      </w:r>
      <w:r>
        <w:rPr/>
        <w:t>model</w:t>
      </w:r>
      <w:r>
        <w:rPr>
          <w:spacing w:val="-3"/>
        </w:rPr>
        <w:t> </w:t>
      </w:r>
      <w:r>
        <w:rPr/>
        <w:t>or</w:t>
      </w:r>
      <w:r>
        <w:rPr>
          <w:spacing w:val="-4"/>
        </w:rPr>
        <w:t> </w:t>
      </w:r>
      <w:r>
        <w:rPr/>
        <w:t>SEM,</w:t>
      </w:r>
      <w:r>
        <w:rPr>
          <w:spacing w:val="-4"/>
        </w:rPr>
        <w:t> </w:t>
      </w:r>
      <w:r>
        <w:rPr/>
        <w:t>is</w:t>
      </w:r>
      <w:r>
        <w:rPr>
          <w:spacing w:val="-4"/>
        </w:rPr>
        <w:t> </w:t>
      </w:r>
      <w:r>
        <w:rPr/>
        <w:t>becoming</w:t>
      </w:r>
      <w:r>
        <w:rPr>
          <w:spacing w:val="-4"/>
        </w:rPr>
        <w:t> </w:t>
      </w:r>
      <w:r>
        <w:rPr/>
        <w:t>one</w:t>
      </w:r>
      <w:r>
        <w:rPr>
          <w:spacing w:val="-4"/>
        </w:rPr>
        <w:t> </w:t>
      </w:r>
      <w:r>
        <w:rPr/>
        <w:t>of the most popular models of public health intervention strategy within the field. Proposed in 1998 by McLeroy,</w:t>
      </w:r>
      <w:r>
        <w:rPr>
          <w:spacing w:val="-1"/>
        </w:rPr>
        <w:t> </w:t>
      </w:r>
      <w:r>
        <w:rPr/>
        <w:t>Bibeau,</w:t>
      </w:r>
      <w:r>
        <w:rPr>
          <w:spacing w:val="-1"/>
        </w:rPr>
        <w:t> </w:t>
      </w:r>
      <w:r>
        <w:rPr/>
        <w:t>Steckler, and</w:t>
      </w:r>
      <w:r>
        <w:rPr>
          <w:spacing w:val="-1"/>
        </w:rPr>
        <w:t> </w:t>
      </w:r>
      <w:r>
        <w:rPr/>
        <w:t>Glanz</w:t>
      </w:r>
      <w:hyperlink w:history="true" w:anchor="_bookmark79">
        <w:r>
          <w:rPr/>
          <w:t>,</w:t>
        </w:r>
        <w:r>
          <w:rPr>
            <w:vertAlign w:val="superscript"/>
          </w:rPr>
          <w:t>4</w:t>
        </w:r>
      </w:hyperlink>
      <w:r>
        <w:rPr>
          <w:spacing w:val="-1"/>
          <w:vertAlign w:val="baseline"/>
        </w:rPr>
        <w:t> </w:t>
      </w:r>
      <w:r>
        <w:rPr>
          <w:vertAlign w:val="baseline"/>
        </w:rPr>
        <w:t>the</w:t>
      </w:r>
      <w:r>
        <w:rPr>
          <w:spacing w:val="-2"/>
          <w:vertAlign w:val="baseline"/>
        </w:rPr>
        <w:t> </w:t>
      </w:r>
      <w:r>
        <w:rPr>
          <w:vertAlign w:val="baseline"/>
        </w:rPr>
        <w:t>SEM</w:t>
      </w:r>
      <w:r>
        <w:rPr>
          <w:spacing w:val="-1"/>
          <w:vertAlign w:val="baseline"/>
        </w:rPr>
        <w:t> </w:t>
      </w:r>
      <w:r>
        <w:rPr>
          <w:vertAlign w:val="baseline"/>
        </w:rPr>
        <w:t>proposes</w:t>
      </w:r>
      <w:r>
        <w:rPr>
          <w:spacing w:val="-1"/>
          <w:vertAlign w:val="baseline"/>
        </w:rPr>
        <w:t> </w:t>
      </w:r>
      <w:r>
        <w:rPr>
          <w:vertAlign w:val="baseline"/>
        </w:rPr>
        <w:t>that</w:t>
      </w:r>
      <w:r>
        <w:rPr>
          <w:spacing w:val="-2"/>
          <w:vertAlign w:val="baseline"/>
        </w:rPr>
        <w:t> </w:t>
      </w:r>
      <w:r>
        <w:rPr>
          <w:vertAlign w:val="baseline"/>
        </w:rPr>
        <w:t>health</w:t>
      </w:r>
      <w:r>
        <w:rPr>
          <w:spacing w:val="-2"/>
          <w:vertAlign w:val="baseline"/>
        </w:rPr>
        <w:t> </w:t>
      </w:r>
      <w:r>
        <w:rPr>
          <w:vertAlign w:val="baseline"/>
        </w:rPr>
        <w:t>is</w:t>
      </w:r>
      <w:r>
        <w:rPr>
          <w:spacing w:val="-1"/>
          <w:vertAlign w:val="baseline"/>
        </w:rPr>
        <w:t> </w:t>
      </w:r>
      <w:r>
        <w:rPr>
          <w:vertAlign w:val="baseline"/>
        </w:rPr>
        <w:t>not</w:t>
      </w:r>
      <w:r>
        <w:rPr>
          <w:spacing w:val="-1"/>
          <w:vertAlign w:val="baseline"/>
        </w:rPr>
        <w:t> </w:t>
      </w:r>
      <w:r>
        <w:rPr>
          <w:vertAlign w:val="baseline"/>
        </w:rPr>
        <w:t>solely</w:t>
      </w:r>
      <w:r>
        <w:rPr>
          <w:spacing w:val="-1"/>
          <w:vertAlign w:val="baseline"/>
        </w:rPr>
        <w:t> </w:t>
      </w:r>
      <w:r>
        <w:rPr>
          <w:vertAlign w:val="baseline"/>
        </w:rPr>
        <w:t>an</w:t>
      </w:r>
      <w:r>
        <w:rPr>
          <w:spacing w:val="-2"/>
          <w:vertAlign w:val="baseline"/>
        </w:rPr>
        <w:t> </w:t>
      </w:r>
      <w:r>
        <w:rPr>
          <w:vertAlign w:val="baseline"/>
        </w:rPr>
        <w:t>individual</w:t>
      </w:r>
      <w:r>
        <w:rPr>
          <w:spacing w:val="-2"/>
          <w:vertAlign w:val="baseline"/>
        </w:rPr>
        <w:t> </w:t>
      </w:r>
      <w:r>
        <w:rPr>
          <w:vertAlign w:val="baseline"/>
        </w:rPr>
        <w:t>concern, but rather a series of interwoven factors that influence an individual at interpersonal, institutional, community</w:t>
      </w:r>
      <w:r>
        <w:rPr>
          <w:spacing w:val="-13"/>
          <w:vertAlign w:val="baseline"/>
        </w:rPr>
        <w:t> </w:t>
      </w:r>
      <w:r>
        <w:rPr>
          <w:vertAlign w:val="baseline"/>
        </w:rPr>
        <w:t>and</w:t>
      </w:r>
      <w:r>
        <w:rPr>
          <w:spacing w:val="-12"/>
          <w:vertAlign w:val="baseline"/>
        </w:rPr>
        <w:t> </w:t>
      </w:r>
      <w:r>
        <w:rPr>
          <w:vertAlign w:val="baseline"/>
        </w:rPr>
        <w:t>societal</w:t>
      </w:r>
      <w:r>
        <w:rPr>
          <w:spacing w:val="-13"/>
          <w:vertAlign w:val="baseline"/>
        </w:rPr>
        <w:t> </w:t>
      </w:r>
      <w:r>
        <w:rPr>
          <w:vertAlign w:val="baseline"/>
        </w:rPr>
        <w:t>levels.</w:t>
      </w:r>
      <w:r>
        <w:rPr>
          <w:spacing w:val="-12"/>
          <w:vertAlign w:val="baseline"/>
        </w:rPr>
        <w:t> </w:t>
      </w:r>
      <w:r>
        <w:rPr>
          <w:vertAlign w:val="baseline"/>
        </w:rPr>
        <w:t>While</w:t>
      </w:r>
      <w:r>
        <w:rPr>
          <w:spacing w:val="-13"/>
          <w:vertAlign w:val="baseline"/>
        </w:rPr>
        <w:t> </w:t>
      </w:r>
      <w:r>
        <w:rPr>
          <w:vertAlign w:val="baseline"/>
        </w:rPr>
        <w:t>public</w:t>
      </w:r>
      <w:r>
        <w:rPr>
          <w:spacing w:val="-12"/>
          <w:vertAlign w:val="baseline"/>
        </w:rPr>
        <w:t> </w:t>
      </w:r>
      <w:r>
        <w:rPr>
          <w:vertAlign w:val="baseline"/>
        </w:rPr>
        <w:t>health</w:t>
      </w:r>
      <w:r>
        <w:rPr>
          <w:spacing w:val="-11"/>
          <w:vertAlign w:val="baseline"/>
        </w:rPr>
        <w:t> </w:t>
      </w:r>
      <w:r>
        <w:rPr>
          <w:vertAlign w:val="baseline"/>
        </w:rPr>
        <w:t>traditionally</w:t>
      </w:r>
      <w:r>
        <w:rPr>
          <w:spacing w:val="-13"/>
          <w:vertAlign w:val="baseline"/>
        </w:rPr>
        <w:t> </w:t>
      </w:r>
      <w:r>
        <w:rPr>
          <w:vertAlign w:val="baseline"/>
        </w:rPr>
        <w:t>focused</w:t>
      </w:r>
      <w:r>
        <w:rPr>
          <w:spacing w:val="-12"/>
          <w:vertAlign w:val="baseline"/>
        </w:rPr>
        <w:t> </w:t>
      </w:r>
      <w:r>
        <w:rPr>
          <w:vertAlign w:val="baseline"/>
        </w:rPr>
        <w:t>on</w:t>
      </w:r>
      <w:r>
        <w:rPr>
          <w:spacing w:val="-12"/>
          <w:vertAlign w:val="baseline"/>
        </w:rPr>
        <w:t> </w:t>
      </w:r>
      <w:r>
        <w:rPr>
          <w:vertAlign w:val="baseline"/>
        </w:rPr>
        <w:t>changing</w:t>
      </w:r>
      <w:r>
        <w:rPr>
          <w:spacing w:val="-13"/>
          <w:vertAlign w:val="baseline"/>
        </w:rPr>
        <w:t> </w:t>
      </w:r>
      <w:r>
        <w:rPr>
          <w:vertAlign w:val="baseline"/>
        </w:rPr>
        <w:t>individual</w:t>
      </w:r>
      <w:r>
        <w:rPr>
          <w:spacing w:val="-12"/>
          <w:vertAlign w:val="baseline"/>
        </w:rPr>
        <w:t> </w:t>
      </w:r>
      <w:r>
        <w:rPr>
          <w:vertAlign w:val="baseline"/>
        </w:rPr>
        <w:t>behaviors to promote health, practitioners began to realize that individual health could not be achieved without creating a supporting environment in which individual behaviors occur</w:t>
      </w:r>
      <w:hyperlink w:history="true" w:anchor="_bookmark79">
        <w:r>
          <w:rPr>
            <w:vertAlign w:val="baseline"/>
          </w:rPr>
          <w:t>.</w:t>
        </w:r>
        <w:r>
          <w:rPr>
            <w:vertAlign w:val="superscript"/>
          </w:rPr>
          <w:t>5</w:t>
        </w:r>
      </w:hyperlink>
      <w:r>
        <w:rPr>
          <w:vertAlign w:val="baseline"/>
        </w:rPr>
        <w:t> When creating public health interventions, it is often simply not enough to alter an individual’s behavior, but rather taking a holistic approach that investigates and remedies higher-order concerns may serve as a better and more sustainable solution</w:t>
      </w:r>
    </w:p>
    <w:p>
      <w:pPr>
        <w:spacing w:after="0" w:line="276" w:lineRule="auto"/>
        <w:jc w:val="both"/>
        <w:sectPr>
          <w:pgSz w:w="11910" w:h="16840"/>
          <w:pgMar w:header="804" w:footer="1230" w:top="1080" w:bottom="1480" w:left="980" w:right="90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3"/>
        <w:rPr>
          <w:sz w:val="14"/>
        </w:rPr>
      </w:pPr>
    </w:p>
    <w:p>
      <w:pPr>
        <w:spacing w:before="0"/>
        <w:ind w:left="0" w:right="281" w:firstLine="0"/>
        <w:jc w:val="right"/>
        <w:rPr>
          <w:sz w:val="14"/>
        </w:rPr>
      </w:pPr>
      <w:r>
        <w:rPr/>
        <w:drawing>
          <wp:anchor distT="0" distB="0" distL="0" distR="0" allowOverlap="1" layoutInCell="1" locked="0" behindDoc="0" simplePos="0" relativeHeight="15751680">
            <wp:simplePos x="0" y="0"/>
            <wp:positionH relativeFrom="page">
              <wp:posOffset>1068071</wp:posOffset>
            </wp:positionH>
            <wp:positionV relativeFrom="paragraph">
              <wp:posOffset>-2129159</wp:posOffset>
            </wp:positionV>
            <wp:extent cx="5363196" cy="2184252"/>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29" cstate="print"/>
                    <a:stretch>
                      <a:fillRect/>
                    </a:stretch>
                  </pic:blipFill>
                  <pic:spPr>
                    <a:xfrm>
                      <a:off x="0" y="0"/>
                      <a:ext cx="5363196" cy="2184252"/>
                    </a:xfrm>
                    <a:prstGeom prst="rect">
                      <a:avLst/>
                    </a:prstGeom>
                  </pic:spPr>
                </pic:pic>
              </a:graphicData>
            </a:graphic>
          </wp:anchor>
        </w:drawing>
      </w:r>
      <w:bookmarkStart w:name="_bookmark80" w:id="199"/>
      <w:bookmarkEnd w:id="199"/>
      <w:r>
        <w:rPr/>
      </w:r>
      <w:hyperlink w:history="true" w:anchor="_bookmark79">
        <w:r>
          <w:rPr>
            <w:spacing w:val="-10"/>
            <w:sz w:val="14"/>
          </w:rPr>
          <w:t>6</w:t>
        </w:r>
      </w:hyperlink>
    </w:p>
    <w:p>
      <w:pPr>
        <w:pStyle w:val="BodyText"/>
        <w:spacing w:before="334"/>
        <w:rPr>
          <w:sz w:val="28"/>
        </w:rPr>
      </w:pPr>
    </w:p>
    <w:p>
      <w:pPr>
        <w:spacing w:before="0"/>
        <w:ind w:left="463" w:right="0" w:firstLine="0"/>
        <w:jc w:val="both"/>
        <w:rPr>
          <w:sz w:val="28"/>
        </w:rPr>
      </w:pPr>
      <w:bookmarkStart w:name="Data Limitations" w:id="200"/>
      <w:bookmarkEnd w:id="200"/>
      <w:r>
        <w:rPr/>
      </w:r>
      <w:bookmarkStart w:name="_bookmark81" w:id="201"/>
      <w:bookmarkEnd w:id="201"/>
      <w:r>
        <w:rPr/>
      </w:r>
      <w:r>
        <w:rPr>
          <w:color w:val="365F91"/>
          <w:sz w:val="28"/>
        </w:rPr>
        <w:t>Data</w:t>
      </w:r>
      <w:r>
        <w:rPr>
          <w:color w:val="365F91"/>
          <w:spacing w:val="-8"/>
          <w:sz w:val="28"/>
        </w:rPr>
        <w:t> </w:t>
      </w:r>
      <w:r>
        <w:rPr>
          <w:color w:val="365F91"/>
          <w:spacing w:val="-2"/>
          <w:sz w:val="28"/>
        </w:rPr>
        <w:t>Limitations</w:t>
      </w:r>
    </w:p>
    <w:p>
      <w:pPr>
        <w:pStyle w:val="BodyText"/>
        <w:spacing w:line="276" w:lineRule="auto" w:before="241"/>
        <w:ind w:left="463" w:right="282"/>
        <w:jc w:val="both"/>
      </w:pPr>
      <w:bookmarkStart w:name="_bookmark82" w:id="202"/>
      <w:bookmarkEnd w:id="202"/>
      <w:r>
        <w:rPr/>
      </w:r>
      <w:r>
        <w:rPr/>
        <w:t>Unfortunately, when it comes to the health outcomes of LGBTQ youth, there are glaring data gaps in most</w:t>
      </w:r>
      <w:r>
        <w:rPr>
          <w:spacing w:val="-3"/>
        </w:rPr>
        <w:t> </w:t>
      </w:r>
      <w:r>
        <w:rPr/>
        <w:t>surveys</w:t>
      </w:r>
      <w:r>
        <w:rPr>
          <w:spacing w:val="-3"/>
        </w:rPr>
        <w:t> </w:t>
      </w:r>
      <w:r>
        <w:rPr/>
        <w:t>and</w:t>
      </w:r>
      <w:r>
        <w:rPr>
          <w:spacing w:val="-3"/>
        </w:rPr>
        <w:t> </w:t>
      </w:r>
      <w:r>
        <w:rPr/>
        <w:t>studies.</w:t>
      </w:r>
      <w:r>
        <w:rPr>
          <w:spacing w:val="-3"/>
        </w:rPr>
        <w:t> </w:t>
      </w:r>
      <w:r>
        <w:rPr/>
        <w:t>Few,</w:t>
      </w:r>
      <w:r>
        <w:rPr>
          <w:spacing w:val="-3"/>
        </w:rPr>
        <w:t> </w:t>
      </w:r>
      <w:r>
        <w:rPr/>
        <w:t>if</w:t>
      </w:r>
      <w:r>
        <w:rPr>
          <w:spacing w:val="-3"/>
        </w:rPr>
        <w:t> </w:t>
      </w:r>
      <w:r>
        <w:rPr/>
        <w:t>any,</w:t>
      </w:r>
      <w:r>
        <w:rPr>
          <w:spacing w:val="-3"/>
        </w:rPr>
        <w:t> </w:t>
      </w:r>
      <w:r>
        <w:rPr/>
        <w:t>surveys</w:t>
      </w:r>
      <w:r>
        <w:rPr>
          <w:spacing w:val="-3"/>
        </w:rPr>
        <w:t> </w:t>
      </w:r>
      <w:r>
        <w:rPr/>
        <w:t>include</w:t>
      </w:r>
      <w:r>
        <w:rPr>
          <w:spacing w:val="-3"/>
        </w:rPr>
        <w:t> </w:t>
      </w:r>
      <w:r>
        <w:rPr/>
        <w:t>data</w:t>
      </w:r>
      <w:r>
        <w:rPr>
          <w:spacing w:val="-3"/>
        </w:rPr>
        <w:t> </w:t>
      </w:r>
      <w:r>
        <w:rPr/>
        <w:t>about</w:t>
      </w:r>
      <w:r>
        <w:rPr>
          <w:spacing w:val="-3"/>
        </w:rPr>
        <w:t> </w:t>
      </w:r>
      <w:r>
        <w:rPr/>
        <w:t>intersex</w:t>
      </w:r>
      <w:r>
        <w:rPr>
          <w:spacing w:val="-3"/>
        </w:rPr>
        <w:t> </w:t>
      </w:r>
      <w:r>
        <w:rPr/>
        <w:t>youth</w:t>
      </w:r>
      <w:r>
        <w:rPr>
          <w:spacing w:val="-3"/>
        </w:rPr>
        <w:t> </w:t>
      </w:r>
      <w:r>
        <w:rPr/>
        <w:t>outside</w:t>
      </w:r>
      <w:r>
        <w:rPr>
          <w:spacing w:val="-3"/>
        </w:rPr>
        <w:t> </w:t>
      </w:r>
      <w:r>
        <w:rPr/>
        <w:t>of</w:t>
      </w:r>
      <w:r>
        <w:rPr>
          <w:spacing w:val="-3"/>
        </w:rPr>
        <w:t> </w:t>
      </w:r>
      <w:r>
        <w:rPr/>
        <w:t>a</w:t>
      </w:r>
      <w:r>
        <w:rPr>
          <w:spacing w:val="-2"/>
        </w:rPr>
        <w:t> </w:t>
      </w:r>
      <w:r>
        <w:rPr/>
        <w:t>biomedical and medicalized context. Aromantic, asexual, and pansexual youth are largely left out of survey data, although some organizations have begun to include a more inclusive array of sexualities for study participants to choose from. Most studies have a very small number of non-white participants. Data regarding disability and neurodiversity is rarely, if ever, collected in surveys. Many data sets simply do not consider the intersecting identities that LGBTQ youth may hold nor the intersecting systems of oppression</w:t>
      </w:r>
      <w:r>
        <w:rPr>
          <w:spacing w:val="-13"/>
        </w:rPr>
        <w:t> </w:t>
      </w:r>
      <w:r>
        <w:rPr/>
        <w:t>that</w:t>
      </w:r>
      <w:r>
        <w:rPr>
          <w:spacing w:val="-12"/>
        </w:rPr>
        <w:t> </w:t>
      </w:r>
      <w:r>
        <w:rPr/>
        <w:t>LGBTQ</w:t>
      </w:r>
      <w:r>
        <w:rPr>
          <w:spacing w:val="-13"/>
        </w:rPr>
        <w:t> </w:t>
      </w:r>
      <w:r>
        <w:rPr/>
        <w:t>youths</w:t>
      </w:r>
      <w:r>
        <w:rPr>
          <w:spacing w:val="-11"/>
        </w:rPr>
        <w:t> </w:t>
      </w:r>
      <w:r>
        <w:rPr/>
        <w:t>may</w:t>
      </w:r>
      <w:r>
        <w:rPr>
          <w:spacing w:val="-11"/>
        </w:rPr>
        <w:t> </w:t>
      </w:r>
      <w:r>
        <w:rPr/>
        <w:t>live</w:t>
      </w:r>
      <w:r>
        <w:rPr>
          <w:spacing w:val="-12"/>
        </w:rPr>
        <w:t> </w:t>
      </w:r>
      <w:r>
        <w:rPr/>
        <w:t>under.</w:t>
      </w:r>
      <w:r>
        <w:rPr>
          <w:spacing w:val="-12"/>
        </w:rPr>
        <w:t> </w:t>
      </w:r>
      <w:r>
        <w:rPr/>
        <w:t>LGBTQ</w:t>
      </w:r>
      <w:r>
        <w:rPr>
          <w:spacing w:val="-10"/>
        </w:rPr>
        <w:t> </w:t>
      </w:r>
      <w:r>
        <w:rPr/>
        <w:t>youths</w:t>
      </w:r>
      <w:r>
        <w:rPr>
          <w:spacing w:val="-12"/>
        </w:rPr>
        <w:t> </w:t>
      </w:r>
      <w:r>
        <w:rPr/>
        <w:t>are</w:t>
      </w:r>
      <w:r>
        <w:rPr>
          <w:spacing w:val="-12"/>
        </w:rPr>
        <w:t> </w:t>
      </w:r>
      <w:r>
        <w:rPr/>
        <w:t>often</w:t>
      </w:r>
      <w:r>
        <w:rPr>
          <w:spacing w:val="-12"/>
        </w:rPr>
        <w:t> </w:t>
      </w:r>
      <w:r>
        <w:rPr/>
        <w:t>treated</w:t>
      </w:r>
      <w:r>
        <w:rPr>
          <w:spacing w:val="-12"/>
        </w:rPr>
        <w:t> </w:t>
      </w:r>
      <w:r>
        <w:rPr/>
        <w:t>as</w:t>
      </w:r>
      <w:r>
        <w:rPr>
          <w:spacing w:val="-12"/>
        </w:rPr>
        <w:t> </w:t>
      </w:r>
      <w:r>
        <w:rPr/>
        <w:t>a</w:t>
      </w:r>
      <w:r>
        <w:rPr>
          <w:spacing w:val="-11"/>
        </w:rPr>
        <w:t> </w:t>
      </w:r>
      <w:r>
        <w:rPr/>
        <w:t>monolith,</w:t>
      </w:r>
      <w:r>
        <w:rPr>
          <w:spacing w:val="-10"/>
        </w:rPr>
        <w:t> </w:t>
      </w:r>
      <w:r>
        <w:rPr/>
        <w:t>rather</w:t>
      </w:r>
      <w:r>
        <w:rPr>
          <w:spacing w:val="-11"/>
        </w:rPr>
        <w:t> </w:t>
      </w:r>
      <w:r>
        <w:rPr/>
        <w:t>than a group of unique individuals with their own identities, risk factors, and protective factors.</w:t>
      </w:r>
    </w:p>
    <w:p>
      <w:pPr>
        <w:pStyle w:val="BodyText"/>
        <w:spacing w:line="276" w:lineRule="auto" w:before="240"/>
        <w:ind w:left="463" w:right="280"/>
        <w:jc w:val="both"/>
      </w:pPr>
      <w:bookmarkStart w:name="_bookmark83" w:id="203"/>
      <w:bookmarkEnd w:id="203"/>
      <w:r>
        <w:rPr/>
      </w:r>
      <w:r>
        <w:rPr/>
        <w:t>To</w:t>
      </w:r>
      <w:r>
        <w:rPr>
          <w:spacing w:val="-2"/>
        </w:rPr>
        <w:t> </w:t>
      </w:r>
      <w:r>
        <w:rPr/>
        <w:t>combat</w:t>
      </w:r>
      <w:r>
        <w:rPr>
          <w:spacing w:val="-2"/>
        </w:rPr>
        <w:t> </w:t>
      </w:r>
      <w:r>
        <w:rPr/>
        <w:t>these</w:t>
      </w:r>
      <w:r>
        <w:rPr>
          <w:spacing w:val="-3"/>
        </w:rPr>
        <w:t> </w:t>
      </w:r>
      <w:r>
        <w:rPr/>
        <w:t>gaps,</w:t>
      </w:r>
      <w:r>
        <w:rPr>
          <w:spacing w:val="-3"/>
        </w:rPr>
        <w:t> </w:t>
      </w:r>
      <w:r>
        <w:rPr/>
        <w:t>public</w:t>
      </w:r>
      <w:r>
        <w:rPr>
          <w:spacing w:val="-3"/>
        </w:rPr>
        <w:t> </w:t>
      </w:r>
      <w:r>
        <w:rPr/>
        <w:t>health</w:t>
      </w:r>
      <w:r>
        <w:rPr>
          <w:spacing w:val="-2"/>
        </w:rPr>
        <w:t> </w:t>
      </w:r>
      <w:r>
        <w:rPr/>
        <w:t>research</w:t>
      </w:r>
      <w:r>
        <w:rPr>
          <w:spacing w:val="-2"/>
        </w:rPr>
        <w:t> </w:t>
      </w:r>
      <w:r>
        <w:rPr/>
        <w:t>must</w:t>
      </w:r>
      <w:r>
        <w:rPr>
          <w:spacing w:val="-2"/>
        </w:rPr>
        <w:t> </w:t>
      </w:r>
      <w:r>
        <w:rPr/>
        <w:t>be</w:t>
      </w:r>
      <w:r>
        <w:rPr>
          <w:spacing w:val="-3"/>
        </w:rPr>
        <w:t> </w:t>
      </w:r>
      <w:r>
        <w:rPr/>
        <w:t>deliberate</w:t>
      </w:r>
      <w:r>
        <w:rPr>
          <w:spacing w:val="-2"/>
        </w:rPr>
        <w:t> </w:t>
      </w:r>
      <w:r>
        <w:rPr/>
        <w:t>in</w:t>
      </w:r>
      <w:r>
        <w:rPr>
          <w:spacing w:val="-3"/>
        </w:rPr>
        <w:t> </w:t>
      </w:r>
      <w:r>
        <w:rPr/>
        <w:t>its</w:t>
      </w:r>
      <w:r>
        <w:rPr>
          <w:spacing w:val="-1"/>
        </w:rPr>
        <w:t> </w:t>
      </w:r>
      <w:r>
        <w:rPr/>
        <w:t>data</w:t>
      </w:r>
      <w:r>
        <w:rPr>
          <w:spacing w:val="-1"/>
        </w:rPr>
        <w:t> </w:t>
      </w:r>
      <w:r>
        <w:rPr/>
        <w:t>collection.</w:t>
      </w:r>
      <w:r>
        <w:rPr>
          <w:spacing w:val="-2"/>
        </w:rPr>
        <w:t> </w:t>
      </w:r>
      <w:r>
        <w:rPr/>
        <w:t>There</w:t>
      </w:r>
      <w:r>
        <w:rPr>
          <w:spacing w:val="-2"/>
        </w:rPr>
        <w:t> </w:t>
      </w:r>
      <w:r>
        <w:rPr/>
        <w:t>are</w:t>
      </w:r>
      <w:r>
        <w:rPr>
          <w:spacing w:val="-3"/>
        </w:rPr>
        <w:t> </w:t>
      </w:r>
      <w:r>
        <w:rPr/>
        <w:t>several professional and non-profit organizations that have produced recommendations, including the Juvenile Justice Policy and Data Board</w:t>
      </w:r>
      <w:hyperlink w:history="true" w:anchor="_bookmark79">
        <w:r>
          <w:rPr/>
          <w:t>,</w:t>
        </w:r>
        <w:r>
          <w:rPr>
            <w:vertAlign w:val="superscript"/>
          </w:rPr>
          <w:t>7</w:t>
        </w:r>
      </w:hyperlink>
      <w:r>
        <w:rPr>
          <w:vertAlign w:val="baseline"/>
        </w:rPr>
        <w:t> the Human Rights Campaign,</w:t>
      </w:r>
      <w:r>
        <w:rPr>
          <w:vertAlign w:val="superscript"/>
        </w:rPr>
        <w:t>8</w:t>
      </w:r>
      <w:r>
        <w:rPr>
          <w:vertAlign w:val="baseline"/>
        </w:rPr>
        <w:t> and the National LGBTQIA+ Health Education Center. </w:t>
      </w:r>
      <w:hyperlink w:history="true" w:anchor="_bookmark80">
        <w:r>
          <w:rPr>
            <w:vertAlign w:val="superscript"/>
          </w:rPr>
          <w:t>9</w:t>
        </w:r>
      </w:hyperlink>
      <w:r>
        <w:rPr>
          <w:vertAlign w:val="baseline"/>
        </w:rPr>
        <w:t> Beyond just collecting SOGIE (sexual orientation and gender identity/expression) data, it is also extremely important to collect data regarding program participation.</w:t>
      </w:r>
    </w:p>
    <w:p>
      <w:pPr>
        <w:pStyle w:val="BodyText"/>
        <w:spacing w:before="11"/>
      </w:pPr>
    </w:p>
    <w:p>
      <w:pPr>
        <w:spacing w:before="0"/>
        <w:ind w:left="180" w:right="1" w:firstLine="0"/>
        <w:jc w:val="center"/>
        <w:rPr>
          <w:sz w:val="24"/>
        </w:rPr>
      </w:pPr>
      <w:bookmarkStart w:name="_bookmark84" w:id="204"/>
      <w:bookmarkEnd w:id="204"/>
      <w:r>
        <w:rPr/>
      </w:r>
      <w:r>
        <w:rPr>
          <w:color w:val="0F6DC5"/>
          <w:sz w:val="24"/>
        </w:rPr>
        <w:t>Which</w:t>
      </w:r>
      <w:r>
        <w:rPr>
          <w:color w:val="0F6DC5"/>
          <w:spacing w:val="-5"/>
          <w:sz w:val="24"/>
        </w:rPr>
        <w:t> </w:t>
      </w:r>
      <w:r>
        <w:rPr>
          <w:color w:val="0F6DC5"/>
          <w:sz w:val="24"/>
        </w:rPr>
        <w:t>youths</w:t>
      </w:r>
      <w:r>
        <w:rPr>
          <w:color w:val="0F6DC5"/>
          <w:spacing w:val="-3"/>
          <w:sz w:val="24"/>
        </w:rPr>
        <w:t> </w:t>
      </w:r>
      <w:r>
        <w:rPr>
          <w:color w:val="0F6DC5"/>
          <w:sz w:val="24"/>
        </w:rPr>
        <w:t>are</w:t>
      </w:r>
      <w:r>
        <w:rPr>
          <w:color w:val="0F6DC5"/>
          <w:spacing w:val="-1"/>
          <w:sz w:val="24"/>
        </w:rPr>
        <w:t> </w:t>
      </w:r>
      <w:r>
        <w:rPr>
          <w:color w:val="0F6DC5"/>
          <w:sz w:val="24"/>
        </w:rPr>
        <w:t>engaging</w:t>
      </w:r>
      <w:r>
        <w:rPr>
          <w:color w:val="0F6DC5"/>
          <w:spacing w:val="-3"/>
          <w:sz w:val="24"/>
        </w:rPr>
        <w:t> </w:t>
      </w:r>
      <w:r>
        <w:rPr>
          <w:color w:val="0F6DC5"/>
          <w:sz w:val="24"/>
        </w:rPr>
        <w:t>in</w:t>
      </w:r>
      <w:r>
        <w:rPr>
          <w:color w:val="0F6DC5"/>
          <w:spacing w:val="-2"/>
          <w:sz w:val="24"/>
        </w:rPr>
        <w:t> </w:t>
      </w:r>
      <w:r>
        <w:rPr>
          <w:color w:val="0F6DC5"/>
          <w:sz w:val="24"/>
        </w:rPr>
        <w:t>public</w:t>
      </w:r>
      <w:r>
        <w:rPr>
          <w:color w:val="0F6DC5"/>
          <w:spacing w:val="-2"/>
          <w:sz w:val="24"/>
        </w:rPr>
        <w:t> </w:t>
      </w:r>
      <w:r>
        <w:rPr>
          <w:color w:val="0F6DC5"/>
          <w:sz w:val="24"/>
        </w:rPr>
        <w:t>health</w:t>
      </w:r>
      <w:r>
        <w:rPr>
          <w:color w:val="0F6DC5"/>
          <w:spacing w:val="-2"/>
          <w:sz w:val="24"/>
        </w:rPr>
        <w:t> programming?</w:t>
      </w:r>
    </w:p>
    <w:p>
      <w:pPr>
        <w:pStyle w:val="BodyText"/>
        <w:spacing w:before="17"/>
        <w:rPr>
          <w:sz w:val="24"/>
        </w:rPr>
      </w:pPr>
    </w:p>
    <w:p>
      <w:pPr>
        <w:spacing w:before="0"/>
        <w:ind w:left="180" w:right="0" w:firstLine="0"/>
        <w:jc w:val="center"/>
        <w:rPr>
          <w:sz w:val="24"/>
        </w:rPr>
      </w:pPr>
      <w:bookmarkStart w:name="_bookmark85" w:id="205"/>
      <w:bookmarkEnd w:id="205"/>
      <w:r>
        <w:rPr/>
      </w:r>
      <w:r>
        <w:rPr>
          <w:color w:val="0F6DC5"/>
          <w:sz w:val="24"/>
        </w:rPr>
        <w:t>Which</w:t>
      </w:r>
      <w:r>
        <w:rPr>
          <w:color w:val="0F6DC5"/>
          <w:spacing w:val="-3"/>
          <w:sz w:val="24"/>
        </w:rPr>
        <w:t> </w:t>
      </w:r>
      <w:r>
        <w:rPr>
          <w:color w:val="0F6DC5"/>
          <w:sz w:val="24"/>
        </w:rPr>
        <w:t>youths</w:t>
      </w:r>
      <w:r>
        <w:rPr>
          <w:color w:val="0F6DC5"/>
          <w:spacing w:val="-2"/>
          <w:sz w:val="24"/>
        </w:rPr>
        <w:t> </w:t>
      </w:r>
      <w:r>
        <w:rPr>
          <w:color w:val="0F6DC5"/>
          <w:sz w:val="24"/>
        </w:rPr>
        <w:t>are</w:t>
      </w:r>
      <w:r>
        <w:rPr>
          <w:color w:val="0F6DC5"/>
          <w:spacing w:val="-1"/>
          <w:sz w:val="24"/>
        </w:rPr>
        <w:t> </w:t>
      </w:r>
      <w:r>
        <w:rPr>
          <w:color w:val="0F6DC5"/>
          <w:sz w:val="24"/>
        </w:rPr>
        <w:t>falling</w:t>
      </w:r>
      <w:r>
        <w:rPr>
          <w:color w:val="0F6DC5"/>
          <w:spacing w:val="-3"/>
          <w:sz w:val="24"/>
        </w:rPr>
        <w:t> </w:t>
      </w:r>
      <w:r>
        <w:rPr>
          <w:color w:val="0F6DC5"/>
          <w:sz w:val="24"/>
        </w:rPr>
        <w:t>through</w:t>
      </w:r>
      <w:r>
        <w:rPr>
          <w:color w:val="0F6DC5"/>
          <w:spacing w:val="-2"/>
          <w:sz w:val="24"/>
        </w:rPr>
        <w:t> </w:t>
      </w:r>
      <w:r>
        <w:rPr>
          <w:color w:val="0F6DC5"/>
          <w:sz w:val="24"/>
        </w:rPr>
        <w:t>the</w:t>
      </w:r>
      <w:r>
        <w:rPr>
          <w:color w:val="0F6DC5"/>
          <w:spacing w:val="-1"/>
          <w:sz w:val="24"/>
        </w:rPr>
        <w:t> </w:t>
      </w:r>
      <w:r>
        <w:rPr>
          <w:color w:val="0F6DC5"/>
          <w:spacing w:val="-2"/>
          <w:sz w:val="24"/>
        </w:rPr>
        <w:t>cracks?</w:t>
      </w:r>
    </w:p>
    <w:p>
      <w:pPr>
        <w:pStyle w:val="BodyText"/>
        <w:spacing w:before="4"/>
        <w:rPr>
          <w:sz w:val="24"/>
        </w:rPr>
      </w:pPr>
    </w:p>
    <w:p>
      <w:pPr>
        <w:pStyle w:val="BodyText"/>
        <w:spacing w:line="276" w:lineRule="auto"/>
        <w:ind w:left="463" w:right="281"/>
        <w:jc w:val="both"/>
      </w:pPr>
      <w:bookmarkStart w:name="_bookmark86" w:id="206"/>
      <w:bookmarkEnd w:id="206"/>
      <w:r>
        <w:rPr/>
      </w:r>
      <w:r>
        <w:rPr/>
        <w:t>Without capturing this vital data, it is incredibly difficult to understand whether interventions and resources are appropriately serving LGBTQ youth. Without knowing this information, public health practitioners cannot successfully implement improved interventions. Of course, </w:t>
      </w:r>
      <w:r>
        <w:rPr>
          <w:color w:val="000000"/>
          <w:shd w:fill="FAFAFA" w:color="auto" w:val="clear"/>
        </w:rPr>
        <w:t>not every</w:t>
      </w:r>
      <w:r>
        <w:rPr>
          <w:color w:val="000000"/>
        </w:rPr>
        <w:t> </w:t>
      </w:r>
      <w:r>
        <w:rPr>
          <w:color w:val="000000"/>
          <w:shd w:fill="FAFAFA" w:color="auto" w:val="clear"/>
        </w:rPr>
        <w:t>intervention</w:t>
      </w:r>
      <w:r>
        <w:rPr>
          <w:color w:val="000000"/>
        </w:rPr>
        <w:t> </w:t>
      </w:r>
      <w:r>
        <w:rPr>
          <w:color w:val="000000"/>
          <w:shd w:fill="FAFAFA" w:color="auto" w:val="clear"/>
        </w:rPr>
        <w:t>will</w:t>
      </w:r>
      <w:r>
        <w:rPr>
          <w:color w:val="000000"/>
          <w:spacing w:val="-11"/>
          <w:shd w:fill="FAFAFA" w:color="auto" w:val="clear"/>
        </w:rPr>
        <w:t> </w:t>
      </w:r>
      <w:r>
        <w:rPr>
          <w:color w:val="000000"/>
          <w:shd w:fill="FAFAFA" w:color="auto" w:val="clear"/>
        </w:rPr>
        <w:t>be</w:t>
      </w:r>
      <w:r>
        <w:rPr>
          <w:color w:val="000000"/>
          <w:spacing w:val="-11"/>
          <w:shd w:fill="FAFAFA" w:color="auto" w:val="clear"/>
        </w:rPr>
        <w:t> </w:t>
      </w:r>
      <w:r>
        <w:rPr>
          <w:color w:val="000000"/>
          <w:shd w:fill="FAFAFA" w:color="auto" w:val="clear"/>
        </w:rPr>
        <w:t>appropriate</w:t>
      </w:r>
      <w:r>
        <w:rPr>
          <w:color w:val="000000"/>
          <w:spacing w:val="-11"/>
          <w:shd w:fill="FAFAFA" w:color="auto" w:val="clear"/>
        </w:rPr>
        <w:t> </w:t>
      </w:r>
      <w:r>
        <w:rPr>
          <w:color w:val="000000"/>
          <w:shd w:fill="FAFAFA" w:color="auto" w:val="clear"/>
        </w:rPr>
        <w:t>for</w:t>
      </w:r>
      <w:r>
        <w:rPr>
          <w:color w:val="000000"/>
          <w:spacing w:val="-11"/>
          <w:shd w:fill="FAFAFA" w:color="auto" w:val="clear"/>
        </w:rPr>
        <w:t> </w:t>
      </w:r>
      <w:r>
        <w:rPr>
          <w:color w:val="000000"/>
          <w:shd w:fill="FAFAFA" w:color="auto" w:val="clear"/>
        </w:rPr>
        <w:t>every</w:t>
      </w:r>
      <w:r>
        <w:rPr>
          <w:color w:val="000000"/>
          <w:spacing w:val="-11"/>
          <w:shd w:fill="FAFAFA" w:color="auto" w:val="clear"/>
        </w:rPr>
        <w:t> </w:t>
      </w:r>
      <w:r>
        <w:rPr>
          <w:color w:val="000000"/>
          <w:shd w:fill="FAFAFA" w:color="auto" w:val="clear"/>
        </w:rPr>
        <w:t>youth,</w:t>
      </w:r>
      <w:r>
        <w:rPr>
          <w:color w:val="000000"/>
          <w:spacing w:val="-11"/>
          <w:shd w:fill="FAFAFA" w:color="auto" w:val="clear"/>
        </w:rPr>
        <w:t> </w:t>
      </w:r>
      <w:r>
        <w:rPr>
          <w:color w:val="000000"/>
          <w:shd w:fill="FAFAFA" w:color="auto" w:val="clear"/>
        </w:rPr>
        <w:t>but</w:t>
      </w:r>
      <w:r>
        <w:rPr>
          <w:color w:val="000000"/>
          <w:spacing w:val="-10"/>
          <w:shd w:fill="FAFAFA" w:color="auto" w:val="clear"/>
        </w:rPr>
        <w:t> </w:t>
      </w:r>
      <w:r>
        <w:rPr>
          <w:color w:val="000000"/>
          <w:shd w:fill="FAFAFA" w:color="auto" w:val="clear"/>
        </w:rPr>
        <w:t>programming</w:t>
      </w:r>
      <w:r>
        <w:rPr>
          <w:color w:val="000000"/>
          <w:spacing w:val="-10"/>
          <w:shd w:fill="FAFAFA" w:color="auto" w:val="clear"/>
        </w:rPr>
        <w:t> </w:t>
      </w:r>
      <w:r>
        <w:rPr>
          <w:color w:val="000000"/>
          <w:shd w:fill="FAFAFA" w:color="auto" w:val="clear"/>
        </w:rPr>
        <w:t>and</w:t>
      </w:r>
      <w:r>
        <w:rPr>
          <w:color w:val="000000"/>
          <w:spacing w:val="-11"/>
          <w:shd w:fill="FAFAFA" w:color="auto" w:val="clear"/>
        </w:rPr>
        <w:t> </w:t>
      </w:r>
      <w:r>
        <w:rPr>
          <w:color w:val="000000"/>
          <w:shd w:fill="FAFAFA" w:color="auto" w:val="clear"/>
        </w:rPr>
        <w:t>community</w:t>
      </w:r>
      <w:r>
        <w:rPr>
          <w:color w:val="000000"/>
          <w:spacing w:val="-11"/>
          <w:shd w:fill="FAFAFA" w:color="auto" w:val="clear"/>
        </w:rPr>
        <w:t> </w:t>
      </w:r>
      <w:r>
        <w:rPr>
          <w:color w:val="000000"/>
          <w:shd w:fill="FAFAFA" w:color="auto" w:val="clear"/>
        </w:rPr>
        <w:t>resources</w:t>
      </w:r>
      <w:r>
        <w:rPr>
          <w:color w:val="000000"/>
          <w:spacing w:val="-10"/>
          <w:shd w:fill="FAFAFA" w:color="auto" w:val="clear"/>
        </w:rPr>
        <w:t> </w:t>
      </w:r>
      <w:r>
        <w:rPr>
          <w:color w:val="000000"/>
          <w:shd w:fill="FAFAFA" w:color="auto" w:val="clear"/>
        </w:rPr>
        <w:t>should</w:t>
      </w:r>
      <w:r>
        <w:rPr>
          <w:color w:val="000000"/>
          <w:spacing w:val="-10"/>
        </w:rPr>
        <w:t> </w:t>
      </w:r>
      <w:r>
        <w:rPr>
          <w:color w:val="000000"/>
          <w:shd w:fill="FAFAFA" w:color="auto" w:val="clear"/>
        </w:rPr>
        <w:t>be</w:t>
      </w:r>
      <w:r>
        <w:rPr>
          <w:color w:val="000000"/>
          <w:spacing w:val="-11"/>
          <w:shd w:fill="FAFAFA" w:color="auto" w:val="clear"/>
        </w:rPr>
        <w:t> </w:t>
      </w:r>
      <w:r>
        <w:rPr>
          <w:color w:val="000000"/>
          <w:shd w:fill="FAFAFA" w:color="auto" w:val="clear"/>
        </w:rPr>
        <w:t>designed</w:t>
      </w:r>
      <w:r>
        <w:rPr>
          <w:color w:val="000000"/>
          <w:spacing w:val="-11"/>
          <w:shd w:fill="FAFAFA" w:color="auto" w:val="clear"/>
        </w:rPr>
        <w:t> </w:t>
      </w:r>
      <w:r>
        <w:rPr>
          <w:color w:val="000000"/>
          <w:shd w:fill="FAFAFA" w:color="auto" w:val="clear"/>
        </w:rPr>
        <w:t>with</w:t>
      </w:r>
      <w:r>
        <w:rPr>
          <w:color w:val="000000"/>
        </w:rPr>
        <w:t> </w:t>
      </w:r>
      <w:r>
        <w:rPr>
          <w:color w:val="000000"/>
          <w:shd w:fill="FAFAFA" w:color="auto" w:val="clear"/>
        </w:rPr>
        <w:t>the needs of the youth with</w:t>
      </w:r>
      <w:r>
        <w:rPr>
          <w:color w:val="000000"/>
          <w:spacing w:val="-1"/>
          <w:shd w:fill="FAFAFA" w:color="auto" w:val="clear"/>
        </w:rPr>
        <w:t> </w:t>
      </w:r>
      <w:r>
        <w:rPr>
          <w:color w:val="000000"/>
          <w:shd w:fill="FAFAFA" w:color="auto" w:val="clear"/>
        </w:rPr>
        <w:t>the most barriers to access in mind. Keeping them</w:t>
      </w:r>
      <w:r>
        <w:rPr>
          <w:color w:val="000000"/>
          <w:spacing w:val="-1"/>
          <w:shd w:fill="FAFAFA" w:color="auto" w:val="clear"/>
        </w:rPr>
        <w:t> </w:t>
      </w:r>
      <w:r>
        <w:rPr>
          <w:color w:val="000000"/>
          <w:shd w:fill="FAFAFA" w:color="auto" w:val="clear"/>
        </w:rPr>
        <w:t>at</w:t>
      </w:r>
      <w:r>
        <w:rPr>
          <w:color w:val="000000"/>
        </w:rPr>
        <w:t> </w:t>
      </w:r>
      <w:r>
        <w:rPr>
          <w:color w:val="000000"/>
          <w:shd w:fill="FAFAFA" w:color="auto" w:val="clear"/>
        </w:rPr>
        <w:t>the core of any public</w:t>
      </w:r>
      <w:r>
        <w:rPr>
          <w:color w:val="000000"/>
        </w:rPr>
        <w:t> </w:t>
      </w:r>
      <w:r>
        <w:rPr>
          <w:color w:val="000000"/>
          <w:shd w:fill="FAFAFA" w:color="auto" w:val="clear"/>
        </w:rPr>
        <w:t>health intervention will allow the maximum number of youth to be supported.</w:t>
      </w:r>
    </w:p>
    <w:p>
      <w:pPr>
        <w:spacing w:after="0" w:line="276" w:lineRule="auto"/>
        <w:jc w:val="both"/>
        <w:sectPr>
          <w:pgSz w:w="11910" w:h="16840"/>
          <w:pgMar w:header="804" w:footer="1230" w:top="1080" w:bottom="1480" w:left="980" w:right="900"/>
        </w:sectPr>
      </w:pPr>
    </w:p>
    <w:p>
      <w:pPr>
        <w:spacing w:before="108"/>
        <w:ind w:left="463" w:right="0" w:firstLine="0"/>
        <w:jc w:val="both"/>
        <w:rPr>
          <w:sz w:val="28"/>
        </w:rPr>
      </w:pPr>
      <w:bookmarkStart w:name="Intimate Partner Violence" w:id="207"/>
      <w:bookmarkEnd w:id="207"/>
      <w:r>
        <w:rPr/>
      </w:r>
      <w:bookmarkStart w:name="_bookmark87" w:id="208"/>
      <w:bookmarkEnd w:id="208"/>
      <w:r>
        <w:rPr/>
      </w:r>
      <w:r>
        <w:rPr>
          <w:color w:val="365F91"/>
          <w:sz w:val="28"/>
        </w:rPr>
        <w:t>Intimate</w:t>
      </w:r>
      <w:r>
        <w:rPr>
          <w:color w:val="365F91"/>
          <w:spacing w:val="-13"/>
          <w:sz w:val="28"/>
        </w:rPr>
        <w:t> </w:t>
      </w:r>
      <w:r>
        <w:rPr>
          <w:color w:val="365F91"/>
          <w:sz w:val="28"/>
        </w:rPr>
        <w:t>Partner</w:t>
      </w:r>
      <w:r>
        <w:rPr>
          <w:color w:val="365F91"/>
          <w:spacing w:val="-13"/>
          <w:sz w:val="28"/>
        </w:rPr>
        <w:t> </w:t>
      </w:r>
      <w:r>
        <w:rPr>
          <w:color w:val="365F91"/>
          <w:spacing w:val="-2"/>
          <w:sz w:val="28"/>
        </w:rPr>
        <w:t>Violence</w:t>
      </w:r>
    </w:p>
    <w:p>
      <w:pPr>
        <w:pStyle w:val="BodyText"/>
        <w:spacing w:line="276" w:lineRule="auto" w:before="293"/>
        <w:ind w:left="463" w:right="282"/>
        <w:jc w:val="both"/>
      </w:pPr>
      <w:bookmarkStart w:name="_bookmark88" w:id="209"/>
      <w:bookmarkEnd w:id="209"/>
      <w:r>
        <w:rPr/>
      </w:r>
      <w:r>
        <w:rPr/>
        <w:t>Intimate partner violence, also known as relationship violence, dating violence, or domestic violence, affects</w:t>
      </w:r>
      <w:r>
        <w:rPr>
          <w:spacing w:val="-7"/>
        </w:rPr>
        <w:t> </w:t>
      </w:r>
      <w:r>
        <w:rPr/>
        <w:t>an</w:t>
      </w:r>
      <w:r>
        <w:rPr>
          <w:spacing w:val="-8"/>
        </w:rPr>
        <w:t> </w:t>
      </w:r>
      <w:r>
        <w:rPr/>
        <w:t>alarming</w:t>
      </w:r>
      <w:r>
        <w:rPr>
          <w:spacing w:val="-7"/>
        </w:rPr>
        <w:t> </w:t>
      </w:r>
      <w:r>
        <w:rPr/>
        <w:t>percentage</w:t>
      </w:r>
      <w:r>
        <w:rPr>
          <w:spacing w:val="-7"/>
        </w:rPr>
        <w:t> </w:t>
      </w:r>
      <w:r>
        <w:rPr/>
        <w:t>of</w:t>
      </w:r>
      <w:r>
        <w:rPr>
          <w:spacing w:val="-8"/>
        </w:rPr>
        <w:t> </w:t>
      </w:r>
      <w:r>
        <w:rPr/>
        <w:t>LGBTQ</w:t>
      </w:r>
      <w:r>
        <w:rPr>
          <w:spacing w:val="-8"/>
        </w:rPr>
        <w:t> </w:t>
      </w:r>
      <w:r>
        <w:rPr/>
        <w:t>youth.</w:t>
      </w:r>
      <w:r>
        <w:rPr>
          <w:spacing w:val="-7"/>
        </w:rPr>
        <w:t> </w:t>
      </w:r>
      <w:r>
        <w:rPr/>
        <w:t>Intimate</w:t>
      </w:r>
      <w:r>
        <w:rPr>
          <w:spacing w:val="-7"/>
        </w:rPr>
        <w:t> </w:t>
      </w:r>
      <w:r>
        <w:rPr/>
        <w:t>partner</w:t>
      </w:r>
      <w:r>
        <w:rPr>
          <w:spacing w:val="-6"/>
        </w:rPr>
        <w:t> </w:t>
      </w:r>
      <w:r>
        <w:rPr/>
        <w:t>violence</w:t>
      </w:r>
      <w:r>
        <w:rPr>
          <w:spacing w:val="-7"/>
        </w:rPr>
        <w:t> </w:t>
      </w:r>
      <w:r>
        <w:rPr/>
        <w:t>is</w:t>
      </w:r>
      <w:r>
        <w:rPr>
          <w:spacing w:val="-7"/>
        </w:rPr>
        <w:t> </w:t>
      </w:r>
      <w:r>
        <w:rPr/>
        <w:t>a</w:t>
      </w:r>
      <w:r>
        <w:rPr>
          <w:spacing w:val="-6"/>
        </w:rPr>
        <w:t> </w:t>
      </w:r>
      <w:r>
        <w:rPr/>
        <w:t>serious</w:t>
      </w:r>
      <w:r>
        <w:rPr>
          <w:spacing w:val="-7"/>
        </w:rPr>
        <w:t> </w:t>
      </w:r>
      <w:r>
        <w:rPr/>
        <w:t>public</w:t>
      </w:r>
      <w:r>
        <w:rPr>
          <w:spacing w:val="-6"/>
        </w:rPr>
        <w:t> </w:t>
      </w:r>
      <w:r>
        <w:rPr/>
        <w:t>health</w:t>
      </w:r>
      <w:r>
        <w:rPr>
          <w:spacing w:val="-7"/>
        </w:rPr>
        <w:t> </w:t>
      </w:r>
      <w:r>
        <w:rPr/>
        <w:t>issue that</w:t>
      </w:r>
      <w:r>
        <w:rPr>
          <w:spacing w:val="-9"/>
        </w:rPr>
        <w:t> </w:t>
      </w:r>
      <w:r>
        <w:rPr/>
        <w:t>can</w:t>
      </w:r>
      <w:r>
        <w:rPr>
          <w:spacing w:val="-9"/>
        </w:rPr>
        <w:t> </w:t>
      </w:r>
      <w:r>
        <w:rPr/>
        <w:t>have</w:t>
      </w:r>
      <w:r>
        <w:rPr>
          <w:spacing w:val="-9"/>
        </w:rPr>
        <w:t> </w:t>
      </w:r>
      <w:r>
        <w:rPr/>
        <w:t>long-term</w:t>
      </w:r>
      <w:r>
        <w:rPr>
          <w:spacing w:val="-9"/>
        </w:rPr>
        <w:t> </w:t>
      </w:r>
      <w:r>
        <w:rPr/>
        <w:t>negative</w:t>
      </w:r>
      <w:r>
        <w:rPr>
          <w:spacing w:val="-10"/>
        </w:rPr>
        <w:t> </w:t>
      </w:r>
      <w:r>
        <w:rPr/>
        <w:t>effects</w:t>
      </w:r>
      <w:r>
        <w:rPr>
          <w:spacing w:val="-8"/>
        </w:rPr>
        <w:t> </w:t>
      </w:r>
      <w:r>
        <w:rPr/>
        <w:t>on</w:t>
      </w:r>
      <w:r>
        <w:rPr>
          <w:spacing w:val="-10"/>
        </w:rPr>
        <w:t> </w:t>
      </w:r>
      <w:r>
        <w:rPr/>
        <w:t>survivors’</w:t>
      </w:r>
      <w:r>
        <w:rPr>
          <w:spacing w:val="-10"/>
        </w:rPr>
        <w:t> </w:t>
      </w:r>
      <w:r>
        <w:rPr/>
        <w:t>physical,</w:t>
      </w:r>
      <w:r>
        <w:rPr>
          <w:spacing w:val="-10"/>
        </w:rPr>
        <w:t> </w:t>
      </w:r>
      <w:r>
        <w:rPr/>
        <w:t>emotional,</w:t>
      </w:r>
      <w:r>
        <w:rPr>
          <w:spacing w:val="-10"/>
        </w:rPr>
        <w:t> </w:t>
      </w:r>
      <w:r>
        <w:rPr/>
        <w:t>mental,</w:t>
      </w:r>
      <w:r>
        <w:rPr>
          <w:spacing w:val="-10"/>
        </w:rPr>
        <w:t> </w:t>
      </w:r>
      <w:r>
        <w:rPr/>
        <w:t>and</w:t>
      </w:r>
      <w:r>
        <w:rPr>
          <w:spacing w:val="-10"/>
        </w:rPr>
        <w:t> </w:t>
      </w:r>
      <w:r>
        <w:rPr/>
        <w:t>social</w:t>
      </w:r>
      <w:r>
        <w:rPr>
          <w:spacing w:val="-9"/>
        </w:rPr>
        <w:t> </w:t>
      </w:r>
      <w:r>
        <w:rPr/>
        <w:t>well-being. For</w:t>
      </w:r>
      <w:r>
        <w:rPr>
          <w:spacing w:val="-10"/>
        </w:rPr>
        <w:t> </w:t>
      </w:r>
      <w:r>
        <w:rPr/>
        <w:t>youth,</w:t>
      </w:r>
      <w:r>
        <w:rPr>
          <w:spacing w:val="-10"/>
        </w:rPr>
        <w:t> </w:t>
      </w:r>
      <w:r>
        <w:rPr/>
        <w:t>experiencing</w:t>
      </w:r>
      <w:r>
        <w:rPr>
          <w:spacing w:val="-9"/>
        </w:rPr>
        <w:t> </w:t>
      </w:r>
      <w:r>
        <w:rPr/>
        <w:t>intimate</w:t>
      </w:r>
      <w:r>
        <w:rPr>
          <w:spacing w:val="-9"/>
        </w:rPr>
        <w:t> </w:t>
      </w:r>
      <w:r>
        <w:rPr/>
        <w:t>partner</w:t>
      </w:r>
      <w:r>
        <w:rPr>
          <w:spacing w:val="-10"/>
        </w:rPr>
        <w:t> </w:t>
      </w:r>
      <w:r>
        <w:rPr/>
        <w:t>violence</w:t>
      </w:r>
      <w:r>
        <w:rPr>
          <w:spacing w:val="-10"/>
        </w:rPr>
        <w:t> </w:t>
      </w:r>
      <w:r>
        <w:rPr/>
        <w:t>at</w:t>
      </w:r>
      <w:r>
        <w:rPr>
          <w:spacing w:val="-9"/>
        </w:rPr>
        <w:t> </w:t>
      </w:r>
      <w:r>
        <w:rPr/>
        <w:t>a</w:t>
      </w:r>
      <w:r>
        <w:rPr>
          <w:spacing w:val="-10"/>
        </w:rPr>
        <w:t> </w:t>
      </w:r>
      <w:r>
        <w:rPr/>
        <w:t>young</w:t>
      </w:r>
      <w:r>
        <w:rPr>
          <w:spacing w:val="-10"/>
        </w:rPr>
        <w:t> </w:t>
      </w:r>
      <w:r>
        <w:rPr/>
        <w:t>age</w:t>
      </w:r>
      <w:r>
        <w:rPr>
          <w:spacing w:val="-9"/>
        </w:rPr>
        <w:t> </w:t>
      </w:r>
      <w:r>
        <w:rPr/>
        <w:t>can</w:t>
      </w:r>
      <w:r>
        <w:rPr>
          <w:spacing w:val="-10"/>
        </w:rPr>
        <w:t> </w:t>
      </w:r>
      <w:r>
        <w:rPr/>
        <w:t>affect</w:t>
      </w:r>
      <w:r>
        <w:rPr>
          <w:spacing w:val="-9"/>
        </w:rPr>
        <w:t> </w:t>
      </w:r>
      <w:r>
        <w:rPr/>
        <w:t>“lifelong</w:t>
      </w:r>
      <w:r>
        <w:rPr>
          <w:spacing w:val="-10"/>
        </w:rPr>
        <w:t> </w:t>
      </w:r>
      <w:r>
        <w:rPr/>
        <w:t>health,</w:t>
      </w:r>
      <w:r>
        <w:rPr>
          <w:spacing w:val="-10"/>
        </w:rPr>
        <w:t> </w:t>
      </w:r>
      <w:r>
        <w:rPr/>
        <w:t>opportunity, and well-being”</w:t>
      </w:r>
      <w:hyperlink w:history="true" w:anchor="_bookmark80">
        <w:r>
          <w:rPr>
            <w:vertAlign w:val="superscript"/>
          </w:rPr>
          <w:t>10</w:t>
        </w:r>
      </w:hyperlink>
      <w:r>
        <w:rPr>
          <w:vertAlign w:val="baseline"/>
        </w:rPr>
        <w:t> and make youth survivors more vulnerable to intimate partner violence as adults.</w:t>
      </w:r>
    </w:p>
    <w:p>
      <w:pPr>
        <w:pStyle w:val="BodyText"/>
        <w:spacing w:line="276" w:lineRule="auto" w:before="239"/>
        <w:ind w:left="463" w:right="280"/>
        <w:jc w:val="both"/>
      </w:pPr>
      <w:bookmarkStart w:name="_bookmark89" w:id="210"/>
      <w:bookmarkEnd w:id="210"/>
      <w:r>
        <w:rPr/>
      </w:r>
      <w:r>
        <w:rPr/>
        <w:t>According to the 2021 Massachusetts Youth Risk Behavior Survey (MYRBS), an annual survey that examines</w:t>
      </w:r>
      <w:r>
        <w:rPr>
          <w:spacing w:val="-6"/>
        </w:rPr>
        <w:t> </w:t>
      </w:r>
      <w:r>
        <w:rPr/>
        <w:t>the</w:t>
      </w:r>
      <w:r>
        <w:rPr>
          <w:spacing w:val="-6"/>
        </w:rPr>
        <w:t> </w:t>
      </w:r>
      <w:r>
        <w:rPr/>
        <w:t>health</w:t>
      </w:r>
      <w:r>
        <w:rPr>
          <w:spacing w:val="-6"/>
        </w:rPr>
        <w:t> </w:t>
      </w:r>
      <w:r>
        <w:rPr/>
        <w:t>behaviors</w:t>
      </w:r>
      <w:r>
        <w:rPr>
          <w:spacing w:val="-6"/>
        </w:rPr>
        <w:t> </w:t>
      </w:r>
      <w:r>
        <w:rPr/>
        <w:t>of</w:t>
      </w:r>
      <w:r>
        <w:rPr>
          <w:spacing w:val="-6"/>
        </w:rPr>
        <w:t> </w:t>
      </w:r>
      <w:r>
        <w:rPr/>
        <w:t>youth</w:t>
      </w:r>
      <w:r>
        <w:rPr>
          <w:spacing w:val="-7"/>
        </w:rPr>
        <w:t> </w:t>
      </w:r>
      <w:r>
        <w:rPr/>
        <w:t>in</w:t>
      </w:r>
      <w:r>
        <w:rPr>
          <w:spacing w:val="-7"/>
        </w:rPr>
        <w:t> </w:t>
      </w:r>
      <w:r>
        <w:rPr/>
        <w:t>grades</w:t>
      </w:r>
      <w:r>
        <w:rPr>
          <w:spacing w:val="-6"/>
        </w:rPr>
        <w:t> </w:t>
      </w:r>
      <w:r>
        <w:rPr/>
        <w:t>9</w:t>
      </w:r>
      <w:r>
        <w:rPr>
          <w:spacing w:val="-6"/>
        </w:rPr>
        <w:t> </w:t>
      </w:r>
      <w:r>
        <w:rPr/>
        <w:t>through</w:t>
      </w:r>
      <w:r>
        <w:rPr>
          <w:spacing w:val="-7"/>
        </w:rPr>
        <w:t> </w:t>
      </w:r>
      <w:r>
        <w:rPr/>
        <w:t>12,</w:t>
      </w:r>
      <w:r>
        <w:rPr>
          <w:spacing w:val="-6"/>
        </w:rPr>
        <w:t> </w:t>
      </w:r>
      <w:r>
        <w:rPr/>
        <w:t>17.8%</w:t>
      </w:r>
      <w:r>
        <w:rPr>
          <w:spacing w:val="-6"/>
        </w:rPr>
        <w:t> </w:t>
      </w:r>
      <w:r>
        <w:rPr/>
        <w:t>of</w:t>
      </w:r>
      <w:r>
        <w:rPr>
          <w:spacing w:val="-6"/>
        </w:rPr>
        <w:t> </w:t>
      </w:r>
      <w:r>
        <w:rPr/>
        <w:t>LGBTQ</w:t>
      </w:r>
      <w:r>
        <w:rPr>
          <w:spacing w:val="-7"/>
        </w:rPr>
        <w:t> </w:t>
      </w:r>
      <w:r>
        <w:rPr/>
        <w:t>youth</w:t>
      </w:r>
      <w:r>
        <w:rPr>
          <w:spacing w:val="-7"/>
        </w:rPr>
        <w:t> </w:t>
      </w:r>
      <w:r>
        <w:rPr/>
        <w:t>have</w:t>
      </w:r>
      <w:r>
        <w:rPr>
          <w:spacing w:val="-7"/>
        </w:rPr>
        <w:t> </w:t>
      </w:r>
      <w:r>
        <w:rPr/>
        <w:t>experienced sexual dating violence within the last twelve months, and 13.9% of LGBTQ youth experienced physical dating violence within the last twelve months</w:t>
      </w:r>
      <w:hyperlink w:history="true" w:anchor="_bookmark80">
        <w:r>
          <w:rPr/>
          <w:t>.</w:t>
        </w:r>
        <w:r>
          <w:rPr>
            <w:vertAlign w:val="superscript"/>
          </w:rPr>
          <w:t>11</w:t>
        </w:r>
      </w:hyperlink>
      <w:r>
        <w:rPr>
          <w:vertAlign w:val="baseline"/>
        </w:rPr>
        <w:t> Among LGBTQ youth of color, 17.8% have experienced sexual dating violence within the last twelve months, with the highest rates among Hispanic/Latinx (25.0%) and multiracial Hispanic/Latinx (20.3%) respondents; and 13.8% have experienced physical dating</w:t>
      </w:r>
      <w:r>
        <w:rPr>
          <w:spacing w:val="-6"/>
          <w:vertAlign w:val="baseline"/>
        </w:rPr>
        <w:t> </w:t>
      </w:r>
      <w:r>
        <w:rPr>
          <w:vertAlign w:val="baseline"/>
        </w:rPr>
        <w:t>violence</w:t>
      </w:r>
      <w:r>
        <w:rPr>
          <w:spacing w:val="-5"/>
          <w:vertAlign w:val="baseline"/>
        </w:rPr>
        <w:t> </w:t>
      </w:r>
      <w:r>
        <w:rPr>
          <w:vertAlign w:val="baseline"/>
        </w:rPr>
        <w:t>within</w:t>
      </w:r>
      <w:r>
        <w:rPr>
          <w:spacing w:val="-6"/>
          <w:vertAlign w:val="baseline"/>
        </w:rPr>
        <w:t> </w:t>
      </w:r>
      <w:r>
        <w:rPr>
          <w:vertAlign w:val="baseline"/>
        </w:rPr>
        <w:t>the</w:t>
      </w:r>
      <w:r>
        <w:rPr>
          <w:spacing w:val="-5"/>
          <w:vertAlign w:val="baseline"/>
        </w:rPr>
        <w:t> </w:t>
      </w:r>
      <w:r>
        <w:rPr>
          <w:vertAlign w:val="baseline"/>
        </w:rPr>
        <w:t>last</w:t>
      </w:r>
      <w:r>
        <w:rPr>
          <w:spacing w:val="-7"/>
          <w:vertAlign w:val="baseline"/>
        </w:rPr>
        <w:t> </w:t>
      </w:r>
      <w:r>
        <w:rPr>
          <w:vertAlign w:val="baseline"/>
        </w:rPr>
        <w:t>twelve</w:t>
      </w:r>
      <w:r>
        <w:rPr>
          <w:spacing w:val="-5"/>
          <w:vertAlign w:val="baseline"/>
        </w:rPr>
        <w:t> </w:t>
      </w:r>
      <w:r>
        <w:rPr>
          <w:vertAlign w:val="baseline"/>
        </w:rPr>
        <w:t>months,</w:t>
      </w:r>
      <w:r>
        <w:rPr>
          <w:spacing w:val="-6"/>
          <w:vertAlign w:val="baseline"/>
        </w:rPr>
        <w:t> </w:t>
      </w:r>
      <w:r>
        <w:rPr>
          <w:vertAlign w:val="baseline"/>
        </w:rPr>
        <w:t>with</w:t>
      </w:r>
      <w:r>
        <w:rPr>
          <w:spacing w:val="-6"/>
          <w:vertAlign w:val="baseline"/>
        </w:rPr>
        <w:t> </w:t>
      </w:r>
      <w:r>
        <w:rPr>
          <w:vertAlign w:val="baseline"/>
        </w:rPr>
        <w:t>the</w:t>
      </w:r>
      <w:r>
        <w:rPr>
          <w:spacing w:val="-5"/>
          <w:vertAlign w:val="baseline"/>
        </w:rPr>
        <w:t> </w:t>
      </w:r>
      <w:r>
        <w:rPr>
          <w:vertAlign w:val="baseline"/>
        </w:rPr>
        <w:t>highest</w:t>
      </w:r>
      <w:r>
        <w:rPr>
          <w:spacing w:val="-6"/>
          <w:vertAlign w:val="baseline"/>
        </w:rPr>
        <w:t> </w:t>
      </w:r>
      <w:r>
        <w:rPr>
          <w:vertAlign w:val="baseline"/>
        </w:rPr>
        <w:t>rates</w:t>
      </w:r>
      <w:r>
        <w:rPr>
          <w:spacing w:val="-6"/>
          <w:vertAlign w:val="baseline"/>
        </w:rPr>
        <w:t> </w:t>
      </w:r>
      <w:r>
        <w:rPr>
          <w:vertAlign w:val="baseline"/>
        </w:rPr>
        <w:t>among</w:t>
      </w:r>
      <w:r>
        <w:rPr>
          <w:spacing w:val="-6"/>
          <w:vertAlign w:val="baseline"/>
        </w:rPr>
        <w:t> </w:t>
      </w:r>
      <w:r>
        <w:rPr>
          <w:vertAlign w:val="baseline"/>
        </w:rPr>
        <w:t>Hispanic/Latinx</w:t>
      </w:r>
      <w:r>
        <w:rPr>
          <w:spacing w:val="-6"/>
          <w:vertAlign w:val="baseline"/>
        </w:rPr>
        <w:t> </w:t>
      </w:r>
      <w:r>
        <w:rPr>
          <w:vertAlign w:val="baseline"/>
        </w:rPr>
        <w:t>(27.8%)</w:t>
      </w:r>
      <w:r>
        <w:rPr>
          <w:spacing w:val="-6"/>
          <w:vertAlign w:val="baseline"/>
        </w:rPr>
        <w:t> </w:t>
      </w:r>
      <w:r>
        <w:rPr>
          <w:vertAlign w:val="baseline"/>
        </w:rPr>
        <w:t>and multiracial non-Hispanic/Latinx (20.0%) respondents</w:t>
      </w:r>
      <w:hyperlink w:history="true" w:anchor="_bookmark80">
        <w:r>
          <w:rPr>
            <w:vertAlign w:val="baseline"/>
          </w:rPr>
          <w:t>.</w:t>
        </w:r>
        <w:r>
          <w:rPr>
            <w:vertAlign w:val="superscript"/>
          </w:rPr>
          <w:t>12</w:t>
        </w:r>
      </w:hyperlink>
    </w:p>
    <w:p>
      <w:pPr>
        <w:pStyle w:val="BodyText"/>
        <w:spacing w:line="276" w:lineRule="auto" w:before="240"/>
        <w:ind w:left="463" w:right="282"/>
        <w:jc w:val="both"/>
      </w:pPr>
      <w:bookmarkStart w:name="_bookmark90" w:id="211"/>
      <w:bookmarkEnd w:id="211"/>
      <w:r>
        <w:rPr/>
      </w:r>
      <w:r>
        <w:rPr/>
        <w:t>For</w:t>
      </w:r>
      <w:r>
        <w:rPr>
          <w:spacing w:val="-3"/>
        </w:rPr>
        <w:t> </w:t>
      </w:r>
      <w:r>
        <w:rPr/>
        <w:t>trans</w:t>
      </w:r>
      <w:r>
        <w:rPr>
          <w:spacing w:val="-3"/>
        </w:rPr>
        <w:t> </w:t>
      </w:r>
      <w:r>
        <w:rPr/>
        <w:t>and</w:t>
      </w:r>
      <w:r>
        <w:rPr>
          <w:spacing w:val="-2"/>
        </w:rPr>
        <w:t> </w:t>
      </w:r>
      <w:r>
        <w:rPr/>
        <w:t>gender</w:t>
      </w:r>
      <w:r>
        <w:rPr>
          <w:spacing w:val="-2"/>
        </w:rPr>
        <w:t> </w:t>
      </w:r>
      <w:r>
        <w:rPr/>
        <w:t>expansive</w:t>
      </w:r>
      <w:r>
        <w:rPr>
          <w:spacing w:val="-3"/>
        </w:rPr>
        <w:t> </w:t>
      </w:r>
      <w:r>
        <w:rPr/>
        <w:t>individuals,</w:t>
      </w:r>
      <w:r>
        <w:rPr>
          <w:spacing w:val="-3"/>
        </w:rPr>
        <w:t> </w:t>
      </w:r>
      <w:r>
        <w:rPr/>
        <w:t>the</w:t>
      </w:r>
      <w:r>
        <w:rPr>
          <w:spacing w:val="-2"/>
        </w:rPr>
        <w:t> </w:t>
      </w:r>
      <w:r>
        <w:rPr/>
        <w:t>numbers</w:t>
      </w:r>
      <w:r>
        <w:rPr>
          <w:spacing w:val="-3"/>
        </w:rPr>
        <w:t> </w:t>
      </w:r>
      <w:r>
        <w:rPr/>
        <w:t>of</w:t>
      </w:r>
      <w:r>
        <w:rPr>
          <w:spacing w:val="-3"/>
        </w:rPr>
        <w:t> </w:t>
      </w:r>
      <w:r>
        <w:rPr/>
        <w:t>intimate</w:t>
      </w:r>
      <w:r>
        <w:rPr>
          <w:spacing w:val="-3"/>
        </w:rPr>
        <w:t> </w:t>
      </w:r>
      <w:r>
        <w:rPr/>
        <w:t>partner</w:t>
      </w:r>
      <w:r>
        <w:rPr>
          <w:spacing w:val="-3"/>
        </w:rPr>
        <w:t> </w:t>
      </w:r>
      <w:r>
        <w:rPr/>
        <w:t>violence</w:t>
      </w:r>
      <w:r>
        <w:rPr>
          <w:spacing w:val="-2"/>
        </w:rPr>
        <w:t> </w:t>
      </w:r>
      <w:r>
        <w:rPr/>
        <w:t>and</w:t>
      </w:r>
      <w:r>
        <w:rPr>
          <w:spacing w:val="-2"/>
        </w:rPr>
        <w:t> </w:t>
      </w:r>
      <w:r>
        <w:rPr/>
        <w:t>sexual</w:t>
      </w:r>
      <w:r>
        <w:rPr>
          <w:spacing w:val="-3"/>
        </w:rPr>
        <w:t> </w:t>
      </w:r>
      <w:r>
        <w:rPr/>
        <w:t>assault are even higher. According to the 2015 U.S. Transgender survey (more detailed data having yet to be released from the 2022 version), which collects data for transgender and gender-nonconforming individuals ages 16 and up, 47% of transgender and gender-nonconforming individuals have ever experienced</w:t>
      </w:r>
      <w:r>
        <w:rPr>
          <w:spacing w:val="-13"/>
        </w:rPr>
        <w:t> </w:t>
      </w:r>
      <w:r>
        <w:rPr/>
        <w:t>sexual</w:t>
      </w:r>
      <w:r>
        <w:rPr>
          <w:spacing w:val="-12"/>
        </w:rPr>
        <w:t> </w:t>
      </w:r>
      <w:r>
        <w:rPr/>
        <w:t>assault</w:t>
      </w:r>
      <w:r>
        <w:rPr>
          <w:spacing w:val="-12"/>
        </w:rPr>
        <w:t> </w:t>
      </w:r>
      <w:r>
        <w:rPr/>
        <w:t>during</w:t>
      </w:r>
      <w:r>
        <w:rPr>
          <w:spacing w:val="-10"/>
        </w:rPr>
        <w:t> </w:t>
      </w:r>
      <w:r>
        <w:rPr/>
        <w:t>their</w:t>
      </w:r>
      <w:r>
        <w:rPr>
          <w:spacing w:val="-12"/>
        </w:rPr>
        <w:t> </w:t>
      </w:r>
      <w:r>
        <w:rPr/>
        <w:t>lifetime</w:t>
      </w:r>
      <w:hyperlink w:history="true" w:anchor="_bookmark80">
        <w:r>
          <w:rPr/>
          <w:t>.</w:t>
        </w:r>
        <w:r>
          <w:rPr>
            <w:vertAlign w:val="superscript"/>
          </w:rPr>
          <w:t>13</w:t>
        </w:r>
      </w:hyperlink>
      <w:r>
        <w:rPr>
          <w:spacing w:val="-12"/>
          <w:vertAlign w:val="baseline"/>
        </w:rPr>
        <w:t> </w:t>
      </w:r>
      <w:r>
        <w:rPr>
          <w:vertAlign w:val="baseline"/>
        </w:rPr>
        <w:t>Nonbinary</w:t>
      </w:r>
      <w:r>
        <w:rPr>
          <w:spacing w:val="-12"/>
          <w:vertAlign w:val="baseline"/>
        </w:rPr>
        <w:t> </w:t>
      </w:r>
      <w:r>
        <w:rPr>
          <w:vertAlign w:val="baseline"/>
        </w:rPr>
        <w:t>people</w:t>
      </w:r>
      <w:r>
        <w:rPr>
          <w:spacing w:val="-13"/>
          <w:vertAlign w:val="baseline"/>
        </w:rPr>
        <w:t> </w:t>
      </w:r>
      <w:r>
        <w:rPr>
          <w:vertAlign w:val="baseline"/>
        </w:rPr>
        <w:t>assigned</w:t>
      </w:r>
      <w:r>
        <w:rPr>
          <w:spacing w:val="-12"/>
          <w:vertAlign w:val="baseline"/>
        </w:rPr>
        <w:t> </w:t>
      </w:r>
      <w:r>
        <w:rPr>
          <w:vertAlign w:val="baseline"/>
        </w:rPr>
        <w:t>female</w:t>
      </w:r>
      <w:r>
        <w:rPr>
          <w:spacing w:val="-13"/>
          <w:vertAlign w:val="baseline"/>
        </w:rPr>
        <w:t> </w:t>
      </w:r>
      <w:r>
        <w:rPr>
          <w:vertAlign w:val="baseline"/>
        </w:rPr>
        <w:t>at</w:t>
      </w:r>
      <w:r>
        <w:rPr>
          <w:spacing w:val="-12"/>
          <w:vertAlign w:val="baseline"/>
        </w:rPr>
        <w:t> </w:t>
      </w:r>
      <w:r>
        <w:rPr>
          <w:vertAlign w:val="baseline"/>
        </w:rPr>
        <w:t>birth</w:t>
      </w:r>
      <w:r>
        <w:rPr>
          <w:spacing w:val="-12"/>
          <w:vertAlign w:val="baseline"/>
        </w:rPr>
        <w:t> </w:t>
      </w:r>
      <w:r>
        <w:rPr>
          <w:vertAlign w:val="baseline"/>
        </w:rPr>
        <w:t>(58%),</w:t>
      </w:r>
      <w:r>
        <w:rPr>
          <w:spacing w:val="-13"/>
          <w:vertAlign w:val="baseline"/>
        </w:rPr>
        <w:t> </w:t>
      </w:r>
      <w:r>
        <w:rPr>
          <w:vertAlign w:val="baseline"/>
        </w:rPr>
        <w:t>trans men</w:t>
      </w:r>
      <w:r>
        <w:rPr>
          <w:spacing w:val="-2"/>
          <w:vertAlign w:val="baseline"/>
        </w:rPr>
        <w:t> </w:t>
      </w:r>
      <w:r>
        <w:rPr>
          <w:vertAlign w:val="baseline"/>
        </w:rPr>
        <w:t>(51%),</w:t>
      </w:r>
      <w:r>
        <w:rPr>
          <w:spacing w:val="-1"/>
          <w:vertAlign w:val="baseline"/>
        </w:rPr>
        <w:t> </w:t>
      </w:r>
      <w:r>
        <w:rPr>
          <w:vertAlign w:val="baseline"/>
        </w:rPr>
        <w:t>and</w:t>
      </w:r>
      <w:r>
        <w:rPr>
          <w:spacing w:val="-2"/>
          <w:vertAlign w:val="baseline"/>
        </w:rPr>
        <w:t> </w:t>
      </w:r>
      <w:r>
        <w:rPr>
          <w:vertAlign w:val="baseline"/>
        </w:rPr>
        <w:t>American</w:t>
      </w:r>
      <w:r>
        <w:rPr>
          <w:spacing w:val="-1"/>
          <w:vertAlign w:val="baseline"/>
        </w:rPr>
        <w:t> </w:t>
      </w:r>
      <w:r>
        <w:rPr>
          <w:vertAlign w:val="baseline"/>
        </w:rPr>
        <w:t>Indian</w:t>
      </w:r>
      <w:r>
        <w:rPr>
          <w:spacing w:val="-2"/>
          <w:vertAlign w:val="baseline"/>
        </w:rPr>
        <w:t> </w:t>
      </w:r>
      <w:r>
        <w:rPr>
          <w:vertAlign w:val="baseline"/>
        </w:rPr>
        <w:t>(65%),</w:t>
      </w:r>
      <w:r>
        <w:rPr>
          <w:spacing w:val="-1"/>
          <w:vertAlign w:val="baseline"/>
        </w:rPr>
        <w:t> </w:t>
      </w:r>
      <w:r>
        <w:rPr>
          <w:vertAlign w:val="baseline"/>
        </w:rPr>
        <w:t>Middle</w:t>
      </w:r>
      <w:r>
        <w:rPr>
          <w:spacing w:val="-2"/>
          <w:vertAlign w:val="baseline"/>
        </w:rPr>
        <w:t> </w:t>
      </w:r>
      <w:r>
        <w:rPr>
          <w:vertAlign w:val="baseline"/>
        </w:rPr>
        <w:t>Eastern</w:t>
      </w:r>
      <w:r>
        <w:rPr>
          <w:spacing w:val="-2"/>
          <w:vertAlign w:val="baseline"/>
        </w:rPr>
        <w:t> </w:t>
      </w:r>
      <w:r>
        <w:rPr>
          <w:vertAlign w:val="baseline"/>
        </w:rPr>
        <w:t>(59%),</w:t>
      </w:r>
      <w:r>
        <w:rPr>
          <w:spacing w:val="-1"/>
          <w:vertAlign w:val="baseline"/>
        </w:rPr>
        <w:t> </w:t>
      </w:r>
      <w:r>
        <w:rPr>
          <w:vertAlign w:val="baseline"/>
        </w:rPr>
        <w:t>and</w:t>
      </w:r>
      <w:r>
        <w:rPr>
          <w:spacing w:val="-2"/>
          <w:vertAlign w:val="baseline"/>
        </w:rPr>
        <w:t> </w:t>
      </w:r>
      <w:r>
        <w:rPr>
          <w:vertAlign w:val="baseline"/>
        </w:rPr>
        <w:t>Multiracial</w:t>
      </w:r>
      <w:r>
        <w:rPr>
          <w:spacing w:val="-2"/>
          <w:vertAlign w:val="baseline"/>
        </w:rPr>
        <w:t> </w:t>
      </w:r>
      <w:r>
        <w:rPr>
          <w:vertAlign w:val="baseline"/>
        </w:rPr>
        <w:t>(58%)</w:t>
      </w:r>
      <w:r>
        <w:rPr>
          <w:spacing w:val="-1"/>
          <w:vertAlign w:val="baseline"/>
        </w:rPr>
        <w:t> </w:t>
      </w:r>
      <w:r>
        <w:rPr>
          <w:vertAlign w:val="baseline"/>
        </w:rPr>
        <w:t>individuals</w:t>
      </w:r>
      <w:r>
        <w:rPr>
          <w:spacing w:val="-1"/>
          <w:vertAlign w:val="baseline"/>
        </w:rPr>
        <w:t> </w:t>
      </w:r>
      <w:r>
        <w:rPr>
          <w:vertAlign w:val="baseline"/>
        </w:rPr>
        <w:t>had</w:t>
      </w:r>
      <w:r>
        <w:rPr>
          <w:spacing w:val="-2"/>
          <w:vertAlign w:val="baseline"/>
        </w:rPr>
        <w:t> </w:t>
      </w:r>
      <w:r>
        <w:rPr>
          <w:vertAlign w:val="baseline"/>
        </w:rPr>
        <w:t>the highest rates of experiencing sexual assault. </w:t>
      </w:r>
      <w:hyperlink w:history="true" w:anchor="_bookmark80">
        <w:r>
          <w:rPr>
            <w:vertAlign w:val="superscript"/>
          </w:rPr>
          <w:t>14</w:t>
        </w:r>
      </w:hyperlink>
      <w:r>
        <w:rPr>
          <w:vertAlign w:val="baseline"/>
        </w:rPr>
        <w:t> Additionally, transgender and gender-nonconforming individuals who had participated in sex work (72%), had ever been unhoused (65%), and are disabled (61%) had the highest rates of experiencing sexual assault</w:t>
      </w:r>
      <w:hyperlink w:history="true" w:anchor="_bookmark80">
        <w:r>
          <w:rPr>
            <w:vertAlign w:val="baseline"/>
          </w:rPr>
          <w:t>.</w:t>
        </w:r>
        <w:r>
          <w:rPr>
            <w:vertAlign w:val="superscript"/>
          </w:rPr>
          <w:t>15</w:t>
        </w:r>
      </w:hyperlink>
      <w:r>
        <w:rPr>
          <w:vertAlign w:val="baseline"/>
        </w:rPr>
        <w:t> Furthermore, 54% of respondents to the survey</w:t>
      </w:r>
      <w:r>
        <w:rPr>
          <w:spacing w:val="-2"/>
          <w:vertAlign w:val="baseline"/>
        </w:rPr>
        <w:t> </w:t>
      </w:r>
      <w:r>
        <w:rPr>
          <w:vertAlign w:val="baseline"/>
        </w:rPr>
        <w:t>indicated</w:t>
      </w:r>
      <w:r>
        <w:rPr>
          <w:spacing w:val="-1"/>
          <w:vertAlign w:val="baseline"/>
        </w:rPr>
        <w:t> </w:t>
      </w:r>
      <w:r>
        <w:rPr>
          <w:vertAlign w:val="baseline"/>
        </w:rPr>
        <w:t>that</w:t>
      </w:r>
      <w:r>
        <w:rPr>
          <w:spacing w:val="-1"/>
          <w:vertAlign w:val="baseline"/>
        </w:rPr>
        <w:t> </w:t>
      </w:r>
      <w:r>
        <w:rPr>
          <w:vertAlign w:val="baseline"/>
        </w:rPr>
        <w:t>they have</w:t>
      </w:r>
      <w:r>
        <w:rPr>
          <w:spacing w:val="-2"/>
          <w:vertAlign w:val="baseline"/>
        </w:rPr>
        <w:t> </w:t>
      </w:r>
      <w:r>
        <w:rPr>
          <w:vertAlign w:val="baseline"/>
        </w:rPr>
        <w:t>experienced</w:t>
      </w:r>
      <w:r>
        <w:rPr>
          <w:spacing w:val="-1"/>
          <w:vertAlign w:val="baseline"/>
        </w:rPr>
        <w:t> </w:t>
      </w:r>
      <w:r>
        <w:rPr>
          <w:vertAlign w:val="baseline"/>
        </w:rPr>
        <w:t>some</w:t>
      </w:r>
      <w:r>
        <w:rPr>
          <w:spacing w:val="-2"/>
          <w:vertAlign w:val="baseline"/>
        </w:rPr>
        <w:t> </w:t>
      </w:r>
      <w:r>
        <w:rPr>
          <w:vertAlign w:val="baseline"/>
        </w:rPr>
        <w:t>form</w:t>
      </w:r>
      <w:r>
        <w:rPr>
          <w:spacing w:val="-2"/>
          <w:vertAlign w:val="baseline"/>
        </w:rPr>
        <w:t> </w:t>
      </w:r>
      <w:r>
        <w:rPr>
          <w:vertAlign w:val="baseline"/>
        </w:rPr>
        <w:t>of</w:t>
      </w:r>
      <w:r>
        <w:rPr>
          <w:spacing w:val="-1"/>
          <w:vertAlign w:val="baseline"/>
        </w:rPr>
        <w:t> </w:t>
      </w:r>
      <w:r>
        <w:rPr>
          <w:vertAlign w:val="baseline"/>
        </w:rPr>
        <w:t>intimate</w:t>
      </w:r>
      <w:r>
        <w:rPr>
          <w:spacing w:val="-2"/>
          <w:vertAlign w:val="baseline"/>
        </w:rPr>
        <w:t> </w:t>
      </w:r>
      <w:r>
        <w:rPr>
          <w:vertAlign w:val="baseline"/>
        </w:rPr>
        <w:t>partner</w:t>
      </w:r>
      <w:r>
        <w:rPr>
          <w:spacing w:val="-1"/>
          <w:vertAlign w:val="baseline"/>
        </w:rPr>
        <w:t> </w:t>
      </w:r>
      <w:r>
        <w:rPr>
          <w:vertAlign w:val="baseline"/>
        </w:rPr>
        <w:t>violence in</w:t>
      </w:r>
      <w:r>
        <w:rPr>
          <w:spacing w:val="-1"/>
          <w:vertAlign w:val="baseline"/>
        </w:rPr>
        <w:t> </w:t>
      </w:r>
      <w:r>
        <w:rPr>
          <w:vertAlign w:val="baseline"/>
        </w:rPr>
        <w:t>their</w:t>
      </w:r>
      <w:r>
        <w:rPr>
          <w:spacing w:val="-1"/>
          <w:vertAlign w:val="baseline"/>
        </w:rPr>
        <w:t> </w:t>
      </w:r>
      <w:r>
        <w:rPr>
          <w:vertAlign w:val="baseline"/>
        </w:rPr>
        <w:t>lifetimes</w:t>
      </w:r>
      <w:hyperlink w:history="true" w:anchor="_bookmark80">
        <w:r>
          <w:rPr>
            <w:vertAlign w:val="baseline"/>
          </w:rPr>
          <w:t>.</w:t>
        </w:r>
        <w:r>
          <w:rPr>
            <w:vertAlign w:val="superscript"/>
          </w:rPr>
          <w:t>16</w:t>
        </w:r>
      </w:hyperlink>
      <w:r>
        <w:rPr>
          <w:vertAlign w:val="baseline"/>
        </w:rPr>
        <w:t> Transgender and gender-nonconforming individuals who had participated in sex work (77%), had ever been unhoused (72%), are undocumented (68%), or are disabled (61%) had extremely high rates of experiencing intimate partner violence</w:t>
      </w:r>
      <w:hyperlink w:history="true" w:anchor="_bookmark80">
        <w:r>
          <w:rPr>
            <w:vertAlign w:val="baseline"/>
          </w:rPr>
          <w:t>.</w:t>
        </w:r>
        <w:r>
          <w:rPr>
            <w:vertAlign w:val="superscript"/>
          </w:rPr>
          <w:t>17</w:t>
        </w:r>
      </w:hyperlink>
    </w:p>
    <w:p>
      <w:pPr>
        <w:pStyle w:val="BodyText"/>
        <w:spacing w:line="276" w:lineRule="auto" w:before="240"/>
        <w:ind w:left="463" w:right="280"/>
        <w:jc w:val="both"/>
      </w:pPr>
      <w:bookmarkStart w:name="_bookmark91" w:id="212"/>
      <w:bookmarkEnd w:id="212"/>
      <w:r>
        <w:rPr/>
      </w:r>
      <w:r>
        <w:rPr/>
        <w:t>Like with sexual assault, American Indian (73%), Middle Eastern (62%), and Multiracial (62%) trans and gender-nonconforming</w:t>
      </w:r>
      <w:r>
        <w:rPr>
          <w:spacing w:val="-7"/>
        </w:rPr>
        <w:t> </w:t>
      </w:r>
      <w:r>
        <w:rPr/>
        <w:t>individuals</w:t>
      </w:r>
      <w:r>
        <w:rPr>
          <w:spacing w:val="-6"/>
        </w:rPr>
        <w:t> </w:t>
      </w:r>
      <w:r>
        <w:rPr/>
        <w:t>had</w:t>
      </w:r>
      <w:r>
        <w:rPr>
          <w:spacing w:val="-4"/>
        </w:rPr>
        <w:t> </w:t>
      </w:r>
      <w:r>
        <w:rPr/>
        <w:t>the</w:t>
      </w:r>
      <w:r>
        <w:rPr>
          <w:spacing w:val="-5"/>
        </w:rPr>
        <w:t> </w:t>
      </w:r>
      <w:r>
        <w:rPr/>
        <w:t>highest</w:t>
      </w:r>
      <w:r>
        <w:rPr>
          <w:spacing w:val="-7"/>
        </w:rPr>
        <w:t> </w:t>
      </w:r>
      <w:r>
        <w:rPr/>
        <w:t>rates</w:t>
      </w:r>
      <w:r>
        <w:rPr>
          <w:spacing w:val="-6"/>
        </w:rPr>
        <w:t> </w:t>
      </w:r>
      <w:r>
        <w:rPr/>
        <w:t>of</w:t>
      </w:r>
      <w:r>
        <w:rPr>
          <w:spacing w:val="-6"/>
        </w:rPr>
        <w:t> </w:t>
      </w:r>
      <w:r>
        <w:rPr/>
        <w:t>experiencing</w:t>
      </w:r>
      <w:r>
        <w:rPr>
          <w:spacing w:val="-7"/>
        </w:rPr>
        <w:t> </w:t>
      </w:r>
      <w:r>
        <w:rPr/>
        <w:t>intimate</w:t>
      </w:r>
      <w:r>
        <w:rPr>
          <w:spacing w:val="-7"/>
        </w:rPr>
        <w:t> </w:t>
      </w:r>
      <w:r>
        <w:rPr/>
        <w:t>partner</w:t>
      </w:r>
      <w:r>
        <w:rPr>
          <w:spacing w:val="-6"/>
        </w:rPr>
        <w:t> </w:t>
      </w:r>
      <w:r>
        <w:rPr/>
        <w:t>violence.</w:t>
      </w:r>
      <w:hyperlink w:history="true" w:anchor="_bookmark81">
        <w:r>
          <w:rPr>
            <w:vertAlign w:val="superscript"/>
          </w:rPr>
          <w:t>18</w:t>
        </w:r>
      </w:hyperlink>
      <w:r>
        <w:rPr>
          <w:spacing w:val="-5"/>
          <w:vertAlign w:val="baseline"/>
        </w:rPr>
        <w:t> </w:t>
      </w:r>
      <w:r>
        <w:rPr>
          <w:vertAlign w:val="baseline"/>
        </w:rPr>
        <w:t>For youth</w:t>
      </w:r>
      <w:r>
        <w:rPr>
          <w:spacing w:val="-7"/>
          <w:vertAlign w:val="baseline"/>
        </w:rPr>
        <w:t> </w:t>
      </w:r>
      <w:r>
        <w:rPr>
          <w:vertAlign w:val="baseline"/>
        </w:rPr>
        <w:t>attending</w:t>
      </w:r>
      <w:r>
        <w:rPr>
          <w:spacing w:val="-7"/>
          <w:vertAlign w:val="baseline"/>
        </w:rPr>
        <w:t> </w:t>
      </w:r>
      <w:r>
        <w:rPr>
          <w:vertAlign w:val="baseline"/>
        </w:rPr>
        <w:t>2-</w:t>
      </w:r>
      <w:r>
        <w:rPr>
          <w:spacing w:val="-6"/>
          <w:vertAlign w:val="baseline"/>
        </w:rPr>
        <w:t> </w:t>
      </w:r>
      <w:r>
        <w:rPr>
          <w:vertAlign w:val="baseline"/>
        </w:rPr>
        <w:t>and</w:t>
      </w:r>
      <w:r>
        <w:rPr>
          <w:spacing w:val="-7"/>
          <w:vertAlign w:val="baseline"/>
        </w:rPr>
        <w:t> </w:t>
      </w:r>
      <w:r>
        <w:rPr>
          <w:vertAlign w:val="baseline"/>
        </w:rPr>
        <w:t>4-year</w:t>
      </w:r>
      <w:r>
        <w:rPr>
          <w:spacing w:val="-6"/>
          <w:vertAlign w:val="baseline"/>
        </w:rPr>
        <w:t> </w:t>
      </w:r>
      <w:r>
        <w:rPr>
          <w:vertAlign w:val="baseline"/>
        </w:rPr>
        <w:t>undergraduate</w:t>
      </w:r>
      <w:r>
        <w:rPr>
          <w:spacing w:val="-7"/>
          <w:vertAlign w:val="baseline"/>
        </w:rPr>
        <w:t> </w:t>
      </w:r>
      <w:r>
        <w:rPr>
          <w:vertAlign w:val="baseline"/>
        </w:rPr>
        <w:t>institutions,</w:t>
      </w:r>
      <w:r>
        <w:rPr>
          <w:spacing w:val="-6"/>
          <w:vertAlign w:val="baseline"/>
        </w:rPr>
        <w:t> </w:t>
      </w:r>
      <w:r>
        <w:rPr>
          <w:vertAlign w:val="baseline"/>
        </w:rPr>
        <w:t>transgender</w:t>
      </w:r>
      <w:r>
        <w:rPr>
          <w:spacing w:val="-6"/>
          <w:vertAlign w:val="baseline"/>
        </w:rPr>
        <w:t> </w:t>
      </w:r>
      <w:r>
        <w:rPr>
          <w:vertAlign w:val="baseline"/>
        </w:rPr>
        <w:t>and</w:t>
      </w:r>
      <w:r>
        <w:rPr>
          <w:spacing w:val="-5"/>
          <w:vertAlign w:val="baseline"/>
        </w:rPr>
        <w:t> </w:t>
      </w:r>
      <w:r>
        <w:rPr>
          <w:vertAlign w:val="baseline"/>
        </w:rPr>
        <w:t>gender</w:t>
      </w:r>
      <w:r>
        <w:rPr>
          <w:spacing w:val="-6"/>
          <w:vertAlign w:val="baseline"/>
        </w:rPr>
        <w:t> </w:t>
      </w:r>
      <w:r>
        <w:rPr>
          <w:vertAlign w:val="baseline"/>
        </w:rPr>
        <w:t>expansive</w:t>
      </w:r>
      <w:r>
        <w:rPr>
          <w:spacing w:val="-7"/>
          <w:vertAlign w:val="baseline"/>
        </w:rPr>
        <w:t> </w:t>
      </w:r>
      <w:r>
        <w:rPr>
          <w:vertAlign w:val="baseline"/>
        </w:rPr>
        <w:t>individuals consistently experience intimate partner violence at higher rates than their cisgender peers. According </w:t>
      </w:r>
      <w:r>
        <w:rPr>
          <w:spacing w:val="-2"/>
          <w:vertAlign w:val="baseline"/>
        </w:rPr>
        <w:t>to the National College Health Assessment, conducted by the American College Health Association, 10.8% </w:t>
      </w:r>
      <w:r>
        <w:rPr>
          <w:vertAlign w:val="baseline"/>
        </w:rPr>
        <w:t>of trans and gender-nonconforming undergraduate students have experienced emotional or verbal intimate partner violence, 3.8% have experienced physical intimate partner violence, and 5.7% have experienced sexual intimate partner violence</w:t>
      </w:r>
      <w:hyperlink w:history="true" w:anchor="_bookmark81">
        <w:r>
          <w:rPr>
            <w:vertAlign w:val="baseline"/>
          </w:rPr>
          <w:t>.</w:t>
        </w:r>
        <w:r>
          <w:rPr>
            <w:vertAlign w:val="superscript"/>
          </w:rPr>
          <w:t>19</w:t>
        </w:r>
      </w:hyperlink>
    </w:p>
    <w:p>
      <w:pPr>
        <w:spacing w:before="239"/>
        <w:ind w:left="463" w:right="0" w:firstLine="0"/>
        <w:jc w:val="both"/>
        <w:rPr>
          <w:sz w:val="28"/>
        </w:rPr>
      </w:pPr>
      <w:bookmarkStart w:name="Types of Intimate Partner Violence and I" w:id="213"/>
      <w:bookmarkEnd w:id="213"/>
      <w:r>
        <w:rPr/>
      </w:r>
      <w:bookmarkStart w:name="_bookmark92" w:id="214"/>
      <w:bookmarkEnd w:id="214"/>
      <w:r>
        <w:rPr/>
      </w:r>
      <w:r>
        <w:rPr>
          <w:color w:val="365F91"/>
          <w:sz w:val="28"/>
        </w:rPr>
        <w:t>Types</w:t>
      </w:r>
      <w:r>
        <w:rPr>
          <w:color w:val="365F91"/>
          <w:spacing w:val="-9"/>
          <w:sz w:val="28"/>
        </w:rPr>
        <w:t> </w:t>
      </w:r>
      <w:r>
        <w:rPr>
          <w:color w:val="365F91"/>
          <w:sz w:val="28"/>
        </w:rPr>
        <w:t>of</w:t>
      </w:r>
      <w:r>
        <w:rPr>
          <w:color w:val="365F91"/>
          <w:spacing w:val="-9"/>
          <w:sz w:val="28"/>
        </w:rPr>
        <w:t> </w:t>
      </w:r>
      <w:r>
        <w:rPr>
          <w:color w:val="365F91"/>
          <w:sz w:val="28"/>
        </w:rPr>
        <w:t>Intimate</w:t>
      </w:r>
      <w:r>
        <w:rPr>
          <w:color w:val="365F91"/>
          <w:spacing w:val="-9"/>
          <w:sz w:val="28"/>
        </w:rPr>
        <w:t> </w:t>
      </w:r>
      <w:r>
        <w:rPr>
          <w:color w:val="365F91"/>
          <w:sz w:val="28"/>
        </w:rPr>
        <w:t>Partner</w:t>
      </w:r>
      <w:r>
        <w:rPr>
          <w:color w:val="365F91"/>
          <w:spacing w:val="-9"/>
          <w:sz w:val="28"/>
        </w:rPr>
        <w:t> </w:t>
      </w:r>
      <w:r>
        <w:rPr>
          <w:color w:val="365F91"/>
          <w:sz w:val="28"/>
        </w:rPr>
        <w:t>Violence</w:t>
      </w:r>
      <w:r>
        <w:rPr>
          <w:color w:val="365F91"/>
          <w:spacing w:val="-9"/>
          <w:sz w:val="28"/>
        </w:rPr>
        <w:t> </w:t>
      </w:r>
      <w:r>
        <w:rPr>
          <w:color w:val="365F91"/>
          <w:sz w:val="28"/>
        </w:rPr>
        <w:t>and</w:t>
      </w:r>
      <w:r>
        <w:rPr>
          <w:color w:val="365F91"/>
          <w:spacing w:val="-10"/>
          <w:sz w:val="28"/>
        </w:rPr>
        <w:t> </w:t>
      </w:r>
      <w:r>
        <w:rPr>
          <w:color w:val="365F91"/>
          <w:spacing w:val="-2"/>
          <w:sz w:val="28"/>
        </w:rPr>
        <w:t>Interventions</w:t>
      </w:r>
    </w:p>
    <w:p>
      <w:pPr>
        <w:pStyle w:val="BodyText"/>
        <w:spacing w:line="276" w:lineRule="auto" w:before="293"/>
        <w:ind w:left="463" w:right="280"/>
        <w:jc w:val="both"/>
      </w:pPr>
      <w:r>
        <w:rPr/>
        <w:t>Intimate partner violence is often depicted as physical violence, </w:t>
      </w:r>
      <w:bookmarkStart w:name="_bookmark93" w:id="215"/>
      <w:bookmarkEnd w:id="215"/>
      <w:r>
        <w:rPr/>
        <w:t>but</w:t>
      </w:r>
      <w:r>
        <w:rPr/>
        <w:t> intimate partner violence can manifest</w:t>
      </w:r>
      <w:r>
        <w:rPr>
          <w:spacing w:val="26"/>
        </w:rPr>
        <w:t> </w:t>
      </w:r>
      <w:r>
        <w:rPr/>
        <w:t>in</w:t>
      </w:r>
      <w:r>
        <w:rPr>
          <w:spacing w:val="26"/>
        </w:rPr>
        <w:t> </w:t>
      </w:r>
      <w:r>
        <w:rPr/>
        <w:t>a</w:t>
      </w:r>
      <w:r>
        <w:rPr>
          <w:spacing w:val="28"/>
        </w:rPr>
        <w:t> </w:t>
      </w:r>
      <w:r>
        <w:rPr/>
        <w:t>variety</w:t>
      </w:r>
      <w:r>
        <w:rPr>
          <w:spacing w:val="27"/>
        </w:rPr>
        <w:t> </w:t>
      </w:r>
      <w:r>
        <w:rPr/>
        <w:t>of</w:t>
      </w:r>
      <w:r>
        <w:rPr>
          <w:spacing w:val="26"/>
        </w:rPr>
        <w:t> </w:t>
      </w:r>
      <w:r>
        <w:rPr/>
        <w:t>forms</w:t>
      </w:r>
      <w:r>
        <w:rPr>
          <w:spacing w:val="27"/>
        </w:rPr>
        <w:t> </w:t>
      </w:r>
      <w:r>
        <w:rPr/>
        <w:t>beyond</w:t>
      </w:r>
      <w:r>
        <w:rPr>
          <w:spacing w:val="27"/>
        </w:rPr>
        <w:t> </w:t>
      </w:r>
      <w:r>
        <w:rPr/>
        <w:t>the</w:t>
      </w:r>
      <w:r>
        <w:rPr>
          <w:spacing w:val="27"/>
        </w:rPr>
        <w:t> </w:t>
      </w:r>
      <w:r>
        <w:rPr/>
        <w:t>physical.</w:t>
      </w:r>
      <w:r>
        <w:rPr>
          <w:spacing w:val="27"/>
        </w:rPr>
        <w:t> </w:t>
      </w:r>
      <w:r>
        <w:rPr/>
        <w:t>For</w:t>
      </w:r>
      <w:r>
        <w:rPr>
          <w:spacing w:val="27"/>
        </w:rPr>
        <w:t> </w:t>
      </w:r>
      <w:r>
        <w:rPr/>
        <w:t>young</w:t>
      </w:r>
      <w:r>
        <w:rPr>
          <w:spacing w:val="27"/>
        </w:rPr>
        <w:t> </w:t>
      </w:r>
      <w:r>
        <w:rPr/>
        <w:t>people</w:t>
      </w:r>
      <w:r>
        <w:rPr>
          <w:spacing w:val="26"/>
        </w:rPr>
        <w:t> </w:t>
      </w:r>
      <w:r>
        <w:rPr/>
        <w:t>in</w:t>
      </w:r>
      <w:r>
        <w:rPr>
          <w:spacing w:val="27"/>
        </w:rPr>
        <w:t> </w:t>
      </w:r>
      <w:r>
        <w:rPr/>
        <w:t>particular,</w:t>
      </w:r>
      <w:r>
        <w:rPr>
          <w:spacing w:val="27"/>
        </w:rPr>
        <w:t> </w:t>
      </w:r>
      <w:r>
        <w:rPr/>
        <w:t>intimate</w:t>
      </w:r>
      <w:r>
        <w:rPr>
          <w:spacing w:val="26"/>
        </w:rPr>
        <w:t> </w:t>
      </w:r>
      <w:r>
        <w:rPr/>
        <w:t>partner</w:t>
      </w:r>
    </w:p>
    <w:p>
      <w:pPr>
        <w:spacing w:after="0" w:line="276" w:lineRule="auto"/>
        <w:jc w:val="both"/>
        <w:sectPr>
          <w:pgSz w:w="11910" w:h="16840"/>
          <w:pgMar w:header="804" w:footer="1230" w:top="1080" w:bottom="1480" w:left="980" w:right="900"/>
        </w:sectPr>
      </w:pPr>
    </w:p>
    <w:p>
      <w:pPr>
        <w:pStyle w:val="BodyText"/>
        <w:spacing w:line="276" w:lineRule="auto" w:before="69"/>
        <w:ind w:left="463" w:right="285"/>
        <w:jc w:val="both"/>
        <w:rPr>
          <w:i/>
        </w:rPr>
      </w:pPr>
      <w:r>
        <w:rPr/>
        <w:t>violence often presents as emotional, verbal, or psychological abuse, with an increasing amount of harassment and violence taking place on digital platforms</w:t>
      </w:r>
      <w:hyperlink w:history="true" w:anchor="_bookmark82">
        <w:r>
          <w:rPr/>
          <w:t>.</w:t>
        </w:r>
        <w:r>
          <w:rPr>
            <w:i/>
            <w:vertAlign w:val="superscript"/>
          </w:rPr>
          <w:t>20</w:t>
        </w:r>
      </w:hyperlink>
    </w:p>
    <w:p>
      <w:pPr>
        <w:pStyle w:val="BodyText"/>
        <w:spacing w:line="276" w:lineRule="auto" w:before="239"/>
        <w:ind w:left="463" w:right="281"/>
        <w:jc w:val="both"/>
      </w:pPr>
      <w:r>
        <w:rPr/>
        <w:t>Intimate partner violence is a multi-faceted issue that r</w:t>
      </w:r>
      <w:bookmarkStart w:name="_bookmark94" w:id="216"/>
      <w:bookmarkEnd w:id="216"/>
      <w:r>
        <w:rPr/>
        <w:t>e</w:t>
      </w:r>
      <w:r>
        <w:rPr/>
        <w:t>quires intervention on numerous fronts. Generally, these interventions occur at the individual or interpersonal levels of the SEM, with the long- term goal of shifting cultural norms and values around intimate partner violence perpetration and victimization. The majority of successful youth intimate partner violence interventions fall under one of three categories: 1) school-based dating violence interventions, 2) community-based gender equity interventions, or 3) parent-focused relationship-building interventions. </w:t>
      </w:r>
      <w:hyperlink w:history="true" w:anchor="_bookmark82">
        <w:r>
          <w:rPr>
            <w:vertAlign w:val="superscript"/>
          </w:rPr>
          <w:t>21</w:t>
        </w:r>
      </w:hyperlink>
      <w:r>
        <w:rPr>
          <w:vertAlign w:val="baseline"/>
        </w:rPr>
        <w:t> Additionally, results from meta-analyses show that long-term programs with multiple sessions and multiple methods of </w:t>
      </w:r>
      <w:r>
        <w:rPr>
          <w:spacing w:val="-2"/>
          <w:vertAlign w:val="baseline"/>
        </w:rPr>
        <w:t>engagement are</w:t>
      </w:r>
      <w:r>
        <w:rPr>
          <w:spacing w:val="-3"/>
          <w:vertAlign w:val="baseline"/>
        </w:rPr>
        <w:t> </w:t>
      </w:r>
      <w:r>
        <w:rPr>
          <w:spacing w:val="-2"/>
          <w:vertAlign w:val="baseline"/>
        </w:rPr>
        <w:t>more</w:t>
      </w:r>
      <w:r>
        <w:rPr>
          <w:spacing w:val="-3"/>
          <w:vertAlign w:val="baseline"/>
        </w:rPr>
        <w:t> </w:t>
      </w:r>
      <w:r>
        <w:rPr>
          <w:spacing w:val="-2"/>
          <w:vertAlign w:val="baseline"/>
        </w:rPr>
        <w:t>successful</w:t>
      </w:r>
      <w:r>
        <w:rPr>
          <w:spacing w:val="-3"/>
          <w:vertAlign w:val="baseline"/>
        </w:rPr>
        <w:t> </w:t>
      </w:r>
      <w:r>
        <w:rPr>
          <w:spacing w:val="-2"/>
          <w:vertAlign w:val="baseline"/>
        </w:rPr>
        <w:t>than</w:t>
      </w:r>
      <w:r>
        <w:rPr>
          <w:spacing w:val="-3"/>
          <w:vertAlign w:val="baseline"/>
        </w:rPr>
        <w:t> </w:t>
      </w:r>
      <w:r>
        <w:rPr>
          <w:spacing w:val="-2"/>
          <w:vertAlign w:val="baseline"/>
        </w:rPr>
        <w:t>single- day,</w:t>
      </w:r>
      <w:r>
        <w:rPr>
          <w:spacing w:val="-3"/>
          <w:vertAlign w:val="baseline"/>
        </w:rPr>
        <w:t> </w:t>
      </w:r>
      <w:r>
        <w:rPr>
          <w:spacing w:val="-2"/>
          <w:vertAlign w:val="baseline"/>
        </w:rPr>
        <w:t>single-method interventions. </w:t>
      </w:r>
      <w:hyperlink w:history="true" w:anchor="_bookmark82">
        <w:r>
          <w:rPr>
            <w:spacing w:val="-2"/>
            <w:vertAlign w:val="superscript"/>
          </w:rPr>
          <w:t>22</w:t>
        </w:r>
      </w:hyperlink>
      <w:r>
        <w:rPr>
          <w:spacing w:val="-3"/>
          <w:vertAlign w:val="baseline"/>
        </w:rPr>
        <w:t> </w:t>
      </w:r>
      <w:r>
        <w:rPr>
          <w:spacing w:val="-2"/>
          <w:vertAlign w:val="baseline"/>
        </w:rPr>
        <w:t>By</w:t>
      </w:r>
      <w:r>
        <w:rPr>
          <w:spacing w:val="-3"/>
          <w:vertAlign w:val="baseline"/>
        </w:rPr>
        <w:t> </w:t>
      </w:r>
      <w:r>
        <w:rPr>
          <w:spacing w:val="-2"/>
          <w:vertAlign w:val="baseline"/>
        </w:rPr>
        <w:t>far the most</w:t>
      </w:r>
      <w:r>
        <w:rPr>
          <w:spacing w:val="-3"/>
          <w:vertAlign w:val="baseline"/>
        </w:rPr>
        <w:t> </w:t>
      </w:r>
      <w:r>
        <w:rPr>
          <w:spacing w:val="-2"/>
          <w:vertAlign w:val="baseline"/>
        </w:rPr>
        <w:t>popular </w:t>
      </w:r>
      <w:r>
        <w:rPr>
          <w:vertAlign w:val="baseline"/>
        </w:rPr>
        <w:t>type of intervention is a school-based dating violence intervention, which may take the form of group education, peer mentorship, and/or bystander intervention training.</w:t>
      </w:r>
      <w:hyperlink w:history="true" w:anchor="_bookmark82">
        <w:r>
          <w:rPr>
            <w:vertAlign w:val="superscript"/>
          </w:rPr>
          <w:t>23</w:t>
        </w:r>
      </w:hyperlink>
    </w:p>
    <w:p>
      <w:pPr>
        <w:pStyle w:val="BodyText"/>
        <w:spacing w:line="276" w:lineRule="auto" w:before="121"/>
        <w:ind w:left="463" w:right="281"/>
        <w:jc w:val="both"/>
      </w:pPr>
      <w:bookmarkStart w:name="_bookmark95" w:id="217"/>
      <w:bookmarkEnd w:id="217"/>
      <w:r>
        <w:rPr/>
      </w:r>
      <w:r>
        <w:rPr/>
        <w:t>These interventions have shown promising results, such as reductions in physical, psychological, and sexual violence perpetration; increased knowledge of the different types of intimate partner violence; decreased acceptance of intimate partner violence; improved conflict resolution skills; and a greater likelihood to act as active bystanders in situations of bullying or dating violence</w:t>
      </w:r>
      <w:hyperlink w:history="true" w:anchor="_bookmark82">
        <w:r>
          <w:rPr/>
          <w:t>.</w:t>
        </w:r>
        <w:r>
          <w:rPr>
            <w:vertAlign w:val="superscript"/>
          </w:rPr>
          <w:t>24</w:t>
        </w:r>
      </w:hyperlink>
      <w:hyperlink w:history="true" w:anchor="_bookmark82">
        <w:r>
          <w:rPr>
            <w:vertAlign w:val="superscript"/>
          </w:rPr>
          <w:t>,25</w:t>
        </w:r>
      </w:hyperlink>
      <w:hyperlink w:history="true" w:anchor="_bookmark82">
        <w:r>
          <w:rPr>
            <w:vertAlign w:val="superscript"/>
          </w:rPr>
          <w:t>,26</w:t>
        </w:r>
      </w:hyperlink>
      <w:r>
        <w:rPr>
          <w:vertAlign w:val="baseline"/>
        </w:rPr>
        <w:t> Oftentimes, relationship</w:t>
      </w:r>
      <w:r>
        <w:rPr>
          <w:spacing w:val="-7"/>
          <w:vertAlign w:val="baseline"/>
        </w:rPr>
        <w:t> </w:t>
      </w:r>
      <w:r>
        <w:rPr>
          <w:vertAlign w:val="baseline"/>
        </w:rPr>
        <w:t>skill-building</w:t>
      </w:r>
      <w:r>
        <w:rPr>
          <w:spacing w:val="-6"/>
          <w:vertAlign w:val="baseline"/>
        </w:rPr>
        <w:t> </w:t>
      </w:r>
      <w:r>
        <w:rPr>
          <w:vertAlign w:val="baseline"/>
        </w:rPr>
        <w:t>and</w:t>
      </w:r>
      <w:r>
        <w:rPr>
          <w:spacing w:val="-8"/>
          <w:vertAlign w:val="baseline"/>
        </w:rPr>
        <w:t> </w:t>
      </w:r>
      <w:r>
        <w:rPr>
          <w:vertAlign w:val="baseline"/>
        </w:rPr>
        <w:t>relationship</w:t>
      </w:r>
      <w:r>
        <w:rPr>
          <w:spacing w:val="-8"/>
          <w:vertAlign w:val="baseline"/>
        </w:rPr>
        <w:t> </w:t>
      </w:r>
      <w:r>
        <w:rPr>
          <w:vertAlign w:val="baseline"/>
        </w:rPr>
        <w:t>violence</w:t>
      </w:r>
      <w:r>
        <w:rPr>
          <w:spacing w:val="-6"/>
          <w:vertAlign w:val="baseline"/>
        </w:rPr>
        <w:t> </w:t>
      </w:r>
      <w:r>
        <w:rPr>
          <w:vertAlign w:val="baseline"/>
        </w:rPr>
        <w:t>prevention</w:t>
      </w:r>
      <w:r>
        <w:rPr>
          <w:spacing w:val="-7"/>
          <w:vertAlign w:val="baseline"/>
        </w:rPr>
        <w:t> </w:t>
      </w:r>
      <w:r>
        <w:rPr>
          <w:vertAlign w:val="baseline"/>
        </w:rPr>
        <w:t>will</w:t>
      </w:r>
      <w:r>
        <w:rPr>
          <w:spacing w:val="-5"/>
          <w:vertAlign w:val="baseline"/>
        </w:rPr>
        <w:t> </w:t>
      </w:r>
      <w:r>
        <w:rPr>
          <w:vertAlign w:val="baseline"/>
        </w:rPr>
        <w:t>be</w:t>
      </w:r>
      <w:r>
        <w:rPr>
          <w:spacing w:val="-7"/>
          <w:vertAlign w:val="baseline"/>
        </w:rPr>
        <w:t> </w:t>
      </w:r>
      <w:r>
        <w:rPr>
          <w:vertAlign w:val="baseline"/>
        </w:rPr>
        <w:t>built</w:t>
      </w:r>
      <w:r>
        <w:rPr>
          <w:spacing w:val="-8"/>
          <w:vertAlign w:val="baseline"/>
        </w:rPr>
        <w:t> </w:t>
      </w:r>
      <w:r>
        <w:rPr>
          <w:vertAlign w:val="baseline"/>
        </w:rPr>
        <w:t>into</w:t>
      </w:r>
      <w:r>
        <w:rPr>
          <w:spacing w:val="-6"/>
          <w:vertAlign w:val="baseline"/>
        </w:rPr>
        <w:t> </w:t>
      </w:r>
      <w:r>
        <w:rPr>
          <w:vertAlign w:val="baseline"/>
        </w:rPr>
        <w:t>comprehensive</w:t>
      </w:r>
      <w:r>
        <w:rPr>
          <w:spacing w:val="-7"/>
          <w:vertAlign w:val="baseline"/>
        </w:rPr>
        <w:t> </w:t>
      </w:r>
      <w:r>
        <w:rPr>
          <w:vertAlign w:val="baseline"/>
        </w:rPr>
        <w:t>sexuality education</w:t>
      </w:r>
      <w:r>
        <w:rPr>
          <w:spacing w:val="-13"/>
          <w:vertAlign w:val="baseline"/>
        </w:rPr>
        <w:t> </w:t>
      </w:r>
      <w:r>
        <w:rPr>
          <w:vertAlign w:val="baseline"/>
        </w:rPr>
        <w:t>programs,</w:t>
      </w:r>
      <w:r>
        <w:rPr>
          <w:spacing w:val="-12"/>
          <w:vertAlign w:val="baseline"/>
        </w:rPr>
        <w:t> </w:t>
      </w:r>
      <w:r>
        <w:rPr>
          <w:vertAlign w:val="baseline"/>
        </w:rPr>
        <w:t>which</w:t>
      </w:r>
      <w:r>
        <w:rPr>
          <w:spacing w:val="-13"/>
          <w:vertAlign w:val="baseline"/>
        </w:rPr>
        <w:t> </w:t>
      </w:r>
      <w:r>
        <w:rPr>
          <w:vertAlign w:val="baseline"/>
        </w:rPr>
        <w:t>have</w:t>
      </w:r>
      <w:r>
        <w:rPr>
          <w:spacing w:val="-12"/>
          <w:vertAlign w:val="baseline"/>
        </w:rPr>
        <w:t> </w:t>
      </w:r>
      <w:r>
        <w:rPr>
          <w:vertAlign w:val="baseline"/>
        </w:rPr>
        <w:t>also</w:t>
      </w:r>
      <w:r>
        <w:rPr>
          <w:spacing w:val="-13"/>
          <w:vertAlign w:val="baseline"/>
        </w:rPr>
        <w:t> </w:t>
      </w:r>
      <w:r>
        <w:rPr>
          <w:vertAlign w:val="baseline"/>
        </w:rPr>
        <w:t>shown</w:t>
      </w:r>
      <w:r>
        <w:rPr>
          <w:spacing w:val="-12"/>
          <w:vertAlign w:val="baseline"/>
        </w:rPr>
        <w:t> </w:t>
      </w:r>
      <w:r>
        <w:rPr>
          <w:vertAlign w:val="baseline"/>
        </w:rPr>
        <w:t>promising</w:t>
      </w:r>
      <w:r>
        <w:rPr>
          <w:spacing w:val="-13"/>
          <w:vertAlign w:val="baseline"/>
        </w:rPr>
        <w:t> </w:t>
      </w:r>
      <w:r>
        <w:rPr>
          <w:vertAlign w:val="baseline"/>
        </w:rPr>
        <w:t>results,</w:t>
      </w:r>
      <w:r>
        <w:rPr>
          <w:spacing w:val="-12"/>
          <w:vertAlign w:val="baseline"/>
        </w:rPr>
        <w:t> </w:t>
      </w:r>
      <w:r>
        <w:rPr>
          <w:vertAlign w:val="baseline"/>
        </w:rPr>
        <w:t>including</w:t>
      </w:r>
      <w:r>
        <w:rPr>
          <w:spacing w:val="-12"/>
          <w:vertAlign w:val="baseline"/>
        </w:rPr>
        <w:t> </w:t>
      </w:r>
      <w:r>
        <w:rPr>
          <w:vertAlign w:val="baseline"/>
        </w:rPr>
        <w:t>increased</w:t>
      </w:r>
      <w:r>
        <w:rPr>
          <w:spacing w:val="-13"/>
          <w:vertAlign w:val="baseline"/>
        </w:rPr>
        <w:t> </w:t>
      </w:r>
      <w:r>
        <w:rPr>
          <w:vertAlign w:val="baseline"/>
        </w:rPr>
        <w:t>awareness</w:t>
      </w:r>
      <w:r>
        <w:rPr>
          <w:spacing w:val="-12"/>
          <w:vertAlign w:val="baseline"/>
        </w:rPr>
        <w:t> </w:t>
      </w:r>
      <w:r>
        <w:rPr>
          <w:vertAlign w:val="baseline"/>
        </w:rPr>
        <w:t>of</w:t>
      </w:r>
      <w:r>
        <w:rPr>
          <w:spacing w:val="-13"/>
          <w:vertAlign w:val="baseline"/>
        </w:rPr>
        <w:t> </w:t>
      </w:r>
      <w:r>
        <w:rPr>
          <w:vertAlign w:val="baseline"/>
        </w:rPr>
        <w:t>intimate partner violence as a serious issue, decreased tolerance of abusive behaviors by peers, improved communication skills, decreased intimate partner violence perpetration, and increased positive bystander behaviors.</w:t>
      </w:r>
      <w:hyperlink w:history="true" w:anchor="_bookmark83">
        <w:r>
          <w:rPr>
            <w:vertAlign w:val="superscript"/>
          </w:rPr>
          <w:t>2</w:t>
        </w:r>
      </w:hyperlink>
      <w:r>
        <w:rPr>
          <w:vertAlign w:val="baseline"/>
        </w:rPr>
        <w:t> Unfortunately, there is no consistency across Massachusetts as to what kind of dating violence intervention students receive; some school districts have adopted the 3R’s (Rights, Respect, Responsibility) programming, which is a comprehensive sexuality education curriculum that includes</w:t>
      </w:r>
      <w:r>
        <w:rPr>
          <w:spacing w:val="-1"/>
          <w:vertAlign w:val="baseline"/>
        </w:rPr>
        <w:t> </w:t>
      </w:r>
      <w:r>
        <w:rPr>
          <w:vertAlign w:val="baseline"/>
        </w:rPr>
        <w:t>education</w:t>
      </w:r>
      <w:r>
        <w:rPr>
          <w:spacing w:val="-2"/>
          <w:vertAlign w:val="baseline"/>
        </w:rPr>
        <w:t> </w:t>
      </w:r>
      <w:r>
        <w:rPr>
          <w:vertAlign w:val="baseline"/>
        </w:rPr>
        <w:t>on</w:t>
      </w:r>
      <w:r>
        <w:rPr>
          <w:spacing w:val="-1"/>
          <w:vertAlign w:val="baseline"/>
        </w:rPr>
        <w:t> </w:t>
      </w:r>
      <w:r>
        <w:rPr>
          <w:vertAlign w:val="baseline"/>
        </w:rPr>
        <w:t>consent</w:t>
      </w:r>
      <w:r>
        <w:rPr>
          <w:spacing w:val="-1"/>
          <w:vertAlign w:val="baseline"/>
        </w:rPr>
        <w:t> </w:t>
      </w:r>
      <w:r>
        <w:rPr>
          <w:vertAlign w:val="baseline"/>
        </w:rPr>
        <w:t>and</w:t>
      </w:r>
      <w:r>
        <w:rPr>
          <w:spacing w:val="-1"/>
          <w:vertAlign w:val="baseline"/>
        </w:rPr>
        <w:t> </w:t>
      </w:r>
      <w:r>
        <w:rPr>
          <w:vertAlign w:val="baseline"/>
        </w:rPr>
        <w:t>healthy</w:t>
      </w:r>
      <w:r>
        <w:rPr>
          <w:spacing w:val="-2"/>
          <w:vertAlign w:val="baseline"/>
        </w:rPr>
        <w:t> </w:t>
      </w:r>
      <w:r>
        <w:rPr>
          <w:vertAlign w:val="baseline"/>
        </w:rPr>
        <w:t>relationships.</w:t>
      </w:r>
      <w:r>
        <w:rPr>
          <w:spacing w:val="-1"/>
          <w:vertAlign w:val="baseline"/>
        </w:rPr>
        <w:t> </w:t>
      </w:r>
      <w:hyperlink w:history="true" w:anchor="_bookmark83">
        <w:r>
          <w:rPr>
            <w:vertAlign w:val="superscript"/>
          </w:rPr>
          <w:t>28</w:t>
        </w:r>
      </w:hyperlink>
      <w:r>
        <w:rPr>
          <w:spacing w:val="-1"/>
          <w:vertAlign w:val="baseline"/>
        </w:rPr>
        <w:t> </w:t>
      </w:r>
      <w:r>
        <w:rPr>
          <w:vertAlign w:val="baseline"/>
        </w:rPr>
        <w:t>Although</w:t>
      </w:r>
      <w:r>
        <w:rPr>
          <w:spacing w:val="-2"/>
          <w:vertAlign w:val="baseline"/>
        </w:rPr>
        <w:t> </w:t>
      </w:r>
      <w:r>
        <w:rPr>
          <w:vertAlign w:val="baseline"/>
        </w:rPr>
        <w:t>this</w:t>
      </w:r>
      <w:r>
        <w:rPr>
          <w:spacing w:val="-1"/>
          <w:vertAlign w:val="baseline"/>
        </w:rPr>
        <w:t> </w:t>
      </w:r>
      <w:r>
        <w:rPr>
          <w:vertAlign w:val="baseline"/>
        </w:rPr>
        <w:t>program</w:t>
      </w:r>
      <w:r>
        <w:rPr>
          <w:spacing w:val="-2"/>
          <w:vertAlign w:val="baseline"/>
        </w:rPr>
        <w:t> </w:t>
      </w:r>
      <w:r>
        <w:rPr>
          <w:vertAlign w:val="baseline"/>
        </w:rPr>
        <w:t>is one</w:t>
      </w:r>
      <w:r>
        <w:rPr>
          <w:spacing w:val="-2"/>
          <w:vertAlign w:val="baseline"/>
        </w:rPr>
        <w:t> </w:t>
      </w:r>
      <w:r>
        <w:rPr>
          <w:vertAlign w:val="baseline"/>
        </w:rPr>
        <w:t>of the</w:t>
      </w:r>
      <w:r>
        <w:rPr>
          <w:spacing w:val="-2"/>
          <w:vertAlign w:val="baseline"/>
        </w:rPr>
        <w:t> </w:t>
      </w:r>
      <w:r>
        <w:rPr>
          <w:vertAlign w:val="baseline"/>
        </w:rPr>
        <w:t>premier comprehensive sexuality education curriculums, it has yet to be implemented at a state-wide level; as highlighted in the sexual health section of this annual report, the Healthy Youth Act (</w:t>
      </w:r>
      <w:hyperlink r:id="rId130">
        <w:r>
          <w:rPr>
            <w:u w:val="single"/>
            <w:vertAlign w:val="baseline"/>
          </w:rPr>
          <w:t>S.268</w:t>
        </w:r>
      </w:hyperlink>
      <w:r>
        <w:rPr>
          <w:u w:val="none"/>
          <w:vertAlign w:val="baseline"/>
        </w:rPr>
        <w:t>/</w:t>
      </w:r>
      <w:hyperlink r:id="rId131">
        <w:r>
          <w:rPr>
            <w:u w:val="single"/>
            <w:vertAlign w:val="baseline"/>
          </w:rPr>
          <w:t>H.544</w:t>
        </w:r>
      </w:hyperlink>
      <w:r>
        <w:rPr>
          <w:u w:val="none"/>
          <w:vertAlign w:val="baseline"/>
        </w:rPr>
        <w:t>) is an opportunity for Massachusetts legislators to ensure that Massachusetts youth have access to medically accurate, inclusive, culturally appropriate sexual health education</w:t>
      </w:r>
      <w:hyperlink w:history="true" w:anchor="_bookmark83">
        <w:r>
          <w:rPr>
            <w:u w:val="none"/>
            <w:vertAlign w:val="baseline"/>
          </w:rPr>
          <w:t>.</w:t>
        </w:r>
        <w:r>
          <w:rPr>
            <w:u w:val="none"/>
            <w:vertAlign w:val="superscript"/>
          </w:rPr>
          <w:t>29</w:t>
        </w:r>
      </w:hyperlink>
    </w:p>
    <w:p>
      <w:pPr>
        <w:pStyle w:val="BodyText"/>
      </w:pPr>
    </w:p>
    <w:p>
      <w:pPr>
        <w:pStyle w:val="BodyText"/>
        <w:spacing w:before="37"/>
      </w:pPr>
    </w:p>
    <w:p>
      <w:pPr>
        <w:spacing w:before="0"/>
        <w:ind w:left="463" w:right="0" w:firstLine="0"/>
        <w:jc w:val="both"/>
        <w:rPr>
          <w:sz w:val="28"/>
        </w:rPr>
      </w:pPr>
      <w:bookmarkStart w:name="Intimate Partner Violence Definitions" w:id="218"/>
      <w:bookmarkEnd w:id="218"/>
      <w:r>
        <w:rPr/>
      </w:r>
      <w:r>
        <w:rPr>
          <w:color w:val="365F91"/>
          <w:sz w:val="28"/>
        </w:rPr>
        <w:t>Intimate</w:t>
      </w:r>
      <w:r>
        <w:rPr>
          <w:color w:val="365F91"/>
          <w:spacing w:val="-13"/>
          <w:sz w:val="28"/>
        </w:rPr>
        <w:t> </w:t>
      </w:r>
      <w:r>
        <w:rPr>
          <w:color w:val="365F91"/>
          <w:sz w:val="28"/>
        </w:rPr>
        <w:t>Partner</w:t>
      </w:r>
      <w:r>
        <w:rPr>
          <w:color w:val="365F91"/>
          <w:spacing w:val="-12"/>
          <w:sz w:val="28"/>
        </w:rPr>
        <w:t> </w:t>
      </w:r>
      <w:r>
        <w:rPr>
          <w:color w:val="365F91"/>
          <w:sz w:val="28"/>
        </w:rPr>
        <w:t>Violence</w:t>
      </w:r>
      <w:r>
        <w:rPr>
          <w:color w:val="365F91"/>
          <w:spacing w:val="-12"/>
          <w:sz w:val="28"/>
        </w:rPr>
        <w:t> </w:t>
      </w:r>
      <w:r>
        <w:rPr>
          <w:color w:val="365F91"/>
          <w:spacing w:val="-2"/>
          <w:sz w:val="28"/>
        </w:rPr>
        <w:t>Definitions</w:t>
      </w:r>
    </w:p>
    <w:p>
      <w:pPr>
        <w:spacing w:before="241"/>
        <w:ind w:left="1039" w:right="0" w:firstLine="0"/>
        <w:jc w:val="both"/>
        <w:rPr>
          <w:sz w:val="20"/>
        </w:rPr>
      </w:pPr>
      <w:r>
        <w:rPr>
          <w:sz w:val="20"/>
          <w:u w:val="single"/>
        </w:rPr>
        <w:t>Physical</w:t>
      </w:r>
      <w:r>
        <w:rPr>
          <w:spacing w:val="-7"/>
          <w:sz w:val="20"/>
          <w:u w:val="single"/>
        </w:rPr>
        <w:t> </w:t>
      </w:r>
      <w:r>
        <w:rPr>
          <w:spacing w:val="-2"/>
          <w:sz w:val="20"/>
          <w:u w:val="single"/>
        </w:rPr>
        <w:t>Abuse:</w:t>
      </w:r>
    </w:p>
    <w:p>
      <w:pPr>
        <w:spacing w:line="276" w:lineRule="auto" w:before="36"/>
        <w:ind w:left="1039" w:right="858" w:firstLine="0"/>
        <w:jc w:val="both"/>
        <w:rPr>
          <w:sz w:val="20"/>
        </w:rPr>
      </w:pPr>
      <w:r>
        <w:rPr>
          <w:sz w:val="20"/>
        </w:rPr>
        <w:t>Physical assault including punching, kicking, slapping, or choking; physical assault with a weapon; harming loved ones or pets; threats of suicide or self-harm; denying medical care or medication; forced consumption of alcohol and/or other drugs.</w:t>
      </w:r>
    </w:p>
    <w:p>
      <w:pPr>
        <w:spacing w:before="0"/>
        <w:ind w:left="1039" w:right="0" w:firstLine="0"/>
        <w:jc w:val="both"/>
        <w:rPr>
          <w:sz w:val="20"/>
        </w:rPr>
      </w:pPr>
      <w:r>
        <w:rPr>
          <w:sz w:val="20"/>
          <w:u w:val="single"/>
        </w:rPr>
        <w:t>Emotional,</w:t>
      </w:r>
      <w:r>
        <w:rPr>
          <w:spacing w:val="-6"/>
          <w:sz w:val="20"/>
          <w:u w:val="single"/>
        </w:rPr>
        <w:t> </w:t>
      </w:r>
      <w:r>
        <w:rPr>
          <w:sz w:val="20"/>
          <w:u w:val="single"/>
        </w:rPr>
        <w:t>Verbal,</w:t>
      </w:r>
      <w:r>
        <w:rPr>
          <w:spacing w:val="-6"/>
          <w:sz w:val="20"/>
          <w:u w:val="single"/>
        </w:rPr>
        <w:t> </w:t>
      </w:r>
      <w:r>
        <w:rPr>
          <w:sz w:val="20"/>
          <w:u w:val="single"/>
        </w:rPr>
        <w:t>and</w:t>
      </w:r>
      <w:r>
        <w:rPr>
          <w:spacing w:val="-5"/>
          <w:sz w:val="20"/>
          <w:u w:val="single"/>
        </w:rPr>
        <w:t> </w:t>
      </w:r>
      <w:r>
        <w:rPr>
          <w:sz w:val="20"/>
          <w:u w:val="single"/>
        </w:rPr>
        <w:t>Psychological</w:t>
      </w:r>
      <w:r>
        <w:rPr>
          <w:spacing w:val="-6"/>
          <w:sz w:val="20"/>
          <w:u w:val="single"/>
        </w:rPr>
        <w:t> </w:t>
      </w:r>
      <w:r>
        <w:rPr>
          <w:spacing w:val="-2"/>
          <w:sz w:val="20"/>
          <w:u w:val="single"/>
        </w:rPr>
        <w:t>Abuse:</w:t>
      </w:r>
    </w:p>
    <w:p>
      <w:pPr>
        <w:spacing w:line="276" w:lineRule="auto" w:before="37"/>
        <w:ind w:left="1039" w:right="858" w:firstLine="0"/>
        <w:jc w:val="both"/>
        <w:rPr>
          <w:sz w:val="20"/>
        </w:rPr>
      </w:pPr>
      <w:r>
        <w:rPr>
          <w:sz w:val="20"/>
        </w:rPr>
        <w:t>Threats of physical assault, with or without a weapon; destroying physical property; humiliation, constant criticism, name-calling; isolation from or controlling contact with family and friends; gaslighting; forced outing; purposeful misgendering.</w:t>
      </w:r>
    </w:p>
    <w:p>
      <w:pPr>
        <w:spacing w:line="243" w:lineRule="exact" w:before="0"/>
        <w:ind w:left="1039" w:right="0" w:firstLine="0"/>
        <w:jc w:val="both"/>
        <w:rPr>
          <w:sz w:val="20"/>
        </w:rPr>
      </w:pPr>
      <w:r>
        <w:rPr>
          <w:sz w:val="20"/>
          <w:u w:val="single"/>
        </w:rPr>
        <w:t>Sexual</w:t>
      </w:r>
      <w:r>
        <w:rPr>
          <w:spacing w:val="-6"/>
          <w:sz w:val="20"/>
          <w:u w:val="single"/>
        </w:rPr>
        <w:t> </w:t>
      </w:r>
      <w:r>
        <w:rPr>
          <w:sz w:val="20"/>
          <w:u w:val="single"/>
        </w:rPr>
        <w:t>Abuse,</w:t>
      </w:r>
      <w:r>
        <w:rPr>
          <w:spacing w:val="-4"/>
          <w:sz w:val="20"/>
          <w:u w:val="single"/>
        </w:rPr>
        <w:t> </w:t>
      </w:r>
      <w:r>
        <w:rPr>
          <w:sz w:val="20"/>
          <w:u w:val="single"/>
        </w:rPr>
        <w:t>Sexual</w:t>
      </w:r>
      <w:r>
        <w:rPr>
          <w:spacing w:val="-4"/>
          <w:sz w:val="20"/>
          <w:u w:val="single"/>
        </w:rPr>
        <w:t> </w:t>
      </w:r>
      <w:r>
        <w:rPr>
          <w:sz w:val="20"/>
          <w:u w:val="single"/>
        </w:rPr>
        <w:t>and</w:t>
      </w:r>
      <w:r>
        <w:rPr>
          <w:spacing w:val="-4"/>
          <w:sz w:val="20"/>
          <w:u w:val="single"/>
        </w:rPr>
        <w:t> </w:t>
      </w:r>
      <w:r>
        <w:rPr>
          <w:sz w:val="20"/>
          <w:u w:val="single"/>
        </w:rPr>
        <w:t>Reproductive</w:t>
      </w:r>
      <w:r>
        <w:rPr>
          <w:spacing w:val="-3"/>
          <w:sz w:val="20"/>
          <w:u w:val="single"/>
        </w:rPr>
        <w:t> </w:t>
      </w:r>
      <w:r>
        <w:rPr>
          <w:spacing w:val="-2"/>
          <w:sz w:val="20"/>
          <w:u w:val="single"/>
        </w:rPr>
        <w:t>Coercion:</w:t>
      </w:r>
    </w:p>
    <w:p>
      <w:pPr>
        <w:spacing w:after="0" w:line="243" w:lineRule="exact"/>
        <w:jc w:val="both"/>
        <w:rPr>
          <w:sz w:val="20"/>
        </w:rPr>
        <w:sectPr>
          <w:pgSz w:w="11910" w:h="16840"/>
          <w:pgMar w:header="804" w:footer="1230" w:top="1080" w:bottom="1480" w:left="980" w:right="900"/>
        </w:sectPr>
      </w:pPr>
    </w:p>
    <w:p>
      <w:pPr>
        <w:spacing w:line="276" w:lineRule="auto" w:before="69"/>
        <w:ind w:left="1039" w:right="856" w:firstLine="0"/>
        <w:jc w:val="both"/>
        <w:rPr>
          <w:sz w:val="20"/>
        </w:rPr>
      </w:pPr>
      <w:r>
        <w:rPr>
          <w:sz w:val="20"/>
        </w:rPr>
        <w:t>Refusing</w:t>
      </w:r>
      <w:r>
        <w:rPr>
          <w:spacing w:val="-3"/>
          <w:sz w:val="20"/>
        </w:rPr>
        <w:t> </w:t>
      </w:r>
      <w:r>
        <w:rPr>
          <w:sz w:val="20"/>
        </w:rPr>
        <w:t>to</w:t>
      </w:r>
      <w:r>
        <w:rPr>
          <w:spacing w:val="-3"/>
          <w:sz w:val="20"/>
        </w:rPr>
        <w:t> </w:t>
      </w:r>
      <w:r>
        <w:rPr>
          <w:sz w:val="20"/>
        </w:rPr>
        <w:t>use</w:t>
      </w:r>
      <w:r>
        <w:rPr>
          <w:spacing w:val="-2"/>
          <w:sz w:val="20"/>
        </w:rPr>
        <w:t> </w:t>
      </w:r>
      <w:r>
        <w:rPr>
          <w:sz w:val="20"/>
        </w:rPr>
        <w:t>safer</w:t>
      </w:r>
      <w:r>
        <w:rPr>
          <w:spacing w:val="-3"/>
          <w:sz w:val="20"/>
        </w:rPr>
        <w:t> </w:t>
      </w:r>
      <w:r>
        <w:rPr>
          <w:sz w:val="20"/>
        </w:rPr>
        <w:t>sex</w:t>
      </w:r>
      <w:r>
        <w:rPr>
          <w:spacing w:val="-2"/>
          <w:sz w:val="20"/>
        </w:rPr>
        <w:t> </w:t>
      </w:r>
      <w:r>
        <w:rPr>
          <w:sz w:val="20"/>
        </w:rPr>
        <w:t>supplies</w:t>
      </w:r>
      <w:r>
        <w:rPr>
          <w:spacing w:val="-2"/>
          <w:sz w:val="20"/>
        </w:rPr>
        <w:t> </w:t>
      </w:r>
      <w:r>
        <w:rPr>
          <w:sz w:val="20"/>
        </w:rPr>
        <w:t>including</w:t>
      </w:r>
      <w:r>
        <w:rPr>
          <w:spacing w:val="-3"/>
          <w:sz w:val="20"/>
        </w:rPr>
        <w:t> </w:t>
      </w:r>
      <w:r>
        <w:rPr>
          <w:sz w:val="20"/>
        </w:rPr>
        <w:t>condoms,</w:t>
      </w:r>
      <w:r>
        <w:rPr>
          <w:spacing w:val="-3"/>
          <w:sz w:val="20"/>
        </w:rPr>
        <w:t> </w:t>
      </w:r>
      <w:r>
        <w:rPr>
          <w:sz w:val="20"/>
        </w:rPr>
        <w:t>dental</w:t>
      </w:r>
      <w:r>
        <w:rPr>
          <w:spacing w:val="-2"/>
          <w:sz w:val="20"/>
        </w:rPr>
        <w:t> </w:t>
      </w:r>
      <w:r>
        <w:rPr>
          <w:sz w:val="20"/>
        </w:rPr>
        <w:t>dams,</w:t>
      </w:r>
      <w:r>
        <w:rPr>
          <w:spacing w:val="-3"/>
          <w:sz w:val="20"/>
        </w:rPr>
        <w:t> </w:t>
      </w:r>
      <w:r>
        <w:rPr>
          <w:sz w:val="20"/>
        </w:rPr>
        <w:t>or</w:t>
      </w:r>
      <w:r>
        <w:rPr>
          <w:spacing w:val="-3"/>
          <w:sz w:val="20"/>
        </w:rPr>
        <w:t> </w:t>
      </w:r>
      <w:r>
        <w:rPr>
          <w:sz w:val="20"/>
        </w:rPr>
        <w:t>PrEP;</w:t>
      </w:r>
      <w:r>
        <w:rPr>
          <w:spacing w:val="-2"/>
          <w:sz w:val="20"/>
        </w:rPr>
        <w:t> </w:t>
      </w:r>
      <w:r>
        <w:rPr>
          <w:sz w:val="20"/>
        </w:rPr>
        <w:t>sabotaging</w:t>
      </w:r>
      <w:r>
        <w:rPr>
          <w:spacing w:val="-4"/>
          <w:sz w:val="20"/>
        </w:rPr>
        <w:t> </w:t>
      </w:r>
      <w:r>
        <w:rPr>
          <w:sz w:val="20"/>
        </w:rPr>
        <w:t>birth</w:t>
      </w:r>
      <w:r>
        <w:rPr>
          <w:spacing w:val="-3"/>
          <w:sz w:val="20"/>
        </w:rPr>
        <w:t> </w:t>
      </w:r>
      <w:r>
        <w:rPr>
          <w:sz w:val="20"/>
        </w:rPr>
        <w:t>control or</w:t>
      </w:r>
      <w:r>
        <w:rPr>
          <w:spacing w:val="-7"/>
          <w:sz w:val="20"/>
        </w:rPr>
        <w:t> </w:t>
      </w:r>
      <w:r>
        <w:rPr>
          <w:sz w:val="20"/>
        </w:rPr>
        <w:t>preventing</w:t>
      </w:r>
      <w:r>
        <w:rPr>
          <w:spacing w:val="-8"/>
          <w:sz w:val="20"/>
        </w:rPr>
        <w:t> </w:t>
      </w:r>
      <w:r>
        <w:rPr>
          <w:sz w:val="20"/>
        </w:rPr>
        <w:t>the</w:t>
      </w:r>
      <w:r>
        <w:rPr>
          <w:spacing w:val="-7"/>
          <w:sz w:val="20"/>
        </w:rPr>
        <w:t> </w:t>
      </w:r>
      <w:r>
        <w:rPr>
          <w:sz w:val="20"/>
        </w:rPr>
        <w:t>use</w:t>
      </w:r>
      <w:r>
        <w:rPr>
          <w:spacing w:val="-8"/>
          <w:sz w:val="20"/>
        </w:rPr>
        <w:t> </w:t>
      </w:r>
      <w:r>
        <w:rPr>
          <w:sz w:val="20"/>
        </w:rPr>
        <w:t>of</w:t>
      </w:r>
      <w:r>
        <w:rPr>
          <w:spacing w:val="-8"/>
          <w:sz w:val="20"/>
        </w:rPr>
        <w:t> </w:t>
      </w:r>
      <w:r>
        <w:rPr>
          <w:sz w:val="20"/>
        </w:rPr>
        <w:t>birth</w:t>
      </w:r>
      <w:r>
        <w:rPr>
          <w:spacing w:val="-8"/>
          <w:sz w:val="20"/>
        </w:rPr>
        <w:t> </w:t>
      </w:r>
      <w:r>
        <w:rPr>
          <w:sz w:val="20"/>
        </w:rPr>
        <w:t>control;</w:t>
      </w:r>
      <w:r>
        <w:rPr>
          <w:spacing w:val="-8"/>
          <w:sz w:val="20"/>
        </w:rPr>
        <w:t> </w:t>
      </w:r>
      <w:r>
        <w:rPr>
          <w:sz w:val="20"/>
        </w:rPr>
        <w:t>pressure</w:t>
      </w:r>
      <w:r>
        <w:rPr>
          <w:spacing w:val="-7"/>
          <w:sz w:val="20"/>
        </w:rPr>
        <w:t> </w:t>
      </w:r>
      <w:r>
        <w:rPr>
          <w:sz w:val="20"/>
        </w:rPr>
        <w:t>to</w:t>
      </w:r>
      <w:r>
        <w:rPr>
          <w:spacing w:val="-7"/>
          <w:sz w:val="20"/>
        </w:rPr>
        <w:t> </w:t>
      </w:r>
      <w:r>
        <w:rPr>
          <w:sz w:val="20"/>
        </w:rPr>
        <w:t>engage</w:t>
      </w:r>
      <w:r>
        <w:rPr>
          <w:spacing w:val="-7"/>
          <w:sz w:val="20"/>
        </w:rPr>
        <w:t> </w:t>
      </w:r>
      <w:r>
        <w:rPr>
          <w:sz w:val="20"/>
        </w:rPr>
        <w:t>in</w:t>
      </w:r>
      <w:r>
        <w:rPr>
          <w:spacing w:val="-8"/>
          <w:sz w:val="20"/>
        </w:rPr>
        <w:t> </w:t>
      </w:r>
      <w:r>
        <w:rPr>
          <w:sz w:val="20"/>
        </w:rPr>
        <w:t>a</w:t>
      </w:r>
      <w:r>
        <w:rPr>
          <w:spacing w:val="-7"/>
          <w:sz w:val="20"/>
        </w:rPr>
        <w:t> </w:t>
      </w:r>
      <w:r>
        <w:rPr>
          <w:sz w:val="20"/>
        </w:rPr>
        <w:t>particular</w:t>
      </w:r>
      <w:r>
        <w:rPr>
          <w:spacing w:val="-8"/>
          <w:sz w:val="20"/>
        </w:rPr>
        <w:t> </w:t>
      </w:r>
      <w:r>
        <w:rPr>
          <w:sz w:val="20"/>
        </w:rPr>
        <w:t>sex</w:t>
      </w:r>
      <w:r>
        <w:rPr>
          <w:spacing w:val="-7"/>
          <w:sz w:val="20"/>
        </w:rPr>
        <w:t> </w:t>
      </w:r>
      <w:r>
        <w:rPr>
          <w:sz w:val="20"/>
        </w:rPr>
        <w:t>act;</w:t>
      </w:r>
      <w:r>
        <w:rPr>
          <w:spacing w:val="-8"/>
          <w:sz w:val="20"/>
        </w:rPr>
        <w:t> </w:t>
      </w:r>
      <w:r>
        <w:rPr>
          <w:sz w:val="20"/>
        </w:rPr>
        <w:t>using</w:t>
      </w:r>
      <w:r>
        <w:rPr>
          <w:spacing w:val="-6"/>
          <w:sz w:val="20"/>
        </w:rPr>
        <w:t> </w:t>
      </w:r>
      <w:r>
        <w:rPr>
          <w:sz w:val="20"/>
        </w:rPr>
        <w:t>alcohol</w:t>
      </w:r>
      <w:r>
        <w:rPr>
          <w:spacing w:val="-7"/>
          <w:sz w:val="20"/>
        </w:rPr>
        <w:t> </w:t>
      </w:r>
      <w:r>
        <w:rPr>
          <w:sz w:val="20"/>
        </w:rPr>
        <w:t>and/or other drugs to facilitate sexual intercourse; sexual assault; becoming volatile when denied sex.</w:t>
      </w:r>
    </w:p>
    <w:p>
      <w:pPr>
        <w:spacing w:before="0"/>
        <w:ind w:left="1039" w:right="0" w:firstLine="0"/>
        <w:jc w:val="both"/>
        <w:rPr>
          <w:sz w:val="20"/>
        </w:rPr>
      </w:pPr>
      <w:r>
        <w:rPr>
          <w:sz w:val="20"/>
          <w:u w:val="single"/>
        </w:rPr>
        <w:t>Financial</w:t>
      </w:r>
      <w:r>
        <w:rPr>
          <w:spacing w:val="-3"/>
          <w:sz w:val="20"/>
          <w:u w:val="single"/>
        </w:rPr>
        <w:t> </w:t>
      </w:r>
      <w:r>
        <w:rPr>
          <w:spacing w:val="-2"/>
          <w:sz w:val="20"/>
          <w:u w:val="single"/>
        </w:rPr>
        <w:t>Abuse:</w:t>
      </w:r>
    </w:p>
    <w:p>
      <w:pPr>
        <w:spacing w:line="276" w:lineRule="auto" w:before="37"/>
        <w:ind w:left="1039" w:right="857" w:firstLine="0"/>
        <w:jc w:val="both"/>
        <w:rPr>
          <w:sz w:val="20"/>
        </w:rPr>
      </w:pPr>
      <w:r>
        <w:rPr>
          <w:sz w:val="20"/>
        </w:rPr>
        <w:t>Stealing money or paychecks; controlling how much, when, and where money is spent; prohibiting, limiting, or controlling work opportunities.</w:t>
      </w:r>
    </w:p>
    <w:p>
      <w:pPr>
        <w:spacing w:line="243" w:lineRule="exact" w:before="0"/>
        <w:ind w:left="1039" w:right="0" w:firstLine="0"/>
        <w:jc w:val="both"/>
        <w:rPr>
          <w:sz w:val="20"/>
        </w:rPr>
      </w:pPr>
      <w:r>
        <w:rPr>
          <w:sz w:val="20"/>
          <w:u w:val="single"/>
        </w:rPr>
        <w:t>Digital</w:t>
      </w:r>
      <w:r>
        <w:rPr>
          <w:spacing w:val="-6"/>
          <w:sz w:val="20"/>
          <w:u w:val="single"/>
        </w:rPr>
        <w:t> </w:t>
      </w:r>
      <w:r>
        <w:rPr>
          <w:spacing w:val="-2"/>
          <w:sz w:val="20"/>
          <w:u w:val="single"/>
        </w:rPr>
        <w:t>Abuse:</w:t>
      </w:r>
    </w:p>
    <w:p>
      <w:pPr>
        <w:spacing w:line="276" w:lineRule="auto" w:before="37"/>
        <w:ind w:left="1039" w:right="858" w:firstLine="0"/>
        <w:jc w:val="both"/>
        <w:rPr>
          <w:sz w:val="20"/>
        </w:rPr>
      </w:pPr>
      <w:r>
        <w:rPr>
          <w:sz w:val="20"/>
        </w:rPr>
        <w:t>Revenge porn and sextortion; sending threats via text, email, or social media DM; using a tracking device or service to monitor location; monitoring texts, emails, or social media DMs; becoming volatile when denied constant digital contact; stealing or demanding passwords.</w:t>
      </w:r>
    </w:p>
    <w:p>
      <w:pPr>
        <w:spacing w:before="0"/>
        <w:ind w:left="1039" w:right="0" w:firstLine="0"/>
        <w:jc w:val="left"/>
        <w:rPr>
          <w:sz w:val="20"/>
        </w:rPr>
      </w:pPr>
      <w:r>
        <w:rPr>
          <w:spacing w:val="-2"/>
          <w:sz w:val="20"/>
          <w:u w:val="single"/>
        </w:rPr>
        <w:t>Stalking:</w:t>
      </w:r>
    </w:p>
    <w:p>
      <w:pPr>
        <w:spacing w:line="276" w:lineRule="auto" w:before="36"/>
        <w:ind w:left="1039" w:right="801" w:firstLine="0"/>
        <w:jc w:val="left"/>
        <w:rPr>
          <w:sz w:val="20"/>
        </w:rPr>
      </w:pPr>
      <w:r>
        <w:rPr>
          <w:sz w:val="20"/>
        </w:rPr>
        <w:t>Showing</w:t>
      </w:r>
      <w:r>
        <w:rPr>
          <w:spacing w:val="-2"/>
          <w:sz w:val="20"/>
        </w:rPr>
        <w:t> </w:t>
      </w:r>
      <w:r>
        <w:rPr>
          <w:sz w:val="20"/>
        </w:rPr>
        <w:t>up</w:t>
      </w:r>
      <w:r>
        <w:rPr>
          <w:spacing w:val="-3"/>
          <w:sz w:val="20"/>
        </w:rPr>
        <w:t> </w:t>
      </w:r>
      <w:r>
        <w:rPr>
          <w:sz w:val="20"/>
        </w:rPr>
        <w:t>uninvited</w:t>
      </w:r>
      <w:r>
        <w:rPr>
          <w:spacing w:val="-2"/>
          <w:sz w:val="20"/>
        </w:rPr>
        <w:t> </w:t>
      </w:r>
      <w:r>
        <w:rPr>
          <w:sz w:val="20"/>
        </w:rPr>
        <w:t>and</w:t>
      </w:r>
      <w:r>
        <w:rPr>
          <w:spacing w:val="-3"/>
          <w:sz w:val="20"/>
        </w:rPr>
        <w:t> </w:t>
      </w:r>
      <w:r>
        <w:rPr>
          <w:sz w:val="20"/>
        </w:rPr>
        <w:t>unannounced</w:t>
      </w:r>
      <w:r>
        <w:rPr>
          <w:spacing w:val="-2"/>
          <w:sz w:val="20"/>
        </w:rPr>
        <w:t> </w:t>
      </w:r>
      <w:r>
        <w:rPr>
          <w:sz w:val="20"/>
        </w:rPr>
        <w:t>to</w:t>
      </w:r>
      <w:r>
        <w:rPr>
          <w:spacing w:val="-3"/>
          <w:sz w:val="20"/>
        </w:rPr>
        <w:t> </w:t>
      </w:r>
      <w:r>
        <w:rPr>
          <w:sz w:val="20"/>
        </w:rPr>
        <w:t>home,</w:t>
      </w:r>
      <w:r>
        <w:rPr>
          <w:spacing w:val="-2"/>
          <w:sz w:val="20"/>
        </w:rPr>
        <w:t> </w:t>
      </w:r>
      <w:r>
        <w:rPr>
          <w:sz w:val="20"/>
        </w:rPr>
        <w:t>school,</w:t>
      </w:r>
      <w:r>
        <w:rPr>
          <w:spacing w:val="-3"/>
          <w:sz w:val="20"/>
        </w:rPr>
        <w:t> </w:t>
      </w:r>
      <w:r>
        <w:rPr>
          <w:sz w:val="20"/>
        </w:rPr>
        <w:t>or</w:t>
      </w:r>
      <w:r>
        <w:rPr>
          <w:spacing w:val="-2"/>
          <w:sz w:val="20"/>
        </w:rPr>
        <w:t> </w:t>
      </w:r>
      <w:r>
        <w:rPr>
          <w:sz w:val="20"/>
        </w:rPr>
        <w:t>work;</w:t>
      </w:r>
      <w:r>
        <w:rPr>
          <w:spacing w:val="-2"/>
          <w:sz w:val="20"/>
        </w:rPr>
        <w:t> </w:t>
      </w:r>
      <w:r>
        <w:rPr>
          <w:sz w:val="20"/>
        </w:rPr>
        <w:t>using</w:t>
      </w:r>
      <w:r>
        <w:rPr>
          <w:spacing w:val="-3"/>
          <w:sz w:val="20"/>
        </w:rPr>
        <w:t> </w:t>
      </w:r>
      <w:r>
        <w:rPr>
          <w:sz w:val="20"/>
        </w:rPr>
        <w:t>a</w:t>
      </w:r>
      <w:r>
        <w:rPr>
          <w:spacing w:val="-2"/>
          <w:sz w:val="20"/>
        </w:rPr>
        <w:t> </w:t>
      </w:r>
      <w:r>
        <w:rPr>
          <w:sz w:val="20"/>
        </w:rPr>
        <w:t>tracking</w:t>
      </w:r>
      <w:r>
        <w:rPr>
          <w:spacing w:val="-2"/>
          <w:sz w:val="20"/>
        </w:rPr>
        <w:t> </w:t>
      </w:r>
      <w:r>
        <w:rPr>
          <w:sz w:val="20"/>
        </w:rPr>
        <w:t>device</w:t>
      </w:r>
      <w:r>
        <w:rPr>
          <w:spacing w:val="-2"/>
          <w:sz w:val="20"/>
        </w:rPr>
        <w:t> </w:t>
      </w:r>
      <w:r>
        <w:rPr>
          <w:sz w:val="20"/>
        </w:rPr>
        <w:t>or</w:t>
      </w:r>
      <w:r>
        <w:rPr>
          <w:spacing w:val="-2"/>
          <w:sz w:val="20"/>
        </w:rPr>
        <w:t> </w:t>
      </w:r>
      <w:r>
        <w:rPr>
          <w:sz w:val="20"/>
        </w:rPr>
        <w:t>service to monitor location; constant text messages, emails, or social media DMs; sending unwanted gifts.</w:t>
      </w:r>
    </w:p>
    <w:p>
      <w:pPr>
        <w:pStyle w:val="BodyText"/>
        <w:spacing w:line="276" w:lineRule="auto" w:before="239"/>
        <w:ind w:left="458" w:right="530"/>
        <w:jc w:val="both"/>
      </w:pPr>
      <w:r>
        <w:rPr/>
        <w:t>In addition to school-based education, studies have shown that access to LGBTQ-inclusive support resources</w:t>
      </w:r>
      <w:r>
        <w:rPr>
          <w:spacing w:val="-13"/>
        </w:rPr>
        <w:t> </w:t>
      </w:r>
      <w:r>
        <w:rPr/>
        <w:t>are</w:t>
      </w:r>
      <w:r>
        <w:rPr>
          <w:spacing w:val="-12"/>
        </w:rPr>
        <w:t> </w:t>
      </w:r>
      <w:r>
        <w:rPr/>
        <w:t>key</w:t>
      </w:r>
      <w:r>
        <w:rPr>
          <w:spacing w:val="-13"/>
        </w:rPr>
        <w:t> </w:t>
      </w:r>
      <w:r>
        <w:rPr/>
        <w:t>in</w:t>
      </w:r>
      <w:r>
        <w:rPr>
          <w:spacing w:val="-12"/>
        </w:rPr>
        <w:t> </w:t>
      </w:r>
      <w:r>
        <w:rPr/>
        <w:t>supporting</w:t>
      </w:r>
      <w:r>
        <w:rPr>
          <w:spacing w:val="-13"/>
        </w:rPr>
        <w:t> </w:t>
      </w:r>
      <w:r>
        <w:rPr/>
        <w:t>survivors</w:t>
      </w:r>
      <w:r>
        <w:rPr>
          <w:spacing w:val="-12"/>
        </w:rPr>
        <w:t> </w:t>
      </w:r>
      <w:r>
        <w:rPr/>
        <w:t>of</w:t>
      </w:r>
      <w:r>
        <w:rPr>
          <w:spacing w:val="-13"/>
        </w:rPr>
        <w:t> </w:t>
      </w:r>
      <w:r>
        <w:rPr/>
        <w:t>intimate</w:t>
      </w:r>
      <w:r>
        <w:rPr>
          <w:spacing w:val="-12"/>
        </w:rPr>
        <w:t> </w:t>
      </w:r>
      <w:r>
        <w:rPr/>
        <w:t>partner</w:t>
      </w:r>
      <w:r>
        <w:rPr>
          <w:spacing w:val="-12"/>
        </w:rPr>
        <w:t> </w:t>
      </w:r>
      <w:r>
        <w:rPr/>
        <w:t>violence</w:t>
      </w:r>
      <w:hyperlink w:history="true" w:anchor="_bookmark83">
        <w:r>
          <w:rPr/>
          <w:t>.</w:t>
        </w:r>
        <w:r>
          <w:rPr>
            <w:vertAlign w:val="superscript"/>
          </w:rPr>
          <w:t>30</w:t>
        </w:r>
      </w:hyperlink>
      <w:r>
        <w:rPr>
          <w:spacing w:val="-13"/>
          <w:vertAlign w:val="baseline"/>
        </w:rPr>
        <w:t> </w:t>
      </w:r>
      <w:r>
        <w:rPr>
          <w:vertAlign w:val="baseline"/>
        </w:rPr>
        <w:t>According</w:t>
      </w:r>
      <w:r>
        <w:rPr>
          <w:spacing w:val="-12"/>
          <w:vertAlign w:val="baseline"/>
        </w:rPr>
        <w:t> </w:t>
      </w:r>
      <w:r>
        <w:rPr>
          <w:vertAlign w:val="baseline"/>
        </w:rPr>
        <w:t>to</w:t>
      </w:r>
      <w:r>
        <w:rPr>
          <w:spacing w:val="-13"/>
          <w:vertAlign w:val="baseline"/>
        </w:rPr>
        <w:t> </w:t>
      </w:r>
      <w:r>
        <w:rPr>
          <w:vertAlign w:val="baseline"/>
        </w:rPr>
        <w:t>a</w:t>
      </w:r>
      <w:r>
        <w:rPr>
          <w:spacing w:val="-12"/>
          <w:vertAlign w:val="baseline"/>
        </w:rPr>
        <w:t> </w:t>
      </w:r>
      <w:r>
        <w:rPr>
          <w:vertAlign w:val="baseline"/>
        </w:rPr>
        <w:t>survey</w:t>
      </w:r>
      <w:r>
        <w:rPr>
          <w:spacing w:val="-13"/>
          <w:vertAlign w:val="baseline"/>
        </w:rPr>
        <w:t> </w:t>
      </w:r>
      <w:r>
        <w:rPr>
          <w:vertAlign w:val="baseline"/>
        </w:rPr>
        <w:t>of</w:t>
      </w:r>
      <w:r>
        <w:rPr>
          <w:spacing w:val="-12"/>
          <w:vertAlign w:val="baseline"/>
        </w:rPr>
        <w:t> </w:t>
      </w:r>
      <w:r>
        <w:rPr>
          <w:vertAlign w:val="baseline"/>
        </w:rPr>
        <w:t>queer and</w:t>
      </w:r>
      <w:r>
        <w:rPr>
          <w:spacing w:val="-8"/>
          <w:vertAlign w:val="baseline"/>
        </w:rPr>
        <w:t> </w:t>
      </w:r>
      <w:r>
        <w:rPr>
          <w:vertAlign w:val="baseline"/>
        </w:rPr>
        <w:t>trans</w:t>
      </w:r>
      <w:r>
        <w:rPr>
          <w:spacing w:val="-7"/>
          <w:vertAlign w:val="baseline"/>
        </w:rPr>
        <w:t> </w:t>
      </w:r>
      <w:r>
        <w:rPr>
          <w:vertAlign w:val="baseline"/>
        </w:rPr>
        <w:t>Massachusetts</w:t>
      </w:r>
      <w:r>
        <w:rPr>
          <w:spacing w:val="-7"/>
          <w:vertAlign w:val="baseline"/>
        </w:rPr>
        <w:t> </w:t>
      </w:r>
      <w:r>
        <w:rPr>
          <w:vertAlign w:val="baseline"/>
        </w:rPr>
        <w:t>survivors,</w:t>
      </w:r>
      <w:r>
        <w:rPr>
          <w:spacing w:val="-7"/>
          <w:vertAlign w:val="baseline"/>
        </w:rPr>
        <w:t> </w:t>
      </w:r>
      <w:r>
        <w:rPr>
          <w:vertAlign w:val="baseline"/>
        </w:rPr>
        <w:t>survivors</w:t>
      </w:r>
      <w:r>
        <w:rPr>
          <w:spacing w:val="-7"/>
          <w:vertAlign w:val="baseline"/>
        </w:rPr>
        <w:t> </w:t>
      </w:r>
      <w:r>
        <w:rPr>
          <w:vertAlign w:val="baseline"/>
        </w:rPr>
        <w:t>want</w:t>
      </w:r>
      <w:r>
        <w:rPr>
          <w:spacing w:val="-8"/>
          <w:vertAlign w:val="baseline"/>
        </w:rPr>
        <w:t> </w:t>
      </w:r>
      <w:r>
        <w:rPr>
          <w:vertAlign w:val="baseline"/>
        </w:rPr>
        <w:t>support</w:t>
      </w:r>
      <w:r>
        <w:rPr>
          <w:spacing w:val="-8"/>
          <w:vertAlign w:val="baseline"/>
        </w:rPr>
        <w:t> </w:t>
      </w:r>
      <w:r>
        <w:rPr>
          <w:vertAlign w:val="baseline"/>
        </w:rPr>
        <w:t>from</w:t>
      </w:r>
      <w:r>
        <w:rPr>
          <w:spacing w:val="-8"/>
          <w:vertAlign w:val="baseline"/>
        </w:rPr>
        <w:t> </w:t>
      </w:r>
      <w:r>
        <w:rPr>
          <w:vertAlign w:val="baseline"/>
        </w:rPr>
        <w:t>resources</w:t>
      </w:r>
      <w:r>
        <w:rPr>
          <w:spacing w:val="-7"/>
          <w:vertAlign w:val="baseline"/>
        </w:rPr>
        <w:t> </w:t>
      </w:r>
      <w:r>
        <w:rPr>
          <w:vertAlign w:val="baseline"/>
        </w:rPr>
        <w:t>where</w:t>
      </w:r>
      <w:r>
        <w:rPr>
          <w:spacing w:val="-8"/>
          <w:vertAlign w:val="baseline"/>
        </w:rPr>
        <w:t> </w:t>
      </w:r>
      <w:r>
        <w:rPr>
          <w:vertAlign w:val="baseline"/>
        </w:rPr>
        <w:t>they</w:t>
      </w:r>
      <w:r>
        <w:rPr>
          <w:spacing w:val="-7"/>
          <w:vertAlign w:val="baseline"/>
        </w:rPr>
        <w:t> </w:t>
      </w:r>
      <w:r>
        <w:rPr>
          <w:vertAlign w:val="baseline"/>
        </w:rPr>
        <w:t>feel</w:t>
      </w:r>
      <w:r>
        <w:rPr>
          <w:spacing w:val="-8"/>
          <w:vertAlign w:val="baseline"/>
        </w:rPr>
        <w:t> </w:t>
      </w:r>
      <w:r>
        <w:rPr>
          <w:vertAlign w:val="baseline"/>
        </w:rPr>
        <w:t>respected, safe, and comfortable, and where they will not have to explain their identities or face discrimination from a service provider</w:t>
      </w:r>
      <w:hyperlink w:history="true" w:anchor="_bookmark83">
        <w:r>
          <w:rPr>
            <w:vertAlign w:val="baseline"/>
          </w:rPr>
          <w:t>.</w:t>
        </w:r>
        <w:r>
          <w:rPr>
            <w:vertAlign w:val="superscript"/>
          </w:rPr>
          <w:t>31</w:t>
        </w:r>
      </w:hyperlink>
      <w:r>
        <w:rPr>
          <w:vertAlign w:val="baseline"/>
        </w:rPr>
        <w:t> Black survivors and trans survivors, in particular, expressed a desire for LGBTQ-specific resources, stating that they appreciate when support resources understand their identities and offer culturally competent support. </w:t>
      </w:r>
      <w:hyperlink w:history="true" w:anchor="_bookmark83">
        <w:r>
          <w:rPr>
            <w:vertAlign w:val="superscript"/>
          </w:rPr>
          <w:t>32</w:t>
        </w:r>
      </w:hyperlink>
      <w:r>
        <w:rPr>
          <w:vertAlign w:val="baseline"/>
        </w:rPr>
        <w:t> Although LGBTQ individuals tend to experience intimate partner violence at slightly higher rates than the general population, there are few organizations</w:t>
      </w:r>
      <w:r>
        <w:rPr>
          <w:spacing w:val="-1"/>
          <w:vertAlign w:val="baseline"/>
        </w:rPr>
        <w:t> </w:t>
      </w:r>
      <w:r>
        <w:rPr>
          <w:vertAlign w:val="baseline"/>
        </w:rPr>
        <w:t>that</w:t>
      </w:r>
      <w:r>
        <w:rPr>
          <w:spacing w:val="-2"/>
          <w:vertAlign w:val="baseline"/>
        </w:rPr>
        <w:t> </w:t>
      </w:r>
      <w:r>
        <w:rPr>
          <w:vertAlign w:val="baseline"/>
        </w:rPr>
        <w:t>are</w:t>
      </w:r>
      <w:r>
        <w:rPr>
          <w:spacing w:val="-2"/>
          <w:vertAlign w:val="baseline"/>
        </w:rPr>
        <w:t> </w:t>
      </w:r>
      <w:r>
        <w:rPr>
          <w:vertAlign w:val="baseline"/>
        </w:rPr>
        <w:t>dedicated</w:t>
      </w:r>
      <w:r>
        <w:rPr>
          <w:spacing w:val="-1"/>
          <w:vertAlign w:val="baseline"/>
        </w:rPr>
        <w:t> </w:t>
      </w:r>
      <w:r>
        <w:rPr>
          <w:vertAlign w:val="baseline"/>
        </w:rPr>
        <w:t>to</w:t>
      </w:r>
      <w:r>
        <w:rPr>
          <w:spacing w:val="-1"/>
          <w:vertAlign w:val="baseline"/>
        </w:rPr>
        <w:t> </w:t>
      </w:r>
      <w:r>
        <w:rPr>
          <w:vertAlign w:val="baseline"/>
        </w:rPr>
        <w:t>serving</w:t>
      </w:r>
      <w:r>
        <w:rPr>
          <w:spacing w:val="-2"/>
          <w:vertAlign w:val="baseline"/>
        </w:rPr>
        <w:t> </w:t>
      </w:r>
      <w:r>
        <w:rPr>
          <w:vertAlign w:val="baseline"/>
        </w:rPr>
        <w:t>LGBTQ</w:t>
      </w:r>
      <w:r>
        <w:rPr>
          <w:spacing w:val="-2"/>
          <w:vertAlign w:val="baseline"/>
        </w:rPr>
        <w:t> </w:t>
      </w:r>
      <w:r>
        <w:rPr>
          <w:vertAlign w:val="baseline"/>
        </w:rPr>
        <w:t>individuals,</w:t>
      </w:r>
      <w:r>
        <w:rPr>
          <w:spacing w:val="-1"/>
          <w:vertAlign w:val="baseline"/>
        </w:rPr>
        <w:t> </w:t>
      </w:r>
      <w:r>
        <w:rPr>
          <w:vertAlign w:val="baseline"/>
        </w:rPr>
        <w:t>and</w:t>
      </w:r>
      <w:r>
        <w:rPr>
          <w:spacing w:val="-2"/>
          <w:vertAlign w:val="baseline"/>
        </w:rPr>
        <w:t> </w:t>
      </w:r>
      <w:r>
        <w:rPr>
          <w:vertAlign w:val="baseline"/>
        </w:rPr>
        <w:t>fewer</w:t>
      </w:r>
      <w:r>
        <w:rPr>
          <w:spacing w:val="-1"/>
          <w:vertAlign w:val="baseline"/>
        </w:rPr>
        <w:t> </w:t>
      </w:r>
      <w:r>
        <w:rPr>
          <w:vertAlign w:val="baseline"/>
        </w:rPr>
        <w:t>still</w:t>
      </w:r>
      <w:r>
        <w:rPr>
          <w:spacing w:val="-2"/>
          <w:vertAlign w:val="baseline"/>
        </w:rPr>
        <w:t> </w:t>
      </w:r>
      <w:r>
        <w:rPr>
          <w:vertAlign w:val="baseline"/>
        </w:rPr>
        <w:t>that</w:t>
      </w:r>
      <w:r>
        <w:rPr>
          <w:spacing w:val="-2"/>
          <w:vertAlign w:val="baseline"/>
        </w:rPr>
        <w:t> </w:t>
      </w:r>
      <w:r>
        <w:rPr>
          <w:vertAlign w:val="baseline"/>
        </w:rPr>
        <w:t>can</w:t>
      </w:r>
      <w:r>
        <w:rPr>
          <w:spacing w:val="-2"/>
          <w:vertAlign w:val="baseline"/>
        </w:rPr>
        <w:t> </w:t>
      </w:r>
      <w:r>
        <w:rPr>
          <w:vertAlign w:val="baseline"/>
        </w:rPr>
        <w:t>offer</w:t>
      </w:r>
      <w:r>
        <w:rPr>
          <w:spacing w:val="-1"/>
          <w:vertAlign w:val="baseline"/>
        </w:rPr>
        <w:t> </w:t>
      </w:r>
      <w:r>
        <w:rPr>
          <w:vertAlign w:val="baseline"/>
        </w:rPr>
        <w:t>culturally humble</w:t>
      </w:r>
      <w:r>
        <w:rPr>
          <w:spacing w:val="-2"/>
          <w:vertAlign w:val="baseline"/>
        </w:rPr>
        <w:t> </w:t>
      </w:r>
      <w:r>
        <w:rPr>
          <w:vertAlign w:val="baseline"/>
        </w:rPr>
        <w:t>support</w:t>
      </w:r>
      <w:r>
        <w:rPr>
          <w:spacing w:val="-2"/>
          <w:vertAlign w:val="baseline"/>
        </w:rPr>
        <w:t> </w:t>
      </w:r>
      <w:r>
        <w:rPr>
          <w:vertAlign w:val="baseline"/>
        </w:rPr>
        <w:t>services to</w:t>
      </w:r>
      <w:r>
        <w:rPr>
          <w:spacing w:val="-1"/>
          <w:vertAlign w:val="baseline"/>
        </w:rPr>
        <w:t> </w:t>
      </w:r>
      <w:r>
        <w:rPr>
          <w:vertAlign w:val="baseline"/>
        </w:rPr>
        <w:t>LGBTQ</w:t>
      </w:r>
      <w:r>
        <w:rPr>
          <w:spacing w:val="-1"/>
          <w:vertAlign w:val="baseline"/>
        </w:rPr>
        <w:t> </w:t>
      </w:r>
      <w:r>
        <w:rPr>
          <w:vertAlign w:val="baseline"/>
        </w:rPr>
        <w:t>survivors</w:t>
      </w:r>
      <w:r>
        <w:rPr>
          <w:spacing w:val="-1"/>
          <w:vertAlign w:val="baseline"/>
        </w:rPr>
        <w:t> </w:t>
      </w:r>
      <w:r>
        <w:rPr>
          <w:vertAlign w:val="baseline"/>
        </w:rPr>
        <w:t>of</w:t>
      </w:r>
      <w:r>
        <w:rPr>
          <w:spacing w:val="-2"/>
          <w:vertAlign w:val="baseline"/>
        </w:rPr>
        <w:t> </w:t>
      </w:r>
      <w:r>
        <w:rPr>
          <w:vertAlign w:val="baseline"/>
        </w:rPr>
        <w:t>color.</w:t>
      </w:r>
      <w:r>
        <w:rPr>
          <w:spacing w:val="-2"/>
          <w:vertAlign w:val="baseline"/>
        </w:rPr>
        <w:t> </w:t>
      </w:r>
      <w:r>
        <w:rPr>
          <w:vertAlign w:val="baseline"/>
        </w:rPr>
        <w:t>Additionally, many</w:t>
      </w:r>
      <w:r>
        <w:rPr>
          <w:spacing w:val="-2"/>
          <w:vertAlign w:val="baseline"/>
        </w:rPr>
        <w:t> </w:t>
      </w:r>
      <w:r>
        <w:rPr>
          <w:vertAlign w:val="baseline"/>
        </w:rPr>
        <w:t>intimate</w:t>
      </w:r>
      <w:r>
        <w:rPr>
          <w:spacing w:val="-2"/>
          <w:vertAlign w:val="baseline"/>
        </w:rPr>
        <w:t> </w:t>
      </w:r>
      <w:r>
        <w:rPr>
          <w:vertAlign w:val="baseline"/>
        </w:rPr>
        <w:t>partner</w:t>
      </w:r>
      <w:r>
        <w:rPr>
          <w:spacing w:val="-2"/>
          <w:vertAlign w:val="baseline"/>
        </w:rPr>
        <w:t> </w:t>
      </w:r>
      <w:r>
        <w:rPr>
          <w:vertAlign w:val="baseline"/>
        </w:rPr>
        <w:t>violence</w:t>
      </w:r>
      <w:r>
        <w:rPr>
          <w:spacing w:val="-1"/>
          <w:vertAlign w:val="baseline"/>
        </w:rPr>
        <w:t> </w:t>
      </w:r>
      <w:r>
        <w:rPr>
          <w:vertAlign w:val="baseline"/>
        </w:rPr>
        <w:t>or sexual violence support resources are located in larger cities, making them largely inaccessible to LGBTQ youth who lack consistent access to transportation and/or who are living in more rural areas of</w:t>
      </w:r>
      <w:r>
        <w:rPr>
          <w:spacing w:val="-7"/>
          <w:vertAlign w:val="baseline"/>
        </w:rPr>
        <w:t> </w:t>
      </w:r>
      <w:r>
        <w:rPr>
          <w:vertAlign w:val="baseline"/>
        </w:rPr>
        <w:t>the</w:t>
      </w:r>
      <w:r>
        <w:rPr>
          <w:spacing w:val="-8"/>
          <w:vertAlign w:val="baseline"/>
        </w:rPr>
        <w:t> </w:t>
      </w:r>
      <w:r>
        <w:rPr>
          <w:vertAlign w:val="baseline"/>
        </w:rPr>
        <w:t>state.</w:t>
      </w:r>
      <w:r>
        <w:rPr>
          <w:spacing w:val="-5"/>
          <w:vertAlign w:val="baseline"/>
        </w:rPr>
        <w:t> </w:t>
      </w:r>
      <w:r>
        <w:rPr>
          <w:vertAlign w:val="baseline"/>
        </w:rPr>
        <w:t>Oftentimes,</w:t>
      </w:r>
      <w:r>
        <w:rPr>
          <w:spacing w:val="-6"/>
          <w:vertAlign w:val="baseline"/>
        </w:rPr>
        <w:t> </w:t>
      </w:r>
      <w:r>
        <w:rPr>
          <w:vertAlign w:val="baseline"/>
        </w:rPr>
        <w:t>these</w:t>
      </w:r>
      <w:r>
        <w:rPr>
          <w:spacing w:val="-8"/>
          <w:vertAlign w:val="baseline"/>
        </w:rPr>
        <w:t> </w:t>
      </w:r>
      <w:r>
        <w:rPr>
          <w:vertAlign w:val="baseline"/>
        </w:rPr>
        <w:t>organizations</w:t>
      </w:r>
      <w:r>
        <w:rPr>
          <w:spacing w:val="-7"/>
          <w:vertAlign w:val="baseline"/>
        </w:rPr>
        <w:t> </w:t>
      </w:r>
      <w:r>
        <w:rPr>
          <w:vertAlign w:val="baseline"/>
        </w:rPr>
        <w:t>are</w:t>
      </w:r>
      <w:r>
        <w:rPr>
          <w:spacing w:val="-8"/>
          <w:vertAlign w:val="baseline"/>
        </w:rPr>
        <w:t> </w:t>
      </w:r>
      <w:r>
        <w:rPr>
          <w:vertAlign w:val="baseline"/>
        </w:rPr>
        <w:t>chronically</w:t>
      </w:r>
      <w:r>
        <w:rPr>
          <w:spacing w:val="-6"/>
          <w:vertAlign w:val="baseline"/>
        </w:rPr>
        <w:t> </w:t>
      </w:r>
      <w:r>
        <w:rPr>
          <w:vertAlign w:val="baseline"/>
        </w:rPr>
        <w:t>under-funded</w:t>
      </w:r>
      <w:r>
        <w:rPr>
          <w:spacing w:val="-7"/>
          <w:vertAlign w:val="baseline"/>
        </w:rPr>
        <w:t> </w:t>
      </w:r>
      <w:r>
        <w:rPr>
          <w:vertAlign w:val="baseline"/>
        </w:rPr>
        <w:t>and</w:t>
      </w:r>
      <w:r>
        <w:rPr>
          <w:spacing w:val="-7"/>
          <w:vertAlign w:val="baseline"/>
        </w:rPr>
        <w:t> </w:t>
      </w:r>
      <w:r>
        <w:rPr>
          <w:vertAlign w:val="baseline"/>
        </w:rPr>
        <w:t>do</w:t>
      </w:r>
      <w:r>
        <w:rPr>
          <w:spacing w:val="-7"/>
          <w:vertAlign w:val="baseline"/>
        </w:rPr>
        <w:t> </w:t>
      </w:r>
      <w:r>
        <w:rPr>
          <w:vertAlign w:val="baseline"/>
        </w:rPr>
        <w:t>not</w:t>
      </w:r>
      <w:r>
        <w:rPr>
          <w:spacing w:val="-8"/>
          <w:vertAlign w:val="baseline"/>
        </w:rPr>
        <w:t> </w:t>
      </w:r>
      <w:r>
        <w:rPr>
          <w:vertAlign w:val="baseline"/>
        </w:rPr>
        <w:t>receive</w:t>
      </w:r>
      <w:r>
        <w:rPr>
          <w:spacing w:val="-7"/>
          <w:vertAlign w:val="baseline"/>
        </w:rPr>
        <w:t> </w:t>
      </w:r>
      <w:r>
        <w:rPr>
          <w:vertAlign w:val="baseline"/>
        </w:rPr>
        <w:t>enough support at the state level. This prevents organizations from doing targeted outreach to underserved </w:t>
      </w:r>
      <w:r>
        <w:rPr>
          <w:spacing w:val="-2"/>
          <w:vertAlign w:val="baseline"/>
        </w:rPr>
        <w:t>populations.</w:t>
      </w:r>
    </w:p>
    <w:p>
      <w:pPr>
        <w:pStyle w:val="BodyText"/>
        <w:rPr>
          <w:sz w:val="20"/>
        </w:rPr>
      </w:pPr>
    </w:p>
    <w:p>
      <w:pPr>
        <w:pStyle w:val="BodyText"/>
        <w:spacing w:before="21"/>
        <w:rPr>
          <w:sz w:val="20"/>
        </w:rPr>
      </w:pPr>
    </w:p>
    <w:tbl>
      <w:tblPr>
        <w:tblW w:w="0" w:type="auto"/>
        <w:jc w:val="left"/>
        <w:tblInd w:w="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5"/>
        <w:gridCol w:w="2971"/>
        <w:gridCol w:w="2904"/>
      </w:tblGrid>
      <w:tr>
        <w:trPr>
          <w:trHeight w:val="807" w:hRule="atLeast"/>
        </w:trPr>
        <w:tc>
          <w:tcPr>
            <w:tcW w:w="2765" w:type="dxa"/>
            <w:shd w:val="clear" w:color="auto" w:fill="C5E0F8"/>
          </w:tcPr>
          <w:p>
            <w:pPr>
              <w:pStyle w:val="TableParagraph"/>
              <w:ind w:left="228"/>
              <w:rPr>
                <w:b/>
                <w:sz w:val="21"/>
              </w:rPr>
            </w:pPr>
            <w:bookmarkStart w:name="_bookmark96" w:id="219"/>
            <w:bookmarkEnd w:id="219"/>
            <w:r>
              <w:rPr/>
            </w:r>
            <w:r>
              <w:rPr>
                <w:b/>
                <w:color w:val="095292"/>
                <w:sz w:val="21"/>
              </w:rPr>
              <w:t>Organizations</w:t>
            </w:r>
            <w:r>
              <w:rPr>
                <w:b/>
                <w:color w:val="095292"/>
                <w:spacing w:val="-4"/>
                <w:sz w:val="21"/>
              </w:rPr>
              <w:t> </w:t>
            </w:r>
            <w:r>
              <w:rPr>
                <w:b/>
                <w:color w:val="095292"/>
                <w:sz w:val="21"/>
              </w:rPr>
              <w:t>with</w:t>
            </w:r>
            <w:r>
              <w:rPr>
                <w:b/>
                <w:color w:val="095292"/>
                <w:spacing w:val="-4"/>
                <w:sz w:val="21"/>
              </w:rPr>
              <w:t> LGBTQ</w:t>
            </w:r>
          </w:p>
          <w:p>
            <w:pPr>
              <w:pStyle w:val="TableParagraph"/>
              <w:spacing w:before="149"/>
              <w:ind w:left="279"/>
              <w:rPr>
                <w:b/>
                <w:sz w:val="21"/>
              </w:rPr>
            </w:pPr>
            <w:bookmarkStart w:name="_bookmark97" w:id="220"/>
            <w:bookmarkEnd w:id="220"/>
            <w:r>
              <w:rPr/>
            </w:r>
            <w:r>
              <w:rPr>
                <w:b/>
                <w:color w:val="095292"/>
                <w:sz w:val="21"/>
              </w:rPr>
              <w:t>Youth-Specific</w:t>
            </w:r>
            <w:r>
              <w:rPr>
                <w:b/>
                <w:color w:val="095292"/>
                <w:spacing w:val="-6"/>
                <w:sz w:val="21"/>
              </w:rPr>
              <w:t> </w:t>
            </w:r>
            <w:r>
              <w:rPr>
                <w:b/>
                <w:color w:val="095292"/>
                <w:spacing w:val="-2"/>
                <w:sz w:val="21"/>
              </w:rPr>
              <w:t>Resources</w:t>
            </w:r>
          </w:p>
        </w:tc>
        <w:tc>
          <w:tcPr>
            <w:tcW w:w="2971" w:type="dxa"/>
            <w:shd w:val="clear" w:color="auto" w:fill="C5E0F8"/>
          </w:tcPr>
          <w:p>
            <w:pPr>
              <w:pStyle w:val="TableParagraph"/>
              <w:ind w:left="81" w:right="1"/>
              <w:jc w:val="center"/>
              <w:rPr>
                <w:b/>
                <w:sz w:val="21"/>
              </w:rPr>
            </w:pPr>
            <w:r>
              <w:rPr>
                <w:b/>
                <w:color w:val="095292"/>
                <w:sz w:val="21"/>
              </w:rPr>
              <w:t>Programs</w:t>
            </w:r>
            <w:r>
              <w:rPr>
                <w:b/>
                <w:color w:val="095292"/>
                <w:spacing w:val="-4"/>
                <w:sz w:val="21"/>
              </w:rPr>
              <w:t> </w:t>
            </w:r>
            <w:r>
              <w:rPr>
                <w:b/>
                <w:color w:val="095292"/>
                <w:sz w:val="21"/>
              </w:rPr>
              <w:t>with</w:t>
            </w:r>
            <w:r>
              <w:rPr>
                <w:b/>
                <w:color w:val="095292"/>
                <w:spacing w:val="-3"/>
                <w:sz w:val="21"/>
              </w:rPr>
              <w:t> </w:t>
            </w:r>
            <w:r>
              <w:rPr>
                <w:b/>
                <w:color w:val="095292"/>
                <w:sz w:val="21"/>
              </w:rPr>
              <w:t>LGBTQ</w:t>
            </w:r>
            <w:r>
              <w:rPr>
                <w:b/>
                <w:color w:val="095292"/>
                <w:spacing w:val="-3"/>
                <w:sz w:val="21"/>
              </w:rPr>
              <w:t> </w:t>
            </w:r>
            <w:r>
              <w:rPr>
                <w:b/>
                <w:color w:val="095292"/>
                <w:spacing w:val="-2"/>
                <w:sz w:val="21"/>
              </w:rPr>
              <w:t>Youth-</w:t>
            </w:r>
          </w:p>
          <w:p>
            <w:pPr>
              <w:pStyle w:val="TableParagraph"/>
              <w:spacing w:before="149"/>
              <w:ind w:left="81" w:right="3"/>
              <w:jc w:val="center"/>
              <w:rPr>
                <w:b/>
                <w:sz w:val="21"/>
              </w:rPr>
            </w:pPr>
            <w:r>
              <w:rPr>
                <w:b/>
                <w:color w:val="095292"/>
                <w:sz w:val="21"/>
              </w:rPr>
              <w:t>Specific</w:t>
            </w:r>
            <w:r>
              <w:rPr>
                <w:b/>
                <w:color w:val="095292"/>
                <w:spacing w:val="-5"/>
                <w:sz w:val="21"/>
              </w:rPr>
              <w:t> </w:t>
            </w:r>
            <w:r>
              <w:rPr>
                <w:b/>
                <w:color w:val="095292"/>
                <w:spacing w:val="-2"/>
                <w:sz w:val="21"/>
              </w:rPr>
              <w:t>Resources</w:t>
            </w:r>
          </w:p>
        </w:tc>
        <w:tc>
          <w:tcPr>
            <w:tcW w:w="2904" w:type="dxa"/>
            <w:shd w:val="clear" w:color="auto" w:fill="C5E0F8"/>
          </w:tcPr>
          <w:p>
            <w:pPr>
              <w:pStyle w:val="TableParagraph"/>
              <w:ind w:left="3" w:right="3"/>
              <w:jc w:val="center"/>
              <w:rPr>
                <w:b/>
                <w:sz w:val="21"/>
              </w:rPr>
            </w:pPr>
            <w:r>
              <w:rPr>
                <w:b/>
                <w:color w:val="095292"/>
                <w:sz w:val="21"/>
              </w:rPr>
              <w:t>Hotlines</w:t>
            </w:r>
            <w:r>
              <w:rPr>
                <w:b/>
                <w:color w:val="095292"/>
                <w:spacing w:val="-2"/>
                <w:sz w:val="21"/>
              </w:rPr>
              <w:t> </w:t>
            </w:r>
            <w:r>
              <w:rPr>
                <w:b/>
                <w:color w:val="095292"/>
                <w:sz w:val="21"/>
              </w:rPr>
              <w:t>with</w:t>
            </w:r>
            <w:r>
              <w:rPr>
                <w:b/>
                <w:color w:val="095292"/>
                <w:spacing w:val="-3"/>
                <w:sz w:val="21"/>
              </w:rPr>
              <w:t> </w:t>
            </w:r>
            <w:r>
              <w:rPr>
                <w:b/>
                <w:color w:val="095292"/>
                <w:sz w:val="21"/>
              </w:rPr>
              <w:t>LGBTQ</w:t>
            </w:r>
            <w:r>
              <w:rPr>
                <w:b/>
                <w:color w:val="095292"/>
                <w:spacing w:val="-1"/>
                <w:sz w:val="21"/>
              </w:rPr>
              <w:t> </w:t>
            </w:r>
            <w:r>
              <w:rPr>
                <w:b/>
                <w:color w:val="095292"/>
                <w:spacing w:val="-2"/>
                <w:sz w:val="21"/>
              </w:rPr>
              <w:t>Youth-</w:t>
            </w:r>
          </w:p>
          <w:p>
            <w:pPr>
              <w:pStyle w:val="TableParagraph"/>
              <w:spacing w:before="149"/>
              <w:ind w:left="3" w:right="3"/>
              <w:jc w:val="center"/>
              <w:rPr>
                <w:b/>
                <w:sz w:val="21"/>
              </w:rPr>
            </w:pPr>
            <w:r>
              <w:rPr>
                <w:b/>
                <w:color w:val="095292"/>
                <w:sz w:val="21"/>
              </w:rPr>
              <w:t>Specific</w:t>
            </w:r>
            <w:r>
              <w:rPr>
                <w:b/>
                <w:color w:val="095292"/>
                <w:spacing w:val="-5"/>
                <w:sz w:val="21"/>
              </w:rPr>
              <w:t> </w:t>
            </w:r>
            <w:r>
              <w:rPr>
                <w:b/>
                <w:color w:val="095292"/>
                <w:spacing w:val="-2"/>
                <w:sz w:val="21"/>
              </w:rPr>
              <w:t>Resources</w:t>
            </w:r>
          </w:p>
        </w:tc>
      </w:tr>
      <w:tr>
        <w:trPr>
          <w:trHeight w:val="808" w:hRule="atLeast"/>
        </w:trPr>
        <w:tc>
          <w:tcPr>
            <w:tcW w:w="2765" w:type="dxa"/>
          </w:tcPr>
          <w:p>
            <w:pPr>
              <w:pStyle w:val="TableParagraph"/>
              <w:ind w:left="85" w:right="2"/>
              <w:jc w:val="center"/>
              <w:rPr>
                <w:sz w:val="21"/>
              </w:rPr>
            </w:pPr>
            <w:r>
              <w:rPr>
                <w:color w:val="095292"/>
                <w:sz w:val="21"/>
              </w:rPr>
              <w:t>The</w:t>
            </w:r>
            <w:r>
              <w:rPr>
                <w:color w:val="095292"/>
                <w:spacing w:val="-3"/>
                <w:sz w:val="21"/>
              </w:rPr>
              <w:t> </w:t>
            </w:r>
            <w:r>
              <w:rPr>
                <w:color w:val="095292"/>
                <w:sz w:val="21"/>
              </w:rPr>
              <w:t>Network/La</w:t>
            </w:r>
            <w:r>
              <w:rPr>
                <w:color w:val="095292"/>
                <w:spacing w:val="-2"/>
                <w:sz w:val="21"/>
              </w:rPr>
              <w:t> </w:t>
            </w:r>
            <w:r>
              <w:rPr>
                <w:color w:val="095292"/>
                <w:spacing w:val="-5"/>
                <w:sz w:val="21"/>
              </w:rPr>
              <w:t>Red</w:t>
            </w:r>
          </w:p>
        </w:tc>
        <w:tc>
          <w:tcPr>
            <w:tcW w:w="2971" w:type="dxa"/>
          </w:tcPr>
          <w:p>
            <w:pPr>
              <w:pStyle w:val="TableParagraph"/>
              <w:ind w:left="81" w:right="3"/>
              <w:jc w:val="center"/>
              <w:rPr>
                <w:sz w:val="21"/>
              </w:rPr>
            </w:pPr>
            <w:r>
              <w:rPr>
                <w:color w:val="095292"/>
                <w:sz w:val="21"/>
              </w:rPr>
              <w:t>Fenway</w:t>
            </w:r>
            <w:r>
              <w:rPr>
                <w:color w:val="095292"/>
                <w:spacing w:val="-3"/>
                <w:sz w:val="21"/>
              </w:rPr>
              <w:t> </w:t>
            </w:r>
            <w:r>
              <w:rPr>
                <w:color w:val="095292"/>
                <w:sz w:val="21"/>
              </w:rPr>
              <w:t>Violence</w:t>
            </w:r>
            <w:r>
              <w:rPr>
                <w:color w:val="095292"/>
                <w:spacing w:val="-2"/>
                <w:sz w:val="21"/>
              </w:rPr>
              <w:t> Recovery</w:t>
            </w:r>
          </w:p>
          <w:p>
            <w:pPr>
              <w:pStyle w:val="TableParagraph"/>
              <w:spacing w:before="151"/>
              <w:ind w:left="81"/>
              <w:jc w:val="center"/>
              <w:rPr>
                <w:sz w:val="21"/>
              </w:rPr>
            </w:pPr>
            <w:bookmarkStart w:name="_bookmark98" w:id="221"/>
            <w:bookmarkEnd w:id="221"/>
            <w:r>
              <w:rPr/>
            </w:r>
            <w:r>
              <w:rPr>
                <w:color w:val="095292"/>
                <w:spacing w:val="-2"/>
                <w:sz w:val="21"/>
              </w:rPr>
              <w:t>Program</w:t>
            </w:r>
          </w:p>
        </w:tc>
        <w:tc>
          <w:tcPr>
            <w:tcW w:w="2904" w:type="dxa"/>
          </w:tcPr>
          <w:p>
            <w:pPr>
              <w:pStyle w:val="TableParagraph"/>
              <w:ind w:right="3"/>
              <w:jc w:val="center"/>
              <w:rPr>
                <w:sz w:val="21"/>
              </w:rPr>
            </w:pPr>
            <w:r>
              <w:rPr>
                <w:color w:val="095292"/>
                <w:sz w:val="21"/>
              </w:rPr>
              <w:t>The</w:t>
            </w:r>
            <w:r>
              <w:rPr>
                <w:color w:val="095292"/>
                <w:spacing w:val="-2"/>
                <w:sz w:val="21"/>
              </w:rPr>
              <w:t> </w:t>
            </w:r>
            <w:r>
              <w:rPr>
                <w:color w:val="095292"/>
                <w:sz w:val="21"/>
              </w:rPr>
              <w:t>National</w:t>
            </w:r>
            <w:r>
              <w:rPr>
                <w:color w:val="095292"/>
                <w:spacing w:val="-2"/>
                <w:sz w:val="21"/>
              </w:rPr>
              <w:t> Domestic</w:t>
            </w:r>
          </w:p>
          <w:p>
            <w:pPr>
              <w:pStyle w:val="TableParagraph"/>
              <w:spacing w:before="151"/>
              <w:ind w:left="3" w:right="3"/>
              <w:jc w:val="center"/>
              <w:rPr>
                <w:sz w:val="21"/>
              </w:rPr>
            </w:pPr>
            <w:r>
              <w:rPr>
                <w:color w:val="095292"/>
                <w:sz w:val="21"/>
              </w:rPr>
              <w:t>Violence</w:t>
            </w:r>
            <w:r>
              <w:rPr>
                <w:color w:val="095292"/>
                <w:spacing w:val="-4"/>
                <w:sz w:val="21"/>
              </w:rPr>
              <w:t> </w:t>
            </w:r>
            <w:r>
              <w:rPr>
                <w:color w:val="095292"/>
                <w:spacing w:val="-2"/>
                <w:sz w:val="21"/>
              </w:rPr>
              <w:t>Hotline</w:t>
            </w:r>
          </w:p>
        </w:tc>
      </w:tr>
      <w:tr>
        <w:trPr>
          <w:trHeight w:val="807" w:hRule="atLeast"/>
        </w:trPr>
        <w:tc>
          <w:tcPr>
            <w:tcW w:w="2765" w:type="dxa"/>
            <w:shd w:val="clear" w:color="auto" w:fill="C5E0F8"/>
          </w:tcPr>
          <w:p>
            <w:pPr>
              <w:pStyle w:val="TableParagraph"/>
              <w:ind w:left="85" w:right="2"/>
              <w:jc w:val="center"/>
              <w:rPr>
                <w:sz w:val="21"/>
              </w:rPr>
            </w:pPr>
            <w:bookmarkStart w:name="_bookmark99" w:id="222"/>
            <w:bookmarkEnd w:id="222"/>
            <w:r>
              <w:rPr/>
            </w:r>
            <w:r>
              <w:rPr>
                <w:color w:val="095292"/>
                <w:sz w:val="21"/>
              </w:rPr>
              <w:t>love</w:t>
            </w:r>
            <w:r>
              <w:rPr>
                <w:color w:val="095292"/>
                <w:spacing w:val="-3"/>
                <w:sz w:val="21"/>
              </w:rPr>
              <w:t> </w:t>
            </w:r>
            <w:r>
              <w:rPr>
                <w:color w:val="095292"/>
                <w:sz w:val="21"/>
              </w:rPr>
              <w:t>is</w:t>
            </w:r>
            <w:r>
              <w:rPr>
                <w:color w:val="095292"/>
                <w:spacing w:val="-2"/>
                <w:sz w:val="21"/>
              </w:rPr>
              <w:t> respect</w:t>
            </w:r>
          </w:p>
        </w:tc>
        <w:tc>
          <w:tcPr>
            <w:tcW w:w="2971" w:type="dxa"/>
            <w:shd w:val="clear" w:color="auto" w:fill="C5E0F8"/>
          </w:tcPr>
          <w:p>
            <w:pPr>
              <w:pStyle w:val="TableParagraph"/>
              <w:ind w:left="81" w:right="1"/>
              <w:jc w:val="center"/>
              <w:rPr>
                <w:sz w:val="21"/>
              </w:rPr>
            </w:pPr>
            <w:r>
              <w:rPr>
                <w:color w:val="095292"/>
                <w:sz w:val="21"/>
              </w:rPr>
              <w:t>Start</w:t>
            </w:r>
            <w:r>
              <w:rPr>
                <w:color w:val="095292"/>
                <w:spacing w:val="-2"/>
                <w:sz w:val="21"/>
              </w:rPr>
              <w:t> Strong</w:t>
            </w:r>
          </w:p>
        </w:tc>
        <w:tc>
          <w:tcPr>
            <w:tcW w:w="2904" w:type="dxa"/>
            <w:shd w:val="clear" w:color="auto" w:fill="C5E0F8"/>
          </w:tcPr>
          <w:p>
            <w:pPr>
              <w:pStyle w:val="TableParagraph"/>
              <w:ind w:left="3" w:right="3"/>
              <w:jc w:val="center"/>
              <w:rPr>
                <w:sz w:val="21"/>
              </w:rPr>
            </w:pPr>
            <w:r>
              <w:rPr>
                <w:color w:val="095292"/>
                <w:sz w:val="21"/>
              </w:rPr>
              <w:t>The</w:t>
            </w:r>
            <w:r>
              <w:rPr>
                <w:color w:val="095292"/>
                <w:spacing w:val="-2"/>
                <w:sz w:val="21"/>
              </w:rPr>
              <w:t> </w:t>
            </w:r>
            <w:r>
              <w:rPr>
                <w:color w:val="095292"/>
                <w:sz w:val="21"/>
              </w:rPr>
              <w:t>National</w:t>
            </w:r>
            <w:r>
              <w:rPr>
                <w:color w:val="095292"/>
                <w:spacing w:val="-3"/>
                <w:sz w:val="21"/>
              </w:rPr>
              <w:t> </w:t>
            </w:r>
            <w:r>
              <w:rPr>
                <w:color w:val="095292"/>
                <w:sz w:val="21"/>
              </w:rPr>
              <w:t>Sexual</w:t>
            </w:r>
            <w:r>
              <w:rPr>
                <w:color w:val="095292"/>
                <w:spacing w:val="-1"/>
                <w:sz w:val="21"/>
              </w:rPr>
              <w:t> </w:t>
            </w:r>
            <w:r>
              <w:rPr>
                <w:color w:val="095292"/>
                <w:spacing w:val="-2"/>
                <w:sz w:val="21"/>
              </w:rPr>
              <w:t>Assault</w:t>
            </w:r>
          </w:p>
          <w:p>
            <w:pPr>
              <w:pStyle w:val="TableParagraph"/>
              <w:spacing w:before="149"/>
              <w:ind w:left="3" w:right="3"/>
              <w:jc w:val="center"/>
              <w:rPr>
                <w:sz w:val="21"/>
              </w:rPr>
            </w:pPr>
            <w:r>
              <w:rPr>
                <w:color w:val="095292"/>
                <w:spacing w:val="-2"/>
                <w:sz w:val="21"/>
              </w:rPr>
              <w:t>Hotline</w:t>
            </w:r>
          </w:p>
        </w:tc>
      </w:tr>
      <w:tr>
        <w:trPr>
          <w:trHeight w:val="252" w:hRule="atLeast"/>
        </w:trPr>
        <w:tc>
          <w:tcPr>
            <w:tcW w:w="2765" w:type="dxa"/>
          </w:tcPr>
          <w:p>
            <w:pPr>
              <w:pStyle w:val="TableParagraph"/>
              <w:spacing w:line="232" w:lineRule="exact"/>
              <w:ind w:left="85"/>
              <w:jc w:val="center"/>
              <w:rPr>
                <w:sz w:val="21"/>
              </w:rPr>
            </w:pPr>
            <w:bookmarkStart w:name="_bookmark100" w:id="223"/>
            <w:bookmarkEnd w:id="223"/>
            <w:r>
              <w:rPr/>
            </w:r>
            <w:r>
              <w:rPr>
                <w:color w:val="095292"/>
                <w:sz w:val="21"/>
              </w:rPr>
              <w:t>One</w:t>
            </w:r>
            <w:r>
              <w:rPr>
                <w:color w:val="095292"/>
                <w:spacing w:val="-2"/>
                <w:sz w:val="21"/>
              </w:rPr>
              <w:t> </w:t>
            </w:r>
            <w:r>
              <w:rPr>
                <w:color w:val="095292"/>
                <w:spacing w:val="-4"/>
                <w:sz w:val="21"/>
              </w:rPr>
              <w:t>Love</w:t>
            </w:r>
          </w:p>
        </w:tc>
        <w:tc>
          <w:tcPr>
            <w:tcW w:w="2971" w:type="dxa"/>
          </w:tcPr>
          <w:p>
            <w:pPr>
              <w:pStyle w:val="TableParagraph"/>
              <w:spacing w:line="232" w:lineRule="exact"/>
              <w:ind w:left="81" w:right="1"/>
              <w:jc w:val="center"/>
              <w:rPr>
                <w:sz w:val="21"/>
              </w:rPr>
            </w:pPr>
            <w:r>
              <w:rPr>
                <w:color w:val="095292"/>
                <w:spacing w:val="-2"/>
                <w:sz w:val="21"/>
              </w:rPr>
              <w:t>RESPECTfully</w:t>
            </w:r>
          </w:p>
        </w:tc>
        <w:tc>
          <w:tcPr>
            <w:tcW w:w="2904" w:type="dxa"/>
          </w:tcPr>
          <w:p>
            <w:pPr>
              <w:pStyle w:val="TableParagraph"/>
              <w:spacing w:line="232" w:lineRule="exact"/>
              <w:ind w:left="175"/>
              <w:rPr>
                <w:sz w:val="21"/>
              </w:rPr>
            </w:pPr>
            <w:r>
              <w:rPr>
                <w:color w:val="095292"/>
                <w:sz w:val="21"/>
              </w:rPr>
              <w:t>LGBT</w:t>
            </w:r>
            <w:r>
              <w:rPr>
                <w:color w:val="095292"/>
                <w:spacing w:val="-2"/>
                <w:sz w:val="21"/>
              </w:rPr>
              <w:t> </w:t>
            </w:r>
            <w:r>
              <w:rPr>
                <w:color w:val="095292"/>
                <w:sz w:val="21"/>
              </w:rPr>
              <w:t>National</w:t>
            </w:r>
            <w:r>
              <w:rPr>
                <w:color w:val="095292"/>
                <w:spacing w:val="-2"/>
                <w:sz w:val="21"/>
              </w:rPr>
              <w:t> </w:t>
            </w:r>
            <w:r>
              <w:rPr>
                <w:color w:val="095292"/>
                <w:sz w:val="21"/>
              </w:rPr>
              <w:t>Youth</w:t>
            </w:r>
            <w:r>
              <w:rPr>
                <w:color w:val="095292"/>
                <w:spacing w:val="-2"/>
                <w:sz w:val="21"/>
              </w:rPr>
              <w:t> Hotline</w:t>
            </w:r>
          </w:p>
        </w:tc>
      </w:tr>
    </w:tbl>
    <w:p>
      <w:pPr>
        <w:spacing w:after="0" w:line="232" w:lineRule="exact"/>
        <w:rPr>
          <w:sz w:val="21"/>
        </w:rPr>
        <w:sectPr>
          <w:pgSz w:w="11910" w:h="16840"/>
          <w:pgMar w:header="804" w:footer="1230" w:top="1080" w:bottom="1480" w:left="980" w:right="900"/>
        </w:sectPr>
      </w:pPr>
    </w:p>
    <w:p>
      <w:pPr>
        <w:spacing w:before="108"/>
        <w:ind w:left="463" w:right="0" w:firstLine="0"/>
        <w:jc w:val="both"/>
        <w:rPr>
          <w:sz w:val="28"/>
        </w:rPr>
      </w:pPr>
      <w:bookmarkStart w:name="Sexually Transmitted Infections and PrEP" w:id="224"/>
      <w:bookmarkEnd w:id="224"/>
      <w:r>
        <w:rPr/>
      </w:r>
      <w:bookmarkStart w:name="_bookmark101" w:id="225"/>
      <w:bookmarkEnd w:id="225"/>
      <w:r>
        <w:rPr/>
      </w:r>
      <w:r>
        <w:rPr>
          <w:color w:val="365F91"/>
          <w:sz w:val="28"/>
        </w:rPr>
        <w:t>Sexually</w:t>
      </w:r>
      <w:r>
        <w:rPr>
          <w:color w:val="365F91"/>
          <w:spacing w:val="-12"/>
          <w:sz w:val="28"/>
        </w:rPr>
        <w:t> </w:t>
      </w:r>
      <w:r>
        <w:rPr>
          <w:color w:val="365F91"/>
          <w:sz w:val="28"/>
        </w:rPr>
        <w:t>Transmitted</w:t>
      </w:r>
      <w:r>
        <w:rPr>
          <w:color w:val="365F91"/>
          <w:spacing w:val="-12"/>
          <w:sz w:val="28"/>
        </w:rPr>
        <w:t> </w:t>
      </w:r>
      <w:r>
        <w:rPr>
          <w:color w:val="365F91"/>
          <w:sz w:val="28"/>
        </w:rPr>
        <w:t>Infections</w:t>
      </w:r>
      <w:r>
        <w:rPr>
          <w:color w:val="365F91"/>
          <w:spacing w:val="-11"/>
          <w:sz w:val="28"/>
        </w:rPr>
        <w:t> </w:t>
      </w:r>
      <w:r>
        <w:rPr>
          <w:color w:val="365F91"/>
          <w:sz w:val="28"/>
        </w:rPr>
        <w:t>and</w:t>
      </w:r>
      <w:r>
        <w:rPr>
          <w:color w:val="365F91"/>
          <w:spacing w:val="-12"/>
          <w:sz w:val="28"/>
        </w:rPr>
        <w:t> </w:t>
      </w:r>
      <w:r>
        <w:rPr>
          <w:color w:val="365F91"/>
          <w:sz w:val="28"/>
        </w:rPr>
        <w:t>PrEP</w:t>
      </w:r>
      <w:r>
        <w:rPr>
          <w:color w:val="365F91"/>
          <w:spacing w:val="-12"/>
          <w:sz w:val="28"/>
        </w:rPr>
        <w:t> </w:t>
      </w:r>
      <w:r>
        <w:rPr>
          <w:color w:val="365F91"/>
          <w:spacing w:val="-2"/>
          <w:sz w:val="28"/>
        </w:rPr>
        <w:t>Interventions</w:t>
      </w:r>
    </w:p>
    <w:p>
      <w:pPr>
        <w:pStyle w:val="BodyText"/>
        <w:spacing w:line="276" w:lineRule="auto" w:before="241"/>
        <w:ind w:left="463" w:right="282"/>
        <w:jc w:val="both"/>
      </w:pPr>
      <w:bookmarkStart w:name="_bookmark102" w:id="226"/>
      <w:bookmarkEnd w:id="226"/>
      <w:r>
        <w:rPr/>
      </w:r>
      <w:r>
        <w:rPr/>
        <w:t>Sexually transmitted infections (STIs – also known as sexually transmitted diseases or STDs) have long been considered a public health crisis, particularly for the 15 to 24 age group. According to the Centers for Disease Control and Prevention, nationally, youths ages 15 to 24 make up almost half of new STI infections each year</w:t>
      </w:r>
      <w:hyperlink w:history="true" w:anchor="_bookmark84">
        <w:r>
          <w:rPr/>
          <w:t>.</w:t>
        </w:r>
        <w:r>
          <w:rPr>
            <w:vertAlign w:val="superscript"/>
          </w:rPr>
          <w:t>33</w:t>
        </w:r>
      </w:hyperlink>
      <w:r>
        <w:rPr>
          <w:vertAlign w:val="baseline"/>
        </w:rPr>
        <w:t> In Massachusetts, chlamydia and gonorrhea are the two most common STIs for this</w:t>
      </w:r>
      <w:r>
        <w:rPr>
          <w:spacing w:val="-5"/>
          <w:vertAlign w:val="baseline"/>
        </w:rPr>
        <w:t> </w:t>
      </w:r>
      <w:r>
        <w:rPr>
          <w:vertAlign w:val="baseline"/>
        </w:rPr>
        <w:t>age</w:t>
      </w:r>
      <w:r>
        <w:rPr>
          <w:spacing w:val="-4"/>
          <w:vertAlign w:val="baseline"/>
        </w:rPr>
        <w:t> </w:t>
      </w:r>
      <w:r>
        <w:rPr>
          <w:vertAlign w:val="baseline"/>
        </w:rPr>
        <w:t>group,</w:t>
      </w:r>
      <w:r>
        <w:rPr>
          <w:spacing w:val="-5"/>
          <w:vertAlign w:val="baseline"/>
        </w:rPr>
        <w:t> </w:t>
      </w:r>
      <w:r>
        <w:rPr>
          <w:vertAlign w:val="baseline"/>
        </w:rPr>
        <w:t>although</w:t>
      </w:r>
      <w:r>
        <w:rPr>
          <w:spacing w:val="-5"/>
          <w:vertAlign w:val="baseline"/>
        </w:rPr>
        <w:t> </w:t>
      </w:r>
      <w:r>
        <w:rPr>
          <w:vertAlign w:val="baseline"/>
        </w:rPr>
        <w:t>public</w:t>
      </w:r>
      <w:r>
        <w:rPr>
          <w:spacing w:val="-4"/>
          <w:vertAlign w:val="baseline"/>
        </w:rPr>
        <w:t> </w:t>
      </w:r>
      <w:r>
        <w:rPr>
          <w:vertAlign w:val="baseline"/>
        </w:rPr>
        <w:t>health</w:t>
      </w:r>
      <w:r>
        <w:rPr>
          <w:spacing w:val="-5"/>
          <w:vertAlign w:val="baseline"/>
        </w:rPr>
        <w:t> </w:t>
      </w:r>
      <w:r>
        <w:rPr>
          <w:vertAlign w:val="baseline"/>
        </w:rPr>
        <w:t>officials</w:t>
      </w:r>
      <w:r>
        <w:rPr>
          <w:spacing w:val="-5"/>
          <w:vertAlign w:val="baseline"/>
        </w:rPr>
        <w:t> </w:t>
      </w:r>
      <w:r>
        <w:rPr>
          <w:vertAlign w:val="baseline"/>
        </w:rPr>
        <w:t>closely</w:t>
      </w:r>
      <w:r>
        <w:rPr>
          <w:spacing w:val="-4"/>
          <w:vertAlign w:val="baseline"/>
        </w:rPr>
        <w:t> </w:t>
      </w:r>
      <w:r>
        <w:rPr>
          <w:vertAlign w:val="baseline"/>
        </w:rPr>
        <w:t>monitor</w:t>
      </w:r>
      <w:r>
        <w:rPr>
          <w:spacing w:val="-5"/>
          <w:vertAlign w:val="baseline"/>
        </w:rPr>
        <w:t> </w:t>
      </w:r>
      <w:r>
        <w:rPr>
          <w:vertAlign w:val="baseline"/>
        </w:rPr>
        <w:t>rates</w:t>
      </w:r>
      <w:r>
        <w:rPr>
          <w:spacing w:val="-5"/>
          <w:vertAlign w:val="baseline"/>
        </w:rPr>
        <w:t> </w:t>
      </w:r>
      <w:r>
        <w:rPr>
          <w:vertAlign w:val="baseline"/>
        </w:rPr>
        <w:t>of</w:t>
      </w:r>
      <w:r>
        <w:rPr>
          <w:spacing w:val="-5"/>
          <w:vertAlign w:val="baseline"/>
        </w:rPr>
        <w:t> </w:t>
      </w:r>
      <w:r>
        <w:rPr>
          <w:vertAlign w:val="baseline"/>
        </w:rPr>
        <w:t>HIV,</w:t>
      </w:r>
      <w:r>
        <w:rPr>
          <w:spacing w:val="-5"/>
          <w:vertAlign w:val="baseline"/>
        </w:rPr>
        <w:t> </w:t>
      </w:r>
      <w:r>
        <w:rPr>
          <w:vertAlign w:val="baseline"/>
        </w:rPr>
        <w:t>Hepatitis</w:t>
      </w:r>
      <w:r>
        <w:rPr>
          <w:spacing w:val="-5"/>
          <w:vertAlign w:val="baseline"/>
        </w:rPr>
        <w:t> </w:t>
      </w:r>
      <w:r>
        <w:rPr>
          <w:vertAlign w:val="baseline"/>
        </w:rPr>
        <w:t>A-B-C,</w:t>
      </w:r>
      <w:r>
        <w:rPr>
          <w:spacing w:val="-5"/>
          <w:vertAlign w:val="baseline"/>
        </w:rPr>
        <w:t> </w:t>
      </w:r>
      <w:r>
        <w:rPr>
          <w:vertAlign w:val="baseline"/>
        </w:rPr>
        <w:t>and</w:t>
      </w:r>
      <w:r>
        <w:rPr>
          <w:spacing w:val="-5"/>
          <w:vertAlign w:val="baseline"/>
        </w:rPr>
        <w:t> </w:t>
      </w:r>
      <w:r>
        <w:rPr>
          <w:vertAlign w:val="baseline"/>
        </w:rPr>
        <w:t>syphilis, as</w:t>
      </w:r>
      <w:r>
        <w:rPr>
          <w:spacing w:val="-11"/>
          <w:vertAlign w:val="baseline"/>
        </w:rPr>
        <w:t> </w:t>
      </w:r>
      <w:r>
        <w:rPr>
          <w:vertAlign w:val="baseline"/>
        </w:rPr>
        <w:t>well.</w:t>
      </w:r>
      <w:r>
        <w:rPr>
          <w:spacing w:val="-12"/>
          <w:vertAlign w:val="baseline"/>
        </w:rPr>
        <w:t> </w:t>
      </w:r>
      <w:hyperlink w:history="true" w:anchor="_bookmark84">
        <w:r>
          <w:rPr>
            <w:vertAlign w:val="superscript"/>
          </w:rPr>
          <w:t>34</w:t>
        </w:r>
      </w:hyperlink>
      <w:r>
        <w:rPr>
          <w:spacing w:val="-11"/>
          <w:vertAlign w:val="baseline"/>
        </w:rPr>
        <w:t> </w:t>
      </w:r>
      <w:r>
        <w:rPr>
          <w:vertAlign w:val="baseline"/>
        </w:rPr>
        <w:t>If</w:t>
      </w:r>
      <w:r>
        <w:rPr>
          <w:spacing w:val="-11"/>
          <w:vertAlign w:val="baseline"/>
        </w:rPr>
        <w:t> </w:t>
      </w:r>
      <w:r>
        <w:rPr>
          <w:vertAlign w:val="baseline"/>
        </w:rPr>
        <w:t>left</w:t>
      </w:r>
      <w:r>
        <w:rPr>
          <w:spacing w:val="-12"/>
          <w:vertAlign w:val="baseline"/>
        </w:rPr>
        <w:t> </w:t>
      </w:r>
      <w:r>
        <w:rPr>
          <w:vertAlign w:val="baseline"/>
        </w:rPr>
        <w:t>untreated,</w:t>
      </w:r>
      <w:r>
        <w:rPr>
          <w:spacing w:val="-11"/>
          <w:vertAlign w:val="baseline"/>
        </w:rPr>
        <w:t> </w:t>
      </w:r>
      <w:r>
        <w:rPr>
          <w:vertAlign w:val="baseline"/>
        </w:rPr>
        <w:t>STIs</w:t>
      </w:r>
      <w:r>
        <w:rPr>
          <w:spacing w:val="-11"/>
          <w:vertAlign w:val="baseline"/>
        </w:rPr>
        <w:t> </w:t>
      </w:r>
      <w:r>
        <w:rPr>
          <w:vertAlign w:val="baseline"/>
        </w:rPr>
        <w:t>can</w:t>
      </w:r>
      <w:r>
        <w:rPr>
          <w:spacing w:val="-11"/>
          <w:vertAlign w:val="baseline"/>
        </w:rPr>
        <w:t> </w:t>
      </w:r>
      <w:r>
        <w:rPr>
          <w:vertAlign w:val="baseline"/>
        </w:rPr>
        <w:t>cause</w:t>
      </w:r>
      <w:r>
        <w:rPr>
          <w:spacing w:val="-12"/>
          <w:vertAlign w:val="baseline"/>
        </w:rPr>
        <w:t> </w:t>
      </w:r>
      <w:r>
        <w:rPr>
          <w:vertAlign w:val="baseline"/>
        </w:rPr>
        <w:t>several</w:t>
      </w:r>
      <w:r>
        <w:rPr>
          <w:spacing w:val="-11"/>
          <w:vertAlign w:val="baseline"/>
        </w:rPr>
        <w:t> </w:t>
      </w:r>
      <w:r>
        <w:rPr>
          <w:vertAlign w:val="baseline"/>
        </w:rPr>
        <w:t>long-term</w:t>
      </w:r>
      <w:r>
        <w:rPr>
          <w:spacing w:val="-11"/>
          <w:vertAlign w:val="baseline"/>
        </w:rPr>
        <w:t> </w:t>
      </w:r>
      <w:r>
        <w:rPr>
          <w:vertAlign w:val="baseline"/>
        </w:rPr>
        <w:t>health</w:t>
      </w:r>
      <w:r>
        <w:rPr>
          <w:spacing w:val="-11"/>
          <w:vertAlign w:val="baseline"/>
        </w:rPr>
        <w:t> </w:t>
      </w:r>
      <w:r>
        <w:rPr>
          <w:vertAlign w:val="baseline"/>
        </w:rPr>
        <w:t>conditions,</w:t>
      </w:r>
      <w:r>
        <w:rPr>
          <w:spacing w:val="-11"/>
          <w:vertAlign w:val="baseline"/>
        </w:rPr>
        <w:t> </w:t>
      </w:r>
      <w:r>
        <w:rPr>
          <w:vertAlign w:val="baseline"/>
        </w:rPr>
        <w:t>making</w:t>
      </w:r>
      <w:r>
        <w:rPr>
          <w:spacing w:val="-11"/>
          <w:vertAlign w:val="baseline"/>
        </w:rPr>
        <w:t> </w:t>
      </w:r>
      <w:r>
        <w:rPr>
          <w:vertAlign w:val="baseline"/>
        </w:rPr>
        <w:t>STI</w:t>
      </w:r>
      <w:r>
        <w:rPr>
          <w:spacing w:val="-11"/>
          <w:vertAlign w:val="baseline"/>
        </w:rPr>
        <w:t> </w:t>
      </w:r>
      <w:r>
        <w:rPr>
          <w:vertAlign w:val="baseline"/>
        </w:rPr>
        <w:t>prevention</w:t>
      </w:r>
      <w:r>
        <w:rPr>
          <w:spacing w:val="-11"/>
          <w:vertAlign w:val="baseline"/>
        </w:rPr>
        <w:t> </w:t>
      </w:r>
      <w:r>
        <w:rPr>
          <w:vertAlign w:val="baseline"/>
        </w:rPr>
        <w:t>and treatment of particular interest to public health officials. Unfortunately, although STIs are largely preventable and treatable, many LGBTQ youths are not able to access STI testing, treatment, or prophylactic</w:t>
      </w:r>
      <w:r>
        <w:rPr>
          <w:spacing w:val="-2"/>
          <w:vertAlign w:val="baseline"/>
        </w:rPr>
        <w:t> </w:t>
      </w:r>
      <w:r>
        <w:rPr>
          <w:vertAlign w:val="baseline"/>
        </w:rPr>
        <w:t>measures.</w:t>
      </w:r>
      <w:r>
        <w:rPr>
          <w:spacing w:val="-4"/>
          <w:vertAlign w:val="baseline"/>
        </w:rPr>
        <w:t> </w:t>
      </w:r>
      <w:r>
        <w:rPr>
          <w:vertAlign w:val="baseline"/>
        </w:rPr>
        <w:t>LGBTQ</w:t>
      </w:r>
      <w:r>
        <w:rPr>
          <w:spacing w:val="-4"/>
          <w:vertAlign w:val="baseline"/>
        </w:rPr>
        <w:t> </w:t>
      </w:r>
      <w:r>
        <w:rPr>
          <w:vertAlign w:val="baseline"/>
        </w:rPr>
        <w:t>youth</w:t>
      </w:r>
      <w:r>
        <w:rPr>
          <w:spacing w:val="-3"/>
          <w:vertAlign w:val="baseline"/>
        </w:rPr>
        <w:t> </w:t>
      </w:r>
      <w:r>
        <w:rPr>
          <w:vertAlign w:val="baseline"/>
        </w:rPr>
        <w:t>of</w:t>
      </w:r>
      <w:r>
        <w:rPr>
          <w:spacing w:val="-4"/>
          <w:vertAlign w:val="baseline"/>
        </w:rPr>
        <w:t> </w:t>
      </w:r>
      <w:r>
        <w:rPr>
          <w:vertAlign w:val="baseline"/>
        </w:rPr>
        <w:t>color,</w:t>
      </w:r>
      <w:r>
        <w:rPr>
          <w:spacing w:val="-4"/>
          <w:vertAlign w:val="baseline"/>
        </w:rPr>
        <w:t> </w:t>
      </w:r>
      <w:r>
        <w:rPr>
          <w:vertAlign w:val="baseline"/>
        </w:rPr>
        <w:t>transgender</w:t>
      </w:r>
      <w:r>
        <w:rPr>
          <w:spacing w:val="-3"/>
          <w:vertAlign w:val="baseline"/>
        </w:rPr>
        <w:t> </w:t>
      </w:r>
      <w:r>
        <w:rPr>
          <w:vertAlign w:val="baseline"/>
        </w:rPr>
        <w:t>youth,</w:t>
      </w:r>
      <w:r>
        <w:rPr>
          <w:spacing w:val="-1"/>
          <w:vertAlign w:val="baseline"/>
        </w:rPr>
        <w:t> </w:t>
      </w:r>
      <w:r>
        <w:rPr>
          <w:vertAlign w:val="baseline"/>
        </w:rPr>
        <w:t>low-income</w:t>
      </w:r>
      <w:r>
        <w:rPr>
          <w:spacing w:val="-3"/>
          <w:vertAlign w:val="baseline"/>
        </w:rPr>
        <w:t> </w:t>
      </w:r>
      <w:r>
        <w:rPr>
          <w:vertAlign w:val="baseline"/>
        </w:rPr>
        <w:t>LGBTQ</w:t>
      </w:r>
      <w:r>
        <w:rPr>
          <w:spacing w:val="-3"/>
          <w:vertAlign w:val="baseline"/>
        </w:rPr>
        <w:t> </w:t>
      </w:r>
      <w:r>
        <w:rPr>
          <w:vertAlign w:val="baseline"/>
        </w:rPr>
        <w:t>youth,</w:t>
      </w:r>
      <w:r>
        <w:rPr>
          <w:spacing w:val="-2"/>
          <w:vertAlign w:val="baseline"/>
        </w:rPr>
        <w:t> </w:t>
      </w:r>
      <w:r>
        <w:rPr>
          <w:vertAlign w:val="baseline"/>
        </w:rPr>
        <w:t>and</w:t>
      </w:r>
      <w:r>
        <w:rPr>
          <w:spacing w:val="-4"/>
          <w:vertAlign w:val="baseline"/>
        </w:rPr>
        <w:t> </w:t>
      </w:r>
      <w:r>
        <w:rPr>
          <w:vertAlign w:val="baseline"/>
        </w:rPr>
        <w:t>LGBTQ youth at the intersection of these identities, are at an increased risk for STI infection and lack of access to</w:t>
      </w:r>
      <w:r>
        <w:rPr>
          <w:spacing w:val="-4"/>
          <w:vertAlign w:val="baseline"/>
        </w:rPr>
        <w:t> </w:t>
      </w:r>
      <w:r>
        <w:rPr>
          <w:vertAlign w:val="baseline"/>
        </w:rPr>
        <w:t>testing</w:t>
      </w:r>
      <w:r>
        <w:rPr>
          <w:spacing w:val="-3"/>
          <w:vertAlign w:val="baseline"/>
        </w:rPr>
        <w:t> </w:t>
      </w:r>
      <w:r>
        <w:rPr>
          <w:vertAlign w:val="baseline"/>
        </w:rPr>
        <w:t>and</w:t>
      </w:r>
      <w:r>
        <w:rPr>
          <w:spacing w:val="-4"/>
          <w:vertAlign w:val="baseline"/>
        </w:rPr>
        <w:t> </w:t>
      </w:r>
      <w:r>
        <w:rPr>
          <w:vertAlign w:val="baseline"/>
        </w:rPr>
        <w:t>treatment.</w:t>
      </w:r>
      <w:r>
        <w:rPr>
          <w:spacing w:val="-3"/>
          <w:vertAlign w:val="baseline"/>
        </w:rPr>
        <w:t> </w:t>
      </w:r>
      <w:hyperlink w:history="true" w:anchor="_bookmark85">
        <w:r>
          <w:rPr>
            <w:vertAlign w:val="superscript"/>
          </w:rPr>
          <w:t>35</w:t>
        </w:r>
      </w:hyperlink>
      <w:r>
        <w:rPr>
          <w:spacing w:val="-4"/>
          <w:vertAlign w:val="baseline"/>
        </w:rPr>
        <w:t> </w:t>
      </w:r>
      <w:r>
        <w:rPr>
          <w:vertAlign w:val="baseline"/>
        </w:rPr>
        <w:t>According</w:t>
      </w:r>
      <w:r>
        <w:rPr>
          <w:spacing w:val="-3"/>
          <w:vertAlign w:val="baseline"/>
        </w:rPr>
        <w:t> </w:t>
      </w:r>
      <w:r>
        <w:rPr>
          <w:vertAlign w:val="baseline"/>
        </w:rPr>
        <w:t>to</w:t>
      </w:r>
      <w:r>
        <w:rPr>
          <w:spacing w:val="-4"/>
          <w:vertAlign w:val="baseline"/>
        </w:rPr>
        <w:t> </w:t>
      </w:r>
      <w:r>
        <w:rPr>
          <w:vertAlign w:val="baseline"/>
        </w:rPr>
        <w:t>the</w:t>
      </w:r>
      <w:r>
        <w:rPr>
          <w:spacing w:val="-3"/>
          <w:vertAlign w:val="baseline"/>
        </w:rPr>
        <w:t> </w:t>
      </w:r>
      <w:r>
        <w:rPr>
          <w:vertAlign w:val="baseline"/>
        </w:rPr>
        <w:t>2021</w:t>
      </w:r>
      <w:r>
        <w:rPr>
          <w:spacing w:val="-4"/>
          <w:vertAlign w:val="baseline"/>
        </w:rPr>
        <w:t> </w:t>
      </w:r>
      <w:r>
        <w:rPr>
          <w:vertAlign w:val="baseline"/>
        </w:rPr>
        <w:t>Massachusetts</w:t>
      </w:r>
      <w:r>
        <w:rPr>
          <w:spacing w:val="-3"/>
          <w:vertAlign w:val="baseline"/>
        </w:rPr>
        <w:t> </w:t>
      </w:r>
      <w:r>
        <w:rPr>
          <w:vertAlign w:val="baseline"/>
        </w:rPr>
        <w:t>Youth</w:t>
      </w:r>
      <w:r>
        <w:rPr>
          <w:spacing w:val="-3"/>
          <w:vertAlign w:val="baseline"/>
        </w:rPr>
        <w:t> </w:t>
      </w:r>
      <w:r>
        <w:rPr>
          <w:vertAlign w:val="baseline"/>
        </w:rPr>
        <w:t>Risk</w:t>
      </w:r>
      <w:r>
        <w:rPr>
          <w:spacing w:val="-3"/>
          <w:vertAlign w:val="baseline"/>
        </w:rPr>
        <w:t> </w:t>
      </w:r>
      <w:r>
        <w:rPr>
          <w:vertAlign w:val="baseline"/>
        </w:rPr>
        <w:t>Behavior</w:t>
      </w:r>
      <w:r>
        <w:rPr>
          <w:spacing w:val="-4"/>
          <w:vertAlign w:val="baseline"/>
        </w:rPr>
        <w:t> </w:t>
      </w:r>
      <w:r>
        <w:rPr>
          <w:vertAlign w:val="baseline"/>
        </w:rPr>
        <w:t>Survey,</w:t>
      </w:r>
      <w:r>
        <w:rPr>
          <w:spacing w:val="-4"/>
          <w:vertAlign w:val="baseline"/>
        </w:rPr>
        <w:t> </w:t>
      </w:r>
      <w:r>
        <w:rPr>
          <w:vertAlign w:val="baseline"/>
        </w:rPr>
        <w:t>only</w:t>
      </w:r>
      <w:r>
        <w:rPr>
          <w:spacing w:val="-4"/>
          <w:vertAlign w:val="baseline"/>
        </w:rPr>
        <w:t> </w:t>
      </w:r>
      <w:r>
        <w:rPr>
          <w:vertAlign w:val="baseline"/>
        </w:rPr>
        <w:t>6.8% of LGBTQ</w:t>
      </w:r>
      <w:r>
        <w:rPr>
          <w:spacing w:val="-1"/>
          <w:vertAlign w:val="baseline"/>
        </w:rPr>
        <w:t> </w:t>
      </w:r>
      <w:r>
        <w:rPr>
          <w:vertAlign w:val="baseline"/>
        </w:rPr>
        <w:t>youth have ever been tested for an STI other than HIV (including gonorrhea and chlamydia).</w:t>
      </w:r>
      <w:hyperlink w:history="true" w:anchor="_bookmark86">
        <w:r>
          <w:rPr>
            <w:vertAlign w:val="superscript"/>
          </w:rPr>
          <w:t>36</w:t>
        </w:r>
      </w:hyperlink>
      <w:r>
        <w:rPr>
          <w:vertAlign w:val="baseline"/>
        </w:rPr>
        <w:t> Among high school-age LGBTQ youth of color, only 10.9% of respondents have ever been tested for an </w:t>
      </w:r>
      <w:r>
        <w:rPr>
          <w:spacing w:val="-2"/>
          <w:vertAlign w:val="baseline"/>
        </w:rPr>
        <w:t>STI other than HIV</w:t>
      </w:r>
      <w:hyperlink w:history="true" w:anchor="_bookmark86">
        <w:r>
          <w:rPr>
            <w:spacing w:val="-2"/>
            <w:vertAlign w:val="baseline"/>
          </w:rPr>
          <w:t>.</w:t>
        </w:r>
        <w:r>
          <w:rPr>
            <w:spacing w:val="-2"/>
            <w:vertAlign w:val="superscript"/>
          </w:rPr>
          <w:t>37</w:t>
        </w:r>
      </w:hyperlink>
      <w:r>
        <w:rPr>
          <w:spacing w:val="-2"/>
          <w:vertAlign w:val="baseline"/>
        </w:rPr>
        <w:t> Testing rates were lowest amongst Asian (6.5%) and multi-racial non-Hispanic/Latinx </w:t>
      </w:r>
      <w:r>
        <w:rPr>
          <w:vertAlign w:val="baseline"/>
        </w:rPr>
        <w:t>(11.6%) respondents</w:t>
      </w:r>
      <w:hyperlink w:history="true" w:anchor="_bookmark86">
        <w:r>
          <w:rPr>
            <w:vertAlign w:val="baseline"/>
          </w:rPr>
          <w:t>.</w:t>
        </w:r>
        <w:r>
          <w:rPr>
            <w:vertAlign w:val="superscript"/>
          </w:rPr>
          <w:t>38</w:t>
        </w:r>
      </w:hyperlink>
    </w:p>
    <w:p>
      <w:pPr>
        <w:pStyle w:val="BodyText"/>
        <w:spacing w:line="276" w:lineRule="auto" w:before="238"/>
        <w:ind w:left="463" w:right="281"/>
        <w:jc w:val="both"/>
      </w:pPr>
      <w:r>
        <w:rPr/>
        <w:t>There are a number of reasons why STI rates remain so high among youths aged 15 to 24. One such reason</w:t>
      </w:r>
      <w:r>
        <w:rPr>
          <w:spacing w:val="-7"/>
        </w:rPr>
        <w:t> </w:t>
      </w:r>
      <w:r>
        <w:rPr/>
        <w:t>is</w:t>
      </w:r>
      <w:r>
        <w:rPr>
          <w:spacing w:val="-6"/>
        </w:rPr>
        <w:t> </w:t>
      </w:r>
      <w:r>
        <w:rPr/>
        <w:t>a</w:t>
      </w:r>
      <w:r>
        <w:rPr>
          <w:spacing w:val="-6"/>
        </w:rPr>
        <w:t> </w:t>
      </w:r>
      <w:r>
        <w:rPr/>
        <w:t>lack</w:t>
      </w:r>
      <w:r>
        <w:rPr>
          <w:spacing w:val="-7"/>
        </w:rPr>
        <w:t> </w:t>
      </w:r>
      <w:r>
        <w:rPr/>
        <w:t>of</w:t>
      </w:r>
      <w:r>
        <w:rPr>
          <w:spacing w:val="-5"/>
        </w:rPr>
        <w:t> </w:t>
      </w:r>
      <w:r>
        <w:rPr/>
        <w:t>knowledge</w:t>
      </w:r>
      <w:r>
        <w:rPr>
          <w:spacing w:val="-7"/>
        </w:rPr>
        <w:t> </w:t>
      </w:r>
      <w:r>
        <w:rPr/>
        <w:t>about</w:t>
      </w:r>
      <w:r>
        <w:rPr>
          <w:spacing w:val="-7"/>
        </w:rPr>
        <w:t> </w:t>
      </w:r>
      <w:r>
        <w:rPr/>
        <w:t>STIs</w:t>
      </w:r>
      <w:r>
        <w:rPr>
          <w:spacing w:val="-6"/>
        </w:rPr>
        <w:t> </w:t>
      </w:r>
      <w:r>
        <w:rPr/>
        <w:t>and</w:t>
      </w:r>
      <w:r>
        <w:rPr>
          <w:spacing w:val="-7"/>
        </w:rPr>
        <w:t> </w:t>
      </w:r>
      <w:r>
        <w:rPr/>
        <w:t>how</w:t>
      </w:r>
      <w:r>
        <w:rPr>
          <w:spacing w:val="-5"/>
        </w:rPr>
        <w:t> </w:t>
      </w:r>
      <w:r>
        <w:rPr/>
        <w:t>to</w:t>
      </w:r>
      <w:r>
        <w:rPr>
          <w:spacing w:val="-5"/>
        </w:rPr>
        <w:t> </w:t>
      </w:r>
      <w:r>
        <w:rPr/>
        <w:t>prevent</w:t>
      </w:r>
      <w:r>
        <w:rPr>
          <w:spacing w:val="-6"/>
        </w:rPr>
        <w:t> </w:t>
      </w:r>
      <w:r>
        <w:rPr/>
        <w:t>them</w:t>
      </w:r>
      <w:hyperlink w:history="true" w:anchor="_bookmark86">
        <w:r>
          <w:rPr/>
          <w:t>.</w:t>
        </w:r>
        <w:r>
          <w:rPr>
            <w:vertAlign w:val="superscript"/>
          </w:rPr>
          <w:t>39</w:t>
        </w:r>
      </w:hyperlink>
      <w:r>
        <w:rPr>
          <w:spacing w:val="-7"/>
          <w:vertAlign w:val="baseline"/>
        </w:rPr>
        <w:t> </w:t>
      </w:r>
      <w:r>
        <w:rPr>
          <w:vertAlign w:val="baseline"/>
        </w:rPr>
        <w:t>Like</w:t>
      </w:r>
      <w:r>
        <w:rPr>
          <w:spacing w:val="-7"/>
          <w:vertAlign w:val="baseline"/>
        </w:rPr>
        <w:t> </w:t>
      </w:r>
      <w:r>
        <w:rPr>
          <w:vertAlign w:val="baseline"/>
        </w:rPr>
        <w:t>with</w:t>
      </w:r>
      <w:r>
        <w:rPr>
          <w:spacing w:val="-7"/>
          <w:vertAlign w:val="baseline"/>
        </w:rPr>
        <w:t> </w:t>
      </w:r>
      <w:r>
        <w:rPr>
          <w:vertAlign w:val="baseline"/>
        </w:rPr>
        <w:t>intimate</w:t>
      </w:r>
      <w:r>
        <w:rPr>
          <w:spacing w:val="-7"/>
          <w:vertAlign w:val="baseline"/>
        </w:rPr>
        <w:t> </w:t>
      </w:r>
      <w:r>
        <w:rPr>
          <w:vertAlign w:val="baseline"/>
        </w:rPr>
        <w:t>partner</w:t>
      </w:r>
      <w:r>
        <w:rPr>
          <w:spacing w:val="-6"/>
          <w:vertAlign w:val="baseline"/>
        </w:rPr>
        <w:t> </w:t>
      </w:r>
      <w:r>
        <w:rPr>
          <w:vertAlign w:val="baseline"/>
        </w:rPr>
        <w:t>violence, LGBTQ</w:t>
      </w:r>
      <w:r>
        <w:rPr>
          <w:spacing w:val="-2"/>
          <w:vertAlign w:val="baseline"/>
        </w:rPr>
        <w:t> </w:t>
      </w:r>
      <w:r>
        <w:rPr>
          <w:vertAlign w:val="baseline"/>
        </w:rPr>
        <w:t>youth</w:t>
      </w:r>
      <w:r>
        <w:rPr>
          <w:spacing w:val="-1"/>
          <w:vertAlign w:val="baseline"/>
        </w:rPr>
        <w:t> </w:t>
      </w:r>
      <w:r>
        <w:rPr>
          <w:vertAlign w:val="baseline"/>
        </w:rPr>
        <w:t>are</w:t>
      </w:r>
      <w:r>
        <w:rPr>
          <w:spacing w:val="-3"/>
          <w:vertAlign w:val="baseline"/>
        </w:rPr>
        <w:t> </w:t>
      </w:r>
      <w:r>
        <w:rPr>
          <w:vertAlign w:val="baseline"/>
        </w:rPr>
        <w:t>simply</w:t>
      </w:r>
      <w:r>
        <w:rPr>
          <w:spacing w:val="-2"/>
          <w:vertAlign w:val="baseline"/>
        </w:rPr>
        <w:t> </w:t>
      </w:r>
      <w:r>
        <w:rPr>
          <w:vertAlign w:val="baseline"/>
        </w:rPr>
        <w:t>not</w:t>
      </w:r>
      <w:r>
        <w:rPr>
          <w:spacing w:val="-3"/>
          <w:vertAlign w:val="baseline"/>
        </w:rPr>
        <w:t> </w:t>
      </w:r>
      <w:r>
        <w:rPr>
          <w:vertAlign w:val="baseline"/>
        </w:rPr>
        <w:t>receiving</w:t>
      </w:r>
      <w:r>
        <w:rPr>
          <w:spacing w:val="-2"/>
          <w:vertAlign w:val="baseline"/>
        </w:rPr>
        <w:t> </w:t>
      </w:r>
      <w:r>
        <w:rPr>
          <w:vertAlign w:val="baseline"/>
        </w:rPr>
        <w:t>the</w:t>
      </w:r>
      <w:r>
        <w:rPr>
          <w:spacing w:val="-3"/>
          <w:vertAlign w:val="baseline"/>
        </w:rPr>
        <w:t> </w:t>
      </w:r>
      <w:r>
        <w:rPr>
          <w:vertAlign w:val="baseline"/>
        </w:rPr>
        <w:t>quality</w:t>
      </w:r>
      <w:r>
        <w:rPr>
          <w:spacing w:val="-2"/>
          <w:vertAlign w:val="baseline"/>
        </w:rPr>
        <w:t> </w:t>
      </w:r>
      <w:r>
        <w:rPr>
          <w:vertAlign w:val="baseline"/>
        </w:rPr>
        <w:t>education</w:t>
      </w:r>
      <w:r>
        <w:rPr>
          <w:spacing w:val="-2"/>
          <w:vertAlign w:val="baseline"/>
        </w:rPr>
        <w:t> </w:t>
      </w:r>
      <w:r>
        <w:rPr>
          <w:vertAlign w:val="baseline"/>
        </w:rPr>
        <w:t>that</w:t>
      </w:r>
      <w:r>
        <w:rPr>
          <w:spacing w:val="-2"/>
          <w:vertAlign w:val="baseline"/>
        </w:rPr>
        <w:t> </w:t>
      </w:r>
      <w:r>
        <w:rPr>
          <w:vertAlign w:val="baseline"/>
        </w:rPr>
        <w:t>they</w:t>
      </w:r>
      <w:r>
        <w:rPr>
          <w:spacing w:val="-3"/>
          <w:vertAlign w:val="baseline"/>
        </w:rPr>
        <w:t> </w:t>
      </w:r>
      <w:r>
        <w:rPr>
          <w:vertAlign w:val="baseline"/>
        </w:rPr>
        <w:t>need</w:t>
      </w:r>
      <w:r>
        <w:rPr>
          <w:spacing w:val="-2"/>
          <w:vertAlign w:val="baseline"/>
        </w:rPr>
        <w:t> </w:t>
      </w:r>
      <w:r>
        <w:rPr>
          <w:vertAlign w:val="baseline"/>
        </w:rPr>
        <w:t>to</w:t>
      </w:r>
      <w:r>
        <w:rPr>
          <w:spacing w:val="-2"/>
          <w:vertAlign w:val="baseline"/>
        </w:rPr>
        <w:t> </w:t>
      </w:r>
      <w:r>
        <w:rPr>
          <w:vertAlign w:val="baseline"/>
        </w:rPr>
        <w:t>be</w:t>
      </w:r>
      <w:r>
        <w:rPr>
          <w:spacing w:val="-2"/>
          <w:vertAlign w:val="baseline"/>
        </w:rPr>
        <w:t> </w:t>
      </w:r>
      <w:r>
        <w:rPr>
          <w:vertAlign w:val="baseline"/>
        </w:rPr>
        <w:t>able</w:t>
      </w:r>
      <w:r>
        <w:rPr>
          <w:spacing w:val="-2"/>
          <w:vertAlign w:val="baseline"/>
        </w:rPr>
        <w:t> </w:t>
      </w:r>
      <w:r>
        <w:rPr>
          <w:vertAlign w:val="baseline"/>
        </w:rPr>
        <w:t>to</w:t>
      </w:r>
      <w:r>
        <w:rPr>
          <w:spacing w:val="-1"/>
          <w:vertAlign w:val="baseline"/>
        </w:rPr>
        <w:t> </w:t>
      </w:r>
      <w:r>
        <w:rPr>
          <w:vertAlign w:val="baseline"/>
        </w:rPr>
        <w:t>make</w:t>
      </w:r>
      <w:r>
        <w:rPr>
          <w:spacing w:val="-2"/>
          <w:vertAlign w:val="baseline"/>
        </w:rPr>
        <w:t> </w:t>
      </w:r>
      <w:r>
        <w:rPr>
          <w:vertAlign w:val="baseline"/>
        </w:rPr>
        <w:t>informed and</w:t>
      </w:r>
      <w:r>
        <w:rPr>
          <w:spacing w:val="-3"/>
          <w:vertAlign w:val="baseline"/>
        </w:rPr>
        <w:t> </w:t>
      </w:r>
      <w:r>
        <w:rPr>
          <w:vertAlign w:val="baseline"/>
        </w:rPr>
        <w:t>safe</w:t>
      </w:r>
      <w:r>
        <w:rPr>
          <w:spacing w:val="-2"/>
          <w:vertAlign w:val="baseline"/>
        </w:rPr>
        <w:t> </w:t>
      </w:r>
      <w:r>
        <w:rPr>
          <w:vertAlign w:val="baseline"/>
        </w:rPr>
        <w:t>decisions</w:t>
      </w:r>
      <w:r>
        <w:rPr>
          <w:spacing w:val="-3"/>
          <w:vertAlign w:val="baseline"/>
        </w:rPr>
        <w:t> </w:t>
      </w:r>
      <w:r>
        <w:rPr>
          <w:vertAlign w:val="baseline"/>
        </w:rPr>
        <w:t>about</w:t>
      </w:r>
      <w:r>
        <w:rPr>
          <w:spacing w:val="-2"/>
          <w:vertAlign w:val="baseline"/>
        </w:rPr>
        <w:t> </w:t>
      </w:r>
      <w:r>
        <w:rPr>
          <w:vertAlign w:val="baseline"/>
        </w:rPr>
        <w:t>their</w:t>
      </w:r>
      <w:r>
        <w:rPr>
          <w:spacing w:val="-3"/>
          <w:vertAlign w:val="baseline"/>
        </w:rPr>
        <w:t> </w:t>
      </w:r>
      <w:r>
        <w:rPr>
          <w:vertAlign w:val="baseline"/>
        </w:rPr>
        <w:t>sexual</w:t>
      </w:r>
      <w:r>
        <w:rPr>
          <w:spacing w:val="-2"/>
          <w:vertAlign w:val="baseline"/>
        </w:rPr>
        <w:t> </w:t>
      </w:r>
      <w:r>
        <w:rPr>
          <w:vertAlign w:val="baseline"/>
        </w:rPr>
        <w:t>health.</w:t>
      </w:r>
      <w:r>
        <w:rPr>
          <w:spacing w:val="-2"/>
          <w:vertAlign w:val="baseline"/>
        </w:rPr>
        <w:t> </w:t>
      </w:r>
      <w:r>
        <w:rPr>
          <w:vertAlign w:val="baseline"/>
        </w:rPr>
        <w:t>LGBTQ</w:t>
      </w:r>
      <w:r>
        <w:rPr>
          <w:spacing w:val="-1"/>
          <w:vertAlign w:val="baseline"/>
        </w:rPr>
        <w:t> </w:t>
      </w:r>
      <w:r>
        <w:rPr>
          <w:vertAlign w:val="baseline"/>
        </w:rPr>
        <w:t>youth</w:t>
      </w:r>
      <w:r>
        <w:rPr>
          <w:spacing w:val="-3"/>
          <w:vertAlign w:val="baseline"/>
        </w:rPr>
        <w:t> </w:t>
      </w:r>
      <w:r>
        <w:rPr>
          <w:vertAlign w:val="baseline"/>
        </w:rPr>
        <w:t>are</w:t>
      </w:r>
      <w:r>
        <w:rPr>
          <w:spacing w:val="-2"/>
          <w:vertAlign w:val="baseline"/>
        </w:rPr>
        <w:t> </w:t>
      </w:r>
      <w:r>
        <w:rPr>
          <w:vertAlign w:val="baseline"/>
        </w:rPr>
        <w:t>at</w:t>
      </w:r>
      <w:r>
        <w:rPr>
          <w:spacing w:val="-1"/>
          <w:vertAlign w:val="baseline"/>
        </w:rPr>
        <w:t> </w:t>
      </w:r>
      <w:r>
        <w:rPr>
          <w:vertAlign w:val="baseline"/>
        </w:rPr>
        <w:t>a</w:t>
      </w:r>
      <w:r>
        <w:rPr>
          <w:spacing w:val="-3"/>
          <w:vertAlign w:val="baseline"/>
        </w:rPr>
        <w:t> </w:t>
      </w:r>
      <w:r>
        <w:rPr>
          <w:vertAlign w:val="baseline"/>
        </w:rPr>
        <w:t>particular</w:t>
      </w:r>
      <w:r>
        <w:rPr>
          <w:spacing w:val="-2"/>
          <w:vertAlign w:val="baseline"/>
        </w:rPr>
        <w:t> </w:t>
      </w:r>
      <w:r>
        <w:rPr>
          <w:vertAlign w:val="baseline"/>
        </w:rPr>
        <w:t>disadvantage,</w:t>
      </w:r>
      <w:r>
        <w:rPr>
          <w:spacing w:val="-1"/>
          <w:vertAlign w:val="baseline"/>
        </w:rPr>
        <w:t> </w:t>
      </w:r>
      <w:r>
        <w:rPr>
          <w:vertAlign w:val="baseline"/>
        </w:rPr>
        <w:t>as</w:t>
      </w:r>
      <w:r>
        <w:rPr>
          <w:spacing w:val="-3"/>
          <w:vertAlign w:val="baseline"/>
        </w:rPr>
        <w:t> </w:t>
      </w:r>
      <w:r>
        <w:rPr>
          <w:vertAlign w:val="baseline"/>
        </w:rPr>
        <w:t>only</w:t>
      </w:r>
      <w:r>
        <w:rPr>
          <w:spacing w:val="-3"/>
          <w:vertAlign w:val="baseline"/>
        </w:rPr>
        <w:t> </w:t>
      </w:r>
      <w:r>
        <w:rPr>
          <w:vertAlign w:val="baseline"/>
        </w:rPr>
        <w:t>6.7% of youth nationally report receiving LGBTQ-inclusive sex education in school.</w:t>
      </w:r>
      <w:hyperlink w:history="true" w:anchor="_bookmark86">
        <w:r>
          <w:rPr>
            <w:vertAlign w:val="superscript"/>
          </w:rPr>
          <w:t>40</w:t>
        </w:r>
      </w:hyperlink>
      <w:r>
        <w:rPr>
          <w:vertAlign w:val="baseline"/>
        </w:rPr>
        <w:t> In Massachusetts, only 40.2% of LGBTQ youth have ever received education in school about how to correctly use a condom.</w:t>
      </w:r>
      <w:hyperlink w:history="true" w:anchor="_bookmark86">
        <w:r>
          <w:rPr>
            <w:vertAlign w:val="superscript"/>
          </w:rPr>
          <w:t>41</w:t>
        </w:r>
      </w:hyperlink>
      <w:r>
        <w:rPr>
          <w:vertAlign w:val="baseline"/>
        </w:rPr>
        <w:t> While school is not the only place that youth may learn about safer sex practices, this lack of education likely contributes to low rates of prophylactic use. Among Massachusetts LGBTQ youth of color, only 38.9% of respondents used a condom during the last time they had sexual intercourse</w:t>
      </w:r>
      <w:hyperlink w:history="true" w:anchor="_bookmark86">
        <w:r>
          <w:rPr>
            <w:vertAlign w:val="baseline"/>
          </w:rPr>
          <w:t>.</w:t>
        </w:r>
        <w:r>
          <w:rPr>
            <w:vertAlign w:val="superscript"/>
          </w:rPr>
          <w:t>42</w:t>
        </w:r>
      </w:hyperlink>
      <w:r>
        <w:rPr>
          <w:vertAlign w:val="baseline"/>
        </w:rPr>
        <w:t> Condom use was lowest among Hispanic/Latinx (28.6%) and multiracial Hispanic/Latinx (16.3%) respondents</w:t>
      </w:r>
      <w:hyperlink w:history="true" w:anchor="_bookmark80">
        <w:r>
          <w:rPr>
            <w:vertAlign w:val="baseline"/>
          </w:rPr>
          <w:t>.</w:t>
        </w:r>
        <w:r>
          <w:rPr>
            <w:vertAlign w:val="superscript"/>
          </w:rPr>
          <w:t>43</w:t>
        </w:r>
      </w:hyperlink>
    </w:p>
    <w:p>
      <w:pPr>
        <w:pStyle w:val="BodyText"/>
        <w:spacing w:line="276" w:lineRule="auto" w:before="242"/>
        <w:ind w:left="463" w:right="282"/>
        <w:jc w:val="both"/>
      </w:pPr>
      <w:r>
        <w:rPr/>
        <w:t>At the individual and interpersonal levels, the most effective intervention has been comprehensive sexuality</w:t>
      </w:r>
      <w:r>
        <w:rPr>
          <w:spacing w:val="-10"/>
        </w:rPr>
        <w:t> </w:t>
      </w:r>
      <w:r>
        <w:rPr/>
        <w:t>education</w:t>
      </w:r>
      <w:r>
        <w:rPr>
          <w:spacing w:val="-10"/>
        </w:rPr>
        <w:t> </w:t>
      </w:r>
      <w:r>
        <w:rPr/>
        <w:t>that</w:t>
      </w:r>
      <w:r>
        <w:rPr>
          <w:spacing w:val="-11"/>
        </w:rPr>
        <w:t> </w:t>
      </w:r>
      <w:r>
        <w:rPr/>
        <w:t>includes</w:t>
      </w:r>
      <w:r>
        <w:rPr>
          <w:spacing w:val="-10"/>
        </w:rPr>
        <w:t> </w:t>
      </w:r>
      <w:r>
        <w:rPr/>
        <w:t>not</w:t>
      </w:r>
      <w:r>
        <w:rPr>
          <w:spacing w:val="-11"/>
        </w:rPr>
        <w:t> </w:t>
      </w:r>
      <w:r>
        <w:rPr/>
        <w:t>only</w:t>
      </w:r>
      <w:r>
        <w:rPr>
          <w:spacing w:val="-11"/>
        </w:rPr>
        <w:t> </w:t>
      </w:r>
      <w:r>
        <w:rPr/>
        <w:t>information</w:t>
      </w:r>
      <w:r>
        <w:rPr>
          <w:spacing w:val="-12"/>
        </w:rPr>
        <w:t> </w:t>
      </w:r>
      <w:r>
        <w:rPr/>
        <w:t>about</w:t>
      </w:r>
      <w:r>
        <w:rPr>
          <w:spacing w:val="-12"/>
        </w:rPr>
        <w:t> </w:t>
      </w:r>
      <w:r>
        <w:rPr/>
        <w:t>STIs,</w:t>
      </w:r>
      <w:r>
        <w:rPr>
          <w:spacing w:val="-10"/>
        </w:rPr>
        <w:t> </w:t>
      </w:r>
      <w:r>
        <w:rPr/>
        <w:t>barrier</w:t>
      </w:r>
      <w:r>
        <w:rPr>
          <w:spacing w:val="-11"/>
        </w:rPr>
        <w:t> </w:t>
      </w:r>
      <w:r>
        <w:rPr/>
        <w:t>methods,</w:t>
      </w:r>
      <w:r>
        <w:rPr>
          <w:spacing w:val="-11"/>
        </w:rPr>
        <w:t> </w:t>
      </w:r>
      <w:r>
        <w:rPr/>
        <w:t>PrEP,</w:t>
      </w:r>
      <w:r>
        <w:rPr>
          <w:spacing w:val="-11"/>
        </w:rPr>
        <w:t> </w:t>
      </w:r>
      <w:r>
        <w:rPr/>
        <w:t>and</w:t>
      </w:r>
      <w:r>
        <w:rPr>
          <w:spacing w:val="-12"/>
        </w:rPr>
        <w:t> </w:t>
      </w:r>
      <w:r>
        <w:rPr/>
        <w:t>testing,</w:t>
      </w:r>
      <w:r>
        <w:rPr>
          <w:spacing w:val="-10"/>
        </w:rPr>
        <w:t> </w:t>
      </w:r>
      <w:r>
        <w:rPr/>
        <w:t>but also information and skill building around how to negotiate safer sex with a partner</w:t>
      </w:r>
      <w:hyperlink w:history="true" w:anchor="_bookmark80">
        <w:r>
          <w:rPr/>
          <w:t>.</w:t>
        </w:r>
        <w:r>
          <w:rPr>
            <w:vertAlign w:val="superscript"/>
          </w:rPr>
          <w:t>44</w:t>
        </w:r>
      </w:hyperlink>
      <w:r>
        <w:rPr>
          <w:vertAlign w:val="baseline"/>
        </w:rPr>
        <w:t> However,</w:t>
      </w:r>
    </w:p>
    <w:p>
      <w:pPr>
        <w:pStyle w:val="BodyText"/>
        <w:spacing w:line="276" w:lineRule="auto" w:before="120"/>
        <w:ind w:left="463" w:right="282"/>
        <w:jc w:val="both"/>
      </w:pPr>
      <w:r>
        <w:rPr/>
        <w:drawing>
          <wp:anchor distT="0" distB="0" distL="0" distR="0" allowOverlap="1" layoutInCell="1" locked="0" behindDoc="0" simplePos="0" relativeHeight="15752192">
            <wp:simplePos x="0" y="0"/>
            <wp:positionH relativeFrom="page">
              <wp:posOffset>825500</wp:posOffset>
            </wp:positionH>
            <wp:positionV relativeFrom="paragraph">
              <wp:posOffset>89282</wp:posOffset>
            </wp:positionV>
            <wp:extent cx="2527134" cy="2003419"/>
            <wp:effectExtent l="0" t="0" r="0" b="0"/>
            <wp:wrapNone/>
            <wp:docPr id="181" name="Image 181" descr="A calendar with contraceptive pills and contraceptives  Description automatically generated "/>
            <wp:cNvGraphicFramePr>
              <a:graphicFrameLocks/>
            </wp:cNvGraphicFramePr>
            <a:graphic>
              <a:graphicData uri="http://schemas.openxmlformats.org/drawingml/2006/picture">
                <pic:pic>
                  <pic:nvPicPr>
                    <pic:cNvPr id="181" name="Image 181" descr="A calendar with contraceptive pills and contraceptives  Description automatically generated "/>
                    <pic:cNvPicPr/>
                  </pic:nvPicPr>
                  <pic:blipFill>
                    <a:blip r:embed="rId132" cstate="print"/>
                    <a:stretch>
                      <a:fillRect/>
                    </a:stretch>
                  </pic:blipFill>
                  <pic:spPr>
                    <a:xfrm>
                      <a:off x="0" y="0"/>
                      <a:ext cx="2527134" cy="2003419"/>
                    </a:xfrm>
                    <a:prstGeom prst="rect">
                      <a:avLst/>
                    </a:prstGeom>
                  </pic:spPr>
                </pic:pic>
              </a:graphicData>
            </a:graphic>
          </wp:anchor>
        </w:drawing>
      </w:r>
      <w:r>
        <w:rPr/>
        <w:t>high rates of STIs are not only due to individual knowledge, but also due to structural access issues. As further discussed in the sexual health section, LGBTQ youth may know how and when to use particular safer sex supplies, however they may find the cost of these prophylactic measures to be prohibitive.</w:t>
      </w:r>
      <w:hyperlink w:history="true" w:anchor="_bookmark80">
        <w:r>
          <w:rPr>
            <w:vertAlign w:val="superscript"/>
          </w:rPr>
          <w:t>45</w:t>
        </w:r>
      </w:hyperlink>
      <w:r>
        <w:rPr>
          <w:vertAlign w:val="baseline"/>
        </w:rPr>
        <w:t> When</w:t>
      </w:r>
      <w:r>
        <w:rPr>
          <w:spacing w:val="-12"/>
          <w:vertAlign w:val="baseline"/>
        </w:rPr>
        <w:t> </w:t>
      </w:r>
      <w:r>
        <w:rPr>
          <w:vertAlign w:val="baseline"/>
        </w:rPr>
        <w:t>they</w:t>
      </w:r>
      <w:r>
        <w:rPr>
          <w:spacing w:val="-11"/>
          <w:vertAlign w:val="baseline"/>
        </w:rPr>
        <w:t> </w:t>
      </w:r>
      <w:r>
        <w:rPr>
          <w:vertAlign w:val="baseline"/>
        </w:rPr>
        <w:t>are</w:t>
      </w:r>
      <w:r>
        <w:rPr>
          <w:spacing w:val="-13"/>
          <w:vertAlign w:val="baseline"/>
        </w:rPr>
        <w:t> </w:t>
      </w:r>
      <w:r>
        <w:rPr>
          <w:vertAlign w:val="baseline"/>
        </w:rPr>
        <w:t>able</w:t>
      </w:r>
      <w:r>
        <w:rPr>
          <w:spacing w:val="-10"/>
          <w:vertAlign w:val="baseline"/>
        </w:rPr>
        <w:t> </w:t>
      </w:r>
      <w:r>
        <w:rPr>
          <w:vertAlign w:val="baseline"/>
        </w:rPr>
        <w:t>to</w:t>
      </w:r>
      <w:r>
        <w:rPr>
          <w:spacing w:val="-12"/>
          <w:vertAlign w:val="baseline"/>
        </w:rPr>
        <w:t> </w:t>
      </w:r>
      <w:r>
        <w:rPr>
          <w:vertAlign w:val="baseline"/>
        </w:rPr>
        <w:t>find</w:t>
      </w:r>
      <w:r>
        <w:rPr>
          <w:spacing w:val="-10"/>
          <w:vertAlign w:val="baseline"/>
        </w:rPr>
        <w:t> </w:t>
      </w:r>
      <w:r>
        <w:rPr>
          <w:vertAlign w:val="baseline"/>
        </w:rPr>
        <w:t>safer</w:t>
      </w:r>
      <w:r>
        <w:rPr>
          <w:spacing w:val="-12"/>
          <w:vertAlign w:val="baseline"/>
        </w:rPr>
        <w:t> </w:t>
      </w:r>
      <w:r>
        <w:rPr>
          <w:vertAlign w:val="baseline"/>
        </w:rPr>
        <w:t>sex</w:t>
      </w:r>
      <w:r>
        <w:rPr>
          <w:spacing w:val="-12"/>
          <w:vertAlign w:val="baseline"/>
        </w:rPr>
        <w:t> </w:t>
      </w:r>
      <w:r>
        <w:rPr>
          <w:vertAlign w:val="baseline"/>
        </w:rPr>
        <w:t>supplies</w:t>
      </w:r>
      <w:r>
        <w:rPr>
          <w:spacing w:val="-12"/>
          <w:vertAlign w:val="baseline"/>
        </w:rPr>
        <w:t> </w:t>
      </w:r>
      <w:r>
        <w:rPr>
          <w:vertAlign w:val="baseline"/>
        </w:rPr>
        <w:t>for</w:t>
      </w:r>
      <w:r>
        <w:rPr>
          <w:spacing w:val="-11"/>
          <w:vertAlign w:val="baseline"/>
        </w:rPr>
        <w:t> </w:t>
      </w:r>
      <w:r>
        <w:rPr>
          <w:vertAlign w:val="baseline"/>
        </w:rPr>
        <w:t>free</w:t>
      </w:r>
      <w:r>
        <w:rPr>
          <w:spacing w:val="-10"/>
          <w:vertAlign w:val="baseline"/>
        </w:rPr>
        <w:t> </w:t>
      </w:r>
      <w:r>
        <w:rPr>
          <w:vertAlign w:val="baseline"/>
        </w:rPr>
        <w:t>at</w:t>
      </w:r>
      <w:r>
        <w:rPr>
          <w:spacing w:val="-13"/>
          <w:vertAlign w:val="baseline"/>
        </w:rPr>
        <w:t> </w:t>
      </w:r>
      <w:r>
        <w:rPr>
          <w:vertAlign w:val="baseline"/>
        </w:rPr>
        <w:t>a</w:t>
      </w:r>
      <w:r>
        <w:rPr>
          <w:spacing w:val="-10"/>
          <w:vertAlign w:val="baseline"/>
        </w:rPr>
        <w:t> </w:t>
      </w:r>
      <w:r>
        <w:rPr>
          <w:vertAlign w:val="baseline"/>
        </w:rPr>
        <w:t>local</w:t>
      </w:r>
      <w:r>
        <w:rPr>
          <w:spacing w:val="-12"/>
          <w:vertAlign w:val="baseline"/>
        </w:rPr>
        <w:t> </w:t>
      </w:r>
      <w:r>
        <w:rPr>
          <w:vertAlign w:val="baseline"/>
        </w:rPr>
        <w:t>community</w:t>
      </w:r>
      <w:r>
        <w:rPr>
          <w:spacing w:val="-11"/>
          <w:vertAlign w:val="baseline"/>
        </w:rPr>
        <w:t> </w:t>
      </w:r>
      <w:r>
        <w:rPr>
          <w:vertAlign w:val="baseline"/>
        </w:rPr>
        <w:t>health</w:t>
      </w:r>
      <w:r>
        <w:rPr>
          <w:spacing w:val="-12"/>
          <w:vertAlign w:val="baseline"/>
        </w:rPr>
        <w:t> </w:t>
      </w:r>
      <w:r>
        <w:rPr>
          <w:vertAlign w:val="baseline"/>
        </w:rPr>
        <w:t>clinic</w:t>
      </w:r>
      <w:r>
        <w:rPr>
          <w:spacing w:val="-12"/>
          <w:vertAlign w:val="baseline"/>
        </w:rPr>
        <w:t> </w:t>
      </w:r>
      <w:r>
        <w:rPr>
          <w:vertAlign w:val="baseline"/>
        </w:rPr>
        <w:t>or</w:t>
      </w:r>
      <w:r>
        <w:rPr>
          <w:spacing w:val="-12"/>
          <w:vertAlign w:val="baseline"/>
        </w:rPr>
        <w:t> </w:t>
      </w:r>
      <w:r>
        <w:rPr>
          <w:vertAlign w:val="baseline"/>
        </w:rPr>
        <w:t>youth</w:t>
      </w:r>
      <w:r>
        <w:rPr>
          <w:spacing w:val="-12"/>
          <w:vertAlign w:val="baseline"/>
        </w:rPr>
        <w:t> </w:t>
      </w:r>
      <w:r>
        <w:rPr>
          <w:vertAlign w:val="baseline"/>
        </w:rPr>
        <w:t>program, those</w:t>
      </w:r>
      <w:r>
        <w:rPr>
          <w:spacing w:val="-2"/>
          <w:vertAlign w:val="baseline"/>
        </w:rPr>
        <w:t> </w:t>
      </w:r>
      <w:r>
        <w:rPr>
          <w:vertAlign w:val="baseline"/>
        </w:rPr>
        <w:t>facilities</w:t>
      </w:r>
      <w:r>
        <w:rPr>
          <w:spacing w:val="-1"/>
          <w:vertAlign w:val="baseline"/>
        </w:rPr>
        <w:t> </w:t>
      </w:r>
      <w:r>
        <w:rPr>
          <w:vertAlign w:val="baseline"/>
        </w:rPr>
        <w:t>may</w:t>
      </w:r>
      <w:r>
        <w:rPr>
          <w:spacing w:val="-2"/>
          <w:vertAlign w:val="baseline"/>
        </w:rPr>
        <w:t> </w:t>
      </w:r>
      <w:r>
        <w:rPr>
          <w:vertAlign w:val="baseline"/>
        </w:rPr>
        <w:t>not</w:t>
      </w:r>
      <w:r>
        <w:rPr>
          <w:spacing w:val="-1"/>
          <w:vertAlign w:val="baseline"/>
        </w:rPr>
        <w:t> </w:t>
      </w:r>
      <w:r>
        <w:rPr>
          <w:vertAlign w:val="baseline"/>
        </w:rPr>
        <w:t>stock</w:t>
      </w:r>
      <w:r>
        <w:rPr>
          <w:spacing w:val="-1"/>
          <w:vertAlign w:val="baseline"/>
        </w:rPr>
        <w:t> </w:t>
      </w:r>
      <w:r>
        <w:rPr>
          <w:vertAlign w:val="baseline"/>
        </w:rPr>
        <w:t>the</w:t>
      </w:r>
      <w:r>
        <w:rPr>
          <w:spacing w:val="-1"/>
          <w:vertAlign w:val="baseline"/>
        </w:rPr>
        <w:t> </w:t>
      </w:r>
      <w:r>
        <w:rPr>
          <w:vertAlign w:val="baseline"/>
        </w:rPr>
        <w:t>kinds of</w:t>
      </w:r>
      <w:r>
        <w:rPr>
          <w:spacing w:val="-2"/>
          <w:vertAlign w:val="baseline"/>
        </w:rPr>
        <w:t> </w:t>
      </w:r>
      <w:r>
        <w:rPr>
          <w:vertAlign w:val="baseline"/>
        </w:rPr>
        <w:t>safer</w:t>
      </w:r>
      <w:r>
        <w:rPr>
          <w:spacing w:val="-2"/>
          <w:vertAlign w:val="baseline"/>
        </w:rPr>
        <w:t> </w:t>
      </w:r>
      <w:r>
        <w:rPr>
          <w:vertAlign w:val="baseline"/>
        </w:rPr>
        <w:t>sex</w:t>
      </w:r>
      <w:r>
        <w:rPr>
          <w:spacing w:val="-2"/>
          <w:vertAlign w:val="baseline"/>
        </w:rPr>
        <w:t> </w:t>
      </w:r>
      <w:r>
        <w:rPr>
          <w:vertAlign w:val="baseline"/>
        </w:rPr>
        <w:t>supplies LGBTQ</w:t>
      </w:r>
      <w:r>
        <w:rPr>
          <w:spacing w:val="-2"/>
          <w:vertAlign w:val="baseline"/>
        </w:rPr>
        <w:t> </w:t>
      </w:r>
      <w:r>
        <w:rPr>
          <w:vertAlign w:val="baseline"/>
        </w:rPr>
        <w:t>youth</w:t>
      </w:r>
      <w:r>
        <w:rPr>
          <w:spacing w:val="-2"/>
          <w:vertAlign w:val="baseline"/>
        </w:rPr>
        <w:t> </w:t>
      </w:r>
      <w:r>
        <w:rPr>
          <w:vertAlign w:val="baseline"/>
        </w:rPr>
        <w:t>are</w:t>
      </w:r>
      <w:r>
        <w:rPr>
          <w:spacing w:val="-1"/>
          <w:vertAlign w:val="baseline"/>
        </w:rPr>
        <w:t> </w:t>
      </w:r>
      <w:r>
        <w:rPr>
          <w:vertAlign w:val="baseline"/>
        </w:rPr>
        <w:t>looking</w:t>
      </w:r>
      <w:r>
        <w:rPr>
          <w:spacing w:val="-2"/>
          <w:vertAlign w:val="baseline"/>
        </w:rPr>
        <w:t> </w:t>
      </w:r>
      <w:r>
        <w:rPr>
          <w:vertAlign w:val="baseline"/>
        </w:rPr>
        <w:t>for,</w:t>
      </w:r>
      <w:r>
        <w:rPr>
          <w:spacing w:val="-1"/>
          <w:vertAlign w:val="baseline"/>
        </w:rPr>
        <w:t> </w:t>
      </w:r>
      <w:r>
        <w:rPr>
          <w:vertAlign w:val="baseline"/>
        </w:rPr>
        <w:t>such</w:t>
      </w:r>
      <w:r>
        <w:rPr>
          <w:spacing w:val="-2"/>
          <w:vertAlign w:val="baseline"/>
        </w:rPr>
        <w:t> </w:t>
      </w:r>
      <w:r>
        <w:rPr>
          <w:vertAlign w:val="baseline"/>
        </w:rPr>
        <w:t>as dental </w:t>
      </w:r>
      <w:r>
        <w:rPr>
          <w:spacing w:val="-2"/>
          <w:vertAlign w:val="baseline"/>
        </w:rPr>
        <w:t>dams</w:t>
      </w:r>
      <w:hyperlink w:history="true" w:anchor="_bookmark87">
        <w:r>
          <w:rPr>
            <w:spacing w:val="-2"/>
            <w:vertAlign w:val="baseline"/>
          </w:rPr>
          <w:t>.</w:t>
        </w:r>
        <w:r>
          <w:rPr>
            <w:spacing w:val="-2"/>
            <w:vertAlign w:val="superscript"/>
          </w:rPr>
          <w:t>46</w:t>
        </w:r>
      </w:hyperlink>
    </w:p>
    <w:p>
      <w:pPr>
        <w:pStyle w:val="BodyText"/>
        <w:spacing w:line="276" w:lineRule="auto" w:before="120"/>
        <w:ind w:left="463" w:right="280"/>
        <w:jc w:val="both"/>
      </w:pPr>
      <w:r>
        <w:rPr/>
        <w:t>Having access to free or reduced-price safer sex supplies allows LGBTQ youth to make decisions about their sexual health, without being limited by monetary cost.</w:t>
      </w:r>
    </w:p>
    <w:p>
      <w:pPr>
        <w:pStyle w:val="BodyText"/>
        <w:spacing w:line="276" w:lineRule="auto" w:before="121"/>
        <w:ind w:left="463" w:right="282"/>
        <w:jc w:val="both"/>
      </w:pPr>
      <w:r>
        <w:rPr/>
        <w:t>Access to STI testing and treatment may be equally as prohibitive.</w:t>
      </w:r>
      <w:hyperlink w:history="true" w:anchor="_bookmark88">
        <w:r>
          <w:rPr>
            <w:vertAlign w:val="superscript"/>
          </w:rPr>
          <w:t>47</w:t>
        </w:r>
      </w:hyperlink>
      <w:r>
        <w:rPr>
          <w:vertAlign w:val="baseline"/>
        </w:rPr>
        <w:t> LGBTQ youth, particularly, low- income youth, unhoused youth, undocumented youth, and rural youth, may lack consistent access to healthcare</w:t>
      </w:r>
      <w:hyperlink w:history="true" w:anchor="_bookmark88">
        <w:r>
          <w:rPr>
            <w:vertAlign w:val="baseline"/>
          </w:rPr>
          <w:t>.</w:t>
        </w:r>
        <w:r>
          <w:rPr>
            <w:vertAlign w:val="superscript"/>
          </w:rPr>
          <w:t>48</w:t>
        </w:r>
      </w:hyperlink>
      <w:r>
        <w:rPr>
          <w:vertAlign w:val="baseline"/>
        </w:rPr>
        <w:t> LGBTQ youth who are still on their parents’ health insurance may be reluctant to seek STI testing and treatment due to fear of being outed to their parents or due to the stigma of receiving STI testing</w:t>
      </w:r>
      <w:hyperlink w:history="true" w:anchor="_bookmark88">
        <w:r>
          <w:rPr>
            <w:vertAlign w:val="baseline"/>
          </w:rPr>
          <w:t>.</w:t>
        </w:r>
        <w:r>
          <w:rPr>
            <w:vertAlign w:val="superscript"/>
          </w:rPr>
          <w:t>49</w:t>
        </w:r>
      </w:hyperlink>
      <w:hyperlink w:history="true" w:anchor="_bookmark88">
        <w:r>
          <w:rPr>
            <w:vertAlign w:val="superscript"/>
          </w:rPr>
          <w:t>,50</w:t>
        </w:r>
      </w:hyperlink>
      <w:r>
        <w:rPr>
          <w:spacing w:val="25"/>
          <w:vertAlign w:val="baseline"/>
        </w:rPr>
        <w:t> </w:t>
      </w:r>
      <w:r>
        <w:rPr>
          <w:vertAlign w:val="baseline"/>
        </w:rPr>
        <w:t>In</w:t>
      </w:r>
      <w:r>
        <w:rPr>
          <w:spacing w:val="24"/>
          <w:vertAlign w:val="baseline"/>
        </w:rPr>
        <w:t> </w:t>
      </w:r>
      <w:r>
        <w:rPr>
          <w:vertAlign w:val="baseline"/>
        </w:rPr>
        <w:t>Massachusetts,</w:t>
      </w:r>
      <w:r>
        <w:rPr>
          <w:spacing w:val="24"/>
          <w:vertAlign w:val="baseline"/>
        </w:rPr>
        <w:t> </w:t>
      </w:r>
      <w:r>
        <w:rPr>
          <w:vertAlign w:val="baseline"/>
        </w:rPr>
        <w:t>all</w:t>
      </w:r>
      <w:r>
        <w:rPr>
          <w:spacing w:val="24"/>
          <w:vertAlign w:val="baseline"/>
        </w:rPr>
        <w:t> </w:t>
      </w:r>
      <w:r>
        <w:rPr>
          <w:vertAlign w:val="baseline"/>
        </w:rPr>
        <w:t>youth</w:t>
      </w:r>
      <w:r>
        <w:rPr>
          <w:spacing w:val="24"/>
          <w:vertAlign w:val="baseline"/>
        </w:rPr>
        <w:t> </w:t>
      </w:r>
      <w:r>
        <w:rPr>
          <w:vertAlign w:val="baseline"/>
        </w:rPr>
        <w:t>over</w:t>
      </w:r>
      <w:r>
        <w:rPr>
          <w:spacing w:val="24"/>
          <w:vertAlign w:val="baseline"/>
        </w:rPr>
        <w:t> </w:t>
      </w:r>
      <w:r>
        <w:rPr>
          <w:vertAlign w:val="baseline"/>
        </w:rPr>
        <w:t>the</w:t>
      </w:r>
      <w:r>
        <w:rPr>
          <w:spacing w:val="24"/>
          <w:vertAlign w:val="baseline"/>
        </w:rPr>
        <w:t> </w:t>
      </w:r>
      <w:r>
        <w:rPr>
          <w:vertAlign w:val="baseline"/>
        </w:rPr>
        <w:t>age</w:t>
      </w:r>
      <w:r>
        <w:rPr>
          <w:spacing w:val="24"/>
          <w:vertAlign w:val="baseline"/>
        </w:rPr>
        <w:t> </w:t>
      </w:r>
      <w:r>
        <w:rPr>
          <w:vertAlign w:val="baseline"/>
        </w:rPr>
        <w:t>of</w:t>
      </w:r>
      <w:r>
        <w:rPr>
          <w:spacing w:val="24"/>
          <w:vertAlign w:val="baseline"/>
        </w:rPr>
        <w:t> </w:t>
      </w:r>
      <w:r>
        <w:rPr>
          <w:vertAlign w:val="baseline"/>
        </w:rPr>
        <w:t>thirteen</w:t>
      </w:r>
      <w:r>
        <w:rPr>
          <w:spacing w:val="24"/>
          <w:vertAlign w:val="baseline"/>
        </w:rPr>
        <w:t> </w:t>
      </w:r>
      <w:r>
        <w:rPr>
          <w:vertAlign w:val="baseline"/>
        </w:rPr>
        <w:t>have</w:t>
      </w:r>
      <w:r>
        <w:rPr>
          <w:spacing w:val="24"/>
          <w:vertAlign w:val="baseline"/>
        </w:rPr>
        <w:t> </w:t>
      </w:r>
      <w:r>
        <w:rPr>
          <w:vertAlign w:val="baseline"/>
        </w:rPr>
        <w:t>the</w:t>
      </w:r>
      <w:r>
        <w:rPr>
          <w:spacing w:val="24"/>
          <w:vertAlign w:val="baseline"/>
        </w:rPr>
        <w:t> </w:t>
      </w:r>
      <w:r>
        <w:rPr>
          <w:vertAlign w:val="baseline"/>
        </w:rPr>
        <w:t>right</w:t>
      </w:r>
      <w:r>
        <w:rPr>
          <w:spacing w:val="24"/>
          <w:vertAlign w:val="baseline"/>
        </w:rPr>
        <w:t> </w:t>
      </w:r>
      <w:r>
        <w:rPr>
          <w:vertAlign w:val="baseline"/>
        </w:rPr>
        <w:t>to</w:t>
      </w:r>
      <w:r>
        <w:rPr>
          <w:spacing w:val="25"/>
          <w:vertAlign w:val="baseline"/>
        </w:rPr>
        <w:t> </w:t>
      </w:r>
      <w:r>
        <w:rPr>
          <w:vertAlign w:val="baseline"/>
        </w:rPr>
        <w:t>receive</w:t>
      </w:r>
      <w:r>
        <w:rPr>
          <w:spacing w:val="24"/>
          <w:vertAlign w:val="baseline"/>
        </w:rPr>
        <w:t> </w:t>
      </w:r>
      <w:r>
        <w:rPr>
          <w:vertAlign w:val="baseline"/>
        </w:rPr>
        <w:t>STI</w:t>
      </w:r>
      <w:r>
        <w:rPr>
          <w:spacing w:val="24"/>
          <w:vertAlign w:val="baseline"/>
        </w:rPr>
        <w:t> </w:t>
      </w:r>
      <w:r>
        <w:rPr>
          <w:vertAlign w:val="baseline"/>
        </w:rPr>
        <w:t>testing</w:t>
      </w:r>
    </w:p>
    <w:p>
      <w:pPr>
        <w:spacing w:after="0" w:line="276" w:lineRule="auto"/>
        <w:jc w:val="both"/>
        <w:sectPr>
          <w:pgSz w:w="11910" w:h="16840"/>
          <w:pgMar w:header="804" w:footer="1230" w:top="1080" w:bottom="1480" w:left="980" w:right="900"/>
        </w:sectPr>
      </w:pPr>
    </w:p>
    <w:p>
      <w:pPr>
        <w:pStyle w:val="BodyText"/>
        <w:spacing w:line="276" w:lineRule="auto" w:before="69"/>
        <w:ind w:left="463" w:right="281"/>
        <w:jc w:val="both"/>
      </w:pPr>
      <w:r>
        <w:rPr/>
        <w:t>without parental consent</w:t>
      </w:r>
      <w:hyperlink w:history="true" w:anchor="_bookmark88">
        <w:r>
          <w:rPr/>
          <w:t>.</w:t>
        </w:r>
        <w:r>
          <w:rPr>
            <w:vertAlign w:val="superscript"/>
          </w:rPr>
          <w:t>51</w:t>
        </w:r>
      </w:hyperlink>
      <w:r>
        <w:rPr>
          <w:vertAlign w:val="baseline"/>
        </w:rPr>
        <w:t> However, this service is not widely advertised, and many youths may not take</w:t>
      </w:r>
      <w:r>
        <w:rPr>
          <w:spacing w:val="-1"/>
          <w:vertAlign w:val="baseline"/>
        </w:rPr>
        <w:t> </w:t>
      </w:r>
      <w:r>
        <w:rPr>
          <w:vertAlign w:val="baseline"/>
        </w:rPr>
        <w:t>advantage</w:t>
      </w:r>
      <w:r>
        <w:rPr>
          <w:spacing w:val="-1"/>
          <w:vertAlign w:val="baseline"/>
        </w:rPr>
        <w:t> </w:t>
      </w:r>
      <w:r>
        <w:rPr>
          <w:vertAlign w:val="baseline"/>
        </w:rPr>
        <w:t>of this important</w:t>
      </w:r>
      <w:r>
        <w:rPr>
          <w:spacing w:val="-1"/>
          <w:vertAlign w:val="baseline"/>
        </w:rPr>
        <w:t> </w:t>
      </w:r>
      <w:r>
        <w:rPr>
          <w:vertAlign w:val="baseline"/>
        </w:rPr>
        <w:t>service.</w:t>
      </w:r>
      <w:r>
        <w:rPr>
          <w:spacing w:val="-1"/>
          <w:vertAlign w:val="baseline"/>
        </w:rPr>
        <w:t> </w:t>
      </w:r>
      <w:r>
        <w:rPr>
          <w:vertAlign w:val="baseline"/>
        </w:rPr>
        <w:t>LGBTQ youth may also avoid</w:t>
      </w:r>
      <w:r>
        <w:rPr>
          <w:spacing w:val="-1"/>
          <w:vertAlign w:val="baseline"/>
        </w:rPr>
        <w:t> </w:t>
      </w:r>
      <w:r>
        <w:rPr>
          <w:vertAlign w:val="baseline"/>
        </w:rPr>
        <w:t>seeking testing or treatment</w:t>
      </w:r>
      <w:r>
        <w:rPr>
          <w:spacing w:val="-1"/>
          <w:vertAlign w:val="baseline"/>
        </w:rPr>
        <w:t> </w:t>
      </w:r>
      <w:r>
        <w:rPr>
          <w:vertAlign w:val="baseline"/>
        </w:rPr>
        <w:t>due to prior negative experiences with a healthcare provider</w:t>
      </w:r>
      <w:hyperlink w:history="true" w:anchor="_bookmark89">
        <w:r>
          <w:rPr>
            <w:vertAlign w:val="baseline"/>
          </w:rPr>
          <w:t>.</w:t>
        </w:r>
        <w:r>
          <w:rPr>
            <w:vertAlign w:val="superscript"/>
          </w:rPr>
          <w:t>52</w:t>
        </w:r>
      </w:hyperlink>
      <w:r>
        <w:rPr>
          <w:vertAlign w:val="baseline"/>
        </w:rPr>
        <w:t> If healthcare providers are unwilling to acknowledge the identities of their LGBTQ patients or simply make assumptions about the kinds of sex their LGBTQ patients are having, LGBTQ youths are unlikely to feel comfortable discussing STI risk reduction</w:t>
      </w:r>
      <w:r>
        <w:rPr>
          <w:spacing w:val="-13"/>
          <w:vertAlign w:val="baseline"/>
        </w:rPr>
        <w:t> </w:t>
      </w:r>
      <w:r>
        <w:rPr>
          <w:vertAlign w:val="baseline"/>
        </w:rPr>
        <w:t>and</w:t>
      </w:r>
      <w:r>
        <w:rPr>
          <w:spacing w:val="-12"/>
          <w:vertAlign w:val="baseline"/>
        </w:rPr>
        <w:t> </w:t>
      </w:r>
      <w:r>
        <w:rPr>
          <w:vertAlign w:val="baseline"/>
        </w:rPr>
        <w:t>testing</w:t>
      </w:r>
      <w:r>
        <w:rPr>
          <w:spacing w:val="-13"/>
          <w:vertAlign w:val="baseline"/>
        </w:rPr>
        <w:t> </w:t>
      </w:r>
      <w:r>
        <w:rPr>
          <w:vertAlign w:val="baseline"/>
        </w:rPr>
        <w:t>options.</w:t>
      </w:r>
      <w:r>
        <w:rPr>
          <w:spacing w:val="-12"/>
          <w:vertAlign w:val="baseline"/>
        </w:rPr>
        <w:t> </w:t>
      </w:r>
      <w:hyperlink w:history="true" w:anchor="_bookmark89">
        <w:r>
          <w:rPr>
            <w:vertAlign w:val="superscript"/>
          </w:rPr>
          <w:t>53</w:t>
        </w:r>
      </w:hyperlink>
      <w:r>
        <w:rPr>
          <w:spacing w:val="-13"/>
          <w:vertAlign w:val="baseline"/>
        </w:rPr>
        <w:t> </w:t>
      </w:r>
      <w:r>
        <w:rPr>
          <w:vertAlign w:val="baseline"/>
        </w:rPr>
        <w:t>One</w:t>
      </w:r>
      <w:r>
        <w:rPr>
          <w:spacing w:val="-12"/>
          <w:vertAlign w:val="baseline"/>
        </w:rPr>
        <w:t> </w:t>
      </w:r>
      <w:r>
        <w:rPr>
          <w:vertAlign w:val="baseline"/>
        </w:rPr>
        <w:t>possible</w:t>
      </w:r>
      <w:r>
        <w:rPr>
          <w:spacing w:val="-13"/>
          <w:vertAlign w:val="baseline"/>
        </w:rPr>
        <w:t> </w:t>
      </w:r>
      <w:r>
        <w:rPr>
          <w:vertAlign w:val="baseline"/>
        </w:rPr>
        <w:t>solution</w:t>
      </w:r>
      <w:r>
        <w:rPr>
          <w:spacing w:val="-12"/>
          <w:vertAlign w:val="baseline"/>
        </w:rPr>
        <w:t> </w:t>
      </w:r>
      <w:r>
        <w:rPr>
          <w:vertAlign w:val="baseline"/>
        </w:rPr>
        <w:t>to</w:t>
      </w:r>
      <w:r>
        <w:rPr>
          <w:spacing w:val="-12"/>
          <w:vertAlign w:val="baseline"/>
        </w:rPr>
        <w:t> </w:t>
      </w:r>
      <w:r>
        <w:rPr>
          <w:vertAlign w:val="baseline"/>
        </w:rPr>
        <w:t>this</w:t>
      </w:r>
      <w:r>
        <w:rPr>
          <w:spacing w:val="-13"/>
          <w:vertAlign w:val="baseline"/>
        </w:rPr>
        <w:t> </w:t>
      </w:r>
      <w:r>
        <w:rPr>
          <w:vertAlign w:val="baseline"/>
        </w:rPr>
        <w:t>is</w:t>
      </w:r>
      <w:r>
        <w:rPr>
          <w:spacing w:val="-12"/>
          <w:vertAlign w:val="baseline"/>
        </w:rPr>
        <w:t> </w:t>
      </w:r>
      <w:r>
        <w:rPr>
          <w:vertAlign w:val="baseline"/>
        </w:rPr>
        <w:t>offering</w:t>
      </w:r>
      <w:r>
        <w:rPr>
          <w:spacing w:val="-13"/>
          <w:vertAlign w:val="baseline"/>
        </w:rPr>
        <w:t> </w:t>
      </w:r>
      <w:r>
        <w:rPr>
          <w:vertAlign w:val="baseline"/>
        </w:rPr>
        <w:t>STI</w:t>
      </w:r>
      <w:r>
        <w:rPr>
          <w:spacing w:val="-12"/>
          <w:vertAlign w:val="baseline"/>
        </w:rPr>
        <w:t> </w:t>
      </w:r>
      <w:r>
        <w:rPr>
          <w:vertAlign w:val="baseline"/>
        </w:rPr>
        <w:t>testing</w:t>
      </w:r>
      <w:r>
        <w:rPr>
          <w:spacing w:val="-13"/>
          <w:vertAlign w:val="baseline"/>
        </w:rPr>
        <w:t> </w:t>
      </w:r>
      <w:r>
        <w:rPr>
          <w:vertAlign w:val="baseline"/>
        </w:rPr>
        <w:t>outside</w:t>
      </w:r>
      <w:r>
        <w:rPr>
          <w:spacing w:val="-12"/>
          <w:vertAlign w:val="baseline"/>
        </w:rPr>
        <w:t> </w:t>
      </w:r>
      <w:r>
        <w:rPr>
          <w:vertAlign w:val="baseline"/>
        </w:rPr>
        <w:t>of</w:t>
      </w:r>
      <w:r>
        <w:rPr>
          <w:spacing w:val="-12"/>
          <w:vertAlign w:val="baseline"/>
        </w:rPr>
        <w:t> </w:t>
      </w:r>
      <w:r>
        <w:rPr>
          <w:vertAlign w:val="baseline"/>
        </w:rPr>
        <w:t>a</w:t>
      </w:r>
      <w:r>
        <w:rPr>
          <w:spacing w:val="-13"/>
          <w:vertAlign w:val="baseline"/>
        </w:rPr>
        <w:t> </w:t>
      </w:r>
      <w:r>
        <w:rPr>
          <w:vertAlign w:val="baseline"/>
        </w:rPr>
        <w:t>traditional healthcare setting, such as through mobile testing vans, community-based testing sites, or mobile technologies and telehealth.</w:t>
      </w:r>
      <w:hyperlink w:history="true" w:anchor="_bookmark89">
        <w:r>
          <w:rPr>
            <w:vertAlign w:val="superscript"/>
          </w:rPr>
          <w:t>54</w:t>
        </w:r>
      </w:hyperlink>
      <w:r>
        <w:rPr>
          <w:vertAlign w:val="baseline"/>
        </w:rPr>
        <w:t> Further ensuring that clinics have youth-focused services and LGBTQ- competent clinicians can increase the likelihood that LGBTQ youth are able to access testing and treatment options on their own terms in a safe space</w:t>
      </w:r>
      <w:hyperlink w:history="true" w:anchor="_bookmark89">
        <w:r>
          <w:rPr>
            <w:vertAlign w:val="baseline"/>
          </w:rPr>
          <w:t>.</w:t>
        </w:r>
        <w:r>
          <w:rPr>
            <w:vertAlign w:val="superscript"/>
          </w:rPr>
          <w:t>55</w:t>
        </w:r>
      </w:hyperlink>
    </w:p>
    <w:p>
      <w:pPr>
        <w:pStyle w:val="BodyText"/>
        <w:spacing w:line="276" w:lineRule="auto" w:before="238"/>
        <w:ind w:left="463" w:right="282"/>
        <w:jc w:val="both"/>
      </w:pPr>
      <w:r>
        <w:rPr/>
        <w:t>Pre-Exposure Prophylaxis (PrEP) is another widely underutilized and highly successful HIV prevention method.</w:t>
      </w:r>
      <w:r>
        <w:rPr>
          <w:spacing w:val="-7"/>
        </w:rPr>
        <w:t> </w:t>
      </w:r>
      <w:r>
        <w:rPr/>
        <w:t>PrEP</w:t>
      </w:r>
      <w:r>
        <w:rPr>
          <w:spacing w:val="-6"/>
        </w:rPr>
        <w:t> </w:t>
      </w:r>
      <w:r>
        <w:rPr/>
        <w:t>is</w:t>
      </w:r>
      <w:r>
        <w:rPr>
          <w:spacing w:val="-6"/>
        </w:rPr>
        <w:t> </w:t>
      </w:r>
      <w:r>
        <w:rPr/>
        <w:t>approved</w:t>
      </w:r>
      <w:r>
        <w:rPr>
          <w:spacing w:val="-7"/>
        </w:rPr>
        <w:t> </w:t>
      </w:r>
      <w:r>
        <w:rPr/>
        <w:t>for</w:t>
      </w:r>
      <w:r>
        <w:rPr>
          <w:spacing w:val="-6"/>
        </w:rPr>
        <w:t> </w:t>
      </w:r>
      <w:r>
        <w:rPr/>
        <w:t>use</w:t>
      </w:r>
      <w:r>
        <w:rPr>
          <w:spacing w:val="-6"/>
        </w:rPr>
        <w:t> </w:t>
      </w:r>
      <w:r>
        <w:rPr/>
        <w:t>by</w:t>
      </w:r>
      <w:r>
        <w:rPr>
          <w:spacing w:val="-5"/>
        </w:rPr>
        <w:t> </w:t>
      </w:r>
      <w:r>
        <w:rPr/>
        <w:t>the</w:t>
      </w:r>
      <w:r>
        <w:rPr>
          <w:spacing w:val="-4"/>
        </w:rPr>
        <w:t> </w:t>
      </w:r>
      <w:r>
        <w:rPr/>
        <w:t>FDA</w:t>
      </w:r>
      <w:r>
        <w:rPr>
          <w:spacing w:val="-6"/>
        </w:rPr>
        <w:t> </w:t>
      </w:r>
      <w:r>
        <w:rPr/>
        <w:t>for</w:t>
      </w:r>
      <w:r>
        <w:rPr>
          <w:spacing w:val="-6"/>
        </w:rPr>
        <w:t> </w:t>
      </w:r>
      <w:r>
        <w:rPr/>
        <w:t>anyone</w:t>
      </w:r>
      <w:r>
        <w:rPr>
          <w:spacing w:val="-7"/>
        </w:rPr>
        <w:t> </w:t>
      </w:r>
      <w:r>
        <w:rPr/>
        <w:t>over</w:t>
      </w:r>
      <w:r>
        <w:rPr>
          <w:spacing w:val="-5"/>
        </w:rPr>
        <w:t> </w:t>
      </w:r>
      <w:r>
        <w:rPr/>
        <w:t>twelve</w:t>
      </w:r>
      <w:r>
        <w:rPr>
          <w:spacing w:val="-7"/>
        </w:rPr>
        <w:t> </w:t>
      </w:r>
      <w:r>
        <w:rPr/>
        <w:t>years</w:t>
      </w:r>
      <w:r>
        <w:rPr>
          <w:spacing w:val="-6"/>
        </w:rPr>
        <w:t> </w:t>
      </w:r>
      <w:r>
        <w:rPr/>
        <w:t>of</w:t>
      </w:r>
      <w:r>
        <w:rPr>
          <w:spacing w:val="-5"/>
        </w:rPr>
        <w:t> </w:t>
      </w:r>
      <w:r>
        <w:rPr/>
        <w:t>age</w:t>
      </w:r>
      <w:r>
        <w:rPr>
          <w:spacing w:val="-5"/>
        </w:rPr>
        <w:t> </w:t>
      </w:r>
      <w:r>
        <w:rPr/>
        <w:t>weighing</w:t>
      </w:r>
      <w:r>
        <w:rPr>
          <w:spacing w:val="-6"/>
        </w:rPr>
        <w:t> </w:t>
      </w:r>
      <w:r>
        <w:rPr/>
        <w:t>77</w:t>
      </w:r>
      <w:r>
        <w:rPr>
          <w:spacing w:val="-4"/>
        </w:rPr>
        <w:t> </w:t>
      </w:r>
      <w:r>
        <w:rPr/>
        <w:t>pounds</w:t>
      </w:r>
      <w:r>
        <w:rPr>
          <w:spacing w:val="-6"/>
        </w:rPr>
        <w:t> </w:t>
      </w:r>
      <w:r>
        <w:rPr/>
        <w:t>or more.</w:t>
      </w:r>
      <w:hyperlink w:history="true" w:anchor="_bookmark89">
        <w:r>
          <w:rPr>
            <w:vertAlign w:val="superscript"/>
          </w:rPr>
          <w:t>56</w:t>
        </w:r>
      </w:hyperlink>
      <w:r>
        <w:rPr>
          <w:spacing w:val="-3"/>
          <w:vertAlign w:val="baseline"/>
        </w:rPr>
        <w:t> </w:t>
      </w:r>
      <w:r>
        <w:rPr>
          <w:vertAlign w:val="baseline"/>
        </w:rPr>
        <w:t>PrEP,</w:t>
      </w:r>
      <w:r>
        <w:rPr>
          <w:spacing w:val="-4"/>
          <w:vertAlign w:val="baseline"/>
        </w:rPr>
        <w:t> </w:t>
      </w:r>
      <w:r>
        <w:rPr>
          <w:vertAlign w:val="baseline"/>
        </w:rPr>
        <w:t>since</w:t>
      </w:r>
      <w:r>
        <w:rPr>
          <w:spacing w:val="-4"/>
          <w:vertAlign w:val="baseline"/>
        </w:rPr>
        <w:t> </w:t>
      </w:r>
      <w:r>
        <w:rPr>
          <w:vertAlign w:val="baseline"/>
        </w:rPr>
        <w:t>it</w:t>
      </w:r>
      <w:r>
        <w:rPr>
          <w:spacing w:val="-3"/>
          <w:vertAlign w:val="baseline"/>
        </w:rPr>
        <w:t> </w:t>
      </w:r>
      <w:r>
        <w:rPr>
          <w:vertAlign w:val="baseline"/>
        </w:rPr>
        <w:t>must</w:t>
      </w:r>
      <w:r>
        <w:rPr>
          <w:spacing w:val="-2"/>
          <w:vertAlign w:val="baseline"/>
        </w:rPr>
        <w:t> </w:t>
      </w:r>
      <w:r>
        <w:rPr>
          <w:vertAlign w:val="baseline"/>
        </w:rPr>
        <w:t>be</w:t>
      </w:r>
      <w:r>
        <w:rPr>
          <w:spacing w:val="-3"/>
          <w:vertAlign w:val="baseline"/>
        </w:rPr>
        <w:t> </w:t>
      </w:r>
      <w:r>
        <w:rPr>
          <w:vertAlign w:val="baseline"/>
        </w:rPr>
        <w:t>prescribed</w:t>
      </w:r>
      <w:r>
        <w:rPr>
          <w:spacing w:val="-3"/>
          <w:vertAlign w:val="baseline"/>
        </w:rPr>
        <w:t> </w:t>
      </w:r>
      <w:r>
        <w:rPr>
          <w:vertAlign w:val="baseline"/>
        </w:rPr>
        <w:t>by</w:t>
      </w:r>
      <w:r>
        <w:rPr>
          <w:spacing w:val="-3"/>
          <w:vertAlign w:val="baseline"/>
        </w:rPr>
        <w:t> </w:t>
      </w:r>
      <w:r>
        <w:rPr>
          <w:vertAlign w:val="baseline"/>
        </w:rPr>
        <w:t>a</w:t>
      </w:r>
      <w:r>
        <w:rPr>
          <w:spacing w:val="-3"/>
          <w:vertAlign w:val="baseline"/>
        </w:rPr>
        <w:t> </w:t>
      </w:r>
      <w:r>
        <w:rPr>
          <w:vertAlign w:val="baseline"/>
        </w:rPr>
        <w:t>health</w:t>
      </w:r>
      <w:r>
        <w:rPr>
          <w:spacing w:val="-2"/>
          <w:vertAlign w:val="baseline"/>
        </w:rPr>
        <w:t> </w:t>
      </w:r>
      <w:r>
        <w:rPr>
          <w:vertAlign w:val="baseline"/>
        </w:rPr>
        <w:t>care</w:t>
      </w:r>
      <w:r>
        <w:rPr>
          <w:spacing w:val="-4"/>
          <w:vertAlign w:val="baseline"/>
        </w:rPr>
        <w:t> </w:t>
      </w:r>
      <w:r>
        <w:rPr>
          <w:vertAlign w:val="baseline"/>
        </w:rPr>
        <w:t>provider,</w:t>
      </w:r>
      <w:r>
        <w:rPr>
          <w:spacing w:val="-3"/>
          <w:vertAlign w:val="baseline"/>
        </w:rPr>
        <w:t> </w:t>
      </w:r>
      <w:r>
        <w:rPr>
          <w:vertAlign w:val="baseline"/>
        </w:rPr>
        <w:t>can</w:t>
      </w:r>
      <w:r>
        <w:rPr>
          <w:spacing w:val="-3"/>
          <w:vertAlign w:val="baseline"/>
        </w:rPr>
        <w:t> </w:t>
      </w:r>
      <w:r>
        <w:rPr>
          <w:vertAlign w:val="baseline"/>
        </w:rPr>
        <w:t>be</w:t>
      </w:r>
      <w:r>
        <w:rPr>
          <w:spacing w:val="-3"/>
          <w:vertAlign w:val="baseline"/>
        </w:rPr>
        <w:t> </w:t>
      </w:r>
      <w:r>
        <w:rPr>
          <w:vertAlign w:val="baseline"/>
        </w:rPr>
        <w:t>particularly</w:t>
      </w:r>
      <w:r>
        <w:rPr>
          <w:spacing w:val="-4"/>
          <w:vertAlign w:val="baseline"/>
        </w:rPr>
        <w:t> </w:t>
      </w:r>
      <w:r>
        <w:rPr>
          <w:vertAlign w:val="baseline"/>
        </w:rPr>
        <w:t>difficult</w:t>
      </w:r>
      <w:r>
        <w:rPr>
          <w:spacing w:val="-5"/>
          <w:vertAlign w:val="baseline"/>
        </w:rPr>
        <w:t> </w:t>
      </w:r>
      <w:r>
        <w:rPr>
          <w:vertAlign w:val="baseline"/>
        </w:rPr>
        <w:t>for</w:t>
      </w:r>
      <w:r>
        <w:rPr>
          <w:spacing w:val="-4"/>
          <w:vertAlign w:val="baseline"/>
        </w:rPr>
        <w:t> </w:t>
      </w:r>
      <w:r>
        <w:rPr>
          <w:vertAlign w:val="baseline"/>
        </w:rPr>
        <w:t>youth to access – although 93% of healthcare providers are aware that PrEP exists, only 64.8% prescribe PrEP to</w:t>
      </w:r>
      <w:r>
        <w:rPr>
          <w:spacing w:val="-13"/>
          <w:vertAlign w:val="baseline"/>
        </w:rPr>
        <w:t> </w:t>
      </w:r>
      <w:r>
        <w:rPr>
          <w:vertAlign w:val="baseline"/>
        </w:rPr>
        <w:t>adolescents</w:t>
      </w:r>
      <w:hyperlink w:history="true" w:anchor="_bookmark89">
        <w:r>
          <w:rPr>
            <w:vertAlign w:val="baseline"/>
          </w:rPr>
          <w:t>.</w:t>
        </w:r>
        <w:r>
          <w:rPr>
            <w:vertAlign w:val="superscript"/>
          </w:rPr>
          <w:t>57</w:t>
        </w:r>
      </w:hyperlink>
      <w:r>
        <w:rPr>
          <w:spacing w:val="-12"/>
          <w:vertAlign w:val="baseline"/>
        </w:rPr>
        <w:t> </w:t>
      </w:r>
      <w:r>
        <w:rPr>
          <w:vertAlign w:val="baseline"/>
        </w:rPr>
        <w:t>Additionally,</w:t>
      </w:r>
      <w:r>
        <w:rPr>
          <w:spacing w:val="-13"/>
          <w:vertAlign w:val="baseline"/>
        </w:rPr>
        <w:t> </w:t>
      </w:r>
      <w:r>
        <w:rPr>
          <w:vertAlign w:val="baseline"/>
        </w:rPr>
        <w:t>although</w:t>
      </w:r>
      <w:r>
        <w:rPr>
          <w:spacing w:val="-12"/>
          <w:vertAlign w:val="baseline"/>
        </w:rPr>
        <w:t> </w:t>
      </w:r>
      <w:r>
        <w:rPr>
          <w:vertAlign w:val="baseline"/>
        </w:rPr>
        <w:t>the</w:t>
      </w:r>
      <w:r>
        <w:rPr>
          <w:spacing w:val="-13"/>
          <w:vertAlign w:val="baseline"/>
        </w:rPr>
        <w:t> </w:t>
      </w:r>
      <w:r>
        <w:rPr>
          <w:vertAlign w:val="baseline"/>
        </w:rPr>
        <w:t>rates</w:t>
      </w:r>
      <w:r>
        <w:rPr>
          <w:spacing w:val="-12"/>
          <w:vertAlign w:val="baseline"/>
        </w:rPr>
        <w:t> </w:t>
      </w:r>
      <w:r>
        <w:rPr>
          <w:vertAlign w:val="baseline"/>
        </w:rPr>
        <w:t>of</w:t>
      </w:r>
      <w:r>
        <w:rPr>
          <w:spacing w:val="-13"/>
          <w:vertAlign w:val="baseline"/>
        </w:rPr>
        <w:t> </w:t>
      </w:r>
      <w:r>
        <w:rPr>
          <w:vertAlign w:val="baseline"/>
        </w:rPr>
        <w:t>PrEP</w:t>
      </w:r>
      <w:r>
        <w:rPr>
          <w:spacing w:val="-12"/>
          <w:vertAlign w:val="baseline"/>
        </w:rPr>
        <w:t> </w:t>
      </w:r>
      <w:r>
        <w:rPr>
          <w:vertAlign w:val="baseline"/>
        </w:rPr>
        <w:t>use</w:t>
      </w:r>
      <w:r>
        <w:rPr>
          <w:spacing w:val="-12"/>
          <w:vertAlign w:val="baseline"/>
        </w:rPr>
        <w:t> </w:t>
      </w:r>
      <w:r>
        <w:rPr>
          <w:vertAlign w:val="baseline"/>
        </w:rPr>
        <w:t>have</w:t>
      </w:r>
      <w:r>
        <w:rPr>
          <w:spacing w:val="-13"/>
          <w:vertAlign w:val="baseline"/>
        </w:rPr>
        <w:t> </w:t>
      </w:r>
      <w:r>
        <w:rPr>
          <w:vertAlign w:val="baseline"/>
        </w:rPr>
        <w:t>not</w:t>
      </w:r>
      <w:r>
        <w:rPr>
          <w:spacing w:val="-12"/>
          <w:vertAlign w:val="baseline"/>
        </w:rPr>
        <w:t> </w:t>
      </w:r>
      <w:r>
        <w:rPr>
          <w:vertAlign w:val="baseline"/>
        </w:rPr>
        <w:t>been</w:t>
      </w:r>
      <w:r>
        <w:rPr>
          <w:spacing w:val="-13"/>
          <w:vertAlign w:val="baseline"/>
        </w:rPr>
        <w:t> </w:t>
      </w:r>
      <w:r>
        <w:rPr>
          <w:vertAlign w:val="baseline"/>
        </w:rPr>
        <w:t>studied</w:t>
      </w:r>
      <w:r>
        <w:rPr>
          <w:spacing w:val="-12"/>
          <w:vertAlign w:val="baseline"/>
        </w:rPr>
        <w:t> </w:t>
      </w:r>
      <w:r>
        <w:rPr>
          <w:vertAlign w:val="baseline"/>
        </w:rPr>
        <w:t>specifically</w:t>
      </w:r>
      <w:r>
        <w:rPr>
          <w:spacing w:val="-13"/>
          <w:vertAlign w:val="baseline"/>
        </w:rPr>
        <w:t> </w:t>
      </w:r>
      <w:r>
        <w:rPr>
          <w:vertAlign w:val="baseline"/>
        </w:rPr>
        <w:t>for</w:t>
      </w:r>
      <w:r>
        <w:rPr>
          <w:spacing w:val="-12"/>
          <w:vertAlign w:val="baseline"/>
        </w:rPr>
        <w:t> </w:t>
      </w:r>
      <w:r>
        <w:rPr>
          <w:vertAlign w:val="baseline"/>
        </w:rPr>
        <w:t>LGBTQ youth, studies of the general LGBTQ population indicate that PrEP use is lowest among Black, Hispanic/Latinx, and Asian individuals and cisgender women. </w:t>
      </w:r>
      <w:hyperlink w:history="true" w:anchor="_bookmark89">
        <w:r>
          <w:rPr>
            <w:vertAlign w:val="superscript"/>
          </w:rPr>
          <w:t>58</w:t>
        </w:r>
      </w:hyperlink>
      <w:r>
        <w:rPr>
          <w:vertAlign w:val="baseline"/>
        </w:rPr>
        <w:t> Stigma and discrimination may prevent LGBTQ youth from accessing PrEP or continuing PrEP once they have started a regimen</w:t>
      </w:r>
      <w:hyperlink w:history="true" w:anchor="_bookmark89">
        <w:r>
          <w:rPr>
            <w:vertAlign w:val="baseline"/>
          </w:rPr>
          <w:t>.</w:t>
        </w:r>
        <w:r>
          <w:rPr>
            <w:vertAlign w:val="superscript"/>
          </w:rPr>
          <w:t>59</w:t>
        </w:r>
      </w:hyperlink>
      <w:r>
        <w:rPr>
          <w:vertAlign w:val="baseline"/>
        </w:rPr>
        <w:t> LGBTQ youth of</w:t>
      </w:r>
      <w:r>
        <w:rPr>
          <w:spacing w:val="-6"/>
          <w:vertAlign w:val="baseline"/>
        </w:rPr>
        <w:t> </w:t>
      </w:r>
      <w:r>
        <w:rPr>
          <w:vertAlign w:val="baseline"/>
        </w:rPr>
        <w:t>color</w:t>
      </w:r>
      <w:r>
        <w:rPr>
          <w:spacing w:val="-6"/>
          <w:vertAlign w:val="baseline"/>
        </w:rPr>
        <w:t> </w:t>
      </w:r>
      <w:r>
        <w:rPr>
          <w:vertAlign w:val="baseline"/>
        </w:rPr>
        <w:t>may</w:t>
      </w:r>
      <w:r>
        <w:rPr>
          <w:spacing w:val="-6"/>
          <w:vertAlign w:val="baseline"/>
        </w:rPr>
        <w:t> </w:t>
      </w:r>
      <w:r>
        <w:rPr>
          <w:vertAlign w:val="baseline"/>
        </w:rPr>
        <w:t>face</w:t>
      </w:r>
      <w:r>
        <w:rPr>
          <w:spacing w:val="-7"/>
          <w:vertAlign w:val="baseline"/>
        </w:rPr>
        <w:t> </w:t>
      </w:r>
      <w:r>
        <w:rPr>
          <w:vertAlign w:val="baseline"/>
        </w:rPr>
        <w:t>additional</w:t>
      </w:r>
      <w:r>
        <w:rPr>
          <w:spacing w:val="-7"/>
          <w:vertAlign w:val="baseline"/>
        </w:rPr>
        <w:t> </w:t>
      </w:r>
      <w:r>
        <w:rPr>
          <w:vertAlign w:val="baseline"/>
        </w:rPr>
        <w:t>medical</w:t>
      </w:r>
      <w:r>
        <w:rPr>
          <w:spacing w:val="-7"/>
          <w:vertAlign w:val="baseline"/>
        </w:rPr>
        <w:t> </w:t>
      </w:r>
      <w:r>
        <w:rPr>
          <w:vertAlign w:val="baseline"/>
        </w:rPr>
        <w:t>discrimination</w:t>
      </w:r>
      <w:r>
        <w:rPr>
          <w:spacing w:val="-7"/>
          <w:vertAlign w:val="baseline"/>
        </w:rPr>
        <w:t> </w:t>
      </w:r>
      <w:r>
        <w:rPr>
          <w:vertAlign w:val="baseline"/>
        </w:rPr>
        <w:t>due</w:t>
      </w:r>
      <w:r>
        <w:rPr>
          <w:spacing w:val="-7"/>
          <w:vertAlign w:val="baseline"/>
        </w:rPr>
        <w:t> </w:t>
      </w:r>
      <w:r>
        <w:rPr>
          <w:vertAlign w:val="baseline"/>
        </w:rPr>
        <w:t>to</w:t>
      </w:r>
      <w:r>
        <w:rPr>
          <w:spacing w:val="-6"/>
          <w:vertAlign w:val="baseline"/>
        </w:rPr>
        <w:t> </w:t>
      </w:r>
      <w:r>
        <w:rPr>
          <w:vertAlign w:val="baseline"/>
        </w:rPr>
        <w:t>their</w:t>
      </w:r>
      <w:r>
        <w:rPr>
          <w:spacing w:val="-6"/>
          <w:vertAlign w:val="baseline"/>
        </w:rPr>
        <w:t> </w:t>
      </w:r>
      <w:r>
        <w:rPr>
          <w:vertAlign w:val="baseline"/>
        </w:rPr>
        <w:t>race</w:t>
      </w:r>
      <w:r>
        <w:rPr>
          <w:spacing w:val="-7"/>
          <w:vertAlign w:val="baseline"/>
        </w:rPr>
        <w:t> </w:t>
      </w:r>
      <w:r>
        <w:rPr>
          <w:vertAlign w:val="baseline"/>
        </w:rPr>
        <w:t>or</w:t>
      </w:r>
      <w:r>
        <w:rPr>
          <w:spacing w:val="-6"/>
          <w:vertAlign w:val="baseline"/>
        </w:rPr>
        <w:t> </w:t>
      </w:r>
      <w:r>
        <w:rPr>
          <w:vertAlign w:val="baseline"/>
        </w:rPr>
        <w:t>ethnicity,</w:t>
      </w:r>
      <w:r>
        <w:rPr>
          <w:spacing w:val="-6"/>
          <w:vertAlign w:val="baseline"/>
        </w:rPr>
        <w:t> </w:t>
      </w:r>
      <w:r>
        <w:rPr>
          <w:vertAlign w:val="baseline"/>
        </w:rPr>
        <w:t>and</w:t>
      </w:r>
      <w:r>
        <w:rPr>
          <w:spacing w:val="-7"/>
          <w:vertAlign w:val="baseline"/>
        </w:rPr>
        <w:t> </w:t>
      </w:r>
      <w:r>
        <w:rPr>
          <w:vertAlign w:val="baseline"/>
        </w:rPr>
        <w:t>a</w:t>
      </w:r>
      <w:r>
        <w:rPr>
          <w:spacing w:val="-6"/>
          <w:vertAlign w:val="baseline"/>
        </w:rPr>
        <w:t> </w:t>
      </w:r>
      <w:r>
        <w:rPr>
          <w:vertAlign w:val="baseline"/>
        </w:rPr>
        <w:t>lack</w:t>
      </w:r>
      <w:r>
        <w:rPr>
          <w:spacing w:val="-7"/>
          <w:vertAlign w:val="baseline"/>
        </w:rPr>
        <w:t> </w:t>
      </w:r>
      <w:r>
        <w:rPr>
          <w:vertAlign w:val="baseline"/>
        </w:rPr>
        <w:t>of</w:t>
      </w:r>
      <w:r>
        <w:rPr>
          <w:spacing w:val="-6"/>
          <w:vertAlign w:val="baseline"/>
        </w:rPr>
        <w:t> </w:t>
      </w:r>
      <w:r>
        <w:rPr>
          <w:vertAlign w:val="baseline"/>
        </w:rPr>
        <w:t>culturally- relevant</w:t>
      </w:r>
      <w:r>
        <w:rPr>
          <w:spacing w:val="-1"/>
          <w:vertAlign w:val="baseline"/>
        </w:rPr>
        <w:t> </w:t>
      </w:r>
      <w:r>
        <w:rPr>
          <w:vertAlign w:val="baseline"/>
        </w:rPr>
        <w:t>materials about</w:t>
      </w:r>
      <w:r>
        <w:rPr>
          <w:spacing w:val="-1"/>
          <w:vertAlign w:val="baseline"/>
        </w:rPr>
        <w:t> </w:t>
      </w:r>
      <w:r>
        <w:rPr>
          <w:vertAlign w:val="baseline"/>
        </w:rPr>
        <w:t>PrEP may increase</w:t>
      </w:r>
      <w:r>
        <w:rPr>
          <w:spacing w:val="-1"/>
          <w:vertAlign w:val="baseline"/>
        </w:rPr>
        <w:t> </w:t>
      </w:r>
      <w:r>
        <w:rPr>
          <w:vertAlign w:val="baseline"/>
        </w:rPr>
        <w:t>mistrust</w:t>
      </w:r>
      <w:r>
        <w:rPr>
          <w:spacing w:val="-1"/>
          <w:vertAlign w:val="baseline"/>
        </w:rPr>
        <w:t> </w:t>
      </w:r>
      <w:r>
        <w:rPr>
          <w:vertAlign w:val="baseline"/>
        </w:rPr>
        <w:t>in</w:t>
      </w:r>
      <w:r>
        <w:rPr>
          <w:spacing w:val="-1"/>
          <w:vertAlign w:val="baseline"/>
        </w:rPr>
        <w:t> </w:t>
      </w:r>
      <w:r>
        <w:rPr>
          <w:vertAlign w:val="baseline"/>
        </w:rPr>
        <w:t>the drug. </w:t>
      </w:r>
      <w:hyperlink w:history="true" w:anchor="_bookmark89">
        <w:r>
          <w:rPr>
            <w:vertAlign w:val="superscript"/>
          </w:rPr>
          <w:t>60</w:t>
        </w:r>
      </w:hyperlink>
      <w:r>
        <w:rPr>
          <w:vertAlign w:val="baseline"/>
        </w:rPr>
        <w:t> </w:t>
      </w:r>
      <w:r>
        <w:rPr>
          <w:vertAlign w:val="superscript"/>
        </w:rPr>
        <w:t>,</w:t>
      </w:r>
      <w:r>
        <w:rPr>
          <w:spacing w:val="-1"/>
          <w:vertAlign w:val="baseline"/>
        </w:rPr>
        <w:t> </w:t>
      </w:r>
      <w:hyperlink w:history="true" w:anchor="_bookmark90">
        <w:r>
          <w:rPr>
            <w:vertAlign w:val="superscript"/>
          </w:rPr>
          <w:t>61</w:t>
        </w:r>
      </w:hyperlink>
      <w:r>
        <w:rPr>
          <w:spacing w:val="-1"/>
          <w:vertAlign w:val="baseline"/>
        </w:rPr>
        <w:t> </w:t>
      </w:r>
      <w:r>
        <w:rPr>
          <w:vertAlign w:val="baseline"/>
        </w:rPr>
        <w:t>Digital, peer-led</w:t>
      </w:r>
      <w:r>
        <w:rPr>
          <w:spacing w:val="-1"/>
          <w:vertAlign w:val="baseline"/>
        </w:rPr>
        <w:t> </w:t>
      </w:r>
      <w:r>
        <w:rPr>
          <w:vertAlign w:val="baseline"/>
        </w:rPr>
        <w:t>interventions via social media platforms have proven successful in increasing PrEP use, positive attitudes towards using PrEP, and adherence to a PrEP regimen</w:t>
      </w:r>
      <w:hyperlink w:history="true" w:anchor="_bookmark90">
        <w:r>
          <w:rPr>
            <w:vertAlign w:val="baseline"/>
          </w:rPr>
          <w:t>.</w:t>
        </w:r>
        <w:r>
          <w:rPr>
            <w:vertAlign w:val="superscript"/>
          </w:rPr>
          <w:t>62</w:t>
        </w:r>
      </w:hyperlink>
      <w:r>
        <w:rPr>
          <w:vertAlign w:val="baseline"/>
        </w:rPr>
        <w:t> Digital interventions are additionally helpful for advertising locations to acquire PrEP, particularly community-based locations</w:t>
      </w:r>
      <w:hyperlink w:history="true" w:anchor="_bookmark90">
        <w:r>
          <w:rPr>
            <w:vertAlign w:val="baseline"/>
          </w:rPr>
          <w:t>.</w:t>
        </w:r>
        <w:r>
          <w:rPr>
            <w:vertAlign w:val="superscript"/>
          </w:rPr>
          <w:t>63</w:t>
        </w:r>
      </w:hyperlink>
    </w:p>
    <w:p>
      <w:pPr>
        <w:pStyle w:val="BodyText"/>
        <w:spacing w:line="276" w:lineRule="auto" w:before="242"/>
        <w:ind w:left="463" w:right="280"/>
        <w:jc w:val="both"/>
      </w:pPr>
      <w:r>
        <w:rPr/>
        <w:t>It is equally important that any PrEP materials should be culturally relevant, community-created, avoid stigmatizing</w:t>
      </w:r>
      <w:r>
        <w:rPr>
          <w:spacing w:val="-1"/>
        </w:rPr>
        <w:t> </w:t>
      </w:r>
      <w:r>
        <w:rPr/>
        <w:t>language,</w:t>
      </w:r>
      <w:r>
        <w:rPr>
          <w:spacing w:val="-1"/>
        </w:rPr>
        <w:t> </w:t>
      </w:r>
      <w:r>
        <w:rPr/>
        <w:t>and</w:t>
      </w:r>
      <w:r>
        <w:rPr>
          <w:spacing w:val="-1"/>
        </w:rPr>
        <w:t> </w:t>
      </w:r>
      <w:r>
        <w:rPr/>
        <w:t>include</w:t>
      </w:r>
      <w:r>
        <w:rPr>
          <w:spacing w:val="-2"/>
        </w:rPr>
        <w:t> </w:t>
      </w:r>
      <w:r>
        <w:rPr/>
        <w:t>identity-labels</w:t>
      </w:r>
      <w:r>
        <w:rPr>
          <w:spacing w:val="-1"/>
        </w:rPr>
        <w:t> </w:t>
      </w:r>
      <w:r>
        <w:rPr/>
        <w:t>that</w:t>
      </w:r>
      <w:r>
        <w:rPr>
          <w:spacing w:val="-2"/>
        </w:rPr>
        <w:t> </w:t>
      </w:r>
      <w:r>
        <w:rPr/>
        <w:t>are</w:t>
      </w:r>
      <w:r>
        <w:rPr>
          <w:spacing w:val="-2"/>
        </w:rPr>
        <w:t> </w:t>
      </w:r>
      <w:r>
        <w:rPr/>
        <w:t>commonly</w:t>
      </w:r>
      <w:r>
        <w:rPr>
          <w:spacing w:val="-1"/>
        </w:rPr>
        <w:t> </w:t>
      </w:r>
      <w:r>
        <w:rPr/>
        <w:t>used</w:t>
      </w:r>
      <w:r>
        <w:rPr>
          <w:spacing w:val="-1"/>
        </w:rPr>
        <w:t> </w:t>
      </w:r>
      <w:r>
        <w:rPr/>
        <w:t>by</w:t>
      </w:r>
      <w:r>
        <w:rPr>
          <w:spacing w:val="-1"/>
        </w:rPr>
        <w:t> </w:t>
      </w:r>
      <w:r>
        <w:rPr/>
        <w:t>the</w:t>
      </w:r>
      <w:r>
        <w:rPr>
          <w:spacing w:val="-2"/>
        </w:rPr>
        <w:t> </w:t>
      </w:r>
      <w:r>
        <w:rPr/>
        <w:t>priority populations</w:t>
      </w:r>
      <w:hyperlink w:history="true" w:anchor="_bookmark90">
        <w:r>
          <w:rPr/>
          <w:t>.</w:t>
        </w:r>
        <w:r>
          <w:rPr>
            <w:vertAlign w:val="superscript"/>
          </w:rPr>
          <w:t>64</w:t>
        </w:r>
      </w:hyperlink>
      <w:r>
        <w:rPr>
          <w:vertAlign w:val="baseline"/>
        </w:rPr>
        <w:t> By using inclusive language and avoiding negative language about PrEP use, LGBTQ youth will be more likely</w:t>
      </w:r>
      <w:r>
        <w:rPr>
          <w:spacing w:val="-1"/>
          <w:vertAlign w:val="baseline"/>
        </w:rPr>
        <w:t> </w:t>
      </w:r>
      <w:r>
        <w:rPr>
          <w:vertAlign w:val="baseline"/>
        </w:rPr>
        <w:t>to seek out</w:t>
      </w:r>
      <w:r>
        <w:rPr>
          <w:spacing w:val="-1"/>
          <w:vertAlign w:val="baseline"/>
        </w:rPr>
        <w:t> </w:t>
      </w:r>
      <w:r>
        <w:rPr>
          <w:vertAlign w:val="baseline"/>
        </w:rPr>
        <w:t>PrEP, adhere</w:t>
      </w:r>
      <w:r>
        <w:rPr>
          <w:spacing w:val="-1"/>
          <w:vertAlign w:val="baseline"/>
        </w:rPr>
        <w:t> </w:t>
      </w:r>
      <w:r>
        <w:rPr>
          <w:vertAlign w:val="baseline"/>
        </w:rPr>
        <w:t>to a PrEP regimen, and discuss PrEP use</w:t>
      </w:r>
      <w:r>
        <w:rPr>
          <w:spacing w:val="-1"/>
          <w:vertAlign w:val="baseline"/>
        </w:rPr>
        <w:t> </w:t>
      </w:r>
      <w:r>
        <w:rPr>
          <w:vertAlign w:val="baseline"/>
        </w:rPr>
        <w:t>positively with</w:t>
      </w:r>
      <w:r>
        <w:rPr>
          <w:spacing w:val="-1"/>
          <w:vertAlign w:val="baseline"/>
        </w:rPr>
        <w:t> </w:t>
      </w:r>
      <w:r>
        <w:rPr>
          <w:vertAlign w:val="baseline"/>
        </w:rPr>
        <w:t>friends and</w:t>
      </w:r>
      <w:r>
        <w:rPr>
          <w:spacing w:val="-1"/>
          <w:vertAlign w:val="baseline"/>
        </w:rPr>
        <w:t> </w:t>
      </w:r>
      <w:r>
        <w:rPr>
          <w:vertAlign w:val="baseline"/>
        </w:rPr>
        <w:t>other LGBTQ youth</w:t>
      </w:r>
      <w:hyperlink w:history="true" w:anchor="_bookmark90">
        <w:r>
          <w:rPr>
            <w:vertAlign w:val="baseline"/>
          </w:rPr>
          <w:t>.</w:t>
        </w:r>
        <w:r>
          <w:rPr>
            <w:vertAlign w:val="superscript"/>
          </w:rPr>
          <w:t>65</w:t>
        </w:r>
      </w:hyperlink>
    </w:p>
    <w:p>
      <w:pPr>
        <w:pStyle w:val="BodyText"/>
      </w:pPr>
    </w:p>
    <w:p>
      <w:pPr>
        <w:pStyle w:val="BodyText"/>
        <w:spacing w:before="87"/>
      </w:pPr>
    </w:p>
    <w:p>
      <w:pPr>
        <w:spacing w:before="0"/>
        <w:ind w:left="463" w:right="0" w:firstLine="0"/>
        <w:jc w:val="both"/>
        <w:rPr>
          <w:sz w:val="28"/>
        </w:rPr>
      </w:pPr>
      <w:bookmarkStart w:name="Bullying and Cyberbullying Interventions" w:id="227"/>
      <w:bookmarkEnd w:id="227"/>
      <w:r>
        <w:rPr/>
      </w:r>
      <w:r>
        <w:rPr>
          <w:color w:val="365F91"/>
          <w:sz w:val="28"/>
        </w:rPr>
        <w:t>Bullying</w:t>
      </w:r>
      <w:r>
        <w:rPr>
          <w:color w:val="365F91"/>
          <w:spacing w:val="-12"/>
          <w:sz w:val="28"/>
        </w:rPr>
        <w:t> </w:t>
      </w:r>
      <w:r>
        <w:rPr>
          <w:color w:val="365F91"/>
          <w:sz w:val="28"/>
        </w:rPr>
        <w:t>and</w:t>
      </w:r>
      <w:r>
        <w:rPr>
          <w:color w:val="365F91"/>
          <w:spacing w:val="-13"/>
          <w:sz w:val="28"/>
        </w:rPr>
        <w:t> </w:t>
      </w:r>
      <w:r>
        <w:rPr>
          <w:color w:val="365F91"/>
          <w:sz w:val="28"/>
        </w:rPr>
        <w:t>Cyberbullying</w:t>
      </w:r>
      <w:r>
        <w:rPr>
          <w:color w:val="365F91"/>
          <w:spacing w:val="-12"/>
          <w:sz w:val="28"/>
        </w:rPr>
        <w:t> </w:t>
      </w:r>
      <w:r>
        <w:rPr>
          <w:color w:val="365F91"/>
          <w:spacing w:val="-2"/>
          <w:sz w:val="28"/>
        </w:rPr>
        <w:t>Interventions</w:t>
      </w:r>
    </w:p>
    <w:p>
      <w:pPr>
        <w:pStyle w:val="BodyText"/>
        <w:spacing w:line="276" w:lineRule="auto" w:before="241"/>
        <w:ind w:left="463" w:right="279"/>
        <w:jc w:val="both"/>
      </w:pPr>
      <w:r>
        <w:rPr/>
        <w:t>Bullying and cyberbullying are another significant issue faced by LGBTQ youth and a major concern for public health practitioners. Like intimate partner violence, bullying and cyberbullying can have severe and lifelong consequences. Bullying can lead to adverse physical, emotional, mental, social, and educational outcomes, as well as increase the likelihood of substance use, suicidal ideation, and experiencing violence later in life</w:t>
      </w:r>
      <w:hyperlink w:history="true" w:anchor="_bookmark90">
        <w:r>
          <w:rPr/>
          <w:t>.</w:t>
        </w:r>
        <w:r>
          <w:rPr>
            <w:vertAlign w:val="superscript"/>
          </w:rPr>
          <w:t>66</w:t>
        </w:r>
      </w:hyperlink>
      <w:r>
        <w:rPr>
          <w:vertAlign w:val="baseline"/>
        </w:rPr>
        <w:t> Bullying can take the form of verbal, physical, or psychological aggression, with an increasing amount of bullying occurring digitally. As further discussed in the education section of this annual report, in Massachusetts, 54% of LGBTQ students have experienced verbal harassment due to their sexuality, 17% have experienced physical harassment, and 8% have experienced physical assault</w:t>
      </w:r>
      <w:hyperlink w:history="true" w:anchor="_bookmark90">
        <w:r>
          <w:rPr>
            <w:vertAlign w:val="baseline"/>
          </w:rPr>
          <w:t>.</w:t>
        </w:r>
        <w:r>
          <w:rPr>
            <w:vertAlign w:val="superscript"/>
          </w:rPr>
          <w:t>67</w:t>
        </w:r>
      </w:hyperlink>
    </w:p>
    <w:p>
      <w:pPr>
        <w:spacing w:after="0" w:line="276" w:lineRule="auto"/>
        <w:jc w:val="both"/>
        <w:sectPr>
          <w:pgSz w:w="11910" w:h="16840"/>
          <w:pgMar w:header="804" w:footer="1230" w:top="1080" w:bottom="1480" w:left="980" w:right="900"/>
        </w:sectPr>
      </w:pPr>
    </w:p>
    <w:p>
      <w:pPr>
        <w:pStyle w:val="BodyText"/>
        <w:spacing w:line="276" w:lineRule="auto" w:before="68"/>
        <w:ind w:left="4776" w:right="281"/>
        <w:jc w:val="both"/>
      </w:pPr>
      <w:r>
        <w:rPr/>
        <w:drawing>
          <wp:anchor distT="0" distB="0" distL="0" distR="0" allowOverlap="1" layoutInCell="1" locked="0" behindDoc="0" simplePos="0" relativeHeight="15752704">
            <wp:simplePos x="0" y="0"/>
            <wp:positionH relativeFrom="page">
              <wp:posOffset>892811</wp:posOffset>
            </wp:positionH>
            <wp:positionV relativeFrom="paragraph">
              <wp:posOffset>204844</wp:posOffset>
            </wp:positionV>
            <wp:extent cx="2640392" cy="2245988"/>
            <wp:effectExtent l="0" t="0" r="0" b="0"/>
            <wp:wrapNone/>
            <wp:docPr id="182" name="Image 182" descr="A pie chart with text and numbers  Description automatically generated "/>
            <wp:cNvGraphicFramePr>
              <a:graphicFrameLocks/>
            </wp:cNvGraphicFramePr>
            <a:graphic>
              <a:graphicData uri="http://schemas.openxmlformats.org/drawingml/2006/picture">
                <pic:pic>
                  <pic:nvPicPr>
                    <pic:cNvPr id="182" name="Image 182" descr="A pie chart with text and numbers  Description automatically generated "/>
                    <pic:cNvPicPr/>
                  </pic:nvPicPr>
                  <pic:blipFill>
                    <a:blip r:embed="rId133" cstate="print"/>
                    <a:stretch>
                      <a:fillRect/>
                    </a:stretch>
                  </pic:blipFill>
                  <pic:spPr>
                    <a:xfrm>
                      <a:off x="0" y="0"/>
                      <a:ext cx="2640392" cy="2245988"/>
                    </a:xfrm>
                    <a:prstGeom prst="rect">
                      <a:avLst/>
                    </a:prstGeom>
                  </pic:spPr>
                </pic:pic>
              </a:graphicData>
            </a:graphic>
          </wp:anchor>
        </w:drawing>
      </w:r>
      <w:r>
        <w:rPr/>
        <w:t>Additionally, 46% of Massachusetts LGBTQ students have experienced verbal harassment due to their gender, with 14% having experienced physical harassment and 7% having experienced physical assault</w:t>
      </w:r>
      <w:hyperlink w:history="true" w:anchor="_bookmark90">
        <w:r>
          <w:rPr/>
          <w:t>;</w:t>
        </w:r>
        <w:r>
          <w:rPr>
            <w:vertAlign w:val="superscript"/>
          </w:rPr>
          <w:t>68</w:t>
        </w:r>
      </w:hyperlink>
      <w:r>
        <w:rPr>
          <w:vertAlign w:val="baseline"/>
        </w:rPr>
        <w:t> 68% of Massachusetts students regularly heard homophobic remarks, and 64% regularly heard negative remarks about transgender people. </w:t>
      </w:r>
      <w:hyperlink w:history="true" w:anchor="_bookmark90">
        <w:r>
          <w:rPr>
            <w:vertAlign w:val="superscript"/>
          </w:rPr>
          <w:t>69</w:t>
        </w:r>
      </w:hyperlink>
      <w:r>
        <w:rPr>
          <w:vertAlign w:val="baseline"/>
        </w:rPr>
        <w:t> Furthermore, 49.5% of students nationally frequently heard negative comments regarding ability, and 32.1% frequently heard racist comments. </w:t>
      </w:r>
      <w:hyperlink w:history="true" w:anchor="_bookmark90">
        <w:r>
          <w:rPr>
            <w:vertAlign w:val="superscript"/>
          </w:rPr>
          <w:t>70</w:t>
        </w:r>
      </w:hyperlink>
    </w:p>
    <w:p>
      <w:pPr>
        <w:pStyle w:val="BodyText"/>
        <w:spacing w:line="276" w:lineRule="auto" w:before="154"/>
        <w:ind w:left="4776" w:right="279"/>
        <w:jc w:val="both"/>
      </w:pPr>
      <w:r>
        <w:rPr/>
        <w:t>When it comes to cyberbullying nationally, in 2021 47.1%</w:t>
      </w:r>
      <w:r>
        <w:rPr>
          <w:spacing w:val="35"/>
        </w:rPr>
        <w:t> </w:t>
      </w:r>
      <w:r>
        <w:rPr/>
        <w:t>of</w:t>
      </w:r>
      <w:r>
        <w:rPr>
          <w:spacing w:val="35"/>
        </w:rPr>
        <w:t> </w:t>
      </w:r>
      <w:r>
        <w:rPr/>
        <w:t>LGBTQ</w:t>
      </w:r>
      <w:r>
        <w:rPr>
          <w:spacing w:val="34"/>
        </w:rPr>
        <w:t> </w:t>
      </w:r>
      <w:r>
        <w:rPr/>
        <w:t>students</w:t>
      </w:r>
      <w:r>
        <w:rPr>
          <w:spacing w:val="35"/>
        </w:rPr>
        <w:t> </w:t>
      </w:r>
      <w:r>
        <w:rPr/>
        <w:t>experienced</w:t>
      </w:r>
      <w:r>
        <w:rPr>
          <w:spacing w:val="34"/>
        </w:rPr>
        <w:t> </w:t>
      </w:r>
      <w:r>
        <w:rPr/>
        <w:t>some</w:t>
      </w:r>
      <w:r>
        <w:rPr>
          <w:spacing w:val="34"/>
        </w:rPr>
        <w:t> </w:t>
      </w:r>
      <w:r>
        <w:rPr/>
        <w:t>form</w:t>
      </w:r>
      <w:r>
        <w:rPr>
          <w:spacing w:val="35"/>
        </w:rPr>
        <w:t> </w:t>
      </w:r>
      <w:r>
        <w:rPr>
          <w:spacing w:val="-5"/>
        </w:rPr>
        <w:t>of</w:t>
      </w:r>
    </w:p>
    <w:p>
      <w:pPr>
        <w:pStyle w:val="BodyText"/>
        <w:spacing w:line="276" w:lineRule="auto"/>
        <w:ind w:left="463" w:right="284"/>
        <w:jc w:val="both"/>
      </w:pPr>
      <w:r>
        <w:rPr/>
        <w:t>online harassment, with 34.6% of these students indicating that the harassment took place via social media direct message (DM), 20.4% indicating that the harassment took place via text, and 19.1% indicating that the harassment took place via a public social media post</w:t>
      </w:r>
      <w:hyperlink w:history="true" w:anchor="_bookmark91">
        <w:r>
          <w:rPr/>
          <w:t>.</w:t>
        </w:r>
        <w:r>
          <w:rPr>
            <w:vertAlign w:val="superscript"/>
          </w:rPr>
          <w:t>71</w:t>
        </w:r>
      </w:hyperlink>
    </w:p>
    <w:p>
      <w:pPr>
        <w:pStyle w:val="BodyText"/>
        <w:spacing w:line="276" w:lineRule="auto" w:before="240"/>
        <w:ind w:left="463" w:right="278"/>
        <w:jc w:val="both"/>
      </w:pPr>
      <w:r>
        <w:rPr/>
        <w:t>Individuals who were out as transgender or perceived as transgender faced significant amounts of mistreatment and harassment. Initial findings from the 2022 </w:t>
      </w:r>
      <w:r>
        <w:rPr>
          <w:color w:val="000000"/>
          <w:highlight w:val="magenta"/>
        </w:rPr>
        <w:t>U.S. Transgender Survey indicates that -</w:t>
      </w:r>
      <w:r>
        <w:rPr>
          <w:color w:val="000000"/>
        </w:rPr>
        <w:t> </w:t>
      </w:r>
      <w:r>
        <w:rPr>
          <w:color w:val="000000"/>
          <w:highlight w:val="magenta"/>
        </w:rPr>
        <w:t>nationally - 60% of 16 and 17 year-olds who were out or perceived as transgender experienced one or</w:t>
      </w:r>
      <w:r>
        <w:rPr>
          <w:color w:val="000000"/>
        </w:rPr>
        <w:t> </w:t>
      </w:r>
      <w:r>
        <w:rPr>
          <w:color w:val="000000"/>
          <w:highlight w:val="magenta"/>
        </w:rPr>
        <w:t>more form of mistreatment or negative experience in their K-12 schools.</w:t>
      </w:r>
      <w:r>
        <w:rPr>
          <w:color w:val="000000"/>
        </w:rPr>
        <w:t> In the 2015 U.S. Transgender Survey: Massachusetts State Report, 73% of respondents experienced verbal, physical, and/or sexual mistreatment or harassment at some point between kindergarten and Grade 12, with 11% of respondents</w:t>
      </w:r>
      <w:r>
        <w:rPr>
          <w:color w:val="000000"/>
          <w:spacing w:val="-10"/>
        </w:rPr>
        <w:t> </w:t>
      </w:r>
      <w:r>
        <w:rPr>
          <w:color w:val="000000"/>
        </w:rPr>
        <w:t>reporting</w:t>
      </w:r>
      <w:r>
        <w:rPr>
          <w:color w:val="000000"/>
          <w:spacing w:val="-10"/>
        </w:rPr>
        <w:t> </w:t>
      </w:r>
      <w:r>
        <w:rPr>
          <w:color w:val="000000"/>
        </w:rPr>
        <w:t>that</w:t>
      </w:r>
      <w:r>
        <w:rPr>
          <w:color w:val="000000"/>
          <w:spacing w:val="-12"/>
        </w:rPr>
        <w:t> </w:t>
      </w:r>
      <w:r>
        <w:rPr>
          <w:color w:val="000000"/>
        </w:rPr>
        <w:t>they</w:t>
      </w:r>
      <w:r>
        <w:rPr>
          <w:color w:val="000000"/>
          <w:spacing w:val="-10"/>
        </w:rPr>
        <w:t> </w:t>
      </w:r>
      <w:r>
        <w:rPr>
          <w:color w:val="000000"/>
        </w:rPr>
        <w:t>had</w:t>
      </w:r>
      <w:r>
        <w:rPr>
          <w:color w:val="000000"/>
          <w:spacing w:val="-12"/>
        </w:rPr>
        <w:t> </w:t>
      </w:r>
      <w:r>
        <w:rPr>
          <w:color w:val="000000"/>
        </w:rPr>
        <w:t>to</w:t>
      </w:r>
      <w:r>
        <w:rPr>
          <w:color w:val="000000"/>
          <w:spacing w:val="-11"/>
        </w:rPr>
        <w:t> </w:t>
      </w:r>
      <w:r>
        <w:rPr>
          <w:color w:val="000000"/>
        </w:rPr>
        <w:t>leave</w:t>
      </w:r>
      <w:r>
        <w:rPr>
          <w:color w:val="000000"/>
          <w:spacing w:val="-12"/>
        </w:rPr>
        <w:t> </w:t>
      </w:r>
      <w:r>
        <w:rPr>
          <w:color w:val="000000"/>
        </w:rPr>
        <w:t>the</w:t>
      </w:r>
      <w:r>
        <w:rPr>
          <w:color w:val="000000"/>
          <w:spacing w:val="-12"/>
        </w:rPr>
        <w:t> </w:t>
      </w:r>
      <w:r>
        <w:rPr>
          <w:color w:val="000000"/>
        </w:rPr>
        <w:t>school</w:t>
      </w:r>
      <w:r>
        <w:rPr>
          <w:color w:val="000000"/>
          <w:spacing w:val="-11"/>
        </w:rPr>
        <w:t> </w:t>
      </w:r>
      <w:r>
        <w:rPr>
          <w:color w:val="000000"/>
        </w:rPr>
        <w:t>due</w:t>
      </w:r>
      <w:r>
        <w:rPr>
          <w:color w:val="000000"/>
          <w:spacing w:val="-12"/>
        </w:rPr>
        <w:t> </w:t>
      </w:r>
      <w:r>
        <w:rPr>
          <w:color w:val="000000"/>
        </w:rPr>
        <w:t>to</w:t>
      </w:r>
      <w:r>
        <w:rPr>
          <w:color w:val="000000"/>
          <w:spacing w:val="-11"/>
        </w:rPr>
        <w:t> </w:t>
      </w:r>
      <w:r>
        <w:rPr>
          <w:color w:val="000000"/>
        </w:rPr>
        <w:t>the</w:t>
      </w:r>
      <w:r>
        <w:rPr>
          <w:color w:val="000000"/>
          <w:spacing w:val="-10"/>
        </w:rPr>
        <w:t> </w:t>
      </w:r>
      <w:r>
        <w:rPr>
          <w:color w:val="000000"/>
        </w:rPr>
        <w:t>severity</w:t>
      </w:r>
      <w:r>
        <w:rPr>
          <w:color w:val="000000"/>
          <w:spacing w:val="-11"/>
        </w:rPr>
        <w:t> </w:t>
      </w:r>
      <w:r>
        <w:rPr>
          <w:color w:val="000000"/>
        </w:rPr>
        <w:t>of</w:t>
      </w:r>
      <w:r>
        <w:rPr>
          <w:color w:val="000000"/>
          <w:spacing w:val="-11"/>
        </w:rPr>
        <w:t> </w:t>
      </w:r>
      <w:r>
        <w:rPr>
          <w:color w:val="000000"/>
        </w:rPr>
        <w:t>the</w:t>
      </w:r>
      <w:r>
        <w:rPr>
          <w:color w:val="000000"/>
          <w:spacing w:val="-12"/>
        </w:rPr>
        <w:t> </w:t>
      </w:r>
      <w:r>
        <w:rPr>
          <w:color w:val="000000"/>
        </w:rPr>
        <w:t>incidents.</w:t>
      </w:r>
      <w:r>
        <w:rPr>
          <w:color w:val="000000"/>
          <w:spacing w:val="-9"/>
        </w:rPr>
        <w:t> </w:t>
      </w:r>
      <w:hyperlink w:history="true" w:anchor="_bookmark91">
        <w:r>
          <w:rPr>
            <w:color w:val="000000"/>
            <w:vertAlign w:val="superscript"/>
          </w:rPr>
          <w:t>72</w:t>
        </w:r>
      </w:hyperlink>
      <w:r>
        <w:rPr>
          <w:color w:val="000000"/>
          <w:spacing w:val="-11"/>
          <w:vertAlign w:val="baseline"/>
        </w:rPr>
        <w:t> </w:t>
      </w:r>
      <w:r>
        <w:rPr>
          <w:color w:val="000000"/>
          <w:vertAlign w:val="baseline"/>
        </w:rPr>
        <w:t>For</w:t>
      </w:r>
      <w:r>
        <w:rPr>
          <w:color w:val="000000"/>
          <w:spacing w:val="-11"/>
          <w:vertAlign w:val="baseline"/>
        </w:rPr>
        <w:t> </w:t>
      </w:r>
      <w:r>
        <w:rPr>
          <w:color w:val="000000"/>
          <w:vertAlign w:val="baseline"/>
        </w:rPr>
        <w:t>slightly older individuals in college or vocational school, around 24% of respondents experienced some kind of verbal,</w:t>
      </w:r>
      <w:r>
        <w:rPr>
          <w:color w:val="000000"/>
          <w:spacing w:val="-3"/>
          <w:vertAlign w:val="baseline"/>
        </w:rPr>
        <w:t> </w:t>
      </w:r>
      <w:r>
        <w:rPr>
          <w:color w:val="000000"/>
          <w:vertAlign w:val="baseline"/>
        </w:rPr>
        <w:t>physical,</w:t>
      </w:r>
      <w:r>
        <w:rPr>
          <w:color w:val="000000"/>
          <w:spacing w:val="-3"/>
          <w:vertAlign w:val="baseline"/>
        </w:rPr>
        <w:t> </w:t>
      </w:r>
      <w:r>
        <w:rPr>
          <w:color w:val="000000"/>
          <w:vertAlign w:val="baseline"/>
        </w:rPr>
        <w:t>or</w:t>
      </w:r>
      <w:r>
        <w:rPr>
          <w:color w:val="000000"/>
          <w:spacing w:val="-3"/>
          <w:vertAlign w:val="baseline"/>
        </w:rPr>
        <w:t> </w:t>
      </w:r>
      <w:r>
        <w:rPr>
          <w:color w:val="000000"/>
          <w:vertAlign w:val="baseline"/>
        </w:rPr>
        <w:t>sexual</w:t>
      </w:r>
      <w:r>
        <w:rPr>
          <w:color w:val="000000"/>
          <w:spacing w:val="-2"/>
          <w:vertAlign w:val="baseline"/>
        </w:rPr>
        <w:t> </w:t>
      </w:r>
      <w:r>
        <w:rPr>
          <w:color w:val="000000"/>
          <w:vertAlign w:val="baseline"/>
        </w:rPr>
        <w:t>harassment</w:t>
      </w:r>
      <w:r>
        <w:rPr>
          <w:color w:val="000000"/>
          <w:spacing w:val="-3"/>
          <w:vertAlign w:val="baseline"/>
        </w:rPr>
        <w:t> </w:t>
      </w:r>
      <w:r>
        <w:rPr>
          <w:color w:val="000000"/>
          <w:vertAlign w:val="baseline"/>
        </w:rPr>
        <w:t>during</w:t>
      </w:r>
      <w:r>
        <w:rPr>
          <w:color w:val="000000"/>
          <w:spacing w:val="-2"/>
          <w:vertAlign w:val="baseline"/>
        </w:rPr>
        <w:t> </w:t>
      </w:r>
      <w:r>
        <w:rPr>
          <w:color w:val="000000"/>
          <w:vertAlign w:val="baseline"/>
        </w:rPr>
        <w:t>their</w:t>
      </w:r>
      <w:r>
        <w:rPr>
          <w:color w:val="000000"/>
          <w:spacing w:val="-2"/>
          <w:vertAlign w:val="baseline"/>
        </w:rPr>
        <w:t> </w:t>
      </w:r>
      <w:r>
        <w:rPr>
          <w:color w:val="000000"/>
          <w:vertAlign w:val="baseline"/>
        </w:rPr>
        <w:t>time</w:t>
      </w:r>
      <w:r>
        <w:rPr>
          <w:color w:val="000000"/>
          <w:spacing w:val="-3"/>
          <w:vertAlign w:val="baseline"/>
        </w:rPr>
        <w:t> </w:t>
      </w:r>
      <w:r>
        <w:rPr>
          <w:color w:val="000000"/>
          <w:vertAlign w:val="baseline"/>
        </w:rPr>
        <w:t>at</w:t>
      </w:r>
      <w:r>
        <w:rPr>
          <w:color w:val="000000"/>
          <w:spacing w:val="-2"/>
          <w:vertAlign w:val="baseline"/>
        </w:rPr>
        <w:t> </w:t>
      </w:r>
      <w:r>
        <w:rPr>
          <w:color w:val="000000"/>
          <w:vertAlign w:val="baseline"/>
        </w:rPr>
        <w:t>their</w:t>
      </w:r>
      <w:r>
        <w:rPr>
          <w:color w:val="000000"/>
          <w:spacing w:val="-2"/>
          <w:vertAlign w:val="baseline"/>
        </w:rPr>
        <w:t> </w:t>
      </w:r>
      <w:r>
        <w:rPr>
          <w:color w:val="000000"/>
          <w:vertAlign w:val="baseline"/>
        </w:rPr>
        <w:t>institution</w:t>
      </w:r>
      <w:hyperlink w:history="true" w:anchor="_bookmark91">
        <w:r>
          <w:rPr>
            <w:color w:val="000000"/>
            <w:vertAlign w:val="baseline"/>
          </w:rPr>
          <w:t>.</w:t>
        </w:r>
        <w:r>
          <w:rPr>
            <w:color w:val="000000"/>
            <w:vertAlign w:val="superscript"/>
          </w:rPr>
          <w:t>73</w:t>
        </w:r>
      </w:hyperlink>
      <w:r>
        <w:rPr>
          <w:color w:val="000000"/>
          <w:spacing w:val="-3"/>
          <w:vertAlign w:val="baseline"/>
        </w:rPr>
        <w:t> </w:t>
      </w:r>
      <w:r>
        <w:rPr>
          <w:color w:val="000000"/>
          <w:vertAlign w:val="baseline"/>
        </w:rPr>
        <w:t>LGBTQ</w:t>
      </w:r>
      <w:r>
        <w:rPr>
          <w:color w:val="000000"/>
          <w:spacing w:val="-3"/>
          <w:vertAlign w:val="baseline"/>
        </w:rPr>
        <w:t> </w:t>
      </w:r>
      <w:r>
        <w:rPr>
          <w:color w:val="000000"/>
          <w:vertAlign w:val="baseline"/>
        </w:rPr>
        <w:t>youth</w:t>
      </w:r>
      <w:r>
        <w:rPr>
          <w:color w:val="000000"/>
          <w:spacing w:val="-2"/>
          <w:vertAlign w:val="baseline"/>
        </w:rPr>
        <w:t> </w:t>
      </w:r>
      <w:r>
        <w:rPr>
          <w:color w:val="000000"/>
          <w:vertAlign w:val="baseline"/>
        </w:rPr>
        <w:t>of</w:t>
      </w:r>
      <w:r>
        <w:rPr>
          <w:color w:val="000000"/>
          <w:spacing w:val="-3"/>
          <w:vertAlign w:val="baseline"/>
        </w:rPr>
        <w:t> </w:t>
      </w:r>
      <w:r>
        <w:rPr>
          <w:color w:val="000000"/>
          <w:vertAlign w:val="baseline"/>
        </w:rPr>
        <w:t>color</w:t>
      </w:r>
      <w:r>
        <w:rPr>
          <w:color w:val="000000"/>
          <w:spacing w:val="-3"/>
          <w:vertAlign w:val="baseline"/>
        </w:rPr>
        <w:t> </w:t>
      </w:r>
      <w:r>
        <w:rPr>
          <w:color w:val="000000"/>
          <w:vertAlign w:val="baseline"/>
        </w:rPr>
        <w:t>were particularly vulnerable to identity-based</w:t>
      </w:r>
      <w:r>
        <w:rPr>
          <w:color w:val="000000"/>
          <w:spacing w:val="-1"/>
          <w:vertAlign w:val="baseline"/>
        </w:rPr>
        <w:t> </w:t>
      </w:r>
      <w:r>
        <w:rPr>
          <w:color w:val="000000"/>
          <w:vertAlign w:val="baseline"/>
        </w:rPr>
        <w:t>bullying. According to GLSEN’s National</w:t>
      </w:r>
      <w:r>
        <w:rPr>
          <w:color w:val="000000"/>
          <w:spacing w:val="-1"/>
          <w:vertAlign w:val="baseline"/>
        </w:rPr>
        <w:t> </w:t>
      </w:r>
      <w:r>
        <w:rPr>
          <w:color w:val="000000"/>
          <w:vertAlign w:val="baseline"/>
        </w:rPr>
        <w:t>School Climate Survey, LGBTQ</w:t>
      </w:r>
      <w:r>
        <w:rPr>
          <w:color w:val="000000"/>
          <w:spacing w:val="-13"/>
          <w:vertAlign w:val="baseline"/>
        </w:rPr>
        <w:t> </w:t>
      </w:r>
      <w:r>
        <w:rPr>
          <w:color w:val="000000"/>
          <w:vertAlign w:val="baseline"/>
        </w:rPr>
        <w:t>Native</w:t>
      </w:r>
      <w:r>
        <w:rPr>
          <w:color w:val="000000"/>
          <w:spacing w:val="-12"/>
          <w:vertAlign w:val="baseline"/>
        </w:rPr>
        <w:t> </w:t>
      </w:r>
      <w:r>
        <w:rPr>
          <w:color w:val="000000"/>
          <w:vertAlign w:val="baseline"/>
        </w:rPr>
        <w:t>American</w:t>
      </w:r>
      <w:r>
        <w:rPr>
          <w:color w:val="000000"/>
          <w:spacing w:val="-13"/>
          <w:vertAlign w:val="baseline"/>
        </w:rPr>
        <w:t> </w:t>
      </w:r>
      <w:r>
        <w:rPr>
          <w:color w:val="000000"/>
          <w:vertAlign w:val="baseline"/>
        </w:rPr>
        <w:t>and</w:t>
      </w:r>
      <w:r>
        <w:rPr>
          <w:color w:val="000000"/>
          <w:spacing w:val="-12"/>
          <w:vertAlign w:val="baseline"/>
        </w:rPr>
        <w:t> </w:t>
      </w:r>
      <w:r>
        <w:rPr>
          <w:color w:val="000000"/>
          <w:vertAlign w:val="baseline"/>
        </w:rPr>
        <w:t>Indigenous</w:t>
      </w:r>
      <w:r>
        <w:rPr>
          <w:color w:val="000000"/>
          <w:spacing w:val="-13"/>
          <w:vertAlign w:val="baseline"/>
        </w:rPr>
        <w:t> </w:t>
      </w:r>
      <w:r>
        <w:rPr>
          <w:color w:val="000000"/>
          <w:vertAlign w:val="baseline"/>
        </w:rPr>
        <w:t>students</w:t>
      </w:r>
      <w:r>
        <w:rPr>
          <w:color w:val="000000"/>
          <w:spacing w:val="-12"/>
          <w:vertAlign w:val="baseline"/>
        </w:rPr>
        <w:t> </w:t>
      </w:r>
      <w:r>
        <w:rPr>
          <w:color w:val="000000"/>
          <w:vertAlign w:val="baseline"/>
        </w:rPr>
        <w:t>had</w:t>
      </w:r>
      <w:r>
        <w:rPr>
          <w:color w:val="000000"/>
          <w:spacing w:val="-13"/>
          <w:vertAlign w:val="baseline"/>
        </w:rPr>
        <w:t> </w:t>
      </w:r>
      <w:r>
        <w:rPr>
          <w:color w:val="000000"/>
          <w:vertAlign w:val="baseline"/>
        </w:rPr>
        <w:t>the</w:t>
      </w:r>
      <w:r>
        <w:rPr>
          <w:color w:val="000000"/>
          <w:spacing w:val="-12"/>
          <w:vertAlign w:val="baseline"/>
        </w:rPr>
        <w:t> </w:t>
      </w:r>
      <w:r>
        <w:rPr>
          <w:color w:val="000000"/>
          <w:vertAlign w:val="baseline"/>
        </w:rPr>
        <w:t>highest</w:t>
      </w:r>
      <w:r>
        <w:rPr>
          <w:color w:val="000000"/>
          <w:spacing w:val="-12"/>
          <w:vertAlign w:val="baseline"/>
        </w:rPr>
        <w:t> </w:t>
      </w:r>
      <w:r>
        <w:rPr>
          <w:color w:val="000000"/>
          <w:vertAlign w:val="baseline"/>
        </w:rPr>
        <w:t>rates</w:t>
      </w:r>
      <w:r>
        <w:rPr>
          <w:color w:val="000000"/>
          <w:spacing w:val="-13"/>
          <w:vertAlign w:val="baseline"/>
        </w:rPr>
        <w:t> </w:t>
      </w:r>
      <w:r>
        <w:rPr>
          <w:color w:val="000000"/>
          <w:vertAlign w:val="baseline"/>
        </w:rPr>
        <w:t>of</w:t>
      </w:r>
      <w:r>
        <w:rPr>
          <w:color w:val="000000"/>
          <w:spacing w:val="-12"/>
          <w:vertAlign w:val="baseline"/>
        </w:rPr>
        <w:t> </w:t>
      </w:r>
      <w:r>
        <w:rPr>
          <w:color w:val="000000"/>
          <w:vertAlign w:val="baseline"/>
        </w:rPr>
        <w:t>in-person</w:t>
      </w:r>
      <w:r>
        <w:rPr>
          <w:color w:val="000000"/>
          <w:spacing w:val="-13"/>
          <w:vertAlign w:val="baseline"/>
        </w:rPr>
        <w:t> </w:t>
      </w:r>
      <w:r>
        <w:rPr>
          <w:color w:val="000000"/>
          <w:vertAlign w:val="baseline"/>
        </w:rPr>
        <w:t>victimization</w:t>
      </w:r>
      <w:r>
        <w:rPr>
          <w:color w:val="000000"/>
          <w:spacing w:val="-12"/>
          <w:vertAlign w:val="baseline"/>
        </w:rPr>
        <w:t> </w:t>
      </w:r>
      <w:r>
        <w:rPr>
          <w:color w:val="000000"/>
          <w:vertAlign w:val="baseline"/>
        </w:rPr>
        <w:t>for</w:t>
      </w:r>
      <w:r>
        <w:rPr>
          <w:color w:val="000000"/>
          <w:spacing w:val="-13"/>
          <w:vertAlign w:val="baseline"/>
        </w:rPr>
        <w:t> </w:t>
      </w:r>
      <w:r>
        <w:rPr>
          <w:color w:val="000000"/>
          <w:vertAlign w:val="baseline"/>
        </w:rPr>
        <w:t>both sexual</w:t>
      </w:r>
      <w:r>
        <w:rPr>
          <w:color w:val="000000"/>
          <w:spacing w:val="-7"/>
          <w:vertAlign w:val="baseline"/>
        </w:rPr>
        <w:t> </w:t>
      </w:r>
      <w:r>
        <w:rPr>
          <w:color w:val="000000"/>
          <w:vertAlign w:val="baseline"/>
        </w:rPr>
        <w:t>orientation</w:t>
      </w:r>
      <w:r>
        <w:rPr>
          <w:color w:val="000000"/>
          <w:spacing w:val="-7"/>
          <w:vertAlign w:val="baseline"/>
        </w:rPr>
        <w:t> </w:t>
      </w:r>
      <w:r>
        <w:rPr>
          <w:color w:val="000000"/>
          <w:vertAlign w:val="baseline"/>
        </w:rPr>
        <w:t>(86.0%)</w:t>
      </w:r>
      <w:r>
        <w:rPr>
          <w:color w:val="000000"/>
          <w:spacing w:val="-6"/>
          <w:vertAlign w:val="baseline"/>
        </w:rPr>
        <w:t> </w:t>
      </w:r>
      <w:r>
        <w:rPr>
          <w:color w:val="000000"/>
          <w:vertAlign w:val="baseline"/>
        </w:rPr>
        <w:t>and</w:t>
      </w:r>
      <w:r>
        <w:rPr>
          <w:color w:val="000000"/>
          <w:spacing w:val="-6"/>
          <w:vertAlign w:val="baseline"/>
        </w:rPr>
        <w:t> </w:t>
      </w:r>
      <w:r>
        <w:rPr>
          <w:color w:val="000000"/>
          <w:vertAlign w:val="baseline"/>
        </w:rPr>
        <w:t>gender</w:t>
      </w:r>
      <w:r>
        <w:rPr>
          <w:color w:val="000000"/>
          <w:spacing w:val="-5"/>
          <w:vertAlign w:val="baseline"/>
        </w:rPr>
        <w:t> </w:t>
      </w:r>
      <w:r>
        <w:rPr>
          <w:color w:val="000000"/>
          <w:vertAlign w:val="baseline"/>
        </w:rPr>
        <w:t>expression</w:t>
      </w:r>
      <w:r>
        <w:rPr>
          <w:color w:val="000000"/>
          <w:spacing w:val="-7"/>
          <w:vertAlign w:val="baseline"/>
        </w:rPr>
        <w:t> </w:t>
      </w:r>
      <w:r>
        <w:rPr>
          <w:color w:val="000000"/>
          <w:vertAlign w:val="baseline"/>
        </w:rPr>
        <w:t>(82.8%),</w:t>
      </w:r>
      <w:r>
        <w:rPr>
          <w:color w:val="000000"/>
          <w:spacing w:val="-6"/>
          <w:vertAlign w:val="baseline"/>
        </w:rPr>
        <w:t> </w:t>
      </w:r>
      <w:r>
        <w:rPr>
          <w:color w:val="000000"/>
          <w:vertAlign w:val="baseline"/>
        </w:rPr>
        <w:t>followed</w:t>
      </w:r>
      <w:r>
        <w:rPr>
          <w:color w:val="000000"/>
          <w:spacing w:val="-7"/>
          <w:vertAlign w:val="baseline"/>
        </w:rPr>
        <w:t> </w:t>
      </w:r>
      <w:r>
        <w:rPr>
          <w:color w:val="000000"/>
          <w:vertAlign w:val="baseline"/>
        </w:rPr>
        <w:t>by</w:t>
      </w:r>
      <w:r>
        <w:rPr>
          <w:color w:val="000000"/>
          <w:spacing w:val="-5"/>
          <w:vertAlign w:val="baseline"/>
        </w:rPr>
        <w:t> </w:t>
      </w:r>
      <w:r>
        <w:rPr>
          <w:color w:val="000000"/>
          <w:vertAlign w:val="baseline"/>
        </w:rPr>
        <w:t>LGBTQ</w:t>
      </w:r>
      <w:r>
        <w:rPr>
          <w:color w:val="000000"/>
          <w:spacing w:val="-4"/>
          <w:vertAlign w:val="baseline"/>
        </w:rPr>
        <w:t> </w:t>
      </w:r>
      <w:r>
        <w:rPr>
          <w:color w:val="000000"/>
          <w:vertAlign w:val="baseline"/>
        </w:rPr>
        <w:t>Middle</w:t>
      </w:r>
      <w:r>
        <w:rPr>
          <w:color w:val="000000"/>
          <w:spacing w:val="-6"/>
          <w:vertAlign w:val="baseline"/>
        </w:rPr>
        <w:t> </w:t>
      </w:r>
      <w:r>
        <w:rPr>
          <w:color w:val="000000"/>
          <w:vertAlign w:val="baseline"/>
        </w:rPr>
        <w:t>Eastern</w:t>
      </w:r>
      <w:r>
        <w:rPr>
          <w:color w:val="000000"/>
          <w:spacing w:val="-7"/>
          <w:vertAlign w:val="baseline"/>
        </w:rPr>
        <w:t> </w:t>
      </w:r>
      <w:r>
        <w:rPr>
          <w:color w:val="000000"/>
          <w:vertAlign w:val="baseline"/>
        </w:rPr>
        <w:t>and</w:t>
      </w:r>
      <w:r>
        <w:rPr>
          <w:color w:val="000000"/>
          <w:spacing w:val="-6"/>
          <w:vertAlign w:val="baseline"/>
        </w:rPr>
        <w:t> </w:t>
      </w:r>
      <w:r>
        <w:rPr>
          <w:color w:val="000000"/>
          <w:vertAlign w:val="baseline"/>
        </w:rPr>
        <w:t>North African</w:t>
      </w:r>
      <w:r>
        <w:rPr>
          <w:color w:val="000000"/>
          <w:spacing w:val="-1"/>
          <w:vertAlign w:val="baseline"/>
        </w:rPr>
        <w:t> </w:t>
      </w:r>
      <w:r>
        <w:rPr>
          <w:color w:val="000000"/>
          <w:vertAlign w:val="baseline"/>
        </w:rPr>
        <w:t>(MENA) students (67.7% and</w:t>
      </w:r>
      <w:r>
        <w:rPr>
          <w:color w:val="000000"/>
          <w:spacing w:val="-1"/>
          <w:vertAlign w:val="baseline"/>
        </w:rPr>
        <w:t> </w:t>
      </w:r>
      <w:r>
        <w:rPr>
          <w:color w:val="000000"/>
          <w:vertAlign w:val="baseline"/>
        </w:rPr>
        <w:t>61.5%, respectively) and</w:t>
      </w:r>
      <w:r>
        <w:rPr>
          <w:color w:val="000000"/>
          <w:spacing w:val="-1"/>
          <w:vertAlign w:val="baseline"/>
        </w:rPr>
        <w:t> </w:t>
      </w:r>
      <w:r>
        <w:rPr>
          <w:color w:val="000000"/>
          <w:vertAlign w:val="baseline"/>
        </w:rPr>
        <w:t>LGBTQ</w:t>
      </w:r>
      <w:r>
        <w:rPr>
          <w:color w:val="000000"/>
          <w:spacing w:val="-1"/>
          <w:vertAlign w:val="baseline"/>
        </w:rPr>
        <w:t> </w:t>
      </w:r>
      <w:r>
        <w:rPr>
          <w:color w:val="000000"/>
          <w:vertAlign w:val="baseline"/>
        </w:rPr>
        <w:t>Latinx</w:t>
      </w:r>
      <w:r>
        <w:rPr>
          <w:color w:val="000000"/>
          <w:spacing w:val="-1"/>
          <w:vertAlign w:val="baseline"/>
        </w:rPr>
        <w:t> </w:t>
      </w:r>
      <w:r>
        <w:rPr>
          <w:color w:val="000000"/>
          <w:vertAlign w:val="baseline"/>
        </w:rPr>
        <w:t>students (63.4% and</w:t>
      </w:r>
      <w:r>
        <w:rPr>
          <w:color w:val="000000"/>
          <w:spacing w:val="-1"/>
          <w:vertAlign w:val="baseline"/>
        </w:rPr>
        <w:t> </w:t>
      </w:r>
      <w:r>
        <w:rPr>
          <w:color w:val="000000"/>
          <w:vertAlign w:val="baseline"/>
        </w:rPr>
        <w:t>60.9%, respectively)</w:t>
      </w:r>
      <w:hyperlink w:history="true" w:anchor="_bookmark91">
        <w:r>
          <w:rPr>
            <w:color w:val="000000"/>
            <w:vertAlign w:val="baseline"/>
          </w:rPr>
          <w:t>.</w:t>
        </w:r>
        <w:r>
          <w:rPr>
            <w:color w:val="000000"/>
            <w:vertAlign w:val="superscript"/>
          </w:rPr>
          <w:t>74</w:t>
        </w:r>
      </w:hyperlink>
      <w:r>
        <w:rPr>
          <w:color w:val="000000"/>
          <w:vertAlign w:val="baseline"/>
        </w:rPr>
        <w:t> LGBTQ Native American and Indigenous students experienced the highest rates of in- person</w:t>
      </w:r>
      <w:r>
        <w:rPr>
          <w:color w:val="000000"/>
          <w:spacing w:val="-6"/>
          <w:vertAlign w:val="baseline"/>
        </w:rPr>
        <w:t> </w:t>
      </w:r>
      <w:r>
        <w:rPr>
          <w:color w:val="000000"/>
          <w:vertAlign w:val="baseline"/>
        </w:rPr>
        <w:t>victimization</w:t>
      </w:r>
      <w:r>
        <w:rPr>
          <w:color w:val="000000"/>
          <w:spacing w:val="-5"/>
          <w:vertAlign w:val="baseline"/>
        </w:rPr>
        <w:t> </w:t>
      </w:r>
      <w:r>
        <w:rPr>
          <w:color w:val="000000"/>
          <w:vertAlign w:val="baseline"/>
        </w:rPr>
        <w:t>based</w:t>
      </w:r>
      <w:r>
        <w:rPr>
          <w:color w:val="000000"/>
          <w:spacing w:val="-3"/>
          <w:vertAlign w:val="baseline"/>
        </w:rPr>
        <w:t> </w:t>
      </w:r>
      <w:r>
        <w:rPr>
          <w:color w:val="000000"/>
          <w:vertAlign w:val="baseline"/>
        </w:rPr>
        <w:t>on</w:t>
      </w:r>
      <w:r>
        <w:rPr>
          <w:color w:val="000000"/>
          <w:spacing w:val="-6"/>
          <w:vertAlign w:val="baseline"/>
        </w:rPr>
        <w:t> </w:t>
      </w:r>
      <w:r>
        <w:rPr>
          <w:color w:val="000000"/>
          <w:vertAlign w:val="baseline"/>
        </w:rPr>
        <w:t>race</w:t>
      </w:r>
      <w:r>
        <w:rPr>
          <w:color w:val="000000"/>
          <w:spacing w:val="-4"/>
          <w:vertAlign w:val="baseline"/>
        </w:rPr>
        <w:t> </w:t>
      </w:r>
      <w:r>
        <w:rPr>
          <w:color w:val="000000"/>
          <w:vertAlign w:val="baseline"/>
        </w:rPr>
        <w:t>and</w:t>
      </w:r>
      <w:r>
        <w:rPr>
          <w:color w:val="000000"/>
          <w:spacing w:val="-4"/>
          <w:vertAlign w:val="baseline"/>
        </w:rPr>
        <w:t> </w:t>
      </w:r>
      <w:r>
        <w:rPr>
          <w:color w:val="000000"/>
          <w:vertAlign w:val="baseline"/>
        </w:rPr>
        <w:t>ethnicity</w:t>
      </w:r>
      <w:r>
        <w:rPr>
          <w:color w:val="000000"/>
          <w:spacing w:val="-4"/>
          <w:vertAlign w:val="baseline"/>
        </w:rPr>
        <w:t> </w:t>
      </w:r>
      <w:r>
        <w:rPr>
          <w:color w:val="000000"/>
          <w:vertAlign w:val="baseline"/>
        </w:rPr>
        <w:t>(63.8%),</w:t>
      </w:r>
      <w:r>
        <w:rPr>
          <w:color w:val="000000"/>
          <w:spacing w:val="-5"/>
          <w:vertAlign w:val="baseline"/>
        </w:rPr>
        <w:t> </w:t>
      </w:r>
      <w:r>
        <w:rPr>
          <w:color w:val="000000"/>
          <w:vertAlign w:val="baseline"/>
        </w:rPr>
        <w:t>followed</w:t>
      </w:r>
      <w:r>
        <w:rPr>
          <w:color w:val="000000"/>
          <w:spacing w:val="-4"/>
          <w:vertAlign w:val="baseline"/>
        </w:rPr>
        <w:t> </w:t>
      </w:r>
      <w:r>
        <w:rPr>
          <w:color w:val="000000"/>
          <w:vertAlign w:val="baseline"/>
        </w:rPr>
        <w:t>by</w:t>
      </w:r>
      <w:r>
        <w:rPr>
          <w:color w:val="000000"/>
          <w:spacing w:val="-5"/>
          <w:vertAlign w:val="baseline"/>
        </w:rPr>
        <w:t> </w:t>
      </w:r>
      <w:r>
        <w:rPr>
          <w:color w:val="000000"/>
          <w:vertAlign w:val="baseline"/>
        </w:rPr>
        <w:t>LGBTQ</w:t>
      </w:r>
      <w:r>
        <w:rPr>
          <w:color w:val="000000"/>
          <w:spacing w:val="-4"/>
          <w:vertAlign w:val="baseline"/>
        </w:rPr>
        <w:t> </w:t>
      </w:r>
      <w:r>
        <w:rPr>
          <w:color w:val="000000"/>
          <w:vertAlign w:val="baseline"/>
        </w:rPr>
        <w:t>Asian</w:t>
      </w:r>
      <w:r>
        <w:rPr>
          <w:color w:val="000000"/>
          <w:spacing w:val="-6"/>
          <w:vertAlign w:val="baseline"/>
        </w:rPr>
        <w:t> </w:t>
      </w:r>
      <w:r>
        <w:rPr>
          <w:color w:val="000000"/>
          <w:vertAlign w:val="baseline"/>
        </w:rPr>
        <w:t>American</w:t>
      </w:r>
      <w:r>
        <w:rPr>
          <w:color w:val="000000"/>
          <w:spacing w:val="-3"/>
          <w:vertAlign w:val="baseline"/>
        </w:rPr>
        <w:t> </w:t>
      </w:r>
      <w:r>
        <w:rPr>
          <w:color w:val="000000"/>
          <w:vertAlign w:val="baseline"/>
        </w:rPr>
        <w:t>and</w:t>
      </w:r>
      <w:r>
        <w:rPr>
          <w:color w:val="000000"/>
          <w:spacing w:val="-6"/>
          <w:vertAlign w:val="baseline"/>
        </w:rPr>
        <w:t> </w:t>
      </w:r>
      <w:r>
        <w:rPr>
          <w:color w:val="000000"/>
          <w:vertAlign w:val="baseline"/>
        </w:rPr>
        <w:t>Pacific Islander (AAPI) students (62.8%) and LGBTQ Black students (55.2%). </w:t>
      </w:r>
      <w:hyperlink w:history="true" w:anchor="_bookmark91">
        <w:r>
          <w:rPr>
            <w:color w:val="000000"/>
            <w:vertAlign w:val="superscript"/>
          </w:rPr>
          <w:t>75</w:t>
        </w:r>
      </w:hyperlink>
      <w:r>
        <w:rPr>
          <w:color w:val="000000"/>
          <w:vertAlign w:val="baseline"/>
        </w:rPr>
        <w:t> Online, LGBTQ Native American and Indigenous students experienced victimization based on sexual orientation (60.8%) and gender expression (59.7%) at significantly higher rates than any other racial or ethnic group</w:t>
      </w:r>
      <w:hyperlink w:history="true" w:anchor="_bookmark91">
        <w:r>
          <w:rPr>
            <w:color w:val="000000"/>
            <w:vertAlign w:val="baseline"/>
          </w:rPr>
          <w:t>.</w:t>
        </w:r>
        <w:r>
          <w:rPr>
            <w:color w:val="000000"/>
            <w:vertAlign w:val="superscript"/>
          </w:rPr>
          <w:t>76</w:t>
        </w:r>
      </w:hyperlink>
    </w:p>
    <w:p>
      <w:pPr>
        <w:pStyle w:val="BodyText"/>
        <w:spacing w:line="276" w:lineRule="auto" w:before="240"/>
        <w:ind w:left="463" w:right="281"/>
        <w:jc w:val="both"/>
      </w:pPr>
      <w:r>
        <w:rPr/>
        <w:t>R egarding digital technology, social media is a multi-faceted and complex tool that can affect LGBTQ youth</w:t>
      </w:r>
      <w:r>
        <w:rPr>
          <w:spacing w:val="-4"/>
        </w:rPr>
        <w:t> </w:t>
      </w:r>
      <w:r>
        <w:rPr/>
        <w:t>both</w:t>
      </w:r>
      <w:r>
        <w:rPr>
          <w:spacing w:val="-4"/>
        </w:rPr>
        <w:t> </w:t>
      </w:r>
      <w:r>
        <w:rPr/>
        <w:t>positively</w:t>
      </w:r>
      <w:r>
        <w:rPr>
          <w:spacing w:val="-5"/>
        </w:rPr>
        <w:t> </w:t>
      </w:r>
      <w:r>
        <w:rPr/>
        <w:t>and</w:t>
      </w:r>
      <w:r>
        <w:rPr>
          <w:spacing w:val="-3"/>
        </w:rPr>
        <w:t> </w:t>
      </w:r>
      <w:r>
        <w:rPr/>
        <w:t>negatively.</w:t>
      </w:r>
      <w:r>
        <w:rPr>
          <w:spacing w:val="-4"/>
        </w:rPr>
        <w:t> </w:t>
      </w:r>
      <w:r>
        <w:rPr/>
        <w:t>According</w:t>
      </w:r>
      <w:r>
        <w:rPr>
          <w:spacing w:val="-4"/>
        </w:rPr>
        <w:t> </w:t>
      </w:r>
      <w:r>
        <w:rPr/>
        <w:t>to</w:t>
      </w:r>
      <w:r>
        <w:rPr>
          <w:spacing w:val="-3"/>
        </w:rPr>
        <w:t> </w:t>
      </w:r>
      <w:r>
        <w:rPr/>
        <w:t>the</w:t>
      </w:r>
      <w:r>
        <w:rPr>
          <w:spacing w:val="-4"/>
        </w:rPr>
        <w:t> </w:t>
      </w:r>
      <w:r>
        <w:rPr/>
        <w:t>Trevor</w:t>
      </w:r>
      <w:r>
        <w:rPr>
          <w:spacing w:val="-5"/>
        </w:rPr>
        <w:t> </w:t>
      </w:r>
      <w:r>
        <w:rPr/>
        <w:t>Project’s</w:t>
      </w:r>
      <w:r>
        <w:rPr>
          <w:spacing w:val="-5"/>
        </w:rPr>
        <w:t> </w:t>
      </w:r>
      <w:r>
        <w:rPr/>
        <w:t>2021</w:t>
      </w:r>
      <w:r>
        <w:rPr>
          <w:spacing w:val="-4"/>
        </w:rPr>
        <w:t> </w:t>
      </w:r>
      <w:r>
        <w:rPr/>
        <w:t>National</w:t>
      </w:r>
      <w:r>
        <w:rPr>
          <w:spacing w:val="-5"/>
        </w:rPr>
        <w:t> </w:t>
      </w:r>
      <w:r>
        <w:rPr/>
        <w:t>Survey</w:t>
      </w:r>
      <w:r>
        <w:rPr>
          <w:spacing w:val="-5"/>
        </w:rPr>
        <w:t> </w:t>
      </w:r>
      <w:r>
        <w:rPr/>
        <w:t>on</w:t>
      </w:r>
      <w:r>
        <w:rPr>
          <w:spacing w:val="-4"/>
        </w:rPr>
        <w:t> </w:t>
      </w:r>
      <w:r>
        <w:rPr/>
        <w:t>LGBTQ+ Youth</w:t>
      </w:r>
      <w:r>
        <w:rPr>
          <w:spacing w:val="-13"/>
        </w:rPr>
        <w:t> </w:t>
      </w:r>
      <w:r>
        <w:rPr/>
        <w:t>Mental</w:t>
      </w:r>
      <w:r>
        <w:rPr>
          <w:spacing w:val="-12"/>
        </w:rPr>
        <w:t> </w:t>
      </w:r>
      <w:r>
        <w:rPr/>
        <w:t>Health,</w:t>
      </w:r>
      <w:r>
        <w:rPr>
          <w:spacing w:val="-13"/>
        </w:rPr>
        <w:t> </w:t>
      </w:r>
      <w:r>
        <w:rPr/>
        <w:t>LGBTQ</w:t>
      </w:r>
      <w:r>
        <w:rPr>
          <w:spacing w:val="-12"/>
        </w:rPr>
        <w:t> </w:t>
      </w:r>
      <w:r>
        <w:rPr/>
        <w:t>youth</w:t>
      </w:r>
      <w:r>
        <w:rPr>
          <w:spacing w:val="-13"/>
        </w:rPr>
        <w:t> </w:t>
      </w:r>
      <w:r>
        <w:rPr/>
        <w:t>stated</w:t>
      </w:r>
      <w:r>
        <w:rPr>
          <w:spacing w:val="-12"/>
        </w:rPr>
        <w:t> </w:t>
      </w:r>
      <w:r>
        <w:rPr/>
        <w:t>that</w:t>
      </w:r>
      <w:r>
        <w:rPr>
          <w:spacing w:val="-13"/>
        </w:rPr>
        <w:t> </w:t>
      </w:r>
      <w:r>
        <w:rPr/>
        <w:t>social</w:t>
      </w:r>
      <w:r>
        <w:rPr>
          <w:spacing w:val="-12"/>
        </w:rPr>
        <w:t> </w:t>
      </w:r>
      <w:r>
        <w:rPr/>
        <w:t>media</w:t>
      </w:r>
      <w:r>
        <w:rPr>
          <w:spacing w:val="-12"/>
        </w:rPr>
        <w:t> </w:t>
      </w:r>
      <w:r>
        <w:rPr/>
        <w:t>had</w:t>
      </w:r>
      <w:r>
        <w:rPr>
          <w:spacing w:val="-13"/>
        </w:rPr>
        <w:t> </w:t>
      </w:r>
      <w:r>
        <w:rPr/>
        <w:t>both</w:t>
      </w:r>
      <w:r>
        <w:rPr>
          <w:spacing w:val="-12"/>
        </w:rPr>
        <w:t> </w:t>
      </w:r>
      <w:r>
        <w:rPr/>
        <w:t>“positive</w:t>
      </w:r>
      <w:r>
        <w:rPr>
          <w:spacing w:val="-13"/>
        </w:rPr>
        <w:t> </w:t>
      </w:r>
      <w:r>
        <w:rPr/>
        <w:t>(96%)</w:t>
      </w:r>
      <w:r>
        <w:rPr>
          <w:spacing w:val="-12"/>
        </w:rPr>
        <w:t> </w:t>
      </w:r>
      <w:r>
        <w:rPr/>
        <w:t>and</w:t>
      </w:r>
      <w:r>
        <w:rPr>
          <w:spacing w:val="-13"/>
        </w:rPr>
        <w:t> </w:t>
      </w:r>
      <w:r>
        <w:rPr/>
        <w:t>negative</w:t>
      </w:r>
      <w:r>
        <w:rPr>
          <w:spacing w:val="-12"/>
        </w:rPr>
        <w:t> </w:t>
      </w:r>
      <w:r>
        <w:rPr/>
        <w:t>(88%)” effects on their mental health, though this variable has not yet been updated in subsequent surveys</w:t>
      </w:r>
      <w:hyperlink w:history="true" w:anchor="_bookmark91">
        <w:r>
          <w:rPr/>
          <w:t>.</w:t>
        </w:r>
        <w:r>
          <w:rPr>
            <w:vertAlign w:val="superscript"/>
          </w:rPr>
          <w:t>77</w:t>
        </w:r>
      </w:hyperlink>
      <w:r>
        <w:rPr>
          <w:vertAlign w:val="baseline"/>
        </w:rPr>
        <w:t> On</w:t>
      </w:r>
      <w:r>
        <w:rPr>
          <w:spacing w:val="-7"/>
          <w:vertAlign w:val="baseline"/>
        </w:rPr>
        <w:t> </w:t>
      </w:r>
      <w:r>
        <w:rPr>
          <w:vertAlign w:val="baseline"/>
        </w:rPr>
        <w:t>one</w:t>
      </w:r>
      <w:r>
        <w:rPr>
          <w:spacing w:val="-6"/>
          <w:vertAlign w:val="baseline"/>
        </w:rPr>
        <w:t> </w:t>
      </w:r>
      <w:r>
        <w:rPr>
          <w:vertAlign w:val="baseline"/>
        </w:rPr>
        <w:t>hand,</w:t>
      </w:r>
      <w:r>
        <w:rPr>
          <w:spacing w:val="-5"/>
          <w:vertAlign w:val="baseline"/>
        </w:rPr>
        <w:t> </w:t>
      </w:r>
      <w:r>
        <w:rPr>
          <w:vertAlign w:val="baseline"/>
        </w:rPr>
        <w:t>social</w:t>
      </w:r>
      <w:r>
        <w:rPr>
          <w:spacing w:val="-5"/>
          <w:vertAlign w:val="baseline"/>
        </w:rPr>
        <w:t> </w:t>
      </w:r>
      <w:r>
        <w:rPr>
          <w:vertAlign w:val="baseline"/>
        </w:rPr>
        <w:t>media</w:t>
      </w:r>
      <w:r>
        <w:rPr>
          <w:spacing w:val="-4"/>
          <w:vertAlign w:val="baseline"/>
        </w:rPr>
        <w:t> </w:t>
      </w:r>
      <w:r>
        <w:rPr>
          <w:vertAlign w:val="baseline"/>
        </w:rPr>
        <w:t>allows</w:t>
      </w:r>
      <w:r>
        <w:rPr>
          <w:spacing w:val="-6"/>
          <w:vertAlign w:val="baseline"/>
        </w:rPr>
        <w:t> </w:t>
      </w:r>
      <w:r>
        <w:rPr>
          <w:vertAlign w:val="baseline"/>
        </w:rPr>
        <w:t>youth</w:t>
      </w:r>
      <w:r>
        <w:rPr>
          <w:spacing w:val="-6"/>
          <w:vertAlign w:val="baseline"/>
        </w:rPr>
        <w:t> </w:t>
      </w:r>
      <w:r>
        <w:rPr>
          <w:vertAlign w:val="baseline"/>
        </w:rPr>
        <w:t>to</w:t>
      </w:r>
      <w:r>
        <w:rPr>
          <w:spacing w:val="-6"/>
          <w:vertAlign w:val="baseline"/>
        </w:rPr>
        <w:t> </w:t>
      </w:r>
      <w:r>
        <w:rPr>
          <w:vertAlign w:val="baseline"/>
        </w:rPr>
        <w:t>connect</w:t>
      </w:r>
      <w:r>
        <w:rPr>
          <w:spacing w:val="-7"/>
          <w:vertAlign w:val="baseline"/>
        </w:rPr>
        <w:t> </w:t>
      </w:r>
      <w:r>
        <w:rPr>
          <w:vertAlign w:val="baseline"/>
        </w:rPr>
        <w:t>with</w:t>
      </w:r>
      <w:r>
        <w:rPr>
          <w:spacing w:val="-7"/>
          <w:vertAlign w:val="baseline"/>
        </w:rPr>
        <w:t> </w:t>
      </w:r>
      <w:r>
        <w:rPr>
          <w:vertAlign w:val="baseline"/>
        </w:rPr>
        <w:t>LGBTQ</w:t>
      </w:r>
      <w:r>
        <w:rPr>
          <w:spacing w:val="-6"/>
          <w:vertAlign w:val="baseline"/>
        </w:rPr>
        <w:t> </w:t>
      </w:r>
      <w:r>
        <w:rPr>
          <w:vertAlign w:val="baseline"/>
        </w:rPr>
        <w:t>peers</w:t>
      </w:r>
      <w:r>
        <w:rPr>
          <w:spacing w:val="-6"/>
          <w:vertAlign w:val="baseline"/>
        </w:rPr>
        <w:t> </w:t>
      </w:r>
      <w:r>
        <w:rPr>
          <w:vertAlign w:val="baseline"/>
        </w:rPr>
        <w:t>when</w:t>
      </w:r>
      <w:r>
        <w:rPr>
          <w:spacing w:val="-6"/>
          <w:vertAlign w:val="baseline"/>
        </w:rPr>
        <w:t> </w:t>
      </w:r>
      <w:r>
        <w:rPr>
          <w:vertAlign w:val="baseline"/>
        </w:rPr>
        <w:t>they</w:t>
      </w:r>
      <w:r>
        <w:rPr>
          <w:spacing w:val="-5"/>
          <w:vertAlign w:val="baseline"/>
        </w:rPr>
        <w:t> </w:t>
      </w:r>
      <w:r>
        <w:rPr>
          <w:vertAlign w:val="baseline"/>
        </w:rPr>
        <w:t>may</w:t>
      </w:r>
      <w:r>
        <w:rPr>
          <w:spacing w:val="-6"/>
          <w:vertAlign w:val="baseline"/>
        </w:rPr>
        <w:t> </w:t>
      </w:r>
      <w:r>
        <w:rPr>
          <w:vertAlign w:val="baseline"/>
        </w:rPr>
        <w:t>otherwise</w:t>
      </w:r>
      <w:r>
        <w:rPr>
          <w:spacing w:val="-7"/>
          <w:vertAlign w:val="baseline"/>
        </w:rPr>
        <w:t> </w:t>
      </w:r>
      <w:r>
        <w:rPr>
          <w:vertAlign w:val="baseline"/>
        </w:rPr>
        <w:t>have</w:t>
      </w:r>
      <w:r>
        <w:rPr>
          <w:spacing w:val="-5"/>
          <w:vertAlign w:val="baseline"/>
        </w:rPr>
        <w:t> </w:t>
      </w:r>
      <w:r>
        <w:rPr>
          <w:vertAlign w:val="baseline"/>
        </w:rPr>
        <w:t>no safe</w:t>
      </w:r>
      <w:r>
        <w:rPr>
          <w:spacing w:val="-9"/>
          <w:vertAlign w:val="baseline"/>
        </w:rPr>
        <w:t> </w:t>
      </w:r>
      <w:r>
        <w:rPr>
          <w:vertAlign w:val="baseline"/>
        </w:rPr>
        <w:t>physical</w:t>
      </w:r>
      <w:r>
        <w:rPr>
          <w:spacing w:val="-8"/>
          <w:vertAlign w:val="baseline"/>
        </w:rPr>
        <w:t> </w:t>
      </w:r>
      <w:r>
        <w:rPr>
          <w:vertAlign w:val="baseline"/>
        </w:rPr>
        <w:t>space</w:t>
      </w:r>
      <w:r>
        <w:rPr>
          <w:spacing w:val="-9"/>
          <w:vertAlign w:val="baseline"/>
        </w:rPr>
        <w:t> </w:t>
      </w:r>
      <w:r>
        <w:rPr>
          <w:vertAlign w:val="baseline"/>
        </w:rPr>
        <w:t>to</w:t>
      </w:r>
      <w:r>
        <w:rPr>
          <w:spacing w:val="-8"/>
          <w:vertAlign w:val="baseline"/>
        </w:rPr>
        <w:t> </w:t>
      </w:r>
      <w:r>
        <w:rPr>
          <w:vertAlign w:val="baseline"/>
        </w:rPr>
        <w:t>engage</w:t>
      </w:r>
      <w:r>
        <w:rPr>
          <w:spacing w:val="-9"/>
          <w:vertAlign w:val="baseline"/>
        </w:rPr>
        <w:t> </w:t>
      </w:r>
      <w:r>
        <w:rPr>
          <w:vertAlign w:val="baseline"/>
        </w:rPr>
        <w:t>with</w:t>
      </w:r>
      <w:r>
        <w:rPr>
          <w:spacing w:val="-9"/>
          <w:vertAlign w:val="baseline"/>
        </w:rPr>
        <w:t> </w:t>
      </w:r>
      <w:r>
        <w:rPr>
          <w:vertAlign w:val="baseline"/>
        </w:rPr>
        <w:t>their</w:t>
      </w:r>
      <w:r>
        <w:rPr>
          <w:spacing w:val="-7"/>
          <w:vertAlign w:val="baseline"/>
        </w:rPr>
        <w:t> </w:t>
      </w:r>
      <w:r>
        <w:rPr>
          <w:vertAlign w:val="baseline"/>
        </w:rPr>
        <w:t>community.</w:t>
      </w:r>
      <w:r>
        <w:rPr>
          <w:spacing w:val="-8"/>
          <w:vertAlign w:val="baseline"/>
        </w:rPr>
        <w:t> </w:t>
      </w:r>
      <w:r>
        <w:rPr>
          <w:vertAlign w:val="baseline"/>
        </w:rPr>
        <w:t>For</w:t>
      </w:r>
      <w:r>
        <w:rPr>
          <w:spacing w:val="-9"/>
          <w:vertAlign w:val="baseline"/>
        </w:rPr>
        <w:t> </w:t>
      </w:r>
      <w:r>
        <w:rPr>
          <w:vertAlign w:val="baseline"/>
        </w:rPr>
        <w:t>example,</w:t>
      </w:r>
      <w:r>
        <w:rPr>
          <w:spacing w:val="-8"/>
          <w:vertAlign w:val="baseline"/>
        </w:rPr>
        <w:t> </w:t>
      </w:r>
      <w:r>
        <w:rPr>
          <w:vertAlign w:val="baseline"/>
        </w:rPr>
        <w:t>youth</w:t>
      </w:r>
      <w:r>
        <w:rPr>
          <w:spacing w:val="-9"/>
          <w:vertAlign w:val="baseline"/>
        </w:rPr>
        <w:t> </w:t>
      </w:r>
      <w:r>
        <w:rPr>
          <w:vertAlign w:val="baseline"/>
        </w:rPr>
        <w:t>may</w:t>
      </w:r>
      <w:r>
        <w:rPr>
          <w:spacing w:val="-7"/>
          <w:vertAlign w:val="baseline"/>
        </w:rPr>
        <w:t> </w:t>
      </w:r>
      <w:r>
        <w:rPr>
          <w:vertAlign w:val="baseline"/>
        </w:rPr>
        <w:t>use</w:t>
      </w:r>
      <w:r>
        <w:rPr>
          <w:spacing w:val="-8"/>
          <w:vertAlign w:val="baseline"/>
        </w:rPr>
        <w:t> </w:t>
      </w:r>
      <w:r>
        <w:rPr>
          <w:vertAlign w:val="baseline"/>
        </w:rPr>
        <w:t>social</w:t>
      </w:r>
      <w:r>
        <w:rPr>
          <w:spacing w:val="-9"/>
          <w:vertAlign w:val="baseline"/>
        </w:rPr>
        <w:t> </w:t>
      </w:r>
      <w:r>
        <w:rPr>
          <w:vertAlign w:val="baseline"/>
        </w:rPr>
        <w:t>media</w:t>
      </w:r>
      <w:r>
        <w:rPr>
          <w:spacing w:val="-7"/>
          <w:vertAlign w:val="baseline"/>
        </w:rPr>
        <w:t> </w:t>
      </w:r>
      <w:r>
        <w:rPr>
          <w:vertAlign w:val="baseline"/>
        </w:rPr>
        <w:t>to</w:t>
      </w:r>
      <w:r>
        <w:rPr>
          <w:spacing w:val="-8"/>
          <w:vertAlign w:val="baseline"/>
        </w:rPr>
        <w:t> </w:t>
      </w:r>
      <w:r>
        <w:rPr>
          <w:vertAlign w:val="baseline"/>
        </w:rPr>
        <w:t>explore their</w:t>
      </w:r>
      <w:r>
        <w:rPr>
          <w:spacing w:val="-11"/>
          <w:vertAlign w:val="baseline"/>
        </w:rPr>
        <w:t> </w:t>
      </w:r>
      <w:r>
        <w:rPr>
          <w:vertAlign w:val="baseline"/>
        </w:rPr>
        <w:t>identities,</w:t>
      </w:r>
      <w:r>
        <w:rPr>
          <w:spacing w:val="-11"/>
          <w:vertAlign w:val="baseline"/>
        </w:rPr>
        <w:t> </w:t>
      </w:r>
      <w:r>
        <w:rPr>
          <w:vertAlign w:val="baseline"/>
        </w:rPr>
        <w:t>chat</w:t>
      </w:r>
      <w:r>
        <w:rPr>
          <w:spacing w:val="-12"/>
          <w:vertAlign w:val="baseline"/>
        </w:rPr>
        <w:t> </w:t>
      </w:r>
      <w:r>
        <w:rPr>
          <w:vertAlign w:val="baseline"/>
        </w:rPr>
        <w:t>with</w:t>
      </w:r>
      <w:r>
        <w:rPr>
          <w:spacing w:val="-12"/>
          <w:vertAlign w:val="baseline"/>
        </w:rPr>
        <w:t> </w:t>
      </w:r>
      <w:r>
        <w:rPr>
          <w:vertAlign w:val="baseline"/>
        </w:rPr>
        <w:t>other</w:t>
      </w:r>
      <w:r>
        <w:rPr>
          <w:spacing w:val="-11"/>
          <w:vertAlign w:val="baseline"/>
        </w:rPr>
        <w:t> </w:t>
      </w:r>
      <w:r>
        <w:rPr>
          <w:vertAlign w:val="baseline"/>
        </w:rPr>
        <w:t>LGBTQ</w:t>
      </w:r>
      <w:r>
        <w:rPr>
          <w:spacing w:val="-12"/>
          <w:vertAlign w:val="baseline"/>
        </w:rPr>
        <w:t> </w:t>
      </w:r>
      <w:r>
        <w:rPr>
          <w:vertAlign w:val="baseline"/>
        </w:rPr>
        <w:t>youth,</w:t>
      </w:r>
      <w:r>
        <w:rPr>
          <w:spacing w:val="-11"/>
          <w:vertAlign w:val="baseline"/>
        </w:rPr>
        <w:t> </w:t>
      </w:r>
      <w:r>
        <w:rPr>
          <w:vertAlign w:val="baseline"/>
        </w:rPr>
        <w:t>or</w:t>
      </w:r>
      <w:r>
        <w:rPr>
          <w:spacing w:val="-11"/>
          <w:vertAlign w:val="baseline"/>
        </w:rPr>
        <w:t> </w:t>
      </w:r>
      <w:r>
        <w:rPr>
          <w:vertAlign w:val="baseline"/>
        </w:rPr>
        <w:t>find</w:t>
      </w:r>
      <w:r>
        <w:rPr>
          <w:spacing w:val="-11"/>
          <w:vertAlign w:val="baseline"/>
        </w:rPr>
        <w:t> </w:t>
      </w:r>
      <w:r>
        <w:rPr>
          <w:vertAlign w:val="baseline"/>
        </w:rPr>
        <w:t>reprieve</w:t>
      </w:r>
      <w:r>
        <w:rPr>
          <w:spacing w:val="-11"/>
          <w:vertAlign w:val="baseline"/>
        </w:rPr>
        <w:t> </w:t>
      </w:r>
      <w:r>
        <w:rPr>
          <w:vertAlign w:val="baseline"/>
        </w:rPr>
        <w:t>from</w:t>
      </w:r>
      <w:r>
        <w:rPr>
          <w:spacing w:val="-10"/>
          <w:vertAlign w:val="baseline"/>
        </w:rPr>
        <w:t> </w:t>
      </w:r>
      <w:r>
        <w:rPr>
          <w:vertAlign w:val="baseline"/>
        </w:rPr>
        <w:t>a</w:t>
      </w:r>
      <w:r>
        <w:rPr>
          <w:spacing w:val="-11"/>
          <w:vertAlign w:val="baseline"/>
        </w:rPr>
        <w:t> </w:t>
      </w:r>
      <w:r>
        <w:rPr>
          <w:vertAlign w:val="baseline"/>
        </w:rPr>
        <w:t>stressful</w:t>
      </w:r>
      <w:r>
        <w:rPr>
          <w:spacing w:val="-11"/>
          <w:vertAlign w:val="baseline"/>
        </w:rPr>
        <w:t> </w:t>
      </w:r>
      <w:r>
        <w:rPr>
          <w:vertAlign w:val="baseline"/>
        </w:rPr>
        <w:t>home</w:t>
      </w:r>
      <w:r>
        <w:rPr>
          <w:spacing w:val="-11"/>
          <w:vertAlign w:val="baseline"/>
        </w:rPr>
        <w:t> </w:t>
      </w:r>
      <w:r>
        <w:rPr>
          <w:vertAlign w:val="baseline"/>
        </w:rPr>
        <w:t>or</w:t>
      </w:r>
      <w:r>
        <w:rPr>
          <w:spacing w:val="-11"/>
          <w:vertAlign w:val="baseline"/>
        </w:rPr>
        <w:t> </w:t>
      </w:r>
      <w:r>
        <w:rPr>
          <w:vertAlign w:val="baseline"/>
        </w:rPr>
        <w:t>school</w:t>
      </w:r>
      <w:r>
        <w:rPr>
          <w:spacing w:val="-10"/>
          <w:vertAlign w:val="baseline"/>
        </w:rPr>
        <w:t> </w:t>
      </w:r>
      <w:r>
        <w:rPr>
          <w:vertAlign w:val="baseline"/>
        </w:rPr>
        <w:t>situation.</w:t>
      </w:r>
      <w:hyperlink w:history="true" w:anchor="_bookmark91">
        <w:r>
          <w:rPr>
            <w:vertAlign w:val="superscript"/>
          </w:rPr>
          <w:t>78</w:t>
        </w:r>
      </w:hyperlink>
      <w:r>
        <w:rPr>
          <w:vertAlign w:val="baseline"/>
        </w:rPr>
        <w:t> LGBTQ</w:t>
      </w:r>
      <w:r>
        <w:rPr>
          <w:spacing w:val="-2"/>
          <w:vertAlign w:val="baseline"/>
        </w:rPr>
        <w:t> </w:t>
      </w:r>
      <w:r>
        <w:rPr>
          <w:vertAlign w:val="baseline"/>
        </w:rPr>
        <w:t>youth</w:t>
      </w:r>
      <w:r>
        <w:rPr>
          <w:spacing w:val="-1"/>
          <w:vertAlign w:val="baseline"/>
        </w:rPr>
        <w:t> </w:t>
      </w:r>
      <w:r>
        <w:rPr>
          <w:vertAlign w:val="baseline"/>
        </w:rPr>
        <w:t>living</w:t>
      </w:r>
      <w:r>
        <w:rPr>
          <w:spacing w:val="-2"/>
          <w:vertAlign w:val="baseline"/>
        </w:rPr>
        <w:t> </w:t>
      </w:r>
      <w:r>
        <w:rPr>
          <w:vertAlign w:val="baseline"/>
        </w:rPr>
        <w:t>in</w:t>
      </w:r>
      <w:r>
        <w:rPr>
          <w:spacing w:val="-2"/>
          <w:vertAlign w:val="baseline"/>
        </w:rPr>
        <w:t> </w:t>
      </w:r>
      <w:r>
        <w:rPr>
          <w:vertAlign w:val="baseline"/>
        </w:rPr>
        <w:t>rural</w:t>
      </w:r>
      <w:r>
        <w:rPr>
          <w:spacing w:val="-1"/>
          <w:vertAlign w:val="baseline"/>
        </w:rPr>
        <w:t> </w:t>
      </w:r>
      <w:r>
        <w:rPr>
          <w:vertAlign w:val="baseline"/>
        </w:rPr>
        <w:t>or</w:t>
      </w:r>
      <w:r>
        <w:rPr>
          <w:spacing w:val="-2"/>
          <w:vertAlign w:val="baseline"/>
        </w:rPr>
        <w:t> </w:t>
      </w:r>
      <w:r>
        <w:rPr>
          <w:vertAlign w:val="baseline"/>
        </w:rPr>
        <w:t>remote</w:t>
      </w:r>
      <w:r>
        <w:rPr>
          <w:spacing w:val="-2"/>
          <w:vertAlign w:val="baseline"/>
        </w:rPr>
        <w:t> </w:t>
      </w:r>
      <w:r>
        <w:rPr>
          <w:vertAlign w:val="baseline"/>
        </w:rPr>
        <w:t>areas,</w:t>
      </w:r>
      <w:r>
        <w:rPr>
          <w:spacing w:val="-2"/>
          <w:vertAlign w:val="baseline"/>
        </w:rPr>
        <w:t> </w:t>
      </w:r>
      <w:r>
        <w:rPr>
          <w:vertAlign w:val="baseline"/>
        </w:rPr>
        <w:t>in</w:t>
      </w:r>
      <w:r>
        <w:rPr>
          <w:spacing w:val="-2"/>
          <w:vertAlign w:val="baseline"/>
        </w:rPr>
        <w:t> </w:t>
      </w:r>
      <w:r>
        <w:rPr>
          <w:vertAlign w:val="baseline"/>
        </w:rPr>
        <w:t>particular,</w:t>
      </w:r>
      <w:r>
        <w:rPr>
          <w:spacing w:val="-2"/>
          <w:vertAlign w:val="baseline"/>
        </w:rPr>
        <w:t> </w:t>
      </w:r>
      <w:r>
        <w:rPr>
          <w:vertAlign w:val="baseline"/>
        </w:rPr>
        <w:t>expressed</w:t>
      </w:r>
      <w:r>
        <w:rPr>
          <w:spacing w:val="-2"/>
          <w:vertAlign w:val="baseline"/>
        </w:rPr>
        <w:t> </w:t>
      </w:r>
      <w:r>
        <w:rPr>
          <w:vertAlign w:val="baseline"/>
        </w:rPr>
        <w:t>that</w:t>
      </w:r>
      <w:r>
        <w:rPr>
          <w:spacing w:val="-2"/>
          <w:vertAlign w:val="baseline"/>
        </w:rPr>
        <w:t> </w:t>
      </w:r>
      <w:r>
        <w:rPr>
          <w:vertAlign w:val="baseline"/>
        </w:rPr>
        <w:t>social</w:t>
      </w:r>
      <w:r>
        <w:rPr>
          <w:spacing w:val="-1"/>
          <w:vertAlign w:val="baseline"/>
        </w:rPr>
        <w:t> </w:t>
      </w:r>
      <w:r>
        <w:rPr>
          <w:vertAlign w:val="baseline"/>
        </w:rPr>
        <w:t>media</w:t>
      </w:r>
      <w:r>
        <w:rPr>
          <w:spacing w:val="-2"/>
          <w:vertAlign w:val="baseline"/>
        </w:rPr>
        <w:t> </w:t>
      </w:r>
      <w:r>
        <w:rPr>
          <w:vertAlign w:val="baseline"/>
        </w:rPr>
        <w:t>was</w:t>
      </w:r>
      <w:r>
        <w:rPr>
          <w:spacing w:val="-1"/>
          <w:vertAlign w:val="baseline"/>
        </w:rPr>
        <w:t> </w:t>
      </w:r>
      <w:r>
        <w:rPr>
          <w:vertAlign w:val="baseline"/>
        </w:rPr>
        <w:t>a vital</w:t>
      </w:r>
      <w:r>
        <w:rPr>
          <w:spacing w:val="-2"/>
          <w:vertAlign w:val="baseline"/>
        </w:rPr>
        <w:t> </w:t>
      </w:r>
      <w:r>
        <w:rPr>
          <w:vertAlign w:val="baseline"/>
        </w:rPr>
        <w:t>tool</w:t>
      </w:r>
      <w:r>
        <w:rPr>
          <w:spacing w:val="-2"/>
          <w:vertAlign w:val="baseline"/>
        </w:rPr>
        <w:t> </w:t>
      </w:r>
      <w:r>
        <w:rPr>
          <w:vertAlign w:val="baseline"/>
        </w:rPr>
        <w:t>to avoid feelings of isolation. </w:t>
      </w:r>
      <w:hyperlink w:history="true" w:anchor="_bookmark92">
        <w:r>
          <w:rPr>
            <w:vertAlign w:val="superscript"/>
          </w:rPr>
          <w:t>79</w:t>
        </w:r>
      </w:hyperlink>
      <w:r>
        <w:rPr>
          <w:vertAlign w:val="baseline"/>
        </w:rPr>
        <w:t> Additionally, meta-analysis has shown that positive social media use can lead to a reduction in mental illness symptoms and improvement in overall well-being.</w:t>
      </w:r>
      <w:hyperlink w:history="true" w:anchor="_bookmark92">
        <w:r>
          <w:rPr>
            <w:vertAlign w:val="superscript"/>
          </w:rPr>
          <w:t>80</w:t>
        </w:r>
      </w:hyperlink>
      <w:r>
        <w:rPr>
          <w:vertAlign w:val="baseline"/>
        </w:rPr>
        <w:t> On the other hand, social media allows bullies easy access to vulnerable youth.</w:t>
      </w:r>
    </w:p>
    <w:p>
      <w:pPr>
        <w:spacing w:after="0" w:line="276" w:lineRule="auto"/>
        <w:jc w:val="both"/>
        <w:sectPr>
          <w:pgSz w:w="11910" w:h="16840"/>
          <w:pgMar w:header="804" w:footer="1230" w:top="1080" w:bottom="1420" w:left="980" w:right="900"/>
        </w:sectPr>
      </w:pPr>
    </w:p>
    <w:p>
      <w:pPr>
        <w:pStyle w:val="BodyText"/>
        <w:spacing w:line="276" w:lineRule="auto" w:before="69"/>
        <w:ind w:left="463" w:right="281"/>
        <w:jc w:val="both"/>
      </w:pPr>
      <w:r>
        <w:rPr/>
        <w:t>There</w:t>
      </w:r>
      <w:r>
        <w:rPr>
          <w:spacing w:val="-10"/>
        </w:rPr>
        <w:t> </w:t>
      </w:r>
      <w:r>
        <w:rPr/>
        <w:t>are</w:t>
      </w:r>
      <w:r>
        <w:rPr>
          <w:spacing w:val="-10"/>
        </w:rPr>
        <w:t> </w:t>
      </w:r>
      <w:r>
        <w:rPr/>
        <w:t>a</w:t>
      </w:r>
      <w:r>
        <w:rPr>
          <w:spacing w:val="-10"/>
        </w:rPr>
        <w:t> </w:t>
      </w:r>
      <w:r>
        <w:rPr/>
        <w:t>number</w:t>
      </w:r>
      <w:r>
        <w:rPr>
          <w:spacing w:val="-10"/>
        </w:rPr>
        <w:t> </w:t>
      </w:r>
      <w:r>
        <w:rPr/>
        <w:t>of</w:t>
      </w:r>
      <w:r>
        <w:rPr>
          <w:spacing w:val="-10"/>
        </w:rPr>
        <w:t> </w:t>
      </w:r>
      <w:r>
        <w:rPr/>
        <w:t>interventions</w:t>
      </w:r>
      <w:r>
        <w:rPr>
          <w:spacing w:val="-10"/>
        </w:rPr>
        <w:t> </w:t>
      </w:r>
      <w:r>
        <w:rPr/>
        <w:t>that</w:t>
      </w:r>
      <w:r>
        <w:rPr>
          <w:spacing w:val="-11"/>
        </w:rPr>
        <w:t> </w:t>
      </w:r>
      <w:r>
        <w:rPr/>
        <w:t>can</w:t>
      </w:r>
      <w:r>
        <w:rPr>
          <w:spacing w:val="-10"/>
        </w:rPr>
        <w:t> </w:t>
      </w:r>
      <w:r>
        <w:rPr/>
        <w:t>be</w:t>
      </w:r>
      <w:r>
        <w:rPr>
          <w:spacing w:val="-9"/>
        </w:rPr>
        <w:t> </w:t>
      </w:r>
      <w:r>
        <w:rPr/>
        <w:t>taken</w:t>
      </w:r>
      <w:r>
        <w:rPr>
          <w:spacing w:val="-10"/>
        </w:rPr>
        <w:t> </w:t>
      </w:r>
      <w:r>
        <w:rPr/>
        <w:t>to</w:t>
      </w:r>
      <w:r>
        <w:rPr>
          <w:spacing w:val="-10"/>
        </w:rPr>
        <w:t> </w:t>
      </w:r>
      <w:r>
        <w:rPr/>
        <w:t>both</w:t>
      </w:r>
      <w:r>
        <w:rPr>
          <w:spacing w:val="-10"/>
        </w:rPr>
        <w:t> </w:t>
      </w:r>
      <w:r>
        <w:rPr/>
        <w:t>prevent</w:t>
      </w:r>
      <w:r>
        <w:rPr>
          <w:spacing w:val="-11"/>
        </w:rPr>
        <w:t> </w:t>
      </w:r>
      <w:r>
        <w:rPr/>
        <w:t>bullying</w:t>
      </w:r>
      <w:r>
        <w:rPr>
          <w:spacing w:val="-9"/>
        </w:rPr>
        <w:t> </w:t>
      </w:r>
      <w:r>
        <w:rPr/>
        <w:t>and</w:t>
      </w:r>
      <w:r>
        <w:rPr>
          <w:spacing w:val="-10"/>
        </w:rPr>
        <w:t> </w:t>
      </w:r>
      <w:r>
        <w:rPr/>
        <w:t>cyberbullying,</w:t>
      </w:r>
      <w:r>
        <w:rPr>
          <w:spacing w:val="-10"/>
        </w:rPr>
        <w:t> </w:t>
      </w:r>
      <w:r>
        <w:rPr/>
        <w:t>as</w:t>
      </w:r>
      <w:r>
        <w:rPr>
          <w:spacing w:val="-10"/>
        </w:rPr>
        <w:t> </w:t>
      </w:r>
      <w:r>
        <w:rPr/>
        <w:t>well as mitigate their negative long-term effects. Because bullying and cyberbullying involve so many actors (the bullies, the bullied, and the bystanders), these issues are often tackled through interventions at multiple levels of the SEM. Fostering an inclusive school climate is widely regarded as a crucial primary component</w:t>
      </w:r>
      <w:r>
        <w:rPr>
          <w:spacing w:val="-2"/>
        </w:rPr>
        <w:t> </w:t>
      </w:r>
      <w:r>
        <w:rPr/>
        <w:t>to</w:t>
      </w:r>
      <w:r>
        <w:rPr>
          <w:spacing w:val="-1"/>
        </w:rPr>
        <w:t> </w:t>
      </w:r>
      <w:r>
        <w:rPr/>
        <w:t>bullying</w:t>
      </w:r>
      <w:r>
        <w:rPr>
          <w:spacing w:val="-2"/>
        </w:rPr>
        <w:t> </w:t>
      </w:r>
      <w:r>
        <w:rPr/>
        <w:t>prevention.</w:t>
      </w:r>
      <w:r>
        <w:rPr>
          <w:spacing w:val="-2"/>
        </w:rPr>
        <w:t> </w:t>
      </w:r>
      <w:r>
        <w:rPr/>
        <w:t>This</w:t>
      </w:r>
      <w:r>
        <w:rPr>
          <w:spacing w:val="-1"/>
        </w:rPr>
        <w:t> </w:t>
      </w:r>
      <w:r>
        <w:rPr/>
        <w:t>can</w:t>
      </w:r>
      <w:r>
        <w:rPr>
          <w:spacing w:val="-2"/>
        </w:rPr>
        <w:t> </w:t>
      </w:r>
      <w:r>
        <w:rPr/>
        <w:t>be</w:t>
      </w:r>
      <w:r>
        <w:rPr>
          <w:spacing w:val="-2"/>
        </w:rPr>
        <w:t> </w:t>
      </w:r>
      <w:r>
        <w:rPr/>
        <w:t>done</w:t>
      </w:r>
      <w:r>
        <w:rPr>
          <w:spacing w:val="-2"/>
        </w:rPr>
        <w:t> </w:t>
      </w:r>
      <w:r>
        <w:rPr/>
        <w:t>through</w:t>
      </w:r>
      <w:r>
        <w:rPr>
          <w:spacing w:val="-2"/>
        </w:rPr>
        <w:t> </w:t>
      </w:r>
      <w:r>
        <w:rPr/>
        <w:t>a</w:t>
      </w:r>
      <w:r>
        <w:rPr>
          <w:spacing w:val="-1"/>
        </w:rPr>
        <w:t> </w:t>
      </w:r>
      <w:r>
        <w:rPr/>
        <w:t>variety</w:t>
      </w:r>
      <w:r>
        <w:rPr>
          <w:spacing w:val="-1"/>
        </w:rPr>
        <w:t> </w:t>
      </w:r>
      <w:r>
        <w:rPr/>
        <w:t>of</w:t>
      </w:r>
      <w:r>
        <w:rPr>
          <w:spacing w:val="-1"/>
        </w:rPr>
        <w:t> </w:t>
      </w:r>
      <w:r>
        <w:rPr/>
        <w:t>methods,</w:t>
      </w:r>
      <w:r>
        <w:rPr>
          <w:spacing w:val="-1"/>
        </w:rPr>
        <w:t> </w:t>
      </w:r>
      <w:r>
        <w:rPr/>
        <w:t>including</w:t>
      </w:r>
      <w:r>
        <w:rPr>
          <w:spacing w:val="-1"/>
        </w:rPr>
        <w:t> </w:t>
      </w:r>
      <w:r>
        <w:rPr/>
        <w:t>supporting GSAs, implementing anti-bullying policies and inclusive practices, and providing anti-bullying training to students,</w:t>
      </w:r>
      <w:r>
        <w:rPr>
          <w:spacing w:val="-2"/>
        </w:rPr>
        <w:t> </w:t>
      </w:r>
      <w:r>
        <w:rPr/>
        <w:t>faculty,</w:t>
      </w:r>
      <w:r>
        <w:rPr>
          <w:spacing w:val="-2"/>
        </w:rPr>
        <w:t> </w:t>
      </w:r>
      <w:r>
        <w:rPr/>
        <w:t>and</w:t>
      </w:r>
      <w:r>
        <w:rPr>
          <w:spacing w:val="-2"/>
        </w:rPr>
        <w:t> </w:t>
      </w:r>
      <w:r>
        <w:rPr/>
        <w:t>staff.</w:t>
      </w:r>
      <w:r>
        <w:rPr>
          <w:spacing w:val="-2"/>
        </w:rPr>
        <w:t> </w:t>
      </w:r>
      <w:r>
        <w:rPr/>
        <w:t>Although</w:t>
      </w:r>
      <w:r>
        <w:rPr>
          <w:spacing w:val="-2"/>
        </w:rPr>
        <w:t> </w:t>
      </w:r>
      <w:r>
        <w:rPr/>
        <w:t>teachers</w:t>
      </w:r>
      <w:r>
        <w:rPr>
          <w:spacing w:val="-1"/>
        </w:rPr>
        <w:t> </w:t>
      </w:r>
      <w:r>
        <w:rPr/>
        <w:t>are</w:t>
      </w:r>
      <w:r>
        <w:rPr>
          <w:spacing w:val="-2"/>
        </w:rPr>
        <w:t> </w:t>
      </w:r>
      <w:r>
        <w:rPr/>
        <w:t>in</w:t>
      </w:r>
      <w:r>
        <w:rPr>
          <w:spacing w:val="-1"/>
        </w:rPr>
        <w:t> </w:t>
      </w:r>
      <w:r>
        <w:rPr/>
        <w:t>a</w:t>
      </w:r>
      <w:r>
        <w:rPr>
          <w:spacing w:val="-2"/>
        </w:rPr>
        <w:t> </w:t>
      </w:r>
      <w:r>
        <w:rPr/>
        <w:t>prime</w:t>
      </w:r>
      <w:r>
        <w:rPr>
          <w:spacing w:val="-2"/>
        </w:rPr>
        <w:t> </w:t>
      </w:r>
      <w:r>
        <w:rPr/>
        <w:t>position</w:t>
      </w:r>
      <w:r>
        <w:rPr>
          <w:spacing w:val="-2"/>
        </w:rPr>
        <w:t> </w:t>
      </w:r>
      <w:r>
        <w:rPr/>
        <w:t>to</w:t>
      </w:r>
      <w:r>
        <w:rPr>
          <w:spacing w:val="-1"/>
        </w:rPr>
        <w:t> </w:t>
      </w:r>
      <w:r>
        <w:rPr/>
        <w:t>intervene</w:t>
      </w:r>
      <w:r>
        <w:rPr>
          <w:spacing w:val="-2"/>
        </w:rPr>
        <w:t> </w:t>
      </w:r>
      <w:r>
        <w:rPr/>
        <w:t>and</w:t>
      </w:r>
      <w:r>
        <w:rPr>
          <w:spacing w:val="-2"/>
        </w:rPr>
        <w:t> </w:t>
      </w:r>
      <w:r>
        <w:rPr/>
        <w:t>prevent</w:t>
      </w:r>
      <w:r>
        <w:rPr>
          <w:spacing w:val="-2"/>
        </w:rPr>
        <w:t> </w:t>
      </w:r>
      <w:r>
        <w:rPr/>
        <w:t>bullying, very</w:t>
      </w:r>
      <w:r>
        <w:rPr>
          <w:spacing w:val="-9"/>
        </w:rPr>
        <w:t> </w:t>
      </w:r>
      <w:r>
        <w:rPr/>
        <w:t>few</w:t>
      </w:r>
      <w:r>
        <w:rPr>
          <w:spacing w:val="-8"/>
        </w:rPr>
        <w:t> </w:t>
      </w:r>
      <w:r>
        <w:rPr/>
        <w:t>have</w:t>
      </w:r>
      <w:r>
        <w:rPr>
          <w:spacing w:val="-9"/>
        </w:rPr>
        <w:t> </w:t>
      </w:r>
      <w:r>
        <w:rPr/>
        <w:t>received</w:t>
      </w:r>
      <w:r>
        <w:rPr>
          <w:spacing w:val="-8"/>
        </w:rPr>
        <w:t> </w:t>
      </w:r>
      <w:r>
        <w:rPr/>
        <w:t>LGBTQ-specific</w:t>
      </w:r>
      <w:r>
        <w:rPr>
          <w:spacing w:val="-8"/>
        </w:rPr>
        <w:t> </w:t>
      </w:r>
      <w:r>
        <w:rPr/>
        <w:t>training</w:t>
      </w:r>
      <w:r>
        <w:rPr>
          <w:spacing w:val="-8"/>
        </w:rPr>
        <w:t> </w:t>
      </w:r>
      <w:r>
        <w:rPr/>
        <w:t>or</w:t>
      </w:r>
      <w:r>
        <w:rPr>
          <w:spacing w:val="-9"/>
        </w:rPr>
        <w:t> </w:t>
      </w:r>
      <w:r>
        <w:rPr/>
        <w:t>support.</w:t>
      </w:r>
      <w:r>
        <w:rPr>
          <w:spacing w:val="-8"/>
        </w:rPr>
        <w:t> </w:t>
      </w:r>
      <w:hyperlink w:history="true" w:anchor="_bookmark92">
        <w:r>
          <w:rPr>
            <w:vertAlign w:val="superscript"/>
          </w:rPr>
          <w:t>81</w:t>
        </w:r>
      </w:hyperlink>
      <w:r>
        <w:rPr>
          <w:spacing w:val="-8"/>
          <w:vertAlign w:val="baseline"/>
        </w:rPr>
        <w:t> </w:t>
      </w:r>
      <w:r>
        <w:rPr>
          <w:vertAlign w:val="baseline"/>
        </w:rPr>
        <w:t>Nationally,</w:t>
      </w:r>
      <w:r>
        <w:rPr>
          <w:spacing w:val="-9"/>
          <w:vertAlign w:val="baseline"/>
        </w:rPr>
        <w:t> </w:t>
      </w:r>
      <w:r>
        <w:rPr>
          <w:vertAlign w:val="baseline"/>
        </w:rPr>
        <w:t>69.6%</w:t>
      </w:r>
      <w:r>
        <w:rPr>
          <w:spacing w:val="-8"/>
          <w:vertAlign w:val="baseline"/>
        </w:rPr>
        <w:t> </w:t>
      </w:r>
      <w:r>
        <w:rPr>
          <w:vertAlign w:val="baseline"/>
        </w:rPr>
        <w:t>of</w:t>
      </w:r>
      <w:r>
        <w:rPr>
          <w:spacing w:val="-9"/>
          <w:vertAlign w:val="baseline"/>
        </w:rPr>
        <w:t> </w:t>
      </w:r>
      <w:r>
        <w:rPr>
          <w:vertAlign w:val="baseline"/>
        </w:rPr>
        <w:t>students</w:t>
      </w:r>
      <w:r>
        <w:rPr>
          <w:spacing w:val="-7"/>
          <w:vertAlign w:val="baseline"/>
        </w:rPr>
        <w:t> </w:t>
      </w:r>
      <w:r>
        <w:rPr>
          <w:vertAlign w:val="baseline"/>
        </w:rPr>
        <w:t>reported</w:t>
      </w:r>
      <w:r>
        <w:rPr>
          <w:spacing w:val="-8"/>
          <w:vertAlign w:val="baseline"/>
        </w:rPr>
        <w:t> </w:t>
      </w:r>
      <w:r>
        <w:rPr>
          <w:vertAlign w:val="baseline"/>
        </w:rPr>
        <w:t>that they did not report an incident of harassment or bullying due to a lack of confidence in school staff responding appropriately to the report</w:t>
      </w:r>
      <w:hyperlink w:history="true" w:anchor="_bookmark93">
        <w:r>
          <w:rPr>
            <w:vertAlign w:val="baseline"/>
          </w:rPr>
          <w:t>.</w:t>
        </w:r>
        <w:r>
          <w:rPr>
            <w:vertAlign w:val="superscript"/>
          </w:rPr>
          <w:t>82</w:t>
        </w:r>
      </w:hyperlink>
      <w:r>
        <w:rPr>
          <w:vertAlign w:val="baseline"/>
        </w:rPr>
        <w:t> Nationally, only a third of teachers have received training in how</w:t>
      </w:r>
      <w:r>
        <w:rPr>
          <w:spacing w:val="-13"/>
          <w:vertAlign w:val="baseline"/>
        </w:rPr>
        <w:t> </w:t>
      </w:r>
      <w:r>
        <w:rPr>
          <w:vertAlign w:val="baseline"/>
        </w:rPr>
        <w:t>to</w:t>
      </w:r>
      <w:r>
        <w:rPr>
          <w:spacing w:val="-12"/>
          <w:vertAlign w:val="baseline"/>
        </w:rPr>
        <w:t> </w:t>
      </w:r>
      <w:r>
        <w:rPr>
          <w:vertAlign w:val="baseline"/>
        </w:rPr>
        <w:t>support</w:t>
      </w:r>
      <w:r>
        <w:rPr>
          <w:spacing w:val="-13"/>
          <w:vertAlign w:val="baseline"/>
        </w:rPr>
        <w:t> </w:t>
      </w:r>
      <w:r>
        <w:rPr>
          <w:vertAlign w:val="baseline"/>
        </w:rPr>
        <w:t>LGBTQ</w:t>
      </w:r>
      <w:r>
        <w:rPr>
          <w:spacing w:val="-12"/>
          <w:vertAlign w:val="baseline"/>
        </w:rPr>
        <w:t> </w:t>
      </w:r>
      <w:r>
        <w:rPr>
          <w:vertAlign w:val="baseline"/>
        </w:rPr>
        <w:t>students</w:t>
      </w:r>
      <w:r>
        <w:rPr>
          <w:spacing w:val="-13"/>
          <w:vertAlign w:val="baseline"/>
        </w:rPr>
        <w:t> </w:t>
      </w:r>
      <w:r>
        <w:rPr>
          <w:vertAlign w:val="baseline"/>
        </w:rPr>
        <w:t>and</w:t>
      </w:r>
      <w:r>
        <w:rPr>
          <w:spacing w:val="-12"/>
          <w:vertAlign w:val="baseline"/>
        </w:rPr>
        <w:t> </w:t>
      </w:r>
      <w:r>
        <w:rPr>
          <w:vertAlign w:val="baseline"/>
        </w:rPr>
        <w:t>only</w:t>
      </w:r>
      <w:r>
        <w:rPr>
          <w:spacing w:val="-13"/>
          <w:vertAlign w:val="baseline"/>
        </w:rPr>
        <w:t> </w:t>
      </w:r>
      <w:r>
        <w:rPr>
          <w:vertAlign w:val="baseline"/>
        </w:rPr>
        <w:t>a</w:t>
      </w:r>
      <w:r>
        <w:rPr>
          <w:spacing w:val="-12"/>
          <w:vertAlign w:val="baseline"/>
        </w:rPr>
        <w:t> </w:t>
      </w:r>
      <w:r>
        <w:rPr>
          <w:vertAlign w:val="baseline"/>
        </w:rPr>
        <w:t>quarter</w:t>
      </w:r>
      <w:r>
        <w:rPr>
          <w:spacing w:val="-12"/>
          <w:vertAlign w:val="baseline"/>
        </w:rPr>
        <w:t> </w:t>
      </w:r>
      <w:r>
        <w:rPr>
          <w:vertAlign w:val="baseline"/>
        </w:rPr>
        <w:t>have</w:t>
      </w:r>
      <w:r>
        <w:rPr>
          <w:spacing w:val="-13"/>
          <w:vertAlign w:val="baseline"/>
        </w:rPr>
        <w:t> </w:t>
      </w:r>
      <w:r>
        <w:rPr>
          <w:vertAlign w:val="baseline"/>
        </w:rPr>
        <w:t>received</w:t>
      </w:r>
      <w:r>
        <w:rPr>
          <w:spacing w:val="-12"/>
          <w:vertAlign w:val="baseline"/>
        </w:rPr>
        <w:t> </w:t>
      </w:r>
      <w:r>
        <w:rPr>
          <w:vertAlign w:val="baseline"/>
        </w:rPr>
        <w:t>a</w:t>
      </w:r>
      <w:r>
        <w:rPr>
          <w:spacing w:val="-13"/>
          <w:vertAlign w:val="baseline"/>
        </w:rPr>
        <w:t> </w:t>
      </w:r>
      <w:r>
        <w:rPr>
          <w:vertAlign w:val="baseline"/>
        </w:rPr>
        <w:t>similar</w:t>
      </w:r>
      <w:r>
        <w:rPr>
          <w:spacing w:val="-12"/>
          <w:vertAlign w:val="baseline"/>
        </w:rPr>
        <w:t> </w:t>
      </w:r>
      <w:r>
        <w:rPr>
          <w:vertAlign w:val="baseline"/>
        </w:rPr>
        <w:t>training</w:t>
      </w:r>
      <w:r>
        <w:rPr>
          <w:spacing w:val="-13"/>
          <w:vertAlign w:val="baseline"/>
        </w:rPr>
        <w:t> </w:t>
      </w:r>
      <w:r>
        <w:rPr>
          <w:vertAlign w:val="baseline"/>
        </w:rPr>
        <w:t>regarding</w:t>
      </w:r>
      <w:r>
        <w:rPr>
          <w:spacing w:val="-12"/>
          <w:vertAlign w:val="baseline"/>
        </w:rPr>
        <w:t> </w:t>
      </w:r>
      <w:r>
        <w:rPr>
          <w:vertAlign w:val="baseline"/>
        </w:rPr>
        <w:t>transgender students, </w:t>
      </w:r>
      <w:r>
        <w:rPr>
          <w:color w:val="000000"/>
          <w:shd w:fill="FAFAFA" w:color="auto" w:val="clear"/>
          <w:vertAlign w:val="baseline"/>
        </w:rPr>
        <w:t>leaving the majority of teachers unaware</w:t>
      </w:r>
      <w:r>
        <w:rPr>
          <w:color w:val="000000"/>
          <w:vertAlign w:val="baseline"/>
        </w:rPr>
        <w:t> </w:t>
      </w:r>
      <w:r>
        <w:rPr>
          <w:color w:val="000000"/>
          <w:shd w:fill="FAFAFA" w:color="auto" w:val="clear"/>
          <w:vertAlign w:val="baseline"/>
        </w:rPr>
        <w:t>of how to appropriately support students who may</w:t>
      </w:r>
      <w:r>
        <w:rPr>
          <w:color w:val="000000"/>
          <w:vertAlign w:val="baseline"/>
        </w:rPr>
        <w:t> </w:t>
      </w:r>
      <w:r>
        <w:rPr>
          <w:color w:val="000000"/>
          <w:shd w:fill="FAFAFA" w:color="auto" w:val="clear"/>
          <w:vertAlign w:val="baseline"/>
        </w:rPr>
        <w:t>come forward to report bullying.</w:t>
      </w:r>
      <w:hyperlink w:history="true" w:anchor="_bookmark87">
        <w:r>
          <w:rPr>
            <w:color w:val="000000"/>
            <w:vertAlign w:val="superscript"/>
          </w:rPr>
          <w:t>83</w:t>
        </w:r>
      </w:hyperlink>
    </w:p>
    <w:p>
      <w:pPr>
        <w:pStyle w:val="BodyText"/>
        <w:rPr>
          <w:sz w:val="20"/>
        </w:rPr>
      </w:pPr>
    </w:p>
    <w:p>
      <w:pPr>
        <w:pStyle w:val="BodyText"/>
        <w:rPr>
          <w:sz w:val="20"/>
        </w:rPr>
      </w:pPr>
    </w:p>
    <w:p>
      <w:pPr>
        <w:pStyle w:val="BodyText"/>
        <w:spacing w:before="153"/>
        <w:rPr>
          <w:sz w:val="20"/>
        </w:rPr>
      </w:pPr>
      <w:r>
        <w:rPr/>
        <w:drawing>
          <wp:anchor distT="0" distB="0" distL="0" distR="0" allowOverlap="1" layoutInCell="1" locked="0" behindDoc="1" simplePos="0" relativeHeight="487612416">
            <wp:simplePos x="0" y="0"/>
            <wp:positionH relativeFrom="page">
              <wp:posOffset>925207</wp:posOffset>
            </wp:positionH>
            <wp:positionV relativeFrom="paragraph">
              <wp:posOffset>267885</wp:posOffset>
            </wp:positionV>
            <wp:extent cx="5743801" cy="3804570"/>
            <wp:effectExtent l="0" t="0" r="0" b="0"/>
            <wp:wrapTopAndBottom/>
            <wp:docPr id="183" name="Image 183" descr="A diagram of bullying and cyberbullying in massachusetts  Description automatically generated "/>
            <wp:cNvGraphicFramePr>
              <a:graphicFrameLocks/>
            </wp:cNvGraphicFramePr>
            <a:graphic>
              <a:graphicData uri="http://schemas.openxmlformats.org/drawingml/2006/picture">
                <pic:pic>
                  <pic:nvPicPr>
                    <pic:cNvPr id="183" name="Image 183" descr="A diagram of bullying and cyberbullying in massachusetts  Description automatically generated "/>
                    <pic:cNvPicPr/>
                  </pic:nvPicPr>
                  <pic:blipFill>
                    <a:blip r:embed="rId134" cstate="print"/>
                    <a:stretch>
                      <a:fillRect/>
                    </a:stretch>
                  </pic:blipFill>
                  <pic:spPr>
                    <a:xfrm>
                      <a:off x="0" y="0"/>
                      <a:ext cx="5743801" cy="3804570"/>
                    </a:xfrm>
                    <a:prstGeom prst="rect">
                      <a:avLst/>
                    </a:prstGeom>
                  </pic:spPr>
                </pic:pic>
              </a:graphicData>
            </a:graphic>
          </wp:anchor>
        </w:drawing>
      </w:r>
    </w:p>
    <w:p>
      <w:pPr>
        <w:pStyle w:val="BodyText"/>
      </w:pPr>
    </w:p>
    <w:p>
      <w:pPr>
        <w:pStyle w:val="BodyText"/>
      </w:pPr>
    </w:p>
    <w:p>
      <w:pPr>
        <w:pStyle w:val="BodyText"/>
        <w:spacing w:before="2"/>
      </w:pPr>
    </w:p>
    <w:p>
      <w:pPr>
        <w:pStyle w:val="BodyText"/>
        <w:spacing w:line="276" w:lineRule="auto"/>
        <w:ind w:left="458" w:right="531"/>
        <w:jc w:val="both"/>
      </w:pPr>
      <w:r>
        <w:rPr>
          <w:color w:val="000000"/>
          <w:shd w:fill="FAFAFA" w:color="auto" w:val="clear"/>
        </w:rPr>
        <w:t>This</w:t>
      </w:r>
      <w:r>
        <w:rPr>
          <w:color w:val="000000"/>
          <w:spacing w:val="-3"/>
          <w:shd w:fill="FAFAFA" w:color="auto" w:val="clear"/>
        </w:rPr>
        <w:t> </w:t>
      </w:r>
      <w:r>
        <w:rPr>
          <w:color w:val="000000"/>
          <w:shd w:fill="FAFAFA" w:color="auto" w:val="clear"/>
        </w:rPr>
        <w:t>lack</w:t>
      </w:r>
      <w:r>
        <w:rPr>
          <w:color w:val="000000"/>
          <w:spacing w:val="-3"/>
          <w:shd w:fill="FAFAFA" w:color="auto" w:val="clear"/>
        </w:rPr>
        <w:t> </w:t>
      </w:r>
      <w:r>
        <w:rPr>
          <w:color w:val="000000"/>
          <w:shd w:fill="FAFAFA" w:color="auto" w:val="clear"/>
        </w:rPr>
        <w:t>of</w:t>
      </w:r>
      <w:r>
        <w:rPr>
          <w:color w:val="000000"/>
          <w:spacing w:val="-2"/>
          <w:shd w:fill="FAFAFA" w:color="auto" w:val="clear"/>
        </w:rPr>
        <w:t> </w:t>
      </w:r>
      <w:r>
        <w:rPr>
          <w:color w:val="000000"/>
          <w:shd w:fill="FAFAFA" w:color="auto" w:val="clear"/>
        </w:rPr>
        <w:t>knowledge</w:t>
      </w:r>
      <w:r>
        <w:rPr>
          <w:color w:val="000000"/>
          <w:spacing w:val="-2"/>
          <w:shd w:fill="FAFAFA" w:color="auto" w:val="clear"/>
        </w:rPr>
        <w:t> </w:t>
      </w:r>
      <w:r>
        <w:rPr>
          <w:color w:val="000000"/>
          <w:shd w:fill="FAFAFA" w:color="auto" w:val="clear"/>
        </w:rPr>
        <w:t>is</w:t>
      </w:r>
      <w:r>
        <w:rPr>
          <w:color w:val="000000"/>
          <w:spacing w:val="-1"/>
          <w:shd w:fill="FAFAFA" w:color="auto" w:val="clear"/>
        </w:rPr>
        <w:t> </w:t>
      </w:r>
      <w:r>
        <w:rPr>
          <w:color w:val="000000"/>
          <w:shd w:fill="FAFAFA" w:color="auto" w:val="clear"/>
        </w:rPr>
        <w:t>multiplied</w:t>
      </w:r>
      <w:r>
        <w:rPr>
          <w:color w:val="000000"/>
          <w:spacing w:val="-2"/>
          <w:shd w:fill="FAFAFA" w:color="auto" w:val="clear"/>
        </w:rPr>
        <w:t> </w:t>
      </w:r>
      <w:r>
        <w:rPr>
          <w:color w:val="000000"/>
          <w:shd w:fill="FAFAFA" w:color="auto" w:val="clear"/>
        </w:rPr>
        <w:t>for</w:t>
      </w:r>
      <w:r>
        <w:rPr>
          <w:color w:val="000000"/>
          <w:spacing w:val="-3"/>
          <w:shd w:fill="FAFAFA" w:color="auto" w:val="clear"/>
        </w:rPr>
        <w:t> </w:t>
      </w:r>
      <w:r>
        <w:rPr>
          <w:color w:val="000000"/>
          <w:shd w:fill="FAFAFA" w:color="auto" w:val="clear"/>
        </w:rPr>
        <w:t>LGBTQ</w:t>
      </w:r>
      <w:r>
        <w:rPr>
          <w:color w:val="000000"/>
          <w:spacing w:val="-3"/>
          <w:shd w:fill="FAFAFA" w:color="auto" w:val="clear"/>
        </w:rPr>
        <w:t> </w:t>
      </w:r>
      <w:r>
        <w:rPr>
          <w:color w:val="000000"/>
          <w:shd w:fill="FAFAFA" w:color="auto" w:val="clear"/>
        </w:rPr>
        <w:t>students</w:t>
      </w:r>
      <w:r>
        <w:rPr>
          <w:color w:val="000000"/>
          <w:spacing w:val="-3"/>
          <w:shd w:fill="FAFAFA" w:color="auto" w:val="clear"/>
        </w:rPr>
        <w:t> </w:t>
      </w:r>
      <w:r>
        <w:rPr>
          <w:color w:val="000000"/>
          <w:shd w:fill="FAFAFA" w:color="auto" w:val="clear"/>
        </w:rPr>
        <w:t>of</w:t>
      </w:r>
      <w:r>
        <w:rPr>
          <w:color w:val="000000"/>
          <w:spacing w:val="-2"/>
          <w:shd w:fill="FAFAFA" w:color="auto" w:val="clear"/>
        </w:rPr>
        <w:t> </w:t>
      </w:r>
      <w:r>
        <w:rPr>
          <w:color w:val="000000"/>
          <w:shd w:fill="FAFAFA" w:color="auto" w:val="clear"/>
        </w:rPr>
        <w:t>color,</w:t>
      </w:r>
      <w:r>
        <w:rPr>
          <w:color w:val="000000"/>
          <w:spacing w:val="-3"/>
          <w:shd w:fill="FAFAFA" w:color="auto" w:val="clear"/>
        </w:rPr>
        <w:t> </w:t>
      </w:r>
      <w:r>
        <w:rPr>
          <w:color w:val="000000"/>
          <w:shd w:fill="FAFAFA" w:color="auto" w:val="clear"/>
        </w:rPr>
        <w:t>who</w:t>
      </w:r>
      <w:r>
        <w:rPr>
          <w:color w:val="000000"/>
          <w:spacing w:val="-2"/>
          <w:shd w:fill="FAFAFA" w:color="auto" w:val="clear"/>
        </w:rPr>
        <w:t> </w:t>
      </w:r>
      <w:r>
        <w:rPr>
          <w:color w:val="000000"/>
          <w:shd w:fill="FAFAFA" w:color="auto" w:val="clear"/>
        </w:rPr>
        <w:t>feel</w:t>
      </w:r>
      <w:r>
        <w:rPr>
          <w:color w:val="000000"/>
          <w:spacing w:val="-2"/>
          <w:shd w:fill="FAFAFA" w:color="auto" w:val="clear"/>
        </w:rPr>
        <w:t> </w:t>
      </w:r>
      <w:r>
        <w:rPr>
          <w:color w:val="000000"/>
          <w:shd w:fill="FAFAFA" w:color="auto" w:val="clear"/>
        </w:rPr>
        <w:t>even</w:t>
      </w:r>
      <w:r>
        <w:rPr>
          <w:color w:val="000000"/>
          <w:spacing w:val="-3"/>
          <w:shd w:fill="FAFAFA" w:color="auto" w:val="clear"/>
        </w:rPr>
        <w:t> </w:t>
      </w:r>
      <w:r>
        <w:rPr>
          <w:color w:val="000000"/>
          <w:shd w:fill="FAFAFA" w:color="auto" w:val="clear"/>
        </w:rPr>
        <w:t>less</w:t>
      </w:r>
      <w:r>
        <w:rPr>
          <w:color w:val="000000"/>
          <w:spacing w:val="-3"/>
          <w:shd w:fill="FAFAFA" w:color="auto" w:val="clear"/>
        </w:rPr>
        <w:t> </w:t>
      </w:r>
      <w:r>
        <w:rPr>
          <w:color w:val="000000"/>
          <w:shd w:fill="FAFAFA" w:color="auto" w:val="clear"/>
        </w:rPr>
        <w:t>supported</w:t>
      </w:r>
      <w:r>
        <w:rPr>
          <w:color w:val="000000"/>
          <w:spacing w:val="-2"/>
          <w:shd w:fill="FAFAFA" w:color="auto" w:val="clear"/>
        </w:rPr>
        <w:t> </w:t>
      </w:r>
      <w:r>
        <w:rPr>
          <w:color w:val="000000"/>
          <w:shd w:fill="FAFAFA" w:color="auto" w:val="clear"/>
        </w:rPr>
        <w:t>due</w:t>
      </w:r>
      <w:r>
        <w:rPr>
          <w:color w:val="000000"/>
          <w:spacing w:val="-2"/>
          <w:shd w:fill="FAFAFA" w:color="auto" w:val="clear"/>
        </w:rPr>
        <w:t> </w:t>
      </w:r>
      <w:r>
        <w:rPr>
          <w:color w:val="000000"/>
          <w:shd w:fill="FAFAFA" w:color="auto" w:val="clear"/>
        </w:rPr>
        <w:t>to</w:t>
      </w:r>
      <w:r>
        <w:rPr>
          <w:color w:val="000000"/>
        </w:rPr>
        <w:t> </w:t>
      </w:r>
      <w:r>
        <w:rPr>
          <w:color w:val="000000"/>
          <w:shd w:fill="FAFAFA" w:color="auto" w:val="clear"/>
        </w:rPr>
        <w:t>having to explain both their sexual orientation and/or gender identity, as well as their racial and/or</w:t>
      </w:r>
      <w:r>
        <w:rPr>
          <w:color w:val="000000"/>
        </w:rPr>
        <w:t> </w:t>
      </w:r>
      <w:r>
        <w:rPr>
          <w:color w:val="000000"/>
          <w:shd w:fill="FAFAFA" w:color="auto" w:val="clear"/>
        </w:rPr>
        <w:t>ethnic identity to faculty and staff members before receiving assistance. </w:t>
      </w:r>
      <w:hyperlink w:history="true" w:anchor="_bookmark87">
        <w:r>
          <w:rPr>
            <w:color w:val="000000"/>
            <w:vertAlign w:val="superscript"/>
          </w:rPr>
          <w:t>84</w:t>
        </w:r>
      </w:hyperlink>
      <w:r>
        <w:rPr>
          <w:color w:val="000000"/>
          <w:vertAlign w:val="baseline"/>
        </w:rPr>
        <w:t> The Massachusetts Department</w:t>
      </w:r>
      <w:r>
        <w:rPr>
          <w:color w:val="000000"/>
          <w:spacing w:val="-3"/>
          <w:vertAlign w:val="baseline"/>
        </w:rPr>
        <w:t> </w:t>
      </w:r>
      <w:r>
        <w:rPr>
          <w:color w:val="000000"/>
          <w:vertAlign w:val="baseline"/>
        </w:rPr>
        <w:t>of</w:t>
      </w:r>
      <w:r>
        <w:rPr>
          <w:color w:val="000000"/>
          <w:spacing w:val="-4"/>
          <w:vertAlign w:val="baseline"/>
        </w:rPr>
        <w:t> </w:t>
      </w:r>
      <w:r>
        <w:rPr>
          <w:color w:val="000000"/>
          <w:vertAlign w:val="baseline"/>
        </w:rPr>
        <w:t>Elementary</w:t>
      </w:r>
      <w:r>
        <w:rPr>
          <w:color w:val="000000"/>
          <w:spacing w:val="-4"/>
          <w:vertAlign w:val="baseline"/>
        </w:rPr>
        <w:t> </w:t>
      </w:r>
      <w:r>
        <w:rPr>
          <w:color w:val="000000"/>
          <w:vertAlign w:val="baseline"/>
        </w:rPr>
        <w:t>and</w:t>
      </w:r>
      <w:r>
        <w:rPr>
          <w:color w:val="000000"/>
          <w:spacing w:val="-4"/>
          <w:vertAlign w:val="baseline"/>
        </w:rPr>
        <w:t> </w:t>
      </w:r>
      <w:r>
        <w:rPr>
          <w:color w:val="000000"/>
          <w:vertAlign w:val="baseline"/>
        </w:rPr>
        <w:t>Secondary</w:t>
      </w:r>
      <w:r>
        <w:rPr>
          <w:color w:val="000000"/>
          <w:spacing w:val="-4"/>
          <w:vertAlign w:val="baseline"/>
        </w:rPr>
        <w:t> </w:t>
      </w:r>
      <w:r>
        <w:rPr>
          <w:color w:val="000000"/>
          <w:vertAlign w:val="baseline"/>
        </w:rPr>
        <w:t>Education</w:t>
      </w:r>
      <w:r>
        <w:rPr>
          <w:color w:val="000000"/>
          <w:spacing w:val="-3"/>
          <w:vertAlign w:val="baseline"/>
        </w:rPr>
        <w:t> </w:t>
      </w:r>
      <w:r>
        <w:rPr>
          <w:color w:val="000000"/>
          <w:vertAlign w:val="baseline"/>
        </w:rPr>
        <w:t>(DESE)</w:t>
      </w:r>
      <w:r>
        <w:rPr>
          <w:color w:val="000000"/>
          <w:spacing w:val="-3"/>
          <w:vertAlign w:val="baseline"/>
        </w:rPr>
        <w:t> </w:t>
      </w:r>
      <w:r>
        <w:rPr>
          <w:color w:val="000000"/>
          <w:vertAlign w:val="baseline"/>
        </w:rPr>
        <w:t>and</w:t>
      </w:r>
      <w:r>
        <w:rPr>
          <w:color w:val="000000"/>
          <w:spacing w:val="-4"/>
          <w:vertAlign w:val="baseline"/>
        </w:rPr>
        <w:t> </w:t>
      </w:r>
      <w:r>
        <w:rPr>
          <w:color w:val="000000"/>
          <w:vertAlign w:val="baseline"/>
        </w:rPr>
        <w:t>the</w:t>
      </w:r>
      <w:r>
        <w:rPr>
          <w:color w:val="000000"/>
          <w:spacing w:val="-4"/>
          <w:vertAlign w:val="baseline"/>
        </w:rPr>
        <w:t> </w:t>
      </w:r>
      <w:r>
        <w:rPr>
          <w:color w:val="000000"/>
          <w:vertAlign w:val="baseline"/>
        </w:rPr>
        <w:t>Commission</w:t>
      </w:r>
      <w:r>
        <w:rPr>
          <w:color w:val="000000"/>
          <w:spacing w:val="-4"/>
          <w:vertAlign w:val="baseline"/>
        </w:rPr>
        <w:t> </w:t>
      </w:r>
      <w:r>
        <w:rPr>
          <w:color w:val="000000"/>
          <w:vertAlign w:val="baseline"/>
        </w:rPr>
        <w:t>jointly</w:t>
      </w:r>
      <w:r>
        <w:rPr>
          <w:color w:val="000000"/>
          <w:spacing w:val="-4"/>
          <w:vertAlign w:val="baseline"/>
        </w:rPr>
        <w:t> </w:t>
      </w:r>
      <w:r>
        <w:rPr>
          <w:color w:val="000000"/>
          <w:vertAlign w:val="baseline"/>
        </w:rPr>
        <w:t>host</w:t>
      </w:r>
      <w:r>
        <w:rPr>
          <w:color w:val="000000"/>
          <w:spacing w:val="-4"/>
          <w:vertAlign w:val="baseline"/>
        </w:rPr>
        <w:t> </w:t>
      </w:r>
      <w:r>
        <w:rPr>
          <w:color w:val="000000"/>
          <w:vertAlign w:val="baseline"/>
        </w:rPr>
        <w:t>the</w:t>
      </w:r>
      <w:r>
        <w:rPr>
          <w:color w:val="000000"/>
          <w:spacing w:val="-4"/>
          <w:vertAlign w:val="baseline"/>
        </w:rPr>
        <w:t> </w:t>
      </w:r>
      <w:r>
        <w:rPr>
          <w:color w:val="000000"/>
          <w:vertAlign w:val="baseline"/>
        </w:rPr>
        <w:t>Safe Schools Program for LGBTQ Students, which supports schools through curriculum development, professional trainings, and management of the Massachusetts Gender and Sexuality Alliance (GSA) Student Leadership Council.</w:t>
      </w:r>
      <w:r>
        <w:rPr>
          <w:color w:val="000000"/>
          <w:vertAlign w:val="superscript"/>
        </w:rPr>
        <w:t>85</w:t>
      </w:r>
      <w:r>
        <w:rPr>
          <w:color w:val="000000"/>
          <w:vertAlign w:val="baseline"/>
        </w:rPr>
        <w:t> Although the training content and length varies from school to school, students</w:t>
      </w:r>
      <w:r>
        <w:rPr>
          <w:color w:val="000000"/>
          <w:spacing w:val="-6"/>
          <w:vertAlign w:val="baseline"/>
        </w:rPr>
        <w:t> </w:t>
      </w:r>
      <w:r>
        <w:rPr>
          <w:color w:val="000000"/>
          <w:vertAlign w:val="baseline"/>
        </w:rPr>
        <w:t>whose</w:t>
      </w:r>
      <w:r>
        <w:rPr>
          <w:color w:val="000000"/>
          <w:spacing w:val="-7"/>
          <w:vertAlign w:val="baseline"/>
        </w:rPr>
        <w:t> </w:t>
      </w:r>
      <w:r>
        <w:rPr>
          <w:color w:val="000000"/>
          <w:vertAlign w:val="baseline"/>
        </w:rPr>
        <w:t>teachers</w:t>
      </w:r>
      <w:r>
        <w:rPr>
          <w:color w:val="000000"/>
          <w:spacing w:val="-6"/>
          <w:vertAlign w:val="baseline"/>
        </w:rPr>
        <w:t> </w:t>
      </w:r>
      <w:r>
        <w:rPr>
          <w:color w:val="000000"/>
          <w:vertAlign w:val="baseline"/>
        </w:rPr>
        <w:t>received</w:t>
      </w:r>
      <w:r>
        <w:rPr>
          <w:color w:val="000000"/>
          <w:spacing w:val="-5"/>
          <w:vertAlign w:val="baseline"/>
        </w:rPr>
        <w:t> </w:t>
      </w:r>
      <w:r>
        <w:rPr>
          <w:color w:val="000000"/>
          <w:vertAlign w:val="baseline"/>
        </w:rPr>
        <w:t>Safe</w:t>
      </w:r>
      <w:r>
        <w:rPr>
          <w:color w:val="000000"/>
          <w:spacing w:val="-4"/>
          <w:vertAlign w:val="baseline"/>
        </w:rPr>
        <w:t> </w:t>
      </w:r>
      <w:r>
        <w:rPr>
          <w:color w:val="000000"/>
          <w:vertAlign w:val="baseline"/>
        </w:rPr>
        <w:t>Schools</w:t>
      </w:r>
      <w:r>
        <w:rPr>
          <w:color w:val="000000"/>
          <w:spacing w:val="-6"/>
          <w:vertAlign w:val="baseline"/>
        </w:rPr>
        <w:t> </w:t>
      </w:r>
      <w:r>
        <w:rPr>
          <w:color w:val="000000"/>
          <w:vertAlign w:val="baseline"/>
        </w:rPr>
        <w:t>Program</w:t>
      </w:r>
      <w:r>
        <w:rPr>
          <w:color w:val="000000"/>
          <w:spacing w:val="-7"/>
          <w:vertAlign w:val="baseline"/>
        </w:rPr>
        <w:t> </w:t>
      </w:r>
      <w:r>
        <w:rPr>
          <w:color w:val="000000"/>
          <w:vertAlign w:val="baseline"/>
        </w:rPr>
        <w:t>training</w:t>
      </w:r>
      <w:r>
        <w:rPr>
          <w:color w:val="000000"/>
          <w:spacing w:val="-5"/>
          <w:vertAlign w:val="baseline"/>
        </w:rPr>
        <w:t> </w:t>
      </w:r>
      <w:r>
        <w:rPr>
          <w:color w:val="000000"/>
          <w:vertAlign w:val="baseline"/>
        </w:rPr>
        <w:t>did</w:t>
      </w:r>
      <w:r>
        <w:rPr>
          <w:color w:val="000000"/>
          <w:spacing w:val="-7"/>
          <w:vertAlign w:val="baseline"/>
        </w:rPr>
        <w:t> </w:t>
      </w:r>
      <w:r>
        <w:rPr>
          <w:color w:val="000000"/>
          <w:vertAlign w:val="baseline"/>
        </w:rPr>
        <w:t>report</w:t>
      </w:r>
      <w:r>
        <w:rPr>
          <w:color w:val="000000"/>
          <w:spacing w:val="-6"/>
          <w:vertAlign w:val="baseline"/>
        </w:rPr>
        <w:t> </w:t>
      </w:r>
      <w:r>
        <w:rPr>
          <w:color w:val="000000"/>
          <w:vertAlign w:val="baseline"/>
        </w:rPr>
        <w:t>feeling</w:t>
      </w:r>
      <w:r>
        <w:rPr>
          <w:color w:val="000000"/>
          <w:spacing w:val="-5"/>
          <w:vertAlign w:val="baseline"/>
        </w:rPr>
        <w:t> </w:t>
      </w:r>
      <w:r>
        <w:rPr>
          <w:color w:val="000000"/>
          <w:vertAlign w:val="baseline"/>
        </w:rPr>
        <w:t>more</w:t>
      </w:r>
      <w:r>
        <w:rPr>
          <w:color w:val="000000"/>
          <w:spacing w:val="-7"/>
          <w:vertAlign w:val="baseline"/>
        </w:rPr>
        <w:t> </w:t>
      </w:r>
      <w:r>
        <w:rPr>
          <w:color w:val="000000"/>
          <w:vertAlign w:val="baseline"/>
        </w:rPr>
        <w:t>supported.</w:t>
      </w:r>
      <w:r>
        <w:rPr>
          <w:color w:val="000000"/>
          <w:vertAlign w:val="superscript"/>
        </w:rPr>
        <w:t>86</w:t>
      </w:r>
    </w:p>
    <w:p>
      <w:pPr>
        <w:spacing w:after="0" w:line="276" w:lineRule="auto"/>
        <w:jc w:val="both"/>
        <w:sectPr>
          <w:pgSz w:w="11910" w:h="16840"/>
          <w:pgMar w:header="804" w:footer="1230" w:top="1080" w:bottom="1440" w:left="980" w:right="900"/>
        </w:sectPr>
      </w:pPr>
    </w:p>
    <w:p>
      <w:pPr>
        <w:pStyle w:val="BodyText"/>
        <w:spacing w:line="276" w:lineRule="auto" w:before="69"/>
        <w:ind w:left="458" w:right="529"/>
        <w:jc w:val="both"/>
      </w:pPr>
      <w:r>
        <w:rPr/>
        <w:t>However, Massachusetts students indicated that they wish that faculty and staff received more intersectional training, stating that faculty and staff members were often not aware of the specific vulnerabilities faced by students with multiple marginalized identities. </w:t>
      </w:r>
      <w:r>
        <w:rPr>
          <w:vertAlign w:val="superscript"/>
        </w:rPr>
        <w:t>87</w:t>
      </w:r>
      <w:r>
        <w:rPr>
          <w:vertAlign w:val="baseline"/>
        </w:rPr>
        <w:t> </w:t>
      </w:r>
      <w:r>
        <w:rPr>
          <w:color w:val="000000"/>
          <w:shd w:fill="FAFAFA" w:color="auto" w:val="clear"/>
          <w:vertAlign w:val="baseline"/>
        </w:rPr>
        <w:t>This issue became more</w:t>
      </w:r>
      <w:r>
        <w:rPr>
          <w:color w:val="000000"/>
          <w:vertAlign w:val="baseline"/>
        </w:rPr>
        <w:t> p</w:t>
      </w:r>
      <w:r>
        <w:rPr>
          <w:color w:val="000000"/>
          <w:shd w:fill="FAFAFA" w:color="auto" w:val="clear"/>
          <w:vertAlign w:val="baseline"/>
        </w:rPr>
        <w:t>rominent at institutions where faculty and staff members do not share similar identities to their</w:t>
      </w:r>
      <w:r>
        <w:rPr>
          <w:color w:val="000000"/>
          <w:vertAlign w:val="baseline"/>
        </w:rPr>
        <w:t> </w:t>
      </w:r>
      <w:r>
        <w:rPr>
          <w:color w:val="000000"/>
          <w:spacing w:val="-2"/>
          <w:shd w:fill="FAFAFA" w:color="auto" w:val="clear"/>
          <w:vertAlign w:val="baseline"/>
        </w:rPr>
        <w:t>students.</w:t>
      </w:r>
      <w:r>
        <w:rPr>
          <w:color w:val="000000"/>
          <w:spacing w:val="-2"/>
          <w:vertAlign w:val="superscript"/>
        </w:rPr>
        <w:t>88</w:t>
      </w:r>
    </w:p>
    <w:p>
      <w:pPr>
        <w:pStyle w:val="BodyText"/>
        <w:spacing w:line="276" w:lineRule="auto" w:before="238"/>
        <w:ind w:left="458" w:right="531"/>
        <w:jc w:val="both"/>
      </w:pPr>
      <w:r>
        <w:rPr/>
        <w:t>Likewise, GSAs have been shown to have a profoundly positive impact on LGBTQ youth, particularly trans and gender expansive youth, and serve as protective factors against a variety of public health concerns</w:t>
      </w:r>
      <w:hyperlink w:history="true" w:anchor="_bookmark94">
        <w:r>
          <w:rPr/>
          <w:t>.</w:t>
        </w:r>
        <w:r>
          <w:rPr>
            <w:vertAlign w:val="superscript"/>
          </w:rPr>
          <w:t>89</w:t>
        </w:r>
      </w:hyperlink>
      <w:hyperlink w:history="true" w:anchor="_bookmark94">
        <w:r>
          <w:rPr>
            <w:vertAlign w:val="superscript"/>
          </w:rPr>
          <w:t>,90</w:t>
        </w:r>
      </w:hyperlink>
      <w:r>
        <w:rPr>
          <w:vertAlign w:val="baseline"/>
        </w:rPr>
        <w:t> GSAs have been shown to make schools safer for LGBTQ students by creating positive changes</w:t>
      </w:r>
      <w:r>
        <w:rPr>
          <w:spacing w:val="-4"/>
          <w:vertAlign w:val="baseline"/>
        </w:rPr>
        <w:t> </w:t>
      </w:r>
      <w:r>
        <w:rPr>
          <w:vertAlign w:val="baseline"/>
        </w:rPr>
        <w:t>to</w:t>
      </w:r>
      <w:r>
        <w:rPr>
          <w:spacing w:val="-4"/>
          <w:vertAlign w:val="baseline"/>
        </w:rPr>
        <w:t> </w:t>
      </w:r>
      <w:r>
        <w:rPr>
          <w:vertAlign w:val="baseline"/>
        </w:rPr>
        <w:t>school</w:t>
      </w:r>
      <w:r>
        <w:rPr>
          <w:spacing w:val="-6"/>
          <w:vertAlign w:val="baseline"/>
        </w:rPr>
        <w:t> </w:t>
      </w:r>
      <w:r>
        <w:rPr>
          <w:vertAlign w:val="baseline"/>
        </w:rPr>
        <w:t>climate,</w:t>
      </w:r>
      <w:r>
        <w:rPr>
          <w:spacing w:val="-3"/>
          <w:vertAlign w:val="baseline"/>
        </w:rPr>
        <w:t> </w:t>
      </w:r>
      <w:r>
        <w:rPr>
          <w:vertAlign w:val="baseline"/>
        </w:rPr>
        <w:t>allow</w:t>
      </w:r>
      <w:r>
        <w:rPr>
          <w:spacing w:val="-5"/>
          <w:vertAlign w:val="baseline"/>
        </w:rPr>
        <w:t> </w:t>
      </w:r>
      <w:r>
        <w:rPr>
          <w:vertAlign w:val="baseline"/>
        </w:rPr>
        <w:t>students</w:t>
      </w:r>
      <w:r>
        <w:rPr>
          <w:spacing w:val="-5"/>
          <w:vertAlign w:val="baseline"/>
        </w:rPr>
        <w:t> </w:t>
      </w:r>
      <w:r>
        <w:rPr>
          <w:vertAlign w:val="baseline"/>
        </w:rPr>
        <w:t>to</w:t>
      </w:r>
      <w:r>
        <w:rPr>
          <w:spacing w:val="-4"/>
          <w:vertAlign w:val="baseline"/>
        </w:rPr>
        <w:t> </w:t>
      </w:r>
      <w:r>
        <w:rPr>
          <w:vertAlign w:val="baseline"/>
        </w:rPr>
        <w:t>more</w:t>
      </w:r>
      <w:r>
        <w:rPr>
          <w:spacing w:val="-4"/>
          <w:vertAlign w:val="baseline"/>
        </w:rPr>
        <w:t> </w:t>
      </w:r>
      <w:r>
        <w:rPr>
          <w:vertAlign w:val="baseline"/>
        </w:rPr>
        <w:t>easily</w:t>
      </w:r>
      <w:r>
        <w:rPr>
          <w:spacing w:val="-5"/>
          <w:vertAlign w:val="baseline"/>
        </w:rPr>
        <w:t> </w:t>
      </w:r>
      <w:r>
        <w:rPr>
          <w:vertAlign w:val="baseline"/>
        </w:rPr>
        <w:t>identify</w:t>
      </w:r>
      <w:r>
        <w:rPr>
          <w:spacing w:val="-4"/>
          <w:vertAlign w:val="baseline"/>
        </w:rPr>
        <w:t> </w:t>
      </w:r>
      <w:r>
        <w:rPr>
          <w:vertAlign w:val="baseline"/>
        </w:rPr>
        <w:t>safe</w:t>
      </w:r>
      <w:r>
        <w:rPr>
          <w:spacing w:val="-6"/>
          <w:vertAlign w:val="baseline"/>
        </w:rPr>
        <w:t> </w:t>
      </w:r>
      <w:r>
        <w:rPr>
          <w:vertAlign w:val="baseline"/>
        </w:rPr>
        <w:t>and</w:t>
      </w:r>
      <w:r>
        <w:rPr>
          <w:spacing w:val="-4"/>
          <w:vertAlign w:val="baseline"/>
        </w:rPr>
        <w:t> </w:t>
      </w:r>
      <w:r>
        <w:rPr>
          <w:vertAlign w:val="baseline"/>
        </w:rPr>
        <w:t>supportive</w:t>
      </w:r>
      <w:r>
        <w:rPr>
          <w:spacing w:val="-6"/>
          <w:vertAlign w:val="baseline"/>
        </w:rPr>
        <w:t> </w:t>
      </w:r>
      <w:r>
        <w:rPr>
          <w:vertAlign w:val="baseline"/>
        </w:rPr>
        <w:t>faculty</w:t>
      </w:r>
      <w:r>
        <w:rPr>
          <w:spacing w:val="-4"/>
          <w:vertAlign w:val="baseline"/>
        </w:rPr>
        <w:t> </w:t>
      </w:r>
      <w:r>
        <w:rPr>
          <w:vertAlign w:val="baseline"/>
        </w:rPr>
        <w:t>and</w:t>
      </w:r>
      <w:r>
        <w:rPr>
          <w:spacing w:val="-4"/>
          <w:vertAlign w:val="baseline"/>
        </w:rPr>
        <w:t> </w:t>
      </w:r>
      <w:r>
        <w:rPr>
          <w:vertAlign w:val="baseline"/>
        </w:rPr>
        <w:t>staff members, and lower the frequency of absenteeism due to harassment or discrimination</w:t>
      </w:r>
      <w:hyperlink w:history="true" w:anchor="_bookmark94">
        <w:r>
          <w:rPr>
            <w:vertAlign w:val="baseline"/>
          </w:rPr>
          <w:t>.</w:t>
        </w:r>
        <w:r>
          <w:rPr>
            <w:vertAlign w:val="superscript"/>
          </w:rPr>
          <w:t>91</w:t>
        </w:r>
      </w:hyperlink>
      <w:r>
        <w:rPr>
          <w:vertAlign w:val="baseline"/>
        </w:rPr>
        <w:t> The Safe Schools</w:t>
      </w:r>
      <w:r>
        <w:rPr>
          <w:spacing w:val="-3"/>
          <w:vertAlign w:val="baseline"/>
        </w:rPr>
        <w:t> </w:t>
      </w:r>
      <w:r>
        <w:rPr>
          <w:vertAlign w:val="baseline"/>
        </w:rPr>
        <w:t>Program</w:t>
      </w:r>
      <w:r>
        <w:rPr>
          <w:spacing w:val="-3"/>
          <w:vertAlign w:val="baseline"/>
        </w:rPr>
        <w:t> </w:t>
      </w:r>
      <w:r>
        <w:rPr>
          <w:vertAlign w:val="baseline"/>
        </w:rPr>
        <w:t>has</w:t>
      </w:r>
      <w:r>
        <w:rPr>
          <w:spacing w:val="-3"/>
          <w:vertAlign w:val="baseline"/>
        </w:rPr>
        <w:t> </w:t>
      </w:r>
      <w:r>
        <w:rPr>
          <w:vertAlign w:val="baseline"/>
        </w:rPr>
        <w:t>already</w:t>
      </w:r>
      <w:r>
        <w:rPr>
          <w:spacing w:val="-3"/>
          <w:vertAlign w:val="baseline"/>
        </w:rPr>
        <w:t> </w:t>
      </w:r>
      <w:r>
        <w:rPr>
          <w:vertAlign w:val="baseline"/>
        </w:rPr>
        <w:t>done</w:t>
      </w:r>
      <w:r>
        <w:rPr>
          <w:spacing w:val="-2"/>
          <w:vertAlign w:val="baseline"/>
        </w:rPr>
        <w:t> </w:t>
      </w:r>
      <w:r>
        <w:rPr>
          <w:vertAlign w:val="baseline"/>
        </w:rPr>
        <w:t>an</w:t>
      </w:r>
      <w:r>
        <w:rPr>
          <w:spacing w:val="-2"/>
          <w:vertAlign w:val="baseline"/>
        </w:rPr>
        <w:t> </w:t>
      </w:r>
      <w:r>
        <w:rPr>
          <w:vertAlign w:val="baseline"/>
        </w:rPr>
        <w:t>excellent</w:t>
      </w:r>
      <w:r>
        <w:rPr>
          <w:spacing w:val="-2"/>
          <w:vertAlign w:val="baseline"/>
        </w:rPr>
        <w:t> </w:t>
      </w:r>
      <w:r>
        <w:rPr>
          <w:vertAlign w:val="baseline"/>
        </w:rPr>
        <w:t>job</w:t>
      </w:r>
      <w:r>
        <w:rPr>
          <w:spacing w:val="-2"/>
          <w:vertAlign w:val="baseline"/>
        </w:rPr>
        <w:t> </w:t>
      </w:r>
      <w:r>
        <w:rPr>
          <w:vertAlign w:val="baseline"/>
        </w:rPr>
        <w:t>creating,</w:t>
      </w:r>
      <w:r>
        <w:rPr>
          <w:spacing w:val="-1"/>
          <w:vertAlign w:val="baseline"/>
        </w:rPr>
        <w:t> </w:t>
      </w:r>
      <w:r>
        <w:rPr>
          <w:vertAlign w:val="baseline"/>
        </w:rPr>
        <w:t>promoting,</w:t>
      </w:r>
      <w:r>
        <w:rPr>
          <w:spacing w:val="-3"/>
          <w:vertAlign w:val="baseline"/>
        </w:rPr>
        <w:t> </w:t>
      </w:r>
      <w:r>
        <w:rPr>
          <w:vertAlign w:val="baseline"/>
        </w:rPr>
        <w:t>and</w:t>
      </w:r>
      <w:r>
        <w:rPr>
          <w:spacing w:val="-3"/>
          <w:vertAlign w:val="baseline"/>
        </w:rPr>
        <w:t> </w:t>
      </w:r>
      <w:r>
        <w:rPr>
          <w:vertAlign w:val="baseline"/>
        </w:rPr>
        <w:t>engaging</w:t>
      </w:r>
      <w:r>
        <w:rPr>
          <w:spacing w:val="-2"/>
          <w:vertAlign w:val="baseline"/>
        </w:rPr>
        <w:t> </w:t>
      </w:r>
      <w:r>
        <w:rPr>
          <w:vertAlign w:val="baseline"/>
        </w:rPr>
        <w:t>local</w:t>
      </w:r>
      <w:r>
        <w:rPr>
          <w:spacing w:val="-2"/>
          <w:vertAlign w:val="baseline"/>
        </w:rPr>
        <w:t> </w:t>
      </w:r>
      <w:r>
        <w:rPr>
          <w:vertAlign w:val="baseline"/>
        </w:rPr>
        <w:t>GSAs,</w:t>
      </w:r>
      <w:r>
        <w:rPr>
          <w:spacing w:val="-3"/>
          <w:vertAlign w:val="baseline"/>
        </w:rPr>
        <w:t> </w:t>
      </w:r>
      <w:r>
        <w:rPr>
          <w:vertAlign w:val="baseline"/>
        </w:rPr>
        <w:t>but there are still many public high schools that do not have GSAs, and even fewer public middle and elementary</w:t>
      </w:r>
      <w:r>
        <w:rPr>
          <w:spacing w:val="-10"/>
          <w:vertAlign w:val="baseline"/>
        </w:rPr>
        <w:t> </w:t>
      </w:r>
      <w:r>
        <w:rPr>
          <w:vertAlign w:val="baseline"/>
        </w:rPr>
        <w:t>schools</w:t>
      </w:r>
      <w:r>
        <w:rPr>
          <w:spacing w:val="-9"/>
          <w:vertAlign w:val="baseline"/>
        </w:rPr>
        <w:t> </w:t>
      </w:r>
      <w:r>
        <w:rPr>
          <w:vertAlign w:val="baseline"/>
        </w:rPr>
        <w:t>that</w:t>
      </w:r>
      <w:r>
        <w:rPr>
          <w:spacing w:val="-10"/>
          <w:vertAlign w:val="baseline"/>
        </w:rPr>
        <w:t> </w:t>
      </w:r>
      <w:r>
        <w:rPr>
          <w:vertAlign w:val="baseline"/>
        </w:rPr>
        <w:t>have</w:t>
      </w:r>
      <w:r>
        <w:rPr>
          <w:spacing w:val="-10"/>
          <w:vertAlign w:val="baseline"/>
        </w:rPr>
        <w:t> </w:t>
      </w:r>
      <w:r>
        <w:rPr>
          <w:vertAlign w:val="baseline"/>
        </w:rPr>
        <w:t>GSAs.</w:t>
      </w:r>
      <w:r>
        <w:rPr>
          <w:spacing w:val="-10"/>
          <w:vertAlign w:val="baseline"/>
        </w:rPr>
        <w:t> </w:t>
      </w:r>
      <w:r>
        <w:rPr>
          <w:vertAlign w:val="baseline"/>
        </w:rPr>
        <w:t>Although</w:t>
      </w:r>
      <w:r>
        <w:rPr>
          <w:spacing w:val="-10"/>
          <w:vertAlign w:val="baseline"/>
        </w:rPr>
        <w:t> </w:t>
      </w:r>
      <w:r>
        <w:rPr>
          <w:vertAlign w:val="baseline"/>
        </w:rPr>
        <w:t>more</w:t>
      </w:r>
      <w:r>
        <w:rPr>
          <w:spacing w:val="-9"/>
          <w:vertAlign w:val="baseline"/>
        </w:rPr>
        <w:t> </w:t>
      </w:r>
      <w:r>
        <w:rPr>
          <w:vertAlign w:val="baseline"/>
        </w:rPr>
        <w:t>difficult,</w:t>
      </w:r>
      <w:r>
        <w:rPr>
          <w:spacing w:val="-10"/>
          <w:vertAlign w:val="baseline"/>
        </w:rPr>
        <w:t> </w:t>
      </w:r>
      <w:r>
        <w:rPr>
          <w:vertAlign w:val="baseline"/>
        </w:rPr>
        <w:t>it</w:t>
      </w:r>
      <w:r>
        <w:rPr>
          <w:spacing w:val="-10"/>
          <w:vertAlign w:val="baseline"/>
        </w:rPr>
        <w:t> </w:t>
      </w:r>
      <w:r>
        <w:rPr>
          <w:vertAlign w:val="baseline"/>
        </w:rPr>
        <w:t>would</w:t>
      </w:r>
      <w:r>
        <w:rPr>
          <w:spacing w:val="-10"/>
          <w:vertAlign w:val="baseline"/>
        </w:rPr>
        <w:t> </w:t>
      </w:r>
      <w:r>
        <w:rPr>
          <w:vertAlign w:val="baseline"/>
        </w:rPr>
        <w:t>also</w:t>
      </w:r>
      <w:r>
        <w:rPr>
          <w:spacing w:val="-9"/>
          <w:vertAlign w:val="baseline"/>
        </w:rPr>
        <w:t> </w:t>
      </w:r>
      <w:r>
        <w:rPr>
          <w:vertAlign w:val="baseline"/>
        </w:rPr>
        <w:t>be</w:t>
      </w:r>
      <w:r>
        <w:rPr>
          <w:spacing w:val="-10"/>
          <w:vertAlign w:val="baseline"/>
        </w:rPr>
        <w:t> </w:t>
      </w:r>
      <w:r>
        <w:rPr>
          <w:vertAlign w:val="baseline"/>
        </w:rPr>
        <w:t>worthwhile</w:t>
      </w:r>
      <w:r>
        <w:rPr>
          <w:spacing w:val="-10"/>
          <w:vertAlign w:val="baseline"/>
        </w:rPr>
        <w:t> </w:t>
      </w:r>
      <w:r>
        <w:rPr>
          <w:vertAlign w:val="baseline"/>
        </w:rPr>
        <w:t>for</w:t>
      </w:r>
      <w:r>
        <w:rPr>
          <w:spacing w:val="-9"/>
          <w:vertAlign w:val="baseline"/>
        </w:rPr>
        <w:t> </w:t>
      </w:r>
      <w:r>
        <w:rPr>
          <w:vertAlign w:val="baseline"/>
        </w:rPr>
        <w:t>programs to explore doing outreach to private and charter schools to promote the creation of GSAs at their institution.</w:t>
      </w:r>
      <w:r>
        <w:rPr>
          <w:spacing w:val="-2"/>
          <w:vertAlign w:val="baseline"/>
        </w:rPr>
        <w:t> </w:t>
      </w:r>
      <w:r>
        <w:rPr>
          <w:vertAlign w:val="baseline"/>
        </w:rPr>
        <w:t>Another</w:t>
      </w:r>
      <w:r>
        <w:rPr>
          <w:spacing w:val="-1"/>
          <w:vertAlign w:val="baseline"/>
        </w:rPr>
        <w:t> </w:t>
      </w:r>
      <w:r>
        <w:rPr>
          <w:vertAlign w:val="baseline"/>
        </w:rPr>
        <w:t>important</w:t>
      </w:r>
      <w:r>
        <w:rPr>
          <w:spacing w:val="-2"/>
          <w:vertAlign w:val="baseline"/>
        </w:rPr>
        <w:t> </w:t>
      </w:r>
      <w:r>
        <w:rPr>
          <w:vertAlign w:val="baseline"/>
        </w:rPr>
        <w:t>factor</w:t>
      </w:r>
      <w:r>
        <w:rPr>
          <w:spacing w:val="-3"/>
          <w:vertAlign w:val="baseline"/>
        </w:rPr>
        <w:t> </w:t>
      </w:r>
      <w:r>
        <w:rPr>
          <w:vertAlign w:val="baseline"/>
        </w:rPr>
        <w:t>to</w:t>
      </w:r>
      <w:r>
        <w:rPr>
          <w:spacing w:val="-1"/>
          <w:vertAlign w:val="baseline"/>
        </w:rPr>
        <w:t> </w:t>
      </w:r>
      <w:r>
        <w:rPr>
          <w:vertAlign w:val="baseline"/>
        </w:rPr>
        <w:t>consider</w:t>
      </w:r>
      <w:r>
        <w:rPr>
          <w:spacing w:val="-1"/>
          <w:vertAlign w:val="baseline"/>
        </w:rPr>
        <w:t> </w:t>
      </w:r>
      <w:r>
        <w:rPr>
          <w:vertAlign w:val="baseline"/>
        </w:rPr>
        <w:t>is</w:t>
      </w:r>
      <w:r>
        <w:rPr>
          <w:spacing w:val="-1"/>
          <w:vertAlign w:val="baseline"/>
        </w:rPr>
        <w:t> </w:t>
      </w:r>
      <w:r>
        <w:rPr>
          <w:vertAlign w:val="baseline"/>
        </w:rPr>
        <w:t>that</w:t>
      </w:r>
      <w:r>
        <w:rPr>
          <w:spacing w:val="-2"/>
          <w:vertAlign w:val="baseline"/>
        </w:rPr>
        <w:t> </w:t>
      </w:r>
      <w:r>
        <w:rPr>
          <w:vertAlign w:val="baseline"/>
        </w:rPr>
        <w:t>GSAs</w:t>
      </w:r>
      <w:r>
        <w:rPr>
          <w:spacing w:val="-1"/>
          <w:vertAlign w:val="baseline"/>
        </w:rPr>
        <w:t> </w:t>
      </w:r>
      <w:r>
        <w:rPr>
          <w:vertAlign w:val="baseline"/>
        </w:rPr>
        <w:t>have</w:t>
      </w:r>
      <w:r>
        <w:rPr>
          <w:spacing w:val="-3"/>
          <w:vertAlign w:val="baseline"/>
        </w:rPr>
        <w:t> </w:t>
      </w:r>
      <w:r>
        <w:rPr>
          <w:vertAlign w:val="baseline"/>
        </w:rPr>
        <w:t>historically served</w:t>
      </w:r>
      <w:r>
        <w:rPr>
          <w:spacing w:val="-3"/>
          <w:vertAlign w:val="baseline"/>
        </w:rPr>
        <w:t> </w:t>
      </w:r>
      <w:r>
        <w:rPr>
          <w:vertAlign w:val="baseline"/>
        </w:rPr>
        <w:t>larger numbers of</w:t>
      </w:r>
      <w:r>
        <w:rPr>
          <w:spacing w:val="-13"/>
          <w:vertAlign w:val="baseline"/>
        </w:rPr>
        <w:t> </w:t>
      </w:r>
      <w:r>
        <w:rPr>
          <w:vertAlign w:val="baseline"/>
        </w:rPr>
        <w:t>white</w:t>
      </w:r>
      <w:r>
        <w:rPr>
          <w:spacing w:val="-12"/>
          <w:vertAlign w:val="baseline"/>
        </w:rPr>
        <w:t> </w:t>
      </w:r>
      <w:r>
        <w:rPr>
          <w:vertAlign w:val="baseline"/>
        </w:rPr>
        <w:t>youth,</w:t>
      </w:r>
      <w:r>
        <w:rPr>
          <w:spacing w:val="-13"/>
          <w:vertAlign w:val="baseline"/>
        </w:rPr>
        <w:t> </w:t>
      </w:r>
      <w:r>
        <w:rPr>
          <w:vertAlign w:val="baseline"/>
        </w:rPr>
        <w:t>while</w:t>
      </w:r>
      <w:r>
        <w:rPr>
          <w:spacing w:val="-12"/>
          <w:vertAlign w:val="baseline"/>
        </w:rPr>
        <w:t> </w:t>
      </w:r>
      <w:r>
        <w:rPr>
          <w:vertAlign w:val="baseline"/>
        </w:rPr>
        <w:t>community-based</w:t>
      </w:r>
      <w:r>
        <w:rPr>
          <w:spacing w:val="-13"/>
          <w:vertAlign w:val="baseline"/>
        </w:rPr>
        <w:t> </w:t>
      </w:r>
      <w:r>
        <w:rPr>
          <w:vertAlign w:val="baseline"/>
        </w:rPr>
        <w:t>organizations</w:t>
      </w:r>
      <w:r>
        <w:rPr>
          <w:spacing w:val="-12"/>
          <w:vertAlign w:val="baseline"/>
        </w:rPr>
        <w:t> </w:t>
      </w:r>
      <w:r>
        <w:rPr>
          <w:vertAlign w:val="baseline"/>
        </w:rPr>
        <w:t>have</w:t>
      </w:r>
      <w:r>
        <w:rPr>
          <w:spacing w:val="-13"/>
          <w:vertAlign w:val="baseline"/>
        </w:rPr>
        <w:t> </w:t>
      </w:r>
      <w:r>
        <w:rPr>
          <w:vertAlign w:val="baseline"/>
        </w:rPr>
        <w:t>historically</w:t>
      </w:r>
      <w:r>
        <w:rPr>
          <w:spacing w:val="-12"/>
          <w:vertAlign w:val="baseline"/>
        </w:rPr>
        <w:t> </w:t>
      </w:r>
      <w:r>
        <w:rPr>
          <w:vertAlign w:val="baseline"/>
        </w:rPr>
        <w:t>served</w:t>
      </w:r>
      <w:r>
        <w:rPr>
          <w:spacing w:val="-12"/>
          <w:vertAlign w:val="baseline"/>
        </w:rPr>
        <w:t> </w:t>
      </w:r>
      <w:r>
        <w:rPr>
          <w:vertAlign w:val="baseline"/>
        </w:rPr>
        <w:t>larger</w:t>
      </w:r>
      <w:r>
        <w:rPr>
          <w:spacing w:val="-13"/>
          <w:vertAlign w:val="baseline"/>
        </w:rPr>
        <w:t> </w:t>
      </w:r>
      <w:r>
        <w:rPr>
          <w:vertAlign w:val="baseline"/>
        </w:rPr>
        <w:t>numbers</w:t>
      </w:r>
      <w:r>
        <w:rPr>
          <w:spacing w:val="-12"/>
          <w:vertAlign w:val="baseline"/>
        </w:rPr>
        <w:t> </w:t>
      </w:r>
      <w:r>
        <w:rPr>
          <w:vertAlign w:val="baseline"/>
        </w:rPr>
        <w:t>of</w:t>
      </w:r>
      <w:r>
        <w:rPr>
          <w:spacing w:val="-13"/>
          <w:vertAlign w:val="baseline"/>
        </w:rPr>
        <w:t> </w:t>
      </w:r>
      <w:r>
        <w:rPr>
          <w:vertAlign w:val="baseline"/>
        </w:rPr>
        <w:t>youth of</w:t>
      </w:r>
      <w:r>
        <w:rPr>
          <w:spacing w:val="-13"/>
          <w:vertAlign w:val="baseline"/>
        </w:rPr>
        <w:t> </w:t>
      </w:r>
      <w:r>
        <w:rPr>
          <w:vertAlign w:val="baseline"/>
        </w:rPr>
        <w:t>color</w:t>
      </w:r>
      <w:hyperlink w:history="true" w:anchor="_bookmark94">
        <w:r>
          <w:rPr>
            <w:vertAlign w:val="baseline"/>
          </w:rPr>
          <w:t>.</w:t>
        </w:r>
        <w:r>
          <w:rPr>
            <w:vertAlign w:val="superscript"/>
          </w:rPr>
          <w:t>92</w:t>
        </w:r>
      </w:hyperlink>
      <w:r>
        <w:rPr>
          <w:spacing w:val="-12"/>
          <w:vertAlign w:val="baseline"/>
        </w:rPr>
        <w:t> </w:t>
      </w:r>
      <w:r>
        <w:rPr>
          <w:vertAlign w:val="baseline"/>
        </w:rPr>
        <w:t>Ensuring</w:t>
      </w:r>
      <w:r>
        <w:rPr>
          <w:spacing w:val="-13"/>
          <w:vertAlign w:val="baseline"/>
        </w:rPr>
        <w:t> </w:t>
      </w:r>
      <w:r>
        <w:rPr>
          <w:vertAlign w:val="baseline"/>
        </w:rPr>
        <w:t>that</w:t>
      </w:r>
      <w:r>
        <w:rPr>
          <w:spacing w:val="-12"/>
          <w:vertAlign w:val="baseline"/>
        </w:rPr>
        <w:t> </w:t>
      </w:r>
      <w:r>
        <w:rPr>
          <w:vertAlign w:val="baseline"/>
        </w:rPr>
        <w:t>all</w:t>
      </w:r>
      <w:r>
        <w:rPr>
          <w:spacing w:val="-12"/>
          <w:vertAlign w:val="baseline"/>
        </w:rPr>
        <w:t> </w:t>
      </w:r>
      <w:r>
        <w:rPr>
          <w:vertAlign w:val="baseline"/>
        </w:rPr>
        <w:t>LGBTQ</w:t>
      </w:r>
      <w:r>
        <w:rPr>
          <w:spacing w:val="-12"/>
          <w:vertAlign w:val="baseline"/>
        </w:rPr>
        <w:t> </w:t>
      </w:r>
      <w:r>
        <w:rPr>
          <w:vertAlign w:val="baseline"/>
        </w:rPr>
        <w:t>youth</w:t>
      </w:r>
      <w:r>
        <w:rPr>
          <w:spacing w:val="-10"/>
          <w:vertAlign w:val="baseline"/>
        </w:rPr>
        <w:t> </w:t>
      </w:r>
      <w:r>
        <w:rPr>
          <w:vertAlign w:val="baseline"/>
        </w:rPr>
        <w:t>have</w:t>
      </w:r>
      <w:r>
        <w:rPr>
          <w:spacing w:val="-13"/>
          <w:vertAlign w:val="baseline"/>
        </w:rPr>
        <w:t> </w:t>
      </w:r>
      <w:r>
        <w:rPr>
          <w:vertAlign w:val="baseline"/>
        </w:rPr>
        <w:t>spaces</w:t>
      </w:r>
      <w:r>
        <w:rPr>
          <w:spacing w:val="-11"/>
          <w:vertAlign w:val="baseline"/>
        </w:rPr>
        <w:t> </w:t>
      </w:r>
      <w:r>
        <w:rPr>
          <w:vertAlign w:val="baseline"/>
        </w:rPr>
        <w:t>to</w:t>
      </w:r>
      <w:r>
        <w:rPr>
          <w:spacing w:val="-12"/>
          <w:vertAlign w:val="baseline"/>
        </w:rPr>
        <w:t> </w:t>
      </w:r>
      <w:r>
        <w:rPr>
          <w:vertAlign w:val="baseline"/>
        </w:rPr>
        <w:t>explore</w:t>
      </w:r>
      <w:r>
        <w:rPr>
          <w:spacing w:val="-12"/>
          <w:vertAlign w:val="baseline"/>
        </w:rPr>
        <w:t> </w:t>
      </w:r>
      <w:r>
        <w:rPr>
          <w:vertAlign w:val="baseline"/>
        </w:rPr>
        <w:t>their</w:t>
      </w:r>
      <w:r>
        <w:rPr>
          <w:spacing w:val="-12"/>
          <w:vertAlign w:val="baseline"/>
        </w:rPr>
        <w:t> </w:t>
      </w:r>
      <w:r>
        <w:rPr>
          <w:vertAlign w:val="baseline"/>
        </w:rPr>
        <w:t>identities</w:t>
      </w:r>
      <w:r>
        <w:rPr>
          <w:spacing w:val="-11"/>
          <w:vertAlign w:val="baseline"/>
        </w:rPr>
        <w:t> </w:t>
      </w:r>
      <w:r>
        <w:rPr>
          <w:vertAlign w:val="baseline"/>
        </w:rPr>
        <w:t>and</w:t>
      </w:r>
      <w:r>
        <w:rPr>
          <w:spacing w:val="-13"/>
          <w:vertAlign w:val="baseline"/>
        </w:rPr>
        <w:t> </w:t>
      </w:r>
      <w:r>
        <w:rPr>
          <w:vertAlign w:val="baseline"/>
        </w:rPr>
        <w:t>connect</w:t>
      </w:r>
      <w:r>
        <w:rPr>
          <w:spacing w:val="-12"/>
          <w:vertAlign w:val="baseline"/>
        </w:rPr>
        <w:t> </w:t>
      </w:r>
      <w:r>
        <w:rPr>
          <w:vertAlign w:val="baseline"/>
        </w:rPr>
        <w:t>with</w:t>
      </w:r>
      <w:r>
        <w:rPr>
          <w:spacing w:val="-13"/>
          <w:vertAlign w:val="baseline"/>
        </w:rPr>
        <w:t> </w:t>
      </w:r>
      <w:r>
        <w:rPr>
          <w:vertAlign w:val="baseline"/>
        </w:rPr>
        <w:t>other LGBTQ youth will be key in fostering inclusive school environments.</w:t>
      </w:r>
    </w:p>
    <w:p>
      <w:pPr>
        <w:pStyle w:val="BodyText"/>
        <w:spacing w:line="276" w:lineRule="auto" w:before="240"/>
        <w:ind w:left="458" w:right="530"/>
        <w:jc w:val="both"/>
      </w:pPr>
      <w:r>
        <w:rPr/>
        <w:drawing>
          <wp:anchor distT="0" distB="0" distL="0" distR="0" allowOverlap="1" layoutInCell="1" locked="0" behindDoc="1" simplePos="0" relativeHeight="482575360">
            <wp:simplePos x="0" y="0"/>
            <wp:positionH relativeFrom="page">
              <wp:posOffset>3719829</wp:posOffset>
            </wp:positionH>
            <wp:positionV relativeFrom="paragraph">
              <wp:posOffset>1330704</wp:posOffset>
            </wp:positionV>
            <wp:extent cx="3002913" cy="2364100"/>
            <wp:effectExtent l="0" t="0" r="0" b="0"/>
            <wp:wrapNone/>
            <wp:docPr id="184" name="Image 184" descr="A graph of a health survey  Description automatically generated "/>
            <wp:cNvGraphicFramePr>
              <a:graphicFrameLocks/>
            </wp:cNvGraphicFramePr>
            <a:graphic>
              <a:graphicData uri="http://schemas.openxmlformats.org/drawingml/2006/picture">
                <pic:pic>
                  <pic:nvPicPr>
                    <pic:cNvPr id="184" name="Image 184" descr="A graph of a health survey  Description automatically generated "/>
                    <pic:cNvPicPr/>
                  </pic:nvPicPr>
                  <pic:blipFill>
                    <a:blip r:embed="rId135" cstate="print"/>
                    <a:stretch>
                      <a:fillRect/>
                    </a:stretch>
                  </pic:blipFill>
                  <pic:spPr>
                    <a:xfrm>
                      <a:off x="0" y="0"/>
                      <a:ext cx="3002913" cy="2364100"/>
                    </a:xfrm>
                    <a:prstGeom prst="rect">
                      <a:avLst/>
                    </a:prstGeom>
                  </pic:spPr>
                </pic:pic>
              </a:graphicData>
            </a:graphic>
          </wp:anchor>
        </w:drawing>
      </w:r>
      <w:r>
        <w:rPr/>
        <w:t>Furthermore, it is extremely important to have comprehensive anti-bullying policies, as well as comprehensive LGBTQ inclusion policies in place in schools, as these play a key role in promoting a school climate that is welcoming towards LGBTQ students</w:t>
      </w:r>
      <w:hyperlink w:history="true" w:anchor="_bookmark94">
        <w:r>
          <w:rPr/>
          <w:t>.</w:t>
        </w:r>
        <w:r>
          <w:rPr>
            <w:vertAlign w:val="superscript"/>
          </w:rPr>
          <w:t>93</w:t>
        </w:r>
      </w:hyperlink>
      <w:hyperlink w:history="true" w:anchor="_bookmark94">
        <w:r>
          <w:rPr>
            <w:vertAlign w:val="superscript"/>
          </w:rPr>
          <w:t>,94</w:t>
        </w:r>
      </w:hyperlink>
      <w:r>
        <w:rPr>
          <w:vertAlign w:val="baseline"/>
        </w:rPr>
        <w:t> This is equally important in both K-12 education settings, as well as higher education. For example, many colleges and universities have recently begun streamlining the process for submitting a name change in university systems, making it easier for transgender and gender expansive students to have their names recognized. Many institutions</w:t>
      </w:r>
      <w:r>
        <w:rPr>
          <w:spacing w:val="40"/>
          <w:vertAlign w:val="baseline"/>
        </w:rPr>
        <w:t> </w:t>
      </w:r>
      <w:r>
        <w:rPr>
          <w:vertAlign w:val="baseline"/>
        </w:rPr>
        <w:t>have</w:t>
      </w:r>
      <w:r>
        <w:rPr>
          <w:spacing w:val="40"/>
          <w:vertAlign w:val="baseline"/>
        </w:rPr>
        <w:t> </w:t>
      </w:r>
      <w:r>
        <w:rPr>
          <w:vertAlign w:val="baseline"/>
        </w:rPr>
        <w:t>begun</w:t>
      </w:r>
      <w:r>
        <w:rPr>
          <w:spacing w:val="40"/>
          <w:vertAlign w:val="baseline"/>
        </w:rPr>
        <w:t> </w:t>
      </w:r>
      <w:r>
        <w:rPr>
          <w:vertAlign w:val="baseline"/>
        </w:rPr>
        <w:t>requiring</w:t>
      </w:r>
      <w:r>
        <w:rPr>
          <w:spacing w:val="40"/>
          <w:vertAlign w:val="baseline"/>
        </w:rPr>
        <w:t> </w:t>
      </w:r>
      <w:r>
        <w:rPr>
          <w:vertAlign w:val="baseline"/>
        </w:rPr>
        <w:t>mandatory</w:t>
      </w:r>
    </w:p>
    <w:p>
      <w:pPr>
        <w:pStyle w:val="BodyText"/>
        <w:spacing w:line="276" w:lineRule="auto" w:before="1"/>
        <w:ind w:left="458" w:right="5328"/>
        <w:jc w:val="both"/>
      </w:pPr>
      <w:r>
        <w:rPr/>
        <w:t>diversity and inclusion training to both new students and new employees. All schools that receive federal funding are required to have a Title</w:t>
      </w:r>
      <w:r>
        <w:rPr>
          <w:spacing w:val="-13"/>
        </w:rPr>
        <w:t> </w:t>
      </w:r>
      <w:r>
        <w:rPr/>
        <w:t>IX</w:t>
      </w:r>
      <w:r>
        <w:rPr>
          <w:spacing w:val="-12"/>
        </w:rPr>
        <w:t> </w:t>
      </w:r>
      <w:r>
        <w:rPr/>
        <w:t>policy,</w:t>
      </w:r>
      <w:r>
        <w:rPr>
          <w:spacing w:val="-13"/>
        </w:rPr>
        <w:t> </w:t>
      </w:r>
      <w:r>
        <w:rPr/>
        <w:t>which</w:t>
      </w:r>
      <w:r>
        <w:rPr>
          <w:spacing w:val="-12"/>
        </w:rPr>
        <w:t> </w:t>
      </w:r>
      <w:r>
        <w:rPr/>
        <w:t>prohibits</w:t>
      </w:r>
      <w:r>
        <w:rPr>
          <w:spacing w:val="-13"/>
        </w:rPr>
        <w:t> </w:t>
      </w:r>
      <w:r>
        <w:rPr/>
        <w:t>discrimination</w:t>
      </w:r>
      <w:r>
        <w:rPr>
          <w:spacing w:val="-12"/>
        </w:rPr>
        <w:t> </w:t>
      </w:r>
      <w:r>
        <w:rPr/>
        <w:t>on the basis of sex, and the majority of schools have</w:t>
      </w:r>
      <w:r>
        <w:rPr>
          <w:spacing w:val="-4"/>
        </w:rPr>
        <w:t> </w:t>
      </w:r>
      <w:r>
        <w:rPr/>
        <w:t>some</w:t>
      </w:r>
      <w:r>
        <w:rPr>
          <w:spacing w:val="-4"/>
        </w:rPr>
        <w:t> </w:t>
      </w:r>
      <w:r>
        <w:rPr/>
        <w:t>kind</w:t>
      </w:r>
      <w:r>
        <w:rPr>
          <w:spacing w:val="-4"/>
        </w:rPr>
        <w:t> </w:t>
      </w:r>
      <w:r>
        <w:rPr/>
        <w:t>of</w:t>
      </w:r>
      <w:r>
        <w:rPr>
          <w:spacing w:val="-3"/>
        </w:rPr>
        <w:t> </w:t>
      </w:r>
      <w:r>
        <w:rPr/>
        <w:t>anti-discrimination</w:t>
      </w:r>
      <w:r>
        <w:rPr>
          <w:spacing w:val="-4"/>
        </w:rPr>
        <w:t> </w:t>
      </w:r>
      <w:r>
        <w:rPr/>
        <w:t>or</w:t>
      </w:r>
      <w:r>
        <w:rPr>
          <w:spacing w:val="-3"/>
        </w:rPr>
        <w:t> </w:t>
      </w:r>
      <w:r>
        <w:rPr/>
        <w:t>equity policy</w:t>
      </w:r>
      <w:r>
        <w:rPr>
          <w:spacing w:val="-8"/>
        </w:rPr>
        <w:t> </w:t>
      </w:r>
      <w:r>
        <w:rPr/>
        <w:t>that</w:t>
      </w:r>
      <w:r>
        <w:rPr>
          <w:spacing w:val="-9"/>
        </w:rPr>
        <w:t> </w:t>
      </w:r>
      <w:r>
        <w:rPr/>
        <w:t>covers</w:t>
      </w:r>
      <w:r>
        <w:rPr>
          <w:spacing w:val="-9"/>
        </w:rPr>
        <w:t> </w:t>
      </w:r>
      <w:r>
        <w:rPr/>
        <w:t>conduct</w:t>
      </w:r>
      <w:r>
        <w:rPr>
          <w:spacing w:val="-7"/>
        </w:rPr>
        <w:t> </w:t>
      </w:r>
      <w:r>
        <w:rPr/>
        <w:t>not</w:t>
      </w:r>
      <w:r>
        <w:rPr>
          <w:spacing w:val="-10"/>
        </w:rPr>
        <w:t> </w:t>
      </w:r>
      <w:r>
        <w:rPr/>
        <w:t>addressed</w:t>
      </w:r>
      <w:r>
        <w:rPr>
          <w:spacing w:val="-10"/>
        </w:rPr>
        <w:t> </w:t>
      </w:r>
      <w:r>
        <w:rPr/>
        <w:t>under Title IX. By implementing policies like these, schools, colleges, and universities can ensure that their campus climates are inclusive of and welcoming to LGBTQ youth.</w:t>
      </w:r>
    </w:p>
    <w:p>
      <w:pPr>
        <w:spacing w:before="159"/>
        <w:ind w:left="458" w:right="0" w:firstLine="0"/>
        <w:jc w:val="both"/>
        <w:rPr>
          <w:sz w:val="28"/>
        </w:rPr>
      </w:pPr>
      <w:bookmarkStart w:name="Substance Use and Interventions" w:id="228"/>
      <w:bookmarkEnd w:id="228"/>
      <w:r>
        <w:rPr/>
      </w:r>
      <w:r>
        <w:rPr>
          <w:color w:val="365F91"/>
          <w:sz w:val="28"/>
        </w:rPr>
        <w:t>Substance</w:t>
      </w:r>
      <w:r>
        <w:rPr>
          <w:color w:val="365F91"/>
          <w:spacing w:val="-9"/>
          <w:sz w:val="28"/>
        </w:rPr>
        <w:t> </w:t>
      </w:r>
      <w:r>
        <w:rPr>
          <w:color w:val="365F91"/>
          <w:sz w:val="28"/>
        </w:rPr>
        <w:t>Use</w:t>
      </w:r>
      <w:r>
        <w:rPr>
          <w:color w:val="365F91"/>
          <w:spacing w:val="-9"/>
          <w:sz w:val="28"/>
        </w:rPr>
        <w:t> </w:t>
      </w:r>
      <w:r>
        <w:rPr>
          <w:color w:val="365F91"/>
          <w:sz w:val="28"/>
        </w:rPr>
        <w:t>and</w:t>
      </w:r>
      <w:r>
        <w:rPr>
          <w:color w:val="365F91"/>
          <w:spacing w:val="-10"/>
          <w:sz w:val="28"/>
        </w:rPr>
        <w:t> </w:t>
      </w:r>
      <w:r>
        <w:rPr>
          <w:color w:val="365F91"/>
          <w:spacing w:val="-2"/>
          <w:sz w:val="28"/>
        </w:rPr>
        <w:t>Interventions</w:t>
      </w:r>
    </w:p>
    <w:p>
      <w:pPr>
        <w:pStyle w:val="BodyText"/>
        <w:spacing w:line="276" w:lineRule="auto" w:before="241"/>
        <w:ind w:left="458" w:right="531"/>
        <w:jc w:val="both"/>
      </w:pPr>
      <w:r>
        <w:rPr/>
        <w:t>Substance</w:t>
      </w:r>
      <w:r>
        <w:rPr>
          <w:spacing w:val="-7"/>
        </w:rPr>
        <w:t> </w:t>
      </w:r>
      <w:r>
        <w:rPr/>
        <w:t>use</w:t>
      </w:r>
      <w:r>
        <w:rPr>
          <w:spacing w:val="-7"/>
        </w:rPr>
        <w:t> </w:t>
      </w:r>
      <w:r>
        <w:rPr/>
        <w:t>is</w:t>
      </w:r>
      <w:r>
        <w:rPr>
          <w:spacing w:val="-6"/>
        </w:rPr>
        <w:t> </w:t>
      </w:r>
      <w:r>
        <w:rPr/>
        <w:t>a</w:t>
      </w:r>
      <w:r>
        <w:rPr>
          <w:spacing w:val="-6"/>
        </w:rPr>
        <w:t> </w:t>
      </w:r>
      <w:r>
        <w:rPr/>
        <w:t>major</w:t>
      </w:r>
      <w:r>
        <w:rPr>
          <w:spacing w:val="-6"/>
        </w:rPr>
        <w:t> </w:t>
      </w:r>
      <w:r>
        <w:rPr/>
        <w:t>public</w:t>
      </w:r>
      <w:r>
        <w:rPr>
          <w:spacing w:val="-6"/>
        </w:rPr>
        <w:t> </w:t>
      </w:r>
      <w:r>
        <w:rPr/>
        <w:t>health</w:t>
      </w:r>
      <w:r>
        <w:rPr>
          <w:spacing w:val="-6"/>
        </w:rPr>
        <w:t> </w:t>
      </w:r>
      <w:r>
        <w:rPr/>
        <w:t>crisis</w:t>
      </w:r>
      <w:r>
        <w:rPr>
          <w:spacing w:val="-6"/>
        </w:rPr>
        <w:t> </w:t>
      </w:r>
      <w:r>
        <w:rPr/>
        <w:t>in</w:t>
      </w:r>
      <w:r>
        <w:rPr>
          <w:spacing w:val="-7"/>
        </w:rPr>
        <w:t> </w:t>
      </w:r>
      <w:r>
        <w:rPr/>
        <w:t>Massachusetts.</w:t>
      </w:r>
      <w:r>
        <w:rPr>
          <w:spacing w:val="-7"/>
        </w:rPr>
        <w:t> </w:t>
      </w:r>
      <w:r>
        <w:rPr/>
        <w:t>In</w:t>
      </w:r>
      <w:r>
        <w:rPr>
          <w:spacing w:val="-7"/>
        </w:rPr>
        <w:t> </w:t>
      </w:r>
      <w:r>
        <w:rPr/>
        <w:t>2022</w:t>
      </w:r>
      <w:r>
        <w:rPr>
          <w:spacing w:val="-6"/>
        </w:rPr>
        <w:t> </w:t>
      </w:r>
      <w:r>
        <w:rPr/>
        <w:t>alone,</w:t>
      </w:r>
      <w:r>
        <w:rPr>
          <w:spacing w:val="-6"/>
        </w:rPr>
        <w:t> </w:t>
      </w:r>
      <w:r>
        <w:rPr/>
        <w:t>there</w:t>
      </w:r>
      <w:r>
        <w:rPr>
          <w:spacing w:val="-7"/>
        </w:rPr>
        <w:t> </w:t>
      </w:r>
      <w:r>
        <w:rPr/>
        <w:t>were</w:t>
      </w:r>
      <w:r>
        <w:rPr>
          <w:spacing w:val="-7"/>
        </w:rPr>
        <w:t> </w:t>
      </w:r>
      <w:r>
        <w:rPr/>
        <w:t>1,340</w:t>
      </w:r>
      <w:r>
        <w:rPr>
          <w:spacing w:val="-6"/>
        </w:rPr>
        <w:t> </w:t>
      </w:r>
      <w:r>
        <w:rPr/>
        <w:t>deaths due</w:t>
      </w:r>
      <w:r>
        <w:rPr>
          <w:spacing w:val="-12"/>
        </w:rPr>
        <w:t> </w:t>
      </w:r>
      <w:r>
        <w:rPr/>
        <w:t>to</w:t>
      </w:r>
      <w:r>
        <w:rPr>
          <w:spacing w:val="-12"/>
        </w:rPr>
        <w:t> </w:t>
      </w:r>
      <w:r>
        <w:rPr/>
        <w:t>opioid</w:t>
      </w:r>
      <w:r>
        <w:rPr>
          <w:spacing w:val="-12"/>
        </w:rPr>
        <w:t> </w:t>
      </w:r>
      <w:r>
        <w:rPr/>
        <w:t>overdose,</w:t>
      </w:r>
      <w:r>
        <w:rPr>
          <w:spacing w:val="-12"/>
        </w:rPr>
        <w:t> </w:t>
      </w:r>
      <w:r>
        <w:rPr/>
        <w:t>and</w:t>
      </w:r>
      <w:r>
        <w:rPr>
          <w:spacing w:val="-13"/>
        </w:rPr>
        <w:t> </w:t>
      </w:r>
      <w:r>
        <w:rPr/>
        <w:t>almost</w:t>
      </w:r>
      <w:r>
        <w:rPr>
          <w:spacing w:val="-12"/>
        </w:rPr>
        <w:t> </w:t>
      </w:r>
      <w:r>
        <w:rPr/>
        <w:t>10%</w:t>
      </w:r>
      <w:r>
        <w:rPr>
          <w:spacing w:val="-11"/>
        </w:rPr>
        <w:t> </w:t>
      </w:r>
      <w:r>
        <w:rPr/>
        <w:t>of</w:t>
      </w:r>
      <w:r>
        <w:rPr>
          <w:spacing w:val="-13"/>
        </w:rPr>
        <w:t> </w:t>
      </w:r>
      <w:r>
        <w:rPr/>
        <w:t>deaths</w:t>
      </w:r>
      <w:r>
        <w:rPr>
          <w:spacing w:val="-11"/>
        </w:rPr>
        <w:t> </w:t>
      </w:r>
      <w:r>
        <w:rPr/>
        <w:t>in</w:t>
      </w:r>
      <w:r>
        <w:rPr>
          <w:spacing w:val="-12"/>
        </w:rPr>
        <w:t> </w:t>
      </w:r>
      <w:r>
        <w:rPr/>
        <w:t>youths</w:t>
      </w:r>
      <w:r>
        <w:rPr>
          <w:spacing w:val="-12"/>
        </w:rPr>
        <w:t> </w:t>
      </w:r>
      <w:r>
        <w:rPr/>
        <w:t>under</w:t>
      </w:r>
      <w:r>
        <w:rPr>
          <w:spacing w:val="-11"/>
        </w:rPr>
        <w:t> </w:t>
      </w:r>
      <w:r>
        <w:rPr/>
        <w:t>the</w:t>
      </w:r>
      <w:r>
        <w:rPr>
          <w:spacing w:val="-13"/>
        </w:rPr>
        <w:t> </w:t>
      </w:r>
      <w:r>
        <w:rPr/>
        <w:t>age</w:t>
      </w:r>
      <w:r>
        <w:rPr>
          <w:spacing w:val="-12"/>
        </w:rPr>
        <w:t> </w:t>
      </w:r>
      <w:r>
        <w:rPr/>
        <w:t>of</w:t>
      </w:r>
      <w:r>
        <w:rPr>
          <w:spacing w:val="-13"/>
        </w:rPr>
        <w:t> </w:t>
      </w:r>
      <w:r>
        <w:rPr/>
        <w:t>25</w:t>
      </w:r>
      <w:r>
        <w:rPr>
          <w:spacing w:val="-9"/>
        </w:rPr>
        <w:t> </w:t>
      </w:r>
      <w:r>
        <w:rPr/>
        <w:t>were</w:t>
      </w:r>
      <w:r>
        <w:rPr>
          <w:spacing w:val="-13"/>
        </w:rPr>
        <w:t> </w:t>
      </w:r>
      <w:r>
        <w:rPr/>
        <w:t>caused</w:t>
      </w:r>
      <w:r>
        <w:rPr>
          <w:spacing w:val="-11"/>
        </w:rPr>
        <w:t> </w:t>
      </w:r>
      <w:r>
        <w:rPr/>
        <w:t>by</w:t>
      </w:r>
      <w:r>
        <w:rPr>
          <w:spacing w:val="-12"/>
        </w:rPr>
        <w:t> </w:t>
      </w:r>
      <w:r>
        <w:rPr/>
        <w:t>opioid overdose. </w:t>
      </w:r>
      <w:hyperlink w:history="true" w:anchor="_bookmark94">
        <w:r>
          <w:rPr>
            <w:vertAlign w:val="superscript"/>
          </w:rPr>
          <w:t>95</w:t>
        </w:r>
      </w:hyperlink>
      <w:r>
        <w:rPr>
          <w:vertAlign w:val="baseline"/>
        </w:rPr>
        <w:t> Although there is no data regarding the gender identities or sexualities of these individuals, it is likely that several of them were LGBTQ youth. Beyond opioids, public health practitioners have been pushing for more regulation on the tobacco and alcohol industries for decades,</w:t>
      </w:r>
      <w:r>
        <w:rPr>
          <w:spacing w:val="-5"/>
          <w:vertAlign w:val="baseline"/>
        </w:rPr>
        <w:t> </w:t>
      </w:r>
      <w:r>
        <w:rPr>
          <w:vertAlign w:val="baseline"/>
        </w:rPr>
        <w:t>in</w:t>
      </w:r>
      <w:r>
        <w:rPr>
          <w:spacing w:val="-5"/>
          <w:vertAlign w:val="baseline"/>
        </w:rPr>
        <w:t> </w:t>
      </w:r>
      <w:r>
        <w:rPr>
          <w:vertAlign w:val="baseline"/>
        </w:rPr>
        <w:t>the</w:t>
      </w:r>
      <w:r>
        <w:rPr>
          <w:spacing w:val="-5"/>
          <w:vertAlign w:val="baseline"/>
        </w:rPr>
        <w:t> </w:t>
      </w:r>
      <w:r>
        <w:rPr>
          <w:vertAlign w:val="baseline"/>
        </w:rPr>
        <w:t>hopes</w:t>
      </w:r>
      <w:r>
        <w:rPr>
          <w:spacing w:val="-6"/>
          <w:vertAlign w:val="baseline"/>
        </w:rPr>
        <w:t> </w:t>
      </w:r>
      <w:r>
        <w:rPr>
          <w:vertAlign w:val="baseline"/>
        </w:rPr>
        <w:t>of</w:t>
      </w:r>
      <w:r>
        <w:rPr>
          <w:spacing w:val="-5"/>
          <w:vertAlign w:val="baseline"/>
        </w:rPr>
        <w:t> </w:t>
      </w:r>
      <w:r>
        <w:rPr>
          <w:vertAlign w:val="baseline"/>
        </w:rPr>
        <w:t>mitigating</w:t>
      </w:r>
      <w:r>
        <w:rPr>
          <w:spacing w:val="-5"/>
          <w:vertAlign w:val="baseline"/>
        </w:rPr>
        <w:t> </w:t>
      </w:r>
      <w:r>
        <w:rPr>
          <w:vertAlign w:val="baseline"/>
        </w:rPr>
        <w:t>both</w:t>
      </w:r>
      <w:r>
        <w:rPr>
          <w:spacing w:val="-5"/>
          <w:vertAlign w:val="baseline"/>
        </w:rPr>
        <w:t> </w:t>
      </w:r>
      <w:r>
        <w:rPr>
          <w:vertAlign w:val="baseline"/>
        </w:rPr>
        <w:t>the</w:t>
      </w:r>
      <w:r>
        <w:rPr>
          <w:spacing w:val="-5"/>
          <w:vertAlign w:val="baseline"/>
        </w:rPr>
        <w:t> </w:t>
      </w:r>
      <w:r>
        <w:rPr>
          <w:vertAlign w:val="baseline"/>
        </w:rPr>
        <w:t>short-term</w:t>
      </w:r>
      <w:r>
        <w:rPr>
          <w:spacing w:val="-5"/>
          <w:vertAlign w:val="baseline"/>
        </w:rPr>
        <w:t> </w:t>
      </w:r>
      <w:r>
        <w:rPr>
          <w:vertAlign w:val="baseline"/>
        </w:rPr>
        <w:t>consequences</w:t>
      </w:r>
      <w:r>
        <w:rPr>
          <w:spacing w:val="-5"/>
          <w:vertAlign w:val="baseline"/>
        </w:rPr>
        <w:t> </w:t>
      </w:r>
      <w:r>
        <w:rPr>
          <w:vertAlign w:val="baseline"/>
        </w:rPr>
        <w:t>(such</w:t>
      </w:r>
      <w:r>
        <w:rPr>
          <w:spacing w:val="-5"/>
          <w:vertAlign w:val="baseline"/>
        </w:rPr>
        <w:t> </w:t>
      </w:r>
      <w:r>
        <w:rPr>
          <w:vertAlign w:val="baseline"/>
        </w:rPr>
        <w:t>as</w:t>
      </w:r>
      <w:r>
        <w:rPr>
          <w:spacing w:val="-6"/>
          <w:vertAlign w:val="baseline"/>
        </w:rPr>
        <w:t> </w:t>
      </w:r>
      <w:r>
        <w:rPr>
          <w:vertAlign w:val="baseline"/>
        </w:rPr>
        <w:t>drunk</w:t>
      </w:r>
      <w:r>
        <w:rPr>
          <w:spacing w:val="-5"/>
          <w:vertAlign w:val="baseline"/>
        </w:rPr>
        <w:t> </w:t>
      </w:r>
      <w:r>
        <w:rPr>
          <w:vertAlign w:val="baseline"/>
        </w:rPr>
        <w:t>driving),</w:t>
      </w:r>
      <w:r>
        <w:rPr>
          <w:spacing w:val="-6"/>
          <w:vertAlign w:val="baseline"/>
        </w:rPr>
        <w:t> </w:t>
      </w:r>
      <w:r>
        <w:rPr>
          <w:vertAlign w:val="baseline"/>
        </w:rPr>
        <w:t>as</w:t>
      </w:r>
      <w:r>
        <w:rPr>
          <w:spacing w:val="-6"/>
          <w:vertAlign w:val="baseline"/>
        </w:rPr>
        <w:t> </w:t>
      </w:r>
      <w:r>
        <w:rPr>
          <w:vertAlign w:val="baseline"/>
        </w:rPr>
        <w:t>well</w:t>
      </w:r>
    </w:p>
    <w:p>
      <w:pPr>
        <w:spacing w:after="0" w:line="276" w:lineRule="auto"/>
        <w:jc w:val="both"/>
        <w:sectPr>
          <w:pgSz w:w="11910" w:h="16840"/>
          <w:pgMar w:header="804" w:footer="1230" w:top="1080" w:bottom="1460" w:left="980" w:right="900"/>
        </w:sectPr>
      </w:pPr>
    </w:p>
    <w:p>
      <w:pPr>
        <w:pStyle w:val="BodyText"/>
        <w:spacing w:line="276" w:lineRule="auto" w:before="69"/>
        <w:ind w:left="458" w:right="532"/>
        <w:jc w:val="both"/>
      </w:pPr>
      <w:r>
        <w:rPr/>
        <w:t>as the long-term (such as lung cancer from secondhand smoke) for youths and adults. Substance use and substance use disorders stem from a variety of factors including </w:t>
      </w:r>
      <w:r>
        <w:rPr>
          <w:color w:val="000000"/>
          <w:shd w:fill="FAFAFA" w:color="auto" w:val="clear"/>
        </w:rPr>
        <w:t>victimization (experiencing</w:t>
      </w:r>
      <w:r>
        <w:rPr>
          <w:color w:val="000000"/>
        </w:rPr>
        <w:t> </w:t>
      </w:r>
      <w:r>
        <w:rPr>
          <w:color w:val="000000"/>
          <w:shd w:fill="FAFAFA" w:color="auto" w:val="clear"/>
        </w:rPr>
        <w:t>harassment,</w:t>
      </w:r>
      <w:r>
        <w:rPr>
          <w:color w:val="000000"/>
          <w:spacing w:val="-8"/>
          <w:shd w:fill="FAFAFA" w:color="auto" w:val="clear"/>
        </w:rPr>
        <w:t> </w:t>
      </w:r>
      <w:r>
        <w:rPr>
          <w:color w:val="000000"/>
          <w:shd w:fill="FAFAFA" w:color="auto" w:val="clear"/>
        </w:rPr>
        <w:t>discrimination,</w:t>
      </w:r>
      <w:r>
        <w:rPr>
          <w:color w:val="000000"/>
          <w:spacing w:val="-9"/>
          <w:shd w:fill="FAFAFA" w:color="auto" w:val="clear"/>
        </w:rPr>
        <w:t> </w:t>
      </w:r>
      <w:r>
        <w:rPr>
          <w:color w:val="000000"/>
          <w:shd w:fill="FAFAFA" w:color="auto" w:val="clear"/>
        </w:rPr>
        <w:t>or</w:t>
      </w:r>
      <w:r>
        <w:rPr>
          <w:color w:val="000000"/>
          <w:spacing w:val="-9"/>
          <w:shd w:fill="FAFAFA" w:color="auto" w:val="clear"/>
        </w:rPr>
        <w:t> </w:t>
      </w:r>
      <w:r>
        <w:rPr>
          <w:color w:val="000000"/>
          <w:shd w:fill="FAFAFA" w:color="auto" w:val="clear"/>
        </w:rPr>
        <w:t>physical</w:t>
      </w:r>
      <w:r>
        <w:rPr>
          <w:color w:val="000000"/>
          <w:spacing w:val="-9"/>
          <w:shd w:fill="FAFAFA" w:color="auto" w:val="clear"/>
        </w:rPr>
        <w:t> </w:t>
      </w:r>
      <w:r>
        <w:rPr>
          <w:color w:val="000000"/>
          <w:shd w:fill="FAFAFA" w:color="auto" w:val="clear"/>
        </w:rPr>
        <w:t>violence),</w:t>
      </w:r>
      <w:r>
        <w:rPr>
          <w:color w:val="000000"/>
          <w:spacing w:val="-9"/>
          <w:shd w:fill="FAFAFA" w:color="auto" w:val="clear"/>
        </w:rPr>
        <w:t> </w:t>
      </w:r>
      <w:r>
        <w:rPr>
          <w:color w:val="000000"/>
          <w:shd w:fill="FAFAFA" w:color="auto" w:val="clear"/>
        </w:rPr>
        <w:t>a</w:t>
      </w:r>
      <w:r>
        <w:rPr>
          <w:color w:val="000000"/>
          <w:spacing w:val="-9"/>
          <w:shd w:fill="FAFAFA" w:color="auto" w:val="clear"/>
        </w:rPr>
        <w:t> </w:t>
      </w:r>
      <w:r>
        <w:rPr>
          <w:color w:val="000000"/>
          <w:shd w:fill="FAFAFA" w:color="auto" w:val="clear"/>
        </w:rPr>
        <w:t>lack</w:t>
      </w:r>
      <w:r>
        <w:rPr>
          <w:color w:val="000000"/>
          <w:spacing w:val="-9"/>
          <w:shd w:fill="FAFAFA" w:color="auto" w:val="clear"/>
        </w:rPr>
        <w:t> </w:t>
      </w:r>
      <w:r>
        <w:rPr>
          <w:color w:val="000000"/>
          <w:shd w:fill="FAFAFA" w:color="auto" w:val="clear"/>
        </w:rPr>
        <w:t>of</w:t>
      </w:r>
      <w:r>
        <w:rPr>
          <w:color w:val="000000"/>
          <w:spacing w:val="-9"/>
          <w:shd w:fill="FAFAFA" w:color="auto" w:val="clear"/>
        </w:rPr>
        <w:t> </w:t>
      </w:r>
      <w:r>
        <w:rPr>
          <w:color w:val="000000"/>
          <w:shd w:fill="FAFAFA" w:color="auto" w:val="clear"/>
        </w:rPr>
        <w:t>support</w:t>
      </w:r>
      <w:r>
        <w:rPr>
          <w:color w:val="000000"/>
          <w:spacing w:val="-9"/>
          <w:shd w:fill="FAFAFA" w:color="auto" w:val="clear"/>
        </w:rPr>
        <w:t> </w:t>
      </w:r>
      <w:r>
        <w:rPr>
          <w:color w:val="000000"/>
          <w:shd w:fill="FAFAFA" w:color="auto" w:val="clear"/>
        </w:rPr>
        <w:t>for</w:t>
      </w:r>
      <w:r>
        <w:rPr>
          <w:color w:val="000000"/>
          <w:spacing w:val="-9"/>
          <w:shd w:fill="FAFAFA" w:color="auto" w:val="clear"/>
        </w:rPr>
        <w:t> </w:t>
      </w:r>
      <w:r>
        <w:rPr>
          <w:color w:val="000000"/>
          <w:shd w:fill="FAFAFA" w:color="auto" w:val="clear"/>
        </w:rPr>
        <w:t>LGBTQ</w:t>
      </w:r>
      <w:r>
        <w:rPr>
          <w:color w:val="000000"/>
          <w:spacing w:val="-9"/>
          <w:shd w:fill="FAFAFA" w:color="auto" w:val="clear"/>
        </w:rPr>
        <w:t> </w:t>
      </w:r>
      <w:r>
        <w:rPr>
          <w:color w:val="000000"/>
          <w:shd w:fill="FAFAFA" w:color="auto" w:val="clear"/>
        </w:rPr>
        <w:t>identity</w:t>
      </w:r>
      <w:r>
        <w:rPr>
          <w:color w:val="000000"/>
          <w:spacing w:val="-9"/>
          <w:shd w:fill="FAFAFA" w:color="auto" w:val="clear"/>
        </w:rPr>
        <w:t> </w:t>
      </w:r>
      <w:r>
        <w:rPr>
          <w:color w:val="000000"/>
          <w:shd w:fill="FAFAFA" w:color="auto" w:val="clear"/>
        </w:rPr>
        <w:t>(at</w:t>
      </w:r>
      <w:r>
        <w:rPr>
          <w:color w:val="000000"/>
          <w:spacing w:val="-9"/>
          <w:shd w:fill="FAFAFA" w:color="auto" w:val="clear"/>
        </w:rPr>
        <w:t> </w:t>
      </w:r>
      <w:r>
        <w:rPr>
          <w:color w:val="000000"/>
          <w:shd w:fill="FAFAFA" w:color="auto" w:val="clear"/>
        </w:rPr>
        <w:t>home,</w:t>
      </w:r>
      <w:r>
        <w:rPr>
          <w:color w:val="000000"/>
          <w:spacing w:val="-9"/>
          <w:shd w:fill="FAFAFA" w:color="auto" w:val="clear"/>
        </w:rPr>
        <w:t> </w:t>
      </w:r>
      <w:r>
        <w:rPr>
          <w:color w:val="000000"/>
          <w:shd w:fill="FAFAFA" w:color="auto" w:val="clear"/>
        </w:rPr>
        <w:t>in</w:t>
      </w:r>
      <w:r>
        <w:rPr>
          <w:color w:val="000000"/>
          <w:spacing w:val="-9"/>
          <w:shd w:fill="FAFAFA" w:color="auto" w:val="clear"/>
        </w:rPr>
        <w:t> </w:t>
      </w:r>
      <w:r>
        <w:rPr>
          <w:color w:val="000000"/>
          <w:shd w:fill="FAFAFA" w:color="auto" w:val="clear"/>
        </w:rPr>
        <w:t>the</w:t>
      </w:r>
      <w:r>
        <w:rPr>
          <w:color w:val="000000"/>
        </w:rPr>
        <w:t> </w:t>
      </w:r>
      <w:r>
        <w:rPr>
          <w:color w:val="000000"/>
          <w:shd w:fill="FAFAFA" w:color="auto" w:val="clear"/>
        </w:rPr>
        <w:t>community, or at school), psychological stress due to personal experiences or current events, and a</w:t>
      </w:r>
      <w:r>
        <w:rPr>
          <w:color w:val="000000"/>
        </w:rPr>
        <w:t> </w:t>
      </w:r>
      <w:r>
        <w:rPr>
          <w:color w:val="000000"/>
          <w:shd w:fill="FAFAFA" w:color="auto" w:val="clear"/>
        </w:rPr>
        <w:t>lack of secure and stable housing. </w:t>
      </w:r>
      <w:hyperlink w:history="true" w:anchor="_bookmark94">
        <w:r>
          <w:rPr>
            <w:color w:val="000000"/>
            <w:vertAlign w:val="superscript"/>
          </w:rPr>
          <w:t>96</w:t>
        </w:r>
      </w:hyperlink>
      <w:r>
        <w:rPr>
          <w:color w:val="000000"/>
          <w:vertAlign w:val="baseline"/>
        </w:rPr>
        <w:t> Transgender and gender expansive youth are particularly vulnerable to these factors due to increased victimization and discrimination</w:t>
      </w:r>
      <w:hyperlink w:history="true" w:anchor="_bookmark94">
        <w:r>
          <w:rPr>
            <w:color w:val="000000"/>
            <w:vertAlign w:val="baseline"/>
          </w:rPr>
          <w:t>.</w:t>
        </w:r>
        <w:r>
          <w:rPr>
            <w:color w:val="000000"/>
            <w:vertAlign w:val="superscript"/>
          </w:rPr>
          <w:t>97</w:t>
        </w:r>
      </w:hyperlink>
      <w:r>
        <w:rPr>
          <w:color w:val="000000"/>
          <w:vertAlign w:val="baseline"/>
        </w:rPr>
        <w:t> In regard to tobacco products,</w:t>
      </w:r>
      <w:r>
        <w:rPr>
          <w:color w:val="000000"/>
          <w:spacing w:val="-6"/>
          <w:vertAlign w:val="baseline"/>
        </w:rPr>
        <w:t> </w:t>
      </w:r>
      <w:r>
        <w:rPr>
          <w:color w:val="000000"/>
          <w:vertAlign w:val="baseline"/>
        </w:rPr>
        <w:t>17.0%</w:t>
      </w:r>
      <w:r>
        <w:rPr>
          <w:color w:val="000000"/>
          <w:spacing w:val="-8"/>
          <w:vertAlign w:val="baseline"/>
        </w:rPr>
        <w:t> </w:t>
      </w:r>
      <w:r>
        <w:rPr>
          <w:color w:val="000000"/>
          <w:vertAlign w:val="baseline"/>
        </w:rPr>
        <w:t>of</w:t>
      </w:r>
      <w:r>
        <w:rPr>
          <w:color w:val="000000"/>
          <w:spacing w:val="-8"/>
          <w:vertAlign w:val="baseline"/>
        </w:rPr>
        <w:t> </w:t>
      </w:r>
      <w:r>
        <w:rPr>
          <w:color w:val="000000"/>
          <w:vertAlign w:val="baseline"/>
        </w:rPr>
        <w:t>Massachusetts</w:t>
      </w:r>
      <w:r>
        <w:rPr>
          <w:color w:val="000000"/>
          <w:spacing w:val="-6"/>
          <w:vertAlign w:val="baseline"/>
        </w:rPr>
        <w:t> </w:t>
      </w:r>
      <w:r>
        <w:rPr>
          <w:color w:val="000000"/>
          <w:vertAlign w:val="baseline"/>
        </w:rPr>
        <w:t>LGBTQ</w:t>
      </w:r>
      <w:r>
        <w:rPr>
          <w:color w:val="000000"/>
          <w:spacing w:val="-8"/>
          <w:vertAlign w:val="baseline"/>
        </w:rPr>
        <w:t> </w:t>
      </w:r>
      <w:r>
        <w:rPr>
          <w:color w:val="000000"/>
          <w:vertAlign w:val="baseline"/>
        </w:rPr>
        <w:t>youth</w:t>
      </w:r>
      <w:r>
        <w:rPr>
          <w:color w:val="000000"/>
          <w:spacing w:val="-8"/>
          <w:vertAlign w:val="baseline"/>
        </w:rPr>
        <w:t> </w:t>
      </w:r>
      <w:r>
        <w:rPr>
          <w:color w:val="000000"/>
          <w:vertAlign w:val="baseline"/>
        </w:rPr>
        <w:t>in</w:t>
      </w:r>
      <w:r>
        <w:rPr>
          <w:color w:val="000000"/>
          <w:spacing w:val="-7"/>
          <w:vertAlign w:val="baseline"/>
        </w:rPr>
        <w:t> </w:t>
      </w:r>
      <w:r>
        <w:rPr>
          <w:color w:val="000000"/>
          <w:vertAlign w:val="baseline"/>
        </w:rPr>
        <w:t>grades</w:t>
      </w:r>
      <w:r>
        <w:rPr>
          <w:color w:val="000000"/>
          <w:spacing w:val="-7"/>
          <w:vertAlign w:val="baseline"/>
        </w:rPr>
        <w:t> </w:t>
      </w:r>
      <w:r>
        <w:rPr>
          <w:color w:val="000000"/>
          <w:vertAlign w:val="baseline"/>
        </w:rPr>
        <w:t>9-12</w:t>
      </w:r>
      <w:r>
        <w:rPr>
          <w:color w:val="000000"/>
          <w:spacing w:val="-8"/>
          <w:vertAlign w:val="baseline"/>
        </w:rPr>
        <w:t> </w:t>
      </w:r>
      <w:r>
        <w:rPr>
          <w:color w:val="000000"/>
          <w:vertAlign w:val="baseline"/>
        </w:rPr>
        <w:t>report</w:t>
      </w:r>
      <w:r>
        <w:rPr>
          <w:color w:val="000000"/>
          <w:spacing w:val="-8"/>
          <w:vertAlign w:val="baseline"/>
        </w:rPr>
        <w:t> </w:t>
      </w:r>
      <w:r>
        <w:rPr>
          <w:color w:val="000000"/>
          <w:vertAlign w:val="baseline"/>
        </w:rPr>
        <w:t>having</w:t>
      </w:r>
      <w:r>
        <w:rPr>
          <w:color w:val="000000"/>
          <w:spacing w:val="-7"/>
          <w:vertAlign w:val="baseline"/>
        </w:rPr>
        <w:t> </w:t>
      </w:r>
      <w:r>
        <w:rPr>
          <w:color w:val="000000"/>
          <w:vertAlign w:val="baseline"/>
        </w:rPr>
        <w:t>ever</w:t>
      </w:r>
      <w:r>
        <w:rPr>
          <w:color w:val="000000"/>
          <w:spacing w:val="-8"/>
          <w:vertAlign w:val="baseline"/>
        </w:rPr>
        <w:t> </w:t>
      </w:r>
      <w:r>
        <w:rPr>
          <w:color w:val="000000"/>
          <w:vertAlign w:val="baseline"/>
        </w:rPr>
        <w:t>smoked</w:t>
      </w:r>
      <w:r>
        <w:rPr>
          <w:color w:val="000000"/>
          <w:spacing w:val="-7"/>
          <w:vertAlign w:val="baseline"/>
        </w:rPr>
        <w:t> </w:t>
      </w:r>
      <w:r>
        <w:rPr>
          <w:color w:val="000000"/>
          <w:vertAlign w:val="baseline"/>
        </w:rPr>
        <w:t>a</w:t>
      </w:r>
      <w:r>
        <w:rPr>
          <w:color w:val="000000"/>
          <w:spacing w:val="-6"/>
          <w:vertAlign w:val="baseline"/>
        </w:rPr>
        <w:t> </w:t>
      </w:r>
      <w:r>
        <w:rPr>
          <w:color w:val="000000"/>
          <w:vertAlign w:val="baseline"/>
        </w:rPr>
        <w:t>cigarette, while 35.4% reporting having ever used a vape product</w:t>
      </w:r>
      <w:hyperlink w:history="true" w:anchor="_bookmark94">
        <w:r>
          <w:rPr>
            <w:color w:val="000000"/>
            <w:vertAlign w:val="baseline"/>
          </w:rPr>
          <w:t>.</w:t>
        </w:r>
        <w:r>
          <w:rPr>
            <w:color w:val="000000"/>
            <w:vertAlign w:val="superscript"/>
          </w:rPr>
          <w:t>98</w:t>
        </w:r>
      </w:hyperlink>
      <w:r>
        <w:rPr>
          <w:color w:val="000000"/>
          <w:vertAlign w:val="baseline"/>
        </w:rPr>
        <w:t> Likewise, 24.5% of LGBTQ youth reported drinking alcohol within the last 30 days, and 32.4% of LGBTQ reported ever having used marijuana</w:t>
      </w:r>
      <w:hyperlink w:history="true" w:anchor="_bookmark94">
        <w:r>
          <w:rPr>
            <w:color w:val="000000"/>
            <w:vertAlign w:val="baseline"/>
          </w:rPr>
          <w:t>.</w:t>
        </w:r>
        <w:r>
          <w:rPr>
            <w:color w:val="000000"/>
            <w:vertAlign w:val="superscript"/>
          </w:rPr>
          <w:t>99</w:t>
        </w:r>
      </w:hyperlink>
    </w:p>
    <w:p>
      <w:pPr>
        <w:pStyle w:val="BodyText"/>
        <w:spacing w:line="276" w:lineRule="auto" w:before="240"/>
        <w:ind w:left="4538" w:right="533"/>
        <w:jc w:val="both"/>
      </w:pPr>
      <w:r>
        <w:rPr/>
        <w:drawing>
          <wp:anchor distT="0" distB="0" distL="0" distR="0" allowOverlap="1" layoutInCell="1" locked="0" behindDoc="0" simplePos="0" relativeHeight="15754240">
            <wp:simplePos x="0" y="0"/>
            <wp:positionH relativeFrom="page">
              <wp:posOffset>914400</wp:posOffset>
            </wp:positionH>
            <wp:positionV relativeFrom="paragraph">
              <wp:posOffset>508380</wp:posOffset>
            </wp:positionV>
            <wp:extent cx="2336164" cy="3371211"/>
            <wp:effectExtent l="0" t="0" r="0" b="0"/>
            <wp:wrapNone/>
            <wp:docPr id="185" name="Image 185" descr="A screenshot of a cell phone  Description automatically generated "/>
            <wp:cNvGraphicFramePr>
              <a:graphicFrameLocks/>
            </wp:cNvGraphicFramePr>
            <a:graphic>
              <a:graphicData uri="http://schemas.openxmlformats.org/drawingml/2006/picture">
                <pic:pic>
                  <pic:nvPicPr>
                    <pic:cNvPr id="185" name="Image 185" descr="A screenshot of a cell phone  Description automatically generated "/>
                    <pic:cNvPicPr/>
                  </pic:nvPicPr>
                  <pic:blipFill>
                    <a:blip r:embed="rId136" cstate="print"/>
                    <a:stretch>
                      <a:fillRect/>
                    </a:stretch>
                  </pic:blipFill>
                  <pic:spPr>
                    <a:xfrm>
                      <a:off x="0" y="0"/>
                      <a:ext cx="2336164" cy="3371211"/>
                    </a:xfrm>
                    <a:prstGeom prst="rect">
                      <a:avLst/>
                    </a:prstGeom>
                  </pic:spPr>
                </pic:pic>
              </a:graphicData>
            </a:graphic>
          </wp:anchor>
        </w:drawing>
      </w:r>
      <w:r>
        <w:rPr/>
        <w:t>Among</w:t>
      </w:r>
      <w:r>
        <w:rPr>
          <w:spacing w:val="-4"/>
        </w:rPr>
        <w:t> </w:t>
      </w:r>
      <w:r>
        <w:rPr/>
        <w:t>Massachusetts</w:t>
      </w:r>
      <w:r>
        <w:rPr>
          <w:spacing w:val="-3"/>
        </w:rPr>
        <w:t> </w:t>
      </w:r>
      <w:r>
        <w:rPr/>
        <w:t>LGBTQ</w:t>
      </w:r>
      <w:r>
        <w:rPr>
          <w:spacing w:val="-4"/>
        </w:rPr>
        <w:t> </w:t>
      </w:r>
      <w:r>
        <w:rPr/>
        <w:t>youth</w:t>
      </w:r>
      <w:r>
        <w:rPr>
          <w:spacing w:val="-4"/>
        </w:rPr>
        <w:t> </w:t>
      </w:r>
      <w:r>
        <w:rPr/>
        <w:t>of</w:t>
      </w:r>
      <w:r>
        <w:rPr>
          <w:spacing w:val="-2"/>
        </w:rPr>
        <w:t> </w:t>
      </w:r>
      <w:r>
        <w:rPr/>
        <w:t>color</w:t>
      </w:r>
      <w:r>
        <w:rPr>
          <w:spacing w:val="-3"/>
        </w:rPr>
        <w:t> </w:t>
      </w:r>
      <w:r>
        <w:rPr/>
        <w:t>ages</w:t>
      </w:r>
      <w:r>
        <w:rPr>
          <w:spacing w:val="-3"/>
        </w:rPr>
        <w:t> </w:t>
      </w:r>
      <w:r>
        <w:rPr/>
        <w:t>13</w:t>
      </w:r>
      <w:r>
        <w:rPr>
          <w:spacing w:val="-3"/>
        </w:rPr>
        <w:t> </w:t>
      </w:r>
      <w:r>
        <w:rPr/>
        <w:t>to 25 who responded to the Our Health Matters Survey, </w:t>
      </w:r>
      <w:r>
        <w:rPr>
          <w:spacing w:val="-2"/>
        </w:rPr>
        <w:t>37.9%</w:t>
      </w:r>
      <w:r>
        <w:rPr>
          <w:spacing w:val="-5"/>
        </w:rPr>
        <w:t> </w:t>
      </w:r>
      <w:r>
        <w:rPr>
          <w:spacing w:val="-2"/>
        </w:rPr>
        <w:t>reported</w:t>
      </w:r>
      <w:r>
        <w:rPr>
          <w:spacing w:val="-5"/>
        </w:rPr>
        <w:t> </w:t>
      </w:r>
      <w:r>
        <w:rPr>
          <w:spacing w:val="-2"/>
        </w:rPr>
        <w:t>having</w:t>
      </w:r>
      <w:r>
        <w:rPr>
          <w:spacing w:val="-3"/>
        </w:rPr>
        <w:t> </w:t>
      </w:r>
      <w:r>
        <w:rPr>
          <w:spacing w:val="-2"/>
        </w:rPr>
        <w:t>smoked</w:t>
      </w:r>
      <w:r>
        <w:rPr>
          <w:spacing w:val="-5"/>
        </w:rPr>
        <w:t> </w:t>
      </w:r>
      <w:r>
        <w:rPr>
          <w:spacing w:val="-2"/>
        </w:rPr>
        <w:t>cigarettes</w:t>
      </w:r>
      <w:r>
        <w:rPr>
          <w:spacing w:val="-5"/>
        </w:rPr>
        <w:t> </w:t>
      </w:r>
      <w:r>
        <w:rPr>
          <w:spacing w:val="-2"/>
        </w:rPr>
        <w:t>within</w:t>
      </w:r>
      <w:r>
        <w:rPr>
          <w:spacing w:val="-3"/>
        </w:rPr>
        <w:t> </w:t>
      </w:r>
      <w:r>
        <w:rPr>
          <w:spacing w:val="-2"/>
        </w:rPr>
        <w:t>the</w:t>
      </w:r>
      <w:r>
        <w:rPr>
          <w:spacing w:val="-5"/>
        </w:rPr>
        <w:t> </w:t>
      </w:r>
      <w:r>
        <w:rPr>
          <w:spacing w:val="-2"/>
        </w:rPr>
        <w:t>last </w:t>
      </w:r>
      <w:r>
        <w:rPr/>
        <w:t>30 days, with 13.9% of those respondents reporting smoking</w:t>
      </w:r>
      <w:r>
        <w:rPr>
          <w:spacing w:val="-8"/>
        </w:rPr>
        <w:t> </w:t>
      </w:r>
      <w:r>
        <w:rPr/>
        <w:t>10-19</w:t>
      </w:r>
      <w:r>
        <w:rPr>
          <w:spacing w:val="-8"/>
        </w:rPr>
        <w:t> </w:t>
      </w:r>
      <w:r>
        <w:rPr/>
        <w:t>days</w:t>
      </w:r>
      <w:r>
        <w:rPr>
          <w:spacing w:val="-8"/>
        </w:rPr>
        <w:t> </w:t>
      </w:r>
      <w:r>
        <w:rPr/>
        <w:t>out</w:t>
      </w:r>
      <w:r>
        <w:rPr>
          <w:spacing w:val="-8"/>
        </w:rPr>
        <w:t> </w:t>
      </w:r>
      <w:r>
        <w:rPr/>
        <w:t>of</w:t>
      </w:r>
      <w:r>
        <w:rPr>
          <w:spacing w:val="-7"/>
        </w:rPr>
        <w:t> </w:t>
      </w:r>
      <w:r>
        <w:rPr/>
        <w:t>the</w:t>
      </w:r>
      <w:r>
        <w:rPr>
          <w:spacing w:val="-7"/>
        </w:rPr>
        <w:t> </w:t>
      </w:r>
      <w:r>
        <w:rPr/>
        <w:t>past</w:t>
      </w:r>
      <w:r>
        <w:rPr>
          <w:spacing w:val="-8"/>
        </w:rPr>
        <w:t> </w:t>
      </w:r>
      <w:r>
        <w:rPr/>
        <w:t>30</w:t>
      </w:r>
      <w:r>
        <w:rPr>
          <w:spacing w:val="-7"/>
        </w:rPr>
        <w:t> </w:t>
      </w:r>
      <w:r>
        <w:rPr/>
        <w:t>days.</w:t>
      </w:r>
      <w:hyperlink w:history="true" w:anchor="_bookmark94">
        <w:r>
          <w:rPr>
            <w:vertAlign w:val="superscript"/>
          </w:rPr>
          <w:t>100</w:t>
        </w:r>
      </w:hyperlink>
      <w:r>
        <w:rPr>
          <w:spacing w:val="-8"/>
          <w:vertAlign w:val="baseline"/>
        </w:rPr>
        <w:t> </w:t>
      </w:r>
      <w:r>
        <w:rPr>
          <w:vertAlign w:val="baseline"/>
        </w:rPr>
        <w:t>In</w:t>
      </w:r>
      <w:r>
        <w:rPr>
          <w:spacing w:val="-8"/>
          <w:vertAlign w:val="baseline"/>
        </w:rPr>
        <w:t> </w:t>
      </w:r>
      <w:r>
        <w:rPr>
          <w:vertAlign w:val="baseline"/>
        </w:rPr>
        <w:t>regard to alcohol, 51.9% of respondents reported binge drinking in the last 30 days</w:t>
      </w:r>
      <w:hyperlink w:history="true" w:anchor="_bookmark94">
        <w:r>
          <w:rPr>
            <w:vertAlign w:val="baseline"/>
          </w:rPr>
          <w:t>.</w:t>
        </w:r>
        <w:r>
          <w:rPr>
            <w:vertAlign w:val="superscript"/>
          </w:rPr>
          <w:t>101</w:t>
        </w:r>
      </w:hyperlink>
      <w:r>
        <w:rPr>
          <w:vertAlign w:val="baseline"/>
        </w:rPr>
        <w:t> Similarly, 53.0% of respondents reported smoking marijuana within the </w:t>
      </w:r>
      <w:r>
        <w:rPr>
          <w:spacing w:val="-2"/>
          <w:vertAlign w:val="baseline"/>
        </w:rPr>
        <w:t>past</w:t>
      </w:r>
      <w:r>
        <w:rPr>
          <w:spacing w:val="-6"/>
          <w:vertAlign w:val="baseline"/>
        </w:rPr>
        <w:t> </w:t>
      </w:r>
      <w:r>
        <w:rPr>
          <w:spacing w:val="-2"/>
          <w:vertAlign w:val="baseline"/>
        </w:rPr>
        <w:t>30</w:t>
      </w:r>
      <w:r>
        <w:rPr>
          <w:spacing w:val="-5"/>
          <w:vertAlign w:val="baseline"/>
        </w:rPr>
        <w:t> </w:t>
      </w:r>
      <w:r>
        <w:rPr>
          <w:spacing w:val="-2"/>
          <w:vertAlign w:val="baseline"/>
        </w:rPr>
        <w:t>days,</w:t>
      </w:r>
      <w:r>
        <w:rPr>
          <w:spacing w:val="-4"/>
          <w:vertAlign w:val="baseline"/>
        </w:rPr>
        <w:t> </w:t>
      </w:r>
      <w:r>
        <w:rPr>
          <w:spacing w:val="-2"/>
          <w:vertAlign w:val="baseline"/>
        </w:rPr>
        <w:t>with</w:t>
      </w:r>
      <w:r>
        <w:rPr>
          <w:spacing w:val="-5"/>
          <w:vertAlign w:val="baseline"/>
        </w:rPr>
        <w:t> </w:t>
      </w:r>
      <w:r>
        <w:rPr>
          <w:spacing w:val="-2"/>
          <w:vertAlign w:val="baseline"/>
        </w:rPr>
        <w:t>13.2%</w:t>
      </w:r>
      <w:r>
        <w:rPr>
          <w:spacing w:val="-6"/>
          <w:vertAlign w:val="baseline"/>
        </w:rPr>
        <w:t> </w:t>
      </w:r>
      <w:r>
        <w:rPr>
          <w:spacing w:val="-2"/>
          <w:vertAlign w:val="baseline"/>
        </w:rPr>
        <w:t>of</w:t>
      </w:r>
      <w:r>
        <w:rPr>
          <w:spacing w:val="-5"/>
          <w:vertAlign w:val="baseline"/>
        </w:rPr>
        <w:t> </w:t>
      </w:r>
      <w:r>
        <w:rPr>
          <w:spacing w:val="-2"/>
          <w:vertAlign w:val="baseline"/>
        </w:rPr>
        <w:t>those</w:t>
      </w:r>
      <w:r>
        <w:rPr>
          <w:spacing w:val="-5"/>
          <w:vertAlign w:val="baseline"/>
        </w:rPr>
        <w:t> </w:t>
      </w:r>
      <w:r>
        <w:rPr>
          <w:spacing w:val="-2"/>
          <w:vertAlign w:val="baseline"/>
        </w:rPr>
        <w:t>respondents</w:t>
      </w:r>
      <w:r>
        <w:rPr>
          <w:spacing w:val="-4"/>
          <w:vertAlign w:val="baseline"/>
        </w:rPr>
        <w:t> </w:t>
      </w:r>
      <w:r>
        <w:rPr>
          <w:spacing w:val="-2"/>
          <w:vertAlign w:val="baseline"/>
        </w:rPr>
        <w:t>reporting </w:t>
      </w:r>
      <w:r>
        <w:rPr>
          <w:vertAlign w:val="baseline"/>
        </w:rPr>
        <w:t>smoking 40 or more times during the past 30 days</w:t>
      </w:r>
      <w:hyperlink w:history="true" w:anchor="_bookmark94">
        <w:r>
          <w:rPr>
            <w:vertAlign w:val="baseline"/>
          </w:rPr>
          <w:t>.</w:t>
        </w:r>
        <w:r>
          <w:rPr>
            <w:vertAlign w:val="superscript"/>
          </w:rPr>
          <w:t>102</w:t>
        </w:r>
      </w:hyperlink>
      <w:r>
        <w:rPr>
          <w:vertAlign w:val="baseline"/>
        </w:rPr>
        <w:t> 21.4% of respondents reported misusing prescription drugs within the last 30 days</w:t>
      </w:r>
      <w:hyperlink w:history="true" w:anchor="_bookmark94">
        <w:r>
          <w:rPr>
            <w:vertAlign w:val="baseline"/>
          </w:rPr>
          <w:t>.</w:t>
        </w:r>
        <w:r>
          <w:rPr>
            <w:vertAlign w:val="superscript"/>
          </w:rPr>
          <w:t>103</w:t>
        </w:r>
      </w:hyperlink>
      <w:r>
        <w:rPr>
          <w:vertAlign w:val="baseline"/>
        </w:rPr>
        <w:t> For controlled substances, 18.5% of youth had ever used MDMA (ecstasy),</w:t>
      </w:r>
      <w:r>
        <w:rPr>
          <w:spacing w:val="-2"/>
          <w:vertAlign w:val="baseline"/>
        </w:rPr>
        <w:t> </w:t>
      </w:r>
      <w:r>
        <w:rPr>
          <w:vertAlign w:val="baseline"/>
        </w:rPr>
        <w:t>19.2%</w:t>
      </w:r>
      <w:r>
        <w:rPr>
          <w:spacing w:val="-2"/>
          <w:vertAlign w:val="baseline"/>
        </w:rPr>
        <w:t> </w:t>
      </w:r>
      <w:r>
        <w:rPr>
          <w:vertAlign w:val="baseline"/>
        </w:rPr>
        <w:t>of</w:t>
      </w:r>
      <w:r>
        <w:rPr>
          <w:spacing w:val="-2"/>
          <w:vertAlign w:val="baseline"/>
        </w:rPr>
        <w:t> </w:t>
      </w:r>
      <w:r>
        <w:rPr>
          <w:vertAlign w:val="baseline"/>
        </w:rPr>
        <w:t>youth</w:t>
      </w:r>
      <w:r>
        <w:rPr>
          <w:spacing w:val="-2"/>
          <w:vertAlign w:val="baseline"/>
        </w:rPr>
        <w:t> </w:t>
      </w:r>
      <w:r>
        <w:rPr>
          <w:vertAlign w:val="baseline"/>
        </w:rPr>
        <w:t>had</w:t>
      </w:r>
      <w:r>
        <w:rPr>
          <w:spacing w:val="-3"/>
          <w:vertAlign w:val="baseline"/>
        </w:rPr>
        <w:t> </w:t>
      </w:r>
      <w:r>
        <w:rPr>
          <w:vertAlign w:val="baseline"/>
        </w:rPr>
        <w:t>ever</w:t>
      </w:r>
      <w:r>
        <w:rPr>
          <w:spacing w:val="-1"/>
          <w:vertAlign w:val="baseline"/>
        </w:rPr>
        <w:t> </w:t>
      </w:r>
      <w:r>
        <w:rPr>
          <w:vertAlign w:val="baseline"/>
        </w:rPr>
        <w:t>used</w:t>
      </w:r>
      <w:r>
        <w:rPr>
          <w:spacing w:val="-3"/>
          <w:vertAlign w:val="baseline"/>
        </w:rPr>
        <w:t> </w:t>
      </w:r>
      <w:r>
        <w:rPr>
          <w:vertAlign w:val="baseline"/>
        </w:rPr>
        <w:t>cocaine,</w:t>
      </w:r>
      <w:r>
        <w:rPr>
          <w:spacing w:val="-1"/>
          <w:vertAlign w:val="baseline"/>
        </w:rPr>
        <w:t> </w:t>
      </w:r>
      <w:r>
        <w:rPr>
          <w:vertAlign w:val="baseline"/>
        </w:rPr>
        <w:t>13.6% had ever used methamphetamine, and 10.1% had ever used heroin. </w:t>
      </w:r>
      <w:hyperlink w:history="true" w:anchor="_bookmark94">
        <w:r>
          <w:rPr>
            <w:vertAlign w:val="superscript"/>
          </w:rPr>
          <w:t>104</w:t>
        </w:r>
      </w:hyperlink>
      <w:r>
        <w:rPr>
          <w:vertAlign w:val="baseline"/>
        </w:rPr>
        <w:t> Respondents to this survey ages 13-18 had the lowest rates of substance use.</w:t>
      </w:r>
      <w:hyperlink w:history="true" w:anchor="_bookmark94">
        <w:r>
          <w:rPr>
            <w:vertAlign w:val="superscript"/>
          </w:rPr>
          <w:t>105</w:t>
        </w:r>
      </w:hyperlink>
      <w:r>
        <w:rPr>
          <w:vertAlign w:val="baseline"/>
        </w:rPr>
        <w:t> However, </w:t>
      </w:r>
      <w:r>
        <w:rPr>
          <w:spacing w:val="-2"/>
          <w:vertAlign w:val="baseline"/>
        </w:rPr>
        <w:t>though</w:t>
      </w:r>
      <w:r>
        <w:rPr>
          <w:spacing w:val="-4"/>
          <w:vertAlign w:val="baseline"/>
        </w:rPr>
        <w:t> </w:t>
      </w:r>
      <w:r>
        <w:rPr>
          <w:spacing w:val="-2"/>
          <w:vertAlign w:val="baseline"/>
        </w:rPr>
        <w:t>access</w:t>
      </w:r>
      <w:r>
        <w:rPr>
          <w:spacing w:val="-5"/>
          <w:vertAlign w:val="baseline"/>
        </w:rPr>
        <w:t> </w:t>
      </w:r>
      <w:r>
        <w:rPr>
          <w:spacing w:val="-2"/>
          <w:vertAlign w:val="baseline"/>
        </w:rPr>
        <w:t>to</w:t>
      </w:r>
      <w:r>
        <w:rPr>
          <w:spacing w:val="-4"/>
          <w:vertAlign w:val="baseline"/>
        </w:rPr>
        <w:t> </w:t>
      </w:r>
      <w:r>
        <w:rPr>
          <w:spacing w:val="-2"/>
          <w:vertAlign w:val="baseline"/>
        </w:rPr>
        <w:t>medications</w:t>
      </w:r>
      <w:r>
        <w:rPr>
          <w:spacing w:val="-5"/>
          <w:vertAlign w:val="baseline"/>
        </w:rPr>
        <w:t> </w:t>
      </w:r>
      <w:r>
        <w:rPr>
          <w:spacing w:val="-2"/>
          <w:vertAlign w:val="baseline"/>
        </w:rPr>
        <w:t>like</w:t>
      </w:r>
      <w:r>
        <w:rPr>
          <w:spacing w:val="-5"/>
          <w:vertAlign w:val="baseline"/>
        </w:rPr>
        <w:t> </w:t>
      </w:r>
      <w:r>
        <w:rPr>
          <w:spacing w:val="-2"/>
          <w:vertAlign w:val="baseline"/>
        </w:rPr>
        <w:t>buprenorphine</w:t>
      </w:r>
      <w:r>
        <w:rPr>
          <w:spacing w:val="-4"/>
          <w:vertAlign w:val="baseline"/>
        </w:rPr>
        <w:t> </w:t>
      </w:r>
      <w:r>
        <w:rPr>
          <w:spacing w:val="-2"/>
          <w:vertAlign w:val="baseline"/>
        </w:rPr>
        <w:t>can</w:t>
      </w:r>
      <w:r>
        <w:rPr>
          <w:spacing w:val="-5"/>
          <w:vertAlign w:val="baseline"/>
        </w:rPr>
        <w:t> </w:t>
      </w:r>
      <w:r>
        <w:rPr>
          <w:spacing w:val="-2"/>
          <w:vertAlign w:val="baseline"/>
        </w:rPr>
        <w:t>be </w:t>
      </w:r>
      <w:r>
        <w:rPr>
          <w:vertAlign w:val="baseline"/>
        </w:rPr>
        <w:t>beneficial to LGBTQ youth, a 2022 study reported that patients</w:t>
      </w:r>
      <w:r>
        <w:rPr>
          <w:spacing w:val="-1"/>
          <w:vertAlign w:val="baseline"/>
        </w:rPr>
        <w:t> </w:t>
      </w:r>
      <w:r>
        <w:rPr>
          <w:vertAlign w:val="baseline"/>
        </w:rPr>
        <w:t>who were younger,</w:t>
      </w:r>
      <w:r>
        <w:rPr>
          <w:spacing w:val="-1"/>
          <w:vertAlign w:val="baseline"/>
        </w:rPr>
        <w:t> </w:t>
      </w:r>
      <w:r>
        <w:rPr>
          <w:vertAlign w:val="baseline"/>
        </w:rPr>
        <w:t>Black,</w:t>
      </w:r>
      <w:r>
        <w:rPr>
          <w:spacing w:val="-1"/>
          <w:vertAlign w:val="baseline"/>
        </w:rPr>
        <w:t> </w:t>
      </w:r>
      <w:r>
        <w:rPr>
          <w:vertAlign w:val="baseline"/>
        </w:rPr>
        <w:t>and/or</w:t>
      </w:r>
      <w:r>
        <w:rPr>
          <w:spacing w:val="-1"/>
          <w:vertAlign w:val="baseline"/>
        </w:rPr>
        <w:t> </w:t>
      </w:r>
      <w:r>
        <w:rPr>
          <w:vertAlign w:val="baseline"/>
        </w:rPr>
        <w:t>female were less likely to receive buprenorphine treatment</w:t>
      </w:r>
      <w:hyperlink w:history="true" w:anchor="_bookmark94">
        <w:r>
          <w:rPr>
            <w:vertAlign w:val="baseline"/>
          </w:rPr>
          <w:t>.</w:t>
        </w:r>
        <w:r>
          <w:rPr>
            <w:vertAlign w:val="superscript"/>
          </w:rPr>
          <w:t>106</w:t>
        </w:r>
      </w:hyperlink>
    </w:p>
    <w:p>
      <w:pPr>
        <w:pStyle w:val="BodyText"/>
        <w:spacing w:line="276" w:lineRule="auto" w:before="239"/>
        <w:ind w:left="458" w:right="529"/>
        <w:jc w:val="both"/>
      </w:pPr>
      <w:r>
        <w:rPr/>
        <w:t>Despite</w:t>
      </w:r>
      <w:r>
        <w:rPr>
          <w:spacing w:val="-3"/>
        </w:rPr>
        <w:t> </w:t>
      </w:r>
      <w:r>
        <w:rPr/>
        <w:t>a</w:t>
      </w:r>
      <w:r>
        <w:rPr>
          <w:spacing w:val="-1"/>
        </w:rPr>
        <w:t> </w:t>
      </w:r>
      <w:r>
        <w:rPr/>
        <w:t>higher</w:t>
      </w:r>
      <w:r>
        <w:rPr>
          <w:spacing w:val="-2"/>
        </w:rPr>
        <w:t> </w:t>
      </w:r>
      <w:r>
        <w:rPr/>
        <w:t>than</w:t>
      </w:r>
      <w:r>
        <w:rPr>
          <w:spacing w:val="-2"/>
        </w:rPr>
        <w:t> </w:t>
      </w:r>
      <w:r>
        <w:rPr/>
        <w:t>average</w:t>
      </w:r>
      <w:r>
        <w:rPr>
          <w:spacing w:val="-3"/>
        </w:rPr>
        <w:t> </w:t>
      </w:r>
      <w:r>
        <w:rPr/>
        <w:t>risk,</w:t>
      </w:r>
      <w:r>
        <w:rPr>
          <w:spacing w:val="-1"/>
        </w:rPr>
        <w:t> </w:t>
      </w:r>
      <w:r>
        <w:rPr/>
        <w:t>LGBTQ</w:t>
      </w:r>
      <w:r>
        <w:rPr>
          <w:spacing w:val="-3"/>
        </w:rPr>
        <w:t> </w:t>
      </w:r>
      <w:r>
        <w:rPr/>
        <w:t>youth</w:t>
      </w:r>
      <w:r>
        <w:rPr>
          <w:spacing w:val="-2"/>
        </w:rPr>
        <w:t> </w:t>
      </w:r>
      <w:r>
        <w:rPr/>
        <w:t>have</w:t>
      </w:r>
      <w:r>
        <w:rPr>
          <w:spacing w:val="-3"/>
        </w:rPr>
        <w:t> </w:t>
      </w:r>
      <w:r>
        <w:rPr/>
        <w:t>a</w:t>
      </w:r>
      <w:r>
        <w:rPr>
          <w:spacing w:val="-1"/>
        </w:rPr>
        <w:t> </w:t>
      </w:r>
      <w:r>
        <w:rPr/>
        <w:t>number</w:t>
      </w:r>
      <w:r>
        <w:rPr>
          <w:spacing w:val="-2"/>
        </w:rPr>
        <w:t> </w:t>
      </w:r>
      <w:r>
        <w:rPr/>
        <w:t>of</w:t>
      </w:r>
      <w:r>
        <w:rPr>
          <w:spacing w:val="-3"/>
        </w:rPr>
        <w:t> </w:t>
      </w:r>
      <w:r>
        <w:rPr/>
        <w:t>protective</w:t>
      </w:r>
      <w:r>
        <w:rPr>
          <w:spacing w:val="-2"/>
        </w:rPr>
        <w:t> </w:t>
      </w:r>
      <w:r>
        <w:rPr/>
        <w:t>factors</w:t>
      </w:r>
      <w:r>
        <w:rPr>
          <w:spacing w:val="-3"/>
        </w:rPr>
        <w:t> </w:t>
      </w:r>
      <w:r>
        <w:rPr/>
        <w:t>that</w:t>
      </w:r>
      <w:r>
        <w:rPr>
          <w:spacing w:val="-2"/>
        </w:rPr>
        <w:t> </w:t>
      </w:r>
      <w:r>
        <w:rPr/>
        <w:t>can</w:t>
      </w:r>
      <w:r>
        <w:rPr>
          <w:spacing w:val="-3"/>
        </w:rPr>
        <w:t> </w:t>
      </w:r>
      <w:r>
        <w:rPr/>
        <w:t>reduce their risk of substance use</w:t>
      </w:r>
      <w:hyperlink w:history="true" w:anchor="_bookmark95">
        <w:r>
          <w:rPr/>
          <w:t>.</w:t>
        </w:r>
        <w:r>
          <w:rPr>
            <w:vertAlign w:val="superscript"/>
          </w:rPr>
          <w:t>107</w:t>
        </w:r>
      </w:hyperlink>
      <w:r>
        <w:rPr>
          <w:vertAlign w:val="baseline"/>
        </w:rPr>
        <w:t> For example, fostering a supportive and inclusive school environment, including</w:t>
      </w:r>
      <w:r>
        <w:rPr>
          <w:spacing w:val="-2"/>
          <w:vertAlign w:val="baseline"/>
        </w:rPr>
        <w:t> </w:t>
      </w:r>
      <w:r>
        <w:rPr>
          <w:vertAlign w:val="baseline"/>
        </w:rPr>
        <w:t>positive</w:t>
      </w:r>
      <w:r>
        <w:rPr>
          <w:spacing w:val="-3"/>
          <w:vertAlign w:val="baseline"/>
        </w:rPr>
        <w:t> </w:t>
      </w:r>
      <w:r>
        <w:rPr>
          <w:vertAlign w:val="baseline"/>
        </w:rPr>
        <w:t>teacher-student</w:t>
      </w:r>
      <w:r>
        <w:rPr>
          <w:spacing w:val="-3"/>
          <w:vertAlign w:val="baseline"/>
        </w:rPr>
        <w:t> </w:t>
      </w:r>
      <w:r>
        <w:rPr>
          <w:vertAlign w:val="baseline"/>
        </w:rPr>
        <w:t>mentoring</w:t>
      </w:r>
      <w:r>
        <w:rPr>
          <w:spacing w:val="-3"/>
          <w:vertAlign w:val="baseline"/>
        </w:rPr>
        <w:t> </w:t>
      </w:r>
      <w:r>
        <w:rPr>
          <w:vertAlign w:val="baseline"/>
        </w:rPr>
        <w:t>relationships,</w:t>
      </w:r>
      <w:r>
        <w:rPr>
          <w:spacing w:val="-2"/>
          <w:vertAlign w:val="baseline"/>
        </w:rPr>
        <w:t> </w:t>
      </w:r>
      <w:r>
        <w:rPr>
          <w:vertAlign w:val="baseline"/>
        </w:rPr>
        <w:t>is</w:t>
      </w:r>
      <w:r>
        <w:rPr>
          <w:spacing w:val="-2"/>
          <w:vertAlign w:val="baseline"/>
        </w:rPr>
        <w:t> </w:t>
      </w:r>
      <w:r>
        <w:rPr>
          <w:vertAlign w:val="baseline"/>
        </w:rPr>
        <w:t>associated</w:t>
      </w:r>
      <w:r>
        <w:rPr>
          <w:spacing w:val="-2"/>
          <w:vertAlign w:val="baseline"/>
        </w:rPr>
        <w:t> </w:t>
      </w:r>
      <w:r>
        <w:rPr>
          <w:vertAlign w:val="baseline"/>
        </w:rPr>
        <w:t>with</w:t>
      </w:r>
      <w:r>
        <w:rPr>
          <w:spacing w:val="-2"/>
          <w:vertAlign w:val="baseline"/>
        </w:rPr>
        <w:t> </w:t>
      </w:r>
      <w:r>
        <w:rPr>
          <w:vertAlign w:val="baseline"/>
        </w:rPr>
        <w:t>lower</w:t>
      </w:r>
      <w:r>
        <w:rPr>
          <w:spacing w:val="-3"/>
          <w:vertAlign w:val="baseline"/>
        </w:rPr>
        <w:t> </w:t>
      </w:r>
      <w:r>
        <w:rPr>
          <w:vertAlign w:val="baseline"/>
        </w:rPr>
        <w:t>rates</w:t>
      </w:r>
      <w:r>
        <w:rPr>
          <w:spacing w:val="-2"/>
          <w:vertAlign w:val="baseline"/>
        </w:rPr>
        <w:t> </w:t>
      </w:r>
      <w:r>
        <w:rPr>
          <w:vertAlign w:val="baseline"/>
        </w:rPr>
        <w:t>of</w:t>
      </w:r>
      <w:r>
        <w:rPr>
          <w:spacing w:val="-3"/>
          <w:vertAlign w:val="baseline"/>
        </w:rPr>
        <w:t> </w:t>
      </w:r>
      <w:r>
        <w:rPr>
          <w:vertAlign w:val="baseline"/>
        </w:rPr>
        <w:t>tobacco, alcohol, and marijuana use. </w:t>
      </w:r>
      <w:hyperlink w:history="true" w:anchor="_bookmark95">
        <w:r>
          <w:rPr>
            <w:vertAlign w:val="superscript"/>
          </w:rPr>
          <w:t>108</w:t>
        </w:r>
      </w:hyperlink>
      <w:r>
        <w:rPr>
          <w:vertAlign w:val="baseline"/>
        </w:rPr>
        <w:t> Youth-focused organizations, whether in-school (like GSAs) or community-based,</w:t>
      </w:r>
      <w:r>
        <w:rPr>
          <w:spacing w:val="-11"/>
          <w:vertAlign w:val="baseline"/>
        </w:rPr>
        <w:t> </w:t>
      </w:r>
      <w:r>
        <w:rPr>
          <w:vertAlign w:val="baseline"/>
        </w:rPr>
        <w:t>foster</w:t>
      </w:r>
      <w:r>
        <w:rPr>
          <w:spacing w:val="-10"/>
          <w:vertAlign w:val="baseline"/>
        </w:rPr>
        <w:t> </w:t>
      </w:r>
      <w:r>
        <w:rPr>
          <w:vertAlign w:val="baseline"/>
        </w:rPr>
        <w:t>connections</w:t>
      </w:r>
      <w:r>
        <w:rPr>
          <w:spacing w:val="-11"/>
          <w:vertAlign w:val="baseline"/>
        </w:rPr>
        <w:t> </w:t>
      </w:r>
      <w:r>
        <w:rPr>
          <w:vertAlign w:val="baseline"/>
        </w:rPr>
        <w:t>between</w:t>
      </w:r>
      <w:r>
        <w:rPr>
          <w:spacing w:val="-10"/>
          <w:vertAlign w:val="baseline"/>
        </w:rPr>
        <w:t> </w:t>
      </w:r>
      <w:r>
        <w:rPr>
          <w:vertAlign w:val="baseline"/>
        </w:rPr>
        <w:t>LGBTQ</w:t>
      </w:r>
      <w:r>
        <w:rPr>
          <w:spacing w:val="-11"/>
          <w:vertAlign w:val="baseline"/>
        </w:rPr>
        <w:t> </w:t>
      </w:r>
      <w:r>
        <w:rPr>
          <w:vertAlign w:val="baseline"/>
        </w:rPr>
        <w:t>youths</w:t>
      </w:r>
      <w:r>
        <w:rPr>
          <w:spacing w:val="-11"/>
          <w:vertAlign w:val="baseline"/>
        </w:rPr>
        <w:t> </w:t>
      </w:r>
      <w:r>
        <w:rPr>
          <w:vertAlign w:val="baseline"/>
        </w:rPr>
        <w:t>and</w:t>
      </w:r>
      <w:r>
        <w:rPr>
          <w:spacing w:val="-10"/>
          <w:vertAlign w:val="baseline"/>
        </w:rPr>
        <w:t> </w:t>
      </w:r>
      <w:r>
        <w:rPr>
          <w:vertAlign w:val="baseline"/>
        </w:rPr>
        <w:t>give</w:t>
      </w:r>
      <w:r>
        <w:rPr>
          <w:spacing w:val="-11"/>
          <w:vertAlign w:val="baseline"/>
        </w:rPr>
        <w:t> </w:t>
      </w:r>
      <w:r>
        <w:rPr>
          <w:vertAlign w:val="baseline"/>
        </w:rPr>
        <w:t>LGBTQ</w:t>
      </w:r>
      <w:r>
        <w:rPr>
          <w:spacing w:val="-10"/>
          <w:vertAlign w:val="baseline"/>
        </w:rPr>
        <w:t> </w:t>
      </w:r>
      <w:r>
        <w:rPr>
          <w:vertAlign w:val="baseline"/>
        </w:rPr>
        <w:t>youths</w:t>
      </w:r>
      <w:r>
        <w:rPr>
          <w:spacing w:val="-10"/>
          <w:vertAlign w:val="baseline"/>
        </w:rPr>
        <w:t> </w:t>
      </w:r>
      <w:r>
        <w:rPr>
          <w:vertAlign w:val="baseline"/>
        </w:rPr>
        <w:t>the</w:t>
      </w:r>
      <w:r>
        <w:rPr>
          <w:spacing w:val="-10"/>
          <w:vertAlign w:val="baseline"/>
        </w:rPr>
        <w:t> </w:t>
      </w:r>
      <w:r>
        <w:rPr>
          <w:vertAlign w:val="baseline"/>
        </w:rPr>
        <w:t>opportunity to engage with their peers in a sober space</w:t>
      </w:r>
      <w:hyperlink w:history="true" w:anchor="_bookmark95">
        <w:r>
          <w:rPr>
            <w:vertAlign w:val="baseline"/>
          </w:rPr>
          <w:t>.</w:t>
        </w:r>
        <w:r>
          <w:rPr>
            <w:vertAlign w:val="superscript"/>
          </w:rPr>
          <w:t>109</w:t>
        </w:r>
      </w:hyperlink>
      <w:r>
        <w:rPr>
          <w:vertAlign w:val="baseline"/>
        </w:rPr>
        <w:t> These organizations can also be used to foster youth- adult</w:t>
      </w:r>
      <w:r>
        <w:rPr>
          <w:spacing w:val="-1"/>
          <w:vertAlign w:val="baseline"/>
        </w:rPr>
        <w:t> </w:t>
      </w:r>
      <w:r>
        <w:rPr>
          <w:vertAlign w:val="baseline"/>
        </w:rPr>
        <w:t>mentorship</w:t>
      </w:r>
      <w:r>
        <w:rPr>
          <w:spacing w:val="-2"/>
          <w:vertAlign w:val="baseline"/>
        </w:rPr>
        <w:t> </w:t>
      </w:r>
      <w:r>
        <w:rPr>
          <w:vertAlign w:val="baseline"/>
        </w:rPr>
        <w:t>relationships,</w:t>
      </w:r>
      <w:r>
        <w:rPr>
          <w:spacing w:val="-1"/>
          <w:vertAlign w:val="baseline"/>
        </w:rPr>
        <w:t> </w:t>
      </w:r>
      <w:r>
        <w:rPr>
          <w:vertAlign w:val="baseline"/>
        </w:rPr>
        <w:t>as</w:t>
      </w:r>
      <w:r>
        <w:rPr>
          <w:spacing w:val="-1"/>
          <w:vertAlign w:val="baseline"/>
        </w:rPr>
        <w:t> </w:t>
      </w:r>
      <w:r>
        <w:rPr>
          <w:vertAlign w:val="baseline"/>
        </w:rPr>
        <w:t>well.</w:t>
      </w:r>
      <w:r>
        <w:rPr>
          <w:spacing w:val="-1"/>
          <w:vertAlign w:val="baseline"/>
        </w:rPr>
        <w:t> </w:t>
      </w:r>
      <w:r>
        <w:rPr>
          <w:vertAlign w:val="baseline"/>
        </w:rPr>
        <w:t>Additionally, research</w:t>
      </w:r>
      <w:r>
        <w:rPr>
          <w:spacing w:val="-1"/>
          <w:vertAlign w:val="baseline"/>
        </w:rPr>
        <w:t> </w:t>
      </w:r>
      <w:r>
        <w:rPr>
          <w:vertAlign w:val="baseline"/>
        </w:rPr>
        <w:t>has shown</w:t>
      </w:r>
      <w:r>
        <w:rPr>
          <w:spacing w:val="-2"/>
          <w:vertAlign w:val="baseline"/>
        </w:rPr>
        <w:t> </w:t>
      </w:r>
      <w:r>
        <w:rPr>
          <w:vertAlign w:val="baseline"/>
        </w:rPr>
        <w:t>that</w:t>
      </w:r>
      <w:r>
        <w:rPr>
          <w:spacing w:val="-1"/>
          <w:vertAlign w:val="baseline"/>
        </w:rPr>
        <w:t> </w:t>
      </w:r>
      <w:r>
        <w:rPr>
          <w:vertAlign w:val="baseline"/>
        </w:rPr>
        <w:t>the</w:t>
      </w:r>
      <w:r>
        <w:rPr>
          <w:spacing w:val="-2"/>
          <w:vertAlign w:val="baseline"/>
        </w:rPr>
        <w:t> </w:t>
      </w:r>
      <w:r>
        <w:rPr>
          <w:vertAlign w:val="baseline"/>
        </w:rPr>
        <w:t>higher the number of LGBTQ specific school and community resources available to LGBTQ youth, the lower the rate of substance</w:t>
      </w:r>
      <w:r>
        <w:rPr>
          <w:spacing w:val="-9"/>
          <w:vertAlign w:val="baseline"/>
        </w:rPr>
        <w:t> </w:t>
      </w:r>
      <w:r>
        <w:rPr>
          <w:vertAlign w:val="baseline"/>
        </w:rPr>
        <w:t>use</w:t>
      </w:r>
      <w:r>
        <w:rPr>
          <w:spacing w:val="-10"/>
          <w:vertAlign w:val="baseline"/>
        </w:rPr>
        <w:t> </w:t>
      </w:r>
      <w:r>
        <w:rPr>
          <w:vertAlign w:val="baseline"/>
        </w:rPr>
        <w:t>among</w:t>
      </w:r>
      <w:r>
        <w:rPr>
          <w:spacing w:val="-10"/>
          <w:vertAlign w:val="baseline"/>
        </w:rPr>
        <w:t> </w:t>
      </w:r>
      <w:r>
        <w:rPr>
          <w:vertAlign w:val="baseline"/>
        </w:rPr>
        <w:t>LGBTQ</w:t>
      </w:r>
      <w:r>
        <w:rPr>
          <w:spacing w:val="-10"/>
          <w:vertAlign w:val="baseline"/>
        </w:rPr>
        <w:t> </w:t>
      </w:r>
      <w:r>
        <w:rPr>
          <w:vertAlign w:val="baseline"/>
        </w:rPr>
        <w:t>youth</w:t>
      </w:r>
      <w:hyperlink w:history="true" w:anchor="_bookmark95">
        <w:r>
          <w:rPr>
            <w:vertAlign w:val="baseline"/>
          </w:rPr>
          <w:t>.</w:t>
        </w:r>
        <w:r>
          <w:rPr>
            <w:vertAlign w:val="superscript"/>
          </w:rPr>
          <w:t>110</w:t>
        </w:r>
      </w:hyperlink>
      <w:r>
        <w:rPr>
          <w:spacing w:val="-8"/>
          <w:vertAlign w:val="baseline"/>
        </w:rPr>
        <w:t> </w:t>
      </w:r>
      <w:r>
        <w:rPr>
          <w:vertAlign w:val="baseline"/>
        </w:rPr>
        <w:t>Whether</w:t>
      </w:r>
      <w:r>
        <w:rPr>
          <w:spacing w:val="-10"/>
          <w:vertAlign w:val="baseline"/>
        </w:rPr>
        <w:t> </w:t>
      </w:r>
      <w:r>
        <w:rPr>
          <w:vertAlign w:val="baseline"/>
        </w:rPr>
        <w:t>or</w:t>
      </w:r>
      <w:r>
        <w:rPr>
          <w:spacing w:val="-9"/>
          <w:vertAlign w:val="baseline"/>
        </w:rPr>
        <w:t> </w:t>
      </w:r>
      <w:r>
        <w:rPr>
          <w:vertAlign w:val="baseline"/>
        </w:rPr>
        <w:t>not</w:t>
      </w:r>
      <w:r>
        <w:rPr>
          <w:spacing w:val="-11"/>
          <w:vertAlign w:val="baseline"/>
        </w:rPr>
        <w:t> </w:t>
      </w:r>
      <w:r>
        <w:rPr>
          <w:vertAlign w:val="baseline"/>
        </w:rPr>
        <w:t>youths</w:t>
      </w:r>
      <w:r>
        <w:rPr>
          <w:spacing w:val="-10"/>
          <w:vertAlign w:val="baseline"/>
        </w:rPr>
        <w:t> </w:t>
      </w:r>
      <w:r>
        <w:rPr>
          <w:vertAlign w:val="baseline"/>
        </w:rPr>
        <w:t>actually</w:t>
      </w:r>
      <w:r>
        <w:rPr>
          <w:spacing w:val="-10"/>
          <w:vertAlign w:val="baseline"/>
        </w:rPr>
        <w:t> </w:t>
      </w:r>
      <w:r>
        <w:rPr>
          <w:vertAlign w:val="baseline"/>
        </w:rPr>
        <w:t>use</w:t>
      </w:r>
      <w:r>
        <w:rPr>
          <w:spacing w:val="-9"/>
          <w:vertAlign w:val="baseline"/>
        </w:rPr>
        <w:t> </w:t>
      </w:r>
      <w:r>
        <w:rPr>
          <w:vertAlign w:val="baseline"/>
        </w:rPr>
        <w:t>the</w:t>
      </w:r>
      <w:r>
        <w:rPr>
          <w:spacing w:val="-8"/>
          <w:vertAlign w:val="baseline"/>
        </w:rPr>
        <w:t> </w:t>
      </w:r>
      <w:r>
        <w:rPr>
          <w:vertAlign w:val="baseline"/>
        </w:rPr>
        <w:t>resources,</w:t>
      </w:r>
      <w:r>
        <w:rPr>
          <w:spacing w:val="-10"/>
          <w:vertAlign w:val="baseline"/>
        </w:rPr>
        <w:t> </w:t>
      </w:r>
      <w:r>
        <w:rPr>
          <w:vertAlign w:val="baseline"/>
        </w:rPr>
        <w:t>just</w:t>
      </w:r>
      <w:r>
        <w:rPr>
          <w:spacing w:val="-11"/>
          <w:vertAlign w:val="baseline"/>
        </w:rPr>
        <w:t> </w:t>
      </w:r>
      <w:r>
        <w:rPr>
          <w:vertAlign w:val="baseline"/>
        </w:rPr>
        <w:t>knowing that there is a strong community network and that there are supportive resources readily available serves as a key protective factor against substance use</w:t>
      </w:r>
      <w:hyperlink w:history="true" w:anchor="_bookmark95">
        <w:r>
          <w:rPr>
            <w:vertAlign w:val="baseline"/>
          </w:rPr>
          <w:t>.</w:t>
        </w:r>
        <w:r>
          <w:rPr>
            <w:vertAlign w:val="superscript"/>
          </w:rPr>
          <w:t>111</w:t>
        </w:r>
      </w:hyperlink>
    </w:p>
    <w:p>
      <w:pPr>
        <w:pStyle w:val="BodyText"/>
        <w:spacing w:line="276" w:lineRule="auto" w:before="241"/>
        <w:ind w:left="458" w:right="530"/>
        <w:jc w:val="both"/>
      </w:pPr>
      <w:r>
        <w:rPr/>
        <w:t>When asked, LGBTQ youth of color additionally expressed interest in community-based healing, LGBTQ</w:t>
      </w:r>
      <w:r>
        <w:rPr>
          <w:spacing w:val="24"/>
        </w:rPr>
        <w:t> </w:t>
      </w:r>
      <w:r>
        <w:rPr/>
        <w:t>youth-specific</w:t>
      </w:r>
      <w:r>
        <w:rPr>
          <w:spacing w:val="25"/>
        </w:rPr>
        <w:t> </w:t>
      </w:r>
      <w:r>
        <w:rPr/>
        <w:t>treatment</w:t>
      </w:r>
      <w:r>
        <w:rPr>
          <w:spacing w:val="24"/>
        </w:rPr>
        <w:t> </w:t>
      </w:r>
      <w:r>
        <w:rPr/>
        <w:t>and</w:t>
      </w:r>
      <w:r>
        <w:rPr>
          <w:spacing w:val="24"/>
        </w:rPr>
        <w:t> </w:t>
      </w:r>
      <w:r>
        <w:rPr/>
        <w:t>healing</w:t>
      </w:r>
      <w:r>
        <w:rPr>
          <w:spacing w:val="24"/>
        </w:rPr>
        <w:t> </w:t>
      </w:r>
      <w:r>
        <w:rPr/>
        <w:t>spaces,</w:t>
      </w:r>
      <w:r>
        <w:rPr>
          <w:spacing w:val="24"/>
        </w:rPr>
        <w:t> </w:t>
      </w:r>
      <w:r>
        <w:rPr/>
        <w:t>and</w:t>
      </w:r>
      <w:r>
        <w:rPr>
          <w:spacing w:val="24"/>
        </w:rPr>
        <w:t> </w:t>
      </w:r>
      <w:r>
        <w:rPr/>
        <w:t>more</w:t>
      </w:r>
      <w:r>
        <w:rPr>
          <w:spacing w:val="25"/>
        </w:rPr>
        <w:t> </w:t>
      </w:r>
      <w:r>
        <w:rPr/>
        <w:t>holistic/less</w:t>
      </w:r>
      <w:r>
        <w:rPr>
          <w:spacing w:val="24"/>
        </w:rPr>
        <w:t> </w:t>
      </w:r>
      <w:r>
        <w:rPr/>
        <w:t>medicalized</w:t>
      </w:r>
      <w:r>
        <w:rPr>
          <w:spacing w:val="25"/>
        </w:rPr>
        <w:t> </w:t>
      </w:r>
      <w:r>
        <w:rPr/>
        <w:t>treatment</w:t>
      </w:r>
    </w:p>
    <w:p>
      <w:pPr>
        <w:spacing w:after="0" w:line="276" w:lineRule="auto"/>
        <w:jc w:val="both"/>
        <w:sectPr>
          <w:pgSz w:w="11910" w:h="16840"/>
          <w:pgMar w:header="804" w:footer="1230" w:top="1080" w:bottom="1480" w:left="980" w:right="900"/>
        </w:sectPr>
      </w:pPr>
    </w:p>
    <w:p>
      <w:pPr>
        <w:pStyle w:val="BodyText"/>
        <w:spacing w:line="276" w:lineRule="auto" w:before="69"/>
        <w:ind w:left="458" w:right="530"/>
        <w:jc w:val="both"/>
      </w:pPr>
      <w:r>
        <w:rPr/>
        <w:t>options</w:t>
      </w:r>
      <w:hyperlink w:history="true" w:anchor="_bookmark95">
        <w:r>
          <w:rPr/>
          <w:t>.</w:t>
        </w:r>
        <w:r>
          <w:rPr>
            <w:vertAlign w:val="superscript"/>
          </w:rPr>
          <w:t>112</w:t>
        </w:r>
      </w:hyperlink>
      <w:r>
        <w:rPr>
          <w:vertAlign w:val="baseline"/>
        </w:rPr>
        <w:t> Low-income youth and undocumented youth in particular may have trouble accessing traditional, clinic-based substance use disorder recovery care</w:t>
      </w:r>
      <w:hyperlink w:history="true" w:anchor="_bookmark95">
        <w:r>
          <w:rPr>
            <w:vertAlign w:val="baseline"/>
          </w:rPr>
          <w:t>.</w:t>
        </w:r>
        <w:r>
          <w:rPr>
            <w:vertAlign w:val="superscript"/>
          </w:rPr>
          <w:t>113</w:t>
        </w:r>
      </w:hyperlink>
      <w:r>
        <w:rPr>
          <w:vertAlign w:val="baseline"/>
        </w:rPr>
        <w:t> While not studied specifically for LGBTQ youth, both peer-led substance use recovery and prevention programming are highly successful</w:t>
      </w:r>
      <w:r>
        <w:rPr>
          <w:spacing w:val="-13"/>
          <w:vertAlign w:val="baseline"/>
        </w:rPr>
        <w:t> </w:t>
      </w:r>
      <w:r>
        <w:rPr>
          <w:vertAlign w:val="baseline"/>
        </w:rPr>
        <w:t>and</w:t>
      </w:r>
      <w:r>
        <w:rPr>
          <w:spacing w:val="-12"/>
          <w:vertAlign w:val="baseline"/>
        </w:rPr>
        <w:t> </w:t>
      </w:r>
      <w:r>
        <w:rPr>
          <w:vertAlign w:val="baseline"/>
        </w:rPr>
        <w:t>more</w:t>
      </w:r>
      <w:r>
        <w:rPr>
          <w:spacing w:val="-13"/>
          <w:vertAlign w:val="baseline"/>
        </w:rPr>
        <w:t> </w:t>
      </w:r>
      <w:r>
        <w:rPr>
          <w:vertAlign w:val="baseline"/>
        </w:rPr>
        <w:t>effective</w:t>
      </w:r>
      <w:r>
        <w:rPr>
          <w:spacing w:val="-12"/>
          <w:vertAlign w:val="baseline"/>
        </w:rPr>
        <w:t> </w:t>
      </w:r>
      <w:r>
        <w:rPr>
          <w:vertAlign w:val="baseline"/>
        </w:rPr>
        <w:t>than</w:t>
      </w:r>
      <w:r>
        <w:rPr>
          <w:spacing w:val="-13"/>
          <w:vertAlign w:val="baseline"/>
        </w:rPr>
        <w:t> </w:t>
      </w:r>
      <w:r>
        <w:rPr>
          <w:vertAlign w:val="baseline"/>
        </w:rPr>
        <w:t>adult-led</w:t>
      </w:r>
      <w:r>
        <w:rPr>
          <w:spacing w:val="-12"/>
          <w:vertAlign w:val="baseline"/>
        </w:rPr>
        <w:t> </w:t>
      </w:r>
      <w:r>
        <w:rPr>
          <w:vertAlign w:val="baseline"/>
        </w:rPr>
        <w:t>programming.</w:t>
      </w:r>
      <w:hyperlink w:history="true" w:anchor="_bookmark95">
        <w:r>
          <w:rPr>
            <w:vertAlign w:val="superscript"/>
          </w:rPr>
          <w:t>114</w:t>
        </w:r>
      </w:hyperlink>
      <w:r>
        <w:rPr>
          <w:spacing w:val="-13"/>
          <w:vertAlign w:val="baseline"/>
        </w:rPr>
        <w:t> </w:t>
      </w:r>
      <w:r>
        <w:rPr>
          <w:vertAlign w:val="baseline"/>
        </w:rPr>
        <w:t>Youths</w:t>
      </w:r>
      <w:r>
        <w:rPr>
          <w:spacing w:val="-12"/>
          <w:vertAlign w:val="baseline"/>
        </w:rPr>
        <w:t> </w:t>
      </w:r>
      <w:r>
        <w:rPr>
          <w:vertAlign w:val="baseline"/>
        </w:rPr>
        <w:t>expressed</w:t>
      </w:r>
      <w:r>
        <w:rPr>
          <w:spacing w:val="-12"/>
          <w:vertAlign w:val="baseline"/>
        </w:rPr>
        <w:t> </w:t>
      </w:r>
      <w:r>
        <w:rPr>
          <w:vertAlign w:val="baseline"/>
        </w:rPr>
        <w:t>that</w:t>
      </w:r>
      <w:r>
        <w:rPr>
          <w:spacing w:val="-13"/>
          <w:vertAlign w:val="baseline"/>
        </w:rPr>
        <w:t> </w:t>
      </w:r>
      <w:r>
        <w:rPr>
          <w:vertAlign w:val="baseline"/>
        </w:rPr>
        <w:t>they</w:t>
      </w:r>
      <w:r>
        <w:rPr>
          <w:spacing w:val="-12"/>
          <w:vertAlign w:val="baseline"/>
        </w:rPr>
        <w:t> </w:t>
      </w:r>
      <w:r>
        <w:rPr>
          <w:vertAlign w:val="baseline"/>
        </w:rPr>
        <w:t>found</w:t>
      </w:r>
      <w:r>
        <w:rPr>
          <w:spacing w:val="-13"/>
          <w:vertAlign w:val="baseline"/>
        </w:rPr>
        <w:t> </w:t>
      </w:r>
      <w:r>
        <w:rPr>
          <w:vertAlign w:val="baseline"/>
        </w:rPr>
        <w:t>“peer- led sessions more enjoyable,” and were more willing to actively engage with peers, rather than adults</w:t>
      </w:r>
      <w:hyperlink w:history="true" w:anchor="_bookmark95">
        <w:r>
          <w:rPr>
            <w:vertAlign w:val="baseline"/>
          </w:rPr>
          <w:t>.</w:t>
        </w:r>
        <w:r>
          <w:rPr>
            <w:vertAlign w:val="superscript"/>
          </w:rPr>
          <w:t>115</w:t>
        </w:r>
      </w:hyperlink>
      <w:r>
        <w:rPr>
          <w:vertAlign w:val="baseline"/>
        </w:rPr>
        <w:t> Youths additionally stressed the importance of culturally-competent treatment options, as well as interventions that promote harm-reduction</w:t>
      </w:r>
      <w:hyperlink w:history="true" w:anchor="_bookmark95">
        <w:r>
          <w:rPr>
            <w:vertAlign w:val="baseline"/>
          </w:rPr>
          <w:t>.</w:t>
        </w:r>
        <w:r>
          <w:rPr>
            <w:vertAlign w:val="superscript"/>
          </w:rPr>
          <w:t>116</w:t>
        </w:r>
      </w:hyperlink>
      <w:r>
        <w:rPr>
          <w:vertAlign w:val="baseline"/>
        </w:rPr>
        <w:t> For example, ensuring that LGBTQ youth have access to community-based safe consumption sites and needle exchange programs can reduce the number of overdoses, as well as the number of cases of HIV and Hepatitis C.</w:t>
      </w:r>
      <w:r>
        <w:rPr>
          <w:vertAlign w:val="superscript"/>
        </w:rPr>
        <w:t>117</w:t>
      </w:r>
      <w:r>
        <w:rPr>
          <w:vertAlign w:val="baseline"/>
        </w:rPr>
        <w:t> These have shown great promise in many cities and towns across Massachusetts, but are oftentimes inaccessible to young people, especially those who are still in school or who live in more rural areas of the state, including parts of central Massachusetts.</w:t>
      </w:r>
      <w:r>
        <w:rPr>
          <w:vertAlign w:val="superscript"/>
        </w:rPr>
        <w:t>118,119</w:t>
      </w:r>
      <w:r>
        <w:rPr>
          <w:vertAlign w:val="baseline"/>
        </w:rPr>
        <w:t> Many youths already engage informally with harm- reduction strategies, so ensuring that prevention and recovery programming support this goal is important to ensuring that youth actually participate in the programs.</w:t>
      </w:r>
      <w:r>
        <w:rPr>
          <w:vertAlign w:val="superscript"/>
        </w:rPr>
        <w:t>120</w:t>
      </w:r>
    </w:p>
    <w:p>
      <w:pPr>
        <w:spacing w:before="159"/>
        <w:ind w:left="458" w:right="0" w:firstLine="0"/>
        <w:jc w:val="both"/>
        <w:rPr>
          <w:sz w:val="28"/>
        </w:rPr>
      </w:pPr>
      <w:bookmarkStart w:name="Commercial Sexual Exploitation &amp; Sex Wor" w:id="229"/>
      <w:bookmarkEnd w:id="229"/>
      <w:r>
        <w:rPr/>
      </w:r>
      <w:r>
        <w:rPr>
          <w:color w:val="365F91"/>
          <w:sz w:val="28"/>
        </w:rPr>
        <w:t>Commercial</w:t>
      </w:r>
      <w:r>
        <w:rPr>
          <w:color w:val="365F91"/>
          <w:spacing w:val="-11"/>
          <w:sz w:val="28"/>
        </w:rPr>
        <w:t> </w:t>
      </w:r>
      <w:r>
        <w:rPr>
          <w:color w:val="365F91"/>
          <w:sz w:val="28"/>
        </w:rPr>
        <w:t>Sexual</w:t>
      </w:r>
      <w:r>
        <w:rPr>
          <w:color w:val="365F91"/>
          <w:spacing w:val="-11"/>
          <w:sz w:val="28"/>
        </w:rPr>
        <w:t> </w:t>
      </w:r>
      <w:r>
        <w:rPr>
          <w:color w:val="365F91"/>
          <w:sz w:val="28"/>
        </w:rPr>
        <w:t>Exploitation</w:t>
      </w:r>
      <w:r>
        <w:rPr>
          <w:color w:val="365F91"/>
          <w:spacing w:val="-11"/>
          <w:sz w:val="28"/>
        </w:rPr>
        <w:t> </w:t>
      </w:r>
      <w:r>
        <w:rPr>
          <w:color w:val="365F91"/>
          <w:sz w:val="28"/>
        </w:rPr>
        <w:t>&amp;</w:t>
      </w:r>
      <w:r>
        <w:rPr>
          <w:color w:val="365F91"/>
          <w:spacing w:val="-11"/>
          <w:sz w:val="28"/>
        </w:rPr>
        <w:t> </w:t>
      </w:r>
      <w:r>
        <w:rPr>
          <w:color w:val="365F91"/>
          <w:sz w:val="28"/>
        </w:rPr>
        <w:t>Sex</w:t>
      </w:r>
      <w:r>
        <w:rPr>
          <w:color w:val="365F91"/>
          <w:spacing w:val="-11"/>
          <w:sz w:val="28"/>
        </w:rPr>
        <w:t> </w:t>
      </w:r>
      <w:r>
        <w:rPr>
          <w:color w:val="365F91"/>
          <w:spacing w:val="-4"/>
          <w:sz w:val="28"/>
        </w:rPr>
        <w:t>Work</w:t>
      </w:r>
    </w:p>
    <w:p>
      <w:pPr>
        <w:pStyle w:val="BodyText"/>
        <w:spacing w:line="276" w:lineRule="auto" w:before="239"/>
        <w:ind w:left="458" w:right="530"/>
        <w:jc w:val="both"/>
      </w:pPr>
      <w:r>
        <w:rPr/>
        <w:t>Traffickers often target marginalized individuals who have previously experienced violent victimization, who lack</w:t>
      </w:r>
      <w:r>
        <w:rPr>
          <w:spacing w:val="-1"/>
        </w:rPr>
        <w:t> </w:t>
      </w:r>
      <w:r>
        <w:rPr/>
        <w:t>strong</w:t>
      </w:r>
      <w:r>
        <w:rPr>
          <w:spacing w:val="-2"/>
        </w:rPr>
        <w:t> </w:t>
      </w:r>
      <w:r>
        <w:rPr/>
        <w:t>family or friend</w:t>
      </w:r>
      <w:r>
        <w:rPr>
          <w:spacing w:val="-2"/>
        </w:rPr>
        <w:t> </w:t>
      </w:r>
      <w:r>
        <w:rPr/>
        <w:t>support,</w:t>
      </w:r>
      <w:r>
        <w:rPr>
          <w:spacing w:val="-1"/>
        </w:rPr>
        <w:t> </w:t>
      </w:r>
      <w:r>
        <w:rPr/>
        <w:t>or</w:t>
      </w:r>
      <w:r>
        <w:rPr>
          <w:spacing w:val="-1"/>
        </w:rPr>
        <w:t> </w:t>
      </w:r>
      <w:r>
        <w:rPr/>
        <w:t>who are</w:t>
      </w:r>
      <w:r>
        <w:rPr>
          <w:spacing w:val="-2"/>
        </w:rPr>
        <w:t> </w:t>
      </w:r>
      <w:r>
        <w:rPr/>
        <w:t>experiencing</w:t>
      </w:r>
      <w:r>
        <w:rPr>
          <w:spacing w:val="-2"/>
        </w:rPr>
        <w:t> </w:t>
      </w:r>
      <w:r>
        <w:rPr/>
        <w:t>financial hardship.</w:t>
      </w:r>
      <w:r>
        <w:rPr>
          <w:vertAlign w:val="superscript"/>
        </w:rPr>
        <w:t>121</w:t>
      </w:r>
      <w:r>
        <w:rPr>
          <w:vertAlign w:val="baseline"/>
        </w:rPr>
        <w:t> Some youth are exploited by romantic partners, while others are exploited by family members or employers. </w:t>
      </w:r>
      <w:r>
        <w:rPr>
          <w:vertAlign w:val="superscript"/>
        </w:rPr>
        <w:t>122</w:t>
      </w:r>
      <w:r>
        <w:rPr>
          <w:vertAlign w:val="baseline"/>
        </w:rPr>
        <w:t> Youth who have experienced intimate partner or sexual violence, bullying or discrimination, and involvement in the child welfare system are particularly vulnerable. </w:t>
      </w:r>
      <w:r>
        <w:rPr>
          <w:vertAlign w:val="superscript"/>
        </w:rPr>
        <w:t>123</w:t>
      </w:r>
      <w:r>
        <w:rPr>
          <w:vertAlign w:val="baseline"/>
        </w:rPr>
        <w:t> Additionally,</w:t>
      </w:r>
      <w:r>
        <w:rPr>
          <w:spacing w:val="-8"/>
          <w:vertAlign w:val="baseline"/>
        </w:rPr>
        <w:t> </w:t>
      </w:r>
      <w:r>
        <w:rPr>
          <w:vertAlign w:val="baseline"/>
        </w:rPr>
        <w:t>unhoused</w:t>
      </w:r>
      <w:r>
        <w:rPr>
          <w:spacing w:val="-10"/>
          <w:vertAlign w:val="baseline"/>
        </w:rPr>
        <w:t> </w:t>
      </w:r>
      <w:r>
        <w:rPr>
          <w:vertAlign w:val="baseline"/>
        </w:rPr>
        <w:t>youth,</w:t>
      </w:r>
      <w:r>
        <w:rPr>
          <w:spacing w:val="-10"/>
          <w:vertAlign w:val="baseline"/>
        </w:rPr>
        <w:t> </w:t>
      </w:r>
      <w:r>
        <w:rPr>
          <w:vertAlign w:val="baseline"/>
        </w:rPr>
        <w:t>transgender</w:t>
      </w:r>
      <w:r>
        <w:rPr>
          <w:spacing w:val="-11"/>
          <w:vertAlign w:val="baseline"/>
        </w:rPr>
        <w:t> </w:t>
      </w:r>
      <w:r>
        <w:rPr>
          <w:vertAlign w:val="baseline"/>
        </w:rPr>
        <w:t>youth</w:t>
      </w:r>
      <w:r>
        <w:rPr>
          <w:spacing w:val="-10"/>
          <w:vertAlign w:val="baseline"/>
        </w:rPr>
        <w:t> </w:t>
      </w:r>
      <w:r>
        <w:rPr>
          <w:vertAlign w:val="baseline"/>
        </w:rPr>
        <w:t>of</w:t>
      </w:r>
      <w:r>
        <w:rPr>
          <w:spacing w:val="-10"/>
          <w:vertAlign w:val="baseline"/>
        </w:rPr>
        <w:t> </w:t>
      </w:r>
      <w:r>
        <w:rPr>
          <w:vertAlign w:val="baseline"/>
        </w:rPr>
        <w:t>color,</w:t>
      </w:r>
      <w:r>
        <w:rPr>
          <w:spacing w:val="-11"/>
          <w:vertAlign w:val="baseline"/>
        </w:rPr>
        <w:t> </w:t>
      </w:r>
      <w:r>
        <w:rPr>
          <w:vertAlign w:val="baseline"/>
        </w:rPr>
        <w:t>and</w:t>
      </w:r>
      <w:r>
        <w:rPr>
          <w:spacing w:val="-11"/>
          <w:vertAlign w:val="baseline"/>
        </w:rPr>
        <w:t> </w:t>
      </w:r>
      <w:r>
        <w:rPr>
          <w:vertAlign w:val="baseline"/>
        </w:rPr>
        <w:t>youth</w:t>
      </w:r>
      <w:r>
        <w:rPr>
          <w:spacing w:val="-10"/>
          <w:vertAlign w:val="baseline"/>
        </w:rPr>
        <w:t> </w:t>
      </w:r>
      <w:r>
        <w:rPr>
          <w:vertAlign w:val="baseline"/>
        </w:rPr>
        <w:t>with</w:t>
      </w:r>
      <w:r>
        <w:rPr>
          <w:spacing w:val="-10"/>
          <w:vertAlign w:val="baseline"/>
        </w:rPr>
        <w:t> </w:t>
      </w:r>
      <w:r>
        <w:rPr>
          <w:vertAlign w:val="baseline"/>
        </w:rPr>
        <w:t>substance</w:t>
      </w:r>
      <w:r>
        <w:rPr>
          <w:spacing w:val="-10"/>
          <w:vertAlign w:val="baseline"/>
        </w:rPr>
        <w:t> </w:t>
      </w:r>
      <w:r>
        <w:rPr>
          <w:vertAlign w:val="baseline"/>
        </w:rPr>
        <w:t>use</w:t>
      </w:r>
      <w:r>
        <w:rPr>
          <w:spacing w:val="-10"/>
          <w:vertAlign w:val="baseline"/>
        </w:rPr>
        <w:t> </w:t>
      </w:r>
      <w:r>
        <w:rPr>
          <w:vertAlign w:val="baseline"/>
        </w:rPr>
        <w:t>disorders</w:t>
      </w:r>
      <w:r>
        <w:rPr>
          <w:spacing w:val="-11"/>
          <w:vertAlign w:val="baseline"/>
        </w:rPr>
        <w:t> </w:t>
      </w:r>
      <w:r>
        <w:rPr>
          <w:vertAlign w:val="baseline"/>
        </w:rPr>
        <w:t>are at an increased risk for sexual exploitation.</w:t>
      </w:r>
      <w:r>
        <w:rPr>
          <w:vertAlign w:val="superscript"/>
        </w:rPr>
        <w:t>124</w:t>
      </w:r>
      <w:r>
        <w:rPr>
          <w:vertAlign w:val="baseline"/>
        </w:rPr>
        <w:t> Some LGBTQ youth may fall into one or all of these categories, increasing their risk of commercial sexual exploitation. Although there is little data regarding the number of LGBTQ youths who experience commercial sexual exploitation each year, experts estimate that it is likely extremely underreported. </w:t>
      </w:r>
      <w:r>
        <w:rPr>
          <w:vertAlign w:val="superscript"/>
        </w:rPr>
        <w:t>125</w:t>
      </w:r>
      <w:r>
        <w:rPr>
          <w:vertAlign w:val="baseline"/>
        </w:rPr>
        <w:t> An estimated 19-41% of unhoused LGBTQ</w:t>
      </w:r>
      <w:r>
        <w:rPr>
          <w:spacing w:val="-10"/>
          <w:vertAlign w:val="baseline"/>
        </w:rPr>
        <w:t> </w:t>
      </w:r>
      <w:r>
        <w:rPr>
          <w:vertAlign w:val="baseline"/>
        </w:rPr>
        <w:t>youth</w:t>
      </w:r>
      <w:r>
        <w:rPr>
          <w:spacing w:val="-10"/>
          <w:vertAlign w:val="baseline"/>
        </w:rPr>
        <w:t> </w:t>
      </w:r>
      <w:r>
        <w:rPr>
          <w:vertAlign w:val="baseline"/>
        </w:rPr>
        <w:t>have</w:t>
      </w:r>
      <w:r>
        <w:rPr>
          <w:spacing w:val="-11"/>
          <w:vertAlign w:val="baseline"/>
        </w:rPr>
        <w:t> </w:t>
      </w:r>
      <w:r>
        <w:rPr>
          <w:vertAlign w:val="baseline"/>
        </w:rPr>
        <w:t>experienced</w:t>
      </w:r>
      <w:r>
        <w:rPr>
          <w:spacing w:val="-10"/>
          <w:vertAlign w:val="baseline"/>
        </w:rPr>
        <w:t> </w:t>
      </w:r>
      <w:r>
        <w:rPr>
          <w:vertAlign w:val="baseline"/>
        </w:rPr>
        <w:t>commercial</w:t>
      </w:r>
      <w:r>
        <w:rPr>
          <w:spacing w:val="-11"/>
          <w:vertAlign w:val="baseline"/>
        </w:rPr>
        <w:t> </w:t>
      </w:r>
      <w:r>
        <w:rPr>
          <w:vertAlign w:val="baseline"/>
        </w:rPr>
        <w:t>sexual</w:t>
      </w:r>
      <w:r>
        <w:rPr>
          <w:spacing w:val="-11"/>
          <w:vertAlign w:val="baseline"/>
        </w:rPr>
        <w:t> </w:t>
      </w:r>
      <w:r>
        <w:rPr>
          <w:vertAlign w:val="baseline"/>
        </w:rPr>
        <w:t>exploitation.</w:t>
      </w:r>
      <w:r>
        <w:rPr>
          <w:vertAlign w:val="superscript"/>
        </w:rPr>
        <w:t>126</w:t>
      </w:r>
      <w:r>
        <w:rPr>
          <w:spacing w:val="-10"/>
          <w:vertAlign w:val="baseline"/>
        </w:rPr>
        <w:t> </w:t>
      </w:r>
      <w:r>
        <w:rPr>
          <w:vertAlign w:val="baseline"/>
        </w:rPr>
        <w:t>Among</w:t>
      </w:r>
      <w:r>
        <w:rPr>
          <w:spacing w:val="-11"/>
          <w:vertAlign w:val="baseline"/>
        </w:rPr>
        <w:t> </w:t>
      </w:r>
      <w:r>
        <w:rPr>
          <w:vertAlign w:val="baseline"/>
        </w:rPr>
        <w:t>LGBTQ</w:t>
      </w:r>
      <w:r>
        <w:rPr>
          <w:spacing w:val="-11"/>
          <w:vertAlign w:val="baseline"/>
        </w:rPr>
        <w:t> </w:t>
      </w:r>
      <w:r>
        <w:rPr>
          <w:vertAlign w:val="baseline"/>
        </w:rPr>
        <w:t>youth</w:t>
      </w:r>
      <w:r>
        <w:rPr>
          <w:spacing w:val="-10"/>
          <w:vertAlign w:val="baseline"/>
        </w:rPr>
        <w:t> </w:t>
      </w:r>
      <w:r>
        <w:rPr>
          <w:vertAlign w:val="baseline"/>
        </w:rPr>
        <w:t>of</w:t>
      </w:r>
      <w:r>
        <w:rPr>
          <w:spacing w:val="-11"/>
          <w:vertAlign w:val="baseline"/>
        </w:rPr>
        <w:t> </w:t>
      </w:r>
      <w:r>
        <w:rPr>
          <w:vertAlign w:val="baseline"/>
        </w:rPr>
        <w:t>color,</w:t>
      </w:r>
      <w:r>
        <w:rPr>
          <w:spacing w:val="-11"/>
          <w:vertAlign w:val="baseline"/>
        </w:rPr>
        <w:t> </w:t>
      </w:r>
      <w:r>
        <w:rPr>
          <w:vertAlign w:val="baseline"/>
        </w:rPr>
        <w:t>Black youth of any gender are most likely to be criminalized and arrested for being sexually exploited.</w:t>
      </w:r>
      <w:r>
        <w:rPr>
          <w:vertAlign w:val="superscript"/>
        </w:rPr>
        <w:t>127</w:t>
      </w:r>
      <w:r>
        <w:rPr>
          <w:vertAlign w:val="baseline"/>
        </w:rPr>
        <w:t> Additionally, while</w:t>
      </w:r>
      <w:r>
        <w:rPr>
          <w:spacing w:val="-2"/>
          <w:vertAlign w:val="baseline"/>
        </w:rPr>
        <w:t> </w:t>
      </w:r>
      <w:r>
        <w:rPr>
          <w:vertAlign w:val="baseline"/>
        </w:rPr>
        <w:t>LGBTQ</w:t>
      </w:r>
      <w:r>
        <w:rPr>
          <w:spacing w:val="-1"/>
          <w:vertAlign w:val="baseline"/>
        </w:rPr>
        <w:t> </w:t>
      </w:r>
      <w:r>
        <w:rPr>
          <w:vertAlign w:val="baseline"/>
        </w:rPr>
        <w:t>youth</w:t>
      </w:r>
      <w:r>
        <w:rPr>
          <w:spacing w:val="-2"/>
          <w:vertAlign w:val="baseline"/>
        </w:rPr>
        <w:t> </w:t>
      </w:r>
      <w:r>
        <w:rPr>
          <w:vertAlign w:val="baseline"/>
        </w:rPr>
        <w:t>likely make</w:t>
      </w:r>
      <w:r>
        <w:rPr>
          <w:spacing w:val="-2"/>
          <w:vertAlign w:val="baseline"/>
        </w:rPr>
        <w:t> </w:t>
      </w:r>
      <w:r>
        <w:rPr>
          <w:vertAlign w:val="baseline"/>
        </w:rPr>
        <w:t>up</w:t>
      </w:r>
      <w:r>
        <w:rPr>
          <w:spacing w:val="-2"/>
          <w:vertAlign w:val="baseline"/>
        </w:rPr>
        <w:t> </w:t>
      </w:r>
      <w:r>
        <w:rPr>
          <w:vertAlign w:val="baseline"/>
        </w:rPr>
        <w:t>a</w:t>
      </w:r>
      <w:r>
        <w:rPr>
          <w:spacing w:val="-1"/>
          <w:vertAlign w:val="baseline"/>
        </w:rPr>
        <w:t> </w:t>
      </w:r>
      <w:r>
        <w:rPr>
          <w:vertAlign w:val="baseline"/>
        </w:rPr>
        <w:t>high</w:t>
      </w:r>
      <w:r>
        <w:rPr>
          <w:spacing w:val="-2"/>
          <w:vertAlign w:val="baseline"/>
        </w:rPr>
        <w:t> </w:t>
      </w:r>
      <w:r>
        <w:rPr>
          <w:vertAlign w:val="baseline"/>
        </w:rPr>
        <w:t>percentage</w:t>
      </w:r>
      <w:r>
        <w:rPr>
          <w:spacing w:val="-2"/>
          <w:vertAlign w:val="baseline"/>
        </w:rPr>
        <w:t> </w:t>
      </w:r>
      <w:r>
        <w:rPr>
          <w:vertAlign w:val="baseline"/>
        </w:rPr>
        <w:t>of</w:t>
      </w:r>
      <w:r>
        <w:rPr>
          <w:spacing w:val="-1"/>
          <w:vertAlign w:val="baseline"/>
        </w:rPr>
        <w:t> </w:t>
      </w:r>
      <w:r>
        <w:rPr>
          <w:vertAlign w:val="baseline"/>
        </w:rPr>
        <w:t>sexually exploited</w:t>
      </w:r>
      <w:r>
        <w:rPr>
          <w:spacing w:val="-2"/>
          <w:vertAlign w:val="baseline"/>
        </w:rPr>
        <w:t> </w:t>
      </w:r>
      <w:r>
        <w:rPr>
          <w:vertAlign w:val="baseline"/>
        </w:rPr>
        <w:t>minors,</w:t>
      </w:r>
      <w:r>
        <w:rPr>
          <w:spacing w:val="-1"/>
          <w:vertAlign w:val="baseline"/>
        </w:rPr>
        <w:t> </w:t>
      </w:r>
      <w:r>
        <w:rPr>
          <w:vertAlign w:val="baseline"/>
        </w:rPr>
        <w:t>there are very few services that focus on the particular support needs of LGBTQ youth.</w:t>
      </w:r>
      <w:r>
        <w:rPr>
          <w:vertAlign w:val="superscript"/>
        </w:rPr>
        <w:t>128</w:t>
      </w:r>
    </w:p>
    <w:p>
      <w:pPr>
        <w:pStyle w:val="BodyText"/>
        <w:spacing w:line="276" w:lineRule="auto" w:before="241"/>
        <w:ind w:left="458" w:right="531"/>
        <w:jc w:val="both"/>
      </w:pPr>
      <w:r>
        <w:rPr/>
        <w:t>However,</w:t>
      </w:r>
      <w:r>
        <w:rPr>
          <w:spacing w:val="-11"/>
        </w:rPr>
        <w:t> </w:t>
      </w:r>
      <w:r>
        <w:rPr/>
        <w:t>when</w:t>
      </w:r>
      <w:r>
        <w:rPr>
          <w:spacing w:val="-10"/>
        </w:rPr>
        <w:t> </w:t>
      </w:r>
      <w:r>
        <w:rPr/>
        <w:t>considering</w:t>
      </w:r>
      <w:r>
        <w:rPr>
          <w:spacing w:val="-11"/>
        </w:rPr>
        <w:t> </w:t>
      </w:r>
      <w:r>
        <w:rPr/>
        <w:t>interventions</w:t>
      </w:r>
      <w:r>
        <w:rPr>
          <w:spacing w:val="-11"/>
        </w:rPr>
        <w:t> </w:t>
      </w:r>
      <w:r>
        <w:rPr/>
        <w:t>to</w:t>
      </w:r>
      <w:r>
        <w:rPr>
          <w:spacing w:val="-11"/>
        </w:rPr>
        <w:t> </w:t>
      </w:r>
      <w:r>
        <w:rPr/>
        <w:t>address</w:t>
      </w:r>
      <w:r>
        <w:rPr>
          <w:spacing w:val="-10"/>
        </w:rPr>
        <w:t> </w:t>
      </w:r>
      <w:r>
        <w:rPr/>
        <w:t>sexual</w:t>
      </w:r>
      <w:r>
        <w:rPr>
          <w:spacing w:val="-11"/>
        </w:rPr>
        <w:t> </w:t>
      </w:r>
      <w:r>
        <w:rPr/>
        <w:t>exploitation</w:t>
      </w:r>
      <w:r>
        <w:rPr>
          <w:spacing w:val="-11"/>
        </w:rPr>
        <w:t> </w:t>
      </w:r>
      <w:r>
        <w:rPr/>
        <w:t>and</w:t>
      </w:r>
      <w:r>
        <w:rPr>
          <w:spacing w:val="-10"/>
        </w:rPr>
        <w:t> </w:t>
      </w:r>
      <w:r>
        <w:rPr/>
        <w:t>trafficking</w:t>
      </w:r>
      <w:r>
        <w:rPr>
          <w:spacing w:val="-11"/>
        </w:rPr>
        <w:t> </w:t>
      </w:r>
      <w:r>
        <w:rPr/>
        <w:t>for</w:t>
      </w:r>
      <w:r>
        <w:rPr>
          <w:spacing w:val="-11"/>
        </w:rPr>
        <w:t> </w:t>
      </w:r>
      <w:r>
        <w:rPr/>
        <w:t>youth</w:t>
      </w:r>
      <w:r>
        <w:rPr>
          <w:spacing w:val="-10"/>
        </w:rPr>
        <w:t> </w:t>
      </w:r>
      <w:r>
        <w:rPr/>
        <w:t>over the age of 18, it is essential to avoid conflating exploitation/trafficking with sex work. As noted throughout this report, the Commission defines ‘youth’ as under 25, but when discussing sex work, the</w:t>
      </w:r>
      <w:r>
        <w:rPr>
          <w:spacing w:val="-10"/>
        </w:rPr>
        <w:t> </w:t>
      </w:r>
      <w:r>
        <w:rPr/>
        <w:t>Commission</w:t>
      </w:r>
      <w:r>
        <w:rPr>
          <w:spacing w:val="-12"/>
        </w:rPr>
        <w:t> </w:t>
      </w:r>
      <w:r>
        <w:rPr/>
        <w:t>is</w:t>
      </w:r>
      <w:r>
        <w:rPr>
          <w:spacing w:val="-11"/>
        </w:rPr>
        <w:t> </w:t>
      </w:r>
      <w:r>
        <w:rPr/>
        <w:t>discussing</w:t>
      </w:r>
      <w:r>
        <w:rPr>
          <w:spacing w:val="-12"/>
        </w:rPr>
        <w:t> </w:t>
      </w:r>
      <w:r>
        <w:rPr/>
        <w:t>youth</w:t>
      </w:r>
      <w:r>
        <w:rPr>
          <w:spacing w:val="-10"/>
        </w:rPr>
        <w:t> </w:t>
      </w:r>
      <w:r>
        <w:rPr/>
        <w:t>18</w:t>
      </w:r>
      <w:r>
        <w:rPr>
          <w:spacing w:val="-11"/>
        </w:rPr>
        <w:t> </w:t>
      </w:r>
      <w:r>
        <w:rPr/>
        <w:t>and</w:t>
      </w:r>
      <w:r>
        <w:rPr>
          <w:spacing w:val="-12"/>
        </w:rPr>
        <w:t> </w:t>
      </w:r>
      <w:r>
        <w:rPr/>
        <w:t>over;</w:t>
      </w:r>
      <w:r>
        <w:rPr>
          <w:spacing w:val="-10"/>
        </w:rPr>
        <w:t> </w:t>
      </w:r>
      <w:r>
        <w:rPr/>
        <w:t>any</w:t>
      </w:r>
      <w:r>
        <w:rPr>
          <w:spacing w:val="-10"/>
        </w:rPr>
        <w:t> </w:t>
      </w:r>
      <w:r>
        <w:rPr/>
        <w:t>instance</w:t>
      </w:r>
      <w:r>
        <w:rPr>
          <w:spacing w:val="-10"/>
        </w:rPr>
        <w:t> </w:t>
      </w:r>
      <w:r>
        <w:rPr/>
        <w:t>of</w:t>
      </w:r>
      <w:r>
        <w:rPr>
          <w:spacing w:val="-11"/>
        </w:rPr>
        <w:t> </w:t>
      </w:r>
      <w:r>
        <w:rPr/>
        <w:t>youth</w:t>
      </w:r>
      <w:r>
        <w:rPr>
          <w:spacing w:val="-10"/>
        </w:rPr>
        <w:t> </w:t>
      </w:r>
      <w:r>
        <w:rPr/>
        <w:t>under</w:t>
      </w:r>
      <w:r>
        <w:rPr>
          <w:spacing w:val="-10"/>
        </w:rPr>
        <w:t> </w:t>
      </w:r>
      <w:r>
        <w:rPr/>
        <w:t>18</w:t>
      </w:r>
      <w:r>
        <w:rPr>
          <w:spacing w:val="-10"/>
        </w:rPr>
        <w:t> </w:t>
      </w:r>
      <w:r>
        <w:rPr/>
        <w:t>trading</w:t>
      </w:r>
      <w:r>
        <w:rPr>
          <w:spacing w:val="-10"/>
        </w:rPr>
        <w:t> </w:t>
      </w:r>
      <w:r>
        <w:rPr/>
        <w:t>sexual</w:t>
      </w:r>
      <w:r>
        <w:rPr>
          <w:spacing w:val="-11"/>
        </w:rPr>
        <w:t> </w:t>
      </w:r>
      <w:r>
        <w:rPr/>
        <w:t>contact for a fee is trafficking, and interventions should be targeted accordingly while centering minors with support and resources rather than punitive measures. While the age of consent in Massachusetts is set</w:t>
      </w:r>
      <w:r>
        <w:rPr>
          <w:spacing w:val="-5"/>
        </w:rPr>
        <w:t> </w:t>
      </w:r>
      <w:r>
        <w:rPr/>
        <w:t>at</w:t>
      </w:r>
      <w:r>
        <w:rPr>
          <w:spacing w:val="-5"/>
        </w:rPr>
        <w:t> </w:t>
      </w:r>
      <w:r>
        <w:rPr/>
        <w:t>16,</w:t>
      </w:r>
      <w:r>
        <w:rPr>
          <w:spacing w:val="-5"/>
        </w:rPr>
        <w:t> </w:t>
      </w:r>
      <w:r>
        <w:rPr/>
        <w:t>federal</w:t>
      </w:r>
      <w:r>
        <w:rPr>
          <w:spacing w:val="-5"/>
        </w:rPr>
        <w:t> </w:t>
      </w:r>
      <w:r>
        <w:rPr/>
        <w:t>law</w:t>
      </w:r>
      <w:r>
        <w:rPr>
          <w:spacing w:val="-5"/>
        </w:rPr>
        <w:t> </w:t>
      </w:r>
      <w:r>
        <w:rPr/>
        <w:t>defines</w:t>
      </w:r>
      <w:r>
        <w:rPr>
          <w:spacing w:val="-5"/>
        </w:rPr>
        <w:t> </w:t>
      </w:r>
      <w:r>
        <w:rPr/>
        <w:t>youth</w:t>
      </w:r>
      <w:r>
        <w:rPr>
          <w:spacing w:val="-5"/>
        </w:rPr>
        <w:t> </w:t>
      </w:r>
      <w:r>
        <w:rPr/>
        <w:t>under</w:t>
      </w:r>
      <w:r>
        <w:rPr>
          <w:spacing w:val="-5"/>
        </w:rPr>
        <w:t> </w:t>
      </w:r>
      <w:r>
        <w:rPr/>
        <w:t>18</w:t>
      </w:r>
      <w:r>
        <w:rPr>
          <w:spacing w:val="-5"/>
        </w:rPr>
        <w:t> </w:t>
      </w:r>
      <w:r>
        <w:rPr/>
        <w:t>as</w:t>
      </w:r>
      <w:r>
        <w:rPr>
          <w:spacing w:val="-5"/>
        </w:rPr>
        <w:t> </w:t>
      </w:r>
      <w:r>
        <w:rPr/>
        <w:t>victims</w:t>
      </w:r>
      <w:r>
        <w:rPr>
          <w:spacing w:val="-5"/>
        </w:rPr>
        <w:t> </w:t>
      </w:r>
      <w:r>
        <w:rPr/>
        <w:t>of</w:t>
      </w:r>
      <w:r>
        <w:rPr>
          <w:spacing w:val="-5"/>
        </w:rPr>
        <w:t> </w:t>
      </w:r>
      <w:r>
        <w:rPr/>
        <w:t>trafficking.</w:t>
      </w:r>
      <w:r>
        <w:rPr>
          <w:vertAlign w:val="superscript"/>
        </w:rPr>
        <w:t>129</w:t>
      </w:r>
      <w:r>
        <w:rPr>
          <w:spacing w:val="-4"/>
          <w:vertAlign w:val="baseline"/>
        </w:rPr>
        <w:t> </w:t>
      </w:r>
      <w:r>
        <w:rPr>
          <w:vertAlign w:val="baseline"/>
        </w:rPr>
        <w:t>The</w:t>
      </w:r>
      <w:r>
        <w:rPr>
          <w:spacing w:val="-5"/>
          <w:vertAlign w:val="baseline"/>
        </w:rPr>
        <w:t> </w:t>
      </w:r>
      <w:r>
        <w:rPr>
          <w:vertAlign w:val="baseline"/>
        </w:rPr>
        <w:t>Commission</w:t>
      </w:r>
      <w:r>
        <w:rPr>
          <w:spacing w:val="-5"/>
          <w:vertAlign w:val="baseline"/>
        </w:rPr>
        <w:t> </w:t>
      </w:r>
      <w:r>
        <w:rPr>
          <w:vertAlign w:val="baseline"/>
        </w:rPr>
        <w:t>understands the reality that there are minors exchanging sexual contact with other minors for money or goods, which is a nuanced conversation currently outside of the scope of this report, and is legally still unlawful. Per Massachusetts law (</w:t>
      </w:r>
      <w:hyperlink r:id="rId137">
        <w:r>
          <w:rPr>
            <w:color w:val="1153CC"/>
            <w:u w:val="single" w:color="1153CC"/>
            <w:vertAlign w:val="baseline"/>
          </w:rPr>
          <w:t>MGL c.265, § 23</w:t>
        </w:r>
      </w:hyperlink>
      <w:r>
        <w:rPr>
          <w:u w:val="none"/>
          <w:vertAlign w:val="baseline"/>
        </w:rPr>
        <w:t>) - as noted later in the criminal justice section of this report - it is unlawful for persons under 16 to engage in sexual intercourse, even if the other person is also under the age of 16.</w:t>
      </w:r>
      <w:r>
        <w:rPr>
          <w:u w:val="none"/>
          <w:vertAlign w:val="superscript"/>
        </w:rPr>
        <w:t>130</w:t>
      </w:r>
    </w:p>
    <w:p>
      <w:pPr>
        <w:pStyle w:val="BodyText"/>
        <w:spacing w:line="276" w:lineRule="auto" w:before="239"/>
        <w:ind w:left="460" w:right="535"/>
        <w:jc w:val="both"/>
      </w:pPr>
      <w:r>
        <w:rPr/>
        <w:t>The Commission finds it necessary to define the differences between the terms trafficking and sex work,</w:t>
      </w:r>
      <w:r>
        <w:rPr>
          <w:spacing w:val="33"/>
        </w:rPr>
        <w:t> </w:t>
      </w:r>
      <w:r>
        <w:rPr/>
        <w:t>as</w:t>
      </w:r>
      <w:r>
        <w:rPr>
          <w:spacing w:val="33"/>
        </w:rPr>
        <w:t> </w:t>
      </w:r>
      <w:r>
        <w:rPr/>
        <w:t>many</w:t>
      </w:r>
      <w:r>
        <w:rPr>
          <w:spacing w:val="33"/>
        </w:rPr>
        <w:t> </w:t>
      </w:r>
      <w:r>
        <w:rPr/>
        <w:t>advocacy</w:t>
      </w:r>
      <w:r>
        <w:rPr>
          <w:spacing w:val="34"/>
        </w:rPr>
        <w:t> </w:t>
      </w:r>
      <w:r>
        <w:rPr/>
        <w:t>materials</w:t>
      </w:r>
      <w:r>
        <w:rPr>
          <w:spacing w:val="33"/>
        </w:rPr>
        <w:t> </w:t>
      </w:r>
      <w:r>
        <w:rPr/>
        <w:t>and</w:t>
      </w:r>
      <w:r>
        <w:rPr>
          <w:spacing w:val="32"/>
        </w:rPr>
        <w:t> </w:t>
      </w:r>
      <w:r>
        <w:rPr/>
        <w:t>media</w:t>
      </w:r>
      <w:r>
        <w:rPr>
          <w:spacing w:val="33"/>
        </w:rPr>
        <w:t> </w:t>
      </w:r>
      <w:r>
        <w:rPr/>
        <w:t>use</w:t>
      </w:r>
      <w:r>
        <w:rPr>
          <w:spacing w:val="33"/>
        </w:rPr>
        <w:t> </w:t>
      </w:r>
      <w:r>
        <w:rPr/>
        <w:t>the</w:t>
      </w:r>
      <w:r>
        <w:rPr>
          <w:spacing w:val="34"/>
        </w:rPr>
        <w:t> </w:t>
      </w:r>
      <w:r>
        <w:rPr/>
        <w:t>terms</w:t>
      </w:r>
      <w:r>
        <w:rPr>
          <w:spacing w:val="33"/>
        </w:rPr>
        <w:t> </w:t>
      </w:r>
      <w:r>
        <w:rPr/>
        <w:t>interchangeably,</w:t>
      </w:r>
      <w:r>
        <w:rPr>
          <w:spacing w:val="33"/>
        </w:rPr>
        <w:t> </w:t>
      </w:r>
      <w:r>
        <w:rPr/>
        <w:t>which</w:t>
      </w:r>
      <w:r>
        <w:rPr>
          <w:spacing w:val="32"/>
        </w:rPr>
        <w:t> </w:t>
      </w:r>
      <w:r>
        <w:rPr/>
        <w:t>inaccurately</w:t>
      </w:r>
    </w:p>
    <w:p>
      <w:pPr>
        <w:spacing w:after="0" w:line="276" w:lineRule="auto"/>
        <w:jc w:val="both"/>
        <w:sectPr>
          <w:pgSz w:w="11910" w:h="16840"/>
          <w:pgMar w:header="804" w:footer="1230" w:top="1080" w:bottom="1460" w:left="980" w:right="900"/>
        </w:sectPr>
      </w:pPr>
    </w:p>
    <w:p>
      <w:pPr>
        <w:pStyle w:val="BodyText"/>
        <w:spacing w:before="69"/>
        <w:ind w:left="460"/>
        <w:jc w:val="both"/>
      </w:pPr>
      <w:r>
        <w:rPr/>
        <w:t>captures</w:t>
      </w:r>
      <w:r>
        <w:rPr>
          <w:spacing w:val="14"/>
        </w:rPr>
        <w:t> </w:t>
      </w:r>
      <w:r>
        <w:rPr/>
        <w:t>and</w:t>
      </w:r>
      <w:r>
        <w:rPr>
          <w:spacing w:val="16"/>
        </w:rPr>
        <w:t> </w:t>
      </w:r>
      <w:r>
        <w:rPr/>
        <w:t>conflates</w:t>
      </w:r>
      <w:r>
        <w:rPr>
          <w:spacing w:val="15"/>
        </w:rPr>
        <w:t> </w:t>
      </w:r>
      <w:r>
        <w:rPr/>
        <w:t>the</w:t>
      </w:r>
      <w:r>
        <w:rPr>
          <w:spacing w:val="14"/>
        </w:rPr>
        <w:t> </w:t>
      </w:r>
      <w:r>
        <w:rPr/>
        <w:t>disparate</w:t>
      </w:r>
      <w:r>
        <w:rPr>
          <w:spacing w:val="13"/>
        </w:rPr>
        <w:t> </w:t>
      </w:r>
      <w:r>
        <w:rPr/>
        <w:t>realities</w:t>
      </w:r>
      <w:r>
        <w:rPr>
          <w:spacing w:val="15"/>
        </w:rPr>
        <w:t> </w:t>
      </w:r>
      <w:r>
        <w:rPr/>
        <w:t>faced</w:t>
      </w:r>
      <w:r>
        <w:rPr>
          <w:spacing w:val="15"/>
        </w:rPr>
        <w:t> </w:t>
      </w:r>
      <w:r>
        <w:rPr/>
        <w:t>by</w:t>
      </w:r>
      <w:r>
        <w:rPr>
          <w:spacing w:val="15"/>
        </w:rPr>
        <w:t> </w:t>
      </w:r>
      <w:r>
        <w:rPr/>
        <w:t>those</w:t>
      </w:r>
      <w:r>
        <w:rPr>
          <w:spacing w:val="14"/>
        </w:rPr>
        <w:t> </w:t>
      </w:r>
      <w:r>
        <w:rPr/>
        <w:t>engaging</w:t>
      </w:r>
      <w:r>
        <w:rPr>
          <w:spacing w:val="13"/>
        </w:rPr>
        <w:t> </w:t>
      </w:r>
      <w:r>
        <w:rPr/>
        <w:t>in</w:t>
      </w:r>
      <w:r>
        <w:rPr>
          <w:spacing w:val="14"/>
        </w:rPr>
        <w:t> </w:t>
      </w:r>
      <w:r>
        <w:rPr/>
        <w:t>sex</w:t>
      </w:r>
      <w:r>
        <w:rPr>
          <w:spacing w:val="15"/>
        </w:rPr>
        <w:t> </w:t>
      </w:r>
      <w:r>
        <w:rPr/>
        <w:t>work</w:t>
      </w:r>
      <w:r>
        <w:rPr>
          <w:spacing w:val="14"/>
        </w:rPr>
        <w:t> </w:t>
      </w:r>
      <w:r>
        <w:rPr/>
        <w:t>over</w:t>
      </w:r>
      <w:r>
        <w:rPr>
          <w:spacing w:val="15"/>
        </w:rPr>
        <w:t> </w:t>
      </w:r>
      <w:r>
        <w:rPr/>
        <w:t>the</w:t>
      </w:r>
      <w:r>
        <w:rPr>
          <w:spacing w:val="13"/>
        </w:rPr>
        <w:t> </w:t>
      </w:r>
      <w:r>
        <w:rPr/>
        <w:t>age</w:t>
      </w:r>
      <w:r>
        <w:rPr>
          <w:spacing w:val="14"/>
        </w:rPr>
        <w:t> </w:t>
      </w:r>
      <w:r>
        <w:rPr>
          <w:spacing w:val="-5"/>
        </w:rPr>
        <w:t>of</w:t>
      </w:r>
    </w:p>
    <w:p>
      <w:pPr>
        <w:pStyle w:val="BodyText"/>
        <w:spacing w:line="276" w:lineRule="auto" w:before="36"/>
        <w:ind w:left="459" w:right="533"/>
        <w:jc w:val="both"/>
      </w:pPr>
      <w:r>
        <w:rPr/>
        <w:t>18.</w:t>
      </w:r>
      <w:r>
        <w:rPr>
          <w:position w:val="8"/>
          <w:sz w:val="14"/>
        </w:rPr>
        <w:t>131</w:t>
      </w:r>
      <w:r>
        <w:rPr>
          <w:spacing w:val="-8"/>
          <w:position w:val="8"/>
          <w:sz w:val="14"/>
        </w:rPr>
        <w:t> </w:t>
      </w:r>
      <w:r>
        <w:rPr/>
        <w:t>Sex</w:t>
      </w:r>
      <w:r>
        <w:rPr>
          <w:spacing w:val="-12"/>
        </w:rPr>
        <w:t> </w:t>
      </w:r>
      <w:r>
        <w:rPr/>
        <w:t>work,</w:t>
      </w:r>
      <w:r>
        <w:rPr>
          <w:spacing w:val="-11"/>
        </w:rPr>
        <w:t> </w:t>
      </w:r>
      <w:r>
        <w:rPr/>
        <w:t>by</w:t>
      </w:r>
      <w:r>
        <w:rPr>
          <w:spacing w:val="-11"/>
        </w:rPr>
        <w:t> </w:t>
      </w:r>
      <w:r>
        <w:rPr/>
        <w:t>definition,</w:t>
      </w:r>
      <w:r>
        <w:rPr>
          <w:spacing w:val="-11"/>
        </w:rPr>
        <w:t> </w:t>
      </w:r>
      <w:r>
        <w:rPr/>
        <w:t>is</w:t>
      </w:r>
      <w:r>
        <w:rPr>
          <w:spacing w:val="-11"/>
        </w:rPr>
        <w:t> </w:t>
      </w:r>
      <w:r>
        <w:rPr/>
        <w:t>consensual,</w:t>
      </w:r>
      <w:r>
        <w:rPr>
          <w:spacing w:val="-11"/>
        </w:rPr>
        <w:t> </w:t>
      </w:r>
      <w:r>
        <w:rPr/>
        <w:t>though</w:t>
      </w:r>
      <w:r>
        <w:rPr>
          <w:spacing w:val="-12"/>
        </w:rPr>
        <w:t> </w:t>
      </w:r>
      <w:r>
        <w:rPr/>
        <w:t>many</w:t>
      </w:r>
      <w:r>
        <w:rPr>
          <w:spacing w:val="-11"/>
        </w:rPr>
        <w:t> </w:t>
      </w:r>
      <w:r>
        <w:rPr/>
        <w:t>individuals</w:t>
      </w:r>
      <w:r>
        <w:rPr>
          <w:spacing w:val="-11"/>
        </w:rPr>
        <w:t> </w:t>
      </w:r>
      <w:r>
        <w:rPr/>
        <w:t>who</w:t>
      </w:r>
      <w:r>
        <w:rPr>
          <w:spacing w:val="-11"/>
        </w:rPr>
        <w:t> </w:t>
      </w:r>
      <w:r>
        <w:rPr/>
        <w:t>engage</w:t>
      </w:r>
      <w:r>
        <w:rPr>
          <w:spacing w:val="-12"/>
        </w:rPr>
        <w:t> </w:t>
      </w:r>
      <w:r>
        <w:rPr/>
        <w:t>in</w:t>
      </w:r>
      <w:r>
        <w:rPr>
          <w:spacing w:val="-12"/>
        </w:rPr>
        <w:t> </w:t>
      </w:r>
      <w:r>
        <w:rPr/>
        <w:t>sex</w:t>
      </w:r>
      <w:r>
        <w:rPr>
          <w:spacing w:val="-12"/>
        </w:rPr>
        <w:t> </w:t>
      </w:r>
      <w:r>
        <w:rPr/>
        <w:t>work</w:t>
      </w:r>
      <w:r>
        <w:rPr>
          <w:spacing w:val="-12"/>
        </w:rPr>
        <w:t> </w:t>
      </w:r>
      <w:r>
        <w:rPr/>
        <w:t>may</w:t>
      </w:r>
      <w:r>
        <w:rPr>
          <w:spacing w:val="-11"/>
        </w:rPr>
        <w:t> </w:t>
      </w:r>
      <w:r>
        <w:rPr/>
        <w:t>also be victims of trafficking and exploitation.</w:t>
      </w:r>
      <w:r>
        <w:rPr>
          <w:vertAlign w:val="superscript"/>
        </w:rPr>
        <w:t>132</w:t>
      </w:r>
      <w:r>
        <w:rPr>
          <w:vertAlign w:val="baseline"/>
        </w:rPr>
        <w:t> LGBTQ youth over the age of 18 may engage in sex work to</w:t>
      </w:r>
      <w:r>
        <w:rPr>
          <w:spacing w:val="-2"/>
          <w:vertAlign w:val="baseline"/>
        </w:rPr>
        <w:t> </w:t>
      </w:r>
      <w:r>
        <w:rPr>
          <w:vertAlign w:val="baseline"/>
        </w:rPr>
        <w:t>meet</w:t>
      </w:r>
      <w:r>
        <w:rPr>
          <w:spacing w:val="-3"/>
          <w:vertAlign w:val="baseline"/>
        </w:rPr>
        <w:t> </w:t>
      </w:r>
      <w:r>
        <w:rPr>
          <w:vertAlign w:val="baseline"/>
        </w:rPr>
        <w:t>their</w:t>
      </w:r>
      <w:r>
        <w:rPr>
          <w:spacing w:val="-2"/>
          <w:vertAlign w:val="baseline"/>
        </w:rPr>
        <w:t> </w:t>
      </w:r>
      <w:r>
        <w:rPr>
          <w:vertAlign w:val="baseline"/>
        </w:rPr>
        <w:t>needs</w:t>
      </w:r>
      <w:r>
        <w:rPr>
          <w:spacing w:val="-1"/>
          <w:vertAlign w:val="baseline"/>
        </w:rPr>
        <w:t> </w:t>
      </w:r>
      <w:r>
        <w:rPr>
          <w:vertAlign w:val="baseline"/>
        </w:rPr>
        <w:t>due</w:t>
      </w:r>
      <w:r>
        <w:rPr>
          <w:spacing w:val="-2"/>
          <w:vertAlign w:val="baseline"/>
        </w:rPr>
        <w:t> </w:t>
      </w:r>
      <w:r>
        <w:rPr>
          <w:vertAlign w:val="baseline"/>
        </w:rPr>
        <w:t>to</w:t>
      </w:r>
      <w:r>
        <w:rPr>
          <w:spacing w:val="-1"/>
          <w:vertAlign w:val="baseline"/>
        </w:rPr>
        <w:t> </w:t>
      </w:r>
      <w:r>
        <w:rPr>
          <w:vertAlign w:val="baseline"/>
        </w:rPr>
        <w:t>financial</w:t>
      </w:r>
      <w:r>
        <w:rPr>
          <w:spacing w:val="-2"/>
          <w:vertAlign w:val="baseline"/>
        </w:rPr>
        <w:t> </w:t>
      </w:r>
      <w:r>
        <w:rPr>
          <w:vertAlign w:val="baseline"/>
        </w:rPr>
        <w:t>necessity,</w:t>
      </w:r>
      <w:r>
        <w:rPr>
          <w:spacing w:val="-3"/>
          <w:vertAlign w:val="baseline"/>
        </w:rPr>
        <w:t> </w:t>
      </w:r>
      <w:r>
        <w:rPr>
          <w:vertAlign w:val="baseline"/>
        </w:rPr>
        <w:t>particularly</w:t>
      </w:r>
      <w:r>
        <w:rPr>
          <w:spacing w:val="-3"/>
          <w:vertAlign w:val="baseline"/>
        </w:rPr>
        <w:t> </w:t>
      </w:r>
      <w:r>
        <w:rPr>
          <w:vertAlign w:val="baseline"/>
        </w:rPr>
        <w:t>if</w:t>
      </w:r>
      <w:r>
        <w:rPr>
          <w:spacing w:val="-3"/>
          <w:vertAlign w:val="baseline"/>
        </w:rPr>
        <w:t> </w:t>
      </w:r>
      <w:r>
        <w:rPr>
          <w:vertAlign w:val="baseline"/>
        </w:rPr>
        <w:t>they</w:t>
      </w:r>
      <w:r>
        <w:rPr>
          <w:spacing w:val="-2"/>
          <w:vertAlign w:val="baseline"/>
        </w:rPr>
        <w:t> </w:t>
      </w:r>
      <w:r>
        <w:rPr>
          <w:vertAlign w:val="baseline"/>
        </w:rPr>
        <w:t>have</w:t>
      </w:r>
      <w:r>
        <w:rPr>
          <w:spacing w:val="-3"/>
          <w:vertAlign w:val="baseline"/>
        </w:rPr>
        <w:t> </w:t>
      </w:r>
      <w:r>
        <w:rPr>
          <w:vertAlign w:val="baseline"/>
        </w:rPr>
        <w:t>been</w:t>
      </w:r>
      <w:r>
        <w:rPr>
          <w:spacing w:val="-2"/>
          <w:vertAlign w:val="baseline"/>
        </w:rPr>
        <w:t> </w:t>
      </w:r>
      <w:r>
        <w:rPr>
          <w:vertAlign w:val="baseline"/>
        </w:rPr>
        <w:t>kicked</w:t>
      </w:r>
      <w:r>
        <w:rPr>
          <w:spacing w:val="-3"/>
          <w:vertAlign w:val="baseline"/>
        </w:rPr>
        <w:t> </w:t>
      </w:r>
      <w:r>
        <w:rPr>
          <w:vertAlign w:val="baseline"/>
        </w:rPr>
        <w:t>out</w:t>
      </w:r>
      <w:r>
        <w:rPr>
          <w:spacing w:val="-3"/>
          <w:vertAlign w:val="baseline"/>
        </w:rPr>
        <w:t> </w:t>
      </w:r>
      <w:r>
        <w:rPr>
          <w:vertAlign w:val="baseline"/>
        </w:rPr>
        <w:t>of</w:t>
      </w:r>
      <w:r>
        <w:rPr>
          <w:spacing w:val="-3"/>
          <w:vertAlign w:val="baseline"/>
        </w:rPr>
        <w:t> </w:t>
      </w:r>
      <w:r>
        <w:rPr>
          <w:vertAlign w:val="baseline"/>
        </w:rPr>
        <w:t>their</w:t>
      </w:r>
      <w:r>
        <w:rPr>
          <w:spacing w:val="-3"/>
          <w:vertAlign w:val="baseline"/>
        </w:rPr>
        <w:t> </w:t>
      </w:r>
      <w:r>
        <w:rPr>
          <w:vertAlign w:val="baseline"/>
        </w:rPr>
        <w:t>home due to their gender identity or sexuality or have</w:t>
      </w:r>
      <w:r>
        <w:rPr>
          <w:spacing w:val="-1"/>
          <w:vertAlign w:val="baseline"/>
        </w:rPr>
        <w:t> </w:t>
      </w:r>
      <w:r>
        <w:rPr>
          <w:vertAlign w:val="baseline"/>
        </w:rPr>
        <w:t>been</w:t>
      </w:r>
      <w:r>
        <w:rPr>
          <w:spacing w:val="-1"/>
          <w:vertAlign w:val="baseline"/>
        </w:rPr>
        <w:t> </w:t>
      </w:r>
      <w:r>
        <w:rPr>
          <w:vertAlign w:val="baseline"/>
        </w:rPr>
        <w:t>unable to find</w:t>
      </w:r>
      <w:r>
        <w:rPr>
          <w:spacing w:val="-1"/>
          <w:vertAlign w:val="baseline"/>
        </w:rPr>
        <w:t> </w:t>
      </w:r>
      <w:r>
        <w:rPr>
          <w:vertAlign w:val="baseline"/>
        </w:rPr>
        <w:t>employment due to harassment or discrimination.</w:t>
      </w:r>
      <w:r>
        <w:rPr>
          <w:vertAlign w:val="superscript"/>
        </w:rPr>
        <w:t>133,134</w:t>
      </w:r>
    </w:p>
    <w:p>
      <w:pPr>
        <w:pStyle w:val="BodyText"/>
        <w:spacing w:line="276" w:lineRule="auto" w:before="239"/>
        <w:ind w:left="458" w:right="530"/>
        <w:jc w:val="both"/>
      </w:pPr>
      <w:r>
        <w:rPr/>
        <w:t>According to the 2015 U.S. Transgender Survey (not yet shared in the 2022 version), among </w:t>
      </w:r>
      <w:r>
        <w:rPr>
          <w:spacing w:val="-2"/>
        </w:rPr>
        <w:t>transgender and gender-nonconforming individuals aged 16 and older, 12% reported ever having done </w:t>
      </w:r>
      <w:r>
        <w:rPr/>
        <w:t>sex work (including, but not limited to, dancing in clubs, virtual webcam work on platforms such as OnlyFans,</w:t>
      </w:r>
      <w:r>
        <w:rPr>
          <w:spacing w:val="-7"/>
        </w:rPr>
        <w:t> </w:t>
      </w:r>
      <w:r>
        <w:rPr/>
        <w:t>or</w:t>
      </w:r>
      <w:r>
        <w:rPr>
          <w:spacing w:val="-6"/>
        </w:rPr>
        <w:t> </w:t>
      </w:r>
      <w:r>
        <w:rPr/>
        <w:t>filming</w:t>
      </w:r>
      <w:r>
        <w:rPr>
          <w:spacing w:val="-7"/>
        </w:rPr>
        <w:t> </w:t>
      </w:r>
      <w:r>
        <w:rPr/>
        <w:t>pornography</w:t>
      </w:r>
      <w:r>
        <w:rPr>
          <w:spacing w:val="-7"/>
        </w:rPr>
        <w:t> </w:t>
      </w:r>
      <w:r>
        <w:rPr/>
        <w:t>for</w:t>
      </w:r>
      <w:r>
        <w:rPr>
          <w:spacing w:val="-6"/>
        </w:rPr>
        <w:t> </w:t>
      </w:r>
      <w:r>
        <w:rPr/>
        <w:t>wide</w:t>
      </w:r>
      <w:r>
        <w:rPr>
          <w:spacing w:val="-8"/>
        </w:rPr>
        <w:t> </w:t>
      </w:r>
      <w:r>
        <w:rPr/>
        <w:t>release)</w:t>
      </w:r>
      <w:r>
        <w:rPr>
          <w:spacing w:val="-7"/>
        </w:rPr>
        <w:t> </w:t>
      </w:r>
      <w:r>
        <w:rPr/>
        <w:t>for</w:t>
      </w:r>
      <w:r>
        <w:rPr>
          <w:spacing w:val="-7"/>
        </w:rPr>
        <w:t> </w:t>
      </w:r>
      <w:r>
        <w:rPr/>
        <w:t>income</w:t>
      </w:r>
      <w:r>
        <w:rPr>
          <w:spacing w:val="-6"/>
        </w:rPr>
        <w:t> </w:t>
      </w:r>
      <w:r>
        <w:rPr/>
        <w:t>during</w:t>
      </w:r>
      <w:r>
        <w:rPr>
          <w:spacing w:val="-7"/>
        </w:rPr>
        <w:t> </w:t>
      </w:r>
      <w:r>
        <w:rPr/>
        <w:t>their</w:t>
      </w:r>
      <w:r>
        <w:rPr>
          <w:spacing w:val="-6"/>
        </w:rPr>
        <w:t> </w:t>
      </w:r>
      <w:r>
        <w:rPr/>
        <w:t>lifetimes.</w:t>
      </w:r>
      <w:r>
        <w:rPr>
          <w:vertAlign w:val="superscript"/>
        </w:rPr>
        <w:t>135</w:t>
      </w:r>
      <w:r>
        <w:rPr>
          <w:spacing w:val="-7"/>
          <w:vertAlign w:val="baseline"/>
        </w:rPr>
        <w:t> </w:t>
      </w:r>
      <w:r>
        <w:rPr>
          <w:vertAlign w:val="baseline"/>
        </w:rPr>
        <w:t>Among</w:t>
      </w:r>
      <w:r>
        <w:rPr>
          <w:spacing w:val="-8"/>
          <w:vertAlign w:val="baseline"/>
        </w:rPr>
        <w:t> </w:t>
      </w:r>
      <w:r>
        <w:rPr>
          <w:vertAlign w:val="baseline"/>
        </w:rPr>
        <w:t>survey participants</w:t>
      </w:r>
      <w:r>
        <w:rPr>
          <w:spacing w:val="-6"/>
          <w:vertAlign w:val="baseline"/>
        </w:rPr>
        <w:t> </w:t>
      </w:r>
      <w:r>
        <w:rPr>
          <w:vertAlign w:val="baseline"/>
        </w:rPr>
        <w:t>who</w:t>
      </w:r>
      <w:r>
        <w:rPr>
          <w:spacing w:val="-8"/>
          <w:vertAlign w:val="baseline"/>
        </w:rPr>
        <w:t> </w:t>
      </w:r>
      <w:r>
        <w:rPr>
          <w:vertAlign w:val="baseline"/>
        </w:rPr>
        <w:t>reported</w:t>
      </w:r>
      <w:r>
        <w:rPr>
          <w:spacing w:val="-8"/>
          <w:vertAlign w:val="baseline"/>
        </w:rPr>
        <w:t> </w:t>
      </w:r>
      <w:r>
        <w:rPr>
          <w:vertAlign w:val="baseline"/>
        </w:rPr>
        <w:t>participating</w:t>
      </w:r>
      <w:r>
        <w:rPr>
          <w:spacing w:val="-7"/>
          <w:vertAlign w:val="baseline"/>
        </w:rPr>
        <w:t> </w:t>
      </w:r>
      <w:r>
        <w:rPr>
          <w:vertAlign w:val="baseline"/>
        </w:rPr>
        <w:t>in</w:t>
      </w:r>
      <w:r>
        <w:rPr>
          <w:spacing w:val="-9"/>
          <w:vertAlign w:val="baseline"/>
        </w:rPr>
        <w:t> </w:t>
      </w:r>
      <w:r>
        <w:rPr>
          <w:vertAlign w:val="baseline"/>
        </w:rPr>
        <w:t>income-based</w:t>
      </w:r>
      <w:r>
        <w:rPr>
          <w:spacing w:val="-9"/>
          <w:vertAlign w:val="baseline"/>
        </w:rPr>
        <w:t> </w:t>
      </w:r>
      <w:r>
        <w:rPr>
          <w:vertAlign w:val="baseline"/>
        </w:rPr>
        <w:t>sex</w:t>
      </w:r>
      <w:r>
        <w:rPr>
          <w:spacing w:val="-8"/>
          <w:vertAlign w:val="baseline"/>
        </w:rPr>
        <w:t> </w:t>
      </w:r>
      <w:r>
        <w:rPr>
          <w:vertAlign w:val="baseline"/>
        </w:rPr>
        <w:t>work,</w:t>
      </w:r>
      <w:r>
        <w:rPr>
          <w:spacing w:val="-7"/>
          <w:vertAlign w:val="baseline"/>
        </w:rPr>
        <w:t> </w:t>
      </w:r>
      <w:r>
        <w:rPr>
          <w:vertAlign w:val="baseline"/>
        </w:rPr>
        <w:t>50%</w:t>
      </w:r>
      <w:r>
        <w:rPr>
          <w:spacing w:val="-7"/>
          <w:vertAlign w:val="baseline"/>
        </w:rPr>
        <w:t> </w:t>
      </w:r>
      <w:r>
        <w:rPr>
          <w:vertAlign w:val="baseline"/>
        </w:rPr>
        <w:t>were</w:t>
      </w:r>
      <w:r>
        <w:rPr>
          <w:spacing w:val="-8"/>
          <w:vertAlign w:val="baseline"/>
        </w:rPr>
        <w:t> </w:t>
      </w:r>
      <w:r>
        <w:rPr>
          <w:vertAlign w:val="baseline"/>
        </w:rPr>
        <w:t>trans</w:t>
      </w:r>
      <w:r>
        <w:rPr>
          <w:spacing w:val="-8"/>
          <w:vertAlign w:val="baseline"/>
        </w:rPr>
        <w:t> </w:t>
      </w:r>
      <w:r>
        <w:rPr>
          <w:vertAlign w:val="baseline"/>
        </w:rPr>
        <w:t>women,</w:t>
      </w:r>
      <w:r>
        <w:rPr>
          <w:spacing w:val="-9"/>
          <w:vertAlign w:val="baseline"/>
        </w:rPr>
        <w:t> </w:t>
      </w:r>
      <w:r>
        <w:rPr>
          <w:vertAlign w:val="baseline"/>
        </w:rPr>
        <w:t>23%</w:t>
      </w:r>
      <w:r>
        <w:rPr>
          <w:spacing w:val="-9"/>
          <w:vertAlign w:val="baseline"/>
        </w:rPr>
        <w:t> </w:t>
      </w:r>
      <w:r>
        <w:rPr>
          <w:vertAlign w:val="baseline"/>
        </w:rPr>
        <w:t>were nonbinary</w:t>
      </w:r>
      <w:r>
        <w:rPr>
          <w:spacing w:val="-9"/>
          <w:vertAlign w:val="baseline"/>
        </w:rPr>
        <w:t> </w:t>
      </w:r>
      <w:r>
        <w:rPr>
          <w:vertAlign w:val="baseline"/>
        </w:rPr>
        <w:t>people</w:t>
      </w:r>
      <w:r>
        <w:rPr>
          <w:spacing w:val="-10"/>
          <w:vertAlign w:val="baseline"/>
        </w:rPr>
        <w:t> </w:t>
      </w:r>
      <w:r>
        <w:rPr>
          <w:vertAlign w:val="baseline"/>
        </w:rPr>
        <w:t>assigned</w:t>
      </w:r>
      <w:r>
        <w:rPr>
          <w:spacing w:val="-9"/>
          <w:vertAlign w:val="baseline"/>
        </w:rPr>
        <w:t> </w:t>
      </w:r>
      <w:r>
        <w:rPr>
          <w:vertAlign w:val="baseline"/>
        </w:rPr>
        <w:t>female</w:t>
      </w:r>
      <w:r>
        <w:rPr>
          <w:spacing w:val="-9"/>
          <w:vertAlign w:val="baseline"/>
        </w:rPr>
        <w:t> </w:t>
      </w:r>
      <w:r>
        <w:rPr>
          <w:vertAlign w:val="baseline"/>
        </w:rPr>
        <w:t>at</w:t>
      </w:r>
      <w:r>
        <w:rPr>
          <w:spacing w:val="-9"/>
          <w:vertAlign w:val="baseline"/>
        </w:rPr>
        <w:t> </w:t>
      </w:r>
      <w:r>
        <w:rPr>
          <w:vertAlign w:val="baseline"/>
        </w:rPr>
        <w:t>birth,</w:t>
      </w:r>
      <w:r>
        <w:rPr>
          <w:spacing w:val="-10"/>
          <w:vertAlign w:val="baseline"/>
        </w:rPr>
        <w:t> </w:t>
      </w:r>
      <w:r>
        <w:rPr>
          <w:vertAlign w:val="baseline"/>
        </w:rPr>
        <w:t>and</w:t>
      </w:r>
      <w:r>
        <w:rPr>
          <w:spacing w:val="-10"/>
          <w:vertAlign w:val="baseline"/>
        </w:rPr>
        <w:t> </w:t>
      </w:r>
      <w:r>
        <w:rPr>
          <w:vertAlign w:val="baseline"/>
        </w:rPr>
        <w:t>19%</w:t>
      </w:r>
      <w:r>
        <w:rPr>
          <w:spacing w:val="-7"/>
          <w:vertAlign w:val="baseline"/>
        </w:rPr>
        <w:t> </w:t>
      </w:r>
      <w:r>
        <w:rPr>
          <w:vertAlign w:val="baseline"/>
        </w:rPr>
        <w:t>were</w:t>
      </w:r>
      <w:r>
        <w:rPr>
          <w:spacing w:val="-10"/>
          <w:vertAlign w:val="baseline"/>
        </w:rPr>
        <w:t> </w:t>
      </w:r>
      <w:r>
        <w:rPr>
          <w:vertAlign w:val="baseline"/>
        </w:rPr>
        <w:t>trans</w:t>
      </w:r>
      <w:r>
        <w:rPr>
          <w:spacing w:val="-8"/>
          <w:vertAlign w:val="baseline"/>
        </w:rPr>
        <w:t> </w:t>
      </w:r>
      <w:r>
        <w:rPr>
          <w:vertAlign w:val="baseline"/>
        </w:rPr>
        <w:t>men.</w:t>
      </w:r>
      <w:r>
        <w:rPr>
          <w:spacing w:val="-9"/>
          <w:vertAlign w:val="baseline"/>
        </w:rPr>
        <w:t> </w:t>
      </w:r>
      <w:r>
        <w:rPr>
          <w:vertAlign w:val="baseline"/>
        </w:rPr>
        <w:t>Individuals</w:t>
      </w:r>
      <w:r>
        <w:rPr>
          <w:spacing w:val="-9"/>
          <w:vertAlign w:val="baseline"/>
        </w:rPr>
        <w:t> </w:t>
      </w:r>
      <w:r>
        <w:rPr>
          <w:vertAlign w:val="baseline"/>
        </w:rPr>
        <w:t>living</w:t>
      </w:r>
      <w:r>
        <w:rPr>
          <w:spacing w:val="-9"/>
          <w:vertAlign w:val="baseline"/>
        </w:rPr>
        <w:t> </w:t>
      </w:r>
      <w:r>
        <w:rPr>
          <w:vertAlign w:val="baseline"/>
        </w:rPr>
        <w:t>with</w:t>
      </w:r>
      <w:r>
        <w:rPr>
          <w:spacing w:val="-9"/>
          <w:vertAlign w:val="baseline"/>
        </w:rPr>
        <w:t> </w:t>
      </w:r>
      <w:r>
        <w:rPr>
          <w:vertAlign w:val="baseline"/>
        </w:rPr>
        <w:t>HIV</w:t>
      </w:r>
      <w:r>
        <w:rPr>
          <w:spacing w:val="-10"/>
          <w:vertAlign w:val="baseline"/>
        </w:rPr>
        <w:t> </w:t>
      </w:r>
      <w:r>
        <w:rPr>
          <w:vertAlign w:val="baseline"/>
        </w:rPr>
        <w:t>(32%), undocumented</w:t>
      </w:r>
      <w:r>
        <w:rPr>
          <w:spacing w:val="-7"/>
          <w:vertAlign w:val="baseline"/>
        </w:rPr>
        <w:t> </w:t>
      </w:r>
      <w:r>
        <w:rPr>
          <w:vertAlign w:val="baseline"/>
        </w:rPr>
        <w:t>individuals</w:t>
      </w:r>
      <w:r>
        <w:rPr>
          <w:spacing w:val="-6"/>
          <w:vertAlign w:val="baseline"/>
        </w:rPr>
        <w:t> </w:t>
      </w:r>
      <w:r>
        <w:rPr>
          <w:vertAlign w:val="baseline"/>
        </w:rPr>
        <w:t>(29%),</w:t>
      </w:r>
      <w:r>
        <w:rPr>
          <w:spacing w:val="-6"/>
          <w:vertAlign w:val="baseline"/>
        </w:rPr>
        <w:t> </w:t>
      </w:r>
      <w:r>
        <w:rPr>
          <w:vertAlign w:val="baseline"/>
        </w:rPr>
        <w:t>and</w:t>
      </w:r>
      <w:r>
        <w:rPr>
          <w:spacing w:val="-7"/>
          <w:vertAlign w:val="baseline"/>
        </w:rPr>
        <w:t> </w:t>
      </w:r>
      <w:r>
        <w:rPr>
          <w:vertAlign w:val="baseline"/>
        </w:rPr>
        <w:t>Black</w:t>
      </w:r>
      <w:r>
        <w:rPr>
          <w:spacing w:val="-6"/>
          <w:vertAlign w:val="baseline"/>
        </w:rPr>
        <w:t> </w:t>
      </w:r>
      <w:r>
        <w:rPr>
          <w:vertAlign w:val="baseline"/>
        </w:rPr>
        <w:t>trans</w:t>
      </w:r>
      <w:r>
        <w:rPr>
          <w:spacing w:val="-6"/>
          <w:vertAlign w:val="baseline"/>
        </w:rPr>
        <w:t> </w:t>
      </w:r>
      <w:r>
        <w:rPr>
          <w:vertAlign w:val="baseline"/>
        </w:rPr>
        <w:t>women</w:t>
      </w:r>
      <w:r>
        <w:rPr>
          <w:spacing w:val="-6"/>
          <w:vertAlign w:val="baseline"/>
        </w:rPr>
        <w:t> </w:t>
      </w:r>
      <w:r>
        <w:rPr>
          <w:vertAlign w:val="baseline"/>
        </w:rPr>
        <w:t>(24%)</w:t>
      </w:r>
      <w:r>
        <w:rPr>
          <w:spacing w:val="-6"/>
          <w:vertAlign w:val="baseline"/>
        </w:rPr>
        <w:t> </w:t>
      </w:r>
      <w:r>
        <w:rPr>
          <w:vertAlign w:val="baseline"/>
        </w:rPr>
        <w:t>reported</w:t>
      </w:r>
      <w:r>
        <w:rPr>
          <w:spacing w:val="-6"/>
          <w:vertAlign w:val="baseline"/>
        </w:rPr>
        <w:t> </w:t>
      </w:r>
      <w:r>
        <w:rPr>
          <w:vertAlign w:val="baseline"/>
        </w:rPr>
        <w:t>participating</w:t>
      </w:r>
      <w:r>
        <w:rPr>
          <w:spacing w:val="-6"/>
          <w:vertAlign w:val="baseline"/>
        </w:rPr>
        <w:t> </w:t>
      </w:r>
      <w:r>
        <w:rPr>
          <w:vertAlign w:val="baseline"/>
        </w:rPr>
        <w:t>in</w:t>
      </w:r>
      <w:r>
        <w:rPr>
          <w:spacing w:val="-6"/>
          <w:vertAlign w:val="baseline"/>
        </w:rPr>
        <w:t> </w:t>
      </w:r>
      <w:r>
        <w:rPr>
          <w:vertAlign w:val="baseline"/>
        </w:rPr>
        <w:t>sex</w:t>
      </w:r>
      <w:r>
        <w:rPr>
          <w:spacing w:val="-5"/>
          <w:vertAlign w:val="baseline"/>
        </w:rPr>
        <w:t> </w:t>
      </w:r>
      <w:r>
        <w:rPr>
          <w:vertAlign w:val="baseline"/>
        </w:rPr>
        <w:t>work</w:t>
      </w:r>
      <w:r>
        <w:rPr>
          <w:spacing w:val="-7"/>
          <w:vertAlign w:val="baseline"/>
        </w:rPr>
        <w:t> </w:t>
      </w:r>
      <w:r>
        <w:rPr>
          <w:vertAlign w:val="baseline"/>
        </w:rPr>
        <w:t>for income within the past year at the highest rates.</w:t>
      </w:r>
      <w:r>
        <w:rPr>
          <w:vertAlign w:val="superscript"/>
        </w:rPr>
        <w:t>136</w:t>
      </w:r>
      <w:r>
        <w:rPr>
          <w:vertAlign w:val="baseline"/>
        </w:rPr>
        <w:t> Reaching out for support if they have a bad experience with a client may be particularly difficult for older LGBTQ youth, due to a fear of criminal persecution or a fear of not being believed.</w:t>
      </w:r>
      <w:r>
        <w:rPr>
          <w:vertAlign w:val="superscript"/>
        </w:rPr>
        <w:t>137</w:t>
      </w:r>
    </w:p>
    <w:p>
      <w:pPr>
        <w:pStyle w:val="BodyText"/>
        <w:spacing w:line="276" w:lineRule="auto" w:before="241"/>
        <w:ind w:left="458" w:right="531"/>
        <w:jc w:val="both"/>
      </w:pPr>
      <w:r>
        <w:rPr/>
        <w:t>Historically,</w:t>
      </w:r>
      <w:r>
        <w:rPr>
          <w:spacing w:val="-3"/>
        </w:rPr>
        <w:t> </w:t>
      </w:r>
      <w:r>
        <w:rPr/>
        <w:t>sexually</w:t>
      </w:r>
      <w:r>
        <w:rPr>
          <w:spacing w:val="-3"/>
        </w:rPr>
        <w:t> </w:t>
      </w:r>
      <w:r>
        <w:rPr/>
        <w:t>exploited</w:t>
      </w:r>
      <w:r>
        <w:rPr>
          <w:spacing w:val="-3"/>
        </w:rPr>
        <w:t> </w:t>
      </w:r>
      <w:r>
        <w:rPr/>
        <w:t>youths</w:t>
      </w:r>
      <w:r>
        <w:rPr>
          <w:spacing w:val="-2"/>
        </w:rPr>
        <w:t> </w:t>
      </w:r>
      <w:r>
        <w:rPr/>
        <w:t>have</w:t>
      </w:r>
      <w:r>
        <w:rPr>
          <w:spacing w:val="-3"/>
        </w:rPr>
        <w:t> </w:t>
      </w:r>
      <w:r>
        <w:rPr/>
        <w:t>been</w:t>
      </w:r>
      <w:r>
        <w:rPr>
          <w:spacing w:val="-2"/>
        </w:rPr>
        <w:t> </w:t>
      </w:r>
      <w:r>
        <w:rPr/>
        <w:t>treated</w:t>
      </w:r>
      <w:r>
        <w:rPr>
          <w:spacing w:val="-3"/>
        </w:rPr>
        <w:t> </w:t>
      </w:r>
      <w:r>
        <w:rPr/>
        <w:t>as</w:t>
      </w:r>
      <w:r>
        <w:rPr>
          <w:spacing w:val="-2"/>
        </w:rPr>
        <w:t> </w:t>
      </w:r>
      <w:r>
        <w:rPr/>
        <w:t>perpetrators</w:t>
      </w:r>
      <w:r>
        <w:rPr>
          <w:spacing w:val="-2"/>
        </w:rPr>
        <w:t> </w:t>
      </w:r>
      <w:r>
        <w:rPr/>
        <w:t>and</w:t>
      </w:r>
      <w:r>
        <w:rPr>
          <w:spacing w:val="-3"/>
        </w:rPr>
        <w:t> </w:t>
      </w:r>
      <w:r>
        <w:rPr/>
        <w:t>criminals</w:t>
      </w:r>
      <w:r>
        <w:rPr>
          <w:spacing w:val="-2"/>
        </w:rPr>
        <w:t> </w:t>
      </w:r>
      <w:r>
        <w:rPr/>
        <w:t>in</w:t>
      </w:r>
      <w:r>
        <w:rPr>
          <w:spacing w:val="-2"/>
        </w:rPr>
        <w:t> </w:t>
      </w:r>
      <w:r>
        <w:rPr/>
        <w:t>the</w:t>
      </w:r>
      <w:r>
        <w:rPr>
          <w:spacing w:val="-2"/>
        </w:rPr>
        <w:t> </w:t>
      </w:r>
      <w:r>
        <w:rPr/>
        <w:t>juvenile justice</w:t>
      </w:r>
      <w:r>
        <w:rPr>
          <w:spacing w:val="-2"/>
        </w:rPr>
        <w:t> </w:t>
      </w:r>
      <w:r>
        <w:rPr/>
        <w:t>system,</w:t>
      </w:r>
      <w:r>
        <w:rPr>
          <w:spacing w:val="-3"/>
        </w:rPr>
        <w:t> </w:t>
      </w:r>
      <w:r>
        <w:rPr/>
        <w:t>rather</w:t>
      </w:r>
      <w:r>
        <w:rPr>
          <w:spacing w:val="-2"/>
        </w:rPr>
        <w:t> </w:t>
      </w:r>
      <w:r>
        <w:rPr/>
        <w:t>than</w:t>
      </w:r>
      <w:r>
        <w:rPr>
          <w:spacing w:val="-3"/>
        </w:rPr>
        <w:t> </w:t>
      </w:r>
      <w:r>
        <w:rPr/>
        <w:t>victims</w:t>
      </w:r>
      <w:r>
        <w:rPr>
          <w:spacing w:val="-3"/>
        </w:rPr>
        <w:t> </w:t>
      </w:r>
      <w:r>
        <w:rPr/>
        <w:t>and</w:t>
      </w:r>
      <w:r>
        <w:rPr>
          <w:spacing w:val="-2"/>
        </w:rPr>
        <w:t> </w:t>
      </w:r>
      <w:r>
        <w:rPr/>
        <w:t>survivors</w:t>
      </w:r>
      <w:r>
        <w:rPr>
          <w:spacing w:val="-3"/>
        </w:rPr>
        <w:t> </w:t>
      </w:r>
      <w:r>
        <w:rPr/>
        <w:t>in</w:t>
      </w:r>
      <w:r>
        <w:rPr>
          <w:spacing w:val="-2"/>
        </w:rPr>
        <w:t> </w:t>
      </w:r>
      <w:r>
        <w:rPr/>
        <w:t>need</w:t>
      </w:r>
      <w:r>
        <w:rPr>
          <w:spacing w:val="-2"/>
        </w:rPr>
        <w:t> </w:t>
      </w:r>
      <w:r>
        <w:rPr/>
        <w:t>of</w:t>
      </w:r>
      <w:r>
        <w:rPr>
          <w:spacing w:val="-3"/>
        </w:rPr>
        <w:t> </w:t>
      </w:r>
      <w:r>
        <w:rPr/>
        <w:t>care.</w:t>
      </w:r>
      <w:r>
        <w:rPr>
          <w:vertAlign w:val="superscript"/>
        </w:rPr>
        <w:t>138</w:t>
      </w:r>
      <w:r>
        <w:rPr>
          <w:spacing w:val="-3"/>
          <w:vertAlign w:val="baseline"/>
        </w:rPr>
        <w:t> </w:t>
      </w:r>
      <w:r>
        <w:rPr>
          <w:vertAlign w:val="baseline"/>
        </w:rPr>
        <w:t>This</w:t>
      </w:r>
      <w:r>
        <w:rPr>
          <w:spacing w:val="-3"/>
          <w:vertAlign w:val="baseline"/>
        </w:rPr>
        <w:t> </w:t>
      </w:r>
      <w:r>
        <w:rPr>
          <w:vertAlign w:val="baseline"/>
        </w:rPr>
        <w:t>practice</w:t>
      </w:r>
      <w:r>
        <w:rPr>
          <w:spacing w:val="-3"/>
          <w:vertAlign w:val="baseline"/>
        </w:rPr>
        <w:t> </w:t>
      </w:r>
      <w:r>
        <w:rPr>
          <w:vertAlign w:val="baseline"/>
        </w:rPr>
        <w:t>stems</w:t>
      </w:r>
      <w:r>
        <w:rPr>
          <w:spacing w:val="-3"/>
          <w:vertAlign w:val="baseline"/>
        </w:rPr>
        <w:t> </w:t>
      </w:r>
      <w:r>
        <w:rPr>
          <w:vertAlign w:val="baseline"/>
        </w:rPr>
        <w:t>from</w:t>
      </w:r>
      <w:r>
        <w:rPr>
          <w:spacing w:val="-3"/>
          <w:vertAlign w:val="baseline"/>
        </w:rPr>
        <w:t> </w:t>
      </w:r>
      <w:r>
        <w:rPr>
          <w:vertAlign w:val="baseline"/>
        </w:rPr>
        <w:t>a</w:t>
      </w:r>
      <w:r>
        <w:rPr>
          <w:spacing w:val="-1"/>
          <w:vertAlign w:val="baseline"/>
        </w:rPr>
        <w:t> </w:t>
      </w:r>
      <w:r>
        <w:rPr>
          <w:vertAlign w:val="baseline"/>
        </w:rPr>
        <w:t>culture of control, where both sexually exploited youth and adults engaging in sex work were viewed as deviants in need of reform</w:t>
      </w:r>
      <w:hyperlink w:history="true" w:anchor="_bookmark96">
        <w:r>
          <w:rPr>
            <w:vertAlign w:val="baseline"/>
          </w:rPr>
          <w:t>.</w:t>
        </w:r>
        <w:r>
          <w:rPr>
            <w:vertAlign w:val="superscript"/>
          </w:rPr>
          <w:t>139</w:t>
        </w:r>
      </w:hyperlink>
      <w:r>
        <w:rPr>
          <w:vertAlign w:val="baseline"/>
        </w:rPr>
        <w:t> Decriminalizing sex work has long been thought to be a major part of the solution to end sex trafficking and commercial sexual exploitation. By decriminalizing sex work, youth who are experiencing commercial sexual exploitation will be able to come forward, report any abuse, and receive care without fear of being criminally prosecuted</w:t>
      </w:r>
      <w:hyperlink w:history="true" w:anchor="_bookmark96">
        <w:r>
          <w:rPr>
            <w:vertAlign w:val="baseline"/>
          </w:rPr>
          <w:t>.</w:t>
        </w:r>
        <w:r>
          <w:rPr>
            <w:vertAlign w:val="superscript"/>
          </w:rPr>
          <w:t>140</w:t>
        </w:r>
      </w:hyperlink>
      <w:r>
        <w:rPr>
          <w:vertAlign w:val="baseline"/>
        </w:rPr>
        <w:t> Furthermore, youth who are engaging</w:t>
      </w:r>
      <w:r>
        <w:rPr>
          <w:spacing w:val="-1"/>
          <w:vertAlign w:val="baseline"/>
        </w:rPr>
        <w:t> </w:t>
      </w:r>
      <w:r>
        <w:rPr>
          <w:vertAlign w:val="baseline"/>
        </w:rPr>
        <w:t>sex work</w:t>
      </w:r>
      <w:r>
        <w:rPr>
          <w:spacing w:val="-1"/>
          <w:vertAlign w:val="baseline"/>
        </w:rPr>
        <w:t> </w:t>
      </w:r>
      <w:r>
        <w:rPr>
          <w:vertAlign w:val="baseline"/>
        </w:rPr>
        <w:t>to meet their needs will</w:t>
      </w:r>
      <w:r>
        <w:rPr>
          <w:spacing w:val="-1"/>
          <w:vertAlign w:val="baseline"/>
        </w:rPr>
        <w:t> </w:t>
      </w:r>
      <w:r>
        <w:rPr>
          <w:vertAlign w:val="baseline"/>
        </w:rPr>
        <w:t>be able to report</w:t>
      </w:r>
      <w:r>
        <w:rPr>
          <w:spacing w:val="-1"/>
          <w:vertAlign w:val="baseline"/>
        </w:rPr>
        <w:t> </w:t>
      </w:r>
      <w:r>
        <w:rPr>
          <w:vertAlign w:val="baseline"/>
        </w:rPr>
        <w:t>any violence they experience</w:t>
      </w:r>
      <w:r>
        <w:rPr>
          <w:spacing w:val="-1"/>
          <w:vertAlign w:val="baseline"/>
        </w:rPr>
        <w:t> </w:t>
      </w:r>
      <w:r>
        <w:rPr>
          <w:vertAlign w:val="baseline"/>
        </w:rPr>
        <w:t>from</w:t>
      </w:r>
      <w:r>
        <w:rPr>
          <w:spacing w:val="-1"/>
          <w:vertAlign w:val="baseline"/>
        </w:rPr>
        <w:t> </w:t>
      </w:r>
      <w:r>
        <w:rPr>
          <w:vertAlign w:val="baseline"/>
        </w:rPr>
        <w:t>their clients, rather than being silenced out of fear of prosecution for engaging in sex work. Decriminalization</w:t>
      </w:r>
      <w:r>
        <w:rPr>
          <w:spacing w:val="-5"/>
          <w:vertAlign w:val="baseline"/>
        </w:rPr>
        <w:t> </w:t>
      </w:r>
      <w:r>
        <w:rPr>
          <w:vertAlign w:val="baseline"/>
        </w:rPr>
        <w:t>further</w:t>
      </w:r>
      <w:r>
        <w:rPr>
          <w:spacing w:val="-4"/>
          <w:vertAlign w:val="baseline"/>
        </w:rPr>
        <w:t> </w:t>
      </w:r>
      <w:r>
        <w:rPr>
          <w:vertAlign w:val="baseline"/>
        </w:rPr>
        <w:t>destigmatizes</w:t>
      </w:r>
      <w:r>
        <w:rPr>
          <w:spacing w:val="-4"/>
          <w:vertAlign w:val="baseline"/>
        </w:rPr>
        <w:t> </w:t>
      </w:r>
      <w:r>
        <w:rPr>
          <w:vertAlign w:val="baseline"/>
        </w:rPr>
        <w:t>sex</w:t>
      </w:r>
      <w:r>
        <w:rPr>
          <w:spacing w:val="-5"/>
          <w:vertAlign w:val="baseline"/>
        </w:rPr>
        <w:t> </w:t>
      </w:r>
      <w:r>
        <w:rPr>
          <w:vertAlign w:val="baseline"/>
        </w:rPr>
        <w:t>work</w:t>
      </w:r>
      <w:r>
        <w:rPr>
          <w:spacing w:val="-5"/>
          <w:vertAlign w:val="baseline"/>
        </w:rPr>
        <w:t> </w:t>
      </w:r>
      <w:r>
        <w:rPr>
          <w:vertAlign w:val="baseline"/>
        </w:rPr>
        <w:t>and</w:t>
      </w:r>
      <w:r>
        <w:rPr>
          <w:spacing w:val="-3"/>
          <w:vertAlign w:val="baseline"/>
        </w:rPr>
        <w:t> </w:t>
      </w:r>
      <w:r>
        <w:rPr>
          <w:vertAlign w:val="baseline"/>
        </w:rPr>
        <w:t>helps</w:t>
      </w:r>
      <w:r>
        <w:rPr>
          <w:spacing w:val="-5"/>
          <w:vertAlign w:val="baseline"/>
        </w:rPr>
        <w:t> </w:t>
      </w:r>
      <w:r>
        <w:rPr>
          <w:vertAlign w:val="baseline"/>
        </w:rPr>
        <w:t>youth</w:t>
      </w:r>
      <w:r>
        <w:rPr>
          <w:spacing w:val="-4"/>
          <w:vertAlign w:val="baseline"/>
        </w:rPr>
        <w:t> </w:t>
      </w:r>
      <w:r>
        <w:rPr>
          <w:vertAlign w:val="baseline"/>
        </w:rPr>
        <w:t>who</w:t>
      </w:r>
      <w:r>
        <w:rPr>
          <w:spacing w:val="-5"/>
          <w:vertAlign w:val="baseline"/>
        </w:rPr>
        <w:t> </w:t>
      </w:r>
      <w:r>
        <w:rPr>
          <w:vertAlign w:val="baseline"/>
        </w:rPr>
        <w:t>may</w:t>
      </w:r>
      <w:r>
        <w:rPr>
          <w:spacing w:val="-5"/>
          <w:vertAlign w:val="baseline"/>
        </w:rPr>
        <w:t> </w:t>
      </w:r>
      <w:r>
        <w:rPr>
          <w:vertAlign w:val="baseline"/>
        </w:rPr>
        <w:t>have</w:t>
      </w:r>
      <w:r>
        <w:rPr>
          <w:spacing w:val="-5"/>
          <w:vertAlign w:val="baseline"/>
        </w:rPr>
        <w:t> </w:t>
      </w:r>
      <w:r>
        <w:rPr>
          <w:vertAlign w:val="baseline"/>
        </w:rPr>
        <w:t>had</w:t>
      </w:r>
      <w:r>
        <w:rPr>
          <w:spacing w:val="-4"/>
          <w:vertAlign w:val="baseline"/>
        </w:rPr>
        <w:t> </w:t>
      </w:r>
      <w:r>
        <w:rPr>
          <w:vertAlign w:val="baseline"/>
        </w:rPr>
        <w:t>to</w:t>
      </w:r>
      <w:r>
        <w:rPr>
          <w:spacing w:val="-5"/>
          <w:vertAlign w:val="baseline"/>
        </w:rPr>
        <w:t> </w:t>
      </w:r>
      <w:r>
        <w:rPr>
          <w:vertAlign w:val="baseline"/>
        </w:rPr>
        <w:t>participate</w:t>
      </w:r>
      <w:r>
        <w:rPr>
          <w:spacing w:val="-4"/>
          <w:vertAlign w:val="baseline"/>
        </w:rPr>
        <w:t> </w:t>
      </w:r>
      <w:r>
        <w:rPr>
          <w:vertAlign w:val="baseline"/>
        </w:rPr>
        <w:t>in survival sex work resist further marginalization.</w:t>
      </w:r>
      <w:hyperlink w:history="true" w:anchor="_bookmark97">
        <w:r>
          <w:rPr>
            <w:vertAlign w:val="superscript"/>
          </w:rPr>
          <w:t>141</w:t>
        </w:r>
      </w:hyperlink>
    </w:p>
    <w:p>
      <w:pPr>
        <w:pStyle w:val="BodyText"/>
        <w:spacing w:line="276" w:lineRule="auto" w:before="241"/>
        <w:ind w:left="458" w:right="530"/>
        <w:jc w:val="both"/>
      </w:pPr>
      <w:r>
        <w:rPr/>
        <w:t>Furthermore, despite having laws that punish youth under 16 for engaging in consensual sexting, Massachusetts does not have any laws that protect victims over the age of 16 against revenge porn (the purposeful, non-consensual spreading of explicit images by the receiving party), sextortion (extortion for money with threats of sharing explicit images), or sexual deepfakes (edited photos or videos</w:t>
      </w:r>
      <w:r>
        <w:rPr>
          <w:spacing w:val="-11"/>
        </w:rPr>
        <w:t> </w:t>
      </w:r>
      <w:r>
        <w:rPr/>
        <w:t>that</w:t>
      </w:r>
      <w:r>
        <w:rPr>
          <w:spacing w:val="-12"/>
        </w:rPr>
        <w:t> </w:t>
      </w:r>
      <w:r>
        <w:rPr/>
        <w:t>falsely</w:t>
      </w:r>
      <w:r>
        <w:rPr>
          <w:spacing w:val="-11"/>
        </w:rPr>
        <w:t> </w:t>
      </w:r>
      <w:r>
        <w:rPr/>
        <w:t>show</w:t>
      </w:r>
      <w:r>
        <w:rPr>
          <w:spacing w:val="-11"/>
        </w:rPr>
        <w:t> </w:t>
      </w:r>
      <w:r>
        <w:rPr/>
        <w:t>a</w:t>
      </w:r>
      <w:r>
        <w:rPr>
          <w:spacing w:val="-11"/>
        </w:rPr>
        <w:t> </w:t>
      </w:r>
      <w:r>
        <w:rPr/>
        <w:t>person</w:t>
      </w:r>
      <w:r>
        <w:rPr>
          <w:spacing w:val="-12"/>
        </w:rPr>
        <w:t> </w:t>
      </w:r>
      <w:r>
        <w:rPr/>
        <w:t>engaging</w:t>
      </w:r>
      <w:r>
        <w:rPr>
          <w:spacing w:val="-12"/>
        </w:rPr>
        <w:t> </w:t>
      </w:r>
      <w:r>
        <w:rPr/>
        <w:t>in</w:t>
      </w:r>
      <w:r>
        <w:rPr>
          <w:spacing w:val="-10"/>
        </w:rPr>
        <w:t> </w:t>
      </w:r>
      <w:r>
        <w:rPr/>
        <w:t>a</w:t>
      </w:r>
      <w:r>
        <w:rPr>
          <w:spacing w:val="-11"/>
        </w:rPr>
        <w:t> </w:t>
      </w:r>
      <w:r>
        <w:rPr/>
        <w:t>sex</w:t>
      </w:r>
      <w:r>
        <w:rPr>
          <w:spacing w:val="-12"/>
        </w:rPr>
        <w:t> </w:t>
      </w:r>
      <w:r>
        <w:rPr/>
        <w:t>act)</w:t>
      </w:r>
      <w:hyperlink w:history="true" w:anchor="_bookmark97">
        <w:r>
          <w:rPr/>
          <w:t>.</w:t>
        </w:r>
        <w:r>
          <w:rPr>
            <w:vertAlign w:val="superscript"/>
          </w:rPr>
          <w:t>142</w:t>
        </w:r>
      </w:hyperlink>
      <w:r>
        <w:rPr>
          <w:spacing w:val="-12"/>
          <w:vertAlign w:val="baseline"/>
        </w:rPr>
        <w:t> </w:t>
      </w:r>
      <w:r>
        <w:rPr>
          <w:vertAlign w:val="baseline"/>
        </w:rPr>
        <w:t>For</w:t>
      </w:r>
      <w:r>
        <w:rPr>
          <w:spacing w:val="-11"/>
          <w:vertAlign w:val="baseline"/>
        </w:rPr>
        <w:t> </w:t>
      </w:r>
      <w:r>
        <w:rPr>
          <w:vertAlign w:val="baseline"/>
        </w:rPr>
        <w:t>example,</w:t>
      </w:r>
      <w:r>
        <w:rPr>
          <w:spacing w:val="-11"/>
          <w:vertAlign w:val="baseline"/>
        </w:rPr>
        <w:t> </w:t>
      </w:r>
      <w:r>
        <w:rPr>
          <w:vertAlign w:val="baseline"/>
        </w:rPr>
        <w:t>minors</w:t>
      </w:r>
      <w:r>
        <w:rPr>
          <w:spacing w:val="-11"/>
          <w:vertAlign w:val="baseline"/>
        </w:rPr>
        <w:t> </w:t>
      </w:r>
      <w:r>
        <w:rPr>
          <w:vertAlign w:val="baseline"/>
        </w:rPr>
        <w:t>who</w:t>
      </w:r>
      <w:r>
        <w:rPr>
          <w:spacing w:val="-11"/>
          <w:vertAlign w:val="baseline"/>
        </w:rPr>
        <w:t> </w:t>
      </w:r>
      <w:r>
        <w:rPr>
          <w:vertAlign w:val="baseline"/>
        </w:rPr>
        <w:t>consensually</w:t>
      </w:r>
      <w:r>
        <w:rPr>
          <w:spacing w:val="-11"/>
          <w:vertAlign w:val="baseline"/>
        </w:rPr>
        <w:t> </w:t>
      </w:r>
      <w:r>
        <w:rPr>
          <w:vertAlign w:val="baseline"/>
        </w:rPr>
        <w:t>send explicit images to each other will likely face equal punishment as a minor who purposefully and non- consensually</w:t>
      </w:r>
      <w:r>
        <w:rPr>
          <w:spacing w:val="-4"/>
          <w:vertAlign w:val="baseline"/>
        </w:rPr>
        <w:t> </w:t>
      </w:r>
      <w:r>
        <w:rPr>
          <w:vertAlign w:val="baseline"/>
        </w:rPr>
        <w:t>shares</w:t>
      </w:r>
      <w:r>
        <w:rPr>
          <w:spacing w:val="-5"/>
          <w:vertAlign w:val="baseline"/>
        </w:rPr>
        <w:t> </w:t>
      </w:r>
      <w:r>
        <w:rPr>
          <w:vertAlign w:val="baseline"/>
        </w:rPr>
        <w:t>another</w:t>
      </w:r>
      <w:r>
        <w:rPr>
          <w:spacing w:val="-5"/>
          <w:vertAlign w:val="baseline"/>
        </w:rPr>
        <w:t> </w:t>
      </w:r>
      <w:r>
        <w:rPr>
          <w:vertAlign w:val="baseline"/>
        </w:rPr>
        <w:t>minor’s</w:t>
      </w:r>
      <w:r>
        <w:rPr>
          <w:spacing w:val="-5"/>
          <w:vertAlign w:val="baseline"/>
        </w:rPr>
        <w:t> </w:t>
      </w:r>
      <w:r>
        <w:rPr>
          <w:vertAlign w:val="baseline"/>
        </w:rPr>
        <w:t>explicit</w:t>
      </w:r>
      <w:r>
        <w:rPr>
          <w:spacing w:val="-4"/>
          <w:vertAlign w:val="baseline"/>
        </w:rPr>
        <w:t> </w:t>
      </w:r>
      <w:r>
        <w:rPr>
          <w:vertAlign w:val="baseline"/>
        </w:rPr>
        <w:t>images,</w:t>
      </w:r>
      <w:r>
        <w:rPr>
          <w:spacing w:val="-4"/>
          <w:vertAlign w:val="baseline"/>
        </w:rPr>
        <w:t> </w:t>
      </w:r>
      <w:r>
        <w:rPr>
          <w:vertAlign w:val="baseline"/>
        </w:rPr>
        <w:t>or</w:t>
      </w:r>
      <w:r>
        <w:rPr>
          <w:spacing w:val="-5"/>
          <w:vertAlign w:val="baseline"/>
        </w:rPr>
        <w:t> </w:t>
      </w:r>
      <w:r>
        <w:rPr>
          <w:vertAlign w:val="baseline"/>
        </w:rPr>
        <w:t>an</w:t>
      </w:r>
      <w:r>
        <w:rPr>
          <w:spacing w:val="-5"/>
          <w:vertAlign w:val="baseline"/>
        </w:rPr>
        <w:t> </w:t>
      </w:r>
      <w:r>
        <w:rPr>
          <w:vertAlign w:val="baseline"/>
        </w:rPr>
        <w:t>adult</w:t>
      </w:r>
      <w:r>
        <w:rPr>
          <w:spacing w:val="-5"/>
          <w:vertAlign w:val="baseline"/>
        </w:rPr>
        <w:t> </w:t>
      </w:r>
      <w:r>
        <w:rPr>
          <w:vertAlign w:val="baseline"/>
        </w:rPr>
        <w:t>who</w:t>
      </w:r>
      <w:r>
        <w:rPr>
          <w:spacing w:val="-5"/>
          <w:vertAlign w:val="baseline"/>
        </w:rPr>
        <w:t> </w:t>
      </w:r>
      <w:r>
        <w:rPr>
          <w:vertAlign w:val="baseline"/>
        </w:rPr>
        <w:t>digitally</w:t>
      </w:r>
      <w:r>
        <w:rPr>
          <w:spacing w:val="-5"/>
          <w:vertAlign w:val="baseline"/>
        </w:rPr>
        <w:t> </w:t>
      </w:r>
      <w:r>
        <w:rPr>
          <w:vertAlign w:val="baseline"/>
        </w:rPr>
        <w:t>exploits</w:t>
      </w:r>
      <w:r>
        <w:rPr>
          <w:spacing w:val="-5"/>
          <w:vertAlign w:val="baseline"/>
        </w:rPr>
        <w:t> </w:t>
      </w:r>
      <w:r>
        <w:rPr>
          <w:vertAlign w:val="baseline"/>
        </w:rPr>
        <w:t>minors</w:t>
      </w:r>
      <w:hyperlink w:history="true" w:anchor="_bookmark98">
        <w:r>
          <w:rPr>
            <w:vertAlign w:val="baseline"/>
          </w:rPr>
          <w:t>.</w:t>
        </w:r>
        <w:r>
          <w:rPr>
            <w:vertAlign w:val="superscript"/>
          </w:rPr>
          <w:t>143</w:t>
        </w:r>
      </w:hyperlink>
      <w:r>
        <w:rPr>
          <w:spacing w:val="-5"/>
          <w:vertAlign w:val="baseline"/>
        </w:rPr>
        <w:t> </w:t>
      </w:r>
      <w:r>
        <w:rPr>
          <w:vertAlign w:val="baseline"/>
        </w:rPr>
        <w:t>Even worse,</w:t>
      </w:r>
      <w:r>
        <w:rPr>
          <w:spacing w:val="-5"/>
          <w:vertAlign w:val="baseline"/>
        </w:rPr>
        <w:t> </w:t>
      </w:r>
      <w:r>
        <w:rPr>
          <w:vertAlign w:val="baseline"/>
        </w:rPr>
        <w:t>victims</w:t>
      </w:r>
      <w:r>
        <w:rPr>
          <w:spacing w:val="-5"/>
          <w:vertAlign w:val="baseline"/>
        </w:rPr>
        <w:t> </w:t>
      </w:r>
      <w:r>
        <w:rPr>
          <w:vertAlign w:val="baseline"/>
        </w:rPr>
        <w:t>of</w:t>
      </w:r>
      <w:r>
        <w:rPr>
          <w:spacing w:val="-5"/>
          <w:vertAlign w:val="baseline"/>
        </w:rPr>
        <w:t> </w:t>
      </w:r>
      <w:r>
        <w:rPr>
          <w:vertAlign w:val="baseline"/>
        </w:rPr>
        <w:t>revenge</w:t>
      </w:r>
      <w:r>
        <w:rPr>
          <w:spacing w:val="-3"/>
          <w:vertAlign w:val="baseline"/>
        </w:rPr>
        <w:t> </w:t>
      </w:r>
      <w:r>
        <w:rPr>
          <w:vertAlign w:val="baseline"/>
        </w:rPr>
        <w:t>porn</w:t>
      </w:r>
      <w:r>
        <w:rPr>
          <w:spacing w:val="-5"/>
          <w:vertAlign w:val="baseline"/>
        </w:rPr>
        <w:t> </w:t>
      </w:r>
      <w:r>
        <w:rPr>
          <w:vertAlign w:val="baseline"/>
        </w:rPr>
        <w:t>and</w:t>
      </w:r>
      <w:r>
        <w:rPr>
          <w:spacing w:val="-3"/>
          <w:vertAlign w:val="baseline"/>
        </w:rPr>
        <w:t> </w:t>
      </w:r>
      <w:r>
        <w:rPr>
          <w:vertAlign w:val="baseline"/>
        </w:rPr>
        <w:t>digital</w:t>
      </w:r>
      <w:r>
        <w:rPr>
          <w:spacing w:val="-4"/>
          <w:vertAlign w:val="baseline"/>
        </w:rPr>
        <w:t> </w:t>
      </w:r>
      <w:r>
        <w:rPr>
          <w:vertAlign w:val="baseline"/>
        </w:rPr>
        <w:t>commercial</w:t>
      </w:r>
      <w:r>
        <w:rPr>
          <w:spacing w:val="-5"/>
          <w:vertAlign w:val="baseline"/>
        </w:rPr>
        <w:t> </w:t>
      </w:r>
      <w:r>
        <w:rPr>
          <w:vertAlign w:val="baseline"/>
        </w:rPr>
        <w:t>sexual</w:t>
      </w:r>
      <w:r>
        <w:rPr>
          <w:spacing w:val="-4"/>
          <w:vertAlign w:val="baseline"/>
        </w:rPr>
        <w:t> </w:t>
      </w:r>
      <w:r>
        <w:rPr>
          <w:vertAlign w:val="baseline"/>
        </w:rPr>
        <w:t>exploitation</w:t>
      </w:r>
      <w:r>
        <w:rPr>
          <w:spacing w:val="-5"/>
          <w:vertAlign w:val="baseline"/>
        </w:rPr>
        <w:t> </w:t>
      </w:r>
      <w:r>
        <w:rPr>
          <w:vertAlign w:val="baseline"/>
        </w:rPr>
        <w:t>are</w:t>
      </w:r>
      <w:r>
        <w:rPr>
          <w:spacing w:val="-4"/>
          <w:vertAlign w:val="baseline"/>
        </w:rPr>
        <w:t> </w:t>
      </w:r>
      <w:r>
        <w:rPr>
          <w:vertAlign w:val="baseline"/>
        </w:rPr>
        <w:t>usually</w:t>
      </w:r>
      <w:r>
        <w:rPr>
          <w:spacing w:val="-5"/>
          <w:vertAlign w:val="baseline"/>
        </w:rPr>
        <w:t> </w:t>
      </w:r>
      <w:r>
        <w:rPr>
          <w:vertAlign w:val="baseline"/>
        </w:rPr>
        <w:t>punished</w:t>
      </w:r>
      <w:r>
        <w:rPr>
          <w:spacing w:val="-4"/>
          <w:vertAlign w:val="baseline"/>
        </w:rPr>
        <w:t> </w:t>
      </w:r>
      <w:r>
        <w:rPr>
          <w:vertAlign w:val="baseline"/>
        </w:rPr>
        <w:t>to</w:t>
      </w:r>
      <w:r>
        <w:rPr>
          <w:spacing w:val="-3"/>
          <w:vertAlign w:val="baseline"/>
        </w:rPr>
        <w:t> </w:t>
      </w:r>
      <w:r>
        <w:rPr>
          <w:vertAlign w:val="baseline"/>
        </w:rPr>
        <w:t>the same,</w:t>
      </w:r>
      <w:r>
        <w:rPr>
          <w:spacing w:val="-3"/>
          <w:vertAlign w:val="baseline"/>
        </w:rPr>
        <w:t> </w:t>
      </w:r>
      <w:r>
        <w:rPr>
          <w:vertAlign w:val="baseline"/>
        </w:rPr>
        <w:t>or</w:t>
      </w:r>
      <w:r>
        <w:rPr>
          <w:spacing w:val="-3"/>
          <w:vertAlign w:val="baseline"/>
        </w:rPr>
        <w:t> </w:t>
      </w:r>
      <w:r>
        <w:rPr>
          <w:vertAlign w:val="baseline"/>
        </w:rPr>
        <w:t>sometimes</w:t>
      </w:r>
      <w:r>
        <w:rPr>
          <w:spacing w:val="-2"/>
          <w:vertAlign w:val="baseline"/>
        </w:rPr>
        <w:t> </w:t>
      </w:r>
      <w:r>
        <w:rPr>
          <w:vertAlign w:val="baseline"/>
        </w:rPr>
        <w:t>even</w:t>
      </w:r>
      <w:r>
        <w:rPr>
          <w:spacing w:val="-2"/>
          <w:vertAlign w:val="baseline"/>
        </w:rPr>
        <w:t> </w:t>
      </w:r>
      <w:r>
        <w:rPr>
          <w:vertAlign w:val="baseline"/>
        </w:rPr>
        <w:t>greater,</w:t>
      </w:r>
      <w:r>
        <w:rPr>
          <w:spacing w:val="-3"/>
          <w:vertAlign w:val="baseline"/>
        </w:rPr>
        <w:t> </w:t>
      </w:r>
      <w:r>
        <w:rPr>
          <w:vertAlign w:val="baseline"/>
        </w:rPr>
        <w:t>extent</w:t>
      </w:r>
      <w:r>
        <w:rPr>
          <w:spacing w:val="-3"/>
          <w:vertAlign w:val="baseline"/>
        </w:rPr>
        <w:t> </w:t>
      </w:r>
      <w:r>
        <w:rPr>
          <w:vertAlign w:val="baseline"/>
        </w:rPr>
        <w:t>as</w:t>
      </w:r>
      <w:r>
        <w:rPr>
          <w:spacing w:val="-2"/>
          <w:vertAlign w:val="baseline"/>
        </w:rPr>
        <w:t> </w:t>
      </w:r>
      <w:r>
        <w:rPr>
          <w:vertAlign w:val="baseline"/>
        </w:rPr>
        <w:t>the</w:t>
      </w:r>
      <w:r>
        <w:rPr>
          <w:spacing w:val="-3"/>
          <w:vertAlign w:val="baseline"/>
        </w:rPr>
        <w:t> </w:t>
      </w:r>
      <w:r>
        <w:rPr>
          <w:vertAlign w:val="baseline"/>
        </w:rPr>
        <w:t>perpetrator</w:t>
      </w:r>
      <w:hyperlink w:history="true" w:anchor="_bookmark99">
        <w:r>
          <w:rPr>
            <w:vertAlign w:val="baseline"/>
          </w:rPr>
          <w:t>.</w:t>
        </w:r>
        <w:r>
          <w:rPr>
            <w:vertAlign w:val="superscript"/>
          </w:rPr>
          <w:t>144</w:t>
        </w:r>
      </w:hyperlink>
      <w:r>
        <w:rPr>
          <w:spacing w:val="-3"/>
          <w:vertAlign w:val="baseline"/>
        </w:rPr>
        <w:t> </w:t>
      </w:r>
      <w:r>
        <w:rPr>
          <w:vertAlign w:val="baseline"/>
        </w:rPr>
        <w:t>Although</w:t>
      </w:r>
      <w:r>
        <w:rPr>
          <w:spacing w:val="-2"/>
          <w:vertAlign w:val="baseline"/>
        </w:rPr>
        <w:t> </w:t>
      </w:r>
      <w:r>
        <w:rPr>
          <w:vertAlign w:val="baseline"/>
        </w:rPr>
        <w:t>these</w:t>
      </w:r>
      <w:r>
        <w:rPr>
          <w:spacing w:val="-3"/>
          <w:vertAlign w:val="baseline"/>
        </w:rPr>
        <w:t> </w:t>
      </w:r>
      <w:r>
        <w:rPr>
          <w:vertAlign w:val="baseline"/>
        </w:rPr>
        <w:t>kinds</w:t>
      </w:r>
      <w:r>
        <w:rPr>
          <w:spacing w:val="-2"/>
          <w:vertAlign w:val="baseline"/>
        </w:rPr>
        <w:t> </w:t>
      </w:r>
      <w:r>
        <w:rPr>
          <w:vertAlign w:val="baseline"/>
        </w:rPr>
        <w:t>of</w:t>
      </w:r>
      <w:r>
        <w:rPr>
          <w:spacing w:val="-3"/>
          <w:vertAlign w:val="baseline"/>
        </w:rPr>
        <w:t> </w:t>
      </w:r>
      <w:r>
        <w:rPr>
          <w:vertAlign w:val="baseline"/>
        </w:rPr>
        <w:t>laws</w:t>
      </w:r>
      <w:r>
        <w:rPr>
          <w:spacing w:val="-2"/>
          <w:vertAlign w:val="baseline"/>
        </w:rPr>
        <w:t> </w:t>
      </w:r>
      <w:r>
        <w:rPr>
          <w:vertAlign w:val="baseline"/>
        </w:rPr>
        <w:t>may</w:t>
      </w:r>
      <w:r>
        <w:rPr>
          <w:spacing w:val="-3"/>
          <w:vertAlign w:val="baseline"/>
        </w:rPr>
        <w:t> </w:t>
      </w:r>
      <w:r>
        <w:rPr>
          <w:vertAlign w:val="baseline"/>
        </w:rPr>
        <w:t>not seem directly related to commercial sexual exploitation, they foster a hostile environment around sexuality and make youth feel uncomfortable or even unsafe coming forward to reveal sexual exploitation or sexual violence for fear of punishment and criminalization.</w:t>
      </w:r>
    </w:p>
    <w:p>
      <w:pPr>
        <w:pStyle w:val="BodyText"/>
        <w:spacing w:line="276" w:lineRule="auto" w:before="238"/>
        <w:ind w:left="458" w:right="533"/>
        <w:jc w:val="both"/>
      </w:pPr>
      <w:r>
        <w:rPr/>
        <w:t>When examining interventions to prevent commercial youth sexual exploitation and support survivors/victims,</w:t>
      </w:r>
      <w:r>
        <w:rPr>
          <w:spacing w:val="-13"/>
        </w:rPr>
        <w:t> </w:t>
      </w:r>
      <w:r>
        <w:rPr/>
        <w:t>there</w:t>
      </w:r>
      <w:r>
        <w:rPr>
          <w:spacing w:val="-12"/>
        </w:rPr>
        <w:t> </w:t>
      </w:r>
      <w:r>
        <w:rPr/>
        <w:t>are</w:t>
      </w:r>
      <w:r>
        <w:rPr>
          <w:spacing w:val="-13"/>
        </w:rPr>
        <w:t> </w:t>
      </w:r>
      <w:r>
        <w:rPr/>
        <w:t>notable</w:t>
      </w:r>
      <w:r>
        <w:rPr>
          <w:spacing w:val="-12"/>
        </w:rPr>
        <w:t> </w:t>
      </w:r>
      <w:r>
        <w:rPr/>
        <w:t>gaps</w:t>
      </w:r>
      <w:r>
        <w:rPr>
          <w:spacing w:val="-11"/>
        </w:rPr>
        <w:t> </w:t>
      </w:r>
      <w:r>
        <w:rPr/>
        <w:t>in</w:t>
      </w:r>
      <w:r>
        <w:rPr>
          <w:spacing w:val="-13"/>
        </w:rPr>
        <w:t> </w:t>
      </w:r>
      <w:r>
        <w:rPr/>
        <w:t>Boston</w:t>
      </w:r>
      <w:r>
        <w:rPr>
          <w:spacing w:val="-12"/>
        </w:rPr>
        <w:t> </w:t>
      </w:r>
      <w:r>
        <w:rPr/>
        <w:t>when</w:t>
      </w:r>
      <w:r>
        <w:rPr>
          <w:spacing w:val="-13"/>
        </w:rPr>
        <w:t> </w:t>
      </w:r>
      <w:r>
        <w:rPr/>
        <w:t>it</w:t>
      </w:r>
      <w:r>
        <w:rPr>
          <w:spacing w:val="-12"/>
        </w:rPr>
        <w:t> </w:t>
      </w:r>
      <w:r>
        <w:rPr/>
        <w:t>comes</w:t>
      </w:r>
      <w:r>
        <w:rPr>
          <w:spacing w:val="-11"/>
        </w:rPr>
        <w:t> </w:t>
      </w:r>
      <w:r>
        <w:rPr/>
        <w:t>to</w:t>
      </w:r>
      <w:r>
        <w:rPr>
          <w:spacing w:val="-12"/>
        </w:rPr>
        <w:t> </w:t>
      </w:r>
      <w:r>
        <w:rPr/>
        <w:t>trauma-informed</w:t>
      </w:r>
      <w:r>
        <w:rPr>
          <w:spacing w:val="-12"/>
        </w:rPr>
        <w:t> </w:t>
      </w:r>
      <w:r>
        <w:rPr/>
        <w:t>health</w:t>
      </w:r>
      <w:r>
        <w:rPr>
          <w:spacing w:val="-12"/>
        </w:rPr>
        <w:t> </w:t>
      </w:r>
      <w:r>
        <w:rPr/>
        <w:t>care</w:t>
      </w:r>
      <w:r>
        <w:rPr>
          <w:spacing w:val="-13"/>
        </w:rPr>
        <w:t> </w:t>
      </w:r>
      <w:r>
        <w:rPr/>
        <w:t>and </w:t>
      </w:r>
      <w:r>
        <w:rPr>
          <w:spacing w:val="-2"/>
        </w:rPr>
        <w:t>access</w:t>
      </w:r>
      <w:r>
        <w:rPr>
          <w:spacing w:val="-6"/>
        </w:rPr>
        <w:t> </w:t>
      </w:r>
      <w:r>
        <w:rPr>
          <w:spacing w:val="-2"/>
        </w:rPr>
        <w:t>to</w:t>
      </w:r>
      <w:r>
        <w:rPr>
          <w:spacing w:val="-4"/>
        </w:rPr>
        <w:t> </w:t>
      </w:r>
      <w:r>
        <w:rPr>
          <w:spacing w:val="-2"/>
        </w:rPr>
        <w:t>mental</w:t>
      </w:r>
      <w:r>
        <w:rPr>
          <w:spacing w:val="-6"/>
        </w:rPr>
        <w:t> </w:t>
      </w:r>
      <w:r>
        <w:rPr>
          <w:spacing w:val="-2"/>
        </w:rPr>
        <w:t>health</w:t>
      </w:r>
      <w:r>
        <w:rPr>
          <w:spacing w:val="-5"/>
        </w:rPr>
        <w:t> </w:t>
      </w:r>
      <w:r>
        <w:rPr>
          <w:spacing w:val="-2"/>
        </w:rPr>
        <w:t>services</w:t>
      </w:r>
      <w:r>
        <w:rPr>
          <w:spacing w:val="-5"/>
        </w:rPr>
        <w:t> </w:t>
      </w:r>
      <w:r>
        <w:rPr>
          <w:spacing w:val="-2"/>
        </w:rPr>
        <w:t>that</w:t>
      </w:r>
      <w:r>
        <w:rPr>
          <w:spacing w:val="-7"/>
        </w:rPr>
        <w:t> </w:t>
      </w:r>
      <w:r>
        <w:rPr>
          <w:spacing w:val="-2"/>
        </w:rPr>
        <w:t>specialize</w:t>
      </w:r>
      <w:r>
        <w:rPr>
          <w:spacing w:val="-5"/>
        </w:rPr>
        <w:t> </w:t>
      </w:r>
      <w:r>
        <w:rPr>
          <w:spacing w:val="-2"/>
        </w:rPr>
        <w:t>in</w:t>
      </w:r>
      <w:r>
        <w:rPr>
          <w:spacing w:val="-6"/>
        </w:rPr>
        <w:t> </w:t>
      </w:r>
      <w:r>
        <w:rPr>
          <w:spacing w:val="-2"/>
        </w:rPr>
        <w:t>supporting</w:t>
      </w:r>
      <w:r>
        <w:rPr>
          <w:spacing w:val="-5"/>
        </w:rPr>
        <w:t> </w:t>
      </w:r>
      <w:r>
        <w:rPr>
          <w:spacing w:val="-2"/>
        </w:rPr>
        <w:t>commercially</w:t>
      </w:r>
      <w:r>
        <w:rPr>
          <w:spacing w:val="-4"/>
        </w:rPr>
        <w:t> </w:t>
      </w:r>
      <w:r>
        <w:rPr>
          <w:spacing w:val="-2"/>
        </w:rPr>
        <w:t>sexually</w:t>
      </w:r>
      <w:r>
        <w:rPr>
          <w:spacing w:val="-7"/>
        </w:rPr>
        <w:t> </w:t>
      </w:r>
      <w:r>
        <w:rPr>
          <w:spacing w:val="-2"/>
        </w:rPr>
        <w:t>exploited</w:t>
      </w:r>
      <w:r>
        <w:rPr>
          <w:spacing w:val="-6"/>
        </w:rPr>
        <w:t> </w:t>
      </w:r>
      <w:r>
        <w:rPr>
          <w:spacing w:val="-2"/>
        </w:rPr>
        <w:t>youth.</w:t>
      </w:r>
      <w:hyperlink w:history="true" w:anchor="_bookmark100">
        <w:r>
          <w:rPr>
            <w:spacing w:val="-2"/>
            <w:vertAlign w:val="superscript"/>
          </w:rPr>
          <w:t>145</w:t>
        </w:r>
      </w:hyperlink>
    </w:p>
    <w:p>
      <w:pPr>
        <w:pStyle w:val="BodyText"/>
        <w:spacing w:line="268" w:lineRule="exact"/>
        <w:ind w:left="289"/>
        <w:jc w:val="both"/>
      </w:pPr>
      <w:r>
        <w:rPr>
          <w:spacing w:val="74"/>
          <w:w w:val="150"/>
          <w:u w:val="single" w:color="D9D9D9"/>
        </w:rPr>
        <w:t> </w:t>
      </w:r>
      <w:r>
        <w:rPr>
          <w:u w:val="single" w:color="D9D9D9"/>
        </w:rPr>
        <w:t>Care</w:t>
      </w:r>
      <w:r>
        <w:rPr>
          <w:spacing w:val="-6"/>
          <w:u w:val="single" w:color="D9D9D9"/>
        </w:rPr>
        <w:t> </w:t>
      </w:r>
      <w:r>
        <w:rPr>
          <w:u w:val="single" w:color="D9D9D9"/>
        </w:rPr>
        <w:t>providers</w:t>
      </w:r>
      <w:r>
        <w:rPr>
          <w:spacing w:val="-6"/>
          <w:u w:val="single" w:color="D9D9D9"/>
        </w:rPr>
        <w:t> </w:t>
      </w:r>
      <w:r>
        <w:rPr>
          <w:u w:val="single" w:color="D9D9D9"/>
        </w:rPr>
        <w:t>need</w:t>
      </w:r>
      <w:r>
        <w:rPr>
          <w:spacing w:val="-6"/>
          <w:u w:val="single" w:color="D9D9D9"/>
        </w:rPr>
        <w:t> </w:t>
      </w:r>
      <w:r>
        <w:rPr>
          <w:u w:val="single" w:color="D9D9D9"/>
        </w:rPr>
        <w:t>more</w:t>
      </w:r>
      <w:r>
        <w:rPr>
          <w:spacing w:val="-4"/>
          <w:u w:val="single" w:color="D9D9D9"/>
        </w:rPr>
        <w:t> </w:t>
      </w:r>
      <w:r>
        <w:rPr>
          <w:u w:val="single" w:color="D9D9D9"/>
        </w:rPr>
        <w:t>training,</w:t>
      </w:r>
      <w:r>
        <w:rPr>
          <w:spacing w:val="-5"/>
          <w:u w:val="single" w:color="D9D9D9"/>
        </w:rPr>
        <w:t> </w:t>
      </w:r>
      <w:r>
        <w:rPr>
          <w:u w:val="single" w:color="D9D9D9"/>
        </w:rPr>
        <w:t>as</w:t>
      </w:r>
      <w:r>
        <w:rPr>
          <w:spacing w:val="-6"/>
          <w:u w:val="single" w:color="D9D9D9"/>
        </w:rPr>
        <w:t> </w:t>
      </w:r>
      <w:r>
        <w:rPr>
          <w:u w:val="single" w:color="D9D9D9"/>
        </w:rPr>
        <w:t>well</w:t>
      </w:r>
      <w:r>
        <w:rPr>
          <w:spacing w:val="-6"/>
          <w:u w:val="single" w:color="D9D9D9"/>
        </w:rPr>
        <w:t> </w:t>
      </w:r>
      <w:r>
        <w:rPr>
          <w:u w:val="single" w:color="D9D9D9"/>
        </w:rPr>
        <w:t>as</w:t>
      </w:r>
      <w:r>
        <w:rPr>
          <w:spacing w:val="-5"/>
          <w:u w:val="single" w:color="D9D9D9"/>
        </w:rPr>
        <w:t> </w:t>
      </w:r>
      <w:r>
        <w:rPr>
          <w:u w:val="single" w:color="D9D9D9"/>
        </w:rPr>
        <w:t>more</w:t>
      </w:r>
      <w:r>
        <w:rPr>
          <w:spacing w:val="-5"/>
          <w:u w:val="single" w:color="D9D9D9"/>
        </w:rPr>
        <w:t> </w:t>
      </w:r>
      <w:r>
        <w:rPr>
          <w:u w:val="single" w:color="D9D9D9"/>
        </w:rPr>
        <w:t>funding,</w:t>
      </w:r>
      <w:r>
        <w:rPr>
          <w:spacing w:val="-5"/>
          <w:u w:val="single" w:color="D9D9D9"/>
        </w:rPr>
        <w:t> </w:t>
      </w:r>
      <w:r>
        <w:rPr>
          <w:u w:val="single" w:color="D9D9D9"/>
        </w:rPr>
        <w:t>to</w:t>
      </w:r>
      <w:r>
        <w:rPr>
          <w:spacing w:val="-4"/>
          <w:u w:val="single" w:color="D9D9D9"/>
        </w:rPr>
        <w:t> </w:t>
      </w:r>
      <w:r>
        <w:rPr>
          <w:u w:val="single" w:color="D9D9D9"/>
        </w:rPr>
        <w:t>appropriately</w:t>
      </w:r>
      <w:r>
        <w:rPr>
          <w:spacing w:val="-7"/>
          <w:u w:val="single" w:color="D9D9D9"/>
        </w:rPr>
        <w:t> </w:t>
      </w:r>
      <w:r>
        <w:rPr>
          <w:u w:val="single" w:color="D9D9D9"/>
        </w:rPr>
        <w:t>and</w:t>
      </w:r>
      <w:r>
        <w:rPr>
          <w:spacing w:val="-6"/>
          <w:u w:val="single" w:color="D9D9D9"/>
        </w:rPr>
        <w:t> </w:t>
      </w:r>
      <w:r>
        <w:rPr>
          <w:u w:val="single" w:color="D9D9D9"/>
        </w:rPr>
        <w:t>adequately</w:t>
      </w:r>
      <w:r>
        <w:rPr>
          <w:spacing w:val="-4"/>
          <w:u w:val="single" w:color="D9D9D9"/>
        </w:rPr>
        <w:t> </w:t>
      </w:r>
      <w:r>
        <w:rPr>
          <w:spacing w:val="-2"/>
          <w:u w:val="single" w:color="D9D9D9"/>
        </w:rPr>
        <w:t>support</w:t>
      </w:r>
      <w:r>
        <w:rPr>
          <w:spacing w:val="80"/>
          <w:u w:val="single" w:color="D9D9D9"/>
        </w:rPr>
        <w:t>   </w:t>
      </w:r>
    </w:p>
    <w:p>
      <w:pPr>
        <w:spacing w:after="0" w:line="268" w:lineRule="exact"/>
        <w:jc w:val="both"/>
        <w:sectPr>
          <w:headerReference w:type="default" r:id="rId138"/>
          <w:footerReference w:type="default" r:id="rId139"/>
          <w:pgSz w:w="11910" w:h="16840"/>
          <w:pgMar w:header="804" w:footer="1210" w:top="1080" w:bottom="1400" w:left="980" w:right="900"/>
        </w:sectPr>
      </w:pPr>
    </w:p>
    <w:p>
      <w:pPr>
        <w:pStyle w:val="BodyText"/>
        <w:spacing w:line="276" w:lineRule="auto" w:before="69"/>
        <w:ind w:left="458" w:right="529"/>
        <w:jc w:val="both"/>
      </w:pPr>
      <w:r>
        <w:rPr/>
        <w:t>sexually exploited youth;</w:t>
      </w:r>
      <w:hyperlink w:history="true" w:anchor="_bookmark101">
        <w:r>
          <w:rPr>
            <w:vertAlign w:val="superscript"/>
          </w:rPr>
          <w:t>146</w:t>
        </w:r>
      </w:hyperlink>
      <w:r>
        <w:rPr>
          <w:vertAlign w:val="baseline"/>
        </w:rPr>
        <w:t> training service providers on how to better support survivors of sexual exploitation is also key to ending stigma</w:t>
      </w:r>
      <w:hyperlink w:history="true" w:anchor="_bookmark101">
        <w:r>
          <w:rPr>
            <w:vertAlign w:val="baseline"/>
          </w:rPr>
          <w:t>.</w:t>
        </w:r>
        <w:r>
          <w:rPr>
            <w:vertAlign w:val="superscript"/>
          </w:rPr>
          <w:t>147</w:t>
        </w:r>
      </w:hyperlink>
      <w:r>
        <w:rPr>
          <w:vertAlign w:val="baseline"/>
        </w:rPr>
        <w:t> Instead of taking a carceral view of youth commercial sexual exploitation, a cultural shift must occur in how providers view survivors/victims of sexual exploitation and how victims/survivors are supported and connected with resources, rather than criminalized</w:t>
      </w:r>
      <w:r>
        <w:rPr>
          <w:spacing w:val="-3"/>
          <w:vertAlign w:val="baseline"/>
        </w:rPr>
        <w:t> </w:t>
      </w:r>
      <w:r>
        <w:rPr>
          <w:vertAlign w:val="baseline"/>
        </w:rPr>
        <w:t>and</w:t>
      </w:r>
      <w:r>
        <w:rPr>
          <w:spacing w:val="-4"/>
          <w:vertAlign w:val="baseline"/>
        </w:rPr>
        <w:t> </w:t>
      </w:r>
      <w:r>
        <w:rPr>
          <w:vertAlign w:val="baseline"/>
        </w:rPr>
        <w:t>punished</w:t>
      </w:r>
      <w:hyperlink w:history="true" w:anchor="_bookmark102">
        <w:r>
          <w:rPr>
            <w:vertAlign w:val="baseline"/>
          </w:rPr>
          <w:t>.</w:t>
        </w:r>
        <w:r>
          <w:rPr>
            <w:vertAlign w:val="superscript"/>
          </w:rPr>
          <w:t>148</w:t>
        </w:r>
      </w:hyperlink>
      <w:r>
        <w:rPr>
          <w:spacing w:val="-4"/>
          <w:vertAlign w:val="baseline"/>
        </w:rPr>
        <w:t> </w:t>
      </w:r>
      <w:r>
        <w:rPr>
          <w:vertAlign w:val="baseline"/>
        </w:rPr>
        <w:t>Furthermore,</w:t>
      </w:r>
      <w:r>
        <w:rPr>
          <w:spacing w:val="-5"/>
          <w:vertAlign w:val="baseline"/>
        </w:rPr>
        <w:t> </w:t>
      </w:r>
      <w:r>
        <w:rPr>
          <w:vertAlign w:val="baseline"/>
        </w:rPr>
        <w:t>it</w:t>
      </w:r>
      <w:r>
        <w:rPr>
          <w:spacing w:val="-4"/>
          <w:vertAlign w:val="baseline"/>
        </w:rPr>
        <w:t> </w:t>
      </w:r>
      <w:r>
        <w:rPr>
          <w:vertAlign w:val="baseline"/>
        </w:rPr>
        <w:t>is</w:t>
      </w:r>
      <w:r>
        <w:rPr>
          <w:spacing w:val="-4"/>
          <w:vertAlign w:val="baseline"/>
        </w:rPr>
        <w:t> </w:t>
      </w:r>
      <w:r>
        <w:rPr>
          <w:vertAlign w:val="baseline"/>
        </w:rPr>
        <w:t>important</w:t>
      </w:r>
      <w:r>
        <w:rPr>
          <w:spacing w:val="-4"/>
          <w:vertAlign w:val="baseline"/>
        </w:rPr>
        <w:t> </w:t>
      </w:r>
      <w:r>
        <w:rPr>
          <w:vertAlign w:val="baseline"/>
        </w:rPr>
        <w:t>to</w:t>
      </w:r>
      <w:r>
        <w:rPr>
          <w:spacing w:val="-3"/>
          <w:vertAlign w:val="baseline"/>
        </w:rPr>
        <w:t> </w:t>
      </w:r>
      <w:r>
        <w:rPr>
          <w:vertAlign w:val="baseline"/>
        </w:rPr>
        <w:t>involve</w:t>
      </w:r>
      <w:r>
        <w:rPr>
          <w:spacing w:val="-5"/>
          <w:vertAlign w:val="baseline"/>
        </w:rPr>
        <w:t> </w:t>
      </w:r>
      <w:r>
        <w:rPr>
          <w:vertAlign w:val="baseline"/>
        </w:rPr>
        <w:t>survivors/victims</w:t>
      </w:r>
      <w:r>
        <w:rPr>
          <w:spacing w:val="-3"/>
          <w:vertAlign w:val="baseline"/>
        </w:rPr>
        <w:t> </w:t>
      </w:r>
      <w:r>
        <w:rPr>
          <w:vertAlign w:val="baseline"/>
        </w:rPr>
        <w:t>in</w:t>
      </w:r>
      <w:r>
        <w:rPr>
          <w:spacing w:val="-4"/>
          <w:vertAlign w:val="baseline"/>
        </w:rPr>
        <w:t> </w:t>
      </w:r>
      <w:r>
        <w:rPr>
          <w:vertAlign w:val="baseline"/>
        </w:rPr>
        <w:t>intervention creation,</w:t>
      </w:r>
      <w:r>
        <w:rPr>
          <w:spacing w:val="-4"/>
          <w:vertAlign w:val="baseline"/>
        </w:rPr>
        <w:t> </w:t>
      </w:r>
      <w:r>
        <w:rPr>
          <w:vertAlign w:val="baseline"/>
        </w:rPr>
        <w:t>as</w:t>
      </w:r>
      <w:r>
        <w:rPr>
          <w:spacing w:val="-5"/>
          <w:vertAlign w:val="baseline"/>
        </w:rPr>
        <w:t> </w:t>
      </w:r>
      <w:r>
        <w:rPr>
          <w:vertAlign w:val="baseline"/>
        </w:rPr>
        <w:t>survivors/victims</w:t>
      </w:r>
      <w:r>
        <w:rPr>
          <w:spacing w:val="-5"/>
          <w:vertAlign w:val="baseline"/>
        </w:rPr>
        <w:t> </w:t>
      </w:r>
      <w:r>
        <w:rPr>
          <w:vertAlign w:val="baseline"/>
        </w:rPr>
        <w:t>have</w:t>
      </w:r>
      <w:r>
        <w:rPr>
          <w:spacing w:val="-4"/>
          <w:vertAlign w:val="baseline"/>
        </w:rPr>
        <w:t> </w:t>
      </w:r>
      <w:r>
        <w:rPr>
          <w:vertAlign w:val="baseline"/>
        </w:rPr>
        <w:t>largely</w:t>
      </w:r>
      <w:r>
        <w:rPr>
          <w:spacing w:val="-5"/>
          <w:vertAlign w:val="baseline"/>
        </w:rPr>
        <w:t> </w:t>
      </w:r>
      <w:r>
        <w:rPr>
          <w:vertAlign w:val="baseline"/>
        </w:rPr>
        <w:t>been</w:t>
      </w:r>
      <w:r>
        <w:rPr>
          <w:spacing w:val="-4"/>
          <w:vertAlign w:val="baseline"/>
        </w:rPr>
        <w:t> </w:t>
      </w:r>
      <w:r>
        <w:rPr>
          <w:vertAlign w:val="baseline"/>
        </w:rPr>
        <w:t>left</w:t>
      </w:r>
      <w:r>
        <w:rPr>
          <w:spacing w:val="-3"/>
          <w:vertAlign w:val="baseline"/>
        </w:rPr>
        <w:t> </w:t>
      </w:r>
      <w:r>
        <w:rPr>
          <w:vertAlign w:val="baseline"/>
        </w:rPr>
        <w:t>out</w:t>
      </w:r>
      <w:r>
        <w:rPr>
          <w:spacing w:val="-6"/>
          <w:vertAlign w:val="baseline"/>
        </w:rPr>
        <w:t> </w:t>
      </w:r>
      <w:r>
        <w:rPr>
          <w:vertAlign w:val="baseline"/>
        </w:rPr>
        <w:t>of</w:t>
      </w:r>
      <w:r>
        <w:rPr>
          <w:spacing w:val="-4"/>
          <w:vertAlign w:val="baseline"/>
        </w:rPr>
        <w:t> </w:t>
      </w:r>
      <w:r>
        <w:rPr>
          <w:vertAlign w:val="baseline"/>
        </w:rPr>
        <w:t>leadership</w:t>
      </w:r>
      <w:r>
        <w:rPr>
          <w:spacing w:val="-4"/>
          <w:vertAlign w:val="baseline"/>
        </w:rPr>
        <w:t> </w:t>
      </w:r>
      <w:r>
        <w:rPr>
          <w:vertAlign w:val="baseline"/>
        </w:rPr>
        <w:t>positions</w:t>
      </w:r>
      <w:r>
        <w:rPr>
          <w:spacing w:val="-5"/>
          <w:vertAlign w:val="baseline"/>
        </w:rPr>
        <w:t> </w:t>
      </w:r>
      <w:r>
        <w:rPr>
          <w:vertAlign w:val="baseline"/>
        </w:rPr>
        <w:t>and</w:t>
      </w:r>
      <w:r>
        <w:rPr>
          <w:spacing w:val="-4"/>
          <w:vertAlign w:val="baseline"/>
        </w:rPr>
        <w:t> </w:t>
      </w:r>
      <w:r>
        <w:rPr>
          <w:vertAlign w:val="baseline"/>
        </w:rPr>
        <w:t>have</w:t>
      </w:r>
      <w:r>
        <w:rPr>
          <w:spacing w:val="-4"/>
          <w:vertAlign w:val="baseline"/>
        </w:rPr>
        <w:t> </w:t>
      </w:r>
      <w:r>
        <w:rPr>
          <w:vertAlign w:val="baseline"/>
        </w:rPr>
        <w:t>been</w:t>
      </w:r>
      <w:r>
        <w:rPr>
          <w:spacing w:val="-6"/>
          <w:vertAlign w:val="baseline"/>
        </w:rPr>
        <w:t> </w:t>
      </w:r>
      <w:r>
        <w:rPr>
          <w:vertAlign w:val="baseline"/>
        </w:rPr>
        <w:t>further exploited as talking-points for organizations, rather than uplifted and supported</w:t>
      </w:r>
      <w:hyperlink w:history="true" w:anchor="_bookmark102">
        <w:r>
          <w:rPr>
            <w:vertAlign w:val="baseline"/>
          </w:rPr>
          <w:t>.</w:t>
        </w:r>
        <w:r>
          <w:rPr>
            <w:vertAlign w:val="superscript"/>
          </w:rPr>
          <w:t>149</w:t>
        </w:r>
      </w:hyperlink>
      <w:r>
        <w:rPr>
          <w:vertAlign w:val="baseline"/>
        </w:rPr>
        <w:t> Without considering the needs of victims/survivors, it will be impossible to create successful outreach </w:t>
      </w:r>
      <w:r>
        <w:rPr>
          <w:spacing w:val="-2"/>
          <w:vertAlign w:val="baseline"/>
        </w:rPr>
        <w:t>programs.</w:t>
      </w:r>
    </w:p>
    <w:p>
      <w:pPr>
        <w:spacing w:before="159"/>
        <w:ind w:left="458" w:right="0" w:firstLine="0"/>
        <w:jc w:val="both"/>
        <w:rPr>
          <w:sz w:val="28"/>
        </w:rPr>
      </w:pPr>
      <w:bookmarkStart w:name="Engaging LGBTQ Youth" w:id="230"/>
      <w:bookmarkEnd w:id="230"/>
      <w:r>
        <w:rPr/>
      </w:r>
      <w:r>
        <w:rPr>
          <w:color w:val="365F91"/>
          <w:sz w:val="28"/>
        </w:rPr>
        <w:t>Engaging</w:t>
      </w:r>
      <w:r>
        <w:rPr>
          <w:color w:val="365F91"/>
          <w:spacing w:val="-10"/>
          <w:sz w:val="28"/>
        </w:rPr>
        <w:t> </w:t>
      </w:r>
      <w:r>
        <w:rPr>
          <w:color w:val="365F91"/>
          <w:sz w:val="28"/>
        </w:rPr>
        <w:t>LGBTQ</w:t>
      </w:r>
      <w:r>
        <w:rPr>
          <w:color w:val="365F91"/>
          <w:spacing w:val="-10"/>
          <w:sz w:val="28"/>
        </w:rPr>
        <w:t> </w:t>
      </w:r>
      <w:r>
        <w:rPr>
          <w:color w:val="365F91"/>
          <w:spacing w:val="-2"/>
          <w:sz w:val="28"/>
        </w:rPr>
        <w:t>Youth</w:t>
      </w:r>
    </w:p>
    <w:p>
      <w:pPr>
        <w:pStyle w:val="BodyText"/>
        <w:spacing w:line="276" w:lineRule="auto" w:before="238"/>
        <w:ind w:left="458" w:right="533"/>
        <w:jc w:val="both"/>
      </w:pPr>
      <w:r>
        <w:rPr/>
        <w:t>LGBTQ</w:t>
      </w:r>
      <w:r>
        <w:rPr>
          <w:spacing w:val="-2"/>
        </w:rPr>
        <w:t> </w:t>
      </w:r>
      <w:r>
        <w:rPr/>
        <w:t>youth</w:t>
      </w:r>
      <w:r>
        <w:rPr>
          <w:spacing w:val="-1"/>
        </w:rPr>
        <w:t> </w:t>
      </w:r>
      <w:r>
        <w:rPr/>
        <w:t>have</w:t>
      </w:r>
      <w:r>
        <w:rPr>
          <w:spacing w:val="-2"/>
        </w:rPr>
        <w:t> </w:t>
      </w:r>
      <w:r>
        <w:rPr/>
        <w:t>a</w:t>
      </w:r>
      <w:r>
        <w:rPr>
          <w:spacing w:val="-2"/>
        </w:rPr>
        <w:t> </w:t>
      </w:r>
      <w:r>
        <w:rPr/>
        <w:t>right</w:t>
      </w:r>
      <w:r>
        <w:rPr>
          <w:spacing w:val="-1"/>
        </w:rPr>
        <w:t> </w:t>
      </w:r>
      <w:r>
        <w:rPr/>
        <w:t>to</w:t>
      </w:r>
      <w:r>
        <w:rPr>
          <w:spacing w:val="-1"/>
        </w:rPr>
        <w:t> </w:t>
      </w:r>
      <w:r>
        <w:rPr/>
        <w:t>be</w:t>
      </w:r>
      <w:r>
        <w:rPr>
          <w:spacing w:val="-2"/>
        </w:rPr>
        <w:t> </w:t>
      </w:r>
      <w:r>
        <w:rPr/>
        <w:t>involved</w:t>
      </w:r>
      <w:r>
        <w:rPr>
          <w:spacing w:val="-1"/>
        </w:rPr>
        <w:t> </w:t>
      </w:r>
      <w:r>
        <w:rPr/>
        <w:t>in</w:t>
      </w:r>
      <w:r>
        <w:rPr>
          <w:spacing w:val="-2"/>
        </w:rPr>
        <w:t> </w:t>
      </w:r>
      <w:r>
        <w:rPr/>
        <w:t>the</w:t>
      </w:r>
      <w:r>
        <w:rPr>
          <w:spacing w:val="-2"/>
        </w:rPr>
        <w:t> </w:t>
      </w:r>
      <w:r>
        <w:rPr/>
        <w:t>creation</w:t>
      </w:r>
      <w:r>
        <w:rPr>
          <w:spacing w:val="-2"/>
        </w:rPr>
        <w:t> </w:t>
      </w:r>
      <w:r>
        <w:rPr/>
        <w:t>of</w:t>
      </w:r>
      <w:r>
        <w:rPr>
          <w:spacing w:val="-2"/>
        </w:rPr>
        <w:t> </w:t>
      </w:r>
      <w:r>
        <w:rPr/>
        <w:t>the</w:t>
      </w:r>
      <w:r>
        <w:rPr>
          <w:spacing w:val="-2"/>
        </w:rPr>
        <w:t> </w:t>
      </w:r>
      <w:r>
        <w:rPr/>
        <w:t>programs</w:t>
      </w:r>
      <w:r>
        <w:rPr>
          <w:spacing w:val="-1"/>
        </w:rPr>
        <w:t> </w:t>
      </w:r>
      <w:r>
        <w:rPr/>
        <w:t>meant</w:t>
      </w:r>
      <w:r>
        <w:rPr>
          <w:spacing w:val="-1"/>
        </w:rPr>
        <w:t> </w:t>
      </w:r>
      <w:r>
        <w:rPr/>
        <w:t>to</w:t>
      </w:r>
      <w:r>
        <w:rPr>
          <w:spacing w:val="-1"/>
        </w:rPr>
        <w:t> </w:t>
      </w:r>
      <w:r>
        <w:rPr/>
        <w:t>support</w:t>
      </w:r>
      <w:r>
        <w:rPr>
          <w:spacing w:val="-1"/>
        </w:rPr>
        <w:t> </w:t>
      </w:r>
      <w:r>
        <w:rPr/>
        <w:t>their</w:t>
      </w:r>
      <w:r>
        <w:rPr>
          <w:spacing w:val="-2"/>
        </w:rPr>
        <w:t> </w:t>
      </w:r>
      <w:r>
        <w:rPr/>
        <w:t>well- being. No matter the public health issue, it is important that the voices and opinions of LGBTQ youth are</w:t>
      </w:r>
      <w:r>
        <w:rPr>
          <w:spacing w:val="-4"/>
        </w:rPr>
        <w:t> </w:t>
      </w:r>
      <w:r>
        <w:rPr/>
        <w:t>included</w:t>
      </w:r>
      <w:r>
        <w:rPr>
          <w:spacing w:val="-4"/>
        </w:rPr>
        <w:t> </w:t>
      </w:r>
      <w:r>
        <w:rPr/>
        <w:t>in</w:t>
      </w:r>
      <w:r>
        <w:rPr>
          <w:spacing w:val="-4"/>
        </w:rPr>
        <w:t> </w:t>
      </w:r>
      <w:r>
        <w:rPr/>
        <w:t>any</w:t>
      </w:r>
      <w:r>
        <w:rPr>
          <w:spacing w:val="-4"/>
        </w:rPr>
        <w:t> </w:t>
      </w:r>
      <w:r>
        <w:rPr/>
        <w:t>kind</w:t>
      </w:r>
      <w:r>
        <w:rPr>
          <w:spacing w:val="-4"/>
        </w:rPr>
        <w:t> </w:t>
      </w:r>
      <w:r>
        <w:rPr/>
        <w:t>of</w:t>
      </w:r>
      <w:r>
        <w:rPr>
          <w:spacing w:val="-4"/>
        </w:rPr>
        <w:t> </w:t>
      </w:r>
      <w:r>
        <w:rPr/>
        <w:t>program</w:t>
      </w:r>
      <w:r>
        <w:rPr>
          <w:spacing w:val="-4"/>
        </w:rPr>
        <w:t> </w:t>
      </w:r>
      <w:r>
        <w:rPr/>
        <w:t>development</w:t>
      </w:r>
      <w:r>
        <w:rPr>
          <w:spacing w:val="-4"/>
        </w:rPr>
        <w:t> </w:t>
      </w:r>
      <w:r>
        <w:rPr/>
        <w:t>and</w:t>
      </w:r>
      <w:r>
        <w:rPr>
          <w:spacing w:val="-4"/>
        </w:rPr>
        <w:t> </w:t>
      </w:r>
      <w:r>
        <w:rPr/>
        <w:t>implementation.</w:t>
      </w:r>
      <w:r>
        <w:rPr>
          <w:spacing w:val="-4"/>
        </w:rPr>
        <w:t> </w:t>
      </w:r>
      <w:r>
        <w:rPr/>
        <w:t>LGBTQ</w:t>
      </w:r>
      <w:r>
        <w:rPr>
          <w:spacing w:val="-3"/>
        </w:rPr>
        <w:t> </w:t>
      </w:r>
      <w:r>
        <w:rPr/>
        <w:t>youth</w:t>
      </w:r>
      <w:r>
        <w:rPr>
          <w:spacing w:val="-4"/>
        </w:rPr>
        <w:t> </w:t>
      </w:r>
      <w:r>
        <w:rPr/>
        <w:t>know</w:t>
      </w:r>
      <w:r>
        <w:rPr>
          <w:spacing w:val="-4"/>
        </w:rPr>
        <w:t> </w:t>
      </w:r>
      <w:r>
        <w:rPr/>
        <w:t>best</w:t>
      </w:r>
      <w:r>
        <w:rPr>
          <w:spacing w:val="-4"/>
        </w:rPr>
        <w:t> </w:t>
      </w:r>
      <w:r>
        <w:rPr/>
        <w:t>what resources</w:t>
      </w:r>
      <w:r>
        <w:rPr>
          <w:spacing w:val="-6"/>
        </w:rPr>
        <w:t> </w:t>
      </w:r>
      <w:r>
        <w:rPr/>
        <w:t>they</w:t>
      </w:r>
      <w:r>
        <w:rPr>
          <w:spacing w:val="-6"/>
        </w:rPr>
        <w:t> </w:t>
      </w:r>
      <w:r>
        <w:rPr/>
        <w:t>need</w:t>
      </w:r>
      <w:r>
        <w:rPr>
          <w:spacing w:val="-7"/>
        </w:rPr>
        <w:t> </w:t>
      </w:r>
      <w:r>
        <w:rPr/>
        <w:t>and</w:t>
      </w:r>
      <w:r>
        <w:rPr>
          <w:spacing w:val="-6"/>
        </w:rPr>
        <w:t> </w:t>
      </w:r>
      <w:r>
        <w:rPr/>
        <w:t>how</w:t>
      </w:r>
      <w:r>
        <w:rPr>
          <w:spacing w:val="-6"/>
        </w:rPr>
        <w:t> </w:t>
      </w:r>
      <w:r>
        <w:rPr/>
        <w:t>they</w:t>
      </w:r>
      <w:r>
        <w:rPr>
          <w:spacing w:val="-5"/>
        </w:rPr>
        <w:t> </w:t>
      </w:r>
      <w:r>
        <w:rPr/>
        <w:t>can</w:t>
      </w:r>
      <w:r>
        <w:rPr>
          <w:spacing w:val="-4"/>
        </w:rPr>
        <w:t> </w:t>
      </w:r>
      <w:r>
        <w:rPr/>
        <w:t>best</w:t>
      </w:r>
      <w:r>
        <w:rPr>
          <w:spacing w:val="-6"/>
        </w:rPr>
        <w:t> </w:t>
      </w:r>
      <w:r>
        <w:rPr/>
        <w:t>be</w:t>
      </w:r>
      <w:r>
        <w:rPr>
          <w:spacing w:val="-7"/>
        </w:rPr>
        <w:t> </w:t>
      </w:r>
      <w:r>
        <w:rPr/>
        <w:t>supported,</w:t>
      </w:r>
      <w:r>
        <w:rPr>
          <w:spacing w:val="-6"/>
        </w:rPr>
        <w:t> </w:t>
      </w:r>
      <w:r>
        <w:rPr/>
        <w:t>oftentimes</w:t>
      </w:r>
      <w:r>
        <w:rPr>
          <w:spacing w:val="-6"/>
        </w:rPr>
        <w:t> </w:t>
      </w:r>
      <w:r>
        <w:rPr/>
        <w:t>more</w:t>
      </w:r>
      <w:r>
        <w:rPr>
          <w:spacing w:val="-5"/>
        </w:rPr>
        <w:t> </w:t>
      </w:r>
      <w:r>
        <w:rPr/>
        <w:t>so</w:t>
      </w:r>
      <w:r>
        <w:rPr>
          <w:spacing w:val="-5"/>
        </w:rPr>
        <w:t> </w:t>
      </w:r>
      <w:r>
        <w:rPr/>
        <w:t>than</w:t>
      </w:r>
      <w:r>
        <w:rPr>
          <w:spacing w:val="-6"/>
        </w:rPr>
        <w:t> </w:t>
      </w:r>
      <w:r>
        <w:rPr/>
        <w:t>the</w:t>
      </w:r>
      <w:r>
        <w:rPr>
          <w:spacing w:val="-5"/>
        </w:rPr>
        <w:t> </w:t>
      </w:r>
      <w:r>
        <w:rPr/>
        <w:t>adults</w:t>
      </w:r>
      <w:r>
        <w:rPr>
          <w:spacing w:val="-6"/>
        </w:rPr>
        <w:t> </w:t>
      </w:r>
      <w:r>
        <w:rPr/>
        <w:t>in</w:t>
      </w:r>
      <w:r>
        <w:rPr>
          <w:spacing w:val="-6"/>
        </w:rPr>
        <w:t> </w:t>
      </w:r>
      <w:r>
        <w:rPr/>
        <w:t>their lives who may be unaware or uninformed about the issues faced by LGBTQ youth</w:t>
      </w:r>
      <w:hyperlink w:history="true" w:anchor="_bookmark102">
        <w:r>
          <w:rPr/>
          <w:t>.</w:t>
        </w:r>
        <w:r>
          <w:rPr>
            <w:vertAlign w:val="superscript"/>
          </w:rPr>
          <w:t>150</w:t>
        </w:r>
      </w:hyperlink>
      <w:r>
        <w:rPr>
          <w:vertAlign w:val="baseline"/>
        </w:rPr>
        <w:t> Peer health education programs, whether for dating violence, substance use, or bullying, have been highly successful</w:t>
      </w:r>
      <w:hyperlink w:history="true" w:anchor="_bookmark102">
        <w:r>
          <w:rPr>
            <w:vertAlign w:val="baseline"/>
          </w:rPr>
          <w:t>.</w:t>
        </w:r>
        <w:r>
          <w:rPr>
            <w:vertAlign w:val="superscript"/>
          </w:rPr>
          <w:t>151</w:t>
        </w:r>
      </w:hyperlink>
      <w:r>
        <w:rPr>
          <w:vertAlign w:val="baseline"/>
        </w:rPr>
        <w:t> Peer education finds its success in the fact that peer-to-peer education is often less awkward, and peer educators understand the current social, cultural, and political landscape that youths navigate on a day-to-day basis.</w:t>
      </w:r>
      <w:hyperlink w:history="true" w:anchor="_bookmark102">
        <w:r>
          <w:rPr>
            <w:vertAlign w:val="superscript"/>
          </w:rPr>
          <w:t>152</w:t>
        </w:r>
      </w:hyperlink>
      <w:r>
        <w:rPr>
          <w:vertAlign w:val="baseline"/>
        </w:rPr>
        <w:t> Beyond peer support, peer education programs and youth- led advocacy allow peer health educators to become content experts for a particular public health topic,</w:t>
      </w:r>
      <w:r>
        <w:rPr>
          <w:spacing w:val="-11"/>
          <w:vertAlign w:val="baseline"/>
        </w:rPr>
        <w:t> </w:t>
      </w:r>
      <w:r>
        <w:rPr>
          <w:vertAlign w:val="baseline"/>
        </w:rPr>
        <w:t>increase</w:t>
      </w:r>
      <w:r>
        <w:rPr>
          <w:spacing w:val="-12"/>
          <w:vertAlign w:val="baseline"/>
        </w:rPr>
        <w:t> </w:t>
      </w:r>
      <w:r>
        <w:rPr>
          <w:vertAlign w:val="baseline"/>
        </w:rPr>
        <w:t>communication</w:t>
      </w:r>
      <w:r>
        <w:rPr>
          <w:spacing w:val="-12"/>
          <w:vertAlign w:val="baseline"/>
        </w:rPr>
        <w:t> </w:t>
      </w:r>
      <w:r>
        <w:rPr>
          <w:vertAlign w:val="baseline"/>
        </w:rPr>
        <w:t>with</w:t>
      </w:r>
      <w:r>
        <w:rPr>
          <w:spacing w:val="-12"/>
          <w:vertAlign w:val="baseline"/>
        </w:rPr>
        <w:t> </w:t>
      </w:r>
      <w:r>
        <w:rPr>
          <w:vertAlign w:val="baseline"/>
        </w:rPr>
        <w:t>parents</w:t>
      </w:r>
      <w:r>
        <w:rPr>
          <w:spacing w:val="-11"/>
          <w:vertAlign w:val="baseline"/>
        </w:rPr>
        <w:t> </w:t>
      </w:r>
      <w:r>
        <w:rPr>
          <w:vertAlign w:val="baseline"/>
        </w:rPr>
        <w:t>and</w:t>
      </w:r>
      <w:r>
        <w:rPr>
          <w:spacing w:val="-10"/>
          <w:vertAlign w:val="baseline"/>
        </w:rPr>
        <w:t> </w:t>
      </w:r>
      <w:r>
        <w:rPr>
          <w:vertAlign w:val="baseline"/>
        </w:rPr>
        <w:t>other</w:t>
      </w:r>
      <w:r>
        <w:rPr>
          <w:spacing w:val="-11"/>
          <w:vertAlign w:val="baseline"/>
        </w:rPr>
        <w:t> </w:t>
      </w:r>
      <w:r>
        <w:rPr>
          <w:vertAlign w:val="baseline"/>
        </w:rPr>
        <w:t>adults,</w:t>
      </w:r>
      <w:r>
        <w:rPr>
          <w:spacing w:val="-11"/>
          <w:vertAlign w:val="baseline"/>
        </w:rPr>
        <w:t> </w:t>
      </w:r>
      <w:r>
        <w:rPr>
          <w:vertAlign w:val="baseline"/>
        </w:rPr>
        <w:t>and</w:t>
      </w:r>
      <w:r>
        <w:rPr>
          <w:spacing w:val="-10"/>
          <w:vertAlign w:val="baseline"/>
        </w:rPr>
        <w:t> </w:t>
      </w:r>
      <w:r>
        <w:rPr>
          <w:vertAlign w:val="baseline"/>
        </w:rPr>
        <w:t>inspire</w:t>
      </w:r>
      <w:r>
        <w:rPr>
          <w:spacing w:val="-12"/>
          <w:vertAlign w:val="baseline"/>
        </w:rPr>
        <w:t> </w:t>
      </w:r>
      <w:r>
        <w:rPr>
          <w:vertAlign w:val="baseline"/>
        </w:rPr>
        <w:t>peer</w:t>
      </w:r>
      <w:r>
        <w:rPr>
          <w:spacing w:val="-11"/>
          <w:vertAlign w:val="baseline"/>
        </w:rPr>
        <w:t> </w:t>
      </w:r>
      <w:r>
        <w:rPr>
          <w:vertAlign w:val="baseline"/>
        </w:rPr>
        <w:t>educators</w:t>
      </w:r>
      <w:r>
        <w:rPr>
          <w:spacing w:val="-11"/>
          <w:vertAlign w:val="baseline"/>
        </w:rPr>
        <w:t> </w:t>
      </w:r>
      <w:r>
        <w:rPr>
          <w:vertAlign w:val="baseline"/>
        </w:rPr>
        <w:t>to</w:t>
      </w:r>
      <w:r>
        <w:rPr>
          <w:spacing w:val="-10"/>
          <w:vertAlign w:val="baseline"/>
        </w:rPr>
        <w:t> </w:t>
      </w:r>
      <w:r>
        <w:rPr>
          <w:vertAlign w:val="baseline"/>
        </w:rPr>
        <w:t>play</w:t>
      </w:r>
      <w:r>
        <w:rPr>
          <w:spacing w:val="-11"/>
          <w:vertAlign w:val="baseline"/>
        </w:rPr>
        <w:t> </w:t>
      </w:r>
      <w:r>
        <w:rPr>
          <w:vertAlign w:val="baseline"/>
        </w:rPr>
        <w:t>a</w:t>
      </w:r>
      <w:r>
        <w:rPr>
          <w:spacing w:val="-11"/>
          <w:vertAlign w:val="baseline"/>
        </w:rPr>
        <w:t> </w:t>
      </w:r>
      <w:r>
        <w:rPr>
          <w:vertAlign w:val="baseline"/>
        </w:rPr>
        <w:t>role in their community’s long-term wellness</w:t>
      </w:r>
      <w:hyperlink w:history="true" w:anchor="_bookmark102">
        <w:r>
          <w:rPr>
            <w:vertAlign w:val="baseline"/>
          </w:rPr>
          <w:t>.</w:t>
        </w:r>
        <w:r>
          <w:rPr>
            <w:vertAlign w:val="superscript"/>
          </w:rPr>
          <w:t>153</w:t>
        </w:r>
      </w:hyperlink>
    </w:p>
    <w:p>
      <w:pPr>
        <w:pStyle w:val="BodyText"/>
        <w:spacing w:line="276" w:lineRule="auto" w:before="240"/>
        <w:ind w:left="458" w:right="533"/>
        <w:jc w:val="both"/>
      </w:pPr>
      <w:r>
        <w:rPr/>
        <w:t>There</w:t>
      </w:r>
      <w:r>
        <w:rPr>
          <w:spacing w:val="-13"/>
        </w:rPr>
        <w:t> </w:t>
      </w:r>
      <w:r>
        <w:rPr/>
        <w:t>are</w:t>
      </w:r>
      <w:r>
        <w:rPr>
          <w:spacing w:val="-12"/>
        </w:rPr>
        <w:t> </w:t>
      </w:r>
      <w:r>
        <w:rPr/>
        <w:t>already</w:t>
      </w:r>
      <w:r>
        <w:rPr>
          <w:spacing w:val="-13"/>
        </w:rPr>
        <w:t> </w:t>
      </w:r>
      <w:r>
        <w:rPr/>
        <w:t>a</w:t>
      </w:r>
      <w:r>
        <w:rPr>
          <w:spacing w:val="-12"/>
        </w:rPr>
        <w:t> </w:t>
      </w:r>
      <w:r>
        <w:rPr/>
        <w:t>number</w:t>
      </w:r>
      <w:r>
        <w:rPr>
          <w:spacing w:val="-13"/>
        </w:rPr>
        <w:t> </w:t>
      </w:r>
      <w:r>
        <w:rPr/>
        <w:t>of</w:t>
      </w:r>
      <w:r>
        <w:rPr>
          <w:spacing w:val="-12"/>
        </w:rPr>
        <w:t> </w:t>
      </w:r>
      <w:r>
        <w:rPr/>
        <w:t>models</w:t>
      </w:r>
      <w:r>
        <w:rPr>
          <w:spacing w:val="-13"/>
        </w:rPr>
        <w:t> </w:t>
      </w:r>
      <w:r>
        <w:rPr/>
        <w:t>for</w:t>
      </w:r>
      <w:r>
        <w:rPr>
          <w:spacing w:val="-12"/>
        </w:rPr>
        <w:t> </w:t>
      </w:r>
      <w:r>
        <w:rPr/>
        <w:t>incorporating</w:t>
      </w:r>
      <w:r>
        <w:rPr>
          <w:spacing w:val="-12"/>
        </w:rPr>
        <w:t> </w:t>
      </w:r>
      <w:r>
        <w:rPr/>
        <w:t>youths</w:t>
      </w:r>
      <w:r>
        <w:rPr>
          <w:spacing w:val="-13"/>
        </w:rPr>
        <w:t> </w:t>
      </w:r>
      <w:r>
        <w:rPr/>
        <w:t>into</w:t>
      </w:r>
      <w:r>
        <w:rPr>
          <w:spacing w:val="-12"/>
        </w:rPr>
        <w:t> </w:t>
      </w:r>
      <w:r>
        <w:rPr/>
        <w:t>advocacy</w:t>
      </w:r>
      <w:r>
        <w:rPr>
          <w:spacing w:val="-13"/>
        </w:rPr>
        <w:t> </w:t>
      </w:r>
      <w:r>
        <w:rPr/>
        <w:t>efforts,</w:t>
      </w:r>
      <w:r>
        <w:rPr>
          <w:spacing w:val="-12"/>
        </w:rPr>
        <w:t> </w:t>
      </w:r>
      <w:r>
        <w:rPr/>
        <w:t>from</w:t>
      </w:r>
      <w:r>
        <w:rPr>
          <w:spacing w:val="-13"/>
        </w:rPr>
        <w:t> </w:t>
      </w:r>
      <w:r>
        <w:rPr/>
        <w:t>peer</w:t>
      </w:r>
      <w:r>
        <w:rPr>
          <w:spacing w:val="-12"/>
        </w:rPr>
        <w:t> </w:t>
      </w:r>
      <w:r>
        <w:rPr/>
        <w:t>health education</w:t>
      </w:r>
      <w:r>
        <w:rPr>
          <w:spacing w:val="-4"/>
        </w:rPr>
        <w:t> </w:t>
      </w:r>
      <w:r>
        <w:rPr/>
        <w:t>programs</w:t>
      </w:r>
      <w:r>
        <w:rPr>
          <w:spacing w:val="-3"/>
        </w:rPr>
        <w:t> </w:t>
      </w:r>
      <w:r>
        <w:rPr/>
        <w:t>to</w:t>
      </w:r>
      <w:r>
        <w:rPr>
          <w:spacing w:val="-3"/>
        </w:rPr>
        <w:t> </w:t>
      </w:r>
      <w:r>
        <w:rPr/>
        <w:t>youth</w:t>
      </w:r>
      <w:r>
        <w:rPr>
          <w:spacing w:val="-4"/>
        </w:rPr>
        <w:t> </w:t>
      </w:r>
      <w:r>
        <w:rPr/>
        <w:t>representatives</w:t>
      </w:r>
      <w:r>
        <w:rPr>
          <w:spacing w:val="-3"/>
        </w:rPr>
        <w:t> </w:t>
      </w:r>
      <w:r>
        <w:rPr/>
        <w:t>and</w:t>
      </w:r>
      <w:r>
        <w:rPr>
          <w:spacing w:val="-4"/>
        </w:rPr>
        <w:t> </w:t>
      </w:r>
      <w:r>
        <w:rPr/>
        <w:t>councils</w:t>
      </w:r>
      <w:hyperlink w:history="true" w:anchor="_bookmark102">
        <w:r>
          <w:rPr/>
          <w:t>.</w:t>
        </w:r>
        <w:r>
          <w:rPr>
            <w:vertAlign w:val="superscript"/>
          </w:rPr>
          <w:t>154</w:t>
        </w:r>
      </w:hyperlink>
      <w:r>
        <w:rPr>
          <w:spacing w:val="-4"/>
          <w:vertAlign w:val="baseline"/>
        </w:rPr>
        <w:t> </w:t>
      </w:r>
      <w:r>
        <w:rPr>
          <w:vertAlign w:val="baseline"/>
        </w:rPr>
        <w:t>For</w:t>
      </w:r>
      <w:r>
        <w:rPr>
          <w:spacing w:val="-2"/>
          <w:vertAlign w:val="baseline"/>
        </w:rPr>
        <w:t> </w:t>
      </w:r>
      <w:r>
        <w:rPr>
          <w:vertAlign w:val="baseline"/>
        </w:rPr>
        <w:t>example,</w:t>
      </w:r>
      <w:r>
        <w:rPr>
          <w:spacing w:val="-2"/>
          <w:vertAlign w:val="baseline"/>
        </w:rPr>
        <w:t> </w:t>
      </w:r>
      <w:r>
        <w:rPr>
          <w:vertAlign w:val="baseline"/>
        </w:rPr>
        <w:t>the</w:t>
      </w:r>
      <w:r>
        <w:rPr>
          <w:spacing w:val="-3"/>
          <w:vertAlign w:val="baseline"/>
        </w:rPr>
        <w:t> </w:t>
      </w:r>
      <w:r>
        <w:rPr>
          <w:vertAlign w:val="baseline"/>
        </w:rPr>
        <w:t>International</w:t>
      </w:r>
      <w:r>
        <w:rPr>
          <w:spacing w:val="-3"/>
          <w:vertAlign w:val="baseline"/>
        </w:rPr>
        <w:t> </w:t>
      </w:r>
      <w:r>
        <w:rPr>
          <w:vertAlign w:val="baseline"/>
        </w:rPr>
        <w:t>Planned Parenthood Federation passed a resolution in 2001 that strongly encouraged member organizations to aim for at least 20% youth participation in their leadership structures.</w:t>
      </w:r>
      <w:r>
        <w:rPr>
          <w:vertAlign w:val="superscript"/>
        </w:rPr>
        <w:t>155</w:t>
      </w:r>
      <w:r>
        <w:rPr>
          <w:vertAlign w:val="baseline"/>
        </w:rPr>
        <w:t> Across Massachusetts, some</w:t>
      </w:r>
      <w:r>
        <w:rPr>
          <w:spacing w:val="-7"/>
          <w:vertAlign w:val="baseline"/>
        </w:rPr>
        <w:t> </w:t>
      </w:r>
      <w:r>
        <w:rPr>
          <w:vertAlign w:val="baseline"/>
        </w:rPr>
        <w:t>examples</w:t>
      </w:r>
      <w:r>
        <w:rPr>
          <w:spacing w:val="-6"/>
          <w:vertAlign w:val="baseline"/>
        </w:rPr>
        <w:t> </w:t>
      </w:r>
      <w:r>
        <w:rPr>
          <w:vertAlign w:val="baseline"/>
        </w:rPr>
        <w:t>-</w:t>
      </w:r>
      <w:r>
        <w:rPr>
          <w:spacing w:val="-7"/>
          <w:vertAlign w:val="baseline"/>
        </w:rPr>
        <w:t> </w:t>
      </w:r>
      <w:r>
        <w:rPr>
          <w:vertAlign w:val="baseline"/>
        </w:rPr>
        <w:t>though</w:t>
      </w:r>
      <w:r>
        <w:rPr>
          <w:spacing w:val="-7"/>
          <w:vertAlign w:val="baseline"/>
        </w:rPr>
        <w:t> </w:t>
      </w:r>
      <w:r>
        <w:rPr>
          <w:vertAlign w:val="baseline"/>
        </w:rPr>
        <w:t>not</w:t>
      </w:r>
      <w:r>
        <w:rPr>
          <w:spacing w:val="-7"/>
          <w:vertAlign w:val="baseline"/>
        </w:rPr>
        <w:t> </w:t>
      </w:r>
      <w:r>
        <w:rPr>
          <w:vertAlign w:val="baseline"/>
        </w:rPr>
        <w:t>the</w:t>
      </w:r>
      <w:r>
        <w:rPr>
          <w:spacing w:val="-7"/>
          <w:vertAlign w:val="baseline"/>
        </w:rPr>
        <w:t> </w:t>
      </w:r>
      <w:r>
        <w:rPr>
          <w:vertAlign w:val="baseline"/>
        </w:rPr>
        <w:t>only</w:t>
      </w:r>
      <w:r>
        <w:rPr>
          <w:spacing w:val="-6"/>
          <w:vertAlign w:val="baseline"/>
        </w:rPr>
        <w:t> </w:t>
      </w:r>
      <w:r>
        <w:rPr>
          <w:vertAlign w:val="baseline"/>
        </w:rPr>
        <w:t>-</w:t>
      </w:r>
      <w:r>
        <w:rPr>
          <w:spacing w:val="-5"/>
          <w:vertAlign w:val="baseline"/>
        </w:rPr>
        <w:t> </w:t>
      </w:r>
      <w:r>
        <w:rPr>
          <w:vertAlign w:val="baseline"/>
        </w:rPr>
        <w:t>of</w:t>
      </w:r>
      <w:r>
        <w:rPr>
          <w:spacing w:val="-6"/>
          <w:vertAlign w:val="baseline"/>
        </w:rPr>
        <w:t> </w:t>
      </w:r>
      <w:r>
        <w:rPr>
          <w:vertAlign w:val="baseline"/>
        </w:rPr>
        <w:t>this</w:t>
      </w:r>
      <w:r>
        <w:rPr>
          <w:spacing w:val="-6"/>
          <w:vertAlign w:val="baseline"/>
        </w:rPr>
        <w:t> </w:t>
      </w:r>
      <w:r>
        <w:rPr>
          <w:vertAlign w:val="baseline"/>
        </w:rPr>
        <w:t>model</w:t>
      </w:r>
      <w:r>
        <w:rPr>
          <w:spacing w:val="-5"/>
          <w:vertAlign w:val="baseline"/>
        </w:rPr>
        <w:t> </w:t>
      </w:r>
      <w:r>
        <w:rPr>
          <w:vertAlign w:val="baseline"/>
        </w:rPr>
        <w:t>would</w:t>
      </w:r>
      <w:r>
        <w:rPr>
          <w:spacing w:val="-7"/>
          <w:vertAlign w:val="baseline"/>
        </w:rPr>
        <w:t> </w:t>
      </w:r>
      <w:r>
        <w:rPr>
          <w:vertAlign w:val="baseline"/>
        </w:rPr>
        <w:t>be</w:t>
      </w:r>
      <w:r>
        <w:rPr>
          <w:spacing w:val="-6"/>
          <w:vertAlign w:val="baseline"/>
        </w:rPr>
        <w:t> </w:t>
      </w:r>
      <w:r>
        <w:rPr>
          <w:vertAlign w:val="baseline"/>
        </w:rPr>
        <w:t>the</w:t>
      </w:r>
      <w:r>
        <w:rPr>
          <w:spacing w:val="-6"/>
          <w:vertAlign w:val="baseline"/>
        </w:rPr>
        <w:t> </w:t>
      </w:r>
      <w:r>
        <w:rPr>
          <w:vertAlign w:val="baseline"/>
        </w:rPr>
        <w:t>Start</w:t>
      </w:r>
      <w:r>
        <w:rPr>
          <w:spacing w:val="-7"/>
          <w:vertAlign w:val="baseline"/>
        </w:rPr>
        <w:t> </w:t>
      </w:r>
      <w:r>
        <w:rPr>
          <w:vertAlign w:val="baseline"/>
        </w:rPr>
        <w:t>Strong</w:t>
      </w:r>
      <w:r>
        <w:rPr>
          <w:spacing w:val="-7"/>
          <w:vertAlign w:val="baseline"/>
        </w:rPr>
        <w:t> </w:t>
      </w:r>
      <w:r>
        <w:rPr>
          <w:vertAlign w:val="baseline"/>
        </w:rPr>
        <w:t>program</w:t>
      </w:r>
      <w:r>
        <w:rPr>
          <w:spacing w:val="-7"/>
          <w:vertAlign w:val="baseline"/>
        </w:rPr>
        <w:t> </w:t>
      </w:r>
      <w:r>
        <w:rPr>
          <w:vertAlign w:val="baseline"/>
        </w:rPr>
        <w:t>hosted</w:t>
      </w:r>
      <w:r>
        <w:rPr>
          <w:spacing w:val="-7"/>
          <w:vertAlign w:val="baseline"/>
        </w:rPr>
        <w:t> </w:t>
      </w:r>
      <w:r>
        <w:rPr>
          <w:vertAlign w:val="baseline"/>
        </w:rPr>
        <w:t>by</w:t>
      </w:r>
      <w:r>
        <w:rPr>
          <w:spacing w:val="-6"/>
          <w:vertAlign w:val="baseline"/>
        </w:rPr>
        <w:t> </w:t>
      </w:r>
      <w:r>
        <w:rPr>
          <w:vertAlign w:val="baseline"/>
        </w:rPr>
        <w:t>the Boston</w:t>
      </w:r>
      <w:r>
        <w:rPr>
          <w:spacing w:val="-13"/>
          <w:vertAlign w:val="baseline"/>
        </w:rPr>
        <w:t> </w:t>
      </w:r>
      <w:r>
        <w:rPr>
          <w:vertAlign w:val="baseline"/>
        </w:rPr>
        <w:t>Public</w:t>
      </w:r>
      <w:r>
        <w:rPr>
          <w:spacing w:val="-12"/>
          <w:vertAlign w:val="baseline"/>
        </w:rPr>
        <w:t> </w:t>
      </w:r>
      <w:r>
        <w:rPr>
          <w:vertAlign w:val="baseline"/>
        </w:rPr>
        <w:t>Health</w:t>
      </w:r>
      <w:r>
        <w:rPr>
          <w:spacing w:val="-13"/>
          <w:vertAlign w:val="baseline"/>
        </w:rPr>
        <w:t> </w:t>
      </w:r>
      <w:r>
        <w:rPr>
          <w:vertAlign w:val="baseline"/>
        </w:rPr>
        <w:t>Commission,</w:t>
      </w:r>
      <w:r>
        <w:rPr>
          <w:spacing w:val="-12"/>
          <w:vertAlign w:val="baseline"/>
        </w:rPr>
        <w:t> </w:t>
      </w:r>
      <w:r>
        <w:rPr>
          <w:vertAlign w:val="baseline"/>
        </w:rPr>
        <w:t>a</w:t>
      </w:r>
      <w:r>
        <w:rPr>
          <w:spacing w:val="-13"/>
          <w:vertAlign w:val="baseline"/>
        </w:rPr>
        <w:t> </w:t>
      </w:r>
      <w:r>
        <w:rPr>
          <w:vertAlign w:val="baseline"/>
        </w:rPr>
        <w:t>high</w:t>
      </w:r>
      <w:r>
        <w:rPr>
          <w:spacing w:val="-12"/>
          <w:vertAlign w:val="baseline"/>
        </w:rPr>
        <w:t> </w:t>
      </w:r>
      <w:r>
        <w:rPr>
          <w:vertAlign w:val="baseline"/>
        </w:rPr>
        <w:t>school</w:t>
      </w:r>
      <w:r>
        <w:rPr>
          <w:spacing w:val="-13"/>
          <w:vertAlign w:val="baseline"/>
        </w:rPr>
        <w:t> </w:t>
      </w:r>
      <w:r>
        <w:rPr>
          <w:vertAlign w:val="baseline"/>
        </w:rPr>
        <w:t>peer</w:t>
      </w:r>
      <w:r>
        <w:rPr>
          <w:spacing w:val="-12"/>
          <w:vertAlign w:val="baseline"/>
        </w:rPr>
        <w:t> </w:t>
      </w:r>
      <w:r>
        <w:rPr>
          <w:vertAlign w:val="baseline"/>
        </w:rPr>
        <w:t>leadership</w:t>
      </w:r>
      <w:r>
        <w:rPr>
          <w:spacing w:val="-12"/>
          <w:vertAlign w:val="baseline"/>
        </w:rPr>
        <w:t> </w:t>
      </w:r>
      <w:r>
        <w:rPr>
          <w:vertAlign w:val="baseline"/>
        </w:rPr>
        <w:t>program</w:t>
      </w:r>
      <w:r>
        <w:rPr>
          <w:spacing w:val="-13"/>
          <w:vertAlign w:val="baseline"/>
        </w:rPr>
        <w:t> </w:t>
      </w:r>
      <w:r>
        <w:rPr>
          <w:vertAlign w:val="baseline"/>
        </w:rPr>
        <w:t>designed</w:t>
      </w:r>
      <w:r>
        <w:rPr>
          <w:spacing w:val="-12"/>
          <w:vertAlign w:val="baseline"/>
        </w:rPr>
        <w:t> </w:t>
      </w:r>
      <w:r>
        <w:rPr>
          <w:vertAlign w:val="baseline"/>
        </w:rPr>
        <w:t>to</w:t>
      </w:r>
      <w:r>
        <w:rPr>
          <w:spacing w:val="-13"/>
          <w:vertAlign w:val="baseline"/>
        </w:rPr>
        <w:t> </w:t>
      </w:r>
      <w:r>
        <w:rPr>
          <w:vertAlign w:val="baseline"/>
        </w:rPr>
        <w:t>promote</w:t>
      </w:r>
      <w:r>
        <w:rPr>
          <w:spacing w:val="-12"/>
          <w:vertAlign w:val="baseline"/>
        </w:rPr>
        <w:t> </w:t>
      </w:r>
      <w:r>
        <w:rPr>
          <w:vertAlign w:val="baseline"/>
        </w:rPr>
        <w:t>healthy relationships and change attitudes towards teen dating violence through peer education. </w:t>
      </w:r>
      <w:r>
        <w:rPr>
          <w:vertAlign w:val="superscript"/>
        </w:rPr>
        <w:t>156</w:t>
      </w:r>
      <w:r>
        <w:rPr>
          <w:vertAlign w:val="baseline"/>
        </w:rPr>
        <w:t> Advocates</w:t>
      </w:r>
      <w:r>
        <w:rPr>
          <w:spacing w:val="-13"/>
          <w:vertAlign w:val="baseline"/>
        </w:rPr>
        <w:t> </w:t>
      </w:r>
      <w:r>
        <w:rPr>
          <w:vertAlign w:val="baseline"/>
        </w:rPr>
        <w:t>for</w:t>
      </w:r>
      <w:r>
        <w:rPr>
          <w:spacing w:val="-12"/>
          <w:vertAlign w:val="baseline"/>
        </w:rPr>
        <w:t> </w:t>
      </w:r>
      <w:r>
        <w:rPr>
          <w:vertAlign w:val="baseline"/>
        </w:rPr>
        <w:t>Youth,</w:t>
      </w:r>
      <w:r>
        <w:rPr>
          <w:spacing w:val="-13"/>
          <w:vertAlign w:val="baseline"/>
        </w:rPr>
        <w:t> </w:t>
      </w:r>
      <w:r>
        <w:rPr>
          <w:vertAlign w:val="baseline"/>
        </w:rPr>
        <w:t>a</w:t>
      </w:r>
      <w:r>
        <w:rPr>
          <w:spacing w:val="-12"/>
          <w:vertAlign w:val="baseline"/>
        </w:rPr>
        <w:t> </w:t>
      </w:r>
      <w:r>
        <w:rPr>
          <w:vertAlign w:val="baseline"/>
        </w:rPr>
        <w:t>youth-led</w:t>
      </w:r>
      <w:r>
        <w:rPr>
          <w:spacing w:val="-13"/>
          <w:vertAlign w:val="baseline"/>
        </w:rPr>
        <w:t> </w:t>
      </w:r>
      <w:r>
        <w:rPr>
          <w:vertAlign w:val="baseline"/>
        </w:rPr>
        <w:t>and</w:t>
      </w:r>
      <w:r>
        <w:rPr>
          <w:spacing w:val="-12"/>
          <w:vertAlign w:val="baseline"/>
        </w:rPr>
        <w:t> </w:t>
      </w:r>
      <w:r>
        <w:rPr>
          <w:vertAlign w:val="baseline"/>
        </w:rPr>
        <w:t>adult-supported</w:t>
      </w:r>
      <w:r>
        <w:rPr>
          <w:spacing w:val="-13"/>
          <w:vertAlign w:val="baseline"/>
        </w:rPr>
        <w:t> </w:t>
      </w:r>
      <w:r>
        <w:rPr>
          <w:vertAlign w:val="baseline"/>
        </w:rPr>
        <w:t>sexual</w:t>
      </w:r>
      <w:r>
        <w:rPr>
          <w:spacing w:val="-12"/>
          <w:vertAlign w:val="baseline"/>
        </w:rPr>
        <w:t> </w:t>
      </w:r>
      <w:r>
        <w:rPr>
          <w:vertAlign w:val="baseline"/>
        </w:rPr>
        <w:t>health</w:t>
      </w:r>
      <w:r>
        <w:rPr>
          <w:spacing w:val="-12"/>
          <w:vertAlign w:val="baseline"/>
        </w:rPr>
        <w:t> </w:t>
      </w:r>
      <w:r>
        <w:rPr>
          <w:vertAlign w:val="baseline"/>
        </w:rPr>
        <w:t>and</w:t>
      </w:r>
      <w:r>
        <w:rPr>
          <w:spacing w:val="-13"/>
          <w:vertAlign w:val="baseline"/>
        </w:rPr>
        <w:t> </w:t>
      </w:r>
      <w:r>
        <w:rPr>
          <w:vertAlign w:val="baseline"/>
        </w:rPr>
        <w:t>reproductive</w:t>
      </w:r>
      <w:r>
        <w:rPr>
          <w:spacing w:val="-12"/>
          <w:vertAlign w:val="baseline"/>
        </w:rPr>
        <w:t> </w:t>
      </w:r>
      <w:r>
        <w:rPr>
          <w:vertAlign w:val="baseline"/>
        </w:rPr>
        <w:t>justice</w:t>
      </w:r>
      <w:r>
        <w:rPr>
          <w:spacing w:val="-13"/>
          <w:vertAlign w:val="baseline"/>
        </w:rPr>
        <w:t> </w:t>
      </w:r>
      <w:r>
        <w:rPr>
          <w:vertAlign w:val="baseline"/>
        </w:rPr>
        <w:t>advocacy group,</w:t>
      </w:r>
      <w:r>
        <w:rPr>
          <w:spacing w:val="-7"/>
          <w:vertAlign w:val="baseline"/>
        </w:rPr>
        <w:t> </w:t>
      </w:r>
      <w:r>
        <w:rPr>
          <w:vertAlign w:val="baseline"/>
        </w:rPr>
        <w:t>continues</w:t>
      </w:r>
      <w:r>
        <w:rPr>
          <w:spacing w:val="-7"/>
          <w:vertAlign w:val="baseline"/>
        </w:rPr>
        <w:t> </w:t>
      </w:r>
      <w:r>
        <w:rPr>
          <w:vertAlign w:val="baseline"/>
        </w:rPr>
        <w:t>to</w:t>
      </w:r>
      <w:r>
        <w:rPr>
          <w:spacing w:val="-7"/>
          <w:vertAlign w:val="baseline"/>
        </w:rPr>
        <w:t> </w:t>
      </w:r>
      <w:r>
        <w:rPr>
          <w:vertAlign w:val="baseline"/>
        </w:rPr>
        <w:t>lead</w:t>
      </w:r>
      <w:r>
        <w:rPr>
          <w:spacing w:val="-8"/>
          <w:vertAlign w:val="baseline"/>
        </w:rPr>
        <w:t> </w:t>
      </w:r>
      <w:r>
        <w:rPr>
          <w:vertAlign w:val="baseline"/>
        </w:rPr>
        <w:t>the</w:t>
      </w:r>
      <w:r>
        <w:rPr>
          <w:spacing w:val="-8"/>
          <w:vertAlign w:val="baseline"/>
        </w:rPr>
        <w:t> </w:t>
      </w:r>
      <w:r>
        <w:rPr>
          <w:vertAlign w:val="baseline"/>
        </w:rPr>
        <w:t>charge</w:t>
      </w:r>
      <w:r>
        <w:rPr>
          <w:spacing w:val="-8"/>
          <w:vertAlign w:val="baseline"/>
        </w:rPr>
        <w:t> </w:t>
      </w:r>
      <w:r>
        <w:rPr>
          <w:vertAlign w:val="baseline"/>
        </w:rPr>
        <w:t>on</w:t>
      </w:r>
      <w:r>
        <w:rPr>
          <w:spacing w:val="-7"/>
          <w:vertAlign w:val="baseline"/>
        </w:rPr>
        <w:t> </w:t>
      </w:r>
      <w:r>
        <w:rPr>
          <w:vertAlign w:val="baseline"/>
        </w:rPr>
        <w:t>today’s</w:t>
      </w:r>
      <w:r>
        <w:rPr>
          <w:spacing w:val="-7"/>
          <w:vertAlign w:val="baseline"/>
        </w:rPr>
        <w:t> </w:t>
      </w:r>
      <w:r>
        <w:rPr>
          <w:vertAlign w:val="baseline"/>
        </w:rPr>
        <w:t>most</w:t>
      </w:r>
      <w:r>
        <w:rPr>
          <w:spacing w:val="-8"/>
          <w:vertAlign w:val="baseline"/>
        </w:rPr>
        <w:t> </w:t>
      </w:r>
      <w:r>
        <w:rPr>
          <w:vertAlign w:val="baseline"/>
        </w:rPr>
        <w:t>relevant</w:t>
      </w:r>
      <w:r>
        <w:rPr>
          <w:spacing w:val="-8"/>
          <w:vertAlign w:val="baseline"/>
        </w:rPr>
        <w:t> </w:t>
      </w:r>
      <w:r>
        <w:rPr>
          <w:vertAlign w:val="baseline"/>
        </w:rPr>
        <w:t>and</w:t>
      </w:r>
      <w:r>
        <w:rPr>
          <w:spacing w:val="-8"/>
          <w:vertAlign w:val="baseline"/>
        </w:rPr>
        <w:t> </w:t>
      </w:r>
      <w:r>
        <w:rPr>
          <w:vertAlign w:val="baseline"/>
        </w:rPr>
        <w:t>pressing</w:t>
      </w:r>
      <w:r>
        <w:rPr>
          <w:spacing w:val="-8"/>
          <w:vertAlign w:val="baseline"/>
        </w:rPr>
        <w:t> </w:t>
      </w:r>
      <w:r>
        <w:rPr>
          <w:vertAlign w:val="baseline"/>
        </w:rPr>
        <w:t>reproductive</w:t>
      </w:r>
      <w:r>
        <w:rPr>
          <w:spacing w:val="-8"/>
          <w:vertAlign w:val="baseline"/>
        </w:rPr>
        <w:t> </w:t>
      </w:r>
      <w:r>
        <w:rPr>
          <w:vertAlign w:val="baseline"/>
        </w:rPr>
        <w:t>justice</w:t>
      </w:r>
      <w:r>
        <w:rPr>
          <w:spacing w:val="-8"/>
          <w:vertAlign w:val="baseline"/>
        </w:rPr>
        <w:t> </w:t>
      </w:r>
      <w:r>
        <w:rPr>
          <w:vertAlign w:val="baseline"/>
        </w:rPr>
        <w:t>issues. </w:t>
      </w:r>
      <w:r>
        <w:rPr>
          <w:vertAlign w:val="superscript"/>
        </w:rPr>
        <w:t>157</w:t>
      </w:r>
      <w:r>
        <w:rPr>
          <w:vertAlign w:val="baseline"/>
        </w:rPr>
        <w:t> Lastly, Winthrop CASA, a local organization that supports youth through community engagement, has</w:t>
      </w:r>
      <w:r>
        <w:rPr>
          <w:spacing w:val="-7"/>
          <w:vertAlign w:val="baseline"/>
        </w:rPr>
        <w:t> </w:t>
      </w:r>
      <w:r>
        <w:rPr>
          <w:vertAlign w:val="baseline"/>
        </w:rPr>
        <w:t>a</w:t>
      </w:r>
      <w:r>
        <w:rPr>
          <w:spacing w:val="-7"/>
          <w:vertAlign w:val="baseline"/>
        </w:rPr>
        <w:t> </w:t>
      </w:r>
      <w:r>
        <w:rPr>
          <w:vertAlign w:val="baseline"/>
        </w:rPr>
        <w:t>public</w:t>
      </w:r>
      <w:r>
        <w:rPr>
          <w:spacing w:val="-7"/>
          <w:vertAlign w:val="baseline"/>
        </w:rPr>
        <w:t> </w:t>
      </w:r>
      <w:r>
        <w:rPr>
          <w:vertAlign w:val="baseline"/>
        </w:rPr>
        <w:t>health</w:t>
      </w:r>
      <w:r>
        <w:rPr>
          <w:spacing w:val="-7"/>
          <w:vertAlign w:val="baseline"/>
        </w:rPr>
        <w:t> </w:t>
      </w:r>
      <w:r>
        <w:rPr>
          <w:vertAlign w:val="baseline"/>
        </w:rPr>
        <w:t>Youth</w:t>
      </w:r>
      <w:r>
        <w:rPr>
          <w:spacing w:val="-7"/>
          <w:vertAlign w:val="baseline"/>
        </w:rPr>
        <w:t> </w:t>
      </w:r>
      <w:r>
        <w:rPr>
          <w:vertAlign w:val="baseline"/>
        </w:rPr>
        <w:t>Advisory</w:t>
      </w:r>
      <w:r>
        <w:rPr>
          <w:spacing w:val="-7"/>
          <w:vertAlign w:val="baseline"/>
        </w:rPr>
        <w:t> </w:t>
      </w:r>
      <w:r>
        <w:rPr>
          <w:vertAlign w:val="baseline"/>
        </w:rPr>
        <w:t>Board</w:t>
      </w:r>
      <w:r>
        <w:rPr>
          <w:spacing w:val="-9"/>
          <w:vertAlign w:val="baseline"/>
        </w:rPr>
        <w:t> </w:t>
      </w:r>
      <w:r>
        <w:rPr>
          <w:vertAlign w:val="baseline"/>
        </w:rPr>
        <w:t>that</w:t>
      </w:r>
      <w:r>
        <w:rPr>
          <w:spacing w:val="-7"/>
          <w:vertAlign w:val="baseline"/>
        </w:rPr>
        <w:t> </w:t>
      </w:r>
      <w:r>
        <w:rPr>
          <w:vertAlign w:val="baseline"/>
        </w:rPr>
        <w:t>helps</w:t>
      </w:r>
      <w:r>
        <w:rPr>
          <w:spacing w:val="-7"/>
          <w:vertAlign w:val="baseline"/>
        </w:rPr>
        <w:t> </w:t>
      </w:r>
      <w:r>
        <w:rPr>
          <w:vertAlign w:val="baseline"/>
        </w:rPr>
        <w:t>develop</w:t>
      </w:r>
      <w:r>
        <w:rPr>
          <w:spacing w:val="-8"/>
          <w:vertAlign w:val="baseline"/>
        </w:rPr>
        <w:t> </w:t>
      </w:r>
      <w:r>
        <w:rPr>
          <w:vertAlign w:val="baseline"/>
        </w:rPr>
        <w:t>CASA’s</w:t>
      </w:r>
      <w:r>
        <w:rPr>
          <w:spacing w:val="-6"/>
          <w:vertAlign w:val="baseline"/>
        </w:rPr>
        <w:t> </w:t>
      </w:r>
      <w:r>
        <w:rPr>
          <w:vertAlign w:val="baseline"/>
        </w:rPr>
        <w:t>programming.</w:t>
      </w:r>
      <w:r>
        <w:rPr>
          <w:vertAlign w:val="superscript"/>
        </w:rPr>
        <w:t>158</w:t>
      </w:r>
      <w:r>
        <w:rPr>
          <w:spacing w:val="-8"/>
          <w:vertAlign w:val="baseline"/>
        </w:rPr>
        <w:t> </w:t>
      </w:r>
      <w:r>
        <w:rPr>
          <w:vertAlign w:val="baseline"/>
        </w:rPr>
        <w:t>The</w:t>
      </w:r>
      <w:r>
        <w:rPr>
          <w:spacing w:val="-8"/>
          <w:vertAlign w:val="baseline"/>
        </w:rPr>
        <w:t> </w:t>
      </w:r>
      <w:r>
        <w:rPr>
          <w:vertAlign w:val="baseline"/>
        </w:rPr>
        <w:t>Commission highlights the important need of funding and supporting LGBTQ-specific youth groups and advocacy organizations, as there remain very few in the more rural and underserved areas of the state.</w:t>
      </w:r>
    </w:p>
    <w:p>
      <w:pPr>
        <w:pStyle w:val="BodyText"/>
        <w:spacing w:line="276" w:lineRule="auto" w:before="241"/>
        <w:ind w:left="460" w:right="531"/>
        <w:jc w:val="both"/>
      </w:pPr>
      <w:r>
        <w:rPr/>
        <w:t>The following table illustrates some of the organizations that are currently serving LGBTQ youths in Massachusetts, from social clubs and family support networks to advocacy groups and legal counsel. Many of these organizations rely on peer education, peer mentorship, or youth leadership council </w:t>
      </w:r>
      <w:r>
        <w:rPr>
          <w:spacing w:val="-2"/>
        </w:rPr>
        <w:t>models.</w:t>
      </w:r>
    </w:p>
    <w:p>
      <w:pPr>
        <w:spacing w:after="0" w:line="276" w:lineRule="auto"/>
        <w:jc w:val="both"/>
        <w:sectPr>
          <w:headerReference w:type="default" r:id="rId140"/>
          <w:footerReference w:type="default" r:id="rId141"/>
          <w:pgSz w:w="11910" w:h="16840"/>
          <w:pgMar w:header="804" w:footer="1277" w:top="1080" w:bottom="1460" w:left="980" w:right="900"/>
        </w:sectPr>
      </w:pPr>
    </w:p>
    <w:p>
      <w:pPr>
        <w:pStyle w:val="BodyText"/>
        <w:rPr>
          <w:sz w:val="20"/>
        </w:rPr>
      </w:pPr>
    </w:p>
    <w:p>
      <w:pPr>
        <w:pStyle w:val="BodyText"/>
        <w:spacing w:before="9"/>
        <w:rPr>
          <w:sz w:val="20"/>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5"/>
        <w:gridCol w:w="3953"/>
      </w:tblGrid>
      <w:tr>
        <w:trPr>
          <w:trHeight w:val="429" w:hRule="atLeast"/>
        </w:trPr>
        <w:tc>
          <w:tcPr>
            <w:tcW w:w="9018" w:type="dxa"/>
            <w:gridSpan w:val="2"/>
            <w:tcBorders>
              <w:top w:val="single" w:sz="4" w:space="0" w:color="000000"/>
              <w:left w:val="single" w:sz="4" w:space="0" w:color="000000"/>
              <w:right w:val="single" w:sz="4" w:space="0" w:color="000000"/>
            </w:tcBorders>
            <w:shd w:val="clear" w:color="auto" w:fill="C5E0F8"/>
          </w:tcPr>
          <w:p>
            <w:pPr>
              <w:pStyle w:val="TableParagraph"/>
              <w:ind w:left="16"/>
              <w:jc w:val="center"/>
              <w:rPr>
                <w:b/>
                <w:sz w:val="22"/>
              </w:rPr>
            </w:pPr>
            <w:r>
              <w:rPr>
                <w:b/>
                <w:color w:val="095292"/>
                <w:sz w:val="22"/>
              </w:rPr>
              <w:t>Local</w:t>
            </w:r>
            <w:r>
              <w:rPr>
                <w:b/>
                <w:color w:val="095292"/>
                <w:spacing w:val="-8"/>
                <w:sz w:val="22"/>
              </w:rPr>
              <w:t> </w:t>
            </w:r>
            <w:r>
              <w:rPr>
                <w:b/>
                <w:color w:val="095292"/>
                <w:sz w:val="22"/>
              </w:rPr>
              <w:t>and</w:t>
            </w:r>
            <w:r>
              <w:rPr>
                <w:b/>
                <w:color w:val="095292"/>
                <w:spacing w:val="-9"/>
                <w:sz w:val="22"/>
              </w:rPr>
              <w:t> </w:t>
            </w:r>
            <w:r>
              <w:rPr>
                <w:b/>
                <w:color w:val="095292"/>
                <w:sz w:val="22"/>
              </w:rPr>
              <w:t>National</w:t>
            </w:r>
            <w:r>
              <w:rPr>
                <w:b/>
                <w:color w:val="095292"/>
                <w:spacing w:val="-8"/>
                <w:sz w:val="22"/>
              </w:rPr>
              <w:t> </w:t>
            </w:r>
            <w:r>
              <w:rPr>
                <w:b/>
                <w:color w:val="095292"/>
                <w:sz w:val="22"/>
              </w:rPr>
              <w:t>LGBTQ</w:t>
            </w:r>
            <w:r>
              <w:rPr>
                <w:b/>
                <w:color w:val="095292"/>
                <w:spacing w:val="-8"/>
                <w:sz w:val="22"/>
              </w:rPr>
              <w:t> </w:t>
            </w:r>
            <w:r>
              <w:rPr>
                <w:b/>
                <w:color w:val="095292"/>
                <w:sz w:val="22"/>
              </w:rPr>
              <w:t>Youth</w:t>
            </w:r>
            <w:r>
              <w:rPr>
                <w:b/>
                <w:color w:val="095292"/>
                <w:spacing w:val="-9"/>
                <w:sz w:val="22"/>
              </w:rPr>
              <w:t> </w:t>
            </w:r>
            <w:r>
              <w:rPr>
                <w:b/>
                <w:color w:val="095292"/>
                <w:sz w:val="22"/>
              </w:rPr>
              <w:t>Support</w:t>
            </w:r>
            <w:r>
              <w:rPr>
                <w:b/>
                <w:color w:val="095292"/>
                <w:spacing w:val="-9"/>
                <w:sz w:val="22"/>
              </w:rPr>
              <w:t> </w:t>
            </w:r>
            <w:r>
              <w:rPr>
                <w:b/>
                <w:color w:val="095292"/>
                <w:spacing w:val="-2"/>
                <w:sz w:val="22"/>
              </w:rPr>
              <w:t>Resources</w:t>
            </w:r>
          </w:p>
        </w:tc>
      </w:tr>
      <w:tr>
        <w:trPr>
          <w:trHeight w:val="428" w:hRule="atLeast"/>
        </w:trPr>
        <w:tc>
          <w:tcPr>
            <w:tcW w:w="5065" w:type="dxa"/>
            <w:tcBorders>
              <w:left w:val="single" w:sz="4" w:space="0" w:color="000000"/>
            </w:tcBorders>
          </w:tcPr>
          <w:p>
            <w:pPr>
              <w:pStyle w:val="TableParagraph"/>
              <w:ind w:left="4" w:right="10"/>
              <w:jc w:val="center"/>
              <w:rPr>
                <w:sz w:val="22"/>
              </w:rPr>
            </w:pPr>
            <w:r>
              <w:rPr>
                <w:color w:val="095292"/>
                <w:sz w:val="22"/>
              </w:rPr>
              <w:t>Advocates</w:t>
            </w:r>
            <w:r>
              <w:rPr>
                <w:color w:val="095292"/>
                <w:spacing w:val="-9"/>
                <w:sz w:val="22"/>
              </w:rPr>
              <w:t> </w:t>
            </w:r>
            <w:r>
              <w:rPr>
                <w:color w:val="095292"/>
                <w:sz w:val="22"/>
              </w:rPr>
              <w:t>for</w:t>
            </w:r>
            <w:r>
              <w:rPr>
                <w:color w:val="095292"/>
                <w:spacing w:val="-8"/>
                <w:sz w:val="22"/>
              </w:rPr>
              <w:t> </w:t>
            </w:r>
            <w:r>
              <w:rPr>
                <w:color w:val="095292"/>
                <w:spacing w:val="-4"/>
                <w:sz w:val="22"/>
              </w:rPr>
              <w:t>Youth</w:t>
            </w:r>
          </w:p>
        </w:tc>
        <w:tc>
          <w:tcPr>
            <w:tcW w:w="3953" w:type="dxa"/>
            <w:tcBorders>
              <w:right w:val="single" w:sz="4" w:space="0" w:color="000000"/>
            </w:tcBorders>
          </w:tcPr>
          <w:p>
            <w:pPr>
              <w:pStyle w:val="TableParagraph"/>
              <w:ind w:left="3" w:right="3"/>
              <w:jc w:val="center"/>
              <w:rPr>
                <w:sz w:val="22"/>
              </w:rPr>
            </w:pPr>
            <w:r>
              <w:rPr>
                <w:color w:val="095292"/>
                <w:sz w:val="22"/>
              </w:rPr>
              <w:t>Hispanic</w:t>
            </w:r>
            <w:r>
              <w:rPr>
                <w:color w:val="095292"/>
                <w:spacing w:val="-9"/>
                <w:sz w:val="22"/>
              </w:rPr>
              <w:t> </w:t>
            </w:r>
            <w:r>
              <w:rPr>
                <w:color w:val="095292"/>
                <w:sz w:val="22"/>
              </w:rPr>
              <w:t>Black</w:t>
            </w:r>
            <w:r>
              <w:rPr>
                <w:color w:val="095292"/>
                <w:spacing w:val="-8"/>
                <w:sz w:val="22"/>
              </w:rPr>
              <w:t> </w:t>
            </w:r>
            <w:r>
              <w:rPr>
                <w:color w:val="095292"/>
                <w:sz w:val="22"/>
              </w:rPr>
              <w:t>Gay</w:t>
            </w:r>
            <w:r>
              <w:rPr>
                <w:color w:val="095292"/>
                <w:spacing w:val="-6"/>
                <w:sz w:val="22"/>
              </w:rPr>
              <w:t> </w:t>
            </w:r>
            <w:r>
              <w:rPr>
                <w:color w:val="095292"/>
                <w:sz w:val="22"/>
              </w:rPr>
              <w:t>Coalition</w:t>
            </w:r>
            <w:r>
              <w:rPr>
                <w:color w:val="095292"/>
                <w:spacing w:val="-8"/>
                <w:sz w:val="22"/>
              </w:rPr>
              <w:t> </w:t>
            </w:r>
            <w:r>
              <w:rPr>
                <w:color w:val="095292"/>
                <w:spacing w:val="-2"/>
                <w:sz w:val="22"/>
              </w:rPr>
              <w:t>(HBGC)</w:t>
            </w:r>
          </w:p>
        </w:tc>
      </w:tr>
      <w:tr>
        <w:trPr>
          <w:trHeight w:val="428" w:hRule="atLeast"/>
        </w:trPr>
        <w:tc>
          <w:tcPr>
            <w:tcW w:w="5065" w:type="dxa"/>
            <w:tcBorders>
              <w:left w:val="single" w:sz="4" w:space="0" w:color="000000"/>
            </w:tcBorders>
            <w:shd w:val="clear" w:color="auto" w:fill="C5E0F8"/>
          </w:tcPr>
          <w:p>
            <w:pPr>
              <w:pStyle w:val="TableParagraph"/>
              <w:ind w:left="4" w:right="10"/>
              <w:jc w:val="center"/>
              <w:rPr>
                <w:sz w:val="22"/>
              </w:rPr>
            </w:pPr>
            <w:r>
              <w:rPr>
                <w:color w:val="095292"/>
                <w:sz w:val="22"/>
              </w:rPr>
              <w:t>AIDS</w:t>
            </w:r>
            <w:r>
              <w:rPr>
                <w:color w:val="095292"/>
                <w:spacing w:val="-10"/>
                <w:sz w:val="22"/>
              </w:rPr>
              <w:t> </w:t>
            </w:r>
            <w:r>
              <w:rPr>
                <w:color w:val="095292"/>
                <w:sz w:val="22"/>
              </w:rPr>
              <w:t>Action</w:t>
            </w:r>
            <w:r>
              <w:rPr>
                <w:color w:val="095292"/>
                <w:spacing w:val="-9"/>
                <w:sz w:val="22"/>
              </w:rPr>
              <w:t> </w:t>
            </w:r>
            <w:r>
              <w:rPr>
                <w:color w:val="095292"/>
                <w:sz w:val="22"/>
              </w:rPr>
              <w:t>Committee</w:t>
            </w:r>
            <w:r>
              <w:rPr>
                <w:color w:val="095292"/>
                <w:spacing w:val="-9"/>
                <w:sz w:val="22"/>
              </w:rPr>
              <w:t> </w:t>
            </w:r>
            <w:r>
              <w:rPr>
                <w:color w:val="095292"/>
                <w:spacing w:val="-2"/>
                <w:sz w:val="22"/>
              </w:rPr>
              <w:t>Massachusetts</w:t>
            </w:r>
          </w:p>
        </w:tc>
        <w:tc>
          <w:tcPr>
            <w:tcW w:w="3953" w:type="dxa"/>
            <w:tcBorders>
              <w:right w:val="single" w:sz="4" w:space="0" w:color="000000"/>
            </w:tcBorders>
            <w:shd w:val="clear" w:color="auto" w:fill="C5E0F8"/>
          </w:tcPr>
          <w:p>
            <w:pPr>
              <w:pStyle w:val="TableParagraph"/>
              <w:ind w:left="3" w:right="2"/>
              <w:jc w:val="center"/>
              <w:rPr>
                <w:sz w:val="22"/>
              </w:rPr>
            </w:pPr>
            <w:r>
              <w:rPr>
                <w:color w:val="095292"/>
                <w:sz w:val="22"/>
              </w:rPr>
              <w:t>It</w:t>
            </w:r>
            <w:r>
              <w:rPr>
                <w:color w:val="095292"/>
                <w:spacing w:val="-6"/>
                <w:sz w:val="22"/>
              </w:rPr>
              <w:t> </w:t>
            </w:r>
            <w:r>
              <w:rPr>
                <w:color w:val="095292"/>
                <w:sz w:val="22"/>
              </w:rPr>
              <w:t>Gets</w:t>
            </w:r>
            <w:r>
              <w:rPr>
                <w:color w:val="095292"/>
                <w:spacing w:val="-7"/>
                <w:sz w:val="22"/>
              </w:rPr>
              <w:t> </w:t>
            </w:r>
            <w:r>
              <w:rPr>
                <w:color w:val="095292"/>
                <w:sz w:val="22"/>
              </w:rPr>
              <w:t>Better</w:t>
            </w:r>
            <w:r>
              <w:rPr>
                <w:color w:val="095292"/>
                <w:spacing w:val="-5"/>
                <w:sz w:val="22"/>
              </w:rPr>
              <w:t> </w:t>
            </w:r>
            <w:r>
              <w:rPr>
                <w:color w:val="095292"/>
                <w:spacing w:val="-2"/>
                <w:sz w:val="22"/>
              </w:rPr>
              <w:t>Project</w:t>
            </w:r>
          </w:p>
        </w:tc>
      </w:tr>
      <w:tr>
        <w:trPr>
          <w:trHeight w:val="429" w:hRule="atLeast"/>
        </w:trPr>
        <w:tc>
          <w:tcPr>
            <w:tcW w:w="5065" w:type="dxa"/>
            <w:tcBorders>
              <w:left w:val="single" w:sz="4" w:space="0" w:color="000000"/>
            </w:tcBorders>
          </w:tcPr>
          <w:p>
            <w:pPr>
              <w:pStyle w:val="TableParagraph"/>
              <w:ind w:left="5" w:right="10"/>
              <w:jc w:val="center"/>
              <w:rPr>
                <w:sz w:val="22"/>
              </w:rPr>
            </w:pPr>
            <w:r>
              <w:rPr>
                <w:color w:val="095292"/>
                <w:sz w:val="22"/>
              </w:rPr>
              <w:t>AIDS</w:t>
            </w:r>
            <w:r>
              <w:rPr>
                <w:color w:val="095292"/>
                <w:spacing w:val="-10"/>
                <w:sz w:val="22"/>
              </w:rPr>
              <w:t> </w:t>
            </w:r>
            <w:r>
              <w:rPr>
                <w:color w:val="095292"/>
                <w:sz w:val="22"/>
              </w:rPr>
              <w:t>Project</w:t>
            </w:r>
            <w:r>
              <w:rPr>
                <w:color w:val="095292"/>
                <w:spacing w:val="-9"/>
                <w:sz w:val="22"/>
              </w:rPr>
              <w:t> </w:t>
            </w:r>
            <w:r>
              <w:rPr>
                <w:color w:val="095292"/>
                <w:sz w:val="22"/>
              </w:rPr>
              <w:t>Worcester</w:t>
            </w:r>
            <w:r>
              <w:rPr>
                <w:color w:val="095292"/>
                <w:spacing w:val="-10"/>
                <w:sz w:val="22"/>
              </w:rPr>
              <w:t> </w:t>
            </w:r>
            <w:r>
              <w:rPr>
                <w:color w:val="095292"/>
                <w:spacing w:val="-2"/>
                <w:sz w:val="22"/>
              </w:rPr>
              <w:t>(APW)</w:t>
            </w:r>
          </w:p>
        </w:tc>
        <w:tc>
          <w:tcPr>
            <w:tcW w:w="3953" w:type="dxa"/>
            <w:tcBorders>
              <w:right w:val="single" w:sz="4" w:space="0" w:color="000000"/>
            </w:tcBorders>
          </w:tcPr>
          <w:p>
            <w:pPr>
              <w:pStyle w:val="TableParagraph"/>
              <w:ind w:left="3" w:right="2"/>
              <w:jc w:val="center"/>
              <w:rPr>
                <w:sz w:val="22"/>
              </w:rPr>
            </w:pPr>
            <w:r>
              <w:rPr>
                <w:color w:val="095292"/>
                <w:sz w:val="22"/>
              </w:rPr>
              <w:t>Lesbians</w:t>
            </w:r>
            <w:r>
              <w:rPr>
                <w:color w:val="095292"/>
                <w:spacing w:val="-9"/>
                <w:sz w:val="22"/>
              </w:rPr>
              <w:t> </w:t>
            </w:r>
            <w:r>
              <w:rPr>
                <w:color w:val="095292"/>
                <w:sz w:val="22"/>
              </w:rPr>
              <w:t>of</w:t>
            </w:r>
            <w:r>
              <w:rPr>
                <w:color w:val="095292"/>
                <w:spacing w:val="-8"/>
                <w:sz w:val="22"/>
              </w:rPr>
              <w:t> </w:t>
            </w:r>
            <w:r>
              <w:rPr>
                <w:color w:val="095292"/>
                <w:sz w:val="22"/>
              </w:rPr>
              <w:t>Color</w:t>
            </w:r>
            <w:r>
              <w:rPr>
                <w:color w:val="095292"/>
                <w:spacing w:val="-9"/>
                <w:sz w:val="22"/>
              </w:rPr>
              <w:t> </w:t>
            </w:r>
            <w:r>
              <w:rPr>
                <w:color w:val="095292"/>
                <w:sz w:val="22"/>
              </w:rPr>
              <w:t>Symposium</w:t>
            </w:r>
            <w:r>
              <w:rPr>
                <w:color w:val="095292"/>
                <w:spacing w:val="-8"/>
                <w:sz w:val="22"/>
              </w:rPr>
              <w:t> </w:t>
            </w:r>
            <w:r>
              <w:rPr>
                <w:color w:val="095292"/>
                <w:spacing w:val="-2"/>
                <w:sz w:val="22"/>
              </w:rPr>
              <w:t>(LOCS)</w:t>
            </w:r>
          </w:p>
        </w:tc>
      </w:tr>
      <w:tr>
        <w:trPr>
          <w:trHeight w:val="858" w:hRule="atLeast"/>
        </w:trPr>
        <w:tc>
          <w:tcPr>
            <w:tcW w:w="5065" w:type="dxa"/>
            <w:tcBorders>
              <w:left w:val="single" w:sz="4" w:space="0" w:color="000000"/>
            </w:tcBorders>
            <w:shd w:val="clear" w:color="auto" w:fill="C5E0F8"/>
          </w:tcPr>
          <w:p>
            <w:pPr>
              <w:pStyle w:val="TableParagraph"/>
              <w:ind w:left="2" w:right="10"/>
              <w:jc w:val="center"/>
              <w:rPr>
                <w:sz w:val="22"/>
              </w:rPr>
            </w:pPr>
            <w:r>
              <w:rPr>
                <w:color w:val="095292"/>
                <w:sz w:val="22"/>
              </w:rPr>
              <w:t>BAGLY</w:t>
            </w:r>
            <w:r>
              <w:rPr>
                <w:color w:val="095292"/>
                <w:spacing w:val="-8"/>
                <w:sz w:val="22"/>
              </w:rPr>
              <w:t> </w:t>
            </w:r>
            <w:r>
              <w:rPr>
                <w:color w:val="095292"/>
                <w:sz w:val="22"/>
              </w:rPr>
              <w:t>(The</w:t>
            </w:r>
            <w:r>
              <w:rPr>
                <w:color w:val="095292"/>
                <w:spacing w:val="-7"/>
                <w:sz w:val="22"/>
              </w:rPr>
              <w:t> </w:t>
            </w:r>
            <w:r>
              <w:rPr>
                <w:color w:val="095292"/>
                <w:sz w:val="22"/>
              </w:rPr>
              <w:t>Boston</w:t>
            </w:r>
            <w:r>
              <w:rPr>
                <w:color w:val="095292"/>
                <w:spacing w:val="-7"/>
                <w:sz w:val="22"/>
              </w:rPr>
              <w:t> </w:t>
            </w:r>
            <w:r>
              <w:rPr>
                <w:color w:val="095292"/>
                <w:sz w:val="22"/>
              </w:rPr>
              <w:t>Alliance</w:t>
            </w:r>
            <w:r>
              <w:rPr>
                <w:color w:val="095292"/>
                <w:spacing w:val="-7"/>
                <w:sz w:val="22"/>
              </w:rPr>
              <w:t> </w:t>
            </w:r>
            <w:r>
              <w:rPr>
                <w:color w:val="095292"/>
                <w:sz w:val="22"/>
              </w:rPr>
              <w:t>of</w:t>
            </w:r>
            <w:r>
              <w:rPr>
                <w:color w:val="095292"/>
                <w:spacing w:val="-7"/>
                <w:sz w:val="22"/>
              </w:rPr>
              <w:t> </w:t>
            </w:r>
            <w:r>
              <w:rPr>
                <w:color w:val="095292"/>
                <w:sz w:val="22"/>
              </w:rPr>
              <w:t>Gay,</w:t>
            </w:r>
            <w:r>
              <w:rPr>
                <w:color w:val="095292"/>
                <w:spacing w:val="-8"/>
                <w:sz w:val="22"/>
              </w:rPr>
              <w:t> </w:t>
            </w:r>
            <w:r>
              <w:rPr>
                <w:color w:val="095292"/>
                <w:sz w:val="22"/>
              </w:rPr>
              <w:t>Lesbian,</w:t>
            </w:r>
            <w:r>
              <w:rPr>
                <w:color w:val="095292"/>
                <w:spacing w:val="-7"/>
                <w:sz w:val="22"/>
              </w:rPr>
              <w:t> </w:t>
            </w:r>
            <w:r>
              <w:rPr>
                <w:color w:val="095292"/>
                <w:spacing w:val="-2"/>
                <w:sz w:val="22"/>
              </w:rPr>
              <w:t>Bisexual</w:t>
            </w:r>
          </w:p>
          <w:p>
            <w:pPr>
              <w:pStyle w:val="TableParagraph"/>
              <w:spacing w:before="160"/>
              <w:ind w:left="2" w:right="10"/>
              <w:jc w:val="center"/>
              <w:rPr>
                <w:sz w:val="22"/>
              </w:rPr>
            </w:pPr>
            <w:r>
              <w:rPr>
                <w:color w:val="095292"/>
                <w:sz w:val="22"/>
              </w:rPr>
              <w:t>and</w:t>
            </w:r>
            <w:r>
              <w:rPr>
                <w:color w:val="095292"/>
                <w:spacing w:val="-11"/>
                <w:sz w:val="22"/>
              </w:rPr>
              <w:t> </w:t>
            </w:r>
            <w:r>
              <w:rPr>
                <w:color w:val="095292"/>
                <w:sz w:val="22"/>
              </w:rPr>
              <w:t>Transgender</w:t>
            </w:r>
            <w:r>
              <w:rPr>
                <w:color w:val="095292"/>
                <w:spacing w:val="-10"/>
                <w:sz w:val="22"/>
              </w:rPr>
              <w:t> </w:t>
            </w:r>
            <w:r>
              <w:rPr>
                <w:color w:val="095292"/>
                <w:spacing w:val="-2"/>
                <w:sz w:val="22"/>
              </w:rPr>
              <w:t>Youth)</w:t>
            </w:r>
          </w:p>
        </w:tc>
        <w:tc>
          <w:tcPr>
            <w:tcW w:w="3953" w:type="dxa"/>
            <w:tcBorders>
              <w:right w:val="single" w:sz="4" w:space="0" w:color="000000"/>
            </w:tcBorders>
            <w:shd w:val="clear" w:color="auto" w:fill="C5E0F8"/>
          </w:tcPr>
          <w:p>
            <w:pPr>
              <w:pStyle w:val="TableParagraph"/>
              <w:ind w:left="3" w:right="4"/>
              <w:jc w:val="center"/>
              <w:rPr>
                <w:sz w:val="22"/>
              </w:rPr>
            </w:pPr>
            <w:r>
              <w:rPr>
                <w:color w:val="095292"/>
                <w:sz w:val="22"/>
              </w:rPr>
              <w:t>MAP</w:t>
            </w:r>
            <w:r>
              <w:rPr>
                <w:color w:val="095292"/>
                <w:spacing w:val="-9"/>
                <w:sz w:val="22"/>
              </w:rPr>
              <w:t> </w:t>
            </w:r>
            <w:r>
              <w:rPr>
                <w:color w:val="095292"/>
                <w:sz w:val="22"/>
              </w:rPr>
              <w:t>(Massachusetts</w:t>
            </w:r>
            <w:r>
              <w:rPr>
                <w:color w:val="095292"/>
                <w:spacing w:val="-7"/>
                <w:sz w:val="22"/>
              </w:rPr>
              <w:t> </w:t>
            </w:r>
            <w:r>
              <w:rPr>
                <w:color w:val="095292"/>
                <w:sz w:val="22"/>
              </w:rPr>
              <w:t>Asian</w:t>
            </w:r>
            <w:r>
              <w:rPr>
                <w:color w:val="095292"/>
                <w:spacing w:val="-9"/>
                <w:sz w:val="22"/>
              </w:rPr>
              <w:t> </w:t>
            </w:r>
            <w:r>
              <w:rPr>
                <w:color w:val="095292"/>
                <w:sz w:val="22"/>
              </w:rPr>
              <w:t>+</w:t>
            </w:r>
            <w:r>
              <w:rPr>
                <w:color w:val="095292"/>
                <w:spacing w:val="-9"/>
                <w:sz w:val="22"/>
              </w:rPr>
              <w:t> </w:t>
            </w:r>
            <w:r>
              <w:rPr>
                <w:color w:val="095292"/>
                <w:spacing w:val="-2"/>
                <w:sz w:val="22"/>
              </w:rPr>
              <w:t>Pacific</w:t>
            </w:r>
          </w:p>
          <w:p>
            <w:pPr>
              <w:pStyle w:val="TableParagraph"/>
              <w:spacing w:before="160"/>
              <w:ind w:left="3" w:right="2"/>
              <w:jc w:val="center"/>
              <w:rPr>
                <w:sz w:val="22"/>
              </w:rPr>
            </w:pPr>
            <w:r>
              <w:rPr>
                <w:color w:val="095292"/>
                <w:sz w:val="22"/>
              </w:rPr>
              <w:t>Islanders)</w:t>
            </w:r>
            <w:r>
              <w:rPr>
                <w:color w:val="095292"/>
                <w:spacing w:val="-7"/>
                <w:sz w:val="22"/>
              </w:rPr>
              <w:t> </w:t>
            </w:r>
            <w:r>
              <w:rPr>
                <w:color w:val="095292"/>
                <w:sz w:val="22"/>
              </w:rPr>
              <w:t>for</w:t>
            </w:r>
            <w:r>
              <w:rPr>
                <w:color w:val="095292"/>
                <w:spacing w:val="-8"/>
                <w:sz w:val="22"/>
              </w:rPr>
              <w:t> </w:t>
            </w:r>
            <w:r>
              <w:rPr>
                <w:color w:val="095292"/>
                <w:spacing w:val="-2"/>
                <w:sz w:val="22"/>
              </w:rPr>
              <w:t>Health</w:t>
            </w:r>
          </w:p>
        </w:tc>
      </w:tr>
      <w:tr>
        <w:trPr>
          <w:trHeight w:val="428" w:hRule="atLeast"/>
        </w:trPr>
        <w:tc>
          <w:tcPr>
            <w:tcW w:w="5065" w:type="dxa"/>
            <w:tcBorders>
              <w:left w:val="single" w:sz="4" w:space="0" w:color="000000"/>
            </w:tcBorders>
          </w:tcPr>
          <w:p>
            <w:pPr>
              <w:pStyle w:val="TableParagraph"/>
              <w:ind w:left="4" w:right="10"/>
              <w:jc w:val="center"/>
              <w:rPr>
                <w:sz w:val="22"/>
              </w:rPr>
            </w:pPr>
            <w:r>
              <w:rPr>
                <w:color w:val="095292"/>
                <w:sz w:val="22"/>
              </w:rPr>
              <w:t>Boston</w:t>
            </w:r>
            <w:r>
              <w:rPr>
                <w:color w:val="095292"/>
                <w:spacing w:val="-12"/>
                <w:sz w:val="22"/>
              </w:rPr>
              <w:t> </w:t>
            </w:r>
            <w:r>
              <w:rPr>
                <w:color w:val="095292"/>
                <w:sz w:val="22"/>
              </w:rPr>
              <w:t>Area</w:t>
            </w:r>
            <w:r>
              <w:rPr>
                <w:color w:val="095292"/>
                <w:spacing w:val="-11"/>
                <w:sz w:val="22"/>
              </w:rPr>
              <w:t> </w:t>
            </w:r>
            <w:r>
              <w:rPr>
                <w:color w:val="095292"/>
                <w:sz w:val="22"/>
              </w:rPr>
              <w:t>Transgender</w:t>
            </w:r>
            <w:r>
              <w:rPr>
                <w:color w:val="095292"/>
                <w:spacing w:val="-9"/>
                <w:sz w:val="22"/>
              </w:rPr>
              <w:t> </w:t>
            </w:r>
            <w:r>
              <w:rPr>
                <w:color w:val="095292"/>
                <w:sz w:val="22"/>
              </w:rPr>
              <w:t>Support</w:t>
            </w:r>
            <w:r>
              <w:rPr>
                <w:color w:val="095292"/>
                <w:spacing w:val="-10"/>
                <w:sz w:val="22"/>
              </w:rPr>
              <w:t> </w:t>
            </w:r>
            <w:r>
              <w:rPr>
                <w:color w:val="095292"/>
                <w:spacing w:val="-2"/>
                <w:sz w:val="22"/>
              </w:rPr>
              <w:t>(BATS)</w:t>
            </w:r>
          </w:p>
        </w:tc>
        <w:tc>
          <w:tcPr>
            <w:tcW w:w="3953" w:type="dxa"/>
            <w:tcBorders>
              <w:right w:val="single" w:sz="4" w:space="0" w:color="000000"/>
            </w:tcBorders>
          </w:tcPr>
          <w:p>
            <w:pPr>
              <w:pStyle w:val="TableParagraph"/>
              <w:ind w:left="3" w:right="3"/>
              <w:jc w:val="center"/>
              <w:rPr>
                <w:sz w:val="22"/>
              </w:rPr>
            </w:pPr>
            <w:r>
              <w:rPr>
                <w:color w:val="095292"/>
                <w:sz w:val="22"/>
              </w:rPr>
              <w:t>Out</w:t>
            </w:r>
            <w:r>
              <w:rPr>
                <w:color w:val="095292"/>
                <w:spacing w:val="-6"/>
                <w:sz w:val="22"/>
              </w:rPr>
              <w:t> </w:t>
            </w:r>
            <w:r>
              <w:rPr>
                <w:color w:val="095292"/>
                <w:spacing w:val="-5"/>
                <w:sz w:val="22"/>
              </w:rPr>
              <w:t>Now</w:t>
            </w:r>
          </w:p>
        </w:tc>
      </w:tr>
      <w:tr>
        <w:trPr>
          <w:trHeight w:val="428" w:hRule="atLeast"/>
        </w:trPr>
        <w:tc>
          <w:tcPr>
            <w:tcW w:w="5065" w:type="dxa"/>
            <w:tcBorders>
              <w:left w:val="single" w:sz="4" w:space="0" w:color="000000"/>
            </w:tcBorders>
            <w:shd w:val="clear" w:color="auto" w:fill="C5E0F8"/>
          </w:tcPr>
          <w:p>
            <w:pPr>
              <w:pStyle w:val="TableParagraph"/>
              <w:ind w:left="5" w:right="10"/>
              <w:jc w:val="center"/>
              <w:rPr>
                <w:sz w:val="22"/>
              </w:rPr>
            </w:pPr>
            <w:r>
              <w:rPr>
                <w:color w:val="095292"/>
                <w:sz w:val="22"/>
              </w:rPr>
              <w:t>Boston</w:t>
            </w:r>
            <w:r>
              <w:rPr>
                <w:color w:val="095292"/>
                <w:spacing w:val="-9"/>
                <w:sz w:val="22"/>
              </w:rPr>
              <w:t> </w:t>
            </w:r>
            <w:r>
              <w:rPr>
                <w:color w:val="095292"/>
                <w:spacing w:val="-2"/>
                <w:sz w:val="22"/>
              </w:rPr>
              <w:t>GLASS</w:t>
            </w:r>
          </w:p>
        </w:tc>
        <w:tc>
          <w:tcPr>
            <w:tcW w:w="3953" w:type="dxa"/>
            <w:tcBorders>
              <w:right w:val="single" w:sz="4" w:space="0" w:color="000000"/>
            </w:tcBorders>
            <w:shd w:val="clear" w:color="auto" w:fill="C5E0F8"/>
          </w:tcPr>
          <w:p>
            <w:pPr>
              <w:pStyle w:val="TableParagraph"/>
              <w:ind w:left="3" w:right="1"/>
              <w:jc w:val="center"/>
              <w:rPr>
                <w:sz w:val="22"/>
              </w:rPr>
            </w:pPr>
            <w:r>
              <w:rPr>
                <w:color w:val="095292"/>
                <w:sz w:val="22"/>
              </w:rPr>
              <w:t>Peer</w:t>
            </w:r>
            <w:r>
              <w:rPr>
                <w:color w:val="095292"/>
                <w:spacing w:val="-10"/>
                <w:sz w:val="22"/>
              </w:rPr>
              <w:t> </w:t>
            </w:r>
            <w:r>
              <w:rPr>
                <w:color w:val="095292"/>
                <w:sz w:val="22"/>
              </w:rPr>
              <w:t>Health</w:t>
            </w:r>
            <w:r>
              <w:rPr>
                <w:color w:val="095292"/>
                <w:spacing w:val="-6"/>
                <w:sz w:val="22"/>
              </w:rPr>
              <w:t> </w:t>
            </w:r>
            <w:r>
              <w:rPr>
                <w:color w:val="095292"/>
                <w:spacing w:val="-2"/>
                <w:sz w:val="22"/>
              </w:rPr>
              <w:t>Exchange</w:t>
            </w:r>
          </w:p>
        </w:tc>
      </w:tr>
      <w:tr>
        <w:trPr>
          <w:trHeight w:val="858" w:hRule="atLeast"/>
        </w:trPr>
        <w:tc>
          <w:tcPr>
            <w:tcW w:w="5065" w:type="dxa"/>
            <w:tcBorders>
              <w:left w:val="single" w:sz="4" w:space="0" w:color="000000"/>
            </w:tcBorders>
          </w:tcPr>
          <w:p>
            <w:pPr>
              <w:pStyle w:val="TableParagraph"/>
              <w:ind w:right="10"/>
              <w:jc w:val="center"/>
              <w:rPr>
                <w:sz w:val="22"/>
              </w:rPr>
            </w:pPr>
            <w:r>
              <w:rPr>
                <w:color w:val="095292"/>
                <w:sz w:val="22"/>
              </w:rPr>
              <w:t>Cape</w:t>
            </w:r>
            <w:r>
              <w:rPr>
                <w:color w:val="095292"/>
                <w:spacing w:val="-7"/>
                <w:sz w:val="22"/>
              </w:rPr>
              <w:t> </w:t>
            </w:r>
            <w:r>
              <w:rPr>
                <w:color w:val="095292"/>
                <w:sz w:val="22"/>
              </w:rPr>
              <w:t>and</w:t>
            </w:r>
            <w:r>
              <w:rPr>
                <w:color w:val="095292"/>
                <w:spacing w:val="-6"/>
                <w:sz w:val="22"/>
              </w:rPr>
              <w:t> </w:t>
            </w:r>
            <w:r>
              <w:rPr>
                <w:color w:val="095292"/>
                <w:sz w:val="22"/>
              </w:rPr>
              <w:t>Islands</w:t>
            </w:r>
            <w:r>
              <w:rPr>
                <w:color w:val="095292"/>
                <w:spacing w:val="-7"/>
                <w:sz w:val="22"/>
              </w:rPr>
              <w:t> </w:t>
            </w:r>
            <w:r>
              <w:rPr>
                <w:color w:val="095292"/>
                <w:sz w:val="22"/>
              </w:rPr>
              <w:t>Gay</w:t>
            </w:r>
            <w:r>
              <w:rPr>
                <w:color w:val="095292"/>
                <w:spacing w:val="-6"/>
                <w:sz w:val="22"/>
              </w:rPr>
              <w:t> </w:t>
            </w:r>
            <w:r>
              <w:rPr>
                <w:color w:val="095292"/>
                <w:sz w:val="22"/>
              </w:rPr>
              <w:t>&amp;</w:t>
            </w:r>
            <w:r>
              <w:rPr>
                <w:color w:val="095292"/>
                <w:spacing w:val="-7"/>
                <w:sz w:val="22"/>
              </w:rPr>
              <w:t> </w:t>
            </w:r>
            <w:r>
              <w:rPr>
                <w:color w:val="095292"/>
                <w:sz w:val="22"/>
              </w:rPr>
              <w:t>Straight</w:t>
            </w:r>
            <w:r>
              <w:rPr>
                <w:color w:val="095292"/>
                <w:spacing w:val="-6"/>
                <w:sz w:val="22"/>
              </w:rPr>
              <w:t> </w:t>
            </w:r>
            <w:r>
              <w:rPr>
                <w:color w:val="095292"/>
                <w:sz w:val="22"/>
              </w:rPr>
              <w:t>Youth</w:t>
            </w:r>
            <w:r>
              <w:rPr>
                <w:color w:val="095292"/>
                <w:spacing w:val="-6"/>
                <w:sz w:val="22"/>
              </w:rPr>
              <w:t> </w:t>
            </w:r>
            <w:r>
              <w:rPr>
                <w:color w:val="095292"/>
                <w:spacing w:val="-2"/>
                <w:sz w:val="22"/>
              </w:rPr>
              <w:t>Alliance</w:t>
            </w:r>
          </w:p>
          <w:p>
            <w:pPr>
              <w:pStyle w:val="TableParagraph"/>
              <w:spacing w:before="161"/>
              <w:ind w:left="2" w:right="10"/>
              <w:jc w:val="center"/>
              <w:rPr>
                <w:sz w:val="22"/>
              </w:rPr>
            </w:pPr>
            <w:r>
              <w:rPr>
                <w:color w:val="095292"/>
                <w:spacing w:val="-2"/>
                <w:sz w:val="22"/>
              </w:rPr>
              <w:t>(CIGSYA)</w:t>
            </w:r>
          </w:p>
        </w:tc>
        <w:tc>
          <w:tcPr>
            <w:tcW w:w="3953" w:type="dxa"/>
            <w:tcBorders>
              <w:right w:val="single" w:sz="4" w:space="0" w:color="000000"/>
            </w:tcBorders>
          </w:tcPr>
          <w:p>
            <w:pPr>
              <w:pStyle w:val="TableParagraph"/>
              <w:ind w:left="3" w:right="1"/>
              <w:jc w:val="center"/>
              <w:rPr>
                <w:sz w:val="22"/>
              </w:rPr>
            </w:pPr>
            <w:r>
              <w:rPr>
                <w:color w:val="095292"/>
                <w:spacing w:val="-4"/>
                <w:sz w:val="22"/>
              </w:rPr>
              <w:t>PFLAG</w:t>
            </w:r>
          </w:p>
        </w:tc>
      </w:tr>
      <w:tr>
        <w:trPr>
          <w:trHeight w:val="428" w:hRule="atLeast"/>
        </w:trPr>
        <w:tc>
          <w:tcPr>
            <w:tcW w:w="5065" w:type="dxa"/>
            <w:tcBorders>
              <w:left w:val="single" w:sz="4" w:space="0" w:color="000000"/>
            </w:tcBorders>
            <w:shd w:val="clear" w:color="auto" w:fill="C5E0F8"/>
          </w:tcPr>
          <w:p>
            <w:pPr>
              <w:pStyle w:val="TableParagraph"/>
              <w:ind w:left="2" w:right="10"/>
              <w:jc w:val="center"/>
              <w:rPr>
                <w:sz w:val="22"/>
              </w:rPr>
            </w:pPr>
            <w:r>
              <w:rPr>
                <w:color w:val="095292"/>
                <w:spacing w:val="-2"/>
                <w:sz w:val="22"/>
              </w:rPr>
              <w:t>Gender-Sexuality</w:t>
            </w:r>
            <w:r>
              <w:rPr>
                <w:color w:val="095292"/>
                <w:spacing w:val="9"/>
                <w:sz w:val="22"/>
              </w:rPr>
              <w:t> </w:t>
            </w:r>
            <w:r>
              <w:rPr>
                <w:color w:val="095292"/>
                <w:spacing w:val="-2"/>
                <w:sz w:val="22"/>
              </w:rPr>
              <w:t>Alliances</w:t>
            </w:r>
            <w:r>
              <w:rPr>
                <w:color w:val="095292"/>
                <w:spacing w:val="12"/>
                <w:sz w:val="22"/>
              </w:rPr>
              <w:t> </w:t>
            </w:r>
            <w:r>
              <w:rPr>
                <w:color w:val="095292"/>
                <w:spacing w:val="-2"/>
                <w:sz w:val="22"/>
              </w:rPr>
              <w:t>(GSAs)</w:t>
            </w:r>
          </w:p>
        </w:tc>
        <w:tc>
          <w:tcPr>
            <w:tcW w:w="3953" w:type="dxa"/>
            <w:tcBorders>
              <w:right w:val="single" w:sz="4" w:space="0" w:color="000000"/>
            </w:tcBorders>
            <w:shd w:val="clear" w:color="auto" w:fill="C5E0F8"/>
          </w:tcPr>
          <w:p>
            <w:pPr>
              <w:pStyle w:val="TableParagraph"/>
              <w:ind w:left="3" w:right="2"/>
              <w:jc w:val="center"/>
              <w:rPr>
                <w:sz w:val="22"/>
              </w:rPr>
            </w:pPr>
            <w:r>
              <w:rPr>
                <w:color w:val="095292"/>
                <w:sz w:val="22"/>
              </w:rPr>
              <w:t>Roxbury</w:t>
            </w:r>
            <w:r>
              <w:rPr>
                <w:color w:val="095292"/>
                <w:spacing w:val="-10"/>
                <w:sz w:val="22"/>
              </w:rPr>
              <w:t> </w:t>
            </w:r>
            <w:r>
              <w:rPr>
                <w:color w:val="095292"/>
                <w:sz w:val="22"/>
              </w:rPr>
              <w:t>Youth</w:t>
            </w:r>
            <w:r>
              <w:rPr>
                <w:color w:val="095292"/>
                <w:spacing w:val="-10"/>
                <w:sz w:val="22"/>
              </w:rPr>
              <w:t> </w:t>
            </w:r>
            <w:r>
              <w:rPr>
                <w:color w:val="095292"/>
                <w:spacing w:val="-2"/>
                <w:sz w:val="22"/>
              </w:rPr>
              <w:t>Works</w:t>
            </w:r>
          </w:p>
        </w:tc>
      </w:tr>
      <w:tr>
        <w:trPr>
          <w:trHeight w:val="429" w:hRule="atLeast"/>
        </w:trPr>
        <w:tc>
          <w:tcPr>
            <w:tcW w:w="5065" w:type="dxa"/>
            <w:tcBorders>
              <w:left w:val="single" w:sz="4" w:space="0" w:color="000000"/>
            </w:tcBorders>
          </w:tcPr>
          <w:p>
            <w:pPr>
              <w:pStyle w:val="TableParagraph"/>
              <w:ind w:left="7" w:right="10"/>
              <w:jc w:val="center"/>
              <w:rPr>
                <w:sz w:val="22"/>
              </w:rPr>
            </w:pPr>
            <w:r>
              <w:rPr>
                <w:color w:val="095292"/>
                <w:spacing w:val="-2"/>
                <w:sz w:val="22"/>
              </w:rPr>
              <w:t>Generation</w:t>
            </w:r>
            <w:r>
              <w:rPr>
                <w:color w:val="095292"/>
                <w:spacing w:val="5"/>
                <w:sz w:val="22"/>
              </w:rPr>
              <w:t> </w:t>
            </w:r>
            <w:r>
              <w:rPr>
                <w:color w:val="095292"/>
                <w:spacing w:val="-10"/>
                <w:sz w:val="22"/>
              </w:rPr>
              <w:t>Q</w:t>
            </w:r>
          </w:p>
        </w:tc>
        <w:tc>
          <w:tcPr>
            <w:tcW w:w="3953" w:type="dxa"/>
            <w:tcBorders>
              <w:right w:val="single" w:sz="4" w:space="0" w:color="000000"/>
            </w:tcBorders>
          </w:tcPr>
          <w:p>
            <w:pPr>
              <w:pStyle w:val="TableParagraph"/>
              <w:ind w:left="3" w:right="2"/>
              <w:jc w:val="center"/>
              <w:rPr>
                <w:sz w:val="22"/>
              </w:rPr>
            </w:pPr>
            <w:r>
              <w:rPr>
                <w:color w:val="095292"/>
                <w:sz w:val="22"/>
              </w:rPr>
              <w:t>Safe</w:t>
            </w:r>
            <w:r>
              <w:rPr>
                <w:color w:val="095292"/>
                <w:spacing w:val="-10"/>
                <w:sz w:val="22"/>
              </w:rPr>
              <w:t> </w:t>
            </w:r>
            <w:r>
              <w:rPr>
                <w:color w:val="095292"/>
                <w:sz w:val="22"/>
              </w:rPr>
              <w:t>Homes/The</w:t>
            </w:r>
            <w:r>
              <w:rPr>
                <w:color w:val="095292"/>
                <w:spacing w:val="-10"/>
                <w:sz w:val="22"/>
              </w:rPr>
              <w:t> </w:t>
            </w:r>
            <w:r>
              <w:rPr>
                <w:color w:val="095292"/>
                <w:spacing w:val="-2"/>
                <w:sz w:val="22"/>
              </w:rPr>
              <w:t>Bridge</w:t>
            </w:r>
          </w:p>
        </w:tc>
      </w:tr>
      <w:tr>
        <w:trPr>
          <w:trHeight w:val="428" w:hRule="atLeast"/>
        </w:trPr>
        <w:tc>
          <w:tcPr>
            <w:tcW w:w="5065" w:type="dxa"/>
            <w:tcBorders>
              <w:left w:val="single" w:sz="4" w:space="0" w:color="000000"/>
            </w:tcBorders>
            <w:shd w:val="clear" w:color="auto" w:fill="C5E0F8"/>
          </w:tcPr>
          <w:p>
            <w:pPr>
              <w:pStyle w:val="TableParagraph"/>
              <w:ind w:left="5" w:right="10"/>
              <w:jc w:val="center"/>
              <w:rPr>
                <w:sz w:val="22"/>
              </w:rPr>
            </w:pPr>
            <w:r>
              <w:rPr>
                <w:color w:val="095292"/>
                <w:sz w:val="22"/>
              </w:rPr>
              <w:t>Getting</w:t>
            </w:r>
            <w:r>
              <w:rPr>
                <w:color w:val="095292"/>
                <w:spacing w:val="-6"/>
                <w:sz w:val="22"/>
              </w:rPr>
              <w:t> </w:t>
            </w:r>
            <w:r>
              <w:rPr>
                <w:color w:val="095292"/>
                <w:sz w:val="22"/>
              </w:rPr>
              <w:t>to</w:t>
            </w:r>
            <w:r>
              <w:rPr>
                <w:color w:val="095292"/>
                <w:spacing w:val="-6"/>
                <w:sz w:val="22"/>
              </w:rPr>
              <w:t> </w:t>
            </w:r>
            <w:r>
              <w:rPr>
                <w:color w:val="095292"/>
                <w:sz w:val="22"/>
              </w:rPr>
              <w:t>Zero</w:t>
            </w:r>
            <w:r>
              <w:rPr>
                <w:color w:val="095292"/>
                <w:spacing w:val="-5"/>
                <w:sz w:val="22"/>
              </w:rPr>
              <w:t> MA</w:t>
            </w:r>
          </w:p>
        </w:tc>
        <w:tc>
          <w:tcPr>
            <w:tcW w:w="3953" w:type="dxa"/>
            <w:tcBorders>
              <w:right w:val="single" w:sz="4" w:space="0" w:color="000000"/>
            </w:tcBorders>
            <w:shd w:val="clear" w:color="auto" w:fill="C5E0F8"/>
          </w:tcPr>
          <w:p>
            <w:pPr>
              <w:pStyle w:val="TableParagraph"/>
              <w:ind w:left="3" w:right="3"/>
              <w:jc w:val="center"/>
              <w:rPr>
                <w:sz w:val="22"/>
              </w:rPr>
            </w:pPr>
            <w:r>
              <w:rPr>
                <w:color w:val="095292"/>
                <w:sz w:val="22"/>
              </w:rPr>
              <w:t>Start</w:t>
            </w:r>
            <w:r>
              <w:rPr>
                <w:color w:val="095292"/>
                <w:spacing w:val="-8"/>
                <w:sz w:val="22"/>
              </w:rPr>
              <w:t> </w:t>
            </w:r>
            <w:r>
              <w:rPr>
                <w:color w:val="095292"/>
                <w:spacing w:val="-2"/>
                <w:sz w:val="22"/>
              </w:rPr>
              <w:t>Strong</w:t>
            </w:r>
          </w:p>
        </w:tc>
      </w:tr>
      <w:tr>
        <w:trPr>
          <w:trHeight w:val="428" w:hRule="atLeast"/>
        </w:trPr>
        <w:tc>
          <w:tcPr>
            <w:tcW w:w="5065" w:type="dxa"/>
            <w:tcBorders>
              <w:left w:val="single" w:sz="4" w:space="0" w:color="000000"/>
            </w:tcBorders>
          </w:tcPr>
          <w:p>
            <w:pPr>
              <w:pStyle w:val="TableParagraph"/>
              <w:ind w:left="4" w:right="10"/>
              <w:jc w:val="center"/>
              <w:rPr>
                <w:sz w:val="22"/>
              </w:rPr>
            </w:pPr>
            <w:r>
              <w:rPr>
                <w:color w:val="095292"/>
                <w:sz w:val="22"/>
              </w:rPr>
              <w:t>GLAD</w:t>
            </w:r>
            <w:r>
              <w:rPr>
                <w:color w:val="095292"/>
                <w:spacing w:val="-8"/>
                <w:sz w:val="22"/>
              </w:rPr>
              <w:t> </w:t>
            </w:r>
            <w:r>
              <w:rPr>
                <w:color w:val="095292"/>
                <w:sz w:val="22"/>
              </w:rPr>
              <w:t>(GLBTQ</w:t>
            </w:r>
            <w:r>
              <w:rPr>
                <w:color w:val="095292"/>
                <w:spacing w:val="-7"/>
                <w:sz w:val="22"/>
              </w:rPr>
              <w:t> </w:t>
            </w:r>
            <w:r>
              <w:rPr>
                <w:color w:val="095292"/>
                <w:sz w:val="22"/>
              </w:rPr>
              <w:t>Legal</w:t>
            </w:r>
            <w:r>
              <w:rPr>
                <w:color w:val="095292"/>
                <w:spacing w:val="-7"/>
                <w:sz w:val="22"/>
              </w:rPr>
              <w:t> </w:t>
            </w:r>
            <w:r>
              <w:rPr>
                <w:color w:val="095292"/>
                <w:sz w:val="22"/>
              </w:rPr>
              <w:t>Advocates</w:t>
            </w:r>
            <w:r>
              <w:rPr>
                <w:color w:val="095292"/>
                <w:spacing w:val="-8"/>
                <w:sz w:val="22"/>
              </w:rPr>
              <w:t> </w:t>
            </w:r>
            <w:r>
              <w:rPr>
                <w:color w:val="095292"/>
                <w:sz w:val="22"/>
              </w:rPr>
              <w:t>&amp;</w:t>
            </w:r>
            <w:r>
              <w:rPr>
                <w:color w:val="095292"/>
                <w:spacing w:val="-8"/>
                <w:sz w:val="22"/>
              </w:rPr>
              <w:t> </w:t>
            </w:r>
            <w:r>
              <w:rPr>
                <w:color w:val="095292"/>
                <w:spacing w:val="-2"/>
                <w:sz w:val="22"/>
              </w:rPr>
              <w:t>Defenders)</w:t>
            </w:r>
          </w:p>
        </w:tc>
        <w:tc>
          <w:tcPr>
            <w:tcW w:w="3953" w:type="dxa"/>
            <w:tcBorders>
              <w:right w:val="single" w:sz="4" w:space="0" w:color="000000"/>
            </w:tcBorders>
          </w:tcPr>
          <w:p>
            <w:pPr>
              <w:pStyle w:val="TableParagraph"/>
              <w:ind w:left="3" w:right="3"/>
              <w:jc w:val="center"/>
              <w:rPr>
                <w:sz w:val="22"/>
              </w:rPr>
            </w:pPr>
            <w:r>
              <w:rPr>
                <w:color w:val="095292"/>
                <w:sz w:val="22"/>
              </w:rPr>
              <w:t>The</w:t>
            </w:r>
            <w:r>
              <w:rPr>
                <w:color w:val="095292"/>
                <w:spacing w:val="-7"/>
                <w:sz w:val="22"/>
              </w:rPr>
              <w:t> </w:t>
            </w:r>
            <w:r>
              <w:rPr>
                <w:color w:val="095292"/>
                <w:sz w:val="22"/>
              </w:rPr>
              <w:t>Trevor</w:t>
            </w:r>
            <w:r>
              <w:rPr>
                <w:color w:val="095292"/>
                <w:spacing w:val="-8"/>
                <w:sz w:val="22"/>
              </w:rPr>
              <w:t> </w:t>
            </w:r>
            <w:r>
              <w:rPr>
                <w:color w:val="095292"/>
                <w:spacing w:val="-2"/>
                <w:sz w:val="22"/>
              </w:rPr>
              <w:t>Project</w:t>
            </w:r>
          </w:p>
        </w:tc>
      </w:tr>
      <w:tr>
        <w:trPr>
          <w:trHeight w:val="857" w:hRule="atLeast"/>
        </w:trPr>
        <w:tc>
          <w:tcPr>
            <w:tcW w:w="5065" w:type="dxa"/>
            <w:tcBorders>
              <w:left w:val="single" w:sz="4" w:space="0" w:color="000000"/>
            </w:tcBorders>
            <w:shd w:val="clear" w:color="auto" w:fill="C5E0F8"/>
          </w:tcPr>
          <w:p>
            <w:pPr>
              <w:pStyle w:val="TableParagraph"/>
              <w:ind w:left="6" w:right="10"/>
              <w:jc w:val="center"/>
              <w:rPr>
                <w:sz w:val="22"/>
              </w:rPr>
            </w:pPr>
            <w:r>
              <w:rPr>
                <w:color w:val="095292"/>
                <w:sz w:val="22"/>
              </w:rPr>
              <w:t>GLBT</w:t>
            </w:r>
            <w:r>
              <w:rPr>
                <w:color w:val="095292"/>
                <w:spacing w:val="-7"/>
                <w:sz w:val="22"/>
              </w:rPr>
              <w:t> </w:t>
            </w:r>
            <w:r>
              <w:rPr>
                <w:color w:val="095292"/>
                <w:sz w:val="22"/>
              </w:rPr>
              <w:t>Youth</w:t>
            </w:r>
            <w:r>
              <w:rPr>
                <w:color w:val="095292"/>
                <w:spacing w:val="-6"/>
                <w:sz w:val="22"/>
              </w:rPr>
              <w:t> </w:t>
            </w:r>
            <w:r>
              <w:rPr>
                <w:color w:val="095292"/>
                <w:sz w:val="22"/>
              </w:rPr>
              <w:t>Group</w:t>
            </w:r>
            <w:r>
              <w:rPr>
                <w:color w:val="095292"/>
                <w:spacing w:val="-7"/>
                <w:sz w:val="22"/>
              </w:rPr>
              <w:t> </w:t>
            </w:r>
            <w:r>
              <w:rPr>
                <w:color w:val="095292"/>
                <w:sz w:val="22"/>
              </w:rPr>
              <w:t>Network</w:t>
            </w:r>
            <w:r>
              <w:rPr>
                <w:color w:val="095292"/>
                <w:spacing w:val="-7"/>
                <w:sz w:val="22"/>
              </w:rPr>
              <w:t> </w:t>
            </w:r>
            <w:r>
              <w:rPr>
                <w:color w:val="095292"/>
                <w:sz w:val="22"/>
              </w:rPr>
              <w:t>of</w:t>
            </w:r>
            <w:r>
              <w:rPr>
                <w:color w:val="095292"/>
                <w:spacing w:val="-8"/>
                <w:sz w:val="22"/>
              </w:rPr>
              <w:t> </w:t>
            </w:r>
            <w:r>
              <w:rPr>
                <w:color w:val="095292"/>
                <w:spacing w:val="-5"/>
                <w:sz w:val="22"/>
              </w:rPr>
              <w:t>MA</w:t>
            </w:r>
          </w:p>
        </w:tc>
        <w:tc>
          <w:tcPr>
            <w:tcW w:w="3953" w:type="dxa"/>
            <w:tcBorders>
              <w:right w:val="single" w:sz="4" w:space="0" w:color="000000"/>
            </w:tcBorders>
            <w:shd w:val="clear" w:color="auto" w:fill="C5E0F8"/>
          </w:tcPr>
          <w:p>
            <w:pPr>
              <w:pStyle w:val="TableParagraph"/>
              <w:ind w:left="3" w:right="4"/>
              <w:jc w:val="center"/>
              <w:rPr>
                <w:sz w:val="22"/>
              </w:rPr>
            </w:pPr>
            <w:r>
              <w:rPr>
                <w:color w:val="095292"/>
                <w:sz w:val="22"/>
              </w:rPr>
              <w:t>Winthrop</w:t>
            </w:r>
            <w:r>
              <w:rPr>
                <w:color w:val="095292"/>
                <w:spacing w:val="-13"/>
                <w:sz w:val="22"/>
              </w:rPr>
              <w:t> </w:t>
            </w:r>
            <w:r>
              <w:rPr>
                <w:color w:val="095292"/>
                <w:sz w:val="22"/>
              </w:rPr>
              <w:t>CASA</w:t>
            </w:r>
            <w:r>
              <w:rPr>
                <w:color w:val="095292"/>
                <w:spacing w:val="-11"/>
                <w:sz w:val="22"/>
              </w:rPr>
              <w:t> </w:t>
            </w:r>
            <w:r>
              <w:rPr>
                <w:color w:val="095292"/>
                <w:sz w:val="22"/>
              </w:rPr>
              <w:t>(Community</w:t>
            </w:r>
            <w:r>
              <w:rPr>
                <w:color w:val="095292"/>
                <w:spacing w:val="-11"/>
                <w:sz w:val="22"/>
              </w:rPr>
              <w:t> </w:t>
            </w:r>
            <w:r>
              <w:rPr>
                <w:color w:val="095292"/>
                <w:sz w:val="22"/>
              </w:rPr>
              <w:t>Actions</w:t>
            </w:r>
            <w:r>
              <w:rPr>
                <w:color w:val="095292"/>
                <w:spacing w:val="-11"/>
                <w:sz w:val="22"/>
              </w:rPr>
              <w:t> </w:t>
            </w:r>
            <w:r>
              <w:rPr>
                <w:color w:val="095292"/>
                <w:spacing w:val="-5"/>
                <w:sz w:val="22"/>
              </w:rPr>
              <w:t>for</w:t>
            </w:r>
          </w:p>
          <w:p>
            <w:pPr>
              <w:pStyle w:val="TableParagraph"/>
              <w:spacing w:before="161"/>
              <w:ind w:left="4" w:right="1"/>
              <w:jc w:val="center"/>
              <w:rPr>
                <w:sz w:val="22"/>
              </w:rPr>
            </w:pPr>
            <w:r>
              <w:rPr>
                <w:color w:val="095292"/>
                <w:sz w:val="22"/>
              </w:rPr>
              <w:t>Safe</w:t>
            </w:r>
            <w:r>
              <w:rPr>
                <w:color w:val="095292"/>
                <w:spacing w:val="-5"/>
                <w:sz w:val="22"/>
              </w:rPr>
              <w:t> </w:t>
            </w:r>
            <w:r>
              <w:rPr>
                <w:color w:val="095292"/>
                <w:spacing w:val="-2"/>
                <w:sz w:val="22"/>
              </w:rPr>
              <w:t>Alternatives)</w:t>
            </w:r>
          </w:p>
        </w:tc>
      </w:tr>
      <w:tr>
        <w:trPr>
          <w:trHeight w:val="429" w:hRule="atLeast"/>
        </w:trPr>
        <w:tc>
          <w:tcPr>
            <w:tcW w:w="5065" w:type="dxa"/>
            <w:tcBorders>
              <w:left w:val="single" w:sz="4" w:space="0" w:color="000000"/>
              <w:bottom w:val="single" w:sz="4" w:space="0" w:color="000000"/>
            </w:tcBorders>
          </w:tcPr>
          <w:p>
            <w:pPr>
              <w:pStyle w:val="TableParagraph"/>
              <w:ind w:left="7" w:right="10"/>
              <w:jc w:val="center"/>
              <w:rPr>
                <w:sz w:val="22"/>
              </w:rPr>
            </w:pPr>
            <w:r>
              <w:rPr>
                <w:color w:val="095292"/>
                <w:spacing w:val="-4"/>
                <w:sz w:val="22"/>
              </w:rPr>
              <w:t>GLSEN</w:t>
            </w:r>
          </w:p>
        </w:tc>
        <w:tc>
          <w:tcPr>
            <w:tcW w:w="3953" w:type="dxa"/>
            <w:tcBorders>
              <w:bottom w:val="single" w:sz="4" w:space="0" w:color="000000"/>
              <w:right w:val="single" w:sz="4" w:space="0" w:color="000000"/>
            </w:tcBorders>
          </w:tcPr>
          <w:p>
            <w:pPr>
              <w:pStyle w:val="TableParagraph"/>
              <w:ind w:left="3" w:right="3"/>
              <w:jc w:val="center"/>
              <w:rPr>
                <w:sz w:val="22"/>
              </w:rPr>
            </w:pPr>
            <w:r>
              <w:rPr>
                <w:color w:val="095292"/>
                <w:sz w:val="22"/>
              </w:rPr>
              <w:t>Youth</w:t>
            </w:r>
            <w:r>
              <w:rPr>
                <w:color w:val="095292"/>
                <w:spacing w:val="-7"/>
                <w:sz w:val="22"/>
              </w:rPr>
              <w:t> </w:t>
            </w:r>
            <w:r>
              <w:rPr>
                <w:color w:val="095292"/>
                <w:sz w:val="22"/>
              </w:rPr>
              <w:t>on</w:t>
            </w:r>
            <w:r>
              <w:rPr>
                <w:color w:val="095292"/>
                <w:spacing w:val="-5"/>
                <w:sz w:val="22"/>
              </w:rPr>
              <w:t> </w:t>
            </w:r>
            <w:r>
              <w:rPr>
                <w:color w:val="095292"/>
                <w:spacing w:val="-4"/>
                <w:sz w:val="22"/>
              </w:rPr>
              <w:t>Fire</w:t>
            </w:r>
          </w:p>
        </w:tc>
      </w:tr>
    </w:tbl>
    <w:p>
      <w:pPr>
        <w:pStyle w:val="BodyText"/>
        <w:spacing w:before="185"/>
      </w:pPr>
    </w:p>
    <w:p>
      <w:pPr>
        <w:pStyle w:val="BodyText"/>
        <w:spacing w:line="276" w:lineRule="auto"/>
        <w:ind w:left="458" w:right="532"/>
        <w:jc w:val="both"/>
      </w:pPr>
      <w:r>
        <w:rPr/>
        <w:t>Finally, as we have learned throughout the COVID pandemic, expanding programming and support services</w:t>
      </w:r>
      <w:r>
        <w:rPr>
          <w:spacing w:val="-3"/>
        </w:rPr>
        <w:t> </w:t>
      </w:r>
      <w:r>
        <w:rPr/>
        <w:t>to</w:t>
      </w:r>
      <w:r>
        <w:rPr>
          <w:spacing w:val="-1"/>
        </w:rPr>
        <w:t> </w:t>
      </w:r>
      <w:r>
        <w:rPr/>
        <w:t>a</w:t>
      </w:r>
      <w:r>
        <w:rPr>
          <w:spacing w:val="-1"/>
        </w:rPr>
        <w:t> </w:t>
      </w:r>
      <w:r>
        <w:rPr/>
        <w:t>virtual</w:t>
      </w:r>
      <w:r>
        <w:rPr>
          <w:spacing w:val="-3"/>
        </w:rPr>
        <w:t> </w:t>
      </w:r>
      <w:r>
        <w:rPr/>
        <w:t>format</w:t>
      </w:r>
      <w:r>
        <w:rPr>
          <w:spacing w:val="-2"/>
        </w:rPr>
        <w:t> </w:t>
      </w:r>
      <w:r>
        <w:rPr/>
        <w:t>can</w:t>
      </w:r>
      <w:r>
        <w:rPr>
          <w:spacing w:val="-2"/>
        </w:rPr>
        <w:t> </w:t>
      </w:r>
      <w:r>
        <w:rPr/>
        <w:t>have</w:t>
      </w:r>
      <w:r>
        <w:rPr>
          <w:spacing w:val="-2"/>
        </w:rPr>
        <w:t> </w:t>
      </w:r>
      <w:r>
        <w:rPr/>
        <w:t>a</w:t>
      </w:r>
      <w:r>
        <w:rPr>
          <w:spacing w:val="-3"/>
        </w:rPr>
        <w:t> </w:t>
      </w:r>
      <w:r>
        <w:rPr/>
        <w:t>significant</w:t>
      </w:r>
      <w:r>
        <w:rPr>
          <w:spacing w:val="-2"/>
        </w:rPr>
        <w:t> </w:t>
      </w:r>
      <w:r>
        <w:rPr/>
        <w:t>impact</w:t>
      </w:r>
      <w:r>
        <w:rPr>
          <w:spacing w:val="-2"/>
        </w:rPr>
        <w:t> </w:t>
      </w:r>
      <w:r>
        <w:rPr/>
        <w:t>on</w:t>
      </w:r>
      <w:r>
        <w:rPr>
          <w:spacing w:val="-3"/>
        </w:rPr>
        <w:t> </w:t>
      </w:r>
      <w:r>
        <w:rPr/>
        <w:t>youth</w:t>
      </w:r>
      <w:r>
        <w:rPr>
          <w:spacing w:val="-1"/>
        </w:rPr>
        <w:t> </w:t>
      </w:r>
      <w:r>
        <w:rPr/>
        <w:t>who</w:t>
      </w:r>
      <w:r>
        <w:rPr>
          <w:spacing w:val="-2"/>
        </w:rPr>
        <w:t> </w:t>
      </w:r>
      <w:r>
        <w:rPr/>
        <w:t>would</w:t>
      </w:r>
      <w:r>
        <w:rPr>
          <w:spacing w:val="-2"/>
        </w:rPr>
        <w:t> </w:t>
      </w:r>
      <w:r>
        <w:rPr/>
        <w:t>otherwise</w:t>
      </w:r>
      <w:r>
        <w:rPr>
          <w:spacing w:val="-2"/>
        </w:rPr>
        <w:t> </w:t>
      </w:r>
      <w:r>
        <w:rPr/>
        <w:t>be</w:t>
      </w:r>
      <w:r>
        <w:rPr>
          <w:spacing w:val="-2"/>
        </w:rPr>
        <w:t> </w:t>
      </w:r>
      <w:r>
        <w:rPr/>
        <w:t>unable</w:t>
      </w:r>
      <w:r>
        <w:rPr>
          <w:spacing w:val="-2"/>
        </w:rPr>
        <w:t> </w:t>
      </w:r>
      <w:r>
        <w:rPr/>
        <w:t>to engage with critical resources.</w:t>
      </w:r>
      <w:r>
        <w:rPr>
          <w:vertAlign w:val="superscript"/>
        </w:rPr>
        <w:t>159</w:t>
      </w:r>
      <w:r>
        <w:rPr>
          <w:vertAlign w:val="baseline"/>
        </w:rPr>
        <w:t> Rural LGBTQ youth and LGBTQ youth with disabilities, in particular, may find virtual resources particularly helpful. Moving forward, public health professionals should embrace the technology that was developed and improved upon over the course of the pandemic to better</w:t>
      </w:r>
      <w:r>
        <w:rPr>
          <w:spacing w:val="-10"/>
          <w:vertAlign w:val="baseline"/>
        </w:rPr>
        <w:t> </w:t>
      </w:r>
      <w:r>
        <w:rPr>
          <w:vertAlign w:val="baseline"/>
        </w:rPr>
        <w:t>serve</w:t>
      </w:r>
      <w:r>
        <w:rPr>
          <w:spacing w:val="-8"/>
          <w:vertAlign w:val="baseline"/>
        </w:rPr>
        <w:t> </w:t>
      </w:r>
      <w:r>
        <w:rPr>
          <w:vertAlign w:val="baseline"/>
        </w:rPr>
        <w:t>diverse</w:t>
      </w:r>
      <w:r>
        <w:rPr>
          <w:spacing w:val="-10"/>
          <w:vertAlign w:val="baseline"/>
        </w:rPr>
        <w:t> </w:t>
      </w:r>
      <w:r>
        <w:rPr>
          <w:vertAlign w:val="baseline"/>
        </w:rPr>
        <w:t>populations</w:t>
      </w:r>
      <w:r>
        <w:rPr>
          <w:spacing w:val="-10"/>
          <w:vertAlign w:val="baseline"/>
        </w:rPr>
        <w:t> </w:t>
      </w:r>
      <w:r>
        <w:rPr>
          <w:vertAlign w:val="baseline"/>
        </w:rPr>
        <w:t>of</w:t>
      </w:r>
      <w:r>
        <w:rPr>
          <w:spacing w:val="-10"/>
          <w:vertAlign w:val="baseline"/>
        </w:rPr>
        <w:t> </w:t>
      </w:r>
      <w:r>
        <w:rPr>
          <w:vertAlign w:val="baseline"/>
        </w:rPr>
        <w:t>LGBTQ</w:t>
      </w:r>
      <w:r>
        <w:rPr>
          <w:spacing w:val="-9"/>
          <w:vertAlign w:val="baseline"/>
        </w:rPr>
        <w:t> </w:t>
      </w:r>
      <w:r>
        <w:rPr>
          <w:vertAlign w:val="baseline"/>
        </w:rPr>
        <w:t>youth.</w:t>
      </w:r>
      <w:r>
        <w:rPr>
          <w:spacing w:val="-9"/>
          <w:vertAlign w:val="baseline"/>
        </w:rPr>
        <w:t> </w:t>
      </w:r>
      <w:r>
        <w:rPr>
          <w:vertAlign w:val="baseline"/>
        </w:rPr>
        <w:t>Ultimately,</w:t>
      </w:r>
      <w:r>
        <w:rPr>
          <w:spacing w:val="-9"/>
          <w:vertAlign w:val="baseline"/>
        </w:rPr>
        <w:t> </w:t>
      </w:r>
      <w:r>
        <w:rPr>
          <w:vertAlign w:val="baseline"/>
        </w:rPr>
        <w:t>LGBTQ</w:t>
      </w:r>
      <w:r>
        <w:rPr>
          <w:spacing w:val="-10"/>
          <w:vertAlign w:val="baseline"/>
        </w:rPr>
        <w:t> </w:t>
      </w:r>
      <w:r>
        <w:rPr>
          <w:vertAlign w:val="baseline"/>
        </w:rPr>
        <w:t>youth</w:t>
      </w:r>
      <w:r>
        <w:rPr>
          <w:spacing w:val="-9"/>
          <w:vertAlign w:val="baseline"/>
        </w:rPr>
        <w:t> </w:t>
      </w:r>
      <w:r>
        <w:rPr>
          <w:vertAlign w:val="baseline"/>
        </w:rPr>
        <w:t>are</w:t>
      </w:r>
      <w:r>
        <w:rPr>
          <w:spacing w:val="-9"/>
          <w:vertAlign w:val="baseline"/>
        </w:rPr>
        <w:t> </w:t>
      </w:r>
      <w:r>
        <w:rPr>
          <w:vertAlign w:val="baseline"/>
        </w:rPr>
        <w:t>the</w:t>
      </w:r>
      <w:r>
        <w:rPr>
          <w:spacing w:val="-10"/>
          <w:vertAlign w:val="baseline"/>
        </w:rPr>
        <w:t> </w:t>
      </w:r>
      <w:r>
        <w:rPr>
          <w:vertAlign w:val="baseline"/>
        </w:rPr>
        <w:t>future,</w:t>
      </w:r>
      <w:r>
        <w:rPr>
          <w:spacing w:val="-9"/>
          <w:vertAlign w:val="baseline"/>
        </w:rPr>
        <w:t> </w:t>
      </w:r>
      <w:r>
        <w:rPr>
          <w:vertAlign w:val="baseline"/>
        </w:rPr>
        <w:t>but</w:t>
      </w:r>
      <w:r>
        <w:rPr>
          <w:spacing w:val="-11"/>
          <w:vertAlign w:val="baseline"/>
        </w:rPr>
        <w:t> </w:t>
      </w:r>
      <w:r>
        <w:rPr>
          <w:vertAlign w:val="baseline"/>
        </w:rPr>
        <w:t>without support,</w:t>
      </w:r>
      <w:r>
        <w:rPr>
          <w:spacing w:val="-4"/>
          <w:vertAlign w:val="baseline"/>
        </w:rPr>
        <w:t> </w:t>
      </w:r>
      <w:r>
        <w:rPr>
          <w:vertAlign w:val="baseline"/>
        </w:rPr>
        <w:t>it</w:t>
      </w:r>
      <w:r>
        <w:rPr>
          <w:spacing w:val="-3"/>
          <w:vertAlign w:val="baseline"/>
        </w:rPr>
        <w:t> </w:t>
      </w:r>
      <w:r>
        <w:rPr>
          <w:vertAlign w:val="baseline"/>
        </w:rPr>
        <w:t>can</w:t>
      </w:r>
      <w:r>
        <w:rPr>
          <w:spacing w:val="-4"/>
          <w:vertAlign w:val="baseline"/>
        </w:rPr>
        <w:t> </w:t>
      </w:r>
      <w:r>
        <w:rPr>
          <w:vertAlign w:val="baseline"/>
        </w:rPr>
        <w:t>be</w:t>
      </w:r>
      <w:r>
        <w:rPr>
          <w:spacing w:val="-3"/>
          <w:vertAlign w:val="baseline"/>
        </w:rPr>
        <w:t> </w:t>
      </w:r>
      <w:r>
        <w:rPr>
          <w:vertAlign w:val="baseline"/>
        </w:rPr>
        <w:t>hard</w:t>
      </w:r>
      <w:r>
        <w:rPr>
          <w:spacing w:val="-4"/>
          <w:vertAlign w:val="baseline"/>
        </w:rPr>
        <w:t> </w:t>
      </w:r>
      <w:r>
        <w:rPr>
          <w:vertAlign w:val="baseline"/>
        </w:rPr>
        <w:t>for</w:t>
      </w:r>
      <w:r>
        <w:rPr>
          <w:spacing w:val="-3"/>
          <w:vertAlign w:val="baseline"/>
        </w:rPr>
        <w:t> </w:t>
      </w:r>
      <w:r>
        <w:rPr>
          <w:vertAlign w:val="baseline"/>
        </w:rPr>
        <w:t>them</w:t>
      </w:r>
      <w:r>
        <w:rPr>
          <w:spacing w:val="-3"/>
          <w:vertAlign w:val="baseline"/>
        </w:rPr>
        <w:t> </w:t>
      </w:r>
      <w:r>
        <w:rPr>
          <w:vertAlign w:val="baseline"/>
        </w:rPr>
        <w:t>to</w:t>
      </w:r>
      <w:r>
        <w:rPr>
          <w:spacing w:val="-4"/>
          <w:vertAlign w:val="baseline"/>
        </w:rPr>
        <w:t> </w:t>
      </w:r>
      <w:r>
        <w:rPr>
          <w:vertAlign w:val="baseline"/>
        </w:rPr>
        <w:t>envision</w:t>
      </w:r>
      <w:r>
        <w:rPr>
          <w:spacing w:val="-4"/>
          <w:vertAlign w:val="baseline"/>
        </w:rPr>
        <w:t> </w:t>
      </w:r>
      <w:r>
        <w:rPr>
          <w:vertAlign w:val="baseline"/>
        </w:rPr>
        <w:t>a</w:t>
      </w:r>
      <w:r>
        <w:rPr>
          <w:spacing w:val="-4"/>
          <w:vertAlign w:val="baseline"/>
        </w:rPr>
        <w:t> </w:t>
      </w:r>
      <w:r>
        <w:rPr>
          <w:vertAlign w:val="baseline"/>
        </w:rPr>
        <w:t>world</w:t>
      </w:r>
      <w:r>
        <w:rPr>
          <w:spacing w:val="-4"/>
          <w:vertAlign w:val="baseline"/>
        </w:rPr>
        <w:t> </w:t>
      </w:r>
      <w:r>
        <w:rPr>
          <w:vertAlign w:val="baseline"/>
        </w:rPr>
        <w:t>with</w:t>
      </w:r>
      <w:r>
        <w:rPr>
          <w:spacing w:val="-4"/>
          <w:vertAlign w:val="baseline"/>
        </w:rPr>
        <w:t> </w:t>
      </w:r>
      <w:r>
        <w:rPr>
          <w:vertAlign w:val="baseline"/>
        </w:rPr>
        <w:t>them</w:t>
      </w:r>
      <w:r>
        <w:rPr>
          <w:spacing w:val="-3"/>
          <w:vertAlign w:val="baseline"/>
        </w:rPr>
        <w:t> </w:t>
      </w:r>
      <w:r>
        <w:rPr>
          <w:vertAlign w:val="baseline"/>
        </w:rPr>
        <w:t>in</w:t>
      </w:r>
      <w:r>
        <w:rPr>
          <w:spacing w:val="-4"/>
          <w:vertAlign w:val="baseline"/>
        </w:rPr>
        <w:t> </w:t>
      </w:r>
      <w:r>
        <w:rPr>
          <w:vertAlign w:val="baseline"/>
        </w:rPr>
        <w:t>it.</w:t>
      </w:r>
      <w:r>
        <w:rPr>
          <w:spacing w:val="-3"/>
          <w:vertAlign w:val="baseline"/>
        </w:rPr>
        <w:t> </w:t>
      </w:r>
      <w:r>
        <w:rPr>
          <w:vertAlign w:val="baseline"/>
        </w:rPr>
        <w:t>Public</w:t>
      </w:r>
      <w:r>
        <w:rPr>
          <w:spacing w:val="-3"/>
          <w:vertAlign w:val="baseline"/>
        </w:rPr>
        <w:t> </w:t>
      </w:r>
      <w:r>
        <w:rPr>
          <w:vertAlign w:val="baseline"/>
        </w:rPr>
        <w:t>health</w:t>
      </w:r>
      <w:r>
        <w:rPr>
          <w:spacing w:val="-3"/>
          <w:vertAlign w:val="baseline"/>
        </w:rPr>
        <w:t> </w:t>
      </w:r>
      <w:r>
        <w:rPr>
          <w:vertAlign w:val="baseline"/>
        </w:rPr>
        <w:t>has</w:t>
      </w:r>
      <w:r>
        <w:rPr>
          <w:spacing w:val="-4"/>
          <w:vertAlign w:val="baseline"/>
        </w:rPr>
        <w:t> </w:t>
      </w:r>
      <w:r>
        <w:rPr>
          <w:vertAlign w:val="baseline"/>
        </w:rPr>
        <w:t>the</w:t>
      </w:r>
      <w:r>
        <w:rPr>
          <w:spacing w:val="-4"/>
          <w:vertAlign w:val="baseline"/>
        </w:rPr>
        <w:t> </w:t>
      </w:r>
      <w:r>
        <w:rPr>
          <w:vertAlign w:val="baseline"/>
        </w:rPr>
        <w:t>opportunity to support LGBTQ youth as they resist, challenge, and change the structures that prevent them from fully attaining physical, mental, and emotional wellness.</w:t>
      </w:r>
    </w:p>
    <w:p>
      <w:pPr>
        <w:pStyle w:val="BodyText"/>
        <w:spacing w:before="130"/>
      </w:pPr>
    </w:p>
    <w:p>
      <w:pPr>
        <w:tabs>
          <w:tab w:pos="9919" w:val="left" w:leader="none"/>
        </w:tabs>
        <w:spacing w:before="1"/>
        <w:ind w:left="428" w:right="0" w:firstLine="0"/>
        <w:jc w:val="left"/>
        <w:rPr>
          <w:rFonts w:ascii="Cambria"/>
          <w:sz w:val="32"/>
        </w:rPr>
      </w:pPr>
      <w:bookmarkStart w:name="Acknowledgments &amp; Citations" w:id="231"/>
      <w:bookmarkEnd w:id="231"/>
      <w:r>
        <w:rPr/>
      </w:r>
      <w:r>
        <w:rPr>
          <w:rFonts w:ascii="Cambria"/>
          <w:color w:val="365F91"/>
          <w:spacing w:val="-41"/>
          <w:sz w:val="32"/>
          <w:u w:val="single" w:color="4F81BC"/>
        </w:rPr>
        <w:t> </w:t>
      </w:r>
      <w:r>
        <w:rPr>
          <w:rFonts w:ascii="Cambria"/>
          <w:color w:val="365F91"/>
          <w:sz w:val="32"/>
          <w:u w:val="single" w:color="4F81BC"/>
        </w:rPr>
        <w:t>Acknowledgments</w:t>
      </w:r>
      <w:r>
        <w:rPr>
          <w:rFonts w:ascii="Cambria"/>
          <w:color w:val="365F91"/>
          <w:spacing w:val="-6"/>
          <w:sz w:val="32"/>
          <w:u w:val="single" w:color="4F81BC"/>
        </w:rPr>
        <w:t> </w:t>
      </w:r>
      <w:r>
        <w:rPr>
          <w:rFonts w:ascii="Cambria"/>
          <w:color w:val="365F91"/>
          <w:sz w:val="32"/>
          <w:u w:val="single" w:color="4F81BC"/>
        </w:rPr>
        <w:t>&amp;</w:t>
      </w:r>
      <w:r>
        <w:rPr>
          <w:rFonts w:ascii="Cambria"/>
          <w:color w:val="365F91"/>
          <w:spacing w:val="-4"/>
          <w:sz w:val="32"/>
          <w:u w:val="single" w:color="4F81BC"/>
        </w:rPr>
        <w:t> </w:t>
      </w:r>
      <w:r>
        <w:rPr>
          <w:rFonts w:ascii="Cambria"/>
          <w:color w:val="365F91"/>
          <w:spacing w:val="-2"/>
          <w:sz w:val="32"/>
          <w:u w:val="single" w:color="4F81BC"/>
        </w:rPr>
        <w:t>Citations</w:t>
      </w:r>
      <w:r>
        <w:rPr>
          <w:rFonts w:ascii="Cambria"/>
          <w:color w:val="365F91"/>
          <w:sz w:val="32"/>
          <w:u w:val="single" w:color="4F81BC"/>
        </w:rPr>
        <w:tab/>
      </w:r>
    </w:p>
    <w:p>
      <w:pPr>
        <w:pStyle w:val="BodyText"/>
        <w:spacing w:before="23"/>
        <w:rPr>
          <w:rFonts w:ascii="Cambria"/>
          <w:sz w:val="21"/>
        </w:rPr>
      </w:pPr>
    </w:p>
    <w:p>
      <w:pPr>
        <w:spacing w:before="1"/>
        <w:ind w:left="460" w:right="0" w:firstLine="0"/>
        <w:jc w:val="left"/>
        <w:rPr>
          <w:i/>
          <w:sz w:val="21"/>
        </w:rPr>
      </w:pPr>
      <w:r>
        <w:rPr>
          <w:i/>
          <w:sz w:val="21"/>
        </w:rPr>
        <w:t>Acknowledgments:</w:t>
      </w:r>
      <w:r>
        <w:rPr>
          <w:i/>
          <w:spacing w:val="-3"/>
          <w:sz w:val="21"/>
        </w:rPr>
        <w:t> </w:t>
      </w:r>
      <w:r>
        <w:rPr>
          <w:i/>
          <w:sz w:val="21"/>
        </w:rPr>
        <w:t>Alexandra</w:t>
      </w:r>
      <w:r>
        <w:rPr>
          <w:i/>
          <w:spacing w:val="-2"/>
          <w:sz w:val="21"/>
        </w:rPr>
        <w:t> </w:t>
      </w:r>
      <w:r>
        <w:rPr>
          <w:i/>
          <w:sz w:val="21"/>
        </w:rPr>
        <w:t>Gago,</w:t>
      </w:r>
      <w:r>
        <w:rPr>
          <w:i/>
          <w:spacing w:val="-2"/>
          <w:sz w:val="21"/>
        </w:rPr>
        <w:t> </w:t>
      </w:r>
      <w:r>
        <w:rPr>
          <w:i/>
          <w:sz w:val="21"/>
        </w:rPr>
        <w:t>lead</w:t>
      </w:r>
      <w:r>
        <w:rPr>
          <w:i/>
          <w:spacing w:val="-3"/>
          <w:sz w:val="21"/>
        </w:rPr>
        <w:t> </w:t>
      </w:r>
      <w:r>
        <w:rPr>
          <w:i/>
          <w:sz w:val="21"/>
        </w:rPr>
        <w:t>researcher</w:t>
      </w:r>
      <w:r>
        <w:rPr>
          <w:i/>
          <w:spacing w:val="-4"/>
          <w:sz w:val="21"/>
        </w:rPr>
        <w:t> </w:t>
      </w:r>
      <w:r>
        <w:rPr>
          <w:i/>
          <w:sz w:val="21"/>
        </w:rPr>
        <w:t>and</w:t>
      </w:r>
      <w:r>
        <w:rPr>
          <w:i/>
          <w:spacing w:val="-3"/>
          <w:sz w:val="21"/>
        </w:rPr>
        <w:t> </w:t>
      </w:r>
      <w:r>
        <w:rPr>
          <w:i/>
          <w:sz w:val="21"/>
        </w:rPr>
        <w:t>author</w:t>
      </w:r>
      <w:r>
        <w:rPr>
          <w:i/>
          <w:spacing w:val="-3"/>
          <w:sz w:val="21"/>
        </w:rPr>
        <w:t> </w:t>
      </w:r>
      <w:r>
        <w:rPr>
          <w:i/>
          <w:spacing w:val="-2"/>
          <w:sz w:val="21"/>
        </w:rPr>
        <w:t>(2023)</w:t>
      </w:r>
    </w:p>
    <w:p>
      <w:pPr>
        <w:pStyle w:val="BodyText"/>
        <w:spacing w:before="188"/>
        <w:rPr>
          <w:i/>
          <w:sz w:val="21"/>
        </w:rPr>
      </w:pPr>
    </w:p>
    <w:p>
      <w:pPr>
        <w:spacing w:line="273" w:lineRule="auto" w:before="1"/>
        <w:ind w:left="463" w:right="0" w:firstLine="0"/>
        <w:jc w:val="left"/>
        <w:rPr>
          <w:sz w:val="18"/>
        </w:rPr>
      </w:pPr>
      <w:r>
        <w:rPr>
          <w:sz w:val="18"/>
          <w:vertAlign w:val="superscript"/>
        </w:rPr>
        <w:t>1</w:t>
      </w:r>
      <w:r>
        <w:rPr>
          <w:spacing w:val="-12"/>
          <w:sz w:val="18"/>
          <w:vertAlign w:val="baseline"/>
        </w:rPr>
        <w:t> </w:t>
      </w:r>
      <w:r>
        <w:rPr>
          <w:sz w:val="18"/>
          <w:vertAlign w:val="baseline"/>
        </w:rPr>
        <w:t>Brandon</w:t>
      </w:r>
      <w:r>
        <w:rPr>
          <w:spacing w:val="-3"/>
          <w:sz w:val="18"/>
          <w:vertAlign w:val="baseline"/>
        </w:rPr>
        <w:t> </w:t>
      </w:r>
      <w:r>
        <w:rPr>
          <w:sz w:val="18"/>
          <w:vertAlign w:val="baseline"/>
        </w:rPr>
        <w:t>Andrew</w:t>
      </w:r>
      <w:r>
        <w:rPr>
          <w:spacing w:val="-3"/>
          <w:sz w:val="18"/>
          <w:vertAlign w:val="baseline"/>
        </w:rPr>
        <w:t> </w:t>
      </w:r>
      <w:r>
        <w:rPr>
          <w:sz w:val="18"/>
          <w:vertAlign w:val="baseline"/>
        </w:rPr>
        <w:t>Robinson</w:t>
      </w:r>
      <w:r>
        <w:rPr>
          <w:spacing w:val="-2"/>
          <w:sz w:val="18"/>
          <w:vertAlign w:val="baseline"/>
        </w:rPr>
        <w:t> </w:t>
      </w:r>
      <w:r>
        <w:rPr>
          <w:sz w:val="18"/>
          <w:vertAlign w:val="baseline"/>
        </w:rPr>
        <w:t>and</w:t>
      </w:r>
      <w:r>
        <w:rPr>
          <w:spacing w:val="-2"/>
          <w:sz w:val="18"/>
          <w:vertAlign w:val="baseline"/>
        </w:rPr>
        <w:t> </w:t>
      </w:r>
      <w:r>
        <w:rPr>
          <w:sz w:val="18"/>
          <w:vertAlign w:val="baseline"/>
        </w:rPr>
        <w:t>Rachel</w:t>
      </w:r>
      <w:r>
        <w:rPr>
          <w:spacing w:val="-3"/>
          <w:sz w:val="18"/>
          <w:vertAlign w:val="baseline"/>
        </w:rPr>
        <w:t> </w:t>
      </w:r>
      <w:r>
        <w:rPr>
          <w:sz w:val="18"/>
          <w:vertAlign w:val="baseline"/>
        </w:rPr>
        <w:t>M.</w:t>
      </w:r>
      <w:r>
        <w:rPr>
          <w:spacing w:val="-2"/>
          <w:sz w:val="18"/>
          <w:vertAlign w:val="baseline"/>
        </w:rPr>
        <w:t> </w:t>
      </w:r>
      <w:r>
        <w:rPr>
          <w:sz w:val="18"/>
          <w:vertAlign w:val="baseline"/>
        </w:rPr>
        <w:t>Schmitz,</w:t>
      </w:r>
      <w:r>
        <w:rPr>
          <w:spacing w:val="-3"/>
          <w:sz w:val="18"/>
          <w:vertAlign w:val="baseline"/>
        </w:rPr>
        <w:t> </w:t>
      </w:r>
      <w:r>
        <w:rPr>
          <w:sz w:val="18"/>
          <w:vertAlign w:val="baseline"/>
        </w:rPr>
        <w:t>“Beyond</w:t>
      </w:r>
      <w:r>
        <w:rPr>
          <w:spacing w:val="-2"/>
          <w:sz w:val="18"/>
          <w:vertAlign w:val="baseline"/>
        </w:rPr>
        <w:t> </w:t>
      </w:r>
      <w:r>
        <w:rPr>
          <w:sz w:val="18"/>
          <w:vertAlign w:val="baseline"/>
        </w:rPr>
        <w:t>Resilience:</w:t>
      </w:r>
      <w:r>
        <w:rPr>
          <w:spacing w:val="-2"/>
          <w:sz w:val="18"/>
          <w:vertAlign w:val="baseline"/>
        </w:rPr>
        <w:t> </w:t>
      </w:r>
      <w:r>
        <w:rPr>
          <w:sz w:val="18"/>
          <w:vertAlign w:val="baseline"/>
        </w:rPr>
        <w:t>Resistance</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Lives</w:t>
      </w:r>
      <w:r>
        <w:rPr>
          <w:spacing w:val="-2"/>
          <w:sz w:val="18"/>
          <w:vertAlign w:val="baseline"/>
        </w:rPr>
        <w:t> </w:t>
      </w:r>
      <w:r>
        <w:rPr>
          <w:sz w:val="18"/>
          <w:vertAlign w:val="baseline"/>
        </w:rPr>
        <w:t>of</w:t>
      </w:r>
      <w:r>
        <w:rPr>
          <w:spacing w:val="-5"/>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i/>
          <w:sz w:val="18"/>
          <w:vertAlign w:val="baseline"/>
        </w:rPr>
        <w:t>Sociology</w:t>
      </w:r>
      <w:r>
        <w:rPr>
          <w:i/>
          <w:sz w:val="18"/>
          <w:vertAlign w:val="baseline"/>
        </w:rPr>
        <w:t> Compass </w:t>
      </w:r>
      <w:r>
        <w:rPr>
          <w:sz w:val="18"/>
          <w:vertAlign w:val="baseline"/>
        </w:rPr>
        <w:t>15, no. 12 (2021): e12947, https://doi.org/10.1111/soc4.12947.</w:t>
      </w:r>
    </w:p>
    <w:p>
      <w:pPr>
        <w:spacing w:line="212" w:lineRule="exact" w:before="0"/>
        <w:ind w:left="463" w:right="0" w:firstLine="0"/>
        <w:jc w:val="left"/>
        <w:rPr>
          <w:sz w:val="18"/>
        </w:rPr>
      </w:pPr>
      <w:r>
        <w:rPr>
          <w:sz w:val="18"/>
          <w:vertAlign w:val="superscript"/>
        </w:rPr>
        <w:t>2</w:t>
      </w:r>
      <w:r>
        <w:rPr>
          <w:spacing w:val="-12"/>
          <w:sz w:val="18"/>
          <w:vertAlign w:val="baseline"/>
        </w:rPr>
        <w:t> </w:t>
      </w:r>
      <w:r>
        <w:rPr>
          <w:sz w:val="18"/>
          <w:vertAlign w:val="baseline"/>
        </w:rPr>
        <w:t>Robinson and </w:t>
      </w:r>
      <w:r>
        <w:rPr>
          <w:spacing w:val="-2"/>
          <w:sz w:val="18"/>
          <w:vertAlign w:val="baseline"/>
        </w:rPr>
        <w:t>Schmitz.</w:t>
      </w:r>
    </w:p>
    <w:p>
      <w:pPr>
        <w:spacing w:line="273" w:lineRule="auto" w:before="20"/>
        <w:ind w:left="463" w:right="311" w:hanging="1"/>
        <w:jc w:val="left"/>
        <w:rPr>
          <w:sz w:val="18"/>
        </w:rPr>
      </w:pPr>
      <w:r>
        <w:rPr>
          <w:sz w:val="18"/>
          <w:vertAlign w:val="superscript"/>
        </w:rPr>
        <w:t>3</w:t>
      </w:r>
      <w:r>
        <w:rPr>
          <w:spacing w:val="-12"/>
          <w:sz w:val="18"/>
          <w:vertAlign w:val="baseline"/>
        </w:rPr>
        <w:t> </w:t>
      </w:r>
      <w:r>
        <w:rPr>
          <w:sz w:val="18"/>
          <w:vertAlign w:val="baseline"/>
        </w:rPr>
        <w:t>“Somerville</w:t>
      </w:r>
      <w:r>
        <w:rPr>
          <w:spacing w:val="-3"/>
          <w:sz w:val="18"/>
          <w:vertAlign w:val="baseline"/>
        </w:rPr>
        <w:t> </w:t>
      </w:r>
      <w:r>
        <w:rPr>
          <w:sz w:val="18"/>
          <w:vertAlign w:val="baseline"/>
        </w:rPr>
        <w:t>Maps</w:t>
      </w:r>
      <w:r>
        <w:rPr>
          <w:spacing w:val="-2"/>
          <w:sz w:val="18"/>
          <w:vertAlign w:val="baseline"/>
        </w:rPr>
        <w:t> </w:t>
      </w:r>
      <w:r>
        <w:rPr>
          <w:sz w:val="18"/>
          <w:vertAlign w:val="baseline"/>
        </w:rPr>
        <w:t>Fastest</w:t>
      </w:r>
      <w:r>
        <w:rPr>
          <w:spacing w:val="-3"/>
          <w:sz w:val="18"/>
          <w:vertAlign w:val="baseline"/>
        </w:rPr>
        <w:t> </w:t>
      </w:r>
      <w:r>
        <w:rPr>
          <w:sz w:val="18"/>
          <w:vertAlign w:val="baseline"/>
        </w:rPr>
        <w:t>Path</w:t>
      </w:r>
      <w:r>
        <w:rPr>
          <w:spacing w:val="-2"/>
          <w:sz w:val="18"/>
          <w:vertAlign w:val="baseline"/>
        </w:rPr>
        <w:t> </w:t>
      </w:r>
      <w:r>
        <w:rPr>
          <w:sz w:val="18"/>
          <w:vertAlign w:val="baseline"/>
        </w:rPr>
        <w:t>to</w:t>
      </w:r>
      <w:r>
        <w:rPr>
          <w:spacing w:val="-2"/>
          <w:sz w:val="18"/>
          <w:vertAlign w:val="baseline"/>
        </w:rPr>
        <w:t> </w:t>
      </w:r>
      <w:r>
        <w:rPr>
          <w:sz w:val="18"/>
          <w:vertAlign w:val="baseline"/>
        </w:rPr>
        <w:t>State’s</w:t>
      </w:r>
      <w:r>
        <w:rPr>
          <w:spacing w:val="-2"/>
          <w:sz w:val="18"/>
          <w:vertAlign w:val="baseline"/>
        </w:rPr>
        <w:t> </w:t>
      </w:r>
      <w:r>
        <w:rPr>
          <w:sz w:val="18"/>
          <w:vertAlign w:val="baseline"/>
        </w:rPr>
        <w:t>First</w:t>
      </w:r>
      <w:r>
        <w:rPr>
          <w:spacing w:val="-3"/>
          <w:sz w:val="18"/>
          <w:vertAlign w:val="baseline"/>
        </w:rPr>
        <w:t> </w:t>
      </w:r>
      <w:r>
        <w:rPr>
          <w:sz w:val="18"/>
          <w:vertAlign w:val="baseline"/>
        </w:rPr>
        <w:t>Supervised</w:t>
      </w:r>
      <w:r>
        <w:rPr>
          <w:spacing w:val="-2"/>
          <w:sz w:val="18"/>
          <w:vertAlign w:val="baseline"/>
        </w:rPr>
        <w:t> </w:t>
      </w:r>
      <w:r>
        <w:rPr>
          <w:sz w:val="18"/>
          <w:vertAlign w:val="baseline"/>
        </w:rPr>
        <w:t>Consumption</w:t>
      </w:r>
      <w:r>
        <w:rPr>
          <w:spacing w:val="-2"/>
          <w:sz w:val="18"/>
          <w:vertAlign w:val="baseline"/>
        </w:rPr>
        <w:t> </w:t>
      </w:r>
      <w:r>
        <w:rPr>
          <w:sz w:val="18"/>
          <w:vertAlign w:val="baseline"/>
        </w:rPr>
        <w:t>Clinic</w:t>
      </w:r>
      <w:r>
        <w:rPr>
          <w:spacing w:val="-3"/>
          <w:sz w:val="18"/>
          <w:vertAlign w:val="baseline"/>
        </w:rPr>
        <w:t> </w:t>
      </w:r>
      <w:r>
        <w:rPr>
          <w:sz w:val="18"/>
          <w:vertAlign w:val="baseline"/>
        </w:rPr>
        <w:t>—</w:t>
      </w:r>
      <w:r>
        <w:rPr>
          <w:spacing w:val="-2"/>
          <w:sz w:val="18"/>
          <w:vertAlign w:val="baseline"/>
        </w:rPr>
        <w:t> </w:t>
      </w:r>
      <w:r>
        <w:rPr>
          <w:sz w:val="18"/>
          <w:vertAlign w:val="baseline"/>
        </w:rPr>
        <w:t>Starting</w:t>
      </w:r>
      <w:r>
        <w:rPr>
          <w:spacing w:val="-2"/>
          <w:sz w:val="18"/>
          <w:vertAlign w:val="baseline"/>
        </w:rPr>
        <w:t> </w:t>
      </w:r>
      <w:r>
        <w:rPr>
          <w:sz w:val="18"/>
          <w:vertAlign w:val="baseline"/>
        </w:rPr>
        <w:t>in</w:t>
      </w:r>
      <w:r>
        <w:rPr>
          <w:spacing w:val="-2"/>
          <w:sz w:val="18"/>
          <w:vertAlign w:val="baseline"/>
        </w:rPr>
        <w:t> </w:t>
      </w:r>
      <w:r>
        <w:rPr>
          <w:sz w:val="18"/>
          <w:vertAlign w:val="baseline"/>
        </w:rPr>
        <w:t>a</w:t>
      </w:r>
      <w:r>
        <w:rPr>
          <w:spacing w:val="-2"/>
          <w:sz w:val="18"/>
          <w:vertAlign w:val="baseline"/>
        </w:rPr>
        <w:t> </w:t>
      </w:r>
      <w:r>
        <w:rPr>
          <w:sz w:val="18"/>
          <w:vertAlign w:val="baseline"/>
        </w:rPr>
        <w:t>Parking</w:t>
      </w:r>
      <w:r>
        <w:rPr>
          <w:spacing w:val="-2"/>
          <w:sz w:val="18"/>
          <w:vertAlign w:val="baseline"/>
        </w:rPr>
        <w:t> </w:t>
      </w:r>
      <w:r>
        <w:rPr>
          <w:sz w:val="18"/>
          <w:vertAlign w:val="baseline"/>
        </w:rPr>
        <w:t>Lot,”</w:t>
      </w:r>
      <w:r>
        <w:rPr>
          <w:spacing w:val="-2"/>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24, 2023,</w:t>
      </w:r>
      <w:r>
        <w:rPr>
          <w:spacing w:val="-2"/>
          <w:sz w:val="18"/>
          <w:vertAlign w:val="baseline"/>
        </w:rPr>
        <w:t> </w:t>
      </w:r>
      <w:r>
        <w:rPr>
          <w:sz w:val="18"/>
          <w:vertAlign w:val="baseline"/>
        </w:rPr>
        <w:t>https://</w:t>
      </w:r>
      <w:hyperlink r:id="rId142">
        <w:r>
          <w:rPr>
            <w:sz w:val="18"/>
            <w:vertAlign w:val="baseline"/>
          </w:rPr>
          <w:t>www.wbur.org/news/2022/07/29/massachusetts-supervised-drug-site-somerville-plan.</w:t>
        </w:r>
      </w:hyperlink>
    </w:p>
    <w:p>
      <w:pPr>
        <w:spacing w:after="0" w:line="273" w:lineRule="auto"/>
        <w:jc w:val="left"/>
        <w:rPr>
          <w:sz w:val="18"/>
        </w:rPr>
        <w:sectPr>
          <w:pgSz w:w="11910" w:h="16840"/>
          <w:pgMar w:header="804" w:footer="1277" w:top="1080" w:bottom="1480" w:left="980" w:right="900"/>
        </w:sectPr>
      </w:pPr>
    </w:p>
    <w:p>
      <w:pPr>
        <w:spacing w:line="268" w:lineRule="auto" w:before="88"/>
        <w:ind w:left="463" w:right="300" w:firstLine="0"/>
        <w:jc w:val="left"/>
        <w:rPr>
          <w:sz w:val="18"/>
        </w:rPr>
      </w:pPr>
      <w:r>
        <w:rPr>
          <w:sz w:val="18"/>
          <w:vertAlign w:val="superscript"/>
        </w:rPr>
        <w:t>4</w:t>
      </w:r>
      <w:r>
        <w:rPr>
          <w:spacing w:val="-8"/>
          <w:sz w:val="18"/>
          <w:vertAlign w:val="baseline"/>
        </w:rPr>
        <w:t> </w:t>
      </w:r>
      <w:r>
        <w:rPr>
          <w:sz w:val="18"/>
          <w:vertAlign w:val="baseline"/>
        </w:rPr>
        <w:t>Shelley D. Golden and Jo Anne L. Earp, “Social Ecological Approaches to Individuals and Their Contexts: Twenty Years of Health</w:t>
      </w:r>
      <w:r>
        <w:rPr>
          <w:spacing w:val="-2"/>
          <w:sz w:val="18"/>
          <w:vertAlign w:val="baseline"/>
        </w:rPr>
        <w:t> </w:t>
      </w:r>
      <w:r>
        <w:rPr>
          <w:sz w:val="18"/>
          <w:vertAlign w:val="baseline"/>
        </w:rPr>
        <w:t>Education</w:t>
      </w:r>
      <w:r>
        <w:rPr>
          <w:spacing w:val="-2"/>
          <w:sz w:val="18"/>
          <w:vertAlign w:val="baseline"/>
        </w:rPr>
        <w:t> </w:t>
      </w:r>
      <w:r>
        <w:rPr>
          <w:sz w:val="18"/>
          <w:vertAlign w:val="baseline"/>
        </w:rPr>
        <w:t>&amp;</w:t>
      </w:r>
      <w:r>
        <w:rPr>
          <w:spacing w:val="-3"/>
          <w:sz w:val="18"/>
          <w:vertAlign w:val="baseline"/>
        </w:rPr>
        <w:t> </w:t>
      </w:r>
      <w:r>
        <w:rPr>
          <w:sz w:val="18"/>
          <w:vertAlign w:val="baseline"/>
        </w:rPr>
        <w:t>Behavior</w:t>
      </w:r>
      <w:r>
        <w:rPr>
          <w:spacing w:val="-3"/>
          <w:sz w:val="18"/>
          <w:vertAlign w:val="baseline"/>
        </w:rPr>
        <w:t> </w:t>
      </w:r>
      <w:r>
        <w:rPr>
          <w:sz w:val="18"/>
          <w:vertAlign w:val="baseline"/>
        </w:rPr>
        <w:t>Health</w:t>
      </w:r>
      <w:r>
        <w:rPr>
          <w:spacing w:val="-2"/>
          <w:sz w:val="18"/>
          <w:vertAlign w:val="baseline"/>
        </w:rPr>
        <w:t> </w:t>
      </w:r>
      <w:r>
        <w:rPr>
          <w:sz w:val="18"/>
          <w:vertAlign w:val="baseline"/>
        </w:rPr>
        <w:t>Promotion</w:t>
      </w:r>
      <w:r>
        <w:rPr>
          <w:spacing w:val="-2"/>
          <w:sz w:val="18"/>
          <w:vertAlign w:val="baseline"/>
        </w:rPr>
        <w:t> </w:t>
      </w:r>
      <w:r>
        <w:rPr>
          <w:sz w:val="18"/>
          <w:vertAlign w:val="baseline"/>
        </w:rPr>
        <w:t>Interventions,”</w:t>
      </w:r>
      <w:r>
        <w:rPr>
          <w:spacing w:val="-2"/>
          <w:sz w:val="18"/>
          <w:vertAlign w:val="baseline"/>
        </w:rPr>
        <w:t> </w:t>
      </w:r>
      <w:r>
        <w:rPr>
          <w:i/>
          <w:sz w:val="18"/>
          <w:vertAlign w:val="baseline"/>
        </w:rPr>
        <w:t>Health</w:t>
      </w:r>
      <w:r>
        <w:rPr>
          <w:i/>
          <w:spacing w:val="-3"/>
          <w:sz w:val="18"/>
          <w:vertAlign w:val="baseline"/>
        </w:rPr>
        <w:t> </w:t>
      </w:r>
      <w:r>
        <w:rPr>
          <w:i/>
          <w:sz w:val="18"/>
          <w:vertAlign w:val="baseline"/>
        </w:rPr>
        <w:t>Education</w:t>
      </w:r>
      <w:r>
        <w:rPr>
          <w:i/>
          <w:spacing w:val="-1"/>
          <w:sz w:val="18"/>
          <w:vertAlign w:val="baseline"/>
        </w:rPr>
        <w:t> </w:t>
      </w:r>
      <w:r>
        <w:rPr>
          <w:i/>
          <w:sz w:val="18"/>
          <w:vertAlign w:val="baseline"/>
        </w:rPr>
        <w:t>&amp;</w:t>
      </w:r>
      <w:r>
        <w:rPr>
          <w:i/>
          <w:spacing w:val="-3"/>
          <w:sz w:val="18"/>
          <w:vertAlign w:val="baseline"/>
        </w:rPr>
        <w:t> </w:t>
      </w:r>
      <w:r>
        <w:rPr>
          <w:i/>
          <w:sz w:val="18"/>
          <w:vertAlign w:val="baseline"/>
        </w:rPr>
        <w:t>Behavior</w:t>
      </w:r>
      <w:r>
        <w:rPr>
          <w:i/>
          <w:spacing w:val="-3"/>
          <w:sz w:val="18"/>
          <w:vertAlign w:val="baseline"/>
        </w:rPr>
        <w:t> </w:t>
      </w:r>
      <w:r>
        <w:rPr>
          <w:sz w:val="18"/>
          <w:vertAlign w:val="baseline"/>
        </w:rPr>
        <w:t>39,</w:t>
      </w:r>
      <w:r>
        <w:rPr>
          <w:spacing w:val="-3"/>
          <w:sz w:val="18"/>
          <w:vertAlign w:val="baseline"/>
        </w:rPr>
        <w:t> </w:t>
      </w:r>
      <w:r>
        <w:rPr>
          <w:sz w:val="18"/>
          <w:vertAlign w:val="baseline"/>
        </w:rPr>
        <w:t>no.</w:t>
      </w:r>
      <w:r>
        <w:rPr>
          <w:spacing w:val="-2"/>
          <w:sz w:val="18"/>
          <w:vertAlign w:val="baseline"/>
        </w:rPr>
        <w:t> </w:t>
      </w:r>
      <w:r>
        <w:rPr>
          <w:sz w:val="18"/>
          <w:vertAlign w:val="baseline"/>
        </w:rPr>
        <w:t>3</w:t>
      </w:r>
      <w:r>
        <w:rPr>
          <w:spacing w:val="-2"/>
          <w:sz w:val="18"/>
          <w:vertAlign w:val="baseline"/>
        </w:rPr>
        <w:t> </w:t>
      </w:r>
      <w:r>
        <w:rPr>
          <w:sz w:val="18"/>
          <w:vertAlign w:val="baseline"/>
        </w:rPr>
        <w:t>(June</w:t>
      </w:r>
      <w:r>
        <w:rPr>
          <w:spacing w:val="-2"/>
          <w:sz w:val="18"/>
          <w:vertAlign w:val="baseline"/>
        </w:rPr>
        <w:t> </w:t>
      </w:r>
      <w:r>
        <w:rPr>
          <w:sz w:val="18"/>
          <w:vertAlign w:val="baseline"/>
        </w:rPr>
        <w:t>1,</w:t>
      </w:r>
      <w:r>
        <w:rPr>
          <w:spacing w:val="-3"/>
          <w:sz w:val="18"/>
          <w:vertAlign w:val="baseline"/>
        </w:rPr>
        <w:t> </w:t>
      </w:r>
      <w:r>
        <w:rPr>
          <w:sz w:val="18"/>
          <w:vertAlign w:val="baseline"/>
        </w:rPr>
        <w:t>2012):</w:t>
      </w:r>
      <w:r>
        <w:rPr>
          <w:spacing w:val="-2"/>
          <w:sz w:val="18"/>
          <w:vertAlign w:val="baseline"/>
        </w:rPr>
        <w:t> </w:t>
      </w:r>
      <w:r>
        <w:rPr>
          <w:sz w:val="18"/>
          <w:vertAlign w:val="baseline"/>
        </w:rPr>
        <w:t>364–</w:t>
      </w:r>
      <w:r>
        <w:rPr>
          <w:spacing w:val="-3"/>
          <w:sz w:val="18"/>
          <w:vertAlign w:val="baseline"/>
        </w:rPr>
        <w:t> </w:t>
      </w:r>
      <w:r>
        <w:rPr>
          <w:sz w:val="18"/>
          <w:vertAlign w:val="baseline"/>
        </w:rPr>
        <w:t>72, </w:t>
      </w:r>
      <w:r>
        <w:rPr>
          <w:spacing w:val="-2"/>
          <w:sz w:val="18"/>
          <w:vertAlign w:val="baseline"/>
        </w:rPr>
        <w:t>https://doi.org/10.1177/1090198111418634.</w:t>
      </w:r>
    </w:p>
    <w:p>
      <w:pPr>
        <w:spacing w:before="13"/>
        <w:ind w:left="463" w:right="0" w:firstLine="0"/>
        <w:jc w:val="left"/>
        <w:rPr>
          <w:sz w:val="18"/>
        </w:rPr>
      </w:pPr>
      <w:r>
        <w:rPr>
          <w:sz w:val="18"/>
          <w:vertAlign w:val="superscript"/>
        </w:rPr>
        <w:t>5</w:t>
      </w:r>
      <w:r>
        <w:rPr>
          <w:spacing w:val="-12"/>
          <w:sz w:val="18"/>
          <w:vertAlign w:val="baseline"/>
        </w:rPr>
        <w:t> </w:t>
      </w:r>
      <w:r>
        <w:rPr>
          <w:sz w:val="18"/>
          <w:vertAlign w:val="baseline"/>
        </w:rPr>
        <w:t>Golden</w:t>
      </w:r>
      <w:r>
        <w:rPr>
          <w:spacing w:val="1"/>
          <w:sz w:val="18"/>
          <w:vertAlign w:val="baseline"/>
        </w:rPr>
        <w:t> </w:t>
      </w:r>
      <w:r>
        <w:rPr>
          <w:sz w:val="18"/>
          <w:vertAlign w:val="baseline"/>
        </w:rPr>
        <w:t>and</w:t>
      </w:r>
      <w:r>
        <w:rPr>
          <w:spacing w:val="1"/>
          <w:sz w:val="18"/>
          <w:vertAlign w:val="baseline"/>
        </w:rPr>
        <w:t> </w:t>
      </w:r>
      <w:r>
        <w:rPr>
          <w:spacing w:val="-2"/>
          <w:sz w:val="18"/>
          <w:vertAlign w:val="baseline"/>
        </w:rPr>
        <w:t>Earp.</w:t>
      </w:r>
    </w:p>
    <w:p>
      <w:pPr>
        <w:spacing w:line="273" w:lineRule="auto" w:before="49"/>
        <w:ind w:left="463" w:right="0" w:firstLine="0"/>
        <w:jc w:val="left"/>
        <w:rPr>
          <w:sz w:val="18"/>
        </w:rPr>
      </w:pPr>
      <w:r>
        <w:rPr>
          <w:sz w:val="18"/>
          <w:vertAlign w:val="superscript"/>
        </w:rPr>
        <w:t>6</w:t>
      </w:r>
      <w:r>
        <w:rPr>
          <w:spacing w:val="-12"/>
          <w:sz w:val="18"/>
          <w:vertAlign w:val="baseline"/>
        </w:rPr>
        <w:t> </w:t>
      </w:r>
      <w:r>
        <w:rPr>
          <w:sz w:val="18"/>
          <w:vertAlign w:val="baseline"/>
        </w:rPr>
        <w:t>American</w:t>
      </w:r>
      <w:r>
        <w:rPr>
          <w:spacing w:val="-5"/>
          <w:sz w:val="18"/>
          <w:vertAlign w:val="baseline"/>
        </w:rPr>
        <w:t> </w:t>
      </w:r>
      <w:r>
        <w:rPr>
          <w:sz w:val="18"/>
          <w:vertAlign w:val="baseline"/>
        </w:rPr>
        <w:t>College</w:t>
      </w:r>
      <w:r>
        <w:rPr>
          <w:spacing w:val="-3"/>
          <w:sz w:val="18"/>
          <w:vertAlign w:val="baseline"/>
        </w:rPr>
        <w:t> </w:t>
      </w:r>
      <w:r>
        <w:rPr>
          <w:sz w:val="18"/>
          <w:vertAlign w:val="baseline"/>
        </w:rPr>
        <w:t>Health</w:t>
      </w:r>
      <w:r>
        <w:rPr>
          <w:spacing w:val="-3"/>
          <w:sz w:val="18"/>
          <w:vertAlign w:val="baseline"/>
        </w:rPr>
        <w:t> </w:t>
      </w:r>
      <w:r>
        <w:rPr>
          <w:sz w:val="18"/>
          <w:vertAlign w:val="baseline"/>
        </w:rPr>
        <w:t>Association,</w:t>
      </w:r>
      <w:r>
        <w:rPr>
          <w:spacing w:val="-4"/>
          <w:sz w:val="18"/>
          <w:vertAlign w:val="baseline"/>
        </w:rPr>
        <w:t> </w:t>
      </w:r>
      <w:r>
        <w:rPr>
          <w:sz w:val="18"/>
          <w:vertAlign w:val="baseline"/>
        </w:rPr>
        <w:t>“Ecological</w:t>
      </w:r>
      <w:r>
        <w:rPr>
          <w:spacing w:val="-4"/>
          <w:sz w:val="18"/>
          <w:vertAlign w:val="baseline"/>
        </w:rPr>
        <w:t> </w:t>
      </w:r>
      <w:r>
        <w:rPr>
          <w:sz w:val="18"/>
          <w:vertAlign w:val="baseline"/>
        </w:rPr>
        <w:t>Model,”</w:t>
      </w:r>
      <w:r>
        <w:rPr>
          <w:spacing w:val="-3"/>
          <w:sz w:val="18"/>
          <w:vertAlign w:val="baseline"/>
        </w:rPr>
        <w:t> </w:t>
      </w:r>
      <w:r>
        <w:rPr>
          <w:sz w:val="18"/>
          <w:vertAlign w:val="baseline"/>
        </w:rPr>
        <w:t>Healthy</w:t>
      </w:r>
      <w:r>
        <w:rPr>
          <w:spacing w:val="-3"/>
          <w:sz w:val="18"/>
          <w:vertAlign w:val="baseline"/>
        </w:rPr>
        <w:t> </w:t>
      </w:r>
      <w:r>
        <w:rPr>
          <w:sz w:val="18"/>
          <w:vertAlign w:val="baseline"/>
        </w:rPr>
        <w:t>Campus,</w:t>
      </w:r>
      <w:r>
        <w:rPr>
          <w:spacing w:val="-4"/>
          <w:sz w:val="18"/>
          <w:vertAlign w:val="baseline"/>
        </w:rPr>
        <w:t> </w:t>
      </w:r>
      <w:r>
        <w:rPr>
          <w:sz w:val="18"/>
          <w:vertAlign w:val="baseline"/>
        </w:rPr>
        <w:t>accessed</w:t>
      </w:r>
      <w:r>
        <w:rPr>
          <w:spacing w:val="-3"/>
          <w:sz w:val="18"/>
          <w:vertAlign w:val="baseline"/>
        </w:rPr>
        <w:t> </w:t>
      </w:r>
      <w:r>
        <w:rPr>
          <w:sz w:val="18"/>
          <w:vertAlign w:val="baseline"/>
        </w:rPr>
        <w:t>December</w:t>
      </w:r>
      <w:r>
        <w:rPr>
          <w:spacing w:val="-4"/>
          <w:sz w:val="18"/>
          <w:vertAlign w:val="baseline"/>
        </w:rPr>
        <w:t> </w:t>
      </w:r>
      <w:r>
        <w:rPr>
          <w:sz w:val="18"/>
          <w:vertAlign w:val="baseline"/>
        </w:rPr>
        <w:t>17,</w:t>
      </w:r>
      <w:r>
        <w:rPr>
          <w:spacing w:val="-4"/>
          <w:sz w:val="18"/>
          <w:vertAlign w:val="baseline"/>
        </w:rPr>
        <w:t> </w:t>
      </w:r>
      <w:r>
        <w:rPr>
          <w:sz w:val="18"/>
          <w:vertAlign w:val="baseline"/>
        </w:rPr>
        <w:t>2022, </w:t>
      </w:r>
      <w:r>
        <w:rPr>
          <w:spacing w:val="-2"/>
          <w:sz w:val="18"/>
          <w:vertAlign w:val="baseline"/>
        </w:rPr>
        <w:t>https</w:t>
      </w:r>
      <w:hyperlink r:id="rId143">
        <w:r>
          <w:rPr>
            <w:spacing w:val="-2"/>
            <w:sz w:val="18"/>
            <w:vertAlign w:val="baseline"/>
          </w:rPr>
          <w:t>://www.acha.org/HealthyCampus/HealthyCampus/Ecological_Model.aspx.</w:t>
        </w:r>
      </w:hyperlink>
    </w:p>
    <w:p>
      <w:pPr>
        <w:spacing w:line="268" w:lineRule="auto" w:before="9"/>
        <w:ind w:left="463" w:right="311" w:firstLine="0"/>
        <w:jc w:val="left"/>
        <w:rPr>
          <w:sz w:val="18"/>
        </w:rPr>
      </w:pPr>
      <w:r>
        <w:rPr>
          <w:sz w:val="18"/>
          <w:vertAlign w:val="superscript"/>
        </w:rPr>
        <w:t>7</w:t>
      </w:r>
      <w:r>
        <w:rPr>
          <w:spacing w:val="-12"/>
          <w:sz w:val="18"/>
          <w:vertAlign w:val="baseline"/>
        </w:rPr>
        <w:t> </w:t>
      </w:r>
      <w:r>
        <w:rPr>
          <w:sz w:val="18"/>
          <w:vertAlign w:val="baseline"/>
        </w:rPr>
        <w:t>“Recommended</w:t>
      </w:r>
      <w:r>
        <w:rPr>
          <w:spacing w:val="-4"/>
          <w:sz w:val="18"/>
          <w:vertAlign w:val="baseline"/>
        </w:rPr>
        <w:t> </w:t>
      </w:r>
      <w:r>
        <w:rPr>
          <w:sz w:val="18"/>
          <w:vertAlign w:val="baseline"/>
        </w:rPr>
        <w:t>Data</w:t>
      </w:r>
      <w:r>
        <w:rPr>
          <w:spacing w:val="-3"/>
          <w:sz w:val="18"/>
          <w:vertAlign w:val="baseline"/>
        </w:rPr>
        <w:t> </w:t>
      </w:r>
      <w:r>
        <w:rPr>
          <w:sz w:val="18"/>
          <w:vertAlign w:val="baseline"/>
        </w:rPr>
        <w:t>Reporting</w:t>
      </w:r>
      <w:r>
        <w:rPr>
          <w:spacing w:val="-3"/>
          <w:sz w:val="18"/>
          <w:vertAlign w:val="baseline"/>
        </w:rPr>
        <w:t> </w:t>
      </w:r>
      <w:r>
        <w:rPr>
          <w:sz w:val="18"/>
          <w:vertAlign w:val="baseline"/>
        </w:rPr>
        <w:t>Standards:</w:t>
      </w:r>
      <w:r>
        <w:rPr>
          <w:spacing w:val="-3"/>
          <w:sz w:val="18"/>
          <w:vertAlign w:val="baseline"/>
        </w:rPr>
        <w:t> </w:t>
      </w:r>
      <w:r>
        <w:rPr>
          <w:sz w:val="18"/>
          <w:vertAlign w:val="baseline"/>
        </w:rPr>
        <w:t>Recommendations</w:t>
      </w:r>
      <w:r>
        <w:rPr>
          <w:spacing w:val="-3"/>
          <w:sz w:val="18"/>
          <w:vertAlign w:val="baseline"/>
        </w:rPr>
        <w:t> </w:t>
      </w:r>
      <w:r>
        <w:rPr>
          <w:sz w:val="18"/>
          <w:vertAlign w:val="baseline"/>
        </w:rPr>
        <w:t>for</w:t>
      </w:r>
      <w:r>
        <w:rPr>
          <w:spacing w:val="-4"/>
          <w:sz w:val="18"/>
          <w:vertAlign w:val="baseline"/>
        </w:rPr>
        <w:t> </w:t>
      </w:r>
      <w:r>
        <w:rPr>
          <w:sz w:val="18"/>
          <w:vertAlign w:val="baseline"/>
        </w:rPr>
        <w:t>Reporting</w:t>
      </w:r>
      <w:r>
        <w:rPr>
          <w:spacing w:val="-3"/>
          <w:sz w:val="18"/>
          <w:vertAlign w:val="baseline"/>
        </w:rPr>
        <w:t> </w:t>
      </w:r>
      <w:r>
        <w:rPr>
          <w:sz w:val="18"/>
          <w:vertAlign w:val="baseline"/>
        </w:rPr>
        <w:t>on</w:t>
      </w:r>
      <w:r>
        <w:rPr>
          <w:spacing w:val="-3"/>
          <w:sz w:val="18"/>
          <w:vertAlign w:val="baseline"/>
        </w:rPr>
        <w:t> </w:t>
      </w:r>
      <w:r>
        <w:rPr>
          <w:sz w:val="18"/>
          <w:vertAlign w:val="baseline"/>
        </w:rPr>
        <w:t>Race,</w:t>
      </w:r>
      <w:r>
        <w:rPr>
          <w:spacing w:val="-4"/>
          <w:sz w:val="18"/>
          <w:vertAlign w:val="baseline"/>
        </w:rPr>
        <w:t> </w:t>
      </w:r>
      <w:r>
        <w:rPr>
          <w:sz w:val="18"/>
          <w:vertAlign w:val="baseline"/>
        </w:rPr>
        <w:t>Ethnicity,</w:t>
      </w:r>
      <w:r>
        <w:rPr>
          <w:spacing w:val="-3"/>
          <w:sz w:val="18"/>
          <w:vertAlign w:val="baseline"/>
        </w:rPr>
        <w:t> </w:t>
      </w:r>
      <w:r>
        <w:rPr>
          <w:sz w:val="18"/>
          <w:vertAlign w:val="baseline"/>
        </w:rPr>
        <w:t>Sexual</w:t>
      </w:r>
      <w:r>
        <w:rPr>
          <w:spacing w:val="-4"/>
          <w:sz w:val="18"/>
          <w:vertAlign w:val="baseline"/>
        </w:rPr>
        <w:t> </w:t>
      </w:r>
      <w:r>
        <w:rPr>
          <w:sz w:val="18"/>
          <w:vertAlign w:val="baseline"/>
        </w:rPr>
        <w:t>Orientation</w:t>
      </w:r>
      <w:r>
        <w:rPr>
          <w:spacing w:val="-3"/>
          <w:sz w:val="18"/>
          <w:vertAlign w:val="baseline"/>
        </w:rPr>
        <w:t> </w:t>
      </w:r>
      <w:r>
        <w:rPr>
          <w:sz w:val="18"/>
          <w:vertAlign w:val="baseline"/>
        </w:rPr>
        <w:t>and Gender Identity” (Massachusetts: The Juvenile Justice Policy and Data Board, November 2020), </w:t>
      </w:r>
      <w:r>
        <w:rPr>
          <w:spacing w:val="-2"/>
          <w:sz w:val="18"/>
          <w:vertAlign w:val="baseline"/>
        </w:rPr>
        <w:t>https://drive.google.com/drive/u/2/folders/18_t2Wa0JjoIyKMPhwpJLiKhzK0G6VdNJ.</w:t>
      </w:r>
    </w:p>
    <w:p>
      <w:pPr>
        <w:spacing w:line="273" w:lineRule="auto" w:before="14"/>
        <w:ind w:left="463" w:right="311" w:firstLine="0"/>
        <w:jc w:val="left"/>
        <w:rPr>
          <w:sz w:val="18"/>
        </w:rPr>
      </w:pPr>
      <w:r>
        <w:rPr>
          <w:sz w:val="18"/>
          <w:vertAlign w:val="superscript"/>
        </w:rPr>
        <w:t>8</w:t>
      </w:r>
      <w:r>
        <w:rPr>
          <w:spacing w:val="-12"/>
          <w:sz w:val="18"/>
          <w:vertAlign w:val="baseline"/>
        </w:rPr>
        <w:t> </w:t>
      </w:r>
      <w:r>
        <w:rPr>
          <w:sz w:val="18"/>
          <w:vertAlign w:val="baseline"/>
        </w:rPr>
        <w:t>Alison</w:t>
      </w:r>
      <w:r>
        <w:rPr>
          <w:spacing w:val="-4"/>
          <w:sz w:val="18"/>
          <w:vertAlign w:val="baseline"/>
        </w:rPr>
        <w:t> </w:t>
      </w:r>
      <w:r>
        <w:rPr>
          <w:sz w:val="18"/>
          <w:vertAlign w:val="baseline"/>
        </w:rPr>
        <w:t>Delpercio</w:t>
      </w:r>
      <w:r>
        <w:rPr>
          <w:spacing w:val="-3"/>
          <w:sz w:val="18"/>
          <w:vertAlign w:val="baseline"/>
        </w:rPr>
        <w:t> </w:t>
      </w:r>
      <w:r>
        <w:rPr>
          <w:sz w:val="18"/>
          <w:vertAlign w:val="baseline"/>
        </w:rPr>
        <w:t>and</w:t>
      </w:r>
      <w:r>
        <w:rPr>
          <w:spacing w:val="-3"/>
          <w:sz w:val="18"/>
          <w:vertAlign w:val="baseline"/>
        </w:rPr>
        <w:t> </w:t>
      </w:r>
      <w:r>
        <w:rPr>
          <w:sz w:val="18"/>
          <w:vertAlign w:val="baseline"/>
        </w:rPr>
        <w:t>Gabe</w:t>
      </w:r>
      <w:r>
        <w:rPr>
          <w:spacing w:val="-3"/>
          <w:sz w:val="18"/>
          <w:vertAlign w:val="baseline"/>
        </w:rPr>
        <w:t> </w:t>
      </w:r>
      <w:r>
        <w:rPr>
          <w:sz w:val="18"/>
          <w:vertAlign w:val="baseline"/>
        </w:rPr>
        <w:t>Murchison,</w:t>
      </w:r>
      <w:r>
        <w:rPr>
          <w:spacing w:val="-4"/>
          <w:sz w:val="18"/>
          <w:vertAlign w:val="baseline"/>
        </w:rPr>
        <w:t> </w:t>
      </w:r>
      <w:r>
        <w:rPr>
          <w:sz w:val="18"/>
          <w:vertAlign w:val="baseline"/>
        </w:rPr>
        <w:t>“SOGIE*</w:t>
      </w:r>
      <w:r>
        <w:rPr>
          <w:spacing w:val="-3"/>
          <w:sz w:val="18"/>
          <w:vertAlign w:val="baseline"/>
        </w:rPr>
        <w:t> </w:t>
      </w:r>
      <w:r>
        <w:rPr>
          <w:sz w:val="18"/>
          <w:vertAlign w:val="baseline"/>
        </w:rPr>
        <w:t>Data</w:t>
      </w:r>
      <w:r>
        <w:rPr>
          <w:spacing w:val="-3"/>
          <w:sz w:val="18"/>
          <w:vertAlign w:val="baseline"/>
        </w:rPr>
        <w:t> </w:t>
      </w:r>
      <w:r>
        <w:rPr>
          <w:sz w:val="18"/>
          <w:vertAlign w:val="baseline"/>
        </w:rPr>
        <w:t>Collection”</w:t>
      </w:r>
      <w:r>
        <w:rPr>
          <w:spacing w:val="-3"/>
          <w:sz w:val="18"/>
          <w:vertAlign w:val="baseline"/>
        </w:rPr>
        <w:t> </w:t>
      </w:r>
      <w:r>
        <w:rPr>
          <w:sz w:val="18"/>
          <w:vertAlign w:val="baseline"/>
        </w:rPr>
        <w:t>(Washington,</w:t>
      </w:r>
      <w:r>
        <w:rPr>
          <w:spacing w:val="-4"/>
          <w:sz w:val="18"/>
          <w:vertAlign w:val="baseline"/>
        </w:rPr>
        <w:t> </w:t>
      </w:r>
      <w:r>
        <w:rPr>
          <w:sz w:val="18"/>
          <w:vertAlign w:val="baseline"/>
        </w:rPr>
        <w:t>D.C.:</w:t>
      </w:r>
      <w:r>
        <w:rPr>
          <w:spacing w:val="-3"/>
          <w:sz w:val="18"/>
          <w:vertAlign w:val="baseline"/>
        </w:rPr>
        <w:t> </w:t>
      </w:r>
      <w:r>
        <w:rPr>
          <w:sz w:val="18"/>
          <w:vertAlign w:val="baseline"/>
        </w:rPr>
        <w:t>Human</w:t>
      </w:r>
      <w:r>
        <w:rPr>
          <w:spacing w:val="-3"/>
          <w:sz w:val="18"/>
          <w:vertAlign w:val="baseline"/>
        </w:rPr>
        <w:t> </w:t>
      </w:r>
      <w:r>
        <w:rPr>
          <w:sz w:val="18"/>
          <w:vertAlign w:val="baseline"/>
        </w:rPr>
        <w:t>Rights</w:t>
      </w:r>
      <w:r>
        <w:rPr>
          <w:spacing w:val="-3"/>
          <w:sz w:val="18"/>
          <w:vertAlign w:val="baseline"/>
        </w:rPr>
        <w:t> </w:t>
      </w:r>
      <w:r>
        <w:rPr>
          <w:sz w:val="18"/>
          <w:vertAlign w:val="baseline"/>
        </w:rPr>
        <w:t>Campaign</w:t>
      </w:r>
      <w:r>
        <w:rPr>
          <w:spacing w:val="-3"/>
          <w:sz w:val="18"/>
          <w:vertAlign w:val="baseline"/>
        </w:rPr>
        <w:t> </w:t>
      </w:r>
      <w:r>
        <w:rPr>
          <w:sz w:val="18"/>
          <w:vertAlign w:val="baseline"/>
        </w:rPr>
        <w:t>Foundation, 2017),</w:t>
      </w:r>
      <w:r>
        <w:rPr>
          <w:spacing w:val="-2"/>
          <w:sz w:val="18"/>
          <w:vertAlign w:val="baseline"/>
        </w:rPr>
        <w:t> </w:t>
      </w:r>
      <w:hyperlink r:id="rId144">
        <w:r>
          <w:rPr>
            <w:sz w:val="18"/>
            <w:vertAlign w:val="baseline"/>
          </w:rPr>
          <w:t>http://assets2.hrc.org/files/assets/resources/HRC_ACAF_SOGIE_Data_Collection_Guide.pdf</w:t>
        </w:r>
      </w:hyperlink>
    </w:p>
    <w:p>
      <w:pPr>
        <w:spacing w:line="266" w:lineRule="auto" w:before="9"/>
        <w:ind w:left="463" w:right="449" w:hanging="1"/>
        <w:jc w:val="left"/>
        <w:rPr>
          <w:sz w:val="18"/>
        </w:rPr>
      </w:pPr>
      <w:r>
        <w:rPr>
          <w:sz w:val="18"/>
          <w:vertAlign w:val="superscript"/>
        </w:rPr>
        <w:t>9</w:t>
      </w:r>
      <w:r>
        <w:rPr>
          <w:spacing w:val="-7"/>
          <w:sz w:val="18"/>
          <w:vertAlign w:val="baseline"/>
        </w:rPr>
        <w:t> </w:t>
      </w:r>
      <w:r>
        <w:rPr>
          <w:sz w:val="18"/>
          <w:vertAlign w:val="baseline"/>
        </w:rPr>
        <w:t>“Ready, Set, Go! Guidelines and Tips For Collecting Patient Data on Sexual Orientation and Gender Identity (SOGI) – 2022 Update” (Boston, Massachusetts: National LGBTQIA+ Health Education Center - A Program of the Fenway Institute, May 5, 2022),</w:t>
      </w:r>
      <w:r>
        <w:rPr>
          <w:spacing w:val="-11"/>
          <w:sz w:val="18"/>
          <w:vertAlign w:val="baseline"/>
        </w:rPr>
        <w:t> </w:t>
      </w:r>
      <w:r>
        <w:rPr>
          <w:sz w:val="18"/>
          <w:vertAlign w:val="baseline"/>
        </w:rPr>
        <w:t>https://</w:t>
      </w:r>
      <w:hyperlink r:id="rId145">
        <w:r>
          <w:rPr>
            <w:sz w:val="18"/>
            <w:vertAlign w:val="baseline"/>
          </w:rPr>
          <w:t>www.lgbtqiahealtheducation.org/publication/ready-set-go-a-guide-for-collecting-data-on-sexual-</w:t>
        </w:r>
      </w:hyperlink>
      <w:r>
        <w:rPr>
          <w:spacing w:val="-10"/>
          <w:sz w:val="18"/>
          <w:vertAlign w:val="baseline"/>
        </w:rPr>
        <w:t> </w:t>
      </w:r>
      <w:r>
        <w:rPr>
          <w:sz w:val="18"/>
          <w:vertAlign w:val="baseline"/>
        </w:rPr>
        <w:t>orientation- </w:t>
      </w:r>
      <w:r>
        <w:rPr>
          <w:spacing w:val="-2"/>
          <w:sz w:val="18"/>
          <w:vertAlign w:val="baseline"/>
        </w:rPr>
        <w:t>and-gender-identity-2022-update/.</w:t>
      </w:r>
    </w:p>
    <w:p>
      <w:pPr>
        <w:spacing w:line="273" w:lineRule="auto" w:before="18"/>
        <w:ind w:left="463" w:right="300" w:hanging="1"/>
        <w:jc w:val="left"/>
        <w:rPr>
          <w:sz w:val="18"/>
        </w:rPr>
      </w:pPr>
      <w:r>
        <w:rPr>
          <w:sz w:val="18"/>
          <w:vertAlign w:val="superscript"/>
        </w:rPr>
        <w:t>10</w:t>
      </w:r>
      <w:r>
        <w:rPr>
          <w:spacing w:val="-12"/>
          <w:sz w:val="18"/>
          <w:vertAlign w:val="baseline"/>
        </w:rPr>
        <w:t> </w:t>
      </w:r>
      <w:r>
        <w:rPr>
          <w:sz w:val="18"/>
          <w:vertAlign w:val="baseline"/>
        </w:rPr>
        <w:t>“Fast</w:t>
      </w:r>
      <w:r>
        <w:rPr>
          <w:spacing w:val="-3"/>
          <w:sz w:val="18"/>
          <w:vertAlign w:val="baseline"/>
        </w:rPr>
        <w:t> </w:t>
      </w:r>
      <w:r>
        <w:rPr>
          <w:sz w:val="18"/>
          <w:vertAlign w:val="baseline"/>
        </w:rPr>
        <w:t>Facts:</w:t>
      </w:r>
      <w:r>
        <w:rPr>
          <w:spacing w:val="-2"/>
          <w:sz w:val="18"/>
          <w:vertAlign w:val="baseline"/>
        </w:rPr>
        <w:t> </w:t>
      </w:r>
      <w:r>
        <w:rPr>
          <w:sz w:val="18"/>
          <w:vertAlign w:val="baseline"/>
        </w:rPr>
        <w:t>Preventing</w:t>
      </w:r>
      <w:r>
        <w:rPr>
          <w:spacing w:val="-2"/>
          <w:sz w:val="18"/>
          <w:vertAlign w:val="baseline"/>
        </w:rPr>
        <w:t> </w:t>
      </w:r>
      <w:r>
        <w:rPr>
          <w:sz w:val="18"/>
          <w:vertAlign w:val="baseline"/>
        </w:rPr>
        <w:t>Teen</w:t>
      </w:r>
      <w:r>
        <w:rPr>
          <w:spacing w:val="-2"/>
          <w:sz w:val="18"/>
          <w:vertAlign w:val="baseline"/>
        </w:rPr>
        <w:t> </w:t>
      </w:r>
      <w:r>
        <w:rPr>
          <w:sz w:val="18"/>
          <w:vertAlign w:val="baseline"/>
        </w:rPr>
        <w:t>Dating</w:t>
      </w:r>
      <w:r>
        <w:rPr>
          <w:spacing w:val="-2"/>
          <w:sz w:val="18"/>
          <w:vertAlign w:val="baseline"/>
        </w:rPr>
        <w:t> </w:t>
      </w:r>
      <w:r>
        <w:rPr>
          <w:sz w:val="18"/>
          <w:vertAlign w:val="baseline"/>
        </w:rPr>
        <w:t>Violence,”</w:t>
      </w:r>
      <w:r>
        <w:rPr>
          <w:spacing w:val="-2"/>
          <w:sz w:val="18"/>
          <w:vertAlign w:val="baseline"/>
        </w:rPr>
        <w:t> </w:t>
      </w:r>
      <w:r>
        <w:rPr>
          <w:sz w:val="18"/>
          <w:vertAlign w:val="baseline"/>
        </w:rPr>
        <w:t>Centers</w:t>
      </w:r>
      <w:r>
        <w:rPr>
          <w:spacing w:val="-2"/>
          <w:sz w:val="18"/>
          <w:vertAlign w:val="baseline"/>
        </w:rPr>
        <w:t> </w:t>
      </w:r>
      <w:r>
        <w:rPr>
          <w:sz w:val="18"/>
          <w:vertAlign w:val="baseline"/>
        </w:rPr>
        <w:t>for</w:t>
      </w:r>
      <w:r>
        <w:rPr>
          <w:spacing w:val="-3"/>
          <w:sz w:val="18"/>
          <w:vertAlign w:val="baseline"/>
        </w:rPr>
        <w:t> </w:t>
      </w:r>
      <w:r>
        <w:rPr>
          <w:sz w:val="18"/>
          <w:vertAlign w:val="baseline"/>
        </w:rPr>
        <w:t>Disease</w:t>
      </w:r>
      <w:r>
        <w:rPr>
          <w:spacing w:val="-2"/>
          <w:sz w:val="18"/>
          <w:vertAlign w:val="baseline"/>
        </w:rPr>
        <w:t> </w:t>
      </w:r>
      <w:r>
        <w:rPr>
          <w:sz w:val="18"/>
          <w:vertAlign w:val="baseline"/>
        </w:rPr>
        <w:t>Control</w:t>
      </w:r>
      <w:r>
        <w:rPr>
          <w:spacing w:val="-3"/>
          <w:sz w:val="18"/>
          <w:vertAlign w:val="baseline"/>
        </w:rPr>
        <w:t> </w:t>
      </w:r>
      <w:r>
        <w:rPr>
          <w:sz w:val="18"/>
          <w:vertAlign w:val="baseline"/>
        </w:rPr>
        <w:t>and</w:t>
      </w:r>
      <w:r>
        <w:rPr>
          <w:spacing w:val="-3"/>
          <w:sz w:val="18"/>
          <w:vertAlign w:val="baseline"/>
        </w:rPr>
        <w:t> </w:t>
      </w:r>
      <w:r>
        <w:rPr>
          <w:sz w:val="18"/>
          <w:vertAlign w:val="baseline"/>
        </w:rPr>
        <w:t>Prevention</w:t>
      </w:r>
      <w:r>
        <w:rPr>
          <w:spacing w:val="-2"/>
          <w:sz w:val="18"/>
          <w:vertAlign w:val="baseline"/>
        </w:rPr>
        <w:t> </w:t>
      </w:r>
      <w:r>
        <w:rPr>
          <w:sz w:val="18"/>
          <w:vertAlign w:val="baseline"/>
        </w:rPr>
        <w:t>-</w:t>
      </w:r>
      <w:r>
        <w:rPr>
          <w:spacing w:val="-4"/>
          <w:sz w:val="18"/>
          <w:vertAlign w:val="baseline"/>
        </w:rPr>
        <w:t> </w:t>
      </w:r>
      <w:r>
        <w:rPr>
          <w:sz w:val="18"/>
          <w:vertAlign w:val="baseline"/>
        </w:rPr>
        <w:t>Violence</w:t>
      </w:r>
      <w:r>
        <w:rPr>
          <w:spacing w:val="-2"/>
          <w:sz w:val="18"/>
          <w:vertAlign w:val="baseline"/>
        </w:rPr>
        <w:t> </w:t>
      </w:r>
      <w:r>
        <w:rPr>
          <w:sz w:val="18"/>
          <w:vertAlign w:val="baseline"/>
        </w:rPr>
        <w:t>Prevention,</w:t>
      </w:r>
      <w:r>
        <w:rPr>
          <w:spacing w:val="-3"/>
          <w:sz w:val="18"/>
          <w:vertAlign w:val="baseline"/>
        </w:rPr>
        <w:t> </w:t>
      </w:r>
      <w:r>
        <w:rPr>
          <w:sz w:val="18"/>
          <w:vertAlign w:val="baseline"/>
        </w:rPr>
        <w:t>February</w:t>
      </w:r>
      <w:r>
        <w:rPr>
          <w:spacing w:val="-2"/>
          <w:sz w:val="18"/>
          <w:vertAlign w:val="baseline"/>
        </w:rPr>
        <w:t> </w:t>
      </w:r>
      <w:r>
        <w:rPr>
          <w:sz w:val="18"/>
          <w:vertAlign w:val="baseline"/>
        </w:rPr>
        <w:t>8, 2023,</w:t>
      </w:r>
      <w:r>
        <w:rPr>
          <w:spacing w:val="-2"/>
          <w:sz w:val="18"/>
          <w:vertAlign w:val="baseline"/>
        </w:rPr>
        <w:t> </w:t>
      </w:r>
      <w:r>
        <w:rPr>
          <w:sz w:val="18"/>
          <w:vertAlign w:val="baseline"/>
        </w:rPr>
        <w:t>https://</w:t>
      </w:r>
      <w:hyperlink r:id="rId146">
        <w:r>
          <w:rPr>
            <w:sz w:val="18"/>
            <w:vertAlign w:val="baseline"/>
          </w:rPr>
          <w:t>www.cdc.gov/violenceprevention/intimatepartnerviolence/teendatingviolence/fastfact.html.</w:t>
        </w:r>
      </w:hyperlink>
    </w:p>
    <w:p>
      <w:pPr>
        <w:spacing w:line="212" w:lineRule="exact" w:before="0"/>
        <w:ind w:left="463" w:right="0" w:firstLine="0"/>
        <w:jc w:val="left"/>
        <w:rPr>
          <w:sz w:val="18"/>
        </w:rPr>
      </w:pPr>
      <w:r>
        <w:rPr>
          <w:sz w:val="18"/>
          <w:vertAlign w:val="superscript"/>
        </w:rPr>
        <w:t>11</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2"/>
          <w:sz w:val="18"/>
          <w:vertAlign w:val="baseline"/>
        </w:rPr>
        <w:t> </w:t>
      </w:r>
      <w:r>
        <w:rPr>
          <w:sz w:val="18"/>
          <w:vertAlign w:val="baseline"/>
        </w:rPr>
        <w:t>Youth</w:t>
      </w:r>
      <w:r>
        <w:rPr>
          <w:spacing w:val="-1"/>
          <w:sz w:val="18"/>
          <w:vertAlign w:val="baseline"/>
        </w:rPr>
        <w:t> </w:t>
      </w:r>
      <w:r>
        <w:rPr>
          <w:sz w:val="18"/>
          <w:vertAlign w:val="baseline"/>
        </w:rPr>
        <w:t>Risk</w:t>
      </w:r>
      <w:r>
        <w:rPr>
          <w:spacing w:val="-3"/>
          <w:sz w:val="18"/>
          <w:vertAlign w:val="baseline"/>
        </w:rPr>
        <w:t> </w:t>
      </w:r>
      <w:r>
        <w:rPr>
          <w:sz w:val="18"/>
          <w:vertAlign w:val="baseline"/>
        </w:rPr>
        <w:t>Behavior</w:t>
      </w:r>
      <w:r>
        <w:rPr>
          <w:spacing w:val="-2"/>
          <w:sz w:val="18"/>
          <w:vertAlign w:val="baseline"/>
        </w:rPr>
        <w:t> </w:t>
      </w:r>
      <w:r>
        <w:rPr>
          <w:sz w:val="18"/>
          <w:vertAlign w:val="baseline"/>
        </w:rPr>
        <w:t>Survey</w:t>
      </w:r>
      <w:r>
        <w:rPr>
          <w:spacing w:val="-1"/>
          <w:sz w:val="18"/>
          <w:vertAlign w:val="baseline"/>
        </w:rPr>
        <w:t> </w:t>
      </w:r>
      <w:r>
        <w:rPr>
          <w:sz w:val="18"/>
          <w:vertAlign w:val="baseline"/>
        </w:rPr>
        <w:t>Data,”</w:t>
      </w:r>
      <w:r>
        <w:rPr>
          <w:spacing w:val="-2"/>
          <w:sz w:val="18"/>
          <w:vertAlign w:val="baseline"/>
        </w:rPr>
        <w:t> </w:t>
      </w:r>
      <w:r>
        <w:rPr>
          <w:spacing w:val="-4"/>
          <w:sz w:val="18"/>
          <w:vertAlign w:val="baseline"/>
        </w:rPr>
        <w:t>n.d.</w:t>
      </w:r>
    </w:p>
    <w:p>
      <w:pPr>
        <w:spacing w:before="4"/>
        <w:ind w:left="463" w:right="0" w:firstLine="0"/>
        <w:jc w:val="left"/>
        <w:rPr>
          <w:sz w:val="18"/>
        </w:rPr>
      </w:pPr>
      <w:r>
        <w:rPr>
          <w:sz w:val="18"/>
          <w:vertAlign w:val="superscript"/>
        </w:rPr>
        <w:t>12</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line="268" w:lineRule="auto" w:before="20"/>
        <w:ind w:left="463" w:right="605" w:hanging="1"/>
        <w:jc w:val="both"/>
        <w:rPr>
          <w:sz w:val="18"/>
        </w:rPr>
      </w:pPr>
      <w:r>
        <w:rPr>
          <w:sz w:val="18"/>
          <w:vertAlign w:val="superscript"/>
        </w:rPr>
        <w:t>13</w:t>
      </w:r>
      <w:r>
        <w:rPr>
          <w:spacing w:val="-11"/>
          <w:sz w:val="18"/>
          <w:vertAlign w:val="baseline"/>
        </w:rPr>
        <w:t> </w:t>
      </w:r>
      <w:r>
        <w:rPr>
          <w:sz w:val="18"/>
          <w:vertAlign w:val="baseline"/>
        </w:rPr>
        <w:t>S. E. James et</w:t>
      </w:r>
      <w:r>
        <w:rPr>
          <w:spacing w:val="-1"/>
          <w:sz w:val="18"/>
          <w:vertAlign w:val="baseline"/>
        </w:rPr>
        <w:t> </w:t>
      </w:r>
      <w:r>
        <w:rPr>
          <w:sz w:val="18"/>
          <w:vertAlign w:val="baseline"/>
        </w:rPr>
        <w:t>al., “The Report of the 2015 U.S. Transgender Survey” (Washington, D.C.: National Center for Transgender Equality</w:t>
      </w:r>
      <w:r>
        <w:rPr>
          <w:spacing w:val="-4"/>
          <w:sz w:val="18"/>
          <w:vertAlign w:val="baseline"/>
        </w:rPr>
        <w:t> </w:t>
      </w:r>
      <w:r>
        <w:rPr>
          <w:sz w:val="18"/>
          <w:vertAlign w:val="baseline"/>
        </w:rPr>
        <w:t>and</w:t>
      </w:r>
      <w:r>
        <w:rPr>
          <w:spacing w:val="-4"/>
          <w:sz w:val="18"/>
          <w:vertAlign w:val="baseline"/>
        </w:rPr>
        <w:t> </w:t>
      </w:r>
      <w:r>
        <w:rPr>
          <w:sz w:val="18"/>
          <w:vertAlign w:val="baseline"/>
        </w:rPr>
        <w:t>National</w:t>
      </w:r>
      <w:r>
        <w:rPr>
          <w:spacing w:val="-5"/>
          <w:sz w:val="18"/>
          <w:vertAlign w:val="baseline"/>
        </w:rPr>
        <w:t> </w:t>
      </w:r>
      <w:r>
        <w:rPr>
          <w:sz w:val="18"/>
          <w:vertAlign w:val="baseline"/>
        </w:rPr>
        <w:t>Gay</w:t>
      </w:r>
      <w:r>
        <w:rPr>
          <w:spacing w:val="-4"/>
          <w:sz w:val="18"/>
          <w:vertAlign w:val="baseline"/>
        </w:rPr>
        <w:t> </w:t>
      </w:r>
      <w:r>
        <w:rPr>
          <w:sz w:val="18"/>
          <w:vertAlign w:val="baseline"/>
        </w:rPr>
        <w:t>and</w:t>
      </w:r>
      <w:r>
        <w:rPr>
          <w:spacing w:val="-4"/>
          <w:sz w:val="18"/>
          <w:vertAlign w:val="baseline"/>
        </w:rPr>
        <w:t> </w:t>
      </w:r>
      <w:r>
        <w:rPr>
          <w:sz w:val="18"/>
          <w:vertAlign w:val="baseline"/>
        </w:rPr>
        <w:t>Lesbian</w:t>
      </w:r>
      <w:r>
        <w:rPr>
          <w:spacing w:val="-4"/>
          <w:sz w:val="18"/>
          <w:vertAlign w:val="baseline"/>
        </w:rPr>
        <w:t> </w:t>
      </w:r>
      <w:r>
        <w:rPr>
          <w:sz w:val="18"/>
          <w:vertAlign w:val="baseline"/>
        </w:rPr>
        <w:t>Task</w:t>
      </w:r>
      <w:r>
        <w:rPr>
          <w:spacing w:val="-5"/>
          <w:sz w:val="18"/>
          <w:vertAlign w:val="baseline"/>
        </w:rPr>
        <w:t> </w:t>
      </w:r>
      <w:r>
        <w:rPr>
          <w:sz w:val="18"/>
          <w:vertAlign w:val="baseline"/>
        </w:rPr>
        <w:t>Force,</w:t>
      </w:r>
      <w:r>
        <w:rPr>
          <w:spacing w:val="-5"/>
          <w:sz w:val="18"/>
          <w:vertAlign w:val="baseline"/>
        </w:rPr>
        <w:t> </w:t>
      </w:r>
      <w:r>
        <w:rPr>
          <w:sz w:val="18"/>
          <w:vertAlign w:val="baseline"/>
        </w:rPr>
        <w:t>2016),</w:t>
      </w:r>
      <w:r>
        <w:rPr>
          <w:spacing w:val="-5"/>
          <w:sz w:val="18"/>
          <w:vertAlign w:val="baseline"/>
        </w:rPr>
        <w:t> </w:t>
      </w:r>
      <w:r>
        <w:rPr>
          <w:sz w:val="18"/>
          <w:vertAlign w:val="baseline"/>
        </w:rPr>
        <w:t>https://transequality.org/sites/default/files/docs/usts/USTS-Full- </w:t>
      </w:r>
      <w:r>
        <w:rPr>
          <w:spacing w:val="-2"/>
          <w:sz w:val="18"/>
          <w:vertAlign w:val="baseline"/>
        </w:rPr>
        <w:t>Report-Dec17.pdf.</w:t>
      </w:r>
    </w:p>
    <w:p>
      <w:pPr>
        <w:spacing w:line="215" w:lineRule="exact" w:before="0"/>
        <w:ind w:left="463" w:right="0" w:firstLine="0"/>
        <w:jc w:val="both"/>
        <w:rPr>
          <w:sz w:val="18"/>
        </w:rPr>
      </w:pPr>
      <w:r>
        <w:rPr>
          <w:sz w:val="18"/>
          <w:vertAlign w:val="superscript"/>
        </w:rPr>
        <w:t>14</w:t>
      </w:r>
      <w:r>
        <w:rPr>
          <w:spacing w:val="-10"/>
          <w:sz w:val="18"/>
          <w:vertAlign w:val="baseline"/>
        </w:rPr>
        <w:t> </w:t>
      </w:r>
      <w:r>
        <w:rPr>
          <w:sz w:val="18"/>
          <w:vertAlign w:val="baseline"/>
        </w:rPr>
        <w:t>James</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20"/>
        <w:ind w:left="463" w:right="0" w:firstLine="0"/>
        <w:jc w:val="left"/>
        <w:rPr>
          <w:sz w:val="18"/>
        </w:rPr>
      </w:pPr>
      <w:r>
        <w:rPr>
          <w:sz w:val="18"/>
          <w:vertAlign w:val="superscript"/>
        </w:rPr>
        <w:t>15</w:t>
      </w:r>
      <w:r>
        <w:rPr>
          <w:spacing w:val="-10"/>
          <w:sz w:val="18"/>
          <w:vertAlign w:val="baseline"/>
        </w:rPr>
        <w:t> </w:t>
      </w:r>
      <w:r>
        <w:rPr>
          <w:sz w:val="18"/>
          <w:vertAlign w:val="baseline"/>
        </w:rPr>
        <w:t>James</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3"/>
        <w:ind w:left="463" w:right="0" w:firstLine="0"/>
        <w:jc w:val="left"/>
        <w:rPr>
          <w:sz w:val="18"/>
        </w:rPr>
      </w:pPr>
      <w:r>
        <w:rPr>
          <w:sz w:val="18"/>
          <w:vertAlign w:val="superscript"/>
        </w:rPr>
        <w:t>16</w:t>
      </w:r>
      <w:r>
        <w:rPr>
          <w:spacing w:val="-10"/>
          <w:sz w:val="18"/>
          <w:vertAlign w:val="baseline"/>
        </w:rPr>
        <w:t> </w:t>
      </w:r>
      <w:r>
        <w:rPr>
          <w:sz w:val="18"/>
          <w:vertAlign w:val="baseline"/>
        </w:rPr>
        <w:t>James</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2"/>
        <w:ind w:left="463" w:right="0" w:firstLine="0"/>
        <w:jc w:val="left"/>
        <w:rPr>
          <w:sz w:val="18"/>
        </w:rPr>
      </w:pPr>
      <w:r>
        <w:rPr>
          <w:sz w:val="18"/>
          <w:vertAlign w:val="superscript"/>
        </w:rPr>
        <w:t>17</w:t>
      </w:r>
      <w:r>
        <w:rPr>
          <w:spacing w:val="-10"/>
          <w:sz w:val="18"/>
          <w:vertAlign w:val="baseline"/>
        </w:rPr>
        <w:t> </w:t>
      </w:r>
      <w:r>
        <w:rPr>
          <w:sz w:val="18"/>
          <w:vertAlign w:val="baseline"/>
        </w:rPr>
        <w:t>James</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
        <w:ind w:left="463" w:right="0" w:firstLine="0"/>
        <w:jc w:val="left"/>
        <w:rPr>
          <w:sz w:val="18"/>
        </w:rPr>
      </w:pPr>
      <w:r>
        <w:rPr>
          <w:sz w:val="18"/>
          <w:vertAlign w:val="superscript"/>
        </w:rPr>
        <w:t>18</w:t>
      </w:r>
      <w:r>
        <w:rPr>
          <w:spacing w:val="-10"/>
          <w:sz w:val="18"/>
          <w:vertAlign w:val="baseline"/>
        </w:rPr>
        <w:t> </w:t>
      </w:r>
      <w:r>
        <w:rPr>
          <w:sz w:val="18"/>
          <w:vertAlign w:val="baseline"/>
        </w:rPr>
        <w:t>James</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line="266" w:lineRule="auto" w:before="21"/>
        <w:ind w:left="463" w:right="0" w:hanging="1"/>
        <w:jc w:val="left"/>
        <w:rPr>
          <w:sz w:val="18"/>
        </w:rPr>
      </w:pPr>
      <w:r>
        <w:rPr>
          <w:sz w:val="18"/>
          <w:vertAlign w:val="superscript"/>
        </w:rPr>
        <w:t>19</w:t>
      </w:r>
      <w:r>
        <w:rPr>
          <w:spacing w:val="-5"/>
          <w:sz w:val="18"/>
          <w:vertAlign w:val="baseline"/>
        </w:rPr>
        <w:t> </w:t>
      </w:r>
      <w:r>
        <w:rPr>
          <w:sz w:val="18"/>
          <w:vertAlign w:val="baseline"/>
        </w:rPr>
        <w:t>American College Health Association, “American College Health Association-National College Health Assessment III: Undergraduate</w:t>
      </w:r>
      <w:r>
        <w:rPr>
          <w:spacing w:val="-4"/>
          <w:sz w:val="18"/>
          <w:vertAlign w:val="baseline"/>
        </w:rPr>
        <w:t> </w:t>
      </w:r>
      <w:r>
        <w:rPr>
          <w:sz w:val="18"/>
          <w:vertAlign w:val="baseline"/>
        </w:rPr>
        <w:t>Student</w:t>
      </w:r>
      <w:r>
        <w:rPr>
          <w:spacing w:val="-4"/>
          <w:sz w:val="18"/>
          <w:vertAlign w:val="baseline"/>
        </w:rPr>
        <w:t> </w:t>
      </w:r>
      <w:r>
        <w:rPr>
          <w:sz w:val="18"/>
          <w:vertAlign w:val="baseline"/>
        </w:rPr>
        <w:t>Reference</w:t>
      </w:r>
      <w:r>
        <w:rPr>
          <w:spacing w:val="-3"/>
          <w:sz w:val="18"/>
          <w:vertAlign w:val="baseline"/>
        </w:rPr>
        <w:t> </w:t>
      </w:r>
      <w:r>
        <w:rPr>
          <w:sz w:val="18"/>
          <w:vertAlign w:val="baseline"/>
        </w:rPr>
        <w:t>Group</w:t>
      </w:r>
      <w:r>
        <w:rPr>
          <w:spacing w:val="-3"/>
          <w:sz w:val="18"/>
          <w:vertAlign w:val="baseline"/>
        </w:rPr>
        <w:t> </w:t>
      </w:r>
      <w:r>
        <w:rPr>
          <w:sz w:val="18"/>
          <w:vertAlign w:val="baseline"/>
        </w:rPr>
        <w:t>Executive</w:t>
      </w:r>
      <w:r>
        <w:rPr>
          <w:spacing w:val="-3"/>
          <w:sz w:val="18"/>
          <w:vertAlign w:val="baseline"/>
        </w:rPr>
        <w:t> </w:t>
      </w:r>
      <w:r>
        <w:rPr>
          <w:sz w:val="18"/>
          <w:vertAlign w:val="baseline"/>
        </w:rPr>
        <w:t>Summary</w:t>
      </w:r>
      <w:r>
        <w:rPr>
          <w:spacing w:val="-3"/>
          <w:sz w:val="18"/>
          <w:vertAlign w:val="baseline"/>
        </w:rPr>
        <w:t> </w:t>
      </w:r>
      <w:r>
        <w:rPr>
          <w:sz w:val="18"/>
          <w:vertAlign w:val="baseline"/>
        </w:rPr>
        <w:t>Spring</w:t>
      </w:r>
      <w:r>
        <w:rPr>
          <w:spacing w:val="-3"/>
          <w:sz w:val="18"/>
          <w:vertAlign w:val="baseline"/>
        </w:rPr>
        <w:t> </w:t>
      </w:r>
      <w:r>
        <w:rPr>
          <w:sz w:val="18"/>
          <w:vertAlign w:val="baseline"/>
        </w:rPr>
        <w:t>2022”</w:t>
      </w:r>
      <w:r>
        <w:rPr>
          <w:spacing w:val="-3"/>
          <w:sz w:val="18"/>
          <w:vertAlign w:val="baseline"/>
        </w:rPr>
        <w:t> </w:t>
      </w:r>
      <w:r>
        <w:rPr>
          <w:sz w:val="18"/>
          <w:vertAlign w:val="baseline"/>
        </w:rPr>
        <w:t>(Silver</w:t>
      </w:r>
      <w:r>
        <w:rPr>
          <w:spacing w:val="-4"/>
          <w:sz w:val="18"/>
          <w:vertAlign w:val="baseline"/>
        </w:rPr>
        <w:t> </w:t>
      </w:r>
      <w:r>
        <w:rPr>
          <w:sz w:val="18"/>
          <w:vertAlign w:val="baseline"/>
        </w:rPr>
        <w:t>Springs,</w:t>
      </w:r>
      <w:r>
        <w:rPr>
          <w:spacing w:val="-4"/>
          <w:sz w:val="18"/>
          <w:vertAlign w:val="baseline"/>
        </w:rPr>
        <w:t> </w:t>
      </w:r>
      <w:r>
        <w:rPr>
          <w:sz w:val="18"/>
          <w:vertAlign w:val="baseline"/>
        </w:rPr>
        <w:t>MD:</w:t>
      </w:r>
      <w:r>
        <w:rPr>
          <w:spacing w:val="-3"/>
          <w:sz w:val="18"/>
          <w:vertAlign w:val="baseline"/>
        </w:rPr>
        <w:t> </w:t>
      </w:r>
      <w:r>
        <w:rPr>
          <w:sz w:val="18"/>
          <w:vertAlign w:val="baseline"/>
        </w:rPr>
        <w:t>American</w:t>
      </w:r>
      <w:r>
        <w:rPr>
          <w:spacing w:val="-3"/>
          <w:sz w:val="18"/>
          <w:vertAlign w:val="baseline"/>
        </w:rPr>
        <w:t> </w:t>
      </w:r>
      <w:r>
        <w:rPr>
          <w:sz w:val="18"/>
          <w:vertAlign w:val="baseline"/>
        </w:rPr>
        <w:t>College</w:t>
      </w:r>
      <w:r>
        <w:rPr>
          <w:spacing w:val="-3"/>
          <w:sz w:val="18"/>
          <w:vertAlign w:val="baseline"/>
        </w:rPr>
        <w:t> </w:t>
      </w:r>
      <w:r>
        <w:rPr>
          <w:sz w:val="18"/>
          <w:vertAlign w:val="baseline"/>
        </w:rPr>
        <w:t>Health Association, 2022), https://</w:t>
      </w:r>
      <w:hyperlink r:id="rId147">
        <w:r>
          <w:rPr>
            <w:sz w:val="18"/>
            <w:vertAlign w:val="baseline"/>
          </w:rPr>
          <w:t>www.acha.org/documents/ncha/NCHA-</w:t>
        </w:r>
      </w:hyperlink>
      <w:r>
        <w:rPr>
          <w:sz w:val="18"/>
          <w:vertAlign w:val="baseline"/>
        </w:rPr>
        <w:t> </w:t>
      </w:r>
      <w:r>
        <w:rPr>
          <w:spacing w:val="-2"/>
          <w:sz w:val="18"/>
          <w:vertAlign w:val="baseline"/>
        </w:rPr>
        <w:t>III_SPRING_2022_UNDERGRAD_REFERENCE_GROUP_EXECUTIVE_SUMMARY.pdf.</w:t>
      </w:r>
    </w:p>
    <w:p>
      <w:pPr>
        <w:spacing w:line="273" w:lineRule="auto" w:before="18"/>
        <w:ind w:left="463" w:right="2561" w:hanging="1"/>
        <w:jc w:val="left"/>
        <w:rPr>
          <w:sz w:val="18"/>
        </w:rPr>
      </w:pPr>
      <w:r>
        <w:rPr>
          <w:sz w:val="18"/>
          <w:vertAlign w:val="superscript"/>
        </w:rPr>
        <w:t>20</w:t>
      </w:r>
      <w:r>
        <w:rPr>
          <w:spacing w:val="-12"/>
          <w:sz w:val="18"/>
          <w:vertAlign w:val="baseline"/>
        </w:rPr>
        <w:t> </w:t>
      </w:r>
      <w:r>
        <w:rPr>
          <w:sz w:val="18"/>
          <w:vertAlign w:val="baseline"/>
        </w:rPr>
        <w:t>National</w:t>
      </w:r>
      <w:r>
        <w:rPr>
          <w:spacing w:val="-4"/>
          <w:sz w:val="18"/>
          <w:vertAlign w:val="baseline"/>
        </w:rPr>
        <w:t> </w:t>
      </w:r>
      <w:r>
        <w:rPr>
          <w:sz w:val="18"/>
          <w:vertAlign w:val="baseline"/>
        </w:rPr>
        <w:t>Domestic</w:t>
      </w:r>
      <w:r>
        <w:rPr>
          <w:spacing w:val="-3"/>
          <w:sz w:val="18"/>
          <w:vertAlign w:val="baseline"/>
        </w:rPr>
        <w:t> </w:t>
      </w:r>
      <w:r>
        <w:rPr>
          <w:sz w:val="18"/>
          <w:vertAlign w:val="baseline"/>
        </w:rPr>
        <w:t>Violence</w:t>
      </w:r>
      <w:r>
        <w:rPr>
          <w:spacing w:val="-2"/>
          <w:sz w:val="18"/>
          <w:vertAlign w:val="baseline"/>
        </w:rPr>
        <w:t> </w:t>
      </w:r>
      <w:r>
        <w:rPr>
          <w:sz w:val="18"/>
          <w:vertAlign w:val="baseline"/>
        </w:rPr>
        <w:t>Hotline,</w:t>
      </w:r>
      <w:r>
        <w:rPr>
          <w:spacing w:val="-3"/>
          <w:sz w:val="18"/>
          <w:vertAlign w:val="baseline"/>
        </w:rPr>
        <w:t> </w:t>
      </w:r>
      <w:r>
        <w:rPr>
          <w:sz w:val="18"/>
          <w:vertAlign w:val="baseline"/>
        </w:rPr>
        <w:t>“Types</w:t>
      </w:r>
      <w:r>
        <w:rPr>
          <w:spacing w:val="-2"/>
          <w:sz w:val="18"/>
          <w:vertAlign w:val="baseline"/>
        </w:rPr>
        <w:t> </w:t>
      </w:r>
      <w:r>
        <w:rPr>
          <w:sz w:val="18"/>
          <w:vertAlign w:val="baseline"/>
        </w:rPr>
        <w:t>of</w:t>
      </w:r>
      <w:r>
        <w:rPr>
          <w:spacing w:val="-2"/>
          <w:sz w:val="18"/>
          <w:vertAlign w:val="baseline"/>
        </w:rPr>
        <w:t> </w:t>
      </w:r>
      <w:r>
        <w:rPr>
          <w:sz w:val="18"/>
          <w:vertAlign w:val="baseline"/>
        </w:rPr>
        <w:t>Abuse,”</w:t>
      </w:r>
      <w:r>
        <w:rPr>
          <w:spacing w:val="-2"/>
          <w:sz w:val="18"/>
          <w:vertAlign w:val="baseline"/>
        </w:rPr>
        <w:t> </w:t>
      </w:r>
      <w:r>
        <w:rPr>
          <w:sz w:val="18"/>
          <w:vertAlign w:val="baseline"/>
        </w:rPr>
        <w:t>The</w:t>
      </w:r>
      <w:r>
        <w:rPr>
          <w:spacing w:val="-2"/>
          <w:sz w:val="18"/>
          <w:vertAlign w:val="baseline"/>
        </w:rPr>
        <w:t> </w:t>
      </w:r>
      <w:r>
        <w:rPr>
          <w:sz w:val="18"/>
          <w:vertAlign w:val="baseline"/>
        </w:rPr>
        <w:t>Hotline,</w:t>
      </w:r>
      <w:r>
        <w:rPr>
          <w:spacing w:val="-3"/>
          <w:sz w:val="18"/>
          <w:vertAlign w:val="baseline"/>
        </w:rPr>
        <w:t> </w:t>
      </w:r>
      <w:r>
        <w:rPr>
          <w:sz w:val="18"/>
          <w:vertAlign w:val="baseline"/>
        </w:rPr>
        <w:t>accessed</w:t>
      </w:r>
      <w:r>
        <w:rPr>
          <w:spacing w:val="-2"/>
          <w:sz w:val="18"/>
          <w:vertAlign w:val="baseline"/>
        </w:rPr>
        <w:t> </w:t>
      </w:r>
      <w:r>
        <w:rPr>
          <w:sz w:val="18"/>
          <w:vertAlign w:val="baseline"/>
        </w:rPr>
        <w:t>January</w:t>
      </w:r>
      <w:r>
        <w:rPr>
          <w:spacing w:val="-2"/>
          <w:sz w:val="18"/>
          <w:vertAlign w:val="baseline"/>
        </w:rPr>
        <w:t> </w:t>
      </w:r>
      <w:r>
        <w:rPr>
          <w:sz w:val="18"/>
          <w:vertAlign w:val="baseline"/>
        </w:rPr>
        <w:t>4,</w:t>
      </w:r>
      <w:r>
        <w:rPr>
          <w:spacing w:val="-3"/>
          <w:sz w:val="18"/>
          <w:vertAlign w:val="baseline"/>
        </w:rPr>
        <w:t> </w:t>
      </w:r>
      <w:r>
        <w:rPr>
          <w:sz w:val="18"/>
          <w:vertAlign w:val="baseline"/>
        </w:rPr>
        <w:t>2023, </w:t>
      </w:r>
      <w:r>
        <w:rPr>
          <w:spacing w:val="-2"/>
          <w:sz w:val="18"/>
          <w:vertAlign w:val="baseline"/>
        </w:rPr>
        <w:t>https://</w:t>
      </w:r>
      <w:hyperlink r:id="rId148">
        <w:r>
          <w:rPr>
            <w:spacing w:val="-2"/>
            <w:sz w:val="18"/>
            <w:vertAlign w:val="baseline"/>
          </w:rPr>
          <w:t>www.thehotline.org/resources/types-of-abuse/.</w:t>
        </w:r>
      </w:hyperlink>
    </w:p>
    <w:p>
      <w:pPr>
        <w:spacing w:line="268" w:lineRule="auto" w:before="9"/>
        <w:ind w:left="463" w:right="0" w:hanging="1"/>
        <w:jc w:val="left"/>
        <w:rPr>
          <w:sz w:val="18"/>
        </w:rPr>
      </w:pPr>
      <w:r>
        <w:rPr>
          <w:sz w:val="18"/>
          <w:vertAlign w:val="superscript"/>
        </w:rPr>
        <w:t>21</w:t>
      </w:r>
      <w:r>
        <w:rPr>
          <w:spacing w:val="-12"/>
          <w:sz w:val="18"/>
          <w:vertAlign w:val="baseline"/>
        </w:rPr>
        <w:t> </w:t>
      </w:r>
      <w:r>
        <w:rPr>
          <w:sz w:val="18"/>
          <w:vertAlign w:val="baseline"/>
        </w:rPr>
        <w:t>Rebecka</w:t>
      </w:r>
      <w:r>
        <w:rPr>
          <w:spacing w:val="-3"/>
          <w:sz w:val="18"/>
          <w:vertAlign w:val="baseline"/>
        </w:rPr>
        <w:t> </w:t>
      </w:r>
      <w:r>
        <w:rPr>
          <w:sz w:val="18"/>
          <w:vertAlign w:val="baseline"/>
        </w:rPr>
        <w:t>Lundgren</w:t>
      </w:r>
      <w:r>
        <w:rPr>
          <w:spacing w:val="-2"/>
          <w:sz w:val="18"/>
          <w:vertAlign w:val="baseline"/>
        </w:rPr>
        <w:t> </w:t>
      </w:r>
      <w:r>
        <w:rPr>
          <w:sz w:val="18"/>
          <w:vertAlign w:val="baseline"/>
        </w:rPr>
        <w:t>and</w:t>
      </w:r>
      <w:r>
        <w:rPr>
          <w:spacing w:val="-3"/>
          <w:sz w:val="18"/>
          <w:vertAlign w:val="baseline"/>
        </w:rPr>
        <w:t> </w:t>
      </w:r>
      <w:r>
        <w:rPr>
          <w:sz w:val="18"/>
          <w:vertAlign w:val="baseline"/>
        </w:rPr>
        <w:t>Avni</w:t>
      </w:r>
      <w:r>
        <w:rPr>
          <w:spacing w:val="-3"/>
          <w:sz w:val="18"/>
          <w:vertAlign w:val="baseline"/>
        </w:rPr>
        <w:t> </w:t>
      </w:r>
      <w:r>
        <w:rPr>
          <w:sz w:val="18"/>
          <w:vertAlign w:val="baseline"/>
        </w:rPr>
        <w:t>Amin,</w:t>
      </w:r>
      <w:r>
        <w:rPr>
          <w:spacing w:val="-3"/>
          <w:sz w:val="18"/>
          <w:vertAlign w:val="baseline"/>
        </w:rPr>
        <w:t> </w:t>
      </w:r>
      <w:r>
        <w:rPr>
          <w:sz w:val="18"/>
          <w:vertAlign w:val="baseline"/>
        </w:rPr>
        <w:t>“Addressing</w:t>
      </w:r>
      <w:r>
        <w:rPr>
          <w:spacing w:val="-2"/>
          <w:sz w:val="18"/>
          <w:vertAlign w:val="baseline"/>
        </w:rPr>
        <w:t> </w:t>
      </w:r>
      <w:r>
        <w:rPr>
          <w:sz w:val="18"/>
          <w:vertAlign w:val="baseline"/>
        </w:rPr>
        <w:t>Intimate</w:t>
      </w:r>
      <w:r>
        <w:rPr>
          <w:spacing w:val="-2"/>
          <w:sz w:val="18"/>
          <w:vertAlign w:val="baseline"/>
        </w:rPr>
        <w:t> </w:t>
      </w:r>
      <w:r>
        <w:rPr>
          <w:sz w:val="18"/>
          <w:vertAlign w:val="baseline"/>
        </w:rPr>
        <w:t>Partner</w:t>
      </w:r>
      <w:r>
        <w:rPr>
          <w:spacing w:val="-3"/>
          <w:sz w:val="18"/>
          <w:vertAlign w:val="baseline"/>
        </w:rPr>
        <w:t> </w:t>
      </w:r>
      <w:r>
        <w:rPr>
          <w:sz w:val="18"/>
          <w:vertAlign w:val="baseline"/>
        </w:rPr>
        <w:t>Violence</w:t>
      </w:r>
      <w:r>
        <w:rPr>
          <w:spacing w:val="-2"/>
          <w:sz w:val="18"/>
          <w:vertAlign w:val="baseline"/>
        </w:rPr>
        <w:t> </w:t>
      </w:r>
      <w:r>
        <w:rPr>
          <w:sz w:val="18"/>
          <w:vertAlign w:val="baseline"/>
        </w:rPr>
        <w:t>and</w:t>
      </w:r>
      <w:r>
        <w:rPr>
          <w:spacing w:val="-2"/>
          <w:sz w:val="18"/>
          <w:vertAlign w:val="baseline"/>
        </w:rPr>
        <w:t> </w:t>
      </w:r>
      <w:r>
        <w:rPr>
          <w:sz w:val="18"/>
          <w:vertAlign w:val="baseline"/>
        </w:rPr>
        <w:t>Sexual</w:t>
      </w:r>
      <w:r>
        <w:rPr>
          <w:spacing w:val="-3"/>
          <w:sz w:val="18"/>
          <w:vertAlign w:val="baseline"/>
        </w:rPr>
        <w:t> </w:t>
      </w:r>
      <w:r>
        <w:rPr>
          <w:sz w:val="18"/>
          <w:vertAlign w:val="baseline"/>
        </w:rPr>
        <w:t>Violence</w:t>
      </w:r>
      <w:r>
        <w:rPr>
          <w:spacing w:val="-2"/>
          <w:sz w:val="18"/>
          <w:vertAlign w:val="baseline"/>
        </w:rPr>
        <w:t> </w:t>
      </w:r>
      <w:r>
        <w:rPr>
          <w:sz w:val="18"/>
          <w:vertAlign w:val="baseline"/>
        </w:rPr>
        <w:t>Among</w:t>
      </w:r>
      <w:r>
        <w:rPr>
          <w:spacing w:val="-2"/>
          <w:sz w:val="18"/>
          <w:vertAlign w:val="baseline"/>
        </w:rPr>
        <w:t> </w:t>
      </w:r>
      <w:r>
        <w:rPr>
          <w:sz w:val="18"/>
          <w:vertAlign w:val="baseline"/>
        </w:rPr>
        <w:t>Adolescents:</w:t>
      </w:r>
      <w:r>
        <w:rPr>
          <w:spacing w:val="-2"/>
          <w:sz w:val="18"/>
          <w:vertAlign w:val="baseline"/>
        </w:rPr>
        <w:t> </w:t>
      </w:r>
      <w:r>
        <w:rPr>
          <w:sz w:val="18"/>
          <w:vertAlign w:val="baseline"/>
        </w:rPr>
        <w:t>Emerging Evidence of Effectiveness,” </w:t>
      </w:r>
      <w:r>
        <w:rPr>
          <w:i/>
          <w:sz w:val="18"/>
          <w:vertAlign w:val="baseline"/>
        </w:rPr>
        <w:t>Journal of Adolescent Health</w:t>
      </w:r>
      <w:r>
        <w:rPr>
          <w:sz w:val="18"/>
          <w:vertAlign w:val="baseline"/>
        </w:rPr>
        <w:t>, International Conference on Population and Development, 56, no. 1, Supplement (January 1, 2015): S42–50, https://doi.org/10.1016/j.jadohealth.2014.08.012.</w:t>
      </w:r>
    </w:p>
    <w:p>
      <w:pPr>
        <w:spacing w:line="216" w:lineRule="exact" w:before="0"/>
        <w:ind w:left="463" w:right="0" w:firstLine="0"/>
        <w:jc w:val="left"/>
        <w:rPr>
          <w:sz w:val="18"/>
        </w:rPr>
      </w:pPr>
      <w:r>
        <w:rPr>
          <w:sz w:val="18"/>
          <w:vertAlign w:val="superscript"/>
        </w:rPr>
        <w:t>22</w:t>
      </w:r>
      <w:r>
        <w:rPr>
          <w:spacing w:val="-11"/>
          <w:sz w:val="18"/>
          <w:vertAlign w:val="baseline"/>
        </w:rPr>
        <w:t> </w:t>
      </w:r>
      <w:r>
        <w:rPr>
          <w:sz w:val="18"/>
          <w:vertAlign w:val="baseline"/>
        </w:rPr>
        <w:t>Lundgren</w:t>
      </w:r>
      <w:r>
        <w:rPr>
          <w:spacing w:val="2"/>
          <w:sz w:val="18"/>
          <w:vertAlign w:val="baseline"/>
        </w:rPr>
        <w:t> </w:t>
      </w:r>
      <w:r>
        <w:rPr>
          <w:sz w:val="18"/>
          <w:vertAlign w:val="baseline"/>
        </w:rPr>
        <w:t>and</w:t>
      </w:r>
      <w:r>
        <w:rPr>
          <w:spacing w:val="1"/>
          <w:sz w:val="18"/>
          <w:vertAlign w:val="baseline"/>
        </w:rPr>
        <w:t> </w:t>
      </w:r>
      <w:r>
        <w:rPr>
          <w:spacing w:val="-2"/>
          <w:sz w:val="18"/>
          <w:vertAlign w:val="baseline"/>
        </w:rPr>
        <w:t>Amin.</w:t>
      </w:r>
    </w:p>
    <w:p>
      <w:pPr>
        <w:spacing w:before="2"/>
        <w:ind w:left="463" w:right="0" w:firstLine="0"/>
        <w:jc w:val="left"/>
        <w:rPr>
          <w:sz w:val="18"/>
        </w:rPr>
      </w:pPr>
      <w:r>
        <w:rPr>
          <w:sz w:val="18"/>
          <w:vertAlign w:val="superscript"/>
        </w:rPr>
        <w:t>23</w:t>
      </w:r>
      <w:r>
        <w:rPr>
          <w:spacing w:val="-11"/>
          <w:sz w:val="18"/>
          <w:vertAlign w:val="baseline"/>
        </w:rPr>
        <w:t> </w:t>
      </w:r>
      <w:r>
        <w:rPr>
          <w:sz w:val="18"/>
          <w:vertAlign w:val="baseline"/>
        </w:rPr>
        <w:t>Lundgren</w:t>
      </w:r>
      <w:r>
        <w:rPr>
          <w:spacing w:val="2"/>
          <w:sz w:val="18"/>
          <w:vertAlign w:val="baseline"/>
        </w:rPr>
        <w:t> </w:t>
      </w:r>
      <w:r>
        <w:rPr>
          <w:sz w:val="18"/>
          <w:vertAlign w:val="baseline"/>
        </w:rPr>
        <w:t>and</w:t>
      </w:r>
      <w:r>
        <w:rPr>
          <w:spacing w:val="1"/>
          <w:sz w:val="18"/>
          <w:vertAlign w:val="baseline"/>
        </w:rPr>
        <w:t> </w:t>
      </w:r>
      <w:r>
        <w:rPr>
          <w:spacing w:val="-2"/>
          <w:sz w:val="18"/>
          <w:vertAlign w:val="baseline"/>
        </w:rPr>
        <w:t>Amin.</w:t>
      </w:r>
    </w:p>
    <w:p>
      <w:pPr>
        <w:spacing w:line="273" w:lineRule="auto" w:before="20"/>
        <w:ind w:left="463" w:right="311" w:firstLine="0"/>
        <w:jc w:val="left"/>
        <w:rPr>
          <w:sz w:val="18"/>
        </w:rPr>
      </w:pPr>
      <w:r>
        <w:rPr>
          <w:sz w:val="18"/>
          <w:vertAlign w:val="superscript"/>
        </w:rPr>
        <w:t>24</w:t>
      </w:r>
      <w:r>
        <w:rPr>
          <w:spacing w:val="-7"/>
          <w:sz w:val="18"/>
          <w:vertAlign w:val="baseline"/>
        </w:rPr>
        <w:t> </w:t>
      </w:r>
      <w:r>
        <w:rPr>
          <w:sz w:val="18"/>
          <w:vertAlign w:val="baseline"/>
        </w:rPr>
        <w:t>Katie M. Edwards, Ryan C. Shorey, and Kalei Glozier, “Primary Prevention of Intitmate Partner Violence Among Sexual and Gender Minorities,” in </w:t>
      </w:r>
      <w:r>
        <w:rPr>
          <w:i/>
          <w:sz w:val="18"/>
          <w:vertAlign w:val="baseline"/>
        </w:rPr>
        <w:t>Intimate Partner Violence and the LGBTQ+ Community: Understanding Power Dynamics </w:t>
      </w:r>
      <w:r>
        <w:rPr>
          <w:sz w:val="18"/>
          <w:vertAlign w:val="baseline"/>
        </w:rPr>
        <w:t>(Switzerland: Springer,</w:t>
      </w:r>
      <w:r>
        <w:rPr>
          <w:spacing w:val="-7"/>
          <w:sz w:val="18"/>
          <w:vertAlign w:val="baseline"/>
        </w:rPr>
        <w:t> </w:t>
      </w:r>
      <w:r>
        <w:rPr>
          <w:sz w:val="18"/>
          <w:vertAlign w:val="baseline"/>
        </w:rPr>
        <w:t>2020),</w:t>
      </w:r>
      <w:r>
        <w:rPr>
          <w:spacing w:val="-4"/>
          <w:sz w:val="18"/>
          <w:vertAlign w:val="baseline"/>
        </w:rPr>
        <w:t> </w:t>
      </w:r>
      <w:r>
        <w:rPr>
          <w:sz w:val="18"/>
          <w:vertAlign w:val="baseline"/>
        </w:rPr>
        <w:t>161–76,</w:t>
      </w:r>
      <w:r>
        <w:rPr>
          <w:spacing w:val="-4"/>
          <w:sz w:val="18"/>
          <w:vertAlign w:val="baseline"/>
        </w:rPr>
        <w:t> </w:t>
      </w:r>
      <w:r>
        <w:rPr>
          <w:sz w:val="18"/>
          <w:vertAlign w:val="baseline"/>
        </w:rPr>
        <w:t>https://link.springer.com/content/pdf/10.1007/978-3-030-44762-5.pdf?pdf=button.</w:t>
      </w:r>
      <w:r>
        <w:rPr>
          <w:spacing w:val="-3"/>
          <w:sz w:val="18"/>
          <w:vertAlign w:val="baseline"/>
        </w:rPr>
        <w:t> </w:t>
      </w:r>
      <w:r>
        <w:rPr>
          <w:sz w:val="18"/>
          <w:vertAlign w:val="superscript"/>
        </w:rPr>
        <w:t>25</w:t>
      </w:r>
      <w:r>
        <w:rPr>
          <w:spacing w:val="-12"/>
          <w:sz w:val="18"/>
          <w:vertAlign w:val="baseline"/>
        </w:rPr>
        <w:t> </w:t>
      </w:r>
      <w:r>
        <w:rPr>
          <w:sz w:val="18"/>
          <w:vertAlign w:val="baseline"/>
        </w:rPr>
        <w:t>Lisa</w:t>
      </w:r>
      <w:r>
        <w:rPr>
          <w:spacing w:val="-3"/>
          <w:sz w:val="18"/>
          <w:vertAlign w:val="baseline"/>
        </w:rPr>
        <w:t> </w:t>
      </w:r>
      <w:r>
        <w:rPr>
          <w:sz w:val="18"/>
          <w:vertAlign w:val="baseline"/>
        </w:rPr>
        <w:t>De</w:t>
      </w:r>
      <w:r>
        <w:rPr>
          <w:spacing w:val="-3"/>
          <w:sz w:val="18"/>
          <w:vertAlign w:val="baseline"/>
        </w:rPr>
        <w:t> </w:t>
      </w:r>
      <w:r>
        <w:rPr>
          <w:sz w:val="18"/>
          <w:vertAlign w:val="baseline"/>
        </w:rPr>
        <w:t>La</w:t>
      </w:r>
      <w:r>
        <w:rPr>
          <w:spacing w:val="-3"/>
          <w:sz w:val="18"/>
          <w:vertAlign w:val="baseline"/>
        </w:rPr>
        <w:t> </w:t>
      </w:r>
      <w:r>
        <w:rPr>
          <w:sz w:val="18"/>
          <w:vertAlign w:val="baseline"/>
        </w:rPr>
        <w:t>Rue et al., “A Meta-Analysis of School-Based Interventions Aimed to Prevent or Reduce Violence in Teen Dating Relationships,” </w:t>
      </w:r>
      <w:r>
        <w:rPr>
          <w:i/>
          <w:sz w:val="18"/>
          <w:vertAlign w:val="baseline"/>
        </w:rPr>
        <w:t>Review of Educational Research </w:t>
      </w:r>
      <w:r>
        <w:rPr>
          <w:sz w:val="18"/>
          <w:vertAlign w:val="baseline"/>
        </w:rPr>
        <w:t>87, no. 1 (February 1, 2017): 7–34, https://doi.org/10.3102/0034654316632061.</w:t>
      </w:r>
    </w:p>
    <w:p>
      <w:pPr>
        <w:spacing w:line="213" w:lineRule="exact" w:before="0"/>
        <w:ind w:left="463" w:right="0" w:firstLine="0"/>
        <w:jc w:val="left"/>
        <w:rPr>
          <w:sz w:val="18"/>
        </w:rPr>
      </w:pPr>
      <w:r>
        <w:rPr>
          <w:sz w:val="18"/>
          <w:vertAlign w:val="superscript"/>
        </w:rPr>
        <w:t>26</w:t>
      </w:r>
      <w:r>
        <w:rPr>
          <w:spacing w:val="-12"/>
          <w:sz w:val="18"/>
          <w:vertAlign w:val="baseline"/>
        </w:rPr>
        <w:t> </w:t>
      </w:r>
      <w:r>
        <w:rPr>
          <w:sz w:val="18"/>
          <w:vertAlign w:val="baseline"/>
        </w:rPr>
        <w:t>Lundgren</w:t>
      </w:r>
      <w:r>
        <w:rPr>
          <w:spacing w:val="-3"/>
          <w:sz w:val="18"/>
          <w:vertAlign w:val="baseline"/>
        </w:rPr>
        <w:t> </w:t>
      </w:r>
      <w:r>
        <w:rPr>
          <w:sz w:val="18"/>
          <w:vertAlign w:val="baseline"/>
        </w:rPr>
        <w:t>and</w:t>
      </w:r>
      <w:r>
        <w:rPr>
          <w:spacing w:val="-2"/>
          <w:sz w:val="18"/>
          <w:vertAlign w:val="baseline"/>
        </w:rPr>
        <w:t> </w:t>
      </w:r>
      <w:r>
        <w:rPr>
          <w:sz w:val="18"/>
          <w:vertAlign w:val="baseline"/>
        </w:rPr>
        <w:t>Amin,</w:t>
      </w:r>
      <w:r>
        <w:rPr>
          <w:spacing w:val="-2"/>
          <w:sz w:val="18"/>
          <w:vertAlign w:val="baseline"/>
        </w:rPr>
        <w:t> </w:t>
      </w:r>
      <w:r>
        <w:rPr>
          <w:sz w:val="18"/>
          <w:vertAlign w:val="baseline"/>
        </w:rPr>
        <w:t>“Addressing</w:t>
      </w:r>
      <w:r>
        <w:rPr>
          <w:spacing w:val="-2"/>
          <w:sz w:val="18"/>
          <w:vertAlign w:val="baseline"/>
        </w:rPr>
        <w:t> </w:t>
      </w:r>
      <w:r>
        <w:rPr>
          <w:sz w:val="18"/>
          <w:vertAlign w:val="baseline"/>
        </w:rPr>
        <w:t>Intimate</w:t>
      </w:r>
      <w:r>
        <w:rPr>
          <w:spacing w:val="-1"/>
          <w:sz w:val="18"/>
          <w:vertAlign w:val="baseline"/>
        </w:rPr>
        <w:t> </w:t>
      </w:r>
      <w:r>
        <w:rPr>
          <w:sz w:val="18"/>
          <w:vertAlign w:val="baseline"/>
        </w:rPr>
        <w:t>Partner</w:t>
      </w:r>
      <w:r>
        <w:rPr>
          <w:spacing w:val="-2"/>
          <w:sz w:val="18"/>
          <w:vertAlign w:val="baseline"/>
        </w:rPr>
        <w:t> </w:t>
      </w:r>
      <w:r>
        <w:rPr>
          <w:sz w:val="18"/>
          <w:vertAlign w:val="baseline"/>
        </w:rPr>
        <w:t>Violence</w:t>
      </w:r>
      <w:r>
        <w:rPr>
          <w:spacing w:val="-2"/>
          <w:sz w:val="18"/>
          <w:vertAlign w:val="baseline"/>
        </w:rPr>
        <w:t> </w:t>
      </w:r>
      <w:r>
        <w:rPr>
          <w:sz w:val="18"/>
          <w:vertAlign w:val="baseline"/>
        </w:rPr>
        <w:t>and</w:t>
      </w:r>
      <w:r>
        <w:rPr>
          <w:spacing w:val="-1"/>
          <w:sz w:val="18"/>
          <w:vertAlign w:val="baseline"/>
        </w:rPr>
        <w:t> </w:t>
      </w:r>
      <w:r>
        <w:rPr>
          <w:sz w:val="18"/>
          <w:vertAlign w:val="baseline"/>
        </w:rPr>
        <w:t>Sexual</w:t>
      </w:r>
      <w:r>
        <w:rPr>
          <w:spacing w:val="-2"/>
          <w:sz w:val="18"/>
          <w:vertAlign w:val="baseline"/>
        </w:rPr>
        <w:t> </w:t>
      </w:r>
      <w:r>
        <w:rPr>
          <w:sz w:val="18"/>
          <w:vertAlign w:val="baseline"/>
        </w:rPr>
        <w:t>Violence</w:t>
      </w:r>
      <w:r>
        <w:rPr>
          <w:spacing w:val="-2"/>
          <w:sz w:val="18"/>
          <w:vertAlign w:val="baseline"/>
        </w:rPr>
        <w:t> </w:t>
      </w:r>
      <w:r>
        <w:rPr>
          <w:sz w:val="18"/>
          <w:vertAlign w:val="baseline"/>
        </w:rPr>
        <w:t>Among</w:t>
      </w:r>
      <w:r>
        <w:rPr>
          <w:spacing w:val="-2"/>
          <w:sz w:val="18"/>
          <w:vertAlign w:val="baseline"/>
        </w:rPr>
        <w:t> Adolescents.”</w:t>
      </w:r>
    </w:p>
    <w:p>
      <w:pPr>
        <w:spacing w:line="271" w:lineRule="auto" w:before="20"/>
        <w:ind w:left="463" w:right="0" w:hanging="1"/>
        <w:jc w:val="left"/>
        <w:rPr>
          <w:sz w:val="18"/>
        </w:rPr>
      </w:pPr>
      <w:r>
        <w:rPr>
          <w:sz w:val="18"/>
          <w:vertAlign w:val="superscript"/>
        </w:rPr>
        <w:t>27</w:t>
      </w:r>
      <w:r>
        <w:rPr>
          <w:spacing w:val="-12"/>
          <w:sz w:val="18"/>
          <w:vertAlign w:val="baseline"/>
        </w:rPr>
        <w:t> </w:t>
      </w:r>
      <w:r>
        <w:rPr>
          <w:sz w:val="18"/>
          <w:vertAlign w:val="baseline"/>
        </w:rPr>
        <w:t>Eva</w:t>
      </w:r>
      <w:r>
        <w:rPr>
          <w:spacing w:val="-2"/>
          <w:sz w:val="18"/>
          <w:vertAlign w:val="baseline"/>
        </w:rPr>
        <w:t> </w:t>
      </w:r>
      <w:r>
        <w:rPr>
          <w:sz w:val="18"/>
          <w:vertAlign w:val="baseline"/>
        </w:rPr>
        <w:t>S.</w:t>
      </w:r>
      <w:r>
        <w:rPr>
          <w:spacing w:val="-2"/>
          <w:sz w:val="18"/>
          <w:vertAlign w:val="baseline"/>
        </w:rPr>
        <w:t> </w:t>
      </w:r>
      <w:r>
        <w:rPr>
          <w:sz w:val="18"/>
          <w:vertAlign w:val="baseline"/>
        </w:rPr>
        <w:t>Goldfarb</w:t>
      </w:r>
      <w:r>
        <w:rPr>
          <w:spacing w:val="-2"/>
          <w:sz w:val="18"/>
          <w:vertAlign w:val="baseline"/>
        </w:rPr>
        <w:t> </w:t>
      </w:r>
      <w:r>
        <w:rPr>
          <w:sz w:val="18"/>
          <w:vertAlign w:val="baseline"/>
        </w:rPr>
        <w:t>and</w:t>
      </w:r>
      <w:r>
        <w:rPr>
          <w:spacing w:val="-2"/>
          <w:sz w:val="18"/>
          <w:vertAlign w:val="baseline"/>
        </w:rPr>
        <w:t> </w:t>
      </w:r>
      <w:r>
        <w:rPr>
          <w:sz w:val="18"/>
          <w:vertAlign w:val="baseline"/>
        </w:rPr>
        <w:t>Lisa</w:t>
      </w:r>
      <w:r>
        <w:rPr>
          <w:spacing w:val="-2"/>
          <w:sz w:val="18"/>
          <w:vertAlign w:val="baseline"/>
        </w:rPr>
        <w:t> </w:t>
      </w:r>
      <w:r>
        <w:rPr>
          <w:sz w:val="18"/>
          <w:vertAlign w:val="baseline"/>
        </w:rPr>
        <w:t>D.</w:t>
      </w:r>
      <w:r>
        <w:rPr>
          <w:spacing w:val="-2"/>
          <w:sz w:val="18"/>
          <w:vertAlign w:val="baseline"/>
        </w:rPr>
        <w:t> </w:t>
      </w:r>
      <w:r>
        <w:rPr>
          <w:sz w:val="18"/>
          <w:vertAlign w:val="baseline"/>
        </w:rPr>
        <w:t>Lieberman,</w:t>
      </w:r>
      <w:r>
        <w:rPr>
          <w:spacing w:val="-3"/>
          <w:sz w:val="18"/>
          <w:vertAlign w:val="baseline"/>
        </w:rPr>
        <w:t> </w:t>
      </w:r>
      <w:r>
        <w:rPr>
          <w:sz w:val="18"/>
          <w:vertAlign w:val="baseline"/>
        </w:rPr>
        <w:t>“Three</w:t>
      </w:r>
      <w:r>
        <w:rPr>
          <w:spacing w:val="-3"/>
          <w:sz w:val="18"/>
          <w:vertAlign w:val="baseline"/>
        </w:rPr>
        <w:t> </w:t>
      </w:r>
      <w:r>
        <w:rPr>
          <w:sz w:val="18"/>
          <w:vertAlign w:val="baseline"/>
        </w:rPr>
        <w:t>Decades</w:t>
      </w:r>
      <w:r>
        <w:rPr>
          <w:spacing w:val="-2"/>
          <w:sz w:val="18"/>
          <w:vertAlign w:val="baseline"/>
        </w:rPr>
        <w:t> </w:t>
      </w:r>
      <w:r>
        <w:rPr>
          <w:sz w:val="18"/>
          <w:vertAlign w:val="baseline"/>
        </w:rPr>
        <w:t>of</w:t>
      </w:r>
      <w:r>
        <w:rPr>
          <w:spacing w:val="-2"/>
          <w:sz w:val="18"/>
          <w:vertAlign w:val="baseline"/>
        </w:rPr>
        <w:t> </w:t>
      </w:r>
      <w:r>
        <w:rPr>
          <w:sz w:val="18"/>
          <w:vertAlign w:val="baseline"/>
        </w:rPr>
        <w:t>Research:</w:t>
      </w:r>
      <w:r>
        <w:rPr>
          <w:spacing w:val="-2"/>
          <w:sz w:val="18"/>
          <w:vertAlign w:val="baseline"/>
        </w:rPr>
        <w:t> </w:t>
      </w:r>
      <w:r>
        <w:rPr>
          <w:sz w:val="18"/>
          <w:vertAlign w:val="baseline"/>
        </w:rPr>
        <w:t>The</w:t>
      </w:r>
      <w:r>
        <w:rPr>
          <w:spacing w:val="-2"/>
          <w:sz w:val="18"/>
          <w:vertAlign w:val="baseline"/>
        </w:rPr>
        <w:t> </w:t>
      </w:r>
      <w:r>
        <w:rPr>
          <w:sz w:val="18"/>
          <w:vertAlign w:val="baseline"/>
        </w:rPr>
        <w:t>Case</w:t>
      </w:r>
      <w:r>
        <w:rPr>
          <w:spacing w:val="-2"/>
          <w:sz w:val="18"/>
          <w:vertAlign w:val="baseline"/>
        </w:rPr>
        <w:t> </w:t>
      </w:r>
      <w:r>
        <w:rPr>
          <w:sz w:val="18"/>
          <w:vertAlign w:val="baseline"/>
        </w:rPr>
        <w:t>for</w:t>
      </w:r>
      <w:r>
        <w:rPr>
          <w:spacing w:val="-3"/>
          <w:sz w:val="18"/>
          <w:vertAlign w:val="baseline"/>
        </w:rPr>
        <w:t> </w:t>
      </w:r>
      <w:r>
        <w:rPr>
          <w:sz w:val="18"/>
          <w:vertAlign w:val="baseline"/>
        </w:rPr>
        <w:t>Comprehensive</w:t>
      </w:r>
      <w:r>
        <w:rPr>
          <w:spacing w:val="-2"/>
          <w:sz w:val="18"/>
          <w:vertAlign w:val="baseline"/>
        </w:rPr>
        <w:t> </w:t>
      </w:r>
      <w:r>
        <w:rPr>
          <w:sz w:val="18"/>
          <w:vertAlign w:val="baseline"/>
        </w:rPr>
        <w:t>Sex</w:t>
      </w:r>
      <w:r>
        <w:rPr>
          <w:spacing w:val="-2"/>
          <w:sz w:val="18"/>
          <w:vertAlign w:val="baseline"/>
        </w:rPr>
        <w:t> </w:t>
      </w:r>
      <w:r>
        <w:rPr>
          <w:sz w:val="18"/>
          <w:vertAlign w:val="baseline"/>
        </w:rPr>
        <w:t>Education,”</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z w:val="18"/>
          <w:vertAlign w:val="baseline"/>
        </w:rPr>
        <w:t> Adolescent Health </w:t>
      </w:r>
      <w:r>
        <w:rPr>
          <w:sz w:val="18"/>
          <w:vertAlign w:val="baseline"/>
        </w:rPr>
        <w:t>68, no. 1 (January 1, 2021): 13–27, https://doi.org/10.1016/j.jadohealth.2020.07.036.</w:t>
      </w:r>
    </w:p>
    <w:p>
      <w:pPr>
        <w:spacing w:before="14"/>
        <w:ind w:left="463" w:right="0" w:firstLine="0"/>
        <w:jc w:val="left"/>
        <w:rPr>
          <w:sz w:val="18"/>
        </w:rPr>
      </w:pPr>
      <w:r>
        <w:rPr>
          <w:sz w:val="18"/>
          <w:vertAlign w:val="superscript"/>
        </w:rPr>
        <w:t>28</w:t>
      </w:r>
      <w:r>
        <w:rPr>
          <w:spacing w:val="-12"/>
          <w:sz w:val="18"/>
          <w:vertAlign w:val="baseline"/>
        </w:rPr>
        <w:t> </w:t>
      </w:r>
      <w:r>
        <w:rPr>
          <w:sz w:val="18"/>
          <w:vertAlign w:val="baseline"/>
        </w:rPr>
        <w:t>“Healthy</w:t>
      </w:r>
      <w:r>
        <w:rPr>
          <w:spacing w:val="-4"/>
          <w:sz w:val="18"/>
          <w:vertAlign w:val="baseline"/>
        </w:rPr>
        <w:t> </w:t>
      </w:r>
      <w:r>
        <w:rPr>
          <w:sz w:val="18"/>
          <w:vertAlign w:val="baseline"/>
        </w:rPr>
        <w:t>Youth</w:t>
      </w:r>
      <w:r>
        <w:rPr>
          <w:spacing w:val="-2"/>
          <w:sz w:val="18"/>
          <w:vertAlign w:val="baseline"/>
        </w:rPr>
        <w:t> </w:t>
      </w:r>
      <w:r>
        <w:rPr>
          <w:sz w:val="18"/>
          <w:vertAlign w:val="baseline"/>
        </w:rPr>
        <w:t>Act</w:t>
      </w:r>
      <w:r>
        <w:rPr>
          <w:spacing w:val="-3"/>
          <w:sz w:val="18"/>
          <w:vertAlign w:val="baseline"/>
        </w:rPr>
        <w:t> </w:t>
      </w:r>
      <w:r>
        <w:rPr>
          <w:sz w:val="18"/>
          <w:vertAlign w:val="baseline"/>
        </w:rPr>
        <w:t>Coalition,”</w:t>
      </w:r>
      <w:r>
        <w:rPr>
          <w:spacing w:val="-1"/>
          <w:sz w:val="18"/>
          <w:vertAlign w:val="baseline"/>
        </w:rPr>
        <w:t> </w:t>
      </w:r>
      <w:r>
        <w:rPr>
          <w:sz w:val="18"/>
          <w:vertAlign w:val="baseline"/>
        </w:rPr>
        <w:t>Healthy</w:t>
      </w:r>
      <w:r>
        <w:rPr>
          <w:spacing w:val="-2"/>
          <w:sz w:val="18"/>
          <w:vertAlign w:val="baseline"/>
        </w:rPr>
        <w:t> </w:t>
      </w:r>
      <w:r>
        <w:rPr>
          <w:sz w:val="18"/>
          <w:vertAlign w:val="baseline"/>
        </w:rPr>
        <w:t>Youth</w:t>
      </w:r>
      <w:r>
        <w:rPr>
          <w:spacing w:val="-2"/>
          <w:sz w:val="18"/>
          <w:vertAlign w:val="baseline"/>
        </w:rPr>
        <w:t> </w:t>
      </w:r>
      <w:r>
        <w:rPr>
          <w:sz w:val="18"/>
          <w:vertAlign w:val="baseline"/>
        </w:rPr>
        <w:t>Act</w:t>
      </w:r>
      <w:r>
        <w:rPr>
          <w:spacing w:val="-2"/>
          <w:sz w:val="18"/>
          <w:vertAlign w:val="baseline"/>
        </w:rPr>
        <w:t> </w:t>
      </w:r>
      <w:r>
        <w:rPr>
          <w:sz w:val="18"/>
          <w:vertAlign w:val="baseline"/>
        </w:rPr>
        <w:t>Coalition,</w:t>
      </w:r>
      <w:r>
        <w:rPr>
          <w:spacing w:val="-3"/>
          <w:sz w:val="18"/>
          <w:vertAlign w:val="baseline"/>
        </w:rPr>
        <w:t> </w:t>
      </w:r>
      <w:r>
        <w:rPr>
          <w:sz w:val="18"/>
          <w:vertAlign w:val="baseline"/>
        </w:rPr>
        <w:t>accessed</w:t>
      </w:r>
      <w:r>
        <w:rPr>
          <w:spacing w:val="-2"/>
          <w:sz w:val="18"/>
          <w:vertAlign w:val="baseline"/>
        </w:rPr>
        <w:t> </w:t>
      </w:r>
      <w:r>
        <w:rPr>
          <w:sz w:val="18"/>
          <w:vertAlign w:val="baseline"/>
        </w:rPr>
        <w:t>January</w:t>
      </w:r>
      <w:r>
        <w:rPr>
          <w:spacing w:val="-2"/>
          <w:sz w:val="18"/>
          <w:vertAlign w:val="baseline"/>
        </w:rPr>
        <w:t> </w:t>
      </w:r>
      <w:r>
        <w:rPr>
          <w:sz w:val="18"/>
          <w:vertAlign w:val="baseline"/>
        </w:rPr>
        <w:t>11,</w:t>
      </w:r>
      <w:r>
        <w:rPr>
          <w:spacing w:val="-3"/>
          <w:sz w:val="18"/>
          <w:vertAlign w:val="baseline"/>
        </w:rPr>
        <w:t> </w:t>
      </w:r>
      <w:r>
        <w:rPr>
          <w:sz w:val="18"/>
          <w:vertAlign w:val="baseline"/>
        </w:rPr>
        <w:t>2023,</w:t>
      </w:r>
      <w:r>
        <w:rPr>
          <w:spacing w:val="-3"/>
          <w:sz w:val="18"/>
          <w:vertAlign w:val="baseline"/>
        </w:rPr>
        <w:t> </w:t>
      </w:r>
      <w:r>
        <w:rPr>
          <w:spacing w:val="-2"/>
          <w:sz w:val="18"/>
          <w:vertAlign w:val="baseline"/>
        </w:rPr>
        <w:t>https://</w:t>
      </w:r>
      <w:hyperlink r:id="rId149">
        <w:r>
          <w:rPr>
            <w:spacing w:val="-2"/>
            <w:sz w:val="18"/>
            <w:vertAlign w:val="baseline"/>
          </w:rPr>
          <w:t>www.healthyyouthact.org/.</w:t>
        </w:r>
      </w:hyperlink>
    </w:p>
    <w:p>
      <w:pPr>
        <w:spacing w:before="31"/>
        <w:ind w:left="463" w:right="0" w:firstLine="0"/>
        <w:jc w:val="left"/>
        <w:rPr>
          <w:sz w:val="18"/>
        </w:rPr>
      </w:pPr>
      <w:r>
        <w:rPr>
          <w:sz w:val="18"/>
          <w:vertAlign w:val="superscript"/>
        </w:rPr>
        <w:t>29</w:t>
      </w:r>
      <w:r>
        <w:rPr>
          <w:spacing w:val="-12"/>
          <w:sz w:val="18"/>
          <w:vertAlign w:val="baseline"/>
        </w:rPr>
        <w:t> </w:t>
      </w:r>
      <w:r>
        <w:rPr>
          <w:sz w:val="18"/>
          <w:vertAlign w:val="baseline"/>
        </w:rPr>
        <w:t>“Healthy</w:t>
      </w:r>
      <w:r>
        <w:rPr>
          <w:spacing w:val="1"/>
          <w:sz w:val="18"/>
          <w:vertAlign w:val="baseline"/>
        </w:rPr>
        <w:t> </w:t>
      </w:r>
      <w:r>
        <w:rPr>
          <w:sz w:val="18"/>
          <w:vertAlign w:val="baseline"/>
        </w:rPr>
        <w:t>Youth Act </w:t>
      </w:r>
      <w:r>
        <w:rPr>
          <w:spacing w:val="-2"/>
          <w:sz w:val="18"/>
          <w:vertAlign w:val="baseline"/>
        </w:rPr>
        <w:t>Coalition.”</w:t>
      </w:r>
    </w:p>
    <w:p>
      <w:pPr>
        <w:spacing w:line="273" w:lineRule="auto" w:before="20"/>
        <w:ind w:left="463" w:right="300" w:hanging="1"/>
        <w:jc w:val="left"/>
        <w:rPr>
          <w:sz w:val="18"/>
        </w:rPr>
      </w:pPr>
      <w:r>
        <w:rPr>
          <w:sz w:val="18"/>
          <w:vertAlign w:val="superscript"/>
        </w:rPr>
        <w:t>30</w:t>
      </w:r>
      <w:r>
        <w:rPr>
          <w:spacing w:val="-12"/>
          <w:sz w:val="18"/>
          <w:vertAlign w:val="baseline"/>
        </w:rPr>
        <w:t> </w:t>
      </w:r>
      <w:r>
        <w:rPr>
          <w:sz w:val="18"/>
          <w:vertAlign w:val="baseline"/>
        </w:rPr>
        <w:t>Beth</w:t>
      </w:r>
      <w:r>
        <w:rPr>
          <w:spacing w:val="-3"/>
          <w:sz w:val="18"/>
          <w:vertAlign w:val="baseline"/>
        </w:rPr>
        <w:t> </w:t>
      </w:r>
      <w:r>
        <w:rPr>
          <w:sz w:val="18"/>
          <w:vertAlign w:val="baseline"/>
        </w:rPr>
        <w:t>Leventhal,</w:t>
      </w:r>
      <w:r>
        <w:rPr>
          <w:spacing w:val="-3"/>
          <w:sz w:val="18"/>
          <w:vertAlign w:val="baseline"/>
        </w:rPr>
        <w:t> </w:t>
      </w:r>
      <w:r>
        <w:rPr>
          <w:sz w:val="18"/>
          <w:vertAlign w:val="baseline"/>
        </w:rPr>
        <w:t>Charly</w:t>
      </w:r>
      <w:r>
        <w:rPr>
          <w:spacing w:val="-2"/>
          <w:sz w:val="18"/>
          <w:vertAlign w:val="baseline"/>
        </w:rPr>
        <w:t> </w:t>
      </w:r>
      <w:r>
        <w:rPr>
          <w:sz w:val="18"/>
          <w:vertAlign w:val="baseline"/>
        </w:rPr>
        <w:t>Robles,</w:t>
      </w:r>
      <w:r>
        <w:rPr>
          <w:spacing w:val="-3"/>
          <w:sz w:val="18"/>
          <w:vertAlign w:val="baseline"/>
        </w:rPr>
        <w:t> </w:t>
      </w:r>
      <w:r>
        <w:rPr>
          <w:sz w:val="18"/>
          <w:vertAlign w:val="baseline"/>
        </w:rPr>
        <w:t>and</w:t>
      </w:r>
      <w:r>
        <w:rPr>
          <w:spacing w:val="-2"/>
          <w:sz w:val="18"/>
          <w:vertAlign w:val="baseline"/>
        </w:rPr>
        <w:t> </w:t>
      </w:r>
      <w:r>
        <w:rPr>
          <w:sz w:val="18"/>
          <w:vertAlign w:val="baseline"/>
        </w:rPr>
        <w:t>Jenn</w:t>
      </w:r>
      <w:r>
        <w:rPr>
          <w:spacing w:val="-2"/>
          <w:sz w:val="18"/>
          <w:vertAlign w:val="baseline"/>
        </w:rPr>
        <w:t> </w:t>
      </w:r>
      <w:r>
        <w:rPr>
          <w:sz w:val="18"/>
          <w:vertAlign w:val="baseline"/>
        </w:rPr>
        <w:t>Ho,</w:t>
      </w:r>
      <w:r>
        <w:rPr>
          <w:spacing w:val="-3"/>
          <w:sz w:val="18"/>
          <w:vertAlign w:val="baseline"/>
        </w:rPr>
        <w:t> </w:t>
      </w:r>
      <w:r>
        <w:rPr>
          <w:sz w:val="18"/>
          <w:vertAlign w:val="baseline"/>
        </w:rPr>
        <w:t>“Survivor</w:t>
      </w:r>
      <w:r>
        <w:rPr>
          <w:spacing w:val="-3"/>
          <w:sz w:val="18"/>
          <w:vertAlign w:val="baseline"/>
        </w:rPr>
        <w:t> </w:t>
      </w:r>
      <w:r>
        <w:rPr>
          <w:sz w:val="18"/>
          <w:vertAlign w:val="baseline"/>
        </w:rPr>
        <w:t>Stories:</w:t>
      </w:r>
      <w:r>
        <w:rPr>
          <w:spacing w:val="-2"/>
          <w:sz w:val="18"/>
          <w:vertAlign w:val="baseline"/>
        </w:rPr>
        <w:t> </w:t>
      </w:r>
      <w:r>
        <w:rPr>
          <w:sz w:val="18"/>
          <w:vertAlign w:val="baseline"/>
        </w:rPr>
        <w:t>Learning</w:t>
      </w:r>
      <w:r>
        <w:rPr>
          <w:spacing w:val="-2"/>
          <w:sz w:val="18"/>
          <w:vertAlign w:val="baseline"/>
        </w:rPr>
        <w:t> </w:t>
      </w:r>
      <w:r>
        <w:rPr>
          <w:sz w:val="18"/>
          <w:vertAlign w:val="baseline"/>
        </w:rPr>
        <w:t>from</w:t>
      </w:r>
      <w:r>
        <w:rPr>
          <w:spacing w:val="-2"/>
          <w:sz w:val="18"/>
          <w:vertAlign w:val="baseline"/>
        </w:rPr>
        <w:t> </w:t>
      </w:r>
      <w:r>
        <w:rPr>
          <w:sz w:val="18"/>
          <w:vertAlign w:val="baseline"/>
        </w:rPr>
        <w:t>LGBQ/T</w:t>
      </w:r>
      <w:r>
        <w:rPr>
          <w:spacing w:val="-2"/>
          <w:sz w:val="18"/>
          <w:vertAlign w:val="baseline"/>
        </w:rPr>
        <w:t> </w:t>
      </w:r>
      <w:r>
        <w:rPr>
          <w:sz w:val="18"/>
          <w:vertAlign w:val="baseline"/>
        </w:rPr>
        <w:t>Communities</w:t>
      </w:r>
      <w:r>
        <w:rPr>
          <w:spacing w:val="-2"/>
          <w:sz w:val="18"/>
          <w:vertAlign w:val="baseline"/>
        </w:rPr>
        <w:t> </w:t>
      </w:r>
      <w:r>
        <w:rPr>
          <w:sz w:val="18"/>
          <w:vertAlign w:val="baseline"/>
        </w:rPr>
        <w:t>in</w:t>
      </w:r>
      <w:r>
        <w:rPr>
          <w:spacing w:val="-2"/>
          <w:sz w:val="18"/>
          <w:vertAlign w:val="baseline"/>
        </w:rPr>
        <w:t> </w:t>
      </w:r>
      <w:r>
        <w:rPr>
          <w:sz w:val="18"/>
          <w:vertAlign w:val="baseline"/>
        </w:rPr>
        <w:t>MA”</w:t>
      </w:r>
      <w:r>
        <w:rPr>
          <w:spacing w:val="-2"/>
          <w:sz w:val="18"/>
          <w:vertAlign w:val="baseline"/>
        </w:rPr>
        <w:t> </w:t>
      </w:r>
      <w:r>
        <w:rPr>
          <w:sz w:val="18"/>
          <w:vertAlign w:val="baseline"/>
        </w:rPr>
        <w:t>(Boston, Massachusetts: The Network/La Red, 2020), https://</w:t>
      </w:r>
      <w:hyperlink r:id="rId150">
        <w:r>
          <w:rPr>
            <w:sz w:val="18"/>
            <w:vertAlign w:val="baseline"/>
          </w:rPr>
          <w:t>www.tnlr.org/wp-content/uploads/CNA-w-cover-Final.pdf.</w:t>
        </w:r>
      </w:hyperlink>
    </w:p>
    <w:p>
      <w:pPr>
        <w:spacing w:line="212" w:lineRule="exact" w:before="0"/>
        <w:ind w:left="463" w:right="0" w:firstLine="0"/>
        <w:jc w:val="left"/>
        <w:rPr>
          <w:sz w:val="18"/>
        </w:rPr>
      </w:pPr>
      <w:r>
        <w:rPr>
          <w:sz w:val="18"/>
          <w:vertAlign w:val="superscript"/>
        </w:rPr>
        <w:t>31</w:t>
      </w:r>
      <w:r>
        <w:rPr>
          <w:spacing w:val="-12"/>
          <w:sz w:val="18"/>
          <w:vertAlign w:val="baseline"/>
        </w:rPr>
        <w:t> </w:t>
      </w:r>
      <w:r>
        <w:rPr>
          <w:sz w:val="18"/>
          <w:vertAlign w:val="baseline"/>
        </w:rPr>
        <w:t>Leventhal, Robles,</w:t>
      </w:r>
      <w:r>
        <w:rPr>
          <w:spacing w:val="-1"/>
          <w:sz w:val="18"/>
          <w:vertAlign w:val="baseline"/>
        </w:rPr>
        <w:t> </w:t>
      </w:r>
      <w:r>
        <w:rPr>
          <w:sz w:val="18"/>
          <w:vertAlign w:val="baseline"/>
        </w:rPr>
        <w:t>and</w:t>
      </w:r>
      <w:r>
        <w:rPr>
          <w:spacing w:val="1"/>
          <w:sz w:val="18"/>
          <w:vertAlign w:val="baseline"/>
        </w:rPr>
        <w:t> </w:t>
      </w:r>
      <w:r>
        <w:rPr>
          <w:spacing w:val="-5"/>
          <w:sz w:val="18"/>
          <w:vertAlign w:val="baseline"/>
        </w:rPr>
        <w:t>Ho.</w:t>
      </w:r>
    </w:p>
    <w:p>
      <w:pPr>
        <w:spacing w:before="4"/>
        <w:ind w:left="463" w:right="0" w:firstLine="0"/>
        <w:jc w:val="left"/>
        <w:rPr>
          <w:sz w:val="18"/>
        </w:rPr>
      </w:pPr>
      <w:r>
        <w:rPr>
          <w:sz w:val="18"/>
          <w:vertAlign w:val="superscript"/>
        </w:rPr>
        <w:t>32</w:t>
      </w:r>
      <w:r>
        <w:rPr>
          <w:spacing w:val="-12"/>
          <w:sz w:val="18"/>
          <w:vertAlign w:val="baseline"/>
        </w:rPr>
        <w:t> </w:t>
      </w:r>
      <w:r>
        <w:rPr>
          <w:sz w:val="18"/>
          <w:vertAlign w:val="baseline"/>
        </w:rPr>
        <w:t>Leventhal, Robles,</w:t>
      </w:r>
      <w:r>
        <w:rPr>
          <w:spacing w:val="-1"/>
          <w:sz w:val="18"/>
          <w:vertAlign w:val="baseline"/>
        </w:rPr>
        <w:t> </w:t>
      </w:r>
      <w:r>
        <w:rPr>
          <w:sz w:val="18"/>
          <w:vertAlign w:val="baseline"/>
        </w:rPr>
        <w:t>and</w:t>
      </w:r>
      <w:r>
        <w:rPr>
          <w:spacing w:val="1"/>
          <w:sz w:val="18"/>
          <w:vertAlign w:val="baseline"/>
        </w:rPr>
        <w:t> </w:t>
      </w:r>
      <w:r>
        <w:rPr>
          <w:spacing w:val="-5"/>
          <w:sz w:val="18"/>
          <w:vertAlign w:val="baseline"/>
        </w:rPr>
        <w:t>Ho.</w:t>
      </w:r>
    </w:p>
    <w:p>
      <w:pPr>
        <w:spacing w:line="273" w:lineRule="auto" w:before="20"/>
        <w:ind w:left="463" w:right="2402" w:hanging="1"/>
        <w:jc w:val="left"/>
        <w:rPr>
          <w:sz w:val="18"/>
        </w:rPr>
      </w:pPr>
      <w:r>
        <w:rPr>
          <w:sz w:val="18"/>
          <w:vertAlign w:val="superscript"/>
        </w:rPr>
        <w:t>33</w:t>
      </w:r>
      <w:r>
        <w:rPr>
          <w:spacing w:val="-12"/>
          <w:sz w:val="18"/>
          <w:vertAlign w:val="baseline"/>
        </w:rPr>
        <w:t> </w:t>
      </w:r>
      <w:r>
        <w:rPr>
          <w:sz w:val="18"/>
          <w:vertAlign w:val="baseline"/>
        </w:rPr>
        <w:t>“Adolescents</w:t>
      </w:r>
      <w:r>
        <w:rPr>
          <w:spacing w:val="-4"/>
          <w:sz w:val="18"/>
          <w:vertAlign w:val="baseline"/>
        </w:rPr>
        <w:t> </w:t>
      </w:r>
      <w:r>
        <w:rPr>
          <w:sz w:val="18"/>
          <w:vertAlign w:val="baseline"/>
        </w:rPr>
        <w:t>and</w:t>
      </w:r>
      <w:r>
        <w:rPr>
          <w:spacing w:val="-2"/>
          <w:sz w:val="18"/>
          <w:vertAlign w:val="baseline"/>
        </w:rPr>
        <w:t> </w:t>
      </w:r>
      <w:r>
        <w:rPr>
          <w:sz w:val="18"/>
          <w:vertAlign w:val="baseline"/>
        </w:rPr>
        <w:t>Young</w:t>
      </w:r>
      <w:r>
        <w:rPr>
          <w:spacing w:val="-3"/>
          <w:sz w:val="18"/>
          <w:vertAlign w:val="baseline"/>
        </w:rPr>
        <w:t> </w:t>
      </w:r>
      <w:r>
        <w:rPr>
          <w:sz w:val="18"/>
          <w:vertAlign w:val="baseline"/>
        </w:rPr>
        <w:t>Adults,”</w:t>
      </w:r>
      <w:r>
        <w:rPr>
          <w:spacing w:val="-2"/>
          <w:sz w:val="18"/>
          <w:vertAlign w:val="baseline"/>
        </w:rPr>
        <w:t> </w:t>
      </w:r>
      <w:r>
        <w:rPr>
          <w:sz w:val="18"/>
          <w:vertAlign w:val="baseline"/>
        </w:rPr>
        <w:t>Centers</w:t>
      </w:r>
      <w:r>
        <w:rPr>
          <w:spacing w:val="-2"/>
          <w:sz w:val="18"/>
          <w:vertAlign w:val="baseline"/>
        </w:rPr>
        <w:t> </w:t>
      </w:r>
      <w:r>
        <w:rPr>
          <w:sz w:val="18"/>
          <w:vertAlign w:val="baseline"/>
        </w:rPr>
        <w:t>for</w:t>
      </w:r>
      <w:r>
        <w:rPr>
          <w:spacing w:val="-3"/>
          <w:sz w:val="18"/>
          <w:vertAlign w:val="baseline"/>
        </w:rPr>
        <w:t> </w:t>
      </w:r>
      <w:r>
        <w:rPr>
          <w:sz w:val="18"/>
          <w:vertAlign w:val="baseline"/>
        </w:rPr>
        <w:t>Disease</w:t>
      </w:r>
      <w:r>
        <w:rPr>
          <w:spacing w:val="-2"/>
          <w:sz w:val="18"/>
          <w:vertAlign w:val="baseline"/>
        </w:rPr>
        <w:t> </w:t>
      </w:r>
      <w:r>
        <w:rPr>
          <w:sz w:val="18"/>
          <w:vertAlign w:val="baseline"/>
        </w:rPr>
        <w:t>Control</w:t>
      </w:r>
      <w:r>
        <w:rPr>
          <w:spacing w:val="-3"/>
          <w:sz w:val="18"/>
          <w:vertAlign w:val="baseline"/>
        </w:rPr>
        <w:t> </w:t>
      </w:r>
      <w:r>
        <w:rPr>
          <w:sz w:val="18"/>
          <w:vertAlign w:val="baseline"/>
        </w:rPr>
        <w:t>and</w:t>
      </w:r>
      <w:r>
        <w:rPr>
          <w:spacing w:val="-2"/>
          <w:sz w:val="18"/>
          <w:vertAlign w:val="baseline"/>
        </w:rPr>
        <w:t> </w:t>
      </w:r>
      <w:r>
        <w:rPr>
          <w:sz w:val="18"/>
          <w:vertAlign w:val="baseline"/>
        </w:rPr>
        <w:t>Prevention,</w:t>
      </w:r>
      <w:r>
        <w:rPr>
          <w:spacing w:val="-3"/>
          <w:sz w:val="18"/>
          <w:vertAlign w:val="baseline"/>
        </w:rPr>
        <w:t> </w:t>
      </w:r>
      <w:r>
        <w:rPr>
          <w:sz w:val="18"/>
          <w:vertAlign w:val="baseline"/>
        </w:rPr>
        <w:t>October</w:t>
      </w:r>
      <w:r>
        <w:rPr>
          <w:spacing w:val="-3"/>
          <w:sz w:val="18"/>
          <w:vertAlign w:val="baseline"/>
        </w:rPr>
        <w:t> </w:t>
      </w:r>
      <w:r>
        <w:rPr>
          <w:sz w:val="18"/>
          <w:vertAlign w:val="baseline"/>
        </w:rPr>
        <w:t>18,</w:t>
      </w:r>
      <w:r>
        <w:rPr>
          <w:spacing w:val="-3"/>
          <w:sz w:val="18"/>
          <w:vertAlign w:val="baseline"/>
        </w:rPr>
        <w:t> </w:t>
      </w:r>
      <w:r>
        <w:rPr>
          <w:sz w:val="18"/>
          <w:vertAlign w:val="baseline"/>
        </w:rPr>
        <w:t>2022, </w:t>
      </w:r>
      <w:r>
        <w:rPr>
          <w:spacing w:val="-2"/>
          <w:sz w:val="18"/>
          <w:vertAlign w:val="baseline"/>
        </w:rPr>
        <w:t>https://</w:t>
      </w:r>
      <w:hyperlink r:id="rId151">
        <w:r>
          <w:rPr>
            <w:spacing w:val="-2"/>
            <w:sz w:val="18"/>
            <w:vertAlign w:val="baseline"/>
          </w:rPr>
          <w:t>www.cdc.gov/std/life-stages-populations/adolescents-youngadults.htm.</w:t>
        </w:r>
      </w:hyperlink>
    </w:p>
    <w:p>
      <w:pPr>
        <w:spacing w:line="273" w:lineRule="auto" w:before="9"/>
        <w:ind w:left="463" w:right="311" w:hanging="1"/>
        <w:jc w:val="left"/>
        <w:rPr>
          <w:sz w:val="18"/>
        </w:rPr>
      </w:pPr>
      <w:r>
        <w:rPr>
          <w:sz w:val="18"/>
          <w:vertAlign w:val="superscript"/>
        </w:rPr>
        <w:t>34</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2"/>
          <w:sz w:val="18"/>
          <w:vertAlign w:val="baseline"/>
        </w:rPr>
        <w:t> </w:t>
      </w:r>
      <w:r>
        <w:rPr>
          <w:sz w:val="18"/>
          <w:vertAlign w:val="baseline"/>
        </w:rPr>
        <w:t>Integrated</w:t>
      </w:r>
      <w:r>
        <w:rPr>
          <w:spacing w:val="-2"/>
          <w:sz w:val="18"/>
          <w:vertAlign w:val="baseline"/>
        </w:rPr>
        <w:t> </w:t>
      </w:r>
      <w:r>
        <w:rPr>
          <w:sz w:val="18"/>
          <w:vertAlign w:val="baseline"/>
        </w:rPr>
        <w:t>HIV,</w:t>
      </w:r>
      <w:r>
        <w:rPr>
          <w:spacing w:val="-3"/>
          <w:sz w:val="18"/>
          <w:vertAlign w:val="baseline"/>
        </w:rPr>
        <w:t> </w:t>
      </w:r>
      <w:r>
        <w:rPr>
          <w:sz w:val="18"/>
          <w:vertAlign w:val="baseline"/>
        </w:rPr>
        <w:t>STD</w:t>
      </w:r>
      <w:r>
        <w:rPr>
          <w:spacing w:val="-3"/>
          <w:sz w:val="18"/>
          <w:vertAlign w:val="baseline"/>
        </w:rPr>
        <w:t> </w:t>
      </w:r>
      <w:r>
        <w:rPr>
          <w:sz w:val="18"/>
          <w:vertAlign w:val="baseline"/>
        </w:rPr>
        <w:t>and</w:t>
      </w:r>
      <w:r>
        <w:rPr>
          <w:spacing w:val="-2"/>
          <w:sz w:val="18"/>
          <w:vertAlign w:val="baseline"/>
        </w:rPr>
        <w:t> </w:t>
      </w:r>
      <w:r>
        <w:rPr>
          <w:sz w:val="18"/>
          <w:vertAlign w:val="baseline"/>
        </w:rPr>
        <w:t>Viral</w:t>
      </w:r>
      <w:r>
        <w:rPr>
          <w:spacing w:val="-3"/>
          <w:sz w:val="18"/>
          <w:vertAlign w:val="baseline"/>
        </w:rPr>
        <w:t> </w:t>
      </w:r>
      <w:r>
        <w:rPr>
          <w:sz w:val="18"/>
          <w:vertAlign w:val="baseline"/>
        </w:rPr>
        <w:t>Hepatitis</w:t>
      </w:r>
      <w:r>
        <w:rPr>
          <w:spacing w:val="-2"/>
          <w:sz w:val="18"/>
          <w:vertAlign w:val="baseline"/>
        </w:rPr>
        <w:t> </w:t>
      </w:r>
      <w:r>
        <w:rPr>
          <w:sz w:val="18"/>
          <w:vertAlign w:val="baseline"/>
        </w:rPr>
        <w:t>Surveillance</w:t>
      </w:r>
      <w:r>
        <w:rPr>
          <w:spacing w:val="-2"/>
          <w:sz w:val="18"/>
          <w:vertAlign w:val="baseline"/>
        </w:rPr>
        <w:t> </w:t>
      </w:r>
      <w:r>
        <w:rPr>
          <w:sz w:val="18"/>
          <w:vertAlign w:val="baseline"/>
        </w:rPr>
        <w:t>Report”</w:t>
      </w:r>
      <w:r>
        <w:rPr>
          <w:spacing w:val="-2"/>
          <w:sz w:val="18"/>
          <w:vertAlign w:val="baseline"/>
        </w:rPr>
        <w:t> </w:t>
      </w:r>
      <w:r>
        <w:rPr>
          <w:sz w:val="18"/>
          <w:vertAlign w:val="baseline"/>
        </w:rPr>
        <w:t>(Jamaica</w:t>
      </w:r>
      <w:r>
        <w:rPr>
          <w:spacing w:val="-2"/>
          <w:sz w:val="18"/>
          <w:vertAlign w:val="baseline"/>
        </w:rPr>
        <w:t> </w:t>
      </w:r>
      <w:r>
        <w:rPr>
          <w:sz w:val="18"/>
          <w:vertAlign w:val="baseline"/>
        </w:rPr>
        <w:t>Plain,</w:t>
      </w:r>
      <w:r>
        <w:rPr>
          <w:spacing w:val="-3"/>
          <w:sz w:val="18"/>
          <w:vertAlign w:val="baseline"/>
        </w:rPr>
        <w:t> </w:t>
      </w:r>
      <w:r>
        <w:rPr>
          <w:sz w:val="18"/>
          <w:vertAlign w:val="baseline"/>
        </w:rPr>
        <w:t>MA:</w:t>
      </w:r>
      <w:r>
        <w:rPr>
          <w:spacing w:val="-2"/>
          <w:sz w:val="18"/>
          <w:vertAlign w:val="baseline"/>
        </w:rPr>
        <w:t> </w:t>
      </w:r>
      <w:r>
        <w:rPr>
          <w:sz w:val="18"/>
          <w:vertAlign w:val="baseline"/>
        </w:rPr>
        <w:t>Massachusetts Department of Public Health, Bureau of Infectious Disease and Laboratory Sciences, 2022).</w:t>
      </w:r>
    </w:p>
    <w:p>
      <w:pPr>
        <w:spacing w:line="212" w:lineRule="exact" w:before="0"/>
        <w:ind w:left="463" w:right="0" w:firstLine="0"/>
        <w:jc w:val="left"/>
        <w:rPr>
          <w:i/>
          <w:sz w:val="18"/>
        </w:rPr>
      </w:pPr>
      <w:r>
        <w:rPr>
          <w:sz w:val="18"/>
          <w:vertAlign w:val="superscript"/>
        </w:rPr>
        <w:t>35</w:t>
      </w:r>
      <w:r>
        <w:rPr>
          <w:spacing w:val="-12"/>
          <w:sz w:val="18"/>
          <w:vertAlign w:val="baseline"/>
        </w:rPr>
        <w:t> </w:t>
      </w:r>
      <w:r>
        <w:rPr>
          <w:sz w:val="18"/>
          <w:vertAlign w:val="baseline"/>
        </w:rPr>
        <w:t>Elizabeth</w:t>
      </w:r>
      <w:r>
        <w:rPr>
          <w:spacing w:val="-4"/>
          <w:sz w:val="18"/>
          <w:vertAlign w:val="baseline"/>
        </w:rPr>
        <w:t> </w:t>
      </w:r>
      <w:r>
        <w:rPr>
          <w:sz w:val="18"/>
          <w:vertAlign w:val="baseline"/>
        </w:rPr>
        <w:t>Campanella</w:t>
      </w:r>
      <w:r>
        <w:rPr>
          <w:spacing w:val="-2"/>
          <w:sz w:val="18"/>
          <w:vertAlign w:val="baseline"/>
        </w:rPr>
        <w:t> </w:t>
      </w:r>
      <w:r>
        <w:rPr>
          <w:sz w:val="18"/>
          <w:vertAlign w:val="baseline"/>
        </w:rPr>
        <w:t>Day,</w:t>
      </w:r>
      <w:r>
        <w:rPr>
          <w:spacing w:val="-3"/>
          <w:sz w:val="18"/>
          <w:vertAlign w:val="baseline"/>
        </w:rPr>
        <w:t> </w:t>
      </w:r>
      <w:r>
        <w:rPr>
          <w:sz w:val="18"/>
          <w:vertAlign w:val="baseline"/>
        </w:rPr>
        <w:t>“Communicating</w:t>
      </w:r>
      <w:r>
        <w:rPr>
          <w:spacing w:val="-2"/>
          <w:sz w:val="18"/>
          <w:vertAlign w:val="baseline"/>
        </w:rPr>
        <w:t> </w:t>
      </w:r>
      <w:r>
        <w:rPr>
          <w:sz w:val="18"/>
          <w:vertAlign w:val="baseline"/>
        </w:rPr>
        <w:t>with</w:t>
      </w:r>
      <w:r>
        <w:rPr>
          <w:spacing w:val="-2"/>
          <w:sz w:val="18"/>
          <w:vertAlign w:val="baseline"/>
        </w:rPr>
        <w:t> </w:t>
      </w:r>
      <w:r>
        <w:rPr>
          <w:sz w:val="18"/>
          <w:vertAlign w:val="baseline"/>
        </w:rPr>
        <w:t>LGBTQ</w:t>
      </w:r>
      <w:r>
        <w:rPr>
          <w:spacing w:val="-2"/>
          <w:sz w:val="18"/>
          <w:vertAlign w:val="baseline"/>
        </w:rPr>
        <w:t> </w:t>
      </w:r>
      <w:r>
        <w:rPr>
          <w:sz w:val="18"/>
          <w:vertAlign w:val="baseline"/>
        </w:rPr>
        <w:t>Adolescents:</w:t>
      </w:r>
      <w:r>
        <w:rPr>
          <w:spacing w:val="-2"/>
          <w:sz w:val="18"/>
          <w:vertAlign w:val="baseline"/>
        </w:rPr>
        <w:t> </w:t>
      </w:r>
      <w:r>
        <w:rPr>
          <w:sz w:val="18"/>
          <w:vertAlign w:val="baseline"/>
        </w:rPr>
        <w:t>Preventing</w:t>
      </w:r>
      <w:r>
        <w:rPr>
          <w:spacing w:val="-2"/>
          <w:sz w:val="18"/>
          <w:vertAlign w:val="baseline"/>
        </w:rPr>
        <w:t> </w:t>
      </w:r>
      <w:r>
        <w:rPr>
          <w:sz w:val="18"/>
          <w:vertAlign w:val="baseline"/>
        </w:rPr>
        <w:t>HIV</w:t>
      </w:r>
      <w:r>
        <w:rPr>
          <w:spacing w:val="-2"/>
          <w:sz w:val="18"/>
          <w:vertAlign w:val="baseline"/>
        </w:rPr>
        <w:t> </w:t>
      </w:r>
      <w:r>
        <w:rPr>
          <w:sz w:val="18"/>
          <w:vertAlign w:val="baseline"/>
        </w:rPr>
        <w:t>and</w:t>
      </w:r>
      <w:r>
        <w:rPr>
          <w:spacing w:val="-2"/>
          <w:sz w:val="18"/>
          <w:vertAlign w:val="baseline"/>
        </w:rPr>
        <w:t> </w:t>
      </w:r>
      <w:r>
        <w:rPr>
          <w:sz w:val="18"/>
          <w:vertAlign w:val="baseline"/>
        </w:rPr>
        <w:t>Other</w:t>
      </w:r>
      <w:r>
        <w:rPr>
          <w:spacing w:val="-4"/>
          <w:sz w:val="18"/>
          <w:vertAlign w:val="baseline"/>
        </w:rPr>
        <w:t> </w:t>
      </w:r>
      <w:r>
        <w:rPr>
          <w:sz w:val="18"/>
          <w:vertAlign w:val="baseline"/>
        </w:rPr>
        <w:t>STIs.,”</w:t>
      </w:r>
      <w:r>
        <w:rPr>
          <w:spacing w:val="-2"/>
          <w:sz w:val="18"/>
          <w:vertAlign w:val="baseline"/>
        </w:rPr>
        <w:t> </w:t>
      </w:r>
      <w:r>
        <w:rPr>
          <w:i/>
          <w:sz w:val="18"/>
          <w:vertAlign w:val="baseline"/>
        </w:rPr>
        <w:t>Pediatric</w:t>
      </w:r>
      <w:r>
        <w:rPr>
          <w:i/>
          <w:spacing w:val="-2"/>
          <w:sz w:val="18"/>
          <w:vertAlign w:val="baseline"/>
        </w:rPr>
        <w:t> Nursing</w:t>
      </w:r>
    </w:p>
    <w:p>
      <w:pPr>
        <w:spacing w:after="0" w:line="212" w:lineRule="exact"/>
        <w:jc w:val="left"/>
        <w:rPr>
          <w:sz w:val="18"/>
        </w:rPr>
        <w:sectPr>
          <w:pgSz w:w="11910" w:h="16840"/>
          <w:pgMar w:header="804" w:footer="1277" w:top="1080" w:bottom="1480" w:left="980" w:right="900"/>
        </w:sectPr>
      </w:pPr>
    </w:p>
    <w:p>
      <w:pPr>
        <w:spacing w:line="218" w:lineRule="exact" w:before="53"/>
        <w:ind w:left="463" w:right="0" w:firstLine="0"/>
        <w:jc w:val="left"/>
        <w:rPr>
          <w:sz w:val="18"/>
        </w:rPr>
      </w:pPr>
      <w:r>
        <w:rPr>
          <w:sz w:val="18"/>
        </w:rPr>
        <w:t>48,</w:t>
      </w:r>
      <w:r>
        <w:rPr>
          <w:spacing w:val="-2"/>
          <w:sz w:val="18"/>
        </w:rPr>
        <w:t> </w:t>
      </w:r>
      <w:r>
        <w:rPr>
          <w:sz w:val="18"/>
        </w:rPr>
        <w:t>no.</w:t>
      </w:r>
      <w:r>
        <w:rPr>
          <w:spacing w:val="-1"/>
          <w:sz w:val="18"/>
        </w:rPr>
        <w:t> </w:t>
      </w:r>
      <w:r>
        <w:rPr>
          <w:sz w:val="18"/>
        </w:rPr>
        <w:t>4</w:t>
      </w:r>
      <w:r>
        <w:rPr>
          <w:spacing w:val="-1"/>
          <w:sz w:val="18"/>
        </w:rPr>
        <w:t> </w:t>
      </w:r>
      <w:r>
        <w:rPr>
          <w:sz w:val="18"/>
        </w:rPr>
        <w:t>(July</w:t>
      </w:r>
      <w:r>
        <w:rPr>
          <w:spacing w:val="-1"/>
          <w:sz w:val="18"/>
        </w:rPr>
        <w:t> </w:t>
      </w:r>
      <w:r>
        <w:rPr>
          <w:sz w:val="18"/>
        </w:rPr>
        <w:t>1,</w:t>
      </w:r>
      <w:r>
        <w:rPr>
          <w:spacing w:val="-2"/>
          <w:sz w:val="18"/>
        </w:rPr>
        <w:t> </w:t>
      </w:r>
      <w:r>
        <w:rPr>
          <w:sz w:val="18"/>
        </w:rPr>
        <w:t>2022):</w:t>
      </w:r>
      <w:r>
        <w:rPr>
          <w:spacing w:val="-1"/>
          <w:sz w:val="18"/>
        </w:rPr>
        <w:t> </w:t>
      </w:r>
      <w:r>
        <w:rPr>
          <w:spacing w:val="-2"/>
          <w:sz w:val="18"/>
        </w:rPr>
        <w:t>163–67.</w:t>
      </w:r>
    </w:p>
    <w:p>
      <w:pPr>
        <w:spacing w:line="218" w:lineRule="exact" w:before="0"/>
        <w:ind w:left="463" w:right="0" w:firstLine="0"/>
        <w:jc w:val="left"/>
        <w:rPr>
          <w:sz w:val="18"/>
        </w:rPr>
      </w:pPr>
      <w:r>
        <w:rPr>
          <w:sz w:val="18"/>
          <w:vertAlign w:val="superscript"/>
        </w:rPr>
        <w:t>36</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before="21"/>
        <w:ind w:left="463" w:right="0" w:firstLine="0"/>
        <w:jc w:val="left"/>
        <w:rPr>
          <w:sz w:val="18"/>
        </w:rPr>
      </w:pPr>
      <w:r>
        <w:rPr>
          <w:sz w:val="18"/>
          <w:vertAlign w:val="superscript"/>
        </w:rPr>
        <w:t>37</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before="32"/>
        <w:ind w:left="463" w:right="0" w:firstLine="0"/>
        <w:jc w:val="left"/>
        <w:rPr>
          <w:sz w:val="18"/>
        </w:rPr>
      </w:pPr>
      <w:r>
        <w:rPr>
          <w:sz w:val="18"/>
          <w:vertAlign w:val="superscript"/>
        </w:rPr>
        <w:t>38</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line="273" w:lineRule="auto" w:before="20"/>
        <w:ind w:left="463" w:right="1299" w:hanging="1"/>
        <w:jc w:val="left"/>
        <w:rPr>
          <w:sz w:val="18"/>
        </w:rPr>
      </w:pPr>
      <w:r>
        <w:rPr>
          <w:sz w:val="18"/>
          <w:vertAlign w:val="superscript"/>
        </w:rPr>
        <w:t>39</w:t>
      </w:r>
      <w:r>
        <w:rPr>
          <w:spacing w:val="-12"/>
          <w:sz w:val="18"/>
          <w:vertAlign w:val="baseline"/>
        </w:rPr>
        <w:t> </w:t>
      </w:r>
      <w:r>
        <w:rPr>
          <w:sz w:val="18"/>
          <w:vertAlign w:val="baseline"/>
        </w:rPr>
        <w:t>“Youth</w:t>
      </w:r>
      <w:r>
        <w:rPr>
          <w:spacing w:val="-2"/>
          <w:sz w:val="18"/>
          <w:vertAlign w:val="baseline"/>
        </w:rPr>
        <w:t> </w:t>
      </w:r>
      <w:r>
        <w:rPr>
          <w:sz w:val="18"/>
          <w:vertAlign w:val="baseline"/>
        </w:rPr>
        <w:t>STIs:</w:t>
      </w:r>
      <w:r>
        <w:rPr>
          <w:spacing w:val="-1"/>
          <w:sz w:val="18"/>
          <w:vertAlign w:val="baseline"/>
        </w:rPr>
        <w:t> </w:t>
      </w:r>
      <w:r>
        <w:rPr>
          <w:sz w:val="18"/>
          <w:vertAlign w:val="baseline"/>
        </w:rPr>
        <w:t>An</w:t>
      </w:r>
      <w:r>
        <w:rPr>
          <w:spacing w:val="-1"/>
          <w:sz w:val="18"/>
          <w:vertAlign w:val="baseline"/>
        </w:rPr>
        <w:t> </w:t>
      </w:r>
      <w:r>
        <w:rPr>
          <w:sz w:val="18"/>
          <w:vertAlign w:val="baseline"/>
        </w:rPr>
        <w:t>Epidemic</w:t>
      </w:r>
      <w:r>
        <w:rPr>
          <w:spacing w:val="-2"/>
          <w:sz w:val="18"/>
          <w:vertAlign w:val="baseline"/>
        </w:rPr>
        <w:t> </w:t>
      </w:r>
      <w:r>
        <w:rPr>
          <w:sz w:val="18"/>
          <w:vertAlign w:val="baseline"/>
        </w:rPr>
        <w:t>Fuelled</w:t>
      </w:r>
      <w:r>
        <w:rPr>
          <w:spacing w:val="-1"/>
          <w:sz w:val="18"/>
          <w:vertAlign w:val="baseline"/>
        </w:rPr>
        <w:t> </w:t>
      </w:r>
      <w:r>
        <w:rPr>
          <w:sz w:val="18"/>
          <w:vertAlign w:val="baseline"/>
        </w:rPr>
        <w:t>by</w:t>
      </w:r>
      <w:r>
        <w:rPr>
          <w:spacing w:val="-1"/>
          <w:sz w:val="18"/>
          <w:vertAlign w:val="baseline"/>
        </w:rPr>
        <w:t> </w:t>
      </w:r>
      <w:r>
        <w:rPr>
          <w:sz w:val="18"/>
          <w:vertAlign w:val="baseline"/>
        </w:rPr>
        <w:t>Shame,”</w:t>
      </w:r>
      <w:r>
        <w:rPr>
          <w:spacing w:val="-1"/>
          <w:sz w:val="18"/>
          <w:vertAlign w:val="baseline"/>
        </w:rPr>
        <w:t> </w:t>
      </w:r>
      <w:r>
        <w:rPr>
          <w:i/>
          <w:sz w:val="18"/>
          <w:vertAlign w:val="baseline"/>
        </w:rPr>
        <w:t>The</w:t>
      </w:r>
      <w:r>
        <w:rPr>
          <w:i/>
          <w:spacing w:val="-1"/>
          <w:sz w:val="18"/>
          <w:vertAlign w:val="baseline"/>
        </w:rPr>
        <w:t> </w:t>
      </w:r>
      <w:r>
        <w:rPr>
          <w:i/>
          <w:sz w:val="18"/>
          <w:vertAlign w:val="baseline"/>
        </w:rPr>
        <w:t>Lancet</w:t>
      </w:r>
      <w:r>
        <w:rPr>
          <w:i/>
          <w:spacing w:val="-2"/>
          <w:sz w:val="18"/>
          <w:vertAlign w:val="baseline"/>
        </w:rPr>
        <w:t> </w:t>
      </w:r>
      <w:r>
        <w:rPr>
          <w:i/>
          <w:sz w:val="18"/>
          <w:vertAlign w:val="baseline"/>
        </w:rPr>
        <w:t>Child &amp;</w:t>
      </w:r>
      <w:r>
        <w:rPr>
          <w:i/>
          <w:spacing w:val="-2"/>
          <w:sz w:val="18"/>
          <w:vertAlign w:val="baseline"/>
        </w:rPr>
        <w:t> </w:t>
      </w:r>
      <w:r>
        <w:rPr>
          <w:i/>
          <w:sz w:val="18"/>
          <w:vertAlign w:val="baseline"/>
        </w:rPr>
        <w:t>Adolescent</w:t>
      </w:r>
      <w:r>
        <w:rPr>
          <w:i/>
          <w:spacing w:val="-2"/>
          <w:sz w:val="18"/>
          <w:vertAlign w:val="baseline"/>
        </w:rPr>
        <w:t> </w:t>
      </w:r>
      <w:r>
        <w:rPr>
          <w:i/>
          <w:sz w:val="18"/>
          <w:vertAlign w:val="baseline"/>
        </w:rPr>
        <w:t>Health</w:t>
      </w:r>
      <w:r>
        <w:rPr>
          <w:i/>
          <w:spacing w:val="-2"/>
          <w:sz w:val="18"/>
          <w:vertAlign w:val="baseline"/>
        </w:rPr>
        <w:t> </w:t>
      </w:r>
      <w:r>
        <w:rPr>
          <w:sz w:val="18"/>
          <w:vertAlign w:val="baseline"/>
        </w:rPr>
        <w:t>6,</w:t>
      </w:r>
      <w:r>
        <w:rPr>
          <w:spacing w:val="-2"/>
          <w:sz w:val="18"/>
          <w:vertAlign w:val="baseline"/>
        </w:rPr>
        <w:t> </w:t>
      </w:r>
      <w:r>
        <w:rPr>
          <w:sz w:val="18"/>
          <w:vertAlign w:val="baseline"/>
        </w:rPr>
        <w:t>no.</w:t>
      </w:r>
      <w:r>
        <w:rPr>
          <w:spacing w:val="-1"/>
          <w:sz w:val="18"/>
          <w:vertAlign w:val="baseline"/>
        </w:rPr>
        <w:t> </w:t>
      </w:r>
      <w:r>
        <w:rPr>
          <w:sz w:val="18"/>
          <w:vertAlign w:val="baseline"/>
        </w:rPr>
        <w:t>6</w:t>
      </w:r>
      <w:r>
        <w:rPr>
          <w:spacing w:val="-1"/>
          <w:sz w:val="18"/>
          <w:vertAlign w:val="baseline"/>
        </w:rPr>
        <w:t> </w:t>
      </w:r>
      <w:r>
        <w:rPr>
          <w:sz w:val="18"/>
          <w:vertAlign w:val="baseline"/>
        </w:rPr>
        <w:t>(June</w:t>
      </w:r>
      <w:r>
        <w:rPr>
          <w:spacing w:val="-1"/>
          <w:sz w:val="18"/>
          <w:vertAlign w:val="baseline"/>
        </w:rPr>
        <w:t> </w:t>
      </w:r>
      <w:r>
        <w:rPr>
          <w:sz w:val="18"/>
          <w:vertAlign w:val="baseline"/>
        </w:rPr>
        <w:t>1,</w:t>
      </w:r>
      <w:r>
        <w:rPr>
          <w:spacing w:val="-2"/>
          <w:sz w:val="18"/>
          <w:vertAlign w:val="baseline"/>
        </w:rPr>
        <w:t> </w:t>
      </w:r>
      <w:r>
        <w:rPr>
          <w:sz w:val="18"/>
          <w:vertAlign w:val="baseline"/>
        </w:rPr>
        <w:t>2022):</w:t>
      </w:r>
      <w:r>
        <w:rPr>
          <w:spacing w:val="-1"/>
          <w:sz w:val="18"/>
          <w:vertAlign w:val="baseline"/>
        </w:rPr>
        <w:t> </w:t>
      </w:r>
      <w:r>
        <w:rPr>
          <w:sz w:val="18"/>
          <w:vertAlign w:val="baseline"/>
        </w:rPr>
        <w:t>353, </w:t>
      </w:r>
      <w:r>
        <w:rPr>
          <w:spacing w:val="-2"/>
          <w:sz w:val="18"/>
          <w:vertAlign w:val="baseline"/>
        </w:rPr>
        <w:t>https://doi.org/10.1016/S2352-4642(22)00128-6.</w:t>
      </w:r>
    </w:p>
    <w:p>
      <w:pPr>
        <w:spacing w:line="273" w:lineRule="auto" w:before="9"/>
        <w:ind w:left="463" w:right="801" w:hanging="1"/>
        <w:jc w:val="left"/>
        <w:rPr>
          <w:sz w:val="18"/>
        </w:rPr>
      </w:pPr>
      <w:r>
        <w:rPr>
          <w:sz w:val="18"/>
          <w:vertAlign w:val="superscript"/>
        </w:rPr>
        <w:t>40</w:t>
      </w:r>
      <w:r>
        <w:rPr>
          <w:spacing w:val="-12"/>
          <w:sz w:val="18"/>
          <w:vertAlign w:val="baseline"/>
        </w:rPr>
        <w:t> </w:t>
      </w:r>
      <w:r>
        <w:rPr>
          <w:sz w:val="18"/>
          <w:vertAlign w:val="baseline"/>
        </w:rPr>
        <w:t>Ashley</w:t>
      </w:r>
      <w:r>
        <w:rPr>
          <w:spacing w:val="-2"/>
          <w:sz w:val="18"/>
          <w:vertAlign w:val="baseline"/>
        </w:rPr>
        <w:t> </w:t>
      </w:r>
      <w:r>
        <w:rPr>
          <w:sz w:val="18"/>
          <w:vertAlign w:val="baseline"/>
        </w:rPr>
        <w:t>B.</w:t>
      </w:r>
      <w:r>
        <w:rPr>
          <w:spacing w:val="-2"/>
          <w:sz w:val="18"/>
          <w:vertAlign w:val="baseline"/>
        </w:rPr>
        <w:t> </w:t>
      </w:r>
      <w:r>
        <w:rPr>
          <w:sz w:val="18"/>
          <w:vertAlign w:val="baseline"/>
        </w:rPr>
        <w:t>Woolweaver</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“Leveraging</w:t>
      </w:r>
      <w:r>
        <w:rPr>
          <w:spacing w:val="-3"/>
          <w:sz w:val="18"/>
          <w:vertAlign w:val="baseline"/>
        </w:rPr>
        <w:t> </w:t>
      </w:r>
      <w:r>
        <w:rPr>
          <w:sz w:val="18"/>
          <w:vertAlign w:val="baseline"/>
        </w:rPr>
        <w:t>Comprehensive</w:t>
      </w:r>
      <w:r>
        <w:rPr>
          <w:spacing w:val="-3"/>
          <w:sz w:val="18"/>
          <w:vertAlign w:val="baseline"/>
        </w:rPr>
        <w:t> </w:t>
      </w:r>
      <w:r>
        <w:rPr>
          <w:sz w:val="18"/>
          <w:vertAlign w:val="baseline"/>
        </w:rPr>
        <w:t>Sexuality</w:t>
      </w:r>
      <w:r>
        <w:rPr>
          <w:spacing w:val="-2"/>
          <w:sz w:val="18"/>
          <w:vertAlign w:val="baseline"/>
        </w:rPr>
        <w:t> </w:t>
      </w:r>
      <w:r>
        <w:rPr>
          <w:sz w:val="18"/>
          <w:vertAlign w:val="baseline"/>
        </w:rPr>
        <w:t>Education</w:t>
      </w:r>
      <w:r>
        <w:rPr>
          <w:spacing w:val="-2"/>
          <w:sz w:val="18"/>
          <w:vertAlign w:val="baseline"/>
        </w:rPr>
        <w:t> </w:t>
      </w:r>
      <w:r>
        <w:rPr>
          <w:sz w:val="18"/>
          <w:vertAlign w:val="baseline"/>
        </w:rPr>
        <w:t>as</w:t>
      </w:r>
      <w:r>
        <w:rPr>
          <w:spacing w:val="-2"/>
          <w:sz w:val="18"/>
          <w:vertAlign w:val="baseline"/>
        </w:rPr>
        <w:t> </w:t>
      </w:r>
      <w:r>
        <w:rPr>
          <w:sz w:val="18"/>
          <w:vertAlign w:val="baseline"/>
        </w:rPr>
        <w:t>a</w:t>
      </w:r>
      <w:r>
        <w:rPr>
          <w:spacing w:val="-2"/>
          <w:sz w:val="18"/>
          <w:vertAlign w:val="baseline"/>
        </w:rPr>
        <w:t> </w:t>
      </w:r>
      <w:r>
        <w:rPr>
          <w:sz w:val="18"/>
          <w:vertAlign w:val="baseline"/>
        </w:rPr>
        <w:t>Tool</w:t>
      </w:r>
      <w:r>
        <w:rPr>
          <w:spacing w:val="-3"/>
          <w:sz w:val="18"/>
          <w:vertAlign w:val="baseline"/>
        </w:rPr>
        <w:t> </w:t>
      </w:r>
      <w:r>
        <w:rPr>
          <w:sz w:val="18"/>
          <w:vertAlign w:val="baseline"/>
        </w:rPr>
        <w:t>for</w:t>
      </w:r>
      <w:r>
        <w:rPr>
          <w:spacing w:val="-3"/>
          <w:sz w:val="18"/>
          <w:vertAlign w:val="baseline"/>
        </w:rPr>
        <w:t> </w:t>
      </w:r>
      <w:r>
        <w:rPr>
          <w:sz w:val="18"/>
          <w:vertAlign w:val="baseline"/>
        </w:rPr>
        <w:t>Knowledge,</w:t>
      </w:r>
      <w:r>
        <w:rPr>
          <w:spacing w:val="-3"/>
          <w:sz w:val="18"/>
          <w:vertAlign w:val="baseline"/>
        </w:rPr>
        <w:t> </w:t>
      </w:r>
      <w:r>
        <w:rPr>
          <w:sz w:val="18"/>
          <w:vertAlign w:val="baseline"/>
        </w:rPr>
        <w:t>Equity,</w:t>
      </w:r>
      <w:r>
        <w:rPr>
          <w:spacing w:val="-3"/>
          <w:sz w:val="18"/>
          <w:vertAlign w:val="baseline"/>
        </w:rPr>
        <w:t> </w:t>
      </w:r>
      <w:r>
        <w:rPr>
          <w:sz w:val="18"/>
          <w:vertAlign w:val="baseline"/>
        </w:rPr>
        <w:t>and Inclusion,” </w:t>
      </w:r>
      <w:r>
        <w:rPr>
          <w:i/>
          <w:sz w:val="18"/>
          <w:vertAlign w:val="baseline"/>
        </w:rPr>
        <w:t>Journal of School Health</w:t>
      </w:r>
      <w:r>
        <w:rPr>
          <w:sz w:val="18"/>
          <w:vertAlign w:val="baseline"/>
        </w:rPr>
        <w:t>, November 20, 2022, https://doi.org/10.1111/josh.13276.</w:t>
      </w:r>
    </w:p>
    <w:p>
      <w:pPr>
        <w:spacing w:line="212" w:lineRule="exact" w:before="0"/>
        <w:ind w:left="463" w:right="0" w:firstLine="0"/>
        <w:jc w:val="left"/>
        <w:rPr>
          <w:sz w:val="18"/>
        </w:rPr>
      </w:pPr>
      <w:r>
        <w:rPr>
          <w:sz w:val="18"/>
          <w:vertAlign w:val="superscript"/>
        </w:rPr>
        <w:t>41</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before="4"/>
        <w:ind w:left="463" w:right="0" w:firstLine="0"/>
        <w:jc w:val="left"/>
        <w:rPr>
          <w:sz w:val="18"/>
        </w:rPr>
      </w:pPr>
      <w:r>
        <w:rPr>
          <w:sz w:val="18"/>
          <w:vertAlign w:val="superscript"/>
        </w:rPr>
        <w:t>42</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before="2"/>
        <w:ind w:left="463" w:right="0" w:firstLine="0"/>
        <w:jc w:val="left"/>
        <w:rPr>
          <w:sz w:val="18"/>
        </w:rPr>
      </w:pPr>
      <w:r>
        <w:rPr>
          <w:sz w:val="18"/>
          <w:vertAlign w:val="superscript"/>
        </w:rPr>
        <w:t>43</w:t>
      </w:r>
      <w:r>
        <w:rPr>
          <w:spacing w:val="-12"/>
          <w:sz w:val="18"/>
          <w:vertAlign w:val="baseline"/>
        </w:rPr>
        <w:t> </w:t>
      </w:r>
      <w:r>
        <w:rPr>
          <w:sz w:val="18"/>
          <w:vertAlign w:val="baseline"/>
        </w:rPr>
        <w:t>“2021</w:t>
      </w:r>
      <w:r>
        <w:rPr>
          <w:spacing w:val="-3"/>
          <w:sz w:val="18"/>
          <w:vertAlign w:val="baseline"/>
        </w:rPr>
        <w:t> </w:t>
      </w:r>
      <w:r>
        <w:rPr>
          <w:sz w:val="18"/>
          <w:vertAlign w:val="baseline"/>
        </w:rPr>
        <w:t>Massachusetts</w:t>
      </w:r>
      <w:r>
        <w:rPr>
          <w:spacing w:val="-1"/>
          <w:sz w:val="18"/>
          <w:vertAlign w:val="baseline"/>
        </w:rPr>
        <w:t> </w:t>
      </w:r>
      <w:r>
        <w:rPr>
          <w:sz w:val="18"/>
          <w:vertAlign w:val="baseline"/>
        </w:rPr>
        <w:t>Youth</w:t>
      </w:r>
      <w:r>
        <w:rPr>
          <w:spacing w:val="-1"/>
          <w:sz w:val="18"/>
          <w:vertAlign w:val="baseline"/>
        </w:rPr>
        <w:t> </w:t>
      </w:r>
      <w:r>
        <w:rPr>
          <w:sz w:val="18"/>
          <w:vertAlign w:val="baseline"/>
        </w:rPr>
        <w:t>Risk</w:t>
      </w:r>
      <w:r>
        <w:rPr>
          <w:spacing w:val="-2"/>
          <w:sz w:val="18"/>
          <w:vertAlign w:val="baseline"/>
        </w:rPr>
        <w:t> </w:t>
      </w:r>
      <w:r>
        <w:rPr>
          <w:sz w:val="18"/>
          <w:vertAlign w:val="baseline"/>
        </w:rPr>
        <w:t>Behavior</w:t>
      </w:r>
      <w:r>
        <w:rPr>
          <w:spacing w:val="-3"/>
          <w:sz w:val="18"/>
          <w:vertAlign w:val="baseline"/>
        </w:rPr>
        <w:t> </w:t>
      </w:r>
      <w:r>
        <w:rPr>
          <w:sz w:val="18"/>
          <w:vertAlign w:val="baseline"/>
        </w:rPr>
        <w:t>Survey</w:t>
      </w:r>
      <w:r>
        <w:rPr>
          <w:spacing w:val="-1"/>
          <w:sz w:val="18"/>
          <w:vertAlign w:val="baseline"/>
        </w:rPr>
        <w:t> </w:t>
      </w:r>
      <w:r>
        <w:rPr>
          <w:spacing w:val="-2"/>
          <w:sz w:val="18"/>
          <w:vertAlign w:val="baseline"/>
        </w:rPr>
        <w:t>Data.”</w:t>
      </w:r>
    </w:p>
    <w:p>
      <w:pPr>
        <w:spacing w:before="20"/>
        <w:ind w:left="463" w:right="0" w:firstLine="0"/>
        <w:jc w:val="left"/>
        <w:rPr>
          <w:sz w:val="18"/>
        </w:rPr>
      </w:pPr>
      <w:r>
        <w:rPr>
          <w:sz w:val="18"/>
          <w:vertAlign w:val="superscript"/>
        </w:rPr>
        <w:t>44</w:t>
      </w:r>
      <w:r>
        <w:rPr>
          <w:spacing w:val="-12"/>
          <w:sz w:val="18"/>
          <w:vertAlign w:val="baseline"/>
        </w:rPr>
        <w:t> </w:t>
      </w:r>
      <w:r>
        <w:rPr>
          <w:sz w:val="18"/>
          <w:vertAlign w:val="baseline"/>
        </w:rPr>
        <w:t>Goldfarb</w:t>
      </w:r>
      <w:r>
        <w:rPr>
          <w:spacing w:val="-1"/>
          <w:sz w:val="18"/>
          <w:vertAlign w:val="baseline"/>
        </w:rPr>
        <w:t> </w:t>
      </w:r>
      <w:r>
        <w:rPr>
          <w:sz w:val="18"/>
          <w:vertAlign w:val="baseline"/>
        </w:rPr>
        <w:t>and</w:t>
      </w:r>
      <w:r>
        <w:rPr>
          <w:spacing w:val="-2"/>
          <w:sz w:val="18"/>
          <w:vertAlign w:val="baseline"/>
        </w:rPr>
        <w:t> </w:t>
      </w:r>
      <w:r>
        <w:rPr>
          <w:sz w:val="18"/>
          <w:vertAlign w:val="baseline"/>
        </w:rPr>
        <w:t>Lieberman,</w:t>
      </w:r>
      <w:r>
        <w:rPr>
          <w:spacing w:val="-1"/>
          <w:sz w:val="18"/>
          <w:vertAlign w:val="baseline"/>
        </w:rPr>
        <w:t> </w:t>
      </w:r>
      <w:r>
        <w:rPr>
          <w:sz w:val="18"/>
          <w:vertAlign w:val="baseline"/>
        </w:rPr>
        <w:t>“Three</w:t>
      </w:r>
      <w:r>
        <w:rPr>
          <w:spacing w:val="-1"/>
          <w:sz w:val="18"/>
          <w:vertAlign w:val="baseline"/>
        </w:rPr>
        <w:t> </w:t>
      </w:r>
      <w:r>
        <w:rPr>
          <w:sz w:val="18"/>
          <w:vertAlign w:val="baseline"/>
        </w:rPr>
        <w:t>Decades of</w:t>
      </w:r>
      <w:r>
        <w:rPr>
          <w:spacing w:val="-1"/>
          <w:sz w:val="18"/>
          <w:vertAlign w:val="baseline"/>
        </w:rPr>
        <w:t> </w:t>
      </w:r>
      <w:r>
        <w:rPr>
          <w:spacing w:val="-2"/>
          <w:sz w:val="18"/>
          <w:vertAlign w:val="baseline"/>
        </w:rPr>
        <w:t>Research.”</w:t>
      </w:r>
    </w:p>
    <w:p>
      <w:pPr>
        <w:spacing w:line="268" w:lineRule="auto" w:before="49"/>
        <w:ind w:left="463" w:right="582" w:hanging="1"/>
        <w:jc w:val="left"/>
        <w:rPr>
          <w:sz w:val="18"/>
        </w:rPr>
      </w:pPr>
      <w:r>
        <w:rPr>
          <w:sz w:val="18"/>
          <w:vertAlign w:val="superscript"/>
        </w:rPr>
        <w:t>45</w:t>
      </w:r>
      <w:r>
        <w:rPr>
          <w:spacing w:val="-12"/>
          <w:sz w:val="18"/>
          <w:vertAlign w:val="baseline"/>
        </w:rPr>
        <w:t> </w:t>
      </w:r>
      <w:r>
        <w:rPr>
          <w:sz w:val="18"/>
          <w:vertAlign w:val="baseline"/>
        </w:rPr>
        <w:t>Meredith</w:t>
      </w:r>
      <w:r>
        <w:rPr>
          <w:spacing w:val="-2"/>
          <w:sz w:val="18"/>
          <w:vertAlign w:val="baseline"/>
        </w:rPr>
        <w:t> </w:t>
      </w:r>
      <w:r>
        <w:rPr>
          <w:sz w:val="18"/>
          <w:vertAlign w:val="baseline"/>
        </w:rPr>
        <w:t>Dank,</w:t>
      </w:r>
      <w:r>
        <w:rPr>
          <w:spacing w:val="-2"/>
          <w:sz w:val="18"/>
          <w:vertAlign w:val="baseline"/>
        </w:rPr>
        <w:t> </w:t>
      </w:r>
      <w:r>
        <w:rPr>
          <w:sz w:val="18"/>
          <w:vertAlign w:val="baseline"/>
        </w:rPr>
        <w:t>Lilly</w:t>
      </w:r>
      <w:r>
        <w:rPr>
          <w:spacing w:val="-1"/>
          <w:sz w:val="18"/>
          <w:vertAlign w:val="baseline"/>
        </w:rPr>
        <w:t> </w:t>
      </w:r>
      <w:r>
        <w:rPr>
          <w:sz w:val="18"/>
          <w:vertAlign w:val="baseline"/>
        </w:rPr>
        <w:t>Yu,</w:t>
      </w:r>
      <w:r>
        <w:rPr>
          <w:spacing w:val="-2"/>
          <w:sz w:val="18"/>
          <w:vertAlign w:val="baseline"/>
        </w:rPr>
        <w:t> </w:t>
      </w:r>
      <w:r>
        <w:rPr>
          <w:sz w:val="18"/>
          <w:vertAlign w:val="baseline"/>
        </w:rPr>
        <w:t>and</w:t>
      </w:r>
      <w:r>
        <w:rPr>
          <w:spacing w:val="-1"/>
          <w:sz w:val="18"/>
          <w:vertAlign w:val="baseline"/>
        </w:rPr>
        <w:t> </w:t>
      </w:r>
      <w:r>
        <w:rPr>
          <w:sz w:val="18"/>
          <w:vertAlign w:val="baseline"/>
        </w:rPr>
        <w:t>Jennifer</w:t>
      </w:r>
      <w:r>
        <w:rPr>
          <w:spacing w:val="-2"/>
          <w:sz w:val="18"/>
          <w:vertAlign w:val="baseline"/>
        </w:rPr>
        <w:t> </w:t>
      </w:r>
      <w:r>
        <w:rPr>
          <w:sz w:val="18"/>
          <w:vertAlign w:val="baseline"/>
        </w:rPr>
        <w:t>Yahner,</w:t>
      </w:r>
      <w:r>
        <w:rPr>
          <w:spacing w:val="-2"/>
          <w:sz w:val="18"/>
          <w:vertAlign w:val="baseline"/>
        </w:rPr>
        <w:t> </w:t>
      </w:r>
      <w:r>
        <w:rPr>
          <w:sz w:val="18"/>
          <w:vertAlign w:val="baseline"/>
        </w:rPr>
        <w:t>“Access</w:t>
      </w:r>
      <w:r>
        <w:rPr>
          <w:spacing w:val="-1"/>
          <w:sz w:val="18"/>
          <w:vertAlign w:val="baseline"/>
        </w:rPr>
        <w:t> </w:t>
      </w:r>
      <w:r>
        <w:rPr>
          <w:sz w:val="18"/>
          <w:vertAlign w:val="baseline"/>
        </w:rPr>
        <w:t>to</w:t>
      </w:r>
      <w:r>
        <w:rPr>
          <w:spacing w:val="-1"/>
          <w:sz w:val="18"/>
          <w:vertAlign w:val="baseline"/>
        </w:rPr>
        <w:t> </w:t>
      </w:r>
      <w:r>
        <w:rPr>
          <w:sz w:val="18"/>
          <w:vertAlign w:val="baseline"/>
        </w:rPr>
        <w:t>Safety:</w:t>
      </w:r>
      <w:r>
        <w:rPr>
          <w:spacing w:val="-3"/>
          <w:sz w:val="18"/>
          <w:vertAlign w:val="baseline"/>
        </w:rPr>
        <w:t> </w:t>
      </w:r>
      <w:r>
        <w:rPr>
          <w:sz w:val="18"/>
          <w:vertAlign w:val="baseline"/>
        </w:rPr>
        <w:t>Health</w:t>
      </w:r>
      <w:r>
        <w:rPr>
          <w:spacing w:val="-1"/>
          <w:sz w:val="18"/>
          <w:vertAlign w:val="baseline"/>
        </w:rPr>
        <w:t> </w:t>
      </w:r>
      <w:r>
        <w:rPr>
          <w:sz w:val="18"/>
          <w:vertAlign w:val="baseline"/>
        </w:rPr>
        <w:t>Outcomes,</w:t>
      </w:r>
      <w:r>
        <w:rPr>
          <w:spacing w:val="-2"/>
          <w:sz w:val="18"/>
          <w:vertAlign w:val="baseline"/>
        </w:rPr>
        <w:t> </w:t>
      </w:r>
      <w:r>
        <w:rPr>
          <w:sz w:val="18"/>
          <w:vertAlign w:val="baseline"/>
        </w:rPr>
        <w:t>Substance</w:t>
      </w:r>
      <w:r>
        <w:rPr>
          <w:spacing w:val="-1"/>
          <w:sz w:val="18"/>
          <w:vertAlign w:val="baseline"/>
        </w:rPr>
        <w:t> </w:t>
      </w:r>
      <w:r>
        <w:rPr>
          <w:sz w:val="18"/>
          <w:vertAlign w:val="baseline"/>
        </w:rPr>
        <w:t>Use</w:t>
      </w:r>
      <w:r>
        <w:rPr>
          <w:spacing w:val="-1"/>
          <w:sz w:val="18"/>
          <w:vertAlign w:val="baseline"/>
        </w:rPr>
        <w:t> </w:t>
      </w:r>
      <w:r>
        <w:rPr>
          <w:sz w:val="18"/>
          <w:vertAlign w:val="baseline"/>
        </w:rPr>
        <w:t>and</w:t>
      </w:r>
      <w:r>
        <w:rPr>
          <w:spacing w:val="-1"/>
          <w:sz w:val="18"/>
          <w:vertAlign w:val="baseline"/>
        </w:rPr>
        <w:t> </w:t>
      </w:r>
      <w:r>
        <w:rPr>
          <w:sz w:val="18"/>
          <w:vertAlign w:val="baseline"/>
        </w:rPr>
        <w:t>Abuse,</w:t>
      </w:r>
      <w:r>
        <w:rPr>
          <w:spacing w:val="-2"/>
          <w:sz w:val="18"/>
          <w:vertAlign w:val="baseline"/>
        </w:rPr>
        <w:t> </w:t>
      </w:r>
      <w:r>
        <w:rPr>
          <w:sz w:val="18"/>
          <w:vertAlign w:val="baseline"/>
        </w:rPr>
        <w:t>and</w:t>
      </w:r>
      <w:r>
        <w:rPr>
          <w:spacing w:val="-1"/>
          <w:sz w:val="18"/>
          <w:vertAlign w:val="baseline"/>
        </w:rPr>
        <w:t> </w:t>
      </w:r>
      <w:r>
        <w:rPr>
          <w:sz w:val="18"/>
          <w:vertAlign w:val="baseline"/>
        </w:rPr>
        <w:t>Service Provision for LGBTQ Youth, YMSM, and YWSW Who Engage in Survival Sex” (Urban Institute, February 2016), </w:t>
      </w:r>
      <w:r>
        <w:rPr>
          <w:spacing w:val="-2"/>
          <w:sz w:val="18"/>
          <w:vertAlign w:val="baseline"/>
        </w:rPr>
        <w:t>https://</w:t>
      </w:r>
      <w:hyperlink r:id="rId152">
        <w:r>
          <w:rPr>
            <w:spacing w:val="-2"/>
            <w:sz w:val="18"/>
            <w:vertAlign w:val="baseline"/>
          </w:rPr>
          <w:t>www.urban.org/research/publication/access-safety-health-outcomes-substance-use-and-abuse-and-service-</w:t>
        </w:r>
      </w:hyperlink>
    </w:p>
    <w:p>
      <w:pPr>
        <w:spacing w:line="199" w:lineRule="exact" w:before="0"/>
        <w:ind w:left="463" w:right="0" w:firstLine="0"/>
        <w:jc w:val="left"/>
        <w:rPr>
          <w:sz w:val="18"/>
        </w:rPr>
      </w:pPr>
      <w:r>
        <w:rPr>
          <w:spacing w:val="70"/>
          <w:w w:val="150"/>
          <w:sz w:val="18"/>
          <w:u w:val="single"/>
        </w:rPr>
        <w:t> </w:t>
      </w:r>
      <w:r>
        <w:rPr>
          <w:spacing w:val="-2"/>
          <w:sz w:val="18"/>
          <w:u w:val="single"/>
        </w:rPr>
        <w:t>provision-lgbtq-youth-ymsm-and-ywsw-who-engage-survival-</w:t>
      </w:r>
      <w:r>
        <w:rPr>
          <w:spacing w:val="-4"/>
          <w:sz w:val="18"/>
          <w:u w:val="single"/>
        </w:rPr>
        <w:t>sex.</w:t>
      </w:r>
    </w:p>
    <w:p>
      <w:pPr>
        <w:spacing w:before="15"/>
        <w:ind w:left="463" w:right="0" w:firstLine="0"/>
        <w:jc w:val="left"/>
        <w:rPr>
          <w:sz w:val="18"/>
        </w:rPr>
      </w:pPr>
      <w:r>
        <w:rPr>
          <w:sz w:val="18"/>
          <w:vertAlign w:val="superscript"/>
        </w:rPr>
        <w:t>46</w:t>
      </w:r>
      <w:r>
        <w:rPr>
          <w:spacing w:val="-11"/>
          <w:sz w:val="18"/>
          <w:vertAlign w:val="baseline"/>
        </w:rPr>
        <w:t> </w:t>
      </w:r>
      <w:r>
        <w:rPr>
          <w:sz w:val="18"/>
          <w:vertAlign w:val="baseline"/>
        </w:rPr>
        <w:t>Dank, Yu,</w:t>
      </w:r>
      <w:r>
        <w:rPr>
          <w:spacing w:val="1"/>
          <w:sz w:val="18"/>
          <w:vertAlign w:val="baseline"/>
        </w:rPr>
        <w:t> </w:t>
      </w:r>
      <w:r>
        <w:rPr>
          <w:sz w:val="18"/>
          <w:vertAlign w:val="baseline"/>
        </w:rPr>
        <w:t>and</w:t>
      </w:r>
      <w:r>
        <w:rPr>
          <w:spacing w:val="1"/>
          <w:sz w:val="18"/>
          <w:vertAlign w:val="baseline"/>
        </w:rPr>
        <w:t> </w:t>
      </w:r>
      <w:r>
        <w:rPr>
          <w:spacing w:val="-2"/>
          <w:sz w:val="18"/>
          <w:vertAlign w:val="baseline"/>
        </w:rPr>
        <w:t>Yahner.</w:t>
      </w:r>
    </w:p>
    <w:p>
      <w:pPr>
        <w:spacing w:before="31"/>
        <w:ind w:left="463" w:right="0" w:firstLine="0"/>
        <w:jc w:val="left"/>
        <w:rPr>
          <w:sz w:val="18"/>
        </w:rPr>
      </w:pPr>
      <w:r>
        <w:rPr>
          <w:sz w:val="18"/>
          <w:vertAlign w:val="superscript"/>
        </w:rPr>
        <w:t>47</w:t>
      </w:r>
      <w:r>
        <w:rPr>
          <w:spacing w:val="-10"/>
          <w:sz w:val="18"/>
          <w:vertAlign w:val="baseline"/>
        </w:rPr>
        <w:t> </w:t>
      </w:r>
      <w:r>
        <w:rPr>
          <w:sz w:val="18"/>
          <w:vertAlign w:val="baseline"/>
        </w:rPr>
        <w:t>“Youth</w:t>
      </w:r>
      <w:r>
        <w:rPr>
          <w:spacing w:val="3"/>
          <w:sz w:val="18"/>
          <w:vertAlign w:val="baseline"/>
        </w:rPr>
        <w:t> </w:t>
      </w:r>
      <w:r>
        <w:rPr>
          <w:spacing w:val="-2"/>
          <w:sz w:val="18"/>
          <w:vertAlign w:val="baseline"/>
        </w:rPr>
        <w:t>STIs.”</w:t>
      </w:r>
    </w:p>
    <w:p>
      <w:pPr>
        <w:spacing w:line="273" w:lineRule="auto" w:before="20"/>
        <w:ind w:left="463" w:right="311" w:firstLine="0"/>
        <w:jc w:val="left"/>
        <w:rPr>
          <w:sz w:val="18"/>
        </w:rPr>
      </w:pPr>
      <w:r>
        <w:rPr>
          <w:sz w:val="18"/>
          <w:vertAlign w:val="superscript"/>
        </w:rPr>
        <w:t>48</w:t>
      </w:r>
      <w:r>
        <w:rPr>
          <w:spacing w:val="-6"/>
          <w:sz w:val="18"/>
          <w:vertAlign w:val="baseline"/>
        </w:rPr>
        <w:t> </w:t>
      </w:r>
      <w:r>
        <w:rPr>
          <w:sz w:val="18"/>
          <w:vertAlign w:val="baseline"/>
        </w:rPr>
        <w:t>Mary Jane Rotheram-Borus, Sung-Jae Lee, and Dallas Swendeman, “Getting to Zero HIV Among Youth: Moving Beyond Medical</w:t>
      </w:r>
      <w:r>
        <w:rPr>
          <w:spacing w:val="-4"/>
          <w:sz w:val="18"/>
          <w:vertAlign w:val="baseline"/>
        </w:rPr>
        <w:t> </w:t>
      </w:r>
      <w:r>
        <w:rPr>
          <w:sz w:val="18"/>
          <w:vertAlign w:val="baseline"/>
        </w:rPr>
        <w:t>Sites,”</w:t>
      </w:r>
      <w:r>
        <w:rPr>
          <w:spacing w:val="-3"/>
          <w:sz w:val="18"/>
          <w:vertAlign w:val="baseline"/>
        </w:rPr>
        <w:t> </w:t>
      </w:r>
      <w:r>
        <w:rPr>
          <w:i/>
          <w:sz w:val="18"/>
          <w:vertAlign w:val="baseline"/>
        </w:rPr>
        <w:t>JAMA</w:t>
      </w:r>
      <w:r>
        <w:rPr>
          <w:i/>
          <w:spacing w:val="-3"/>
          <w:sz w:val="18"/>
          <w:vertAlign w:val="baseline"/>
        </w:rPr>
        <w:t> </w:t>
      </w:r>
      <w:r>
        <w:rPr>
          <w:i/>
          <w:sz w:val="18"/>
          <w:vertAlign w:val="baseline"/>
        </w:rPr>
        <w:t>Pediatrics</w:t>
      </w:r>
      <w:r>
        <w:rPr>
          <w:i/>
          <w:spacing w:val="-2"/>
          <w:sz w:val="18"/>
          <w:vertAlign w:val="baseline"/>
        </w:rPr>
        <w:t> </w:t>
      </w:r>
      <w:r>
        <w:rPr>
          <w:sz w:val="18"/>
          <w:vertAlign w:val="baseline"/>
        </w:rPr>
        <w:t>172,</w:t>
      </w:r>
      <w:r>
        <w:rPr>
          <w:spacing w:val="-4"/>
          <w:sz w:val="18"/>
          <w:vertAlign w:val="baseline"/>
        </w:rPr>
        <w:t> </w:t>
      </w:r>
      <w:r>
        <w:rPr>
          <w:sz w:val="18"/>
          <w:vertAlign w:val="baseline"/>
        </w:rPr>
        <w:t>no.</w:t>
      </w:r>
      <w:r>
        <w:rPr>
          <w:spacing w:val="-3"/>
          <w:sz w:val="18"/>
          <w:vertAlign w:val="baseline"/>
        </w:rPr>
        <w:t> </w:t>
      </w:r>
      <w:r>
        <w:rPr>
          <w:sz w:val="18"/>
          <w:vertAlign w:val="baseline"/>
        </w:rPr>
        <w:t>12</w:t>
      </w:r>
      <w:r>
        <w:rPr>
          <w:spacing w:val="-3"/>
          <w:sz w:val="18"/>
          <w:vertAlign w:val="baseline"/>
        </w:rPr>
        <w:t> </w:t>
      </w:r>
      <w:r>
        <w:rPr>
          <w:sz w:val="18"/>
          <w:vertAlign w:val="baseline"/>
        </w:rPr>
        <w:t>(December</w:t>
      </w:r>
      <w:r>
        <w:rPr>
          <w:spacing w:val="-4"/>
          <w:sz w:val="18"/>
          <w:vertAlign w:val="baseline"/>
        </w:rPr>
        <w:t> </w:t>
      </w:r>
      <w:r>
        <w:rPr>
          <w:sz w:val="18"/>
          <w:vertAlign w:val="baseline"/>
        </w:rPr>
        <w:t>1,</w:t>
      </w:r>
      <w:r>
        <w:rPr>
          <w:spacing w:val="-4"/>
          <w:sz w:val="18"/>
          <w:vertAlign w:val="baseline"/>
        </w:rPr>
        <w:t> </w:t>
      </w:r>
      <w:r>
        <w:rPr>
          <w:sz w:val="18"/>
          <w:vertAlign w:val="baseline"/>
        </w:rPr>
        <w:t>2018):</w:t>
      </w:r>
      <w:r>
        <w:rPr>
          <w:spacing w:val="-5"/>
          <w:sz w:val="18"/>
          <w:vertAlign w:val="baseline"/>
        </w:rPr>
        <w:t> </w:t>
      </w:r>
      <w:r>
        <w:rPr>
          <w:sz w:val="18"/>
          <w:vertAlign w:val="baseline"/>
        </w:rPr>
        <w:t>1117–18,</w:t>
      </w:r>
      <w:r>
        <w:rPr>
          <w:spacing w:val="-4"/>
          <w:sz w:val="18"/>
          <w:vertAlign w:val="baseline"/>
        </w:rPr>
        <w:t> </w:t>
      </w:r>
      <w:r>
        <w:rPr>
          <w:sz w:val="18"/>
          <w:vertAlign w:val="baseline"/>
        </w:rPr>
        <w:t>https://doi.org/10.1001/jamapediatrics.2018.3672.</w:t>
      </w:r>
    </w:p>
    <w:p>
      <w:pPr>
        <w:spacing w:before="10"/>
        <w:ind w:left="463" w:right="0" w:firstLine="0"/>
        <w:jc w:val="left"/>
        <w:rPr>
          <w:sz w:val="18"/>
        </w:rPr>
      </w:pPr>
      <w:r>
        <w:rPr>
          <w:sz w:val="18"/>
          <w:vertAlign w:val="superscript"/>
        </w:rPr>
        <w:t>49</w:t>
      </w:r>
      <w:r>
        <w:rPr>
          <w:spacing w:val="-10"/>
          <w:sz w:val="18"/>
          <w:vertAlign w:val="baseline"/>
        </w:rPr>
        <w:t> </w:t>
      </w:r>
      <w:r>
        <w:rPr>
          <w:sz w:val="18"/>
          <w:vertAlign w:val="baseline"/>
        </w:rPr>
        <w:t>“Youth</w:t>
      </w:r>
      <w:r>
        <w:rPr>
          <w:spacing w:val="3"/>
          <w:sz w:val="18"/>
          <w:vertAlign w:val="baseline"/>
        </w:rPr>
        <w:t> </w:t>
      </w:r>
      <w:r>
        <w:rPr>
          <w:spacing w:val="-2"/>
          <w:sz w:val="18"/>
          <w:vertAlign w:val="baseline"/>
        </w:rPr>
        <w:t>STIs.”</w:t>
      </w:r>
    </w:p>
    <w:p>
      <w:pPr>
        <w:spacing w:line="276" w:lineRule="auto" w:before="48"/>
        <w:ind w:left="463" w:right="451" w:firstLine="0"/>
        <w:jc w:val="left"/>
        <w:rPr>
          <w:sz w:val="18"/>
        </w:rPr>
      </w:pPr>
      <w:r>
        <w:rPr>
          <w:sz w:val="18"/>
          <w:vertAlign w:val="superscript"/>
        </w:rPr>
        <w:t>50</w:t>
      </w:r>
      <w:r>
        <w:rPr>
          <w:spacing w:val="-7"/>
          <w:sz w:val="18"/>
          <w:vertAlign w:val="baseline"/>
        </w:rPr>
        <w:t> </w:t>
      </w:r>
      <w:r>
        <w:rPr>
          <w:sz w:val="18"/>
          <w:vertAlign w:val="baseline"/>
        </w:rPr>
        <w:t>C. L. Shannon and J. D. Klausner, “The Growing Epidemic of Sexually Transmitted Infections in Adolescents: A Neglected Population,”</w:t>
      </w:r>
      <w:r>
        <w:rPr>
          <w:spacing w:val="-3"/>
          <w:sz w:val="18"/>
          <w:vertAlign w:val="baseline"/>
        </w:rPr>
        <w:t> </w:t>
      </w:r>
      <w:r>
        <w:rPr>
          <w:i/>
          <w:sz w:val="18"/>
          <w:vertAlign w:val="baseline"/>
        </w:rPr>
        <w:t>Current</w:t>
      </w:r>
      <w:r>
        <w:rPr>
          <w:i/>
          <w:spacing w:val="-4"/>
          <w:sz w:val="18"/>
          <w:vertAlign w:val="baseline"/>
        </w:rPr>
        <w:t> </w:t>
      </w:r>
      <w:r>
        <w:rPr>
          <w:i/>
          <w:sz w:val="18"/>
          <w:vertAlign w:val="baseline"/>
        </w:rPr>
        <w:t>Opinion</w:t>
      </w:r>
      <w:r>
        <w:rPr>
          <w:i/>
          <w:spacing w:val="-4"/>
          <w:sz w:val="18"/>
          <w:vertAlign w:val="baseline"/>
        </w:rPr>
        <w:t> </w:t>
      </w:r>
      <w:r>
        <w:rPr>
          <w:i/>
          <w:sz w:val="18"/>
          <w:vertAlign w:val="baseline"/>
        </w:rPr>
        <w:t>in</w:t>
      </w:r>
      <w:r>
        <w:rPr>
          <w:i/>
          <w:spacing w:val="-4"/>
          <w:sz w:val="18"/>
          <w:vertAlign w:val="baseline"/>
        </w:rPr>
        <w:t> </w:t>
      </w:r>
      <w:r>
        <w:rPr>
          <w:i/>
          <w:sz w:val="18"/>
          <w:vertAlign w:val="baseline"/>
        </w:rPr>
        <w:t>Pediatrics</w:t>
      </w:r>
      <w:r>
        <w:rPr>
          <w:i/>
          <w:spacing w:val="-4"/>
          <w:sz w:val="18"/>
          <w:vertAlign w:val="baseline"/>
        </w:rPr>
        <w:t> </w:t>
      </w:r>
      <w:r>
        <w:rPr>
          <w:sz w:val="18"/>
          <w:vertAlign w:val="baseline"/>
        </w:rPr>
        <w:t>30,</w:t>
      </w:r>
      <w:r>
        <w:rPr>
          <w:spacing w:val="-4"/>
          <w:sz w:val="18"/>
          <w:vertAlign w:val="baseline"/>
        </w:rPr>
        <w:t> </w:t>
      </w:r>
      <w:r>
        <w:rPr>
          <w:sz w:val="18"/>
          <w:vertAlign w:val="baseline"/>
        </w:rPr>
        <w:t>no.</w:t>
      </w:r>
      <w:r>
        <w:rPr>
          <w:spacing w:val="-3"/>
          <w:sz w:val="18"/>
          <w:vertAlign w:val="baseline"/>
        </w:rPr>
        <w:t> </w:t>
      </w:r>
      <w:r>
        <w:rPr>
          <w:sz w:val="18"/>
          <w:vertAlign w:val="baseline"/>
        </w:rPr>
        <w:t>1</w:t>
      </w:r>
      <w:r>
        <w:rPr>
          <w:spacing w:val="-3"/>
          <w:sz w:val="18"/>
          <w:vertAlign w:val="baseline"/>
        </w:rPr>
        <w:t> </w:t>
      </w:r>
      <w:r>
        <w:rPr>
          <w:sz w:val="18"/>
          <w:vertAlign w:val="baseline"/>
        </w:rPr>
        <w:t>(February</w:t>
      </w:r>
      <w:r>
        <w:rPr>
          <w:spacing w:val="-3"/>
          <w:sz w:val="18"/>
          <w:vertAlign w:val="baseline"/>
        </w:rPr>
        <w:t> </w:t>
      </w:r>
      <w:r>
        <w:rPr>
          <w:sz w:val="18"/>
          <w:vertAlign w:val="baseline"/>
        </w:rPr>
        <w:t>2018):</w:t>
      </w:r>
      <w:r>
        <w:rPr>
          <w:spacing w:val="-3"/>
          <w:sz w:val="18"/>
          <w:vertAlign w:val="baseline"/>
        </w:rPr>
        <w:t> </w:t>
      </w:r>
      <w:r>
        <w:rPr>
          <w:sz w:val="18"/>
          <w:vertAlign w:val="baseline"/>
        </w:rPr>
        <w:t>137,</w:t>
      </w:r>
      <w:r>
        <w:rPr>
          <w:spacing w:val="-4"/>
          <w:sz w:val="18"/>
          <w:vertAlign w:val="baseline"/>
        </w:rPr>
        <w:t> </w:t>
      </w:r>
      <w:r>
        <w:rPr>
          <w:sz w:val="18"/>
          <w:vertAlign w:val="baseline"/>
        </w:rPr>
        <w:t>https://doi.org/10.1097/MOP.0000000000000578. </w:t>
      </w:r>
      <w:r>
        <w:rPr>
          <w:sz w:val="18"/>
          <w:vertAlign w:val="superscript"/>
        </w:rPr>
        <w:t>51</w:t>
      </w:r>
      <w:r>
        <w:rPr>
          <w:spacing w:val="-4"/>
          <w:sz w:val="18"/>
          <w:vertAlign w:val="baseline"/>
        </w:rPr>
        <w:t> </w:t>
      </w:r>
      <w:r>
        <w:rPr>
          <w:sz w:val="18"/>
          <w:vertAlign w:val="baseline"/>
        </w:rPr>
        <w:t>“Minors’ Access to STI Services,” Guttmacher Institute, February 1, 2023, https://</w:t>
      </w:r>
      <w:hyperlink r:id="rId153">
        <w:r>
          <w:rPr>
            <w:sz w:val="18"/>
            <w:vertAlign w:val="baseline"/>
          </w:rPr>
          <w:t>www.guttmacher.org/state-</w:t>
        </w:r>
      </w:hyperlink>
      <w:r>
        <w:rPr>
          <w:sz w:val="18"/>
          <w:vertAlign w:val="baseline"/>
        </w:rPr>
        <w:t> </w:t>
      </w:r>
      <w:r>
        <w:rPr>
          <w:spacing w:val="-2"/>
          <w:sz w:val="18"/>
          <w:vertAlign w:val="baseline"/>
        </w:rPr>
        <w:t>policy/explore/minors-access-sti-services.</w:t>
      </w:r>
    </w:p>
    <w:p>
      <w:pPr>
        <w:spacing w:line="212" w:lineRule="exact" w:before="0"/>
        <w:ind w:left="463" w:right="0" w:firstLine="0"/>
        <w:jc w:val="left"/>
        <w:rPr>
          <w:sz w:val="18"/>
        </w:rPr>
      </w:pPr>
      <w:r>
        <w:rPr>
          <w:sz w:val="18"/>
          <w:vertAlign w:val="superscript"/>
        </w:rPr>
        <w:t>52</w:t>
      </w:r>
      <w:r>
        <w:rPr>
          <w:spacing w:val="-12"/>
          <w:sz w:val="18"/>
          <w:vertAlign w:val="baseline"/>
        </w:rPr>
        <w:t> </w:t>
      </w:r>
      <w:r>
        <w:rPr>
          <w:sz w:val="18"/>
          <w:vertAlign w:val="baseline"/>
        </w:rPr>
        <w:t>Rotheram-Borus,</w:t>
      </w:r>
      <w:r>
        <w:rPr>
          <w:spacing w:val="-3"/>
          <w:sz w:val="18"/>
          <w:vertAlign w:val="baseline"/>
        </w:rPr>
        <w:t> </w:t>
      </w:r>
      <w:r>
        <w:rPr>
          <w:sz w:val="18"/>
          <w:vertAlign w:val="baseline"/>
        </w:rPr>
        <w:t>Lee,</w:t>
      </w:r>
      <w:r>
        <w:rPr>
          <w:spacing w:val="-2"/>
          <w:sz w:val="18"/>
          <w:vertAlign w:val="baseline"/>
        </w:rPr>
        <w:t> </w:t>
      </w:r>
      <w:r>
        <w:rPr>
          <w:sz w:val="18"/>
          <w:vertAlign w:val="baseline"/>
        </w:rPr>
        <w:t>and</w:t>
      </w:r>
      <w:r>
        <w:rPr>
          <w:spacing w:val="-1"/>
          <w:sz w:val="18"/>
          <w:vertAlign w:val="baseline"/>
        </w:rPr>
        <w:t> </w:t>
      </w:r>
      <w:r>
        <w:rPr>
          <w:sz w:val="18"/>
          <w:vertAlign w:val="baseline"/>
        </w:rPr>
        <w:t>Swendeman,</w:t>
      </w:r>
      <w:r>
        <w:rPr>
          <w:spacing w:val="-2"/>
          <w:sz w:val="18"/>
          <w:vertAlign w:val="baseline"/>
        </w:rPr>
        <w:t> </w:t>
      </w:r>
      <w:r>
        <w:rPr>
          <w:sz w:val="18"/>
          <w:vertAlign w:val="baseline"/>
        </w:rPr>
        <w:t>“Getting</w:t>
      </w:r>
      <w:r>
        <w:rPr>
          <w:spacing w:val="-1"/>
          <w:sz w:val="18"/>
          <w:vertAlign w:val="baseline"/>
        </w:rPr>
        <w:t> </w:t>
      </w:r>
      <w:r>
        <w:rPr>
          <w:sz w:val="18"/>
          <w:vertAlign w:val="baseline"/>
        </w:rPr>
        <w:t>to</w:t>
      </w:r>
      <w:r>
        <w:rPr>
          <w:spacing w:val="-1"/>
          <w:sz w:val="18"/>
          <w:vertAlign w:val="baseline"/>
        </w:rPr>
        <w:t> </w:t>
      </w:r>
      <w:r>
        <w:rPr>
          <w:sz w:val="18"/>
          <w:vertAlign w:val="baseline"/>
        </w:rPr>
        <w:t>Zero</w:t>
      </w:r>
      <w:r>
        <w:rPr>
          <w:spacing w:val="-1"/>
          <w:sz w:val="18"/>
          <w:vertAlign w:val="baseline"/>
        </w:rPr>
        <w:t> </w:t>
      </w:r>
      <w:r>
        <w:rPr>
          <w:sz w:val="18"/>
          <w:vertAlign w:val="baseline"/>
        </w:rPr>
        <w:t>HIV</w:t>
      </w:r>
      <w:r>
        <w:rPr>
          <w:spacing w:val="-1"/>
          <w:sz w:val="18"/>
          <w:vertAlign w:val="baseline"/>
        </w:rPr>
        <w:t> </w:t>
      </w:r>
      <w:r>
        <w:rPr>
          <w:sz w:val="18"/>
          <w:vertAlign w:val="baseline"/>
        </w:rPr>
        <w:t>Among</w:t>
      </w:r>
      <w:r>
        <w:rPr>
          <w:spacing w:val="-1"/>
          <w:sz w:val="18"/>
          <w:vertAlign w:val="baseline"/>
        </w:rPr>
        <w:t> </w:t>
      </w:r>
      <w:r>
        <w:rPr>
          <w:spacing w:val="-2"/>
          <w:sz w:val="18"/>
          <w:vertAlign w:val="baseline"/>
        </w:rPr>
        <w:t>Youth.”</w:t>
      </w:r>
    </w:p>
    <w:p>
      <w:pPr>
        <w:spacing w:before="20"/>
        <w:ind w:left="463" w:right="0" w:firstLine="0"/>
        <w:jc w:val="left"/>
        <w:rPr>
          <w:sz w:val="18"/>
        </w:rPr>
      </w:pPr>
      <w:r>
        <w:rPr>
          <w:sz w:val="18"/>
          <w:vertAlign w:val="superscript"/>
        </w:rPr>
        <w:t>53</w:t>
      </w:r>
      <w:r>
        <w:rPr>
          <w:spacing w:val="-12"/>
          <w:sz w:val="18"/>
          <w:vertAlign w:val="baseline"/>
        </w:rPr>
        <w:t> </w:t>
      </w:r>
      <w:r>
        <w:rPr>
          <w:sz w:val="18"/>
          <w:vertAlign w:val="baseline"/>
        </w:rPr>
        <w:t>Rotheram-Borus,</w:t>
      </w:r>
      <w:r>
        <w:rPr>
          <w:spacing w:val="-1"/>
          <w:sz w:val="18"/>
          <w:vertAlign w:val="baseline"/>
        </w:rPr>
        <w:t> </w:t>
      </w:r>
      <w:r>
        <w:rPr>
          <w:sz w:val="18"/>
          <w:vertAlign w:val="baseline"/>
        </w:rPr>
        <w:t>Lee, and </w:t>
      </w:r>
      <w:r>
        <w:rPr>
          <w:spacing w:val="-2"/>
          <w:sz w:val="18"/>
          <w:vertAlign w:val="baseline"/>
        </w:rPr>
        <w:t>Swendeman.</w:t>
      </w:r>
    </w:p>
    <w:p>
      <w:pPr>
        <w:spacing w:before="33"/>
        <w:ind w:left="463" w:right="0" w:firstLine="0"/>
        <w:jc w:val="left"/>
        <w:rPr>
          <w:sz w:val="18"/>
        </w:rPr>
      </w:pPr>
      <w:r>
        <w:rPr>
          <w:sz w:val="18"/>
          <w:vertAlign w:val="superscript"/>
        </w:rPr>
        <w:t>54</w:t>
      </w:r>
      <w:r>
        <w:rPr>
          <w:spacing w:val="-12"/>
          <w:sz w:val="18"/>
          <w:vertAlign w:val="baseline"/>
        </w:rPr>
        <w:t> </w:t>
      </w:r>
      <w:r>
        <w:rPr>
          <w:sz w:val="18"/>
          <w:vertAlign w:val="baseline"/>
        </w:rPr>
        <w:t>Rotheram-Borus,</w:t>
      </w:r>
      <w:r>
        <w:rPr>
          <w:spacing w:val="-1"/>
          <w:sz w:val="18"/>
          <w:vertAlign w:val="baseline"/>
        </w:rPr>
        <w:t> </w:t>
      </w:r>
      <w:r>
        <w:rPr>
          <w:sz w:val="18"/>
          <w:vertAlign w:val="baseline"/>
        </w:rPr>
        <w:t>Lee, and </w:t>
      </w:r>
      <w:r>
        <w:rPr>
          <w:spacing w:val="-2"/>
          <w:sz w:val="18"/>
          <w:vertAlign w:val="baseline"/>
        </w:rPr>
        <w:t>Swendeman.</w:t>
      </w:r>
    </w:p>
    <w:p>
      <w:pPr>
        <w:spacing w:before="3"/>
        <w:ind w:left="463" w:right="0" w:firstLine="0"/>
        <w:jc w:val="left"/>
        <w:rPr>
          <w:sz w:val="18"/>
        </w:rPr>
      </w:pPr>
      <w:r>
        <w:rPr>
          <w:sz w:val="18"/>
          <w:vertAlign w:val="superscript"/>
        </w:rPr>
        <w:t>55</w:t>
      </w:r>
      <w:r>
        <w:rPr>
          <w:spacing w:val="-12"/>
          <w:sz w:val="18"/>
          <w:vertAlign w:val="baseline"/>
        </w:rPr>
        <w:t> </w:t>
      </w:r>
      <w:r>
        <w:rPr>
          <w:sz w:val="18"/>
          <w:vertAlign w:val="baseline"/>
        </w:rPr>
        <w:t>Dank,</w:t>
      </w:r>
      <w:r>
        <w:rPr>
          <w:spacing w:val="-1"/>
          <w:sz w:val="18"/>
          <w:vertAlign w:val="baseline"/>
        </w:rPr>
        <w:t> </w:t>
      </w:r>
      <w:r>
        <w:rPr>
          <w:sz w:val="18"/>
          <w:vertAlign w:val="baseline"/>
        </w:rPr>
        <w:t>Yu,</w:t>
      </w:r>
      <w:r>
        <w:rPr>
          <w:spacing w:val="-1"/>
          <w:sz w:val="18"/>
          <w:vertAlign w:val="baseline"/>
        </w:rPr>
        <w:t> </w:t>
      </w:r>
      <w:r>
        <w:rPr>
          <w:sz w:val="18"/>
          <w:vertAlign w:val="baseline"/>
        </w:rPr>
        <w:t>and Yahner,</w:t>
      </w:r>
      <w:r>
        <w:rPr>
          <w:spacing w:val="-1"/>
          <w:sz w:val="18"/>
          <w:vertAlign w:val="baseline"/>
        </w:rPr>
        <w:t> </w:t>
      </w:r>
      <w:r>
        <w:rPr>
          <w:sz w:val="18"/>
          <w:vertAlign w:val="baseline"/>
        </w:rPr>
        <w:t>“Access</w:t>
      </w:r>
      <w:r>
        <w:rPr>
          <w:spacing w:val="-1"/>
          <w:sz w:val="18"/>
          <w:vertAlign w:val="baseline"/>
        </w:rPr>
        <w:t> </w:t>
      </w:r>
      <w:r>
        <w:rPr>
          <w:sz w:val="18"/>
          <w:vertAlign w:val="baseline"/>
        </w:rPr>
        <w:t>to </w:t>
      </w:r>
      <w:r>
        <w:rPr>
          <w:spacing w:val="-2"/>
          <w:sz w:val="18"/>
          <w:vertAlign w:val="baseline"/>
        </w:rPr>
        <w:t>Safety.”</w:t>
      </w:r>
    </w:p>
    <w:p>
      <w:pPr>
        <w:spacing w:before="2"/>
        <w:ind w:left="463" w:right="0" w:firstLine="0"/>
        <w:jc w:val="left"/>
        <w:rPr>
          <w:sz w:val="18"/>
        </w:rPr>
      </w:pPr>
      <w:r>
        <w:rPr>
          <w:sz w:val="18"/>
          <w:vertAlign w:val="superscript"/>
        </w:rPr>
        <w:t>56</w:t>
      </w:r>
      <w:r>
        <w:rPr>
          <w:spacing w:val="-12"/>
          <w:sz w:val="18"/>
          <w:vertAlign w:val="baseline"/>
        </w:rPr>
        <w:t> </w:t>
      </w:r>
      <w:r>
        <w:rPr>
          <w:sz w:val="18"/>
          <w:vertAlign w:val="baseline"/>
        </w:rPr>
        <w:t>Campanella</w:t>
      </w:r>
      <w:r>
        <w:rPr>
          <w:spacing w:val="-2"/>
          <w:sz w:val="18"/>
          <w:vertAlign w:val="baseline"/>
        </w:rPr>
        <w:t> </w:t>
      </w:r>
      <w:r>
        <w:rPr>
          <w:sz w:val="18"/>
          <w:vertAlign w:val="baseline"/>
        </w:rPr>
        <w:t>Day,</w:t>
      </w:r>
      <w:r>
        <w:rPr>
          <w:spacing w:val="-2"/>
          <w:sz w:val="18"/>
          <w:vertAlign w:val="baseline"/>
        </w:rPr>
        <w:t> </w:t>
      </w:r>
      <w:r>
        <w:rPr>
          <w:sz w:val="18"/>
          <w:vertAlign w:val="baseline"/>
        </w:rPr>
        <w:t>“Communicating with</w:t>
      </w:r>
      <w:r>
        <w:rPr>
          <w:spacing w:val="-1"/>
          <w:sz w:val="18"/>
          <w:vertAlign w:val="baseline"/>
        </w:rPr>
        <w:t> </w:t>
      </w:r>
      <w:r>
        <w:rPr>
          <w:sz w:val="18"/>
          <w:vertAlign w:val="baseline"/>
        </w:rPr>
        <w:t>LGBTQ</w:t>
      </w:r>
      <w:r>
        <w:rPr>
          <w:spacing w:val="-1"/>
          <w:sz w:val="18"/>
          <w:vertAlign w:val="baseline"/>
        </w:rPr>
        <w:t> </w:t>
      </w:r>
      <w:r>
        <w:rPr>
          <w:spacing w:val="-2"/>
          <w:sz w:val="18"/>
          <w:vertAlign w:val="baseline"/>
        </w:rPr>
        <w:t>Adolescents.”</w:t>
      </w:r>
    </w:p>
    <w:p>
      <w:pPr>
        <w:spacing w:before="4"/>
        <w:ind w:left="463" w:right="0" w:firstLine="0"/>
        <w:jc w:val="left"/>
        <w:rPr>
          <w:sz w:val="18"/>
        </w:rPr>
      </w:pPr>
      <w:r>
        <w:rPr>
          <w:sz w:val="18"/>
          <w:vertAlign w:val="superscript"/>
        </w:rPr>
        <w:t>57</w:t>
      </w:r>
      <w:r>
        <w:rPr>
          <w:spacing w:val="-10"/>
          <w:sz w:val="18"/>
          <w:vertAlign w:val="baseline"/>
        </w:rPr>
        <w:t> </w:t>
      </w:r>
      <w:r>
        <w:rPr>
          <w:sz w:val="18"/>
          <w:vertAlign w:val="baseline"/>
        </w:rPr>
        <w:t>Campanella</w:t>
      </w:r>
      <w:r>
        <w:rPr>
          <w:spacing w:val="4"/>
          <w:sz w:val="18"/>
          <w:vertAlign w:val="baseline"/>
        </w:rPr>
        <w:t> </w:t>
      </w:r>
      <w:r>
        <w:rPr>
          <w:spacing w:val="-4"/>
          <w:sz w:val="18"/>
          <w:vertAlign w:val="baseline"/>
        </w:rPr>
        <w:t>Day.</w:t>
      </w:r>
    </w:p>
    <w:p>
      <w:pPr>
        <w:spacing w:before="3"/>
        <w:ind w:left="463" w:right="0" w:firstLine="0"/>
        <w:jc w:val="left"/>
        <w:rPr>
          <w:sz w:val="18"/>
        </w:rPr>
      </w:pPr>
      <w:r>
        <w:rPr>
          <w:sz w:val="18"/>
          <w:vertAlign w:val="superscript"/>
        </w:rPr>
        <w:t>58</w:t>
      </w:r>
      <w:r>
        <w:rPr>
          <w:spacing w:val="-10"/>
          <w:sz w:val="18"/>
          <w:vertAlign w:val="baseline"/>
        </w:rPr>
        <w:t> </w:t>
      </w:r>
      <w:r>
        <w:rPr>
          <w:sz w:val="18"/>
          <w:vertAlign w:val="baseline"/>
        </w:rPr>
        <w:t>Campanella</w:t>
      </w:r>
      <w:r>
        <w:rPr>
          <w:spacing w:val="4"/>
          <w:sz w:val="18"/>
          <w:vertAlign w:val="baseline"/>
        </w:rPr>
        <w:t> </w:t>
      </w:r>
      <w:r>
        <w:rPr>
          <w:spacing w:val="-4"/>
          <w:sz w:val="18"/>
          <w:vertAlign w:val="baseline"/>
        </w:rPr>
        <w:t>Day.</w:t>
      </w:r>
    </w:p>
    <w:p>
      <w:pPr>
        <w:spacing w:line="268" w:lineRule="auto" w:before="20"/>
        <w:ind w:left="463" w:right="455" w:hanging="1"/>
        <w:jc w:val="left"/>
        <w:rPr>
          <w:sz w:val="18"/>
        </w:rPr>
      </w:pPr>
      <w:r>
        <w:rPr>
          <w:sz w:val="18"/>
          <w:vertAlign w:val="superscript"/>
        </w:rPr>
        <w:t>59</w:t>
      </w:r>
      <w:r>
        <w:rPr>
          <w:spacing w:val="-12"/>
          <w:sz w:val="18"/>
          <w:vertAlign w:val="baseline"/>
        </w:rPr>
        <w:t> </w:t>
      </w:r>
      <w:r>
        <w:rPr>
          <w:sz w:val="18"/>
          <w:vertAlign w:val="baseline"/>
        </w:rPr>
        <w:t>Katherine</w:t>
      </w:r>
      <w:r>
        <w:rPr>
          <w:spacing w:val="-2"/>
          <w:sz w:val="18"/>
          <w:vertAlign w:val="baseline"/>
        </w:rPr>
        <w:t> </w:t>
      </w:r>
      <w:r>
        <w:rPr>
          <w:sz w:val="18"/>
          <w:vertAlign w:val="baseline"/>
        </w:rPr>
        <w:t>G.</w:t>
      </w:r>
      <w:r>
        <w:rPr>
          <w:spacing w:val="-4"/>
          <w:sz w:val="18"/>
          <w:vertAlign w:val="baseline"/>
        </w:rPr>
        <w:t> </w:t>
      </w:r>
      <w:r>
        <w:rPr>
          <w:sz w:val="18"/>
          <w:vertAlign w:val="baseline"/>
        </w:rPr>
        <w:t>Quinn</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“Intersectional</w:t>
      </w:r>
      <w:r>
        <w:rPr>
          <w:spacing w:val="-3"/>
          <w:sz w:val="18"/>
          <w:vertAlign w:val="baseline"/>
        </w:rPr>
        <w:t> </w:t>
      </w:r>
      <w:r>
        <w:rPr>
          <w:sz w:val="18"/>
          <w:vertAlign w:val="baseline"/>
        </w:rPr>
        <w:t>Discrimination</w:t>
      </w:r>
      <w:r>
        <w:rPr>
          <w:spacing w:val="-2"/>
          <w:sz w:val="18"/>
          <w:vertAlign w:val="baseline"/>
        </w:rPr>
        <w:t> </w:t>
      </w:r>
      <w:r>
        <w:rPr>
          <w:sz w:val="18"/>
          <w:vertAlign w:val="baseline"/>
        </w:rPr>
        <w:t>and</w:t>
      </w:r>
      <w:r>
        <w:rPr>
          <w:spacing w:val="-2"/>
          <w:sz w:val="18"/>
          <w:vertAlign w:val="baseline"/>
        </w:rPr>
        <w:t> </w:t>
      </w:r>
      <w:r>
        <w:rPr>
          <w:sz w:val="18"/>
          <w:vertAlign w:val="baseline"/>
        </w:rPr>
        <w:t>PrEP</w:t>
      </w:r>
      <w:r>
        <w:rPr>
          <w:spacing w:val="-2"/>
          <w:sz w:val="18"/>
          <w:vertAlign w:val="baseline"/>
        </w:rPr>
        <w:t> </w:t>
      </w:r>
      <w:r>
        <w:rPr>
          <w:sz w:val="18"/>
          <w:vertAlign w:val="baseline"/>
        </w:rPr>
        <w:t>USe</w:t>
      </w:r>
      <w:r>
        <w:rPr>
          <w:spacing w:val="-2"/>
          <w:sz w:val="18"/>
          <w:vertAlign w:val="baseline"/>
        </w:rPr>
        <w:t> </w:t>
      </w:r>
      <w:r>
        <w:rPr>
          <w:sz w:val="18"/>
          <w:vertAlign w:val="baseline"/>
        </w:rPr>
        <w:t>Among</w:t>
      </w:r>
      <w:r>
        <w:rPr>
          <w:spacing w:val="-2"/>
          <w:sz w:val="18"/>
          <w:vertAlign w:val="baseline"/>
        </w:rPr>
        <w:t> </w:t>
      </w:r>
      <w:r>
        <w:rPr>
          <w:sz w:val="18"/>
          <w:vertAlign w:val="baseline"/>
        </w:rPr>
        <w:t>Young</w:t>
      </w:r>
      <w:r>
        <w:rPr>
          <w:spacing w:val="-2"/>
          <w:sz w:val="18"/>
          <w:vertAlign w:val="baseline"/>
        </w:rPr>
        <w:t> </w:t>
      </w:r>
      <w:r>
        <w:rPr>
          <w:sz w:val="18"/>
          <w:vertAlign w:val="baseline"/>
        </w:rPr>
        <w:t>Black</w:t>
      </w:r>
      <w:r>
        <w:rPr>
          <w:spacing w:val="-3"/>
          <w:sz w:val="18"/>
          <w:vertAlign w:val="baseline"/>
        </w:rPr>
        <w:t> </w:t>
      </w:r>
      <w:r>
        <w:rPr>
          <w:sz w:val="18"/>
          <w:vertAlign w:val="baseline"/>
        </w:rPr>
        <w:t>Sexual</w:t>
      </w:r>
      <w:r>
        <w:rPr>
          <w:spacing w:val="-3"/>
          <w:sz w:val="18"/>
          <w:vertAlign w:val="baseline"/>
        </w:rPr>
        <w:t> </w:t>
      </w:r>
      <w:r>
        <w:rPr>
          <w:sz w:val="18"/>
          <w:vertAlign w:val="baseline"/>
        </w:rPr>
        <w:t>Minority</w:t>
      </w:r>
      <w:r>
        <w:rPr>
          <w:spacing w:val="-2"/>
          <w:sz w:val="18"/>
          <w:vertAlign w:val="baseline"/>
        </w:rPr>
        <w:t> </w:t>
      </w:r>
      <w:r>
        <w:rPr>
          <w:sz w:val="18"/>
          <w:vertAlign w:val="baseline"/>
        </w:rPr>
        <w:t>Individuals:</w:t>
      </w:r>
      <w:r>
        <w:rPr>
          <w:spacing w:val="-2"/>
          <w:sz w:val="18"/>
          <w:vertAlign w:val="baseline"/>
        </w:rPr>
        <w:t> </w:t>
      </w:r>
      <w:r>
        <w:rPr>
          <w:sz w:val="18"/>
          <w:vertAlign w:val="baseline"/>
        </w:rPr>
        <w:t>The Importance of Black LGBTQ Communities and Social Support,” </w:t>
      </w:r>
      <w:r>
        <w:rPr>
          <w:i/>
          <w:sz w:val="18"/>
          <w:vertAlign w:val="baseline"/>
        </w:rPr>
        <w:t>AIDS and Behavior </w:t>
      </w:r>
      <w:r>
        <w:rPr>
          <w:sz w:val="18"/>
          <w:vertAlign w:val="baseline"/>
        </w:rPr>
        <w:t>27 (2023): 290–302, </w:t>
      </w:r>
      <w:r>
        <w:rPr>
          <w:spacing w:val="-2"/>
          <w:sz w:val="18"/>
          <w:vertAlign w:val="baseline"/>
        </w:rPr>
        <w:t>https://doi.org/10.1007/s10461-022-03763-w.</w:t>
      </w:r>
    </w:p>
    <w:p>
      <w:pPr>
        <w:spacing w:before="13"/>
        <w:ind w:left="463" w:right="0" w:firstLine="0"/>
        <w:jc w:val="left"/>
        <w:rPr>
          <w:sz w:val="18"/>
        </w:rPr>
      </w:pPr>
      <w:r>
        <w:rPr>
          <w:sz w:val="18"/>
          <w:vertAlign w:val="superscript"/>
        </w:rPr>
        <w:t>60</w:t>
      </w:r>
      <w:r>
        <w:rPr>
          <w:spacing w:val="-11"/>
          <w:sz w:val="18"/>
          <w:vertAlign w:val="baseline"/>
        </w:rPr>
        <w:t> </w:t>
      </w:r>
      <w:r>
        <w:rPr>
          <w:sz w:val="18"/>
          <w:vertAlign w:val="baseline"/>
        </w:rPr>
        <w:t>Quinn</w:t>
      </w:r>
      <w:r>
        <w:rPr>
          <w:spacing w:val="3"/>
          <w:sz w:val="18"/>
          <w:vertAlign w:val="baseline"/>
        </w:rPr>
        <w:t> </w:t>
      </w:r>
      <w:r>
        <w:rPr>
          <w:sz w:val="18"/>
          <w:vertAlign w:val="baseline"/>
        </w:rPr>
        <w:t>et</w:t>
      </w:r>
      <w:r>
        <w:rPr>
          <w:spacing w:val="2"/>
          <w:sz w:val="18"/>
          <w:vertAlign w:val="baseline"/>
        </w:rPr>
        <w:t> </w:t>
      </w:r>
      <w:r>
        <w:rPr>
          <w:spacing w:val="-5"/>
          <w:sz w:val="18"/>
          <w:vertAlign w:val="baseline"/>
        </w:rPr>
        <w:t>al.</w:t>
      </w:r>
    </w:p>
    <w:p>
      <w:pPr>
        <w:spacing w:line="273" w:lineRule="auto" w:before="49"/>
        <w:ind w:left="463" w:right="300" w:hanging="1"/>
        <w:jc w:val="left"/>
        <w:rPr>
          <w:sz w:val="18"/>
        </w:rPr>
      </w:pPr>
      <w:r>
        <w:rPr>
          <w:sz w:val="18"/>
          <w:vertAlign w:val="superscript"/>
        </w:rPr>
        <w:t>61</w:t>
      </w:r>
      <w:r>
        <w:rPr>
          <w:spacing w:val="-12"/>
          <w:sz w:val="18"/>
          <w:vertAlign w:val="baseline"/>
        </w:rPr>
        <w:t> </w:t>
      </w:r>
      <w:r>
        <w:rPr>
          <w:sz w:val="18"/>
          <w:vertAlign w:val="baseline"/>
        </w:rPr>
        <w:t>Errol</w:t>
      </w:r>
      <w:r>
        <w:rPr>
          <w:spacing w:val="-3"/>
          <w:sz w:val="18"/>
          <w:vertAlign w:val="baseline"/>
        </w:rPr>
        <w:t> </w:t>
      </w:r>
      <w:r>
        <w:rPr>
          <w:sz w:val="18"/>
          <w:vertAlign w:val="baseline"/>
        </w:rPr>
        <w:t>L.</w:t>
      </w:r>
      <w:r>
        <w:rPr>
          <w:spacing w:val="-2"/>
          <w:sz w:val="18"/>
          <w:vertAlign w:val="baseline"/>
        </w:rPr>
        <w:t> </w:t>
      </w:r>
      <w:r>
        <w:rPr>
          <w:sz w:val="18"/>
          <w:vertAlign w:val="baseline"/>
        </w:rPr>
        <w:t>Fields</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“Identifying</w:t>
      </w:r>
      <w:r>
        <w:rPr>
          <w:spacing w:val="-2"/>
          <w:sz w:val="18"/>
          <w:vertAlign w:val="baseline"/>
        </w:rPr>
        <w:t> </w:t>
      </w:r>
      <w:r>
        <w:rPr>
          <w:sz w:val="18"/>
          <w:vertAlign w:val="baseline"/>
        </w:rPr>
        <w:t>Community-Informed</w:t>
      </w:r>
      <w:r>
        <w:rPr>
          <w:spacing w:val="-2"/>
          <w:sz w:val="18"/>
          <w:vertAlign w:val="baseline"/>
        </w:rPr>
        <w:t> </w:t>
      </w:r>
      <w:r>
        <w:rPr>
          <w:sz w:val="18"/>
          <w:vertAlign w:val="baseline"/>
        </w:rPr>
        <w:t>Language</w:t>
      </w:r>
      <w:r>
        <w:rPr>
          <w:spacing w:val="-3"/>
          <w:sz w:val="18"/>
          <w:vertAlign w:val="baseline"/>
        </w:rPr>
        <w:t> </w:t>
      </w:r>
      <w:r>
        <w:rPr>
          <w:sz w:val="18"/>
          <w:vertAlign w:val="baseline"/>
        </w:rPr>
        <w:t>to</w:t>
      </w:r>
      <w:r>
        <w:rPr>
          <w:spacing w:val="-2"/>
          <w:sz w:val="18"/>
          <w:vertAlign w:val="baseline"/>
        </w:rPr>
        <w:t> </w:t>
      </w:r>
      <w:r>
        <w:rPr>
          <w:sz w:val="18"/>
          <w:vertAlign w:val="baseline"/>
        </w:rPr>
        <w:t>Promote</w:t>
      </w:r>
      <w:r>
        <w:rPr>
          <w:spacing w:val="-2"/>
          <w:sz w:val="18"/>
          <w:vertAlign w:val="baseline"/>
        </w:rPr>
        <w:t> </w:t>
      </w:r>
      <w:r>
        <w:rPr>
          <w:sz w:val="18"/>
          <w:vertAlign w:val="baseline"/>
        </w:rPr>
        <w:t>HIV</w:t>
      </w:r>
      <w:r>
        <w:rPr>
          <w:spacing w:val="-2"/>
          <w:sz w:val="18"/>
          <w:vertAlign w:val="baseline"/>
        </w:rPr>
        <w:t> </w:t>
      </w:r>
      <w:r>
        <w:rPr>
          <w:sz w:val="18"/>
          <w:vertAlign w:val="baseline"/>
        </w:rPr>
        <w:t>Preesposure</w:t>
      </w:r>
      <w:r>
        <w:rPr>
          <w:spacing w:val="-3"/>
          <w:sz w:val="18"/>
          <w:vertAlign w:val="baseline"/>
        </w:rPr>
        <w:t> </w:t>
      </w:r>
      <w:r>
        <w:rPr>
          <w:sz w:val="18"/>
          <w:vertAlign w:val="baseline"/>
        </w:rPr>
        <w:t>Prophylaxis</w:t>
      </w:r>
      <w:r>
        <w:rPr>
          <w:spacing w:val="-2"/>
          <w:sz w:val="18"/>
          <w:vertAlign w:val="baseline"/>
        </w:rPr>
        <w:t> </w:t>
      </w:r>
      <w:r>
        <w:rPr>
          <w:sz w:val="18"/>
          <w:vertAlign w:val="baseline"/>
        </w:rPr>
        <w:t>(PrEP)</w:t>
      </w:r>
      <w:r>
        <w:rPr>
          <w:spacing w:val="-2"/>
          <w:sz w:val="18"/>
          <w:vertAlign w:val="baseline"/>
        </w:rPr>
        <w:t> </w:t>
      </w:r>
      <w:r>
        <w:rPr>
          <w:sz w:val="18"/>
          <w:vertAlign w:val="baseline"/>
        </w:rPr>
        <w:t>in</w:t>
      </w:r>
      <w:r>
        <w:rPr>
          <w:spacing w:val="-2"/>
          <w:sz w:val="18"/>
          <w:vertAlign w:val="baseline"/>
        </w:rPr>
        <w:t> </w:t>
      </w:r>
      <w:r>
        <w:rPr>
          <w:sz w:val="18"/>
          <w:vertAlign w:val="baseline"/>
        </w:rPr>
        <w:t>Black LGBTQ Communities in Baltimore,” </w:t>
      </w:r>
      <w:r>
        <w:rPr>
          <w:i/>
          <w:sz w:val="18"/>
          <w:vertAlign w:val="baseline"/>
        </w:rPr>
        <w:t>AIDS Education and Prevention </w:t>
      </w:r>
      <w:r>
        <w:rPr>
          <w:sz w:val="18"/>
          <w:vertAlign w:val="baseline"/>
        </w:rPr>
        <w:t>32, no. 2 (2020): 152–68.</w:t>
      </w:r>
    </w:p>
    <w:p>
      <w:pPr>
        <w:spacing w:line="268" w:lineRule="auto" w:before="9"/>
        <w:ind w:left="463" w:right="300" w:hanging="1"/>
        <w:jc w:val="left"/>
        <w:rPr>
          <w:sz w:val="18"/>
        </w:rPr>
      </w:pPr>
      <w:r>
        <w:rPr>
          <w:sz w:val="18"/>
          <w:vertAlign w:val="superscript"/>
        </w:rPr>
        <w:t>62</w:t>
      </w:r>
      <w:r>
        <w:rPr>
          <w:spacing w:val="-7"/>
          <w:sz w:val="18"/>
          <w:vertAlign w:val="baseline"/>
        </w:rPr>
        <w:t> </w:t>
      </w:r>
      <w:r>
        <w:rPr>
          <w:sz w:val="18"/>
          <w:vertAlign w:val="baseline"/>
        </w:rPr>
        <w:t>Viraj V. Patel et al., “Empowering With PrEP (E-PrEP), a Peer-Led Social Media–Based Intervention to Facilitate HIV Preexposure</w:t>
      </w:r>
      <w:r>
        <w:rPr>
          <w:spacing w:val="-2"/>
          <w:sz w:val="18"/>
          <w:vertAlign w:val="baseline"/>
        </w:rPr>
        <w:t> </w:t>
      </w:r>
      <w:r>
        <w:rPr>
          <w:sz w:val="18"/>
          <w:vertAlign w:val="baseline"/>
        </w:rPr>
        <w:t>Prophylaxis</w:t>
      </w:r>
      <w:r>
        <w:rPr>
          <w:spacing w:val="-2"/>
          <w:sz w:val="18"/>
          <w:vertAlign w:val="baseline"/>
        </w:rPr>
        <w:t> </w:t>
      </w:r>
      <w:r>
        <w:rPr>
          <w:sz w:val="18"/>
          <w:vertAlign w:val="baseline"/>
        </w:rPr>
        <w:t>Adoption</w:t>
      </w:r>
      <w:r>
        <w:rPr>
          <w:spacing w:val="-2"/>
          <w:sz w:val="18"/>
          <w:vertAlign w:val="baseline"/>
        </w:rPr>
        <w:t> </w:t>
      </w:r>
      <w:r>
        <w:rPr>
          <w:sz w:val="18"/>
          <w:vertAlign w:val="baseline"/>
        </w:rPr>
        <w:t>Among</w:t>
      </w:r>
      <w:r>
        <w:rPr>
          <w:spacing w:val="-2"/>
          <w:sz w:val="18"/>
          <w:vertAlign w:val="baseline"/>
        </w:rPr>
        <w:t> </w:t>
      </w:r>
      <w:r>
        <w:rPr>
          <w:sz w:val="18"/>
          <w:vertAlign w:val="baseline"/>
        </w:rPr>
        <w:t>Young</w:t>
      </w:r>
      <w:r>
        <w:rPr>
          <w:spacing w:val="-3"/>
          <w:sz w:val="18"/>
          <w:vertAlign w:val="baseline"/>
        </w:rPr>
        <w:t> </w:t>
      </w:r>
      <w:r>
        <w:rPr>
          <w:sz w:val="18"/>
          <w:vertAlign w:val="baseline"/>
        </w:rPr>
        <w:t>Black</w:t>
      </w:r>
      <w:r>
        <w:rPr>
          <w:spacing w:val="-3"/>
          <w:sz w:val="18"/>
          <w:vertAlign w:val="baseline"/>
        </w:rPr>
        <w:t> </w:t>
      </w:r>
      <w:r>
        <w:rPr>
          <w:sz w:val="18"/>
          <w:vertAlign w:val="baseline"/>
        </w:rPr>
        <w:t>and</w:t>
      </w:r>
      <w:r>
        <w:rPr>
          <w:spacing w:val="-2"/>
          <w:sz w:val="18"/>
          <w:vertAlign w:val="baseline"/>
        </w:rPr>
        <w:t> </w:t>
      </w:r>
      <w:r>
        <w:rPr>
          <w:sz w:val="18"/>
          <w:vertAlign w:val="baseline"/>
        </w:rPr>
        <w:t>Latinx</w:t>
      </w:r>
      <w:r>
        <w:rPr>
          <w:spacing w:val="-2"/>
          <w:sz w:val="18"/>
          <w:vertAlign w:val="baseline"/>
        </w:rPr>
        <w:t> </w:t>
      </w:r>
      <w:r>
        <w:rPr>
          <w:sz w:val="18"/>
          <w:vertAlign w:val="baseline"/>
        </w:rPr>
        <w:t>Gay</w:t>
      </w:r>
      <w:r>
        <w:rPr>
          <w:spacing w:val="-2"/>
          <w:sz w:val="18"/>
          <w:vertAlign w:val="baseline"/>
        </w:rPr>
        <w:t> </w:t>
      </w:r>
      <w:r>
        <w:rPr>
          <w:sz w:val="18"/>
          <w:vertAlign w:val="baseline"/>
        </w:rPr>
        <w:t>and</w:t>
      </w:r>
      <w:r>
        <w:rPr>
          <w:spacing w:val="-3"/>
          <w:sz w:val="18"/>
          <w:vertAlign w:val="baseline"/>
        </w:rPr>
        <w:t> </w:t>
      </w:r>
      <w:r>
        <w:rPr>
          <w:sz w:val="18"/>
          <w:vertAlign w:val="baseline"/>
        </w:rPr>
        <w:t>Bisexual</w:t>
      </w:r>
      <w:r>
        <w:rPr>
          <w:spacing w:val="-3"/>
          <w:sz w:val="18"/>
          <w:vertAlign w:val="baseline"/>
        </w:rPr>
        <w:t> </w:t>
      </w:r>
      <w:r>
        <w:rPr>
          <w:sz w:val="18"/>
          <w:vertAlign w:val="baseline"/>
        </w:rPr>
        <w:t>Men:</w:t>
      </w:r>
      <w:r>
        <w:rPr>
          <w:spacing w:val="-2"/>
          <w:sz w:val="18"/>
          <w:vertAlign w:val="baseline"/>
        </w:rPr>
        <w:t> </w:t>
      </w:r>
      <w:r>
        <w:rPr>
          <w:sz w:val="18"/>
          <w:vertAlign w:val="baseline"/>
        </w:rPr>
        <w:t>Protocol</w:t>
      </w:r>
      <w:r>
        <w:rPr>
          <w:spacing w:val="-3"/>
          <w:sz w:val="18"/>
          <w:vertAlign w:val="baseline"/>
        </w:rPr>
        <w:t> </w:t>
      </w:r>
      <w:r>
        <w:rPr>
          <w:sz w:val="18"/>
          <w:vertAlign w:val="baseline"/>
        </w:rPr>
        <w:t>for</w:t>
      </w:r>
      <w:r>
        <w:rPr>
          <w:spacing w:val="-3"/>
          <w:sz w:val="18"/>
          <w:vertAlign w:val="baseline"/>
        </w:rPr>
        <w:t> </w:t>
      </w:r>
      <w:r>
        <w:rPr>
          <w:sz w:val="18"/>
          <w:vertAlign w:val="baseline"/>
        </w:rPr>
        <w:t>a</w:t>
      </w:r>
      <w:r>
        <w:rPr>
          <w:spacing w:val="-2"/>
          <w:sz w:val="18"/>
          <w:vertAlign w:val="baseline"/>
        </w:rPr>
        <w:t> </w:t>
      </w:r>
      <w:r>
        <w:rPr>
          <w:sz w:val="18"/>
          <w:vertAlign w:val="baseline"/>
        </w:rPr>
        <w:t>Cluster</w:t>
      </w:r>
      <w:r>
        <w:rPr>
          <w:spacing w:val="-3"/>
          <w:sz w:val="18"/>
          <w:vertAlign w:val="baseline"/>
        </w:rPr>
        <w:t> </w:t>
      </w:r>
      <w:r>
        <w:rPr>
          <w:sz w:val="18"/>
          <w:vertAlign w:val="baseline"/>
        </w:rPr>
        <w:t>Randomized Controlled Trial,” </w:t>
      </w:r>
      <w:r>
        <w:rPr>
          <w:i/>
          <w:sz w:val="18"/>
          <w:vertAlign w:val="baseline"/>
        </w:rPr>
        <w:t>JMIR Research Protocols </w:t>
      </w:r>
      <w:r>
        <w:rPr>
          <w:sz w:val="18"/>
          <w:vertAlign w:val="baseline"/>
        </w:rPr>
        <w:t>7, no. 8 (2018): e11375, https://doi.org/10.2196/11375.</w:t>
      </w:r>
    </w:p>
    <w:p>
      <w:pPr>
        <w:spacing w:line="216" w:lineRule="exact" w:before="0"/>
        <w:ind w:left="463" w:right="0" w:firstLine="0"/>
        <w:jc w:val="left"/>
        <w:rPr>
          <w:sz w:val="18"/>
        </w:rPr>
      </w:pPr>
      <w:r>
        <w:rPr>
          <w:sz w:val="18"/>
          <w:vertAlign w:val="superscript"/>
        </w:rPr>
        <w:t>63</w:t>
      </w:r>
      <w:r>
        <w:rPr>
          <w:spacing w:val="-10"/>
          <w:sz w:val="18"/>
          <w:vertAlign w:val="baseline"/>
        </w:rPr>
        <w:t> </w:t>
      </w:r>
      <w:r>
        <w:rPr>
          <w:sz w:val="18"/>
          <w:vertAlign w:val="baseline"/>
        </w:rPr>
        <w:t>Patel</w:t>
      </w:r>
      <w:r>
        <w:rPr>
          <w:spacing w:val="1"/>
          <w:sz w:val="18"/>
          <w:vertAlign w:val="baseline"/>
        </w:rPr>
        <w:t> </w:t>
      </w:r>
      <w:r>
        <w:rPr>
          <w:sz w:val="18"/>
          <w:vertAlign w:val="baseline"/>
        </w:rPr>
        <w:t>et</w:t>
      </w:r>
      <w:r>
        <w:rPr>
          <w:spacing w:val="2"/>
          <w:sz w:val="18"/>
          <w:vertAlign w:val="baseline"/>
        </w:rPr>
        <w:t> </w:t>
      </w:r>
      <w:r>
        <w:rPr>
          <w:spacing w:val="-5"/>
          <w:sz w:val="18"/>
          <w:vertAlign w:val="baseline"/>
        </w:rPr>
        <w:t>al.</w:t>
      </w:r>
    </w:p>
    <w:p>
      <w:pPr>
        <w:spacing w:line="271" w:lineRule="auto" w:before="21"/>
        <w:ind w:left="463" w:right="300" w:hanging="1"/>
        <w:jc w:val="left"/>
        <w:rPr>
          <w:sz w:val="18"/>
        </w:rPr>
      </w:pPr>
      <w:r>
        <w:rPr>
          <w:sz w:val="18"/>
          <w:vertAlign w:val="superscript"/>
        </w:rPr>
        <w:t>64</w:t>
      </w:r>
      <w:r>
        <w:rPr>
          <w:spacing w:val="-12"/>
          <w:sz w:val="18"/>
          <w:vertAlign w:val="baseline"/>
        </w:rPr>
        <w:t> </w:t>
      </w:r>
      <w:r>
        <w:rPr>
          <w:sz w:val="18"/>
          <w:vertAlign w:val="baseline"/>
        </w:rPr>
        <w:t>Fields</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“Identifying</w:t>
      </w:r>
      <w:r>
        <w:rPr>
          <w:spacing w:val="-2"/>
          <w:sz w:val="18"/>
          <w:vertAlign w:val="baseline"/>
        </w:rPr>
        <w:t> </w:t>
      </w:r>
      <w:r>
        <w:rPr>
          <w:sz w:val="18"/>
          <w:vertAlign w:val="baseline"/>
        </w:rPr>
        <w:t>Community-Informed</w:t>
      </w:r>
      <w:r>
        <w:rPr>
          <w:spacing w:val="-2"/>
          <w:sz w:val="18"/>
          <w:vertAlign w:val="baseline"/>
        </w:rPr>
        <w:t> </w:t>
      </w:r>
      <w:r>
        <w:rPr>
          <w:sz w:val="18"/>
          <w:vertAlign w:val="baseline"/>
        </w:rPr>
        <w:t>Language</w:t>
      </w:r>
      <w:r>
        <w:rPr>
          <w:spacing w:val="-2"/>
          <w:sz w:val="18"/>
          <w:vertAlign w:val="baseline"/>
        </w:rPr>
        <w:t> </w:t>
      </w:r>
      <w:r>
        <w:rPr>
          <w:sz w:val="18"/>
          <w:vertAlign w:val="baseline"/>
        </w:rPr>
        <w:t>to</w:t>
      </w:r>
      <w:r>
        <w:rPr>
          <w:spacing w:val="-2"/>
          <w:sz w:val="18"/>
          <w:vertAlign w:val="baseline"/>
        </w:rPr>
        <w:t> </w:t>
      </w:r>
      <w:r>
        <w:rPr>
          <w:sz w:val="18"/>
          <w:vertAlign w:val="baseline"/>
        </w:rPr>
        <w:t>Promote</w:t>
      </w:r>
      <w:r>
        <w:rPr>
          <w:spacing w:val="-2"/>
          <w:sz w:val="18"/>
          <w:vertAlign w:val="baseline"/>
        </w:rPr>
        <w:t> </w:t>
      </w:r>
      <w:r>
        <w:rPr>
          <w:sz w:val="18"/>
          <w:vertAlign w:val="baseline"/>
        </w:rPr>
        <w:t>HIV</w:t>
      </w:r>
      <w:r>
        <w:rPr>
          <w:spacing w:val="-2"/>
          <w:sz w:val="18"/>
          <w:vertAlign w:val="baseline"/>
        </w:rPr>
        <w:t> </w:t>
      </w:r>
      <w:r>
        <w:rPr>
          <w:sz w:val="18"/>
          <w:vertAlign w:val="baseline"/>
        </w:rPr>
        <w:t>Preesposure</w:t>
      </w:r>
      <w:r>
        <w:rPr>
          <w:spacing w:val="-3"/>
          <w:sz w:val="18"/>
          <w:vertAlign w:val="baseline"/>
        </w:rPr>
        <w:t> </w:t>
      </w:r>
      <w:r>
        <w:rPr>
          <w:sz w:val="18"/>
          <w:vertAlign w:val="baseline"/>
        </w:rPr>
        <w:t>Prophylaxis</w:t>
      </w:r>
      <w:r>
        <w:rPr>
          <w:spacing w:val="-2"/>
          <w:sz w:val="18"/>
          <w:vertAlign w:val="baseline"/>
        </w:rPr>
        <w:t> </w:t>
      </w:r>
      <w:r>
        <w:rPr>
          <w:sz w:val="18"/>
          <w:vertAlign w:val="baseline"/>
        </w:rPr>
        <w:t>(PrEP)</w:t>
      </w:r>
      <w:r>
        <w:rPr>
          <w:spacing w:val="-2"/>
          <w:sz w:val="18"/>
          <w:vertAlign w:val="baseline"/>
        </w:rPr>
        <w:t> </w:t>
      </w:r>
      <w:r>
        <w:rPr>
          <w:sz w:val="18"/>
          <w:vertAlign w:val="baseline"/>
        </w:rPr>
        <w:t>in</w:t>
      </w:r>
      <w:r>
        <w:rPr>
          <w:spacing w:val="-2"/>
          <w:sz w:val="18"/>
          <w:vertAlign w:val="baseline"/>
        </w:rPr>
        <w:t> </w:t>
      </w:r>
      <w:r>
        <w:rPr>
          <w:sz w:val="18"/>
          <w:vertAlign w:val="baseline"/>
        </w:rPr>
        <w:t>Black</w:t>
      </w:r>
      <w:r>
        <w:rPr>
          <w:spacing w:val="-3"/>
          <w:sz w:val="18"/>
          <w:vertAlign w:val="baseline"/>
        </w:rPr>
        <w:t> </w:t>
      </w:r>
      <w:r>
        <w:rPr>
          <w:sz w:val="18"/>
          <w:vertAlign w:val="baseline"/>
        </w:rPr>
        <w:t>LGBTQ Communities in Baltimore.”</w:t>
      </w:r>
    </w:p>
    <w:p>
      <w:pPr>
        <w:spacing w:line="215" w:lineRule="exact" w:before="0"/>
        <w:ind w:left="463" w:right="0" w:firstLine="0"/>
        <w:jc w:val="left"/>
        <w:rPr>
          <w:sz w:val="18"/>
        </w:rPr>
      </w:pPr>
      <w:r>
        <w:rPr>
          <w:sz w:val="18"/>
          <w:vertAlign w:val="superscript"/>
        </w:rPr>
        <w:t>65</w:t>
      </w:r>
      <w:r>
        <w:rPr>
          <w:spacing w:val="-11"/>
          <w:sz w:val="18"/>
          <w:vertAlign w:val="baseline"/>
        </w:rPr>
        <w:t> </w:t>
      </w:r>
      <w:r>
        <w:rPr>
          <w:sz w:val="18"/>
          <w:vertAlign w:val="baseline"/>
        </w:rPr>
        <w:t>Fields</w:t>
      </w:r>
      <w:r>
        <w:rPr>
          <w:spacing w:val="3"/>
          <w:sz w:val="18"/>
          <w:vertAlign w:val="baseline"/>
        </w:rPr>
        <w:t> </w:t>
      </w:r>
      <w:r>
        <w:rPr>
          <w:sz w:val="18"/>
          <w:vertAlign w:val="baseline"/>
        </w:rPr>
        <w:t>et</w:t>
      </w:r>
      <w:r>
        <w:rPr>
          <w:spacing w:val="1"/>
          <w:sz w:val="18"/>
          <w:vertAlign w:val="baseline"/>
        </w:rPr>
        <w:t> </w:t>
      </w:r>
      <w:r>
        <w:rPr>
          <w:spacing w:val="-5"/>
          <w:sz w:val="18"/>
          <w:vertAlign w:val="baseline"/>
        </w:rPr>
        <w:t>al.</w:t>
      </w:r>
    </w:p>
    <w:p>
      <w:pPr>
        <w:spacing w:line="273" w:lineRule="auto" w:before="20"/>
        <w:ind w:left="463" w:right="300" w:hanging="1"/>
        <w:jc w:val="left"/>
        <w:rPr>
          <w:sz w:val="18"/>
        </w:rPr>
      </w:pPr>
      <w:r>
        <w:rPr>
          <w:sz w:val="18"/>
          <w:vertAlign w:val="superscript"/>
        </w:rPr>
        <w:t>66</w:t>
      </w:r>
      <w:r>
        <w:rPr>
          <w:spacing w:val="-12"/>
          <w:sz w:val="18"/>
          <w:vertAlign w:val="baseline"/>
        </w:rPr>
        <w:t> </w:t>
      </w:r>
      <w:r>
        <w:rPr>
          <w:sz w:val="18"/>
          <w:vertAlign w:val="baseline"/>
        </w:rPr>
        <w:t>“Fast</w:t>
      </w:r>
      <w:r>
        <w:rPr>
          <w:spacing w:val="-4"/>
          <w:sz w:val="18"/>
          <w:vertAlign w:val="baseline"/>
        </w:rPr>
        <w:t> </w:t>
      </w:r>
      <w:r>
        <w:rPr>
          <w:sz w:val="18"/>
          <w:vertAlign w:val="baseline"/>
        </w:rPr>
        <w:t>Fact:</w:t>
      </w:r>
      <w:r>
        <w:rPr>
          <w:spacing w:val="-2"/>
          <w:sz w:val="18"/>
          <w:vertAlign w:val="baseline"/>
        </w:rPr>
        <w:t> </w:t>
      </w:r>
      <w:r>
        <w:rPr>
          <w:sz w:val="18"/>
          <w:vertAlign w:val="baseline"/>
        </w:rPr>
        <w:t>Preventing</w:t>
      </w:r>
      <w:r>
        <w:rPr>
          <w:spacing w:val="-2"/>
          <w:sz w:val="18"/>
          <w:vertAlign w:val="baseline"/>
        </w:rPr>
        <w:t> </w:t>
      </w:r>
      <w:r>
        <w:rPr>
          <w:sz w:val="18"/>
          <w:vertAlign w:val="baseline"/>
        </w:rPr>
        <w:t>Bullying,”</w:t>
      </w:r>
      <w:r>
        <w:rPr>
          <w:spacing w:val="-2"/>
          <w:sz w:val="18"/>
          <w:vertAlign w:val="baseline"/>
        </w:rPr>
        <w:t> </w:t>
      </w:r>
      <w:r>
        <w:rPr>
          <w:sz w:val="18"/>
          <w:vertAlign w:val="baseline"/>
        </w:rPr>
        <w:t>Centers</w:t>
      </w:r>
      <w:r>
        <w:rPr>
          <w:spacing w:val="-2"/>
          <w:sz w:val="18"/>
          <w:vertAlign w:val="baseline"/>
        </w:rPr>
        <w:t> </w:t>
      </w:r>
      <w:r>
        <w:rPr>
          <w:sz w:val="18"/>
          <w:vertAlign w:val="baseline"/>
        </w:rPr>
        <w:t>for</w:t>
      </w:r>
      <w:r>
        <w:rPr>
          <w:spacing w:val="-3"/>
          <w:sz w:val="18"/>
          <w:vertAlign w:val="baseline"/>
        </w:rPr>
        <w:t> </w:t>
      </w:r>
      <w:r>
        <w:rPr>
          <w:sz w:val="18"/>
          <w:vertAlign w:val="baseline"/>
        </w:rPr>
        <w:t>Disease</w:t>
      </w:r>
      <w:r>
        <w:rPr>
          <w:spacing w:val="-2"/>
          <w:sz w:val="18"/>
          <w:vertAlign w:val="baseline"/>
        </w:rPr>
        <w:t> </w:t>
      </w:r>
      <w:r>
        <w:rPr>
          <w:sz w:val="18"/>
          <w:vertAlign w:val="baseline"/>
        </w:rPr>
        <w:t>Control</w:t>
      </w:r>
      <w:r>
        <w:rPr>
          <w:spacing w:val="-3"/>
          <w:sz w:val="18"/>
          <w:vertAlign w:val="baseline"/>
        </w:rPr>
        <w:t> </w:t>
      </w:r>
      <w:r>
        <w:rPr>
          <w:sz w:val="18"/>
          <w:vertAlign w:val="baseline"/>
        </w:rPr>
        <w:t>and</w:t>
      </w:r>
      <w:r>
        <w:rPr>
          <w:spacing w:val="-2"/>
          <w:sz w:val="18"/>
          <w:vertAlign w:val="baseline"/>
        </w:rPr>
        <w:t> </w:t>
      </w:r>
      <w:r>
        <w:rPr>
          <w:sz w:val="18"/>
          <w:vertAlign w:val="baseline"/>
        </w:rPr>
        <w:t>Prevention</w:t>
      </w:r>
      <w:r>
        <w:rPr>
          <w:spacing w:val="-2"/>
          <w:sz w:val="18"/>
          <w:vertAlign w:val="baseline"/>
        </w:rPr>
        <w:t> </w:t>
      </w:r>
      <w:r>
        <w:rPr>
          <w:sz w:val="18"/>
          <w:vertAlign w:val="baseline"/>
        </w:rPr>
        <w:t>-</w:t>
      </w:r>
      <w:r>
        <w:rPr>
          <w:spacing w:val="-3"/>
          <w:sz w:val="18"/>
          <w:vertAlign w:val="baseline"/>
        </w:rPr>
        <w:t> </w:t>
      </w:r>
      <w:r>
        <w:rPr>
          <w:sz w:val="18"/>
          <w:vertAlign w:val="baseline"/>
        </w:rPr>
        <w:t>Violence</w:t>
      </w:r>
      <w:r>
        <w:rPr>
          <w:spacing w:val="-2"/>
          <w:sz w:val="18"/>
          <w:vertAlign w:val="baseline"/>
        </w:rPr>
        <w:t> </w:t>
      </w:r>
      <w:r>
        <w:rPr>
          <w:sz w:val="18"/>
          <w:vertAlign w:val="baseline"/>
        </w:rPr>
        <w:t>Prevention,</w:t>
      </w:r>
      <w:r>
        <w:rPr>
          <w:spacing w:val="-3"/>
          <w:sz w:val="18"/>
          <w:vertAlign w:val="baseline"/>
        </w:rPr>
        <w:t> </w:t>
      </w:r>
      <w:r>
        <w:rPr>
          <w:sz w:val="18"/>
          <w:vertAlign w:val="baseline"/>
        </w:rPr>
        <w:t>April</w:t>
      </w:r>
      <w:r>
        <w:rPr>
          <w:spacing w:val="-3"/>
          <w:sz w:val="18"/>
          <w:vertAlign w:val="baseline"/>
        </w:rPr>
        <w:t> </w:t>
      </w:r>
      <w:r>
        <w:rPr>
          <w:sz w:val="18"/>
          <w:vertAlign w:val="baseline"/>
        </w:rPr>
        <w:t>14,</w:t>
      </w:r>
      <w:r>
        <w:rPr>
          <w:spacing w:val="-3"/>
          <w:sz w:val="18"/>
          <w:vertAlign w:val="baseline"/>
        </w:rPr>
        <w:t> </w:t>
      </w:r>
      <w:r>
        <w:rPr>
          <w:sz w:val="18"/>
          <w:vertAlign w:val="baseline"/>
        </w:rPr>
        <w:t>2022, </w:t>
      </w:r>
      <w:r>
        <w:rPr>
          <w:spacing w:val="-2"/>
          <w:sz w:val="18"/>
          <w:vertAlign w:val="baseline"/>
        </w:rPr>
        <w:t>https://</w:t>
      </w:r>
      <w:hyperlink r:id="rId154">
        <w:r>
          <w:rPr>
            <w:spacing w:val="-2"/>
            <w:sz w:val="18"/>
            <w:vertAlign w:val="baseline"/>
          </w:rPr>
          <w:t>www.cdc.gov/violenceprevention/youthviolence/bullyingresearch/fastfact.html.</w:t>
        </w:r>
      </w:hyperlink>
    </w:p>
    <w:p>
      <w:pPr>
        <w:spacing w:line="271" w:lineRule="auto" w:before="10"/>
        <w:ind w:left="463" w:right="1940" w:hanging="1"/>
        <w:jc w:val="left"/>
        <w:rPr>
          <w:sz w:val="18"/>
        </w:rPr>
      </w:pPr>
      <w:r>
        <w:rPr>
          <w:sz w:val="18"/>
          <w:vertAlign w:val="superscript"/>
        </w:rPr>
        <w:t>67</w:t>
      </w:r>
      <w:r>
        <w:rPr>
          <w:spacing w:val="-12"/>
          <w:sz w:val="18"/>
          <w:vertAlign w:val="baseline"/>
        </w:rPr>
        <w:t> </w:t>
      </w:r>
      <w:r>
        <w:rPr>
          <w:sz w:val="18"/>
          <w:vertAlign w:val="baseline"/>
        </w:rPr>
        <w:t>“School</w:t>
      </w:r>
      <w:r>
        <w:rPr>
          <w:spacing w:val="-4"/>
          <w:sz w:val="18"/>
          <w:vertAlign w:val="baseline"/>
        </w:rPr>
        <w:t> </w:t>
      </w:r>
      <w:r>
        <w:rPr>
          <w:sz w:val="18"/>
          <w:vertAlign w:val="baseline"/>
        </w:rPr>
        <w:t>Climate</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Students</w:t>
      </w:r>
      <w:r>
        <w:rPr>
          <w:spacing w:val="-2"/>
          <w:sz w:val="18"/>
          <w:vertAlign w:val="baseline"/>
        </w:rPr>
        <w:t> </w:t>
      </w:r>
      <w:r>
        <w:rPr>
          <w:sz w:val="18"/>
          <w:vertAlign w:val="baseline"/>
        </w:rPr>
        <w:t>in</w:t>
      </w:r>
      <w:r>
        <w:rPr>
          <w:spacing w:val="-2"/>
          <w:sz w:val="18"/>
          <w:vertAlign w:val="baseline"/>
        </w:rPr>
        <w:t> </w:t>
      </w:r>
      <w:r>
        <w:rPr>
          <w:sz w:val="18"/>
          <w:vertAlign w:val="baseline"/>
        </w:rPr>
        <w:t>Massachusetts</w:t>
      </w:r>
      <w:r>
        <w:rPr>
          <w:spacing w:val="-3"/>
          <w:sz w:val="18"/>
          <w:vertAlign w:val="baseline"/>
        </w:rPr>
        <w:t> </w:t>
      </w:r>
      <w:r>
        <w:rPr>
          <w:sz w:val="18"/>
          <w:vertAlign w:val="baseline"/>
        </w:rPr>
        <w:t>(State</w:t>
      </w:r>
      <w:r>
        <w:rPr>
          <w:spacing w:val="-2"/>
          <w:sz w:val="18"/>
          <w:vertAlign w:val="baseline"/>
        </w:rPr>
        <w:t> </w:t>
      </w:r>
      <w:r>
        <w:rPr>
          <w:sz w:val="18"/>
          <w:vertAlign w:val="baseline"/>
        </w:rPr>
        <w:t>Snapshot)”</w:t>
      </w:r>
      <w:r>
        <w:rPr>
          <w:spacing w:val="-3"/>
          <w:sz w:val="18"/>
          <w:vertAlign w:val="baseline"/>
        </w:rPr>
        <w:t> </w:t>
      </w:r>
      <w:r>
        <w:rPr>
          <w:sz w:val="18"/>
          <w:vertAlign w:val="baseline"/>
        </w:rPr>
        <w:t>(New</w:t>
      </w:r>
      <w:r>
        <w:rPr>
          <w:spacing w:val="-4"/>
          <w:sz w:val="18"/>
          <w:vertAlign w:val="baseline"/>
        </w:rPr>
        <w:t> </w:t>
      </w:r>
      <w:r>
        <w:rPr>
          <w:sz w:val="18"/>
          <w:vertAlign w:val="baseline"/>
        </w:rPr>
        <w:t>York,</w:t>
      </w:r>
      <w:r>
        <w:rPr>
          <w:spacing w:val="-3"/>
          <w:sz w:val="18"/>
          <w:vertAlign w:val="baseline"/>
        </w:rPr>
        <w:t> </w:t>
      </w:r>
      <w:r>
        <w:rPr>
          <w:sz w:val="18"/>
          <w:vertAlign w:val="baseline"/>
        </w:rPr>
        <w:t>NY:</w:t>
      </w:r>
      <w:r>
        <w:rPr>
          <w:spacing w:val="-2"/>
          <w:sz w:val="18"/>
          <w:vertAlign w:val="baseline"/>
        </w:rPr>
        <w:t> </w:t>
      </w:r>
      <w:r>
        <w:rPr>
          <w:sz w:val="18"/>
          <w:vertAlign w:val="baseline"/>
        </w:rPr>
        <w:t>GLSEN,</w:t>
      </w:r>
      <w:r>
        <w:rPr>
          <w:spacing w:val="-2"/>
          <w:sz w:val="18"/>
          <w:vertAlign w:val="baseline"/>
        </w:rPr>
        <w:t> </w:t>
      </w:r>
      <w:r>
        <w:rPr>
          <w:sz w:val="18"/>
          <w:vertAlign w:val="baseline"/>
        </w:rPr>
        <w:t>2021), </w:t>
      </w:r>
      <w:r>
        <w:rPr>
          <w:spacing w:val="-2"/>
          <w:sz w:val="18"/>
          <w:vertAlign w:val="baseline"/>
        </w:rPr>
        <w:t>https://</w:t>
      </w:r>
      <w:hyperlink r:id="rId155">
        <w:r>
          <w:rPr>
            <w:spacing w:val="-2"/>
            <w:sz w:val="18"/>
            <w:vertAlign w:val="baseline"/>
          </w:rPr>
          <w:t>www.glsen.org/sites/default/files/2021-01/Massachusetts-Snapshot-2019_1.pdf.</w:t>
        </w:r>
      </w:hyperlink>
    </w:p>
    <w:p>
      <w:pPr>
        <w:spacing w:line="216" w:lineRule="exact" w:before="0"/>
        <w:ind w:left="463" w:right="0" w:firstLine="0"/>
        <w:jc w:val="left"/>
        <w:rPr>
          <w:sz w:val="18"/>
        </w:rPr>
      </w:pPr>
      <w:r>
        <w:rPr>
          <w:sz w:val="18"/>
          <w:vertAlign w:val="superscript"/>
        </w:rPr>
        <w:t>68</w:t>
      </w:r>
      <w:r>
        <w:rPr>
          <w:spacing w:val="-12"/>
          <w:sz w:val="18"/>
          <w:vertAlign w:val="baseline"/>
        </w:rPr>
        <w:t> </w:t>
      </w:r>
      <w:r>
        <w:rPr>
          <w:sz w:val="18"/>
          <w:vertAlign w:val="baseline"/>
        </w:rPr>
        <w:t>“School</w:t>
      </w:r>
      <w:r>
        <w:rPr>
          <w:spacing w:val="-4"/>
          <w:sz w:val="18"/>
          <w:vertAlign w:val="baseline"/>
        </w:rPr>
        <w:t> </w:t>
      </w:r>
      <w:r>
        <w:rPr>
          <w:sz w:val="18"/>
          <w:vertAlign w:val="baseline"/>
        </w:rPr>
        <w:t>Climate</w:t>
      </w:r>
      <w:r>
        <w:rPr>
          <w:spacing w:val="-1"/>
          <w:sz w:val="18"/>
          <w:vertAlign w:val="baseline"/>
        </w:rPr>
        <w:t> </w:t>
      </w:r>
      <w:r>
        <w:rPr>
          <w:sz w:val="18"/>
          <w:vertAlign w:val="baseline"/>
        </w:rPr>
        <w:t>for</w:t>
      </w:r>
      <w:r>
        <w:rPr>
          <w:spacing w:val="-2"/>
          <w:sz w:val="18"/>
          <w:vertAlign w:val="baseline"/>
        </w:rPr>
        <w:t> </w:t>
      </w:r>
      <w:r>
        <w:rPr>
          <w:sz w:val="18"/>
          <w:vertAlign w:val="baseline"/>
        </w:rPr>
        <w:t>LGBTQ</w:t>
      </w:r>
      <w:r>
        <w:rPr>
          <w:spacing w:val="-1"/>
          <w:sz w:val="18"/>
          <w:vertAlign w:val="baseline"/>
        </w:rPr>
        <w:t> </w:t>
      </w:r>
      <w:r>
        <w:rPr>
          <w:sz w:val="18"/>
          <w:vertAlign w:val="baseline"/>
        </w:rPr>
        <w:t>Students</w:t>
      </w:r>
      <w:r>
        <w:rPr>
          <w:spacing w:val="-1"/>
          <w:sz w:val="18"/>
          <w:vertAlign w:val="baseline"/>
        </w:rPr>
        <w:t> </w:t>
      </w:r>
      <w:r>
        <w:rPr>
          <w:sz w:val="18"/>
          <w:vertAlign w:val="baseline"/>
        </w:rPr>
        <w:t>in</w:t>
      </w:r>
      <w:r>
        <w:rPr>
          <w:spacing w:val="-2"/>
          <w:sz w:val="18"/>
          <w:vertAlign w:val="baseline"/>
        </w:rPr>
        <w:t> </w:t>
      </w:r>
      <w:r>
        <w:rPr>
          <w:sz w:val="18"/>
          <w:vertAlign w:val="baseline"/>
        </w:rPr>
        <w:t>Massachusetts</w:t>
      </w:r>
      <w:r>
        <w:rPr>
          <w:spacing w:val="-2"/>
          <w:sz w:val="18"/>
          <w:vertAlign w:val="baseline"/>
        </w:rPr>
        <w:t> </w:t>
      </w:r>
      <w:r>
        <w:rPr>
          <w:sz w:val="18"/>
          <w:vertAlign w:val="baseline"/>
        </w:rPr>
        <w:t>(State</w:t>
      </w:r>
      <w:r>
        <w:rPr>
          <w:spacing w:val="-1"/>
          <w:sz w:val="18"/>
          <w:vertAlign w:val="baseline"/>
        </w:rPr>
        <w:t> </w:t>
      </w:r>
      <w:r>
        <w:rPr>
          <w:spacing w:val="-2"/>
          <w:sz w:val="18"/>
          <w:vertAlign w:val="baseline"/>
        </w:rPr>
        <w:t>Snapshot).”</w:t>
      </w:r>
    </w:p>
    <w:p>
      <w:pPr>
        <w:spacing w:before="3"/>
        <w:ind w:left="463" w:right="0" w:firstLine="0"/>
        <w:jc w:val="left"/>
        <w:rPr>
          <w:sz w:val="18"/>
        </w:rPr>
      </w:pPr>
      <w:r>
        <w:rPr>
          <w:sz w:val="18"/>
          <w:vertAlign w:val="superscript"/>
        </w:rPr>
        <w:t>69</w:t>
      </w:r>
      <w:r>
        <w:rPr>
          <w:spacing w:val="-12"/>
          <w:sz w:val="18"/>
          <w:vertAlign w:val="baseline"/>
        </w:rPr>
        <w:t> </w:t>
      </w:r>
      <w:r>
        <w:rPr>
          <w:sz w:val="18"/>
          <w:vertAlign w:val="baseline"/>
        </w:rPr>
        <w:t>“School</w:t>
      </w:r>
      <w:r>
        <w:rPr>
          <w:spacing w:val="-4"/>
          <w:sz w:val="18"/>
          <w:vertAlign w:val="baseline"/>
        </w:rPr>
        <w:t> </w:t>
      </w:r>
      <w:r>
        <w:rPr>
          <w:sz w:val="18"/>
          <w:vertAlign w:val="baseline"/>
        </w:rPr>
        <w:t>Climate</w:t>
      </w:r>
      <w:r>
        <w:rPr>
          <w:spacing w:val="-1"/>
          <w:sz w:val="18"/>
          <w:vertAlign w:val="baseline"/>
        </w:rPr>
        <w:t> </w:t>
      </w:r>
      <w:r>
        <w:rPr>
          <w:sz w:val="18"/>
          <w:vertAlign w:val="baseline"/>
        </w:rPr>
        <w:t>for</w:t>
      </w:r>
      <w:r>
        <w:rPr>
          <w:spacing w:val="-2"/>
          <w:sz w:val="18"/>
          <w:vertAlign w:val="baseline"/>
        </w:rPr>
        <w:t> </w:t>
      </w:r>
      <w:r>
        <w:rPr>
          <w:sz w:val="18"/>
          <w:vertAlign w:val="baseline"/>
        </w:rPr>
        <w:t>LGBTQ</w:t>
      </w:r>
      <w:r>
        <w:rPr>
          <w:spacing w:val="-1"/>
          <w:sz w:val="18"/>
          <w:vertAlign w:val="baseline"/>
        </w:rPr>
        <w:t> </w:t>
      </w:r>
      <w:r>
        <w:rPr>
          <w:sz w:val="18"/>
          <w:vertAlign w:val="baseline"/>
        </w:rPr>
        <w:t>Students</w:t>
      </w:r>
      <w:r>
        <w:rPr>
          <w:spacing w:val="-1"/>
          <w:sz w:val="18"/>
          <w:vertAlign w:val="baseline"/>
        </w:rPr>
        <w:t> </w:t>
      </w:r>
      <w:r>
        <w:rPr>
          <w:sz w:val="18"/>
          <w:vertAlign w:val="baseline"/>
        </w:rPr>
        <w:t>in</w:t>
      </w:r>
      <w:r>
        <w:rPr>
          <w:spacing w:val="-2"/>
          <w:sz w:val="18"/>
          <w:vertAlign w:val="baseline"/>
        </w:rPr>
        <w:t> </w:t>
      </w:r>
      <w:r>
        <w:rPr>
          <w:sz w:val="18"/>
          <w:vertAlign w:val="baseline"/>
        </w:rPr>
        <w:t>Massachusetts</w:t>
      </w:r>
      <w:r>
        <w:rPr>
          <w:spacing w:val="-2"/>
          <w:sz w:val="18"/>
          <w:vertAlign w:val="baseline"/>
        </w:rPr>
        <w:t> </w:t>
      </w:r>
      <w:r>
        <w:rPr>
          <w:sz w:val="18"/>
          <w:vertAlign w:val="baseline"/>
        </w:rPr>
        <w:t>(State</w:t>
      </w:r>
      <w:r>
        <w:rPr>
          <w:spacing w:val="-1"/>
          <w:sz w:val="18"/>
          <w:vertAlign w:val="baseline"/>
        </w:rPr>
        <w:t> </w:t>
      </w:r>
      <w:r>
        <w:rPr>
          <w:spacing w:val="-2"/>
          <w:sz w:val="18"/>
          <w:vertAlign w:val="baseline"/>
        </w:rPr>
        <w:t>Snapshot).”</w:t>
      </w:r>
    </w:p>
    <w:p>
      <w:pPr>
        <w:spacing w:line="268" w:lineRule="auto" w:before="20"/>
        <w:ind w:left="463" w:right="891" w:hanging="1"/>
        <w:jc w:val="both"/>
        <w:rPr>
          <w:sz w:val="18"/>
        </w:rPr>
      </w:pPr>
      <w:r>
        <w:rPr>
          <w:sz w:val="18"/>
          <w:vertAlign w:val="superscript"/>
        </w:rPr>
        <w:t>70</w:t>
      </w:r>
      <w:r>
        <w:rPr>
          <w:spacing w:val="-11"/>
          <w:sz w:val="18"/>
          <w:vertAlign w:val="baseline"/>
        </w:rPr>
        <w:t> </w:t>
      </w:r>
      <w:r>
        <w:rPr>
          <w:sz w:val="18"/>
          <w:vertAlign w:val="baseline"/>
        </w:rPr>
        <w:t>Joseph</w:t>
      </w:r>
      <w:r>
        <w:rPr>
          <w:spacing w:val="-3"/>
          <w:sz w:val="18"/>
          <w:vertAlign w:val="baseline"/>
        </w:rPr>
        <w:t> </w:t>
      </w:r>
      <w:r>
        <w:rPr>
          <w:sz w:val="18"/>
          <w:vertAlign w:val="baseline"/>
        </w:rPr>
        <w:t>G.</w:t>
      </w:r>
      <w:r>
        <w:rPr>
          <w:spacing w:val="-2"/>
          <w:sz w:val="18"/>
          <w:vertAlign w:val="baseline"/>
        </w:rPr>
        <w:t> </w:t>
      </w:r>
      <w:r>
        <w:rPr>
          <w:sz w:val="18"/>
          <w:vertAlign w:val="baseline"/>
        </w:rPr>
        <w:t>Kosciw,</w:t>
      </w:r>
      <w:r>
        <w:rPr>
          <w:spacing w:val="-2"/>
          <w:sz w:val="18"/>
          <w:vertAlign w:val="baseline"/>
        </w:rPr>
        <w:t> </w:t>
      </w:r>
      <w:r>
        <w:rPr>
          <w:sz w:val="18"/>
          <w:vertAlign w:val="baseline"/>
        </w:rPr>
        <w:t>Caitlin</w:t>
      </w:r>
      <w:r>
        <w:rPr>
          <w:spacing w:val="-1"/>
          <w:sz w:val="18"/>
          <w:vertAlign w:val="baseline"/>
        </w:rPr>
        <w:t> </w:t>
      </w:r>
      <w:r>
        <w:rPr>
          <w:sz w:val="18"/>
          <w:vertAlign w:val="baseline"/>
        </w:rPr>
        <w:t>M.</w:t>
      </w:r>
      <w:r>
        <w:rPr>
          <w:spacing w:val="-1"/>
          <w:sz w:val="18"/>
          <w:vertAlign w:val="baseline"/>
        </w:rPr>
        <w:t> </w:t>
      </w:r>
      <w:r>
        <w:rPr>
          <w:sz w:val="18"/>
          <w:vertAlign w:val="baseline"/>
        </w:rPr>
        <w:t>Clark,</w:t>
      </w:r>
      <w:r>
        <w:rPr>
          <w:spacing w:val="-2"/>
          <w:sz w:val="18"/>
          <w:vertAlign w:val="baseline"/>
        </w:rPr>
        <w:t> </w:t>
      </w:r>
      <w:r>
        <w:rPr>
          <w:sz w:val="18"/>
          <w:vertAlign w:val="baseline"/>
        </w:rPr>
        <w:t>and</w:t>
      </w:r>
      <w:r>
        <w:rPr>
          <w:spacing w:val="-1"/>
          <w:sz w:val="18"/>
          <w:vertAlign w:val="baseline"/>
        </w:rPr>
        <w:t> </w:t>
      </w:r>
      <w:r>
        <w:rPr>
          <w:sz w:val="18"/>
          <w:vertAlign w:val="baseline"/>
        </w:rPr>
        <w:t>Leesh</w:t>
      </w:r>
      <w:r>
        <w:rPr>
          <w:spacing w:val="-2"/>
          <w:sz w:val="18"/>
          <w:vertAlign w:val="baseline"/>
        </w:rPr>
        <w:t> </w:t>
      </w:r>
      <w:r>
        <w:rPr>
          <w:sz w:val="18"/>
          <w:vertAlign w:val="baseline"/>
        </w:rPr>
        <w:t>Menard,</w:t>
      </w:r>
      <w:r>
        <w:rPr>
          <w:spacing w:val="-2"/>
          <w:sz w:val="18"/>
          <w:vertAlign w:val="baseline"/>
        </w:rPr>
        <w:t> </w:t>
      </w:r>
      <w:r>
        <w:rPr>
          <w:sz w:val="18"/>
          <w:vertAlign w:val="baseline"/>
        </w:rPr>
        <w:t>“The</w:t>
      </w:r>
      <w:r>
        <w:rPr>
          <w:spacing w:val="-1"/>
          <w:sz w:val="18"/>
          <w:vertAlign w:val="baseline"/>
        </w:rPr>
        <w:t> </w:t>
      </w:r>
      <w:r>
        <w:rPr>
          <w:sz w:val="18"/>
          <w:vertAlign w:val="baseline"/>
        </w:rPr>
        <w:t>2021</w:t>
      </w:r>
      <w:r>
        <w:rPr>
          <w:spacing w:val="-1"/>
          <w:sz w:val="18"/>
          <w:vertAlign w:val="baseline"/>
        </w:rPr>
        <w:t> </w:t>
      </w:r>
      <w:r>
        <w:rPr>
          <w:sz w:val="18"/>
          <w:vertAlign w:val="baseline"/>
        </w:rPr>
        <w:t>National</w:t>
      </w:r>
      <w:r>
        <w:rPr>
          <w:spacing w:val="-2"/>
          <w:sz w:val="18"/>
          <w:vertAlign w:val="baseline"/>
        </w:rPr>
        <w:t> </w:t>
      </w:r>
      <w:r>
        <w:rPr>
          <w:sz w:val="18"/>
          <w:vertAlign w:val="baseline"/>
        </w:rPr>
        <w:t>School</w:t>
      </w:r>
      <w:r>
        <w:rPr>
          <w:spacing w:val="-2"/>
          <w:sz w:val="18"/>
          <w:vertAlign w:val="baseline"/>
        </w:rPr>
        <w:t> </w:t>
      </w:r>
      <w:r>
        <w:rPr>
          <w:sz w:val="18"/>
          <w:vertAlign w:val="baseline"/>
        </w:rPr>
        <w:t>Climate</w:t>
      </w:r>
      <w:r>
        <w:rPr>
          <w:spacing w:val="-1"/>
          <w:sz w:val="18"/>
          <w:vertAlign w:val="baseline"/>
        </w:rPr>
        <w:t> </w:t>
      </w:r>
      <w:r>
        <w:rPr>
          <w:sz w:val="18"/>
          <w:vertAlign w:val="baseline"/>
        </w:rPr>
        <w:t>Survey:</w:t>
      </w:r>
      <w:r>
        <w:rPr>
          <w:spacing w:val="-1"/>
          <w:sz w:val="18"/>
          <w:vertAlign w:val="baseline"/>
        </w:rPr>
        <w:t> </w:t>
      </w:r>
      <w:r>
        <w:rPr>
          <w:sz w:val="18"/>
          <w:vertAlign w:val="baseline"/>
        </w:rPr>
        <w:t>The</w:t>
      </w:r>
      <w:r>
        <w:rPr>
          <w:spacing w:val="-1"/>
          <w:sz w:val="18"/>
          <w:vertAlign w:val="baseline"/>
        </w:rPr>
        <w:t> </w:t>
      </w:r>
      <w:r>
        <w:rPr>
          <w:sz w:val="18"/>
          <w:vertAlign w:val="baseline"/>
        </w:rPr>
        <w:t>Experiences</w:t>
      </w:r>
      <w:r>
        <w:rPr>
          <w:spacing w:val="-1"/>
          <w:sz w:val="18"/>
          <w:vertAlign w:val="baseline"/>
        </w:rPr>
        <w:t> </w:t>
      </w:r>
      <w:r>
        <w:rPr>
          <w:sz w:val="18"/>
          <w:vertAlign w:val="baseline"/>
        </w:rPr>
        <w:t>of LGBTQ+ Youth in Our</w:t>
      </w:r>
      <w:r>
        <w:rPr>
          <w:spacing w:val="-1"/>
          <w:sz w:val="18"/>
          <w:vertAlign w:val="baseline"/>
        </w:rPr>
        <w:t> </w:t>
      </w:r>
      <w:r>
        <w:rPr>
          <w:sz w:val="18"/>
          <w:vertAlign w:val="baseline"/>
        </w:rPr>
        <w:t>Nation’s Schools” (New</w:t>
      </w:r>
      <w:r>
        <w:rPr>
          <w:spacing w:val="-1"/>
          <w:sz w:val="18"/>
          <w:vertAlign w:val="baseline"/>
        </w:rPr>
        <w:t> </w:t>
      </w:r>
      <w:r>
        <w:rPr>
          <w:sz w:val="18"/>
          <w:vertAlign w:val="baseline"/>
        </w:rPr>
        <w:t>York,</w:t>
      </w:r>
      <w:r>
        <w:rPr>
          <w:spacing w:val="-1"/>
          <w:sz w:val="18"/>
          <w:vertAlign w:val="baseline"/>
        </w:rPr>
        <w:t> </w:t>
      </w:r>
      <w:r>
        <w:rPr>
          <w:sz w:val="18"/>
          <w:vertAlign w:val="baseline"/>
        </w:rPr>
        <w:t>NY: GLSEN,</w:t>
      </w:r>
      <w:r>
        <w:rPr>
          <w:spacing w:val="-1"/>
          <w:sz w:val="18"/>
          <w:vertAlign w:val="baseline"/>
        </w:rPr>
        <w:t> </w:t>
      </w:r>
      <w:r>
        <w:rPr>
          <w:sz w:val="18"/>
          <w:vertAlign w:val="baseline"/>
        </w:rPr>
        <w:t>2022),</w:t>
      </w:r>
      <w:r>
        <w:rPr>
          <w:spacing w:val="-1"/>
          <w:sz w:val="18"/>
          <w:vertAlign w:val="baseline"/>
        </w:rPr>
        <w:t> </w:t>
      </w:r>
      <w:r>
        <w:rPr>
          <w:sz w:val="18"/>
          <w:vertAlign w:val="baseline"/>
        </w:rPr>
        <w:t>https://</w:t>
      </w:r>
      <w:hyperlink r:id="rId156">
        <w:r>
          <w:rPr>
            <w:sz w:val="18"/>
            <w:vertAlign w:val="baseline"/>
          </w:rPr>
          <w:t>www.glsen.org/sites/default/files/2022-</w:t>
        </w:r>
      </w:hyperlink>
      <w:r>
        <w:rPr>
          <w:sz w:val="18"/>
          <w:vertAlign w:val="baseline"/>
        </w:rPr>
        <w:t> </w:t>
      </w:r>
      <w:r>
        <w:rPr>
          <w:spacing w:val="-2"/>
          <w:sz w:val="18"/>
          <w:vertAlign w:val="baseline"/>
        </w:rPr>
        <w:t>10/NSCS-2021-Full-Report.pdf.</w:t>
      </w:r>
    </w:p>
    <w:p>
      <w:pPr>
        <w:spacing w:line="216" w:lineRule="exact" w:before="0"/>
        <w:ind w:left="463" w:right="0" w:firstLine="0"/>
        <w:jc w:val="both"/>
        <w:rPr>
          <w:sz w:val="18"/>
        </w:rPr>
      </w:pPr>
      <w:r>
        <w:rPr>
          <w:sz w:val="18"/>
          <w:vertAlign w:val="superscript"/>
        </w:rPr>
        <w:t>71</w:t>
      </w:r>
      <w:r>
        <w:rPr>
          <w:spacing w:val="-12"/>
          <w:sz w:val="18"/>
          <w:vertAlign w:val="baseline"/>
        </w:rPr>
        <w:t> </w:t>
      </w:r>
      <w:r>
        <w:rPr>
          <w:sz w:val="18"/>
          <w:vertAlign w:val="baseline"/>
        </w:rPr>
        <w:t>Kosciw, Clark, and</w:t>
      </w:r>
      <w:r>
        <w:rPr>
          <w:spacing w:val="1"/>
          <w:sz w:val="18"/>
          <w:vertAlign w:val="baseline"/>
        </w:rPr>
        <w:t> </w:t>
      </w:r>
      <w:r>
        <w:rPr>
          <w:spacing w:val="-2"/>
          <w:sz w:val="18"/>
          <w:vertAlign w:val="baseline"/>
        </w:rPr>
        <w:t>Menard.</w:t>
      </w:r>
    </w:p>
    <w:p>
      <w:pPr>
        <w:spacing w:line="271" w:lineRule="auto" w:before="20"/>
        <w:ind w:left="463" w:right="448" w:hanging="1"/>
        <w:jc w:val="both"/>
        <w:rPr>
          <w:sz w:val="18"/>
        </w:rPr>
      </w:pPr>
      <w:r>
        <w:rPr>
          <w:sz w:val="18"/>
          <w:vertAlign w:val="superscript"/>
        </w:rPr>
        <w:t>72</w:t>
      </w:r>
      <w:r>
        <w:rPr>
          <w:spacing w:val="-11"/>
          <w:sz w:val="18"/>
          <w:vertAlign w:val="baseline"/>
        </w:rPr>
        <w:t> </w:t>
      </w:r>
      <w:r>
        <w:rPr>
          <w:sz w:val="18"/>
          <w:vertAlign w:val="baseline"/>
        </w:rPr>
        <w:t>“2015</w:t>
      </w:r>
      <w:r>
        <w:rPr>
          <w:spacing w:val="-4"/>
          <w:sz w:val="18"/>
          <w:vertAlign w:val="baseline"/>
        </w:rPr>
        <w:t> </w:t>
      </w:r>
      <w:r>
        <w:rPr>
          <w:sz w:val="18"/>
          <w:vertAlign w:val="baseline"/>
        </w:rPr>
        <w:t>U.S.</w:t>
      </w:r>
      <w:r>
        <w:rPr>
          <w:spacing w:val="-2"/>
          <w:sz w:val="18"/>
          <w:vertAlign w:val="baseline"/>
        </w:rPr>
        <w:t> </w:t>
      </w:r>
      <w:r>
        <w:rPr>
          <w:sz w:val="18"/>
          <w:vertAlign w:val="baseline"/>
        </w:rPr>
        <w:t>Transgender</w:t>
      </w:r>
      <w:r>
        <w:rPr>
          <w:spacing w:val="-3"/>
          <w:sz w:val="18"/>
          <w:vertAlign w:val="baseline"/>
        </w:rPr>
        <w:t> </w:t>
      </w:r>
      <w:r>
        <w:rPr>
          <w:sz w:val="18"/>
          <w:vertAlign w:val="baseline"/>
        </w:rPr>
        <w:t>Survey:</w:t>
      </w:r>
      <w:r>
        <w:rPr>
          <w:spacing w:val="-2"/>
          <w:sz w:val="18"/>
          <w:vertAlign w:val="baseline"/>
        </w:rPr>
        <w:t> </w:t>
      </w:r>
      <w:r>
        <w:rPr>
          <w:sz w:val="18"/>
          <w:vertAlign w:val="baseline"/>
        </w:rPr>
        <w:t>Massachusetts</w:t>
      </w:r>
      <w:r>
        <w:rPr>
          <w:spacing w:val="-3"/>
          <w:sz w:val="18"/>
          <w:vertAlign w:val="baseline"/>
        </w:rPr>
        <w:t> </w:t>
      </w:r>
      <w:r>
        <w:rPr>
          <w:sz w:val="18"/>
          <w:vertAlign w:val="baseline"/>
        </w:rPr>
        <w:t>State</w:t>
      </w:r>
      <w:r>
        <w:rPr>
          <w:spacing w:val="-2"/>
          <w:sz w:val="18"/>
          <w:vertAlign w:val="baseline"/>
        </w:rPr>
        <w:t> </w:t>
      </w:r>
      <w:r>
        <w:rPr>
          <w:sz w:val="18"/>
          <w:vertAlign w:val="baseline"/>
        </w:rPr>
        <w:t>Report”</w:t>
      </w:r>
      <w:r>
        <w:rPr>
          <w:spacing w:val="-2"/>
          <w:sz w:val="18"/>
          <w:vertAlign w:val="baseline"/>
        </w:rPr>
        <w:t> </w:t>
      </w:r>
      <w:r>
        <w:rPr>
          <w:sz w:val="18"/>
          <w:vertAlign w:val="baseline"/>
        </w:rPr>
        <w:t>(Washington,</w:t>
      </w:r>
      <w:r>
        <w:rPr>
          <w:spacing w:val="-3"/>
          <w:sz w:val="18"/>
          <w:vertAlign w:val="baseline"/>
        </w:rPr>
        <w:t> </w:t>
      </w:r>
      <w:r>
        <w:rPr>
          <w:sz w:val="18"/>
          <w:vertAlign w:val="baseline"/>
        </w:rPr>
        <w:t>D.C.:</w:t>
      </w:r>
      <w:r>
        <w:rPr>
          <w:spacing w:val="-2"/>
          <w:sz w:val="18"/>
          <w:vertAlign w:val="baseline"/>
        </w:rPr>
        <w:t> </w:t>
      </w:r>
      <w:r>
        <w:rPr>
          <w:sz w:val="18"/>
          <w:vertAlign w:val="baseline"/>
        </w:rPr>
        <w:t>National</w:t>
      </w:r>
      <w:r>
        <w:rPr>
          <w:spacing w:val="-3"/>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Equality, </w:t>
      </w:r>
      <w:r>
        <w:rPr>
          <w:spacing w:val="-2"/>
          <w:sz w:val="18"/>
          <w:vertAlign w:val="baseline"/>
        </w:rPr>
        <w:t>2017).</w:t>
      </w:r>
    </w:p>
    <w:p>
      <w:pPr>
        <w:spacing w:line="215" w:lineRule="exact" w:before="0"/>
        <w:ind w:left="463" w:right="0" w:firstLine="0"/>
        <w:jc w:val="both"/>
        <w:rPr>
          <w:sz w:val="18"/>
        </w:rPr>
      </w:pPr>
      <w:r>
        <w:rPr>
          <w:sz w:val="18"/>
          <w:vertAlign w:val="superscript"/>
        </w:rPr>
        <w:t>73</w:t>
      </w:r>
      <w:r>
        <w:rPr>
          <w:spacing w:val="-12"/>
          <w:sz w:val="18"/>
          <w:vertAlign w:val="baseline"/>
        </w:rPr>
        <w:t> </w:t>
      </w:r>
      <w:r>
        <w:rPr>
          <w:sz w:val="18"/>
          <w:vertAlign w:val="baseline"/>
        </w:rPr>
        <w:t>“2015</w:t>
      </w:r>
      <w:r>
        <w:rPr>
          <w:spacing w:val="-3"/>
          <w:sz w:val="18"/>
          <w:vertAlign w:val="baseline"/>
        </w:rPr>
        <w:t> </w:t>
      </w:r>
      <w:r>
        <w:rPr>
          <w:sz w:val="18"/>
          <w:vertAlign w:val="baseline"/>
        </w:rPr>
        <w:t>U.S.</w:t>
      </w:r>
      <w:r>
        <w:rPr>
          <w:spacing w:val="-1"/>
          <w:sz w:val="18"/>
          <w:vertAlign w:val="baseline"/>
        </w:rPr>
        <w:t> </w:t>
      </w:r>
      <w:r>
        <w:rPr>
          <w:sz w:val="18"/>
          <w:vertAlign w:val="baseline"/>
        </w:rPr>
        <w:t>Transgender</w:t>
      </w:r>
      <w:r>
        <w:rPr>
          <w:spacing w:val="-2"/>
          <w:sz w:val="18"/>
          <w:vertAlign w:val="baseline"/>
        </w:rPr>
        <w:t> </w:t>
      </w:r>
      <w:r>
        <w:rPr>
          <w:sz w:val="18"/>
          <w:vertAlign w:val="baseline"/>
        </w:rPr>
        <w:t>Survey:</w:t>
      </w:r>
      <w:r>
        <w:rPr>
          <w:spacing w:val="-1"/>
          <w:sz w:val="18"/>
          <w:vertAlign w:val="baseline"/>
        </w:rPr>
        <w:t> </w:t>
      </w:r>
      <w:r>
        <w:rPr>
          <w:sz w:val="18"/>
          <w:vertAlign w:val="baseline"/>
        </w:rPr>
        <w:t>Massachusetts</w:t>
      </w:r>
      <w:r>
        <w:rPr>
          <w:spacing w:val="-3"/>
          <w:sz w:val="18"/>
          <w:vertAlign w:val="baseline"/>
        </w:rPr>
        <w:t> </w:t>
      </w:r>
      <w:r>
        <w:rPr>
          <w:sz w:val="18"/>
          <w:vertAlign w:val="baseline"/>
        </w:rPr>
        <w:t>State</w:t>
      </w:r>
      <w:r>
        <w:rPr>
          <w:spacing w:val="-1"/>
          <w:sz w:val="18"/>
          <w:vertAlign w:val="baseline"/>
        </w:rPr>
        <w:t> </w:t>
      </w:r>
      <w:r>
        <w:rPr>
          <w:spacing w:val="-2"/>
          <w:sz w:val="18"/>
          <w:vertAlign w:val="baseline"/>
        </w:rPr>
        <w:t>Report.”</w:t>
      </w:r>
    </w:p>
    <w:p>
      <w:pPr>
        <w:spacing w:after="0" w:line="215" w:lineRule="exact"/>
        <w:jc w:val="both"/>
        <w:rPr>
          <w:sz w:val="18"/>
        </w:rPr>
        <w:sectPr>
          <w:pgSz w:w="11910" w:h="16840"/>
          <w:pgMar w:header="804" w:footer="1277" w:top="1080" w:bottom="1480" w:left="980" w:right="900"/>
        </w:sectPr>
      </w:pPr>
    </w:p>
    <w:p>
      <w:pPr>
        <w:spacing w:line="271" w:lineRule="auto" w:before="88"/>
        <w:ind w:left="463" w:right="311" w:hanging="1"/>
        <w:jc w:val="left"/>
        <w:rPr>
          <w:sz w:val="18"/>
        </w:rPr>
      </w:pPr>
      <w:r>
        <w:rPr>
          <w:sz w:val="18"/>
          <w:vertAlign w:val="superscript"/>
        </w:rPr>
        <w:t>74</w:t>
      </w:r>
      <w:r>
        <w:rPr>
          <w:spacing w:val="-12"/>
          <w:sz w:val="18"/>
          <w:vertAlign w:val="baseline"/>
        </w:rPr>
        <w:t> </w:t>
      </w:r>
      <w:r>
        <w:rPr>
          <w:sz w:val="18"/>
          <w:vertAlign w:val="baseline"/>
        </w:rPr>
        <w:t>Kosciw,</w:t>
      </w:r>
      <w:r>
        <w:rPr>
          <w:spacing w:val="-3"/>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Our</w:t>
      </w:r>
      <w:r>
        <w:rPr>
          <w:spacing w:val="-3"/>
          <w:sz w:val="18"/>
          <w:vertAlign w:val="baseline"/>
        </w:rPr>
        <w:t> </w:t>
      </w:r>
      <w:r>
        <w:rPr>
          <w:sz w:val="18"/>
          <w:vertAlign w:val="baseline"/>
        </w:rPr>
        <w:t>Nation’s </w:t>
      </w:r>
      <w:r>
        <w:rPr>
          <w:spacing w:val="-2"/>
          <w:sz w:val="18"/>
          <w:vertAlign w:val="baseline"/>
        </w:rPr>
        <w:t>Schools.”</w:t>
      </w:r>
    </w:p>
    <w:p>
      <w:pPr>
        <w:spacing w:line="216" w:lineRule="exact" w:before="0"/>
        <w:ind w:left="463" w:right="0" w:firstLine="0"/>
        <w:jc w:val="left"/>
        <w:rPr>
          <w:sz w:val="18"/>
        </w:rPr>
      </w:pPr>
      <w:r>
        <w:rPr>
          <w:sz w:val="18"/>
          <w:vertAlign w:val="superscript"/>
        </w:rPr>
        <w:t>75</w:t>
      </w:r>
      <w:r>
        <w:rPr>
          <w:spacing w:val="-12"/>
          <w:sz w:val="18"/>
          <w:vertAlign w:val="baseline"/>
        </w:rPr>
        <w:t> </w:t>
      </w:r>
      <w:r>
        <w:rPr>
          <w:sz w:val="18"/>
          <w:vertAlign w:val="baseline"/>
        </w:rPr>
        <w:t>Kosciw, Clark, and</w:t>
      </w:r>
      <w:r>
        <w:rPr>
          <w:spacing w:val="1"/>
          <w:sz w:val="18"/>
          <w:vertAlign w:val="baseline"/>
        </w:rPr>
        <w:t> </w:t>
      </w:r>
      <w:r>
        <w:rPr>
          <w:spacing w:val="-2"/>
          <w:sz w:val="18"/>
          <w:vertAlign w:val="baseline"/>
        </w:rPr>
        <w:t>Menard.</w:t>
      </w:r>
    </w:p>
    <w:p>
      <w:pPr>
        <w:spacing w:before="2"/>
        <w:ind w:left="463" w:right="0" w:firstLine="0"/>
        <w:jc w:val="left"/>
        <w:rPr>
          <w:sz w:val="18"/>
        </w:rPr>
      </w:pPr>
      <w:r>
        <w:rPr>
          <w:sz w:val="18"/>
          <w:vertAlign w:val="superscript"/>
        </w:rPr>
        <w:t>76</w:t>
      </w:r>
      <w:r>
        <w:rPr>
          <w:spacing w:val="-12"/>
          <w:sz w:val="18"/>
          <w:vertAlign w:val="baseline"/>
        </w:rPr>
        <w:t> </w:t>
      </w:r>
      <w:r>
        <w:rPr>
          <w:sz w:val="18"/>
          <w:vertAlign w:val="baseline"/>
        </w:rPr>
        <w:t>Kosciw, Clark, and</w:t>
      </w:r>
      <w:r>
        <w:rPr>
          <w:spacing w:val="1"/>
          <w:sz w:val="18"/>
          <w:vertAlign w:val="baseline"/>
        </w:rPr>
        <w:t> </w:t>
      </w:r>
      <w:r>
        <w:rPr>
          <w:spacing w:val="-2"/>
          <w:sz w:val="18"/>
          <w:vertAlign w:val="baseline"/>
        </w:rPr>
        <w:t>Menard.</w:t>
      </w:r>
    </w:p>
    <w:p>
      <w:pPr>
        <w:spacing w:line="273" w:lineRule="auto" w:before="21"/>
        <w:ind w:left="463" w:right="801" w:hanging="1"/>
        <w:jc w:val="left"/>
        <w:rPr>
          <w:sz w:val="18"/>
        </w:rPr>
      </w:pPr>
      <w:r>
        <w:rPr>
          <w:sz w:val="18"/>
          <w:vertAlign w:val="superscript"/>
        </w:rPr>
        <w:t>77</w:t>
      </w:r>
      <w:r>
        <w:rPr>
          <w:spacing w:val="-6"/>
          <w:sz w:val="18"/>
          <w:vertAlign w:val="baseline"/>
        </w:rPr>
        <w:t> </w:t>
      </w:r>
      <w:r>
        <w:rPr>
          <w:sz w:val="18"/>
          <w:vertAlign w:val="baseline"/>
        </w:rPr>
        <w:t>“2021 National Survey on LGBTQ Youth Mental Health” (West Hollywood, CA: The Trevor Project, 2021), </w:t>
      </w:r>
      <w:r>
        <w:rPr>
          <w:spacing w:val="-2"/>
          <w:sz w:val="18"/>
          <w:vertAlign w:val="baseline"/>
        </w:rPr>
        <w:t>https://</w:t>
      </w:r>
      <w:hyperlink r:id="rId157">
        <w:r>
          <w:rPr>
            <w:spacing w:val="-2"/>
            <w:sz w:val="18"/>
            <w:vertAlign w:val="baseline"/>
          </w:rPr>
          <w:t>www.thetrevorproject.org/wp-content/uploads/2021/05/The-Trevor-Project-National-Survey-Results-2021.pdf.</w:t>
        </w:r>
      </w:hyperlink>
    </w:p>
    <w:p>
      <w:pPr>
        <w:spacing w:line="268" w:lineRule="auto" w:before="9"/>
        <w:ind w:left="463" w:right="300" w:hanging="1"/>
        <w:jc w:val="left"/>
        <w:rPr>
          <w:sz w:val="18"/>
        </w:rPr>
      </w:pPr>
      <w:r>
        <w:rPr>
          <w:sz w:val="18"/>
          <w:vertAlign w:val="superscript"/>
        </w:rPr>
        <w:t>78</w:t>
      </w:r>
      <w:r>
        <w:rPr>
          <w:spacing w:val="-12"/>
          <w:sz w:val="18"/>
          <w:vertAlign w:val="baseline"/>
        </w:rPr>
        <w:t> </w:t>
      </w:r>
      <w:r>
        <w:rPr>
          <w:sz w:val="18"/>
          <w:vertAlign w:val="baseline"/>
        </w:rPr>
        <w:t>Matthew</w:t>
      </w:r>
      <w:r>
        <w:rPr>
          <w:spacing w:val="-3"/>
          <w:sz w:val="18"/>
          <w:vertAlign w:val="baseline"/>
        </w:rPr>
        <w:t> </w:t>
      </w:r>
      <w:r>
        <w:rPr>
          <w:sz w:val="18"/>
          <w:vertAlign w:val="baseline"/>
        </w:rPr>
        <w:t>N</w:t>
      </w:r>
      <w:r>
        <w:rPr>
          <w:spacing w:val="-1"/>
          <w:sz w:val="18"/>
          <w:vertAlign w:val="baseline"/>
        </w:rPr>
        <w:t> </w:t>
      </w:r>
      <w:r>
        <w:rPr>
          <w:sz w:val="18"/>
          <w:vertAlign w:val="baseline"/>
        </w:rPr>
        <w:t>Berger</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“Social</w:t>
      </w:r>
      <w:r>
        <w:rPr>
          <w:spacing w:val="-2"/>
          <w:sz w:val="18"/>
          <w:vertAlign w:val="baseline"/>
        </w:rPr>
        <w:t> </w:t>
      </w:r>
      <w:r>
        <w:rPr>
          <w:sz w:val="18"/>
          <w:vertAlign w:val="baseline"/>
        </w:rPr>
        <w:t>Media</w:t>
      </w:r>
      <w:r>
        <w:rPr>
          <w:spacing w:val="-1"/>
          <w:sz w:val="18"/>
          <w:vertAlign w:val="baseline"/>
        </w:rPr>
        <w:t> </w:t>
      </w:r>
      <w:r>
        <w:rPr>
          <w:sz w:val="18"/>
          <w:vertAlign w:val="baseline"/>
        </w:rPr>
        <w:t>Use</w:t>
      </w:r>
      <w:r>
        <w:rPr>
          <w:spacing w:val="-1"/>
          <w:sz w:val="18"/>
          <w:vertAlign w:val="baseline"/>
        </w:rPr>
        <w:t> </w:t>
      </w:r>
      <w:r>
        <w:rPr>
          <w:sz w:val="18"/>
          <w:vertAlign w:val="baseline"/>
        </w:rPr>
        <w:t>and</w:t>
      </w:r>
      <w:r>
        <w:rPr>
          <w:spacing w:val="-1"/>
          <w:sz w:val="18"/>
          <w:vertAlign w:val="baseline"/>
        </w:rPr>
        <w:t> </w:t>
      </w:r>
      <w:r>
        <w:rPr>
          <w:sz w:val="18"/>
          <w:vertAlign w:val="baseline"/>
        </w:rPr>
        <w:t>Health</w:t>
      </w:r>
      <w:r>
        <w:rPr>
          <w:spacing w:val="-1"/>
          <w:sz w:val="18"/>
          <w:vertAlign w:val="baseline"/>
        </w:rPr>
        <w:t> </w:t>
      </w:r>
      <w:r>
        <w:rPr>
          <w:sz w:val="18"/>
          <w:vertAlign w:val="baseline"/>
        </w:rPr>
        <w:t>and</w:t>
      </w:r>
      <w:r>
        <w:rPr>
          <w:spacing w:val="-1"/>
          <w:sz w:val="18"/>
          <w:vertAlign w:val="baseline"/>
        </w:rPr>
        <w:t> </w:t>
      </w:r>
      <w:r>
        <w:rPr>
          <w:sz w:val="18"/>
          <w:vertAlign w:val="baseline"/>
        </w:rPr>
        <w:t>Well-Being</w:t>
      </w:r>
      <w:r>
        <w:rPr>
          <w:spacing w:val="-1"/>
          <w:sz w:val="18"/>
          <w:vertAlign w:val="baseline"/>
        </w:rPr>
        <w:t> </w:t>
      </w:r>
      <w:r>
        <w:rPr>
          <w:sz w:val="18"/>
          <w:vertAlign w:val="baseline"/>
        </w:rPr>
        <w:t>of</w:t>
      </w:r>
      <w:r>
        <w:rPr>
          <w:spacing w:val="-1"/>
          <w:sz w:val="18"/>
          <w:vertAlign w:val="baseline"/>
        </w:rPr>
        <w:t> </w:t>
      </w:r>
      <w:r>
        <w:rPr>
          <w:sz w:val="18"/>
          <w:vertAlign w:val="baseline"/>
        </w:rPr>
        <w:t>Lesbian,</w:t>
      </w:r>
      <w:r>
        <w:rPr>
          <w:spacing w:val="-2"/>
          <w:sz w:val="18"/>
          <w:vertAlign w:val="baseline"/>
        </w:rPr>
        <w:t> </w:t>
      </w:r>
      <w:r>
        <w:rPr>
          <w:sz w:val="18"/>
          <w:vertAlign w:val="baseline"/>
        </w:rPr>
        <w:t>Gay,</w:t>
      </w:r>
      <w:r>
        <w:rPr>
          <w:spacing w:val="-2"/>
          <w:sz w:val="18"/>
          <w:vertAlign w:val="baseline"/>
        </w:rPr>
        <w:t> </w:t>
      </w:r>
      <w:r>
        <w:rPr>
          <w:sz w:val="18"/>
          <w:vertAlign w:val="baseline"/>
        </w:rPr>
        <w:t>Bisexual,</w:t>
      </w:r>
      <w:r>
        <w:rPr>
          <w:spacing w:val="-2"/>
          <w:sz w:val="18"/>
          <w:vertAlign w:val="baseline"/>
        </w:rPr>
        <w:t> </w:t>
      </w:r>
      <w:r>
        <w:rPr>
          <w:sz w:val="18"/>
          <w:vertAlign w:val="baseline"/>
        </w:rPr>
        <w:t>Transgender,</w:t>
      </w:r>
      <w:r>
        <w:rPr>
          <w:spacing w:val="-2"/>
          <w:sz w:val="18"/>
          <w:vertAlign w:val="baseline"/>
        </w:rPr>
        <w:t> </w:t>
      </w:r>
      <w:r>
        <w:rPr>
          <w:sz w:val="18"/>
          <w:vertAlign w:val="baseline"/>
        </w:rPr>
        <w:t>and</w:t>
      </w:r>
      <w:r>
        <w:rPr>
          <w:spacing w:val="-1"/>
          <w:sz w:val="18"/>
          <w:vertAlign w:val="baseline"/>
        </w:rPr>
        <w:t> </w:t>
      </w:r>
      <w:r>
        <w:rPr>
          <w:sz w:val="18"/>
          <w:vertAlign w:val="baseline"/>
        </w:rPr>
        <w:t>Queer Youth: Systematic Review,” </w:t>
      </w:r>
      <w:r>
        <w:rPr>
          <w:i/>
          <w:sz w:val="18"/>
          <w:vertAlign w:val="baseline"/>
        </w:rPr>
        <w:t>Journal of Medical Internet Research </w:t>
      </w:r>
      <w:r>
        <w:rPr>
          <w:sz w:val="18"/>
          <w:vertAlign w:val="baseline"/>
        </w:rPr>
        <w:t>24, no. 9 (September 21, 2022): e38449, </w:t>
      </w:r>
      <w:r>
        <w:rPr>
          <w:spacing w:val="-2"/>
          <w:sz w:val="18"/>
          <w:vertAlign w:val="baseline"/>
        </w:rPr>
        <w:t>https://doi.org/10.2196/38449.</w:t>
      </w:r>
    </w:p>
    <w:p>
      <w:pPr>
        <w:spacing w:line="217" w:lineRule="exact" w:before="0"/>
        <w:ind w:left="463" w:right="0" w:firstLine="0"/>
        <w:jc w:val="left"/>
        <w:rPr>
          <w:sz w:val="18"/>
        </w:rPr>
      </w:pPr>
      <w:r>
        <w:rPr>
          <w:sz w:val="18"/>
          <w:vertAlign w:val="superscript"/>
        </w:rPr>
        <w:t>79</w:t>
      </w:r>
      <w:r>
        <w:rPr>
          <w:spacing w:val="-10"/>
          <w:sz w:val="18"/>
          <w:vertAlign w:val="baseline"/>
        </w:rPr>
        <w:t> </w:t>
      </w:r>
      <w:r>
        <w:rPr>
          <w:sz w:val="18"/>
          <w:vertAlign w:val="baseline"/>
        </w:rPr>
        <w:t>Berger</w:t>
      </w:r>
      <w:r>
        <w:rPr>
          <w:spacing w:val="1"/>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2"/>
        <w:ind w:left="463" w:right="0" w:firstLine="0"/>
        <w:jc w:val="left"/>
        <w:rPr>
          <w:sz w:val="18"/>
        </w:rPr>
      </w:pPr>
      <w:r>
        <w:rPr>
          <w:sz w:val="18"/>
          <w:vertAlign w:val="superscript"/>
        </w:rPr>
        <w:t>80</w:t>
      </w:r>
      <w:r>
        <w:rPr>
          <w:spacing w:val="-10"/>
          <w:sz w:val="18"/>
          <w:vertAlign w:val="baseline"/>
        </w:rPr>
        <w:t> </w:t>
      </w:r>
      <w:r>
        <w:rPr>
          <w:sz w:val="18"/>
          <w:vertAlign w:val="baseline"/>
        </w:rPr>
        <w:t>Berger</w:t>
      </w:r>
      <w:r>
        <w:rPr>
          <w:spacing w:val="1"/>
          <w:sz w:val="18"/>
          <w:vertAlign w:val="baseline"/>
        </w:rPr>
        <w:t> </w:t>
      </w:r>
      <w:r>
        <w:rPr>
          <w:sz w:val="18"/>
          <w:vertAlign w:val="baseline"/>
        </w:rPr>
        <w:t>et</w:t>
      </w:r>
      <w:r>
        <w:rPr>
          <w:spacing w:val="2"/>
          <w:sz w:val="18"/>
          <w:vertAlign w:val="baseline"/>
        </w:rPr>
        <w:t> </w:t>
      </w:r>
      <w:r>
        <w:rPr>
          <w:spacing w:val="-5"/>
          <w:sz w:val="18"/>
          <w:vertAlign w:val="baseline"/>
        </w:rPr>
        <w:t>al.</w:t>
      </w:r>
    </w:p>
    <w:p>
      <w:pPr>
        <w:spacing w:line="268" w:lineRule="auto" w:before="20"/>
        <w:ind w:left="463" w:right="490" w:hanging="1"/>
        <w:jc w:val="left"/>
        <w:rPr>
          <w:sz w:val="18"/>
        </w:rPr>
      </w:pPr>
      <w:r>
        <w:rPr>
          <w:sz w:val="18"/>
          <w:vertAlign w:val="superscript"/>
        </w:rPr>
        <w:t>81</w:t>
      </w:r>
      <w:r>
        <w:rPr>
          <w:spacing w:val="-7"/>
          <w:sz w:val="18"/>
          <w:vertAlign w:val="baseline"/>
        </w:rPr>
        <w:t> </w:t>
      </w:r>
      <w:r>
        <w:rPr>
          <w:sz w:val="18"/>
          <w:vertAlign w:val="baseline"/>
        </w:rPr>
        <w:t>Elizabeth Bradley et al., “Step In, Speak Up! LGBTQ Youth Bullying Prevention,” in </w:t>
      </w:r>
      <w:r>
        <w:rPr>
          <w:i/>
          <w:sz w:val="18"/>
          <w:vertAlign w:val="baseline"/>
        </w:rPr>
        <w:t>Games and Simulations in Teacher</w:t>
      </w:r>
      <w:r>
        <w:rPr>
          <w:i/>
          <w:sz w:val="18"/>
          <w:vertAlign w:val="baseline"/>
        </w:rPr>
        <w:t> Education</w:t>
      </w:r>
      <w:r>
        <w:rPr>
          <w:sz w:val="18"/>
          <w:vertAlign w:val="baseline"/>
        </w:rPr>
        <w:t>,</w:t>
      </w:r>
      <w:r>
        <w:rPr>
          <w:spacing w:val="-4"/>
          <w:sz w:val="18"/>
          <w:vertAlign w:val="baseline"/>
        </w:rPr>
        <w:t> </w:t>
      </w:r>
      <w:r>
        <w:rPr>
          <w:sz w:val="18"/>
          <w:vertAlign w:val="baseline"/>
        </w:rPr>
        <w:t>ed.</w:t>
      </w:r>
      <w:r>
        <w:rPr>
          <w:spacing w:val="-3"/>
          <w:sz w:val="18"/>
          <w:vertAlign w:val="baseline"/>
        </w:rPr>
        <w:t> </w:t>
      </w:r>
      <w:r>
        <w:rPr>
          <w:sz w:val="18"/>
          <w:vertAlign w:val="baseline"/>
        </w:rPr>
        <w:t>Elizabeth</w:t>
      </w:r>
      <w:r>
        <w:rPr>
          <w:spacing w:val="-3"/>
          <w:sz w:val="18"/>
          <w:vertAlign w:val="baseline"/>
        </w:rPr>
        <w:t> </w:t>
      </w:r>
      <w:r>
        <w:rPr>
          <w:sz w:val="18"/>
          <w:vertAlign w:val="baseline"/>
        </w:rPr>
        <w:t>Bradley,</w:t>
      </w:r>
      <w:r>
        <w:rPr>
          <w:spacing w:val="-4"/>
          <w:sz w:val="18"/>
          <w:vertAlign w:val="baseline"/>
        </w:rPr>
        <w:t> </w:t>
      </w:r>
      <w:r>
        <w:rPr>
          <w:sz w:val="18"/>
          <w:vertAlign w:val="baseline"/>
        </w:rPr>
        <w:t>Advances</w:t>
      </w:r>
      <w:r>
        <w:rPr>
          <w:spacing w:val="-3"/>
          <w:sz w:val="18"/>
          <w:vertAlign w:val="baseline"/>
        </w:rPr>
        <w:t> </w:t>
      </w:r>
      <w:r>
        <w:rPr>
          <w:sz w:val="18"/>
          <w:vertAlign w:val="baseline"/>
        </w:rPr>
        <w:t>in</w:t>
      </w:r>
      <w:r>
        <w:rPr>
          <w:spacing w:val="-4"/>
          <w:sz w:val="18"/>
          <w:vertAlign w:val="baseline"/>
        </w:rPr>
        <w:t> </w:t>
      </w:r>
      <w:r>
        <w:rPr>
          <w:sz w:val="18"/>
          <w:vertAlign w:val="baseline"/>
        </w:rPr>
        <w:t>Game-Based</w:t>
      </w:r>
      <w:r>
        <w:rPr>
          <w:spacing w:val="-3"/>
          <w:sz w:val="18"/>
          <w:vertAlign w:val="baseline"/>
        </w:rPr>
        <w:t> </w:t>
      </w:r>
      <w:r>
        <w:rPr>
          <w:sz w:val="18"/>
          <w:vertAlign w:val="baseline"/>
        </w:rPr>
        <w:t>Learning</w:t>
      </w:r>
      <w:r>
        <w:rPr>
          <w:spacing w:val="-3"/>
          <w:sz w:val="18"/>
          <w:vertAlign w:val="baseline"/>
        </w:rPr>
        <w:t> </w:t>
      </w:r>
      <w:r>
        <w:rPr>
          <w:sz w:val="18"/>
          <w:vertAlign w:val="baseline"/>
        </w:rPr>
        <w:t>(Cham:</w:t>
      </w:r>
      <w:r>
        <w:rPr>
          <w:spacing w:val="-3"/>
          <w:sz w:val="18"/>
          <w:vertAlign w:val="baseline"/>
        </w:rPr>
        <w:t> </w:t>
      </w:r>
      <w:r>
        <w:rPr>
          <w:sz w:val="18"/>
          <w:vertAlign w:val="baseline"/>
        </w:rPr>
        <w:t>Springer</w:t>
      </w:r>
      <w:r>
        <w:rPr>
          <w:spacing w:val="-4"/>
          <w:sz w:val="18"/>
          <w:vertAlign w:val="baseline"/>
        </w:rPr>
        <w:t> </w:t>
      </w:r>
      <w:r>
        <w:rPr>
          <w:sz w:val="18"/>
          <w:vertAlign w:val="baseline"/>
        </w:rPr>
        <w:t>International</w:t>
      </w:r>
      <w:r>
        <w:rPr>
          <w:spacing w:val="-4"/>
          <w:sz w:val="18"/>
          <w:vertAlign w:val="baseline"/>
        </w:rPr>
        <w:t> </w:t>
      </w:r>
      <w:r>
        <w:rPr>
          <w:sz w:val="18"/>
          <w:vertAlign w:val="baseline"/>
        </w:rPr>
        <w:t>Publishing,</w:t>
      </w:r>
      <w:r>
        <w:rPr>
          <w:spacing w:val="-4"/>
          <w:sz w:val="18"/>
          <w:vertAlign w:val="baseline"/>
        </w:rPr>
        <w:t> </w:t>
      </w:r>
      <w:r>
        <w:rPr>
          <w:sz w:val="18"/>
          <w:vertAlign w:val="baseline"/>
        </w:rPr>
        <w:t>2020),</w:t>
      </w:r>
      <w:r>
        <w:rPr>
          <w:spacing w:val="-4"/>
          <w:sz w:val="18"/>
          <w:vertAlign w:val="baseline"/>
        </w:rPr>
        <w:t> </w:t>
      </w:r>
      <w:r>
        <w:rPr>
          <w:sz w:val="18"/>
          <w:vertAlign w:val="baseline"/>
        </w:rPr>
        <w:t>35–</w:t>
      </w:r>
      <w:r>
        <w:rPr>
          <w:spacing w:val="-3"/>
          <w:sz w:val="18"/>
          <w:vertAlign w:val="baseline"/>
        </w:rPr>
        <w:t> </w:t>
      </w:r>
      <w:r>
        <w:rPr>
          <w:sz w:val="18"/>
          <w:vertAlign w:val="baseline"/>
        </w:rPr>
        <w:t>54, </w:t>
      </w:r>
      <w:r>
        <w:rPr>
          <w:spacing w:val="-2"/>
          <w:sz w:val="18"/>
          <w:vertAlign w:val="baseline"/>
        </w:rPr>
        <w:t>https://doi.org/10.1007/978-3-030-44526-3_4.</w:t>
      </w:r>
    </w:p>
    <w:p>
      <w:pPr>
        <w:spacing w:line="273" w:lineRule="auto" w:before="14"/>
        <w:ind w:left="463" w:right="311" w:hanging="1"/>
        <w:jc w:val="left"/>
        <w:rPr>
          <w:sz w:val="18"/>
        </w:rPr>
      </w:pPr>
      <w:r>
        <w:rPr>
          <w:sz w:val="18"/>
          <w:vertAlign w:val="superscript"/>
        </w:rPr>
        <w:t>82</w:t>
      </w:r>
      <w:r>
        <w:rPr>
          <w:spacing w:val="-12"/>
          <w:sz w:val="18"/>
          <w:vertAlign w:val="baseline"/>
        </w:rPr>
        <w:t> </w:t>
      </w:r>
      <w:r>
        <w:rPr>
          <w:sz w:val="18"/>
          <w:vertAlign w:val="baseline"/>
        </w:rPr>
        <w:t>Kosciw,</w:t>
      </w:r>
      <w:r>
        <w:rPr>
          <w:spacing w:val="-3"/>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Our</w:t>
      </w:r>
      <w:r>
        <w:rPr>
          <w:spacing w:val="-3"/>
          <w:sz w:val="18"/>
          <w:vertAlign w:val="baseline"/>
        </w:rPr>
        <w:t> </w:t>
      </w:r>
      <w:r>
        <w:rPr>
          <w:sz w:val="18"/>
          <w:vertAlign w:val="baseline"/>
        </w:rPr>
        <w:t>Nation’s </w:t>
      </w:r>
      <w:r>
        <w:rPr>
          <w:spacing w:val="-2"/>
          <w:sz w:val="18"/>
          <w:vertAlign w:val="baseline"/>
        </w:rPr>
        <w:t>Schools.”</w:t>
      </w:r>
    </w:p>
    <w:p>
      <w:pPr>
        <w:spacing w:line="212" w:lineRule="exact" w:before="0"/>
        <w:ind w:left="463" w:right="0" w:firstLine="0"/>
        <w:jc w:val="left"/>
        <w:rPr>
          <w:sz w:val="18"/>
        </w:rPr>
      </w:pPr>
      <w:r>
        <w:rPr>
          <w:sz w:val="18"/>
          <w:vertAlign w:val="superscript"/>
        </w:rPr>
        <w:t>83</w:t>
      </w:r>
      <w:r>
        <w:rPr>
          <w:spacing w:val="-12"/>
          <w:sz w:val="18"/>
          <w:vertAlign w:val="baseline"/>
        </w:rPr>
        <w:t> </w:t>
      </w:r>
      <w:r>
        <w:rPr>
          <w:sz w:val="18"/>
          <w:vertAlign w:val="baseline"/>
        </w:rPr>
        <w:t>Bradley</w:t>
      </w:r>
      <w:r>
        <w:rPr>
          <w:spacing w:val="-2"/>
          <w:sz w:val="18"/>
          <w:vertAlign w:val="baseline"/>
        </w:rPr>
        <w:t> </w:t>
      </w:r>
      <w:r>
        <w:rPr>
          <w:sz w:val="18"/>
          <w:vertAlign w:val="baseline"/>
        </w:rPr>
        <w:t>et</w:t>
      </w:r>
      <w:r>
        <w:rPr>
          <w:spacing w:val="-1"/>
          <w:sz w:val="18"/>
          <w:vertAlign w:val="baseline"/>
        </w:rPr>
        <w:t> </w:t>
      </w:r>
      <w:r>
        <w:rPr>
          <w:sz w:val="18"/>
          <w:vertAlign w:val="baseline"/>
        </w:rPr>
        <w:t>al.,</w:t>
      </w:r>
      <w:r>
        <w:rPr>
          <w:spacing w:val="-2"/>
          <w:sz w:val="18"/>
          <w:vertAlign w:val="baseline"/>
        </w:rPr>
        <w:t> </w:t>
      </w:r>
      <w:r>
        <w:rPr>
          <w:sz w:val="18"/>
          <w:vertAlign w:val="baseline"/>
        </w:rPr>
        <w:t>“Step In,</w:t>
      </w:r>
      <w:r>
        <w:rPr>
          <w:spacing w:val="-2"/>
          <w:sz w:val="18"/>
          <w:vertAlign w:val="baseline"/>
        </w:rPr>
        <w:t> </w:t>
      </w:r>
      <w:r>
        <w:rPr>
          <w:sz w:val="18"/>
          <w:vertAlign w:val="baseline"/>
        </w:rPr>
        <w:t>Speak</w:t>
      </w:r>
      <w:r>
        <w:rPr>
          <w:spacing w:val="-2"/>
          <w:sz w:val="18"/>
          <w:vertAlign w:val="baseline"/>
        </w:rPr>
        <w:t> </w:t>
      </w:r>
      <w:r>
        <w:rPr>
          <w:sz w:val="18"/>
          <w:vertAlign w:val="baseline"/>
        </w:rPr>
        <w:t>Up! LGBTQ</w:t>
      </w:r>
      <w:r>
        <w:rPr>
          <w:spacing w:val="-1"/>
          <w:sz w:val="18"/>
          <w:vertAlign w:val="baseline"/>
        </w:rPr>
        <w:t> </w:t>
      </w:r>
      <w:r>
        <w:rPr>
          <w:sz w:val="18"/>
          <w:vertAlign w:val="baseline"/>
        </w:rPr>
        <w:t>Youth Bullying</w:t>
      </w:r>
      <w:r>
        <w:rPr>
          <w:spacing w:val="-1"/>
          <w:sz w:val="18"/>
          <w:vertAlign w:val="baseline"/>
        </w:rPr>
        <w:t> </w:t>
      </w:r>
      <w:r>
        <w:rPr>
          <w:spacing w:val="-2"/>
          <w:sz w:val="18"/>
          <w:vertAlign w:val="baseline"/>
        </w:rPr>
        <w:t>Prevention.”</w:t>
      </w:r>
    </w:p>
    <w:p>
      <w:pPr>
        <w:spacing w:line="273" w:lineRule="auto" w:before="21"/>
        <w:ind w:left="463" w:right="300" w:hanging="1"/>
        <w:jc w:val="left"/>
        <w:rPr>
          <w:sz w:val="18"/>
        </w:rPr>
      </w:pPr>
      <w:r>
        <w:rPr>
          <w:sz w:val="18"/>
          <w:vertAlign w:val="superscript"/>
        </w:rPr>
        <w:t>84</w:t>
      </w:r>
      <w:r>
        <w:rPr>
          <w:spacing w:val="-12"/>
          <w:sz w:val="18"/>
          <w:vertAlign w:val="baseline"/>
        </w:rPr>
        <w:t> </w:t>
      </w:r>
      <w:r>
        <w:rPr>
          <w:sz w:val="18"/>
          <w:vertAlign w:val="baseline"/>
        </w:rPr>
        <w:t>Sari</w:t>
      </w:r>
      <w:r>
        <w:rPr>
          <w:spacing w:val="-3"/>
          <w:sz w:val="18"/>
          <w:vertAlign w:val="baseline"/>
        </w:rPr>
        <w:t> </w:t>
      </w:r>
      <w:r>
        <w:rPr>
          <w:sz w:val="18"/>
          <w:vertAlign w:val="baseline"/>
        </w:rPr>
        <w:t>L.</w:t>
      </w:r>
      <w:r>
        <w:rPr>
          <w:spacing w:val="-1"/>
          <w:sz w:val="18"/>
          <w:vertAlign w:val="baseline"/>
        </w:rPr>
        <w:t> </w:t>
      </w:r>
      <w:r>
        <w:rPr>
          <w:sz w:val="18"/>
          <w:vertAlign w:val="baseline"/>
        </w:rPr>
        <w:t>Reisner</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“Addressing</w:t>
      </w:r>
      <w:r>
        <w:rPr>
          <w:spacing w:val="-1"/>
          <w:sz w:val="18"/>
          <w:vertAlign w:val="baseline"/>
        </w:rPr>
        <w:t> </w:t>
      </w:r>
      <w:r>
        <w:rPr>
          <w:sz w:val="18"/>
          <w:vertAlign w:val="baseline"/>
        </w:rPr>
        <w:t>LGBTQ</w:t>
      </w:r>
      <w:r>
        <w:rPr>
          <w:spacing w:val="-2"/>
          <w:sz w:val="18"/>
          <w:vertAlign w:val="baseline"/>
        </w:rPr>
        <w:t> </w:t>
      </w:r>
      <w:r>
        <w:rPr>
          <w:sz w:val="18"/>
          <w:vertAlign w:val="baseline"/>
        </w:rPr>
        <w:t>Student</w:t>
      </w:r>
      <w:r>
        <w:rPr>
          <w:spacing w:val="-2"/>
          <w:sz w:val="18"/>
          <w:vertAlign w:val="baseline"/>
        </w:rPr>
        <w:t> </w:t>
      </w:r>
      <w:r>
        <w:rPr>
          <w:sz w:val="18"/>
          <w:vertAlign w:val="baseline"/>
        </w:rPr>
        <w:t>Bullying</w:t>
      </w:r>
      <w:r>
        <w:rPr>
          <w:spacing w:val="-1"/>
          <w:sz w:val="18"/>
          <w:vertAlign w:val="baseline"/>
        </w:rPr>
        <w:t> </w:t>
      </w:r>
      <w:r>
        <w:rPr>
          <w:sz w:val="18"/>
          <w:vertAlign w:val="baseline"/>
        </w:rPr>
        <w:t>in</w:t>
      </w:r>
      <w:r>
        <w:rPr>
          <w:spacing w:val="-2"/>
          <w:sz w:val="18"/>
          <w:vertAlign w:val="baseline"/>
        </w:rPr>
        <w:t> </w:t>
      </w:r>
      <w:r>
        <w:rPr>
          <w:sz w:val="18"/>
          <w:vertAlign w:val="baseline"/>
        </w:rPr>
        <w:t>Massachusetts</w:t>
      </w:r>
      <w:r>
        <w:rPr>
          <w:spacing w:val="-1"/>
          <w:sz w:val="18"/>
          <w:vertAlign w:val="baseline"/>
        </w:rPr>
        <w:t> </w:t>
      </w:r>
      <w:r>
        <w:rPr>
          <w:sz w:val="18"/>
          <w:vertAlign w:val="baseline"/>
        </w:rPr>
        <w:t>Schools:</w:t>
      </w:r>
      <w:r>
        <w:rPr>
          <w:spacing w:val="-2"/>
          <w:sz w:val="18"/>
          <w:vertAlign w:val="baseline"/>
        </w:rPr>
        <w:t> </w:t>
      </w:r>
      <w:r>
        <w:rPr>
          <w:sz w:val="18"/>
          <w:vertAlign w:val="baseline"/>
        </w:rPr>
        <w:t>Perspectives</w:t>
      </w:r>
      <w:r>
        <w:rPr>
          <w:spacing w:val="-1"/>
          <w:sz w:val="18"/>
          <w:vertAlign w:val="baseline"/>
        </w:rPr>
        <w:t> </w:t>
      </w:r>
      <w:r>
        <w:rPr>
          <w:sz w:val="18"/>
          <w:vertAlign w:val="baseline"/>
        </w:rPr>
        <w:t>of</w:t>
      </w:r>
      <w:r>
        <w:rPr>
          <w:spacing w:val="-2"/>
          <w:sz w:val="18"/>
          <w:vertAlign w:val="baseline"/>
        </w:rPr>
        <w:t> </w:t>
      </w:r>
      <w:r>
        <w:rPr>
          <w:sz w:val="18"/>
          <w:vertAlign w:val="baseline"/>
        </w:rPr>
        <w:t>LGBTQ</w:t>
      </w:r>
      <w:r>
        <w:rPr>
          <w:spacing w:val="-1"/>
          <w:sz w:val="18"/>
          <w:vertAlign w:val="baseline"/>
        </w:rPr>
        <w:t> </w:t>
      </w:r>
      <w:r>
        <w:rPr>
          <w:sz w:val="18"/>
          <w:vertAlign w:val="baseline"/>
        </w:rPr>
        <w:t>Students</w:t>
      </w:r>
      <w:r>
        <w:rPr>
          <w:spacing w:val="-2"/>
          <w:sz w:val="18"/>
          <w:vertAlign w:val="baseline"/>
        </w:rPr>
        <w:t> </w:t>
      </w:r>
      <w:r>
        <w:rPr>
          <w:sz w:val="18"/>
          <w:vertAlign w:val="baseline"/>
        </w:rPr>
        <w:t>and School Health Professionals,” </w:t>
      </w:r>
      <w:r>
        <w:rPr>
          <w:i/>
          <w:sz w:val="18"/>
          <w:vertAlign w:val="baseline"/>
        </w:rPr>
        <w:t>Prevention Science </w:t>
      </w:r>
      <w:r>
        <w:rPr>
          <w:sz w:val="18"/>
          <w:vertAlign w:val="baseline"/>
        </w:rPr>
        <w:t>21, no. 3 (April 1, 2020): 408–21, https://doi.org/10.1007/s11121-019-</w:t>
      </w:r>
    </w:p>
    <w:p>
      <w:pPr>
        <w:spacing w:line="194" w:lineRule="exact" w:before="0"/>
        <w:ind w:left="463" w:right="0" w:firstLine="0"/>
        <w:jc w:val="left"/>
        <w:rPr>
          <w:sz w:val="18"/>
        </w:rPr>
      </w:pPr>
      <w:r>
        <w:rPr>
          <w:spacing w:val="6"/>
          <w:sz w:val="18"/>
          <w:u w:val="single"/>
        </w:rPr>
        <w:t> </w:t>
      </w:r>
      <w:r>
        <w:rPr>
          <w:spacing w:val="-2"/>
          <w:sz w:val="18"/>
          <w:u w:val="single"/>
        </w:rPr>
        <w:t>01084-</w:t>
      </w:r>
      <w:r>
        <w:rPr>
          <w:spacing w:val="-5"/>
          <w:sz w:val="18"/>
          <w:u w:val="single"/>
        </w:rPr>
        <w:t>4.</w:t>
      </w:r>
    </w:p>
    <w:p>
      <w:pPr>
        <w:spacing w:line="273" w:lineRule="auto" w:before="15"/>
        <w:ind w:left="463" w:right="300" w:hanging="1"/>
        <w:jc w:val="left"/>
        <w:rPr>
          <w:sz w:val="18"/>
        </w:rPr>
      </w:pPr>
      <w:r>
        <w:rPr>
          <w:sz w:val="18"/>
          <w:vertAlign w:val="superscript"/>
        </w:rPr>
        <w:t>85</w:t>
      </w:r>
      <w:r>
        <w:rPr>
          <w:spacing w:val="-12"/>
          <w:sz w:val="18"/>
          <w:vertAlign w:val="baseline"/>
        </w:rPr>
        <w:t> </w:t>
      </w:r>
      <w:r>
        <w:rPr>
          <w:sz w:val="18"/>
          <w:vertAlign w:val="baseline"/>
        </w:rPr>
        <w:t>“Safe</w:t>
      </w:r>
      <w:r>
        <w:rPr>
          <w:spacing w:val="-3"/>
          <w:sz w:val="18"/>
          <w:vertAlign w:val="baseline"/>
        </w:rPr>
        <w:t> </w:t>
      </w:r>
      <w:r>
        <w:rPr>
          <w:sz w:val="18"/>
          <w:vertAlign w:val="baseline"/>
        </w:rPr>
        <w:t>Schools</w:t>
      </w:r>
      <w:r>
        <w:rPr>
          <w:spacing w:val="-3"/>
          <w:sz w:val="18"/>
          <w:vertAlign w:val="baseline"/>
        </w:rPr>
        <w:t> </w:t>
      </w:r>
      <w:r>
        <w:rPr>
          <w:sz w:val="18"/>
          <w:vertAlign w:val="baseline"/>
        </w:rPr>
        <w:t>Program</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Students,”</w:t>
      </w:r>
      <w:r>
        <w:rPr>
          <w:spacing w:val="-2"/>
          <w:sz w:val="18"/>
          <w:vertAlign w:val="baseline"/>
        </w:rPr>
        <w:t> </w:t>
      </w:r>
      <w:r>
        <w:rPr>
          <w:sz w:val="18"/>
          <w:vertAlign w:val="baseline"/>
        </w:rPr>
        <w:t>Massachusetts</w:t>
      </w:r>
      <w:r>
        <w:rPr>
          <w:spacing w:val="-2"/>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Elementary</w:t>
      </w:r>
      <w:r>
        <w:rPr>
          <w:spacing w:val="-2"/>
          <w:sz w:val="18"/>
          <w:vertAlign w:val="baseline"/>
        </w:rPr>
        <w:t> </w:t>
      </w:r>
      <w:r>
        <w:rPr>
          <w:sz w:val="18"/>
          <w:vertAlign w:val="baseline"/>
        </w:rPr>
        <w:t>and</w:t>
      </w:r>
      <w:r>
        <w:rPr>
          <w:spacing w:val="-2"/>
          <w:sz w:val="18"/>
          <w:vertAlign w:val="baseline"/>
        </w:rPr>
        <w:t> </w:t>
      </w:r>
      <w:r>
        <w:rPr>
          <w:sz w:val="18"/>
          <w:vertAlign w:val="baseline"/>
        </w:rPr>
        <w:t>Secondary</w:t>
      </w:r>
      <w:r>
        <w:rPr>
          <w:spacing w:val="-2"/>
          <w:sz w:val="18"/>
          <w:vertAlign w:val="baseline"/>
        </w:rPr>
        <w:t> </w:t>
      </w:r>
      <w:r>
        <w:rPr>
          <w:sz w:val="18"/>
          <w:vertAlign w:val="baseline"/>
        </w:rPr>
        <w:t>Education,</w:t>
      </w:r>
      <w:r>
        <w:rPr>
          <w:spacing w:val="-3"/>
          <w:sz w:val="18"/>
          <w:vertAlign w:val="baseline"/>
        </w:rPr>
        <w:t> </w:t>
      </w:r>
      <w:r>
        <w:rPr>
          <w:sz w:val="18"/>
          <w:vertAlign w:val="baseline"/>
        </w:rPr>
        <w:t>accessed January 7, 2023, https://</w:t>
      </w:r>
      <w:hyperlink r:id="rId158">
        <w:r>
          <w:rPr>
            <w:sz w:val="18"/>
            <w:vertAlign w:val="baseline"/>
          </w:rPr>
          <w:t>www.doe.mass.edu/sfs/lgbtq/.</w:t>
        </w:r>
      </w:hyperlink>
    </w:p>
    <w:p>
      <w:pPr>
        <w:spacing w:line="212" w:lineRule="exact" w:before="0"/>
        <w:ind w:left="463" w:right="0" w:firstLine="0"/>
        <w:jc w:val="left"/>
        <w:rPr>
          <w:sz w:val="18"/>
        </w:rPr>
      </w:pPr>
      <w:r>
        <w:rPr>
          <w:sz w:val="18"/>
          <w:vertAlign w:val="superscript"/>
        </w:rPr>
        <w:t>86</w:t>
      </w:r>
      <w:r>
        <w:rPr>
          <w:spacing w:val="-12"/>
          <w:sz w:val="18"/>
          <w:vertAlign w:val="baseline"/>
        </w:rPr>
        <w:t> </w:t>
      </w:r>
      <w:r>
        <w:rPr>
          <w:sz w:val="18"/>
          <w:vertAlign w:val="baseline"/>
        </w:rPr>
        <w:t>Bradley</w:t>
      </w:r>
      <w:r>
        <w:rPr>
          <w:spacing w:val="-2"/>
          <w:sz w:val="18"/>
          <w:vertAlign w:val="baseline"/>
        </w:rPr>
        <w:t> </w:t>
      </w:r>
      <w:r>
        <w:rPr>
          <w:sz w:val="18"/>
          <w:vertAlign w:val="baseline"/>
        </w:rPr>
        <w:t>et</w:t>
      </w:r>
      <w:r>
        <w:rPr>
          <w:spacing w:val="-1"/>
          <w:sz w:val="18"/>
          <w:vertAlign w:val="baseline"/>
        </w:rPr>
        <w:t> </w:t>
      </w:r>
      <w:r>
        <w:rPr>
          <w:sz w:val="18"/>
          <w:vertAlign w:val="baseline"/>
        </w:rPr>
        <w:t>al.,</w:t>
      </w:r>
      <w:r>
        <w:rPr>
          <w:spacing w:val="-2"/>
          <w:sz w:val="18"/>
          <w:vertAlign w:val="baseline"/>
        </w:rPr>
        <w:t> </w:t>
      </w:r>
      <w:r>
        <w:rPr>
          <w:sz w:val="18"/>
          <w:vertAlign w:val="baseline"/>
        </w:rPr>
        <w:t>“Step In,</w:t>
      </w:r>
      <w:r>
        <w:rPr>
          <w:spacing w:val="-2"/>
          <w:sz w:val="18"/>
          <w:vertAlign w:val="baseline"/>
        </w:rPr>
        <w:t> </w:t>
      </w:r>
      <w:r>
        <w:rPr>
          <w:sz w:val="18"/>
          <w:vertAlign w:val="baseline"/>
        </w:rPr>
        <w:t>Speak</w:t>
      </w:r>
      <w:r>
        <w:rPr>
          <w:spacing w:val="-2"/>
          <w:sz w:val="18"/>
          <w:vertAlign w:val="baseline"/>
        </w:rPr>
        <w:t> </w:t>
      </w:r>
      <w:r>
        <w:rPr>
          <w:sz w:val="18"/>
          <w:vertAlign w:val="baseline"/>
        </w:rPr>
        <w:t>Up! LGBTQ</w:t>
      </w:r>
      <w:r>
        <w:rPr>
          <w:spacing w:val="-1"/>
          <w:sz w:val="18"/>
          <w:vertAlign w:val="baseline"/>
        </w:rPr>
        <w:t> </w:t>
      </w:r>
      <w:r>
        <w:rPr>
          <w:sz w:val="18"/>
          <w:vertAlign w:val="baseline"/>
        </w:rPr>
        <w:t>Youth Bullying</w:t>
      </w:r>
      <w:r>
        <w:rPr>
          <w:spacing w:val="-1"/>
          <w:sz w:val="18"/>
          <w:vertAlign w:val="baseline"/>
        </w:rPr>
        <w:t> </w:t>
      </w:r>
      <w:r>
        <w:rPr>
          <w:spacing w:val="-2"/>
          <w:sz w:val="18"/>
          <w:vertAlign w:val="baseline"/>
        </w:rPr>
        <w:t>Prevention.”</w:t>
      </w:r>
    </w:p>
    <w:p>
      <w:pPr>
        <w:spacing w:before="20"/>
        <w:ind w:left="463" w:right="0" w:firstLine="0"/>
        <w:jc w:val="left"/>
        <w:rPr>
          <w:sz w:val="18"/>
        </w:rPr>
      </w:pPr>
      <w:r>
        <w:rPr>
          <w:sz w:val="18"/>
          <w:vertAlign w:val="superscript"/>
        </w:rPr>
        <w:t>87</w:t>
      </w:r>
      <w:r>
        <w:rPr>
          <w:spacing w:val="-12"/>
          <w:sz w:val="18"/>
          <w:vertAlign w:val="baseline"/>
        </w:rPr>
        <w:t> </w:t>
      </w:r>
      <w:r>
        <w:rPr>
          <w:sz w:val="18"/>
          <w:vertAlign w:val="baseline"/>
        </w:rPr>
        <w:t>Reisner</w:t>
      </w:r>
      <w:r>
        <w:rPr>
          <w:spacing w:val="-4"/>
          <w:sz w:val="18"/>
          <w:vertAlign w:val="baseline"/>
        </w:rPr>
        <w:t> </w:t>
      </w:r>
      <w:r>
        <w:rPr>
          <w:sz w:val="18"/>
          <w:vertAlign w:val="baseline"/>
        </w:rPr>
        <w:t>et</w:t>
      </w:r>
      <w:r>
        <w:rPr>
          <w:spacing w:val="-2"/>
          <w:sz w:val="18"/>
          <w:vertAlign w:val="baseline"/>
        </w:rPr>
        <w:t> </w:t>
      </w:r>
      <w:r>
        <w:rPr>
          <w:sz w:val="18"/>
          <w:vertAlign w:val="baseline"/>
        </w:rPr>
        <w:t>al.,</w:t>
      </w:r>
      <w:r>
        <w:rPr>
          <w:spacing w:val="-3"/>
          <w:sz w:val="18"/>
          <w:vertAlign w:val="baseline"/>
        </w:rPr>
        <w:t> </w:t>
      </w:r>
      <w:r>
        <w:rPr>
          <w:sz w:val="18"/>
          <w:vertAlign w:val="baseline"/>
        </w:rPr>
        <w:t>“Addressing</w:t>
      </w:r>
      <w:r>
        <w:rPr>
          <w:spacing w:val="-1"/>
          <w:sz w:val="18"/>
          <w:vertAlign w:val="baseline"/>
        </w:rPr>
        <w:t> </w:t>
      </w:r>
      <w:r>
        <w:rPr>
          <w:sz w:val="18"/>
          <w:vertAlign w:val="baseline"/>
        </w:rPr>
        <w:t>LGBTQ</w:t>
      </w:r>
      <w:r>
        <w:rPr>
          <w:spacing w:val="-1"/>
          <w:sz w:val="18"/>
          <w:vertAlign w:val="baseline"/>
        </w:rPr>
        <w:t> </w:t>
      </w:r>
      <w:r>
        <w:rPr>
          <w:sz w:val="18"/>
          <w:vertAlign w:val="baseline"/>
        </w:rPr>
        <w:t>Student</w:t>
      </w:r>
      <w:r>
        <w:rPr>
          <w:spacing w:val="-3"/>
          <w:sz w:val="18"/>
          <w:vertAlign w:val="baseline"/>
        </w:rPr>
        <w:t> </w:t>
      </w:r>
      <w:r>
        <w:rPr>
          <w:sz w:val="18"/>
          <w:vertAlign w:val="baseline"/>
        </w:rPr>
        <w:t>Bullying</w:t>
      </w:r>
      <w:r>
        <w:rPr>
          <w:spacing w:val="-1"/>
          <w:sz w:val="18"/>
          <w:vertAlign w:val="baseline"/>
        </w:rPr>
        <w:t> </w:t>
      </w:r>
      <w:r>
        <w:rPr>
          <w:sz w:val="18"/>
          <w:vertAlign w:val="baseline"/>
        </w:rPr>
        <w:t>in</w:t>
      </w:r>
      <w:r>
        <w:rPr>
          <w:spacing w:val="-2"/>
          <w:sz w:val="18"/>
          <w:vertAlign w:val="baseline"/>
        </w:rPr>
        <w:t> </w:t>
      </w:r>
      <w:r>
        <w:rPr>
          <w:sz w:val="18"/>
          <w:vertAlign w:val="baseline"/>
        </w:rPr>
        <w:t>Massachusetts</w:t>
      </w:r>
      <w:r>
        <w:rPr>
          <w:spacing w:val="-1"/>
          <w:sz w:val="18"/>
          <w:vertAlign w:val="baseline"/>
        </w:rPr>
        <w:t> </w:t>
      </w:r>
      <w:r>
        <w:rPr>
          <w:spacing w:val="-2"/>
          <w:sz w:val="18"/>
          <w:vertAlign w:val="baseline"/>
        </w:rPr>
        <w:t>Schools.”</w:t>
      </w:r>
    </w:p>
    <w:p>
      <w:pPr>
        <w:spacing w:before="31"/>
        <w:ind w:left="463" w:right="0" w:firstLine="0"/>
        <w:jc w:val="left"/>
        <w:rPr>
          <w:sz w:val="18"/>
        </w:rPr>
      </w:pPr>
      <w:r>
        <w:rPr>
          <w:sz w:val="18"/>
          <w:vertAlign w:val="superscript"/>
        </w:rPr>
        <w:t>88</w:t>
      </w:r>
      <w:r>
        <w:rPr>
          <w:spacing w:val="-11"/>
          <w:sz w:val="18"/>
          <w:vertAlign w:val="baseline"/>
        </w:rPr>
        <w:t> </w:t>
      </w:r>
      <w:r>
        <w:rPr>
          <w:sz w:val="18"/>
          <w:vertAlign w:val="baseline"/>
        </w:rPr>
        <w:t>Reisner</w:t>
      </w:r>
      <w:r>
        <w:rPr>
          <w:spacing w:val="2"/>
          <w:sz w:val="18"/>
          <w:vertAlign w:val="baseline"/>
        </w:rPr>
        <w:t> </w:t>
      </w:r>
      <w:r>
        <w:rPr>
          <w:sz w:val="18"/>
          <w:vertAlign w:val="baseline"/>
        </w:rPr>
        <w:t>et</w:t>
      </w:r>
      <w:r>
        <w:rPr>
          <w:spacing w:val="1"/>
          <w:sz w:val="18"/>
          <w:vertAlign w:val="baseline"/>
        </w:rPr>
        <w:t> </w:t>
      </w:r>
      <w:r>
        <w:rPr>
          <w:spacing w:val="-5"/>
          <w:sz w:val="18"/>
          <w:vertAlign w:val="baseline"/>
        </w:rPr>
        <w:t>al.</w:t>
      </w:r>
    </w:p>
    <w:p>
      <w:pPr>
        <w:spacing w:line="268" w:lineRule="auto" w:before="21"/>
        <w:ind w:left="463" w:right="300" w:hanging="1"/>
        <w:jc w:val="left"/>
        <w:rPr>
          <w:sz w:val="18"/>
        </w:rPr>
      </w:pPr>
      <w:r>
        <w:rPr>
          <w:sz w:val="18"/>
          <w:vertAlign w:val="superscript"/>
        </w:rPr>
        <w:t>89</w:t>
      </w:r>
      <w:r>
        <w:rPr>
          <w:spacing w:val="-5"/>
          <w:sz w:val="18"/>
          <w:vertAlign w:val="baseline"/>
        </w:rPr>
        <w:t> </w:t>
      </w:r>
      <w:r>
        <w:rPr>
          <w:sz w:val="18"/>
          <w:vertAlign w:val="baseline"/>
        </w:rPr>
        <w:t>Tecelli Domínguez-Martínez and Rebeca Robles, “Preventing Transphobic Bullying and Promoting Inclusive Educational Environments:</w:t>
      </w:r>
      <w:r>
        <w:rPr>
          <w:spacing w:val="-3"/>
          <w:sz w:val="18"/>
          <w:vertAlign w:val="baseline"/>
        </w:rPr>
        <w:t> </w:t>
      </w:r>
      <w:r>
        <w:rPr>
          <w:sz w:val="18"/>
          <w:vertAlign w:val="baseline"/>
        </w:rPr>
        <w:t>Literature</w:t>
      </w:r>
      <w:r>
        <w:rPr>
          <w:spacing w:val="-3"/>
          <w:sz w:val="18"/>
          <w:vertAlign w:val="baseline"/>
        </w:rPr>
        <w:t> </w:t>
      </w:r>
      <w:r>
        <w:rPr>
          <w:sz w:val="18"/>
          <w:vertAlign w:val="baseline"/>
        </w:rPr>
        <w:t>Review</w:t>
      </w:r>
      <w:r>
        <w:rPr>
          <w:spacing w:val="-4"/>
          <w:sz w:val="18"/>
          <w:vertAlign w:val="baseline"/>
        </w:rPr>
        <w:t> </w:t>
      </w:r>
      <w:r>
        <w:rPr>
          <w:sz w:val="18"/>
          <w:vertAlign w:val="baseline"/>
        </w:rPr>
        <w:t>and</w:t>
      </w:r>
      <w:r>
        <w:rPr>
          <w:spacing w:val="-3"/>
          <w:sz w:val="18"/>
          <w:vertAlign w:val="baseline"/>
        </w:rPr>
        <w:t> </w:t>
      </w:r>
      <w:r>
        <w:rPr>
          <w:sz w:val="18"/>
          <w:vertAlign w:val="baseline"/>
        </w:rPr>
        <w:t>Implementing</w:t>
      </w:r>
      <w:r>
        <w:rPr>
          <w:spacing w:val="-3"/>
          <w:sz w:val="18"/>
          <w:vertAlign w:val="baseline"/>
        </w:rPr>
        <w:t> </w:t>
      </w:r>
      <w:r>
        <w:rPr>
          <w:sz w:val="18"/>
          <w:vertAlign w:val="baseline"/>
        </w:rPr>
        <w:t>Recommendations,”</w:t>
      </w:r>
      <w:r>
        <w:rPr>
          <w:spacing w:val="-3"/>
          <w:sz w:val="18"/>
          <w:vertAlign w:val="baseline"/>
        </w:rPr>
        <w:t> </w:t>
      </w:r>
      <w:r>
        <w:rPr>
          <w:i/>
          <w:sz w:val="18"/>
          <w:vertAlign w:val="baseline"/>
        </w:rPr>
        <w:t>Archives</w:t>
      </w:r>
      <w:r>
        <w:rPr>
          <w:i/>
          <w:spacing w:val="-3"/>
          <w:sz w:val="18"/>
          <w:vertAlign w:val="baseline"/>
        </w:rPr>
        <w:t> </w:t>
      </w:r>
      <w:r>
        <w:rPr>
          <w:i/>
          <w:sz w:val="18"/>
          <w:vertAlign w:val="baseline"/>
        </w:rPr>
        <w:t>of</w:t>
      </w:r>
      <w:r>
        <w:rPr>
          <w:i/>
          <w:spacing w:val="-3"/>
          <w:sz w:val="18"/>
          <w:vertAlign w:val="baseline"/>
        </w:rPr>
        <w:t> </w:t>
      </w:r>
      <w:r>
        <w:rPr>
          <w:i/>
          <w:sz w:val="18"/>
          <w:vertAlign w:val="baseline"/>
        </w:rPr>
        <w:t>Medical</w:t>
      </w:r>
      <w:r>
        <w:rPr>
          <w:i/>
          <w:spacing w:val="-4"/>
          <w:sz w:val="18"/>
          <w:vertAlign w:val="baseline"/>
        </w:rPr>
        <w:t> </w:t>
      </w:r>
      <w:r>
        <w:rPr>
          <w:i/>
          <w:sz w:val="18"/>
          <w:vertAlign w:val="baseline"/>
        </w:rPr>
        <w:t>Research</w:t>
      </w:r>
      <w:r>
        <w:rPr>
          <w:sz w:val="18"/>
          <w:vertAlign w:val="baseline"/>
        </w:rPr>
        <w:t>,</w:t>
      </w:r>
      <w:r>
        <w:rPr>
          <w:spacing w:val="-4"/>
          <w:sz w:val="18"/>
          <w:vertAlign w:val="baseline"/>
        </w:rPr>
        <w:t> </w:t>
      </w:r>
      <w:r>
        <w:rPr>
          <w:sz w:val="18"/>
          <w:vertAlign w:val="baseline"/>
        </w:rPr>
        <w:t>Special</w:t>
      </w:r>
      <w:r>
        <w:rPr>
          <w:spacing w:val="-4"/>
          <w:sz w:val="18"/>
          <w:vertAlign w:val="baseline"/>
        </w:rPr>
        <w:t> </w:t>
      </w:r>
      <w:r>
        <w:rPr>
          <w:sz w:val="18"/>
          <w:vertAlign w:val="baseline"/>
        </w:rPr>
        <w:t>Issue:</w:t>
      </w:r>
      <w:r>
        <w:rPr>
          <w:spacing w:val="-3"/>
          <w:sz w:val="18"/>
          <w:vertAlign w:val="baseline"/>
        </w:rPr>
        <w:t> </w:t>
      </w:r>
      <w:r>
        <w:rPr>
          <w:sz w:val="18"/>
          <w:vertAlign w:val="baseline"/>
        </w:rPr>
        <w:t>Mental Health, 50, no. 8 (November 1, 2019): 543–55, https://doi.org/10.1016/j.arcmed.2019.10.009.</w:t>
      </w:r>
    </w:p>
    <w:p>
      <w:pPr>
        <w:spacing w:line="268" w:lineRule="auto" w:before="14"/>
        <w:ind w:left="463" w:right="300" w:hanging="1"/>
        <w:jc w:val="left"/>
        <w:rPr>
          <w:sz w:val="18"/>
        </w:rPr>
      </w:pPr>
      <w:r>
        <w:rPr>
          <w:sz w:val="18"/>
          <w:vertAlign w:val="superscript"/>
        </w:rPr>
        <w:t>90</w:t>
      </w:r>
      <w:r>
        <w:rPr>
          <w:spacing w:val="-12"/>
          <w:sz w:val="18"/>
          <w:vertAlign w:val="baseline"/>
        </w:rPr>
        <w:t> </w:t>
      </w:r>
      <w:r>
        <w:rPr>
          <w:sz w:val="18"/>
          <w:vertAlign w:val="baseline"/>
        </w:rPr>
        <w:t>V.</w:t>
      </w:r>
      <w:r>
        <w:rPr>
          <w:spacing w:val="-2"/>
          <w:sz w:val="18"/>
          <w:vertAlign w:val="baseline"/>
        </w:rPr>
        <w:t> </w:t>
      </w:r>
      <w:r>
        <w:rPr>
          <w:sz w:val="18"/>
          <w:vertAlign w:val="baseline"/>
        </w:rPr>
        <w:t>Paul</w:t>
      </w:r>
      <w:r>
        <w:rPr>
          <w:spacing w:val="-2"/>
          <w:sz w:val="18"/>
          <w:vertAlign w:val="baseline"/>
        </w:rPr>
        <w:t> </w:t>
      </w:r>
      <w:r>
        <w:rPr>
          <w:sz w:val="18"/>
          <w:vertAlign w:val="baseline"/>
        </w:rPr>
        <w:t>Poteat</w:t>
      </w:r>
      <w:r>
        <w:rPr>
          <w:spacing w:val="-3"/>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“Greater</w:t>
      </w:r>
      <w:r>
        <w:rPr>
          <w:spacing w:val="-3"/>
          <w:sz w:val="18"/>
          <w:vertAlign w:val="baseline"/>
        </w:rPr>
        <w:t> </w:t>
      </w:r>
      <w:r>
        <w:rPr>
          <w:sz w:val="18"/>
          <w:vertAlign w:val="baseline"/>
        </w:rPr>
        <w:t>Engagement</w:t>
      </w:r>
      <w:r>
        <w:rPr>
          <w:spacing w:val="-2"/>
          <w:sz w:val="18"/>
          <w:vertAlign w:val="baseline"/>
        </w:rPr>
        <w:t> </w:t>
      </w:r>
      <w:r>
        <w:rPr>
          <w:sz w:val="18"/>
          <w:vertAlign w:val="baseline"/>
        </w:rPr>
        <w:t>in</w:t>
      </w:r>
      <w:r>
        <w:rPr>
          <w:spacing w:val="-2"/>
          <w:sz w:val="18"/>
          <w:vertAlign w:val="baseline"/>
        </w:rPr>
        <w:t> </w:t>
      </w:r>
      <w:r>
        <w:rPr>
          <w:sz w:val="18"/>
          <w:vertAlign w:val="baseline"/>
        </w:rPr>
        <w:t>Gender-Sexuality</w:t>
      </w:r>
      <w:r>
        <w:rPr>
          <w:spacing w:val="-1"/>
          <w:sz w:val="18"/>
          <w:vertAlign w:val="baseline"/>
        </w:rPr>
        <w:t> </w:t>
      </w:r>
      <w:r>
        <w:rPr>
          <w:sz w:val="18"/>
          <w:vertAlign w:val="baseline"/>
        </w:rPr>
        <w:t>Alliances</w:t>
      </w:r>
      <w:r>
        <w:rPr>
          <w:spacing w:val="-1"/>
          <w:sz w:val="18"/>
          <w:vertAlign w:val="baseline"/>
        </w:rPr>
        <w:t> </w:t>
      </w:r>
      <w:r>
        <w:rPr>
          <w:sz w:val="18"/>
          <w:vertAlign w:val="baseline"/>
        </w:rPr>
        <w:t>(GSAs)</w:t>
      </w:r>
      <w:r>
        <w:rPr>
          <w:spacing w:val="-1"/>
          <w:sz w:val="18"/>
          <w:vertAlign w:val="baseline"/>
        </w:rPr>
        <w:t> </w:t>
      </w:r>
      <w:r>
        <w:rPr>
          <w:sz w:val="18"/>
          <w:vertAlign w:val="baseline"/>
        </w:rPr>
        <w:t>and</w:t>
      </w:r>
      <w:r>
        <w:rPr>
          <w:spacing w:val="-2"/>
          <w:sz w:val="18"/>
          <w:vertAlign w:val="baseline"/>
        </w:rPr>
        <w:t> </w:t>
      </w:r>
      <w:r>
        <w:rPr>
          <w:sz w:val="18"/>
          <w:vertAlign w:val="baseline"/>
        </w:rPr>
        <w:t>GSA</w:t>
      </w:r>
      <w:r>
        <w:rPr>
          <w:spacing w:val="-1"/>
          <w:sz w:val="18"/>
          <w:vertAlign w:val="baseline"/>
        </w:rPr>
        <w:t> </w:t>
      </w:r>
      <w:r>
        <w:rPr>
          <w:sz w:val="18"/>
          <w:vertAlign w:val="baseline"/>
        </w:rPr>
        <w:t>Characteristics</w:t>
      </w:r>
      <w:r>
        <w:rPr>
          <w:spacing w:val="-1"/>
          <w:sz w:val="18"/>
          <w:vertAlign w:val="baseline"/>
        </w:rPr>
        <w:t> </w:t>
      </w:r>
      <w:r>
        <w:rPr>
          <w:sz w:val="18"/>
          <w:vertAlign w:val="baseline"/>
        </w:rPr>
        <w:t>Predict</w:t>
      </w:r>
      <w:r>
        <w:rPr>
          <w:spacing w:val="-2"/>
          <w:sz w:val="18"/>
          <w:vertAlign w:val="baseline"/>
        </w:rPr>
        <w:t> </w:t>
      </w:r>
      <w:r>
        <w:rPr>
          <w:sz w:val="18"/>
          <w:vertAlign w:val="baseline"/>
        </w:rPr>
        <w:t>Youth Empowerment and Reduced Mental Health Concerns,” </w:t>
      </w:r>
      <w:r>
        <w:rPr>
          <w:i/>
          <w:sz w:val="18"/>
          <w:vertAlign w:val="baseline"/>
        </w:rPr>
        <w:t>Child Development </w:t>
      </w:r>
      <w:r>
        <w:rPr>
          <w:sz w:val="18"/>
          <w:vertAlign w:val="baseline"/>
        </w:rPr>
        <w:t>91, no. 5 (2020): 1509–28, </w:t>
      </w:r>
      <w:r>
        <w:rPr>
          <w:spacing w:val="-2"/>
          <w:sz w:val="18"/>
          <w:vertAlign w:val="baseline"/>
        </w:rPr>
        <w:t>https://doi.org/10.1111/cdev.13345.</w:t>
      </w:r>
    </w:p>
    <w:p>
      <w:pPr>
        <w:spacing w:line="215" w:lineRule="exact" w:before="0"/>
        <w:ind w:left="463" w:right="0" w:firstLine="0"/>
        <w:jc w:val="left"/>
        <w:rPr>
          <w:sz w:val="18"/>
        </w:rPr>
      </w:pPr>
      <w:r>
        <w:rPr>
          <w:sz w:val="18"/>
          <w:vertAlign w:val="superscript"/>
        </w:rPr>
        <w:t>91</w:t>
      </w:r>
      <w:r>
        <w:rPr>
          <w:spacing w:val="-12"/>
          <w:sz w:val="18"/>
          <w:vertAlign w:val="baseline"/>
        </w:rPr>
        <w:t> </w:t>
      </w:r>
      <w:r>
        <w:rPr>
          <w:sz w:val="18"/>
          <w:vertAlign w:val="baseline"/>
        </w:rPr>
        <w:t>Domínguez-Martínez</w:t>
      </w:r>
      <w:r>
        <w:rPr>
          <w:spacing w:val="-6"/>
          <w:sz w:val="18"/>
          <w:vertAlign w:val="baseline"/>
        </w:rPr>
        <w:t> </w:t>
      </w:r>
      <w:r>
        <w:rPr>
          <w:sz w:val="18"/>
          <w:vertAlign w:val="baseline"/>
        </w:rPr>
        <w:t>and</w:t>
      </w:r>
      <w:r>
        <w:rPr>
          <w:spacing w:val="-2"/>
          <w:sz w:val="18"/>
          <w:vertAlign w:val="baseline"/>
        </w:rPr>
        <w:t> </w:t>
      </w:r>
      <w:r>
        <w:rPr>
          <w:sz w:val="18"/>
          <w:vertAlign w:val="baseline"/>
        </w:rPr>
        <w:t>Robles,</w:t>
      </w:r>
      <w:r>
        <w:rPr>
          <w:spacing w:val="-4"/>
          <w:sz w:val="18"/>
          <w:vertAlign w:val="baseline"/>
        </w:rPr>
        <w:t> </w:t>
      </w:r>
      <w:r>
        <w:rPr>
          <w:sz w:val="18"/>
          <w:vertAlign w:val="baseline"/>
        </w:rPr>
        <w:t>“Preventing</w:t>
      </w:r>
      <w:r>
        <w:rPr>
          <w:spacing w:val="-3"/>
          <w:sz w:val="18"/>
          <w:vertAlign w:val="baseline"/>
        </w:rPr>
        <w:t> </w:t>
      </w:r>
      <w:r>
        <w:rPr>
          <w:sz w:val="18"/>
          <w:vertAlign w:val="baseline"/>
        </w:rPr>
        <w:t>Transphobic</w:t>
      </w:r>
      <w:r>
        <w:rPr>
          <w:spacing w:val="-4"/>
          <w:sz w:val="18"/>
          <w:vertAlign w:val="baseline"/>
        </w:rPr>
        <w:t> </w:t>
      </w:r>
      <w:r>
        <w:rPr>
          <w:sz w:val="18"/>
          <w:vertAlign w:val="baseline"/>
        </w:rPr>
        <w:t>Bullying</w:t>
      </w:r>
      <w:r>
        <w:rPr>
          <w:spacing w:val="-2"/>
          <w:sz w:val="18"/>
          <w:vertAlign w:val="baseline"/>
        </w:rPr>
        <w:t> </w:t>
      </w:r>
      <w:r>
        <w:rPr>
          <w:sz w:val="18"/>
          <w:vertAlign w:val="baseline"/>
        </w:rPr>
        <w:t>and</w:t>
      </w:r>
      <w:r>
        <w:rPr>
          <w:spacing w:val="-4"/>
          <w:sz w:val="18"/>
          <w:vertAlign w:val="baseline"/>
        </w:rPr>
        <w:t> </w:t>
      </w:r>
      <w:r>
        <w:rPr>
          <w:sz w:val="18"/>
          <w:vertAlign w:val="baseline"/>
        </w:rPr>
        <w:t>Promoting</w:t>
      </w:r>
      <w:r>
        <w:rPr>
          <w:spacing w:val="-2"/>
          <w:sz w:val="18"/>
          <w:vertAlign w:val="baseline"/>
        </w:rPr>
        <w:t> </w:t>
      </w:r>
      <w:r>
        <w:rPr>
          <w:sz w:val="18"/>
          <w:vertAlign w:val="baseline"/>
        </w:rPr>
        <w:t>Inclusive</w:t>
      </w:r>
      <w:r>
        <w:rPr>
          <w:spacing w:val="-3"/>
          <w:sz w:val="18"/>
          <w:vertAlign w:val="baseline"/>
        </w:rPr>
        <w:t> </w:t>
      </w:r>
      <w:r>
        <w:rPr>
          <w:sz w:val="18"/>
          <w:vertAlign w:val="baseline"/>
        </w:rPr>
        <w:t>Educational</w:t>
      </w:r>
      <w:r>
        <w:rPr>
          <w:spacing w:val="-3"/>
          <w:sz w:val="18"/>
          <w:vertAlign w:val="baseline"/>
        </w:rPr>
        <w:t> </w:t>
      </w:r>
      <w:r>
        <w:rPr>
          <w:spacing w:val="-2"/>
          <w:sz w:val="18"/>
          <w:vertAlign w:val="baseline"/>
        </w:rPr>
        <w:t>Environments.”</w:t>
      </w:r>
    </w:p>
    <w:p>
      <w:pPr>
        <w:spacing w:line="268" w:lineRule="auto" w:before="20"/>
        <w:ind w:left="463" w:right="622" w:firstLine="0"/>
        <w:jc w:val="left"/>
        <w:rPr>
          <w:sz w:val="18"/>
        </w:rPr>
      </w:pPr>
      <w:r>
        <w:rPr>
          <w:sz w:val="18"/>
          <w:vertAlign w:val="superscript"/>
        </w:rPr>
        <w:t>92</w:t>
      </w:r>
      <w:r>
        <w:rPr>
          <w:spacing w:val="-12"/>
          <w:sz w:val="18"/>
          <w:vertAlign w:val="baseline"/>
        </w:rPr>
        <w:t> </w:t>
      </w:r>
      <w:r>
        <w:rPr>
          <w:sz w:val="18"/>
          <w:vertAlign w:val="baseline"/>
        </w:rPr>
        <w:t>Jessica</w:t>
      </w:r>
      <w:r>
        <w:rPr>
          <w:spacing w:val="-2"/>
          <w:sz w:val="18"/>
          <w:vertAlign w:val="baseline"/>
        </w:rPr>
        <w:t> </w:t>
      </w:r>
      <w:r>
        <w:rPr>
          <w:sz w:val="18"/>
          <w:vertAlign w:val="baseline"/>
        </w:rPr>
        <w:t>N.</w:t>
      </w:r>
      <w:r>
        <w:rPr>
          <w:spacing w:val="-2"/>
          <w:sz w:val="18"/>
          <w:vertAlign w:val="baseline"/>
        </w:rPr>
        <w:t> </w:t>
      </w:r>
      <w:r>
        <w:rPr>
          <w:sz w:val="18"/>
          <w:vertAlign w:val="baseline"/>
        </w:rPr>
        <w:t>Fish</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“‘I’m</w:t>
      </w:r>
      <w:r>
        <w:rPr>
          <w:spacing w:val="-2"/>
          <w:sz w:val="18"/>
          <w:vertAlign w:val="baseline"/>
        </w:rPr>
        <w:t> </w:t>
      </w:r>
      <w:r>
        <w:rPr>
          <w:sz w:val="18"/>
          <w:vertAlign w:val="baseline"/>
        </w:rPr>
        <w:t>Kinda</w:t>
      </w:r>
      <w:r>
        <w:rPr>
          <w:spacing w:val="-2"/>
          <w:sz w:val="18"/>
          <w:vertAlign w:val="baseline"/>
        </w:rPr>
        <w:t> </w:t>
      </w:r>
      <w:r>
        <w:rPr>
          <w:sz w:val="18"/>
          <w:vertAlign w:val="baseline"/>
        </w:rPr>
        <w:t>Stuck</w:t>
      </w:r>
      <w:r>
        <w:rPr>
          <w:spacing w:val="-3"/>
          <w:sz w:val="18"/>
          <w:vertAlign w:val="baseline"/>
        </w:rPr>
        <w:t> </w:t>
      </w:r>
      <w:r>
        <w:rPr>
          <w:sz w:val="18"/>
          <w:vertAlign w:val="baseline"/>
        </w:rPr>
        <w:t>at</w:t>
      </w:r>
      <w:r>
        <w:rPr>
          <w:spacing w:val="-3"/>
          <w:sz w:val="18"/>
          <w:vertAlign w:val="baseline"/>
        </w:rPr>
        <w:t> </w:t>
      </w:r>
      <w:r>
        <w:rPr>
          <w:sz w:val="18"/>
          <w:vertAlign w:val="baseline"/>
        </w:rPr>
        <w:t>Home</w:t>
      </w:r>
      <w:r>
        <w:rPr>
          <w:spacing w:val="-2"/>
          <w:sz w:val="18"/>
          <w:vertAlign w:val="baseline"/>
        </w:rPr>
        <w:t> </w:t>
      </w:r>
      <w:r>
        <w:rPr>
          <w:sz w:val="18"/>
          <w:vertAlign w:val="baseline"/>
        </w:rPr>
        <w:t>With</w:t>
      </w:r>
      <w:r>
        <w:rPr>
          <w:spacing w:val="-2"/>
          <w:sz w:val="18"/>
          <w:vertAlign w:val="baseline"/>
        </w:rPr>
        <w:t> </w:t>
      </w:r>
      <w:r>
        <w:rPr>
          <w:sz w:val="18"/>
          <w:vertAlign w:val="baseline"/>
        </w:rPr>
        <w:t>Unsupportive</w:t>
      </w:r>
      <w:r>
        <w:rPr>
          <w:spacing w:val="-2"/>
          <w:sz w:val="18"/>
          <w:vertAlign w:val="baseline"/>
        </w:rPr>
        <w:t> </w:t>
      </w:r>
      <w:r>
        <w:rPr>
          <w:sz w:val="18"/>
          <w:vertAlign w:val="baseline"/>
        </w:rPr>
        <w:t>Parents</w:t>
      </w:r>
      <w:r>
        <w:rPr>
          <w:spacing w:val="-2"/>
          <w:sz w:val="18"/>
          <w:vertAlign w:val="baseline"/>
        </w:rPr>
        <w:t> </w:t>
      </w:r>
      <w:r>
        <w:rPr>
          <w:sz w:val="18"/>
          <w:vertAlign w:val="baseline"/>
        </w:rPr>
        <w:t>Right</w:t>
      </w:r>
      <w:r>
        <w:rPr>
          <w:spacing w:val="-3"/>
          <w:sz w:val="18"/>
          <w:vertAlign w:val="baseline"/>
        </w:rPr>
        <w:t> </w:t>
      </w:r>
      <w:r>
        <w:rPr>
          <w:sz w:val="18"/>
          <w:vertAlign w:val="baseline"/>
        </w:rPr>
        <w:t>Now’:</w:t>
      </w:r>
      <w:r>
        <w:rPr>
          <w:spacing w:val="-2"/>
          <w:sz w:val="18"/>
          <w:vertAlign w:val="baseline"/>
        </w:rPr>
        <w:t> </w:t>
      </w:r>
      <w:r>
        <w:rPr>
          <w:sz w:val="18"/>
          <w:vertAlign w:val="baseline"/>
        </w:rPr>
        <w:t>LGBTQ</w:t>
      </w:r>
      <w:r>
        <w:rPr>
          <w:spacing w:val="-2"/>
          <w:sz w:val="18"/>
          <w:vertAlign w:val="baseline"/>
        </w:rPr>
        <w:t> </w:t>
      </w:r>
      <w:r>
        <w:rPr>
          <w:sz w:val="18"/>
          <w:vertAlign w:val="baseline"/>
        </w:rPr>
        <w:t>Youths’</w:t>
      </w:r>
      <w:r>
        <w:rPr>
          <w:spacing w:val="-3"/>
          <w:sz w:val="18"/>
          <w:vertAlign w:val="baseline"/>
        </w:rPr>
        <w:t> </w:t>
      </w:r>
      <w:r>
        <w:rPr>
          <w:sz w:val="18"/>
          <w:vertAlign w:val="baseline"/>
        </w:rPr>
        <w:t>Experiences</w:t>
      </w:r>
      <w:r>
        <w:rPr>
          <w:spacing w:val="-2"/>
          <w:sz w:val="18"/>
          <w:vertAlign w:val="baseline"/>
        </w:rPr>
        <w:t> </w:t>
      </w:r>
      <w:r>
        <w:rPr>
          <w:sz w:val="18"/>
          <w:vertAlign w:val="baseline"/>
        </w:rPr>
        <w:t>With COVID-19 and the Importance of Online Support,” </w:t>
      </w:r>
      <w:r>
        <w:rPr>
          <w:i/>
          <w:sz w:val="18"/>
          <w:vertAlign w:val="baseline"/>
        </w:rPr>
        <w:t>Journal of Adolescent Health </w:t>
      </w:r>
      <w:r>
        <w:rPr>
          <w:sz w:val="18"/>
          <w:vertAlign w:val="baseline"/>
        </w:rPr>
        <w:t>67, no. 3 (September 1, 2020): 450–52, </w:t>
      </w:r>
      <w:r>
        <w:rPr>
          <w:spacing w:val="-2"/>
          <w:sz w:val="18"/>
          <w:vertAlign w:val="baseline"/>
        </w:rPr>
        <w:t>https://doi.org/10.1016/j.jadohealth.2020.06.002.</w:t>
      </w:r>
    </w:p>
    <w:p>
      <w:pPr>
        <w:spacing w:line="217" w:lineRule="exact" w:before="0"/>
        <w:ind w:left="463" w:right="0" w:firstLine="0"/>
        <w:jc w:val="left"/>
        <w:rPr>
          <w:sz w:val="18"/>
        </w:rPr>
      </w:pPr>
      <w:r>
        <w:rPr>
          <w:sz w:val="18"/>
          <w:vertAlign w:val="superscript"/>
        </w:rPr>
        <w:t>93</w:t>
      </w:r>
      <w:r>
        <w:rPr>
          <w:spacing w:val="-12"/>
          <w:sz w:val="18"/>
          <w:vertAlign w:val="baseline"/>
        </w:rPr>
        <w:t> </w:t>
      </w:r>
      <w:r>
        <w:rPr>
          <w:sz w:val="18"/>
          <w:vertAlign w:val="baseline"/>
        </w:rPr>
        <w:t>Domínguez-Martínez</w:t>
      </w:r>
      <w:r>
        <w:rPr>
          <w:spacing w:val="-6"/>
          <w:sz w:val="18"/>
          <w:vertAlign w:val="baseline"/>
        </w:rPr>
        <w:t> </w:t>
      </w:r>
      <w:r>
        <w:rPr>
          <w:sz w:val="18"/>
          <w:vertAlign w:val="baseline"/>
        </w:rPr>
        <w:t>and</w:t>
      </w:r>
      <w:r>
        <w:rPr>
          <w:spacing w:val="-2"/>
          <w:sz w:val="18"/>
          <w:vertAlign w:val="baseline"/>
        </w:rPr>
        <w:t> </w:t>
      </w:r>
      <w:r>
        <w:rPr>
          <w:sz w:val="18"/>
          <w:vertAlign w:val="baseline"/>
        </w:rPr>
        <w:t>Robles,</w:t>
      </w:r>
      <w:r>
        <w:rPr>
          <w:spacing w:val="-4"/>
          <w:sz w:val="18"/>
          <w:vertAlign w:val="baseline"/>
        </w:rPr>
        <w:t> </w:t>
      </w:r>
      <w:r>
        <w:rPr>
          <w:sz w:val="18"/>
          <w:vertAlign w:val="baseline"/>
        </w:rPr>
        <w:t>“Preventing</w:t>
      </w:r>
      <w:r>
        <w:rPr>
          <w:spacing w:val="-3"/>
          <w:sz w:val="18"/>
          <w:vertAlign w:val="baseline"/>
        </w:rPr>
        <w:t> </w:t>
      </w:r>
      <w:r>
        <w:rPr>
          <w:sz w:val="18"/>
          <w:vertAlign w:val="baseline"/>
        </w:rPr>
        <w:t>Transphobic</w:t>
      </w:r>
      <w:r>
        <w:rPr>
          <w:spacing w:val="-4"/>
          <w:sz w:val="18"/>
          <w:vertAlign w:val="baseline"/>
        </w:rPr>
        <w:t> </w:t>
      </w:r>
      <w:r>
        <w:rPr>
          <w:sz w:val="18"/>
          <w:vertAlign w:val="baseline"/>
        </w:rPr>
        <w:t>Bullying</w:t>
      </w:r>
      <w:r>
        <w:rPr>
          <w:spacing w:val="-2"/>
          <w:sz w:val="18"/>
          <w:vertAlign w:val="baseline"/>
        </w:rPr>
        <w:t> </w:t>
      </w:r>
      <w:r>
        <w:rPr>
          <w:sz w:val="18"/>
          <w:vertAlign w:val="baseline"/>
        </w:rPr>
        <w:t>and</w:t>
      </w:r>
      <w:r>
        <w:rPr>
          <w:spacing w:val="-4"/>
          <w:sz w:val="18"/>
          <w:vertAlign w:val="baseline"/>
        </w:rPr>
        <w:t> </w:t>
      </w:r>
      <w:r>
        <w:rPr>
          <w:sz w:val="18"/>
          <w:vertAlign w:val="baseline"/>
        </w:rPr>
        <w:t>Promoting</w:t>
      </w:r>
      <w:r>
        <w:rPr>
          <w:spacing w:val="-2"/>
          <w:sz w:val="18"/>
          <w:vertAlign w:val="baseline"/>
        </w:rPr>
        <w:t> </w:t>
      </w:r>
      <w:r>
        <w:rPr>
          <w:sz w:val="18"/>
          <w:vertAlign w:val="baseline"/>
        </w:rPr>
        <w:t>Inclusive</w:t>
      </w:r>
      <w:r>
        <w:rPr>
          <w:spacing w:val="-3"/>
          <w:sz w:val="18"/>
          <w:vertAlign w:val="baseline"/>
        </w:rPr>
        <w:t> </w:t>
      </w:r>
      <w:r>
        <w:rPr>
          <w:sz w:val="18"/>
          <w:vertAlign w:val="baseline"/>
        </w:rPr>
        <w:t>Educational</w:t>
      </w:r>
      <w:r>
        <w:rPr>
          <w:spacing w:val="-3"/>
          <w:sz w:val="18"/>
          <w:vertAlign w:val="baseline"/>
        </w:rPr>
        <w:t> </w:t>
      </w:r>
      <w:r>
        <w:rPr>
          <w:spacing w:val="-2"/>
          <w:sz w:val="18"/>
          <w:vertAlign w:val="baseline"/>
        </w:rPr>
        <w:t>Environments.”</w:t>
      </w:r>
    </w:p>
    <w:p>
      <w:pPr>
        <w:spacing w:line="273" w:lineRule="auto" w:before="20"/>
        <w:ind w:left="463" w:right="311" w:hanging="1"/>
        <w:jc w:val="left"/>
        <w:rPr>
          <w:sz w:val="18"/>
        </w:rPr>
      </w:pPr>
      <w:r>
        <w:rPr>
          <w:sz w:val="18"/>
          <w:vertAlign w:val="superscript"/>
        </w:rPr>
        <w:t>94</w:t>
      </w:r>
      <w:r>
        <w:rPr>
          <w:spacing w:val="-12"/>
          <w:sz w:val="18"/>
          <w:vertAlign w:val="baseline"/>
        </w:rPr>
        <w:t> </w:t>
      </w:r>
      <w:r>
        <w:rPr>
          <w:sz w:val="18"/>
          <w:vertAlign w:val="baseline"/>
        </w:rPr>
        <w:t>Kosciw,</w:t>
      </w:r>
      <w:r>
        <w:rPr>
          <w:spacing w:val="-3"/>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Our</w:t>
      </w:r>
      <w:r>
        <w:rPr>
          <w:spacing w:val="-3"/>
          <w:sz w:val="18"/>
          <w:vertAlign w:val="baseline"/>
        </w:rPr>
        <w:t> </w:t>
      </w:r>
      <w:r>
        <w:rPr>
          <w:sz w:val="18"/>
          <w:vertAlign w:val="baseline"/>
        </w:rPr>
        <w:t>Nation’s </w:t>
      </w:r>
      <w:r>
        <w:rPr>
          <w:spacing w:val="-2"/>
          <w:sz w:val="18"/>
          <w:vertAlign w:val="baseline"/>
        </w:rPr>
        <w:t>Schools.”</w:t>
      </w:r>
    </w:p>
    <w:p>
      <w:pPr>
        <w:spacing w:line="268" w:lineRule="auto" w:before="9"/>
        <w:ind w:left="463" w:right="300" w:hanging="1"/>
        <w:jc w:val="left"/>
        <w:rPr>
          <w:sz w:val="18"/>
        </w:rPr>
      </w:pPr>
      <w:r>
        <w:rPr>
          <w:sz w:val="18"/>
          <w:vertAlign w:val="superscript"/>
        </w:rPr>
        <w:t>95</w:t>
      </w:r>
      <w:r>
        <w:rPr>
          <w:spacing w:val="-12"/>
          <w:sz w:val="18"/>
          <w:vertAlign w:val="baseline"/>
        </w:rPr>
        <w:t> </w:t>
      </w:r>
      <w:r>
        <w:rPr>
          <w:sz w:val="18"/>
          <w:vertAlign w:val="baseline"/>
        </w:rPr>
        <w:t>“Opioid-Related</w:t>
      </w:r>
      <w:r>
        <w:rPr>
          <w:spacing w:val="-3"/>
          <w:sz w:val="18"/>
          <w:vertAlign w:val="baseline"/>
        </w:rPr>
        <w:t> </w:t>
      </w:r>
      <w:r>
        <w:rPr>
          <w:sz w:val="18"/>
          <w:vertAlign w:val="baseline"/>
        </w:rPr>
        <w:t>Overdose</w:t>
      </w:r>
      <w:r>
        <w:rPr>
          <w:spacing w:val="-3"/>
          <w:sz w:val="18"/>
          <w:vertAlign w:val="baseline"/>
        </w:rPr>
        <w:t> </w:t>
      </w:r>
      <w:r>
        <w:rPr>
          <w:sz w:val="18"/>
          <w:vertAlign w:val="baseline"/>
        </w:rPr>
        <w:t>Deaths,</w:t>
      </w:r>
      <w:r>
        <w:rPr>
          <w:spacing w:val="-3"/>
          <w:sz w:val="18"/>
          <w:vertAlign w:val="baseline"/>
        </w:rPr>
        <w:t> </w:t>
      </w:r>
      <w:r>
        <w:rPr>
          <w:sz w:val="18"/>
          <w:vertAlign w:val="baseline"/>
        </w:rPr>
        <w:t>All</w:t>
      </w:r>
      <w:r>
        <w:rPr>
          <w:spacing w:val="-3"/>
          <w:sz w:val="18"/>
          <w:vertAlign w:val="baseline"/>
        </w:rPr>
        <w:t> </w:t>
      </w:r>
      <w:r>
        <w:rPr>
          <w:sz w:val="18"/>
          <w:vertAlign w:val="baseline"/>
        </w:rPr>
        <w:t>Intents,</w:t>
      </w:r>
      <w:r>
        <w:rPr>
          <w:spacing w:val="-3"/>
          <w:sz w:val="18"/>
          <w:vertAlign w:val="baseline"/>
        </w:rPr>
        <w:t> </w:t>
      </w:r>
      <w:r>
        <w:rPr>
          <w:sz w:val="18"/>
          <w:vertAlign w:val="baseline"/>
        </w:rPr>
        <w:t>MA</w:t>
      </w:r>
      <w:r>
        <w:rPr>
          <w:spacing w:val="-2"/>
          <w:sz w:val="18"/>
          <w:vertAlign w:val="baseline"/>
        </w:rPr>
        <w:t> </w:t>
      </w:r>
      <w:r>
        <w:rPr>
          <w:sz w:val="18"/>
          <w:vertAlign w:val="baseline"/>
        </w:rPr>
        <w:t>Residents</w:t>
      </w:r>
      <w:r>
        <w:rPr>
          <w:spacing w:val="-2"/>
          <w:sz w:val="18"/>
          <w:vertAlign w:val="baseline"/>
        </w:rPr>
        <w:t> </w:t>
      </w:r>
      <w:r>
        <w:rPr>
          <w:sz w:val="18"/>
          <w:vertAlign w:val="baseline"/>
        </w:rPr>
        <w:t>–</w:t>
      </w:r>
      <w:r>
        <w:rPr>
          <w:spacing w:val="-3"/>
          <w:sz w:val="18"/>
          <w:vertAlign w:val="baseline"/>
        </w:rPr>
        <w:t> </w:t>
      </w:r>
      <w:r>
        <w:rPr>
          <w:sz w:val="18"/>
          <w:vertAlign w:val="baseline"/>
        </w:rPr>
        <w:t>Demographic</w:t>
      </w:r>
      <w:r>
        <w:rPr>
          <w:spacing w:val="-3"/>
          <w:sz w:val="18"/>
          <w:vertAlign w:val="baseline"/>
        </w:rPr>
        <w:t> </w:t>
      </w:r>
      <w:r>
        <w:rPr>
          <w:sz w:val="18"/>
          <w:vertAlign w:val="baseline"/>
        </w:rPr>
        <w:t>Data</w:t>
      </w:r>
      <w:r>
        <w:rPr>
          <w:spacing w:val="-2"/>
          <w:sz w:val="18"/>
          <w:vertAlign w:val="baseline"/>
        </w:rPr>
        <w:t> </w:t>
      </w:r>
      <w:r>
        <w:rPr>
          <w:sz w:val="18"/>
          <w:vertAlign w:val="baseline"/>
        </w:rPr>
        <w:t>Highlights”</w:t>
      </w:r>
      <w:r>
        <w:rPr>
          <w:spacing w:val="-2"/>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 Public Health, December 2022), https://</w:t>
      </w:r>
      <w:hyperlink r:id="rId159">
        <w:r>
          <w:rPr>
            <w:sz w:val="18"/>
            <w:vertAlign w:val="baseline"/>
          </w:rPr>
          <w:t>www.mass.gov/doc/opioid-related-overdose-deaths-</w:t>
        </w:r>
      </w:hyperlink>
      <w:r>
        <w:rPr>
          <w:sz w:val="18"/>
          <w:vertAlign w:val="baseline"/>
        </w:rPr>
        <w:t> demographics-december- </w:t>
      </w:r>
      <w:r>
        <w:rPr>
          <w:spacing w:val="-2"/>
          <w:sz w:val="18"/>
          <w:vertAlign w:val="baseline"/>
        </w:rPr>
        <w:t>2022/download.</w:t>
      </w:r>
    </w:p>
    <w:p>
      <w:pPr>
        <w:spacing w:before="15"/>
        <w:ind w:left="463" w:right="0" w:firstLine="0"/>
        <w:jc w:val="left"/>
        <w:rPr>
          <w:sz w:val="18"/>
        </w:rPr>
      </w:pPr>
      <w:r>
        <w:rPr>
          <w:sz w:val="18"/>
          <w:vertAlign w:val="superscript"/>
        </w:rPr>
        <w:t>96</w:t>
      </w:r>
      <w:r>
        <w:rPr>
          <w:spacing w:val="-12"/>
          <w:sz w:val="18"/>
          <w:vertAlign w:val="baseline"/>
        </w:rPr>
        <w:t> </w:t>
      </w:r>
      <w:r>
        <w:rPr>
          <w:sz w:val="18"/>
          <w:vertAlign w:val="baseline"/>
        </w:rPr>
        <w:t>Jeremy</w:t>
      </w:r>
      <w:r>
        <w:rPr>
          <w:spacing w:val="-3"/>
          <w:sz w:val="18"/>
          <w:vertAlign w:val="baseline"/>
        </w:rPr>
        <w:t> </w:t>
      </w:r>
      <w:r>
        <w:rPr>
          <w:sz w:val="18"/>
          <w:vertAlign w:val="baseline"/>
        </w:rPr>
        <w:t>T.</w:t>
      </w:r>
      <w:r>
        <w:rPr>
          <w:spacing w:val="-2"/>
          <w:sz w:val="18"/>
          <w:vertAlign w:val="baseline"/>
        </w:rPr>
        <w:t> </w:t>
      </w:r>
      <w:r>
        <w:rPr>
          <w:sz w:val="18"/>
          <w:vertAlign w:val="baseline"/>
        </w:rPr>
        <w:t>Goldbach</w:t>
      </w:r>
      <w:r>
        <w:rPr>
          <w:spacing w:val="-1"/>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“Minority</w:t>
      </w:r>
      <w:r>
        <w:rPr>
          <w:spacing w:val="-2"/>
          <w:sz w:val="18"/>
          <w:vertAlign w:val="baseline"/>
        </w:rPr>
        <w:t> </w:t>
      </w:r>
      <w:r>
        <w:rPr>
          <w:sz w:val="18"/>
          <w:vertAlign w:val="baseline"/>
        </w:rPr>
        <w:t>Stress</w:t>
      </w:r>
      <w:r>
        <w:rPr>
          <w:spacing w:val="-1"/>
          <w:sz w:val="18"/>
          <w:vertAlign w:val="baseline"/>
        </w:rPr>
        <w:t> </w:t>
      </w:r>
      <w:r>
        <w:rPr>
          <w:sz w:val="18"/>
          <w:vertAlign w:val="baseline"/>
        </w:rPr>
        <w:t>and</w:t>
      </w:r>
      <w:r>
        <w:rPr>
          <w:spacing w:val="-2"/>
          <w:sz w:val="18"/>
          <w:vertAlign w:val="baseline"/>
        </w:rPr>
        <w:t> </w:t>
      </w:r>
      <w:r>
        <w:rPr>
          <w:sz w:val="18"/>
          <w:vertAlign w:val="baseline"/>
        </w:rPr>
        <w:t>Substance</w:t>
      </w:r>
      <w:r>
        <w:rPr>
          <w:spacing w:val="-2"/>
          <w:sz w:val="18"/>
          <w:vertAlign w:val="baseline"/>
        </w:rPr>
        <w:t> </w:t>
      </w:r>
      <w:r>
        <w:rPr>
          <w:sz w:val="18"/>
          <w:vertAlign w:val="baseline"/>
        </w:rPr>
        <w:t>Use</w:t>
      </w:r>
      <w:r>
        <w:rPr>
          <w:spacing w:val="-2"/>
          <w:sz w:val="18"/>
          <w:vertAlign w:val="baseline"/>
        </w:rPr>
        <w:t> </w:t>
      </w:r>
      <w:r>
        <w:rPr>
          <w:sz w:val="18"/>
          <w:vertAlign w:val="baseline"/>
        </w:rPr>
        <w:t>in</w:t>
      </w:r>
      <w:r>
        <w:rPr>
          <w:spacing w:val="-1"/>
          <w:sz w:val="18"/>
          <w:vertAlign w:val="baseline"/>
        </w:rPr>
        <w:t> </w:t>
      </w:r>
      <w:r>
        <w:rPr>
          <w:sz w:val="18"/>
          <w:vertAlign w:val="baseline"/>
        </w:rPr>
        <w:t>Sexual</w:t>
      </w:r>
      <w:r>
        <w:rPr>
          <w:spacing w:val="-2"/>
          <w:sz w:val="18"/>
          <w:vertAlign w:val="baseline"/>
        </w:rPr>
        <w:t> </w:t>
      </w:r>
      <w:r>
        <w:rPr>
          <w:sz w:val="18"/>
          <w:vertAlign w:val="baseline"/>
        </w:rPr>
        <w:t>Minority</w:t>
      </w:r>
      <w:r>
        <w:rPr>
          <w:spacing w:val="-2"/>
          <w:sz w:val="18"/>
          <w:vertAlign w:val="baseline"/>
        </w:rPr>
        <w:t> </w:t>
      </w:r>
      <w:r>
        <w:rPr>
          <w:sz w:val="18"/>
          <w:vertAlign w:val="baseline"/>
        </w:rPr>
        <w:t>Adolescents:</w:t>
      </w:r>
      <w:r>
        <w:rPr>
          <w:spacing w:val="-2"/>
          <w:sz w:val="18"/>
          <w:vertAlign w:val="baseline"/>
        </w:rPr>
        <w:t> </w:t>
      </w:r>
      <w:r>
        <w:rPr>
          <w:sz w:val="18"/>
          <w:vertAlign w:val="baseline"/>
        </w:rPr>
        <w:t>A</w:t>
      </w:r>
      <w:r>
        <w:rPr>
          <w:spacing w:val="-2"/>
          <w:sz w:val="18"/>
          <w:vertAlign w:val="baseline"/>
        </w:rPr>
        <w:t> </w:t>
      </w:r>
      <w:r>
        <w:rPr>
          <w:sz w:val="18"/>
          <w:vertAlign w:val="baseline"/>
        </w:rPr>
        <w:t>Meta-</w:t>
      </w:r>
      <w:r>
        <w:rPr>
          <w:spacing w:val="-2"/>
          <w:sz w:val="18"/>
          <w:vertAlign w:val="baseline"/>
        </w:rPr>
        <w:t>Analysis,”</w:t>
      </w:r>
    </w:p>
    <w:p>
      <w:pPr>
        <w:spacing w:before="13"/>
        <w:ind w:left="463" w:right="0" w:firstLine="0"/>
        <w:jc w:val="left"/>
        <w:rPr>
          <w:sz w:val="18"/>
        </w:rPr>
      </w:pPr>
      <w:r>
        <w:rPr>
          <w:i/>
          <w:sz w:val="18"/>
        </w:rPr>
        <w:t>Prevention</w:t>
      </w:r>
      <w:r>
        <w:rPr>
          <w:i/>
          <w:spacing w:val="-7"/>
          <w:sz w:val="18"/>
        </w:rPr>
        <w:t> </w:t>
      </w:r>
      <w:r>
        <w:rPr>
          <w:i/>
          <w:sz w:val="18"/>
        </w:rPr>
        <w:t>Science</w:t>
      </w:r>
      <w:r>
        <w:rPr>
          <w:i/>
          <w:spacing w:val="-4"/>
          <w:sz w:val="18"/>
        </w:rPr>
        <w:t> </w:t>
      </w:r>
      <w:r>
        <w:rPr>
          <w:sz w:val="18"/>
        </w:rPr>
        <w:t>15,</w:t>
      </w:r>
      <w:r>
        <w:rPr>
          <w:spacing w:val="-6"/>
          <w:sz w:val="18"/>
        </w:rPr>
        <w:t> </w:t>
      </w:r>
      <w:r>
        <w:rPr>
          <w:sz w:val="18"/>
        </w:rPr>
        <w:t>no.</w:t>
      </w:r>
      <w:r>
        <w:rPr>
          <w:spacing w:val="-4"/>
          <w:sz w:val="18"/>
        </w:rPr>
        <w:t> </w:t>
      </w:r>
      <w:r>
        <w:rPr>
          <w:sz w:val="18"/>
        </w:rPr>
        <w:t>3</w:t>
      </w:r>
      <w:r>
        <w:rPr>
          <w:spacing w:val="-5"/>
          <w:sz w:val="18"/>
        </w:rPr>
        <w:t> </w:t>
      </w:r>
      <w:r>
        <w:rPr>
          <w:sz w:val="18"/>
        </w:rPr>
        <w:t>(June</w:t>
      </w:r>
      <w:r>
        <w:rPr>
          <w:spacing w:val="-4"/>
          <w:sz w:val="18"/>
        </w:rPr>
        <w:t> </w:t>
      </w:r>
      <w:r>
        <w:rPr>
          <w:sz w:val="18"/>
        </w:rPr>
        <w:t>1,</w:t>
      </w:r>
      <w:r>
        <w:rPr>
          <w:spacing w:val="-6"/>
          <w:sz w:val="18"/>
        </w:rPr>
        <w:t> </w:t>
      </w:r>
      <w:r>
        <w:rPr>
          <w:sz w:val="18"/>
        </w:rPr>
        <w:t>2014):</w:t>
      </w:r>
      <w:r>
        <w:rPr>
          <w:spacing w:val="-4"/>
          <w:sz w:val="18"/>
        </w:rPr>
        <w:t> </w:t>
      </w:r>
      <w:r>
        <w:rPr>
          <w:sz w:val="18"/>
        </w:rPr>
        <w:t>350–63,</w:t>
      </w:r>
      <w:r>
        <w:rPr>
          <w:spacing w:val="-5"/>
          <w:sz w:val="18"/>
        </w:rPr>
        <w:t> </w:t>
      </w:r>
      <w:r>
        <w:rPr>
          <w:sz w:val="18"/>
        </w:rPr>
        <w:t>https://doi.org/10.1007/s11121-013-0393-</w:t>
      </w:r>
      <w:r>
        <w:rPr>
          <w:spacing w:val="-5"/>
          <w:sz w:val="18"/>
        </w:rPr>
        <w:t>7.</w:t>
      </w:r>
    </w:p>
    <w:p>
      <w:pPr>
        <w:spacing w:line="273" w:lineRule="auto" w:before="15"/>
        <w:ind w:left="463" w:right="311" w:hanging="1"/>
        <w:jc w:val="left"/>
        <w:rPr>
          <w:sz w:val="18"/>
        </w:rPr>
      </w:pPr>
      <w:r>
        <w:rPr>
          <w:sz w:val="18"/>
          <w:vertAlign w:val="superscript"/>
        </w:rPr>
        <w:t>97</w:t>
      </w:r>
      <w:r>
        <w:rPr>
          <w:spacing w:val="-12"/>
          <w:sz w:val="18"/>
          <w:vertAlign w:val="baseline"/>
        </w:rPr>
        <w:t> </w:t>
      </w:r>
      <w:r>
        <w:rPr>
          <w:sz w:val="18"/>
          <w:vertAlign w:val="baseline"/>
        </w:rPr>
        <w:t>Jack</w:t>
      </w:r>
      <w:r>
        <w:rPr>
          <w:spacing w:val="-4"/>
          <w:sz w:val="18"/>
          <w:vertAlign w:val="baseline"/>
        </w:rPr>
        <w:t> </w:t>
      </w:r>
      <w:r>
        <w:rPr>
          <w:sz w:val="18"/>
          <w:vertAlign w:val="baseline"/>
        </w:rPr>
        <w:t>K.</w:t>
      </w:r>
      <w:r>
        <w:rPr>
          <w:spacing w:val="-2"/>
          <w:sz w:val="18"/>
          <w:vertAlign w:val="baseline"/>
        </w:rPr>
        <w:t> </w:t>
      </w:r>
      <w:r>
        <w:rPr>
          <w:sz w:val="18"/>
          <w:vertAlign w:val="baseline"/>
        </w:rPr>
        <w:t>Day</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Substance</w:t>
      </w:r>
      <w:r>
        <w:rPr>
          <w:spacing w:val="-2"/>
          <w:sz w:val="18"/>
          <w:vertAlign w:val="baseline"/>
        </w:rPr>
        <w:t> </w:t>
      </w:r>
      <w:r>
        <w:rPr>
          <w:sz w:val="18"/>
          <w:vertAlign w:val="baseline"/>
        </w:rPr>
        <w:t>Use</w:t>
      </w:r>
      <w:r>
        <w:rPr>
          <w:spacing w:val="-2"/>
          <w:sz w:val="18"/>
          <w:vertAlign w:val="baseline"/>
        </w:rPr>
        <w:t> </w:t>
      </w:r>
      <w:r>
        <w:rPr>
          <w:sz w:val="18"/>
          <w:vertAlign w:val="baseline"/>
        </w:rPr>
        <w:t>Disparities:</w:t>
      </w:r>
      <w:r>
        <w:rPr>
          <w:spacing w:val="-2"/>
          <w:sz w:val="18"/>
          <w:vertAlign w:val="baseline"/>
        </w:rPr>
        <w:t> </w:t>
      </w:r>
      <w:r>
        <w:rPr>
          <w:sz w:val="18"/>
          <w:vertAlign w:val="baseline"/>
        </w:rPr>
        <w:t>Results</w:t>
      </w:r>
      <w:r>
        <w:rPr>
          <w:spacing w:val="-2"/>
          <w:sz w:val="18"/>
          <w:vertAlign w:val="baseline"/>
        </w:rPr>
        <w:t> </w:t>
      </w:r>
      <w:r>
        <w:rPr>
          <w:sz w:val="18"/>
          <w:vertAlign w:val="baseline"/>
        </w:rPr>
        <w:t>From</w:t>
      </w:r>
      <w:r>
        <w:rPr>
          <w:spacing w:val="-2"/>
          <w:sz w:val="18"/>
          <w:vertAlign w:val="baseline"/>
        </w:rPr>
        <w:t> </w:t>
      </w:r>
      <w:r>
        <w:rPr>
          <w:sz w:val="18"/>
          <w:vertAlign w:val="baseline"/>
        </w:rPr>
        <w:t>a</w:t>
      </w:r>
      <w:r>
        <w:rPr>
          <w:spacing w:val="-2"/>
          <w:sz w:val="18"/>
          <w:vertAlign w:val="baseline"/>
        </w:rPr>
        <w:t> </w:t>
      </w:r>
      <w:r>
        <w:rPr>
          <w:sz w:val="18"/>
          <w:vertAlign w:val="baseline"/>
        </w:rPr>
        <w:t>Population-Based</w:t>
      </w:r>
      <w:r>
        <w:rPr>
          <w:spacing w:val="-2"/>
          <w:sz w:val="18"/>
          <w:vertAlign w:val="baseline"/>
        </w:rPr>
        <w:t> </w:t>
      </w:r>
      <w:r>
        <w:rPr>
          <w:sz w:val="18"/>
          <w:vertAlign w:val="baseline"/>
        </w:rPr>
        <w:t>Sample,”</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z w:val="18"/>
          <w:vertAlign w:val="baseline"/>
        </w:rPr>
        <w:t> Adolescent Health </w:t>
      </w:r>
      <w:r>
        <w:rPr>
          <w:sz w:val="18"/>
          <w:vertAlign w:val="baseline"/>
        </w:rPr>
        <w:t>61, no. 6 (December 1, 2017): 729–35, https://doi.org/10.1016/j.jadohealth.2017.06.024.</w:t>
      </w:r>
    </w:p>
    <w:p>
      <w:pPr>
        <w:spacing w:line="268" w:lineRule="auto" w:before="10"/>
        <w:ind w:left="463" w:right="337" w:hanging="1"/>
        <w:jc w:val="left"/>
        <w:rPr>
          <w:sz w:val="18"/>
        </w:rPr>
      </w:pPr>
      <w:r>
        <w:rPr>
          <w:sz w:val="18"/>
          <w:vertAlign w:val="superscript"/>
        </w:rPr>
        <w:t>98</w:t>
      </w:r>
      <w:r>
        <w:rPr>
          <w:spacing w:val="-6"/>
          <w:sz w:val="18"/>
          <w:vertAlign w:val="baseline"/>
        </w:rPr>
        <w:t> </w:t>
      </w:r>
      <w:r>
        <w:rPr>
          <w:sz w:val="18"/>
          <w:vertAlign w:val="baseline"/>
        </w:rPr>
        <w:t>“Results of the Massachusetts Youth Health Survey 2021” (Boston, Massachusetts: Office of Data Management and Outcomes</w:t>
      </w:r>
      <w:r>
        <w:rPr>
          <w:spacing w:val="-3"/>
          <w:sz w:val="18"/>
          <w:vertAlign w:val="baseline"/>
        </w:rPr>
        <w:t> </w:t>
      </w:r>
      <w:r>
        <w:rPr>
          <w:sz w:val="18"/>
          <w:vertAlign w:val="baseline"/>
        </w:rPr>
        <w:t>Assessment,</w:t>
      </w:r>
      <w:r>
        <w:rPr>
          <w:spacing w:val="-4"/>
          <w:sz w:val="18"/>
          <w:vertAlign w:val="baseline"/>
        </w:rPr>
        <w:t> </w:t>
      </w:r>
      <w:r>
        <w:rPr>
          <w:sz w:val="18"/>
          <w:vertAlign w:val="baseline"/>
        </w:rPr>
        <w:t>Massachusetts</w:t>
      </w:r>
      <w:r>
        <w:rPr>
          <w:spacing w:val="-3"/>
          <w:sz w:val="18"/>
          <w:vertAlign w:val="baseline"/>
        </w:rPr>
        <w:t> </w:t>
      </w:r>
      <w:r>
        <w:rPr>
          <w:sz w:val="18"/>
          <w:vertAlign w:val="baseline"/>
        </w:rPr>
        <w:t>Department</w:t>
      </w:r>
      <w:r>
        <w:rPr>
          <w:spacing w:val="-4"/>
          <w:sz w:val="18"/>
          <w:vertAlign w:val="baseline"/>
        </w:rPr>
        <w:t> </w:t>
      </w:r>
      <w:r>
        <w:rPr>
          <w:sz w:val="18"/>
          <w:vertAlign w:val="baseline"/>
        </w:rPr>
        <w:t>of</w:t>
      </w:r>
      <w:r>
        <w:rPr>
          <w:spacing w:val="-3"/>
          <w:sz w:val="18"/>
          <w:vertAlign w:val="baseline"/>
        </w:rPr>
        <w:t> </w:t>
      </w:r>
      <w:r>
        <w:rPr>
          <w:sz w:val="18"/>
          <w:vertAlign w:val="baseline"/>
        </w:rPr>
        <w:t>Public</w:t>
      </w:r>
      <w:r>
        <w:rPr>
          <w:spacing w:val="-4"/>
          <w:sz w:val="18"/>
          <w:vertAlign w:val="baseline"/>
        </w:rPr>
        <w:t> </w:t>
      </w:r>
      <w:r>
        <w:rPr>
          <w:sz w:val="18"/>
          <w:vertAlign w:val="baseline"/>
        </w:rPr>
        <w:t>Health,</w:t>
      </w:r>
      <w:r>
        <w:rPr>
          <w:spacing w:val="-4"/>
          <w:sz w:val="18"/>
          <w:vertAlign w:val="baseline"/>
        </w:rPr>
        <w:t> </w:t>
      </w:r>
      <w:r>
        <w:rPr>
          <w:sz w:val="18"/>
          <w:vertAlign w:val="baseline"/>
        </w:rPr>
        <w:t>October</w:t>
      </w:r>
      <w:r>
        <w:rPr>
          <w:spacing w:val="-4"/>
          <w:sz w:val="18"/>
          <w:vertAlign w:val="baseline"/>
        </w:rPr>
        <w:t> </w:t>
      </w:r>
      <w:r>
        <w:rPr>
          <w:sz w:val="18"/>
          <w:vertAlign w:val="baseline"/>
        </w:rPr>
        <w:t>6,</w:t>
      </w:r>
      <w:r>
        <w:rPr>
          <w:spacing w:val="-4"/>
          <w:sz w:val="18"/>
          <w:vertAlign w:val="baseline"/>
        </w:rPr>
        <w:t> </w:t>
      </w:r>
      <w:r>
        <w:rPr>
          <w:sz w:val="18"/>
          <w:vertAlign w:val="baseline"/>
        </w:rPr>
        <w:t>2022),</w:t>
      </w:r>
      <w:r>
        <w:rPr>
          <w:spacing w:val="-4"/>
          <w:sz w:val="18"/>
          <w:vertAlign w:val="baseline"/>
        </w:rPr>
        <w:t> </w:t>
      </w:r>
      <w:r>
        <w:rPr>
          <w:sz w:val="18"/>
          <w:vertAlign w:val="baseline"/>
        </w:rPr>
        <w:t>https://</w:t>
      </w:r>
      <w:hyperlink r:id="rId160">
        <w:r>
          <w:rPr>
            <w:sz w:val="18"/>
            <w:vertAlign w:val="baseline"/>
          </w:rPr>
          <w:t>www.mass.gov/doc/results-</w:t>
        </w:r>
      </w:hyperlink>
      <w:r>
        <w:rPr>
          <w:spacing w:val="-3"/>
          <w:sz w:val="18"/>
          <w:vertAlign w:val="baseline"/>
        </w:rPr>
        <w:t> </w:t>
      </w:r>
      <w:r>
        <w:rPr>
          <w:sz w:val="18"/>
          <w:vertAlign w:val="baseline"/>
        </w:rPr>
        <w:t>of- </w:t>
      </w:r>
      <w:r>
        <w:rPr>
          <w:spacing w:val="-2"/>
          <w:sz w:val="18"/>
          <w:vertAlign w:val="baseline"/>
        </w:rPr>
        <w:t>the-massachusetts-youth-health-survey-2021/download.</w:t>
      </w:r>
    </w:p>
    <w:p>
      <w:pPr>
        <w:spacing w:line="216" w:lineRule="exact" w:before="0"/>
        <w:ind w:left="463" w:right="0" w:firstLine="0"/>
        <w:jc w:val="left"/>
        <w:rPr>
          <w:sz w:val="18"/>
        </w:rPr>
      </w:pPr>
      <w:r>
        <w:rPr>
          <w:sz w:val="18"/>
          <w:vertAlign w:val="superscript"/>
        </w:rPr>
        <w:t>99</w:t>
      </w:r>
      <w:r>
        <w:rPr>
          <w:spacing w:val="-12"/>
          <w:sz w:val="18"/>
          <w:vertAlign w:val="baseline"/>
        </w:rPr>
        <w:t> </w:t>
      </w:r>
      <w:r>
        <w:rPr>
          <w:sz w:val="18"/>
          <w:vertAlign w:val="baseline"/>
        </w:rPr>
        <w:t>“Results</w:t>
      </w:r>
      <w:r>
        <w:rPr>
          <w:spacing w:val="-2"/>
          <w:sz w:val="18"/>
          <w:vertAlign w:val="baseline"/>
        </w:rPr>
        <w:t> </w:t>
      </w:r>
      <w:r>
        <w:rPr>
          <w:sz w:val="18"/>
          <w:vertAlign w:val="baseline"/>
        </w:rPr>
        <w:t>of</w:t>
      </w:r>
      <w:r>
        <w:rPr>
          <w:spacing w:val="-1"/>
          <w:sz w:val="18"/>
          <w:vertAlign w:val="baseline"/>
        </w:rPr>
        <w:t> </w:t>
      </w:r>
      <w:r>
        <w:rPr>
          <w:sz w:val="18"/>
          <w:vertAlign w:val="baseline"/>
        </w:rPr>
        <w:t>the</w:t>
      </w:r>
      <w:r>
        <w:rPr>
          <w:spacing w:val="-2"/>
          <w:sz w:val="18"/>
          <w:vertAlign w:val="baseline"/>
        </w:rPr>
        <w:t> </w:t>
      </w:r>
      <w:r>
        <w:rPr>
          <w:sz w:val="18"/>
          <w:vertAlign w:val="baseline"/>
        </w:rPr>
        <w:t>Massachusetts</w:t>
      </w:r>
      <w:r>
        <w:rPr>
          <w:spacing w:val="-2"/>
          <w:sz w:val="18"/>
          <w:vertAlign w:val="baseline"/>
        </w:rPr>
        <w:t> </w:t>
      </w:r>
      <w:r>
        <w:rPr>
          <w:sz w:val="18"/>
          <w:vertAlign w:val="baseline"/>
        </w:rPr>
        <w:t>Youth</w:t>
      </w:r>
      <w:r>
        <w:rPr>
          <w:spacing w:val="-1"/>
          <w:sz w:val="18"/>
          <w:vertAlign w:val="baseline"/>
        </w:rPr>
        <w:t> </w:t>
      </w:r>
      <w:r>
        <w:rPr>
          <w:sz w:val="18"/>
          <w:vertAlign w:val="baseline"/>
        </w:rPr>
        <w:t>Health</w:t>
      </w:r>
      <w:r>
        <w:rPr>
          <w:spacing w:val="-1"/>
          <w:sz w:val="18"/>
          <w:vertAlign w:val="baseline"/>
        </w:rPr>
        <w:t> </w:t>
      </w:r>
      <w:r>
        <w:rPr>
          <w:sz w:val="18"/>
          <w:vertAlign w:val="baseline"/>
        </w:rPr>
        <w:t>Survey</w:t>
      </w:r>
      <w:r>
        <w:rPr>
          <w:spacing w:val="-1"/>
          <w:sz w:val="18"/>
          <w:vertAlign w:val="baseline"/>
        </w:rPr>
        <w:t> </w:t>
      </w:r>
      <w:r>
        <w:rPr>
          <w:spacing w:val="-2"/>
          <w:sz w:val="18"/>
          <w:vertAlign w:val="baseline"/>
        </w:rPr>
        <w:t>2021.”</w:t>
      </w:r>
    </w:p>
    <w:p>
      <w:pPr>
        <w:spacing w:line="268" w:lineRule="auto" w:before="21"/>
        <w:ind w:left="463" w:right="737" w:firstLine="0"/>
        <w:jc w:val="both"/>
        <w:rPr>
          <w:sz w:val="18"/>
        </w:rPr>
      </w:pPr>
      <w:r>
        <w:rPr>
          <w:sz w:val="18"/>
          <w:vertAlign w:val="superscript"/>
        </w:rPr>
        <w:t>100</w:t>
      </w:r>
      <w:r>
        <w:rPr>
          <w:spacing w:val="-11"/>
          <w:sz w:val="18"/>
          <w:vertAlign w:val="baseline"/>
        </w:rPr>
        <w:t> </w:t>
      </w:r>
      <w:r>
        <w:rPr>
          <w:sz w:val="18"/>
          <w:vertAlign w:val="baseline"/>
        </w:rPr>
        <w:t>Kerith</w:t>
      </w:r>
      <w:r>
        <w:rPr>
          <w:spacing w:val="-3"/>
          <w:sz w:val="18"/>
          <w:vertAlign w:val="baseline"/>
        </w:rPr>
        <w:t> </w:t>
      </w:r>
      <w:r>
        <w:rPr>
          <w:sz w:val="18"/>
          <w:vertAlign w:val="baseline"/>
        </w:rPr>
        <w:t>Conron</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“Our</w:t>
      </w:r>
      <w:r>
        <w:rPr>
          <w:spacing w:val="-2"/>
          <w:sz w:val="18"/>
          <w:vertAlign w:val="baseline"/>
        </w:rPr>
        <w:t> </w:t>
      </w:r>
      <w:r>
        <w:rPr>
          <w:sz w:val="18"/>
          <w:vertAlign w:val="baseline"/>
        </w:rPr>
        <w:t>Health</w:t>
      </w:r>
      <w:r>
        <w:rPr>
          <w:spacing w:val="-1"/>
          <w:sz w:val="18"/>
          <w:vertAlign w:val="baseline"/>
        </w:rPr>
        <w:t> </w:t>
      </w:r>
      <w:r>
        <w:rPr>
          <w:sz w:val="18"/>
          <w:vertAlign w:val="baseline"/>
        </w:rPr>
        <w:t>Matters:</w:t>
      </w:r>
      <w:r>
        <w:rPr>
          <w:spacing w:val="-1"/>
          <w:sz w:val="18"/>
          <w:vertAlign w:val="baseline"/>
        </w:rPr>
        <w:t> </w:t>
      </w:r>
      <w:r>
        <w:rPr>
          <w:sz w:val="18"/>
          <w:vertAlign w:val="baseline"/>
        </w:rPr>
        <w:t>Mental</w:t>
      </w:r>
      <w:r>
        <w:rPr>
          <w:spacing w:val="-2"/>
          <w:sz w:val="18"/>
          <w:vertAlign w:val="baseline"/>
        </w:rPr>
        <w:t> </w:t>
      </w:r>
      <w:r>
        <w:rPr>
          <w:sz w:val="18"/>
          <w:vertAlign w:val="baseline"/>
        </w:rPr>
        <w:t>Health,</w:t>
      </w:r>
      <w:r>
        <w:rPr>
          <w:spacing w:val="-2"/>
          <w:sz w:val="18"/>
          <w:vertAlign w:val="baseline"/>
        </w:rPr>
        <w:t> </w:t>
      </w:r>
      <w:r>
        <w:rPr>
          <w:sz w:val="18"/>
          <w:vertAlign w:val="baseline"/>
        </w:rPr>
        <w:t>Risk,</w:t>
      </w:r>
      <w:r>
        <w:rPr>
          <w:spacing w:val="-2"/>
          <w:sz w:val="18"/>
          <w:vertAlign w:val="baseline"/>
        </w:rPr>
        <w:t> </w:t>
      </w:r>
      <w:r>
        <w:rPr>
          <w:sz w:val="18"/>
          <w:vertAlign w:val="baseline"/>
        </w:rPr>
        <w:t>and</w:t>
      </w:r>
      <w:r>
        <w:rPr>
          <w:spacing w:val="-1"/>
          <w:sz w:val="18"/>
          <w:vertAlign w:val="baseline"/>
        </w:rPr>
        <w:t> </w:t>
      </w:r>
      <w:r>
        <w:rPr>
          <w:sz w:val="18"/>
          <w:vertAlign w:val="baseline"/>
        </w:rPr>
        <w:t>Resilience</w:t>
      </w:r>
      <w:r>
        <w:rPr>
          <w:spacing w:val="-1"/>
          <w:sz w:val="18"/>
          <w:vertAlign w:val="baseline"/>
        </w:rPr>
        <w:t> </w:t>
      </w:r>
      <w:r>
        <w:rPr>
          <w:sz w:val="18"/>
          <w:vertAlign w:val="baseline"/>
        </w:rPr>
        <w:t>among</w:t>
      </w:r>
      <w:r>
        <w:rPr>
          <w:spacing w:val="-1"/>
          <w:sz w:val="18"/>
          <w:vertAlign w:val="baseline"/>
        </w:rPr>
        <w:t> </w:t>
      </w:r>
      <w:r>
        <w:rPr>
          <w:sz w:val="18"/>
          <w:vertAlign w:val="baseline"/>
        </w:rPr>
        <w:t>LGBTQ</w:t>
      </w:r>
      <w:r>
        <w:rPr>
          <w:spacing w:val="-1"/>
          <w:sz w:val="18"/>
          <w:vertAlign w:val="baseline"/>
        </w:rPr>
        <w:t> </w:t>
      </w:r>
      <w:r>
        <w:rPr>
          <w:sz w:val="18"/>
          <w:vertAlign w:val="baseline"/>
        </w:rPr>
        <w:t>Youth</w:t>
      </w:r>
      <w:r>
        <w:rPr>
          <w:spacing w:val="-1"/>
          <w:sz w:val="18"/>
          <w:vertAlign w:val="baseline"/>
        </w:rPr>
        <w:t> </w:t>
      </w:r>
      <w:r>
        <w:rPr>
          <w:sz w:val="18"/>
          <w:vertAlign w:val="baseline"/>
        </w:rPr>
        <w:t>of</w:t>
      </w:r>
      <w:r>
        <w:rPr>
          <w:spacing w:val="-1"/>
          <w:sz w:val="18"/>
          <w:vertAlign w:val="baseline"/>
        </w:rPr>
        <w:t> </w:t>
      </w:r>
      <w:r>
        <w:rPr>
          <w:sz w:val="18"/>
          <w:vertAlign w:val="baseline"/>
        </w:rPr>
        <w:t>Color</w:t>
      </w:r>
      <w:r>
        <w:rPr>
          <w:spacing w:val="-2"/>
          <w:sz w:val="18"/>
          <w:vertAlign w:val="baseline"/>
        </w:rPr>
        <w:t> </w:t>
      </w:r>
      <w:r>
        <w:rPr>
          <w:sz w:val="18"/>
          <w:vertAlign w:val="baseline"/>
        </w:rPr>
        <w:t>Who</w:t>
      </w:r>
      <w:r>
        <w:rPr>
          <w:spacing w:val="-1"/>
          <w:sz w:val="18"/>
          <w:vertAlign w:val="baseline"/>
        </w:rPr>
        <w:t> </w:t>
      </w:r>
      <w:r>
        <w:rPr>
          <w:sz w:val="18"/>
          <w:vertAlign w:val="baseline"/>
        </w:rPr>
        <w:t>Live, Work,</w:t>
      </w:r>
      <w:r>
        <w:rPr>
          <w:spacing w:val="-2"/>
          <w:sz w:val="18"/>
          <w:vertAlign w:val="baseline"/>
        </w:rPr>
        <w:t> </w:t>
      </w:r>
      <w:r>
        <w:rPr>
          <w:sz w:val="18"/>
          <w:vertAlign w:val="baseline"/>
        </w:rPr>
        <w:t>or</w:t>
      </w:r>
      <w:r>
        <w:rPr>
          <w:spacing w:val="-2"/>
          <w:sz w:val="18"/>
          <w:vertAlign w:val="baseline"/>
        </w:rPr>
        <w:t> </w:t>
      </w:r>
      <w:r>
        <w:rPr>
          <w:sz w:val="18"/>
          <w:vertAlign w:val="baseline"/>
        </w:rPr>
        <w:t>Play</w:t>
      </w:r>
      <w:r>
        <w:rPr>
          <w:spacing w:val="-1"/>
          <w:sz w:val="18"/>
          <w:vertAlign w:val="baseline"/>
        </w:rPr>
        <w:t> </w:t>
      </w:r>
      <w:r>
        <w:rPr>
          <w:sz w:val="18"/>
          <w:vertAlign w:val="baseline"/>
        </w:rPr>
        <w:t>in</w:t>
      </w:r>
      <w:r>
        <w:rPr>
          <w:spacing w:val="-1"/>
          <w:sz w:val="18"/>
          <w:vertAlign w:val="baseline"/>
        </w:rPr>
        <w:t> </w:t>
      </w:r>
      <w:r>
        <w:rPr>
          <w:sz w:val="18"/>
          <w:vertAlign w:val="baseline"/>
        </w:rPr>
        <w:t>Boston”</w:t>
      </w:r>
      <w:r>
        <w:rPr>
          <w:spacing w:val="-1"/>
          <w:sz w:val="18"/>
          <w:vertAlign w:val="baseline"/>
        </w:rPr>
        <w:t> </w:t>
      </w:r>
      <w:r>
        <w:rPr>
          <w:sz w:val="18"/>
          <w:vertAlign w:val="baseline"/>
        </w:rPr>
        <w:t>(Boston,</w:t>
      </w:r>
      <w:r>
        <w:rPr>
          <w:spacing w:val="-2"/>
          <w:sz w:val="18"/>
          <w:vertAlign w:val="baseline"/>
        </w:rPr>
        <w:t> </w:t>
      </w:r>
      <w:r>
        <w:rPr>
          <w:sz w:val="18"/>
          <w:vertAlign w:val="baseline"/>
        </w:rPr>
        <w:t>Massachusetts:</w:t>
      </w:r>
      <w:r>
        <w:rPr>
          <w:spacing w:val="-3"/>
          <w:sz w:val="18"/>
          <w:vertAlign w:val="baseline"/>
        </w:rPr>
        <w:t> </w:t>
      </w:r>
      <w:r>
        <w:rPr>
          <w:sz w:val="18"/>
          <w:vertAlign w:val="baseline"/>
        </w:rPr>
        <w:t>The</w:t>
      </w:r>
      <w:r>
        <w:rPr>
          <w:spacing w:val="-1"/>
          <w:sz w:val="18"/>
          <w:vertAlign w:val="baseline"/>
        </w:rPr>
        <w:t> </w:t>
      </w:r>
      <w:r>
        <w:rPr>
          <w:sz w:val="18"/>
          <w:vertAlign w:val="baseline"/>
        </w:rPr>
        <w:t>Fenway</w:t>
      </w:r>
      <w:r>
        <w:rPr>
          <w:spacing w:val="-2"/>
          <w:sz w:val="18"/>
          <w:vertAlign w:val="baseline"/>
        </w:rPr>
        <w:t> </w:t>
      </w:r>
      <w:r>
        <w:rPr>
          <w:sz w:val="18"/>
          <w:vertAlign w:val="baseline"/>
        </w:rPr>
        <w:t>Institute,</w:t>
      </w:r>
      <w:r>
        <w:rPr>
          <w:spacing w:val="-2"/>
          <w:sz w:val="18"/>
          <w:vertAlign w:val="baseline"/>
        </w:rPr>
        <w:t> </w:t>
      </w:r>
      <w:r>
        <w:rPr>
          <w:sz w:val="18"/>
          <w:vertAlign w:val="baseline"/>
        </w:rPr>
        <w:t>November</w:t>
      </w:r>
      <w:r>
        <w:rPr>
          <w:spacing w:val="-2"/>
          <w:sz w:val="18"/>
          <w:vertAlign w:val="baseline"/>
        </w:rPr>
        <w:t> </w:t>
      </w:r>
      <w:r>
        <w:rPr>
          <w:sz w:val="18"/>
          <w:vertAlign w:val="baseline"/>
        </w:rPr>
        <w:t>2015),</w:t>
      </w:r>
      <w:r>
        <w:rPr>
          <w:spacing w:val="-2"/>
          <w:sz w:val="18"/>
          <w:vertAlign w:val="baseline"/>
        </w:rPr>
        <w:t> </w:t>
      </w:r>
      <w:r>
        <w:rPr>
          <w:sz w:val="18"/>
          <w:vertAlign w:val="baseline"/>
        </w:rPr>
        <w:t>https://fenwayhealth.org/wp- </w:t>
      </w:r>
      <w:r>
        <w:rPr>
          <w:spacing w:val="-2"/>
          <w:sz w:val="18"/>
          <w:vertAlign w:val="baseline"/>
        </w:rPr>
        <w:t>content/uploads/our-health-matters.pdf.</w:t>
      </w:r>
    </w:p>
    <w:p>
      <w:pPr>
        <w:spacing w:before="14"/>
        <w:ind w:left="463" w:right="0" w:firstLine="0"/>
        <w:jc w:val="left"/>
        <w:rPr>
          <w:sz w:val="18"/>
        </w:rPr>
      </w:pPr>
      <w:r>
        <w:rPr>
          <w:sz w:val="18"/>
          <w:vertAlign w:val="superscript"/>
        </w:rPr>
        <w:t>101</w:t>
      </w:r>
      <w:r>
        <w:rPr>
          <w:spacing w:val="-10"/>
          <w:sz w:val="18"/>
          <w:vertAlign w:val="baseline"/>
        </w:rPr>
        <w:t> </w:t>
      </w:r>
      <w:r>
        <w:rPr>
          <w:sz w:val="18"/>
          <w:vertAlign w:val="baseline"/>
        </w:rPr>
        <w:t>Conron</w:t>
      </w:r>
      <w:r>
        <w:rPr>
          <w:spacing w:val="4"/>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1"/>
        <w:ind w:left="463" w:right="0" w:firstLine="0"/>
        <w:jc w:val="left"/>
        <w:rPr>
          <w:sz w:val="18"/>
        </w:rPr>
      </w:pPr>
      <w:r>
        <w:rPr>
          <w:sz w:val="18"/>
          <w:vertAlign w:val="superscript"/>
        </w:rPr>
        <w:t>102</w:t>
      </w:r>
      <w:r>
        <w:rPr>
          <w:spacing w:val="-10"/>
          <w:sz w:val="18"/>
          <w:vertAlign w:val="baseline"/>
        </w:rPr>
        <w:t> </w:t>
      </w:r>
      <w:r>
        <w:rPr>
          <w:sz w:val="18"/>
          <w:vertAlign w:val="baseline"/>
        </w:rPr>
        <w:t>Conron</w:t>
      </w:r>
      <w:r>
        <w:rPr>
          <w:spacing w:val="4"/>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
        <w:ind w:left="463" w:right="0" w:firstLine="0"/>
        <w:jc w:val="left"/>
        <w:rPr>
          <w:sz w:val="18"/>
        </w:rPr>
      </w:pPr>
      <w:r>
        <w:rPr>
          <w:sz w:val="18"/>
          <w:vertAlign w:val="superscript"/>
        </w:rPr>
        <w:t>103</w:t>
      </w:r>
      <w:r>
        <w:rPr>
          <w:spacing w:val="-10"/>
          <w:sz w:val="18"/>
          <w:vertAlign w:val="baseline"/>
        </w:rPr>
        <w:t> </w:t>
      </w:r>
      <w:r>
        <w:rPr>
          <w:sz w:val="18"/>
          <w:vertAlign w:val="baseline"/>
        </w:rPr>
        <w:t>Conron</w:t>
      </w:r>
      <w:r>
        <w:rPr>
          <w:spacing w:val="4"/>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
        <w:ind w:left="463" w:right="0" w:firstLine="0"/>
        <w:jc w:val="left"/>
        <w:rPr>
          <w:sz w:val="18"/>
        </w:rPr>
      </w:pPr>
      <w:r>
        <w:rPr>
          <w:sz w:val="18"/>
          <w:vertAlign w:val="superscript"/>
        </w:rPr>
        <w:t>104</w:t>
      </w:r>
      <w:r>
        <w:rPr>
          <w:spacing w:val="-10"/>
          <w:sz w:val="18"/>
          <w:vertAlign w:val="baseline"/>
        </w:rPr>
        <w:t> </w:t>
      </w:r>
      <w:r>
        <w:rPr>
          <w:sz w:val="18"/>
          <w:vertAlign w:val="baseline"/>
        </w:rPr>
        <w:t>Conron</w:t>
      </w:r>
      <w:r>
        <w:rPr>
          <w:spacing w:val="4"/>
          <w:sz w:val="18"/>
          <w:vertAlign w:val="baseline"/>
        </w:rPr>
        <w:t> </w:t>
      </w:r>
      <w:r>
        <w:rPr>
          <w:sz w:val="18"/>
          <w:vertAlign w:val="baseline"/>
        </w:rPr>
        <w:t>et</w:t>
      </w:r>
      <w:r>
        <w:rPr>
          <w:spacing w:val="2"/>
          <w:sz w:val="18"/>
          <w:vertAlign w:val="baseline"/>
        </w:rPr>
        <w:t> </w:t>
      </w:r>
      <w:r>
        <w:rPr>
          <w:spacing w:val="-5"/>
          <w:sz w:val="18"/>
          <w:vertAlign w:val="baseline"/>
        </w:rPr>
        <w:t>al.</w:t>
      </w:r>
    </w:p>
    <w:p>
      <w:pPr>
        <w:spacing w:before="3"/>
        <w:ind w:left="463" w:right="0" w:firstLine="0"/>
        <w:jc w:val="left"/>
        <w:rPr>
          <w:sz w:val="18"/>
        </w:rPr>
      </w:pPr>
      <w:r>
        <w:rPr>
          <w:sz w:val="18"/>
          <w:vertAlign w:val="superscript"/>
        </w:rPr>
        <w:t>105</w:t>
      </w:r>
      <w:r>
        <w:rPr>
          <w:spacing w:val="-10"/>
          <w:sz w:val="18"/>
          <w:vertAlign w:val="baseline"/>
        </w:rPr>
        <w:t> </w:t>
      </w:r>
      <w:r>
        <w:rPr>
          <w:sz w:val="18"/>
          <w:vertAlign w:val="baseline"/>
        </w:rPr>
        <w:t>Conron</w:t>
      </w:r>
      <w:r>
        <w:rPr>
          <w:spacing w:val="4"/>
          <w:sz w:val="18"/>
          <w:vertAlign w:val="baseline"/>
        </w:rPr>
        <w:t> </w:t>
      </w:r>
      <w:r>
        <w:rPr>
          <w:sz w:val="18"/>
          <w:vertAlign w:val="baseline"/>
        </w:rPr>
        <w:t>et</w:t>
      </w:r>
      <w:r>
        <w:rPr>
          <w:spacing w:val="2"/>
          <w:sz w:val="18"/>
          <w:vertAlign w:val="baseline"/>
        </w:rPr>
        <w:t> </w:t>
      </w:r>
      <w:r>
        <w:rPr>
          <w:spacing w:val="-5"/>
          <w:sz w:val="18"/>
          <w:vertAlign w:val="baseline"/>
        </w:rPr>
        <w:t>al.</w:t>
      </w:r>
    </w:p>
    <w:p>
      <w:pPr>
        <w:spacing w:after="0"/>
        <w:jc w:val="left"/>
        <w:rPr>
          <w:sz w:val="18"/>
        </w:rPr>
        <w:sectPr>
          <w:pgSz w:w="11910" w:h="16840"/>
          <w:pgMar w:header="804" w:footer="1277" w:top="1080" w:bottom="1480" w:left="980" w:right="900"/>
        </w:sectPr>
      </w:pPr>
    </w:p>
    <w:p>
      <w:pPr>
        <w:spacing w:line="268" w:lineRule="auto" w:before="88"/>
        <w:ind w:left="463" w:right="311" w:firstLine="0"/>
        <w:jc w:val="left"/>
        <w:rPr>
          <w:sz w:val="18"/>
        </w:rPr>
      </w:pPr>
      <w:r>
        <w:rPr>
          <w:sz w:val="18"/>
          <w:vertAlign w:val="superscript"/>
        </w:rPr>
        <w:t>106</w:t>
      </w:r>
      <w:r>
        <w:rPr>
          <w:spacing w:val="-6"/>
          <w:sz w:val="18"/>
          <w:vertAlign w:val="baseline"/>
        </w:rPr>
        <w:t> </w:t>
      </w:r>
      <w:r>
        <w:rPr>
          <w:sz w:val="18"/>
          <w:vertAlign w:val="baseline"/>
        </w:rPr>
        <w:t>Wakeman, Sarah E., Eugene Lambert, Sunny Kung, Nicholas M. Brisbon, Aleta D. Carroll, Thu-Trang Hickman, Charles Covahey,</w:t>
      </w:r>
      <w:r>
        <w:rPr>
          <w:spacing w:val="-3"/>
          <w:sz w:val="18"/>
          <w:vertAlign w:val="baseline"/>
        </w:rPr>
        <w:t> </w:t>
      </w:r>
      <w:r>
        <w:rPr>
          <w:sz w:val="18"/>
          <w:vertAlign w:val="baseline"/>
        </w:rPr>
        <w:t>Thomas</w:t>
      </w:r>
      <w:r>
        <w:rPr>
          <w:spacing w:val="-2"/>
          <w:sz w:val="18"/>
          <w:vertAlign w:val="baseline"/>
        </w:rPr>
        <w:t> </w:t>
      </w:r>
      <w:r>
        <w:rPr>
          <w:sz w:val="18"/>
          <w:vertAlign w:val="baseline"/>
        </w:rPr>
        <w:t>D.</w:t>
      </w:r>
      <w:r>
        <w:rPr>
          <w:spacing w:val="-2"/>
          <w:sz w:val="18"/>
          <w:vertAlign w:val="baseline"/>
        </w:rPr>
        <w:t> </w:t>
      </w:r>
      <w:r>
        <w:rPr>
          <w:sz w:val="18"/>
          <w:vertAlign w:val="baseline"/>
        </w:rPr>
        <w:t>Sequist,</w:t>
      </w:r>
      <w:r>
        <w:rPr>
          <w:spacing w:val="-3"/>
          <w:sz w:val="18"/>
          <w:vertAlign w:val="baseline"/>
        </w:rPr>
        <w:t> </w:t>
      </w:r>
      <w:r>
        <w:rPr>
          <w:sz w:val="18"/>
          <w:vertAlign w:val="baseline"/>
        </w:rPr>
        <w:t>and</w:t>
      </w:r>
      <w:r>
        <w:rPr>
          <w:spacing w:val="-3"/>
          <w:sz w:val="18"/>
          <w:vertAlign w:val="baseline"/>
        </w:rPr>
        <w:t> </w:t>
      </w:r>
      <w:r>
        <w:rPr>
          <w:sz w:val="18"/>
          <w:vertAlign w:val="baseline"/>
        </w:rPr>
        <w:t>Scott</w:t>
      </w:r>
      <w:r>
        <w:rPr>
          <w:spacing w:val="-3"/>
          <w:sz w:val="18"/>
          <w:vertAlign w:val="baseline"/>
        </w:rPr>
        <w:t> </w:t>
      </w:r>
      <w:r>
        <w:rPr>
          <w:sz w:val="18"/>
          <w:vertAlign w:val="baseline"/>
        </w:rPr>
        <w:t>G.</w:t>
      </w:r>
      <w:r>
        <w:rPr>
          <w:spacing w:val="-2"/>
          <w:sz w:val="18"/>
          <w:vertAlign w:val="baseline"/>
        </w:rPr>
        <w:t> </w:t>
      </w:r>
      <w:r>
        <w:rPr>
          <w:sz w:val="18"/>
          <w:vertAlign w:val="baseline"/>
        </w:rPr>
        <w:t>Weiner.</w:t>
      </w:r>
      <w:r>
        <w:rPr>
          <w:spacing w:val="-2"/>
          <w:sz w:val="18"/>
          <w:vertAlign w:val="baseline"/>
        </w:rPr>
        <w:t> </w:t>
      </w:r>
      <w:r>
        <w:rPr>
          <w:sz w:val="18"/>
          <w:vertAlign w:val="baseline"/>
        </w:rPr>
        <w:t>"Trends</w:t>
      </w:r>
      <w:r>
        <w:rPr>
          <w:spacing w:val="-2"/>
          <w:sz w:val="18"/>
          <w:vertAlign w:val="baseline"/>
        </w:rPr>
        <w:t> </w:t>
      </w:r>
      <w:r>
        <w:rPr>
          <w:sz w:val="18"/>
          <w:vertAlign w:val="baseline"/>
        </w:rPr>
        <w:t>in</w:t>
      </w:r>
      <w:r>
        <w:rPr>
          <w:spacing w:val="-2"/>
          <w:sz w:val="18"/>
          <w:vertAlign w:val="baseline"/>
        </w:rPr>
        <w:t> </w:t>
      </w:r>
      <w:r>
        <w:rPr>
          <w:sz w:val="18"/>
          <w:vertAlign w:val="baseline"/>
        </w:rPr>
        <w:t>buprenorphine</w:t>
      </w:r>
      <w:r>
        <w:rPr>
          <w:spacing w:val="-2"/>
          <w:sz w:val="18"/>
          <w:vertAlign w:val="baseline"/>
        </w:rPr>
        <w:t> </w:t>
      </w:r>
      <w:r>
        <w:rPr>
          <w:sz w:val="18"/>
          <w:vertAlign w:val="baseline"/>
        </w:rPr>
        <w:t>treatment</w:t>
      </w:r>
      <w:r>
        <w:rPr>
          <w:spacing w:val="-3"/>
          <w:sz w:val="18"/>
          <w:vertAlign w:val="baseline"/>
        </w:rPr>
        <w:t> </w:t>
      </w:r>
      <w:r>
        <w:rPr>
          <w:sz w:val="18"/>
          <w:vertAlign w:val="baseline"/>
        </w:rPr>
        <w:t>disparities</w:t>
      </w:r>
      <w:r>
        <w:rPr>
          <w:spacing w:val="-2"/>
          <w:sz w:val="18"/>
          <w:vertAlign w:val="baseline"/>
        </w:rPr>
        <w:t> </w:t>
      </w:r>
      <w:r>
        <w:rPr>
          <w:sz w:val="18"/>
          <w:vertAlign w:val="baseline"/>
        </w:rPr>
        <w:t>during</w:t>
      </w:r>
      <w:r>
        <w:rPr>
          <w:spacing w:val="-2"/>
          <w:sz w:val="18"/>
          <w:vertAlign w:val="baseline"/>
        </w:rPr>
        <w:t> </w:t>
      </w:r>
      <w:r>
        <w:rPr>
          <w:sz w:val="18"/>
          <w:vertAlign w:val="baseline"/>
        </w:rPr>
        <w:t>the</w:t>
      </w:r>
      <w:r>
        <w:rPr>
          <w:spacing w:val="-2"/>
          <w:sz w:val="18"/>
          <w:vertAlign w:val="baseline"/>
        </w:rPr>
        <w:t> </w:t>
      </w:r>
      <w:r>
        <w:rPr>
          <w:sz w:val="18"/>
          <w:vertAlign w:val="baseline"/>
        </w:rPr>
        <w:t>COVID</w:t>
      </w:r>
      <w:r>
        <w:rPr>
          <w:spacing w:val="-3"/>
          <w:sz w:val="18"/>
          <w:vertAlign w:val="baseline"/>
        </w:rPr>
        <w:t> </w:t>
      </w:r>
      <w:r>
        <w:rPr>
          <w:sz w:val="18"/>
          <w:vertAlign w:val="baseline"/>
        </w:rPr>
        <w:t>pandemic in Massachusetts." Substance Abuse 43, no. 1 (2022): 1317-1321.</w:t>
      </w:r>
    </w:p>
    <w:p>
      <w:pPr>
        <w:spacing w:line="268" w:lineRule="auto" w:before="13"/>
        <w:ind w:left="463" w:right="311" w:firstLine="0"/>
        <w:jc w:val="left"/>
        <w:rPr>
          <w:sz w:val="18"/>
        </w:rPr>
      </w:pPr>
      <w:r>
        <w:rPr>
          <w:sz w:val="18"/>
          <w:vertAlign w:val="superscript"/>
        </w:rPr>
        <w:t>107</w:t>
      </w:r>
      <w:r>
        <w:rPr>
          <w:spacing w:val="-12"/>
          <w:sz w:val="18"/>
          <w:vertAlign w:val="baseline"/>
        </w:rPr>
        <w:t> </w:t>
      </w:r>
      <w:r>
        <w:rPr>
          <w:sz w:val="18"/>
          <w:vertAlign w:val="baseline"/>
        </w:rPr>
        <w:t>Amy</w:t>
      </w:r>
      <w:r>
        <w:rPr>
          <w:spacing w:val="-2"/>
          <w:sz w:val="18"/>
          <w:vertAlign w:val="baseline"/>
        </w:rPr>
        <w:t> </w:t>
      </w:r>
      <w:r>
        <w:rPr>
          <w:sz w:val="18"/>
          <w:vertAlign w:val="baseline"/>
        </w:rPr>
        <w:t>L.</w:t>
      </w:r>
      <w:r>
        <w:rPr>
          <w:spacing w:val="-1"/>
          <w:sz w:val="18"/>
          <w:vertAlign w:val="baseline"/>
        </w:rPr>
        <w:t> </w:t>
      </w:r>
      <w:r>
        <w:rPr>
          <w:sz w:val="18"/>
          <w:vertAlign w:val="baseline"/>
        </w:rPr>
        <w:t>Gower</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“Supporting</w:t>
      </w:r>
      <w:r>
        <w:rPr>
          <w:spacing w:val="-1"/>
          <w:sz w:val="18"/>
          <w:vertAlign w:val="baseline"/>
        </w:rPr>
        <w:t> </w:t>
      </w:r>
      <w:r>
        <w:rPr>
          <w:sz w:val="18"/>
          <w:vertAlign w:val="baseline"/>
        </w:rPr>
        <w:t>Transgender</w:t>
      </w:r>
      <w:r>
        <w:rPr>
          <w:spacing w:val="-3"/>
          <w:sz w:val="18"/>
          <w:vertAlign w:val="baseline"/>
        </w:rPr>
        <w:t> </w:t>
      </w:r>
      <w:r>
        <w:rPr>
          <w:sz w:val="18"/>
          <w:vertAlign w:val="baseline"/>
        </w:rPr>
        <w:t>and</w:t>
      </w:r>
      <w:r>
        <w:rPr>
          <w:spacing w:val="-1"/>
          <w:sz w:val="18"/>
          <w:vertAlign w:val="baseline"/>
        </w:rPr>
        <w:t> </w:t>
      </w:r>
      <w:r>
        <w:rPr>
          <w:sz w:val="18"/>
          <w:vertAlign w:val="baseline"/>
        </w:rPr>
        <w:t>Gender</w:t>
      </w:r>
      <w:r>
        <w:rPr>
          <w:spacing w:val="-2"/>
          <w:sz w:val="18"/>
          <w:vertAlign w:val="baseline"/>
        </w:rPr>
        <w:t> </w:t>
      </w:r>
      <w:r>
        <w:rPr>
          <w:sz w:val="18"/>
          <w:vertAlign w:val="baseline"/>
        </w:rPr>
        <w:t>Diverse</w:t>
      </w:r>
      <w:r>
        <w:rPr>
          <w:spacing w:val="-1"/>
          <w:sz w:val="18"/>
          <w:vertAlign w:val="baseline"/>
        </w:rPr>
        <w:t> </w:t>
      </w:r>
      <w:r>
        <w:rPr>
          <w:sz w:val="18"/>
          <w:vertAlign w:val="baseline"/>
        </w:rPr>
        <w:t>Youth:</w:t>
      </w:r>
      <w:r>
        <w:rPr>
          <w:spacing w:val="-1"/>
          <w:sz w:val="18"/>
          <w:vertAlign w:val="baseline"/>
        </w:rPr>
        <w:t> </w:t>
      </w:r>
      <w:r>
        <w:rPr>
          <w:sz w:val="18"/>
          <w:vertAlign w:val="baseline"/>
        </w:rPr>
        <w:t>Protection</w:t>
      </w:r>
      <w:r>
        <w:rPr>
          <w:spacing w:val="-1"/>
          <w:sz w:val="18"/>
          <w:vertAlign w:val="baseline"/>
        </w:rPr>
        <w:t> </w:t>
      </w:r>
      <w:r>
        <w:rPr>
          <w:sz w:val="18"/>
          <w:vertAlign w:val="baseline"/>
        </w:rPr>
        <w:t>Against</w:t>
      </w:r>
      <w:r>
        <w:rPr>
          <w:spacing w:val="-2"/>
          <w:sz w:val="18"/>
          <w:vertAlign w:val="baseline"/>
        </w:rPr>
        <w:t> </w:t>
      </w:r>
      <w:r>
        <w:rPr>
          <w:sz w:val="18"/>
          <w:vertAlign w:val="baseline"/>
        </w:rPr>
        <w:t>Emotional</w:t>
      </w:r>
      <w:r>
        <w:rPr>
          <w:spacing w:val="-2"/>
          <w:sz w:val="18"/>
          <w:vertAlign w:val="baseline"/>
        </w:rPr>
        <w:t> </w:t>
      </w:r>
      <w:r>
        <w:rPr>
          <w:sz w:val="18"/>
          <w:vertAlign w:val="baseline"/>
        </w:rPr>
        <w:t>Distress</w:t>
      </w:r>
      <w:r>
        <w:rPr>
          <w:spacing w:val="-1"/>
          <w:sz w:val="18"/>
          <w:vertAlign w:val="baseline"/>
        </w:rPr>
        <w:t> </w:t>
      </w:r>
      <w:r>
        <w:rPr>
          <w:sz w:val="18"/>
          <w:vertAlign w:val="baseline"/>
        </w:rPr>
        <w:t>and Substance Use,” </w:t>
      </w:r>
      <w:r>
        <w:rPr>
          <w:i/>
          <w:sz w:val="18"/>
          <w:vertAlign w:val="baseline"/>
        </w:rPr>
        <w:t>American Journal of Preventive Medicine </w:t>
      </w:r>
      <w:r>
        <w:rPr>
          <w:sz w:val="18"/>
          <w:vertAlign w:val="baseline"/>
        </w:rPr>
        <w:t>55, no. 6 (December 1, 2018): 787–94, </w:t>
      </w:r>
      <w:r>
        <w:rPr>
          <w:spacing w:val="-2"/>
          <w:sz w:val="18"/>
          <w:vertAlign w:val="baseline"/>
        </w:rPr>
        <w:t>https://doi.org/10.1016/j.amepre.2018.06.030.</w:t>
      </w:r>
    </w:p>
    <w:p>
      <w:pPr>
        <w:spacing w:before="14"/>
        <w:ind w:left="463" w:right="0" w:firstLine="0"/>
        <w:jc w:val="left"/>
        <w:rPr>
          <w:sz w:val="18"/>
        </w:rPr>
      </w:pPr>
      <w:r>
        <w:rPr>
          <w:sz w:val="18"/>
          <w:vertAlign w:val="superscript"/>
        </w:rPr>
        <w:t>108</w:t>
      </w:r>
      <w:r>
        <w:rPr>
          <w:spacing w:val="-10"/>
          <w:sz w:val="18"/>
          <w:vertAlign w:val="baseline"/>
        </w:rPr>
        <w:t> </w:t>
      </w:r>
      <w:r>
        <w:rPr>
          <w:sz w:val="18"/>
          <w:vertAlign w:val="baseline"/>
        </w:rPr>
        <w:t>Gower</w:t>
      </w:r>
      <w:r>
        <w:rPr>
          <w:spacing w:val="3"/>
          <w:sz w:val="18"/>
          <w:vertAlign w:val="baseline"/>
        </w:rPr>
        <w:t> </w:t>
      </w:r>
      <w:r>
        <w:rPr>
          <w:sz w:val="18"/>
          <w:vertAlign w:val="baseline"/>
        </w:rPr>
        <w:t>et</w:t>
      </w:r>
      <w:r>
        <w:rPr>
          <w:spacing w:val="3"/>
          <w:sz w:val="18"/>
          <w:vertAlign w:val="baseline"/>
        </w:rPr>
        <w:t> </w:t>
      </w:r>
      <w:r>
        <w:rPr>
          <w:spacing w:val="-5"/>
          <w:sz w:val="18"/>
          <w:vertAlign w:val="baseline"/>
        </w:rPr>
        <w:t>al.</w:t>
      </w:r>
    </w:p>
    <w:p>
      <w:pPr>
        <w:spacing w:before="31"/>
        <w:ind w:left="463" w:right="0" w:firstLine="0"/>
        <w:jc w:val="left"/>
        <w:rPr>
          <w:sz w:val="18"/>
        </w:rPr>
      </w:pPr>
      <w:r>
        <w:rPr>
          <w:sz w:val="18"/>
          <w:vertAlign w:val="superscript"/>
        </w:rPr>
        <w:t>109</w:t>
      </w:r>
      <w:r>
        <w:rPr>
          <w:spacing w:val="-10"/>
          <w:sz w:val="18"/>
          <w:vertAlign w:val="baseline"/>
        </w:rPr>
        <w:t> </w:t>
      </w:r>
      <w:r>
        <w:rPr>
          <w:sz w:val="18"/>
          <w:vertAlign w:val="baseline"/>
        </w:rPr>
        <w:t>Gower</w:t>
      </w:r>
      <w:r>
        <w:rPr>
          <w:spacing w:val="3"/>
          <w:sz w:val="18"/>
          <w:vertAlign w:val="baseline"/>
        </w:rPr>
        <w:t> </w:t>
      </w:r>
      <w:r>
        <w:rPr>
          <w:sz w:val="18"/>
          <w:vertAlign w:val="baseline"/>
        </w:rPr>
        <w:t>et</w:t>
      </w:r>
      <w:r>
        <w:rPr>
          <w:spacing w:val="3"/>
          <w:sz w:val="18"/>
          <w:vertAlign w:val="baseline"/>
        </w:rPr>
        <w:t> </w:t>
      </w:r>
      <w:r>
        <w:rPr>
          <w:spacing w:val="-5"/>
          <w:sz w:val="18"/>
          <w:vertAlign w:val="baseline"/>
        </w:rPr>
        <w:t>al.</w:t>
      </w:r>
    </w:p>
    <w:p>
      <w:pPr>
        <w:spacing w:line="268" w:lineRule="auto" w:before="20"/>
        <w:ind w:left="463" w:right="311" w:firstLine="0"/>
        <w:jc w:val="left"/>
        <w:rPr>
          <w:sz w:val="18"/>
        </w:rPr>
      </w:pPr>
      <w:r>
        <w:rPr>
          <w:sz w:val="18"/>
          <w:vertAlign w:val="superscript"/>
        </w:rPr>
        <w:t>110</w:t>
      </w:r>
      <w:r>
        <w:rPr>
          <w:spacing w:val="-7"/>
          <w:sz w:val="18"/>
          <w:vertAlign w:val="baseline"/>
        </w:rPr>
        <w:t> </w:t>
      </w:r>
      <w:r>
        <w:rPr>
          <w:sz w:val="18"/>
          <w:vertAlign w:val="baseline"/>
        </w:rPr>
        <w:t>Marla E. Eisenberg et al., “Supportive Community Resources Are Associated with Lower Risk of Substance Use among 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and</w:t>
      </w:r>
      <w:r>
        <w:rPr>
          <w:spacing w:val="-2"/>
          <w:sz w:val="18"/>
          <w:vertAlign w:val="baseline"/>
        </w:rPr>
        <w:t> </w:t>
      </w:r>
      <w:r>
        <w:rPr>
          <w:sz w:val="18"/>
          <w:vertAlign w:val="baseline"/>
        </w:rPr>
        <w:t>Questioning</w:t>
      </w:r>
      <w:r>
        <w:rPr>
          <w:spacing w:val="-2"/>
          <w:sz w:val="18"/>
          <w:vertAlign w:val="baseline"/>
        </w:rPr>
        <w:t> </w:t>
      </w:r>
      <w:r>
        <w:rPr>
          <w:sz w:val="18"/>
          <w:vertAlign w:val="baseline"/>
        </w:rPr>
        <w:t>Adolescents</w:t>
      </w:r>
      <w:r>
        <w:rPr>
          <w:spacing w:val="-2"/>
          <w:sz w:val="18"/>
          <w:vertAlign w:val="baseline"/>
        </w:rPr>
        <w:t> </w:t>
      </w:r>
      <w:r>
        <w:rPr>
          <w:sz w:val="18"/>
          <w:vertAlign w:val="baseline"/>
        </w:rPr>
        <w:t>in</w:t>
      </w:r>
      <w:r>
        <w:rPr>
          <w:spacing w:val="-2"/>
          <w:sz w:val="18"/>
          <w:vertAlign w:val="baseline"/>
        </w:rPr>
        <w:t> </w:t>
      </w:r>
      <w:r>
        <w:rPr>
          <w:sz w:val="18"/>
          <w:vertAlign w:val="baseline"/>
        </w:rPr>
        <w:t>Minnesota,”</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Youth</w:t>
      </w:r>
      <w:r>
        <w:rPr>
          <w:i/>
          <w:spacing w:val="-3"/>
          <w:sz w:val="18"/>
          <w:vertAlign w:val="baseline"/>
        </w:rPr>
        <w:t> </w:t>
      </w:r>
      <w:r>
        <w:rPr>
          <w:i/>
          <w:sz w:val="18"/>
          <w:vertAlign w:val="baseline"/>
        </w:rPr>
        <w:t>and</w:t>
      </w:r>
      <w:r>
        <w:rPr>
          <w:i/>
          <w:spacing w:val="-3"/>
          <w:sz w:val="18"/>
          <w:vertAlign w:val="baseline"/>
        </w:rPr>
        <w:t> </w:t>
      </w:r>
      <w:r>
        <w:rPr>
          <w:i/>
          <w:sz w:val="18"/>
          <w:vertAlign w:val="baseline"/>
        </w:rPr>
        <w:t>Adolescence</w:t>
      </w:r>
      <w:r>
        <w:rPr>
          <w:i/>
          <w:spacing w:val="-2"/>
          <w:sz w:val="18"/>
          <w:vertAlign w:val="baseline"/>
        </w:rPr>
        <w:t> </w:t>
      </w:r>
      <w:r>
        <w:rPr>
          <w:sz w:val="18"/>
          <w:vertAlign w:val="baseline"/>
        </w:rPr>
        <w:t>49,</w:t>
      </w:r>
      <w:r>
        <w:rPr>
          <w:spacing w:val="-3"/>
          <w:sz w:val="18"/>
          <w:vertAlign w:val="baseline"/>
        </w:rPr>
        <w:t> </w:t>
      </w:r>
      <w:r>
        <w:rPr>
          <w:sz w:val="18"/>
          <w:vertAlign w:val="baseline"/>
        </w:rPr>
        <w:t>no.</w:t>
      </w:r>
      <w:r>
        <w:rPr>
          <w:spacing w:val="-2"/>
          <w:sz w:val="18"/>
          <w:vertAlign w:val="baseline"/>
        </w:rPr>
        <w:t> </w:t>
      </w:r>
      <w:r>
        <w:rPr>
          <w:sz w:val="18"/>
          <w:vertAlign w:val="baseline"/>
        </w:rPr>
        <w:t>4</w:t>
      </w:r>
      <w:r>
        <w:rPr>
          <w:spacing w:val="-2"/>
          <w:sz w:val="18"/>
          <w:vertAlign w:val="baseline"/>
        </w:rPr>
        <w:t> </w:t>
      </w:r>
      <w:r>
        <w:rPr>
          <w:sz w:val="18"/>
          <w:vertAlign w:val="baseline"/>
        </w:rPr>
        <w:t>(April</w:t>
      </w:r>
      <w:r>
        <w:rPr>
          <w:spacing w:val="-3"/>
          <w:sz w:val="18"/>
          <w:vertAlign w:val="baseline"/>
        </w:rPr>
        <w:t> </w:t>
      </w:r>
      <w:r>
        <w:rPr>
          <w:sz w:val="18"/>
          <w:vertAlign w:val="baseline"/>
        </w:rPr>
        <w:t>1,</w:t>
      </w:r>
      <w:r>
        <w:rPr>
          <w:spacing w:val="-3"/>
          <w:sz w:val="18"/>
          <w:vertAlign w:val="baseline"/>
        </w:rPr>
        <w:t> </w:t>
      </w:r>
      <w:r>
        <w:rPr>
          <w:sz w:val="18"/>
          <w:vertAlign w:val="baseline"/>
        </w:rPr>
        <w:t>2020): 836–48,</w:t>
      </w:r>
      <w:r>
        <w:rPr>
          <w:spacing w:val="-2"/>
          <w:sz w:val="18"/>
          <w:vertAlign w:val="baseline"/>
        </w:rPr>
        <w:t> </w:t>
      </w:r>
      <w:r>
        <w:rPr>
          <w:sz w:val="18"/>
          <w:vertAlign w:val="baseline"/>
        </w:rPr>
        <w:t>https://doi.org/10.1007/s10964-019-01100-4.</w:t>
      </w:r>
    </w:p>
    <w:p>
      <w:pPr>
        <w:spacing w:line="217" w:lineRule="exact" w:before="0"/>
        <w:ind w:left="463" w:right="0" w:firstLine="0"/>
        <w:jc w:val="left"/>
        <w:rPr>
          <w:sz w:val="18"/>
        </w:rPr>
      </w:pPr>
      <w:r>
        <w:rPr>
          <w:sz w:val="18"/>
          <w:vertAlign w:val="superscript"/>
        </w:rPr>
        <w:t>111</w:t>
      </w:r>
      <w:r>
        <w:rPr>
          <w:spacing w:val="-10"/>
          <w:sz w:val="18"/>
          <w:vertAlign w:val="baseline"/>
        </w:rPr>
        <w:t> </w:t>
      </w:r>
      <w:r>
        <w:rPr>
          <w:sz w:val="18"/>
          <w:vertAlign w:val="baseline"/>
        </w:rPr>
        <w:t>Eisenberg</w:t>
      </w:r>
      <w:r>
        <w:rPr>
          <w:spacing w:val="4"/>
          <w:sz w:val="18"/>
          <w:vertAlign w:val="baseline"/>
        </w:rPr>
        <w:t> </w:t>
      </w:r>
      <w:r>
        <w:rPr>
          <w:sz w:val="18"/>
          <w:vertAlign w:val="baseline"/>
        </w:rPr>
        <w:t>et</w:t>
      </w:r>
      <w:r>
        <w:rPr>
          <w:spacing w:val="1"/>
          <w:sz w:val="18"/>
          <w:vertAlign w:val="baseline"/>
        </w:rPr>
        <w:t> </w:t>
      </w:r>
      <w:r>
        <w:rPr>
          <w:spacing w:val="-5"/>
          <w:sz w:val="18"/>
          <w:vertAlign w:val="baseline"/>
        </w:rPr>
        <w:t>al.</w:t>
      </w:r>
    </w:p>
    <w:p>
      <w:pPr>
        <w:spacing w:line="271" w:lineRule="auto" w:before="21"/>
        <w:ind w:left="463" w:right="311" w:firstLine="0"/>
        <w:jc w:val="left"/>
        <w:rPr>
          <w:sz w:val="18"/>
        </w:rPr>
      </w:pPr>
      <w:r>
        <w:rPr>
          <w:sz w:val="18"/>
          <w:vertAlign w:val="superscript"/>
        </w:rPr>
        <w:t>112</w:t>
      </w:r>
      <w:r>
        <w:rPr>
          <w:spacing w:val="-12"/>
          <w:sz w:val="18"/>
          <w:vertAlign w:val="baseline"/>
        </w:rPr>
        <w:t> </w:t>
      </w:r>
      <w:r>
        <w:rPr>
          <w:sz w:val="18"/>
          <w:vertAlign w:val="baseline"/>
        </w:rPr>
        <w:t>Conron</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1"/>
          <w:sz w:val="18"/>
          <w:vertAlign w:val="baseline"/>
        </w:rPr>
        <w:t> </w:t>
      </w:r>
      <w:r>
        <w:rPr>
          <w:sz w:val="18"/>
          <w:vertAlign w:val="baseline"/>
        </w:rPr>
        <w:t>“Our</w:t>
      </w:r>
      <w:r>
        <w:rPr>
          <w:spacing w:val="-2"/>
          <w:sz w:val="18"/>
          <w:vertAlign w:val="baseline"/>
        </w:rPr>
        <w:t> </w:t>
      </w:r>
      <w:r>
        <w:rPr>
          <w:sz w:val="18"/>
          <w:vertAlign w:val="baseline"/>
        </w:rPr>
        <w:t>Health</w:t>
      </w:r>
      <w:r>
        <w:rPr>
          <w:spacing w:val="-1"/>
          <w:sz w:val="18"/>
          <w:vertAlign w:val="baseline"/>
        </w:rPr>
        <w:t> </w:t>
      </w:r>
      <w:r>
        <w:rPr>
          <w:sz w:val="18"/>
          <w:vertAlign w:val="baseline"/>
        </w:rPr>
        <w:t>Matters:</w:t>
      </w:r>
      <w:r>
        <w:rPr>
          <w:spacing w:val="-1"/>
          <w:sz w:val="18"/>
          <w:vertAlign w:val="baseline"/>
        </w:rPr>
        <w:t> </w:t>
      </w:r>
      <w:r>
        <w:rPr>
          <w:sz w:val="18"/>
          <w:vertAlign w:val="baseline"/>
        </w:rPr>
        <w:t>Mental</w:t>
      </w:r>
      <w:r>
        <w:rPr>
          <w:spacing w:val="-2"/>
          <w:sz w:val="18"/>
          <w:vertAlign w:val="baseline"/>
        </w:rPr>
        <w:t> </w:t>
      </w:r>
      <w:r>
        <w:rPr>
          <w:sz w:val="18"/>
          <w:vertAlign w:val="baseline"/>
        </w:rPr>
        <w:t>Health,</w:t>
      </w:r>
      <w:r>
        <w:rPr>
          <w:spacing w:val="-2"/>
          <w:sz w:val="18"/>
          <w:vertAlign w:val="baseline"/>
        </w:rPr>
        <w:t> </w:t>
      </w:r>
      <w:r>
        <w:rPr>
          <w:sz w:val="18"/>
          <w:vertAlign w:val="baseline"/>
        </w:rPr>
        <w:t>Risk,</w:t>
      </w:r>
      <w:r>
        <w:rPr>
          <w:spacing w:val="-2"/>
          <w:sz w:val="18"/>
          <w:vertAlign w:val="baseline"/>
        </w:rPr>
        <w:t> </w:t>
      </w:r>
      <w:r>
        <w:rPr>
          <w:sz w:val="18"/>
          <w:vertAlign w:val="baseline"/>
        </w:rPr>
        <w:t>and</w:t>
      </w:r>
      <w:r>
        <w:rPr>
          <w:spacing w:val="-1"/>
          <w:sz w:val="18"/>
          <w:vertAlign w:val="baseline"/>
        </w:rPr>
        <w:t> </w:t>
      </w:r>
      <w:r>
        <w:rPr>
          <w:sz w:val="18"/>
          <w:vertAlign w:val="baseline"/>
        </w:rPr>
        <w:t>Resilience</w:t>
      </w:r>
      <w:r>
        <w:rPr>
          <w:spacing w:val="-1"/>
          <w:sz w:val="18"/>
          <w:vertAlign w:val="baseline"/>
        </w:rPr>
        <w:t> </w:t>
      </w:r>
      <w:r>
        <w:rPr>
          <w:sz w:val="18"/>
          <w:vertAlign w:val="baseline"/>
        </w:rPr>
        <w:t>among</w:t>
      </w:r>
      <w:r>
        <w:rPr>
          <w:spacing w:val="-2"/>
          <w:sz w:val="18"/>
          <w:vertAlign w:val="baseline"/>
        </w:rPr>
        <w:t> </w:t>
      </w:r>
      <w:r>
        <w:rPr>
          <w:sz w:val="18"/>
          <w:vertAlign w:val="baseline"/>
        </w:rPr>
        <w:t>LGBTQ</w:t>
      </w:r>
      <w:r>
        <w:rPr>
          <w:spacing w:val="-1"/>
          <w:sz w:val="18"/>
          <w:vertAlign w:val="baseline"/>
        </w:rPr>
        <w:t> </w:t>
      </w:r>
      <w:r>
        <w:rPr>
          <w:sz w:val="18"/>
          <w:vertAlign w:val="baseline"/>
        </w:rPr>
        <w:t>Youth</w:t>
      </w:r>
      <w:r>
        <w:rPr>
          <w:spacing w:val="-1"/>
          <w:sz w:val="18"/>
          <w:vertAlign w:val="baseline"/>
        </w:rPr>
        <w:t> </w:t>
      </w:r>
      <w:r>
        <w:rPr>
          <w:sz w:val="18"/>
          <w:vertAlign w:val="baseline"/>
        </w:rPr>
        <w:t>of</w:t>
      </w:r>
      <w:r>
        <w:rPr>
          <w:spacing w:val="-2"/>
          <w:sz w:val="18"/>
          <w:vertAlign w:val="baseline"/>
        </w:rPr>
        <w:t> </w:t>
      </w:r>
      <w:r>
        <w:rPr>
          <w:sz w:val="18"/>
          <w:vertAlign w:val="baseline"/>
        </w:rPr>
        <w:t>Color</w:t>
      </w:r>
      <w:r>
        <w:rPr>
          <w:spacing w:val="-2"/>
          <w:sz w:val="18"/>
          <w:vertAlign w:val="baseline"/>
        </w:rPr>
        <w:t> </w:t>
      </w:r>
      <w:r>
        <w:rPr>
          <w:sz w:val="18"/>
          <w:vertAlign w:val="baseline"/>
        </w:rPr>
        <w:t>Who</w:t>
      </w:r>
      <w:r>
        <w:rPr>
          <w:spacing w:val="-1"/>
          <w:sz w:val="18"/>
          <w:vertAlign w:val="baseline"/>
        </w:rPr>
        <w:t> </w:t>
      </w:r>
      <w:r>
        <w:rPr>
          <w:sz w:val="18"/>
          <w:vertAlign w:val="baseline"/>
        </w:rPr>
        <w:t>Live,</w:t>
      </w:r>
      <w:r>
        <w:rPr>
          <w:spacing w:val="-2"/>
          <w:sz w:val="18"/>
          <w:vertAlign w:val="baseline"/>
        </w:rPr>
        <w:t> </w:t>
      </w:r>
      <w:r>
        <w:rPr>
          <w:sz w:val="18"/>
          <w:vertAlign w:val="baseline"/>
        </w:rPr>
        <w:t>Work,</w:t>
      </w:r>
      <w:r>
        <w:rPr>
          <w:spacing w:val="-2"/>
          <w:sz w:val="18"/>
          <w:vertAlign w:val="baseline"/>
        </w:rPr>
        <w:t> </w:t>
      </w:r>
      <w:r>
        <w:rPr>
          <w:sz w:val="18"/>
          <w:vertAlign w:val="baseline"/>
        </w:rPr>
        <w:t>or Play in Boston.”</w:t>
      </w:r>
    </w:p>
    <w:p>
      <w:pPr>
        <w:spacing w:line="215" w:lineRule="exact" w:before="0"/>
        <w:ind w:left="463" w:right="0" w:firstLine="0"/>
        <w:jc w:val="left"/>
        <w:rPr>
          <w:sz w:val="18"/>
        </w:rPr>
      </w:pPr>
      <w:r>
        <w:rPr>
          <w:sz w:val="18"/>
          <w:vertAlign w:val="superscript"/>
        </w:rPr>
        <w:t>113</w:t>
      </w:r>
      <w:r>
        <w:rPr>
          <w:spacing w:val="-12"/>
          <w:sz w:val="18"/>
          <w:vertAlign w:val="baseline"/>
        </w:rPr>
        <w:t> </w:t>
      </w:r>
      <w:r>
        <w:rPr>
          <w:sz w:val="18"/>
          <w:vertAlign w:val="baseline"/>
        </w:rPr>
        <w:t>Rotheram-Borus,</w:t>
      </w:r>
      <w:r>
        <w:rPr>
          <w:spacing w:val="-3"/>
          <w:sz w:val="18"/>
          <w:vertAlign w:val="baseline"/>
        </w:rPr>
        <w:t> </w:t>
      </w:r>
      <w:r>
        <w:rPr>
          <w:sz w:val="18"/>
          <w:vertAlign w:val="baseline"/>
        </w:rPr>
        <w:t>Lee,</w:t>
      </w:r>
      <w:r>
        <w:rPr>
          <w:spacing w:val="-1"/>
          <w:sz w:val="18"/>
          <w:vertAlign w:val="baseline"/>
        </w:rPr>
        <w:t> </w:t>
      </w:r>
      <w:r>
        <w:rPr>
          <w:sz w:val="18"/>
          <w:vertAlign w:val="baseline"/>
        </w:rPr>
        <w:t>and</w:t>
      </w:r>
      <w:r>
        <w:rPr>
          <w:spacing w:val="-1"/>
          <w:sz w:val="18"/>
          <w:vertAlign w:val="baseline"/>
        </w:rPr>
        <w:t> </w:t>
      </w:r>
      <w:r>
        <w:rPr>
          <w:sz w:val="18"/>
          <w:vertAlign w:val="baseline"/>
        </w:rPr>
        <w:t>Swendeman,</w:t>
      </w:r>
      <w:r>
        <w:rPr>
          <w:spacing w:val="-1"/>
          <w:sz w:val="18"/>
          <w:vertAlign w:val="baseline"/>
        </w:rPr>
        <w:t> </w:t>
      </w:r>
      <w:r>
        <w:rPr>
          <w:sz w:val="18"/>
          <w:vertAlign w:val="baseline"/>
        </w:rPr>
        <w:t>“Getting</w:t>
      </w:r>
      <w:r>
        <w:rPr>
          <w:spacing w:val="-1"/>
          <w:sz w:val="18"/>
          <w:vertAlign w:val="baseline"/>
        </w:rPr>
        <w:t> </w:t>
      </w:r>
      <w:r>
        <w:rPr>
          <w:sz w:val="18"/>
          <w:vertAlign w:val="baseline"/>
        </w:rPr>
        <w:t>to</w:t>
      </w:r>
      <w:r>
        <w:rPr>
          <w:spacing w:val="-1"/>
          <w:sz w:val="18"/>
          <w:vertAlign w:val="baseline"/>
        </w:rPr>
        <w:t> </w:t>
      </w:r>
      <w:r>
        <w:rPr>
          <w:sz w:val="18"/>
          <w:vertAlign w:val="baseline"/>
        </w:rPr>
        <w:t>Zero HIV</w:t>
      </w:r>
      <w:r>
        <w:rPr>
          <w:spacing w:val="-1"/>
          <w:sz w:val="18"/>
          <w:vertAlign w:val="baseline"/>
        </w:rPr>
        <w:t> </w:t>
      </w:r>
      <w:r>
        <w:rPr>
          <w:sz w:val="18"/>
          <w:vertAlign w:val="baseline"/>
        </w:rPr>
        <w:t>Among</w:t>
      </w:r>
      <w:r>
        <w:rPr>
          <w:spacing w:val="-1"/>
          <w:sz w:val="18"/>
          <w:vertAlign w:val="baseline"/>
        </w:rPr>
        <w:t> </w:t>
      </w:r>
      <w:r>
        <w:rPr>
          <w:spacing w:val="-2"/>
          <w:sz w:val="18"/>
          <w:vertAlign w:val="baseline"/>
        </w:rPr>
        <w:t>Youth.”</w:t>
      </w:r>
    </w:p>
    <w:p>
      <w:pPr>
        <w:spacing w:line="268" w:lineRule="auto" w:before="20"/>
        <w:ind w:left="463" w:right="376" w:hanging="1"/>
        <w:jc w:val="left"/>
        <w:rPr>
          <w:sz w:val="18"/>
        </w:rPr>
      </w:pPr>
      <w:r>
        <w:rPr>
          <w:sz w:val="18"/>
          <w:vertAlign w:val="superscript"/>
        </w:rPr>
        <w:t>114</w:t>
      </w:r>
      <w:r>
        <w:rPr>
          <w:spacing w:val="-12"/>
          <w:sz w:val="18"/>
          <w:vertAlign w:val="baseline"/>
        </w:rPr>
        <w:t> </w:t>
      </w:r>
      <w:r>
        <w:rPr>
          <w:sz w:val="18"/>
          <w:vertAlign w:val="baseline"/>
        </w:rPr>
        <w:t>Keith</w:t>
      </w:r>
      <w:r>
        <w:rPr>
          <w:spacing w:val="-2"/>
          <w:sz w:val="18"/>
          <w:vertAlign w:val="baseline"/>
        </w:rPr>
        <w:t> </w:t>
      </w:r>
      <w:r>
        <w:rPr>
          <w:sz w:val="18"/>
          <w:vertAlign w:val="baseline"/>
        </w:rPr>
        <w:t>James</w:t>
      </w:r>
      <w:r>
        <w:rPr>
          <w:spacing w:val="-1"/>
          <w:sz w:val="18"/>
          <w:vertAlign w:val="baseline"/>
        </w:rPr>
        <w:t> </w:t>
      </w:r>
      <w:r>
        <w:rPr>
          <w:sz w:val="18"/>
          <w:vertAlign w:val="baseline"/>
        </w:rPr>
        <w:t>Topping,</w:t>
      </w:r>
      <w:r>
        <w:rPr>
          <w:spacing w:val="-2"/>
          <w:sz w:val="18"/>
          <w:vertAlign w:val="baseline"/>
        </w:rPr>
        <w:t> </w:t>
      </w:r>
      <w:r>
        <w:rPr>
          <w:sz w:val="18"/>
          <w:vertAlign w:val="baseline"/>
        </w:rPr>
        <w:t>“Peer</w:t>
      </w:r>
      <w:r>
        <w:rPr>
          <w:spacing w:val="-2"/>
          <w:sz w:val="18"/>
          <w:vertAlign w:val="baseline"/>
        </w:rPr>
        <w:t> </w:t>
      </w:r>
      <w:r>
        <w:rPr>
          <w:sz w:val="18"/>
          <w:vertAlign w:val="baseline"/>
        </w:rPr>
        <w:t>Education</w:t>
      </w:r>
      <w:r>
        <w:rPr>
          <w:spacing w:val="-1"/>
          <w:sz w:val="18"/>
          <w:vertAlign w:val="baseline"/>
        </w:rPr>
        <w:t> </w:t>
      </w:r>
      <w:r>
        <w:rPr>
          <w:sz w:val="18"/>
          <w:vertAlign w:val="baseline"/>
        </w:rPr>
        <w:t>and</w:t>
      </w:r>
      <w:r>
        <w:rPr>
          <w:spacing w:val="-1"/>
          <w:sz w:val="18"/>
          <w:vertAlign w:val="baseline"/>
        </w:rPr>
        <w:t> </w:t>
      </w:r>
      <w:r>
        <w:rPr>
          <w:sz w:val="18"/>
          <w:vertAlign w:val="baseline"/>
        </w:rPr>
        <w:t>Peer</w:t>
      </w:r>
      <w:r>
        <w:rPr>
          <w:spacing w:val="-2"/>
          <w:sz w:val="18"/>
          <w:vertAlign w:val="baseline"/>
        </w:rPr>
        <w:t> </w:t>
      </w:r>
      <w:r>
        <w:rPr>
          <w:sz w:val="18"/>
          <w:vertAlign w:val="baseline"/>
        </w:rPr>
        <w:t>Counselling</w:t>
      </w:r>
      <w:r>
        <w:rPr>
          <w:spacing w:val="-1"/>
          <w:sz w:val="18"/>
          <w:vertAlign w:val="baseline"/>
        </w:rPr>
        <w:t> </w:t>
      </w:r>
      <w:r>
        <w:rPr>
          <w:sz w:val="18"/>
          <w:vertAlign w:val="baseline"/>
        </w:rPr>
        <w:t>for</w:t>
      </w:r>
      <w:r>
        <w:rPr>
          <w:spacing w:val="-2"/>
          <w:sz w:val="18"/>
          <w:vertAlign w:val="baseline"/>
        </w:rPr>
        <w:t> </w:t>
      </w:r>
      <w:r>
        <w:rPr>
          <w:sz w:val="18"/>
          <w:vertAlign w:val="baseline"/>
        </w:rPr>
        <w:t>Health</w:t>
      </w:r>
      <w:r>
        <w:rPr>
          <w:spacing w:val="-1"/>
          <w:sz w:val="18"/>
          <w:vertAlign w:val="baseline"/>
        </w:rPr>
        <w:t> </w:t>
      </w:r>
      <w:r>
        <w:rPr>
          <w:sz w:val="18"/>
          <w:vertAlign w:val="baseline"/>
        </w:rPr>
        <w:t>and</w:t>
      </w:r>
      <w:r>
        <w:rPr>
          <w:spacing w:val="-1"/>
          <w:sz w:val="18"/>
          <w:vertAlign w:val="baseline"/>
        </w:rPr>
        <w:t> </w:t>
      </w:r>
      <w:r>
        <w:rPr>
          <w:sz w:val="18"/>
          <w:vertAlign w:val="baseline"/>
        </w:rPr>
        <w:t>Well-Being:</w:t>
      </w:r>
      <w:r>
        <w:rPr>
          <w:spacing w:val="-1"/>
          <w:sz w:val="18"/>
          <w:vertAlign w:val="baseline"/>
        </w:rPr>
        <w:t> </w:t>
      </w:r>
      <w:r>
        <w:rPr>
          <w:sz w:val="18"/>
          <w:vertAlign w:val="baseline"/>
        </w:rPr>
        <w:t>A</w:t>
      </w:r>
      <w:r>
        <w:rPr>
          <w:spacing w:val="-1"/>
          <w:sz w:val="18"/>
          <w:vertAlign w:val="baseline"/>
        </w:rPr>
        <w:t> </w:t>
      </w:r>
      <w:r>
        <w:rPr>
          <w:sz w:val="18"/>
          <w:vertAlign w:val="baseline"/>
        </w:rPr>
        <w:t>Review</w:t>
      </w:r>
      <w:r>
        <w:rPr>
          <w:spacing w:val="-3"/>
          <w:sz w:val="18"/>
          <w:vertAlign w:val="baseline"/>
        </w:rPr>
        <w:t> </w:t>
      </w:r>
      <w:r>
        <w:rPr>
          <w:sz w:val="18"/>
          <w:vertAlign w:val="baseline"/>
        </w:rPr>
        <w:t>of</w:t>
      </w:r>
      <w:r>
        <w:rPr>
          <w:spacing w:val="-1"/>
          <w:sz w:val="18"/>
          <w:vertAlign w:val="baseline"/>
        </w:rPr>
        <w:t> </w:t>
      </w:r>
      <w:r>
        <w:rPr>
          <w:sz w:val="18"/>
          <w:vertAlign w:val="baseline"/>
        </w:rPr>
        <w:t>Reviews,”</w:t>
      </w:r>
      <w:r>
        <w:rPr>
          <w:spacing w:val="-1"/>
          <w:sz w:val="18"/>
          <w:vertAlign w:val="baseline"/>
        </w:rPr>
        <w:t> </w:t>
      </w:r>
      <w:r>
        <w:rPr>
          <w:i/>
          <w:sz w:val="18"/>
          <w:vertAlign w:val="baseline"/>
        </w:rPr>
        <w:t>International</w:t>
      </w:r>
      <w:r>
        <w:rPr>
          <w:i/>
          <w:sz w:val="18"/>
          <w:vertAlign w:val="baseline"/>
        </w:rPr>
        <w:t> Journal of Environmental Research and Public Health </w:t>
      </w:r>
      <w:r>
        <w:rPr>
          <w:sz w:val="18"/>
          <w:vertAlign w:val="baseline"/>
        </w:rPr>
        <w:t>19, no. 10 (January 2022): 6064,</w:t>
      </w:r>
      <w:r>
        <w:rPr>
          <w:spacing w:val="40"/>
          <w:sz w:val="18"/>
          <w:vertAlign w:val="baseline"/>
        </w:rPr>
        <w:t> </w:t>
      </w:r>
      <w:r>
        <w:rPr>
          <w:spacing w:val="-2"/>
          <w:sz w:val="18"/>
          <w:vertAlign w:val="baseline"/>
        </w:rPr>
        <w:t>https://doi.org/10.3390/ijerph19106064.</w:t>
      </w:r>
    </w:p>
    <w:p>
      <w:pPr>
        <w:spacing w:line="217" w:lineRule="exact" w:before="0"/>
        <w:ind w:left="463" w:right="0" w:firstLine="0"/>
        <w:jc w:val="left"/>
        <w:rPr>
          <w:sz w:val="18"/>
        </w:rPr>
      </w:pPr>
      <w:r>
        <w:rPr>
          <w:w w:val="105"/>
          <w:sz w:val="18"/>
          <w:vertAlign w:val="superscript"/>
        </w:rPr>
        <w:t>115</w:t>
      </w:r>
      <w:r>
        <w:rPr>
          <w:spacing w:val="-11"/>
          <w:w w:val="105"/>
          <w:sz w:val="18"/>
          <w:vertAlign w:val="baseline"/>
        </w:rPr>
        <w:t> </w:t>
      </w:r>
      <w:r>
        <w:rPr>
          <w:spacing w:val="-2"/>
          <w:w w:val="105"/>
          <w:sz w:val="18"/>
          <w:vertAlign w:val="baseline"/>
        </w:rPr>
        <w:t>Topping.</w:t>
      </w:r>
    </w:p>
    <w:p>
      <w:pPr>
        <w:spacing w:line="268" w:lineRule="auto" w:before="20"/>
        <w:ind w:left="463" w:right="362" w:firstLine="0"/>
        <w:jc w:val="both"/>
        <w:rPr>
          <w:sz w:val="18"/>
        </w:rPr>
      </w:pPr>
      <w:r>
        <w:rPr>
          <w:sz w:val="18"/>
          <w:vertAlign w:val="superscript"/>
        </w:rPr>
        <w:t>116</w:t>
      </w:r>
      <w:r>
        <w:rPr>
          <w:spacing w:val="-11"/>
          <w:sz w:val="18"/>
          <w:vertAlign w:val="baseline"/>
        </w:rPr>
        <w:t> </w:t>
      </w:r>
      <w:r>
        <w:rPr>
          <w:sz w:val="18"/>
          <w:vertAlign w:val="baseline"/>
        </w:rPr>
        <w:t>Emily</w:t>
      </w:r>
      <w:r>
        <w:rPr>
          <w:spacing w:val="-3"/>
          <w:sz w:val="18"/>
          <w:vertAlign w:val="baseline"/>
        </w:rPr>
        <w:t> </w:t>
      </w:r>
      <w:r>
        <w:rPr>
          <w:sz w:val="18"/>
          <w:vertAlign w:val="baseline"/>
        </w:rPr>
        <w:t>K.</w:t>
      </w:r>
      <w:r>
        <w:rPr>
          <w:spacing w:val="-1"/>
          <w:sz w:val="18"/>
          <w:vertAlign w:val="baseline"/>
        </w:rPr>
        <w:t> </w:t>
      </w:r>
      <w:r>
        <w:rPr>
          <w:sz w:val="18"/>
          <w:vertAlign w:val="baseline"/>
        </w:rPr>
        <w:t>Jenkins,</w:t>
      </w:r>
      <w:r>
        <w:rPr>
          <w:spacing w:val="-2"/>
          <w:sz w:val="18"/>
          <w:vertAlign w:val="baseline"/>
        </w:rPr>
        <w:t> </w:t>
      </w:r>
      <w:r>
        <w:rPr>
          <w:sz w:val="18"/>
          <w:vertAlign w:val="baseline"/>
        </w:rPr>
        <w:t>Allie</w:t>
      </w:r>
      <w:r>
        <w:rPr>
          <w:spacing w:val="-1"/>
          <w:sz w:val="18"/>
          <w:vertAlign w:val="baseline"/>
        </w:rPr>
        <w:t> </w:t>
      </w:r>
      <w:r>
        <w:rPr>
          <w:sz w:val="18"/>
          <w:vertAlign w:val="baseline"/>
        </w:rPr>
        <w:t>Slemon,</w:t>
      </w:r>
      <w:r>
        <w:rPr>
          <w:spacing w:val="-1"/>
          <w:sz w:val="18"/>
          <w:vertAlign w:val="baseline"/>
        </w:rPr>
        <w:t> </w:t>
      </w:r>
      <w:r>
        <w:rPr>
          <w:sz w:val="18"/>
          <w:vertAlign w:val="baseline"/>
        </w:rPr>
        <w:t>and</w:t>
      </w:r>
      <w:r>
        <w:rPr>
          <w:spacing w:val="-1"/>
          <w:sz w:val="18"/>
          <w:vertAlign w:val="baseline"/>
        </w:rPr>
        <w:t> </w:t>
      </w:r>
      <w:r>
        <w:rPr>
          <w:sz w:val="18"/>
          <w:vertAlign w:val="baseline"/>
        </w:rPr>
        <w:t>Rebecca</w:t>
      </w:r>
      <w:r>
        <w:rPr>
          <w:spacing w:val="-1"/>
          <w:sz w:val="18"/>
          <w:vertAlign w:val="baseline"/>
        </w:rPr>
        <w:t> </w:t>
      </w:r>
      <w:r>
        <w:rPr>
          <w:sz w:val="18"/>
          <w:vertAlign w:val="baseline"/>
        </w:rPr>
        <w:t>J.</w:t>
      </w:r>
      <w:r>
        <w:rPr>
          <w:spacing w:val="-2"/>
          <w:sz w:val="18"/>
          <w:vertAlign w:val="baseline"/>
        </w:rPr>
        <w:t> </w:t>
      </w:r>
      <w:r>
        <w:rPr>
          <w:sz w:val="18"/>
          <w:vertAlign w:val="baseline"/>
        </w:rPr>
        <w:t>Haines-Saah,</w:t>
      </w:r>
      <w:r>
        <w:rPr>
          <w:spacing w:val="-2"/>
          <w:sz w:val="18"/>
          <w:vertAlign w:val="baseline"/>
        </w:rPr>
        <w:t> </w:t>
      </w:r>
      <w:r>
        <w:rPr>
          <w:sz w:val="18"/>
          <w:vertAlign w:val="baseline"/>
        </w:rPr>
        <w:t>“Developing</w:t>
      </w:r>
      <w:r>
        <w:rPr>
          <w:spacing w:val="-1"/>
          <w:sz w:val="18"/>
          <w:vertAlign w:val="baseline"/>
        </w:rPr>
        <w:t> </w:t>
      </w:r>
      <w:r>
        <w:rPr>
          <w:sz w:val="18"/>
          <w:vertAlign w:val="baseline"/>
        </w:rPr>
        <w:t>Harm</w:t>
      </w:r>
      <w:r>
        <w:rPr>
          <w:spacing w:val="-2"/>
          <w:sz w:val="18"/>
          <w:vertAlign w:val="baseline"/>
        </w:rPr>
        <w:t> </w:t>
      </w:r>
      <w:r>
        <w:rPr>
          <w:sz w:val="18"/>
          <w:vertAlign w:val="baseline"/>
        </w:rPr>
        <w:t>Reduction</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1"/>
          <w:sz w:val="18"/>
          <w:vertAlign w:val="baseline"/>
        </w:rPr>
        <w:t> </w:t>
      </w:r>
      <w:r>
        <w:rPr>
          <w:sz w:val="18"/>
          <w:vertAlign w:val="baseline"/>
        </w:rPr>
        <w:t>Context</w:t>
      </w:r>
      <w:r>
        <w:rPr>
          <w:spacing w:val="-2"/>
          <w:sz w:val="18"/>
          <w:vertAlign w:val="baseline"/>
        </w:rPr>
        <w:t> </w:t>
      </w:r>
      <w:r>
        <w:rPr>
          <w:sz w:val="18"/>
          <w:vertAlign w:val="baseline"/>
        </w:rPr>
        <w:t>of</w:t>
      </w:r>
      <w:r>
        <w:rPr>
          <w:spacing w:val="-1"/>
          <w:sz w:val="18"/>
          <w:vertAlign w:val="baseline"/>
        </w:rPr>
        <w:t> </w:t>
      </w:r>
      <w:r>
        <w:rPr>
          <w:sz w:val="18"/>
          <w:vertAlign w:val="baseline"/>
        </w:rPr>
        <w:t>Youth</w:t>
      </w:r>
      <w:r>
        <w:rPr>
          <w:spacing w:val="-1"/>
          <w:sz w:val="18"/>
          <w:vertAlign w:val="baseline"/>
        </w:rPr>
        <w:t> </w:t>
      </w:r>
      <w:r>
        <w:rPr>
          <w:sz w:val="18"/>
          <w:vertAlign w:val="baseline"/>
        </w:rPr>
        <w:t>Substance Use: Insights</w:t>
      </w:r>
      <w:r>
        <w:rPr>
          <w:spacing w:val="-1"/>
          <w:sz w:val="18"/>
          <w:vertAlign w:val="baseline"/>
        </w:rPr>
        <w:t> </w:t>
      </w:r>
      <w:r>
        <w:rPr>
          <w:sz w:val="18"/>
          <w:vertAlign w:val="baseline"/>
        </w:rPr>
        <w:t>from a Multi-Site Qualitative Analysis of Young People’s Harm Minimization Strategies,” </w:t>
      </w:r>
      <w:r>
        <w:rPr>
          <w:i/>
          <w:sz w:val="18"/>
          <w:vertAlign w:val="baseline"/>
        </w:rPr>
        <w:t>Harm Reduction</w:t>
      </w:r>
      <w:r>
        <w:rPr>
          <w:i/>
          <w:spacing w:val="-1"/>
          <w:sz w:val="18"/>
          <w:vertAlign w:val="baseline"/>
        </w:rPr>
        <w:t> </w:t>
      </w:r>
      <w:r>
        <w:rPr>
          <w:i/>
          <w:sz w:val="18"/>
          <w:vertAlign w:val="baseline"/>
        </w:rPr>
        <w:t>Journal</w:t>
      </w:r>
      <w:r>
        <w:rPr>
          <w:i/>
          <w:sz w:val="18"/>
          <w:vertAlign w:val="baseline"/>
        </w:rPr>
        <w:t> </w:t>
      </w:r>
      <w:r>
        <w:rPr>
          <w:sz w:val="18"/>
          <w:vertAlign w:val="baseline"/>
        </w:rPr>
        <w:t>14, no. 1 (July 31, 2017): 53, https://doi.org/10.1186/s12954-017-0180-z.</w:t>
      </w:r>
    </w:p>
    <w:p>
      <w:pPr>
        <w:spacing w:line="273" w:lineRule="auto" w:before="13"/>
        <w:ind w:left="463" w:right="451" w:firstLine="0"/>
        <w:jc w:val="left"/>
        <w:rPr>
          <w:sz w:val="18"/>
        </w:rPr>
      </w:pPr>
      <w:r>
        <w:rPr>
          <w:sz w:val="18"/>
          <w:vertAlign w:val="superscript"/>
        </w:rPr>
        <w:t>117</w:t>
      </w:r>
      <w:r>
        <w:rPr>
          <w:spacing w:val="-12"/>
          <w:sz w:val="18"/>
          <w:vertAlign w:val="baseline"/>
        </w:rPr>
        <w:t> </w:t>
      </w:r>
      <w:r>
        <w:rPr>
          <w:sz w:val="18"/>
          <w:vertAlign w:val="baseline"/>
        </w:rPr>
        <w:t>“LGBTQ</w:t>
      </w:r>
      <w:r>
        <w:rPr>
          <w:spacing w:val="-2"/>
          <w:sz w:val="18"/>
          <w:vertAlign w:val="baseline"/>
        </w:rPr>
        <w:t> </w:t>
      </w:r>
      <w:r>
        <w:rPr>
          <w:sz w:val="18"/>
          <w:vertAlign w:val="baseline"/>
        </w:rPr>
        <w:t>People</w:t>
      </w:r>
      <w:r>
        <w:rPr>
          <w:spacing w:val="-2"/>
          <w:sz w:val="18"/>
          <w:vertAlign w:val="baseline"/>
        </w:rPr>
        <w:t> </w:t>
      </w:r>
      <w:r>
        <w:rPr>
          <w:sz w:val="18"/>
          <w:vertAlign w:val="baseline"/>
        </w:rPr>
        <w:t>and</w:t>
      </w:r>
      <w:r>
        <w:rPr>
          <w:spacing w:val="-2"/>
          <w:sz w:val="18"/>
          <w:vertAlign w:val="baseline"/>
        </w:rPr>
        <w:t> </w:t>
      </w:r>
      <w:r>
        <w:rPr>
          <w:sz w:val="18"/>
          <w:vertAlign w:val="baseline"/>
        </w:rPr>
        <w:t>Syringe</w:t>
      </w:r>
      <w:r>
        <w:rPr>
          <w:spacing w:val="-2"/>
          <w:sz w:val="18"/>
          <w:vertAlign w:val="baseline"/>
        </w:rPr>
        <w:t> </w:t>
      </w:r>
      <w:r>
        <w:rPr>
          <w:sz w:val="18"/>
          <w:vertAlign w:val="baseline"/>
        </w:rPr>
        <w:t>Services</w:t>
      </w:r>
      <w:r>
        <w:rPr>
          <w:spacing w:val="-2"/>
          <w:sz w:val="18"/>
          <w:vertAlign w:val="baseline"/>
        </w:rPr>
        <w:t> </w:t>
      </w:r>
      <w:r>
        <w:rPr>
          <w:sz w:val="18"/>
          <w:vertAlign w:val="baseline"/>
        </w:rPr>
        <w:t>Programs”</w:t>
      </w:r>
      <w:r>
        <w:rPr>
          <w:spacing w:val="-2"/>
          <w:sz w:val="18"/>
          <w:vertAlign w:val="baseline"/>
        </w:rPr>
        <w:t> </w:t>
      </w:r>
      <w:r>
        <w:rPr>
          <w:sz w:val="18"/>
          <w:vertAlign w:val="baseline"/>
        </w:rPr>
        <w:t>(Washington,</w:t>
      </w:r>
      <w:r>
        <w:rPr>
          <w:spacing w:val="-2"/>
          <w:sz w:val="18"/>
          <w:vertAlign w:val="baseline"/>
        </w:rPr>
        <w:t> </w:t>
      </w:r>
      <w:r>
        <w:rPr>
          <w:sz w:val="18"/>
          <w:vertAlign w:val="baseline"/>
        </w:rPr>
        <w:t>D.C.:</w:t>
      </w:r>
      <w:r>
        <w:rPr>
          <w:spacing w:val="-2"/>
          <w:sz w:val="18"/>
          <w:vertAlign w:val="baseline"/>
        </w:rPr>
        <w:t> </w:t>
      </w:r>
      <w:r>
        <w:rPr>
          <w:sz w:val="18"/>
          <w:vertAlign w:val="baseline"/>
        </w:rPr>
        <w:t>National</w:t>
      </w:r>
      <w:r>
        <w:rPr>
          <w:spacing w:val="-2"/>
          <w:sz w:val="18"/>
          <w:vertAlign w:val="baseline"/>
        </w:rPr>
        <w:t> </w:t>
      </w:r>
      <w:r>
        <w:rPr>
          <w:sz w:val="18"/>
          <w:vertAlign w:val="baseline"/>
        </w:rPr>
        <w:t>LGBTQ</w:t>
      </w:r>
      <w:r>
        <w:rPr>
          <w:spacing w:val="-2"/>
          <w:sz w:val="18"/>
          <w:vertAlign w:val="baseline"/>
        </w:rPr>
        <w:t> </w:t>
      </w:r>
      <w:r>
        <w:rPr>
          <w:sz w:val="18"/>
          <w:vertAlign w:val="baseline"/>
        </w:rPr>
        <w:t>Task</w:t>
      </w:r>
      <w:r>
        <w:rPr>
          <w:spacing w:val="-2"/>
          <w:sz w:val="18"/>
          <w:vertAlign w:val="baseline"/>
        </w:rPr>
        <w:t> </w:t>
      </w:r>
      <w:r>
        <w:rPr>
          <w:sz w:val="18"/>
          <w:vertAlign w:val="baseline"/>
        </w:rPr>
        <w:t>Force),</w:t>
      </w:r>
      <w:r>
        <w:rPr>
          <w:spacing w:val="-2"/>
          <w:sz w:val="18"/>
          <w:vertAlign w:val="baseline"/>
        </w:rPr>
        <w:t> </w:t>
      </w:r>
      <w:r>
        <w:rPr>
          <w:sz w:val="18"/>
          <w:vertAlign w:val="baseline"/>
        </w:rPr>
        <w:t>accessed</w:t>
      </w:r>
      <w:r>
        <w:rPr>
          <w:spacing w:val="-2"/>
          <w:sz w:val="18"/>
          <w:vertAlign w:val="baseline"/>
        </w:rPr>
        <w:t> </w:t>
      </w:r>
      <w:r>
        <w:rPr>
          <w:sz w:val="18"/>
          <w:vertAlign w:val="baseline"/>
        </w:rPr>
        <w:t>February</w:t>
      </w:r>
      <w:r>
        <w:rPr>
          <w:spacing w:val="-2"/>
          <w:sz w:val="18"/>
          <w:vertAlign w:val="baseline"/>
        </w:rPr>
        <w:t> </w:t>
      </w:r>
      <w:r>
        <w:rPr>
          <w:sz w:val="18"/>
          <w:vertAlign w:val="baseline"/>
        </w:rPr>
        <w:t>23, 2023,</w:t>
      </w:r>
      <w:r>
        <w:rPr>
          <w:spacing w:val="-2"/>
          <w:sz w:val="18"/>
          <w:vertAlign w:val="baseline"/>
        </w:rPr>
        <w:t> </w:t>
      </w:r>
      <w:r>
        <w:rPr>
          <w:sz w:val="18"/>
          <w:vertAlign w:val="baseline"/>
        </w:rPr>
        <w:t>https://</w:t>
      </w:r>
      <w:hyperlink r:id="rId161">
        <w:r>
          <w:rPr>
            <w:sz w:val="18"/>
            <w:vertAlign w:val="baseline"/>
          </w:rPr>
          <w:t>www.hivlawandpolicy.org/sites/default/files/Syringe%20Access%20LGBT%20Fact%20Sheet.pdf.</w:t>
        </w:r>
      </w:hyperlink>
    </w:p>
    <w:p>
      <w:pPr>
        <w:spacing w:line="271" w:lineRule="auto" w:before="10"/>
        <w:ind w:left="463" w:right="1942" w:firstLine="0"/>
        <w:jc w:val="left"/>
        <w:rPr>
          <w:sz w:val="18"/>
        </w:rPr>
      </w:pPr>
      <w:r>
        <w:rPr>
          <w:sz w:val="18"/>
          <w:vertAlign w:val="superscript"/>
        </w:rPr>
        <w:t>118</w:t>
      </w:r>
      <w:r>
        <w:rPr>
          <w:spacing w:val="-12"/>
          <w:sz w:val="18"/>
          <w:vertAlign w:val="baseline"/>
        </w:rPr>
        <w:t> </w:t>
      </w:r>
      <w:r>
        <w:rPr>
          <w:sz w:val="18"/>
          <w:vertAlign w:val="baseline"/>
        </w:rPr>
        <w:t>“Establishing</w:t>
      </w:r>
      <w:r>
        <w:rPr>
          <w:spacing w:val="-3"/>
          <w:sz w:val="18"/>
          <w:vertAlign w:val="baseline"/>
        </w:rPr>
        <w:t> </w:t>
      </w:r>
      <w:r>
        <w:rPr>
          <w:sz w:val="18"/>
          <w:vertAlign w:val="baseline"/>
        </w:rPr>
        <w:t>a</w:t>
      </w:r>
      <w:r>
        <w:rPr>
          <w:spacing w:val="-2"/>
          <w:sz w:val="18"/>
          <w:vertAlign w:val="baseline"/>
        </w:rPr>
        <w:t> </w:t>
      </w:r>
      <w:r>
        <w:rPr>
          <w:sz w:val="18"/>
          <w:vertAlign w:val="baseline"/>
        </w:rPr>
        <w:t>Syringe</w:t>
      </w:r>
      <w:r>
        <w:rPr>
          <w:spacing w:val="-2"/>
          <w:sz w:val="18"/>
          <w:vertAlign w:val="baseline"/>
        </w:rPr>
        <w:t> </w:t>
      </w:r>
      <w:r>
        <w:rPr>
          <w:sz w:val="18"/>
          <w:vertAlign w:val="baseline"/>
        </w:rPr>
        <w:t>Services</w:t>
      </w:r>
      <w:r>
        <w:rPr>
          <w:spacing w:val="-2"/>
          <w:sz w:val="18"/>
          <w:vertAlign w:val="baseline"/>
        </w:rPr>
        <w:t> </w:t>
      </w:r>
      <w:r>
        <w:rPr>
          <w:sz w:val="18"/>
          <w:vertAlign w:val="baseline"/>
        </w:rPr>
        <w:t>Program</w:t>
      </w:r>
      <w:r>
        <w:rPr>
          <w:spacing w:val="-2"/>
          <w:sz w:val="18"/>
          <w:vertAlign w:val="baseline"/>
        </w:rPr>
        <w:t> </w:t>
      </w:r>
      <w:r>
        <w:rPr>
          <w:sz w:val="18"/>
          <w:vertAlign w:val="baseline"/>
        </w:rPr>
        <w:t>in</w:t>
      </w:r>
      <w:r>
        <w:rPr>
          <w:spacing w:val="-2"/>
          <w:sz w:val="18"/>
          <w:vertAlign w:val="baseline"/>
        </w:rPr>
        <w:t> </w:t>
      </w:r>
      <w:r>
        <w:rPr>
          <w:sz w:val="18"/>
          <w:vertAlign w:val="baseline"/>
        </w:rPr>
        <w:t>Rural</w:t>
      </w:r>
      <w:r>
        <w:rPr>
          <w:spacing w:val="-3"/>
          <w:sz w:val="18"/>
          <w:vertAlign w:val="baseline"/>
        </w:rPr>
        <w:t> </w:t>
      </w:r>
      <w:r>
        <w:rPr>
          <w:sz w:val="18"/>
          <w:vertAlign w:val="baseline"/>
        </w:rPr>
        <w:t>America,”</w:t>
      </w:r>
      <w:r>
        <w:rPr>
          <w:spacing w:val="-2"/>
          <w:sz w:val="18"/>
          <w:vertAlign w:val="baseline"/>
        </w:rPr>
        <w:t> </w:t>
      </w:r>
      <w:r>
        <w:rPr>
          <w:sz w:val="18"/>
          <w:vertAlign w:val="baseline"/>
        </w:rPr>
        <w:t>National</w:t>
      </w:r>
      <w:r>
        <w:rPr>
          <w:spacing w:val="-3"/>
          <w:sz w:val="18"/>
          <w:vertAlign w:val="baseline"/>
        </w:rPr>
        <w:t> </w:t>
      </w:r>
      <w:r>
        <w:rPr>
          <w:sz w:val="18"/>
          <w:vertAlign w:val="baseline"/>
        </w:rPr>
        <w:t>Harm</w:t>
      </w:r>
      <w:r>
        <w:rPr>
          <w:spacing w:val="-2"/>
          <w:sz w:val="18"/>
          <w:vertAlign w:val="baseline"/>
        </w:rPr>
        <w:t> </w:t>
      </w:r>
      <w:r>
        <w:rPr>
          <w:sz w:val="18"/>
          <w:vertAlign w:val="baseline"/>
        </w:rPr>
        <w:t>Reduction</w:t>
      </w:r>
      <w:r>
        <w:rPr>
          <w:spacing w:val="-2"/>
          <w:sz w:val="18"/>
          <w:vertAlign w:val="baseline"/>
        </w:rPr>
        <w:t> </w:t>
      </w:r>
      <w:r>
        <w:rPr>
          <w:sz w:val="18"/>
          <w:vertAlign w:val="baseline"/>
        </w:rPr>
        <w:t>Coalition,</w:t>
      </w:r>
      <w:r>
        <w:rPr>
          <w:spacing w:val="-2"/>
          <w:sz w:val="18"/>
          <w:vertAlign w:val="baseline"/>
        </w:rPr>
        <w:t> </w:t>
      </w:r>
      <w:r>
        <w:rPr>
          <w:sz w:val="18"/>
          <w:vertAlign w:val="baseline"/>
        </w:rPr>
        <w:t>2020, </w:t>
      </w:r>
      <w:hyperlink r:id="rId162">
        <w:r>
          <w:rPr>
            <w:color w:val="1154CC"/>
            <w:spacing w:val="-2"/>
            <w:sz w:val="18"/>
            <w:u w:val="single" w:color="1154CC"/>
            <w:vertAlign w:val="baseline"/>
          </w:rPr>
          <w:t>https://harmreduction.org/issues/establishing-rural-programs/</w:t>
        </w:r>
      </w:hyperlink>
    </w:p>
    <w:p>
      <w:pPr>
        <w:spacing w:line="273" w:lineRule="auto" w:before="14"/>
        <w:ind w:left="463" w:right="892" w:firstLine="0"/>
        <w:jc w:val="left"/>
        <w:rPr>
          <w:sz w:val="18"/>
        </w:rPr>
      </w:pPr>
      <w:r>
        <w:rPr>
          <w:sz w:val="18"/>
          <w:vertAlign w:val="superscript"/>
        </w:rPr>
        <w:t>119</w:t>
      </w:r>
      <w:r>
        <w:rPr>
          <w:spacing w:val="-12"/>
          <w:sz w:val="18"/>
          <w:vertAlign w:val="baseline"/>
        </w:rPr>
        <w:t> </w:t>
      </w:r>
      <w:r>
        <w:rPr>
          <w:sz w:val="18"/>
          <w:vertAlign w:val="baseline"/>
        </w:rPr>
        <w:t>“Syringe</w:t>
      </w:r>
      <w:r>
        <w:rPr>
          <w:spacing w:val="-3"/>
          <w:sz w:val="18"/>
          <w:vertAlign w:val="baseline"/>
        </w:rPr>
        <w:t> </w:t>
      </w:r>
      <w:r>
        <w:rPr>
          <w:sz w:val="18"/>
          <w:vertAlign w:val="baseline"/>
        </w:rPr>
        <w:t>Service</w:t>
      </w:r>
      <w:r>
        <w:rPr>
          <w:spacing w:val="-2"/>
          <w:sz w:val="18"/>
          <w:vertAlign w:val="baseline"/>
        </w:rPr>
        <w:t> </w:t>
      </w:r>
      <w:r>
        <w:rPr>
          <w:sz w:val="18"/>
          <w:vertAlign w:val="baseline"/>
        </w:rPr>
        <w:t>Program</w:t>
      </w:r>
      <w:r>
        <w:rPr>
          <w:spacing w:val="-2"/>
          <w:sz w:val="18"/>
          <w:vertAlign w:val="baseline"/>
        </w:rPr>
        <w:t> </w:t>
      </w:r>
      <w:r>
        <w:rPr>
          <w:sz w:val="18"/>
          <w:vertAlign w:val="baseline"/>
        </w:rPr>
        <w:t>Locator</w:t>
      </w:r>
      <w:r>
        <w:rPr>
          <w:spacing w:val="-3"/>
          <w:sz w:val="18"/>
          <w:vertAlign w:val="baseline"/>
        </w:rPr>
        <w:t> </w:t>
      </w:r>
      <w:r>
        <w:rPr>
          <w:sz w:val="18"/>
          <w:vertAlign w:val="baseline"/>
        </w:rPr>
        <w:t>|</w:t>
      </w:r>
      <w:r>
        <w:rPr>
          <w:spacing w:val="-2"/>
          <w:sz w:val="18"/>
          <w:vertAlign w:val="baseline"/>
        </w:rPr>
        <w:t> </w:t>
      </w:r>
      <w:r>
        <w:rPr>
          <w:sz w:val="18"/>
          <w:vertAlign w:val="baseline"/>
        </w:rPr>
        <w:t>Mass.Gov,”</w:t>
      </w:r>
      <w:r>
        <w:rPr>
          <w:spacing w:val="-2"/>
          <w:sz w:val="18"/>
          <w:vertAlign w:val="baseline"/>
        </w:rPr>
        <w:t> </w:t>
      </w:r>
      <w:r>
        <w:rPr>
          <w:sz w:val="18"/>
          <w:vertAlign w:val="baseline"/>
        </w:rPr>
        <w:t>Mass.gov,</w:t>
      </w:r>
      <w:r>
        <w:rPr>
          <w:spacing w:val="-3"/>
          <w:sz w:val="18"/>
          <w:vertAlign w:val="baseline"/>
        </w:rPr>
        <w:t> </w:t>
      </w:r>
      <w:r>
        <w:rPr>
          <w:sz w:val="18"/>
          <w:vertAlign w:val="baseline"/>
        </w:rPr>
        <w:t>accessed</w:t>
      </w:r>
      <w:r>
        <w:rPr>
          <w:spacing w:val="-2"/>
          <w:sz w:val="18"/>
          <w:vertAlign w:val="baseline"/>
        </w:rPr>
        <w:t> </w:t>
      </w:r>
      <w:r>
        <w:rPr>
          <w:sz w:val="18"/>
          <w:vertAlign w:val="baseline"/>
        </w:rPr>
        <w:t>February</w:t>
      </w:r>
      <w:r>
        <w:rPr>
          <w:spacing w:val="-3"/>
          <w:sz w:val="18"/>
          <w:vertAlign w:val="baseline"/>
        </w:rPr>
        <w:t> </w:t>
      </w:r>
      <w:r>
        <w:rPr>
          <w:sz w:val="18"/>
          <w:vertAlign w:val="baseline"/>
        </w:rPr>
        <w:t>23,</w:t>
      </w:r>
      <w:r>
        <w:rPr>
          <w:spacing w:val="-3"/>
          <w:sz w:val="18"/>
          <w:vertAlign w:val="baseline"/>
        </w:rPr>
        <w:t> </w:t>
      </w:r>
      <w:r>
        <w:rPr>
          <w:sz w:val="18"/>
          <w:vertAlign w:val="baseline"/>
        </w:rPr>
        <w:t>2023,</w:t>
      </w:r>
      <w:r>
        <w:rPr>
          <w:spacing w:val="-3"/>
          <w:sz w:val="18"/>
          <w:vertAlign w:val="baseline"/>
        </w:rPr>
        <w:t> </w:t>
      </w:r>
      <w:r>
        <w:rPr>
          <w:sz w:val="18"/>
          <w:vertAlign w:val="baseline"/>
        </w:rPr>
        <w:t>https://</w:t>
      </w:r>
      <w:hyperlink r:id="rId163">
        <w:r>
          <w:rPr>
            <w:sz w:val="18"/>
            <w:vertAlign w:val="baseline"/>
          </w:rPr>
          <w:t>www.mass.gov/info-</w:t>
        </w:r>
      </w:hyperlink>
      <w:r>
        <w:rPr>
          <w:sz w:val="18"/>
          <w:vertAlign w:val="baseline"/>
        </w:rPr>
        <w:t> </w:t>
      </w:r>
      <w:r>
        <w:rPr>
          <w:spacing w:val="-2"/>
          <w:sz w:val="18"/>
          <w:vertAlign w:val="baseline"/>
        </w:rPr>
        <w:t>details/syringe-service-program-locator.</w:t>
      </w:r>
    </w:p>
    <w:p>
      <w:pPr>
        <w:spacing w:line="212" w:lineRule="exact" w:before="0"/>
        <w:ind w:left="463" w:right="0" w:firstLine="0"/>
        <w:jc w:val="left"/>
        <w:rPr>
          <w:sz w:val="18"/>
        </w:rPr>
      </w:pPr>
      <w:r>
        <w:rPr>
          <w:sz w:val="18"/>
          <w:vertAlign w:val="superscript"/>
        </w:rPr>
        <w:t>120</w:t>
      </w:r>
      <w:r>
        <w:rPr>
          <w:spacing w:val="-12"/>
          <w:sz w:val="18"/>
          <w:vertAlign w:val="baseline"/>
        </w:rPr>
        <w:t> </w:t>
      </w:r>
      <w:r>
        <w:rPr>
          <w:sz w:val="18"/>
          <w:vertAlign w:val="baseline"/>
        </w:rPr>
        <w:t>Jenkins,</w:t>
      </w:r>
      <w:r>
        <w:rPr>
          <w:spacing w:val="-4"/>
          <w:sz w:val="18"/>
          <w:vertAlign w:val="baseline"/>
        </w:rPr>
        <w:t> </w:t>
      </w:r>
      <w:r>
        <w:rPr>
          <w:sz w:val="18"/>
          <w:vertAlign w:val="baseline"/>
        </w:rPr>
        <w:t>Slemon,</w:t>
      </w:r>
      <w:r>
        <w:rPr>
          <w:spacing w:val="-2"/>
          <w:sz w:val="18"/>
          <w:vertAlign w:val="baseline"/>
        </w:rPr>
        <w:t> </w:t>
      </w:r>
      <w:r>
        <w:rPr>
          <w:sz w:val="18"/>
          <w:vertAlign w:val="baseline"/>
        </w:rPr>
        <w:t>and</w:t>
      </w:r>
      <w:r>
        <w:rPr>
          <w:spacing w:val="-1"/>
          <w:sz w:val="18"/>
          <w:vertAlign w:val="baseline"/>
        </w:rPr>
        <w:t> </w:t>
      </w:r>
      <w:r>
        <w:rPr>
          <w:sz w:val="18"/>
          <w:vertAlign w:val="baseline"/>
        </w:rPr>
        <w:t>Haines-Saah,</w:t>
      </w:r>
      <w:r>
        <w:rPr>
          <w:spacing w:val="-2"/>
          <w:sz w:val="18"/>
          <w:vertAlign w:val="baseline"/>
        </w:rPr>
        <w:t> </w:t>
      </w:r>
      <w:r>
        <w:rPr>
          <w:sz w:val="18"/>
          <w:vertAlign w:val="baseline"/>
        </w:rPr>
        <w:t>“Developing</w:t>
      </w:r>
      <w:r>
        <w:rPr>
          <w:spacing w:val="-2"/>
          <w:sz w:val="18"/>
          <w:vertAlign w:val="baseline"/>
        </w:rPr>
        <w:t> </w:t>
      </w:r>
      <w:r>
        <w:rPr>
          <w:sz w:val="18"/>
          <w:vertAlign w:val="baseline"/>
        </w:rPr>
        <w:t>Harm</w:t>
      </w:r>
      <w:r>
        <w:rPr>
          <w:spacing w:val="-1"/>
          <w:sz w:val="18"/>
          <w:vertAlign w:val="baseline"/>
        </w:rPr>
        <w:t> </w:t>
      </w:r>
      <w:r>
        <w:rPr>
          <w:sz w:val="18"/>
          <w:vertAlign w:val="baseline"/>
        </w:rPr>
        <w:t>Reduction</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2"/>
          <w:sz w:val="18"/>
          <w:vertAlign w:val="baseline"/>
        </w:rPr>
        <w:t> </w:t>
      </w:r>
      <w:r>
        <w:rPr>
          <w:sz w:val="18"/>
          <w:vertAlign w:val="baseline"/>
        </w:rPr>
        <w:t>Context</w:t>
      </w:r>
      <w:r>
        <w:rPr>
          <w:spacing w:val="-3"/>
          <w:sz w:val="18"/>
          <w:vertAlign w:val="baseline"/>
        </w:rPr>
        <w:t> </w:t>
      </w:r>
      <w:r>
        <w:rPr>
          <w:sz w:val="18"/>
          <w:vertAlign w:val="baseline"/>
        </w:rPr>
        <w:t>of</w:t>
      </w:r>
      <w:r>
        <w:rPr>
          <w:spacing w:val="-1"/>
          <w:sz w:val="18"/>
          <w:vertAlign w:val="baseline"/>
        </w:rPr>
        <w:t> </w:t>
      </w:r>
      <w:r>
        <w:rPr>
          <w:sz w:val="18"/>
          <w:vertAlign w:val="baseline"/>
        </w:rPr>
        <w:t>Youth</w:t>
      </w:r>
      <w:r>
        <w:rPr>
          <w:spacing w:val="-1"/>
          <w:sz w:val="18"/>
          <w:vertAlign w:val="baseline"/>
        </w:rPr>
        <w:t> </w:t>
      </w:r>
      <w:r>
        <w:rPr>
          <w:sz w:val="18"/>
          <w:vertAlign w:val="baseline"/>
        </w:rPr>
        <w:t>Substance</w:t>
      </w:r>
      <w:r>
        <w:rPr>
          <w:spacing w:val="-2"/>
          <w:sz w:val="18"/>
          <w:vertAlign w:val="baseline"/>
        </w:rPr>
        <w:t> Use.”</w:t>
      </w:r>
    </w:p>
    <w:p>
      <w:pPr>
        <w:spacing w:line="271" w:lineRule="auto" w:before="20"/>
        <w:ind w:left="463" w:right="1493" w:firstLine="0"/>
        <w:jc w:val="left"/>
        <w:rPr>
          <w:sz w:val="18"/>
        </w:rPr>
      </w:pPr>
      <w:r>
        <w:rPr>
          <w:sz w:val="18"/>
          <w:vertAlign w:val="superscript"/>
        </w:rPr>
        <w:t>121</w:t>
      </w:r>
      <w:r>
        <w:rPr>
          <w:spacing w:val="-12"/>
          <w:sz w:val="18"/>
          <w:vertAlign w:val="baseline"/>
        </w:rPr>
        <w:t> </w:t>
      </w:r>
      <w:r>
        <w:rPr>
          <w:sz w:val="18"/>
          <w:vertAlign w:val="baseline"/>
        </w:rPr>
        <w:t>“Sex</w:t>
      </w:r>
      <w:r>
        <w:rPr>
          <w:spacing w:val="-3"/>
          <w:sz w:val="18"/>
          <w:vertAlign w:val="baseline"/>
        </w:rPr>
        <w:t> </w:t>
      </w:r>
      <w:r>
        <w:rPr>
          <w:sz w:val="18"/>
          <w:vertAlign w:val="baseline"/>
        </w:rPr>
        <w:t>Trafficking</w:t>
      </w:r>
      <w:r>
        <w:rPr>
          <w:spacing w:val="-2"/>
          <w:sz w:val="18"/>
          <w:vertAlign w:val="baseline"/>
        </w:rPr>
        <w:t> </w:t>
      </w:r>
      <w:r>
        <w:rPr>
          <w:sz w:val="18"/>
          <w:vertAlign w:val="baseline"/>
        </w:rPr>
        <w:t>and</w:t>
      </w:r>
      <w:r>
        <w:rPr>
          <w:spacing w:val="-2"/>
          <w:sz w:val="18"/>
          <w:vertAlign w:val="baseline"/>
        </w:rPr>
        <w:t> </w:t>
      </w:r>
      <w:r>
        <w:rPr>
          <w:sz w:val="18"/>
          <w:vertAlign w:val="baseline"/>
        </w:rPr>
        <w:t>LGBTQ+</w:t>
      </w:r>
      <w:r>
        <w:rPr>
          <w:spacing w:val="-3"/>
          <w:sz w:val="18"/>
          <w:vertAlign w:val="baseline"/>
        </w:rPr>
        <w:t> </w:t>
      </w:r>
      <w:r>
        <w:rPr>
          <w:sz w:val="18"/>
          <w:vertAlign w:val="baseline"/>
        </w:rPr>
        <w:t>Youth”</w:t>
      </w:r>
      <w:r>
        <w:rPr>
          <w:spacing w:val="-2"/>
          <w:sz w:val="18"/>
          <w:vertAlign w:val="baseline"/>
        </w:rPr>
        <w:t> </w:t>
      </w:r>
      <w:r>
        <w:rPr>
          <w:sz w:val="18"/>
          <w:vertAlign w:val="baseline"/>
        </w:rPr>
        <w:t>(Washington,</w:t>
      </w:r>
      <w:r>
        <w:rPr>
          <w:spacing w:val="-3"/>
          <w:sz w:val="18"/>
          <w:vertAlign w:val="baseline"/>
        </w:rPr>
        <w:t> </w:t>
      </w:r>
      <w:r>
        <w:rPr>
          <w:sz w:val="18"/>
          <w:vertAlign w:val="baseline"/>
        </w:rPr>
        <w:t>D.C.:</w:t>
      </w:r>
      <w:r>
        <w:rPr>
          <w:spacing w:val="-2"/>
          <w:sz w:val="18"/>
          <w:vertAlign w:val="baseline"/>
        </w:rPr>
        <w:t> </w:t>
      </w:r>
      <w:r>
        <w:rPr>
          <w:sz w:val="18"/>
          <w:vertAlign w:val="baseline"/>
        </w:rPr>
        <w:t>Polaris</w:t>
      </w:r>
      <w:r>
        <w:rPr>
          <w:spacing w:val="-2"/>
          <w:sz w:val="18"/>
          <w:vertAlign w:val="baseline"/>
        </w:rPr>
        <w:t> </w:t>
      </w:r>
      <w:r>
        <w:rPr>
          <w:sz w:val="18"/>
          <w:vertAlign w:val="baseline"/>
        </w:rPr>
        <w:t>Project,</w:t>
      </w:r>
      <w:r>
        <w:rPr>
          <w:spacing w:val="-3"/>
          <w:sz w:val="18"/>
          <w:vertAlign w:val="baseline"/>
        </w:rPr>
        <w:t> </w:t>
      </w:r>
      <w:r>
        <w:rPr>
          <w:sz w:val="18"/>
          <w:vertAlign w:val="baseline"/>
        </w:rPr>
        <w:t>n.d.),</w:t>
      </w:r>
      <w:r>
        <w:rPr>
          <w:spacing w:val="-4"/>
          <w:sz w:val="18"/>
          <w:vertAlign w:val="baseline"/>
        </w:rPr>
        <w:t> </w:t>
      </w:r>
      <w:r>
        <w:rPr>
          <w:sz w:val="18"/>
          <w:vertAlign w:val="baseline"/>
        </w:rPr>
        <w:t>https://polarisproject.org/wp- </w:t>
      </w:r>
      <w:r>
        <w:rPr>
          <w:spacing w:val="-2"/>
          <w:sz w:val="18"/>
          <w:vertAlign w:val="baseline"/>
        </w:rPr>
        <w:t>content/uploads/2019/09/LGBTQ-Sex-Trafficking.pdf.</w:t>
      </w:r>
    </w:p>
    <w:p>
      <w:pPr>
        <w:spacing w:line="216" w:lineRule="exact" w:before="0"/>
        <w:ind w:left="463" w:right="0" w:firstLine="0"/>
        <w:jc w:val="left"/>
        <w:rPr>
          <w:sz w:val="18"/>
        </w:rPr>
      </w:pPr>
      <w:r>
        <w:rPr>
          <w:sz w:val="18"/>
          <w:vertAlign w:val="superscript"/>
        </w:rPr>
        <w:t>122</w:t>
      </w:r>
      <w:r>
        <w:rPr>
          <w:spacing w:val="-12"/>
          <w:sz w:val="18"/>
          <w:vertAlign w:val="baseline"/>
        </w:rPr>
        <w:t> </w:t>
      </w:r>
      <w:r>
        <w:rPr>
          <w:sz w:val="18"/>
          <w:vertAlign w:val="baseline"/>
        </w:rPr>
        <w:t>“Sex</w:t>
      </w:r>
      <w:r>
        <w:rPr>
          <w:spacing w:val="1"/>
          <w:sz w:val="18"/>
          <w:vertAlign w:val="baseline"/>
        </w:rPr>
        <w:t> </w:t>
      </w:r>
      <w:r>
        <w:rPr>
          <w:sz w:val="18"/>
          <w:vertAlign w:val="baseline"/>
        </w:rPr>
        <w:t>Trafficking</w:t>
      </w:r>
      <w:r>
        <w:rPr>
          <w:spacing w:val="1"/>
          <w:sz w:val="18"/>
          <w:vertAlign w:val="baseline"/>
        </w:rPr>
        <w:t> </w:t>
      </w:r>
      <w:r>
        <w:rPr>
          <w:sz w:val="18"/>
          <w:vertAlign w:val="baseline"/>
        </w:rPr>
        <w:t>and</w:t>
      </w:r>
      <w:r>
        <w:rPr>
          <w:spacing w:val="1"/>
          <w:sz w:val="18"/>
          <w:vertAlign w:val="baseline"/>
        </w:rPr>
        <w:t> </w:t>
      </w:r>
      <w:r>
        <w:rPr>
          <w:sz w:val="18"/>
          <w:vertAlign w:val="baseline"/>
        </w:rPr>
        <w:t>LGBTQ+ </w:t>
      </w:r>
      <w:r>
        <w:rPr>
          <w:spacing w:val="-2"/>
          <w:sz w:val="18"/>
          <w:vertAlign w:val="baseline"/>
        </w:rPr>
        <w:t>Youth.”</w:t>
      </w:r>
    </w:p>
    <w:p>
      <w:pPr>
        <w:spacing w:line="271" w:lineRule="auto" w:before="20"/>
        <w:ind w:left="463" w:right="311" w:firstLine="0"/>
        <w:jc w:val="left"/>
        <w:rPr>
          <w:sz w:val="18"/>
        </w:rPr>
      </w:pPr>
      <w:r>
        <w:rPr>
          <w:sz w:val="18"/>
          <w:vertAlign w:val="superscript"/>
        </w:rPr>
        <w:t>123</w:t>
      </w:r>
      <w:r>
        <w:rPr>
          <w:spacing w:val="-12"/>
          <w:sz w:val="18"/>
          <w:vertAlign w:val="baseline"/>
        </w:rPr>
        <w:t> </w:t>
      </w:r>
      <w:r>
        <w:rPr>
          <w:sz w:val="18"/>
          <w:vertAlign w:val="baseline"/>
        </w:rPr>
        <w:t>Meaghan</w:t>
      </w:r>
      <w:r>
        <w:rPr>
          <w:spacing w:val="-2"/>
          <w:sz w:val="18"/>
          <w:vertAlign w:val="baseline"/>
        </w:rPr>
        <w:t> </w:t>
      </w:r>
      <w:r>
        <w:rPr>
          <w:sz w:val="18"/>
          <w:vertAlign w:val="baseline"/>
        </w:rPr>
        <w:t>Tomasiewicz,</w:t>
      </w:r>
      <w:r>
        <w:rPr>
          <w:spacing w:val="-2"/>
          <w:sz w:val="18"/>
          <w:vertAlign w:val="baseline"/>
        </w:rPr>
        <w:t> </w:t>
      </w:r>
      <w:r>
        <w:rPr>
          <w:sz w:val="18"/>
          <w:vertAlign w:val="baseline"/>
        </w:rPr>
        <w:t>“Sex</w:t>
      </w:r>
      <w:r>
        <w:rPr>
          <w:spacing w:val="-1"/>
          <w:sz w:val="18"/>
          <w:vertAlign w:val="baseline"/>
        </w:rPr>
        <w:t> </w:t>
      </w:r>
      <w:r>
        <w:rPr>
          <w:sz w:val="18"/>
          <w:vertAlign w:val="baseline"/>
        </w:rPr>
        <w:t>Trafficking</w:t>
      </w:r>
      <w:r>
        <w:rPr>
          <w:spacing w:val="-1"/>
          <w:sz w:val="18"/>
          <w:vertAlign w:val="baseline"/>
        </w:rPr>
        <w:t> </w:t>
      </w:r>
      <w:r>
        <w:rPr>
          <w:sz w:val="18"/>
          <w:vertAlign w:val="baseline"/>
        </w:rPr>
        <w:t>of</w:t>
      </w:r>
      <w:r>
        <w:rPr>
          <w:spacing w:val="-1"/>
          <w:sz w:val="18"/>
          <w:vertAlign w:val="baseline"/>
        </w:rPr>
        <w:t> </w:t>
      </w:r>
      <w:r>
        <w:rPr>
          <w:sz w:val="18"/>
          <w:vertAlign w:val="baseline"/>
        </w:rPr>
        <w:t>Transgender</w:t>
      </w:r>
      <w:r>
        <w:rPr>
          <w:spacing w:val="-2"/>
          <w:sz w:val="18"/>
          <w:vertAlign w:val="baseline"/>
        </w:rPr>
        <w:t> </w:t>
      </w:r>
      <w:r>
        <w:rPr>
          <w:sz w:val="18"/>
          <w:vertAlign w:val="baseline"/>
        </w:rPr>
        <w:t>and</w:t>
      </w:r>
      <w:r>
        <w:rPr>
          <w:spacing w:val="-2"/>
          <w:sz w:val="18"/>
          <w:vertAlign w:val="baseline"/>
        </w:rPr>
        <w:t> </w:t>
      </w:r>
      <w:r>
        <w:rPr>
          <w:sz w:val="18"/>
          <w:vertAlign w:val="baseline"/>
        </w:rPr>
        <w:t>Gender</w:t>
      </w:r>
      <w:r>
        <w:rPr>
          <w:spacing w:val="-2"/>
          <w:sz w:val="18"/>
          <w:vertAlign w:val="baseline"/>
        </w:rPr>
        <w:t> </w:t>
      </w:r>
      <w:r>
        <w:rPr>
          <w:sz w:val="18"/>
          <w:vertAlign w:val="baseline"/>
        </w:rPr>
        <w:t>Nonconforming</w:t>
      </w:r>
      <w:r>
        <w:rPr>
          <w:spacing w:val="-1"/>
          <w:sz w:val="18"/>
          <w:vertAlign w:val="baseline"/>
        </w:rPr>
        <w:t> </w:t>
      </w:r>
      <w:r>
        <w:rPr>
          <w:sz w:val="18"/>
          <w:vertAlign w:val="baseline"/>
        </w:rPr>
        <w:t>Youth</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1"/>
          <w:sz w:val="18"/>
          <w:vertAlign w:val="baseline"/>
        </w:rPr>
        <w:t> </w:t>
      </w:r>
      <w:r>
        <w:rPr>
          <w:sz w:val="18"/>
          <w:vertAlign w:val="baseline"/>
        </w:rPr>
        <w:t>United</w:t>
      </w:r>
      <w:r>
        <w:rPr>
          <w:spacing w:val="-1"/>
          <w:sz w:val="18"/>
          <w:vertAlign w:val="baseline"/>
        </w:rPr>
        <w:t> </w:t>
      </w:r>
      <w:r>
        <w:rPr>
          <w:sz w:val="18"/>
          <w:vertAlign w:val="baseline"/>
        </w:rPr>
        <w:t>States,”</w:t>
      </w:r>
      <w:r>
        <w:rPr>
          <w:spacing w:val="-1"/>
          <w:sz w:val="18"/>
          <w:vertAlign w:val="baseline"/>
        </w:rPr>
        <w:t> </w:t>
      </w:r>
      <w:r>
        <w:rPr>
          <w:i/>
          <w:sz w:val="18"/>
          <w:vertAlign w:val="baseline"/>
        </w:rPr>
        <w:t>Center</w:t>
      </w:r>
      <w:r>
        <w:rPr>
          <w:i/>
          <w:spacing w:val="-2"/>
          <w:sz w:val="18"/>
          <w:vertAlign w:val="baseline"/>
        </w:rPr>
        <w:t> </w:t>
      </w:r>
      <w:r>
        <w:rPr>
          <w:i/>
          <w:sz w:val="18"/>
          <w:vertAlign w:val="baseline"/>
        </w:rPr>
        <w:t>for</w:t>
      </w:r>
      <w:r>
        <w:rPr>
          <w:i/>
          <w:sz w:val="18"/>
          <w:vertAlign w:val="baseline"/>
        </w:rPr>
        <w:t> the Human Rights of Children</w:t>
      </w:r>
      <w:r>
        <w:rPr>
          <w:sz w:val="18"/>
          <w:vertAlign w:val="baseline"/>
        </w:rPr>
        <w:t>, May 1, 2018, https://ecommons.luc.edu/chrc/16.</w:t>
      </w:r>
    </w:p>
    <w:p>
      <w:pPr>
        <w:spacing w:line="208" w:lineRule="exact" w:before="0"/>
        <w:ind w:left="463" w:right="0" w:firstLine="0"/>
        <w:jc w:val="left"/>
        <w:rPr>
          <w:sz w:val="18"/>
        </w:rPr>
      </w:pPr>
      <w:r>
        <w:rPr>
          <w:sz w:val="18"/>
          <w:vertAlign w:val="superscript"/>
        </w:rPr>
        <w:t>124</w:t>
      </w:r>
      <w:r>
        <w:rPr>
          <w:spacing w:val="-12"/>
          <w:sz w:val="18"/>
          <w:vertAlign w:val="baseline"/>
        </w:rPr>
        <w:t> </w:t>
      </w:r>
      <w:r>
        <w:rPr>
          <w:sz w:val="18"/>
          <w:vertAlign w:val="baseline"/>
        </w:rPr>
        <w:t>Kimberly</w:t>
      </w:r>
      <w:r>
        <w:rPr>
          <w:spacing w:val="-3"/>
          <w:sz w:val="18"/>
          <w:vertAlign w:val="baseline"/>
        </w:rPr>
        <w:t> </w:t>
      </w:r>
      <w:r>
        <w:rPr>
          <w:sz w:val="18"/>
          <w:vertAlign w:val="baseline"/>
        </w:rPr>
        <w:t>A.</w:t>
      </w:r>
      <w:r>
        <w:rPr>
          <w:spacing w:val="-2"/>
          <w:sz w:val="18"/>
          <w:vertAlign w:val="baseline"/>
        </w:rPr>
        <w:t> </w:t>
      </w:r>
      <w:r>
        <w:rPr>
          <w:sz w:val="18"/>
          <w:vertAlign w:val="baseline"/>
        </w:rPr>
        <w:t>Hogan</w:t>
      </w:r>
      <w:r>
        <w:rPr>
          <w:spacing w:val="-2"/>
          <w:sz w:val="18"/>
          <w:vertAlign w:val="baseline"/>
        </w:rPr>
        <w:t> </w:t>
      </w:r>
      <w:r>
        <w:rPr>
          <w:sz w:val="18"/>
          <w:vertAlign w:val="baseline"/>
        </w:rPr>
        <w:t>and</w:t>
      </w:r>
      <w:r>
        <w:rPr>
          <w:spacing w:val="-1"/>
          <w:sz w:val="18"/>
          <w:vertAlign w:val="baseline"/>
        </w:rPr>
        <w:t> </w:t>
      </w:r>
      <w:r>
        <w:rPr>
          <w:sz w:val="18"/>
          <w:vertAlign w:val="baseline"/>
        </w:rPr>
        <w:t>Dominique</w:t>
      </w:r>
      <w:r>
        <w:rPr>
          <w:spacing w:val="-2"/>
          <w:sz w:val="18"/>
          <w:vertAlign w:val="baseline"/>
        </w:rPr>
        <w:t> </w:t>
      </w:r>
      <w:r>
        <w:rPr>
          <w:sz w:val="18"/>
          <w:vertAlign w:val="baseline"/>
        </w:rPr>
        <w:t>Roe-Sepowitz,</w:t>
      </w:r>
      <w:r>
        <w:rPr>
          <w:spacing w:val="-3"/>
          <w:sz w:val="18"/>
          <w:vertAlign w:val="baseline"/>
        </w:rPr>
        <w:t> </w:t>
      </w:r>
      <w:r>
        <w:rPr>
          <w:sz w:val="18"/>
          <w:vertAlign w:val="baseline"/>
        </w:rPr>
        <w:t>“LGBTQ+</w:t>
      </w:r>
      <w:r>
        <w:rPr>
          <w:spacing w:val="-2"/>
          <w:sz w:val="18"/>
          <w:vertAlign w:val="baseline"/>
        </w:rPr>
        <w:t> </w:t>
      </w:r>
      <w:r>
        <w:rPr>
          <w:sz w:val="18"/>
          <w:vertAlign w:val="baseline"/>
        </w:rPr>
        <w:t>Homeless</w:t>
      </w:r>
      <w:r>
        <w:rPr>
          <w:spacing w:val="-1"/>
          <w:sz w:val="18"/>
          <w:vertAlign w:val="baseline"/>
        </w:rPr>
        <w:t> </w:t>
      </w:r>
      <w:r>
        <w:rPr>
          <w:sz w:val="18"/>
          <w:vertAlign w:val="baseline"/>
        </w:rPr>
        <w:t>Young</w:t>
      </w:r>
      <w:r>
        <w:rPr>
          <w:spacing w:val="-2"/>
          <w:sz w:val="18"/>
          <w:vertAlign w:val="baseline"/>
        </w:rPr>
        <w:t> </w:t>
      </w:r>
      <w:r>
        <w:rPr>
          <w:sz w:val="18"/>
          <w:vertAlign w:val="baseline"/>
        </w:rPr>
        <w:t>Adults</w:t>
      </w:r>
      <w:r>
        <w:rPr>
          <w:spacing w:val="-2"/>
          <w:sz w:val="18"/>
          <w:vertAlign w:val="baseline"/>
        </w:rPr>
        <w:t> </w:t>
      </w:r>
      <w:r>
        <w:rPr>
          <w:sz w:val="18"/>
          <w:vertAlign w:val="baseline"/>
        </w:rPr>
        <w:t>and</w:t>
      </w:r>
      <w:r>
        <w:rPr>
          <w:spacing w:val="-1"/>
          <w:sz w:val="18"/>
          <w:vertAlign w:val="baseline"/>
        </w:rPr>
        <w:t> </w:t>
      </w:r>
      <w:r>
        <w:rPr>
          <w:sz w:val="18"/>
          <w:vertAlign w:val="baseline"/>
        </w:rPr>
        <w:t>Sex</w:t>
      </w:r>
      <w:r>
        <w:rPr>
          <w:spacing w:val="-2"/>
          <w:sz w:val="18"/>
          <w:vertAlign w:val="baseline"/>
        </w:rPr>
        <w:t> </w:t>
      </w:r>
      <w:r>
        <w:rPr>
          <w:sz w:val="18"/>
          <w:vertAlign w:val="baseline"/>
        </w:rPr>
        <w:t>Trafficking</w:t>
      </w:r>
      <w:r>
        <w:rPr>
          <w:spacing w:val="-2"/>
          <w:sz w:val="18"/>
          <w:vertAlign w:val="baseline"/>
        </w:rPr>
        <w:t> Vulnerability,”</w:t>
      </w:r>
    </w:p>
    <w:p>
      <w:pPr>
        <w:spacing w:line="212" w:lineRule="exact" w:before="0"/>
        <w:ind w:left="463" w:right="0" w:firstLine="0"/>
        <w:jc w:val="left"/>
        <w:rPr>
          <w:sz w:val="18"/>
        </w:rPr>
      </w:pPr>
      <w:r>
        <w:rPr>
          <w:i/>
          <w:sz w:val="18"/>
        </w:rPr>
        <w:t>Journal</w:t>
      </w:r>
      <w:r>
        <w:rPr>
          <w:i/>
          <w:spacing w:val="-5"/>
          <w:sz w:val="18"/>
        </w:rPr>
        <w:t> </w:t>
      </w:r>
      <w:r>
        <w:rPr>
          <w:i/>
          <w:sz w:val="18"/>
        </w:rPr>
        <w:t>of</w:t>
      </w:r>
      <w:r>
        <w:rPr>
          <w:i/>
          <w:spacing w:val="-2"/>
          <w:sz w:val="18"/>
        </w:rPr>
        <w:t> </w:t>
      </w:r>
      <w:r>
        <w:rPr>
          <w:i/>
          <w:sz w:val="18"/>
        </w:rPr>
        <w:t>Human</w:t>
      </w:r>
      <w:r>
        <w:rPr>
          <w:i/>
          <w:spacing w:val="-2"/>
          <w:sz w:val="18"/>
        </w:rPr>
        <w:t> </w:t>
      </w:r>
      <w:r>
        <w:rPr>
          <w:i/>
          <w:sz w:val="18"/>
        </w:rPr>
        <w:t>Trafficking</w:t>
      </w:r>
      <w:r>
        <w:rPr>
          <w:i/>
          <w:spacing w:val="-3"/>
          <w:sz w:val="18"/>
        </w:rPr>
        <w:t> </w:t>
      </w:r>
      <w:r>
        <w:rPr>
          <w:sz w:val="18"/>
        </w:rPr>
        <w:t>0,</w:t>
      </w:r>
      <w:r>
        <w:rPr>
          <w:spacing w:val="-3"/>
          <w:sz w:val="18"/>
        </w:rPr>
        <w:t> </w:t>
      </w:r>
      <w:r>
        <w:rPr>
          <w:sz w:val="18"/>
        </w:rPr>
        <w:t>no.</w:t>
      </w:r>
      <w:r>
        <w:rPr>
          <w:spacing w:val="-1"/>
          <w:sz w:val="18"/>
        </w:rPr>
        <w:t> </w:t>
      </w:r>
      <w:r>
        <w:rPr>
          <w:sz w:val="18"/>
        </w:rPr>
        <w:t>0</w:t>
      </w:r>
      <w:r>
        <w:rPr>
          <w:spacing w:val="-2"/>
          <w:sz w:val="18"/>
        </w:rPr>
        <w:t> </w:t>
      </w:r>
      <w:r>
        <w:rPr>
          <w:sz w:val="18"/>
        </w:rPr>
        <w:t>(November</w:t>
      </w:r>
      <w:r>
        <w:rPr>
          <w:spacing w:val="-4"/>
          <w:sz w:val="18"/>
        </w:rPr>
        <w:t> </w:t>
      </w:r>
      <w:r>
        <w:rPr>
          <w:sz w:val="18"/>
        </w:rPr>
        <w:t>11,</w:t>
      </w:r>
      <w:r>
        <w:rPr>
          <w:spacing w:val="-2"/>
          <w:sz w:val="18"/>
        </w:rPr>
        <w:t> </w:t>
      </w:r>
      <w:r>
        <w:rPr>
          <w:sz w:val="18"/>
        </w:rPr>
        <w:t>2020):</w:t>
      </w:r>
      <w:r>
        <w:rPr>
          <w:spacing w:val="-2"/>
          <w:sz w:val="18"/>
        </w:rPr>
        <w:t> </w:t>
      </w:r>
      <w:r>
        <w:rPr>
          <w:sz w:val="18"/>
        </w:rPr>
        <w:t>1–16,</w:t>
      </w:r>
      <w:r>
        <w:rPr>
          <w:spacing w:val="-2"/>
          <w:sz w:val="18"/>
        </w:rPr>
        <w:t> https://doi.org/10.1080/23322705.2020.1841985.</w:t>
      </w:r>
    </w:p>
    <w:p>
      <w:pPr>
        <w:spacing w:line="219" w:lineRule="exact" w:before="0"/>
        <w:ind w:left="463" w:right="0" w:firstLine="0"/>
        <w:jc w:val="left"/>
        <w:rPr>
          <w:sz w:val="18"/>
        </w:rPr>
      </w:pPr>
      <w:r>
        <w:rPr>
          <w:sz w:val="18"/>
          <w:vertAlign w:val="superscript"/>
        </w:rPr>
        <w:t>125</w:t>
      </w:r>
      <w:r>
        <w:rPr>
          <w:spacing w:val="-10"/>
          <w:sz w:val="18"/>
          <w:vertAlign w:val="baseline"/>
        </w:rPr>
        <w:t> </w:t>
      </w:r>
      <w:r>
        <w:rPr>
          <w:sz w:val="18"/>
          <w:vertAlign w:val="baseline"/>
        </w:rPr>
        <w:t>Hogan</w:t>
      </w:r>
      <w:r>
        <w:rPr>
          <w:spacing w:val="3"/>
          <w:sz w:val="18"/>
          <w:vertAlign w:val="baseline"/>
        </w:rPr>
        <w:t> </w:t>
      </w:r>
      <w:r>
        <w:rPr>
          <w:sz w:val="18"/>
          <w:vertAlign w:val="baseline"/>
        </w:rPr>
        <w:t>and</w:t>
      </w:r>
      <w:r>
        <w:rPr>
          <w:spacing w:val="3"/>
          <w:sz w:val="18"/>
          <w:vertAlign w:val="baseline"/>
        </w:rPr>
        <w:t> </w:t>
      </w:r>
      <w:r>
        <w:rPr>
          <w:sz w:val="18"/>
          <w:vertAlign w:val="baseline"/>
        </w:rPr>
        <w:t>Roe-</w:t>
      </w:r>
      <w:r>
        <w:rPr>
          <w:spacing w:val="-2"/>
          <w:sz w:val="18"/>
          <w:vertAlign w:val="baseline"/>
        </w:rPr>
        <w:t>Sepowitz.</w:t>
      </w:r>
    </w:p>
    <w:p>
      <w:pPr>
        <w:spacing w:before="4"/>
        <w:ind w:left="463" w:right="0" w:firstLine="0"/>
        <w:jc w:val="left"/>
        <w:rPr>
          <w:sz w:val="18"/>
        </w:rPr>
      </w:pPr>
      <w:r>
        <w:rPr>
          <w:sz w:val="18"/>
          <w:vertAlign w:val="superscript"/>
        </w:rPr>
        <w:t>126</w:t>
      </w:r>
      <w:r>
        <w:rPr>
          <w:spacing w:val="-10"/>
          <w:sz w:val="18"/>
          <w:vertAlign w:val="baseline"/>
        </w:rPr>
        <w:t> </w:t>
      </w:r>
      <w:r>
        <w:rPr>
          <w:sz w:val="18"/>
          <w:vertAlign w:val="baseline"/>
        </w:rPr>
        <w:t>Hogan</w:t>
      </w:r>
      <w:r>
        <w:rPr>
          <w:spacing w:val="3"/>
          <w:sz w:val="18"/>
          <w:vertAlign w:val="baseline"/>
        </w:rPr>
        <w:t> </w:t>
      </w:r>
      <w:r>
        <w:rPr>
          <w:sz w:val="18"/>
          <w:vertAlign w:val="baseline"/>
        </w:rPr>
        <w:t>and</w:t>
      </w:r>
      <w:r>
        <w:rPr>
          <w:spacing w:val="3"/>
          <w:sz w:val="18"/>
          <w:vertAlign w:val="baseline"/>
        </w:rPr>
        <w:t> </w:t>
      </w:r>
      <w:r>
        <w:rPr>
          <w:sz w:val="18"/>
          <w:vertAlign w:val="baseline"/>
        </w:rPr>
        <w:t>Roe-</w:t>
      </w:r>
      <w:r>
        <w:rPr>
          <w:spacing w:val="-2"/>
          <w:sz w:val="18"/>
          <w:vertAlign w:val="baseline"/>
        </w:rPr>
        <w:t>Sepowitz.</w:t>
      </w:r>
    </w:p>
    <w:p>
      <w:pPr>
        <w:spacing w:before="20"/>
        <w:ind w:left="463" w:right="0" w:firstLine="0"/>
        <w:jc w:val="left"/>
        <w:rPr>
          <w:sz w:val="18"/>
        </w:rPr>
      </w:pPr>
      <w:r>
        <w:rPr>
          <w:sz w:val="18"/>
          <w:vertAlign w:val="superscript"/>
        </w:rPr>
        <w:t>127</w:t>
      </w:r>
      <w:r>
        <w:rPr>
          <w:spacing w:val="-10"/>
          <w:sz w:val="18"/>
          <w:vertAlign w:val="baseline"/>
        </w:rPr>
        <w:t> </w:t>
      </w:r>
      <w:r>
        <w:rPr>
          <w:sz w:val="18"/>
          <w:vertAlign w:val="baseline"/>
        </w:rPr>
        <w:t>Hogan</w:t>
      </w:r>
      <w:r>
        <w:rPr>
          <w:spacing w:val="3"/>
          <w:sz w:val="18"/>
          <w:vertAlign w:val="baseline"/>
        </w:rPr>
        <w:t> </w:t>
      </w:r>
      <w:r>
        <w:rPr>
          <w:sz w:val="18"/>
          <w:vertAlign w:val="baseline"/>
        </w:rPr>
        <w:t>and</w:t>
      </w:r>
      <w:r>
        <w:rPr>
          <w:spacing w:val="3"/>
          <w:sz w:val="18"/>
          <w:vertAlign w:val="baseline"/>
        </w:rPr>
        <w:t> </w:t>
      </w:r>
      <w:r>
        <w:rPr>
          <w:sz w:val="18"/>
          <w:vertAlign w:val="baseline"/>
        </w:rPr>
        <w:t>Roe-</w:t>
      </w:r>
      <w:r>
        <w:rPr>
          <w:spacing w:val="-2"/>
          <w:sz w:val="18"/>
          <w:vertAlign w:val="baseline"/>
        </w:rPr>
        <w:t>Sepowitz.</w:t>
      </w:r>
    </w:p>
    <w:p>
      <w:pPr>
        <w:spacing w:before="31"/>
        <w:ind w:left="463" w:right="0" w:firstLine="0"/>
        <w:jc w:val="left"/>
        <w:rPr>
          <w:sz w:val="18"/>
        </w:rPr>
      </w:pPr>
      <w:r>
        <w:rPr>
          <w:sz w:val="18"/>
          <w:vertAlign w:val="superscript"/>
        </w:rPr>
        <w:t>128</w:t>
      </w:r>
      <w:r>
        <w:rPr>
          <w:spacing w:val="-10"/>
          <w:sz w:val="18"/>
          <w:vertAlign w:val="baseline"/>
        </w:rPr>
        <w:t> </w:t>
      </w:r>
      <w:r>
        <w:rPr>
          <w:sz w:val="18"/>
          <w:vertAlign w:val="baseline"/>
        </w:rPr>
        <w:t>Hogan</w:t>
      </w:r>
      <w:r>
        <w:rPr>
          <w:spacing w:val="3"/>
          <w:sz w:val="18"/>
          <w:vertAlign w:val="baseline"/>
        </w:rPr>
        <w:t> </w:t>
      </w:r>
      <w:r>
        <w:rPr>
          <w:sz w:val="18"/>
          <w:vertAlign w:val="baseline"/>
        </w:rPr>
        <w:t>and</w:t>
      </w:r>
      <w:r>
        <w:rPr>
          <w:spacing w:val="3"/>
          <w:sz w:val="18"/>
          <w:vertAlign w:val="baseline"/>
        </w:rPr>
        <w:t> </w:t>
      </w:r>
      <w:r>
        <w:rPr>
          <w:sz w:val="18"/>
          <w:vertAlign w:val="baseline"/>
        </w:rPr>
        <w:t>Roe-</w:t>
      </w:r>
      <w:r>
        <w:rPr>
          <w:spacing w:val="-2"/>
          <w:sz w:val="18"/>
          <w:vertAlign w:val="baseline"/>
        </w:rPr>
        <w:t>Sepowitz.</w:t>
      </w:r>
    </w:p>
    <w:p>
      <w:pPr>
        <w:spacing w:line="273" w:lineRule="auto" w:before="21"/>
        <w:ind w:left="463" w:right="1210" w:hanging="1"/>
        <w:jc w:val="left"/>
        <w:rPr>
          <w:sz w:val="18"/>
        </w:rPr>
      </w:pPr>
      <w:r>
        <w:rPr>
          <w:sz w:val="18"/>
          <w:vertAlign w:val="superscript"/>
        </w:rPr>
        <w:t>129</w:t>
      </w:r>
      <w:r>
        <w:rPr>
          <w:spacing w:val="-12"/>
          <w:sz w:val="18"/>
          <w:vertAlign w:val="baseline"/>
        </w:rPr>
        <w:t> </w:t>
      </w:r>
      <w:r>
        <w:rPr>
          <w:sz w:val="18"/>
          <w:vertAlign w:val="baseline"/>
        </w:rPr>
        <w:t>“Citizen’s</w:t>
      </w:r>
      <w:r>
        <w:rPr>
          <w:spacing w:val="-3"/>
          <w:sz w:val="18"/>
          <w:vertAlign w:val="baseline"/>
        </w:rPr>
        <w:t> </w:t>
      </w:r>
      <w:r>
        <w:rPr>
          <w:sz w:val="18"/>
          <w:vertAlign w:val="baseline"/>
        </w:rPr>
        <w:t>Guide</w:t>
      </w:r>
      <w:r>
        <w:rPr>
          <w:spacing w:val="-2"/>
          <w:sz w:val="18"/>
          <w:vertAlign w:val="baseline"/>
        </w:rPr>
        <w:t> </w:t>
      </w:r>
      <w:r>
        <w:rPr>
          <w:sz w:val="18"/>
          <w:vertAlign w:val="baseline"/>
        </w:rPr>
        <w:t>To</w:t>
      </w:r>
      <w:r>
        <w:rPr>
          <w:spacing w:val="-2"/>
          <w:sz w:val="18"/>
          <w:vertAlign w:val="baseline"/>
        </w:rPr>
        <w:t> </w:t>
      </w:r>
      <w:r>
        <w:rPr>
          <w:sz w:val="18"/>
          <w:vertAlign w:val="baseline"/>
        </w:rPr>
        <w:t>U.S.</w:t>
      </w:r>
      <w:r>
        <w:rPr>
          <w:spacing w:val="-2"/>
          <w:sz w:val="18"/>
          <w:vertAlign w:val="baseline"/>
        </w:rPr>
        <w:t> </w:t>
      </w:r>
      <w:r>
        <w:rPr>
          <w:sz w:val="18"/>
          <w:vertAlign w:val="baseline"/>
        </w:rPr>
        <w:t>Federal</w:t>
      </w:r>
      <w:r>
        <w:rPr>
          <w:spacing w:val="-3"/>
          <w:sz w:val="18"/>
          <w:vertAlign w:val="baseline"/>
        </w:rPr>
        <w:t> </w:t>
      </w:r>
      <w:r>
        <w:rPr>
          <w:sz w:val="18"/>
          <w:vertAlign w:val="baseline"/>
        </w:rPr>
        <w:t>Law</w:t>
      </w:r>
      <w:r>
        <w:rPr>
          <w:spacing w:val="-3"/>
          <w:sz w:val="18"/>
          <w:vertAlign w:val="baseline"/>
        </w:rPr>
        <w:t> </w:t>
      </w:r>
      <w:r>
        <w:rPr>
          <w:sz w:val="18"/>
          <w:vertAlign w:val="baseline"/>
        </w:rPr>
        <w:t>On</w:t>
      </w:r>
      <w:r>
        <w:rPr>
          <w:spacing w:val="-2"/>
          <w:sz w:val="18"/>
          <w:vertAlign w:val="baseline"/>
        </w:rPr>
        <w:t> </w:t>
      </w:r>
      <w:r>
        <w:rPr>
          <w:sz w:val="18"/>
          <w:vertAlign w:val="baseline"/>
        </w:rPr>
        <w:t>Child</w:t>
      </w:r>
      <w:r>
        <w:rPr>
          <w:spacing w:val="-1"/>
          <w:sz w:val="18"/>
          <w:vertAlign w:val="baseline"/>
        </w:rPr>
        <w:t> </w:t>
      </w:r>
      <w:r>
        <w:rPr>
          <w:sz w:val="18"/>
          <w:vertAlign w:val="baseline"/>
        </w:rPr>
        <w:t>Sex</w:t>
      </w:r>
      <w:r>
        <w:rPr>
          <w:spacing w:val="-2"/>
          <w:sz w:val="18"/>
          <w:vertAlign w:val="baseline"/>
        </w:rPr>
        <w:t> </w:t>
      </w:r>
      <w:r>
        <w:rPr>
          <w:sz w:val="18"/>
          <w:vertAlign w:val="baseline"/>
        </w:rPr>
        <w:t>Trafficking,”</w:t>
      </w:r>
      <w:r>
        <w:rPr>
          <w:spacing w:val="-2"/>
          <w:sz w:val="18"/>
          <w:vertAlign w:val="baseline"/>
        </w:rPr>
        <w:t> </w:t>
      </w:r>
      <w:r>
        <w:rPr>
          <w:sz w:val="18"/>
          <w:vertAlign w:val="baseline"/>
        </w:rPr>
        <w:t>May</w:t>
      </w:r>
      <w:r>
        <w:rPr>
          <w:spacing w:val="-2"/>
          <w:sz w:val="18"/>
          <w:vertAlign w:val="baseline"/>
        </w:rPr>
        <w:t> </w:t>
      </w:r>
      <w:r>
        <w:rPr>
          <w:sz w:val="18"/>
          <w:vertAlign w:val="baseline"/>
        </w:rPr>
        <w:t>26,</w:t>
      </w:r>
      <w:r>
        <w:rPr>
          <w:spacing w:val="-3"/>
          <w:sz w:val="18"/>
          <w:vertAlign w:val="baseline"/>
        </w:rPr>
        <w:t> </w:t>
      </w:r>
      <w:r>
        <w:rPr>
          <w:sz w:val="18"/>
          <w:vertAlign w:val="baseline"/>
        </w:rPr>
        <w:t>2015,</w:t>
      </w:r>
      <w:r>
        <w:rPr>
          <w:spacing w:val="-3"/>
          <w:sz w:val="18"/>
          <w:vertAlign w:val="baseline"/>
        </w:rPr>
        <w:t> </w:t>
      </w:r>
      <w:r>
        <w:rPr>
          <w:sz w:val="18"/>
          <w:vertAlign w:val="baseline"/>
        </w:rPr>
        <w:t>https://</w:t>
      </w:r>
      <w:hyperlink r:id="rId164">
        <w:r>
          <w:rPr>
            <w:sz w:val="18"/>
            <w:vertAlign w:val="baseline"/>
          </w:rPr>
          <w:t>www.justice.gov/criminal-</w:t>
        </w:r>
      </w:hyperlink>
      <w:r>
        <w:rPr>
          <w:sz w:val="18"/>
          <w:vertAlign w:val="baseline"/>
        </w:rPr>
        <w:t> </w:t>
      </w:r>
      <w:r>
        <w:rPr>
          <w:spacing w:val="-2"/>
          <w:sz w:val="18"/>
          <w:vertAlign w:val="baseline"/>
        </w:rPr>
        <w:t>ceos/citizens-guide-us-federal-law-child-sex-trafficking.</w:t>
      </w:r>
    </w:p>
    <w:p>
      <w:pPr>
        <w:spacing w:line="273" w:lineRule="auto" w:before="9"/>
        <w:ind w:left="463" w:right="437" w:hanging="1"/>
        <w:jc w:val="left"/>
        <w:rPr>
          <w:sz w:val="18"/>
        </w:rPr>
      </w:pPr>
      <w:r>
        <w:rPr>
          <w:sz w:val="18"/>
          <w:vertAlign w:val="superscript"/>
        </w:rPr>
        <w:t>130</w:t>
      </w:r>
      <w:r>
        <w:rPr>
          <w:spacing w:val="-12"/>
          <w:sz w:val="18"/>
          <w:vertAlign w:val="baseline"/>
        </w:rPr>
        <w:t> </w:t>
      </w:r>
      <w:r>
        <w:rPr>
          <w:sz w:val="18"/>
          <w:vertAlign w:val="baseline"/>
        </w:rPr>
        <w:t>“Massachusetts</w:t>
      </w:r>
      <w:r>
        <w:rPr>
          <w:spacing w:val="-3"/>
          <w:sz w:val="18"/>
          <w:vertAlign w:val="baseline"/>
        </w:rPr>
        <w:t> </w:t>
      </w:r>
      <w:r>
        <w:rPr>
          <w:sz w:val="18"/>
          <w:vertAlign w:val="baseline"/>
        </w:rPr>
        <w:t>Law</w:t>
      </w:r>
      <w:r>
        <w:rPr>
          <w:spacing w:val="-3"/>
          <w:sz w:val="18"/>
          <w:vertAlign w:val="baseline"/>
        </w:rPr>
        <w:t> </w:t>
      </w:r>
      <w:r>
        <w:rPr>
          <w:sz w:val="18"/>
          <w:vertAlign w:val="baseline"/>
        </w:rPr>
        <w:t>about</w:t>
      </w:r>
      <w:r>
        <w:rPr>
          <w:spacing w:val="-3"/>
          <w:sz w:val="18"/>
          <w:vertAlign w:val="baseline"/>
        </w:rPr>
        <w:t> </w:t>
      </w:r>
      <w:r>
        <w:rPr>
          <w:sz w:val="18"/>
          <w:vertAlign w:val="baseline"/>
        </w:rPr>
        <w:t>Sex</w:t>
      </w:r>
      <w:r>
        <w:rPr>
          <w:spacing w:val="-2"/>
          <w:sz w:val="18"/>
          <w:vertAlign w:val="baseline"/>
        </w:rPr>
        <w:t> </w:t>
      </w:r>
      <w:r>
        <w:rPr>
          <w:sz w:val="18"/>
          <w:vertAlign w:val="baseline"/>
        </w:rPr>
        <w:t>|</w:t>
      </w:r>
      <w:r>
        <w:rPr>
          <w:spacing w:val="-2"/>
          <w:sz w:val="18"/>
          <w:vertAlign w:val="baseline"/>
        </w:rPr>
        <w:t> </w:t>
      </w:r>
      <w:r>
        <w:rPr>
          <w:sz w:val="18"/>
          <w:vertAlign w:val="baseline"/>
        </w:rPr>
        <w:t>Mass.Gov,”</w:t>
      </w:r>
      <w:r>
        <w:rPr>
          <w:spacing w:val="-2"/>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24,</w:t>
      </w:r>
      <w:r>
        <w:rPr>
          <w:spacing w:val="-3"/>
          <w:sz w:val="18"/>
          <w:vertAlign w:val="baseline"/>
        </w:rPr>
        <w:t> </w:t>
      </w:r>
      <w:r>
        <w:rPr>
          <w:sz w:val="18"/>
          <w:vertAlign w:val="baseline"/>
        </w:rPr>
        <w:t>2023,</w:t>
      </w:r>
      <w:r>
        <w:rPr>
          <w:spacing w:val="-3"/>
          <w:sz w:val="18"/>
          <w:vertAlign w:val="baseline"/>
        </w:rPr>
        <w:t> </w:t>
      </w:r>
      <w:r>
        <w:rPr>
          <w:sz w:val="18"/>
          <w:vertAlign w:val="baseline"/>
        </w:rPr>
        <w:t>https://</w:t>
      </w:r>
      <w:hyperlink r:id="rId163">
        <w:r>
          <w:rPr>
            <w:sz w:val="18"/>
            <w:vertAlign w:val="baseline"/>
          </w:rPr>
          <w:t>www.mass.gov/info-</w:t>
        </w:r>
      </w:hyperlink>
      <w:r>
        <w:rPr>
          <w:spacing w:val="-2"/>
          <w:sz w:val="18"/>
          <w:vertAlign w:val="baseline"/>
        </w:rPr>
        <w:t> </w:t>
      </w:r>
      <w:r>
        <w:rPr>
          <w:sz w:val="18"/>
          <w:vertAlign w:val="baseline"/>
        </w:rPr>
        <w:t>details/massachusetts- </w:t>
      </w:r>
      <w:r>
        <w:rPr>
          <w:spacing w:val="-2"/>
          <w:sz w:val="18"/>
          <w:vertAlign w:val="baseline"/>
        </w:rPr>
        <w:t>law-about-sex.</w:t>
      </w:r>
    </w:p>
    <w:p>
      <w:pPr>
        <w:spacing w:line="271" w:lineRule="auto" w:before="10"/>
        <w:ind w:left="463" w:right="0" w:firstLine="0"/>
        <w:jc w:val="left"/>
        <w:rPr>
          <w:sz w:val="18"/>
        </w:rPr>
      </w:pPr>
      <w:r>
        <w:rPr>
          <w:sz w:val="18"/>
          <w:vertAlign w:val="superscript"/>
        </w:rPr>
        <w:t>131</w:t>
      </w:r>
      <w:r>
        <w:rPr>
          <w:sz w:val="18"/>
          <w:vertAlign w:val="baseline"/>
        </w:rPr>
        <w:t>Sex</w:t>
      </w:r>
      <w:r>
        <w:rPr>
          <w:spacing w:val="-1"/>
          <w:sz w:val="18"/>
          <w:vertAlign w:val="baseline"/>
        </w:rPr>
        <w:t> </w:t>
      </w:r>
      <w:r>
        <w:rPr>
          <w:sz w:val="18"/>
          <w:vertAlign w:val="baseline"/>
        </w:rPr>
        <w:t>Workers</w:t>
      </w:r>
      <w:r>
        <w:rPr>
          <w:spacing w:val="-1"/>
          <w:sz w:val="18"/>
          <w:vertAlign w:val="baseline"/>
        </w:rPr>
        <w:t> </w:t>
      </w:r>
      <w:r>
        <w:rPr>
          <w:sz w:val="18"/>
          <w:vertAlign w:val="baseline"/>
        </w:rPr>
        <w:t>and</w:t>
      </w:r>
      <w:r>
        <w:rPr>
          <w:spacing w:val="-1"/>
          <w:sz w:val="18"/>
          <w:vertAlign w:val="baseline"/>
        </w:rPr>
        <w:t> </w:t>
      </w:r>
      <w:r>
        <w:rPr>
          <w:sz w:val="18"/>
          <w:vertAlign w:val="baseline"/>
        </w:rPr>
        <w:t>Allies</w:t>
      </w:r>
      <w:r>
        <w:rPr>
          <w:spacing w:val="-1"/>
          <w:sz w:val="18"/>
          <w:vertAlign w:val="baseline"/>
        </w:rPr>
        <w:t> </w:t>
      </w:r>
      <w:r>
        <w:rPr>
          <w:sz w:val="18"/>
          <w:vertAlign w:val="baseline"/>
        </w:rPr>
        <w:t>Network</w:t>
      </w:r>
      <w:r>
        <w:rPr>
          <w:spacing w:val="-2"/>
          <w:sz w:val="18"/>
          <w:vertAlign w:val="baseline"/>
        </w:rPr>
        <w:t> </w:t>
      </w:r>
      <w:r>
        <w:rPr>
          <w:sz w:val="18"/>
          <w:vertAlign w:val="baseline"/>
        </w:rPr>
        <w:t>and</w:t>
      </w:r>
      <w:r>
        <w:rPr>
          <w:spacing w:val="-1"/>
          <w:sz w:val="18"/>
          <w:vertAlign w:val="baseline"/>
        </w:rPr>
        <w:t> </w:t>
      </w:r>
      <w:r>
        <w:rPr>
          <w:sz w:val="18"/>
          <w:vertAlign w:val="baseline"/>
        </w:rPr>
        <w:t>Yale</w:t>
      </w:r>
      <w:r>
        <w:rPr>
          <w:spacing w:val="-1"/>
          <w:sz w:val="18"/>
          <w:vertAlign w:val="baseline"/>
        </w:rPr>
        <w:t> </w:t>
      </w:r>
      <w:r>
        <w:rPr>
          <w:sz w:val="18"/>
          <w:vertAlign w:val="baseline"/>
        </w:rPr>
        <w:t>Global</w:t>
      </w:r>
      <w:r>
        <w:rPr>
          <w:spacing w:val="-2"/>
          <w:sz w:val="18"/>
          <w:vertAlign w:val="baseline"/>
        </w:rPr>
        <w:t> </w:t>
      </w:r>
      <w:r>
        <w:rPr>
          <w:sz w:val="18"/>
          <w:vertAlign w:val="baseline"/>
        </w:rPr>
        <w:t>Health</w:t>
      </w:r>
      <w:r>
        <w:rPr>
          <w:spacing w:val="-1"/>
          <w:sz w:val="18"/>
          <w:vertAlign w:val="baseline"/>
        </w:rPr>
        <w:t> </w:t>
      </w:r>
      <w:r>
        <w:rPr>
          <w:sz w:val="18"/>
          <w:vertAlign w:val="baseline"/>
        </w:rPr>
        <w:t>Justice</w:t>
      </w:r>
      <w:r>
        <w:rPr>
          <w:spacing w:val="-1"/>
          <w:sz w:val="18"/>
          <w:vertAlign w:val="baseline"/>
        </w:rPr>
        <w:t> </w:t>
      </w:r>
      <w:r>
        <w:rPr>
          <w:sz w:val="18"/>
          <w:vertAlign w:val="baseline"/>
        </w:rPr>
        <w:t>Partnership,</w:t>
      </w:r>
      <w:r>
        <w:rPr>
          <w:spacing w:val="-2"/>
          <w:sz w:val="18"/>
          <w:vertAlign w:val="baseline"/>
        </w:rPr>
        <w:t> </w:t>
      </w:r>
      <w:r>
        <w:rPr>
          <w:sz w:val="18"/>
          <w:vertAlign w:val="baseline"/>
        </w:rPr>
        <w:t>“SEX</w:t>
      </w:r>
      <w:r>
        <w:rPr>
          <w:spacing w:val="-1"/>
          <w:sz w:val="18"/>
          <w:vertAlign w:val="baseline"/>
        </w:rPr>
        <w:t> </w:t>
      </w:r>
      <w:r>
        <w:rPr>
          <w:sz w:val="18"/>
          <w:vertAlign w:val="baseline"/>
        </w:rPr>
        <w:t>WORK</w:t>
      </w:r>
      <w:r>
        <w:rPr>
          <w:spacing w:val="-1"/>
          <w:sz w:val="18"/>
          <w:vertAlign w:val="baseline"/>
        </w:rPr>
        <w:t> </w:t>
      </w:r>
      <w:r>
        <w:rPr>
          <w:sz w:val="18"/>
          <w:vertAlign w:val="baseline"/>
        </w:rPr>
        <w:t>VS</w:t>
      </w:r>
      <w:r>
        <w:rPr>
          <w:spacing w:val="-1"/>
          <w:sz w:val="18"/>
          <w:vertAlign w:val="baseline"/>
        </w:rPr>
        <w:t> </w:t>
      </w:r>
      <w:r>
        <w:rPr>
          <w:sz w:val="18"/>
          <w:vertAlign w:val="baseline"/>
        </w:rPr>
        <w:t>TRAFFICKING:</w:t>
      </w:r>
      <w:r>
        <w:rPr>
          <w:spacing w:val="-1"/>
          <w:sz w:val="18"/>
          <w:vertAlign w:val="baseline"/>
        </w:rPr>
        <w:t> </w:t>
      </w:r>
      <w:r>
        <w:rPr>
          <w:sz w:val="18"/>
          <w:vertAlign w:val="baseline"/>
        </w:rPr>
        <w:t>HOW</w:t>
      </w:r>
      <w:r>
        <w:rPr>
          <w:spacing w:val="-2"/>
          <w:sz w:val="18"/>
          <w:vertAlign w:val="baseline"/>
        </w:rPr>
        <w:t> </w:t>
      </w:r>
      <w:r>
        <w:rPr>
          <w:sz w:val="18"/>
          <w:vertAlign w:val="baseline"/>
        </w:rPr>
        <w:t>THEY</w:t>
      </w:r>
      <w:r>
        <w:rPr>
          <w:spacing w:val="-1"/>
          <w:sz w:val="18"/>
          <w:vertAlign w:val="baseline"/>
        </w:rPr>
        <w:t> </w:t>
      </w:r>
      <w:r>
        <w:rPr>
          <w:sz w:val="18"/>
          <w:vertAlign w:val="baseline"/>
        </w:rPr>
        <w:t>ARE DIFFERENT AND WHY IT MATTERS,” June 2020,</w:t>
      </w:r>
    </w:p>
    <w:p>
      <w:pPr>
        <w:spacing w:line="198" w:lineRule="exact" w:before="0"/>
        <w:ind w:left="463" w:right="0" w:firstLine="0"/>
        <w:jc w:val="left"/>
        <w:rPr>
          <w:sz w:val="18"/>
        </w:rPr>
      </w:pPr>
      <w:r>
        <w:rPr>
          <w:spacing w:val="-2"/>
          <w:sz w:val="18"/>
        </w:rPr>
        <w:t>https://law.yale.edu/sites/default/files/area/center/ghjp/documents/issue_brief_sex_work_vs_trafficking_v2.pdf.</w:t>
      </w:r>
    </w:p>
    <w:p>
      <w:pPr>
        <w:spacing w:line="273" w:lineRule="auto" w:before="15"/>
        <w:ind w:left="463" w:right="678" w:hanging="1"/>
        <w:jc w:val="left"/>
        <w:rPr>
          <w:sz w:val="18"/>
        </w:rPr>
      </w:pPr>
      <w:r>
        <w:rPr>
          <w:sz w:val="18"/>
          <w:vertAlign w:val="superscript"/>
        </w:rPr>
        <w:t>132</w:t>
      </w:r>
      <w:r>
        <w:rPr>
          <w:spacing w:val="-12"/>
          <w:sz w:val="18"/>
          <w:vertAlign w:val="baseline"/>
        </w:rPr>
        <w:t> </w:t>
      </w:r>
      <w:r>
        <w:rPr>
          <w:sz w:val="18"/>
          <w:vertAlign w:val="baseline"/>
        </w:rPr>
        <w:t>“Erased</w:t>
      </w:r>
      <w:r>
        <w:rPr>
          <w:spacing w:val="-2"/>
          <w:sz w:val="18"/>
          <w:vertAlign w:val="baseline"/>
        </w:rPr>
        <w:t> </w:t>
      </w:r>
      <w:r>
        <w:rPr>
          <w:sz w:val="18"/>
          <w:vertAlign w:val="baseline"/>
        </w:rPr>
        <w:t>-</w:t>
      </w:r>
      <w:r>
        <w:rPr>
          <w:spacing w:val="-1"/>
          <w:sz w:val="18"/>
          <w:vertAlign w:val="baseline"/>
        </w:rPr>
        <w:t> </w:t>
      </w:r>
      <w:r>
        <w:rPr>
          <w:sz w:val="18"/>
          <w:vertAlign w:val="baseline"/>
        </w:rPr>
        <w:t>The</w:t>
      </w:r>
      <w:r>
        <w:rPr>
          <w:spacing w:val="-2"/>
          <w:sz w:val="18"/>
          <w:vertAlign w:val="baseline"/>
        </w:rPr>
        <w:t> </w:t>
      </w:r>
      <w:r>
        <w:rPr>
          <w:sz w:val="18"/>
          <w:vertAlign w:val="baseline"/>
        </w:rPr>
        <w:t>Impact</w:t>
      </w:r>
      <w:r>
        <w:rPr>
          <w:spacing w:val="-2"/>
          <w:sz w:val="18"/>
          <w:vertAlign w:val="baseline"/>
        </w:rPr>
        <w:t> </w:t>
      </w:r>
      <w:r>
        <w:rPr>
          <w:sz w:val="18"/>
          <w:vertAlign w:val="baseline"/>
        </w:rPr>
        <w:t>of</w:t>
      </w:r>
      <w:r>
        <w:rPr>
          <w:spacing w:val="-1"/>
          <w:sz w:val="18"/>
          <w:vertAlign w:val="baseline"/>
        </w:rPr>
        <w:t> </w:t>
      </w:r>
      <w:r>
        <w:rPr>
          <w:sz w:val="18"/>
          <w:vertAlign w:val="baseline"/>
        </w:rPr>
        <w:t>FOSTA-SESTA</w:t>
      </w:r>
      <w:r>
        <w:rPr>
          <w:spacing w:val="-1"/>
          <w:sz w:val="18"/>
          <w:vertAlign w:val="baseline"/>
        </w:rPr>
        <w:t> </w:t>
      </w:r>
      <w:r>
        <w:rPr>
          <w:sz w:val="18"/>
          <w:vertAlign w:val="baseline"/>
        </w:rPr>
        <w:t>and</w:t>
      </w:r>
      <w:r>
        <w:rPr>
          <w:spacing w:val="-1"/>
          <w:sz w:val="18"/>
          <w:vertAlign w:val="baseline"/>
        </w:rPr>
        <w:t> </w:t>
      </w:r>
      <w:r>
        <w:rPr>
          <w:sz w:val="18"/>
          <w:vertAlign w:val="baseline"/>
        </w:rPr>
        <w:t>the</w:t>
      </w:r>
      <w:r>
        <w:rPr>
          <w:spacing w:val="-2"/>
          <w:sz w:val="18"/>
          <w:vertAlign w:val="baseline"/>
        </w:rPr>
        <w:t> </w:t>
      </w:r>
      <w:r>
        <w:rPr>
          <w:sz w:val="18"/>
          <w:vertAlign w:val="baseline"/>
        </w:rPr>
        <w:t>Removal</w:t>
      </w:r>
      <w:r>
        <w:rPr>
          <w:spacing w:val="-2"/>
          <w:sz w:val="18"/>
          <w:vertAlign w:val="baseline"/>
        </w:rPr>
        <w:t> </w:t>
      </w:r>
      <w:r>
        <w:rPr>
          <w:sz w:val="18"/>
          <w:vertAlign w:val="baseline"/>
        </w:rPr>
        <w:t>of</w:t>
      </w:r>
      <w:r>
        <w:rPr>
          <w:spacing w:val="-1"/>
          <w:sz w:val="18"/>
          <w:vertAlign w:val="baseline"/>
        </w:rPr>
        <w:t> </w:t>
      </w:r>
      <w:r>
        <w:rPr>
          <w:sz w:val="18"/>
          <w:vertAlign w:val="baseline"/>
        </w:rPr>
        <w:t>Backpage</w:t>
      </w:r>
      <w:r>
        <w:rPr>
          <w:spacing w:val="-1"/>
          <w:sz w:val="18"/>
          <w:vertAlign w:val="baseline"/>
        </w:rPr>
        <w:t> </w:t>
      </w:r>
      <w:r>
        <w:rPr>
          <w:sz w:val="18"/>
          <w:vertAlign w:val="baseline"/>
        </w:rPr>
        <w:t>2020,”</w:t>
      </w:r>
      <w:r>
        <w:rPr>
          <w:spacing w:val="-1"/>
          <w:sz w:val="18"/>
          <w:vertAlign w:val="baseline"/>
        </w:rPr>
        <w:t> </w:t>
      </w:r>
      <w:r>
        <w:rPr>
          <w:sz w:val="18"/>
          <w:vertAlign w:val="baseline"/>
        </w:rPr>
        <w:t>Hacking//Hustling,</w:t>
      </w:r>
      <w:r>
        <w:rPr>
          <w:spacing w:val="-1"/>
          <w:sz w:val="18"/>
          <w:vertAlign w:val="baseline"/>
        </w:rPr>
        <w:t> </w:t>
      </w:r>
      <w:r>
        <w:rPr>
          <w:sz w:val="18"/>
          <w:vertAlign w:val="baseline"/>
        </w:rPr>
        <w:t>accessed</w:t>
      </w:r>
      <w:r>
        <w:rPr>
          <w:spacing w:val="-1"/>
          <w:sz w:val="18"/>
          <w:vertAlign w:val="baseline"/>
        </w:rPr>
        <w:t> </w:t>
      </w:r>
      <w:r>
        <w:rPr>
          <w:sz w:val="18"/>
          <w:vertAlign w:val="baseline"/>
        </w:rPr>
        <w:t>April</w:t>
      </w:r>
      <w:r>
        <w:rPr>
          <w:spacing w:val="-2"/>
          <w:sz w:val="18"/>
          <w:vertAlign w:val="baseline"/>
        </w:rPr>
        <w:t> </w:t>
      </w:r>
      <w:r>
        <w:rPr>
          <w:sz w:val="18"/>
          <w:vertAlign w:val="baseline"/>
        </w:rPr>
        <w:t>24,</w:t>
      </w:r>
      <w:r>
        <w:rPr>
          <w:spacing w:val="-2"/>
          <w:sz w:val="18"/>
          <w:vertAlign w:val="baseline"/>
        </w:rPr>
        <w:t> </w:t>
      </w:r>
      <w:r>
        <w:rPr>
          <w:sz w:val="18"/>
          <w:vertAlign w:val="baseline"/>
        </w:rPr>
        <w:t>2023, </w:t>
      </w:r>
      <w:r>
        <w:rPr>
          <w:spacing w:val="-2"/>
          <w:sz w:val="18"/>
          <w:vertAlign w:val="baseline"/>
        </w:rPr>
        <w:t>https://hackinghustling.org/erased-the-impact-of-fosta-sesta-2020/.</w:t>
      </w:r>
    </w:p>
    <w:p>
      <w:pPr>
        <w:spacing w:line="212" w:lineRule="exact" w:before="0"/>
        <w:ind w:left="463" w:right="0" w:firstLine="0"/>
        <w:jc w:val="left"/>
        <w:rPr>
          <w:sz w:val="18"/>
        </w:rPr>
      </w:pPr>
      <w:r>
        <w:rPr>
          <w:sz w:val="18"/>
          <w:vertAlign w:val="superscript"/>
        </w:rPr>
        <w:t>133</w:t>
      </w:r>
      <w:r>
        <w:rPr>
          <w:spacing w:val="-12"/>
          <w:sz w:val="18"/>
          <w:vertAlign w:val="baseline"/>
        </w:rPr>
        <w:t> </w:t>
      </w:r>
      <w:r>
        <w:rPr>
          <w:sz w:val="18"/>
          <w:vertAlign w:val="baseline"/>
        </w:rPr>
        <w:t>“Sex</w:t>
      </w:r>
      <w:r>
        <w:rPr>
          <w:spacing w:val="1"/>
          <w:sz w:val="18"/>
          <w:vertAlign w:val="baseline"/>
        </w:rPr>
        <w:t> </w:t>
      </w:r>
      <w:r>
        <w:rPr>
          <w:sz w:val="18"/>
          <w:vertAlign w:val="baseline"/>
        </w:rPr>
        <w:t>Trafficking</w:t>
      </w:r>
      <w:r>
        <w:rPr>
          <w:spacing w:val="1"/>
          <w:sz w:val="18"/>
          <w:vertAlign w:val="baseline"/>
        </w:rPr>
        <w:t> </w:t>
      </w:r>
      <w:r>
        <w:rPr>
          <w:sz w:val="18"/>
          <w:vertAlign w:val="baseline"/>
        </w:rPr>
        <w:t>and</w:t>
      </w:r>
      <w:r>
        <w:rPr>
          <w:spacing w:val="1"/>
          <w:sz w:val="18"/>
          <w:vertAlign w:val="baseline"/>
        </w:rPr>
        <w:t> </w:t>
      </w:r>
      <w:r>
        <w:rPr>
          <w:sz w:val="18"/>
          <w:vertAlign w:val="baseline"/>
        </w:rPr>
        <w:t>LGBTQ+ </w:t>
      </w:r>
      <w:r>
        <w:rPr>
          <w:spacing w:val="-2"/>
          <w:sz w:val="18"/>
          <w:vertAlign w:val="baseline"/>
        </w:rPr>
        <w:t>Youth.”</w:t>
      </w:r>
    </w:p>
    <w:p>
      <w:pPr>
        <w:spacing w:line="266" w:lineRule="auto" w:before="21"/>
        <w:ind w:left="463" w:right="382" w:firstLine="0"/>
        <w:jc w:val="left"/>
        <w:rPr>
          <w:sz w:val="18"/>
        </w:rPr>
      </w:pPr>
      <w:r>
        <w:rPr>
          <w:sz w:val="18"/>
          <w:vertAlign w:val="superscript"/>
        </w:rPr>
        <w:t>134</w:t>
      </w:r>
      <w:r>
        <w:rPr>
          <w:spacing w:val="-6"/>
          <w:sz w:val="18"/>
          <w:vertAlign w:val="baseline"/>
        </w:rPr>
        <w:t> </w:t>
      </w:r>
      <w:r>
        <w:rPr>
          <w:sz w:val="18"/>
          <w:vertAlign w:val="baseline"/>
        </w:rPr>
        <w:t>“LGBTQIA+ Youth and Experiences of Human Trafficking: A Healing-Centered Approach | 2021” (Health Resources and Services Administration of the U.S. Department of Health and Human Services, 2021), https://</w:t>
      </w:r>
      <w:hyperlink r:id="rId165">
        <w:r>
          <w:rPr>
            <w:sz w:val="18"/>
            <w:vertAlign w:val="baseline"/>
          </w:rPr>
          <w:t>www.lgbtqiahealtheducation.org/wp-content/uploads/2021/09/Supporting-LGBTQIA-Youth-Who-Have-</w:t>
        </w:r>
      </w:hyperlink>
      <w:r>
        <w:rPr>
          <w:spacing w:val="-11"/>
          <w:sz w:val="18"/>
          <w:vertAlign w:val="baseline"/>
        </w:rPr>
        <w:t> </w:t>
      </w:r>
      <w:r>
        <w:rPr>
          <w:sz w:val="18"/>
          <w:vertAlign w:val="baseline"/>
        </w:rPr>
        <w:t>Experienced- </w:t>
      </w:r>
      <w:r>
        <w:rPr>
          <w:spacing w:val="-2"/>
          <w:sz w:val="18"/>
          <w:vertAlign w:val="baseline"/>
        </w:rPr>
        <w:t>Trafficking.pdf.</w:t>
      </w:r>
    </w:p>
    <w:p>
      <w:pPr>
        <w:spacing w:before="1"/>
        <w:ind w:left="463" w:right="0" w:firstLine="0"/>
        <w:jc w:val="left"/>
        <w:rPr>
          <w:sz w:val="18"/>
        </w:rPr>
      </w:pPr>
      <w:r>
        <w:rPr>
          <w:sz w:val="18"/>
          <w:vertAlign w:val="superscript"/>
        </w:rPr>
        <w:t>135</w:t>
      </w:r>
      <w:r>
        <w:rPr>
          <w:spacing w:val="-12"/>
          <w:sz w:val="18"/>
          <w:vertAlign w:val="baseline"/>
        </w:rPr>
        <w:t> </w:t>
      </w:r>
      <w:r>
        <w:rPr>
          <w:sz w:val="18"/>
          <w:vertAlign w:val="baseline"/>
        </w:rPr>
        <w:t>James</w:t>
      </w:r>
      <w:r>
        <w:rPr>
          <w:spacing w:val="-1"/>
          <w:sz w:val="18"/>
          <w:vertAlign w:val="baseline"/>
        </w:rPr>
        <w:t> </w:t>
      </w:r>
      <w:r>
        <w:rPr>
          <w:sz w:val="18"/>
          <w:vertAlign w:val="baseline"/>
        </w:rPr>
        <w:t>et</w:t>
      </w:r>
      <w:r>
        <w:rPr>
          <w:spacing w:val="-1"/>
          <w:sz w:val="18"/>
          <w:vertAlign w:val="baseline"/>
        </w:rPr>
        <w:t> </w:t>
      </w:r>
      <w:r>
        <w:rPr>
          <w:sz w:val="18"/>
          <w:vertAlign w:val="baseline"/>
        </w:rPr>
        <w:t>al.,</w:t>
      </w:r>
      <w:r>
        <w:rPr>
          <w:spacing w:val="-3"/>
          <w:sz w:val="18"/>
          <w:vertAlign w:val="baseline"/>
        </w:rPr>
        <w:t> </w:t>
      </w:r>
      <w:r>
        <w:rPr>
          <w:sz w:val="18"/>
          <w:vertAlign w:val="baseline"/>
        </w:rPr>
        <w:t>“The Report</w:t>
      </w:r>
      <w:r>
        <w:rPr>
          <w:spacing w:val="-1"/>
          <w:sz w:val="18"/>
          <w:vertAlign w:val="baseline"/>
        </w:rPr>
        <w:t> </w:t>
      </w:r>
      <w:r>
        <w:rPr>
          <w:sz w:val="18"/>
          <w:vertAlign w:val="baseline"/>
        </w:rPr>
        <w:t>of</w:t>
      </w:r>
      <w:r>
        <w:rPr>
          <w:spacing w:val="-1"/>
          <w:sz w:val="18"/>
          <w:vertAlign w:val="baseline"/>
        </w:rPr>
        <w:t> </w:t>
      </w:r>
      <w:r>
        <w:rPr>
          <w:sz w:val="18"/>
          <w:vertAlign w:val="baseline"/>
        </w:rPr>
        <w:t>the 2015 U.S. Transgender</w:t>
      </w:r>
      <w:r>
        <w:rPr>
          <w:spacing w:val="-2"/>
          <w:sz w:val="18"/>
          <w:vertAlign w:val="baseline"/>
        </w:rPr>
        <w:t> Survey.”</w:t>
      </w:r>
    </w:p>
    <w:p>
      <w:pPr>
        <w:spacing w:before="2"/>
        <w:ind w:left="463" w:right="0" w:firstLine="0"/>
        <w:jc w:val="left"/>
        <w:rPr>
          <w:sz w:val="18"/>
        </w:rPr>
      </w:pPr>
      <w:r>
        <w:rPr>
          <w:sz w:val="18"/>
          <w:vertAlign w:val="superscript"/>
        </w:rPr>
        <w:t>136</w:t>
      </w:r>
      <w:r>
        <w:rPr>
          <w:spacing w:val="-9"/>
          <w:sz w:val="18"/>
          <w:vertAlign w:val="baseline"/>
        </w:rPr>
        <w:t> </w:t>
      </w:r>
      <w:r>
        <w:rPr>
          <w:sz w:val="18"/>
          <w:vertAlign w:val="baseline"/>
        </w:rPr>
        <w:t>James</w:t>
      </w:r>
      <w:r>
        <w:rPr>
          <w:spacing w:val="5"/>
          <w:sz w:val="18"/>
          <w:vertAlign w:val="baseline"/>
        </w:rPr>
        <w:t> </w:t>
      </w:r>
      <w:r>
        <w:rPr>
          <w:sz w:val="18"/>
          <w:vertAlign w:val="baseline"/>
        </w:rPr>
        <w:t>et</w:t>
      </w:r>
      <w:r>
        <w:rPr>
          <w:spacing w:val="3"/>
          <w:sz w:val="18"/>
          <w:vertAlign w:val="baseline"/>
        </w:rPr>
        <w:t> </w:t>
      </w:r>
      <w:r>
        <w:rPr>
          <w:spacing w:val="-5"/>
          <w:sz w:val="18"/>
          <w:vertAlign w:val="baseline"/>
        </w:rPr>
        <w:t>al.</w:t>
      </w:r>
    </w:p>
    <w:p>
      <w:pPr>
        <w:spacing w:before="3"/>
        <w:ind w:left="463" w:right="0" w:firstLine="0"/>
        <w:jc w:val="left"/>
        <w:rPr>
          <w:sz w:val="18"/>
        </w:rPr>
      </w:pPr>
      <w:r>
        <w:rPr>
          <w:sz w:val="18"/>
          <w:vertAlign w:val="superscript"/>
        </w:rPr>
        <w:t>137</w:t>
      </w:r>
      <w:r>
        <w:rPr>
          <w:spacing w:val="-12"/>
          <w:sz w:val="18"/>
          <w:vertAlign w:val="baseline"/>
        </w:rPr>
        <w:t> </w:t>
      </w:r>
      <w:r>
        <w:rPr>
          <w:sz w:val="18"/>
          <w:vertAlign w:val="baseline"/>
        </w:rPr>
        <w:t>“Sex</w:t>
      </w:r>
      <w:r>
        <w:rPr>
          <w:spacing w:val="1"/>
          <w:sz w:val="18"/>
          <w:vertAlign w:val="baseline"/>
        </w:rPr>
        <w:t> </w:t>
      </w:r>
      <w:r>
        <w:rPr>
          <w:sz w:val="18"/>
          <w:vertAlign w:val="baseline"/>
        </w:rPr>
        <w:t>Trafficking</w:t>
      </w:r>
      <w:r>
        <w:rPr>
          <w:spacing w:val="1"/>
          <w:sz w:val="18"/>
          <w:vertAlign w:val="baseline"/>
        </w:rPr>
        <w:t> </w:t>
      </w:r>
      <w:r>
        <w:rPr>
          <w:sz w:val="18"/>
          <w:vertAlign w:val="baseline"/>
        </w:rPr>
        <w:t>and</w:t>
      </w:r>
      <w:r>
        <w:rPr>
          <w:spacing w:val="1"/>
          <w:sz w:val="18"/>
          <w:vertAlign w:val="baseline"/>
        </w:rPr>
        <w:t> </w:t>
      </w:r>
      <w:r>
        <w:rPr>
          <w:sz w:val="18"/>
          <w:vertAlign w:val="baseline"/>
        </w:rPr>
        <w:t>LGBTQ+ </w:t>
      </w:r>
      <w:r>
        <w:rPr>
          <w:spacing w:val="-2"/>
          <w:sz w:val="18"/>
          <w:vertAlign w:val="baseline"/>
        </w:rPr>
        <w:t>Youth.”</w:t>
      </w:r>
    </w:p>
    <w:p>
      <w:pPr>
        <w:spacing w:before="3"/>
        <w:ind w:left="463" w:right="0" w:firstLine="0"/>
        <w:jc w:val="left"/>
        <w:rPr>
          <w:sz w:val="18"/>
        </w:rPr>
      </w:pPr>
      <w:r>
        <w:rPr>
          <w:sz w:val="18"/>
          <w:vertAlign w:val="superscript"/>
        </w:rPr>
        <w:t>138</w:t>
      </w:r>
      <w:r>
        <w:rPr>
          <w:spacing w:val="-12"/>
          <w:sz w:val="18"/>
          <w:vertAlign w:val="baseline"/>
        </w:rPr>
        <w:t> </w:t>
      </w:r>
      <w:r>
        <w:rPr>
          <w:sz w:val="18"/>
          <w:vertAlign w:val="baseline"/>
        </w:rPr>
        <w:t>Laura</w:t>
      </w:r>
      <w:r>
        <w:rPr>
          <w:spacing w:val="-2"/>
          <w:sz w:val="18"/>
          <w:vertAlign w:val="baseline"/>
        </w:rPr>
        <w:t> </w:t>
      </w:r>
      <w:r>
        <w:rPr>
          <w:sz w:val="18"/>
          <w:vertAlign w:val="baseline"/>
        </w:rPr>
        <w:t>S</w:t>
      </w:r>
      <w:r>
        <w:rPr>
          <w:spacing w:val="-1"/>
          <w:sz w:val="18"/>
          <w:vertAlign w:val="baseline"/>
        </w:rPr>
        <w:t> </w:t>
      </w:r>
      <w:r>
        <w:rPr>
          <w:sz w:val="18"/>
          <w:vertAlign w:val="baseline"/>
        </w:rPr>
        <w:t>Abrams</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“Collaborative</w:t>
      </w:r>
      <w:r>
        <w:rPr>
          <w:spacing w:val="-1"/>
          <w:sz w:val="18"/>
          <w:vertAlign w:val="baseline"/>
        </w:rPr>
        <w:t> </w:t>
      </w:r>
      <w:r>
        <w:rPr>
          <w:sz w:val="18"/>
          <w:vertAlign w:val="baseline"/>
        </w:rPr>
        <w:t>Responses</w:t>
      </w:r>
      <w:r>
        <w:rPr>
          <w:spacing w:val="-1"/>
          <w:sz w:val="18"/>
          <w:vertAlign w:val="baseline"/>
        </w:rPr>
        <w:t> </w:t>
      </w:r>
      <w:r>
        <w:rPr>
          <w:sz w:val="18"/>
          <w:vertAlign w:val="baseline"/>
        </w:rPr>
        <w:t>to</w:t>
      </w:r>
      <w:r>
        <w:rPr>
          <w:spacing w:val="-1"/>
          <w:sz w:val="18"/>
          <w:vertAlign w:val="baseline"/>
        </w:rPr>
        <w:t> </w:t>
      </w:r>
      <w:r>
        <w:rPr>
          <w:sz w:val="18"/>
          <w:vertAlign w:val="baseline"/>
        </w:rPr>
        <w:t>Commercial</w:t>
      </w:r>
      <w:r>
        <w:rPr>
          <w:spacing w:val="-3"/>
          <w:sz w:val="18"/>
          <w:vertAlign w:val="baseline"/>
        </w:rPr>
        <w:t> </w:t>
      </w:r>
      <w:r>
        <w:rPr>
          <w:sz w:val="18"/>
          <w:vertAlign w:val="baseline"/>
        </w:rPr>
        <w:t>Sexual</w:t>
      </w:r>
      <w:r>
        <w:rPr>
          <w:spacing w:val="-2"/>
          <w:sz w:val="18"/>
          <w:vertAlign w:val="baseline"/>
        </w:rPr>
        <w:t> </w:t>
      </w:r>
      <w:r>
        <w:rPr>
          <w:sz w:val="18"/>
          <w:vertAlign w:val="baseline"/>
        </w:rPr>
        <w:t>Exploitation</w:t>
      </w:r>
      <w:r>
        <w:rPr>
          <w:spacing w:val="-1"/>
          <w:sz w:val="18"/>
          <w:vertAlign w:val="baseline"/>
        </w:rPr>
        <w:t> </w:t>
      </w:r>
      <w:r>
        <w:rPr>
          <w:sz w:val="18"/>
          <w:vertAlign w:val="baseline"/>
        </w:rPr>
        <w:t>as</w:t>
      </w:r>
      <w:r>
        <w:rPr>
          <w:spacing w:val="-1"/>
          <w:sz w:val="18"/>
          <w:vertAlign w:val="baseline"/>
        </w:rPr>
        <w:t> </w:t>
      </w:r>
      <w:r>
        <w:rPr>
          <w:sz w:val="18"/>
          <w:vertAlign w:val="baseline"/>
        </w:rPr>
        <w:t>a</w:t>
      </w:r>
      <w:r>
        <w:rPr>
          <w:spacing w:val="-1"/>
          <w:sz w:val="18"/>
          <w:vertAlign w:val="baseline"/>
        </w:rPr>
        <w:t> </w:t>
      </w:r>
      <w:r>
        <w:rPr>
          <w:sz w:val="18"/>
          <w:vertAlign w:val="baseline"/>
        </w:rPr>
        <w:t>Model</w:t>
      </w:r>
      <w:r>
        <w:rPr>
          <w:spacing w:val="-2"/>
          <w:sz w:val="18"/>
          <w:vertAlign w:val="baseline"/>
        </w:rPr>
        <w:t> </w:t>
      </w:r>
      <w:r>
        <w:rPr>
          <w:sz w:val="18"/>
          <w:vertAlign w:val="baseline"/>
        </w:rPr>
        <w:t>of</w:t>
      </w:r>
      <w:r>
        <w:rPr>
          <w:spacing w:val="-1"/>
          <w:sz w:val="18"/>
          <w:vertAlign w:val="baseline"/>
        </w:rPr>
        <w:t> </w:t>
      </w:r>
      <w:r>
        <w:rPr>
          <w:sz w:val="18"/>
          <w:vertAlign w:val="baseline"/>
        </w:rPr>
        <w:t>Smart</w:t>
      </w:r>
      <w:r>
        <w:rPr>
          <w:spacing w:val="-2"/>
          <w:sz w:val="18"/>
          <w:vertAlign w:val="baseline"/>
        </w:rPr>
        <w:t> Decarceration,”</w:t>
      </w:r>
    </w:p>
    <w:p>
      <w:pPr>
        <w:spacing w:after="0"/>
        <w:jc w:val="left"/>
        <w:rPr>
          <w:sz w:val="18"/>
        </w:rPr>
        <w:sectPr>
          <w:pgSz w:w="11910" w:h="16840"/>
          <w:pgMar w:header="804" w:footer="1277" w:top="1080" w:bottom="1460" w:left="980" w:right="900"/>
        </w:sectPr>
      </w:pPr>
    </w:p>
    <w:p>
      <w:pPr>
        <w:spacing w:before="69"/>
        <w:ind w:left="463" w:right="0" w:firstLine="0"/>
        <w:jc w:val="left"/>
        <w:rPr>
          <w:sz w:val="18"/>
        </w:rPr>
      </w:pPr>
      <w:r>
        <w:rPr>
          <w:i/>
          <w:sz w:val="18"/>
        </w:rPr>
        <w:t>Social</w:t>
      </w:r>
      <w:r>
        <w:rPr>
          <w:i/>
          <w:spacing w:val="-3"/>
          <w:sz w:val="18"/>
        </w:rPr>
        <w:t> </w:t>
      </w:r>
      <w:r>
        <w:rPr>
          <w:i/>
          <w:sz w:val="18"/>
        </w:rPr>
        <w:t>Work</w:t>
      </w:r>
      <w:r>
        <w:rPr>
          <w:i/>
          <w:spacing w:val="-2"/>
          <w:sz w:val="18"/>
        </w:rPr>
        <w:t> </w:t>
      </w:r>
      <w:r>
        <w:rPr>
          <w:sz w:val="18"/>
        </w:rPr>
        <w:t>65,</w:t>
      </w:r>
      <w:r>
        <w:rPr>
          <w:spacing w:val="-3"/>
          <w:sz w:val="18"/>
        </w:rPr>
        <w:t> </w:t>
      </w:r>
      <w:r>
        <w:rPr>
          <w:sz w:val="18"/>
        </w:rPr>
        <w:t>no.</w:t>
      </w:r>
      <w:r>
        <w:rPr>
          <w:spacing w:val="-1"/>
          <w:sz w:val="18"/>
        </w:rPr>
        <w:t> </w:t>
      </w:r>
      <w:r>
        <w:rPr>
          <w:sz w:val="18"/>
        </w:rPr>
        <w:t>4</w:t>
      </w:r>
      <w:r>
        <w:rPr>
          <w:spacing w:val="-2"/>
          <w:sz w:val="18"/>
        </w:rPr>
        <w:t> </w:t>
      </w:r>
      <w:r>
        <w:rPr>
          <w:sz w:val="18"/>
        </w:rPr>
        <w:t>(October</w:t>
      </w:r>
      <w:r>
        <w:rPr>
          <w:spacing w:val="-2"/>
          <w:sz w:val="18"/>
        </w:rPr>
        <w:t> </w:t>
      </w:r>
      <w:r>
        <w:rPr>
          <w:sz w:val="18"/>
        </w:rPr>
        <w:t>1,</w:t>
      </w:r>
      <w:r>
        <w:rPr>
          <w:spacing w:val="-3"/>
          <w:sz w:val="18"/>
        </w:rPr>
        <w:t> </w:t>
      </w:r>
      <w:r>
        <w:rPr>
          <w:sz w:val="18"/>
        </w:rPr>
        <w:t>2020):</w:t>
      </w:r>
      <w:r>
        <w:rPr>
          <w:spacing w:val="-1"/>
          <w:sz w:val="18"/>
        </w:rPr>
        <w:t> </w:t>
      </w:r>
      <w:r>
        <w:rPr>
          <w:sz w:val="18"/>
        </w:rPr>
        <w:t>387–96,</w:t>
      </w:r>
      <w:r>
        <w:rPr>
          <w:spacing w:val="-2"/>
          <w:sz w:val="18"/>
        </w:rPr>
        <w:t> https://doi.org/10.1093/sw/swaa040.</w:t>
      </w:r>
    </w:p>
    <w:p>
      <w:pPr>
        <w:spacing w:before="24"/>
        <w:ind w:left="463" w:right="0" w:firstLine="0"/>
        <w:jc w:val="left"/>
        <w:rPr>
          <w:sz w:val="18"/>
        </w:rPr>
      </w:pPr>
      <w:r>
        <w:rPr>
          <w:sz w:val="18"/>
          <w:vertAlign w:val="superscript"/>
        </w:rPr>
        <w:t>139</w:t>
      </w:r>
      <w:r>
        <w:rPr>
          <w:spacing w:val="-9"/>
          <w:sz w:val="18"/>
          <w:vertAlign w:val="baseline"/>
        </w:rPr>
        <w:t> </w:t>
      </w:r>
      <w:r>
        <w:rPr>
          <w:sz w:val="18"/>
          <w:vertAlign w:val="baseline"/>
        </w:rPr>
        <w:t>Abrams</w:t>
      </w:r>
      <w:r>
        <w:rPr>
          <w:spacing w:val="4"/>
          <w:sz w:val="18"/>
          <w:vertAlign w:val="baseline"/>
        </w:rPr>
        <w:t> </w:t>
      </w:r>
      <w:r>
        <w:rPr>
          <w:sz w:val="18"/>
          <w:vertAlign w:val="baseline"/>
        </w:rPr>
        <w:t>et</w:t>
      </w:r>
      <w:r>
        <w:rPr>
          <w:spacing w:val="3"/>
          <w:sz w:val="18"/>
          <w:vertAlign w:val="baseline"/>
        </w:rPr>
        <w:t> </w:t>
      </w:r>
      <w:r>
        <w:rPr>
          <w:spacing w:val="-5"/>
          <w:sz w:val="18"/>
          <w:vertAlign w:val="baseline"/>
        </w:rPr>
        <w:t>al.</w:t>
      </w:r>
    </w:p>
    <w:p>
      <w:pPr>
        <w:spacing w:before="20"/>
        <w:ind w:left="463" w:right="0" w:firstLine="0"/>
        <w:jc w:val="left"/>
        <w:rPr>
          <w:i/>
          <w:sz w:val="18"/>
        </w:rPr>
      </w:pPr>
      <w:r>
        <w:rPr>
          <w:sz w:val="18"/>
          <w:vertAlign w:val="superscript"/>
        </w:rPr>
        <w:t>140</w:t>
      </w:r>
      <w:r>
        <w:rPr>
          <w:spacing w:val="-12"/>
          <w:sz w:val="18"/>
          <w:vertAlign w:val="baseline"/>
        </w:rPr>
        <w:t> </w:t>
      </w:r>
      <w:r>
        <w:rPr>
          <w:sz w:val="18"/>
          <w:vertAlign w:val="baseline"/>
        </w:rPr>
        <w:t>Erin</w:t>
      </w:r>
      <w:r>
        <w:rPr>
          <w:spacing w:val="-3"/>
          <w:sz w:val="18"/>
          <w:vertAlign w:val="baseline"/>
        </w:rPr>
        <w:t> </w:t>
      </w:r>
      <w:r>
        <w:rPr>
          <w:sz w:val="18"/>
          <w:vertAlign w:val="baseline"/>
        </w:rPr>
        <w:t>Albright</w:t>
      </w:r>
      <w:r>
        <w:rPr>
          <w:spacing w:val="-3"/>
          <w:sz w:val="18"/>
          <w:vertAlign w:val="baseline"/>
        </w:rPr>
        <w:t> </w:t>
      </w:r>
      <w:r>
        <w:rPr>
          <w:sz w:val="18"/>
          <w:vertAlign w:val="baseline"/>
        </w:rPr>
        <w:t>and</w:t>
      </w:r>
      <w:r>
        <w:rPr>
          <w:spacing w:val="-2"/>
          <w:sz w:val="18"/>
          <w:vertAlign w:val="baseline"/>
        </w:rPr>
        <w:t> </w:t>
      </w:r>
      <w:r>
        <w:rPr>
          <w:sz w:val="18"/>
          <w:vertAlign w:val="baseline"/>
        </w:rPr>
        <w:t>Kate</w:t>
      </w:r>
      <w:r>
        <w:rPr>
          <w:spacing w:val="-2"/>
          <w:sz w:val="18"/>
          <w:vertAlign w:val="baseline"/>
        </w:rPr>
        <w:t> </w:t>
      </w:r>
      <w:r>
        <w:rPr>
          <w:sz w:val="18"/>
          <w:vertAlign w:val="baseline"/>
        </w:rPr>
        <w:t>Adamo,</w:t>
      </w:r>
      <w:r>
        <w:rPr>
          <w:spacing w:val="-2"/>
          <w:sz w:val="18"/>
          <w:vertAlign w:val="baseline"/>
        </w:rPr>
        <w:t> </w:t>
      </w:r>
      <w:r>
        <w:rPr>
          <w:sz w:val="18"/>
          <w:vertAlign w:val="baseline"/>
        </w:rPr>
        <w:t>“Decreasing</w:t>
      </w:r>
      <w:r>
        <w:rPr>
          <w:spacing w:val="-2"/>
          <w:sz w:val="18"/>
          <w:vertAlign w:val="baseline"/>
        </w:rPr>
        <w:t> </w:t>
      </w:r>
      <w:r>
        <w:rPr>
          <w:sz w:val="18"/>
          <w:vertAlign w:val="baseline"/>
        </w:rPr>
        <w:t>Human</w:t>
      </w:r>
      <w:r>
        <w:rPr>
          <w:spacing w:val="-2"/>
          <w:sz w:val="18"/>
          <w:vertAlign w:val="baseline"/>
        </w:rPr>
        <w:t> </w:t>
      </w:r>
      <w:r>
        <w:rPr>
          <w:sz w:val="18"/>
          <w:vertAlign w:val="baseline"/>
        </w:rPr>
        <w:t>Trafficking</w:t>
      </w:r>
      <w:r>
        <w:rPr>
          <w:spacing w:val="-2"/>
          <w:sz w:val="18"/>
          <w:vertAlign w:val="baseline"/>
        </w:rPr>
        <w:t> </w:t>
      </w:r>
      <w:r>
        <w:rPr>
          <w:sz w:val="18"/>
          <w:vertAlign w:val="baseline"/>
        </w:rPr>
        <w:t>through</w:t>
      </w:r>
      <w:r>
        <w:rPr>
          <w:spacing w:val="-1"/>
          <w:sz w:val="18"/>
          <w:vertAlign w:val="baseline"/>
        </w:rPr>
        <w:t> </w:t>
      </w:r>
      <w:r>
        <w:rPr>
          <w:sz w:val="18"/>
          <w:vertAlign w:val="baseline"/>
        </w:rPr>
        <w:t>Sex</w:t>
      </w:r>
      <w:r>
        <w:rPr>
          <w:spacing w:val="-2"/>
          <w:sz w:val="18"/>
          <w:vertAlign w:val="baseline"/>
        </w:rPr>
        <w:t> </w:t>
      </w:r>
      <w:r>
        <w:rPr>
          <w:sz w:val="18"/>
          <w:vertAlign w:val="baseline"/>
        </w:rPr>
        <w:t>Work</w:t>
      </w:r>
      <w:r>
        <w:rPr>
          <w:spacing w:val="-3"/>
          <w:sz w:val="18"/>
          <w:vertAlign w:val="baseline"/>
        </w:rPr>
        <w:t> </w:t>
      </w:r>
      <w:r>
        <w:rPr>
          <w:sz w:val="18"/>
          <w:vertAlign w:val="baseline"/>
        </w:rPr>
        <w:t>Decriminalization,”</w:t>
      </w:r>
      <w:r>
        <w:rPr>
          <w:spacing w:val="-2"/>
          <w:sz w:val="18"/>
          <w:vertAlign w:val="baseline"/>
        </w:rPr>
        <w:t> </w:t>
      </w:r>
      <w:r>
        <w:rPr>
          <w:i/>
          <w:sz w:val="18"/>
          <w:vertAlign w:val="baseline"/>
        </w:rPr>
        <w:t>AMA</w:t>
      </w:r>
      <w:r>
        <w:rPr>
          <w:i/>
          <w:spacing w:val="-1"/>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Ethics</w:t>
      </w:r>
    </w:p>
    <w:p>
      <w:pPr>
        <w:spacing w:before="30"/>
        <w:ind w:left="463" w:right="0" w:firstLine="0"/>
        <w:jc w:val="left"/>
        <w:rPr>
          <w:sz w:val="18"/>
        </w:rPr>
      </w:pPr>
      <w:r>
        <w:rPr>
          <w:sz w:val="18"/>
        </w:rPr>
        <w:t>19,</w:t>
      </w:r>
      <w:r>
        <w:rPr>
          <w:spacing w:val="-9"/>
          <w:sz w:val="18"/>
        </w:rPr>
        <w:t> </w:t>
      </w:r>
      <w:r>
        <w:rPr>
          <w:sz w:val="18"/>
        </w:rPr>
        <w:t>no.</w:t>
      </w:r>
      <w:r>
        <w:rPr>
          <w:spacing w:val="-5"/>
          <w:sz w:val="18"/>
        </w:rPr>
        <w:t> </w:t>
      </w:r>
      <w:r>
        <w:rPr>
          <w:sz w:val="18"/>
        </w:rPr>
        <w:t>1</w:t>
      </w:r>
      <w:r>
        <w:rPr>
          <w:spacing w:val="-5"/>
          <w:sz w:val="18"/>
        </w:rPr>
        <w:t> </w:t>
      </w:r>
      <w:r>
        <w:rPr>
          <w:sz w:val="18"/>
        </w:rPr>
        <w:t>(January</w:t>
      </w:r>
      <w:r>
        <w:rPr>
          <w:spacing w:val="-6"/>
          <w:sz w:val="18"/>
        </w:rPr>
        <w:t> </w:t>
      </w:r>
      <w:r>
        <w:rPr>
          <w:sz w:val="18"/>
        </w:rPr>
        <w:t>1,</w:t>
      </w:r>
      <w:r>
        <w:rPr>
          <w:spacing w:val="-6"/>
          <w:sz w:val="18"/>
        </w:rPr>
        <w:t> </w:t>
      </w:r>
      <w:r>
        <w:rPr>
          <w:sz w:val="18"/>
        </w:rPr>
        <w:t>2017):</w:t>
      </w:r>
      <w:r>
        <w:rPr>
          <w:spacing w:val="-5"/>
          <w:sz w:val="18"/>
        </w:rPr>
        <w:t> </w:t>
      </w:r>
      <w:r>
        <w:rPr>
          <w:sz w:val="18"/>
        </w:rPr>
        <w:t>122–26,</w:t>
      </w:r>
      <w:r>
        <w:rPr>
          <w:spacing w:val="-6"/>
          <w:sz w:val="18"/>
        </w:rPr>
        <w:t> </w:t>
      </w:r>
      <w:r>
        <w:rPr>
          <w:sz w:val="18"/>
        </w:rPr>
        <w:t>https://doi.org/10.1001/journalofethics.2017.19.1.sect2-</w:t>
      </w:r>
      <w:r>
        <w:rPr>
          <w:spacing w:val="-2"/>
          <w:sz w:val="18"/>
        </w:rPr>
        <w:t>1701.</w:t>
      </w:r>
    </w:p>
    <w:p>
      <w:pPr>
        <w:spacing w:before="24"/>
        <w:ind w:left="463" w:right="0" w:firstLine="0"/>
        <w:jc w:val="left"/>
        <w:rPr>
          <w:sz w:val="18"/>
        </w:rPr>
      </w:pPr>
      <w:r>
        <w:rPr>
          <w:sz w:val="18"/>
          <w:vertAlign w:val="superscript"/>
        </w:rPr>
        <w:t>141</w:t>
      </w:r>
      <w:r>
        <w:rPr>
          <w:spacing w:val="-10"/>
          <w:sz w:val="18"/>
          <w:vertAlign w:val="baseline"/>
        </w:rPr>
        <w:t> </w:t>
      </w:r>
      <w:r>
        <w:rPr>
          <w:sz w:val="18"/>
          <w:vertAlign w:val="baseline"/>
        </w:rPr>
        <w:t>Albright</w:t>
      </w:r>
      <w:r>
        <w:rPr>
          <w:spacing w:val="3"/>
          <w:sz w:val="18"/>
          <w:vertAlign w:val="baseline"/>
        </w:rPr>
        <w:t> </w:t>
      </w:r>
      <w:r>
        <w:rPr>
          <w:sz w:val="18"/>
          <w:vertAlign w:val="baseline"/>
        </w:rPr>
        <w:t>and</w:t>
      </w:r>
      <w:r>
        <w:rPr>
          <w:spacing w:val="3"/>
          <w:sz w:val="18"/>
          <w:vertAlign w:val="baseline"/>
        </w:rPr>
        <w:t> </w:t>
      </w:r>
      <w:r>
        <w:rPr>
          <w:spacing w:val="-2"/>
          <w:sz w:val="18"/>
          <w:vertAlign w:val="baseline"/>
        </w:rPr>
        <w:t>Adamo.</w:t>
      </w:r>
    </w:p>
    <w:p>
      <w:pPr>
        <w:spacing w:line="271" w:lineRule="auto" w:before="20"/>
        <w:ind w:left="463" w:right="311" w:firstLine="0"/>
        <w:jc w:val="left"/>
        <w:rPr>
          <w:sz w:val="18"/>
        </w:rPr>
      </w:pPr>
      <w:r>
        <w:rPr>
          <w:sz w:val="18"/>
          <w:vertAlign w:val="superscript"/>
        </w:rPr>
        <w:t>142</w:t>
      </w:r>
      <w:r>
        <w:rPr>
          <w:spacing w:val="-12"/>
          <w:sz w:val="18"/>
          <w:vertAlign w:val="baseline"/>
        </w:rPr>
        <w:t> </w:t>
      </w:r>
      <w:r>
        <w:rPr>
          <w:sz w:val="18"/>
          <w:vertAlign w:val="baseline"/>
        </w:rPr>
        <w:t>“Existing</w:t>
      </w:r>
      <w:r>
        <w:rPr>
          <w:spacing w:val="-2"/>
          <w:sz w:val="18"/>
          <w:vertAlign w:val="baseline"/>
        </w:rPr>
        <w:t> </w:t>
      </w:r>
      <w:r>
        <w:rPr>
          <w:sz w:val="18"/>
          <w:vertAlign w:val="baseline"/>
        </w:rPr>
        <w:t>Nonconsensual</w:t>
      </w:r>
      <w:r>
        <w:rPr>
          <w:spacing w:val="-2"/>
          <w:sz w:val="18"/>
          <w:vertAlign w:val="baseline"/>
        </w:rPr>
        <w:t> </w:t>
      </w:r>
      <w:r>
        <w:rPr>
          <w:sz w:val="18"/>
          <w:vertAlign w:val="baseline"/>
        </w:rPr>
        <w:t>Pornography,</w:t>
      </w:r>
      <w:r>
        <w:rPr>
          <w:spacing w:val="-2"/>
          <w:sz w:val="18"/>
          <w:vertAlign w:val="baseline"/>
        </w:rPr>
        <w:t> </w:t>
      </w:r>
      <w:r>
        <w:rPr>
          <w:sz w:val="18"/>
          <w:vertAlign w:val="baseline"/>
        </w:rPr>
        <w:t>Sextortion,</w:t>
      </w:r>
      <w:r>
        <w:rPr>
          <w:spacing w:val="-2"/>
          <w:sz w:val="18"/>
          <w:vertAlign w:val="baseline"/>
        </w:rPr>
        <w:t> </w:t>
      </w:r>
      <w:r>
        <w:rPr>
          <w:sz w:val="18"/>
          <w:vertAlign w:val="baseline"/>
        </w:rPr>
        <w:t>and</w:t>
      </w:r>
      <w:r>
        <w:rPr>
          <w:spacing w:val="-1"/>
          <w:sz w:val="18"/>
          <w:vertAlign w:val="baseline"/>
        </w:rPr>
        <w:t> </w:t>
      </w:r>
      <w:r>
        <w:rPr>
          <w:sz w:val="18"/>
          <w:vertAlign w:val="baseline"/>
        </w:rPr>
        <w:t>Deep</w:t>
      </w:r>
      <w:r>
        <w:rPr>
          <w:spacing w:val="-1"/>
          <w:sz w:val="18"/>
          <w:vertAlign w:val="baseline"/>
        </w:rPr>
        <w:t> </w:t>
      </w:r>
      <w:r>
        <w:rPr>
          <w:sz w:val="18"/>
          <w:vertAlign w:val="baseline"/>
        </w:rPr>
        <w:t>Fake</w:t>
      </w:r>
      <w:r>
        <w:rPr>
          <w:spacing w:val="-1"/>
          <w:sz w:val="18"/>
          <w:vertAlign w:val="baseline"/>
        </w:rPr>
        <w:t> </w:t>
      </w:r>
      <w:r>
        <w:rPr>
          <w:sz w:val="18"/>
          <w:vertAlign w:val="baseline"/>
        </w:rPr>
        <w:t>Laws,”</w:t>
      </w:r>
      <w:r>
        <w:rPr>
          <w:spacing w:val="-1"/>
          <w:sz w:val="18"/>
          <w:vertAlign w:val="baseline"/>
        </w:rPr>
        <w:t> </w:t>
      </w:r>
      <w:r>
        <w:rPr>
          <w:sz w:val="18"/>
          <w:vertAlign w:val="baseline"/>
        </w:rPr>
        <w:t>Cyber</w:t>
      </w:r>
      <w:r>
        <w:rPr>
          <w:spacing w:val="-3"/>
          <w:sz w:val="18"/>
          <w:vertAlign w:val="baseline"/>
        </w:rPr>
        <w:t> </w:t>
      </w:r>
      <w:r>
        <w:rPr>
          <w:sz w:val="18"/>
          <w:vertAlign w:val="baseline"/>
        </w:rPr>
        <w:t>Civil</w:t>
      </w:r>
      <w:r>
        <w:rPr>
          <w:spacing w:val="-2"/>
          <w:sz w:val="18"/>
          <w:vertAlign w:val="baseline"/>
        </w:rPr>
        <w:t> </w:t>
      </w:r>
      <w:r>
        <w:rPr>
          <w:sz w:val="18"/>
          <w:vertAlign w:val="baseline"/>
        </w:rPr>
        <w:t>Rights</w:t>
      </w:r>
      <w:r>
        <w:rPr>
          <w:spacing w:val="-1"/>
          <w:sz w:val="18"/>
          <w:vertAlign w:val="baseline"/>
        </w:rPr>
        <w:t> </w:t>
      </w:r>
      <w:r>
        <w:rPr>
          <w:sz w:val="18"/>
          <w:vertAlign w:val="baseline"/>
        </w:rPr>
        <w:t>Initiative,</w:t>
      </w:r>
      <w:r>
        <w:rPr>
          <w:spacing w:val="-2"/>
          <w:sz w:val="18"/>
          <w:vertAlign w:val="baseline"/>
        </w:rPr>
        <w:t> </w:t>
      </w:r>
      <w:r>
        <w:rPr>
          <w:sz w:val="18"/>
          <w:vertAlign w:val="baseline"/>
        </w:rPr>
        <w:t>accessed</w:t>
      </w:r>
      <w:r>
        <w:rPr>
          <w:spacing w:val="-1"/>
          <w:sz w:val="18"/>
          <w:vertAlign w:val="baseline"/>
        </w:rPr>
        <w:t> </w:t>
      </w:r>
      <w:r>
        <w:rPr>
          <w:sz w:val="18"/>
          <w:vertAlign w:val="baseline"/>
        </w:rPr>
        <w:t>January</w:t>
      </w:r>
      <w:r>
        <w:rPr>
          <w:spacing w:val="-1"/>
          <w:sz w:val="18"/>
          <w:vertAlign w:val="baseline"/>
        </w:rPr>
        <w:t> </w:t>
      </w:r>
      <w:r>
        <w:rPr>
          <w:sz w:val="18"/>
          <w:vertAlign w:val="baseline"/>
        </w:rPr>
        <w:t>7, 2023,</w:t>
      </w:r>
      <w:r>
        <w:rPr>
          <w:spacing w:val="-2"/>
          <w:sz w:val="18"/>
          <w:vertAlign w:val="baseline"/>
        </w:rPr>
        <w:t> </w:t>
      </w:r>
      <w:r>
        <w:rPr>
          <w:sz w:val="18"/>
          <w:vertAlign w:val="baseline"/>
        </w:rPr>
        <w:t>https://cybercivilrights.org/existing-laws/.</w:t>
      </w:r>
    </w:p>
    <w:p>
      <w:pPr>
        <w:spacing w:line="273" w:lineRule="auto" w:before="13"/>
        <w:ind w:left="463" w:right="311" w:firstLine="0"/>
        <w:jc w:val="left"/>
        <w:rPr>
          <w:sz w:val="18"/>
        </w:rPr>
      </w:pPr>
      <w:r>
        <w:rPr>
          <w:sz w:val="18"/>
          <w:vertAlign w:val="superscript"/>
        </w:rPr>
        <w:t>143</w:t>
      </w:r>
      <w:r>
        <w:rPr>
          <w:spacing w:val="-12"/>
          <w:sz w:val="18"/>
          <w:vertAlign w:val="baseline"/>
        </w:rPr>
        <w:t> </w:t>
      </w:r>
      <w:r>
        <w:rPr>
          <w:sz w:val="18"/>
          <w:vertAlign w:val="baseline"/>
        </w:rPr>
        <w:t>Joanna</w:t>
      </w:r>
      <w:r>
        <w:rPr>
          <w:spacing w:val="-3"/>
          <w:sz w:val="18"/>
          <w:vertAlign w:val="baseline"/>
        </w:rPr>
        <w:t> </w:t>
      </w:r>
      <w:r>
        <w:rPr>
          <w:sz w:val="18"/>
          <w:vertAlign w:val="baseline"/>
        </w:rPr>
        <w:t>Lampe,</w:t>
      </w:r>
      <w:r>
        <w:rPr>
          <w:spacing w:val="-3"/>
          <w:sz w:val="18"/>
          <w:vertAlign w:val="baseline"/>
        </w:rPr>
        <w:t> </w:t>
      </w:r>
      <w:r>
        <w:rPr>
          <w:sz w:val="18"/>
          <w:vertAlign w:val="baseline"/>
        </w:rPr>
        <w:t>“A</w:t>
      </w:r>
      <w:r>
        <w:rPr>
          <w:spacing w:val="-2"/>
          <w:sz w:val="18"/>
          <w:vertAlign w:val="baseline"/>
        </w:rPr>
        <w:t> </w:t>
      </w:r>
      <w:r>
        <w:rPr>
          <w:sz w:val="18"/>
          <w:vertAlign w:val="baseline"/>
        </w:rPr>
        <w:t>Victimless</w:t>
      </w:r>
      <w:r>
        <w:rPr>
          <w:spacing w:val="-2"/>
          <w:sz w:val="18"/>
          <w:vertAlign w:val="baseline"/>
        </w:rPr>
        <w:t> </w:t>
      </w:r>
      <w:r>
        <w:rPr>
          <w:sz w:val="18"/>
          <w:vertAlign w:val="baseline"/>
        </w:rPr>
        <w:t>Sex</w:t>
      </w:r>
      <w:r>
        <w:rPr>
          <w:spacing w:val="-2"/>
          <w:sz w:val="18"/>
          <w:vertAlign w:val="baseline"/>
        </w:rPr>
        <w:t> </w:t>
      </w:r>
      <w:r>
        <w:rPr>
          <w:sz w:val="18"/>
          <w:vertAlign w:val="baseline"/>
        </w:rPr>
        <w:t>Crime:</w:t>
      </w:r>
      <w:r>
        <w:rPr>
          <w:spacing w:val="-2"/>
          <w:sz w:val="18"/>
          <w:vertAlign w:val="baseline"/>
        </w:rPr>
        <w:t> </w:t>
      </w:r>
      <w:r>
        <w:rPr>
          <w:sz w:val="18"/>
          <w:vertAlign w:val="baseline"/>
        </w:rPr>
        <w:t>The</w:t>
      </w:r>
      <w:r>
        <w:rPr>
          <w:spacing w:val="-2"/>
          <w:sz w:val="18"/>
          <w:vertAlign w:val="baseline"/>
        </w:rPr>
        <w:t> </w:t>
      </w:r>
      <w:r>
        <w:rPr>
          <w:sz w:val="18"/>
          <w:vertAlign w:val="baseline"/>
        </w:rPr>
        <w:t>Case</w:t>
      </w:r>
      <w:r>
        <w:rPr>
          <w:spacing w:val="-2"/>
          <w:sz w:val="18"/>
          <w:vertAlign w:val="baseline"/>
        </w:rPr>
        <w:t> </w:t>
      </w:r>
      <w:r>
        <w:rPr>
          <w:sz w:val="18"/>
          <w:vertAlign w:val="baseline"/>
        </w:rPr>
        <w:t>for</w:t>
      </w:r>
      <w:r>
        <w:rPr>
          <w:spacing w:val="-3"/>
          <w:sz w:val="18"/>
          <w:vertAlign w:val="baseline"/>
        </w:rPr>
        <w:t> </w:t>
      </w:r>
      <w:r>
        <w:rPr>
          <w:sz w:val="18"/>
          <w:vertAlign w:val="baseline"/>
        </w:rPr>
        <w:t>Decriminalizing</w:t>
      </w:r>
      <w:r>
        <w:rPr>
          <w:spacing w:val="-2"/>
          <w:sz w:val="18"/>
          <w:vertAlign w:val="baseline"/>
        </w:rPr>
        <w:t> </w:t>
      </w:r>
      <w:r>
        <w:rPr>
          <w:sz w:val="18"/>
          <w:vertAlign w:val="baseline"/>
        </w:rPr>
        <w:t>Consensual</w:t>
      </w:r>
      <w:r>
        <w:rPr>
          <w:spacing w:val="-3"/>
          <w:sz w:val="18"/>
          <w:vertAlign w:val="baseline"/>
        </w:rPr>
        <w:t> </w:t>
      </w:r>
      <w:r>
        <w:rPr>
          <w:sz w:val="18"/>
          <w:vertAlign w:val="baseline"/>
        </w:rPr>
        <w:t>Teen</w:t>
      </w:r>
      <w:r>
        <w:rPr>
          <w:spacing w:val="-2"/>
          <w:sz w:val="18"/>
          <w:vertAlign w:val="baseline"/>
        </w:rPr>
        <w:t> </w:t>
      </w:r>
      <w:r>
        <w:rPr>
          <w:sz w:val="18"/>
          <w:vertAlign w:val="baseline"/>
        </w:rPr>
        <w:t>Sexting,”</w:t>
      </w:r>
      <w:r>
        <w:rPr>
          <w:spacing w:val="-3"/>
          <w:sz w:val="18"/>
          <w:vertAlign w:val="baseline"/>
        </w:rPr>
        <w:t> </w:t>
      </w:r>
      <w:r>
        <w:rPr>
          <w:i/>
          <w:sz w:val="18"/>
          <w:vertAlign w:val="baseline"/>
        </w:rPr>
        <w:t>University</w:t>
      </w:r>
      <w:r>
        <w:rPr>
          <w:i/>
          <w:spacing w:val="-2"/>
          <w:sz w:val="18"/>
          <w:vertAlign w:val="baseline"/>
        </w:rPr>
        <w:t> </w:t>
      </w:r>
      <w:r>
        <w:rPr>
          <w:i/>
          <w:sz w:val="18"/>
          <w:vertAlign w:val="baseline"/>
        </w:rPr>
        <w:t>of</w:t>
      </w:r>
      <w:r>
        <w:rPr>
          <w:i/>
          <w:spacing w:val="-2"/>
          <w:sz w:val="18"/>
          <w:vertAlign w:val="baseline"/>
        </w:rPr>
        <w:t> </w:t>
      </w:r>
      <w:r>
        <w:rPr>
          <w:i/>
          <w:sz w:val="18"/>
          <w:vertAlign w:val="baseline"/>
        </w:rPr>
        <w:t>Michigan</w:t>
      </w:r>
      <w:r>
        <w:rPr>
          <w:i/>
          <w:sz w:val="18"/>
          <w:vertAlign w:val="baseline"/>
        </w:rPr>
        <w:t> Journal of Law Reform</w:t>
      </w:r>
      <w:r>
        <w:rPr>
          <w:sz w:val="18"/>
          <w:vertAlign w:val="baseline"/>
        </w:rPr>
        <w:t>, no. 46.2 (2013): 703, https://doi.org/10.36646/mjlr.46.2.victimless.</w:t>
      </w:r>
    </w:p>
    <w:p>
      <w:pPr>
        <w:spacing w:line="232" w:lineRule="exact" w:before="0"/>
        <w:ind w:left="463" w:right="0" w:firstLine="0"/>
        <w:jc w:val="left"/>
        <w:rPr>
          <w:sz w:val="18"/>
          <w:szCs w:val="18"/>
        </w:rPr>
      </w:pPr>
      <w:r>
        <w:rPr>
          <w:spacing w:val="-6"/>
          <w:w w:val="120"/>
          <w:sz w:val="18"/>
          <w:szCs w:val="18"/>
          <w:vertAlign w:val="superscript"/>
        </w:rPr>
        <w:t>144</w:t>
      </w:r>
      <w:r>
        <w:rPr>
          <w:spacing w:val="-21"/>
          <w:w w:val="120"/>
          <w:sz w:val="18"/>
          <w:szCs w:val="18"/>
          <w:vertAlign w:val="baseline"/>
        </w:rPr>
        <w:t> </w:t>
      </w:r>
      <w:r>
        <w:rPr>
          <w:spacing w:val="-6"/>
          <w:w w:val="120"/>
          <w:sz w:val="18"/>
          <w:szCs w:val="18"/>
          <w:vertAlign w:val="baseline"/>
        </w:rPr>
        <w:t>Blaire</w:t>
      </w:r>
      <w:r>
        <w:rPr>
          <w:spacing w:val="-8"/>
          <w:w w:val="120"/>
          <w:sz w:val="18"/>
          <w:szCs w:val="18"/>
          <w:vertAlign w:val="baseline"/>
        </w:rPr>
        <w:t> </w:t>
      </w:r>
      <w:r>
        <w:rPr>
          <w:spacing w:val="-6"/>
          <w:w w:val="120"/>
          <w:sz w:val="18"/>
          <w:szCs w:val="18"/>
          <w:vertAlign w:val="baseline"/>
        </w:rPr>
        <w:t>Bayliss,</w:t>
      </w:r>
      <w:r>
        <w:rPr>
          <w:spacing w:val="-9"/>
          <w:w w:val="120"/>
          <w:sz w:val="18"/>
          <w:szCs w:val="18"/>
          <w:vertAlign w:val="baseline"/>
        </w:rPr>
        <w:t> </w:t>
      </w:r>
      <w:r>
        <w:rPr>
          <w:spacing w:val="-6"/>
          <w:w w:val="120"/>
          <w:sz w:val="18"/>
          <w:szCs w:val="18"/>
          <w:vertAlign w:val="baseline"/>
        </w:rPr>
        <w:t>“The</w:t>
      </w:r>
      <w:r>
        <w:rPr>
          <w:spacing w:val="-8"/>
          <w:w w:val="120"/>
          <w:sz w:val="18"/>
          <w:szCs w:val="18"/>
          <w:vertAlign w:val="baseline"/>
        </w:rPr>
        <w:t> </w:t>
      </w:r>
      <w:r>
        <w:rPr>
          <w:spacing w:val="-6"/>
          <w:w w:val="120"/>
          <w:sz w:val="18"/>
          <w:szCs w:val="18"/>
          <w:vertAlign w:val="baseline"/>
        </w:rPr>
        <w:t>Kids</w:t>
      </w:r>
      <w:r>
        <w:rPr>
          <w:spacing w:val="-8"/>
          <w:w w:val="120"/>
          <w:sz w:val="18"/>
          <w:szCs w:val="18"/>
          <w:vertAlign w:val="baseline"/>
        </w:rPr>
        <w:t> </w:t>
      </w:r>
      <w:r>
        <w:rPr>
          <w:spacing w:val="-6"/>
          <w:w w:val="120"/>
          <w:sz w:val="18"/>
          <w:szCs w:val="18"/>
          <w:vertAlign w:val="baseline"/>
        </w:rPr>
        <w:t>Are</w:t>
      </w:r>
      <w:r>
        <w:rPr>
          <w:spacing w:val="-9"/>
          <w:w w:val="120"/>
          <w:sz w:val="18"/>
          <w:szCs w:val="18"/>
          <w:vertAlign w:val="baseline"/>
        </w:rPr>
        <w:t> </w:t>
      </w:r>
      <w:r>
        <w:rPr>
          <w:spacing w:val="-6"/>
          <w:w w:val="120"/>
          <w:sz w:val="18"/>
          <w:szCs w:val="18"/>
          <w:vertAlign w:val="baseline"/>
        </w:rPr>
        <w:t>Alright</w:t>
      </w:r>
      <w:r>
        <w:rPr>
          <w:spacing w:val="-9"/>
          <w:w w:val="120"/>
          <w:sz w:val="18"/>
          <w:szCs w:val="18"/>
          <w:vertAlign w:val="baseline"/>
        </w:rPr>
        <w:t> </w:t>
      </w:r>
      <w:r>
        <w:rPr>
          <w:rFonts w:ascii="Segoe UI Emoji" w:hAnsi="Segoe UI Emoji" w:cs="Segoe UI Emoji" w:eastAsia="Segoe UI Emoji"/>
          <w:color w:val="3E5FFF"/>
          <w:spacing w:val="-6"/>
          <w:w w:val="170"/>
          <w:sz w:val="18"/>
          <w:szCs w:val="18"/>
          <w:vertAlign w:val="baseline"/>
        </w:rPr>
        <w:t>����</w:t>
      </w:r>
      <w:r>
        <w:rPr>
          <w:rFonts w:ascii="Segoe UI Emoji" w:hAnsi="Segoe UI Emoji" w:cs="Segoe UI Emoji" w:eastAsia="Segoe UI Emoji"/>
          <w:color w:val="3E5FFF"/>
          <w:spacing w:val="-44"/>
          <w:w w:val="170"/>
          <w:sz w:val="18"/>
          <w:szCs w:val="18"/>
          <w:vertAlign w:val="baseline"/>
        </w:rPr>
        <w:t> </w:t>
      </w:r>
      <w:r>
        <w:rPr>
          <w:rFonts w:ascii="Segoe UI Emoji" w:hAnsi="Segoe UI Emoji" w:cs="Segoe UI Emoji" w:eastAsia="Segoe UI Emoji"/>
          <w:color w:val="BBA3EB"/>
          <w:spacing w:val="-6"/>
          <w:w w:val="170"/>
          <w:sz w:val="18"/>
          <w:szCs w:val="18"/>
          <w:vertAlign w:val="baseline"/>
        </w:rPr>
        <w:t>����</w:t>
      </w:r>
      <w:r>
        <w:rPr>
          <w:rFonts w:ascii="Segoe UI Emoji" w:hAnsi="Segoe UI Emoji" w:cs="Segoe UI Emoji" w:eastAsia="Segoe UI Emoji"/>
          <w:color w:val="BBA3EB"/>
          <w:spacing w:val="-43"/>
          <w:w w:val="170"/>
          <w:sz w:val="18"/>
          <w:szCs w:val="18"/>
          <w:vertAlign w:val="baseline"/>
        </w:rPr>
        <w:t> </w:t>
      </w:r>
      <w:r>
        <w:rPr>
          <w:rFonts w:ascii="Segoe UI Emoji" w:hAnsi="Segoe UI Emoji" w:cs="Segoe UI Emoji" w:eastAsia="Segoe UI Emoji"/>
          <w:color w:val="FF6722"/>
          <w:spacing w:val="-6"/>
          <w:w w:val="170"/>
          <w:sz w:val="18"/>
          <w:szCs w:val="18"/>
          <w:vertAlign w:val="baseline"/>
        </w:rPr>
        <w:t>����</w:t>
      </w:r>
      <w:r>
        <w:rPr>
          <w:spacing w:val="-6"/>
          <w:w w:val="170"/>
          <w:sz w:val="18"/>
          <w:szCs w:val="18"/>
          <w:vertAlign w:val="baseline"/>
        </w:rPr>
        <w:t>:</w:t>
      </w:r>
      <w:r>
        <w:rPr>
          <w:spacing w:val="-29"/>
          <w:w w:val="170"/>
          <w:sz w:val="18"/>
          <w:szCs w:val="18"/>
          <w:vertAlign w:val="baseline"/>
        </w:rPr>
        <w:t> </w:t>
      </w:r>
      <w:r>
        <w:rPr>
          <w:spacing w:val="-6"/>
          <w:w w:val="120"/>
          <w:sz w:val="18"/>
          <w:szCs w:val="18"/>
          <w:vertAlign w:val="baseline"/>
        </w:rPr>
        <w:t>Teen</w:t>
      </w:r>
      <w:r>
        <w:rPr>
          <w:spacing w:val="-8"/>
          <w:w w:val="120"/>
          <w:sz w:val="18"/>
          <w:szCs w:val="18"/>
          <w:vertAlign w:val="baseline"/>
        </w:rPr>
        <w:t> </w:t>
      </w:r>
      <w:r>
        <w:rPr>
          <w:spacing w:val="-6"/>
          <w:w w:val="120"/>
          <w:sz w:val="18"/>
          <w:szCs w:val="18"/>
          <w:vertAlign w:val="baseline"/>
        </w:rPr>
        <w:t>Sexting,</w:t>
      </w:r>
      <w:r>
        <w:rPr>
          <w:spacing w:val="-9"/>
          <w:w w:val="120"/>
          <w:sz w:val="18"/>
          <w:szCs w:val="18"/>
          <w:vertAlign w:val="baseline"/>
        </w:rPr>
        <w:t> </w:t>
      </w:r>
      <w:r>
        <w:rPr>
          <w:spacing w:val="-6"/>
          <w:w w:val="120"/>
          <w:sz w:val="18"/>
          <w:szCs w:val="18"/>
          <w:vertAlign w:val="baseline"/>
        </w:rPr>
        <w:t>Child</w:t>
      </w:r>
      <w:r>
        <w:rPr>
          <w:spacing w:val="-8"/>
          <w:w w:val="120"/>
          <w:sz w:val="18"/>
          <w:szCs w:val="18"/>
          <w:vertAlign w:val="baseline"/>
        </w:rPr>
        <w:t> </w:t>
      </w:r>
      <w:r>
        <w:rPr>
          <w:spacing w:val="-6"/>
          <w:w w:val="120"/>
          <w:sz w:val="18"/>
          <w:szCs w:val="18"/>
          <w:vertAlign w:val="baseline"/>
        </w:rPr>
        <w:t>Pornography </w:t>
      </w:r>
      <w:r>
        <w:rPr>
          <w:spacing w:val="-2"/>
          <w:w w:val="120"/>
          <w:sz w:val="18"/>
          <w:szCs w:val="18"/>
          <w:vertAlign w:val="baseline"/>
        </w:rPr>
        <w:t>Charges,</w:t>
      </w:r>
    </w:p>
    <w:p>
      <w:pPr>
        <w:spacing w:before="30"/>
        <w:ind w:left="463" w:right="0" w:firstLine="0"/>
        <w:jc w:val="left"/>
        <w:rPr>
          <w:sz w:val="18"/>
        </w:rPr>
      </w:pPr>
      <w:r>
        <w:rPr>
          <w:sz w:val="18"/>
        </w:rPr>
        <w:t>and</w:t>
      </w:r>
      <w:r>
        <w:rPr>
          <w:spacing w:val="-5"/>
          <w:sz w:val="18"/>
        </w:rPr>
        <w:t> </w:t>
      </w:r>
      <w:r>
        <w:rPr>
          <w:sz w:val="18"/>
        </w:rPr>
        <w:t>the</w:t>
      </w:r>
      <w:r>
        <w:rPr>
          <w:spacing w:val="-3"/>
          <w:sz w:val="18"/>
        </w:rPr>
        <w:t> </w:t>
      </w:r>
      <w:r>
        <w:rPr>
          <w:sz w:val="18"/>
        </w:rPr>
        <w:t>Criminalization</w:t>
      </w:r>
      <w:r>
        <w:rPr>
          <w:spacing w:val="-3"/>
          <w:sz w:val="18"/>
        </w:rPr>
        <w:t> </w:t>
      </w:r>
      <w:r>
        <w:rPr>
          <w:sz w:val="18"/>
        </w:rPr>
        <w:t>of</w:t>
      </w:r>
      <w:r>
        <w:rPr>
          <w:spacing w:val="-2"/>
          <w:sz w:val="18"/>
        </w:rPr>
        <w:t> </w:t>
      </w:r>
      <w:r>
        <w:rPr>
          <w:sz w:val="18"/>
        </w:rPr>
        <w:t>Adolescent</w:t>
      </w:r>
      <w:r>
        <w:rPr>
          <w:spacing w:val="-4"/>
          <w:sz w:val="18"/>
        </w:rPr>
        <w:t> </w:t>
      </w:r>
      <w:r>
        <w:rPr>
          <w:sz w:val="18"/>
        </w:rPr>
        <w:t>Sexuality,”</w:t>
      </w:r>
      <w:r>
        <w:rPr>
          <w:spacing w:val="-3"/>
          <w:sz w:val="18"/>
        </w:rPr>
        <w:t> </w:t>
      </w:r>
      <w:r>
        <w:rPr>
          <w:i/>
          <w:sz w:val="18"/>
        </w:rPr>
        <w:t>University</w:t>
      </w:r>
      <w:r>
        <w:rPr>
          <w:i/>
          <w:spacing w:val="-2"/>
          <w:sz w:val="18"/>
        </w:rPr>
        <w:t> </w:t>
      </w:r>
      <w:r>
        <w:rPr>
          <w:i/>
          <w:sz w:val="18"/>
        </w:rPr>
        <w:t>of</w:t>
      </w:r>
      <w:r>
        <w:rPr>
          <w:i/>
          <w:spacing w:val="-3"/>
          <w:sz w:val="18"/>
        </w:rPr>
        <w:t> </w:t>
      </w:r>
      <w:r>
        <w:rPr>
          <w:i/>
          <w:sz w:val="18"/>
        </w:rPr>
        <w:t>Colorado</w:t>
      </w:r>
      <w:r>
        <w:rPr>
          <w:i/>
          <w:spacing w:val="-3"/>
          <w:sz w:val="18"/>
        </w:rPr>
        <w:t> </w:t>
      </w:r>
      <w:r>
        <w:rPr>
          <w:i/>
          <w:sz w:val="18"/>
        </w:rPr>
        <w:t>Law</w:t>
      </w:r>
      <w:r>
        <w:rPr>
          <w:i/>
          <w:spacing w:val="-3"/>
          <w:sz w:val="18"/>
        </w:rPr>
        <w:t> </w:t>
      </w:r>
      <w:r>
        <w:rPr>
          <w:i/>
          <w:sz w:val="18"/>
        </w:rPr>
        <w:t>Review</w:t>
      </w:r>
      <w:r>
        <w:rPr>
          <w:i/>
          <w:spacing w:val="-4"/>
          <w:sz w:val="18"/>
        </w:rPr>
        <w:t> </w:t>
      </w:r>
      <w:r>
        <w:rPr>
          <w:sz w:val="18"/>
        </w:rPr>
        <w:t>91</w:t>
      </w:r>
      <w:r>
        <w:rPr>
          <w:spacing w:val="-3"/>
          <w:sz w:val="18"/>
        </w:rPr>
        <w:t> </w:t>
      </w:r>
      <w:r>
        <w:rPr>
          <w:sz w:val="18"/>
        </w:rPr>
        <w:t>(2020):</w:t>
      </w:r>
      <w:r>
        <w:rPr>
          <w:spacing w:val="-2"/>
          <w:sz w:val="18"/>
        </w:rPr>
        <w:t> 251–82.</w:t>
      </w:r>
    </w:p>
    <w:p>
      <w:pPr>
        <w:spacing w:line="268" w:lineRule="auto" w:before="41"/>
        <w:ind w:left="463" w:right="311" w:firstLine="0"/>
        <w:jc w:val="left"/>
        <w:rPr>
          <w:sz w:val="18"/>
        </w:rPr>
      </w:pPr>
      <w:r>
        <w:rPr>
          <w:sz w:val="18"/>
          <w:vertAlign w:val="superscript"/>
        </w:rPr>
        <w:t>145</w:t>
      </w:r>
      <w:r>
        <w:rPr>
          <w:spacing w:val="-12"/>
          <w:sz w:val="18"/>
          <w:vertAlign w:val="baseline"/>
        </w:rPr>
        <w:t> </w:t>
      </w:r>
      <w:r>
        <w:rPr>
          <w:sz w:val="18"/>
          <w:vertAlign w:val="baseline"/>
        </w:rPr>
        <w:t>Wendy</w:t>
      </w:r>
      <w:r>
        <w:rPr>
          <w:spacing w:val="-2"/>
          <w:sz w:val="18"/>
          <w:vertAlign w:val="baseline"/>
        </w:rPr>
        <w:t> </w:t>
      </w:r>
      <w:r>
        <w:rPr>
          <w:sz w:val="18"/>
          <w:vertAlign w:val="baseline"/>
        </w:rPr>
        <w:t>L.</w:t>
      </w:r>
      <w:r>
        <w:rPr>
          <w:spacing w:val="-1"/>
          <w:sz w:val="18"/>
          <w:vertAlign w:val="baseline"/>
        </w:rPr>
        <w:t> </w:t>
      </w:r>
      <w:r>
        <w:rPr>
          <w:sz w:val="18"/>
          <w:vertAlign w:val="baseline"/>
        </w:rPr>
        <w:t>Macias-Konstantopoulos</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“The</w:t>
      </w:r>
      <w:r>
        <w:rPr>
          <w:spacing w:val="-1"/>
          <w:sz w:val="18"/>
          <w:vertAlign w:val="baseline"/>
        </w:rPr>
        <w:t> </w:t>
      </w:r>
      <w:r>
        <w:rPr>
          <w:sz w:val="18"/>
          <w:vertAlign w:val="baseline"/>
        </w:rPr>
        <w:t>Commercial</w:t>
      </w:r>
      <w:r>
        <w:rPr>
          <w:spacing w:val="-2"/>
          <w:sz w:val="18"/>
          <w:vertAlign w:val="baseline"/>
        </w:rPr>
        <w:t> </w:t>
      </w:r>
      <w:r>
        <w:rPr>
          <w:sz w:val="18"/>
          <w:vertAlign w:val="baseline"/>
        </w:rPr>
        <w:t>Sexual</w:t>
      </w:r>
      <w:r>
        <w:rPr>
          <w:spacing w:val="-2"/>
          <w:sz w:val="18"/>
          <w:vertAlign w:val="baseline"/>
        </w:rPr>
        <w:t> </w:t>
      </w:r>
      <w:r>
        <w:rPr>
          <w:sz w:val="18"/>
          <w:vertAlign w:val="baseline"/>
        </w:rPr>
        <w:t>Exploitation and</w:t>
      </w:r>
      <w:r>
        <w:rPr>
          <w:spacing w:val="-1"/>
          <w:sz w:val="18"/>
          <w:vertAlign w:val="baseline"/>
        </w:rPr>
        <w:t> </w:t>
      </w:r>
      <w:r>
        <w:rPr>
          <w:sz w:val="18"/>
          <w:vertAlign w:val="baseline"/>
        </w:rPr>
        <w:t>Sex</w:t>
      </w:r>
      <w:r>
        <w:rPr>
          <w:spacing w:val="-1"/>
          <w:sz w:val="18"/>
          <w:vertAlign w:val="baseline"/>
        </w:rPr>
        <w:t> </w:t>
      </w:r>
      <w:r>
        <w:rPr>
          <w:sz w:val="18"/>
          <w:vertAlign w:val="baseline"/>
        </w:rPr>
        <w:t>Trafficking</w:t>
      </w:r>
      <w:r>
        <w:rPr>
          <w:spacing w:val="-1"/>
          <w:sz w:val="18"/>
          <w:vertAlign w:val="baseline"/>
        </w:rPr>
        <w:t> </w:t>
      </w:r>
      <w:r>
        <w:rPr>
          <w:sz w:val="18"/>
          <w:vertAlign w:val="baseline"/>
        </w:rPr>
        <w:t>of</w:t>
      </w:r>
      <w:r>
        <w:rPr>
          <w:spacing w:val="-1"/>
          <w:sz w:val="18"/>
          <w:vertAlign w:val="baseline"/>
        </w:rPr>
        <w:t> </w:t>
      </w:r>
      <w:r>
        <w:rPr>
          <w:sz w:val="18"/>
          <w:vertAlign w:val="baseline"/>
        </w:rPr>
        <w:t>Minors</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1"/>
          <w:sz w:val="18"/>
          <w:vertAlign w:val="baseline"/>
        </w:rPr>
        <w:t> </w:t>
      </w:r>
      <w:r>
        <w:rPr>
          <w:sz w:val="18"/>
          <w:vertAlign w:val="baseline"/>
        </w:rPr>
        <w:t>Boston Metropolitan Area: Experiences and Challenges Faced by Front-Line Providers and Other Stakeholders,” </w:t>
      </w:r>
      <w:r>
        <w:rPr>
          <w:i/>
          <w:sz w:val="18"/>
          <w:vertAlign w:val="baseline"/>
        </w:rPr>
        <w:t>Journal of Applied</w:t>
      </w:r>
      <w:r>
        <w:rPr>
          <w:i/>
          <w:sz w:val="18"/>
          <w:vertAlign w:val="baseline"/>
        </w:rPr>
        <w:t> Research on Children </w:t>
      </w:r>
      <w:r>
        <w:rPr>
          <w:sz w:val="18"/>
          <w:vertAlign w:val="baseline"/>
        </w:rPr>
        <w:t>6, no. 1 (2015), https://eric.ed.gov/?id=EJ1188522.</w:t>
      </w:r>
    </w:p>
    <w:p>
      <w:pPr>
        <w:spacing w:line="216" w:lineRule="exact" w:before="0"/>
        <w:ind w:left="463" w:right="0" w:firstLine="0"/>
        <w:jc w:val="left"/>
        <w:rPr>
          <w:sz w:val="18"/>
        </w:rPr>
      </w:pPr>
      <w:r>
        <w:rPr>
          <w:sz w:val="18"/>
          <w:vertAlign w:val="superscript"/>
        </w:rPr>
        <w:t>146</w:t>
      </w:r>
      <w:r>
        <w:rPr>
          <w:spacing w:val="-12"/>
          <w:sz w:val="18"/>
          <w:vertAlign w:val="baseline"/>
        </w:rPr>
        <w:t> </w:t>
      </w:r>
      <w:r>
        <w:rPr>
          <w:sz w:val="18"/>
          <w:vertAlign w:val="baseline"/>
        </w:rPr>
        <w:t>Macias-Konstantopoulos</w:t>
      </w:r>
      <w:r>
        <w:rPr>
          <w:spacing w:val="1"/>
          <w:sz w:val="18"/>
          <w:vertAlign w:val="baseline"/>
        </w:rPr>
        <w:t> </w:t>
      </w:r>
      <w:r>
        <w:rPr>
          <w:sz w:val="18"/>
          <w:vertAlign w:val="baseline"/>
        </w:rPr>
        <w:t>et </w:t>
      </w:r>
      <w:r>
        <w:rPr>
          <w:spacing w:val="-5"/>
          <w:sz w:val="18"/>
          <w:vertAlign w:val="baseline"/>
        </w:rPr>
        <w:t>al.</w:t>
      </w:r>
    </w:p>
    <w:p>
      <w:pPr>
        <w:spacing w:line="268" w:lineRule="auto" w:before="20"/>
        <w:ind w:left="463" w:right="311" w:firstLine="0"/>
        <w:jc w:val="left"/>
        <w:rPr>
          <w:sz w:val="18"/>
        </w:rPr>
      </w:pPr>
      <w:r>
        <w:rPr>
          <w:sz w:val="18"/>
          <w:vertAlign w:val="superscript"/>
        </w:rPr>
        <w:t>147</w:t>
      </w:r>
      <w:r>
        <w:rPr>
          <w:spacing w:val="-12"/>
          <w:sz w:val="18"/>
          <w:vertAlign w:val="baseline"/>
        </w:rPr>
        <w:t> </w:t>
      </w:r>
      <w:r>
        <w:rPr>
          <w:sz w:val="18"/>
          <w:vertAlign w:val="baseline"/>
        </w:rPr>
        <w:t>Charles</w:t>
      </w:r>
      <w:r>
        <w:rPr>
          <w:spacing w:val="-2"/>
          <w:sz w:val="18"/>
          <w:vertAlign w:val="baseline"/>
        </w:rPr>
        <w:t> </w:t>
      </w:r>
      <w:r>
        <w:rPr>
          <w:sz w:val="18"/>
          <w:vertAlign w:val="baseline"/>
        </w:rPr>
        <w:t>Hounmenou</w:t>
      </w:r>
      <w:r>
        <w:rPr>
          <w:spacing w:val="-1"/>
          <w:sz w:val="18"/>
          <w:vertAlign w:val="baseline"/>
        </w:rPr>
        <w:t> </w:t>
      </w:r>
      <w:r>
        <w:rPr>
          <w:sz w:val="18"/>
          <w:vertAlign w:val="baseline"/>
        </w:rPr>
        <w:t>and</w:t>
      </w:r>
      <w:r>
        <w:rPr>
          <w:spacing w:val="-2"/>
          <w:sz w:val="18"/>
          <w:vertAlign w:val="baseline"/>
        </w:rPr>
        <w:t> </w:t>
      </w:r>
      <w:r>
        <w:rPr>
          <w:sz w:val="18"/>
          <w:vertAlign w:val="baseline"/>
        </w:rPr>
        <w:t>Caitlin</w:t>
      </w:r>
      <w:r>
        <w:rPr>
          <w:spacing w:val="-1"/>
          <w:sz w:val="18"/>
          <w:vertAlign w:val="baseline"/>
        </w:rPr>
        <w:t> </w:t>
      </w:r>
      <w:r>
        <w:rPr>
          <w:sz w:val="18"/>
          <w:vertAlign w:val="baseline"/>
        </w:rPr>
        <w:t>O’Grady,</w:t>
      </w:r>
      <w:r>
        <w:rPr>
          <w:spacing w:val="-2"/>
          <w:sz w:val="18"/>
          <w:vertAlign w:val="baseline"/>
        </w:rPr>
        <w:t> </w:t>
      </w:r>
      <w:r>
        <w:rPr>
          <w:sz w:val="18"/>
          <w:vertAlign w:val="baseline"/>
        </w:rPr>
        <w:t>“A</w:t>
      </w:r>
      <w:r>
        <w:rPr>
          <w:spacing w:val="-1"/>
          <w:sz w:val="18"/>
          <w:vertAlign w:val="baseline"/>
        </w:rPr>
        <w:t> </w:t>
      </w:r>
      <w:r>
        <w:rPr>
          <w:sz w:val="18"/>
          <w:vertAlign w:val="baseline"/>
        </w:rPr>
        <w:t>Review</w:t>
      </w:r>
      <w:r>
        <w:rPr>
          <w:spacing w:val="-2"/>
          <w:sz w:val="18"/>
          <w:vertAlign w:val="baseline"/>
        </w:rPr>
        <w:t> </w:t>
      </w:r>
      <w:r>
        <w:rPr>
          <w:sz w:val="18"/>
          <w:vertAlign w:val="baseline"/>
        </w:rPr>
        <w:t>and</w:t>
      </w:r>
      <w:r>
        <w:rPr>
          <w:spacing w:val="-1"/>
          <w:sz w:val="18"/>
          <w:vertAlign w:val="baseline"/>
        </w:rPr>
        <w:t> </w:t>
      </w:r>
      <w:r>
        <w:rPr>
          <w:sz w:val="18"/>
          <w:vertAlign w:val="baseline"/>
        </w:rPr>
        <w:t>Critique</w:t>
      </w:r>
      <w:r>
        <w:rPr>
          <w:spacing w:val="-1"/>
          <w:sz w:val="18"/>
          <w:vertAlign w:val="baseline"/>
        </w:rPr>
        <w:t> </w:t>
      </w:r>
      <w:r>
        <w:rPr>
          <w:sz w:val="18"/>
          <w:vertAlign w:val="baseline"/>
        </w:rPr>
        <w:t>of</w:t>
      </w:r>
      <w:r>
        <w:rPr>
          <w:spacing w:val="-1"/>
          <w:sz w:val="18"/>
          <w:vertAlign w:val="baseline"/>
        </w:rPr>
        <w:t> </w:t>
      </w:r>
      <w:r>
        <w:rPr>
          <w:sz w:val="18"/>
          <w:vertAlign w:val="baseline"/>
        </w:rPr>
        <w:t>the</w:t>
      </w:r>
      <w:r>
        <w:rPr>
          <w:spacing w:val="-1"/>
          <w:sz w:val="18"/>
          <w:vertAlign w:val="baseline"/>
        </w:rPr>
        <w:t> </w:t>
      </w:r>
      <w:r>
        <w:rPr>
          <w:sz w:val="18"/>
          <w:vertAlign w:val="baseline"/>
        </w:rPr>
        <w:t>U.S.</w:t>
      </w:r>
      <w:r>
        <w:rPr>
          <w:spacing w:val="-1"/>
          <w:sz w:val="18"/>
          <w:vertAlign w:val="baseline"/>
        </w:rPr>
        <w:t> </w:t>
      </w:r>
      <w:r>
        <w:rPr>
          <w:sz w:val="18"/>
          <w:vertAlign w:val="baseline"/>
        </w:rPr>
        <w:t>Responses</w:t>
      </w:r>
      <w:r>
        <w:rPr>
          <w:spacing w:val="-1"/>
          <w:sz w:val="18"/>
          <w:vertAlign w:val="baseline"/>
        </w:rPr>
        <w:t> </w:t>
      </w:r>
      <w:r>
        <w:rPr>
          <w:sz w:val="18"/>
          <w:vertAlign w:val="baseline"/>
        </w:rPr>
        <w:t>to</w:t>
      </w:r>
      <w:r>
        <w:rPr>
          <w:spacing w:val="-1"/>
          <w:sz w:val="18"/>
          <w:vertAlign w:val="baseline"/>
        </w:rPr>
        <w:t> </w:t>
      </w:r>
      <w:r>
        <w:rPr>
          <w:sz w:val="18"/>
          <w:vertAlign w:val="baseline"/>
        </w:rPr>
        <w:t>the</w:t>
      </w:r>
      <w:r>
        <w:rPr>
          <w:spacing w:val="-1"/>
          <w:sz w:val="18"/>
          <w:vertAlign w:val="baseline"/>
        </w:rPr>
        <w:t> </w:t>
      </w:r>
      <w:r>
        <w:rPr>
          <w:sz w:val="18"/>
          <w:vertAlign w:val="baseline"/>
        </w:rPr>
        <w:t>Commercial</w:t>
      </w:r>
      <w:r>
        <w:rPr>
          <w:spacing w:val="-2"/>
          <w:sz w:val="18"/>
          <w:vertAlign w:val="baseline"/>
        </w:rPr>
        <w:t> </w:t>
      </w:r>
      <w:r>
        <w:rPr>
          <w:sz w:val="18"/>
          <w:vertAlign w:val="baseline"/>
        </w:rPr>
        <w:t>Sexual Exploitation of Children,” </w:t>
      </w:r>
      <w:r>
        <w:rPr>
          <w:i/>
          <w:sz w:val="18"/>
          <w:vertAlign w:val="baseline"/>
        </w:rPr>
        <w:t>Children and Youth Services Review </w:t>
      </w:r>
      <w:r>
        <w:rPr>
          <w:sz w:val="18"/>
          <w:vertAlign w:val="baseline"/>
        </w:rPr>
        <w:t>98 (March 1, 2019): 188–98, </w:t>
      </w:r>
      <w:r>
        <w:rPr>
          <w:spacing w:val="-2"/>
          <w:sz w:val="18"/>
          <w:vertAlign w:val="baseline"/>
        </w:rPr>
        <w:t>https://doi.org/10.1016/j.childyouth.2019.01.005.</w:t>
      </w:r>
    </w:p>
    <w:p>
      <w:pPr>
        <w:spacing w:line="216" w:lineRule="exact" w:before="0"/>
        <w:ind w:left="463" w:right="0" w:firstLine="0"/>
        <w:jc w:val="left"/>
        <w:rPr>
          <w:sz w:val="18"/>
        </w:rPr>
      </w:pPr>
      <w:r>
        <w:rPr>
          <w:sz w:val="18"/>
          <w:vertAlign w:val="superscript"/>
        </w:rPr>
        <w:t>148</w:t>
      </w:r>
      <w:r>
        <w:rPr>
          <w:spacing w:val="-12"/>
          <w:sz w:val="18"/>
          <w:vertAlign w:val="baseline"/>
        </w:rPr>
        <w:t> </w:t>
      </w:r>
      <w:r>
        <w:rPr>
          <w:sz w:val="18"/>
          <w:vertAlign w:val="baseline"/>
        </w:rPr>
        <w:t>Abrams</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3"/>
          <w:sz w:val="18"/>
          <w:vertAlign w:val="baseline"/>
        </w:rPr>
        <w:t> </w:t>
      </w:r>
      <w:r>
        <w:rPr>
          <w:sz w:val="18"/>
          <w:vertAlign w:val="baseline"/>
        </w:rPr>
        <w:t>“Collaborative</w:t>
      </w:r>
      <w:r>
        <w:rPr>
          <w:spacing w:val="-1"/>
          <w:sz w:val="18"/>
          <w:vertAlign w:val="baseline"/>
        </w:rPr>
        <w:t> </w:t>
      </w:r>
      <w:r>
        <w:rPr>
          <w:sz w:val="18"/>
          <w:vertAlign w:val="baseline"/>
        </w:rPr>
        <w:t>Responses</w:t>
      </w:r>
      <w:r>
        <w:rPr>
          <w:spacing w:val="-1"/>
          <w:sz w:val="18"/>
          <w:vertAlign w:val="baseline"/>
        </w:rPr>
        <w:t> </w:t>
      </w:r>
      <w:r>
        <w:rPr>
          <w:sz w:val="18"/>
          <w:vertAlign w:val="baseline"/>
        </w:rPr>
        <w:t>to</w:t>
      </w:r>
      <w:r>
        <w:rPr>
          <w:spacing w:val="-1"/>
          <w:sz w:val="18"/>
          <w:vertAlign w:val="baseline"/>
        </w:rPr>
        <w:t> </w:t>
      </w:r>
      <w:r>
        <w:rPr>
          <w:sz w:val="18"/>
          <w:vertAlign w:val="baseline"/>
        </w:rPr>
        <w:t>Commercial</w:t>
      </w:r>
      <w:r>
        <w:rPr>
          <w:spacing w:val="-2"/>
          <w:sz w:val="18"/>
          <w:vertAlign w:val="baseline"/>
        </w:rPr>
        <w:t> </w:t>
      </w:r>
      <w:r>
        <w:rPr>
          <w:sz w:val="18"/>
          <w:vertAlign w:val="baseline"/>
        </w:rPr>
        <w:t>Sexual</w:t>
      </w:r>
      <w:r>
        <w:rPr>
          <w:spacing w:val="-2"/>
          <w:sz w:val="18"/>
          <w:vertAlign w:val="baseline"/>
        </w:rPr>
        <w:t> </w:t>
      </w:r>
      <w:r>
        <w:rPr>
          <w:sz w:val="18"/>
          <w:vertAlign w:val="baseline"/>
        </w:rPr>
        <w:t>Exploitation</w:t>
      </w:r>
      <w:r>
        <w:rPr>
          <w:spacing w:val="-1"/>
          <w:sz w:val="18"/>
          <w:vertAlign w:val="baseline"/>
        </w:rPr>
        <w:t> </w:t>
      </w:r>
      <w:r>
        <w:rPr>
          <w:sz w:val="18"/>
          <w:vertAlign w:val="baseline"/>
        </w:rPr>
        <w:t>as</w:t>
      </w:r>
      <w:r>
        <w:rPr>
          <w:spacing w:val="-1"/>
          <w:sz w:val="18"/>
          <w:vertAlign w:val="baseline"/>
        </w:rPr>
        <w:t> </w:t>
      </w:r>
      <w:r>
        <w:rPr>
          <w:sz w:val="18"/>
          <w:vertAlign w:val="baseline"/>
        </w:rPr>
        <w:t>a</w:t>
      </w:r>
      <w:r>
        <w:rPr>
          <w:spacing w:val="-1"/>
          <w:sz w:val="18"/>
          <w:vertAlign w:val="baseline"/>
        </w:rPr>
        <w:t> </w:t>
      </w:r>
      <w:r>
        <w:rPr>
          <w:sz w:val="18"/>
          <w:vertAlign w:val="baseline"/>
        </w:rPr>
        <w:t>Model</w:t>
      </w:r>
      <w:r>
        <w:rPr>
          <w:spacing w:val="-3"/>
          <w:sz w:val="18"/>
          <w:vertAlign w:val="baseline"/>
        </w:rPr>
        <w:t> </w:t>
      </w:r>
      <w:r>
        <w:rPr>
          <w:sz w:val="18"/>
          <w:vertAlign w:val="baseline"/>
        </w:rPr>
        <w:t>of</w:t>
      </w:r>
      <w:r>
        <w:rPr>
          <w:spacing w:val="-1"/>
          <w:sz w:val="18"/>
          <w:vertAlign w:val="baseline"/>
        </w:rPr>
        <w:t> </w:t>
      </w:r>
      <w:r>
        <w:rPr>
          <w:sz w:val="18"/>
          <w:vertAlign w:val="baseline"/>
        </w:rPr>
        <w:t>Smart</w:t>
      </w:r>
      <w:r>
        <w:rPr>
          <w:spacing w:val="-2"/>
          <w:sz w:val="18"/>
          <w:vertAlign w:val="baseline"/>
        </w:rPr>
        <w:t> Decarceration.”</w:t>
      </w:r>
    </w:p>
    <w:p>
      <w:pPr>
        <w:spacing w:line="273" w:lineRule="auto" w:before="21"/>
        <w:ind w:left="463" w:right="0" w:firstLine="0"/>
        <w:jc w:val="left"/>
        <w:rPr>
          <w:sz w:val="18"/>
        </w:rPr>
      </w:pPr>
      <w:r>
        <w:rPr>
          <w:sz w:val="18"/>
          <w:vertAlign w:val="superscript"/>
        </w:rPr>
        <w:t>149</w:t>
      </w:r>
      <w:r>
        <w:rPr>
          <w:spacing w:val="-12"/>
          <w:sz w:val="18"/>
          <w:vertAlign w:val="baseline"/>
        </w:rPr>
        <w:t> </w:t>
      </w:r>
      <w:r>
        <w:rPr>
          <w:sz w:val="18"/>
          <w:vertAlign w:val="baseline"/>
        </w:rPr>
        <w:t>Dora</w:t>
      </w:r>
      <w:r>
        <w:rPr>
          <w:spacing w:val="-2"/>
          <w:sz w:val="18"/>
          <w:vertAlign w:val="baseline"/>
        </w:rPr>
        <w:t> </w:t>
      </w:r>
      <w:r>
        <w:rPr>
          <w:sz w:val="18"/>
          <w:vertAlign w:val="baseline"/>
        </w:rPr>
        <w:t>Ducak</w:t>
      </w:r>
      <w:r>
        <w:rPr>
          <w:spacing w:val="-2"/>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“Perspectives</w:t>
      </w:r>
      <w:r>
        <w:rPr>
          <w:spacing w:val="-1"/>
          <w:sz w:val="18"/>
          <w:vertAlign w:val="baseline"/>
        </w:rPr>
        <w:t> </w:t>
      </w:r>
      <w:r>
        <w:rPr>
          <w:sz w:val="18"/>
          <w:vertAlign w:val="baseline"/>
        </w:rPr>
        <w:t>of</w:t>
      </w:r>
      <w:r>
        <w:rPr>
          <w:spacing w:val="-1"/>
          <w:sz w:val="18"/>
          <w:vertAlign w:val="baseline"/>
        </w:rPr>
        <w:t> </w:t>
      </w:r>
      <w:r>
        <w:rPr>
          <w:sz w:val="18"/>
          <w:vertAlign w:val="baseline"/>
        </w:rPr>
        <w:t>Stakeholders</w:t>
      </w:r>
      <w:r>
        <w:rPr>
          <w:spacing w:val="-1"/>
          <w:sz w:val="18"/>
          <w:vertAlign w:val="baseline"/>
        </w:rPr>
        <w:t> </w:t>
      </w:r>
      <w:r>
        <w:rPr>
          <w:sz w:val="18"/>
          <w:vertAlign w:val="baseline"/>
        </w:rPr>
        <w:t>Working</w:t>
      </w:r>
      <w:r>
        <w:rPr>
          <w:spacing w:val="-1"/>
          <w:sz w:val="18"/>
          <w:vertAlign w:val="baseline"/>
        </w:rPr>
        <w:t> </w:t>
      </w:r>
      <w:r>
        <w:rPr>
          <w:sz w:val="18"/>
          <w:vertAlign w:val="baseline"/>
        </w:rPr>
        <w:t>to</w:t>
      </w:r>
      <w:r>
        <w:rPr>
          <w:spacing w:val="-1"/>
          <w:sz w:val="18"/>
          <w:vertAlign w:val="baseline"/>
        </w:rPr>
        <w:t> </w:t>
      </w:r>
      <w:r>
        <w:rPr>
          <w:sz w:val="18"/>
          <w:vertAlign w:val="baseline"/>
        </w:rPr>
        <w:t>End</w:t>
      </w:r>
      <w:r>
        <w:rPr>
          <w:spacing w:val="-1"/>
          <w:sz w:val="18"/>
          <w:vertAlign w:val="baseline"/>
        </w:rPr>
        <w:t> </w:t>
      </w:r>
      <w:r>
        <w:rPr>
          <w:sz w:val="18"/>
          <w:vertAlign w:val="baseline"/>
        </w:rPr>
        <w:t>the</w:t>
      </w:r>
      <w:r>
        <w:rPr>
          <w:spacing w:val="-1"/>
          <w:sz w:val="18"/>
          <w:vertAlign w:val="baseline"/>
        </w:rPr>
        <w:t> </w:t>
      </w:r>
      <w:r>
        <w:rPr>
          <w:sz w:val="18"/>
          <w:vertAlign w:val="baseline"/>
        </w:rPr>
        <w:t>Commercial</w:t>
      </w:r>
      <w:r>
        <w:rPr>
          <w:spacing w:val="-2"/>
          <w:sz w:val="18"/>
          <w:vertAlign w:val="baseline"/>
        </w:rPr>
        <w:t> </w:t>
      </w:r>
      <w:r>
        <w:rPr>
          <w:sz w:val="18"/>
          <w:vertAlign w:val="baseline"/>
        </w:rPr>
        <w:t>Sexual</w:t>
      </w:r>
      <w:r>
        <w:rPr>
          <w:spacing w:val="-2"/>
          <w:sz w:val="18"/>
          <w:vertAlign w:val="baseline"/>
        </w:rPr>
        <w:t> </w:t>
      </w:r>
      <w:r>
        <w:rPr>
          <w:sz w:val="18"/>
          <w:vertAlign w:val="baseline"/>
        </w:rPr>
        <w:t>Exploitation</w:t>
      </w:r>
      <w:r>
        <w:rPr>
          <w:spacing w:val="-1"/>
          <w:sz w:val="18"/>
          <w:vertAlign w:val="baseline"/>
        </w:rPr>
        <w:t> </w:t>
      </w:r>
      <w:r>
        <w:rPr>
          <w:sz w:val="18"/>
          <w:vertAlign w:val="baseline"/>
        </w:rPr>
        <w:t>of</w:t>
      </w:r>
      <w:r>
        <w:rPr>
          <w:spacing w:val="-1"/>
          <w:sz w:val="18"/>
          <w:vertAlign w:val="baseline"/>
        </w:rPr>
        <w:t> </w:t>
      </w:r>
      <w:r>
        <w:rPr>
          <w:sz w:val="18"/>
          <w:vertAlign w:val="baseline"/>
        </w:rPr>
        <w:t>Children</w:t>
      </w:r>
      <w:r>
        <w:rPr>
          <w:spacing w:val="-1"/>
          <w:sz w:val="18"/>
          <w:vertAlign w:val="baseline"/>
        </w:rPr>
        <w:t> </w:t>
      </w:r>
      <w:r>
        <w:rPr>
          <w:sz w:val="18"/>
          <w:vertAlign w:val="baseline"/>
        </w:rPr>
        <w:t>in</w:t>
      </w:r>
      <w:r>
        <w:rPr>
          <w:spacing w:val="-1"/>
          <w:sz w:val="18"/>
          <w:vertAlign w:val="baseline"/>
        </w:rPr>
        <w:t> </w:t>
      </w:r>
      <w:r>
        <w:rPr>
          <w:sz w:val="18"/>
          <w:vertAlign w:val="baseline"/>
        </w:rPr>
        <w:t>Atlanta, Georgia,” </w:t>
      </w:r>
      <w:r>
        <w:rPr>
          <w:i/>
          <w:sz w:val="18"/>
          <w:vertAlign w:val="baseline"/>
        </w:rPr>
        <w:t>Violence and Gender </w:t>
      </w:r>
      <w:r>
        <w:rPr>
          <w:sz w:val="18"/>
          <w:vertAlign w:val="baseline"/>
        </w:rPr>
        <w:t>9, no. 2 (June 2022): 73–79, https://doi.org/10.1089/vio.2021.0048.</w:t>
      </w:r>
    </w:p>
    <w:p>
      <w:pPr>
        <w:spacing w:line="205" w:lineRule="exact" w:before="0"/>
        <w:ind w:left="463" w:right="0" w:firstLine="0"/>
        <w:jc w:val="left"/>
        <w:rPr>
          <w:sz w:val="18"/>
        </w:rPr>
      </w:pPr>
      <w:r>
        <w:rPr>
          <w:sz w:val="18"/>
          <w:vertAlign w:val="superscript"/>
        </w:rPr>
        <w:t>150</w:t>
      </w:r>
      <w:r>
        <w:rPr>
          <w:spacing w:val="-12"/>
          <w:sz w:val="18"/>
          <w:vertAlign w:val="baseline"/>
        </w:rPr>
        <w:t> </w:t>
      </w:r>
      <w:r>
        <w:rPr>
          <w:sz w:val="18"/>
          <w:vertAlign w:val="baseline"/>
        </w:rPr>
        <w:t>Lauren</w:t>
      </w:r>
      <w:r>
        <w:rPr>
          <w:spacing w:val="-2"/>
          <w:sz w:val="18"/>
          <w:vertAlign w:val="baseline"/>
        </w:rPr>
        <w:t> </w:t>
      </w:r>
      <w:r>
        <w:rPr>
          <w:sz w:val="18"/>
          <w:vertAlign w:val="baseline"/>
        </w:rPr>
        <w:t>M.</w:t>
      </w:r>
      <w:r>
        <w:rPr>
          <w:spacing w:val="-1"/>
          <w:sz w:val="18"/>
          <w:vertAlign w:val="baseline"/>
        </w:rPr>
        <w:t> </w:t>
      </w:r>
      <w:r>
        <w:rPr>
          <w:sz w:val="18"/>
          <w:vertAlign w:val="baseline"/>
        </w:rPr>
        <w:t>Sava</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“LGBTQ</w:t>
      </w:r>
      <w:r>
        <w:rPr>
          <w:spacing w:val="-1"/>
          <w:sz w:val="18"/>
          <w:vertAlign w:val="baseline"/>
        </w:rPr>
        <w:t> </w:t>
      </w:r>
      <w:r>
        <w:rPr>
          <w:sz w:val="18"/>
          <w:vertAlign w:val="baseline"/>
        </w:rPr>
        <w:t>Student</w:t>
      </w:r>
      <w:r>
        <w:rPr>
          <w:spacing w:val="-1"/>
          <w:sz w:val="18"/>
          <w:vertAlign w:val="baseline"/>
        </w:rPr>
        <w:t> </w:t>
      </w:r>
      <w:r>
        <w:rPr>
          <w:sz w:val="18"/>
          <w:vertAlign w:val="baseline"/>
        </w:rPr>
        <w:t>Health:</w:t>
      </w:r>
      <w:r>
        <w:rPr>
          <w:spacing w:val="-1"/>
          <w:sz w:val="18"/>
          <w:vertAlign w:val="baseline"/>
        </w:rPr>
        <w:t> </w:t>
      </w:r>
      <w:r>
        <w:rPr>
          <w:sz w:val="18"/>
          <w:vertAlign w:val="baseline"/>
        </w:rPr>
        <w:t>A</w:t>
      </w:r>
      <w:r>
        <w:rPr>
          <w:spacing w:val="-1"/>
          <w:sz w:val="18"/>
          <w:vertAlign w:val="baseline"/>
        </w:rPr>
        <w:t> </w:t>
      </w:r>
      <w:r>
        <w:rPr>
          <w:sz w:val="18"/>
          <w:vertAlign w:val="baseline"/>
        </w:rPr>
        <w:t>Mixed-Methods</w:t>
      </w:r>
      <w:r>
        <w:rPr>
          <w:spacing w:val="-1"/>
          <w:sz w:val="18"/>
          <w:vertAlign w:val="baseline"/>
        </w:rPr>
        <w:t> </w:t>
      </w:r>
      <w:r>
        <w:rPr>
          <w:sz w:val="18"/>
          <w:vertAlign w:val="baseline"/>
        </w:rPr>
        <w:t>Study</w:t>
      </w:r>
      <w:r>
        <w:rPr>
          <w:spacing w:val="-1"/>
          <w:sz w:val="18"/>
          <w:vertAlign w:val="baseline"/>
        </w:rPr>
        <w:t> </w:t>
      </w:r>
      <w:r>
        <w:rPr>
          <w:sz w:val="18"/>
          <w:vertAlign w:val="baseline"/>
        </w:rPr>
        <w:t>of</w:t>
      </w:r>
      <w:r>
        <w:rPr>
          <w:spacing w:val="-1"/>
          <w:sz w:val="18"/>
          <w:vertAlign w:val="baseline"/>
        </w:rPr>
        <w:t> </w:t>
      </w:r>
      <w:r>
        <w:rPr>
          <w:sz w:val="18"/>
          <w:vertAlign w:val="baseline"/>
        </w:rPr>
        <w:t>Unmet</w:t>
      </w:r>
      <w:r>
        <w:rPr>
          <w:spacing w:val="-2"/>
          <w:sz w:val="18"/>
          <w:vertAlign w:val="baseline"/>
        </w:rPr>
        <w:t> </w:t>
      </w:r>
      <w:r>
        <w:rPr>
          <w:sz w:val="18"/>
          <w:vertAlign w:val="baseline"/>
        </w:rPr>
        <w:t>Needs</w:t>
      </w:r>
      <w:r>
        <w:rPr>
          <w:spacing w:val="-1"/>
          <w:sz w:val="18"/>
          <w:vertAlign w:val="baseline"/>
        </w:rPr>
        <w:t> </w:t>
      </w:r>
      <w:r>
        <w:rPr>
          <w:sz w:val="18"/>
          <w:vertAlign w:val="baseline"/>
        </w:rPr>
        <w:t>in</w:t>
      </w:r>
      <w:r>
        <w:rPr>
          <w:spacing w:val="-2"/>
          <w:sz w:val="18"/>
          <w:vertAlign w:val="baseline"/>
        </w:rPr>
        <w:t> </w:t>
      </w:r>
      <w:r>
        <w:rPr>
          <w:sz w:val="18"/>
          <w:vertAlign w:val="baseline"/>
        </w:rPr>
        <w:t>Massachusetts</w:t>
      </w:r>
      <w:r>
        <w:rPr>
          <w:spacing w:val="-1"/>
          <w:sz w:val="18"/>
          <w:vertAlign w:val="baseline"/>
        </w:rPr>
        <w:t> </w:t>
      </w:r>
      <w:r>
        <w:rPr>
          <w:spacing w:val="-2"/>
          <w:sz w:val="18"/>
          <w:vertAlign w:val="baseline"/>
        </w:rPr>
        <w:t>Schools,”</w:t>
      </w:r>
    </w:p>
    <w:p>
      <w:pPr>
        <w:spacing w:line="212" w:lineRule="exact" w:before="0"/>
        <w:ind w:left="463" w:right="0" w:firstLine="0"/>
        <w:jc w:val="left"/>
        <w:rPr>
          <w:sz w:val="18"/>
        </w:rPr>
      </w:pPr>
      <w:r>
        <w:rPr>
          <w:i/>
          <w:sz w:val="18"/>
        </w:rPr>
        <w:t>Journal</w:t>
      </w:r>
      <w:r>
        <w:rPr>
          <w:i/>
          <w:spacing w:val="-3"/>
          <w:sz w:val="18"/>
        </w:rPr>
        <w:t> </w:t>
      </w:r>
      <w:r>
        <w:rPr>
          <w:i/>
          <w:sz w:val="18"/>
        </w:rPr>
        <w:t>of</w:t>
      </w:r>
      <w:r>
        <w:rPr>
          <w:i/>
          <w:spacing w:val="-2"/>
          <w:sz w:val="18"/>
        </w:rPr>
        <w:t> </w:t>
      </w:r>
      <w:r>
        <w:rPr>
          <w:i/>
          <w:sz w:val="18"/>
        </w:rPr>
        <w:t>School</w:t>
      </w:r>
      <w:r>
        <w:rPr>
          <w:i/>
          <w:spacing w:val="-2"/>
          <w:sz w:val="18"/>
        </w:rPr>
        <w:t> </w:t>
      </w:r>
      <w:r>
        <w:rPr>
          <w:i/>
          <w:sz w:val="18"/>
        </w:rPr>
        <w:t>Health</w:t>
      </w:r>
      <w:r>
        <w:rPr>
          <w:i/>
          <w:spacing w:val="-2"/>
          <w:sz w:val="18"/>
        </w:rPr>
        <w:t> </w:t>
      </w:r>
      <w:r>
        <w:rPr>
          <w:sz w:val="18"/>
        </w:rPr>
        <w:t>91,</w:t>
      </w:r>
      <w:r>
        <w:rPr>
          <w:spacing w:val="-3"/>
          <w:sz w:val="18"/>
        </w:rPr>
        <w:t> </w:t>
      </w:r>
      <w:r>
        <w:rPr>
          <w:sz w:val="18"/>
        </w:rPr>
        <w:t>no.</w:t>
      </w:r>
      <w:r>
        <w:rPr>
          <w:spacing w:val="-1"/>
          <w:sz w:val="18"/>
        </w:rPr>
        <w:t> </w:t>
      </w:r>
      <w:r>
        <w:rPr>
          <w:sz w:val="18"/>
        </w:rPr>
        <w:t>11</w:t>
      </w:r>
      <w:r>
        <w:rPr>
          <w:spacing w:val="-2"/>
          <w:sz w:val="18"/>
        </w:rPr>
        <w:t> </w:t>
      </w:r>
      <w:r>
        <w:rPr>
          <w:sz w:val="18"/>
        </w:rPr>
        <w:t>(2021):</w:t>
      </w:r>
      <w:r>
        <w:rPr>
          <w:spacing w:val="-2"/>
          <w:sz w:val="18"/>
        </w:rPr>
        <w:t> </w:t>
      </w:r>
      <w:r>
        <w:rPr>
          <w:sz w:val="18"/>
        </w:rPr>
        <w:t>894–905,</w:t>
      </w:r>
      <w:r>
        <w:rPr>
          <w:spacing w:val="-2"/>
          <w:sz w:val="18"/>
        </w:rPr>
        <w:t> https://doi.org/10.1111/josh.13082.</w:t>
      </w:r>
    </w:p>
    <w:p>
      <w:pPr>
        <w:spacing w:line="219" w:lineRule="exact" w:before="0"/>
        <w:ind w:left="463" w:right="0" w:firstLine="0"/>
        <w:jc w:val="left"/>
        <w:rPr>
          <w:sz w:val="18"/>
        </w:rPr>
      </w:pPr>
      <w:r>
        <w:rPr>
          <w:sz w:val="18"/>
          <w:vertAlign w:val="superscript"/>
        </w:rPr>
        <w:t>151</w:t>
      </w:r>
      <w:r>
        <w:rPr>
          <w:spacing w:val="-12"/>
          <w:sz w:val="18"/>
          <w:vertAlign w:val="baseline"/>
        </w:rPr>
        <w:t> </w:t>
      </w:r>
      <w:r>
        <w:rPr>
          <w:sz w:val="18"/>
          <w:vertAlign w:val="baseline"/>
        </w:rPr>
        <w:t>Topping,</w:t>
      </w:r>
      <w:r>
        <w:rPr>
          <w:spacing w:val="-3"/>
          <w:sz w:val="18"/>
          <w:vertAlign w:val="baseline"/>
        </w:rPr>
        <w:t> </w:t>
      </w:r>
      <w:r>
        <w:rPr>
          <w:sz w:val="18"/>
          <w:vertAlign w:val="baseline"/>
        </w:rPr>
        <w:t>“Peer</w:t>
      </w:r>
      <w:r>
        <w:rPr>
          <w:spacing w:val="-2"/>
          <w:sz w:val="18"/>
          <w:vertAlign w:val="baseline"/>
        </w:rPr>
        <w:t> </w:t>
      </w:r>
      <w:r>
        <w:rPr>
          <w:sz w:val="18"/>
          <w:vertAlign w:val="baseline"/>
        </w:rPr>
        <w:t>Education</w:t>
      </w:r>
      <w:r>
        <w:rPr>
          <w:spacing w:val="-1"/>
          <w:sz w:val="18"/>
          <w:vertAlign w:val="baseline"/>
        </w:rPr>
        <w:t> </w:t>
      </w:r>
      <w:r>
        <w:rPr>
          <w:sz w:val="18"/>
          <w:vertAlign w:val="baseline"/>
        </w:rPr>
        <w:t>and</w:t>
      </w:r>
      <w:r>
        <w:rPr>
          <w:spacing w:val="-1"/>
          <w:sz w:val="18"/>
          <w:vertAlign w:val="baseline"/>
        </w:rPr>
        <w:t> </w:t>
      </w:r>
      <w:r>
        <w:rPr>
          <w:sz w:val="18"/>
          <w:vertAlign w:val="baseline"/>
        </w:rPr>
        <w:t>Peer</w:t>
      </w:r>
      <w:r>
        <w:rPr>
          <w:spacing w:val="-2"/>
          <w:sz w:val="18"/>
          <w:vertAlign w:val="baseline"/>
        </w:rPr>
        <w:t> </w:t>
      </w:r>
      <w:r>
        <w:rPr>
          <w:sz w:val="18"/>
          <w:vertAlign w:val="baseline"/>
        </w:rPr>
        <w:t>Counselling</w:t>
      </w:r>
      <w:r>
        <w:rPr>
          <w:spacing w:val="-1"/>
          <w:sz w:val="18"/>
          <w:vertAlign w:val="baseline"/>
        </w:rPr>
        <w:t> </w:t>
      </w:r>
      <w:r>
        <w:rPr>
          <w:sz w:val="18"/>
          <w:vertAlign w:val="baseline"/>
        </w:rPr>
        <w:t>for</w:t>
      </w:r>
      <w:r>
        <w:rPr>
          <w:spacing w:val="-2"/>
          <w:sz w:val="18"/>
          <w:vertAlign w:val="baseline"/>
        </w:rPr>
        <w:t> </w:t>
      </w:r>
      <w:r>
        <w:rPr>
          <w:sz w:val="18"/>
          <w:vertAlign w:val="baseline"/>
        </w:rPr>
        <w:t>Health</w:t>
      </w:r>
      <w:r>
        <w:rPr>
          <w:spacing w:val="-1"/>
          <w:sz w:val="18"/>
          <w:vertAlign w:val="baseline"/>
        </w:rPr>
        <w:t> </w:t>
      </w:r>
      <w:r>
        <w:rPr>
          <w:sz w:val="18"/>
          <w:vertAlign w:val="baseline"/>
        </w:rPr>
        <w:t>and</w:t>
      </w:r>
      <w:r>
        <w:rPr>
          <w:spacing w:val="-1"/>
          <w:sz w:val="18"/>
          <w:vertAlign w:val="baseline"/>
        </w:rPr>
        <w:t> </w:t>
      </w:r>
      <w:r>
        <w:rPr>
          <w:sz w:val="18"/>
          <w:vertAlign w:val="baseline"/>
        </w:rPr>
        <w:t>Well-</w:t>
      </w:r>
      <w:r>
        <w:rPr>
          <w:spacing w:val="-2"/>
          <w:sz w:val="18"/>
          <w:vertAlign w:val="baseline"/>
        </w:rPr>
        <w:t>Being.”</w:t>
      </w:r>
    </w:p>
    <w:p>
      <w:pPr>
        <w:spacing w:line="212" w:lineRule="exact" w:before="2"/>
        <w:ind w:left="463" w:right="0" w:firstLine="0"/>
        <w:jc w:val="left"/>
        <w:rPr>
          <w:sz w:val="18"/>
        </w:rPr>
      </w:pPr>
      <w:r>
        <w:rPr>
          <w:sz w:val="18"/>
          <w:vertAlign w:val="superscript"/>
        </w:rPr>
        <w:t>152</w:t>
      </w:r>
      <w:r>
        <w:rPr>
          <w:spacing w:val="-12"/>
          <w:sz w:val="18"/>
          <w:vertAlign w:val="baseline"/>
        </w:rPr>
        <w:t> </w:t>
      </w:r>
      <w:r>
        <w:rPr>
          <w:sz w:val="18"/>
          <w:vertAlign w:val="baseline"/>
        </w:rPr>
        <w:t>Amy</w:t>
      </w:r>
      <w:r>
        <w:rPr>
          <w:spacing w:val="-2"/>
          <w:sz w:val="18"/>
          <w:vertAlign w:val="baseline"/>
        </w:rPr>
        <w:t> </w:t>
      </w:r>
      <w:r>
        <w:rPr>
          <w:sz w:val="18"/>
          <w:vertAlign w:val="baseline"/>
        </w:rPr>
        <w:t>D.</w:t>
      </w:r>
      <w:r>
        <w:rPr>
          <w:spacing w:val="-2"/>
          <w:sz w:val="18"/>
          <w:vertAlign w:val="baseline"/>
        </w:rPr>
        <w:t> </w:t>
      </w:r>
      <w:r>
        <w:rPr>
          <w:sz w:val="18"/>
          <w:vertAlign w:val="baseline"/>
        </w:rPr>
        <w:t>Benton</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“Peer-Led</w:t>
      </w:r>
      <w:r>
        <w:rPr>
          <w:spacing w:val="-1"/>
          <w:sz w:val="18"/>
          <w:vertAlign w:val="baseline"/>
        </w:rPr>
        <w:t> </w:t>
      </w:r>
      <w:r>
        <w:rPr>
          <w:sz w:val="18"/>
          <w:vertAlign w:val="baseline"/>
        </w:rPr>
        <w:t>Sexual</w:t>
      </w:r>
      <w:r>
        <w:rPr>
          <w:spacing w:val="-2"/>
          <w:sz w:val="18"/>
          <w:vertAlign w:val="baseline"/>
        </w:rPr>
        <w:t> </w:t>
      </w:r>
      <w:r>
        <w:rPr>
          <w:sz w:val="18"/>
          <w:vertAlign w:val="baseline"/>
        </w:rPr>
        <w:t>Health</w:t>
      </w:r>
      <w:r>
        <w:rPr>
          <w:spacing w:val="-3"/>
          <w:sz w:val="18"/>
          <w:vertAlign w:val="baseline"/>
        </w:rPr>
        <w:t> </w:t>
      </w:r>
      <w:r>
        <w:rPr>
          <w:sz w:val="18"/>
          <w:vertAlign w:val="baseline"/>
        </w:rPr>
        <w:t>Education:</w:t>
      </w:r>
      <w:r>
        <w:rPr>
          <w:spacing w:val="-1"/>
          <w:sz w:val="18"/>
          <w:vertAlign w:val="baseline"/>
        </w:rPr>
        <w:t> </w:t>
      </w:r>
      <w:r>
        <w:rPr>
          <w:sz w:val="18"/>
          <w:vertAlign w:val="baseline"/>
        </w:rPr>
        <w:t>Multiple</w:t>
      </w:r>
      <w:r>
        <w:rPr>
          <w:spacing w:val="-1"/>
          <w:sz w:val="18"/>
          <w:vertAlign w:val="baseline"/>
        </w:rPr>
        <w:t> </w:t>
      </w:r>
      <w:r>
        <w:rPr>
          <w:sz w:val="18"/>
          <w:vertAlign w:val="baseline"/>
        </w:rPr>
        <w:t>Perspectives</w:t>
      </w:r>
      <w:r>
        <w:rPr>
          <w:spacing w:val="-2"/>
          <w:sz w:val="18"/>
          <w:vertAlign w:val="baseline"/>
        </w:rPr>
        <w:t> </w:t>
      </w:r>
      <w:r>
        <w:rPr>
          <w:sz w:val="18"/>
          <w:vertAlign w:val="baseline"/>
        </w:rPr>
        <w:t>on</w:t>
      </w:r>
      <w:r>
        <w:rPr>
          <w:spacing w:val="-1"/>
          <w:sz w:val="18"/>
          <w:vertAlign w:val="baseline"/>
        </w:rPr>
        <w:t> </w:t>
      </w:r>
      <w:r>
        <w:rPr>
          <w:sz w:val="18"/>
          <w:vertAlign w:val="baseline"/>
        </w:rPr>
        <w:t>Benefits</w:t>
      </w:r>
      <w:r>
        <w:rPr>
          <w:spacing w:val="-1"/>
          <w:sz w:val="18"/>
          <w:vertAlign w:val="baseline"/>
        </w:rPr>
        <w:t> </w:t>
      </w:r>
      <w:r>
        <w:rPr>
          <w:sz w:val="18"/>
          <w:vertAlign w:val="baseline"/>
        </w:rPr>
        <w:t>for</w:t>
      </w:r>
      <w:r>
        <w:rPr>
          <w:spacing w:val="-3"/>
          <w:sz w:val="18"/>
          <w:vertAlign w:val="baseline"/>
        </w:rPr>
        <w:t> </w:t>
      </w:r>
      <w:r>
        <w:rPr>
          <w:sz w:val="18"/>
          <w:vertAlign w:val="baseline"/>
        </w:rPr>
        <w:t>Peer</w:t>
      </w:r>
      <w:r>
        <w:rPr>
          <w:spacing w:val="-3"/>
          <w:sz w:val="18"/>
          <w:vertAlign w:val="baseline"/>
        </w:rPr>
        <w:t> </w:t>
      </w:r>
      <w:r>
        <w:rPr>
          <w:sz w:val="18"/>
          <w:vertAlign w:val="baseline"/>
        </w:rPr>
        <w:t>Health</w:t>
      </w:r>
      <w:r>
        <w:rPr>
          <w:spacing w:val="-1"/>
          <w:sz w:val="18"/>
          <w:vertAlign w:val="baseline"/>
        </w:rPr>
        <w:t> </w:t>
      </w:r>
      <w:r>
        <w:rPr>
          <w:spacing w:val="-2"/>
          <w:sz w:val="18"/>
          <w:vertAlign w:val="baseline"/>
        </w:rPr>
        <w:t>Educators,”</w:t>
      </w:r>
    </w:p>
    <w:p>
      <w:pPr>
        <w:spacing w:line="203" w:lineRule="exact" w:before="0"/>
        <w:ind w:left="463" w:right="0" w:firstLine="0"/>
        <w:jc w:val="left"/>
        <w:rPr>
          <w:sz w:val="18"/>
        </w:rPr>
      </w:pPr>
      <w:r>
        <w:rPr>
          <w:i/>
          <w:sz w:val="18"/>
        </w:rPr>
        <w:t>Child</w:t>
      </w:r>
      <w:r>
        <w:rPr>
          <w:i/>
          <w:spacing w:val="-6"/>
          <w:sz w:val="18"/>
        </w:rPr>
        <w:t> </w:t>
      </w:r>
      <w:r>
        <w:rPr>
          <w:i/>
          <w:sz w:val="18"/>
        </w:rPr>
        <w:t>and</w:t>
      </w:r>
      <w:r>
        <w:rPr>
          <w:i/>
          <w:spacing w:val="-3"/>
          <w:sz w:val="18"/>
        </w:rPr>
        <w:t> </w:t>
      </w:r>
      <w:r>
        <w:rPr>
          <w:i/>
          <w:sz w:val="18"/>
        </w:rPr>
        <w:t>Adolescent</w:t>
      </w:r>
      <w:r>
        <w:rPr>
          <w:i/>
          <w:spacing w:val="-4"/>
          <w:sz w:val="18"/>
        </w:rPr>
        <w:t> </w:t>
      </w:r>
      <w:r>
        <w:rPr>
          <w:i/>
          <w:sz w:val="18"/>
        </w:rPr>
        <w:t>Social</w:t>
      </w:r>
      <w:r>
        <w:rPr>
          <w:i/>
          <w:spacing w:val="-3"/>
          <w:sz w:val="18"/>
        </w:rPr>
        <w:t> </w:t>
      </w:r>
      <w:r>
        <w:rPr>
          <w:i/>
          <w:sz w:val="18"/>
        </w:rPr>
        <w:t>Work</w:t>
      </w:r>
      <w:r>
        <w:rPr>
          <w:i/>
          <w:spacing w:val="-3"/>
          <w:sz w:val="18"/>
        </w:rPr>
        <w:t> </w:t>
      </w:r>
      <w:r>
        <w:rPr>
          <w:i/>
          <w:sz w:val="18"/>
        </w:rPr>
        <w:t>Journal</w:t>
      </w:r>
      <w:r>
        <w:rPr>
          <w:i/>
          <w:spacing w:val="-4"/>
          <w:sz w:val="18"/>
        </w:rPr>
        <w:t> </w:t>
      </w:r>
      <w:r>
        <w:rPr>
          <w:sz w:val="18"/>
        </w:rPr>
        <w:t>37,</w:t>
      </w:r>
      <w:r>
        <w:rPr>
          <w:spacing w:val="-3"/>
          <w:sz w:val="18"/>
        </w:rPr>
        <w:t> </w:t>
      </w:r>
      <w:r>
        <w:rPr>
          <w:sz w:val="18"/>
        </w:rPr>
        <w:t>no.</w:t>
      </w:r>
      <w:r>
        <w:rPr>
          <w:spacing w:val="-3"/>
          <w:sz w:val="18"/>
        </w:rPr>
        <w:t> </w:t>
      </w:r>
      <w:r>
        <w:rPr>
          <w:sz w:val="18"/>
        </w:rPr>
        <w:t>5</w:t>
      </w:r>
      <w:r>
        <w:rPr>
          <w:spacing w:val="-3"/>
          <w:sz w:val="18"/>
        </w:rPr>
        <w:t> </w:t>
      </w:r>
      <w:r>
        <w:rPr>
          <w:sz w:val="18"/>
        </w:rPr>
        <w:t>(October</w:t>
      </w:r>
      <w:r>
        <w:rPr>
          <w:spacing w:val="-4"/>
          <w:sz w:val="18"/>
        </w:rPr>
        <w:t> </w:t>
      </w:r>
      <w:r>
        <w:rPr>
          <w:sz w:val="18"/>
        </w:rPr>
        <w:t>1,</w:t>
      </w:r>
      <w:r>
        <w:rPr>
          <w:spacing w:val="-4"/>
          <w:sz w:val="18"/>
        </w:rPr>
        <w:t> </w:t>
      </w:r>
      <w:r>
        <w:rPr>
          <w:sz w:val="18"/>
        </w:rPr>
        <w:t>2020):</w:t>
      </w:r>
      <w:r>
        <w:rPr>
          <w:spacing w:val="-3"/>
          <w:sz w:val="18"/>
        </w:rPr>
        <w:t> </w:t>
      </w:r>
      <w:r>
        <w:rPr>
          <w:sz w:val="18"/>
        </w:rPr>
        <w:t>487–96,</w:t>
      </w:r>
      <w:r>
        <w:rPr>
          <w:spacing w:val="-3"/>
          <w:sz w:val="18"/>
        </w:rPr>
        <w:t> </w:t>
      </w:r>
      <w:r>
        <w:rPr>
          <w:sz w:val="18"/>
        </w:rPr>
        <w:t>https://doi.org/10.1007/s10560-020-</w:t>
      </w:r>
      <w:r>
        <w:rPr>
          <w:spacing w:val="-2"/>
          <w:sz w:val="18"/>
        </w:rPr>
        <w:t>00661-</w:t>
      </w:r>
    </w:p>
    <w:p>
      <w:pPr>
        <w:spacing w:line="209" w:lineRule="exact" w:before="0"/>
        <w:ind w:left="463" w:right="0" w:firstLine="0"/>
        <w:jc w:val="left"/>
        <w:rPr>
          <w:sz w:val="18"/>
        </w:rPr>
      </w:pPr>
      <w:r>
        <w:rPr>
          <w:spacing w:val="-5"/>
          <w:sz w:val="18"/>
        </w:rPr>
        <w:t>9.</w:t>
      </w:r>
    </w:p>
    <w:p>
      <w:pPr>
        <w:spacing w:line="219" w:lineRule="exact" w:before="0"/>
        <w:ind w:left="463" w:right="0" w:firstLine="0"/>
        <w:jc w:val="left"/>
        <w:rPr>
          <w:sz w:val="18"/>
        </w:rPr>
      </w:pPr>
      <w:r>
        <w:rPr>
          <w:sz w:val="18"/>
          <w:vertAlign w:val="superscript"/>
        </w:rPr>
        <w:t>153</w:t>
      </w:r>
      <w:r>
        <w:rPr>
          <w:spacing w:val="-10"/>
          <w:sz w:val="18"/>
          <w:vertAlign w:val="baseline"/>
        </w:rPr>
        <w:t> </w:t>
      </w:r>
      <w:r>
        <w:rPr>
          <w:sz w:val="18"/>
          <w:vertAlign w:val="baseline"/>
        </w:rPr>
        <w:t>Benton</w:t>
      </w:r>
      <w:r>
        <w:rPr>
          <w:spacing w:val="4"/>
          <w:sz w:val="18"/>
          <w:vertAlign w:val="baseline"/>
        </w:rPr>
        <w:t> </w:t>
      </w:r>
      <w:r>
        <w:rPr>
          <w:sz w:val="18"/>
          <w:vertAlign w:val="baseline"/>
        </w:rPr>
        <w:t>et</w:t>
      </w:r>
      <w:r>
        <w:rPr>
          <w:spacing w:val="3"/>
          <w:sz w:val="18"/>
          <w:vertAlign w:val="baseline"/>
        </w:rPr>
        <w:t> </w:t>
      </w:r>
      <w:r>
        <w:rPr>
          <w:spacing w:val="-5"/>
          <w:sz w:val="18"/>
          <w:vertAlign w:val="baseline"/>
        </w:rPr>
        <w:t>al.</w:t>
      </w:r>
    </w:p>
    <w:p>
      <w:pPr>
        <w:spacing w:line="268" w:lineRule="auto" w:before="20"/>
        <w:ind w:left="463" w:right="451" w:hanging="1"/>
        <w:jc w:val="left"/>
        <w:rPr>
          <w:sz w:val="18"/>
        </w:rPr>
      </w:pPr>
      <w:r>
        <w:rPr>
          <w:sz w:val="18"/>
          <w:vertAlign w:val="superscript"/>
        </w:rPr>
        <w:t>154</w:t>
      </w:r>
      <w:r>
        <w:rPr>
          <w:spacing w:val="-12"/>
          <w:sz w:val="18"/>
          <w:vertAlign w:val="baseline"/>
        </w:rPr>
        <w:t> </w:t>
      </w:r>
      <w:r>
        <w:rPr>
          <w:sz w:val="18"/>
          <w:vertAlign w:val="baseline"/>
        </w:rPr>
        <w:t>Laura</w:t>
      </w:r>
      <w:r>
        <w:rPr>
          <w:spacing w:val="-2"/>
          <w:sz w:val="18"/>
          <w:vertAlign w:val="baseline"/>
        </w:rPr>
        <w:t> </w:t>
      </w:r>
      <w:r>
        <w:rPr>
          <w:sz w:val="18"/>
          <w:vertAlign w:val="baseline"/>
        </w:rPr>
        <w:t>Villa-Torres</w:t>
      </w:r>
      <w:r>
        <w:rPr>
          <w:spacing w:val="-1"/>
          <w:sz w:val="18"/>
          <w:vertAlign w:val="baseline"/>
        </w:rPr>
        <w:t> </w:t>
      </w:r>
      <w:r>
        <w:rPr>
          <w:sz w:val="18"/>
          <w:vertAlign w:val="baseline"/>
        </w:rPr>
        <w:t>and</w:t>
      </w:r>
      <w:r>
        <w:rPr>
          <w:spacing w:val="-1"/>
          <w:sz w:val="18"/>
          <w:vertAlign w:val="baseline"/>
        </w:rPr>
        <w:t> </w:t>
      </w:r>
      <w:r>
        <w:rPr>
          <w:sz w:val="18"/>
          <w:vertAlign w:val="baseline"/>
        </w:rPr>
        <w:t>Joar</w:t>
      </w:r>
      <w:r>
        <w:rPr>
          <w:spacing w:val="-2"/>
          <w:sz w:val="18"/>
          <w:vertAlign w:val="baseline"/>
        </w:rPr>
        <w:t> </w:t>
      </w:r>
      <w:r>
        <w:rPr>
          <w:sz w:val="18"/>
          <w:vertAlign w:val="baseline"/>
        </w:rPr>
        <w:t>Svanemyr,</w:t>
      </w:r>
      <w:r>
        <w:rPr>
          <w:spacing w:val="-2"/>
          <w:sz w:val="18"/>
          <w:vertAlign w:val="baseline"/>
        </w:rPr>
        <w:t> </w:t>
      </w:r>
      <w:r>
        <w:rPr>
          <w:sz w:val="18"/>
          <w:vertAlign w:val="baseline"/>
        </w:rPr>
        <w:t>“Ensuring</w:t>
      </w:r>
      <w:r>
        <w:rPr>
          <w:spacing w:val="-1"/>
          <w:sz w:val="18"/>
          <w:vertAlign w:val="baseline"/>
        </w:rPr>
        <w:t> </w:t>
      </w:r>
      <w:r>
        <w:rPr>
          <w:sz w:val="18"/>
          <w:vertAlign w:val="baseline"/>
        </w:rPr>
        <w:t>Youth’s</w:t>
      </w:r>
      <w:r>
        <w:rPr>
          <w:spacing w:val="-1"/>
          <w:sz w:val="18"/>
          <w:vertAlign w:val="baseline"/>
        </w:rPr>
        <w:t> </w:t>
      </w:r>
      <w:r>
        <w:rPr>
          <w:sz w:val="18"/>
          <w:vertAlign w:val="baseline"/>
        </w:rPr>
        <w:t>Right</w:t>
      </w:r>
      <w:r>
        <w:rPr>
          <w:spacing w:val="-2"/>
          <w:sz w:val="18"/>
          <w:vertAlign w:val="baseline"/>
        </w:rPr>
        <w:t> </w:t>
      </w:r>
      <w:r>
        <w:rPr>
          <w:sz w:val="18"/>
          <w:vertAlign w:val="baseline"/>
        </w:rPr>
        <w:t>to</w:t>
      </w:r>
      <w:r>
        <w:rPr>
          <w:spacing w:val="-1"/>
          <w:sz w:val="18"/>
          <w:vertAlign w:val="baseline"/>
        </w:rPr>
        <w:t> </w:t>
      </w:r>
      <w:r>
        <w:rPr>
          <w:sz w:val="18"/>
          <w:vertAlign w:val="baseline"/>
        </w:rPr>
        <w:t>Participation and</w:t>
      </w:r>
      <w:r>
        <w:rPr>
          <w:spacing w:val="-1"/>
          <w:sz w:val="18"/>
          <w:vertAlign w:val="baseline"/>
        </w:rPr>
        <w:t> </w:t>
      </w:r>
      <w:r>
        <w:rPr>
          <w:sz w:val="18"/>
          <w:vertAlign w:val="baseline"/>
        </w:rPr>
        <w:t>Promotion</w:t>
      </w:r>
      <w:r>
        <w:rPr>
          <w:spacing w:val="-1"/>
          <w:sz w:val="18"/>
          <w:vertAlign w:val="baseline"/>
        </w:rPr>
        <w:t> </w:t>
      </w:r>
      <w:r>
        <w:rPr>
          <w:sz w:val="18"/>
          <w:vertAlign w:val="baseline"/>
        </w:rPr>
        <w:t>of</w:t>
      </w:r>
      <w:r>
        <w:rPr>
          <w:spacing w:val="-1"/>
          <w:sz w:val="18"/>
          <w:vertAlign w:val="baseline"/>
        </w:rPr>
        <w:t> </w:t>
      </w:r>
      <w:r>
        <w:rPr>
          <w:sz w:val="18"/>
          <w:vertAlign w:val="baseline"/>
        </w:rPr>
        <w:t>Youth</w:t>
      </w:r>
      <w:r>
        <w:rPr>
          <w:spacing w:val="-1"/>
          <w:sz w:val="18"/>
          <w:vertAlign w:val="baseline"/>
        </w:rPr>
        <w:t> </w:t>
      </w:r>
      <w:r>
        <w:rPr>
          <w:sz w:val="18"/>
          <w:vertAlign w:val="baseline"/>
        </w:rPr>
        <w:t>Leadership</w:t>
      </w:r>
      <w:r>
        <w:rPr>
          <w:spacing w:val="-1"/>
          <w:sz w:val="18"/>
          <w:vertAlign w:val="baseline"/>
        </w:rPr>
        <w:t> </w:t>
      </w:r>
      <w:r>
        <w:rPr>
          <w:sz w:val="18"/>
          <w:vertAlign w:val="baseline"/>
        </w:rPr>
        <w:t>in</w:t>
      </w:r>
      <w:r>
        <w:rPr>
          <w:spacing w:val="-1"/>
          <w:sz w:val="18"/>
          <w:vertAlign w:val="baseline"/>
        </w:rPr>
        <w:t> </w:t>
      </w:r>
      <w:r>
        <w:rPr>
          <w:sz w:val="18"/>
          <w:vertAlign w:val="baseline"/>
        </w:rPr>
        <w:t>the Development of Sexual and Reproductive Health Policies and Programs,” </w:t>
      </w:r>
      <w:r>
        <w:rPr>
          <w:i/>
          <w:sz w:val="18"/>
          <w:vertAlign w:val="baseline"/>
        </w:rPr>
        <w:t>Journal of Adolescent Health </w:t>
      </w:r>
      <w:r>
        <w:rPr>
          <w:sz w:val="18"/>
          <w:vertAlign w:val="baseline"/>
        </w:rPr>
        <w:t>56, no. 1 (January 2015): S51–57, https://doi.org/10.1016/j.jadohealth.2014.07.022.</w:t>
      </w:r>
    </w:p>
    <w:p>
      <w:pPr>
        <w:spacing w:before="14"/>
        <w:ind w:left="463" w:right="0" w:firstLine="0"/>
        <w:jc w:val="left"/>
        <w:rPr>
          <w:sz w:val="18"/>
        </w:rPr>
      </w:pPr>
      <w:r>
        <w:rPr>
          <w:sz w:val="18"/>
          <w:vertAlign w:val="superscript"/>
        </w:rPr>
        <w:t>155</w:t>
      </w:r>
      <w:r>
        <w:rPr>
          <w:spacing w:val="-11"/>
          <w:sz w:val="18"/>
          <w:vertAlign w:val="baseline"/>
        </w:rPr>
        <w:t> </w:t>
      </w:r>
      <w:r>
        <w:rPr>
          <w:sz w:val="18"/>
          <w:vertAlign w:val="baseline"/>
        </w:rPr>
        <w:t>Villa-Torres</w:t>
      </w:r>
      <w:r>
        <w:rPr>
          <w:spacing w:val="2"/>
          <w:sz w:val="18"/>
          <w:vertAlign w:val="baseline"/>
        </w:rPr>
        <w:t> </w:t>
      </w:r>
      <w:r>
        <w:rPr>
          <w:sz w:val="18"/>
          <w:vertAlign w:val="baseline"/>
        </w:rPr>
        <w:t>and</w:t>
      </w:r>
      <w:r>
        <w:rPr>
          <w:spacing w:val="2"/>
          <w:sz w:val="18"/>
          <w:vertAlign w:val="baseline"/>
        </w:rPr>
        <w:t> </w:t>
      </w:r>
      <w:r>
        <w:rPr>
          <w:spacing w:val="-2"/>
          <w:sz w:val="18"/>
          <w:vertAlign w:val="baseline"/>
        </w:rPr>
        <w:t>Svanemyr</w:t>
      </w:r>
    </w:p>
    <w:p>
      <w:pPr>
        <w:spacing w:before="49"/>
        <w:ind w:left="463" w:right="0" w:firstLine="0"/>
        <w:jc w:val="left"/>
        <w:rPr>
          <w:sz w:val="18"/>
        </w:rPr>
      </w:pPr>
      <w:r>
        <w:rPr>
          <w:sz w:val="18"/>
          <w:vertAlign w:val="superscript"/>
        </w:rPr>
        <w:t>156</w:t>
      </w:r>
      <w:r>
        <w:rPr>
          <w:spacing w:val="-12"/>
          <w:sz w:val="18"/>
          <w:vertAlign w:val="baseline"/>
        </w:rPr>
        <w:t> </w:t>
      </w:r>
      <w:r>
        <w:rPr>
          <w:sz w:val="18"/>
          <w:vertAlign w:val="baseline"/>
        </w:rPr>
        <w:t>“Start</w:t>
      </w:r>
      <w:r>
        <w:rPr>
          <w:spacing w:val="-4"/>
          <w:sz w:val="18"/>
          <w:vertAlign w:val="baseline"/>
        </w:rPr>
        <w:t> </w:t>
      </w:r>
      <w:r>
        <w:rPr>
          <w:sz w:val="18"/>
          <w:vertAlign w:val="baseline"/>
        </w:rPr>
        <w:t>Strong,”</w:t>
      </w:r>
      <w:r>
        <w:rPr>
          <w:spacing w:val="-1"/>
          <w:sz w:val="18"/>
          <w:vertAlign w:val="baseline"/>
        </w:rPr>
        <w:t> </w:t>
      </w:r>
      <w:r>
        <w:rPr>
          <w:sz w:val="18"/>
          <w:vertAlign w:val="baseline"/>
        </w:rPr>
        <w:t>Boston</w:t>
      </w:r>
      <w:r>
        <w:rPr>
          <w:spacing w:val="-1"/>
          <w:sz w:val="18"/>
          <w:vertAlign w:val="baseline"/>
        </w:rPr>
        <w:t> </w:t>
      </w:r>
      <w:r>
        <w:rPr>
          <w:sz w:val="18"/>
          <w:vertAlign w:val="baseline"/>
        </w:rPr>
        <w:t>Public</w:t>
      </w:r>
      <w:r>
        <w:rPr>
          <w:spacing w:val="-3"/>
          <w:sz w:val="18"/>
          <w:vertAlign w:val="baseline"/>
        </w:rPr>
        <w:t> </w:t>
      </w:r>
      <w:r>
        <w:rPr>
          <w:sz w:val="18"/>
          <w:vertAlign w:val="baseline"/>
        </w:rPr>
        <w:t>Health</w:t>
      </w:r>
      <w:r>
        <w:rPr>
          <w:spacing w:val="-1"/>
          <w:sz w:val="18"/>
          <w:vertAlign w:val="baseline"/>
        </w:rPr>
        <w:t> </w:t>
      </w:r>
      <w:r>
        <w:rPr>
          <w:sz w:val="18"/>
          <w:vertAlign w:val="baseline"/>
        </w:rPr>
        <w:t>Commission,</w:t>
      </w:r>
      <w:r>
        <w:rPr>
          <w:spacing w:val="-2"/>
          <w:sz w:val="18"/>
          <w:vertAlign w:val="baseline"/>
        </w:rPr>
        <w:t> </w:t>
      </w:r>
      <w:r>
        <w:rPr>
          <w:sz w:val="18"/>
          <w:vertAlign w:val="baseline"/>
        </w:rPr>
        <w:t>accessed</w:t>
      </w:r>
      <w:r>
        <w:rPr>
          <w:spacing w:val="-2"/>
          <w:sz w:val="18"/>
          <w:vertAlign w:val="baseline"/>
        </w:rPr>
        <w:t> </w:t>
      </w:r>
      <w:r>
        <w:rPr>
          <w:sz w:val="18"/>
          <w:vertAlign w:val="baseline"/>
        </w:rPr>
        <w:t>January</w:t>
      </w:r>
      <w:r>
        <w:rPr>
          <w:spacing w:val="-1"/>
          <w:sz w:val="18"/>
          <w:vertAlign w:val="baseline"/>
        </w:rPr>
        <w:t> </w:t>
      </w:r>
      <w:r>
        <w:rPr>
          <w:sz w:val="18"/>
          <w:vertAlign w:val="baseline"/>
        </w:rPr>
        <w:t>7,</w:t>
      </w:r>
      <w:r>
        <w:rPr>
          <w:spacing w:val="-2"/>
          <w:sz w:val="18"/>
          <w:vertAlign w:val="baseline"/>
        </w:rPr>
        <w:t> </w:t>
      </w:r>
      <w:r>
        <w:rPr>
          <w:sz w:val="18"/>
          <w:vertAlign w:val="baseline"/>
        </w:rPr>
        <w:t>2023,</w:t>
      </w:r>
      <w:r>
        <w:rPr>
          <w:spacing w:val="-3"/>
          <w:sz w:val="18"/>
          <w:vertAlign w:val="baseline"/>
        </w:rPr>
        <w:t> </w:t>
      </w:r>
      <w:r>
        <w:rPr>
          <w:spacing w:val="-2"/>
          <w:sz w:val="18"/>
          <w:vertAlign w:val="baseline"/>
        </w:rPr>
        <w:t>https://</w:t>
      </w:r>
      <w:hyperlink r:id="rId166">
        <w:r>
          <w:rPr>
            <w:spacing w:val="-2"/>
            <w:sz w:val="18"/>
            <w:vertAlign w:val="baseline"/>
          </w:rPr>
          <w:t>www.thehallsboston.com/.</w:t>
        </w:r>
      </w:hyperlink>
    </w:p>
    <w:p>
      <w:pPr>
        <w:spacing w:before="31"/>
        <w:ind w:left="463" w:right="0" w:firstLine="0"/>
        <w:jc w:val="left"/>
        <w:rPr>
          <w:sz w:val="18"/>
        </w:rPr>
      </w:pPr>
      <w:r>
        <w:rPr>
          <w:sz w:val="18"/>
          <w:vertAlign w:val="superscript"/>
        </w:rPr>
        <w:t>157</w:t>
      </w:r>
      <w:r>
        <w:rPr>
          <w:spacing w:val="-12"/>
          <w:sz w:val="18"/>
          <w:vertAlign w:val="baseline"/>
        </w:rPr>
        <w:t> </w:t>
      </w:r>
      <w:r>
        <w:rPr>
          <w:sz w:val="18"/>
          <w:vertAlign w:val="baseline"/>
        </w:rPr>
        <w:t>Advocates</w:t>
      </w:r>
      <w:r>
        <w:rPr>
          <w:spacing w:val="-2"/>
          <w:sz w:val="18"/>
          <w:vertAlign w:val="baseline"/>
        </w:rPr>
        <w:t> </w:t>
      </w:r>
      <w:r>
        <w:rPr>
          <w:sz w:val="18"/>
          <w:vertAlign w:val="baseline"/>
        </w:rPr>
        <w:t>for</w:t>
      </w:r>
      <w:r>
        <w:rPr>
          <w:spacing w:val="-1"/>
          <w:sz w:val="18"/>
          <w:vertAlign w:val="baseline"/>
        </w:rPr>
        <w:t> </w:t>
      </w:r>
      <w:r>
        <w:rPr>
          <w:sz w:val="18"/>
          <w:vertAlign w:val="baseline"/>
        </w:rPr>
        <w:t>Youth,</w:t>
      </w:r>
      <w:r>
        <w:rPr>
          <w:spacing w:val="-2"/>
          <w:sz w:val="18"/>
          <w:vertAlign w:val="baseline"/>
        </w:rPr>
        <w:t> </w:t>
      </w:r>
      <w:r>
        <w:rPr>
          <w:sz w:val="18"/>
          <w:vertAlign w:val="baseline"/>
        </w:rPr>
        <w:t>accessed</w:t>
      </w:r>
      <w:r>
        <w:rPr>
          <w:spacing w:val="-1"/>
          <w:sz w:val="18"/>
          <w:vertAlign w:val="baseline"/>
        </w:rPr>
        <w:t> </w:t>
      </w:r>
      <w:r>
        <w:rPr>
          <w:sz w:val="18"/>
          <w:vertAlign w:val="baseline"/>
        </w:rPr>
        <w:t>December</w:t>
      </w:r>
      <w:r>
        <w:rPr>
          <w:spacing w:val="-1"/>
          <w:sz w:val="18"/>
          <w:vertAlign w:val="baseline"/>
        </w:rPr>
        <w:t> </w:t>
      </w:r>
      <w:r>
        <w:rPr>
          <w:sz w:val="18"/>
          <w:vertAlign w:val="baseline"/>
        </w:rPr>
        <w:t>17,</w:t>
      </w:r>
      <w:r>
        <w:rPr>
          <w:spacing w:val="-2"/>
          <w:sz w:val="18"/>
          <w:vertAlign w:val="baseline"/>
        </w:rPr>
        <w:t> </w:t>
      </w:r>
      <w:r>
        <w:rPr>
          <w:sz w:val="18"/>
          <w:vertAlign w:val="baseline"/>
        </w:rPr>
        <w:t>2022,</w:t>
      </w:r>
      <w:r>
        <w:rPr>
          <w:spacing w:val="-2"/>
          <w:sz w:val="18"/>
          <w:vertAlign w:val="baseline"/>
        </w:rPr>
        <w:t> https://</w:t>
      </w:r>
      <w:hyperlink r:id="rId167">
        <w:r>
          <w:rPr>
            <w:spacing w:val="-2"/>
            <w:sz w:val="18"/>
            <w:vertAlign w:val="baseline"/>
          </w:rPr>
          <w:t>www.advocatesforyouth.org/.</w:t>
        </w:r>
      </w:hyperlink>
    </w:p>
    <w:p>
      <w:pPr>
        <w:spacing w:before="4"/>
        <w:ind w:left="463" w:right="0" w:firstLine="0"/>
        <w:jc w:val="left"/>
        <w:rPr>
          <w:sz w:val="18"/>
        </w:rPr>
      </w:pPr>
      <w:r>
        <w:rPr>
          <w:sz w:val="18"/>
          <w:vertAlign w:val="superscript"/>
        </w:rPr>
        <w:t>158</w:t>
      </w:r>
      <w:r>
        <w:rPr>
          <w:spacing w:val="-12"/>
          <w:sz w:val="18"/>
          <w:vertAlign w:val="baseline"/>
        </w:rPr>
        <w:t> </w:t>
      </w:r>
      <w:r>
        <w:rPr>
          <w:sz w:val="18"/>
          <w:vertAlign w:val="baseline"/>
        </w:rPr>
        <w:t>Winthrop</w:t>
      </w:r>
      <w:r>
        <w:rPr>
          <w:spacing w:val="-1"/>
          <w:sz w:val="18"/>
          <w:vertAlign w:val="baseline"/>
        </w:rPr>
        <w:t> </w:t>
      </w:r>
      <w:r>
        <w:rPr>
          <w:sz w:val="18"/>
          <w:vertAlign w:val="baseline"/>
        </w:rPr>
        <w:t>CASA,</w:t>
      </w:r>
      <w:r>
        <w:rPr>
          <w:spacing w:val="-1"/>
          <w:sz w:val="18"/>
          <w:vertAlign w:val="baseline"/>
        </w:rPr>
        <w:t> </w:t>
      </w:r>
      <w:r>
        <w:rPr>
          <w:sz w:val="18"/>
          <w:vertAlign w:val="baseline"/>
        </w:rPr>
        <w:t>accessed January 8,</w:t>
      </w:r>
      <w:r>
        <w:rPr>
          <w:spacing w:val="-1"/>
          <w:sz w:val="18"/>
          <w:vertAlign w:val="baseline"/>
        </w:rPr>
        <w:t> </w:t>
      </w:r>
      <w:r>
        <w:rPr>
          <w:sz w:val="18"/>
          <w:vertAlign w:val="baseline"/>
        </w:rPr>
        <w:t>2023,</w:t>
      </w:r>
      <w:r>
        <w:rPr>
          <w:spacing w:val="-1"/>
          <w:sz w:val="18"/>
          <w:vertAlign w:val="baseline"/>
        </w:rPr>
        <w:t> </w:t>
      </w:r>
      <w:r>
        <w:rPr>
          <w:spacing w:val="-2"/>
          <w:sz w:val="18"/>
          <w:vertAlign w:val="baseline"/>
        </w:rPr>
        <w:t>https</w:t>
      </w:r>
      <w:hyperlink r:id="rId168">
        <w:r>
          <w:rPr>
            <w:spacing w:val="-2"/>
            <w:sz w:val="18"/>
            <w:vertAlign w:val="baseline"/>
          </w:rPr>
          <w:t>://www.winthropcasa.org.</w:t>
        </w:r>
      </w:hyperlink>
    </w:p>
    <w:p>
      <w:pPr>
        <w:spacing w:line="271" w:lineRule="auto" w:before="20"/>
        <w:ind w:left="463" w:right="0" w:hanging="1"/>
        <w:jc w:val="left"/>
        <w:rPr>
          <w:sz w:val="18"/>
        </w:rPr>
      </w:pPr>
      <w:r>
        <w:rPr>
          <w:sz w:val="18"/>
          <w:vertAlign w:val="superscript"/>
        </w:rPr>
        <w:t>159</w:t>
      </w:r>
      <w:r>
        <w:rPr>
          <w:spacing w:val="-12"/>
          <w:sz w:val="18"/>
          <w:vertAlign w:val="baseline"/>
        </w:rPr>
        <w:t> </w:t>
      </w:r>
      <w:r>
        <w:rPr>
          <w:sz w:val="18"/>
          <w:vertAlign w:val="baseline"/>
        </w:rPr>
        <w:t>Jessica</w:t>
      </w:r>
      <w:r>
        <w:rPr>
          <w:spacing w:val="-2"/>
          <w:sz w:val="18"/>
          <w:vertAlign w:val="baseline"/>
        </w:rPr>
        <w:t> </w:t>
      </w:r>
      <w:r>
        <w:rPr>
          <w:sz w:val="18"/>
          <w:vertAlign w:val="baseline"/>
        </w:rPr>
        <w:t>N.</w:t>
      </w:r>
      <w:r>
        <w:rPr>
          <w:spacing w:val="-1"/>
          <w:sz w:val="18"/>
          <w:vertAlign w:val="baseline"/>
        </w:rPr>
        <w:t> </w:t>
      </w:r>
      <w:r>
        <w:rPr>
          <w:sz w:val="18"/>
          <w:vertAlign w:val="baseline"/>
        </w:rPr>
        <w:t>Fish</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“LGBTQ</w:t>
      </w:r>
      <w:r>
        <w:rPr>
          <w:spacing w:val="-2"/>
          <w:sz w:val="18"/>
          <w:vertAlign w:val="baseline"/>
        </w:rPr>
        <w:t> </w:t>
      </w:r>
      <w:r>
        <w:rPr>
          <w:sz w:val="18"/>
          <w:vertAlign w:val="baseline"/>
        </w:rPr>
        <w:t>Youth-Serving</w:t>
      </w:r>
      <w:r>
        <w:rPr>
          <w:spacing w:val="-1"/>
          <w:sz w:val="18"/>
          <w:vertAlign w:val="baseline"/>
        </w:rPr>
        <w:t> </w:t>
      </w:r>
      <w:r>
        <w:rPr>
          <w:sz w:val="18"/>
          <w:vertAlign w:val="baseline"/>
        </w:rPr>
        <w:t>Community-Based</w:t>
      </w:r>
      <w:r>
        <w:rPr>
          <w:spacing w:val="-1"/>
          <w:sz w:val="18"/>
          <w:vertAlign w:val="baseline"/>
        </w:rPr>
        <w:t> </w:t>
      </w:r>
      <w:r>
        <w:rPr>
          <w:sz w:val="18"/>
          <w:vertAlign w:val="baseline"/>
        </w:rPr>
        <w:t>Organizations:</w:t>
      </w:r>
      <w:r>
        <w:rPr>
          <w:spacing w:val="-1"/>
          <w:sz w:val="18"/>
          <w:vertAlign w:val="baseline"/>
        </w:rPr>
        <w:t> </w:t>
      </w:r>
      <w:r>
        <w:rPr>
          <w:sz w:val="18"/>
          <w:vertAlign w:val="baseline"/>
        </w:rPr>
        <w:t>Who</w:t>
      </w:r>
      <w:r>
        <w:rPr>
          <w:spacing w:val="-1"/>
          <w:sz w:val="18"/>
          <w:vertAlign w:val="baseline"/>
        </w:rPr>
        <w:t> </w:t>
      </w:r>
      <w:r>
        <w:rPr>
          <w:sz w:val="18"/>
          <w:vertAlign w:val="baseline"/>
        </w:rPr>
        <w:t>Participates</w:t>
      </w:r>
      <w:r>
        <w:rPr>
          <w:spacing w:val="-2"/>
          <w:sz w:val="18"/>
          <w:vertAlign w:val="baseline"/>
        </w:rPr>
        <w:t> </w:t>
      </w:r>
      <w:r>
        <w:rPr>
          <w:sz w:val="18"/>
          <w:vertAlign w:val="baseline"/>
        </w:rPr>
        <w:t>and</w:t>
      </w:r>
      <w:r>
        <w:rPr>
          <w:spacing w:val="-1"/>
          <w:sz w:val="18"/>
          <w:vertAlign w:val="baseline"/>
        </w:rPr>
        <w:t> </w:t>
      </w:r>
      <w:r>
        <w:rPr>
          <w:sz w:val="18"/>
          <w:vertAlign w:val="baseline"/>
        </w:rPr>
        <w:t>What</w:t>
      </w:r>
      <w:r>
        <w:rPr>
          <w:spacing w:val="-2"/>
          <w:sz w:val="18"/>
          <w:vertAlign w:val="baseline"/>
        </w:rPr>
        <w:t> </w:t>
      </w:r>
      <w:r>
        <w:rPr>
          <w:sz w:val="18"/>
          <w:vertAlign w:val="baseline"/>
        </w:rPr>
        <w:t>Difference</w:t>
      </w:r>
      <w:r>
        <w:rPr>
          <w:spacing w:val="-1"/>
          <w:sz w:val="18"/>
          <w:vertAlign w:val="baseline"/>
        </w:rPr>
        <w:t> </w:t>
      </w:r>
      <w:r>
        <w:rPr>
          <w:sz w:val="18"/>
          <w:vertAlign w:val="baseline"/>
        </w:rPr>
        <w:t>Does</w:t>
      </w:r>
      <w:r>
        <w:rPr>
          <w:spacing w:val="-1"/>
          <w:sz w:val="18"/>
          <w:vertAlign w:val="baseline"/>
        </w:rPr>
        <w:t> </w:t>
      </w:r>
      <w:r>
        <w:rPr>
          <w:sz w:val="18"/>
          <w:vertAlign w:val="baseline"/>
        </w:rPr>
        <w:t>It Make?,” </w:t>
      </w:r>
      <w:r>
        <w:rPr>
          <w:i/>
          <w:sz w:val="18"/>
          <w:vertAlign w:val="baseline"/>
        </w:rPr>
        <w:t>Journal of Youth and Adolescence </w:t>
      </w:r>
      <w:r>
        <w:rPr>
          <w:sz w:val="18"/>
          <w:vertAlign w:val="baseline"/>
        </w:rPr>
        <w:t>48, no. 12 (December 1, 2019): 2418–31, https://doi.org/10.1007/s10964-019-</w:t>
      </w:r>
    </w:p>
    <w:p>
      <w:pPr>
        <w:spacing w:line="214" w:lineRule="exact" w:before="0"/>
        <w:ind w:left="463" w:right="0" w:firstLine="0"/>
        <w:jc w:val="left"/>
        <w:rPr>
          <w:sz w:val="18"/>
        </w:rPr>
      </w:pPr>
      <w:r>
        <w:rPr>
          <w:spacing w:val="-2"/>
          <w:sz w:val="18"/>
        </w:rPr>
        <w:t>01129-</w:t>
      </w:r>
      <w:r>
        <w:rPr>
          <w:spacing w:val="-10"/>
          <w:sz w:val="18"/>
        </w:rPr>
        <w:t>5</w:t>
      </w:r>
    </w:p>
    <w:p>
      <w:pPr>
        <w:spacing w:after="0" w:line="214" w:lineRule="exact"/>
        <w:jc w:val="left"/>
        <w:rPr>
          <w:sz w:val="18"/>
        </w:rPr>
        <w:sectPr>
          <w:pgSz w:w="11910" w:h="16840"/>
          <w:pgMar w:header="804" w:footer="1277" w:top="1080" w:bottom="1480" w:left="980" w:right="900"/>
        </w:sectPr>
      </w:pPr>
    </w:p>
    <w:p>
      <w:pPr>
        <w:pStyle w:val="BodyText"/>
        <w:rPr>
          <w:sz w:val="34"/>
        </w:rPr>
      </w:pPr>
    </w:p>
    <w:p>
      <w:pPr>
        <w:pStyle w:val="BodyText"/>
        <w:spacing w:before="243"/>
        <w:rPr>
          <w:sz w:val="34"/>
        </w:rPr>
      </w:pPr>
    </w:p>
    <w:p>
      <w:pPr>
        <w:spacing w:line="359" w:lineRule="exact" w:before="1"/>
        <w:ind w:left="674" w:right="0" w:firstLine="0"/>
        <w:jc w:val="left"/>
        <w:rPr>
          <w:sz w:val="34"/>
        </w:rPr>
      </w:pPr>
      <w:bookmarkStart w:name="Flyer Template for Reports Gianna, Theo " w:id="232"/>
      <w:bookmarkEnd w:id="232"/>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1"/>
        <w:spacing w:line="187" w:lineRule="auto"/>
        <w:ind w:left="674" w:right="3584"/>
      </w:pPr>
      <w:r>
        <w:rPr>
          <w:color w:val="FFFFFF"/>
          <w:spacing w:val="-18"/>
        </w:rPr>
        <w:t>PUBLIC </w:t>
      </w:r>
      <w:r>
        <w:rPr>
          <w:color w:val="FFFFFF"/>
          <w:spacing w:val="-2"/>
          <w:w w:val="90"/>
        </w:rPr>
        <w:t>HEALTH</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5"/>
        <w:rPr>
          <w:rFonts w:ascii="Arial Black"/>
          <w:sz w:val="20"/>
        </w:rPr>
      </w:pPr>
    </w:p>
    <w:p>
      <w:pPr>
        <w:spacing w:after="0"/>
        <w:rPr>
          <w:rFonts w:ascii="Arial Black"/>
          <w:sz w:val="20"/>
        </w:rPr>
        <w:sectPr>
          <w:headerReference w:type="default" r:id="rId169"/>
          <w:footerReference w:type="default" r:id="rId170"/>
          <w:pgSz w:w="12240" w:h="15840"/>
          <w:pgMar w:header="0" w:footer="0" w:top="0" w:bottom="280" w:left="920" w:right="340"/>
        </w:sectPr>
      </w:pPr>
    </w:p>
    <w:p>
      <w:pPr>
        <w:pStyle w:val="Heading9"/>
        <w:rPr>
          <w:i/>
        </w:rPr>
      </w:pPr>
      <w:r>
        <w:rPr>
          <w:i/>
          <w:spacing w:val="11"/>
          <w:w w:val="125"/>
        </w:rPr>
        <w:t>ABOUT</w:t>
      </w:r>
    </w:p>
    <w:p>
      <w:pPr>
        <w:spacing w:line="268" w:lineRule="auto" w:before="133"/>
        <w:ind w:left="323" w:right="38" w:firstLine="0"/>
        <w:jc w:val="both"/>
        <w:rPr>
          <w:rFonts w:ascii="Georgia"/>
          <w:sz w:val="20"/>
        </w:rPr>
      </w:pPr>
      <w:r>
        <w:rPr/>
        <mc:AlternateContent>
          <mc:Choice Requires="wps">
            <w:drawing>
              <wp:anchor distT="0" distB="0" distL="0" distR="0" allowOverlap="1" layoutInCell="1" locked="0" behindDoc="1" simplePos="0" relativeHeight="482577920">
                <wp:simplePos x="0" y="0"/>
                <wp:positionH relativeFrom="page">
                  <wp:posOffset>655211</wp:posOffset>
                </wp:positionH>
                <wp:positionV relativeFrom="paragraph">
                  <wp:posOffset>2422222</wp:posOffset>
                </wp:positionV>
                <wp:extent cx="3473450" cy="230378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3473450" cy="2303780"/>
                          <a:chExt cx="3473450" cy="2303780"/>
                        </a:xfrm>
                      </wpg:grpSpPr>
                      <pic:pic>
                        <pic:nvPicPr>
                          <pic:cNvPr id="192" name="Image 192"/>
                          <pic:cNvPicPr/>
                        </pic:nvPicPr>
                        <pic:blipFill>
                          <a:blip r:embed="rId171" cstate="print"/>
                          <a:stretch>
                            <a:fillRect/>
                          </a:stretch>
                        </pic:blipFill>
                        <pic:spPr>
                          <a:xfrm>
                            <a:off x="0" y="0"/>
                            <a:ext cx="3473213" cy="2303478"/>
                          </a:xfrm>
                          <a:prstGeom prst="rect">
                            <a:avLst/>
                          </a:prstGeom>
                        </pic:spPr>
                      </pic:pic>
                      <wps:wsp>
                        <wps:cNvPr id="193" name="Textbox 193"/>
                        <wps:cNvSpPr txBox="1"/>
                        <wps:spPr>
                          <a:xfrm>
                            <a:off x="121800" y="66265"/>
                            <a:ext cx="3326765" cy="1373505"/>
                          </a:xfrm>
                          <a:prstGeom prst="rect">
                            <a:avLst/>
                          </a:prstGeom>
                        </wps:spPr>
                        <wps:txbx>
                          <w:txbxContent>
                            <w:p>
                              <w:pPr>
                                <w:spacing w:before="26"/>
                                <w:ind w:left="20" w:right="0" w:firstLine="0"/>
                                <w:jc w:val="left"/>
                                <w:rPr>
                                  <w:b/>
                                  <w:i/>
                                  <w:sz w:val="34"/>
                                </w:rPr>
                              </w:pPr>
                              <w:r>
                                <w:rPr>
                                  <w:b/>
                                  <w:i/>
                                  <w:spacing w:val="13"/>
                                  <w:w w:val="125"/>
                                  <w:sz w:val="34"/>
                                </w:rPr>
                                <w:t>RECOMMENDATIONS</w:t>
                              </w:r>
                            </w:p>
                            <w:p>
                              <w:pPr>
                                <w:spacing w:line="261" w:lineRule="auto" w:before="119"/>
                                <w:ind w:left="772" w:right="0" w:firstLine="0"/>
                                <w:jc w:val="left"/>
                                <w:rPr>
                                  <w:rFonts w:ascii="Georgia"/>
                                  <w:sz w:val="19"/>
                                </w:rPr>
                              </w:pPr>
                              <w:r>
                                <w:rPr>
                                  <w:rFonts w:ascii="Georgia"/>
                                  <w:sz w:val="19"/>
                                </w:rPr>
                                <w:t>Create and expand community-based public health </w:t>
                              </w:r>
                              <w:r>
                                <w:rPr>
                                  <w:rFonts w:ascii="Georgia"/>
                                  <w:w w:val="105"/>
                                  <w:sz w:val="19"/>
                                </w:rPr>
                                <w:t>programming that is accessible and engaging to youth with the most barriers to access.</w:t>
                              </w:r>
                            </w:p>
                            <w:p>
                              <w:pPr>
                                <w:spacing w:line="240" w:lineRule="auto" w:before="205"/>
                                <w:rPr>
                                  <w:rFonts w:ascii="Georgia"/>
                                  <w:sz w:val="19"/>
                                </w:rPr>
                              </w:pPr>
                            </w:p>
                            <w:p>
                              <w:pPr>
                                <w:spacing w:line="261" w:lineRule="auto" w:before="0"/>
                                <w:ind w:left="772" w:right="0" w:firstLine="0"/>
                                <w:jc w:val="left"/>
                                <w:rPr>
                                  <w:rFonts w:ascii="Georgia"/>
                                  <w:sz w:val="19"/>
                                </w:rPr>
                              </w:pPr>
                              <w:r>
                                <w:rPr>
                                  <w:rFonts w:ascii="Georgia"/>
                                  <w:spacing w:val="-2"/>
                                  <w:w w:val="105"/>
                                  <w:sz w:val="19"/>
                                </w:rPr>
                                <w:t>Increase</w:t>
                              </w:r>
                              <w:r>
                                <w:rPr>
                                  <w:rFonts w:ascii="Georgia"/>
                                  <w:spacing w:val="-9"/>
                                  <w:w w:val="105"/>
                                  <w:sz w:val="19"/>
                                </w:rPr>
                                <w:t> </w:t>
                              </w:r>
                              <w:r>
                                <w:rPr>
                                  <w:rFonts w:ascii="Georgia"/>
                                  <w:spacing w:val="-2"/>
                                  <w:w w:val="105"/>
                                  <w:sz w:val="19"/>
                                </w:rPr>
                                <w:t>funding</w:t>
                              </w:r>
                              <w:r>
                                <w:rPr>
                                  <w:rFonts w:ascii="Georgia"/>
                                  <w:spacing w:val="-9"/>
                                  <w:w w:val="105"/>
                                  <w:sz w:val="19"/>
                                </w:rPr>
                                <w:t> </w:t>
                              </w:r>
                              <w:r>
                                <w:rPr>
                                  <w:rFonts w:ascii="Georgia"/>
                                  <w:spacing w:val="-2"/>
                                  <w:w w:val="105"/>
                                  <w:sz w:val="19"/>
                                </w:rPr>
                                <w:t>to</w:t>
                              </w:r>
                              <w:r>
                                <w:rPr>
                                  <w:rFonts w:ascii="Georgia"/>
                                  <w:spacing w:val="-9"/>
                                  <w:w w:val="105"/>
                                  <w:sz w:val="19"/>
                                </w:rPr>
                                <w:t> </w:t>
                              </w:r>
                              <w:r>
                                <w:rPr>
                                  <w:rFonts w:ascii="Georgia"/>
                                  <w:spacing w:val="-2"/>
                                  <w:w w:val="105"/>
                                  <w:sz w:val="19"/>
                                </w:rPr>
                                <w:t>organizations</w:t>
                              </w:r>
                              <w:r>
                                <w:rPr>
                                  <w:rFonts w:ascii="Georgia"/>
                                  <w:spacing w:val="-9"/>
                                  <w:w w:val="105"/>
                                  <w:sz w:val="19"/>
                                </w:rPr>
                                <w:t> </w:t>
                              </w:r>
                              <w:r>
                                <w:rPr>
                                  <w:rFonts w:ascii="Georgia"/>
                                  <w:spacing w:val="-2"/>
                                  <w:w w:val="105"/>
                                  <w:sz w:val="19"/>
                                </w:rPr>
                                <w:t>that</w:t>
                              </w:r>
                              <w:r>
                                <w:rPr>
                                  <w:rFonts w:ascii="Georgia"/>
                                  <w:spacing w:val="-9"/>
                                  <w:w w:val="105"/>
                                  <w:sz w:val="19"/>
                                </w:rPr>
                                <w:t> </w:t>
                              </w:r>
                              <w:r>
                                <w:rPr>
                                  <w:rFonts w:ascii="Georgia"/>
                                  <w:spacing w:val="-2"/>
                                  <w:w w:val="105"/>
                                  <w:sz w:val="19"/>
                                </w:rPr>
                                <w:t>support </w:t>
                              </w:r>
                              <w:r>
                                <w:rPr>
                                  <w:rFonts w:ascii="Georgia"/>
                                  <w:sz w:val="19"/>
                                </w:rPr>
                                <w:t>LGBTQ</w:t>
                              </w:r>
                              <w:r>
                                <w:rPr>
                                  <w:rFonts w:ascii="Georgia"/>
                                  <w:spacing w:val="4"/>
                                  <w:sz w:val="19"/>
                                </w:rPr>
                                <w:t> </w:t>
                              </w:r>
                              <w:r>
                                <w:rPr>
                                  <w:rFonts w:ascii="Georgia"/>
                                  <w:sz w:val="19"/>
                                </w:rPr>
                                <w:t>survivors</w:t>
                              </w:r>
                              <w:r>
                                <w:rPr>
                                  <w:rFonts w:ascii="Georgia"/>
                                  <w:spacing w:val="4"/>
                                  <w:sz w:val="19"/>
                                </w:rPr>
                                <w:t> </w:t>
                              </w:r>
                              <w:r>
                                <w:rPr>
                                  <w:rFonts w:ascii="Georgia"/>
                                  <w:sz w:val="19"/>
                                </w:rPr>
                                <w:t>of</w:t>
                              </w:r>
                              <w:r>
                                <w:rPr>
                                  <w:rFonts w:ascii="Georgia"/>
                                  <w:spacing w:val="4"/>
                                  <w:sz w:val="19"/>
                                </w:rPr>
                                <w:t> </w:t>
                              </w:r>
                              <w:r>
                                <w:rPr>
                                  <w:rFonts w:ascii="Georgia"/>
                                  <w:sz w:val="19"/>
                                </w:rPr>
                                <w:t>intimate</w:t>
                              </w:r>
                              <w:r>
                                <w:rPr>
                                  <w:rFonts w:ascii="Georgia"/>
                                  <w:spacing w:val="4"/>
                                  <w:sz w:val="19"/>
                                </w:rPr>
                                <w:t> </w:t>
                              </w:r>
                              <w:r>
                                <w:rPr>
                                  <w:rFonts w:ascii="Georgia"/>
                                  <w:sz w:val="19"/>
                                </w:rPr>
                                <w:t>partner</w:t>
                              </w:r>
                              <w:r>
                                <w:rPr>
                                  <w:rFonts w:ascii="Georgia"/>
                                  <w:spacing w:val="4"/>
                                  <w:sz w:val="19"/>
                                </w:rPr>
                                <w:t> </w:t>
                              </w:r>
                              <w:r>
                                <w:rPr>
                                  <w:rFonts w:ascii="Georgia"/>
                                  <w:spacing w:val="-2"/>
                                  <w:sz w:val="19"/>
                                </w:rPr>
                                <w:t>violence.</w:t>
                              </w:r>
                            </w:p>
                          </w:txbxContent>
                        </wps:txbx>
                        <wps:bodyPr wrap="square" lIns="0" tIns="0" rIns="0" bIns="0" rtlCol="0">
                          <a:noAutofit/>
                        </wps:bodyPr>
                      </wps:wsp>
                      <wps:wsp>
                        <wps:cNvPr id="194" name="Textbox 194"/>
                        <wps:cNvSpPr txBox="1"/>
                        <wps:spPr>
                          <a:xfrm>
                            <a:off x="599797" y="1718065"/>
                            <a:ext cx="2712720" cy="469265"/>
                          </a:xfrm>
                          <a:prstGeom prst="rect">
                            <a:avLst/>
                          </a:prstGeom>
                        </wps:spPr>
                        <wps:txbx>
                          <w:txbxContent>
                            <w:p>
                              <w:pPr>
                                <w:spacing w:line="266" w:lineRule="auto" w:before="19"/>
                                <w:ind w:left="20" w:right="38" w:firstLine="0"/>
                                <w:jc w:val="left"/>
                                <w:rPr>
                                  <w:rFonts w:ascii="Georgia"/>
                                  <w:sz w:val="19"/>
                                </w:rPr>
                              </w:pPr>
                              <w:r>
                                <w:rPr>
                                  <w:rFonts w:ascii="Georgia"/>
                                  <w:sz w:val="19"/>
                                </w:rPr>
                                <w:t>Ensure that public schools, colleges, and universities have comprehensive anti-bullying, anti-cyberbullying, and anti-harassment policies.</w:t>
                              </w:r>
                            </w:p>
                          </w:txbxContent>
                        </wps:txbx>
                        <wps:bodyPr wrap="square" lIns="0" tIns="0" rIns="0" bIns="0" rtlCol="0">
                          <a:noAutofit/>
                        </wps:bodyPr>
                      </wps:wsp>
                    </wpg:wgp>
                  </a:graphicData>
                </a:graphic>
              </wp:anchor>
            </w:drawing>
          </mc:Choice>
          <mc:Fallback>
            <w:pict>
              <v:group style="position:absolute;margin-left:51.591461pt;margin-top:190.726212pt;width:273.5pt;height:181.4pt;mso-position-horizontal-relative:page;mso-position-vertical-relative:paragraph;z-index:-20738560" id="docshapegroup160" coordorigin="1032,3815" coordsize="5470,3628">
                <v:shape style="position:absolute;left:1031;top:3814;width:5470;height:3628" type="#_x0000_t75" id="docshape161" stroked="false">
                  <v:imagedata r:id="rId171" o:title=""/>
                </v:shape>
                <v:shape style="position:absolute;left:1223;top:3918;width:5239;height:2163" type="#_x0000_t202" id="docshape162" filled="false" stroked="false">
                  <v:textbox inset="0,0,0,0">
                    <w:txbxContent>
                      <w:p>
                        <w:pPr>
                          <w:spacing w:before="26"/>
                          <w:ind w:left="20" w:right="0" w:firstLine="0"/>
                          <w:jc w:val="left"/>
                          <w:rPr>
                            <w:b/>
                            <w:i/>
                            <w:sz w:val="34"/>
                          </w:rPr>
                        </w:pPr>
                        <w:r>
                          <w:rPr>
                            <w:b/>
                            <w:i/>
                            <w:spacing w:val="13"/>
                            <w:w w:val="125"/>
                            <w:sz w:val="34"/>
                          </w:rPr>
                          <w:t>RECOMMENDATIONS</w:t>
                        </w:r>
                      </w:p>
                      <w:p>
                        <w:pPr>
                          <w:spacing w:line="261" w:lineRule="auto" w:before="119"/>
                          <w:ind w:left="772" w:right="0" w:firstLine="0"/>
                          <w:jc w:val="left"/>
                          <w:rPr>
                            <w:rFonts w:ascii="Georgia"/>
                            <w:sz w:val="19"/>
                          </w:rPr>
                        </w:pPr>
                        <w:r>
                          <w:rPr>
                            <w:rFonts w:ascii="Georgia"/>
                            <w:sz w:val="19"/>
                          </w:rPr>
                          <w:t>Create and expand community-based public health </w:t>
                        </w:r>
                        <w:r>
                          <w:rPr>
                            <w:rFonts w:ascii="Georgia"/>
                            <w:w w:val="105"/>
                            <w:sz w:val="19"/>
                          </w:rPr>
                          <w:t>programming that is accessible and engaging to youth with the most barriers to access.</w:t>
                        </w:r>
                      </w:p>
                      <w:p>
                        <w:pPr>
                          <w:spacing w:line="240" w:lineRule="auto" w:before="205"/>
                          <w:rPr>
                            <w:rFonts w:ascii="Georgia"/>
                            <w:sz w:val="19"/>
                          </w:rPr>
                        </w:pPr>
                      </w:p>
                      <w:p>
                        <w:pPr>
                          <w:spacing w:line="261" w:lineRule="auto" w:before="0"/>
                          <w:ind w:left="772" w:right="0" w:firstLine="0"/>
                          <w:jc w:val="left"/>
                          <w:rPr>
                            <w:rFonts w:ascii="Georgia"/>
                            <w:sz w:val="19"/>
                          </w:rPr>
                        </w:pPr>
                        <w:r>
                          <w:rPr>
                            <w:rFonts w:ascii="Georgia"/>
                            <w:spacing w:val="-2"/>
                            <w:w w:val="105"/>
                            <w:sz w:val="19"/>
                          </w:rPr>
                          <w:t>Increase</w:t>
                        </w:r>
                        <w:r>
                          <w:rPr>
                            <w:rFonts w:ascii="Georgia"/>
                            <w:spacing w:val="-9"/>
                            <w:w w:val="105"/>
                            <w:sz w:val="19"/>
                          </w:rPr>
                          <w:t> </w:t>
                        </w:r>
                        <w:r>
                          <w:rPr>
                            <w:rFonts w:ascii="Georgia"/>
                            <w:spacing w:val="-2"/>
                            <w:w w:val="105"/>
                            <w:sz w:val="19"/>
                          </w:rPr>
                          <w:t>funding</w:t>
                        </w:r>
                        <w:r>
                          <w:rPr>
                            <w:rFonts w:ascii="Georgia"/>
                            <w:spacing w:val="-9"/>
                            <w:w w:val="105"/>
                            <w:sz w:val="19"/>
                          </w:rPr>
                          <w:t> </w:t>
                        </w:r>
                        <w:r>
                          <w:rPr>
                            <w:rFonts w:ascii="Georgia"/>
                            <w:spacing w:val="-2"/>
                            <w:w w:val="105"/>
                            <w:sz w:val="19"/>
                          </w:rPr>
                          <w:t>to</w:t>
                        </w:r>
                        <w:r>
                          <w:rPr>
                            <w:rFonts w:ascii="Georgia"/>
                            <w:spacing w:val="-9"/>
                            <w:w w:val="105"/>
                            <w:sz w:val="19"/>
                          </w:rPr>
                          <w:t> </w:t>
                        </w:r>
                        <w:r>
                          <w:rPr>
                            <w:rFonts w:ascii="Georgia"/>
                            <w:spacing w:val="-2"/>
                            <w:w w:val="105"/>
                            <w:sz w:val="19"/>
                          </w:rPr>
                          <w:t>organizations</w:t>
                        </w:r>
                        <w:r>
                          <w:rPr>
                            <w:rFonts w:ascii="Georgia"/>
                            <w:spacing w:val="-9"/>
                            <w:w w:val="105"/>
                            <w:sz w:val="19"/>
                          </w:rPr>
                          <w:t> </w:t>
                        </w:r>
                        <w:r>
                          <w:rPr>
                            <w:rFonts w:ascii="Georgia"/>
                            <w:spacing w:val="-2"/>
                            <w:w w:val="105"/>
                            <w:sz w:val="19"/>
                          </w:rPr>
                          <w:t>that</w:t>
                        </w:r>
                        <w:r>
                          <w:rPr>
                            <w:rFonts w:ascii="Georgia"/>
                            <w:spacing w:val="-9"/>
                            <w:w w:val="105"/>
                            <w:sz w:val="19"/>
                          </w:rPr>
                          <w:t> </w:t>
                        </w:r>
                        <w:r>
                          <w:rPr>
                            <w:rFonts w:ascii="Georgia"/>
                            <w:spacing w:val="-2"/>
                            <w:w w:val="105"/>
                            <w:sz w:val="19"/>
                          </w:rPr>
                          <w:t>support </w:t>
                        </w:r>
                        <w:r>
                          <w:rPr>
                            <w:rFonts w:ascii="Georgia"/>
                            <w:sz w:val="19"/>
                          </w:rPr>
                          <w:t>LGBTQ</w:t>
                        </w:r>
                        <w:r>
                          <w:rPr>
                            <w:rFonts w:ascii="Georgia"/>
                            <w:spacing w:val="4"/>
                            <w:sz w:val="19"/>
                          </w:rPr>
                          <w:t> </w:t>
                        </w:r>
                        <w:r>
                          <w:rPr>
                            <w:rFonts w:ascii="Georgia"/>
                            <w:sz w:val="19"/>
                          </w:rPr>
                          <w:t>survivors</w:t>
                        </w:r>
                        <w:r>
                          <w:rPr>
                            <w:rFonts w:ascii="Georgia"/>
                            <w:spacing w:val="4"/>
                            <w:sz w:val="19"/>
                          </w:rPr>
                          <w:t> </w:t>
                        </w:r>
                        <w:r>
                          <w:rPr>
                            <w:rFonts w:ascii="Georgia"/>
                            <w:sz w:val="19"/>
                          </w:rPr>
                          <w:t>of</w:t>
                        </w:r>
                        <w:r>
                          <w:rPr>
                            <w:rFonts w:ascii="Georgia"/>
                            <w:spacing w:val="4"/>
                            <w:sz w:val="19"/>
                          </w:rPr>
                          <w:t> </w:t>
                        </w:r>
                        <w:r>
                          <w:rPr>
                            <w:rFonts w:ascii="Georgia"/>
                            <w:sz w:val="19"/>
                          </w:rPr>
                          <w:t>intimate</w:t>
                        </w:r>
                        <w:r>
                          <w:rPr>
                            <w:rFonts w:ascii="Georgia"/>
                            <w:spacing w:val="4"/>
                            <w:sz w:val="19"/>
                          </w:rPr>
                          <w:t> </w:t>
                        </w:r>
                        <w:r>
                          <w:rPr>
                            <w:rFonts w:ascii="Georgia"/>
                            <w:sz w:val="19"/>
                          </w:rPr>
                          <w:t>partner</w:t>
                        </w:r>
                        <w:r>
                          <w:rPr>
                            <w:rFonts w:ascii="Georgia"/>
                            <w:spacing w:val="4"/>
                            <w:sz w:val="19"/>
                          </w:rPr>
                          <w:t> </w:t>
                        </w:r>
                        <w:r>
                          <w:rPr>
                            <w:rFonts w:ascii="Georgia"/>
                            <w:spacing w:val="-2"/>
                            <w:sz w:val="19"/>
                          </w:rPr>
                          <w:t>violence.</w:t>
                        </w:r>
                      </w:p>
                    </w:txbxContent>
                  </v:textbox>
                  <w10:wrap type="none"/>
                </v:shape>
                <v:shape style="position:absolute;left:1976;top:6520;width:4272;height:739" type="#_x0000_t202" id="docshape163" filled="false" stroked="false">
                  <v:textbox inset="0,0,0,0">
                    <w:txbxContent>
                      <w:p>
                        <w:pPr>
                          <w:spacing w:line="266" w:lineRule="auto" w:before="19"/>
                          <w:ind w:left="20" w:right="38" w:firstLine="0"/>
                          <w:jc w:val="left"/>
                          <w:rPr>
                            <w:rFonts w:ascii="Georgia"/>
                            <w:sz w:val="19"/>
                          </w:rPr>
                        </w:pPr>
                        <w:r>
                          <w:rPr>
                            <w:rFonts w:ascii="Georgia"/>
                            <w:sz w:val="19"/>
                          </w:rPr>
                          <w:t>Ensure that public schools, colleges, and universities have comprehensive anti-bullying, anti-cyberbullying, and anti-harassment policies.</w:t>
                        </w:r>
                      </w:p>
                    </w:txbxContent>
                  </v:textbox>
                  <w10:wrap type="none"/>
                </v:shape>
                <w10:wrap type="none"/>
              </v:group>
            </w:pict>
          </mc:Fallback>
        </mc:AlternateContent>
      </w:r>
      <w:r>
        <w:rPr>
          <w:rFonts w:ascii="Georgia"/>
          <w:w w:val="105"/>
          <w:sz w:val="20"/>
        </w:rPr>
        <w:t>The</w:t>
      </w:r>
      <w:r>
        <w:rPr>
          <w:rFonts w:ascii="Georgia"/>
          <w:spacing w:val="-13"/>
          <w:w w:val="105"/>
          <w:sz w:val="20"/>
        </w:rPr>
        <w:t> </w:t>
      </w:r>
      <w:r>
        <w:rPr>
          <w:rFonts w:ascii="Georgia"/>
          <w:w w:val="105"/>
          <w:sz w:val="20"/>
        </w:rPr>
        <w:t>public</w:t>
      </w:r>
      <w:r>
        <w:rPr>
          <w:rFonts w:ascii="Georgia"/>
          <w:spacing w:val="-13"/>
          <w:w w:val="105"/>
          <w:sz w:val="20"/>
        </w:rPr>
        <w:t> </w:t>
      </w:r>
      <w:r>
        <w:rPr>
          <w:rFonts w:ascii="Georgia"/>
          <w:w w:val="105"/>
          <w:sz w:val="20"/>
        </w:rPr>
        <w:t>health</w:t>
      </w:r>
      <w:r>
        <w:rPr>
          <w:rFonts w:ascii="Georgia"/>
          <w:spacing w:val="-12"/>
          <w:w w:val="105"/>
          <w:sz w:val="20"/>
        </w:rPr>
        <w:t> </w:t>
      </w:r>
      <w:r>
        <w:rPr>
          <w:rFonts w:ascii="Georgia"/>
          <w:w w:val="105"/>
          <w:sz w:val="20"/>
        </w:rPr>
        <w:t>crises</w:t>
      </w:r>
      <w:r>
        <w:rPr>
          <w:rFonts w:ascii="Georgia"/>
          <w:spacing w:val="-13"/>
          <w:w w:val="105"/>
          <w:sz w:val="20"/>
        </w:rPr>
        <w:t> </w:t>
      </w:r>
      <w:r>
        <w:rPr>
          <w:rFonts w:ascii="Georgia"/>
          <w:w w:val="105"/>
          <w:sz w:val="20"/>
        </w:rPr>
        <w:t>facing</w:t>
      </w:r>
      <w:r>
        <w:rPr>
          <w:rFonts w:ascii="Georgia"/>
          <w:spacing w:val="-13"/>
          <w:w w:val="105"/>
          <w:sz w:val="20"/>
        </w:rPr>
        <w:t> </w:t>
      </w:r>
      <w:r>
        <w:rPr>
          <w:rFonts w:ascii="Georgia"/>
          <w:w w:val="105"/>
          <w:sz w:val="20"/>
        </w:rPr>
        <w:t>LGBTQ</w:t>
      </w:r>
      <w:r>
        <w:rPr>
          <w:rFonts w:ascii="Georgia"/>
          <w:spacing w:val="-12"/>
          <w:w w:val="105"/>
          <w:sz w:val="20"/>
        </w:rPr>
        <w:t> </w:t>
      </w:r>
      <w:r>
        <w:rPr>
          <w:rFonts w:ascii="Georgia"/>
          <w:w w:val="105"/>
          <w:sz w:val="20"/>
        </w:rPr>
        <w:t>youth</w:t>
      </w:r>
      <w:r>
        <w:rPr>
          <w:rFonts w:ascii="Georgia"/>
          <w:spacing w:val="-13"/>
          <w:w w:val="105"/>
          <w:sz w:val="20"/>
        </w:rPr>
        <w:t> </w:t>
      </w:r>
      <w:r>
        <w:rPr>
          <w:rFonts w:ascii="Georgia"/>
          <w:w w:val="105"/>
          <w:sz w:val="20"/>
        </w:rPr>
        <w:t>are</w:t>
      </w:r>
      <w:r>
        <w:rPr>
          <w:rFonts w:ascii="Georgia"/>
          <w:spacing w:val="-13"/>
          <w:w w:val="105"/>
          <w:sz w:val="20"/>
        </w:rPr>
        <w:t> </w:t>
      </w:r>
      <w:r>
        <w:rPr>
          <w:rFonts w:ascii="Georgia"/>
          <w:w w:val="105"/>
          <w:sz w:val="20"/>
        </w:rPr>
        <w:t>largely not</w:t>
      </w:r>
      <w:r>
        <w:rPr>
          <w:rFonts w:ascii="Georgia"/>
          <w:w w:val="105"/>
          <w:sz w:val="20"/>
        </w:rPr>
        <w:t> because</w:t>
      </w:r>
      <w:r>
        <w:rPr>
          <w:rFonts w:ascii="Georgia"/>
          <w:w w:val="105"/>
          <w:sz w:val="20"/>
        </w:rPr>
        <w:t> of</w:t>
      </w:r>
      <w:r>
        <w:rPr>
          <w:rFonts w:ascii="Georgia"/>
          <w:w w:val="105"/>
          <w:sz w:val="20"/>
        </w:rPr>
        <w:t> individual</w:t>
      </w:r>
      <w:r>
        <w:rPr>
          <w:rFonts w:ascii="Georgia"/>
          <w:w w:val="105"/>
          <w:sz w:val="20"/>
        </w:rPr>
        <w:t> risk</w:t>
      </w:r>
      <w:r>
        <w:rPr>
          <w:rFonts w:ascii="Georgia"/>
          <w:w w:val="105"/>
          <w:sz w:val="20"/>
        </w:rPr>
        <w:t> factors,</w:t>
      </w:r>
      <w:r>
        <w:rPr>
          <w:rFonts w:ascii="Georgia"/>
          <w:w w:val="105"/>
          <w:sz w:val="20"/>
        </w:rPr>
        <w:t> but</w:t>
      </w:r>
      <w:r>
        <w:rPr>
          <w:rFonts w:ascii="Georgia"/>
          <w:w w:val="105"/>
          <w:sz w:val="20"/>
        </w:rPr>
        <w:t> rather systemic issues that affect how LGBTQ youth navigate the</w:t>
      </w:r>
      <w:r>
        <w:rPr>
          <w:rFonts w:ascii="Georgia"/>
          <w:spacing w:val="-13"/>
          <w:w w:val="105"/>
          <w:sz w:val="20"/>
        </w:rPr>
        <w:t> </w:t>
      </w:r>
      <w:r>
        <w:rPr>
          <w:rFonts w:ascii="Georgia"/>
          <w:w w:val="105"/>
          <w:sz w:val="20"/>
        </w:rPr>
        <w:t>spaces</w:t>
      </w:r>
      <w:r>
        <w:rPr>
          <w:rFonts w:ascii="Georgia"/>
          <w:spacing w:val="-13"/>
          <w:w w:val="105"/>
          <w:sz w:val="20"/>
        </w:rPr>
        <w:t> </w:t>
      </w:r>
      <w:r>
        <w:rPr>
          <w:rFonts w:ascii="Georgia"/>
          <w:w w:val="105"/>
          <w:sz w:val="20"/>
        </w:rPr>
        <w:t>in</w:t>
      </w:r>
      <w:r>
        <w:rPr>
          <w:rFonts w:ascii="Georgia"/>
          <w:spacing w:val="-12"/>
          <w:w w:val="105"/>
          <w:sz w:val="20"/>
        </w:rPr>
        <w:t> </w:t>
      </w:r>
      <w:r>
        <w:rPr>
          <w:rFonts w:ascii="Georgia"/>
          <w:w w:val="105"/>
          <w:sz w:val="20"/>
        </w:rPr>
        <w:t>which</w:t>
      </w:r>
      <w:r>
        <w:rPr>
          <w:rFonts w:ascii="Georgia"/>
          <w:spacing w:val="-13"/>
          <w:w w:val="105"/>
          <w:sz w:val="20"/>
        </w:rPr>
        <w:t> </w:t>
      </w:r>
      <w:r>
        <w:rPr>
          <w:rFonts w:ascii="Georgia"/>
          <w:w w:val="105"/>
          <w:sz w:val="20"/>
        </w:rPr>
        <w:t>they</w:t>
      </w:r>
      <w:r>
        <w:rPr>
          <w:rFonts w:ascii="Georgia"/>
          <w:spacing w:val="-13"/>
          <w:w w:val="105"/>
          <w:sz w:val="20"/>
        </w:rPr>
        <w:t> </w:t>
      </w:r>
      <w:r>
        <w:rPr>
          <w:rFonts w:ascii="Georgia"/>
          <w:w w:val="105"/>
          <w:sz w:val="20"/>
        </w:rPr>
        <w:t>exist.</w:t>
      </w:r>
      <w:r>
        <w:rPr>
          <w:rFonts w:ascii="Georgia"/>
          <w:spacing w:val="-12"/>
          <w:w w:val="105"/>
          <w:sz w:val="20"/>
        </w:rPr>
        <w:t> </w:t>
      </w:r>
      <w:r>
        <w:rPr>
          <w:rFonts w:ascii="Georgia"/>
          <w:w w:val="105"/>
          <w:sz w:val="20"/>
        </w:rPr>
        <w:t>Despite</w:t>
      </w:r>
      <w:r>
        <w:rPr>
          <w:rFonts w:ascii="Georgia"/>
          <w:spacing w:val="-13"/>
          <w:w w:val="105"/>
          <w:sz w:val="20"/>
        </w:rPr>
        <w:t> </w:t>
      </w:r>
      <w:r>
        <w:rPr>
          <w:rFonts w:ascii="Georgia"/>
          <w:w w:val="105"/>
          <w:sz w:val="20"/>
        </w:rPr>
        <w:t>hostility,</w:t>
      </w:r>
      <w:r>
        <w:rPr>
          <w:rFonts w:ascii="Georgia"/>
          <w:spacing w:val="-13"/>
          <w:w w:val="105"/>
          <w:sz w:val="20"/>
        </w:rPr>
        <w:t> </w:t>
      </w:r>
      <w:r>
        <w:rPr>
          <w:rFonts w:ascii="Georgia"/>
          <w:w w:val="105"/>
          <w:sz w:val="20"/>
        </w:rPr>
        <w:t>LGBTQ youth</w:t>
      </w:r>
      <w:r>
        <w:rPr>
          <w:rFonts w:ascii="Georgia"/>
          <w:w w:val="105"/>
          <w:sz w:val="20"/>
        </w:rPr>
        <w:t> continue</w:t>
      </w:r>
      <w:r>
        <w:rPr>
          <w:rFonts w:ascii="Georgia"/>
          <w:w w:val="105"/>
          <w:sz w:val="20"/>
        </w:rPr>
        <w:t> to</w:t>
      </w:r>
      <w:r>
        <w:rPr>
          <w:rFonts w:ascii="Georgia"/>
          <w:w w:val="105"/>
          <w:sz w:val="20"/>
        </w:rPr>
        <w:t> resist,</w:t>
      </w:r>
      <w:r>
        <w:rPr>
          <w:rFonts w:ascii="Georgia"/>
          <w:w w:val="105"/>
          <w:sz w:val="20"/>
        </w:rPr>
        <w:t> challenge,</w:t>
      </w:r>
      <w:r>
        <w:rPr>
          <w:rFonts w:ascii="Georgia"/>
          <w:w w:val="105"/>
          <w:sz w:val="20"/>
        </w:rPr>
        <w:t> and</w:t>
      </w:r>
      <w:r>
        <w:rPr>
          <w:rFonts w:ascii="Georgia"/>
          <w:w w:val="105"/>
          <w:sz w:val="20"/>
        </w:rPr>
        <w:t> change</w:t>
      </w:r>
      <w:r>
        <w:rPr>
          <w:rFonts w:ascii="Georgia"/>
          <w:w w:val="105"/>
          <w:sz w:val="20"/>
        </w:rPr>
        <w:t> the relationships,</w:t>
      </w:r>
      <w:r>
        <w:rPr>
          <w:rFonts w:ascii="Georgia"/>
          <w:w w:val="105"/>
          <w:sz w:val="20"/>
        </w:rPr>
        <w:t> communities,</w:t>
      </w:r>
      <w:r>
        <w:rPr>
          <w:rFonts w:ascii="Georgia"/>
          <w:w w:val="105"/>
          <w:sz w:val="20"/>
        </w:rPr>
        <w:t> institutions,</w:t>
      </w:r>
      <w:r>
        <w:rPr>
          <w:rFonts w:ascii="Georgia"/>
          <w:w w:val="105"/>
          <w:sz w:val="20"/>
        </w:rPr>
        <w:t> and</w:t>
      </w:r>
      <w:r>
        <w:rPr>
          <w:rFonts w:ascii="Georgia"/>
          <w:w w:val="105"/>
          <w:sz w:val="20"/>
        </w:rPr>
        <w:t> systems that</w:t>
      </w:r>
      <w:r>
        <w:rPr>
          <w:rFonts w:ascii="Georgia"/>
          <w:w w:val="105"/>
          <w:sz w:val="20"/>
        </w:rPr>
        <w:t> act</w:t>
      </w:r>
      <w:r>
        <w:rPr>
          <w:rFonts w:ascii="Georgia"/>
          <w:w w:val="105"/>
          <w:sz w:val="20"/>
        </w:rPr>
        <w:t> as</w:t>
      </w:r>
      <w:r>
        <w:rPr>
          <w:rFonts w:ascii="Georgia"/>
          <w:w w:val="105"/>
          <w:sz w:val="20"/>
        </w:rPr>
        <w:t> oppressive</w:t>
      </w:r>
      <w:r>
        <w:rPr>
          <w:rFonts w:ascii="Georgia"/>
          <w:w w:val="105"/>
          <w:sz w:val="20"/>
        </w:rPr>
        <w:t> forces.</w:t>
      </w:r>
      <w:r>
        <w:rPr>
          <w:rFonts w:ascii="Georgia"/>
          <w:w w:val="105"/>
          <w:sz w:val="20"/>
        </w:rPr>
        <w:t> Public</w:t>
      </w:r>
      <w:r>
        <w:rPr>
          <w:rFonts w:ascii="Georgia"/>
          <w:w w:val="105"/>
          <w:sz w:val="20"/>
        </w:rPr>
        <w:t> health</w:t>
      </w:r>
      <w:r>
        <w:rPr>
          <w:rFonts w:ascii="Georgia"/>
          <w:w w:val="105"/>
          <w:sz w:val="20"/>
        </w:rPr>
        <w:t> has</w:t>
      </w:r>
      <w:r>
        <w:rPr>
          <w:rFonts w:ascii="Georgia"/>
          <w:w w:val="105"/>
          <w:sz w:val="20"/>
        </w:rPr>
        <w:t> an obligation</w:t>
      </w:r>
      <w:r>
        <w:rPr>
          <w:rFonts w:ascii="Georgia"/>
          <w:w w:val="105"/>
          <w:sz w:val="20"/>
        </w:rPr>
        <w:t> to</w:t>
      </w:r>
      <w:r>
        <w:rPr>
          <w:rFonts w:ascii="Georgia"/>
          <w:w w:val="105"/>
          <w:sz w:val="20"/>
        </w:rPr>
        <w:t> support</w:t>
      </w:r>
      <w:r>
        <w:rPr>
          <w:rFonts w:ascii="Georgia"/>
          <w:w w:val="105"/>
          <w:sz w:val="20"/>
        </w:rPr>
        <w:t> and</w:t>
      </w:r>
      <w:r>
        <w:rPr>
          <w:rFonts w:ascii="Georgia"/>
          <w:w w:val="105"/>
          <w:sz w:val="20"/>
        </w:rPr>
        <w:t> uplift</w:t>
      </w:r>
      <w:r>
        <w:rPr>
          <w:rFonts w:ascii="Georgia"/>
          <w:w w:val="105"/>
          <w:sz w:val="20"/>
        </w:rPr>
        <w:t> LGBTQ</w:t>
      </w:r>
      <w:r>
        <w:rPr>
          <w:rFonts w:ascii="Georgia"/>
          <w:w w:val="105"/>
          <w:sz w:val="20"/>
        </w:rPr>
        <w:t> youth</w:t>
      </w:r>
      <w:r>
        <w:rPr>
          <w:rFonts w:ascii="Georgia"/>
          <w:w w:val="105"/>
          <w:sz w:val="20"/>
        </w:rPr>
        <w:t> as</w:t>
      </w:r>
      <w:r>
        <w:rPr>
          <w:rFonts w:ascii="Georgia"/>
          <w:w w:val="105"/>
          <w:sz w:val="20"/>
        </w:rPr>
        <w:t> they resist</w:t>
      </w:r>
      <w:r>
        <w:rPr>
          <w:rFonts w:ascii="Georgia"/>
          <w:w w:val="105"/>
          <w:sz w:val="20"/>
        </w:rPr>
        <w:t> unjust</w:t>
      </w:r>
      <w:r>
        <w:rPr>
          <w:rFonts w:ascii="Georgia"/>
          <w:w w:val="105"/>
          <w:sz w:val="20"/>
        </w:rPr>
        <w:t> and</w:t>
      </w:r>
      <w:r>
        <w:rPr>
          <w:rFonts w:ascii="Georgia"/>
          <w:w w:val="105"/>
          <w:sz w:val="20"/>
        </w:rPr>
        <w:t> oppressive</w:t>
      </w:r>
      <w:r>
        <w:rPr>
          <w:rFonts w:ascii="Georgia"/>
          <w:w w:val="105"/>
          <w:sz w:val="20"/>
        </w:rPr>
        <w:t> structures.</w:t>
      </w:r>
      <w:r>
        <w:rPr>
          <w:rFonts w:ascii="Georgia"/>
          <w:w w:val="105"/>
          <w:sz w:val="20"/>
        </w:rPr>
        <w:t> In</w:t>
      </w:r>
      <w:r>
        <w:rPr>
          <w:rFonts w:ascii="Georgia"/>
          <w:w w:val="105"/>
          <w:sz w:val="20"/>
        </w:rPr>
        <w:t> doing</w:t>
      </w:r>
      <w:r>
        <w:rPr>
          <w:rFonts w:ascii="Georgia"/>
          <w:w w:val="105"/>
          <w:sz w:val="20"/>
        </w:rPr>
        <w:t> so, policymakers,</w:t>
      </w:r>
      <w:r>
        <w:rPr>
          <w:rFonts w:ascii="Georgia"/>
          <w:spacing w:val="-12"/>
          <w:w w:val="105"/>
          <w:sz w:val="20"/>
        </w:rPr>
        <w:t> </w:t>
      </w:r>
      <w:r>
        <w:rPr>
          <w:rFonts w:ascii="Georgia"/>
          <w:w w:val="105"/>
          <w:sz w:val="20"/>
        </w:rPr>
        <w:t>providers,</w:t>
      </w:r>
      <w:r>
        <w:rPr>
          <w:rFonts w:ascii="Georgia"/>
          <w:spacing w:val="-12"/>
          <w:w w:val="105"/>
          <w:sz w:val="20"/>
        </w:rPr>
        <w:t> </w:t>
      </w:r>
      <w:r>
        <w:rPr>
          <w:rFonts w:ascii="Georgia"/>
          <w:w w:val="105"/>
          <w:sz w:val="20"/>
        </w:rPr>
        <w:t>and</w:t>
      </w:r>
      <w:r>
        <w:rPr>
          <w:rFonts w:ascii="Georgia"/>
          <w:spacing w:val="-12"/>
          <w:w w:val="105"/>
          <w:sz w:val="20"/>
        </w:rPr>
        <w:t> </w:t>
      </w:r>
      <w:r>
        <w:rPr>
          <w:rFonts w:ascii="Georgia"/>
          <w:w w:val="105"/>
          <w:sz w:val="20"/>
        </w:rPr>
        <w:t>educators</w:t>
      </w:r>
      <w:r>
        <w:rPr>
          <w:rFonts w:ascii="Georgia"/>
          <w:spacing w:val="-12"/>
          <w:w w:val="105"/>
          <w:sz w:val="20"/>
        </w:rPr>
        <w:t> </w:t>
      </w:r>
      <w:r>
        <w:rPr>
          <w:rFonts w:ascii="Georgia"/>
          <w:w w:val="105"/>
          <w:sz w:val="20"/>
        </w:rPr>
        <w:t>can</w:t>
      </w:r>
      <w:r>
        <w:rPr>
          <w:rFonts w:ascii="Georgia"/>
          <w:spacing w:val="-12"/>
          <w:w w:val="105"/>
          <w:sz w:val="20"/>
        </w:rPr>
        <w:t> </w:t>
      </w:r>
      <w:r>
        <w:rPr>
          <w:rFonts w:ascii="Georgia"/>
          <w:w w:val="105"/>
          <w:sz w:val="20"/>
        </w:rPr>
        <w:t>better</w:t>
      </w:r>
      <w:r>
        <w:rPr>
          <w:rFonts w:ascii="Georgia"/>
          <w:spacing w:val="-12"/>
          <w:w w:val="105"/>
          <w:sz w:val="20"/>
        </w:rPr>
        <w:t> </w:t>
      </w:r>
      <w:r>
        <w:rPr>
          <w:rFonts w:ascii="Georgia"/>
          <w:w w:val="105"/>
          <w:sz w:val="20"/>
        </w:rPr>
        <w:t>pave the way for a future where all LGBTQ youth thrive.</w:t>
      </w:r>
    </w:p>
    <w:p>
      <w:pPr>
        <w:spacing w:line="1076" w:lineRule="exact" w:before="128"/>
        <w:ind w:left="1389" w:right="0" w:firstLine="0"/>
        <w:jc w:val="left"/>
        <w:rPr>
          <w:rFonts w:ascii="Arial Black"/>
          <w:sz w:val="77"/>
        </w:rPr>
      </w:pPr>
      <w:r>
        <w:rPr/>
        <w:br w:type="column"/>
      </w:r>
      <w:r>
        <w:rPr>
          <w:rFonts w:ascii="Arial Black"/>
          <w:emboss/>
          <w:color w:val="001389"/>
          <w:spacing w:val="20"/>
          <w:w w:val="95"/>
          <w:sz w:val="77"/>
        </w:rPr>
        <w:t>53%</w:t>
      </w:r>
    </w:p>
    <w:p>
      <w:pPr>
        <w:spacing w:line="278" w:lineRule="auto" w:before="0"/>
        <w:ind w:left="581" w:right="1193" w:hanging="1"/>
        <w:jc w:val="center"/>
        <w:rPr>
          <w:rFonts w:ascii="Georgia"/>
          <w:sz w:val="20"/>
        </w:rPr>
      </w:pPr>
      <w:r>
        <w:rPr>
          <w:rFonts w:ascii="Georgia"/>
          <w:w w:val="105"/>
          <w:sz w:val="20"/>
        </w:rPr>
        <w:t>of LGBTQ students have </w:t>
      </w:r>
      <w:r>
        <w:rPr>
          <w:rFonts w:ascii="Georgia"/>
          <w:spacing w:val="-2"/>
          <w:w w:val="105"/>
          <w:sz w:val="20"/>
        </w:rPr>
        <w:t>experienced</w:t>
      </w:r>
      <w:r>
        <w:rPr>
          <w:rFonts w:ascii="Georgia"/>
          <w:spacing w:val="-3"/>
          <w:w w:val="105"/>
          <w:sz w:val="20"/>
        </w:rPr>
        <w:t> </w:t>
      </w:r>
      <w:r>
        <w:rPr>
          <w:rFonts w:ascii="Georgia"/>
          <w:spacing w:val="-2"/>
          <w:w w:val="105"/>
          <w:sz w:val="20"/>
        </w:rPr>
        <w:t>verbal</w:t>
      </w:r>
      <w:r>
        <w:rPr>
          <w:rFonts w:ascii="Georgia"/>
          <w:spacing w:val="-3"/>
          <w:w w:val="105"/>
          <w:sz w:val="20"/>
        </w:rPr>
        <w:t> </w:t>
      </w:r>
      <w:r>
        <w:rPr>
          <w:rFonts w:ascii="Georgia"/>
          <w:spacing w:val="-2"/>
          <w:w w:val="105"/>
          <w:sz w:val="20"/>
        </w:rPr>
        <w:t>harassment</w:t>
      </w:r>
      <w:r>
        <w:rPr>
          <w:rFonts w:ascii="Georgia"/>
          <w:spacing w:val="-3"/>
          <w:w w:val="105"/>
          <w:sz w:val="20"/>
        </w:rPr>
        <w:t> </w:t>
      </w:r>
      <w:r>
        <w:rPr>
          <w:rFonts w:ascii="Georgia"/>
          <w:spacing w:val="-2"/>
          <w:w w:val="105"/>
          <w:sz w:val="20"/>
        </w:rPr>
        <w:t>due </w:t>
      </w:r>
      <w:r>
        <w:rPr>
          <w:rFonts w:ascii="Georgia"/>
          <w:w w:val="105"/>
          <w:sz w:val="20"/>
        </w:rPr>
        <w:t>to their sexuality</w:t>
      </w:r>
    </w:p>
    <w:p>
      <w:pPr>
        <w:pStyle w:val="BodyText"/>
        <w:spacing w:before="196"/>
        <w:rPr>
          <w:rFonts w:ascii="Georgia"/>
          <w:sz w:val="20"/>
        </w:rPr>
      </w:pPr>
    </w:p>
    <w:p>
      <w:pPr>
        <w:pStyle w:val="Heading4"/>
        <w:spacing w:line="1023" w:lineRule="exact"/>
        <w:ind w:left="1283"/>
      </w:pPr>
      <w:r>
        <w:rPr>
          <w:emboss/>
          <w:color w:val="001389"/>
          <w:spacing w:val="23"/>
          <w:w w:val="95"/>
        </w:rPr>
        <w:t>6.8%</w:t>
      </w:r>
    </w:p>
    <w:p>
      <w:pPr>
        <w:spacing w:line="192" w:lineRule="exact" w:before="0"/>
        <w:ind w:left="754" w:right="1365" w:firstLine="0"/>
        <w:jc w:val="center"/>
        <w:rPr>
          <w:rFonts w:ascii="Georgia"/>
          <w:sz w:val="20"/>
        </w:rPr>
      </w:pPr>
      <w:r>
        <w:rPr>
          <w:rFonts w:ascii="Georgia"/>
          <w:sz w:val="20"/>
        </w:rPr>
        <w:t>of</w:t>
      </w:r>
      <w:r>
        <w:rPr>
          <w:rFonts w:ascii="Georgia"/>
          <w:spacing w:val="4"/>
          <w:sz w:val="20"/>
        </w:rPr>
        <w:t> </w:t>
      </w:r>
      <w:r>
        <w:rPr>
          <w:rFonts w:ascii="Georgia"/>
          <w:sz w:val="20"/>
        </w:rPr>
        <w:t>LGBTQ</w:t>
      </w:r>
      <w:r>
        <w:rPr>
          <w:rFonts w:ascii="Georgia"/>
          <w:spacing w:val="4"/>
          <w:sz w:val="20"/>
        </w:rPr>
        <w:t> </w:t>
      </w:r>
      <w:r>
        <w:rPr>
          <w:rFonts w:ascii="Georgia"/>
          <w:sz w:val="20"/>
        </w:rPr>
        <w:t>youth</w:t>
      </w:r>
      <w:r>
        <w:rPr>
          <w:rFonts w:ascii="Georgia"/>
          <w:spacing w:val="4"/>
          <w:sz w:val="20"/>
        </w:rPr>
        <w:t> </w:t>
      </w:r>
      <w:r>
        <w:rPr>
          <w:rFonts w:ascii="Georgia"/>
          <w:sz w:val="20"/>
        </w:rPr>
        <w:t>have</w:t>
      </w:r>
      <w:r>
        <w:rPr>
          <w:rFonts w:ascii="Georgia"/>
          <w:spacing w:val="5"/>
          <w:sz w:val="20"/>
        </w:rPr>
        <w:t> </w:t>
      </w:r>
      <w:r>
        <w:rPr>
          <w:rFonts w:ascii="Georgia"/>
          <w:spacing w:val="-4"/>
          <w:sz w:val="20"/>
        </w:rPr>
        <w:t>ever</w:t>
      </w:r>
    </w:p>
    <w:p>
      <w:pPr>
        <w:spacing w:line="278" w:lineRule="auto" w:before="36"/>
        <w:ind w:left="753" w:right="1365" w:firstLine="0"/>
        <w:jc w:val="center"/>
        <w:rPr>
          <w:rFonts w:ascii="Georgia"/>
          <w:sz w:val="20"/>
        </w:rPr>
      </w:pPr>
      <w:r>
        <w:rPr>
          <w:rFonts w:ascii="Georgia"/>
          <w:w w:val="105"/>
          <w:sz w:val="20"/>
        </w:rPr>
        <w:t>been</w:t>
      </w:r>
      <w:r>
        <w:rPr>
          <w:rFonts w:ascii="Georgia"/>
          <w:spacing w:val="-13"/>
          <w:w w:val="105"/>
          <w:sz w:val="20"/>
        </w:rPr>
        <w:t> </w:t>
      </w:r>
      <w:r>
        <w:rPr>
          <w:rFonts w:ascii="Georgia"/>
          <w:w w:val="105"/>
          <w:sz w:val="20"/>
        </w:rPr>
        <w:t>tested</w:t>
      </w:r>
      <w:r>
        <w:rPr>
          <w:rFonts w:ascii="Georgia"/>
          <w:spacing w:val="-13"/>
          <w:w w:val="105"/>
          <w:sz w:val="20"/>
        </w:rPr>
        <w:t> </w:t>
      </w:r>
      <w:r>
        <w:rPr>
          <w:rFonts w:ascii="Georgia"/>
          <w:w w:val="105"/>
          <w:sz w:val="20"/>
        </w:rPr>
        <w:t>for</w:t>
      </w:r>
      <w:r>
        <w:rPr>
          <w:rFonts w:ascii="Georgia"/>
          <w:spacing w:val="-12"/>
          <w:w w:val="105"/>
          <w:sz w:val="20"/>
        </w:rPr>
        <w:t> </w:t>
      </w:r>
      <w:r>
        <w:rPr>
          <w:rFonts w:ascii="Georgia"/>
          <w:w w:val="105"/>
          <w:sz w:val="20"/>
        </w:rPr>
        <w:t>an</w:t>
      </w:r>
      <w:r>
        <w:rPr>
          <w:rFonts w:ascii="Georgia"/>
          <w:spacing w:val="-13"/>
          <w:w w:val="105"/>
          <w:sz w:val="20"/>
        </w:rPr>
        <w:t> </w:t>
      </w:r>
      <w:r>
        <w:rPr>
          <w:rFonts w:ascii="Georgia"/>
          <w:w w:val="105"/>
          <w:sz w:val="20"/>
        </w:rPr>
        <w:t>STI</w:t>
      </w:r>
      <w:r>
        <w:rPr>
          <w:rFonts w:ascii="Georgia"/>
          <w:spacing w:val="-13"/>
          <w:w w:val="105"/>
          <w:sz w:val="20"/>
        </w:rPr>
        <w:t> </w:t>
      </w:r>
      <w:r>
        <w:rPr>
          <w:rFonts w:ascii="Georgia"/>
          <w:w w:val="105"/>
          <w:sz w:val="20"/>
        </w:rPr>
        <w:t>other than</w:t>
      </w:r>
      <w:r>
        <w:rPr>
          <w:rFonts w:ascii="Georgia"/>
          <w:spacing w:val="-1"/>
          <w:w w:val="105"/>
          <w:sz w:val="20"/>
        </w:rPr>
        <w:t> </w:t>
      </w:r>
      <w:r>
        <w:rPr>
          <w:rFonts w:ascii="Georgia"/>
          <w:w w:val="105"/>
          <w:sz w:val="20"/>
        </w:rPr>
        <w:t>HIV</w:t>
      </w:r>
    </w:p>
    <w:p>
      <w:pPr>
        <w:pStyle w:val="BodyText"/>
        <w:spacing w:before="154"/>
        <w:rPr>
          <w:rFonts w:ascii="Georgia"/>
          <w:sz w:val="20"/>
        </w:rPr>
      </w:pPr>
    </w:p>
    <w:p>
      <w:pPr>
        <w:pStyle w:val="BodyText"/>
        <w:spacing w:line="20" w:lineRule="exact"/>
        <w:ind w:left="-20"/>
        <w:rPr>
          <w:rFonts w:ascii="Georgia"/>
          <w:sz w:val="2"/>
        </w:rPr>
      </w:pPr>
      <w:r>
        <w:rPr>
          <w:rFonts w:ascii="Georgia"/>
          <w:sz w:val="2"/>
        </w:rPr>
        <mc:AlternateContent>
          <mc:Choice Requires="wps">
            <w:drawing>
              <wp:inline distT="0" distB="0" distL="0" distR="0">
                <wp:extent cx="2773680" cy="28575"/>
                <wp:effectExtent l="19050" t="0" r="7619" b="0"/>
                <wp:docPr id="195" name="Group 195"/>
                <wp:cNvGraphicFramePr>
                  <a:graphicFrameLocks/>
                </wp:cNvGraphicFramePr>
                <a:graphic>
                  <a:graphicData uri="http://schemas.microsoft.com/office/word/2010/wordprocessingGroup">
                    <wpg:wgp>
                      <wpg:cNvPr id="195" name="Group 195"/>
                      <wpg:cNvGrpSpPr/>
                      <wpg:grpSpPr>
                        <a:xfrm>
                          <a:off x="0" y="0"/>
                          <a:ext cx="2773680" cy="28575"/>
                          <a:chExt cx="2773680" cy="28575"/>
                        </a:xfrm>
                      </wpg:grpSpPr>
                      <wps:wsp>
                        <wps:cNvPr id="196" name="Graphic 196"/>
                        <wps:cNvSpPr/>
                        <wps:spPr>
                          <a:xfrm>
                            <a:off x="0" y="14287"/>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g:wgp>
                  </a:graphicData>
                </a:graphic>
              </wp:inline>
            </w:drawing>
          </mc:Choice>
          <mc:Fallback>
            <w:pict>
              <v:group style="width:218.4pt;height:2.25pt;mso-position-horizontal-relative:char;mso-position-vertical-relative:line" id="docshapegroup164" coordorigin="0,0" coordsize="4368,45">
                <v:line style="position:absolute" from="0,23" to="4368,23" stroked="true" strokeweight="2.25pt" strokecolor="#001389">
                  <v:stroke dashstyle="shortdash"/>
                </v:line>
              </v:group>
            </w:pict>
          </mc:Fallback>
        </mc:AlternateContent>
      </w:r>
      <w:r>
        <w:rPr>
          <w:rFonts w:ascii="Georgia"/>
          <w:sz w:val="2"/>
        </w:rPr>
      </w:r>
    </w:p>
    <w:p>
      <w:pPr>
        <w:pStyle w:val="Heading4"/>
        <w:spacing w:line="1050" w:lineRule="exact" w:before="33"/>
        <w:ind w:left="1274"/>
      </w:pPr>
      <w:r>
        <w:rPr>
          <w:emboss/>
          <w:color w:val="001389"/>
          <w:spacing w:val="27"/>
          <w:w w:val="85"/>
        </w:rPr>
        <w:t>17.8%</w:t>
      </w:r>
    </w:p>
    <w:p>
      <w:pPr>
        <w:spacing w:line="278" w:lineRule="auto" w:before="0"/>
        <w:ind w:left="323" w:right="935" w:hanging="1"/>
        <w:jc w:val="center"/>
        <w:rPr>
          <w:rFonts w:ascii="Georgia"/>
          <w:sz w:val="20"/>
        </w:rPr>
      </w:pPr>
      <w:r>
        <w:rPr>
          <w:rFonts w:ascii="Georgia"/>
          <w:w w:val="105"/>
          <w:sz w:val="20"/>
        </w:rPr>
        <w:t>of LGBTQ high school students have experienced</w:t>
      </w:r>
      <w:r>
        <w:rPr>
          <w:rFonts w:ascii="Georgia"/>
          <w:spacing w:val="-13"/>
          <w:w w:val="105"/>
          <w:sz w:val="20"/>
        </w:rPr>
        <w:t> </w:t>
      </w:r>
      <w:r>
        <w:rPr>
          <w:rFonts w:ascii="Georgia"/>
          <w:w w:val="105"/>
          <w:sz w:val="20"/>
        </w:rPr>
        <w:t>sexual</w:t>
      </w:r>
      <w:r>
        <w:rPr>
          <w:rFonts w:ascii="Georgia"/>
          <w:spacing w:val="-13"/>
          <w:w w:val="105"/>
          <w:sz w:val="20"/>
        </w:rPr>
        <w:t> </w:t>
      </w:r>
      <w:r>
        <w:rPr>
          <w:rFonts w:ascii="Georgia"/>
          <w:w w:val="105"/>
          <w:sz w:val="20"/>
        </w:rPr>
        <w:t>dating</w:t>
      </w:r>
      <w:r>
        <w:rPr>
          <w:rFonts w:ascii="Georgia"/>
          <w:spacing w:val="-12"/>
          <w:w w:val="105"/>
          <w:sz w:val="20"/>
        </w:rPr>
        <w:t> </w:t>
      </w:r>
      <w:r>
        <w:rPr>
          <w:rFonts w:ascii="Georgia"/>
          <w:w w:val="105"/>
          <w:sz w:val="20"/>
        </w:rPr>
        <w:t>violence</w:t>
      </w:r>
      <w:r>
        <w:rPr>
          <w:rFonts w:ascii="Georgia"/>
          <w:spacing w:val="-13"/>
          <w:w w:val="105"/>
          <w:sz w:val="20"/>
        </w:rPr>
        <w:t> </w:t>
      </w:r>
      <w:r>
        <w:rPr>
          <w:rFonts w:ascii="Georgia"/>
          <w:w w:val="105"/>
          <w:sz w:val="20"/>
        </w:rPr>
        <w:t>in</w:t>
      </w:r>
      <w:r>
        <w:rPr>
          <w:rFonts w:ascii="Georgia"/>
          <w:spacing w:val="-13"/>
          <w:w w:val="105"/>
          <w:sz w:val="20"/>
        </w:rPr>
        <w:t> </w:t>
      </w:r>
      <w:r>
        <w:rPr>
          <w:rFonts w:ascii="Georgia"/>
          <w:w w:val="105"/>
          <w:sz w:val="20"/>
        </w:rPr>
        <w:t>the past</w:t>
      </w:r>
      <w:r>
        <w:rPr>
          <w:rFonts w:ascii="Georgia"/>
          <w:spacing w:val="-1"/>
          <w:w w:val="105"/>
          <w:sz w:val="20"/>
        </w:rPr>
        <w:t> </w:t>
      </w:r>
      <w:r>
        <w:rPr>
          <w:rFonts w:ascii="Georgia"/>
          <w:w w:val="105"/>
          <w:sz w:val="20"/>
        </w:rPr>
        <w:t>year</w:t>
      </w:r>
    </w:p>
    <w:p>
      <w:pPr>
        <w:spacing w:after="0" w:line="278" w:lineRule="auto"/>
        <w:jc w:val="center"/>
        <w:rPr>
          <w:rFonts w:ascii="Georgia"/>
          <w:sz w:val="20"/>
        </w:rPr>
        <w:sectPr>
          <w:type w:val="continuous"/>
          <w:pgSz w:w="12240" w:h="15840"/>
          <w:pgMar w:header="0" w:footer="0" w:top="1420" w:bottom="280" w:left="920" w:right="340"/>
          <w:cols w:num="2" w:equalWidth="0">
            <w:col w:w="5433" w:space="527"/>
            <w:col w:w="5020"/>
          </w:cols>
        </w:sectPr>
      </w:pPr>
    </w:p>
    <w:p>
      <w:pPr>
        <w:pStyle w:val="BodyText"/>
        <w:rPr>
          <w:rFonts w:ascii="Georgia"/>
          <w:sz w:val="20"/>
        </w:rPr>
      </w:pPr>
      <w:r>
        <w:rPr/>
        <mc:AlternateContent>
          <mc:Choice Requires="wps">
            <w:drawing>
              <wp:anchor distT="0" distB="0" distL="0" distR="0" allowOverlap="1" layoutInCell="1" locked="0" behindDoc="1" simplePos="0" relativeHeight="482577408">
                <wp:simplePos x="0" y="0"/>
                <wp:positionH relativeFrom="page">
                  <wp:posOffset>0</wp:posOffset>
                </wp:positionH>
                <wp:positionV relativeFrom="page">
                  <wp:posOffset>0</wp:posOffset>
                </wp:positionV>
                <wp:extent cx="7772400" cy="5502275"/>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7772400" cy="5502275"/>
                          <a:chExt cx="7772400" cy="5502275"/>
                        </a:xfrm>
                      </wpg:grpSpPr>
                      <pic:pic>
                        <pic:nvPicPr>
                          <pic:cNvPr id="198" name="Image 198"/>
                          <pic:cNvPicPr/>
                        </pic:nvPicPr>
                        <pic:blipFill>
                          <a:blip r:embed="rId172" cstate="print"/>
                          <a:stretch>
                            <a:fillRect/>
                          </a:stretch>
                        </pic:blipFill>
                        <pic:spPr>
                          <a:xfrm>
                            <a:off x="0" y="0"/>
                            <a:ext cx="7772400" cy="3201599"/>
                          </a:xfrm>
                          <a:prstGeom prst="rect">
                            <a:avLst/>
                          </a:prstGeom>
                        </pic:spPr>
                      </pic:pic>
                      <pic:pic>
                        <pic:nvPicPr>
                          <pic:cNvPr id="199" name="Image 199"/>
                          <pic:cNvPicPr/>
                        </pic:nvPicPr>
                        <pic:blipFill>
                          <a:blip r:embed="rId98" cstate="print"/>
                          <a:stretch>
                            <a:fillRect/>
                          </a:stretch>
                        </pic:blipFill>
                        <pic:spPr>
                          <a:xfrm>
                            <a:off x="4978374" y="735421"/>
                            <a:ext cx="1480888" cy="1480632"/>
                          </a:xfrm>
                          <a:prstGeom prst="rect">
                            <a:avLst/>
                          </a:prstGeom>
                        </pic:spPr>
                      </pic:pic>
                      <wps:wsp>
                        <wps:cNvPr id="200" name="Graphic 200"/>
                        <wps:cNvSpPr/>
                        <wps:spPr>
                          <a:xfrm>
                            <a:off x="4964629"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655211" y="2933569"/>
                            <a:ext cx="3471545" cy="2568575"/>
                          </a:xfrm>
                          <a:custGeom>
                            <a:avLst/>
                            <a:gdLst/>
                            <a:ahLst/>
                            <a:cxnLst/>
                            <a:rect l="l" t="t" r="r" b="b"/>
                            <a:pathLst>
                              <a:path w="3471545" h="2568575">
                                <a:moveTo>
                                  <a:pt x="3113780" y="2568150"/>
                                </a:moveTo>
                                <a:lnTo>
                                  <a:pt x="361948" y="2568150"/>
                                </a:lnTo>
                                <a:lnTo>
                                  <a:pt x="312835" y="2564846"/>
                                </a:lnTo>
                                <a:lnTo>
                                  <a:pt x="265729" y="2555221"/>
                                </a:lnTo>
                                <a:lnTo>
                                  <a:pt x="221062" y="2539706"/>
                                </a:lnTo>
                                <a:lnTo>
                                  <a:pt x="179266" y="2518733"/>
                                </a:lnTo>
                                <a:lnTo>
                                  <a:pt x="140773" y="2492733"/>
                                </a:lnTo>
                                <a:lnTo>
                                  <a:pt x="106012" y="2462138"/>
                                </a:lnTo>
                                <a:lnTo>
                                  <a:pt x="75416" y="2427377"/>
                                </a:lnTo>
                                <a:lnTo>
                                  <a:pt x="49416" y="2388883"/>
                                </a:lnTo>
                                <a:lnTo>
                                  <a:pt x="28443" y="2347087"/>
                                </a:lnTo>
                                <a:lnTo>
                                  <a:pt x="12929" y="2302421"/>
                                </a:lnTo>
                                <a:lnTo>
                                  <a:pt x="3304" y="2255315"/>
                                </a:lnTo>
                                <a:lnTo>
                                  <a:pt x="0" y="2206200"/>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9" y="0"/>
                                </a:lnTo>
                                <a:lnTo>
                                  <a:pt x="3162893" y="3304"/>
                                </a:lnTo>
                                <a:lnTo>
                                  <a:pt x="3209999" y="12929"/>
                                </a:lnTo>
                                <a:lnTo>
                                  <a:pt x="3254666" y="28443"/>
                                </a:lnTo>
                                <a:lnTo>
                                  <a:pt x="3296462" y="49416"/>
                                </a:lnTo>
                                <a:lnTo>
                                  <a:pt x="3334956" y="75416"/>
                                </a:lnTo>
                                <a:lnTo>
                                  <a:pt x="3369716" y="106012"/>
                                </a:lnTo>
                                <a:lnTo>
                                  <a:pt x="3400312" y="140773"/>
                                </a:lnTo>
                                <a:lnTo>
                                  <a:pt x="3426312" y="179266"/>
                                </a:lnTo>
                                <a:lnTo>
                                  <a:pt x="3447285" y="221062"/>
                                </a:lnTo>
                                <a:lnTo>
                                  <a:pt x="3462799" y="265729"/>
                                </a:lnTo>
                                <a:lnTo>
                                  <a:pt x="3471016" y="305940"/>
                                </a:lnTo>
                                <a:lnTo>
                                  <a:pt x="3471016" y="2262210"/>
                                </a:lnTo>
                                <a:lnTo>
                                  <a:pt x="3462799" y="2302421"/>
                                </a:lnTo>
                                <a:lnTo>
                                  <a:pt x="3447285" y="2347087"/>
                                </a:lnTo>
                                <a:lnTo>
                                  <a:pt x="3426312" y="2388883"/>
                                </a:lnTo>
                                <a:lnTo>
                                  <a:pt x="3400312" y="2427377"/>
                                </a:lnTo>
                                <a:lnTo>
                                  <a:pt x="3369716" y="2462138"/>
                                </a:lnTo>
                                <a:lnTo>
                                  <a:pt x="3334956" y="2492733"/>
                                </a:lnTo>
                                <a:lnTo>
                                  <a:pt x="3296462" y="2518733"/>
                                </a:lnTo>
                                <a:lnTo>
                                  <a:pt x="3254666" y="2539706"/>
                                </a:lnTo>
                                <a:lnTo>
                                  <a:pt x="3209999" y="2555221"/>
                                </a:lnTo>
                                <a:lnTo>
                                  <a:pt x="3162893" y="2564846"/>
                                </a:lnTo>
                                <a:lnTo>
                                  <a:pt x="3113780" y="2568150"/>
                                </a:lnTo>
                                <a:close/>
                              </a:path>
                            </a:pathLst>
                          </a:custGeom>
                          <a:solidFill>
                            <a:srgbClr val="94ABFF">
                              <a:alpha val="55999"/>
                            </a:srgbClr>
                          </a:solidFill>
                        </wps:spPr>
                        <wps:bodyPr wrap="square" lIns="0" tIns="0" rIns="0" bIns="0" rtlCol="0">
                          <a:prstTxWarp prst="textNoShape">
                            <a:avLst/>
                          </a:prstTxWarp>
                          <a:noAutofit/>
                        </wps:bodyPr>
                      </wps:wsp>
                      <wps:wsp>
                        <wps:cNvPr id="202" name="Graphic 202"/>
                        <wps:cNvSpPr/>
                        <wps:spPr>
                          <a:xfrm>
                            <a:off x="4356887" y="4390915"/>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s:wsp>
                        <wps:cNvPr id="203" name="Graphic 203"/>
                        <wps:cNvSpPr/>
                        <wps:spPr>
                          <a:xfrm>
                            <a:off x="4850459" y="2671331"/>
                            <a:ext cx="189865" cy="651510"/>
                          </a:xfrm>
                          <a:custGeom>
                            <a:avLst/>
                            <a:gdLst/>
                            <a:ahLst/>
                            <a:cxnLst/>
                            <a:rect l="l" t="t" r="r" b="b"/>
                            <a:pathLst>
                              <a:path w="189865" h="651510">
                                <a:moveTo>
                                  <a:pt x="571" y="651312"/>
                                </a:moveTo>
                                <a:lnTo>
                                  <a:pt x="1693" y="565835"/>
                                </a:lnTo>
                                <a:lnTo>
                                  <a:pt x="2127" y="516874"/>
                                </a:lnTo>
                                <a:lnTo>
                                  <a:pt x="2188" y="455996"/>
                                </a:lnTo>
                                <a:lnTo>
                                  <a:pt x="1475" y="401097"/>
                                </a:lnTo>
                                <a:lnTo>
                                  <a:pt x="504" y="351011"/>
                                </a:lnTo>
                                <a:lnTo>
                                  <a:pt x="12" y="309788"/>
                                </a:lnTo>
                                <a:lnTo>
                                  <a:pt x="0" y="250768"/>
                                </a:lnTo>
                                <a:lnTo>
                                  <a:pt x="1101" y="200602"/>
                                </a:lnTo>
                                <a:lnTo>
                                  <a:pt x="1465" y="188171"/>
                                </a:lnTo>
                                <a:lnTo>
                                  <a:pt x="1586" y="180920"/>
                                </a:lnTo>
                                <a:lnTo>
                                  <a:pt x="1665" y="163166"/>
                                </a:lnTo>
                                <a:lnTo>
                                  <a:pt x="1380" y="150785"/>
                                </a:lnTo>
                                <a:lnTo>
                                  <a:pt x="478" y="107747"/>
                                </a:lnTo>
                                <a:lnTo>
                                  <a:pt x="619" y="64780"/>
                                </a:lnTo>
                                <a:lnTo>
                                  <a:pt x="1405" y="21892"/>
                                </a:lnTo>
                                <a:lnTo>
                                  <a:pt x="1935" y="0"/>
                                </a:lnTo>
                                <a:lnTo>
                                  <a:pt x="18739" y="7946"/>
                                </a:lnTo>
                                <a:lnTo>
                                  <a:pt x="58321" y="34473"/>
                                </a:lnTo>
                                <a:lnTo>
                                  <a:pt x="94710" y="67632"/>
                                </a:lnTo>
                                <a:lnTo>
                                  <a:pt x="123746" y="102702"/>
                                </a:lnTo>
                                <a:lnTo>
                                  <a:pt x="147503" y="140657"/>
                                </a:lnTo>
                                <a:lnTo>
                                  <a:pt x="165981" y="180920"/>
                                </a:lnTo>
                                <a:lnTo>
                                  <a:pt x="179179" y="222914"/>
                                </a:lnTo>
                                <a:lnTo>
                                  <a:pt x="187098" y="266062"/>
                                </a:lnTo>
                                <a:lnTo>
                                  <a:pt x="189737" y="309788"/>
                                </a:lnTo>
                                <a:lnTo>
                                  <a:pt x="187098" y="353513"/>
                                </a:lnTo>
                                <a:lnTo>
                                  <a:pt x="179179" y="396662"/>
                                </a:lnTo>
                                <a:lnTo>
                                  <a:pt x="165981" y="438656"/>
                                </a:lnTo>
                                <a:lnTo>
                                  <a:pt x="147503" y="478919"/>
                                </a:lnTo>
                                <a:lnTo>
                                  <a:pt x="123747" y="516874"/>
                                </a:lnTo>
                                <a:lnTo>
                                  <a:pt x="94710" y="551944"/>
                                </a:lnTo>
                                <a:lnTo>
                                  <a:pt x="571" y="651312"/>
                                </a:lnTo>
                                <a:close/>
                              </a:path>
                            </a:pathLst>
                          </a:custGeom>
                          <a:solidFill>
                            <a:srgbClr val="ED3624"/>
                          </a:solidFill>
                        </wps:spPr>
                        <wps:bodyPr wrap="square" lIns="0" tIns="0" rIns="0" bIns="0" rtlCol="0">
                          <a:prstTxWarp prst="textNoShape">
                            <a:avLst/>
                          </a:prstTxWarp>
                          <a:noAutofit/>
                        </wps:bodyPr>
                      </wps:wsp>
                      <wps:wsp>
                        <wps:cNvPr id="204" name="Graphic 204"/>
                        <wps:cNvSpPr/>
                        <wps:spPr>
                          <a:xfrm>
                            <a:off x="4653663" y="2639488"/>
                            <a:ext cx="206375" cy="890905"/>
                          </a:xfrm>
                          <a:custGeom>
                            <a:avLst/>
                            <a:gdLst/>
                            <a:ahLst/>
                            <a:cxnLst/>
                            <a:rect l="l" t="t" r="r" b="b"/>
                            <a:pathLst>
                              <a:path w="206375" h="890905">
                                <a:moveTo>
                                  <a:pt x="1113" y="890308"/>
                                </a:moveTo>
                                <a:lnTo>
                                  <a:pt x="0" y="762592"/>
                                </a:lnTo>
                                <a:lnTo>
                                  <a:pt x="476" y="707596"/>
                                </a:lnTo>
                                <a:lnTo>
                                  <a:pt x="1939" y="597679"/>
                                </a:lnTo>
                                <a:lnTo>
                                  <a:pt x="2434" y="542751"/>
                                </a:lnTo>
                                <a:lnTo>
                                  <a:pt x="2442" y="487839"/>
                                </a:lnTo>
                                <a:lnTo>
                                  <a:pt x="1718" y="432940"/>
                                </a:lnTo>
                                <a:lnTo>
                                  <a:pt x="732" y="382855"/>
                                </a:lnTo>
                                <a:lnTo>
                                  <a:pt x="221" y="340663"/>
                                </a:lnTo>
                                <a:lnTo>
                                  <a:pt x="220" y="282611"/>
                                </a:lnTo>
                                <a:lnTo>
                                  <a:pt x="1338" y="232445"/>
                                </a:lnTo>
                                <a:lnTo>
                                  <a:pt x="1707" y="220014"/>
                                </a:lnTo>
                                <a:lnTo>
                                  <a:pt x="1919" y="207503"/>
                                </a:lnTo>
                                <a:lnTo>
                                  <a:pt x="1911" y="195009"/>
                                </a:lnTo>
                                <a:lnTo>
                                  <a:pt x="1550" y="179261"/>
                                </a:lnTo>
                                <a:lnTo>
                                  <a:pt x="706" y="139590"/>
                                </a:lnTo>
                                <a:lnTo>
                                  <a:pt x="849" y="96624"/>
                                </a:lnTo>
                                <a:lnTo>
                                  <a:pt x="1647" y="53735"/>
                                </a:lnTo>
                                <a:lnTo>
                                  <a:pt x="2799" y="6842"/>
                                </a:lnTo>
                                <a:lnTo>
                                  <a:pt x="39460" y="0"/>
                                </a:lnTo>
                                <a:lnTo>
                                  <a:pt x="84720" y="0"/>
                                </a:lnTo>
                                <a:lnTo>
                                  <a:pt x="129626" y="6631"/>
                                </a:lnTo>
                                <a:lnTo>
                                  <a:pt x="173467" y="19895"/>
                                </a:lnTo>
                                <a:lnTo>
                                  <a:pt x="206288" y="35417"/>
                                </a:lnTo>
                                <a:lnTo>
                                  <a:pt x="206251" y="46567"/>
                                </a:lnTo>
                                <a:lnTo>
                                  <a:pt x="205711" y="86023"/>
                                </a:lnTo>
                                <a:lnTo>
                                  <a:pt x="205629" y="96624"/>
                                </a:lnTo>
                                <a:lnTo>
                                  <a:pt x="205661" y="139590"/>
                                </a:lnTo>
                                <a:lnTo>
                                  <a:pt x="205612" y="233061"/>
                                </a:lnTo>
                                <a:lnTo>
                                  <a:pt x="205302" y="286863"/>
                                </a:lnTo>
                                <a:lnTo>
                                  <a:pt x="205115" y="340663"/>
                                </a:lnTo>
                                <a:lnTo>
                                  <a:pt x="205300" y="394456"/>
                                </a:lnTo>
                                <a:lnTo>
                                  <a:pt x="206108" y="448241"/>
                                </a:lnTo>
                                <a:lnTo>
                                  <a:pt x="206230" y="673799"/>
                                </a:lnTo>
                                <a:lnTo>
                                  <a:pt x="1113" y="890308"/>
                                </a:lnTo>
                                <a:close/>
                              </a:path>
                            </a:pathLst>
                          </a:custGeom>
                          <a:solidFill>
                            <a:srgbClr val="E88024"/>
                          </a:solidFill>
                        </wps:spPr>
                        <wps:bodyPr wrap="square" lIns="0" tIns="0" rIns="0" bIns="0" rtlCol="0">
                          <a:prstTxWarp prst="textNoShape">
                            <a:avLst/>
                          </a:prstTxWarp>
                          <a:noAutofit/>
                        </wps:bodyPr>
                      </wps:wsp>
                      <wps:wsp>
                        <wps:cNvPr id="205" name="Graphic 205"/>
                        <wps:cNvSpPr/>
                        <wps:spPr>
                          <a:xfrm>
                            <a:off x="4457085" y="2643878"/>
                            <a:ext cx="208279" cy="1080770"/>
                          </a:xfrm>
                          <a:custGeom>
                            <a:avLst/>
                            <a:gdLst/>
                            <a:ahLst/>
                            <a:cxnLst/>
                            <a:rect l="l" t="t" r="r" b="b"/>
                            <a:pathLst>
                              <a:path w="208279" h="1080770">
                                <a:moveTo>
                                  <a:pt x="205583" y="111930"/>
                                </a:moveTo>
                                <a:lnTo>
                                  <a:pt x="13293" y="111930"/>
                                </a:lnTo>
                                <a:lnTo>
                                  <a:pt x="29252" y="95085"/>
                                </a:lnTo>
                                <a:lnTo>
                                  <a:pt x="65641" y="61926"/>
                                </a:lnTo>
                                <a:lnTo>
                                  <a:pt x="105224" y="35400"/>
                                </a:lnTo>
                                <a:lnTo>
                                  <a:pt x="147291" y="15505"/>
                                </a:lnTo>
                                <a:lnTo>
                                  <a:pt x="191132" y="2241"/>
                                </a:lnTo>
                                <a:lnTo>
                                  <a:pt x="206312" y="0"/>
                                </a:lnTo>
                                <a:lnTo>
                                  <a:pt x="206251" y="42177"/>
                                </a:lnTo>
                                <a:lnTo>
                                  <a:pt x="205711" y="81633"/>
                                </a:lnTo>
                                <a:lnTo>
                                  <a:pt x="205608" y="95085"/>
                                </a:lnTo>
                                <a:lnTo>
                                  <a:pt x="205583" y="111930"/>
                                </a:lnTo>
                                <a:close/>
                              </a:path>
                              <a:path w="208279" h="1080770">
                                <a:moveTo>
                                  <a:pt x="13293" y="1080555"/>
                                </a:moveTo>
                                <a:lnTo>
                                  <a:pt x="979" y="1067557"/>
                                </a:lnTo>
                                <a:lnTo>
                                  <a:pt x="1539" y="994257"/>
                                </a:lnTo>
                                <a:lnTo>
                                  <a:pt x="1664" y="956747"/>
                                </a:lnTo>
                                <a:lnTo>
                                  <a:pt x="1445" y="919207"/>
                                </a:lnTo>
                                <a:lnTo>
                                  <a:pt x="1013" y="875065"/>
                                </a:lnTo>
                                <a:lnTo>
                                  <a:pt x="0" y="758202"/>
                                </a:lnTo>
                                <a:lnTo>
                                  <a:pt x="476" y="703205"/>
                                </a:lnTo>
                                <a:lnTo>
                                  <a:pt x="1939" y="593288"/>
                                </a:lnTo>
                                <a:lnTo>
                                  <a:pt x="2434" y="538361"/>
                                </a:lnTo>
                                <a:lnTo>
                                  <a:pt x="2442" y="483449"/>
                                </a:lnTo>
                                <a:lnTo>
                                  <a:pt x="1718" y="428550"/>
                                </a:lnTo>
                                <a:lnTo>
                                  <a:pt x="732" y="378464"/>
                                </a:lnTo>
                                <a:lnTo>
                                  <a:pt x="221" y="336273"/>
                                </a:lnTo>
                                <a:lnTo>
                                  <a:pt x="220" y="278221"/>
                                </a:lnTo>
                                <a:lnTo>
                                  <a:pt x="1339" y="228055"/>
                                </a:lnTo>
                                <a:lnTo>
                                  <a:pt x="1708" y="215624"/>
                                </a:lnTo>
                                <a:lnTo>
                                  <a:pt x="1919" y="203113"/>
                                </a:lnTo>
                                <a:lnTo>
                                  <a:pt x="1911" y="190619"/>
                                </a:lnTo>
                                <a:lnTo>
                                  <a:pt x="1550" y="174871"/>
                                </a:lnTo>
                                <a:lnTo>
                                  <a:pt x="706" y="135200"/>
                                </a:lnTo>
                                <a:lnTo>
                                  <a:pt x="827" y="98875"/>
                                </a:lnTo>
                                <a:lnTo>
                                  <a:pt x="1543" y="99528"/>
                                </a:lnTo>
                                <a:lnTo>
                                  <a:pt x="13293" y="111930"/>
                                </a:lnTo>
                                <a:lnTo>
                                  <a:pt x="205583" y="111930"/>
                                </a:lnTo>
                                <a:lnTo>
                                  <a:pt x="205661" y="135200"/>
                                </a:lnTo>
                                <a:lnTo>
                                  <a:pt x="205611" y="228671"/>
                                </a:lnTo>
                                <a:lnTo>
                                  <a:pt x="205301" y="282473"/>
                                </a:lnTo>
                                <a:lnTo>
                                  <a:pt x="205114" y="336273"/>
                                </a:lnTo>
                                <a:lnTo>
                                  <a:pt x="205299" y="390066"/>
                                </a:lnTo>
                                <a:lnTo>
                                  <a:pt x="206108" y="443851"/>
                                </a:lnTo>
                                <a:lnTo>
                                  <a:pt x="206136" y="593288"/>
                                </a:lnTo>
                                <a:lnTo>
                                  <a:pt x="206286" y="716291"/>
                                </a:lnTo>
                                <a:lnTo>
                                  <a:pt x="207972" y="875065"/>
                                </a:lnTo>
                                <a:lnTo>
                                  <a:pt x="13293" y="1080555"/>
                                </a:lnTo>
                                <a:close/>
                              </a:path>
                            </a:pathLst>
                          </a:custGeom>
                          <a:solidFill>
                            <a:srgbClr val="ECAF2F"/>
                          </a:solidFill>
                        </wps:spPr>
                        <wps:bodyPr wrap="square" lIns="0" tIns="0" rIns="0" bIns="0" rtlCol="0">
                          <a:prstTxWarp prst="textNoShape">
                            <a:avLst/>
                          </a:prstTxWarp>
                          <a:noAutofit/>
                        </wps:bodyPr>
                      </wps:wsp>
                      <wps:wsp>
                        <wps:cNvPr id="206" name="Graphic 206"/>
                        <wps:cNvSpPr/>
                        <wps:spPr>
                          <a:xfrm>
                            <a:off x="4260507" y="2645621"/>
                            <a:ext cx="206375" cy="1075055"/>
                          </a:xfrm>
                          <a:custGeom>
                            <a:avLst/>
                            <a:gdLst/>
                            <a:ahLst/>
                            <a:cxnLst/>
                            <a:rect l="l" t="t" r="r" b="b"/>
                            <a:pathLst>
                              <a:path w="206375" h="1075055">
                                <a:moveTo>
                                  <a:pt x="206067" y="1074796"/>
                                </a:moveTo>
                                <a:lnTo>
                                  <a:pt x="858" y="858191"/>
                                </a:lnTo>
                                <a:lnTo>
                                  <a:pt x="0" y="756459"/>
                                </a:lnTo>
                                <a:lnTo>
                                  <a:pt x="469" y="701462"/>
                                </a:lnTo>
                                <a:lnTo>
                                  <a:pt x="1911" y="591545"/>
                                </a:lnTo>
                                <a:lnTo>
                                  <a:pt x="2398" y="536618"/>
                                </a:lnTo>
                                <a:lnTo>
                                  <a:pt x="2406" y="481706"/>
                                </a:lnTo>
                                <a:lnTo>
                                  <a:pt x="1693" y="426806"/>
                                </a:lnTo>
                                <a:lnTo>
                                  <a:pt x="721" y="376721"/>
                                </a:lnTo>
                                <a:lnTo>
                                  <a:pt x="218" y="334529"/>
                                </a:lnTo>
                                <a:lnTo>
                                  <a:pt x="216" y="276478"/>
                                </a:lnTo>
                                <a:lnTo>
                                  <a:pt x="1315" y="226312"/>
                                </a:lnTo>
                                <a:lnTo>
                                  <a:pt x="1681" y="213881"/>
                                </a:lnTo>
                                <a:lnTo>
                                  <a:pt x="1890" y="201370"/>
                                </a:lnTo>
                                <a:lnTo>
                                  <a:pt x="1883" y="188876"/>
                                </a:lnTo>
                                <a:lnTo>
                                  <a:pt x="1527" y="173128"/>
                                </a:lnTo>
                                <a:lnTo>
                                  <a:pt x="696" y="133457"/>
                                </a:lnTo>
                                <a:lnTo>
                                  <a:pt x="836" y="90490"/>
                                </a:lnTo>
                                <a:lnTo>
                                  <a:pt x="1623" y="47602"/>
                                </a:lnTo>
                                <a:lnTo>
                                  <a:pt x="2781" y="0"/>
                                </a:lnTo>
                                <a:lnTo>
                                  <a:pt x="36242" y="4941"/>
                                </a:lnTo>
                                <a:lnTo>
                                  <a:pt x="80083" y="18204"/>
                                </a:lnTo>
                                <a:lnTo>
                                  <a:pt x="122150" y="38099"/>
                                </a:lnTo>
                                <a:lnTo>
                                  <a:pt x="161732" y="64626"/>
                                </a:lnTo>
                                <a:lnTo>
                                  <a:pt x="198121" y="97785"/>
                                </a:lnTo>
                                <a:lnTo>
                                  <a:pt x="202618" y="133457"/>
                                </a:lnTo>
                                <a:lnTo>
                                  <a:pt x="202758" y="173128"/>
                                </a:lnTo>
                                <a:lnTo>
                                  <a:pt x="202577" y="226928"/>
                                </a:lnTo>
                                <a:lnTo>
                                  <a:pt x="202271" y="280730"/>
                                </a:lnTo>
                                <a:lnTo>
                                  <a:pt x="202087" y="334529"/>
                                </a:lnTo>
                                <a:lnTo>
                                  <a:pt x="202270" y="388323"/>
                                </a:lnTo>
                                <a:lnTo>
                                  <a:pt x="203066" y="442108"/>
                                </a:lnTo>
                                <a:lnTo>
                                  <a:pt x="203093" y="591545"/>
                                </a:lnTo>
                                <a:lnTo>
                                  <a:pt x="203242" y="714548"/>
                                </a:lnTo>
                                <a:lnTo>
                                  <a:pt x="206014" y="979597"/>
                                </a:lnTo>
                                <a:lnTo>
                                  <a:pt x="206067" y="1074796"/>
                                </a:lnTo>
                                <a:close/>
                              </a:path>
                            </a:pathLst>
                          </a:custGeom>
                          <a:solidFill>
                            <a:srgbClr val="009D59"/>
                          </a:solidFill>
                        </wps:spPr>
                        <wps:bodyPr wrap="square" lIns="0" tIns="0" rIns="0" bIns="0" rtlCol="0">
                          <a:prstTxWarp prst="textNoShape">
                            <a:avLst/>
                          </a:prstTxWarp>
                          <a:noAutofit/>
                        </wps:bodyPr>
                      </wps:wsp>
                      <wps:wsp>
                        <wps:cNvPr id="207" name="Graphic 207"/>
                        <wps:cNvSpPr/>
                        <wps:spPr>
                          <a:xfrm>
                            <a:off x="4064149" y="2643931"/>
                            <a:ext cx="208279" cy="871219"/>
                          </a:xfrm>
                          <a:custGeom>
                            <a:avLst/>
                            <a:gdLst/>
                            <a:ahLst/>
                            <a:cxnLst/>
                            <a:rect l="l" t="t" r="r" b="b"/>
                            <a:pathLst>
                              <a:path w="208279" h="871219">
                                <a:moveTo>
                                  <a:pt x="207710" y="870957"/>
                                </a:moveTo>
                                <a:lnTo>
                                  <a:pt x="926" y="652689"/>
                                </a:lnTo>
                                <a:lnTo>
                                  <a:pt x="1720" y="593235"/>
                                </a:lnTo>
                                <a:lnTo>
                                  <a:pt x="2215" y="538308"/>
                                </a:lnTo>
                                <a:lnTo>
                                  <a:pt x="2223" y="483396"/>
                                </a:lnTo>
                                <a:lnTo>
                                  <a:pt x="1499" y="428497"/>
                                </a:lnTo>
                                <a:lnTo>
                                  <a:pt x="513" y="378411"/>
                                </a:lnTo>
                                <a:lnTo>
                                  <a:pt x="2" y="336219"/>
                                </a:lnTo>
                                <a:lnTo>
                                  <a:pt x="0" y="278168"/>
                                </a:lnTo>
                                <a:lnTo>
                                  <a:pt x="1116" y="228002"/>
                                </a:lnTo>
                                <a:lnTo>
                                  <a:pt x="1486" y="215571"/>
                                </a:lnTo>
                                <a:lnTo>
                                  <a:pt x="1698" y="203060"/>
                                </a:lnTo>
                                <a:lnTo>
                                  <a:pt x="1690" y="190566"/>
                                </a:lnTo>
                                <a:lnTo>
                                  <a:pt x="1330" y="174818"/>
                                </a:lnTo>
                                <a:lnTo>
                                  <a:pt x="485" y="135147"/>
                                </a:lnTo>
                                <a:lnTo>
                                  <a:pt x="628" y="92180"/>
                                </a:lnTo>
                                <a:lnTo>
                                  <a:pt x="1427" y="49292"/>
                                </a:lnTo>
                                <a:lnTo>
                                  <a:pt x="53687" y="19895"/>
                                </a:lnTo>
                                <a:lnTo>
                                  <a:pt x="97528" y="6631"/>
                                </a:lnTo>
                                <a:lnTo>
                                  <a:pt x="142434" y="0"/>
                                </a:lnTo>
                                <a:lnTo>
                                  <a:pt x="187695" y="0"/>
                                </a:lnTo>
                                <a:lnTo>
                                  <a:pt x="206133" y="2722"/>
                                </a:lnTo>
                                <a:lnTo>
                                  <a:pt x="206032" y="42124"/>
                                </a:lnTo>
                                <a:lnTo>
                                  <a:pt x="205491" y="81580"/>
                                </a:lnTo>
                                <a:lnTo>
                                  <a:pt x="205410" y="92180"/>
                                </a:lnTo>
                                <a:lnTo>
                                  <a:pt x="205434" y="135147"/>
                                </a:lnTo>
                                <a:lnTo>
                                  <a:pt x="205576" y="174818"/>
                                </a:lnTo>
                                <a:lnTo>
                                  <a:pt x="205392" y="228618"/>
                                </a:lnTo>
                                <a:lnTo>
                                  <a:pt x="205081" y="282420"/>
                                </a:lnTo>
                                <a:lnTo>
                                  <a:pt x="204894" y="336219"/>
                                </a:lnTo>
                                <a:lnTo>
                                  <a:pt x="205080" y="390013"/>
                                </a:lnTo>
                                <a:lnTo>
                                  <a:pt x="205888" y="443798"/>
                                </a:lnTo>
                                <a:lnTo>
                                  <a:pt x="205989" y="652689"/>
                                </a:lnTo>
                                <a:lnTo>
                                  <a:pt x="206067" y="716238"/>
                                </a:lnTo>
                                <a:lnTo>
                                  <a:pt x="207710" y="870957"/>
                                </a:lnTo>
                                <a:close/>
                              </a:path>
                            </a:pathLst>
                          </a:custGeom>
                          <a:solidFill>
                            <a:srgbClr val="1B6094"/>
                          </a:solidFill>
                        </wps:spPr>
                        <wps:bodyPr wrap="square" lIns="0" tIns="0" rIns="0" bIns="0" rtlCol="0">
                          <a:prstTxWarp prst="textNoShape">
                            <a:avLst/>
                          </a:prstTxWarp>
                          <a:noAutofit/>
                        </wps:bodyPr>
                      </wps:wsp>
                      <wps:wsp>
                        <wps:cNvPr id="208" name="Graphic 208"/>
                        <wps:cNvSpPr/>
                        <wps:spPr>
                          <a:xfrm>
                            <a:off x="3904771" y="2681185"/>
                            <a:ext cx="176530" cy="632460"/>
                          </a:xfrm>
                          <a:custGeom>
                            <a:avLst/>
                            <a:gdLst/>
                            <a:ahLst/>
                            <a:cxnLst/>
                            <a:rect l="l" t="t" r="r" b="b"/>
                            <a:pathLst>
                              <a:path w="176530" h="632460">
                                <a:moveTo>
                                  <a:pt x="176329" y="632349"/>
                                </a:moveTo>
                                <a:lnTo>
                                  <a:pt x="95026" y="546532"/>
                                </a:lnTo>
                                <a:lnTo>
                                  <a:pt x="65990" y="511462"/>
                                </a:lnTo>
                                <a:lnTo>
                                  <a:pt x="42234" y="473507"/>
                                </a:lnTo>
                                <a:lnTo>
                                  <a:pt x="23756" y="433244"/>
                                </a:lnTo>
                                <a:lnTo>
                                  <a:pt x="10558" y="391250"/>
                                </a:lnTo>
                                <a:lnTo>
                                  <a:pt x="2639" y="348102"/>
                                </a:lnTo>
                                <a:lnTo>
                                  <a:pt x="0" y="304376"/>
                                </a:lnTo>
                                <a:lnTo>
                                  <a:pt x="2639" y="260651"/>
                                </a:lnTo>
                                <a:lnTo>
                                  <a:pt x="10558" y="217502"/>
                                </a:lnTo>
                                <a:lnTo>
                                  <a:pt x="23756" y="175508"/>
                                </a:lnTo>
                                <a:lnTo>
                                  <a:pt x="42234" y="135245"/>
                                </a:lnTo>
                                <a:lnTo>
                                  <a:pt x="65991" y="97290"/>
                                </a:lnTo>
                                <a:lnTo>
                                  <a:pt x="95027" y="62220"/>
                                </a:lnTo>
                                <a:lnTo>
                                  <a:pt x="131416" y="29062"/>
                                </a:lnTo>
                                <a:lnTo>
                                  <a:pt x="170998" y="2535"/>
                                </a:lnTo>
                                <a:lnTo>
                                  <a:pt x="176359" y="0"/>
                                </a:lnTo>
                                <a:lnTo>
                                  <a:pt x="176344" y="4869"/>
                                </a:lnTo>
                                <a:lnTo>
                                  <a:pt x="175838" y="44325"/>
                                </a:lnTo>
                                <a:lnTo>
                                  <a:pt x="175711" y="62220"/>
                                </a:lnTo>
                                <a:lnTo>
                                  <a:pt x="175785" y="97290"/>
                                </a:lnTo>
                                <a:lnTo>
                                  <a:pt x="175912" y="135245"/>
                                </a:lnTo>
                                <a:lnTo>
                                  <a:pt x="175747" y="191364"/>
                                </a:lnTo>
                                <a:lnTo>
                                  <a:pt x="175457" y="245165"/>
                                </a:lnTo>
                                <a:lnTo>
                                  <a:pt x="175299" y="304376"/>
                                </a:lnTo>
                                <a:lnTo>
                                  <a:pt x="175455" y="352759"/>
                                </a:lnTo>
                                <a:lnTo>
                                  <a:pt x="176210" y="406543"/>
                                </a:lnTo>
                                <a:lnTo>
                                  <a:pt x="176329" y="632349"/>
                                </a:lnTo>
                                <a:close/>
                              </a:path>
                            </a:pathLst>
                          </a:custGeom>
                          <a:solidFill>
                            <a:srgbClr val="6B3486"/>
                          </a:solidFill>
                        </wps:spPr>
                        <wps:bodyPr wrap="square" lIns="0" tIns="0" rIns="0" bIns="0" rtlCol="0">
                          <a:prstTxWarp prst="textNoShape">
                            <a:avLst/>
                          </a:prstTxWarp>
                          <a:noAutofit/>
                        </wps:bodyPr>
                      </wps:wsp>
                      <wps:wsp>
                        <wps:cNvPr id="209" name="Graphic 209"/>
                        <wps:cNvSpPr/>
                        <wps:spPr>
                          <a:xfrm>
                            <a:off x="4156938" y="3115163"/>
                            <a:ext cx="619760" cy="609600"/>
                          </a:xfrm>
                          <a:custGeom>
                            <a:avLst/>
                            <a:gdLst/>
                            <a:ahLst/>
                            <a:cxnLst/>
                            <a:rect l="l" t="t" r="r" b="b"/>
                            <a:pathLst>
                              <a:path w="619760" h="609600">
                                <a:moveTo>
                                  <a:pt x="313440" y="609270"/>
                                </a:moveTo>
                                <a:lnTo>
                                  <a:pt x="0" y="278422"/>
                                </a:lnTo>
                                <a:lnTo>
                                  <a:pt x="305396" y="0"/>
                                </a:lnTo>
                                <a:lnTo>
                                  <a:pt x="619425" y="286293"/>
                                </a:lnTo>
                                <a:lnTo>
                                  <a:pt x="313440" y="609270"/>
                                </a:lnTo>
                                <a:close/>
                              </a:path>
                            </a:pathLst>
                          </a:custGeom>
                          <a:solidFill>
                            <a:srgbClr val="1B1818"/>
                          </a:solidFill>
                        </wps:spPr>
                        <wps:bodyPr wrap="square" lIns="0" tIns="0" rIns="0" bIns="0" rtlCol="0">
                          <a:prstTxWarp prst="textNoShape">
                            <a:avLst/>
                          </a:prstTxWarp>
                          <a:noAutofit/>
                        </wps:bodyPr>
                      </wps:wsp>
                      <wps:wsp>
                        <wps:cNvPr id="210" name="Graphic 210"/>
                        <wps:cNvSpPr/>
                        <wps:spPr>
                          <a:xfrm>
                            <a:off x="4217693" y="3234681"/>
                            <a:ext cx="498475" cy="490220"/>
                          </a:xfrm>
                          <a:custGeom>
                            <a:avLst/>
                            <a:gdLst/>
                            <a:ahLst/>
                            <a:cxnLst/>
                            <a:rect l="l" t="t" r="r" b="b"/>
                            <a:pathLst>
                              <a:path w="498475" h="490220">
                                <a:moveTo>
                                  <a:pt x="252686" y="489752"/>
                                </a:moveTo>
                                <a:lnTo>
                                  <a:pt x="0" y="223032"/>
                                </a:lnTo>
                                <a:lnTo>
                                  <a:pt x="244643" y="0"/>
                                </a:lnTo>
                                <a:lnTo>
                                  <a:pt x="497916" y="230904"/>
                                </a:lnTo>
                                <a:lnTo>
                                  <a:pt x="252686" y="489752"/>
                                </a:lnTo>
                                <a:close/>
                              </a:path>
                            </a:pathLst>
                          </a:custGeom>
                          <a:solidFill>
                            <a:srgbClr val="623C2A"/>
                          </a:solidFill>
                        </wps:spPr>
                        <wps:bodyPr wrap="square" lIns="0" tIns="0" rIns="0" bIns="0" rtlCol="0">
                          <a:prstTxWarp prst="textNoShape">
                            <a:avLst/>
                          </a:prstTxWarp>
                          <a:noAutofit/>
                        </wps:bodyPr>
                      </wps:wsp>
                      <wps:wsp>
                        <wps:cNvPr id="211" name="Graphic 211"/>
                        <wps:cNvSpPr/>
                        <wps:spPr>
                          <a:xfrm>
                            <a:off x="4278729" y="3354750"/>
                            <a:ext cx="375920" cy="370205"/>
                          </a:xfrm>
                          <a:custGeom>
                            <a:avLst/>
                            <a:gdLst/>
                            <a:ahLst/>
                            <a:cxnLst/>
                            <a:rect l="l" t="t" r="r" b="b"/>
                            <a:pathLst>
                              <a:path w="375920" h="370205">
                                <a:moveTo>
                                  <a:pt x="191650" y="369683"/>
                                </a:moveTo>
                                <a:lnTo>
                                  <a:pt x="0" y="167389"/>
                                </a:lnTo>
                                <a:lnTo>
                                  <a:pt x="183607" y="0"/>
                                </a:lnTo>
                                <a:lnTo>
                                  <a:pt x="375846" y="175259"/>
                                </a:lnTo>
                                <a:lnTo>
                                  <a:pt x="191650" y="369683"/>
                                </a:lnTo>
                                <a:close/>
                              </a:path>
                            </a:pathLst>
                          </a:custGeom>
                          <a:solidFill>
                            <a:srgbClr val="79CBDD"/>
                          </a:solidFill>
                        </wps:spPr>
                        <wps:bodyPr wrap="square" lIns="0" tIns="0" rIns="0" bIns="0" rtlCol="0">
                          <a:prstTxWarp prst="textNoShape">
                            <a:avLst/>
                          </a:prstTxWarp>
                          <a:noAutofit/>
                        </wps:bodyPr>
                      </wps:wsp>
                      <wps:wsp>
                        <wps:cNvPr id="212" name="Graphic 212"/>
                        <wps:cNvSpPr/>
                        <wps:spPr>
                          <a:xfrm>
                            <a:off x="4339608" y="3474515"/>
                            <a:ext cx="254635" cy="250190"/>
                          </a:xfrm>
                          <a:custGeom>
                            <a:avLst/>
                            <a:gdLst/>
                            <a:ahLst/>
                            <a:cxnLst/>
                            <a:rect l="l" t="t" r="r" b="b"/>
                            <a:pathLst>
                              <a:path w="254635" h="250190">
                                <a:moveTo>
                                  <a:pt x="130771" y="249919"/>
                                </a:moveTo>
                                <a:lnTo>
                                  <a:pt x="0" y="111885"/>
                                </a:lnTo>
                                <a:lnTo>
                                  <a:pt x="122727" y="0"/>
                                </a:lnTo>
                                <a:lnTo>
                                  <a:pt x="254086" y="119756"/>
                                </a:lnTo>
                                <a:lnTo>
                                  <a:pt x="130771" y="249919"/>
                                </a:lnTo>
                                <a:close/>
                              </a:path>
                            </a:pathLst>
                          </a:custGeom>
                          <a:solidFill>
                            <a:srgbClr val="E4A1C7"/>
                          </a:solidFill>
                        </wps:spPr>
                        <wps:bodyPr wrap="square" lIns="0" tIns="0" rIns="0" bIns="0" rtlCol="0">
                          <a:prstTxWarp prst="textNoShape">
                            <a:avLst/>
                          </a:prstTxWarp>
                          <a:noAutofit/>
                        </wps:bodyPr>
                      </wps:wsp>
                      <wps:wsp>
                        <wps:cNvPr id="213" name="Graphic 213"/>
                        <wps:cNvSpPr/>
                        <wps:spPr>
                          <a:xfrm>
                            <a:off x="4400703" y="3594699"/>
                            <a:ext cx="132080" cy="130175"/>
                          </a:xfrm>
                          <a:custGeom>
                            <a:avLst/>
                            <a:gdLst/>
                            <a:ahLst/>
                            <a:cxnLst/>
                            <a:rect l="l" t="t" r="r" b="b"/>
                            <a:pathLst>
                              <a:path w="132080" h="130175">
                                <a:moveTo>
                                  <a:pt x="69676" y="129734"/>
                                </a:moveTo>
                                <a:lnTo>
                                  <a:pt x="0" y="56188"/>
                                </a:lnTo>
                                <a:lnTo>
                                  <a:pt x="61633" y="0"/>
                                </a:lnTo>
                                <a:lnTo>
                                  <a:pt x="131897" y="64058"/>
                                </a:lnTo>
                                <a:lnTo>
                                  <a:pt x="69676" y="129734"/>
                                </a:lnTo>
                                <a:close/>
                              </a:path>
                            </a:pathLst>
                          </a:custGeom>
                          <a:solidFill>
                            <a:srgbClr val="E6E7E7"/>
                          </a:solidFill>
                        </wps:spPr>
                        <wps:bodyPr wrap="square" lIns="0" tIns="0" rIns="0" bIns="0" rtlCol="0">
                          <a:prstTxWarp prst="textNoShape">
                            <a:avLst/>
                          </a:prstTxWarp>
                          <a:noAutofit/>
                        </wps:bodyPr>
                      </wps:wsp>
                    </wpg:wgp>
                  </a:graphicData>
                </a:graphic>
              </wp:anchor>
            </w:drawing>
          </mc:Choice>
          <mc:Fallback>
            <w:pict>
              <v:group style="position:absolute;margin-left:-.000012pt;margin-top:-.000041pt;width:612pt;height:433.25pt;mso-position-horizontal-relative:page;mso-position-vertical-relative:page;z-index:-20739072" id="docshapegroup165" coordorigin="0,0" coordsize="12240,8665">
                <v:shape style="position:absolute;left:0;top:0;width:12240;height:5042" type="#_x0000_t75" id="docshape166" stroked="false">
                  <v:imagedata r:id="rId172" o:title=""/>
                </v:shape>
                <v:shape style="position:absolute;left:7839;top:1158;width:2333;height:2332" type="#_x0000_t75" id="docshape167" stroked="false">
                  <v:imagedata r:id="rId98" o:title=""/>
                </v:shape>
                <v:shape style="position:absolute;left:7818;top:1136;width:2375;height:2375" id="docshape168"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67;height:4045" id="docshape169" coordorigin="1032,4620" coordsize="5467,4045" path="m5935,8664l1602,8664,1524,8659,1450,8644,1380,8619,1314,8586,1254,8545,1199,8497,1151,8442,1110,8382,1077,8316,1052,8246,1037,8171,1032,8094,1032,5190,1037,5112,1052,5038,1077,4968,1110,4902,1151,4841,1199,4787,1254,4739,1314,4698,1380,4665,1450,4640,1524,4625,1602,4620,5935,4620,6013,4625,6087,4640,6157,4665,6223,4698,6284,4739,6338,4787,6387,4841,6428,4902,6461,4968,6485,5038,6498,5102,6498,8182,6485,8246,6461,8316,6428,8382,6387,8442,6338,8497,6284,8545,6223,8586,6157,8619,6087,8644,6013,8659,5935,8664xe" filled="true" fillcolor="#94abff" stroked="false">
                  <v:path arrowok="t"/>
                  <v:fill opacity="36700f" type="solid"/>
                </v:shape>
                <v:line style="position:absolute" from="6861,6915" to="11229,6915" stroked="true" strokeweight="2.25pt" strokecolor="#001389">
                  <v:stroke dashstyle="shortdash"/>
                </v:line>
                <v:shape style="position:absolute;left:7638;top:4206;width:299;height:1026" id="docshape170" coordorigin="7639,4207" coordsize="299,1026" path="m7639,5233l7641,5098,7642,5021,7642,4925,7641,4838,7639,4760,7639,4695,7639,4602,7640,4523,7641,4503,7641,4492,7641,4464,7641,4444,7639,4377,7639,4309,7641,4241,7642,4207,7668,4219,7730,4261,7788,4313,7833,4369,7871,4428,7900,4492,7921,4558,7933,4626,7937,4695,7933,4764,7921,4831,7900,4898,7871,4961,7833,5021,7788,5076,7639,5233xe" filled="true" fillcolor="#ed3624" stroked="false">
                  <v:path arrowok="t"/>
                  <v:fill type="solid"/>
                </v:shape>
                <v:shape style="position:absolute;left:7328;top:4156;width:325;height:1403" id="docshape171" coordorigin="7329,4157" coordsize="325,1403" path="m7330,5559l7329,5358,7329,5271,7332,5098,7332,5011,7332,4925,7331,4838,7330,4760,7329,4693,7329,4602,7331,4523,7331,4503,7332,4483,7332,4464,7331,4439,7330,4377,7330,4309,7331,4241,7333,4167,7391,4157,7462,4157,7533,4167,7602,4188,7653,4212,7653,4230,7653,4292,7652,4309,7652,4377,7652,4524,7652,4608,7652,4693,7652,4778,7653,4863,7653,5218,7330,5559xe" filled="true" fillcolor="#e88024" stroked="false">
                  <v:path arrowok="t"/>
                  <v:fill type="solid"/>
                </v:shape>
                <v:shape style="position:absolute;left:7019;top:4163;width:328;height:1702" id="docshape172" coordorigin="7019,4164" coordsize="328,1702" path="m7343,4340l7040,4340,7065,4313,7122,4261,7185,4219,7251,4188,7320,4167,7344,4164,7344,4230,7343,4292,7343,4313,7343,4340xm7040,5865l7021,5845,7021,5729,7022,5670,7021,5611,7021,5542,7019,5358,7020,5271,7022,5098,7023,5011,7023,4925,7022,4838,7020,4760,7019,4693,7019,4602,7021,4523,7022,4503,7022,4483,7022,4464,7021,4439,7020,4377,7020,4319,7021,4320,7040,4340,7343,4340,7343,4377,7343,4524,7342,4608,7342,4693,7342,4778,7344,4863,7344,5098,7344,5292,7347,5542,7040,5865xe" filled="true" fillcolor="#ecaf2f" stroked="false">
                  <v:path arrowok="t"/>
                  <v:fill type="solid"/>
                </v:shape>
                <v:shape style="position:absolute;left:6709;top:4166;width:325;height:1693" id="docshape173" coordorigin="6709,4166" coordsize="325,1693" path="m7034,5859l6711,5518,6709,5358,6710,5271,6712,5098,6713,5011,6713,4925,6712,4838,6711,4760,6710,4693,6710,4602,6712,4523,6712,4503,6712,4483,6712,4464,6712,4439,6711,4377,6711,4309,6712,4241,6714,4166,6767,4174,6836,4195,6902,4226,6964,4268,7021,4320,7029,4377,7029,4439,7028,4524,7028,4608,7028,4693,7028,4778,7029,4863,7029,5098,7030,5292,7034,5709,7034,5859xe" filled="true" fillcolor="#009d59" stroked="false">
                  <v:path arrowok="t"/>
                  <v:fill type="solid"/>
                </v:shape>
                <v:shape style="position:absolute;left:6400;top:4163;width:328;height:1372" id="docshape174" coordorigin="6400,4164" coordsize="328,1372" path="m6727,5535l6402,5192,6403,5098,6404,5011,6404,4925,6403,4838,6401,4760,6400,4693,6400,4602,6402,4523,6403,4503,6403,4483,6403,4464,6402,4439,6401,4377,6401,4309,6402,4241,6485,4195,6554,4174,6625,4164,6696,4164,6725,4168,6725,4230,6724,4292,6724,4309,6724,4377,6724,4439,6724,4524,6723,4608,6723,4693,6723,4778,6724,4863,6725,5192,6725,5292,6727,5535xe" filled="true" fillcolor="#1b6094" stroked="false">
                  <v:path arrowok="t"/>
                  <v:fill type="solid"/>
                </v:shape>
                <v:shape style="position:absolute;left:6149;top:4222;width:278;height:996" id="docshape175" coordorigin="6149,4222" coordsize="278,996" path="m6427,5218l6299,5083,6253,5028,6216,4968,6187,4905,6166,4838,6153,4771,6149,4702,6153,4633,6166,4565,6187,4499,6216,4435,6253,4376,6299,4320,6356,4268,6419,4226,6427,4222,6427,4230,6426,4292,6426,4320,6426,4376,6426,4435,6426,4524,6426,4608,6425,4702,6426,4778,6427,4863,6427,5218xe" filled="true" fillcolor="#6b3486" stroked="false">
                  <v:path arrowok="t"/>
                  <v:fill type="solid"/>
                </v:shape>
                <v:shape style="position:absolute;left:6546;top:4905;width:976;height:960" id="docshape176" coordorigin="6546,4906" coordsize="976,960" path="m7040,5865l6546,5344,7027,4906,7522,5357,7040,5865xe" filled="true" fillcolor="#1b1818" stroked="false">
                  <v:path arrowok="t"/>
                  <v:fill type="solid"/>
                </v:shape>
                <v:shape style="position:absolute;left:6642;top:5093;width:785;height:772" id="docshape177" coordorigin="6642,5094" coordsize="785,772" path="m7040,5865l6642,5445,7027,5094,7426,5458,7040,5865xe" filled="true" fillcolor="#623c2a" stroked="false">
                  <v:path arrowok="t"/>
                  <v:fill type="solid"/>
                </v:shape>
                <v:shape style="position:absolute;left:6738;top:5283;width:592;height:583" id="docshape178" coordorigin="6738,5283" coordsize="592,583" path="m7040,5865l6738,5547,7027,5283,7330,5559,7040,5865xe" filled="true" fillcolor="#79cbdd" stroked="false">
                  <v:path arrowok="t"/>
                  <v:fill type="solid"/>
                </v:shape>
                <v:shape style="position:absolute;left:6834;top:5471;width:401;height:394" id="docshape179" coordorigin="6834,5472" coordsize="401,394" path="m7040,5865l6834,5648,7027,5472,7234,5660,7040,5865xe" filled="true" fillcolor="#e4a1c7" stroked="false">
                  <v:path arrowok="t"/>
                  <v:fill type="solid"/>
                </v:shape>
                <v:shape style="position:absolute;left:6930;top:5660;width:208;height:205" id="docshape180" coordorigin="6930,5661" coordsize="208,205" path="m7040,5865l6930,5749,7027,5661,7138,5762,7040,5865xe" filled="true" fillcolor="#e6e7e7" stroked="false">
                  <v:path arrowok="t"/>
                  <v:fill type="solid"/>
                </v:shape>
                <w10:wrap type="none"/>
              </v:group>
            </w:pict>
          </mc:Fallback>
        </mc:AlternateContent>
      </w:r>
    </w:p>
    <w:p>
      <w:pPr>
        <w:pStyle w:val="BodyText"/>
        <w:rPr>
          <w:rFonts w:ascii="Georgia"/>
          <w:sz w:val="20"/>
        </w:rPr>
      </w:pPr>
    </w:p>
    <w:p>
      <w:pPr>
        <w:pStyle w:val="BodyText"/>
        <w:spacing w:before="196" w:after="1"/>
        <w:rPr>
          <w:rFonts w:ascii="Georgia"/>
          <w:sz w:val="20"/>
        </w:rPr>
      </w:pPr>
    </w:p>
    <w:p>
      <w:pPr>
        <w:tabs>
          <w:tab w:pos="5945" w:val="left" w:leader="none"/>
        </w:tabs>
        <w:spacing w:line="240" w:lineRule="auto"/>
        <w:ind w:left="121" w:right="0" w:firstLine="0"/>
        <w:rPr>
          <w:rFonts w:ascii="Georgia"/>
          <w:sz w:val="20"/>
        </w:rPr>
      </w:pPr>
      <w:r>
        <w:rPr>
          <w:rFonts w:ascii="Georgia"/>
          <w:position w:val="80"/>
          <w:sz w:val="20"/>
        </w:rPr>
        <mc:AlternateContent>
          <mc:Choice Requires="wps">
            <w:drawing>
              <wp:inline distT="0" distB="0" distL="0" distR="0">
                <wp:extent cx="3475354" cy="1085215"/>
                <wp:effectExtent l="0" t="0" r="0" b="634"/>
                <wp:docPr id="214" name="Group 214"/>
                <wp:cNvGraphicFramePr>
                  <a:graphicFrameLocks/>
                </wp:cNvGraphicFramePr>
                <a:graphic>
                  <a:graphicData uri="http://schemas.microsoft.com/office/word/2010/wordprocessingGroup">
                    <wpg:wgp>
                      <wpg:cNvPr id="214" name="Group 214"/>
                      <wpg:cNvGrpSpPr/>
                      <wpg:grpSpPr>
                        <a:xfrm>
                          <a:off x="0" y="0"/>
                          <a:ext cx="3475354" cy="1085215"/>
                          <a:chExt cx="3475354" cy="1085215"/>
                        </a:xfrm>
                      </wpg:grpSpPr>
                      <wps:wsp>
                        <wps:cNvPr id="215" name="Graphic 215"/>
                        <wps:cNvSpPr/>
                        <wps:spPr>
                          <a:xfrm>
                            <a:off x="0" y="0"/>
                            <a:ext cx="3475354" cy="1085215"/>
                          </a:xfrm>
                          <a:custGeom>
                            <a:avLst/>
                            <a:gdLst/>
                            <a:ahLst/>
                            <a:cxnLst/>
                            <a:rect l="l" t="t" r="r" b="b"/>
                            <a:pathLst>
                              <a:path w="3475354" h="1085215">
                                <a:moveTo>
                                  <a:pt x="3113779" y="1084970"/>
                                </a:moveTo>
                                <a:lnTo>
                                  <a:pt x="361949" y="1084970"/>
                                </a:lnTo>
                                <a:lnTo>
                                  <a:pt x="312835" y="1081666"/>
                                </a:lnTo>
                                <a:lnTo>
                                  <a:pt x="265729" y="1072041"/>
                                </a:lnTo>
                                <a:lnTo>
                                  <a:pt x="221062" y="1056526"/>
                                </a:lnTo>
                                <a:lnTo>
                                  <a:pt x="179266" y="1035553"/>
                                </a:lnTo>
                                <a:lnTo>
                                  <a:pt x="140773" y="1009553"/>
                                </a:lnTo>
                                <a:lnTo>
                                  <a:pt x="106012" y="978957"/>
                                </a:lnTo>
                                <a:lnTo>
                                  <a:pt x="75416" y="944197"/>
                                </a:lnTo>
                                <a:lnTo>
                                  <a:pt x="49416" y="905703"/>
                                </a:lnTo>
                                <a:lnTo>
                                  <a:pt x="28443" y="863907"/>
                                </a:lnTo>
                                <a:lnTo>
                                  <a:pt x="12929" y="819240"/>
                                </a:lnTo>
                                <a:lnTo>
                                  <a:pt x="3304" y="772134"/>
                                </a:lnTo>
                                <a:lnTo>
                                  <a:pt x="0" y="723020"/>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8" y="0"/>
                                </a:lnTo>
                                <a:lnTo>
                                  <a:pt x="3162893" y="3304"/>
                                </a:lnTo>
                                <a:lnTo>
                                  <a:pt x="3209999" y="12929"/>
                                </a:lnTo>
                                <a:lnTo>
                                  <a:pt x="3254666" y="28443"/>
                                </a:lnTo>
                                <a:lnTo>
                                  <a:pt x="3296461" y="49416"/>
                                </a:lnTo>
                                <a:lnTo>
                                  <a:pt x="3334955" y="75416"/>
                                </a:lnTo>
                                <a:lnTo>
                                  <a:pt x="3369715" y="106012"/>
                                </a:lnTo>
                                <a:lnTo>
                                  <a:pt x="3400311" y="140773"/>
                                </a:lnTo>
                                <a:lnTo>
                                  <a:pt x="3426311" y="179266"/>
                                </a:lnTo>
                                <a:lnTo>
                                  <a:pt x="3447284" y="221062"/>
                                </a:lnTo>
                                <a:lnTo>
                                  <a:pt x="3462799" y="265729"/>
                                </a:lnTo>
                                <a:lnTo>
                                  <a:pt x="3472424" y="312835"/>
                                </a:lnTo>
                                <a:lnTo>
                                  <a:pt x="3475295" y="355509"/>
                                </a:lnTo>
                                <a:lnTo>
                                  <a:pt x="3475295" y="729461"/>
                                </a:lnTo>
                                <a:lnTo>
                                  <a:pt x="3472424" y="772134"/>
                                </a:lnTo>
                                <a:lnTo>
                                  <a:pt x="3462799" y="819240"/>
                                </a:lnTo>
                                <a:lnTo>
                                  <a:pt x="3447284" y="863907"/>
                                </a:lnTo>
                                <a:lnTo>
                                  <a:pt x="3426311" y="905703"/>
                                </a:lnTo>
                                <a:lnTo>
                                  <a:pt x="3400311" y="944197"/>
                                </a:lnTo>
                                <a:lnTo>
                                  <a:pt x="3369715" y="978957"/>
                                </a:lnTo>
                                <a:lnTo>
                                  <a:pt x="3334955" y="1009553"/>
                                </a:lnTo>
                                <a:lnTo>
                                  <a:pt x="3296461" y="1035553"/>
                                </a:lnTo>
                                <a:lnTo>
                                  <a:pt x="3254666" y="1056526"/>
                                </a:lnTo>
                                <a:lnTo>
                                  <a:pt x="3209999" y="1072041"/>
                                </a:lnTo>
                                <a:lnTo>
                                  <a:pt x="3162893" y="1081666"/>
                                </a:lnTo>
                                <a:lnTo>
                                  <a:pt x="3113779" y="1084970"/>
                                </a:lnTo>
                                <a:close/>
                              </a:path>
                            </a:pathLst>
                          </a:custGeom>
                          <a:solidFill>
                            <a:srgbClr val="94ABFF">
                              <a:alpha val="55999"/>
                            </a:srgbClr>
                          </a:solidFill>
                        </wps:spPr>
                        <wps:bodyPr wrap="square" lIns="0" tIns="0" rIns="0" bIns="0" rtlCol="0">
                          <a:prstTxWarp prst="textNoShape">
                            <a:avLst/>
                          </a:prstTxWarp>
                          <a:noAutofit/>
                        </wps:bodyPr>
                      </wps:wsp>
                      <wps:wsp>
                        <wps:cNvPr id="216" name="Textbox 216"/>
                        <wps:cNvSpPr txBox="1"/>
                        <wps:spPr>
                          <a:xfrm>
                            <a:off x="0" y="0"/>
                            <a:ext cx="3475354" cy="1085215"/>
                          </a:xfrm>
                          <a:prstGeom prst="rect">
                            <a:avLst/>
                          </a:prstGeom>
                        </wps:spPr>
                        <wps:txbx>
                          <w:txbxContent>
                            <w:p>
                              <w:pPr>
                                <w:spacing w:before="136"/>
                                <w:ind w:left="202" w:right="0" w:firstLine="0"/>
                                <w:jc w:val="left"/>
                                <w:rPr>
                                  <w:b/>
                                  <w:i/>
                                  <w:sz w:val="34"/>
                                </w:rPr>
                              </w:pPr>
                              <w:r>
                                <w:rPr>
                                  <w:b/>
                                  <w:i/>
                                  <w:spacing w:val="11"/>
                                  <w:w w:val="130"/>
                                  <w:sz w:val="34"/>
                                </w:rPr>
                                <w:t>LEGISLATION</w:t>
                              </w:r>
                            </w:p>
                            <w:p>
                              <w:pPr>
                                <w:spacing w:line="537" w:lineRule="auto" w:before="122"/>
                                <w:ind w:left="211" w:right="275" w:firstLine="0"/>
                                <w:jc w:val="left"/>
                                <w:rPr>
                                  <w:rFonts w:ascii="Georgia"/>
                                  <w:sz w:val="20"/>
                                </w:rPr>
                              </w:pPr>
                              <w:r>
                                <w:rPr>
                                  <w:rFonts w:ascii="Georgia"/>
                                  <w:sz w:val="20"/>
                                </w:rPr>
                                <w:t>S.1242/H.1981: Overdose Prevention Centers S.619/H.1085:</w:t>
                              </w:r>
                              <w:r>
                                <w:rPr>
                                  <w:rFonts w:ascii="Georgia"/>
                                  <w:spacing w:val="-9"/>
                                  <w:sz w:val="20"/>
                                </w:rPr>
                                <w:t> </w:t>
                              </w:r>
                              <w:r>
                                <w:rPr>
                                  <w:rFonts w:ascii="Georgia"/>
                                  <w:sz w:val="20"/>
                                </w:rPr>
                                <w:t>Access</w:t>
                              </w:r>
                              <w:r>
                                <w:rPr>
                                  <w:rFonts w:ascii="Georgia"/>
                                  <w:spacing w:val="-9"/>
                                  <w:sz w:val="20"/>
                                </w:rPr>
                                <w:t> </w:t>
                              </w:r>
                              <w:r>
                                <w:rPr>
                                  <w:rFonts w:ascii="Georgia"/>
                                  <w:sz w:val="20"/>
                                </w:rPr>
                                <w:t>to</w:t>
                              </w:r>
                              <w:r>
                                <w:rPr>
                                  <w:rFonts w:ascii="Georgia"/>
                                  <w:spacing w:val="-9"/>
                                  <w:sz w:val="20"/>
                                </w:rPr>
                                <w:t> </w:t>
                              </w:r>
                              <w:r>
                                <w:rPr>
                                  <w:rFonts w:ascii="Georgia"/>
                                  <w:sz w:val="20"/>
                                </w:rPr>
                                <w:t>HIV</w:t>
                              </w:r>
                              <w:r>
                                <w:rPr>
                                  <w:rFonts w:ascii="Georgia"/>
                                  <w:spacing w:val="-9"/>
                                  <w:sz w:val="20"/>
                                </w:rPr>
                                <w:t> </w:t>
                              </w:r>
                              <w:r>
                                <w:rPr>
                                  <w:rFonts w:ascii="Georgia"/>
                                  <w:sz w:val="20"/>
                                </w:rPr>
                                <w:t>Prevention</w:t>
                              </w:r>
                              <w:r>
                                <w:rPr>
                                  <w:rFonts w:ascii="Georgia"/>
                                  <w:spacing w:val="-9"/>
                                  <w:sz w:val="20"/>
                                </w:rPr>
                                <w:t> </w:t>
                              </w:r>
                              <w:r>
                                <w:rPr>
                                  <w:rFonts w:ascii="Georgia"/>
                                  <w:sz w:val="20"/>
                                </w:rPr>
                                <w:t>Medication</w:t>
                              </w:r>
                            </w:p>
                          </w:txbxContent>
                        </wps:txbx>
                        <wps:bodyPr wrap="square" lIns="0" tIns="0" rIns="0" bIns="0" rtlCol="0">
                          <a:noAutofit/>
                        </wps:bodyPr>
                      </wps:wsp>
                    </wpg:wgp>
                  </a:graphicData>
                </a:graphic>
              </wp:inline>
            </w:drawing>
          </mc:Choice>
          <mc:Fallback>
            <w:pict>
              <v:group style="width:273.650pt;height:85.45pt;mso-position-horizontal-relative:char;mso-position-vertical-relative:line" id="docshapegroup181" coordorigin="0,0" coordsize="5473,1709">
                <v:shape style="position:absolute;left:0;top:0;width:5473;height:1709" id="docshape182" coordorigin="0,0" coordsize="5473,1709" path="m4904,1709l570,1709,493,1703,418,1688,348,1664,282,1631,222,1590,167,1542,119,1487,78,1426,45,1360,20,1290,5,1216,0,1139,0,570,5,493,20,418,45,348,78,282,119,222,167,167,222,119,282,78,348,45,418,20,493,5,570,0,4904,0,4981,5,5055,20,5125,45,5191,78,5252,119,5307,167,5355,222,5396,282,5429,348,5453,418,5468,493,5473,560,5473,1149,5468,1216,5453,1290,5429,1360,5396,1426,5355,1487,5307,1542,5252,1590,5191,1631,5125,1664,5055,1688,4981,1703,4904,1709xe" filled="true" fillcolor="#94abff" stroked="false">
                  <v:path arrowok="t"/>
                  <v:fill opacity="36700f" type="solid"/>
                </v:shape>
                <v:shape style="position:absolute;left:0;top:0;width:5473;height:1709" type="#_x0000_t202" id="docshape183" filled="false" stroked="false">
                  <v:textbox inset="0,0,0,0">
                    <w:txbxContent>
                      <w:p>
                        <w:pPr>
                          <w:spacing w:before="136"/>
                          <w:ind w:left="202" w:right="0" w:firstLine="0"/>
                          <w:jc w:val="left"/>
                          <w:rPr>
                            <w:b/>
                            <w:i/>
                            <w:sz w:val="34"/>
                          </w:rPr>
                        </w:pPr>
                        <w:r>
                          <w:rPr>
                            <w:b/>
                            <w:i/>
                            <w:spacing w:val="11"/>
                            <w:w w:val="130"/>
                            <w:sz w:val="34"/>
                          </w:rPr>
                          <w:t>LEGISLATION</w:t>
                        </w:r>
                      </w:p>
                      <w:p>
                        <w:pPr>
                          <w:spacing w:line="537" w:lineRule="auto" w:before="122"/>
                          <w:ind w:left="211" w:right="275" w:firstLine="0"/>
                          <w:jc w:val="left"/>
                          <w:rPr>
                            <w:rFonts w:ascii="Georgia"/>
                            <w:sz w:val="20"/>
                          </w:rPr>
                        </w:pPr>
                        <w:r>
                          <w:rPr>
                            <w:rFonts w:ascii="Georgia"/>
                            <w:sz w:val="20"/>
                          </w:rPr>
                          <w:t>S.1242/H.1981: Overdose Prevention Centers S.619/H.1085:</w:t>
                        </w:r>
                        <w:r>
                          <w:rPr>
                            <w:rFonts w:ascii="Georgia"/>
                            <w:spacing w:val="-9"/>
                            <w:sz w:val="20"/>
                          </w:rPr>
                          <w:t> </w:t>
                        </w:r>
                        <w:r>
                          <w:rPr>
                            <w:rFonts w:ascii="Georgia"/>
                            <w:sz w:val="20"/>
                          </w:rPr>
                          <w:t>Access</w:t>
                        </w:r>
                        <w:r>
                          <w:rPr>
                            <w:rFonts w:ascii="Georgia"/>
                            <w:spacing w:val="-9"/>
                            <w:sz w:val="20"/>
                          </w:rPr>
                          <w:t> </w:t>
                        </w:r>
                        <w:r>
                          <w:rPr>
                            <w:rFonts w:ascii="Georgia"/>
                            <w:sz w:val="20"/>
                          </w:rPr>
                          <w:t>to</w:t>
                        </w:r>
                        <w:r>
                          <w:rPr>
                            <w:rFonts w:ascii="Georgia"/>
                            <w:spacing w:val="-9"/>
                            <w:sz w:val="20"/>
                          </w:rPr>
                          <w:t> </w:t>
                        </w:r>
                        <w:r>
                          <w:rPr>
                            <w:rFonts w:ascii="Georgia"/>
                            <w:sz w:val="20"/>
                          </w:rPr>
                          <w:t>HIV</w:t>
                        </w:r>
                        <w:r>
                          <w:rPr>
                            <w:rFonts w:ascii="Georgia"/>
                            <w:spacing w:val="-9"/>
                            <w:sz w:val="20"/>
                          </w:rPr>
                          <w:t> </w:t>
                        </w:r>
                        <w:r>
                          <w:rPr>
                            <w:rFonts w:ascii="Georgia"/>
                            <w:sz w:val="20"/>
                          </w:rPr>
                          <w:t>Prevention</w:t>
                        </w:r>
                        <w:r>
                          <w:rPr>
                            <w:rFonts w:ascii="Georgia"/>
                            <w:spacing w:val="-9"/>
                            <w:sz w:val="20"/>
                          </w:rPr>
                          <w:t> </w:t>
                        </w:r>
                        <w:r>
                          <w:rPr>
                            <w:rFonts w:ascii="Georgia"/>
                            <w:sz w:val="20"/>
                          </w:rPr>
                          <w:t>Medication</w:t>
                        </w:r>
                      </w:p>
                    </w:txbxContent>
                  </v:textbox>
                  <w10:wrap type="none"/>
                </v:shape>
              </v:group>
            </w:pict>
          </mc:Fallback>
        </mc:AlternateContent>
      </w:r>
      <w:r>
        <w:rPr>
          <w:rFonts w:ascii="Georgia"/>
          <w:position w:val="80"/>
          <w:sz w:val="20"/>
        </w:rPr>
      </w:r>
      <w:r>
        <w:rPr>
          <w:rFonts w:ascii="Georgia"/>
          <w:position w:val="80"/>
          <w:sz w:val="20"/>
        </w:rPr>
        <w:tab/>
      </w:r>
      <w:r>
        <w:rPr>
          <w:rFonts w:ascii="Georgia"/>
          <w:sz w:val="20"/>
        </w:rPr>
        <w:drawing>
          <wp:inline distT="0" distB="0" distL="0" distR="0">
            <wp:extent cx="3121626" cy="2195512"/>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73" cstate="print"/>
                    <a:stretch>
                      <a:fillRect/>
                    </a:stretch>
                  </pic:blipFill>
                  <pic:spPr>
                    <a:xfrm>
                      <a:off x="0" y="0"/>
                      <a:ext cx="3121626" cy="2195512"/>
                    </a:xfrm>
                    <a:prstGeom prst="rect">
                      <a:avLst/>
                    </a:prstGeom>
                  </pic:spPr>
                </pic:pic>
              </a:graphicData>
            </a:graphic>
          </wp:inline>
        </w:drawing>
      </w:r>
      <w:r>
        <w:rPr>
          <w:rFonts w:ascii="Georgia"/>
          <w:sz w:val="20"/>
        </w:rPr>
      </w:r>
    </w:p>
    <w:p>
      <w:pPr>
        <w:spacing w:after="0" w:line="240" w:lineRule="auto"/>
        <w:rPr>
          <w:rFonts w:ascii="Georgia"/>
          <w:sz w:val="20"/>
        </w:rPr>
        <w:sectPr>
          <w:type w:val="continuous"/>
          <w:pgSz w:w="12240" w:h="15840"/>
          <w:pgMar w:header="0" w:footer="0" w:top="1420" w:bottom="280" w:left="920" w:right="340"/>
        </w:sectPr>
      </w:pPr>
    </w:p>
    <w:p>
      <w:pPr>
        <w:pStyle w:val="BodyText"/>
        <w:spacing w:before="3"/>
        <w:rPr>
          <w:rFonts w:ascii="Georgia"/>
          <w:sz w:val="11"/>
        </w:rPr>
      </w:pPr>
    </w:p>
    <w:p>
      <w:pPr>
        <w:pStyle w:val="BodyText"/>
        <w:spacing w:line="20" w:lineRule="exact"/>
        <w:ind w:left="420"/>
        <w:rPr>
          <w:rFonts w:ascii="Georgia"/>
          <w:sz w:val="2"/>
        </w:rPr>
      </w:pPr>
      <w:r>
        <w:rPr>
          <w:rFonts w:ascii="Georgia"/>
          <w:sz w:val="2"/>
        </w:rPr>
        <mc:AlternateContent>
          <mc:Choice Requires="wps">
            <w:drawing>
              <wp:inline distT="0" distB="0" distL="0" distR="0">
                <wp:extent cx="6350" cy="12700"/>
                <wp:effectExtent l="0" t="0" r="0" b="0"/>
                <wp:docPr id="221" name="Group 221"/>
                <wp:cNvGraphicFramePr>
                  <a:graphicFrameLocks/>
                </wp:cNvGraphicFramePr>
                <a:graphic>
                  <a:graphicData uri="http://schemas.microsoft.com/office/word/2010/wordprocessingGroup">
                    <wpg:wgp>
                      <wpg:cNvPr id="221" name="Group 221"/>
                      <wpg:cNvGrpSpPr/>
                      <wpg:grpSpPr>
                        <a:xfrm>
                          <a:off x="0" y="0"/>
                          <a:ext cx="6350" cy="12700"/>
                          <a:chExt cx="6350" cy="12700"/>
                        </a:xfrm>
                      </wpg:grpSpPr>
                      <wps:wsp>
                        <wps:cNvPr id="222" name="Graphic 222"/>
                        <wps:cNvSpPr/>
                        <wps:spPr>
                          <a:xfrm>
                            <a:off x="0"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0F6DC5"/>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187" coordorigin="0,0" coordsize="10,20">
                <v:rect style="position:absolute;left:0;top:0;width:10;height:20" id="docshape188" filled="true" fillcolor="#0f6dc5" stroked="false">
                  <v:fill type="solid"/>
                </v:rect>
              </v:group>
            </w:pict>
          </mc:Fallback>
        </mc:AlternateContent>
      </w:r>
      <w:r>
        <w:rPr>
          <w:rFonts w:ascii="Georgia"/>
          <w:sz w:val="2"/>
        </w:rPr>
      </w:r>
    </w:p>
    <w:p>
      <w:pPr>
        <w:pStyle w:val="Heading7"/>
        <w:ind w:left="463"/>
      </w:pPr>
      <w:bookmarkStart w:name="FY 2025 - Mental Health - Final.pdf" w:id="233"/>
      <w:bookmarkEnd w:id="233"/>
      <w:r>
        <w:rPr/>
      </w:r>
      <w:bookmarkStart w:name="_bookmark103" w:id="234"/>
      <w:bookmarkEnd w:id="234"/>
      <w:r>
        <w:rPr/>
      </w:r>
      <w:hyperlink w:history="true" w:anchor="_bookmark3">
        <w:r>
          <w:rPr>
            <w:color w:val="365F91"/>
            <w:spacing w:val="-10"/>
          </w:rPr>
          <w:t>Supporting</w:t>
        </w:r>
        <w:r>
          <w:rPr>
            <w:color w:val="365F91"/>
            <w:spacing w:val="-2"/>
          </w:rPr>
          <w:t> </w:t>
        </w:r>
        <w:r>
          <w:rPr>
            <w:color w:val="365F91"/>
            <w:spacing w:val="-10"/>
          </w:rPr>
          <w:t>Mental</w:t>
        </w:r>
        <w:r>
          <w:rPr>
            <w:color w:val="365F91"/>
            <w:spacing w:val="-2"/>
          </w:rPr>
          <w:t> </w:t>
        </w:r>
        <w:r>
          <w:rPr>
            <w:color w:val="365F91"/>
            <w:spacing w:val="-10"/>
          </w:rPr>
          <w:t>Health</w:t>
        </w:r>
      </w:hyperlink>
    </w:p>
    <w:p>
      <w:pPr>
        <w:spacing w:before="312"/>
        <w:ind w:left="463" w:right="0" w:firstLine="0"/>
        <w:jc w:val="left"/>
        <w:rPr>
          <w:sz w:val="28"/>
        </w:rPr>
      </w:pPr>
      <w:bookmarkStart w:name="Introduction" w:id="235"/>
      <w:bookmarkEnd w:id="235"/>
      <w:r>
        <w:rPr/>
      </w: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616512">
                <wp:simplePos x="0" y="0"/>
                <wp:positionH relativeFrom="page">
                  <wp:posOffset>897636</wp:posOffset>
                </wp:positionH>
                <wp:positionV relativeFrom="paragraph">
                  <wp:posOffset>45670</wp:posOffset>
                </wp:positionV>
                <wp:extent cx="6052820" cy="635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6052820" cy="6350"/>
                        </a:xfrm>
                        <a:custGeom>
                          <a:avLst/>
                          <a:gdLst/>
                          <a:ahLst/>
                          <a:cxnLst/>
                          <a:rect l="l" t="t" r="r" b="b"/>
                          <a:pathLst>
                            <a:path w="6052820" h="6350">
                              <a:moveTo>
                                <a:pt x="6052578" y="0"/>
                              </a:moveTo>
                              <a:lnTo>
                                <a:pt x="0" y="0"/>
                              </a:lnTo>
                              <a:lnTo>
                                <a:pt x="0" y="6096"/>
                              </a:lnTo>
                              <a:lnTo>
                                <a:pt x="6052578" y="6096"/>
                              </a:lnTo>
                              <a:lnTo>
                                <a:pt x="605257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96094pt;width:476.581pt;height:.48pt;mso-position-horizontal-relative:page;mso-position-vertical-relative:paragraph;z-index:-15699968;mso-wrap-distance-left:0;mso-wrap-distance-right:0" id="docshape189" filled="true" fillcolor="#4f81bc" stroked="false">
                <v:fill type="solid"/>
                <w10:wrap type="topAndBottom"/>
              </v:rect>
            </w:pict>
          </mc:Fallback>
        </mc:AlternateContent>
      </w:r>
      <w:r>
        <w:rPr/>
        <mc:AlternateContent>
          <mc:Choice Requires="wps">
            <w:drawing>
              <wp:anchor distT="0" distB="0" distL="0" distR="0" allowOverlap="1" layoutInCell="1" locked="0" behindDoc="1" simplePos="0" relativeHeight="487617024">
                <wp:simplePos x="0" y="0"/>
                <wp:positionH relativeFrom="page">
                  <wp:posOffset>889000</wp:posOffset>
                </wp:positionH>
                <wp:positionV relativeFrom="paragraph">
                  <wp:posOffset>230188</wp:posOffset>
                </wp:positionV>
                <wp:extent cx="6350" cy="1270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18.125093pt;width:.499pt;height:.962pt;mso-position-horizontal-relative:page;mso-position-vertical-relative:paragraph;z-index:-15699456;mso-wrap-distance-left:0;mso-wrap-distance-right:0" id="docshape190" filled="true" fillcolor="#0f6dc5" stroked="false">
                <v:fill type="solid"/>
                <w10:wrap type="topAndBottom"/>
              </v:rect>
            </w:pict>
          </mc:Fallback>
        </mc:AlternateContent>
      </w:r>
    </w:p>
    <w:p>
      <w:pPr>
        <w:pStyle w:val="BodyText"/>
        <w:spacing w:before="12"/>
        <w:rPr>
          <w:sz w:val="20"/>
        </w:rPr>
      </w:pPr>
    </w:p>
    <w:p>
      <w:pPr>
        <w:spacing w:line="276" w:lineRule="auto" w:before="1"/>
        <w:ind w:left="463" w:right="241" w:firstLine="0"/>
        <w:jc w:val="both"/>
        <w:rPr>
          <w:i/>
          <w:sz w:val="22"/>
        </w:rPr>
      </w:pPr>
      <w:bookmarkStart w:name="(first published in FY 2024 Annual Recom" w:id="236"/>
      <w:bookmarkEnd w:id="236"/>
      <w:r>
        <w:rPr/>
      </w:r>
      <w:r>
        <w:rPr>
          <w:i/>
          <w:sz w:val="22"/>
        </w:rPr>
        <w:t>(first published in FY 2024 Annual Recommendations Report, minor updates made to bring current to FY</w:t>
      </w:r>
      <w:r>
        <w:rPr>
          <w:i/>
          <w:sz w:val="22"/>
        </w:rPr>
        <w:t> </w:t>
      </w:r>
      <w:r>
        <w:rPr>
          <w:i/>
          <w:spacing w:val="-2"/>
          <w:sz w:val="22"/>
        </w:rPr>
        <w:t>2025)</w:t>
      </w:r>
    </w:p>
    <w:p>
      <w:pPr>
        <w:spacing w:line="276" w:lineRule="auto" w:before="240"/>
        <w:ind w:left="463" w:right="238" w:firstLine="0"/>
        <w:jc w:val="both"/>
        <w:rPr>
          <w:sz w:val="21"/>
        </w:rPr>
      </w:pPr>
      <w:r>
        <w:rPr>
          <w:sz w:val="21"/>
        </w:rPr>
        <w:t>The personal is political – and that includes mental health. Across the Commonwealth, LGBTQ youth mental health</w:t>
      </w:r>
      <w:r>
        <w:rPr>
          <w:spacing w:val="-3"/>
          <w:sz w:val="21"/>
        </w:rPr>
        <w:t> </w:t>
      </w:r>
      <w:r>
        <w:rPr>
          <w:sz w:val="21"/>
        </w:rPr>
        <w:t>is</w:t>
      </w:r>
      <w:r>
        <w:rPr>
          <w:spacing w:val="-3"/>
          <w:sz w:val="21"/>
        </w:rPr>
        <w:t> </w:t>
      </w:r>
      <w:r>
        <w:rPr>
          <w:sz w:val="21"/>
        </w:rPr>
        <w:t>in</w:t>
      </w:r>
      <w:r>
        <w:rPr>
          <w:spacing w:val="-3"/>
          <w:sz w:val="21"/>
        </w:rPr>
        <w:t> </w:t>
      </w:r>
      <w:r>
        <w:rPr>
          <w:sz w:val="21"/>
        </w:rPr>
        <w:t>crisis.</w:t>
      </w:r>
      <w:r>
        <w:rPr>
          <w:spacing w:val="-3"/>
          <w:sz w:val="21"/>
        </w:rPr>
        <w:t> </w:t>
      </w:r>
      <w:r>
        <w:rPr>
          <w:sz w:val="21"/>
        </w:rPr>
        <w:t>Last</w:t>
      </w:r>
      <w:r>
        <w:rPr>
          <w:spacing w:val="-2"/>
          <w:sz w:val="21"/>
        </w:rPr>
        <w:t> </w:t>
      </w:r>
      <w:r>
        <w:rPr>
          <w:sz w:val="21"/>
        </w:rPr>
        <w:t>year,</w:t>
      </w:r>
      <w:r>
        <w:rPr>
          <w:spacing w:val="-2"/>
          <w:sz w:val="21"/>
        </w:rPr>
        <w:t> </w:t>
      </w:r>
      <w:r>
        <w:rPr>
          <w:sz w:val="21"/>
        </w:rPr>
        <w:t>LGBTQ</w:t>
      </w:r>
      <w:r>
        <w:rPr>
          <w:spacing w:val="-3"/>
          <w:sz w:val="21"/>
        </w:rPr>
        <w:t> </w:t>
      </w:r>
      <w:r>
        <w:rPr>
          <w:sz w:val="21"/>
        </w:rPr>
        <w:t>youth</w:t>
      </w:r>
      <w:r>
        <w:rPr>
          <w:spacing w:val="-3"/>
          <w:sz w:val="21"/>
        </w:rPr>
        <w:t> </w:t>
      </w:r>
      <w:r>
        <w:rPr>
          <w:sz w:val="21"/>
        </w:rPr>
        <w:t>reported</w:t>
      </w:r>
      <w:r>
        <w:rPr>
          <w:spacing w:val="-3"/>
          <w:sz w:val="21"/>
        </w:rPr>
        <w:t> </w:t>
      </w:r>
      <w:r>
        <w:rPr>
          <w:sz w:val="21"/>
        </w:rPr>
        <w:t>alarmingly</w:t>
      </w:r>
      <w:r>
        <w:rPr>
          <w:spacing w:val="-3"/>
          <w:sz w:val="21"/>
        </w:rPr>
        <w:t> </w:t>
      </w:r>
      <w:r>
        <w:rPr>
          <w:sz w:val="21"/>
        </w:rPr>
        <w:t>high</w:t>
      </w:r>
      <w:r>
        <w:rPr>
          <w:spacing w:val="-3"/>
          <w:sz w:val="21"/>
        </w:rPr>
        <w:t> </w:t>
      </w:r>
      <w:r>
        <w:rPr>
          <w:sz w:val="21"/>
        </w:rPr>
        <w:t>levels</w:t>
      </w:r>
      <w:r>
        <w:rPr>
          <w:spacing w:val="-3"/>
          <w:sz w:val="21"/>
        </w:rPr>
        <w:t> </w:t>
      </w:r>
      <w:r>
        <w:rPr>
          <w:sz w:val="21"/>
        </w:rPr>
        <w:t>of</w:t>
      </w:r>
      <w:r>
        <w:rPr>
          <w:spacing w:val="-3"/>
          <w:sz w:val="21"/>
        </w:rPr>
        <w:t> </w:t>
      </w:r>
      <w:r>
        <w:rPr>
          <w:sz w:val="21"/>
        </w:rPr>
        <w:t>depression,</w:t>
      </w:r>
      <w:r>
        <w:rPr>
          <w:spacing w:val="-2"/>
          <w:sz w:val="21"/>
        </w:rPr>
        <w:t> </w:t>
      </w:r>
      <w:r>
        <w:rPr>
          <w:sz w:val="21"/>
        </w:rPr>
        <w:t>anxiety,</w:t>
      </w:r>
      <w:r>
        <w:rPr>
          <w:spacing w:val="-3"/>
          <w:sz w:val="21"/>
        </w:rPr>
        <w:t> </w:t>
      </w:r>
      <w:r>
        <w:rPr>
          <w:sz w:val="21"/>
        </w:rPr>
        <w:t>suicidality,</w:t>
      </w:r>
      <w:r>
        <w:rPr>
          <w:spacing w:val="-3"/>
          <w:sz w:val="21"/>
        </w:rPr>
        <w:t> </w:t>
      </w:r>
      <w:r>
        <w:rPr>
          <w:sz w:val="21"/>
        </w:rPr>
        <w:t>and trauma, yet most who wanted mental healthcare did not receive it. In this report, the Commission discusses ways that allies across many fields can promote evidence-based, intersectional, and trauma-informed mental healthcare for LGBTQ youth, all while highlighting youths’ voices and strengths. From the classroom to the campaign trail, discrimination wears down LGBTQ youths’ physical, social, and mental health on an everyday basis; LGBTQ youth mental health is a community-wide issue that deserves community-based solutions – and everyone has a part to play. For this dedicated section on mental health, the Commission’s recommendations center around three key principles: recognize that discrimination causes trauma, invest in early intervention, and fuel systemic change rather than focusing only on individual therapy.</w:t>
      </w:r>
    </w:p>
    <w:p>
      <w:pPr>
        <w:spacing w:before="240"/>
        <w:ind w:left="515" w:right="290" w:firstLine="0"/>
        <w:jc w:val="center"/>
        <w:rPr>
          <w:i/>
          <w:sz w:val="21"/>
        </w:rPr>
      </w:pPr>
      <w:r>
        <w:rPr>
          <w:i/>
          <w:color w:val="4F81BC"/>
          <w:sz w:val="21"/>
        </w:rPr>
        <w:t>“If</w:t>
      </w:r>
      <w:r>
        <w:rPr>
          <w:i/>
          <w:color w:val="4F81BC"/>
          <w:spacing w:val="-2"/>
          <w:sz w:val="21"/>
        </w:rPr>
        <w:t> </w:t>
      </w:r>
      <w:r>
        <w:rPr>
          <w:i/>
          <w:color w:val="4F81BC"/>
          <w:sz w:val="21"/>
        </w:rPr>
        <w:t>I</w:t>
      </w:r>
      <w:r>
        <w:rPr>
          <w:i/>
          <w:color w:val="4F81BC"/>
          <w:spacing w:val="-2"/>
          <w:sz w:val="21"/>
        </w:rPr>
        <w:t> </w:t>
      </w:r>
      <w:r>
        <w:rPr>
          <w:i/>
          <w:color w:val="4F81BC"/>
          <w:sz w:val="21"/>
        </w:rPr>
        <w:t>am</w:t>
      </w:r>
      <w:r>
        <w:rPr>
          <w:i/>
          <w:color w:val="4F81BC"/>
          <w:spacing w:val="-2"/>
          <w:sz w:val="21"/>
        </w:rPr>
        <w:t> </w:t>
      </w:r>
      <w:r>
        <w:rPr>
          <w:i/>
          <w:color w:val="4F81BC"/>
          <w:sz w:val="21"/>
        </w:rPr>
        <w:t>depressed</w:t>
      </w:r>
      <w:r>
        <w:rPr>
          <w:i/>
          <w:color w:val="4F81BC"/>
          <w:spacing w:val="-2"/>
          <w:sz w:val="21"/>
        </w:rPr>
        <w:t> </w:t>
      </w:r>
      <w:r>
        <w:rPr>
          <w:i/>
          <w:color w:val="4F81BC"/>
          <w:sz w:val="21"/>
        </w:rPr>
        <w:t>or</w:t>
      </w:r>
      <w:r>
        <w:rPr>
          <w:i/>
          <w:color w:val="4F81BC"/>
          <w:spacing w:val="-2"/>
          <w:sz w:val="21"/>
        </w:rPr>
        <w:t> </w:t>
      </w:r>
      <w:r>
        <w:rPr>
          <w:i/>
          <w:color w:val="4F81BC"/>
          <w:sz w:val="21"/>
        </w:rPr>
        <w:t>anxious,</w:t>
      </w:r>
      <w:r>
        <w:rPr>
          <w:i/>
          <w:color w:val="4F81BC"/>
          <w:spacing w:val="-1"/>
          <w:sz w:val="21"/>
        </w:rPr>
        <w:t> </w:t>
      </w:r>
      <w:r>
        <w:rPr>
          <w:i/>
          <w:color w:val="4F81BC"/>
          <w:sz w:val="21"/>
        </w:rPr>
        <w:t>it’s</w:t>
      </w:r>
      <w:r>
        <w:rPr>
          <w:i/>
          <w:color w:val="4F81BC"/>
          <w:spacing w:val="-3"/>
          <w:sz w:val="21"/>
        </w:rPr>
        <w:t> </w:t>
      </w:r>
      <w:r>
        <w:rPr>
          <w:i/>
          <w:color w:val="4F81BC"/>
          <w:sz w:val="21"/>
        </w:rPr>
        <w:t>likely</w:t>
      </w:r>
      <w:r>
        <w:rPr>
          <w:i/>
          <w:color w:val="4F81BC"/>
          <w:spacing w:val="-2"/>
          <w:sz w:val="21"/>
        </w:rPr>
        <w:t> </w:t>
      </w:r>
      <w:r>
        <w:rPr>
          <w:i/>
          <w:color w:val="4F81BC"/>
          <w:sz w:val="21"/>
        </w:rPr>
        <w:t>not</w:t>
      </w:r>
      <w:r>
        <w:rPr>
          <w:i/>
          <w:color w:val="4F81BC"/>
          <w:spacing w:val="-2"/>
          <w:sz w:val="21"/>
        </w:rPr>
        <w:t> </w:t>
      </w:r>
      <w:r>
        <w:rPr>
          <w:i/>
          <w:color w:val="4F81BC"/>
          <w:sz w:val="21"/>
        </w:rPr>
        <w:t>because</w:t>
      </w:r>
      <w:r>
        <w:rPr>
          <w:i/>
          <w:color w:val="4F81BC"/>
          <w:spacing w:val="-1"/>
          <w:sz w:val="21"/>
        </w:rPr>
        <w:t> </w:t>
      </w:r>
      <w:r>
        <w:rPr>
          <w:i/>
          <w:color w:val="4F81BC"/>
          <w:sz w:val="21"/>
        </w:rPr>
        <w:t>I</w:t>
      </w:r>
      <w:r>
        <w:rPr>
          <w:i/>
          <w:color w:val="4F81BC"/>
          <w:spacing w:val="-3"/>
          <w:sz w:val="21"/>
        </w:rPr>
        <w:t> </w:t>
      </w:r>
      <w:r>
        <w:rPr>
          <w:i/>
          <w:color w:val="4F81BC"/>
          <w:sz w:val="21"/>
        </w:rPr>
        <w:t>have</w:t>
      </w:r>
      <w:r>
        <w:rPr>
          <w:i/>
          <w:color w:val="4F81BC"/>
          <w:spacing w:val="-1"/>
          <w:sz w:val="21"/>
        </w:rPr>
        <w:t> </w:t>
      </w:r>
      <w:r>
        <w:rPr>
          <w:i/>
          <w:color w:val="4F81BC"/>
          <w:sz w:val="21"/>
        </w:rPr>
        <w:t>issues</w:t>
      </w:r>
      <w:r>
        <w:rPr>
          <w:i/>
          <w:color w:val="4F81BC"/>
          <w:spacing w:val="-2"/>
          <w:sz w:val="21"/>
        </w:rPr>
        <w:t> </w:t>
      </w:r>
      <w:r>
        <w:rPr>
          <w:i/>
          <w:color w:val="4F81BC"/>
          <w:sz w:val="21"/>
        </w:rPr>
        <w:t>with</w:t>
      </w:r>
      <w:r>
        <w:rPr>
          <w:i/>
          <w:color w:val="4F81BC"/>
          <w:spacing w:val="-4"/>
          <w:sz w:val="21"/>
        </w:rPr>
        <w:t> </w:t>
      </w:r>
      <w:r>
        <w:rPr>
          <w:i/>
          <w:color w:val="4F81BC"/>
          <w:sz w:val="21"/>
        </w:rPr>
        <w:t>my</w:t>
      </w:r>
      <w:r>
        <w:rPr>
          <w:i/>
          <w:color w:val="4F81BC"/>
          <w:spacing w:val="-2"/>
          <w:sz w:val="21"/>
        </w:rPr>
        <w:t> </w:t>
      </w:r>
      <w:r>
        <w:rPr>
          <w:i/>
          <w:color w:val="4F81BC"/>
          <w:sz w:val="21"/>
        </w:rPr>
        <w:t>gender</w:t>
      </w:r>
      <w:r>
        <w:rPr>
          <w:i/>
          <w:color w:val="4F81BC"/>
          <w:spacing w:val="-2"/>
          <w:sz w:val="21"/>
        </w:rPr>
        <w:t> </w:t>
      </w:r>
      <w:r>
        <w:rPr>
          <w:i/>
          <w:color w:val="4F81BC"/>
          <w:sz w:val="21"/>
        </w:rPr>
        <w:t>identity,</w:t>
      </w:r>
      <w:r>
        <w:rPr>
          <w:i/>
          <w:color w:val="4F81BC"/>
          <w:spacing w:val="-2"/>
          <w:sz w:val="21"/>
        </w:rPr>
        <w:t> </w:t>
      </w:r>
      <w:r>
        <w:rPr>
          <w:i/>
          <w:color w:val="4F81BC"/>
          <w:sz w:val="21"/>
        </w:rPr>
        <w:t>but</w:t>
      </w:r>
      <w:r>
        <w:rPr>
          <w:i/>
          <w:color w:val="4F81BC"/>
          <w:spacing w:val="-2"/>
          <w:sz w:val="21"/>
        </w:rPr>
        <w:t> </w:t>
      </w:r>
      <w:r>
        <w:rPr>
          <w:i/>
          <w:color w:val="4F81BC"/>
          <w:sz w:val="21"/>
        </w:rPr>
        <w:t>because</w:t>
      </w:r>
      <w:r>
        <w:rPr>
          <w:i/>
          <w:color w:val="4F81BC"/>
          <w:sz w:val="21"/>
        </w:rPr>
        <w:t> everyone else does.” –</w:t>
      </w:r>
    </w:p>
    <w:p>
      <w:pPr>
        <w:spacing w:before="240"/>
        <w:ind w:left="515" w:right="296" w:firstLine="0"/>
        <w:jc w:val="center"/>
        <w:rPr>
          <w:i/>
          <w:sz w:val="21"/>
        </w:rPr>
      </w:pPr>
      <w:r>
        <w:rPr>
          <w:i/>
          <w:color w:val="4F81BC"/>
          <w:sz w:val="21"/>
        </w:rPr>
        <w:t>Youth</w:t>
      </w:r>
      <w:r>
        <w:rPr>
          <w:i/>
          <w:color w:val="4F81BC"/>
          <w:spacing w:val="-3"/>
          <w:sz w:val="21"/>
        </w:rPr>
        <w:t> </w:t>
      </w:r>
      <w:r>
        <w:rPr>
          <w:i/>
          <w:color w:val="4F81BC"/>
          <w:sz w:val="21"/>
        </w:rPr>
        <w:t>from</w:t>
      </w:r>
      <w:r>
        <w:rPr>
          <w:i/>
          <w:color w:val="4F81BC"/>
          <w:spacing w:val="-2"/>
          <w:sz w:val="21"/>
        </w:rPr>
        <w:t> </w:t>
      </w:r>
      <w:r>
        <w:rPr>
          <w:i/>
          <w:color w:val="4F81BC"/>
          <w:sz w:val="21"/>
        </w:rPr>
        <w:t>New</w:t>
      </w:r>
      <w:r>
        <w:rPr>
          <w:i/>
          <w:color w:val="4F81BC"/>
          <w:spacing w:val="-2"/>
          <w:sz w:val="21"/>
        </w:rPr>
        <w:t> </w:t>
      </w:r>
      <w:r>
        <w:rPr>
          <w:i/>
          <w:color w:val="4F81BC"/>
          <w:sz w:val="21"/>
        </w:rPr>
        <w:t>England,</w:t>
      </w:r>
      <w:hyperlink w:history="true" w:anchor="_bookmark104">
        <w:r>
          <w:rPr>
            <w:i/>
            <w:color w:val="4F81BC"/>
            <w:sz w:val="21"/>
            <w:vertAlign w:val="superscript"/>
          </w:rPr>
          <w:t>1</w:t>
        </w:r>
      </w:hyperlink>
      <w:r>
        <w:rPr>
          <w:i/>
          <w:color w:val="4F81BC"/>
          <w:spacing w:val="-2"/>
          <w:sz w:val="21"/>
          <w:vertAlign w:val="baseline"/>
        </w:rPr>
        <w:t> </w:t>
      </w:r>
      <w:r>
        <w:rPr>
          <w:i/>
          <w:color w:val="4F81BC"/>
          <w:spacing w:val="-4"/>
          <w:sz w:val="21"/>
          <w:vertAlign w:val="baseline"/>
        </w:rPr>
        <w:t>2017</w:t>
      </w:r>
    </w:p>
    <w:p>
      <w:pPr>
        <w:pStyle w:val="BodyText"/>
        <w:spacing w:before="11"/>
        <w:rPr>
          <w:i/>
          <w:sz w:val="20"/>
        </w:rPr>
      </w:pPr>
      <w:r>
        <w:rPr/>
        <mc:AlternateContent>
          <mc:Choice Requires="wps">
            <w:drawing>
              <wp:anchor distT="0" distB="0" distL="0" distR="0" allowOverlap="1" layoutInCell="1" locked="0" behindDoc="1" simplePos="0" relativeHeight="487617536">
                <wp:simplePos x="0" y="0"/>
                <wp:positionH relativeFrom="page">
                  <wp:posOffset>889000</wp:posOffset>
                </wp:positionH>
                <wp:positionV relativeFrom="paragraph">
                  <wp:posOffset>177649</wp:posOffset>
                </wp:positionV>
                <wp:extent cx="6350" cy="1270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13.98816pt;width:.499pt;height:.96pt;mso-position-horizontal-relative:page;mso-position-vertical-relative:paragraph;z-index:-15698944;mso-wrap-distance-left:0;mso-wrap-distance-right:0" id="docshape191" filled="true" fillcolor="#0f6dc5" stroked="false">
                <v:fill type="solid"/>
                <w10:wrap type="topAndBottom"/>
              </v:rect>
            </w:pict>
          </mc:Fallback>
        </mc:AlternateContent>
      </w:r>
    </w:p>
    <w:p>
      <w:pPr>
        <w:spacing w:before="0"/>
        <w:ind w:left="463" w:right="0" w:firstLine="0"/>
        <w:jc w:val="both"/>
        <w:rPr>
          <w:sz w:val="28"/>
        </w:rPr>
      </w:pPr>
      <w:bookmarkStart w:name="FY 2025 Recommendations to the Governor " w:id="237"/>
      <w:bookmarkEnd w:id="237"/>
      <w:r>
        <w:rPr/>
      </w: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Recommendations</w:t>
      </w:r>
      <w:r>
        <w:rPr>
          <w:color w:val="365F91"/>
          <w:spacing w:val="-9"/>
          <w:sz w:val="28"/>
        </w:rPr>
        <w:t> </w:t>
      </w:r>
      <w:r>
        <w:rPr>
          <w:color w:val="365F91"/>
          <w:sz w:val="28"/>
        </w:rPr>
        <w:t>to</w:t>
      </w:r>
      <w:r>
        <w:rPr>
          <w:color w:val="365F91"/>
          <w:spacing w:val="-8"/>
          <w:sz w:val="28"/>
        </w:rPr>
        <w:t> </w:t>
      </w:r>
      <w:r>
        <w:rPr>
          <w:color w:val="365F91"/>
          <w:sz w:val="28"/>
        </w:rPr>
        <w:t>the</w:t>
      </w:r>
      <w:r>
        <w:rPr>
          <w:color w:val="365F91"/>
          <w:spacing w:val="-10"/>
          <w:sz w:val="28"/>
        </w:rPr>
        <w:t> </w:t>
      </w:r>
      <w:r>
        <w:rPr>
          <w:color w:val="365F91"/>
          <w:sz w:val="28"/>
        </w:rPr>
        <w:t>Governor</w:t>
      </w:r>
      <w:r>
        <w:rPr>
          <w:color w:val="365F91"/>
          <w:spacing w:val="-10"/>
          <w:sz w:val="28"/>
        </w:rPr>
        <w:t> </w:t>
      </w:r>
      <w:r>
        <w:rPr>
          <w:color w:val="365F91"/>
          <w:sz w:val="28"/>
        </w:rPr>
        <w:t>on</w:t>
      </w:r>
      <w:r>
        <w:rPr>
          <w:color w:val="365F91"/>
          <w:spacing w:val="-8"/>
          <w:sz w:val="28"/>
        </w:rPr>
        <w:t> </w:t>
      </w:r>
      <w:r>
        <w:rPr>
          <w:color w:val="365F91"/>
          <w:sz w:val="28"/>
        </w:rPr>
        <w:t>Mental</w:t>
      </w:r>
      <w:r>
        <w:rPr>
          <w:color w:val="365F91"/>
          <w:spacing w:val="-9"/>
          <w:sz w:val="28"/>
        </w:rPr>
        <w:t> </w:t>
      </w:r>
      <w:r>
        <w:rPr>
          <w:color w:val="365F91"/>
          <w:spacing w:val="-2"/>
          <w:sz w:val="28"/>
        </w:rPr>
        <w:t>Health</w:t>
      </w:r>
    </w:p>
    <w:p>
      <w:pPr>
        <w:pStyle w:val="BodyText"/>
        <w:spacing w:before="11"/>
        <w:rPr>
          <w:sz w:val="3"/>
        </w:rPr>
      </w:pPr>
      <w:r>
        <w:rPr/>
        <mc:AlternateContent>
          <mc:Choice Requires="wps">
            <w:drawing>
              <wp:anchor distT="0" distB="0" distL="0" distR="0" allowOverlap="1" layoutInCell="1" locked="0" behindDoc="1" simplePos="0" relativeHeight="487618048">
                <wp:simplePos x="0" y="0"/>
                <wp:positionH relativeFrom="page">
                  <wp:posOffset>897636</wp:posOffset>
                </wp:positionH>
                <wp:positionV relativeFrom="paragraph">
                  <wp:posOffset>45518</wp:posOffset>
                </wp:positionV>
                <wp:extent cx="6052820" cy="635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6052820" cy="6350"/>
                        </a:xfrm>
                        <a:custGeom>
                          <a:avLst/>
                          <a:gdLst/>
                          <a:ahLst/>
                          <a:cxnLst/>
                          <a:rect l="l" t="t" r="r" b="b"/>
                          <a:pathLst>
                            <a:path w="6052820" h="6350">
                              <a:moveTo>
                                <a:pt x="6052578" y="0"/>
                              </a:moveTo>
                              <a:lnTo>
                                <a:pt x="0" y="0"/>
                              </a:lnTo>
                              <a:lnTo>
                                <a:pt x="0" y="6108"/>
                              </a:lnTo>
                              <a:lnTo>
                                <a:pt x="6052578" y="6108"/>
                              </a:lnTo>
                              <a:lnTo>
                                <a:pt x="605257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4156pt;width:476.581pt;height:.481pt;mso-position-horizontal-relative:page;mso-position-vertical-relative:paragraph;z-index:-15698432;mso-wrap-distance-left:0;mso-wrap-distance-right:0" id="docshape192" filled="true" fillcolor="#4f81bc" stroked="false">
                <v:fill type="solid"/>
                <w10:wrap type="topAndBottom"/>
              </v:rect>
            </w:pict>
          </mc:Fallback>
        </mc:AlternateContent>
      </w:r>
    </w:p>
    <w:p>
      <w:pPr>
        <w:pStyle w:val="ListParagraph"/>
        <w:numPr>
          <w:ilvl w:val="0"/>
          <w:numId w:val="20"/>
        </w:numPr>
        <w:tabs>
          <w:tab w:pos="463" w:val="left" w:leader="none"/>
        </w:tabs>
        <w:spacing w:line="276" w:lineRule="auto" w:before="241" w:after="0"/>
        <w:ind w:left="463" w:right="243" w:hanging="360"/>
        <w:jc w:val="left"/>
        <w:rPr>
          <w:b/>
          <w:sz w:val="21"/>
        </w:rPr>
      </w:pPr>
      <w:r>
        <w:rPr>
          <w:b/>
          <w:sz w:val="21"/>
        </w:rPr>
        <w:t>Fund</w:t>
      </w:r>
      <w:r>
        <w:rPr>
          <w:b/>
          <w:spacing w:val="-3"/>
          <w:sz w:val="21"/>
        </w:rPr>
        <w:t> </w:t>
      </w:r>
      <w:r>
        <w:rPr>
          <w:b/>
          <w:sz w:val="21"/>
        </w:rPr>
        <w:t>more</w:t>
      </w:r>
      <w:r>
        <w:rPr>
          <w:b/>
          <w:spacing w:val="-3"/>
          <w:sz w:val="21"/>
        </w:rPr>
        <w:t> </w:t>
      </w:r>
      <w:r>
        <w:rPr>
          <w:b/>
          <w:sz w:val="21"/>
        </w:rPr>
        <w:t>statewide</w:t>
      </w:r>
      <w:r>
        <w:rPr>
          <w:b/>
          <w:spacing w:val="-3"/>
          <w:sz w:val="21"/>
        </w:rPr>
        <w:t> </w:t>
      </w:r>
      <w:r>
        <w:rPr>
          <w:b/>
          <w:sz w:val="21"/>
        </w:rPr>
        <w:t>research</w:t>
      </w:r>
      <w:r>
        <w:rPr>
          <w:b/>
          <w:spacing w:val="-3"/>
          <w:sz w:val="21"/>
        </w:rPr>
        <w:t> </w:t>
      </w:r>
      <w:r>
        <w:rPr>
          <w:b/>
          <w:sz w:val="21"/>
        </w:rPr>
        <w:t>about</w:t>
      </w:r>
      <w:r>
        <w:rPr>
          <w:b/>
          <w:spacing w:val="-2"/>
          <w:sz w:val="21"/>
        </w:rPr>
        <w:t> </w:t>
      </w:r>
      <w:r>
        <w:rPr>
          <w:b/>
          <w:sz w:val="21"/>
        </w:rPr>
        <w:t>mental</w:t>
      </w:r>
      <w:r>
        <w:rPr>
          <w:b/>
          <w:spacing w:val="-3"/>
          <w:sz w:val="21"/>
        </w:rPr>
        <w:t> </w:t>
      </w:r>
      <w:r>
        <w:rPr>
          <w:b/>
          <w:sz w:val="21"/>
        </w:rPr>
        <w:t>health</w:t>
      </w:r>
      <w:r>
        <w:rPr>
          <w:b/>
          <w:spacing w:val="-3"/>
          <w:sz w:val="21"/>
        </w:rPr>
        <w:t> </w:t>
      </w:r>
      <w:r>
        <w:rPr>
          <w:b/>
          <w:sz w:val="21"/>
        </w:rPr>
        <w:t>and</w:t>
      </w:r>
      <w:r>
        <w:rPr>
          <w:b/>
          <w:spacing w:val="-3"/>
          <w:sz w:val="21"/>
        </w:rPr>
        <w:t> </w:t>
      </w:r>
      <w:r>
        <w:rPr>
          <w:b/>
          <w:sz w:val="21"/>
        </w:rPr>
        <w:t>suicide</w:t>
      </w:r>
      <w:r>
        <w:rPr>
          <w:b/>
          <w:spacing w:val="-4"/>
          <w:sz w:val="21"/>
        </w:rPr>
        <w:t> </w:t>
      </w:r>
      <w:r>
        <w:rPr>
          <w:b/>
          <w:sz w:val="21"/>
        </w:rPr>
        <w:t>prevention</w:t>
      </w:r>
      <w:r>
        <w:rPr>
          <w:b/>
          <w:spacing w:val="-4"/>
          <w:sz w:val="21"/>
        </w:rPr>
        <w:t> </w:t>
      </w:r>
      <w:r>
        <w:rPr>
          <w:b/>
          <w:sz w:val="21"/>
        </w:rPr>
        <w:t>treatment</w:t>
      </w:r>
      <w:r>
        <w:rPr>
          <w:b/>
          <w:spacing w:val="-2"/>
          <w:sz w:val="21"/>
        </w:rPr>
        <w:t> </w:t>
      </w:r>
      <w:r>
        <w:rPr>
          <w:b/>
          <w:sz w:val="21"/>
        </w:rPr>
        <w:t>approaches</w:t>
      </w:r>
      <w:r>
        <w:rPr>
          <w:b/>
          <w:spacing w:val="-3"/>
          <w:sz w:val="21"/>
        </w:rPr>
        <w:t> </w:t>
      </w:r>
      <w:r>
        <w:rPr>
          <w:b/>
          <w:sz w:val="21"/>
        </w:rPr>
        <w:t>for</w:t>
      </w:r>
      <w:r>
        <w:rPr>
          <w:b/>
          <w:spacing w:val="-3"/>
          <w:sz w:val="21"/>
        </w:rPr>
        <w:t> </w:t>
      </w:r>
      <w:r>
        <w:rPr>
          <w:b/>
          <w:sz w:val="21"/>
        </w:rPr>
        <w:t>LGBTQ </w:t>
      </w:r>
      <w:r>
        <w:rPr>
          <w:b/>
          <w:spacing w:val="-2"/>
          <w:sz w:val="21"/>
        </w:rPr>
        <w:t>youth.</w:t>
      </w:r>
    </w:p>
    <w:p>
      <w:pPr>
        <w:spacing w:line="276" w:lineRule="auto" w:before="240"/>
        <w:ind w:left="463" w:right="240" w:hanging="1"/>
        <w:jc w:val="both"/>
        <w:rPr>
          <w:sz w:val="21"/>
        </w:rPr>
      </w:pPr>
      <w:r>
        <w:rPr>
          <w:sz w:val="21"/>
        </w:rPr>
        <w:t>The</w:t>
      </w:r>
      <w:r>
        <w:rPr>
          <w:spacing w:val="-12"/>
          <w:sz w:val="21"/>
        </w:rPr>
        <w:t> </w:t>
      </w:r>
      <w:r>
        <w:rPr>
          <w:sz w:val="21"/>
        </w:rPr>
        <w:t>Commission</w:t>
      </w:r>
      <w:r>
        <w:rPr>
          <w:spacing w:val="-11"/>
          <w:sz w:val="21"/>
        </w:rPr>
        <w:t> </w:t>
      </w:r>
      <w:r>
        <w:rPr>
          <w:sz w:val="21"/>
        </w:rPr>
        <w:t>strongly</w:t>
      </w:r>
      <w:r>
        <w:rPr>
          <w:spacing w:val="-12"/>
          <w:sz w:val="21"/>
        </w:rPr>
        <w:t> </w:t>
      </w:r>
      <w:r>
        <w:rPr>
          <w:sz w:val="21"/>
        </w:rPr>
        <w:t>recommends</w:t>
      </w:r>
      <w:r>
        <w:rPr>
          <w:spacing w:val="-12"/>
          <w:sz w:val="21"/>
        </w:rPr>
        <w:t> </w:t>
      </w:r>
      <w:r>
        <w:rPr>
          <w:sz w:val="21"/>
        </w:rPr>
        <w:t>that</w:t>
      </w:r>
      <w:r>
        <w:rPr>
          <w:spacing w:val="-11"/>
          <w:sz w:val="21"/>
        </w:rPr>
        <w:t> </w:t>
      </w:r>
      <w:r>
        <w:rPr>
          <w:sz w:val="21"/>
        </w:rPr>
        <w:t>the</w:t>
      </w:r>
      <w:r>
        <w:rPr>
          <w:spacing w:val="-12"/>
          <w:sz w:val="21"/>
        </w:rPr>
        <w:t> </w:t>
      </w:r>
      <w:r>
        <w:rPr>
          <w:sz w:val="21"/>
        </w:rPr>
        <w:t>state</w:t>
      </w:r>
      <w:r>
        <w:rPr>
          <w:spacing w:val="-12"/>
          <w:sz w:val="21"/>
        </w:rPr>
        <w:t> </w:t>
      </w:r>
      <w:r>
        <w:rPr>
          <w:sz w:val="21"/>
        </w:rPr>
        <w:t>fund</w:t>
      </w:r>
      <w:r>
        <w:rPr>
          <w:spacing w:val="-11"/>
          <w:sz w:val="21"/>
        </w:rPr>
        <w:t> </w:t>
      </w:r>
      <w:r>
        <w:rPr>
          <w:sz w:val="21"/>
        </w:rPr>
        <w:t>more</w:t>
      </w:r>
      <w:r>
        <w:rPr>
          <w:spacing w:val="-11"/>
          <w:sz w:val="21"/>
        </w:rPr>
        <w:t> </w:t>
      </w:r>
      <w:r>
        <w:rPr>
          <w:sz w:val="21"/>
        </w:rPr>
        <w:t>in-depth,</w:t>
      </w:r>
      <w:r>
        <w:rPr>
          <w:spacing w:val="-11"/>
          <w:sz w:val="21"/>
        </w:rPr>
        <w:t> </w:t>
      </w:r>
      <w:r>
        <w:rPr>
          <w:sz w:val="21"/>
        </w:rPr>
        <w:t>community-based</w:t>
      </w:r>
      <w:r>
        <w:rPr>
          <w:spacing w:val="-11"/>
          <w:sz w:val="21"/>
        </w:rPr>
        <w:t> </w:t>
      </w:r>
      <w:r>
        <w:rPr>
          <w:sz w:val="21"/>
        </w:rPr>
        <w:t>research</w:t>
      </w:r>
      <w:r>
        <w:rPr>
          <w:spacing w:val="-11"/>
          <w:sz w:val="21"/>
        </w:rPr>
        <w:t> </w:t>
      </w:r>
      <w:r>
        <w:rPr>
          <w:sz w:val="21"/>
        </w:rPr>
        <w:t>on</w:t>
      </w:r>
      <w:r>
        <w:rPr>
          <w:spacing w:val="-11"/>
          <w:sz w:val="21"/>
        </w:rPr>
        <w:t> </w:t>
      </w:r>
      <w:r>
        <w:rPr>
          <w:sz w:val="21"/>
        </w:rPr>
        <w:t>mental health and suicide prevention treatment approaches for LGBTQ youth, particularly those in oft underserved communities, such as rural youth, undocumented youth, disabled youth, and QTBIPOC youth. There is a significant crisis for mental health care across the country, and numerous efforts to mitigate the crisis are underway - however, it is essential that policymakers understand the unique needs of LGBTQ youth and the desperate need for affirming and accessible mental health care. By conducting further needs assessments, the state can better understand potential innovative methods of addressing the mental healthcare crisis, and building capacity within communities.</w:t>
      </w:r>
    </w:p>
    <w:p>
      <w:pPr>
        <w:pStyle w:val="ListParagraph"/>
        <w:numPr>
          <w:ilvl w:val="0"/>
          <w:numId w:val="20"/>
        </w:numPr>
        <w:tabs>
          <w:tab w:pos="462" w:val="left" w:leader="none"/>
        </w:tabs>
        <w:spacing w:line="240" w:lineRule="auto" w:before="240" w:after="0"/>
        <w:ind w:left="462" w:right="0" w:hanging="359"/>
        <w:jc w:val="left"/>
        <w:rPr>
          <w:b/>
          <w:sz w:val="21"/>
        </w:rPr>
      </w:pPr>
      <w:r>
        <w:rPr>
          <w:b/>
          <w:sz w:val="21"/>
        </w:rPr>
        <w:t>Support</w:t>
      </w:r>
      <w:r>
        <w:rPr>
          <w:b/>
          <w:spacing w:val="-3"/>
          <w:sz w:val="21"/>
        </w:rPr>
        <w:t> </w:t>
      </w:r>
      <w:r>
        <w:rPr>
          <w:b/>
          <w:sz w:val="21"/>
        </w:rPr>
        <w:t>reforms</w:t>
      </w:r>
      <w:r>
        <w:rPr>
          <w:b/>
          <w:spacing w:val="-3"/>
          <w:sz w:val="21"/>
        </w:rPr>
        <w:t> </w:t>
      </w:r>
      <w:r>
        <w:rPr>
          <w:b/>
          <w:sz w:val="21"/>
        </w:rPr>
        <w:t>of</w:t>
      </w:r>
      <w:r>
        <w:rPr>
          <w:b/>
          <w:spacing w:val="-3"/>
          <w:sz w:val="21"/>
        </w:rPr>
        <w:t> </w:t>
      </w:r>
      <w:r>
        <w:rPr>
          <w:b/>
          <w:sz w:val="21"/>
        </w:rPr>
        <w:t>the</w:t>
      </w:r>
      <w:r>
        <w:rPr>
          <w:b/>
          <w:spacing w:val="-3"/>
          <w:sz w:val="21"/>
        </w:rPr>
        <w:t> </w:t>
      </w:r>
      <w:r>
        <w:rPr>
          <w:b/>
          <w:sz w:val="21"/>
        </w:rPr>
        <w:t>mental</w:t>
      </w:r>
      <w:r>
        <w:rPr>
          <w:b/>
          <w:spacing w:val="-3"/>
          <w:sz w:val="21"/>
        </w:rPr>
        <w:t> </w:t>
      </w:r>
      <w:r>
        <w:rPr>
          <w:b/>
          <w:sz w:val="21"/>
        </w:rPr>
        <w:t>healthcare</w:t>
      </w:r>
      <w:r>
        <w:rPr>
          <w:b/>
          <w:spacing w:val="-3"/>
          <w:sz w:val="21"/>
        </w:rPr>
        <w:t> </w:t>
      </w:r>
      <w:r>
        <w:rPr>
          <w:b/>
          <w:sz w:val="21"/>
        </w:rPr>
        <w:t>and</w:t>
      </w:r>
      <w:r>
        <w:rPr>
          <w:b/>
          <w:spacing w:val="-3"/>
          <w:sz w:val="21"/>
        </w:rPr>
        <w:t> </w:t>
      </w:r>
      <w:r>
        <w:rPr>
          <w:b/>
          <w:sz w:val="21"/>
        </w:rPr>
        <w:t>health</w:t>
      </w:r>
      <w:r>
        <w:rPr>
          <w:b/>
          <w:spacing w:val="-3"/>
          <w:sz w:val="21"/>
        </w:rPr>
        <w:t> </w:t>
      </w:r>
      <w:r>
        <w:rPr>
          <w:b/>
          <w:sz w:val="21"/>
        </w:rPr>
        <w:t>insurance</w:t>
      </w:r>
      <w:r>
        <w:rPr>
          <w:b/>
          <w:spacing w:val="-2"/>
          <w:sz w:val="21"/>
        </w:rPr>
        <w:t> systems.</w:t>
      </w:r>
    </w:p>
    <w:p>
      <w:pPr>
        <w:pStyle w:val="BodyText"/>
        <w:spacing w:before="22"/>
        <w:rPr>
          <w:b/>
          <w:sz w:val="21"/>
        </w:rPr>
      </w:pPr>
    </w:p>
    <w:p>
      <w:pPr>
        <w:spacing w:line="276" w:lineRule="auto" w:before="1"/>
        <w:ind w:left="463" w:right="240" w:firstLine="0"/>
        <w:jc w:val="both"/>
        <w:rPr>
          <w:sz w:val="21"/>
        </w:rPr>
      </w:pPr>
      <w:r>
        <w:rPr>
          <w:sz w:val="21"/>
        </w:rPr>
        <w:t>The Commission recommends that the legislature support and pass effective reforms to recruit more trauma- informed</w:t>
      </w:r>
      <w:r>
        <w:rPr>
          <w:spacing w:val="-8"/>
          <w:sz w:val="21"/>
        </w:rPr>
        <w:t> </w:t>
      </w:r>
      <w:r>
        <w:rPr>
          <w:sz w:val="21"/>
        </w:rPr>
        <w:t>and</w:t>
      </w:r>
      <w:r>
        <w:rPr>
          <w:spacing w:val="-9"/>
          <w:sz w:val="21"/>
        </w:rPr>
        <w:t> </w:t>
      </w:r>
      <w:r>
        <w:rPr>
          <w:sz w:val="21"/>
        </w:rPr>
        <w:t>culturally-responsive</w:t>
      </w:r>
      <w:r>
        <w:rPr>
          <w:spacing w:val="-8"/>
          <w:sz w:val="21"/>
        </w:rPr>
        <w:t> </w:t>
      </w:r>
      <w:r>
        <w:rPr>
          <w:sz w:val="21"/>
        </w:rPr>
        <w:t>mental</w:t>
      </w:r>
      <w:r>
        <w:rPr>
          <w:spacing w:val="-8"/>
          <w:sz w:val="21"/>
        </w:rPr>
        <w:t> </w:t>
      </w:r>
      <w:r>
        <w:rPr>
          <w:sz w:val="21"/>
        </w:rPr>
        <w:t>health</w:t>
      </w:r>
      <w:r>
        <w:rPr>
          <w:spacing w:val="-9"/>
          <w:sz w:val="21"/>
        </w:rPr>
        <w:t> </w:t>
      </w:r>
      <w:r>
        <w:rPr>
          <w:sz w:val="21"/>
        </w:rPr>
        <w:t>professionals</w:t>
      </w:r>
      <w:r>
        <w:rPr>
          <w:spacing w:val="-8"/>
          <w:sz w:val="21"/>
        </w:rPr>
        <w:t> </w:t>
      </w:r>
      <w:r>
        <w:rPr>
          <w:sz w:val="21"/>
        </w:rPr>
        <w:t>to</w:t>
      </w:r>
      <w:r>
        <w:rPr>
          <w:spacing w:val="-8"/>
          <w:sz w:val="21"/>
        </w:rPr>
        <w:t> </w:t>
      </w:r>
      <w:r>
        <w:rPr>
          <w:sz w:val="21"/>
        </w:rPr>
        <w:t>support</w:t>
      </w:r>
      <w:r>
        <w:rPr>
          <w:spacing w:val="-7"/>
          <w:sz w:val="21"/>
        </w:rPr>
        <w:t> </w:t>
      </w:r>
      <w:r>
        <w:rPr>
          <w:sz w:val="21"/>
        </w:rPr>
        <w:t>intersectional</w:t>
      </w:r>
      <w:r>
        <w:rPr>
          <w:spacing w:val="-8"/>
          <w:sz w:val="21"/>
        </w:rPr>
        <w:t> </w:t>
      </w:r>
      <w:r>
        <w:rPr>
          <w:sz w:val="21"/>
        </w:rPr>
        <w:t>mental</w:t>
      </w:r>
      <w:r>
        <w:rPr>
          <w:spacing w:val="-9"/>
          <w:sz w:val="21"/>
        </w:rPr>
        <w:t> </w:t>
      </w:r>
      <w:r>
        <w:rPr>
          <w:sz w:val="21"/>
        </w:rPr>
        <w:t>health</w:t>
      </w:r>
      <w:r>
        <w:rPr>
          <w:spacing w:val="-8"/>
          <w:sz w:val="21"/>
        </w:rPr>
        <w:t> </w:t>
      </w:r>
      <w:r>
        <w:rPr>
          <w:sz w:val="21"/>
        </w:rPr>
        <w:t>support and</w:t>
      </w:r>
      <w:r>
        <w:rPr>
          <w:spacing w:val="-4"/>
          <w:sz w:val="21"/>
        </w:rPr>
        <w:t> </w:t>
      </w:r>
      <w:r>
        <w:rPr>
          <w:sz w:val="21"/>
        </w:rPr>
        <w:t>to</w:t>
      </w:r>
      <w:r>
        <w:rPr>
          <w:spacing w:val="-4"/>
          <w:sz w:val="21"/>
        </w:rPr>
        <w:t> </w:t>
      </w:r>
      <w:r>
        <w:rPr>
          <w:sz w:val="21"/>
        </w:rPr>
        <w:t>reduce</w:t>
      </w:r>
      <w:r>
        <w:rPr>
          <w:spacing w:val="-4"/>
          <w:sz w:val="21"/>
        </w:rPr>
        <w:t> </w:t>
      </w:r>
      <w:r>
        <w:rPr>
          <w:sz w:val="21"/>
        </w:rPr>
        <w:t>the</w:t>
      </w:r>
      <w:r>
        <w:rPr>
          <w:spacing w:val="-4"/>
          <w:sz w:val="21"/>
        </w:rPr>
        <w:t> </w:t>
      </w:r>
      <w:r>
        <w:rPr>
          <w:sz w:val="21"/>
        </w:rPr>
        <w:t>costs</w:t>
      </w:r>
      <w:r>
        <w:rPr>
          <w:spacing w:val="-4"/>
          <w:sz w:val="21"/>
        </w:rPr>
        <w:t> </w:t>
      </w:r>
      <w:r>
        <w:rPr>
          <w:sz w:val="21"/>
        </w:rPr>
        <w:t>of</w:t>
      </w:r>
      <w:r>
        <w:rPr>
          <w:spacing w:val="-4"/>
          <w:sz w:val="21"/>
        </w:rPr>
        <w:t> </w:t>
      </w:r>
      <w:r>
        <w:rPr>
          <w:sz w:val="21"/>
        </w:rPr>
        <w:t>mental</w:t>
      </w:r>
      <w:r>
        <w:rPr>
          <w:spacing w:val="-4"/>
          <w:sz w:val="21"/>
        </w:rPr>
        <w:t> </w:t>
      </w:r>
      <w:r>
        <w:rPr>
          <w:sz w:val="21"/>
        </w:rPr>
        <w:t>health</w:t>
      </w:r>
      <w:r>
        <w:rPr>
          <w:spacing w:val="-4"/>
          <w:sz w:val="21"/>
        </w:rPr>
        <w:t> </w:t>
      </w:r>
      <w:r>
        <w:rPr>
          <w:sz w:val="21"/>
        </w:rPr>
        <w:t>services.</w:t>
      </w:r>
      <w:r>
        <w:rPr>
          <w:spacing w:val="-4"/>
          <w:sz w:val="21"/>
        </w:rPr>
        <w:t> </w:t>
      </w:r>
      <w:r>
        <w:rPr>
          <w:sz w:val="21"/>
        </w:rPr>
        <w:t>Furthermore,</w:t>
      </w:r>
      <w:r>
        <w:rPr>
          <w:spacing w:val="-4"/>
          <w:sz w:val="21"/>
        </w:rPr>
        <w:t> </w:t>
      </w:r>
      <w:r>
        <w:rPr>
          <w:sz w:val="21"/>
        </w:rPr>
        <w:t>the</w:t>
      </w:r>
      <w:r>
        <w:rPr>
          <w:spacing w:val="-4"/>
          <w:sz w:val="21"/>
        </w:rPr>
        <w:t> </w:t>
      </w:r>
      <w:r>
        <w:rPr>
          <w:sz w:val="21"/>
        </w:rPr>
        <w:t>Commission</w:t>
      </w:r>
      <w:r>
        <w:rPr>
          <w:spacing w:val="-4"/>
          <w:sz w:val="21"/>
        </w:rPr>
        <w:t> </w:t>
      </w:r>
      <w:r>
        <w:rPr>
          <w:sz w:val="21"/>
        </w:rPr>
        <w:t>advises</w:t>
      </w:r>
      <w:r>
        <w:rPr>
          <w:spacing w:val="-4"/>
          <w:sz w:val="21"/>
        </w:rPr>
        <w:t> </w:t>
      </w:r>
      <w:r>
        <w:rPr>
          <w:sz w:val="21"/>
        </w:rPr>
        <w:t>policymakers</w:t>
      </w:r>
      <w:r>
        <w:rPr>
          <w:spacing w:val="-4"/>
          <w:sz w:val="21"/>
        </w:rPr>
        <w:t> </w:t>
      </w:r>
      <w:r>
        <w:rPr>
          <w:sz w:val="21"/>
        </w:rPr>
        <w:t>to</w:t>
      </w:r>
      <w:r>
        <w:rPr>
          <w:spacing w:val="-4"/>
          <w:sz w:val="21"/>
        </w:rPr>
        <w:t> </w:t>
      </w:r>
      <w:r>
        <w:rPr>
          <w:sz w:val="21"/>
        </w:rPr>
        <w:t>invest in non-clinical community-based programs, such as peer support programs, mental health advocate programs, mental</w:t>
      </w:r>
      <w:r>
        <w:rPr>
          <w:spacing w:val="-5"/>
          <w:sz w:val="21"/>
        </w:rPr>
        <w:t> </w:t>
      </w:r>
      <w:r>
        <w:rPr>
          <w:sz w:val="21"/>
        </w:rPr>
        <w:t>health</w:t>
      </w:r>
      <w:r>
        <w:rPr>
          <w:spacing w:val="-7"/>
          <w:sz w:val="21"/>
        </w:rPr>
        <w:t> </w:t>
      </w:r>
      <w:r>
        <w:rPr>
          <w:sz w:val="21"/>
        </w:rPr>
        <w:t>first</w:t>
      </w:r>
      <w:r>
        <w:rPr>
          <w:spacing w:val="-5"/>
          <w:sz w:val="21"/>
        </w:rPr>
        <w:t> </w:t>
      </w:r>
      <w:r>
        <w:rPr>
          <w:sz w:val="21"/>
        </w:rPr>
        <w:t>aid</w:t>
      </w:r>
      <w:r>
        <w:rPr>
          <w:spacing w:val="-7"/>
          <w:sz w:val="21"/>
        </w:rPr>
        <w:t> </w:t>
      </w:r>
      <w:r>
        <w:rPr>
          <w:sz w:val="21"/>
        </w:rPr>
        <w:t>trainings,</w:t>
      </w:r>
      <w:r>
        <w:rPr>
          <w:spacing w:val="-5"/>
          <w:sz w:val="21"/>
        </w:rPr>
        <w:t> </w:t>
      </w:r>
      <w:r>
        <w:rPr>
          <w:sz w:val="21"/>
        </w:rPr>
        <w:t>and</w:t>
      </w:r>
      <w:r>
        <w:rPr>
          <w:spacing w:val="-6"/>
          <w:sz w:val="21"/>
        </w:rPr>
        <w:t> </w:t>
      </w:r>
      <w:r>
        <w:rPr>
          <w:sz w:val="21"/>
        </w:rPr>
        <w:t>mental</w:t>
      </w:r>
      <w:r>
        <w:rPr>
          <w:spacing w:val="-5"/>
          <w:sz w:val="21"/>
        </w:rPr>
        <w:t> </w:t>
      </w:r>
      <w:r>
        <w:rPr>
          <w:sz w:val="21"/>
        </w:rPr>
        <w:t>health</w:t>
      </w:r>
      <w:r>
        <w:rPr>
          <w:spacing w:val="-7"/>
          <w:sz w:val="21"/>
        </w:rPr>
        <w:t> </w:t>
      </w:r>
      <w:r>
        <w:rPr>
          <w:sz w:val="21"/>
        </w:rPr>
        <w:t>literacy</w:t>
      </w:r>
      <w:r>
        <w:rPr>
          <w:spacing w:val="-6"/>
          <w:sz w:val="21"/>
        </w:rPr>
        <w:t> </w:t>
      </w:r>
      <w:r>
        <w:rPr>
          <w:sz w:val="21"/>
        </w:rPr>
        <w:t>campaigns.</w:t>
      </w:r>
      <w:r>
        <w:rPr>
          <w:spacing w:val="-6"/>
          <w:sz w:val="21"/>
        </w:rPr>
        <w:t> </w:t>
      </w:r>
      <w:r>
        <w:rPr>
          <w:sz w:val="21"/>
        </w:rPr>
        <w:t>Additional</w:t>
      </w:r>
      <w:r>
        <w:rPr>
          <w:spacing w:val="-5"/>
          <w:sz w:val="21"/>
        </w:rPr>
        <w:t> </w:t>
      </w:r>
      <w:r>
        <w:rPr>
          <w:sz w:val="21"/>
        </w:rPr>
        <w:t>potential</w:t>
      </w:r>
      <w:r>
        <w:rPr>
          <w:spacing w:val="-7"/>
          <w:sz w:val="21"/>
        </w:rPr>
        <w:t> </w:t>
      </w:r>
      <w:r>
        <w:rPr>
          <w:sz w:val="21"/>
        </w:rPr>
        <w:t>areas</w:t>
      </w:r>
      <w:r>
        <w:rPr>
          <w:spacing w:val="-6"/>
          <w:sz w:val="21"/>
        </w:rPr>
        <w:t> </w:t>
      </w:r>
      <w:r>
        <w:rPr>
          <w:sz w:val="21"/>
        </w:rPr>
        <w:t>of</w:t>
      </w:r>
      <w:r>
        <w:rPr>
          <w:spacing w:val="-6"/>
          <w:sz w:val="21"/>
        </w:rPr>
        <w:t> </w:t>
      </w:r>
      <w:r>
        <w:rPr>
          <w:sz w:val="21"/>
        </w:rPr>
        <w:t>investment</w:t>
      </w:r>
    </w:p>
    <w:p>
      <w:pPr>
        <w:spacing w:after="0" w:line="276" w:lineRule="auto"/>
        <w:jc w:val="both"/>
        <w:rPr>
          <w:sz w:val="21"/>
        </w:rPr>
        <w:sectPr>
          <w:headerReference w:type="default" r:id="rId174"/>
          <w:footerReference w:type="default" r:id="rId175"/>
          <w:pgSz w:w="12240" w:h="15840"/>
          <w:pgMar w:header="804" w:footer="1390" w:top="1080" w:bottom="1580" w:left="980" w:right="1080"/>
          <w:pgNumType w:start="70"/>
        </w:sectPr>
      </w:pPr>
    </w:p>
    <w:p>
      <w:pPr>
        <w:spacing w:line="276" w:lineRule="auto" w:before="69"/>
        <w:ind w:left="463" w:right="240" w:firstLine="0"/>
        <w:jc w:val="both"/>
        <w:rPr>
          <w:sz w:val="21"/>
        </w:rPr>
      </w:pPr>
      <w:r>
        <w:rPr>
          <w:sz w:val="21"/>
        </w:rPr>
        <w:t>would be telehealth or online programs, peer summer camps, and programs based on art, movement, and </w:t>
      </w:r>
      <w:r>
        <w:rPr>
          <w:spacing w:val="-2"/>
          <w:sz w:val="21"/>
        </w:rPr>
        <w:t>activism.</w:t>
      </w:r>
    </w:p>
    <w:p>
      <w:pPr>
        <w:pStyle w:val="ListParagraph"/>
        <w:numPr>
          <w:ilvl w:val="0"/>
          <w:numId w:val="20"/>
        </w:numPr>
        <w:tabs>
          <w:tab w:pos="463" w:val="left" w:leader="none"/>
        </w:tabs>
        <w:spacing w:line="276" w:lineRule="auto" w:before="239" w:after="0"/>
        <w:ind w:left="463" w:right="244" w:hanging="360"/>
        <w:jc w:val="left"/>
        <w:rPr>
          <w:b/>
          <w:sz w:val="21"/>
        </w:rPr>
      </w:pPr>
      <w:r>
        <w:rPr>
          <w:b/>
          <w:sz w:val="21"/>
        </w:rPr>
        <w:t>Promote</w:t>
      </w:r>
      <w:r>
        <w:rPr>
          <w:b/>
          <w:spacing w:val="-7"/>
          <w:sz w:val="21"/>
        </w:rPr>
        <w:t> </w:t>
      </w:r>
      <w:r>
        <w:rPr>
          <w:b/>
          <w:sz w:val="21"/>
        </w:rPr>
        <w:t>services</w:t>
      </w:r>
      <w:r>
        <w:rPr>
          <w:b/>
          <w:spacing w:val="-6"/>
          <w:sz w:val="21"/>
        </w:rPr>
        <w:t> </w:t>
      </w:r>
      <w:r>
        <w:rPr>
          <w:b/>
          <w:sz w:val="21"/>
        </w:rPr>
        <w:t>that</w:t>
      </w:r>
      <w:r>
        <w:rPr>
          <w:b/>
          <w:spacing w:val="-6"/>
          <w:sz w:val="21"/>
        </w:rPr>
        <w:t> </w:t>
      </w:r>
      <w:r>
        <w:rPr>
          <w:b/>
          <w:sz w:val="21"/>
        </w:rPr>
        <w:t>address</w:t>
      </w:r>
      <w:r>
        <w:rPr>
          <w:b/>
          <w:spacing w:val="-6"/>
          <w:sz w:val="21"/>
        </w:rPr>
        <w:t> </w:t>
      </w:r>
      <w:r>
        <w:rPr>
          <w:b/>
          <w:sz w:val="21"/>
        </w:rPr>
        <w:t>youths’</w:t>
      </w:r>
      <w:r>
        <w:rPr>
          <w:b/>
          <w:spacing w:val="-7"/>
          <w:sz w:val="21"/>
        </w:rPr>
        <w:t> </w:t>
      </w:r>
      <w:r>
        <w:rPr>
          <w:b/>
          <w:sz w:val="21"/>
        </w:rPr>
        <w:t>intersectional</w:t>
      </w:r>
      <w:r>
        <w:rPr>
          <w:b/>
          <w:spacing w:val="-6"/>
          <w:sz w:val="21"/>
        </w:rPr>
        <w:t> </w:t>
      </w:r>
      <w:r>
        <w:rPr>
          <w:b/>
          <w:sz w:val="21"/>
        </w:rPr>
        <w:t>identities,</w:t>
      </w:r>
      <w:r>
        <w:rPr>
          <w:b/>
          <w:spacing w:val="-7"/>
          <w:sz w:val="21"/>
        </w:rPr>
        <w:t> </w:t>
      </w:r>
      <w:r>
        <w:rPr>
          <w:b/>
          <w:sz w:val="21"/>
        </w:rPr>
        <w:t>including</w:t>
      </w:r>
      <w:r>
        <w:rPr>
          <w:b/>
          <w:spacing w:val="-6"/>
          <w:sz w:val="21"/>
        </w:rPr>
        <w:t> </w:t>
      </w:r>
      <w:r>
        <w:rPr>
          <w:b/>
          <w:sz w:val="21"/>
        </w:rPr>
        <w:t>race/ethnicity,</w:t>
      </w:r>
      <w:r>
        <w:rPr>
          <w:b/>
          <w:spacing w:val="-7"/>
          <w:sz w:val="21"/>
        </w:rPr>
        <w:t> </w:t>
      </w:r>
      <w:r>
        <w:rPr>
          <w:b/>
          <w:sz w:val="21"/>
        </w:rPr>
        <w:t>immigration,</w:t>
      </w:r>
      <w:r>
        <w:rPr>
          <w:b/>
          <w:spacing w:val="-7"/>
          <w:sz w:val="21"/>
        </w:rPr>
        <w:t> </w:t>
      </w:r>
      <w:r>
        <w:rPr>
          <w:b/>
          <w:sz w:val="21"/>
        </w:rPr>
        <w:t>ability, involvement in juvenile justice or foster care, and rural residence.</w:t>
      </w:r>
    </w:p>
    <w:p>
      <w:pPr>
        <w:spacing w:line="276" w:lineRule="auto" w:before="240"/>
        <w:ind w:left="463" w:right="240" w:hanging="1"/>
        <w:jc w:val="both"/>
        <w:rPr>
          <w:sz w:val="21"/>
        </w:rPr>
      </w:pPr>
      <w:r>
        <w:rPr>
          <w:sz w:val="21"/>
        </w:rPr>
        <w:t>As</w:t>
      </w:r>
      <w:r>
        <w:rPr>
          <w:spacing w:val="-12"/>
          <w:sz w:val="21"/>
        </w:rPr>
        <w:t> </w:t>
      </w:r>
      <w:r>
        <w:rPr>
          <w:sz w:val="21"/>
        </w:rPr>
        <w:t>detailed</w:t>
      </w:r>
      <w:r>
        <w:rPr>
          <w:spacing w:val="-11"/>
          <w:sz w:val="21"/>
        </w:rPr>
        <w:t> </w:t>
      </w:r>
      <w:r>
        <w:rPr>
          <w:sz w:val="21"/>
        </w:rPr>
        <w:t>below,</w:t>
      </w:r>
      <w:r>
        <w:rPr>
          <w:spacing w:val="-11"/>
          <w:sz w:val="21"/>
        </w:rPr>
        <w:t> </w:t>
      </w:r>
      <w:r>
        <w:rPr>
          <w:sz w:val="21"/>
        </w:rPr>
        <w:t>there</w:t>
      </w:r>
      <w:r>
        <w:rPr>
          <w:spacing w:val="-11"/>
          <w:sz w:val="21"/>
        </w:rPr>
        <w:t> </w:t>
      </w:r>
      <w:r>
        <w:rPr>
          <w:sz w:val="21"/>
        </w:rPr>
        <w:t>remains</w:t>
      </w:r>
      <w:r>
        <w:rPr>
          <w:spacing w:val="-12"/>
          <w:sz w:val="21"/>
        </w:rPr>
        <w:t> </w:t>
      </w:r>
      <w:r>
        <w:rPr>
          <w:sz w:val="21"/>
        </w:rPr>
        <w:t>limited</w:t>
      </w:r>
      <w:r>
        <w:rPr>
          <w:spacing w:val="-12"/>
          <w:sz w:val="21"/>
        </w:rPr>
        <w:t> </w:t>
      </w:r>
      <w:r>
        <w:rPr>
          <w:sz w:val="21"/>
        </w:rPr>
        <w:t>access</w:t>
      </w:r>
      <w:r>
        <w:rPr>
          <w:spacing w:val="-12"/>
          <w:sz w:val="21"/>
        </w:rPr>
        <w:t> </w:t>
      </w:r>
      <w:r>
        <w:rPr>
          <w:sz w:val="21"/>
        </w:rPr>
        <w:t>to</w:t>
      </w:r>
      <w:r>
        <w:rPr>
          <w:spacing w:val="-12"/>
          <w:sz w:val="21"/>
        </w:rPr>
        <w:t> </w:t>
      </w:r>
      <w:r>
        <w:rPr>
          <w:sz w:val="21"/>
        </w:rPr>
        <w:t>LGBTQ-affirming,</w:t>
      </w:r>
      <w:r>
        <w:rPr>
          <w:spacing w:val="-11"/>
          <w:sz w:val="21"/>
        </w:rPr>
        <w:t> </w:t>
      </w:r>
      <w:r>
        <w:rPr>
          <w:sz w:val="21"/>
        </w:rPr>
        <w:t>trauma-informed,</w:t>
      </w:r>
      <w:r>
        <w:rPr>
          <w:spacing w:val="-11"/>
          <w:sz w:val="21"/>
        </w:rPr>
        <w:t> </w:t>
      </w:r>
      <w:r>
        <w:rPr>
          <w:sz w:val="21"/>
        </w:rPr>
        <w:t>and</w:t>
      </w:r>
      <w:r>
        <w:rPr>
          <w:spacing w:val="-12"/>
          <w:sz w:val="21"/>
        </w:rPr>
        <w:t> </w:t>
      </w:r>
      <w:r>
        <w:rPr>
          <w:sz w:val="21"/>
        </w:rPr>
        <w:t>culturally</w:t>
      </w:r>
      <w:r>
        <w:rPr>
          <w:spacing w:val="-12"/>
          <w:sz w:val="21"/>
        </w:rPr>
        <w:t> </w:t>
      </w:r>
      <w:r>
        <w:rPr>
          <w:sz w:val="21"/>
        </w:rPr>
        <w:t>competent care for QTBIPOC youth, as well as access for youth who are undocumented and/or have disabilities. More research needs to occur to better understand access for youth in the juvenile justice and child welfare systems in Massachusetts, but the significant mental healthcare crisis likely affects these populations critically. The Commission</w:t>
      </w:r>
      <w:r>
        <w:rPr>
          <w:spacing w:val="-3"/>
          <w:sz w:val="21"/>
        </w:rPr>
        <w:t> </w:t>
      </w:r>
      <w:r>
        <w:rPr>
          <w:sz w:val="21"/>
        </w:rPr>
        <w:t>recommends</w:t>
      </w:r>
      <w:r>
        <w:rPr>
          <w:spacing w:val="-4"/>
          <w:sz w:val="21"/>
        </w:rPr>
        <w:t> </w:t>
      </w:r>
      <w:r>
        <w:rPr>
          <w:sz w:val="21"/>
        </w:rPr>
        <w:t>that</w:t>
      </w:r>
      <w:r>
        <w:rPr>
          <w:spacing w:val="-2"/>
          <w:sz w:val="21"/>
        </w:rPr>
        <w:t> </w:t>
      </w:r>
      <w:r>
        <w:rPr>
          <w:sz w:val="21"/>
        </w:rPr>
        <w:t>the</w:t>
      </w:r>
      <w:r>
        <w:rPr>
          <w:spacing w:val="-3"/>
          <w:sz w:val="21"/>
        </w:rPr>
        <w:t> </w:t>
      </w:r>
      <w:r>
        <w:rPr>
          <w:sz w:val="21"/>
        </w:rPr>
        <w:t>Commonwealth</w:t>
      </w:r>
      <w:r>
        <w:rPr>
          <w:spacing w:val="-3"/>
          <w:sz w:val="21"/>
        </w:rPr>
        <w:t> </w:t>
      </w:r>
      <w:r>
        <w:rPr>
          <w:sz w:val="21"/>
        </w:rPr>
        <w:t>allocates</w:t>
      </w:r>
      <w:r>
        <w:rPr>
          <w:spacing w:val="-4"/>
          <w:sz w:val="21"/>
        </w:rPr>
        <w:t> </w:t>
      </w:r>
      <w:r>
        <w:rPr>
          <w:sz w:val="21"/>
        </w:rPr>
        <w:t>more</w:t>
      </w:r>
      <w:r>
        <w:rPr>
          <w:spacing w:val="-3"/>
          <w:sz w:val="21"/>
        </w:rPr>
        <w:t> </w:t>
      </w:r>
      <w:r>
        <w:rPr>
          <w:sz w:val="21"/>
        </w:rPr>
        <w:t>funding</w:t>
      </w:r>
      <w:r>
        <w:rPr>
          <w:spacing w:val="-3"/>
          <w:sz w:val="21"/>
        </w:rPr>
        <w:t> </w:t>
      </w:r>
      <w:r>
        <w:rPr>
          <w:sz w:val="21"/>
        </w:rPr>
        <w:t>to</w:t>
      </w:r>
      <w:r>
        <w:rPr>
          <w:spacing w:val="-3"/>
          <w:sz w:val="21"/>
        </w:rPr>
        <w:t> </w:t>
      </w:r>
      <w:r>
        <w:rPr>
          <w:sz w:val="21"/>
        </w:rPr>
        <w:t>LGBTQ</w:t>
      </w:r>
      <w:r>
        <w:rPr>
          <w:spacing w:val="-3"/>
          <w:sz w:val="21"/>
        </w:rPr>
        <w:t> </w:t>
      </w:r>
      <w:r>
        <w:rPr>
          <w:sz w:val="21"/>
        </w:rPr>
        <w:t>youth</w:t>
      </w:r>
      <w:r>
        <w:rPr>
          <w:spacing w:val="-3"/>
          <w:sz w:val="21"/>
        </w:rPr>
        <w:t> </w:t>
      </w:r>
      <w:r>
        <w:rPr>
          <w:sz w:val="21"/>
        </w:rPr>
        <w:t>and</w:t>
      </w:r>
      <w:r>
        <w:rPr>
          <w:spacing w:val="-4"/>
          <w:sz w:val="21"/>
        </w:rPr>
        <w:t> </w:t>
      </w:r>
      <w:r>
        <w:rPr>
          <w:sz w:val="21"/>
        </w:rPr>
        <w:t>family</w:t>
      </w:r>
      <w:r>
        <w:rPr>
          <w:spacing w:val="-3"/>
          <w:sz w:val="21"/>
        </w:rPr>
        <w:t> </w:t>
      </w:r>
      <w:r>
        <w:rPr>
          <w:sz w:val="21"/>
        </w:rPr>
        <w:t>services, and</w:t>
      </w:r>
      <w:r>
        <w:rPr>
          <w:spacing w:val="-9"/>
          <w:sz w:val="21"/>
        </w:rPr>
        <w:t> </w:t>
      </w:r>
      <w:r>
        <w:rPr>
          <w:sz w:val="21"/>
        </w:rPr>
        <w:t>encourages</w:t>
      </w:r>
      <w:r>
        <w:rPr>
          <w:spacing w:val="-9"/>
          <w:sz w:val="21"/>
        </w:rPr>
        <w:t> </w:t>
      </w:r>
      <w:r>
        <w:rPr>
          <w:sz w:val="21"/>
        </w:rPr>
        <w:t>programs</w:t>
      </w:r>
      <w:r>
        <w:rPr>
          <w:spacing w:val="-9"/>
          <w:sz w:val="21"/>
        </w:rPr>
        <w:t> </w:t>
      </w:r>
      <w:r>
        <w:rPr>
          <w:sz w:val="21"/>
        </w:rPr>
        <w:t>to</w:t>
      </w:r>
      <w:r>
        <w:rPr>
          <w:spacing w:val="-9"/>
          <w:sz w:val="21"/>
        </w:rPr>
        <w:t> </w:t>
      </w:r>
      <w:r>
        <w:rPr>
          <w:sz w:val="21"/>
        </w:rPr>
        <w:t>make</w:t>
      </w:r>
      <w:r>
        <w:rPr>
          <w:spacing w:val="-9"/>
          <w:sz w:val="21"/>
        </w:rPr>
        <w:t> </w:t>
      </w:r>
      <w:r>
        <w:rPr>
          <w:sz w:val="21"/>
        </w:rPr>
        <w:t>concerted</w:t>
      </w:r>
      <w:r>
        <w:rPr>
          <w:spacing w:val="-9"/>
          <w:sz w:val="21"/>
        </w:rPr>
        <w:t> </w:t>
      </w:r>
      <w:r>
        <w:rPr>
          <w:sz w:val="21"/>
        </w:rPr>
        <w:t>efforts</w:t>
      </w:r>
      <w:r>
        <w:rPr>
          <w:spacing w:val="-9"/>
          <w:sz w:val="21"/>
        </w:rPr>
        <w:t> </w:t>
      </w:r>
      <w:r>
        <w:rPr>
          <w:sz w:val="21"/>
        </w:rPr>
        <w:t>to</w:t>
      </w:r>
      <w:r>
        <w:rPr>
          <w:spacing w:val="-9"/>
          <w:sz w:val="21"/>
        </w:rPr>
        <w:t> </w:t>
      </w:r>
      <w:r>
        <w:rPr>
          <w:sz w:val="21"/>
        </w:rPr>
        <w:t>ensure</w:t>
      </w:r>
      <w:r>
        <w:rPr>
          <w:spacing w:val="-9"/>
          <w:sz w:val="21"/>
        </w:rPr>
        <w:t> </w:t>
      </w:r>
      <w:r>
        <w:rPr>
          <w:sz w:val="21"/>
        </w:rPr>
        <w:t>that</w:t>
      </w:r>
      <w:r>
        <w:rPr>
          <w:spacing w:val="-8"/>
          <w:sz w:val="21"/>
        </w:rPr>
        <w:t> </w:t>
      </w:r>
      <w:r>
        <w:rPr>
          <w:sz w:val="21"/>
        </w:rPr>
        <w:t>their</w:t>
      </w:r>
      <w:r>
        <w:rPr>
          <w:spacing w:val="-9"/>
          <w:sz w:val="21"/>
        </w:rPr>
        <w:t> </w:t>
      </w:r>
      <w:r>
        <w:rPr>
          <w:sz w:val="21"/>
        </w:rPr>
        <w:t>programs</w:t>
      </w:r>
      <w:r>
        <w:rPr>
          <w:spacing w:val="-8"/>
          <w:sz w:val="21"/>
        </w:rPr>
        <w:t> </w:t>
      </w:r>
      <w:r>
        <w:rPr>
          <w:sz w:val="21"/>
        </w:rPr>
        <w:t>are</w:t>
      </w:r>
      <w:r>
        <w:rPr>
          <w:spacing w:val="-9"/>
          <w:sz w:val="21"/>
        </w:rPr>
        <w:t> </w:t>
      </w:r>
      <w:r>
        <w:rPr>
          <w:sz w:val="21"/>
        </w:rPr>
        <w:t>affirming</w:t>
      </w:r>
      <w:r>
        <w:rPr>
          <w:spacing w:val="-9"/>
          <w:sz w:val="21"/>
        </w:rPr>
        <w:t> </w:t>
      </w:r>
      <w:r>
        <w:rPr>
          <w:sz w:val="21"/>
        </w:rPr>
        <w:t>and</w:t>
      </w:r>
      <w:r>
        <w:rPr>
          <w:spacing w:val="-9"/>
          <w:sz w:val="21"/>
        </w:rPr>
        <w:t> </w:t>
      </w:r>
      <w:r>
        <w:rPr>
          <w:sz w:val="21"/>
        </w:rPr>
        <w:t>welcoming for all youth.</w:t>
      </w:r>
    </w:p>
    <w:p>
      <w:pPr>
        <w:pStyle w:val="ListParagraph"/>
        <w:numPr>
          <w:ilvl w:val="0"/>
          <w:numId w:val="20"/>
        </w:numPr>
        <w:tabs>
          <w:tab w:pos="463" w:val="left" w:leader="none"/>
        </w:tabs>
        <w:spacing w:line="276" w:lineRule="auto" w:before="241" w:after="0"/>
        <w:ind w:left="463" w:right="242" w:hanging="360"/>
        <w:jc w:val="left"/>
        <w:rPr>
          <w:b/>
          <w:sz w:val="21"/>
        </w:rPr>
      </w:pPr>
      <w:r>
        <w:rPr>
          <w:b/>
          <w:sz w:val="21"/>
        </w:rPr>
        <w:t>Increase funding to hire and retain more MHPs in order to meet nationally-recommended ratios between</w:t>
      </w:r>
      <w:r>
        <w:rPr>
          <w:b/>
          <w:spacing w:val="40"/>
          <w:sz w:val="21"/>
        </w:rPr>
        <w:t> </w:t>
      </w:r>
      <w:r>
        <w:rPr>
          <w:b/>
          <w:sz w:val="21"/>
        </w:rPr>
        <w:t>MHPs and youth.</w:t>
      </w:r>
    </w:p>
    <w:p>
      <w:pPr>
        <w:spacing w:line="276" w:lineRule="auto" w:before="239"/>
        <w:ind w:left="463" w:right="238" w:firstLine="0"/>
        <w:jc w:val="both"/>
        <w:rPr>
          <w:sz w:val="21"/>
        </w:rPr>
      </w:pPr>
      <w:r>
        <w:rPr>
          <w:sz w:val="21"/>
        </w:rPr>
        <w:t>As</w:t>
      </w:r>
      <w:r>
        <w:rPr>
          <w:spacing w:val="-2"/>
          <w:sz w:val="21"/>
        </w:rPr>
        <w:t> </w:t>
      </w:r>
      <w:r>
        <w:rPr>
          <w:sz w:val="21"/>
        </w:rPr>
        <w:t>discussed</w:t>
      </w:r>
      <w:r>
        <w:rPr>
          <w:spacing w:val="-2"/>
          <w:sz w:val="21"/>
        </w:rPr>
        <w:t> </w:t>
      </w:r>
      <w:r>
        <w:rPr>
          <w:sz w:val="21"/>
        </w:rPr>
        <w:t>throughout</w:t>
      </w:r>
      <w:r>
        <w:rPr>
          <w:spacing w:val="-1"/>
          <w:sz w:val="21"/>
        </w:rPr>
        <w:t> </w:t>
      </w:r>
      <w:r>
        <w:rPr>
          <w:sz w:val="21"/>
        </w:rPr>
        <w:t>this</w:t>
      </w:r>
      <w:r>
        <w:rPr>
          <w:spacing w:val="-3"/>
          <w:sz w:val="21"/>
        </w:rPr>
        <w:t> </w:t>
      </w:r>
      <w:r>
        <w:rPr>
          <w:sz w:val="21"/>
        </w:rPr>
        <w:t>report,</w:t>
      </w:r>
      <w:r>
        <w:rPr>
          <w:spacing w:val="-1"/>
          <w:sz w:val="21"/>
        </w:rPr>
        <w:t> </w:t>
      </w:r>
      <w:r>
        <w:rPr>
          <w:sz w:val="21"/>
        </w:rPr>
        <w:t>mental</w:t>
      </w:r>
      <w:r>
        <w:rPr>
          <w:spacing w:val="-2"/>
          <w:sz w:val="21"/>
        </w:rPr>
        <w:t> </w:t>
      </w:r>
      <w:r>
        <w:rPr>
          <w:sz w:val="21"/>
        </w:rPr>
        <w:t>healthcare</w:t>
      </w:r>
      <w:r>
        <w:rPr>
          <w:spacing w:val="-3"/>
          <w:sz w:val="21"/>
        </w:rPr>
        <w:t> </w:t>
      </w:r>
      <w:r>
        <w:rPr>
          <w:sz w:val="21"/>
        </w:rPr>
        <w:t>is</w:t>
      </w:r>
      <w:r>
        <w:rPr>
          <w:spacing w:val="-3"/>
          <w:sz w:val="21"/>
        </w:rPr>
        <w:t> </w:t>
      </w:r>
      <w:r>
        <w:rPr>
          <w:sz w:val="21"/>
        </w:rPr>
        <w:t>in</w:t>
      </w:r>
      <w:r>
        <w:rPr>
          <w:spacing w:val="-2"/>
          <w:sz w:val="21"/>
        </w:rPr>
        <w:t> </w:t>
      </w:r>
      <w:r>
        <w:rPr>
          <w:sz w:val="21"/>
        </w:rPr>
        <w:t>a</w:t>
      </w:r>
      <w:r>
        <w:rPr>
          <w:spacing w:val="-2"/>
          <w:sz w:val="21"/>
        </w:rPr>
        <w:t> </w:t>
      </w:r>
      <w:r>
        <w:rPr>
          <w:sz w:val="21"/>
        </w:rPr>
        <w:t>state</w:t>
      </w:r>
      <w:r>
        <w:rPr>
          <w:spacing w:val="-2"/>
          <w:sz w:val="21"/>
        </w:rPr>
        <w:t> </w:t>
      </w:r>
      <w:r>
        <w:rPr>
          <w:sz w:val="21"/>
        </w:rPr>
        <w:t>of</w:t>
      </w:r>
      <w:r>
        <w:rPr>
          <w:spacing w:val="-4"/>
          <w:sz w:val="21"/>
        </w:rPr>
        <w:t> </w:t>
      </w:r>
      <w:r>
        <w:rPr>
          <w:sz w:val="21"/>
        </w:rPr>
        <w:t>crisis.</w:t>
      </w:r>
      <w:r>
        <w:rPr>
          <w:spacing w:val="-2"/>
          <w:sz w:val="21"/>
        </w:rPr>
        <w:t> </w:t>
      </w:r>
      <w:r>
        <w:rPr>
          <w:sz w:val="21"/>
        </w:rPr>
        <w:t>The</w:t>
      </w:r>
      <w:r>
        <w:rPr>
          <w:spacing w:val="-2"/>
          <w:sz w:val="21"/>
        </w:rPr>
        <w:t> </w:t>
      </w:r>
      <w:r>
        <w:rPr>
          <w:sz w:val="21"/>
        </w:rPr>
        <w:t>Commission</w:t>
      </w:r>
      <w:r>
        <w:rPr>
          <w:spacing w:val="-2"/>
          <w:sz w:val="21"/>
        </w:rPr>
        <w:t> </w:t>
      </w:r>
      <w:r>
        <w:rPr>
          <w:sz w:val="21"/>
        </w:rPr>
        <w:t>recommends</w:t>
      </w:r>
      <w:r>
        <w:rPr>
          <w:spacing w:val="-2"/>
          <w:sz w:val="21"/>
        </w:rPr>
        <w:t> </w:t>
      </w:r>
      <w:r>
        <w:rPr>
          <w:sz w:val="21"/>
        </w:rPr>
        <w:t>that the Commonwealth continue to prioritize and invest in mental health professionals, and ensure that K-12 schools, higher education, juvenile justice programs, and the</w:t>
      </w:r>
      <w:r>
        <w:rPr>
          <w:spacing w:val="-1"/>
          <w:sz w:val="21"/>
        </w:rPr>
        <w:t> </w:t>
      </w:r>
      <w:r>
        <w:rPr>
          <w:sz w:val="21"/>
        </w:rPr>
        <w:t>child welfare system are able</w:t>
      </w:r>
      <w:r>
        <w:rPr>
          <w:spacing w:val="-1"/>
          <w:sz w:val="21"/>
        </w:rPr>
        <w:t> </w:t>
      </w:r>
      <w:r>
        <w:rPr>
          <w:sz w:val="21"/>
        </w:rPr>
        <w:t>to provide effective and affirming mental health services for youth in their care. The Commission urges the legislature to explore innovative</w:t>
      </w:r>
      <w:r>
        <w:rPr>
          <w:spacing w:val="-6"/>
          <w:sz w:val="21"/>
        </w:rPr>
        <w:t> </w:t>
      </w:r>
      <w:r>
        <w:rPr>
          <w:sz w:val="21"/>
        </w:rPr>
        <w:t>ways</w:t>
      </w:r>
      <w:r>
        <w:rPr>
          <w:spacing w:val="-6"/>
          <w:sz w:val="21"/>
        </w:rPr>
        <w:t> </w:t>
      </w:r>
      <w:r>
        <w:rPr>
          <w:sz w:val="21"/>
        </w:rPr>
        <w:t>to</w:t>
      </w:r>
      <w:r>
        <w:rPr>
          <w:spacing w:val="-6"/>
          <w:sz w:val="21"/>
        </w:rPr>
        <w:t> </w:t>
      </w:r>
      <w:r>
        <w:rPr>
          <w:sz w:val="21"/>
        </w:rPr>
        <w:t>invest</w:t>
      </w:r>
      <w:r>
        <w:rPr>
          <w:spacing w:val="-6"/>
          <w:sz w:val="21"/>
        </w:rPr>
        <w:t> </w:t>
      </w:r>
      <w:r>
        <w:rPr>
          <w:sz w:val="21"/>
        </w:rPr>
        <w:t>in</w:t>
      </w:r>
      <w:r>
        <w:rPr>
          <w:spacing w:val="-7"/>
          <w:sz w:val="21"/>
        </w:rPr>
        <w:t> </w:t>
      </w:r>
      <w:r>
        <w:rPr>
          <w:sz w:val="21"/>
        </w:rPr>
        <w:t>mental</w:t>
      </w:r>
      <w:r>
        <w:rPr>
          <w:spacing w:val="-6"/>
          <w:sz w:val="21"/>
        </w:rPr>
        <w:t> </w:t>
      </w:r>
      <w:r>
        <w:rPr>
          <w:sz w:val="21"/>
        </w:rPr>
        <w:t>healthcare</w:t>
      </w:r>
      <w:r>
        <w:rPr>
          <w:spacing w:val="-6"/>
          <w:sz w:val="21"/>
        </w:rPr>
        <w:t> </w:t>
      </w:r>
      <w:r>
        <w:rPr>
          <w:sz w:val="21"/>
        </w:rPr>
        <w:t>professionals,</w:t>
      </w:r>
      <w:r>
        <w:rPr>
          <w:spacing w:val="-6"/>
          <w:sz w:val="21"/>
        </w:rPr>
        <w:t> </w:t>
      </w:r>
      <w:r>
        <w:rPr>
          <w:sz w:val="21"/>
        </w:rPr>
        <w:t>including</w:t>
      </w:r>
      <w:r>
        <w:rPr>
          <w:spacing w:val="-6"/>
          <w:sz w:val="21"/>
        </w:rPr>
        <w:t> </w:t>
      </w:r>
      <w:r>
        <w:rPr>
          <w:sz w:val="21"/>
        </w:rPr>
        <w:t>at</w:t>
      </w:r>
      <w:r>
        <w:rPr>
          <w:spacing w:val="-6"/>
          <w:sz w:val="21"/>
        </w:rPr>
        <w:t> </w:t>
      </w:r>
      <w:r>
        <w:rPr>
          <w:sz w:val="21"/>
        </w:rPr>
        <w:t>the</w:t>
      </w:r>
      <w:r>
        <w:rPr>
          <w:spacing w:val="-6"/>
          <w:sz w:val="21"/>
        </w:rPr>
        <w:t> </w:t>
      </w:r>
      <w:r>
        <w:rPr>
          <w:sz w:val="21"/>
        </w:rPr>
        <w:t>student</w:t>
      </w:r>
      <w:r>
        <w:rPr>
          <w:spacing w:val="-6"/>
          <w:sz w:val="21"/>
        </w:rPr>
        <w:t> </w:t>
      </w:r>
      <w:r>
        <w:rPr>
          <w:sz w:val="21"/>
        </w:rPr>
        <w:t>level</w:t>
      </w:r>
      <w:r>
        <w:rPr>
          <w:spacing w:val="-6"/>
          <w:sz w:val="21"/>
        </w:rPr>
        <w:t> </w:t>
      </w:r>
      <w:r>
        <w:rPr>
          <w:sz w:val="21"/>
        </w:rPr>
        <w:t>by</w:t>
      </w:r>
      <w:r>
        <w:rPr>
          <w:spacing w:val="-6"/>
          <w:sz w:val="21"/>
        </w:rPr>
        <w:t> </w:t>
      </w:r>
      <w:r>
        <w:rPr>
          <w:sz w:val="21"/>
        </w:rPr>
        <w:t>providing</w:t>
      </w:r>
      <w:r>
        <w:rPr>
          <w:spacing w:val="-6"/>
          <w:sz w:val="21"/>
        </w:rPr>
        <w:t> </w:t>
      </w:r>
      <w:r>
        <w:rPr>
          <w:sz w:val="21"/>
        </w:rPr>
        <w:t>funding opportunities and easing barriers to access for BIPOC and LGBTQ social work students to licensure.</w:t>
      </w:r>
    </w:p>
    <w:p>
      <w:pPr>
        <w:pStyle w:val="BodyText"/>
        <w:spacing w:before="143"/>
        <w:rPr>
          <w:sz w:val="21"/>
        </w:rPr>
      </w:pPr>
    </w:p>
    <w:p>
      <w:pPr>
        <w:tabs>
          <w:tab w:pos="9965" w:val="left" w:leader="none"/>
        </w:tabs>
        <w:spacing w:before="0"/>
        <w:ind w:left="433" w:right="0" w:firstLine="0"/>
        <w:jc w:val="both"/>
        <w:rPr>
          <w:rFonts w:ascii="Cambria"/>
          <w:sz w:val="28"/>
        </w:rPr>
      </w:pPr>
      <w:bookmarkStart w:name="Data &amp; Theories" w:id="238"/>
      <w:bookmarkEnd w:id="238"/>
      <w:r>
        <w:rPr/>
      </w:r>
      <w:r>
        <w:rPr>
          <w:rFonts w:ascii="Cambria"/>
          <w:color w:val="365F91"/>
          <w:spacing w:val="-33"/>
          <w:sz w:val="28"/>
          <w:u w:val="single" w:color="4F81BC"/>
        </w:rPr>
        <w:t> </w:t>
      </w:r>
      <w:r>
        <w:rPr>
          <w:rFonts w:ascii="Cambria"/>
          <w:color w:val="365F91"/>
          <w:sz w:val="28"/>
          <w:u w:val="single" w:color="4F81BC"/>
        </w:rPr>
        <w:t>Data</w:t>
      </w:r>
      <w:r>
        <w:rPr>
          <w:rFonts w:ascii="Cambria"/>
          <w:color w:val="365F91"/>
          <w:spacing w:val="-6"/>
          <w:sz w:val="28"/>
          <w:u w:val="single" w:color="4F81BC"/>
        </w:rPr>
        <w:t> </w:t>
      </w:r>
      <w:r>
        <w:rPr>
          <w:rFonts w:ascii="Cambria"/>
          <w:color w:val="365F91"/>
          <w:sz w:val="28"/>
          <w:u w:val="single" w:color="4F81BC"/>
        </w:rPr>
        <w:t>&amp;</w:t>
      </w:r>
      <w:r>
        <w:rPr>
          <w:rFonts w:ascii="Cambria"/>
          <w:color w:val="365F91"/>
          <w:spacing w:val="-4"/>
          <w:sz w:val="28"/>
          <w:u w:val="single" w:color="4F81BC"/>
        </w:rPr>
        <w:t> </w:t>
      </w:r>
      <w:r>
        <w:rPr>
          <w:rFonts w:ascii="Cambria"/>
          <w:color w:val="365F91"/>
          <w:spacing w:val="-2"/>
          <w:sz w:val="28"/>
          <w:u w:val="single" w:color="4F81BC"/>
        </w:rPr>
        <w:t>Theories</w:t>
      </w:r>
      <w:r>
        <w:rPr>
          <w:rFonts w:ascii="Cambria"/>
          <w:color w:val="365F91"/>
          <w:sz w:val="28"/>
          <w:u w:val="single" w:color="4F81BC"/>
        </w:rPr>
        <w:tab/>
      </w:r>
    </w:p>
    <w:p>
      <w:pPr>
        <w:pStyle w:val="BodyText"/>
        <w:spacing w:before="25"/>
        <w:rPr>
          <w:rFonts w:ascii="Cambria"/>
          <w:sz w:val="21"/>
        </w:rPr>
      </w:pPr>
    </w:p>
    <w:p>
      <w:pPr>
        <w:spacing w:line="276" w:lineRule="auto" w:before="1"/>
        <w:ind w:left="463" w:right="238" w:hanging="1"/>
        <w:jc w:val="both"/>
        <w:rPr>
          <w:sz w:val="21"/>
        </w:rPr>
      </w:pPr>
      <w:r>
        <w:rPr>
          <w:sz w:val="21"/>
        </w:rPr>
        <w:t>Against</w:t>
      </w:r>
      <w:r>
        <w:rPr>
          <w:spacing w:val="-7"/>
          <w:sz w:val="21"/>
        </w:rPr>
        <w:t> </w:t>
      </w:r>
      <w:r>
        <w:rPr>
          <w:sz w:val="21"/>
        </w:rPr>
        <w:t>the</w:t>
      </w:r>
      <w:r>
        <w:rPr>
          <w:spacing w:val="-7"/>
          <w:sz w:val="21"/>
        </w:rPr>
        <w:t> </w:t>
      </w:r>
      <w:r>
        <w:rPr>
          <w:sz w:val="21"/>
        </w:rPr>
        <w:t>backdrop</w:t>
      </w:r>
      <w:r>
        <w:rPr>
          <w:spacing w:val="-7"/>
          <w:sz w:val="21"/>
        </w:rPr>
        <w:t> </w:t>
      </w:r>
      <w:r>
        <w:rPr>
          <w:sz w:val="21"/>
        </w:rPr>
        <w:t>of</w:t>
      </w:r>
      <w:r>
        <w:rPr>
          <w:spacing w:val="-7"/>
          <w:sz w:val="21"/>
        </w:rPr>
        <w:t> </w:t>
      </w:r>
      <w:r>
        <w:rPr>
          <w:sz w:val="21"/>
        </w:rPr>
        <w:t>an</w:t>
      </w:r>
      <w:r>
        <w:rPr>
          <w:spacing w:val="-7"/>
          <w:sz w:val="21"/>
        </w:rPr>
        <w:t> </w:t>
      </w:r>
      <w:r>
        <w:rPr>
          <w:sz w:val="21"/>
        </w:rPr>
        <w:t>ever-changing</w:t>
      </w:r>
      <w:r>
        <w:rPr>
          <w:spacing w:val="-7"/>
          <w:sz w:val="21"/>
        </w:rPr>
        <w:t> </w:t>
      </w:r>
      <w:r>
        <w:rPr>
          <w:sz w:val="21"/>
        </w:rPr>
        <w:t>society</w:t>
      </w:r>
      <w:r>
        <w:rPr>
          <w:spacing w:val="-7"/>
          <w:sz w:val="21"/>
        </w:rPr>
        <w:t> </w:t>
      </w:r>
      <w:r>
        <w:rPr>
          <w:sz w:val="21"/>
        </w:rPr>
        <w:t>following</w:t>
      </w:r>
      <w:r>
        <w:rPr>
          <w:spacing w:val="-7"/>
          <w:sz w:val="21"/>
        </w:rPr>
        <w:t> </w:t>
      </w:r>
      <w:r>
        <w:rPr>
          <w:sz w:val="21"/>
        </w:rPr>
        <w:t>the</w:t>
      </w:r>
      <w:r>
        <w:rPr>
          <w:spacing w:val="-7"/>
          <w:sz w:val="21"/>
        </w:rPr>
        <w:t> </w:t>
      </w:r>
      <w:r>
        <w:rPr>
          <w:sz w:val="21"/>
        </w:rPr>
        <w:t>COVID-19</w:t>
      </w:r>
      <w:r>
        <w:rPr>
          <w:spacing w:val="-7"/>
          <w:sz w:val="21"/>
        </w:rPr>
        <w:t> </w:t>
      </w:r>
      <w:r>
        <w:rPr>
          <w:sz w:val="21"/>
        </w:rPr>
        <w:t>pandemic,</w:t>
      </w:r>
      <w:r>
        <w:rPr>
          <w:spacing w:val="-8"/>
          <w:sz w:val="21"/>
        </w:rPr>
        <w:t> </w:t>
      </w:r>
      <w:r>
        <w:rPr>
          <w:sz w:val="21"/>
        </w:rPr>
        <w:t>growing</w:t>
      </w:r>
      <w:r>
        <w:rPr>
          <w:spacing w:val="-7"/>
          <w:sz w:val="21"/>
        </w:rPr>
        <w:t> </w:t>
      </w:r>
      <w:r>
        <w:rPr>
          <w:sz w:val="21"/>
        </w:rPr>
        <w:t>social</w:t>
      </w:r>
      <w:r>
        <w:rPr>
          <w:spacing w:val="-7"/>
          <w:sz w:val="21"/>
        </w:rPr>
        <w:t> </w:t>
      </w:r>
      <w:r>
        <w:rPr>
          <w:sz w:val="21"/>
        </w:rPr>
        <w:t>and</w:t>
      </w:r>
      <w:r>
        <w:rPr>
          <w:spacing w:val="-7"/>
          <w:sz w:val="21"/>
        </w:rPr>
        <w:t> </w:t>
      </w:r>
      <w:r>
        <w:rPr>
          <w:sz w:val="21"/>
        </w:rPr>
        <w:t>political hostility, and a growing shortage of affordable and accessible mental healthcare, the state of LGBTQ youth mental health continues to deteriorate. Overall, more and more youth have been experiencing anxiety and considering suicide</w:t>
      </w:r>
      <w:r>
        <w:rPr>
          <w:spacing w:val="-1"/>
          <w:sz w:val="21"/>
        </w:rPr>
        <w:t> </w:t>
      </w:r>
      <w:r>
        <w:rPr>
          <w:sz w:val="21"/>
        </w:rPr>
        <w:t>over</w:t>
      </w:r>
      <w:r>
        <w:rPr>
          <w:spacing w:val="-1"/>
          <w:sz w:val="21"/>
        </w:rPr>
        <w:t> </w:t>
      </w:r>
      <w:r>
        <w:rPr>
          <w:sz w:val="21"/>
        </w:rPr>
        <w:t>the</w:t>
      </w:r>
      <w:r>
        <w:rPr>
          <w:spacing w:val="-1"/>
          <w:sz w:val="21"/>
        </w:rPr>
        <w:t> </w:t>
      </w:r>
      <w:r>
        <w:rPr>
          <w:sz w:val="21"/>
        </w:rPr>
        <w:t>last three</w:t>
      </w:r>
      <w:r>
        <w:rPr>
          <w:spacing w:val="-1"/>
          <w:sz w:val="21"/>
        </w:rPr>
        <w:t> </w:t>
      </w:r>
      <w:r>
        <w:rPr>
          <w:sz w:val="21"/>
        </w:rPr>
        <w:t>years</w:t>
      </w:r>
      <w:r>
        <w:rPr>
          <w:spacing w:val="-1"/>
          <w:sz w:val="21"/>
        </w:rPr>
        <w:t> </w:t>
      </w:r>
      <w:r>
        <w:rPr>
          <w:sz w:val="21"/>
        </w:rPr>
        <w:t>of</w:t>
      </w:r>
      <w:r>
        <w:rPr>
          <w:spacing w:val="-1"/>
          <w:sz w:val="21"/>
        </w:rPr>
        <w:t> </w:t>
      </w:r>
      <w:r>
        <w:rPr>
          <w:sz w:val="21"/>
        </w:rPr>
        <w:t>the</w:t>
      </w:r>
      <w:r>
        <w:rPr>
          <w:spacing w:val="-1"/>
          <w:sz w:val="21"/>
        </w:rPr>
        <w:t> </w:t>
      </w:r>
      <w:r>
        <w:rPr>
          <w:sz w:val="21"/>
        </w:rPr>
        <w:t>global</w:t>
      </w:r>
      <w:r>
        <w:rPr>
          <w:spacing w:val="-1"/>
          <w:sz w:val="21"/>
        </w:rPr>
        <w:t> </w:t>
      </w:r>
      <w:r>
        <w:rPr>
          <w:sz w:val="21"/>
        </w:rPr>
        <w:t>pandemic.</w:t>
      </w:r>
      <w:r>
        <w:rPr>
          <w:spacing w:val="-1"/>
          <w:sz w:val="21"/>
        </w:rPr>
        <w:t> </w:t>
      </w:r>
      <w:r>
        <w:rPr>
          <w:sz w:val="21"/>
        </w:rPr>
        <w:t>Additionally, more</w:t>
      </w:r>
      <w:r>
        <w:rPr>
          <w:spacing w:val="-1"/>
          <w:sz w:val="21"/>
        </w:rPr>
        <w:t> </w:t>
      </w:r>
      <w:r>
        <w:rPr>
          <w:sz w:val="21"/>
        </w:rPr>
        <w:t>youth</w:t>
      </w:r>
      <w:r>
        <w:rPr>
          <w:spacing w:val="-1"/>
          <w:sz w:val="21"/>
        </w:rPr>
        <w:t> </w:t>
      </w:r>
      <w:r>
        <w:rPr>
          <w:sz w:val="21"/>
        </w:rPr>
        <w:t>are</w:t>
      </w:r>
      <w:r>
        <w:rPr>
          <w:spacing w:val="-1"/>
          <w:sz w:val="21"/>
        </w:rPr>
        <w:t> </w:t>
      </w:r>
      <w:r>
        <w:rPr>
          <w:sz w:val="21"/>
        </w:rPr>
        <w:t>experiencing depression</w:t>
      </w:r>
      <w:r>
        <w:rPr>
          <w:spacing w:val="-6"/>
          <w:sz w:val="21"/>
        </w:rPr>
        <w:t> </w:t>
      </w:r>
      <w:r>
        <w:rPr>
          <w:sz w:val="21"/>
        </w:rPr>
        <w:t>than</w:t>
      </w:r>
      <w:r>
        <w:rPr>
          <w:spacing w:val="-6"/>
          <w:sz w:val="21"/>
        </w:rPr>
        <w:t> </w:t>
      </w:r>
      <w:r>
        <w:rPr>
          <w:sz w:val="21"/>
        </w:rPr>
        <w:t>in</w:t>
      </w:r>
      <w:r>
        <w:rPr>
          <w:spacing w:val="-6"/>
          <w:sz w:val="21"/>
        </w:rPr>
        <w:t> </w:t>
      </w:r>
      <w:r>
        <w:rPr>
          <w:sz w:val="21"/>
        </w:rPr>
        <w:t>2020,</w:t>
      </w:r>
      <w:r>
        <w:rPr>
          <w:spacing w:val="-5"/>
          <w:sz w:val="21"/>
        </w:rPr>
        <w:t> </w:t>
      </w:r>
      <w:r>
        <w:rPr>
          <w:sz w:val="21"/>
        </w:rPr>
        <w:t>while</w:t>
      </w:r>
      <w:r>
        <w:rPr>
          <w:spacing w:val="-6"/>
          <w:sz w:val="21"/>
        </w:rPr>
        <w:t> </w:t>
      </w:r>
      <w:r>
        <w:rPr>
          <w:sz w:val="21"/>
        </w:rPr>
        <w:t>suicide</w:t>
      </w:r>
      <w:r>
        <w:rPr>
          <w:spacing w:val="-6"/>
          <w:sz w:val="21"/>
        </w:rPr>
        <w:t> </w:t>
      </w:r>
      <w:r>
        <w:rPr>
          <w:sz w:val="21"/>
        </w:rPr>
        <w:t>attempt</w:t>
      </w:r>
      <w:r>
        <w:rPr>
          <w:spacing w:val="-5"/>
          <w:sz w:val="21"/>
        </w:rPr>
        <w:t> </w:t>
      </w:r>
      <w:r>
        <w:rPr>
          <w:sz w:val="21"/>
        </w:rPr>
        <w:t>rates</w:t>
      </w:r>
      <w:r>
        <w:rPr>
          <w:spacing w:val="-6"/>
          <w:sz w:val="21"/>
        </w:rPr>
        <w:t> </w:t>
      </w:r>
      <w:r>
        <w:rPr>
          <w:sz w:val="21"/>
        </w:rPr>
        <w:t>have</w:t>
      </w:r>
      <w:r>
        <w:rPr>
          <w:spacing w:val="-6"/>
          <w:sz w:val="21"/>
        </w:rPr>
        <w:t> </w:t>
      </w:r>
      <w:r>
        <w:rPr>
          <w:sz w:val="21"/>
        </w:rPr>
        <w:t>stayed</w:t>
      </w:r>
      <w:r>
        <w:rPr>
          <w:spacing w:val="-6"/>
          <w:sz w:val="21"/>
        </w:rPr>
        <w:t> </w:t>
      </w:r>
      <w:r>
        <w:rPr>
          <w:sz w:val="21"/>
        </w:rPr>
        <w:t>relatively</w:t>
      </w:r>
      <w:r>
        <w:rPr>
          <w:spacing w:val="-6"/>
          <w:sz w:val="21"/>
        </w:rPr>
        <w:t> </w:t>
      </w:r>
      <w:r>
        <w:rPr>
          <w:sz w:val="21"/>
        </w:rPr>
        <w:t>level</w:t>
      </w:r>
      <w:hyperlink w:history="true" w:anchor="_bookmark105">
        <w:r>
          <w:rPr>
            <w:sz w:val="21"/>
          </w:rPr>
          <w:t>.</w:t>
        </w:r>
        <w:r>
          <w:rPr>
            <w:sz w:val="21"/>
            <w:vertAlign w:val="superscript"/>
          </w:rPr>
          <w:t>2</w:t>
        </w:r>
      </w:hyperlink>
      <w:r>
        <w:rPr>
          <w:spacing w:val="-5"/>
          <w:sz w:val="21"/>
          <w:vertAlign w:val="baseline"/>
        </w:rPr>
        <w:t> </w:t>
      </w:r>
      <w:r>
        <w:rPr>
          <w:sz w:val="21"/>
          <w:vertAlign w:val="baseline"/>
        </w:rPr>
        <w:t>Most</w:t>
      </w:r>
      <w:r>
        <w:rPr>
          <w:spacing w:val="-5"/>
          <w:sz w:val="21"/>
          <w:vertAlign w:val="baseline"/>
        </w:rPr>
        <w:t> </w:t>
      </w:r>
      <w:r>
        <w:rPr>
          <w:sz w:val="21"/>
          <w:vertAlign w:val="baseline"/>
        </w:rPr>
        <w:t>alarmingly,</w:t>
      </w:r>
      <w:r>
        <w:rPr>
          <w:spacing w:val="-5"/>
          <w:sz w:val="21"/>
          <w:vertAlign w:val="baseline"/>
        </w:rPr>
        <w:t> </w:t>
      </w:r>
      <w:r>
        <w:rPr>
          <w:sz w:val="21"/>
          <w:vertAlign w:val="baseline"/>
        </w:rPr>
        <w:t>in</w:t>
      </w:r>
      <w:r>
        <w:rPr>
          <w:spacing w:val="-6"/>
          <w:sz w:val="21"/>
          <w:vertAlign w:val="baseline"/>
        </w:rPr>
        <w:t> </w:t>
      </w:r>
      <w:r>
        <w:rPr>
          <w:sz w:val="21"/>
          <w:vertAlign w:val="baseline"/>
        </w:rPr>
        <w:t>2021,</w:t>
      </w:r>
      <w:r>
        <w:rPr>
          <w:spacing w:val="-5"/>
          <w:sz w:val="21"/>
          <w:vertAlign w:val="baseline"/>
        </w:rPr>
        <w:t> </w:t>
      </w:r>
      <w:r>
        <w:rPr>
          <w:sz w:val="21"/>
          <w:vertAlign w:val="baseline"/>
        </w:rPr>
        <w:t>1</w:t>
      </w:r>
      <w:r>
        <w:rPr>
          <w:spacing w:val="-6"/>
          <w:sz w:val="21"/>
          <w:vertAlign w:val="baseline"/>
        </w:rPr>
        <w:t> </w:t>
      </w:r>
      <w:r>
        <w:rPr>
          <w:sz w:val="21"/>
          <w:vertAlign w:val="baseline"/>
        </w:rPr>
        <w:t>in 2 LGBTQ youth in Massachusetts were not able to get mental healthcare when they wanted it</w:t>
      </w:r>
      <w:hyperlink w:history="true" w:anchor="_bookmark106">
        <w:r>
          <w:rPr>
            <w:sz w:val="21"/>
            <w:vertAlign w:val="baseline"/>
          </w:rPr>
          <w:t>.</w:t>
        </w:r>
        <w:r>
          <w:rPr>
            <w:sz w:val="21"/>
            <w:vertAlign w:val="superscript"/>
          </w:rPr>
          <w:t>3</w:t>
        </w:r>
      </w:hyperlink>
    </w:p>
    <w:p>
      <w:pPr>
        <w:spacing w:line="276" w:lineRule="auto" w:before="238"/>
        <w:ind w:left="463" w:right="240" w:hanging="1"/>
        <w:jc w:val="both"/>
        <w:rPr>
          <w:sz w:val="21"/>
        </w:rPr>
      </w:pPr>
      <w:r>
        <w:rPr>
          <w:sz w:val="21"/>
        </w:rPr>
        <w:t>In the Trevor Project’s most recent survey on LGBTQ youth mental health, 71% of 13-18 year-old LGBTQ participants in Massachusetts reported experiencing anxiety, while 51% felt symptoms of depression. </w:t>
      </w:r>
      <w:hyperlink w:history="true" w:anchor="_bookmark107">
        <w:r>
          <w:rPr>
            <w:sz w:val="21"/>
            <w:vertAlign w:val="superscript"/>
          </w:rPr>
          <w:t>4</w:t>
        </w:r>
      </w:hyperlink>
      <w:r>
        <w:rPr>
          <w:sz w:val="21"/>
          <w:vertAlign w:val="baseline"/>
        </w:rPr>
        <w:t> Meanwhile, 41% of participants reported seriously considering suicide in the last year, and 11% reported attempting suicide (vs. 14% nationwide). Across the US, more than 1 in 3 youth have experienced physical threats or harm based on their identities – and youth who were victimized attempted suicide at over twice as often as peers who were not</w:t>
      </w:r>
      <w:hyperlink w:history="true" w:anchor="_bookmark108">
        <w:r>
          <w:rPr>
            <w:sz w:val="21"/>
            <w:vertAlign w:val="baseline"/>
          </w:rPr>
          <w:t>.</w:t>
        </w:r>
        <w:r>
          <w:rPr>
            <w:sz w:val="21"/>
            <w:vertAlign w:val="superscript"/>
          </w:rPr>
          <w:t>5</w:t>
        </w:r>
      </w:hyperlink>
      <w:r>
        <w:rPr>
          <w:sz w:val="21"/>
          <w:vertAlign w:val="baseline"/>
        </w:rPr>
        <w:t> Finally, the US Census Bureau’s Household Pulse Survey recently found that LGBTQ adults</w:t>
      </w:r>
      <w:r>
        <w:rPr>
          <w:spacing w:val="-1"/>
          <w:sz w:val="21"/>
          <w:vertAlign w:val="baseline"/>
        </w:rPr>
        <w:t> </w:t>
      </w:r>
      <w:r>
        <w:rPr>
          <w:sz w:val="21"/>
          <w:vertAlign w:val="baseline"/>
        </w:rPr>
        <w:t>ages 18-29 were nearly twice as likely as</w:t>
      </w:r>
      <w:r>
        <w:rPr>
          <w:spacing w:val="-1"/>
          <w:sz w:val="21"/>
          <w:vertAlign w:val="baseline"/>
        </w:rPr>
        <w:t> </w:t>
      </w:r>
      <w:r>
        <w:rPr>
          <w:sz w:val="21"/>
          <w:vertAlign w:val="baseline"/>
        </w:rPr>
        <w:t>non-LGBTQ peers to report having symptoms of anxiety (61% of adults) and depression (50%).</w:t>
      </w:r>
      <w:hyperlink w:history="true" w:anchor="_bookmark109">
        <w:r>
          <w:rPr>
            <w:sz w:val="21"/>
            <w:vertAlign w:val="superscript"/>
          </w:rPr>
          <w:t>6</w:t>
        </w:r>
      </w:hyperlink>
    </w:p>
    <w:p>
      <w:pPr>
        <w:spacing w:after="0" w:line="276" w:lineRule="auto"/>
        <w:jc w:val="both"/>
        <w:rPr>
          <w:sz w:val="21"/>
        </w:rPr>
        <w:sectPr>
          <w:pgSz w:w="12240" w:h="15840"/>
          <w:pgMar w:header="804" w:footer="1390" w:top="1080" w:bottom="1620" w:left="980" w:right="1080"/>
        </w:sectPr>
      </w:pPr>
    </w:p>
    <w:p>
      <w:pPr>
        <w:spacing w:before="68"/>
        <w:ind w:left="463" w:right="0" w:firstLine="0"/>
        <w:jc w:val="both"/>
        <w:rPr>
          <w:sz w:val="28"/>
        </w:rPr>
      </w:pPr>
      <w:bookmarkStart w:name="Data Limitations" w:id="239"/>
      <w:bookmarkEnd w:id="239"/>
      <w:r>
        <w:rPr/>
      </w:r>
      <w:r>
        <w:rPr>
          <w:color w:val="365F91"/>
          <w:sz w:val="28"/>
        </w:rPr>
        <w:t>Data</w:t>
      </w:r>
      <w:r>
        <w:rPr>
          <w:color w:val="365F91"/>
          <w:spacing w:val="-8"/>
          <w:sz w:val="28"/>
        </w:rPr>
        <w:t> </w:t>
      </w:r>
      <w:r>
        <w:rPr>
          <w:color w:val="365F91"/>
          <w:spacing w:val="-2"/>
          <w:sz w:val="28"/>
        </w:rPr>
        <w:t>Limitations</w:t>
      </w:r>
    </w:p>
    <w:p>
      <w:pPr>
        <w:spacing w:line="276" w:lineRule="auto" w:before="291"/>
        <w:ind w:left="463" w:right="240" w:firstLine="0"/>
        <w:jc w:val="both"/>
        <w:rPr>
          <w:sz w:val="21"/>
        </w:rPr>
      </w:pPr>
      <w:r>
        <w:rPr>
          <w:sz w:val="21"/>
        </w:rPr>
        <w:t>While LGBTQ youth face mental health challenges across the board, there are clear disparities for BIPOC, multiracial, and gender expansive (transgender and non-binary) LGBTQ youth. For instance, in the Trevor Project’s</w:t>
      </w:r>
      <w:r>
        <w:rPr>
          <w:spacing w:val="-8"/>
          <w:sz w:val="21"/>
        </w:rPr>
        <w:t> </w:t>
      </w:r>
      <w:r>
        <w:rPr>
          <w:sz w:val="21"/>
        </w:rPr>
        <w:t>2023</w:t>
      </w:r>
      <w:r>
        <w:rPr>
          <w:spacing w:val="-9"/>
          <w:sz w:val="21"/>
        </w:rPr>
        <w:t> </w:t>
      </w:r>
      <w:r>
        <w:rPr>
          <w:sz w:val="21"/>
        </w:rPr>
        <w:t>National</w:t>
      </w:r>
      <w:r>
        <w:rPr>
          <w:spacing w:val="-8"/>
          <w:sz w:val="21"/>
        </w:rPr>
        <w:t> </w:t>
      </w:r>
      <w:r>
        <w:rPr>
          <w:sz w:val="21"/>
        </w:rPr>
        <w:t>Survey,</w:t>
      </w:r>
      <w:r>
        <w:rPr>
          <w:spacing w:val="-8"/>
          <w:sz w:val="21"/>
        </w:rPr>
        <w:t> </w:t>
      </w:r>
      <w:r>
        <w:rPr>
          <w:sz w:val="21"/>
        </w:rPr>
        <w:t>Indigenous,</w:t>
      </w:r>
      <w:r>
        <w:rPr>
          <w:spacing w:val="-8"/>
          <w:sz w:val="21"/>
        </w:rPr>
        <w:t> </w:t>
      </w:r>
      <w:r>
        <w:rPr>
          <w:sz w:val="21"/>
        </w:rPr>
        <w:t>Middle</w:t>
      </w:r>
      <w:r>
        <w:rPr>
          <w:spacing w:val="-8"/>
          <w:sz w:val="21"/>
        </w:rPr>
        <w:t> </w:t>
      </w:r>
      <w:r>
        <w:rPr>
          <w:sz w:val="21"/>
        </w:rPr>
        <w:t>Eastern/North</w:t>
      </w:r>
      <w:r>
        <w:rPr>
          <w:spacing w:val="-8"/>
          <w:sz w:val="21"/>
        </w:rPr>
        <w:t> </w:t>
      </w:r>
      <w:r>
        <w:rPr>
          <w:sz w:val="21"/>
        </w:rPr>
        <w:t>African</w:t>
      </w:r>
      <w:r>
        <w:rPr>
          <w:spacing w:val="-8"/>
          <w:sz w:val="21"/>
        </w:rPr>
        <w:t> </w:t>
      </w:r>
      <w:r>
        <w:rPr>
          <w:sz w:val="21"/>
        </w:rPr>
        <w:t>(MENA),</w:t>
      </w:r>
      <w:r>
        <w:rPr>
          <w:spacing w:val="-8"/>
          <w:sz w:val="21"/>
        </w:rPr>
        <w:t> </w:t>
      </w:r>
      <w:r>
        <w:rPr>
          <w:sz w:val="21"/>
        </w:rPr>
        <w:t>and</w:t>
      </w:r>
      <w:r>
        <w:rPr>
          <w:spacing w:val="-8"/>
          <w:sz w:val="21"/>
        </w:rPr>
        <w:t> </w:t>
      </w:r>
      <w:r>
        <w:rPr>
          <w:sz w:val="21"/>
        </w:rPr>
        <w:t>multiracial</w:t>
      </w:r>
      <w:r>
        <w:rPr>
          <w:spacing w:val="-10"/>
          <w:sz w:val="21"/>
        </w:rPr>
        <w:t> </w:t>
      </w:r>
      <w:r>
        <w:rPr>
          <w:sz w:val="21"/>
        </w:rPr>
        <w:t>LGBTQ</w:t>
      </w:r>
      <w:r>
        <w:rPr>
          <w:spacing w:val="-8"/>
          <w:sz w:val="21"/>
        </w:rPr>
        <w:t> </w:t>
      </w:r>
      <w:r>
        <w:rPr>
          <w:sz w:val="21"/>
        </w:rPr>
        <w:t>youth were the top three reporters of anxiety, depression, and threats and acts of physical harm. Gender expansive youth</w:t>
      </w:r>
      <w:r>
        <w:rPr>
          <w:spacing w:val="-8"/>
          <w:sz w:val="21"/>
        </w:rPr>
        <w:t> </w:t>
      </w:r>
      <w:r>
        <w:rPr>
          <w:sz w:val="21"/>
        </w:rPr>
        <w:t>across</w:t>
      </w:r>
      <w:r>
        <w:rPr>
          <w:spacing w:val="-8"/>
          <w:sz w:val="21"/>
        </w:rPr>
        <w:t> </w:t>
      </w:r>
      <w:r>
        <w:rPr>
          <w:sz w:val="21"/>
        </w:rPr>
        <w:t>the</w:t>
      </w:r>
      <w:r>
        <w:rPr>
          <w:spacing w:val="-8"/>
          <w:sz w:val="21"/>
        </w:rPr>
        <w:t> </w:t>
      </w:r>
      <w:r>
        <w:rPr>
          <w:sz w:val="21"/>
        </w:rPr>
        <w:t>Commonwealth</w:t>
      </w:r>
      <w:r>
        <w:rPr>
          <w:spacing w:val="-8"/>
          <w:sz w:val="21"/>
        </w:rPr>
        <w:t> </w:t>
      </w:r>
      <w:r>
        <w:rPr>
          <w:sz w:val="21"/>
        </w:rPr>
        <w:t>and</w:t>
      </w:r>
      <w:r>
        <w:rPr>
          <w:spacing w:val="-9"/>
          <w:sz w:val="21"/>
        </w:rPr>
        <w:t> </w:t>
      </w:r>
      <w:r>
        <w:rPr>
          <w:sz w:val="21"/>
        </w:rPr>
        <w:t>the</w:t>
      </w:r>
      <w:r>
        <w:rPr>
          <w:spacing w:val="-9"/>
          <w:sz w:val="21"/>
        </w:rPr>
        <w:t> </w:t>
      </w:r>
      <w:r>
        <w:rPr>
          <w:sz w:val="21"/>
        </w:rPr>
        <w:t>country</w:t>
      </w:r>
      <w:r>
        <w:rPr>
          <w:spacing w:val="-8"/>
          <w:sz w:val="21"/>
        </w:rPr>
        <w:t> </w:t>
      </w:r>
      <w:r>
        <w:rPr>
          <w:sz w:val="21"/>
        </w:rPr>
        <w:t>also</w:t>
      </w:r>
      <w:r>
        <w:rPr>
          <w:spacing w:val="-8"/>
          <w:sz w:val="21"/>
        </w:rPr>
        <w:t> </w:t>
      </w:r>
      <w:r>
        <w:rPr>
          <w:sz w:val="21"/>
        </w:rPr>
        <w:t>reported</w:t>
      </w:r>
      <w:r>
        <w:rPr>
          <w:spacing w:val="-8"/>
          <w:sz w:val="21"/>
        </w:rPr>
        <w:t> </w:t>
      </w:r>
      <w:r>
        <w:rPr>
          <w:sz w:val="21"/>
        </w:rPr>
        <w:t>significantly</w:t>
      </w:r>
      <w:r>
        <w:rPr>
          <w:spacing w:val="-8"/>
          <w:sz w:val="21"/>
        </w:rPr>
        <w:t> </w:t>
      </w:r>
      <w:r>
        <w:rPr>
          <w:sz w:val="21"/>
        </w:rPr>
        <w:t>higher</w:t>
      </w:r>
      <w:r>
        <w:rPr>
          <w:spacing w:val="-8"/>
          <w:sz w:val="21"/>
        </w:rPr>
        <w:t> </w:t>
      </w:r>
      <w:r>
        <w:rPr>
          <w:sz w:val="21"/>
        </w:rPr>
        <w:t>rates</w:t>
      </w:r>
      <w:r>
        <w:rPr>
          <w:spacing w:val="-8"/>
          <w:sz w:val="21"/>
        </w:rPr>
        <w:t> </w:t>
      </w:r>
      <w:r>
        <w:rPr>
          <w:sz w:val="21"/>
        </w:rPr>
        <w:t>of</w:t>
      </w:r>
      <w:r>
        <w:rPr>
          <w:spacing w:val="-8"/>
          <w:sz w:val="21"/>
        </w:rPr>
        <w:t> </w:t>
      </w:r>
      <w:r>
        <w:rPr>
          <w:sz w:val="21"/>
        </w:rPr>
        <w:t>anxiety,</w:t>
      </w:r>
      <w:r>
        <w:rPr>
          <w:spacing w:val="-7"/>
          <w:sz w:val="21"/>
        </w:rPr>
        <w:t> </w:t>
      </w:r>
      <w:r>
        <w:rPr>
          <w:sz w:val="21"/>
        </w:rPr>
        <w:t>depression, and suicidality – for instance, 64% of gender expansive youth. Finally, over half of Indigenous and gender expansive youth reported high levels of trauma symptoms.</w:t>
      </w:r>
    </w:p>
    <w:p>
      <w:pPr>
        <w:spacing w:line="276" w:lineRule="auto" w:before="241"/>
        <w:ind w:left="463" w:right="240" w:firstLine="0"/>
        <w:jc w:val="both"/>
        <w:rPr>
          <w:sz w:val="21"/>
        </w:rPr>
      </w:pPr>
      <w:r>
        <w:rPr>
          <w:sz w:val="21"/>
        </w:rPr>
        <w:t>It is</w:t>
      </w:r>
      <w:r>
        <w:rPr>
          <w:spacing w:val="-1"/>
          <w:sz w:val="21"/>
        </w:rPr>
        <w:t> </w:t>
      </w:r>
      <w:r>
        <w:rPr>
          <w:sz w:val="21"/>
        </w:rPr>
        <w:t>also</w:t>
      </w:r>
      <w:r>
        <w:rPr>
          <w:spacing w:val="-1"/>
          <w:sz w:val="21"/>
        </w:rPr>
        <w:t> </w:t>
      </w:r>
      <w:r>
        <w:rPr>
          <w:sz w:val="21"/>
        </w:rPr>
        <w:t>important</w:t>
      </w:r>
      <w:r>
        <w:rPr>
          <w:spacing w:val="-2"/>
          <w:sz w:val="21"/>
        </w:rPr>
        <w:t> </w:t>
      </w:r>
      <w:r>
        <w:rPr>
          <w:sz w:val="21"/>
        </w:rPr>
        <w:t>to</w:t>
      </w:r>
      <w:r>
        <w:rPr>
          <w:spacing w:val="-1"/>
          <w:sz w:val="21"/>
        </w:rPr>
        <w:t> </w:t>
      </w:r>
      <w:r>
        <w:rPr>
          <w:sz w:val="21"/>
        </w:rPr>
        <w:t>acknowledge</w:t>
      </w:r>
      <w:r>
        <w:rPr>
          <w:spacing w:val="-1"/>
          <w:sz w:val="21"/>
        </w:rPr>
        <w:t> </w:t>
      </w:r>
      <w:r>
        <w:rPr>
          <w:sz w:val="21"/>
        </w:rPr>
        <w:t>that</w:t>
      </w:r>
      <w:r>
        <w:rPr>
          <w:spacing w:val="-1"/>
          <w:sz w:val="21"/>
        </w:rPr>
        <w:t> </w:t>
      </w:r>
      <w:r>
        <w:rPr>
          <w:sz w:val="21"/>
        </w:rPr>
        <w:t>many</w:t>
      </w:r>
      <w:r>
        <w:rPr>
          <w:spacing w:val="-1"/>
          <w:sz w:val="21"/>
        </w:rPr>
        <w:t> </w:t>
      </w:r>
      <w:r>
        <w:rPr>
          <w:sz w:val="21"/>
        </w:rPr>
        <w:t>youth</w:t>
      </w:r>
      <w:r>
        <w:rPr>
          <w:spacing w:val="-1"/>
          <w:sz w:val="21"/>
        </w:rPr>
        <w:t> </w:t>
      </w:r>
      <w:r>
        <w:rPr>
          <w:sz w:val="21"/>
        </w:rPr>
        <w:t>remain</w:t>
      </w:r>
      <w:r>
        <w:rPr>
          <w:spacing w:val="-1"/>
          <w:sz w:val="21"/>
        </w:rPr>
        <w:t> </w:t>
      </w:r>
      <w:r>
        <w:rPr>
          <w:sz w:val="21"/>
        </w:rPr>
        <w:t>invisible</w:t>
      </w:r>
      <w:r>
        <w:rPr>
          <w:spacing w:val="-1"/>
          <w:sz w:val="21"/>
        </w:rPr>
        <w:t> </w:t>
      </w:r>
      <w:r>
        <w:rPr>
          <w:sz w:val="21"/>
        </w:rPr>
        <w:t>in</w:t>
      </w:r>
      <w:r>
        <w:rPr>
          <w:spacing w:val="-1"/>
          <w:sz w:val="21"/>
        </w:rPr>
        <w:t> </w:t>
      </w:r>
      <w:r>
        <w:rPr>
          <w:sz w:val="21"/>
        </w:rPr>
        <w:t>research.</w:t>
      </w:r>
      <w:r>
        <w:rPr>
          <w:spacing w:val="-1"/>
          <w:sz w:val="21"/>
        </w:rPr>
        <w:t> </w:t>
      </w:r>
      <w:r>
        <w:rPr>
          <w:sz w:val="21"/>
        </w:rPr>
        <w:t>No</w:t>
      </w:r>
      <w:r>
        <w:rPr>
          <w:spacing w:val="-1"/>
          <w:sz w:val="21"/>
        </w:rPr>
        <w:t> </w:t>
      </w:r>
      <w:r>
        <w:rPr>
          <w:sz w:val="21"/>
        </w:rPr>
        <w:t>recent national</w:t>
      </w:r>
      <w:r>
        <w:rPr>
          <w:spacing w:val="-1"/>
          <w:sz w:val="21"/>
        </w:rPr>
        <w:t> </w:t>
      </w:r>
      <w:r>
        <w:rPr>
          <w:sz w:val="21"/>
        </w:rPr>
        <w:t>and</w:t>
      </w:r>
      <w:r>
        <w:rPr>
          <w:spacing w:val="-1"/>
          <w:sz w:val="21"/>
        </w:rPr>
        <w:t> </w:t>
      </w:r>
      <w:r>
        <w:rPr>
          <w:sz w:val="21"/>
        </w:rPr>
        <w:t>state- level survey about LGBTQ mental health exists that is disaggregated by intersex status, immigration status, geographical location, disability, or involvement with child welfare or juvenile justice. When data collection is monolithic, it paints over critical needs, leading authorities to assume that entire populations do not need support. Going forward, the Commission urges local and state agencies to collect and discuss disaggregated youth demographics.</w:t>
      </w:r>
    </w:p>
    <w:p>
      <w:pPr>
        <w:spacing w:before="239"/>
        <w:ind w:left="463" w:right="0" w:firstLine="0"/>
        <w:jc w:val="both"/>
        <w:rPr>
          <w:sz w:val="28"/>
        </w:rPr>
      </w:pPr>
      <w:bookmarkStart w:name="The Role of Minority Stress: How Oppress" w:id="240"/>
      <w:bookmarkEnd w:id="240"/>
      <w:r>
        <w:rPr/>
      </w:r>
      <w:r>
        <w:rPr>
          <w:color w:val="365F91"/>
          <w:sz w:val="28"/>
        </w:rPr>
        <w:t>The</w:t>
      </w:r>
      <w:r>
        <w:rPr>
          <w:color w:val="365F91"/>
          <w:spacing w:val="-10"/>
          <w:sz w:val="28"/>
        </w:rPr>
        <w:t> </w:t>
      </w:r>
      <w:r>
        <w:rPr>
          <w:color w:val="365F91"/>
          <w:sz w:val="28"/>
        </w:rPr>
        <w:t>Role</w:t>
      </w:r>
      <w:r>
        <w:rPr>
          <w:color w:val="365F91"/>
          <w:spacing w:val="-9"/>
          <w:sz w:val="28"/>
        </w:rPr>
        <w:t> </w:t>
      </w:r>
      <w:r>
        <w:rPr>
          <w:color w:val="365F91"/>
          <w:sz w:val="28"/>
        </w:rPr>
        <w:t>of</w:t>
      </w:r>
      <w:r>
        <w:rPr>
          <w:color w:val="365F91"/>
          <w:spacing w:val="-9"/>
          <w:sz w:val="28"/>
        </w:rPr>
        <w:t> </w:t>
      </w:r>
      <w:r>
        <w:rPr>
          <w:color w:val="365F91"/>
          <w:sz w:val="28"/>
        </w:rPr>
        <w:t>Minority</w:t>
      </w:r>
      <w:r>
        <w:rPr>
          <w:color w:val="365F91"/>
          <w:spacing w:val="-9"/>
          <w:sz w:val="28"/>
        </w:rPr>
        <w:t> </w:t>
      </w:r>
      <w:r>
        <w:rPr>
          <w:color w:val="365F91"/>
          <w:sz w:val="28"/>
        </w:rPr>
        <w:t>Stress:</w:t>
      </w:r>
      <w:r>
        <w:rPr>
          <w:color w:val="365F91"/>
          <w:spacing w:val="-10"/>
          <w:sz w:val="28"/>
        </w:rPr>
        <w:t> </w:t>
      </w:r>
      <w:r>
        <w:rPr>
          <w:color w:val="365F91"/>
          <w:sz w:val="28"/>
        </w:rPr>
        <w:t>How</w:t>
      </w:r>
      <w:r>
        <w:rPr>
          <w:color w:val="365F91"/>
          <w:spacing w:val="-9"/>
          <w:sz w:val="28"/>
        </w:rPr>
        <w:t> </w:t>
      </w:r>
      <w:r>
        <w:rPr>
          <w:color w:val="365F91"/>
          <w:sz w:val="28"/>
        </w:rPr>
        <w:t>Oppression</w:t>
      </w:r>
      <w:r>
        <w:rPr>
          <w:color w:val="365F91"/>
          <w:spacing w:val="-10"/>
          <w:sz w:val="28"/>
        </w:rPr>
        <w:t> </w:t>
      </w:r>
      <w:r>
        <w:rPr>
          <w:color w:val="365F91"/>
          <w:sz w:val="28"/>
        </w:rPr>
        <w:t>Impacts</w:t>
      </w:r>
      <w:r>
        <w:rPr>
          <w:color w:val="365F91"/>
          <w:spacing w:val="-10"/>
          <w:sz w:val="28"/>
        </w:rPr>
        <w:t> </w:t>
      </w:r>
      <w:r>
        <w:rPr>
          <w:color w:val="365F91"/>
          <w:sz w:val="28"/>
        </w:rPr>
        <w:t>Mental</w:t>
      </w:r>
      <w:r>
        <w:rPr>
          <w:color w:val="365F91"/>
          <w:spacing w:val="-9"/>
          <w:sz w:val="28"/>
        </w:rPr>
        <w:t> </w:t>
      </w:r>
      <w:r>
        <w:rPr>
          <w:color w:val="365F91"/>
          <w:spacing w:val="-2"/>
          <w:sz w:val="28"/>
        </w:rPr>
        <w:t>Health</w:t>
      </w:r>
    </w:p>
    <w:p>
      <w:pPr>
        <w:spacing w:before="291"/>
        <w:ind w:left="463" w:right="0" w:firstLine="0"/>
        <w:jc w:val="both"/>
        <w:rPr>
          <w:i/>
          <w:sz w:val="21"/>
        </w:rPr>
      </w:pPr>
      <w:r>
        <w:rPr>
          <w:i/>
          <w:sz w:val="21"/>
        </w:rPr>
        <w:t>Why</w:t>
      </w:r>
      <w:r>
        <w:rPr>
          <w:i/>
          <w:spacing w:val="-5"/>
          <w:sz w:val="21"/>
        </w:rPr>
        <w:t> </w:t>
      </w:r>
      <w:r>
        <w:rPr>
          <w:i/>
          <w:sz w:val="21"/>
        </w:rPr>
        <w:t>are</w:t>
      </w:r>
      <w:r>
        <w:rPr>
          <w:i/>
          <w:spacing w:val="-1"/>
          <w:sz w:val="21"/>
        </w:rPr>
        <w:t> </w:t>
      </w:r>
      <w:r>
        <w:rPr>
          <w:i/>
          <w:sz w:val="21"/>
        </w:rPr>
        <w:t>mental</w:t>
      </w:r>
      <w:r>
        <w:rPr>
          <w:i/>
          <w:spacing w:val="-2"/>
          <w:sz w:val="21"/>
        </w:rPr>
        <w:t> </w:t>
      </w:r>
      <w:r>
        <w:rPr>
          <w:i/>
          <w:sz w:val="21"/>
        </w:rPr>
        <w:t>health</w:t>
      </w:r>
      <w:r>
        <w:rPr>
          <w:i/>
          <w:spacing w:val="-4"/>
          <w:sz w:val="21"/>
        </w:rPr>
        <w:t> </w:t>
      </w:r>
      <w:r>
        <w:rPr>
          <w:i/>
          <w:sz w:val="21"/>
        </w:rPr>
        <w:t>concerns</w:t>
      </w:r>
      <w:r>
        <w:rPr>
          <w:i/>
          <w:spacing w:val="-2"/>
          <w:sz w:val="21"/>
        </w:rPr>
        <w:t> </w:t>
      </w:r>
      <w:r>
        <w:rPr>
          <w:i/>
          <w:sz w:val="21"/>
        </w:rPr>
        <w:t>so</w:t>
      </w:r>
      <w:r>
        <w:rPr>
          <w:i/>
          <w:spacing w:val="-2"/>
          <w:sz w:val="21"/>
        </w:rPr>
        <w:t> </w:t>
      </w:r>
      <w:r>
        <w:rPr>
          <w:i/>
          <w:sz w:val="21"/>
        </w:rPr>
        <w:t>widespread</w:t>
      </w:r>
      <w:r>
        <w:rPr>
          <w:i/>
          <w:spacing w:val="-2"/>
          <w:sz w:val="21"/>
        </w:rPr>
        <w:t> </w:t>
      </w:r>
      <w:r>
        <w:rPr>
          <w:i/>
          <w:sz w:val="21"/>
        </w:rPr>
        <w:t>among</w:t>
      </w:r>
      <w:r>
        <w:rPr>
          <w:i/>
          <w:spacing w:val="-4"/>
          <w:sz w:val="21"/>
        </w:rPr>
        <w:t> </w:t>
      </w:r>
      <w:r>
        <w:rPr>
          <w:i/>
          <w:sz w:val="21"/>
        </w:rPr>
        <w:t>LGBTQ</w:t>
      </w:r>
      <w:r>
        <w:rPr>
          <w:i/>
          <w:spacing w:val="-2"/>
          <w:sz w:val="21"/>
        </w:rPr>
        <w:t> </w:t>
      </w:r>
      <w:r>
        <w:rPr>
          <w:i/>
          <w:sz w:val="21"/>
        </w:rPr>
        <w:t>youth,</w:t>
      </w:r>
      <w:r>
        <w:rPr>
          <w:i/>
          <w:spacing w:val="-3"/>
          <w:sz w:val="21"/>
        </w:rPr>
        <w:t> </w:t>
      </w:r>
      <w:r>
        <w:rPr>
          <w:i/>
          <w:sz w:val="21"/>
        </w:rPr>
        <w:t>and</w:t>
      </w:r>
      <w:r>
        <w:rPr>
          <w:i/>
          <w:spacing w:val="-3"/>
          <w:sz w:val="21"/>
        </w:rPr>
        <w:t> </w:t>
      </w:r>
      <w:r>
        <w:rPr>
          <w:i/>
          <w:sz w:val="21"/>
        </w:rPr>
        <w:t>how</w:t>
      </w:r>
      <w:r>
        <w:rPr>
          <w:i/>
          <w:spacing w:val="-2"/>
          <w:sz w:val="21"/>
        </w:rPr>
        <w:t> </w:t>
      </w:r>
      <w:r>
        <w:rPr>
          <w:i/>
          <w:sz w:val="21"/>
        </w:rPr>
        <w:t>can</w:t>
      </w:r>
      <w:r>
        <w:rPr>
          <w:i/>
          <w:spacing w:val="-4"/>
          <w:sz w:val="21"/>
        </w:rPr>
        <w:t> </w:t>
      </w:r>
      <w:r>
        <w:rPr>
          <w:i/>
          <w:sz w:val="21"/>
        </w:rPr>
        <w:t>allies</w:t>
      </w:r>
      <w:r>
        <w:rPr>
          <w:i/>
          <w:spacing w:val="-2"/>
          <w:sz w:val="21"/>
        </w:rPr>
        <w:t> </w:t>
      </w:r>
      <w:r>
        <w:rPr>
          <w:i/>
          <w:sz w:val="21"/>
        </w:rPr>
        <w:t>support</w:t>
      </w:r>
      <w:r>
        <w:rPr>
          <w:i/>
          <w:spacing w:val="-3"/>
          <w:sz w:val="21"/>
        </w:rPr>
        <w:t> </w:t>
      </w:r>
      <w:r>
        <w:rPr>
          <w:i/>
          <w:spacing w:val="-2"/>
          <w:sz w:val="21"/>
        </w:rPr>
        <w:t>them?</w:t>
      </w:r>
    </w:p>
    <w:p>
      <w:pPr>
        <w:spacing w:line="276" w:lineRule="auto" w:before="254"/>
        <w:ind w:left="463" w:right="240" w:firstLine="0"/>
        <w:jc w:val="both"/>
        <w:rPr>
          <w:sz w:val="21"/>
        </w:rPr>
      </w:pPr>
      <w:r>
        <w:rPr>
          <w:sz w:val="21"/>
        </w:rPr>
        <w:t>To</w:t>
      </w:r>
      <w:r>
        <w:rPr>
          <w:spacing w:val="-5"/>
          <w:sz w:val="21"/>
        </w:rPr>
        <w:t> </w:t>
      </w:r>
      <w:r>
        <w:rPr>
          <w:sz w:val="21"/>
        </w:rPr>
        <w:t>understand</w:t>
      </w:r>
      <w:r>
        <w:rPr>
          <w:spacing w:val="-4"/>
          <w:sz w:val="21"/>
        </w:rPr>
        <w:t> </w:t>
      </w:r>
      <w:r>
        <w:rPr>
          <w:sz w:val="21"/>
        </w:rPr>
        <w:t>LGBTQ</w:t>
      </w:r>
      <w:r>
        <w:rPr>
          <w:spacing w:val="-4"/>
          <w:sz w:val="21"/>
        </w:rPr>
        <w:t> </w:t>
      </w:r>
      <w:r>
        <w:rPr>
          <w:sz w:val="21"/>
        </w:rPr>
        <w:t>youth’s</w:t>
      </w:r>
      <w:r>
        <w:rPr>
          <w:spacing w:val="-5"/>
          <w:sz w:val="21"/>
        </w:rPr>
        <w:t> </w:t>
      </w:r>
      <w:r>
        <w:rPr>
          <w:sz w:val="21"/>
        </w:rPr>
        <w:t>inner</w:t>
      </w:r>
      <w:r>
        <w:rPr>
          <w:spacing w:val="-4"/>
          <w:sz w:val="21"/>
        </w:rPr>
        <w:t> </w:t>
      </w:r>
      <w:r>
        <w:rPr>
          <w:sz w:val="21"/>
        </w:rPr>
        <w:t>worlds,</w:t>
      </w:r>
      <w:r>
        <w:rPr>
          <w:spacing w:val="-4"/>
          <w:sz w:val="21"/>
        </w:rPr>
        <w:t> </w:t>
      </w:r>
      <w:r>
        <w:rPr>
          <w:sz w:val="21"/>
        </w:rPr>
        <w:t>decision-makers</w:t>
      </w:r>
      <w:r>
        <w:rPr>
          <w:spacing w:val="-5"/>
          <w:sz w:val="21"/>
        </w:rPr>
        <w:t> </w:t>
      </w:r>
      <w:r>
        <w:rPr>
          <w:sz w:val="21"/>
        </w:rPr>
        <w:t>should</w:t>
      </w:r>
      <w:r>
        <w:rPr>
          <w:spacing w:val="-4"/>
          <w:sz w:val="21"/>
        </w:rPr>
        <w:t> </w:t>
      </w:r>
      <w:r>
        <w:rPr>
          <w:sz w:val="21"/>
        </w:rPr>
        <w:t>first</w:t>
      </w:r>
      <w:r>
        <w:rPr>
          <w:spacing w:val="-4"/>
          <w:sz w:val="21"/>
        </w:rPr>
        <w:t> </w:t>
      </w:r>
      <w:r>
        <w:rPr>
          <w:sz w:val="21"/>
        </w:rPr>
        <w:t>look</w:t>
      </w:r>
      <w:r>
        <w:rPr>
          <w:spacing w:val="-4"/>
          <w:sz w:val="21"/>
        </w:rPr>
        <w:t> </w:t>
      </w:r>
      <w:r>
        <w:rPr>
          <w:sz w:val="21"/>
        </w:rPr>
        <w:t>at</w:t>
      </w:r>
      <w:r>
        <w:rPr>
          <w:spacing w:val="-4"/>
          <w:sz w:val="21"/>
        </w:rPr>
        <w:t> </w:t>
      </w:r>
      <w:r>
        <w:rPr>
          <w:sz w:val="21"/>
        </w:rPr>
        <w:t>the</w:t>
      </w:r>
      <w:r>
        <w:rPr>
          <w:spacing w:val="-4"/>
          <w:sz w:val="21"/>
        </w:rPr>
        <w:t> </w:t>
      </w:r>
      <w:r>
        <w:rPr>
          <w:sz w:val="21"/>
        </w:rPr>
        <w:t>world</w:t>
      </w:r>
      <w:r>
        <w:rPr>
          <w:spacing w:val="-4"/>
          <w:sz w:val="21"/>
        </w:rPr>
        <w:t> </w:t>
      </w:r>
      <w:r>
        <w:rPr>
          <w:sz w:val="21"/>
        </w:rPr>
        <w:t>in</w:t>
      </w:r>
      <w:r>
        <w:rPr>
          <w:spacing w:val="-4"/>
          <w:sz w:val="21"/>
        </w:rPr>
        <w:t> </w:t>
      </w:r>
      <w:r>
        <w:rPr>
          <w:sz w:val="21"/>
        </w:rPr>
        <w:t>which</w:t>
      </w:r>
      <w:r>
        <w:rPr>
          <w:spacing w:val="-4"/>
          <w:sz w:val="21"/>
        </w:rPr>
        <w:t> </w:t>
      </w:r>
      <w:r>
        <w:rPr>
          <w:sz w:val="21"/>
        </w:rPr>
        <w:t>they</w:t>
      </w:r>
      <w:r>
        <w:rPr>
          <w:spacing w:val="-5"/>
          <w:sz w:val="21"/>
        </w:rPr>
        <w:t> </w:t>
      </w:r>
      <w:r>
        <w:rPr>
          <w:sz w:val="21"/>
        </w:rPr>
        <w:t>live.</w:t>
      </w:r>
      <w:r>
        <w:rPr>
          <w:spacing w:val="-5"/>
          <w:sz w:val="21"/>
        </w:rPr>
        <w:t> </w:t>
      </w:r>
      <w:r>
        <w:rPr>
          <w:sz w:val="21"/>
        </w:rPr>
        <w:t>To begin,</w:t>
      </w:r>
      <w:r>
        <w:rPr>
          <w:spacing w:val="-1"/>
          <w:sz w:val="21"/>
        </w:rPr>
        <w:t> </w:t>
      </w:r>
      <w:r>
        <w:rPr>
          <w:sz w:val="21"/>
        </w:rPr>
        <w:t>2023</w:t>
      </w:r>
      <w:r>
        <w:rPr>
          <w:spacing w:val="-3"/>
          <w:sz w:val="21"/>
        </w:rPr>
        <w:t> </w:t>
      </w:r>
      <w:r>
        <w:rPr>
          <w:sz w:val="21"/>
        </w:rPr>
        <w:t>saw</w:t>
      </w:r>
      <w:r>
        <w:rPr>
          <w:spacing w:val="-2"/>
          <w:sz w:val="21"/>
        </w:rPr>
        <w:t> </w:t>
      </w:r>
      <w:r>
        <w:rPr>
          <w:sz w:val="21"/>
        </w:rPr>
        <w:t>510</w:t>
      </w:r>
      <w:r>
        <w:rPr>
          <w:spacing w:val="-3"/>
          <w:sz w:val="21"/>
        </w:rPr>
        <w:t> </w:t>
      </w:r>
      <w:r>
        <w:rPr>
          <w:sz w:val="21"/>
        </w:rPr>
        <w:t>anti-LGBTQ</w:t>
      </w:r>
      <w:r>
        <w:rPr>
          <w:spacing w:val="-2"/>
          <w:sz w:val="21"/>
        </w:rPr>
        <w:t> </w:t>
      </w:r>
      <w:r>
        <w:rPr>
          <w:sz w:val="21"/>
        </w:rPr>
        <w:t>bills</w:t>
      </w:r>
      <w:r>
        <w:rPr>
          <w:spacing w:val="-2"/>
          <w:sz w:val="21"/>
        </w:rPr>
        <w:t> </w:t>
      </w:r>
      <w:r>
        <w:rPr>
          <w:sz w:val="21"/>
        </w:rPr>
        <w:t>filed</w:t>
      </w:r>
      <w:r>
        <w:rPr>
          <w:spacing w:val="-2"/>
          <w:sz w:val="21"/>
        </w:rPr>
        <w:t> </w:t>
      </w:r>
      <w:r>
        <w:rPr>
          <w:sz w:val="21"/>
        </w:rPr>
        <w:t>across</w:t>
      </w:r>
      <w:r>
        <w:rPr>
          <w:spacing w:val="-2"/>
          <w:sz w:val="21"/>
        </w:rPr>
        <w:t> </w:t>
      </w:r>
      <w:r>
        <w:rPr>
          <w:sz w:val="21"/>
        </w:rPr>
        <w:t>the</w:t>
      </w:r>
      <w:r>
        <w:rPr>
          <w:spacing w:val="-2"/>
          <w:sz w:val="21"/>
        </w:rPr>
        <w:t> </w:t>
      </w:r>
      <w:r>
        <w:rPr>
          <w:sz w:val="21"/>
        </w:rPr>
        <w:t>US,</w:t>
      </w:r>
      <w:r>
        <w:rPr>
          <w:spacing w:val="-2"/>
          <w:sz w:val="21"/>
        </w:rPr>
        <w:t> </w:t>
      </w:r>
      <w:r>
        <w:rPr>
          <w:sz w:val="21"/>
        </w:rPr>
        <w:t>with</w:t>
      </w:r>
      <w:r>
        <w:rPr>
          <w:spacing w:val="-2"/>
          <w:sz w:val="21"/>
        </w:rPr>
        <w:t> </w:t>
      </w:r>
      <w:r>
        <w:rPr>
          <w:sz w:val="21"/>
        </w:rPr>
        <w:t>the</w:t>
      </w:r>
      <w:r>
        <w:rPr>
          <w:spacing w:val="-3"/>
          <w:sz w:val="21"/>
        </w:rPr>
        <w:t> </w:t>
      </w:r>
      <w:r>
        <w:rPr>
          <w:sz w:val="21"/>
        </w:rPr>
        <w:t>majority</w:t>
      </w:r>
      <w:r>
        <w:rPr>
          <w:spacing w:val="-2"/>
          <w:sz w:val="21"/>
        </w:rPr>
        <w:t> </w:t>
      </w:r>
      <w:r>
        <w:rPr>
          <w:sz w:val="21"/>
        </w:rPr>
        <w:t>targeting</w:t>
      </w:r>
      <w:r>
        <w:rPr>
          <w:spacing w:val="-2"/>
          <w:sz w:val="21"/>
        </w:rPr>
        <w:t> </w:t>
      </w:r>
      <w:r>
        <w:rPr>
          <w:sz w:val="21"/>
        </w:rPr>
        <w:t>gender</w:t>
      </w:r>
      <w:r>
        <w:rPr>
          <w:spacing w:val="-2"/>
          <w:sz w:val="21"/>
        </w:rPr>
        <w:t> </w:t>
      </w:r>
      <w:r>
        <w:rPr>
          <w:sz w:val="21"/>
        </w:rPr>
        <w:t>expansive</w:t>
      </w:r>
      <w:r>
        <w:rPr>
          <w:spacing w:val="-2"/>
          <w:sz w:val="21"/>
        </w:rPr>
        <w:t> </w:t>
      </w:r>
      <w:r>
        <w:rPr>
          <w:sz w:val="21"/>
        </w:rPr>
        <w:t>people</w:t>
      </w:r>
      <w:hyperlink w:history="true" w:anchor="_bookmark110">
        <w:r>
          <w:rPr>
            <w:sz w:val="21"/>
          </w:rPr>
          <w:t>.</w:t>
        </w:r>
        <w:r>
          <w:rPr>
            <w:sz w:val="21"/>
            <w:vertAlign w:val="superscript"/>
          </w:rPr>
          <w:t>7</w:t>
        </w:r>
      </w:hyperlink>
      <w:r>
        <w:rPr>
          <w:sz w:val="21"/>
          <w:vertAlign w:val="baseline"/>
        </w:rPr>
        <w:t> This is only the latest escalation in a mounting barrage of anti-LGBTQ political and social rhetoric over the last decade</w:t>
      </w:r>
      <w:r>
        <w:rPr>
          <w:spacing w:val="-12"/>
          <w:sz w:val="21"/>
          <w:vertAlign w:val="baseline"/>
        </w:rPr>
        <w:t> </w:t>
      </w:r>
      <w:r>
        <w:rPr>
          <w:sz w:val="21"/>
          <w:vertAlign w:val="baseline"/>
        </w:rPr>
        <w:t>–</w:t>
      </w:r>
      <w:r>
        <w:rPr>
          <w:spacing w:val="-12"/>
          <w:sz w:val="21"/>
          <w:vertAlign w:val="baseline"/>
        </w:rPr>
        <w:t> </w:t>
      </w:r>
      <w:r>
        <w:rPr>
          <w:sz w:val="21"/>
          <w:vertAlign w:val="baseline"/>
        </w:rPr>
        <w:t>and</w:t>
      </w:r>
      <w:r>
        <w:rPr>
          <w:spacing w:val="-12"/>
          <w:sz w:val="21"/>
          <w:vertAlign w:val="baseline"/>
        </w:rPr>
        <w:t> </w:t>
      </w:r>
      <w:r>
        <w:rPr>
          <w:sz w:val="21"/>
          <w:vertAlign w:val="baseline"/>
        </w:rPr>
        <w:t>it</w:t>
      </w:r>
      <w:r>
        <w:rPr>
          <w:spacing w:val="-12"/>
          <w:sz w:val="21"/>
          <w:vertAlign w:val="baseline"/>
        </w:rPr>
        <w:t> </w:t>
      </w:r>
      <w:r>
        <w:rPr>
          <w:sz w:val="21"/>
          <w:vertAlign w:val="baseline"/>
        </w:rPr>
        <w:t>takes</w:t>
      </w:r>
      <w:r>
        <w:rPr>
          <w:spacing w:val="-12"/>
          <w:sz w:val="21"/>
          <w:vertAlign w:val="baseline"/>
        </w:rPr>
        <w:t> </w:t>
      </w:r>
      <w:r>
        <w:rPr>
          <w:sz w:val="21"/>
          <w:vertAlign w:val="baseline"/>
        </w:rPr>
        <w:t>a</w:t>
      </w:r>
      <w:r>
        <w:rPr>
          <w:spacing w:val="-12"/>
          <w:sz w:val="21"/>
          <w:vertAlign w:val="baseline"/>
        </w:rPr>
        <w:t> </w:t>
      </w:r>
      <w:r>
        <w:rPr>
          <w:sz w:val="21"/>
          <w:vertAlign w:val="baseline"/>
        </w:rPr>
        <w:t>toll.</w:t>
      </w:r>
      <w:r>
        <w:rPr>
          <w:spacing w:val="-12"/>
          <w:sz w:val="21"/>
          <w:vertAlign w:val="baseline"/>
        </w:rPr>
        <w:t> </w:t>
      </w:r>
      <w:r>
        <w:rPr>
          <w:sz w:val="21"/>
          <w:vertAlign w:val="baseline"/>
        </w:rPr>
        <w:t>Even</w:t>
      </w:r>
      <w:r>
        <w:rPr>
          <w:spacing w:val="-11"/>
          <w:sz w:val="21"/>
          <w:vertAlign w:val="baseline"/>
        </w:rPr>
        <w:t> </w:t>
      </w:r>
      <w:r>
        <w:rPr>
          <w:sz w:val="21"/>
          <w:vertAlign w:val="baseline"/>
        </w:rPr>
        <w:t>though</w:t>
      </w:r>
      <w:r>
        <w:rPr>
          <w:spacing w:val="-12"/>
          <w:sz w:val="21"/>
          <w:vertAlign w:val="baseline"/>
        </w:rPr>
        <w:t> </w:t>
      </w:r>
      <w:r>
        <w:rPr>
          <w:sz w:val="21"/>
          <w:vertAlign w:val="baseline"/>
        </w:rPr>
        <w:t>Massachusetts</w:t>
      </w:r>
      <w:r>
        <w:rPr>
          <w:spacing w:val="-12"/>
          <w:sz w:val="21"/>
          <w:vertAlign w:val="baseline"/>
        </w:rPr>
        <w:t> </w:t>
      </w:r>
      <w:r>
        <w:rPr>
          <w:sz w:val="21"/>
          <w:vertAlign w:val="baseline"/>
        </w:rPr>
        <w:t>is</w:t>
      </w:r>
      <w:r>
        <w:rPr>
          <w:spacing w:val="-12"/>
          <w:sz w:val="21"/>
          <w:vertAlign w:val="baseline"/>
        </w:rPr>
        <w:t> </w:t>
      </w:r>
      <w:r>
        <w:rPr>
          <w:sz w:val="21"/>
          <w:vertAlign w:val="baseline"/>
        </w:rPr>
        <w:t>considered</w:t>
      </w:r>
      <w:r>
        <w:rPr>
          <w:spacing w:val="-12"/>
          <w:sz w:val="21"/>
          <w:vertAlign w:val="baseline"/>
        </w:rPr>
        <w:t> </w:t>
      </w:r>
      <w:r>
        <w:rPr>
          <w:sz w:val="21"/>
          <w:vertAlign w:val="baseline"/>
        </w:rPr>
        <w:t>a</w:t>
      </w:r>
      <w:r>
        <w:rPr>
          <w:spacing w:val="-12"/>
          <w:sz w:val="21"/>
          <w:vertAlign w:val="baseline"/>
        </w:rPr>
        <w:t> </w:t>
      </w:r>
      <w:r>
        <w:rPr>
          <w:sz w:val="21"/>
          <w:vertAlign w:val="baseline"/>
        </w:rPr>
        <w:t>safe</w:t>
      </w:r>
      <w:r>
        <w:rPr>
          <w:spacing w:val="-12"/>
          <w:sz w:val="21"/>
          <w:vertAlign w:val="baseline"/>
        </w:rPr>
        <w:t> </w:t>
      </w:r>
      <w:r>
        <w:rPr>
          <w:sz w:val="21"/>
          <w:vertAlign w:val="baseline"/>
        </w:rPr>
        <w:t>haven</w:t>
      </w:r>
      <w:r>
        <w:rPr>
          <w:spacing w:val="-12"/>
          <w:sz w:val="21"/>
          <w:vertAlign w:val="baseline"/>
        </w:rPr>
        <w:t> </w:t>
      </w:r>
      <w:r>
        <w:rPr>
          <w:sz w:val="21"/>
          <w:vertAlign w:val="baseline"/>
        </w:rPr>
        <w:t>for</w:t>
      </w:r>
      <w:r>
        <w:rPr>
          <w:spacing w:val="-11"/>
          <w:sz w:val="21"/>
          <w:vertAlign w:val="baseline"/>
        </w:rPr>
        <w:t> </w:t>
      </w:r>
      <w:r>
        <w:rPr>
          <w:sz w:val="21"/>
          <w:vertAlign w:val="baseline"/>
        </w:rPr>
        <w:t>LGBTQ</w:t>
      </w:r>
      <w:r>
        <w:rPr>
          <w:spacing w:val="-12"/>
          <w:sz w:val="21"/>
          <w:vertAlign w:val="baseline"/>
        </w:rPr>
        <w:t> </w:t>
      </w:r>
      <w:r>
        <w:rPr>
          <w:sz w:val="21"/>
          <w:vertAlign w:val="baseline"/>
        </w:rPr>
        <w:t>policy,</w:t>
      </w:r>
      <w:r>
        <w:rPr>
          <w:spacing w:val="-12"/>
          <w:sz w:val="21"/>
          <w:vertAlign w:val="baseline"/>
        </w:rPr>
        <w:t> </w:t>
      </w:r>
      <w:r>
        <w:rPr>
          <w:sz w:val="21"/>
          <w:vertAlign w:val="baseline"/>
        </w:rPr>
        <w:t>the</w:t>
      </w:r>
      <w:r>
        <w:rPr>
          <w:spacing w:val="-12"/>
          <w:sz w:val="21"/>
          <w:vertAlign w:val="baseline"/>
        </w:rPr>
        <w:t> </w:t>
      </w:r>
      <w:r>
        <w:rPr>
          <w:sz w:val="21"/>
          <w:vertAlign w:val="baseline"/>
        </w:rPr>
        <w:t>majority of LGBTQ youth in the Commonwealth reported to the Trevor Project that recent politics had negatively impacted</w:t>
      </w:r>
      <w:r>
        <w:rPr>
          <w:spacing w:val="-2"/>
          <w:sz w:val="21"/>
          <w:vertAlign w:val="baseline"/>
        </w:rPr>
        <w:t> </w:t>
      </w:r>
      <w:r>
        <w:rPr>
          <w:sz w:val="21"/>
          <w:vertAlign w:val="baseline"/>
        </w:rPr>
        <w:t>their</w:t>
      </w:r>
      <w:r>
        <w:rPr>
          <w:spacing w:val="-2"/>
          <w:sz w:val="21"/>
          <w:vertAlign w:val="baseline"/>
        </w:rPr>
        <w:t> </w:t>
      </w:r>
      <w:r>
        <w:rPr>
          <w:sz w:val="21"/>
          <w:vertAlign w:val="baseline"/>
        </w:rPr>
        <w:t>well-being</w:t>
      </w:r>
      <w:r>
        <w:rPr>
          <w:spacing w:val="-2"/>
          <w:sz w:val="21"/>
          <w:vertAlign w:val="baseline"/>
        </w:rPr>
        <w:t> </w:t>
      </w:r>
      <w:r>
        <w:rPr>
          <w:sz w:val="21"/>
          <w:vertAlign w:val="baseline"/>
        </w:rPr>
        <w:t>sometimes</w:t>
      </w:r>
      <w:r>
        <w:rPr>
          <w:spacing w:val="-2"/>
          <w:sz w:val="21"/>
          <w:vertAlign w:val="baseline"/>
        </w:rPr>
        <w:t> </w:t>
      </w:r>
      <w:r>
        <w:rPr>
          <w:sz w:val="21"/>
          <w:vertAlign w:val="baseline"/>
        </w:rPr>
        <w:t>(49%)</w:t>
      </w:r>
      <w:r>
        <w:rPr>
          <w:spacing w:val="-2"/>
          <w:sz w:val="21"/>
          <w:vertAlign w:val="baseline"/>
        </w:rPr>
        <w:t> </w:t>
      </w:r>
      <w:r>
        <w:rPr>
          <w:sz w:val="21"/>
          <w:vertAlign w:val="baseline"/>
        </w:rPr>
        <w:t>or</w:t>
      </w:r>
      <w:r>
        <w:rPr>
          <w:spacing w:val="-2"/>
          <w:sz w:val="21"/>
          <w:vertAlign w:val="baseline"/>
        </w:rPr>
        <w:t> </w:t>
      </w:r>
      <w:r>
        <w:rPr>
          <w:sz w:val="21"/>
          <w:vertAlign w:val="baseline"/>
        </w:rPr>
        <w:t>a</w:t>
      </w:r>
      <w:r>
        <w:rPr>
          <w:spacing w:val="-2"/>
          <w:sz w:val="21"/>
          <w:vertAlign w:val="baseline"/>
        </w:rPr>
        <w:t> </w:t>
      </w:r>
      <w:r>
        <w:rPr>
          <w:sz w:val="21"/>
          <w:vertAlign w:val="baseline"/>
        </w:rPr>
        <w:t>lot</w:t>
      </w:r>
      <w:r>
        <w:rPr>
          <w:spacing w:val="-2"/>
          <w:sz w:val="21"/>
          <w:vertAlign w:val="baseline"/>
        </w:rPr>
        <w:t> </w:t>
      </w:r>
      <w:r>
        <w:rPr>
          <w:sz w:val="21"/>
          <w:vertAlign w:val="baseline"/>
        </w:rPr>
        <w:t>(41%).</w:t>
      </w:r>
      <w:r>
        <w:rPr>
          <w:spacing w:val="-2"/>
          <w:sz w:val="21"/>
          <w:vertAlign w:val="baseline"/>
        </w:rPr>
        <w:t> </w:t>
      </w:r>
      <w:r>
        <w:rPr>
          <w:sz w:val="21"/>
          <w:vertAlign w:val="baseline"/>
        </w:rPr>
        <w:t>Across</w:t>
      </w:r>
      <w:r>
        <w:rPr>
          <w:spacing w:val="-3"/>
          <w:sz w:val="21"/>
          <w:vertAlign w:val="baseline"/>
        </w:rPr>
        <w:t> </w:t>
      </w:r>
      <w:r>
        <w:rPr>
          <w:sz w:val="21"/>
          <w:vertAlign w:val="baseline"/>
        </w:rPr>
        <w:t>the</w:t>
      </w:r>
      <w:r>
        <w:rPr>
          <w:spacing w:val="-2"/>
          <w:sz w:val="21"/>
          <w:vertAlign w:val="baseline"/>
        </w:rPr>
        <w:t> </w:t>
      </w:r>
      <w:r>
        <w:rPr>
          <w:sz w:val="21"/>
          <w:vertAlign w:val="baseline"/>
        </w:rPr>
        <w:t>US,</w:t>
      </w:r>
      <w:r>
        <w:rPr>
          <w:spacing w:val="-2"/>
          <w:sz w:val="21"/>
          <w:vertAlign w:val="baseline"/>
        </w:rPr>
        <w:t> </w:t>
      </w:r>
      <w:r>
        <w:rPr>
          <w:sz w:val="21"/>
          <w:vertAlign w:val="baseline"/>
        </w:rPr>
        <w:t>the</w:t>
      </w:r>
      <w:r>
        <w:rPr>
          <w:spacing w:val="-2"/>
          <w:sz w:val="21"/>
          <w:vertAlign w:val="baseline"/>
        </w:rPr>
        <w:t> </w:t>
      </w:r>
      <w:r>
        <w:rPr>
          <w:sz w:val="21"/>
          <w:vertAlign w:val="baseline"/>
        </w:rPr>
        <w:t>overwhelming</w:t>
      </w:r>
      <w:r>
        <w:rPr>
          <w:spacing w:val="-2"/>
          <w:sz w:val="21"/>
          <w:vertAlign w:val="baseline"/>
        </w:rPr>
        <w:t> </w:t>
      </w:r>
      <w:r>
        <w:rPr>
          <w:sz w:val="21"/>
          <w:vertAlign w:val="baseline"/>
        </w:rPr>
        <w:t>majority</w:t>
      </w:r>
      <w:r>
        <w:rPr>
          <w:spacing w:val="-2"/>
          <w:sz w:val="21"/>
          <w:vertAlign w:val="baseline"/>
        </w:rPr>
        <w:t> </w:t>
      </w:r>
      <w:r>
        <w:rPr>
          <w:sz w:val="21"/>
          <w:vertAlign w:val="baseline"/>
        </w:rPr>
        <w:t>of</w:t>
      </w:r>
      <w:r>
        <w:rPr>
          <w:spacing w:val="-2"/>
          <w:sz w:val="21"/>
          <w:vertAlign w:val="baseline"/>
        </w:rPr>
        <w:t> </w:t>
      </w:r>
      <w:r>
        <w:rPr>
          <w:sz w:val="21"/>
          <w:vertAlign w:val="baseline"/>
        </w:rPr>
        <w:t>gender expansive youth have worried about local or state laws denying transgender people’s access to medical care (93%), bathrooms (91%), and sports (83%)</w:t>
      </w:r>
      <w:hyperlink w:history="true" w:anchor="_bookmark111">
        <w:r>
          <w:rPr>
            <w:sz w:val="21"/>
            <w:vertAlign w:val="baseline"/>
          </w:rPr>
          <w:t>.</w:t>
        </w:r>
        <w:r>
          <w:rPr>
            <w:sz w:val="21"/>
            <w:vertAlign w:val="superscript"/>
          </w:rPr>
          <w:t>8</w:t>
        </w:r>
      </w:hyperlink>
    </w:p>
    <w:p>
      <w:pPr>
        <w:pStyle w:val="BodyText"/>
        <w:rPr>
          <w:sz w:val="20"/>
        </w:rPr>
      </w:pPr>
    </w:p>
    <w:p>
      <w:pPr>
        <w:pStyle w:val="BodyText"/>
        <w:spacing w:before="17"/>
        <w:rPr>
          <w:sz w:val="20"/>
        </w:rPr>
      </w:pPr>
      <w:r>
        <w:rPr/>
        <w:drawing>
          <wp:anchor distT="0" distB="0" distL="0" distR="0" allowOverlap="1" layoutInCell="1" locked="0" behindDoc="1" simplePos="0" relativeHeight="487618560">
            <wp:simplePos x="0" y="0"/>
            <wp:positionH relativeFrom="page">
              <wp:posOffset>914400</wp:posOffset>
            </wp:positionH>
            <wp:positionV relativeFrom="paragraph">
              <wp:posOffset>181106</wp:posOffset>
            </wp:positionV>
            <wp:extent cx="5849651" cy="548639"/>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176" cstate="print"/>
                    <a:stretch>
                      <a:fillRect/>
                    </a:stretch>
                  </pic:blipFill>
                  <pic:spPr>
                    <a:xfrm>
                      <a:off x="0" y="0"/>
                      <a:ext cx="5849651" cy="548639"/>
                    </a:xfrm>
                    <a:prstGeom prst="rect">
                      <a:avLst/>
                    </a:prstGeom>
                  </pic:spPr>
                </pic:pic>
              </a:graphicData>
            </a:graphic>
          </wp:anchor>
        </w:drawing>
      </w:r>
    </w:p>
    <w:p>
      <w:pPr>
        <w:pStyle w:val="BodyText"/>
        <w:rPr>
          <w:sz w:val="21"/>
        </w:rPr>
      </w:pPr>
    </w:p>
    <w:p>
      <w:pPr>
        <w:pStyle w:val="BodyText"/>
        <w:spacing w:before="22"/>
        <w:rPr>
          <w:sz w:val="21"/>
        </w:rPr>
      </w:pPr>
    </w:p>
    <w:p>
      <w:pPr>
        <w:spacing w:line="276" w:lineRule="auto" w:before="0"/>
        <w:ind w:left="463" w:right="240" w:firstLine="0"/>
        <w:jc w:val="both"/>
        <w:rPr>
          <w:sz w:val="21"/>
        </w:rPr>
      </w:pPr>
      <w:r>
        <w:rPr>
          <w:sz w:val="21"/>
        </w:rPr>
        <w:t>Many youth also feel unsafe in their classrooms, neighborhoods, and homes. In 2021, 61% of Massachusetts LGBTQ youth did not feel they lived in an affirming home, and nearly 1 in 2 did not attend an affirming school. Meanwhile, 32% of youth had experienced threats or acts of physical harm because of their sexual orientation or</w:t>
      </w:r>
      <w:r>
        <w:rPr>
          <w:spacing w:val="-12"/>
          <w:sz w:val="21"/>
        </w:rPr>
        <w:t> </w:t>
      </w:r>
      <w:r>
        <w:rPr>
          <w:sz w:val="21"/>
        </w:rPr>
        <w:t>gender</w:t>
      </w:r>
      <w:r>
        <w:rPr>
          <w:spacing w:val="-12"/>
          <w:sz w:val="21"/>
        </w:rPr>
        <w:t> </w:t>
      </w:r>
      <w:r>
        <w:rPr>
          <w:sz w:val="21"/>
        </w:rPr>
        <w:t>identity</w:t>
      </w:r>
      <w:r>
        <w:rPr>
          <w:spacing w:val="-12"/>
          <w:sz w:val="21"/>
        </w:rPr>
        <w:t> </w:t>
      </w:r>
      <w:r>
        <w:rPr>
          <w:sz w:val="21"/>
        </w:rPr>
        <w:t>during</w:t>
      </w:r>
      <w:r>
        <w:rPr>
          <w:spacing w:val="-12"/>
          <w:sz w:val="21"/>
        </w:rPr>
        <w:t> </w:t>
      </w:r>
      <w:r>
        <w:rPr>
          <w:sz w:val="21"/>
        </w:rPr>
        <w:t>their</w:t>
      </w:r>
      <w:r>
        <w:rPr>
          <w:spacing w:val="-12"/>
          <w:sz w:val="21"/>
        </w:rPr>
        <w:t> </w:t>
      </w:r>
      <w:r>
        <w:rPr>
          <w:sz w:val="21"/>
        </w:rPr>
        <w:t>lifetime,</w:t>
      </w:r>
      <w:r>
        <w:rPr>
          <w:spacing w:val="-12"/>
          <w:sz w:val="21"/>
        </w:rPr>
        <w:t> </w:t>
      </w:r>
      <w:r>
        <w:rPr>
          <w:sz w:val="21"/>
        </w:rPr>
        <w:t>while</w:t>
      </w:r>
      <w:r>
        <w:rPr>
          <w:spacing w:val="-9"/>
          <w:sz w:val="21"/>
        </w:rPr>
        <w:t> </w:t>
      </w:r>
      <w:r>
        <w:rPr>
          <w:sz w:val="21"/>
        </w:rPr>
        <w:t>67%</w:t>
      </w:r>
      <w:r>
        <w:rPr>
          <w:spacing w:val="-12"/>
          <w:sz w:val="21"/>
        </w:rPr>
        <w:t> </w:t>
      </w:r>
      <w:r>
        <w:rPr>
          <w:sz w:val="21"/>
        </w:rPr>
        <w:t>had</w:t>
      </w:r>
      <w:r>
        <w:rPr>
          <w:spacing w:val="-11"/>
          <w:sz w:val="21"/>
        </w:rPr>
        <w:t> </w:t>
      </w:r>
      <w:r>
        <w:rPr>
          <w:sz w:val="21"/>
        </w:rPr>
        <w:t>faced</w:t>
      </w:r>
      <w:r>
        <w:rPr>
          <w:spacing w:val="-10"/>
          <w:sz w:val="21"/>
        </w:rPr>
        <w:t> </w:t>
      </w:r>
      <w:r>
        <w:rPr>
          <w:sz w:val="21"/>
        </w:rPr>
        <w:t>discrimination</w:t>
      </w:r>
      <w:hyperlink w:history="true" w:anchor="_bookmark112">
        <w:r>
          <w:rPr>
            <w:sz w:val="21"/>
          </w:rPr>
          <w:t>.</w:t>
        </w:r>
        <w:r>
          <w:rPr>
            <w:sz w:val="21"/>
            <w:vertAlign w:val="superscript"/>
          </w:rPr>
          <w:t>9</w:t>
        </w:r>
      </w:hyperlink>
      <w:r>
        <w:rPr>
          <w:spacing w:val="-12"/>
          <w:sz w:val="21"/>
          <w:vertAlign w:val="baseline"/>
        </w:rPr>
        <w:t> </w:t>
      </w:r>
      <w:r>
        <w:rPr>
          <w:sz w:val="21"/>
          <w:vertAlign w:val="baseline"/>
        </w:rPr>
        <w:t>Considering</w:t>
      </w:r>
      <w:r>
        <w:rPr>
          <w:spacing w:val="-11"/>
          <w:sz w:val="21"/>
          <w:vertAlign w:val="baseline"/>
        </w:rPr>
        <w:t> </w:t>
      </w:r>
      <w:r>
        <w:rPr>
          <w:sz w:val="21"/>
          <w:vertAlign w:val="baseline"/>
        </w:rPr>
        <w:t>the</w:t>
      </w:r>
      <w:r>
        <w:rPr>
          <w:spacing w:val="-11"/>
          <w:sz w:val="21"/>
          <w:vertAlign w:val="baseline"/>
        </w:rPr>
        <w:t> </w:t>
      </w:r>
      <w:r>
        <w:rPr>
          <w:sz w:val="21"/>
          <w:vertAlign w:val="baseline"/>
        </w:rPr>
        <w:t>hostility</w:t>
      </w:r>
      <w:r>
        <w:rPr>
          <w:spacing w:val="-10"/>
          <w:sz w:val="21"/>
          <w:vertAlign w:val="baseline"/>
        </w:rPr>
        <w:t> </w:t>
      </w:r>
      <w:r>
        <w:rPr>
          <w:sz w:val="21"/>
          <w:vertAlign w:val="baseline"/>
        </w:rPr>
        <w:t>that</w:t>
      </w:r>
      <w:r>
        <w:rPr>
          <w:spacing w:val="-11"/>
          <w:sz w:val="21"/>
          <w:vertAlign w:val="baseline"/>
        </w:rPr>
        <w:t> </w:t>
      </w:r>
      <w:r>
        <w:rPr>
          <w:sz w:val="21"/>
          <w:vertAlign w:val="baseline"/>
        </w:rPr>
        <w:t>youth face in their homes, communities, and country, it is no surprise that LGBTQ youth mental health</w:t>
      </w:r>
      <w:r>
        <w:rPr>
          <w:spacing w:val="-1"/>
          <w:sz w:val="21"/>
          <w:vertAlign w:val="baseline"/>
        </w:rPr>
        <w:t> </w:t>
      </w:r>
      <w:r>
        <w:rPr>
          <w:sz w:val="21"/>
          <w:vertAlign w:val="baseline"/>
        </w:rPr>
        <w:t>is in crisis. For decades, researchers have shown that anti-LGBTQ cultural, political, and societal conditions have the power to erode LGBTQ people’s physical,</w:t>
      </w:r>
      <w:hyperlink w:history="true" w:anchor="_bookmark112">
        <w:r>
          <w:rPr>
            <w:sz w:val="21"/>
            <w:vertAlign w:val="superscript"/>
          </w:rPr>
          <w:t>10</w:t>
        </w:r>
      </w:hyperlink>
      <w:r>
        <w:rPr>
          <w:sz w:val="21"/>
          <w:vertAlign w:val="baseline"/>
        </w:rPr>
        <w:t> mental,</w:t>
      </w:r>
      <w:hyperlink w:history="true" w:anchor="_bookmark113">
        <w:r>
          <w:rPr>
            <w:sz w:val="21"/>
            <w:vertAlign w:val="superscript"/>
          </w:rPr>
          <w:t>11</w:t>
        </w:r>
      </w:hyperlink>
      <w:r>
        <w:rPr>
          <w:sz w:val="21"/>
          <w:vertAlign w:val="baseline"/>
        </w:rPr>
        <w:t> and financial health, an experience often called minority stress. Many studies have explored how minority stressors (like bullying, negative media depictions, and hostile legislation)</w:t>
      </w:r>
      <w:r>
        <w:rPr>
          <w:spacing w:val="40"/>
          <w:sz w:val="21"/>
          <w:vertAlign w:val="baseline"/>
        </w:rPr>
        <w:t> </w:t>
      </w:r>
      <w:r>
        <w:rPr>
          <w:sz w:val="21"/>
          <w:vertAlign w:val="baseline"/>
        </w:rPr>
        <w:t>are</w:t>
      </w:r>
      <w:r>
        <w:rPr>
          <w:spacing w:val="40"/>
          <w:sz w:val="21"/>
          <w:vertAlign w:val="baseline"/>
        </w:rPr>
        <w:t> </w:t>
      </w:r>
      <w:r>
        <w:rPr>
          <w:sz w:val="21"/>
          <w:vertAlign w:val="baseline"/>
        </w:rPr>
        <w:t>directly</w:t>
      </w:r>
      <w:r>
        <w:rPr>
          <w:spacing w:val="40"/>
          <w:sz w:val="21"/>
          <w:vertAlign w:val="baseline"/>
        </w:rPr>
        <w:t> </w:t>
      </w:r>
      <w:r>
        <w:rPr>
          <w:sz w:val="21"/>
          <w:vertAlign w:val="baseline"/>
        </w:rPr>
        <w:t>related</w:t>
      </w:r>
      <w:r>
        <w:rPr>
          <w:spacing w:val="40"/>
          <w:sz w:val="21"/>
          <w:vertAlign w:val="baseline"/>
        </w:rPr>
        <w:t> </w:t>
      </w:r>
      <w:r>
        <w:rPr>
          <w:sz w:val="21"/>
          <w:vertAlign w:val="baseline"/>
        </w:rPr>
        <w:t>to</w:t>
      </w:r>
      <w:r>
        <w:rPr>
          <w:spacing w:val="40"/>
          <w:sz w:val="21"/>
          <w:vertAlign w:val="baseline"/>
        </w:rPr>
        <w:t> </w:t>
      </w:r>
      <w:r>
        <w:rPr>
          <w:sz w:val="21"/>
          <w:vertAlign w:val="baseline"/>
        </w:rPr>
        <w:t>mental</w:t>
      </w:r>
      <w:r>
        <w:rPr>
          <w:spacing w:val="40"/>
          <w:sz w:val="21"/>
          <w:vertAlign w:val="baseline"/>
        </w:rPr>
        <w:t> </w:t>
      </w:r>
      <w:r>
        <w:rPr>
          <w:sz w:val="21"/>
          <w:vertAlign w:val="baseline"/>
        </w:rPr>
        <w:t>health</w:t>
      </w:r>
      <w:r>
        <w:rPr>
          <w:spacing w:val="40"/>
          <w:sz w:val="21"/>
          <w:vertAlign w:val="baseline"/>
        </w:rPr>
        <w:t> </w:t>
      </w:r>
      <w:r>
        <w:rPr>
          <w:sz w:val="21"/>
          <w:vertAlign w:val="baseline"/>
        </w:rPr>
        <w:t>challenges</w:t>
      </w:r>
      <w:r>
        <w:rPr>
          <w:spacing w:val="40"/>
          <w:sz w:val="21"/>
          <w:vertAlign w:val="baseline"/>
        </w:rPr>
        <w:t> </w:t>
      </w:r>
      <w:r>
        <w:rPr>
          <w:sz w:val="21"/>
          <w:vertAlign w:val="baseline"/>
        </w:rPr>
        <w:t>(like</w:t>
      </w:r>
      <w:r>
        <w:rPr>
          <w:spacing w:val="40"/>
          <w:sz w:val="21"/>
          <w:vertAlign w:val="baseline"/>
        </w:rPr>
        <w:t> </w:t>
      </w:r>
      <w:r>
        <w:rPr>
          <w:sz w:val="21"/>
          <w:vertAlign w:val="baseline"/>
        </w:rPr>
        <w:t>depression</w:t>
      </w:r>
      <w:hyperlink w:history="true" w:anchor="_bookmark114">
        <w:r>
          <w:rPr>
            <w:sz w:val="21"/>
            <w:vertAlign w:val="baseline"/>
          </w:rPr>
          <w:t>,</w:t>
        </w:r>
        <w:r>
          <w:rPr>
            <w:sz w:val="21"/>
            <w:vertAlign w:val="superscript"/>
          </w:rPr>
          <w:t>12</w:t>
        </w:r>
      </w:hyperlink>
      <w:r>
        <w:rPr>
          <w:spacing w:val="40"/>
          <w:sz w:val="21"/>
          <w:vertAlign w:val="baseline"/>
        </w:rPr>
        <w:t> </w:t>
      </w:r>
      <w:r>
        <w:rPr>
          <w:sz w:val="21"/>
          <w:vertAlign w:val="baseline"/>
        </w:rPr>
        <w:t>anxiety,</w:t>
      </w:r>
      <w:r>
        <w:rPr>
          <w:spacing w:val="40"/>
          <w:sz w:val="21"/>
          <w:vertAlign w:val="baseline"/>
        </w:rPr>
        <w:t> </w:t>
      </w:r>
      <w:r>
        <w:rPr>
          <w:sz w:val="21"/>
          <w:vertAlign w:val="baseline"/>
        </w:rPr>
        <w:t>PTSD,</w:t>
      </w:r>
      <w:r>
        <w:rPr>
          <w:spacing w:val="40"/>
          <w:sz w:val="21"/>
          <w:vertAlign w:val="baseline"/>
        </w:rPr>
        <w:t> </w:t>
      </w:r>
      <w:r>
        <w:rPr>
          <w:sz w:val="21"/>
          <w:vertAlign w:val="baseline"/>
        </w:rPr>
        <w:t>and</w:t>
      </w:r>
      <w:r>
        <w:rPr>
          <w:spacing w:val="40"/>
          <w:sz w:val="21"/>
          <w:vertAlign w:val="baseline"/>
        </w:rPr>
        <w:t> </w:t>
      </w:r>
      <w:r>
        <w:rPr>
          <w:sz w:val="21"/>
          <w:vertAlign w:val="baseline"/>
        </w:rPr>
        <w:t>suicide</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2" w:firstLine="0"/>
        <w:jc w:val="both"/>
        <w:rPr>
          <w:sz w:val="21"/>
        </w:rPr>
      </w:pPr>
      <w:r>
        <w:rPr>
          <w:sz w:val="21"/>
        </w:rPr>
        <w:t>attempts</w:t>
      </w:r>
      <w:hyperlink w:history="true" w:anchor="_bookmark115">
        <w:r>
          <w:rPr>
            <w:sz w:val="21"/>
          </w:rPr>
          <w:t>.</w:t>
        </w:r>
        <w:r>
          <w:rPr>
            <w:sz w:val="21"/>
            <w:vertAlign w:val="superscript"/>
          </w:rPr>
          <w:t>13</w:t>
        </w:r>
      </w:hyperlink>
      <w:r>
        <w:rPr>
          <w:sz w:val="21"/>
          <w:vertAlign w:val="baseline"/>
        </w:rPr>
        <w:t>) For instance, in the year after marriage equality was passed in Massachusetts, there was a statistically significant drop in medical and mental health-related care visits among gay and bisexual men</w:t>
      </w:r>
      <w:hyperlink w:history="true" w:anchor="_bookmark116">
        <w:r>
          <w:rPr>
            <w:sz w:val="21"/>
            <w:vertAlign w:val="baseline"/>
          </w:rPr>
          <w:t>.</w:t>
        </w:r>
        <w:r>
          <w:rPr>
            <w:sz w:val="21"/>
            <w:vertAlign w:val="superscript"/>
          </w:rPr>
          <w:t>14</w:t>
        </w:r>
      </w:hyperlink>
    </w:p>
    <w:p>
      <w:pPr>
        <w:spacing w:line="276" w:lineRule="auto" w:before="238"/>
        <w:ind w:left="463" w:right="242" w:firstLine="0"/>
        <w:jc w:val="both"/>
        <w:rPr>
          <w:sz w:val="28"/>
        </w:rPr>
      </w:pPr>
      <w:bookmarkStart w:name="Three Key Principles of Support: Trauma-" w:id="241"/>
      <w:bookmarkEnd w:id="241"/>
      <w:r>
        <w:rPr/>
      </w:r>
      <w:r>
        <w:rPr>
          <w:color w:val="365F91"/>
          <w:sz w:val="28"/>
        </w:rPr>
        <w:t>Three</w:t>
      </w:r>
      <w:r>
        <w:rPr>
          <w:color w:val="365F91"/>
          <w:spacing w:val="-1"/>
          <w:sz w:val="28"/>
        </w:rPr>
        <w:t> </w:t>
      </w:r>
      <w:r>
        <w:rPr>
          <w:color w:val="365F91"/>
          <w:sz w:val="28"/>
        </w:rPr>
        <w:t>Key Principles of</w:t>
      </w:r>
      <w:r>
        <w:rPr>
          <w:color w:val="365F91"/>
          <w:spacing w:val="-1"/>
          <w:sz w:val="28"/>
        </w:rPr>
        <w:t> </w:t>
      </w:r>
      <w:r>
        <w:rPr>
          <w:color w:val="365F91"/>
          <w:sz w:val="28"/>
        </w:rPr>
        <w:t>Support:</w:t>
      </w:r>
      <w:r>
        <w:rPr>
          <w:color w:val="365F91"/>
          <w:spacing w:val="-1"/>
          <w:sz w:val="28"/>
        </w:rPr>
        <w:t> </w:t>
      </w:r>
      <w:r>
        <w:rPr>
          <w:color w:val="365F91"/>
          <w:sz w:val="28"/>
        </w:rPr>
        <w:t>Trauma-Informed</w:t>
      </w:r>
      <w:r>
        <w:rPr>
          <w:color w:val="365F91"/>
          <w:spacing w:val="-1"/>
          <w:sz w:val="28"/>
        </w:rPr>
        <w:t> </w:t>
      </w:r>
      <w:r>
        <w:rPr>
          <w:color w:val="365F91"/>
          <w:sz w:val="28"/>
        </w:rPr>
        <w:t>Services,</w:t>
      </w:r>
      <w:r>
        <w:rPr>
          <w:color w:val="365F91"/>
          <w:spacing w:val="-1"/>
          <w:sz w:val="28"/>
        </w:rPr>
        <w:t> </w:t>
      </w:r>
      <w:r>
        <w:rPr>
          <w:color w:val="365F91"/>
          <w:sz w:val="28"/>
        </w:rPr>
        <w:t>Early Intervention,</w:t>
      </w:r>
      <w:r>
        <w:rPr>
          <w:color w:val="365F91"/>
          <w:spacing w:val="-1"/>
          <w:sz w:val="28"/>
        </w:rPr>
        <w:t> </w:t>
      </w:r>
      <w:r>
        <w:rPr>
          <w:color w:val="365F91"/>
          <w:sz w:val="28"/>
        </w:rPr>
        <w:t>and </w:t>
      </w:r>
      <w:r>
        <w:rPr>
          <w:color w:val="365F91"/>
          <w:spacing w:val="-2"/>
          <w:sz w:val="28"/>
        </w:rPr>
        <w:t>Collaboration</w:t>
      </w:r>
    </w:p>
    <w:p>
      <w:pPr>
        <w:spacing w:line="276" w:lineRule="auto" w:before="241"/>
        <w:ind w:left="463" w:right="239" w:firstLine="0"/>
        <w:jc w:val="both"/>
        <w:rPr>
          <w:sz w:val="21"/>
        </w:rPr>
      </w:pPr>
      <w:r>
        <w:rPr>
          <w:sz w:val="21"/>
        </w:rPr>
        <w:t>The</w:t>
      </w:r>
      <w:r>
        <w:rPr>
          <w:spacing w:val="-9"/>
          <w:sz w:val="21"/>
        </w:rPr>
        <w:t> </w:t>
      </w:r>
      <w:r>
        <w:rPr>
          <w:sz w:val="21"/>
        </w:rPr>
        <w:t>realities</w:t>
      </w:r>
      <w:r>
        <w:rPr>
          <w:spacing w:val="-10"/>
          <w:sz w:val="21"/>
        </w:rPr>
        <w:t> </w:t>
      </w:r>
      <w:r>
        <w:rPr>
          <w:sz w:val="21"/>
        </w:rPr>
        <w:t>of</w:t>
      </w:r>
      <w:r>
        <w:rPr>
          <w:spacing w:val="-10"/>
          <w:sz w:val="21"/>
        </w:rPr>
        <w:t> </w:t>
      </w:r>
      <w:r>
        <w:rPr>
          <w:sz w:val="21"/>
        </w:rPr>
        <w:t>minority</w:t>
      </w:r>
      <w:r>
        <w:rPr>
          <w:spacing w:val="-9"/>
          <w:sz w:val="21"/>
        </w:rPr>
        <w:t> </w:t>
      </w:r>
      <w:r>
        <w:rPr>
          <w:sz w:val="21"/>
        </w:rPr>
        <w:t>stress</w:t>
      </w:r>
      <w:r>
        <w:rPr>
          <w:spacing w:val="-10"/>
          <w:sz w:val="21"/>
        </w:rPr>
        <w:t> </w:t>
      </w:r>
      <w:r>
        <w:rPr>
          <w:sz w:val="21"/>
        </w:rPr>
        <w:t>shape</w:t>
      </w:r>
      <w:r>
        <w:rPr>
          <w:spacing w:val="-9"/>
          <w:sz w:val="21"/>
        </w:rPr>
        <w:t> </w:t>
      </w:r>
      <w:r>
        <w:rPr>
          <w:sz w:val="21"/>
        </w:rPr>
        <w:t>the</w:t>
      </w:r>
      <w:r>
        <w:rPr>
          <w:spacing w:val="-9"/>
          <w:sz w:val="21"/>
        </w:rPr>
        <w:t> </w:t>
      </w:r>
      <w:r>
        <w:rPr>
          <w:sz w:val="21"/>
        </w:rPr>
        <w:t>Commission’s</w:t>
      </w:r>
      <w:r>
        <w:rPr>
          <w:spacing w:val="-10"/>
          <w:sz w:val="21"/>
        </w:rPr>
        <w:t> </w:t>
      </w:r>
      <w:r>
        <w:rPr>
          <w:sz w:val="21"/>
        </w:rPr>
        <w:t>recommendations</w:t>
      </w:r>
      <w:r>
        <w:rPr>
          <w:spacing w:val="-10"/>
          <w:sz w:val="21"/>
        </w:rPr>
        <w:t> </w:t>
      </w:r>
      <w:r>
        <w:rPr>
          <w:sz w:val="21"/>
        </w:rPr>
        <w:t>in</w:t>
      </w:r>
      <w:r>
        <w:rPr>
          <w:spacing w:val="-9"/>
          <w:sz w:val="21"/>
        </w:rPr>
        <w:t> </w:t>
      </w:r>
      <w:r>
        <w:rPr>
          <w:sz w:val="21"/>
        </w:rPr>
        <w:t>three</w:t>
      </w:r>
      <w:r>
        <w:rPr>
          <w:spacing w:val="-9"/>
          <w:sz w:val="21"/>
        </w:rPr>
        <w:t> </w:t>
      </w:r>
      <w:r>
        <w:rPr>
          <w:sz w:val="21"/>
        </w:rPr>
        <w:t>key</w:t>
      </w:r>
      <w:r>
        <w:rPr>
          <w:spacing w:val="-9"/>
          <w:sz w:val="21"/>
        </w:rPr>
        <w:t> </w:t>
      </w:r>
      <w:r>
        <w:rPr>
          <w:sz w:val="21"/>
        </w:rPr>
        <w:t>ways.</w:t>
      </w:r>
      <w:r>
        <w:rPr>
          <w:spacing w:val="-9"/>
          <w:sz w:val="21"/>
        </w:rPr>
        <w:t> </w:t>
      </w:r>
      <w:r>
        <w:rPr>
          <w:sz w:val="21"/>
        </w:rPr>
        <w:t>First,</w:t>
      </w:r>
      <w:r>
        <w:rPr>
          <w:spacing w:val="-9"/>
          <w:sz w:val="21"/>
        </w:rPr>
        <w:t> </w:t>
      </w:r>
      <w:r>
        <w:rPr>
          <w:sz w:val="21"/>
        </w:rPr>
        <w:t>all</w:t>
      </w:r>
      <w:r>
        <w:rPr>
          <w:spacing w:val="-9"/>
          <w:sz w:val="21"/>
        </w:rPr>
        <w:t> </w:t>
      </w:r>
      <w:r>
        <w:rPr>
          <w:sz w:val="21"/>
        </w:rPr>
        <w:t>supporters of LGBTQ youth should recognize that discrimination is not simply “stressful”; it is also a form of trauma. Therefore, all of our recommendations should be implemented in a trauma-informed way, expecting that any youth being served may have experienced trauma. Clinical, school, and community-based providers should follow the Substance Abuse and Mental Health Services Administration (SAMHSA)’s six principles of LGBTQ trauma-informed</w:t>
      </w:r>
      <w:r>
        <w:rPr>
          <w:spacing w:val="-4"/>
          <w:sz w:val="21"/>
        </w:rPr>
        <w:t> </w:t>
      </w:r>
      <w:r>
        <w:rPr>
          <w:sz w:val="21"/>
        </w:rPr>
        <w:t>care:</w:t>
      </w:r>
      <w:r>
        <w:rPr>
          <w:spacing w:val="-4"/>
          <w:sz w:val="21"/>
        </w:rPr>
        <w:t> </w:t>
      </w:r>
      <w:r>
        <w:rPr>
          <w:sz w:val="21"/>
        </w:rPr>
        <w:t>1)</w:t>
      </w:r>
      <w:r>
        <w:rPr>
          <w:spacing w:val="-4"/>
          <w:sz w:val="21"/>
        </w:rPr>
        <w:t> </w:t>
      </w:r>
      <w:r>
        <w:rPr>
          <w:sz w:val="21"/>
        </w:rPr>
        <w:t>center</w:t>
      </w:r>
      <w:r>
        <w:rPr>
          <w:spacing w:val="-4"/>
          <w:sz w:val="21"/>
        </w:rPr>
        <w:t> </w:t>
      </w:r>
      <w:r>
        <w:rPr>
          <w:sz w:val="21"/>
        </w:rPr>
        <w:t>survivors’</w:t>
      </w:r>
      <w:r>
        <w:rPr>
          <w:spacing w:val="-4"/>
          <w:sz w:val="21"/>
        </w:rPr>
        <w:t> </w:t>
      </w:r>
      <w:r>
        <w:rPr>
          <w:sz w:val="21"/>
        </w:rPr>
        <w:t>voices</w:t>
      </w:r>
      <w:r>
        <w:rPr>
          <w:spacing w:val="-5"/>
          <w:sz w:val="21"/>
        </w:rPr>
        <w:t> </w:t>
      </w:r>
      <w:r>
        <w:rPr>
          <w:sz w:val="21"/>
        </w:rPr>
        <w:t>and</w:t>
      </w:r>
      <w:r>
        <w:rPr>
          <w:spacing w:val="-3"/>
          <w:sz w:val="21"/>
        </w:rPr>
        <w:t> </w:t>
      </w:r>
      <w:r>
        <w:rPr>
          <w:sz w:val="21"/>
        </w:rPr>
        <w:t>desires</w:t>
      </w:r>
      <w:r>
        <w:rPr>
          <w:spacing w:val="-5"/>
          <w:sz w:val="21"/>
        </w:rPr>
        <w:t> </w:t>
      </w:r>
      <w:r>
        <w:rPr>
          <w:sz w:val="21"/>
        </w:rPr>
        <w:t>in</w:t>
      </w:r>
      <w:r>
        <w:rPr>
          <w:spacing w:val="-3"/>
          <w:sz w:val="21"/>
        </w:rPr>
        <w:t> </w:t>
      </w:r>
      <w:r>
        <w:rPr>
          <w:sz w:val="21"/>
        </w:rPr>
        <w:t>services,</w:t>
      </w:r>
      <w:r>
        <w:rPr>
          <w:spacing w:val="-4"/>
          <w:sz w:val="21"/>
        </w:rPr>
        <w:t> </w:t>
      </w:r>
      <w:r>
        <w:rPr>
          <w:sz w:val="21"/>
        </w:rPr>
        <w:t>2)</w:t>
      </w:r>
      <w:r>
        <w:rPr>
          <w:spacing w:val="-4"/>
          <w:sz w:val="21"/>
        </w:rPr>
        <w:t> </w:t>
      </w:r>
      <w:r>
        <w:rPr>
          <w:sz w:val="21"/>
        </w:rPr>
        <w:t>build</w:t>
      </w:r>
      <w:r>
        <w:rPr>
          <w:spacing w:val="-4"/>
          <w:sz w:val="21"/>
        </w:rPr>
        <w:t> </w:t>
      </w:r>
      <w:r>
        <w:rPr>
          <w:sz w:val="21"/>
        </w:rPr>
        <w:t>collaborative</w:t>
      </w:r>
      <w:r>
        <w:rPr>
          <w:spacing w:val="-4"/>
          <w:sz w:val="21"/>
        </w:rPr>
        <w:t> </w:t>
      </w:r>
      <w:r>
        <w:rPr>
          <w:sz w:val="21"/>
        </w:rPr>
        <w:t>relationships,</w:t>
      </w:r>
      <w:r>
        <w:rPr>
          <w:spacing w:val="-3"/>
          <w:sz w:val="21"/>
        </w:rPr>
        <w:t> </w:t>
      </w:r>
      <w:r>
        <w:rPr>
          <w:sz w:val="21"/>
        </w:rPr>
        <w:t>3) demonstrate trustworthiness and transparency, 4) create safety by proactively communicating an affirming stance,</w:t>
      </w:r>
      <w:r>
        <w:rPr>
          <w:spacing w:val="-9"/>
          <w:sz w:val="21"/>
        </w:rPr>
        <w:t> </w:t>
      </w:r>
      <w:r>
        <w:rPr>
          <w:sz w:val="21"/>
        </w:rPr>
        <w:t>5)</w:t>
      </w:r>
      <w:r>
        <w:rPr>
          <w:spacing w:val="-9"/>
          <w:sz w:val="21"/>
        </w:rPr>
        <w:t> </w:t>
      </w:r>
      <w:r>
        <w:rPr>
          <w:sz w:val="21"/>
        </w:rPr>
        <w:t>recognize</w:t>
      </w:r>
      <w:r>
        <w:rPr>
          <w:spacing w:val="-9"/>
          <w:sz w:val="21"/>
        </w:rPr>
        <w:t> </w:t>
      </w:r>
      <w:r>
        <w:rPr>
          <w:sz w:val="21"/>
        </w:rPr>
        <w:t>and</w:t>
      </w:r>
      <w:r>
        <w:rPr>
          <w:spacing w:val="-9"/>
          <w:sz w:val="21"/>
        </w:rPr>
        <w:t> </w:t>
      </w:r>
      <w:r>
        <w:rPr>
          <w:sz w:val="21"/>
        </w:rPr>
        <w:t>discuss</w:t>
      </w:r>
      <w:r>
        <w:rPr>
          <w:spacing w:val="-10"/>
          <w:sz w:val="21"/>
        </w:rPr>
        <w:t> </w:t>
      </w:r>
      <w:r>
        <w:rPr>
          <w:sz w:val="21"/>
        </w:rPr>
        <w:t>cultural,</w:t>
      </w:r>
      <w:r>
        <w:rPr>
          <w:spacing w:val="-9"/>
          <w:sz w:val="21"/>
        </w:rPr>
        <w:t> </w:t>
      </w:r>
      <w:r>
        <w:rPr>
          <w:sz w:val="21"/>
        </w:rPr>
        <w:t>historical,</w:t>
      </w:r>
      <w:r>
        <w:rPr>
          <w:spacing w:val="-9"/>
          <w:sz w:val="21"/>
        </w:rPr>
        <w:t> </w:t>
      </w:r>
      <w:r>
        <w:rPr>
          <w:sz w:val="21"/>
        </w:rPr>
        <w:t>and</w:t>
      </w:r>
      <w:r>
        <w:rPr>
          <w:spacing w:val="-9"/>
          <w:sz w:val="21"/>
        </w:rPr>
        <w:t> </w:t>
      </w:r>
      <w:r>
        <w:rPr>
          <w:sz w:val="21"/>
        </w:rPr>
        <w:t>gender</w:t>
      </w:r>
      <w:r>
        <w:rPr>
          <w:spacing w:val="-9"/>
          <w:sz w:val="21"/>
        </w:rPr>
        <w:t> </w:t>
      </w:r>
      <w:r>
        <w:rPr>
          <w:sz w:val="21"/>
        </w:rPr>
        <w:t>influences</w:t>
      </w:r>
      <w:r>
        <w:rPr>
          <w:spacing w:val="-10"/>
          <w:sz w:val="21"/>
        </w:rPr>
        <w:t> </w:t>
      </w:r>
      <w:r>
        <w:rPr>
          <w:sz w:val="21"/>
        </w:rPr>
        <w:t>on</w:t>
      </w:r>
      <w:r>
        <w:rPr>
          <w:spacing w:val="-9"/>
          <w:sz w:val="21"/>
        </w:rPr>
        <w:t> </w:t>
      </w:r>
      <w:r>
        <w:rPr>
          <w:sz w:val="21"/>
        </w:rPr>
        <w:t>youths’</w:t>
      </w:r>
      <w:r>
        <w:rPr>
          <w:spacing w:val="-9"/>
          <w:sz w:val="21"/>
        </w:rPr>
        <w:t> </w:t>
      </w:r>
      <w:r>
        <w:rPr>
          <w:sz w:val="21"/>
        </w:rPr>
        <w:t>identities</w:t>
      </w:r>
      <w:r>
        <w:rPr>
          <w:spacing w:val="-10"/>
          <w:sz w:val="21"/>
        </w:rPr>
        <w:t> </w:t>
      </w:r>
      <w:r>
        <w:rPr>
          <w:sz w:val="21"/>
        </w:rPr>
        <w:t>and</w:t>
      </w:r>
      <w:r>
        <w:rPr>
          <w:spacing w:val="-9"/>
          <w:sz w:val="21"/>
        </w:rPr>
        <w:t> </w:t>
      </w:r>
      <w:r>
        <w:rPr>
          <w:sz w:val="21"/>
        </w:rPr>
        <w:t>experiences, and 6) promote peer support</w:t>
      </w:r>
      <w:hyperlink w:history="true" w:anchor="_bookmark117">
        <w:r>
          <w:rPr>
            <w:sz w:val="21"/>
          </w:rPr>
          <w:t>.</w:t>
        </w:r>
        <w:r>
          <w:rPr>
            <w:sz w:val="21"/>
            <w:vertAlign w:val="superscript"/>
          </w:rPr>
          <w:t>15</w:t>
        </w:r>
      </w:hyperlink>
    </w:p>
    <w:p>
      <w:pPr>
        <w:spacing w:line="276" w:lineRule="auto" w:before="240"/>
        <w:ind w:left="463" w:right="240" w:firstLine="0"/>
        <w:jc w:val="both"/>
        <w:rPr>
          <w:sz w:val="21"/>
        </w:rPr>
      </w:pPr>
      <w:r>
        <w:rPr>
          <w:sz w:val="21"/>
        </w:rPr>
        <w:t>Second, the Commission’s recommendations include investing in early intervention, rather than reacting only after</w:t>
      </w:r>
      <w:r>
        <w:rPr>
          <w:spacing w:val="-12"/>
          <w:sz w:val="21"/>
        </w:rPr>
        <w:t> </w:t>
      </w:r>
      <w:r>
        <w:rPr>
          <w:sz w:val="21"/>
        </w:rPr>
        <w:t>youths’</w:t>
      </w:r>
      <w:r>
        <w:rPr>
          <w:spacing w:val="-12"/>
          <w:sz w:val="21"/>
        </w:rPr>
        <w:t> </w:t>
      </w:r>
      <w:r>
        <w:rPr>
          <w:sz w:val="21"/>
        </w:rPr>
        <w:t>mental</w:t>
      </w:r>
      <w:r>
        <w:rPr>
          <w:spacing w:val="-12"/>
          <w:sz w:val="21"/>
        </w:rPr>
        <w:t> </w:t>
      </w:r>
      <w:r>
        <w:rPr>
          <w:sz w:val="21"/>
        </w:rPr>
        <w:t>health</w:t>
      </w:r>
      <w:r>
        <w:rPr>
          <w:spacing w:val="-12"/>
          <w:sz w:val="21"/>
        </w:rPr>
        <w:t> </w:t>
      </w:r>
      <w:r>
        <w:rPr>
          <w:sz w:val="21"/>
        </w:rPr>
        <w:t>issues</w:t>
      </w:r>
      <w:r>
        <w:rPr>
          <w:spacing w:val="-12"/>
          <w:sz w:val="21"/>
        </w:rPr>
        <w:t> </w:t>
      </w:r>
      <w:r>
        <w:rPr>
          <w:sz w:val="21"/>
        </w:rPr>
        <w:t>become</w:t>
      </w:r>
      <w:r>
        <w:rPr>
          <w:spacing w:val="-12"/>
          <w:sz w:val="21"/>
        </w:rPr>
        <w:t> </w:t>
      </w:r>
      <w:r>
        <w:rPr>
          <w:sz w:val="21"/>
        </w:rPr>
        <w:t>obvious.</w:t>
      </w:r>
      <w:r>
        <w:rPr>
          <w:spacing w:val="-12"/>
          <w:sz w:val="21"/>
        </w:rPr>
        <w:t> </w:t>
      </w:r>
      <w:r>
        <w:rPr>
          <w:sz w:val="21"/>
        </w:rPr>
        <w:t>While</w:t>
      </w:r>
      <w:r>
        <w:rPr>
          <w:spacing w:val="-11"/>
          <w:sz w:val="21"/>
        </w:rPr>
        <w:t> </w:t>
      </w:r>
      <w:r>
        <w:rPr>
          <w:sz w:val="21"/>
        </w:rPr>
        <w:t>LGBTQ</w:t>
      </w:r>
      <w:r>
        <w:rPr>
          <w:spacing w:val="-12"/>
          <w:sz w:val="21"/>
        </w:rPr>
        <w:t> </w:t>
      </w:r>
      <w:r>
        <w:rPr>
          <w:sz w:val="21"/>
        </w:rPr>
        <w:t>children</w:t>
      </w:r>
      <w:r>
        <w:rPr>
          <w:spacing w:val="-12"/>
          <w:sz w:val="21"/>
        </w:rPr>
        <w:t> </w:t>
      </w:r>
      <w:r>
        <w:rPr>
          <w:sz w:val="21"/>
        </w:rPr>
        <w:t>begin</w:t>
      </w:r>
      <w:r>
        <w:rPr>
          <w:spacing w:val="-12"/>
          <w:sz w:val="21"/>
        </w:rPr>
        <w:t> </w:t>
      </w:r>
      <w:r>
        <w:rPr>
          <w:sz w:val="21"/>
        </w:rPr>
        <w:t>experiencing</w:t>
      </w:r>
      <w:r>
        <w:rPr>
          <w:spacing w:val="-12"/>
          <w:sz w:val="21"/>
        </w:rPr>
        <w:t> </w:t>
      </w:r>
      <w:r>
        <w:rPr>
          <w:sz w:val="21"/>
        </w:rPr>
        <w:t>more</w:t>
      </w:r>
      <w:r>
        <w:rPr>
          <w:spacing w:val="-12"/>
          <w:sz w:val="21"/>
        </w:rPr>
        <w:t> </w:t>
      </w:r>
      <w:r>
        <w:rPr>
          <w:sz w:val="21"/>
        </w:rPr>
        <w:t>bullying</w:t>
      </w:r>
      <w:r>
        <w:rPr>
          <w:spacing w:val="-12"/>
          <w:sz w:val="21"/>
        </w:rPr>
        <w:t> </w:t>
      </w:r>
      <w:r>
        <w:rPr>
          <w:sz w:val="21"/>
        </w:rPr>
        <w:t>than their peers by age 9, it does not become obvious that they suffer from more mental health and substance use challenges</w:t>
      </w:r>
      <w:r>
        <w:rPr>
          <w:spacing w:val="-12"/>
          <w:sz w:val="21"/>
        </w:rPr>
        <w:t> </w:t>
      </w:r>
      <w:r>
        <w:rPr>
          <w:sz w:val="21"/>
        </w:rPr>
        <w:t>until</w:t>
      </w:r>
      <w:r>
        <w:rPr>
          <w:spacing w:val="-12"/>
          <w:sz w:val="21"/>
        </w:rPr>
        <w:t> </w:t>
      </w:r>
      <w:r>
        <w:rPr>
          <w:sz w:val="21"/>
        </w:rPr>
        <w:t>early</w:t>
      </w:r>
      <w:r>
        <w:rPr>
          <w:spacing w:val="-12"/>
          <w:sz w:val="21"/>
        </w:rPr>
        <w:t> </w:t>
      </w:r>
      <w:r>
        <w:rPr>
          <w:sz w:val="21"/>
        </w:rPr>
        <w:t>adolescence</w:t>
      </w:r>
      <w:r>
        <w:rPr>
          <w:spacing w:val="-12"/>
          <w:sz w:val="21"/>
        </w:rPr>
        <w:t> </w:t>
      </w:r>
      <w:r>
        <w:rPr>
          <w:sz w:val="21"/>
        </w:rPr>
        <w:t>(i.e.</w:t>
      </w:r>
      <w:r>
        <w:rPr>
          <w:spacing w:val="-12"/>
          <w:sz w:val="21"/>
        </w:rPr>
        <w:t> </w:t>
      </w:r>
      <w:r>
        <w:rPr>
          <w:sz w:val="21"/>
        </w:rPr>
        <w:t>age</w:t>
      </w:r>
      <w:r>
        <w:rPr>
          <w:spacing w:val="-12"/>
          <w:sz w:val="21"/>
        </w:rPr>
        <w:t> </w:t>
      </w:r>
      <w:r>
        <w:rPr>
          <w:sz w:val="21"/>
        </w:rPr>
        <w:t>12</w:t>
      </w:r>
      <w:r>
        <w:rPr>
          <w:spacing w:val="-12"/>
          <w:sz w:val="21"/>
        </w:rPr>
        <w:t> </w:t>
      </w:r>
      <w:r>
        <w:rPr>
          <w:sz w:val="21"/>
        </w:rPr>
        <w:t>or</w:t>
      </w:r>
      <w:r>
        <w:rPr>
          <w:spacing w:val="-11"/>
          <w:sz w:val="21"/>
        </w:rPr>
        <w:t> </w:t>
      </w:r>
      <w:r>
        <w:rPr>
          <w:sz w:val="21"/>
        </w:rPr>
        <w:t>15).</w:t>
      </w:r>
      <w:hyperlink w:history="true" w:anchor="_bookmark117">
        <w:r>
          <w:rPr>
            <w:sz w:val="21"/>
            <w:vertAlign w:val="superscript"/>
          </w:rPr>
          <w:t>16</w:t>
        </w:r>
      </w:hyperlink>
      <w:r>
        <w:rPr>
          <w:spacing w:val="-12"/>
          <w:sz w:val="21"/>
          <w:vertAlign w:val="baseline"/>
        </w:rPr>
        <w:t> </w:t>
      </w:r>
      <w:r>
        <w:rPr>
          <w:sz w:val="21"/>
          <w:vertAlign w:val="baseline"/>
        </w:rPr>
        <w:t>This</w:t>
      </w:r>
      <w:r>
        <w:rPr>
          <w:spacing w:val="-12"/>
          <w:sz w:val="21"/>
          <w:vertAlign w:val="baseline"/>
        </w:rPr>
        <w:t> </w:t>
      </w:r>
      <w:r>
        <w:rPr>
          <w:sz w:val="21"/>
          <w:vertAlign w:val="baseline"/>
        </w:rPr>
        <w:t>delayed</w:t>
      </w:r>
      <w:r>
        <w:rPr>
          <w:spacing w:val="-12"/>
          <w:sz w:val="21"/>
          <w:vertAlign w:val="baseline"/>
        </w:rPr>
        <w:t> </w:t>
      </w:r>
      <w:r>
        <w:rPr>
          <w:sz w:val="21"/>
          <w:vertAlign w:val="baseline"/>
        </w:rPr>
        <w:t>impact</w:t>
      </w:r>
      <w:r>
        <w:rPr>
          <w:spacing w:val="-12"/>
          <w:sz w:val="21"/>
          <w:vertAlign w:val="baseline"/>
        </w:rPr>
        <w:t> </w:t>
      </w:r>
      <w:r>
        <w:rPr>
          <w:sz w:val="21"/>
          <w:vertAlign w:val="baseline"/>
        </w:rPr>
        <w:t>of</w:t>
      </w:r>
      <w:r>
        <w:rPr>
          <w:spacing w:val="-12"/>
          <w:sz w:val="21"/>
          <w:vertAlign w:val="baseline"/>
        </w:rPr>
        <w:t> </w:t>
      </w:r>
      <w:r>
        <w:rPr>
          <w:sz w:val="21"/>
          <w:vertAlign w:val="baseline"/>
        </w:rPr>
        <w:t>bullying</w:t>
      </w:r>
      <w:r>
        <w:rPr>
          <w:spacing w:val="-12"/>
          <w:sz w:val="21"/>
          <w:vertAlign w:val="baseline"/>
        </w:rPr>
        <w:t> </w:t>
      </w:r>
      <w:r>
        <w:rPr>
          <w:sz w:val="21"/>
          <w:vertAlign w:val="baseline"/>
        </w:rPr>
        <w:t>on</w:t>
      </w:r>
      <w:r>
        <w:rPr>
          <w:spacing w:val="-12"/>
          <w:sz w:val="21"/>
          <w:vertAlign w:val="baseline"/>
        </w:rPr>
        <w:t> </w:t>
      </w:r>
      <w:r>
        <w:rPr>
          <w:sz w:val="21"/>
          <w:vertAlign w:val="baseline"/>
        </w:rPr>
        <w:t>youth</w:t>
      </w:r>
      <w:r>
        <w:rPr>
          <w:spacing w:val="-11"/>
          <w:sz w:val="21"/>
          <w:vertAlign w:val="baseline"/>
        </w:rPr>
        <w:t> </w:t>
      </w:r>
      <w:r>
        <w:rPr>
          <w:sz w:val="21"/>
          <w:vertAlign w:val="baseline"/>
        </w:rPr>
        <w:t>health</w:t>
      </w:r>
      <w:r>
        <w:rPr>
          <w:spacing w:val="-12"/>
          <w:sz w:val="21"/>
          <w:vertAlign w:val="baseline"/>
        </w:rPr>
        <w:t> </w:t>
      </w:r>
      <w:r>
        <w:rPr>
          <w:sz w:val="21"/>
          <w:vertAlign w:val="baseline"/>
        </w:rPr>
        <w:t>is</w:t>
      </w:r>
      <w:r>
        <w:rPr>
          <w:spacing w:val="-12"/>
          <w:sz w:val="21"/>
          <w:vertAlign w:val="baseline"/>
        </w:rPr>
        <w:t> </w:t>
      </w:r>
      <w:r>
        <w:rPr>
          <w:sz w:val="21"/>
          <w:vertAlign w:val="baseline"/>
        </w:rPr>
        <w:t>minority stress in action. This is why youth should be supported early in life, such as through inclusive curriculum and peer support spaces, even when adults assume that youth do not yet know they are LGBTQ. Preventative support in schools and communities will decrease the lifelong impacts of minority stress and help bridge the massive gap in access to needed professional mental health support.</w:t>
      </w:r>
    </w:p>
    <w:p>
      <w:pPr>
        <w:spacing w:line="276" w:lineRule="auto" w:before="240"/>
        <w:ind w:left="463" w:right="241" w:firstLine="0"/>
        <w:jc w:val="both"/>
        <w:rPr>
          <w:sz w:val="21"/>
        </w:rPr>
      </w:pPr>
      <w:r>
        <w:rPr>
          <w:sz w:val="21"/>
        </w:rPr>
        <w:t>Finally, the</w:t>
      </w:r>
      <w:r>
        <w:rPr>
          <w:spacing w:val="-1"/>
          <w:sz w:val="21"/>
        </w:rPr>
        <w:t> </w:t>
      </w:r>
      <w:r>
        <w:rPr>
          <w:sz w:val="21"/>
        </w:rPr>
        <w:t>Commission</w:t>
      </w:r>
      <w:r>
        <w:rPr>
          <w:spacing w:val="-1"/>
          <w:sz w:val="21"/>
        </w:rPr>
        <w:t> </w:t>
      </w:r>
      <w:r>
        <w:rPr>
          <w:sz w:val="21"/>
        </w:rPr>
        <w:t>follows</w:t>
      </w:r>
      <w:r>
        <w:rPr>
          <w:spacing w:val="-1"/>
          <w:sz w:val="21"/>
        </w:rPr>
        <w:t> </w:t>
      </w:r>
      <w:r>
        <w:rPr>
          <w:sz w:val="21"/>
        </w:rPr>
        <w:t>current research</w:t>
      </w:r>
      <w:r>
        <w:rPr>
          <w:spacing w:val="-1"/>
          <w:sz w:val="21"/>
        </w:rPr>
        <w:t> </w:t>
      </w:r>
      <w:r>
        <w:rPr>
          <w:sz w:val="21"/>
        </w:rPr>
        <w:t>recommendations</w:t>
      </w:r>
      <w:r>
        <w:rPr>
          <w:spacing w:val="-1"/>
          <w:sz w:val="21"/>
        </w:rPr>
        <w:t> </w:t>
      </w:r>
      <w:r>
        <w:rPr>
          <w:sz w:val="21"/>
        </w:rPr>
        <w:t>by</w:t>
      </w:r>
      <w:r>
        <w:rPr>
          <w:spacing w:val="-1"/>
          <w:sz w:val="21"/>
        </w:rPr>
        <w:t> </w:t>
      </w:r>
      <w:r>
        <w:rPr>
          <w:sz w:val="21"/>
        </w:rPr>
        <w:t>taking</w:t>
      </w:r>
      <w:r>
        <w:rPr>
          <w:spacing w:val="-1"/>
          <w:sz w:val="21"/>
        </w:rPr>
        <w:t> </w:t>
      </w:r>
      <w:r>
        <w:rPr>
          <w:sz w:val="21"/>
        </w:rPr>
        <w:t>a</w:t>
      </w:r>
      <w:r>
        <w:rPr>
          <w:spacing w:val="-2"/>
          <w:sz w:val="21"/>
        </w:rPr>
        <w:t> </w:t>
      </w:r>
      <w:r>
        <w:rPr>
          <w:sz w:val="21"/>
        </w:rPr>
        <w:t>sociopolitical, holistic</w:t>
      </w:r>
      <w:r>
        <w:rPr>
          <w:spacing w:val="-1"/>
          <w:sz w:val="21"/>
        </w:rPr>
        <w:t> </w:t>
      </w:r>
      <w:r>
        <w:rPr>
          <w:sz w:val="21"/>
        </w:rPr>
        <w:t>approach to LGBTQ youth mental health instead of an individualistic or pathologizing approach. That is, LGBTQ youths’ mental health challenges can be seen as natural human responses to their experiences in school, home, community, and society – not just “personal issues.” Therefore, all support efforts should be anti-oppressive: they</w:t>
      </w:r>
      <w:r>
        <w:rPr>
          <w:spacing w:val="-12"/>
          <w:sz w:val="21"/>
        </w:rPr>
        <w:t> </w:t>
      </w:r>
      <w:r>
        <w:rPr>
          <w:sz w:val="21"/>
        </w:rPr>
        <w:t>should</w:t>
      </w:r>
      <w:r>
        <w:rPr>
          <w:spacing w:val="-12"/>
          <w:sz w:val="21"/>
        </w:rPr>
        <w:t> </w:t>
      </w:r>
      <w:r>
        <w:rPr>
          <w:sz w:val="21"/>
        </w:rPr>
        <w:t>fuel</w:t>
      </w:r>
      <w:r>
        <w:rPr>
          <w:spacing w:val="-12"/>
          <w:sz w:val="21"/>
        </w:rPr>
        <w:t> </w:t>
      </w:r>
      <w:r>
        <w:rPr>
          <w:sz w:val="21"/>
        </w:rPr>
        <w:t>systemic</w:t>
      </w:r>
      <w:r>
        <w:rPr>
          <w:spacing w:val="-12"/>
          <w:sz w:val="21"/>
        </w:rPr>
        <w:t> </w:t>
      </w:r>
      <w:r>
        <w:rPr>
          <w:sz w:val="21"/>
        </w:rPr>
        <w:t>change</w:t>
      </w:r>
      <w:r>
        <w:rPr>
          <w:spacing w:val="-12"/>
          <w:sz w:val="21"/>
        </w:rPr>
        <w:t> </w:t>
      </w:r>
      <w:r>
        <w:rPr>
          <w:sz w:val="21"/>
        </w:rPr>
        <w:t>that</w:t>
      </w:r>
      <w:r>
        <w:rPr>
          <w:spacing w:val="-12"/>
          <w:sz w:val="21"/>
        </w:rPr>
        <w:t> </w:t>
      </w:r>
      <w:r>
        <w:rPr>
          <w:sz w:val="21"/>
        </w:rPr>
        <w:t>tangibly</w:t>
      </w:r>
      <w:r>
        <w:rPr>
          <w:spacing w:val="-12"/>
          <w:sz w:val="21"/>
        </w:rPr>
        <w:t> </w:t>
      </w:r>
      <w:r>
        <w:rPr>
          <w:sz w:val="21"/>
        </w:rPr>
        <w:t>reshapes</w:t>
      </w:r>
      <w:r>
        <w:rPr>
          <w:spacing w:val="-11"/>
          <w:sz w:val="21"/>
        </w:rPr>
        <w:t> </w:t>
      </w:r>
      <w:r>
        <w:rPr>
          <w:sz w:val="21"/>
        </w:rPr>
        <w:t>services,</w:t>
      </w:r>
      <w:r>
        <w:rPr>
          <w:spacing w:val="-12"/>
          <w:sz w:val="21"/>
        </w:rPr>
        <w:t> </w:t>
      </w:r>
      <w:r>
        <w:rPr>
          <w:sz w:val="21"/>
        </w:rPr>
        <w:t>schools,</w:t>
      </w:r>
      <w:r>
        <w:rPr>
          <w:spacing w:val="-12"/>
          <w:sz w:val="21"/>
        </w:rPr>
        <w:t> </w:t>
      </w:r>
      <w:r>
        <w:rPr>
          <w:sz w:val="21"/>
        </w:rPr>
        <w:t>communities,</w:t>
      </w:r>
      <w:r>
        <w:rPr>
          <w:spacing w:val="-12"/>
          <w:sz w:val="21"/>
        </w:rPr>
        <w:t> </w:t>
      </w:r>
      <w:r>
        <w:rPr>
          <w:sz w:val="21"/>
        </w:rPr>
        <w:t>policies,</w:t>
      </w:r>
      <w:r>
        <w:rPr>
          <w:spacing w:val="-12"/>
          <w:sz w:val="21"/>
        </w:rPr>
        <w:t> </w:t>
      </w:r>
      <w:r>
        <w:rPr>
          <w:sz w:val="21"/>
        </w:rPr>
        <w:t>and</w:t>
      </w:r>
      <w:r>
        <w:rPr>
          <w:spacing w:val="-12"/>
          <w:sz w:val="21"/>
        </w:rPr>
        <w:t> </w:t>
      </w:r>
      <w:r>
        <w:rPr>
          <w:sz w:val="21"/>
        </w:rPr>
        <w:t>laws</w:t>
      </w:r>
      <w:r>
        <w:rPr>
          <w:spacing w:val="-12"/>
          <w:sz w:val="21"/>
        </w:rPr>
        <w:t> </w:t>
      </w:r>
      <w:r>
        <w:rPr>
          <w:sz w:val="21"/>
        </w:rPr>
        <w:t>rather than focusing only on individual mental health support.</w:t>
      </w:r>
    </w:p>
    <w:p>
      <w:pPr>
        <w:spacing w:before="239"/>
        <w:ind w:left="463" w:right="0" w:firstLine="0"/>
        <w:jc w:val="both"/>
        <w:rPr>
          <w:sz w:val="28"/>
        </w:rPr>
      </w:pPr>
      <w:bookmarkStart w:name="Research: Supporting LGBTQ Youth Mental " w:id="242"/>
      <w:bookmarkEnd w:id="242"/>
      <w:r>
        <w:rPr/>
      </w:r>
      <w:r>
        <w:rPr>
          <w:color w:val="365F91"/>
          <w:sz w:val="28"/>
        </w:rPr>
        <w:t>Research:</w:t>
      </w:r>
      <w:r>
        <w:rPr>
          <w:color w:val="365F91"/>
          <w:spacing w:val="-11"/>
          <w:sz w:val="28"/>
        </w:rPr>
        <w:t> </w:t>
      </w:r>
      <w:r>
        <w:rPr>
          <w:color w:val="365F91"/>
          <w:sz w:val="28"/>
        </w:rPr>
        <w:t>Supporting</w:t>
      </w:r>
      <w:r>
        <w:rPr>
          <w:color w:val="365F91"/>
          <w:spacing w:val="-11"/>
          <w:sz w:val="28"/>
        </w:rPr>
        <w:t> </w:t>
      </w:r>
      <w:r>
        <w:rPr>
          <w:color w:val="365F91"/>
          <w:sz w:val="28"/>
        </w:rPr>
        <w:t>LGBTQ</w:t>
      </w:r>
      <w:r>
        <w:rPr>
          <w:color w:val="365F91"/>
          <w:spacing w:val="-12"/>
          <w:sz w:val="28"/>
        </w:rPr>
        <w:t> </w:t>
      </w:r>
      <w:r>
        <w:rPr>
          <w:color w:val="365F91"/>
          <w:sz w:val="28"/>
        </w:rPr>
        <w:t>Youth</w:t>
      </w:r>
      <w:r>
        <w:rPr>
          <w:color w:val="365F91"/>
          <w:spacing w:val="-10"/>
          <w:sz w:val="28"/>
        </w:rPr>
        <w:t> </w:t>
      </w:r>
      <w:r>
        <w:rPr>
          <w:color w:val="365F91"/>
          <w:sz w:val="28"/>
        </w:rPr>
        <w:t>Mental</w:t>
      </w:r>
      <w:r>
        <w:rPr>
          <w:color w:val="365F91"/>
          <w:spacing w:val="-12"/>
          <w:sz w:val="28"/>
        </w:rPr>
        <w:t> </w:t>
      </w:r>
      <w:r>
        <w:rPr>
          <w:color w:val="365F91"/>
          <w:spacing w:val="-2"/>
          <w:sz w:val="28"/>
        </w:rPr>
        <w:t>Health</w:t>
      </w:r>
    </w:p>
    <w:p>
      <w:pPr>
        <w:pStyle w:val="BodyText"/>
        <w:spacing w:before="10"/>
        <w:rPr>
          <w:sz w:val="3"/>
        </w:rPr>
      </w:pPr>
      <w:r>
        <w:rPr/>
        <mc:AlternateContent>
          <mc:Choice Requires="wps">
            <w:drawing>
              <wp:anchor distT="0" distB="0" distL="0" distR="0" allowOverlap="1" layoutInCell="1" locked="0" behindDoc="1" simplePos="0" relativeHeight="487619072">
                <wp:simplePos x="0" y="0"/>
                <wp:positionH relativeFrom="page">
                  <wp:posOffset>897636</wp:posOffset>
                </wp:positionH>
                <wp:positionV relativeFrom="paragraph">
                  <wp:posOffset>45386</wp:posOffset>
                </wp:positionV>
                <wp:extent cx="6052820" cy="635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6052820" cy="6350"/>
                        </a:xfrm>
                        <a:custGeom>
                          <a:avLst/>
                          <a:gdLst/>
                          <a:ahLst/>
                          <a:cxnLst/>
                          <a:rect l="l" t="t" r="r" b="b"/>
                          <a:pathLst>
                            <a:path w="6052820" h="6350">
                              <a:moveTo>
                                <a:pt x="6052578" y="0"/>
                              </a:moveTo>
                              <a:lnTo>
                                <a:pt x="0" y="0"/>
                              </a:lnTo>
                              <a:lnTo>
                                <a:pt x="0" y="6095"/>
                              </a:lnTo>
                              <a:lnTo>
                                <a:pt x="6052578" y="6095"/>
                              </a:lnTo>
                              <a:lnTo>
                                <a:pt x="605257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376pt;width:476.581pt;height:.48pt;mso-position-horizontal-relative:page;mso-position-vertical-relative:paragraph;z-index:-15697408;mso-wrap-distance-left:0;mso-wrap-distance-right:0" id="docshape193" filled="true" fillcolor="#4f81bc" stroked="false">
                <v:fill type="solid"/>
                <w10:wrap type="topAndBottom"/>
              </v:rect>
            </w:pict>
          </mc:Fallback>
        </mc:AlternateContent>
      </w:r>
    </w:p>
    <w:p>
      <w:pPr>
        <w:spacing w:line="276" w:lineRule="auto" w:before="241"/>
        <w:ind w:left="463" w:right="239" w:hanging="1"/>
        <w:jc w:val="both"/>
        <w:rPr>
          <w:sz w:val="21"/>
        </w:rPr>
      </w:pPr>
      <w:r>
        <w:rPr>
          <w:sz w:val="21"/>
        </w:rPr>
        <w:t>In addition to early intervention and anti-oppressive, trauma-informed services, the Commission also urges decision-makers</w:t>
      </w:r>
      <w:r>
        <w:rPr>
          <w:spacing w:val="-10"/>
          <w:sz w:val="21"/>
        </w:rPr>
        <w:t> </w:t>
      </w:r>
      <w:r>
        <w:rPr>
          <w:sz w:val="21"/>
        </w:rPr>
        <w:t>and</w:t>
      </w:r>
      <w:r>
        <w:rPr>
          <w:spacing w:val="-9"/>
          <w:sz w:val="21"/>
        </w:rPr>
        <w:t> </w:t>
      </w:r>
      <w:r>
        <w:rPr>
          <w:sz w:val="21"/>
        </w:rPr>
        <w:t>allies</w:t>
      </w:r>
      <w:r>
        <w:rPr>
          <w:spacing w:val="-9"/>
          <w:sz w:val="21"/>
        </w:rPr>
        <w:t> </w:t>
      </w:r>
      <w:r>
        <w:rPr>
          <w:sz w:val="21"/>
        </w:rPr>
        <w:t>to</w:t>
      </w:r>
      <w:r>
        <w:rPr>
          <w:spacing w:val="-9"/>
          <w:sz w:val="21"/>
        </w:rPr>
        <w:t> </w:t>
      </w:r>
      <w:r>
        <w:rPr>
          <w:sz w:val="21"/>
        </w:rPr>
        <w:t>pay</w:t>
      </w:r>
      <w:r>
        <w:rPr>
          <w:spacing w:val="-9"/>
          <w:sz w:val="21"/>
        </w:rPr>
        <w:t> </w:t>
      </w:r>
      <w:r>
        <w:rPr>
          <w:sz w:val="21"/>
        </w:rPr>
        <w:t>attention</w:t>
      </w:r>
      <w:r>
        <w:rPr>
          <w:spacing w:val="-9"/>
          <w:sz w:val="21"/>
        </w:rPr>
        <w:t> </w:t>
      </w:r>
      <w:r>
        <w:rPr>
          <w:sz w:val="21"/>
        </w:rPr>
        <w:t>to</w:t>
      </w:r>
      <w:r>
        <w:rPr>
          <w:spacing w:val="-11"/>
          <w:sz w:val="21"/>
        </w:rPr>
        <w:t> </w:t>
      </w:r>
      <w:r>
        <w:rPr>
          <w:sz w:val="21"/>
        </w:rPr>
        <w:t>youths’</w:t>
      </w:r>
      <w:r>
        <w:rPr>
          <w:spacing w:val="-9"/>
          <w:sz w:val="21"/>
        </w:rPr>
        <w:t> </w:t>
      </w:r>
      <w:r>
        <w:rPr>
          <w:sz w:val="21"/>
        </w:rPr>
        <w:t>intersectional</w:t>
      </w:r>
      <w:r>
        <w:rPr>
          <w:spacing w:val="-9"/>
          <w:sz w:val="21"/>
        </w:rPr>
        <w:t> </w:t>
      </w:r>
      <w:r>
        <w:rPr>
          <w:sz w:val="21"/>
        </w:rPr>
        <w:t>identities.</w:t>
      </w:r>
      <w:r>
        <w:rPr>
          <w:spacing w:val="-9"/>
          <w:sz w:val="21"/>
        </w:rPr>
        <w:t> </w:t>
      </w:r>
      <w:r>
        <w:rPr>
          <w:sz w:val="21"/>
        </w:rPr>
        <w:t>Key</w:t>
      </w:r>
      <w:r>
        <w:rPr>
          <w:spacing w:val="-9"/>
          <w:sz w:val="21"/>
        </w:rPr>
        <w:t> </w:t>
      </w:r>
      <w:r>
        <w:rPr>
          <w:sz w:val="21"/>
        </w:rPr>
        <w:t>identities</w:t>
      </w:r>
      <w:r>
        <w:rPr>
          <w:spacing w:val="-9"/>
          <w:sz w:val="21"/>
        </w:rPr>
        <w:t> </w:t>
      </w:r>
      <w:r>
        <w:rPr>
          <w:sz w:val="21"/>
        </w:rPr>
        <w:t>to</w:t>
      </w:r>
      <w:r>
        <w:rPr>
          <w:spacing w:val="-9"/>
          <w:sz w:val="21"/>
        </w:rPr>
        <w:t> </w:t>
      </w:r>
      <w:r>
        <w:rPr>
          <w:sz w:val="21"/>
        </w:rPr>
        <w:t>consider</w:t>
      </w:r>
      <w:r>
        <w:rPr>
          <w:spacing w:val="-9"/>
          <w:sz w:val="21"/>
        </w:rPr>
        <w:t> </w:t>
      </w:r>
      <w:r>
        <w:rPr>
          <w:sz w:val="21"/>
        </w:rPr>
        <w:t>include race/ethnicity, immigration status, disability/neurodivergence/Deafness, involvement in child welfare and juvenile justice systems, and rural residence.</w:t>
      </w:r>
    </w:p>
    <w:p>
      <w:pPr>
        <w:spacing w:before="240"/>
        <w:ind w:left="463" w:right="0" w:firstLine="0"/>
        <w:jc w:val="both"/>
        <w:rPr>
          <w:sz w:val="28"/>
        </w:rPr>
      </w:pPr>
      <w:bookmarkStart w:name="Race &amp; Ethnicity: Taking an Anti-Racist," w:id="243"/>
      <w:bookmarkEnd w:id="243"/>
      <w:r>
        <w:rPr/>
      </w:r>
      <w:r>
        <w:rPr>
          <w:color w:val="365F91"/>
          <w:sz w:val="28"/>
        </w:rPr>
        <w:t>Race</w:t>
      </w:r>
      <w:r>
        <w:rPr>
          <w:color w:val="365F91"/>
          <w:spacing w:val="-11"/>
          <w:sz w:val="28"/>
        </w:rPr>
        <w:t> </w:t>
      </w:r>
      <w:r>
        <w:rPr>
          <w:color w:val="365F91"/>
          <w:sz w:val="28"/>
        </w:rPr>
        <w:t>&amp;</w:t>
      </w:r>
      <w:r>
        <w:rPr>
          <w:color w:val="365F91"/>
          <w:spacing w:val="-11"/>
          <w:sz w:val="28"/>
        </w:rPr>
        <w:t> </w:t>
      </w:r>
      <w:r>
        <w:rPr>
          <w:color w:val="365F91"/>
          <w:sz w:val="28"/>
        </w:rPr>
        <w:t>Ethnicity:</w:t>
      </w:r>
      <w:r>
        <w:rPr>
          <w:color w:val="365F91"/>
          <w:spacing w:val="-11"/>
          <w:sz w:val="28"/>
        </w:rPr>
        <w:t> </w:t>
      </w:r>
      <w:r>
        <w:rPr>
          <w:color w:val="365F91"/>
          <w:sz w:val="28"/>
        </w:rPr>
        <w:t>Taking</w:t>
      </w:r>
      <w:r>
        <w:rPr>
          <w:color w:val="365F91"/>
          <w:spacing w:val="-11"/>
          <w:sz w:val="28"/>
        </w:rPr>
        <w:t> </w:t>
      </w:r>
      <w:r>
        <w:rPr>
          <w:color w:val="365F91"/>
          <w:sz w:val="28"/>
        </w:rPr>
        <w:t>an</w:t>
      </w:r>
      <w:r>
        <w:rPr>
          <w:color w:val="365F91"/>
          <w:spacing w:val="-11"/>
          <w:sz w:val="28"/>
        </w:rPr>
        <w:t> </w:t>
      </w:r>
      <w:r>
        <w:rPr>
          <w:color w:val="365F91"/>
          <w:sz w:val="28"/>
        </w:rPr>
        <w:t>Anti-Racist,</w:t>
      </w:r>
      <w:r>
        <w:rPr>
          <w:color w:val="365F91"/>
          <w:spacing w:val="-11"/>
          <w:sz w:val="28"/>
        </w:rPr>
        <w:t> </w:t>
      </w:r>
      <w:r>
        <w:rPr>
          <w:color w:val="365F91"/>
          <w:sz w:val="28"/>
        </w:rPr>
        <w:t>Intersectional</w:t>
      </w:r>
      <w:r>
        <w:rPr>
          <w:color w:val="365F91"/>
          <w:spacing w:val="-10"/>
          <w:sz w:val="28"/>
        </w:rPr>
        <w:t> </w:t>
      </w:r>
      <w:r>
        <w:rPr>
          <w:color w:val="365F91"/>
          <w:spacing w:val="-2"/>
          <w:sz w:val="28"/>
        </w:rPr>
        <w:t>Approach</w:t>
      </w:r>
    </w:p>
    <w:p>
      <w:pPr>
        <w:spacing w:line="276" w:lineRule="auto" w:before="291"/>
        <w:ind w:left="463" w:right="241" w:firstLine="0"/>
        <w:jc w:val="both"/>
        <w:rPr>
          <w:sz w:val="21"/>
        </w:rPr>
      </w:pPr>
      <w:r>
        <w:rPr>
          <w:sz w:val="21"/>
        </w:rPr>
        <w:t>Queer and transgender BIPOC (QTBIPOC) youth do not just experience minority stress through LGBTQ-phobia, but also through racism – which </w:t>
      </w:r>
      <w:r>
        <w:rPr>
          <w:color w:val="1C1D1E"/>
          <w:sz w:val="21"/>
        </w:rPr>
        <w:t>“is not an abnormal experience, but an everyday occurrence.”</w:t>
      </w:r>
      <w:hyperlink w:history="true" w:anchor="_bookmark118">
        <w:r>
          <w:rPr>
            <w:color w:val="1C1D1E"/>
            <w:sz w:val="21"/>
            <w:vertAlign w:val="superscript"/>
          </w:rPr>
          <w:t>17</w:t>
        </w:r>
      </w:hyperlink>
      <w:r>
        <w:rPr>
          <w:color w:val="1C1D1E"/>
          <w:sz w:val="21"/>
          <w:vertAlign w:val="baseline"/>
        </w:rPr>
        <w:t> For instance, </w:t>
      </w:r>
      <w:r>
        <w:rPr>
          <w:sz w:val="21"/>
          <w:vertAlign w:val="baseline"/>
        </w:rPr>
        <w:t>GLSEN’s</w:t>
      </w:r>
      <w:r>
        <w:rPr>
          <w:spacing w:val="13"/>
          <w:sz w:val="21"/>
          <w:vertAlign w:val="baseline"/>
        </w:rPr>
        <w:t> </w:t>
      </w:r>
      <w:r>
        <w:rPr>
          <w:sz w:val="21"/>
          <w:vertAlign w:val="baseline"/>
        </w:rPr>
        <w:t>2021</w:t>
      </w:r>
      <w:r>
        <w:rPr>
          <w:spacing w:val="14"/>
          <w:sz w:val="21"/>
          <w:vertAlign w:val="baseline"/>
        </w:rPr>
        <w:t> </w:t>
      </w:r>
      <w:r>
        <w:rPr>
          <w:sz w:val="21"/>
          <w:vertAlign w:val="baseline"/>
        </w:rPr>
        <w:t>National</w:t>
      </w:r>
      <w:r>
        <w:rPr>
          <w:spacing w:val="14"/>
          <w:sz w:val="21"/>
          <w:vertAlign w:val="baseline"/>
        </w:rPr>
        <w:t> </w:t>
      </w:r>
      <w:r>
        <w:rPr>
          <w:sz w:val="21"/>
          <w:vertAlign w:val="baseline"/>
        </w:rPr>
        <w:t>School</w:t>
      </w:r>
      <w:r>
        <w:rPr>
          <w:spacing w:val="15"/>
          <w:sz w:val="21"/>
          <w:vertAlign w:val="baseline"/>
        </w:rPr>
        <w:t> </w:t>
      </w:r>
      <w:r>
        <w:rPr>
          <w:sz w:val="21"/>
          <w:vertAlign w:val="baseline"/>
        </w:rPr>
        <w:t>Climate</w:t>
      </w:r>
      <w:r>
        <w:rPr>
          <w:spacing w:val="14"/>
          <w:sz w:val="21"/>
          <w:vertAlign w:val="baseline"/>
        </w:rPr>
        <w:t> </w:t>
      </w:r>
      <w:r>
        <w:rPr>
          <w:sz w:val="21"/>
          <w:vertAlign w:val="baseline"/>
        </w:rPr>
        <w:t>Survey</w:t>
      </w:r>
      <w:r>
        <w:rPr>
          <w:spacing w:val="15"/>
          <w:sz w:val="21"/>
          <w:vertAlign w:val="baseline"/>
        </w:rPr>
        <w:t> </w:t>
      </w:r>
      <w:r>
        <w:rPr>
          <w:sz w:val="21"/>
          <w:vertAlign w:val="baseline"/>
        </w:rPr>
        <w:t>found</w:t>
      </w:r>
      <w:r>
        <w:rPr>
          <w:spacing w:val="15"/>
          <w:sz w:val="21"/>
          <w:vertAlign w:val="baseline"/>
        </w:rPr>
        <w:t> </w:t>
      </w:r>
      <w:r>
        <w:rPr>
          <w:sz w:val="21"/>
          <w:vertAlign w:val="baseline"/>
        </w:rPr>
        <w:t>that</w:t>
      </w:r>
      <w:r>
        <w:rPr>
          <w:spacing w:val="13"/>
          <w:sz w:val="21"/>
          <w:vertAlign w:val="baseline"/>
        </w:rPr>
        <w:t> </w:t>
      </w:r>
      <w:r>
        <w:rPr>
          <w:sz w:val="21"/>
          <w:vertAlign w:val="baseline"/>
        </w:rPr>
        <w:t>nearly</w:t>
      </w:r>
      <w:r>
        <w:rPr>
          <w:spacing w:val="15"/>
          <w:sz w:val="21"/>
          <w:vertAlign w:val="baseline"/>
        </w:rPr>
        <w:t> </w:t>
      </w:r>
      <w:r>
        <w:rPr>
          <w:sz w:val="21"/>
          <w:vertAlign w:val="baseline"/>
        </w:rPr>
        <w:t>81%</w:t>
      </w:r>
      <w:r>
        <w:rPr>
          <w:spacing w:val="15"/>
          <w:sz w:val="21"/>
          <w:vertAlign w:val="baseline"/>
        </w:rPr>
        <w:t> </w:t>
      </w:r>
      <w:r>
        <w:rPr>
          <w:sz w:val="21"/>
          <w:vertAlign w:val="baseline"/>
        </w:rPr>
        <w:t>of</w:t>
      </w:r>
      <w:r>
        <w:rPr>
          <w:spacing w:val="14"/>
          <w:sz w:val="21"/>
          <w:vertAlign w:val="baseline"/>
        </w:rPr>
        <w:t> </w:t>
      </w:r>
      <w:r>
        <w:rPr>
          <w:sz w:val="21"/>
          <w:vertAlign w:val="baseline"/>
        </w:rPr>
        <w:t>LGBTQ</w:t>
      </w:r>
      <w:r>
        <w:rPr>
          <w:spacing w:val="13"/>
          <w:sz w:val="21"/>
          <w:vertAlign w:val="baseline"/>
        </w:rPr>
        <w:t> </w:t>
      </w:r>
      <w:r>
        <w:rPr>
          <w:sz w:val="21"/>
          <w:vertAlign w:val="baseline"/>
        </w:rPr>
        <w:t>youth</w:t>
      </w:r>
      <w:r>
        <w:rPr>
          <w:spacing w:val="15"/>
          <w:sz w:val="21"/>
          <w:vertAlign w:val="baseline"/>
        </w:rPr>
        <w:t> </w:t>
      </w:r>
      <w:r>
        <w:rPr>
          <w:sz w:val="21"/>
          <w:vertAlign w:val="baseline"/>
        </w:rPr>
        <w:t>heard</w:t>
      </w:r>
      <w:r>
        <w:rPr>
          <w:spacing w:val="14"/>
          <w:sz w:val="21"/>
          <w:vertAlign w:val="baseline"/>
        </w:rPr>
        <w:t> </w:t>
      </w:r>
      <w:r>
        <w:rPr>
          <w:sz w:val="21"/>
          <w:vertAlign w:val="baseline"/>
        </w:rPr>
        <w:t>racist</w:t>
      </w:r>
      <w:r>
        <w:rPr>
          <w:spacing w:val="15"/>
          <w:sz w:val="21"/>
          <w:vertAlign w:val="baseline"/>
        </w:rPr>
        <w:t> </w:t>
      </w:r>
      <w:r>
        <w:rPr>
          <w:sz w:val="21"/>
          <w:vertAlign w:val="baseline"/>
        </w:rPr>
        <w:t>remarks</w:t>
      </w:r>
      <w:r>
        <w:rPr>
          <w:spacing w:val="13"/>
          <w:sz w:val="21"/>
          <w:vertAlign w:val="baseline"/>
        </w:rPr>
        <w:t> </w:t>
      </w:r>
      <w:r>
        <w:rPr>
          <w:spacing w:val="-5"/>
          <w:sz w:val="21"/>
          <w:vertAlign w:val="baseline"/>
        </w:rPr>
        <w:t>in</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2" w:firstLine="0"/>
        <w:jc w:val="both"/>
        <w:rPr>
          <w:sz w:val="21"/>
        </w:rPr>
      </w:pPr>
      <w:r>
        <w:rPr>
          <w:sz w:val="21"/>
        </w:rPr>
        <w:t>school</w:t>
      </w:r>
      <w:r>
        <w:rPr>
          <w:spacing w:val="-12"/>
          <w:sz w:val="21"/>
        </w:rPr>
        <w:t> </w:t>
      </w:r>
      <w:r>
        <w:rPr>
          <w:sz w:val="21"/>
        </w:rPr>
        <w:t>at</w:t>
      </w:r>
      <w:r>
        <w:rPr>
          <w:spacing w:val="-12"/>
          <w:sz w:val="21"/>
        </w:rPr>
        <w:t> </w:t>
      </w:r>
      <w:r>
        <w:rPr>
          <w:sz w:val="21"/>
        </w:rPr>
        <w:t>least</w:t>
      </w:r>
      <w:r>
        <w:rPr>
          <w:spacing w:val="-12"/>
          <w:sz w:val="21"/>
        </w:rPr>
        <w:t> </w:t>
      </w:r>
      <w:r>
        <w:rPr>
          <w:sz w:val="21"/>
        </w:rPr>
        <w:t>“sometimes.”</w:t>
      </w:r>
      <w:r>
        <w:rPr>
          <w:spacing w:val="-12"/>
          <w:sz w:val="21"/>
        </w:rPr>
        <w:t> </w:t>
      </w:r>
      <w:r>
        <w:rPr>
          <w:sz w:val="21"/>
        </w:rPr>
        <w:t>Meanwhile,</w:t>
      </w:r>
      <w:r>
        <w:rPr>
          <w:spacing w:val="-12"/>
          <w:sz w:val="21"/>
        </w:rPr>
        <w:t> </w:t>
      </w:r>
      <w:r>
        <w:rPr>
          <w:sz w:val="21"/>
        </w:rPr>
        <w:t>many</w:t>
      </w:r>
      <w:r>
        <w:rPr>
          <w:spacing w:val="-12"/>
          <w:sz w:val="21"/>
        </w:rPr>
        <w:t> </w:t>
      </w:r>
      <w:r>
        <w:rPr>
          <w:sz w:val="21"/>
        </w:rPr>
        <w:t>QTBIPOC</w:t>
      </w:r>
      <w:r>
        <w:rPr>
          <w:spacing w:val="-12"/>
          <w:sz w:val="21"/>
        </w:rPr>
        <w:t> </w:t>
      </w:r>
      <w:r>
        <w:rPr>
          <w:sz w:val="21"/>
        </w:rPr>
        <w:t>youth</w:t>
      </w:r>
      <w:r>
        <w:rPr>
          <w:spacing w:val="-11"/>
          <w:sz w:val="21"/>
        </w:rPr>
        <w:t> </w:t>
      </w:r>
      <w:r>
        <w:rPr>
          <w:sz w:val="21"/>
        </w:rPr>
        <w:t>have</w:t>
      </w:r>
      <w:r>
        <w:rPr>
          <w:spacing w:val="-12"/>
          <w:sz w:val="21"/>
        </w:rPr>
        <w:t> </w:t>
      </w:r>
      <w:r>
        <w:rPr>
          <w:sz w:val="21"/>
        </w:rPr>
        <w:t>reported</w:t>
      </w:r>
      <w:r>
        <w:rPr>
          <w:spacing w:val="-12"/>
          <w:sz w:val="21"/>
        </w:rPr>
        <w:t> </w:t>
      </w:r>
      <w:r>
        <w:rPr>
          <w:sz w:val="21"/>
        </w:rPr>
        <w:t>being</w:t>
      </w:r>
      <w:r>
        <w:rPr>
          <w:spacing w:val="-12"/>
          <w:sz w:val="21"/>
        </w:rPr>
        <w:t> </w:t>
      </w:r>
      <w:r>
        <w:rPr>
          <w:sz w:val="21"/>
        </w:rPr>
        <w:t>harassed</w:t>
      </w:r>
      <w:r>
        <w:rPr>
          <w:spacing w:val="-12"/>
          <w:sz w:val="21"/>
        </w:rPr>
        <w:t> </w:t>
      </w:r>
      <w:r>
        <w:rPr>
          <w:sz w:val="21"/>
        </w:rPr>
        <w:t>or</w:t>
      </w:r>
      <w:r>
        <w:rPr>
          <w:spacing w:val="-12"/>
          <w:sz w:val="21"/>
        </w:rPr>
        <w:t> </w:t>
      </w:r>
      <w:r>
        <w:rPr>
          <w:sz w:val="21"/>
        </w:rPr>
        <w:t>assaulted</w:t>
      </w:r>
      <w:r>
        <w:rPr>
          <w:spacing w:val="-12"/>
          <w:sz w:val="21"/>
        </w:rPr>
        <w:t> </w:t>
      </w:r>
      <w:r>
        <w:rPr>
          <w:sz w:val="21"/>
        </w:rPr>
        <w:t>based on their race or ethnicity – either at school (over 1 in 2 youth) or online (over 1 in 4).</w:t>
      </w:r>
      <w:hyperlink w:history="true" w:anchor="_bookmark119">
        <w:r>
          <w:rPr>
            <w:sz w:val="21"/>
            <w:vertAlign w:val="superscript"/>
          </w:rPr>
          <w:t>18</w:t>
        </w:r>
      </w:hyperlink>
    </w:p>
    <w:p>
      <w:pPr>
        <w:spacing w:line="276" w:lineRule="auto" w:before="239"/>
        <w:ind w:left="2033" w:right="237" w:firstLine="0"/>
        <w:jc w:val="both"/>
        <w:rPr>
          <w:sz w:val="21"/>
        </w:rPr>
      </w:pPr>
      <w:r>
        <w:rPr/>
        <w:drawing>
          <wp:anchor distT="0" distB="0" distL="0" distR="0" allowOverlap="1" layoutInCell="1" locked="0" behindDoc="0" simplePos="0" relativeHeight="15760384">
            <wp:simplePos x="0" y="0"/>
            <wp:positionH relativeFrom="page">
              <wp:posOffset>825500</wp:posOffset>
            </wp:positionH>
            <wp:positionV relativeFrom="paragraph">
              <wp:posOffset>193944</wp:posOffset>
            </wp:positionV>
            <wp:extent cx="950432" cy="807437"/>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177" cstate="print"/>
                    <a:stretch>
                      <a:fillRect/>
                    </a:stretch>
                  </pic:blipFill>
                  <pic:spPr>
                    <a:xfrm>
                      <a:off x="0" y="0"/>
                      <a:ext cx="950432" cy="807437"/>
                    </a:xfrm>
                    <a:prstGeom prst="rect">
                      <a:avLst/>
                    </a:prstGeom>
                  </pic:spPr>
                </pic:pic>
              </a:graphicData>
            </a:graphic>
          </wp:anchor>
        </w:drawing>
      </w:r>
      <w:r>
        <w:rPr>
          <w:sz w:val="21"/>
        </w:rPr>
        <w:t>Racism is not just interpersonal. Systems such as housing and employment create and maintain generational inequities in income and health, leading to minority stress. Mental healthcare and social service systems are not exempt. Research shows that BIPOC youth across the board do not get the mental healthcare they need more often than their white peers, partially due to barriers like cost, insurance, parent and youth work or childcare responsibilities, and transportation. Importantly, youth may also avoid or distrust providers</w:t>
      </w:r>
    </w:p>
    <w:p>
      <w:pPr>
        <w:spacing w:line="276" w:lineRule="auto" w:before="0"/>
        <w:ind w:left="463" w:right="238" w:firstLine="0"/>
        <w:jc w:val="both"/>
        <w:rPr>
          <w:sz w:val="21"/>
        </w:rPr>
      </w:pPr>
      <w:r>
        <w:rPr>
          <w:sz w:val="21"/>
        </w:rPr>
        <w:t>who use Eurocentric theories and treatment models that focus on the individual, “other” non-white clients’ values or experiences, and ignore or misaddress issues of power, culture, poverty, race, and racism</w:t>
      </w:r>
      <w:hyperlink w:history="true" w:anchor="_bookmark120">
        <w:r>
          <w:rPr>
            <w:sz w:val="21"/>
          </w:rPr>
          <w:t>.</w:t>
        </w:r>
        <w:r>
          <w:rPr>
            <w:sz w:val="21"/>
            <w:vertAlign w:val="superscript"/>
          </w:rPr>
          <w:t>19</w:t>
        </w:r>
      </w:hyperlink>
      <w:r>
        <w:rPr>
          <w:sz w:val="21"/>
          <w:vertAlign w:val="baseline"/>
        </w:rPr>
        <w:t> For example, mounting evidence shows that Black and Latine male youth are significantly more likely than their white peers to be misdiagnosed with disruptive behavioral disorders rather than trauma, ADHD, or autism, partially due to clinician bias</w:t>
      </w:r>
      <w:hyperlink w:history="true" w:anchor="_bookmark121">
        <w:r>
          <w:rPr>
            <w:sz w:val="21"/>
            <w:vertAlign w:val="baseline"/>
          </w:rPr>
          <w:t>.</w:t>
        </w:r>
        <w:r>
          <w:rPr>
            <w:sz w:val="21"/>
            <w:vertAlign w:val="superscript"/>
          </w:rPr>
          <w:t>20</w:t>
        </w:r>
      </w:hyperlink>
    </w:p>
    <w:p>
      <w:pPr>
        <w:spacing w:line="276" w:lineRule="auto" w:before="240"/>
        <w:ind w:left="463" w:right="240" w:firstLine="0"/>
        <w:jc w:val="both"/>
        <w:rPr>
          <w:sz w:val="21"/>
        </w:rPr>
      </w:pPr>
      <w:r>
        <w:rPr>
          <w:sz w:val="21"/>
        </w:rPr>
        <w:t>In</w:t>
      </w:r>
      <w:r>
        <w:rPr>
          <w:spacing w:val="-3"/>
          <w:sz w:val="21"/>
        </w:rPr>
        <w:t> </w:t>
      </w:r>
      <w:r>
        <w:rPr>
          <w:sz w:val="21"/>
        </w:rPr>
        <w:t>addition</w:t>
      </w:r>
      <w:r>
        <w:rPr>
          <w:spacing w:val="-3"/>
          <w:sz w:val="21"/>
        </w:rPr>
        <w:t> </w:t>
      </w:r>
      <w:r>
        <w:rPr>
          <w:sz w:val="21"/>
        </w:rPr>
        <w:t>to</w:t>
      </w:r>
      <w:r>
        <w:rPr>
          <w:spacing w:val="-5"/>
          <w:sz w:val="21"/>
        </w:rPr>
        <w:t> </w:t>
      </w:r>
      <w:r>
        <w:rPr>
          <w:sz w:val="21"/>
        </w:rPr>
        <w:t>the</w:t>
      </w:r>
      <w:r>
        <w:rPr>
          <w:spacing w:val="-3"/>
          <w:sz w:val="21"/>
        </w:rPr>
        <w:t> </w:t>
      </w:r>
      <w:r>
        <w:rPr>
          <w:sz w:val="21"/>
        </w:rPr>
        <w:t>double</w:t>
      </w:r>
      <w:r>
        <w:rPr>
          <w:spacing w:val="-3"/>
          <w:sz w:val="21"/>
        </w:rPr>
        <w:t> </w:t>
      </w:r>
      <w:r>
        <w:rPr>
          <w:sz w:val="21"/>
        </w:rPr>
        <w:t>burden</w:t>
      </w:r>
      <w:r>
        <w:rPr>
          <w:spacing w:val="-3"/>
          <w:sz w:val="21"/>
        </w:rPr>
        <w:t> </w:t>
      </w:r>
      <w:r>
        <w:rPr>
          <w:sz w:val="21"/>
        </w:rPr>
        <w:t>of</w:t>
      </w:r>
      <w:r>
        <w:rPr>
          <w:spacing w:val="-3"/>
          <w:sz w:val="21"/>
        </w:rPr>
        <w:t> </w:t>
      </w:r>
      <w:r>
        <w:rPr>
          <w:sz w:val="21"/>
        </w:rPr>
        <w:t>everyday</w:t>
      </w:r>
      <w:r>
        <w:rPr>
          <w:spacing w:val="-3"/>
          <w:sz w:val="21"/>
        </w:rPr>
        <w:t> </w:t>
      </w:r>
      <w:r>
        <w:rPr>
          <w:sz w:val="21"/>
        </w:rPr>
        <w:t>oppression,</w:t>
      </w:r>
      <w:r>
        <w:rPr>
          <w:spacing w:val="-2"/>
          <w:sz w:val="21"/>
        </w:rPr>
        <w:t> </w:t>
      </w:r>
      <w:r>
        <w:rPr>
          <w:sz w:val="21"/>
        </w:rPr>
        <w:t>some</w:t>
      </w:r>
      <w:r>
        <w:rPr>
          <w:spacing w:val="-3"/>
          <w:sz w:val="21"/>
        </w:rPr>
        <w:t> </w:t>
      </w:r>
      <w:r>
        <w:rPr>
          <w:sz w:val="21"/>
        </w:rPr>
        <w:t>QTBIPOC</w:t>
      </w:r>
      <w:r>
        <w:rPr>
          <w:spacing w:val="-3"/>
          <w:sz w:val="21"/>
        </w:rPr>
        <w:t> </w:t>
      </w:r>
      <w:r>
        <w:rPr>
          <w:sz w:val="21"/>
        </w:rPr>
        <w:t>people</w:t>
      </w:r>
      <w:r>
        <w:rPr>
          <w:spacing w:val="-3"/>
          <w:sz w:val="21"/>
        </w:rPr>
        <w:t> </w:t>
      </w:r>
      <w:r>
        <w:rPr>
          <w:sz w:val="21"/>
        </w:rPr>
        <w:t>report</w:t>
      </w:r>
      <w:r>
        <w:rPr>
          <w:spacing w:val="-3"/>
          <w:sz w:val="21"/>
        </w:rPr>
        <w:t> </w:t>
      </w:r>
      <w:r>
        <w:rPr>
          <w:sz w:val="21"/>
        </w:rPr>
        <w:t>feeling</w:t>
      </w:r>
      <w:r>
        <w:rPr>
          <w:spacing w:val="-3"/>
          <w:sz w:val="21"/>
        </w:rPr>
        <w:t> </w:t>
      </w:r>
      <w:r>
        <w:rPr>
          <w:sz w:val="21"/>
        </w:rPr>
        <w:t>doubly</w:t>
      </w:r>
      <w:r>
        <w:rPr>
          <w:spacing w:val="-3"/>
          <w:sz w:val="21"/>
        </w:rPr>
        <w:t> </w:t>
      </w:r>
      <w:r>
        <w:rPr>
          <w:sz w:val="21"/>
        </w:rPr>
        <w:t>isolated. That is, they feel unseen and unprotected in both LGBTQ and racial/ethnic affinity spaces</w:t>
      </w:r>
      <w:hyperlink w:history="true" w:anchor="_bookmark122">
        <w:r>
          <w:rPr>
            <w:sz w:val="21"/>
          </w:rPr>
          <w:t>.</w:t>
        </w:r>
        <w:r>
          <w:rPr>
            <w:sz w:val="21"/>
            <w:vertAlign w:val="superscript"/>
          </w:rPr>
          <w:t>21</w:t>
        </w:r>
      </w:hyperlink>
      <w:r>
        <w:rPr>
          <w:sz w:val="21"/>
          <w:vertAlign w:val="baseline"/>
        </w:rPr>
        <w:t> One well-known example</w:t>
      </w:r>
      <w:r>
        <w:rPr>
          <w:spacing w:val="-10"/>
          <w:sz w:val="21"/>
          <w:vertAlign w:val="baseline"/>
        </w:rPr>
        <w:t> </w:t>
      </w:r>
      <w:r>
        <w:rPr>
          <w:sz w:val="21"/>
          <w:vertAlign w:val="baseline"/>
        </w:rPr>
        <w:t>is</w:t>
      </w:r>
      <w:r>
        <w:rPr>
          <w:spacing w:val="-11"/>
          <w:sz w:val="21"/>
          <w:vertAlign w:val="baseline"/>
        </w:rPr>
        <w:t> </w:t>
      </w:r>
      <w:r>
        <w:rPr>
          <w:sz w:val="21"/>
          <w:vertAlign w:val="baseline"/>
        </w:rPr>
        <w:t>the</w:t>
      </w:r>
      <w:r>
        <w:rPr>
          <w:spacing w:val="-12"/>
          <w:sz w:val="21"/>
          <w:vertAlign w:val="baseline"/>
        </w:rPr>
        <w:t> </w:t>
      </w:r>
      <w:r>
        <w:rPr>
          <w:sz w:val="21"/>
          <w:vertAlign w:val="baseline"/>
        </w:rPr>
        <w:t>“no</w:t>
      </w:r>
      <w:r>
        <w:rPr>
          <w:spacing w:val="-11"/>
          <w:sz w:val="21"/>
          <w:vertAlign w:val="baseline"/>
        </w:rPr>
        <w:t> </w:t>
      </w:r>
      <w:r>
        <w:rPr>
          <w:sz w:val="21"/>
          <w:vertAlign w:val="baseline"/>
        </w:rPr>
        <w:t>fats,</w:t>
      </w:r>
      <w:r>
        <w:rPr>
          <w:spacing w:val="-10"/>
          <w:sz w:val="21"/>
          <w:vertAlign w:val="baseline"/>
        </w:rPr>
        <w:t> </w:t>
      </w:r>
      <w:r>
        <w:rPr>
          <w:sz w:val="21"/>
          <w:vertAlign w:val="baseline"/>
        </w:rPr>
        <w:t>no</w:t>
      </w:r>
      <w:r>
        <w:rPr>
          <w:spacing w:val="-11"/>
          <w:sz w:val="21"/>
          <w:vertAlign w:val="baseline"/>
        </w:rPr>
        <w:t> </w:t>
      </w:r>
      <w:r>
        <w:rPr>
          <w:sz w:val="21"/>
          <w:vertAlign w:val="baseline"/>
        </w:rPr>
        <w:t>femmes,</w:t>
      </w:r>
      <w:r>
        <w:rPr>
          <w:spacing w:val="-10"/>
          <w:sz w:val="21"/>
          <w:vertAlign w:val="baseline"/>
        </w:rPr>
        <w:t> </w:t>
      </w:r>
      <w:r>
        <w:rPr>
          <w:sz w:val="21"/>
          <w:vertAlign w:val="baseline"/>
        </w:rPr>
        <w:t>no</w:t>
      </w:r>
      <w:r>
        <w:rPr>
          <w:spacing w:val="-11"/>
          <w:sz w:val="21"/>
          <w:vertAlign w:val="baseline"/>
        </w:rPr>
        <w:t> </w:t>
      </w:r>
      <w:r>
        <w:rPr>
          <w:sz w:val="21"/>
          <w:vertAlign w:val="baseline"/>
        </w:rPr>
        <w:t>Asians”</w:t>
      </w:r>
      <w:r>
        <w:rPr>
          <w:spacing w:val="-11"/>
          <w:sz w:val="21"/>
          <w:vertAlign w:val="baseline"/>
        </w:rPr>
        <w:t> </w:t>
      </w:r>
      <w:r>
        <w:rPr>
          <w:sz w:val="21"/>
          <w:vertAlign w:val="baseline"/>
        </w:rPr>
        <w:t>line</w:t>
      </w:r>
      <w:r>
        <w:rPr>
          <w:spacing w:val="-10"/>
          <w:sz w:val="21"/>
          <w:vertAlign w:val="baseline"/>
        </w:rPr>
        <w:t> </w:t>
      </w:r>
      <w:r>
        <w:rPr>
          <w:sz w:val="21"/>
          <w:vertAlign w:val="baseline"/>
        </w:rPr>
        <w:t>that</w:t>
      </w:r>
      <w:r>
        <w:rPr>
          <w:spacing w:val="-10"/>
          <w:sz w:val="21"/>
          <w:vertAlign w:val="baseline"/>
        </w:rPr>
        <w:t> </w:t>
      </w:r>
      <w:r>
        <w:rPr>
          <w:sz w:val="21"/>
          <w:vertAlign w:val="baseline"/>
        </w:rPr>
        <w:t>Asian</w:t>
      </w:r>
      <w:r>
        <w:rPr>
          <w:spacing w:val="-10"/>
          <w:sz w:val="21"/>
          <w:vertAlign w:val="baseline"/>
        </w:rPr>
        <w:t> </w:t>
      </w:r>
      <w:r>
        <w:rPr>
          <w:sz w:val="21"/>
          <w:vertAlign w:val="baseline"/>
        </w:rPr>
        <w:t>men</w:t>
      </w:r>
      <w:r>
        <w:rPr>
          <w:spacing w:val="-10"/>
          <w:sz w:val="21"/>
          <w:vertAlign w:val="baseline"/>
        </w:rPr>
        <w:t> </w:t>
      </w:r>
      <w:r>
        <w:rPr>
          <w:sz w:val="21"/>
          <w:vertAlign w:val="baseline"/>
        </w:rPr>
        <w:t>who</w:t>
      </w:r>
      <w:r>
        <w:rPr>
          <w:spacing w:val="-12"/>
          <w:sz w:val="21"/>
          <w:vertAlign w:val="baseline"/>
        </w:rPr>
        <w:t> </w:t>
      </w:r>
      <w:r>
        <w:rPr>
          <w:sz w:val="21"/>
          <w:vertAlign w:val="baseline"/>
        </w:rPr>
        <w:t>date</w:t>
      </w:r>
      <w:r>
        <w:rPr>
          <w:spacing w:val="-10"/>
          <w:sz w:val="21"/>
          <w:vertAlign w:val="baseline"/>
        </w:rPr>
        <w:t> </w:t>
      </w:r>
      <w:r>
        <w:rPr>
          <w:sz w:val="21"/>
          <w:vertAlign w:val="baseline"/>
        </w:rPr>
        <w:t>men</w:t>
      </w:r>
      <w:r>
        <w:rPr>
          <w:spacing w:val="-12"/>
          <w:sz w:val="21"/>
          <w:vertAlign w:val="baseline"/>
        </w:rPr>
        <w:t> </w:t>
      </w:r>
      <w:r>
        <w:rPr>
          <w:sz w:val="21"/>
          <w:vertAlign w:val="baseline"/>
        </w:rPr>
        <w:t>report</w:t>
      </w:r>
      <w:r>
        <w:rPr>
          <w:spacing w:val="-10"/>
          <w:sz w:val="21"/>
          <w:vertAlign w:val="baseline"/>
        </w:rPr>
        <w:t> </w:t>
      </w:r>
      <w:r>
        <w:rPr>
          <w:sz w:val="21"/>
          <w:vertAlign w:val="baseline"/>
        </w:rPr>
        <w:t>encountering</w:t>
      </w:r>
      <w:r>
        <w:rPr>
          <w:spacing w:val="-11"/>
          <w:sz w:val="21"/>
          <w:vertAlign w:val="baseline"/>
        </w:rPr>
        <w:t> </w:t>
      </w:r>
      <w:r>
        <w:rPr>
          <w:sz w:val="21"/>
          <w:vertAlign w:val="baseline"/>
        </w:rPr>
        <w:t>on</w:t>
      </w:r>
      <w:r>
        <w:rPr>
          <w:spacing w:val="-10"/>
          <w:sz w:val="21"/>
          <w:vertAlign w:val="baseline"/>
        </w:rPr>
        <w:t> </w:t>
      </w:r>
      <w:r>
        <w:rPr>
          <w:sz w:val="21"/>
          <w:vertAlign w:val="baseline"/>
        </w:rPr>
        <w:t>dating apps, on top of the stigma that they face in cultural affinity spaces</w:t>
      </w:r>
      <w:hyperlink w:history="true" w:anchor="_bookmark123">
        <w:r>
          <w:rPr>
            <w:sz w:val="21"/>
            <w:vertAlign w:val="baseline"/>
          </w:rPr>
          <w:t>.</w:t>
        </w:r>
        <w:r>
          <w:rPr>
            <w:sz w:val="21"/>
            <w:vertAlign w:val="superscript"/>
          </w:rPr>
          <w:t>22</w:t>
        </w:r>
      </w:hyperlink>
      <w:r>
        <w:rPr>
          <w:sz w:val="21"/>
          <w:vertAlign w:val="baseline"/>
        </w:rPr>
        <w:t> Double isolation is also more common among youth who have limited access to LGBTQ and racial/ethnic spaces, such as youth in the juvenile justice system, the child welfare system, or rural areas.</w:t>
      </w:r>
    </w:p>
    <w:p>
      <w:pPr>
        <w:spacing w:line="276" w:lineRule="auto" w:before="240"/>
        <w:ind w:left="463" w:right="241" w:firstLine="0"/>
        <w:jc w:val="both"/>
        <w:rPr>
          <w:sz w:val="21"/>
        </w:rPr>
      </w:pPr>
      <w:r>
        <w:rPr>
          <w:sz w:val="21"/>
        </w:rPr>
        <w:t>Given</w:t>
      </w:r>
      <w:r>
        <w:rPr>
          <w:spacing w:val="-7"/>
          <w:sz w:val="21"/>
        </w:rPr>
        <w:t> </w:t>
      </w:r>
      <w:r>
        <w:rPr>
          <w:sz w:val="21"/>
        </w:rPr>
        <w:t>the</w:t>
      </w:r>
      <w:r>
        <w:rPr>
          <w:spacing w:val="-7"/>
          <w:sz w:val="21"/>
        </w:rPr>
        <w:t> </w:t>
      </w:r>
      <w:r>
        <w:rPr>
          <w:sz w:val="21"/>
        </w:rPr>
        <w:t>everyday,</w:t>
      </w:r>
      <w:r>
        <w:rPr>
          <w:spacing w:val="-6"/>
          <w:sz w:val="21"/>
        </w:rPr>
        <w:t> </w:t>
      </w:r>
      <w:r>
        <w:rPr>
          <w:sz w:val="21"/>
        </w:rPr>
        <w:t>systemic,</w:t>
      </w:r>
      <w:r>
        <w:rPr>
          <w:spacing w:val="-6"/>
          <w:sz w:val="21"/>
        </w:rPr>
        <w:t> </w:t>
      </w:r>
      <w:r>
        <w:rPr>
          <w:sz w:val="21"/>
        </w:rPr>
        <w:t>and</w:t>
      </w:r>
      <w:r>
        <w:rPr>
          <w:spacing w:val="-7"/>
          <w:sz w:val="21"/>
        </w:rPr>
        <w:t> </w:t>
      </w:r>
      <w:r>
        <w:rPr>
          <w:sz w:val="21"/>
        </w:rPr>
        <w:t>isolating</w:t>
      </w:r>
      <w:r>
        <w:rPr>
          <w:spacing w:val="-7"/>
          <w:sz w:val="21"/>
        </w:rPr>
        <w:t> </w:t>
      </w:r>
      <w:r>
        <w:rPr>
          <w:sz w:val="21"/>
        </w:rPr>
        <w:t>nature</w:t>
      </w:r>
      <w:r>
        <w:rPr>
          <w:spacing w:val="-7"/>
          <w:sz w:val="21"/>
        </w:rPr>
        <w:t> </w:t>
      </w:r>
      <w:r>
        <w:rPr>
          <w:sz w:val="21"/>
        </w:rPr>
        <w:t>of</w:t>
      </w:r>
      <w:r>
        <w:rPr>
          <w:spacing w:val="-7"/>
          <w:sz w:val="21"/>
        </w:rPr>
        <w:t> </w:t>
      </w:r>
      <w:r>
        <w:rPr>
          <w:sz w:val="21"/>
        </w:rPr>
        <w:t>intersectional</w:t>
      </w:r>
      <w:r>
        <w:rPr>
          <w:spacing w:val="-7"/>
          <w:sz w:val="21"/>
        </w:rPr>
        <w:t> </w:t>
      </w:r>
      <w:r>
        <w:rPr>
          <w:sz w:val="21"/>
        </w:rPr>
        <w:t>oppression,</w:t>
      </w:r>
      <w:r>
        <w:rPr>
          <w:spacing w:val="-6"/>
          <w:sz w:val="21"/>
        </w:rPr>
        <w:t> </w:t>
      </w:r>
      <w:r>
        <w:rPr>
          <w:sz w:val="21"/>
        </w:rPr>
        <w:t>it</w:t>
      </w:r>
      <w:r>
        <w:rPr>
          <w:spacing w:val="-6"/>
          <w:sz w:val="21"/>
        </w:rPr>
        <w:t> </w:t>
      </w:r>
      <w:r>
        <w:rPr>
          <w:sz w:val="21"/>
        </w:rPr>
        <w:t>is</w:t>
      </w:r>
      <w:r>
        <w:rPr>
          <w:spacing w:val="-7"/>
          <w:sz w:val="21"/>
        </w:rPr>
        <w:t> </w:t>
      </w:r>
      <w:r>
        <w:rPr>
          <w:sz w:val="21"/>
        </w:rPr>
        <w:t>not</w:t>
      </w:r>
      <w:r>
        <w:rPr>
          <w:spacing w:val="-6"/>
          <w:sz w:val="21"/>
        </w:rPr>
        <w:t> </w:t>
      </w:r>
      <w:r>
        <w:rPr>
          <w:sz w:val="21"/>
        </w:rPr>
        <w:t>surprising</w:t>
      </w:r>
      <w:r>
        <w:rPr>
          <w:spacing w:val="-6"/>
          <w:sz w:val="21"/>
        </w:rPr>
        <w:t> </w:t>
      </w:r>
      <w:r>
        <w:rPr>
          <w:sz w:val="21"/>
        </w:rPr>
        <w:t>that</w:t>
      </w:r>
      <w:r>
        <w:rPr>
          <w:spacing w:val="-6"/>
          <w:sz w:val="21"/>
        </w:rPr>
        <w:t> </w:t>
      </w:r>
      <w:r>
        <w:rPr>
          <w:sz w:val="21"/>
        </w:rPr>
        <w:t>research shows that QTBIPOC youth have elevated rates of anxiety, depression, suicidality, school discipline, and substance use. These challenges can be seen as a human response to long-term exposure to multiple forms of traumatic discrimination.</w:t>
      </w:r>
    </w:p>
    <w:p>
      <w:pPr>
        <w:spacing w:line="276" w:lineRule="auto" w:before="241"/>
        <w:ind w:left="463" w:right="238" w:firstLine="0"/>
        <w:jc w:val="both"/>
        <w:rPr>
          <w:sz w:val="21"/>
        </w:rPr>
      </w:pPr>
      <w:r>
        <w:rPr>
          <w:sz w:val="21"/>
        </w:rPr>
        <w:t>Given</w:t>
      </w:r>
      <w:r>
        <w:rPr>
          <w:spacing w:val="-10"/>
          <w:sz w:val="21"/>
        </w:rPr>
        <w:t> </w:t>
      </w:r>
      <w:r>
        <w:rPr>
          <w:sz w:val="21"/>
        </w:rPr>
        <w:t>all</w:t>
      </w:r>
      <w:r>
        <w:rPr>
          <w:spacing w:val="-10"/>
          <w:sz w:val="21"/>
        </w:rPr>
        <w:t> </w:t>
      </w:r>
      <w:r>
        <w:rPr>
          <w:sz w:val="21"/>
        </w:rPr>
        <w:t>of</w:t>
      </w:r>
      <w:r>
        <w:rPr>
          <w:spacing w:val="-11"/>
          <w:sz w:val="21"/>
        </w:rPr>
        <w:t> </w:t>
      </w:r>
      <w:r>
        <w:rPr>
          <w:sz w:val="21"/>
        </w:rPr>
        <w:t>these</w:t>
      </w:r>
      <w:r>
        <w:rPr>
          <w:spacing w:val="-10"/>
          <w:sz w:val="21"/>
        </w:rPr>
        <w:t> </w:t>
      </w:r>
      <w:r>
        <w:rPr>
          <w:sz w:val="21"/>
        </w:rPr>
        <w:t>unique</w:t>
      </w:r>
      <w:r>
        <w:rPr>
          <w:spacing w:val="-10"/>
          <w:sz w:val="21"/>
        </w:rPr>
        <w:t> </w:t>
      </w:r>
      <w:r>
        <w:rPr>
          <w:sz w:val="21"/>
        </w:rPr>
        <w:t>challenges,</w:t>
      </w:r>
      <w:r>
        <w:rPr>
          <w:spacing w:val="-10"/>
          <w:sz w:val="21"/>
        </w:rPr>
        <w:t> </w:t>
      </w:r>
      <w:r>
        <w:rPr>
          <w:sz w:val="21"/>
        </w:rPr>
        <w:t>allies</w:t>
      </w:r>
      <w:r>
        <w:rPr>
          <w:spacing w:val="-10"/>
          <w:sz w:val="21"/>
        </w:rPr>
        <w:t> </w:t>
      </w:r>
      <w:r>
        <w:rPr>
          <w:sz w:val="21"/>
        </w:rPr>
        <w:t>in</w:t>
      </w:r>
      <w:r>
        <w:rPr>
          <w:spacing w:val="-10"/>
          <w:sz w:val="21"/>
        </w:rPr>
        <w:t> </w:t>
      </w:r>
      <w:r>
        <w:rPr>
          <w:sz w:val="21"/>
        </w:rPr>
        <w:t>mental</w:t>
      </w:r>
      <w:r>
        <w:rPr>
          <w:spacing w:val="-10"/>
          <w:sz w:val="21"/>
        </w:rPr>
        <w:t> </w:t>
      </w:r>
      <w:r>
        <w:rPr>
          <w:sz w:val="21"/>
        </w:rPr>
        <w:t>healthcare,</w:t>
      </w:r>
      <w:r>
        <w:rPr>
          <w:spacing w:val="-10"/>
          <w:sz w:val="21"/>
        </w:rPr>
        <w:t> </w:t>
      </w:r>
      <w:r>
        <w:rPr>
          <w:sz w:val="21"/>
        </w:rPr>
        <w:t>youth</w:t>
      </w:r>
      <w:r>
        <w:rPr>
          <w:spacing w:val="-12"/>
          <w:sz w:val="21"/>
        </w:rPr>
        <w:t> </w:t>
      </w:r>
      <w:r>
        <w:rPr>
          <w:sz w:val="21"/>
        </w:rPr>
        <w:t>services,</w:t>
      </w:r>
      <w:r>
        <w:rPr>
          <w:spacing w:val="-10"/>
          <w:sz w:val="21"/>
        </w:rPr>
        <w:t> </w:t>
      </w:r>
      <w:r>
        <w:rPr>
          <w:sz w:val="21"/>
        </w:rPr>
        <w:t>and</w:t>
      </w:r>
      <w:r>
        <w:rPr>
          <w:spacing w:val="-10"/>
          <w:sz w:val="21"/>
        </w:rPr>
        <w:t> </w:t>
      </w:r>
      <w:r>
        <w:rPr>
          <w:sz w:val="21"/>
        </w:rPr>
        <w:t>policy</w:t>
      </w:r>
      <w:r>
        <w:rPr>
          <w:spacing w:val="-10"/>
          <w:sz w:val="21"/>
        </w:rPr>
        <w:t> </w:t>
      </w:r>
      <w:r>
        <w:rPr>
          <w:sz w:val="21"/>
        </w:rPr>
        <w:t>should</w:t>
      </w:r>
      <w:r>
        <w:rPr>
          <w:spacing w:val="-10"/>
          <w:sz w:val="21"/>
        </w:rPr>
        <w:t> </w:t>
      </w:r>
      <w:r>
        <w:rPr>
          <w:sz w:val="21"/>
        </w:rPr>
        <w:t>recognize</w:t>
      </w:r>
      <w:r>
        <w:rPr>
          <w:spacing w:val="-10"/>
          <w:sz w:val="21"/>
        </w:rPr>
        <w:t> </w:t>
      </w:r>
      <w:r>
        <w:rPr>
          <w:sz w:val="21"/>
        </w:rPr>
        <w:t>that QTBIPOC</w:t>
      </w:r>
      <w:r>
        <w:rPr>
          <w:spacing w:val="-9"/>
          <w:sz w:val="21"/>
        </w:rPr>
        <w:t> </w:t>
      </w:r>
      <w:r>
        <w:rPr>
          <w:sz w:val="21"/>
        </w:rPr>
        <w:t>youth</w:t>
      </w:r>
      <w:r>
        <w:rPr>
          <w:spacing w:val="-9"/>
          <w:sz w:val="21"/>
        </w:rPr>
        <w:t> </w:t>
      </w:r>
      <w:r>
        <w:rPr>
          <w:sz w:val="21"/>
        </w:rPr>
        <w:t>may</w:t>
      </w:r>
      <w:r>
        <w:rPr>
          <w:spacing w:val="-10"/>
          <w:sz w:val="21"/>
        </w:rPr>
        <w:t> </w:t>
      </w:r>
      <w:r>
        <w:rPr>
          <w:sz w:val="21"/>
        </w:rPr>
        <w:t>not</w:t>
      </w:r>
      <w:r>
        <w:rPr>
          <w:spacing w:val="-10"/>
          <w:sz w:val="21"/>
        </w:rPr>
        <w:t> </w:t>
      </w:r>
      <w:r>
        <w:rPr>
          <w:sz w:val="21"/>
        </w:rPr>
        <w:t>automatically</w:t>
      </w:r>
      <w:r>
        <w:rPr>
          <w:spacing w:val="-9"/>
          <w:sz w:val="21"/>
        </w:rPr>
        <w:t> </w:t>
      </w:r>
      <w:r>
        <w:rPr>
          <w:sz w:val="21"/>
        </w:rPr>
        <w:t>feel</w:t>
      </w:r>
      <w:r>
        <w:rPr>
          <w:spacing w:val="-9"/>
          <w:sz w:val="21"/>
        </w:rPr>
        <w:t> </w:t>
      </w:r>
      <w:r>
        <w:rPr>
          <w:sz w:val="21"/>
        </w:rPr>
        <w:t>safe</w:t>
      </w:r>
      <w:r>
        <w:rPr>
          <w:spacing w:val="-9"/>
          <w:sz w:val="21"/>
        </w:rPr>
        <w:t> </w:t>
      </w:r>
      <w:r>
        <w:rPr>
          <w:sz w:val="21"/>
        </w:rPr>
        <w:t>simply</w:t>
      </w:r>
      <w:r>
        <w:rPr>
          <w:spacing w:val="-9"/>
          <w:sz w:val="21"/>
        </w:rPr>
        <w:t> </w:t>
      </w:r>
      <w:r>
        <w:rPr>
          <w:sz w:val="21"/>
        </w:rPr>
        <w:t>because</w:t>
      </w:r>
      <w:r>
        <w:rPr>
          <w:spacing w:val="-9"/>
          <w:sz w:val="21"/>
        </w:rPr>
        <w:t> </w:t>
      </w:r>
      <w:r>
        <w:rPr>
          <w:sz w:val="21"/>
        </w:rPr>
        <w:t>a</w:t>
      </w:r>
      <w:r>
        <w:rPr>
          <w:spacing w:val="-10"/>
          <w:sz w:val="21"/>
        </w:rPr>
        <w:t> </w:t>
      </w:r>
      <w:r>
        <w:rPr>
          <w:sz w:val="21"/>
        </w:rPr>
        <w:t>support</w:t>
      </w:r>
      <w:r>
        <w:rPr>
          <w:spacing w:val="-8"/>
          <w:sz w:val="21"/>
        </w:rPr>
        <w:t> </w:t>
      </w:r>
      <w:r>
        <w:rPr>
          <w:sz w:val="21"/>
        </w:rPr>
        <w:t>effort</w:t>
      </w:r>
      <w:r>
        <w:rPr>
          <w:spacing w:val="-8"/>
          <w:sz w:val="21"/>
        </w:rPr>
        <w:t> </w:t>
      </w:r>
      <w:r>
        <w:rPr>
          <w:sz w:val="21"/>
        </w:rPr>
        <w:t>is</w:t>
      </w:r>
      <w:r>
        <w:rPr>
          <w:spacing w:val="-11"/>
          <w:sz w:val="21"/>
        </w:rPr>
        <w:t> </w:t>
      </w:r>
      <w:r>
        <w:rPr>
          <w:sz w:val="21"/>
        </w:rPr>
        <w:t>LGBTQ-friendly.</w:t>
      </w:r>
      <w:r>
        <w:rPr>
          <w:spacing w:val="-9"/>
          <w:sz w:val="21"/>
        </w:rPr>
        <w:t> </w:t>
      </w:r>
      <w:r>
        <w:rPr>
          <w:sz w:val="21"/>
        </w:rPr>
        <w:t>Instead,</w:t>
      </w:r>
      <w:r>
        <w:rPr>
          <w:spacing w:val="-10"/>
          <w:sz w:val="21"/>
        </w:rPr>
        <w:t> </w:t>
      </w:r>
      <w:r>
        <w:rPr>
          <w:sz w:val="21"/>
        </w:rPr>
        <w:t>allies should intentionally build safe spaces for QTBIPOC youth by 1) openly discussing how racialized inequities and experiences may impact people differently and 2) shaping services around ongoing feedback from QTBIPOC youth about their own goals and needs. Allies should also proactively respond to possible distrust of white- majority LGBTQ services by 1) recruiting, meaningfully compensating, and retaining BIPOC staff; 2) openly discussing and acting against racism that comes up in the organization, community, and news; and 3) building relationships with communities where BIPOC youth are. Finally, allies should invest resources in addressing structural barriers, like cost, scheduling availability, or transportation access, so that more QTBIPOC youth can access services.</w:t>
      </w:r>
    </w:p>
    <w:p>
      <w:pPr>
        <w:spacing w:line="276" w:lineRule="auto" w:before="240"/>
        <w:ind w:left="463" w:right="240" w:firstLine="0"/>
        <w:jc w:val="both"/>
        <w:rPr>
          <w:sz w:val="21"/>
        </w:rPr>
      </w:pPr>
      <w:r>
        <w:rPr>
          <w:sz w:val="21"/>
        </w:rPr>
        <w:t>Although QTBIPOC youth face concerning mental health disparities, they also have many personal, family, and cultural strengths. Their intersectional identities do not just expose them to harm; they are great sources of connection, coping, and pride – and supporters should tap into and celebrate them.</w:t>
      </w:r>
    </w:p>
    <w:p>
      <w:pPr>
        <w:spacing w:line="276" w:lineRule="auto" w:before="241"/>
        <w:ind w:left="463" w:right="239" w:firstLine="0"/>
        <w:jc w:val="both"/>
        <w:rPr>
          <w:sz w:val="21"/>
        </w:rPr>
      </w:pPr>
      <w:r>
        <w:rPr>
          <w:sz w:val="21"/>
        </w:rPr>
        <w:t>Current research highlights multiple tools that QTBIPOC youth use to cope with discrimination: chosen family and community-building, self-advocacy, and cultivating ethnic or racial identity pride</w:t>
      </w:r>
      <w:hyperlink w:history="true" w:anchor="_bookmark124">
        <w:r>
          <w:rPr>
            <w:sz w:val="21"/>
          </w:rPr>
          <w:t>.</w:t>
        </w:r>
        <w:r>
          <w:rPr>
            <w:sz w:val="21"/>
            <w:vertAlign w:val="superscript"/>
          </w:rPr>
          <w:t>23</w:t>
        </w:r>
      </w:hyperlink>
      <w:r>
        <w:rPr>
          <w:sz w:val="21"/>
          <w:vertAlign w:val="baseline"/>
        </w:rPr>
        <w:t> QTBIPOC youth also often</w:t>
      </w:r>
      <w:r>
        <w:rPr>
          <w:spacing w:val="21"/>
          <w:sz w:val="21"/>
          <w:vertAlign w:val="baseline"/>
        </w:rPr>
        <w:t> </w:t>
      </w:r>
      <w:r>
        <w:rPr>
          <w:sz w:val="21"/>
          <w:vertAlign w:val="baseline"/>
        </w:rPr>
        <w:t>cope</w:t>
      </w:r>
      <w:r>
        <w:rPr>
          <w:spacing w:val="21"/>
          <w:sz w:val="21"/>
          <w:vertAlign w:val="baseline"/>
        </w:rPr>
        <w:t> </w:t>
      </w:r>
      <w:r>
        <w:rPr>
          <w:sz w:val="21"/>
          <w:vertAlign w:val="baseline"/>
        </w:rPr>
        <w:t>with</w:t>
      </w:r>
      <w:r>
        <w:rPr>
          <w:spacing w:val="21"/>
          <w:sz w:val="21"/>
          <w:vertAlign w:val="baseline"/>
        </w:rPr>
        <w:t> </w:t>
      </w:r>
      <w:r>
        <w:rPr>
          <w:sz w:val="21"/>
          <w:vertAlign w:val="baseline"/>
        </w:rPr>
        <w:t>LGBTQ-phobic</w:t>
      </w:r>
      <w:r>
        <w:rPr>
          <w:spacing w:val="21"/>
          <w:sz w:val="21"/>
          <w:vertAlign w:val="baseline"/>
        </w:rPr>
        <w:t> </w:t>
      </w:r>
      <w:r>
        <w:rPr>
          <w:sz w:val="21"/>
          <w:vertAlign w:val="baseline"/>
        </w:rPr>
        <w:t>bullying</w:t>
      </w:r>
      <w:hyperlink w:history="true" w:anchor="_bookmark125">
        <w:r>
          <w:rPr>
            <w:sz w:val="21"/>
            <w:vertAlign w:val="superscript"/>
          </w:rPr>
          <w:t>24</w:t>
        </w:r>
      </w:hyperlink>
      <w:r>
        <w:rPr>
          <w:spacing w:val="21"/>
          <w:sz w:val="21"/>
          <w:vertAlign w:val="baseline"/>
        </w:rPr>
        <w:t> </w:t>
      </w:r>
      <w:r>
        <w:rPr>
          <w:sz w:val="21"/>
          <w:vertAlign w:val="baseline"/>
        </w:rPr>
        <w:t>using</w:t>
      </w:r>
      <w:r>
        <w:rPr>
          <w:spacing w:val="20"/>
          <w:sz w:val="21"/>
          <w:vertAlign w:val="baseline"/>
        </w:rPr>
        <w:t> </w:t>
      </w:r>
      <w:r>
        <w:rPr>
          <w:sz w:val="21"/>
          <w:vertAlign w:val="baseline"/>
        </w:rPr>
        <w:t>skills</w:t>
      </w:r>
      <w:r>
        <w:rPr>
          <w:spacing w:val="20"/>
          <w:sz w:val="21"/>
          <w:vertAlign w:val="baseline"/>
        </w:rPr>
        <w:t> </w:t>
      </w:r>
      <w:r>
        <w:rPr>
          <w:sz w:val="21"/>
          <w:vertAlign w:val="baseline"/>
        </w:rPr>
        <w:t>they</w:t>
      </w:r>
      <w:r>
        <w:rPr>
          <w:spacing w:val="21"/>
          <w:sz w:val="21"/>
          <w:vertAlign w:val="baseline"/>
        </w:rPr>
        <w:t> </w:t>
      </w:r>
      <w:r>
        <w:rPr>
          <w:sz w:val="21"/>
          <w:vertAlign w:val="baseline"/>
        </w:rPr>
        <w:t>first</w:t>
      </w:r>
      <w:r>
        <w:rPr>
          <w:spacing w:val="21"/>
          <w:sz w:val="21"/>
          <w:vertAlign w:val="baseline"/>
        </w:rPr>
        <w:t> </w:t>
      </w:r>
      <w:r>
        <w:rPr>
          <w:sz w:val="21"/>
          <w:vertAlign w:val="baseline"/>
        </w:rPr>
        <w:t>learned</w:t>
      </w:r>
      <w:r>
        <w:rPr>
          <w:spacing w:val="21"/>
          <w:sz w:val="21"/>
          <w:vertAlign w:val="baseline"/>
        </w:rPr>
        <w:t> </w:t>
      </w:r>
      <w:r>
        <w:rPr>
          <w:sz w:val="21"/>
          <w:vertAlign w:val="baseline"/>
        </w:rPr>
        <w:t>from</w:t>
      </w:r>
      <w:r>
        <w:rPr>
          <w:spacing w:val="21"/>
          <w:sz w:val="21"/>
          <w:vertAlign w:val="baseline"/>
        </w:rPr>
        <w:t> </w:t>
      </w:r>
      <w:r>
        <w:rPr>
          <w:sz w:val="21"/>
          <w:vertAlign w:val="baseline"/>
        </w:rPr>
        <w:t>family</w:t>
      </w:r>
      <w:r>
        <w:rPr>
          <w:spacing w:val="21"/>
          <w:sz w:val="21"/>
          <w:vertAlign w:val="baseline"/>
        </w:rPr>
        <w:t> </w:t>
      </w:r>
      <w:r>
        <w:rPr>
          <w:sz w:val="21"/>
          <w:vertAlign w:val="baseline"/>
        </w:rPr>
        <w:t>and</w:t>
      </w:r>
      <w:r>
        <w:rPr>
          <w:spacing w:val="21"/>
          <w:sz w:val="21"/>
          <w:vertAlign w:val="baseline"/>
        </w:rPr>
        <w:t> </w:t>
      </w:r>
      <w:r>
        <w:rPr>
          <w:sz w:val="21"/>
          <w:vertAlign w:val="baseline"/>
        </w:rPr>
        <w:t>friends</w:t>
      </w:r>
      <w:r>
        <w:rPr>
          <w:spacing w:val="20"/>
          <w:sz w:val="21"/>
          <w:vertAlign w:val="baseline"/>
        </w:rPr>
        <w:t> </w:t>
      </w:r>
      <w:r>
        <w:rPr>
          <w:sz w:val="21"/>
          <w:vertAlign w:val="baseline"/>
        </w:rPr>
        <w:t>to</w:t>
      </w:r>
      <w:r>
        <w:rPr>
          <w:spacing w:val="20"/>
          <w:sz w:val="21"/>
          <w:vertAlign w:val="baseline"/>
        </w:rPr>
        <w:t> </w:t>
      </w:r>
      <w:r>
        <w:rPr>
          <w:sz w:val="21"/>
          <w:vertAlign w:val="baseline"/>
        </w:rPr>
        <w:t>cope</w:t>
      </w:r>
      <w:r>
        <w:rPr>
          <w:spacing w:val="21"/>
          <w:sz w:val="21"/>
          <w:vertAlign w:val="baseline"/>
        </w:rPr>
        <w:t> </w:t>
      </w:r>
      <w:r>
        <w:rPr>
          <w:sz w:val="21"/>
          <w:vertAlign w:val="baseline"/>
        </w:rPr>
        <w:t>with</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0" w:firstLine="0"/>
        <w:jc w:val="both"/>
        <w:rPr>
          <w:sz w:val="21"/>
        </w:rPr>
      </w:pPr>
      <w:r>
        <w:rPr>
          <w:sz w:val="21"/>
        </w:rPr>
        <w:t>racism.</w:t>
      </w:r>
      <w:r>
        <w:rPr>
          <w:spacing w:val="-4"/>
          <w:sz w:val="21"/>
        </w:rPr>
        <w:t> </w:t>
      </w:r>
      <w:r>
        <w:rPr>
          <w:sz w:val="21"/>
        </w:rPr>
        <w:t>Since</w:t>
      </w:r>
      <w:r>
        <w:rPr>
          <w:spacing w:val="-4"/>
          <w:sz w:val="21"/>
        </w:rPr>
        <w:t> </w:t>
      </w:r>
      <w:r>
        <w:rPr>
          <w:sz w:val="21"/>
        </w:rPr>
        <w:t>peer</w:t>
      </w:r>
      <w:r>
        <w:rPr>
          <w:spacing w:val="-4"/>
          <w:sz w:val="21"/>
        </w:rPr>
        <w:t> </w:t>
      </w:r>
      <w:r>
        <w:rPr>
          <w:sz w:val="21"/>
        </w:rPr>
        <w:t>validation</w:t>
      </w:r>
      <w:r>
        <w:rPr>
          <w:spacing w:val="-4"/>
          <w:sz w:val="21"/>
        </w:rPr>
        <w:t> </w:t>
      </w:r>
      <w:r>
        <w:rPr>
          <w:sz w:val="21"/>
        </w:rPr>
        <w:t>is</w:t>
      </w:r>
      <w:r>
        <w:rPr>
          <w:spacing w:val="-5"/>
          <w:sz w:val="21"/>
        </w:rPr>
        <w:t> </w:t>
      </w:r>
      <w:r>
        <w:rPr>
          <w:sz w:val="21"/>
        </w:rPr>
        <w:t>such</w:t>
      </w:r>
      <w:r>
        <w:rPr>
          <w:spacing w:val="-4"/>
          <w:sz w:val="21"/>
        </w:rPr>
        <w:t> </w:t>
      </w:r>
      <w:r>
        <w:rPr>
          <w:sz w:val="21"/>
        </w:rPr>
        <w:t>a</w:t>
      </w:r>
      <w:r>
        <w:rPr>
          <w:spacing w:val="-4"/>
          <w:sz w:val="21"/>
        </w:rPr>
        <w:t> </w:t>
      </w:r>
      <w:r>
        <w:rPr>
          <w:sz w:val="21"/>
        </w:rPr>
        <w:t>strong</w:t>
      </w:r>
      <w:r>
        <w:rPr>
          <w:spacing w:val="-5"/>
          <w:sz w:val="21"/>
        </w:rPr>
        <w:t> </w:t>
      </w:r>
      <w:r>
        <w:rPr>
          <w:sz w:val="21"/>
        </w:rPr>
        <w:t>buffer</w:t>
      </w:r>
      <w:r>
        <w:rPr>
          <w:spacing w:val="-4"/>
          <w:sz w:val="21"/>
        </w:rPr>
        <w:t> </w:t>
      </w:r>
      <w:r>
        <w:rPr>
          <w:sz w:val="21"/>
        </w:rPr>
        <w:t>against</w:t>
      </w:r>
      <w:r>
        <w:rPr>
          <w:spacing w:val="-4"/>
          <w:sz w:val="21"/>
        </w:rPr>
        <w:t> </w:t>
      </w:r>
      <w:r>
        <w:rPr>
          <w:sz w:val="21"/>
        </w:rPr>
        <w:t>racial</w:t>
      </w:r>
      <w:r>
        <w:rPr>
          <w:spacing w:val="-4"/>
          <w:sz w:val="21"/>
        </w:rPr>
        <w:t> </w:t>
      </w:r>
      <w:r>
        <w:rPr>
          <w:sz w:val="21"/>
        </w:rPr>
        <w:t>minority</w:t>
      </w:r>
      <w:r>
        <w:rPr>
          <w:spacing w:val="-4"/>
          <w:sz w:val="21"/>
        </w:rPr>
        <w:t> </w:t>
      </w:r>
      <w:r>
        <w:rPr>
          <w:sz w:val="21"/>
        </w:rPr>
        <w:t>stress,</w:t>
      </w:r>
      <w:r>
        <w:rPr>
          <w:spacing w:val="-4"/>
          <w:sz w:val="21"/>
        </w:rPr>
        <w:t> </w:t>
      </w:r>
      <w:r>
        <w:rPr>
          <w:sz w:val="21"/>
        </w:rPr>
        <w:t>the</w:t>
      </w:r>
      <w:r>
        <w:rPr>
          <w:spacing w:val="-4"/>
          <w:sz w:val="21"/>
        </w:rPr>
        <w:t> </w:t>
      </w:r>
      <w:r>
        <w:rPr>
          <w:sz w:val="21"/>
        </w:rPr>
        <w:t>Commission</w:t>
      </w:r>
      <w:r>
        <w:rPr>
          <w:spacing w:val="-4"/>
          <w:sz w:val="21"/>
        </w:rPr>
        <w:t> </w:t>
      </w:r>
      <w:r>
        <w:rPr>
          <w:sz w:val="21"/>
        </w:rPr>
        <w:t>recommends investing</w:t>
      </w:r>
      <w:r>
        <w:rPr>
          <w:spacing w:val="-5"/>
          <w:sz w:val="21"/>
        </w:rPr>
        <w:t> </w:t>
      </w:r>
      <w:r>
        <w:rPr>
          <w:sz w:val="21"/>
        </w:rPr>
        <w:t>funding</w:t>
      </w:r>
      <w:r>
        <w:rPr>
          <w:spacing w:val="-5"/>
          <w:sz w:val="21"/>
        </w:rPr>
        <w:t> </w:t>
      </w:r>
      <w:r>
        <w:rPr>
          <w:sz w:val="21"/>
        </w:rPr>
        <w:t>and</w:t>
      </w:r>
      <w:r>
        <w:rPr>
          <w:spacing w:val="-4"/>
          <w:sz w:val="21"/>
        </w:rPr>
        <w:t> </w:t>
      </w:r>
      <w:r>
        <w:rPr>
          <w:sz w:val="21"/>
        </w:rPr>
        <w:t>resources</w:t>
      </w:r>
      <w:r>
        <w:rPr>
          <w:spacing w:val="-5"/>
          <w:sz w:val="21"/>
        </w:rPr>
        <w:t> </w:t>
      </w:r>
      <w:r>
        <w:rPr>
          <w:sz w:val="21"/>
        </w:rPr>
        <w:t>into</w:t>
      </w:r>
      <w:r>
        <w:rPr>
          <w:spacing w:val="-4"/>
          <w:sz w:val="21"/>
        </w:rPr>
        <w:t> </w:t>
      </w:r>
      <w:r>
        <w:rPr>
          <w:sz w:val="21"/>
        </w:rPr>
        <w:t>promoting</w:t>
      </w:r>
      <w:r>
        <w:rPr>
          <w:spacing w:val="-5"/>
          <w:sz w:val="21"/>
        </w:rPr>
        <w:t> </w:t>
      </w:r>
      <w:r>
        <w:rPr>
          <w:sz w:val="21"/>
        </w:rPr>
        <w:t>LGBTQ-friendly</w:t>
      </w:r>
      <w:r>
        <w:rPr>
          <w:spacing w:val="-4"/>
          <w:sz w:val="21"/>
        </w:rPr>
        <w:t> </w:t>
      </w:r>
      <w:r>
        <w:rPr>
          <w:sz w:val="21"/>
        </w:rPr>
        <w:t>racial</w:t>
      </w:r>
      <w:r>
        <w:rPr>
          <w:spacing w:val="-4"/>
          <w:sz w:val="21"/>
        </w:rPr>
        <w:t> </w:t>
      </w:r>
      <w:r>
        <w:rPr>
          <w:sz w:val="21"/>
        </w:rPr>
        <w:t>and</w:t>
      </w:r>
      <w:r>
        <w:rPr>
          <w:spacing w:val="-4"/>
          <w:sz w:val="21"/>
        </w:rPr>
        <w:t> </w:t>
      </w:r>
      <w:r>
        <w:rPr>
          <w:sz w:val="21"/>
        </w:rPr>
        <w:t>cultural</w:t>
      </w:r>
      <w:r>
        <w:rPr>
          <w:spacing w:val="-4"/>
          <w:sz w:val="21"/>
        </w:rPr>
        <w:t> </w:t>
      </w:r>
      <w:r>
        <w:rPr>
          <w:sz w:val="21"/>
        </w:rPr>
        <w:t>affinity</w:t>
      </w:r>
      <w:r>
        <w:rPr>
          <w:spacing w:val="-4"/>
          <w:sz w:val="21"/>
        </w:rPr>
        <w:t> </w:t>
      </w:r>
      <w:r>
        <w:rPr>
          <w:sz w:val="21"/>
        </w:rPr>
        <w:t>spaces</w:t>
      </w:r>
      <w:r>
        <w:rPr>
          <w:spacing w:val="-5"/>
          <w:sz w:val="21"/>
        </w:rPr>
        <w:t> </w:t>
      </w:r>
      <w:r>
        <w:rPr>
          <w:sz w:val="21"/>
        </w:rPr>
        <w:t>in</w:t>
      </w:r>
      <w:r>
        <w:rPr>
          <w:spacing w:val="-4"/>
          <w:sz w:val="21"/>
        </w:rPr>
        <w:t> </w:t>
      </w:r>
      <w:r>
        <w:rPr>
          <w:sz w:val="21"/>
        </w:rPr>
        <w:t>schools</w:t>
      </w:r>
      <w:r>
        <w:rPr>
          <w:spacing w:val="-5"/>
          <w:sz w:val="21"/>
        </w:rPr>
        <w:t> </w:t>
      </w:r>
      <w:r>
        <w:rPr>
          <w:sz w:val="21"/>
        </w:rPr>
        <w:t>and communities, as well as specific racial/cultural affinity spaces in LGBTQ youth groups (like GSAs). These are unique spaces where QTBIPOC youth can develop identity pride, discuss intersectional experiences and strengths, safely unload experiences of oppression, and advocate for themselves and one another.</w:t>
      </w:r>
    </w:p>
    <w:p>
      <w:pPr>
        <w:spacing w:before="238"/>
        <w:ind w:left="463" w:right="0" w:firstLine="0"/>
        <w:jc w:val="both"/>
        <w:rPr>
          <w:sz w:val="28"/>
        </w:rPr>
      </w:pPr>
      <w:bookmarkStart w:name="Immigration &amp; Migration: Culturally-Resp" w:id="244"/>
      <w:bookmarkEnd w:id="244"/>
      <w:r>
        <w:rPr/>
      </w:r>
      <w:r>
        <w:rPr>
          <w:color w:val="365F91"/>
          <w:spacing w:val="-2"/>
          <w:sz w:val="28"/>
        </w:rPr>
        <w:t>Immigration</w:t>
      </w:r>
      <w:r>
        <w:rPr>
          <w:color w:val="365F91"/>
          <w:spacing w:val="3"/>
          <w:sz w:val="28"/>
        </w:rPr>
        <w:t> </w:t>
      </w:r>
      <w:r>
        <w:rPr>
          <w:color w:val="365F91"/>
          <w:spacing w:val="-2"/>
          <w:sz w:val="28"/>
        </w:rPr>
        <w:t>&amp;</w:t>
      </w:r>
      <w:r>
        <w:rPr>
          <w:color w:val="365F91"/>
          <w:spacing w:val="4"/>
          <w:sz w:val="28"/>
        </w:rPr>
        <w:t> </w:t>
      </w:r>
      <w:r>
        <w:rPr>
          <w:color w:val="365F91"/>
          <w:spacing w:val="-2"/>
          <w:sz w:val="28"/>
        </w:rPr>
        <w:t>Migration:</w:t>
      </w:r>
      <w:r>
        <w:rPr>
          <w:color w:val="365F91"/>
          <w:spacing w:val="3"/>
          <w:sz w:val="28"/>
        </w:rPr>
        <w:t> </w:t>
      </w:r>
      <w:r>
        <w:rPr>
          <w:color w:val="365F91"/>
          <w:spacing w:val="-2"/>
          <w:sz w:val="28"/>
        </w:rPr>
        <w:t>Culturally-Responsive</w:t>
      </w:r>
      <w:r>
        <w:rPr>
          <w:color w:val="365F91"/>
          <w:spacing w:val="4"/>
          <w:sz w:val="28"/>
        </w:rPr>
        <w:t> </w:t>
      </w:r>
      <w:r>
        <w:rPr>
          <w:color w:val="365F91"/>
          <w:spacing w:val="-2"/>
          <w:sz w:val="28"/>
        </w:rPr>
        <w:t>Support</w:t>
      </w:r>
    </w:p>
    <w:p>
      <w:pPr>
        <w:spacing w:line="276" w:lineRule="auto" w:before="293"/>
        <w:ind w:left="463" w:right="240" w:firstLine="0"/>
        <w:jc w:val="both"/>
        <w:rPr>
          <w:sz w:val="21"/>
        </w:rPr>
      </w:pPr>
      <w:r>
        <w:rPr>
          <w:sz w:val="21"/>
        </w:rPr>
        <w:t>QTBIPOC youth may also experience minority stress when they have personal or family experience with being an immigrant, refugee, or undocumented person. Structural inequalities, discriminatory comments or policies, xenophobia in political debates and acts, and cross-cultural stressors can all impact LGBTQ immigrant youths’ mental</w:t>
      </w:r>
      <w:r>
        <w:rPr>
          <w:spacing w:val="-7"/>
          <w:sz w:val="21"/>
        </w:rPr>
        <w:t> </w:t>
      </w:r>
      <w:r>
        <w:rPr>
          <w:sz w:val="21"/>
        </w:rPr>
        <w:t>health</w:t>
      </w:r>
      <w:r>
        <w:rPr>
          <w:spacing w:val="-8"/>
          <w:sz w:val="21"/>
        </w:rPr>
        <w:t> </w:t>
      </w:r>
      <w:r>
        <w:rPr>
          <w:sz w:val="21"/>
        </w:rPr>
        <w:t>on</w:t>
      </w:r>
      <w:r>
        <w:rPr>
          <w:spacing w:val="-8"/>
          <w:sz w:val="21"/>
        </w:rPr>
        <w:t> </w:t>
      </w:r>
      <w:r>
        <w:rPr>
          <w:sz w:val="21"/>
        </w:rPr>
        <w:t>a</w:t>
      </w:r>
      <w:r>
        <w:rPr>
          <w:spacing w:val="-6"/>
          <w:sz w:val="21"/>
        </w:rPr>
        <w:t> </w:t>
      </w:r>
      <w:r>
        <w:rPr>
          <w:sz w:val="21"/>
        </w:rPr>
        <w:t>day-to-day</w:t>
      </w:r>
      <w:r>
        <w:rPr>
          <w:spacing w:val="-7"/>
          <w:sz w:val="21"/>
        </w:rPr>
        <w:t> </w:t>
      </w:r>
      <w:r>
        <w:rPr>
          <w:sz w:val="21"/>
        </w:rPr>
        <w:t>basis.</w:t>
      </w:r>
      <w:r>
        <w:rPr>
          <w:spacing w:val="-7"/>
          <w:sz w:val="21"/>
        </w:rPr>
        <w:t> </w:t>
      </w:r>
      <w:r>
        <w:rPr>
          <w:sz w:val="21"/>
        </w:rPr>
        <w:t>For</w:t>
      </w:r>
      <w:r>
        <w:rPr>
          <w:spacing w:val="-7"/>
          <w:sz w:val="21"/>
        </w:rPr>
        <w:t> </w:t>
      </w:r>
      <w:r>
        <w:rPr>
          <w:sz w:val="21"/>
        </w:rPr>
        <w:t>example,</w:t>
      </w:r>
      <w:r>
        <w:rPr>
          <w:spacing w:val="-7"/>
          <w:sz w:val="21"/>
        </w:rPr>
        <w:t> </w:t>
      </w:r>
      <w:r>
        <w:rPr>
          <w:sz w:val="21"/>
        </w:rPr>
        <w:t>GLSEN’s</w:t>
      </w:r>
      <w:r>
        <w:rPr>
          <w:spacing w:val="-7"/>
          <w:sz w:val="21"/>
        </w:rPr>
        <w:t> </w:t>
      </w:r>
      <w:r>
        <w:rPr>
          <w:sz w:val="21"/>
        </w:rPr>
        <w:t>2021</w:t>
      </w:r>
      <w:r>
        <w:rPr>
          <w:spacing w:val="-7"/>
          <w:sz w:val="21"/>
        </w:rPr>
        <w:t> </w:t>
      </w:r>
      <w:r>
        <w:rPr>
          <w:sz w:val="21"/>
        </w:rPr>
        <w:t>National</w:t>
      </w:r>
      <w:r>
        <w:rPr>
          <w:spacing w:val="-7"/>
          <w:sz w:val="21"/>
        </w:rPr>
        <w:t> </w:t>
      </w:r>
      <w:r>
        <w:rPr>
          <w:sz w:val="21"/>
        </w:rPr>
        <w:t>School</w:t>
      </w:r>
      <w:r>
        <w:rPr>
          <w:spacing w:val="-7"/>
          <w:sz w:val="21"/>
        </w:rPr>
        <w:t> </w:t>
      </w:r>
      <w:r>
        <w:rPr>
          <w:sz w:val="21"/>
        </w:rPr>
        <w:t>Climate</w:t>
      </w:r>
      <w:r>
        <w:rPr>
          <w:spacing w:val="-7"/>
          <w:sz w:val="21"/>
        </w:rPr>
        <w:t> </w:t>
      </w:r>
      <w:r>
        <w:rPr>
          <w:sz w:val="21"/>
        </w:rPr>
        <w:t>Survey</w:t>
      </w:r>
      <w:r>
        <w:rPr>
          <w:spacing w:val="-7"/>
          <w:sz w:val="21"/>
        </w:rPr>
        <w:t> </w:t>
      </w:r>
      <w:r>
        <w:rPr>
          <w:sz w:val="21"/>
        </w:rPr>
        <w:t>found</w:t>
      </w:r>
      <w:r>
        <w:rPr>
          <w:spacing w:val="-7"/>
          <w:sz w:val="21"/>
        </w:rPr>
        <w:t> </w:t>
      </w:r>
      <w:r>
        <w:rPr>
          <w:sz w:val="21"/>
        </w:rPr>
        <w:t>that</w:t>
      </w:r>
      <w:r>
        <w:rPr>
          <w:spacing w:val="-7"/>
          <w:sz w:val="21"/>
        </w:rPr>
        <w:t> </w:t>
      </w:r>
      <w:r>
        <w:rPr>
          <w:sz w:val="21"/>
        </w:rPr>
        <w:t>18% of student participants said they hear biased remarks about immigration status “often” or “frequently,” while 16% hear them “sometimes.”</w:t>
      </w:r>
      <w:hyperlink w:history="true" w:anchor="_bookmark126">
        <w:r>
          <w:rPr>
            <w:sz w:val="21"/>
            <w:vertAlign w:val="superscript"/>
          </w:rPr>
          <w:t>25</w:t>
        </w:r>
      </w:hyperlink>
    </w:p>
    <w:p>
      <w:pPr>
        <w:spacing w:line="276" w:lineRule="auto" w:before="240"/>
        <w:ind w:left="463" w:right="239" w:hanging="1"/>
        <w:jc w:val="both"/>
        <w:rPr>
          <w:sz w:val="21"/>
        </w:rPr>
      </w:pPr>
      <w:r>
        <w:rPr>
          <w:sz w:val="21"/>
        </w:rPr>
        <w:t>There is scarce research about LGBTQ foreign-born youth, and the findings about mental health are mixed</w:t>
      </w:r>
      <w:hyperlink w:history="true" w:anchor="_bookmark127">
        <w:r>
          <w:rPr>
            <w:sz w:val="21"/>
          </w:rPr>
          <w:t>.</w:t>
        </w:r>
        <w:r>
          <w:rPr>
            <w:sz w:val="21"/>
            <w:vertAlign w:val="superscript"/>
          </w:rPr>
          <w:t>26</w:t>
        </w:r>
      </w:hyperlink>
      <w:r>
        <w:rPr>
          <w:sz w:val="21"/>
          <w:vertAlign w:val="baseline"/>
        </w:rPr>
        <w:t> Overall, risk factors include poverty, lack of social support and stable housing, risk of detainment and deportation, discriminatory experiences, dehumanizing public discourse and policy, and barriers to care, such as waiting periods to access public health insurance. However, immigrant youth have also been found to have similar or better physical and mental health outcomes than native-born peers, a phenomenon called the “immigrant health paradox.”</w:t>
      </w:r>
      <w:hyperlink w:history="true" w:anchor="_bookmark128">
        <w:r>
          <w:rPr>
            <w:sz w:val="21"/>
            <w:vertAlign w:val="superscript"/>
          </w:rPr>
          <w:t>27</w:t>
        </w:r>
      </w:hyperlink>
      <w:r>
        <w:rPr>
          <w:sz w:val="21"/>
          <w:vertAlign w:val="baseline"/>
        </w:rPr>
        <w:t> This advantage levels out over generations, not just due to acculturation, like shifts in diet and exercise, but also through the wear-and-tear of minority stress.</w:t>
      </w:r>
    </w:p>
    <w:p>
      <w:pPr>
        <w:spacing w:line="276" w:lineRule="auto" w:before="239"/>
        <w:ind w:left="463" w:right="239" w:firstLine="0"/>
        <w:jc w:val="both"/>
        <w:rPr>
          <w:sz w:val="21"/>
        </w:rPr>
      </w:pPr>
      <w:r>
        <w:rPr>
          <w:sz w:val="21"/>
        </w:rPr>
        <w:t>With these mixed results in mind, the Commission recommends that supporters seek to understand LGBTQ foreign-born</w:t>
      </w:r>
      <w:r>
        <w:rPr>
          <w:spacing w:val="-12"/>
          <w:sz w:val="21"/>
        </w:rPr>
        <w:t> </w:t>
      </w:r>
      <w:r>
        <w:rPr>
          <w:sz w:val="21"/>
        </w:rPr>
        <w:t>youths’</w:t>
      </w:r>
      <w:r>
        <w:rPr>
          <w:spacing w:val="-12"/>
          <w:sz w:val="21"/>
        </w:rPr>
        <w:t> </w:t>
      </w:r>
      <w:r>
        <w:rPr>
          <w:sz w:val="21"/>
        </w:rPr>
        <w:t>mental</w:t>
      </w:r>
      <w:r>
        <w:rPr>
          <w:spacing w:val="-12"/>
          <w:sz w:val="21"/>
        </w:rPr>
        <w:t> </w:t>
      </w:r>
      <w:r>
        <w:rPr>
          <w:sz w:val="21"/>
        </w:rPr>
        <w:t>health</w:t>
      </w:r>
      <w:r>
        <w:rPr>
          <w:spacing w:val="-12"/>
          <w:sz w:val="21"/>
        </w:rPr>
        <w:t> </w:t>
      </w:r>
      <w:r>
        <w:rPr>
          <w:sz w:val="21"/>
        </w:rPr>
        <w:t>in</w:t>
      </w:r>
      <w:r>
        <w:rPr>
          <w:spacing w:val="-12"/>
          <w:sz w:val="21"/>
        </w:rPr>
        <w:t> </w:t>
      </w:r>
      <w:r>
        <w:rPr>
          <w:sz w:val="21"/>
        </w:rPr>
        <w:t>the</w:t>
      </w:r>
      <w:r>
        <w:rPr>
          <w:spacing w:val="-12"/>
          <w:sz w:val="21"/>
        </w:rPr>
        <w:t> </w:t>
      </w:r>
      <w:r>
        <w:rPr>
          <w:sz w:val="21"/>
        </w:rPr>
        <w:t>context</w:t>
      </w:r>
      <w:r>
        <w:rPr>
          <w:spacing w:val="-12"/>
          <w:sz w:val="21"/>
        </w:rPr>
        <w:t> </w:t>
      </w:r>
      <w:r>
        <w:rPr>
          <w:sz w:val="21"/>
        </w:rPr>
        <w:t>of</w:t>
      </w:r>
      <w:r>
        <w:rPr>
          <w:spacing w:val="-11"/>
          <w:sz w:val="21"/>
        </w:rPr>
        <w:t> </w:t>
      </w:r>
      <w:r>
        <w:rPr>
          <w:sz w:val="21"/>
        </w:rPr>
        <w:t>their</w:t>
      </w:r>
      <w:r>
        <w:rPr>
          <w:spacing w:val="-12"/>
          <w:sz w:val="21"/>
        </w:rPr>
        <w:t> </w:t>
      </w:r>
      <w:r>
        <w:rPr>
          <w:sz w:val="21"/>
        </w:rPr>
        <w:t>position</w:t>
      </w:r>
      <w:r>
        <w:rPr>
          <w:spacing w:val="-12"/>
          <w:sz w:val="21"/>
        </w:rPr>
        <w:t> </w:t>
      </w:r>
      <w:r>
        <w:rPr>
          <w:sz w:val="21"/>
        </w:rPr>
        <w:t>in</w:t>
      </w:r>
      <w:r>
        <w:rPr>
          <w:spacing w:val="-12"/>
          <w:sz w:val="21"/>
        </w:rPr>
        <w:t> </w:t>
      </w:r>
      <w:r>
        <w:rPr>
          <w:sz w:val="21"/>
        </w:rPr>
        <w:t>the</w:t>
      </w:r>
      <w:r>
        <w:rPr>
          <w:spacing w:val="-12"/>
          <w:sz w:val="21"/>
        </w:rPr>
        <w:t> </w:t>
      </w:r>
      <w:r>
        <w:rPr>
          <w:sz w:val="21"/>
        </w:rPr>
        <w:t>US</w:t>
      </w:r>
      <w:r>
        <w:rPr>
          <w:spacing w:val="-12"/>
          <w:sz w:val="21"/>
        </w:rPr>
        <w:t> </w:t>
      </w:r>
      <w:r>
        <w:rPr>
          <w:sz w:val="21"/>
        </w:rPr>
        <w:t>immigration</w:t>
      </w:r>
      <w:r>
        <w:rPr>
          <w:spacing w:val="-12"/>
          <w:sz w:val="21"/>
        </w:rPr>
        <w:t> </w:t>
      </w:r>
      <w:r>
        <w:rPr>
          <w:sz w:val="21"/>
        </w:rPr>
        <w:t>system.</w:t>
      </w:r>
      <w:r>
        <w:rPr>
          <w:spacing w:val="-12"/>
          <w:sz w:val="21"/>
        </w:rPr>
        <w:t> </w:t>
      </w:r>
      <w:r>
        <w:rPr>
          <w:sz w:val="21"/>
        </w:rPr>
        <w:t>It</w:t>
      </w:r>
      <w:r>
        <w:rPr>
          <w:spacing w:val="-11"/>
          <w:sz w:val="21"/>
        </w:rPr>
        <w:t> </w:t>
      </w:r>
      <w:r>
        <w:rPr>
          <w:sz w:val="21"/>
        </w:rPr>
        <w:t>is</w:t>
      </w:r>
      <w:r>
        <w:rPr>
          <w:spacing w:val="-12"/>
          <w:sz w:val="21"/>
        </w:rPr>
        <w:t> </w:t>
      </w:r>
      <w:r>
        <w:rPr>
          <w:sz w:val="21"/>
        </w:rPr>
        <w:t>additionally important</w:t>
      </w:r>
      <w:r>
        <w:rPr>
          <w:spacing w:val="-6"/>
          <w:sz w:val="21"/>
        </w:rPr>
        <w:t> </w:t>
      </w:r>
      <w:r>
        <w:rPr>
          <w:sz w:val="21"/>
        </w:rPr>
        <w:t>to</w:t>
      </w:r>
      <w:r>
        <w:rPr>
          <w:spacing w:val="-8"/>
          <w:sz w:val="21"/>
        </w:rPr>
        <w:t> </w:t>
      </w:r>
      <w:r>
        <w:rPr>
          <w:sz w:val="21"/>
        </w:rPr>
        <w:t>highlight</w:t>
      </w:r>
      <w:r>
        <w:rPr>
          <w:spacing w:val="-6"/>
          <w:sz w:val="21"/>
        </w:rPr>
        <w:t> </w:t>
      </w:r>
      <w:r>
        <w:rPr>
          <w:sz w:val="21"/>
        </w:rPr>
        <w:t>that</w:t>
      </w:r>
      <w:r>
        <w:rPr>
          <w:spacing w:val="-8"/>
          <w:sz w:val="21"/>
        </w:rPr>
        <w:t> </w:t>
      </w:r>
      <w:r>
        <w:rPr>
          <w:sz w:val="21"/>
        </w:rPr>
        <w:t>not</w:t>
      </w:r>
      <w:r>
        <w:rPr>
          <w:spacing w:val="-6"/>
          <w:sz w:val="21"/>
        </w:rPr>
        <w:t> </w:t>
      </w:r>
      <w:r>
        <w:rPr>
          <w:sz w:val="21"/>
        </w:rPr>
        <w:t>all</w:t>
      </w:r>
      <w:r>
        <w:rPr>
          <w:spacing w:val="-7"/>
          <w:sz w:val="21"/>
        </w:rPr>
        <w:t> </w:t>
      </w:r>
      <w:r>
        <w:rPr>
          <w:sz w:val="21"/>
        </w:rPr>
        <w:t>foreign-born</w:t>
      </w:r>
      <w:r>
        <w:rPr>
          <w:spacing w:val="-7"/>
          <w:sz w:val="21"/>
        </w:rPr>
        <w:t> </w:t>
      </w:r>
      <w:r>
        <w:rPr>
          <w:sz w:val="21"/>
        </w:rPr>
        <w:t>youth</w:t>
      </w:r>
      <w:r>
        <w:rPr>
          <w:spacing w:val="-7"/>
          <w:sz w:val="21"/>
        </w:rPr>
        <w:t> </w:t>
      </w:r>
      <w:r>
        <w:rPr>
          <w:sz w:val="21"/>
        </w:rPr>
        <w:t>have</w:t>
      </w:r>
      <w:r>
        <w:rPr>
          <w:spacing w:val="-7"/>
          <w:sz w:val="21"/>
        </w:rPr>
        <w:t> </w:t>
      </w:r>
      <w:r>
        <w:rPr>
          <w:sz w:val="21"/>
        </w:rPr>
        <w:t>the</w:t>
      </w:r>
      <w:r>
        <w:rPr>
          <w:spacing w:val="-7"/>
          <w:sz w:val="21"/>
        </w:rPr>
        <w:t> </w:t>
      </w:r>
      <w:r>
        <w:rPr>
          <w:sz w:val="21"/>
        </w:rPr>
        <w:t>same</w:t>
      </w:r>
      <w:r>
        <w:rPr>
          <w:spacing w:val="-8"/>
          <w:sz w:val="21"/>
        </w:rPr>
        <w:t> </w:t>
      </w:r>
      <w:r>
        <w:rPr>
          <w:sz w:val="21"/>
        </w:rPr>
        <w:t>privileges</w:t>
      </w:r>
      <w:r>
        <w:rPr>
          <w:spacing w:val="-7"/>
          <w:sz w:val="21"/>
        </w:rPr>
        <w:t> </w:t>
      </w:r>
      <w:r>
        <w:rPr>
          <w:sz w:val="21"/>
        </w:rPr>
        <w:t>and</w:t>
      </w:r>
      <w:r>
        <w:rPr>
          <w:spacing w:val="-6"/>
          <w:sz w:val="21"/>
        </w:rPr>
        <w:t> </w:t>
      </w:r>
      <w:r>
        <w:rPr>
          <w:sz w:val="21"/>
        </w:rPr>
        <w:t>stressors.</w:t>
      </w:r>
      <w:r>
        <w:rPr>
          <w:spacing w:val="-7"/>
          <w:sz w:val="21"/>
        </w:rPr>
        <w:t> </w:t>
      </w:r>
      <w:r>
        <w:rPr>
          <w:sz w:val="21"/>
        </w:rPr>
        <w:t>The</w:t>
      </w:r>
      <w:r>
        <w:rPr>
          <w:spacing w:val="-6"/>
          <w:sz w:val="21"/>
        </w:rPr>
        <w:t> </w:t>
      </w:r>
      <w:r>
        <w:rPr>
          <w:sz w:val="21"/>
        </w:rPr>
        <w:t>Trevor</w:t>
      </w:r>
      <w:r>
        <w:rPr>
          <w:spacing w:val="-7"/>
          <w:sz w:val="21"/>
        </w:rPr>
        <w:t> </w:t>
      </w:r>
      <w:r>
        <w:rPr>
          <w:sz w:val="21"/>
        </w:rPr>
        <w:t>Project found that LGBTQ youth with at least one immigrant parent had higher odds of attempting suicide when they worried about deportation (63% more likely) or faced immigration-based discrimination (2.5 times more likely.)</w:t>
      </w:r>
      <w:hyperlink w:history="true" w:anchor="_bookmark129">
        <w:r>
          <w:rPr>
            <w:sz w:val="21"/>
            <w:vertAlign w:val="superscript"/>
          </w:rPr>
          <w:t>28</w:t>
        </w:r>
      </w:hyperlink>
      <w:r>
        <w:rPr>
          <w:sz w:val="21"/>
          <w:vertAlign w:val="baseline"/>
        </w:rPr>
        <w:t> Supporters should also consider how anti-LGBTQ sentiment and xenophobia shape youths’ past and current experiences. For instance, LGBTQ youth may flee trauma in their first countries only to face intersectional discrimination in the US, such as pressure to conform to Western LGBTQ labels while seeking asylum or refugee status</w:t>
      </w:r>
      <w:hyperlink w:history="true" w:anchor="_bookmark130">
        <w:r>
          <w:rPr>
            <w:sz w:val="21"/>
            <w:vertAlign w:val="baseline"/>
          </w:rPr>
          <w:t>.</w:t>
        </w:r>
        <w:r>
          <w:rPr>
            <w:sz w:val="21"/>
            <w:vertAlign w:val="superscript"/>
          </w:rPr>
          <w:t>29</w:t>
        </w:r>
      </w:hyperlink>
    </w:p>
    <w:p>
      <w:pPr>
        <w:spacing w:line="276" w:lineRule="auto" w:before="240"/>
        <w:ind w:left="463" w:right="239" w:firstLine="0"/>
        <w:jc w:val="both"/>
        <w:rPr>
          <w:sz w:val="21"/>
        </w:rPr>
      </w:pPr>
      <w:r>
        <w:rPr>
          <w:sz w:val="21"/>
        </w:rPr>
        <w:t>Despite these diverse stressors, foreign-born youth have also always invented their own strategies to survive and thrive. For instance, they are significantly more likely than their peers to befriend other foreign-born individuals from the same generation, and less likely to report negative health behaviors and outcomes when they do so</w:t>
      </w:r>
      <w:hyperlink w:history="true" w:anchor="_bookmark131">
        <w:r>
          <w:rPr>
            <w:sz w:val="21"/>
          </w:rPr>
          <w:t>.</w:t>
        </w:r>
        <w:r>
          <w:rPr>
            <w:sz w:val="21"/>
            <w:vertAlign w:val="superscript"/>
          </w:rPr>
          <w:t>30</w:t>
        </w:r>
      </w:hyperlink>
      <w:r>
        <w:rPr>
          <w:sz w:val="21"/>
          <w:vertAlign w:val="baseline"/>
        </w:rPr>
        <w:t> Because same-generation immigrant peer support protects youths’ mental health, care providers and youth workers should address differences in immigration status in their services. For instance, services for LGBTQ youth can create space for immigrant, refugee, asylee, and undocumented youth to build relationships and advocate for themselves, while also connecting them with immigrant community networks.</w:t>
      </w:r>
    </w:p>
    <w:p>
      <w:pPr>
        <w:spacing w:after="0" w:line="276" w:lineRule="auto"/>
        <w:jc w:val="both"/>
        <w:rPr>
          <w:sz w:val="21"/>
        </w:rPr>
        <w:sectPr>
          <w:pgSz w:w="12240" w:h="15840"/>
          <w:pgMar w:header="804" w:footer="1390" w:top="1080" w:bottom="1620" w:left="980" w:right="1080"/>
        </w:sectPr>
      </w:pPr>
    </w:p>
    <w:p>
      <w:pPr>
        <w:spacing w:line="276" w:lineRule="auto" w:before="69"/>
        <w:ind w:left="463" w:right="4473" w:firstLine="0"/>
        <w:jc w:val="both"/>
        <w:rPr>
          <w:sz w:val="21"/>
        </w:rPr>
      </w:pPr>
      <w:r>
        <w:rPr/>
        <w:drawing>
          <wp:anchor distT="0" distB="0" distL="0" distR="0" allowOverlap="1" layoutInCell="1" locked="0" behindDoc="0" simplePos="0" relativeHeight="15760896">
            <wp:simplePos x="0" y="0"/>
            <wp:positionH relativeFrom="page">
              <wp:posOffset>4335145</wp:posOffset>
            </wp:positionH>
            <wp:positionV relativeFrom="paragraph">
              <wp:posOffset>53339</wp:posOffset>
            </wp:positionV>
            <wp:extent cx="2687954" cy="2788519"/>
            <wp:effectExtent l="0" t="0" r="0" b="0"/>
            <wp:wrapNone/>
            <wp:docPr id="230" name="Image 230" descr="A group of hands with text  Description automatically generated "/>
            <wp:cNvGraphicFramePr>
              <a:graphicFrameLocks/>
            </wp:cNvGraphicFramePr>
            <a:graphic>
              <a:graphicData uri="http://schemas.openxmlformats.org/drawingml/2006/picture">
                <pic:pic>
                  <pic:nvPicPr>
                    <pic:cNvPr id="230" name="Image 230" descr="A group of hands with text  Description automatically generated "/>
                    <pic:cNvPicPr/>
                  </pic:nvPicPr>
                  <pic:blipFill>
                    <a:blip r:embed="rId178" cstate="print"/>
                    <a:stretch>
                      <a:fillRect/>
                    </a:stretch>
                  </pic:blipFill>
                  <pic:spPr>
                    <a:xfrm>
                      <a:off x="0" y="0"/>
                      <a:ext cx="2687954" cy="2788519"/>
                    </a:xfrm>
                    <a:prstGeom prst="rect">
                      <a:avLst/>
                    </a:prstGeom>
                  </pic:spPr>
                </pic:pic>
              </a:graphicData>
            </a:graphic>
          </wp:anchor>
        </w:drawing>
      </w:r>
      <w:r>
        <w:rPr>
          <w:sz w:val="21"/>
        </w:rPr>
        <w:t>As the benefits of peer support suggest, foreign-born youth thrive when they feel understood. Yet in 2022, the Trevor Project found that youth from all non-white racial and ethnic groups were 4 to 10 times more likely than their white peers to</w:t>
      </w:r>
      <w:r>
        <w:rPr>
          <w:spacing w:val="-12"/>
          <w:sz w:val="21"/>
        </w:rPr>
        <w:t> </w:t>
      </w:r>
      <w:r>
        <w:rPr>
          <w:sz w:val="21"/>
        </w:rPr>
        <w:t>feel</w:t>
      </w:r>
      <w:r>
        <w:rPr>
          <w:spacing w:val="-12"/>
          <w:sz w:val="21"/>
        </w:rPr>
        <w:t> </w:t>
      </w:r>
      <w:r>
        <w:rPr>
          <w:sz w:val="21"/>
        </w:rPr>
        <w:t>that</w:t>
      </w:r>
      <w:r>
        <w:rPr>
          <w:spacing w:val="-12"/>
          <w:sz w:val="21"/>
        </w:rPr>
        <w:t> </w:t>
      </w:r>
      <w:r>
        <w:rPr>
          <w:sz w:val="21"/>
        </w:rPr>
        <w:t>care</w:t>
      </w:r>
      <w:r>
        <w:rPr>
          <w:spacing w:val="-12"/>
          <w:sz w:val="21"/>
        </w:rPr>
        <w:t> </w:t>
      </w:r>
      <w:r>
        <w:rPr>
          <w:sz w:val="21"/>
        </w:rPr>
        <w:t>providers</w:t>
      </w:r>
      <w:r>
        <w:rPr>
          <w:spacing w:val="-12"/>
          <w:sz w:val="21"/>
        </w:rPr>
        <w:t> </w:t>
      </w:r>
      <w:r>
        <w:rPr>
          <w:sz w:val="21"/>
        </w:rPr>
        <w:t>would</w:t>
      </w:r>
      <w:r>
        <w:rPr>
          <w:spacing w:val="-12"/>
          <w:sz w:val="21"/>
        </w:rPr>
        <w:t> </w:t>
      </w:r>
      <w:r>
        <w:rPr>
          <w:sz w:val="21"/>
        </w:rPr>
        <w:t>not</w:t>
      </w:r>
      <w:r>
        <w:rPr>
          <w:spacing w:val="-12"/>
          <w:sz w:val="21"/>
        </w:rPr>
        <w:t> </w:t>
      </w:r>
      <w:r>
        <w:rPr>
          <w:sz w:val="21"/>
        </w:rPr>
        <w:t>understand</w:t>
      </w:r>
      <w:r>
        <w:rPr>
          <w:spacing w:val="-11"/>
          <w:sz w:val="21"/>
        </w:rPr>
        <w:t> </w:t>
      </w:r>
      <w:r>
        <w:rPr>
          <w:sz w:val="21"/>
        </w:rPr>
        <w:t>their</w:t>
      </w:r>
      <w:r>
        <w:rPr>
          <w:spacing w:val="-12"/>
          <w:sz w:val="21"/>
        </w:rPr>
        <w:t> </w:t>
      </w:r>
      <w:r>
        <w:rPr>
          <w:sz w:val="21"/>
        </w:rPr>
        <w:t>culture. Middle</w:t>
      </w:r>
      <w:r>
        <w:rPr>
          <w:spacing w:val="-6"/>
          <w:sz w:val="21"/>
        </w:rPr>
        <w:t> </w:t>
      </w:r>
      <w:r>
        <w:rPr>
          <w:sz w:val="21"/>
        </w:rPr>
        <w:t>Eastern/North</w:t>
      </w:r>
      <w:r>
        <w:rPr>
          <w:spacing w:val="-7"/>
          <w:sz w:val="21"/>
        </w:rPr>
        <w:t> </w:t>
      </w:r>
      <w:r>
        <w:rPr>
          <w:sz w:val="21"/>
        </w:rPr>
        <w:t>African</w:t>
      </w:r>
      <w:r>
        <w:rPr>
          <w:spacing w:val="-6"/>
          <w:sz w:val="21"/>
        </w:rPr>
        <w:t> </w:t>
      </w:r>
      <w:r>
        <w:rPr>
          <w:sz w:val="21"/>
        </w:rPr>
        <w:t>(MENA)</w:t>
      </w:r>
      <w:r>
        <w:rPr>
          <w:spacing w:val="-7"/>
          <w:sz w:val="21"/>
        </w:rPr>
        <w:t> </w:t>
      </w:r>
      <w:r>
        <w:rPr>
          <w:sz w:val="21"/>
        </w:rPr>
        <w:t>(21%),</w:t>
      </w:r>
      <w:r>
        <w:rPr>
          <w:spacing w:val="-6"/>
          <w:sz w:val="21"/>
        </w:rPr>
        <w:t> </w:t>
      </w:r>
      <w:r>
        <w:rPr>
          <w:sz w:val="21"/>
        </w:rPr>
        <w:t>AAPI</w:t>
      </w:r>
      <w:r>
        <w:rPr>
          <w:spacing w:val="-6"/>
          <w:sz w:val="21"/>
        </w:rPr>
        <w:t> </w:t>
      </w:r>
      <w:r>
        <w:rPr>
          <w:sz w:val="21"/>
        </w:rPr>
        <w:t>(18%),</w:t>
      </w:r>
      <w:r>
        <w:rPr>
          <w:spacing w:val="-5"/>
          <w:sz w:val="21"/>
        </w:rPr>
        <w:t> </w:t>
      </w:r>
      <w:r>
        <w:rPr>
          <w:sz w:val="21"/>
        </w:rPr>
        <w:t>and Black youth (13%) reported most often that they felt care providers would not understand their cultures, followed by Latine and Indigenous (9% each), multiracial (8%), and white (2%)</w:t>
      </w:r>
      <w:r>
        <w:rPr>
          <w:spacing w:val="-9"/>
          <w:sz w:val="21"/>
        </w:rPr>
        <w:t> </w:t>
      </w:r>
      <w:r>
        <w:rPr>
          <w:sz w:val="21"/>
        </w:rPr>
        <w:t>youth</w:t>
      </w:r>
      <w:hyperlink w:history="true" w:anchor="_bookmark132">
        <w:r>
          <w:rPr>
            <w:sz w:val="21"/>
          </w:rPr>
          <w:t>.</w:t>
        </w:r>
        <w:r>
          <w:rPr>
            <w:sz w:val="21"/>
            <w:vertAlign w:val="superscript"/>
          </w:rPr>
          <w:t>31</w:t>
        </w:r>
      </w:hyperlink>
      <w:r>
        <w:rPr>
          <w:spacing w:val="-9"/>
          <w:sz w:val="21"/>
          <w:vertAlign w:val="baseline"/>
        </w:rPr>
        <w:t> </w:t>
      </w:r>
      <w:r>
        <w:rPr>
          <w:sz w:val="21"/>
          <w:vertAlign w:val="baseline"/>
        </w:rPr>
        <w:t>It</w:t>
      </w:r>
      <w:r>
        <w:rPr>
          <w:spacing w:val="-8"/>
          <w:sz w:val="21"/>
          <w:vertAlign w:val="baseline"/>
        </w:rPr>
        <w:t> </w:t>
      </w:r>
      <w:r>
        <w:rPr>
          <w:sz w:val="21"/>
          <w:vertAlign w:val="baseline"/>
        </w:rPr>
        <w:t>is</w:t>
      </w:r>
      <w:r>
        <w:rPr>
          <w:spacing w:val="-9"/>
          <w:sz w:val="21"/>
          <w:vertAlign w:val="baseline"/>
        </w:rPr>
        <w:t> </w:t>
      </w:r>
      <w:r>
        <w:rPr>
          <w:sz w:val="21"/>
          <w:vertAlign w:val="baseline"/>
        </w:rPr>
        <w:t>crucial,</w:t>
      </w:r>
      <w:r>
        <w:rPr>
          <w:spacing w:val="-10"/>
          <w:sz w:val="21"/>
          <w:vertAlign w:val="baseline"/>
        </w:rPr>
        <w:t> </w:t>
      </w:r>
      <w:r>
        <w:rPr>
          <w:sz w:val="21"/>
          <w:vertAlign w:val="baseline"/>
        </w:rPr>
        <w:t>then,</w:t>
      </w:r>
      <w:r>
        <w:rPr>
          <w:spacing w:val="-8"/>
          <w:sz w:val="21"/>
          <w:vertAlign w:val="baseline"/>
        </w:rPr>
        <w:t> </w:t>
      </w:r>
      <w:r>
        <w:rPr>
          <w:sz w:val="21"/>
          <w:vertAlign w:val="baseline"/>
        </w:rPr>
        <w:t>for</w:t>
      </w:r>
      <w:r>
        <w:rPr>
          <w:spacing w:val="-9"/>
          <w:sz w:val="21"/>
          <w:vertAlign w:val="baseline"/>
        </w:rPr>
        <w:t> </w:t>
      </w:r>
      <w:r>
        <w:rPr>
          <w:sz w:val="21"/>
          <w:vertAlign w:val="baseline"/>
        </w:rPr>
        <w:t>supporters</w:t>
      </w:r>
      <w:r>
        <w:rPr>
          <w:spacing w:val="-9"/>
          <w:sz w:val="21"/>
          <w:vertAlign w:val="baseline"/>
        </w:rPr>
        <w:t> </w:t>
      </w:r>
      <w:r>
        <w:rPr>
          <w:sz w:val="21"/>
          <w:vertAlign w:val="baseline"/>
        </w:rPr>
        <w:t>to</w:t>
      </w:r>
      <w:r>
        <w:rPr>
          <w:spacing w:val="-9"/>
          <w:sz w:val="21"/>
          <w:vertAlign w:val="baseline"/>
        </w:rPr>
        <w:t> </w:t>
      </w:r>
      <w:r>
        <w:rPr>
          <w:sz w:val="21"/>
          <w:vertAlign w:val="baseline"/>
        </w:rPr>
        <w:t>not</w:t>
      </w:r>
      <w:r>
        <w:rPr>
          <w:spacing w:val="-8"/>
          <w:sz w:val="21"/>
          <w:vertAlign w:val="baseline"/>
        </w:rPr>
        <w:t> </w:t>
      </w:r>
      <w:r>
        <w:rPr>
          <w:sz w:val="21"/>
          <w:vertAlign w:val="baseline"/>
        </w:rPr>
        <w:t>only</w:t>
      </w:r>
      <w:r>
        <w:rPr>
          <w:spacing w:val="-10"/>
          <w:sz w:val="21"/>
          <w:vertAlign w:val="baseline"/>
        </w:rPr>
        <w:t> </w:t>
      </w:r>
      <w:r>
        <w:rPr>
          <w:sz w:val="21"/>
          <w:vertAlign w:val="baseline"/>
        </w:rPr>
        <w:t>take an anti-racist and intersectional stance, but also a culturally- responsive one. Whether in policy, youth services, or mental healthcare, cultural responsiveness begins with curiosity rather than generalization.</w:t>
      </w:r>
    </w:p>
    <w:p>
      <w:pPr>
        <w:spacing w:before="239"/>
        <w:ind w:left="463" w:right="0" w:firstLine="0"/>
        <w:jc w:val="both"/>
        <w:rPr>
          <w:sz w:val="21"/>
        </w:rPr>
      </w:pPr>
      <w:r>
        <w:rPr>
          <w:sz w:val="21"/>
        </w:rPr>
        <w:t>First,</w:t>
      </w:r>
      <w:r>
        <w:rPr>
          <w:spacing w:val="2"/>
          <w:sz w:val="21"/>
        </w:rPr>
        <w:t> </w:t>
      </w:r>
      <w:r>
        <w:rPr>
          <w:sz w:val="21"/>
        </w:rPr>
        <w:t>supporters</w:t>
      </w:r>
      <w:r>
        <w:rPr>
          <w:spacing w:val="1"/>
          <w:sz w:val="21"/>
        </w:rPr>
        <w:t> </w:t>
      </w:r>
      <w:r>
        <w:rPr>
          <w:sz w:val="21"/>
        </w:rPr>
        <w:t>of</w:t>
      </w:r>
      <w:r>
        <w:rPr>
          <w:spacing w:val="1"/>
          <w:sz w:val="21"/>
        </w:rPr>
        <w:t> </w:t>
      </w:r>
      <w:r>
        <w:rPr>
          <w:sz w:val="21"/>
        </w:rPr>
        <w:t>LGBTQ</w:t>
      </w:r>
      <w:r>
        <w:rPr>
          <w:spacing w:val="4"/>
          <w:sz w:val="21"/>
        </w:rPr>
        <w:t> </w:t>
      </w:r>
      <w:r>
        <w:rPr>
          <w:sz w:val="21"/>
        </w:rPr>
        <w:t>youth</w:t>
      </w:r>
      <w:r>
        <w:rPr>
          <w:spacing w:val="2"/>
          <w:sz w:val="21"/>
        </w:rPr>
        <w:t> </w:t>
      </w:r>
      <w:r>
        <w:rPr>
          <w:sz w:val="21"/>
        </w:rPr>
        <w:t>should</w:t>
      </w:r>
      <w:r>
        <w:rPr>
          <w:spacing w:val="2"/>
          <w:sz w:val="21"/>
        </w:rPr>
        <w:t> </w:t>
      </w:r>
      <w:r>
        <w:rPr>
          <w:sz w:val="21"/>
        </w:rPr>
        <w:t>recognize</w:t>
      </w:r>
      <w:r>
        <w:rPr>
          <w:spacing w:val="2"/>
          <w:sz w:val="21"/>
        </w:rPr>
        <w:t> </w:t>
      </w:r>
      <w:r>
        <w:rPr>
          <w:sz w:val="21"/>
        </w:rPr>
        <w:t>that</w:t>
      </w:r>
      <w:r>
        <w:rPr>
          <w:spacing w:val="3"/>
          <w:sz w:val="21"/>
        </w:rPr>
        <w:t> </w:t>
      </w:r>
      <w:r>
        <w:rPr>
          <w:spacing w:val="-2"/>
          <w:sz w:val="21"/>
        </w:rPr>
        <w:t>every</w:t>
      </w:r>
    </w:p>
    <w:p>
      <w:pPr>
        <w:spacing w:line="276" w:lineRule="auto" w:before="39"/>
        <w:ind w:left="463" w:right="241" w:firstLine="0"/>
        <w:jc w:val="both"/>
        <w:rPr>
          <w:sz w:val="21"/>
        </w:rPr>
      </w:pPr>
      <w:r>
        <w:rPr>
          <w:sz w:val="21"/>
        </w:rPr>
        <w:t>country</w:t>
      </w:r>
      <w:r>
        <w:rPr>
          <w:spacing w:val="-1"/>
          <w:sz w:val="21"/>
        </w:rPr>
        <w:t> </w:t>
      </w:r>
      <w:r>
        <w:rPr>
          <w:sz w:val="21"/>
        </w:rPr>
        <w:t>–</w:t>
      </w:r>
      <w:r>
        <w:rPr>
          <w:spacing w:val="-1"/>
          <w:sz w:val="21"/>
        </w:rPr>
        <w:t> </w:t>
      </w:r>
      <w:r>
        <w:rPr>
          <w:sz w:val="21"/>
        </w:rPr>
        <w:t>including</w:t>
      </w:r>
      <w:r>
        <w:rPr>
          <w:spacing w:val="-1"/>
          <w:sz w:val="21"/>
        </w:rPr>
        <w:t> </w:t>
      </w:r>
      <w:r>
        <w:rPr>
          <w:sz w:val="21"/>
        </w:rPr>
        <w:t>the</w:t>
      </w:r>
      <w:r>
        <w:rPr>
          <w:spacing w:val="-1"/>
          <w:sz w:val="21"/>
        </w:rPr>
        <w:t> </w:t>
      </w:r>
      <w:r>
        <w:rPr>
          <w:sz w:val="21"/>
        </w:rPr>
        <w:t>US</w:t>
      </w:r>
      <w:r>
        <w:rPr>
          <w:spacing w:val="-1"/>
          <w:sz w:val="21"/>
        </w:rPr>
        <w:t> </w:t>
      </w:r>
      <w:r>
        <w:rPr>
          <w:sz w:val="21"/>
        </w:rPr>
        <w:t>–</w:t>
      </w:r>
      <w:r>
        <w:rPr>
          <w:spacing w:val="-1"/>
          <w:sz w:val="21"/>
        </w:rPr>
        <w:t> </w:t>
      </w:r>
      <w:r>
        <w:rPr>
          <w:sz w:val="21"/>
        </w:rPr>
        <w:t>has</w:t>
      </w:r>
      <w:r>
        <w:rPr>
          <w:spacing w:val="-1"/>
          <w:sz w:val="21"/>
        </w:rPr>
        <w:t> </w:t>
      </w:r>
      <w:r>
        <w:rPr>
          <w:sz w:val="21"/>
        </w:rPr>
        <w:t>multiple</w:t>
      </w:r>
      <w:r>
        <w:rPr>
          <w:spacing w:val="-1"/>
          <w:sz w:val="21"/>
        </w:rPr>
        <w:t> </w:t>
      </w:r>
      <w:r>
        <w:rPr>
          <w:sz w:val="21"/>
        </w:rPr>
        <w:t>cultures</w:t>
      </w:r>
      <w:r>
        <w:rPr>
          <w:spacing w:val="-1"/>
          <w:sz w:val="21"/>
        </w:rPr>
        <w:t> </w:t>
      </w:r>
      <w:r>
        <w:rPr>
          <w:sz w:val="21"/>
        </w:rPr>
        <w:t>with</w:t>
      </w:r>
      <w:r>
        <w:rPr>
          <w:spacing w:val="-2"/>
          <w:sz w:val="21"/>
        </w:rPr>
        <w:t> </w:t>
      </w:r>
      <w:r>
        <w:rPr>
          <w:sz w:val="21"/>
        </w:rPr>
        <w:t>diverse</w:t>
      </w:r>
      <w:r>
        <w:rPr>
          <w:spacing w:val="-1"/>
          <w:sz w:val="21"/>
        </w:rPr>
        <w:t> </w:t>
      </w:r>
      <w:r>
        <w:rPr>
          <w:sz w:val="21"/>
        </w:rPr>
        <w:t>values, and</w:t>
      </w:r>
      <w:r>
        <w:rPr>
          <w:spacing w:val="-1"/>
          <w:sz w:val="21"/>
        </w:rPr>
        <w:t> </w:t>
      </w:r>
      <w:r>
        <w:rPr>
          <w:sz w:val="21"/>
        </w:rPr>
        <w:t>that foreign-born</w:t>
      </w:r>
      <w:r>
        <w:rPr>
          <w:spacing w:val="-1"/>
          <w:sz w:val="21"/>
        </w:rPr>
        <w:t> </w:t>
      </w:r>
      <w:r>
        <w:rPr>
          <w:sz w:val="21"/>
        </w:rPr>
        <w:t>youth</w:t>
      </w:r>
      <w:r>
        <w:rPr>
          <w:spacing w:val="-1"/>
          <w:sz w:val="21"/>
        </w:rPr>
        <w:t> </w:t>
      </w:r>
      <w:r>
        <w:rPr>
          <w:sz w:val="21"/>
        </w:rPr>
        <w:t>blend</w:t>
      </w:r>
      <w:r>
        <w:rPr>
          <w:spacing w:val="-1"/>
          <w:sz w:val="21"/>
        </w:rPr>
        <w:t> </w:t>
      </w:r>
      <w:r>
        <w:rPr>
          <w:sz w:val="21"/>
        </w:rPr>
        <w:t>these cultures differently across generations, regions, and families. Further, racial oppression (including assimilation pressures, colonization, forced migration, and inequitable systems of family separation, adoption, and foster care) can disconnect BIPOC youth and families from their heritage cultures. Thus, supporters should avoid assuming</w:t>
      </w:r>
      <w:r>
        <w:rPr>
          <w:spacing w:val="-6"/>
          <w:sz w:val="21"/>
        </w:rPr>
        <w:t> </w:t>
      </w:r>
      <w:r>
        <w:rPr>
          <w:sz w:val="21"/>
        </w:rPr>
        <w:t>that</w:t>
      </w:r>
      <w:r>
        <w:rPr>
          <w:spacing w:val="-6"/>
          <w:sz w:val="21"/>
        </w:rPr>
        <w:t> </w:t>
      </w:r>
      <w:r>
        <w:rPr>
          <w:sz w:val="21"/>
        </w:rPr>
        <w:t>all</w:t>
      </w:r>
      <w:r>
        <w:rPr>
          <w:spacing w:val="-6"/>
          <w:sz w:val="21"/>
        </w:rPr>
        <w:t> </w:t>
      </w:r>
      <w:r>
        <w:rPr>
          <w:sz w:val="21"/>
        </w:rPr>
        <w:t>foreign-born</w:t>
      </w:r>
      <w:r>
        <w:rPr>
          <w:spacing w:val="-6"/>
          <w:sz w:val="21"/>
        </w:rPr>
        <w:t> </w:t>
      </w:r>
      <w:r>
        <w:rPr>
          <w:sz w:val="21"/>
        </w:rPr>
        <w:t>youth</w:t>
      </w:r>
      <w:r>
        <w:rPr>
          <w:spacing w:val="-7"/>
          <w:sz w:val="21"/>
        </w:rPr>
        <w:t> </w:t>
      </w:r>
      <w:r>
        <w:rPr>
          <w:sz w:val="21"/>
        </w:rPr>
        <w:t>have</w:t>
      </w:r>
      <w:r>
        <w:rPr>
          <w:spacing w:val="-8"/>
          <w:sz w:val="21"/>
        </w:rPr>
        <w:t> </w:t>
      </w:r>
      <w:r>
        <w:rPr>
          <w:sz w:val="21"/>
        </w:rPr>
        <w:t>the</w:t>
      </w:r>
      <w:r>
        <w:rPr>
          <w:spacing w:val="-6"/>
          <w:sz w:val="21"/>
        </w:rPr>
        <w:t> </w:t>
      </w:r>
      <w:r>
        <w:rPr>
          <w:sz w:val="21"/>
        </w:rPr>
        <w:t>same</w:t>
      </w:r>
      <w:r>
        <w:rPr>
          <w:spacing w:val="-7"/>
          <w:sz w:val="21"/>
        </w:rPr>
        <w:t> </w:t>
      </w:r>
      <w:r>
        <w:rPr>
          <w:sz w:val="21"/>
        </w:rPr>
        <w:t>cultural</w:t>
      </w:r>
      <w:r>
        <w:rPr>
          <w:spacing w:val="-6"/>
          <w:sz w:val="21"/>
        </w:rPr>
        <w:t> </w:t>
      </w:r>
      <w:r>
        <w:rPr>
          <w:sz w:val="21"/>
        </w:rPr>
        <w:t>values</w:t>
      </w:r>
      <w:r>
        <w:rPr>
          <w:spacing w:val="-6"/>
          <w:sz w:val="21"/>
        </w:rPr>
        <w:t> </w:t>
      </w:r>
      <w:r>
        <w:rPr>
          <w:sz w:val="21"/>
        </w:rPr>
        <w:t>or</w:t>
      </w:r>
      <w:r>
        <w:rPr>
          <w:spacing w:val="-8"/>
          <w:sz w:val="21"/>
        </w:rPr>
        <w:t> </w:t>
      </w:r>
      <w:r>
        <w:rPr>
          <w:sz w:val="21"/>
        </w:rPr>
        <w:t>that</w:t>
      </w:r>
      <w:r>
        <w:rPr>
          <w:spacing w:val="-6"/>
          <w:sz w:val="21"/>
        </w:rPr>
        <w:t> </w:t>
      </w:r>
      <w:r>
        <w:rPr>
          <w:sz w:val="21"/>
        </w:rPr>
        <w:t>they</w:t>
      </w:r>
      <w:r>
        <w:rPr>
          <w:spacing w:val="-7"/>
          <w:sz w:val="21"/>
        </w:rPr>
        <w:t> </w:t>
      </w:r>
      <w:r>
        <w:rPr>
          <w:sz w:val="21"/>
        </w:rPr>
        <w:t>are</w:t>
      </w:r>
      <w:r>
        <w:rPr>
          <w:spacing w:val="-8"/>
          <w:sz w:val="21"/>
        </w:rPr>
        <w:t> </w:t>
      </w:r>
      <w:r>
        <w:rPr>
          <w:sz w:val="21"/>
        </w:rPr>
        <w:t>comfortably</w:t>
      </w:r>
      <w:r>
        <w:rPr>
          <w:spacing w:val="-6"/>
          <w:sz w:val="21"/>
        </w:rPr>
        <w:t> </w:t>
      </w:r>
      <w:r>
        <w:rPr>
          <w:sz w:val="21"/>
        </w:rPr>
        <w:t>connected</w:t>
      </w:r>
      <w:r>
        <w:rPr>
          <w:spacing w:val="-6"/>
          <w:sz w:val="21"/>
        </w:rPr>
        <w:t> </w:t>
      </w:r>
      <w:r>
        <w:rPr>
          <w:sz w:val="21"/>
        </w:rPr>
        <w:t>with their heritage cultures. Instead, supporters should recognize that each individual has their own relationship to </w:t>
      </w:r>
      <w:r>
        <w:rPr>
          <w:spacing w:val="-2"/>
          <w:sz w:val="21"/>
        </w:rPr>
        <w:t>culture.</w:t>
      </w:r>
    </w:p>
    <w:p>
      <w:pPr>
        <w:spacing w:line="276" w:lineRule="auto" w:before="240"/>
        <w:ind w:left="463" w:right="240" w:firstLine="0"/>
        <w:jc w:val="both"/>
        <w:rPr>
          <w:sz w:val="21"/>
        </w:rPr>
      </w:pPr>
      <w:r>
        <w:rPr>
          <w:sz w:val="21"/>
        </w:rPr>
        <w:t>Second, the Commission urges supporters not to place Western standards of mental health or LGBTQ identity upon</w:t>
      </w:r>
      <w:r>
        <w:rPr>
          <w:spacing w:val="-6"/>
          <w:sz w:val="21"/>
        </w:rPr>
        <w:t> </w:t>
      </w:r>
      <w:r>
        <w:rPr>
          <w:sz w:val="21"/>
        </w:rPr>
        <w:t>all</w:t>
      </w:r>
      <w:r>
        <w:rPr>
          <w:spacing w:val="-6"/>
          <w:sz w:val="21"/>
        </w:rPr>
        <w:t> </w:t>
      </w:r>
      <w:r>
        <w:rPr>
          <w:sz w:val="21"/>
        </w:rPr>
        <w:t>youth.</w:t>
      </w:r>
      <w:r>
        <w:rPr>
          <w:spacing w:val="-6"/>
          <w:sz w:val="21"/>
        </w:rPr>
        <w:t> </w:t>
      </w:r>
      <w:r>
        <w:rPr>
          <w:color w:val="1C1D1E"/>
          <w:sz w:val="21"/>
        </w:rPr>
        <w:t>One</w:t>
      </w:r>
      <w:r>
        <w:rPr>
          <w:color w:val="1C1D1E"/>
          <w:spacing w:val="-6"/>
          <w:sz w:val="21"/>
        </w:rPr>
        <w:t> </w:t>
      </w:r>
      <w:r>
        <w:rPr>
          <w:color w:val="1C1D1E"/>
          <w:sz w:val="21"/>
        </w:rPr>
        <w:t>example</w:t>
      </w:r>
      <w:r>
        <w:rPr>
          <w:color w:val="1C1D1E"/>
          <w:spacing w:val="-6"/>
          <w:sz w:val="21"/>
        </w:rPr>
        <w:t> </w:t>
      </w:r>
      <w:r>
        <w:rPr>
          <w:color w:val="1C1D1E"/>
          <w:sz w:val="21"/>
        </w:rPr>
        <w:t>is</w:t>
      </w:r>
      <w:r>
        <w:rPr>
          <w:color w:val="1C1D1E"/>
          <w:spacing w:val="-6"/>
          <w:sz w:val="21"/>
        </w:rPr>
        <w:t> </w:t>
      </w:r>
      <w:r>
        <w:rPr>
          <w:color w:val="1C1D1E"/>
          <w:sz w:val="21"/>
        </w:rPr>
        <w:t>to</w:t>
      </w:r>
      <w:r>
        <w:rPr>
          <w:color w:val="1C1D1E"/>
          <w:spacing w:val="-6"/>
          <w:sz w:val="21"/>
        </w:rPr>
        <w:t> </w:t>
      </w:r>
      <w:r>
        <w:rPr>
          <w:color w:val="1C1D1E"/>
          <w:sz w:val="21"/>
        </w:rPr>
        <w:t>avoid</w:t>
      </w:r>
      <w:r>
        <w:rPr>
          <w:color w:val="1C1D1E"/>
          <w:spacing w:val="-6"/>
          <w:sz w:val="21"/>
        </w:rPr>
        <w:t> </w:t>
      </w:r>
      <w:r>
        <w:rPr>
          <w:color w:val="1C1D1E"/>
          <w:sz w:val="21"/>
        </w:rPr>
        <w:t>assuming</w:t>
      </w:r>
      <w:r>
        <w:rPr>
          <w:color w:val="1C1D1E"/>
          <w:spacing w:val="-6"/>
          <w:sz w:val="21"/>
        </w:rPr>
        <w:t> </w:t>
      </w:r>
      <w:r>
        <w:rPr>
          <w:color w:val="1C1D1E"/>
          <w:sz w:val="21"/>
        </w:rPr>
        <w:t>that</w:t>
      </w:r>
      <w:r>
        <w:rPr>
          <w:color w:val="1C1D1E"/>
          <w:spacing w:val="-5"/>
          <w:sz w:val="21"/>
        </w:rPr>
        <w:t> </w:t>
      </w:r>
      <w:r>
        <w:rPr>
          <w:color w:val="1C1D1E"/>
          <w:sz w:val="21"/>
        </w:rPr>
        <w:t>youth</w:t>
      </w:r>
      <w:r>
        <w:rPr>
          <w:color w:val="1C1D1E"/>
          <w:spacing w:val="-6"/>
          <w:sz w:val="21"/>
        </w:rPr>
        <w:t> </w:t>
      </w:r>
      <w:r>
        <w:rPr>
          <w:color w:val="1C1D1E"/>
          <w:sz w:val="21"/>
        </w:rPr>
        <w:t>want</w:t>
      </w:r>
      <w:r>
        <w:rPr>
          <w:color w:val="1C1D1E"/>
          <w:spacing w:val="-5"/>
          <w:sz w:val="21"/>
        </w:rPr>
        <w:t> </w:t>
      </w:r>
      <w:r>
        <w:rPr>
          <w:color w:val="1C1D1E"/>
          <w:sz w:val="21"/>
        </w:rPr>
        <w:t>to</w:t>
      </w:r>
      <w:r>
        <w:rPr>
          <w:color w:val="1C1D1E"/>
          <w:spacing w:val="-6"/>
          <w:sz w:val="21"/>
        </w:rPr>
        <w:t> </w:t>
      </w:r>
      <w:r>
        <w:rPr>
          <w:color w:val="1C1D1E"/>
          <w:sz w:val="21"/>
        </w:rPr>
        <w:t>eventually</w:t>
      </w:r>
      <w:r>
        <w:rPr>
          <w:color w:val="1C1D1E"/>
          <w:spacing w:val="-6"/>
          <w:sz w:val="21"/>
        </w:rPr>
        <w:t> </w:t>
      </w:r>
      <w:r>
        <w:rPr>
          <w:color w:val="1C1D1E"/>
          <w:sz w:val="21"/>
        </w:rPr>
        <w:t>“come</w:t>
      </w:r>
      <w:r>
        <w:rPr>
          <w:color w:val="1C1D1E"/>
          <w:spacing w:val="-6"/>
          <w:sz w:val="21"/>
        </w:rPr>
        <w:t> </w:t>
      </w:r>
      <w:r>
        <w:rPr>
          <w:color w:val="1C1D1E"/>
          <w:sz w:val="21"/>
        </w:rPr>
        <w:t>out,”</w:t>
      </w:r>
      <w:r>
        <w:rPr>
          <w:color w:val="1C1D1E"/>
          <w:spacing w:val="-6"/>
          <w:sz w:val="21"/>
        </w:rPr>
        <w:t> </w:t>
      </w:r>
      <w:r>
        <w:rPr>
          <w:color w:val="1C1D1E"/>
          <w:sz w:val="21"/>
        </w:rPr>
        <w:t>since</w:t>
      </w:r>
      <w:r>
        <w:rPr>
          <w:color w:val="1C1D1E"/>
          <w:spacing w:val="-6"/>
          <w:sz w:val="21"/>
        </w:rPr>
        <w:t> </w:t>
      </w:r>
      <w:r>
        <w:rPr>
          <w:color w:val="1C1D1E"/>
          <w:sz w:val="21"/>
        </w:rPr>
        <w:t>this</w:t>
      </w:r>
      <w:r>
        <w:rPr>
          <w:color w:val="1C1D1E"/>
          <w:spacing w:val="-6"/>
          <w:sz w:val="21"/>
        </w:rPr>
        <w:t> </w:t>
      </w:r>
      <w:r>
        <w:rPr>
          <w:color w:val="1C1D1E"/>
          <w:sz w:val="21"/>
        </w:rPr>
        <w:t>does</w:t>
      </w:r>
      <w:r>
        <w:rPr>
          <w:color w:val="1C1D1E"/>
          <w:spacing w:val="-6"/>
          <w:sz w:val="21"/>
        </w:rPr>
        <w:t> </w:t>
      </w:r>
      <w:r>
        <w:rPr>
          <w:color w:val="1C1D1E"/>
          <w:sz w:val="21"/>
        </w:rPr>
        <w:t>not fit</w:t>
      </w:r>
      <w:r>
        <w:rPr>
          <w:color w:val="1C1D1E"/>
          <w:spacing w:val="-12"/>
          <w:sz w:val="21"/>
        </w:rPr>
        <w:t> </w:t>
      </w:r>
      <w:r>
        <w:rPr>
          <w:color w:val="1C1D1E"/>
          <w:sz w:val="21"/>
        </w:rPr>
        <w:t>all</w:t>
      </w:r>
      <w:r>
        <w:rPr>
          <w:color w:val="1C1D1E"/>
          <w:spacing w:val="-11"/>
          <w:sz w:val="21"/>
        </w:rPr>
        <w:t> </w:t>
      </w:r>
      <w:r>
        <w:rPr>
          <w:color w:val="1C1D1E"/>
          <w:sz w:val="21"/>
        </w:rPr>
        <w:t>cultural</w:t>
      </w:r>
      <w:r>
        <w:rPr>
          <w:color w:val="1C1D1E"/>
          <w:spacing w:val="-12"/>
          <w:sz w:val="21"/>
        </w:rPr>
        <w:t> </w:t>
      </w:r>
      <w:r>
        <w:rPr>
          <w:color w:val="1C1D1E"/>
          <w:sz w:val="21"/>
        </w:rPr>
        <w:t>norms.</w:t>
      </w:r>
      <w:r>
        <w:rPr>
          <w:color w:val="1C1D1E"/>
          <w:spacing w:val="-12"/>
          <w:sz w:val="21"/>
        </w:rPr>
        <w:t> </w:t>
      </w:r>
      <w:r>
        <w:rPr>
          <w:color w:val="1C1D1E"/>
          <w:sz w:val="21"/>
        </w:rPr>
        <w:t>In</w:t>
      </w:r>
      <w:r>
        <w:rPr>
          <w:color w:val="1C1D1E"/>
          <w:spacing w:val="-11"/>
          <w:sz w:val="21"/>
        </w:rPr>
        <w:t> </w:t>
      </w:r>
      <w:r>
        <w:rPr>
          <w:color w:val="1C1D1E"/>
          <w:sz w:val="21"/>
        </w:rPr>
        <w:t>Hong</w:t>
      </w:r>
      <w:r>
        <w:rPr>
          <w:color w:val="1C1D1E"/>
          <w:spacing w:val="-12"/>
          <w:sz w:val="21"/>
        </w:rPr>
        <w:t> </w:t>
      </w:r>
      <w:r>
        <w:rPr>
          <w:color w:val="1C1D1E"/>
          <w:sz w:val="21"/>
        </w:rPr>
        <w:t>Kong,</w:t>
      </w:r>
      <w:r>
        <w:rPr>
          <w:color w:val="1C1D1E"/>
          <w:spacing w:val="-11"/>
          <w:sz w:val="21"/>
        </w:rPr>
        <w:t> </w:t>
      </w:r>
      <w:r>
        <w:rPr>
          <w:color w:val="1C1D1E"/>
          <w:sz w:val="21"/>
        </w:rPr>
        <w:t>some</w:t>
      </w:r>
      <w:r>
        <w:rPr>
          <w:color w:val="1C1D1E"/>
          <w:spacing w:val="-12"/>
          <w:sz w:val="21"/>
        </w:rPr>
        <w:t> </w:t>
      </w:r>
      <w:r>
        <w:rPr>
          <w:color w:val="1C1D1E"/>
          <w:sz w:val="21"/>
        </w:rPr>
        <w:t>use</w:t>
      </w:r>
      <w:r>
        <w:rPr>
          <w:color w:val="1C1D1E"/>
          <w:spacing w:val="-12"/>
          <w:sz w:val="21"/>
        </w:rPr>
        <w:t> </w:t>
      </w:r>
      <w:r>
        <w:rPr>
          <w:color w:val="1C1D1E"/>
          <w:sz w:val="21"/>
        </w:rPr>
        <w:t>the</w:t>
      </w:r>
      <w:r>
        <w:rPr>
          <w:color w:val="1C1D1E"/>
          <w:spacing w:val="-12"/>
          <w:sz w:val="21"/>
        </w:rPr>
        <w:t> </w:t>
      </w:r>
      <w:r>
        <w:rPr>
          <w:color w:val="1C1D1E"/>
          <w:sz w:val="21"/>
        </w:rPr>
        <w:t>“coming</w:t>
      </w:r>
      <w:r>
        <w:rPr>
          <w:color w:val="1C1D1E"/>
          <w:spacing w:val="-12"/>
          <w:sz w:val="21"/>
        </w:rPr>
        <w:t> </w:t>
      </w:r>
      <w:r>
        <w:rPr>
          <w:color w:val="1C1D1E"/>
          <w:sz w:val="21"/>
        </w:rPr>
        <w:t>home”</w:t>
      </w:r>
      <w:r>
        <w:rPr>
          <w:color w:val="1C1D1E"/>
          <w:spacing w:val="-11"/>
          <w:sz w:val="21"/>
        </w:rPr>
        <w:t> </w:t>
      </w:r>
      <w:r>
        <w:rPr>
          <w:color w:val="1C1D1E"/>
          <w:sz w:val="21"/>
        </w:rPr>
        <w:t>method</w:t>
      </w:r>
      <w:r>
        <w:rPr>
          <w:color w:val="1C1D1E"/>
          <w:spacing w:val="-11"/>
          <w:sz w:val="21"/>
        </w:rPr>
        <w:t> </w:t>
      </w:r>
      <w:r>
        <w:rPr>
          <w:color w:val="1C1D1E"/>
          <w:sz w:val="21"/>
        </w:rPr>
        <w:t>of</w:t>
      </w:r>
      <w:r>
        <w:rPr>
          <w:color w:val="1C1D1E"/>
          <w:spacing w:val="-12"/>
          <w:sz w:val="21"/>
        </w:rPr>
        <w:t> </w:t>
      </w:r>
      <w:r>
        <w:rPr>
          <w:color w:val="1C1D1E"/>
          <w:sz w:val="21"/>
        </w:rPr>
        <w:t>simply</w:t>
      </w:r>
      <w:r>
        <w:rPr>
          <w:color w:val="1C1D1E"/>
          <w:spacing w:val="-11"/>
          <w:sz w:val="21"/>
        </w:rPr>
        <w:t> </w:t>
      </w:r>
      <w:r>
        <w:rPr>
          <w:color w:val="1C1D1E"/>
          <w:sz w:val="21"/>
        </w:rPr>
        <w:t>bringing</w:t>
      </w:r>
      <w:r>
        <w:rPr>
          <w:color w:val="1C1D1E"/>
          <w:spacing w:val="-12"/>
          <w:sz w:val="21"/>
        </w:rPr>
        <w:t> </w:t>
      </w:r>
      <w:r>
        <w:rPr>
          <w:color w:val="1C1D1E"/>
          <w:sz w:val="21"/>
        </w:rPr>
        <w:t>their</w:t>
      </w:r>
      <w:r>
        <w:rPr>
          <w:color w:val="1C1D1E"/>
          <w:spacing w:val="-12"/>
          <w:sz w:val="21"/>
        </w:rPr>
        <w:t> </w:t>
      </w:r>
      <w:r>
        <w:rPr>
          <w:color w:val="1C1D1E"/>
          <w:sz w:val="21"/>
        </w:rPr>
        <w:t>partners</w:t>
      </w:r>
      <w:r>
        <w:rPr>
          <w:color w:val="1C1D1E"/>
          <w:spacing w:val="-12"/>
          <w:sz w:val="21"/>
        </w:rPr>
        <w:t> </w:t>
      </w:r>
      <w:r>
        <w:rPr>
          <w:color w:val="1C1D1E"/>
          <w:sz w:val="21"/>
        </w:rPr>
        <w:t>home instead, forgoing a direct conversation or</w:t>
      </w:r>
      <w:r>
        <w:rPr>
          <w:color w:val="1C1D1E"/>
          <w:spacing w:val="-1"/>
          <w:sz w:val="21"/>
        </w:rPr>
        <w:t> </w:t>
      </w:r>
      <w:r>
        <w:rPr>
          <w:color w:val="1C1D1E"/>
          <w:sz w:val="21"/>
        </w:rPr>
        <w:t>declaration</w:t>
      </w:r>
      <w:hyperlink w:history="true" w:anchor="_bookmark133">
        <w:r>
          <w:rPr>
            <w:color w:val="1C1D1E"/>
            <w:sz w:val="21"/>
          </w:rPr>
          <w:t>.</w:t>
        </w:r>
        <w:r>
          <w:rPr>
            <w:color w:val="1C1D1E"/>
            <w:sz w:val="21"/>
            <w:vertAlign w:val="superscript"/>
          </w:rPr>
          <w:t>32</w:t>
        </w:r>
      </w:hyperlink>
      <w:r>
        <w:rPr>
          <w:color w:val="1C1D1E"/>
          <w:spacing w:val="-1"/>
          <w:sz w:val="21"/>
          <w:vertAlign w:val="baseline"/>
        </w:rPr>
        <w:t> </w:t>
      </w:r>
      <w:r>
        <w:rPr>
          <w:sz w:val="21"/>
          <w:vertAlign w:val="baseline"/>
        </w:rPr>
        <w:t>Another example is to</w:t>
      </w:r>
      <w:r>
        <w:rPr>
          <w:spacing w:val="-1"/>
          <w:sz w:val="21"/>
          <w:vertAlign w:val="baseline"/>
        </w:rPr>
        <w:t> </w:t>
      </w:r>
      <w:r>
        <w:rPr>
          <w:sz w:val="21"/>
          <w:vertAlign w:val="baseline"/>
        </w:rPr>
        <w:t>remember that mental health is expressed</w:t>
      </w:r>
      <w:r>
        <w:rPr>
          <w:spacing w:val="-12"/>
          <w:sz w:val="21"/>
          <w:vertAlign w:val="baseline"/>
        </w:rPr>
        <w:t> </w:t>
      </w:r>
      <w:r>
        <w:rPr>
          <w:sz w:val="21"/>
          <w:vertAlign w:val="baseline"/>
        </w:rPr>
        <w:t>differently</w:t>
      </w:r>
      <w:r>
        <w:rPr>
          <w:spacing w:val="-12"/>
          <w:sz w:val="21"/>
          <w:vertAlign w:val="baseline"/>
        </w:rPr>
        <w:t> </w:t>
      </w:r>
      <w:r>
        <w:rPr>
          <w:sz w:val="21"/>
          <w:vertAlign w:val="baseline"/>
        </w:rPr>
        <w:t>across</w:t>
      </w:r>
      <w:r>
        <w:rPr>
          <w:spacing w:val="-12"/>
          <w:sz w:val="21"/>
          <w:vertAlign w:val="baseline"/>
        </w:rPr>
        <w:t> </w:t>
      </w:r>
      <w:r>
        <w:rPr>
          <w:sz w:val="21"/>
          <w:vertAlign w:val="baseline"/>
        </w:rPr>
        <w:t>cultures.</w:t>
      </w:r>
      <w:r>
        <w:rPr>
          <w:spacing w:val="-12"/>
          <w:sz w:val="21"/>
          <w:vertAlign w:val="baseline"/>
        </w:rPr>
        <w:t> </w:t>
      </w:r>
      <w:r>
        <w:rPr>
          <w:sz w:val="21"/>
          <w:vertAlign w:val="baseline"/>
        </w:rPr>
        <w:t>Asian</w:t>
      </w:r>
      <w:r>
        <w:rPr>
          <w:spacing w:val="-12"/>
          <w:sz w:val="21"/>
          <w:vertAlign w:val="baseline"/>
        </w:rPr>
        <w:t> </w:t>
      </w:r>
      <w:r>
        <w:rPr>
          <w:sz w:val="21"/>
          <w:vertAlign w:val="baseline"/>
        </w:rPr>
        <w:t>Americans</w:t>
      </w:r>
      <w:r>
        <w:rPr>
          <w:spacing w:val="-12"/>
          <w:sz w:val="21"/>
          <w:vertAlign w:val="baseline"/>
        </w:rPr>
        <w:t> </w:t>
      </w:r>
      <w:r>
        <w:rPr>
          <w:sz w:val="21"/>
          <w:vertAlign w:val="baseline"/>
        </w:rPr>
        <w:t>are</w:t>
      </w:r>
      <w:r>
        <w:rPr>
          <w:spacing w:val="-12"/>
          <w:sz w:val="21"/>
          <w:vertAlign w:val="baseline"/>
        </w:rPr>
        <w:t> </w:t>
      </w:r>
      <w:r>
        <w:rPr>
          <w:sz w:val="21"/>
          <w:vertAlign w:val="baseline"/>
        </w:rPr>
        <w:t>more</w:t>
      </w:r>
      <w:r>
        <w:rPr>
          <w:spacing w:val="-11"/>
          <w:sz w:val="21"/>
          <w:vertAlign w:val="baseline"/>
        </w:rPr>
        <w:t> </w:t>
      </w:r>
      <w:r>
        <w:rPr>
          <w:sz w:val="21"/>
          <w:vertAlign w:val="baseline"/>
        </w:rPr>
        <w:t>likely</w:t>
      </w:r>
      <w:r>
        <w:rPr>
          <w:spacing w:val="-12"/>
          <w:sz w:val="21"/>
          <w:vertAlign w:val="baseline"/>
        </w:rPr>
        <w:t> </w:t>
      </w:r>
      <w:r>
        <w:rPr>
          <w:sz w:val="21"/>
          <w:vertAlign w:val="baseline"/>
        </w:rPr>
        <w:t>to</w:t>
      </w:r>
      <w:r>
        <w:rPr>
          <w:spacing w:val="-12"/>
          <w:sz w:val="21"/>
          <w:vertAlign w:val="baseline"/>
        </w:rPr>
        <w:t> </w:t>
      </w:r>
      <w:r>
        <w:rPr>
          <w:sz w:val="21"/>
          <w:vertAlign w:val="baseline"/>
        </w:rPr>
        <w:t>express</w:t>
      </w:r>
      <w:r>
        <w:rPr>
          <w:spacing w:val="-12"/>
          <w:sz w:val="21"/>
          <w:vertAlign w:val="baseline"/>
        </w:rPr>
        <w:t> </w:t>
      </w:r>
      <w:r>
        <w:rPr>
          <w:sz w:val="21"/>
          <w:vertAlign w:val="baseline"/>
        </w:rPr>
        <w:t>mental</w:t>
      </w:r>
      <w:r>
        <w:rPr>
          <w:spacing w:val="-12"/>
          <w:sz w:val="21"/>
          <w:vertAlign w:val="baseline"/>
        </w:rPr>
        <w:t> </w:t>
      </w:r>
      <w:r>
        <w:rPr>
          <w:sz w:val="21"/>
          <w:vertAlign w:val="baseline"/>
        </w:rPr>
        <w:t>health</w:t>
      </w:r>
      <w:r>
        <w:rPr>
          <w:spacing w:val="-12"/>
          <w:sz w:val="21"/>
          <w:vertAlign w:val="baseline"/>
        </w:rPr>
        <w:t> </w:t>
      </w:r>
      <w:r>
        <w:rPr>
          <w:sz w:val="21"/>
          <w:vertAlign w:val="baseline"/>
        </w:rPr>
        <w:t>issues</w:t>
      </w:r>
      <w:r>
        <w:rPr>
          <w:spacing w:val="-12"/>
          <w:sz w:val="21"/>
          <w:vertAlign w:val="baseline"/>
        </w:rPr>
        <w:t> </w:t>
      </w:r>
      <w:r>
        <w:rPr>
          <w:sz w:val="21"/>
          <w:vertAlign w:val="baseline"/>
        </w:rPr>
        <w:t>as</w:t>
      </w:r>
      <w:r>
        <w:rPr>
          <w:spacing w:val="-12"/>
          <w:sz w:val="21"/>
          <w:vertAlign w:val="baseline"/>
        </w:rPr>
        <w:t> </w:t>
      </w:r>
      <w:r>
        <w:rPr>
          <w:sz w:val="21"/>
          <w:vertAlign w:val="baseline"/>
        </w:rPr>
        <w:t>physical symptoms; when service providers only look for Western signs of distress, these issues go undetected, misdiagnosed, or treated inappropriately</w:t>
      </w:r>
      <w:hyperlink w:history="true" w:anchor="_bookmark134">
        <w:r>
          <w:rPr>
            <w:sz w:val="21"/>
            <w:vertAlign w:val="baseline"/>
          </w:rPr>
          <w:t>.</w:t>
        </w:r>
        <w:r>
          <w:rPr>
            <w:color w:val="1C1D1E"/>
            <w:sz w:val="21"/>
            <w:vertAlign w:val="superscript"/>
          </w:rPr>
          <w:t>33</w:t>
        </w:r>
      </w:hyperlink>
    </w:p>
    <w:p>
      <w:pPr>
        <w:spacing w:line="276" w:lineRule="auto" w:before="240"/>
        <w:ind w:left="463" w:right="237" w:firstLine="0"/>
        <w:jc w:val="both"/>
        <w:rPr>
          <w:sz w:val="21"/>
        </w:rPr>
      </w:pPr>
      <w:r>
        <w:rPr>
          <w:sz w:val="21"/>
        </w:rPr>
        <w:t>Third, supporters</w:t>
      </w:r>
      <w:r>
        <w:rPr>
          <w:spacing w:val="-1"/>
          <w:sz w:val="21"/>
        </w:rPr>
        <w:t> </w:t>
      </w:r>
      <w:r>
        <w:rPr>
          <w:sz w:val="21"/>
        </w:rPr>
        <w:t>should</w:t>
      </w:r>
      <w:r>
        <w:rPr>
          <w:spacing w:val="-1"/>
          <w:sz w:val="21"/>
        </w:rPr>
        <w:t> </w:t>
      </w:r>
      <w:r>
        <w:rPr>
          <w:sz w:val="21"/>
        </w:rPr>
        <w:t>invest in</w:t>
      </w:r>
      <w:r>
        <w:rPr>
          <w:spacing w:val="-1"/>
          <w:sz w:val="21"/>
        </w:rPr>
        <w:t> </w:t>
      </w:r>
      <w:r>
        <w:rPr>
          <w:sz w:val="21"/>
        </w:rPr>
        <w:t>culturally-responsive, LGBTQ-affirming</w:t>
      </w:r>
      <w:r>
        <w:rPr>
          <w:spacing w:val="-1"/>
          <w:sz w:val="21"/>
        </w:rPr>
        <w:t> </w:t>
      </w:r>
      <w:r>
        <w:rPr>
          <w:sz w:val="21"/>
        </w:rPr>
        <w:t>mental</w:t>
      </w:r>
      <w:r>
        <w:rPr>
          <w:spacing w:val="-1"/>
          <w:sz w:val="21"/>
        </w:rPr>
        <w:t> </w:t>
      </w:r>
      <w:r>
        <w:rPr>
          <w:sz w:val="21"/>
        </w:rPr>
        <w:t>health</w:t>
      </w:r>
      <w:r>
        <w:rPr>
          <w:spacing w:val="-1"/>
          <w:sz w:val="21"/>
        </w:rPr>
        <w:t> </w:t>
      </w:r>
      <w:r>
        <w:rPr>
          <w:sz w:val="21"/>
        </w:rPr>
        <w:t>resources. In 2020, the Trevor</w:t>
      </w:r>
      <w:r>
        <w:rPr>
          <w:spacing w:val="-12"/>
          <w:sz w:val="21"/>
        </w:rPr>
        <w:t> </w:t>
      </w:r>
      <w:r>
        <w:rPr>
          <w:sz w:val="21"/>
        </w:rPr>
        <w:t>Project</w:t>
      </w:r>
      <w:r>
        <w:rPr>
          <w:spacing w:val="-12"/>
          <w:sz w:val="21"/>
        </w:rPr>
        <w:t> </w:t>
      </w:r>
      <w:r>
        <w:rPr>
          <w:sz w:val="21"/>
        </w:rPr>
        <w:t>found</w:t>
      </w:r>
      <w:r>
        <w:rPr>
          <w:spacing w:val="-12"/>
          <w:sz w:val="21"/>
        </w:rPr>
        <w:t> </w:t>
      </w:r>
      <w:r>
        <w:rPr>
          <w:sz w:val="21"/>
        </w:rPr>
        <w:t>that</w:t>
      </w:r>
      <w:r>
        <w:rPr>
          <w:spacing w:val="-12"/>
          <w:sz w:val="21"/>
        </w:rPr>
        <w:t> </w:t>
      </w:r>
      <w:r>
        <w:rPr>
          <w:sz w:val="21"/>
        </w:rPr>
        <w:t>many</w:t>
      </w:r>
      <w:r>
        <w:rPr>
          <w:spacing w:val="-12"/>
          <w:sz w:val="21"/>
        </w:rPr>
        <w:t> </w:t>
      </w:r>
      <w:r>
        <w:rPr>
          <w:sz w:val="21"/>
        </w:rPr>
        <w:t>LGBTQ</w:t>
      </w:r>
      <w:r>
        <w:rPr>
          <w:spacing w:val="-12"/>
          <w:sz w:val="21"/>
        </w:rPr>
        <w:t> </w:t>
      </w:r>
      <w:r>
        <w:rPr>
          <w:sz w:val="21"/>
        </w:rPr>
        <w:t>youth</w:t>
      </w:r>
      <w:r>
        <w:rPr>
          <w:spacing w:val="-12"/>
          <w:sz w:val="21"/>
        </w:rPr>
        <w:t> </w:t>
      </w:r>
      <w:r>
        <w:rPr>
          <w:sz w:val="21"/>
        </w:rPr>
        <w:t>did</w:t>
      </w:r>
      <w:r>
        <w:rPr>
          <w:spacing w:val="-11"/>
          <w:sz w:val="21"/>
        </w:rPr>
        <w:t> </w:t>
      </w:r>
      <w:r>
        <w:rPr>
          <w:sz w:val="21"/>
        </w:rPr>
        <w:t>not</w:t>
      </w:r>
      <w:r>
        <w:rPr>
          <w:spacing w:val="-12"/>
          <w:sz w:val="21"/>
        </w:rPr>
        <w:t> </w:t>
      </w:r>
      <w:r>
        <w:rPr>
          <w:sz w:val="21"/>
        </w:rPr>
        <w:t>access</w:t>
      </w:r>
      <w:r>
        <w:rPr>
          <w:spacing w:val="-12"/>
          <w:sz w:val="21"/>
        </w:rPr>
        <w:t> </w:t>
      </w:r>
      <w:r>
        <w:rPr>
          <w:sz w:val="21"/>
        </w:rPr>
        <w:t>mental</w:t>
      </w:r>
      <w:r>
        <w:rPr>
          <w:spacing w:val="-12"/>
          <w:sz w:val="21"/>
        </w:rPr>
        <w:t> </w:t>
      </w:r>
      <w:r>
        <w:rPr>
          <w:sz w:val="21"/>
        </w:rPr>
        <w:t>healthcare</w:t>
      </w:r>
      <w:r>
        <w:rPr>
          <w:spacing w:val="-12"/>
          <w:sz w:val="21"/>
        </w:rPr>
        <w:t> </w:t>
      </w:r>
      <w:r>
        <w:rPr>
          <w:sz w:val="21"/>
        </w:rPr>
        <w:t>because</w:t>
      </w:r>
      <w:r>
        <w:rPr>
          <w:spacing w:val="-12"/>
          <w:sz w:val="21"/>
        </w:rPr>
        <w:t> </w:t>
      </w:r>
      <w:r>
        <w:rPr>
          <w:sz w:val="21"/>
        </w:rPr>
        <w:t>they</w:t>
      </w:r>
      <w:r>
        <w:rPr>
          <w:spacing w:val="-12"/>
          <w:sz w:val="21"/>
        </w:rPr>
        <w:t> </w:t>
      </w:r>
      <w:r>
        <w:rPr>
          <w:sz w:val="21"/>
        </w:rPr>
        <w:t>faced</w:t>
      </w:r>
      <w:r>
        <w:rPr>
          <w:spacing w:val="-12"/>
          <w:sz w:val="21"/>
        </w:rPr>
        <w:t> </w:t>
      </w:r>
      <w:r>
        <w:rPr>
          <w:sz w:val="21"/>
        </w:rPr>
        <w:t>mental</w:t>
      </w:r>
      <w:r>
        <w:rPr>
          <w:spacing w:val="-11"/>
          <w:sz w:val="21"/>
        </w:rPr>
        <w:t> </w:t>
      </w:r>
      <w:r>
        <w:rPr>
          <w:sz w:val="21"/>
        </w:rPr>
        <w:t>health stigma in their communities or worried that providers would not understand the impact of racism and culture in their lives</w:t>
      </w:r>
      <w:hyperlink w:history="true" w:anchor="_bookmark135">
        <w:r>
          <w:rPr>
            <w:sz w:val="21"/>
          </w:rPr>
          <w:t>.</w:t>
        </w:r>
        <w:r>
          <w:rPr>
            <w:sz w:val="21"/>
            <w:vertAlign w:val="superscript"/>
          </w:rPr>
          <w:t>34</w:t>
        </w:r>
      </w:hyperlink>
      <w:r>
        <w:rPr>
          <w:sz w:val="21"/>
          <w:vertAlign w:val="baseline"/>
        </w:rPr>
        <w:t> Thus, the Commonwealth should invest in providers and services who are culturally representative</w:t>
      </w:r>
      <w:r>
        <w:rPr>
          <w:spacing w:val="-4"/>
          <w:sz w:val="21"/>
          <w:vertAlign w:val="baseline"/>
        </w:rPr>
        <w:t> </w:t>
      </w:r>
      <w:r>
        <w:rPr>
          <w:sz w:val="21"/>
          <w:vertAlign w:val="baseline"/>
        </w:rPr>
        <w:t>and</w:t>
      </w:r>
      <w:r>
        <w:rPr>
          <w:spacing w:val="-4"/>
          <w:sz w:val="21"/>
          <w:vertAlign w:val="baseline"/>
        </w:rPr>
        <w:t> </w:t>
      </w:r>
      <w:r>
        <w:rPr>
          <w:sz w:val="21"/>
          <w:vertAlign w:val="baseline"/>
        </w:rPr>
        <w:t>multilingual.</w:t>
      </w:r>
      <w:r>
        <w:rPr>
          <w:spacing w:val="-4"/>
          <w:sz w:val="21"/>
          <w:vertAlign w:val="baseline"/>
        </w:rPr>
        <w:t> </w:t>
      </w:r>
      <w:r>
        <w:rPr>
          <w:sz w:val="21"/>
          <w:vertAlign w:val="baseline"/>
        </w:rPr>
        <w:t>Language</w:t>
      </w:r>
      <w:r>
        <w:rPr>
          <w:spacing w:val="-4"/>
          <w:sz w:val="21"/>
          <w:vertAlign w:val="baseline"/>
        </w:rPr>
        <w:t> </w:t>
      </w:r>
      <w:r>
        <w:rPr>
          <w:sz w:val="21"/>
          <w:vertAlign w:val="baseline"/>
        </w:rPr>
        <w:t>access</w:t>
      </w:r>
      <w:r>
        <w:rPr>
          <w:spacing w:val="-4"/>
          <w:sz w:val="21"/>
          <w:vertAlign w:val="baseline"/>
        </w:rPr>
        <w:t> </w:t>
      </w:r>
      <w:r>
        <w:rPr>
          <w:sz w:val="21"/>
          <w:vertAlign w:val="baseline"/>
        </w:rPr>
        <w:t>is</w:t>
      </w:r>
      <w:r>
        <w:rPr>
          <w:spacing w:val="-4"/>
          <w:sz w:val="21"/>
          <w:vertAlign w:val="baseline"/>
        </w:rPr>
        <w:t> </w:t>
      </w:r>
      <w:r>
        <w:rPr>
          <w:sz w:val="21"/>
          <w:vertAlign w:val="baseline"/>
        </w:rPr>
        <w:t>especially</w:t>
      </w:r>
      <w:r>
        <w:rPr>
          <w:spacing w:val="-4"/>
          <w:sz w:val="21"/>
          <w:vertAlign w:val="baseline"/>
        </w:rPr>
        <w:t> </w:t>
      </w:r>
      <w:r>
        <w:rPr>
          <w:sz w:val="21"/>
          <w:vertAlign w:val="baseline"/>
        </w:rPr>
        <w:t>lacking;</w:t>
      </w:r>
      <w:r>
        <w:rPr>
          <w:spacing w:val="-4"/>
          <w:sz w:val="21"/>
          <w:vertAlign w:val="baseline"/>
        </w:rPr>
        <w:t> </w:t>
      </w:r>
      <w:r>
        <w:rPr>
          <w:sz w:val="21"/>
          <w:vertAlign w:val="baseline"/>
        </w:rPr>
        <w:t>before</w:t>
      </w:r>
      <w:r>
        <w:rPr>
          <w:spacing w:val="-4"/>
          <w:sz w:val="21"/>
          <w:vertAlign w:val="baseline"/>
        </w:rPr>
        <w:t> </w:t>
      </w:r>
      <w:r>
        <w:rPr>
          <w:sz w:val="21"/>
          <w:vertAlign w:val="baseline"/>
        </w:rPr>
        <w:t>2021,</w:t>
      </w:r>
      <w:r>
        <w:rPr>
          <w:spacing w:val="-4"/>
          <w:sz w:val="21"/>
          <w:vertAlign w:val="baseline"/>
        </w:rPr>
        <w:t> </w:t>
      </w:r>
      <w:r>
        <w:rPr>
          <w:sz w:val="21"/>
          <w:vertAlign w:val="baseline"/>
        </w:rPr>
        <w:t>for</w:t>
      </w:r>
      <w:r>
        <w:rPr>
          <w:spacing w:val="-4"/>
          <w:sz w:val="21"/>
          <w:vertAlign w:val="baseline"/>
        </w:rPr>
        <w:t> </w:t>
      </w:r>
      <w:r>
        <w:rPr>
          <w:sz w:val="21"/>
          <w:vertAlign w:val="baseline"/>
        </w:rPr>
        <w:t>instance,</w:t>
      </w:r>
      <w:r>
        <w:rPr>
          <w:spacing w:val="-4"/>
          <w:sz w:val="21"/>
          <w:vertAlign w:val="baseline"/>
        </w:rPr>
        <w:t> </w:t>
      </w:r>
      <w:r>
        <w:rPr>
          <w:sz w:val="21"/>
          <w:vertAlign w:val="baseline"/>
        </w:rPr>
        <w:t>bilingual</w:t>
      </w:r>
      <w:r>
        <w:rPr>
          <w:spacing w:val="-4"/>
          <w:sz w:val="21"/>
          <w:vertAlign w:val="baseline"/>
        </w:rPr>
        <w:t> </w:t>
      </w:r>
      <w:r>
        <w:rPr>
          <w:sz w:val="21"/>
          <w:vertAlign w:val="baseline"/>
        </w:rPr>
        <w:t>social workers in Boston Public Schools covered almost double the schools as their monolingual peers, at 25 schools per professional.</w:t>
      </w:r>
      <w:hyperlink w:history="true" w:anchor="_bookmark136">
        <w:r>
          <w:rPr>
            <w:sz w:val="21"/>
            <w:vertAlign w:val="superscript"/>
          </w:rPr>
          <w:t>35</w:t>
        </w:r>
      </w:hyperlink>
      <w:r>
        <w:rPr>
          <w:sz w:val="21"/>
          <w:vertAlign w:val="baseline"/>
        </w:rPr>
        <w:t> Additionally, decision-makers should work to provide foreign-born communities with financial and logistical resources so that they can respond to cultural mental health stigma in their own ways; one possible model is the promotora method, discussed further below.</w:t>
      </w:r>
    </w:p>
    <w:p>
      <w:pPr>
        <w:spacing w:after="0" w:line="276" w:lineRule="auto"/>
        <w:jc w:val="both"/>
        <w:rPr>
          <w:sz w:val="21"/>
        </w:rPr>
        <w:sectPr>
          <w:pgSz w:w="12240" w:h="15840"/>
          <w:pgMar w:header="804" w:footer="1390" w:top="1080" w:bottom="1620" w:left="980" w:right="1080"/>
        </w:sectPr>
      </w:pPr>
    </w:p>
    <w:p>
      <w:pPr>
        <w:spacing w:line="276" w:lineRule="auto" w:before="69"/>
        <w:ind w:left="2951" w:right="239" w:firstLine="0"/>
        <w:jc w:val="both"/>
        <w:rPr>
          <w:sz w:val="21"/>
        </w:rPr>
      </w:pPr>
      <w:r>
        <w:rPr/>
        <w:drawing>
          <wp:anchor distT="0" distB="0" distL="0" distR="0" allowOverlap="1" layoutInCell="1" locked="0" behindDoc="0" simplePos="0" relativeHeight="15761408">
            <wp:simplePos x="0" y="0"/>
            <wp:positionH relativeFrom="page">
              <wp:posOffset>975995</wp:posOffset>
            </wp:positionH>
            <wp:positionV relativeFrom="paragraph">
              <wp:posOffset>49530</wp:posOffset>
            </wp:positionV>
            <wp:extent cx="1426209" cy="868519"/>
            <wp:effectExtent l="0" t="0" r="0" b="0"/>
            <wp:wrapNone/>
            <wp:docPr id="231" name="Image 231" descr="A colorful text with text and numbers  Description automatically generated with medium confidence "/>
            <wp:cNvGraphicFramePr>
              <a:graphicFrameLocks/>
            </wp:cNvGraphicFramePr>
            <a:graphic>
              <a:graphicData uri="http://schemas.openxmlformats.org/drawingml/2006/picture">
                <pic:pic>
                  <pic:nvPicPr>
                    <pic:cNvPr id="231" name="Image 231" descr="A colorful text with text and numbers  Description automatically generated with medium confidence "/>
                    <pic:cNvPicPr/>
                  </pic:nvPicPr>
                  <pic:blipFill>
                    <a:blip r:embed="rId179" cstate="print"/>
                    <a:stretch>
                      <a:fillRect/>
                    </a:stretch>
                  </pic:blipFill>
                  <pic:spPr>
                    <a:xfrm>
                      <a:off x="0" y="0"/>
                      <a:ext cx="1426209" cy="868519"/>
                    </a:xfrm>
                    <a:prstGeom prst="rect">
                      <a:avLst/>
                    </a:prstGeom>
                  </pic:spPr>
                </pic:pic>
              </a:graphicData>
            </a:graphic>
          </wp:anchor>
        </w:drawing>
      </w:r>
      <w:r>
        <w:rPr>
          <w:sz w:val="21"/>
        </w:rPr>
        <w:t>Finally, research finds that when QTBIPOC youth find pride in their racialized and cultural traits, such as values, traditions, or hairstyles, they cope better with the stress of acculturation and discrimination</w:t>
      </w:r>
      <w:hyperlink w:history="true" w:anchor="_bookmark137">
        <w:r>
          <w:rPr>
            <w:sz w:val="21"/>
          </w:rPr>
          <w:t>,</w:t>
        </w:r>
        <w:r>
          <w:rPr>
            <w:sz w:val="21"/>
            <w:vertAlign w:val="superscript"/>
          </w:rPr>
          <w:t>36</w:t>
        </w:r>
      </w:hyperlink>
      <w:r>
        <w:rPr>
          <w:sz w:val="21"/>
          <w:vertAlign w:val="baseline"/>
        </w:rPr>
        <w:t> and advocates should support </w:t>
      </w:r>
      <w:r>
        <w:rPr>
          <w:spacing w:val="-2"/>
          <w:sz w:val="21"/>
          <w:vertAlign w:val="baseline"/>
        </w:rPr>
        <w:t>programming in which youth can positively develop their racial, ethnic, and cultural identities.</w:t>
      </w:r>
    </w:p>
    <w:p>
      <w:pPr>
        <w:spacing w:before="238"/>
        <w:ind w:left="463" w:right="0" w:firstLine="0"/>
        <w:jc w:val="both"/>
        <w:rPr>
          <w:sz w:val="28"/>
        </w:rPr>
      </w:pPr>
      <w:bookmarkStart w:name="Disability, Neurodiversity, and Deafness" w:id="245"/>
      <w:bookmarkEnd w:id="245"/>
      <w:r>
        <w:rPr/>
      </w:r>
      <w:r>
        <w:rPr>
          <w:color w:val="365F91"/>
          <w:sz w:val="28"/>
        </w:rPr>
        <w:t>Disability,</w:t>
      </w:r>
      <w:r>
        <w:rPr>
          <w:color w:val="365F91"/>
          <w:spacing w:val="-16"/>
          <w:sz w:val="28"/>
        </w:rPr>
        <w:t> </w:t>
      </w:r>
      <w:r>
        <w:rPr>
          <w:color w:val="365F91"/>
          <w:sz w:val="28"/>
        </w:rPr>
        <w:t>Neurodiversity,</w:t>
      </w:r>
      <w:r>
        <w:rPr>
          <w:color w:val="365F91"/>
          <w:spacing w:val="-16"/>
          <w:sz w:val="28"/>
        </w:rPr>
        <w:t> </w:t>
      </w:r>
      <w:r>
        <w:rPr>
          <w:color w:val="365F91"/>
          <w:sz w:val="28"/>
        </w:rPr>
        <w:t>and</w:t>
      </w:r>
      <w:r>
        <w:rPr>
          <w:color w:val="365F91"/>
          <w:spacing w:val="-14"/>
          <w:sz w:val="28"/>
        </w:rPr>
        <w:t> </w:t>
      </w:r>
      <w:r>
        <w:rPr>
          <w:color w:val="365F91"/>
          <w:sz w:val="28"/>
        </w:rPr>
        <w:t>Deafness:</w:t>
      </w:r>
      <w:r>
        <w:rPr>
          <w:color w:val="365F91"/>
          <w:spacing w:val="-14"/>
          <w:sz w:val="28"/>
        </w:rPr>
        <w:t> </w:t>
      </w:r>
      <w:r>
        <w:rPr>
          <w:color w:val="365F91"/>
          <w:sz w:val="28"/>
        </w:rPr>
        <w:t>Accessible,</w:t>
      </w:r>
      <w:r>
        <w:rPr>
          <w:color w:val="365F91"/>
          <w:spacing w:val="-15"/>
          <w:sz w:val="28"/>
        </w:rPr>
        <w:t> </w:t>
      </w:r>
      <w:r>
        <w:rPr>
          <w:color w:val="365F91"/>
          <w:sz w:val="28"/>
        </w:rPr>
        <w:t>Affirming</w:t>
      </w:r>
      <w:r>
        <w:rPr>
          <w:color w:val="365F91"/>
          <w:spacing w:val="-15"/>
          <w:sz w:val="28"/>
        </w:rPr>
        <w:t> </w:t>
      </w:r>
      <w:r>
        <w:rPr>
          <w:color w:val="365F91"/>
          <w:spacing w:val="-4"/>
          <w:sz w:val="28"/>
        </w:rPr>
        <w:t>Care</w:t>
      </w:r>
    </w:p>
    <w:p>
      <w:pPr>
        <w:spacing w:line="276" w:lineRule="auto" w:before="293"/>
        <w:ind w:left="463" w:right="241" w:firstLine="0"/>
        <w:jc w:val="both"/>
        <w:rPr>
          <w:sz w:val="21"/>
        </w:rPr>
      </w:pPr>
      <w:r>
        <w:rPr>
          <w:sz w:val="21"/>
        </w:rPr>
        <w:t>This is another opportunity for youth voices. Disability, deafness, and neurodivergence typically go completely unaddressed</w:t>
      </w:r>
      <w:r>
        <w:rPr>
          <w:spacing w:val="-1"/>
          <w:sz w:val="21"/>
        </w:rPr>
        <w:t> </w:t>
      </w:r>
      <w:r>
        <w:rPr>
          <w:sz w:val="21"/>
        </w:rPr>
        <w:t>in</w:t>
      </w:r>
      <w:r>
        <w:rPr>
          <w:spacing w:val="-1"/>
          <w:sz w:val="21"/>
        </w:rPr>
        <w:t> </w:t>
      </w:r>
      <w:r>
        <w:rPr>
          <w:sz w:val="21"/>
        </w:rPr>
        <w:t>research</w:t>
      </w:r>
      <w:r>
        <w:rPr>
          <w:spacing w:val="-1"/>
          <w:sz w:val="21"/>
        </w:rPr>
        <w:t> </w:t>
      </w:r>
      <w:r>
        <w:rPr>
          <w:sz w:val="21"/>
        </w:rPr>
        <w:t>about LGBTQ</w:t>
      </w:r>
      <w:r>
        <w:rPr>
          <w:spacing w:val="-1"/>
          <w:sz w:val="21"/>
        </w:rPr>
        <w:t> </w:t>
      </w:r>
      <w:r>
        <w:rPr>
          <w:sz w:val="21"/>
        </w:rPr>
        <w:t>youth, yet</w:t>
      </w:r>
      <w:r>
        <w:rPr>
          <w:spacing w:val="-2"/>
          <w:sz w:val="21"/>
        </w:rPr>
        <w:t> </w:t>
      </w:r>
      <w:r>
        <w:rPr>
          <w:sz w:val="21"/>
        </w:rPr>
        <w:t>1 in</w:t>
      </w:r>
      <w:r>
        <w:rPr>
          <w:spacing w:val="-2"/>
          <w:sz w:val="21"/>
        </w:rPr>
        <w:t> </w:t>
      </w:r>
      <w:r>
        <w:rPr>
          <w:sz w:val="21"/>
        </w:rPr>
        <w:t>3</w:t>
      </w:r>
      <w:r>
        <w:rPr>
          <w:spacing w:val="-2"/>
          <w:sz w:val="21"/>
        </w:rPr>
        <w:t> </w:t>
      </w:r>
      <w:r>
        <w:rPr>
          <w:sz w:val="21"/>
        </w:rPr>
        <w:t>LGBTQ</w:t>
      </w:r>
      <w:r>
        <w:rPr>
          <w:spacing w:val="-1"/>
          <w:sz w:val="21"/>
        </w:rPr>
        <w:t> </w:t>
      </w:r>
      <w:r>
        <w:rPr>
          <w:sz w:val="21"/>
        </w:rPr>
        <w:t>adults</w:t>
      </w:r>
      <w:r>
        <w:rPr>
          <w:spacing w:val="-3"/>
          <w:sz w:val="21"/>
        </w:rPr>
        <w:t> </w:t>
      </w:r>
      <w:r>
        <w:rPr>
          <w:sz w:val="21"/>
        </w:rPr>
        <w:t>and</w:t>
      </w:r>
      <w:r>
        <w:rPr>
          <w:spacing w:val="-1"/>
          <w:sz w:val="21"/>
        </w:rPr>
        <w:t> </w:t>
      </w:r>
      <w:r>
        <w:rPr>
          <w:sz w:val="21"/>
        </w:rPr>
        <w:t>more</w:t>
      </w:r>
      <w:r>
        <w:rPr>
          <w:spacing w:val="-2"/>
          <w:sz w:val="21"/>
        </w:rPr>
        <w:t> </w:t>
      </w:r>
      <w:r>
        <w:rPr>
          <w:sz w:val="21"/>
        </w:rPr>
        <w:t>than</w:t>
      </w:r>
      <w:r>
        <w:rPr>
          <w:spacing w:val="-1"/>
          <w:sz w:val="21"/>
        </w:rPr>
        <w:t> </w:t>
      </w:r>
      <w:r>
        <w:rPr>
          <w:sz w:val="21"/>
        </w:rPr>
        <w:t>half</w:t>
      </w:r>
      <w:r>
        <w:rPr>
          <w:spacing w:val="-1"/>
          <w:sz w:val="21"/>
        </w:rPr>
        <w:t> </w:t>
      </w:r>
      <w:r>
        <w:rPr>
          <w:sz w:val="21"/>
        </w:rPr>
        <w:t>of</w:t>
      </w:r>
      <w:r>
        <w:rPr>
          <w:spacing w:val="-1"/>
          <w:sz w:val="21"/>
        </w:rPr>
        <w:t> </w:t>
      </w:r>
      <w:r>
        <w:rPr>
          <w:sz w:val="21"/>
        </w:rPr>
        <w:t>transgender</w:t>
      </w:r>
      <w:r>
        <w:rPr>
          <w:spacing w:val="-1"/>
          <w:sz w:val="21"/>
        </w:rPr>
        <w:t> </w:t>
      </w:r>
      <w:r>
        <w:rPr>
          <w:sz w:val="21"/>
        </w:rPr>
        <w:t>adults </w:t>
      </w:r>
      <w:r>
        <w:rPr>
          <w:spacing w:val="-2"/>
          <w:sz w:val="21"/>
        </w:rPr>
        <w:t>reported</w:t>
      </w:r>
      <w:r>
        <w:rPr>
          <w:spacing w:val="-3"/>
          <w:sz w:val="21"/>
        </w:rPr>
        <w:t> </w:t>
      </w:r>
      <w:r>
        <w:rPr>
          <w:spacing w:val="-2"/>
          <w:sz w:val="21"/>
        </w:rPr>
        <w:t>having</w:t>
      </w:r>
      <w:r>
        <w:rPr>
          <w:spacing w:val="-4"/>
          <w:sz w:val="21"/>
        </w:rPr>
        <w:t> </w:t>
      </w:r>
      <w:r>
        <w:rPr>
          <w:spacing w:val="-2"/>
          <w:sz w:val="21"/>
        </w:rPr>
        <w:t>a</w:t>
      </w:r>
      <w:r>
        <w:rPr>
          <w:spacing w:val="-3"/>
          <w:sz w:val="21"/>
        </w:rPr>
        <w:t> </w:t>
      </w:r>
      <w:r>
        <w:rPr>
          <w:spacing w:val="-2"/>
          <w:sz w:val="21"/>
        </w:rPr>
        <w:t>disability</w:t>
      </w:r>
      <w:r>
        <w:rPr>
          <w:spacing w:val="-3"/>
          <w:sz w:val="21"/>
        </w:rPr>
        <w:t> </w:t>
      </w:r>
      <w:r>
        <w:rPr>
          <w:spacing w:val="-2"/>
          <w:sz w:val="21"/>
        </w:rPr>
        <w:t>in</w:t>
      </w:r>
      <w:r>
        <w:rPr>
          <w:spacing w:val="-3"/>
          <w:sz w:val="21"/>
        </w:rPr>
        <w:t> </w:t>
      </w:r>
      <w:r>
        <w:rPr>
          <w:spacing w:val="-2"/>
          <w:sz w:val="21"/>
        </w:rPr>
        <w:t>2020</w:t>
      </w:r>
      <w:hyperlink w:history="true" w:anchor="_bookmark138">
        <w:r>
          <w:rPr>
            <w:spacing w:val="-2"/>
            <w:sz w:val="21"/>
          </w:rPr>
          <w:t>.</w:t>
        </w:r>
        <w:r>
          <w:rPr>
            <w:spacing w:val="-2"/>
            <w:sz w:val="21"/>
            <w:vertAlign w:val="superscript"/>
          </w:rPr>
          <w:t>37</w:t>
        </w:r>
      </w:hyperlink>
      <w:r>
        <w:rPr>
          <w:spacing w:val="-3"/>
          <w:sz w:val="21"/>
          <w:vertAlign w:val="baseline"/>
        </w:rPr>
        <w:t> </w:t>
      </w:r>
      <w:r>
        <w:rPr>
          <w:spacing w:val="-2"/>
          <w:sz w:val="21"/>
          <w:vertAlign w:val="baseline"/>
        </w:rPr>
        <w:t>These</w:t>
      </w:r>
      <w:r>
        <w:rPr>
          <w:spacing w:val="-3"/>
          <w:sz w:val="21"/>
          <w:vertAlign w:val="baseline"/>
        </w:rPr>
        <w:t> </w:t>
      </w:r>
      <w:r>
        <w:rPr>
          <w:spacing w:val="-2"/>
          <w:sz w:val="21"/>
          <w:vertAlign w:val="baseline"/>
        </w:rPr>
        <w:t>identities</w:t>
      </w:r>
      <w:r>
        <w:rPr>
          <w:spacing w:val="-4"/>
          <w:sz w:val="21"/>
          <w:vertAlign w:val="baseline"/>
        </w:rPr>
        <w:t> </w:t>
      </w:r>
      <w:r>
        <w:rPr>
          <w:spacing w:val="-2"/>
          <w:sz w:val="21"/>
          <w:vertAlign w:val="baseline"/>
        </w:rPr>
        <w:t>are</w:t>
      </w:r>
      <w:r>
        <w:rPr>
          <w:spacing w:val="-3"/>
          <w:sz w:val="21"/>
          <w:vertAlign w:val="baseline"/>
        </w:rPr>
        <w:t> </w:t>
      </w:r>
      <w:r>
        <w:rPr>
          <w:spacing w:val="-2"/>
          <w:sz w:val="21"/>
          <w:vertAlign w:val="baseline"/>
        </w:rPr>
        <w:t>common</w:t>
      </w:r>
      <w:r>
        <w:rPr>
          <w:spacing w:val="-3"/>
          <w:sz w:val="21"/>
          <w:vertAlign w:val="baseline"/>
        </w:rPr>
        <w:t> </w:t>
      </w:r>
      <w:r>
        <w:rPr>
          <w:spacing w:val="-2"/>
          <w:sz w:val="21"/>
          <w:vertAlign w:val="baseline"/>
        </w:rPr>
        <w:t>among</w:t>
      </w:r>
      <w:r>
        <w:rPr>
          <w:spacing w:val="-4"/>
          <w:sz w:val="21"/>
          <w:vertAlign w:val="baseline"/>
        </w:rPr>
        <w:t> </w:t>
      </w:r>
      <w:r>
        <w:rPr>
          <w:spacing w:val="-2"/>
          <w:sz w:val="21"/>
          <w:vertAlign w:val="baseline"/>
        </w:rPr>
        <w:t>youth</w:t>
      </w:r>
      <w:r>
        <w:rPr>
          <w:spacing w:val="-3"/>
          <w:sz w:val="21"/>
          <w:vertAlign w:val="baseline"/>
        </w:rPr>
        <w:t> </w:t>
      </w:r>
      <w:r>
        <w:rPr>
          <w:spacing w:val="-2"/>
          <w:sz w:val="21"/>
          <w:vertAlign w:val="baseline"/>
        </w:rPr>
        <w:t>as</w:t>
      </w:r>
      <w:r>
        <w:rPr>
          <w:spacing w:val="-4"/>
          <w:sz w:val="21"/>
          <w:vertAlign w:val="baseline"/>
        </w:rPr>
        <w:t> </w:t>
      </w:r>
      <w:r>
        <w:rPr>
          <w:spacing w:val="-2"/>
          <w:sz w:val="21"/>
          <w:vertAlign w:val="baseline"/>
        </w:rPr>
        <w:t>well;</w:t>
      </w:r>
      <w:r>
        <w:rPr>
          <w:spacing w:val="-3"/>
          <w:sz w:val="21"/>
          <w:vertAlign w:val="baseline"/>
        </w:rPr>
        <w:t> </w:t>
      </w:r>
      <w:r>
        <w:rPr>
          <w:spacing w:val="-2"/>
          <w:sz w:val="21"/>
          <w:vertAlign w:val="baseline"/>
        </w:rPr>
        <w:t>for</w:t>
      </w:r>
      <w:r>
        <w:rPr>
          <w:spacing w:val="-3"/>
          <w:sz w:val="21"/>
          <w:vertAlign w:val="baseline"/>
        </w:rPr>
        <w:t> </w:t>
      </w:r>
      <w:r>
        <w:rPr>
          <w:spacing w:val="-2"/>
          <w:sz w:val="21"/>
          <w:vertAlign w:val="baseline"/>
        </w:rPr>
        <w:t>instance,</w:t>
      </w:r>
      <w:r>
        <w:rPr>
          <w:spacing w:val="-3"/>
          <w:sz w:val="21"/>
          <w:vertAlign w:val="baseline"/>
        </w:rPr>
        <w:t> </w:t>
      </w:r>
      <w:r>
        <w:rPr>
          <w:spacing w:val="-2"/>
          <w:sz w:val="21"/>
          <w:vertAlign w:val="baseline"/>
        </w:rPr>
        <w:t>one</w:t>
      </w:r>
      <w:r>
        <w:rPr>
          <w:spacing w:val="-3"/>
          <w:sz w:val="21"/>
          <w:vertAlign w:val="baseline"/>
        </w:rPr>
        <w:t> </w:t>
      </w:r>
      <w:r>
        <w:rPr>
          <w:spacing w:val="-2"/>
          <w:sz w:val="21"/>
          <w:vertAlign w:val="baseline"/>
        </w:rPr>
        <w:t>recent </w:t>
      </w:r>
      <w:r>
        <w:rPr>
          <w:sz w:val="21"/>
          <w:vertAlign w:val="baseline"/>
        </w:rPr>
        <w:t>study</w:t>
      </w:r>
      <w:r>
        <w:rPr>
          <w:spacing w:val="-10"/>
          <w:sz w:val="21"/>
          <w:vertAlign w:val="baseline"/>
        </w:rPr>
        <w:t> </w:t>
      </w:r>
      <w:r>
        <w:rPr>
          <w:sz w:val="21"/>
          <w:vertAlign w:val="baseline"/>
        </w:rPr>
        <w:t>found</w:t>
      </w:r>
      <w:r>
        <w:rPr>
          <w:spacing w:val="-10"/>
          <w:sz w:val="21"/>
          <w:vertAlign w:val="baseline"/>
        </w:rPr>
        <w:t> </w:t>
      </w:r>
      <w:r>
        <w:rPr>
          <w:sz w:val="21"/>
          <w:vertAlign w:val="baseline"/>
        </w:rPr>
        <w:t>that</w:t>
      </w:r>
      <w:r>
        <w:rPr>
          <w:spacing w:val="-11"/>
          <w:sz w:val="21"/>
          <w:vertAlign w:val="baseline"/>
        </w:rPr>
        <w:t> </w:t>
      </w:r>
      <w:r>
        <w:rPr>
          <w:sz w:val="21"/>
          <w:vertAlign w:val="baseline"/>
        </w:rPr>
        <w:t>autistic</w:t>
      </w:r>
      <w:r>
        <w:rPr>
          <w:spacing w:val="-11"/>
          <w:sz w:val="21"/>
          <w:vertAlign w:val="baseline"/>
        </w:rPr>
        <w:t> </w:t>
      </w:r>
      <w:r>
        <w:rPr>
          <w:sz w:val="21"/>
          <w:vertAlign w:val="baseline"/>
        </w:rPr>
        <w:t>children</w:t>
      </w:r>
      <w:r>
        <w:rPr>
          <w:spacing w:val="-10"/>
          <w:sz w:val="21"/>
          <w:vertAlign w:val="baseline"/>
        </w:rPr>
        <w:t> </w:t>
      </w:r>
      <w:r>
        <w:rPr>
          <w:sz w:val="21"/>
          <w:vertAlign w:val="baseline"/>
        </w:rPr>
        <w:t>were</w:t>
      </w:r>
      <w:r>
        <w:rPr>
          <w:spacing w:val="-11"/>
          <w:sz w:val="21"/>
          <w:vertAlign w:val="baseline"/>
        </w:rPr>
        <w:t> </w:t>
      </w:r>
      <w:r>
        <w:rPr>
          <w:sz w:val="21"/>
          <w:vertAlign w:val="baseline"/>
        </w:rPr>
        <w:t>400%</w:t>
      </w:r>
      <w:r>
        <w:rPr>
          <w:spacing w:val="-10"/>
          <w:sz w:val="21"/>
          <w:vertAlign w:val="baseline"/>
        </w:rPr>
        <w:t> </w:t>
      </w:r>
      <w:r>
        <w:rPr>
          <w:sz w:val="21"/>
          <w:vertAlign w:val="baseline"/>
        </w:rPr>
        <w:t>more</w:t>
      </w:r>
      <w:r>
        <w:rPr>
          <w:spacing w:val="-11"/>
          <w:sz w:val="21"/>
          <w:vertAlign w:val="baseline"/>
        </w:rPr>
        <w:t> </w:t>
      </w:r>
      <w:r>
        <w:rPr>
          <w:sz w:val="21"/>
          <w:vertAlign w:val="baseline"/>
        </w:rPr>
        <w:t>likely</w:t>
      </w:r>
      <w:r>
        <w:rPr>
          <w:spacing w:val="-10"/>
          <w:sz w:val="21"/>
          <w:vertAlign w:val="baseline"/>
        </w:rPr>
        <w:t> </w:t>
      </w:r>
      <w:r>
        <w:rPr>
          <w:sz w:val="21"/>
          <w:vertAlign w:val="baseline"/>
        </w:rPr>
        <w:t>to</w:t>
      </w:r>
      <w:r>
        <w:rPr>
          <w:spacing w:val="-12"/>
          <w:sz w:val="21"/>
          <w:vertAlign w:val="baseline"/>
        </w:rPr>
        <w:t> </w:t>
      </w:r>
      <w:r>
        <w:rPr>
          <w:sz w:val="21"/>
          <w:vertAlign w:val="baseline"/>
        </w:rPr>
        <w:t>have</w:t>
      </w:r>
      <w:r>
        <w:rPr>
          <w:spacing w:val="-11"/>
          <w:sz w:val="21"/>
          <w:vertAlign w:val="baseline"/>
        </w:rPr>
        <w:t> </w:t>
      </w:r>
      <w:r>
        <w:rPr>
          <w:sz w:val="21"/>
          <w:vertAlign w:val="baseline"/>
        </w:rPr>
        <w:t>a</w:t>
      </w:r>
      <w:r>
        <w:rPr>
          <w:spacing w:val="-11"/>
          <w:sz w:val="21"/>
          <w:vertAlign w:val="baseline"/>
        </w:rPr>
        <w:t> </w:t>
      </w:r>
      <w:r>
        <w:rPr>
          <w:sz w:val="21"/>
          <w:vertAlign w:val="baseline"/>
        </w:rPr>
        <w:t>gender</w:t>
      </w:r>
      <w:r>
        <w:rPr>
          <w:spacing w:val="-10"/>
          <w:sz w:val="21"/>
          <w:vertAlign w:val="baseline"/>
        </w:rPr>
        <w:t> </w:t>
      </w:r>
      <w:r>
        <w:rPr>
          <w:sz w:val="21"/>
          <w:vertAlign w:val="baseline"/>
        </w:rPr>
        <w:t>dysphoria-related</w:t>
      </w:r>
      <w:r>
        <w:rPr>
          <w:spacing w:val="-11"/>
          <w:sz w:val="21"/>
          <w:vertAlign w:val="baseline"/>
        </w:rPr>
        <w:t> </w:t>
      </w:r>
      <w:r>
        <w:rPr>
          <w:sz w:val="21"/>
          <w:vertAlign w:val="baseline"/>
        </w:rPr>
        <w:t>diagnosis</w:t>
      </w:r>
      <w:r>
        <w:rPr>
          <w:spacing w:val="-11"/>
          <w:sz w:val="21"/>
          <w:vertAlign w:val="baseline"/>
        </w:rPr>
        <w:t> </w:t>
      </w:r>
      <w:r>
        <w:rPr>
          <w:sz w:val="21"/>
          <w:vertAlign w:val="baseline"/>
        </w:rPr>
        <w:t>than</w:t>
      </w:r>
      <w:r>
        <w:rPr>
          <w:spacing w:val="-11"/>
          <w:sz w:val="21"/>
          <w:vertAlign w:val="baseline"/>
        </w:rPr>
        <w:t> </w:t>
      </w:r>
      <w:r>
        <w:rPr>
          <w:sz w:val="21"/>
          <w:vertAlign w:val="baseline"/>
        </w:rPr>
        <w:t>their </w:t>
      </w:r>
      <w:r>
        <w:rPr>
          <w:spacing w:val="-2"/>
          <w:sz w:val="21"/>
          <w:vertAlign w:val="baseline"/>
        </w:rPr>
        <w:t>peers</w:t>
      </w:r>
      <w:hyperlink w:history="true" w:anchor="_bookmark139">
        <w:r>
          <w:rPr>
            <w:spacing w:val="-2"/>
            <w:sz w:val="21"/>
            <w:vertAlign w:val="baseline"/>
          </w:rPr>
          <w:t>.</w:t>
        </w:r>
        <w:r>
          <w:rPr>
            <w:spacing w:val="-2"/>
            <w:sz w:val="21"/>
            <w:vertAlign w:val="superscript"/>
          </w:rPr>
          <w:t>38</w:t>
        </w:r>
      </w:hyperlink>
    </w:p>
    <w:p>
      <w:pPr>
        <w:spacing w:line="276" w:lineRule="auto" w:before="240"/>
        <w:ind w:left="463" w:right="239" w:firstLine="0"/>
        <w:jc w:val="both"/>
        <w:rPr>
          <w:sz w:val="21"/>
        </w:rPr>
      </w:pPr>
      <w:r>
        <w:rPr>
          <w:sz w:val="21"/>
        </w:rPr>
        <w:t>Minority stress from ableism begins to</w:t>
      </w:r>
      <w:r>
        <w:rPr>
          <w:spacing w:val="-1"/>
          <w:sz w:val="21"/>
        </w:rPr>
        <w:t> </w:t>
      </w:r>
      <w:r>
        <w:rPr>
          <w:sz w:val="21"/>
        </w:rPr>
        <w:t>impact LGBTQ disabled youths’ mental</w:t>
      </w:r>
      <w:r>
        <w:rPr>
          <w:spacing w:val="-1"/>
          <w:sz w:val="21"/>
        </w:rPr>
        <w:t> </w:t>
      </w:r>
      <w:r>
        <w:rPr>
          <w:sz w:val="21"/>
        </w:rPr>
        <w:t>health from an early age. GLSEN found</w:t>
      </w:r>
      <w:r>
        <w:rPr>
          <w:spacing w:val="-12"/>
          <w:sz w:val="21"/>
        </w:rPr>
        <w:t> </w:t>
      </w:r>
      <w:r>
        <w:rPr>
          <w:sz w:val="21"/>
        </w:rPr>
        <w:t>that</w:t>
      </w:r>
      <w:r>
        <w:rPr>
          <w:spacing w:val="-12"/>
          <w:sz w:val="21"/>
        </w:rPr>
        <w:t> </w:t>
      </w:r>
      <w:r>
        <w:rPr>
          <w:sz w:val="21"/>
        </w:rPr>
        <w:t>73%</w:t>
      </w:r>
      <w:r>
        <w:rPr>
          <w:spacing w:val="-12"/>
          <w:sz w:val="21"/>
        </w:rPr>
        <w:t> </w:t>
      </w:r>
      <w:r>
        <w:rPr>
          <w:sz w:val="21"/>
        </w:rPr>
        <w:t>of</w:t>
      </w:r>
      <w:r>
        <w:rPr>
          <w:spacing w:val="-12"/>
          <w:sz w:val="21"/>
        </w:rPr>
        <w:t> </w:t>
      </w:r>
      <w:r>
        <w:rPr>
          <w:sz w:val="21"/>
        </w:rPr>
        <w:t>participants</w:t>
      </w:r>
      <w:r>
        <w:rPr>
          <w:spacing w:val="-12"/>
          <w:sz w:val="21"/>
        </w:rPr>
        <w:t> </w:t>
      </w:r>
      <w:r>
        <w:rPr>
          <w:sz w:val="21"/>
        </w:rPr>
        <w:t>hear</w:t>
      </w:r>
      <w:r>
        <w:rPr>
          <w:spacing w:val="-12"/>
          <w:sz w:val="21"/>
        </w:rPr>
        <w:t> </w:t>
      </w:r>
      <w:r>
        <w:rPr>
          <w:sz w:val="21"/>
        </w:rPr>
        <w:t>biased</w:t>
      </w:r>
      <w:r>
        <w:rPr>
          <w:spacing w:val="-12"/>
          <w:sz w:val="21"/>
        </w:rPr>
        <w:t> </w:t>
      </w:r>
      <w:r>
        <w:rPr>
          <w:sz w:val="21"/>
        </w:rPr>
        <w:t>ability-focused</w:t>
      </w:r>
      <w:r>
        <w:rPr>
          <w:spacing w:val="-11"/>
          <w:sz w:val="21"/>
        </w:rPr>
        <w:t> </w:t>
      </w:r>
      <w:r>
        <w:rPr>
          <w:sz w:val="21"/>
        </w:rPr>
        <w:t>remarks</w:t>
      </w:r>
      <w:r>
        <w:rPr>
          <w:spacing w:val="-12"/>
          <w:sz w:val="21"/>
        </w:rPr>
        <w:t> </w:t>
      </w:r>
      <w:r>
        <w:rPr>
          <w:sz w:val="21"/>
        </w:rPr>
        <w:t>in</w:t>
      </w:r>
      <w:r>
        <w:rPr>
          <w:spacing w:val="-12"/>
          <w:sz w:val="21"/>
        </w:rPr>
        <w:t> </w:t>
      </w:r>
      <w:r>
        <w:rPr>
          <w:sz w:val="21"/>
        </w:rPr>
        <w:t>school</w:t>
      </w:r>
      <w:r>
        <w:rPr>
          <w:spacing w:val="-12"/>
          <w:sz w:val="21"/>
        </w:rPr>
        <w:t> </w:t>
      </w:r>
      <w:r>
        <w:rPr>
          <w:sz w:val="21"/>
        </w:rPr>
        <w:t>“often”</w:t>
      </w:r>
      <w:r>
        <w:rPr>
          <w:spacing w:val="-12"/>
          <w:sz w:val="21"/>
        </w:rPr>
        <w:t> </w:t>
      </w:r>
      <w:r>
        <w:rPr>
          <w:sz w:val="21"/>
        </w:rPr>
        <w:t>or</w:t>
      </w:r>
      <w:r>
        <w:rPr>
          <w:spacing w:val="-12"/>
          <w:sz w:val="21"/>
        </w:rPr>
        <w:t> </w:t>
      </w:r>
      <w:r>
        <w:rPr>
          <w:sz w:val="21"/>
        </w:rPr>
        <w:t>"frequently.”</w:t>
      </w:r>
      <w:r>
        <w:rPr>
          <w:spacing w:val="-12"/>
          <w:sz w:val="21"/>
        </w:rPr>
        <w:t> </w:t>
      </w:r>
      <w:r>
        <w:rPr>
          <w:sz w:val="21"/>
        </w:rPr>
        <w:t>Meanwhile, 34%</w:t>
      </w:r>
      <w:r>
        <w:rPr>
          <w:spacing w:val="-10"/>
          <w:sz w:val="21"/>
        </w:rPr>
        <w:t> </w:t>
      </w:r>
      <w:r>
        <w:rPr>
          <w:sz w:val="21"/>
        </w:rPr>
        <w:t>stated</w:t>
      </w:r>
      <w:r>
        <w:rPr>
          <w:spacing w:val="-10"/>
          <w:sz w:val="21"/>
        </w:rPr>
        <w:t> </w:t>
      </w:r>
      <w:r>
        <w:rPr>
          <w:sz w:val="21"/>
        </w:rPr>
        <w:t>that</w:t>
      </w:r>
      <w:r>
        <w:rPr>
          <w:spacing w:val="-10"/>
          <w:sz w:val="21"/>
        </w:rPr>
        <w:t> </w:t>
      </w:r>
      <w:r>
        <w:rPr>
          <w:sz w:val="21"/>
        </w:rPr>
        <w:t>they</w:t>
      </w:r>
      <w:r>
        <w:rPr>
          <w:spacing w:val="-11"/>
          <w:sz w:val="21"/>
        </w:rPr>
        <w:t> </w:t>
      </w:r>
      <w:r>
        <w:rPr>
          <w:sz w:val="21"/>
        </w:rPr>
        <w:t>were</w:t>
      </w:r>
      <w:r>
        <w:rPr>
          <w:spacing w:val="-10"/>
          <w:sz w:val="21"/>
        </w:rPr>
        <w:t> </w:t>
      </w:r>
      <w:r>
        <w:rPr>
          <w:sz w:val="21"/>
        </w:rPr>
        <w:t>harassed</w:t>
      </w:r>
      <w:r>
        <w:rPr>
          <w:spacing w:val="-11"/>
          <w:sz w:val="21"/>
        </w:rPr>
        <w:t> </w:t>
      </w:r>
      <w:r>
        <w:rPr>
          <w:sz w:val="21"/>
        </w:rPr>
        <w:t>or</w:t>
      </w:r>
      <w:r>
        <w:rPr>
          <w:spacing w:val="-10"/>
          <w:sz w:val="21"/>
        </w:rPr>
        <w:t> </w:t>
      </w:r>
      <w:r>
        <w:rPr>
          <w:sz w:val="21"/>
        </w:rPr>
        <w:t>assaulted</w:t>
      </w:r>
      <w:r>
        <w:rPr>
          <w:spacing w:val="-10"/>
          <w:sz w:val="21"/>
        </w:rPr>
        <w:t> </w:t>
      </w:r>
      <w:r>
        <w:rPr>
          <w:sz w:val="21"/>
        </w:rPr>
        <w:t>at</w:t>
      </w:r>
      <w:r>
        <w:rPr>
          <w:spacing w:val="-10"/>
          <w:sz w:val="21"/>
        </w:rPr>
        <w:t> </w:t>
      </w:r>
      <w:r>
        <w:rPr>
          <w:sz w:val="21"/>
        </w:rPr>
        <w:t>school</w:t>
      </w:r>
      <w:r>
        <w:rPr>
          <w:spacing w:val="-10"/>
          <w:sz w:val="21"/>
        </w:rPr>
        <w:t> </w:t>
      </w:r>
      <w:r>
        <w:rPr>
          <w:sz w:val="21"/>
        </w:rPr>
        <w:t>within</w:t>
      </w:r>
      <w:r>
        <w:rPr>
          <w:spacing w:val="-10"/>
          <w:sz w:val="21"/>
        </w:rPr>
        <w:t> </w:t>
      </w:r>
      <w:r>
        <w:rPr>
          <w:sz w:val="21"/>
        </w:rPr>
        <w:t>the</w:t>
      </w:r>
      <w:r>
        <w:rPr>
          <w:spacing w:val="-10"/>
          <w:sz w:val="21"/>
        </w:rPr>
        <w:t> </w:t>
      </w:r>
      <w:r>
        <w:rPr>
          <w:sz w:val="21"/>
        </w:rPr>
        <w:t>last</w:t>
      </w:r>
      <w:r>
        <w:rPr>
          <w:spacing w:val="-10"/>
          <w:sz w:val="21"/>
        </w:rPr>
        <w:t> </w:t>
      </w:r>
      <w:r>
        <w:rPr>
          <w:sz w:val="21"/>
        </w:rPr>
        <w:t>year</w:t>
      </w:r>
      <w:r>
        <w:rPr>
          <w:spacing w:val="-10"/>
          <w:sz w:val="21"/>
        </w:rPr>
        <w:t> </w:t>
      </w:r>
      <w:r>
        <w:rPr>
          <w:sz w:val="21"/>
        </w:rPr>
        <w:t>based</w:t>
      </w:r>
      <w:r>
        <w:rPr>
          <w:spacing w:val="-10"/>
          <w:sz w:val="21"/>
        </w:rPr>
        <w:t> </w:t>
      </w:r>
      <w:r>
        <w:rPr>
          <w:sz w:val="21"/>
        </w:rPr>
        <w:t>on</w:t>
      </w:r>
      <w:r>
        <w:rPr>
          <w:spacing w:val="-10"/>
          <w:sz w:val="21"/>
        </w:rPr>
        <w:t> </w:t>
      </w:r>
      <w:r>
        <w:rPr>
          <w:sz w:val="21"/>
        </w:rPr>
        <w:t>their</w:t>
      </w:r>
      <w:r>
        <w:rPr>
          <w:spacing w:val="-10"/>
          <w:sz w:val="21"/>
        </w:rPr>
        <w:t> </w:t>
      </w:r>
      <w:r>
        <w:rPr>
          <w:sz w:val="21"/>
        </w:rPr>
        <w:t>actual</w:t>
      </w:r>
      <w:r>
        <w:rPr>
          <w:spacing w:val="-10"/>
          <w:sz w:val="21"/>
        </w:rPr>
        <w:t> </w:t>
      </w:r>
      <w:r>
        <w:rPr>
          <w:sz w:val="21"/>
        </w:rPr>
        <w:t>or</w:t>
      </w:r>
      <w:r>
        <w:rPr>
          <w:spacing w:val="-10"/>
          <w:sz w:val="21"/>
        </w:rPr>
        <w:t> </w:t>
      </w:r>
      <w:r>
        <w:rPr>
          <w:sz w:val="21"/>
        </w:rPr>
        <w:t>perceived disability, and 17% reported experiencing this online</w:t>
      </w:r>
      <w:hyperlink w:history="true" w:anchor="_bookmark140">
        <w:r>
          <w:rPr>
            <w:sz w:val="21"/>
          </w:rPr>
          <w:t>.</w:t>
        </w:r>
        <w:r>
          <w:rPr>
            <w:sz w:val="21"/>
            <w:vertAlign w:val="superscript"/>
          </w:rPr>
          <w:t>39</w:t>
        </w:r>
      </w:hyperlink>
    </w:p>
    <w:p>
      <w:pPr>
        <w:spacing w:line="276" w:lineRule="auto" w:before="240"/>
        <w:ind w:left="463" w:right="240" w:firstLine="0"/>
        <w:jc w:val="both"/>
        <w:rPr>
          <w:sz w:val="21"/>
        </w:rPr>
      </w:pPr>
      <w:r>
        <w:rPr>
          <w:sz w:val="21"/>
        </w:rPr>
        <w:t>Disabled</w:t>
      </w:r>
      <w:r>
        <w:rPr>
          <w:spacing w:val="-8"/>
          <w:sz w:val="21"/>
        </w:rPr>
        <w:t> </w:t>
      </w:r>
      <w:r>
        <w:rPr>
          <w:sz w:val="21"/>
        </w:rPr>
        <w:t>LGBTQ</w:t>
      </w:r>
      <w:r>
        <w:rPr>
          <w:spacing w:val="-8"/>
          <w:sz w:val="21"/>
        </w:rPr>
        <w:t> </w:t>
      </w:r>
      <w:r>
        <w:rPr>
          <w:sz w:val="21"/>
        </w:rPr>
        <w:t>youth</w:t>
      </w:r>
      <w:r>
        <w:rPr>
          <w:spacing w:val="-9"/>
          <w:sz w:val="21"/>
        </w:rPr>
        <w:t> </w:t>
      </w:r>
      <w:r>
        <w:rPr>
          <w:sz w:val="21"/>
        </w:rPr>
        <w:t>are</w:t>
      </w:r>
      <w:r>
        <w:rPr>
          <w:spacing w:val="-9"/>
          <w:sz w:val="21"/>
        </w:rPr>
        <w:t> </w:t>
      </w:r>
      <w:r>
        <w:rPr>
          <w:sz w:val="21"/>
        </w:rPr>
        <w:t>excluded</w:t>
      </w:r>
      <w:r>
        <w:rPr>
          <w:spacing w:val="-8"/>
          <w:sz w:val="21"/>
        </w:rPr>
        <w:t> </w:t>
      </w:r>
      <w:r>
        <w:rPr>
          <w:sz w:val="21"/>
        </w:rPr>
        <w:t>and</w:t>
      </w:r>
      <w:r>
        <w:rPr>
          <w:spacing w:val="-9"/>
          <w:sz w:val="21"/>
        </w:rPr>
        <w:t> </w:t>
      </w:r>
      <w:r>
        <w:rPr>
          <w:sz w:val="21"/>
        </w:rPr>
        <w:t>discriminated</w:t>
      </w:r>
      <w:r>
        <w:rPr>
          <w:spacing w:val="-8"/>
          <w:sz w:val="21"/>
        </w:rPr>
        <w:t> </w:t>
      </w:r>
      <w:r>
        <w:rPr>
          <w:sz w:val="21"/>
        </w:rPr>
        <w:t>against</w:t>
      </w:r>
      <w:r>
        <w:rPr>
          <w:spacing w:val="-7"/>
          <w:sz w:val="21"/>
        </w:rPr>
        <w:t> </w:t>
      </w:r>
      <w:r>
        <w:rPr>
          <w:sz w:val="21"/>
        </w:rPr>
        <w:t>past</w:t>
      </w:r>
      <w:r>
        <w:rPr>
          <w:spacing w:val="-9"/>
          <w:sz w:val="21"/>
        </w:rPr>
        <w:t> </w:t>
      </w:r>
      <w:r>
        <w:rPr>
          <w:sz w:val="21"/>
        </w:rPr>
        <w:t>age</w:t>
      </w:r>
      <w:r>
        <w:rPr>
          <w:spacing w:val="-8"/>
          <w:sz w:val="21"/>
        </w:rPr>
        <w:t> </w:t>
      </w:r>
      <w:r>
        <w:rPr>
          <w:sz w:val="21"/>
        </w:rPr>
        <w:t>18</w:t>
      </w:r>
      <w:r>
        <w:rPr>
          <w:spacing w:val="-9"/>
          <w:sz w:val="21"/>
        </w:rPr>
        <w:t> </w:t>
      </w:r>
      <w:r>
        <w:rPr>
          <w:sz w:val="21"/>
        </w:rPr>
        <w:t>as</w:t>
      </w:r>
      <w:r>
        <w:rPr>
          <w:spacing w:val="-10"/>
          <w:sz w:val="21"/>
        </w:rPr>
        <w:t> </w:t>
      </w:r>
      <w:r>
        <w:rPr>
          <w:sz w:val="21"/>
        </w:rPr>
        <w:t>well.</w:t>
      </w:r>
      <w:r>
        <w:rPr>
          <w:spacing w:val="-8"/>
          <w:sz w:val="21"/>
        </w:rPr>
        <w:t> </w:t>
      </w:r>
      <w:r>
        <w:rPr>
          <w:sz w:val="21"/>
        </w:rPr>
        <w:t>A</w:t>
      </w:r>
      <w:r>
        <w:rPr>
          <w:spacing w:val="-9"/>
          <w:sz w:val="21"/>
        </w:rPr>
        <w:t> </w:t>
      </w:r>
      <w:r>
        <w:rPr>
          <w:sz w:val="21"/>
        </w:rPr>
        <w:t>few</w:t>
      </w:r>
      <w:r>
        <w:rPr>
          <w:spacing w:val="-8"/>
          <w:sz w:val="21"/>
        </w:rPr>
        <w:t> </w:t>
      </w:r>
      <w:r>
        <w:rPr>
          <w:sz w:val="21"/>
        </w:rPr>
        <w:t>studies</w:t>
      </w:r>
      <w:r>
        <w:rPr>
          <w:spacing w:val="-8"/>
          <w:sz w:val="21"/>
        </w:rPr>
        <w:t> </w:t>
      </w:r>
      <w:r>
        <w:rPr>
          <w:sz w:val="21"/>
        </w:rPr>
        <w:t>have</w:t>
      </w:r>
      <w:r>
        <w:rPr>
          <w:spacing w:val="-8"/>
          <w:sz w:val="21"/>
        </w:rPr>
        <w:t> </w:t>
      </w:r>
      <w:r>
        <w:rPr>
          <w:sz w:val="21"/>
        </w:rPr>
        <w:t>found</w:t>
      </w:r>
      <w:r>
        <w:rPr>
          <w:spacing w:val="-9"/>
          <w:sz w:val="21"/>
        </w:rPr>
        <w:t> </w:t>
      </w:r>
      <w:r>
        <w:rPr>
          <w:sz w:val="21"/>
        </w:rPr>
        <w:t>that the majority of disabled LGBTQ students do not receive accommodations in their colleges. </w:t>
      </w:r>
      <w:hyperlink w:history="true" w:anchor="_bookmark141">
        <w:r>
          <w:rPr>
            <w:sz w:val="21"/>
            <w:vertAlign w:val="superscript"/>
          </w:rPr>
          <w:t>40</w:t>
        </w:r>
      </w:hyperlink>
      <w:r>
        <w:rPr>
          <w:sz w:val="21"/>
          <w:vertAlign w:val="baseline"/>
        </w:rPr>
        <w:t> Other research shows that disabled gender expansive people experience heightened discrimination within employment, housing,</w:t>
      </w:r>
      <w:r>
        <w:rPr>
          <w:spacing w:val="-5"/>
          <w:sz w:val="21"/>
          <w:vertAlign w:val="baseline"/>
        </w:rPr>
        <w:t> </w:t>
      </w:r>
      <w:r>
        <w:rPr>
          <w:sz w:val="21"/>
          <w:vertAlign w:val="baseline"/>
        </w:rPr>
        <w:t>and</w:t>
      </w:r>
      <w:r>
        <w:rPr>
          <w:spacing w:val="-5"/>
          <w:sz w:val="21"/>
          <w:vertAlign w:val="baseline"/>
        </w:rPr>
        <w:t> </w:t>
      </w:r>
      <w:r>
        <w:rPr>
          <w:sz w:val="21"/>
          <w:vertAlign w:val="baseline"/>
        </w:rPr>
        <w:t>social</w:t>
      </w:r>
      <w:r>
        <w:rPr>
          <w:spacing w:val="-5"/>
          <w:sz w:val="21"/>
          <w:vertAlign w:val="baseline"/>
        </w:rPr>
        <w:t> </w:t>
      </w:r>
      <w:r>
        <w:rPr>
          <w:sz w:val="21"/>
          <w:vertAlign w:val="baseline"/>
        </w:rPr>
        <w:t>services</w:t>
      </w:r>
      <w:r>
        <w:rPr>
          <w:spacing w:val="-6"/>
          <w:sz w:val="21"/>
          <w:vertAlign w:val="baseline"/>
        </w:rPr>
        <w:t> </w:t>
      </w:r>
      <w:r>
        <w:rPr>
          <w:sz w:val="21"/>
          <w:vertAlign w:val="baseline"/>
        </w:rPr>
        <w:t>such</w:t>
      </w:r>
      <w:r>
        <w:rPr>
          <w:spacing w:val="-5"/>
          <w:sz w:val="21"/>
          <w:vertAlign w:val="baseline"/>
        </w:rPr>
        <w:t> </w:t>
      </w:r>
      <w:r>
        <w:rPr>
          <w:sz w:val="21"/>
          <w:vertAlign w:val="baseline"/>
        </w:rPr>
        <w:t>as</w:t>
      </w:r>
      <w:r>
        <w:rPr>
          <w:spacing w:val="-6"/>
          <w:sz w:val="21"/>
          <w:vertAlign w:val="baseline"/>
        </w:rPr>
        <w:t> </w:t>
      </w:r>
      <w:r>
        <w:rPr>
          <w:sz w:val="21"/>
          <w:vertAlign w:val="baseline"/>
        </w:rPr>
        <w:t>mental</w:t>
      </w:r>
      <w:r>
        <w:rPr>
          <w:spacing w:val="-5"/>
          <w:sz w:val="21"/>
          <w:vertAlign w:val="baseline"/>
        </w:rPr>
        <w:t> </w:t>
      </w:r>
      <w:r>
        <w:rPr>
          <w:sz w:val="21"/>
          <w:vertAlign w:val="baseline"/>
        </w:rPr>
        <w:t>health</w:t>
      </w:r>
      <w:r>
        <w:rPr>
          <w:spacing w:val="-5"/>
          <w:sz w:val="21"/>
          <w:vertAlign w:val="baseline"/>
        </w:rPr>
        <w:t> </w:t>
      </w:r>
      <w:r>
        <w:rPr>
          <w:sz w:val="21"/>
          <w:vertAlign w:val="baseline"/>
        </w:rPr>
        <w:t>centers,</w:t>
      </w:r>
      <w:r>
        <w:rPr>
          <w:spacing w:val="-5"/>
          <w:sz w:val="21"/>
          <w:vertAlign w:val="baseline"/>
        </w:rPr>
        <w:t> </w:t>
      </w:r>
      <w:r>
        <w:rPr>
          <w:sz w:val="21"/>
          <w:vertAlign w:val="baseline"/>
        </w:rPr>
        <w:t>rape</w:t>
      </w:r>
      <w:r>
        <w:rPr>
          <w:spacing w:val="-5"/>
          <w:sz w:val="21"/>
          <w:vertAlign w:val="baseline"/>
        </w:rPr>
        <w:t> </w:t>
      </w:r>
      <w:r>
        <w:rPr>
          <w:sz w:val="21"/>
          <w:vertAlign w:val="baseline"/>
        </w:rPr>
        <w:t>crisis</w:t>
      </w:r>
      <w:r>
        <w:rPr>
          <w:spacing w:val="-5"/>
          <w:sz w:val="21"/>
          <w:vertAlign w:val="baseline"/>
        </w:rPr>
        <w:t> </w:t>
      </w:r>
      <w:r>
        <w:rPr>
          <w:sz w:val="21"/>
          <w:vertAlign w:val="baseline"/>
        </w:rPr>
        <w:t>centers,</w:t>
      </w:r>
      <w:r>
        <w:rPr>
          <w:spacing w:val="-5"/>
          <w:sz w:val="21"/>
          <w:vertAlign w:val="baseline"/>
        </w:rPr>
        <w:t> </w:t>
      </w:r>
      <w:r>
        <w:rPr>
          <w:sz w:val="21"/>
          <w:vertAlign w:val="baseline"/>
        </w:rPr>
        <w:t>and</w:t>
      </w:r>
      <w:r>
        <w:rPr>
          <w:spacing w:val="-5"/>
          <w:sz w:val="21"/>
          <w:vertAlign w:val="baseline"/>
        </w:rPr>
        <w:t> </w:t>
      </w:r>
      <w:r>
        <w:rPr>
          <w:sz w:val="21"/>
          <w:vertAlign w:val="baseline"/>
        </w:rPr>
        <w:t>domestic</w:t>
      </w:r>
      <w:r>
        <w:rPr>
          <w:spacing w:val="-5"/>
          <w:sz w:val="21"/>
          <w:vertAlign w:val="baseline"/>
        </w:rPr>
        <w:t> </w:t>
      </w:r>
      <w:r>
        <w:rPr>
          <w:sz w:val="21"/>
          <w:vertAlign w:val="baseline"/>
        </w:rPr>
        <w:t>violence</w:t>
      </w:r>
      <w:r>
        <w:rPr>
          <w:spacing w:val="-5"/>
          <w:sz w:val="21"/>
          <w:vertAlign w:val="baseline"/>
        </w:rPr>
        <w:t> </w:t>
      </w:r>
      <w:r>
        <w:rPr>
          <w:sz w:val="21"/>
          <w:vertAlign w:val="baseline"/>
        </w:rPr>
        <w:t>shelters</w:t>
      </w:r>
      <w:hyperlink w:history="true" w:anchor="_bookmark142">
        <w:r>
          <w:rPr>
            <w:sz w:val="21"/>
            <w:vertAlign w:val="baseline"/>
          </w:rPr>
          <w:t>.</w:t>
        </w:r>
        <w:r>
          <w:rPr>
            <w:sz w:val="21"/>
            <w:vertAlign w:val="superscript"/>
          </w:rPr>
          <w:t>41</w:t>
        </w:r>
      </w:hyperlink>
      <w:r>
        <w:rPr>
          <w:sz w:val="21"/>
          <w:vertAlign w:val="baseline"/>
        </w:rPr>
        <w:t> Disabled LGBTQ people have been found to face depression and suicidality at higher rates than peers, yet inequitable policies can prevent them from accessing mental healthcare. This includes inaccessible services, a shortage of professionals who accept public insurance, and policies that revoke lifesaving SSI or SSDI benefits should recipients get married or hold over $2,000 in assets.</w:t>
      </w:r>
    </w:p>
    <w:p>
      <w:pPr>
        <w:spacing w:line="276" w:lineRule="auto" w:before="240"/>
        <w:ind w:left="463" w:right="241" w:firstLine="0"/>
        <w:jc w:val="both"/>
        <w:rPr>
          <w:sz w:val="21"/>
        </w:rPr>
      </w:pPr>
      <w:r>
        <w:rPr>
          <w:sz w:val="21"/>
        </w:rPr>
        <w:t>Given the prevalence of disability among LGBTQ people, accessibility should not be an afterthought to supporters of LGBTQ youth mental health. Disabled, Deaf, and neurodivergent LGBTQ youth have diverse strengths and challenges, and supporters should work to specifically include each group in services. However, allies can broadly support these three populations with the following principles.</w:t>
      </w:r>
    </w:p>
    <w:p>
      <w:pPr>
        <w:spacing w:line="276" w:lineRule="auto" w:before="240"/>
        <w:ind w:left="463" w:right="239" w:firstLine="0"/>
        <w:jc w:val="both"/>
        <w:rPr>
          <w:sz w:val="21"/>
        </w:rPr>
      </w:pPr>
      <w:r>
        <w:rPr>
          <w:sz w:val="21"/>
        </w:rPr>
        <w:t>First, expect differences: assume that disabled, Deaf, and neurodivergent youth are already using services and make them accessible to as many youth as possible. This includes when communicating (closed captions), moving about (ramps), socializing (supporting use of non-verbal communication), self-regulating (sensory or quiet spaces), and</w:t>
      </w:r>
      <w:r>
        <w:rPr>
          <w:spacing w:val="-1"/>
          <w:sz w:val="21"/>
        </w:rPr>
        <w:t> </w:t>
      </w:r>
      <w:r>
        <w:rPr>
          <w:sz w:val="21"/>
        </w:rPr>
        <w:t>more.</w:t>
      </w:r>
      <w:r>
        <w:rPr>
          <w:spacing w:val="-1"/>
          <w:sz w:val="21"/>
        </w:rPr>
        <w:t> </w:t>
      </w:r>
      <w:r>
        <w:rPr>
          <w:sz w:val="21"/>
        </w:rPr>
        <w:t>Second, challenge</w:t>
      </w:r>
      <w:r>
        <w:rPr>
          <w:spacing w:val="-1"/>
          <w:sz w:val="21"/>
        </w:rPr>
        <w:t> </w:t>
      </w:r>
      <w:r>
        <w:rPr>
          <w:sz w:val="21"/>
        </w:rPr>
        <w:t>ableist attitudes</w:t>
      </w:r>
      <w:r>
        <w:rPr>
          <w:spacing w:val="-1"/>
          <w:sz w:val="21"/>
        </w:rPr>
        <w:t> </w:t>
      </w:r>
      <w:r>
        <w:rPr>
          <w:sz w:val="21"/>
        </w:rPr>
        <w:t>that disabled, Deaf, and</w:t>
      </w:r>
      <w:r>
        <w:rPr>
          <w:spacing w:val="-1"/>
          <w:sz w:val="21"/>
        </w:rPr>
        <w:t> </w:t>
      </w:r>
      <w:r>
        <w:rPr>
          <w:sz w:val="21"/>
        </w:rPr>
        <w:t>neurodivergent youth</w:t>
      </w:r>
      <w:r>
        <w:rPr>
          <w:spacing w:val="-1"/>
          <w:sz w:val="21"/>
        </w:rPr>
        <w:t> </w:t>
      </w:r>
      <w:r>
        <w:rPr>
          <w:sz w:val="21"/>
        </w:rPr>
        <w:t>are helpless, burdensome, tragic, lazy, or deficient. Instead, take their lead in exploring the positive and negative nuances of their own experiences, and inquire about any impacts of ableism on their mental health. Third, practice “nothing about us without us”; shape services around ongoing feedback from youth about their own goals and create meaningful opportunities for leadership and active participation.</w:t>
      </w:r>
    </w:p>
    <w:p>
      <w:pPr>
        <w:spacing w:after="0" w:line="276" w:lineRule="auto"/>
        <w:jc w:val="both"/>
        <w:rPr>
          <w:sz w:val="21"/>
        </w:rPr>
        <w:sectPr>
          <w:pgSz w:w="12240" w:h="15840"/>
          <w:pgMar w:header="804" w:footer="1390" w:top="1080" w:bottom="1620" w:left="980" w:right="1080"/>
        </w:sectPr>
      </w:pPr>
    </w:p>
    <w:p>
      <w:pPr>
        <w:spacing w:before="68"/>
        <w:ind w:left="463" w:right="0" w:firstLine="0"/>
        <w:jc w:val="both"/>
        <w:rPr>
          <w:sz w:val="28"/>
        </w:rPr>
      </w:pPr>
      <w:bookmarkStart w:name="Rural Youth" w:id="246"/>
      <w:bookmarkEnd w:id="246"/>
      <w:r>
        <w:rPr/>
      </w:r>
      <w:r>
        <w:rPr>
          <w:color w:val="365F91"/>
          <w:sz w:val="28"/>
        </w:rPr>
        <w:t>Rural</w:t>
      </w:r>
      <w:r>
        <w:rPr>
          <w:color w:val="365F91"/>
          <w:spacing w:val="-8"/>
          <w:sz w:val="28"/>
        </w:rPr>
        <w:t> </w:t>
      </w:r>
      <w:r>
        <w:rPr>
          <w:color w:val="365F91"/>
          <w:spacing w:val="-2"/>
          <w:sz w:val="28"/>
        </w:rPr>
        <w:t>Youth</w:t>
      </w:r>
    </w:p>
    <w:p>
      <w:pPr>
        <w:spacing w:line="276" w:lineRule="auto" w:before="291"/>
        <w:ind w:left="463" w:right="240" w:firstLine="0"/>
        <w:jc w:val="both"/>
        <w:rPr>
          <w:sz w:val="21"/>
        </w:rPr>
      </w:pPr>
      <w:r>
        <w:rPr>
          <w:sz w:val="21"/>
        </w:rPr>
        <w:t>Rural youth experience unique risk factors for mental health. Firstly, they may be more isolated from social spaces</w:t>
      </w:r>
      <w:r>
        <w:rPr>
          <w:spacing w:val="-3"/>
          <w:sz w:val="21"/>
        </w:rPr>
        <w:t> </w:t>
      </w:r>
      <w:r>
        <w:rPr>
          <w:sz w:val="21"/>
        </w:rPr>
        <w:t>and</w:t>
      </w:r>
      <w:r>
        <w:rPr>
          <w:spacing w:val="-2"/>
          <w:sz w:val="21"/>
        </w:rPr>
        <w:t> </w:t>
      </w:r>
      <w:r>
        <w:rPr>
          <w:sz w:val="21"/>
        </w:rPr>
        <w:t>services</w:t>
      </w:r>
      <w:r>
        <w:rPr>
          <w:spacing w:val="-3"/>
          <w:sz w:val="21"/>
        </w:rPr>
        <w:t> </w:t>
      </w:r>
      <w:r>
        <w:rPr>
          <w:sz w:val="21"/>
        </w:rPr>
        <w:t>for</w:t>
      </w:r>
      <w:r>
        <w:rPr>
          <w:spacing w:val="-2"/>
          <w:sz w:val="21"/>
        </w:rPr>
        <w:t> </w:t>
      </w:r>
      <w:r>
        <w:rPr>
          <w:sz w:val="21"/>
        </w:rPr>
        <w:t>LGBTQ</w:t>
      </w:r>
      <w:r>
        <w:rPr>
          <w:spacing w:val="-2"/>
          <w:sz w:val="21"/>
        </w:rPr>
        <w:t> </w:t>
      </w:r>
      <w:r>
        <w:rPr>
          <w:sz w:val="21"/>
        </w:rPr>
        <w:t>and</w:t>
      </w:r>
      <w:r>
        <w:rPr>
          <w:spacing w:val="-2"/>
          <w:sz w:val="21"/>
        </w:rPr>
        <w:t> </w:t>
      </w:r>
      <w:r>
        <w:rPr>
          <w:sz w:val="21"/>
        </w:rPr>
        <w:t>other</w:t>
      </w:r>
      <w:r>
        <w:rPr>
          <w:spacing w:val="-4"/>
          <w:sz w:val="21"/>
        </w:rPr>
        <w:t> </w:t>
      </w:r>
      <w:r>
        <w:rPr>
          <w:sz w:val="21"/>
        </w:rPr>
        <w:t>fellow</w:t>
      </w:r>
      <w:r>
        <w:rPr>
          <w:spacing w:val="-2"/>
          <w:sz w:val="21"/>
        </w:rPr>
        <w:t> </w:t>
      </w:r>
      <w:r>
        <w:rPr>
          <w:sz w:val="21"/>
        </w:rPr>
        <w:t>marginalized</w:t>
      </w:r>
      <w:r>
        <w:rPr>
          <w:spacing w:val="-2"/>
          <w:sz w:val="21"/>
        </w:rPr>
        <w:t> </w:t>
      </w:r>
      <w:r>
        <w:rPr>
          <w:sz w:val="21"/>
        </w:rPr>
        <w:t>people.</w:t>
      </w:r>
      <w:r>
        <w:rPr>
          <w:spacing w:val="-1"/>
          <w:sz w:val="21"/>
        </w:rPr>
        <w:t> </w:t>
      </w:r>
      <w:r>
        <w:rPr>
          <w:sz w:val="21"/>
        </w:rPr>
        <w:t>Local</w:t>
      </w:r>
      <w:r>
        <w:rPr>
          <w:spacing w:val="-2"/>
          <w:sz w:val="21"/>
        </w:rPr>
        <w:t> </w:t>
      </w:r>
      <w:r>
        <w:rPr>
          <w:sz w:val="21"/>
        </w:rPr>
        <w:t>cultural</w:t>
      </w:r>
      <w:r>
        <w:rPr>
          <w:spacing w:val="-3"/>
          <w:sz w:val="21"/>
        </w:rPr>
        <w:t> </w:t>
      </w:r>
      <w:r>
        <w:rPr>
          <w:sz w:val="21"/>
        </w:rPr>
        <w:t>norms,</w:t>
      </w:r>
      <w:r>
        <w:rPr>
          <w:spacing w:val="-1"/>
          <w:sz w:val="21"/>
        </w:rPr>
        <w:t> </w:t>
      </w:r>
      <w:r>
        <w:rPr>
          <w:sz w:val="21"/>
        </w:rPr>
        <w:t>such</w:t>
      </w:r>
      <w:r>
        <w:rPr>
          <w:spacing w:val="-3"/>
          <w:sz w:val="21"/>
        </w:rPr>
        <w:t> </w:t>
      </w:r>
      <w:r>
        <w:rPr>
          <w:sz w:val="21"/>
        </w:rPr>
        <w:t>as</w:t>
      </w:r>
      <w:r>
        <w:rPr>
          <w:spacing w:val="-3"/>
          <w:sz w:val="21"/>
        </w:rPr>
        <w:t> </w:t>
      </w:r>
      <w:r>
        <w:rPr>
          <w:sz w:val="21"/>
        </w:rPr>
        <w:t>comparison, conformity, and</w:t>
      </w:r>
      <w:r>
        <w:rPr>
          <w:spacing w:val="-1"/>
          <w:sz w:val="21"/>
        </w:rPr>
        <w:t> </w:t>
      </w:r>
      <w:r>
        <w:rPr>
          <w:sz w:val="21"/>
        </w:rPr>
        <w:t>dwelling</w:t>
      </w:r>
      <w:r>
        <w:rPr>
          <w:spacing w:val="-1"/>
          <w:sz w:val="21"/>
        </w:rPr>
        <w:t> </w:t>
      </w:r>
      <w:r>
        <w:rPr>
          <w:sz w:val="21"/>
        </w:rPr>
        <w:t>on</w:t>
      </w:r>
      <w:r>
        <w:rPr>
          <w:spacing w:val="-1"/>
          <w:sz w:val="21"/>
        </w:rPr>
        <w:t> </w:t>
      </w:r>
      <w:r>
        <w:rPr>
          <w:sz w:val="21"/>
        </w:rPr>
        <w:t>difference, may</w:t>
      </w:r>
      <w:r>
        <w:rPr>
          <w:spacing w:val="-1"/>
          <w:sz w:val="21"/>
        </w:rPr>
        <w:t> </w:t>
      </w:r>
      <w:r>
        <w:rPr>
          <w:sz w:val="21"/>
        </w:rPr>
        <w:t>also</w:t>
      </w:r>
      <w:r>
        <w:rPr>
          <w:spacing w:val="-1"/>
          <w:sz w:val="21"/>
        </w:rPr>
        <w:t> </w:t>
      </w:r>
      <w:r>
        <w:rPr>
          <w:sz w:val="21"/>
        </w:rPr>
        <w:t>intensify</w:t>
      </w:r>
      <w:r>
        <w:rPr>
          <w:spacing w:val="-1"/>
          <w:sz w:val="21"/>
        </w:rPr>
        <w:t> </w:t>
      </w:r>
      <w:r>
        <w:rPr>
          <w:sz w:val="21"/>
        </w:rPr>
        <w:t>their</w:t>
      </w:r>
      <w:r>
        <w:rPr>
          <w:spacing w:val="-1"/>
          <w:sz w:val="21"/>
        </w:rPr>
        <w:t> </w:t>
      </w:r>
      <w:r>
        <w:rPr>
          <w:sz w:val="21"/>
        </w:rPr>
        <w:t>feelings</w:t>
      </w:r>
      <w:r>
        <w:rPr>
          <w:spacing w:val="-1"/>
          <w:sz w:val="21"/>
        </w:rPr>
        <w:t> </w:t>
      </w:r>
      <w:r>
        <w:rPr>
          <w:sz w:val="21"/>
        </w:rPr>
        <w:t>of</w:t>
      </w:r>
      <w:r>
        <w:rPr>
          <w:spacing w:val="-1"/>
          <w:sz w:val="21"/>
        </w:rPr>
        <w:t> </w:t>
      </w:r>
      <w:r>
        <w:rPr>
          <w:sz w:val="21"/>
        </w:rPr>
        <w:t>marginalization</w:t>
      </w:r>
      <w:r>
        <w:rPr>
          <w:spacing w:val="-1"/>
          <w:sz w:val="21"/>
        </w:rPr>
        <w:t> </w:t>
      </w:r>
      <w:r>
        <w:rPr>
          <w:sz w:val="21"/>
        </w:rPr>
        <w:t>and</w:t>
      </w:r>
      <w:r>
        <w:rPr>
          <w:spacing w:val="-1"/>
          <w:sz w:val="21"/>
        </w:rPr>
        <w:t> </w:t>
      </w:r>
      <w:r>
        <w:rPr>
          <w:sz w:val="21"/>
        </w:rPr>
        <w:t>expose</w:t>
      </w:r>
      <w:r>
        <w:rPr>
          <w:spacing w:val="-1"/>
          <w:sz w:val="21"/>
        </w:rPr>
        <w:t> </w:t>
      </w:r>
      <w:r>
        <w:rPr>
          <w:sz w:val="21"/>
        </w:rPr>
        <w:t>them</w:t>
      </w:r>
      <w:r>
        <w:rPr>
          <w:spacing w:val="-1"/>
          <w:sz w:val="21"/>
        </w:rPr>
        <w:t> </w:t>
      </w:r>
      <w:r>
        <w:rPr>
          <w:sz w:val="21"/>
        </w:rPr>
        <w:t>to targeted prejudice and discrimination</w:t>
      </w:r>
      <w:hyperlink w:history="true" w:anchor="_bookmark143">
        <w:r>
          <w:rPr>
            <w:sz w:val="21"/>
          </w:rPr>
          <w:t>.</w:t>
        </w:r>
        <w:r>
          <w:rPr>
            <w:sz w:val="21"/>
            <w:vertAlign w:val="superscript"/>
          </w:rPr>
          <w:t>42</w:t>
        </w:r>
      </w:hyperlink>
      <w:r>
        <w:rPr>
          <w:sz w:val="21"/>
          <w:vertAlign w:val="baseline"/>
        </w:rPr>
        <w:t> Intersecting oppression, such as for being disabled, Indigenous, non- Christian, or BIPOC in a white-majority area, may intensify minority stress on youths’ mental health. Possible areas of investment for rural LGBTQ youth mental health will be discussed further in the “Community- Based Support” section.</w:t>
      </w:r>
    </w:p>
    <w:p>
      <w:pPr>
        <w:spacing w:before="240"/>
        <w:ind w:left="463" w:right="0" w:firstLine="0"/>
        <w:jc w:val="both"/>
        <w:rPr>
          <w:sz w:val="28"/>
        </w:rPr>
      </w:pPr>
      <w:bookmarkStart w:name="Youth Involved in the Child Welfare and " w:id="247"/>
      <w:bookmarkEnd w:id="247"/>
      <w:r>
        <w:rPr/>
      </w:r>
      <w:r>
        <w:rPr>
          <w:color w:val="365F91"/>
          <w:sz w:val="28"/>
        </w:rPr>
        <w:t>Youth</w:t>
      </w:r>
      <w:r>
        <w:rPr>
          <w:color w:val="365F91"/>
          <w:spacing w:val="-10"/>
          <w:sz w:val="28"/>
        </w:rPr>
        <w:t> </w:t>
      </w:r>
      <w:r>
        <w:rPr>
          <w:color w:val="365F91"/>
          <w:sz w:val="28"/>
        </w:rPr>
        <w:t>Involved</w:t>
      </w:r>
      <w:r>
        <w:rPr>
          <w:color w:val="365F91"/>
          <w:spacing w:val="-9"/>
          <w:sz w:val="28"/>
        </w:rPr>
        <w:t> </w:t>
      </w:r>
      <w:r>
        <w:rPr>
          <w:color w:val="365F91"/>
          <w:sz w:val="28"/>
        </w:rPr>
        <w:t>in</w:t>
      </w:r>
      <w:r>
        <w:rPr>
          <w:color w:val="365F91"/>
          <w:spacing w:val="-9"/>
          <w:sz w:val="28"/>
        </w:rPr>
        <w:t> </w:t>
      </w:r>
      <w:r>
        <w:rPr>
          <w:color w:val="365F91"/>
          <w:sz w:val="28"/>
        </w:rPr>
        <w:t>the</w:t>
      </w:r>
      <w:r>
        <w:rPr>
          <w:color w:val="365F91"/>
          <w:spacing w:val="-8"/>
          <w:sz w:val="28"/>
        </w:rPr>
        <w:t> </w:t>
      </w:r>
      <w:r>
        <w:rPr>
          <w:color w:val="365F91"/>
          <w:sz w:val="28"/>
        </w:rPr>
        <w:t>Child</w:t>
      </w:r>
      <w:r>
        <w:rPr>
          <w:color w:val="365F91"/>
          <w:spacing w:val="-9"/>
          <w:sz w:val="28"/>
        </w:rPr>
        <w:t> </w:t>
      </w:r>
      <w:r>
        <w:rPr>
          <w:color w:val="365F91"/>
          <w:sz w:val="28"/>
        </w:rPr>
        <w:t>Welfare</w:t>
      </w:r>
      <w:r>
        <w:rPr>
          <w:color w:val="365F91"/>
          <w:spacing w:val="-9"/>
          <w:sz w:val="28"/>
        </w:rPr>
        <w:t> </w:t>
      </w:r>
      <w:r>
        <w:rPr>
          <w:color w:val="365F91"/>
          <w:sz w:val="28"/>
        </w:rPr>
        <w:t>and</w:t>
      </w:r>
      <w:r>
        <w:rPr>
          <w:color w:val="365F91"/>
          <w:spacing w:val="-9"/>
          <w:sz w:val="28"/>
        </w:rPr>
        <w:t> </w:t>
      </w:r>
      <w:r>
        <w:rPr>
          <w:color w:val="365F91"/>
          <w:sz w:val="28"/>
        </w:rPr>
        <w:t>Juvenile</w:t>
      </w:r>
      <w:r>
        <w:rPr>
          <w:color w:val="365F91"/>
          <w:spacing w:val="-8"/>
          <w:sz w:val="28"/>
        </w:rPr>
        <w:t> </w:t>
      </w:r>
      <w:r>
        <w:rPr>
          <w:color w:val="365F91"/>
          <w:sz w:val="28"/>
        </w:rPr>
        <w:t>Justice</w:t>
      </w:r>
      <w:r>
        <w:rPr>
          <w:color w:val="365F91"/>
          <w:spacing w:val="-9"/>
          <w:sz w:val="28"/>
        </w:rPr>
        <w:t> </w:t>
      </w:r>
      <w:r>
        <w:rPr>
          <w:color w:val="365F91"/>
          <w:spacing w:val="-2"/>
          <w:sz w:val="28"/>
        </w:rPr>
        <w:t>Systems</w:t>
      </w:r>
    </w:p>
    <w:p>
      <w:pPr>
        <w:spacing w:line="276" w:lineRule="auto" w:before="291"/>
        <w:ind w:left="463" w:right="238" w:firstLine="0"/>
        <w:jc w:val="both"/>
        <w:rPr>
          <w:sz w:val="21"/>
        </w:rPr>
      </w:pPr>
      <w:r>
        <w:rPr>
          <w:sz w:val="21"/>
        </w:rPr>
        <w:t>Youth who are involved in the juvenile and criminal justice systems also often have multiple marginalized identities.</w:t>
      </w:r>
      <w:r>
        <w:rPr>
          <w:spacing w:val="-5"/>
          <w:sz w:val="21"/>
        </w:rPr>
        <w:t> </w:t>
      </w:r>
      <w:r>
        <w:rPr>
          <w:sz w:val="21"/>
        </w:rPr>
        <w:t>Nationally,</w:t>
      </w:r>
      <w:r>
        <w:rPr>
          <w:spacing w:val="-4"/>
          <w:sz w:val="21"/>
        </w:rPr>
        <w:t> </w:t>
      </w:r>
      <w:r>
        <w:rPr>
          <w:sz w:val="21"/>
        </w:rPr>
        <w:t>nearly</w:t>
      </w:r>
      <w:r>
        <w:rPr>
          <w:spacing w:val="-5"/>
          <w:sz w:val="21"/>
        </w:rPr>
        <w:t> </w:t>
      </w:r>
      <w:r>
        <w:rPr>
          <w:sz w:val="21"/>
        </w:rPr>
        <w:t>60%</w:t>
      </w:r>
      <w:r>
        <w:rPr>
          <w:spacing w:val="-5"/>
          <w:sz w:val="21"/>
        </w:rPr>
        <w:t> </w:t>
      </w:r>
      <w:r>
        <w:rPr>
          <w:sz w:val="21"/>
        </w:rPr>
        <w:t>of</w:t>
      </w:r>
      <w:r>
        <w:rPr>
          <w:spacing w:val="-5"/>
          <w:sz w:val="21"/>
        </w:rPr>
        <w:t> </w:t>
      </w:r>
      <w:r>
        <w:rPr>
          <w:sz w:val="21"/>
        </w:rPr>
        <w:t>girls</w:t>
      </w:r>
      <w:r>
        <w:rPr>
          <w:spacing w:val="-5"/>
          <w:sz w:val="21"/>
        </w:rPr>
        <w:t> </w:t>
      </w:r>
      <w:r>
        <w:rPr>
          <w:sz w:val="21"/>
        </w:rPr>
        <w:t>in</w:t>
      </w:r>
      <w:r>
        <w:rPr>
          <w:spacing w:val="-4"/>
          <w:sz w:val="21"/>
        </w:rPr>
        <w:t> </w:t>
      </w:r>
      <w:r>
        <w:rPr>
          <w:sz w:val="21"/>
        </w:rPr>
        <w:t>juvenile</w:t>
      </w:r>
      <w:r>
        <w:rPr>
          <w:spacing w:val="-4"/>
          <w:sz w:val="21"/>
        </w:rPr>
        <w:t> </w:t>
      </w:r>
      <w:r>
        <w:rPr>
          <w:sz w:val="21"/>
        </w:rPr>
        <w:t>justice</w:t>
      </w:r>
      <w:r>
        <w:rPr>
          <w:spacing w:val="-4"/>
          <w:sz w:val="21"/>
        </w:rPr>
        <w:t> </w:t>
      </w:r>
      <w:r>
        <w:rPr>
          <w:sz w:val="21"/>
        </w:rPr>
        <w:t>facilities</w:t>
      </w:r>
      <w:r>
        <w:rPr>
          <w:spacing w:val="-5"/>
          <w:sz w:val="21"/>
        </w:rPr>
        <w:t> </w:t>
      </w:r>
      <w:r>
        <w:rPr>
          <w:sz w:val="21"/>
        </w:rPr>
        <w:t>identify</w:t>
      </w:r>
      <w:r>
        <w:rPr>
          <w:spacing w:val="-5"/>
          <w:sz w:val="21"/>
        </w:rPr>
        <w:t> </w:t>
      </w:r>
      <w:r>
        <w:rPr>
          <w:sz w:val="21"/>
        </w:rPr>
        <w:t>as</w:t>
      </w:r>
      <w:r>
        <w:rPr>
          <w:spacing w:val="-5"/>
          <w:sz w:val="21"/>
        </w:rPr>
        <w:t> </w:t>
      </w:r>
      <w:r>
        <w:rPr>
          <w:sz w:val="21"/>
        </w:rPr>
        <w:t>LGBQ,</w:t>
      </w:r>
      <w:r>
        <w:rPr>
          <w:spacing w:val="-4"/>
          <w:sz w:val="21"/>
        </w:rPr>
        <w:t> </w:t>
      </w:r>
      <w:r>
        <w:rPr>
          <w:sz w:val="21"/>
        </w:rPr>
        <w:t>up</w:t>
      </w:r>
      <w:r>
        <w:rPr>
          <w:spacing w:val="-4"/>
          <w:sz w:val="21"/>
        </w:rPr>
        <w:t> </w:t>
      </w:r>
      <w:r>
        <w:rPr>
          <w:sz w:val="21"/>
        </w:rPr>
        <w:t>to</w:t>
      </w:r>
      <w:r>
        <w:rPr>
          <w:spacing w:val="-6"/>
          <w:sz w:val="21"/>
        </w:rPr>
        <w:t> </w:t>
      </w:r>
      <w:r>
        <w:rPr>
          <w:sz w:val="21"/>
        </w:rPr>
        <w:t>85%</w:t>
      </w:r>
      <w:r>
        <w:rPr>
          <w:spacing w:val="-6"/>
          <w:sz w:val="21"/>
        </w:rPr>
        <w:t> </w:t>
      </w:r>
      <w:r>
        <w:rPr>
          <w:sz w:val="21"/>
        </w:rPr>
        <w:t>of</w:t>
      </w:r>
      <w:r>
        <w:rPr>
          <w:spacing w:val="-5"/>
          <w:sz w:val="21"/>
        </w:rPr>
        <w:t> </w:t>
      </w:r>
      <w:r>
        <w:rPr>
          <w:sz w:val="21"/>
        </w:rPr>
        <w:t>LGBTQ</w:t>
      </w:r>
      <w:r>
        <w:rPr>
          <w:spacing w:val="-4"/>
          <w:sz w:val="21"/>
        </w:rPr>
        <w:t> </w:t>
      </w:r>
      <w:r>
        <w:rPr>
          <w:sz w:val="21"/>
        </w:rPr>
        <w:t>youth in the justice system are also BIPOC, and nearly 1 in 2 women in prison report having a disability. </w:t>
      </w:r>
      <w:hyperlink w:history="true" w:anchor="_bookmark144">
        <w:r>
          <w:rPr>
            <w:sz w:val="21"/>
            <w:vertAlign w:val="superscript"/>
          </w:rPr>
          <w:t>43</w:t>
        </w:r>
      </w:hyperlink>
      <w:r>
        <w:rPr>
          <w:sz w:val="21"/>
          <w:vertAlign w:val="baseline"/>
        </w:rPr>
        <w:t> In Massachusetts, DYS Annual Report 2022 reports that only 7.4% of youth in the juvenile justice system identify as LGBTQ, though 83% of its detained juvenile population identifies as BIPOC</w:t>
      </w:r>
      <w:hyperlink w:history="true" w:anchor="_bookmark145">
        <w:r>
          <w:rPr>
            <w:sz w:val="21"/>
            <w:vertAlign w:val="baseline"/>
          </w:rPr>
          <w:t>.</w:t>
        </w:r>
        <w:r>
          <w:rPr>
            <w:sz w:val="21"/>
            <w:vertAlign w:val="superscript"/>
          </w:rPr>
          <w:t>44</w:t>
        </w:r>
      </w:hyperlink>
      <w:r>
        <w:rPr>
          <w:sz w:val="21"/>
          <w:vertAlign w:val="baseline"/>
        </w:rPr>
        <w:t> Many LGBTQ prisoners are survivors of childhood abuse and trauma, were unemployed or homeless before incarceration, and experience violence,</w:t>
      </w:r>
      <w:r>
        <w:rPr>
          <w:spacing w:val="-7"/>
          <w:sz w:val="21"/>
          <w:vertAlign w:val="baseline"/>
        </w:rPr>
        <w:t> </w:t>
      </w:r>
      <w:r>
        <w:rPr>
          <w:sz w:val="21"/>
          <w:vertAlign w:val="baseline"/>
        </w:rPr>
        <w:t>sexual</w:t>
      </w:r>
      <w:r>
        <w:rPr>
          <w:spacing w:val="-8"/>
          <w:sz w:val="21"/>
          <w:vertAlign w:val="baseline"/>
        </w:rPr>
        <w:t> </w:t>
      </w:r>
      <w:r>
        <w:rPr>
          <w:sz w:val="21"/>
          <w:vertAlign w:val="baseline"/>
        </w:rPr>
        <w:t>assault,</w:t>
      </w:r>
      <w:r>
        <w:rPr>
          <w:spacing w:val="-9"/>
          <w:sz w:val="21"/>
          <w:vertAlign w:val="baseline"/>
        </w:rPr>
        <w:t> </w:t>
      </w:r>
      <w:r>
        <w:rPr>
          <w:sz w:val="21"/>
          <w:vertAlign w:val="baseline"/>
        </w:rPr>
        <w:t>and</w:t>
      </w:r>
      <w:r>
        <w:rPr>
          <w:spacing w:val="-9"/>
          <w:sz w:val="21"/>
          <w:vertAlign w:val="baseline"/>
        </w:rPr>
        <w:t> </w:t>
      </w:r>
      <w:r>
        <w:rPr>
          <w:sz w:val="21"/>
          <w:vertAlign w:val="baseline"/>
        </w:rPr>
        <w:t>human</w:t>
      </w:r>
      <w:r>
        <w:rPr>
          <w:spacing w:val="-9"/>
          <w:sz w:val="21"/>
          <w:vertAlign w:val="baseline"/>
        </w:rPr>
        <w:t> </w:t>
      </w:r>
      <w:r>
        <w:rPr>
          <w:sz w:val="21"/>
          <w:vertAlign w:val="baseline"/>
        </w:rPr>
        <w:t>rights</w:t>
      </w:r>
      <w:r>
        <w:rPr>
          <w:spacing w:val="-10"/>
          <w:sz w:val="21"/>
          <w:vertAlign w:val="baseline"/>
        </w:rPr>
        <w:t> </w:t>
      </w:r>
      <w:r>
        <w:rPr>
          <w:sz w:val="21"/>
          <w:vertAlign w:val="baseline"/>
        </w:rPr>
        <w:t>abuses</w:t>
      </w:r>
      <w:r>
        <w:rPr>
          <w:spacing w:val="-8"/>
          <w:sz w:val="21"/>
          <w:vertAlign w:val="baseline"/>
        </w:rPr>
        <w:t> </w:t>
      </w:r>
      <w:r>
        <w:rPr>
          <w:sz w:val="21"/>
          <w:vertAlign w:val="baseline"/>
        </w:rPr>
        <w:t>within</w:t>
      </w:r>
      <w:r>
        <w:rPr>
          <w:spacing w:val="-9"/>
          <w:sz w:val="21"/>
          <w:vertAlign w:val="baseline"/>
        </w:rPr>
        <w:t> </w:t>
      </w:r>
      <w:r>
        <w:rPr>
          <w:sz w:val="21"/>
          <w:vertAlign w:val="baseline"/>
        </w:rPr>
        <w:t>the</w:t>
      </w:r>
      <w:r>
        <w:rPr>
          <w:spacing w:val="-8"/>
          <w:sz w:val="21"/>
          <w:vertAlign w:val="baseline"/>
        </w:rPr>
        <w:t> </w:t>
      </w:r>
      <w:r>
        <w:rPr>
          <w:sz w:val="21"/>
          <w:vertAlign w:val="baseline"/>
        </w:rPr>
        <w:t>gender-segregated</w:t>
      </w:r>
      <w:r>
        <w:rPr>
          <w:spacing w:val="-8"/>
          <w:sz w:val="21"/>
          <w:vertAlign w:val="baseline"/>
        </w:rPr>
        <w:t> </w:t>
      </w:r>
      <w:r>
        <w:rPr>
          <w:sz w:val="21"/>
          <w:vertAlign w:val="baseline"/>
        </w:rPr>
        <w:t>justice</w:t>
      </w:r>
      <w:r>
        <w:rPr>
          <w:spacing w:val="-8"/>
          <w:sz w:val="21"/>
          <w:vertAlign w:val="baseline"/>
        </w:rPr>
        <w:t> </w:t>
      </w:r>
      <w:r>
        <w:rPr>
          <w:sz w:val="21"/>
          <w:vertAlign w:val="baseline"/>
        </w:rPr>
        <w:t>system.</w:t>
      </w:r>
      <w:r>
        <w:rPr>
          <w:spacing w:val="-8"/>
          <w:sz w:val="21"/>
          <w:vertAlign w:val="baseline"/>
        </w:rPr>
        <w:t> </w:t>
      </w:r>
      <w:r>
        <w:rPr>
          <w:sz w:val="21"/>
          <w:vertAlign w:val="baseline"/>
        </w:rPr>
        <w:t>Finally,</w:t>
      </w:r>
      <w:r>
        <w:rPr>
          <w:spacing w:val="-7"/>
          <w:sz w:val="21"/>
          <w:vertAlign w:val="baseline"/>
        </w:rPr>
        <w:t> </w:t>
      </w:r>
      <w:r>
        <w:rPr>
          <w:sz w:val="21"/>
          <w:vertAlign w:val="baseline"/>
        </w:rPr>
        <w:t>research shows that arrest rates are higher for BIPOC (especially Black, Latine, and Indigenous) and transgender youth, due at least in part to prejudice, poverty, and inequitable laws such as criminalization of sex work.</w:t>
      </w:r>
    </w:p>
    <w:p>
      <w:pPr>
        <w:spacing w:line="276" w:lineRule="auto" w:before="240"/>
        <w:ind w:left="463" w:right="3494" w:firstLine="0"/>
        <w:jc w:val="both"/>
        <w:rPr>
          <w:sz w:val="21"/>
        </w:rPr>
      </w:pPr>
      <w:r>
        <w:rPr/>
        <w:drawing>
          <wp:anchor distT="0" distB="0" distL="0" distR="0" allowOverlap="1" layoutInCell="1" locked="0" behindDoc="0" simplePos="0" relativeHeight="15761920">
            <wp:simplePos x="0" y="0"/>
            <wp:positionH relativeFrom="page">
              <wp:posOffset>4956810</wp:posOffset>
            </wp:positionH>
            <wp:positionV relativeFrom="paragraph">
              <wp:posOffset>166083</wp:posOffset>
            </wp:positionV>
            <wp:extent cx="2065413" cy="932167"/>
            <wp:effectExtent l="0" t="0" r="0" b="0"/>
            <wp:wrapNone/>
            <wp:docPr id="232" name="Image 232" descr="A group of blue people holding hands  Description automatically generated "/>
            <wp:cNvGraphicFramePr>
              <a:graphicFrameLocks/>
            </wp:cNvGraphicFramePr>
            <a:graphic>
              <a:graphicData uri="http://schemas.openxmlformats.org/drawingml/2006/picture">
                <pic:pic>
                  <pic:nvPicPr>
                    <pic:cNvPr id="232" name="Image 232" descr="A group of blue people holding hands  Description automatically generated "/>
                    <pic:cNvPicPr/>
                  </pic:nvPicPr>
                  <pic:blipFill>
                    <a:blip r:embed="rId180" cstate="print"/>
                    <a:stretch>
                      <a:fillRect/>
                    </a:stretch>
                  </pic:blipFill>
                  <pic:spPr>
                    <a:xfrm>
                      <a:off x="0" y="0"/>
                      <a:ext cx="2065413" cy="932167"/>
                    </a:xfrm>
                    <a:prstGeom prst="rect">
                      <a:avLst/>
                    </a:prstGeom>
                  </pic:spPr>
                </pic:pic>
              </a:graphicData>
            </a:graphic>
          </wp:anchor>
        </w:drawing>
      </w:r>
      <w:r>
        <w:rPr>
          <w:sz w:val="21"/>
        </w:rPr>
        <w:t>Meanwhile, around 1 in 5 foster youth in the US is LGBTQ, though as discussed</w:t>
      </w:r>
      <w:r>
        <w:rPr>
          <w:spacing w:val="-8"/>
          <w:sz w:val="21"/>
        </w:rPr>
        <w:t> </w:t>
      </w:r>
      <w:r>
        <w:rPr>
          <w:sz w:val="21"/>
        </w:rPr>
        <w:t>in</w:t>
      </w:r>
      <w:r>
        <w:rPr>
          <w:spacing w:val="-8"/>
          <w:sz w:val="21"/>
        </w:rPr>
        <w:t> </w:t>
      </w:r>
      <w:r>
        <w:rPr>
          <w:sz w:val="21"/>
        </w:rPr>
        <w:t>the</w:t>
      </w:r>
      <w:r>
        <w:rPr>
          <w:spacing w:val="-8"/>
          <w:sz w:val="21"/>
        </w:rPr>
        <w:t> </w:t>
      </w:r>
      <w:r>
        <w:rPr>
          <w:sz w:val="21"/>
        </w:rPr>
        <w:t>child</w:t>
      </w:r>
      <w:r>
        <w:rPr>
          <w:spacing w:val="-8"/>
          <w:sz w:val="21"/>
        </w:rPr>
        <w:t> </w:t>
      </w:r>
      <w:r>
        <w:rPr>
          <w:sz w:val="21"/>
        </w:rPr>
        <w:t>welfare</w:t>
      </w:r>
      <w:r>
        <w:rPr>
          <w:spacing w:val="-8"/>
          <w:sz w:val="21"/>
        </w:rPr>
        <w:t> </w:t>
      </w:r>
      <w:r>
        <w:rPr>
          <w:sz w:val="21"/>
        </w:rPr>
        <w:t>section</w:t>
      </w:r>
      <w:r>
        <w:rPr>
          <w:spacing w:val="-8"/>
          <w:sz w:val="21"/>
        </w:rPr>
        <w:t> </w:t>
      </w:r>
      <w:r>
        <w:rPr>
          <w:sz w:val="21"/>
        </w:rPr>
        <w:t>of</w:t>
      </w:r>
      <w:r>
        <w:rPr>
          <w:spacing w:val="-8"/>
          <w:sz w:val="21"/>
        </w:rPr>
        <w:t> </w:t>
      </w:r>
      <w:r>
        <w:rPr>
          <w:sz w:val="21"/>
        </w:rPr>
        <w:t>this</w:t>
      </w:r>
      <w:r>
        <w:rPr>
          <w:spacing w:val="-8"/>
          <w:sz w:val="21"/>
        </w:rPr>
        <w:t> </w:t>
      </w:r>
      <w:r>
        <w:rPr>
          <w:sz w:val="21"/>
        </w:rPr>
        <w:t>annual</w:t>
      </w:r>
      <w:r>
        <w:rPr>
          <w:spacing w:val="-8"/>
          <w:sz w:val="21"/>
        </w:rPr>
        <w:t> </w:t>
      </w:r>
      <w:r>
        <w:rPr>
          <w:sz w:val="21"/>
        </w:rPr>
        <w:t>report,</w:t>
      </w:r>
      <w:r>
        <w:rPr>
          <w:spacing w:val="-7"/>
          <w:sz w:val="21"/>
        </w:rPr>
        <w:t> </w:t>
      </w:r>
      <w:r>
        <w:rPr>
          <w:sz w:val="21"/>
        </w:rPr>
        <w:t>this</w:t>
      </w:r>
      <w:r>
        <w:rPr>
          <w:spacing w:val="-8"/>
          <w:sz w:val="21"/>
        </w:rPr>
        <w:t> </w:t>
      </w:r>
      <w:r>
        <w:rPr>
          <w:sz w:val="21"/>
        </w:rPr>
        <w:t>number</w:t>
      </w:r>
      <w:r>
        <w:rPr>
          <w:spacing w:val="-8"/>
          <w:sz w:val="21"/>
        </w:rPr>
        <w:t> </w:t>
      </w:r>
      <w:r>
        <w:rPr>
          <w:sz w:val="21"/>
        </w:rPr>
        <w:t>is currently estimated to be lower in Massachusetts. However, staff often do not ask about youths’ identities, putting them at risk of being denied services</w:t>
      </w:r>
      <w:r>
        <w:rPr>
          <w:spacing w:val="-12"/>
          <w:sz w:val="21"/>
        </w:rPr>
        <w:t> </w:t>
      </w:r>
      <w:r>
        <w:rPr>
          <w:sz w:val="21"/>
        </w:rPr>
        <w:t>or</w:t>
      </w:r>
      <w:r>
        <w:rPr>
          <w:spacing w:val="-12"/>
          <w:sz w:val="21"/>
        </w:rPr>
        <w:t> </w:t>
      </w:r>
      <w:r>
        <w:rPr>
          <w:sz w:val="21"/>
        </w:rPr>
        <w:t>mistreated</w:t>
      </w:r>
      <w:r>
        <w:rPr>
          <w:spacing w:val="-12"/>
          <w:sz w:val="21"/>
        </w:rPr>
        <w:t> </w:t>
      </w:r>
      <w:r>
        <w:rPr>
          <w:sz w:val="21"/>
        </w:rPr>
        <w:t>within</w:t>
      </w:r>
      <w:r>
        <w:rPr>
          <w:spacing w:val="-12"/>
          <w:sz w:val="21"/>
        </w:rPr>
        <w:t> </w:t>
      </w:r>
      <w:r>
        <w:rPr>
          <w:sz w:val="21"/>
        </w:rPr>
        <w:t>foster</w:t>
      </w:r>
      <w:r>
        <w:rPr>
          <w:spacing w:val="-12"/>
          <w:sz w:val="21"/>
        </w:rPr>
        <w:t> </w:t>
      </w:r>
      <w:r>
        <w:rPr>
          <w:sz w:val="21"/>
        </w:rPr>
        <w:t>placements</w:t>
      </w:r>
      <w:hyperlink w:history="true" w:anchor="_bookmark146">
        <w:r>
          <w:rPr>
            <w:sz w:val="21"/>
          </w:rPr>
          <w:t>.</w:t>
        </w:r>
        <w:r>
          <w:rPr>
            <w:sz w:val="21"/>
            <w:vertAlign w:val="superscript"/>
          </w:rPr>
          <w:t>45</w:t>
        </w:r>
      </w:hyperlink>
      <w:r>
        <w:rPr>
          <w:spacing w:val="-12"/>
          <w:sz w:val="21"/>
          <w:vertAlign w:val="baseline"/>
        </w:rPr>
        <w:t> </w:t>
      </w:r>
      <w:r>
        <w:rPr>
          <w:sz w:val="21"/>
          <w:vertAlign w:val="baseline"/>
        </w:rPr>
        <w:t>This</w:t>
      </w:r>
      <w:r>
        <w:rPr>
          <w:spacing w:val="-12"/>
          <w:sz w:val="21"/>
          <w:vertAlign w:val="baseline"/>
        </w:rPr>
        <w:t> </w:t>
      </w:r>
      <w:r>
        <w:rPr>
          <w:sz w:val="21"/>
          <w:vertAlign w:val="baseline"/>
        </w:rPr>
        <w:t>is</w:t>
      </w:r>
      <w:r>
        <w:rPr>
          <w:spacing w:val="-11"/>
          <w:sz w:val="21"/>
          <w:vertAlign w:val="baseline"/>
        </w:rPr>
        <w:t> </w:t>
      </w:r>
      <w:r>
        <w:rPr>
          <w:sz w:val="21"/>
          <w:vertAlign w:val="baseline"/>
        </w:rPr>
        <w:t>troubling,</w:t>
      </w:r>
      <w:r>
        <w:rPr>
          <w:spacing w:val="-12"/>
          <w:sz w:val="21"/>
          <w:vertAlign w:val="baseline"/>
        </w:rPr>
        <w:t> </w:t>
      </w:r>
      <w:r>
        <w:rPr>
          <w:sz w:val="21"/>
          <w:vertAlign w:val="baseline"/>
        </w:rPr>
        <w:t>as</w:t>
      </w:r>
      <w:r>
        <w:rPr>
          <w:spacing w:val="-12"/>
          <w:sz w:val="21"/>
          <w:vertAlign w:val="baseline"/>
        </w:rPr>
        <w:t> </w:t>
      </w:r>
      <w:r>
        <w:rPr>
          <w:sz w:val="21"/>
          <w:vertAlign w:val="baseline"/>
        </w:rPr>
        <w:t>one study</w:t>
      </w:r>
      <w:r>
        <w:rPr>
          <w:spacing w:val="30"/>
          <w:sz w:val="21"/>
          <w:vertAlign w:val="baseline"/>
        </w:rPr>
        <w:t> </w:t>
      </w:r>
      <w:r>
        <w:rPr>
          <w:sz w:val="21"/>
          <w:vertAlign w:val="baseline"/>
        </w:rPr>
        <w:t>found</w:t>
      </w:r>
      <w:r>
        <w:rPr>
          <w:spacing w:val="29"/>
          <w:sz w:val="21"/>
          <w:vertAlign w:val="baseline"/>
        </w:rPr>
        <w:t> </w:t>
      </w:r>
      <w:r>
        <w:rPr>
          <w:sz w:val="21"/>
          <w:vertAlign w:val="baseline"/>
        </w:rPr>
        <w:t>that,</w:t>
      </w:r>
      <w:r>
        <w:rPr>
          <w:spacing w:val="30"/>
          <w:sz w:val="21"/>
          <w:vertAlign w:val="baseline"/>
        </w:rPr>
        <w:t> </w:t>
      </w:r>
      <w:r>
        <w:rPr>
          <w:sz w:val="21"/>
          <w:vertAlign w:val="baseline"/>
        </w:rPr>
        <w:t>nationally,</w:t>
      </w:r>
      <w:r>
        <w:rPr>
          <w:spacing w:val="29"/>
          <w:sz w:val="21"/>
          <w:vertAlign w:val="baseline"/>
        </w:rPr>
        <w:t> </w:t>
      </w:r>
      <w:r>
        <w:rPr>
          <w:sz w:val="21"/>
          <w:vertAlign w:val="baseline"/>
        </w:rPr>
        <w:t>LGBTQ</w:t>
      </w:r>
      <w:r>
        <w:rPr>
          <w:spacing w:val="30"/>
          <w:sz w:val="21"/>
          <w:vertAlign w:val="baseline"/>
        </w:rPr>
        <w:t> </w:t>
      </w:r>
      <w:r>
        <w:rPr>
          <w:sz w:val="21"/>
          <w:vertAlign w:val="baseline"/>
        </w:rPr>
        <w:t>youth</w:t>
      </w:r>
      <w:r>
        <w:rPr>
          <w:spacing w:val="30"/>
          <w:sz w:val="21"/>
          <w:vertAlign w:val="baseline"/>
        </w:rPr>
        <w:t> </w:t>
      </w:r>
      <w:r>
        <w:rPr>
          <w:sz w:val="21"/>
          <w:vertAlign w:val="baseline"/>
        </w:rPr>
        <w:t>had</w:t>
      </w:r>
      <w:r>
        <w:rPr>
          <w:spacing w:val="29"/>
          <w:sz w:val="21"/>
          <w:vertAlign w:val="baseline"/>
        </w:rPr>
        <w:t> </w:t>
      </w:r>
      <w:r>
        <w:rPr>
          <w:sz w:val="21"/>
          <w:vertAlign w:val="baseline"/>
        </w:rPr>
        <w:t>an</w:t>
      </w:r>
      <w:r>
        <w:rPr>
          <w:spacing w:val="30"/>
          <w:sz w:val="21"/>
          <w:vertAlign w:val="baseline"/>
        </w:rPr>
        <w:t> </w:t>
      </w:r>
      <w:r>
        <w:rPr>
          <w:sz w:val="21"/>
          <w:vertAlign w:val="baseline"/>
        </w:rPr>
        <w:t>average</w:t>
      </w:r>
      <w:r>
        <w:rPr>
          <w:spacing w:val="30"/>
          <w:sz w:val="21"/>
          <w:vertAlign w:val="baseline"/>
        </w:rPr>
        <w:t> </w:t>
      </w:r>
      <w:r>
        <w:rPr>
          <w:sz w:val="21"/>
          <w:vertAlign w:val="baseline"/>
        </w:rPr>
        <w:t>of</w:t>
      </w:r>
      <w:r>
        <w:rPr>
          <w:spacing w:val="29"/>
          <w:sz w:val="21"/>
          <w:vertAlign w:val="baseline"/>
        </w:rPr>
        <w:t> </w:t>
      </w:r>
      <w:r>
        <w:rPr>
          <w:sz w:val="21"/>
          <w:vertAlign w:val="baseline"/>
        </w:rPr>
        <w:t>6</w:t>
      </w:r>
      <w:r>
        <w:rPr>
          <w:spacing w:val="30"/>
          <w:sz w:val="21"/>
          <w:vertAlign w:val="baseline"/>
        </w:rPr>
        <w:t> </w:t>
      </w:r>
      <w:r>
        <w:rPr>
          <w:spacing w:val="-2"/>
          <w:sz w:val="21"/>
          <w:vertAlign w:val="baseline"/>
        </w:rPr>
        <w:t>foster</w:t>
      </w:r>
    </w:p>
    <w:p>
      <w:pPr>
        <w:spacing w:line="276" w:lineRule="auto" w:before="0"/>
        <w:ind w:left="463" w:right="240" w:firstLine="0"/>
        <w:jc w:val="both"/>
        <w:rPr>
          <w:sz w:val="21"/>
        </w:rPr>
      </w:pPr>
      <w:r>
        <w:rPr>
          <w:sz w:val="21"/>
        </w:rPr>
        <w:t>placements,</w:t>
      </w:r>
      <w:r>
        <w:rPr>
          <w:spacing w:val="-11"/>
          <w:sz w:val="21"/>
        </w:rPr>
        <w:t> </w:t>
      </w:r>
      <w:r>
        <w:rPr>
          <w:sz w:val="21"/>
        </w:rPr>
        <w:t>nearly</w:t>
      </w:r>
      <w:r>
        <w:rPr>
          <w:spacing w:val="-11"/>
          <w:sz w:val="21"/>
        </w:rPr>
        <w:t> </w:t>
      </w:r>
      <w:r>
        <w:rPr>
          <w:sz w:val="21"/>
        </w:rPr>
        <w:t>double</w:t>
      </w:r>
      <w:r>
        <w:rPr>
          <w:spacing w:val="-10"/>
          <w:sz w:val="21"/>
        </w:rPr>
        <w:t> </w:t>
      </w:r>
      <w:r>
        <w:rPr>
          <w:sz w:val="21"/>
        </w:rPr>
        <w:t>that</w:t>
      </w:r>
      <w:r>
        <w:rPr>
          <w:spacing w:val="-10"/>
          <w:sz w:val="21"/>
        </w:rPr>
        <w:t> </w:t>
      </w:r>
      <w:r>
        <w:rPr>
          <w:sz w:val="21"/>
        </w:rPr>
        <w:t>of</w:t>
      </w:r>
      <w:r>
        <w:rPr>
          <w:spacing w:val="-11"/>
          <w:sz w:val="21"/>
        </w:rPr>
        <w:t> </w:t>
      </w:r>
      <w:r>
        <w:rPr>
          <w:sz w:val="21"/>
        </w:rPr>
        <w:t>their</w:t>
      </w:r>
      <w:r>
        <w:rPr>
          <w:spacing w:val="-10"/>
          <w:sz w:val="21"/>
        </w:rPr>
        <w:t> </w:t>
      </w:r>
      <w:r>
        <w:rPr>
          <w:sz w:val="21"/>
        </w:rPr>
        <w:t>straight</w:t>
      </w:r>
      <w:r>
        <w:rPr>
          <w:spacing w:val="-10"/>
          <w:sz w:val="21"/>
        </w:rPr>
        <w:t> </w:t>
      </w:r>
      <w:r>
        <w:rPr>
          <w:sz w:val="21"/>
        </w:rPr>
        <w:t>peers;</w:t>
      </w:r>
      <w:r>
        <w:rPr>
          <w:spacing w:val="-10"/>
          <w:sz w:val="21"/>
        </w:rPr>
        <w:t> </w:t>
      </w:r>
      <w:r>
        <w:rPr>
          <w:sz w:val="21"/>
        </w:rPr>
        <w:t>LGBTQ</w:t>
      </w:r>
      <w:r>
        <w:rPr>
          <w:spacing w:val="-10"/>
          <w:sz w:val="21"/>
        </w:rPr>
        <w:t> </w:t>
      </w:r>
      <w:r>
        <w:rPr>
          <w:sz w:val="21"/>
        </w:rPr>
        <w:t>foster</w:t>
      </w:r>
      <w:r>
        <w:rPr>
          <w:spacing w:val="-10"/>
          <w:sz w:val="21"/>
        </w:rPr>
        <w:t> </w:t>
      </w:r>
      <w:r>
        <w:rPr>
          <w:sz w:val="21"/>
        </w:rPr>
        <w:t>youth</w:t>
      </w:r>
      <w:r>
        <w:rPr>
          <w:spacing w:val="-10"/>
          <w:sz w:val="21"/>
        </w:rPr>
        <w:t> </w:t>
      </w:r>
      <w:r>
        <w:rPr>
          <w:sz w:val="21"/>
        </w:rPr>
        <w:t>are</w:t>
      </w:r>
      <w:r>
        <w:rPr>
          <w:spacing w:val="-10"/>
          <w:sz w:val="21"/>
        </w:rPr>
        <w:t> </w:t>
      </w:r>
      <w:r>
        <w:rPr>
          <w:sz w:val="21"/>
        </w:rPr>
        <w:t>also</w:t>
      </w:r>
      <w:r>
        <w:rPr>
          <w:spacing w:val="-11"/>
          <w:sz w:val="21"/>
        </w:rPr>
        <w:t> </w:t>
      </w:r>
      <w:r>
        <w:rPr>
          <w:sz w:val="21"/>
        </w:rPr>
        <w:t>twice</w:t>
      </w:r>
      <w:r>
        <w:rPr>
          <w:spacing w:val="-10"/>
          <w:sz w:val="21"/>
        </w:rPr>
        <w:t> </w:t>
      </w:r>
      <w:r>
        <w:rPr>
          <w:sz w:val="21"/>
        </w:rPr>
        <w:t>as</w:t>
      </w:r>
      <w:r>
        <w:rPr>
          <w:spacing w:val="-12"/>
          <w:sz w:val="21"/>
        </w:rPr>
        <w:t> </w:t>
      </w:r>
      <w:r>
        <w:rPr>
          <w:sz w:val="21"/>
        </w:rPr>
        <w:t>likely</w:t>
      </w:r>
      <w:r>
        <w:rPr>
          <w:spacing w:val="-11"/>
          <w:sz w:val="21"/>
        </w:rPr>
        <w:t> </w:t>
      </w:r>
      <w:r>
        <w:rPr>
          <w:sz w:val="21"/>
        </w:rPr>
        <w:t>to</w:t>
      </w:r>
      <w:r>
        <w:rPr>
          <w:spacing w:val="-11"/>
          <w:sz w:val="21"/>
        </w:rPr>
        <w:t> </w:t>
      </w:r>
      <w:r>
        <w:rPr>
          <w:sz w:val="21"/>
        </w:rPr>
        <w:t>report</w:t>
      </w:r>
      <w:r>
        <w:rPr>
          <w:spacing w:val="-10"/>
          <w:sz w:val="21"/>
        </w:rPr>
        <w:t> </w:t>
      </w:r>
      <w:r>
        <w:rPr>
          <w:sz w:val="21"/>
        </w:rPr>
        <w:t>being unfairly treated by</w:t>
      </w:r>
      <w:r>
        <w:rPr>
          <w:spacing w:val="-1"/>
          <w:sz w:val="21"/>
        </w:rPr>
        <w:t> </w:t>
      </w:r>
      <w:r>
        <w:rPr>
          <w:sz w:val="21"/>
        </w:rPr>
        <w:t>the</w:t>
      </w:r>
      <w:r>
        <w:rPr>
          <w:spacing w:val="-1"/>
          <w:sz w:val="21"/>
        </w:rPr>
        <w:t> </w:t>
      </w:r>
      <w:r>
        <w:rPr>
          <w:sz w:val="21"/>
        </w:rPr>
        <w:t>child</w:t>
      </w:r>
      <w:r>
        <w:rPr>
          <w:spacing w:val="-1"/>
          <w:sz w:val="21"/>
        </w:rPr>
        <w:t> </w:t>
      </w:r>
      <w:r>
        <w:rPr>
          <w:sz w:val="21"/>
        </w:rPr>
        <w:t>welfare system, explaining</w:t>
      </w:r>
      <w:r>
        <w:rPr>
          <w:spacing w:val="-1"/>
          <w:sz w:val="21"/>
        </w:rPr>
        <w:t> </w:t>
      </w:r>
      <w:r>
        <w:rPr>
          <w:sz w:val="21"/>
        </w:rPr>
        <w:t>why rates of placement run-away, school</w:t>
      </w:r>
      <w:r>
        <w:rPr>
          <w:spacing w:val="-1"/>
          <w:sz w:val="21"/>
        </w:rPr>
        <w:t> </w:t>
      </w:r>
      <w:r>
        <w:rPr>
          <w:sz w:val="21"/>
        </w:rPr>
        <w:t>absenteeism, discipline, and dropout are so high. Unsurprisingly, LGBTQ foster youth are nearly three times as likely to be hospitalized for emotional reasons – yet when they age out of services, many are left on their own</w:t>
      </w:r>
      <w:hyperlink w:history="true" w:anchor="_bookmark147">
        <w:r>
          <w:rPr>
            <w:sz w:val="21"/>
          </w:rPr>
          <w:t>.</w:t>
        </w:r>
        <w:r>
          <w:rPr>
            <w:sz w:val="21"/>
            <w:vertAlign w:val="superscript"/>
          </w:rPr>
          <w:t>46</w:t>
        </w:r>
      </w:hyperlink>
    </w:p>
    <w:p>
      <w:pPr>
        <w:spacing w:line="276" w:lineRule="auto" w:before="241"/>
        <w:ind w:left="463" w:right="239" w:firstLine="0"/>
        <w:jc w:val="both"/>
        <w:rPr>
          <w:sz w:val="21"/>
        </w:rPr>
      </w:pPr>
      <w:r>
        <w:rPr>
          <w:sz w:val="21"/>
        </w:rPr>
        <w:t>Overall, the child welfare and juvenile justice systems should ensure that policies and programs supporting LGBTQ youth include supporting youth and families to prevent removal or detainment in the first place; recognizing trauma responses rather than simply maligning youth as aggressive; offering LGBTQ competency trainings</w:t>
      </w:r>
      <w:r>
        <w:rPr>
          <w:spacing w:val="-4"/>
          <w:sz w:val="21"/>
        </w:rPr>
        <w:t> </w:t>
      </w:r>
      <w:r>
        <w:rPr>
          <w:sz w:val="21"/>
        </w:rPr>
        <w:t>for</w:t>
      </w:r>
      <w:r>
        <w:rPr>
          <w:spacing w:val="-3"/>
          <w:sz w:val="21"/>
        </w:rPr>
        <w:t> </w:t>
      </w:r>
      <w:r>
        <w:rPr>
          <w:sz w:val="21"/>
        </w:rPr>
        <w:t>system</w:t>
      </w:r>
      <w:r>
        <w:rPr>
          <w:spacing w:val="-3"/>
          <w:sz w:val="21"/>
        </w:rPr>
        <w:t> </w:t>
      </w:r>
      <w:r>
        <w:rPr>
          <w:sz w:val="21"/>
        </w:rPr>
        <w:t>employees</w:t>
      </w:r>
      <w:r>
        <w:rPr>
          <w:spacing w:val="-4"/>
          <w:sz w:val="21"/>
        </w:rPr>
        <w:t> </w:t>
      </w:r>
      <w:r>
        <w:rPr>
          <w:sz w:val="21"/>
        </w:rPr>
        <w:t>and</w:t>
      </w:r>
      <w:r>
        <w:rPr>
          <w:spacing w:val="-3"/>
          <w:sz w:val="21"/>
        </w:rPr>
        <w:t> </w:t>
      </w:r>
      <w:r>
        <w:rPr>
          <w:sz w:val="21"/>
        </w:rPr>
        <w:t>foster</w:t>
      </w:r>
      <w:r>
        <w:rPr>
          <w:spacing w:val="-3"/>
          <w:sz w:val="21"/>
        </w:rPr>
        <w:t> </w:t>
      </w:r>
      <w:r>
        <w:rPr>
          <w:sz w:val="21"/>
        </w:rPr>
        <w:t>parents;</w:t>
      </w:r>
      <w:r>
        <w:rPr>
          <w:spacing w:val="-3"/>
          <w:sz w:val="21"/>
        </w:rPr>
        <w:t> </w:t>
      </w:r>
      <w:r>
        <w:rPr>
          <w:sz w:val="21"/>
        </w:rPr>
        <w:t>extending</w:t>
      </w:r>
      <w:r>
        <w:rPr>
          <w:spacing w:val="-4"/>
          <w:sz w:val="21"/>
        </w:rPr>
        <w:t> </w:t>
      </w:r>
      <w:r>
        <w:rPr>
          <w:sz w:val="21"/>
        </w:rPr>
        <w:t>eligibility</w:t>
      </w:r>
      <w:r>
        <w:rPr>
          <w:spacing w:val="-3"/>
          <w:sz w:val="21"/>
        </w:rPr>
        <w:t> </w:t>
      </w:r>
      <w:r>
        <w:rPr>
          <w:sz w:val="21"/>
        </w:rPr>
        <w:t>for</w:t>
      </w:r>
      <w:r>
        <w:rPr>
          <w:spacing w:val="-3"/>
          <w:sz w:val="21"/>
        </w:rPr>
        <w:t> </w:t>
      </w:r>
      <w:r>
        <w:rPr>
          <w:sz w:val="21"/>
        </w:rPr>
        <w:t>support</w:t>
      </w:r>
      <w:r>
        <w:rPr>
          <w:spacing w:val="-2"/>
          <w:sz w:val="21"/>
        </w:rPr>
        <w:t> </w:t>
      </w:r>
      <w:r>
        <w:rPr>
          <w:sz w:val="21"/>
        </w:rPr>
        <w:t>services</w:t>
      </w:r>
      <w:r>
        <w:rPr>
          <w:spacing w:val="-4"/>
          <w:sz w:val="21"/>
        </w:rPr>
        <w:t> </w:t>
      </w:r>
      <w:r>
        <w:rPr>
          <w:sz w:val="21"/>
        </w:rPr>
        <w:t>after</w:t>
      </w:r>
      <w:r>
        <w:rPr>
          <w:spacing w:val="-3"/>
          <w:sz w:val="21"/>
        </w:rPr>
        <w:t> </w:t>
      </w:r>
      <w:r>
        <w:rPr>
          <w:sz w:val="21"/>
        </w:rPr>
        <w:t>youth</w:t>
      </w:r>
      <w:r>
        <w:rPr>
          <w:spacing w:val="-3"/>
          <w:sz w:val="21"/>
        </w:rPr>
        <w:t> </w:t>
      </w:r>
      <w:r>
        <w:rPr>
          <w:sz w:val="21"/>
        </w:rPr>
        <w:t>exit</w:t>
      </w:r>
      <w:r>
        <w:rPr>
          <w:spacing w:val="-5"/>
          <w:sz w:val="21"/>
        </w:rPr>
        <w:t> </w:t>
      </w:r>
      <w:r>
        <w:rPr>
          <w:sz w:val="21"/>
        </w:rPr>
        <w:t>the systems; offering trauma-informed, LGBTQ-specific social spaces and support services; and creating pathways for reporting and enforcing consequences for anti-LGBTQ discrimination. For more detailed recommendations for</w:t>
      </w:r>
      <w:r>
        <w:rPr>
          <w:spacing w:val="-7"/>
          <w:sz w:val="21"/>
        </w:rPr>
        <w:t> </w:t>
      </w:r>
      <w:r>
        <w:rPr>
          <w:sz w:val="21"/>
        </w:rPr>
        <w:t>DCF,</w:t>
      </w:r>
      <w:r>
        <w:rPr>
          <w:spacing w:val="-6"/>
          <w:sz w:val="21"/>
        </w:rPr>
        <w:t> </w:t>
      </w:r>
      <w:r>
        <w:rPr>
          <w:sz w:val="21"/>
        </w:rPr>
        <w:t>see</w:t>
      </w:r>
      <w:r>
        <w:rPr>
          <w:spacing w:val="-7"/>
          <w:sz w:val="21"/>
        </w:rPr>
        <w:t> </w:t>
      </w:r>
      <w:r>
        <w:rPr>
          <w:sz w:val="21"/>
        </w:rPr>
        <w:t>the</w:t>
      </w:r>
      <w:r>
        <w:rPr>
          <w:spacing w:val="-7"/>
          <w:sz w:val="21"/>
        </w:rPr>
        <w:t> </w:t>
      </w:r>
      <w:r>
        <w:rPr>
          <w:sz w:val="21"/>
        </w:rPr>
        <w:t>Commission’s</w:t>
      </w:r>
      <w:r>
        <w:rPr>
          <w:spacing w:val="-7"/>
          <w:sz w:val="21"/>
        </w:rPr>
        <w:t> </w:t>
      </w:r>
      <w:r>
        <w:rPr>
          <w:sz w:val="21"/>
        </w:rPr>
        <w:t>2021</w:t>
      </w:r>
      <w:r>
        <w:rPr>
          <w:spacing w:val="-7"/>
          <w:sz w:val="21"/>
        </w:rPr>
        <w:t> </w:t>
      </w:r>
      <w:r>
        <w:rPr>
          <w:sz w:val="21"/>
        </w:rPr>
        <w:t>report,</w:t>
      </w:r>
      <w:r>
        <w:rPr>
          <w:spacing w:val="-6"/>
          <w:sz w:val="21"/>
        </w:rPr>
        <w:t> </w:t>
      </w:r>
      <w:r>
        <w:rPr>
          <w:sz w:val="21"/>
        </w:rPr>
        <w:t>“LGBTQ</w:t>
      </w:r>
      <w:r>
        <w:rPr>
          <w:spacing w:val="-6"/>
          <w:sz w:val="21"/>
        </w:rPr>
        <w:t> </w:t>
      </w:r>
      <w:r>
        <w:rPr>
          <w:sz w:val="21"/>
        </w:rPr>
        <w:t>Youth</w:t>
      </w:r>
      <w:r>
        <w:rPr>
          <w:spacing w:val="-7"/>
          <w:sz w:val="21"/>
        </w:rPr>
        <w:t> </w:t>
      </w:r>
      <w:r>
        <w:rPr>
          <w:sz w:val="21"/>
        </w:rPr>
        <w:t>in</w:t>
      </w:r>
      <w:r>
        <w:rPr>
          <w:spacing w:val="-8"/>
          <w:sz w:val="21"/>
        </w:rPr>
        <w:t> </w:t>
      </w:r>
      <w:r>
        <w:rPr>
          <w:sz w:val="21"/>
        </w:rPr>
        <w:t>the</w:t>
      </w:r>
      <w:r>
        <w:rPr>
          <w:spacing w:val="-8"/>
          <w:sz w:val="21"/>
        </w:rPr>
        <w:t> </w:t>
      </w:r>
      <w:r>
        <w:rPr>
          <w:sz w:val="21"/>
        </w:rPr>
        <w:t>Massachusetts</w:t>
      </w:r>
      <w:r>
        <w:rPr>
          <w:spacing w:val="-7"/>
          <w:sz w:val="21"/>
        </w:rPr>
        <w:t> </w:t>
      </w:r>
      <w:r>
        <w:rPr>
          <w:sz w:val="21"/>
        </w:rPr>
        <w:t>Child</w:t>
      </w:r>
      <w:r>
        <w:rPr>
          <w:spacing w:val="-7"/>
          <w:sz w:val="21"/>
        </w:rPr>
        <w:t> </w:t>
      </w:r>
      <w:r>
        <w:rPr>
          <w:sz w:val="21"/>
        </w:rPr>
        <w:t>Welfare</w:t>
      </w:r>
      <w:r>
        <w:rPr>
          <w:spacing w:val="-7"/>
          <w:sz w:val="21"/>
        </w:rPr>
        <w:t> </w:t>
      </w:r>
      <w:r>
        <w:rPr>
          <w:sz w:val="21"/>
        </w:rPr>
        <w:t>System:</w:t>
      </w:r>
      <w:r>
        <w:rPr>
          <w:spacing w:val="-6"/>
          <w:sz w:val="21"/>
        </w:rPr>
        <w:t> </w:t>
      </w:r>
      <w:r>
        <w:rPr>
          <w:sz w:val="21"/>
        </w:rPr>
        <w:t>A</w:t>
      </w:r>
      <w:r>
        <w:rPr>
          <w:spacing w:val="-8"/>
          <w:sz w:val="21"/>
        </w:rPr>
        <w:t> </w:t>
      </w:r>
      <w:r>
        <w:rPr>
          <w:sz w:val="21"/>
        </w:rPr>
        <w:t>Report on Pervasive Threats to Safety, Wellbeing, and Permanency.”</w:t>
      </w:r>
    </w:p>
    <w:p>
      <w:pPr>
        <w:spacing w:after="0" w:line="276" w:lineRule="auto"/>
        <w:jc w:val="both"/>
        <w:rPr>
          <w:sz w:val="21"/>
        </w:rPr>
        <w:sectPr>
          <w:pgSz w:w="12240" w:h="15840"/>
          <w:pgMar w:header="804" w:footer="1390" w:top="1080" w:bottom="1620" w:left="980" w:right="1080"/>
        </w:sectPr>
      </w:pPr>
    </w:p>
    <w:p>
      <w:pPr>
        <w:spacing w:before="68"/>
        <w:ind w:left="463" w:right="0" w:firstLine="0"/>
        <w:jc w:val="both"/>
        <w:rPr>
          <w:sz w:val="28"/>
        </w:rPr>
      </w:pPr>
      <w:bookmarkStart w:name="Evidence-Based Clinical, School &amp; Commun" w:id="248"/>
      <w:bookmarkEnd w:id="248"/>
      <w:r>
        <w:rPr/>
      </w:r>
      <w:r>
        <w:rPr>
          <w:color w:val="365F91"/>
          <w:sz w:val="28"/>
        </w:rPr>
        <w:t>Evidence-Based</w:t>
      </w:r>
      <w:r>
        <w:rPr>
          <w:color w:val="365F91"/>
          <w:spacing w:val="-15"/>
          <w:sz w:val="28"/>
        </w:rPr>
        <w:t> </w:t>
      </w:r>
      <w:r>
        <w:rPr>
          <w:color w:val="365F91"/>
          <w:sz w:val="28"/>
        </w:rPr>
        <w:t>Clinical,</w:t>
      </w:r>
      <w:r>
        <w:rPr>
          <w:color w:val="365F91"/>
          <w:spacing w:val="-14"/>
          <w:sz w:val="28"/>
        </w:rPr>
        <w:t> </w:t>
      </w:r>
      <w:r>
        <w:rPr>
          <w:color w:val="365F91"/>
          <w:sz w:val="28"/>
        </w:rPr>
        <w:t>School</w:t>
      </w:r>
      <w:r>
        <w:rPr>
          <w:color w:val="365F91"/>
          <w:spacing w:val="-14"/>
          <w:sz w:val="28"/>
        </w:rPr>
        <w:t> </w:t>
      </w:r>
      <w:r>
        <w:rPr>
          <w:color w:val="365F91"/>
          <w:sz w:val="28"/>
        </w:rPr>
        <w:t>&amp;</w:t>
      </w:r>
      <w:r>
        <w:rPr>
          <w:color w:val="365F91"/>
          <w:spacing w:val="-13"/>
          <w:sz w:val="28"/>
        </w:rPr>
        <w:t> </w:t>
      </w:r>
      <w:r>
        <w:rPr>
          <w:color w:val="365F91"/>
          <w:sz w:val="28"/>
        </w:rPr>
        <w:t>Community-Based</w:t>
      </w:r>
      <w:r>
        <w:rPr>
          <w:color w:val="365F91"/>
          <w:spacing w:val="-14"/>
          <w:sz w:val="28"/>
        </w:rPr>
        <w:t> </w:t>
      </w:r>
      <w:r>
        <w:rPr>
          <w:color w:val="365F91"/>
          <w:sz w:val="28"/>
        </w:rPr>
        <w:t>Mental</w:t>
      </w:r>
      <w:r>
        <w:rPr>
          <w:color w:val="365F91"/>
          <w:spacing w:val="-13"/>
          <w:sz w:val="28"/>
        </w:rPr>
        <w:t> </w:t>
      </w:r>
      <w:r>
        <w:rPr>
          <w:color w:val="365F91"/>
          <w:sz w:val="28"/>
        </w:rPr>
        <w:t>Health</w:t>
      </w:r>
      <w:r>
        <w:rPr>
          <w:color w:val="365F91"/>
          <w:spacing w:val="-14"/>
          <w:sz w:val="28"/>
        </w:rPr>
        <w:t> </w:t>
      </w:r>
      <w:r>
        <w:rPr>
          <w:color w:val="365F91"/>
          <w:spacing w:val="-2"/>
          <w:sz w:val="28"/>
        </w:rPr>
        <w:t>Support</w:t>
      </w:r>
    </w:p>
    <w:p>
      <w:pPr>
        <w:spacing w:line="276" w:lineRule="auto" w:before="291"/>
        <w:ind w:left="463" w:right="239" w:firstLine="0"/>
        <w:jc w:val="both"/>
        <w:rPr>
          <w:sz w:val="21"/>
        </w:rPr>
      </w:pPr>
      <w:r>
        <w:rPr>
          <w:sz w:val="21"/>
        </w:rPr>
        <w:t>When LGBTQ youth face mental health challenges like depression, trauma, or suicidality, professional support is</w:t>
      </w:r>
      <w:r>
        <w:rPr>
          <w:spacing w:val="-6"/>
          <w:sz w:val="21"/>
        </w:rPr>
        <w:t> </w:t>
      </w:r>
      <w:r>
        <w:rPr>
          <w:sz w:val="21"/>
        </w:rPr>
        <w:t>often</w:t>
      </w:r>
      <w:r>
        <w:rPr>
          <w:spacing w:val="-6"/>
          <w:sz w:val="21"/>
        </w:rPr>
        <w:t> </w:t>
      </w:r>
      <w:r>
        <w:rPr>
          <w:sz w:val="21"/>
        </w:rPr>
        <w:t>the</w:t>
      </w:r>
      <w:r>
        <w:rPr>
          <w:spacing w:val="-6"/>
          <w:sz w:val="21"/>
        </w:rPr>
        <w:t> </w:t>
      </w:r>
      <w:r>
        <w:rPr>
          <w:sz w:val="21"/>
        </w:rPr>
        <w:t>first</w:t>
      </w:r>
      <w:r>
        <w:rPr>
          <w:spacing w:val="-5"/>
          <w:sz w:val="21"/>
        </w:rPr>
        <w:t> </w:t>
      </w:r>
      <w:r>
        <w:rPr>
          <w:sz w:val="21"/>
        </w:rPr>
        <w:t>step.</w:t>
      </w:r>
      <w:r>
        <w:rPr>
          <w:spacing w:val="-6"/>
          <w:sz w:val="21"/>
        </w:rPr>
        <w:t> </w:t>
      </w:r>
      <w:r>
        <w:rPr>
          <w:sz w:val="21"/>
        </w:rPr>
        <w:t>However,</w:t>
      </w:r>
      <w:r>
        <w:rPr>
          <w:spacing w:val="-5"/>
          <w:sz w:val="21"/>
        </w:rPr>
        <w:t> </w:t>
      </w:r>
      <w:r>
        <w:rPr>
          <w:sz w:val="21"/>
        </w:rPr>
        <w:t>research</w:t>
      </w:r>
      <w:r>
        <w:rPr>
          <w:spacing w:val="-7"/>
          <w:sz w:val="21"/>
        </w:rPr>
        <w:t> </w:t>
      </w:r>
      <w:r>
        <w:rPr>
          <w:sz w:val="21"/>
        </w:rPr>
        <w:t>about</w:t>
      </w:r>
      <w:r>
        <w:rPr>
          <w:spacing w:val="-5"/>
          <w:sz w:val="21"/>
        </w:rPr>
        <w:t> </w:t>
      </w:r>
      <w:r>
        <w:rPr>
          <w:sz w:val="21"/>
        </w:rPr>
        <w:t>therapy</w:t>
      </w:r>
      <w:r>
        <w:rPr>
          <w:spacing w:val="-7"/>
          <w:sz w:val="21"/>
        </w:rPr>
        <w:t> </w:t>
      </w:r>
      <w:r>
        <w:rPr>
          <w:sz w:val="21"/>
        </w:rPr>
        <w:t>for</w:t>
      </w:r>
      <w:r>
        <w:rPr>
          <w:spacing w:val="-6"/>
          <w:sz w:val="21"/>
        </w:rPr>
        <w:t> </w:t>
      </w:r>
      <w:r>
        <w:rPr>
          <w:sz w:val="21"/>
        </w:rPr>
        <w:t>LGBTQ</w:t>
      </w:r>
      <w:r>
        <w:rPr>
          <w:spacing w:val="-5"/>
          <w:sz w:val="21"/>
        </w:rPr>
        <w:t> </w:t>
      </w:r>
      <w:r>
        <w:rPr>
          <w:sz w:val="21"/>
        </w:rPr>
        <w:t>youth</w:t>
      </w:r>
      <w:r>
        <w:rPr>
          <w:spacing w:val="-6"/>
          <w:sz w:val="21"/>
        </w:rPr>
        <w:t> </w:t>
      </w:r>
      <w:r>
        <w:rPr>
          <w:sz w:val="21"/>
        </w:rPr>
        <w:t>is</w:t>
      </w:r>
      <w:r>
        <w:rPr>
          <w:spacing w:val="-6"/>
          <w:sz w:val="21"/>
        </w:rPr>
        <w:t> </w:t>
      </w:r>
      <w:r>
        <w:rPr>
          <w:sz w:val="21"/>
        </w:rPr>
        <w:t>still</w:t>
      </w:r>
      <w:r>
        <w:rPr>
          <w:spacing w:val="-6"/>
          <w:sz w:val="21"/>
        </w:rPr>
        <w:t> </w:t>
      </w:r>
      <w:r>
        <w:rPr>
          <w:sz w:val="21"/>
        </w:rPr>
        <w:t>“severely</w:t>
      </w:r>
      <w:r>
        <w:rPr>
          <w:spacing w:val="-6"/>
          <w:sz w:val="21"/>
        </w:rPr>
        <w:t> </w:t>
      </w:r>
      <w:r>
        <w:rPr>
          <w:sz w:val="21"/>
        </w:rPr>
        <w:t>lacking.”</w:t>
      </w:r>
      <w:r>
        <w:rPr>
          <w:spacing w:val="-6"/>
          <w:sz w:val="21"/>
        </w:rPr>
        <w:t> </w:t>
      </w:r>
      <w:hyperlink w:history="true" w:anchor="_bookmark148">
        <w:r>
          <w:rPr>
            <w:sz w:val="21"/>
            <w:vertAlign w:val="superscript"/>
          </w:rPr>
          <w:t>47</w:t>
        </w:r>
      </w:hyperlink>
      <w:r>
        <w:rPr>
          <w:spacing w:val="-6"/>
          <w:sz w:val="21"/>
          <w:vertAlign w:val="baseline"/>
        </w:rPr>
        <w:t> </w:t>
      </w:r>
      <w:r>
        <w:rPr>
          <w:sz w:val="21"/>
          <w:vertAlign w:val="baseline"/>
        </w:rPr>
        <w:t>One</w:t>
      </w:r>
      <w:r>
        <w:rPr>
          <w:spacing w:val="-6"/>
          <w:sz w:val="21"/>
          <w:vertAlign w:val="baseline"/>
        </w:rPr>
        <w:t> </w:t>
      </w:r>
      <w:r>
        <w:rPr>
          <w:sz w:val="21"/>
          <w:vertAlign w:val="baseline"/>
        </w:rPr>
        <w:t>recent study reviewed over six thousand studies from 2000 to 2019 and found that only nine evaluated treatment for substance use, mental illness, or victimization among LGBTQ youth. Even then, most studies were small and focused</w:t>
      </w:r>
      <w:r>
        <w:rPr>
          <w:spacing w:val="-1"/>
          <w:sz w:val="21"/>
          <w:vertAlign w:val="baseline"/>
        </w:rPr>
        <w:t> </w:t>
      </w:r>
      <w:r>
        <w:rPr>
          <w:sz w:val="21"/>
          <w:vertAlign w:val="baseline"/>
        </w:rPr>
        <w:t>on</w:t>
      </w:r>
      <w:r>
        <w:rPr>
          <w:spacing w:val="-1"/>
          <w:sz w:val="21"/>
          <w:vertAlign w:val="baseline"/>
        </w:rPr>
        <w:t> </w:t>
      </w:r>
      <w:r>
        <w:rPr>
          <w:sz w:val="21"/>
          <w:vertAlign w:val="baseline"/>
        </w:rPr>
        <w:t>individual</w:t>
      </w:r>
      <w:r>
        <w:rPr>
          <w:spacing w:val="-1"/>
          <w:sz w:val="21"/>
          <w:vertAlign w:val="baseline"/>
        </w:rPr>
        <w:t> </w:t>
      </w:r>
      <w:r>
        <w:rPr>
          <w:sz w:val="21"/>
          <w:vertAlign w:val="baseline"/>
        </w:rPr>
        <w:t>therapy</w:t>
      </w:r>
      <w:hyperlink w:history="true" w:anchor="_bookmark149">
        <w:r>
          <w:rPr>
            <w:sz w:val="21"/>
            <w:vertAlign w:val="baseline"/>
          </w:rPr>
          <w:t>;</w:t>
        </w:r>
        <w:r>
          <w:rPr>
            <w:sz w:val="21"/>
            <w:vertAlign w:val="superscript"/>
          </w:rPr>
          <w:t>48</w:t>
        </w:r>
      </w:hyperlink>
      <w:r>
        <w:rPr>
          <w:spacing w:val="-1"/>
          <w:sz w:val="21"/>
          <w:vertAlign w:val="baseline"/>
        </w:rPr>
        <w:t> </w:t>
      </w:r>
      <w:r>
        <w:rPr>
          <w:sz w:val="21"/>
          <w:vertAlign w:val="baseline"/>
        </w:rPr>
        <w:t>investment in research</w:t>
      </w:r>
      <w:r>
        <w:rPr>
          <w:spacing w:val="-1"/>
          <w:sz w:val="21"/>
          <w:vertAlign w:val="baseline"/>
        </w:rPr>
        <w:t> </w:t>
      </w:r>
      <w:r>
        <w:rPr>
          <w:sz w:val="21"/>
          <w:vertAlign w:val="baseline"/>
        </w:rPr>
        <w:t>about specific</w:t>
      </w:r>
      <w:r>
        <w:rPr>
          <w:spacing w:val="-1"/>
          <w:sz w:val="21"/>
          <w:vertAlign w:val="baseline"/>
        </w:rPr>
        <w:t> </w:t>
      </w:r>
      <w:r>
        <w:rPr>
          <w:sz w:val="21"/>
          <w:vertAlign w:val="baseline"/>
        </w:rPr>
        <w:t>treatment</w:t>
      </w:r>
      <w:r>
        <w:rPr>
          <w:spacing w:val="-1"/>
          <w:sz w:val="21"/>
          <w:vertAlign w:val="baseline"/>
        </w:rPr>
        <w:t> </w:t>
      </w:r>
      <w:r>
        <w:rPr>
          <w:sz w:val="21"/>
          <w:vertAlign w:val="baseline"/>
        </w:rPr>
        <w:t>approaches</w:t>
      </w:r>
      <w:r>
        <w:rPr>
          <w:spacing w:val="-1"/>
          <w:sz w:val="21"/>
          <w:vertAlign w:val="baseline"/>
        </w:rPr>
        <w:t> </w:t>
      </w:r>
      <w:r>
        <w:rPr>
          <w:sz w:val="21"/>
          <w:vertAlign w:val="baseline"/>
        </w:rPr>
        <w:t>for LGBTQ youth, especially</w:t>
      </w:r>
      <w:r>
        <w:rPr>
          <w:spacing w:val="-12"/>
          <w:sz w:val="21"/>
          <w:vertAlign w:val="baseline"/>
        </w:rPr>
        <w:t> </w:t>
      </w:r>
      <w:r>
        <w:rPr>
          <w:sz w:val="21"/>
          <w:vertAlign w:val="baseline"/>
        </w:rPr>
        <w:t>those</w:t>
      </w:r>
      <w:r>
        <w:rPr>
          <w:spacing w:val="-11"/>
          <w:sz w:val="21"/>
          <w:vertAlign w:val="baseline"/>
        </w:rPr>
        <w:t> </w:t>
      </w:r>
      <w:r>
        <w:rPr>
          <w:sz w:val="21"/>
          <w:vertAlign w:val="baseline"/>
        </w:rPr>
        <w:t>who</w:t>
      </w:r>
      <w:r>
        <w:rPr>
          <w:spacing w:val="-12"/>
          <w:sz w:val="21"/>
          <w:vertAlign w:val="baseline"/>
        </w:rPr>
        <w:t> </w:t>
      </w:r>
      <w:r>
        <w:rPr>
          <w:sz w:val="21"/>
          <w:vertAlign w:val="baseline"/>
        </w:rPr>
        <w:t>are</w:t>
      </w:r>
      <w:r>
        <w:rPr>
          <w:spacing w:val="-11"/>
          <w:sz w:val="21"/>
          <w:vertAlign w:val="baseline"/>
        </w:rPr>
        <w:t> </w:t>
      </w:r>
      <w:r>
        <w:rPr>
          <w:sz w:val="21"/>
          <w:vertAlign w:val="baseline"/>
        </w:rPr>
        <w:t>multiply-marginalized</w:t>
      </w:r>
      <w:r>
        <w:rPr>
          <w:spacing w:val="-11"/>
          <w:sz w:val="21"/>
          <w:vertAlign w:val="baseline"/>
        </w:rPr>
        <w:t> </w:t>
      </w:r>
      <w:r>
        <w:rPr>
          <w:sz w:val="21"/>
          <w:vertAlign w:val="baseline"/>
        </w:rPr>
        <w:t>and</w:t>
      </w:r>
      <w:r>
        <w:rPr>
          <w:spacing w:val="-11"/>
          <w:sz w:val="21"/>
          <w:vertAlign w:val="baseline"/>
        </w:rPr>
        <w:t> </w:t>
      </w:r>
      <w:r>
        <w:rPr>
          <w:sz w:val="21"/>
          <w:vertAlign w:val="baseline"/>
        </w:rPr>
        <w:t>underrepresented</w:t>
      </w:r>
      <w:r>
        <w:rPr>
          <w:spacing w:val="-11"/>
          <w:sz w:val="21"/>
          <w:vertAlign w:val="baseline"/>
        </w:rPr>
        <w:t> </w:t>
      </w:r>
      <w:r>
        <w:rPr>
          <w:sz w:val="21"/>
          <w:vertAlign w:val="baseline"/>
        </w:rPr>
        <w:t>in</w:t>
      </w:r>
      <w:r>
        <w:rPr>
          <w:spacing w:val="-11"/>
          <w:sz w:val="21"/>
          <w:vertAlign w:val="baseline"/>
        </w:rPr>
        <w:t> </w:t>
      </w:r>
      <w:r>
        <w:rPr>
          <w:sz w:val="21"/>
          <w:vertAlign w:val="baseline"/>
        </w:rPr>
        <w:t>the</w:t>
      </w:r>
      <w:r>
        <w:rPr>
          <w:spacing w:val="-11"/>
          <w:sz w:val="21"/>
          <w:vertAlign w:val="baseline"/>
        </w:rPr>
        <w:t> </w:t>
      </w:r>
      <w:r>
        <w:rPr>
          <w:sz w:val="21"/>
          <w:vertAlign w:val="baseline"/>
        </w:rPr>
        <w:t>mental</w:t>
      </w:r>
      <w:r>
        <w:rPr>
          <w:spacing w:val="-12"/>
          <w:sz w:val="21"/>
          <w:vertAlign w:val="baseline"/>
        </w:rPr>
        <w:t> </w:t>
      </w:r>
      <w:r>
        <w:rPr>
          <w:sz w:val="21"/>
          <w:vertAlign w:val="baseline"/>
        </w:rPr>
        <w:t>healthcare</w:t>
      </w:r>
      <w:r>
        <w:rPr>
          <w:spacing w:val="-11"/>
          <w:sz w:val="21"/>
          <w:vertAlign w:val="baseline"/>
        </w:rPr>
        <w:t> </w:t>
      </w:r>
      <w:r>
        <w:rPr>
          <w:sz w:val="21"/>
          <w:vertAlign w:val="baseline"/>
        </w:rPr>
        <w:t>field,</w:t>
      </w:r>
      <w:r>
        <w:rPr>
          <w:spacing w:val="-11"/>
          <w:sz w:val="21"/>
          <w:vertAlign w:val="baseline"/>
        </w:rPr>
        <w:t> </w:t>
      </w:r>
      <w:r>
        <w:rPr>
          <w:sz w:val="21"/>
          <w:vertAlign w:val="baseline"/>
        </w:rPr>
        <w:t>is</w:t>
      </w:r>
      <w:r>
        <w:rPr>
          <w:spacing w:val="-12"/>
          <w:sz w:val="21"/>
          <w:vertAlign w:val="baseline"/>
        </w:rPr>
        <w:t> </w:t>
      </w:r>
      <w:r>
        <w:rPr>
          <w:sz w:val="21"/>
          <w:vertAlign w:val="baseline"/>
        </w:rPr>
        <w:t>essential to understanding LGBTQ youth needs.</w:t>
      </w:r>
    </w:p>
    <w:p>
      <w:pPr>
        <w:spacing w:line="276" w:lineRule="auto" w:before="241"/>
        <w:ind w:left="3943" w:right="240" w:firstLine="0"/>
        <w:jc w:val="both"/>
        <w:rPr>
          <w:sz w:val="21"/>
        </w:rPr>
      </w:pPr>
      <w:r>
        <w:rPr/>
        <w:drawing>
          <wp:anchor distT="0" distB="0" distL="0" distR="0" allowOverlap="1" layoutInCell="1" locked="0" behindDoc="0" simplePos="0" relativeHeight="15762432">
            <wp:simplePos x="0" y="0"/>
            <wp:positionH relativeFrom="page">
              <wp:posOffset>825500</wp:posOffset>
            </wp:positionH>
            <wp:positionV relativeFrom="paragraph">
              <wp:posOffset>157012</wp:posOffset>
            </wp:positionV>
            <wp:extent cx="2203449" cy="1764587"/>
            <wp:effectExtent l="0" t="0" r="0" b="0"/>
            <wp:wrapNone/>
            <wp:docPr id="233" name="Image 233" descr="A blue and white text  Description automatically generated "/>
            <wp:cNvGraphicFramePr>
              <a:graphicFrameLocks/>
            </wp:cNvGraphicFramePr>
            <a:graphic>
              <a:graphicData uri="http://schemas.openxmlformats.org/drawingml/2006/picture">
                <pic:pic>
                  <pic:nvPicPr>
                    <pic:cNvPr id="233" name="Image 233" descr="A blue and white text  Description automatically generated "/>
                    <pic:cNvPicPr/>
                  </pic:nvPicPr>
                  <pic:blipFill>
                    <a:blip r:embed="rId181" cstate="print"/>
                    <a:stretch>
                      <a:fillRect/>
                    </a:stretch>
                  </pic:blipFill>
                  <pic:spPr>
                    <a:xfrm>
                      <a:off x="0" y="0"/>
                      <a:ext cx="2203449" cy="1764587"/>
                    </a:xfrm>
                    <a:prstGeom prst="rect">
                      <a:avLst/>
                    </a:prstGeom>
                  </pic:spPr>
                </pic:pic>
              </a:graphicData>
            </a:graphic>
          </wp:anchor>
        </w:drawing>
      </w:r>
      <w:r>
        <w:rPr>
          <w:sz w:val="21"/>
        </w:rPr>
        <w:t>In general, mental healthcare providers (MHPs) who want to provide affirming</w:t>
      </w:r>
      <w:r>
        <w:rPr>
          <w:spacing w:val="-6"/>
          <w:sz w:val="21"/>
        </w:rPr>
        <w:t> </w:t>
      </w:r>
      <w:r>
        <w:rPr>
          <w:sz w:val="21"/>
        </w:rPr>
        <w:t>care</w:t>
      </w:r>
      <w:r>
        <w:rPr>
          <w:spacing w:val="-5"/>
          <w:sz w:val="21"/>
        </w:rPr>
        <w:t> </w:t>
      </w:r>
      <w:r>
        <w:rPr>
          <w:sz w:val="21"/>
        </w:rPr>
        <w:t>for</w:t>
      </w:r>
      <w:r>
        <w:rPr>
          <w:spacing w:val="-5"/>
          <w:sz w:val="21"/>
        </w:rPr>
        <w:t> </w:t>
      </w:r>
      <w:r>
        <w:rPr>
          <w:sz w:val="21"/>
        </w:rPr>
        <w:t>LGBTQ</w:t>
      </w:r>
      <w:r>
        <w:rPr>
          <w:spacing w:val="-5"/>
          <w:sz w:val="21"/>
        </w:rPr>
        <w:t> </w:t>
      </w:r>
      <w:r>
        <w:rPr>
          <w:sz w:val="21"/>
        </w:rPr>
        <w:t>youth</w:t>
      </w:r>
      <w:r>
        <w:rPr>
          <w:spacing w:val="-5"/>
          <w:sz w:val="21"/>
        </w:rPr>
        <w:t> </w:t>
      </w:r>
      <w:r>
        <w:rPr>
          <w:sz w:val="21"/>
        </w:rPr>
        <w:t>can</w:t>
      </w:r>
      <w:r>
        <w:rPr>
          <w:spacing w:val="-6"/>
          <w:sz w:val="21"/>
        </w:rPr>
        <w:t> </w:t>
      </w:r>
      <w:r>
        <w:rPr>
          <w:sz w:val="21"/>
        </w:rPr>
        <w:t>adopt</w:t>
      </w:r>
      <w:r>
        <w:rPr>
          <w:spacing w:val="-6"/>
          <w:sz w:val="21"/>
        </w:rPr>
        <w:t> </w:t>
      </w:r>
      <w:r>
        <w:rPr>
          <w:sz w:val="21"/>
        </w:rPr>
        <w:t>the</w:t>
      </w:r>
      <w:r>
        <w:rPr>
          <w:spacing w:val="-5"/>
          <w:sz w:val="21"/>
        </w:rPr>
        <w:t> </w:t>
      </w:r>
      <w:r>
        <w:rPr>
          <w:sz w:val="21"/>
        </w:rPr>
        <w:t>following</w:t>
      </w:r>
      <w:r>
        <w:rPr>
          <w:spacing w:val="-6"/>
          <w:sz w:val="21"/>
        </w:rPr>
        <w:t> </w:t>
      </w:r>
      <w:r>
        <w:rPr>
          <w:sz w:val="21"/>
        </w:rPr>
        <w:t>best</w:t>
      </w:r>
      <w:r>
        <w:rPr>
          <w:spacing w:val="-5"/>
          <w:sz w:val="21"/>
        </w:rPr>
        <w:t> </w:t>
      </w:r>
      <w:r>
        <w:rPr>
          <w:sz w:val="21"/>
        </w:rPr>
        <w:t>practices. First, MHPs should recognize that the personal is political: minority stress is intersectional, comes from many angles, and leaves many marks. Growing up in an LGBTQ-phobic world can cause complex (prolonged or repetitive) trauma, including shame, betrayal, or abandonment. By asking about the various impacts of minority stress on</w:t>
      </w:r>
      <w:r>
        <w:rPr>
          <w:spacing w:val="-12"/>
          <w:sz w:val="21"/>
        </w:rPr>
        <w:t> </w:t>
      </w:r>
      <w:r>
        <w:rPr>
          <w:sz w:val="21"/>
        </w:rPr>
        <w:t>youths’</w:t>
      </w:r>
      <w:r>
        <w:rPr>
          <w:spacing w:val="-12"/>
          <w:sz w:val="21"/>
        </w:rPr>
        <w:t> </w:t>
      </w:r>
      <w:r>
        <w:rPr>
          <w:sz w:val="21"/>
        </w:rPr>
        <w:t>lives,</w:t>
      </w:r>
      <w:r>
        <w:rPr>
          <w:spacing w:val="-12"/>
          <w:sz w:val="21"/>
        </w:rPr>
        <w:t> </w:t>
      </w:r>
      <w:r>
        <w:rPr>
          <w:sz w:val="21"/>
        </w:rPr>
        <w:t>such</w:t>
      </w:r>
      <w:r>
        <w:rPr>
          <w:spacing w:val="-12"/>
          <w:sz w:val="21"/>
        </w:rPr>
        <w:t> </w:t>
      </w:r>
      <w:r>
        <w:rPr>
          <w:sz w:val="21"/>
        </w:rPr>
        <w:t>as</w:t>
      </w:r>
      <w:r>
        <w:rPr>
          <w:spacing w:val="-12"/>
          <w:sz w:val="21"/>
        </w:rPr>
        <w:t> </w:t>
      </w:r>
      <w:r>
        <w:rPr>
          <w:sz w:val="21"/>
        </w:rPr>
        <w:t>hearing</w:t>
      </w:r>
      <w:r>
        <w:rPr>
          <w:spacing w:val="-12"/>
          <w:sz w:val="21"/>
        </w:rPr>
        <w:t> </w:t>
      </w:r>
      <w:r>
        <w:rPr>
          <w:sz w:val="21"/>
        </w:rPr>
        <w:t>political</w:t>
      </w:r>
      <w:r>
        <w:rPr>
          <w:spacing w:val="-12"/>
          <w:sz w:val="21"/>
        </w:rPr>
        <w:t> </w:t>
      </w:r>
      <w:r>
        <w:rPr>
          <w:sz w:val="21"/>
        </w:rPr>
        <w:t>candidates</w:t>
      </w:r>
      <w:r>
        <w:rPr>
          <w:spacing w:val="-11"/>
          <w:sz w:val="21"/>
        </w:rPr>
        <w:t> </w:t>
      </w:r>
      <w:r>
        <w:rPr>
          <w:sz w:val="21"/>
        </w:rPr>
        <w:t>debate</w:t>
      </w:r>
      <w:r>
        <w:rPr>
          <w:spacing w:val="-12"/>
          <w:sz w:val="21"/>
        </w:rPr>
        <w:t> </w:t>
      </w:r>
      <w:r>
        <w:rPr>
          <w:sz w:val="21"/>
        </w:rPr>
        <w:t>the</w:t>
      </w:r>
      <w:r>
        <w:rPr>
          <w:spacing w:val="-12"/>
          <w:sz w:val="21"/>
        </w:rPr>
        <w:t> </w:t>
      </w:r>
      <w:r>
        <w:rPr>
          <w:sz w:val="21"/>
        </w:rPr>
        <w:t>validity of youths’ identities, MHPs can help youth connect their personal experiences</w:t>
      </w:r>
      <w:r>
        <w:rPr>
          <w:spacing w:val="27"/>
          <w:sz w:val="21"/>
        </w:rPr>
        <w:t> </w:t>
      </w:r>
      <w:r>
        <w:rPr>
          <w:sz w:val="21"/>
        </w:rPr>
        <w:t>to</w:t>
      </w:r>
      <w:r>
        <w:rPr>
          <w:spacing w:val="30"/>
          <w:sz w:val="21"/>
        </w:rPr>
        <w:t> </w:t>
      </w:r>
      <w:r>
        <w:rPr>
          <w:sz w:val="21"/>
        </w:rPr>
        <w:t>wider</w:t>
      </w:r>
      <w:r>
        <w:rPr>
          <w:spacing w:val="30"/>
          <w:sz w:val="21"/>
        </w:rPr>
        <w:t> </w:t>
      </w:r>
      <w:r>
        <w:rPr>
          <w:sz w:val="21"/>
        </w:rPr>
        <w:t>social</w:t>
      </w:r>
      <w:r>
        <w:rPr>
          <w:spacing w:val="30"/>
          <w:sz w:val="21"/>
        </w:rPr>
        <w:t> </w:t>
      </w:r>
      <w:r>
        <w:rPr>
          <w:sz w:val="21"/>
        </w:rPr>
        <w:t>conditions,</w:t>
      </w:r>
      <w:r>
        <w:rPr>
          <w:spacing w:val="30"/>
          <w:sz w:val="21"/>
        </w:rPr>
        <w:t> </w:t>
      </w:r>
      <w:r>
        <w:rPr>
          <w:sz w:val="21"/>
        </w:rPr>
        <w:t>unlearn</w:t>
      </w:r>
      <w:r>
        <w:rPr>
          <w:spacing w:val="30"/>
          <w:sz w:val="21"/>
        </w:rPr>
        <w:t> </w:t>
      </w:r>
      <w:r>
        <w:rPr>
          <w:sz w:val="21"/>
        </w:rPr>
        <w:t>internalized</w:t>
      </w:r>
      <w:r>
        <w:rPr>
          <w:spacing w:val="30"/>
          <w:sz w:val="21"/>
        </w:rPr>
        <w:t> </w:t>
      </w:r>
      <w:r>
        <w:rPr>
          <w:spacing w:val="-2"/>
          <w:sz w:val="21"/>
        </w:rPr>
        <w:t>LGBTQ-</w:t>
      </w:r>
    </w:p>
    <w:p>
      <w:pPr>
        <w:spacing w:line="276" w:lineRule="auto" w:before="1"/>
        <w:ind w:left="463" w:right="240" w:firstLine="0"/>
        <w:jc w:val="both"/>
        <w:rPr>
          <w:sz w:val="21"/>
        </w:rPr>
      </w:pPr>
      <w:r>
        <w:rPr>
          <w:sz w:val="21"/>
        </w:rPr>
        <w:t>phobia, and develop positive identity. For more on this topic, see SAMHSA’s six principles of LGBTQ trauma- informed care and McCormick, Scheyd, &amp; Terrazas’ considerations for trauma- informed care with LGBTQ </w:t>
      </w:r>
      <w:r>
        <w:rPr>
          <w:spacing w:val="-2"/>
          <w:sz w:val="21"/>
        </w:rPr>
        <w:t>youth</w:t>
      </w:r>
      <w:hyperlink w:history="true" w:anchor="_bookmark150">
        <w:r>
          <w:rPr>
            <w:spacing w:val="-2"/>
            <w:sz w:val="21"/>
          </w:rPr>
          <w:t>.</w:t>
        </w:r>
        <w:r>
          <w:rPr>
            <w:spacing w:val="-2"/>
            <w:sz w:val="21"/>
            <w:vertAlign w:val="superscript"/>
          </w:rPr>
          <w:t>49</w:t>
        </w:r>
      </w:hyperlink>
    </w:p>
    <w:p>
      <w:pPr>
        <w:spacing w:line="276" w:lineRule="auto" w:before="239"/>
        <w:ind w:left="463" w:right="240" w:firstLine="0"/>
        <w:jc w:val="both"/>
        <w:rPr>
          <w:sz w:val="21"/>
        </w:rPr>
      </w:pPr>
      <w:r>
        <w:rPr>
          <w:sz w:val="21"/>
        </w:rPr>
        <w:t>Second, MHPs should adapt their services to be accessible and relevant to youth. For instance, many LGBTQ youth are active Internet users, more so during the age of COVID. Online services are more convenient, safe, and familiar for some youth, especially those who have privacy concerns, lack transportation, or live in rural areas.</w:t>
      </w:r>
      <w:r>
        <w:rPr>
          <w:spacing w:val="-8"/>
          <w:sz w:val="21"/>
        </w:rPr>
        <w:t> </w:t>
      </w:r>
      <w:r>
        <w:rPr>
          <w:sz w:val="21"/>
        </w:rPr>
        <w:t>Groups</w:t>
      </w:r>
      <w:r>
        <w:rPr>
          <w:spacing w:val="-8"/>
          <w:sz w:val="21"/>
        </w:rPr>
        <w:t> </w:t>
      </w:r>
      <w:r>
        <w:rPr>
          <w:sz w:val="21"/>
        </w:rPr>
        <w:t>can</w:t>
      </w:r>
      <w:r>
        <w:rPr>
          <w:spacing w:val="-8"/>
          <w:sz w:val="21"/>
        </w:rPr>
        <w:t> </w:t>
      </w:r>
      <w:r>
        <w:rPr>
          <w:sz w:val="21"/>
        </w:rPr>
        <w:t>also</w:t>
      </w:r>
      <w:r>
        <w:rPr>
          <w:spacing w:val="-8"/>
          <w:sz w:val="21"/>
        </w:rPr>
        <w:t> </w:t>
      </w:r>
      <w:r>
        <w:rPr>
          <w:sz w:val="21"/>
        </w:rPr>
        <w:t>be</w:t>
      </w:r>
      <w:r>
        <w:rPr>
          <w:spacing w:val="-8"/>
          <w:sz w:val="21"/>
        </w:rPr>
        <w:t> </w:t>
      </w:r>
      <w:r>
        <w:rPr>
          <w:sz w:val="21"/>
        </w:rPr>
        <w:t>uniquely</w:t>
      </w:r>
      <w:r>
        <w:rPr>
          <w:spacing w:val="-8"/>
          <w:sz w:val="21"/>
        </w:rPr>
        <w:t> </w:t>
      </w:r>
      <w:r>
        <w:rPr>
          <w:sz w:val="21"/>
        </w:rPr>
        <w:t>healing</w:t>
      </w:r>
      <w:r>
        <w:rPr>
          <w:spacing w:val="-8"/>
          <w:sz w:val="21"/>
        </w:rPr>
        <w:t> </w:t>
      </w:r>
      <w:r>
        <w:rPr>
          <w:sz w:val="21"/>
        </w:rPr>
        <w:t>for</w:t>
      </w:r>
      <w:r>
        <w:rPr>
          <w:spacing w:val="-8"/>
          <w:sz w:val="21"/>
        </w:rPr>
        <w:t> </w:t>
      </w:r>
      <w:r>
        <w:rPr>
          <w:sz w:val="21"/>
        </w:rPr>
        <w:t>youth</w:t>
      </w:r>
      <w:r>
        <w:rPr>
          <w:spacing w:val="-8"/>
          <w:sz w:val="21"/>
        </w:rPr>
        <w:t> </w:t>
      </w:r>
      <w:r>
        <w:rPr>
          <w:sz w:val="21"/>
        </w:rPr>
        <w:t>–</w:t>
      </w:r>
      <w:r>
        <w:rPr>
          <w:spacing w:val="-9"/>
          <w:sz w:val="21"/>
        </w:rPr>
        <w:t> </w:t>
      </w:r>
      <w:r>
        <w:rPr>
          <w:sz w:val="21"/>
        </w:rPr>
        <w:t>particularly</w:t>
      </w:r>
      <w:r>
        <w:rPr>
          <w:spacing w:val="-8"/>
          <w:sz w:val="21"/>
        </w:rPr>
        <w:t> </w:t>
      </w:r>
      <w:r>
        <w:rPr>
          <w:sz w:val="21"/>
        </w:rPr>
        <w:t>those</w:t>
      </w:r>
      <w:r>
        <w:rPr>
          <w:spacing w:val="-8"/>
          <w:sz w:val="21"/>
        </w:rPr>
        <w:t> </w:t>
      </w:r>
      <w:r>
        <w:rPr>
          <w:sz w:val="21"/>
        </w:rPr>
        <w:t>who</w:t>
      </w:r>
      <w:r>
        <w:rPr>
          <w:spacing w:val="-8"/>
          <w:sz w:val="21"/>
        </w:rPr>
        <w:t> </w:t>
      </w:r>
      <w:r>
        <w:rPr>
          <w:sz w:val="21"/>
        </w:rPr>
        <w:t>do</w:t>
      </w:r>
      <w:r>
        <w:rPr>
          <w:spacing w:val="-8"/>
          <w:sz w:val="21"/>
        </w:rPr>
        <w:t> </w:t>
      </w:r>
      <w:r>
        <w:rPr>
          <w:sz w:val="21"/>
        </w:rPr>
        <w:t>not</w:t>
      </w:r>
      <w:r>
        <w:rPr>
          <w:spacing w:val="-10"/>
          <w:sz w:val="21"/>
        </w:rPr>
        <w:t> </w:t>
      </w:r>
      <w:r>
        <w:rPr>
          <w:sz w:val="21"/>
        </w:rPr>
        <w:t>have</w:t>
      </w:r>
      <w:r>
        <w:rPr>
          <w:spacing w:val="-8"/>
          <w:sz w:val="21"/>
        </w:rPr>
        <w:t> </w:t>
      </w:r>
      <w:r>
        <w:rPr>
          <w:sz w:val="21"/>
        </w:rPr>
        <w:t>many</w:t>
      </w:r>
      <w:r>
        <w:rPr>
          <w:spacing w:val="-9"/>
          <w:sz w:val="21"/>
        </w:rPr>
        <w:t> </w:t>
      </w:r>
      <w:r>
        <w:rPr>
          <w:sz w:val="21"/>
        </w:rPr>
        <w:t>safe,</w:t>
      </w:r>
      <w:r>
        <w:rPr>
          <w:spacing w:val="-8"/>
          <w:sz w:val="21"/>
        </w:rPr>
        <w:t> </w:t>
      </w:r>
      <w:r>
        <w:rPr>
          <w:sz w:val="21"/>
        </w:rPr>
        <w:t>supportive relationships or have limited contact with others like them.</w:t>
      </w:r>
    </w:p>
    <w:p>
      <w:pPr>
        <w:spacing w:line="276" w:lineRule="auto" w:before="240"/>
        <w:ind w:left="463" w:right="240" w:firstLine="0"/>
        <w:jc w:val="both"/>
        <w:rPr>
          <w:sz w:val="21"/>
        </w:rPr>
      </w:pPr>
      <w:r>
        <w:rPr>
          <w:sz w:val="21"/>
        </w:rPr>
        <w:t>Finally, research recommends that MHPs see LGBTQ youth mental health in terms of holistic emotional well- being, including social networks, community connections, and personal meaning in life</w:t>
      </w:r>
      <w:hyperlink w:history="true" w:anchor="_bookmark151">
        <w:r>
          <w:rPr>
            <w:sz w:val="21"/>
          </w:rPr>
          <w:t>.</w:t>
        </w:r>
        <w:r>
          <w:rPr>
            <w:sz w:val="21"/>
            <w:vertAlign w:val="superscript"/>
          </w:rPr>
          <w:t>50</w:t>
        </w:r>
      </w:hyperlink>
      <w:r>
        <w:rPr>
          <w:sz w:val="21"/>
          <w:vertAlign w:val="baseline"/>
        </w:rPr>
        <w:t> Thus, MHPs should pay extra attention to LGBTQ youths’ relationships, including peers, supportive adults, families, communities, and advocacy/affinity-based groups. Community-building and creativity-based approaches align very well with Western LGBTQ cultures and should be considered as well.</w:t>
      </w:r>
    </w:p>
    <w:p>
      <w:pPr>
        <w:spacing w:line="276" w:lineRule="auto" w:before="239"/>
        <w:ind w:left="463" w:right="241" w:hanging="1"/>
        <w:jc w:val="both"/>
        <w:rPr>
          <w:sz w:val="21"/>
        </w:rPr>
      </w:pPr>
      <w:r>
        <w:rPr>
          <w:sz w:val="21"/>
        </w:rPr>
        <w:t>The few current evidence-based modalities</w:t>
      </w:r>
      <w:r>
        <w:rPr>
          <w:spacing w:val="-1"/>
          <w:sz w:val="21"/>
        </w:rPr>
        <w:t> </w:t>
      </w:r>
      <w:r>
        <w:rPr>
          <w:sz w:val="21"/>
        </w:rPr>
        <w:t>for LGBTQ</w:t>
      </w:r>
      <w:r>
        <w:rPr>
          <w:spacing w:val="-1"/>
          <w:sz w:val="21"/>
        </w:rPr>
        <w:t> </w:t>
      </w:r>
      <w:r>
        <w:rPr>
          <w:sz w:val="21"/>
        </w:rPr>
        <w:t>youth are</w:t>
      </w:r>
      <w:r>
        <w:rPr>
          <w:spacing w:val="-2"/>
          <w:sz w:val="21"/>
        </w:rPr>
        <w:t> </w:t>
      </w:r>
      <w:r>
        <w:rPr>
          <w:sz w:val="21"/>
        </w:rPr>
        <w:t>adapted from</w:t>
      </w:r>
      <w:r>
        <w:rPr>
          <w:spacing w:val="-1"/>
          <w:sz w:val="21"/>
        </w:rPr>
        <w:t> </w:t>
      </w:r>
      <w:r>
        <w:rPr>
          <w:sz w:val="21"/>
        </w:rPr>
        <w:t>mainstream traditional models. CBT</w:t>
      </w:r>
      <w:r>
        <w:rPr>
          <w:spacing w:val="-12"/>
          <w:sz w:val="21"/>
        </w:rPr>
        <w:t> </w:t>
      </w:r>
      <w:r>
        <w:rPr>
          <w:sz w:val="21"/>
        </w:rPr>
        <w:t>is</w:t>
      </w:r>
      <w:r>
        <w:rPr>
          <w:spacing w:val="-12"/>
          <w:sz w:val="21"/>
        </w:rPr>
        <w:t> </w:t>
      </w:r>
      <w:r>
        <w:rPr>
          <w:sz w:val="21"/>
        </w:rPr>
        <w:t>the</w:t>
      </w:r>
      <w:r>
        <w:rPr>
          <w:spacing w:val="-12"/>
          <w:sz w:val="21"/>
        </w:rPr>
        <w:t> </w:t>
      </w:r>
      <w:r>
        <w:rPr>
          <w:sz w:val="21"/>
        </w:rPr>
        <w:t>most-studied</w:t>
      </w:r>
      <w:r>
        <w:rPr>
          <w:spacing w:val="-12"/>
          <w:sz w:val="21"/>
        </w:rPr>
        <w:t> </w:t>
      </w:r>
      <w:r>
        <w:rPr>
          <w:sz w:val="21"/>
        </w:rPr>
        <w:t>modality</w:t>
      </w:r>
      <w:r>
        <w:rPr>
          <w:spacing w:val="-12"/>
          <w:sz w:val="21"/>
        </w:rPr>
        <w:t> </w:t>
      </w:r>
      <w:r>
        <w:rPr>
          <w:sz w:val="21"/>
        </w:rPr>
        <w:t>for</w:t>
      </w:r>
      <w:r>
        <w:rPr>
          <w:spacing w:val="-12"/>
          <w:sz w:val="21"/>
        </w:rPr>
        <w:t> </w:t>
      </w:r>
      <w:r>
        <w:rPr>
          <w:sz w:val="21"/>
        </w:rPr>
        <w:t>LGBTQ</w:t>
      </w:r>
      <w:r>
        <w:rPr>
          <w:spacing w:val="-12"/>
          <w:sz w:val="21"/>
        </w:rPr>
        <w:t> </w:t>
      </w:r>
      <w:r>
        <w:rPr>
          <w:sz w:val="21"/>
        </w:rPr>
        <w:t>youth,</w:t>
      </w:r>
      <w:r>
        <w:rPr>
          <w:spacing w:val="-12"/>
          <w:sz w:val="21"/>
        </w:rPr>
        <w:t> </w:t>
      </w:r>
      <w:r>
        <w:rPr>
          <w:sz w:val="21"/>
        </w:rPr>
        <w:t>likely</w:t>
      </w:r>
      <w:r>
        <w:rPr>
          <w:spacing w:val="-11"/>
          <w:sz w:val="21"/>
        </w:rPr>
        <w:t> </w:t>
      </w:r>
      <w:r>
        <w:rPr>
          <w:sz w:val="21"/>
        </w:rPr>
        <w:t>since</w:t>
      </w:r>
      <w:r>
        <w:rPr>
          <w:spacing w:val="-12"/>
          <w:sz w:val="21"/>
        </w:rPr>
        <w:t> </w:t>
      </w:r>
      <w:r>
        <w:rPr>
          <w:sz w:val="21"/>
        </w:rPr>
        <w:t>it</w:t>
      </w:r>
      <w:r>
        <w:rPr>
          <w:spacing w:val="-12"/>
          <w:sz w:val="21"/>
        </w:rPr>
        <w:t> </w:t>
      </w:r>
      <w:r>
        <w:rPr>
          <w:sz w:val="21"/>
        </w:rPr>
        <w:t>can</w:t>
      </w:r>
      <w:r>
        <w:rPr>
          <w:spacing w:val="-12"/>
          <w:sz w:val="21"/>
        </w:rPr>
        <w:t> </w:t>
      </w:r>
      <w:r>
        <w:rPr>
          <w:sz w:val="21"/>
        </w:rPr>
        <w:t>be</w:t>
      </w:r>
      <w:r>
        <w:rPr>
          <w:spacing w:val="-12"/>
          <w:sz w:val="21"/>
        </w:rPr>
        <w:t> </w:t>
      </w:r>
      <w:r>
        <w:rPr>
          <w:sz w:val="21"/>
        </w:rPr>
        <w:t>done</w:t>
      </w:r>
      <w:r>
        <w:rPr>
          <w:spacing w:val="-12"/>
          <w:sz w:val="21"/>
        </w:rPr>
        <w:t> </w:t>
      </w:r>
      <w:r>
        <w:rPr>
          <w:sz w:val="21"/>
        </w:rPr>
        <w:t>in</w:t>
      </w:r>
      <w:r>
        <w:rPr>
          <w:spacing w:val="-12"/>
          <w:sz w:val="21"/>
        </w:rPr>
        <w:t> </w:t>
      </w:r>
      <w:r>
        <w:rPr>
          <w:sz w:val="21"/>
        </w:rPr>
        <w:t>brief</w:t>
      </w:r>
      <w:r>
        <w:rPr>
          <w:spacing w:val="-12"/>
          <w:sz w:val="21"/>
        </w:rPr>
        <w:t> </w:t>
      </w:r>
      <w:r>
        <w:rPr>
          <w:sz w:val="21"/>
        </w:rPr>
        <w:t>individual</w:t>
      </w:r>
      <w:r>
        <w:rPr>
          <w:spacing w:val="-12"/>
          <w:sz w:val="21"/>
        </w:rPr>
        <w:t> </w:t>
      </w:r>
      <w:r>
        <w:rPr>
          <w:sz w:val="21"/>
        </w:rPr>
        <w:t>or</w:t>
      </w:r>
      <w:r>
        <w:rPr>
          <w:spacing w:val="-12"/>
          <w:sz w:val="21"/>
        </w:rPr>
        <w:t> </w:t>
      </w:r>
      <w:r>
        <w:rPr>
          <w:sz w:val="21"/>
        </w:rPr>
        <w:t>group</w:t>
      </w:r>
      <w:r>
        <w:rPr>
          <w:spacing w:val="-11"/>
          <w:sz w:val="21"/>
        </w:rPr>
        <w:t> </w:t>
      </w:r>
      <w:r>
        <w:rPr>
          <w:sz w:val="21"/>
        </w:rPr>
        <w:t>sessions.</w:t>
      </w:r>
    </w:p>
    <w:p>
      <w:pPr>
        <w:spacing w:line="276" w:lineRule="auto" w:before="1"/>
        <w:ind w:left="463" w:right="243" w:firstLine="0"/>
        <w:jc w:val="both"/>
        <w:rPr>
          <w:sz w:val="21"/>
        </w:rPr>
      </w:pPr>
      <w:hyperlink w:history="true" w:anchor="_bookmark151">
        <w:r>
          <w:rPr>
            <w:sz w:val="21"/>
            <w:vertAlign w:val="superscript"/>
          </w:rPr>
          <w:t>51</w:t>
        </w:r>
      </w:hyperlink>
      <w:r>
        <w:rPr>
          <w:sz w:val="21"/>
          <w:vertAlign w:val="baseline"/>
        </w:rPr>
        <w:t> Examples include Rainbow SPARX, a game-based psychoeducational platform that significantly reduced depression in LGBTQ youth ages 13 to 19</w:t>
      </w:r>
      <w:hyperlink w:history="true" w:anchor="_bookmark152">
        <w:r>
          <w:rPr>
            <w:sz w:val="21"/>
            <w:vertAlign w:val="baseline"/>
          </w:rPr>
          <w:t>,</w:t>
        </w:r>
        <w:r>
          <w:rPr>
            <w:sz w:val="21"/>
            <w:vertAlign w:val="superscript"/>
          </w:rPr>
          <w:t>52</w:t>
        </w:r>
      </w:hyperlink>
      <w:r>
        <w:rPr>
          <w:sz w:val="21"/>
          <w:vertAlign w:val="baseline"/>
        </w:rPr>
        <w:t> as well as AFFIRM, a new 8-session group CBT intervention that validates participants’ lived experiences, reduces depression and sexual and mental health risks, and improves coping and mood in LGBTQ youth</w:t>
      </w:r>
      <w:hyperlink w:history="true" w:anchor="_bookmark153">
        <w:r>
          <w:rPr>
            <w:sz w:val="21"/>
            <w:vertAlign w:val="baseline"/>
          </w:rPr>
          <w:t>.</w:t>
        </w:r>
        <w:r>
          <w:rPr>
            <w:sz w:val="21"/>
            <w:vertAlign w:val="superscript"/>
          </w:rPr>
          <w:t>53</w:t>
        </w:r>
      </w:hyperlink>
    </w:p>
    <w:p>
      <w:pPr>
        <w:spacing w:line="276" w:lineRule="auto" w:before="239"/>
        <w:ind w:left="463" w:right="241" w:hanging="1"/>
        <w:jc w:val="both"/>
        <w:rPr>
          <w:sz w:val="21"/>
        </w:rPr>
      </w:pPr>
      <w:r>
        <w:rPr>
          <w:sz w:val="21"/>
        </w:rPr>
        <w:t>Other interventions include LGBTQ-affirming mindfulness to help youth develop core mindfulness and self- compassion</w:t>
      </w:r>
      <w:r>
        <w:rPr>
          <w:spacing w:val="29"/>
          <w:sz w:val="21"/>
        </w:rPr>
        <w:t> </w:t>
      </w:r>
      <w:r>
        <w:rPr>
          <w:sz w:val="21"/>
        </w:rPr>
        <w:t>skills</w:t>
      </w:r>
      <w:r>
        <w:rPr>
          <w:spacing w:val="29"/>
          <w:sz w:val="21"/>
        </w:rPr>
        <w:t> </w:t>
      </w:r>
      <w:r>
        <w:rPr>
          <w:sz w:val="21"/>
        </w:rPr>
        <w:t>for</w:t>
      </w:r>
      <w:r>
        <w:rPr>
          <w:spacing w:val="29"/>
          <w:sz w:val="21"/>
        </w:rPr>
        <w:t> </w:t>
      </w:r>
      <w:r>
        <w:rPr>
          <w:sz w:val="21"/>
        </w:rPr>
        <w:t>stress</w:t>
      </w:r>
      <w:hyperlink w:history="true" w:anchor="_bookmark154">
        <w:r>
          <w:rPr>
            <w:sz w:val="21"/>
          </w:rPr>
          <w:t>,</w:t>
        </w:r>
        <w:r>
          <w:rPr>
            <w:sz w:val="21"/>
            <w:vertAlign w:val="superscript"/>
          </w:rPr>
          <w:t>54</w:t>
        </w:r>
      </w:hyperlink>
      <w:r>
        <w:rPr>
          <w:spacing w:val="29"/>
          <w:sz w:val="21"/>
          <w:vertAlign w:val="baseline"/>
        </w:rPr>
        <w:t> </w:t>
      </w:r>
      <w:r>
        <w:rPr>
          <w:sz w:val="21"/>
          <w:vertAlign w:val="baseline"/>
        </w:rPr>
        <w:t>as</w:t>
      </w:r>
      <w:r>
        <w:rPr>
          <w:spacing w:val="29"/>
          <w:sz w:val="21"/>
          <w:vertAlign w:val="baseline"/>
        </w:rPr>
        <w:t> </w:t>
      </w:r>
      <w:r>
        <w:rPr>
          <w:sz w:val="21"/>
          <w:vertAlign w:val="baseline"/>
        </w:rPr>
        <w:t>well</w:t>
      </w:r>
      <w:r>
        <w:rPr>
          <w:spacing w:val="29"/>
          <w:sz w:val="21"/>
          <w:vertAlign w:val="baseline"/>
        </w:rPr>
        <w:t> </w:t>
      </w:r>
      <w:r>
        <w:rPr>
          <w:sz w:val="21"/>
          <w:vertAlign w:val="baseline"/>
        </w:rPr>
        <w:t>as</w:t>
      </w:r>
      <w:r>
        <w:rPr>
          <w:spacing w:val="27"/>
          <w:sz w:val="21"/>
          <w:vertAlign w:val="baseline"/>
        </w:rPr>
        <w:t> </w:t>
      </w:r>
      <w:r>
        <w:rPr>
          <w:sz w:val="21"/>
          <w:vertAlign w:val="baseline"/>
        </w:rPr>
        <w:t>adaptations</w:t>
      </w:r>
      <w:r>
        <w:rPr>
          <w:spacing w:val="27"/>
          <w:sz w:val="21"/>
          <w:vertAlign w:val="baseline"/>
        </w:rPr>
        <w:t> </w:t>
      </w:r>
      <w:r>
        <w:rPr>
          <w:sz w:val="21"/>
          <w:vertAlign w:val="baseline"/>
        </w:rPr>
        <w:t>of</w:t>
      </w:r>
      <w:r>
        <w:rPr>
          <w:spacing w:val="29"/>
          <w:sz w:val="21"/>
          <w:vertAlign w:val="baseline"/>
        </w:rPr>
        <w:t> </w:t>
      </w:r>
      <w:r>
        <w:rPr>
          <w:sz w:val="21"/>
          <w:vertAlign w:val="baseline"/>
        </w:rPr>
        <w:t>Solution-Focused</w:t>
      </w:r>
      <w:r>
        <w:rPr>
          <w:spacing w:val="29"/>
          <w:sz w:val="21"/>
          <w:vertAlign w:val="baseline"/>
        </w:rPr>
        <w:t> </w:t>
      </w:r>
      <w:r>
        <w:rPr>
          <w:sz w:val="21"/>
          <w:vertAlign w:val="baseline"/>
        </w:rPr>
        <w:t>Brief</w:t>
      </w:r>
      <w:r>
        <w:rPr>
          <w:spacing w:val="28"/>
          <w:sz w:val="21"/>
          <w:vertAlign w:val="baseline"/>
        </w:rPr>
        <w:t> </w:t>
      </w:r>
      <w:r>
        <w:rPr>
          <w:sz w:val="21"/>
          <w:vertAlign w:val="baseline"/>
        </w:rPr>
        <w:t>Therapy</w:t>
      </w:r>
      <w:hyperlink w:history="true" w:anchor="_bookmark155">
        <w:r>
          <w:rPr>
            <w:sz w:val="21"/>
            <w:vertAlign w:val="baseline"/>
          </w:rPr>
          <w:t>,</w:t>
        </w:r>
        <w:r>
          <w:rPr>
            <w:sz w:val="21"/>
            <w:vertAlign w:val="superscript"/>
          </w:rPr>
          <w:t>55</w:t>
        </w:r>
      </w:hyperlink>
      <w:r>
        <w:rPr>
          <w:spacing w:val="29"/>
          <w:sz w:val="21"/>
          <w:vertAlign w:val="baseline"/>
        </w:rPr>
        <w:t> </w:t>
      </w:r>
      <w:r>
        <w:rPr>
          <w:sz w:val="21"/>
          <w:vertAlign w:val="baseline"/>
        </w:rPr>
        <w:t>Emotion-Focused</w:t>
      </w:r>
    </w:p>
    <w:p>
      <w:pPr>
        <w:spacing w:after="0" w:line="276" w:lineRule="auto"/>
        <w:jc w:val="both"/>
        <w:rPr>
          <w:sz w:val="21"/>
        </w:rPr>
        <w:sectPr>
          <w:pgSz w:w="12240" w:h="15840"/>
          <w:pgMar w:header="804" w:footer="1390" w:top="1080" w:bottom="1600" w:left="980" w:right="1080"/>
        </w:sectPr>
      </w:pPr>
    </w:p>
    <w:p>
      <w:pPr>
        <w:spacing w:line="276" w:lineRule="auto" w:before="69"/>
        <w:ind w:left="463" w:right="239" w:firstLine="0"/>
        <w:jc w:val="both"/>
        <w:rPr>
          <w:sz w:val="21"/>
        </w:rPr>
      </w:pPr>
      <w:r>
        <w:rPr>
          <w:sz w:val="21"/>
        </w:rPr>
        <w:t>Therapy</w:t>
      </w:r>
      <w:hyperlink w:history="true" w:anchor="_bookmark156">
        <w:r>
          <w:rPr>
            <w:sz w:val="21"/>
          </w:rPr>
          <w:t>,</w:t>
        </w:r>
        <w:r>
          <w:rPr>
            <w:sz w:val="21"/>
            <w:vertAlign w:val="superscript"/>
          </w:rPr>
          <w:t>56</w:t>
        </w:r>
      </w:hyperlink>
      <w:r>
        <w:rPr>
          <w:sz w:val="21"/>
          <w:vertAlign w:val="baseline"/>
        </w:rPr>
        <w:t> and Narrative Exposure Therapy with gender expansive youth or adults</w:t>
      </w:r>
      <w:hyperlink w:history="true" w:anchor="_bookmark157">
        <w:r>
          <w:rPr>
            <w:sz w:val="21"/>
            <w:vertAlign w:val="baseline"/>
          </w:rPr>
          <w:t>.</w:t>
        </w:r>
        <w:r>
          <w:rPr>
            <w:sz w:val="21"/>
            <w:vertAlign w:val="superscript"/>
          </w:rPr>
          <w:t>57</w:t>
        </w:r>
      </w:hyperlink>
      <w:r>
        <w:rPr>
          <w:sz w:val="21"/>
          <w:vertAlign w:val="baseline"/>
        </w:rPr>
        <w:t> When it comes to supporting</w:t>
      </w:r>
      <w:r>
        <w:rPr>
          <w:spacing w:val="-4"/>
          <w:sz w:val="21"/>
          <w:vertAlign w:val="baseline"/>
        </w:rPr>
        <w:t> </w:t>
      </w:r>
      <w:r>
        <w:rPr>
          <w:sz w:val="21"/>
          <w:vertAlign w:val="baseline"/>
        </w:rPr>
        <w:t>families,</w:t>
      </w:r>
      <w:r>
        <w:rPr>
          <w:spacing w:val="-4"/>
          <w:sz w:val="21"/>
          <w:vertAlign w:val="baseline"/>
        </w:rPr>
        <w:t> </w:t>
      </w:r>
      <w:r>
        <w:rPr>
          <w:sz w:val="21"/>
          <w:vertAlign w:val="baseline"/>
        </w:rPr>
        <w:t>one</w:t>
      </w:r>
      <w:r>
        <w:rPr>
          <w:spacing w:val="-4"/>
          <w:sz w:val="21"/>
          <w:vertAlign w:val="baseline"/>
        </w:rPr>
        <w:t> </w:t>
      </w:r>
      <w:r>
        <w:rPr>
          <w:sz w:val="21"/>
          <w:vertAlign w:val="baseline"/>
        </w:rPr>
        <w:t>LGBTQ-specific</w:t>
      </w:r>
      <w:r>
        <w:rPr>
          <w:spacing w:val="-4"/>
          <w:sz w:val="21"/>
          <w:vertAlign w:val="baseline"/>
        </w:rPr>
        <w:t> </w:t>
      </w:r>
      <w:r>
        <w:rPr>
          <w:sz w:val="21"/>
          <w:vertAlign w:val="baseline"/>
        </w:rPr>
        <w:t>option</w:t>
      </w:r>
      <w:r>
        <w:rPr>
          <w:spacing w:val="-4"/>
          <w:sz w:val="21"/>
          <w:vertAlign w:val="baseline"/>
        </w:rPr>
        <w:t> </w:t>
      </w:r>
      <w:r>
        <w:rPr>
          <w:sz w:val="21"/>
          <w:vertAlign w:val="baseline"/>
        </w:rPr>
        <w:t>is</w:t>
      </w:r>
      <w:r>
        <w:rPr>
          <w:spacing w:val="-4"/>
          <w:sz w:val="21"/>
          <w:vertAlign w:val="baseline"/>
        </w:rPr>
        <w:t> </w:t>
      </w:r>
      <w:r>
        <w:rPr>
          <w:sz w:val="21"/>
          <w:vertAlign w:val="baseline"/>
        </w:rPr>
        <w:t>ABFT-SGM</w:t>
      </w:r>
      <w:r>
        <w:rPr>
          <w:spacing w:val="-4"/>
          <w:sz w:val="21"/>
          <w:vertAlign w:val="baseline"/>
        </w:rPr>
        <w:t> </w:t>
      </w:r>
      <w:r>
        <w:rPr>
          <w:sz w:val="21"/>
          <w:vertAlign w:val="baseline"/>
        </w:rPr>
        <w:t>(Attachment-Based</w:t>
      </w:r>
      <w:r>
        <w:rPr>
          <w:spacing w:val="-4"/>
          <w:sz w:val="21"/>
          <w:vertAlign w:val="baseline"/>
        </w:rPr>
        <w:t> </w:t>
      </w:r>
      <w:r>
        <w:rPr>
          <w:sz w:val="21"/>
          <w:vertAlign w:val="baseline"/>
        </w:rPr>
        <w:t>Family</w:t>
      </w:r>
      <w:r>
        <w:rPr>
          <w:spacing w:val="-4"/>
          <w:sz w:val="21"/>
          <w:vertAlign w:val="baseline"/>
        </w:rPr>
        <w:t> </w:t>
      </w:r>
      <w:r>
        <w:rPr>
          <w:sz w:val="21"/>
          <w:vertAlign w:val="baseline"/>
        </w:rPr>
        <w:t>Therapy),</w:t>
      </w:r>
      <w:r>
        <w:rPr>
          <w:spacing w:val="-4"/>
          <w:sz w:val="21"/>
          <w:vertAlign w:val="baseline"/>
        </w:rPr>
        <w:t> </w:t>
      </w:r>
      <w:r>
        <w:rPr>
          <w:sz w:val="21"/>
          <w:vertAlign w:val="baseline"/>
        </w:rPr>
        <w:t>a</w:t>
      </w:r>
      <w:r>
        <w:rPr>
          <w:spacing w:val="-5"/>
          <w:sz w:val="21"/>
          <w:vertAlign w:val="baseline"/>
        </w:rPr>
        <w:t> </w:t>
      </w:r>
      <w:r>
        <w:rPr>
          <w:sz w:val="21"/>
          <w:vertAlign w:val="baseline"/>
        </w:rPr>
        <w:t>manualized intervention for parental rejection that raised maternal acceptance of LGBTQ young adults’ identities and reduced avoidance in their relationships with their parents</w:t>
      </w:r>
      <w:hyperlink w:history="true" w:anchor="_bookmark158">
        <w:r>
          <w:rPr>
            <w:sz w:val="21"/>
            <w:vertAlign w:val="baseline"/>
          </w:rPr>
          <w:t>.</w:t>
        </w:r>
        <w:r>
          <w:rPr>
            <w:sz w:val="21"/>
            <w:vertAlign w:val="superscript"/>
          </w:rPr>
          <w:t>58</w:t>
        </w:r>
      </w:hyperlink>
      <w:r>
        <w:rPr>
          <w:sz w:val="21"/>
          <w:vertAlign w:val="baseline"/>
        </w:rPr>
        <w:t> Motivational Interviewing can also be used with caregivers who are ambivalent to their child’s coming out process</w:t>
      </w:r>
      <w:hyperlink w:history="true" w:anchor="_bookmark159">
        <w:r>
          <w:rPr>
            <w:sz w:val="21"/>
            <w:vertAlign w:val="baseline"/>
          </w:rPr>
          <w:t>.</w:t>
        </w:r>
        <w:r>
          <w:rPr>
            <w:sz w:val="21"/>
            <w:vertAlign w:val="superscript"/>
          </w:rPr>
          <w:t>59</w:t>
        </w:r>
      </w:hyperlink>
    </w:p>
    <w:p>
      <w:pPr>
        <w:spacing w:line="276" w:lineRule="auto" w:before="239"/>
        <w:ind w:left="463" w:right="4200" w:hanging="1"/>
        <w:jc w:val="both"/>
        <w:rPr>
          <w:sz w:val="21"/>
        </w:rPr>
      </w:pPr>
      <w:r>
        <w:rPr/>
        <w:drawing>
          <wp:anchor distT="0" distB="0" distL="0" distR="0" allowOverlap="1" layoutInCell="1" locked="0" behindDoc="0" simplePos="0" relativeHeight="15763456">
            <wp:simplePos x="0" y="0"/>
            <wp:positionH relativeFrom="page">
              <wp:posOffset>4508500</wp:posOffset>
            </wp:positionH>
            <wp:positionV relativeFrom="paragraph">
              <wp:posOffset>158750</wp:posOffset>
            </wp:positionV>
            <wp:extent cx="2514358" cy="1353179"/>
            <wp:effectExtent l="0" t="0" r="0" b="0"/>
            <wp:wrapNone/>
            <wp:docPr id="234" name="Image 234" descr="A white rectangular frame with blue text  Description automatically generated "/>
            <wp:cNvGraphicFramePr>
              <a:graphicFrameLocks/>
            </wp:cNvGraphicFramePr>
            <a:graphic>
              <a:graphicData uri="http://schemas.openxmlformats.org/drawingml/2006/picture">
                <pic:pic>
                  <pic:nvPicPr>
                    <pic:cNvPr id="234" name="Image 234" descr="A white rectangular frame with blue text  Description automatically generated "/>
                    <pic:cNvPicPr/>
                  </pic:nvPicPr>
                  <pic:blipFill>
                    <a:blip r:embed="rId182" cstate="print"/>
                    <a:stretch>
                      <a:fillRect/>
                    </a:stretch>
                  </pic:blipFill>
                  <pic:spPr>
                    <a:xfrm>
                      <a:off x="0" y="0"/>
                      <a:ext cx="2514358" cy="1353179"/>
                    </a:xfrm>
                    <a:prstGeom prst="rect">
                      <a:avLst/>
                    </a:prstGeom>
                  </pic:spPr>
                </pic:pic>
              </a:graphicData>
            </a:graphic>
          </wp:anchor>
        </w:drawing>
      </w:r>
      <w:r>
        <w:rPr>
          <w:sz w:val="21"/>
        </w:rPr>
        <w:t>In the spirit of the above quote, decision-makers should not expect</w:t>
      </w:r>
      <w:r>
        <w:rPr>
          <w:spacing w:val="-12"/>
          <w:sz w:val="21"/>
        </w:rPr>
        <w:t> </w:t>
      </w:r>
      <w:r>
        <w:rPr>
          <w:sz w:val="21"/>
        </w:rPr>
        <w:t>traditional</w:t>
      </w:r>
      <w:r>
        <w:rPr>
          <w:spacing w:val="-12"/>
          <w:sz w:val="21"/>
        </w:rPr>
        <w:t> </w:t>
      </w:r>
      <w:r>
        <w:rPr>
          <w:sz w:val="21"/>
        </w:rPr>
        <w:t>individual</w:t>
      </w:r>
      <w:r>
        <w:rPr>
          <w:spacing w:val="-12"/>
          <w:sz w:val="21"/>
        </w:rPr>
        <w:t> </w:t>
      </w:r>
      <w:r>
        <w:rPr>
          <w:sz w:val="21"/>
        </w:rPr>
        <w:t>therapy</w:t>
      </w:r>
      <w:r>
        <w:rPr>
          <w:spacing w:val="-12"/>
          <w:sz w:val="21"/>
        </w:rPr>
        <w:t> </w:t>
      </w:r>
      <w:r>
        <w:rPr>
          <w:sz w:val="21"/>
        </w:rPr>
        <w:t>to</w:t>
      </w:r>
      <w:r>
        <w:rPr>
          <w:spacing w:val="-12"/>
          <w:sz w:val="21"/>
        </w:rPr>
        <w:t> </w:t>
      </w:r>
      <w:r>
        <w:rPr>
          <w:sz w:val="21"/>
        </w:rPr>
        <w:t>single-</w:t>
      </w:r>
      <w:r>
        <w:rPr>
          <w:spacing w:val="-12"/>
          <w:sz w:val="21"/>
        </w:rPr>
        <w:t> </w:t>
      </w:r>
      <w:r>
        <w:rPr>
          <w:sz w:val="21"/>
        </w:rPr>
        <w:t>handedly</w:t>
      </w:r>
      <w:r>
        <w:rPr>
          <w:spacing w:val="-12"/>
          <w:sz w:val="21"/>
        </w:rPr>
        <w:t> </w:t>
      </w:r>
      <w:r>
        <w:rPr>
          <w:sz w:val="21"/>
        </w:rPr>
        <w:t>solve</w:t>
      </w:r>
      <w:r>
        <w:rPr>
          <w:spacing w:val="-11"/>
          <w:sz w:val="21"/>
        </w:rPr>
        <w:t> </w:t>
      </w:r>
      <w:r>
        <w:rPr>
          <w:sz w:val="21"/>
        </w:rPr>
        <w:t>the LGBTQ youth mental health crisis. Families, schools, communities, and institutions all play a role in creating minority stress, but they are also potential sources of care and healing. Group programs allow all to become actively involved in supporting LGBTQ youth. They also fulfill several of SAMHSA’s principles</w:t>
      </w:r>
      <w:r>
        <w:rPr>
          <w:spacing w:val="66"/>
          <w:sz w:val="21"/>
        </w:rPr>
        <w:t> </w:t>
      </w:r>
      <w:r>
        <w:rPr>
          <w:sz w:val="21"/>
        </w:rPr>
        <w:t>for</w:t>
      </w:r>
      <w:r>
        <w:rPr>
          <w:spacing w:val="69"/>
          <w:sz w:val="21"/>
        </w:rPr>
        <w:t> </w:t>
      </w:r>
      <w:r>
        <w:rPr>
          <w:sz w:val="21"/>
        </w:rPr>
        <w:t>LGBTQ</w:t>
      </w:r>
      <w:r>
        <w:rPr>
          <w:spacing w:val="67"/>
          <w:sz w:val="21"/>
        </w:rPr>
        <w:t> </w:t>
      </w:r>
      <w:r>
        <w:rPr>
          <w:sz w:val="21"/>
        </w:rPr>
        <w:t>trauma-</w:t>
      </w:r>
      <w:r>
        <w:rPr>
          <w:spacing w:val="69"/>
          <w:sz w:val="21"/>
        </w:rPr>
        <w:t> </w:t>
      </w:r>
      <w:r>
        <w:rPr>
          <w:sz w:val="21"/>
        </w:rPr>
        <w:t>informed</w:t>
      </w:r>
      <w:r>
        <w:rPr>
          <w:spacing w:val="67"/>
          <w:sz w:val="21"/>
        </w:rPr>
        <w:t> </w:t>
      </w:r>
      <w:r>
        <w:rPr>
          <w:sz w:val="21"/>
        </w:rPr>
        <w:t>care:</w:t>
      </w:r>
      <w:r>
        <w:rPr>
          <w:spacing w:val="68"/>
          <w:sz w:val="21"/>
        </w:rPr>
        <w:t> </w:t>
      </w:r>
      <w:r>
        <w:rPr>
          <w:sz w:val="21"/>
        </w:rPr>
        <w:t>Peer</w:t>
      </w:r>
      <w:r>
        <w:rPr>
          <w:spacing w:val="67"/>
          <w:sz w:val="21"/>
        </w:rPr>
        <w:t> </w:t>
      </w:r>
      <w:r>
        <w:rPr>
          <w:spacing w:val="-2"/>
          <w:sz w:val="21"/>
        </w:rPr>
        <w:t>Support,</w:t>
      </w:r>
    </w:p>
    <w:p>
      <w:pPr>
        <w:spacing w:line="276" w:lineRule="auto" w:before="0"/>
        <w:ind w:left="463" w:right="240" w:firstLine="0"/>
        <w:jc w:val="both"/>
        <w:rPr>
          <w:sz w:val="21"/>
        </w:rPr>
      </w:pPr>
      <w:r>
        <w:rPr>
          <w:sz w:val="21"/>
        </w:rPr>
        <w:t>Safety,</w:t>
      </w:r>
      <w:r>
        <w:rPr>
          <w:spacing w:val="-6"/>
          <w:sz w:val="21"/>
        </w:rPr>
        <w:t> </w:t>
      </w:r>
      <w:r>
        <w:rPr>
          <w:sz w:val="21"/>
        </w:rPr>
        <w:t>and</w:t>
      </w:r>
      <w:r>
        <w:rPr>
          <w:spacing w:val="-8"/>
          <w:sz w:val="21"/>
        </w:rPr>
        <w:t> </w:t>
      </w:r>
      <w:r>
        <w:rPr>
          <w:sz w:val="21"/>
        </w:rPr>
        <w:t>Collaboration</w:t>
      </w:r>
      <w:r>
        <w:rPr>
          <w:spacing w:val="-7"/>
          <w:sz w:val="21"/>
        </w:rPr>
        <w:t> </w:t>
      </w:r>
      <w:r>
        <w:rPr>
          <w:sz w:val="21"/>
        </w:rPr>
        <w:t>and</w:t>
      </w:r>
      <w:r>
        <w:rPr>
          <w:spacing w:val="-7"/>
          <w:sz w:val="21"/>
        </w:rPr>
        <w:t> </w:t>
      </w:r>
      <w:r>
        <w:rPr>
          <w:sz w:val="21"/>
        </w:rPr>
        <w:t>Mutuality.</w:t>
      </w:r>
      <w:r>
        <w:rPr>
          <w:spacing w:val="-8"/>
          <w:sz w:val="21"/>
        </w:rPr>
        <w:t> </w:t>
      </w:r>
      <w:r>
        <w:rPr>
          <w:sz w:val="21"/>
        </w:rPr>
        <w:t>This</w:t>
      </w:r>
      <w:r>
        <w:rPr>
          <w:spacing w:val="-7"/>
          <w:sz w:val="21"/>
        </w:rPr>
        <w:t> </w:t>
      </w:r>
      <w:r>
        <w:rPr>
          <w:sz w:val="21"/>
        </w:rPr>
        <w:t>is</w:t>
      </w:r>
      <w:r>
        <w:rPr>
          <w:spacing w:val="-7"/>
          <w:sz w:val="21"/>
        </w:rPr>
        <w:t> </w:t>
      </w:r>
      <w:r>
        <w:rPr>
          <w:sz w:val="21"/>
        </w:rPr>
        <w:t>why</w:t>
      </w:r>
      <w:r>
        <w:rPr>
          <w:spacing w:val="-8"/>
          <w:sz w:val="21"/>
        </w:rPr>
        <w:t> </w:t>
      </w:r>
      <w:r>
        <w:rPr>
          <w:sz w:val="21"/>
        </w:rPr>
        <w:t>the</w:t>
      </w:r>
      <w:r>
        <w:rPr>
          <w:spacing w:val="-9"/>
          <w:sz w:val="21"/>
        </w:rPr>
        <w:t> </w:t>
      </w:r>
      <w:r>
        <w:rPr>
          <w:sz w:val="21"/>
        </w:rPr>
        <w:t>Commission</w:t>
      </w:r>
      <w:r>
        <w:rPr>
          <w:spacing w:val="-7"/>
          <w:sz w:val="21"/>
        </w:rPr>
        <w:t> </w:t>
      </w:r>
      <w:r>
        <w:rPr>
          <w:sz w:val="21"/>
        </w:rPr>
        <w:t>recommends</w:t>
      </w:r>
      <w:r>
        <w:rPr>
          <w:spacing w:val="-7"/>
          <w:sz w:val="21"/>
        </w:rPr>
        <w:t> </w:t>
      </w:r>
      <w:r>
        <w:rPr>
          <w:sz w:val="21"/>
        </w:rPr>
        <w:t>that</w:t>
      </w:r>
      <w:r>
        <w:rPr>
          <w:spacing w:val="-7"/>
          <w:sz w:val="21"/>
        </w:rPr>
        <w:t> </w:t>
      </w:r>
      <w:r>
        <w:rPr>
          <w:sz w:val="21"/>
        </w:rPr>
        <w:t>allies</w:t>
      </w:r>
      <w:r>
        <w:rPr>
          <w:spacing w:val="-7"/>
          <w:sz w:val="21"/>
        </w:rPr>
        <w:t> </w:t>
      </w:r>
      <w:r>
        <w:rPr>
          <w:sz w:val="21"/>
        </w:rPr>
        <w:t>invest</w:t>
      </w:r>
      <w:r>
        <w:rPr>
          <w:spacing w:val="-6"/>
          <w:sz w:val="21"/>
        </w:rPr>
        <w:t> </w:t>
      </w:r>
      <w:r>
        <w:rPr>
          <w:sz w:val="21"/>
        </w:rPr>
        <w:t>resources</w:t>
      </w:r>
      <w:r>
        <w:rPr>
          <w:spacing w:val="-7"/>
          <w:sz w:val="21"/>
        </w:rPr>
        <w:t> </w:t>
      </w:r>
      <w:r>
        <w:rPr>
          <w:sz w:val="21"/>
        </w:rPr>
        <w:t>in non-clinical, community-based interventions, including online and in-person programs, GSAs, peer summer camps, activism, bodywork, and expressive arts.</w:t>
      </w:r>
    </w:p>
    <w:p>
      <w:pPr>
        <w:spacing w:line="276" w:lineRule="auto" w:before="240"/>
        <w:ind w:left="464" w:right="239" w:firstLine="0"/>
        <w:jc w:val="both"/>
        <w:rPr>
          <w:sz w:val="21"/>
        </w:rPr>
      </w:pPr>
      <w:r>
        <w:rPr/>
        <w:drawing>
          <wp:anchor distT="0" distB="0" distL="0" distR="0" allowOverlap="1" layoutInCell="1" locked="0" behindDoc="1" simplePos="0" relativeHeight="487622144">
            <wp:simplePos x="0" y="0"/>
            <wp:positionH relativeFrom="page">
              <wp:posOffset>1959927</wp:posOffset>
            </wp:positionH>
            <wp:positionV relativeFrom="paragraph">
              <wp:posOffset>1688458</wp:posOffset>
            </wp:positionV>
            <wp:extent cx="3928948" cy="1088136"/>
            <wp:effectExtent l="0" t="0" r="0" b="0"/>
            <wp:wrapTopAndBottom/>
            <wp:docPr id="235" name="Image 235" descr="A white background with blue text  Description automatically generated "/>
            <wp:cNvGraphicFramePr>
              <a:graphicFrameLocks/>
            </wp:cNvGraphicFramePr>
            <a:graphic>
              <a:graphicData uri="http://schemas.openxmlformats.org/drawingml/2006/picture">
                <pic:pic>
                  <pic:nvPicPr>
                    <pic:cNvPr id="235" name="Image 235" descr="A white background with blue text  Description automatically generated "/>
                    <pic:cNvPicPr/>
                  </pic:nvPicPr>
                  <pic:blipFill>
                    <a:blip r:embed="rId183" cstate="print"/>
                    <a:stretch>
                      <a:fillRect/>
                    </a:stretch>
                  </pic:blipFill>
                  <pic:spPr>
                    <a:xfrm>
                      <a:off x="0" y="0"/>
                      <a:ext cx="3928948" cy="1088136"/>
                    </a:xfrm>
                    <a:prstGeom prst="rect">
                      <a:avLst/>
                    </a:prstGeom>
                  </pic:spPr>
                </pic:pic>
              </a:graphicData>
            </a:graphic>
          </wp:anchor>
        </w:drawing>
      </w:r>
      <w:r>
        <w:rPr>
          <w:sz w:val="21"/>
        </w:rPr>
        <w:t>Furthermore, LGBTQ youth</w:t>
      </w:r>
      <w:r>
        <w:rPr>
          <w:spacing w:val="-1"/>
          <w:sz w:val="21"/>
        </w:rPr>
        <w:t> </w:t>
      </w:r>
      <w:r>
        <w:rPr>
          <w:sz w:val="21"/>
        </w:rPr>
        <w:t>peer support programs have huge potential for improving youth mental health</w:t>
      </w:r>
      <w:r>
        <w:rPr>
          <w:spacing w:val="-1"/>
          <w:sz w:val="21"/>
        </w:rPr>
        <w:t> </w:t>
      </w:r>
      <w:r>
        <w:rPr>
          <w:sz w:val="21"/>
        </w:rPr>
        <w:t>– in fact, this is one of SAMHSA’s six tenets of LGBTQ trauma-informed care. Research has shown for decades that social support is life-affirming for LGBTQ people. In the Trevor Project’s 2022 National Survey, nearly half of youth reported living in a “somewhat accepting” community, while 38% lived in a “somewhat or very unaccepting” community. Predictably, suicide attempt rates were highest among youth in very unaccepting communities (21%) versus somewhat accepting (13%) or very accepting (8%). Yet peer support may be even more influential than family support: youth attempted suicide more often when they had low to moderate support from peers as opposed to from family.</w:t>
      </w:r>
      <w:hyperlink w:history="true" w:anchor="_bookmark160">
        <w:r>
          <w:rPr>
            <w:sz w:val="21"/>
            <w:vertAlign w:val="superscript"/>
          </w:rPr>
          <w:t>60</w:t>
        </w:r>
      </w:hyperlink>
    </w:p>
    <w:p>
      <w:pPr>
        <w:spacing w:before="0"/>
        <w:ind w:left="463" w:right="0" w:firstLine="0"/>
        <w:jc w:val="both"/>
        <w:rPr>
          <w:sz w:val="21"/>
        </w:rPr>
      </w:pPr>
      <w:bookmarkStart w:name="Virtual Programs" w:id="249"/>
      <w:bookmarkEnd w:id="249"/>
      <w:r>
        <w:rPr/>
      </w:r>
      <w:r>
        <w:rPr>
          <w:color w:val="365F91"/>
          <w:sz w:val="28"/>
        </w:rPr>
        <w:t>Virtual</w:t>
      </w:r>
      <w:r>
        <w:rPr>
          <w:color w:val="365F91"/>
          <w:spacing w:val="-12"/>
          <w:sz w:val="28"/>
        </w:rPr>
        <w:t> </w:t>
      </w:r>
      <w:r>
        <w:rPr>
          <w:color w:val="365F91"/>
          <w:spacing w:val="-2"/>
          <w:sz w:val="28"/>
        </w:rPr>
        <w:t>Program</w:t>
      </w:r>
      <w:r>
        <w:rPr>
          <w:color w:val="365F91"/>
          <w:spacing w:val="-2"/>
          <w:sz w:val="21"/>
        </w:rPr>
        <w:t>s</w:t>
      </w:r>
    </w:p>
    <w:p>
      <w:pPr>
        <w:spacing w:line="276" w:lineRule="auto" w:before="291"/>
        <w:ind w:left="463" w:right="242" w:hanging="1"/>
        <w:jc w:val="both"/>
        <w:rPr>
          <w:sz w:val="21"/>
        </w:rPr>
      </w:pPr>
      <w:r>
        <w:rPr>
          <w:sz w:val="21"/>
        </w:rPr>
        <w:t>Whether</w:t>
      </w:r>
      <w:r>
        <w:rPr>
          <w:spacing w:val="-5"/>
          <w:sz w:val="21"/>
        </w:rPr>
        <w:t> </w:t>
      </w:r>
      <w:r>
        <w:rPr>
          <w:sz w:val="21"/>
        </w:rPr>
        <w:t>in-person,</w:t>
      </w:r>
      <w:r>
        <w:rPr>
          <w:spacing w:val="-5"/>
          <w:sz w:val="21"/>
        </w:rPr>
        <w:t> </w:t>
      </w:r>
      <w:r>
        <w:rPr>
          <w:sz w:val="21"/>
        </w:rPr>
        <w:t>online,</w:t>
      </w:r>
      <w:r>
        <w:rPr>
          <w:spacing w:val="-5"/>
          <w:sz w:val="21"/>
        </w:rPr>
        <w:t> </w:t>
      </w:r>
      <w:r>
        <w:rPr>
          <w:sz w:val="21"/>
        </w:rPr>
        <w:t>or</w:t>
      </w:r>
      <w:r>
        <w:rPr>
          <w:spacing w:val="-5"/>
          <w:sz w:val="21"/>
        </w:rPr>
        <w:t> </w:t>
      </w:r>
      <w:r>
        <w:rPr>
          <w:sz w:val="21"/>
        </w:rPr>
        <w:t>through</w:t>
      </w:r>
      <w:r>
        <w:rPr>
          <w:spacing w:val="-5"/>
          <w:sz w:val="21"/>
        </w:rPr>
        <w:t> </w:t>
      </w:r>
      <w:r>
        <w:rPr>
          <w:sz w:val="21"/>
        </w:rPr>
        <w:t>a</w:t>
      </w:r>
      <w:r>
        <w:rPr>
          <w:spacing w:val="-5"/>
          <w:sz w:val="21"/>
        </w:rPr>
        <w:t> </w:t>
      </w:r>
      <w:r>
        <w:rPr>
          <w:sz w:val="21"/>
        </w:rPr>
        <w:t>school,</w:t>
      </w:r>
      <w:r>
        <w:rPr>
          <w:spacing w:val="-5"/>
          <w:sz w:val="21"/>
        </w:rPr>
        <w:t> </w:t>
      </w:r>
      <w:r>
        <w:rPr>
          <w:sz w:val="21"/>
        </w:rPr>
        <w:t>community,</w:t>
      </w:r>
      <w:r>
        <w:rPr>
          <w:spacing w:val="-5"/>
          <w:sz w:val="21"/>
        </w:rPr>
        <w:t> </w:t>
      </w:r>
      <w:r>
        <w:rPr>
          <w:sz w:val="21"/>
        </w:rPr>
        <w:t>or</w:t>
      </w:r>
      <w:r>
        <w:rPr>
          <w:spacing w:val="-5"/>
          <w:sz w:val="21"/>
        </w:rPr>
        <w:t> </w:t>
      </w:r>
      <w:r>
        <w:rPr>
          <w:sz w:val="21"/>
        </w:rPr>
        <w:t>camp,</w:t>
      </w:r>
      <w:r>
        <w:rPr>
          <w:spacing w:val="-7"/>
          <w:sz w:val="21"/>
        </w:rPr>
        <w:t> </w:t>
      </w:r>
      <w:r>
        <w:rPr>
          <w:sz w:val="21"/>
        </w:rPr>
        <w:t>LGBTQ</w:t>
      </w:r>
      <w:r>
        <w:rPr>
          <w:spacing w:val="-5"/>
          <w:sz w:val="21"/>
        </w:rPr>
        <w:t> </w:t>
      </w:r>
      <w:r>
        <w:rPr>
          <w:sz w:val="21"/>
        </w:rPr>
        <w:t>youth</w:t>
      </w:r>
      <w:r>
        <w:rPr>
          <w:spacing w:val="-6"/>
          <w:sz w:val="21"/>
        </w:rPr>
        <w:t> </w:t>
      </w:r>
      <w:r>
        <w:rPr>
          <w:sz w:val="21"/>
        </w:rPr>
        <w:t>groups</w:t>
      </w:r>
      <w:r>
        <w:rPr>
          <w:spacing w:val="-6"/>
          <w:sz w:val="21"/>
        </w:rPr>
        <w:t> </w:t>
      </w:r>
      <w:r>
        <w:rPr>
          <w:sz w:val="21"/>
        </w:rPr>
        <w:t>are</w:t>
      </w:r>
      <w:r>
        <w:rPr>
          <w:spacing w:val="-5"/>
          <w:sz w:val="21"/>
        </w:rPr>
        <w:t> </w:t>
      </w:r>
      <w:r>
        <w:rPr>
          <w:sz w:val="21"/>
        </w:rPr>
        <w:t>versatile.</w:t>
      </w:r>
      <w:r>
        <w:rPr>
          <w:spacing w:val="-6"/>
          <w:sz w:val="21"/>
        </w:rPr>
        <w:t> </w:t>
      </w:r>
      <w:r>
        <w:rPr>
          <w:sz w:val="21"/>
        </w:rPr>
        <w:t>Virtual groups can provide brief, evidence-based clinical interventions such as CBT or DBT, but they can also be based around socializing, peer support, activism, common interests, and more, acting as safe oases where youth feel more implicitly understood and accepted than in other areas of life.</w:t>
      </w:r>
    </w:p>
    <w:p>
      <w:pPr>
        <w:spacing w:line="276" w:lineRule="auto" w:before="240"/>
        <w:ind w:left="463" w:right="239" w:firstLine="0"/>
        <w:jc w:val="both"/>
        <w:rPr>
          <w:sz w:val="21"/>
        </w:rPr>
      </w:pPr>
      <w:r>
        <w:rPr>
          <w:sz w:val="21"/>
        </w:rPr>
        <w:t>To begin, since LGBTQ youth face high rates of online harassment and maintain active subcultures and affinity spaces online, virtual interventions are a promising avenue for LGBTQ youth mental health support. Research suggests that youth feel more comfortable sharing personal experiences via text than face-to-face</w:t>
      </w:r>
      <w:hyperlink w:history="true" w:anchor="_bookmark161">
        <w:r>
          <w:rPr>
            <w:sz w:val="21"/>
          </w:rPr>
          <w:t>,</w:t>
        </w:r>
        <w:r>
          <w:rPr>
            <w:sz w:val="21"/>
            <w:vertAlign w:val="superscript"/>
          </w:rPr>
          <w:t>61</w:t>
        </w:r>
      </w:hyperlink>
      <w:r>
        <w:rPr>
          <w:sz w:val="21"/>
          <w:vertAlign w:val="baseline"/>
        </w:rPr>
        <w:t> as this lessens</w:t>
      </w:r>
      <w:r>
        <w:rPr>
          <w:spacing w:val="26"/>
          <w:sz w:val="21"/>
          <w:vertAlign w:val="baseline"/>
        </w:rPr>
        <w:t> </w:t>
      </w:r>
      <w:r>
        <w:rPr>
          <w:sz w:val="21"/>
          <w:vertAlign w:val="baseline"/>
        </w:rPr>
        <w:t>fears</w:t>
      </w:r>
      <w:r>
        <w:rPr>
          <w:spacing w:val="25"/>
          <w:sz w:val="21"/>
          <w:vertAlign w:val="baseline"/>
        </w:rPr>
        <w:t> </w:t>
      </w:r>
      <w:r>
        <w:rPr>
          <w:sz w:val="21"/>
          <w:vertAlign w:val="baseline"/>
        </w:rPr>
        <w:t>about</w:t>
      </w:r>
      <w:r>
        <w:rPr>
          <w:spacing w:val="27"/>
          <w:sz w:val="21"/>
          <w:vertAlign w:val="baseline"/>
        </w:rPr>
        <w:t> </w:t>
      </w:r>
      <w:r>
        <w:rPr>
          <w:sz w:val="21"/>
          <w:vertAlign w:val="baseline"/>
        </w:rPr>
        <w:t>outing</w:t>
      </w:r>
      <w:r>
        <w:rPr>
          <w:spacing w:val="24"/>
          <w:sz w:val="21"/>
          <w:vertAlign w:val="baseline"/>
        </w:rPr>
        <w:t> </w:t>
      </w:r>
      <w:r>
        <w:rPr>
          <w:sz w:val="21"/>
          <w:vertAlign w:val="baseline"/>
        </w:rPr>
        <w:t>or</w:t>
      </w:r>
      <w:r>
        <w:rPr>
          <w:spacing w:val="26"/>
          <w:sz w:val="21"/>
          <w:vertAlign w:val="baseline"/>
        </w:rPr>
        <w:t> </w:t>
      </w:r>
      <w:r>
        <w:rPr>
          <w:sz w:val="21"/>
          <w:vertAlign w:val="baseline"/>
        </w:rPr>
        <w:t>social</w:t>
      </w:r>
      <w:r>
        <w:rPr>
          <w:spacing w:val="26"/>
          <w:sz w:val="21"/>
          <w:vertAlign w:val="baseline"/>
        </w:rPr>
        <w:t> </w:t>
      </w:r>
      <w:r>
        <w:rPr>
          <w:sz w:val="21"/>
          <w:vertAlign w:val="baseline"/>
        </w:rPr>
        <w:t>discomfort.</w:t>
      </w:r>
      <w:r>
        <w:rPr>
          <w:spacing w:val="26"/>
          <w:sz w:val="21"/>
          <w:vertAlign w:val="baseline"/>
        </w:rPr>
        <w:t> </w:t>
      </w:r>
      <w:r>
        <w:rPr>
          <w:sz w:val="21"/>
          <w:vertAlign w:val="baseline"/>
        </w:rPr>
        <w:t>Online</w:t>
      </w:r>
      <w:r>
        <w:rPr>
          <w:spacing w:val="26"/>
          <w:sz w:val="21"/>
          <w:vertAlign w:val="baseline"/>
        </w:rPr>
        <w:t> </w:t>
      </w:r>
      <w:r>
        <w:rPr>
          <w:sz w:val="21"/>
          <w:vertAlign w:val="baseline"/>
        </w:rPr>
        <w:t>groups</w:t>
      </w:r>
      <w:r>
        <w:rPr>
          <w:spacing w:val="26"/>
          <w:sz w:val="21"/>
          <w:vertAlign w:val="baseline"/>
        </w:rPr>
        <w:t> </w:t>
      </w:r>
      <w:r>
        <w:rPr>
          <w:sz w:val="21"/>
          <w:vertAlign w:val="baseline"/>
        </w:rPr>
        <w:t>are</w:t>
      </w:r>
      <w:r>
        <w:rPr>
          <w:spacing w:val="24"/>
          <w:sz w:val="21"/>
          <w:vertAlign w:val="baseline"/>
        </w:rPr>
        <w:t> </w:t>
      </w:r>
      <w:r>
        <w:rPr>
          <w:sz w:val="21"/>
          <w:vertAlign w:val="baseline"/>
        </w:rPr>
        <w:t>also</w:t>
      </w:r>
      <w:r>
        <w:rPr>
          <w:spacing w:val="26"/>
          <w:sz w:val="21"/>
          <w:vertAlign w:val="baseline"/>
        </w:rPr>
        <w:t> </w:t>
      </w:r>
      <w:r>
        <w:rPr>
          <w:sz w:val="21"/>
          <w:vertAlign w:val="baseline"/>
        </w:rPr>
        <w:t>more</w:t>
      </w:r>
      <w:r>
        <w:rPr>
          <w:spacing w:val="26"/>
          <w:sz w:val="21"/>
          <w:vertAlign w:val="baseline"/>
        </w:rPr>
        <w:t> </w:t>
      </w:r>
      <w:r>
        <w:rPr>
          <w:sz w:val="21"/>
          <w:vertAlign w:val="baseline"/>
        </w:rPr>
        <w:t>accessible</w:t>
      </w:r>
      <w:r>
        <w:rPr>
          <w:spacing w:val="26"/>
          <w:sz w:val="21"/>
          <w:vertAlign w:val="baseline"/>
        </w:rPr>
        <w:t> </w:t>
      </w:r>
      <w:r>
        <w:rPr>
          <w:sz w:val="21"/>
          <w:vertAlign w:val="baseline"/>
        </w:rPr>
        <w:t>for</w:t>
      </w:r>
      <w:r>
        <w:rPr>
          <w:spacing w:val="26"/>
          <w:sz w:val="21"/>
          <w:vertAlign w:val="baseline"/>
        </w:rPr>
        <w:t> </w:t>
      </w:r>
      <w:r>
        <w:rPr>
          <w:sz w:val="21"/>
          <w:vertAlign w:val="baseline"/>
        </w:rPr>
        <w:t>youth</w:t>
      </w:r>
      <w:r>
        <w:rPr>
          <w:spacing w:val="26"/>
          <w:sz w:val="21"/>
          <w:vertAlign w:val="baseline"/>
        </w:rPr>
        <w:t> </w:t>
      </w:r>
      <w:r>
        <w:rPr>
          <w:sz w:val="21"/>
          <w:vertAlign w:val="baseline"/>
        </w:rPr>
        <w:t>who</w:t>
      </w:r>
      <w:r>
        <w:rPr>
          <w:spacing w:val="25"/>
          <w:sz w:val="21"/>
          <w:vertAlign w:val="baseline"/>
        </w:rPr>
        <w:t> </w:t>
      </w:r>
      <w:r>
        <w:rPr>
          <w:sz w:val="21"/>
          <w:vertAlign w:val="baseline"/>
        </w:rPr>
        <w:t>lack</w:t>
      </w:r>
    </w:p>
    <w:p>
      <w:pPr>
        <w:spacing w:after="0" w:line="276" w:lineRule="auto"/>
        <w:jc w:val="both"/>
        <w:rPr>
          <w:sz w:val="21"/>
        </w:rPr>
        <w:sectPr>
          <w:pgSz w:w="12240" w:h="15840"/>
          <w:pgMar w:header="804" w:footer="1390" w:top="1080" w:bottom="1620" w:left="980" w:right="1080"/>
        </w:sectPr>
      </w:pPr>
    </w:p>
    <w:p>
      <w:pPr>
        <w:spacing w:line="276" w:lineRule="auto" w:before="69"/>
        <w:ind w:left="3103" w:right="240" w:firstLine="0"/>
        <w:jc w:val="both"/>
        <w:rPr>
          <w:sz w:val="21"/>
        </w:rPr>
      </w:pPr>
      <w:r>
        <w:rPr/>
        <w:drawing>
          <wp:anchor distT="0" distB="0" distL="0" distR="0" allowOverlap="1" layoutInCell="1" locked="0" behindDoc="0" simplePos="0" relativeHeight="15763968">
            <wp:simplePos x="0" y="0"/>
            <wp:positionH relativeFrom="page">
              <wp:posOffset>825500</wp:posOffset>
            </wp:positionH>
            <wp:positionV relativeFrom="paragraph">
              <wp:posOffset>43180</wp:posOffset>
            </wp:positionV>
            <wp:extent cx="1672840" cy="1663694"/>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84" cstate="print"/>
                    <a:stretch>
                      <a:fillRect/>
                    </a:stretch>
                  </pic:blipFill>
                  <pic:spPr>
                    <a:xfrm>
                      <a:off x="0" y="0"/>
                      <a:ext cx="1672840" cy="1663694"/>
                    </a:xfrm>
                    <a:prstGeom prst="rect">
                      <a:avLst/>
                    </a:prstGeom>
                  </pic:spPr>
                </pic:pic>
              </a:graphicData>
            </a:graphic>
          </wp:anchor>
        </w:drawing>
      </w:r>
      <w:r>
        <w:rPr>
          <w:sz w:val="21"/>
        </w:rPr>
        <w:t>reliable transportation, live in rural areas, or are not allowed to travel (such as those in juvenile justice systems). Finally, they are useful for providing affinity- based spaces for LGBTQ youth with specific identities or experiences across far distances</w:t>
      </w:r>
      <w:r>
        <w:rPr>
          <w:spacing w:val="-7"/>
          <w:sz w:val="21"/>
        </w:rPr>
        <w:t> </w:t>
      </w:r>
      <w:r>
        <w:rPr>
          <w:sz w:val="21"/>
        </w:rPr>
        <w:t>since</w:t>
      </w:r>
      <w:r>
        <w:rPr>
          <w:spacing w:val="-7"/>
          <w:sz w:val="21"/>
        </w:rPr>
        <w:t> </w:t>
      </w:r>
      <w:r>
        <w:rPr>
          <w:sz w:val="21"/>
        </w:rPr>
        <w:t>youth</w:t>
      </w:r>
      <w:r>
        <w:rPr>
          <w:spacing w:val="-8"/>
          <w:sz w:val="21"/>
        </w:rPr>
        <w:t> </w:t>
      </w:r>
      <w:r>
        <w:rPr>
          <w:sz w:val="21"/>
        </w:rPr>
        <w:t>may</w:t>
      </w:r>
      <w:r>
        <w:rPr>
          <w:spacing w:val="-7"/>
          <w:sz w:val="21"/>
        </w:rPr>
        <w:t> </w:t>
      </w:r>
      <w:r>
        <w:rPr>
          <w:sz w:val="21"/>
        </w:rPr>
        <w:t>not</w:t>
      </w:r>
      <w:r>
        <w:rPr>
          <w:spacing w:val="-6"/>
          <w:sz w:val="21"/>
        </w:rPr>
        <w:t> </w:t>
      </w:r>
      <w:r>
        <w:rPr>
          <w:sz w:val="21"/>
        </w:rPr>
        <w:t>find</w:t>
      </w:r>
      <w:r>
        <w:rPr>
          <w:spacing w:val="-7"/>
          <w:sz w:val="21"/>
        </w:rPr>
        <w:t> </w:t>
      </w:r>
      <w:r>
        <w:rPr>
          <w:sz w:val="21"/>
        </w:rPr>
        <w:t>others</w:t>
      </w:r>
      <w:r>
        <w:rPr>
          <w:spacing w:val="-9"/>
          <w:sz w:val="21"/>
        </w:rPr>
        <w:t> </w:t>
      </w:r>
      <w:r>
        <w:rPr>
          <w:sz w:val="21"/>
        </w:rPr>
        <w:t>with</w:t>
      </w:r>
      <w:r>
        <w:rPr>
          <w:spacing w:val="-7"/>
          <w:sz w:val="21"/>
        </w:rPr>
        <w:t> </w:t>
      </w:r>
      <w:r>
        <w:rPr>
          <w:sz w:val="21"/>
        </w:rPr>
        <w:t>the</w:t>
      </w:r>
      <w:r>
        <w:rPr>
          <w:spacing w:val="-8"/>
          <w:sz w:val="21"/>
        </w:rPr>
        <w:t> </w:t>
      </w:r>
      <w:r>
        <w:rPr>
          <w:sz w:val="21"/>
        </w:rPr>
        <w:t>same</w:t>
      </w:r>
      <w:r>
        <w:rPr>
          <w:spacing w:val="-8"/>
          <w:sz w:val="21"/>
        </w:rPr>
        <w:t> </w:t>
      </w:r>
      <w:r>
        <w:rPr>
          <w:sz w:val="21"/>
        </w:rPr>
        <w:t>intersectional</w:t>
      </w:r>
      <w:r>
        <w:rPr>
          <w:spacing w:val="-7"/>
          <w:sz w:val="21"/>
        </w:rPr>
        <w:t> </w:t>
      </w:r>
      <w:r>
        <w:rPr>
          <w:sz w:val="21"/>
        </w:rPr>
        <w:t>identities in-person. The Trevor Project’s chat line and Q Chat Space, an adult-facilitated program that connects and supports youth, are two evidence-based models of online support.</w:t>
      </w:r>
    </w:p>
    <w:p>
      <w:pPr>
        <w:spacing w:before="238"/>
        <w:ind w:left="3103" w:right="0" w:firstLine="0"/>
        <w:jc w:val="both"/>
        <w:rPr>
          <w:sz w:val="28"/>
        </w:rPr>
      </w:pPr>
      <w:bookmarkStart w:name="In-Person Peer Programs in Schools and C" w:id="250"/>
      <w:bookmarkEnd w:id="250"/>
      <w:r>
        <w:rPr/>
      </w:r>
      <w:r>
        <w:rPr>
          <w:color w:val="365F91"/>
          <w:sz w:val="28"/>
        </w:rPr>
        <w:t>In-Person</w:t>
      </w:r>
      <w:r>
        <w:rPr>
          <w:color w:val="365F91"/>
          <w:spacing w:val="-10"/>
          <w:sz w:val="28"/>
        </w:rPr>
        <w:t> </w:t>
      </w:r>
      <w:r>
        <w:rPr>
          <w:color w:val="365F91"/>
          <w:sz w:val="28"/>
        </w:rPr>
        <w:t>Peer</w:t>
      </w:r>
      <w:r>
        <w:rPr>
          <w:color w:val="365F91"/>
          <w:spacing w:val="-9"/>
          <w:sz w:val="28"/>
        </w:rPr>
        <w:t> </w:t>
      </w:r>
      <w:r>
        <w:rPr>
          <w:color w:val="365F91"/>
          <w:sz w:val="28"/>
        </w:rPr>
        <w:t>Programs</w:t>
      </w:r>
      <w:r>
        <w:rPr>
          <w:color w:val="365F91"/>
          <w:spacing w:val="-9"/>
          <w:sz w:val="28"/>
        </w:rPr>
        <w:t> </w:t>
      </w:r>
      <w:r>
        <w:rPr>
          <w:color w:val="365F91"/>
          <w:sz w:val="28"/>
        </w:rPr>
        <w:t>in</w:t>
      </w:r>
      <w:r>
        <w:rPr>
          <w:color w:val="365F91"/>
          <w:spacing w:val="-9"/>
          <w:sz w:val="28"/>
        </w:rPr>
        <w:t> </w:t>
      </w:r>
      <w:r>
        <w:rPr>
          <w:color w:val="365F91"/>
          <w:sz w:val="28"/>
        </w:rPr>
        <w:t>Schools</w:t>
      </w:r>
      <w:r>
        <w:rPr>
          <w:color w:val="365F91"/>
          <w:spacing w:val="-9"/>
          <w:sz w:val="28"/>
        </w:rPr>
        <w:t> </w:t>
      </w:r>
      <w:r>
        <w:rPr>
          <w:color w:val="365F91"/>
          <w:sz w:val="28"/>
        </w:rPr>
        <w:t>and</w:t>
      </w:r>
      <w:r>
        <w:rPr>
          <w:color w:val="365F91"/>
          <w:spacing w:val="-9"/>
          <w:sz w:val="28"/>
        </w:rPr>
        <w:t> </w:t>
      </w:r>
      <w:r>
        <w:rPr>
          <w:color w:val="365F91"/>
          <w:spacing w:val="-2"/>
          <w:sz w:val="28"/>
        </w:rPr>
        <w:t>Communities</w:t>
      </w:r>
    </w:p>
    <w:p>
      <w:pPr>
        <w:pStyle w:val="BodyText"/>
        <w:spacing w:before="36"/>
        <w:rPr>
          <w:sz w:val="21"/>
        </w:rPr>
      </w:pPr>
    </w:p>
    <w:p>
      <w:pPr>
        <w:spacing w:line="276" w:lineRule="auto" w:before="0"/>
        <w:ind w:left="463" w:right="3133" w:firstLine="0"/>
        <w:jc w:val="both"/>
        <w:rPr>
          <w:sz w:val="21"/>
        </w:rPr>
      </w:pPr>
      <w:r>
        <w:rPr/>
        <w:drawing>
          <wp:anchor distT="0" distB="0" distL="0" distR="0" allowOverlap="1" layoutInCell="1" locked="0" behindDoc="0" simplePos="0" relativeHeight="15764480">
            <wp:simplePos x="0" y="0"/>
            <wp:positionH relativeFrom="page">
              <wp:posOffset>5185410</wp:posOffset>
            </wp:positionH>
            <wp:positionV relativeFrom="paragraph">
              <wp:posOffset>5662</wp:posOffset>
            </wp:positionV>
            <wp:extent cx="1837676" cy="1325689"/>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185" cstate="print"/>
                    <a:stretch>
                      <a:fillRect/>
                    </a:stretch>
                  </pic:blipFill>
                  <pic:spPr>
                    <a:xfrm>
                      <a:off x="0" y="0"/>
                      <a:ext cx="1837676" cy="1325689"/>
                    </a:xfrm>
                    <a:prstGeom prst="rect">
                      <a:avLst/>
                    </a:prstGeom>
                  </pic:spPr>
                </pic:pic>
              </a:graphicData>
            </a:graphic>
          </wp:anchor>
        </w:drawing>
      </w:r>
      <w:r>
        <w:rPr>
          <w:sz w:val="21"/>
        </w:rPr>
        <w:t>Next,</w:t>
      </w:r>
      <w:r>
        <w:rPr>
          <w:spacing w:val="-9"/>
          <w:sz w:val="21"/>
        </w:rPr>
        <w:t> </w:t>
      </w:r>
      <w:r>
        <w:rPr>
          <w:sz w:val="21"/>
        </w:rPr>
        <w:t>in-person</w:t>
      </w:r>
      <w:r>
        <w:rPr>
          <w:spacing w:val="-9"/>
          <w:sz w:val="21"/>
        </w:rPr>
        <w:t> </w:t>
      </w:r>
      <w:r>
        <w:rPr>
          <w:sz w:val="21"/>
        </w:rPr>
        <w:t>peer</w:t>
      </w:r>
      <w:r>
        <w:rPr>
          <w:spacing w:val="-9"/>
          <w:sz w:val="21"/>
        </w:rPr>
        <w:t> </w:t>
      </w:r>
      <w:r>
        <w:rPr>
          <w:sz w:val="21"/>
        </w:rPr>
        <w:t>programs</w:t>
      </w:r>
      <w:r>
        <w:rPr>
          <w:spacing w:val="-9"/>
          <w:sz w:val="21"/>
        </w:rPr>
        <w:t> </w:t>
      </w:r>
      <w:r>
        <w:rPr>
          <w:sz w:val="21"/>
        </w:rPr>
        <w:t>have</w:t>
      </w:r>
      <w:r>
        <w:rPr>
          <w:spacing w:val="-9"/>
          <w:sz w:val="21"/>
        </w:rPr>
        <w:t> </w:t>
      </w:r>
      <w:r>
        <w:rPr>
          <w:sz w:val="21"/>
        </w:rPr>
        <w:t>been</w:t>
      </w:r>
      <w:r>
        <w:rPr>
          <w:spacing w:val="-9"/>
          <w:sz w:val="21"/>
        </w:rPr>
        <w:t> </w:t>
      </w:r>
      <w:r>
        <w:rPr>
          <w:sz w:val="21"/>
        </w:rPr>
        <w:t>popular</w:t>
      </w:r>
      <w:r>
        <w:rPr>
          <w:spacing w:val="-9"/>
          <w:sz w:val="21"/>
        </w:rPr>
        <w:t> </w:t>
      </w:r>
      <w:r>
        <w:rPr>
          <w:sz w:val="21"/>
        </w:rPr>
        <w:t>for</w:t>
      </w:r>
      <w:r>
        <w:rPr>
          <w:spacing w:val="-9"/>
          <w:sz w:val="21"/>
        </w:rPr>
        <w:t> </w:t>
      </w:r>
      <w:r>
        <w:rPr>
          <w:sz w:val="21"/>
        </w:rPr>
        <w:t>decades</w:t>
      </w:r>
      <w:r>
        <w:rPr>
          <w:spacing w:val="-9"/>
          <w:sz w:val="21"/>
        </w:rPr>
        <w:t> </w:t>
      </w:r>
      <w:r>
        <w:rPr>
          <w:sz w:val="21"/>
        </w:rPr>
        <w:t>and</w:t>
      </w:r>
      <w:r>
        <w:rPr>
          <w:spacing w:val="-9"/>
          <w:sz w:val="21"/>
        </w:rPr>
        <w:t> </w:t>
      </w:r>
      <w:r>
        <w:rPr>
          <w:sz w:val="21"/>
        </w:rPr>
        <w:t>have</w:t>
      </w:r>
      <w:r>
        <w:rPr>
          <w:spacing w:val="-9"/>
          <w:sz w:val="21"/>
        </w:rPr>
        <w:t> </w:t>
      </w:r>
      <w:r>
        <w:rPr>
          <w:sz w:val="21"/>
        </w:rPr>
        <w:t>more evidence</w:t>
      </w:r>
      <w:r>
        <w:rPr>
          <w:spacing w:val="-9"/>
          <w:sz w:val="21"/>
        </w:rPr>
        <w:t> </w:t>
      </w:r>
      <w:r>
        <w:rPr>
          <w:sz w:val="21"/>
        </w:rPr>
        <w:t>for</w:t>
      </w:r>
      <w:r>
        <w:rPr>
          <w:spacing w:val="-9"/>
          <w:sz w:val="21"/>
        </w:rPr>
        <w:t> </w:t>
      </w:r>
      <w:r>
        <w:rPr>
          <w:sz w:val="21"/>
        </w:rPr>
        <w:t>improving</w:t>
      </w:r>
      <w:r>
        <w:rPr>
          <w:spacing w:val="-9"/>
          <w:sz w:val="21"/>
        </w:rPr>
        <w:t> </w:t>
      </w:r>
      <w:r>
        <w:rPr>
          <w:sz w:val="21"/>
        </w:rPr>
        <w:t>mental</w:t>
      </w:r>
      <w:r>
        <w:rPr>
          <w:spacing w:val="-9"/>
          <w:sz w:val="21"/>
        </w:rPr>
        <w:t> </w:t>
      </w:r>
      <w:r>
        <w:rPr>
          <w:sz w:val="21"/>
        </w:rPr>
        <w:t>health.</w:t>
      </w:r>
      <w:r>
        <w:rPr>
          <w:spacing w:val="-9"/>
          <w:sz w:val="21"/>
        </w:rPr>
        <w:t> </w:t>
      </w:r>
      <w:r>
        <w:rPr>
          <w:sz w:val="21"/>
        </w:rPr>
        <w:t>GSAs</w:t>
      </w:r>
      <w:r>
        <w:rPr>
          <w:spacing w:val="-10"/>
          <w:sz w:val="21"/>
        </w:rPr>
        <w:t> </w:t>
      </w:r>
      <w:r>
        <w:rPr>
          <w:sz w:val="21"/>
        </w:rPr>
        <w:t>are</w:t>
      </w:r>
      <w:r>
        <w:rPr>
          <w:spacing w:val="-9"/>
          <w:sz w:val="21"/>
        </w:rPr>
        <w:t> </w:t>
      </w:r>
      <w:r>
        <w:rPr>
          <w:sz w:val="21"/>
        </w:rPr>
        <w:t>the</w:t>
      </w:r>
      <w:r>
        <w:rPr>
          <w:spacing w:val="-9"/>
          <w:sz w:val="21"/>
        </w:rPr>
        <w:t> </w:t>
      </w:r>
      <w:r>
        <w:rPr>
          <w:sz w:val="21"/>
        </w:rPr>
        <w:t>quintessential</w:t>
      </w:r>
      <w:r>
        <w:rPr>
          <w:spacing w:val="-9"/>
          <w:sz w:val="21"/>
        </w:rPr>
        <w:t> </w:t>
      </w:r>
      <w:r>
        <w:rPr>
          <w:sz w:val="21"/>
        </w:rPr>
        <w:t>example</w:t>
      </w:r>
      <w:r>
        <w:rPr>
          <w:spacing w:val="-9"/>
          <w:sz w:val="21"/>
        </w:rPr>
        <w:t> </w:t>
      </w:r>
      <w:r>
        <w:rPr>
          <w:sz w:val="21"/>
        </w:rPr>
        <w:t>in schools – they empower LGBTQ youth to build resilience, hope, and positive support networks, and also tend to actively improve school culture. In 2019, one study found that more frequent meetings and more mental health discussions in GSAs predicted less depressive and anxiety symptoms. Additionally,</w:t>
      </w:r>
      <w:r>
        <w:rPr>
          <w:spacing w:val="-10"/>
          <w:sz w:val="21"/>
        </w:rPr>
        <w:t> </w:t>
      </w:r>
      <w:r>
        <w:rPr>
          <w:sz w:val="21"/>
        </w:rPr>
        <w:t>when</w:t>
      </w:r>
      <w:r>
        <w:rPr>
          <w:spacing w:val="-10"/>
          <w:sz w:val="21"/>
        </w:rPr>
        <w:t> </w:t>
      </w:r>
      <w:r>
        <w:rPr>
          <w:sz w:val="21"/>
        </w:rPr>
        <w:t>students</w:t>
      </w:r>
      <w:r>
        <w:rPr>
          <w:spacing w:val="-11"/>
          <w:sz w:val="21"/>
        </w:rPr>
        <w:t> </w:t>
      </w:r>
      <w:r>
        <w:rPr>
          <w:sz w:val="21"/>
        </w:rPr>
        <w:t>engaged</w:t>
      </w:r>
      <w:r>
        <w:rPr>
          <w:spacing w:val="-10"/>
          <w:sz w:val="21"/>
        </w:rPr>
        <w:t> </w:t>
      </w:r>
      <w:r>
        <w:rPr>
          <w:sz w:val="21"/>
        </w:rPr>
        <w:t>more</w:t>
      </w:r>
      <w:r>
        <w:rPr>
          <w:spacing w:val="-10"/>
          <w:sz w:val="21"/>
        </w:rPr>
        <w:t> </w:t>
      </w:r>
      <w:r>
        <w:rPr>
          <w:sz w:val="21"/>
        </w:rPr>
        <w:t>with</w:t>
      </w:r>
      <w:r>
        <w:rPr>
          <w:spacing w:val="-10"/>
          <w:sz w:val="21"/>
        </w:rPr>
        <w:t> </w:t>
      </w:r>
      <w:r>
        <w:rPr>
          <w:sz w:val="21"/>
        </w:rPr>
        <w:t>the</w:t>
      </w:r>
      <w:r>
        <w:rPr>
          <w:spacing w:val="-12"/>
          <w:sz w:val="21"/>
        </w:rPr>
        <w:t> </w:t>
      </w:r>
      <w:r>
        <w:rPr>
          <w:sz w:val="21"/>
        </w:rPr>
        <w:t>GSA</w:t>
      </w:r>
      <w:r>
        <w:rPr>
          <w:spacing w:val="-11"/>
          <w:sz w:val="21"/>
        </w:rPr>
        <w:t> </w:t>
      </w:r>
      <w:r>
        <w:rPr>
          <w:sz w:val="21"/>
        </w:rPr>
        <w:t>over</w:t>
      </w:r>
      <w:r>
        <w:rPr>
          <w:spacing w:val="-10"/>
          <w:sz w:val="21"/>
        </w:rPr>
        <w:t> </w:t>
      </w:r>
      <w:r>
        <w:rPr>
          <w:sz w:val="21"/>
        </w:rPr>
        <w:t>the</w:t>
      </w:r>
      <w:r>
        <w:rPr>
          <w:spacing w:val="-10"/>
          <w:sz w:val="21"/>
        </w:rPr>
        <w:t> </w:t>
      </w:r>
      <w:r>
        <w:rPr>
          <w:sz w:val="21"/>
        </w:rPr>
        <w:t>school</w:t>
      </w:r>
      <w:r>
        <w:rPr>
          <w:spacing w:val="-10"/>
          <w:sz w:val="21"/>
        </w:rPr>
        <w:t> </w:t>
      </w:r>
      <w:r>
        <w:rPr>
          <w:sz w:val="21"/>
        </w:rPr>
        <w:t>year, they reported higher perceived levels of peer validation and self-efficacy to</w:t>
      </w:r>
    </w:p>
    <w:p>
      <w:pPr>
        <w:spacing w:line="276" w:lineRule="auto" w:before="0"/>
        <w:ind w:left="463" w:right="242" w:hanging="1"/>
        <w:jc w:val="both"/>
        <w:rPr>
          <w:sz w:val="21"/>
        </w:rPr>
      </w:pPr>
      <w:r>
        <w:rPr>
          <w:sz w:val="21"/>
        </w:rPr>
        <w:t>promote social justice</w:t>
      </w:r>
      <w:hyperlink w:history="true" w:anchor="_bookmark162">
        <w:r>
          <w:rPr>
            <w:sz w:val="21"/>
          </w:rPr>
          <w:t>.</w:t>
        </w:r>
        <w:r>
          <w:rPr>
            <w:sz w:val="21"/>
            <w:vertAlign w:val="superscript"/>
          </w:rPr>
          <w:t>62</w:t>
        </w:r>
      </w:hyperlink>
      <w:r>
        <w:rPr>
          <w:sz w:val="21"/>
          <w:vertAlign w:val="baseline"/>
        </w:rPr>
        <w:t> Accordingly, GLSEN found that students with active GSAs experienced nearly half as much in-person victimization for their sexual orientation or gender expression as their peers</w:t>
      </w:r>
      <w:hyperlink w:history="true" w:anchor="_bookmark163">
        <w:r>
          <w:rPr>
            <w:sz w:val="21"/>
            <w:vertAlign w:val="baseline"/>
          </w:rPr>
          <w:t>.</w:t>
        </w:r>
        <w:r>
          <w:rPr>
            <w:sz w:val="21"/>
            <w:vertAlign w:val="superscript"/>
          </w:rPr>
          <w:t>63</w:t>
        </w:r>
      </w:hyperlink>
    </w:p>
    <w:p>
      <w:pPr>
        <w:spacing w:line="276" w:lineRule="auto" w:before="241"/>
        <w:ind w:left="463" w:right="240" w:firstLine="0"/>
        <w:jc w:val="both"/>
        <w:rPr>
          <w:sz w:val="21"/>
        </w:rPr>
      </w:pPr>
      <w:r>
        <w:rPr>
          <w:sz w:val="21"/>
        </w:rPr>
        <w:t>Outside</w:t>
      </w:r>
      <w:r>
        <w:rPr>
          <w:spacing w:val="-2"/>
          <w:sz w:val="21"/>
        </w:rPr>
        <w:t> </w:t>
      </w:r>
      <w:r>
        <w:rPr>
          <w:sz w:val="21"/>
        </w:rPr>
        <w:t>of</w:t>
      </w:r>
      <w:r>
        <w:rPr>
          <w:spacing w:val="-2"/>
          <w:sz w:val="21"/>
        </w:rPr>
        <w:t> </w:t>
      </w:r>
      <w:r>
        <w:rPr>
          <w:sz w:val="21"/>
        </w:rPr>
        <w:t>school,</w:t>
      </w:r>
      <w:r>
        <w:rPr>
          <w:spacing w:val="-1"/>
          <w:sz w:val="21"/>
        </w:rPr>
        <w:t> </w:t>
      </w:r>
      <w:r>
        <w:rPr>
          <w:sz w:val="21"/>
        </w:rPr>
        <w:t>in-person</w:t>
      </w:r>
      <w:r>
        <w:rPr>
          <w:spacing w:val="-2"/>
          <w:sz w:val="21"/>
        </w:rPr>
        <w:t> </w:t>
      </w:r>
      <w:r>
        <w:rPr>
          <w:sz w:val="21"/>
        </w:rPr>
        <w:t>programs</w:t>
      </w:r>
      <w:r>
        <w:rPr>
          <w:spacing w:val="-2"/>
          <w:sz w:val="21"/>
        </w:rPr>
        <w:t> </w:t>
      </w:r>
      <w:r>
        <w:rPr>
          <w:sz w:val="21"/>
        </w:rPr>
        <w:t>can</w:t>
      </w:r>
      <w:r>
        <w:rPr>
          <w:spacing w:val="-3"/>
          <w:sz w:val="21"/>
        </w:rPr>
        <w:t> </w:t>
      </w:r>
      <w:r>
        <w:rPr>
          <w:sz w:val="21"/>
        </w:rPr>
        <w:t>be</w:t>
      </w:r>
      <w:r>
        <w:rPr>
          <w:spacing w:val="-2"/>
          <w:sz w:val="21"/>
        </w:rPr>
        <w:t> </w:t>
      </w:r>
      <w:r>
        <w:rPr>
          <w:sz w:val="21"/>
        </w:rPr>
        <w:t>based</w:t>
      </w:r>
      <w:r>
        <w:rPr>
          <w:spacing w:val="-2"/>
          <w:sz w:val="21"/>
        </w:rPr>
        <w:t> </w:t>
      </w:r>
      <w:r>
        <w:rPr>
          <w:sz w:val="21"/>
        </w:rPr>
        <w:t>in</w:t>
      </w:r>
      <w:r>
        <w:rPr>
          <w:spacing w:val="-3"/>
          <w:sz w:val="21"/>
        </w:rPr>
        <w:t> </w:t>
      </w:r>
      <w:r>
        <w:rPr>
          <w:sz w:val="21"/>
        </w:rPr>
        <w:t>LGBTQ</w:t>
      </w:r>
      <w:r>
        <w:rPr>
          <w:spacing w:val="-2"/>
          <w:sz w:val="21"/>
        </w:rPr>
        <w:t> </w:t>
      </w:r>
      <w:r>
        <w:rPr>
          <w:sz w:val="21"/>
        </w:rPr>
        <w:t>organizations</w:t>
      </w:r>
      <w:r>
        <w:rPr>
          <w:spacing w:val="-2"/>
          <w:sz w:val="21"/>
        </w:rPr>
        <w:t> </w:t>
      </w:r>
      <w:r>
        <w:rPr>
          <w:sz w:val="21"/>
        </w:rPr>
        <w:t>or</w:t>
      </w:r>
      <w:r>
        <w:rPr>
          <w:spacing w:val="-2"/>
          <w:sz w:val="21"/>
        </w:rPr>
        <w:t> </w:t>
      </w:r>
      <w:r>
        <w:rPr>
          <w:sz w:val="21"/>
        </w:rPr>
        <w:t>hubs</w:t>
      </w:r>
      <w:r>
        <w:rPr>
          <w:spacing w:val="-2"/>
          <w:sz w:val="21"/>
        </w:rPr>
        <w:t> </w:t>
      </w:r>
      <w:r>
        <w:rPr>
          <w:sz w:val="21"/>
        </w:rPr>
        <w:t>such</w:t>
      </w:r>
      <w:r>
        <w:rPr>
          <w:spacing w:val="-2"/>
          <w:sz w:val="21"/>
        </w:rPr>
        <w:t> </w:t>
      </w:r>
      <w:r>
        <w:rPr>
          <w:sz w:val="21"/>
        </w:rPr>
        <w:t>as</w:t>
      </w:r>
      <w:r>
        <w:rPr>
          <w:spacing w:val="-2"/>
          <w:sz w:val="21"/>
        </w:rPr>
        <w:t> </w:t>
      </w:r>
      <w:r>
        <w:rPr>
          <w:sz w:val="21"/>
        </w:rPr>
        <w:t>religious</w:t>
      </w:r>
      <w:r>
        <w:rPr>
          <w:spacing w:val="-2"/>
          <w:sz w:val="21"/>
        </w:rPr>
        <w:t> </w:t>
      </w:r>
      <w:r>
        <w:rPr>
          <w:sz w:val="21"/>
        </w:rPr>
        <w:t>buildings, libraries, and community health clinics, and often involve LGBTQ peers or families. Hatch Youth is one case: it provides free social time, consciousness-raising, and a youth- led peer support group four nights a week to 13- to</w:t>
      </w:r>
      <w:r>
        <w:rPr>
          <w:spacing w:val="-6"/>
          <w:sz w:val="21"/>
        </w:rPr>
        <w:t> </w:t>
      </w:r>
      <w:r>
        <w:rPr>
          <w:sz w:val="21"/>
        </w:rPr>
        <w:t>20-year-old</w:t>
      </w:r>
      <w:r>
        <w:rPr>
          <w:spacing w:val="-7"/>
          <w:sz w:val="21"/>
        </w:rPr>
        <w:t> </w:t>
      </w:r>
      <w:r>
        <w:rPr>
          <w:sz w:val="21"/>
        </w:rPr>
        <w:t>LGBTQ</w:t>
      </w:r>
      <w:r>
        <w:rPr>
          <w:spacing w:val="-5"/>
          <w:sz w:val="21"/>
        </w:rPr>
        <w:t> </w:t>
      </w:r>
      <w:r>
        <w:rPr>
          <w:sz w:val="21"/>
        </w:rPr>
        <w:t>youth.</w:t>
      </w:r>
      <w:r>
        <w:rPr>
          <w:spacing w:val="-7"/>
          <w:sz w:val="21"/>
        </w:rPr>
        <w:t> </w:t>
      </w:r>
      <w:r>
        <w:rPr>
          <w:sz w:val="21"/>
        </w:rPr>
        <w:t>One</w:t>
      </w:r>
      <w:r>
        <w:rPr>
          <w:spacing w:val="-7"/>
          <w:sz w:val="21"/>
        </w:rPr>
        <w:t> </w:t>
      </w:r>
      <w:r>
        <w:rPr>
          <w:sz w:val="21"/>
        </w:rPr>
        <w:t>study</w:t>
      </w:r>
      <w:r>
        <w:rPr>
          <w:spacing w:val="-6"/>
          <w:sz w:val="21"/>
        </w:rPr>
        <w:t> </w:t>
      </w:r>
      <w:r>
        <w:rPr>
          <w:sz w:val="21"/>
        </w:rPr>
        <w:t>showed</w:t>
      </w:r>
      <w:r>
        <w:rPr>
          <w:spacing w:val="-5"/>
          <w:sz w:val="21"/>
        </w:rPr>
        <w:t> </w:t>
      </w:r>
      <w:r>
        <w:rPr>
          <w:sz w:val="21"/>
        </w:rPr>
        <w:t>that</w:t>
      </w:r>
      <w:r>
        <w:rPr>
          <w:spacing w:val="-6"/>
          <w:sz w:val="21"/>
        </w:rPr>
        <w:t> </w:t>
      </w:r>
      <w:r>
        <w:rPr>
          <w:sz w:val="21"/>
        </w:rPr>
        <w:t>Hatch</w:t>
      </w:r>
      <w:r>
        <w:rPr>
          <w:spacing w:val="-5"/>
          <w:sz w:val="21"/>
        </w:rPr>
        <w:t> </w:t>
      </w:r>
      <w:r>
        <w:rPr>
          <w:sz w:val="21"/>
        </w:rPr>
        <w:t>Youth</w:t>
      </w:r>
      <w:r>
        <w:rPr>
          <w:spacing w:val="-7"/>
          <w:sz w:val="21"/>
        </w:rPr>
        <w:t> </w:t>
      </w:r>
      <w:r>
        <w:rPr>
          <w:sz w:val="21"/>
        </w:rPr>
        <w:t>increased</w:t>
      </w:r>
      <w:r>
        <w:rPr>
          <w:spacing w:val="-5"/>
          <w:sz w:val="21"/>
        </w:rPr>
        <w:t> </w:t>
      </w:r>
      <w:r>
        <w:rPr>
          <w:sz w:val="21"/>
        </w:rPr>
        <w:t>perceived</w:t>
      </w:r>
      <w:r>
        <w:rPr>
          <w:spacing w:val="-5"/>
          <w:sz w:val="21"/>
        </w:rPr>
        <w:t> </w:t>
      </w:r>
      <w:r>
        <w:rPr>
          <w:sz w:val="21"/>
        </w:rPr>
        <w:t>social</w:t>
      </w:r>
      <w:r>
        <w:rPr>
          <w:spacing w:val="-5"/>
          <w:sz w:val="21"/>
        </w:rPr>
        <w:t> </w:t>
      </w:r>
      <w:r>
        <w:rPr>
          <w:sz w:val="21"/>
        </w:rPr>
        <w:t>support,</w:t>
      </w:r>
      <w:r>
        <w:rPr>
          <w:spacing w:val="-6"/>
          <w:sz w:val="21"/>
        </w:rPr>
        <w:t> </w:t>
      </w:r>
      <w:r>
        <w:rPr>
          <w:sz w:val="21"/>
        </w:rPr>
        <w:t>leading</w:t>
      </w:r>
      <w:r>
        <w:rPr>
          <w:spacing w:val="-6"/>
          <w:sz w:val="21"/>
        </w:rPr>
        <w:t> </w:t>
      </w:r>
      <w:r>
        <w:rPr>
          <w:sz w:val="21"/>
        </w:rPr>
        <w:t>to depressive symptoms, higher self-esteem, and better coping skills</w:t>
      </w:r>
      <w:hyperlink w:history="true" w:anchor="_bookmark164">
        <w:r>
          <w:rPr>
            <w:sz w:val="21"/>
          </w:rPr>
          <w:t>.</w:t>
        </w:r>
        <w:r>
          <w:rPr>
            <w:sz w:val="21"/>
            <w:vertAlign w:val="superscript"/>
          </w:rPr>
          <w:t>64</w:t>
        </w:r>
      </w:hyperlink>
    </w:p>
    <w:p>
      <w:pPr>
        <w:spacing w:before="239"/>
        <w:ind w:left="463" w:right="0" w:firstLine="0"/>
        <w:jc w:val="both"/>
        <w:rPr>
          <w:sz w:val="28"/>
        </w:rPr>
      </w:pPr>
      <w:bookmarkStart w:name="Retreats and Summer Camps" w:id="251"/>
      <w:bookmarkEnd w:id="251"/>
      <w:r>
        <w:rPr/>
      </w:r>
      <w:r>
        <w:rPr>
          <w:color w:val="365F91"/>
          <w:sz w:val="28"/>
        </w:rPr>
        <w:t>Retreats</w:t>
      </w:r>
      <w:r>
        <w:rPr>
          <w:color w:val="365F91"/>
          <w:spacing w:val="-9"/>
          <w:sz w:val="28"/>
        </w:rPr>
        <w:t> </w:t>
      </w:r>
      <w:r>
        <w:rPr>
          <w:color w:val="365F91"/>
          <w:sz w:val="28"/>
        </w:rPr>
        <w:t>and</w:t>
      </w:r>
      <w:r>
        <w:rPr>
          <w:color w:val="365F91"/>
          <w:spacing w:val="-10"/>
          <w:sz w:val="28"/>
        </w:rPr>
        <w:t> </w:t>
      </w:r>
      <w:r>
        <w:rPr>
          <w:color w:val="365F91"/>
          <w:sz w:val="28"/>
        </w:rPr>
        <w:t>Summer</w:t>
      </w:r>
      <w:r>
        <w:rPr>
          <w:color w:val="365F91"/>
          <w:spacing w:val="-9"/>
          <w:sz w:val="28"/>
        </w:rPr>
        <w:t> </w:t>
      </w:r>
      <w:r>
        <w:rPr>
          <w:color w:val="365F91"/>
          <w:spacing w:val="-4"/>
          <w:sz w:val="28"/>
        </w:rPr>
        <w:t>Camps</w:t>
      </w:r>
    </w:p>
    <w:p>
      <w:pPr>
        <w:spacing w:line="276" w:lineRule="auto" w:before="291"/>
        <w:ind w:left="463" w:right="240" w:firstLine="0"/>
        <w:jc w:val="both"/>
        <w:rPr>
          <w:sz w:val="21"/>
        </w:rPr>
      </w:pPr>
      <w:r>
        <w:rPr>
          <w:sz w:val="21"/>
        </w:rPr>
        <w:t>Time-limited programs, such as retreats, can also be potent boosts for LGBTQ youth mental health. The CDC recognizes summer camps as one evidence-based intervention for helping youth build socioemotional skills</w:t>
      </w:r>
      <w:hyperlink w:history="true" w:anchor="_bookmark165">
        <w:r>
          <w:rPr>
            <w:sz w:val="21"/>
          </w:rPr>
          <w:t>.</w:t>
        </w:r>
        <w:r>
          <w:rPr>
            <w:sz w:val="21"/>
            <w:vertAlign w:val="superscript"/>
          </w:rPr>
          <w:t>65</w:t>
        </w:r>
      </w:hyperlink>
      <w:r>
        <w:rPr>
          <w:sz w:val="21"/>
          <w:vertAlign w:val="baseline"/>
        </w:rPr>
        <w:t> Brave Trails, a one-to-two week summer camp for youth ages 12-18 in California and Maryland, found that campers</w:t>
      </w:r>
      <w:r>
        <w:rPr>
          <w:spacing w:val="-4"/>
          <w:sz w:val="21"/>
          <w:vertAlign w:val="baseline"/>
        </w:rPr>
        <w:t> </w:t>
      </w:r>
      <w:r>
        <w:rPr>
          <w:sz w:val="21"/>
          <w:vertAlign w:val="baseline"/>
        </w:rPr>
        <w:t>experienced</w:t>
      </w:r>
      <w:r>
        <w:rPr>
          <w:spacing w:val="-3"/>
          <w:sz w:val="21"/>
          <w:vertAlign w:val="baseline"/>
        </w:rPr>
        <w:t> </w:t>
      </w:r>
      <w:r>
        <w:rPr>
          <w:sz w:val="21"/>
          <w:vertAlign w:val="baseline"/>
        </w:rPr>
        <w:t>significant</w:t>
      </w:r>
      <w:r>
        <w:rPr>
          <w:spacing w:val="-3"/>
          <w:sz w:val="21"/>
          <w:vertAlign w:val="baseline"/>
        </w:rPr>
        <w:t> </w:t>
      </w:r>
      <w:r>
        <w:rPr>
          <w:sz w:val="21"/>
          <w:vertAlign w:val="baseline"/>
        </w:rPr>
        <w:t>increases</w:t>
      </w:r>
      <w:r>
        <w:rPr>
          <w:spacing w:val="-4"/>
          <w:sz w:val="21"/>
          <w:vertAlign w:val="baseline"/>
        </w:rPr>
        <w:t> </w:t>
      </w:r>
      <w:r>
        <w:rPr>
          <w:sz w:val="21"/>
          <w:vertAlign w:val="baseline"/>
        </w:rPr>
        <w:t>in</w:t>
      </w:r>
      <w:r>
        <w:rPr>
          <w:spacing w:val="-3"/>
          <w:sz w:val="21"/>
          <w:vertAlign w:val="baseline"/>
        </w:rPr>
        <w:t> </w:t>
      </w:r>
      <w:r>
        <w:rPr>
          <w:sz w:val="21"/>
          <w:vertAlign w:val="baseline"/>
        </w:rPr>
        <w:t>self-esteem,</w:t>
      </w:r>
      <w:r>
        <w:rPr>
          <w:spacing w:val="-2"/>
          <w:sz w:val="21"/>
          <w:vertAlign w:val="baseline"/>
        </w:rPr>
        <w:t> </w:t>
      </w:r>
      <w:r>
        <w:rPr>
          <w:sz w:val="21"/>
          <w:vertAlign w:val="baseline"/>
        </w:rPr>
        <w:t>hope,</w:t>
      </w:r>
      <w:r>
        <w:rPr>
          <w:spacing w:val="-3"/>
          <w:sz w:val="21"/>
          <w:vertAlign w:val="baseline"/>
        </w:rPr>
        <w:t> </w:t>
      </w:r>
      <w:r>
        <w:rPr>
          <w:sz w:val="21"/>
          <w:vertAlign w:val="baseline"/>
        </w:rPr>
        <w:t>identity</w:t>
      </w:r>
      <w:r>
        <w:rPr>
          <w:spacing w:val="-3"/>
          <w:sz w:val="21"/>
          <w:vertAlign w:val="baseline"/>
        </w:rPr>
        <w:t> </w:t>
      </w:r>
      <w:r>
        <w:rPr>
          <w:sz w:val="21"/>
          <w:vertAlign w:val="baseline"/>
        </w:rPr>
        <w:t>affirmation,</w:t>
      </w:r>
      <w:r>
        <w:rPr>
          <w:spacing w:val="-2"/>
          <w:sz w:val="21"/>
          <w:vertAlign w:val="baseline"/>
        </w:rPr>
        <w:t> </w:t>
      </w:r>
      <w:r>
        <w:rPr>
          <w:sz w:val="21"/>
          <w:vertAlign w:val="baseline"/>
        </w:rPr>
        <w:t>and</w:t>
      </w:r>
      <w:r>
        <w:rPr>
          <w:spacing w:val="-3"/>
          <w:sz w:val="21"/>
          <w:vertAlign w:val="baseline"/>
        </w:rPr>
        <w:t> </w:t>
      </w:r>
      <w:r>
        <w:rPr>
          <w:sz w:val="21"/>
          <w:vertAlign w:val="baseline"/>
        </w:rPr>
        <w:t>resilience</w:t>
      </w:r>
      <w:hyperlink w:history="true" w:anchor="_bookmark166">
        <w:r>
          <w:rPr>
            <w:sz w:val="21"/>
            <w:vertAlign w:val="baseline"/>
          </w:rPr>
          <w:t>,</w:t>
        </w:r>
        <w:r>
          <w:rPr>
            <w:sz w:val="21"/>
            <w:vertAlign w:val="superscript"/>
          </w:rPr>
          <w:t>66</w:t>
        </w:r>
      </w:hyperlink>
      <w:r>
        <w:rPr>
          <w:spacing w:val="-3"/>
          <w:sz w:val="21"/>
          <w:vertAlign w:val="baseline"/>
        </w:rPr>
        <w:t> </w:t>
      </w:r>
      <w:r>
        <w:rPr>
          <w:sz w:val="21"/>
          <w:vertAlign w:val="baseline"/>
        </w:rPr>
        <w:t>as</w:t>
      </w:r>
      <w:r>
        <w:rPr>
          <w:spacing w:val="-3"/>
          <w:sz w:val="21"/>
          <w:vertAlign w:val="baseline"/>
        </w:rPr>
        <w:t> </w:t>
      </w:r>
      <w:r>
        <w:rPr>
          <w:sz w:val="21"/>
          <w:vertAlign w:val="baseline"/>
        </w:rPr>
        <w:t>well</w:t>
      </w:r>
      <w:r>
        <w:rPr>
          <w:spacing w:val="-3"/>
          <w:sz w:val="21"/>
          <w:vertAlign w:val="baseline"/>
        </w:rPr>
        <w:t> </w:t>
      </w:r>
      <w:r>
        <w:rPr>
          <w:sz w:val="21"/>
          <w:vertAlign w:val="baseline"/>
        </w:rPr>
        <w:t>as drops</w:t>
      </w:r>
      <w:r>
        <w:rPr>
          <w:spacing w:val="-2"/>
          <w:sz w:val="21"/>
          <w:vertAlign w:val="baseline"/>
        </w:rPr>
        <w:t> </w:t>
      </w:r>
      <w:r>
        <w:rPr>
          <w:sz w:val="21"/>
          <w:vertAlign w:val="baseline"/>
        </w:rPr>
        <w:t>in</w:t>
      </w:r>
      <w:r>
        <w:rPr>
          <w:spacing w:val="-2"/>
          <w:sz w:val="21"/>
          <w:vertAlign w:val="baseline"/>
        </w:rPr>
        <w:t> </w:t>
      </w:r>
      <w:r>
        <w:rPr>
          <w:sz w:val="21"/>
          <w:vertAlign w:val="baseline"/>
        </w:rPr>
        <w:t>symptoms</w:t>
      </w:r>
      <w:r>
        <w:rPr>
          <w:spacing w:val="-2"/>
          <w:sz w:val="21"/>
          <w:vertAlign w:val="baseline"/>
        </w:rPr>
        <w:t> </w:t>
      </w:r>
      <w:r>
        <w:rPr>
          <w:sz w:val="21"/>
          <w:vertAlign w:val="baseline"/>
        </w:rPr>
        <w:t>of</w:t>
      </w:r>
      <w:r>
        <w:rPr>
          <w:spacing w:val="-2"/>
          <w:sz w:val="21"/>
          <w:vertAlign w:val="baseline"/>
        </w:rPr>
        <w:t> </w:t>
      </w:r>
      <w:r>
        <w:rPr>
          <w:sz w:val="21"/>
          <w:vertAlign w:val="baseline"/>
        </w:rPr>
        <w:t>depression</w:t>
      </w:r>
      <w:r>
        <w:rPr>
          <w:spacing w:val="-2"/>
          <w:sz w:val="21"/>
          <w:vertAlign w:val="baseline"/>
        </w:rPr>
        <w:t> </w:t>
      </w:r>
      <w:r>
        <w:rPr>
          <w:sz w:val="21"/>
          <w:vertAlign w:val="baseline"/>
        </w:rPr>
        <w:t>and</w:t>
      </w:r>
      <w:r>
        <w:rPr>
          <w:spacing w:val="-2"/>
          <w:sz w:val="21"/>
          <w:vertAlign w:val="baseline"/>
        </w:rPr>
        <w:t> </w:t>
      </w:r>
      <w:r>
        <w:rPr>
          <w:sz w:val="21"/>
          <w:vertAlign w:val="baseline"/>
        </w:rPr>
        <w:t>anxiety</w:t>
      </w:r>
      <w:hyperlink w:history="true" w:anchor="_bookmark167">
        <w:r>
          <w:rPr>
            <w:sz w:val="21"/>
            <w:vertAlign w:val="baseline"/>
          </w:rPr>
          <w:t>.</w:t>
        </w:r>
        <w:r>
          <w:rPr>
            <w:sz w:val="21"/>
            <w:vertAlign w:val="superscript"/>
          </w:rPr>
          <w:t>67</w:t>
        </w:r>
      </w:hyperlink>
      <w:r>
        <w:rPr>
          <w:spacing w:val="-2"/>
          <w:sz w:val="21"/>
          <w:vertAlign w:val="baseline"/>
        </w:rPr>
        <w:t> </w:t>
      </w:r>
      <w:r>
        <w:rPr>
          <w:sz w:val="21"/>
          <w:vertAlign w:val="baseline"/>
        </w:rPr>
        <w:t>Gender</w:t>
      </w:r>
      <w:r>
        <w:rPr>
          <w:spacing w:val="-2"/>
          <w:sz w:val="21"/>
          <w:vertAlign w:val="baseline"/>
        </w:rPr>
        <w:t> </w:t>
      </w:r>
      <w:r>
        <w:rPr>
          <w:sz w:val="21"/>
          <w:vertAlign w:val="baseline"/>
        </w:rPr>
        <w:t>expansive</w:t>
      </w:r>
      <w:r>
        <w:rPr>
          <w:spacing w:val="-2"/>
          <w:sz w:val="21"/>
          <w:vertAlign w:val="baseline"/>
        </w:rPr>
        <w:t> </w:t>
      </w:r>
      <w:r>
        <w:rPr>
          <w:sz w:val="21"/>
          <w:vertAlign w:val="baseline"/>
        </w:rPr>
        <w:t>youth</w:t>
      </w:r>
      <w:r>
        <w:rPr>
          <w:spacing w:val="-2"/>
          <w:sz w:val="21"/>
          <w:vertAlign w:val="baseline"/>
        </w:rPr>
        <w:t> </w:t>
      </w:r>
      <w:r>
        <w:rPr>
          <w:sz w:val="21"/>
          <w:vertAlign w:val="baseline"/>
        </w:rPr>
        <w:t>in</w:t>
      </w:r>
      <w:r>
        <w:rPr>
          <w:spacing w:val="-2"/>
          <w:sz w:val="21"/>
          <w:vertAlign w:val="baseline"/>
        </w:rPr>
        <w:t> </w:t>
      </w:r>
      <w:r>
        <w:rPr>
          <w:sz w:val="21"/>
          <w:vertAlign w:val="baseline"/>
        </w:rPr>
        <w:t>particular</w:t>
      </w:r>
      <w:r>
        <w:rPr>
          <w:spacing w:val="-2"/>
          <w:sz w:val="21"/>
          <w:vertAlign w:val="baseline"/>
        </w:rPr>
        <w:t> </w:t>
      </w:r>
      <w:r>
        <w:rPr>
          <w:sz w:val="21"/>
          <w:vertAlign w:val="baseline"/>
        </w:rPr>
        <w:t>have</w:t>
      </w:r>
      <w:r>
        <w:rPr>
          <w:spacing w:val="-2"/>
          <w:sz w:val="21"/>
          <w:vertAlign w:val="baseline"/>
        </w:rPr>
        <w:t> </w:t>
      </w:r>
      <w:r>
        <w:rPr>
          <w:sz w:val="21"/>
          <w:vertAlign w:val="baseline"/>
        </w:rPr>
        <w:t>reported</w:t>
      </w:r>
      <w:r>
        <w:rPr>
          <w:spacing w:val="-2"/>
          <w:sz w:val="21"/>
          <w:vertAlign w:val="baseline"/>
        </w:rPr>
        <w:t> </w:t>
      </w:r>
      <w:r>
        <w:rPr>
          <w:sz w:val="21"/>
          <w:vertAlign w:val="baseline"/>
        </w:rPr>
        <w:t>being</w:t>
      </w:r>
      <w:r>
        <w:rPr>
          <w:spacing w:val="-2"/>
          <w:sz w:val="21"/>
          <w:vertAlign w:val="baseline"/>
        </w:rPr>
        <w:t> </w:t>
      </w:r>
      <w:r>
        <w:rPr>
          <w:sz w:val="21"/>
          <w:vertAlign w:val="baseline"/>
        </w:rPr>
        <w:t>able to have social interactions they could not find otherwise</w:t>
      </w:r>
      <w:hyperlink w:history="true" w:anchor="_bookmark167">
        <w:r>
          <w:rPr>
            <w:sz w:val="21"/>
            <w:vertAlign w:val="baseline"/>
          </w:rPr>
          <w:t>.</w:t>
        </w:r>
        <w:r>
          <w:rPr>
            <w:sz w:val="21"/>
            <w:vertAlign w:val="superscript"/>
          </w:rPr>
          <w:t>68</w:t>
        </w:r>
      </w:hyperlink>
    </w:p>
    <w:p>
      <w:pPr>
        <w:spacing w:before="239"/>
        <w:ind w:left="463" w:right="0" w:firstLine="0"/>
        <w:jc w:val="both"/>
        <w:rPr>
          <w:sz w:val="28"/>
        </w:rPr>
      </w:pPr>
      <w:bookmarkStart w:name="Activism-Oriented, Somatic, and Expressi" w:id="252"/>
      <w:bookmarkEnd w:id="252"/>
      <w:r>
        <w:rPr/>
      </w:r>
      <w:r>
        <w:rPr>
          <w:color w:val="365F91"/>
          <w:sz w:val="28"/>
        </w:rPr>
        <w:t>Activism-Oriented,</w:t>
      </w:r>
      <w:r>
        <w:rPr>
          <w:color w:val="365F91"/>
          <w:spacing w:val="-14"/>
          <w:sz w:val="28"/>
        </w:rPr>
        <w:t> </w:t>
      </w:r>
      <w:r>
        <w:rPr>
          <w:color w:val="365F91"/>
          <w:sz w:val="28"/>
        </w:rPr>
        <w:t>Somatic,</w:t>
      </w:r>
      <w:r>
        <w:rPr>
          <w:color w:val="365F91"/>
          <w:spacing w:val="-14"/>
          <w:sz w:val="28"/>
        </w:rPr>
        <w:t> </w:t>
      </w:r>
      <w:r>
        <w:rPr>
          <w:color w:val="365F91"/>
          <w:sz w:val="28"/>
        </w:rPr>
        <w:t>and</w:t>
      </w:r>
      <w:r>
        <w:rPr>
          <w:color w:val="365F91"/>
          <w:spacing w:val="-16"/>
          <w:sz w:val="28"/>
        </w:rPr>
        <w:t> </w:t>
      </w:r>
      <w:r>
        <w:rPr>
          <w:color w:val="365F91"/>
          <w:sz w:val="28"/>
        </w:rPr>
        <w:t>Expressive</w:t>
      </w:r>
      <w:r>
        <w:rPr>
          <w:color w:val="365F91"/>
          <w:spacing w:val="-14"/>
          <w:sz w:val="28"/>
        </w:rPr>
        <w:t> </w:t>
      </w:r>
      <w:r>
        <w:rPr>
          <w:color w:val="365F91"/>
          <w:sz w:val="28"/>
        </w:rPr>
        <w:t>Arts</w:t>
      </w:r>
      <w:r>
        <w:rPr>
          <w:color w:val="365F91"/>
          <w:spacing w:val="-14"/>
          <w:sz w:val="28"/>
        </w:rPr>
        <w:t> </w:t>
      </w:r>
      <w:r>
        <w:rPr>
          <w:color w:val="365F91"/>
          <w:spacing w:val="-2"/>
          <w:sz w:val="28"/>
        </w:rPr>
        <w:t>Interventions</w:t>
      </w:r>
    </w:p>
    <w:p>
      <w:pPr>
        <w:spacing w:line="276" w:lineRule="auto" w:before="293"/>
        <w:ind w:left="463" w:right="241" w:firstLine="0"/>
        <w:jc w:val="both"/>
        <w:rPr>
          <w:sz w:val="21"/>
        </w:rPr>
      </w:pPr>
      <w:r>
        <w:rPr>
          <w:sz w:val="21"/>
        </w:rPr>
        <w:t>Arts, body-based, and activist programs are leading mental health interventions for LGBTQ youth, especially trauma survivors. To begin, arts programs are engaging for many LGBTQ youth because self-expression is a celebrated value in US LGBTQ culture and a key developmental goal for young people. They also build self- esteem</w:t>
      </w:r>
      <w:r>
        <w:rPr>
          <w:spacing w:val="-6"/>
          <w:sz w:val="21"/>
        </w:rPr>
        <w:t> </w:t>
      </w:r>
      <w:r>
        <w:rPr>
          <w:sz w:val="21"/>
        </w:rPr>
        <w:t>and</w:t>
      </w:r>
      <w:r>
        <w:rPr>
          <w:spacing w:val="-8"/>
          <w:sz w:val="21"/>
        </w:rPr>
        <w:t> </w:t>
      </w:r>
      <w:r>
        <w:rPr>
          <w:sz w:val="21"/>
        </w:rPr>
        <w:t>identity</w:t>
      </w:r>
      <w:r>
        <w:rPr>
          <w:spacing w:val="-7"/>
          <w:sz w:val="21"/>
        </w:rPr>
        <w:t> </w:t>
      </w:r>
      <w:r>
        <w:rPr>
          <w:sz w:val="21"/>
        </w:rPr>
        <w:t>by</w:t>
      </w:r>
      <w:r>
        <w:rPr>
          <w:spacing w:val="-8"/>
          <w:sz w:val="21"/>
        </w:rPr>
        <w:t> </w:t>
      </w:r>
      <w:r>
        <w:rPr>
          <w:sz w:val="21"/>
        </w:rPr>
        <w:t>helping</w:t>
      </w:r>
      <w:r>
        <w:rPr>
          <w:spacing w:val="-7"/>
          <w:sz w:val="21"/>
        </w:rPr>
        <w:t> </w:t>
      </w:r>
      <w:r>
        <w:rPr>
          <w:sz w:val="21"/>
        </w:rPr>
        <w:t>youth</w:t>
      </w:r>
      <w:r>
        <w:rPr>
          <w:spacing w:val="-7"/>
          <w:sz w:val="21"/>
        </w:rPr>
        <w:t> </w:t>
      </w:r>
      <w:r>
        <w:rPr>
          <w:sz w:val="21"/>
        </w:rPr>
        <w:t>connect,</w:t>
      </w:r>
      <w:r>
        <w:rPr>
          <w:spacing w:val="-6"/>
          <w:sz w:val="21"/>
        </w:rPr>
        <w:t> </w:t>
      </w:r>
      <w:r>
        <w:rPr>
          <w:sz w:val="21"/>
        </w:rPr>
        <w:t>perform,</w:t>
      </w:r>
      <w:r>
        <w:rPr>
          <w:spacing w:val="-8"/>
          <w:sz w:val="21"/>
        </w:rPr>
        <w:t> </w:t>
      </w:r>
      <w:r>
        <w:rPr>
          <w:sz w:val="21"/>
        </w:rPr>
        <w:t>redefine,</w:t>
      </w:r>
      <w:r>
        <w:rPr>
          <w:spacing w:val="-6"/>
          <w:sz w:val="21"/>
        </w:rPr>
        <w:t> </w:t>
      </w:r>
      <w:r>
        <w:rPr>
          <w:sz w:val="21"/>
        </w:rPr>
        <w:t>and</w:t>
      </w:r>
      <w:r>
        <w:rPr>
          <w:spacing w:val="-8"/>
          <w:sz w:val="21"/>
        </w:rPr>
        <w:t> </w:t>
      </w:r>
      <w:r>
        <w:rPr>
          <w:sz w:val="21"/>
        </w:rPr>
        <w:t>be</w:t>
      </w:r>
      <w:r>
        <w:rPr>
          <w:spacing w:val="-7"/>
          <w:sz w:val="21"/>
        </w:rPr>
        <w:t> </w:t>
      </w:r>
      <w:r>
        <w:rPr>
          <w:sz w:val="21"/>
        </w:rPr>
        <w:t>who</w:t>
      </w:r>
      <w:r>
        <w:rPr>
          <w:spacing w:val="-7"/>
          <w:sz w:val="21"/>
        </w:rPr>
        <w:t> </w:t>
      </w:r>
      <w:r>
        <w:rPr>
          <w:sz w:val="21"/>
        </w:rPr>
        <w:t>they</w:t>
      </w:r>
      <w:r>
        <w:rPr>
          <w:spacing w:val="-8"/>
          <w:sz w:val="21"/>
        </w:rPr>
        <w:t> </w:t>
      </w:r>
      <w:r>
        <w:rPr>
          <w:sz w:val="21"/>
        </w:rPr>
        <w:t>are</w:t>
      </w:r>
      <w:r>
        <w:rPr>
          <w:spacing w:val="-7"/>
          <w:sz w:val="21"/>
        </w:rPr>
        <w:t> </w:t>
      </w:r>
      <w:r>
        <w:rPr>
          <w:sz w:val="21"/>
        </w:rPr>
        <w:t>despite</w:t>
      </w:r>
      <w:r>
        <w:rPr>
          <w:spacing w:val="-7"/>
          <w:sz w:val="21"/>
        </w:rPr>
        <w:t> </w:t>
      </w:r>
      <w:r>
        <w:rPr>
          <w:sz w:val="21"/>
        </w:rPr>
        <w:t>discrimination.</w:t>
      </w:r>
      <w:r>
        <w:rPr>
          <w:sz w:val="21"/>
          <w:vertAlign w:val="superscript"/>
        </w:rPr>
        <w:t>69</w:t>
      </w:r>
      <w:r>
        <w:rPr>
          <w:sz w:val="21"/>
          <w:vertAlign w:val="baseline"/>
        </w:rPr>
        <w:t> Arts programs can be done anywhere – for instance, a community-based mural project or a Hip Hop Therapy group</w:t>
      </w:r>
      <w:r>
        <w:rPr>
          <w:spacing w:val="15"/>
          <w:sz w:val="21"/>
          <w:vertAlign w:val="baseline"/>
        </w:rPr>
        <w:t> </w:t>
      </w:r>
      <w:r>
        <w:rPr>
          <w:sz w:val="21"/>
          <w:vertAlign w:val="baseline"/>
        </w:rPr>
        <w:t>in</w:t>
      </w:r>
      <w:r>
        <w:rPr>
          <w:spacing w:val="15"/>
          <w:sz w:val="21"/>
          <w:vertAlign w:val="baseline"/>
        </w:rPr>
        <w:t> </w:t>
      </w:r>
      <w:r>
        <w:rPr>
          <w:sz w:val="21"/>
          <w:vertAlign w:val="baseline"/>
        </w:rPr>
        <w:t>a</w:t>
      </w:r>
      <w:r>
        <w:rPr>
          <w:spacing w:val="15"/>
          <w:sz w:val="21"/>
          <w:vertAlign w:val="baseline"/>
        </w:rPr>
        <w:t> </w:t>
      </w:r>
      <w:r>
        <w:rPr>
          <w:sz w:val="21"/>
          <w:vertAlign w:val="baseline"/>
        </w:rPr>
        <w:t>juvenile</w:t>
      </w:r>
      <w:r>
        <w:rPr>
          <w:spacing w:val="15"/>
          <w:sz w:val="21"/>
          <w:vertAlign w:val="baseline"/>
        </w:rPr>
        <w:t> </w:t>
      </w:r>
      <w:r>
        <w:rPr>
          <w:sz w:val="21"/>
          <w:vertAlign w:val="baseline"/>
        </w:rPr>
        <w:t>detention</w:t>
      </w:r>
      <w:r>
        <w:rPr>
          <w:spacing w:val="15"/>
          <w:sz w:val="21"/>
          <w:vertAlign w:val="baseline"/>
        </w:rPr>
        <w:t> </w:t>
      </w:r>
      <w:r>
        <w:rPr>
          <w:sz w:val="21"/>
          <w:vertAlign w:val="baseline"/>
        </w:rPr>
        <w:t>facility.</w:t>
      </w:r>
      <w:r>
        <w:rPr>
          <w:spacing w:val="15"/>
          <w:sz w:val="21"/>
          <w:vertAlign w:val="baseline"/>
        </w:rPr>
        <w:t> </w:t>
      </w:r>
      <w:r>
        <w:rPr>
          <w:sz w:val="21"/>
          <w:vertAlign w:val="baseline"/>
        </w:rPr>
        <w:t>Another</w:t>
      </w:r>
      <w:r>
        <w:rPr>
          <w:spacing w:val="15"/>
          <w:sz w:val="21"/>
          <w:vertAlign w:val="baseline"/>
        </w:rPr>
        <w:t> </w:t>
      </w:r>
      <w:r>
        <w:rPr>
          <w:sz w:val="21"/>
          <w:vertAlign w:val="baseline"/>
        </w:rPr>
        <w:t>example</w:t>
      </w:r>
      <w:r>
        <w:rPr>
          <w:spacing w:val="13"/>
          <w:sz w:val="21"/>
          <w:vertAlign w:val="baseline"/>
        </w:rPr>
        <w:t> </w:t>
      </w:r>
      <w:r>
        <w:rPr>
          <w:sz w:val="21"/>
          <w:vertAlign w:val="baseline"/>
        </w:rPr>
        <w:t>is</w:t>
      </w:r>
      <w:r>
        <w:rPr>
          <w:spacing w:val="14"/>
          <w:sz w:val="21"/>
          <w:vertAlign w:val="baseline"/>
        </w:rPr>
        <w:t> </w:t>
      </w:r>
      <w:r>
        <w:rPr>
          <w:sz w:val="21"/>
          <w:vertAlign w:val="baseline"/>
        </w:rPr>
        <w:t>ReScripted</w:t>
      </w:r>
      <w:r>
        <w:rPr>
          <w:spacing w:val="15"/>
          <w:sz w:val="21"/>
          <w:vertAlign w:val="baseline"/>
        </w:rPr>
        <w:t> </w:t>
      </w:r>
      <w:r>
        <w:rPr>
          <w:sz w:val="21"/>
          <w:vertAlign w:val="baseline"/>
        </w:rPr>
        <w:t>–</w:t>
      </w:r>
      <w:r>
        <w:rPr>
          <w:spacing w:val="14"/>
          <w:sz w:val="21"/>
          <w:vertAlign w:val="baseline"/>
        </w:rPr>
        <w:t> </w:t>
      </w:r>
      <w:r>
        <w:rPr>
          <w:sz w:val="21"/>
          <w:vertAlign w:val="baseline"/>
        </w:rPr>
        <w:t>a</w:t>
      </w:r>
      <w:r>
        <w:rPr>
          <w:spacing w:val="15"/>
          <w:sz w:val="21"/>
          <w:vertAlign w:val="baseline"/>
        </w:rPr>
        <w:t> </w:t>
      </w:r>
      <w:r>
        <w:rPr>
          <w:sz w:val="21"/>
          <w:vertAlign w:val="baseline"/>
        </w:rPr>
        <w:t>theater,</w:t>
      </w:r>
      <w:r>
        <w:rPr>
          <w:spacing w:val="14"/>
          <w:sz w:val="21"/>
          <w:vertAlign w:val="baseline"/>
        </w:rPr>
        <w:t> </w:t>
      </w:r>
      <w:r>
        <w:rPr>
          <w:sz w:val="21"/>
          <w:vertAlign w:val="baseline"/>
        </w:rPr>
        <w:t>play,</w:t>
      </w:r>
      <w:r>
        <w:rPr>
          <w:spacing w:val="15"/>
          <w:sz w:val="21"/>
          <w:vertAlign w:val="baseline"/>
        </w:rPr>
        <w:t> </w:t>
      </w:r>
      <w:r>
        <w:rPr>
          <w:sz w:val="21"/>
          <w:vertAlign w:val="baseline"/>
        </w:rPr>
        <w:t>and</w:t>
      </w:r>
      <w:r>
        <w:rPr>
          <w:spacing w:val="14"/>
          <w:sz w:val="21"/>
          <w:vertAlign w:val="baseline"/>
        </w:rPr>
        <w:t> </w:t>
      </w:r>
      <w:r>
        <w:rPr>
          <w:sz w:val="21"/>
          <w:vertAlign w:val="baseline"/>
        </w:rPr>
        <w:t>movement-based</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0" w:firstLine="0"/>
        <w:jc w:val="both"/>
        <w:rPr>
          <w:sz w:val="21"/>
        </w:rPr>
      </w:pPr>
      <w:r>
        <w:rPr>
          <w:sz w:val="21"/>
        </w:rPr>
        <w:t>pilot</w:t>
      </w:r>
      <w:r>
        <w:rPr>
          <w:spacing w:val="-4"/>
          <w:sz w:val="21"/>
        </w:rPr>
        <w:t> </w:t>
      </w:r>
      <w:r>
        <w:rPr>
          <w:sz w:val="21"/>
        </w:rPr>
        <w:t>program</w:t>
      </w:r>
      <w:r>
        <w:rPr>
          <w:spacing w:val="-4"/>
          <w:sz w:val="21"/>
        </w:rPr>
        <w:t> </w:t>
      </w:r>
      <w:r>
        <w:rPr>
          <w:sz w:val="21"/>
        </w:rPr>
        <w:t>by</w:t>
      </w:r>
      <w:r>
        <w:rPr>
          <w:spacing w:val="-4"/>
          <w:sz w:val="21"/>
        </w:rPr>
        <w:t> </w:t>
      </w:r>
      <w:r>
        <w:rPr>
          <w:sz w:val="21"/>
        </w:rPr>
        <w:t>the</w:t>
      </w:r>
      <w:r>
        <w:rPr>
          <w:spacing w:val="-4"/>
          <w:sz w:val="21"/>
        </w:rPr>
        <w:t> </w:t>
      </w:r>
      <w:r>
        <w:rPr>
          <w:sz w:val="21"/>
        </w:rPr>
        <w:t>Center</w:t>
      </w:r>
      <w:r>
        <w:rPr>
          <w:spacing w:val="-5"/>
          <w:sz w:val="21"/>
        </w:rPr>
        <w:t> </w:t>
      </w:r>
      <w:r>
        <w:rPr>
          <w:sz w:val="21"/>
        </w:rPr>
        <w:t>for</w:t>
      </w:r>
      <w:r>
        <w:rPr>
          <w:spacing w:val="-4"/>
          <w:sz w:val="21"/>
        </w:rPr>
        <w:t> </w:t>
      </w:r>
      <w:r>
        <w:rPr>
          <w:sz w:val="21"/>
        </w:rPr>
        <w:t>Trauma</w:t>
      </w:r>
      <w:r>
        <w:rPr>
          <w:spacing w:val="-4"/>
          <w:sz w:val="21"/>
        </w:rPr>
        <w:t> </w:t>
      </w:r>
      <w:r>
        <w:rPr>
          <w:sz w:val="21"/>
        </w:rPr>
        <w:t>and</w:t>
      </w:r>
      <w:r>
        <w:rPr>
          <w:spacing w:val="-4"/>
          <w:sz w:val="21"/>
        </w:rPr>
        <w:t> </w:t>
      </w:r>
      <w:r>
        <w:rPr>
          <w:sz w:val="21"/>
        </w:rPr>
        <w:t>Embodiment</w:t>
      </w:r>
      <w:r>
        <w:rPr>
          <w:spacing w:val="-4"/>
          <w:sz w:val="21"/>
        </w:rPr>
        <w:t> </w:t>
      </w:r>
      <w:r>
        <w:rPr>
          <w:sz w:val="21"/>
        </w:rPr>
        <w:t>that</w:t>
      </w:r>
      <w:r>
        <w:rPr>
          <w:spacing w:val="-4"/>
          <w:sz w:val="21"/>
        </w:rPr>
        <w:t> </w:t>
      </w:r>
      <w:r>
        <w:rPr>
          <w:sz w:val="21"/>
        </w:rPr>
        <w:t>improves</w:t>
      </w:r>
      <w:r>
        <w:rPr>
          <w:spacing w:val="-5"/>
          <w:sz w:val="21"/>
        </w:rPr>
        <w:t> </w:t>
      </w:r>
      <w:r>
        <w:rPr>
          <w:sz w:val="21"/>
        </w:rPr>
        <w:t>trauma</w:t>
      </w:r>
      <w:r>
        <w:rPr>
          <w:spacing w:val="-4"/>
          <w:sz w:val="21"/>
        </w:rPr>
        <w:t> </w:t>
      </w:r>
      <w:r>
        <w:rPr>
          <w:sz w:val="21"/>
        </w:rPr>
        <w:t>survivors’</w:t>
      </w:r>
      <w:r>
        <w:rPr>
          <w:spacing w:val="-4"/>
          <w:sz w:val="21"/>
        </w:rPr>
        <w:t> </w:t>
      </w:r>
      <w:r>
        <w:rPr>
          <w:sz w:val="21"/>
        </w:rPr>
        <w:t>interoception,</w:t>
      </w:r>
      <w:r>
        <w:rPr>
          <w:spacing w:val="-4"/>
          <w:sz w:val="21"/>
        </w:rPr>
        <w:t> </w:t>
      </w:r>
      <w:r>
        <w:rPr>
          <w:sz w:val="21"/>
        </w:rPr>
        <w:t>active choice-making, and self-regulation of behavior.</w:t>
      </w:r>
      <w:hyperlink w:history="true" w:anchor="_bookmark168">
        <w:r>
          <w:rPr>
            <w:sz w:val="21"/>
            <w:vertAlign w:val="superscript"/>
          </w:rPr>
          <w:t>70</w:t>
        </w:r>
      </w:hyperlink>
    </w:p>
    <w:p>
      <w:pPr>
        <w:spacing w:line="276" w:lineRule="auto" w:before="239"/>
        <w:ind w:left="463" w:right="240" w:firstLine="0"/>
        <w:jc w:val="both"/>
        <w:rPr>
          <w:sz w:val="21"/>
        </w:rPr>
      </w:pPr>
      <w:r>
        <w:rPr>
          <w:sz w:val="21"/>
        </w:rPr>
        <w:t>Next, somatic (body-based) interventions are increasingly popular among professionals and survivors because of mounting evidence that they are uniquely effective in treating trauma. One example is Trauma Center Trauma-Sensitive Yoga, the leading-edge program of its kind. A 2022 pilot study showed that female survivors of military sexual trauma who did TCTSY experienced benefits sooner and were more likely to complete treatment</w:t>
      </w:r>
      <w:r>
        <w:rPr>
          <w:spacing w:val="-12"/>
          <w:sz w:val="21"/>
        </w:rPr>
        <w:t> </w:t>
      </w:r>
      <w:r>
        <w:rPr>
          <w:sz w:val="21"/>
        </w:rPr>
        <w:t>than</w:t>
      </w:r>
      <w:r>
        <w:rPr>
          <w:spacing w:val="-12"/>
          <w:sz w:val="21"/>
        </w:rPr>
        <w:t> </w:t>
      </w:r>
      <w:r>
        <w:rPr>
          <w:sz w:val="21"/>
        </w:rPr>
        <w:t>peers</w:t>
      </w:r>
      <w:r>
        <w:rPr>
          <w:spacing w:val="-12"/>
          <w:sz w:val="21"/>
        </w:rPr>
        <w:t> </w:t>
      </w:r>
      <w:r>
        <w:rPr>
          <w:sz w:val="21"/>
        </w:rPr>
        <w:t>who</w:t>
      </w:r>
      <w:r>
        <w:rPr>
          <w:spacing w:val="-12"/>
          <w:sz w:val="21"/>
        </w:rPr>
        <w:t> </w:t>
      </w:r>
      <w:r>
        <w:rPr>
          <w:sz w:val="21"/>
        </w:rPr>
        <w:t>used</w:t>
      </w:r>
      <w:r>
        <w:rPr>
          <w:spacing w:val="-12"/>
          <w:sz w:val="21"/>
        </w:rPr>
        <w:t> </w:t>
      </w:r>
      <w:r>
        <w:rPr>
          <w:sz w:val="21"/>
        </w:rPr>
        <w:t>Cognitive</w:t>
      </w:r>
      <w:r>
        <w:rPr>
          <w:spacing w:val="-10"/>
          <w:sz w:val="21"/>
        </w:rPr>
        <w:t> </w:t>
      </w:r>
      <w:r>
        <w:rPr>
          <w:sz w:val="21"/>
        </w:rPr>
        <w:t>Processing</w:t>
      </w:r>
      <w:r>
        <w:rPr>
          <w:spacing w:val="-12"/>
          <w:sz w:val="21"/>
        </w:rPr>
        <w:t> </w:t>
      </w:r>
      <w:r>
        <w:rPr>
          <w:sz w:val="21"/>
        </w:rPr>
        <w:t>Therapy.</w:t>
      </w:r>
      <w:r>
        <w:rPr>
          <w:spacing w:val="-12"/>
          <w:sz w:val="21"/>
        </w:rPr>
        <w:t> </w:t>
      </w:r>
      <w:hyperlink w:history="true" w:anchor="_bookmark168">
        <w:r>
          <w:rPr>
            <w:sz w:val="21"/>
            <w:vertAlign w:val="superscript"/>
          </w:rPr>
          <w:t>71</w:t>
        </w:r>
      </w:hyperlink>
      <w:r>
        <w:rPr>
          <w:spacing w:val="-12"/>
          <w:sz w:val="21"/>
          <w:vertAlign w:val="baseline"/>
        </w:rPr>
        <w:t> </w:t>
      </w:r>
      <w:r>
        <w:rPr>
          <w:sz w:val="21"/>
          <w:vertAlign w:val="baseline"/>
        </w:rPr>
        <w:t>The</w:t>
      </w:r>
      <w:r>
        <w:rPr>
          <w:spacing w:val="-12"/>
          <w:sz w:val="21"/>
          <w:vertAlign w:val="baseline"/>
        </w:rPr>
        <w:t> </w:t>
      </w:r>
      <w:r>
        <w:rPr>
          <w:sz w:val="21"/>
          <w:vertAlign w:val="baseline"/>
        </w:rPr>
        <w:t>Trauma</w:t>
      </w:r>
      <w:r>
        <w:rPr>
          <w:spacing w:val="-11"/>
          <w:sz w:val="21"/>
          <w:vertAlign w:val="baseline"/>
        </w:rPr>
        <w:t> </w:t>
      </w:r>
      <w:r>
        <w:rPr>
          <w:sz w:val="21"/>
          <w:vertAlign w:val="baseline"/>
        </w:rPr>
        <w:t>Center</w:t>
      </w:r>
      <w:r>
        <w:rPr>
          <w:spacing w:val="-12"/>
          <w:sz w:val="21"/>
          <w:vertAlign w:val="baseline"/>
        </w:rPr>
        <w:t> </w:t>
      </w:r>
      <w:r>
        <w:rPr>
          <w:sz w:val="21"/>
          <w:vertAlign w:val="baseline"/>
        </w:rPr>
        <w:t>is</w:t>
      </w:r>
      <w:r>
        <w:rPr>
          <w:spacing w:val="-12"/>
          <w:sz w:val="21"/>
          <w:vertAlign w:val="baseline"/>
        </w:rPr>
        <w:t> </w:t>
      </w:r>
      <w:r>
        <w:rPr>
          <w:sz w:val="21"/>
          <w:vertAlign w:val="baseline"/>
        </w:rPr>
        <w:t>also</w:t>
      </w:r>
      <w:r>
        <w:rPr>
          <w:spacing w:val="-12"/>
          <w:sz w:val="21"/>
          <w:vertAlign w:val="baseline"/>
        </w:rPr>
        <w:t> </w:t>
      </w:r>
      <w:r>
        <w:rPr>
          <w:sz w:val="21"/>
          <w:vertAlign w:val="baseline"/>
        </w:rPr>
        <w:t>currently</w:t>
      </w:r>
      <w:r>
        <w:rPr>
          <w:spacing w:val="-12"/>
          <w:sz w:val="21"/>
          <w:vertAlign w:val="baseline"/>
        </w:rPr>
        <w:t> </w:t>
      </w:r>
      <w:r>
        <w:rPr>
          <w:sz w:val="21"/>
          <w:vertAlign w:val="baseline"/>
        </w:rPr>
        <w:t>researching the effectiveness of trauma-informed weight lifting with gender expansive people</w:t>
      </w:r>
      <w:hyperlink w:history="true" w:anchor="_bookmark169">
        <w:r>
          <w:rPr>
            <w:sz w:val="21"/>
            <w:vertAlign w:val="baseline"/>
          </w:rPr>
          <w:t>.</w:t>
        </w:r>
        <w:r>
          <w:rPr>
            <w:sz w:val="21"/>
            <w:vertAlign w:val="superscript"/>
          </w:rPr>
          <w:t>72</w:t>
        </w:r>
      </w:hyperlink>
      <w:r>
        <w:rPr>
          <w:sz w:val="21"/>
          <w:vertAlign w:val="baseline"/>
        </w:rPr>
        <w:t> Due to the high rates of trauma and victimization among LGBTQ youth, these types of interventions should be given special attention when allocating resources and funding.</w:t>
      </w:r>
    </w:p>
    <w:p>
      <w:pPr>
        <w:spacing w:line="276" w:lineRule="auto" w:before="240"/>
        <w:ind w:left="463" w:right="240" w:firstLine="0"/>
        <w:jc w:val="both"/>
        <w:rPr>
          <w:sz w:val="21"/>
        </w:rPr>
      </w:pPr>
      <w:r>
        <w:rPr>
          <w:sz w:val="21"/>
        </w:rPr>
        <w:t>Finally, research shows that activism-based programming connects LGBQ</w:t>
      </w:r>
      <w:hyperlink w:history="true" w:anchor="_bookmark170">
        <w:r>
          <w:rPr>
            <w:sz w:val="21"/>
            <w:vertAlign w:val="superscript"/>
          </w:rPr>
          <w:t>73</w:t>
        </w:r>
      </w:hyperlink>
      <w:r>
        <w:rPr>
          <w:sz w:val="21"/>
          <w:vertAlign w:val="baseline"/>
        </w:rPr>
        <w:t> and transgender youth</w:t>
      </w:r>
      <w:hyperlink w:history="true" w:anchor="_bookmark171">
        <w:r>
          <w:rPr>
            <w:sz w:val="21"/>
            <w:vertAlign w:val="superscript"/>
          </w:rPr>
          <w:t>74</w:t>
        </w:r>
      </w:hyperlink>
      <w:r>
        <w:rPr>
          <w:sz w:val="21"/>
          <w:vertAlign w:val="baseline"/>
        </w:rPr>
        <w:t> to a sense of community and purpose. Activism also directly meets three of SAMHSA’s principles of LGBTQ trauma- informed care – Empowerment, Voice and Choice, and Cultural, Historical, and Gender Issues. Activism helps youth</w:t>
      </w:r>
      <w:r>
        <w:rPr>
          <w:spacing w:val="-12"/>
          <w:sz w:val="21"/>
          <w:vertAlign w:val="baseline"/>
        </w:rPr>
        <w:t> </w:t>
      </w:r>
      <w:r>
        <w:rPr>
          <w:sz w:val="21"/>
          <w:vertAlign w:val="baseline"/>
        </w:rPr>
        <w:t>build</w:t>
      </w:r>
      <w:r>
        <w:rPr>
          <w:spacing w:val="-12"/>
          <w:sz w:val="21"/>
          <w:vertAlign w:val="baseline"/>
        </w:rPr>
        <w:t> </w:t>
      </w:r>
      <w:r>
        <w:rPr>
          <w:sz w:val="21"/>
          <w:vertAlign w:val="baseline"/>
        </w:rPr>
        <w:t>personal</w:t>
      </w:r>
      <w:r>
        <w:rPr>
          <w:spacing w:val="-12"/>
          <w:sz w:val="21"/>
          <w:vertAlign w:val="baseline"/>
        </w:rPr>
        <w:t> </w:t>
      </w:r>
      <w:r>
        <w:rPr>
          <w:sz w:val="21"/>
          <w:vertAlign w:val="baseline"/>
        </w:rPr>
        <w:t>resources</w:t>
      </w:r>
      <w:r>
        <w:rPr>
          <w:spacing w:val="-12"/>
          <w:sz w:val="21"/>
          <w:vertAlign w:val="baseline"/>
        </w:rPr>
        <w:t> </w:t>
      </w:r>
      <w:r>
        <w:rPr>
          <w:sz w:val="21"/>
          <w:vertAlign w:val="baseline"/>
        </w:rPr>
        <w:t>for</w:t>
      </w:r>
      <w:r>
        <w:rPr>
          <w:spacing w:val="-12"/>
          <w:sz w:val="21"/>
          <w:vertAlign w:val="baseline"/>
        </w:rPr>
        <w:t> </w:t>
      </w:r>
      <w:r>
        <w:rPr>
          <w:sz w:val="21"/>
          <w:vertAlign w:val="baseline"/>
        </w:rPr>
        <w:t>resilience,</w:t>
      </w:r>
      <w:r>
        <w:rPr>
          <w:spacing w:val="-11"/>
          <w:sz w:val="21"/>
          <w:vertAlign w:val="baseline"/>
        </w:rPr>
        <w:t> </w:t>
      </w:r>
      <w:r>
        <w:rPr>
          <w:sz w:val="21"/>
          <w:vertAlign w:val="baseline"/>
        </w:rPr>
        <w:t>like</w:t>
      </w:r>
      <w:r>
        <w:rPr>
          <w:spacing w:val="-12"/>
          <w:sz w:val="21"/>
          <w:vertAlign w:val="baseline"/>
        </w:rPr>
        <w:t> </w:t>
      </w:r>
      <w:r>
        <w:rPr>
          <w:sz w:val="21"/>
          <w:vertAlign w:val="baseline"/>
        </w:rPr>
        <w:t>self-pride</w:t>
      </w:r>
      <w:r>
        <w:rPr>
          <w:spacing w:val="-12"/>
          <w:sz w:val="21"/>
          <w:vertAlign w:val="baseline"/>
        </w:rPr>
        <w:t> </w:t>
      </w:r>
      <w:r>
        <w:rPr>
          <w:sz w:val="21"/>
          <w:vertAlign w:val="baseline"/>
        </w:rPr>
        <w:t>and</w:t>
      </w:r>
      <w:r>
        <w:rPr>
          <w:spacing w:val="-11"/>
          <w:sz w:val="21"/>
          <w:vertAlign w:val="baseline"/>
        </w:rPr>
        <w:t> </w:t>
      </w:r>
      <w:r>
        <w:rPr>
          <w:sz w:val="21"/>
          <w:vertAlign w:val="baseline"/>
        </w:rPr>
        <w:t>hope,</w:t>
      </w:r>
      <w:r>
        <w:rPr>
          <w:spacing w:val="-12"/>
          <w:sz w:val="21"/>
          <w:vertAlign w:val="baseline"/>
        </w:rPr>
        <w:t> </w:t>
      </w:r>
      <w:r>
        <w:rPr>
          <w:sz w:val="21"/>
          <w:vertAlign w:val="baseline"/>
        </w:rPr>
        <w:t>as</w:t>
      </w:r>
      <w:r>
        <w:rPr>
          <w:spacing w:val="-12"/>
          <w:sz w:val="21"/>
          <w:vertAlign w:val="baseline"/>
        </w:rPr>
        <w:t> </w:t>
      </w:r>
      <w:r>
        <w:rPr>
          <w:sz w:val="21"/>
          <w:vertAlign w:val="baseline"/>
        </w:rPr>
        <w:t>well</w:t>
      </w:r>
      <w:r>
        <w:rPr>
          <w:spacing w:val="-12"/>
          <w:sz w:val="21"/>
          <w:vertAlign w:val="baseline"/>
        </w:rPr>
        <w:t> </w:t>
      </w:r>
      <w:r>
        <w:rPr>
          <w:sz w:val="21"/>
          <w:vertAlign w:val="baseline"/>
        </w:rPr>
        <w:t>as</w:t>
      </w:r>
      <w:r>
        <w:rPr>
          <w:spacing w:val="-12"/>
          <w:sz w:val="21"/>
          <w:vertAlign w:val="baseline"/>
        </w:rPr>
        <w:t> </w:t>
      </w:r>
      <w:r>
        <w:rPr>
          <w:sz w:val="21"/>
          <w:vertAlign w:val="baseline"/>
        </w:rPr>
        <w:t>social</w:t>
      </w:r>
      <w:r>
        <w:rPr>
          <w:spacing w:val="-12"/>
          <w:sz w:val="21"/>
          <w:vertAlign w:val="baseline"/>
        </w:rPr>
        <w:t> </w:t>
      </w:r>
      <w:r>
        <w:rPr>
          <w:sz w:val="21"/>
          <w:vertAlign w:val="baseline"/>
        </w:rPr>
        <w:t>resources,</w:t>
      </w:r>
      <w:r>
        <w:rPr>
          <w:spacing w:val="-11"/>
          <w:sz w:val="21"/>
          <w:vertAlign w:val="baseline"/>
        </w:rPr>
        <w:t> </w:t>
      </w:r>
      <w:r>
        <w:rPr>
          <w:sz w:val="21"/>
          <w:vertAlign w:val="baseline"/>
        </w:rPr>
        <w:t>like</w:t>
      </w:r>
      <w:r>
        <w:rPr>
          <w:spacing w:val="-12"/>
          <w:sz w:val="21"/>
          <w:vertAlign w:val="baseline"/>
        </w:rPr>
        <w:t> </w:t>
      </w:r>
      <w:r>
        <w:rPr>
          <w:sz w:val="21"/>
          <w:vertAlign w:val="baseline"/>
        </w:rPr>
        <w:t>community belonging</w:t>
      </w:r>
      <w:hyperlink w:history="true" w:anchor="_bookmark172">
        <w:r>
          <w:rPr>
            <w:sz w:val="21"/>
            <w:vertAlign w:val="baseline"/>
          </w:rPr>
          <w:t>.</w:t>
        </w:r>
        <w:r>
          <w:rPr>
            <w:sz w:val="21"/>
            <w:vertAlign w:val="superscript"/>
          </w:rPr>
          <w:t>75</w:t>
        </w:r>
      </w:hyperlink>
      <w:r>
        <w:rPr>
          <w:sz w:val="21"/>
          <w:vertAlign w:val="baseline"/>
        </w:rPr>
        <w:t> It is also cathartic and can also be uniquely helpful for multiply-marginalized LGBTQ youth. For instance, research demonstrates that activism among LGBTQ women of color reduces the likelihood of feeling emotional distress about sexism</w:t>
      </w:r>
      <w:hyperlink w:history="true" w:anchor="_bookmark173">
        <w:r>
          <w:rPr>
            <w:sz w:val="21"/>
            <w:vertAlign w:val="baseline"/>
          </w:rPr>
          <w:t>.</w:t>
        </w:r>
        <w:r>
          <w:rPr>
            <w:sz w:val="21"/>
            <w:vertAlign w:val="superscript"/>
          </w:rPr>
          <w:t>76</w:t>
        </w:r>
      </w:hyperlink>
      <w:r>
        <w:rPr>
          <w:sz w:val="21"/>
          <w:vertAlign w:val="baseline"/>
        </w:rPr>
        <w:t> It has also been shown to be a useful coping mechanism and source of meaning after sexual assault – which many LGBTQ youth, especially gender expansive youth, experience</w:t>
      </w:r>
      <w:hyperlink w:history="true" w:anchor="_bookmark174">
        <w:r>
          <w:rPr>
            <w:sz w:val="21"/>
            <w:vertAlign w:val="baseline"/>
          </w:rPr>
          <w:t>.</w:t>
        </w:r>
        <w:r>
          <w:rPr>
            <w:sz w:val="21"/>
            <w:vertAlign w:val="superscript"/>
          </w:rPr>
          <w:t>77</w:t>
        </w:r>
      </w:hyperlink>
    </w:p>
    <w:p>
      <w:pPr>
        <w:spacing w:line="276" w:lineRule="auto" w:before="241"/>
        <w:ind w:left="515" w:right="292" w:firstLine="0"/>
        <w:jc w:val="center"/>
        <w:rPr>
          <w:sz w:val="21"/>
        </w:rPr>
      </w:pPr>
      <w:r>
        <w:rPr>
          <w:sz w:val="21"/>
        </w:rPr>
        <w:t>At</w:t>
      </w:r>
      <w:r>
        <w:rPr>
          <w:spacing w:val="-3"/>
          <w:sz w:val="21"/>
        </w:rPr>
        <w:t> </w:t>
      </w:r>
      <w:r>
        <w:rPr>
          <w:sz w:val="21"/>
        </w:rPr>
        <w:t>the</w:t>
      </w:r>
      <w:r>
        <w:rPr>
          <w:spacing w:val="-3"/>
          <w:sz w:val="21"/>
        </w:rPr>
        <w:t> </w:t>
      </w:r>
      <w:r>
        <w:rPr>
          <w:sz w:val="21"/>
        </w:rPr>
        <w:t>same</w:t>
      </w:r>
      <w:r>
        <w:rPr>
          <w:spacing w:val="-4"/>
          <w:sz w:val="21"/>
        </w:rPr>
        <w:t> </w:t>
      </w:r>
      <w:r>
        <w:rPr>
          <w:sz w:val="21"/>
        </w:rPr>
        <w:t>time,</w:t>
      </w:r>
      <w:r>
        <w:rPr>
          <w:spacing w:val="-3"/>
          <w:sz w:val="21"/>
        </w:rPr>
        <w:t> </w:t>
      </w:r>
      <w:r>
        <w:rPr>
          <w:sz w:val="21"/>
        </w:rPr>
        <w:t>supporters</w:t>
      </w:r>
      <w:r>
        <w:rPr>
          <w:spacing w:val="-3"/>
          <w:sz w:val="21"/>
        </w:rPr>
        <w:t> </w:t>
      </w:r>
      <w:r>
        <w:rPr>
          <w:sz w:val="21"/>
        </w:rPr>
        <w:t>should</w:t>
      </w:r>
      <w:r>
        <w:rPr>
          <w:spacing w:val="-3"/>
          <w:sz w:val="21"/>
        </w:rPr>
        <w:t> </w:t>
      </w:r>
      <w:r>
        <w:rPr>
          <w:sz w:val="21"/>
        </w:rPr>
        <w:t>remember</w:t>
      </w:r>
      <w:r>
        <w:rPr>
          <w:spacing w:val="-3"/>
          <w:sz w:val="21"/>
        </w:rPr>
        <w:t> </w:t>
      </w:r>
      <w:r>
        <w:rPr>
          <w:sz w:val="21"/>
        </w:rPr>
        <w:t>that</w:t>
      </w:r>
      <w:r>
        <w:rPr>
          <w:spacing w:val="-2"/>
          <w:sz w:val="21"/>
        </w:rPr>
        <w:t> </w:t>
      </w:r>
      <w:r>
        <w:rPr>
          <w:sz w:val="21"/>
        </w:rPr>
        <w:t>activism</w:t>
      </w:r>
      <w:r>
        <w:rPr>
          <w:spacing w:val="-3"/>
          <w:sz w:val="21"/>
        </w:rPr>
        <w:t> </w:t>
      </w:r>
      <w:r>
        <w:rPr>
          <w:sz w:val="21"/>
        </w:rPr>
        <w:t>does</w:t>
      </w:r>
      <w:r>
        <w:rPr>
          <w:spacing w:val="-3"/>
          <w:sz w:val="21"/>
        </w:rPr>
        <w:t> </w:t>
      </w:r>
      <w:r>
        <w:rPr>
          <w:sz w:val="21"/>
        </w:rPr>
        <w:t>not</w:t>
      </w:r>
      <w:r>
        <w:rPr>
          <w:spacing w:val="-2"/>
          <w:sz w:val="21"/>
        </w:rPr>
        <w:t> </w:t>
      </w:r>
      <w:r>
        <w:rPr>
          <w:sz w:val="21"/>
        </w:rPr>
        <w:t>always</w:t>
      </w:r>
      <w:r>
        <w:rPr>
          <w:spacing w:val="-4"/>
          <w:sz w:val="21"/>
        </w:rPr>
        <w:t> </w:t>
      </w:r>
      <w:r>
        <w:rPr>
          <w:sz w:val="21"/>
        </w:rPr>
        <w:t>decrease</w:t>
      </w:r>
      <w:r>
        <w:rPr>
          <w:spacing w:val="-3"/>
          <w:sz w:val="21"/>
        </w:rPr>
        <w:t> </w:t>
      </w:r>
      <w:r>
        <w:rPr>
          <w:sz w:val="21"/>
        </w:rPr>
        <w:t>anxiety</w:t>
      </w:r>
      <w:r>
        <w:rPr>
          <w:spacing w:val="-3"/>
          <w:sz w:val="21"/>
        </w:rPr>
        <w:t> </w:t>
      </w:r>
      <w:r>
        <w:rPr>
          <w:sz w:val="21"/>
        </w:rPr>
        <w:t>or</w:t>
      </w:r>
      <w:r>
        <w:rPr>
          <w:spacing w:val="-4"/>
          <w:sz w:val="21"/>
        </w:rPr>
        <w:t> </w:t>
      </w:r>
      <w:r>
        <w:rPr>
          <w:sz w:val="21"/>
        </w:rPr>
        <w:t>depressive symptoms, especially when it leads youth to take on more responsibilities, burn out, or feel hyper-aware of issues facing the community</w:t>
      </w:r>
      <w:hyperlink w:history="true" w:anchor="_bookmark175">
        <w:r>
          <w:rPr>
            <w:sz w:val="21"/>
          </w:rPr>
          <w:t>.</w:t>
        </w:r>
        <w:r>
          <w:rPr>
            <w:sz w:val="21"/>
            <w:vertAlign w:val="superscript"/>
          </w:rPr>
          <w:t>78</w:t>
        </w:r>
      </w:hyperlink>
      <w:r>
        <w:rPr>
          <w:sz w:val="21"/>
          <w:vertAlign w:val="baseline"/>
        </w:rPr>
        <w:t> Thus, any activism-based programming for LGBTQ youth should avoid placing the burden of legislative, policy, and cultural change upon youth. Rather, adult decision-makers should keep primary responsibility for driving reform, tapping youth to be the guiding voices and supporters of these </w:t>
      </w:r>
      <w:r>
        <w:rPr>
          <w:spacing w:val="-2"/>
          <w:sz w:val="21"/>
          <w:vertAlign w:val="baseline"/>
        </w:rPr>
        <w:t>causes.</w:t>
      </w:r>
    </w:p>
    <w:p>
      <w:pPr>
        <w:pStyle w:val="BodyText"/>
        <w:spacing w:before="7"/>
        <w:rPr>
          <w:sz w:val="17"/>
        </w:rPr>
      </w:pPr>
      <w:r>
        <w:rPr/>
        <w:drawing>
          <wp:anchor distT="0" distB="0" distL="0" distR="0" allowOverlap="1" layoutInCell="1" locked="0" behindDoc="1" simplePos="0" relativeHeight="487624192">
            <wp:simplePos x="0" y="0"/>
            <wp:positionH relativeFrom="page">
              <wp:posOffset>1432944</wp:posOffset>
            </wp:positionH>
            <wp:positionV relativeFrom="paragraph">
              <wp:posOffset>152021</wp:posOffset>
            </wp:positionV>
            <wp:extent cx="5012601" cy="1181100"/>
            <wp:effectExtent l="0" t="0" r="0" b="0"/>
            <wp:wrapTopAndBottom/>
            <wp:docPr id="238" name="Image 238"/>
            <wp:cNvGraphicFramePr>
              <a:graphicFrameLocks/>
            </wp:cNvGraphicFramePr>
            <a:graphic>
              <a:graphicData uri="http://schemas.openxmlformats.org/drawingml/2006/picture">
                <pic:pic>
                  <pic:nvPicPr>
                    <pic:cNvPr id="238" name="Image 238"/>
                    <pic:cNvPicPr/>
                  </pic:nvPicPr>
                  <pic:blipFill>
                    <a:blip r:embed="rId186" cstate="print"/>
                    <a:stretch>
                      <a:fillRect/>
                    </a:stretch>
                  </pic:blipFill>
                  <pic:spPr>
                    <a:xfrm>
                      <a:off x="0" y="0"/>
                      <a:ext cx="5012601" cy="1181100"/>
                    </a:xfrm>
                    <a:prstGeom prst="rect">
                      <a:avLst/>
                    </a:prstGeom>
                  </pic:spPr>
                </pic:pic>
              </a:graphicData>
            </a:graphic>
          </wp:anchor>
        </w:drawing>
      </w:r>
    </w:p>
    <w:p>
      <w:pPr>
        <w:pStyle w:val="BodyText"/>
        <w:spacing w:before="19"/>
        <w:rPr>
          <w:sz w:val="21"/>
        </w:rPr>
      </w:pPr>
    </w:p>
    <w:p>
      <w:pPr>
        <w:spacing w:line="276" w:lineRule="auto" w:before="0"/>
        <w:ind w:left="463" w:right="244" w:firstLine="0"/>
        <w:jc w:val="both"/>
        <w:rPr>
          <w:sz w:val="28"/>
        </w:rPr>
      </w:pPr>
      <w:bookmarkStart w:name="Systemic Barriers to Care: Mental Health" w:id="253"/>
      <w:bookmarkEnd w:id="253"/>
      <w:r>
        <w:rPr/>
      </w:r>
      <w:r>
        <w:rPr>
          <w:color w:val="365F91"/>
          <w:sz w:val="28"/>
        </w:rPr>
        <w:t>Systemic Barriers to Care: Mental Health Stigma, MHP Burnout, and Low </w:t>
      </w:r>
      <w:r>
        <w:rPr>
          <w:color w:val="365F91"/>
          <w:spacing w:val="-2"/>
          <w:sz w:val="28"/>
        </w:rPr>
        <w:t>Compensation</w:t>
      </w:r>
    </w:p>
    <w:p>
      <w:pPr>
        <w:spacing w:line="276" w:lineRule="auto" w:before="241"/>
        <w:ind w:left="463" w:right="241" w:firstLine="0"/>
        <w:jc w:val="both"/>
        <w:rPr>
          <w:sz w:val="21"/>
        </w:rPr>
      </w:pPr>
      <w:r>
        <w:rPr>
          <w:sz w:val="21"/>
        </w:rPr>
        <w:t>Lack of access to mental healthcare has reached a crisis point for youth across the US. In 2021, SAMHSA found that around 60% of 12- to 17-year-olds who had a major depressive episode in the past year did not receive treatment.</w:t>
      </w:r>
      <w:r>
        <w:rPr>
          <w:spacing w:val="-2"/>
          <w:sz w:val="21"/>
        </w:rPr>
        <w:t> </w:t>
      </w:r>
      <w:r>
        <w:rPr>
          <w:sz w:val="21"/>
        </w:rPr>
        <w:t>Meanwhile,</w:t>
      </w:r>
      <w:r>
        <w:rPr>
          <w:spacing w:val="-1"/>
          <w:sz w:val="21"/>
        </w:rPr>
        <w:t> </w:t>
      </w:r>
      <w:r>
        <w:rPr>
          <w:sz w:val="21"/>
        </w:rPr>
        <w:t>in</w:t>
      </w:r>
      <w:r>
        <w:rPr>
          <w:spacing w:val="-2"/>
          <w:sz w:val="21"/>
        </w:rPr>
        <w:t> </w:t>
      </w:r>
      <w:r>
        <w:rPr>
          <w:sz w:val="21"/>
        </w:rPr>
        <w:t>Massachusetts,</w:t>
      </w:r>
      <w:r>
        <w:rPr>
          <w:spacing w:val="-1"/>
          <w:sz w:val="21"/>
        </w:rPr>
        <w:t> </w:t>
      </w:r>
      <w:r>
        <w:rPr>
          <w:sz w:val="21"/>
        </w:rPr>
        <w:t>in</w:t>
      </w:r>
      <w:r>
        <w:rPr>
          <w:spacing w:val="-2"/>
          <w:sz w:val="21"/>
        </w:rPr>
        <w:t> </w:t>
      </w:r>
      <w:r>
        <w:rPr>
          <w:sz w:val="21"/>
        </w:rPr>
        <w:t>2021,</w:t>
      </w:r>
      <w:r>
        <w:rPr>
          <w:spacing w:val="-2"/>
          <w:sz w:val="21"/>
        </w:rPr>
        <w:t> </w:t>
      </w:r>
      <w:r>
        <w:rPr>
          <w:sz w:val="21"/>
        </w:rPr>
        <w:t>the</w:t>
      </w:r>
      <w:r>
        <w:rPr>
          <w:spacing w:val="-2"/>
          <w:sz w:val="21"/>
        </w:rPr>
        <w:t> </w:t>
      </w:r>
      <w:r>
        <w:rPr>
          <w:sz w:val="21"/>
        </w:rPr>
        <w:t>Trevor</w:t>
      </w:r>
      <w:r>
        <w:rPr>
          <w:spacing w:val="-2"/>
          <w:sz w:val="21"/>
        </w:rPr>
        <w:t> </w:t>
      </w:r>
      <w:r>
        <w:rPr>
          <w:sz w:val="21"/>
        </w:rPr>
        <w:t>Project</w:t>
      </w:r>
      <w:r>
        <w:rPr>
          <w:spacing w:val="-1"/>
          <w:sz w:val="21"/>
        </w:rPr>
        <w:t> </w:t>
      </w:r>
      <w:r>
        <w:rPr>
          <w:sz w:val="21"/>
        </w:rPr>
        <w:t>uncovered</w:t>
      </w:r>
      <w:r>
        <w:rPr>
          <w:spacing w:val="-2"/>
          <w:sz w:val="21"/>
        </w:rPr>
        <w:t> </w:t>
      </w:r>
      <w:r>
        <w:rPr>
          <w:sz w:val="21"/>
        </w:rPr>
        <w:t>that</w:t>
      </w:r>
      <w:r>
        <w:rPr>
          <w:spacing w:val="-1"/>
          <w:sz w:val="21"/>
        </w:rPr>
        <w:t> </w:t>
      </w:r>
      <w:r>
        <w:rPr>
          <w:sz w:val="21"/>
        </w:rPr>
        <w:t>53%</w:t>
      </w:r>
      <w:r>
        <w:rPr>
          <w:spacing w:val="-2"/>
          <w:sz w:val="21"/>
        </w:rPr>
        <w:t> </w:t>
      </w:r>
      <w:r>
        <w:rPr>
          <w:sz w:val="21"/>
        </w:rPr>
        <w:t>of</w:t>
      </w:r>
      <w:r>
        <w:rPr>
          <w:spacing w:val="-2"/>
          <w:sz w:val="21"/>
        </w:rPr>
        <w:t> </w:t>
      </w:r>
      <w:r>
        <w:rPr>
          <w:sz w:val="21"/>
        </w:rPr>
        <w:t>LGBTQ</w:t>
      </w:r>
      <w:r>
        <w:rPr>
          <w:spacing w:val="-2"/>
          <w:sz w:val="21"/>
        </w:rPr>
        <w:t> </w:t>
      </w:r>
      <w:r>
        <w:rPr>
          <w:sz w:val="21"/>
        </w:rPr>
        <w:t>youth</w:t>
      </w:r>
      <w:r>
        <w:rPr>
          <w:spacing w:val="-2"/>
          <w:sz w:val="21"/>
        </w:rPr>
        <w:t> </w:t>
      </w:r>
      <w:r>
        <w:rPr>
          <w:sz w:val="21"/>
        </w:rPr>
        <w:t>who wanted mental healthcare in the last year were not able to get it.</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2" w:firstLine="0"/>
        <w:jc w:val="both"/>
        <w:rPr>
          <w:sz w:val="21"/>
        </w:rPr>
      </w:pPr>
      <w:r>
        <w:rPr>
          <w:sz w:val="21"/>
        </w:rPr>
        <w:t>Reasons</w:t>
      </w:r>
      <w:r>
        <w:rPr>
          <w:spacing w:val="-12"/>
          <w:sz w:val="21"/>
        </w:rPr>
        <w:t> </w:t>
      </w:r>
      <w:r>
        <w:rPr>
          <w:sz w:val="21"/>
        </w:rPr>
        <w:t>for</w:t>
      </w:r>
      <w:r>
        <w:rPr>
          <w:spacing w:val="-11"/>
          <w:sz w:val="21"/>
        </w:rPr>
        <w:t> </w:t>
      </w:r>
      <w:r>
        <w:rPr>
          <w:sz w:val="21"/>
        </w:rPr>
        <w:t>being</w:t>
      </w:r>
      <w:r>
        <w:rPr>
          <w:spacing w:val="-12"/>
          <w:sz w:val="21"/>
        </w:rPr>
        <w:t> </w:t>
      </w:r>
      <w:r>
        <w:rPr>
          <w:sz w:val="21"/>
        </w:rPr>
        <w:t>unable</w:t>
      </w:r>
      <w:r>
        <w:rPr>
          <w:spacing w:val="-12"/>
          <w:sz w:val="21"/>
        </w:rPr>
        <w:t> </w:t>
      </w:r>
      <w:r>
        <w:rPr>
          <w:sz w:val="21"/>
        </w:rPr>
        <w:t>to</w:t>
      </w:r>
      <w:r>
        <w:rPr>
          <w:spacing w:val="-12"/>
          <w:sz w:val="21"/>
        </w:rPr>
        <w:t> </w:t>
      </w:r>
      <w:r>
        <w:rPr>
          <w:sz w:val="21"/>
        </w:rPr>
        <w:t>access</w:t>
      </w:r>
      <w:r>
        <w:rPr>
          <w:spacing w:val="-12"/>
          <w:sz w:val="21"/>
        </w:rPr>
        <w:t> </w:t>
      </w:r>
      <w:r>
        <w:rPr>
          <w:sz w:val="21"/>
        </w:rPr>
        <w:t>care</w:t>
      </w:r>
      <w:r>
        <w:rPr>
          <w:spacing w:val="-12"/>
          <w:sz w:val="21"/>
        </w:rPr>
        <w:t> </w:t>
      </w:r>
      <w:r>
        <w:rPr>
          <w:sz w:val="21"/>
        </w:rPr>
        <w:t>vary.</w:t>
      </w:r>
      <w:r>
        <w:rPr>
          <w:spacing w:val="-12"/>
          <w:sz w:val="21"/>
        </w:rPr>
        <w:t> </w:t>
      </w:r>
      <w:r>
        <w:rPr>
          <w:sz w:val="21"/>
        </w:rPr>
        <w:t>In</w:t>
      </w:r>
      <w:r>
        <w:rPr>
          <w:spacing w:val="-10"/>
          <w:sz w:val="21"/>
        </w:rPr>
        <w:t> </w:t>
      </w:r>
      <w:r>
        <w:rPr>
          <w:sz w:val="21"/>
        </w:rPr>
        <w:t>Massachusetts,</w:t>
      </w:r>
      <w:r>
        <w:rPr>
          <w:spacing w:val="-11"/>
          <w:sz w:val="21"/>
        </w:rPr>
        <w:t> </w:t>
      </w:r>
      <w:r>
        <w:rPr>
          <w:sz w:val="21"/>
        </w:rPr>
        <w:t>LGBTQ</w:t>
      </w:r>
      <w:r>
        <w:rPr>
          <w:spacing w:val="-11"/>
          <w:sz w:val="21"/>
        </w:rPr>
        <w:t> </w:t>
      </w:r>
      <w:r>
        <w:rPr>
          <w:sz w:val="21"/>
        </w:rPr>
        <w:t>youths’</w:t>
      </w:r>
      <w:r>
        <w:rPr>
          <w:spacing w:val="-11"/>
          <w:sz w:val="21"/>
        </w:rPr>
        <w:t> </w:t>
      </w:r>
      <w:r>
        <w:rPr>
          <w:sz w:val="21"/>
        </w:rPr>
        <w:t>top</w:t>
      </w:r>
      <w:r>
        <w:rPr>
          <w:spacing w:val="-11"/>
          <w:sz w:val="21"/>
        </w:rPr>
        <w:t> </w:t>
      </w:r>
      <w:r>
        <w:rPr>
          <w:sz w:val="21"/>
        </w:rPr>
        <w:t>five</w:t>
      </w:r>
      <w:r>
        <w:rPr>
          <w:spacing w:val="-12"/>
          <w:sz w:val="21"/>
        </w:rPr>
        <w:t> </w:t>
      </w:r>
      <w:r>
        <w:rPr>
          <w:sz w:val="21"/>
        </w:rPr>
        <w:t>reported</w:t>
      </w:r>
      <w:r>
        <w:rPr>
          <w:spacing w:val="-11"/>
          <w:sz w:val="21"/>
        </w:rPr>
        <w:t> </w:t>
      </w:r>
      <w:r>
        <w:rPr>
          <w:sz w:val="21"/>
        </w:rPr>
        <w:t>barriers</w:t>
      </w:r>
      <w:r>
        <w:rPr>
          <w:spacing w:val="-12"/>
          <w:sz w:val="21"/>
        </w:rPr>
        <w:t> </w:t>
      </w:r>
      <w:r>
        <w:rPr>
          <w:sz w:val="21"/>
        </w:rPr>
        <w:t>include being afraid to talk about mental health with another person (43%); not wanting to get guardians’ permission (40%); being afraid of not being taken seriously (32%); not being able to afford care (31%); and being afraid it wouldn’t work (30%). Since many of these reasons relate to stigma and fear about care-seeking, reforms such as mental health literacy projects have high potential.</w:t>
      </w:r>
    </w:p>
    <w:p>
      <w:pPr>
        <w:spacing w:line="276" w:lineRule="auto" w:before="239"/>
        <w:ind w:left="463" w:right="241" w:firstLine="0"/>
        <w:jc w:val="both"/>
        <w:rPr>
          <w:sz w:val="21"/>
        </w:rPr>
      </w:pPr>
      <w:r>
        <w:rPr>
          <w:sz w:val="21"/>
        </w:rPr>
        <w:t>The</w:t>
      </w:r>
      <w:r>
        <w:rPr>
          <w:spacing w:val="-9"/>
          <w:sz w:val="21"/>
        </w:rPr>
        <w:t> </w:t>
      </w:r>
      <w:r>
        <w:rPr>
          <w:sz w:val="21"/>
        </w:rPr>
        <w:t>severe</w:t>
      </w:r>
      <w:r>
        <w:rPr>
          <w:spacing w:val="-10"/>
          <w:sz w:val="21"/>
        </w:rPr>
        <w:t> </w:t>
      </w:r>
      <w:r>
        <w:rPr>
          <w:sz w:val="21"/>
        </w:rPr>
        <w:t>shortage</w:t>
      </w:r>
      <w:r>
        <w:rPr>
          <w:spacing w:val="-9"/>
          <w:sz w:val="21"/>
        </w:rPr>
        <w:t> </w:t>
      </w:r>
      <w:r>
        <w:rPr>
          <w:sz w:val="21"/>
        </w:rPr>
        <w:t>of</w:t>
      </w:r>
      <w:r>
        <w:rPr>
          <w:spacing w:val="-10"/>
          <w:sz w:val="21"/>
        </w:rPr>
        <w:t> </w:t>
      </w:r>
      <w:r>
        <w:rPr>
          <w:sz w:val="21"/>
        </w:rPr>
        <w:t>MHPs</w:t>
      </w:r>
      <w:r>
        <w:rPr>
          <w:spacing w:val="-10"/>
          <w:sz w:val="21"/>
        </w:rPr>
        <w:t> </w:t>
      </w:r>
      <w:r>
        <w:rPr>
          <w:sz w:val="21"/>
        </w:rPr>
        <w:t>–</w:t>
      </w:r>
      <w:r>
        <w:rPr>
          <w:spacing w:val="-9"/>
          <w:sz w:val="21"/>
        </w:rPr>
        <w:t> </w:t>
      </w:r>
      <w:r>
        <w:rPr>
          <w:sz w:val="21"/>
        </w:rPr>
        <w:t>especially</w:t>
      </w:r>
      <w:r>
        <w:rPr>
          <w:spacing w:val="-9"/>
          <w:sz w:val="21"/>
        </w:rPr>
        <w:t> </w:t>
      </w:r>
      <w:r>
        <w:rPr>
          <w:sz w:val="21"/>
        </w:rPr>
        <w:t>those</w:t>
      </w:r>
      <w:r>
        <w:rPr>
          <w:spacing w:val="-9"/>
          <w:sz w:val="21"/>
        </w:rPr>
        <w:t> </w:t>
      </w:r>
      <w:r>
        <w:rPr>
          <w:sz w:val="21"/>
        </w:rPr>
        <w:t>who</w:t>
      </w:r>
      <w:r>
        <w:rPr>
          <w:spacing w:val="-10"/>
          <w:sz w:val="21"/>
        </w:rPr>
        <w:t> </w:t>
      </w:r>
      <w:r>
        <w:rPr>
          <w:sz w:val="21"/>
        </w:rPr>
        <w:t>are</w:t>
      </w:r>
      <w:r>
        <w:rPr>
          <w:spacing w:val="-9"/>
          <w:sz w:val="21"/>
        </w:rPr>
        <w:t> </w:t>
      </w:r>
      <w:r>
        <w:rPr>
          <w:sz w:val="21"/>
        </w:rPr>
        <w:t>LGBTQ</w:t>
      </w:r>
      <w:r>
        <w:rPr>
          <w:spacing w:val="-10"/>
          <w:sz w:val="21"/>
        </w:rPr>
        <w:t> </w:t>
      </w:r>
      <w:r>
        <w:rPr>
          <w:sz w:val="21"/>
        </w:rPr>
        <w:t>and</w:t>
      </w:r>
      <w:r>
        <w:rPr>
          <w:spacing w:val="-9"/>
          <w:sz w:val="21"/>
        </w:rPr>
        <w:t> </w:t>
      </w:r>
      <w:r>
        <w:rPr>
          <w:sz w:val="21"/>
        </w:rPr>
        <w:t>culturally</w:t>
      </w:r>
      <w:r>
        <w:rPr>
          <w:spacing w:val="-10"/>
          <w:sz w:val="21"/>
        </w:rPr>
        <w:t> </w:t>
      </w:r>
      <w:r>
        <w:rPr>
          <w:sz w:val="21"/>
        </w:rPr>
        <w:t>competent</w:t>
      </w:r>
      <w:r>
        <w:rPr>
          <w:spacing w:val="-9"/>
          <w:sz w:val="21"/>
        </w:rPr>
        <w:t> </w:t>
      </w:r>
      <w:r>
        <w:rPr>
          <w:sz w:val="21"/>
        </w:rPr>
        <w:t>–</w:t>
      </w:r>
      <w:r>
        <w:rPr>
          <w:spacing w:val="-10"/>
          <w:sz w:val="21"/>
        </w:rPr>
        <w:t> </w:t>
      </w:r>
      <w:r>
        <w:rPr>
          <w:sz w:val="21"/>
        </w:rPr>
        <w:t>is</w:t>
      </w:r>
      <w:r>
        <w:rPr>
          <w:spacing w:val="-10"/>
          <w:sz w:val="21"/>
        </w:rPr>
        <w:t> </w:t>
      </w:r>
      <w:r>
        <w:rPr>
          <w:sz w:val="21"/>
        </w:rPr>
        <w:t>another</w:t>
      </w:r>
      <w:r>
        <w:rPr>
          <w:spacing w:val="-9"/>
          <w:sz w:val="21"/>
        </w:rPr>
        <w:t> </w:t>
      </w:r>
      <w:r>
        <w:rPr>
          <w:sz w:val="21"/>
        </w:rPr>
        <w:t>significant barrier</w:t>
      </w:r>
      <w:r>
        <w:rPr>
          <w:spacing w:val="-3"/>
          <w:sz w:val="21"/>
        </w:rPr>
        <w:t> </w:t>
      </w:r>
      <w:r>
        <w:rPr>
          <w:sz w:val="21"/>
        </w:rPr>
        <w:t>to</w:t>
      </w:r>
      <w:r>
        <w:rPr>
          <w:spacing w:val="-3"/>
          <w:sz w:val="21"/>
        </w:rPr>
        <w:t> </w:t>
      </w:r>
      <w:r>
        <w:rPr>
          <w:sz w:val="21"/>
        </w:rPr>
        <w:t>care;</w:t>
      </w:r>
      <w:r>
        <w:rPr>
          <w:spacing w:val="-3"/>
          <w:sz w:val="21"/>
        </w:rPr>
        <w:t> </w:t>
      </w:r>
      <w:r>
        <w:rPr>
          <w:sz w:val="21"/>
        </w:rPr>
        <w:t>MHP</w:t>
      </w:r>
      <w:r>
        <w:rPr>
          <w:spacing w:val="-3"/>
          <w:sz w:val="21"/>
        </w:rPr>
        <w:t> </w:t>
      </w:r>
      <w:r>
        <w:rPr>
          <w:sz w:val="21"/>
        </w:rPr>
        <w:t>trainees</w:t>
      </w:r>
      <w:r>
        <w:rPr>
          <w:spacing w:val="-3"/>
          <w:sz w:val="21"/>
        </w:rPr>
        <w:t> </w:t>
      </w:r>
      <w:r>
        <w:rPr>
          <w:sz w:val="21"/>
        </w:rPr>
        <w:t>such</w:t>
      </w:r>
      <w:r>
        <w:rPr>
          <w:spacing w:val="-3"/>
          <w:sz w:val="21"/>
        </w:rPr>
        <w:t> </w:t>
      </w:r>
      <w:r>
        <w:rPr>
          <w:sz w:val="21"/>
        </w:rPr>
        <w:t>as</w:t>
      </w:r>
      <w:r>
        <w:rPr>
          <w:spacing w:val="-3"/>
          <w:sz w:val="21"/>
        </w:rPr>
        <w:t> </w:t>
      </w:r>
      <w:r>
        <w:rPr>
          <w:sz w:val="21"/>
        </w:rPr>
        <w:t>social</w:t>
      </w:r>
      <w:r>
        <w:rPr>
          <w:spacing w:val="-3"/>
          <w:sz w:val="21"/>
        </w:rPr>
        <w:t> </w:t>
      </w:r>
      <w:r>
        <w:rPr>
          <w:sz w:val="21"/>
        </w:rPr>
        <w:t>work</w:t>
      </w:r>
      <w:r>
        <w:rPr>
          <w:spacing w:val="-2"/>
          <w:sz w:val="21"/>
        </w:rPr>
        <w:t> </w:t>
      </w:r>
      <w:r>
        <w:rPr>
          <w:sz w:val="21"/>
        </w:rPr>
        <w:t>students</w:t>
      </w:r>
      <w:r>
        <w:rPr>
          <w:spacing w:val="-3"/>
          <w:sz w:val="21"/>
        </w:rPr>
        <w:t> </w:t>
      </w:r>
      <w:r>
        <w:rPr>
          <w:sz w:val="21"/>
        </w:rPr>
        <w:t>often</w:t>
      </w:r>
      <w:r>
        <w:rPr>
          <w:spacing w:val="-3"/>
          <w:sz w:val="21"/>
        </w:rPr>
        <w:t> </w:t>
      </w:r>
      <w:r>
        <w:rPr>
          <w:sz w:val="21"/>
        </w:rPr>
        <w:t>provide</w:t>
      </w:r>
      <w:r>
        <w:rPr>
          <w:spacing w:val="-3"/>
          <w:sz w:val="21"/>
        </w:rPr>
        <w:t> </w:t>
      </w:r>
      <w:r>
        <w:rPr>
          <w:sz w:val="21"/>
        </w:rPr>
        <w:t>life-affirming</w:t>
      </w:r>
      <w:r>
        <w:rPr>
          <w:spacing w:val="-3"/>
          <w:sz w:val="21"/>
        </w:rPr>
        <w:t> </w:t>
      </w:r>
      <w:r>
        <w:rPr>
          <w:sz w:val="21"/>
        </w:rPr>
        <w:t>mental</w:t>
      </w:r>
      <w:r>
        <w:rPr>
          <w:spacing w:val="-3"/>
          <w:sz w:val="21"/>
        </w:rPr>
        <w:t> </w:t>
      </w:r>
      <w:r>
        <w:rPr>
          <w:sz w:val="21"/>
        </w:rPr>
        <w:t>health</w:t>
      </w:r>
      <w:r>
        <w:rPr>
          <w:spacing w:val="-3"/>
          <w:sz w:val="21"/>
        </w:rPr>
        <w:t> </w:t>
      </w:r>
      <w:r>
        <w:rPr>
          <w:sz w:val="21"/>
        </w:rPr>
        <w:t>support</w:t>
      </w:r>
      <w:r>
        <w:rPr>
          <w:spacing w:val="-2"/>
          <w:sz w:val="21"/>
        </w:rPr>
        <w:t> </w:t>
      </w:r>
      <w:r>
        <w:rPr>
          <w:sz w:val="21"/>
        </w:rPr>
        <w:t>in internships across Massachusetts. However, many are required to provide this unpaid labor for roughly half of the</w:t>
      </w:r>
      <w:r>
        <w:rPr>
          <w:spacing w:val="-6"/>
          <w:sz w:val="21"/>
        </w:rPr>
        <w:t> </w:t>
      </w:r>
      <w:r>
        <w:rPr>
          <w:sz w:val="21"/>
        </w:rPr>
        <w:t>work</w:t>
      </w:r>
      <w:r>
        <w:rPr>
          <w:spacing w:val="-5"/>
          <w:sz w:val="21"/>
        </w:rPr>
        <w:t> </w:t>
      </w:r>
      <w:r>
        <w:rPr>
          <w:sz w:val="21"/>
        </w:rPr>
        <w:t>week</w:t>
      </w:r>
      <w:r>
        <w:rPr>
          <w:spacing w:val="-5"/>
          <w:sz w:val="21"/>
        </w:rPr>
        <w:t> </w:t>
      </w:r>
      <w:r>
        <w:rPr>
          <w:sz w:val="21"/>
        </w:rPr>
        <w:t>over</w:t>
      </w:r>
      <w:r>
        <w:rPr>
          <w:spacing w:val="-6"/>
          <w:sz w:val="21"/>
        </w:rPr>
        <w:t> </w:t>
      </w:r>
      <w:r>
        <w:rPr>
          <w:sz w:val="21"/>
        </w:rPr>
        <w:t>two</w:t>
      </w:r>
      <w:r>
        <w:rPr>
          <w:spacing w:val="-6"/>
          <w:sz w:val="21"/>
        </w:rPr>
        <w:t> </w:t>
      </w:r>
      <w:r>
        <w:rPr>
          <w:sz w:val="21"/>
        </w:rPr>
        <w:t>years</w:t>
      </w:r>
      <w:r>
        <w:rPr>
          <w:spacing w:val="-6"/>
          <w:sz w:val="21"/>
        </w:rPr>
        <w:t> </w:t>
      </w:r>
      <w:r>
        <w:rPr>
          <w:sz w:val="21"/>
        </w:rPr>
        <w:t>in</w:t>
      </w:r>
      <w:r>
        <w:rPr>
          <w:spacing w:val="-6"/>
          <w:sz w:val="21"/>
        </w:rPr>
        <w:t> </w:t>
      </w:r>
      <w:r>
        <w:rPr>
          <w:sz w:val="21"/>
        </w:rPr>
        <w:t>order</w:t>
      </w:r>
      <w:r>
        <w:rPr>
          <w:spacing w:val="-6"/>
          <w:sz w:val="21"/>
        </w:rPr>
        <w:t> </w:t>
      </w:r>
      <w:r>
        <w:rPr>
          <w:sz w:val="21"/>
        </w:rPr>
        <w:t>to</w:t>
      </w:r>
      <w:r>
        <w:rPr>
          <w:spacing w:val="-6"/>
          <w:sz w:val="21"/>
        </w:rPr>
        <w:t> </w:t>
      </w:r>
      <w:r>
        <w:rPr>
          <w:sz w:val="21"/>
        </w:rPr>
        <w:t>graduate</w:t>
      </w:r>
      <w:r>
        <w:rPr>
          <w:spacing w:val="-6"/>
          <w:sz w:val="21"/>
        </w:rPr>
        <w:t> </w:t>
      </w:r>
      <w:r>
        <w:rPr>
          <w:sz w:val="21"/>
        </w:rPr>
        <w:t>–</w:t>
      </w:r>
      <w:r>
        <w:rPr>
          <w:spacing w:val="-5"/>
          <w:sz w:val="21"/>
        </w:rPr>
        <w:t> </w:t>
      </w:r>
      <w:r>
        <w:rPr>
          <w:sz w:val="21"/>
        </w:rPr>
        <w:t>and</w:t>
      </w:r>
      <w:r>
        <w:rPr>
          <w:spacing w:val="-6"/>
          <w:sz w:val="21"/>
        </w:rPr>
        <w:t> </w:t>
      </w:r>
      <w:r>
        <w:rPr>
          <w:sz w:val="21"/>
        </w:rPr>
        <w:t>pay</w:t>
      </w:r>
      <w:r>
        <w:rPr>
          <w:spacing w:val="-6"/>
          <w:sz w:val="21"/>
        </w:rPr>
        <w:t> </w:t>
      </w:r>
      <w:r>
        <w:rPr>
          <w:sz w:val="21"/>
        </w:rPr>
        <w:t>increased</w:t>
      </w:r>
      <w:r>
        <w:rPr>
          <w:spacing w:val="-6"/>
          <w:sz w:val="21"/>
        </w:rPr>
        <w:t> </w:t>
      </w:r>
      <w:r>
        <w:rPr>
          <w:sz w:val="21"/>
        </w:rPr>
        <w:t>tuition</w:t>
      </w:r>
      <w:r>
        <w:rPr>
          <w:spacing w:val="-6"/>
          <w:sz w:val="21"/>
        </w:rPr>
        <w:t> </w:t>
      </w:r>
      <w:r>
        <w:rPr>
          <w:sz w:val="21"/>
        </w:rPr>
        <w:t>for</w:t>
      </w:r>
      <w:r>
        <w:rPr>
          <w:spacing w:val="-6"/>
          <w:sz w:val="21"/>
        </w:rPr>
        <w:t> </w:t>
      </w:r>
      <w:r>
        <w:rPr>
          <w:sz w:val="21"/>
        </w:rPr>
        <w:t>these</w:t>
      </w:r>
      <w:r>
        <w:rPr>
          <w:spacing w:val="-6"/>
          <w:sz w:val="21"/>
        </w:rPr>
        <w:t> </w:t>
      </w:r>
      <w:r>
        <w:rPr>
          <w:sz w:val="21"/>
        </w:rPr>
        <w:t>placements.</w:t>
      </w:r>
      <w:r>
        <w:rPr>
          <w:spacing w:val="-6"/>
          <w:sz w:val="21"/>
        </w:rPr>
        <w:t> </w:t>
      </w:r>
      <w:r>
        <w:rPr>
          <w:sz w:val="21"/>
        </w:rPr>
        <w:t>Combined with already-high tuition, living costs, and loan interest rates, this financial burden mirrors the low wages and overwhelming caseloads that MHPs face after graduation. These conditions fuel high rates of burning out, turning over, and leaving the field entirely, as it is already difficult for MHPs to graduate, let alone find meaningfully-paid</w:t>
      </w:r>
      <w:r>
        <w:rPr>
          <w:spacing w:val="-11"/>
          <w:sz w:val="21"/>
        </w:rPr>
        <w:t> </w:t>
      </w:r>
      <w:r>
        <w:rPr>
          <w:sz w:val="21"/>
        </w:rPr>
        <w:t>work.</w:t>
      </w:r>
      <w:r>
        <w:rPr>
          <w:spacing w:val="-11"/>
          <w:sz w:val="21"/>
        </w:rPr>
        <w:t> </w:t>
      </w:r>
      <w:r>
        <w:rPr>
          <w:sz w:val="21"/>
        </w:rPr>
        <w:t>This</w:t>
      </w:r>
      <w:r>
        <w:rPr>
          <w:spacing w:val="-12"/>
          <w:sz w:val="21"/>
        </w:rPr>
        <w:t> </w:t>
      </w:r>
      <w:r>
        <w:rPr>
          <w:sz w:val="21"/>
        </w:rPr>
        <w:t>is</w:t>
      </w:r>
      <w:r>
        <w:rPr>
          <w:spacing w:val="-12"/>
          <w:sz w:val="21"/>
        </w:rPr>
        <w:t> </w:t>
      </w:r>
      <w:r>
        <w:rPr>
          <w:sz w:val="21"/>
        </w:rPr>
        <w:t>why</w:t>
      </w:r>
      <w:r>
        <w:rPr>
          <w:spacing w:val="-12"/>
          <w:sz w:val="21"/>
        </w:rPr>
        <w:t> </w:t>
      </w:r>
      <w:r>
        <w:rPr>
          <w:sz w:val="21"/>
        </w:rPr>
        <w:t>the</w:t>
      </w:r>
      <w:r>
        <w:rPr>
          <w:spacing w:val="-11"/>
          <w:sz w:val="21"/>
        </w:rPr>
        <w:t> </w:t>
      </w:r>
      <w:r>
        <w:rPr>
          <w:sz w:val="21"/>
        </w:rPr>
        <w:t>Commission</w:t>
      </w:r>
      <w:r>
        <w:rPr>
          <w:spacing w:val="-11"/>
          <w:sz w:val="21"/>
        </w:rPr>
        <w:t> </w:t>
      </w:r>
      <w:r>
        <w:rPr>
          <w:sz w:val="21"/>
        </w:rPr>
        <w:t>recommends</w:t>
      </w:r>
      <w:r>
        <w:rPr>
          <w:spacing w:val="-12"/>
          <w:sz w:val="21"/>
        </w:rPr>
        <w:t> </w:t>
      </w:r>
      <w:r>
        <w:rPr>
          <w:sz w:val="21"/>
        </w:rPr>
        <w:t>that</w:t>
      </w:r>
      <w:r>
        <w:rPr>
          <w:spacing w:val="-11"/>
          <w:sz w:val="21"/>
        </w:rPr>
        <w:t> </w:t>
      </w:r>
      <w:r>
        <w:rPr>
          <w:sz w:val="21"/>
        </w:rPr>
        <w:t>allies</w:t>
      </w:r>
      <w:r>
        <w:rPr>
          <w:spacing w:val="-12"/>
          <w:sz w:val="21"/>
        </w:rPr>
        <w:t> </w:t>
      </w:r>
      <w:r>
        <w:rPr>
          <w:sz w:val="21"/>
        </w:rPr>
        <w:t>advocate</w:t>
      </w:r>
      <w:r>
        <w:rPr>
          <w:spacing w:val="-11"/>
          <w:sz w:val="21"/>
        </w:rPr>
        <w:t> </w:t>
      </w:r>
      <w:r>
        <w:rPr>
          <w:sz w:val="21"/>
        </w:rPr>
        <w:t>for</w:t>
      </w:r>
      <w:r>
        <w:rPr>
          <w:spacing w:val="-11"/>
          <w:sz w:val="21"/>
        </w:rPr>
        <w:t> </w:t>
      </w:r>
      <w:r>
        <w:rPr>
          <w:sz w:val="21"/>
        </w:rPr>
        <w:t>policies</w:t>
      </w:r>
      <w:r>
        <w:rPr>
          <w:spacing w:val="-12"/>
          <w:sz w:val="21"/>
        </w:rPr>
        <w:t> </w:t>
      </w:r>
      <w:r>
        <w:rPr>
          <w:sz w:val="21"/>
        </w:rPr>
        <w:t>which</w:t>
      </w:r>
      <w:r>
        <w:rPr>
          <w:spacing w:val="-11"/>
          <w:sz w:val="21"/>
        </w:rPr>
        <w:t> </w:t>
      </w:r>
      <w:r>
        <w:rPr>
          <w:sz w:val="21"/>
        </w:rPr>
        <w:t>support MHP students in every stage of the school-to-workforce pipeline.</w:t>
      </w:r>
    </w:p>
    <w:p>
      <w:pPr>
        <w:spacing w:line="276" w:lineRule="auto" w:before="241"/>
        <w:ind w:left="463" w:right="237" w:firstLine="0"/>
        <w:jc w:val="both"/>
        <w:rPr>
          <w:sz w:val="21"/>
        </w:rPr>
      </w:pPr>
      <w:r>
        <w:rPr>
          <w:sz w:val="21"/>
        </w:rPr>
        <w:t>Finally, the health insurance system creates many barriers to care. The Mental Health ABC Act took vital steps toward reform, such as by guaranteeing coverage of annual mental health wellness exams, raising reimbursement minimums to mirror those of primary healthcare providers, and expanding access to mental health support in schools and the foster care system</w:t>
      </w:r>
      <w:hyperlink w:history="true" w:anchor="_bookmark176">
        <w:r>
          <w:rPr>
            <w:sz w:val="21"/>
          </w:rPr>
          <w:t>.</w:t>
        </w:r>
        <w:r>
          <w:rPr>
            <w:sz w:val="21"/>
            <w:vertAlign w:val="superscript"/>
          </w:rPr>
          <w:t>79</w:t>
        </w:r>
      </w:hyperlink>
      <w:r>
        <w:rPr>
          <w:sz w:val="21"/>
          <w:vertAlign w:val="baseline"/>
        </w:rPr>
        <w:t> However, there is still a growing trend among MHPs to stop</w:t>
      </w:r>
      <w:r>
        <w:rPr>
          <w:spacing w:val="-1"/>
          <w:sz w:val="21"/>
          <w:vertAlign w:val="baseline"/>
        </w:rPr>
        <w:t> </w:t>
      </w:r>
      <w:r>
        <w:rPr>
          <w:sz w:val="21"/>
          <w:vertAlign w:val="baseline"/>
        </w:rPr>
        <w:t>accepting</w:t>
      </w:r>
      <w:r>
        <w:rPr>
          <w:spacing w:val="-1"/>
          <w:sz w:val="21"/>
          <w:vertAlign w:val="baseline"/>
        </w:rPr>
        <w:t> </w:t>
      </w:r>
      <w:r>
        <w:rPr>
          <w:sz w:val="21"/>
          <w:vertAlign w:val="baseline"/>
        </w:rPr>
        <w:t>insurance</w:t>
      </w:r>
      <w:r>
        <w:rPr>
          <w:spacing w:val="-1"/>
          <w:sz w:val="21"/>
          <w:vertAlign w:val="baseline"/>
        </w:rPr>
        <w:t> </w:t>
      </w:r>
      <w:r>
        <w:rPr>
          <w:sz w:val="21"/>
          <w:vertAlign w:val="baseline"/>
        </w:rPr>
        <w:t>due</w:t>
      </w:r>
      <w:r>
        <w:rPr>
          <w:spacing w:val="-1"/>
          <w:sz w:val="21"/>
          <w:vertAlign w:val="baseline"/>
        </w:rPr>
        <w:t> </w:t>
      </w:r>
      <w:r>
        <w:rPr>
          <w:sz w:val="21"/>
          <w:vertAlign w:val="baseline"/>
        </w:rPr>
        <w:t>to</w:t>
      </w:r>
      <w:r>
        <w:rPr>
          <w:spacing w:val="-1"/>
          <w:sz w:val="21"/>
          <w:vertAlign w:val="baseline"/>
        </w:rPr>
        <w:t> </w:t>
      </w:r>
      <w:r>
        <w:rPr>
          <w:sz w:val="21"/>
          <w:vertAlign w:val="baseline"/>
        </w:rPr>
        <w:t>clawbacks, audits, lack of</w:t>
      </w:r>
      <w:r>
        <w:rPr>
          <w:spacing w:val="-1"/>
          <w:sz w:val="21"/>
          <w:vertAlign w:val="baseline"/>
        </w:rPr>
        <w:t> </w:t>
      </w:r>
      <w:r>
        <w:rPr>
          <w:sz w:val="21"/>
          <w:vertAlign w:val="baseline"/>
        </w:rPr>
        <w:t>control</w:t>
      </w:r>
      <w:r>
        <w:rPr>
          <w:spacing w:val="-1"/>
          <w:sz w:val="21"/>
          <w:vertAlign w:val="baseline"/>
        </w:rPr>
        <w:t> </w:t>
      </w:r>
      <w:r>
        <w:rPr>
          <w:sz w:val="21"/>
          <w:vertAlign w:val="baseline"/>
        </w:rPr>
        <w:t>over</w:t>
      </w:r>
      <w:r>
        <w:rPr>
          <w:spacing w:val="-1"/>
          <w:sz w:val="21"/>
          <w:vertAlign w:val="baseline"/>
        </w:rPr>
        <w:t> </w:t>
      </w:r>
      <w:r>
        <w:rPr>
          <w:sz w:val="21"/>
          <w:vertAlign w:val="baseline"/>
        </w:rPr>
        <w:t>session</w:t>
      </w:r>
      <w:r>
        <w:rPr>
          <w:spacing w:val="-1"/>
          <w:sz w:val="21"/>
          <w:vertAlign w:val="baseline"/>
        </w:rPr>
        <w:t> </w:t>
      </w:r>
      <w:r>
        <w:rPr>
          <w:sz w:val="21"/>
          <w:vertAlign w:val="baseline"/>
        </w:rPr>
        <w:t>length</w:t>
      </w:r>
      <w:r>
        <w:rPr>
          <w:spacing w:val="-1"/>
          <w:sz w:val="21"/>
          <w:vertAlign w:val="baseline"/>
        </w:rPr>
        <w:t> </w:t>
      </w:r>
      <w:r>
        <w:rPr>
          <w:sz w:val="21"/>
          <w:vertAlign w:val="baseline"/>
        </w:rPr>
        <w:t>and</w:t>
      </w:r>
      <w:r>
        <w:rPr>
          <w:spacing w:val="-1"/>
          <w:sz w:val="21"/>
          <w:vertAlign w:val="baseline"/>
        </w:rPr>
        <w:t> </w:t>
      </w:r>
      <w:r>
        <w:rPr>
          <w:sz w:val="21"/>
          <w:vertAlign w:val="baseline"/>
        </w:rPr>
        <w:t>content, and</w:t>
      </w:r>
      <w:r>
        <w:rPr>
          <w:spacing w:val="-1"/>
          <w:sz w:val="21"/>
          <w:vertAlign w:val="baseline"/>
        </w:rPr>
        <w:t> </w:t>
      </w:r>
      <w:r>
        <w:rPr>
          <w:sz w:val="21"/>
          <w:vertAlign w:val="baseline"/>
        </w:rPr>
        <w:t>lengthy wait</w:t>
      </w:r>
      <w:r>
        <w:rPr>
          <w:spacing w:val="-5"/>
          <w:sz w:val="21"/>
          <w:vertAlign w:val="baseline"/>
        </w:rPr>
        <w:t> </w:t>
      </w:r>
      <w:r>
        <w:rPr>
          <w:sz w:val="21"/>
          <w:vertAlign w:val="baseline"/>
        </w:rPr>
        <w:t>times</w:t>
      </w:r>
      <w:r>
        <w:rPr>
          <w:spacing w:val="-6"/>
          <w:sz w:val="21"/>
          <w:vertAlign w:val="baseline"/>
        </w:rPr>
        <w:t> </w:t>
      </w:r>
      <w:r>
        <w:rPr>
          <w:sz w:val="21"/>
          <w:vertAlign w:val="baseline"/>
        </w:rPr>
        <w:t>for</w:t>
      </w:r>
      <w:r>
        <w:rPr>
          <w:spacing w:val="-6"/>
          <w:sz w:val="21"/>
          <w:vertAlign w:val="baseline"/>
        </w:rPr>
        <w:t> </w:t>
      </w:r>
      <w:r>
        <w:rPr>
          <w:sz w:val="21"/>
          <w:vertAlign w:val="baseline"/>
        </w:rPr>
        <w:t>low</w:t>
      </w:r>
      <w:r>
        <w:rPr>
          <w:spacing w:val="-6"/>
          <w:sz w:val="21"/>
          <w:vertAlign w:val="baseline"/>
        </w:rPr>
        <w:t> </w:t>
      </w:r>
      <w:r>
        <w:rPr>
          <w:sz w:val="21"/>
          <w:vertAlign w:val="baseline"/>
        </w:rPr>
        <w:t>reimbursement</w:t>
      </w:r>
      <w:hyperlink w:history="true" w:anchor="_bookmark176">
        <w:r>
          <w:rPr>
            <w:sz w:val="21"/>
            <w:vertAlign w:val="baseline"/>
          </w:rPr>
          <w:t>.</w:t>
        </w:r>
        <w:r>
          <w:rPr>
            <w:sz w:val="21"/>
            <w:vertAlign w:val="superscript"/>
          </w:rPr>
          <w:t>80</w:t>
        </w:r>
      </w:hyperlink>
      <w:r>
        <w:rPr>
          <w:spacing w:val="-6"/>
          <w:sz w:val="21"/>
          <w:vertAlign w:val="baseline"/>
        </w:rPr>
        <w:t> </w:t>
      </w:r>
      <w:r>
        <w:rPr>
          <w:sz w:val="21"/>
          <w:vertAlign w:val="baseline"/>
        </w:rPr>
        <w:t>As</w:t>
      </w:r>
      <w:r>
        <w:rPr>
          <w:spacing w:val="-6"/>
          <w:sz w:val="21"/>
          <w:vertAlign w:val="baseline"/>
        </w:rPr>
        <w:t> </w:t>
      </w:r>
      <w:r>
        <w:rPr>
          <w:sz w:val="21"/>
          <w:vertAlign w:val="baseline"/>
        </w:rPr>
        <w:t>a</w:t>
      </w:r>
      <w:r>
        <w:rPr>
          <w:spacing w:val="-5"/>
          <w:sz w:val="21"/>
          <w:vertAlign w:val="baseline"/>
        </w:rPr>
        <w:t> </w:t>
      </w:r>
      <w:r>
        <w:rPr>
          <w:sz w:val="21"/>
          <w:vertAlign w:val="baseline"/>
        </w:rPr>
        <w:t>result,</w:t>
      </w:r>
      <w:r>
        <w:rPr>
          <w:spacing w:val="-5"/>
          <w:sz w:val="21"/>
          <w:vertAlign w:val="baseline"/>
        </w:rPr>
        <w:t> </w:t>
      </w:r>
      <w:r>
        <w:rPr>
          <w:sz w:val="21"/>
          <w:vertAlign w:val="baseline"/>
        </w:rPr>
        <w:t>community</w:t>
      </w:r>
      <w:r>
        <w:rPr>
          <w:spacing w:val="-6"/>
          <w:sz w:val="21"/>
          <w:vertAlign w:val="baseline"/>
        </w:rPr>
        <w:t> </w:t>
      </w:r>
      <w:r>
        <w:rPr>
          <w:sz w:val="21"/>
          <w:vertAlign w:val="baseline"/>
        </w:rPr>
        <w:t>mental</w:t>
      </w:r>
      <w:r>
        <w:rPr>
          <w:spacing w:val="-6"/>
          <w:sz w:val="21"/>
          <w:vertAlign w:val="baseline"/>
        </w:rPr>
        <w:t> </w:t>
      </w:r>
      <w:r>
        <w:rPr>
          <w:sz w:val="21"/>
          <w:vertAlign w:val="baseline"/>
        </w:rPr>
        <w:t>health</w:t>
      </w:r>
      <w:r>
        <w:rPr>
          <w:spacing w:val="-6"/>
          <w:sz w:val="21"/>
          <w:vertAlign w:val="baseline"/>
        </w:rPr>
        <w:t> </w:t>
      </w:r>
      <w:r>
        <w:rPr>
          <w:sz w:val="21"/>
          <w:vertAlign w:val="baseline"/>
        </w:rPr>
        <w:t>centers</w:t>
      </w:r>
      <w:r>
        <w:rPr>
          <w:spacing w:val="-7"/>
          <w:sz w:val="21"/>
          <w:vertAlign w:val="baseline"/>
        </w:rPr>
        <w:t> </w:t>
      </w:r>
      <w:r>
        <w:rPr>
          <w:sz w:val="21"/>
          <w:vertAlign w:val="baseline"/>
        </w:rPr>
        <w:t>and</w:t>
      </w:r>
      <w:r>
        <w:rPr>
          <w:spacing w:val="-6"/>
          <w:sz w:val="21"/>
          <w:vertAlign w:val="baseline"/>
        </w:rPr>
        <w:t> </w:t>
      </w:r>
      <w:r>
        <w:rPr>
          <w:sz w:val="21"/>
          <w:vertAlign w:val="baseline"/>
        </w:rPr>
        <w:t>clinicians</w:t>
      </w:r>
      <w:r>
        <w:rPr>
          <w:spacing w:val="-6"/>
          <w:sz w:val="21"/>
          <w:vertAlign w:val="baseline"/>
        </w:rPr>
        <w:t> </w:t>
      </w:r>
      <w:r>
        <w:rPr>
          <w:sz w:val="21"/>
          <w:vertAlign w:val="baseline"/>
        </w:rPr>
        <w:t>who</w:t>
      </w:r>
      <w:r>
        <w:rPr>
          <w:spacing w:val="-6"/>
          <w:sz w:val="21"/>
          <w:vertAlign w:val="baseline"/>
        </w:rPr>
        <w:t> </w:t>
      </w:r>
      <w:r>
        <w:rPr>
          <w:sz w:val="21"/>
          <w:vertAlign w:val="baseline"/>
        </w:rPr>
        <w:t>do</w:t>
      </w:r>
      <w:r>
        <w:rPr>
          <w:spacing w:val="-6"/>
          <w:sz w:val="21"/>
          <w:vertAlign w:val="baseline"/>
        </w:rPr>
        <w:t> </w:t>
      </w:r>
      <w:r>
        <w:rPr>
          <w:sz w:val="21"/>
          <w:vertAlign w:val="baseline"/>
        </w:rPr>
        <w:t>accept insurance have increasingly long waitlists. Additionally, the traditional model of mental healthcare requires youth</w:t>
      </w:r>
      <w:r>
        <w:rPr>
          <w:spacing w:val="-1"/>
          <w:sz w:val="21"/>
          <w:vertAlign w:val="baseline"/>
        </w:rPr>
        <w:t> </w:t>
      </w:r>
      <w:r>
        <w:rPr>
          <w:sz w:val="21"/>
          <w:vertAlign w:val="baseline"/>
        </w:rPr>
        <w:t>to</w:t>
      </w:r>
      <w:r>
        <w:rPr>
          <w:spacing w:val="-1"/>
          <w:sz w:val="21"/>
          <w:vertAlign w:val="baseline"/>
        </w:rPr>
        <w:t> </w:t>
      </w:r>
      <w:r>
        <w:rPr>
          <w:sz w:val="21"/>
          <w:vertAlign w:val="baseline"/>
        </w:rPr>
        <w:t>commute</w:t>
      </w:r>
      <w:r>
        <w:rPr>
          <w:spacing w:val="-2"/>
          <w:sz w:val="21"/>
          <w:vertAlign w:val="baseline"/>
        </w:rPr>
        <w:t> </w:t>
      </w:r>
      <w:r>
        <w:rPr>
          <w:sz w:val="21"/>
          <w:vertAlign w:val="baseline"/>
        </w:rPr>
        <w:t>to</w:t>
      </w:r>
      <w:r>
        <w:rPr>
          <w:spacing w:val="-1"/>
          <w:sz w:val="21"/>
          <w:vertAlign w:val="baseline"/>
        </w:rPr>
        <w:t> </w:t>
      </w:r>
      <w:r>
        <w:rPr>
          <w:sz w:val="21"/>
          <w:vertAlign w:val="baseline"/>
        </w:rPr>
        <w:t>receive</w:t>
      </w:r>
      <w:r>
        <w:rPr>
          <w:spacing w:val="-1"/>
          <w:sz w:val="21"/>
          <w:vertAlign w:val="baseline"/>
        </w:rPr>
        <w:t> </w:t>
      </w:r>
      <w:r>
        <w:rPr>
          <w:sz w:val="21"/>
          <w:vertAlign w:val="baseline"/>
        </w:rPr>
        <w:t>in-person, individual</w:t>
      </w:r>
      <w:r>
        <w:rPr>
          <w:spacing w:val="-1"/>
          <w:sz w:val="21"/>
          <w:vertAlign w:val="baseline"/>
        </w:rPr>
        <w:t> </w:t>
      </w:r>
      <w:r>
        <w:rPr>
          <w:sz w:val="21"/>
          <w:vertAlign w:val="baseline"/>
        </w:rPr>
        <w:t>support from professionals</w:t>
      </w:r>
      <w:r>
        <w:rPr>
          <w:spacing w:val="-1"/>
          <w:sz w:val="21"/>
          <w:vertAlign w:val="baseline"/>
        </w:rPr>
        <w:t> </w:t>
      </w:r>
      <w:r>
        <w:rPr>
          <w:sz w:val="21"/>
          <w:vertAlign w:val="baseline"/>
        </w:rPr>
        <w:t>with years</w:t>
      </w:r>
      <w:r>
        <w:rPr>
          <w:spacing w:val="-1"/>
          <w:sz w:val="21"/>
          <w:vertAlign w:val="baseline"/>
        </w:rPr>
        <w:t> </w:t>
      </w:r>
      <w:r>
        <w:rPr>
          <w:sz w:val="21"/>
          <w:vertAlign w:val="baseline"/>
        </w:rPr>
        <w:t>of</w:t>
      </w:r>
      <w:r>
        <w:rPr>
          <w:spacing w:val="-1"/>
          <w:sz w:val="21"/>
          <w:vertAlign w:val="baseline"/>
        </w:rPr>
        <w:t> </w:t>
      </w:r>
      <w:r>
        <w:rPr>
          <w:sz w:val="21"/>
          <w:vertAlign w:val="baseline"/>
        </w:rPr>
        <w:t>expensive</w:t>
      </w:r>
      <w:r>
        <w:rPr>
          <w:spacing w:val="-1"/>
          <w:sz w:val="21"/>
          <w:vertAlign w:val="baseline"/>
        </w:rPr>
        <w:t> </w:t>
      </w:r>
      <w:r>
        <w:rPr>
          <w:sz w:val="21"/>
          <w:vertAlign w:val="baseline"/>
        </w:rPr>
        <w:t>training. This</w:t>
      </w:r>
      <w:r>
        <w:rPr>
          <w:spacing w:val="-4"/>
          <w:sz w:val="21"/>
          <w:vertAlign w:val="baseline"/>
        </w:rPr>
        <w:t> </w:t>
      </w:r>
      <w:r>
        <w:rPr>
          <w:sz w:val="21"/>
          <w:vertAlign w:val="baseline"/>
        </w:rPr>
        <w:t>makes</w:t>
      </w:r>
      <w:r>
        <w:rPr>
          <w:spacing w:val="-4"/>
          <w:sz w:val="21"/>
          <w:vertAlign w:val="baseline"/>
        </w:rPr>
        <w:t> </w:t>
      </w:r>
      <w:r>
        <w:rPr>
          <w:sz w:val="21"/>
          <w:vertAlign w:val="baseline"/>
        </w:rPr>
        <w:t>care</w:t>
      </w:r>
      <w:r>
        <w:rPr>
          <w:spacing w:val="-3"/>
          <w:sz w:val="21"/>
          <w:vertAlign w:val="baseline"/>
        </w:rPr>
        <w:t> </w:t>
      </w:r>
      <w:r>
        <w:rPr>
          <w:sz w:val="21"/>
          <w:vertAlign w:val="baseline"/>
        </w:rPr>
        <w:t>inconvenient,</w:t>
      </w:r>
      <w:r>
        <w:rPr>
          <w:spacing w:val="-3"/>
          <w:sz w:val="21"/>
          <w:vertAlign w:val="baseline"/>
        </w:rPr>
        <w:t> </w:t>
      </w:r>
      <w:r>
        <w:rPr>
          <w:sz w:val="21"/>
          <w:vertAlign w:val="baseline"/>
        </w:rPr>
        <w:t>slow,</w:t>
      </w:r>
      <w:r>
        <w:rPr>
          <w:spacing w:val="-3"/>
          <w:sz w:val="21"/>
          <w:vertAlign w:val="baseline"/>
        </w:rPr>
        <w:t> </w:t>
      </w:r>
      <w:r>
        <w:rPr>
          <w:sz w:val="21"/>
          <w:vertAlign w:val="baseline"/>
        </w:rPr>
        <w:t>and</w:t>
      </w:r>
      <w:r>
        <w:rPr>
          <w:spacing w:val="-5"/>
          <w:sz w:val="21"/>
          <w:vertAlign w:val="baseline"/>
        </w:rPr>
        <w:t> </w:t>
      </w:r>
      <w:r>
        <w:rPr>
          <w:sz w:val="21"/>
          <w:vertAlign w:val="baseline"/>
        </w:rPr>
        <w:t>harder</w:t>
      </w:r>
      <w:r>
        <w:rPr>
          <w:spacing w:val="-3"/>
          <w:sz w:val="21"/>
          <w:vertAlign w:val="baseline"/>
        </w:rPr>
        <w:t> </w:t>
      </w:r>
      <w:r>
        <w:rPr>
          <w:sz w:val="21"/>
          <w:vertAlign w:val="baseline"/>
        </w:rPr>
        <w:t>to</w:t>
      </w:r>
      <w:r>
        <w:rPr>
          <w:spacing w:val="-3"/>
          <w:sz w:val="21"/>
          <w:vertAlign w:val="baseline"/>
        </w:rPr>
        <w:t> </w:t>
      </w:r>
      <w:r>
        <w:rPr>
          <w:sz w:val="21"/>
          <w:vertAlign w:val="baseline"/>
        </w:rPr>
        <w:t>find</w:t>
      </w:r>
      <w:r>
        <w:rPr>
          <w:spacing w:val="-5"/>
          <w:sz w:val="21"/>
          <w:vertAlign w:val="baseline"/>
        </w:rPr>
        <w:t> </w:t>
      </w:r>
      <w:r>
        <w:rPr>
          <w:sz w:val="21"/>
          <w:vertAlign w:val="baseline"/>
        </w:rPr>
        <w:t>–</w:t>
      </w:r>
      <w:r>
        <w:rPr>
          <w:spacing w:val="-3"/>
          <w:sz w:val="21"/>
          <w:vertAlign w:val="baseline"/>
        </w:rPr>
        <w:t> </w:t>
      </w:r>
      <w:r>
        <w:rPr>
          <w:sz w:val="21"/>
          <w:vertAlign w:val="baseline"/>
        </w:rPr>
        <w:t>especially</w:t>
      </w:r>
      <w:r>
        <w:rPr>
          <w:spacing w:val="-3"/>
          <w:sz w:val="21"/>
          <w:vertAlign w:val="baseline"/>
        </w:rPr>
        <w:t> </w:t>
      </w:r>
      <w:r>
        <w:rPr>
          <w:sz w:val="21"/>
          <w:vertAlign w:val="baseline"/>
        </w:rPr>
        <w:t>for</w:t>
      </w:r>
      <w:r>
        <w:rPr>
          <w:spacing w:val="-3"/>
          <w:sz w:val="21"/>
          <w:vertAlign w:val="baseline"/>
        </w:rPr>
        <w:t> </w:t>
      </w:r>
      <w:r>
        <w:rPr>
          <w:sz w:val="21"/>
          <w:vertAlign w:val="baseline"/>
        </w:rPr>
        <w:t>youth</w:t>
      </w:r>
      <w:r>
        <w:rPr>
          <w:spacing w:val="-3"/>
          <w:sz w:val="21"/>
          <w:vertAlign w:val="baseline"/>
        </w:rPr>
        <w:t> </w:t>
      </w:r>
      <w:r>
        <w:rPr>
          <w:sz w:val="21"/>
          <w:vertAlign w:val="baseline"/>
        </w:rPr>
        <w:t>with</w:t>
      </w:r>
      <w:r>
        <w:rPr>
          <w:spacing w:val="-4"/>
          <w:sz w:val="21"/>
          <w:vertAlign w:val="baseline"/>
        </w:rPr>
        <w:t> </w:t>
      </w:r>
      <w:r>
        <w:rPr>
          <w:sz w:val="21"/>
          <w:vertAlign w:val="baseline"/>
        </w:rPr>
        <w:t>rural</w:t>
      </w:r>
      <w:r>
        <w:rPr>
          <w:spacing w:val="-3"/>
          <w:sz w:val="21"/>
          <w:vertAlign w:val="baseline"/>
        </w:rPr>
        <w:t> </w:t>
      </w:r>
      <w:r>
        <w:rPr>
          <w:sz w:val="21"/>
          <w:vertAlign w:val="baseline"/>
        </w:rPr>
        <w:t>areas,</w:t>
      </w:r>
      <w:r>
        <w:rPr>
          <w:spacing w:val="-3"/>
          <w:sz w:val="21"/>
          <w:vertAlign w:val="baseline"/>
        </w:rPr>
        <w:t> </w:t>
      </w:r>
      <w:r>
        <w:rPr>
          <w:sz w:val="21"/>
          <w:vertAlign w:val="baseline"/>
        </w:rPr>
        <w:t>childcare</w:t>
      </w:r>
      <w:r>
        <w:rPr>
          <w:spacing w:val="-3"/>
          <w:sz w:val="21"/>
          <w:vertAlign w:val="baseline"/>
        </w:rPr>
        <w:t> </w:t>
      </w:r>
      <w:r>
        <w:rPr>
          <w:sz w:val="21"/>
          <w:vertAlign w:val="baseline"/>
        </w:rPr>
        <w:t>or</w:t>
      </w:r>
      <w:r>
        <w:rPr>
          <w:spacing w:val="-3"/>
          <w:sz w:val="21"/>
          <w:vertAlign w:val="baseline"/>
        </w:rPr>
        <w:t> </w:t>
      </w:r>
      <w:r>
        <w:rPr>
          <w:sz w:val="21"/>
          <w:vertAlign w:val="baseline"/>
        </w:rPr>
        <w:t>work responsibilities, or non-affirming guardians. Supporters of LGBTQ youth should advocate for policies that support simplicity, patients’ rights, fair compensation of MHPs, and greater access to insurance.</w:t>
      </w:r>
    </w:p>
    <w:p>
      <w:pPr>
        <w:spacing w:line="276" w:lineRule="auto" w:before="238"/>
        <w:ind w:left="463" w:right="242" w:firstLine="0"/>
        <w:jc w:val="both"/>
        <w:rPr>
          <w:sz w:val="28"/>
        </w:rPr>
      </w:pPr>
      <w:bookmarkStart w:name="Fund Direct Mental Healthcare in K-12/Hi" w:id="254"/>
      <w:bookmarkEnd w:id="254"/>
      <w:r>
        <w:rPr/>
      </w:r>
      <w:r>
        <w:rPr>
          <w:color w:val="365F91"/>
          <w:sz w:val="28"/>
        </w:rPr>
        <w:t>Fund</w:t>
      </w:r>
      <w:r>
        <w:rPr>
          <w:color w:val="365F91"/>
          <w:spacing w:val="-7"/>
          <w:sz w:val="28"/>
        </w:rPr>
        <w:t> </w:t>
      </w:r>
      <w:r>
        <w:rPr>
          <w:color w:val="365F91"/>
          <w:sz w:val="28"/>
        </w:rPr>
        <w:t>Direct</w:t>
      </w:r>
      <w:r>
        <w:rPr>
          <w:color w:val="365F91"/>
          <w:spacing w:val="-7"/>
          <w:sz w:val="28"/>
        </w:rPr>
        <w:t> </w:t>
      </w:r>
      <w:r>
        <w:rPr>
          <w:color w:val="365F91"/>
          <w:sz w:val="28"/>
        </w:rPr>
        <w:t>Mental</w:t>
      </w:r>
      <w:r>
        <w:rPr>
          <w:color w:val="365F91"/>
          <w:spacing w:val="-6"/>
          <w:sz w:val="28"/>
        </w:rPr>
        <w:t> </w:t>
      </w:r>
      <w:r>
        <w:rPr>
          <w:color w:val="365F91"/>
          <w:sz w:val="28"/>
        </w:rPr>
        <w:t>Healthcare</w:t>
      </w:r>
      <w:r>
        <w:rPr>
          <w:color w:val="365F91"/>
          <w:spacing w:val="-6"/>
          <w:sz w:val="28"/>
        </w:rPr>
        <w:t> </w:t>
      </w:r>
      <w:r>
        <w:rPr>
          <w:color w:val="365F91"/>
          <w:sz w:val="28"/>
        </w:rPr>
        <w:t>in</w:t>
      </w:r>
      <w:r>
        <w:rPr>
          <w:color w:val="365F91"/>
          <w:spacing w:val="-7"/>
          <w:sz w:val="28"/>
        </w:rPr>
        <w:t> </w:t>
      </w:r>
      <w:r>
        <w:rPr>
          <w:color w:val="365F91"/>
          <w:sz w:val="28"/>
        </w:rPr>
        <w:t>K-12/Higher</w:t>
      </w:r>
      <w:r>
        <w:rPr>
          <w:color w:val="365F91"/>
          <w:spacing w:val="-7"/>
          <w:sz w:val="28"/>
        </w:rPr>
        <w:t> </w:t>
      </w:r>
      <w:r>
        <w:rPr>
          <w:color w:val="365F91"/>
          <w:sz w:val="28"/>
        </w:rPr>
        <w:t>Education,</w:t>
      </w:r>
      <w:r>
        <w:rPr>
          <w:color w:val="365F91"/>
          <w:spacing w:val="-7"/>
          <w:sz w:val="28"/>
        </w:rPr>
        <w:t> </w:t>
      </w:r>
      <w:r>
        <w:rPr>
          <w:color w:val="365F91"/>
          <w:sz w:val="28"/>
        </w:rPr>
        <w:t>Juvenile</w:t>
      </w:r>
      <w:r>
        <w:rPr>
          <w:color w:val="365F91"/>
          <w:spacing w:val="-6"/>
          <w:sz w:val="28"/>
        </w:rPr>
        <w:t> </w:t>
      </w:r>
      <w:r>
        <w:rPr>
          <w:color w:val="365F91"/>
          <w:sz w:val="28"/>
        </w:rPr>
        <w:t>Justice,</w:t>
      </w:r>
      <w:r>
        <w:rPr>
          <w:color w:val="365F91"/>
          <w:spacing w:val="-7"/>
          <w:sz w:val="28"/>
        </w:rPr>
        <w:t> </w:t>
      </w:r>
      <w:r>
        <w:rPr>
          <w:color w:val="365F91"/>
          <w:sz w:val="28"/>
        </w:rPr>
        <w:t>and</w:t>
      </w:r>
      <w:r>
        <w:rPr>
          <w:color w:val="365F91"/>
          <w:spacing w:val="-7"/>
          <w:sz w:val="28"/>
        </w:rPr>
        <w:t> </w:t>
      </w:r>
      <w:r>
        <w:rPr>
          <w:color w:val="365F91"/>
          <w:sz w:val="28"/>
        </w:rPr>
        <w:t>Child </w:t>
      </w:r>
      <w:r>
        <w:rPr>
          <w:color w:val="365F91"/>
          <w:spacing w:val="-2"/>
          <w:sz w:val="28"/>
        </w:rPr>
        <w:t>Welfare</w:t>
      </w:r>
    </w:p>
    <w:p>
      <w:pPr>
        <w:spacing w:line="276" w:lineRule="auto" w:before="241"/>
        <w:ind w:left="3673" w:right="240" w:firstLine="0"/>
        <w:jc w:val="both"/>
        <w:rPr>
          <w:sz w:val="21"/>
        </w:rPr>
      </w:pPr>
      <w:r>
        <w:rPr/>
        <w:drawing>
          <wp:anchor distT="0" distB="0" distL="0" distR="0" allowOverlap="1" layoutInCell="1" locked="0" behindDoc="0" simplePos="0" relativeHeight="15765504">
            <wp:simplePos x="0" y="0"/>
            <wp:positionH relativeFrom="page">
              <wp:posOffset>825500</wp:posOffset>
            </wp:positionH>
            <wp:positionV relativeFrom="paragraph">
              <wp:posOffset>166999</wp:posOffset>
            </wp:positionV>
            <wp:extent cx="2029396" cy="1362074"/>
            <wp:effectExtent l="0" t="0" r="0" b="0"/>
            <wp:wrapNone/>
            <wp:docPr id="239" name="Image 239" descr="A quote on a white background  Description automatically generated "/>
            <wp:cNvGraphicFramePr>
              <a:graphicFrameLocks/>
            </wp:cNvGraphicFramePr>
            <a:graphic>
              <a:graphicData uri="http://schemas.openxmlformats.org/drawingml/2006/picture">
                <pic:pic>
                  <pic:nvPicPr>
                    <pic:cNvPr id="239" name="Image 239" descr="A quote on a white background  Description automatically generated "/>
                    <pic:cNvPicPr/>
                  </pic:nvPicPr>
                  <pic:blipFill>
                    <a:blip r:embed="rId187" cstate="print"/>
                    <a:stretch>
                      <a:fillRect/>
                    </a:stretch>
                  </pic:blipFill>
                  <pic:spPr>
                    <a:xfrm>
                      <a:off x="0" y="0"/>
                      <a:ext cx="2029396" cy="1362074"/>
                    </a:xfrm>
                    <a:prstGeom prst="rect">
                      <a:avLst/>
                    </a:prstGeom>
                  </pic:spPr>
                </pic:pic>
              </a:graphicData>
            </a:graphic>
          </wp:anchor>
        </w:drawing>
      </w:r>
      <w:r>
        <w:rPr>
          <w:sz w:val="21"/>
        </w:rPr>
        <w:t>Although it is vital for all LGBTQ youth to have access to mental health support</w:t>
      </w:r>
      <w:r>
        <w:rPr>
          <w:spacing w:val="-5"/>
          <w:sz w:val="21"/>
        </w:rPr>
        <w:t> </w:t>
      </w:r>
      <w:r>
        <w:rPr>
          <w:sz w:val="21"/>
        </w:rPr>
        <w:t>in</w:t>
      </w:r>
      <w:r>
        <w:rPr>
          <w:spacing w:val="-5"/>
          <w:sz w:val="21"/>
        </w:rPr>
        <w:t> </w:t>
      </w:r>
      <w:r>
        <w:rPr>
          <w:sz w:val="21"/>
        </w:rPr>
        <w:t>schools,</w:t>
      </w:r>
      <w:r>
        <w:rPr>
          <w:spacing w:val="-5"/>
          <w:sz w:val="21"/>
        </w:rPr>
        <w:t> </w:t>
      </w:r>
      <w:r>
        <w:rPr>
          <w:sz w:val="21"/>
        </w:rPr>
        <w:t>not</w:t>
      </w:r>
      <w:r>
        <w:rPr>
          <w:spacing w:val="-5"/>
          <w:sz w:val="21"/>
        </w:rPr>
        <w:t> </w:t>
      </w:r>
      <w:r>
        <w:rPr>
          <w:sz w:val="21"/>
        </w:rPr>
        <w:t>all</w:t>
      </w:r>
      <w:r>
        <w:rPr>
          <w:spacing w:val="-5"/>
          <w:sz w:val="21"/>
        </w:rPr>
        <w:t> </w:t>
      </w:r>
      <w:r>
        <w:rPr>
          <w:sz w:val="21"/>
        </w:rPr>
        <w:t>youth</w:t>
      </w:r>
      <w:r>
        <w:rPr>
          <w:spacing w:val="-5"/>
          <w:sz w:val="21"/>
        </w:rPr>
        <w:t> </w:t>
      </w:r>
      <w:r>
        <w:rPr>
          <w:sz w:val="21"/>
        </w:rPr>
        <w:t>attend</w:t>
      </w:r>
      <w:r>
        <w:rPr>
          <w:spacing w:val="-5"/>
          <w:sz w:val="21"/>
        </w:rPr>
        <w:t> </w:t>
      </w:r>
      <w:r>
        <w:rPr>
          <w:sz w:val="21"/>
        </w:rPr>
        <w:t>school</w:t>
      </w:r>
      <w:r>
        <w:rPr>
          <w:spacing w:val="-5"/>
          <w:sz w:val="21"/>
        </w:rPr>
        <w:t> </w:t>
      </w:r>
      <w:r>
        <w:rPr>
          <w:sz w:val="21"/>
        </w:rPr>
        <w:t>or</w:t>
      </w:r>
      <w:r>
        <w:rPr>
          <w:spacing w:val="-5"/>
          <w:sz w:val="21"/>
        </w:rPr>
        <w:t> </w:t>
      </w:r>
      <w:r>
        <w:rPr>
          <w:sz w:val="21"/>
        </w:rPr>
        <w:t>feel</w:t>
      </w:r>
      <w:r>
        <w:rPr>
          <w:spacing w:val="-5"/>
          <w:sz w:val="21"/>
        </w:rPr>
        <w:t> </w:t>
      </w:r>
      <w:r>
        <w:rPr>
          <w:sz w:val="21"/>
        </w:rPr>
        <w:t>supported</w:t>
      </w:r>
      <w:r>
        <w:rPr>
          <w:spacing w:val="-5"/>
          <w:sz w:val="21"/>
        </w:rPr>
        <w:t> </w:t>
      </w:r>
      <w:r>
        <w:rPr>
          <w:sz w:val="21"/>
        </w:rPr>
        <w:t>by</w:t>
      </w:r>
      <w:r>
        <w:rPr>
          <w:spacing w:val="-6"/>
          <w:sz w:val="21"/>
        </w:rPr>
        <w:t> </w:t>
      </w:r>
      <w:r>
        <w:rPr>
          <w:sz w:val="21"/>
        </w:rPr>
        <w:t>MHPs in school. Youth who are involved in juvenile justice and child welfare systems</w:t>
      </w:r>
      <w:r>
        <w:rPr>
          <w:spacing w:val="-12"/>
          <w:sz w:val="21"/>
        </w:rPr>
        <w:t> </w:t>
      </w:r>
      <w:r>
        <w:rPr>
          <w:sz w:val="21"/>
        </w:rPr>
        <w:t>deserve</w:t>
      </w:r>
      <w:r>
        <w:rPr>
          <w:spacing w:val="-12"/>
          <w:sz w:val="21"/>
        </w:rPr>
        <w:t> </w:t>
      </w:r>
      <w:r>
        <w:rPr>
          <w:sz w:val="21"/>
        </w:rPr>
        <w:t>specialized</w:t>
      </w:r>
      <w:r>
        <w:rPr>
          <w:spacing w:val="-12"/>
          <w:sz w:val="21"/>
        </w:rPr>
        <w:t> </w:t>
      </w:r>
      <w:r>
        <w:rPr>
          <w:sz w:val="21"/>
        </w:rPr>
        <w:t>support.</w:t>
      </w:r>
      <w:r>
        <w:rPr>
          <w:spacing w:val="-12"/>
          <w:sz w:val="21"/>
        </w:rPr>
        <w:t> </w:t>
      </w:r>
      <w:r>
        <w:rPr>
          <w:sz w:val="21"/>
        </w:rPr>
        <w:t>Starting</w:t>
      </w:r>
      <w:r>
        <w:rPr>
          <w:spacing w:val="-12"/>
          <w:sz w:val="21"/>
        </w:rPr>
        <w:t> </w:t>
      </w:r>
      <w:r>
        <w:rPr>
          <w:sz w:val="21"/>
        </w:rPr>
        <w:t>with</w:t>
      </w:r>
      <w:r>
        <w:rPr>
          <w:spacing w:val="-12"/>
          <w:sz w:val="21"/>
        </w:rPr>
        <w:t> </w:t>
      </w:r>
      <w:r>
        <w:rPr>
          <w:sz w:val="21"/>
        </w:rPr>
        <w:t>foster</w:t>
      </w:r>
      <w:r>
        <w:rPr>
          <w:spacing w:val="-12"/>
          <w:sz w:val="21"/>
        </w:rPr>
        <w:t> </w:t>
      </w:r>
      <w:r>
        <w:rPr>
          <w:sz w:val="21"/>
        </w:rPr>
        <w:t>care,</w:t>
      </w:r>
      <w:r>
        <w:rPr>
          <w:spacing w:val="-11"/>
          <w:sz w:val="21"/>
        </w:rPr>
        <w:t> </w:t>
      </w:r>
      <w:r>
        <w:rPr>
          <w:sz w:val="21"/>
        </w:rPr>
        <w:t>current</w:t>
      </w:r>
      <w:r>
        <w:rPr>
          <w:spacing w:val="-12"/>
          <w:sz w:val="21"/>
        </w:rPr>
        <w:t> </w:t>
      </w:r>
      <w:r>
        <w:rPr>
          <w:sz w:val="21"/>
        </w:rPr>
        <w:t>and former foster youth have been vocal for decades about what they want and need.</w:t>
      </w:r>
    </w:p>
    <w:p>
      <w:pPr>
        <w:spacing w:line="276" w:lineRule="auto" w:before="240"/>
        <w:ind w:left="3673" w:right="240" w:firstLine="0"/>
        <w:jc w:val="both"/>
        <w:rPr>
          <w:sz w:val="21"/>
        </w:rPr>
      </w:pPr>
      <w:r>
        <w:rPr>
          <w:sz w:val="21"/>
        </w:rPr>
        <w:t>First, foster youth have asked for foster families and child welfare professionals</w:t>
      </w:r>
      <w:r>
        <w:rPr>
          <w:spacing w:val="5"/>
          <w:sz w:val="21"/>
        </w:rPr>
        <w:t> </w:t>
      </w:r>
      <w:r>
        <w:rPr>
          <w:sz w:val="21"/>
        </w:rPr>
        <w:t>to</w:t>
      </w:r>
      <w:r>
        <w:rPr>
          <w:spacing w:val="6"/>
          <w:sz w:val="21"/>
        </w:rPr>
        <w:t> </w:t>
      </w:r>
      <w:r>
        <w:rPr>
          <w:sz w:val="21"/>
        </w:rPr>
        <w:t>be</w:t>
      </w:r>
      <w:r>
        <w:rPr>
          <w:spacing w:val="6"/>
          <w:sz w:val="21"/>
        </w:rPr>
        <w:t> </w:t>
      </w:r>
      <w:r>
        <w:rPr>
          <w:sz w:val="21"/>
        </w:rPr>
        <w:t>trained</w:t>
      </w:r>
      <w:r>
        <w:rPr>
          <w:spacing w:val="6"/>
          <w:sz w:val="21"/>
        </w:rPr>
        <w:t> </w:t>
      </w:r>
      <w:r>
        <w:rPr>
          <w:sz w:val="21"/>
        </w:rPr>
        <w:t>to</w:t>
      </w:r>
      <w:r>
        <w:rPr>
          <w:spacing w:val="6"/>
          <w:sz w:val="21"/>
        </w:rPr>
        <w:t> </w:t>
      </w:r>
      <w:r>
        <w:rPr>
          <w:sz w:val="21"/>
        </w:rPr>
        <w:t>be</w:t>
      </w:r>
      <w:r>
        <w:rPr>
          <w:spacing w:val="6"/>
          <w:sz w:val="21"/>
        </w:rPr>
        <w:t> </w:t>
      </w:r>
      <w:r>
        <w:rPr>
          <w:sz w:val="21"/>
        </w:rPr>
        <w:t>trauma-informed</w:t>
      </w:r>
      <w:r>
        <w:rPr>
          <w:spacing w:val="7"/>
          <w:sz w:val="21"/>
        </w:rPr>
        <w:t> </w:t>
      </w:r>
      <w:r>
        <w:rPr>
          <w:sz w:val="21"/>
        </w:rPr>
        <w:t>and</w:t>
      </w:r>
      <w:r>
        <w:rPr>
          <w:spacing w:val="7"/>
          <w:sz w:val="21"/>
        </w:rPr>
        <w:t> </w:t>
      </w:r>
      <w:r>
        <w:rPr>
          <w:sz w:val="21"/>
        </w:rPr>
        <w:t>LGBTQ-</w:t>
      </w:r>
      <w:r>
        <w:rPr>
          <w:spacing w:val="-2"/>
          <w:sz w:val="21"/>
        </w:rPr>
        <w:t>affirming.</w:t>
      </w:r>
    </w:p>
    <w:p>
      <w:pPr>
        <w:spacing w:line="276" w:lineRule="auto" w:before="1"/>
        <w:ind w:left="463" w:right="240" w:firstLine="0"/>
        <w:jc w:val="both"/>
        <w:rPr>
          <w:sz w:val="21"/>
        </w:rPr>
      </w:pPr>
      <w:r>
        <w:rPr>
          <w:sz w:val="21"/>
        </w:rPr>
        <w:t>They have also advocated for agencies to adopt enforceable anti- discrimination policies and clearly communicate youths’ rights and resources (such as DCF’s foster child bill of rights). Further, many youth have named</w:t>
      </w:r>
      <w:r>
        <w:rPr>
          <w:spacing w:val="-12"/>
          <w:sz w:val="21"/>
        </w:rPr>
        <w:t> </w:t>
      </w:r>
      <w:r>
        <w:rPr>
          <w:sz w:val="21"/>
        </w:rPr>
        <w:t>the</w:t>
      </w:r>
      <w:r>
        <w:rPr>
          <w:spacing w:val="-12"/>
          <w:sz w:val="21"/>
        </w:rPr>
        <w:t> </w:t>
      </w:r>
      <w:r>
        <w:rPr>
          <w:sz w:val="21"/>
        </w:rPr>
        <w:t>systemic</w:t>
      </w:r>
      <w:r>
        <w:rPr>
          <w:spacing w:val="-12"/>
          <w:sz w:val="21"/>
        </w:rPr>
        <w:t> </w:t>
      </w:r>
      <w:r>
        <w:rPr>
          <w:sz w:val="21"/>
        </w:rPr>
        <w:t>issues</w:t>
      </w:r>
      <w:r>
        <w:rPr>
          <w:spacing w:val="-12"/>
          <w:sz w:val="21"/>
        </w:rPr>
        <w:t> </w:t>
      </w:r>
      <w:r>
        <w:rPr>
          <w:sz w:val="21"/>
        </w:rPr>
        <w:t>with</w:t>
      </w:r>
      <w:r>
        <w:rPr>
          <w:spacing w:val="-12"/>
          <w:sz w:val="21"/>
        </w:rPr>
        <w:t> </w:t>
      </w:r>
      <w:r>
        <w:rPr>
          <w:sz w:val="21"/>
        </w:rPr>
        <w:t>“aging</w:t>
      </w:r>
      <w:r>
        <w:rPr>
          <w:spacing w:val="-12"/>
          <w:sz w:val="21"/>
        </w:rPr>
        <w:t> </w:t>
      </w:r>
      <w:r>
        <w:rPr>
          <w:sz w:val="21"/>
        </w:rPr>
        <w:t>out”</w:t>
      </w:r>
      <w:r>
        <w:rPr>
          <w:spacing w:val="-12"/>
          <w:sz w:val="21"/>
        </w:rPr>
        <w:t> </w:t>
      </w:r>
      <w:r>
        <w:rPr>
          <w:sz w:val="21"/>
        </w:rPr>
        <w:t>of</w:t>
      </w:r>
      <w:r>
        <w:rPr>
          <w:spacing w:val="-12"/>
          <w:sz w:val="21"/>
        </w:rPr>
        <w:t> </w:t>
      </w:r>
      <w:r>
        <w:rPr>
          <w:sz w:val="21"/>
        </w:rPr>
        <w:t>services.</w:t>
      </w:r>
      <w:r>
        <w:rPr>
          <w:spacing w:val="-12"/>
          <w:sz w:val="21"/>
        </w:rPr>
        <w:t> </w:t>
      </w:r>
      <w:r>
        <w:rPr>
          <w:sz w:val="21"/>
        </w:rPr>
        <w:t>This</w:t>
      </w:r>
      <w:r>
        <w:rPr>
          <w:spacing w:val="-12"/>
          <w:sz w:val="21"/>
        </w:rPr>
        <w:t> </w:t>
      </w:r>
      <w:r>
        <w:rPr>
          <w:sz w:val="21"/>
        </w:rPr>
        <w:t>leads</w:t>
      </w:r>
      <w:r>
        <w:rPr>
          <w:spacing w:val="-11"/>
          <w:sz w:val="21"/>
        </w:rPr>
        <w:t> </w:t>
      </w:r>
      <w:r>
        <w:rPr>
          <w:sz w:val="21"/>
        </w:rPr>
        <w:t>to</w:t>
      </w:r>
      <w:r>
        <w:rPr>
          <w:spacing w:val="-12"/>
          <w:sz w:val="21"/>
        </w:rPr>
        <w:t> </w:t>
      </w:r>
      <w:r>
        <w:rPr>
          <w:sz w:val="21"/>
        </w:rPr>
        <w:t>many</w:t>
      </w:r>
      <w:r>
        <w:rPr>
          <w:spacing w:val="-12"/>
          <w:sz w:val="21"/>
        </w:rPr>
        <w:t> </w:t>
      </w:r>
      <w:r>
        <w:rPr>
          <w:sz w:val="21"/>
        </w:rPr>
        <w:t>youth</w:t>
      </w:r>
      <w:r>
        <w:rPr>
          <w:spacing w:val="-12"/>
          <w:sz w:val="21"/>
        </w:rPr>
        <w:t> </w:t>
      </w:r>
      <w:r>
        <w:rPr>
          <w:sz w:val="21"/>
        </w:rPr>
        <w:t>becoming</w:t>
      </w:r>
      <w:r>
        <w:rPr>
          <w:spacing w:val="-12"/>
          <w:sz w:val="21"/>
        </w:rPr>
        <w:t> </w:t>
      </w:r>
      <w:r>
        <w:rPr>
          <w:sz w:val="21"/>
        </w:rPr>
        <w:t>unhoused</w:t>
      </w:r>
      <w:r>
        <w:rPr>
          <w:spacing w:val="-12"/>
          <w:sz w:val="21"/>
        </w:rPr>
        <w:t> </w:t>
      </w:r>
      <w:r>
        <w:rPr>
          <w:sz w:val="21"/>
        </w:rPr>
        <w:t>and</w:t>
      </w:r>
      <w:r>
        <w:rPr>
          <w:spacing w:val="-12"/>
          <w:sz w:val="21"/>
        </w:rPr>
        <w:t> </w:t>
      </w:r>
      <w:r>
        <w:rPr>
          <w:sz w:val="21"/>
        </w:rPr>
        <w:t>unsafe</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1" w:firstLine="0"/>
        <w:jc w:val="both"/>
        <w:rPr>
          <w:sz w:val="21"/>
        </w:rPr>
      </w:pPr>
      <w:r>
        <w:rPr>
          <w:sz w:val="21"/>
        </w:rPr>
        <w:t>or defaulting to living in restrictive, often dehumanizing, and potentially re-traumatizing residential care </w:t>
      </w:r>
      <w:r>
        <w:rPr>
          <w:spacing w:val="-2"/>
          <w:sz w:val="21"/>
        </w:rPr>
        <w:t>settings.</w:t>
      </w:r>
    </w:p>
    <w:p>
      <w:pPr>
        <w:spacing w:line="276" w:lineRule="auto" w:before="239"/>
        <w:ind w:left="463" w:right="239" w:firstLine="0"/>
        <w:jc w:val="both"/>
        <w:rPr>
          <w:sz w:val="21"/>
        </w:rPr>
      </w:pPr>
      <w:r>
        <w:rPr>
          <w:sz w:val="21"/>
        </w:rPr>
        <w:t>The</w:t>
      </w:r>
      <w:r>
        <w:rPr>
          <w:spacing w:val="-12"/>
          <w:sz w:val="21"/>
        </w:rPr>
        <w:t> </w:t>
      </w:r>
      <w:r>
        <w:rPr>
          <w:sz w:val="21"/>
        </w:rPr>
        <w:t>Commission’s</w:t>
      </w:r>
      <w:r>
        <w:rPr>
          <w:spacing w:val="-12"/>
          <w:sz w:val="21"/>
        </w:rPr>
        <w:t> </w:t>
      </w:r>
      <w:r>
        <w:rPr>
          <w:sz w:val="21"/>
        </w:rPr>
        <w:t>2021</w:t>
      </w:r>
      <w:r>
        <w:rPr>
          <w:spacing w:val="-12"/>
          <w:sz w:val="21"/>
        </w:rPr>
        <w:t> </w:t>
      </w:r>
      <w:r>
        <w:rPr>
          <w:sz w:val="21"/>
        </w:rPr>
        <w:t>report,</w:t>
      </w:r>
      <w:r>
        <w:rPr>
          <w:spacing w:val="-12"/>
          <w:sz w:val="21"/>
        </w:rPr>
        <w:t> </w:t>
      </w:r>
      <w:r>
        <w:rPr>
          <w:sz w:val="21"/>
        </w:rPr>
        <w:t>“LGBTQ</w:t>
      </w:r>
      <w:r>
        <w:rPr>
          <w:spacing w:val="-12"/>
          <w:sz w:val="21"/>
        </w:rPr>
        <w:t> </w:t>
      </w:r>
      <w:r>
        <w:rPr>
          <w:sz w:val="21"/>
        </w:rPr>
        <w:t>Youth</w:t>
      </w:r>
      <w:r>
        <w:rPr>
          <w:spacing w:val="-12"/>
          <w:sz w:val="21"/>
        </w:rPr>
        <w:t> </w:t>
      </w:r>
      <w:r>
        <w:rPr>
          <w:sz w:val="21"/>
        </w:rPr>
        <w:t>in</w:t>
      </w:r>
      <w:r>
        <w:rPr>
          <w:spacing w:val="-12"/>
          <w:sz w:val="21"/>
        </w:rPr>
        <w:t> </w:t>
      </w:r>
      <w:r>
        <w:rPr>
          <w:sz w:val="21"/>
        </w:rPr>
        <w:t>the</w:t>
      </w:r>
      <w:r>
        <w:rPr>
          <w:spacing w:val="-11"/>
          <w:sz w:val="21"/>
        </w:rPr>
        <w:t> </w:t>
      </w:r>
      <w:r>
        <w:rPr>
          <w:sz w:val="21"/>
        </w:rPr>
        <w:t>Massachusetts</w:t>
      </w:r>
      <w:r>
        <w:rPr>
          <w:spacing w:val="-12"/>
          <w:sz w:val="21"/>
        </w:rPr>
        <w:t> </w:t>
      </w:r>
      <w:r>
        <w:rPr>
          <w:sz w:val="21"/>
        </w:rPr>
        <w:t>Child</w:t>
      </w:r>
      <w:r>
        <w:rPr>
          <w:spacing w:val="-12"/>
          <w:sz w:val="21"/>
        </w:rPr>
        <w:t> </w:t>
      </w:r>
      <w:r>
        <w:rPr>
          <w:sz w:val="21"/>
        </w:rPr>
        <w:t>Welfare</w:t>
      </w:r>
      <w:r>
        <w:rPr>
          <w:spacing w:val="-12"/>
          <w:sz w:val="21"/>
        </w:rPr>
        <w:t> </w:t>
      </w:r>
      <w:r>
        <w:rPr>
          <w:sz w:val="21"/>
        </w:rPr>
        <w:t>System:</w:t>
      </w:r>
      <w:r>
        <w:rPr>
          <w:spacing w:val="-12"/>
          <w:sz w:val="21"/>
        </w:rPr>
        <w:t> </w:t>
      </w:r>
      <w:r>
        <w:rPr>
          <w:sz w:val="21"/>
        </w:rPr>
        <w:t>A</w:t>
      </w:r>
      <w:r>
        <w:rPr>
          <w:spacing w:val="-12"/>
          <w:sz w:val="21"/>
        </w:rPr>
        <w:t> </w:t>
      </w:r>
      <w:r>
        <w:rPr>
          <w:sz w:val="21"/>
        </w:rPr>
        <w:t>Report</w:t>
      </w:r>
      <w:r>
        <w:rPr>
          <w:spacing w:val="-12"/>
          <w:sz w:val="21"/>
        </w:rPr>
        <w:t> </w:t>
      </w:r>
      <w:r>
        <w:rPr>
          <w:sz w:val="21"/>
        </w:rPr>
        <w:t>on</w:t>
      </w:r>
      <w:r>
        <w:rPr>
          <w:spacing w:val="-12"/>
          <w:sz w:val="21"/>
        </w:rPr>
        <w:t> </w:t>
      </w:r>
      <w:r>
        <w:rPr>
          <w:sz w:val="21"/>
        </w:rPr>
        <w:t>Pervasive Threats to Safety, Wellbeing, and Permanency,” laid out detailed evidence-based recommendations for DCF to respond</w:t>
      </w:r>
      <w:r>
        <w:rPr>
          <w:spacing w:val="-2"/>
          <w:sz w:val="21"/>
        </w:rPr>
        <w:t> </w:t>
      </w:r>
      <w:r>
        <w:rPr>
          <w:sz w:val="21"/>
        </w:rPr>
        <w:t>to</w:t>
      </w:r>
      <w:r>
        <w:rPr>
          <w:spacing w:val="-2"/>
          <w:sz w:val="21"/>
        </w:rPr>
        <w:t> </w:t>
      </w:r>
      <w:r>
        <w:rPr>
          <w:sz w:val="21"/>
        </w:rPr>
        <w:t>systemic</w:t>
      </w:r>
      <w:r>
        <w:rPr>
          <w:spacing w:val="-2"/>
          <w:sz w:val="21"/>
        </w:rPr>
        <w:t> </w:t>
      </w:r>
      <w:r>
        <w:rPr>
          <w:sz w:val="21"/>
        </w:rPr>
        <w:t>crises</w:t>
      </w:r>
      <w:r>
        <w:rPr>
          <w:spacing w:val="-2"/>
          <w:sz w:val="21"/>
        </w:rPr>
        <w:t> </w:t>
      </w:r>
      <w:r>
        <w:rPr>
          <w:sz w:val="21"/>
        </w:rPr>
        <w:t>among</w:t>
      </w:r>
      <w:r>
        <w:rPr>
          <w:spacing w:val="-2"/>
          <w:sz w:val="21"/>
        </w:rPr>
        <w:t> </w:t>
      </w:r>
      <w:r>
        <w:rPr>
          <w:sz w:val="21"/>
        </w:rPr>
        <w:t>LGBTQ</w:t>
      </w:r>
      <w:r>
        <w:rPr>
          <w:spacing w:val="-2"/>
          <w:sz w:val="21"/>
        </w:rPr>
        <w:t> </w:t>
      </w:r>
      <w:r>
        <w:rPr>
          <w:sz w:val="21"/>
        </w:rPr>
        <w:t>youth</w:t>
      </w:r>
      <w:r>
        <w:rPr>
          <w:spacing w:val="-2"/>
          <w:sz w:val="21"/>
        </w:rPr>
        <w:t> </w:t>
      </w:r>
      <w:r>
        <w:rPr>
          <w:sz w:val="21"/>
        </w:rPr>
        <w:t>in</w:t>
      </w:r>
      <w:r>
        <w:rPr>
          <w:spacing w:val="-3"/>
          <w:sz w:val="21"/>
        </w:rPr>
        <w:t> </w:t>
      </w:r>
      <w:r>
        <w:rPr>
          <w:sz w:val="21"/>
        </w:rPr>
        <w:t>its</w:t>
      </w:r>
      <w:r>
        <w:rPr>
          <w:spacing w:val="-3"/>
          <w:sz w:val="21"/>
        </w:rPr>
        <w:t> </w:t>
      </w:r>
      <w:r>
        <w:rPr>
          <w:sz w:val="21"/>
        </w:rPr>
        <w:t>care.</w:t>
      </w:r>
      <w:r>
        <w:rPr>
          <w:spacing w:val="-2"/>
          <w:sz w:val="21"/>
        </w:rPr>
        <w:t> </w:t>
      </w:r>
      <w:r>
        <w:rPr>
          <w:sz w:val="21"/>
        </w:rPr>
        <w:t>Since</w:t>
      </w:r>
      <w:r>
        <w:rPr>
          <w:spacing w:val="-2"/>
          <w:sz w:val="21"/>
        </w:rPr>
        <w:t> </w:t>
      </w:r>
      <w:r>
        <w:rPr>
          <w:sz w:val="21"/>
        </w:rPr>
        <w:t>the</w:t>
      </w:r>
      <w:r>
        <w:rPr>
          <w:spacing w:val="-4"/>
          <w:sz w:val="21"/>
        </w:rPr>
        <w:t> </w:t>
      </w:r>
      <w:r>
        <w:rPr>
          <w:sz w:val="21"/>
        </w:rPr>
        <w:t>release</w:t>
      </w:r>
      <w:r>
        <w:rPr>
          <w:spacing w:val="-2"/>
          <w:sz w:val="21"/>
        </w:rPr>
        <w:t> </w:t>
      </w:r>
      <w:r>
        <w:rPr>
          <w:sz w:val="21"/>
        </w:rPr>
        <w:t>of</w:t>
      </w:r>
      <w:r>
        <w:rPr>
          <w:spacing w:val="-2"/>
          <w:sz w:val="21"/>
        </w:rPr>
        <w:t> </w:t>
      </w:r>
      <w:r>
        <w:rPr>
          <w:sz w:val="21"/>
        </w:rPr>
        <w:t>this</w:t>
      </w:r>
      <w:r>
        <w:rPr>
          <w:spacing w:val="-3"/>
          <w:sz w:val="21"/>
        </w:rPr>
        <w:t> </w:t>
      </w:r>
      <w:r>
        <w:rPr>
          <w:sz w:val="21"/>
        </w:rPr>
        <w:t>report,</w:t>
      </w:r>
      <w:r>
        <w:rPr>
          <w:spacing w:val="-3"/>
          <w:sz w:val="21"/>
        </w:rPr>
        <w:t> </w:t>
      </w:r>
      <w:r>
        <w:rPr>
          <w:sz w:val="21"/>
        </w:rPr>
        <w:t>the</w:t>
      </w:r>
      <w:r>
        <w:rPr>
          <w:spacing w:val="-3"/>
          <w:sz w:val="21"/>
        </w:rPr>
        <w:t> </w:t>
      </w:r>
      <w:r>
        <w:rPr>
          <w:sz w:val="21"/>
        </w:rPr>
        <w:t>Commission</w:t>
      </w:r>
      <w:r>
        <w:rPr>
          <w:spacing w:val="-2"/>
          <w:sz w:val="21"/>
        </w:rPr>
        <w:t> </w:t>
      </w:r>
      <w:r>
        <w:rPr>
          <w:sz w:val="21"/>
        </w:rPr>
        <w:t>and DCF have actively been working together to address the recommendations provided, with many of the recommendations since resolved, as detailed in the DCF- specific agency recommendations. In particular, DCF has</w:t>
      </w:r>
      <w:r>
        <w:rPr>
          <w:spacing w:val="-5"/>
          <w:sz w:val="21"/>
        </w:rPr>
        <w:t> </w:t>
      </w:r>
      <w:r>
        <w:rPr>
          <w:sz w:val="21"/>
        </w:rPr>
        <w:t>been</w:t>
      </w:r>
      <w:r>
        <w:rPr>
          <w:spacing w:val="-4"/>
          <w:sz w:val="21"/>
        </w:rPr>
        <w:t> </w:t>
      </w:r>
      <w:r>
        <w:rPr>
          <w:sz w:val="21"/>
        </w:rPr>
        <w:t>working</w:t>
      </w:r>
      <w:r>
        <w:rPr>
          <w:spacing w:val="-5"/>
          <w:sz w:val="21"/>
        </w:rPr>
        <w:t> </w:t>
      </w:r>
      <w:r>
        <w:rPr>
          <w:sz w:val="21"/>
        </w:rPr>
        <w:t>to</w:t>
      </w:r>
      <w:r>
        <w:rPr>
          <w:spacing w:val="-4"/>
          <w:sz w:val="21"/>
        </w:rPr>
        <w:t> </w:t>
      </w:r>
      <w:r>
        <w:rPr>
          <w:sz w:val="21"/>
        </w:rPr>
        <w:t>create</w:t>
      </w:r>
      <w:r>
        <w:rPr>
          <w:spacing w:val="-5"/>
          <w:sz w:val="21"/>
        </w:rPr>
        <w:t> </w:t>
      </w:r>
      <w:r>
        <w:rPr>
          <w:sz w:val="21"/>
        </w:rPr>
        <w:t>a</w:t>
      </w:r>
      <w:r>
        <w:rPr>
          <w:spacing w:val="-4"/>
          <w:sz w:val="21"/>
        </w:rPr>
        <w:t> </w:t>
      </w:r>
      <w:r>
        <w:rPr>
          <w:sz w:val="21"/>
        </w:rPr>
        <w:t>formal</w:t>
      </w:r>
      <w:r>
        <w:rPr>
          <w:spacing w:val="-4"/>
          <w:sz w:val="21"/>
        </w:rPr>
        <w:t> </w:t>
      </w:r>
      <w:r>
        <w:rPr>
          <w:sz w:val="21"/>
        </w:rPr>
        <w:t>mechanism</w:t>
      </w:r>
      <w:r>
        <w:rPr>
          <w:spacing w:val="-4"/>
          <w:sz w:val="21"/>
        </w:rPr>
        <w:t> </w:t>
      </w:r>
      <w:r>
        <w:rPr>
          <w:sz w:val="21"/>
        </w:rPr>
        <w:t>to</w:t>
      </w:r>
      <w:r>
        <w:rPr>
          <w:spacing w:val="-4"/>
          <w:sz w:val="21"/>
        </w:rPr>
        <w:t> </w:t>
      </w:r>
      <w:r>
        <w:rPr>
          <w:sz w:val="21"/>
        </w:rPr>
        <w:t>identify</w:t>
      </w:r>
      <w:r>
        <w:rPr>
          <w:spacing w:val="-4"/>
          <w:sz w:val="21"/>
        </w:rPr>
        <w:t> </w:t>
      </w:r>
      <w:r>
        <w:rPr>
          <w:sz w:val="21"/>
        </w:rPr>
        <w:t>affirming</w:t>
      </w:r>
      <w:r>
        <w:rPr>
          <w:spacing w:val="-3"/>
          <w:sz w:val="21"/>
        </w:rPr>
        <w:t> </w:t>
      </w:r>
      <w:r>
        <w:rPr>
          <w:sz w:val="21"/>
        </w:rPr>
        <w:t>placements,</w:t>
      </w:r>
      <w:r>
        <w:rPr>
          <w:spacing w:val="-5"/>
          <w:sz w:val="21"/>
        </w:rPr>
        <w:t> </w:t>
      </w:r>
      <w:r>
        <w:rPr>
          <w:sz w:val="21"/>
        </w:rPr>
        <w:t>since</w:t>
      </w:r>
      <w:r>
        <w:rPr>
          <w:spacing w:val="-4"/>
          <w:sz w:val="21"/>
        </w:rPr>
        <w:t> </w:t>
      </w:r>
      <w:r>
        <w:rPr>
          <w:sz w:val="21"/>
        </w:rPr>
        <w:t>many</w:t>
      </w:r>
      <w:r>
        <w:rPr>
          <w:spacing w:val="-4"/>
          <w:sz w:val="21"/>
        </w:rPr>
        <w:t> </w:t>
      </w:r>
      <w:r>
        <w:rPr>
          <w:sz w:val="21"/>
        </w:rPr>
        <w:t>gender</w:t>
      </w:r>
      <w:r>
        <w:rPr>
          <w:spacing w:val="-4"/>
          <w:sz w:val="21"/>
        </w:rPr>
        <w:t> </w:t>
      </w:r>
      <w:r>
        <w:rPr>
          <w:sz w:val="21"/>
        </w:rPr>
        <w:t>expansive youth are only placed in homes after reaching their maximum length of stay in residential programs. Additionally, DCF has updated its congregate care contracts to ensure that their staff and policies are LGBTQ- competent and regularly ask youth how they can improve their services.</w:t>
      </w:r>
    </w:p>
    <w:p>
      <w:pPr>
        <w:spacing w:line="276" w:lineRule="auto" w:before="241"/>
        <w:ind w:left="463" w:right="240" w:firstLine="0"/>
        <w:jc w:val="both"/>
        <w:rPr>
          <w:sz w:val="21"/>
        </w:rPr>
      </w:pPr>
      <w:r>
        <w:rPr>
          <w:sz w:val="21"/>
        </w:rPr>
        <w:t>As for LGBTQ youth in the criminal legal system, UCLA’s David Geffen School of Medicine recently put forth multiple recommendations that Massachusetts can follow. First, law enforcement agencies, courts, and detention facilities should all ensure that staff and policies are LGBTQ-affirming and trauma-informed, such as by ensuring youth of all ages can access gender-affirming clothing and care. Correctional agencies should seek funding to hire more affirming MHPs; communicate and implement policies for protecting LGBTQ youth from discrimination and harm; and provide virtual, trauma-relevant, and peer-based programs. Further, school districts should implement their own practices and policies to disassemble the school-to-prison pipeline, including crisis intervention protocol, training to recognize and respond to trauma, training and consequences for disciplining students according to (un)conscious bias, and resources for LGBTQ-affirming mentors and peer </w:t>
      </w:r>
      <w:r>
        <w:rPr>
          <w:spacing w:val="-2"/>
          <w:sz w:val="21"/>
        </w:rPr>
        <w:t>spaces.</w:t>
      </w:r>
    </w:p>
    <w:p>
      <w:pPr>
        <w:spacing w:line="276" w:lineRule="auto" w:before="240"/>
        <w:ind w:left="464" w:right="237" w:firstLine="0"/>
        <w:jc w:val="both"/>
        <w:rPr>
          <w:sz w:val="21"/>
        </w:rPr>
      </w:pPr>
      <w:r>
        <w:rPr>
          <w:sz w:val="21"/>
        </w:rPr>
        <w:t>Allies must also invest more</w:t>
      </w:r>
      <w:r>
        <w:rPr>
          <w:spacing w:val="-1"/>
          <w:sz w:val="21"/>
        </w:rPr>
        <w:t> </w:t>
      </w:r>
      <w:r>
        <w:rPr>
          <w:sz w:val="21"/>
        </w:rPr>
        <w:t>resources in support for</w:t>
      </w:r>
      <w:r>
        <w:rPr>
          <w:spacing w:val="-1"/>
          <w:sz w:val="21"/>
        </w:rPr>
        <w:t> </w:t>
      </w:r>
      <w:r>
        <w:rPr>
          <w:sz w:val="21"/>
        </w:rPr>
        <w:t>LGBTQ youth who are</w:t>
      </w:r>
      <w:r>
        <w:rPr>
          <w:spacing w:val="-1"/>
          <w:sz w:val="21"/>
        </w:rPr>
        <w:t> </w:t>
      </w:r>
      <w:r>
        <w:rPr>
          <w:sz w:val="21"/>
        </w:rPr>
        <w:t>dependent on substances. In 2021, the</w:t>
      </w:r>
      <w:r>
        <w:rPr>
          <w:spacing w:val="-4"/>
          <w:sz w:val="21"/>
        </w:rPr>
        <w:t> </w:t>
      </w:r>
      <w:r>
        <w:rPr>
          <w:sz w:val="21"/>
        </w:rPr>
        <w:t>Trevor</w:t>
      </w:r>
      <w:r>
        <w:rPr>
          <w:spacing w:val="-4"/>
          <w:sz w:val="21"/>
        </w:rPr>
        <w:t> </w:t>
      </w:r>
      <w:r>
        <w:rPr>
          <w:sz w:val="21"/>
        </w:rPr>
        <w:t>Project</w:t>
      </w:r>
      <w:r>
        <w:rPr>
          <w:spacing w:val="-4"/>
          <w:sz w:val="21"/>
        </w:rPr>
        <w:t> </w:t>
      </w:r>
      <w:r>
        <w:rPr>
          <w:sz w:val="21"/>
        </w:rPr>
        <w:t>found</w:t>
      </w:r>
      <w:r>
        <w:rPr>
          <w:spacing w:val="-6"/>
          <w:sz w:val="21"/>
        </w:rPr>
        <w:t> </w:t>
      </w:r>
      <w:r>
        <w:rPr>
          <w:sz w:val="21"/>
        </w:rPr>
        <w:t>that</w:t>
      </w:r>
      <w:r>
        <w:rPr>
          <w:spacing w:val="-4"/>
          <w:sz w:val="21"/>
        </w:rPr>
        <w:t> </w:t>
      </w:r>
      <w:r>
        <w:rPr>
          <w:sz w:val="21"/>
        </w:rPr>
        <w:t>over</w:t>
      </w:r>
      <w:r>
        <w:rPr>
          <w:spacing w:val="-4"/>
          <w:sz w:val="21"/>
        </w:rPr>
        <w:t> </w:t>
      </w:r>
      <w:r>
        <w:rPr>
          <w:sz w:val="21"/>
        </w:rPr>
        <w:t>half</w:t>
      </w:r>
      <w:r>
        <w:rPr>
          <w:spacing w:val="-5"/>
          <w:sz w:val="21"/>
        </w:rPr>
        <w:t> </w:t>
      </w:r>
      <w:r>
        <w:rPr>
          <w:sz w:val="21"/>
        </w:rPr>
        <w:t>of</w:t>
      </w:r>
      <w:r>
        <w:rPr>
          <w:spacing w:val="-6"/>
          <w:sz w:val="21"/>
        </w:rPr>
        <w:t> </w:t>
      </w:r>
      <w:r>
        <w:rPr>
          <w:sz w:val="21"/>
        </w:rPr>
        <w:t>all</w:t>
      </w:r>
      <w:r>
        <w:rPr>
          <w:spacing w:val="-4"/>
          <w:sz w:val="21"/>
        </w:rPr>
        <w:t> </w:t>
      </w:r>
      <w:r>
        <w:rPr>
          <w:sz w:val="21"/>
        </w:rPr>
        <w:t>LGBTQ</w:t>
      </w:r>
      <w:r>
        <w:rPr>
          <w:spacing w:val="-4"/>
          <w:sz w:val="21"/>
        </w:rPr>
        <w:t> </w:t>
      </w:r>
      <w:r>
        <w:rPr>
          <w:sz w:val="21"/>
        </w:rPr>
        <w:t>youth</w:t>
      </w:r>
      <w:r>
        <w:rPr>
          <w:spacing w:val="-4"/>
          <w:sz w:val="21"/>
        </w:rPr>
        <w:t> </w:t>
      </w:r>
      <w:r>
        <w:rPr>
          <w:sz w:val="21"/>
        </w:rPr>
        <w:t>had</w:t>
      </w:r>
      <w:r>
        <w:rPr>
          <w:spacing w:val="-6"/>
          <w:sz w:val="21"/>
        </w:rPr>
        <w:t> </w:t>
      </w:r>
      <w:r>
        <w:rPr>
          <w:sz w:val="21"/>
        </w:rPr>
        <w:t>used</w:t>
      </w:r>
      <w:r>
        <w:rPr>
          <w:spacing w:val="-6"/>
          <w:sz w:val="21"/>
        </w:rPr>
        <w:t> </w:t>
      </w:r>
      <w:r>
        <w:rPr>
          <w:sz w:val="21"/>
        </w:rPr>
        <w:t>alcohol</w:t>
      </w:r>
      <w:r>
        <w:rPr>
          <w:spacing w:val="-4"/>
          <w:sz w:val="21"/>
        </w:rPr>
        <w:t> </w:t>
      </w:r>
      <w:r>
        <w:rPr>
          <w:sz w:val="21"/>
        </w:rPr>
        <w:t>in</w:t>
      </w:r>
      <w:r>
        <w:rPr>
          <w:spacing w:val="-4"/>
          <w:sz w:val="21"/>
        </w:rPr>
        <w:t> </w:t>
      </w:r>
      <w:r>
        <w:rPr>
          <w:sz w:val="21"/>
        </w:rPr>
        <w:t>the</w:t>
      </w:r>
      <w:r>
        <w:rPr>
          <w:spacing w:val="-6"/>
          <w:sz w:val="21"/>
        </w:rPr>
        <w:t> </w:t>
      </w:r>
      <w:r>
        <w:rPr>
          <w:sz w:val="21"/>
        </w:rPr>
        <w:t>last</w:t>
      </w:r>
      <w:r>
        <w:rPr>
          <w:spacing w:val="-4"/>
          <w:sz w:val="21"/>
        </w:rPr>
        <w:t> </w:t>
      </w:r>
      <w:r>
        <w:rPr>
          <w:sz w:val="21"/>
        </w:rPr>
        <w:t>year,</w:t>
      </w:r>
      <w:r>
        <w:rPr>
          <w:spacing w:val="-5"/>
          <w:sz w:val="21"/>
        </w:rPr>
        <w:t> </w:t>
      </w:r>
      <w:r>
        <w:rPr>
          <w:sz w:val="21"/>
        </w:rPr>
        <w:t>while</w:t>
      </w:r>
      <w:r>
        <w:rPr>
          <w:spacing w:val="-6"/>
          <w:sz w:val="21"/>
        </w:rPr>
        <w:t> </w:t>
      </w:r>
      <w:r>
        <w:rPr>
          <w:sz w:val="21"/>
        </w:rPr>
        <w:t>almost</w:t>
      </w:r>
      <w:r>
        <w:rPr>
          <w:spacing w:val="-4"/>
          <w:sz w:val="21"/>
        </w:rPr>
        <w:t> </w:t>
      </w:r>
      <w:r>
        <w:rPr>
          <w:sz w:val="21"/>
        </w:rPr>
        <w:t>a</w:t>
      </w:r>
      <w:r>
        <w:rPr>
          <w:spacing w:val="-5"/>
          <w:sz w:val="21"/>
        </w:rPr>
        <w:t> </w:t>
      </w:r>
      <w:r>
        <w:rPr>
          <w:sz w:val="21"/>
        </w:rPr>
        <w:t>third had used marijuana and one in ten used prescription drugs that were not their own. LGBTQ youth who use substances are also significantly more likely to attempt suicide, while adolescent overdose rates across the US doubled between 2019 and 2021. The prevalence of substance use among LGBTQ youth makes it even more important to fund affirming, affordable, trauma-informed, and culturally responsive treatment options.</w:t>
      </w:r>
    </w:p>
    <w:p>
      <w:pPr>
        <w:spacing w:line="276" w:lineRule="auto" w:before="241"/>
        <w:ind w:left="464" w:right="240" w:firstLine="0"/>
        <w:jc w:val="both"/>
        <w:rPr>
          <w:sz w:val="21"/>
        </w:rPr>
      </w:pPr>
      <w:r>
        <w:rPr>
          <w:sz w:val="21"/>
        </w:rPr>
        <w:t>Yet when people in Massachusetts need support for substance use disorders, they may be met with judgment and</w:t>
      </w:r>
      <w:r>
        <w:rPr>
          <w:spacing w:val="-5"/>
          <w:sz w:val="21"/>
        </w:rPr>
        <w:t> </w:t>
      </w:r>
      <w:r>
        <w:rPr>
          <w:sz w:val="21"/>
        </w:rPr>
        <w:t>criminal</w:t>
      </w:r>
      <w:r>
        <w:rPr>
          <w:spacing w:val="-6"/>
          <w:sz w:val="21"/>
        </w:rPr>
        <w:t> </w:t>
      </w:r>
      <w:r>
        <w:rPr>
          <w:sz w:val="21"/>
        </w:rPr>
        <w:t>charges</w:t>
      </w:r>
      <w:r>
        <w:rPr>
          <w:spacing w:val="-6"/>
          <w:sz w:val="21"/>
        </w:rPr>
        <w:t> </w:t>
      </w:r>
      <w:r>
        <w:rPr>
          <w:sz w:val="21"/>
        </w:rPr>
        <w:t>instead.</w:t>
      </w:r>
      <w:r>
        <w:rPr>
          <w:spacing w:val="-6"/>
          <w:sz w:val="21"/>
        </w:rPr>
        <w:t> </w:t>
      </w:r>
      <w:r>
        <w:rPr>
          <w:sz w:val="21"/>
        </w:rPr>
        <w:t>For</w:t>
      </w:r>
      <w:r>
        <w:rPr>
          <w:spacing w:val="-5"/>
          <w:sz w:val="21"/>
        </w:rPr>
        <w:t> </w:t>
      </w:r>
      <w:r>
        <w:rPr>
          <w:sz w:val="21"/>
        </w:rPr>
        <w:t>instance,</w:t>
      </w:r>
      <w:r>
        <w:rPr>
          <w:spacing w:val="-5"/>
          <w:sz w:val="21"/>
        </w:rPr>
        <w:t> </w:t>
      </w:r>
      <w:r>
        <w:rPr>
          <w:sz w:val="21"/>
        </w:rPr>
        <w:t>when</w:t>
      </w:r>
      <w:r>
        <w:rPr>
          <w:spacing w:val="-5"/>
          <w:sz w:val="21"/>
        </w:rPr>
        <w:t> </w:t>
      </w:r>
      <w:r>
        <w:rPr>
          <w:sz w:val="21"/>
        </w:rPr>
        <w:t>defendants</w:t>
      </w:r>
      <w:r>
        <w:rPr>
          <w:spacing w:val="-6"/>
          <w:sz w:val="21"/>
        </w:rPr>
        <w:t> </w:t>
      </w:r>
      <w:r>
        <w:rPr>
          <w:sz w:val="21"/>
        </w:rPr>
        <w:t>relapse</w:t>
      </w:r>
      <w:r>
        <w:rPr>
          <w:spacing w:val="-7"/>
          <w:sz w:val="21"/>
        </w:rPr>
        <w:t> </w:t>
      </w:r>
      <w:r>
        <w:rPr>
          <w:sz w:val="21"/>
        </w:rPr>
        <w:t>and</w:t>
      </w:r>
      <w:r>
        <w:rPr>
          <w:spacing w:val="-5"/>
          <w:sz w:val="21"/>
        </w:rPr>
        <w:t> </w:t>
      </w:r>
      <w:r>
        <w:rPr>
          <w:sz w:val="21"/>
        </w:rPr>
        <w:t>fail</w:t>
      </w:r>
      <w:r>
        <w:rPr>
          <w:spacing w:val="-5"/>
          <w:sz w:val="21"/>
        </w:rPr>
        <w:t> </w:t>
      </w:r>
      <w:r>
        <w:rPr>
          <w:sz w:val="21"/>
        </w:rPr>
        <w:t>court-mandated</w:t>
      </w:r>
      <w:r>
        <w:rPr>
          <w:spacing w:val="-7"/>
          <w:sz w:val="21"/>
        </w:rPr>
        <w:t> </w:t>
      </w:r>
      <w:r>
        <w:rPr>
          <w:sz w:val="21"/>
        </w:rPr>
        <w:t>drug</w:t>
      </w:r>
      <w:r>
        <w:rPr>
          <w:spacing w:val="-6"/>
          <w:sz w:val="21"/>
        </w:rPr>
        <w:t> </w:t>
      </w:r>
      <w:r>
        <w:rPr>
          <w:sz w:val="21"/>
        </w:rPr>
        <w:t>testing,</w:t>
      </w:r>
      <w:r>
        <w:rPr>
          <w:spacing w:val="-5"/>
          <w:sz w:val="21"/>
        </w:rPr>
        <w:t> </w:t>
      </w:r>
      <w:r>
        <w:rPr>
          <w:sz w:val="21"/>
        </w:rPr>
        <w:t>they are often incarcerated, where they experience further trauma and receive non- evidence-based treatment.</w:t>
      </w:r>
    </w:p>
    <w:p>
      <w:pPr>
        <w:spacing w:line="276" w:lineRule="auto" w:before="240"/>
        <w:ind w:left="464" w:right="236" w:firstLine="0"/>
        <w:jc w:val="both"/>
        <w:rPr>
          <w:sz w:val="21"/>
        </w:rPr>
      </w:pPr>
      <w:r>
        <w:rPr>
          <w:sz w:val="21"/>
        </w:rPr>
        <w:t>Finally, because LGBTQ youth face many risk factors that can push them into crisis, hospitalization, and suicidality, allies should strongly advocate for more care options that are LGBTQ-affirming, affordable, and do not cause further trauma. On this front, congregate mental health support services in particular lack crucial funding. At present, it appears that there are only a few LGBTQ-specific partial hospitalization programs in Massachusetts</w:t>
      </w:r>
      <w:r>
        <w:rPr>
          <w:spacing w:val="-12"/>
          <w:sz w:val="21"/>
        </w:rPr>
        <w:t> </w:t>
      </w:r>
      <w:r>
        <w:rPr>
          <w:sz w:val="21"/>
        </w:rPr>
        <w:t>(including</w:t>
      </w:r>
      <w:r>
        <w:rPr>
          <w:spacing w:val="-12"/>
          <w:sz w:val="21"/>
        </w:rPr>
        <w:t> </w:t>
      </w:r>
      <w:r>
        <w:rPr>
          <w:sz w:val="21"/>
        </w:rPr>
        <w:t>Walden’s</w:t>
      </w:r>
      <w:r>
        <w:rPr>
          <w:spacing w:val="-11"/>
          <w:sz w:val="21"/>
        </w:rPr>
        <w:t> </w:t>
      </w:r>
      <w:r>
        <w:rPr>
          <w:sz w:val="21"/>
        </w:rPr>
        <w:t>virtual</w:t>
      </w:r>
      <w:r>
        <w:rPr>
          <w:spacing w:val="-11"/>
          <w:sz w:val="21"/>
        </w:rPr>
        <w:t> </w:t>
      </w:r>
      <w:r>
        <w:rPr>
          <w:sz w:val="21"/>
        </w:rPr>
        <w:t>Rainbow</w:t>
      </w:r>
      <w:r>
        <w:rPr>
          <w:spacing w:val="-11"/>
          <w:sz w:val="21"/>
        </w:rPr>
        <w:t> </w:t>
      </w:r>
      <w:r>
        <w:rPr>
          <w:sz w:val="21"/>
        </w:rPr>
        <w:t>Road</w:t>
      </w:r>
      <w:r>
        <w:rPr>
          <w:spacing w:val="-11"/>
          <w:sz w:val="21"/>
        </w:rPr>
        <w:t> </w:t>
      </w:r>
      <w:r>
        <w:rPr>
          <w:sz w:val="21"/>
        </w:rPr>
        <w:t>Programs</w:t>
      </w:r>
      <w:r>
        <w:rPr>
          <w:spacing w:val="-12"/>
          <w:sz w:val="21"/>
        </w:rPr>
        <w:t> </w:t>
      </w:r>
      <w:r>
        <w:rPr>
          <w:sz w:val="21"/>
        </w:rPr>
        <w:t>and</w:t>
      </w:r>
      <w:r>
        <w:rPr>
          <w:spacing w:val="-11"/>
          <w:sz w:val="21"/>
        </w:rPr>
        <w:t> </w:t>
      </w:r>
      <w:r>
        <w:rPr>
          <w:sz w:val="21"/>
        </w:rPr>
        <w:t>HRI</w:t>
      </w:r>
      <w:r>
        <w:rPr>
          <w:spacing w:val="-11"/>
          <w:sz w:val="21"/>
        </w:rPr>
        <w:t> </w:t>
      </w:r>
      <w:r>
        <w:rPr>
          <w:sz w:val="21"/>
        </w:rPr>
        <w:t>Hospital’s</w:t>
      </w:r>
      <w:r>
        <w:rPr>
          <w:spacing w:val="-12"/>
          <w:sz w:val="21"/>
        </w:rPr>
        <w:t> </w:t>
      </w:r>
      <w:r>
        <w:rPr>
          <w:sz w:val="21"/>
        </w:rPr>
        <w:t>Triangle</w:t>
      </w:r>
      <w:r>
        <w:rPr>
          <w:spacing w:val="-11"/>
          <w:sz w:val="21"/>
        </w:rPr>
        <w:t> </w:t>
      </w:r>
      <w:r>
        <w:rPr>
          <w:sz w:val="21"/>
        </w:rPr>
        <w:t>Program),</w:t>
      </w:r>
      <w:r>
        <w:rPr>
          <w:spacing w:val="-11"/>
          <w:sz w:val="21"/>
        </w:rPr>
        <w:t> </w:t>
      </w:r>
      <w:r>
        <w:rPr>
          <w:sz w:val="21"/>
        </w:rPr>
        <w:t>as</w:t>
      </w:r>
      <w:r>
        <w:rPr>
          <w:spacing w:val="-12"/>
          <w:sz w:val="21"/>
        </w:rPr>
        <w:t> </w:t>
      </w:r>
      <w:r>
        <w:rPr>
          <w:sz w:val="21"/>
        </w:rPr>
        <w:t>well as one group home in New England (The Home for Little Wanderers’ Waltham House, with a capacity of 12 </w:t>
      </w:r>
      <w:r>
        <w:rPr>
          <w:spacing w:val="-2"/>
          <w:sz w:val="21"/>
        </w:rPr>
        <w:t>youth.)</w:t>
      </w:r>
    </w:p>
    <w:p>
      <w:pPr>
        <w:spacing w:after="0" w:line="276" w:lineRule="auto"/>
        <w:jc w:val="both"/>
        <w:rPr>
          <w:sz w:val="21"/>
        </w:rPr>
        <w:sectPr>
          <w:pgSz w:w="12240" w:h="15840"/>
          <w:pgMar w:header="804" w:footer="1390" w:top="1080" w:bottom="1620" w:left="980" w:right="1080"/>
        </w:sectPr>
      </w:pPr>
    </w:p>
    <w:p>
      <w:pPr>
        <w:spacing w:before="68"/>
        <w:ind w:left="463" w:right="0" w:firstLine="0"/>
        <w:jc w:val="both"/>
        <w:rPr>
          <w:sz w:val="28"/>
        </w:rPr>
      </w:pPr>
      <w:bookmarkStart w:name="Expanding Youth Access to Community-Base" w:id="255"/>
      <w:bookmarkEnd w:id="255"/>
      <w:r>
        <w:rPr/>
      </w:r>
      <w:r>
        <w:rPr>
          <w:color w:val="365F91"/>
          <w:sz w:val="28"/>
        </w:rPr>
        <w:t>Expanding</w:t>
      </w:r>
      <w:r>
        <w:rPr>
          <w:color w:val="365F91"/>
          <w:spacing w:val="-11"/>
          <w:sz w:val="28"/>
        </w:rPr>
        <w:t> </w:t>
      </w:r>
      <w:r>
        <w:rPr>
          <w:color w:val="365F91"/>
          <w:sz w:val="28"/>
        </w:rPr>
        <w:t>Youth</w:t>
      </w:r>
      <w:r>
        <w:rPr>
          <w:color w:val="365F91"/>
          <w:spacing w:val="-12"/>
          <w:sz w:val="28"/>
        </w:rPr>
        <w:t> </w:t>
      </w:r>
      <w:r>
        <w:rPr>
          <w:color w:val="365F91"/>
          <w:sz w:val="28"/>
        </w:rPr>
        <w:t>Access</w:t>
      </w:r>
      <w:r>
        <w:rPr>
          <w:color w:val="365F91"/>
          <w:spacing w:val="-10"/>
          <w:sz w:val="28"/>
        </w:rPr>
        <w:t> </w:t>
      </w:r>
      <w:r>
        <w:rPr>
          <w:color w:val="365F91"/>
          <w:sz w:val="28"/>
        </w:rPr>
        <w:t>to</w:t>
      </w:r>
      <w:r>
        <w:rPr>
          <w:color w:val="365F91"/>
          <w:spacing w:val="-11"/>
          <w:sz w:val="28"/>
        </w:rPr>
        <w:t> </w:t>
      </w:r>
      <w:r>
        <w:rPr>
          <w:color w:val="365F91"/>
          <w:sz w:val="28"/>
        </w:rPr>
        <w:t>Community-Based</w:t>
      </w:r>
      <w:r>
        <w:rPr>
          <w:color w:val="365F91"/>
          <w:spacing w:val="-11"/>
          <w:sz w:val="28"/>
        </w:rPr>
        <w:t> </w:t>
      </w:r>
      <w:r>
        <w:rPr>
          <w:color w:val="365F91"/>
          <w:sz w:val="28"/>
        </w:rPr>
        <w:t>and</w:t>
      </w:r>
      <w:r>
        <w:rPr>
          <w:color w:val="365F91"/>
          <w:spacing w:val="-11"/>
          <w:sz w:val="28"/>
        </w:rPr>
        <w:t> </w:t>
      </w:r>
      <w:r>
        <w:rPr>
          <w:color w:val="365F91"/>
          <w:sz w:val="28"/>
        </w:rPr>
        <w:t>Peer</w:t>
      </w:r>
      <w:r>
        <w:rPr>
          <w:color w:val="365F91"/>
          <w:spacing w:val="-11"/>
          <w:sz w:val="28"/>
        </w:rPr>
        <w:t> </w:t>
      </w:r>
      <w:r>
        <w:rPr>
          <w:color w:val="365F91"/>
          <w:spacing w:val="-2"/>
          <w:sz w:val="28"/>
        </w:rPr>
        <w:t>Support</w:t>
      </w:r>
    </w:p>
    <w:p>
      <w:pPr>
        <w:spacing w:line="276" w:lineRule="auto" w:before="291"/>
        <w:ind w:left="463" w:right="241" w:firstLine="0"/>
        <w:jc w:val="both"/>
        <w:rPr>
          <w:sz w:val="21"/>
        </w:rPr>
      </w:pPr>
      <w:r>
        <w:rPr>
          <w:sz w:val="21"/>
        </w:rPr>
        <w:t>Overall, while individual-based professional mental healthcare urgently deserves funding and reform, community-based programs can also significantly improve LGBTQ youth mental health. Given the high rates of lack of access to mental healthcare, decision-makers should invest in task-shifting to help more LGBTQ youth get</w:t>
      </w:r>
      <w:r>
        <w:rPr>
          <w:spacing w:val="-8"/>
          <w:sz w:val="21"/>
        </w:rPr>
        <w:t> </w:t>
      </w:r>
      <w:r>
        <w:rPr>
          <w:sz w:val="21"/>
        </w:rPr>
        <w:t>support</w:t>
      </w:r>
      <w:r>
        <w:rPr>
          <w:spacing w:val="-9"/>
          <w:sz w:val="21"/>
        </w:rPr>
        <w:t> </w:t>
      </w:r>
      <w:r>
        <w:rPr>
          <w:sz w:val="21"/>
        </w:rPr>
        <w:t>from</w:t>
      </w:r>
      <w:r>
        <w:rPr>
          <w:spacing w:val="-9"/>
          <w:sz w:val="21"/>
        </w:rPr>
        <w:t> </w:t>
      </w:r>
      <w:r>
        <w:rPr>
          <w:sz w:val="21"/>
        </w:rPr>
        <w:t>their</w:t>
      </w:r>
      <w:r>
        <w:rPr>
          <w:spacing w:val="-9"/>
          <w:sz w:val="21"/>
        </w:rPr>
        <w:t> </w:t>
      </w:r>
      <w:r>
        <w:rPr>
          <w:sz w:val="21"/>
        </w:rPr>
        <w:t>own</w:t>
      </w:r>
      <w:r>
        <w:rPr>
          <w:spacing w:val="-10"/>
          <w:sz w:val="21"/>
        </w:rPr>
        <w:t> </w:t>
      </w:r>
      <w:r>
        <w:rPr>
          <w:sz w:val="21"/>
        </w:rPr>
        <w:t>peers</w:t>
      </w:r>
      <w:r>
        <w:rPr>
          <w:spacing w:val="-10"/>
          <w:sz w:val="21"/>
        </w:rPr>
        <w:t> </w:t>
      </w:r>
      <w:r>
        <w:rPr>
          <w:sz w:val="21"/>
        </w:rPr>
        <w:t>and</w:t>
      </w:r>
      <w:r>
        <w:rPr>
          <w:spacing w:val="-9"/>
          <w:sz w:val="21"/>
        </w:rPr>
        <w:t> </w:t>
      </w:r>
      <w:r>
        <w:rPr>
          <w:sz w:val="21"/>
        </w:rPr>
        <w:t>communities;</w:t>
      </w:r>
      <w:r>
        <w:rPr>
          <w:spacing w:val="-9"/>
          <w:sz w:val="21"/>
        </w:rPr>
        <w:t> </w:t>
      </w:r>
      <w:r>
        <w:rPr>
          <w:sz w:val="21"/>
        </w:rPr>
        <w:t>task-shifting</w:t>
      </w:r>
      <w:r>
        <w:rPr>
          <w:spacing w:val="-9"/>
          <w:sz w:val="21"/>
        </w:rPr>
        <w:t> </w:t>
      </w:r>
      <w:r>
        <w:rPr>
          <w:sz w:val="21"/>
        </w:rPr>
        <w:t>circumvents</w:t>
      </w:r>
      <w:r>
        <w:rPr>
          <w:spacing w:val="-9"/>
          <w:sz w:val="21"/>
        </w:rPr>
        <w:t> </w:t>
      </w:r>
      <w:r>
        <w:rPr>
          <w:sz w:val="21"/>
        </w:rPr>
        <w:t>common</w:t>
      </w:r>
      <w:r>
        <w:rPr>
          <w:spacing w:val="-9"/>
          <w:sz w:val="21"/>
        </w:rPr>
        <w:t> </w:t>
      </w:r>
      <w:r>
        <w:rPr>
          <w:sz w:val="21"/>
        </w:rPr>
        <w:t>barriers</w:t>
      </w:r>
      <w:r>
        <w:rPr>
          <w:spacing w:val="-9"/>
          <w:sz w:val="21"/>
        </w:rPr>
        <w:t> </w:t>
      </w:r>
      <w:r>
        <w:rPr>
          <w:sz w:val="21"/>
        </w:rPr>
        <w:t>to</w:t>
      </w:r>
      <w:r>
        <w:rPr>
          <w:spacing w:val="-9"/>
          <w:sz w:val="21"/>
        </w:rPr>
        <w:t> </w:t>
      </w:r>
      <w:r>
        <w:rPr>
          <w:sz w:val="21"/>
        </w:rPr>
        <w:t>care,</w:t>
      </w:r>
      <w:r>
        <w:rPr>
          <w:spacing w:val="-9"/>
          <w:sz w:val="21"/>
        </w:rPr>
        <w:t> </w:t>
      </w:r>
      <w:r>
        <w:rPr>
          <w:sz w:val="21"/>
        </w:rPr>
        <w:t>like</w:t>
      </w:r>
      <w:r>
        <w:rPr>
          <w:spacing w:val="-10"/>
          <w:sz w:val="21"/>
        </w:rPr>
        <w:t> </w:t>
      </w:r>
      <w:r>
        <w:rPr>
          <w:sz w:val="21"/>
        </w:rPr>
        <w:t>cost and long waitlists, by training laypeople and paraprofessionals to provide emotional support and psychoeducation.</w:t>
      </w:r>
      <w:r>
        <w:rPr>
          <w:spacing w:val="-5"/>
          <w:sz w:val="21"/>
        </w:rPr>
        <w:t> </w:t>
      </w:r>
      <w:r>
        <w:rPr>
          <w:sz w:val="21"/>
        </w:rPr>
        <w:t>This</w:t>
      </w:r>
      <w:r>
        <w:rPr>
          <w:spacing w:val="-5"/>
          <w:sz w:val="21"/>
        </w:rPr>
        <w:t> </w:t>
      </w:r>
      <w:r>
        <w:rPr>
          <w:sz w:val="21"/>
        </w:rPr>
        <w:t>allows</w:t>
      </w:r>
      <w:r>
        <w:rPr>
          <w:spacing w:val="-5"/>
          <w:sz w:val="21"/>
        </w:rPr>
        <w:t> </w:t>
      </w:r>
      <w:r>
        <w:rPr>
          <w:sz w:val="21"/>
        </w:rPr>
        <w:t>more</w:t>
      </w:r>
      <w:r>
        <w:rPr>
          <w:spacing w:val="-4"/>
          <w:sz w:val="21"/>
        </w:rPr>
        <w:t> </w:t>
      </w:r>
      <w:r>
        <w:rPr>
          <w:sz w:val="21"/>
        </w:rPr>
        <w:t>people</w:t>
      </w:r>
      <w:r>
        <w:rPr>
          <w:spacing w:val="-4"/>
          <w:sz w:val="21"/>
        </w:rPr>
        <w:t> </w:t>
      </w:r>
      <w:r>
        <w:rPr>
          <w:sz w:val="21"/>
        </w:rPr>
        <w:t>to</w:t>
      </w:r>
      <w:r>
        <w:rPr>
          <w:spacing w:val="-5"/>
          <w:sz w:val="21"/>
        </w:rPr>
        <w:t> </w:t>
      </w:r>
      <w:r>
        <w:rPr>
          <w:sz w:val="21"/>
        </w:rPr>
        <w:t>address</w:t>
      </w:r>
      <w:r>
        <w:rPr>
          <w:spacing w:val="-5"/>
          <w:sz w:val="21"/>
        </w:rPr>
        <w:t> </w:t>
      </w:r>
      <w:r>
        <w:rPr>
          <w:sz w:val="21"/>
        </w:rPr>
        <w:t>stress</w:t>
      </w:r>
      <w:r>
        <w:rPr>
          <w:spacing w:val="-5"/>
          <w:sz w:val="21"/>
        </w:rPr>
        <w:t> </w:t>
      </w:r>
      <w:r>
        <w:rPr>
          <w:sz w:val="21"/>
        </w:rPr>
        <w:t>and</w:t>
      </w:r>
      <w:r>
        <w:rPr>
          <w:spacing w:val="-4"/>
          <w:sz w:val="21"/>
        </w:rPr>
        <w:t> </w:t>
      </w:r>
      <w:r>
        <w:rPr>
          <w:sz w:val="21"/>
        </w:rPr>
        <w:t>mental</w:t>
      </w:r>
      <w:r>
        <w:rPr>
          <w:spacing w:val="-4"/>
          <w:sz w:val="21"/>
        </w:rPr>
        <w:t> </w:t>
      </w:r>
      <w:r>
        <w:rPr>
          <w:sz w:val="21"/>
        </w:rPr>
        <w:t>health</w:t>
      </w:r>
      <w:r>
        <w:rPr>
          <w:spacing w:val="-4"/>
          <w:sz w:val="21"/>
        </w:rPr>
        <w:t> </w:t>
      </w:r>
      <w:r>
        <w:rPr>
          <w:sz w:val="21"/>
        </w:rPr>
        <w:t>concerns</w:t>
      </w:r>
      <w:r>
        <w:rPr>
          <w:spacing w:val="-5"/>
          <w:sz w:val="21"/>
        </w:rPr>
        <w:t> </w:t>
      </w:r>
      <w:r>
        <w:rPr>
          <w:sz w:val="21"/>
        </w:rPr>
        <w:t>without</w:t>
      </w:r>
      <w:r>
        <w:rPr>
          <w:spacing w:val="-4"/>
          <w:sz w:val="21"/>
        </w:rPr>
        <w:t> </w:t>
      </w:r>
      <w:r>
        <w:rPr>
          <w:sz w:val="21"/>
        </w:rPr>
        <w:t>having</w:t>
      </w:r>
      <w:r>
        <w:rPr>
          <w:spacing w:val="-5"/>
          <w:sz w:val="21"/>
        </w:rPr>
        <w:t> </w:t>
      </w:r>
      <w:r>
        <w:rPr>
          <w:sz w:val="21"/>
        </w:rPr>
        <w:t>to</w:t>
      </w:r>
      <w:r>
        <w:rPr>
          <w:spacing w:val="-5"/>
          <w:sz w:val="21"/>
        </w:rPr>
        <w:t> </w:t>
      </w:r>
      <w:r>
        <w:rPr>
          <w:sz w:val="21"/>
        </w:rPr>
        <w:t>wait to find an affordable therapist, preventing them from reaching a crisis point. Task-shifting has been evaluated in controlled studies of lay treatment of depression, anxiety, eating disorders, trauma, and alcohol </w:t>
      </w:r>
      <w:r>
        <w:rPr>
          <w:spacing w:val="-2"/>
          <w:sz w:val="21"/>
        </w:rPr>
        <w:t>dependency</w:t>
      </w:r>
      <w:hyperlink w:history="true" w:anchor="_bookmark177">
        <w:r>
          <w:rPr>
            <w:spacing w:val="-2"/>
            <w:sz w:val="21"/>
          </w:rPr>
          <w:t>.</w:t>
        </w:r>
        <w:r>
          <w:rPr>
            <w:spacing w:val="-2"/>
            <w:sz w:val="21"/>
            <w:vertAlign w:val="superscript"/>
          </w:rPr>
          <w:t>81</w:t>
        </w:r>
      </w:hyperlink>
    </w:p>
    <w:p>
      <w:pPr>
        <w:spacing w:line="276" w:lineRule="auto" w:before="240"/>
        <w:ind w:left="463" w:right="240" w:hanging="1"/>
        <w:jc w:val="both"/>
        <w:rPr>
          <w:sz w:val="21"/>
        </w:rPr>
      </w:pPr>
      <w:r>
        <w:rPr>
          <w:sz w:val="21"/>
        </w:rPr>
        <w:t>One</w:t>
      </w:r>
      <w:r>
        <w:rPr>
          <w:spacing w:val="-3"/>
          <w:sz w:val="21"/>
        </w:rPr>
        <w:t> </w:t>
      </w:r>
      <w:r>
        <w:rPr>
          <w:sz w:val="21"/>
        </w:rPr>
        <w:t>way</w:t>
      </w:r>
      <w:r>
        <w:rPr>
          <w:spacing w:val="-4"/>
          <w:sz w:val="21"/>
        </w:rPr>
        <w:t> </w:t>
      </w:r>
      <w:r>
        <w:rPr>
          <w:sz w:val="21"/>
        </w:rPr>
        <w:t>that</w:t>
      </w:r>
      <w:r>
        <w:rPr>
          <w:spacing w:val="-5"/>
          <w:sz w:val="21"/>
        </w:rPr>
        <w:t> </w:t>
      </w:r>
      <w:r>
        <w:rPr>
          <w:sz w:val="21"/>
        </w:rPr>
        <w:t>communities</w:t>
      </w:r>
      <w:r>
        <w:rPr>
          <w:spacing w:val="-5"/>
          <w:sz w:val="21"/>
        </w:rPr>
        <w:t> </w:t>
      </w:r>
      <w:r>
        <w:rPr>
          <w:sz w:val="21"/>
        </w:rPr>
        <w:t>and</w:t>
      </w:r>
      <w:r>
        <w:rPr>
          <w:spacing w:val="-3"/>
          <w:sz w:val="21"/>
        </w:rPr>
        <w:t> </w:t>
      </w:r>
      <w:r>
        <w:rPr>
          <w:sz w:val="21"/>
        </w:rPr>
        <w:t>decision-makers</w:t>
      </w:r>
      <w:r>
        <w:rPr>
          <w:spacing w:val="-3"/>
          <w:sz w:val="21"/>
        </w:rPr>
        <w:t> </w:t>
      </w:r>
      <w:r>
        <w:rPr>
          <w:sz w:val="21"/>
        </w:rPr>
        <w:t>can</w:t>
      </w:r>
      <w:r>
        <w:rPr>
          <w:spacing w:val="-4"/>
          <w:sz w:val="21"/>
        </w:rPr>
        <w:t> </w:t>
      </w:r>
      <w:r>
        <w:rPr>
          <w:sz w:val="21"/>
        </w:rPr>
        <w:t>begin</w:t>
      </w:r>
      <w:r>
        <w:rPr>
          <w:spacing w:val="-3"/>
          <w:sz w:val="21"/>
        </w:rPr>
        <w:t> </w:t>
      </w:r>
      <w:r>
        <w:rPr>
          <w:sz w:val="21"/>
        </w:rPr>
        <w:t>task-shifting</w:t>
      </w:r>
      <w:r>
        <w:rPr>
          <w:spacing w:val="-3"/>
          <w:sz w:val="21"/>
        </w:rPr>
        <w:t> </w:t>
      </w:r>
      <w:r>
        <w:rPr>
          <w:sz w:val="21"/>
        </w:rPr>
        <w:t>is</w:t>
      </w:r>
      <w:r>
        <w:rPr>
          <w:spacing w:val="-3"/>
          <w:sz w:val="21"/>
        </w:rPr>
        <w:t> </w:t>
      </w:r>
      <w:r>
        <w:rPr>
          <w:sz w:val="21"/>
        </w:rPr>
        <w:t>to</w:t>
      </w:r>
      <w:r>
        <w:rPr>
          <w:spacing w:val="-3"/>
          <w:sz w:val="21"/>
        </w:rPr>
        <w:t> </w:t>
      </w:r>
      <w:r>
        <w:rPr>
          <w:sz w:val="21"/>
        </w:rPr>
        <w:t>increase</w:t>
      </w:r>
      <w:r>
        <w:rPr>
          <w:spacing w:val="-3"/>
          <w:sz w:val="21"/>
        </w:rPr>
        <w:t> </w:t>
      </w:r>
      <w:r>
        <w:rPr>
          <w:sz w:val="21"/>
        </w:rPr>
        <w:t>funding</w:t>
      </w:r>
      <w:r>
        <w:rPr>
          <w:spacing w:val="-3"/>
          <w:sz w:val="21"/>
        </w:rPr>
        <w:t> </w:t>
      </w:r>
      <w:r>
        <w:rPr>
          <w:sz w:val="21"/>
        </w:rPr>
        <w:t>and</w:t>
      </w:r>
      <w:r>
        <w:rPr>
          <w:spacing w:val="-3"/>
          <w:sz w:val="21"/>
        </w:rPr>
        <w:t> </w:t>
      </w:r>
      <w:r>
        <w:rPr>
          <w:sz w:val="21"/>
        </w:rPr>
        <w:t>resources</w:t>
      </w:r>
      <w:r>
        <w:rPr>
          <w:spacing w:val="-4"/>
          <w:sz w:val="21"/>
        </w:rPr>
        <w:t> </w:t>
      </w:r>
      <w:r>
        <w:rPr>
          <w:sz w:val="21"/>
        </w:rPr>
        <w:t>for peer</w:t>
      </w:r>
      <w:r>
        <w:rPr>
          <w:spacing w:val="-2"/>
          <w:sz w:val="21"/>
        </w:rPr>
        <w:t> </w:t>
      </w:r>
      <w:r>
        <w:rPr>
          <w:sz w:val="21"/>
        </w:rPr>
        <w:t>support</w:t>
      </w:r>
      <w:r>
        <w:rPr>
          <w:spacing w:val="-2"/>
          <w:sz w:val="21"/>
        </w:rPr>
        <w:t> </w:t>
      </w:r>
      <w:r>
        <w:rPr>
          <w:sz w:val="21"/>
        </w:rPr>
        <w:t>work.</w:t>
      </w:r>
      <w:r>
        <w:rPr>
          <w:spacing w:val="-2"/>
          <w:sz w:val="21"/>
        </w:rPr>
        <w:t> </w:t>
      </w:r>
      <w:r>
        <w:rPr>
          <w:sz w:val="21"/>
        </w:rPr>
        <w:t>Peer</w:t>
      </w:r>
      <w:r>
        <w:rPr>
          <w:spacing w:val="-2"/>
          <w:sz w:val="21"/>
        </w:rPr>
        <w:t> </w:t>
      </w:r>
      <w:r>
        <w:rPr>
          <w:sz w:val="21"/>
        </w:rPr>
        <w:t>workers</w:t>
      </w:r>
      <w:r>
        <w:rPr>
          <w:spacing w:val="-2"/>
          <w:sz w:val="21"/>
        </w:rPr>
        <w:t> </w:t>
      </w:r>
      <w:r>
        <w:rPr>
          <w:sz w:val="21"/>
        </w:rPr>
        <w:t>relieve</w:t>
      </w:r>
      <w:r>
        <w:rPr>
          <w:spacing w:val="-2"/>
          <w:sz w:val="21"/>
        </w:rPr>
        <w:t> </w:t>
      </w:r>
      <w:r>
        <w:rPr>
          <w:sz w:val="21"/>
        </w:rPr>
        <w:t>the</w:t>
      </w:r>
      <w:r>
        <w:rPr>
          <w:spacing w:val="-2"/>
          <w:sz w:val="21"/>
        </w:rPr>
        <w:t> </w:t>
      </w:r>
      <w:r>
        <w:rPr>
          <w:sz w:val="21"/>
        </w:rPr>
        <w:t>intense</w:t>
      </w:r>
      <w:r>
        <w:rPr>
          <w:spacing w:val="-2"/>
          <w:sz w:val="21"/>
        </w:rPr>
        <w:t> </w:t>
      </w:r>
      <w:r>
        <w:rPr>
          <w:sz w:val="21"/>
        </w:rPr>
        <w:t>demand</w:t>
      </w:r>
      <w:r>
        <w:rPr>
          <w:spacing w:val="-2"/>
          <w:sz w:val="21"/>
        </w:rPr>
        <w:t> </w:t>
      </w:r>
      <w:r>
        <w:rPr>
          <w:sz w:val="21"/>
        </w:rPr>
        <w:t>that</w:t>
      </w:r>
      <w:r>
        <w:rPr>
          <w:spacing w:val="-2"/>
          <w:sz w:val="21"/>
        </w:rPr>
        <w:t> </w:t>
      </w:r>
      <w:r>
        <w:rPr>
          <w:sz w:val="21"/>
        </w:rPr>
        <w:t>mental</w:t>
      </w:r>
      <w:r>
        <w:rPr>
          <w:spacing w:val="-2"/>
          <w:sz w:val="21"/>
        </w:rPr>
        <w:t> </w:t>
      </w:r>
      <w:r>
        <w:rPr>
          <w:sz w:val="21"/>
        </w:rPr>
        <w:t>health</w:t>
      </w:r>
      <w:r>
        <w:rPr>
          <w:spacing w:val="-2"/>
          <w:sz w:val="21"/>
        </w:rPr>
        <w:t> </w:t>
      </w:r>
      <w:r>
        <w:rPr>
          <w:sz w:val="21"/>
        </w:rPr>
        <w:t>professionals</w:t>
      </w:r>
      <w:r>
        <w:rPr>
          <w:spacing w:val="-2"/>
          <w:sz w:val="21"/>
        </w:rPr>
        <w:t> </w:t>
      </w:r>
      <w:r>
        <w:rPr>
          <w:sz w:val="21"/>
        </w:rPr>
        <w:t>face.</w:t>
      </w:r>
      <w:r>
        <w:rPr>
          <w:spacing w:val="-2"/>
          <w:sz w:val="21"/>
        </w:rPr>
        <w:t> </w:t>
      </w:r>
      <w:r>
        <w:rPr>
          <w:sz w:val="21"/>
        </w:rPr>
        <w:t>It</w:t>
      </w:r>
      <w:r>
        <w:rPr>
          <w:spacing w:val="-2"/>
          <w:sz w:val="21"/>
        </w:rPr>
        <w:t> </w:t>
      </w:r>
      <w:r>
        <w:rPr>
          <w:sz w:val="21"/>
        </w:rPr>
        <w:t>has</w:t>
      </w:r>
      <w:r>
        <w:rPr>
          <w:spacing w:val="-3"/>
          <w:sz w:val="21"/>
        </w:rPr>
        <w:t> </w:t>
      </w:r>
      <w:r>
        <w:rPr>
          <w:sz w:val="21"/>
        </w:rPr>
        <w:t>been piloted with LGBTQ mental health peer advocates in rural areas. </w:t>
      </w:r>
      <w:hyperlink w:history="true" w:anchor="_bookmark178">
        <w:r>
          <w:rPr>
            <w:sz w:val="21"/>
            <w:vertAlign w:val="superscript"/>
          </w:rPr>
          <w:t>82</w:t>
        </w:r>
      </w:hyperlink>
      <w:r>
        <w:rPr>
          <w:sz w:val="21"/>
          <w:vertAlign w:val="baseline"/>
        </w:rPr>
        <w:t> The promotora model, where respected laypeople</w:t>
      </w:r>
      <w:r>
        <w:rPr>
          <w:spacing w:val="-7"/>
          <w:sz w:val="21"/>
          <w:vertAlign w:val="baseline"/>
        </w:rPr>
        <w:t> </w:t>
      </w:r>
      <w:r>
        <w:rPr>
          <w:sz w:val="21"/>
          <w:vertAlign w:val="baseline"/>
        </w:rPr>
        <w:t>become</w:t>
      </w:r>
      <w:r>
        <w:rPr>
          <w:spacing w:val="-7"/>
          <w:sz w:val="21"/>
          <w:vertAlign w:val="baseline"/>
        </w:rPr>
        <w:t> </w:t>
      </w:r>
      <w:r>
        <w:rPr>
          <w:sz w:val="21"/>
          <w:vertAlign w:val="baseline"/>
        </w:rPr>
        <w:t>health</w:t>
      </w:r>
      <w:r>
        <w:rPr>
          <w:spacing w:val="-8"/>
          <w:sz w:val="21"/>
          <w:vertAlign w:val="baseline"/>
        </w:rPr>
        <w:t> </w:t>
      </w:r>
      <w:r>
        <w:rPr>
          <w:sz w:val="21"/>
          <w:vertAlign w:val="baseline"/>
        </w:rPr>
        <w:t>advocates</w:t>
      </w:r>
      <w:r>
        <w:rPr>
          <w:spacing w:val="-7"/>
          <w:sz w:val="21"/>
          <w:vertAlign w:val="baseline"/>
        </w:rPr>
        <w:t> </w:t>
      </w:r>
      <w:r>
        <w:rPr>
          <w:sz w:val="21"/>
          <w:vertAlign w:val="baseline"/>
        </w:rPr>
        <w:t>in</w:t>
      </w:r>
      <w:r>
        <w:rPr>
          <w:spacing w:val="-7"/>
          <w:sz w:val="21"/>
          <w:vertAlign w:val="baseline"/>
        </w:rPr>
        <w:t> </w:t>
      </w:r>
      <w:r>
        <w:rPr>
          <w:sz w:val="21"/>
          <w:vertAlign w:val="baseline"/>
        </w:rPr>
        <w:t>their</w:t>
      </w:r>
      <w:r>
        <w:rPr>
          <w:spacing w:val="-7"/>
          <w:sz w:val="21"/>
          <w:vertAlign w:val="baseline"/>
        </w:rPr>
        <w:t> </w:t>
      </w:r>
      <w:r>
        <w:rPr>
          <w:sz w:val="21"/>
          <w:vertAlign w:val="baseline"/>
        </w:rPr>
        <w:t>own</w:t>
      </w:r>
      <w:r>
        <w:rPr>
          <w:spacing w:val="-7"/>
          <w:sz w:val="21"/>
          <w:vertAlign w:val="baseline"/>
        </w:rPr>
        <w:t> </w:t>
      </w:r>
      <w:r>
        <w:rPr>
          <w:sz w:val="21"/>
          <w:vertAlign w:val="baseline"/>
        </w:rPr>
        <w:t>communities,</w:t>
      </w:r>
      <w:r>
        <w:rPr>
          <w:spacing w:val="-6"/>
          <w:sz w:val="21"/>
          <w:vertAlign w:val="baseline"/>
        </w:rPr>
        <w:t> </w:t>
      </w:r>
      <w:r>
        <w:rPr>
          <w:sz w:val="21"/>
          <w:vertAlign w:val="baseline"/>
        </w:rPr>
        <w:t>is</w:t>
      </w:r>
      <w:r>
        <w:rPr>
          <w:spacing w:val="-7"/>
          <w:sz w:val="21"/>
          <w:vertAlign w:val="baseline"/>
        </w:rPr>
        <w:t> </w:t>
      </w:r>
      <w:r>
        <w:rPr>
          <w:sz w:val="21"/>
          <w:vertAlign w:val="baseline"/>
        </w:rPr>
        <w:t>another</w:t>
      </w:r>
      <w:r>
        <w:rPr>
          <w:spacing w:val="-7"/>
          <w:sz w:val="21"/>
          <w:vertAlign w:val="baseline"/>
        </w:rPr>
        <w:t> </w:t>
      </w:r>
      <w:r>
        <w:rPr>
          <w:sz w:val="21"/>
          <w:vertAlign w:val="baseline"/>
        </w:rPr>
        <w:t>powerful</w:t>
      </w:r>
      <w:r>
        <w:rPr>
          <w:spacing w:val="-7"/>
          <w:sz w:val="21"/>
          <w:vertAlign w:val="baseline"/>
        </w:rPr>
        <w:t> </w:t>
      </w:r>
      <w:r>
        <w:rPr>
          <w:sz w:val="21"/>
          <w:vertAlign w:val="baseline"/>
        </w:rPr>
        <w:t>strategy</w:t>
      </w:r>
      <w:r>
        <w:rPr>
          <w:spacing w:val="-7"/>
          <w:sz w:val="21"/>
          <w:vertAlign w:val="baseline"/>
        </w:rPr>
        <w:t> </w:t>
      </w:r>
      <w:r>
        <w:rPr>
          <w:sz w:val="21"/>
          <w:vertAlign w:val="baseline"/>
        </w:rPr>
        <w:t>for</w:t>
      </w:r>
      <w:r>
        <w:rPr>
          <w:spacing w:val="-7"/>
          <w:sz w:val="21"/>
          <w:vertAlign w:val="baseline"/>
        </w:rPr>
        <w:t> </w:t>
      </w:r>
      <w:r>
        <w:rPr>
          <w:sz w:val="21"/>
          <w:vertAlign w:val="baseline"/>
        </w:rPr>
        <w:t>reducing</w:t>
      </w:r>
      <w:r>
        <w:rPr>
          <w:spacing w:val="-7"/>
          <w:sz w:val="21"/>
          <w:vertAlign w:val="baseline"/>
        </w:rPr>
        <w:t> </w:t>
      </w:r>
      <w:r>
        <w:rPr>
          <w:sz w:val="21"/>
          <w:vertAlign w:val="baseline"/>
        </w:rPr>
        <w:t>stigma in</w:t>
      </w:r>
      <w:r>
        <w:rPr>
          <w:spacing w:val="-12"/>
          <w:sz w:val="21"/>
          <w:vertAlign w:val="baseline"/>
        </w:rPr>
        <w:t> </w:t>
      </w:r>
      <w:r>
        <w:rPr>
          <w:sz w:val="21"/>
          <w:vertAlign w:val="baseline"/>
        </w:rPr>
        <w:t>a</w:t>
      </w:r>
      <w:r>
        <w:rPr>
          <w:spacing w:val="-12"/>
          <w:sz w:val="21"/>
          <w:vertAlign w:val="baseline"/>
        </w:rPr>
        <w:t> </w:t>
      </w:r>
      <w:r>
        <w:rPr>
          <w:sz w:val="21"/>
          <w:vertAlign w:val="baseline"/>
        </w:rPr>
        <w:t>culturally</w:t>
      </w:r>
      <w:r>
        <w:rPr>
          <w:spacing w:val="-12"/>
          <w:sz w:val="21"/>
          <w:vertAlign w:val="baseline"/>
        </w:rPr>
        <w:t> </w:t>
      </w:r>
      <w:r>
        <w:rPr>
          <w:sz w:val="21"/>
          <w:vertAlign w:val="baseline"/>
        </w:rPr>
        <w:t>relevant</w:t>
      </w:r>
      <w:r>
        <w:rPr>
          <w:spacing w:val="-12"/>
          <w:sz w:val="21"/>
          <w:vertAlign w:val="baseline"/>
        </w:rPr>
        <w:t> </w:t>
      </w:r>
      <w:r>
        <w:rPr>
          <w:sz w:val="21"/>
          <w:vertAlign w:val="baseline"/>
        </w:rPr>
        <w:t>way.</w:t>
      </w:r>
      <w:r>
        <w:rPr>
          <w:spacing w:val="-12"/>
          <w:sz w:val="21"/>
          <w:vertAlign w:val="baseline"/>
        </w:rPr>
        <w:t> </w:t>
      </w:r>
      <w:r>
        <w:rPr>
          <w:sz w:val="21"/>
          <w:vertAlign w:val="baseline"/>
        </w:rPr>
        <w:t>They</w:t>
      </w:r>
      <w:r>
        <w:rPr>
          <w:spacing w:val="-12"/>
          <w:sz w:val="21"/>
          <w:vertAlign w:val="baseline"/>
        </w:rPr>
        <w:t> </w:t>
      </w:r>
      <w:r>
        <w:rPr>
          <w:sz w:val="21"/>
          <w:vertAlign w:val="baseline"/>
        </w:rPr>
        <w:t>can</w:t>
      </w:r>
      <w:r>
        <w:rPr>
          <w:spacing w:val="-12"/>
          <w:sz w:val="21"/>
          <w:vertAlign w:val="baseline"/>
        </w:rPr>
        <w:t> </w:t>
      </w:r>
      <w:r>
        <w:rPr>
          <w:sz w:val="21"/>
          <w:vertAlign w:val="baseline"/>
        </w:rPr>
        <w:t>collaborate</w:t>
      </w:r>
      <w:r>
        <w:rPr>
          <w:spacing w:val="-11"/>
          <w:sz w:val="21"/>
          <w:vertAlign w:val="baseline"/>
        </w:rPr>
        <w:t> </w:t>
      </w:r>
      <w:r>
        <w:rPr>
          <w:sz w:val="21"/>
          <w:vertAlign w:val="baseline"/>
        </w:rPr>
        <w:t>with</w:t>
      </w:r>
      <w:r>
        <w:rPr>
          <w:spacing w:val="-12"/>
          <w:sz w:val="21"/>
          <w:vertAlign w:val="baseline"/>
        </w:rPr>
        <w:t> </w:t>
      </w:r>
      <w:r>
        <w:rPr>
          <w:sz w:val="21"/>
          <w:vertAlign w:val="baseline"/>
        </w:rPr>
        <w:t>social</w:t>
      </w:r>
      <w:r>
        <w:rPr>
          <w:spacing w:val="-12"/>
          <w:sz w:val="21"/>
          <w:vertAlign w:val="baseline"/>
        </w:rPr>
        <w:t> </w:t>
      </w:r>
      <w:r>
        <w:rPr>
          <w:sz w:val="21"/>
          <w:vertAlign w:val="baseline"/>
        </w:rPr>
        <w:t>workers,</w:t>
      </w:r>
      <w:r>
        <w:rPr>
          <w:spacing w:val="-11"/>
          <w:sz w:val="21"/>
          <w:vertAlign w:val="baseline"/>
        </w:rPr>
        <w:t> </w:t>
      </w:r>
      <w:r>
        <w:rPr>
          <w:sz w:val="21"/>
          <w:vertAlign w:val="baseline"/>
        </w:rPr>
        <w:t>medical</w:t>
      </w:r>
      <w:r>
        <w:rPr>
          <w:spacing w:val="-12"/>
          <w:sz w:val="21"/>
          <w:vertAlign w:val="baseline"/>
        </w:rPr>
        <w:t> </w:t>
      </w:r>
      <w:r>
        <w:rPr>
          <w:sz w:val="21"/>
          <w:vertAlign w:val="baseline"/>
        </w:rPr>
        <w:t>professionals,</w:t>
      </w:r>
      <w:r>
        <w:rPr>
          <w:spacing w:val="-11"/>
          <w:sz w:val="21"/>
          <w:vertAlign w:val="baseline"/>
        </w:rPr>
        <w:t> </w:t>
      </w:r>
      <w:r>
        <w:rPr>
          <w:sz w:val="21"/>
          <w:vertAlign w:val="baseline"/>
        </w:rPr>
        <w:t>teachers,</w:t>
      </w:r>
      <w:r>
        <w:rPr>
          <w:spacing w:val="-12"/>
          <w:sz w:val="21"/>
          <w:vertAlign w:val="baseline"/>
        </w:rPr>
        <w:t> </w:t>
      </w:r>
      <w:r>
        <w:rPr>
          <w:sz w:val="21"/>
          <w:vertAlign w:val="baseline"/>
        </w:rPr>
        <w:t>and</w:t>
      </w:r>
      <w:r>
        <w:rPr>
          <w:spacing w:val="-11"/>
          <w:sz w:val="21"/>
          <w:vertAlign w:val="baseline"/>
        </w:rPr>
        <w:t> </w:t>
      </w:r>
      <w:r>
        <w:rPr>
          <w:sz w:val="21"/>
          <w:vertAlign w:val="baseline"/>
        </w:rPr>
        <w:t>more, and often come from more isolated or marginalized communities, like rural, immigrant, or BIPOC-majority </w:t>
      </w:r>
      <w:r>
        <w:rPr>
          <w:spacing w:val="-2"/>
          <w:sz w:val="21"/>
          <w:vertAlign w:val="baseline"/>
        </w:rPr>
        <w:t>neighborhoods</w:t>
      </w:r>
      <w:hyperlink w:history="true" w:anchor="_bookmark179">
        <w:r>
          <w:rPr>
            <w:spacing w:val="-2"/>
            <w:sz w:val="21"/>
            <w:vertAlign w:val="baseline"/>
          </w:rPr>
          <w:t>.</w:t>
        </w:r>
        <w:r>
          <w:rPr>
            <w:spacing w:val="-2"/>
            <w:sz w:val="21"/>
            <w:vertAlign w:val="superscript"/>
          </w:rPr>
          <w:t>83</w:t>
        </w:r>
      </w:hyperlink>
    </w:p>
    <w:p>
      <w:pPr>
        <w:spacing w:line="276" w:lineRule="auto" w:before="241"/>
        <w:ind w:left="463" w:right="242" w:firstLine="0"/>
        <w:jc w:val="both"/>
        <w:rPr>
          <w:sz w:val="21"/>
        </w:rPr>
      </w:pPr>
      <w:r>
        <w:rPr>
          <w:sz w:val="21"/>
        </w:rPr>
        <w:t>Proud</w:t>
      </w:r>
      <w:r>
        <w:rPr>
          <w:spacing w:val="-2"/>
          <w:sz w:val="21"/>
        </w:rPr>
        <w:t> </w:t>
      </w:r>
      <w:r>
        <w:rPr>
          <w:sz w:val="21"/>
        </w:rPr>
        <w:t>and</w:t>
      </w:r>
      <w:r>
        <w:rPr>
          <w:spacing w:val="-2"/>
          <w:sz w:val="21"/>
        </w:rPr>
        <w:t> </w:t>
      </w:r>
      <w:r>
        <w:rPr>
          <w:sz w:val="21"/>
        </w:rPr>
        <w:t>Empowered,</w:t>
      </w:r>
      <w:r>
        <w:rPr>
          <w:spacing w:val="-1"/>
          <w:sz w:val="21"/>
        </w:rPr>
        <w:t> </w:t>
      </w:r>
      <w:r>
        <w:rPr>
          <w:sz w:val="21"/>
        </w:rPr>
        <w:t>a</w:t>
      </w:r>
      <w:r>
        <w:rPr>
          <w:spacing w:val="-2"/>
          <w:sz w:val="21"/>
        </w:rPr>
        <w:t> </w:t>
      </w:r>
      <w:r>
        <w:rPr>
          <w:sz w:val="21"/>
        </w:rPr>
        <w:t>small-group</w:t>
      </w:r>
      <w:r>
        <w:rPr>
          <w:spacing w:val="-2"/>
          <w:sz w:val="21"/>
        </w:rPr>
        <w:t> </w:t>
      </w:r>
      <w:r>
        <w:rPr>
          <w:sz w:val="21"/>
        </w:rPr>
        <w:t>program,</w:t>
      </w:r>
      <w:r>
        <w:rPr>
          <w:spacing w:val="-1"/>
          <w:sz w:val="21"/>
        </w:rPr>
        <w:t> </w:t>
      </w:r>
      <w:r>
        <w:rPr>
          <w:sz w:val="21"/>
        </w:rPr>
        <w:t>is</w:t>
      </w:r>
      <w:r>
        <w:rPr>
          <w:spacing w:val="-2"/>
          <w:sz w:val="21"/>
        </w:rPr>
        <w:t> </w:t>
      </w:r>
      <w:r>
        <w:rPr>
          <w:sz w:val="21"/>
        </w:rPr>
        <w:t>an</w:t>
      </w:r>
      <w:r>
        <w:rPr>
          <w:spacing w:val="-2"/>
          <w:sz w:val="21"/>
        </w:rPr>
        <w:t> </w:t>
      </w:r>
      <w:r>
        <w:rPr>
          <w:sz w:val="21"/>
        </w:rPr>
        <w:t>example</w:t>
      </w:r>
      <w:r>
        <w:rPr>
          <w:spacing w:val="-2"/>
          <w:sz w:val="21"/>
        </w:rPr>
        <w:t> </w:t>
      </w:r>
      <w:r>
        <w:rPr>
          <w:sz w:val="21"/>
        </w:rPr>
        <w:t>of</w:t>
      </w:r>
      <w:r>
        <w:rPr>
          <w:spacing w:val="-2"/>
          <w:sz w:val="21"/>
        </w:rPr>
        <w:t> </w:t>
      </w:r>
      <w:r>
        <w:rPr>
          <w:sz w:val="21"/>
        </w:rPr>
        <w:t>peer</w:t>
      </w:r>
      <w:r>
        <w:rPr>
          <w:spacing w:val="-2"/>
          <w:sz w:val="21"/>
        </w:rPr>
        <w:t> </w:t>
      </w:r>
      <w:r>
        <w:rPr>
          <w:sz w:val="21"/>
        </w:rPr>
        <w:t>work</w:t>
      </w:r>
      <w:r>
        <w:rPr>
          <w:spacing w:val="-1"/>
          <w:sz w:val="21"/>
        </w:rPr>
        <w:t> </w:t>
      </w:r>
      <w:r>
        <w:rPr>
          <w:sz w:val="21"/>
        </w:rPr>
        <w:t>in</w:t>
      </w:r>
      <w:r>
        <w:rPr>
          <w:spacing w:val="-3"/>
          <w:sz w:val="21"/>
        </w:rPr>
        <w:t> </w:t>
      </w:r>
      <w:r>
        <w:rPr>
          <w:sz w:val="21"/>
        </w:rPr>
        <w:t>schools.</w:t>
      </w:r>
      <w:r>
        <w:rPr>
          <w:spacing w:val="-2"/>
          <w:sz w:val="21"/>
        </w:rPr>
        <w:t> </w:t>
      </w:r>
      <w:r>
        <w:rPr>
          <w:sz w:val="21"/>
        </w:rPr>
        <w:t>The</w:t>
      </w:r>
      <w:r>
        <w:rPr>
          <w:spacing w:val="-2"/>
          <w:sz w:val="21"/>
        </w:rPr>
        <w:t> </w:t>
      </w:r>
      <w:r>
        <w:rPr>
          <w:sz w:val="21"/>
        </w:rPr>
        <w:t>program</w:t>
      </w:r>
      <w:r>
        <w:rPr>
          <w:spacing w:val="-2"/>
          <w:sz w:val="21"/>
        </w:rPr>
        <w:t> </w:t>
      </w:r>
      <w:r>
        <w:rPr>
          <w:sz w:val="21"/>
        </w:rPr>
        <w:t>provided</w:t>
      </w:r>
      <w:r>
        <w:rPr>
          <w:spacing w:val="-3"/>
          <w:sz w:val="21"/>
        </w:rPr>
        <w:t> </w:t>
      </w:r>
      <w:r>
        <w:rPr>
          <w:sz w:val="21"/>
        </w:rPr>
        <w:t>a 10-session</w:t>
      </w:r>
      <w:r>
        <w:rPr>
          <w:spacing w:val="-6"/>
          <w:sz w:val="21"/>
        </w:rPr>
        <w:t> </w:t>
      </w:r>
      <w:r>
        <w:rPr>
          <w:sz w:val="21"/>
        </w:rPr>
        <w:t>program</w:t>
      </w:r>
      <w:r>
        <w:rPr>
          <w:spacing w:val="-6"/>
          <w:sz w:val="21"/>
        </w:rPr>
        <w:t> </w:t>
      </w:r>
      <w:r>
        <w:rPr>
          <w:sz w:val="21"/>
        </w:rPr>
        <w:t>for</w:t>
      </w:r>
      <w:r>
        <w:rPr>
          <w:spacing w:val="-6"/>
          <w:sz w:val="21"/>
        </w:rPr>
        <w:t> </w:t>
      </w:r>
      <w:r>
        <w:rPr>
          <w:sz w:val="21"/>
        </w:rPr>
        <w:t>LGBTQ</w:t>
      </w:r>
      <w:r>
        <w:rPr>
          <w:spacing w:val="-6"/>
          <w:sz w:val="21"/>
        </w:rPr>
        <w:t> </w:t>
      </w:r>
      <w:r>
        <w:rPr>
          <w:sz w:val="21"/>
        </w:rPr>
        <w:t>youth,</w:t>
      </w:r>
      <w:r>
        <w:rPr>
          <w:spacing w:val="-6"/>
          <w:sz w:val="21"/>
        </w:rPr>
        <w:t> </w:t>
      </w:r>
      <w:r>
        <w:rPr>
          <w:sz w:val="21"/>
        </w:rPr>
        <w:t>but</w:t>
      </w:r>
      <w:r>
        <w:rPr>
          <w:spacing w:val="-6"/>
          <w:sz w:val="21"/>
        </w:rPr>
        <w:t> </w:t>
      </w:r>
      <w:r>
        <w:rPr>
          <w:sz w:val="21"/>
        </w:rPr>
        <w:t>it</w:t>
      </w:r>
      <w:r>
        <w:rPr>
          <w:spacing w:val="-6"/>
          <w:sz w:val="21"/>
        </w:rPr>
        <w:t> </w:t>
      </w:r>
      <w:r>
        <w:rPr>
          <w:sz w:val="21"/>
        </w:rPr>
        <w:t>also</w:t>
      </w:r>
      <w:r>
        <w:rPr>
          <w:spacing w:val="-6"/>
          <w:sz w:val="21"/>
        </w:rPr>
        <w:t> </w:t>
      </w:r>
      <w:r>
        <w:rPr>
          <w:sz w:val="21"/>
        </w:rPr>
        <w:t>trained</w:t>
      </w:r>
      <w:r>
        <w:rPr>
          <w:spacing w:val="-7"/>
          <w:sz w:val="21"/>
        </w:rPr>
        <w:t> </w:t>
      </w:r>
      <w:r>
        <w:rPr>
          <w:sz w:val="21"/>
        </w:rPr>
        <w:t>“popular”</w:t>
      </w:r>
      <w:r>
        <w:rPr>
          <w:spacing w:val="-6"/>
          <w:sz w:val="21"/>
        </w:rPr>
        <w:t> </w:t>
      </w:r>
      <w:r>
        <w:rPr>
          <w:sz w:val="21"/>
        </w:rPr>
        <w:t>students</w:t>
      </w:r>
      <w:r>
        <w:rPr>
          <w:spacing w:val="-6"/>
          <w:sz w:val="21"/>
        </w:rPr>
        <w:t> </w:t>
      </w:r>
      <w:r>
        <w:rPr>
          <w:sz w:val="21"/>
        </w:rPr>
        <w:t>to</w:t>
      </w:r>
      <w:r>
        <w:rPr>
          <w:spacing w:val="-6"/>
          <w:sz w:val="21"/>
        </w:rPr>
        <w:t> </w:t>
      </w:r>
      <w:r>
        <w:rPr>
          <w:sz w:val="21"/>
        </w:rPr>
        <w:t>be</w:t>
      </w:r>
      <w:r>
        <w:rPr>
          <w:spacing w:val="-7"/>
          <w:sz w:val="21"/>
        </w:rPr>
        <w:t> </w:t>
      </w:r>
      <w:r>
        <w:rPr>
          <w:sz w:val="21"/>
        </w:rPr>
        <w:t>allies</w:t>
      </w:r>
      <w:r>
        <w:rPr>
          <w:spacing w:val="-6"/>
          <w:sz w:val="21"/>
        </w:rPr>
        <w:t> </w:t>
      </w:r>
      <w:r>
        <w:rPr>
          <w:sz w:val="21"/>
        </w:rPr>
        <w:t>in</w:t>
      </w:r>
      <w:r>
        <w:rPr>
          <w:spacing w:val="-6"/>
          <w:sz w:val="21"/>
        </w:rPr>
        <w:t> </w:t>
      </w:r>
      <w:r>
        <w:rPr>
          <w:sz w:val="21"/>
        </w:rPr>
        <w:t>a</w:t>
      </w:r>
      <w:r>
        <w:rPr>
          <w:spacing w:val="-6"/>
          <w:sz w:val="21"/>
        </w:rPr>
        <w:t> </w:t>
      </w:r>
      <w:r>
        <w:rPr>
          <w:sz w:val="21"/>
        </w:rPr>
        <w:t>4-session</w:t>
      </w:r>
      <w:r>
        <w:rPr>
          <w:spacing w:val="-6"/>
          <w:sz w:val="21"/>
        </w:rPr>
        <w:t> </w:t>
      </w:r>
      <w:r>
        <w:rPr>
          <w:sz w:val="21"/>
        </w:rPr>
        <w:t>leadership program, shifting the burden of changing school climate to students with privilege. </w:t>
      </w:r>
      <w:hyperlink w:history="true" w:anchor="_bookmark180">
        <w:r>
          <w:rPr>
            <w:sz w:val="21"/>
            <w:vertAlign w:val="superscript"/>
          </w:rPr>
          <w:t>84</w:t>
        </w:r>
      </w:hyperlink>
      <w:r>
        <w:rPr>
          <w:sz w:val="21"/>
          <w:vertAlign w:val="baseline"/>
        </w:rPr>
        <w:t> The first national review of peer and non-peer transition services makes useful recommendations about the needs and preferences of peer workers, including greater funding for coaching and training</w:t>
      </w:r>
      <w:hyperlink w:history="true" w:anchor="_bookmark181">
        <w:r>
          <w:rPr>
            <w:sz w:val="21"/>
            <w:vertAlign w:val="baseline"/>
          </w:rPr>
          <w:t>.</w:t>
        </w:r>
        <w:r>
          <w:rPr>
            <w:sz w:val="21"/>
            <w:vertAlign w:val="superscript"/>
          </w:rPr>
          <w:t>85</w:t>
        </w:r>
      </w:hyperlink>
    </w:p>
    <w:p>
      <w:pPr>
        <w:spacing w:line="276" w:lineRule="auto" w:before="239"/>
        <w:ind w:left="463" w:right="238" w:hanging="1"/>
        <w:jc w:val="both"/>
        <w:rPr>
          <w:sz w:val="21"/>
        </w:rPr>
      </w:pPr>
      <w:r>
        <w:rPr>
          <w:sz w:val="21"/>
        </w:rPr>
        <w:t>Another</w:t>
      </w:r>
      <w:r>
        <w:rPr>
          <w:spacing w:val="-2"/>
          <w:sz w:val="21"/>
        </w:rPr>
        <w:t> </w:t>
      </w:r>
      <w:r>
        <w:rPr>
          <w:sz w:val="21"/>
        </w:rPr>
        <w:t>way</w:t>
      </w:r>
      <w:r>
        <w:rPr>
          <w:spacing w:val="-2"/>
          <w:sz w:val="21"/>
        </w:rPr>
        <w:t> </w:t>
      </w:r>
      <w:r>
        <w:rPr>
          <w:sz w:val="21"/>
        </w:rPr>
        <w:t>that</w:t>
      </w:r>
      <w:r>
        <w:rPr>
          <w:spacing w:val="-2"/>
          <w:sz w:val="21"/>
        </w:rPr>
        <w:t> </w:t>
      </w:r>
      <w:r>
        <w:rPr>
          <w:sz w:val="21"/>
        </w:rPr>
        <w:t>schools</w:t>
      </w:r>
      <w:r>
        <w:rPr>
          <w:spacing w:val="-3"/>
          <w:sz w:val="21"/>
        </w:rPr>
        <w:t> </w:t>
      </w:r>
      <w:r>
        <w:rPr>
          <w:sz w:val="21"/>
        </w:rPr>
        <w:t>and</w:t>
      </w:r>
      <w:r>
        <w:rPr>
          <w:spacing w:val="-2"/>
          <w:sz w:val="21"/>
        </w:rPr>
        <w:t> </w:t>
      </w:r>
      <w:r>
        <w:rPr>
          <w:sz w:val="21"/>
        </w:rPr>
        <w:t>communities</w:t>
      </w:r>
      <w:r>
        <w:rPr>
          <w:spacing w:val="-3"/>
          <w:sz w:val="21"/>
        </w:rPr>
        <w:t> </w:t>
      </w:r>
      <w:r>
        <w:rPr>
          <w:sz w:val="21"/>
        </w:rPr>
        <w:t>can</w:t>
      </w:r>
      <w:r>
        <w:rPr>
          <w:spacing w:val="-2"/>
          <w:sz w:val="21"/>
        </w:rPr>
        <w:t> </w:t>
      </w:r>
      <w:r>
        <w:rPr>
          <w:sz w:val="21"/>
        </w:rPr>
        <w:t>task-shift</w:t>
      </w:r>
      <w:r>
        <w:rPr>
          <w:spacing w:val="-2"/>
          <w:sz w:val="21"/>
        </w:rPr>
        <w:t> </w:t>
      </w:r>
      <w:r>
        <w:rPr>
          <w:sz w:val="21"/>
        </w:rPr>
        <w:t>is</w:t>
      </w:r>
      <w:r>
        <w:rPr>
          <w:spacing w:val="-3"/>
          <w:sz w:val="21"/>
        </w:rPr>
        <w:t> </w:t>
      </w:r>
      <w:r>
        <w:rPr>
          <w:sz w:val="21"/>
        </w:rPr>
        <w:t>by</w:t>
      </w:r>
      <w:r>
        <w:rPr>
          <w:spacing w:val="-3"/>
          <w:sz w:val="21"/>
        </w:rPr>
        <w:t> </w:t>
      </w:r>
      <w:r>
        <w:rPr>
          <w:sz w:val="21"/>
        </w:rPr>
        <w:t>hosting</w:t>
      </w:r>
      <w:r>
        <w:rPr>
          <w:spacing w:val="-2"/>
          <w:sz w:val="21"/>
        </w:rPr>
        <w:t> </w:t>
      </w:r>
      <w:r>
        <w:rPr>
          <w:sz w:val="21"/>
        </w:rPr>
        <w:t>free</w:t>
      </w:r>
      <w:r>
        <w:rPr>
          <w:spacing w:val="-2"/>
          <w:sz w:val="21"/>
        </w:rPr>
        <w:t> </w:t>
      </w:r>
      <w:r>
        <w:rPr>
          <w:sz w:val="21"/>
        </w:rPr>
        <w:t>mental</w:t>
      </w:r>
      <w:r>
        <w:rPr>
          <w:spacing w:val="-2"/>
          <w:sz w:val="21"/>
        </w:rPr>
        <w:t> </w:t>
      </w:r>
      <w:r>
        <w:rPr>
          <w:sz w:val="21"/>
        </w:rPr>
        <w:t>health</w:t>
      </w:r>
      <w:r>
        <w:rPr>
          <w:spacing w:val="-2"/>
          <w:sz w:val="21"/>
        </w:rPr>
        <w:t> </w:t>
      </w:r>
      <w:r>
        <w:rPr>
          <w:sz w:val="21"/>
        </w:rPr>
        <w:t>first</w:t>
      </w:r>
      <w:r>
        <w:rPr>
          <w:spacing w:val="-2"/>
          <w:sz w:val="21"/>
        </w:rPr>
        <w:t> </w:t>
      </w:r>
      <w:r>
        <w:rPr>
          <w:sz w:val="21"/>
        </w:rPr>
        <w:t>aid</w:t>
      </w:r>
      <w:r>
        <w:rPr>
          <w:spacing w:val="-4"/>
          <w:sz w:val="21"/>
        </w:rPr>
        <w:t> </w:t>
      </w:r>
      <w:r>
        <w:rPr>
          <w:sz w:val="21"/>
        </w:rPr>
        <w:t>trainings</w:t>
      </w:r>
      <w:r>
        <w:rPr>
          <w:spacing w:val="-3"/>
          <w:sz w:val="21"/>
        </w:rPr>
        <w:t> </w:t>
      </w:r>
      <w:r>
        <w:rPr>
          <w:sz w:val="21"/>
        </w:rPr>
        <w:t>and mental</w:t>
      </w:r>
      <w:r>
        <w:rPr>
          <w:spacing w:val="-11"/>
          <w:sz w:val="21"/>
        </w:rPr>
        <w:t> </w:t>
      </w:r>
      <w:r>
        <w:rPr>
          <w:sz w:val="21"/>
        </w:rPr>
        <w:t>health</w:t>
      </w:r>
      <w:r>
        <w:rPr>
          <w:spacing w:val="-12"/>
          <w:sz w:val="21"/>
        </w:rPr>
        <w:t> </w:t>
      </w:r>
      <w:r>
        <w:rPr>
          <w:sz w:val="21"/>
        </w:rPr>
        <w:t>literacy</w:t>
      </w:r>
      <w:r>
        <w:rPr>
          <w:spacing w:val="-12"/>
          <w:sz w:val="21"/>
        </w:rPr>
        <w:t> </w:t>
      </w:r>
      <w:r>
        <w:rPr>
          <w:sz w:val="21"/>
        </w:rPr>
        <w:t>campaigns.</w:t>
      </w:r>
      <w:r>
        <w:rPr>
          <w:spacing w:val="-11"/>
          <w:sz w:val="21"/>
        </w:rPr>
        <w:t> </w:t>
      </w:r>
      <w:r>
        <w:rPr>
          <w:sz w:val="21"/>
        </w:rPr>
        <w:t>Mental</w:t>
      </w:r>
      <w:r>
        <w:rPr>
          <w:spacing w:val="-12"/>
          <w:sz w:val="21"/>
        </w:rPr>
        <w:t> </w:t>
      </w:r>
      <w:r>
        <w:rPr>
          <w:sz w:val="21"/>
        </w:rPr>
        <w:t>health</w:t>
      </w:r>
      <w:r>
        <w:rPr>
          <w:spacing w:val="-11"/>
          <w:sz w:val="21"/>
        </w:rPr>
        <w:t> </w:t>
      </w:r>
      <w:r>
        <w:rPr>
          <w:sz w:val="21"/>
        </w:rPr>
        <w:t>first</w:t>
      </w:r>
      <w:r>
        <w:rPr>
          <w:spacing w:val="-11"/>
          <w:sz w:val="21"/>
        </w:rPr>
        <w:t> </w:t>
      </w:r>
      <w:r>
        <w:rPr>
          <w:sz w:val="21"/>
        </w:rPr>
        <w:t>aid</w:t>
      </w:r>
      <w:r>
        <w:rPr>
          <w:spacing w:val="-12"/>
          <w:sz w:val="21"/>
        </w:rPr>
        <w:t> </w:t>
      </w:r>
      <w:r>
        <w:rPr>
          <w:sz w:val="21"/>
        </w:rPr>
        <w:t>teaches</w:t>
      </w:r>
      <w:r>
        <w:rPr>
          <w:spacing w:val="-12"/>
          <w:sz w:val="21"/>
        </w:rPr>
        <w:t> </w:t>
      </w:r>
      <w:r>
        <w:rPr>
          <w:sz w:val="21"/>
        </w:rPr>
        <w:t>laypeople</w:t>
      </w:r>
      <w:r>
        <w:rPr>
          <w:spacing w:val="-11"/>
          <w:sz w:val="21"/>
        </w:rPr>
        <w:t> </w:t>
      </w:r>
      <w:r>
        <w:rPr>
          <w:sz w:val="21"/>
        </w:rPr>
        <w:t>to</w:t>
      </w:r>
      <w:r>
        <w:rPr>
          <w:spacing w:val="-12"/>
          <w:sz w:val="21"/>
        </w:rPr>
        <w:t> </w:t>
      </w:r>
      <w:r>
        <w:rPr>
          <w:sz w:val="21"/>
        </w:rPr>
        <w:t>recognize</w:t>
      </w:r>
      <w:r>
        <w:rPr>
          <w:spacing w:val="-11"/>
          <w:sz w:val="21"/>
        </w:rPr>
        <w:t> </w:t>
      </w:r>
      <w:r>
        <w:rPr>
          <w:sz w:val="21"/>
        </w:rPr>
        <w:t>and</w:t>
      </w:r>
      <w:r>
        <w:rPr>
          <w:spacing w:val="-11"/>
          <w:sz w:val="21"/>
        </w:rPr>
        <w:t> </w:t>
      </w:r>
      <w:r>
        <w:rPr>
          <w:sz w:val="21"/>
        </w:rPr>
        <w:t>intervene</w:t>
      </w:r>
      <w:r>
        <w:rPr>
          <w:spacing w:val="-11"/>
          <w:sz w:val="21"/>
        </w:rPr>
        <w:t> </w:t>
      </w:r>
      <w:r>
        <w:rPr>
          <w:sz w:val="21"/>
        </w:rPr>
        <w:t>in</w:t>
      </w:r>
      <w:r>
        <w:rPr>
          <w:spacing w:val="-11"/>
          <w:sz w:val="21"/>
        </w:rPr>
        <w:t> </w:t>
      </w:r>
      <w:r>
        <w:rPr>
          <w:sz w:val="21"/>
        </w:rPr>
        <w:t>mental health emergencies such as panic attacks and suicidal ideation; it has been shown to significantly decrease mental health stigma in parents</w:t>
      </w:r>
      <w:hyperlink w:history="true" w:anchor="_bookmark182">
        <w:r>
          <w:rPr>
            <w:sz w:val="21"/>
          </w:rPr>
          <w:t>.</w:t>
        </w:r>
        <w:r>
          <w:rPr>
            <w:sz w:val="21"/>
            <w:vertAlign w:val="superscript"/>
          </w:rPr>
          <w:t>86</w:t>
        </w:r>
      </w:hyperlink>
      <w:r>
        <w:rPr>
          <w:sz w:val="21"/>
          <w:vertAlign w:val="baseline"/>
        </w:rPr>
        <w:t> Since reluctance about getting parental permission is a major reason why LGBTQ youth do not seek mental health care, decreasing community-wide mental health stigma is important.</w:t>
      </w:r>
    </w:p>
    <w:p>
      <w:pPr>
        <w:spacing w:before="240"/>
        <w:ind w:left="463" w:right="0" w:firstLine="0"/>
        <w:jc w:val="both"/>
        <w:rPr>
          <w:sz w:val="28"/>
        </w:rPr>
      </w:pPr>
      <w:bookmarkStart w:name="Optimize LGBTQ Youth Programming and Pro" w:id="256"/>
      <w:bookmarkEnd w:id="256"/>
      <w:r>
        <w:rPr/>
      </w:r>
      <w:r>
        <w:rPr>
          <w:color w:val="365F91"/>
          <w:sz w:val="28"/>
        </w:rPr>
        <w:t>Optimize</w:t>
      </w:r>
      <w:r>
        <w:rPr>
          <w:color w:val="365F91"/>
          <w:spacing w:val="-12"/>
          <w:sz w:val="28"/>
        </w:rPr>
        <w:t> </w:t>
      </w:r>
      <w:r>
        <w:rPr>
          <w:color w:val="365F91"/>
          <w:sz w:val="28"/>
        </w:rPr>
        <w:t>LGBTQ</w:t>
      </w:r>
      <w:r>
        <w:rPr>
          <w:color w:val="365F91"/>
          <w:spacing w:val="-11"/>
          <w:sz w:val="28"/>
        </w:rPr>
        <w:t> </w:t>
      </w:r>
      <w:r>
        <w:rPr>
          <w:color w:val="365F91"/>
          <w:sz w:val="28"/>
        </w:rPr>
        <w:t>Youth</w:t>
      </w:r>
      <w:r>
        <w:rPr>
          <w:color w:val="365F91"/>
          <w:spacing w:val="-13"/>
          <w:sz w:val="28"/>
        </w:rPr>
        <w:t> </w:t>
      </w:r>
      <w:r>
        <w:rPr>
          <w:color w:val="365F91"/>
          <w:sz w:val="28"/>
        </w:rPr>
        <w:t>Programming</w:t>
      </w:r>
      <w:r>
        <w:rPr>
          <w:color w:val="365F91"/>
          <w:spacing w:val="-11"/>
          <w:sz w:val="28"/>
        </w:rPr>
        <w:t> </w:t>
      </w:r>
      <w:r>
        <w:rPr>
          <w:color w:val="365F91"/>
          <w:sz w:val="28"/>
        </w:rPr>
        <w:t>and</w:t>
      </w:r>
      <w:r>
        <w:rPr>
          <w:color w:val="365F91"/>
          <w:spacing w:val="-12"/>
          <w:sz w:val="28"/>
        </w:rPr>
        <w:t> </w:t>
      </w:r>
      <w:r>
        <w:rPr>
          <w:color w:val="365F91"/>
          <w:sz w:val="28"/>
        </w:rPr>
        <w:t>Promoting</w:t>
      </w:r>
      <w:r>
        <w:rPr>
          <w:color w:val="365F91"/>
          <w:spacing w:val="-12"/>
          <w:sz w:val="28"/>
        </w:rPr>
        <w:t> </w:t>
      </w:r>
      <w:r>
        <w:rPr>
          <w:color w:val="365F91"/>
          <w:sz w:val="28"/>
        </w:rPr>
        <w:t>Positive</w:t>
      </w:r>
      <w:r>
        <w:rPr>
          <w:color w:val="365F91"/>
          <w:spacing w:val="-11"/>
          <w:sz w:val="28"/>
        </w:rPr>
        <w:t> </w:t>
      </w:r>
      <w:r>
        <w:rPr>
          <w:color w:val="365F91"/>
          <w:sz w:val="28"/>
        </w:rPr>
        <w:t>Youth</w:t>
      </w:r>
      <w:r>
        <w:rPr>
          <w:color w:val="365F91"/>
          <w:spacing w:val="-13"/>
          <w:sz w:val="28"/>
        </w:rPr>
        <w:t> </w:t>
      </w:r>
      <w:r>
        <w:rPr>
          <w:color w:val="365F91"/>
          <w:spacing w:val="-2"/>
          <w:sz w:val="28"/>
        </w:rPr>
        <w:t>Development</w:t>
      </w:r>
    </w:p>
    <w:p>
      <w:pPr>
        <w:spacing w:line="276" w:lineRule="auto" w:before="292"/>
        <w:ind w:left="2923" w:right="240" w:firstLine="0"/>
        <w:jc w:val="both"/>
        <w:rPr>
          <w:sz w:val="21"/>
        </w:rPr>
      </w:pPr>
      <w:r>
        <w:rPr/>
        <w:drawing>
          <wp:anchor distT="0" distB="0" distL="0" distR="0" allowOverlap="1" layoutInCell="1" locked="0" behindDoc="0" simplePos="0" relativeHeight="15766016">
            <wp:simplePos x="0" y="0"/>
            <wp:positionH relativeFrom="page">
              <wp:posOffset>825500</wp:posOffset>
            </wp:positionH>
            <wp:positionV relativeFrom="paragraph">
              <wp:posOffset>194647</wp:posOffset>
            </wp:positionV>
            <wp:extent cx="1554096" cy="1544942"/>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188" cstate="print"/>
                    <a:stretch>
                      <a:fillRect/>
                    </a:stretch>
                  </pic:blipFill>
                  <pic:spPr>
                    <a:xfrm>
                      <a:off x="0" y="0"/>
                      <a:ext cx="1554096" cy="1544942"/>
                    </a:xfrm>
                    <a:prstGeom prst="rect">
                      <a:avLst/>
                    </a:prstGeom>
                  </pic:spPr>
                </pic:pic>
              </a:graphicData>
            </a:graphic>
          </wp:anchor>
        </w:drawing>
      </w:r>
      <w:r>
        <w:rPr>
          <w:sz w:val="21"/>
        </w:rPr>
        <w:t>Shifting</w:t>
      </w:r>
      <w:r>
        <w:rPr>
          <w:spacing w:val="-3"/>
          <w:sz w:val="21"/>
        </w:rPr>
        <w:t> </w:t>
      </w:r>
      <w:r>
        <w:rPr>
          <w:sz w:val="21"/>
        </w:rPr>
        <w:t>focus</w:t>
      </w:r>
      <w:r>
        <w:rPr>
          <w:spacing w:val="-2"/>
          <w:sz w:val="21"/>
        </w:rPr>
        <w:t> </w:t>
      </w:r>
      <w:r>
        <w:rPr>
          <w:sz w:val="21"/>
        </w:rPr>
        <w:t>from</w:t>
      </w:r>
      <w:r>
        <w:rPr>
          <w:spacing w:val="-3"/>
          <w:sz w:val="21"/>
        </w:rPr>
        <w:t> </w:t>
      </w:r>
      <w:r>
        <w:rPr>
          <w:sz w:val="21"/>
        </w:rPr>
        <w:t>communities</w:t>
      </w:r>
      <w:r>
        <w:rPr>
          <w:spacing w:val="-3"/>
          <w:sz w:val="21"/>
        </w:rPr>
        <w:t> </w:t>
      </w:r>
      <w:r>
        <w:rPr>
          <w:sz w:val="21"/>
        </w:rPr>
        <w:t>to</w:t>
      </w:r>
      <w:r>
        <w:rPr>
          <w:spacing w:val="-3"/>
          <w:sz w:val="21"/>
        </w:rPr>
        <w:t> </w:t>
      </w:r>
      <w:r>
        <w:rPr>
          <w:sz w:val="21"/>
        </w:rPr>
        <w:t>organizations,</w:t>
      </w:r>
      <w:r>
        <w:rPr>
          <w:spacing w:val="-2"/>
          <w:sz w:val="21"/>
        </w:rPr>
        <w:t> </w:t>
      </w:r>
      <w:r>
        <w:rPr>
          <w:sz w:val="21"/>
        </w:rPr>
        <w:t>the</w:t>
      </w:r>
      <w:r>
        <w:rPr>
          <w:spacing w:val="-3"/>
          <w:sz w:val="21"/>
        </w:rPr>
        <w:t> </w:t>
      </w:r>
      <w:r>
        <w:rPr>
          <w:sz w:val="21"/>
        </w:rPr>
        <w:t>Commission</w:t>
      </w:r>
      <w:r>
        <w:rPr>
          <w:spacing w:val="-3"/>
          <w:sz w:val="21"/>
        </w:rPr>
        <w:t> </w:t>
      </w:r>
      <w:r>
        <w:rPr>
          <w:sz w:val="21"/>
        </w:rPr>
        <w:t>urges</w:t>
      </w:r>
      <w:r>
        <w:rPr>
          <w:spacing w:val="-3"/>
          <w:sz w:val="21"/>
        </w:rPr>
        <w:t> </w:t>
      </w:r>
      <w:r>
        <w:rPr>
          <w:sz w:val="21"/>
        </w:rPr>
        <w:t>decision- makers to allocate more funding to LGBTQ youth services. This includes funding LGBTQ-specific organizations as well as incentivizing community-serving organizations (such as places of worship, nonprofits, etc.) to host services and </w:t>
      </w:r>
      <w:r>
        <w:rPr>
          <w:spacing w:val="-2"/>
          <w:sz w:val="21"/>
        </w:rPr>
        <w:t>programs</w:t>
      </w:r>
      <w:r>
        <w:rPr>
          <w:spacing w:val="-4"/>
          <w:sz w:val="21"/>
        </w:rPr>
        <w:t> </w:t>
      </w:r>
      <w:r>
        <w:rPr>
          <w:spacing w:val="-2"/>
          <w:sz w:val="21"/>
        </w:rPr>
        <w:t>that improve the emotional well-being of</w:t>
      </w:r>
      <w:r>
        <w:rPr>
          <w:spacing w:val="-4"/>
          <w:sz w:val="21"/>
        </w:rPr>
        <w:t> </w:t>
      </w:r>
      <w:r>
        <w:rPr>
          <w:spacing w:val="-2"/>
          <w:sz w:val="21"/>
        </w:rPr>
        <w:t>LGBTQ youth and their families. </w:t>
      </w:r>
      <w:r>
        <w:rPr>
          <w:sz w:val="21"/>
        </w:rPr>
        <w:t>Non-LGBTQ-specific</w:t>
      </w:r>
      <w:r>
        <w:rPr>
          <w:spacing w:val="-5"/>
          <w:sz w:val="21"/>
        </w:rPr>
        <w:t> </w:t>
      </w:r>
      <w:r>
        <w:rPr>
          <w:sz w:val="21"/>
        </w:rPr>
        <w:t>youth</w:t>
      </w:r>
      <w:r>
        <w:rPr>
          <w:spacing w:val="-4"/>
          <w:sz w:val="21"/>
        </w:rPr>
        <w:t> </w:t>
      </w:r>
      <w:r>
        <w:rPr>
          <w:sz w:val="21"/>
        </w:rPr>
        <w:t>programming</w:t>
      </w:r>
      <w:r>
        <w:rPr>
          <w:spacing w:val="-4"/>
          <w:sz w:val="21"/>
        </w:rPr>
        <w:t> </w:t>
      </w:r>
      <w:r>
        <w:rPr>
          <w:sz w:val="21"/>
        </w:rPr>
        <w:t>can</w:t>
      </w:r>
      <w:r>
        <w:rPr>
          <w:spacing w:val="-5"/>
          <w:sz w:val="21"/>
        </w:rPr>
        <w:t> </w:t>
      </w:r>
      <w:r>
        <w:rPr>
          <w:sz w:val="21"/>
        </w:rPr>
        <w:t>also</w:t>
      </w:r>
      <w:r>
        <w:rPr>
          <w:spacing w:val="-5"/>
          <w:sz w:val="21"/>
        </w:rPr>
        <w:t> </w:t>
      </w:r>
      <w:r>
        <w:rPr>
          <w:sz w:val="21"/>
        </w:rPr>
        <w:t>be</w:t>
      </w:r>
      <w:r>
        <w:rPr>
          <w:spacing w:val="-5"/>
          <w:sz w:val="21"/>
        </w:rPr>
        <w:t> </w:t>
      </w:r>
      <w:r>
        <w:rPr>
          <w:sz w:val="21"/>
        </w:rPr>
        <w:t>harnessed</w:t>
      </w:r>
      <w:r>
        <w:rPr>
          <w:spacing w:val="-5"/>
          <w:sz w:val="21"/>
        </w:rPr>
        <w:t> </w:t>
      </w:r>
      <w:r>
        <w:rPr>
          <w:sz w:val="21"/>
        </w:rPr>
        <w:t>to</w:t>
      </w:r>
      <w:r>
        <w:rPr>
          <w:spacing w:val="-5"/>
          <w:sz w:val="21"/>
        </w:rPr>
        <w:t> </w:t>
      </w:r>
      <w:r>
        <w:rPr>
          <w:sz w:val="21"/>
        </w:rPr>
        <w:t>provide</w:t>
      </w:r>
      <w:r>
        <w:rPr>
          <w:spacing w:val="-5"/>
          <w:sz w:val="21"/>
        </w:rPr>
        <w:t> </w:t>
      </w:r>
      <w:r>
        <w:rPr>
          <w:sz w:val="21"/>
        </w:rPr>
        <w:t>support and early intervention for LGBTQ youth. Positive Youth Development (PYD) is one evidence-based</w:t>
      </w:r>
      <w:r>
        <w:rPr>
          <w:spacing w:val="-4"/>
          <w:sz w:val="21"/>
        </w:rPr>
        <w:t> </w:t>
      </w:r>
      <w:r>
        <w:rPr>
          <w:sz w:val="21"/>
        </w:rPr>
        <w:t>intervention</w:t>
      </w:r>
      <w:r>
        <w:rPr>
          <w:spacing w:val="-5"/>
          <w:sz w:val="21"/>
        </w:rPr>
        <w:t> </w:t>
      </w:r>
      <w:r>
        <w:rPr>
          <w:sz w:val="21"/>
        </w:rPr>
        <w:t>that</w:t>
      </w:r>
      <w:r>
        <w:rPr>
          <w:spacing w:val="-5"/>
          <w:sz w:val="21"/>
        </w:rPr>
        <w:t> </w:t>
      </w:r>
      <w:r>
        <w:rPr>
          <w:sz w:val="21"/>
        </w:rPr>
        <w:t>taps</w:t>
      </w:r>
      <w:r>
        <w:rPr>
          <w:spacing w:val="-4"/>
          <w:sz w:val="21"/>
        </w:rPr>
        <w:t> </w:t>
      </w:r>
      <w:r>
        <w:rPr>
          <w:sz w:val="21"/>
        </w:rPr>
        <w:t>into</w:t>
      </w:r>
      <w:r>
        <w:rPr>
          <w:spacing w:val="-5"/>
          <w:sz w:val="21"/>
        </w:rPr>
        <w:t> </w:t>
      </w:r>
      <w:r>
        <w:rPr>
          <w:sz w:val="21"/>
        </w:rPr>
        <w:t>youths’</w:t>
      </w:r>
      <w:r>
        <w:rPr>
          <w:spacing w:val="-4"/>
          <w:sz w:val="21"/>
        </w:rPr>
        <w:t> </w:t>
      </w:r>
      <w:r>
        <w:rPr>
          <w:sz w:val="21"/>
        </w:rPr>
        <w:t>strengths,</w:t>
      </w:r>
      <w:r>
        <w:rPr>
          <w:spacing w:val="-3"/>
          <w:sz w:val="21"/>
        </w:rPr>
        <w:t> </w:t>
      </w:r>
      <w:r>
        <w:rPr>
          <w:sz w:val="21"/>
        </w:rPr>
        <w:t>interests,</w:t>
      </w:r>
      <w:r>
        <w:rPr>
          <w:spacing w:val="-4"/>
          <w:sz w:val="21"/>
        </w:rPr>
        <w:t> </w:t>
      </w:r>
      <w:r>
        <w:rPr>
          <w:sz w:val="21"/>
        </w:rPr>
        <w:t>and</w:t>
      </w:r>
      <w:r>
        <w:rPr>
          <w:spacing w:val="-4"/>
          <w:sz w:val="21"/>
        </w:rPr>
        <w:t> </w:t>
      </w:r>
      <w:r>
        <w:rPr>
          <w:sz w:val="21"/>
        </w:rPr>
        <w:t>voices to</w:t>
      </w:r>
      <w:r>
        <w:rPr>
          <w:spacing w:val="53"/>
          <w:sz w:val="21"/>
        </w:rPr>
        <w:t> </w:t>
      </w:r>
      <w:r>
        <w:rPr>
          <w:sz w:val="21"/>
        </w:rPr>
        <w:t>improve</w:t>
      </w:r>
      <w:r>
        <w:rPr>
          <w:spacing w:val="55"/>
          <w:sz w:val="21"/>
        </w:rPr>
        <w:t> </w:t>
      </w:r>
      <w:r>
        <w:rPr>
          <w:sz w:val="21"/>
        </w:rPr>
        <w:t>emotional</w:t>
      </w:r>
      <w:r>
        <w:rPr>
          <w:spacing w:val="55"/>
          <w:sz w:val="21"/>
        </w:rPr>
        <w:t> </w:t>
      </w:r>
      <w:r>
        <w:rPr>
          <w:sz w:val="21"/>
        </w:rPr>
        <w:t>well-being</w:t>
      </w:r>
      <w:r>
        <w:rPr>
          <w:spacing w:val="55"/>
          <w:sz w:val="21"/>
        </w:rPr>
        <w:t> </w:t>
      </w:r>
      <w:r>
        <w:rPr>
          <w:sz w:val="21"/>
        </w:rPr>
        <w:t>in</w:t>
      </w:r>
      <w:r>
        <w:rPr>
          <w:spacing w:val="55"/>
          <w:sz w:val="21"/>
        </w:rPr>
        <w:t> </w:t>
      </w:r>
      <w:r>
        <w:rPr>
          <w:sz w:val="21"/>
        </w:rPr>
        <w:t>family,</w:t>
      </w:r>
      <w:r>
        <w:rPr>
          <w:spacing w:val="56"/>
          <w:sz w:val="21"/>
        </w:rPr>
        <w:t> </w:t>
      </w:r>
      <w:r>
        <w:rPr>
          <w:sz w:val="21"/>
        </w:rPr>
        <w:t>school,</w:t>
      </w:r>
      <w:r>
        <w:rPr>
          <w:spacing w:val="55"/>
          <w:sz w:val="21"/>
        </w:rPr>
        <w:t> </w:t>
      </w:r>
      <w:r>
        <w:rPr>
          <w:sz w:val="21"/>
        </w:rPr>
        <w:t>and</w:t>
      </w:r>
      <w:r>
        <w:rPr>
          <w:spacing w:val="56"/>
          <w:sz w:val="21"/>
        </w:rPr>
        <w:t> </w:t>
      </w:r>
      <w:r>
        <w:rPr>
          <w:sz w:val="21"/>
        </w:rPr>
        <w:t>community</w:t>
      </w:r>
      <w:r>
        <w:rPr>
          <w:spacing w:val="55"/>
          <w:sz w:val="21"/>
        </w:rPr>
        <w:t> </w:t>
      </w:r>
      <w:r>
        <w:rPr>
          <w:spacing w:val="-2"/>
          <w:sz w:val="21"/>
        </w:rPr>
        <w:t>contexts.</w:t>
      </w:r>
    </w:p>
    <w:p>
      <w:pPr>
        <w:spacing w:after="0" w:line="276" w:lineRule="auto"/>
        <w:jc w:val="both"/>
        <w:rPr>
          <w:sz w:val="21"/>
        </w:rPr>
        <w:sectPr>
          <w:pgSz w:w="12240" w:h="15840"/>
          <w:pgMar w:header="804" w:footer="1390" w:top="1080" w:bottom="1620" w:left="980" w:right="1080"/>
        </w:sectPr>
      </w:pPr>
    </w:p>
    <w:p>
      <w:pPr>
        <w:spacing w:line="276" w:lineRule="auto" w:before="69"/>
        <w:ind w:left="463" w:right="242" w:hanging="1"/>
        <w:jc w:val="both"/>
        <w:rPr>
          <w:sz w:val="21"/>
        </w:rPr>
      </w:pPr>
      <w:r>
        <w:rPr>
          <w:sz w:val="21"/>
        </w:rPr>
        <w:t>Preexisting school and community-based youth programs could be adapted to be LGBTQ-inclusive, since many of them already adhere to PYD. Examples include 4-H and Scouting</w:t>
      </w:r>
      <w:hyperlink w:history="true" w:anchor="_bookmark183">
        <w:r>
          <w:rPr>
            <w:sz w:val="21"/>
          </w:rPr>
          <w:t>.</w:t>
        </w:r>
        <w:r>
          <w:rPr>
            <w:sz w:val="21"/>
            <w:vertAlign w:val="superscript"/>
          </w:rPr>
          <w:t>87</w:t>
        </w:r>
      </w:hyperlink>
    </w:p>
    <w:p>
      <w:pPr>
        <w:spacing w:line="276" w:lineRule="auto" w:before="239"/>
        <w:ind w:left="463" w:right="3900" w:firstLine="0"/>
        <w:jc w:val="both"/>
        <w:rPr>
          <w:sz w:val="21"/>
        </w:rPr>
      </w:pPr>
      <w:r>
        <w:rPr/>
        <w:drawing>
          <wp:anchor distT="0" distB="0" distL="0" distR="0" allowOverlap="1" layoutInCell="1" locked="0" behindDoc="0" simplePos="0" relativeHeight="15766528">
            <wp:simplePos x="0" y="0"/>
            <wp:positionH relativeFrom="page">
              <wp:posOffset>4698999</wp:posOffset>
            </wp:positionH>
            <wp:positionV relativeFrom="paragraph">
              <wp:posOffset>158745</wp:posOffset>
            </wp:positionV>
            <wp:extent cx="2321559" cy="1160779"/>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89" cstate="print"/>
                    <a:stretch>
                      <a:fillRect/>
                    </a:stretch>
                  </pic:blipFill>
                  <pic:spPr>
                    <a:xfrm>
                      <a:off x="0" y="0"/>
                      <a:ext cx="2321559" cy="1160779"/>
                    </a:xfrm>
                    <a:prstGeom prst="rect">
                      <a:avLst/>
                    </a:prstGeom>
                  </pic:spPr>
                </pic:pic>
              </a:graphicData>
            </a:graphic>
          </wp:anchor>
        </w:drawing>
      </w:r>
      <w:r>
        <w:rPr>
          <w:sz w:val="21"/>
        </w:rPr>
        <w:t>Elected officials in Massachusetts have a public health mandate to advance bills that defend LGBTQ youths’ rights and well-being. In their</w:t>
      </w:r>
      <w:r>
        <w:rPr>
          <w:spacing w:val="-7"/>
          <w:sz w:val="21"/>
        </w:rPr>
        <w:t> </w:t>
      </w:r>
      <w:r>
        <w:rPr>
          <w:sz w:val="21"/>
        </w:rPr>
        <w:t>2021</w:t>
      </w:r>
      <w:r>
        <w:rPr>
          <w:spacing w:val="-7"/>
          <w:sz w:val="21"/>
        </w:rPr>
        <w:t> </w:t>
      </w:r>
      <w:r>
        <w:rPr>
          <w:sz w:val="21"/>
        </w:rPr>
        <w:t>policy</w:t>
      </w:r>
      <w:r>
        <w:rPr>
          <w:spacing w:val="-7"/>
          <w:sz w:val="21"/>
        </w:rPr>
        <w:t> </w:t>
      </w:r>
      <w:r>
        <w:rPr>
          <w:sz w:val="21"/>
        </w:rPr>
        <w:t>brief,</w:t>
      </w:r>
      <w:r>
        <w:rPr>
          <w:spacing w:val="-7"/>
          <w:sz w:val="21"/>
        </w:rPr>
        <w:t> </w:t>
      </w:r>
      <w:r>
        <w:rPr>
          <w:sz w:val="21"/>
        </w:rPr>
        <w:t>Fenway</w:t>
      </w:r>
      <w:r>
        <w:rPr>
          <w:spacing w:val="-7"/>
          <w:sz w:val="21"/>
        </w:rPr>
        <w:t> </w:t>
      </w:r>
      <w:r>
        <w:rPr>
          <w:sz w:val="21"/>
        </w:rPr>
        <w:t>Health</w:t>
      </w:r>
      <w:r>
        <w:rPr>
          <w:spacing w:val="-7"/>
          <w:sz w:val="21"/>
        </w:rPr>
        <w:t> </w:t>
      </w:r>
      <w:r>
        <w:rPr>
          <w:sz w:val="21"/>
        </w:rPr>
        <w:t>urged</w:t>
      </w:r>
      <w:r>
        <w:rPr>
          <w:spacing w:val="-7"/>
          <w:sz w:val="21"/>
        </w:rPr>
        <w:t> </w:t>
      </w:r>
      <w:r>
        <w:rPr>
          <w:sz w:val="21"/>
        </w:rPr>
        <w:t>candidates</w:t>
      </w:r>
      <w:r>
        <w:rPr>
          <w:spacing w:val="-7"/>
          <w:sz w:val="21"/>
        </w:rPr>
        <w:t> </w:t>
      </w:r>
      <w:r>
        <w:rPr>
          <w:sz w:val="21"/>
        </w:rPr>
        <w:t>and</w:t>
      </w:r>
      <w:r>
        <w:rPr>
          <w:spacing w:val="-7"/>
          <w:sz w:val="21"/>
        </w:rPr>
        <w:t> </w:t>
      </w:r>
      <w:r>
        <w:rPr>
          <w:sz w:val="21"/>
        </w:rPr>
        <w:t>officials not</w:t>
      </w:r>
      <w:r>
        <w:rPr>
          <w:spacing w:val="-9"/>
          <w:sz w:val="21"/>
        </w:rPr>
        <w:t> </w:t>
      </w:r>
      <w:r>
        <w:rPr>
          <w:sz w:val="21"/>
        </w:rPr>
        <w:t>to</w:t>
      </w:r>
      <w:r>
        <w:rPr>
          <w:spacing w:val="-10"/>
          <w:sz w:val="21"/>
        </w:rPr>
        <w:t> </w:t>
      </w:r>
      <w:r>
        <w:rPr>
          <w:sz w:val="21"/>
        </w:rPr>
        <w:t>forget</w:t>
      </w:r>
      <w:r>
        <w:rPr>
          <w:spacing w:val="-10"/>
          <w:sz w:val="21"/>
        </w:rPr>
        <w:t> </w:t>
      </w:r>
      <w:r>
        <w:rPr>
          <w:sz w:val="21"/>
        </w:rPr>
        <w:t>that</w:t>
      </w:r>
      <w:r>
        <w:rPr>
          <w:spacing w:val="-10"/>
          <w:sz w:val="21"/>
        </w:rPr>
        <w:t> </w:t>
      </w:r>
      <w:r>
        <w:rPr>
          <w:sz w:val="21"/>
        </w:rPr>
        <w:t>their</w:t>
      </w:r>
      <w:r>
        <w:rPr>
          <w:spacing w:val="-11"/>
          <w:sz w:val="21"/>
        </w:rPr>
        <w:t> </w:t>
      </w:r>
      <w:r>
        <w:rPr>
          <w:sz w:val="21"/>
        </w:rPr>
        <w:t>actions</w:t>
      </w:r>
      <w:r>
        <w:rPr>
          <w:spacing w:val="-10"/>
          <w:sz w:val="21"/>
        </w:rPr>
        <w:t> </w:t>
      </w:r>
      <w:r>
        <w:rPr>
          <w:sz w:val="21"/>
        </w:rPr>
        <w:t>have</w:t>
      </w:r>
      <w:r>
        <w:rPr>
          <w:spacing w:val="-10"/>
          <w:sz w:val="21"/>
        </w:rPr>
        <w:t> </w:t>
      </w:r>
      <w:r>
        <w:rPr>
          <w:sz w:val="21"/>
        </w:rPr>
        <w:t>a</w:t>
      </w:r>
      <w:r>
        <w:rPr>
          <w:spacing w:val="-10"/>
          <w:sz w:val="21"/>
        </w:rPr>
        <w:t> </w:t>
      </w:r>
      <w:r>
        <w:rPr>
          <w:sz w:val="21"/>
        </w:rPr>
        <w:t>life-changing</w:t>
      </w:r>
      <w:r>
        <w:rPr>
          <w:spacing w:val="-10"/>
          <w:sz w:val="21"/>
        </w:rPr>
        <w:t> </w:t>
      </w:r>
      <w:r>
        <w:rPr>
          <w:sz w:val="21"/>
        </w:rPr>
        <w:t>impact</w:t>
      </w:r>
      <w:r>
        <w:rPr>
          <w:spacing w:val="-9"/>
          <w:sz w:val="21"/>
        </w:rPr>
        <w:t> </w:t>
      </w:r>
      <w:r>
        <w:rPr>
          <w:sz w:val="21"/>
        </w:rPr>
        <w:t>on</w:t>
      </w:r>
      <w:r>
        <w:rPr>
          <w:spacing w:val="-11"/>
          <w:sz w:val="21"/>
        </w:rPr>
        <w:t> </w:t>
      </w:r>
      <w:r>
        <w:rPr>
          <w:sz w:val="21"/>
        </w:rPr>
        <w:t>LGBTQ youth</w:t>
      </w:r>
      <w:hyperlink w:history="true" w:anchor="_bookmark184">
        <w:r>
          <w:rPr>
            <w:sz w:val="21"/>
          </w:rPr>
          <w:t>.</w:t>
        </w:r>
        <w:r>
          <w:rPr>
            <w:sz w:val="21"/>
            <w:vertAlign w:val="superscript"/>
          </w:rPr>
          <w:t>88</w:t>
        </w:r>
      </w:hyperlink>
      <w:r>
        <w:rPr>
          <w:spacing w:val="-4"/>
          <w:sz w:val="21"/>
          <w:vertAlign w:val="baseline"/>
        </w:rPr>
        <w:t> </w:t>
      </w:r>
      <w:r>
        <w:rPr>
          <w:sz w:val="21"/>
          <w:vertAlign w:val="baseline"/>
        </w:rPr>
        <w:t>In</w:t>
      </w:r>
      <w:r>
        <w:rPr>
          <w:spacing w:val="-4"/>
          <w:sz w:val="21"/>
          <w:vertAlign w:val="baseline"/>
        </w:rPr>
        <w:t> </w:t>
      </w:r>
      <w:r>
        <w:rPr>
          <w:sz w:val="21"/>
          <w:vertAlign w:val="baseline"/>
        </w:rPr>
        <w:t>January</w:t>
      </w:r>
      <w:r>
        <w:rPr>
          <w:spacing w:val="-4"/>
          <w:sz w:val="21"/>
          <w:vertAlign w:val="baseline"/>
        </w:rPr>
        <w:t> </w:t>
      </w:r>
      <w:r>
        <w:rPr>
          <w:sz w:val="21"/>
          <w:vertAlign w:val="baseline"/>
        </w:rPr>
        <w:t>2021,</w:t>
      </w:r>
      <w:r>
        <w:rPr>
          <w:spacing w:val="-5"/>
          <w:sz w:val="21"/>
          <w:vertAlign w:val="baseline"/>
        </w:rPr>
        <w:t> </w:t>
      </w:r>
      <w:r>
        <w:rPr>
          <w:sz w:val="21"/>
          <w:vertAlign w:val="baseline"/>
        </w:rPr>
        <w:t>the</w:t>
      </w:r>
      <w:r>
        <w:rPr>
          <w:spacing w:val="-4"/>
          <w:sz w:val="21"/>
          <w:vertAlign w:val="baseline"/>
        </w:rPr>
        <w:t> </w:t>
      </w:r>
      <w:r>
        <w:rPr>
          <w:sz w:val="21"/>
          <w:vertAlign w:val="baseline"/>
        </w:rPr>
        <w:t>Trevor</w:t>
      </w:r>
      <w:r>
        <w:rPr>
          <w:spacing w:val="-4"/>
          <w:sz w:val="21"/>
          <w:vertAlign w:val="baseline"/>
        </w:rPr>
        <w:t> </w:t>
      </w:r>
      <w:r>
        <w:rPr>
          <w:sz w:val="21"/>
          <w:vertAlign w:val="baseline"/>
        </w:rPr>
        <w:t>Project</w:t>
      </w:r>
      <w:r>
        <w:rPr>
          <w:spacing w:val="-3"/>
          <w:sz w:val="21"/>
          <w:vertAlign w:val="baseline"/>
        </w:rPr>
        <w:t> </w:t>
      </w:r>
      <w:r>
        <w:rPr>
          <w:sz w:val="21"/>
          <w:vertAlign w:val="baseline"/>
        </w:rPr>
        <w:t>found</w:t>
      </w:r>
      <w:r>
        <w:rPr>
          <w:spacing w:val="-4"/>
          <w:sz w:val="21"/>
          <w:vertAlign w:val="baseline"/>
        </w:rPr>
        <w:t> </w:t>
      </w:r>
      <w:r>
        <w:rPr>
          <w:sz w:val="21"/>
          <w:vertAlign w:val="baseline"/>
        </w:rPr>
        <w:t>that</w:t>
      </w:r>
      <w:r>
        <w:rPr>
          <w:spacing w:val="-4"/>
          <w:sz w:val="21"/>
          <w:vertAlign w:val="baseline"/>
        </w:rPr>
        <w:t> </w:t>
      </w:r>
      <w:r>
        <w:rPr>
          <w:sz w:val="21"/>
          <w:vertAlign w:val="baseline"/>
        </w:rPr>
        <w:t>3</w:t>
      </w:r>
      <w:r>
        <w:rPr>
          <w:spacing w:val="-4"/>
          <w:sz w:val="21"/>
          <w:vertAlign w:val="baseline"/>
        </w:rPr>
        <w:t> </w:t>
      </w:r>
      <w:r>
        <w:rPr>
          <w:sz w:val="21"/>
          <w:vertAlign w:val="baseline"/>
        </w:rPr>
        <w:t>in</w:t>
      </w:r>
      <w:r>
        <w:rPr>
          <w:spacing w:val="-4"/>
          <w:sz w:val="21"/>
          <w:vertAlign w:val="baseline"/>
        </w:rPr>
        <w:t> </w:t>
      </w:r>
      <w:r>
        <w:rPr>
          <w:sz w:val="21"/>
          <w:vertAlign w:val="baseline"/>
        </w:rPr>
        <w:t>4</w:t>
      </w:r>
      <w:r>
        <w:rPr>
          <w:spacing w:val="-4"/>
          <w:sz w:val="21"/>
          <w:vertAlign w:val="baseline"/>
        </w:rPr>
        <w:t> </w:t>
      </w:r>
      <w:r>
        <w:rPr>
          <w:sz w:val="21"/>
          <w:vertAlign w:val="baseline"/>
        </w:rPr>
        <w:t>LGBTQ youth</w:t>
      </w:r>
      <w:r>
        <w:rPr>
          <w:spacing w:val="3"/>
          <w:sz w:val="21"/>
          <w:vertAlign w:val="baseline"/>
        </w:rPr>
        <w:t> </w:t>
      </w:r>
      <w:r>
        <w:rPr>
          <w:sz w:val="21"/>
          <w:vertAlign w:val="baseline"/>
        </w:rPr>
        <w:t>follow</w:t>
      </w:r>
      <w:r>
        <w:rPr>
          <w:spacing w:val="4"/>
          <w:sz w:val="21"/>
          <w:vertAlign w:val="baseline"/>
        </w:rPr>
        <w:t> </w:t>
      </w:r>
      <w:r>
        <w:rPr>
          <w:sz w:val="21"/>
          <w:vertAlign w:val="baseline"/>
        </w:rPr>
        <w:t>news</w:t>
      </w:r>
      <w:r>
        <w:rPr>
          <w:spacing w:val="3"/>
          <w:sz w:val="21"/>
          <w:vertAlign w:val="baseline"/>
        </w:rPr>
        <w:t> </w:t>
      </w:r>
      <w:r>
        <w:rPr>
          <w:sz w:val="21"/>
          <w:vertAlign w:val="baseline"/>
        </w:rPr>
        <w:t>about</w:t>
      </w:r>
      <w:r>
        <w:rPr>
          <w:spacing w:val="3"/>
          <w:sz w:val="21"/>
          <w:vertAlign w:val="baseline"/>
        </w:rPr>
        <w:t> </w:t>
      </w:r>
      <w:r>
        <w:rPr>
          <w:sz w:val="21"/>
          <w:vertAlign w:val="baseline"/>
        </w:rPr>
        <w:t>issues</w:t>
      </w:r>
      <w:r>
        <w:rPr>
          <w:spacing w:val="3"/>
          <w:sz w:val="21"/>
          <w:vertAlign w:val="baseline"/>
        </w:rPr>
        <w:t> </w:t>
      </w:r>
      <w:r>
        <w:rPr>
          <w:sz w:val="21"/>
          <w:vertAlign w:val="baseline"/>
        </w:rPr>
        <w:t>that</w:t>
      </w:r>
      <w:r>
        <w:rPr>
          <w:spacing w:val="3"/>
          <w:sz w:val="21"/>
          <w:vertAlign w:val="baseline"/>
        </w:rPr>
        <w:t> </w:t>
      </w:r>
      <w:r>
        <w:rPr>
          <w:sz w:val="21"/>
          <w:vertAlign w:val="baseline"/>
        </w:rPr>
        <w:t>affect</w:t>
      </w:r>
      <w:r>
        <w:rPr>
          <w:spacing w:val="3"/>
          <w:sz w:val="21"/>
          <w:vertAlign w:val="baseline"/>
        </w:rPr>
        <w:t> </w:t>
      </w:r>
      <w:r>
        <w:rPr>
          <w:sz w:val="21"/>
          <w:vertAlign w:val="baseline"/>
        </w:rPr>
        <w:t>transgender</w:t>
      </w:r>
      <w:r>
        <w:rPr>
          <w:spacing w:val="4"/>
          <w:sz w:val="21"/>
          <w:vertAlign w:val="baseline"/>
        </w:rPr>
        <w:t> </w:t>
      </w:r>
      <w:r>
        <w:rPr>
          <w:sz w:val="21"/>
          <w:vertAlign w:val="baseline"/>
        </w:rPr>
        <w:t>people,</w:t>
      </w:r>
      <w:r>
        <w:rPr>
          <w:spacing w:val="3"/>
          <w:sz w:val="21"/>
          <w:vertAlign w:val="baseline"/>
        </w:rPr>
        <w:t> </w:t>
      </w:r>
      <w:r>
        <w:rPr>
          <w:sz w:val="21"/>
          <w:vertAlign w:val="baseline"/>
        </w:rPr>
        <w:t>2</w:t>
      </w:r>
      <w:r>
        <w:rPr>
          <w:spacing w:val="4"/>
          <w:sz w:val="21"/>
          <w:vertAlign w:val="baseline"/>
        </w:rPr>
        <w:t> </w:t>
      </w:r>
      <w:r>
        <w:rPr>
          <w:spacing w:val="-5"/>
          <w:sz w:val="21"/>
          <w:vertAlign w:val="baseline"/>
        </w:rPr>
        <w:t>in</w:t>
      </w:r>
    </w:p>
    <w:p>
      <w:pPr>
        <w:spacing w:before="0"/>
        <w:ind w:left="463" w:right="0" w:firstLine="0"/>
        <w:jc w:val="both"/>
        <w:rPr>
          <w:sz w:val="21"/>
        </w:rPr>
      </w:pPr>
      <w:r>
        <w:rPr>
          <w:sz w:val="21"/>
        </w:rPr>
        <w:t>3</w:t>
      </w:r>
      <w:r>
        <w:rPr>
          <w:spacing w:val="64"/>
          <w:sz w:val="21"/>
        </w:rPr>
        <w:t> </w:t>
      </w:r>
      <w:r>
        <w:rPr>
          <w:sz w:val="21"/>
        </w:rPr>
        <w:t>stated</w:t>
      </w:r>
      <w:r>
        <w:rPr>
          <w:spacing w:val="64"/>
          <w:sz w:val="21"/>
        </w:rPr>
        <w:t> </w:t>
      </w:r>
      <w:r>
        <w:rPr>
          <w:sz w:val="21"/>
        </w:rPr>
        <w:t>that</w:t>
      </w:r>
      <w:r>
        <w:rPr>
          <w:spacing w:val="63"/>
          <w:sz w:val="21"/>
        </w:rPr>
        <w:t> </w:t>
      </w:r>
      <w:r>
        <w:rPr>
          <w:sz w:val="21"/>
        </w:rPr>
        <w:t>debates</w:t>
      </w:r>
      <w:r>
        <w:rPr>
          <w:spacing w:val="64"/>
          <w:sz w:val="21"/>
        </w:rPr>
        <w:t> </w:t>
      </w:r>
      <w:r>
        <w:rPr>
          <w:sz w:val="21"/>
        </w:rPr>
        <w:t>about</w:t>
      </w:r>
      <w:r>
        <w:rPr>
          <w:spacing w:val="65"/>
          <w:sz w:val="21"/>
        </w:rPr>
        <w:t> </w:t>
      </w:r>
      <w:r>
        <w:rPr>
          <w:sz w:val="21"/>
        </w:rPr>
        <w:t>anti-</w:t>
      </w:r>
      <w:r>
        <w:rPr>
          <w:spacing w:val="63"/>
          <w:sz w:val="21"/>
        </w:rPr>
        <w:t> </w:t>
      </w:r>
      <w:r>
        <w:rPr>
          <w:sz w:val="21"/>
        </w:rPr>
        <w:t>transgender</w:t>
      </w:r>
      <w:r>
        <w:rPr>
          <w:spacing w:val="65"/>
          <w:sz w:val="21"/>
        </w:rPr>
        <w:t> </w:t>
      </w:r>
      <w:r>
        <w:rPr>
          <w:sz w:val="21"/>
        </w:rPr>
        <w:t>legislation</w:t>
      </w:r>
      <w:r>
        <w:rPr>
          <w:spacing w:val="65"/>
          <w:sz w:val="21"/>
        </w:rPr>
        <w:t> </w:t>
      </w:r>
      <w:r>
        <w:rPr>
          <w:spacing w:val="-4"/>
          <w:sz w:val="21"/>
        </w:rPr>
        <w:t>have</w:t>
      </w:r>
    </w:p>
    <w:p>
      <w:pPr>
        <w:spacing w:line="276" w:lineRule="auto" w:before="39"/>
        <w:ind w:left="463" w:right="241" w:firstLine="0"/>
        <w:jc w:val="both"/>
        <w:rPr>
          <w:sz w:val="21"/>
        </w:rPr>
      </w:pPr>
      <w:r>
        <w:rPr>
          <w:sz w:val="21"/>
        </w:rPr>
        <w:t>negatively impacted their mental health, and 3 in 5 felt afraid about the future. </w:t>
      </w:r>
      <w:hyperlink w:history="true" w:anchor="_bookmark185">
        <w:r>
          <w:rPr>
            <w:sz w:val="21"/>
            <w:vertAlign w:val="superscript"/>
          </w:rPr>
          <w:t>89</w:t>
        </w:r>
      </w:hyperlink>
      <w:r>
        <w:rPr>
          <w:sz w:val="21"/>
          <w:vertAlign w:val="baseline"/>
        </w:rPr>
        <w:t> Meanwhile, affirming policy can</w:t>
      </w:r>
      <w:r>
        <w:rPr>
          <w:spacing w:val="-2"/>
          <w:sz w:val="21"/>
          <w:vertAlign w:val="baseline"/>
        </w:rPr>
        <w:t> </w:t>
      </w:r>
      <w:r>
        <w:rPr>
          <w:sz w:val="21"/>
          <w:vertAlign w:val="baseline"/>
        </w:rPr>
        <w:t>promote</w:t>
      </w:r>
      <w:r>
        <w:rPr>
          <w:spacing w:val="-3"/>
          <w:sz w:val="21"/>
          <w:vertAlign w:val="baseline"/>
        </w:rPr>
        <w:t> </w:t>
      </w:r>
      <w:r>
        <w:rPr>
          <w:sz w:val="21"/>
          <w:vertAlign w:val="baseline"/>
        </w:rPr>
        <w:t>LGBTQ</w:t>
      </w:r>
      <w:r>
        <w:rPr>
          <w:spacing w:val="-2"/>
          <w:sz w:val="21"/>
          <w:vertAlign w:val="baseline"/>
        </w:rPr>
        <w:t> </w:t>
      </w:r>
      <w:r>
        <w:rPr>
          <w:sz w:val="21"/>
          <w:vertAlign w:val="baseline"/>
        </w:rPr>
        <w:t>youths’</w:t>
      </w:r>
      <w:r>
        <w:rPr>
          <w:spacing w:val="-2"/>
          <w:sz w:val="21"/>
          <w:vertAlign w:val="baseline"/>
        </w:rPr>
        <w:t> </w:t>
      </w:r>
      <w:r>
        <w:rPr>
          <w:sz w:val="21"/>
          <w:vertAlign w:val="baseline"/>
        </w:rPr>
        <w:t>mental</w:t>
      </w:r>
      <w:r>
        <w:rPr>
          <w:spacing w:val="-2"/>
          <w:sz w:val="21"/>
          <w:vertAlign w:val="baseline"/>
        </w:rPr>
        <w:t> </w:t>
      </w:r>
      <w:r>
        <w:rPr>
          <w:sz w:val="21"/>
          <w:vertAlign w:val="baseline"/>
        </w:rPr>
        <w:t>health.</w:t>
      </w:r>
      <w:r>
        <w:rPr>
          <w:spacing w:val="-2"/>
          <w:sz w:val="21"/>
          <w:vertAlign w:val="baseline"/>
        </w:rPr>
        <w:t> </w:t>
      </w:r>
      <w:r>
        <w:rPr>
          <w:sz w:val="21"/>
          <w:vertAlign w:val="baseline"/>
        </w:rPr>
        <w:t>School</w:t>
      </w:r>
      <w:r>
        <w:rPr>
          <w:spacing w:val="-2"/>
          <w:sz w:val="21"/>
          <w:vertAlign w:val="baseline"/>
        </w:rPr>
        <w:t> </w:t>
      </w:r>
      <w:r>
        <w:rPr>
          <w:sz w:val="21"/>
          <w:vertAlign w:val="baseline"/>
        </w:rPr>
        <w:t>policy</w:t>
      </w:r>
      <w:r>
        <w:rPr>
          <w:spacing w:val="-2"/>
          <w:sz w:val="21"/>
          <w:vertAlign w:val="baseline"/>
        </w:rPr>
        <w:t> </w:t>
      </w:r>
      <w:r>
        <w:rPr>
          <w:sz w:val="21"/>
          <w:vertAlign w:val="baseline"/>
        </w:rPr>
        <w:t>is</w:t>
      </w:r>
      <w:r>
        <w:rPr>
          <w:spacing w:val="-3"/>
          <w:sz w:val="21"/>
          <w:vertAlign w:val="baseline"/>
        </w:rPr>
        <w:t> </w:t>
      </w:r>
      <w:r>
        <w:rPr>
          <w:sz w:val="21"/>
          <w:vertAlign w:val="baseline"/>
        </w:rPr>
        <w:t>one</w:t>
      </w:r>
      <w:r>
        <w:rPr>
          <w:spacing w:val="-2"/>
          <w:sz w:val="21"/>
          <w:vertAlign w:val="baseline"/>
        </w:rPr>
        <w:t> </w:t>
      </w:r>
      <w:r>
        <w:rPr>
          <w:sz w:val="21"/>
          <w:vertAlign w:val="baseline"/>
        </w:rPr>
        <w:t>example:</w:t>
      </w:r>
      <w:r>
        <w:rPr>
          <w:spacing w:val="-2"/>
          <w:sz w:val="21"/>
          <w:vertAlign w:val="baseline"/>
        </w:rPr>
        <w:t> </w:t>
      </w:r>
      <w:r>
        <w:rPr>
          <w:sz w:val="21"/>
          <w:vertAlign w:val="baseline"/>
        </w:rPr>
        <w:t>GLSEN</w:t>
      </w:r>
      <w:r>
        <w:rPr>
          <w:spacing w:val="-2"/>
          <w:sz w:val="21"/>
          <w:vertAlign w:val="baseline"/>
        </w:rPr>
        <w:t> </w:t>
      </w:r>
      <w:r>
        <w:rPr>
          <w:sz w:val="21"/>
          <w:vertAlign w:val="baseline"/>
        </w:rPr>
        <w:t>found</w:t>
      </w:r>
      <w:r>
        <w:rPr>
          <w:spacing w:val="-2"/>
          <w:sz w:val="21"/>
          <w:vertAlign w:val="baseline"/>
        </w:rPr>
        <w:t> </w:t>
      </w:r>
      <w:r>
        <w:rPr>
          <w:sz w:val="21"/>
          <w:vertAlign w:val="baseline"/>
        </w:rPr>
        <w:t>that</w:t>
      </w:r>
      <w:r>
        <w:rPr>
          <w:spacing w:val="-1"/>
          <w:sz w:val="21"/>
          <w:vertAlign w:val="baseline"/>
        </w:rPr>
        <w:t> </w:t>
      </w:r>
      <w:r>
        <w:rPr>
          <w:sz w:val="21"/>
          <w:vertAlign w:val="baseline"/>
        </w:rPr>
        <w:t>students</w:t>
      </w:r>
      <w:r>
        <w:rPr>
          <w:spacing w:val="-2"/>
          <w:sz w:val="21"/>
          <w:vertAlign w:val="baseline"/>
        </w:rPr>
        <w:t> </w:t>
      </w:r>
      <w:r>
        <w:rPr>
          <w:sz w:val="21"/>
          <w:vertAlign w:val="baseline"/>
        </w:rPr>
        <w:t>in</w:t>
      </w:r>
      <w:r>
        <w:rPr>
          <w:spacing w:val="-2"/>
          <w:sz w:val="21"/>
          <w:vertAlign w:val="baseline"/>
        </w:rPr>
        <w:t> </w:t>
      </w:r>
      <w:r>
        <w:rPr>
          <w:sz w:val="21"/>
          <w:vertAlign w:val="baseline"/>
        </w:rPr>
        <w:t>schools with GSAs, positive curriculum about LGBTQ people, and more supportive school staff had higher self-esteem and lower levels of depression and suicidal ideation than peers who lacked these key supports</w:t>
      </w:r>
      <w:hyperlink w:history="true" w:anchor="_bookmark186">
        <w:r>
          <w:rPr>
            <w:sz w:val="21"/>
            <w:vertAlign w:val="baseline"/>
          </w:rPr>
          <w:t>.</w:t>
        </w:r>
        <w:r>
          <w:rPr>
            <w:sz w:val="21"/>
            <w:vertAlign w:val="superscript"/>
          </w:rPr>
          <w:t>90</w:t>
        </w:r>
      </w:hyperlink>
    </w:p>
    <w:p>
      <w:pPr>
        <w:spacing w:before="239"/>
        <w:ind w:left="463" w:right="0" w:firstLine="0"/>
        <w:jc w:val="both"/>
        <w:rPr>
          <w:sz w:val="28"/>
        </w:rPr>
      </w:pPr>
      <w:bookmarkStart w:name="Suicide Prevention: Uplifting Queer Futu" w:id="257"/>
      <w:bookmarkEnd w:id="257"/>
      <w:r>
        <w:rPr/>
      </w:r>
      <w:r>
        <w:rPr>
          <w:color w:val="365F91"/>
          <w:sz w:val="28"/>
        </w:rPr>
        <w:t>Suicide</w:t>
      </w:r>
      <w:r>
        <w:rPr>
          <w:color w:val="365F91"/>
          <w:spacing w:val="-11"/>
          <w:sz w:val="28"/>
        </w:rPr>
        <w:t> </w:t>
      </w:r>
      <w:r>
        <w:rPr>
          <w:color w:val="365F91"/>
          <w:sz w:val="28"/>
        </w:rPr>
        <w:t>Prevention:</w:t>
      </w:r>
      <w:r>
        <w:rPr>
          <w:color w:val="365F91"/>
          <w:spacing w:val="-9"/>
          <w:sz w:val="28"/>
        </w:rPr>
        <w:t> </w:t>
      </w:r>
      <w:r>
        <w:rPr>
          <w:color w:val="365F91"/>
          <w:sz w:val="28"/>
        </w:rPr>
        <w:t>Uplifting</w:t>
      </w:r>
      <w:r>
        <w:rPr>
          <w:color w:val="365F91"/>
          <w:spacing w:val="-11"/>
          <w:sz w:val="28"/>
        </w:rPr>
        <w:t> </w:t>
      </w:r>
      <w:r>
        <w:rPr>
          <w:color w:val="365F91"/>
          <w:sz w:val="28"/>
        </w:rPr>
        <w:t>Queer</w:t>
      </w:r>
      <w:r>
        <w:rPr>
          <w:color w:val="365F91"/>
          <w:spacing w:val="-10"/>
          <w:sz w:val="28"/>
        </w:rPr>
        <w:t> </w:t>
      </w:r>
      <w:r>
        <w:rPr>
          <w:color w:val="365F91"/>
          <w:sz w:val="28"/>
        </w:rPr>
        <w:t>Futures</w:t>
      </w:r>
      <w:r>
        <w:rPr>
          <w:color w:val="365F91"/>
          <w:spacing w:val="-10"/>
          <w:sz w:val="28"/>
        </w:rPr>
        <w:t> </w:t>
      </w:r>
      <w:r>
        <w:rPr>
          <w:color w:val="365F91"/>
          <w:sz w:val="28"/>
        </w:rPr>
        <w:t>&amp;</w:t>
      </w:r>
      <w:r>
        <w:rPr>
          <w:color w:val="365F91"/>
          <w:spacing w:val="-10"/>
          <w:sz w:val="28"/>
        </w:rPr>
        <w:t> </w:t>
      </w:r>
      <w:r>
        <w:rPr>
          <w:color w:val="365F91"/>
          <w:sz w:val="28"/>
        </w:rPr>
        <w:t>Queer</w:t>
      </w:r>
      <w:r>
        <w:rPr>
          <w:color w:val="365F91"/>
          <w:spacing w:val="-11"/>
          <w:sz w:val="28"/>
        </w:rPr>
        <w:t> </w:t>
      </w:r>
      <w:r>
        <w:rPr>
          <w:color w:val="365F91"/>
          <w:spacing w:val="-5"/>
          <w:sz w:val="28"/>
        </w:rPr>
        <w:t>Joy</w:t>
      </w:r>
    </w:p>
    <w:p>
      <w:pPr>
        <w:spacing w:line="276" w:lineRule="auto" w:before="292"/>
        <w:ind w:left="463" w:right="240" w:firstLine="0"/>
        <w:jc w:val="both"/>
        <w:rPr>
          <w:sz w:val="21"/>
        </w:rPr>
      </w:pPr>
      <w:r>
        <w:rPr>
          <w:sz w:val="21"/>
        </w:rPr>
        <w:t>Despite</w:t>
      </w:r>
      <w:r>
        <w:rPr>
          <w:spacing w:val="-9"/>
          <w:sz w:val="21"/>
        </w:rPr>
        <w:t> </w:t>
      </w:r>
      <w:r>
        <w:rPr>
          <w:sz w:val="21"/>
        </w:rPr>
        <w:t>the</w:t>
      </w:r>
      <w:r>
        <w:rPr>
          <w:spacing w:val="-9"/>
          <w:sz w:val="21"/>
        </w:rPr>
        <w:t> </w:t>
      </w:r>
      <w:r>
        <w:rPr>
          <w:sz w:val="21"/>
        </w:rPr>
        <w:t>alarming</w:t>
      </w:r>
      <w:r>
        <w:rPr>
          <w:spacing w:val="-9"/>
          <w:sz w:val="21"/>
        </w:rPr>
        <w:t> </w:t>
      </w:r>
      <w:r>
        <w:rPr>
          <w:sz w:val="21"/>
        </w:rPr>
        <w:t>suicidality</w:t>
      </w:r>
      <w:r>
        <w:rPr>
          <w:spacing w:val="-9"/>
          <w:sz w:val="21"/>
        </w:rPr>
        <w:t> </w:t>
      </w:r>
      <w:r>
        <w:rPr>
          <w:sz w:val="21"/>
        </w:rPr>
        <w:t>rates</w:t>
      </w:r>
      <w:r>
        <w:rPr>
          <w:spacing w:val="-9"/>
          <w:sz w:val="21"/>
        </w:rPr>
        <w:t> </w:t>
      </w:r>
      <w:r>
        <w:rPr>
          <w:sz w:val="21"/>
        </w:rPr>
        <w:t>among</w:t>
      </w:r>
      <w:r>
        <w:rPr>
          <w:spacing w:val="-9"/>
          <w:sz w:val="21"/>
        </w:rPr>
        <w:t> </w:t>
      </w:r>
      <w:r>
        <w:rPr>
          <w:sz w:val="21"/>
        </w:rPr>
        <w:t>LGBTQ</w:t>
      </w:r>
      <w:r>
        <w:rPr>
          <w:spacing w:val="-9"/>
          <w:sz w:val="21"/>
        </w:rPr>
        <w:t> </w:t>
      </w:r>
      <w:r>
        <w:rPr>
          <w:sz w:val="21"/>
        </w:rPr>
        <w:t>youth,</w:t>
      </w:r>
      <w:r>
        <w:rPr>
          <w:spacing w:val="-9"/>
          <w:sz w:val="21"/>
        </w:rPr>
        <w:t> </w:t>
      </w:r>
      <w:r>
        <w:rPr>
          <w:sz w:val="21"/>
        </w:rPr>
        <w:t>there</w:t>
      </w:r>
      <w:r>
        <w:rPr>
          <w:spacing w:val="-10"/>
          <w:sz w:val="21"/>
        </w:rPr>
        <w:t> </w:t>
      </w:r>
      <w:r>
        <w:rPr>
          <w:sz w:val="21"/>
        </w:rPr>
        <w:t>is</w:t>
      </w:r>
      <w:r>
        <w:rPr>
          <w:spacing w:val="-9"/>
          <w:sz w:val="21"/>
        </w:rPr>
        <w:t> </w:t>
      </w:r>
      <w:r>
        <w:rPr>
          <w:sz w:val="21"/>
        </w:rPr>
        <w:t>still</w:t>
      </w:r>
      <w:r>
        <w:rPr>
          <w:spacing w:val="-9"/>
          <w:sz w:val="21"/>
        </w:rPr>
        <w:t> </w:t>
      </w:r>
      <w:r>
        <w:rPr>
          <w:sz w:val="21"/>
        </w:rPr>
        <w:t>scarce</w:t>
      </w:r>
      <w:r>
        <w:rPr>
          <w:spacing w:val="-9"/>
          <w:sz w:val="21"/>
        </w:rPr>
        <w:t> </w:t>
      </w:r>
      <w:r>
        <w:rPr>
          <w:sz w:val="21"/>
        </w:rPr>
        <w:t>research</w:t>
      </w:r>
      <w:r>
        <w:rPr>
          <w:spacing w:val="-9"/>
          <w:sz w:val="21"/>
        </w:rPr>
        <w:t> </w:t>
      </w:r>
      <w:r>
        <w:rPr>
          <w:sz w:val="21"/>
        </w:rPr>
        <w:t>about</w:t>
      </w:r>
      <w:r>
        <w:rPr>
          <w:spacing w:val="-8"/>
          <w:sz w:val="21"/>
        </w:rPr>
        <w:t> </w:t>
      </w:r>
      <w:r>
        <w:rPr>
          <w:sz w:val="21"/>
        </w:rPr>
        <w:t>how</w:t>
      </w:r>
      <w:r>
        <w:rPr>
          <w:spacing w:val="-9"/>
          <w:sz w:val="21"/>
        </w:rPr>
        <w:t> </w:t>
      </w:r>
      <w:r>
        <w:rPr>
          <w:sz w:val="21"/>
        </w:rPr>
        <w:t>professionals can</w:t>
      </w:r>
      <w:r>
        <w:rPr>
          <w:spacing w:val="-8"/>
          <w:sz w:val="21"/>
        </w:rPr>
        <w:t> </w:t>
      </w:r>
      <w:r>
        <w:rPr>
          <w:sz w:val="21"/>
        </w:rPr>
        <w:t>effectively</w:t>
      </w:r>
      <w:r>
        <w:rPr>
          <w:spacing w:val="-8"/>
          <w:sz w:val="21"/>
        </w:rPr>
        <w:t> </w:t>
      </w:r>
      <w:r>
        <w:rPr>
          <w:sz w:val="21"/>
        </w:rPr>
        <w:t>support</w:t>
      </w:r>
      <w:r>
        <w:rPr>
          <w:spacing w:val="-7"/>
          <w:sz w:val="21"/>
        </w:rPr>
        <w:t> </w:t>
      </w:r>
      <w:r>
        <w:rPr>
          <w:sz w:val="21"/>
        </w:rPr>
        <w:t>suicidal</w:t>
      </w:r>
      <w:r>
        <w:rPr>
          <w:spacing w:val="-8"/>
          <w:sz w:val="21"/>
        </w:rPr>
        <w:t> </w:t>
      </w:r>
      <w:r>
        <w:rPr>
          <w:sz w:val="21"/>
        </w:rPr>
        <w:t>LGBTQ</w:t>
      </w:r>
      <w:r>
        <w:rPr>
          <w:spacing w:val="-7"/>
          <w:sz w:val="21"/>
        </w:rPr>
        <w:t> </w:t>
      </w:r>
      <w:r>
        <w:rPr>
          <w:sz w:val="21"/>
        </w:rPr>
        <w:t>youth.</w:t>
      </w:r>
      <w:r>
        <w:rPr>
          <w:spacing w:val="-8"/>
          <w:sz w:val="21"/>
        </w:rPr>
        <w:t> </w:t>
      </w:r>
      <w:r>
        <w:rPr>
          <w:sz w:val="21"/>
        </w:rPr>
        <w:t>However,</w:t>
      </w:r>
      <w:r>
        <w:rPr>
          <w:spacing w:val="-7"/>
          <w:sz w:val="21"/>
        </w:rPr>
        <w:t> </w:t>
      </w:r>
      <w:r>
        <w:rPr>
          <w:sz w:val="21"/>
        </w:rPr>
        <w:t>it</w:t>
      </w:r>
      <w:r>
        <w:rPr>
          <w:spacing w:val="-7"/>
          <w:sz w:val="21"/>
        </w:rPr>
        <w:t> </w:t>
      </w:r>
      <w:r>
        <w:rPr>
          <w:sz w:val="21"/>
        </w:rPr>
        <w:t>is</w:t>
      </w:r>
      <w:r>
        <w:rPr>
          <w:spacing w:val="-8"/>
          <w:sz w:val="21"/>
        </w:rPr>
        <w:t> </w:t>
      </w:r>
      <w:r>
        <w:rPr>
          <w:sz w:val="21"/>
        </w:rPr>
        <w:t>broadly</w:t>
      </w:r>
      <w:r>
        <w:rPr>
          <w:spacing w:val="-8"/>
          <w:sz w:val="21"/>
        </w:rPr>
        <w:t> </w:t>
      </w:r>
      <w:r>
        <w:rPr>
          <w:sz w:val="21"/>
        </w:rPr>
        <w:t>understood</w:t>
      </w:r>
      <w:r>
        <w:rPr>
          <w:spacing w:val="-8"/>
          <w:sz w:val="21"/>
        </w:rPr>
        <w:t> </w:t>
      </w:r>
      <w:r>
        <w:rPr>
          <w:sz w:val="21"/>
        </w:rPr>
        <w:t>that</w:t>
      </w:r>
      <w:r>
        <w:rPr>
          <w:spacing w:val="-7"/>
          <w:sz w:val="21"/>
        </w:rPr>
        <w:t> </w:t>
      </w:r>
      <w:r>
        <w:rPr>
          <w:sz w:val="21"/>
        </w:rPr>
        <w:t>anti-LGBTQ</w:t>
      </w:r>
      <w:r>
        <w:rPr>
          <w:spacing w:val="-9"/>
          <w:sz w:val="21"/>
        </w:rPr>
        <w:t> </w:t>
      </w:r>
      <w:r>
        <w:rPr>
          <w:sz w:val="21"/>
        </w:rPr>
        <w:t>minority</w:t>
      </w:r>
      <w:r>
        <w:rPr>
          <w:spacing w:val="-8"/>
          <w:sz w:val="21"/>
        </w:rPr>
        <w:t> </w:t>
      </w:r>
      <w:r>
        <w:rPr>
          <w:sz w:val="21"/>
        </w:rPr>
        <w:t>stress and trauma are linked to depression and PTSD, and these disorders are linked to suicidal ideation. In 2022, the Trevor Project found that more than 1 in 3 youth had experienced physical threats or harm based on their identities, and youth who were victimized attempted suicide at over twice as often as peers who were not</w:t>
      </w:r>
      <w:hyperlink w:history="true" w:anchor="_bookmark186">
        <w:r>
          <w:rPr>
            <w:sz w:val="21"/>
          </w:rPr>
          <w:t>.</w:t>
        </w:r>
        <w:r>
          <w:rPr>
            <w:sz w:val="21"/>
            <w:vertAlign w:val="superscript"/>
          </w:rPr>
          <w:t>91</w:t>
        </w:r>
      </w:hyperlink>
      <w:r>
        <w:rPr>
          <w:sz w:val="21"/>
          <w:vertAlign w:val="baseline"/>
        </w:rPr>
        <w:t> Furthermore, hopelessness is a key ingredient for suicidality. </w:t>
      </w:r>
      <w:hyperlink w:history="true" w:anchor="_bookmark187">
        <w:r>
          <w:rPr>
            <w:sz w:val="21"/>
            <w:vertAlign w:val="superscript"/>
          </w:rPr>
          <w:t>92</w:t>
        </w:r>
      </w:hyperlink>
      <w:r>
        <w:rPr>
          <w:sz w:val="21"/>
          <w:vertAlign w:val="baseline"/>
        </w:rPr>
        <w:t> This is important because many of the recommendations</w:t>
      </w:r>
      <w:r>
        <w:rPr>
          <w:spacing w:val="-6"/>
          <w:sz w:val="21"/>
          <w:vertAlign w:val="baseline"/>
        </w:rPr>
        <w:t> </w:t>
      </w:r>
      <w:r>
        <w:rPr>
          <w:sz w:val="21"/>
          <w:vertAlign w:val="baseline"/>
        </w:rPr>
        <w:t>in</w:t>
      </w:r>
      <w:r>
        <w:rPr>
          <w:spacing w:val="-5"/>
          <w:sz w:val="21"/>
          <w:vertAlign w:val="baseline"/>
        </w:rPr>
        <w:t> </w:t>
      </w:r>
      <w:r>
        <w:rPr>
          <w:sz w:val="21"/>
          <w:vertAlign w:val="baseline"/>
        </w:rPr>
        <w:t>this</w:t>
      </w:r>
      <w:r>
        <w:rPr>
          <w:spacing w:val="-7"/>
          <w:sz w:val="21"/>
          <w:vertAlign w:val="baseline"/>
        </w:rPr>
        <w:t> </w:t>
      </w:r>
      <w:r>
        <w:rPr>
          <w:sz w:val="21"/>
          <w:vertAlign w:val="baseline"/>
        </w:rPr>
        <w:t>report,</w:t>
      </w:r>
      <w:r>
        <w:rPr>
          <w:spacing w:val="-5"/>
          <w:sz w:val="21"/>
          <w:vertAlign w:val="baseline"/>
        </w:rPr>
        <w:t> </w:t>
      </w:r>
      <w:r>
        <w:rPr>
          <w:sz w:val="21"/>
          <w:vertAlign w:val="baseline"/>
        </w:rPr>
        <w:t>like</w:t>
      </w:r>
      <w:r>
        <w:rPr>
          <w:spacing w:val="-5"/>
          <w:sz w:val="21"/>
          <w:vertAlign w:val="baseline"/>
        </w:rPr>
        <w:t> </w:t>
      </w:r>
      <w:r>
        <w:rPr>
          <w:sz w:val="21"/>
          <w:vertAlign w:val="baseline"/>
        </w:rPr>
        <w:t>GSAs,</w:t>
      </w:r>
      <w:r>
        <w:rPr>
          <w:spacing w:val="-5"/>
          <w:sz w:val="21"/>
          <w:vertAlign w:val="baseline"/>
        </w:rPr>
        <w:t> </w:t>
      </w:r>
      <w:r>
        <w:rPr>
          <w:sz w:val="21"/>
          <w:vertAlign w:val="baseline"/>
        </w:rPr>
        <w:t>summer</w:t>
      </w:r>
      <w:r>
        <w:rPr>
          <w:spacing w:val="-7"/>
          <w:sz w:val="21"/>
          <w:vertAlign w:val="baseline"/>
        </w:rPr>
        <w:t> </w:t>
      </w:r>
      <w:r>
        <w:rPr>
          <w:sz w:val="21"/>
          <w:vertAlign w:val="baseline"/>
        </w:rPr>
        <w:t>camps,</w:t>
      </w:r>
      <w:r>
        <w:rPr>
          <w:spacing w:val="-5"/>
          <w:sz w:val="21"/>
          <w:vertAlign w:val="baseline"/>
        </w:rPr>
        <w:t> </w:t>
      </w:r>
      <w:r>
        <w:rPr>
          <w:sz w:val="21"/>
          <w:vertAlign w:val="baseline"/>
        </w:rPr>
        <w:t>and</w:t>
      </w:r>
      <w:r>
        <w:rPr>
          <w:spacing w:val="-7"/>
          <w:sz w:val="21"/>
          <w:vertAlign w:val="baseline"/>
        </w:rPr>
        <w:t> </w:t>
      </w:r>
      <w:r>
        <w:rPr>
          <w:sz w:val="21"/>
          <w:vertAlign w:val="baseline"/>
        </w:rPr>
        <w:t>activist</w:t>
      </w:r>
      <w:r>
        <w:rPr>
          <w:spacing w:val="-5"/>
          <w:sz w:val="21"/>
          <w:vertAlign w:val="baseline"/>
        </w:rPr>
        <w:t> </w:t>
      </w:r>
      <w:r>
        <w:rPr>
          <w:sz w:val="21"/>
          <w:vertAlign w:val="baseline"/>
        </w:rPr>
        <w:t>programs,</w:t>
      </w:r>
      <w:r>
        <w:rPr>
          <w:spacing w:val="-6"/>
          <w:sz w:val="21"/>
          <w:vertAlign w:val="baseline"/>
        </w:rPr>
        <w:t> </w:t>
      </w:r>
      <w:r>
        <w:rPr>
          <w:sz w:val="21"/>
          <w:vertAlign w:val="baseline"/>
        </w:rPr>
        <w:t>have</w:t>
      </w:r>
      <w:r>
        <w:rPr>
          <w:spacing w:val="-5"/>
          <w:sz w:val="21"/>
          <w:vertAlign w:val="baseline"/>
        </w:rPr>
        <w:t> </w:t>
      </w:r>
      <w:r>
        <w:rPr>
          <w:sz w:val="21"/>
          <w:vertAlign w:val="baseline"/>
        </w:rPr>
        <w:t>been</w:t>
      </w:r>
      <w:r>
        <w:rPr>
          <w:spacing w:val="-7"/>
          <w:sz w:val="21"/>
          <w:vertAlign w:val="baseline"/>
        </w:rPr>
        <w:t> </w:t>
      </w:r>
      <w:r>
        <w:rPr>
          <w:sz w:val="21"/>
          <w:vertAlign w:val="baseline"/>
        </w:rPr>
        <w:t>shown</w:t>
      </w:r>
      <w:r>
        <w:rPr>
          <w:spacing w:val="-5"/>
          <w:sz w:val="21"/>
          <w:vertAlign w:val="baseline"/>
        </w:rPr>
        <w:t> </w:t>
      </w:r>
      <w:r>
        <w:rPr>
          <w:sz w:val="21"/>
          <w:vertAlign w:val="baseline"/>
        </w:rPr>
        <w:t>to</w:t>
      </w:r>
      <w:r>
        <w:rPr>
          <w:spacing w:val="-7"/>
          <w:sz w:val="21"/>
          <w:vertAlign w:val="baseline"/>
        </w:rPr>
        <w:t> </w:t>
      </w:r>
      <w:r>
        <w:rPr>
          <w:sz w:val="21"/>
          <w:vertAlign w:val="baseline"/>
        </w:rPr>
        <w:t>increase hope. For instance, a recent study showed that GSAs foster hope by helping youth discover and work toward their goals, leading to less symptoms of depression and anxiety by the end of the year</w:t>
      </w:r>
      <w:hyperlink w:history="true" w:anchor="_bookmark188">
        <w:r>
          <w:rPr>
            <w:sz w:val="21"/>
            <w:vertAlign w:val="baseline"/>
          </w:rPr>
          <w:t>.</w:t>
        </w:r>
        <w:r>
          <w:rPr>
            <w:sz w:val="21"/>
            <w:vertAlign w:val="superscript"/>
          </w:rPr>
          <w:t>93</w:t>
        </w:r>
      </w:hyperlink>
    </w:p>
    <w:p>
      <w:pPr>
        <w:spacing w:line="276" w:lineRule="auto" w:before="240"/>
        <w:ind w:left="2773" w:right="239" w:firstLine="0"/>
        <w:jc w:val="both"/>
        <w:rPr>
          <w:sz w:val="21"/>
        </w:rPr>
      </w:pPr>
      <w:r>
        <w:rPr/>
        <w:drawing>
          <wp:anchor distT="0" distB="0" distL="0" distR="0" allowOverlap="1" layoutInCell="1" locked="0" behindDoc="0" simplePos="0" relativeHeight="15767040">
            <wp:simplePos x="0" y="0"/>
            <wp:positionH relativeFrom="page">
              <wp:posOffset>825499</wp:posOffset>
            </wp:positionH>
            <wp:positionV relativeFrom="paragraph">
              <wp:posOffset>165553</wp:posOffset>
            </wp:positionV>
            <wp:extent cx="1463039" cy="1463039"/>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190" cstate="print"/>
                    <a:stretch>
                      <a:fillRect/>
                    </a:stretch>
                  </pic:blipFill>
                  <pic:spPr>
                    <a:xfrm>
                      <a:off x="0" y="0"/>
                      <a:ext cx="1463039" cy="1463039"/>
                    </a:xfrm>
                    <a:prstGeom prst="rect">
                      <a:avLst/>
                    </a:prstGeom>
                  </pic:spPr>
                </pic:pic>
              </a:graphicData>
            </a:graphic>
          </wp:anchor>
        </w:drawing>
      </w:r>
      <w:r>
        <w:rPr>
          <w:sz w:val="21"/>
        </w:rPr>
        <w:t>How can service providers improve services for suicidal LGBTQ youth? One study from 2021 sought out youths’ insights. Participants shared that they were unaware that mental health resources already existed for them. They also wanted confidentiality for their suicidality and identities, clear visual signs of affirming attitudes, and emotional support from their caregivers about their identities</w:t>
      </w:r>
      <w:hyperlink w:history="true" w:anchor="_bookmark189">
        <w:r>
          <w:rPr>
            <w:sz w:val="21"/>
          </w:rPr>
          <w:t>.</w:t>
        </w:r>
        <w:r>
          <w:rPr>
            <w:color w:val="575757"/>
            <w:sz w:val="21"/>
            <w:vertAlign w:val="superscript"/>
          </w:rPr>
          <w:t>94</w:t>
        </w:r>
      </w:hyperlink>
    </w:p>
    <w:p>
      <w:pPr>
        <w:spacing w:line="276" w:lineRule="auto" w:before="240"/>
        <w:ind w:left="2773" w:right="241" w:firstLine="0"/>
        <w:jc w:val="both"/>
        <w:rPr>
          <w:sz w:val="21"/>
        </w:rPr>
      </w:pPr>
      <w:r>
        <w:rPr>
          <w:sz w:val="21"/>
        </w:rPr>
        <w:t>Despite the lack of research about LGBTQ-specific professional mental health support, it is clear that LGBTQ youth suffer when they live in families, schools, communities,</w:t>
      </w:r>
      <w:r>
        <w:rPr>
          <w:spacing w:val="51"/>
          <w:sz w:val="21"/>
        </w:rPr>
        <w:t> </w:t>
      </w:r>
      <w:r>
        <w:rPr>
          <w:sz w:val="21"/>
        </w:rPr>
        <w:t>and</w:t>
      </w:r>
      <w:r>
        <w:rPr>
          <w:spacing w:val="53"/>
          <w:sz w:val="21"/>
        </w:rPr>
        <w:t> </w:t>
      </w:r>
      <w:r>
        <w:rPr>
          <w:sz w:val="21"/>
        </w:rPr>
        <w:t>a</w:t>
      </w:r>
      <w:r>
        <w:rPr>
          <w:spacing w:val="54"/>
          <w:sz w:val="21"/>
        </w:rPr>
        <w:t> </w:t>
      </w:r>
      <w:r>
        <w:rPr>
          <w:sz w:val="21"/>
        </w:rPr>
        <w:t>society</w:t>
      </w:r>
      <w:r>
        <w:rPr>
          <w:spacing w:val="52"/>
          <w:sz w:val="21"/>
        </w:rPr>
        <w:t> </w:t>
      </w:r>
      <w:r>
        <w:rPr>
          <w:sz w:val="21"/>
        </w:rPr>
        <w:t>that</w:t>
      </w:r>
      <w:r>
        <w:rPr>
          <w:spacing w:val="53"/>
          <w:sz w:val="21"/>
        </w:rPr>
        <w:t> </w:t>
      </w:r>
      <w:r>
        <w:rPr>
          <w:sz w:val="21"/>
        </w:rPr>
        <w:t>erases,</w:t>
      </w:r>
      <w:r>
        <w:rPr>
          <w:spacing w:val="54"/>
          <w:sz w:val="21"/>
        </w:rPr>
        <w:t> </w:t>
      </w:r>
      <w:r>
        <w:rPr>
          <w:sz w:val="21"/>
        </w:rPr>
        <w:t>debates,</w:t>
      </w:r>
      <w:r>
        <w:rPr>
          <w:spacing w:val="53"/>
          <w:sz w:val="21"/>
        </w:rPr>
        <w:t> </w:t>
      </w:r>
      <w:r>
        <w:rPr>
          <w:sz w:val="21"/>
        </w:rPr>
        <w:t>and</w:t>
      </w:r>
      <w:r>
        <w:rPr>
          <w:spacing w:val="54"/>
          <w:sz w:val="21"/>
        </w:rPr>
        <w:t> </w:t>
      </w:r>
      <w:r>
        <w:rPr>
          <w:sz w:val="21"/>
        </w:rPr>
        <w:t>threatens</w:t>
      </w:r>
      <w:r>
        <w:rPr>
          <w:spacing w:val="51"/>
          <w:sz w:val="21"/>
        </w:rPr>
        <w:t> </w:t>
      </w:r>
      <w:r>
        <w:rPr>
          <w:sz w:val="21"/>
        </w:rPr>
        <w:t>them.</w:t>
      </w:r>
      <w:r>
        <w:rPr>
          <w:spacing w:val="53"/>
          <w:sz w:val="21"/>
        </w:rPr>
        <w:t> </w:t>
      </w:r>
      <w:r>
        <w:rPr>
          <w:spacing w:val="-2"/>
          <w:sz w:val="21"/>
        </w:rPr>
        <w:t>Suicide</w:t>
      </w:r>
    </w:p>
    <w:p>
      <w:pPr>
        <w:spacing w:line="276" w:lineRule="auto" w:before="0"/>
        <w:ind w:left="463" w:right="241" w:firstLine="0"/>
        <w:jc w:val="both"/>
        <w:rPr>
          <w:sz w:val="21"/>
        </w:rPr>
      </w:pPr>
      <w:r>
        <w:rPr>
          <w:sz w:val="21"/>
        </w:rPr>
        <w:t>prevention includes professional mental</w:t>
      </w:r>
      <w:r>
        <w:rPr>
          <w:spacing w:val="-1"/>
          <w:sz w:val="21"/>
        </w:rPr>
        <w:t> </w:t>
      </w:r>
      <w:r>
        <w:rPr>
          <w:sz w:val="21"/>
        </w:rPr>
        <w:t>healthcare, but it is not limited to it. Protective legislation, supportive school</w:t>
      </w:r>
      <w:r>
        <w:rPr>
          <w:spacing w:val="-7"/>
          <w:sz w:val="21"/>
        </w:rPr>
        <w:t> </w:t>
      </w:r>
      <w:r>
        <w:rPr>
          <w:sz w:val="21"/>
        </w:rPr>
        <w:t>policies,</w:t>
      </w:r>
      <w:r>
        <w:rPr>
          <w:spacing w:val="-6"/>
          <w:sz w:val="21"/>
        </w:rPr>
        <w:t> </w:t>
      </w:r>
      <w:r>
        <w:rPr>
          <w:sz w:val="21"/>
        </w:rPr>
        <w:t>mental</w:t>
      </w:r>
      <w:r>
        <w:rPr>
          <w:spacing w:val="-7"/>
          <w:sz w:val="21"/>
        </w:rPr>
        <w:t> </w:t>
      </w:r>
      <w:r>
        <w:rPr>
          <w:sz w:val="21"/>
        </w:rPr>
        <w:t>health</w:t>
      </w:r>
      <w:r>
        <w:rPr>
          <w:spacing w:val="-7"/>
          <w:sz w:val="21"/>
        </w:rPr>
        <w:t> </w:t>
      </w:r>
      <w:r>
        <w:rPr>
          <w:sz w:val="21"/>
        </w:rPr>
        <w:t>literacy</w:t>
      </w:r>
      <w:r>
        <w:rPr>
          <w:spacing w:val="-7"/>
          <w:sz w:val="21"/>
        </w:rPr>
        <w:t> </w:t>
      </w:r>
      <w:r>
        <w:rPr>
          <w:sz w:val="21"/>
        </w:rPr>
        <w:t>initiatives,</w:t>
      </w:r>
      <w:r>
        <w:rPr>
          <w:spacing w:val="-6"/>
          <w:sz w:val="21"/>
        </w:rPr>
        <w:t> </w:t>
      </w:r>
      <w:r>
        <w:rPr>
          <w:sz w:val="21"/>
        </w:rPr>
        <w:t>comprehensively</w:t>
      </w:r>
      <w:r>
        <w:rPr>
          <w:spacing w:val="-7"/>
          <w:sz w:val="21"/>
        </w:rPr>
        <w:t> </w:t>
      </w:r>
      <w:r>
        <w:rPr>
          <w:sz w:val="21"/>
        </w:rPr>
        <w:t>funded</w:t>
      </w:r>
      <w:r>
        <w:rPr>
          <w:spacing w:val="-7"/>
          <w:sz w:val="21"/>
        </w:rPr>
        <w:t> </w:t>
      </w:r>
      <w:r>
        <w:rPr>
          <w:sz w:val="21"/>
        </w:rPr>
        <w:t>MHP</w:t>
      </w:r>
      <w:r>
        <w:rPr>
          <w:spacing w:val="-7"/>
          <w:sz w:val="21"/>
        </w:rPr>
        <w:t> </w:t>
      </w:r>
      <w:r>
        <w:rPr>
          <w:sz w:val="21"/>
        </w:rPr>
        <w:t>and</w:t>
      </w:r>
      <w:r>
        <w:rPr>
          <w:spacing w:val="-7"/>
          <w:sz w:val="21"/>
        </w:rPr>
        <w:t> </w:t>
      </w:r>
      <w:r>
        <w:rPr>
          <w:sz w:val="21"/>
        </w:rPr>
        <w:t>youth</w:t>
      </w:r>
      <w:r>
        <w:rPr>
          <w:spacing w:val="-7"/>
          <w:sz w:val="21"/>
        </w:rPr>
        <w:t> </w:t>
      </w:r>
      <w:r>
        <w:rPr>
          <w:sz w:val="21"/>
        </w:rPr>
        <w:t>worker</w:t>
      </w:r>
      <w:r>
        <w:rPr>
          <w:spacing w:val="-7"/>
          <w:sz w:val="21"/>
        </w:rPr>
        <w:t> </w:t>
      </w:r>
      <w:r>
        <w:rPr>
          <w:sz w:val="21"/>
        </w:rPr>
        <w:t>positions</w:t>
      </w:r>
      <w:r>
        <w:rPr>
          <w:spacing w:val="-7"/>
          <w:sz w:val="21"/>
        </w:rPr>
        <w:t> </w:t>
      </w:r>
      <w:r>
        <w:rPr>
          <w:sz w:val="21"/>
        </w:rPr>
        <w:t>and programs, intersectional and trauma-informed services, and all the other interdisciplinary recommendations made in this report – these, too, are suicide prevention.</w:t>
      </w:r>
    </w:p>
    <w:p>
      <w:pPr>
        <w:spacing w:after="0" w:line="276" w:lineRule="auto"/>
        <w:jc w:val="both"/>
        <w:rPr>
          <w:sz w:val="21"/>
        </w:rPr>
        <w:sectPr>
          <w:pgSz w:w="12240" w:h="15840"/>
          <w:pgMar w:header="804" w:footer="1390" w:top="1080" w:bottom="1620" w:left="980" w:right="1080"/>
        </w:sectPr>
      </w:pPr>
    </w:p>
    <w:p>
      <w:pPr>
        <w:pStyle w:val="BodyText"/>
        <w:spacing w:before="62" w:after="1"/>
        <w:rPr>
          <w:sz w:val="20"/>
        </w:rPr>
      </w:pPr>
    </w:p>
    <w:p>
      <w:pPr>
        <w:pStyle w:val="BodyText"/>
        <w:ind w:left="460"/>
        <w:rPr>
          <w:sz w:val="20"/>
        </w:rPr>
      </w:pPr>
      <w:r>
        <w:rPr>
          <w:sz w:val="20"/>
        </w:rPr>
        <w:drawing>
          <wp:inline distT="0" distB="0" distL="0" distR="0">
            <wp:extent cx="5945300" cy="633983"/>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91" cstate="print"/>
                    <a:stretch>
                      <a:fillRect/>
                    </a:stretch>
                  </pic:blipFill>
                  <pic:spPr>
                    <a:xfrm>
                      <a:off x="0" y="0"/>
                      <a:ext cx="5945300" cy="633983"/>
                    </a:xfrm>
                    <a:prstGeom prst="rect">
                      <a:avLst/>
                    </a:prstGeom>
                  </pic:spPr>
                </pic:pic>
              </a:graphicData>
            </a:graphic>
          </wp:inline>
        </w:drawing>
      </w:r>
      <w:r>
        <w:rPr>
          <w:sz w:val="20"/>
        </w:rPr>
      </w:r>
    </w:p>
    <w:p>
      <w:pPr>
        <w:pStyle w:val="BodyText"/>
        <w:rPr>
          <w:sz w:val="21"/>
        </w:rPr>
      </w:pPr>
    </w:p>
    <w:p>
      <w:pPr>
        <w:pStyle w:val="BodyText"/>
        <w:spacing w:before="21"/>
        <w:rPr>
          <w:sz w:val="21"/>
        </w:rPr>
      </w:pPr>
    </w:p>
    <w:p>
      <w:pPr>
        <w:spacing w:line="276" w:lineRule="auto" w:before="0"/>
        <w:ind w:left="463" w:right="239" w:hanging="1"/>
        <w:jc w:val="both"/>
        <w:rPr>
          <w:sz w:val="21"/>
        </w:rPr>
      </w:pPr>
      <w:r>
        <w:rPr>
          <w:sz w:val="21"/>
        </w:rPr>
        <w:t>The</w:t>
      </w:r>
      <w:r>
        <w:rPr>
          <w:spacing w:val="-4"/>
          <w:sz w:val="21"/>
        </w:rPr>
        <w:t> </w:t>
      </w:r>
      <w:r>
        <w:rPr>
          <w:sz w:val="21"/>
        </w:rPr>
        <w:t>above</w:t>
      </w:r>
      <w:r>
        <w:rPr>
          <w:spacing w:val="-4"/>
          <w:sz w:val="21"/>
        </w:rPr>
        <w:t> </w:t>
      </w:r>
      <w:r>
        <w:rPr>
          <w:sz w:val="21"/>
        </w:rPr>
        <w:t>statement,</w:t>
      </w:r>
      <w:r>
        <w:rPr>
          <w:spacing w:val="-5"/>
          <w:sz w:val="21"/>
        </w:rPr>
        <w:t> </w:t>
      </w:r>
      <w:r>
        <w:rPr>
          <w:sz w:val="21"/>
        </w:rPr>
        <w:t>made</w:t>
      </w:r>
      <w:r>
        <w:rPr>
          <w:spacing w:val="-5"/>
          <w:sz w:val="21"/>
        </w:rPr>
        <w:t> </w:t>
      </w:r>
      <w:r>
        <w:rPr>
          <w:sz w:val="21"/>
        </w:rPr>
        <w:t>during</w:t>
      </w:r>
      <w:r>
        <w:rPr>
          <w:spacing w:val="-5"/>
          <w:sz w:val="21"/>
        </w:rPr>
        <w:t> </w:t>
      </w:r>
      <w:r>
        <w:rPr>
          <w:sz w:val="21"/>
        </w:rPr>
        <w:t>the</w:t>
      </w:r>
      <w:r>
        <w:rPr>
          <w:spacing w:val="-4"/>
          <w:sz w:val="21"/>
        </w:rPr>
        <w:t> </w:t>
      </w:r>
      <w:r>
        <w:rPr>
          <w:sz w:val="21"/>
        </w:rPr>
        <w:t>2022</w:t>
      </w:r>
      <w:r>
        <w:rPr>
          <w:spacing w:val="-4"/>
          <w:sz w:val="21"/>
        </w:rPr>
        <w:t> </w:t>
      </w:r>
      <w:r>
        <w:rPr>
          <w:sz w:val="21"/>
        </w:rPr>
        <w:t>Massachusetts</w:t>
      </w:r>
      <w:r>
        <w:rPr>
          <w:spacing w:val="-5"/>
          <w:sz w:val="21"/>
        </w:rPr>
        <w:t> </w:t>
      </w:r>
      <w:r>
        <w:rPr>
          <w:sz w:val="21"/>
        </w:rPr>
        <w:t>school</w:t>
      </w:r>
      <w:r>
        <w:rPr>
          <w:spacing w:val="-4"/>
          <w:sz w:val="21"/>
        </w:rPr>
        <w:t> </w:t>
      </w:r>
      <w:r>
        <w:rPr>
          <w:sz w:val="21"/>
        </w:rPr>
        <w:t>walkout</w:t>
      </w:r>
      <w:r>
        <w:rPr>
          <w:spacing w:val="-4"/>
          <w:sz w:val="21"/>
        </w:rPr>
        <w:t> </w:t>
      </w:r>
      <w:r>
        <w:rPr>
          <w:sz w:val="21"/>
        </w:rPr>
        <w:t>to</w:t>
      </w:r>
      <w:r>
        <w:rPr>
          <w:spacing w:val="-4"/>
          <w:sz w:val="21"/>
        </w:rPr>
        <w:t> </w:t>
      </w:r>
      <w:r>
        <w:rPr>
          <w:sz w:val="21"/>
        </w:rPr>
        <w:t>protest</w:t>
      </w:r>
      <w:r>
        <w:rPr>
          <w:spacing w:val="-4"/>
          <w:sz w:val="21"/>
        </w:rPr>
        <w:t> </w:t>
      </w:r>
      <w:r>
        <w:rPr>
          <w:sz w:val="21"/>
        </w:rPr>
        <w:t>anti-LGBTQ</w:t>
      </w:r>
      <w:r>
        <w:rPr>
          <w:spacing w:val="-4"/>
          <w:sz w:val="21"/>
        </w:rPr>
        <w:t> </w:t>
      </w:r>
      <w:r>
        <w:rPr>
          <w:sz w:val="21"/>
        </w:rPr>
        <w:t>legislation</w:t>
      </w:r>
      <w:r>
        <w:rPr>
          <w:spacing w:val="-4"/>
          <w:sz w:val="21"/>
        </w:rPr>
        <w:t> </w:t>
      </w:r>
      <w:r>
        <w:rPr>
          <w:sz w:val="21"/>
        </w:rPr>
        <w:t>in Florida</w:t>
      </w:r>
      <w:r>
        <w:rPr>
          <w:spacing w:val="-5"/>
          <w:sz w:val="21"/>
        </w:rPr>
        <w:t> </w:t>
      </w:r>
      <w:r>
        <w:rPr>
          <w:sz w:val="21"/>
        </w:rPr>
        <w:t>and</w:t>
      </w:r>
      <w:r>
        <w:rPr>
          <w:spacing w:val="-6"/>
          <w:sz w:val="21"/>
        </w:rPr>
        <w:t> </w:t>
      </w:r>
      <w:r>
        <w:rPr>
          <w:sz w:val="21"/>
        </w:rPr>
        <w:t>Texas,</w:t>
      </w:r>
      <w:r>
        <w:rPr>
          <w:spacing w:val="-5"/>
          <w:sz w:val="21"/>
        </w:rPr>
        <w:t> </w:t>
      </w:r>
      <w:r>
        <w:rPr>
          <w:sz w:val="21"/>
        </w:rPr>
        <w:t>captures</w:t>
      </w:r>
      <w:r>
        <w:rPr>
          <w:spacing w:val="-6"/>
          <w:sz w:val="21"/>
        </w:rPr>
        <w:t> </w:t>
      </w:r>
      <w:r>
        <w:rPr>
          <w:sz w:val="21"/>
        </w:rPr>
        <w:t>the</w:t>
      </w:r>
      <w:r>
        <w:rPr>
          <w:spacing w:val="-6"/>
          <w:sz w:val="21"/>
        </w:rPr>
        <w:t> </w:t>
      </w:r>
      <w:r>
        <w:rPr>
          <w:sz w:val="21"/>
        </w:rPr>
        <w:t>spirit</w:t>
      </w:r>
      <w:r>
        <w:rPr>
          <w:spacing w:val="-5"/>
          <w:sz w:val="21"/>
        </w:rPr>
        <w:t> </w:t>
      </w:r>
      <w:r>
        <w:rPr>
          <w:sz w:val="21"/>
        </w:rPr>
        <w:t>of</w:t>
      </w:r>
      <w:r>
        <w:rPr>
          <w:spacing w:val="-6"/>
          <w:sz w:val="21"/>
        </w:rPr>
        <w:t> </w:t>
      </w:r>
      <w:r>
        <w:rPr>
          <w:sz w:val="21"/>
        </w:rPr>
        <w:t>resilience</w:t>
      </w:r>
      <w:r>
        <w:rPr>
          <w:spacing w:val="-6"/>
          <w:sz w:val="21"/>
        </w:rPr>
        <w:t> </w:t>
      </w:r>
      <w:r>
        <w:rPr>
          <w:sz w:val="21"/>
        </w:rPr>
        <w:t>that</w:t>
      </w:r>
      <w:r>
        <w:rPr>
          <w:spacing w:val="-5"/>
          <w:sz w:val="21"/>
        </w:rPr>
        <w:t> </w:t>
      </w:r>
      <w:r>
        <w:rPr>
          <w:sz w:val="21"/>
        </w:rPr>
        <w:t>LGBTQ</w:t>
      </w:r>
      <w:r>
        <w:rPr>
          <w:spacing w:val="-5"/>
          <w:sz w:val="21"/>
        </w:rPr>
        <w:t> </w:t>
      </w:r>
      <w:r>
        <w:rPr>
          <w:sz w:val="21"/>
        </w:rPr>
        <w:t>youth</w:t>
      </w:r>
      <w:r>
        <w:rPr>
          <w:spacing w:val="-6"/>
          <w:sz w:val="21"/>
        </w:rPr>
        <w:t> </w:t>
      </w:r>
      <w:r>
        <w:rPr>
          <w:sz w:val="21"/>
        </w:rPr>
        <w:t>cultivate</w:t>
      </w:r>
      <w:r>
        <w:rPr>
          <w:spacing w:val="-6"/>
          <w:sz w:val="21"/>
        </w:rPr>
        <w:t> </w:t>
      </w:r>
      <w:r>
        <w:rPr>
          <w:sz w:val="21"/>
        </w:rPr>
        <w:t>in</w:t>
      </w:r>
      <w:r>
        <w:rPr>
          <w:spacing w:val="-6"/>
          <w:sz w:val="21"/>
        </w:rPr>
        <w:t> </w:t>
      </w:r>
      <w:r>
        <w:rPr>
          <w:sz w:val="21"/>
        </w:rPr>
        <w:t>themselves</w:t>
      </w:r>
      <w:r>
        <w:rPr>
          <w:spacing w:val="-6"/>
          <w:sz w:val="21"/>
        </w:rPr>
        <w:t> </w:t>
      </w:r>
      <w:r>
        <w:rPr>
          <w:sz w:val="21"/>
        </w:rPr>
        <w:t>and</w:t>
      </w:r>
      <w:r>
        <w:rPr>
          <w:spacing w:val="-6"/>
          <w:sz w:val="21"/>
        </w:rPr>
        <w:t> </w:t>
      </w:r>
      <w:r>
        <w:rPr>
          <w:sz w:val="21"/>
        </w:rPr>
        <w:t>in</w:t>
      </w:r>
      <w:r>
        <w:rPr>
          <w:spacing w:val="-4"/>
          <w:sz w:val="21"/>
        </w:rPr>
        <w:t> </w:t>
      </w:r>
      <w:r>
        <w:rPr>
          <w:sz w:val="21"/>
        </w:rPr>
        <w:t>one</w:t>
      </w:r>
      <w:r>
        <w:rPr>
          <w:spacing w:val="-6"/>
          <w:sz w:val="21"/>
        </w:rPr>
        <w:t> </w:t>
      </w:r>
      <w:r>
        <w:rPr>
          <w:sz w:val="21"/>
        </w:rPr>
        <w:t>another. The power of youths’ interests, energy, and lived wisdom should never be underestimated. Although the statistics, the news, and the issues in this report may feel overwhelming, we remember that uncounted generations of LGBTQ people have always found ways to survive and thrive. This heritage is a cultural treasure that should be celebrated and drawn upon.</w:t>
      </w:r>
    </w:p>
    <w:p>
      <w:pPr>
        <w:spacing w:line="276" w:lineRule="auto" w:before="240"/>
        <w:ind w:left="463" w:right="240" w:firstLine="0"/>
        <w:jc w:val="both"/>
        <w:rPr>
          <w:sz w:val="21"/>
        </w:rPr>
      </w:pPr>
      <w:r>
        <w:rPr>
          <w:sz w:val="21"/>
        </w:rPr>
        <w:t>LGBTQ youth survive, heal, and thrive when they have supportive people as well as each other. Chosen family and peer support are resources to which LGBTQ people have always turned, and they continue to be effective interventions for mental health. On that note, even though LGBTQ youth face high levels of trauma and fear about</w:t>
      </w:r>
      <w:r>
        <w:rPr>
          <w:spacing w:val="-9"/>
          <w:sz w:val="21"/>
        </w:rPr>
        <w:t> </w:t>
      </w:r>
      <w:r>
        <w:rPr>
          <w:sz w:val="21"/>
        </w:rPr>
        <w:t>the</w:t>
      </w:r>
      <w:r>
        <w:rPr>
          <w:spacing w:val="-9"/>
          <w:sz w:val="21"/>
        </w:rPr>
        <w:t> </w:t>
      </w:r>
      <w:r>
        <w:rPr>
          <w:sz w:val="21"/>
        </w:rPr>
        <w:t>future,</w:t>
      </w:r>
      <w:r>
        <w:rPr>
          <w:spacing w:val="-9"/>
          <w:sz w:val="21"/>
        </w:rPr>
        <w:t> </w:t>
      </w:r>
      <w:r>
        <w:rPr>
          <w:sz w:val="21"/>
        </w:rPr>
        <w:t>a</w:t>
      </w:r>
      <w:r>
        <w:rPr>
          <w:spacing w:val="-9"/>
          <w:sz w:val="21"/>
        </w:rPr>
        <w:t> </w:t>
      </w:r>
      <w:r>
        <w:rPr>
          <w:sz w:val="21"/>
        </w:rPr>
        <w:t>wealth</w:t>
      </w:r>
      <w:r>
        <w:rPr>
          <w:spacing w:val="-9"/>
          <w:sz w:val="21"/>
        </w:rPr>
        <w:t> </w:t>
      </w:r>
      <w:r>
        <w:rPr>
          <w:sz w:val="21"/>
        </w:rPr>
        <w:t>of</w:t>
      </w:r>
      <w:r>
        <w:rPr>
          <w:spacing w:val="-10"/>
          <w:sz w:val="21"/>
        </w:rPr>
        <w:t> </w:t>
      </w:r>
      <w:r>
        <w:rPr>
          <w:sz w:val="21"/>
        </w:rPr>
        <w:t>research</w:t>
      </w:r>
      <w:r>
        <w:rPr>
          <w:spacing w:val="-9"/>
          <w:sz w:val="21"/>
        </w:rPr>
        <w:t> </w:t>
      </w:r>
      <w:r>
        <w:rPr>
          <w:sz w:val="21"/>
        </w:rPr>
        <w:t>shows</w:t>
      </w:r>
      <w:r>
        <w:rPr>
          <w:spacing w:val="-10"/>
          <w:sz w:val="21"/>
        </w:rPr>
        <w:t> </w:t>
      </w:r>
      <w:r>
        <w:rPr>
          <w:sz w:val="21"/>
        </w:rPr>
        <w:t>that</w:t>
      </w:r>
      <w:r>
        <w:rPr>
          <w:spacing w:val="-9"/>
          <w:sz w:val="21"/>
        </w:rPr>
        <w:t> </w:t>
      </w:r>
      <w:r>
        <w:rPr>
          <w:sz w:val="21"/>
        </w:rPr>
        <w:t>factors</w:t>
      </w:r>
      <w:r>
        <w:rPr>
          <w:spacing w:val="-10"/>
          <w:sz w:val="21"/>
        </w:rPr>
        <w:t> </w:t>
      </w:r>
      <w:r>
        <w:rPr>
          <w:sz w:val="21"/>
        </w:rPr>
        <w:t>like</w:t>
      </w:r>
      <w:r>
        <w:rPr>
          <w:spacing w:val="-9"/>
          <w:sz w:val="21"/>
        </w:rPr>
        <w:t> </w:t>
      </w:r>
      <w:r>
        <w:rPr>
          <w:sz w:val="21"/>
        </w:rPr>
        <w:t>family</w:t>
      </w:r>
      <w:r>
        <w:rPr>
          <w:spacing w:val="-9"/>
          <w:sz w:val="21"/>
        </w:rPr>
        <w:t> </w:t>
      </w:r>
      <w:r>
        <w:rPr>
          <w:sz w:val="21"/>
        </w:rPr>
        <w:t>acceptance,</w:t>
      </w:r>
      <w:r>
        <w:rPr>
          <w:spacing w:val="-9"/>
          <w:sz w:val="21"/>
        </w:rPr>
        <w:t> </w:t>
      </w:r>
      <w:r>
        <w:rPr>
          <w:sz w:val="21"/>
        </w:rPr>
        <w:t>peer</w:t>
      </w:r>
      <w:r>
        <w:rPr>
          <w:spacing w:val="-9"/>
          <w:sz w:val="21"/>
        </w:rPr>
        <w:t> </w:t>
      </w:r>
      <w:r>
        <w:rPr>
          <w:sz w:val="21"/>
        </w:rPr>
        <w:t>support,</w:t>
      </w:r>
      <w:r>
        <w:rPr>
          <w:spacing w:val="-9"/>
          <w:sz w:val="21"/>
        </w:rPr>
        <w:t> </w:t>
      </w:r>
      <w:r>
        <w:rPr>
          <w:sz w:val="21"/>
        </w:rPr>
        <w:t>and</w:t>
      </w:r>
      <w:r>
        <w:rPr>
          <w:spacing w:val="-9"/>
          <w:sz w:val="21"/>
        </w:rPr>
        <w:t> </w:t>
      </w:r>
      <w:r>
        <w:rPr>
          <w:sz w:val="21"/>
        </w:rPr>
        <w:t>relationships with supportive school staff can uplift youth mental health</w:t>
      </w:r>
      <w:hyperlink w:history="true" w:anchor="_bookmark190">
        <w:r>
          <w:rPr>
            <w:sz w:val="21"/>
          </w:rPr>
          <w:t>.</w:t>
        </w:r>
        <w:r>
          <w:rPr>
            <w:sz w:val="21"/>
            <w:vertAlign w:val="superscript"/>
          </w:rPr>
          <w:t>95</w:t>
        </w:r>
      </w:hyperlink>
      <w:r>
        <w:rPr>
          <w:sz w:val="21"/>
          <w:vertAlign w:val="baseline"/>
        </w:rPr>
        <w:t> GLSEN found that when youth experienced discrimination or higher levels of in-person victimization, they were nearly twice as likely not to have plans to attend college or trade school</w:t>
      </w:r>
      <w:hyperlink w:history="true" w:anchor="_bookmark191">
        <w:r>
          <w:rPr>
            <w:sz w:val="21"/>
            <w:vertAlign w:val="baseline"/>
          </w:rPr>
          <w:t>.</w:t>
        </w:r>
        <w:r>
          <w:rPr>
            <w:sz w:val="21"/>
            <w:vertAlign w:val="superscript"/>
          </w:rPr>
          <w:t>96</w:t>
        </w:r>
      </w:hyperlink>
      <w:r>
        <w:rPr>
          <w:sz w:val="21"/>
          <w:vertAlign w:val="baseline"/>
        </w:rPr>
        <w:t> On the other hand, in schools with inclusive curricula, protective anti- discrimination policies, and GSAs, students had higher self-esteem, less depressive symptoms, and were more likely to aim to pursue higher education. Supportive people, especially adults, will always be vital members of support networks for LGBTQ youth.</w:t>
      </w:r>
    </w:p>
    <w:p>
      <w:pPr>
        <w:spacing w:line="276" w:lineRule="auto" w:before="241"/>
        <w:ind w:left="463" w:right="241" w:firstLine="0"/>
        <w:jc w:val="both"/>
        <w:rPr>
          <w:sz w:val="21"/>
        </w:rPr>
      </w:pPr>
      <w:r>
        <w:rPr>
          <w:sz w:val="21"/>
        </w:rPr>
        <w:t>The</w:t>
      </w:r>
      <w:r>
        <w:rPr>
          <w:spacing w:val="-5"/>
          <w:sz w:val="21"/>
        </w:rPr>
        <w:t> </w:t>
      </w:r>
      <w:r>
        <w:rPr>
          <w:sz w:val="21"/>
        </w:rPr>
        <w:t>Trevor</w:t>
      </w:r>
      <w:r>
        <w:rPr>
          <w:spacing w:val="-5"/>
          <w:sz w:val="21"/>
        </w:rPr>
        <w:t> </w:t>
      </w:r>
      <w:r>
        <w:rPr>
          <w:sz w:val="21"/>
        </w:rPr>
        <w:t>Project’s</w:t>
      </w:r>
      <w:r>
        <w:rPr>
          <w:spacing w:val="-6"/>
          <w:sz w:val="21"/>
        </w:rPr>
        <w:t> </w:t>
      </w:r>
      <w:r>
        <w:rPr>
          <w:sz w:val="21"/>
        </w:rPr>
        <w:t>2022</w:t>
      </w:r>
      <w:r>
        <w:rPr>
          <w:spacing w:val="-6"/>
          <w:sz w:val="21"/>
        </w:rPr>
        <w:t> </w:t>
      </w:r>
      <w:r>
        <w:rPr>
          <w:sz w:val="21"/>
        </w:rPr>
        <w:t>National</w:t>
      </w:r>
      <w:r>
        <w:rPr>
          <w:spacing w:val="-5"/>
          <w:sz w:val="21"/>
        </w:rPr>
        <w:t> </w:t>
      </w:r>
      <w:r>
        <w:rPr>
          <w:sz w:val="21"/>
        </w:rPr>
        <w:t>Survey</w:t>
      </w:r>
      <w:r>
        <w:rPr>
          <w:spacing w:val="-6"/>
          <w:sz w:val="21"/>
        </w:rPr>
        <w:t> </w:t>
      </w:r>
      <w:r>
        <w:rPr>
          <w:sz w:val="21"/>
        </w:rPr>
        <w:t>concluded</w:t>
      </w:r>
      <w:r>
        <w:rPr>
          <w:spacing w:val="-5"/>
          <w:sz w:val="21"/>
        </w:rPr>
        <w:t> </w:t>
      </w:r>
      <w:r>
        <w:rPr>
          <w:sz w:val="21"/>
        </w:rPr>
        <w:t>with</w:t>
      </w:r>
      <w:r>
        <w:rPr>
          <w:spacing w:val="-5"/>
          <w:sz w:val="21"/>
        </w:rPr>
        <w:t> </w:t>
      </w:r>
      <w:r>
        <w:rPr>
          <w:sz w:val="21"/>
        </w:rPr>
        <w:t>a</w:t>
      </w:r>
      <w:r>
        <w:rPr>
          <w:spacing w:val="-6"/>
          <w:sz w:val="21"/>
        </w:rPr>
        <w:t> </w:t>
      </w:r>
      <w:r>
        <w:rPr>
          <w:sz w:val="21"/>
        </w:rPr>
        <w:t>list</w:t>
      </w:r>
      <w:r>
        <w:rPr>
          <w:spacing w:val="-5"/>
          <w:sz w:val="21"/>
        </w:rPr>
        <w:t> </w:t>
      </w:r>
      <w:r>
        <w:rPr>
          <w:sz w:val="21"/>
        </w:rPr>
        <w:t>of</w:t>
      </w:r>
      <w:r>
        <w:rPr>
          <w:spacing w:val="-6"/>
          <w:sz w:val="21"/>
        </w:rPr>
        <w:t> </w:t>
      </w:r>
      <w:r>
        <w:rPr>
          <w:sz w:val="21"/>
        </w:rPr>
        <w:t>sources</w:t>
      </w:r>
      <w:r>
        <w:rPr>
          <w:spacing w:val="-6"/>
          <w:sz w:val="21"/>
        </w:rPr>
        <w:t> </w:t>
      </w:r>
      <w:r>
        <w:rPr>
          <w:sz w:val="21"/>
        </w:rPr>
        <w:t>of</w:t>
      </w:r>
      <w:r>
        <w:rPr>
          <w:spacing w:val="-6"/>
          <w:sz w:val="21"/>
        </w:rPr>
        <w:t> </w:t>
      </w:r>
      <w:r>
        <w:rPr>
          <w:sz w:val="21"/>
        </w:rPr>
        <w:t>joy</w:t>
      </w:r>
      <w:r>
        <w:rPr>
          <w:spacing w:val="-6"/>
          <w:sz w:val="21"/>
        </w:rPr>
        <w:t> </w:t>
      </w:r>
      <w:r>
        <w:rPr>
          <w:sz w:val="21"/>
        </w:rPr>
        <w:t>for</w:t>
      </w:r>
      <w:r>
        <w:rPr>
          <w:spacing w:val="-5"/>
          <w:sz w:val="21"/>
        </w:rPr>
        <w:t> </w:t>
      </w:r>
      <w:r>
        <w:rPr>
          <w:sz w:val="21"/>
        </w:rPr>
        <w:t>LGBTQ</w:t>
      </w:r>
      <w:r>
        <w:rPr>
          <w:spacing w:val="-5"/>
          <w:sz w:val="21"/>
        </w:rPr>
        <w:t> </w:t>
      </w:r>
      <w:r>
        <w:rPr>
          <w:sz w:val="21"/>
        </w:rPr>
        <w:t>youth,</w:t>
      </w:r>
      <w:r>
        <w:rPr>
          <w:spacing w:val="-7"/>
          <w:sz w:val="21"/>
        </w:rPr>
        <w:t> </w:t>
      </w:r>
      <w:r>
        <w:rPr>
          <w:sz w:val="21"/>
        </w:rPr>
        <w:t>from</w:t>
      </w:r>
      <w:r>
        <w:rPr>
          <w:spacing w:val="-5"/>
          <w:sz w:val="21"/>
        </w:rPr>
        <w:t> </w:t>
      </w:r>
      <w:r>
        <w:rPr>
          <w:sz w:val="21"/>
        </w:rPr>
        <w:t>therapy and medication to laws that protect LGBTQ rights; from all-gender restrooms to hope and excitement for the </w:t>
      </w:r>
      <w:r>
        <w:rPr>
          <w:spacing w:val="-2"/>
          <w:sz w:val="21"/>
        </w:rPr>
        <w:t>future; from music and dance to video games</w:t>
      </w:r>
      <w:r>
        <w:rPr>
          <w:spacing w:val="-4"/>
          <w:sz w:val="21"/>
        </w:rPr>
        <w:t> </w:t>
      </w:r>
      <w:r>
        <w:rPr>
          <w:spacing w:val="-2"/>
          <w:sz w:val="21"/>
        </w:rPr>
        <w:t>and cooking. The personal and political are inextricably intertwined </w:t>
      </w:r>
      <w:r>
        <w:rPr>
          <w:sz w:val="21"/>
        </w:rPr>
        <w:t>in mental health. As long as prejudice is traumatizing, LGBTQ joy is healing – and everyone has a part to play.</w:t>
      </w:r>
    </w:p>
    <w:p>
      <w:pPr>
        <w:spacing w:before="238"/>
        <w:ind w:left="463" w:right="0" w:firstLine="0"/>
        <w:jc w:val="left"/>
        <w:rPr>
          <w:sz w:val="28"/>
        </w:rPr>
      </w:pPr>
      <w:bookmarkStart w:name="Conclusion" w:id="258"/>
      <w:bookmarkEnd w:id="258"/>
      <w:r>
        <w:rPr/>
      </w:r>
      <w:r>
        <w:rPr>
          <w:color w:val="365F91"/>
          <w:spacing w:val="-2"/>
          <w:sz w:val="28"/>
        </w:rPr>
        <w:t>Conclusion</w:t>
      </w:r>
    </w:p>
    <w:p>
      <w:pPr>
        <w:pStyle w:val="BodyText"/>
        <w:spacing w:before="10"/>
        <w:rPr>
          <w:sz w:val="3"/>
        </w:rPr>
      </w:pPr>
      <w:r>
        <w:rPr/>
        <mc:AlternateContent>
          <mc:Choice Requires="wps">
            <w:drawing>
              <wp:anchor distT="0" distB="0" distL="0" distR="0" allowOverlap="1" layoutInCell="1" locked="0" behindDoc="1" simplePos="0" relativeHeight="487626752">
                <wp:simplePos x="0" y="0"/>
                <wp:positionH relativeFrom="page">
                  <wp:posOffset>897636</wp:posOffset>
                </wp:positionH>
                <wp:positionV relativeFrom="paragraph">
                  <wp:posOffset>45409</wp:posOffset>
                </wp:positionV>
                <wp:extent cx="6052820" cy="635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6052820" cy="6350"/>
                        </a:xfrm>
                        <a:custGeom>
                          <a:avLst/>
                          <a:gdLst/>
                          <a:ahLst/>
                          <a:cxnLst/>
                          <a:rect l="l" t="t" r="r" b="b"/>
                          <a:pathLst>
                            <a:path w="6052820" h="6350">
                              <a:moveTo>
                                <a:pt x="6052578" y="0"/>
                              </a:moveTo>
                              <a:lnTo>
                                <a:pt x="0" y="0"/>
                              </a:lnTo>
                              <a:lnTo>
                                <a:pt x="0" y="6096"/>
                              </a:lnTo>
                              <a:lnTo>
                                <a:pt x="6052578" y="6096"/>
                              </a:lnTo>
                              <a:lnTo>
                                <a:pt x="605257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5586pt;width:476.581pt;height:.48pt;mso-position-horizontal-relative:page;mso-position-vertical-relative:paragraph;z-index:-15689728;mso-wrap-distance-left:0;mso-wrap-distance-right:0" id="docshape194" filled="true" fillcolor="#4f81bc" stroked="false">
                <v:fill type="solid"/>
                <w10:wrap type="topAndBottom"/>
              </v:rect>
            </w:pict>
          </mc:Fallback>
        </mc:AlternateContent>
      </w:r>
    </w:p>
    <w:p>
      <w:pPr>
        <w:spacing w:line="276" w:lineRule="auto" w:before="241"/>
        <w:ind w:left="463" w:right="238" w:firstLine="0"/>
        <w:jc w:val="both"/>
        <w:rPr>
          <w:sz w:val="21"/>
        </w:rPr>
      </w:pPr>
      <w:r>
        <w:rPr>
          <w:sz w:val="21"/>
        </w:rPr>
        <w:t>This report is a clarion call for supporters of LGBTQ youth across Massachusetts to collaborate on trauma- informed, anti-oppressive, and systemic ways to support LGBTQ youth mental health. The majority of youth in the Commonwealth are struggling with depression and anxiety and are unable to receive mental healthcare when they want it. At the same time, we celebrate all youths’ lived wisdom and intersectional strengths in the face of the everyday minority stressors they face, whether at home, in school, or on the TV. From increasing funding</w:t>
      </w:r>
      <w:r>
        <w:rPr>
          <w:spacing w:val="-5"/>
          <w:sz w:val="21"/>
        </w:rPr>
        <w:t> </w:t>
      </w:r>
      <w:r>
        <w:rPr>
          <w:sz w:val="21"/>
        </w:rPr>
        <w:t>for</w:t>
      </w:r>
      <w:r>
        <w:rPr>
          <w:spacing w:val="-4"/>
          <w:sz w:val="21"/>
        </w:rPr>
        <w:t> </w:t>
      </w:r>
      <w:r>
        <w:rPr>
          <w:sz w:val="21"/>
        </w:rPr>
        <w:t>mental</w:t>
      </w:r>
      <w:r>
        <w:rPr>
          <w:spacing w:val="-4"/>
          <w:sz w:val="21"/>
        </w:rPr>
        <w:t> </w:t>
      </w:r>
      <w:r>
        <w:rPr>
          <w:sz w:val="21"/>
        </w:rPr>
        <w:t>health</w:t>
      </w:r>
      <w:r>
        <w:rPr>
          <w:spacing w:val="-5"/>
          <w:sz w:val="21"/>
        </w:rPr>
        <w:t> </w:t>
      </w:r>
      <w:r>
        <w:rPr>
          <w:sz w:val="21"/>
        </w:rPr>
        <w:t>professionals</w:t>
      </w:r>
      <w:r>
        <w:rPr>
          <w:spacing w:val="-5"/>
          <w:sz w:val="21"/>
        </w:rPr>
        <w:t> </w:t>
      </w:r>
      <w:r>
        <w:rPr>
          <w:sz w:val="21"/>
        </w:rPr>
        <w:t>and</w:t>
      </w:r>
      <w:r>
        <w:rPr>
          <w:spacing w:val="-4"/>
          <w:sz w:val="21"/>
        </w:rPr>
        <w:t> </w:t>
      </w:r>
      <w:r>
        <w:rPr>
          <w:sz w:val="21"/>
        </w:rPr>
        <w:t>peer</w:t>
      </w:r>
      <w:r>
        <w:rPr>
          <w:spacing w:val="-4"/>
          <w:sz w:val="21"/>
        </w:rPr>
        <w:t> </w:t>
      </w:r>
      <w:r>
        <w:rPr>
          <w:sz w:val="21"/>
        </w:rPr>
        <w:t>support</w:t>
      </w:r>
      <w:r>
        <w:rPr>
          <w:spacing w:val="-4"/>
          <w:sz w:val="21"/>
        </w:rPr>
        <w:t> </w:t>
      </w:r>
      <w:r>
        <w:rPr>
          <w:sz w:val="21"/>
        </w:rPr>
        <w:t>programs</w:t>
      </w:r>
      <w:r>
        <w:rPr>
          <w:spacing w:val="-5"/>
          <w:sz w:val="21"/>
        </w:rPr>
        <w:t> </w:t>
      </w:r>
      <w:r>
        <w:rPr>
          <w:sz w:val="21"/>
        </w:rPr>
        <w:t>across</w:t>
      </w:r>
      <w:r>
        <w:rPr>
          <w:spacing w:val="-5"/>
          <w:sz w:val="21"/>
        </w:rPr>
        <w:t> </w:t>
      </w:r>
      <w:r>
        <w:rPr>
          <w:sz w:val="21"/>
        </w:rPr>
        <w:t>every</w:t>
      </w:r>
      <w:r>
        <w:rPr>
          <w:spacing w:val="-4"/>
          <w:sz w:val="21"/>
        </w:rPr>
        <w:t> </w:t>
      </w:r>
      <w:r>
        <w:rPr>
          <w:sz w:val="21"/>
        </w:rPr>
        <w:t>setting</w:t>
      </w:r>
      <w:r>
        <w:rPr>
          <w:spacing w:val="-5"/>
          <w:sz w:val="21"/>
        </w:rPr>
        <w:t> </w:t>
      </w:r>
      <w:r>
        <w:rPr>
          <w:sz w:val="21"/>
        </w:rPr>
        <w:t>to</w:t>
      </w:r>
      <w:r>
        <w:rPr>
          <w:spacing w:val="-4"/>
          <w:sz w:val="21"/>
        </w:rPr>
        <w:t> </w:t>
      </w:r>
      <w:r>
        <w:rPr>
          <w:sz w:val="21"/>
        </w:rPr>
        <w:t>reforming</w:t>
      </w:r>
      <w:r>
        <w:rPr>
          <w:spacing w:val="-5"/>
          <w:sz w:val="21"/>
        </w:rPr>
        <w:t> </w:t>
      </w:r>
      <w:r>
        <w:rPr>
          <w:sz w:val="21"/>
        </w:rPr>
        <w:t>structural access to mental healthcare and empowering community members to support one another’s mental health, decision-makers of all kinds have the influence – and the public health mandate – to make life-affirming, life- saving change.</w:t>
      </w:r>
    </w:p>
    <w:p>
      <w:pPr>
        <w:spacing w:after="0" w:line="276" w:lineRule="auto"/>
        <w:jc w:val="both"/>
        <w:rPr>
          <w:sz w:val="21"/>
        </w:rPr>
        <w:sectPr>
          <w:pgSz w:w="12240" w:h="15840"/>
          <w:pgMar w:header="804" w:footer="1390" w:top="1080" w:bottom="1620" w:left="980" w:right="1080"/>
        </w:sectPr>
      </w:pPr>
    </w:p>
    <w:p>
      <w:pPr>
        <w:spacing w:before="68"/>
        <w:ind w:left="463" w:right="0" w:firstLine="0"/>
        <w:jc w:val="left"/>
        <w:rPr>
          <w:sz w:val="28"/>
        </w:rPr>
      </w:pPr>
      <w:bookmarkStart w:name="Acknowledgments &amp; Citations" w:id="259"/>
      <w:bookmarkEnd w:id="259"/>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9"/>
        <w:rPr>
          <w:sz w:val="3"/>
        </w:rPr>
      </w:pPr>
      <w:r>
        <w:rPr/>
        <mc:AlternateContent>
          <mc:Choice Requires="wps">
            <w:drawing>
              <wp:anchor distT="0" distB="0" distL="0" distR="0" allowOverlap="1" layoutInCell="1" locked="0" behindDoc="1" simplePos="0" relativeHeight="487627264">
                <wp:simplePos x="0" y="0"/>
                <wp:positionH relativeFrom="page">
                  <wp:posOffset>897636</wp:posOffset>
                </wp:positionH>
                <wp:positionV relativeFrom="paragraph">
                  <wp:posOffset>44578</wp:posOffset>
                </wp:positionV>
                <wp:extent cx="6052820" cy="635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6052820" cy="6350"/>
                        </a:xfrm>
                        <a:custGeom>
                          <a:avLst/>
                          <a:gdLst/>
                          <a:ahLst/>
                          <a:cxnLst/>
                          <a:rect l="l" t="t" r="r" b="b"/>
                          <a:pathLst>
                            <a:path w="6052820" h="6350">
                              <a:moveTo>
                                <a:pt x="6052578" y="0"/>
                              </a:moveTo>
                              <a:lnTo>
                                <a:pt x="0" y="0"/>
                              </a:lnTo>
                              <a:lnTo>
                                <a:pt x="0" y="6096"/>
                              </a:lnTo>
                              <a:lnTo>
                                <a:pt x="6052578" y="6096"/>
                              </a:lnTo>
                              <a:lnTo>
                                <a:pt x="6052578"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10156pt;width:476.581pt;height:.48pt;mso-position-horizontal-relative:page;mso-position-vertical-relative:paragraph;z-index:-15689216;mso-wrap-distance-left:0;mso-wrap-distance-right:0" id="docshape195" filled="true" fillcolor="#4f81bc" stroked="false">
                <v:fill type="solid"/>
                <w10:wrap type="topAndBottom"/>
              </v:rect>
            </w:pict>
          </mc:Fallback>
        </mc:AlternateContent>
      </w:r>
    </w:p>
    <w:p>
      <w:pPr>
        <w:spacing w:line="276" w:lineRule="auto" w:before="241"/>
        <w:ind w:left="463" w:right="0" w:firstLine="0"/>
        <w:jc w:val="left"/>
        <w:rPr>
          <w:i/>
          <w:sz w:val="21"/>
        </w:rPr>
      </w:pPr>
      <w:r>
        <w:rPr>
          <w:i/>
          <w:sz w:val="21"/>
        </w:rPr>
        <w:t>Acknowledgments: Max Tang, Social Work Fellow, lead researcher &amp; author (2023); Apollo Correia, secondary</w:t>
      </w:r>
      <w:r>
        <w:rPr>
          <w:i/>
          <w:sz w:val="21"/>
        </w:rPr>
        <w:t> researcher &amp; editor (2024)</w:t>
      </w:r>
    </w:p>
    <w:p>
      <w:pPr>
        <w:spacing w:before="241"/>
        <w:ind w:left="463" w:right="389" w:hanging="1"/>
        <w:jc w:val="both"/>
        <w:rPr>
          <w:sz w:val="18"/>
        </w:rPr>
      </w:pPr>
      <w:bookmarkStart w:name="_bookmark104" w:id="260"/>
      <w:bookmarkEnd w:id="260"/>
      <w:r>
        <w:rPr/>
      </w:r>
      <w:r>
        <w:rPr>
          <w:sz w:val="18"/>
          <w:vertAlign w:val="superscript"/>
        </w:rPr>
        <w:t>1</w:t>
      </w:r>
      <w:r>
        <w:rPr>
          <w:spacing w:val="-11"/>
          <w:sz w:val="18"/>
          <w:vertAlign w:val="baseline"/>
        </w:rPr>
        <w:t> </w:t>
      </w:r>
      <w:r>
        <w:rPr>
          <w:sz w:val="18"/>
          <w:vertAlign w:val="baseline"/>
        </w:rPr>
        <w:t>Turban,</w:t>
      </w:r>
      <w:r>
        <w:rPr>
          <w:spacing w:val="-4"/>
          <w:sz w:val="18"/>
          <w:vertAlign w:val="baseline"/>
        </w:rPr>
        <w:t> </w:t>
      </w:r>
      <w:r>
        <w:rPr>
          <w:sz w:val="18"/>
          <w:vertAlign w:val="baseline"/>
        </w:rPr>
        <w:t>Jack,</w:t>
      </w:r>
      <w:r>
        <w:rPr>
          <w:spacing w:val="-2"/>
          <w:sz w:val="18"/>
          <w:vertAlign w:val="baseline"/>
        </w:rPr>
        <w:t> </w:t>
      </w:r>
      <w:r>
        <w:rPr>
          <w:sz w:val="18"/>
          <w:vertAlign w:val="baseline"/>
        </w:rPr>
        <w:t>Tony</w:t>
      </w:r>
      <w:r>
        <w:rPr>
          <w:spacing w:val="-1"/>
          <w:sz w:val="18"/>
          <w:vertAlign w:val="baseline"/>
        </w:rPr>
        <w:t> </w:t>
      </w:r>
      <w:r>
        <w:rPr>
          <w:sz w:val="18"/>
          <w:vertAlign w:val="baseline"/>
        </w:rPr>
        <w:t>Ferraiolo,</w:t>
      </w:r>
      <w:r>
        <w:rPr>
          <w:spacing w:val="-2"/>
          <w:sz w:val="18"/>
          <w:vertAlign w:val="baseline"/>
        </w:rPr>
        <w:t> </w:t>
      </w:r>
      <w:r>
        <w:rPr>
          <w:sz w:val="18"/>
          <w:vertAlign w:val="baseline"/>
        </w:rPr>
        <w:t>Andrés</w:t>
      </w:r>
      <w:r>
        <w:rPr>
          <w:spacing w:val="-1"/>
          <w:sz w:val="18"/>
          <w:vertAlign w:val="baseline"/>
        </w:rPr>
        <w:t> </w:t>
      </w:r>
      <w:r>
        <w:rPr>
          <w:sz w:val="18"/>
          <w:vertAlign w:val="baseline"/>
        </w:rPr>
        <w:t>Martin,</w:t>
      </w:r>
      <w:r>
        <w:rPr>
          <w:spacing w:val="-2"/>
          <w:sz w:val="18"/>
          <w:vertAlign w:val="baseline"/>
        </w:rPr>
        <w:t> </w:t>
      </w:r>
      <w:r>
        <w:rPr>
          <w:sz w:val="18"/>
          <w:vertAlign w:val="baseline"/>
        </w:rPr>
        <w:t>and</w:t>
      </w:r>
      <w:r>
        <w:rPr>
          <w:spacing w:val="-1"/>
          <w:sz w:val="18"/>
          <w:vertAlign w:val="baseline"/>
        </w:rPr>
        <w:t> </w:t>
      </w:r>
      <w:r>
        <w:rPr>
          <w:sz w:val="18"/>
          <w:vertAlign w:val="baseline"/>
        </w:rPr>
        <w:t>Christy</w:t>
      </w:r>
      <w:r>
        <w:rPr>
          <w:spacing w:val="-1"/>
          <w:sz w:val="18"/>
          <w:vertAlign w:val="baseline"/>
        </w:rPr>
        <w:t> </w:t>
      </w:r>
      <w:r>
        <w:rPr>
          <w:sz w:val="18"/>
          <w:vertAlign w:val="baseline"/>
        </w:rPr>
        <w:t>Olezeski.</w:t>
      </w:r>
      <w:r>
        <w:rPr>
          <w:spacing w:val="-1"/>
          <w:sz w:val="18"/>
          <w:vertAlign w:val="baseline"/>
        </w:rPr>
        <w:t> </w:t>
      </w:r>
      <w:r>
        <w:rPr>
          <w:sz w:val="18"/>
          <w:vertAlign w:val="baseline"/>
        </w:rPr>
        <w:t>“Ten</w:t>
      </w:r>
      <w:r>
        <w:rPr>
          <w:spacing w:val="-1"/>
          <w:sz w:val="18"/>
          <w:vertAlign w:val="baseline"/>
        </w:rPr>
        <w:t> </w:t>
      </w:r>
      <w:r>
        <w:rPr>
          <w:sz w:val="18"/>
          <w:vertAlign w:val="baseline"/>
        </w:rPr>
        <w:t>Things</w:t>
      </w:r>
      <w:r>
        <w:rPr>
          <w:spacing w:val="-1"/>
          <w:sz w:val="18"/>
          <w:vertAlign w:val="baseline"/>
        </w:rPr>
        <w:t> </w:t>
      </w:r>
      <w:r>
        <w:rPr>
          <w:sz w:val="18"/>
          <w:vertAlign w:val="baseline"/>
        </w:rPr>
        <w:t>Transgender</w:t>
      </w:r>
      <w:r>
        <w:rPr>
          <w:spacing w:val="-2"/>
          <w:sz w:val="18"/>
          <w:vertAlign w:val="baseline"/>
        </w:rPr>
        <w:t> </w:t>
      </w:r>
      <w:r>
        <w:rPr>
          <w:sz w:val="18"/>
          <w:vertAlign w:val="baseline"/>
        </w:rPr>
        <w:t>and</w:t>
      </w:r>
      <w:r>
        <w:rPr>
          <w:spacing w:val="-2"/>
          <w:sz w:val="18"/>
          <w:vertAlign w:val="baseline"/>
        </w:rPr>
        <w:t> </w:t>
      </w:r>
      <w:r>
        <w:rPr>
          <w:sz w:val="18"/>
          <w:vertAlign w:val="baseline"/>
        </w:rPr>
        <w:t>Gender</w:t>
      </w:r>
      <w:r>
        <w:rPr>
          <w:spacing w:val="-2"/>
          <w:sz w:val="18"/>
          <w:vertAlign w:val="baseline"/>
        </w:rPr>
        <w:t> </w:t>
      </w:r>
      <w:r>
        <w:rPr>
          <w:sz w:val="18"/>
          <w:vertAlign w:val="baseline"/>
        </w:rPr>
        <w:t>Nonconforming</w:t>
      </w:r>
      <w:r>
        <w:rPr>
          <w:spacing w:val="-1"/>
          <w:sz w:val="18"/>
          <w:vertAlign w:val="baseline"/>
        </w:rPr>
        <w:t> </w:t>
      </w:r>
      <w:r>
        <w:rPr>
          <w:sz w:val="18"/>
          <w:vertAlign w:val="baseline"/>
        </w:rPr>
        <w:t>Youth Want</w:t>
      </w:r>
      <w:r>
        <w:rPr>
          <w:spacing w:val="-3"/>
          <w:sz w:val="18"/>
          <w:vertAlign w:val="baseline"/>
        </w:rPr>
        <w:t> </w:t>
      </w:r>
      <w:r>
        <w:rPr>
          <w:sz w:val="18"/>
          <w:vertAlign w:val="baseline"/>
        </w:rPr>
        <w:t>Their</w:t>
      </w:r>
      <w:r>
        <w:rPr>
          <w:spacing w:val="-3"/>
          <w:sz w:val="18"/>
          <w:vertAlign w:val="baseline"/>
        </w:rPr>
        <w:t> </w:t>
      </w:r>
      <w:r>
        <w:rPr>
          <w:sz w:val="18"/>
          <w:vertAlign w:val="baseline"/>
        </w:rPr>
        <w:t>Doctors</w:t>
      </w:r>
      <w:r>
        <w:rPr>
          <w:spacing w:val="-2"/>
          <w:sz w:val="18"/>
          <w:vertAlign w:val="baseline"/>
        </w:rPr>
        <w:t> </w:t>
      </w:r>
      <w:r>
        <w:rPr>
          <w:sz w:val="18"/>
          <w:vertAlign w:val="baseline"/>
        </w:rPr>
        <w:t>to</w:t>
      </w:r>
      <w:r>
        <w:rPr>
          <w:spacing w:val="-2"/>
          <w:sz w:val="18"/>
          <w:vertAlign w:val="baseline"/>
        </w:rPr>
        <w:t> </w:t>
      </w:r>
      <w:r>
        <w:rPr>
          <w:sz w:val="18"/>
          <w:vertAlign w:val="baseline"/>
        </w:rPr>
        <w:t>Know.”</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the</w:t>
      </w:r>
      <w:r>
        <w:rPr>
          <w:i/>
          <w:spacing w:val="-2"/>
          <w:sz w:val="18"/>
          <w:vertAlign w:val="baseline"/>
        </w:rPr>
        <w:t> </w:t>
      </w:r>
      <w:r>
        <w:rPr>
          <w:i/>
          <w:sz w:val="18"/>
          <w:vertAlign w:val="baseline"/>
        </w:rPr>
        <w:t>American</w:t>
      </w:r>
      <w:r>
        <w:rPr>
          <w:i/>
          <w:spacing w:val="-3"/>
          <w:sz w:val="18"/>
          <w:vertAlign w:val="baseline"/>
        </w:rPr>
        <w:t> </w:t>
      </w:r>
      <w:r>
        <w:rPr>
          <w:i/>
          <w:sz w:val="18"/>
          <w:vertAlign w:val="baseline"/>
        </w:rPr>
        <w:t>Academy</w:t>
      </w:r>
      <w:r>
        <w:rPr>
          <w:i/>
          <w:spacing w:val="-2"/>
          <w:sz w:val="18"/>
          <w:vertAlign w:val="baseline"/>
        </w:rPr>
        <w:t> </w:t>
      </w:r>
      <w:r>
        <w:rPr>
          <w:i/>
          <w:sz w:val="18"/>
          <w:vertAlign w:val="baseline"/>
        </w:rPr>
        <w:t>of</w:t>
      </w:r>
      <w:r>
        <w:rPr>
          <w:i/>
          <w:spacing w:val="-2"/>
          <w:sz w:val="18"/>
          <w:vertAlign w:val="baseline"/>
        </w:rPr>
        <w:t> </w:t>
      </w:r>
      <w:r>
        <w:rPr>
          <w:i/>
          <w:sz w:val="18"/>
          <w:vertAlign w:val="baseline"/>
        </w:rPr>
        <w:t>Child</w:t>
      </w:r>
      <w:r>
        <w:rPr>
          <w:i/>
          <w:spacing w:val="-3"/>
          <w:sz w:val="18"/>
          <w:vertAlign w:val="baseline"/>
        </w:rPr>
        <w:t> </w:t>
      </w:r>
      <w:r>
        <w:rPr>
          <w:i/>
          <w:sz w:val="18"/>
          <w:vertAlign w:val="baseline"/>
        </w:rPr>
        <w:t>&amp;</w:t>
      </w:r>
      <w:r>
        <w:rPr>
          <w:i/>
          <w:spacing w:val="-3"/>
          <w:sz w:val="18"/>
          <w:vertAlign w:val="baseline"/>
        </w:rPr>
        <w:t> </w:t>
      </w:r>
      <w:r>
        <w:rPr>
          <w:i/>
          <w:sz w:val="18"/>
          <w:vertAlign w:val="baseline"/>
        </w:rPr>
        <w:t>Adolescent</w:t>
      </w:r>
      <w:r>
        <w:rPr>
          <w:i/>
          <w:spacing w:val="-3"/>
          <w:sz w:val="18"/>
          <w:vertAlign w:val="baseline"/>
        </w:rPr>
        <w:t> </w:t>
      </w:r>
      <w:r>
        <w:rPr>
          <w:i/>
          <w:sz w:val="18"/>
          <w:vertAlign w:val="baseline"/>
        </w:rPr>
        <w:t>Psychiatry</w:t>
      </w:r>
      <w:r>
        <w:rPr>
          <w:i/>
          <w:spacing w:val="-2"/>
          <w:sz w:val="18"/>
          <w:vertAlign w:val="baseline"/>
        </w:rPr>
        <w:t> </w:t>
      </w:r>
      <w:r>
        <w:rPr>
          <w:sz w:val="18"/>
          <w:vertAlign w:val="baseline"/>
        </w:rPr>
        <w:t>56,</w:t>
      </w:r>
      <w:r>
        <w:rPr>
          <w:spacing w:val="-3"/>
          <w:sz w:val="18"/>
          <w:vertAlign w:val="baseline"/>
        </w:rPr>
        <w:t> </w:t>
      </w:r>
      <w:r>
        <w:rPr>
          <w:sz w:val="18"/>
          <w:vertAlign w:val="baseline"/>
        </w:rPr>
        <w:t>no.</w:t>
      </w:r>
      <w:r>
        <w:rPr>
          <w:spacing w:val="-2"/>
          <w:sz w:val="18"/>
          <w:vertAlign w:val="baseline"/>
        </w:rPr>
        <w:t> </w:t>
      </w:r>
      <w:r>
        <w:rPr>
          <w:sz w:val="18"/>
          <w:vertAlign w:val="baseline"/>
        </w:rPr>
        <w:t>4</w:t>
      </w:r>
      <w:r>
        <w:rPr>
          <w:spacing w:val="-2"/>
          <w:sz w:val="18"/>
          <w:vertAlign w:val="baseline"/>
        </w:rPr>
        <w:t> </w:t>
      </w:r>
      <w:r>
        <w:rPr>
          <w:sz w:val="18"/>
          <w:vertAlign w:val="baseline"/>
        </w:rPr>
        <w:t>(April</w:t>
      </w:r>
      <w:r>
        <w:rPr>
          <w:spacing w:val="-3"/>
          <w:sz w:val="18"/>
          <w:vertAlign w:val="baseline"/>
        </w:rPr>
        <w:t> </w:t>
      </w:r>
      <w:r>
        <w:rPr>
          <w:sz w:val="18"/>
          <w:vertAlign w:val="baseline"/>
        </w:rPr>
        <w:t>2017):</w:t>
      </w:r>
      <w:r>
        <w:rPr>
          <w:spacing w:val="-2"/>
          <w:sz w:val="18"/>
          <w:vertAlign w:val="baseline"/>
        </w:rPr>
        <w:t> </w:t>
      </w:r>
      <w:r>
        <w:rPr>
          <w:sz w:val="18"/>
          <w:vertAlign w:val="baseline"/>
        </w:rPr>
        <w:t>275–77. </w:t>
      </w:r>
      <w:bookmarkStart w:name="_bookmark105" w:id="261"/>
      <w:bookmarkEnd w:id="261"/>
      <w:r>
        <w:rPr>
          <w:spacing w:val="-1"/>
          <w:sz w:val="18"/>
          <w:vertAlign w:val="baseline"/>
        </w:rPr>
      </w:r>
      <w:hyperlink r:id="rId192">
        <w:r>
          <w:rPr>
            <w:color w:val="1153CC"/>
            <w:spacing w:val="-2"/>
            <w:sz w:val="18"/>
            <w:u w:val="single" w:color="1153CC"/>
            <w:vertAlign w:val="baseline"/>
          </w:rPr>
          <w:t>https://doi.org/10.1016/j.jaac.2016.12.015</w:t>
        </w:r>
      </w:hyperlink>
      <w:hyperlink r:id="rId192">
        <w:r>
          <w:rPr>
            <w:spacing w:val="-2"/>
            <w:sz w:val="18"/>
            <w:u w:val="none"/>
            <w:vertAlign w:val="baseline"/>
          </w:rPr>
          <w:t>.</w:t>
        </w:r>
      </w:hyperlink>
    </w:p>
    <w:p>
      <w:pPr>
        <w:spacing w:before="0"/>
        <w:ind w:left="463" w:right="0" w:firstLine="0"/>
        <w:jc w:val="left"/>
        <w:rPr>
          <w:sz w:val="18"/>
        </w:rPr>
      </w:pPr>
      <w:r>
        <w:rPr>
          <w:sz w:val="18"/>
          <w:vertAlign w:val="superscript"/>
        </w:rPr>
        <w:t>2</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“2022</w:t>
      </w:r>
      <w:r>
        <w:rPr>
          <w:spacing w:val="-3"/>
          <w:sz w:val="18"/>
          <w:vertAlign w:val="baseline"/>
        </w:rPr>
        <w:t> </w:t>
      </w:r>
      <w:r>
        <w:rPr>
          <w:sz w:val="18"/>
          <w:vertAlign w:val="baseline"/>
        </w:rPr>
        <w:t>National</w:t>
      </w:r>
      <w:r>
        <w:rPr>
          <w:spacing w:val="-4"/>
          <w:sz w:val="18"/>
          <w:vertAlign w:val="baseline"/>
        </w:rPr>
        <w:t> </w:t>
      </w:r>
      <w:r>
        <w:rPr>
          <w:sz w:val="18"/>
          <w:vertAlign w:val="baseline"/>
        </w:rPr>
        <w:t>Survey</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2022,</w:t>
      </w:r>
      <w:r>
        <w:rPr>
          <w:spacing w:val="-3"/>
          <w:sz w:val="18"/>
          <w:vertAlign w:val="baseline"/>
        </w:rPr>
        <w:t> </w:t>
      </w:r>
      <w:hyperlink r:id="rId193">
        <w:r>
          <w:rPr>
            <w:color w:val="1153CC"/>
            <w:sz w:val="18"/>
            <w:u w:val="single" w:color="1153CC"/>
            <w:vertAlign w:val="baseline"/>
          </w:rPr>
          <w:t>https://www.thetrevorproject.org/survey-</w:t>
        </w:r>
      </w:hyperlink>
      <w:r>
        <w:rPr>
          <w:color w:val="1153CC"/>
          <w:sz w:val="18"/>
          <w:u w:val="none"/>
          <w:vertAlign w:val="baseline"/>
        </w:rPr>
        <w:t> </w:t>
      </w:r>
      <w:hyperlink r:id="rId193">
        <w:r>
          <w:rPr>
            <w:color w:val="1153CC"/>
            <w:spacing w:val="-2"/>
            <w:sz w:val="18"/>
            <w:u w:val="single" w:color="1153CC"/>
            <w:vertAlign w:val="baseline"/>
          </w:rPr>
          <w:t>2022/assets/static/trevor01_2022survey_final.pdf</w:t>
        </w:r>
      </w:hyperlink>
      <w:hyperlink r:id="rId193">
        <w:r>
          <w:rPr>
            <w:spacing w:val="-2"/>
            <w:sz w:val="18"/>
            <w:u w:val="none"/>
            <w:vertAlign w:val="baseline"/>
          </w:rPr>
          <w:t>.</w:t>
        </w:r>
      </w:hyperlink>
    </w:p>
    <w:p>
      <w:pPr>
        <w:spacing w:before="0"/>
        <w:ind w:left="463" w:right="528" w:firstLine="0"/>
        <w:jc w:val="left"/>
        <w:rPr>
          <w:sz w:val="18"/>
        </w:rPr>
      </w:pPr>
      <w:bookmarkStart w:name="_bookmark106" w:id="262"/>
      <w:bookmarkEnd w:id="262"/>
      <w:r>
        <w:rPr/>
      </w:r>
      <w:r>
        <w:rPr>
          <w:sz w:val="18"/>
          <w:vertAlign w:val="superscript"/>
        </w:rPr>
        <w:t>3</w:t>
      </w:r>
      <w:r>
        <w:rPr>
          <w:spacing w:val="-7"/>
          <w:sz w:val="18"/>
          <w:vertAlign w:val="baseline"/>
        </w:rPr>
        <w:t> </w:t>
      </w:r>
      <w:r>
        <w:rPr>
          <w:sz w:val="18"/>
          <w:vertAlign w:val="baseline"/>
        </w:rPr>
        <w:t>The Trevor Project, “2022 National Survey on LGBTQ Youth Mental Health: Massachusetts,” 2022, </w:t>
      </w:r>
      <w:hyperlink r:id="rId194">
        <w:r>
          <w:rPr>
            <w:color w:val="1153CC"/>
            <w:spacing w:val="-2"/>
            <w:sz w:val="18"/>
            <w:u w:val="single" w:color="1153CC"/>
            <w:vertAlign w:val="baseline"/>
          </w:rPr>
          <w:t>https://www.thetrevorproject.org/wp-content/uploads/2022/12/The-Trevor-Project-2022-National-Survey-on-LGBTQ-Youth-</w:t>
        </w:r>
      </w:hyperlink>
      <w:r>
        <w:rPr>
          <w:color w:val="1153CC"/>
          <w:sz w:val="18"/>
          <w:u w:val="none"/>
          <w:vertAlign w:val="baseline"/>
        </w:rPr>
        <w:t> </w:t>
      </w:r>
      <w:hyperlink r:id="rId194">
        <w:r>
          <w:rPr>
            <w:color w:val="1153CC"/>
            <w:spacing w:val="-2"/>
            <w:sz w:val="18"/>
            <w:u w:val="single" w:color="1153CC"/>
            <w:vertAlign w:val="baseline"/>
          </w:rPr>
          <w:t>Mental-Health-by-State-Massachusetts.pd</w:t>
        </w:r>
      </w:hyperlink>
      <w:hyperlink r:id="rId194">
        <w:r>
          <w:rPr>
            <w:color w:val="1153CC"/>
            <w:spacing w:val="-2"/>
            <w:sz w:val="18"/>
            <w:u w:val="single" w:color="1153CC"/>
            <w:vertAlign w:val="baseline"/>
          </w:rPr>
          <w:t>f</w:t>
        </w:r>
        <w:r>
          <w:rPr>
            <w:spacing w:val="-2"/>
            <w:sz w:val="18"/>
            <w:u w:val="none"/>
            <w:vertAlign w:val="baseline"/>
          </w:rPr>
          <w:t>.</w:t>
        </w:r>
      </w:hyperlink>
    </w:p>
    <w:p>
      <w:pPr>
        <w:spacing w:before="0"/>
        <w:ind w:left="463" w:right="528" w:firstLine="0"/>
        <w:jc w:val="left"/>
        <w:rPr>
          <w:sz w:val="18"/>
        </w:rPr>
      </w:pPr>
      <w:bookmarkStart w:name="_bookmark107" w:id="263"/>
      <w:bookmarkEnd w:id="263"/>
      <w:r>
        <w:rPr/>
      </w:r>
      <w:r>
        <w:rPr>
          <w:sz w:val="18"/>
          <w:vertAlign w:val="superscript"/>
        </w:rPr>
        <w:t>4</w:t>
      </w:r>
      <w:r>
        <w:rPr>
          <w:spacing w:val="-7"/>
          <w:sz w:val="18"/>
          <w:vertAlign w:val="baseline"/>
        </w:rPr>
        <w:t> </w:t>
      </w:r>
      <w:r>
        <w:rPr>
          <w:sz w:val="18"/>
          <w:vertAlign w:val="baseline"/>
        </w:rPr>
        <w:t>The Trevor Project, “2022 National Survey on LGBTQ Youth Mental Health: Massachusetts,” 2022, </w:t>
      </w:r>
      <w:hyperlink r:id="rId194">
        <w:r>
          <w:rPr>
            <w:color w:val="1153CC"/>
            <w:spacing w:val="-2"/>
            <w:sz w:val="18"/>
            <w:u w:val="single" w:color="1153CC"/>
            <w:vertAlign w:val="baseline"/>
          </w:rPr>
          <w:t>https://www.thetrevorproject.org/wp-content/uploads/2022/12/The-Trevor-Project-2022-National-Survey-on-LGBTQ-Youth-</w:t>
        </w:r>
      </w:hyperlink>
      <w:r>
        <w:rPr>
          <w:color w:val="1153CC"/>
          <w:sz w:val="18"/>
          <w:u w:val="none"/>
          <w:vertAlign w:val="baseline"/>
        </w:rPr>
        <w:t> </w:t>
      </w:r>
      <w:hyperlink r:id="rId194">
        <w:r>
          <w:rPr>
            <w:color w:val="1153CC"/>
            <w:spacing w:val="-2"/>
            <w:sz w:val="18"/>
            <w:u w:val="single" w:color="1153CC"/>
            <w:vertAlign w:val="baseline"/>
          </w:rPr>
          <w:t>Mental-Health-by-State-Massachusetts.pd</w:t>
        </w:r>
      </w:hyperlink>
      <w:hyperlink r:id="rId194">
        <w:r>
          <w:rPr>
            <w:color w:val="1153CC"/>
            <w:spacing w:val="-2"/>
            <w:sz w:val="18"/>
            <w:u w:val="single" w:color="1153CC"/>
            <w:vertAlign w:val="baseline"/>
          </w:rPr>
          <w:t>f</w:t>
        </w:r>
        <w:r>
          <w:rPr>
            <w:spacing w:val="-2"/>
            <w:sz w:val="18"/>
            <w:u w:val="none"/>
            <w:vertAlign w:val="baseline"/>
          </w:rPr>
          <w:t>.</w:t>
        </w:r>
      </w:hyperlink>
    </w:p>
    <w:p>
      <w:pPr>
        <w:spacing w:before="0"/>
        <w:ind w:left="463" w:right="314" w:firstLine="0"/>
        <w:jc w:val="left"/>
        <w:rPr>
          <w:sz w:val="18"/>
        </w:rPr>
      </w:pPr>
      <w:bookmarkStart w:name="_bookmark108" w:id="264"/>
      <w:bookmarkEnd w:id="264"/>
      <w:r>
        <w:rPr/>
      </w:r>
      <w:r>
        <w:rPr>
          <w:sz w:val="18"/>
          <w:vertAlign w:val="superscript"/>
        </w:rPr>
        <w:t>5</w:t>
      </w:r>
      <w:r>
        <w:rPr>
          <w:spacing w:val="-13"/>
          <w:sz w:val="18"/>
          <w:vertAlign w:val="baseline"/>
        </w:rPr>
        <w:t> </w:t>
      </w:r>
      <w:r>
        <w:rPr>
          <w:sz w:val="18"/>
          <w:vertAlign w:val="baseline"/>
        </w:rPr>
        <w:t>The</w:t>
      </w:r>
      <w:r>
        <w:rPr>
          <w:spacing w:val="-4"/>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“Trauma</w:t>
      </w:r>
      <w:r>
        <w:rPr>
          <w:spacing w:val="-3"/>
          <w:sz w:val="18"/>
          <w:vertAlign w:val="baseline"/>
        </w:rPr>
        <w:t> </w:t>
      </w:r>
      <w:r>
        <w:rPr>
          <w:sz w:val="18"/>
          <w:vertAlign w:val="baseline"/>
        </w:rPr>
        <w:t>and</w:t>
      </w:r>
      <w:r>
        <w:rPr>
          <w:spacing w:val="-3"/>
          <w:sz w:val="18"/>
          <w:vertAlign w:val="baseline"/>
        </w:rPr>
        <w:t> </w:t>
      </w:r>
      <w:r>
        <w:rPr>
          <w:sz w:val="18"/>
          <w:vertAlign w:val="baseline"/>
        </w:rPr>
        <w:t>Suicide</w:t>
      </w:r>
      <w:r>
        <w:rPr>
          <w:spacing w:val="-3"/>
          <w:sz w:val="18"/>
          <w:vertAlign w:val="baseline"/>
        </w:rPr>
        <w:t> </w:t>
      </w:r>
      <w:r>
        <w:rPr>
          <w:sz w:val="18"/>
          <w:vertAlign w:val="baseline"/>
        </w:rPr>
        <w:t>Risk</w:t>
      </w:r>
      <w:r>
        <w:rPr>
          <w:spacing w:val="-4"/>
          <w:sz w:val="18"/>
          <w:vertAlign w:val="baseline"/>
        </w:rPr>
        <w:t> </w:t>
      </w:r>
      <w:r>
        <w:rPr>
          <w:sz w:val="18"/>
          <w:vertAlign w:val="baseline"/>
        </w:rPr>
        <w:t>Among</w:t>
      </w:r>
      <w:r>
        <w:rPr>
          <w:spacing w:val="-3"/>
          <w:sz w:val="18"/>
          <w:vertAlign w:val="baseline"/>
        </w:rPr>
        <w:t> </w:t>
      </w:r>
      <w:r>
        <w:rPr>
          <w:sz w:val="18"/>
          <w:vertAlign w:val="baseline"/>
        </w:rPr>
        <w:t>LGBTQ</w:t>
      </w:r>
      <w:r>
        <w:rPr>
          <w:spacing w:val="-4"/>
          <w:sz w:val="18"/>
          <w:vertAlign w:val="baseline"/>
        </w:rPr>
        <w:t> </w:t>
      </w:r>
      <w:r>
        <w:rPr>
          <w:sz w:val="18"/>
          <w:vertAlign w:val="baseline"/>
        </w:rPr>
        <w:t>Youth,”</w:t>
      </w:r>
      <w:r>
        <w:rPr>
          <w:spacing w:val="-3"/>
          <w:sz w:val="18"/>
          <w:vertAlign w:val="baseline"/>
        </w:rPr>
        <w:t> </w:t>
      </w:r>
      <w:r>
        <w:rPr>
          <w:sz w:val="18"/>
          <w:vertAlign w:val="baseline"/>
        </w:rPr>
        <w:t>July</w:t>
      </w:r>
      <w:r>
        <w:rPr>
          <w:spacing w:val="-3"/>
          <w:sz w:val="18"/>
          <w:vertAlign w:val="baseline"/>
        </w:rPr>
        <w:t> </w:t>
      </w:r>
      <w:r>
        <w:rPr>
          <w:sz w:val="18"/>
          <w:vertAlign w:val="baseline"/>
        </w:rPr>
        <w:t>28,</w:t>
      </w:r>
      <w:r>
        <w:rPr>
          <w:spacing w:val="-4"/>
          <w:sz w:val="18"/>
          <w:vertAlign w:val="baseline"/>
        </w:rPr>
        <w:t> </w:t>
      </w:r>
      <w:r>
        <w:rPr>
          <w:sz w:val="18"/>
          <w:vertAlign w:val="baseline"/>
        </w:rPr>
        <w:t>2022,</w:t>
      </w:r>
      <w:r>
        <w:rPr>
          <w:spacing w:val="-4"/>
          <w:sz w:val="18"/>
          <w:vertAlign w:val="baseline"/>
        </w:rPr>
        <w:t> </w:t>
      </w:r>
      <w:hyperlink r:id="rId195">
        <w:r>
          <w:rPr>
            <w:color w:val="1153CC"/>
            <w:sz w:val="18"/>
            <w:u w:val="single" w:color="1153CC"/>
            <w:vertAlign w:val="baseline"/>
          </w:rPr>
          <w:t>https://www.thetrevorproject.org/research-</w:t>
        </w:r>
      </w:hyperlink>
      <w:r>
        <w:rPr>
          <w:color w:val="1153CC"/>
          <w:sz w:val="18"/>
          <w:u w:val="none"/>
          <w:vertAlign w:val="baseline"/>
        </w:rPr>
        <w:t> </w:t>
      </w:r>
      <w:hyperlink r:id="rId195">
        <w:r>
          <w:rPr>
            <w:color w:val="1153CC"/>
            <w:spacing w:val="-2"/>
            <w:sz w:val="18"/>
            <w:u w:val="single" w:color="1153CC"/>
            <w:vertAlign w:val="baseline"/>
          </w:rPr>
          <w:t>briefs/trauma-and-suicide-risk-among-lgbtq-youth-july-2022/</w:t>
        </w:r>
      </w:hyperlink>
      <w:hyperlink r:id="rId195">
        <w:r>
          <w:rPr>
            <w:spacing w:val="-2"/>
            <w:sz w:val="18"/>
            <w:u w:val="none"/>
            <w:vertAlign w:val="baseline"/>
          </w:rPr>
          <w:t>.</w:t>
        </w:r>
      </w:hyperlink>
    </w:p>
    <w:p>
      <w:pPr>
        <w:spacing w:before="0"/>
        <w:ind w:left="463" w:right="290" w:firstLine="0"/>
        <w:jc w:val="left"/>
        <w:rPr>
          <w:sz w:val="18"/>
        </w:rPr>
      </w:pPr>
      <w:bookmarkStart w:name="_bookmark109" w:id="265"/>
      <w:bookmarkEnd w:id="265"/>
      <w:r>
        <w:rPr/>
      </w:r>
      <w:r>
        <w:rPr>
          <w:sz w:val="18"/>
          <w:vertAlign w:val="superscript"/>
        </w:rPr>
        <w:t>6</w:t>
      </w:r>
      <w:r>
        <w:rPr>
          <w:spacing w:val="-13"/>
          <w:sz w:val="18"/>
          <w:vertAlign w:val="baseline"/>
        </w:rPr>
        <w:t> </w:t>
      </w:r>
      <w:r>
        <w:rPr>
          <w:sz w:val="18"/>
          <w:vertAlign w:val="baseline"/>
        </w:rPr>
        <w:t>US</w:t>
      </w:r>
      <w:r>
        <w:rPr>
          <w:spacing w:val="-3"/>
          <w:sz w:val="18"/>
          <w:vertAlign w:val="baseline"/>
        </w:rPr>
        <w:t> </w:t>
      </w:r>
      <w:r>
        <w:rPr>
          <w:sz w:val="18"/>
          <w:vertAlign w:val="baseline"/>
        </w:rPr>
        <w:t>Census</w:t>
      </w:r>
      <w:r>
        <w:rPr>
          <w:spacing w:val="-3"/>
          <w:sz w:val="18"/>
          <w:vertAlign w:val="baseline"/>
        </w:rPr>
        <w:t> </w:t>
      </w:r>
      <w:r>
        <w:rPr>
          <w:sz w:val="18"/>
          <w:vertAlign w:val="baseline"/>
        </w:rPr>
        <w:t>Bureau.</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Struggles</w:t>
      </w:r>
      <w:r>
        <w:rPr>
          <w:spacing w:val="-2"/>
          <w:sz w:val="18"/>
          <w:vertAlign w:val="baseline"/>
        </w:rPr>
        <w:t> </w:t>
      </w:r>
      <w:r>
        <w:rPr>
          <w:sz w:val="18"/>
          <w:vertAlign w:val="baseline"/>
        </w:rPr>
        <w:t>Higher</w:t>
      </w:r>
      <w:r>
        <w:rPr>
          <w:spacing w:val="-3"/>
          <w:sz w:val="18"/>
          <w:vertAlign w:val="baseline"/>
        </w:rPr>
        <w:t> </w:t>
      </w:r>
      <w:r>
        <w:rPr>
          <w:sz w:val="18"/>
          <w:vertAlign w:val="baseline"/>
        </w:rPr>
        <w:t>Among</w:t>
      </w:r>
      <w:r>
        <w:rPr>
          <w:spacing w:val="-2"/>
          <w:sz w:val="18"/>
          <w:vertAlign w:val="baseline"/>
        </w:rPr>
        <w:t> </w:t>
      </w:r>
      <w:r>
        <w:rPr>
          <w:sz w:val="18"/>
          <w:vertAlign w:val="baseline"/>
        </w:rPr>
        <w:t>LGBT</w:t>
      </w:r>
      <w:r>
        <w:rPr>
          <w:spacing w:val="-4"/>
          <w:sz w:val="18"/>
          <w:vertAlign w:val="baseline"/>
        </w:rPr>
        <w:t> </w:t>
      </w:r>
      <w:r>
        <w:rPr>
          <w:sz w:val="18"/>
          <w:vertAlign w:val="baseline"/>
        </w:rPr>
        <w:t>Adults</w:t>
      </w:r>
      <w:r>
        <w:rPr>
          <w:spacing w:val="-2"/>
          <w:sz w:val="18"/>
          <w:vertAlign w:val="baseline"/>
        </w:rPr>
        <w:t> </w:t>
      </w:r>
      <w:r>
        <w:rPr>
          <w:sz w:val="18"/>
          <w:vertAlign w:val="baseline"/>
        </w:rPr>
        <w:t>Than</w:t>
      </w:r>
      <w:r>
        <w:rPr>
          <w:spacing w:val="-2"/>
          <w:sz w:val="18"/>
          <w:vertAlign w:val="baseline"/>
        </w:rPr>
        <w:t> </w:t>
      </w:r>
      <w:r>
        <w:rPr>
          <w:sz w:val="18"/>
          <w:vertAlign w:val="baseline"/>
        </w:rPr>
        <w:t>Non-LGBT</w:t>
      </w:r>
      <w:r>
        <w:rPr>
          <w:spacing w:val="-2"/>
          <w:sz w:val="18"/>
          <w:vertAlign w:val="baseline"/>
        </w:rPr>
        <w:t> </w:t>
      </w:r>
      <w:r>
        <w:rPr>
          <w:sz w:val="18"/>
          <w:vertAlign w:val="baseline"/>
        </w:rPr>
        <w:t>Adults</w:t>
      </w:r>
      <w:r>
        <w:rPr>
          <w:spacing w:val="-2"/>
          <w:sz w:val="18"/>
          <w:vertAlign w:val="baseline"/>
        </w:rPr>
        <w:t> </w:t>
      </w:r>
      <w:r>
        <w:rPr>
          <w:sz w:val="18"/>
          <w:vertAlign w:val="baseline"/>
        </w:rPr>
        <w:t>in</w:t>
      </w:r>
      <w:r>
        <w:rPr>
          <w:spacing w:val="-2"/>
          <w:sz w:val="18"/>
          <w:vertAlign w:val="baseline"/>
        </w:rPr>
        <w:t> </w:t>
      </w:r>
      <w:r>
        <w:rPr>
          <w:sz w:val="18"/>
          <w:vertAlign w:val="baseline"/>
        </w:rPr>
        <w:t>All</w:t>
      </w:r>
      <w:r>
        <w:rPr>
          <w:spacing w:val="-3"/>
          <w:sz w:val="18"/>
          <w:vertAlign w:val="baseline"/>
        </w:rPr>
        <w:t> </w:t>
      </w:r>
      <w:r>
        <w:rPr>
          <w:sz w:val="18"/>
          <w:vertAlign w:val="baseline"/>
        </w:rPr>
        <w:t>Age</w:t>
      </w:r>
      <w:r>
        <w:rPr>
          <w:spacing w:val="-2"/>
          <w:sz w:val="18"/>
          <w:vertAlign w:val="baseline"/>
        </w:rPr>
        <w:t> </w:t>
      </w:r>
      <w:r>
        <w:rPr>
          <w:sz w:val="18"/>
          <w:vertAlign w:val="baseline"/>
        </w:rPr>
        <w:t>Groups.”</w:t>
      </w:r>
      <w:r>
        <w:rPr>
          <w:spacing w:val="-2"/>
          <w:sz w:val="18"/>
          <w:vertAlign w:val="baseline"/>
        </w:rPr>
        <w:t> </w:t>
      </w:r>
      <w:r>
        <w:rPr>
          <w:sz w:val="18"/>
          <w:vertAlign w:val="baseline"/>
        </w:rPr>
        <w:t>Census.gov. Accessed March 20, 2023. </w:t>
      </w:r>
      <w:hyperlink r:id="rId196">
        <w:r>
          <w:rPr>
            <w:color w:val="1153CC"/>
            <w:sz w:val="18"/>
            <w:u w:val="single" w:color="1153CC"/>
            <w:vertAlign w:val="baseline"/>
          </w:rPr>
          <w:t>https://www.census.gov/library/stories/2022/12/lgbt-adults-report-anxiety-depression-</w:t>
        </w:r>
      </w:hyperlink>
      <w:r>
        <w:rPr>
          <w:color w:val="1153CC"/>
          <w:sz w:val="18"/>
          <w:u w:val="single" w:color="1153CC"/>
          <w:vertAlign w:val="baseline"/>
        </w:rPr>
        <w:t> </w:t>
      </w:r>
      <w:hyperlink r:id="rId196">
        <w:r>
          <w:rPr>
            <w:color w:val="1153CC"/>
            <w:sz w:val="18"/>
            <w:u w:val="single" w:color="1153CC"/>
            <w:vertAlign w:val="baseline"/>
          </w:rPr>
          <w:t>at-all-</w:t>
        </w:r>
      </w:hyperlink>
      <w:r>
        <w:rPr>
          <w:color w:val="1153CC"/>
          <w:sz w:val="18"/>
          <w:u w:val="none"/>
          <w:vertAlign w:val="baseline"/>
        </w:rPr>
        <w:t> </w:t>
      </w:r>
      <w:hyperlink r:id="rId196">
        <w:r>
          <w:rPr>
            <w:color w:val="1153CC"/>
            <w:spacing w:val="-2"/>
            <w:sz w:val="18"/>
            <w:u w:val="single" w:color="1153CC"/>
            <w:vertAlign w:val="baseline"/>
          </w:rPr>
          <w:t>ages.html</w:t>
        </w:r>
      </w:hyperlink>
      <w:hyperlink r:id="rId196">
        <w:r>
          <w:rPr>
            <w:spacing w:val="-2"/>
            <w:sz w:val="18"/>
            <w:u w:val="none"/>
            <w:vertAlign w:val="baseline"/>
          </w:rPr>
          <w:t>.</w:t>
        </w:r>
      </w:hyperlink>
    </w:p>
    <w:p>
      <w:pPr>
        <w:spacing w:before="0"/>
        <w:ind w:left="463" w:right="290" w:firstLine="0"/>
        <w:jc w:val="left"/>
        <w:rPr>
          <w:sz w:val="18"/>
        </w:rPr>
      </w:pPr>
      <w:bookmarkStart w:name="_bookmark110" w:id="266"/>
      <w:bookmarkEnd w:id="266"/>
      <w:r>
        <w:rPr/>
      </w:r>
      <w:r>
        <w:rPr>
          <w:sz w:val="18"/>
          <w:vertAlign w:val="superscript"/>
        </w:rPr>
        <w:t>7</w:t>
      </w:r>
      <w:r>
        <w:rPr>
          <w:spacing w:val="-9"/>
          <w:sz w:val="18"/>
          <w:vertAlign w:val="baseline"/>
        </w:rPr>
        <w:t> </w:t>
      </w:r>
      <w:r>
        <w:rPr>
          <w:sz w:val="18"/>
          <w:vertAlign w:val="baseline"/>
        </w:rPr>
        <w:t>Human Rights Campaign. “Human Rights Campaign Working to Defeat 340 Anti-LGBTQ+ Bills at State Level Already, 150 of Which Target Transgender People – Highest Number on Record,” February 15, 2023. </w:t>
      </w:r>
      <w:hyperlink r:id="rId197">
        <w:r>
          <w:rPr>
            <w:color w:val="1153CC"/>
            <w:sz w:val="18"/>
            <w:u w:val="single" w:color="1153CC"/>
            <w:vertAlign w:val="baseline"/>
          </w:rPr>
          <w:t>https://www.hrc.org/press-</w:t>
        </w:r>
      </w:hyperlink>
      <w:r>
        <w:rPr>
          <w:color w:val="1153CC"/>
          <w:sz w:val="18"/>
          <w:u w:val="none"/>
          <w:vertAlign w:val="baseline"/>
        </w:rPr>
        <w:t> </w:t>
      </w:r>
      <w:hyperlink r:id="rId197">
        <w:r>
          <w:rPr>
            <w:color w:val="1153CC"/>
            <w:sz w:val="18"/>
            <w:u w:val="single" w:color="1153CC"/>
            <w:vertAlign w:val="baseline"/>
          </w:rPr>
          <w:t>releases/human-rights-campaign-working-to-defeat-340-anti-lgbtq-bills-at-state-level-already-150-of-which-target-</w:t>
        </w:r>
      </w:hyperlink>
      <w:r>
        <w:rPr>
          <w:color w:val="1153CC"/>
          <w:spacing w:val="-11"/>
          <w:sz w:val="18"/>
          <w:u w:val="single" w:color="1153CC"/>
          <w:vertAlign w:val="baseline"/>
        </w:rPr>
        <w:t> </w:t>
      </w:r>
      <w:hyperlink r:id="rId197">
        <w:r>
          <w:rPr>
            <w:color w:val="1153CC"/>
            <w:sz w:val="18"/>
            <w:u w:val="single" w:color="1153CC"/>
            <w:vertAlign w:val="baseline"/>
          </w:rPr>
          <w:t>transgender-</w:t>
        </w:r>
      </w:hyperlink>
      <w:r>
        <w:rPr>
          <w:color w:val="1153CC"/>
          <w:sz w:val="18"/>
          <w:u w:val="none"/>
          <w:vertAlign w:val="baseline"/>
        </w:rPr>
        <w:t> </w:t>
      </w:r>
      <w:hyperlink r:id="rId197">
        <w:r>
          <w:rPr>
            <w:color w:val="1153CC"/>
            <w:spacing w:val="-2"/>
            <w:sz w:val="18"/>
            <w:u w:val="single" w:color="1153CC"/>
            <w:vertAlign w:val="baseline"/>
          </w:rPr>
          <w:t>people-highest-number-on-record</w:t>
        </w:r>
      </w:hyperlink>
      <w:hyperlink r:id="rId197">
        <w:r>
          <w:rPr>
            <w:spacing w:val="-2"/>
            <w:sz w:val="18"/>
            <w:u w:val="none"/>
            <w:vertAlign w:val="baseline"/>
          </w:rPr>
          <w:t>.</w:t>
        </w:r>
      </w:hyperlink>
    </w:p>
    <w:p>
      <w:pPr>
        <w:spacing w:before="0"/>
        <w:ind w:left="463" w:right="0" w:firstLine="0"/>
        <w:jc w:val="left"/>
        <w:rPr>
          <w:sz w:val="18"/>
        </w:rPr>
      </w:pPr>
      <w:bookmarkStart w:name="_bookmark111" w:id="267"/>
      <w:bookmarkEnd w:id="267"/>
      <w:r>
        <w:rPr/>
      </w:r>
      <w:r>
        <w:rPr>
          <w:sz w:val="18"/>
          <w:vertAlign w:val="superscript"/>
        </w:rPr>
        <w:t>8</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“2022</w:t>
      </w:r>
      <w:r>
        <w:rPr>
          <w:spacing w:val="-3"/>
          <w:sz w:val="18"/>
          <w:vertAlign w:val="baseline"/>
        </w:rPr>
        <w:t> </w:t>
      </w:r>
      <w:r>
        <w:rPr>
          <w:sz w:val="18"/>
          <w:vertAlign w:val="baseline"/>
        </w:rPr>
        <w:t>National</w:t>
      </w:r>
      <w:r>
        <w:rPr>
          <w:spacing w:val="-4"/>
          <w:sz w:val="18"/>
          <w:vertAlign w:val="baseline"/>
        </w:rPr>
        <w:t> </w:t>
      </w:r>
      <w:r>
        <w:rPr>
          <w:sz w:val="18"/>
          <w:vertAlign w:val="baseline"/>
        </w:rPr>
        <w:t>Survey</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2022,</w:t>
      </w:r>
      <w:r>
        <w:rPr>
          <w:spacing w:val="-3"/>
          <w:sz w:val="18"/>
          <w:vertAlign w:val="baseline"/>
        </w:rPr>
        <w:t> </w:t>
      </w:r>
      <w:hyperlink r:id="rId193">
        <w:r>
          <w:rPr>
            <w:color w:val="1153CC"/>
            <w:sz w:val="18"/>
            <w:u w:val="single" w:color="1153CC"/>
            <w:vertAlign w:val="baseline"/>
          </w:rPr>
          <w:t>https://www.thetrevorproject.org/survey-</w:t>
        </w:r>
      </w:hyperlink>
      <w:r>
        <w:rPr>
          <w:color w:val="1153CC"/>
          <w:sz w:val="18"/>
          <w:u w:val="none"/>
          <w:vertAlign w:val="baseline"/>
        </w:rPr>
        <w:t> </w:t>
      </w:r>
      <w:hyperlink r:id="rId193">
        <w:r>
          <w:rPr>
            <w:color w:val="1153CC"/>
            <w:spacing w:val="-2"/>
            <w:sz w:val="18"/>
            <w:u w:val="single" w:color="1153CC"/>
            <w:vertAlign w:val="baseline"/>
          </w:rPr>
          <w:t>2022/assets/static/trevor01_2022survey_final.pdf</w:t>
        </w:r>
      </w:hyperlink>
      <w:hyperlink r:id="rId193">
        <w:r>
          <w:rPr>
            <w:spacing w:val="-2"/>
            <w:sz w:val="18"/>
            <w:u w:val="none"/>
            <w:vertAlign w:val="baseline"/>
          </w:rPr>
          <w:t>.</w:t>
        </w:r>
      </w:hyperlink>
    </w:p>
    <w:p>
      <w:pPr>
        <w:spacing w:before="0"/>
        <w:ind w:left="463" w:right="528" w:firstLine="0"/>
        <w:jc w:val="left"/>
        <w:rPr>
          <w:sz w:val="18"/>
        </w:rPr>
      </w:pPr>
      <w:bookmarkStart w:name="_bookmark112" w:id="268"/>
      <w:bookmarkEnd w:id="268"/>
      <w:r>
        <w:rPr/>
      </w:r>
      <w:r>
        <w:rPr>
          <w:sz w:val="18"/>
          <w:vertAlign w:val="superscript"/>
        </w:rPr>
        <w:t>9</w:t>
      </w:r>
      <w:r>
        <w:rPr>
          <w:spacing w:val="-7"/>
          <w:sz w:val="18"/>
          <w:vertAlign w:val="baseline"/>
        </w:rPr>
        <w:t> </w:t>
      </w:r>
      <w:r>
        <w:rPr>
          <w:sz w:val="18"/>
          <w:vertAlign w:val="baseline"/>
        </w:rPr>
        <w:t>The Trevor Project, “2022 National Survey on LGBTQ Youth Mental Health: Massachusetts,” 2022, </w:t>
      </w:r>
      <w:hyperlink r:id="rId194">
        <w:r>
          <w:rPr>
            <w:color w:val="1153CC"/>
            <w:spacing w:val="-2"/>
            <w:sz w:val="18"/>
            <w:u w:val="single" w:color="1153CC"/>
            <w:vertAlign w:val="baseline"/>
          </w:rPr>
          <w:t>https://www.thetrevorproject.org/wp-content/uploads/2022/12/The-Trevor-Project-2022-National-Survey-on-LGBTQ-Youth-</w:t>
        </w:r>
      </w:hyperlink>
      <w:r>
        <w:rPr>
          <w:color w:val="1153CC"/>
          <w:sz w:val="18"/>
          <w:u w:val="none"/>
          <w:vertAlign w:val="baseline"/>
        </w:rPr>
        <w:t> </w:t>
      </w:r>
      <w:hyperlink r:id="rId194">
        <w:r>
          <w:rPr>
            <w:color w:val="1153CC"/>
            <w:spacing w:val="-2"/>
            <w:sz w:val="18"/>
            <w:u w:val="single" w:color="1153CC"/>
            <w:vertAlign w:val="baseline"/>
          </w:rPr>
          <w:t>Mental-Health-by-State-Massachusetts.pd</w:t>
        </w:r>
      </w:hyperlink>
      <w:hyperlink r:id="rId194">
        <w:r>
          <w:rPr>
            <w:color w:val="1153CC"/>
            <w:spacing w:val="-2"/>
            <w:sz w:val="18"/>
            <w:u w:val="single" w:color="1153CC"/>
            <w:vertAlign w:val="baseline"/>
          </w:rPr>
          <w:t>f</w:t>
        </w:r>
        <w:r>
          <w:rPr>
            <w:spacing w:val="-2"/>
            <w:sz w:val="18"/>
            <w:u w:val="none"/>
            <w:vertAlign w:val="baseline"/>
          </w:rPr>
          <w:t>.</w:t>
        </w:r>
      </w:hyperlink>
    </w:p>
    <w:p>
      <w:pPr>
        <w:spacing w:line="219" w:lineRule="exact" w:before="0"/>
        <w:ind w:left="463" w:right="0" w:firstLine="0"/>
        <w:jc w:val="left"/>
        <w:rPr>
          <w:sz w:val="18"/>
        </w:rPr>
      </w:pPr>
      <w:r>
        <w:rPr>
          <w:sz w:val="18"/>
          <w:vertAlign w:val="superscript"/>
        </w:rPr>
        <w:t>10</w:t>
      </w:r>
      <w:r>
        <w:rPr>
          <w:spacing w:val="-15"/>
          <w:sz w:val="18"/>
          <w:vertAlign w:val="baseline"/>
        </w:rPr>
        <w:t> </w:t>
      </w:r>
      <w:r>
        <w:rPr>
          <w:sz w:val="18"/>
          <w:vertAlign w:val="baseline"/>
        </w:rPr>
        <w:t>Frost,</w:t>
      </w:r>
      <w:r>
        <w:rPr>
          <w:spacing w:val="-5"/>
          <w:sz w:val="18"/>
          <w:vertAlign w:val="baseline"/>
        </w:rPr>
        <w:t> </w:t>
      </w:r>
      <w:r>
        <w:rPr>
          <w:sz w:val="18"/>
          <w:vertAlign w:val="baseline"/>
        </w:rPr>
        <w:t>David</w:t>
      </w:r>
      <w:r>
        <w:rPr>
          <w:spacing w:val="-2"/>
          <w:sz w:val="18"/>
          <w:vertAlign w:val="baseline"/>
        </w:rPr>
        <w:t> </w:t>
      </w:r>
      <w:r>
        <w:rPr>
          <w:sz w:val="18"/>
          <w:vertAlign w:val="baseline"/>
        </w:rPr>
        <w:t>M.,</w:t>
      </w:r>
      <w:r>
        <w:rPr>
          <w:spacing w:val="-3"/>
          <w:sz w:val="18"/>
          <w:vertAlign w:val="baseline"/>
        </w:rPr>
        <w:t> </w:t>
      </w:r>
      <w:r>
        <w:rPr>
          <w:sz w:val="18"/>
          <w:vertAlign w:val="baseline"/>
        </w:rPr>
        <w:t>Keren</w:t>
      </w:r>
      <w:r>
        <w:rPr>
          <w:spacing w:val="-2"/>
          <w:sz w:val="18"/>
          <w:vertAlign w:val="baseline"/>
        </w:rPr>
        <w:t> </w:t>
      </w:r>
      <w:r>
        <w:rPr>
          <w:sz w:val="18"/>
          <w:vertAlign w:val="baseline"/>
        </w:rPr>
        <w:t>Lehavot,</w:t>
      </w:r>
      <w:r>
        <w:rPr>
          <w:spacing w:val="-3"/>
          <w:sz w:val="18"/>
          <w:vertAlign w:val="baseline"/>
        </w:rPr>
        <w:t> </w:t>
      </w:r>
      <w:r>
        <w:rPr>
          <w:sz w:val="18"/>
          <w:vertAlign w:val="baseline"/>
        </w:rPr>
        <w:t>and</w:t>
      </w:r>
      <w:r>
        <w:rPr>
          <w:spacing w:val="-2"/>
          <w:sz w:val="18"/>
          <w:vertAlign w:val="baseline"/>
        </w:rPr>
        <w:t> </w:t>
      </w:r>
      <w:r>
        <w:rPr>
          <w:sz w:val="18"/>
          <w:vertAlign w:val="baseline"/>
        </w:rPr>
        <w:t>Ilan</w:t>
      </w:r>
      <w:r>
        <w:rPr>
          <w:spacing w:val="-3"/>
          <w:sz w:val="18"/>
          <w:vertAlign w:val="baseline"/>
        </w:rPr>
        <w:t> </w:t>
      </w:r>
      <w:r>
        <w:rPr>
          <w:sz w:val="18"/>
          <w:vertAlign w:val="baseline"/>
        </w:rPr>
        <w:t>H.</w:t>
      </w:r>
      <w:r>
        <w:rPr>
          <w:spacing w:val="-2"/>
          <w:sz w:val="18"/>
          <w:vertAlign w:val="baseline"/>
        </w:rPr>
        <w:t> </w:t>
      </w:r>
      <w:r>
        <w:rPr>
          <w:sz w:val="18"/>
          <w:vertAlign w:val="baseline"/>
        </w:rPr>
        <w:t>Meyer.</w:t>
      </w:r>
      <w:r>
        <w:rPr>
          <w:spacing w:val="-2"/>
          <w:sz w:val="18"/>
          <w:vertAlign w:val="baseline"/>
        </w:rPr>
        <w:t> </w:t>
      </w:r>
      <w:r>
        <w:rPr>
          <w:sz w:val="18"/>
          <w:vertAlign w:val="baseline"/>
        </w:rPr>
        <w:t>“Minority</w:t>
      </w:r>
      <w:r>
        <w:rPr>
          <w:spacing w:val="-2"/>
          <w:sz w:val="18"/>
          <w:vertAlign w:val="baseline"/>
        </w:rPr>
        <w:t> </w:t>
      </w:r>
      <w:r>
        <w:rPr>
          <w:sz w:val="18"/>
          <w:vertAlign w:val="baseline"/>
        </w:rPr>
        <w:t>Stress</w:t>
      </w:r>
      <w:r>
        <w:rPr>
          <w:spacing w:val="-2"/>
          <w:sz w:val="18"/>
          <w:vertAlign w:val="baseline"/>
        </w:rPr>
        <w:t> </w:t>
      </w:r>
      <w:r>
        <w:rPr>
          <w:sz w:val="18"/>
          <w:vertAlign w:val="baseline"/>
        </w:rPr>
        <w:t>and</w:t>
      </w:r>
      <w:r>
        <w:rPr>
          <w:spacing w:val="-3"/>
          <w:sz w:val="18"/>
          <w:vertAlign w:val="baseline"/>
        </w:rPr>
        <w:t> </w:t>
      </w:r>
      <w:r>
        <w:rPr>
          <w:sz w:val="18"/>
          <w:vertAlign w:val="baseline"/>
        </w:rPr>
        <w:t>Physical</w:t>
      </w:r>
      <w:r>
        <w:rPr>
          <w:spacing w:val="-3"/>
          <w:sz w:val="18"/>
          <w:vertAlign w:val="baseline"/>
        </w:rPr>
        <w:t> </w:t>
      </w:r>
      <w:r>
        <w:rPr>
          <w:sz w:val="18"/>
          <w:vertAlign w:val="baseline"/>
        </w:rPr>
        <w:t>Health</w:t>
      </w:r>
      <w:r>
        <w:rPr>
          <w:spacing w:val="-2"/>
          <w:sz w:val="18"/>
          <w:vertAlign w:val="baseline"/>
        </w:rPr>
        <w:t> </w:t>
      </w:r>
      <w:r>
        <w:rPr>
          <w:sz w:val="18"/>
          <w:vertAlign w:val="baseline"/>
        </w:rPr>
        <w:t>among</w:t>
      </w:r>
      <w:r>
        <w:rPr>
          <w:spacing w:val="-2"/>
          <w:sz w:val="18"/>
          <w:vertAlign w:val="baseline"/>
        </w:rPr>
        <w:t> </w:t>
      </w:r>
      <w:r>
        <w:rPr>
          <w:sz w:val="18"/>
          <w:vertAlign w:val="baseline"/>
        </w:rPr>
        <w:t>Sexual</w:t>
      </w:r>
      <w:r>
        <w:rPr>
          <w:spacing w:val="-3"/>
          <w:sz w:val="18"/>
          <w:vertAlign w:val="baseline"/>
        </w:rPr>
        <w:t> </w:t>
      </w:r>
      <w:r>
        <w:rPr>
          <w:sz w:val="18"/>
          <w:vertAlign w:val="baseline"/>
        </w:rPr>
        <w:t>Minority</w:t>
      </w:r>
      <w:r>
        <w:rPr>
          <w:spacing w:val="-1"/>
          <w:sz w:val="18"/>
          <w:vertAlign w:val="baseline"/>
        </w:rPr>
        <w:t> </w:t>
      </w:r>
      <w:r>
        <w:rPr>
          <w:spacing w:val="-2"/>
          <w:sz w:val="18"/>
          <w:vertAlign w:val="baseline"/>
        </w:rPr>
        <w:t>Individuals.”</w:t>
      </w:r>
    </w:p>
    <w:p>
      <w:pPr>
        <w:spacing w:before="0"/>
        <w:ind w:left="463" w:right="0" w:firstLine="0"/>
        <w:jc w:val="left"/>
        <w:rPr>
          <w:sz w:val="18"/>
        </w:rPr>
      </w:pPr>
      <w:bookmarkStart w:name="_bookmark113" w:id="269"/>
      <w:bookmarkEnd w:id="269"/>
      <w:r>
        <w:rPr/>
      </w:r>
      <w:r>
        <w:rPr>
          <w:i/>
          <w:sz w:val="18"/>
        </w:rPr>
        <w:t>Journal</w:t>
      </w:r>
      <w:r>
        <w:rPr>
          <w:i/>
          <w:spacing w:val="-9"/>
          <w:sz w:val="18"/>
        </w:rPr>
        <w:t> </w:t>
      </w:r>
      <w:r>
        <w:rPr>
          <w:i/>
          <w:sz w:val="18"/>
        </w:rPr>
        <w:t>of</w:t>
      </w:r>
      <w:r>
        <w:rPr>
          <w:i/>
          <w:spacing w:val="-5"/>
          <w:sz w:val="18"/>
        </w:rPr>
        <w:t> </w:t>
      </w:r>
      <w:r>
        <w:rPr>
          <w:i/>
          <w:sz w:val="18"/>
        </w:rPr>
        <w:t>Behavioral</w:t>
      </w:r>
      <w:r>
        <w:rPr>
          <w:i/>
          <w:spacing w:val="-6"/>
          <w:sz w:val="18"/>
        </w:rPr>
        <w:t> </w:t>
      </w:r>
      <w:r>
        <w:rPr>
          <w:i/>
          <w:sz w:val="18"/>
        </w:rPr>
        <w:t>Medicine</w:t>
      </w:r>
      <w:r>
        <w:rPr>
          <w:i/>
          <w:spacing w:val="-5"/>
          <w:sz w:val="18"/>
        </w:rPr>
        <w:t> </w:t>
      </w:r>
      <w:r>
        <w:rPr>
          <w:sz w:val="18"/>
        </w:rPr>
        <w:t>38,</w:t>
      </w:r>
      <w:r>
        <w:rPr>
          <w:spacing w:val="-6"/>
          <w:sz w:val="18"/>
        </w:rPr>
        <w:t> </w:t>
      </w:r>
      <w:r>
        <w:rPr>
          <w:sz w:val="18"/>
        </w:rPr>
        <w:t>no.</w:t>
      </w:r>
      <w:r>
        <w:rPr>
          <w:spacing w:val="-6"/>
          <w:sz w:val="18"/>
        </w:rPr>
        <w:t> </w:t>
      </w:r>
      <w:r>
        <w:rPr>
          <w:sz w:val="18"/>
        </w:rPr>
        <w:t>1</w:t>
      </w:r>
      <w:r>
        <w:rPr>
          <w:spacing w:val="-5"/>
          <w:sz w:val="18"/>
        </w:rPr>
        <w:t> </w:t>
      </w:r>
      <w:r>
        <w:rPr>
          <w:sz w:val="18"/>
        </w:rPr>
        <w:t>(February</w:t>
      </w:r>
      <w:r>
        <w:rPr>
          <w:spacing w:val="-6"/>
          <w:sz w:val="18"/>
        </w:rPr>
        <w:t> </w:t>
      </w:r>
      <w:r>
        <w:rPr>
          <w:sz w:val="18"/>
        </w:rPr>
        <w:t>2015):</w:t>
      </w:r>
      <w:r>
        <w:rPr>
          <w:spacing w:val="-5"/>
          <w:sz w:val="18"/>
        </w:rPr>
        <w:t> </w:t>
      </w:r>
      <w:r>
        <w:rPr>
          <w:sz w:val="18"/>
        </w:rPr>
        <w:t>1–8.</w:t>
      </w:r>
      <w:r>
        <w:rPr>
          <w:spacing w:val="-5"/>
          <w:sz w:val="18"/>
        </w:rPr>
        <w:t> </w:t>
      </w:r>
      <w:hyperlink r:id="rId198">
        <w:r>
          <w:rPr>
            <w:color w:val="1153CC"/>
            <w:sz w:val="18"/>
            <w:u w:val="single" w:color="1153CC"/>
          </w:rPr>
          <w:t>https://doi.org/10.1007/s10865-013-9523-</w:t>
        </w:r>
        <w:r>
          <w:rPr>
            <w:color w:val="1153CC"/>
            <w:spacing w:val="-5"/>
            <w:sz w:val="18"/>
            <w:u w:val="single" w:color="1153CC"/>
          </w:rPr>
          <w:t>8</w:t>
        </w:r>
      </w:hyperlink>
      <w:hyperlink r:id="rId198">
        <w:r>
          <w:rPr>
            <w:spacing w:val="-5"/>
            <w:sz w:val="18"/>
            <w:u w:val="none"/>
          </w:rPr>
          <w:t>.</w:t>
        </w:r>
      </w:hyperlink>
    </w:p>
    <w:p>
      <w:pPr>
        <w:spacing w:before="0"/>
        <w:ind w:left="463" w:right="314" w:hanging="1"/>
        <w:jc w:val="left"/>
        <w:rPr>
          <w:sz w:val="18"/>
        </w:rPr>
      </w:pPr>
      <w:r>
        <w:rPr>
          <w:sz w:val="18"/>
          <w:vertAlign w:val="superscript"/>
        </w:rPr>
        <w:t>11</w:t>
      </w:r>
      <w:r>
        <w:rPr>
          <w:spacing w:val="-8"/>
          <w:sz w:val="18"/>
          <w:vertAlign w:val="baseline"/>
        </w:rPr>
        <w:t> </w:t>
      </w:r>
      <w:r>
        <w:rPr>
          <w:sz w:val="18"/>
          <w:vertAlign w:val="baseline"/>
        </w:rPr>
        <w:t>Hatzenbuehler, Mark L., Katie A. McLaughlin, Katherine M. Keyes, and Deborah S. Hasin. “The Impact of Institutional Discrimination</w:t>
      </w:r>
      <w:r>
        <w:rPr>
          <w:spacing w:val="-3"/>
          <w:sz w:val="18"/>
          <w:vertAlign w:val="baseline"/>
        </w:rPr>
        <w:t> </w:t>
      </w:r>
      <w:r>
        <w:rPr>
          <w:sz w:val="18"/>
          <w:vertAlign w:val="baseline"/>
        </w:rPr>
        <w:t>on</w:t>
      </w:r>
      <w:r>
        <w:rPr>
          <w:spacing w:val="-3"/>
          <w:sz w:val="18"/>
          <w:vertAlign w:val="baseline"/>
        </w:rPr>
        <w:t> </w:t>
      </w:r>
      <w:r>
        <w:rPr>
          <w:sz w:val="18"/>
          <w:vertAlign w:val="baseline"/>
        </w:rPr>
        <w:t>Psychiatric</w:t>
      </w:r>
      <w:r>
        <w:rPr>
          <w:spacing w:val="-4"/>
          <w:sz w:val="18"/>
          <w:vertAlign w:val="baseline"/>
        </w:rPr>
        <w:t> </w:t>
      </w:r>
      <w:r>
        <w:rPr>
          <w:sz w:val="18"/>
          <w:vertAlign w:val="baseline"/>
        </w:rPr>
        <w:t>Disorders</w:t>
      </w:r>
      <w:r>
        <w:rPr>
          <w:spacing w:val="-3"/>
          <w:sz w:val="18"/>
          <w:vertAlign w:val="baseline"/>
        </w:rPr>
        <w:t> </w:t>
      </w:r>
      <w:r>
        <w:rPr>
          <w:sz w:val="18"/>
          <w:vertAlign w:val="baseline"/>
        </w:rPr>
        <w:t>in</w:t>
      </w:r>
      <w:r>
        <w:rPr>
          <w:spacing w:val="-3"/>
          <w:sz w:val="18"/>
          <w:vertAlign w:val="baseline"/>
        </w:rPr>
        <w:t> </w:t>
      </w:r>
      <w:r>
        <w:rPr>
          <w:sz w:val="18"/>
          <w:vertAlign w:val="baseline"/>
        </w:rPr>
        <w:t>Lesbian,</w:t>
      </w:r>
      <w:r>
        <w:rPr>
          <w:spacing w:val="-4"/>
          <w:sz w:val="18"/>
          <w:vertAlign w:val="baseline"/>
        </w:rPr>
        <w:t> </w:t>
      </w:r>
      <w:r>
        <w:rPr>
          <w:sz w:val="18"/>
          <w:vertAlign w:val="baseline"/>
        </w:rPr>
        <w:t>Gay,</w:t>
      </w:r>
      <w:r>
        <w:rPr>
          <w:spacing w:val="-4"/>
          <w:sz w:val="18"/>
          <w:vertAlign w:val="baseline"/>
        </w:rPr>
        <w:t> </w:t>
      </w:r>
      <w:r>
        <w:rPr>
          <w:sz w:val="18"/>
          <w:vertAlign w:val="baseline"/>
        </w:rPr>
        <w:t>and</w:t>
      </w:r>
      <w:r>
        <w:rPr>
          <w:spacing w:val="-3"/>
          <w:sz w:val="18"/>
          <w:vertAlign w:val="baseline"/>
        </w:rPr>
        <w:t> </w:t>
      </w:r>
      <w:r>
        <w:rPr>
          <w:sz w:val="18"/>
          <w:vertAlign w:val="baseline"/>
        </w:rPr>
        <w:t>Bisexual</w:t>
      </w:r>
      <w:r>
        <w:rPr>
          <w:spacing w:val="-4"/>
          <w:sz w:val="18"/>
          <w:vertAlign w:val="baseline"/>
        </w:rPr>
        <w:t> </w:t>
      </w:r>
      <w:r>
        <w:rPr>
          <w:sz w:val="18"/>
          <w:vertAlign w:val="baseline"/>
        </w:rPr>
        <w:t>Populations:</w:t>
      </w:r>
      <w:r>
        <w:rPr>
          <w:spacing w:val="-3"/>
          <w:sz w:val="18"/>
          <w:vertAlign w:val="baseline"/>
        </w:rPr>
        <w:t> </w:t>
      </w:r>
      <w:r>
        <w:rPr>
          <w:sz w:val="18"/>
          <w:vertAlign w:val="baseline"/>
        </w:rPr>
        <w:t>A</w:t>
      </w:r>
      <w:r>
        <w:rPr>
          <w:spacing w:val="-3"/>
          <w:sz w:val="18"/>
          <w:vertAlign w:val="baseline"/>
        </w:rPr>
        <w:t> </w:t>
      </w:r>
      <w:r>
        <w:rPr>
          <w:sz w:val="18"/>
          <w:vertAlign w:val="baseline"/>
        </w:rPr>
        <w:t>Prospective</w:t>
      </w:r>
      <w:r>
        <w:rPr>
          <w:spacing w:val="-3"/>
          <w:sz w:val="18"/>
          <w:vertAlign w:val="baseline"/>
        </w:rPr>
        <w:t> </w:t>
      </w:r>
      <w:r>
        <w:rPr>
          <w:sz w:val="18"/>
          <w:vertAlign w:val="baseline"/>
        </w:rPr>
        <w:t>Study.”</w:t>
      </w:r>
      <w:r>
        <w:rPr>
          <w:spacing w:val="-3"/>
          <w:sz w:val="18"/>
          <w:vertAlign w:val="baseline"/>
        </w:rPr>
        <w:t> </w:t>
      </w:r>
      <w:r>
        <w:rPr>
          <w:i/>
          <w:sz w:val="18"/>
          <w:vertAlign w:val="baseline"/>
        </w:rPr>
        <w:t>American</w:t>
      </w:r>
      <w:r>
        <w:rPr>
          <w:i/>
          <w:spacing w:val="-2"/>
          <w:sz w:val="18"/>
          <w:vertAlign w:val="baseline"/>
        </w:rPr>
        <w:t> </w:t>
      </w:r>
      <w:r>
        <w:rPr>
          <w:i/>
          <w:sz w:val="18"/>
          <w:vertAlign w:val="baseline"/>
        </w:rPr>
        <w:t>Journal</w:t>
      </w:r>
      <w:r>
        <w:rPr>
          <w:i/>
          <w:spacing w:val="-4"/>
          <w:sz w:val="18"/>
          <w:vertAlign w:val="baseline"/>
        </w:rPr>
        <w:t> </w:t>
      </w:r>
      <w:r>
        <w:rPr>
          <w:i/>
          <w:sz w:val="18"/>
          <w:vertAlign w:val="baseline"/>
        </w:rPr>
        <w:t>of</w:t>
      </w:r>
      <w:r>
        <w:rPr>
          <w:i/>
          <w:sz w:val="18"/>
          <w:vertAlign w:val="baseline"/>
        </w:rPr>
        <w:t> Public Health </w:t>
      </w:r>
      <w:r>
        <w:rPr>
          <w:sz w:val="18"/>
          <w:vertAlign w:val="baseline"/>
        </w:rPr>
        <w:t>100, no. 3 (March 2010): 452–59. </w:t>
      </w:r>
      <w:hyperlink r:id="rId199">
        <w:r>
          <w:rPr>
            <w:color w:val="1153CC"/>
            <w:sz w:val="18"/>
            <w:u w:val="single" w:color="1153CC"/>
            <w:vertAlign w:val="baseline"/>
          </w:rPr>
          <w:t>https://doi.org/10.2105/AJPH.2009.168815</w:t>
        </w:r>
      </w:hyperlink>
      <w:hyperlink r:id="rId199">
        <w:r>
          <w:rPr>
            <w:sz w:val="18"/>
            <w:u w:val="none"/>
            <w:vertAlign w:val="baseline"/>
          </w:rPr>
          <w:t>.</w:t>
        </w:r>
      </w:hyperlink>
    </w:p>
    <w:p>
      <w:pPr>
        <w:spacing w:before="0"/>
        <w:ind w:left="463" w:right="314" w:hanging="1"/>
        <w:jc w:val="left"/>
        <w:rPr>
          <w:sz w:val="18"/>
        </w:rPr>
      </w:pPr>
      <w:bookmarkStart w:name="_bookmark114" w:id="270"/>
      <w:bookmarkEnd w:id="270"/>
      <w:r>
        <w:rPr/>
      </w:r>
      <w:r>
        <w:rPr>
          <w:sz w:val="18"/>
          <w:vertAlign w:val="superscript"/>
        </w:rPr>
        <w:t>12</w:t>
      </w:r>
      <w:r>
        <w:rPr>
          <w:spacing w:val="-13"/>
          <w:sz w:val="18"/>
          <w:vertAlign w:val="baseline"/>
        </w:rPr>
        <w:t> </w:t>
      </w:r>
      <w:r>
        <w:rPr>
          <w:sz w:val="18"/>
          <w:vertAlign w:val="baseline"/>
        </w:rPr>
        <w:t>Hughto,</w:t>
      </w:r>
      <w:r>
        <w:rPr>
          <w:spacing w:val="-4"/>
          <w:sz w:val="18"/>
          <w:vertAlign w:val="baseline"/>
        </w:rPr>
        <w:t> </w:t>
      </w:r>
      <w:r>
        <w:rPr>
          <w:sz w:val="18"/>
          <w:vertAlign w:val="baseline"/>
        </w:rPr>
        <w:t>Jaclyn</w:t>
      </w:r>
      <w:r>
        <w:rPr>
          <w:spacing w:val="-2"/>
          <w:sz w:val="18"/>
          <w:vertAlign w:val="baseline"/>
        </w:rPr>
        <w:t> </w:t>
      </w:r>
      <w:r>
        <w:rPr>
          <w:sz w:val="18"/>
          <w:vertAlign w:val="baseline"/>
        </w:rPr>
        <w:t>M.W.,</w:t>
      </w:r>
      <w:r>
        <w:rPr>
          <w:spacing w:val="-3"/>
          <w:sz w:val="18"/>
          <w:vertAlign w:val="baseline"/>
        </w:rPr>
        <w:t> </w:t>
      </w:r>
      <w:r>
        <w:rPr>
          <w:sz w:val="18"/>
          <w:vertAlign w:val="baseline"/>
        </w:rPr>
        <w:t>David</w:t>
      </w:r>
      <w:r>
        <w:rPr>
          <w:spacing w:val="-2"/>
          <w:sz w:val="18"/>
          <w:vertAlign w:val="baseline"/>
        </w:rPr>
        <w:t> </w:t>
      </w:r>
      <w:r>
        <w:rPr>
          <w:sz w:val="18"/>
          <w:vertAlign w:val="baseline"/>
        </w:rPr>
        <w:t>Pletta,</w:t>
      </w:r>
      <w:r>
        <w:rPr>
          <w:spacing w:val="-3"/>
          <w:sz w:val="18"/>
          <w:vertAlign w:val="baseline"/>
        </w:rPr>
        <w:t> </w:t>
      </w:r>
      <w:r>
        <w:rPr>
          <w:sz w:val="18"/>
          <w:vertAlign w:val="baseline"/>
        </w:rPr>
        <w:t>Lily</w:t>
      </w:r>
      <w:r>
        <w:rPr>
          <w:spacing w:val="-2"/>
          <w:sz w:val="18"/>
          <w:vertAlign w:val="baseline"/>
        </w:rPr>
        <w:t> </w:t>
      </w:r>
      <w:r>
        <w:rPr>
          <w:sz w:val="18"/>
          <w:vertAlign w:val="baseline"/>
        </w:rPr>
        <w:t>Gordon,</w:t>
      </w:r>
      <w:r>
        <w:rPr>
          <w:spacing w:val="-3"/>
          <w:sz w:val="18"/>
          <w:vertAlign w:val="baseline"/>
        </w:rPr>
        <w:t> </w:t>
      </w:r>
      <w:r>
        <w:rPr>
          <w:sz w:val="18"/>
          <w:vertAlign w:val="baseline"/>
        </w:rPr>
        <w:t>Sean</w:t>
      </w:r>
      <w:r>
        <w:rPr>
          <w:spacing w:val="-2"/>
          <w:sz w:val="18"/>
          <w:vertAlign w:val="baseline"/>
        </w:rPr>
        <w:t> </w:t>
      </w:r>
      <w:r>
        <w:rPr>
          <w:sz w:val="18"/>
          <w:vertAlign w:val="baseline"/>
        </w:rPr>
        <w:t>Cahill,</w:t>
      </w:r>
      <w:r>
        <w:rPr>
          <w:spacing w:val="-3"/>
          <w:sz w:val="18"/>
          <w:vertAlign w:val="baseline"/>
        </w:rPr>
        <w:t> </w:t>
      </w:r>
      <w:r>
        <w:rPr>
          <w:sz w:val="18"/>
          <w:vertAlign w:val="baseline"/>
        </w:rPr>
        <w:t>Matthew</w:t>
      </w:r>
      <w:r>
        <w:rPr>
          <w:spacing w:val="-3"/>
          <w:sz w:val="18"/>
          <w:vertAlign w:val="baseline"/>
        </w:rPr>
        <w:t> </w:t>
      </w:r>
      <w:r>
        <w:rPr>
          <w:sz w:val="18"/>
          <w:vertAlign w:val="baseline"/>
        </w:rPr>
        <w:t>J.</w:t>
      </w:r>
      <w:r>
        <w:rPr>
          <w:spacing w:val="-2"/>
          <w:sz w:val="18"/>
          <w:vertAlign w:val="baseline"/>
        </w:rPr>
        <w:t> </w:t>
      </w:r>
      <w:r>
        <w:rPr>
          <w:sz w:val="18"/>
          <w:vertAlign w:val="baseline"/>
        </w:rPr>
        <w:t>Mimiaga,</w:t>
      </w:r>
      <w:r>
        <w:rPr>
          <w:spacing w:val="-3"/>
          <w:sz w:val="18"/>
          <w:vertAlign w:val="baseline"/>
        </w:rPr>
        <w:t> </w:t>
      </w:r>
      <w:r>
        <w:rPr>
          <w:sz w:val="18"/>
          <w:vertAlign w:val="baseline"/>
        </w:rPr>
        <w:t>and</w:t>
      </w:r>
      <w:r>
        <w:rPr>
          <w:spacing w:val="-2"/>
          <w:sz w:val="18"/>
          <w:vertAlign w:val="baseline"/>
        </w:rPr>
        <w:t> </w:t>
      </w:r>
      <w:r>
        <w:rPr>
          <w:sz w:val="18"/>
          <w:vertAlign w:val="baseline"/>
        </w:rPr>
        <w:t>Sari</w:t>
      </w:r>
      <w:r>
        <w:rPr>
          <w:spacing w:val="-3"/>
          <w:sz w:val="18"/>
          <w:vertAlign w:val="baseline"/>
        </w:rPr>
        <w:t> </w:t>
      </w:r>
      <w:r>
        <w:rPr>
          <w:sz w:val="18"/>
          <w:vertAlign w:val="baseline"/>
        </w:rPr>
        <w:t>L.</w:t>
      </w:r>
      <w:r>
        <w:rPr>
          <w:spacing w:val="-2"/>
          <w:sz w:val="18"/>
          <w:vertAlign w:val="baseline"/>
        </w:rPr>
        <w:t> </w:t>
      </w:r>
      <w:r>
        <w:rPr>
          <w:sz w:val="18"/>
          <w:vertAlign w:val="baseline"/>
        </w:rPr>
        <w:t>Reisner.</w:t>
      </w:r>
      <w:r>
        <w:rPr>
          <w:spacing w:val="-2"/>
          <w:sz w:val="18"/>
          <w:vertAlign w:val="baseline"/>
        </w:rPr>
        <w:t> </w:t>
      </w:r>
      <w:r>
        <w:rPr>
          <w:sz w:val="18"/>
          <w:vertAlign w:val="baseline"/>
        </w:rPr>
        <w:t>“Negative</w:t>
      </w:r>
      <w:r>
        <w:rPr>
          <w:spacing w:val="-2"/>
          <w:sz w:val="18"/>
          <w:vertAlign w:val="baseline"/>
        </w:rPr>
        <w:t> </w:t>
      </w:r>
      <w:r>
        <w:rPr>
          <w:sz w:val="18"/>
          <w:vertAlign w:val="baseline"/>
        </w:rPr>
        <w:t>Transgender- Related Media Messages Are Associated with Adverse Mental Health Outcomes in a Multistate Study of Transgender Adults.” </w:t>
      </w:r>
      <w:r>
        <w:rPr>
          <w:i/>
          <w:sz w:val="18"/>
          <w:vertAlign w:val="baseline"/>
        </w:rPr>
        <w:t>LGBT Health </w:t>
      </w:r>
      <w:r>
        <w:rPr>
          <w:sz w:val="18"/>
          <w:vertAlign w:val="baseline"/>
        </w:rPr>
        <w:t>8, no. 1 (January 1, 2021): 32–41. </w:t>
      </w:r>
      <w:hyperlink r:id="rId200">
        <w:r>
          <w:rPr>
            <w:color w:val="1153CC"/>
            <w:sz w:val="18"/>
            <w:u w:val="single" w:color="1153CC"/>
            <w:vertAlign w:val="baseline"/>
          </w:rPr>
          <w:t>https://doi.org/10.1089/lgbt.2020.0279</w:t>
        </w:r>
      </w:hyperlink>
      <w:hyperlink r:id="rId200">
        <w:r>
          <w:rPr>
            <w:sz w:val="18"/>
            <w:u w:val="none"/>
            <w:vertAlign w:val="baseline"/>
          </w:rPr>
          <w:t>.</w:t>
        </w:r>
      </w:hyperlink>
    </w:p>
    <w:p>
      <w:pPr>
        <w:spacing w:before="0"/>
        <w:ind w:left="463" w:right="290" w:hanging="1"/>
        <w:jc w:val="left"/>
        <w:rPr>
          <w:sz w:val="18"/>
        </w:rPr>
      </w:pPr>
      <w:bookmarkStart w:name="_bookmark115" w:id="271"/>
      <w:bookmarkEnd w:id="271"/>
      <w:r>
        <w:rPr/>
      </w:r>
      <w:r>
        <w:rPr>
          <w:sz w:val="18"/>
          <w:vertAlign w:val="superscript"/>
        </w:rPr>
        <w:t>13</w:t>
      </w:r>
      <w:r>
        <w:rPr>
          <w:spacing w:val="-13"/>
          <w:sz w:val="18"/>
          <w:vertAlign w:val="baseline"/>
        </w:rPr>
        <w:t> </w:t>
      </w:r>
      <w:r>
        <w:rPr>
          <w:sz w:val="18"/>
          <w:vertAlign w:val="baseline"/>
        </w:rPr>
        <w:t>Fulginiti,</w:t>
      </w:r>
      <w:r>
        <w:rPr>
          <w:spacing w:val="-4"/>
          <w:sz w:val="18"/>
          <w:vertAlign w:val="baseline"/>
        </w:rPr>
        <w:t> </w:t>
      </w:r>
      <w:r>
        <w:rPr>
          <w:sz w:val="18"/>
          <w:vertAlign w:val="baseline"/>
        </w:rPr>
        <w:t>Anthony,</w:t>
      </w:r>
      <w:r>
        <w:rPr>
          <w:spacing w:val="-3"/>
          <w:sz w:val="18"/>
          <w:vertAlign w:val="baseline"/>
        </w:rPr>
        <w:t> </w:t>
      </w:r>
      <w:r>
        <w:rPr>
          <w:sz w:val="18"/>
          <w:vertAlign w:val="baseline"/>
        </w:rPr>
        <w:t>Harmony</w:t>
      </w:r>
      <w:r>
        <w:rPr>
          <w:spacing w:val="-2"/>
          <w:sz w:val="18"/>
          <w:vertAlign w:val="baseline"/>
        </w:rPr>
        <w:t> </w:t>
      </w:r>
      <w:r>
        <w:rPr>
          <w:sz w:val="18"/>
          <w:vertAlign w:val="baseline"/>
        </w:rPr>
        <w:t>Rhoades,</w:t>
      </w:r>
      <w:r>
        <w:rPr>
          <w:spacing w:val="-3"/>
          <w:sz w:val="18"/>
          <w:vertAlign w:val="baseline"/>
        </w:rPr>
        <w:t> </w:t>
      </w:r>
      <w:r>
        <w:rPr>
          <w:sz w:val="18"/>
          <w:vertAlign w:val="baseline"/>
        </w:rPr>
        <w:t>Mary</w:t>
      </w:r>
      <w:r>
        <w:rPr>
          <w:spacing w:val="-2"/>
          <w:sz w:val="18"/>
          <w:vertAlign w:val="baseline"/>
        </w:rPr>
        <w:t> </w:t>
      </w:r>
      <w:r>
        <w:rPr>
          <w:sz w:val="18"/>
          <w:vertAlign w:val="baseline"/>
        </w:rPr>
        <w:t>Rose</w:t>
      </w:r>
      <w:r>
        <w:rPr>
          <w:spacing w:val="-2"/>
          <w:sz w:val="18"/>
          <w:vertAlign w:val="baseline"/>
        </w:rPr>
        <w:t> </w:t>
      </w:r>
      <w:r>
        <w:rPr>
          <w:sz w:val="18"/>
          <w:vertAlign w:val="baseline"/>
        </w:rPr>
        <w:t>Mamey,</w:t>
      </w:r>
      <w:r>
        <w:rPr>
          <w:spacing w:val="-3"/>
          <w:sz w:val="18"/>
          <w:vertAlign w:val="baseline"/>
        </w:rPr>
        <w:t> </w:t>
      </w:r>
      <w:r>
        <w:rPr>
          <w:sz w:val="18"/>
          <w:vertAlign w:val="baseline"/>
        </w:rPr>
        <w:t>Cary</w:t>
      </w:r>
      <w:r>
        <w:rPr>
          <w:spacing w:val="-2"/>
          <w:sz w:val="18"/>
          <w:vertAlign w:val="baseline"/>
        </w:rPr>
        <w:t> </w:t>
      </w:r>
      <w:r>
        <w:rPr>
          <w:sz w:val="18"/>
          <w:vertAlign w:val="baseline"/>
        </w:rPr>
        <w:t>Klemmer,</w:t>
      </w:r>
      <w:r>
        <w:rPr>
          <w:spacing w:val="-3"/>
          <w:sz w:val="18"/>
          <w:vertAlign w:val="baseline"/>
        </w:rPr>
        <w:t> </w:t>
      </w:r>
      <w:r>
        <w:rPr>
          <w:sz w:val="18"/>
          <w:vertAlign w:val="baseline"/>
        </w:rPr>
        <w:t>Ankur</w:t>
      </w:r>
      <w:r>
        <w:rPr>
          <w:spacing w:val="-3"/>
          <w:sz w:val="18"/>
          <w:vertAlign w:val="baseline"/>
        </w:rPr>
        <w:t> </w:t>
      </w:r>
      <w:r>
        <w:rPr>
          <w:sz w:val="18"/>
          <w:vertAlign w:val="baseline"/>
        </w:rPr>
        <w:t>Srivastava,</w:t>
      </w:r>
      <w:r>
        <w:rPr>
          <w:spacing w:val="-3"/>
          <w:sz w:val="18"/>
          <w:vertAlign w:val="baseline"/>
        </w:rPr>
        <w:t> </w:t>
      </w:r>
      <w:r>
        <w:rPr>
          <w:sz w:val="18"/>
          <w:vertAlign w:val="baseline"/>
        </w:rPr>
        <w:t>Garrett</w:t>
      </w:r>
      <w:r>
        <w:rPr>
          <w:spacing w:val="-3"/>
          <w:sz w:val="18"/>
          <w:vertAlign w:val="baseline"/>
        </w:rPr>
        <w:t> </w:t>
      </w:r>
      <w:r>
        <w:rPr>
          <w:sz w:val="18"/>
          <w:vertAlign w:val="baseline"/>
        </w:rPr>
        <w:t>Weskamp,</w:t>
      </w:r>
      <w:r>
        <w:rPr>
          <w:spacing w:val="-3"/>
          <w:sz w:val="18"/>
          <w:vertAlign w:val="baseline"/>
        </w:rPr>
        <w:t> </w:t>
      </w:r>
      <w:r>
        <w:rPr>
          <w:sz w:val="18"/>
          <w:vertAlign w:val="baseline"/>
        </w:rPr>
        <w:t>and</w:t>
      </w:r>
      <w:r>
        <w:rPr>
          <w:spacing w:val="-2"/>
          <w:sz w:val="18"/>
          <w:vertAlign w:val="baseline"/>
        </w:rPr>
        <w:t> </w:t>
      </w:r>
      <w:r>
        <w:rPr>
          <w:sz w:val="18"/>
          <w:vertAlign w:val="baseline"/>
        </w:rPr>
        <w:t>Jeremy</w:t>
      </w:r>
      <w:r>
        <w:rPr>
          <w:spacing w:val="-2"/>
          <w:sz w:val="18"/>
          <w:vertAlign w:val="baseline"/>
        </w:rPr>
        <w:t> </w:t>
      </w:r>
      <w:r>
        <w:rPr>
          <w:sz w:val="18"/>
          <w:vertAlign w:val="baseline"/>
        </w:rPr>
        <w:t>T. Goldbach. “Sexual Minority Stress, Mental Health Symptoms, and Suicidality among LGBTQ Youth Accessing Crisis Services.” </w:t>
      </w:r>
      <w:r>
        <w:rPr>
          <w:i/>
          <w:sz w:val="18"/>
          <w:vertAlign w:val="baseline"/>
        </w:rPr>
        <w:t>Journal of Youth and Adolescence </w:t>
      </w:r>
      <w:r>
        <w:rPr>
          <w:sz w:val="18"/>
          <w:vertAlign w:val="baseline"/>
        </w:rPr>
        <w:t>50, no. 5 (May 2021): 893–905. </w:t>
      </w:r>
      <w:hyperlink r:id="rId201">
        <w:r>
          <w:rPr>
            <w:color w:val="1153CC"/>
            <w:sz w:val="18"/>
            <w:u w:val="single" w:color="1153CC"/>
            <w:vertAlign w:val="baseline"/>
          </w:rPr>
          <w:t>https://doi.org/10.1007/s10964-020-01354-3</w:t>
        </w:r>
      </w:hyperlink>
      <w:hyperlink r:id="rId201">
        <w:r>
          <w:rPr>
            <w:sz w:val="18"/>
            <w:u w:val="none"/>
            <w:vertAlign w:val="baseline"/>
          </w:rPr>
          <w:t>.</w:t>
        </w:r>
      </w:hyperlink>
    </w:p>
    <w:p>
      <w:pPr>
        <w:spacing w:before="0"/>
        <w:ind w:left="463" w:right="279" w:hanging="1"/>
        <w:jc w:val="left"/>
        <w:rPr>
          <w:sz w:val="18"/>
        </w:rPr>
      </w:pPr>
      <w:bookmarkStart w:name="_bookmark116" w:id="272"/>
      <w:bookmarkEnd w:id="272"/>
      <w:r>
        <w:rPr/>
      </w:r>
      <w:r>
        <w:rPr>
          <w:sz w:val="18"/>
          <w:vertAlign w:val="superscript"/>
        </w:rPr>
        <w:t>14</w:t>
      </w:r>
      <w:r>
        <w:rPr>
          <w:spacing w:val="-8"/>
          <w:sz w:val="18"/>
          <w:vertAlign w:val="baseline"/>
        </w:rPr>
        <w:t> </w:t>
      </w:r>
      <w:r>
        <w:rPr>
          <w:sz w:val="18"/>
          <w:vertAlign w:val="baseline"/>
        </w:rPr>
        <w:t>Hatzenbuehler, Mark L., Conall O’Cleirigh, Chris Grasso, Kenneth Mayer, Steven Safren, and Judith Bradford. “Effect of Same- Sex</w:t>
      </w:r>
      <w:r>
        <w:rPr>
          <w:spacing w:val="-3"/>
          <w:sz w:val="18"/>
          <w:vertAlign w:val="baseline"/>
        </w:rPr>
        <w:t> </w:t>
      </w:r>
      <w:r>
        <w:rPr>
          <w:sz w:val="18"/>
          <w:vertAlign w:val="baseline"/>
        </w:rPr>
        <w:t>Marriage</w:t>
      </w:r>
      <w:r>
        <w:rPr>
          <w:spacing w:val="-3"/>
          <w:sz w:val="18"/>
          <w:vertAlign w:val="baseline"/>
        </w:rPr>
        <w:t> </w:t>
      </w:r>
      <w:r>
        <w:rPr>
          <w:sz w:val="18"/>
          <w:vertAlign w:val="baseline"/>
        </w:rPr>
        <w:t>Laws</w:t>
      </w:r>
      <w:r>
        <w:rPr>
          <w:spacing w:val="-3"/>
          <w:sz w:val="18"/>
          <w:vertAlign w:val="baseline"/>
        </w:rPr>
        <w:t> </w:t>
      </w:r>
      <w:r>
        <w:rPr>
          <w:sz w:val="18"/>
          <w:vertAlign w:val="baseline"/>
        </w:rPr>
        <w:t>on</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Use</w:t>
      </w:r>
      <w:r>
        <w:rPr>
          <w:spacing w:val="-3"/>
          <w:sz w:val="18"/>
          <w:vertAlign w:val="baseline"/>
        </w:rPr>
        <w:t> </w:t>
      </w:r>
      <w:r>
        <w:rPr>
          <w:sz w:val="18"/>
          <w:vertAlign w:val="baseline"/>
        </w:rPr>
        <w:t>and</w:t>
      </w:r>
      <w:r>
        <w:rPr>
          <w:spacing w:val="-3"/>
          <w:sz w:val="18"/>
          <w:vertAlign w:val="baseline"/>
        </w:rPr>
        <w:t> </w:t>
      </w:r>
      <w:r>
        <w:rPr>
          <w:sz w:val="18"/>
          <w:vertAlign w:val="baseline"/>
        </w:rPr>
        <w:t>Expenditures</w:t>
      </w:r>
      <w:r>
        <w:rPr>
          <w:spacing w:val="-3"/>
          <w:sz w:val="18"/>
          <w:vertAlign w:val="baseline"/>
        </w:rPr>
        <w:t> </w:t>
      </w:r>
      <w:r>
        <w:rPr>
          <w:sz w:val="18"/>
          <w:vertAlign w:val="baseline"/>
        </w:rPr>
        <w:t>in</w:t>
      </w:r>
      <w:r>
        <w:rPr>
          <w:spacing w:val="-3"/>
          <w:sz w:val="18"/>
          <w:vertAlign w:val="baseline"/>
        </w:rPr>
        <w:t> </w:t>
      </w:r>
      <w:r>
        <w:rPr>
          <w:sz w:val="18"/>
          <w:vertAlign w:val="baseline"/>
        </w:rPr>
        <w:t>Sexual</w:t>
      </w:r>
      <w:r>
        <w:rPr>
          <w:spacing w:val="-4"/>
          <w:sz w:val="18"/>
          <w:vertAlign w:val="baseline"/>
        </w:rPr>
        <w:t> </w:t>
      </w:r>
      <w:r>
        <w:rPr>
          <w:sz w:val="18"/>
          <w:vertAlign w:val="baseline"/>
        </w:rPr>
        <w:t>Minority</w:t>
      </w:r>
      <w:r>
        <w:rPr>
          <w:spacing w:val="-3"/>
          <w:sz w:val="18"/>
          <w:vertAlign w:val="baseline"/>
        </w:rPr>
        <w:t> </w:t>
      </w:r>
      <w:r>
        <w:rPr>
          <w:sz w:val="18"/>
          <w:vertAlign w:val="baseline"/>
        </w:rPr>
        <w:t>Men:</w:t>
      </w:r>
      <w:r>
        <w:rPr>
          <w:spacing w:val="-3"/>
          <w:sz w:val="18"/>
          <w:vertAlign w:val="baseline"/>
        </w:rPr>
        <w:t> </w:t>
      </w:r>
      <w:r>
        <w:rPr>
          <w:sz w:val="18"/>
          <w:vertAlign w:val="baseline"/>
        </w:rPr>
        <w:t>A</w:t>
      </w:r>
      <w:r>
        <w:rPr>
          <w:spacing w:val="-3"/>
          <w:sz w:val="18"/>
          <w:vertAlign w:val="baseline"/>
        </w:rPr>
        <w:t> </w:t>
      </w:r>
      <w:r>
        <w:rPr>
          <w:sz w:val="18"/>
          <w:vertAlign w:val="baseline"/>
        </w:rPr>
        <w:t>Quasi-Natural</w:t>
      </w:r>
      <w:r>
        <w:rPr>
          <w:spacing w:val="-5"/>
          <w:sz w:val="18"/>
          <w:vertAlign w:val="baseline"/>
        </w:rPr>
        <w:t> </w:t>
      </w:r>
      <w:r>
        <w:rPr>
          <w:sz w:val="18"/>
          <w:vertAlign w:val="baseline"/>
        </w:rPr>
        <w:t>Experiment.”</w:t>
      </w:r>
      <w:r>
        <w:rPr>
          <w:spacing w:val="-3"/>
          <w:sz w:val="18"/>
          <w:vertAlign w:val="baseline"/>
        </w:rPr>
        <w:t> </w:t>
      </w:r>
      <w:r>
        <w:rPr>
          <w:i/>
          <w:sz w:val="18"/>
          <w:vertAlign w:val="baseline"/>
        </w:rPr>
        <w:t>American</w:t>
      </w:r>
      <w:r>
        <w:rPr>
          <w:i/>
          <w:spacing w:val="-3"/>
          <w:sz w:val="18"/>
          <w:vertAlign w:val="baseline"/>
        </w:rPr>
        <w:t> </w:t>
      </w:r>
      <w:r>
        <w:rPr>
          <w:i/>
          <w:sz w:val="18"/>
          <w:vertAlign w:val="baseline"/>
        </w:rPr>
        <w:t>Journal</w:t>
      </w:r>
      <w:r>
        <w:rPr>
          <w:i/>
          <w:sz w:val="18"/>
          <w:vertAlign w:val="baseline"/>
        </w:rPr>
        <w:t> of Public Health </w:t>
      </w:r>
      <w:r>
        <w:rPr>
          <w:sz w:val="18"/>
          <w:vertAlign w:val="baseline"/>
        </w:rPr>
        <w:t>102, no. 2 (February 2012): 285–91. </w:t>
      </w:r>
      <w:hyperlink r:id="rId202">
        <w:r>
          <w:rPr>
            <w:color w:val="1153CC"/>
            <w:sz w:val="18"/>
            <w:u w:val="single" w:color="1153CC"/>
            <w:vertAlign w:val="baseline"/>
          </w:rPr>
          <w:t>https://doi.org/10.2105/AJPH.2011.300382</w:t>
        </w:r>
      </w:hyperlink>
      <w:hyperlink r:id="rId202">
        <w:r>
          <w:rPr>
            <w:sz w:val="18"/>
            <w:u w:val="none"/>
            <w:vertAlign w:val="baseline"/>
          </w:rPr>
          <w:t>.</w:t>
        </w:r>
      </w:hyperlink>
    </w:p>
    <w:p>
      <w:pPr>
        <w:spacing w:before="0"/>
        <w:ind w:left="463" w:right="223" w:firstLine="0"/>
        <w:jc w:val="left"/>
        <w:rPr>
          <w:sz w:val="18"/>
        </w:rPr>
      </w:pPr>
      <w:bookmarkStart w:name="_bookmark117" w:id="273"/>
      <w:bookmarkEnd w:id="273"/>
      <w:r>
        <w:rPr/>
      </w:r>
      <w:r>
        <w:rPr>
          <w:sz w:val="18"/>
          <w:vertAlign w:val="superscript"/>
        </w:rPr>
        <w:t>15</w:t>
      </w:r>
      <w:r>
        <w:rPr>
          <w:spacing w:val="-8"/>
          <w:sz w:val="18"/>
          <w:vertAlign w:val="baseline"/>
        </w:rPr>
        <w:t> </w:t>
      </w:r>
      <w:r>
        <w:rPr>
          <w:sz w:val="18"/>
          <w:vertAlign w:val="baseline"/>
        </w:rPr>
        <w:t>Levenson, Jill S., Shelley Craig, and Ashley Austin. 2021. “Trauma-Informed and Affirmative Mental Health Practices with LGBTQ+</w:t>
      </w:r>
      <w:r>
        <w:rPr>
          <w:spacing w:val="-7"/>
          <w:sz w:val="18"/>
          <w:vertAlign w:val="baseline"/>
        </w:rPr>
        <w:t> </w:t>
      </w:r>
      <w:r>
        <w:rPr>
          <w:sz w:val="18"/>
          <w:vertAlign w:val="baseline"/>
        </w:rPr>
        <w:t>Clients.”</w:t>
      </w:r>
      <w:r>
        <w:rPr>
          <w:spacing w:val="-7"/>
          <w:sz w:val="18"/>
          <w:vertAlign w:val="baseline"/>
        </w:rPr>
        <w:t> </w:t>
      </w:r>
      <w:r>
        <w:rPr>
          <w:i/>
          <w:sz w:val="18"/>
          <w:vertAlign w:val="baseline"/>
        </w:rPr>
        <w:t>Psychological</w:t>
      </w:r>
      <w:r>
        <w:rPr>
          <w:i/>
          <w:spacing w:val="-8"/>
          <w:sz w:val="18"/>
          <w:vertAlign w:val="baseline"/>
        </w:rPr>
        <w:t> </w:t>
      </w:r>
      <w:r>
        <w:rPr>
          <w:i/>
          <w:sz w:val="18"/>
          <w:vertAlign w:val="baseline"/>
        </w:rPr>
        <w:t>Services.</w:t>
      </w:r>
      <w:r>
        <w:rPr>
          <w:i/>
          <w:spacing w:val="-7"/>
          <w:sz w:val="18"/>
          <w:vertAlign w:val="baseline"/>
        </w:rPr>
        <w:t> </w:t>
      </w:r>
      <w:hyperlink r:id="rId203">
        <w:r>
          <w:rPr>
            <w:color w:val="1153CC"/>
            <w:sz w:val="18"/>
            <w:u w:val="single" w:color="1153CC"/>
            <w:vertAlign w:val="baseline"/>
          </w:rPr>
          <w:t>https://lgbtqequity.org/wp-content/uploads/2021/06/Trauma-InformedCare-Final.pdf</w:t>
        </w:r>
      </w:hyperlink>
      <w:r>
        <w:rPr>
          <w:color w:val="1153CC"/>
          <w:spacing w:val="-7"/>
          <w:sz w:val="18"/>
          <w:u w:val="none"/>
          <w:vertAlign w:val="baseline"/>
        </w:rPr>
        <w:t> </w:t>
      </w:r>
      <w:r>
        <w:rPr>
          <w:sz w:val="18"/>
          <w:u w:val="none"/>
          <w:vertAlign w:val="superscript"/>
        </w:rPr>
        <w:t>16</w:t>
      </w:r>
      <w:r>
        <w:rPr>
          <w:sz w:val="18"/>
          <w:u w:val="none"/>
          <w:vertAlign w:val="baseline"/>
        </w:rPr>
        <w:t> Mittleman,</w:t>
      </w:r>
      <w:r>
        <w:rPr>
          <w:spacing w:val="-1"/>
          <w:sz w:val="18"/>
          <w:u w:val="none"/>
          <w:vertAlign w:val="baseline"/>
        </w:rPr>
        <w:t> </w:t>
      </w:r>
      <w:r>
        <w:rPr>
          <w:sz w:val="18"/>
          <w:u w:val="none"/>
          <w:vertAlign w:val="baseline"/>
        </w:rPr>
        <w:t>Joel. “Sexual</w:t>
      </w:r>
      <w:r>
        <w:rPr>
          <w:spacing w:val="-1"/>
          <w:sz w:val="18"/>
          <w:u w:val="none"/>
          <w:vertAlign w:val="baseline"/>
        </w:rPr>
        <w:t> </w:t>
      </w:r>
      <w:r>
        <w:rPr>
          <w:sz w:val="18"/>
          <w:u w:val="none"/>
          <w:vertAlign w:val="baseline"/>
        </w:rPr>
        <w:t>Minority Bullying and Mental</w:t>
      </w:r>
      <w:r>
        <w:rPr>
          <w:spacing w:val="-1"/>
          <w:sz w:val="18"/>
          <w:u w:val="none"/>
          <w:vertAlign w:val="baseline"/>
        </w:rPr>
        <w:t> </w:t>
      </w:r>
      <w:r>
        <w:rPr>
          <w:sz w:val="18"/>
          <w:u w:val="none"/>
          <w:vertAlign w:val="baseline"/>
        </w:rPr>
        <w:t>Health From Early Childhood Through Adolescence.” </w:t>
      </w:r>
      <w:r>
        <w:rPr>
          <w:i/>
          <w:sz w:val="18"/>
          <w:u w:val="none"/>
          <w:vertAlign w:val="baseline"/>
        </w:rPr>
        <w:t>Journal</w:t>
      </w:r>
      <w:r>
        <w:rPr>
          <w:i/>
          <w:spacing w:val="-1"/>
          <w:sz w:val="18"/>
          <w:u w:val="none"/>
          <w:vertAlign w:val="baseline"/>
        </w:rPr>
        <w:t> </w:t>
      </w:r>
      <w:r>
        <w:rPr>
          <w:i/>
          <w:sz w:val="18"/>
          <w:u w:val="none"/>
          <w:vertAlign w:val="baseline"/>
        </w:rPr>
        <w:t>of Adolescent</w:t>
      </w:r>
      <w:r>
        <w:rPr>
          <w:i/>
          <w:sz w:val="18"/>
          <w:u w:val="none"/>
          <w:vertAlign w:val="baseline"/>
        </w:rPr>
        <w:t> Health </w:t>
      </w:r>
      <w:r>
        <w:rPr>
          <w:sz w:val="18"/>
          <w:u w:val="none"/>
          <w:vertAlign w:val="baseline"/>
        </w:rPr>
        <w:t>64, no. 2 (February 2019): 172–78. </w:t>
      </w:r>
      <w:hyperlink r:id="rId204">
        <w:r>
          <w:rPr>
            <w:color w:val="1153CC"/>
            <w:sz w:val="18"/>
            <w:u w:val="single" w:color="1153CC"/>
            <w:vertAlign w:val="baseline"/>
          </w:rPr>
          <w:t>https://doi.org/10.1016/j.jadohealth.2018.08.020</w:t>
        </w:r>
      </w:hyperlink>
      <w:hyperlink r:id="rId204">
        <w:r>
          <w:rPr>
            <w:sz w:val="18"/>
            <w:u w:val="none"/>
            <w:vertAlign w:val="baseline"/>
          </w:rPr>
          <w:t>.</w:t>
        </w:r>
      </w:hyperlink>
    </w:p>
    <w:p>
      <w:pPr>
        <w:spacing w:before="0"/>
        <w:ind w:left="463" w:right="314" w:firstLine="0"/>
        <w:jc w:val="left"/>
        <w:rPr>
          <w:sz w:val="18"/>
        </w:rPr>
      </w:pPr>
      <w:bookmarkStart w:name="_bookmark118" w:id="274"/>
      <w:bookmarkEnd w:id="274"/>
      <w:r>
        <w:rPr/>
      </w:r>
      <w:r>
        <w:rPr>
          <w:sz w:val="18"/>
          <w:vertAlign w:val="superscript"/>
        </w:rPr>
        <w:t>17</w:t>
      </w:r>
      <w:r>
        <w:rPr>
          <w:spacing w:val="-13"/>
          <w:sz w:val="18"/>
          <w:vertAlign w:val="baseline"/>
        </w:rPr>
        <w:t> </w:t>
      </w:r>
      <w:r>
        <w:rPr>
          <w:sz w:val="18"/>
          <w:vertAlign w:val="baseline"/>
        </w:rPr>
        <w:t>Constance-Huggins,</w:t>
      </w:r>
      <w:r>
        <w:rPr>
          <w:spacing w:val="-4"/>
          <w:sz w:val="18"/>
          <w:vertAlign w:val="baseline"/>
        </w:rPr>
        <w:t> </w:t>
      </w:r>
      <w:r>
        <w:rPr>
          <w:sz w:val="18"/>
          <w:vertAlign w:val="baseline"/>
        </w:rPr>
        <w:t>Monique.</w:t>
      </w:r>
      <w:r>
        <w:rPr>
          <w:spacing w:val="-3"/>
          <w:sz w:val="18"/>
          <w:vertAlign w:val="baseline"/>
        </w:rPr>
        <w:t> </w:t>
      </w:r>
      <w:r>
        <w:rPr>
          <w:sz w:val="18"/>
          <w:vertAlign w:val="baseline"/>
        </w:rPr>
        <w:t>“Critical</w:t>
      </w:r>
      <w:r>
        <w:rPr>
          <w:spacing w:val="-3"/>
          <w:sz w:val="18"/>
          <w:vertAlign w:val="baseline"/>
        </w:rPr>
        <w:t> </w:t>
      </w:r>
      <w:r>
        <w:rPr>
          <w:sz w:val="18"/>
          <w:vertAlign w:val="baseline"/>
        </w:rPr>
        <w:t>Race</w:t>
      </w:r>
      <w:r>
        <w:rPr>
          <w:spacing w:val="-2"/>
          <w:sz w:val="18"/>
          <w:vertAlign w:val="baseline"/>
        </w:rPr>
        <w:t> </w:t>
      </w:r>
      <w:r>
        <w:rPr>
          <w:sz w:val="18"/>
          <w:vertAlign w:val="baseline"/>
        </w:rPr>
        <w:t>Theory</w:t>
      </w:r>
      <w:r>
        <w:rPr>
          <w:spacing w:val="-2"/>
          <w:sz w:val="18"/>
          <w:vertAlign w:val="baseline"/>
        </w:rPr>
        <w:t> </w:t>
      </w:r>
      <w:r>
        <w:rPr>
          <w:sz w:val="18"/>
          <w:vertAlign w:val="baseline"/>
        </w:rPr>
        <w:t>in</w:t>
      </w:r>
      <w:r>
        <w:rPr>
          <w:spacing w:val="-2"/>
          <w:sz w:val="18"/>
          <w:vertAlign w:val="baseline"/>
        </w:rPr>
        <w:t> </w:t>
      </w:r>
      <w:r>
        <w:rPr>
          <w:sz w:val="18"/>
          <w:vertAlign w:val="baseline"/>
        </w:rPr>
        <w:t>Social</w:t>
      </w:r>
      <w:r>
        <w:rPr>
          <w:spacing w:val="-3"/>
          <w:sz w:val="18"/>
          <w:vertAlign w:val="baseline"/>
        </w:rPr>
        <w:t> </w:t>
      </w:r>
      <w:r>
        <w:rPr>
          <w:sz w:val="18"/>
          <w:vertAlign w:val="baseline"/>
        </w:rPr>
        <w:t>Work</w:t>
      </w:r>
      <w:r>
        <w:rPr>
          <w:spacing w:val="-3"/>
          <w:sz w:val="18"/>
          <w:vertAlign w:val="baseline"/>
        </w:rPr>
        <w:t> </w:t>
      </w:r>
      <w:r>
        <w:rPr>
          <w:sz w:val="18"/>
          <w:vertAlign w:val="baseline"/>
        </w:rPr>
        <w:t>Education.”</w:t>
      </w:r>
      <w:r>
        <w:rPr>
          <w:spacing w:val="-1"/>
          <w:sz w:val="18"/>
          <w:vertAlign w:val="baseline"/>
        </w:rPr>
        <w:t> </w:t>
      </w:r>
      <w:r>
        <w:rPr>
          <w:i/>
          <w:sz w:val="18"/>
          <w:vertAlign w:val="baseline"/>
        </w:rPr>
        <w:t>Critical</w:t>
      </w:r>
      <w:r>
        <w:rPr>
          <w:i/>
          <w:spacing w:val="-3"/>
          <w:sz w:val="18"/>
          <w:vertAlign w:val="baseline"/>
        </w:rPr>
        <w:t> </w:t>
      </w:r>
      <w:r>
        <w:rPr>
          <w:i/>
          <w:sz w:val="18"/>
          <w:vertAlign w:val="baseline"/>
        </w:rPr>
        <w:t>Social</w:t>
      </w:r>
      <w:r>
        <w:rPr>
          <w:i/>
          <w:spacing w:val="-3"/>
          <w:sz w:val="18"/>
          <w:vertAlign w:val="baseline"/>
        </w:rPr>
        <w:t> </w:t>
      </w:r>
      <w:r>
        <w:rPr>
          <w:i/>
          <w:sz w:val="18"/>
          <w:vertAlign w:val="baseline"/>
        </w:rPr>
        <w:t>Work</w:t>
      </w:r>
      <w:r>
        <w:rPr>
          <w:i/>
          <w:spacing w:val="-3"/>
          <w:sz w:val="18"/>
          <w:vertAlign w:val="baseline"/>
        </w:rPr>
        <w:t> </w:t>
      </w:r>
      <w:r>
        <w:rPr>
          <w:sz w:val="18"/>
          <w:vertAlign w:val="baseline"/>
        </w:rPr>
        <w:t>13,</w:t>
      </w:r>
      <w:r>
        <w:rPr>
          <w:spacing w:val="-3"/>
          <w:sz w:val="18"/>
          <w:vertAlign w:val="baseline"/>
        </w:rPr>
        <w:t> </w:t>
      </w:r>
      <w:r>
        <w:rPr>
          <w:sz w:val="18"/>
          <w:vertAlign w:val="baseline"/>
        </w:rPr>
        <w:t>no.</w:t>
      </w:r>
      <w:r>
        <w:rPr>
          <w:spacing w:val="-2"/>
          <w:sz w:val="18"/>
          <w:vertAlign w:val="baseline"/>
        </w:rPr>
        <w:t> </w:t>
      </w:r>
      <w:r>
        <w:rPr>
          <w:sz w:val="18"/>
          <w:vertAlign w:val="baseline"/>
        </w:rPr>
        <w:t>2</w:t>
      </w:r>
      <w:r>
        <w:rPr>
          <w:spacing w:val="-2"/>
          <w:sz w:val="18"/>
          <w:vertAlign w:val="baseline"/>
        </w:rPr>
        <w:t> </w:t>
      </w:r>
      <w:r>
        <w:rPr>
          <w:sz w:val="18"/>
          <w:vertAlign w:val="baseline"/>
        </w:rPr>
        <w:t>(May</w:t>
      </w:r>
      <w:r>
        <w:rPr>
          <w:spacing w:val="-2"/>
          <w:sz w:val="18"/>
          <w:vertAlign w:val="baseline"/>
        </w:rPr>
        <w:t> </w:t>
      </w:r>
      <w:r>
        <w:rPr>
          <w:sz w:val="18"/>
          <w:vertAlign w:val="baseline"/>
        </w:rPr>
        <w:t>29,</w:t>
      </w:r>
      <w:r>
        <w:rPr>
          <w:spacing w:val="-3"/>
          <w:sz w:val="18"/>
          <w:vertAlign w:val="baseline"/>
        </w:rPr>
        <w:t> </w:t>
      </w:r>
      <w:r>
        <w:rPr>
          <w:sz w:val="18"/>
          <w:vertAlign w:val="baseline"/>
        </w:rPr>
        <w:t>2019). </w:t>
      </w:r>
      <w:hyperlink r:id="rId205">
        <w:r>
          <w:rPr>
            <w:color w:val="1153CC"/>
            <w:spacing w:val="-2"/>
            <w:sz w:val="18"/>
            <w:u w:val="single" w:color="1153CC"/>
            <w:vertAlign w:val="baseline"/>
          </w:rPr>
          <w:t>https://doi.org/10.22329/csw.v13i2.5861</w:t>
        </w:r>
      </w:hyperlink>
      <w:hyperlink r:id="rId205">
        <w:r>
          <w:rPr>
            <w:spacing w:val="-2"/>
            <w:sz w:val="18"/>
            <w:u w:val="none"/>
            <w:vertAlign w:val="baseline"/>
          </w:rPr>
          <w:t>.</w:t>
        </w:r>
      </w:hyperlink>
    </w:p>
    <w:p>
      <w:pPr>
        <w:spacing w:before="0"/>
        <w:ind w:left="463" w:right="350" w:hanging="1"/>
        <w:jc w:val="left"/>
        <w:rPr>
          <w:sz w:val="18"/>
        </w:rPr>
      </w:pPr>
      <w:bookmarkStart w:name="_bookmark119" w:id="275"/>
      <w:bookmarkEnd w:id="275"/>
      <w:r>
        <w:rPr/>
      </w:r>
      <w:r>
        <w:rPr>
          <w:sz w:val="18"/>
          <w:vertAlign w:val="superscript"/>
        </w:rPr>
        <w:t>18</w:t>
      </w:r>
      <w:r>
        <w:rPr>
          <w:spacing w:val="-13"/>
          <w:sz w:val="18"/>
          <w:vertAlign w:val="baseline"/>
        </w:rPr>
        <w:t> </w:t>
      </w:r>
      <w:r>
        <w:rPr>
          <w:sz w:val="18"/>
          <w:vertAlign w:val="baseline"/>
        </w:rPr>
        <w:t>Kosciw,</w:t>
      </w:r>
      <w:r>
        <w:rPr>
          <w:spacing w:val="-4"/>
          <w:sz w:val="18"/>
          <w:vertAlign w:val="baseline"/>
        </w:rPr>
        <w:t> </w:t>
      </w:r>
      <w:r>
        <w:rPr>
          <w:sz w:val="18"/>
          <w:vertAlign w:val="baseline"/>
        </w:rPr>
        <w:t>Joseph,</w:t>
      </w:r>
      <w:r>
        <w:rPr>
          <w:spacing w:val="-3"/>
          <w:sz w:val="18"/>
          <w:vertAlign w:val="baseline"/>
        </w:rPr>
        <w:t> </w:t>
      </w:r>
      <w:r>
        <w:rPr>
          <w:sz w:val="18"/>
          <w:vertAlign w:val="baseline"/>
        </w:rPr>
        <w:t>Caitlin</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Youth in Our Nation’s Schools” (New York: Gay, Lesbian and Straight Education Network, 2022), </w:t>
      </w:r>
      <w:hyperlink r:id="rId206">
        <w:r>
          <w:rPr>
            <w:color w:val="1153CC"/>
            <w:spacing w:val="-2"/>
            <w:sz w:val="18"/>
            <w:u w:val="single" w:color="1153CC"/>
            <w:vertAlign w:val="baseline"/>
          </w:rPr>
          <w:t>https://www.glsen.org/sites/default/files/2022-10/NSCS-2021-Full-Report.pd</w:t>
        </w:r>
      </w:hyperlink>
      <w:hyperlink r:id="rId206">
        <w:r>
          <w:rPr>
            <w:color w:val="1153CC"/>
            <w:spacing w:val="-2"/>
            <w:sz w:val="18"/>
            <w:u w:val="single" w:color="1153CC"/>
            <w:vertAlign w:val="baseline"/>
          </w:rPr>
          <w:t>f</w:t>
        </w:r>
        <w:r>
          <w:rPr>
            <w:spacing w:val="-2"/>
            <w:sz w:val="18"/>
            <w:u w:val="none"/>
            <w:vertAlign w:val="baseline"/>
          </w:rPr>
          <w:t>.</w:t>
        </w:r>
      </w:hyperlink>
    </w:p>
    <w:p>
      <w:pPr>
        <w:spacing w:before="0"/>
        <w:ind w:left="463" w:right="463" w:hanging="1"/>
        <w:jc w:val="both"/>
        <w:rPr>
          <w:sz w:val="18"/>
        </w:rPr>
      </w:pPr>
      <w:bookmarkStart w:name="_bookmark120" w:id="276"/>
      <w:bookmarkEnd w:id="276"/>
      <w:r>
        <w:rPr/>
      </w:r>
      <w:r>
        <w:rPr>
          <w:sz w:val="18"/>
          <w:vertAlign w:val="superscript"/>
        </w:rPr>
        <w:t>19</w:t>
      </w:r>
      <w:r>
        <w:rPr>
          <w:spacing w:val="-11"/>
          <w:sz w:val="18"/>
          <w:vertAlign w:val="baseline"/>
        </w:rPr>
        <w:t> </w:t>
      </w:r>
      <w:r>
        <w:rPr>
          <w:sz w:val="18"/>
          <w:vertAlign w:val="baseline"/>
        </w:rPr>
        <w:t>Castro-Ramirez,</w:t>
      </w:r>
      <w:r>
        <w:rPr>
          <w:spacing w:val="-7"/>
          <w:sz w:val="18"/>
          <w:vertAlign w:val="baseline"/>
        </w:rPr>
        <w:t> </w:t>
      </w:r>
      <w:r>
        <w:rPr>
          <w:sz w:val="18"/>
          <w:vertAlign w:val="baseline"/>
        </w:rPr>
        <w:t>Franckie,</w:t>
      </w:r>
      <w:r>
        <w:rPr>
          <w:spacing w:val="-3"/>
          <w:sz w:val="18"/>
          <w:vertAlign w:val="baseline"/>
        </w:rPr>
        <w:t> </w:t>
      </w:r>
      <w:r>
        <w:rPr>
          <w:sz w:val="18"/>
          <w:vertAlign w:val="baseline"/>
        </w:rPr>
        <w:t>Maha</w:t>
      </w:r>
      <w:r>
        <w:rPr>
          <w:spacing w:val="-2"/>
          <w:sz w:val="18"/>
          <w:vertAlign w:val="baseline"/>
        </w:rPr>
        <w:t> </w:t>
      </w:r>
      <w:r>
        <w:rPr>
          <w:sz w:val="18"/>
          <w:vertAlign w:val="baseline"/>
        </w:rPr>
        <w:t>Al-Suwaidi,</w:t>
      </w:r>
      <w:r>
        <w:rPr>
          <w:spacing w:val="-3"/>
          <w:sz w:val="18"/>
          <w:vertAlign w:val="baseline"/>
        </w:rPr>
        <w:t> </w:t>
      </w:r>
      <w:r>
        <w:rPr>
          <w:sz w:val="18"/>
          <w:vertAlign w:val="baseline"/>
        </w:rPr>
        <w:t>Pedro</w:t>
      </w:r>
      <w:r>
        <w:rPr>
          <w:spacing w:val="-2"/>
          <w:sz w:val="18"/>
          <w:vertAlign w:val="baseline"/>
        </w:rPr>
        <w:t> </w:t>
      </w:r>
      <w:r>
        <w:rPr>
          <w:sz w:val="18"/>
          <w:vertAlign w:val="baseline"/>
        </w:rPr>
        <w:t>Garcia,</w:t>
      </w:r>
      <w:r>
        <w:rPr>
          <w:spacing w:val="-3"/>
          <w:sz w:val="18"/>
          <w:vertAlign w:val="baseline"/>
        </w:rPr>
        <w:t> </w:t>
      </w:r>
      <w:r>
        <w:rPr>
          <w:sz w:val="18"/>
          <w:vertAlign w:val="baseline"/>
        </w:rPr>
        <w:t>Osiris</w:t>
      </w:r>
      <w:r>
        <w:rPr>
          <w:spacing w:val="-2"/>
          <w:sz w:val="18"/>
          <w:vertAlign w:val="baseline"/>
        </w:rPr>
        <w:t> </w:t>
      </w:r>
      <w:r>
        <w:rPr>
          <w:sz w:val="18"/>
          <w:vertAlign w:val="baseline"/>
        </w:rPr>
        <w:t>Rankin,</w:t>
      </w:r>
      <w:r>
        <w:rPr>
          <w:spacing w:val="-3"/>
          <w:sz w:val="18"/>
          <w:vertAlign w:val="baseline"/>
        </w:rPr>
        <w:t> </w:t>
      </w:r>
      <w:r>
        <w:rPr>
          <w:sz w:val="18"/>
          <w:vertAlign w:val="baseline"/>
        </w:rPr>
        <w:t>Jordyn</w:t>
      </w:r>
      <w:r>
        <w:rPr>
          <w:spacing w:val="-2"/>
          <w:sz w:val="18"/>
          <w:vertAlign w:val="baseline"/>
        </w:rPr>
        <w:t> </w:t>
      </w:r>
      <w:r>
        <w:rPr>
          <w:sz w:val="18"/>
          <w:vertAlign w:val="baseline"/>
        </w:rPr>
        <w:t>R.</w:t>
      </w:r>
      <w:r>
        <w:rPr>
          <w:spacing w:val="-2"/>
          <w:sz w:val="18"/>
          <w:vertAlign w:val="baseline"/>
        </w:rPr>
        <w:t> </w:t>
      </w:r>
      <w:r>
        <w:rPr>
          <w:sz w:val="18"/>
          <w:vertAlign w:val="baseline"/>
        </w:rPr>
        <w:t>Ricard,</w:t>
      </w:r>
      <w:r>
        <w:rPr>
          <w:spacing w:val="-3"/>
          <w:sz w:val="18"/>
          <w:vertAlign w:val="baseline"/>
        </w:rPr>
        <w:t> </w:t>
      </w:r>
      <w:r>
        <w:rPr>
          <w:sz w:val="18"/>
          <w:vertAlign w:val="baseline"/>
        </w:rPr>
        <w:t>and</w:t>
      </w:r>
      <w:r>
        <w:rPr>
          <w:spacing w:val="-2"/>
          <w:sz w:val="18"/>
          <w:vertAlign w:val="baseline"/>
        </w:rPr>
        <w:t> </w:t>
      </w:r>
      <w:r>
        <w:rPr>
          <w:sz w:val="18"/>
          <w:vertAlign w:val="baseline"/>
        </w:rPr>
        <w:t>Matthew</w:t>
      </w:r>
      <w:r>
        <w:rPr>
          <w:spacing w:val="-3"/>
          <w:sz w:val="18"/>
          <w:vertAlign w:val="baseline"/>
        </w:rPr>
        <w:t> </w:t>
      </w:r>
      <w:r>
        <w:rPr>
          <w:sz w:val="18"/>
          <w:vertAlign w:val="baseline"/>
        </w:rPr>
        <w:t>K.</w:t>
      </w:r>
      <w:r>
        <w:rPr>
          <w:spacing w:val="-2"/>
          <w:sz w:val="18"/>
          <w:vertAlign w:val="baseline"/>
        </w:rPr>
        <w:t> </w:t>
      </w:r>
      <w:r>
        <w:rPr>
          <w:sz w:val="18"/>
          <w:vertAlign w:val="baseline"/>
        </w:rPr>
        <w:t>Nock.</w:t>
      </w:r>
      <w:r>
        <w:rPr>
          <w:spacing w:val="-2"/>
          <w:sz w:val="18"/>
          <w:vertAlign w:val="baseline"/>
        </w:rPr>
        <w:t> </w:t>
      </w:r>
      <w:r>
        <w:rPr>
          <w:sz w:val="18"/>
          <w:vertAlign w:val="baseline"/>
        </w:rPr>
        <w:t>“Racism</w:t>
      </w:r>
      <w:r>
        <w:rPr>
          <w:spacing w:val="-2"/>
          <w:sz w:val="18"/>
          <w:vertAlign w:val="baseline"/>
        </w:rPr>
        <w:t> </w:t>
      </w:r>
      <w:r>
        <w:rPr>
          <w:sz w:val="18"/>
          <w:vertAlign w:val="baseline"/>
        </w:rPr>
        <w:t>and Poverty Are Barriers to the Treatment</w:t>
      </w:r>
      <w:r>
        <w:rPr>
          <w:spacing w:val="-1"/>
          <w:sz w:val="18"/>
          <w:vertAlign w:val="baseline"/>
        </w:rPr>
        <w:t> </w:t>
      </w:r>
      <w:r>
        <w:rPr>
          <w:sz w:val="18"/>
          <w:vertAlign w:val="baseline"/>
        </w:rPr>
        <w:t>of Youth</w:t>
      </w:r>
      <w:r>
        <w:rPr>
          <w:spacing w:val="-1"/>
          <w:sz w:val="18"/>
          <w:vertAlign w:val="baseline"/>
        </w:rPr>
        <w:t> </w:t>
      </w:r>
      <w:r>
        <w:rPr>
          <w:sz w:val="18"/>
          <w:vertAlign w:val="baseline"/>
        </w:rPr>
        <w:t>Mental</w:t>
      </w:r>
      <w:r>
        <w:rPr>
          <w:spacing w:val="-1"/>
          <w:sz w:val="18"/>
          <w:vertAlign w:val="baseline"/>
        </w:rPr>
        <w:t> </w:t>
      </w:r>
      <w:r>
        <w:rPr>
          <w:sz w:val="18"/>
          <w:vertAlign w:val="baseline"/>
        </w:rPr>
        <w:t>Health Concerns.” </w:t>
      </w:r>
      <w:r>
        <w:rPr>
          <w:i/>
          <w:sz w:val="18"/>
          <w:vertAlign w:val="baseline"/>
        </w:rPr>
        <w:t>Journal</w:t>
      </w:r>
      <w:r>
        <w:rPr>
          <w:i/>
          <w:spacing w:val="-1"/>
          <w:sz w:val="18"/>
          <w:vertAlign w:val="baseline"/>
        </w:rPr>
        <w:t> </w:t>
      </w:r>
      <w:r>
        <w:rPr>
          <w:i/>
          <w:sz w:val="18"/>
          <w:vertAlign w:val="baseline"/>
        </w:rPr>
        <w:t>of Clinical</w:t>
      </w:r>
      <w:r>
        <w:rPr>
          <w:i/>
          <w:spacing w:val="-1"/>
          <w:sz w:val="18"/>
          <w:vertAlign w:val="baseline"/>
        </w:rPr>
        <w:t> </w:t>
      </w:r>
      <w:r>
        <w:rPr>
          <w:i/>
          <w:sz w:val="18"/>
          <w:vertAlign w:val="baseline"/>
        </w:rPr>
        <w:t>Child &amp;</w:t>
      </w:r>
      <w:r>
        <w:rPr>
          <w:i/>
          <w:spacing w:val="-1"/>
          <w:sz w:val="18"/>
          <w:vertAlign w:val="baseline"/>
        </w:rPr>
        <w:t> </w:t>
      </w:r>
      <w:r>
        <w:rPr>
          <w:i/>
          <w:sz w:val="18"/>
          <w:vertAlign w:val="baseline"/>
        </w:rPr>
        <w:t>Adolescent Psychology </w:t>
      </w:r>
      <w:r>
        <w:rPr>
          <w:sz w:val="18"/>
          <w:vertAlign w:val="baseline"/>
        </w:rPr>
        <w:t>50, no. 4 (July 4, 2021): 534–46. </w:t>
      </w:r>
      <w:hyperlink r:id="rId207">
        <w:r>
          <w:rPr>
            <w:color w:val="1153CC"/>
            <w:sz w:val="18"/>
            <w:u w:val="single" w:color="1153CC"/>
            <w:vertAlign w:val="baseline"/>
          </w:rPr>
          <w:t>https://doi.org/10.1080/15374416.2021.1941058</w:t>
        </w:r>
      </w:hyperlink>
      <w:hyperlink r:id="rId207">
        <w:r>
          <w:rPr>
            <w:sz w:val="18"/>
            <w:u w:val="none"/>
            <w:vertAlign w:val="baseline"/>
          </w:rPr>
          <w:t>.</w:t>
        </w:r>
      </w:hyperlink>
    </w:p>
    <w:p>
      <w:pPr>
        <w:spacing w:after="0"/>
        <w:jc w:val="both"/>
        <w:rPr>
          <w:sz w:val="18"/>
        </w:rPr>
        <w:sectPr>
          <w:pgSz w:w="12240" w:h="15840"/>
          <w:pgMar w:header="804" w:footer="1390" w:top="1080" w:bottom="1620" w:left="980" w:right="1080"/>
        </w:sectPr>
      </w:pPr>
    </w:p>
    <w:p>
      <w:pPr>
        <w:spacing w:before="68"/>
        <w:ind w:left="463" w:right="314" w:hanging="1"/>
        <w:jc w:val="left"/>
        <w:rPr>
          <w:sz w:val="18"/>
        </w:rPr>
      </w:pPr>
      <w:bookmarkStart w:name="_bookmark121" w:id="277"/>
      <w:bookmarkEnd w:id="277"/>
      <w:r>
        <w:rPr/>
      </w:r>
      <w:r>
        <w:rPr>
          <w:sz w:val="18"/>
          <w:vertAlign w:val="superscript"/>
        </w:rPr>
        <w:t>20</w:t>
      </w:r>
      <w:r>
        <w:rPr>
          <w:spacing w:val="-13"/>
          <w:sz w:val="18"/>
          <w:vertAlign w:val="baseline"/>
        </w:rPr>
        <w:t> </w:t>
      </w:r>
      <w:r>
        <w:rPr>
          <w:sz w:val="18"/>
          <w:vertAlign w:val="baseline"/>
        </w:rPr>
        <w:t>Fadus,</w:t>
      </w:r>
      <w:r>
        <w:rPr>
          <w:spacing w:val="-4"/>
          <w:sz w:val="18"/>
          <w:vertAlign w:val="baseline"/>
        </w:rPr>
        <w:t> </w:t>
      </w:r>
      <w:r>
        <w:rPr>
          <w:sz w:val="18"/>
          <w:vertAlign w:val="baseline"/>
        </w:rPr>
        <w:t>Matthew</w:t>
      </w:r>
      <w:r>
        <w:rPr>
          <w:spacing w:val="-3"/>
          <w:sz w:val="18"/>
          <w:vertAlign w:val="baseline"/>
        </w:rPr>
        <w:t> </w:t>
      </w:r>
      <w:r>
        <w:rPr>
          <w:sz w:val="18"/>
          <w:vertAlign w:val="baseline"/>
        </w:rPr>
        <w:t>C.,</w:t>
      </w:r>
      <w:r>
        <w:rPr>
          <w:spacing w:val="-3"/>
          <w:sz w:val="18"/>
          <w:vertAlign w:val="baseline"/>
        </w:rPr>
        <w:t> </w:t>
      </w:r>
      <w:r>
        <w:rPr>
          <w:sz w:val="18"/>
          <w:vertAlign w:val="baseline"/>
        </w:rPr>
        <w:t>Kenneth</w:t>
      </w:r>
      <w:r>
        <w:rPr>
          <w:spacing w:val="-2"/>
          <w:sz w:val="18"/>
          <w:vertAlign w:val="baseline"/>
        </w:rPr>
        <w:t> </w:t>
      </w:r>
      <w:r>
        <w:rPr>
          <w:sz w:val="18"/>
          <w:vertAlign w:val="baseline"/>
        </w:rPr>
        <w:t>R.</w:t>
      </w:r>
      <w:r>
        <w:rPr>
          <w:spacing w:val="-3"/>
          <w:sz w:val="18"/>
          <w:vertAlign w:val="baseline"/>
        </w:rPr>
        <w:t> </w:t>
      </w:r>
      <w:r>
        <w:rPr>
          <w:sz w:val="18"/>
          <w:vertAlign w:val="baseline"/>
        </w:rPr>
        <w:t>Ginsburg,</w:t>
      </w:r>
      <w:r>
        <w:rPr>
          <w:spacing w:val="-3"/>
          <w:sz w:val="18"/>
          <w:vertAlign w:val="baseline"/>
        </w:rPr>
        <w:t> </w:t>
      </w:r>
      <w:r>
        <w:rPr>
          <w:sz w:val="18"/>
          <w:vertAlign w:val="baseline"/>
        </w:rPr>
        <w:t>Kunmi</w:t>
      </w:r>
      <w:r>
        <w:rPr>
          <w:spacing w:val="-3"/>
          <w:sz w:val="18"/>
          <w:vertAlign w:val="baseline"/>
        </w:rPr>
        <w:t> </w:t>
      </w:r>
      <w:r>
        <w:rPr>
          <w:sz w:val="18"/>
          <w:vertAlign w:val="baseline"/>
        </w:rPr>
        <w:t>Sobowale,</w:t>
      </w:r>
      <w:r>
        <w:rPr>
          <w:spacing w:val="-3"/>
          <w:sz w:val="18"/>
          <w:vertAlign w:val="baseline"/>
        </w:rPr>
        <w:t> </w:t>
      </w:r>
      <w:r>
        <w:rPr>
          <w:sz w:val="18"/>
          <w:vertAlign w:val="baseline"/>
        </w:rPr>
        <w:t>Colleen</w:t>
      </w:r>
      <w:r>
        <w:rPr>
          <w:spacing w:val="-2"/>
          <w:sz w:val="18"/>
          <w:vertAlign w:val="baseline"/>
        </w:rPr>
        <w:t> </w:t>
      </w:r>
      <w:r>
        <w:rPr>
          <w:sz w:val="18"/>
          <w:vertAlign w:val="baseline"/>
        </w:rPr>
        <w:t>A.</w:t>
      </w:r>
      <w:r>
        <w:rPr>
          <w:spacing w:val="-2"/>
          <w:sz w:val="18"/>
          <w:vertAlign w:val="baseline"/>
        </w:rPr>
        <w:t> </w:t>
      </w:r>
      <w:r>
        <w:rPr>
          <w:sz w:val="18"/>
          <w:vertAlign w:val="baseline"/>
        </w:rPr>
        <w:t>Halliday-Boykins,</w:t>
      </w:r>
      <w:r>
        <w:rPr>
          <w:spacing w:val="-3"/>
          <w:sz w:val="18"/>
          <w:vertAlign w:val="baseline"/>
        </w:rPr>
        <w:t> </w:t>
      </w:r>
      <w:r>
        <w:rPr>
          <w:sz w:val="18"/>
          <w:vertAlign w:val="baseline"/>
        </w:rPr>
        <w:t>Brittany</w:t>
      </w:r>
      <w:r>
        <w:rPr>
          <w:spacing w:val="-2"/>
          <w:sz w:val="18"/>
          <w:vertAlign w:val="baseline"/>
        </w:rPr>
        <w:t> </w:t>
      </w:r>
      <w:r>
        <w:rPr>
          <w:sz w:val="18"/>
          <w:vertAlign w:val="baseline"/>
        </w:rPr>
        <w:t>E.</w:t>
      </w:r>
      <w:r>
        <w:rPr>
          <w:spacing w:val="-2"/>
          <w:sz w:val="18"/>
          <w:vertAlign w:val="baseline"/>
        </w:rPr>
        <w:t> </w:t>
      </w:r>
      <w:r>
        <w:rPr>
          <w:sz w:val="18"/>
          <w:vertAlign w:val="baseline"/>
        </w:rPr>
        <w:t>Bryant,</w:t>
      </w:r>
      <w:r>
        <w:rPr>
          <w:spacing w:val="-3"/>
          <w:sz w:val="18"/>
          <w:vertAlign w:val="baseline"/>
        </w:rPr>
        <w:t> </w:t>
      </w:r>
      <w:r>
        <w:rPr>
          <w:sz w:val="18"/>
          <w:vertAlign w:val="baseline"/>
        </w:rPr>
        <w:t>Kevin</w:t>
      </w:r>
      <w:r>
        <w:rPr>
          <w:spacing w:val="-2"/>
          <w:sz w:val="18"/>
          <w:vertAlign w:val="baseline"/>
        </w:rPr>
        <w:t> </w:t>
      </w:r>
      <w:r>
        <w:rPr>
          <w:sz w:val="18"/>
          <w:vertAlign w:val="baseline"/>
        </w:rPr>
        <w:t>M.</w:t>
      </w:r>
      <w:r>
        <w:rPr>
          <w:spacing w:val="-2"/>
          <w:sz w:val="18"/>
          <w:vertAlign w:val="baseline"/>
        </w:rPr>
        <w:t> </w:t>
      </w:r>
      <w:r>
        <w:rPr>
          <w:sz w:val="18"/>
          <w:vertAlign w:val="baseline"/>
        </w:rPr>
        <w:t>Gray,</w:t>
      </w:r>
      <w:r>
        <w:rPr>
          <w:spacing w:val="-3"/>
          <w:sz w:val="18"/>
          <w:vertAlign w:val="baseline"/>
        </w:rPr>
        <w:t> </w:t>
      </w:r>
      <w:r>
        <w:rPr>
          <w:sz w:val="18"/>
          <w:vertAlign w:val="baseline"/>
        </w:rPr>
        <w:t>and Lindsay M. Squeglia. “Unconscious Bias and the Diagnosis of Disruptive Behavior Disorders and ADHD in African American and Hispanic Youth.” </w:t>
      </w:r>
      <w:r>
        <w:rPr>
          <w:i/>
          <w:sz w:val="18"/>
          <w:vertAlign w:val="baseline"/>
        </w:rPr>
        <w:t>Academic Psychiatry </w:t>
      </w:r>
      <w:r>
        <w:rPr>
          <w:sz w:val="18"/>
          <w:vertAlign w:val="baseline"/>
        </w:rPr>
        <w:t>44, no. 1 (February 2020): 95–102. </w:t>
      </w:r>
      <w:hyperlink r:id="rId208">
        <w:r>
          <w:rPr>
            <w:color w:val="1153CC"/>
            <w:sz w:val="18"/>
            <w:u w:val="single" w:color="1153CC"/>
            <w:vertAlign w:val="baseline"/>
          </w:rPr>
          <w:t>https://doi.org/10.1007/s40596-019-01127-6</w:t>
        </w:r>
      </w:hyperlink>
      <w:hyperlink r:id="rId208">
        <w:r>
          <w:rPr>
            <w:sz w:val="18"/>
            <w:u w:val="none"/>
            <w:vertAlign w:val="baseline"/>
          </w:rPr>
          <w:t>.</w:t>
        </w:r>
      </w:hyperlink>
    </w:p>
    <w:p>
      <w:pPr>
        <w:spacing w:before="0"/>
        <w:ind w:left="463" w:right="326" w:firstLine="0"/>
        <w:jc w:val="left"/>
        <w:rPr>
          <w:sz w:val="18"/>
        </w:rPr>
      </w:pPr>
      <w:bookmarkStart w:name="_bookmark122" w:id="278"/>
      <w:bookmarkEnd w:id="278"/>
      <w:r>
        <w:rPr/>
      </w:r>
      <w:r>
        <w:rPr>
          <w:sz w:val="18"/>
          <w:vertAlign w:val="superscript"/>
        </w:rPr>
        <w:t>21</w:t>
      </w:r>
      <w:r>
        <w:rPr>
          <w:spacing w:val="-14"/>
          <w:sz w:val="18"/>
          <w:vertAlign w:val="baseline"/>
        </w:rPr>
        <w:t> </w:t>
      </w:r>
      <w:r>
        <w:rPr>
          <w:sz w:val="18"/>
          <w:vertAlign w:val="baseline"/>
        </w:rPr>
        <w:t>Pattisapu,</w:t>
      </w:r>
      <w:r>
        <w:rPr>
          <w:spacing w:val="-4"/>
          <w:sz w:val="18"/>
          <w:vertAlign w:val="baseline"/>
        </w:rPr>
        <w:t> </w:t>
      </w:r>
      <w:r>
        <w:rPr>
          <w:sz w:val="18"/>
          <w:vertAlign w:val="baseline"/>
        </w:rPr>
        <w:t>Krishna.</w:t>
      </w:r>
      <w:r>
        <w:rPr>
          <w:spacing w:val="-2"/>
          <w:sz w:val="18"/>
          <w:vertAlign w:val="baseline"/>
        </w:rPr>
        <w:t> </w:t>
      </w:r>
      <w:r>
        <w:rPr>
          <w:sz w:val="18"/>
          <w:vertAlign w:val="baseline"/>
        </w:rPr>
        <w:t>“The</w:t>
      </w:r>
      <w:r>
        <w:rPr>
          <w:spacing w:val="-3"/>
          <w:sz w:val="18"/>
          <w:vertAlign w:val="baseline"/>
        </w:rPr>
        <w:t> </w:t>
      </w:r>
      <w:r>
        <w:rPr>
          <w:sz w:val="18"/>
          <w:vertAlign w:val="baseline"/>
        </w:rPr>
        <w:t>Necessity</w:t>
      </w:r>
      <w:r>
        <w:rPr>
          <w:spacing w:val="-2"/>
          <w:sz w:val="18"/>
          <w:vertAlign w:val="baseline"/>
        </w:rPr>
        <w:t> </w:t>
      </w:r>
      <w:r>
        <w:rPr>
          <w:sz w:val="18"/>
          <w:vertAlign w:val="baseline"/>
        </w:rPr>
        <w:t>of</w:t>
      </w:r>
      <w:r>
        <w:rPr>
          <w:spacing w:val="-2"/>
          <w:sz w:val="18"/>
          <w:vertAlign w:val="baseline"/>
        </w:rPr>
        <w:t> </w:t>
      </w:r>
      <w:r>
        <w:rPr>
          <w:sz w:val="18"/>
          <w:vertAlign w:val="baseline"/>
        </w:rPr>
        <w:t>Intentionally</w:t>
      </w:r>
      <w:r>
        <w:rPr>
          <w:spacing w:val="-2"/>
          <w:sz w:val="18"/>
          <w:vertAlign w:val="baseline"/>
        </w:rPr>
        <w:t> </w:t>
      </w:r>
      <w:r>
        <w:rPr>
          <w:sz w:val="18"/>
          <w:vertAlign w:val="baseline"/>
        </w:rPr>
        <w:t>Closed</w:t>
      </w:r>
      <w:r>
        <w:rPr>
          <w:spacing w:val="-2"/>
          <w:sz w:val="18"/>
          <w:vertAlign w:val="baseline"/>
        </w:rPr>
        <w:t> </w:t>
      </w:r>
      <w:r>
        <w:rPr>
          <w:sz w:val="18"/>
          <w:vertAlign w:val="baseline"/>
        </w:rPr>
        <w:t>Spaces</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2"/>
          <w:sz w:val="18"/>
          <w:vertAlign w:val="baseline"/>
        </w:rPr>
        <w:t> </w:t>
      </w:r>
      <w:r>
        <w:rPr>
          <w:sz w:val="18"/>
          <w:vertAlign w:val="baseline"/>
        </w:rPr>
        <w:t>of</w:t>
      </w:r>
      <w:r>
        <w:rPr>
          <w:spacing w:val="-2"/>
          <w:sz w:val="18"/>
          <w:vertAlign w:val="baseline"/>
        </w:rPr>
        <w:t> </w:t>
      </w:r>
      <w:r>
        <w:rPr>
          <w:sz w:val="18"/>
          <w:vertAlign w:val="baseline"/>
        </w:rPr>
        <w:t>Color.”</w:t>
      </w:r>
      <w:r>
        <w:rPr>
          <w:spacing w:val="-2"/>
          <w:sz w:val="18"/>
          <w:vertAlign w:val="baseline"/>
        </w:rPr>
        <w:t> </w:t>
      </w:r>
      <w:r>
        <w:rPr>
          <w:i/>
          <w:sz w:val="18"/>
          <w:vertAlign w:val="baseline"/>
        </w:rPr>
        <w:t>The</w:t>
      </w:r>
      <w:r>
        <w:rPr>
          <w:i/>
          <w:spacing w:val="-2"/>
          <w:sz w:val="18"/>
          <w:vertAlign w:val="baseline"/>
        </w:rPr>
        <w:t> </w:t>
      </w:r>
      <w:r>
        <w:rPr>
          <w:i/>
          <w:sz w:val="18"/>
          <w:vertAlign w:val="baseline"/>
        </w:rPr>
        <w:t>Assembly:</w:t>
      </w:r>
      <w:r>
        <w:rPr>
          <w:i/>
          <w:spacing w:val="-2"/>
          <w:sz w:val="18"/>
          <w:vertAlign w:val="baseline"/>
        </w:rPr>
        <w:t> </w:t>
      </w:r>
      <w:r>
        <w:rPr>
          <w:i/>
          <w:sz w:val="18"/>
          <w:vertAlign w:val="baseline"/>
        </w:rPr>
        <w:t>A</w:t>
      </w:r>
      <w:r>
        <w:rPr>
          <w:i/>
          <w:spacing w:val="-2"/>
          <w:sz w:val="18"/>
          <w:vertAlign w:val="baseline"/>
        </w:rPr>
        <w:t> </w:t>
      </w:r>
      <w:r>
        <w:rPr>
          <w:i/>
          <w:sz w:val="18"/>
          <w:vertAlign w:val="baseline"/>
        </w:rPr>
        <w:t>Journal</w:t>
      </w:r>
      <w:r>
        <w:rPr>
          <w:i/>
          <w:spacing w:val="-3"/>
          <w:sz w:val="18"/>
          <w:vertAlign w:val="baseline"/>
        </w:rPr>
        <w:t> </w:t>
      </w:r>
      <w:r>
        <w:rPr>
          <w:i/>
          <w:sz w:val="18"/>
          <w:vertAlign w:val="baseline"/>
        </w:rPr>
        <w:t>for</w:t>
      </w:r>
      <w:r>
        <w:rPr>
          <w:i/>
          <w:spacing w:val="-3"/>
          <w:sz w:val="18"/>
          <w:vertAlign w:val="baseline"/>
        </w:rPr>
        <w:t> </w:t>
      </w:r>
      <w:r>
        <w:rPr>
          <w:i/>
          <w:sz w:val="18"/>
          <w:vertAlign w:val="baseline"/>
        </w:rPr>
        <w:t>Public</w:t>
      </w:r>
      <w:r>
        <w:rPr>
          <w:i/>
          <w:sz w:val="18"/>
          <w:vertAlign w:val="baseline"/>
        </w:rPr>
        <w:t> Scholarship on Education </w:t>
      </w:r>
      <w:r>
        <w:rPr>
          <w:sz w:val="18"/>
          <w:vertAlign w:val="baseline"/>
        </w:rPr>
        <w:t>2. June 30, 2019. </w:t>
      </w:r>
      <w:hyperlink r:id="rId209">
        <w:r>
          <w:rPr>
            <w:color w:val="1153CC"/>
            <w:sz w:val="18"/>
            <w:u w:val="single" w:color="1153CC"/>
            <w:vertAlign w:val="baseline"/>
          </w:rPr>
          <w:t>http://www.colorado.edu/journal/assembly/2019/06/30/necessity-</w:t>
        </w:r>
      </w:hyperlink>
      <w:r>
        <w:rPr>
          <w:color w:val="1153CC"/>
          <w:sz w:val="18"/>
          <w:u w:val="single" w:color="1153CC"/>
          <w:vertAlign w:val="baseline"/>
        </w:rPr>
        <w:t> </w:t>
      </w:r>
      <w:hyperlink r:id="rId209">
        <w:r>
          <w:rPr>
            <w:color w:val="1153CC"/>
            <w:sz w:val="18"/>
            <w:u w:val="single" w:color="1153CC"/>
            <w:vertAlign w:val="baseline"/>
          </w:rPr>
          <w:t>intentionally-</w:t>
        </w:r>
      </w:hyperlink>
      <w:r>
        <w:rPr>
          <w:color w:val="1153CC"/>
          <w:sz w:val="18"/>
          <w:u w:val="none"/>
          <w:vertAlign w:val="baseline"/>
        </w:rPr>
        <w:t> </w:t>
      </w:r>
      <w:bookmarkStart w:name="_bookmark123" w:id="279"/>
      <w:bookmarkEnd w:id="279"/>
      <w:r>
        <w:rPr>
          <w:color w:val="1153CC"/>
          <w:sz w:val="18"/>
          <w:u w:val="none"/>
          <w:vertAlign w:val="baseline"/>
        </w:rPr>
      </w:r>
      <w:hyperlink r:id="rId209">
        <w:r>
          <w:rPr>
            <w:color w:val="1153CC"/>
            <w:spacing w:val="-2"/>
            <w:sz w:val="18"/>
            <w:u w:val="single" w:color="1153CC"/>
            <w:vertAlign w:val="baseline"/>
          </w:rPr>
          <w:t>closed-spaces-lgbtq-youth-color</w:t>
        </w:r>
      </w:hyperlink>
      <w:hyperlink r:id="rId209">
        <w:r>
          <w:rPr>
            <w:spacing w:val="-2"/>
            <w:sz w:val="18"/>
            <w:u w:val="none"/>
            <w:vertAlign w:val="baseline"/>
          </w:rPr>
          <w:t>.</w:t>
        </w:r>
      </w:hyperlink>
    </w:p>
    <w:p>
      <w:pPr>
        <w:spacing w:before="0"/>
        <w:ind w:left="463" w:right="0" w:firstLine="0"/>
        <w:jc w:val="left"/>
        <w:rPr>
          <w:sz w:val="18"/>
        </w:rPr>
      </w:pPr>
      <w:r>
        <w:rPr>
          <w:sz w:val="18"/>
          <w:vertAlign w:val="superscript"/>
        </w:rPr>
        <w:t>22</w:t>
      </w:r>
      <w:r>
        <w:rPr>
          <w:spacing w:val="-13"/>
          <w:sz w:val="18"/>
          <w:vertAlign w:val="baseline"/>
        </w:rPr>
        <w:t> </w:t>
      </w:r>
      <w:r>
        <w:rPr>
          <w:sz w:val="18"/>
          <w:vertAlign w:val="baseline"/>
        </w:rPr>
        <w:t>Ching,</w:t>
      </w:r>
      <w:r>
        <w:rPr>
          <w:spacing w:val="-4"/>
          <w:sz w:val="18"/>
          <w:vertAlign w:val="baseline"/>
        </w:rPr>
        <w:t> </w:t>
      </w:r>
      <w:r>
        <w:rPr>
          <w:sz w:val="18"/>
          <w:vertAlign w:val="baseline"/>
        </w:rPr>
        <w:t>Terence</w:t>
      </w:r>
      <w:r>
        <w:rPr>
          <w:spacing w:val="-2"/>
          <w:sz w:val="18"/>
          <w:vertAlign w:val="baseline"/>
        </w:rPr>
        <w:t> </w:t>
      </w:r>
      <w:r>
        <w:rPr>
          <w:sz w:val="18"/>
          <w:vertAlign w:val="baseline"/>
        </w:rPr>
        <w:t>H.</w:t>
      </w:r>
      <w:r>
        <w:rPr>
          <w:spacing w:val="-2"/>
          <w:sz w:val="18"/>
          <w:vertAlign w:val="baseline"/>
        </w:rPr>
        <w:t> </w:t>
      </w:r>
      <w:r>
        <w:rPr>
          <w:sz w:val="18"/>
          <w:vertAlign w:val="baseline"/>
        </w:rPr>
        <w:t>W.,</w:t>
      </w:r>
      <w:r>
        <w:rPr>
          <w:spacing w:val="-3"/>
          <w:sz w:val="18"/>
          <w:vertAlign w:val="baseline"/>
        </w:rPr>
        <w:t> </w:t>
      </w:r>
      <w:r>
        <w:rPr>
          <w:sz w:val="18"/>
          <w:vertAlign w:val="baseline"/>
        </w:rPr>
        <w:t>Sharon</w:t>
      </w:r>
      <w:r>
        <w:rPr>
          <w:spacing w:val="-2"/>
          <w:sz w:val="18"/>
          <w:vertAlign w:val="baseline"/>
        </w:rPr>
        <w:t> </w:t>
      </w:r>
      <w:r>
        <w:rPr>
          <w:sz w:val="18"/>
          <w:vertAlign w:val="baseline"/>
        </w:rPr>
        <w:t>Y.</w:t>
      </w:r>
      <w:r>
        <w:rPr>
          <w:spacing w:val="-2"/>
          <w:sz w:val="18"/>
          <w:vertAlign w:val="baseline"/>
        </w:rPr>
        <w:t> </w:t>
      </w:r>
      <w:r>
        <w:rPr>
          <w:sz w:val="18"/>
          <w:vertAlign w:val="baseline"/>
        </w:rPr>
        <w:t>Lee,</w:t>
      </w:r>
      <w:r>
        <w:rPr>
          <w:spacing w:val="-3"/>
          <w:sz w:val="18"/>
          <w:vertAlign w:val="baseline"/>
        </w:rPr>
        <w:t> </w:t>
      </w:r>
      <w:r>
        <w:rPr>
          <w:sz w:val="18"/>
          <w:vertAlign w:val="baseline"/>
        </w:rPr>
        <w:t>Julia</w:t>
      </w:r>
      <w:r>
        <w:rPr>
          <w:spacing w:val="-2"/>
          <w:sz w:val="18"/>
          <w:vertAlign w:val="baseline"/>
        </w:rPr>
        <w:t> </w:t>
      </w:r>
      <w:r>
        <w:rPr>
          <w:sz w:val="18"/>
          <w:vertAlign w:val="baseline"/>
        </w:rPr>
        <w:t>Chen,</w:t>
      </w:r>
      <w:r>
        <w:rPr>
          <w:spacing w:val="-3"/>
          <w:sz w:val="18"/>
          <w:vertAlign w:val="baseline"/>
        </w:rPr>
        <w:t> </w:t>
      </w:r>
      <w:r>
        <w:rPr>
          <w:sz w:val="18"/>
          <w:vertAlign w:val="baseline"/>
        </w:rPr>
        <w:t>Rachel</w:t>
      </w:r>
      <w:r>
        <w:rPr>
          <w:spacing w:val="-3"/>
          <w:sz w:val="18"/>
          <w:vertAlign w:val="baseline"/>
        </w:rPr>
        <w:t> </w:t>
      </w:r>
      <w:r>
        <w:rPr>
          <w:sz w:val="18"/>
          <w:vertAlign w:val="baseline"/>
        </w:rPr>
        <w:t>P.</w:t>
      </w:r>
      <w:r>
        <w:rPr>
          <w:spacing w:val="-2"/>
          <w:sz w:val="18"/>
          <w:vertAlign w:val="baseline"/>
        </w:rPr>
        <w:t> </w:t>
      </w:r>
      <w:r>
        <w:rPr>
          <w:sz w:val="18"/>
          <w:vertAlign w:val="baseline"/>
        </w:rPr>
        <w:t>So,</w:t>
      </w:r>
      <w:r>
        <w:rPr>
          <w:spacing w:val="-3"/>
          <w:sz w:val="18"/>
          <w:vertAlign w:val="baseline"/>
        </w:rPr>
        <w:t> </w:t>
      </w:r>
      <w:r>
        <w:rPr>
          <w:sz w:val="18"/>
          <w:vertAlign w:val="baseline"/>
        </w:rPr>
        <w:t>and</w:t>
      </w:r>
      <w:r>
        <w:rPr>
          <w:spacing w:val="-2"/>
          <w:sz w:val="18"/>
          <w:vertAlign w:val="baseline"/>
        </w:rPr>
        <w:t> </w:t>
      </w:r>
      <w:r>
        <w:rPr>
          <w:sz w:val="18"/>
          <w:vertAlign w:val="baseline"/>
        </w:rPr>
        <w:t>Monnica</w:t>
      </w:r>
      <w:r>
        <w:rPr>
          <w:spacing w:val="-2"/>
          <w:sz w:val="18"/>
          <w:vertAlign w:val="baseline"/>
        </w:rPr>
        <w:t> </w:t>
      </w:r>
      <w:r>
        <w:rPr>
          <w:sz w:val="18"/>
          <w:vertAlign w:val="baseline"/>
        </w:rPr>
        <w:t>T.</w:t>
      </w:r>
      <w:r>
        <w:rPr>
          <w:spacing w:val="-2"/>
          <w:sz w:val="18"/>
          <w:vertAlign w:val="baseline"/>
        </w:rPr>
        <w:t> </w:t>
      </w:r>
      <w:r>
        <w:rPr>
          <w:sz w:val="18"/>
          <w:vertAlign w:val="baseline"/>
        </w:rPr>
        <w:t>Williams.</w:t>
      </w:r>
      <w:r>
        <w:rPr>
          <w:spacing w:val="-2"/>
          <w:sz w:val="18"/>
          <w:vertAlign w:val="baseline"/>
        </w:rPr>
        <w:t> </w:t>
      </w:r>
      <w:r>
        <w:rPr>
          <w:sz w:val="18"/>
          <w:vertAlign w:val="baseline"/>
        </w:rPr>
        <w:t>“A</w:t>
      </w:r>
      <w:r>
        <w:rPr>
          <w:spacing w:val="-2"/>
          <w:sz w:val="18"/>
          <w:vertAlign w:val="baseline"/>
        </w:rPr>
        <w:t> </w:t>
      </w:r>
      <w:r>
        <w:rPr>
          <w:sz w:val="18"/>
          <w:vertAlign w:val="baseline"/>
        </w:rPr>
        <w:t>Model</w:t>
      </w:r>
      <w:r>
        <w:rPr>
          <w:spacing w:val="-3"/>
          <w:sz w:val="18"/>
          <w:vertAlign w:val="baseline"/>
        </w:rPr>
        <w:t> </w:t>
      </w:r>
      <w:r>
        <w:rPr>
          <w:sz w:val="18"/>
          <w:vertAlign w:val="baseline"/>
        </w:rPr>
        <w:t>of</w:t>
      </w:r>
      <w:r>
        <w:rPr>
          <w:spacing w:val="-2"/>
          <w:sz w:val="18"/>
          <w:vertAlign w:val="baseline"/>
        </w:rPr>
        <w:t> </w:t>
      </w:r>
      <w:r>
        <w:rPr>
          <w:sz w:val="18"/>
          <w:vertAlign w:val="baseline"/>
        </w:rPr>
        <w:t>Intersectional</w:t>
      </w:r>
      <w:r>
        <w:rPr>
          <w:spacing w:val="-3"/>
          <w:sz w:val="18"/>
          <w:vertAlign w:val="baseline"/>
        </w:rPr>
        <w:t> </w:t>
      </w:r>
      <w:r>
        <w:rPr>
          <w:sz w:val="18"/>
          <w:vertAlign w:val="baseline"/>
        </w:rPr>
        <w:t>Stress</w:t>
      </w:r>
      <w:r>
        <w:rPr>
          <w:spacing w:val="-2"/>
          <w:sz w:val="18"/>
          <w:vertAlign w:val="baseline"/>
        </w:rPr>
        <w:t> </w:t>
      </w:r>
      <w:r>
        <w:rPr>
          <w:sz w:val="18"/>
          <w:vertAlign w:val="baseline"/>
        </w:rPr>
        <w:t>and Trauma in Asian American Sexual and Gender Minorities.” </w:t>
      </w:r>
      <w:r>
        <w:rPr>
          <w:i/>
          <w:sz w:val="18"/>
          <w:vertAlign w:val="baseline"/>
        </w:rPr>
        <w:t>Psychology of Violence </w:t>
      </w:r>
      <w:r>
        <w:rPr>
          <w:sz w:val="18"/>
          <w:vertAlign w:val="baseline"/>
        </w:rPr>
        <w:t>8, no. 6 (November 2018): 657–68. </w:t>
      </w:r>
      <w:bookmarkStart w:name="_bookmark124" w:id="280"/>
      <w:bookmarkEnd w:id="280"/>
      <w:r>
        <w:rPr>
          <w:spacing w:val="-1"/>
          <w:sz w:val="18"/>
          <w:vertAlign w:val="baseline"/>
        </w:rPr>
      </w:r>
      <w:hyperlink r:id="rId210">
        <w:r>
          <w:rPr>
            <w:color w:val="1153CC"/>
            <w:spacing w:val="-2"/>
            <w:sz w:val="18"/>
            <w:u w:val="single" w:color="1153CC"/>
            <w:vertAlign w:val="baseline"/>
          </w:rPr>
          <w:t>https://doi.org/10.1037/vio0000204</w:t>
        </w:r>
      </w:hyperlink>
      <w:hyperlink r:id="rId210">
        <w:r>
          <w:rPr>
            <w:spacing w:val="-2"/>
            <w:sz w:val="18"/>
            <w:u w:val="none"/>
            <w:vertAlign w:val="baseline"/>
          </w:rPr>
          <w:t>.</w:t>
        </w:r>
      </w:hyperlink>
    </w:p>
    <w:p>
      <w:pPr>
        <w:spacing w:before="0"/>
        <w:ind w:left="463" w:right="314" w:hanging="1"/>
        <w:jc w:val="left"/>
        <w:rPr>
          <w:sz w:val="18"/>
        </w:rPr>
      </w:pPr>
      <w:r>
        <w:rPr>
          <w:sz w:val="18"/>
          <w:vertAlign w:val="superscript"/>
        </w:rPr>
        <w:t>23</w:t>
      </w:r>
      <w:r>
        <w:rPr>
          <w:spacing w:val="-13"/>
          <w:sz w:val="18"/>
          <w:vertAlign w:val="baseline"/>
        </w:rPr>
        <w:t> </w:t>
      </w:r>
      <w:r>
        <w:rPr>
          <w:sz w:val="18"/>
          <w:vertAlign w:val="baseline"/>
        </w:rPr>
        <w:t>Hailey,</w:t>
      </w:r>
      <w:r>
        <w:rPr>
          <w:spacing w:val="-4"/>
          <w:sz w:val="18"/>
          <w:vertAlign w:val="baseline"/>
        </w:rPr>
        <w:t> </w:t>
      </w:r>
      <w:r>
        <w:rPr>
          <w:sz w:val="18"/>
          <w:vertAlign w:val="baseline"/>
        </w:rPr>
        <w:t>Jamal,</w:t>
      </w:r>
      <w:r>
        <w:rPr>
          <w:spacing w:val="-3"/>
          <w:sz w:val="18"/>
          <w:vertAlign w:val="baseline"/>
        </w:rPr>
        <w:t> </w:t>
      </w:r>
      <w:r>
        <w:rPr>
          <w:sz w:val="18"/>
          <w:vertAlign w:val="baseline"/>
        </w:rPr>
        <w:t>Whitney</w:t>
      </w:r>
      <w:r>
        <w:rPr>
          <w:spacing w:val="-2"/>
          <w:sz w:val="18"/>
          <w:vertAlign w:val="baseline"/>
        </w:rPr>
        <w:t> </w:t>
      </w:r>
      <w:r>
        <w:rPr>
          <w:sz w:val="18"/>
          <w:vertAlign w:val="baseline"/>
        </w:rPr>
        <w:t>Burton,</w:t>
      </w:r>
      <w:r>
        <w:rPr>
          <w:spacing w:val="-3"/>
          <w:sz w:val="18"/>
          <w:vertAlign w:val="baseline"/>
        </w:rPr>
        <w:t> </w:t>
      </w:r>
      <w:r>
        <w:rPr>
          <w:sz w:val="18"/>
          <w:vertAlign w:val="baseline"/>
        </w:rPr>
        <w:t>and</w:t>
      </w:r>
      <w:r>
        <w:rPr>
          <w:spacing w:val="-2"/>
          <w:sz w:val="18"/>
          <w:vertAlign w:val="baseline"/>
        </w:rPr>
        <w:t> </w:t>
      </w:r>
      <w:r>
        <w:rPr>
          <w:sz w:val="18"/>
          <w:vertAlign w:val="baseline"/>
        </w:rPr>
        <w:t>Joyell</w:t>
      </w:r>
      <w:r>
        <w:rPr>
          <w:spacing w:val="-3"/>
          <w:sz w:val="18"/>
          <w:vertAlign w:val="baseline"/>
        </w:rPr>
        <w:t> </w:t>
      </w:r>
      <w:r>
        <w:rPr>
          <w:sz w:val="18"/>
          <w:vertAlign w:val="baseline"/>
        </w:rPr>
        <w:t>Arscott.</w:t>
      </w:r>
      <w:r>
        <w:rPr>
          <w:spacing w:val="-2"/>
          <w:sz w:val="18"/>
          <w:vertAlign w:val="baseline"/>
        </w:rPr>
        <w:t> </w:t>
      </w:r>
      <w:r>
        <w:rPr>
          <w:sz w:val="18"/>
          <w:vertAlign w:val="baseline"/>
        </w:rPr>
        <w:t>“We</w:t>
      </w:r>
      <w:r>
        <w:rPr>
          <w:spacing w:val="-2"/>
          <w:sz w:val="18"/>
          <w:vertAlign w:val="baseline"/>
        </w:rPr>
        <w:t> </w:t>
      </w:r>
      <w:r>
        <w:rPr>
          <w:sz w:val="18"/>
          <w:vertAlign w:val="baseline"/>
        </w:rPr>
        <w:t>Are</w:t>
      </w:r>
      <w:r>
        <w:rPr>
          <w:spacing w:val="-2"/>
          <w:sz w:val="18"/>
          <w:vertAlign w:val="baseline"/>
        </w:rPr>
        <w:t> </w:t>
      </w:r>
      <w:r>
        <w:rPr>
          <w:sz w:val="18"/>
          <w:vertAlign w:val="baseline"/>
        </w:rPr>
        <w:t>Family:</w:t>
      </w:r>
      <w:r>
        <w:rPr>
          <w:spacing w:val="-2"/>
          <w:sz w:val="18"/>
          <w:vertAlign w:val="baseline"/>
        </w:rPr>
        <w:t> </w:t>
      </w:r>
      <w:r>
        <w:rPr>
          <w:sz w:val="18"/>
          <w:vertAlign w:val="baseline"/>
        </w:rPr>
        <w:t>Chosen</w:t>
      </w:r>
      <w:r>
        <w:rPr>
          <w:spacing w:val="-2"/>
          <w:sz w:val="18"/>
          <w:vertAlign w:val="baseline"/>
        </w:rPr>
        <w:t> </w:t>
      </w:r>
      <w:r>
        <w:rPr>
          <w:sz w:val="18"/>
          <w:vertAlign w:val="baseline"/>
        </w:rPr>
        <w:t>and</w:t>
      </w:r>
      <w:r>
        <w:rPr>
          <w:spacing w:val="-2"/>
          <w:sz w:val="18"/>
          <w:vertAlign w:val="baseline"/>
        </w:rPr>
        <w:t> </w:t>
      </w:r>
      <w:r>
        <w:rPr>
          <w:sz w:val="18"/>
          <w:vertAlign w:val="baseline"/>
        </w:rPr>
        <w:t>Created</w:t>
      </w:r>
      <w:r>
        <w:rPr>
          <w:spacing w:val="-2"/>
          <w:sz w:val="18"/>
          <w:vertAlign w:val="baseline"/>
        </w:rPr>
        <w:t> </w:t>
      </w:r>
      <w:r>
        <w:rPr>
          <w:sz w:val="18"/>
          <w:vertAlign w:val="baseline"/>
        </w:rPr>
        <w:t>Families</w:t>
      </w:r>
      <w:r>
        <w:rPr>
          <w:spacing w:val="-3"/>
          <w:sz w:val="18"/>
          <w:vertAlign w:val="baseline"/>
        </w:rPr>
        <w:t> </w:t>
      </w:r>
      <w:r>
        <w:rPr>
          <w:sz w:val="18"/>
          <w:vertAlign w:val="baseline"/>
        </w:rPr>
        <w:t>as</w:t>
      </w:r>
      <w:r>
        <w:rPr>
          <w:spacing w:val="-2"/>
          <w:sz w:val="18"/>
          <w:vertAlign w:val="baseline"/>
        </w:rPr>
        <w:t> </w:t>
      </w:r>
      <w:r>
        <w:rPr>
          <w:sz w:val="18"/>
          <w:vertAlign w:val="baseline"/>
        </w:rPr>
        <w:t>a</w:t>
      </w:r>
      <w:r>
        <w:rPr>
          <w:spacing w:val="-2"/>
          <w:sz w:val="18"/>
          <w:vertAlign w:val="baseline"/>
        </w:rPr>
        <w:t> </w:t>
      </w:r>
      <w:r>
        <w:rPr>
          <w:sz w:val="18"/>
          <w:vertAlign w:val="baseline"/>
        </w:rPr>
        <w:t>Protective</w:t>
      </w:r>
      <w:r>
        <w:rPr>
          <w:spacing w:val="-2"/>
          <w:sz w:val="18"/>
          <w:vertAlign w:val="baseline"/>
        </w:rPr>
        <w:t> </w:t>
      </w:r>
      <w:r>
        <w:rPr>
          <w:sz w:val="18"/>
          <w:vertAlign w:val="baseline"/>
        </w:rPr>
        <w:t>Factor</w:t>
      </w:r>
      <w:r>
        <w:rPr>
          <w:spacing w:val="-3"/>
          <w:sz w:val="18"/>
          <w:vertAlign w:val="baseline"/>
        </w:rPr>
        <w:t> </w:t>
      </w:r>
      <w:r>
        <w:rPr>
          <w:sz w:val="18"/>
          <w:vertAlign w:val="baseline"/>
        </w:rPr>
        <w:t>Against Racialized Trauma and Anti-LGBTQ Oppression Among African American Sexual and Gender Minority Youth.” </w:t>
      </w:r>
      <w:r>
        <w:rPr>
          <w:i/>
          <w:sz w:val="18"/>
          <w:vertAlign w:val="baseline"/>
        </w:rPr>
        <w:t>Journal of GLBT</w:t>
      </w:r>
      <w:r>
        <w:rPr>
          <w:i/>
          <w:sz w:val="18"/>
          <w:vertAlign w:val="baseline"/>
        </w:rPr>
        <w:t> </w:t>
      </w:r>
      <w:bookmarkStart w:name="_bookmark125" w:id="281"/>
      <w:bookmarkEnd w:id="281"/>
      <w:r>
        <w:rPr>
          <w:i/>
          <w:sz w:val="18"/>
          <w:vertAlign w:val="baseline"/>
        </w:rPr>
        <w:t>F</w:t>
      </w:r>
      <w:r>
        <w:rPr>
          <w:i/>
          <w:sz w:val="18"/>
          <w:vertAlign w:val="baseline"/>
        </w:rPr>
        <w:t>amily Studies </w:t>
      </w:r>
      <w:r>
        <w:rPr>
          <w:sz w:val="18"/>
          <w:vertAlign w:val="baseline"/>
        </w:rPr>
        <w:t>16, no. 2 (March 2, 2020): 176–91. </w:t>
      </w:r>
      <w:hyperlink r:id="rId211">
        <w:r>
          <w:rPr>
            <w:color w:val="1153CC"/>
            <w:sz w:val="18"/>
            <w:u w:val="single" w:color="1153CC"/>
            <w:vertAlign w:val="baseline"/>
          </w:rPr>
          <w:t>https://doi.org/10.1080/1550428X.2020.1724133</w:t>
        </w:r>
      </w:hyperlink>
      <w:hyperlink r:id="rId211">
        <w:r>
          <w:rPr>
            <w:sz w:val="18"/>
            <w:u w:val="none"/>
            <w:vertAlign w:val="baseline"/>
          </w:rPr>
          <w:t>.</w:t>
        </w:r>
      </w:hyperlink>
    </w:p>
    <w:p>
      <w:pPr>
        <w:spacing w:before="0"/>
        <w:ind w:left="463" w:right="688" w:hanging="1"/>
        <w:jc w:val="both"/>
        <w:rPr>
          <w:sz w:val="18"/>
        </w:rPr>
      </w:pPr>
      <w:r>
        <w:rPr>
          <w:sz w:val="18"/>
          <w:vertAlign w:val="superscript"/>
        </w:rPr>
        <w:t>24</w:t>
      </w:r>
      <w:r>
        <w:rPr>
          <w:spacing w:val="-11"/>
          <w:sz w:val="18"/>
          <w:vertAlign w:val="baseline"/>
        </w:rPr>
        <w:t> </w:t>
      </w:r>
      <w:r>
        <w:rPr>
          <w:sz w:val="18"/>
          <w:vertAlign w:val="baseline"/>
        </w:rPr>
        <w:t>Toomey,</w:t>
      </w:r>
      <w:r>
        <w:rPr>
          <w:spacing w:val="-4"/>
          <w:sz w:val="18"/>
          <w:vertAlign w:val="baseline"/>
        </w:rPr>
        <w:t> </w:t>
      </w:r>
      <w:r>
        <w:rPr>
          <w:sz w:val="18"/>
          <w:vertAlign w:val="baseline"/>
        </w:rPr>
        <w:t>Russell</w:t>
      </w:r>
      <w:r>
        <w:rPr>
          <w:spacing w:val="-2"/>
          <w:sz w:val="18"/>
          <w:vertAlign w:val="baseline"/>
        </w:rPr>
        <w:t> </w:t>
      </w:r>
      <w:r>
        <w:rPr>
          <w:sz w:val="18"/>
          <w:vertAlign w:val="baseline"/>
        </w:rPr>
        <w:t>B.,</w:t>
      </w:r>
      <w:r>
        <w:rPr>
          <w:spacing w:val="-2"/>
          <w:sz w:val="18"/>
          <w:vertAlign w:val="baseline"/>
        </w:rPr>
        <w:t> </w:t>
      </w:r>
      <w:r>
        <w:rPr>
          <w:sz w:val="18"/>
          <w:vertAlign w:val="baseline"/>
        </w:rPr>
        <w:t>Maura</w:t>
      </w:r>
      <w:r>
        <w:rPr>
          <w:spacing w:val="-1"/>
          <w:sz w:val="18"/>
          <w:vertAlign w:val="baseline"/>
        </w:rPr>
        <w:t> </w:t>
      </w:r>
      <w:r>
        <w:rPr>
          <w:sz w:val="18"/>
          <w:vertAlign w:val="baseline"/>
        </w:rPr>
        <w:t>Shramko,</w:t>
      </w:r>
      <w:r>
        <w:rPr>
          <w:spacing w:val="-2"/>
          <w:sz w:val="18"/>
          <w:vertAlign w:val="baseline"/>
        </w:rPr>
        <w:t> </w:t>
      </w:r>
      <w:r>
        <w:rPr>
          <w:sz w:val="18"/>
          <w:vertAlign w:val="baseline"/>
        </w:rPr>
        <w:t>Melissa</w:t>
      </w:r>
      <w:r>
        <w:rPr>
          <w:spacing w:val="-1"/>
          <w:sz w:val="18"/>
          <w:vertAlign w:val="baseline"/>
        </w:rPr>
        <w:t> </w:t>
      </w:r>
      <w:r>
        <w:rPr>
          <w:sz w:val="18"/>
          <w:vertAlign w:val="baseline"/>
        </w:rPr>
        <w:t>Flores,</w:t>
      </w:r>
      <w:r>
        <w:rPr>
          <w:spacing w:val="-2"/>
          <w:sz w:val="18"/>
          <w:vertAlign w:val="baseline"/>
        </w:rPr>
        <w:t> </w:t>
      </w:r>
      <w:r>
        <w:rPr>
          <w:sz w:val="18"/>
          <w:vertAlign w:val="baseline"/>
        </w:rPr>
        <w:t>and</w:t>
      </w:r>
      <w:r>
        <w:rPr>
          <w:spacing w:val="-1"/>
          <w:sz w:val="18"/>
          <w:vertAlign w:val="baseline"/>
        </w:rPr>
        <w:t> </w:t>
      </w:r>
      <w:r>
        <w:rPr>
          <w:sz w:val="18"/>
          <w:vertAlign w:val="baseline"/>
        </w:rPr>
        <w:t>Karla</w:t>
      </w:r>
      <w:r>
        <w:rPr>
          <w:spacing w:val="-1"/>
          <w:sz w:val="18"/>
          <w:vertAlign w:val="baseline"/>
        </w:rPr>
        <w:t> </w:t>
      </w:r>
      <w:r>
        <w:rPr>
          <w:sz w:val="18"/>
          <w:vertAlign w:val="baseline"/>
        </w:rPr>
        <w:t>Anhalt.</w:t>
      </w:r>
      <w:r>
        <w:rPr>
          <w:spacing w:val="-1"/>
          <w:sz w:val="18"/>
          <w:vertAlign w:val="baseline"/>
        </w:rPr>
        <w:t> </w:t>
      </w:r>
      <w:r>
        <w:rPr>
          <w:sz w:val="18"/>
          <w:vertAlign w:val="baseline"/>
        </w:rPr>
        <w:t>“Family</w:t>
      </w:r>
      <w:r>
        <w:rPr>
          <w:spacing w:val="-1"/>
          <w:sz w:val="18"/>
          <w:vertAlign w:val="baseline"/>
        </w:rPr>
        <w:t> </w:t>
      </w:r>
      <w:r>
        <w:rPr>
          <w:sz w:val="18"/>
          <w:vertAlign w:val="baseline"/>
        </w:rPr>
        <w:t>Socialization</w:t>
      </w:r>
      <w:r>
        <w:rPr>
          <w:spacing w:val="-1"/>
          <w:sz w:val="18"/>
          <w:vertAlign w:val="baseline"/>
        </w:rPr>
        <w:t> </w:t>
      </w:r>
      <w:r>
        <w:rPr>
          <w:sz w:val="18"/>
          <w:vertAlign w:val="baseline"/>
        </w:rPr>
        <w:t>for</w:t>
      </w:r>
      <w:r>
        <w:rPr>
          <w:spacing w:val="-1"/>
          <w:sz w:val="18"/>
          <w:vertAlign w:val="baseline"/>
        </w:rPr>
        <w:t> </w:t>
      </w:r>
      <w:r>
        <w:rPr>
          <w:sz w:val="18"/>
          <w:vertAlign w:val="baseline"/>
        </w:rPr>
        <w:t>Racism</w:t>
      </w:r>
      <w:r>
        <w:rPr>
          <w:spacing w:val="-1"/>
          <w:sz w:val="18"/>
          <w:vertAlign w:val="baseline"/>
        </w:rPr>
        <w:t> </w:t>
      </w:r>
      <w:r>
        <w:rPr>
          <w:sz w:val="18"/>
          <w:vertAlign w:val="baseline"/>
        </w:rPr>
        <w:t>and</w:t>
      </w:r>
      <w:r>
        <w:rPr>
          <w:spacing w:val="-1"/>
          <w:sz w:val="18"/>
          <w:vertAlign w:val="baseline"/>
        </w:rPr>
        <w:t> </w:t>
      </w:r>
      <w:r>
        <w:rPr>
          <w:sz w:val="18"/>
          <w:vertAlign w:val="baseline"/>
        </w:rPr>
        <w:t>Heterosexism: Experiences</w:t>
      </w:r>
      <w:r>
        <w:rPr>
          <w:spacing w:val="-2"/>
          <w:sz w:val="18"/>
          <w:vertAlign w:val="baseline"/>
        </w:rPr>
        <w:t> </w:t>
      </w:r>
      <w:r>
        <w:rPr>
          <w:sz w:val="18"/>
          <w:vertAlign w:val="baseline"/>
        </w:rPr>
        <w:t>of</w:t>
      </w:r>
      <w:r>
        <w:rPr>
          <w:spacing w:val="-2"/>
          <w:sz w:val="18"/>
          <w:vertAlign w:val="baseline"/>
        </w:rPr>
        <w:t> </w:t>
      </w:r>
      <w:r>
        <w:rPr>
          <w:sz w:val="18"/>
          <w:vertAlign w:val="baseline"/>
        </w:rPr>
        <w:t>Latinx</w:t>
      </w:r>
      <w:r>
        <w:rPr>
          <w:spacing w:val="-2"/>
          <w:sz w:val="18"/>
          <w:vertAlign w:val="baseline"/>
        </w:rPr>
        <w:t> </w:t>
      </w:r>
      <w:r>
        <w:rPr>
          <w:sz w:val="18"/>
          <w:vertAlign w:val="baseline"/>
        </w:rPr>
        <w:t>Sexual</w:t>
      </w:r>
      <w:r>
        <w:rPr>
          <w:spacing w:val="-3"/>
          <w:sz w:val="18"/>
          <w:vertAlign w:val="baseline"/>
        </w:rPr>
        <w:t> </w:t>
      </w:r>
      <w:r>
        <w:rPr>
          <w:sz w:val="18"/>
          <w:vertAlign w:val="baseline"/>
        </w:rPr>
        <w:t>Minority</w:t>
      </w:r>
      <w:r>
        <w:rPr>
          <w:spacing w:val="-2"/>
          <w:sz w:val="18"/>
          <w:vertAlign w:val="baseline"/>
        </w:rPr>
        <w:t> </w:t>
      </w:r>
      <w:r>
        <w:rPr>
          <w:sz w:val="18"/>
          <w:vertAlign w:val="baseline"/>
        </w:rPr>
        <w:t>Adolescents</w:t>
      </w:r>
      <w:r>
        <w:rPr>
          <w:spacing w:val="-2"/>
          <w:sz w:val="18"/>
          <w:vertAlign w:val="baseline"/>
        </w:rPr>
        <w:t> </w:t>
      </w:r>
      <w:r>
        <w:rPr>
          <w:sz w:val="18"/>
          <w:vertAlign w:val="baseline"/>
        </w:rPr>
        <w:t>and</w:t>
      </w:r>
      <w:r>
        <w:rPr>
          <w:spacing w:val="-2"/>
          <w:sz w:val="18"/>
          <w:vertAlign w:val="baseline"/>
        </w:rPr>
        <w:t> </w:t>
      </w:r>
      <w:r>
        <w:rPr>
          <w:sz w:val="18"/>
          <w:vertAlign w:val="baseline"/>
        </w:rPr>
        <w:t>Young</w:t>
      </w:r>
      <w:r>
        <w:rPr>
          <w:spacing w:val="-2"/>
          <w:sz w:val="18"/>
          <w:vertAlign w:val="baseline"/>
        </w:rPr>
        <w:t> </w:t>
      </w:r>
      <w:r>
        <w:rPr>
          <w:sz w:val="18"/>
          <w:vertAlign w:val="baseline"/>
        </w:rPr>
        <w:t>Adults.”</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Family</w:t>
      </w:r>
      <w:r>
        <w:rPr>
          <w:i/>
          <w:spacing w:val="-2"/>
          <w:sz w:val="18"/>
          <w:vertAlign w:val="baseline"/>
        </w:rPr>
        <w:t> </w:t>
      </w:r>
      <w:r>
        <w:rPr>
          <w:i/>
          <w:sz w:val="18"/>
          <w:vertAlign w:val="baseline"/>
        </w:rPr>
        <w:t>Issues</w:t>
      </w:r>
      <w:r>
        <w:rPr>
          <w:i/>
          <w:spacing w:val="-3"/>
          <w:sz w:val="18"/>
          <w:vertAlign w:val="baseline"/>
        </w:rPr>
        <w:t> </w:t>
      </w:r>
      <w:r>
        <w:rPr>
          <w:sz w:val="18"/>
          <w:vertAlign w:val="baseline"/>
        </w:rPr>
        <w:t>39,</w:t>
      </w:r>
      <w:r>
        <w:rPr>
          <w:spacing w:val="-2"/>
          <w:sz w:val="18"/>
          <w:vertAlign w:val="baseline"/>
        </w:rPr>
        <w:t> </w:t>
      </w:r>
      <w:r>
        <w:rPr>
          <w:sz w:val="18"/>
          <w:vertAlign w:val="baseline"/>
        </w:rPr>
        <w:t>no.</w:t>
      </w:r>
      <w:r>
        <w:rPr>
          <w:spacing w:val="-2"/>
          <w:sz w:val="18"/>
          <w:vertAlign w:val="baseline"/>
        </w:rPr>
        <w:t> </w:t>
      </w:r>
      <w:r>
        <w:rPr>
          <w:sz w:val="18"/>
          <w:vertAlign w:val="baseline"/>
        </w:rPr>
        <w:t>13</w:t>
      </w:r>
      <w:r>
        <w:rPr>
          <w:spacing w:val="-2"/>
          <w:sz w:val="18"/>
          <w:vertAlign w:val="baseline"/>
        </w:rPr>
        <w:t> </w:t>
      </w:r>
      <w:r>
        <w:rPr>
          <w:sz w:val="18"/>
          <w:vertAlign w:val="baseline"/>
        </w:rPr>
        <w:t>(September</w:t>
      </w:r>
      <w:r>
        <w:rPr>
          <w:spacing w:val="-3"/>
          <w:sz w:val="18"/>
          <w:vertAlign w:val="baseline"/>
        </w:rPr>
        <w:t> </w:t>
      </w:r>
      <w:r>
        <w:rPr>
          <w:sz w:val="18"/>
          <w:vertAlign w:val="baseline"/>
        </w:rPr>
        <w:t>2018): </w:t>
      </w:r>
      <w:bookmarkStart w:name="_bookmark126" w:id="282"/>
      <w:bookmarkEnd w:id="282"/>
      <w:r>
        <w:rPr>
          <w:sz w:val="18"/>
          <w:vertAlign w:val="baseline"/>
        </w:rPr>
        <w:t>3586–</w:t>
      </w:r>
      <w:r>
        <w:rPr>
          <w:sz w:val="18"/>
          <w:vertAlign w:val="baseline"/>
        </w:rPr>
        <w:t>3611. </w:t>
      </w:r>
      <w:hyperlink r:id="rId212">
        <w:r>
          <w:rPr>
            <w:color w:val="1153CC"/>
            <w:sz w:val="18"/>
            <w:u w:val="single" w:color="1153CC"/>
            <w:vertAlign w:val="baseline"/>
          </w:rPr>
          <w:t>https://doi.org/10.1177/0192513X18783807</w:t>
        </w:r>
      </w:hyperlink>
      <w:hyperlink r:id="rId212">
        <w:r>
          <w:rPr>
            <w:sz w:val="18"/>
            <w:u w:val="none"/>
            <w:vertAlign w:val="baseline"/>
          </w:rPr>
          <w:t>.</w:t>
        </w:r>
      </w:hyperlink>
    </w:p>
    <w:p>
      <w:pPr>
        <w:spacing w:before="0"/>
        <w:ind w:left="463" w:right="350" w:hanging="1"/>
        <w:jc w:val="left"/>
        <w:rPr>
          <w:sz w:val="18"/>
        </w:rPr>
      </w:pPr>
      <w:r>
        <w:rPr>
          <w:sz w:val="18"/>
          <w:vertAlign w:val="superscript"/>
        </w:rPr>
        <w:t>25</w:t>
      </w:r>
      <w:r>
        <w:rPr>
          <w:spacing w:val="-13"/>
          <w:sz w:val="18"/>
          <w:vertAlign w:val="baseline"/>
        </w:rPr>
        <w:t> </w:t>
      </w:r>
      <w:r>
        <w:rPr>
          <w:sz w:val="18"/>
          <w:vertAlign w:val="baseline"/>
        </w:rPr>
        <w:t>Kosciw,</w:t>
      </w:r>
      <w:r>
        <w:rPr>
          <w:spacing w:val="-4"/>
          <w:sz w:val="18"/>
          <w:vertAlign w:val="baseline"/>
        </w:rPr>
        <w:t> </w:t>
      </w:r>
      <w:r>
        <w:rPr>
          <w:sz w:val="18"/>
          <w:vertAlign w:val="baseline"/>
        </w:rPr>
        <w:t>Joseph,</w:t>
      </w:r>
      <w:r>
        <w:rPr>
          <w:spacing w:val="-3"/>
          <w:sz w:val="18"/>
          <w:vertAlign w:val="baseline"/>
        </w:rPr>
        <w:t> </w:t>
      </w:r>
      <w:r>
        <w:rPr>
          <w:sz w:val="18"/>
          <w:vertAlign w:val="baseline"/>
        </w:rPr>
        <w:t>Caitlin</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Youth in Our Nation’s Schools” (New York: Gay, Lesbian and Straight Education Network, 2022), </w:t>
      </w:r>
      <w:bookmarkStart w:name="_bookmark127" w:id="283"/>
      <w:bookmarkEnd w:id="283"/>
      <w:r>
        <w:rPr>
          <w:sz w:val="18"/>
          <w:vertAlign w:val="baseline"/>
        </w:rPr>
      </w:r>
      <w:hyperlink r:id="rId206">
        <w:r>
          <w:rPr>
            <w:color w:val="1153CC"/>
            <w:spacing w:val="-2"/>
            <w:sz w:val="18"/>
            <w:u w:val="single" w:color="1153CC"/>
            <w:vertAlign w:val="baseline"/>
          </w:rPr>
          <w:t>https://www.glsen.org/sites/default/files/2022-10/NSCS-2021-Full-Report.pd</w:t>
        </w:r>
      </w:hyperlink>
      <w:hyperlink r:id="rId206">
        <w:r>
          <w:rPr>
            <w:color w:val="1153CC"/>
            <w:spacing w:val="-2"/>
            <w:sz w:val="18"/>
            <w:u w:val="single" w:color="1153CC"/>
            <w:vertAlign w:val="baseline"/>
          </w:rPr>
          <w:t>f</w:t>
        </w:r>
        <w:r>
          <w:rPr>
            <w:spacing w:val="-2"/>
            <w:sz w:val="18"/>
            <w:u w:val="none"/>
            <w:vertAlign w:val="baseline"/>
          </w:rPr>
          <w:t>.</w:t>
        </w:r>
      </w:hyperlink>
    </w:p>
    <w:p>
      <w:pPr>
        <w:spacing w:before="0"/>
        <w:ind w:left="463" w:right="350" w:firstLine="0"/>
        <w:jc w:val="left"/>
        <w:rPr>
          <w:sz w:val="18"/>
        </w:rPr>
      </w:pPr>
      <w:r>
        <w:rPr>
          <w:sz w:val="18"/>
          <w:vertAlign w:val="superscript"/>
        </w:rPr>
        <w:t>26</w:t>
      </w:r>
      <w:r>
        <w:rPr>
          <w:spacing w:val="-14"/>
          <w:sz w:val="18"/>
          <w:vertAlign w:val="baseline"/>
        </w:rPr>
        <w:t> </w:t>
      </w:r>
      <w:r>
        <w:rPr>
          <w:sz w:val="18"/>
          <w:vertAlign w:val="baseline"/>
        </w:rPr>
        <w:t>Prescott,</w:t>
      </w:r>
      <w:r>
        <w:rPr>
          <w:spacing w:val="-4"/>
          <w:sz w:val="18"/>
          <w:vertAlign w:val="baseline"/>
        </w:rPr>
        <w:t> </w:t>
      </w:r>
      <w:r>
        <w:rPr>
          <w:sz w:val="18"/>
          <w:vertAlign w:val="baseline"/>
        </w:rPr>
        <w:t>Amy,</w:t>
      </w:r>
      <w:r>
        <w:rPr>
          <w:spacing w:val="-3"/>
          <w:sz w:val="18"/>
          <w:vertAlign w:val="baseline"/>
        </w:rPr>
        <w:t> </w:t>
      </w:r>
      <w:r>
        <w:rPr>
          <w:sz w:val="18"/>
          <w:vertAlign w:val="baseline"/>
        </w:rPr>
        <w:t>Matthew</w:t>
      </w:r>
      <w:r>
        <w:rPr>
          <w:spacing w:val="-3"/>
          <w:sz w:val="18"/>
          <w:vertAlign w:val="baseline"/>
        </w:rPr>
        <w:t> </w:t>
      </w:r>
      <w:r>
        <w:rPr>
          <w:sz w:val="18"/>
          <w:vertAlign w:val="baseline"/>
        </w:rPr>
        <w:t>Alcala,</w:t>
      </w:r>
      <w:r>
        <w:rPr>
          <w:spacing w:val="-3"/>
          <w:sz w:val="18"/>
          <w:vertAlign w:val="baseline"/>
        </w:rPr>
        <w:t> </w:t>
      </w:r>
      <w:r>
        <w:rPr>
          <w:sz w:val="18"/>
          <w:vertAlign w:val="baseline"/>
        </w:rPr>
        <w:t>and</w:t>
      </w:r>
      <w:r>
        <w:rPr>
          <w:spacing w:val="-2"/>
          <w:sz w:val="18"/>
          <w:vertAlign w:val="baseline"/>
        </w:rPr>
        <w:t> </w:t>
      </w:r>
      <w:r>
        <w:rPr>
          <w:sz w:val="18"/>
          <w:vertAlign w:val="baseline"/>
        </w:rPr>
        <w:t>Nadine</w:t>
      </w:r>
      <w:r>
        <w:rPr>
          <w:spacing w:val="-2"/>
          <w:sz w:val="18"/>
          <w:vertAlign w:val="baseline"/>
        </w:rPr>
        <w:t> </w:t>
      </w:r>
      <w:r>
        <w:rPr>
          <w:sz w:val="18"/>
          <w:vertAlign w:val="baseline"/>
        </w:rPr>
        <w:t>Nakamura.</w:t>
      </w:r>
      <w:r>
        <w:rPr>
          <w:spacing w:val="-2"/>
          <w:sz w:val="18"/>
          <w:vertAlign w:val="baseline"/>
        </w:rPr>
        <w:t> </w:t>
      </w:r>
      <w:r>
        <w:rPr>
          <w:sz w:val="18"/>
          <w:vertAlign w:val="baseline"/>
        </w:rPr>
        <w:t>“Structural</w:t>
      </w:r>
      <w:r>
        <w:rPr>
          <w:spacing w:val="-3"/>
          <w:sz w:val="18"/>
          <w:vertAlign w:val="baseline"/>
        </w:rPr>
        <w:t> </w:t>
      </w:r>
      <w:r>
        <w:rPr>
          <w:sz w:val="18"/>
          <w:vertAlign w:val="baseline"/>
        </w:rPr>
        <w:t>Stigma</w:t>
      </w:r>
      <w:r>
        <w:rPr>
          <w:spacing w:val="-2"/>
          <w:sz w:val="18"/>
          <w:vertAlign w:val="baseline"/>
        </w:rPr>
        <w:t> </w:t>
      </w:r>
      <w:r>
        <w:rPr>
          <w:sz w:val="18"/>
          <w:vertAlign w:val="baseline"/>
        </w:rPr>
        <w:t>and</w:t>
      </w:r>
      <w:r>
        <w:rPr>
          <w:spacing w:val="-3"/>
          <w:sz w:val="18"/>
          <w:vertAlign w:val="baseline"/>
        </w:rPr>
        <w:t> </w:t>
      </w:r>
      <w:r>
        <w:rPr>
          <w:sz w:val="18"/>
          <w:vertAlign w:val="baseline"/>
        </w:rPr>
        <w:t>LGBTQ</w:t>
      </w:r>
      <w:r>
        <w:rPr>
          <w:spacing w:val="-2"/>
          <w:sz w:val="18"/>
          <w:vertAlign w:val="baseline"/>
        </w:rPr>
        <w:t> </w:t>
      </w:r>
      <w:r>
        <w:rPr>
          <w:sz w:val="18"/>
          <w:vertAlign w:val="baseline"/>
        </w:rPr>
        <w:t>PoC</w:t>
      </w:r>
      <w:r>
        <w:rPr>
          <w:spacing w:val="-2"/>
          <w:sz w:val="18"/>
          <w:vertAlign w:val="baseline"/>
        </w:rPr>
        <w:t> </w:t>
      </w:r>
      <w:r>
        <w:rPr>
          <w:sz w:val="18"/>
          <w:vertAlign w:val="baseline"/>
        </w:rPr>
        <w:t>Health.”</w:t>
      </w:r>
      <w:r>
        <w:rPr>
          <w:spacing w:val="-2"/>
          <w:sz w:val="18"/>
          <w:vertAlign w:val="baseline"/>
        </w:rPr>
        <w:t> </w:t>
      </w:r>
      <w:r>
        <w:rPr>
          <w:sz w:val="18"/>
          <w:vertAlign w:val="baseline"/>
        </w:rPr>
        <w:t>In</w:t>
      </w:r>
      <w:r>
        <w:rPr>
          <w:spacing w:val="-2"/>
          <w:sz w:val="18"/>
          <w:vertAlign w:val="baseline"/>
        </w:rPr>
        <w:t> </w:t>
      </w:r>
      <w:r>
        <w:rPr>
          <w:i/>
          <w:sz w:val="18"/>
          <w:vertAlign w:val="baseline"/>
        </w:rPr>
        <w:t>Heart,</w:t>
      </w:r>
      <w:r>
        <w:rPr>
          <w:i/>
          <w:spacing w:val="-3"/>
          <w:sz w:val="18"/>
          <w:vertAlign w:val="baseline"/>
        </w:rPr>
        <w:t> </w:t>
      </w:r>
      <w:r>
        <w:rPr>
          <w:i/>
          <w:sz w:val="18"/>
          <w:vertAlign w:val="baseline"/>
        </w:rPr>
        <w:t>Brain</w:t>
      </w:r>
      <w:r>
        <w:rPr>
          <w:i/>
          <w:spacing w:val="-3"/>
          <w:sz w:val="18"/>
          <w:vertAlign w:val="baseline"/>
        </w:rPr>
        <w:t> </w:t>
      </w:r>
      <w:r>
        <w:rPr>
          <w:i/>
          <w:sz w:val="18"/>
          <w:vertAlign w:val="baseline"/>
        </w:rPr>
        <w:t>and</w:t>
      </w:r>
      <w:r>
        <w:rPr>
          <w:i/>
          <w:spacing w:val="-3"/>
          <w:sz w:val="18"/>
          <w:vertAlign w:val="baseline"/>
        </w:rPr>
        <w:t> </w:t>
      </w:r>
      <w:r>
        <w:rPr>
          <w:i/>
          <w:sz w:val="18"/>
          <w:vertAlign w:val="baseline"/>
        </w:rPr>
        <w:t>Mental</w:t>
      </w:r>
      <w:r>
        <w:rPr>
          <w:i/>
          <w:sz w:val="18"/>
          <w:vertAlign w:val="baseline"/>
        </w:rPr>
        <w:t> Health Disparities for LGBTQ People of Color, </w:t>
      </w:r>
      <w:r>
        <w:rPr>
          <w:sz w:val="18"/>
          <w:vertAlign w:val="baseline"/>
        </w:rPr>
        <w:t>edited by James J. García, 149–60. Cham: Springer International Publishing, 2021. </w:t>
      </w:r>
      <w:bookmarkStart w:name="_bookmark128" w:id="284"/>
      <w:bookmarkEnd w:id="284"/>
      <w:r>
        <w:rPr>
          <w:sz w:val="18"/>
          <w:vertAlign w:val="baseline"/>
        </w:rPr>
      </w:r>
      <w:hyperlink r:id="rId213">
        <w:r>
          <w:rPr>
            <w:color w:val="1153CC"/>
            <w:spacing w:val="-2"/>
            <w:sz w:val="18"/>
            <w:u w:val="single" w:color="1153CC"/>
            <w:vertAlign w:val="baseline"/>
          </w:rPr>
          <w:t>https://doi.org/10.1007/978-3-030-70060-7_12</w:t>
        </w:r>
      </w:hyperlink>
      <w:hyperlink r:id="rId213">
        <w:r>
          <w:rPr>
            <w:spacing w:val="-2"/>
            <w:sz w:val="18"/>
            <w:u w:val="none"/>
            <w:vertAlign w:val="baseline"/>
          </w:rPr>
          <w:t>.</w:t>
        </w:r>
      </w:hyperlink>
    </w:p>
    <w:p>
      <w:pPr>
        <w:spacing w:before="0"/>
        <w:ind w:left="463" w:right="314" w:hanging="1"/>
        <w:jc w:val="left"/>
        <w:rPr>
          <w:sz w:val="18"/>
        </w:rPr>
      </w:pPr>
      <w:r>
        <w:rPr>
          <w:sz w:val="18"/>
          <w:vertAlign w:val="superscript"/>
        </w:rPr>
        <w:t>27</w:t>
      </w:r>
      <w:r>
        <w:rPr>
          <w:spacing w:val="-13"/>
          <w:sz w:val="18"/>
          <w:vertAlign w:val="baseline"/>
        </w:rPr>
        <w:t> </w:t>
      </w:r>
      <w:r>
        <w:rPr>
          <w:sz w:val="18"/>
          <w:vertAlign w:val="baseline"/>
        </w:rPr>
        <w:t>Bacong,</w:t>
      </w:r>
      <w:r>
        <w:rPr>
          <w:spacing w:val="-1"/>
          <w:sz w:val="18"/>
          <w:vertAlign w:val="baseline"/>
        </w:rPr>
        <w:t> </w:t>
      </w:r>
      <w:r>
        <w:rPr>
          <w:sz w:val="18"/>
          <w:vertAlign w:val="baseline"/>
        </w:rPr>
        <w:t>Adrian Matias,</w:t>
      </w:r>
      <w:r>
        <w:rPr>
          <w:spacing w:val="-1"/>
          <w:sz w:val="18"/>
          <w:vertAlign w:val="baseline"/>
        </w:rPr>
        <w:t> </w:t>
      </w:r>
      <w:r>
        <w:rPr>
          <w:sz w:val="18"/>
          <w:vertAlign w:val="baseline"/>
        </w:rPr>
        <w:t>and Cecilia Menjívar. “Recasting the Immigrant</w:t>
      </w:r>
      <w:r>
        <w:rPr>
          <w:spacing w:val="-1"/>
          <w:sz w:val="18"/>
          <w:vertAlign w:val="baseline"/>
        </w:rPr>
        <w:t> </w:t>
      </w:r>
      <w:r>
        <w:rPr>
          <w:sz w:val="18"/>
          <w:vertAlign w:val="baseline"/>
        </w:rPr>
        <w:t>Health Paradox Through Intersections of Legal</w:t>
      </w:r>
      <w:r>
        <w:rPr>
          <w:spacing w:val="-1"/>
          <w:sz w:val="18"/>
          <w:vertAlign w:val="baseline"/>
        </w:rPr>
        <w:t> </w:t>
      </w:r>
      <w:r>
        <w:rPr>
          <w:sz w:val="18"/>
          <w:vertAlign w:val="baseline"/>
        </w:rPr>
        <w:t>Status and</w:t>
      </w:r>
      <w:r>
        <w:rPr>
          <w:spacing w:val="-5"/>
          <w:sz w:val="18"/>
          <w:vertAlign w:val="baseline"/>
        </w:rPr>
        <w:t> </w:t>
      </w:r>
      <w:r>
        <w:rPr>
          <w:sz w:val="18"/>
          <w:vertAlign w:val="baseline"/>
        </w:rPr>
        <w:t>Race.”</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3"/>
          <w:sz w:val="18"/>
          <w:vertAlign w:val="baseline"/>
        </w:rPr>
        <w:t> </w:t>
      </w:r>
      <w:r>
        <w:rPr>
          <w:i/>
          <w:sz w:val="18"/>
          <w:vertAlign w:val="baseline"/>
        </w:rPr>
        <w:t>Immigrant</w:t>
      </w:r>
      <w:r>
        <w:rPr>
          <w:i/>
          <w:spacing w:val="-1"/>
          <w:sz w:val="18"/>
          <w:vertAlign w:val="baseline"/>
        </w:rPr>
        <w:t> </w:t>
      </w:r>
      <w:r>
        <w:rPr>
          <w:i/>
          <w:sz w:val="18"/>
          <w:vertAlign w:val="baseline"/>
        </w:rPr>
        <w:t>and</w:t>
      </w:r>
      <w:r>
        <w:rPr>
          <w:i/>
          <w:spacing w:val="-4"/>
          <w:sz w:val="18"/>
          <w:vertAlign w:val="baseline"/>
        </w:rPr>
        <w:t> </w:t>
      </w:r>
      <w:r>
        <w:rPr>
          <w:i/>
          <w:sz w:val="18"/>
          <w:vertAlign w:val="baseline"/>
        </w:rPr>
        <w:t>Minority</w:t>
      </w:r>
      <w:r>
        <w:rPr>
          <w:i/>
          <w:spacing w:val="-1"/>
          <w:sz w:val="18"/>
          <w:vertAlign w:val="baseline"/>
        </w:rPr>
        <w:t> </w:t>
      </w:r>
      <w:r>
        <w:rPr>
          <w:i/>
          <w:sz w:val="18"/>
          <w:vertAlign w:val="baseline"/>
        </w:rPr>
        <w:t>Health</w:t>
      </w:r>
      <w:r>
        <w:rPr>
          <w:i/>
          <w:spacing w:val="-3"/>
          <w:sz w:val="18"/>
          <w:vertAlign w:val="baseline"/>
        </w:rPr>
        <w:t> </w:t>
      </w:r>
      <w:r>
        <w:rPr>
          <w:sz w:val="18"/>
          <w:vertAlign w:val="baseline"/>
        </w:rPr>
        <w:t>23,</w:t>
      </w:r>
      <w:r>
        <w:rPr>
          <w:spacing w:val="-4"/>
          <w:sz w:val="18"/>
          <w:vertAlign w:val="baseline"/>
        </w:rPr>
        <w:t> </w:t>
      </w:r>
      <w:r>
        <w:rPr>
          <w:sz w:val="18"/>
          <w:vertAlign w:val="baseline"/>
        </w:rPr>
        <w:t>no.</w:t>
      </w:r>
      <w:r>
        <w:rPr>
          <w:spacing w:val="-2"/>
          <w:sz w:val="18"/>
          <w:vertAlign w:val="baseline"/>
        </w:rPr>
        <w:t> </w:t>
      </w:r>
      <w:r>
        <w:rPr>
          <w:sz w:val="18"/>
          <w:vertAlign w:val="baseline"/>
        </w:rPr>
        <w:t>5</w:t>
      </w:r>
      <w:r>
        <w:rPr>
          <w:spacing w:val="-2"/>
          <w:sz w:val="18"/>
          <w:vertAlign w:val="baseline"/>
        </w:rPr>
        <w:t> </w:t>
      </w:r>
      <w:r>
        <w:rPr>
          <w:sz w:val="18"/>
          <w:vertAlign w:val="baseline"/>
        </w:rPr>
        <w:t>(October</w:t>
      </w:r>
      <w:r>
        <w:rPr>
          <w:spacing w:val="-4"/>
          <w:sz w:val="18"/>
          <w:vertAlign w:val="baseline"/>
        </w:rPr>
        <w:t> </w:t>
      </w:r>
      <w:r>
        <w:rPr>
          <w:sz w:val="18"/>
          <w:vertAlign w:val="baseline"/>
        </w:rPr>
        <w:t>1,</w:t>
      </w:r>
      <w:r>
        <w:rPr>
          <w:spacing w:val="-3"/>
          <w:sz w:val="18"/>
          <w:vertAlign w:val="baseline"/>
        </w:rPr>
        <w:t> </w:t>
      </w:r>
      <w:r>
        <w:rPr>
          <w:sz w:val="18"/>
          <w:vertAlign w:val="baseline"/>
        </w:rPr>
        <w:t>2021):</w:t>
      </w:r>
      <w:r>
        <w:rPr>
          <w:spacing w:val="-2"/>
          <w:sz w:val="18"/>
          <w:vertAlign w:val="baseline"/>
        </w:rPr>
        <w:t> </w:t>
      </w:r>
      <w:r>
        <w:rPr>
          <w:sz w:val="18"/>
          <w:vertAlign w:val="baseline"/>
        </w:rPr>
        <w:t>1092–1104.</w:t>
      </w:r>
      <w:r>
        <w:rPr>
          <w:spacing w:val="-2"/>
          <w:sz w:val="18"/>
          <w:vertAlign w:val="baseline"/>
        </w:rPr>
        <w:t> </w:t>
      </w:r>
      <w:hyperlink r:id="rId214">
        <w:r>
          <w:rPr>
            <w:color w:val="1153CC"/>
            <w:spacing w:val="-2"/>
            <w:sz w:val="18"/>
            <w:u w:val="single" w:color="1153CC"/>
            <w:vertAlign w:val="baseline"/>
          </w:rPr>
          <w:t>https://doi.org/10.1007/s10903-</w:t>
        </w:r>
      </w:hyperlink>
    </w:p>
    <w:p>
      <w:pPr>
        <w:spacing w:line="219" w:lineRule="exact" w:before="0"/>
        <w:ind w:left="463" w:right="0" w:firstLine="0"/>
        <w:jc w:val="left"/>
        <w:rPr>
          <w:sz w:val="18"/>
        </w:rPr>
      </w:pPr>
      <w:bookmarkStart w:name="_bookmark129" w:id="285"/>
      <w:bookmarkEnd w:id="285"/>
      <w:r>
        <w:rPr/>
      </w:r>
      <w:hyperlink r:id="rId214">
        <w:r>
          <w:rPr>
            <w:color w:val="1153CC"/>
            <w:spacing w:val="-2"/>
            <w:sz w:val="18"/>
            <w:u w:val="single" w:color="1153CC"/>
          </w:rPr>
          <w:t>021-01162-</w:t>
        </w:r>
        <w:r>
          <w:rPr>
            <w:color w:val="1153CC"/>
            <w:spacing w:val="-10"/>
            <w:sz w:val="18"/>
            <w:u w:val="single" w:color="1153CC"/>
          </w:rPr>
          <w:t>2</w:t>
        </w:r>
      </w:hyperlink>
    </w:p>
    <w:p>
      <w:pPr>
        <w:spacing w:before="0"/>
        <w:ind w:left="463" w:right="1688" w:hanging="1"/>
        <w:jc w:val="left"/>
        <w:rPr>
          <w:sz w:val="18"/>
        </w:rPr>
      </w:pPr>
      <w:r>
        <w:rPr>
          <w:sz w:val="18"/>
          <w:vertAlign w:val="superscript"/>
        </w:rPr>
        <w:t>28</w:t>
      </w:r>
      <w:r>
        <w:rPr>
          <w:spacing w:val="-12"/>
          <w:sz w:val="18"/>
          <w:vertAlign w:val="baseline"/>
        </w:rPr>
        <w:t> </w:t>
      </w:r>
      <w:r>
        <w:rPr>
          <w:sz w:val="18"/>
          <w:vertAlign w:val="baseline"/>
        </w:rPr>
        <w:t>The Trevor Project. “The Trevor Project Research Brief: LGBTQ Youth from Immigrant Families,” April 2021. </w:t>
      </w:r>
      <w:bookmarkStart w:name="_bookmark130" w:id="286"/>
      <w:bookmarkEnd w:id="286"/>
      <w:r>
        <w:rPr>
          <w:sz w:val="18"/>
          <w:vertAlign w:val="baseline"/>
        </w:rPr>
      </w:r>
      <w:hyperlink r:id="rId215">
        <w:r>
          <w:rPr>
            <w:color w:val="1153CC"/>
            <w:spacing w:val="-2"/>
            <w:sz w:val="18"/>
            <w:u w:val="single" w:color="1153CC"/>
            <w:vertAlign w:val="baseline"/>
          </w:rPr>
          <w:t>www.thetrevorproject.org/wp-content/uploads/2021/07/Trevor-Project-First-Generation-Research-Brief.pd</w:t>
        </w:r>
      </w:hyperlink>
      <w:hyperlink r:id="rId215">
        <w:r>
          <w:rPr>
            <w:color w:val="1153CC"/>
            <w:spacing w:val="-2"/>
            <w:sz w:val="18"/>
            <w:u w:val="single" w:color="1153CC"/>
            <w:vertAlign w:val="baseline"/>
          </w:rPr>
          <w:t>f</w:t>
        </w:r>
        <w:r>
          <w:rPr>
            <w:spacing w:val="-2"/>
            <w:sz w:val="18"/>
            <w:u w:val="none"/>
            <w:vertAlign w:val="baseline"/>
          </w:rPr>
          <w:t>.</w:t>
        </w:r>
      </w:hyperlink>
    </w:p>
    <w:p>
      <w:pPr>
        <w:spacing w:before="0"/>
        <w:ind w:left="463" w:right="314" w:hanging="1"/>
        <w:jc w:val="left"/>
        <w:rPr>
          <w:sz w:val="18"/>
        </w:rPr>
      </w:pPr>
      <w:r>
        <w:rPr>
          <w:sz w:val="18"/>
          <w:vertAlign w:val="superscript"/>
        </w:rPr>
        <w:t>29</w:t>
      </w:r>
      <w:r>
        <w:rPr>
          <w:spacing w:val="-13"/>
          <w:sz w:val="18"/>
          <w:vertAlign w:val="baseline"/>
        </w:rPr>
        <w:t> </w:t>
      </w:r>
      <w:r>
        <w:rPr>
          <w:sz w:val="18"/>
          <w:vertAlign w:val="baseline"/>
        </w:rPr>
        <w:t>Munro,</w:t>
      </w:r>
      <w:r>
        <w:rPr>
          <w:spacing w:val="-4"/>
          <w:sz w:val="18"/>
          <w:vertAlign w:val="baseline"/>
        </w:rPr>
        <w:t> </w:t>
      </w:r>
      <w:r>
        <w:rPr>
          <w:sz w:val="18"/>
          <w:vertAlign w:val="baseline"/>
        </w:rPr>
        <w:t>Lauren,</w:t>
      </w:r>
      <w:r>
        <w:rPr>
          <w:spacing w:val="-3"/>
          <w:sz w:val="18"/>
          <w:vertAlign w:val="baseline"/>
        </w:rPr>
        <w:t> </w:t>
      </w:r>
      <w:r>
        <w:rPr>
          <w:sz w:val="18"/>
          <w:vertAlign w:val="baseline"/>
        </w:rPr>
        <w:t>Robb</w:t>
      </w:r>
      <w:r>
        <w:rPr>
          <w:spacing w:val="-2"/>
          <w:sz w:val="18"/>
          <w:vertAlign w:val="baseline"/>
        </w:rPr>
        <w:t> </w:t>
      </w:r>
      <w:r>
        <w:rPr>
          <w:sz w:val="18"/>
          <w:vertAlign w:val="baseline"/>
        </w:rPr>
        <w:t>Travers,</w:t>
      </w:r>
      <w:r>
        <w:rPr>
          <w:spacing w:val="-3"/>
          <w:sz w:val="18"/>
          <w:vertAlign w:val="baseline"/>
        </w:rPr>
        <w:t> </w:t>
      </w:r>
      <w:r>
        <w:rPr>
          <w:sz w:val="18"/>
          <w:vertAlign w:val="baseline"/>
        </w:rPr>
        <w:t>Alex</w:t>
      </w:r>
      <w:r>
        <w:rPr>
          <w:spacing w:val="-2"/>
          <w:sz w:val="18"/>
          <w:vertAlign w:val="baseline"/>
        </w:rPr>
        <w:t> </w:t>
      </w:r>
      <w:r>
        <w:rPr>
          <w:sz w:val="18"/>
          <w:vertAlign w:val="baseline"/>
        </w:rPr>
        <w:t>St.</w:t>
      </w:r>
      <w:r>
        <w:rPr>
          <w:spacing w:val="-2"/>
          <w:sz w:val="18"/>
          <w:vertAlign w:val="baseline"/>
        </w:rPr>
        <w:t> </w:t>
      </w:r>
      <w:r>
        <w:rPr>
          <w:sz w:val="18"/>
          <w:vertAlign w:val="baseline"/>
        </w:rPr>
        <w:t>John,</w:t>
      </w:r>
      <w:r>
        <w:rPr>
          <w:spacing w:val="-3"/>
          <w:sz w:val="18"/>
          <w:vertAlign w:val="baseline"/>
        </w:rPr>
        <w:t> </w:t>
      </w:r>
      <w:r>
        <w:rPr>
          <w:sz w:val="18"/>
          <w:vertAlign w:val="baseline"/>
        </w:rPr>
        <w:t>Kate</w:t>
      </w:r>
      <w:r>
        <w:rPr>
          <w:spacing w:val="-2"/>
          <w:sz w:val="18"/>
          <w:vertAlign w:val="baseline"/>
        </w:rPr>
        <w:t> </w:t>
      </w:r>
      <w:r>
        <w:rPr>
          <w:sz w:val="18"/>
          <w:vertAlign w:val="baseline"/>
        </w:rPr>
        <w:t>Klein,</w:t>
      </w:r>
      <w:r>
        <w:rPr>
          <w:spacing w:val="-3"/>
          <w:sz w:val="18"/>
          <w:vertAlign w:val="baseline"/>
        </w:rPr>
        <w:t> </w:t>
      </w:r>
      <w:r>
        <w:rPr>
          <w:sz w:val="18"/>
          <w:vertAlign w:val="baseline"/>
        </w:rPr>
        <w:t>Heather</w:t>
      </w:r>
      <w:r>
        <w:rPr>
          <w:spacing w:val="-3"/>
          <w:sz w:val="18"/>
          <w:vertAlign w:val="baseline"/>
        </w:rPr>
        <w:t> </w:t>
      </w:r>
      <w:r>
        <w:rPr>
          <w:sz w:val="18"/>
          <w:vertAlign w:val="baseline"/>
        </w:rPr>
        <w:t>Hunter,</w:t>
      </w:r>
      <w:r>
        <w:rPr>
          <w:spacing w:val="-3"/>
          <w:sz w:val="18"/>
          <w:vertAlign w:val="baseline"/>
        </w:rPr>
        <w:t> </w:t>
      </w:r>
      <w:r>
        <w:rPr>
          <w:sz w:val="18"/>
          <w:vertAlign w:val="baseline"/>
        </w:rPr>
        <w:t>David</w:t>
      </w:r>
      <w:r>
        <w:rPr>
          <w:spacing w:val="-1"/>
          <w:sz w:val="18"/>
          <w:vertAlign w:val="baseline"/>
        </w:rPr>
        <w:t> </w:t>
      </w:r>
      <w:r>
        <w:rPr>
          <w:sz w:val="18"/>
          <w:vertAlign w:val="baseline"/>
        </w:rPr>
        <w:t>Brennan,</w:t>
      </w:r>
      <w:r>
        <w:rPr>
          <w:spacing w:val="-3"/>
          <w:sz w:val="18"/>
          <w:vertAlign w:val="baseline"/>
        </w:rPr>
        <w:t> </w:t>
      </w:r>
      <w:r>
        <w:rPr>
          <w:sz w:val="18"/>
          <w:vertAlign w:val="baseline"/>
        </w:rPr>
        <w:t>and</w:t>
      </w:r>
      <w:r>
        <w:rPr>
          <w:spacing w:val="-2"/>
          <w:sz w:val="18"/>
          <w:vertAlign w:val="baseline"/>
        </w:rPr>
        <w:t> </w:t>
      </w:r>
      <w:r>
        <w:rPr>
          <w:sz w:val="18"/>
          <w:vertAlign w:val="baseline"/>
        </w:rPr>
        <w:t>Chavisa</w:t>
      </w:r>
      <w:r>
        <w:rPr>
          <w:spacing w:val="-2"/>
          <w:sz w:val="18"/>
          <w:vertAlign w:val="baseline"/>
        </w:rPr>
        <w:t> </w:t>
      </w:r>
      <w:r>
        <w:rPr>
          <w:sz w:val="18"/>
          <w:vertAlign w:val="baseline"/>
        </w:rPr>
        <w:t>Brett.</w:t>
      </w:r>
      <w:r>
        <w:rPr>
          <w:spacing w:val="-2"/>
          <w:sz w:val="18"/>
          <w:vertAlign w:val="baseline"/>
        </w:rPr>
        <w:t> </w:t>
      </w:r>
      <w:r>
        <w:rPr>
          <w:sz w:val="18"/>
          <w:vertAlign w:val="baseline"/>
        </w:rPr>
        <w:t>“A</w:t>
      </w:r>
      <w:r>
        <w:rPr>
          <w:spacing w:val="-5"/>
          <w:sz w:val="18"/>
          <w:vertAlign w:val="baseline"/>
        </w:rPr>
        <w:t> </w:t>
      </w:r>
      <w:r>
        <w:rPr>
          <w:sz w:val="18"/>
          <w:vertAlign w:val="baseline"/>
        </w:rPr>
        <w:t>Bed</w:t>
      </w:r>
      <w:r>
        <w:rPr>
          <w:spacing w:val="-2"/>
          <w:sz w:val="18"/>
          <w:vertAlign w:val="baseline"/>
        </w:rPr>
        <w:t> </w:t>
      </w:r>
      <w:r>
        <w:rPr>
          <w:sz w:val="18"/>
          <w:vertAlign w:val="baseline"/>
        </w:rPr>
        <w:t>of</w:t>
      </w:r>
      <w:r>
        <w:rPr>
          <w:spacing w:val="-2"/>
          <w:sz w:val="18"/>
          <w:vertAlign w:val="baseline"/>
        </w:rPr>
        <w:t> </w:t>
      </w:r>
      <w:r>
        <w:rPr>
          <w:sz w:val="18"/>
          <w:vertAlign w:val="baseline"/>
        </w:rPr>
        <w:t>Roses?: Exploring the Experiences of LGBT Newcomer Youth Who Migrate to Toronto.” Edited by Dr Carol Mutch And Dr Jay Marlowe. </w:t>
      </w:r>
      <w:bookmarkStart w:name="_bookmark131" w:id="287"/>
      <w:bookmarkEnd w:id="287"/>
      <w:r>
        <w:rPr>
          <w:sz w:val="18"/>
          <w:vertAlign w:val="baseline"/>
        </w:rPr>
      </w:r>
      <w:r>
        <w:rPr>
          <w:i/>
          <w:sz w:val="18"/>
          <w:vertAlign w:val="baseline"/>
        </w:rPr>
        <w:t>Ethnicity and Inequalities in Health and Social Care </w:t>
      </w:r>
      <w:r>
        <w:rPr>
          <w:sz w:val="18"/>
          <w:vertAlign w:val="baseline"/>
        </w:rPr>
        <w:t>6, no. 4 (November 29, 2013): 137–50. </w:t>
      </w:r>
      <w:hyperlink r:id="rId216">
        <w:r>
          <w:rPr>
            <w:color w:val="1153CC"/>
            <w:sz w:val="18"/>
            <w:u w:val="single" w:color="1153CC"/>
            <w:vertAlign w:val="baseline"/>
          </w:rPr>
          <w:t>https://doi.org/10.1108/EIHSC-09-</w:t>
        </w:r>
      </w:hyperlink>
    </w:p>
    <w:p>
      <w:pPr>
        <w:spacing w:before="1"/>
        <w:ind w:left="463" w:right="0" w:firstLine="0"/>
        <w:jc w:val="left"/>
        <w:rPr>
          <w:sz w:val="18"/>
        </w:rPr>
      </w:pPr>
      <w:bookmarkStart w:name="_bookmark132" w:id="288"/>
      <w:bookmarkEnd w:id="288"/>
      <w:r>
        <w:rPr/>
      </w:r>
      <w:hyperlink r:id="rId216">
        <w:r>
          <w:rPr>
            <w:color w:val="1153CC"/>
            <w:spacing w:val="-2"/>
            <w:sz w:val="18"/>
            <w:u w:val="single" w:color="1153CC"/>
          </w:rPr>
          <w:t>2013-0018</w:t>
        </w:r>
      </w:hyperlink>
      <w:hyperlink r:id="rId216">
        <w:r>
          <w:rPr>
            <w:spacing w:val="-2"/>
            <w:sz w:val="18"/>
            <w:u w:val="none"/>
          </w:rPr>
          <w:t>.</w:t>
        </w:r>
      </w:hyperlink>
    </w:p>
    <w:p>
      <w:pPr>
        <w:spacing w:before="0"/>
        <w:ind w:left="463" w:right="314" w:hanging="1"/>
        <w:jc w:val="left"/>
        <w:rPr>
          <w:sz w:val="18"/>
        </w:rPr>
      </w:pPr>
      <w:r>
        <w:rPr>
          <w:sz w:val="18"/>
          <w:vertAlign w:val="superscript"/>
        </w:rPr>
        <w:t>30</w:t>
      </w:r>
      <w:r>
        <w:rPr>
          <w:spacing w:val="-13"/>
          <w:sz w:val="18"/>
          <w:vertAlign w:val="baseline"/>
        </w:rPr>
        <w:t> </w:t>
      </w:r>
      <w:r>
        <w:rPr>
          <w:sz w:val="18"/>
          <w:vertAlign w:val="baseline"/>
        </w:rPr>
        <w:t>McMillan,</w:t>
      </w:r>
      <w:r>
        <w:rPr>
          <w:spacing w:val="-5"/>
          <w:sz w:val="18"/>
          <w:vertAlign w:val="baseline"/>
        </w:rPr>
        <w:t> </w:t>
      </w:r>
      <w:r>
        <w:rPr>
          <w:sz w:val="18"/>
          <w:vertAlign w:val="baseline"/>
        </w:rPr>
        <w:t>Cassie.</w:t>
      </w:r>
      <w:r>
        <w:rPr>
          <w:spacing w:val="-3"/>
          <w:sz w:val="18"/>
          <w:vertAlign w:val="baseline"/>
        </w:rPr>
        <w:t> </w:t>
      </w:r>
      <w:r>
        <w:rPr>
          <w:sz w:val="18"/>
          <w:vertAlign w:val="baseline"/>
        </w:rPr>
        <w:t>“Tied</w:t>
      </w:r>
      <w:r>
        <w:rPr>
          <w:spacing w:val="-3"/>
          <w:sz w:val="18"/>
          <w:vertAlign w:val="baseline"/>
        </w:rPr>
        <w:t> </w:t>
      </w:r>
      <w:r>
        <w:rPr>
          <w:sz w:val="18"/>
          <w:vertAlign w:val="baseline"/>
        </w:rPr>
        <w:t>Together:</w:t>
      </w:r>
      <w:r>
        <w:rPr>
          <w:spacing w:val="-3"/>
          <w:sz w:val="18"/>
          <w:vertAlign w:val="baseline"/>
        </w:rPr>
        <w:t> </w:t>
      </w:r>
      <w:r>
        <w:rPr>
          <w:sz w:val="18"/>
          <w:vertAlign w:val="baseline"/>
        </w:rPr>
        <w:t>Adolescent</w:t>
      </w:r>
      <w:r>
        <w:rPr>
          <w:spacing w:val="-5"/>
          <w:sz w:val="18"/>
          <w:vertAlign w:val="baseline"/>
        </w:rPr>
        <w:t> </w:t>
      </w:r>
      <w:r>
        <w:rPr>
          <w:sz w:val="18"/>
          <w:vertAlign w:val="baseline"/>
        </w:rPr>
        <w:t>Friendship</w:t>
      </w:r>
      <w:r>
        <w:rPr>
          <w:spacing w:val="-3"/>
          <w:sz w:val="18"/>
          <w:vertAlign w:val="baseline"/>
        </w:rPr>
        <w:t> </w:t>
      </w:r>
      <w:r>
        <w:rPr>
          <w:sz w:val="18"/>
          <w:vertAlign w:val="baseline"/>
        </w:rPr>
        <w:t>Networks,</w:t>
      </w:r>
      <w:r>
        <w:rPr>
          <w:spacing w:val="-4"/>
          <w:sz w:val="18"/>
          <w:vertAlign w:val="baseline"/>
        </w:rPr>
        <w:t> </w:t>
      </w:r>
      <w:r>
        <w:rPr>
          <w:sz w:val="18"/>
          <w:vertAlign w:val="baseline"/>
        </w:rPr>
        <w:t>Immigrant</w:t>
      </w:r>
      <w:r>
        <w:rPr>
          <w:spacing w:val="-4"/>
          <w:sz w:val="18"/>
          <w:vertAlign w:val="baseline"/>
        </w:rPr>
        <w:t> </w:t>
      </w:r>
      <w:r>
        <w:rPr>
          <w:sz w:val="18"/>
          <w:vertAlign w:val="baseline"/>
        </w:rPr>
        <w:t>Status,</w:t>
      </w:r>
      <w:r>
        <w:rPr>
          <w:spacing w:val="-4"/>
          <w:sz w:val="18"/>
          <w:vertAlign w:val="baseline"/>
        </w:rPr>
        <w:t> </w:t>
      </w:r>
      <w:r>
        <w:rPr>
          <w:sz w:val="18"/>
          <w:vertAlign w:val="baseline"/>
        </w:rPr>
        <w:t>and</w:t>
      </w:r>
      <w:r>
        <w:rPr>
          <w:spacing w:val="-3"/>
          <w:sz w:val="18"/>
          <w:vertAlign w:val="baseline"/>
        </w:rPr>
        <w:t> </w:t>
      </w:r>
      <w:r>
        <w:rPr>
          <w:sz w:val="18"/>
          <w:vertAlign w:val="baseline"/>
        </w:rPr>
        <w:t>Health</w:t>
      </w:r>
      <w:r>
        <w:rPr>
          <w:spacing w:val="-3"/>
          <w:sz w:val="18"/>
          <w:vertAlign w:val="baseline"/>
        </w:rPr>
        <w:t> </w:t>
      </w:r>
      <w:r>
        <w:rPr>
          <w:sz w:val="18"/>
          <w:vertAlign w:val="baseline"/>
        </w:rPr>
        <w:t>Outcomes.”</w:t>
      </w:r>
      <w:r>
        <w:rPr>
          <w:spacing w:val="-3"/>
          <w:sz w:val="18"/>
          <w:vertAlign w:val="baseline"/>
        </w:rPr>
        <w:t> </w:t>
      </w:r>
      <w:r>
        <w:rPr>
          <w:sz w:val="18"/>
          <w:vertAlign w:val="baseline"/>
        </w:rPr>
        <w:t>Demography</w:t>
      </w:r>
      <w:r>
        <w:rPr>
          <w:spacing w:val="-3"/>
          <w:sz w:val="18"/>
          <w:vertAlign w:val="baseline"/>
        </w:rPr>
        <w:t> </w:t>
      </w:r>
      <w:r>
        <w:rPr>
          <w:sz w:val="18"/>
          <w:vertAlign w:val="baseline"/>
        </w:rPr>
        <w:t>56, no. 3 (June 1, 2019): 1075–1103. </w:t>
      </w:r>
      <w:hyperlink r:id="rId217">
        <w:r>
          <w:rPr>
            <w:color w:val="1153CC"/>
            <w:sz w:val="18"/>
            <w:u w:val="single" w:color="1153CC"/>
            <w:vertAlign w:val="baseline"/>
          </w:rPr>
          <w:t>https://doi.org/10.1007/s13524-019-00770-w</w:t>
        </w:r>
      </w:hyperlink>
      <w:hyperlink r:id="rId217">
        <w:r>
          <w:rPr>
            <w:sz w:val="18"/>
            <w:u w:val="none"/>
            <w:vertAlign w:val="baseline"/>
          </w:rPr>
          <w:t>.</w:t>
        </w:r>
      </w:hyperlink>
    </w:p>
    <w:p>
      <w:pPr>
        <w:spacing w:before="0"/>
        <w:ind w:left="463" w:right="0" w:firstLine="0"/>
        <w:jc w:val="left"/>
        <w:rPr>
          <w:sz w:val="18"/>
        </w:rPr>
      </w:pPr>
      <w:bookmarkStart w:name="_bookmark133" w:id="289"/>
      <w:bookmarkEnd w:id="289"/>
      <w:r>
        <w:rPr/>
      </w:r>
      <w:r>
        <w:rPr>
          <w:sz w:val="18"/>
          <w:vertAlign w:val="superscript"/>
        </w:rPr>
        <w:t>31</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“2022</w:t>
      </w:r>
      <w:r>
        <w:rPr>
          <w:spacing w:val="-3"/>
          <w:sz w:val="18"/>
          <w:vertAlign w:val="baseline"/>
        </w:rPr>
        <w:t> </w:t>
      </w:r>
      <w:r>
        <w:rPr>
          <w:sz w:val="18"/>
          <w:vertAlign w:val="baseline"/>
        </w:rPr>
        <w:t>National</w:t>
      </w:r>
      <w:r>
        <w:rPr>
          <w:spacing w:val="-4"/>
          <w:sz w:val="18"/>
          <w:vertAlign w:val="baseline"/>
        </w:rPr>
        <w:t> </w:t>
      </w:r>
      <w:r>
        <w:rPr>
          <w:sz w:val="18"/>
          <w:vertAlign w:val="baseline"/>
        </w:rPr>
        <w:t>Survey</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2022,</w:t>
      </w:r>
      <w:r>
        <w:rPr>
          <w:spacing w:val="-4"/>
          <w:sz w:val="18"/>
          <w:vertAlign w:val="baseline"/>
        </w:rPr>
        <w:t> </w:t>
      </w:r>
      <w:hyperlink r:id="rId193">
        <w:r>
          <w:rPr>
            <w:color w:val="1153CC"/>
            <w:sz w:val="18"/>
            <w:u w:val="single" w:color="1153CC"/>
            <w:vertAlign w:val="baseline"/>
          </w:rPr>
          <w:t>https://www.thetrevorproject.org/survey-</w:t>
        </w:r>
      </w:hyperlink>
      <w:r>
        <w:rPr>
          <w:color w:val="1153CC"/>
          <w:sz w:val="18"/>
          <w:u w:val="none"/>
          <w:vertAlign w:val="baseline"/>
        </w:rPr>
        <w:t> </w:t>
      </w:r>
      <w:hyperlink r:id="rId193">
        <w:r>
          <w:rPr>
            <w:color w:val="1153CC"/>
            <w:spacing w:val="-2"/>
            <w:sz w:val="18"/>
            <w:u w:val="single" w:color="1153CC"/>
            <w:vertAlign w:val="baseline"/>
          </w:rPr>
          <w:t>2022/assets/static/trevor01_2022survey_final.pdf</w:t>
        </w:r>
      </w:hyperlink>
      <w:hyperlink r:id="rId193">
        <w:r>
          <w:rPr>
            <w:spacing w:val="-2"/>
            <w:sz w:val="18"/>
            <w:u w:val="none"/>
            <w:vertAlign w:val="baseline"/>
          </w:rPr>
          <w:t>.</w:t>
        </w:r>
      </w:hyperlink>
    </w:p>
    <w:p>
      <w:pPr>
        <w:spacing w:before="0"/>
        <w:ind w:left="463" w:right="1777" w:hanging="1"/>
        <w:jc w:val="left"/>
        <w:rPr>
          <w:sz w:val="18"/>
        </w:rPr>
      </w:pPr>
      <w:r>
        <w:rPr>
          <w:sz w:val="18"/>
          <w:vertAlign w:val="superscript"/>
        </w:rPr>
        <w:t>32</w:t>
      </w:r>
      <w:r>
        <w:rPr>
          <w:spacing w:val="-13"/>
          <w:sz w:val="18"/>
          <w:vertAlign w:val="baseline"/>
        </w:rPr>
        <w:t> </w:t>
      </w:r>
      <w:r>
        <w:rPr>
          <w:sz w:val="18"/>
          <w:vertAlign w:val="baseline"/>
        </w:rPr>
        <w:t>Ariana.</w:t>
      </w:r>
      <w:r>
        <w:rPr>
          <w:spacing w:val="-4"/>
          <w:sz w:val="18"/>
          <w:vertAlign w:val="baseline"/>
        </w:rPr>
        <w:t> </w:t>
      </w:r>
      <w:r>
        <w:rPr>
          <w:sz w:val="18"/>
          <w:vertAlign w:val="baseline"/>
        </w:rPr>
        <w:t>“Roots</w:t>
      </w:r>
      <w:r>
        <w:rPr>
          <w:spacing w:val="-3"/>
          <w:sz w:val="18"/>
          <w:vertAlign w:val="baseline"/>
        </w:rPr>
        <w:t> </w:t>
      </w:r>
      <w:r>
        <w:rPr>
          <w:sz w:val="18"/>
          <w:vertAlign w:val="baseline"/>
        </w:rPr>
        <w:t>Run</w:t>
      </w:r>
      <w:r>
        <w:rPr>
          <w:spacing w:val="-2"/>
          <w:sz w:val="18"/>
          <w:vertAlign w:val="baseline"/>
        </w:rPr>
        <w:t> </w:t>
      </w:r>
      <w:r>
        <w:rPr>
          <w:sz w:val="18"/>
          <w:vertAlign w:val="baseline"/>
        </w:rPr>
        <w:t>Deep:</w:t>
      </w:r>
      <w:r>
        <w:rPr>
          <w:spacing w:val="-2"/>
          <w:sz w:val="18"/>
          <w:vertAlign w:val="baseline"/>
        </w:rPr>
        <w:t> </w:t>
      </w:r>
      <w:r>
        <w:rPr>
          <w:sz w:val="18"/>
          <w:vertAlign w:val="baseline"/>
        </w:rPr>
        <w:t>How</w:t>
      </w:r>
      <w:r>
        <w:rPr>
          <w:spacing w:val="-3"/>
          <w:sz w:val="18"/>
          <w:vertAlign w:val="baseline"/>
        </w:rPr>
        <w:t> </w:t>
      </w:r>
      <w:r>
        <w:rPr>
          <w:sz w:val="18"/>
          <w:vertAlign w:val="baseline"/>
        </w:rPr>
        <w:t>History</w:t>
      </w:r>
      <w:r>
        <w:rPr>
          <w:spacing w:val="-2"/>
          <w:sz w:val="18"/>
          <w:vertAlign w:val="baseline"/>
        </w:rPr>
        <w:t> </w:t>
      </w:r>
      <w:r>
        <w:rPr>
          <w:sz w:val="18"/>
          <w:vertAlign w:val="baseline"/>
        </w:rPr>
        <w:t>and</w:t>
      </w:r>
      <w:r>
        <w:rPr>
          <w:spacing w:val="-2"/>
          <w:sz w:val="18"/>
          <w:vertAlign w:val="baseline"/>
        </w:rPr>
        <w:t> </w:t>
      </w:r>
      <w:r>
        <w:rPr>
          <w:sz w:val="18"/>
          <w:vertAlign w:val="baseline"/>
        </w:rPr>
        <w:t>Culture</w:t>
      </w:r>
      <w:r>
        <w:rPr>
          <w:spacing w:val="-2"/>
          <w:sz w:val="18"/>
          <w:vertAlign w:val="baseline"/>
        </w:rPr>
        <w:t> </w:t>
      </w:r>
      <w:r>
        <w:rPr>
          <w:sz w:val="18"/>
          <w:vertAlign w:val="baseline"/>
        </w:rPr>
        <w:t>Impact</w:t>
      </w:r>
      <w:r>
        <w:rPr>
          <w:spacing w:val="-3"/>
          <w:sz w:val="18"/>
          <w:vertAlign w:val="baseline"/>
        </w:rPr>
        <w:t> </w:t>
      </w:r>
      <w:r>
        <w:rPr>
          <w:sz w:val="18"/>
          <w:vertAlign w:val="baseline"/>
        </w:rPr>
        <w:t>LGBT+</w:t>
      </w:r>
      <w:r>
        <w:rPr>
          <w:spacing w:val="-2"/>
          <w:sz w:val="18"/>
          <w:vertAlign w:val="baseline"/>
        </w:rPr>
        <w:t> </w:t>
      </w:r>
      <w:r>
        <w:rPr>
          <w:sz w:val="18"/>
          <w:vertAlign w:val="baseline"/>
        </w:rPr>
        <w:t>Acceptance</w:t>
      </w:r>
      <w:r>
        <w:rPr>
          <w:spacing w:val="-2"/>
          <w:sz w:val="18"/>
          <w:vertAlign w:val="baseline"/>
        </w:rPr>
        <w:t> </w:t>
      </w:r>
      <w:r>
        <w:rPr>
          <w:sz w:val="18"/>
          <w:vertAlign w:val="baseline"/>
        </w:rPr>
        <w:t>in</w:t>
      </w:r>
      <w:r>
        <w:rPr>
          <w:spacing w:val="-2"/>
          <w:sz w:val="18"/>
          <w:vertAlign w:val="baseline"/>
        </w:rPr>
        <w:t> </w:t>
      </w:r>
      <w:r>
        <w:rPr>
          <w:sz w:val="18"/>
          <w:vertAlign w:val="baseline"/>
        </w:rPr>
        <w:t>Asia,”</w:t>
      </w:r>
      <w:r>
        <w:rPr>
          <w:spacing w:val="-2"/>
          <w:sz w:val="18"/>
          <w:vertAlign w:val="baseline"/>
        </w:rPr>
        <w:t> </w:t>
      </w:r>
      <w:r>
        <w:rPr>
          <w:sz w:val="18"/>
          <w:vertAlign w:val="baseline"/>
        </w:rPr>
        <w:t>December</w:t>
      </w:r>
      <w:r>
        <w:rPr>
          <w:spacing w:val="-4"/>
          <w:sz w:val="18"/>
          <w:vertAlign w:val="baseline"/>
        </w:rPr>
        <w:t> </w:t>
      </w:r>
      <w:r>
        <w:rPr>
          <w:sz w:val="18"/>
          <w:vertAlign w:val="baseline"/>
        </w:rPr>
        <w:t>29,</w:t>
      </w:r>
      <w:r>
        <w:rPr>
          <w:spacing w:val="-3"/>
          <w:sz w:val="18"/>
          <w:vertAlign w:val="baseline"/>
        </w:rPr>
        <w:t> </w:t>
      </w:r>
      <w:r>
        <w:rPr>
          <w:sz w:val="18"/>
          <w:vertAlign w:val="baseline"/>
        </w:rPr>
        <w:t>2020. </w:t>
      </w:r>
      <w:hyperlink r:id="rId218">
        <w:r>
          <w:rPr>
            <w:color w:val="1153CC"/>
            <w:spacing w:val="-2"/>
            <w:sz w:val="18"/>
            <w:u w:val="single" w:color="1153CC"/>
            <w:vertAlign w:val="baseline"/>
          </w:rPr>
          <w:t>www.arianalife.com/topics/lgbt/roots-run-deep-how-history-and-culture-impact-lgbt-acceptance-in-asia/</w:t>
        </w:r>
      </w:hyperlink>
      <w:hyperlink r:id="rId218">
        <w:r>
          <w:rPr>
            <w:spacing w:val="-2"/>
            <w:sz w:val="18"/>
            <w:u w:val="none"/>
            <w:vertAlign w:val="baseline"/>
          </w:rPr>
          <w:t>.</w:t>
        </w:r>
      </w:hyperlink>
    </w:p>
    <w:p>
      <w:pPr>
        <w:spacing w:before="0"/>
        <w:ind w:left="463" w:right="250" w:firstLine="0"/>
        <w:jc w:val="left"/>
        <w:rPr>
          <w:sz w:val="18"/>
        </w:rPr>
      </w:pPr>
      <w:bookmarkStart w:name="_bookmark134" w:id="290"/>
      <w:bookmarkEnd w:id="290"/>
      <w:r>
        <w:rPr/>
      </w:r>
      <w:r>
        <w:rPr>
          <w:sz w:val="18"/>
          <w:vertAlign w:val="superscript"/>
        </w:rPr>
        <w:t>33</w:t>
      </w:r>
      <w:r>
        <w:rPr>
          <w:spacing w:val="-13"/>
          <w:sz w:val="18"/>
          <w:vertAlign w:val="baseline"/>
        </w:rPr>
        <w:t> </w:t>
      </w:r>
      <w:r>
        <w:rPr>
          <w:sz w:val="18"/>
          <w:vertAlign w:val="baseline"/>
        </w:rPr>
        <w:t>Chau,</w:t>
      </w:r>
      <w:r>
        <w:rPr>
          <w:spacing w:val="-4"/>
          <w:sz w:val="18"/>
          <w:vertAlign w:val="baseline"/>
        </w:rPr>
        <w:t> </w:t>
      </w:r>
      <w:r>
        <w:rPr>
          <w:sz w:val="18"/>
          <w:vertAlign w:val="baseline"/>
        </w:rPr>
        <w:t>Victoria,</w:t>
      </w:r>
      <w:r>
        <w:rPr>
          <w:spacing w:val="-2"/>
          <w:sz w:val="18"/>
          <w:vertAlign w:val="baseline"/>
        </w:rPr>
        <w:t> </w:t>
      </w:r>
      <w:r>
        <w:rPr>
          <w:sz w:val="18"/>
          <w:vertAlign w:val="baseline"/>
        </w:rPr>
        <w:t>and</w:t>
      </w:r>
      <w:r>
        <w:rPr>
          <w:spacing w:val="-2"/>
          <w:sz w:val="18"/>
          <w:vertAlign w:val="baseline"/>
        </w:rPr>
        <w:t> </w:t>
      </w:r>
      <w:r>
        <w:rPr>
          <w:sz w:val="18"/>
          <w:vertAlign w:val="baseline"/>
        </w:rPr>
        <w:t>Perry</w:t>
      </w:r>
      <w:r>
        <w:rPr>
          <w:spacing w:val="-2"/>
          <w:sz w:val="18"/>
          <w:vertAlign w:val="baseline"/>
        </w:rPr>
        <w:t> </w:t>
      </w:r>
      <w:r>
        <w:rPr>
          <w:sz w:val="18"/>
          <w:vertAlign w:val="baseline"/>
        </w:rPr>
        <w:t>Chan.</w:t>
      </w:r>
      <w:r>
        <w:rPr>
          <w:spacing w:val="-3"/>
          <w:sz w:val="18"/>
          <w:vertAlign w:val="baseline"/>
        </w:rPr>
        <w:t> </w:t>
      </w:r>
      <w:r>
        <w:rPr>
          <w:sz w:val="18"/>
          <w:vertAlign w:val="baseline"/>
        </w:rPr>
        <w:t>“One</w:t>
      </w:r>
      <w:r>
        <w:rPr>
          <w:spacing w:val="-2"/>
          <w:sz w:val="18"/>
          <w:vertAlign w:val="baseline"/>
        </w:rPr>
        <w:t> </w:t>
      </w:r>
      <w:r>
        <w:rPr>
          <w:sz w:val="18"/>
          <w:vertAlign w:val="baseline"/>
        </w:rPr>
        <w:t>Size</w:t>
      </w:r>
      <w:r>
        <w:rPr>
          <w:spacing w:val="-2"/>
          <w:sz w:val="18"/>
          <w:vertAlign w:val="baseline"/>
        </w:rPr>
        <w:t> </w:t>
      </w:r>
      <w:r>
        <w:rPr>
          <w:sz w:val="18"/>
          <w:vertAlign w:val="baseline"/>
        </w:rPr>
        <w:t>Does</w:t>
      </w:r>
      <w:r>
        <w:rPr>
          <w:spacing w:val="-3"/>
          <w:sz w:val="18"/>
          <w:vertAlign w:val="baseline"/>
        </w:rPr>
        <w:t> </w:t>
      </w:r>
      <w:r>
        <w:rPr>
          <w:sz w:val="18"/>
          <w:vertAlign w:val="baseline"/>
        </w:rPr>
        <w:t>Not</w:t>
      </w:r>
      <w:r>
        <w:rPr>
          <w:spacing w:val="-3"/>
          <w:sz w:val="18"/>
          <w:vertAlign w:val="baseline"/>
        </w:rPr>
        <w:t> </w:t>
      </w:r>
      <w:r>
        <w:rPr>
          <w:sz w:val="18"/>
          <w:vertAlign w:val="baseline"/>
        </w:rPr>
        <w:t>Fit</w:t>
      </w:r>
      <w:r>
        <w:rPr>
          <w:spacing w:val="-3"/>
          <w:sz w:val="18"/>
          <w:vertAlign w:val="baseline"/>
        </w:rPr>
        <w:t> </w:t>
      </w:r>
      <w:r>
        <w:rPr>
          <w:sz w:val="18"/>
          <w:vertAlign w:val="baseline"/>
        </w:rPr>
        <w:t>All:</w:t>
      </w:r>
      <w:r>
        <w:rPr>
          <w:spacing w:val="-2"/>
          <w:sz w:val="18"/>
          <w:vertAlign w:val="baseline"/>
        </w:rPr>
        <w:t> </w:t>
      </w:r>
      <w:r>
        <w:rPr>
          <w:sz w:val="18"/>
          <w:vertAlign w:val="baseline"/>
        </w:rPr>
        <w:t>Appreciating</w:t>
      </w:r>
      <w:r>
        <w:rPr>
          <w:spacing w:val="-2"/>
          <w:sz w:val="18"/>
          <w:vertAlign w:val="baseline"/>
        </w:rPr>
        <w:t> </w:t>
      </w:r>
      <w:r>
        <w:rPr>
          <w:sz w:val="18"/>
          <w:vertAlign w:val="baseline"/>
        </w:rPr>
        <w:t>the</w:t>
      </w:r>
      <w:r>
        <w:rPr>
          <w:spacing w:val="-2"/>
          <w:sz w:val="18"/>
          <w:vertAlign w:val="baseline"/>
        </w:rPr>
        <w:t> </w:t>
      </w:r>
      <w:r>
        <w:rPr>
          <w:sz w:val="18"/>
          <w:vertAlign w:val="baseline"/>
        </w:rPr>
        <w:t>Diversity</w:t>
      </w:r>
      <w:r>
        <w:rPr>
          <w:spacing w:val="-2"/>
          <w:sz w:val="18"/>
          <w:vertAlign w:val="baseline"/>
        </w:rPr>
        <w:t> </w:t>
      </w:r>
      <w:r>
        <w:rPr>
          <w:sz w:val="18"/>
          <w:vertAlign w:val="baseline"/>
        </w:rPr>
        <w:t>of</w:t>
      </w:r>
      <w:r>
        <w:rPr>
          <w:spacing w:val="-2"/>
          <w:sz w:val="18"/>
          <w:vertAlign w:val="baseline"/>
        </w:rPr>
        <w:t> </w:t>
      </w:r>
      <w:r>
        <w:rPr>
          <w:sz w:val="18"/>
          <w:vertAlign w:val="baseline"/>
        </w:rPr>
        <w:t>Asian</w:t>
      </w:r>
      <w:r>
        <w:rPr>
          <w:spacing w:val="-2"/>
          <w:sz w:val="18"/>
          <w:vertAlign w:val="baseline"/>
        </w:rPr>
        <w:t> </w:t>
      </w:r>
      <w:r>
        <w:rPr>
          <w:sz w:val="18"/>
          <w:vertAlign w:val="baseline"/>
        </w:rPr>
        <w:t>Americans,</w:t>
      </w:r>
      <w:r>
        <w:rPr>
          <w:spacing w:val="-3"/>
          <w:sz w:val="18"/>
          <w:vertAlign w:val="baseline"/>
        </w:rPr>
        <w:t> </w:t>
      </w:r>
      <w:r>
        <w:rPr>
          <w:sz w:val="18"/>
          <w:vertAlign w:val="baseline"/>
        </w:rPr>
        <w:t>Native</w:t>
      </w:r>
      <w:r>
        <w:rPr>
          <w:spacing w:val="-2"/>
          <w:sz w:val="18"/>
          <w:vertAlign w:val="baseline"/>
        </w:rPr>
        <w:t> </w:t>
      </w:r>
      <w:r>
        <w:rPr>
          <w:sz w:val="18"/>
          <w:vertAlign w:val="baseline"/>
        </w:rPr>
        <w:t>Hawaiians,</w:t>
      </w:r>
      <w:r>
        <w:rPr>
          <w:spacing w:val="-3"/>
          <w:sz w:val="18"/>
          <w:vertAlign w:val="baseline"/>
        </w:rPr>
        <w:t> </w:t>
      </w:r>
      <w:r>
        <w:rPr>
          <w:sz w:val="18"/>
          <w:vertAlign w:val="baseline"/>
        </w:rPr>
        <w:t>and Pacific Islanders (AANHPIs) and the Implications for Mental Health.” Substance Abuse and Mental Health Services Administration (SAMHSA) Blog (blog), May 25, 2021. </w:t>
      </w:r>
      <w:hyperlink r:id="rId219">
        <w:r>
          <w:rPr>
            <w:color w:val="1153CC"/>
            <w:sz w:val="18"/>
            <w:u w:val="single" w:color="1153CC"/>
            <w:vertAlign w:val="baseline"/>
          </w:rPr>
          <w:t>www.samhsa.gov/blog/one-size-does-not-fit-all-appreciating-diversity-</w:t>
        </w:r>
      </w:hyperlink>
      <w:r>
        <w:rPr>
          <w:color w:val="1153CC"/>
          <w:sz w:val="18"/>
          <w:u w:val="single" w:color="1153CC"/>
          <w:vertAlign w:val="baseline"/>
        </w:rPr>
        <w:t> </w:t>
      </w:r>
      <w:hyperlink r:id="rId219">
        <w:r>
          <w:rPr>
            <w:color w:val="1153CC"/>
            <w:sz w:val="18"/>
            <w:u w:val="single" w:color="1153CC"/>
            <w:vertAlign w:val="baseline"/>
          </w:rPr>
          <w:t>asian-americans-</w:t>
        </w:r>
      </w:hyperlink>
      <w:r>
        <w:rPr>
          <w:color w:val="1153CC"/>
          <w:sz w:val="18"/>
          <w:u w:val="none"/>
          <w:vertAlign w:val="baseline"/>
        </w:rPr>
        <w:t> </w:t>
      </w:r>
      <w:hyperlink r:id="rId219">
        <w:r>
          <w:rPr>
            <w:color w:val="1153CC"/>
            <w:spacing w:val="-2"/>
            <w:sz w:val="18"/>
            <w:u w:val="single" w:color="1153CC"/>
            <w:vertAlign w:val="baseline"/>
          </w:rPr>
          <w:t>native-hawaiians-pacific</w:t>
        </w:r>
      </w:hyperlink>
      <w:hyperlink r:id="rId219">
        <w:r>
          <w:rPr>
            <w:spacing w:val="-2"/>
            <w:sz w:val="18"/>
            <w:u w:val="none"/>
            <w:vertAlign w:val="baseline"/>
          </w:rPr>
          <w:t>.</w:t>
        </w:r>
      </w:hyperlink>
    </w:p>
    <w:p>
      <w:pPr>
        <w:spacing w:before="0"/>
        <w:ind w:left="463" w:right="314" w:hanging="1"/>
        <w:jc w:val="left"/>
        <w:rPr>
          <w:sz w:val="18"/>
        </w:rPr>
      </w:pPr>
      <w:bookmarkStart w:name="_bookmark135" w:id="291"/>
      <w:bookmarkEnd w:id="291"/>
      <w:r>
        <w:rPr/>
      </w:r>
      <w:r>
        <w:rPr>
          <w:sz w:val="18"/>
          <w:vertAlign w:val="superscript"/>
        </w:rPr>
        <w:t>34</w:t>
      </w:r>
      <w:r>
        <w:rPr>
          <w:spacing w:val="-13"/>
          <w:sz w:val="18"/>
          <w:vertAlign w:val="baseline"/>
        </w:rPr>
        <w:t> </w:t>
      </w:r>
      <w:r>
        <w:rPr>
          <w:sz w:val="18"/>
          <w:vertAlign w:val="baseline"/>
        </w:rPr>
        <w:t>Green,</w:t>
      </w:r>
      <w:r>
        <w:rPr>
          <w:spacing w:val="-4"/>
          <w:sz w:val="18"/>
          <w:vertAlign w:val="baseline"/>
        </w:rPr>
        <w:t> </w:t>
      </w:r>
      <w:r>
        <w:rPr>
          <w:sz w:val="18"/>
          <w:vertAlign w:val="baseline"/>
        </w:rPr>
        <w:t>A.E.,</w:t>
      </w:r>
      <w:r>
        <w:rPr>
          <w:spacing w:val="-3"/>
          <w:sz w:val="18"/>
          <w:vertAlign w:val="baseline"/>
        </w:rPr>
        <w:t> </w:t>
      </w:r>
      <w:r>
        <w:rPr>
          <w:sz w:val="18"/>
          <w:vertAlign w:val="baseline"/>
        </w:rPr>
        <w:t>Price-Feeney,</w:t>
      </w:r>
      <w:r>
        <w:rPr>
          <w:spacing w:val="-3"/>
          <w:sz w:val="18"/>
          <w:vertAlign w:val="baseline"/>
        </w:rPr>
        <w:t> </w:t>
      </w:r>
      <w:r>
        <w:rPr>
          <w:sz w:val="18"/>
          <w:vertAlign w:val="baseline"/>
        </w:rPr>
        <w:t>M.</w:t>
      </w:r>
      <w:r>
        <w:rPr>
          <w:spacing w:val="-3"/>
          <w:sz w:val="18"/>
          <w:vertAlign w:val="baseline"/>
        </w:rPr>
        <w:t> </w:t>
      </w:r>
      <w:r>
        <w:rPr>
          <w:sz w:val="18"/>
          <w:vertAlign w:val="baseline"/>
        </w:rPr>
        <w:t>&amp;</w:t>
      </w:r>
      <w:r>
        <w:rPr>
          <w:spacing w:val="-3"/>
          <w:sz w:val="18"/>
          <w:vertAlign w:val="baseline"/>
        </w:rPr>
        <w:t> </w:t>
      </w:r>
      <w:r>
        <w:rPr>
          <w:sz w:val="18"/>
          <w:vertAlign w:val="baseline"/>
        </w:rPr>
        <w:t>Dorison,</w:t>
      </w:r>
      <w:r>
        <w:rPr>
          <w:spacing w:val="-3"/>
          <w:sz w:val="18"/>
          <w:vertAlign w:val="baseline"/>
        </w:rPr>
        <w:t> </w:t>
      </w:r>
      <w:r>
        <w:rPr>
          <w:sz w:val="18"/>
          <w:vertAlign w:val="baseline"/>
        </w:rPr>
        <w:t>S.</w:t>
      </w:r>
      <w:r>
        <w:rPr>
          <w:spacing w:val="-2"/>
          <w:sz w:val="18"/>
          <w:vertAlign w:val="baseline"/>
        </w:rPr>
        <w:t> </w:t>
      </w:r>
      <w:r>
        <w:rPr>
          <w:sz w:val="18"/>
          <w:vertAlign w:val="baseline"/>
        </w:rPr>
        <w:t>(2020).</w:t>
      </w:r>
      <w:r>
        <w:rPr>
          <w:spacing w:val="-2"/>
          <w:sz w:val="18"/>
          <w:vertAlign w:val="baseline"/>
        </w:rPr>
        <w:t> </w:t>
      </w:r>
      <w:r>
        <w:rPr>
          <w:sz w:val="18"/>
          <w:vertAlign w:val="baseline"/>
        </w:rPr>
        <w:t>Breaking</w:t>
      </w:r>
      <w:r>
        <w:rPr>
          <w:spacing w:val="-3"/>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quality</w:t>
      </w:r>
      <w:r>
        <w:rPr>
          <w:spacing w:val="-1"/>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care</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New</w:t>
      </w:r>
      <w:r>
        <w:rPr>
          <w:spacing w:val="-3"/>
          <w:sz w:val="18"/>
          <w:vertAlign w:val="baseline"/>
        </w:rPr>
        <w:t> </w:t>
      </w:r>
      <w:r>
        <w:rPr>
          <w:sz w:val="18"/>
          <w:vertAlign w:val="baseline"/>
        </w:rPr>
        <w:t>York, New York: The Trevor Project.</w:t>
      </w:r>
    </w:p>
    <w:p>
      <w:pPr>
        <w:spacing w:before="0"/>
        <w:ind w:left="463" w:right="517" w:firstLine="0"/>
        <w:jc w:val="both"/>
        <w:rPr>
          <w:sz w:val="18"/>
        </w:rPr>
      </w:pPr>
      <w:bookmarkStart w:name="_bookmark136" w:id="292"/>
      <w:bookmarkEnd w:id="292"/>
      <w:r>
        <w:rPr/>
      </w:r>
      <w:r>
        <w:rPr>
          <w:sz w:val="18"/>
          <w:vertAlign w:val="superscript"/>
        </w:rPr>
        <w:t>35</w:t>
      </w:r>
      <w:r>
        <w:rPr>
          <w:spacing w:val="-11"/>
          <w:sz w:val="18"/>
          <w:vertAlign w:val="baseline"/>
        </w:rPr>
        <w:t> </w:t>
      </w:r>
      <w:r>
        <w:rPr>
          <w:sz w:val="18"/>
          <w:vertAlign w:val="baseline"/>
        </w:rPr>
        <w:t>Martin,</w:t>
      </w:r>
      <w:r>
        <w:rPr>
          <w:spacing w:val="-3"/>
          <w:sz w:val="18"/>
          <w:vertAlign w:val="baseline"/>
        </w:rPr>
        <w:t> </w:t>
      </w:r>
      <w:r>
        <w:rPr>
          <w:sz w:val="18"/>
          <w:vertAlign w:val="baseline"/>
        </w:rPr>
        <w:t>Naomi. “Schools Are Increasing Mental</w:t>
      </w:r>
      <w:r>
        <w:rPr>
          <w:spacing w:val="-1"/>
          <w:sz w:val="18"/>
          <w:vertAlign w:val="baseline"/>
        </w:rPr>
        <w:t> </w:t>
      </w:r>
      <w:r>
        <w:rPr>
          <w:sz w:val="18"/>
          <w:vertAlign w:val="baseline"/>
        </w:rPr>
        <w:t>Health Support</w:t>
      </w:r>
      <w:r>
        <w:rPr>
          <w:spacing w:val="-1"/>
          <w:sz w:val="18"/>
          <w:vertAlign w:val="baseline"/>
        </w:rPr>
        <w:t> </w:t>
      </w:r>
      <w:r>
        <w:rPr>
          <w:sz w:val="18"/>
          <w:vertAlign w:val="baseline"/>
        </w:rPr>
        <w:t>This Year,</w:t>
      </w:r>
      <w:r>
        <w:rPr>
          <w:spacing w:val="-1"/>
          <w:sz w:val="18"/>
          <w:vertAlign w:val="baseline"/>
        </w:rPr>
        <w:t> </w:t>
      </w:r>
      <w:r>
        <w:rPr>
          <w:sz w:val="18"/>
          <w:vertAlign w:val="baseline"/>
        </w:rPr>
        <w:t>but</w:t>
      </w:r>
      <w:r>
        <w:rPr>
          <w:spacing w:val="-1"/>
          <w:sz w:val="18"/>
          <w:vertAlign w:val="baseline"/>
        </w:rPr>
        <w:t> </w:t>
      </w:r>
      <w:r>
        <w:rPr>
          <w:sz w:val="18"/>
          <w:vertAlign w:val="baseline"/>
        </w:rPr>
        <w:t>Experts Fear</w:t>
      </w:r>
      <w:r>
        <w:rPr>
          <w:spacing w:val="-1"/>
          <w:sz w:val="18"/>
          <w:vertAlign w:val="baseline"/>
        </w:rPr>
        <w:t> </w:t>
      </w:r>
      <w:r>
        <w:rPr>
          <w:sz w:val="18"/>
          <w:vertAlign w:val="baseline"/>
        </w:rPr>
        <w:t>It’s Still</w:t>
      </w:r>
      <w:r>
        <w:rPr>
          <w:spacing w:val="-1"/>
          <w:sz w:val="18"/>
          <w:vertAlign w:val="baseline"/>
        </w:rPr>
        <w:t> </w:t>
      </w:r>
      <w:r>
        <w:rPr>
          <w:sz w:val="18"/>
          <w:vertAlign w:val="baseline"/>
        </w:rPr>
        <w:t>Not</w:t>
      </w:r>
      <w:r>
        <w:rPr>
          <w:spacing w:val="-1"/>
          <w:sz w:val="18"/>
          <w:vertAlign w:val="baseline"/>
        </w:rPr>
        <w:t> </w:t>
      </w:r>
      <w:r>
        <w:rPr>
          <w:sz w:val="18"/>
          <w:vertAlign w:val="baseline"/>
        </w:rPr>
        <w:t>Enough.” </w:t>
      </w:r>
      <w:r>
        <w:rPr>
          <w:i/>
          <w:sz w:val="18"/>
          <w:vertAlign w:val="baseline"/>
        </w:rPr>
        <w:t>The Boston</w:t>
      </w:r>
      <w:r>
        <w:rPr>
          <w:i/>
          <w:sz w:val="18"/>
          <w:vertAlign w:val="baseline"/>
        </w:rPr>
        <w:t> Globe,</w:t>
      </w:r>
      <w:r>
        <w:rPr>
          <w:i/>
          <w:spacing w:val="-10"/>
          <w:sz w:val="18"/>
          <w:vertAlign w:val="baseline"/>
        </w:rPr>
        <w:t> </w:t>
      </w:r>
      <w:r>
        <w:rPr>
          <w:sz w:val="18"/>
          <w:vertAlign w:val="baseline"/>
        </w:rPr>
        <w:t>September</w:t>
      </w:r>
      <w:r>
        <w:rPr>
          <w:spacing w:val="-10"/>
          <w:sz w:val="18"/>
          <w:vertAlign w:val="baseline"/>
        </w:rPr>
        <w:t> </w:t>
      </w:r>
      <w:r>
        <w:rPr>
          <w:sz w:val="18"/>
          <w:vertAlign w:val="baseline"/>
        </w:rPr>
        <w:t>6,</w:t>
      </w:r>
      <w:r>
        <w:rPr>
          <w:spacing w:val="-10"/>
          <w:sz w:val="18"/>
          <w:vertAlign w:val="baseline"/>
        </w:rPr>
        <w:t> </w:t>
      </w:r>
      <w:r>
        <w:rPr>
          <w:sz w:val="18"/>
          <w:vertAlign w:val="baseline"/>
        </w:rPr>
        <w:t>2021.</w:t>
      </w:r>
      <w:r>
        <w:rPr>
          <w:spacing w:val="-9"/>
          <w:sz w:val="18"/>
          <w:vertAlign w:val="baseline"/>
        </w:rPr>
        <w:t> </w:t>
      </w:r>
      <w:hyperlink r:id="rId220">
        <w:r>
          <w:rPr>
            <w:color w:val="1153CC"/>
            <w:sz w:val="18"/>
            <w:u w:val="single" w:color="1153CC"/>
            <w:vertAlign w:val="baseline"/>
          </w:rPr>
          <w:t>https://www.bostonglobe.com/2021/09/06/metro/schools-are-increasing-mental-health-support-</w:t>
        </w:r>
      </w:hyperlink>
      <w:r>
        <w:rPr>
          <w:color w:val="1153CC"/>
          <w:sz w:val="18"/>
          <w:u w:val="none"/>
          <w:vertAlign w:val="baseline"/>
        </w:rPr>
        <w:t> </w:t>
      </w:r>
      <w:hyperlink r:id="rId220">
        <w:r>
          <w:rPr>
            <w:color w:val="1153CC"/>
            <w:spacing w:val="-2"/>
            <w:sz w:val="18"/>
            <w:u w:val="single" w:color="1153CC"/>
            <w:vertAlign w:val="baseline"/>
          </w:rPr>
          <w:t>this-year-experts-fear-its-still-not-enough/</w:t>
        </w:r>
      </w:hyperlink>
      <w:hyperlink r:id="rId220">
        <w:r>
          <w:rPr>
            <w:spacing w:val="-2"/>
            <w:sz w:val="18"/>
            <w:u w:val="none"/>
            <w:vertAlign w:val="baseline"/>
          </w:rPr>
          <w:t>.</w:t>
        </w:r>
      </w:hyperlink>
    </w:p>
    <w:p>
      <w:pPr>
        <w:spacing w:before="0"/>
        <w:ind w:left="463" w:right="314" w:hanging="1"/>
        <w:jc w:val="left"/>
        <w:rPr>
          <w:sz w:val="18"/>
        </w:rPr>
      </w:pPr>
      <w:bookmarkStart w:name="_bookmark137" w:id="293"/>
      <w:bookmarkEnd w:id="293"/>
      <w:r>
        <w:rPr/>
      </w:r>
      <w:r>
        <w:rPr>
          <w:sz w:val="18"/>
          <w:vertAlign w:val="superscript"/>
        </w:rPr>
        <w:t>36</w:t>
      </w:r>
      <w:r>
        <w:rPr>
          <w:spacing w:val="-13"/>
          <w:sz w:val="18"/>
          <w:vertAlign w:val="baseline"/>
        </w:rPr>
        <w:t> </w:t>
      </w:r>
      <w:r>
        <w:rPr>
          <w:sz w:val="18"/>
          <w:vertAlign w:val="baseline"/>
        </w:rPr>
        <w:t>Ahmed,</w:t>
      </w:r>
      <w:r>
        <w:rPr>
          <w:spacing w:val="-5"/>
          <w:sz w:val="18"/>
          <w:vertAlign w:val="baseline"/>
        </w:rPr>
        <w:t> </w:t>
      </w:r>
      <w:r>
        <w:rPr>
          <w:sz w:val="18"/>
          <w:vertAlign w:val="baseline"/>
        </w:rPr>
        <w:t>Sawssan</w:t>
      </w:r>
      <w:r>
        <w:rPr>
          <w:spacing w:val="-2"/>
          <w:sz w:val="18"/>
          <w:vertAlign w:val="baseline"/>
        </w:rPr>
        <w:t> </w:t>
      </w:r>
      <w:r>
        <w:rPr>
          <w:sz w:val="18"/>
          <w:vertAlign w:val="baseline"/>
        </w:rPr>
        <w:t>R.,</w:t>
      </w:r>
      <w:r>
        <w:rPr>
          <w:spacing w:val="-3"/>
          <w:sz w:val="18"/>
          <w:vertAlign w:val="baseline"/>
        </w:rPr>
        <w:t> </w:t>
      </w:r>
      <w:r>
        <w:rPr>
          <w:sz w:val="18"/>
          <w:vertAlign w:val="baseline"/>
        </w:rPr>
        <w:t>Maryam</w:t>
      </w:r>
      <w:r>
        <w:rPr>
          <w:spacing w:val="-2"/>
          <w:sz w:val="18"/>
          <w:vertAlign w:val="baseline"/>
        </w:rPr>
        <w:t> </w:t>
      </w:r>
      <w:r>
        <w:rPr>
          <w:sz w:val="18"/>
          <w:vertAlign w:val="baseline"/>
        </w:rPr>
        <w:t>Kia-Keating,</w:t>
      </w:r>
      <w:r>
        <w:rPr>
          <w:spacing w:val="-3"/>
          <w:sz w:val="18"/>
          <w:vertAlign w:val="baseline"/>
        </w:rPr>
        <w:t> </w:t>
      </w:r>
      <w:r>
        <w:rPr>
          <w:sz w:val="18"/>
          <w:vertAlign w:val="baseline"/>
        </w:rPr>
        <w:t>and</w:t>
      </w:r>
      <w:r>
        <w:rPr>
          <w:spacing w:val="-2"/>
          <w:sz w:val="18"/>
          <w:vertAlign w:val="baseline"/>
        </w:rPr>
        <w:t> </w:t>
      </w:r>
      <w:r>
        <w:rPr>
          <w:sz w:val="18"/>
          <w:vertAlign w:val="baseline"/>
        </w:rPr>
        <w:t>Katherine</w:t>
      </w:r>
      <w:r>
        <w:rPr>
          <w:spacing w:val="-2"/>
          <w:sz w:val="18"/>
          <w:vertAlign w:val="baseline"/>
        </w:rPr>
        <w:t> </w:t>
      </w:r>
      <w:r>
        <w:rPr>
          <w:sz w:val="18"/>
          <w:vertAlign w:val="baseline"/>
        </w:rPr>
        <w:t>H.</w:t>
      </w:r>
      <w:r>
        <w:rPr>
          <w:spacing w:val="-2"/>
          <w:sz w:val="18"/>
          <w:vertAlign w:val="baseline"/>
        </w:rPr>
        <w:t> </w:t>
      </w:r>
      <w:r>
        <w:rPr>
          <w:sz w:val="18"/>
          <w:vertAlign w:val="baseline"/>
        </w:rPr>
        <w:t>Tsai.</w:t>
      </w:r>
      <w:r>
        <w:rPr>
          <w:spacing w:val="-2"/>
          <w:sz w:val="18"/>
          <w:vertAlign w:val="baseline"/>
        </w:rPr>
        <w:t> </w:t>
      </w:r>
      <w:r>
        <w:rPr>
          <w:sz w:val="18"/>
          <w:vertAlign w:val="baseline"/>
        </w:rPr>
        <w:t>“A</w:t>
      </w:r>
      <w:r>
        <w:rPr>
          <w:spacing w:val="-2"/>
          <w:sz w:val="18"/>
          <w:vertAlign w:val="baseline"/>
        </w:rPr>
        <w:t> </w:t>
      </w:r>
      <w:r>
        <w:rPr>
          <w:sz w:val="18"/>
          <w:vertAlign w:val="baseline"/>
        </w:rPr>
        <w:t>Structural</w:t>
      </w:r>
      <w:r>
        <w:rPr>
          <w:spacing w:val="-3"/>
          <w:sz w:val="18"/>
          <w:vertAlign w:val="baseline"/>
        </w:rPr>
        <w:t> </w:t>
      </w:r>
      <w:r>
        <w:rPr>
          <w:sz w:val="18"/>
          <w:vertAlign w:val="baseline"/>
        </w:rPr>
        <w:t>Model</w:t>
      </w:r>
      <w:r>
        <w:rPr>
          <w:spacing w:val="-3"/>
          <w:sz w:val="18"/>
          <w:vertAlign w:val="baseline"/>
        </w:rPr>
        <w:t> </w:t>
      </w:r>
      <w:r>
        <w:rPr>
          <w:sz w:val="18"/>
          <w:vertAlign w:val="baseline"/>
        </w:rPr>
        <w:t>of</w:t>
      </w:r>
      <w:r>
        <w:rPr>
          <w:spacing w:val="-2"/>
          <w:sz w:val="18"/>
          <w:vertAlign w:val="baseline"/>
        </w:rPr>
        <w:t> </w:t>
      </w:r>
      <w:r>
        <w:rPr>
          <w:sz w:val="18"/>
          <w:vertAlign w:val="baseline"/>
        </w:rPr>
        <w:t>Racial</w:t>
      </w:r>
      <w:r>
        <w:rPr>
          <w:spacing w:val="-3"/>
          <w:sz w:val="18"/>
          <w:vertAlign w:val="baseline"/>
        </w:rPr>
        <w:t> </w:t>
      </w:r>
      <w:r>
        <w:rPr>
          <w:sz w:val="18"/>
          <w:vertAlign w:val="baseline"/>
        </w:rPr>
        <w:t>Discrimination,</w:t>
      </w:r>
      <w:r>
        <w:rPr>
          <w:spacing w:val="-3"/>
          <w:sz w:val="18"/>
          <w:vertAlign w:val="baseline"/>
        </w:rPr>
        <w:t> </w:t>
      </w:r>
      <w:r>
        <w:rPr>
          <w:sz w:val="18"/>
          <w:vertAlign w:val="baseline"/>
        </w:rPr>
        <w:t>Acculturative Stress, and Cultural Resources Among Arab American Adolescents.” </w:t>
      </w:r>
      <w:r>
        <w:rPr>
          <w:i/>
          <w:sz w:val="18"/>
          <w:vertAlign w:val="baseline"/>
        </w:rPr>
        <w:t>American Journal of Community Psychology </w:t>
      </w:r>
      <w:r>
        <w:rPr>
          <w:sz w:val="18"/>
          <w:vertAlign w:val="baseline"/>
        </w:rPr>
        <w:t>48, no. 3–4 (December 2011): 181–92. </w:t>
      </w:r>
      <w:hyperlink r:id="rId221">
        <w:r>
          <w:rPr>
            <w:color w:val="1153CC"/>
            <w:sz w:val="18"/>
            <w:u w:val="single" w:color="1153CC"/>
            <w:vertAlign w:val="baseline"/>
          </w:rPr>
          <w:t>https://doi.org/10.1007/s10464-011-9424-3</w:t>
        </w:r>
      </w:hyperlink>
      <w:hyperlink r:id="rId221">
        <w:r>
          <w:rPr>
            <w:sz w:val="18"/>
            <w:u w:val="none"/>
            <w:vertAlign w:val="baseline"/>
          </w:rPr>
          <w:t>.</w:t>
        </w:r>
      </w:hyperlink>
    </w:p>
    <w:p>
      <w:pPr>
        <w:spacing w:before="0"/>
        <w:ind w:left="463" w:right="1869" w:hanging="1"/>
        <w:jc w:val="left"/>
        <w:rPr>
          <w:sz w:val="18"/>
        </w:rPr>
      </w:pPr>
      <w:bookmarkStart w:name="_bookmark138" w:id="294"/>
      <w:bookmarkEnd w:id="294"/>
      <w:r>
        <w:rPr/>
      </w:r>
      <w:r>
        <w:rPr>
          <w:sz w:val="18"/>
          <w:vertAlign w:val="superscript"/>
        </w:rPr>
        <w:t>37</w:t>
      </w:r>
      <w:r>
        <w:rPr>
          <w:spacing w:val="-13"/>
          <w:sz w:val="18"/>
          <w:vertAlign w:val="baseline"/>
        </w:rPr>
        <w:t> </w:t>
      </w:r>
      <w:r>
        <w:rPr>
          <w:sz w:val="18"/>
          <w:vertAlign w:val="baseline"/>
        </w:rPr>
        <w:t>Human</w:t>
      </w:r>
      <w:r>
        <w:rPr>
          <w:spacing w:val="-5"/>
          <w:sz w:val="18"/>
          <w:vertAlign w:val="baseline"/>
        </w:rPr>
        <w:t> </w:t>
      </w:r>
      <w:r>
        <w:rPr>
          <w:sz w:val="18"/>
          <w:vertAlign w:val="baseline"/>
        </w:rPr>
        <w:t>Rights</w:t>
      </w:r>
      <w:r>
        <w:rPr>
          <w:spacing w:val="-4"/>
          <w:sz w:val="18"/>
          <w:vertAlign w:val="baseline"/>
        </w:rPr>
        <w:t> </w:t>
      </w:r>
      <w:r>
        <w:rPr>
          <w:sz w:val="18"/>
          <w:vertAlign w:val="baseline"/>
        </w:rPr>
        <w:t>Campaign.</w:t>
      </w:r>
      <w:r>
        <w:rPr>
          <w:spacing w:val="-3"/>
          <w:sz w:val="18"/>
          <w:vertAlign w:val="baseline"/>
        </w:rPr>
        <w:t> </w:t>
      </w:r>
      <w:r>
        <w:rPr>
          <w:sz w:val="18"/>
          <w:vertAlign w:val="baseline"/>
        </w:rPr>
        <w:t>“Understanding</w:t>
      </w:r>
      <w:r>
        <w:rPr>
          <w:spacing w:val="-3"/>
          <w:sz w:val="18"/>
          <w:vertAlign w:val="baseline"/>
        </w:rPr>
        <w:t> </w:t>
      </w:r>
      <w:r>
        <w:rPr>
          <w:sz w:val="18"/>
          <w:vertAlign w:val="baseline"/>
        </w:rPr>
        <w:t>Disability</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LGBTQ+</w:t>
      </w:r>
      <w:r>
        <w:rPr>
          <w:spacing w:val="-3"/>
          <w:sz w:val="18"/>
          <w:vertAlign w:val="baseline"/>
        </w:rPr>
        <w:t> </w:t>
      </w:r>
      <w:r>
        <w:rPr>
          <w:sz w:val="18"/>
          <w:vertAlign w:val="baseline"/>
        </w:rPr>
        <w:t>Community.”</w:t>
      </w:r>
      <w:r>
        <w:rPr>
          <w:spacing w:val="-4"/>
          <w:sz w:val="18"/>
          <w:vertAlign w:val="baseline"/>
        </w:rPr>
        <w:t> </w:t>
      </w:r>
      <w:r>
        <w:rPr>
          <w:sz w:val="18"/>
          <w:vertAlign w:val="baseline"/>
        </w:rPr>
        <w:t>Accessed</w:t>
      </w:r>
      <w:r>
        <w:rPr>
          <w:spacing w:val="-3"/>
          <w:sz w:val="18"/>
          <w:vertAlign w:val="baseline"/>
        </w:rPr>
        <w:t> </w:t>
      </w:r>
      <w:r>
        <w:rPr>
          <w:sz w:val="18"/>
          <w:vertAlign w:val="baseline"/>
        </w:rPr>
        <w:t>March</w:t>
      </w:r>
      <w:r>
        <w:rPr>
          <w:spacing w:val="-4"/>
          <w:sz w:val="18"/>
          <w:vertAlign w:val="baseline"/>
        </w:rPr>
        <w:t> </w:t>
      </w:r>
      <w:r>
        <w:rPr>
          <w:sz w:val="18"/>
          <w:vertAlign w:val="baseline"/>
        </w:rPr>
        <w:t>5,</w:t>
      </w:r>
      <w:r>
        <w:rPr>
          <w:spacing w:val="-4"/>
          <w:sz w:val="18"/>
          <w:vertAlign w:val="baseline"/>
        </w:rPr>
        <w:t> </w:t>
      </w:r>
      <w:r>
        <w:rPr>
          <w:sz w:val="18"/>
          <w:vertAlign w:val="baseline"/>
        </w:rPr>
        <w:t>2023. </w:t>
      </w:r>
      <w:hyperlink r:id="rId222">
        <w:r>
          <w:rPr>
            <w:color w:val="1153CC"/>
            <w:spacing w:val="-2"/>
            <w:sz w:val="18"/>
            <w:u w:val="single" w:color="1153CC"/>
            <w:vertAlign w:val="baseline"/>
          </w:rPr>
          <w:t>https://www.hrc.org/resources/understanding-disabled-lgbtq-people</w:t>
        </w:r>
      </w:hyperlink>
      <w:hyperlink r:id="rId222">
        <w:r>
          <w:rPr>
            <w:spacing w:val="-2"/>
            <w:sz w:val="18"/>
            <w:u w:val="none"/>
            <w:vertAlign w:val="baseline"/>
          </w:rPr>
          <w:t>.</w:t>
        </w:r>
      </w:hyperlink>
    </w:p>
    <w:p>
      <w:pPr>
        <w:spacing w:before="0"/>
        <w:ind w:left="463" w:right="474" w:hanging="1"/>
        <w:jc w:val="left"/>
        <w:rPr>
          <w:sz w:val="18"/>
        </w:rPr>
      </w:pPr>
      <w:bookmarkStart w:name="_bookmark139" w:id="295"/>
      <w:bookmarkEnd w:id="295"/>
      <w:r>
        <w:rPr/>
      </w:r>
      <w:r>
        <w:rPr>
          <w:sz w:val="18"/>
          <w:vertAlign w:val="superscript"/>
        </w:rPr>
        <w:t>38</w:t>
      </w:r>
      <w:r>
        <w:rPr>
          <w:spacing w:val="-13"/>
          <w:sz w:val="18"/>
          <w:vertAlign w:val="baseline"/>
        </w:rPr>
        <w:t> </w:t>
      </w:r>
      <w:r>
        <w:rPr>
          <w:sz w:val="18"/>
          <w:vertAlign w:val="baseline"/>
        </w:rPr>
        <w:t>Kallitsounaki,</w:t>
      </w:r>
      <w:r>
        <w:rPr>
          <w:spacing w:val="-6"/>
          <w:sz w:val="18"/>
          <w:vertAlign w:val="baseline"/>
        </w:rPr>
        <w:t> </w:t>
      </w:r>
      <w:r>
        <w:rPr>
          <w:sz w:val="18"/>
          <w:vertAlign w:val="baseline"/>
        </w:rPr>
        <w:t>Aimilia,</w:t>
      </w:r>
      <w:r>
        <w:rPr>
          <w:spacing w:val="-4"/>
          <w:sz w:val="18"/>
          <w:vertAlign w:val="baseline"/>
        </w:rPr>
        <w:t> </w:t>
      </w:r>
      <w:r>
        <w:rPr>
          <w:sz w:val="18"/>
          <w:vertAlign w:val="baseline"/>
        </w:rPr>
        <w:t>and</w:t>
      </w:r>
      <w:r>
        <w:rPr>
          <w:spacing w:val="-3"/>
          <w:sz w:val="18"/>
          <w:vertAlign w:val="baseline"/>
        </w:rPr>
        <w:t> </w:t>
      </w:r>
      <w:r>
        <w:rPr>
          <w:sz w:val="18"/>
          <w:vertAlign w:val="baseline"/>
        </w:rPr>
        <w:t>David</w:t>
      </w:r>
      <w:r>
        <w:rPr>
          <w:spacing w:val="-3"/>
          <w:sz w:val="18"/>
          <w:vertAlign w:val="baseline"/>
        </w:rPr>
        <w:t> </w:t>
      </w:r>
      <w:r>
        <w:rPr>
          <w:sz w:val="18"/>
          <w:vertAlign w:val="baseline"/>
        </w:rPr>
        <w:t>M.</w:t>
      </w:r>
      <w:r>
        <w:rPr>
          <w:spacing w:val="-3"/>
          <w:sz w:val="18"/>
          <w:vertAlign w:val="baseline"/>
        </w:rPr>
        <w:t> </w:t>
      </w:r>
      <w:r>
        <w:rPr>
          <w:sz w:val="18"/>
          <w:vertAlign w:val="baseline"/>
        </w:rPr>
        <w:t>Williams.</w:t>
      </w:r>
      <w:r>
        <w:rPr>
          <w:spacing w:val="-3"/>
          <w:sz w:val="18"/>
          <w:vertAlign w:val="baseline"/>
        </w:rPr>
        <w:t> </w:t>
      </w:r>
      <w:r>
        <w:rPr>
          <w:sz w:val="18"/>
          <w:vertAlign w:val="baseline"/>
        </w:rPr>
        <w:t>“Autism</w:t>
      </w:r>
      <w:r>
        <w:rPr>
          <w:spacing w:val="-3"/>
          <w:sz w:val="18"/>
          <w:vertAlign w:val="baseline"/>
        </w:rPr>
        <w:t> </w:t>
      </w:r>
      <w:r>
        <w:rPr>
          <w:sz w:val="18"/>
          <w:vertAlign w:val="baseline"/>
        </w:rPr>
        <w:t>Spectrum</w:t>
      </w:r>
      <w:r>
        <w:rPr>
          <w:spacing w:val="-3"/>
          <w:sz w:val="18"/>
          <w:vertAlign w:val="baseline"/>
        </w:rPr>
        <w:t> </w:t>
      </w:r>
      <w:r>
        <w:rPr>
          <w:sz w:val="18"/>
          <w:vertAlign w:val="baseline"/>
        </w:rPr>
        <w:t>Disorder</w:t>
      </w:r>
      <w:r>
        <w:rPr>
          <w:spacing w:val="-4"/>
          <w:sz w:val="18"/>
          <w:vertAlign w:val="baseline"/>
        </w:rPr>
        <w:t> </w:t>
      </w:r>
      <w:r>
        <w:rPr>
          <w:sz w:val="18"/>
          <w:vertAlign w:val="baseline"/>
        </w:rPr>
        <w:t>and</w:t>
      </w:r>
      <w:r>
        <w:rPr>
          <w:spacing w:val="-4"/>
          <w:sz w:val="18"/>
          <w:vertAlign w:val="baseline"/>
        </w:rPr>
        <w:t> </w:t>
      </w:r>
      <w:r>
        <w:rPr>
          <w:sz w:val="18"/>
          <w:vertAlign w:val="baseline"/>
        </w:rPr>
        <w:t>Gender</w:t>
      </w:r>
      <w:r>
        <w:rPr>
          <w:spacing w:val="-4"/>
          <w:sz w:val="18"/>
          <w:vertAlign w:val="baseline"/>
        </w:rPr>
        <w:t> </w:t>
      </w:r>
      <w:r>
        <w:rPr>
          <w:sz w:val="18"/>
          <w:vertAlign w:val="baseline"/>
        </w:rPr>
        <w:t>Dysphoria/Incongruence.</w:t>
      </w:r>
      <w:r>
        <w:rPr>
          <w:spacing w:val="-3"/>
          <w:sz w:val="18"/>
          <w:vertAlign w:val="baseline"/>
        </w:rPr>
        <w:t> </w:t>
      </w:r>
      <w:r>
        <w:rPr>
          <w:sz w:val="18"/>
          <w:vertAlign w:val="baseline"/>
        </w:rPr>
        <w:t>A</w:t>
      </w:r>
      <w:r>
        <w:rPr>
          <w:spacing w:val="-3"/>
          <w:sz w:val="18"/>
          <w:vertAlign w:val="baseline"/>
        </w:rPr>
        <w:t> </w:t>
      </w:r>
      <w:r>
        <w:rPr>
          <w:sz w:val="18"/>
          <w:vertAlign w:val="baseline"/>
        </w:rPr>
        <w:t>Systematic Literature Review and Meta-Analysis.” </w:t>
      </w:r>
      <w:r>
        <w:rPr>
          <w:i/>
          <w:sz w:val="18"/>
          <w:vertAlign w:val="baseline"/>
        </w:rPr>
        <w:t>Journal of Autism and Developmental Disorders, </w:t>
      </w:r>
      <w:r>
        <w:rPr>
          <w:sz w:val="18"/>
          <w:vertAlign w:val="baseline"/>
        </w:rPr>
        <w:t>May 20, 2022. </w:t>
      </w:r>
      <w:hyperlink r:id="rId223">
        <w:r>
          <w:rPr>
            <w:color w:val="1153CC"/>
            <w:spacing w:val="-2"/>
            <w:sz w:val="18"/>
            <w:u w:val="single" w:color="1153CC"/>
            <w:vertAlign w:val="baseline"/>
          </w:rPr>
          <w:t>https://doi.org/10.1007/s10803-022-05517-y</w:t>
        </w:r>
      </w:hyperlink>
      <w:hyperlink r:id="rId223">
        <w:r>
          <w:rPr>
            <w:spacing w:val="-2"/>
            <w:sz w:val="18"/>
            <w:u w:val="none"/>
            <w:vertAlign w:val="baseline"/>
          </w:rPr>
          <w:t>.</w:t>
        </w:r>
      </w:hyperlink>
    </w:p>
    <w:p>
      <w:pPr>
        <w:spacing w:before="0"/>
        <w:ind w:left="463" w:right="350" w:hanging="1"/>
        <w:jc w:val="left"/>
        <w:rPr>
          <w:sz w:val="18"/>
        </w:rPr>
      </w:pPr>
      <w:bookmarkStart w:name="_bookmark140" w:id="296"/>
      <w:bookmarkEnd w:id="296"/>
      <w:r>
        <w:rPr/>
      </w:r>
      <w:r>
        <w:rPr>
          <w:sz w:val="18"/>
          <w:vertAlign w:val="superscript"/>
        </w:rPr>
        <w:t>39</w:t>
      </w:r>
      <w:r>
        <w:rPr>
          <w:spacing w:val="-13"/>
          <w:sz w:val="18"/>
          <w:vertAlign w:val="baseline"/>
        </w:rPr>
        <w:t> </w:t>
      </w:r>
      <w:r>
        <w:rPr>
          <w:sz w:val="18"/>
          <w:vertAlign w:val="baseline"/>
        </w:rPr>
        <w:t>Kosciw,</w:t>
      </w:r>
      <w:r>
        <w:rPr>
          <w:spacing w:val="-4"/>
          <w:sz w:val="18"/>
          <w:vertAlign w:val="baseline"/>
        </w:rPr>
        <w:t> </w:t>
      </w:r>
      <w:r>
        <w:rPr>
          <w:sz w:val="18"/>
          <w:vertAlign w:val="baseline"/>
        </w:rPr>
        <w:t>Joseph,</w:t>
      </w:r>
      <w:r>
        <w:rPr>
          <w:spacing w:val="-3"/>
          <w:sz w:val="18"/>
          <w:vertAlign w:val="baseline"/>
        </w:rPr>
        <w:t> </w:t>
      </w:r>
      <w:r>
        <w:rPr>
          <w:sz w:val="18"/>
          <w:vertAlign w:val="baseline"/>
        </w:rPr>
        <w:t>Caitlin</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Youth in Our Nation’s Schools” (New York: Gay, Lesbian and Straight Education Network, 2022), </w:t>
      </w:r>
      <w:hyperlink r:id="rId206">
        <w:r>
          <w:rPr>
            <w:color w:val="1153CC"/>
            <w:spacing w:val="-2"/>
            <w:sz w:val="18"/>
            <w:u w:val="single" w:color="1153CC"/>
            <w:vertAlign w:val="baseline"/>
          </w:rPr>
          <w:t>https://www.glsen.org/sites/default/files/2022-10/NSCS-2021-Full-Report.pd</w:t>
        </w:r>
      </w:hyperlink>
      <w:hyperlink r:id="rId206">
        <w:r>
          <w:rPr>
            <w:color w:val="1153CC"/>
            <w:spacing w:val="-2"/>
            <w:sz w:val="18"/>
            <w:u w:val="single" w:color="1153CC"/>
            <w:vertAlign w:val="baseline"/>
          </w:rPr>
          <w:t>f</w:t>
        </w:r>
        <w:r>
          <w:rPr>
            <w:spacing w:val="-2"/>
            <w:sz w:val="18"/>
            <w:u w:val="none"/>
            <w:vertAlign w:val="baseline"/>
          </w:rPr>
          <w:t>.</w:t>
        </w:r>
      </w:hyperlink>
    </w:p>
    <w:p>
      <w:pPr>
        <w:spacing w:before="0"/>
        <w:ind w:left="463" w:right="767" w:hanging="1"/>
        <w:jc w:val="both"/>
        <w:rPr>
          <w:sz w:val="18"/>
        </w:rPr>
      </w:pPr>
      <w:bookmarkStart w:name="_bookmark141" w:id="297"/>
      <w:bookmarkEnd w:id="297"/>
      <w:r>
        <w:rPr/>
      </w:r>
      <w:r>
        <w:rPr>
          <w:sz w:val="18"/>
          <w:vertAlign w:val="superscript"/>
        </w:rPr>
        <w:t>40</w:t>
      </w:r>
      <w:r>
        <w:rPr>
          <w:spacing w:val="-11"/>
          <w:sz w:val="18"/>
          <w:vertAlign w:val="baseline"/>
        </w:rPr>
        <w:t> </w:t>
      </w:r>
      <w:r>
        <w:rPr>
          <w:sz w:val="18"/>
          <w:vertAlign w:val="baseline"/>
        </w:rPr>
        <w:t>Miller,</w:t>
      </w:r>
      <w:r>
        <w:rPr>
          <w:spacing w:val="-5"/>
          <w:sz w:val="18"/>
          <w:vertAlign w:val="baseline"/>
        </w:rPr>
        <w:t> </w:t>
      </w:r>
      <w:r>
        <w:rPr>
          <w:sz w:val="18"/>
          <w:vertAlign w:val="baseline"/>
        </w:rPr>
        <w:t>Ryan</w:t>
      </w:r>
      <w:r>
        <w:rPr>
          <w:spacing w:val="-2"/>
          <w:sz w:val="18"/>
          <w:vertAlign w:val="baseline"/>
        </w:rPr>
        <w:t> </w:t>
      </w:r>
      <w:r>
        <w:rPr>
          <w:sz w:val="18"/>
          <w:vertAlign w:val="baseline"/>
        </w:rPr>
        <w:t>A.,</w:t>
      </w:r>
      <w:r>
        <w:rPr>
          <w:spacing w:val="-3"/>
          <w:sz w:val="18"/>
          <w:vertAlign w:val="baseline"/>
        </w:rPr>
        <w:t> </w:t>
      </w:r>
      <w:r>
        <w:rPr>
          <w:sz w:val="18"/>
          <w:vertAlign w:val="baseline"/>
        </w:rPr>
        <w:t>Sandra</w:t>
      </w:r>
      <w:r>
        <w:rPr>
          <w:spacing w:val="-2"/>
          <w:sz w:val="18"/>
          <w:vertAlign w:val="baseline"/>
        </w:rPr>
        <w:t> </w:t>
      </w:r>
      <w:r>
        <w:rPr>
          <w:sz w:val="18"/>
          <w:vertAlign w:val="baseline"/>
        </w:rPr>
        <w:t>L.</w:t>
      </w:r>
      <w:r>
        <w:rPr>
          <w:spacing w:val="-2"/>
          <w:sz w:val="18"/>
          <w:vertAlign w:val="baseline"/>
        </w:rPr>
        <w:t> </w:t>
      </w:r>
      <w:r>
        <w:rPr>
          <w:sz w:val="18"/>
          <w:vertAlign w:val="baseline"/>
        </w:rPr>
        <w:t>Dika,</w:t>
      </w:r>
      <w:r>
        <w:rPr>
          <w:spacing w:val="-2"/>
          <w:sz w:val="18"/>
          <w:vertAlign w:val="baseline"/>
        </w:rPr>
        <w:t> </w:t>
      </w:r>
      <w:r>
        <w:rPr>
          <w:sz w:val="18"/>
          <w:vertAlign w:val="baseline"/>
        </w:rPr>
        <w:t>David</w:t>
      </w:r>
      <w:r>
        <w:rPr>
          <w:spacing w:val="-2"/>
          <w:sz w:val="18"/>
          <w:vertAlign w:val="baseline"/>
        </w:rPr>
        <w:t> </w:t>
      </w:r>
      <w:r>
        <w:rPr>
          <w:sz w:val="18"/>
          <w:vertAlign w:val="baseline"/>
        </w:rPr>
        <w:t>J.</w:t>
      </w:r>
      <w:r>
        <w:rPr>
          <w:spacing w:val="-2"/>
          <w:sz w:val="18"/>
          <w:vertAlign w:val="baseline"/>
        </w:rPr>
        <w:t> </w:t>
      </w:r>
      <w:r>
        <w:rPr>
          <w:sz w:val="18"/>
          <w:vertAlign w:val="baseline"/>
        </w:rPr>
        <w:t>Nguyen,</w:t>
      </w:r>
      <w:r>
        <w:rPr>
          <w:spacing w:val="-3"/>
          <w:sz w:val="18"/>
          <w:vertAlign w:val="baseline"/>
        </w:rPr>
        <w:t> </w:t>
      </w:r>
      <w:r>
        <w:rPr>
          <w:sz w:val="18"/>
          <w:vertAlign w:val="baseline"/>
        </w:rPr>
        <w:t>Michael</w:t>
      </w:r>
      <w:r>
        <w:rPr>
          <w:spacing w:val="-3"/>
          <w:sz w:val="18"/>
          <w:vertAlign w:val="baseline"/>
        </w:rPr>
        <w:t> </w:t>
      </w:r>
      <w:r>
        <w:rPr>
          <w:sz w:val="18"/>
          <w:vertAlign w:val="baseline"/>
        </w:rPr>
        <w:t>Woodford,</w:t>
      </w:r>
      <w:r>
        <w:rPr>
          <w:spacing w:val="-3"/>
          <w:sz w:val="18"/>
          <w:vertAlign w:val="baseline"/>
        </w:rPr>
        <w:t> </w:t>
      </w:r>
      <w:r>
        <w:rPr>
          <w:sz w:val="18"/>
          <w:vertAlign w:val="baseline"/>
        </w:rPr>
        <w:t>and</w:t>
      </w:r>
      <w:r>
        <w:rPr>
          <w:spacing w:val="-2"/>
          <w:sz w:val="18"/>
          <w:vertAlign w:val="baseline"/>
        </w:rPr>
        <w:t> </w:t>
      </w:r>
      <w:r>
        <w:rPr>
          <w:sz w:val="18"/>
          <w:vertAlign w:val="baseline"/>
        </w:rPr>
        <w:t>Kristen</w:t>
      </w:r>
      <w:r>
        <w:rPr>
          <w:spacing w:val="-2"/>
          <w:sz w:val="18"/>
          <w:vertAlign w:val="baseline"/>
        </w:rPr>
        <w:t> </w:t>
      </w:r>
      <w:r>
        <w:rPr>
          <w:sz w:val="18"/>
          <w:vertAlign w:val="baseline"/>
        </w:rPr>
        <w:t>A.</w:t>
      </w:r>
      <w:r>
        <w:rPr>
          <w:spacing w:val="-2"/>
          <w:sz w:val="18"/>
          <w:vertAlign w:val="baseline"/>
        </w:rPr>
        <w:t> </w:t>
      </w:r>
      <w:r>
        <w:rPr>
          <w:sz w:val="18"/>
          <w:vertAlign w:val="baseline"/>
        </w:rPr>
        <w:t>Renn.</w:t>
      </w:r>
      <w:r>
        <w:rPr>
          <w:spacing w:val="-2"/>
          <w:sz w:val="18"/>
          <w:vertAlign w:val="baseline"/>
        </w:rPr>
        <w:t> </w:t>
      </w:r>
      <w:r>
        <w:rPr>
          <w:sz w:val="18"/>
          <w:vertAlign w:val="baseline"/>
        </w:rPr>
        <w:t>“LGBTQ+</w:t>
      </w:r>
      <w:r>
        <w:rPr>
          <w:spacing w:val="-2"/>
          <w:sz w:val="18"/>
          <w:vertAlign w:val="baseline"/>
        </w:rPr>
        <w:t> </w:t>
      </w:r>
      <w:r>
        <w:rPr>
          <w:sz w:val="18"/>
          <w:vertAlign w:val="baseline"/>
        </w:rPr>
        <w:t>College</w:t>
      </w:r>
      <w:r>
        <w:rPr>
          <w:spacing w:val="-2"/>
          <w:sz w:val="18"/>
          <w:vertAlign w:val="baseline"/>
        </w:rPr>
        <w:t> </w:t>
      </w:r>
      <w:r>
        <w:rPr>
          <w:sz w:val="18"/>
          <w:vertAlign w:val="baseline"/>
        </w:rPr>
        <w:t>Students</w:t>
      </w:r>
      <w:r>
        <w:rPr>
          <w:spacing w:val="-2"/>
          <w:sz w:val="18"/>
          <w:vertAlign w:val="baseline"/>
        </w:rPr>
        <w:t> </w:t>
      </w:r>
      <w:r>
        <w:rPr>
          <w:sz w:val="18"/>
          <w:vertAlign w:val="baseline"/>
        </w:rPr>
        <w:t>with Disabilities:</w:t>
      </w:r>
      <w:r>
        <w:rPr>
          <w:spacing w:val="-2"/>
          <w:sz w:val="18"/>
          <w:vertAlign w:val="baseline"/>
        </w:rPr>
        <w:t> </w:t>
      </w:r>
      <w:r>
        <w:rPr>
          <w:sz w:val="18"/>
          <w:vertAlign w:val="baseline"/>
        </w:rPr>
        <w:t>Demographic</w:t>
      </w:r>
      <w:r>
        <w:rPr>
          <w:spacing w:val="-3"/>
          <w:sz w:val="18"/>
          <w:vertAlign w:val="baseline"/>
        </w:rPr>
        <w:t> </w:t>
      </w:r>
      <w:r>
        <w:rPr>
          <w:sz w:val="18"/>
          <w:vertAlign w:val="baseline"/>
        </w:rPr>
        <w:t>Profile</w:t>
      </w:r>
      <w:r>
        <w:rPr>
          <w:spacing w:val="-2"/>
          <w:sz w:val="18"/>
          <w:vertAlign w:val="baseline"/>
        </w:rPr>
        <w:t> </w:t>
      </w:r>
      <w:r>
        <w:rPr>
          <w:sz w:val="18"/>
          <w:vertAlign w:val="baseline"/>
        </w:rPr>
        <w:t>and</w:t>
      </w:r>
      <w:r>
        <w:rPr>
          <w:spacing w:val="-2"/>
          <w:sz w:val="18"/>
          <w:vertAlign w:val="baseline"/>
        </w:rPr>
        <w:t> </w:t>
      </w:r>
      <w:r>
        <w:rPr>
          <w:sz w:val="18"/>
          <w:vertAlign w:val="baseline"/>
        </w:rPr>
        <w:t>Perceptions</w:t>
      </w:r>
      <w:r>
        <w:rPr>
          <w:spacing w:val="-2"/>
          <w:sz w:val="18"/>
          <w:vertAlign w:val="baseline"/>
        </w:rPr>
        <w:t> </w:t>
      </w:r>
      <w:r>
        <w:rPr>
          <w:sz w:val="18"/>
          <w:vertAlign w:val="baseline"/>
        </w:rPr>
        <w:t>of</w:t>
      </w:r>
      <w:r>
        <w:rPr>
          <w:spacing w:val="-2"/>
          <w:sz w:val="18"/>
          <w:vertAlign w:val="baseline"/>
        </w:rPr>
        <w:t> </w:t>
      </w:r>
      <w:r>
        <w:rPr>
          <w:sz w:val="18"/>
          <w:vertAlign w:val="baseline"/>
        </w:rPr>
        <w:t>Well-Being.”</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LGBT</w:t>
      </w:r>
      <w:r>
        <w:rPr>
          <w:i/>
          <w:spacing w:val="-2"/>
          <w:sz w:val="18"/>
          <w:vertAlign w:val="baseline"/>
        </w:rPr>
        <w:t> </w:t>
      </w:r>
      <w:r>
        <w:rPr>
          <w:i/>
          <w:sz w:val="18"/>
          <w:vertAlign w:val="baseline"/>
        </w:rPr>
        <w:t>Youth</w:t>
      </w:r>
      <w:r>
        <w:rPr>
          <w:i/>
          <w:spacing w:val="-3"/>
          <w:sz w:val="18"/>
          <w:vertAlign w:val="baseline"/>
        </w:rPr>
        <w:t> </w:t>
      </w:r>
      <w:r>
        <w:rPr>
          <w:sz w:val="18"/>
          <w:vertAlign w:val="baseline"/>
        </w:rPr>
        <w:t>18,</w:t>
      </w:r>
      <w:r>
        <w:rPr>
          <w:spacing w:val="-3"/>
          <w:sz w:val="18"/>
          <w:vertAlign w:val="baseline"/>
        </w:rPr>
        <w:t> </w:t>
      </w:r>
      <w:r>
        <w:rPr>
          <w:sz w:val="18"/>
          <w:vertAlign w:val="baseline"/>
        </w:rPr>
        <w:t>no.</w:t>
      </w:r>
      <w:r>
        <w:rPr>
          <w:spacing w:val="-2"/>
          <w:sz w:val="18"/>
          <w:vertAlign w:val="baseline"/>
        </w:rPr>
        <w:t> </w:t>
      </w:r>
      <w:r>
        <w:rPr>
          <w:sz w:val="18"/>
          <w:vertAlign w:val="baseline"/>
        </w:rPr>
        <w:t>1</w:t>
      </w:r>
      <w:r>
        <w:rPr>
          <w:spacing w:val="-2"/>
          <w:sz w:val="18"/>
          <w:vertAlign w:val="baseline"/>
        </w:rPr>
        <w:t> </w:t>
      </w:r>
      <w:r>
        <w:rPr>
          <w:sz w:val="18"/>
          <w:vertAlign w:val="baseline"/>
        </w:rPr>
        <w:t>(January</w:t>
      </w:r>
      <w:r>
        <w:rPr>
          <w:spacing w:val="-2"/>
          <w:sz w:val="18"/>
          <w:vertAlign w:val="baseline"/>
        </w:rPr>
        <w:t> </w:t>
      </w:r>
      <w:r>
        <w:rPr>
          <w:sz w:val="18"/>
          <w:vertAlign w:val="baseline"/>
        </w:rPr>
        <w:t>2,</w:t>
      </w:r>
      <w:r>
        <w:rPr>
          <w:spacing w:val="-3"/>
          <w:sz w:val="18"/>
          <w:vertAlign w:val="baseline"/>
        </w:rPr>
        <w:t> </w:t>
      </w:r>
      <w:r>
        <w:rPr>
          <w:sz w:val="18"/>
          <w:vertAlign w:val="baseline"/>
        </w:rPr>
        <w:t>2021):</w:t>
      </w:r>
      <w:r>
        <w:rPr>
          <w:spacing w:val="-4"/>
          <w:sz w:val="18"/>
          <w:vertAlign w:val="baseline"/>
        </w:rPr>
        <w:t> </w:t>
      </w:r>
      <w:r>
        <w:rPr>
          <w:sz w:val="18"/>
          <w:vertAlign w:val="baseline"/>
        </w:rPr>
        <w:t>60–77. </w:t>
      </w:r>
      <w:hyperlink r:id="rId224">
        <w:r>
          <w:rPr>
            <w:color w:val="1153CC"/>
            <w:spacing w:val="-2"/>
            <w:sz w:val="18"/>
            <w:u w:val="single" w:color="1153CC"/>
            <w:vertAlign w:val="baseline"/>
          </w:rPr>
          <w:t>https://doi.org/10.1080/19361653.2019.1706686</w:t>
        </w:r>
      </w:hyperlink>
      <w:hyperlink r:id="rId224">
        <w:r>
          <w:rPr>
            <w:spacing w:val="-2"/>
            <w:sz w:val="18"/>
            <w:u w:val="none"/>
            <w:vertAlign w:val="baseline"/>
          </w:rPr>
          <w:t>.</w:t>
        </w:r>
      </w:hyperlink>
    </w:p>
    <w:p>
      <w:pPr>
        <w:spacing w:after="0"/>
        <w:jc w:val="both"/>
        <w:rPr>
          <w:sz w:val="18"/>
        </w:rPr>
        <w:sectPr>
          <w:pgSz w:w="12240" w:h="15840"/>
          <w:pgMar w:header="804" w:footer="1390" w:top="1080" w:bottom="1620" w:left="980" w:right="1080"/>
        </w:sectPr>
      </w:pPr>
    </w:p>
    <w:p>
      <w:pPr>
        <w:spacing w:before="68"/>
        <w:ind w:left="463" w:right="577" w:hanging="1"/>
        <w:jc w:val="both"/>
        <w:rPr>
          <w:sz w:val="18"/>
        </w:rPr>
      </w:pPr>
      <w:bookmarkStart w:name="_bookmark142" w:id="298"/>
      <w:bookmarkEnd w:id="298"/>
      <w:r>
        <w:rPr/>
      </w:r>
      <w:r>
        <w:rPr>
          <w:sz w:val="18"/>
          <w:vertAlign w:val="superscript"/>
        </w:rPr>
        <w:t>41</w:t>
      </w:r>
      <w:r>
        <w:rPr>
          <w:spacing w:val="-11"/>
          <w:sz w:val="18"/>
          <w:vertAlign w:val="baseline"/>
        </w:rPr>
        <w:t> </w:t>
      </w:r>
      <w:r>
        <w:rPr>
          <w:sz w:val="18"/>
          <w:vertAlign w:val="baseline"/>
        </w:rPr>
        <w:t>Kattari,</w:t>
      </w:r>
      <w:r>
        <w:rPr>
          <w:spacing w:val="-7"/>
          <w:sz w:val="18"/>
          <w:vertAlign w:val="baseline"/>
        </w:rPr>
        <w:t> </w:t>
      </w:r>
      <w:r>
        <w:rPr>
          <w:sz w:val="18"/>
          <w:vertAlign w:val="baseline"/>
        </w:rPr>
        <w:t>Shanna</w:t>
      </w:r>
      <w:r>
        <w:rPr>
          <w:spacing w:val="-2"/>
          <w:sz w:val="18"/>
          <w:vertAlign w:val="baseline"/>
        </w:rPr>
        <w:t> </w:t>
      </w:r>
      <w:r>
        <w:rPr>
          <w:sz w:val="18"/>
          <w:vertAlign w:val="baseline"/>
        </w:rPr>
        <w:t>K.,</w:t>
      </w:r>
      <w:r>
        <w:rPr>
          <w:spacing w:val="-3"/>
          <w:sz w:val="18"/>
          <w:vertAlign w:val="baseline"/>
        </w:rPr>
        <w:t> </w:t>
      </w:r>
      <w:r>
        <w:rPr>
          <w:sz w:val="18"/>
          <w:vertAlign w:val="baseline"/>
        </w:rPr>
        <w:t>N.</w:t>
      </w:r>
      <w:r>
        <w:rPr>
          <w:spacing w:val="-2"/>
          <w:sz w:val="18"/>
          <w:vertAlign w:val="baseline"/>
        </w:rPr>
        <w:t> </w:t>
      </w:r>
      <w:r>
        <w:rPr>
          <w:sz w:val="18"/>
          <w:vertAlign w:val="baseline"/>
        </w:rPr>
        <w:t>Eugene</w:t>
      </w:r>
      <w:r>
        <w:rPr>
          <w:spacing w:val="-3"/>
          <w:sz w:val="18"/>
          <w:vertAlign w:val="baseline"/>
        </w:rPr>
        <w:t> </w:t>
      </w:r>
      <w:r>
        <w:rPr>
          <w:sz w:val="18"/>
          <w:vertAlign w:val="baseline"/>
        </w:rPr>
        <w:t>Walls,</w:t>
      </w:r>
      <w:r>
        <w:rPr>
          <w:spacing w:val="-3"/>
          <w:sz w:val="18"/>
          <w:vertAlign w:val="baseline"/>
        </w:rPr>
        <w:t> </w:t>
      </w:r>
      <w:r>
        <w:rPr>
          <w:sz w:val="18"/>
          <w:vertAlign w:val="baseline"/>
        </w:rPr>
        <w:t>and</w:t>
      </w:r>
      <w:r>
        <w:rPr>
          <w:spacing w:val="-2"/>
          <w:sz w:val="18"/>
          <w:vertAlign w:val="baseline"/>
        </w:rPr>
        <w:t> </w:t>
      </w:r>
      <w:r>
        <w:rPr>
          <w:sz w:val="18"/>
          <w:vertAlign w:val="baseline"/>
        </w:rPr>
        <w:t>Stephanie</w:t>
      </w:r>
      <w:r>
        <w:rPr>
          <w:spacing w:val="-2"/>
          <w:sz w:val="18"/>
          <w:vertAlign w:val="baseline"/>
        </w:rPr>
        <w:t> </w:t>
      </w:r>
      <w:r>
        <w:rPr>
          <w:sz w:val="18"/>
          <w:vertAlign w:val="baseline"/>
        </w:rPr>
        <w:t>Rachel</w:t>
      </w:r>
      <w:r>
        <w:rPr>
          <w:spacing w:val="-3"/>
          <w:sz w:val="18"/>
          <w:vertAlign w:val="baseline"/>
        </w:rPr>
        <w:t> </w:t>
      </w:r>
      <w:r>
        <w:rPr>
          <w:sz w:val="18"/>
          <w:vertAlign w:val="baseline"/>
        </w:rPr>
        <w:t>Speer.</w:t>
      </w:r>
      <w:r>
        <w:rPr>
          <w:spacing w:val="-2"/>
          <w:sz w:val="18"/>
          <w:vertAlign w:val="baseline"/>
        </w:rPr>
        <w:t> </w:t>
      </w:r>
      <w:r>
        <w:rPr>
          <w:sz w:val="18"/>
          <w:vertAlign w:val="baseline"/>
        </w:rPr>
        <w:t>“Differences</w:t>
      </w:r>
      <w:r>
        <w:rPr>
          <w:spacing w:val="-3"/>
          <w:sz w:val="18"/>
          <w:vertAlign w:val="baseline"/>
        </w:rPr>
        <w:t> </w:t>
      </w:r>
      <w:r>
        <w:rPr>
          <w:sz w:val="18"/>
          <w:vertAlign w:val="baseline"/>
        </w:rPr>
        <w:t>in</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Discrimination</w:t>
      </w:r>
      <w:r>
        <w:rPr>
          <w:spacing w:val="-1"/>
          <w:sz w:val="18"/>
          <w:vertAlign w:val="baseline"/>
        </w:rPr>
        <w:t> </w:t>
      </w:r>
      <w:r>
        <w:rPr>
          <w:sz w:val="18"/>
          <w:vertAlign w:val="baseline"/>
        </w:rPr>
        <w:t>in</w:t>
      </w:r>
      <w:r>
        <w:rPr>
          <w:spacing w:val="-2"/>
          <w:sz w:val="18"/>
          <w:vertAlign w:val="baseline"/>
        </w:rPr>
        <w:t> </w:t>
      </w:r>
      <w:r>
        <w:rPr>
          <w:sz w:val="18"/>
          <w:vertAlign w:val="baseline"/>
        </w:rPr>
        <w:t>Accessing Social</w:t>
      </w:r>
      <w:r>
        <w:rPr>
          <w:spacing w:val="-1"/>
          <w:sz w:val="18"/>
          <w:vertAlign w:val="baseline"/>
        </w:rPr>
        <w:t> </w:t>
      </w:r>
      <w:r>
        <w:rPr>
          <w:sz w:val="18"/>
          <w:vertAlign w:val="baseline"/>
        </w:rPr>
        <w:t>Services Among Transgender/Gender</w:t>
      </w:r>
      <w:r>
        <w:rPr>
          <w:spacing w:val="-1"/>
          <w:sz w:val="18"/>
          <w:vertAlign w:val="baseline"/>
        </w:rPr>
        <w:t> </w:t>
      </w:r>
      <w:r>
        <w:rPr>
          <w:sz w:val="18"/>
          <w:vertAlign w:val="baseline"/>
        </w:rPr>
        <w:t>Nonconforming Individuals by (Dis)Ability.” </w:t>
      </w:r>
      <w:r>
        <w:rPr>
          <w:i/>
          <w:sz w:val="18"/>
          <w:vertAlign w:val="baseline"/>
        </w:rPr>
        <w:t>Journal</w:t>
      </w:r>
      <w:r>
        <w:rPr>
          <w:i/>
          <w:spacing w:val="-1"/>
          <w:sz w:val="18"/>
          <w:vertAlign w:val="baseline"/>
        </w:rPr>
        <w:t> </w:t>
      </w:r>
      <w:r>
        <w:rPr>
          <w:i/>
          <w:sz w:val="18"/>
          <w:vertAlign w:val="baseline"/>
        </w:rPr>
        <w:t>of Social</w:t>
      </w:r>
      <w:r>
        <w:rPr>
          <w:i/>
          <w:spacing w:val="-1"/>
          <w:sz w:val="18"/>
          <w:vertAlign w:val="baseline"/>
        </w:rPr>
        <w:t> </w:t>
      </w:r>
      <w:r>
        <w:rPr>
          <w:i/>
          <w:sz w:val="18"/>
          <w:vertAlign w:val="baseline"/>
        </w:rPr>
        <w:t>Work in Disability &amp;</w:t>
      </w:r>
      <w:r>
        <w:rPr>
          <w:i/>
          <w:sz w:val="18"/>
          <w:vertAlign w:val="baseline"/>
        </w:rPr>
        <w:t> Rehabilitation </w:t>
      </w:r>
      <w:r>
        <w:rPr>
          <w:sz w:val="18"/>
          <w:vertAlign w:val="baseline"/>
        </w:rPr>
        <w:t>16, no. 2 (April 3, 2017): 116–40. </w:t>
      </w:r>
      <w:hyperlink r:id="rId225">
        <w:r>
          <w:rPr>
            <w:color w:val="1153CC"/>
            <w:sz w:val="18"/>
            <w:u w:val="single" w:color="1153CC"/>
            <w:vertAlign w:val="baseline"/>
          </w:rPr>
          <w:t>https://doi.org/10.1080/1536710X.2017.1299661</w:t>
        </w:r>
      </w:hyperlink>
      <w:hyperlink r:id="rId225">
        <w:r>
          <w:rPr>
            <w:sz w:val="18"/>
            <w:u w:val="none"/>
            <w:vertAlign w:val="baseline"/>
          </w:rPr>
          <w:t>.</w:t>
        </w:r>
      </w:hyperlink>
    </w:p>
    <w:p>
      <w:pPr>
        <w:spacing w:before="0"/>
        <w:ind w:left="463" w:right="513" w:hanging="1"/>
        <w:jc w:val="both"/>
        <w:rPr>
          <w:sz w:val="18"/>
        </w:rPr>
      </w:pPr>
      <w:bookmarkStart w:name="_bookmark143" w:id="299"/>
      <w:bookmarkEnd w:id="299"/>
      <w:r>
        <w:rPr/>
      </w:r>
      <w:r>
        <w:rPr>
          <w:sz w:val="18"/>
          <w:vertAlign w:val="superscript"/>
        </w:rPr>
        <w:t>42</w:t>
      </w:r>
      <w:r>
        <w:rPr>
          <w:spacing w:val="-5"/>
          <w:sz w:val="18"/>
          <w:vertAlign w:val="baseline"/>
        </w:rPr>
        <w:t> </w:t>
      </w:r>
      <w:r>
        <w:rPr>
          <w:sz w:val="18"/>
          <w:vertAlign w:val="baseline"/>
        </w:rPr>
        <w:t>Rand, Joseph J., and Megan S. Paceley. “Exploring the Lived Experiences of Rural LGBTQ + Youth: Navigating Identity and Authenticity</w:t>
      </w:r>
      <w:r>
        <w:rPr>
          <w:spacing w:val="-2"/>
          <w:sz w:val="18"/>
          <w:vertAlign w:val="baseline"/>
        </w:rPr>
        <w:t> </w:t>
      </w:r>
      <w:r>
        <w:rPr>
          <w:sz w:val="18"/>
          <w:vertAlign w:val="baseline"/>
        </w:rPr>
        <w:t>within</w:t>
      </w:r>
      <w:r>
        <w:rPr>
          <w:spacing w:val="-2"/>
          <w:sz w:val="18"/>
          <w:vertAlign w:val="baseline"/>
        </w:rPr>
        <w:t> </w:t>
      </w:r>
      <w:r>
        <w:rPr>
          <w:sz w:val="18"/>
          <w:vertAlign w:val="baseline"/>
        </w:rPr>
        <w:t>School</w:t>
      </w:r>
      <w:r>
        <w:rPr>
          <w:spacing w:val="-3"/>
          <w:sz w:val="18"/>
          <w:vertAlign w:val="baseline"/>
        </w:rPr>
        <w:t> </w:t>
      </w:r>
      <w:r>
        <w:rPr>
          <w:sz w:val="18"/>
          <w:vertAlign w:val="baseline"/>
        </w:rPr>
        <w:t>and</w:t>
      </w:r>
      <w:r>
        <w:rPr>
          <w:spacing w:val="-2"/>
          <w:sz w:val="18"/>
          <w:vertAlign w:val="baseline"/>
        </w:rPr>
        <w:t> </w:t>
      </w:r>
      <w:r>
        <w:rPr>
          <w:sz w:val="18"/>
          <w:vertAlign w:val="baseline"/>
        </w:rPr>
        <w:t>Community</w:t>
      </w:r>
      <w:r>
        <w:rPr>
          <w:spacing w:val="-2"/>
          <w:sz w:val="18"/>
          <w:vertAlign w:val="baseline"/>
        </w:rPr>
        <w:t> </w:t>
      </w:r>
      <w:r>
        <w:rPr>
          <w:sz w:val="18"/>
          <w:vertAlign w:val="baseline"/>
        </w:rPr>
        <w:t>Contexts.”</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Gay</w:t>
      </w:r>
      <w:r>
        <w:rPr>
          <w:i/>
          <w:spacing w:val="-2"/>
          <w:sz w:val="18"/>
          <w:vertAlign w:val="baseline"/>
        </w:rPr>
        <w:t> </w:t>
      </w:r>
      <w:r>
        <w:rPr>
          <w:i/>
          <w:sz w:val="18"/>
          <w:vertAlign w:val="baseline"/>
        </w:rPr>
        <w:t>&amp;</w:t>
      </w:r>
      <w:r>
        <w:rPr>
          <w:i/>
          <w:spacing w:val="-3"/>
          <w:sz w:val="18"/>
          <w:vertAlign w:val="baseline"/>
        </w:rPr>
        <w:t> </w:t>
      </w:r>
      <w:r>
        <w:rPr>
          <w:i/>
          <w:sz w:val="18"/>
          <w:vertAlign w:val="baseline"/>
        </w:rPr>
        <w:t>Lesbian</w:t>
      </w:r>
      <w:r>
        <w:rPr>
          <w:i/>
          <w:spacing w:val="-3"/>
          <w:sz w:val="18"/>
          <w:vertAlign w:val="baseline"/>
        </w:rPr>
        <w:t> </w:t>
      </w:r>
      <w:r>
        <w:rPr>
          <w:i/>
          <w:sz w:val="18"/>
          <w:vertAlign w:val="baseline"/>
        </w:rPr>
        <w:t>Social</w:t>
      </w:r>
      <w:r>
        <w:rPr>
          <w:i/>
          <w:spacing w:val="-3"/>
          <w:sz w:val="18"/>
          <w:vertAlign w:val="baseline"/>
        </w:rPr>
        <w:t> </w:t>
      </w:r>
      <w:r>
        <w:rPr>
          <w:i/>
          <w:sz w:val="18"/>
          <w:vertAlign w:val="baseline"/>
        </w:rPr>
        <w:t>Services</w:t>
      </w:r>
      <w:r>
        <w:rPr>
          <w:i/>
          <w:spacing w:val="-3"/>
          <w:sz w:val="18"/>
          <w:vertAlign w:val="baseline"/>
        </w:rPr>
        <w:t> </w:t>
      </w:r>
      <w:r>
        <w:rPr>
          <w:sz w:val="18"/>
          <w:vertAlign w:val="baseline"/>
        </w:rPr>
        <w:t>34,</w:t>
      </w:r>
      <w:r>
        <w:rPr>
          <w:spacing w:val="-3"/>
          <w:sz w:val="18"/>
          <w:vertAlign w:val="baseline"/>
        </w:rPr>
        <w:t> </w:t>
      </w:r>
      <w:r>
        <w:rPr>
          <w:sz w:val="18"/>
          <w:vertAlign w:val="baseline"/>
        </w:rPr>
        <w:t>no.</w:t>
      </w:r>
      <w:r>
        <w:rPr>
          <w:spacing w:val="-2"/>
          <w:sz w:val="18"/>
          <w:vertAlign w:val="baseline"/>
        </w:rPr>
        <w:t> </w:t>
      </w:r>
      <w:r>
        <w:rPr>
          <w:sz w:val="18"/>
          <w:vertAlign w:val="baseline"/>
        </w:rPr>
        <w:t>1</w:t>
      </w:r>
      <w:r>
        <w:rPr>
          <w:spacing w:val="-2"/>
          <w:sz w:val="18"/>
          <w:vertAlign w:val="baseline"/>
        </w:rPr>
        <w:t> </w:t>
      </w:r>
      <w:r>
        <w:rPr>
          <w:sz w:val="18"/>
          <w:vertAlign w:val="baseline"/>
        </w:rPr>
        <w:t>(January</w:t>
      </w:r>
      <w:r>
        <w:rPr>
          <w:spacing w:val="-4"/>
          <w:sz w:val="18"/>
          <w:vertAlign w:val="baseline"/>
        </w:rPr>
        <w:t> </w:t>
      </w:r>
      <w:r>
        <w:rPr>
          <w:sz w:val="18"/>
          <w:vertAlign w:val="baseline"/>
        </w:rPr>
        <w:t>2,</w:t>
      </w:r>
      <w:r>
        <w:rPr>
          <w:spacing w:val="-3"/>
          <w:sz w:val="18"/>
          <w:vertAlign w:val="baseline"/>
        </w:rPr>
        <w:t> </w:t>
      </w:r>
      <w:r>
        <w:rPr>
          <w:sz w:val="18"/>
          <w:vertAlign w:val="baseline"/>
        </w:rPr>
        <w:t>2022):</w:t>
      </w:r>
      <w:r>
        <w:rPr>
          <w:spacing w:val="-2"/>
          <w:sz w:val="18"/>
          <w:vertAlign w:val="baseline"/>
        </w:rPr>
        <w:t> </w:t>
      </w:r>
      <w:r>
        <w:rPr>
          <w:sz w:val="18"/>
          <w:vertAlign w:val="baseline"/>
        </w:rPr>
        <w:t>21–</w:t>
      </w:r>
    </w:p>
    <w:p>
      <w:pPr>
        <w:spacing w:line="219" w:lineRule="exact" w:before="0"/>
        <w:ind w:left="463" w:right="0" w:firstLine="0"/>
        <w:jc w:val="both"/>
        <w:rPr>
          <w:sz w:val="18"/>
        </w:rPr>
      </w:pPr>
      <w:bookmarkStart w:name="_bookmark144" w:id="300"/>
      <w:bookmarkEnd w:id="300"/>
      <w:r>
        <w:rPr/>
      </w:r>
      <w:r>
        <w:rPr>
          <w:sz w:val="18"/>
        </w:rPr>
        <w:t>39.</w:t>
      </w:r>
      <w:r>
        <w:rPr>
          <w:spacing w:val="-2"/>
          <w:sz w:val="18"/>
        </w:rPr>
        <w:t> </w:t>
      </w:r>
      <w:hyperlink r:id="rId226">
        <w:r>
          <w:rPr>
            <w:color w:val="1153CC"/>
            <w:spacing w:val="-2"/>
            <w:sz w:val="18"/>
            <w:u w:val="single" w:color="1153CC"/>
          </w:rPr>
          <w:t>https://doi.org/10.1080/10538720.2021.1911902</w:t>
        </w:r>
      </w:hyperlink>
      <w:hyperlink r:id="rId226">
        <w:r>
          <w:rPr>
            <w:spacing w:val="-2"/>
            <w:sz w:val="18"/>
            <w:u w:val="none"/>
          </w:rPr>
          <w:t>.</w:t>
        </w:r>
      </w:hyperlink>
    </w:p>
    <w:p>
      <w:pPr>
        <w:spacing w:before="0"/>
        <w:ind w:left="463" w:right="1869" w:hanging="1"/>
        <w:jc w:val="left"/>
        <w:rPr>
          <w:sz w:val="18"/>
        </w:rPr>
      </w:pPr>
      <w:r>
        <w:rPr>
          <w:sz w:val="18"/>
          <w:vertAlign w:val="superscript"/>
        </w:rPr>
        <w:t>43</w:t>
      </w:r>
      <w:r>
        <w:rPr>
          <w:spacing w:val="-13"/>
          <w:sz w:val="18"/>
          <w:vertAlign w:val="baseline"/>
        </w:rPr>
        <w:t> </w:t>
      </w:r>
      <w:r>
        <w:rPr>
          <w:sz w:val="18"/>
          <w:vertAlign w:val="baseline"/>
        </w:rPr>
        <w:t>Human</w:t>
      </w:r>
      <w:r>
        <w:rPr>
          <w:spacing w:val="-5"/>
          <w:sz w:val="18"/>
          <w:vertAlign w:val="baseline"/>
        </w:rPr>
        <w:t> </w:t>
      </w:r>
      <w:r>
        <w:rPr>
          <w:sz w:val="18"/>
          <w:vertAlign w:val="baseline"/>
        </w:rPr>
        <w:t>Rights</w:t>
      </w:r>
      <w:r>
        <w:rPr>
          <w:spacing w:val="-4"/>
          <w:sz w:val="18"/>
          <w:vertAlign w:val="baseline"/>
        </w:rPr>
        <w:t> </w:t>
      </w:r>
      <w:r>
        <w:rPr>
          <w:sz w:val="18"/>
          <w:vertAlign w:val="baseline"/>
        </w:rPr>
        <w:t>Campaign.</w:t>
      </w:r>
      <w:r>
        <w:rPr>
          <w:spacing w:val="-3"/>
          <w:sz w:val="18"/>
          <w:vertAlign w:val="baseline"/>
        </w:rPr>
        <w:t> </w:t>
      </w:r>
      <w:r>
        <w:rPr>
          <w:sz w:val="18"/>
          <w:vertAlign w:val="baseline"/>
        </w:rPr>
        <w:t>“Understanding</w:t>
      </w:r>
      <w:r>
        <w:rPr>
          <w:spacing w:val="-3"/>
          <w:sz w:val="18"/>
          <w:vertAlign w:val="baseline"/>
        </w:rPr>
        <w:t> </w:t>
      </w:r>
      <w:r>
        <w:rPr>
          <w:sz w:val="18"/>
          <w:vertAlign w:val="baseline"/>
        </w:rPr>
        <w:t>Disability</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LGBTQ+</w:t>
      </w:r>
      <w:r>
        <w:rPr>
          <w:spacing w:val="-3"/>
          <w:sz w:val="18"/>
          <w:vertAlign w:val="baseline"/>
        </w:rPr>
        <w:t> </w:t>
      </w:r>
      <w:r>
        <w:rPr>
          <w:sz w:val="18"/>
          <w:vertAlign w:val="baseline"/>
        </w:rPr>
        <w:t>Community.”</w:t>
      </w:r>
      <w:r>
        <w:rPr>
          <w:spacing w:val="-4"/>
          <w:sz w:val="18"/>
          <w:vertAlign w:val="baseline"/>
        </w:rPr>
        <w:t> </w:t>
      </w:r>
      <w:r>
        <w:rPr>
          <w:sz w:val="18"/>
          <w:vertAlign w:val="baseline"/>
        </w:rPr>
        <w:t>Accessed</w:t>
      </w:r>
      <w:r>
        <w:rPr>
          <w:spacing w:val="-3"/>
          <w:sz w:val="18"/>
          <w:vertAlign w:val="baseline"/>
        </w:rPr>
        <w:t> </w:t>
      </w:r>
      <w:r>
        <w:rPr>
          <w:sz w:val="18"/>
          <w:vertAlign w:val="baseline"/>
        </w:rPr>
        <w:t>March</w:t>
      </w:r>
      <w:r>
        <w:rPr>
          <w:spacing w:val="-4"/>
          <w:sz w:val="18"/>
          <w:vertAlign w:val="baseline"/>
        </w:rPr>
        <w:t> </w:t>
      </w:r>
      <w:r>
        <w:rPr>
          <w:sz w:val="18"/>
          <w:vertAlign w:val="baseline"/>
        </w:rPr>
        <w:t>5,</w:t>
      </w:r>
      <w:r>
        <w:rPr>
          <w:spacing w:val="-4"/>
          <w:sz w:val="18"/>
          <w:vertAlign w:val="baseline"/>
        </w:rPr>
        <w:t> </w:t>
      </w:r>
      <w:r>
        <w:rPr>
          <w:sz w:val="18"/>
          <w:vertAlign w:val="baseline"/>
        </w:rPr>
        <w:t>2023. </w:t>
      </w:r>
      <w:bookmarkStart w:name="_bookmark145" w:id="301"/>
      <w:bookmarkEnd w:id="301"/>
      <w:r>
        <w:rPr>
          <w:sz w:val="18"/>
          <w:vertAlign w:val="baseline"/>
        </w:rPr>
      </w:r>
      <w:hyperlink r:id="rId222">
        <w:r>
          <w:rPr>
            <w:color w:val="1153CC"/>
            <w:spacing w:val="-2"/>
            <w:sz w:val="18"/>
            <w:u w:val="single" w:color="1153CC"/>
            <w:vertAlign w:val="baseline"/>
          </w:rPr>
          <w:t>https://www.hrc.org/resources/understanding-disabled-lgbtq-people</w:t>
        </w:r>
      </w:hyperlink>
      <w:hyperlink r:id="rId222">
        <w:r>
          <w:rPr>
            <w:spacing w:val="-2"/>
            <w:sz w:val="18"/>
            <w:u w:val="none"/>
            <w:vertAlign w:val="baseline"/>
          </w:rPr>
          <w:t>.</w:t>
        </w:r>
      </w:hyperlink>
    </w:p>
    <w:p>
      <w:pPr>
        <w:spacing w:before="1"/>
        <w:ind w:left="463" w:right="314" w:hanging="1"/>
        <w:jc w:val="left"/>
        <w:rPr>
          <w:sz w:val="18"/>
        </w:rPr>
      </w:pPr>
      <w:r>
        <w:rPr>
          <w:sz w:val="18"/>
          <w:vertAlign w:val="superscript"/>
        </w:rPr>
        <w:t>44</w:t>
      </w:r>
      <w:r>
        <w:rPr>
          <w:spacing w:val="-13"/>
          <w:sz w:val="18"/>
          <w:vertAlign w:val="baseline"/>
        </w:rPr>
        <w:t> </w:t>
      </w:r>
      <w:r>
        <w:rPr>
          <w:sz w:val="18"/>
          <w:vertAlign w:val="baseline"/>
        </w:rPr>
        <w:t>“DYS</w:t>
      </w:r>
      <w:r>
        <w:rPr>
          <w:spacing w:val="-5"/>
          <w:sz w:val="18"/>
          <w:vertAlign w:val="baseline"/>
        </w:rPr>
        <w:t> </w:t>
      </w:r>
      <w:r>
        <w:rPr>
          <w:sz w:val="18"/>
          <w:vertAlign w:val="baseline"/>
        </w:rPr>
        <w:t>Reports</w:t>
      </w:r>
      <w:r>
        <w:rPr>
          <w:spacing w:val="-4"/>
          <w:sz w:val="18"/>
          <w:vertAlign w:val="baseline"/>
        </w:rPr>
        <w:t> </w:t>
      </w:r>
      <w:r>
        <w:rPr>
          <w:sz w:val="18"/>
          <w:vertAlign w:val="baseline"/>
        </w:rPr>
        <w:t>and</w:t>
      </w:r>
      <w:r>
        <w:rPr>
          <w:spacing w:val="-3"/>
          <w:sz w:val="18"/>
          <w:vertAlign w:val="baseline"/>
        </w:rPr>
        <w:t> </w:t>
      </w:r>
      <w:r>
        <w:rPr>
          <w:sz w:val="18"/>
          <w:vertAlign w:val="baseline"/>
        </w:rPr>
        <w:t>Resources</w:t>
      </w:r>
      <w:r>
        <w:rPr>
          <w:spacing w:val="-3"/>
          <w:sz w:val="18"/>
          <w:vertAlign w:val="baseline"/>
        </w:rPr>
        <w:t> </w:t>
      </w:r>
      <w:r>
        <w:rPr>
          <w:sz w:val="18"/>
          <w:vertAlign w:val="baseline"/>
        </w:rPr>
        <w:t>|</w:t>
      </w:r>
      <w:r>
        <w:rPr>
          <w:spacing w:val="-5"/>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March</w:t>
      </w:r>
      <w:r>
        <w:rPr>
          <w:spacing w:val="-3"/>
          <w:sz w:val="18"/>
          <w:vertAlign w:val="baseline"/>
        </w:rPr>
        <w:t> </w:t>
      </w:r>
      <w:r>
        <w:rPr>
          <w:sz w:val="18"/>
          <w:vertAlign w:val="baseline"/>
        </w:rPr>
        <w:t>1,</w:t>
      </w:r>
      <w:r>
        <w:rPr>
          <w:spacing w:val="-4"/>
          <w:sz w:val="18"/>
          <w:vertAlign w:val="baseline"/>
        </w:rPr>
        <w:t> </w:t>
      </w:r>
      <w:r>
        <w:rPr>
          <w:sz w:val="18"/>
          <w:vertAlign w:val="baseline"/>
        </w:rPr>
        <w:t>2023,</w:t>
      </w:r>
      <w:r>
        <w:rPr>
          <w:spacing w:val="-4"/>
          <w:sz w:val="18"/>
          <w:vertAlign w:val="baseline"/>
        </w:rPr>
        <w:t> </w:t>
      </w:r>
      <w:r>
        <w:rPr>
          <w:sz w:val="18"/>
          <w:vertAlign w:val="baseline"/>
        </w:rPr>
        <w:t>https://</w:t>
      </w:r>
      <w:hyperlink r:id="rId227">
        <w:r>
          <w:rPr>
            <w:sz w:val="18"/>
            <w:vertAlign w:val="baseline"/>
          </w:rPr>
          <w:t>www.mass.gov/service-details/dys-reports-and-</w:t>
        </w:r>
      </w:hyperlink>
      <w:r>
        <w:rPr>
          <w:sz w:val="18"/>
          <w:vertAlign w:val="baseline"/>
        </w:rPr>
        <w:t> </w:t>
      </w:r>
      <w:bookmarkStart w:name="_bookmark146" w:id="302"/>
      <w:bookmarkEnd w:id="302"/>
      <w:r>
        <w:rPr>
          <w:spacing w:val="-2"/>
          <w:sz w:val="18"/>
          <w:vertAlign w:val="baseline"/>
        </w:rPr>
        <w:t>r</w:t>
      </w:r>
      <w:r>
        <w:rPr>
          <w:spacing w:val="-2"/>
          <w:sz w:val="18"/>
          <w:vertAlign w:val="baseline"/>
        </w:rPr>
        <w:t>esources.</w:t>
      </w:r>
    </w:p>
    <w:p>
      <w:pPr>
        <w:spacing w:before="0"/>
        <w:ind w:left="463" w:right="431" w:hanging="1"/>
        <w:jc w:val="left"/>
        <w:rPr>
          <w:sz w:val="18"/>
        </w:rPr>
      </w:pPr>
      <w:r>
        <w:rPr>
          <w:sz w:val="18"/>
          <w:vertAlign w:val="superscript"/>
        </w:rPr>
        <w:t>45</w:t>
      </w:r>
      <w:r>
        <w:rPr>
          <w:spacing w:val="-13"/>
          <w:sz w:val="18"/>
          <w:vertAlign w:val="baseline"/>
        </w:rPr>
        <w:t> </w:t>
      </w:r>
      <w:r>
        <w:rPr>
          <w:sz w:val="18"/>
          <w:vertAlign w:val="baseline"/>
        </w:rPr>
        <w:t>Schaub,</w:t>
      </w:r>
      <w:r>
        <w:rPr>
          <w:spacing w:val="-5"/>
          <w:sz w:val="18"/>
          <w:vertAlign w:val="baseline"/>
        </w:rPr>
        <w:t> </w:t>
      </w:r>
      <w:r>
        <w:rPr>
          <w:sz w:val="18"/>
          <w:vertAlign w:val="baseline"/>
        </w:rPr>
        <w:t>Jason,</w:t>
      </w:r>
      <w:r>
        <w:rPr>
          <w:spacing w:val="-3"/>
          <w:sz w:val="18"/>
          <w:vertAlign w:val="baseline"/>
        </w:rPr>
        <w:t> </w:t>
      </w:r>
      <w:r>
        <w:rPr>
          <w:sz w:val="18"/>
          <w:vertAlign w:val="baseline"/>
        </w:rPr>
        <w:t>Willem</w:t>
      </w:r>
      <w:r>
        <w:rPr>
          <w:spacing w:val="-2"/>
          <w:sz w:val="18"/>
          <w:vertAlign w:val="baseline"/>
        </w:rPr>
        <w:t> </w:t>
      </w:r>
      <w:r>
        <w:rPr>
          <w:sz w:val="18"/>
          <w:vertAlign w:val="baseline"/>
        </w:rPr>
        <w:t>J.</w:t>
      </w:r>
      <w:r>
        <w:rPr>
          <w:spacing w:val="-3"/>
          <w:sz w:val="18"/>
          <w:vertAlign w:val="baseline"/>
        </w:rPr>
        <w:t> </w:t>
      </w:r>
      <w:r>
        <w:rPr>
          <w:sz w:val="18"/>
          <w:vertAlign w:val="baseline"/>
        </w:rPr>
        <w:t>Stander,</w:t>
      </w:r>
      <w:r>
        <w:rPr>
          <w:spacing w:val="-3"/>
          <w:sz w:val="18"/>
          <w:vertAlign w:val="baseline"/>
        </w:rPr>
        <w:t> </w:t>
      </w:r>
      <w:r>
        <w:rPr>
          <w:sz w:val="18"/>
          <w:vertAlign w:val="baseline"/>
        </w:rPr>
        <w:t>and</w:t>
      </w:r>
      <w:r>
        <w:rPr>
          <w:spacing w:val="-2"/>
          <w:sz w:val="18"/>
          <w:vertAlign w:val="baseline"/>
        </w:rPr>
        <w:t> </w:t>
      </w:r>
      <w:r>
        <w:rPr>
          <w:sz w:val="18"/>
          <w:vertAlign w:val="baseline"/>
        </w:rPr>
        <w:t>Paul</w:t>
      </w:r>
      <w:r>
        <w:rPr>
          <w:spacing w:val="-3"/>
          <w:sz w:val="18"/>
          <w:vertAlign w:val="baseline"/>
        </w:rPr>
        <w:t> </w:t>
      </w:r>
      <w:r>
        <w:rPr>
          <w:sz w:val="18"/>
          <w:vertAlign w:val="baseline"/>
        </w:rPr>
        <w:t>Montgomery.</w:t>
      </w:r>
      <w:r>
        <w:rPr>
          <w:spacing w:val="-2"/>
          <w:sz w:val="18"/>
          <w:vertAlign w:val="baseline"/>
        </w:rPr>
        <w:t> </w:t>
      </w:r>
      <w:r>
        <w:rPr>
          <w:sz w:val="18"/>
          <w:vertAlign w:val="baseline"/>
        </w:rPr>
        <w:t>“LGBTQ+</w:t>
      </w:r>
      <w:r>
        <w:rPr>
          <w:spacing w:val="-3"/>
          <w:sz w:val="18"/>
          <w:vertAlign w:val="baseline"/>
        </w:rPr>
        <w:t> </w:t>
      </w:r>
      <w:r>
        <w:rPr>
          <w:sz w:val="18"/>
          <w:vertAlign w:val="baseline"/>
        </w:rPr>
        <w:t>Young</w:t>
      </w:r>
      <w:r>
        <w:rPr>
          <w:spacing w:val="-3"/>
          <w:sz w:val="18"/>
          <w:vertAlign w:val="baseline"/>
        </w:rPr>
        <w:t> </w:t>
      </w:r>
      <w:r>
        <w:rPr>
          <w:sz w:val="18"/>
          <w:vertAlign w:val="baseline"/>
        </w:rPr>
        <w:t>People’s</w:t>
      </w:r>
      <w:r>
        <w:rPr>
          <w:spacing w:val="-2"/>
          <w:sz w:val="18"/>
          <w:vertAlign w:val="baseline"/>
        </w:rPr>
        <w:t> </w:t>
      </w:r>
      <w:r>
        <w:rPr>
          <w:sz w:val="18"/>
          <w:vertAlign w:val="baseline"/>
        </w:rPr>
        <w:t>Health</w:t>
      </w:r>
      <w:r>
        <w:rPr>
          <w:spacing w:val="-3"/>
          <w:sz w:val="18"/>
          <w:vertAlign w:val="baseline"/>
        </w:rPr>
        <w:t> </w:t>
      </w:r>
      <w:r>
        <w:rPr>
          <w:sz w:val="18"/>
          <w:vertAlign w:val="baseline"/>
        </w:rPr>
        <w:t>and</w:t>
      </w:r>
      <w:r>
        <w:rPr>
          <w:spacing w:val="-2"/>
          <w:sz w:val="18"/>
          <w:vertAlign w:val="baseline"/>
        </w:rPr>
        <w:t> </w:t>
      </w:r>
      <w:r>
        <w:rPr>
          <w:sz w:val="18"/>
          <w:vertAlign w:val="baseline"/>
        </w:rPr>
        <w:t>Well-Being</w:t>
      </w:r>
      <w:r>
        <w:rPr>
          <w:spacing w:val="-3"/>
          <w:sz w:val="18"/>
          <w:vertAlign w:val="baseline"/>
        </w:rPr>
        <w:t> </w:t>
      </w:r>
      <w:r>
        <w:rPr>
          <w:sz w:val="18"/>
          <w:vertAlign w:val="baseline"/>
        </w:rPr>
        <w:t>Experiences</w:t>
      </w:r>
      <w:r>
        <w:rPr>
          <w:spacing w:val="-2"/>
          <w:sz w:val="18"/>
          <w:vertAlign w:val="baseline"/>
        </w:rPr>
        <w:t> </w:t>
      </w:r>
      <w:r>
        <w:rPr>
          <w:sz w:val="18"/>
          <w:vertAlign w:val="baseline"/>
        </w:rPr>
        <w:t>in</w:t>
      </w:r>
      <w:r>
        <w:rPr>
          <w:spacing w:val="-3"/>
          <w:sz w:val="18"/>
          <w:vertAlign w:val="baseline"/>
        </w:rPr>
        <w:t> </w:t>
      </w:r>
      <w:r>
        <w:rPr>
          <w:sz w:val="18"/>
          <w:vertAlign w:val="baseline"/>
        </w:rPr>
        <w:t>Out- of-Home Social Care: A Scoping Review.” </w:t>
      </w:r>
      <w:r>
        <w:rPr>
          <w:i/>
          <w:sz w:val="18"/>
          <w:vertAlign w:val="baseline"/>
        </w:rPr>
        <w:t>Children and Youth Services Review </w:t>
      </w:r>
      <w:r>
        <w:rPr>
          <w:sz w:val="18"/>
          <w:vertAlign w:val="baseline"/>
        </w:rPr>
        <w:t>143 (December 2022): 106682. </w:t>
      </w:r>
      <w:bookmarkStart w:name="_bookmark147" w:id="303"/>
      <w:bookmarkEnd w:id="303"/>
      <w:r>
        <w:rPr>
          <w:spacing w:val="-1"/>
          <w:sz w:val="18"/>
          <w:vertAlign w:val="baseline"/>
        </w:rPr>
      </w:r>
      <w:hyperlink r:id="rId228">
        <w:r>
          <w:rPr>
            <w:color w:val="1153CC"/>
            <w:spacing w:val="-2"/>
            <w:sz w:val="18"/>
            <w:u w:val="single" w:color="1153CC"/>
            <w:vertAlign w:val="baseline"/>
          </w:rPr>
          <w:t>https://doi.org/10.1016/j.childyouth.2022.106682</w:t>
        </w:r>
      </w:hyperlink>
      <w:hyperlink r:id="rId228">
        <w:r>
          <w:rPr>
            <w:spacing w:val="-2"/>
            <w:sz w:val="18"/>
            <w:u w:val="none"/>
            <w:vertAlign w:val="baseline"/>
          </w:rPr>
          <w:t>.</w:t>
        </w:r>
      </w:hyperlink>
    </w:p>
    <w:p>
      <w:pPr>
        <w:spacing w:before="0"/>
        <w:ind w:left="463" w:right="314" w:hanging="1"/>
        <w:jc w:val="left"/>
        <w:rPr>
          <w:sz w:val="18"/>
        </w:rPr>
      </w:pPr>
      <w:r>
        <w:rPr>
          <w:sz w:val="18"/>
          <w:vertAlign w:val="superscript"/>
        </w:rPr>
        <w:t>46</w:t>
      </w:r>
      <w:r>
        <w:rPr>
          <w:spacing w:val="-13"/>
          <w:sz w:val="18"/>
          <w:vertAlign w:val="baseline"/>
        </w:rPr>
        <w:t> </w:t>
      </w:r>
      <w:r>
        <w:rPr>
          <w:sz w:val="18"/>
          <w:vertAlign w:val="baseline"/>
        </w:rPr>
        <w:t>McCormick,</w:t>
      </w:r>
      <w:r>
        <w:rPr>
          <w:spacing w:val="-5"/>
          <w:sz w:val="18"/>
          <w:vertAlign w:val="baseline"/>
        </w:rPr>
        <w:t> </w:t>
      </w:r>
      <w:r>
        <w:rPr>
          <w:sz w:val="18"/>
          <w:vertAlign w:val="baseline"/>
        </w:rPr>
        <w:t>Adam,</w:t>
      </w:r>
      <w:r>
        <w:rPr>
          <w:spacing w:val="-3"/>
          <w:sz w:val="18"/>
          <w:vertAlign w:val="baseline"/>
        </w:rPr>
        <w:t> </w:t>
      </w:r>
      <w:r>
        <w:rPr>
          <w:sz w:val="18"/>
          <w:vertAlign w:val="baseline"/>
        </w:rPr>
        <w:t>Kathryn</w:t>
      </w:r>
      <w:r>
        <w:rPr>
          <w:spacing w:val="-2"/>
          <w:sz w:val="18"/>
          <w:vertAlign w:val="baseline"/>
        </w:rPr>
        <w:t> </w:t>
      </w:r>
      <w:r>
        <w:rPr>
          <w:sz w:val="18"/>
          <w:vertAlign w:val="baseline"/>
        </w:rPr>
        <w:t>Schmidt,</w:t>
      </w:r>
      <w:r>
        <w:rPr>
          <w:spacing w:val="-3"/>
          <w:sz w:val="18"/>
          <w:vertAlign w:val="baseline"/>
        </w:rPr>
        <w:t> </w:t>
      </w:r>
      <w:r>
        <w:rPr>
          <w:sz w:val="18"/>
          <w:vertAlign w:val="baseline"/>
        </w:rPr>
        <w:t>and</w:t>
      </w:r>
      <w:r>
        <w:rPr>
          <w:spacing w:val="-2"/>
          <w:sz w:val="18"/>
          <w:vertAlign w:val="baseline"/>
        </w:rPr>
        <w:t> </w:t>
      </w:r>
      <w:r>
        <w:rPr>
          <w:sz w:val="18"/>
          <w:vertAlign w:val="baseline"/>
        </w:rPr>
        <w:t>Samuel</w:t>
      </w:r>
      <w:r>
        <w:rPr>
          <w:spacing w:val="-3"/>
          <w:sz w:val="18"/>
          <w:vertAlign w:val="baseline"/>
        </w:rPr>
        <w:t> </w:t>
      </w:r>
      <w:r>
        <w:rPr>
          <w:sz w:val="18"/>
          <w:vertAlign w:val="baseline"/>
        </w:rPr>
        <w:t>Terrazas.</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System:</w:t>
      </w:r>
      <w:r>
        <w:rPr>
          <w:spacing w:val="-2"/>
          <w:sz w:val="18"/>
          <w:vertAlign w:val="baseline"/>
        </w:rPr>
        <w:t> </w:t>
      </w:r>
      <w:r>
        <w:rPr>
          <w:sz w:val="18"/>
          <w:vertAlign w:val="baseline"/>
        </w:rPr>
        <w:t>An</w:t>
      </w:r>
      <w:r>
        <w:rPr>
          <w:spacing w:val="-2"/>
          <w:sz w:val="18"/>
          <w:vertAlign w:val="baseline"/>
        </w:rPr>
        <w:t> </w:t>
      </w:r>
      <w:r>
        <w:rPr>
          <w:sz w:val="18"/>
          <w:vertAlign w:val="baseline"/>
        </w:rPr>
        <w:t>Overview</w:t>
      </w:r>
      <w:r>
        <w:rPr>
          <w:spacing w:val="-3"/>
          <w:sz w:val="18"/>
          <w:vertAlign w:val="baseline"/>
        </w:rPr>
        <w:t> </w:t>
      </w:r>
      <w:r>
        <w:rPr>
          <w:sz w:val="18"/>
          <w:vertAlign w:val="baseline"/>
        </w:rPr>
        <w:t>of Research, Practice, and Policy.” </w:t>
      </w:r>
      <w:r>
        <w:rPr>
          <w:i/>
          <w:sz w:val="18"/>
          <w:vertAlign w:val="baseline"/>
        </w:rPr>
        <w:t>Journal of Public Child Welfare </w:t>
      </w:r>
      <w:r>
        <w:rPr>
          <w:sz w:val="18"/>
          <w:vertAlign w:val="baseline"/>
        </w:rPr>
        <w:t>11, no. 1 (January 2017): 27–39. </w:t>
      </w:r>
      <w:bookmarkStart w:name="_bookmark148" w:id="304"/>
      <w:bookmarkEnd w:id="304"/>
      <w:r>
        <w:rPr>
          <w:spacing w:val="-1"/>
          <w:sz w:val="18"/>
          <w:vertAlign w:val="baseline"/>
        </w:rPr>
      </w:r>
      <w:hyperlink r:id="rId229">
        <w:r>
          <w:rPr>
            <w:color w:val="1153CC"/>
            <w:spacing w:val="-2"/>
            <w:sz w:val="18"/>
            <w:u w:val="single" w:color="1153CC"/>
            <w:vertAlign w:val="baseline"/>
          </w:rPr>
          <w:t>https://doi.org/10.1080/15548732.2016.1221368</w:t>
        </w:r>
      </w:hyperlink>
      <w:hyperlink r:id="rId229">
        <w:r>
          <w:rPr>
            <w:spacing w:val="-2"/>
            <w:sz w:val="18"/>
            <w:u w:val="none"/>
            <w:vertAlign w:val="baseline"/>
          </w:rPr>
          <w:t>.</w:t>
        </w:r>
      </w:hyperlink>
    </w:p>
    <w:p>
      <w:pPr>
        <w:spacing w:before="0"/>
        <w:ind w:left="463" w:right="0" w:firstLine="0"/>
        <w:jc w:val="left"/>
        <w:rPr>
          <w:sz w:val="18"/>
        </w:rPr>
      </w:pPr>
      <w:r>
        <w:rPr>
          <w:sz w:val="18"/>
          <w:vertAlign w:val="superscript"/>
        </w:rPr>
        <w:t>47</w:t>
      </w:r>
      <w:r>
        <w:rPr>
          <w:spacing w:val="-14"/>
          <w:sz w:val="18"/>
          <w:vertAlign w:val="baseline"/>
        </w:rPr>
        <w:t> </w:t>
      </w:r>
      <w:r>
        <w:rPr>
          <w:color w:val="000000"/>
          <w:sz w:val="18"/>
          <w:shd w:fill="FAE3CD" w:color="auto" w:val="clear"/>
          <w:vertAlign w:val="baseline"/>
        </w:rPr>
        <w:t>P.</w:t>
      </w:r>
      <w:r>
        <w:rPr>
          <w:color w:val="000000"/>
          <w:spacing w:val="-4"/>
          <w:sz w:val="18"/>
          <w:shd w:fill="FAE3CD" w:color="auto" w:val="clear"/>
          <w:vertAlign w:val="baseline"/>
        </w:rPr>
        <w:t> </w:t>
      </w:r>
      <w:r>
        <w:rPr>
          <w:color w:val="000000"/>
          <w:sz w:val="18"/>
          <w:shd w:fill="FAE3CD" w:color="auto" w:val="clear"/>
          <w:vertAlign w:val="baseline"/>
        </w:rPr>
        <w:t>170.</w:t>
      </w:r>
      <w:r>
        <w:rPr>
          <w:color w:val="000000"/>
          <w:spacing w:val="-2"/>
          <w:sz w:val="18"/>
          <w:vertAlign w:val="baseline"/>
        </w:rPr>
        <w:t> </w:t>
      </w:r>
      <w:r>
        <w:rPr>
          <w:color w:val="000000"/>
          <w:sz w:val="18"/>
          <w:vertAlign w:val="baseline"/>
        </w:rPr>
        <w:t>Bochicchio,</w:t>
      </w:r>
      <w:r>
        <w:rPr>
          <w:color w:val="000000"/>
          <w:spacing w:val="-3"/>
          <w:sz w:val="18"/>
          <w:vertAlign w:val="baseline"/>
        </w:rPr>
        <w:t> </w:t>
      </w:r>
      <w:r>
        <w:rPr>
          <w:color w:val="000000"/>
          <w:sz w:val="18"/>
          <w:vertAlign w:val="baseline"/>
        </w:rPr>
        <w:t>Lauren,</w:t>
      </w:r>
      <w:r>
        <w:rPr>
          <w:color w:val="000000"/>
          <w:spacing w:val="-3"/>
          <w:sz w:val="18"/>
          <w:vertAlign w:val="baseline"/>
        </w:rPr>
        <w:t> </w:t>
      </w:r>
      <w:r>
        <w:rPr>
          <w:color w:val="000000"/>
          <w:sz w:val="18"/>
          <w:vertAlign w:val="baseline"/>
        </w:rPr>
        <w:t>Kelsey</w:t>
      </w:r>
      <w:r>
        <w:rPr>
          <w:color w:val="000000"/>
          <w:spacing w:val="-2"/>
          <w:sz w:val="18"/>
          <w:vertAlign w:val="baseline"/>
        </w:rPr>
        <w:t> </w:t>
      </w:r>
      <w:r>
        <w:rPr>
          <w:color w:val="000000"/>
          <w:sz w:val="18"/>
          <w:vertAlign w:val="baseline"/>
        </w:rPr>
        <w:t>Reeder,</w:t>
      </w:r>
      <w:r>
        <w:rPr>
          <w:color w:val="000000"/>
          <w:spacing w:val="-3"/>
          <w:sz w:val="18"/>
          <w:vertAlign w:val="baseline"/>
        </w:rPr>
        <w:t> </w:t>
      </w:r>
      <w:r>
        <w:rPr>
          <w:color w:val="000000"/>
          <w:sz w:val="18"/>
          <w:vertAlign w:val="baseline"/>
        </w:rPr>
        <w:t>Andre</w:t>
      </w:r>
      <w:r>
        <w:rPr>
          <w:color w:val="000000"/>
          <w:spacing w:val="-2"/>
          <w:sz w:val="18"/>
          <w:vertAlign w:val="baseline"/>
        </w:rPr>
        <w:t> </w:t>
      </w:r>
      <w:r>
        <w:rPr>
          <w:color w:val="000000"/>
          <w:sz w:val="18"/>
          <w:vertAlign w:val="baseline"/>
        </w:rPr>
        <w:t>Ivanoff,</w:t>
      </w:r>
      <w:r>
        <w:rPr>
          <w:color w:val="000000"/>
          <w:spacing w:val="-3"/>
          <w:sz w:val="18"/>
          <w:vertAlign w:val="baseline"/>
        </w:rPr>
        <w:t> </w:t>
      </w:r>
      <w:r>
        <w:rPr>
          <w:color w:val="000000"/>
          <w:sz w:val="18"/>
          <w:vertAlign w:val="baseline"/>
        </w:rPr>
        <w:t>Hunter</w:t>
      </w:r>
      <w:r>
        <w:rPr>
          <w:color w:val="000000"/>
          <w:spacing w:val="-3"/>
          <w:sz w:val="18"/>
          <w:vertAlign w:val="baseline"/>
        </w:rPr>
        <w:t> </w:t>
      </w:r>
      <w:r>
        <w:rPr>
          <w:color w:val="000000"/>
          <w:sz w:val="18"/>
          <w:vertAlign w:val="baseline"/>
        </w:rPr>
        <w:t>Pope,</w:t>
      </w:r>
      <w:r>
        <w:rPr>
          <w:color w:val="000000"/>
          <w:spacing w:val="-3"/>
          <w:sz w:val="18"/>
          <w:vertAlign w:val="baseline"/>
        </w:rPr>
        <w:t> </w:t>
      </w:r>
      <w:r>
        <w:rPr>
          <w:color w:val="000000"/>
          <w:sz w:val="18"/>
          <w:vertAlign w:val="baseline"/>
        </w:rPr>
        <w:t>and</w:t>
      </w:r>
      <w:r>
        <w:rPr>
          <w:color w:val="000000"/>
          <w:spacing w:val="-3"/>
          <w:sz w:val="18"/>
          <w:vertAlign w:val="baseline"/>
        </w:rPr>
        <w:t> </w:t>
      </w:r>
      <w:r>
        <w:rPr>
          <w:color w:val="000000"/>
          <w:sz w:val="18"/>
          <w:vertAlign w:val="baseline"/>
        </w:rPr>
        <w:t>Ana</w:t>
      </w:r>
      <w:r>
        <w:rPr>
          <w:color w:val="000000"/>
          <w:spacing w:val="-2"/>
          <w:sz w:val="18"/>
          <w:vertAlign w:val="baseline"/>
        </w:rPr>
        <w:t> </w:t>
      </w:r>
      <w:r>
        <w:rPr>
          <w:color w:val="000000"/>
          <w:sz w:val="18"/>
          <w:vertAlign w:val="baseline"/>
        </w:rPr>
        <w:t>Stefancic.</w:t>
      </w:r>
      <w:r>
        <w:rPr>
          <w:color w:val="000000"/>
          <w:spacing w:val="-2"/>
          <w:sz w:val="18"/>
          <w:vertAlign w:val="baseline"/>
        </w:rPr>
        <w:t> </w:t>
      </w:r>
      <w:r>
        <w:rPr>
          <w:color w:val="000000"/>
          <w:sz w:val="18"/>
          <w:vertAlign w:val="baseline"/>
        </w:rPr>
        <w:t>“Psychotherapeutic</w:t>
      </w:r>
      <w:r>
        <w:rPr>
          <w:color w:val="000000"/>
          <w:spacing w:val="-3"/>
          <w:sz w:val="18"/>
          <w:vertAlign w:val="baseline"/>
        </w:rPr>
        <w:t> </w:t>
      </w:r>
      <w:r>
        <w:rPr>
          <w:color w:val="000000"/>
          <w:sz w:val="18"/>
          <w:vertAlign w:val="baseline"/>
        </w:rPr>
        <w:t>Interventions</w:t>
      </w:r>
      <w:r>
        <w:rPr>
          <w:color w:val="000000"/>
          <w:spacing w:val="-2"/>
          <w:sz w:val="18"/>
          <w:vertAlign w:val="baseline"/>
        </w:rPr>
        <w:t> </w:t>
      </w:r>
      <w:r>
        <w:rPr>
          <w:color w:val="000000"/>
          <w:sz w:val="18"/>
          <w:vertAlign w:val="baseline"/>
        </w:rPr>
        <w:t>for LGBTQ + Youth: A Systematic Review.” </w:t>
      </w:r>
      <w:r>
        <w:rPr>
          <w:i/>
          <w:color w:val="000000"/>
          <w:sz w:val="18"/>
          <w:vertAlign w:val="baseline"/>
        </w:rPr>
        <w:t>Journal of LGBT Youth </w:t>
      </w:r>
      <w:r>
        <w:rPr>
          <w:color w:val="000000"/>
          <w:sz w:val="18"/>
          <w:vertAlign w:val="baseline"/>
        </w:rPr>
        <w:t>19, no. 2 (April 3, 2022): 152–79. </w:t>
      </w:r>
      <w:bookmarkStart w:name="_bookmark149" w:id="305"/>
      <w:bookmarkEnd w:id="305"/>
      <w:r>
        <w:rPr>
          <w:color w:val="000000"/>
          <w:spacing w:val="-1"/>
          <w:sz w:val="18"/>
          <w:vertAlign w:val="baseline"/>
        </w:rPr>
      </w:r>
      <w:hyperlink r:id="rId230">
        <w:r>
          <w:rPr>
            <w:color w:val="1153CC"/>
            <w:spacing w:val="-2"/>
            <w:sz w:val="18"/>
            <w:u w:val="single" w:color="1153CC"/>
            <w:vertAlign w:val="baseline"/>
          </w:rPr>
          <w:t>https://doi.org/10.1080/19361653.2020.1766393</w:t>
        </w:r>
      </w:hyperlink>
      <w:hyperlink r:id="rId230">
        <w:r>
          <w:rPr>
            <w:color w:val="000000"/>
            <w:spacing w:val="-2"/>
            <w:sz w:val="18"/>
            <w:u w:val="none"/>
            <w:vertAlign w:val="baseline"/>
          </w:rPr>
          <w:t>.</w:t>
        </w:r>
      </w:hyperlink>
    </w:p>
    <w:p>
      <w:pPr>
        <w:spacing w:before="0"/>
        <w:ind w:left="463" w:right="0" w:firstLine="0"/>
        <w:jc w:val="left"/>
        <w:rPr>
          <w:sz w:val="18"/>
        </w:rPr>
      </w:pPr>
      <w:r>
        <w:rPr>
          <w:sz w:val="18"/>
          <w:vertAlign w:val="superscript"/>
        </w:rPr>
        <w:t>48</w:t>
      </w:r>
      <w:r>
        <w:rPr>
          <w:spacing w:val="-15"/>
          <w:sz w:val="18"/>
          <w:vertAlign w:val="baseline"/>
        </w:rPr>
        <w:t> </w:t>
      </w:r>
      <w:r>
        <w:rPr>
          <w:sz w:val="18"/>
          <w:vertAlign w:val="baseline"/>
        </w:rPr>
        <w:t>Coulter,</w:t>
      </w:r>
      <w:r>
        <w:rPr>
          <w:spacing w:val="-5"/>
          <w:sz w:val="18"/>
          <w:vertAlign w:val="baseline"/>
        </w:rPr>
        <w:t> </w:t>
      </w:r>
      <w:r>
        <w:rPr>
          <w:sz w:val="18"/>
          <w:vertAlign w:val="baseline"/>
        </w:rPr>
        <w:t>Robert</w:t>
      </w:r>
      <w:r>
        <w:rPr>
          <w:spacing w:val="-3"/>
          <w:sz w:val="18"/>
          <w:vertAlign w:val="baseline"/>
        </w:rPr>
        <w:t> </w:t>
      </w:r>
      <w:r>
        <w:rPr>
          <w:sz w:val="18"/>
          <w:vertAlign w:val="baseline"/>
        </w:rPr>
        <w:t>W.</w:t>
      </w:r>
      <w:r>
        <w:rPr>
          <w:spacing w:val="-2"/>
          <w:sz w:val="18"/>
          <w:vertAlign w:val="baseline"/>
        </w:rPr>
        <w:t> </w:t>
      </w:r>
      <w:r>
        <w:rPr>
          <w:sz w:val="18"/>
          <w:vertAlign w:val="baseline"/>
        </w:rPr>
        <w:t>S.,</w:t>
      </w:r>
      <w:r>
        <w:rPr>
          <w:spacing w:val="-2"/>
          <w:sz w:val="18"/>
          <w:vertAlign w:val="baseline"/>
        </w:rPr>
        <w:t> </w:t>
      </w:r>
      <w:r>
        <w:rPr>
          <w:sz w:val="18"/>
          <w:vertAlign w:val="baseline"/>
        </w:rPr>
        <w:t>James</w:t>
      </w:r>
      <w:r>
        <w:rPr>
          <w:spacing w:val="-2"/>
          <w:sz w:val="18"/>
          <w:vertAlign w:val="baseline"/>
        </w:rPr>
        <w:t> </w:t>
      </w:r>
      <w:r>
        <w:rPr>
          <w:sz w:val="18"/>
          <w:vertAlign w:val="baseline"/>
        </w:rPr>
        <w:t>E.</w:t>
      </w:r>
      <w:r>
        <w:rPr>
          <w:spacing w:val="-3"/>
          <w:sz w:val="18"/>
          <w:vertAlign w:val="baseline"/>
        </w:rPr>
        <w:t> </w:t>
      </w:r>
      <w:r>
        <w:rPr>
          <w:sz w:val="18"/>
          <w:vertAlign w:val="baseline"/>
        </w:rPr>
        <w:t>Egan,</w:t>
      </w:r>
      <w:r>
        <w:rPr>
          <w:spacing w:val="-3"/>
          <w:sz w:val="18"/>
          <w:vertAlign w:val="baseline"/>
        </w:rPr>
        <w:t> </w:t>
      </w:r>
      <w:r>
        <w:rPr>
          <w:sz w:val="18"/>
          <w:vertAlign w:val="baseline"/>
        </w:rPr>
        <w:t>Suzanne</w:t>
      </w:r>
      <w:r>
        <w:rPr>
          <w:spacing w:val="-2"/>
          <w:sz w:val="18"/>
          <w:vertAlign w:val="baseline"/>
        </w:rPr>
        <w:t> </w:t>
      </w:r>
      <w:r>
        <w:rPr>
          <w:sz w:val="18"/>
          <w:vertAlign w:val="baseline"/>
        </w:rPr>
        <w:t>Kinsky,</w:t>
      </w:r>
      <w:r>
        <w:rPr>
          <w:spacing w:val="-3"/>
          <w:sz w:val="18"/>
          <w:vertAlign w:val="baseline"/>
        </w:rPr>
        <w:t> </w:t>
      </w:r>
      <w:r>
        <w:rPr>
          <w:sz w:val="18"/>
          <w:vertAlign w:val="baseline"/>
        </w:rPr>
        <w:t>M.</w:t>
      </w:r>
      <w:r>
        <w:rPr>
          <w:spacing w:val="-2"/>
          <w:sz w:val="18"/>
          <w:vertAlign w:val="baseline"/>
        </w:rPr>
        <w:t> </w:t>
      </w:r>
      <w:r>
        <w:rPr>
          <w:sz w:val="18"/>
          <w:vertAlign w:val="baseline"/>
        </w:rPr>
        <w:t>Reuel</w:t>
      </w:r>
      <w:r>
        <w:rPr>
          <w:spacing w:val="-3"/>
          <w:sz w:val="18"/>
          <w:vertAlign w:val="baseline"/>
        </w:rPr>
        <w:t> </w:t>
      </w:r>
      <w:r>
        <w:rPr>
          <w:sz w:val="18"/>
          <w:vertAlign w:val="baseline"/>
        </w:rPr>
        <w:t>Friedman,</w:t>
      </w:r>
      <w:r>
        <w:rPr>
          <w:spacing w:val="-3"/>
          <w:sz w:val="18"/>
          <w:vertAlign w:val="baseline"/>
        </w:rPr>
        <w:t> </w:t>
      </w:r>
      <w:r>
        <w:rPr>
          <w:sz w:val="18"/>
          <w:vertAlign w:val="baseline"/>
        </w:rPr>
        <w:t>Kristen</w:t>
      </w:r>
      <w:r>
        <w:rPr>
          <w:spacing w:val="-2"/>
          <w:sz w:val="18"/>
          <w:vertAlign w:val="baseline"/>
        </w:rPr>
        <w:t> </w:t>
      </w:r>
      <w:r>
        <w:rPr>
          <w:sz w:val="18"/>
          <w:vertAlign w:val="baseline"/>
        </w:rPr>
        <w:t>L.</w:t>
      </w:r>
      <w:r>
        <w:rPr>
          <w:spacing w:val="-2"/>
          <w:sz w:val="18"/>
          <w:vertAlign w:val="baseline"/>
        </w:rPr>
        <w:t> </w:t>
      </w:r>
      <w:r>
        <w:rPr>
          <w:sz w:val="18"/>
          <w:vertAlign w:val="baseline"/>
        </w:rPr>
        <w:t>Eckstrand,</w:t>
      </w:r>
      <w:r>
        <w:rPr>
          <w:spacing w:val="-3"/>
          <w:sz w:val="18"/>
          <w:vertAlign w:val="baseline"/>
        </w:rPr>
        <w:t> </w:t>
      </w:r>
      <w:r>
        <w:rPr>
          <w:sz w:val="18"/>
          <w:vertAlign w:val="baseline"/>
        </w:rPr>
        <w:t>Jessica</w:t>
      </w:r>
      <w:r>
        <w:rPr>
          <w:spacing w:val="-2"/>
          <w:sz w:val="18"/>
          <w:vertAlign w:val="baseline"/>
        </w:rPr>
        <w:t> </w:t>
      </w:r>
      <w:r>
        <w:rPr>
          <w:sz w:val="18"/>
          <w:vertAlign w:val="baseline"/>
        </w:rPr>
        <w:t>Frankeberger,</w:t>
      </w:r>
      <w:r>
        <w:rPr>
          <w:spacing w:val="-2"/>
          <w:sz w:val="18"/>
          <w:vertAlign w:val="baseline"/>
        </w:rPr>
        <w:t> Barbara</w:t>
      </w:r>
    </w:p>
    <w:p>
      <w:pPr>
        <w:spacing w:before="0"/>
        <w:ind w:left="463" w:right="0" w:firstLine="0"/>
        <w:jc w:val="left"/>
        <w:rPr>
          <w:i/>
          <w:sz w:val="18"/>
        </w:rPr>
      </w:pPr>
      <w:r>
        <w:rPr>
          <w:sz w:val="18"/>
        </w:rPr>
        <w:t>L.</w:t>
      </w:r>
      <w:r>
        <w:rPr>
          <w:spacing w:val="-5"/>
          <w:sz w:val="18"/>
        </w:rPr>
        <w:t> </w:t>
      </w:r>
      <w:r>
        <w:rPr>
          <w:sz w:val="18"/>
        </w:rPr>
        <w:t>Folb,</w:t>
      </w:r>
      <w:r>
        <w:rPr>
          <w:spacing w:val="-3"/>
          <w:sz w:val="18"/>
        </w:rPr>
        <w:t> </w:t>
      </w:r>
      <w:r>
        <w:rPr>
          <w:sz w:val="18"/>
        </w:rPr>
        <w:t>et</w:t>
      </w:r>
      <w:r>
        <w:rPr>
          <w:spacing w:val="-3"/>
          <w:sz w:val="18"/>
        </w:rPr>
        <w:t> </w:t>
      </w:r>
      <w:r>
        <w:rPr>
          <w:sz w:val="18"/>
        </w:rPr>
        <w:t>al.</w:t>
      </w:r>
      <w:r>
        <w:rPr>
          <w:spacing w:val="-2"/>
          <w:sz w:val="18"/>
        </w:rPr>
        <w:t> </w:t>
      </w:r>
      <w:r>
        <w:rPr>
          <w:sz w:val="18"/>
        </w:rPr>
        <w:t>“Mental</w:t>
      </w:r>
      <w:r>
        <w:rPr>
          <w:spacing w:val="-4"/>
          <w:sz w:val="18"/>
        </w:rPr>
        <w:t> </w:t>
      </w:r>
      <w:r>
        <w:rPr>
          <w:sz w:val="18"/>
        </w:rPr>
        <w:t>Health,</w:t>
      </w:r>
      <w:r>
        <w:rPr>
          <w:spacing w:val="-3"/>
          <w:sz w:val="18"/>
        </w:rPr>
        <w:t> </w:t>
      </w:r>
      <w:r>
        <w:rPr>
          <w:sz w:val="18"/>
        </w:rPr>
        <w:t>Drug,</w:t>
      </w:r>
      <w:r>
        <w:rPr>
          <w:spacing w:val="-3"/>
          <w:sz w:val="18"/>
        </w:rPr>
        <w:t> </w:t>
      </w:r>
      <w:r>
        <w:rPr>
          <w:sz w:val="18"/>
        </w:rPr>
        <w:t>and</w:t>
      </w:r>
      <w:r>
        <w:rPr>
          <w:spacing w:val="-2"/>
          <w:sz w:val="18"/>
        </w:rPr>
        <w:t> </w:t>
      </w:r>
      <w:r>
        <w:rPr>
          <w:sz w:val="18"/>
        </w:rPr>
        <w:t>Violence</w:t>
      </w:r>
      <w:r>
        <w:rPr>
          <w:spacing w:val="-3"/>
          <w:sz w:val="18"/>
        </w:rPr>
        <w:t> </w:t>
      </w:r>
      <w:r>
        <w:rPr>
          <w:sz w:val="18"/>
        </w:rPr>
        <w:t>Interventions</w:t>
      </w:r>
      <w:r>
        <w:rPr>
          <w:spacing w:val="-2"/>
          <w:sz w:val="18"/>
        </w:rPr>
        <w:t> </w:t>
      </w:r>
      <w:r>
        <w:rPr>
          <w:sz w:val="18"/>
        </w:rPr>
        <w:t>for</w:t>
      </w:r>
      <w:r>
        <w:rPr>
          <w:spacing w:val="-3"/>
          <w:sz w:val="18"/>
        </w:rPr>
        <w:t> </w:t>
      </w:r>
      <w:r>
        <w:rPr>
          <w:sz w:val="18"/>
        </w:rPr>
        <w:t>Sexual/Gender</w:t>
      </w:r>
      <w:r>
        <w:rPr>
          <w:spacing w:val="-3"/>
          <w:sz w:val="18"/>
        </w:rPr>
        <w:t> </w:t>
      </w:r>
      <w:r>
        <w:rPr>
          <w:sz w:val="18"/>
        </w:rPr>
        <w:t>Minorities:</w:t>
      </w:r>
      <w:r>
        <w:rPr>
          <w:spacing w:val="-3"/>
          <w:sz w:val="18"/>
        </w:rPr>
        <w:t> </w:t>
      </w:r>
      <w:r>
        <w:rPr>
          <w:sz w:val="18"/>
        </w:rPr>
        <w:t>A</w:t>
      </w:r>
      <w:r>
        <w:rPr>
          <w:spacing w:val="-2"/>
          <w:sz w:val="18"/>
        </w:rPr>
        <w:t> </w:t>
      </w:r>
      <w:r>
        <w:rPr>
          <w:sz w:val="18"/>
        </w:rPr>
        <w:t>Systematic</w:t>
      </w:r>
      <w:r>
        <w:rPr>
          <w:spacing w:val="-3"/>
          <w:sz w:val="18"/>
        </w:rPr>
        <w:t> </w:t>
      </w:r>
      <w:r>
        <w:rPr>
          <w:sz w:val="18"/>
        </w:rPr>
        <w:t>Review.”</w:t>
      </w:r>
      <w:r>
        <w:rPr>
          <w:spacing w:val="-2"/>
          <w:sz w:val="18"/>
        </w:rPr>
        <w:t> </w:t>
      </w:r>
      <w:r>
        <w:rPr>
          <w:i/>
          <w:spacing w:val="-2"/>
          <w:sz w:val="18"/>
        </w:rPr>
        <w:t>Pediatrics</w:t>
      </w:r>
    </w:p>
    <w:p>
      <w:pPr>
        <w:spacing w:before="0"/>
        <w:ind w:left="463" w:right="0" w:firstLine="0"/>
        <w:jc w:val="left"/>
        <w:rPr>
          <w:sz w:val="18"/>
        </w:rPr>
      </w:pPr>
      <w:bookmarkStart w:name="_bookmark150" w:id="306"/>
      <w:bookmarkEnd w:id="306"/>
      <w:r>
        <w:rPr/>
      </w:r>
      <w:r>
        <w:rPr>
          <w:sz w:val="18"/>
        </w:rPr>
        <w:t>144,</w:t>
      </w:r>
      <w:r>
        <w:rPr>
          <w:spacing w:val="-6"/>
          <w:sz w:val="18"/>
        </w:rPr>
        <w:t> </w:t>
      </w:r>
      <w:r>
        <w:rPr>
          <w:sz w:val="18"/>
        </w:rPr>
        <w:t>no.</w:t>
      </w:r>
      <w:r>
        <w:rPr>
          <w:spacing w:val="-6"/>
          <w:sz w:val="18"/>
        </w:rPr>
        <w:t> </w:t>
      </w:r>
      <w:r>
        <w:rPr>
          <w:sz w:val="18"/>
        </w:rPr>
        <w:t>3</w:t>
      </w:r>
      <w:r>
        <w:rPr>
          <w:spacing w:val="-5"/>
          <w:sz w:val="18"/>
        </w:rPr>
        <w:t> </w:t>
      </w:r>
      <w:r>
        <w:rPr>
          <w:sz w:val="18"/>
        </w:rPr>
        <w:t>(September</w:t>
      </w:r>
      <w:r>
        <w:rPr>
          <w:spacing w:val="-6"/>
          <w:sz w:val="18"/>
        </w:rPr>
        <w:t> </w:t>
      </w:r>
      <w:r>
        <w:rPr>
          <w:sz w:val="18"/>
        </w:rPr>
        <w:t>1,</w:t>
      </w:r>
      <w:r>
        <w:rPr>
          <w:spacing w:val="-6"/>
          <w:sz w:val="18"/>
        </w:rPr>
        <w:t> </w:t>
      </w:r>
      <w:r>
        <w:rPr>
          <w:sz w:val="18"/>
        </w:rPr>
        <w:t>2019):</w:t>
      </w:r>
      <w:r>
        <w:rPr>
          <w:spacing w:val="-6"/>
          <w:sz w:val="18"/>
        </w:rPr>
        <w:t> </w:t>
      </w:r>
      <w:r>
        <w:rPr>
          <w:sz w:val="18"/>
        </w:rPr>
        <w:t>e20183367.</w:t>
      </w:r>
      <w:r>
        <w:rPr>
          <w:spacing w:val="-5"/>
          <w:sz w:val="18"/>
        </w:rPr>
        <w:t> </w:t>
      </w:r>
      <w:hyperlink r:id="rId231">
        <w:r>
          <w:rPr>
            <w:color w:val="1153CC"/>
            <w:sz w:val="18"/>
            <w:u w:val="single" w:color="1153CC"/>
          </w:rPr>
          <w:t>https://doi.org/10.1542/peds.2018-</w:t>
        </w:r>
        <w:r>
          <w:rPr>
            <w:color w:val="1153CC"/>
            <w:spacing w:val="-2"/>
            <w:sz w:val="18"/>
            <w:u w:val="single" w:color="1153CC"/>
          </w:rPr>
          <w:t>3367</w:t>
        </w:r>
      </w:hyperlink>
      <w:hyperlink r:id="rId231">
        <w:r>
          <w:rPr>
            <w:spacing w:val="-2"/>
            <w:sz w:val="18"/>
            <w:u w:val="none"/>
          </w:rPr>
          <w:t>.</w:t>
        </w:r>
      </w:hyperlink>
    </w:p>
    <w:p>
      <w:pPr>
        <w:spacing w:before="0"/>
        <w:ind w:left="463" w:right="350" w:hanging="1"/>
        <w:jc w:val="left"/>
        <w:rPr>
          <w:sz w:val="18"/>
        </w:rPr>
      </w:pPr>
      <w:r>
        <w:rPr>
          <w:sz w:val="18"/>
          <w:vertAlign w:val="superscript"/>
        </w:rPr>
        <w:t>49</w:t>
      </w:r>
      <w:r>
        <w:rPr>
          <w:spacing w:val="-7"/>
          <w:sz w:val="18"/>
          <w:vertAlign w:val="baseline"/>
        </w:rPr>
        <w:t> </w:t>
      </w:r>
      <w:r>
        <w:rPr>
          <w:sz w:val="18"/>
          <w:vertAlign w:val="baseline"/>
        </w:rPr>
        <w:t>McCormick, Adam, Karey Scheyd, and Samuel Terrazas. “Trauma-Informed Care and LGBTQ Youth: Considerations for Advancing</w:t>
      </w:r>
      <w:r>
        <w:rPr>
          <w:spacing w:val="-3"/>
          <w:sz w:val="18"/>
          <w:vertAlign w:val="baseline"/>
        </w:rPr>
        <w:t> </w:t>
      </w:r>
      <w:r>
        <w:rPr>
          <w:sz w:val="18"/>
          <w:vertAlign w:val="baseline"/>
        </w:rPr>
        <w:t>Practice</w:t>
      </w:r>
      <w:r>
        <w:rPr>
          <w:spacing w:val="-3"/>
          <w:sz w:val="18"/>
          <w:vertAlign w:val="baseline"/>
        </w:rPr>
        <w:t> </w:t>
      </w:r>
      <w:r>
        <w:rPr>
          <w:sz w:val="18"/>
          <w:vertAlign w:val="baseline"/>
        </w:rPr>
        <w:t>With</w:t>
      </w:r>
      <w:r>
        <w:rPr>
          <w:spacing w:val="-3"/>
          <w:sz w:val="18"/>
          <w:vertAlign w:val="baseline"/>
        </w:rPr>
        <w:t> </w:t>
      </w:r>
      <w:r>
        <w:rPr>
          <w:sz w:val="18"/>
          <w:vertAlign w:val="baseline"/>
        </w:rPr>
        <w:t>Youth</w:t>
      </w:r>
      <w:r>
        <w:rPr>
          <w:spacing w:val="-2"/>
          <w:sz w:val="18"/>
          <w:vertAlign w:val="baseline"/>
        </w:rPr>
        <w:t> </w:t>
      </w:r>
      <w:r>
        <w:rPr>
          <w:sz w:val="18"/>
          <w:vertAlign w:val="baseline"/>
        </w:rPr>
        <w:t>With</w:t>
      </w:r>
      <w:r>
        <w:rPr>
          <w:spacing w:val="-3"/>
          <w:sz w:val="18"/>
          <w:vertAlign w:val="baseline"/>
        </w:rPr>
        <w:t> </w:t>
      </w:r>
      <w:r>
        <w:rPr>
          <w:sz w:val="18"/>
          <w:vertAlign w:val="baseline"/>
        </w:rPr>
        <w:t>Trauma</w:t>
      </w:r>
      <w:r>
        <w:rPr>
          <w:spacing w:val="-3"/>
          <w:sz w:val="18"/>
          <w:vertAlign w:val="baseline"/>
        </w:rPr>
        <w:t> </w:t>
      </w:r>
      <w:r>
        <w:rPr>
          <w:sz w:val="18"/>
          <w:vertAlign w:val="baseline"/>
        </w:rPr>
        <w:t>Experiences.”</w:t>
      </w:r>
      <w:r>
        <w:rPr>
          <w:spacing w:val="-3"/>
          <w:sz w:val="18"/>
          <w:vertAlign w:val="baseline"/>
        </w:rPr>
        <w:t> </w:t>
      </w:r>
      <w:r>
        <w:rPr>
          <w:i/>
          <w:sz w:val="18"/>
          <w:vertAlign w:val="baseline"/>
        </w:rPr>
        <w:t>Families</w:t>
      </w:r>
      <w:r>
        <w:rPr>
          <w:i/>
          <w:spacing w:val="-3"/>
          <w:sz w:val="18"/>
          <w:vertAlign w:val="baseline"/>
        </w:rPr>
        <w:t> </w:t>
      </w:r>
      <w:r>
        <w:rPr>
          <w:i/>
          <w:sz w:val="18"/>
          <w:vertAlign w:val="baseline"/>
        </w:rPr>
        <w:t>in</w:t>
      </w:r>
      <w:r>
        <w:rPr>
          <w:i/>
          <w:spacing w:val="-3"/>
          <w:sz w:val="18"/>
          <w:vertAlign w:val="baseline"/>
        </w:rPr>
        <w:t> </w:t>
      </w:r>
      <w:r>
        <w:rPr>
          <w:i/>
          <w:sz w:val="18"/>
          <w:vertAlign w:val="baseline"/>
        </w:rPr>
        <w:t>Society:</w:t>
      </w:r>
      <w:r>
        <w:rPr>
          <w:i/>
          <w:spacing w:val="-3"/>
          <w:sz w:val="18"/>
          <w:vertAlign w:val="baseline"/>
        </w:rPr>
        <w:t> </w:t>
      </w:r>
      <w:r>
        <w:rPr>
          <w:i/>
          <w:sz w:val="18"/>
          <w:vertAlign w:val="baseline"/>
        </w:rPr>
        <w:t>The</w:t>
      </w:r>
      <w:r>
        <w:rPr>
          <w:i/>
          <w:spacing w:val="-3"/>
          <w:sz w:val="18"/>
          <w:vertAlign w:val="baseline"/>
        </w:rPr>
        <w:t> </w:t>
      </w:r>
      <w:r>
        <w:rPr>
          <w:i/>
          <w:sz w:val="18"/>
          <w:vertAlign w:val="baseline"/>
        </w:rPr>
        <w:t>Journal</w:t>
      </w:r>
      <w:r>
        <w:rPr>
          <w:i/>
          <w:spacing w:val="-4"/>
          <w:sz w:val="18"/>
          <w:vertAlign w:val="baseline"/>
        </w:rPr>
        <w:t> </w:t>
      </w:r>
      <w:r>
        <w:rPr>
          <w:i/>
          <w:sz w:val="18"/>
          <w:vertAlign w:val="baseline"/>
        </w:rPr>
        <w:t>of</w:t>
      </w:r>
      <w:r>
        <w:rPr>
          <w:i/>
          <w:spacing w:val="-3"/>
          <w:sz w:val="18"/>
          <w:vertAlign w:val="baseline"/>
        </w:rPr>
        <w:t> </w:t>
      </w:r>
      <w:r>
        <w:rPr>
          <w:i/>
          <w:sz w:val="18"/>
          <w:vertAlign w:val="baseline"/>
        </w:rPr>
        <w:t>Contemporary</w:t>
      </w:r>
      <w:r>
        <w:rPr>
          <w:i/>
          <w:spacing w:val="-3"/>
          <w:sz w:val="18"/>
          <w:vertAlign w:val="baseline"/>
        </w:rPr>
        <w:t> </w:t>
      </w:r>
      <w:r>
        <w:rPr>
          <w:i/>
          <w:sz w:val="18"/>
          <w:vertAlign w:val="baseline"/>
        </w:rPr>
        <w:t>Social</w:t>
      </w:r>
      <w:r>
        <w:rPr>
          <w:i/>
          <w:spacing w:val="-4"/>
          <w:sz w:val="18"/>
          <w:vertAlign w:val="baseline"/>
        </w:rPr>
        <w:t> </w:t>
      </w:r>
      <w:r>
        <w:rPr>
          <w:i/>
          <w:sz w:val="18"/>
          <w:vertAlign w:val="baseline"/>
        </w:rPr>
        <w:t>Services</w:t>
      </w:r>
      <w:r>
        <w:rPr>
          <w:i/>
          <w:spacing w:val="-4"/>
          <w:sz w:val="18"/>
          <w:vertAlign w:val="baseline"/>
        </w:rPr>
        <w:t> </w:t>
      </w:r>
      <w:r>
        <w:rPr>
          <w:sz w:val="18"/>
          <w:vertAlign w:val="baseline"/>
        </w:rPr>
        <w:t>99, </w:t>
      </w:r>
      <w:bookmarkStart w:name="_bookmark151" w:id="307"/>
      <w:bookmarkEnd w:id="307"/>
      <w:r>
        <w:rPr>
          <w:sz w:val="18"/>
          <w:vertAlign w:val="baseline"/>
        </w:rPr>
        <w:t>n</w:t>
      </w:r>
      <w:r>
        <w:rPr>
          <w:sz w:val="18"/>
          <w:vertAlign w:val="baseline"/>
        </w:rPr>
        <w:t>o. 2 (April 2018): 160–69. </w:t>
      </w:r>
      <w:hyperlink r:id="rId232">
        <w:r>
          <w:rPr>
            <w:color w:val="1153CC"/>
            <w:sz w:val="18"/>
            <w:u w:val="single" w:color="1153CC"/>
            <w:vertAlign w:val="baseline"/>
          </w:rPr>
          <w:t>https://doi.org/10.1177/1044389418768550</w:t>
        </w:r>
      </w:hyperlink>
      <w:hyperlink r:id="rId232">
        <w:r>
          <w:rPr>
            <w:sz w:val="18"/>
            <w:u w:val="none"/>
            <w:vertAlign w:val="baseline"/>
          </w:rPr>
          <w:t>.</w:t>
        </w:r>
      </w:hyperlink>
    </w:p>
    <w:p>
      <w:pPr>
        <w:spacing w:before="0"/>
        <w:ind w:left="463" w:right="314" w:hanging="1"/>
        <w:jc w:val="left"/>
        <w:rPr>
          <w:sz w:val="18"/>
        </w:rPr>
      </w:pPr>
      <w:r>
        <w:rPr>
          <w:sz w:val="18"/>
          <w:vertAlign w:val="superscript"/>
        </w:rPr>
        <w:t>50</w:t>
      </w:r>
      <w:r>
        <w:rPr>
          <w:spacing w:val="-13"/>
          <w:sz w:val="18"/>
          <w:vertAlign w:val="baseline"/>
        </w:rPr>
        <w:t> </w:t>
      </w:r>
      <w:r>
        <w:rPr>
          <w:sz w:val="18"/>
          <w:vertAlign w:val="baseline"/>
        </w:rPr>
        <w:t>Fish,</w:t>
      </w:r>
      <w:r>
        <w:rPr>
          <w:spacing w:val="-5"/>
          <w:sz w:val="18"/>
          <w:vertAlign w:val="baseline"/>
        </w:rPr>
        <w:t> </w:t>
      </w:r>
      <w:r>
        <w:rPr>
          <w:sz w:val="18"/>
          <w:vertAlign w:val="baseline"/>
        </w:rPr>
        <w:t>Jessica</w:t>
      </w:r>
      <w:r>
        <w:rPr>
          <w:spacing w:val="-3"/>
          <w:sz w:val="18"/>
          <w:vertAlign w:val="baseline"/>
        </w:rPr>
        <w:t> </w:t>
      </w:r>
      <w:r>
        <w:rPr>
          <w:sz w:val="18"/>
          <w:vertAlign w:val="baseline"/>
        </w:rPr>
        <w:t>N.</w:t>
      </w:r>
      <w:r>
        <w:rPr>
          <w:spacing w:val="-3"/>
          <w:sz w:val="18"/>
          <w:vertAlign w:val="baseline"/>
        </w:rPr>
        <w:t> </w:t>
      </w:r>
      <w:r>
        <w:rPr>
          <w:sz w:val="18"/>
          <w:vertAlign w:val="baseline"/>
        </w:rPr>
        <w:t>“Future</w:t>
      </w:r>
      <w:r>
        <w:rPr>
          <w:spacing w:val="-3"/>
          <w:sz w:val="18"/>
          <w:vertAlign w:val="baseline"/>
        </w:rPr>
        <w:t> </w:t>
      </w:r>
      <w:r>
        <w:rPr>
          <w:sz w:val="18"/>
          <w:vertAlign w:val="baseline"/>
        </w:rPr>
        <w:t>Directions</w:t>
      </w:r>
      <w:r>
        <w:rPr>
          <w:spacing w:val="-3"/>
          <w:sz w:val="18"/>
          <w:vertAlign w:val="baseline"/>
        </w:rPr>
        <w:t> </w:t>
      </w:r>
      <w:r>
        <w:rPr>
          <w:sz w:val="18"/>
          <w:vertAlign w:val="baseline"/>
        </w:rPr>
        <w:t>in</w:t>
      </w:r>
      <w:r>
        <w:rPr>
          <w:spacing w:val="-3"/>
          <w:sz w:val="18"/>
          <w:vertAlign w:val="baseline"/>
        </w:rPr>
        <w:t> </w:t>
      </w:r>
      <w:r>
        <w:rPr>
          <w:sz w:val="18"/>
          <w:vertAlign w:val="baseline"/>
        </w:rPr>
        <w:t>Understanding</w:t>
      </w:r>
      <w:r>
        <w:rPr>
          <w:spacing w:val="-3"/>
          <w:sz w:val="18"/>
          <w:vertAlign w:val="baseline"/>
        </w:rPr>
        <w:t> </w:t>
      </w:r>
      <w:r>
        <w:rPr>
          <w:sz w:val="18"/>
          <w:vertAlign w:val="baseline"/>
        </w:rPr>
        <w:t>and</w:t>
      </w:r>
      <w:r>
        <w:rPr>
          <w:spacing w:val="-3"/>
          <w:sz w:val="18"/>
          <w:vertAlign w:val="baseline"/>
        </w:rPr>
        <w:t> </w:t>
      </w:r>
      <w:r>
        <w:rPr>
          <w:sz w:val="18"/>
          <w:vertAlign w:val="baseline"/>
        </w:rPr>
        <w:t>Addressing</w:t>
      </w:r>
      <w:r>
        <w:rPr>
          <w:spacing w:val="-3"/>
          <w:sz w:val="18"/>
          <w:vertAlign w:val="baseline"/>
        </w:rPr>
        <w:t> </w:t>
      </w:r>
      <w:r>
        <w:rPr>
          <w:sz w:val="18"/>
          <w:vertAlign w:val="baseline"/>
        </w:rPr>
        <w:t>Mental</w:t>
      </w:r>
      <w:r>
        <w:rPr>
          <w:spacing w:val="-3"/>
          <w:sz w:val="18"/>
          <w:vertAlign w:val="baseline"/>
        </w:rPr>
        <w:t> </w:t>
      </w:r>
      <w:r>
        <w:rPr>
          <w:sz w:val="18"/>
          <w:vertAlign w:val="baseline"/>
        </w:rPr>
        <w:t>Health</w:t>
      </w:r>
      <w:r>
        <w:rPr>
          <w:spacing w:val="-3"/>
          <w:sz w:val="18"/>
          <w:vertAlign w:val="baseline"/>
        </w:rPr>
        <w:t> </w:t>
      </w:r>
      <w:r>
        <w:rPr>
          <w:sz w:val="18"/>
          <w:vertAlign w:val="baseline"/>
        </w:rPr>
        <w:t>among</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3"/>
          <w:sz w:val="18"/>
          <w:vertAlign w:val="baseline"/>
        </w:rPr>
        <w:t> </w:t>
      </w:r>
      <w:r>
        <w:rPr>
          <w:i/>
          <w:sz w:val="18"/>
          <w:vertAlign w:val="baseline"/>
        </w:rPr>
        <w:t>Clinical</w:t>
      </w:r>
      <w:r>
        <w:rPr>
          <w:i/>
          <w:sz w:val="18"/>
          <w:vertAlign w:val="baseline"/>
        </w:rPr>
        <w:t> </w:t>
      </w:r>
      <w:bookmarkStart w:name="_bookmark152" w:id="308"/>
      <w:bookmarkEnd w:id="308"/>
      <w:r>
        <w:rPr>
          <w:i/>
          <w:sz w:val="18"/>
          <w:vertAlign w:val="baseline"/>
        </w:rPr>
        <w:t>Chi</w:t>
      </w:r>
      <w:r>
        <w:rPr>
          <w:i/>
          <w:sz w:val="18"/>
          <w:vertAlign w:val="baseline"/>
        </w:rPr>
        <w:t>ld &amp; Adolescent Psychology </w:t>
      </w:r>
      <w:r>
        <w:rPr>
          <w:sz w:val="18"/>
          <w:vertAlign w:val="baseline"/>
        </w:rPr>
        <w:t>49, no. 6 (November 1, 2020): 943–56. </w:t>
      </w:r>
      <w:hyperlink r:id="rId233">
        <w:r>
          <w:rPr>
            <w:color w:val="1153CC"/>
            <w:sz w:val="18"/>
            <w:u w:val="single" w:color="1153CC"/>
            <w:vertAlign w:val="baseline"/>
          </w:rPr>
          <w:t>https://doi.org/10.1080/15374416.2020.1815207</w:t>
        </w:r>
      </w:hyperlink>
      <w:hyperlink r:id="rId233">
        <w:r>
          <w:rPr>
            <w:sz w:val="18"/>
            <w:u w:val="none"/>
            <w:vertAlign w:val="baseline"/>
          </w:rPr>
          <w:t>.</w:t>
        </w:r>
      </w:hyperlink>
    </w:p>
    <w:p>
      <w:pPr>
        <w:spacing w:before="0"/>
        <w:ind w:left="463" w:right="304" w:hanging="1"/>
        <w:jc w:val="both"/>
        <w:rPr>
          <w:sz w:val="18"/>
        </w:rPr>
      </w:pPr>
      <w:r>
        <w:rPr>
          <w:sz w:val="18"/>
          <w:vertAlign w:val="superscript"/>
        </w:rPr>
        <w:t>51</w:t>
      </w:r>
      <w:r>
        <w:rPr>
          <w:spacing w:val="-11"/>
          <w:sz w:val="18"/>
          <w:vertAlign w:val="baseline"/>
        </w:rPr>
        <w:t> </w:t>
      </w:r>
      <w:r>
        <w:rPr>
          <w:sz w:val="18"/>
          <w:vertAlign w:val="baseline"/>
        </w:rPr>
        <w:t>Tasnim,</w:t>
      </w:r>
      <w:r>
        <w:rPr>
          <w:spacing w:val="-3"/>
          <w:sz w:val="18"/>
          <w:vertAlign w:val="baseline"/>
        </w:rPr>
        <w:t> </w:t>
      </w:r>
      <w:r>
        <w:rPr>
          <w:sz w:val="18"/>
          <w:vertAlign w:val="baseline"/>
        </w:rPr>
        <w:t>Samia,</w:t>
      </w:r>
      <w:r>
        <w:rPr>
          <w:spacing w:val="-1"/>
          <w:sz w:val="18"/>
          <w:vertAlign w:val="baseline"/>
        </w:rPr>
        <w:t> </w:t>
      </w:r>
      <w:r>
        <w:rPr>
          <w:sz w:val="18"/>
          <w:vertAlign w:val="baseline"/>
        </w:rPr>
        <w:t>Nusrat</w:t>
      </w:r>
      <w:r>
        <w:rPr>
          <w:spacing w:val="-1"/>
          <w:sz w:val="18"/>
          <w:vertAlign w:val="baseline"/>
        </w:rPr>
        <w:t> </w:t>
      </w:r>
      <w:r>
        <w:rPr>
          <w:sz w:val="18"/>
          <w:vertAlign w:val="baseline"/>
        </w:rPr>
        <w:t>Fahmida Trisha,</w:t>
      </w:r>
      <w:r>
        <w:rPr>
          <w:spacing w:val="-1"/>
          <w:sz w:val="18"/>
          <w:vertAlign w:val="baseline"/>
        </w:rPr>
        <w:t> </w:t>
      </w:r>
      <w:r>
        <w:rPr>
          <w:sz w:val="18"/>
          <w:vertAlign w:val="baseline"/>
        </w:rPr>
        <w:t>Qiping Fan,</w:t>
      </w:r>
      <w:r>
        <w:rPr>
          <w:spacing w:val="-1"/>
          <w:sz w:val="18"/>
          <w:vertAlign w:val="baseline"/>
        </w:rPr>
        <w:t> </w:t>
      </w:r>
      <w:r>
        <w:rPr>
          <w:sz w:val="18"/>
          <w:vertAlign w:val="baseline"/>
        </w:rPr>
        <w:t>Abida Sultana,</w:t>
      </w:r>
      <w:r>
        <w:rPr>
          <w:spacing w:val="-1"/>
          <w:sz w:val="18"/>
          <w:vertAlign w:val="baseline"/>
        </w:rPr>
        <w:t> </w:t>
      </w:r>
      <w:r>
        <w:rPr>
          <w:sz w:val="18"/>
          <w:vertAlign w:val="baseline"/>
        </w:rPr>
        <w:t>Shayla Haque Mishu,</w:t>
      </w:r>
      <w:r>
        <w:rPr>
          <w:spacing w:val="-1"/>
          <w:sz w:val="18"/>
          <w:vertAlign w:val="baseline"/>
        </w:rPr>
        <w:t> </w:t>
      </w:r>
      <w:r>
        <w:rPr>
          <w:sz w:val="18"/>
          <w:vertAlign w:val="baseline"/>
        </w:rPr>
        <w:t>Nishat</w:t>
      </w:r>
      <w:r>
        <w:rPr>
          <w:spacing w:val="-1"/>
          <w:sz w:val="18"/>
          <w:vertAlign w:val="baseline"/>
        </w:rPr>
        <w:t> </w:t>
      </w:r>
      <w:r>
        <w:rPr>
          <w:sz w:val="18"/>
          <w:vertAlign w:val="baseline"/>
        </w:rPr>
        <w:t>Tasnim Hasan,</w:t>
      </w:r>
      <w:r>
        <w:rPr>
          <w:spacing w:val="-1"/>
          <w:sz w:val="18"/>
          <w:vertAlign w:val="baseline"/>
        </w:rPr>
        <w:t> </w:t>
      </w:r>
      <w:r>
        <w:rPr>
          <w:sz w:val="18"/>
          <w:vertAlign w:val="baseline"/>
        </w:rPr>
        <w:t>and Md Mahbub Hossain.</w:t>
      </w:r>
      <w:r>
        <w:rPr>
          <w:spacing w:val="-3"/>
          <w:sz w:val="18"/>
          <w:vertAlign w:val="baseline"/>
        </w:rPr>
        <w:t> </w:t>
      </w:r>
      <w:r>
        <w:rPr>
          <w:sz w:val="18"/>
          <w:vertAlign w:val="baseline"/>
        </w:rPr>
        <w:t>“Improving</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and</w:t>
      </w:r>
      <w:r>
        <w:rPr>
          <w:spacing w:val="-3"/>
          <w:sz w:val="18"/>
          <w:vertAlign w:val="baseline"/>
        </w:rPr>
        <w:t> </w:t>
      </w:r>
      <w:r>
        <w:rPr>
          <w:sz w:val="18"/>
          <w:vertAlign w:val="baseline"/>
        </w:rPr>
        <w:t>Wellbeing</w:t>
      </w:r>
      <w:r>
        <w:rPr>
          <w:spacing w:val="-3"/>
          <w:sz w:val="18"/>
          <w:vertAlign w:val="baseline"/>
        </w:rPr>
        <w:t> </w:t>
      </w:r>
      <w:r>
        <w:rPr>
          <w:sz w:val="18"/>
          <w:vertAlign w:val="baseline"/>
        </w:rPr>
        <w:t>among</w:t>
      </w:r>
      <w:r>
        <w:rPr>
          <w:spacing w:val="-3"/>
          <w:sz w:val="18"/>
          <w:vertAlign w:val="baseline"/>
        </w:rPr>
        <w:t> </w:t>
      </w:r>
      <w:r>
        <w:rPr>
          <w:sz w:val="18"/>
          <w:vertAlign w:val="baseline"/>
        </w:rPr>
        <w:t>Sexual</w:t>
      </w:r>
      <w:r>
        <w:rPr>
          <w:spacing w:val="-5"/>
          <w:sz w:val="18"/>
          <w:vertAlign w:val="baseline"/>
        </w:rPr>
        <w:t> </w:t>
      </w:r>
      <w:r>
        <w:rPr>
          <w:sz w:val="18"/>
          <w:vertAlign w:val="baseline"/>
        </w:rPr>
        <w:t>and</w:t>
      </w:r>
      <w:r>
        <w:rPr>
          <w:spacing w:val="-3"/>
          <w:sz w:val="18"/>
          <w:vertAlign w:val="baseline"/>
        </w:rPr>
        <w:t> </w:t>
      </w:r>
      <w:r>
        <w:rPr>
          <w:sz w:val="18"/>
          <w:vertAlign w:val="baseline"/>
        </w:rPr>
        <w:t>Gender</w:t>
      </w:r>
      <w:r>
        <w:rPr>
          <w:spacing w:val="-4"/>
          <w:sz w:val="18"/>
          <w:vertAlign w:val="baseline"/>
        </w:rPr>
        <w:t> </w:t>
      </w:r>
      <w:r>
        <w:rPr>
          <w:sz w:val="18"/>
          <w:vertAlign w:val="baseline"/>
        </w:rPr>
        <w:t>Minorities</w:t>
      </w:r>
      <w:r>
        <w:rPr>
          <w:spacing w:val="-3"/>
          <w:sz w:val="18"/>
          <w:vertAlign w:val="baseline"/>
        </w:rPr>
        <w:t> </w:t>
      </w:r>
      <w:r>
        <w:rPr>
          <w:sz w:val="18"/>
          <w:vertAlign w:val="baseline"/>
        </w:rPr>
        <w:t>Using</w:t>
      </w:r>
      <w:r>
        <w:rPr>
          <w:spacing w:val="-3"/>
          <w:sz w:val="18"/>
          <w:vertAlign w:val="baseline"/>
        </w:rPr>
        <w:t> </w:t>
      </w:r>
      <w:r>
        <w:rPr>
          <w:sz w:val="18"/>
          <w:vertAlign w:val="baseline"/>
        </w:rPr>
        <w:t>Digital</w:t>
      </w:r>
      <w:r>
        <w:rPr>
          <w:spacing w:val="-4"/>
          <w:sz w:val="18"/>
          <w:vertAlign w:val="baseline"/>
        </w:rPr>
        <w:t> </w:t>
      </w:r>
      <w:r>
        <w:rPr>
          <w:sz w:val="18"/>
          <w:vertAlign w:val="baseline"/>
        </w:rPr>
        <w:t>Interventions:</w:t>
      </w:r>
      <w:r>
        <w:rPr>
          <w:spacing w:val="-3"/>
          <w:sz w:val="18"/>
          <w:vertAlign w:val="baseline"/>
        </w:rPr>
        <w:t> </w:t>
      </w:r>
      <w:r>
        <w:rPr>
          <w:sz w:val="18"/>
          <w:vertAlign w:val="baseline"/>
        </w:rPr>
        <w:t>A</w:t>
      </w:r>
      <w:r>
        <w:rPr>
          <w:spacing w:val="-3"/>
          <w:sz w:val="18"/>
          <w:vertAlign w:val="baseline"/>
        </w:rPr>
        <w:t> </w:t>
      </w:r>
      <w:r>
        <w:rPr>
          <w:sz w:val="18"/>
          <w:vertAlign w:val="baseline"/>
        </w:rPr>
        <w:t>Systematic </w:t>
      </w:r>
      <w:bookmarkStart w:name="_bookmark153" w:id="309"/>
      <w:bookmarkEnd w:id="309"/>
      <w:r>
        <w:rPr>
          <w:sz w:val="18"/>
          <w:vertAlign w:val="baseline"/>
        </w:rPr>
        <w:t>R</w:t>
      </w:r>
      <w:r>
        <w:rPr>
          <w:sz w:val="18"/>
          <w:vertAlign w:val="baseline"/>
        </w:rPr>
        <w:t>eview.” Preprint. PsyArXiv, February 5, 2020. </w:t>
      </w:r>
      <w:hyperlink r:id="rId234">
        <w:r>
          <w:rPr>
            <w:color w:val="1153CC"/>
            <w:sz w:val="18"/>
            <w:u w:val="single" w:color="1153CC"/>
            <w:vertAlign w:val="baseline"/>
          </w:rPr>
          <w:t>https://doi.org/10.31234/osf.io/9wu42</w:t>
        </w:r>
      </w:hyperlink>
      <w:hyperlink r:id="rId234">
        <w:r>
          <w:rPr>
            <w:sz w:val="18"/>
            <w:u w:val="none"/>
            <w:vertAlign w:val="baseline"/>
          </w:rPr>
          <w:t>.</w:t>
        </w:r>
      </w:hyperlink>
    </w:p>
    <w:p>
      <w:pPr>
        <w:spacing w:before="0"/>
        <w:ind w:left="463" w:right="274" w:hanging="1"/>
        <w:jc w:val="both"/>
        <w:rPr>
          <w:sz w:val="18"/>
        </w:rPr>
      </w:pPr>
      <w:r>
        <w:rPr>
          <w:sz w:val="18"/>
          <w:vertAlign w:val="superscript"/>
        </w:rPr>
        <w:t>52</w:t>
      </w:r>
      <w:r>
        <w:rPr>
          <w:spacing w:val="-11"/>
          <w:sz w:val="18"/>
          <w:vertAlign w:val="baseline"/>
        </w:rPr>
        <w:t> </w:t>
      </w:r>
      <w:r>
        <w:rPr>
          <w:sz w:val="18"/>
          <w:vertAlign w:val="baseline"/>
        </w:rPr>
        <w:t>Iacovides,</w:t>
      </w:r>
      <w:r>
        <w:rPr>
          <w:spacing w:val="-6"/>
          <w:sz w:val="18"/>
          <w:vertAlign w:val="baseline"/>
        </w:rPr>
        <w:t> </w:t>
      </w:r>
      <w:r>
        <w:rPr>
          <w:sz w:val="18"/>
          <w:vertAlign w:val="baseline"/>
        </w:rPr>
        <w:t>I.,</w:t>
      </w:r>
      <w:r>
        <w:rPr>
          <w:spacing w:val="-3"/>
          <w:sz w:val="18"/>
          <w:vertAlign w:val="baseline"/>
        </w:rPr>
        <w:t> </w:t>
      </w:r>
      <w:r>
        <w:rPr>
          <w:sz w:val="18"/>
          <w:vertAlign w:val="baseline"/>
        </w:rPr>
        <w:t>Samra,</w:t>
      </w:r>
      <w:r>
        <w:rPr>
          <w:spacing w:val="-3"/>
          <w:sz w:val="18"/>
          <w:vertAlign w:val="baseline"/>
        </w:rPr>
        <w:t> </w:t>
      </w:r>
      <w:r>
        <w:rPr>
          <w:sz w:val="18"/>
          <w:vertAlign w:val="baseline"/>
        </w:rPr>
        <w:t>R.,</w:t>
      </w:r>
      <w:r>
        <w:rPr>
          <w:spacing w:val="-3"/>
          <w:sz w:val="18"/>
          <w:vertAlign w:val="baseline"/>
        </w:rPr>
        <w:t> </w:t>
      </w:r>
      <w:r>
        <w:rPr>
          <w:sz w:val="18"/>
          <w:vertAlign w:val="baseline"/>
        </w:rPr>
        <w:t>Lucassen,</w:t>
      </w:r>
      <w:r>
        <w:rPr>
          <w:spacing w:val="-3"/>
          <w:sz w:val="18"/>
          <w:vertAlign w:val="baseline"/>
        </w:rPr>
        <w:t> </w:t>
      </w:r>
      <w:r>
        <w:rPr>
          <w:sz w:val="18"/>
          <w:vertAlign w:val="baseline"/>
        </w:rPr>
        <w:t>M.,</w:t>
      </w:r>
      <w:r>
        <w:rPr>
          <w:spacing w:val="-3"/>
          <w:sz w:val="18"/>
          <w:vertAlign w:val="baseline"/>
        </w:rPr>
        <w:t> </w:t>
      </w:r>
      <w:r>
        <w:rPr>
          <w:sz w:val="18"/>
          <w:vertAlign w:val="baseline"/>
        </w:rPr>
        <w:t>&amp;</w:t>
      </w:r>
      <w:r>
        <w:rPr>
          <w:spacing w:val="-3"/>
          <w:sz w:val="18"/>
          <w:vertAlign w:val="baseline"/>
        </w:rPr>
        <w:t> </w:t>
      </w:r>
      <w:r>
        <w:rPr>
          <w:sz w:val="18"/>
          <w:vertAlign w:val="baseline"/>
        </w:rPr>
        <w:t>Wallace,</w:t>
      </w:r>
      <w:r>
        <w:rPr>
          <w:spacing w:val="-3"/>
          <w:sz w:val="18"/>
          <w:vertAlign w:val="baseline"/>
        </w:rPr>
        <w:t> </w:t>
      </w:r>
      <w:r>
        <w:rPr>
          <w:sz w:val="18"/>
          <w:vertAlign w:val="baseline"/>
        </w:rPr>
        <w:t>L.</w:t>
      </w:r>
      <w:r>
        <w:rPr>
          <w:spacing w:val="-2"/>
          <w:sz w:val="18"/>
          <w:vertAlign w:val="baseline"/>
        </w:rPr>
        <w:t> </w:t>
      </w:r>
      <w:r>
        <w:rPr>
          <w:sz w:val="18"/>
          <w:vertAlign w:val="baseline"/>
        </w:rPr>
        <w:t>(2017).</w:t>
      </w:r>
      <w:r>
        <w:rPr>
          <w:spacing w:val="-3"/>
          <w:sz w:val="18"/>
          <w:vertAlign w:val="baseline"/>
        </w:rPr>
        <w:t> </w:t>
      </w:r>
      <w:r>
        <w:rPr>
          <w:sz w:val="18"/>
          <w:vertAlign w:val="baseline"/>
        </w:rPr>
        <w:t>Game-based</w:t>
      </w:r>
      <w:r>
        <w:rPr>
          <w:spacing w:val="-2"/>
          <w:sz w:val="18"/>
          <w:vertAlign w:val="baseline"/>
        </w:rPr>
        <w:t> </w:t>
      </w:r>
      <w:r>
        <w:rPr>
          <w:sz w:val="18"/>
          <w:vertAlign w:val="baseline"/>
        </w:rPr>
        <w:t>cognitive</w:t>
      </w:r>
      <w:r>
        <w:rPr>
          <w:spacing w:val="-2"/>
          <w:sz w:val="18"/>
          <w:vertAlign w:val="baseline"/>
        </w:rPr>
        <w:t> </w:t>
      </w:r>
      <w:r>
        <w:rPr>
          <w:sz w:val="18"/>
          <w:vertAlign w:val="baseline"/>
        </w:rPr>
        <w:t>behavioural</w:t>
      </w:r>
      <w:r>
        <w:rPr>
          <w:spacing w:val="-3"/>
          <w:sz w:val="18"/>
          <w:vertAlign w:val="baseline"/>
        </w:rPr>
        <w:t> </w:t>
      </w:r>
      <w:r>
        <w:rPr>
          <w:sz w:val="18"/>
          <w:vertAlign w:val="baseline"/>
        </w:rPr>
        <w:t>therapy</w:t>
      </w:r>
      <w:r>
        <w:rPr>
          <w:spacing w:val="-2"/>
          <w:sz w:val="18"/>
          <w:vertAlign w:val="baseline"/>
        </w:rPr>
        <w:t> </w:t>
      </w:r>
      <w:r>
        <w:rPr>
          <w:sz w:val="18"/>
          <w:vertAlign w:val="baseline"/>
        </w:rPr>
        <w:t>(CBT)</w:t>
      </w:r>
      <w:r>
        <w:rPr>
          <w:spacing w:val="-3"/>
          <w:sz w:val="18"/>
          <w:vertAlign w:val="baseline"/>
        </w:rPr>
        <w:t> </w:t>
      </w:r>
      <w:r>
        <w:rPr>
          <w:sz w:val="18"/>
          <w:vertAlign w:val="baseline"/>
        </w:rPr>
        <w:t>for</w:t>
      </w:r>
      <w:r>
        <w:rPr>
          <w:spacing w:val="-3"/>
          <w:sz w:val="18"/>
          <w:vertAlign w:val="baseline"/>
        </w:rPr>
        <w:t> </w:t>
      </w:r>
      <w:r>
        <w:rPr>
          <w:sz w:val="18"/>
          <w:vertAlign w:val="baseline"/>
        </w:rPr>
        <w:t>sexual</w:t>
      </w:r>
      <w:r>
        <w:rPr>
          <w:spacing w:val="-3"/>
          <w:sz w:val="18"/>
          <w:vertAlign w:val="baseline"/>
        </w:rPr>
        <w:t> </w:t>
      </w:r>
      <w:r>
        <w:rPr>
          <w:sz w:val="18"/>
          <w:vertAlign w:val="baseline"/>
        </w:rPr>
        <w:t>minority youth: Rainbow SPARX in the UK. Chi Play.</w:t>
      </w:r>
    </w:p>
    <w:p>
      <w:pPr>
        <w:spacing w:before="0"/>
        <w:ind w:left="463" w:right="279" w:hanging="1"/>
        <w:jc w:val="left"/>
        <w:rPr>
          <w:sz w:val="18"/>
        </w:rPr>
      </w:pPr>
      <w:r>
        <w:rPr>
          <w:sz w:val="18"/>
          <w:vertAlign w:val="superscript"/>
        </w:rPr>
        <w:t>53</w:t>
      </w:r>
      <w:r>
        <w:rPr>
          <w:spacing w:val="-10"/>
          <w:sz w:val="18"/>
          <w:vertAlign w:val="baseline"/>
        </w:rPr>
        <w:t> </w:t>
      </w:r>
      <w:r>
        <w:rPr>
          <w:sz w:val="18"/>
          <w:vertAlign w:val="baseline"/>
        </w:rPr>
        <w:t>Craig, Shelley L., Gio Iacono, Ashley Austin, Andrew D. Eaton, Nelson Pang, Vivian W. Y. Leung, and Cressida J. Frey. “The Role</w:t>
      </w:r>
      <w:r>
        <w:rPr>
          <w:spacing w:val="40"/>
          <w:sz w:val="18"/>
          <w:vertAlign w:val="baseline"/>
        </w:rPr>
        <w:t> </w:t>
      </w:r>
      <w:r>
        <w:rPr>
          <w:sz w:val="18"/>
          <w:vertAlign w:val="baseline"/>
        </w:rPr>
        <w:t>of</w:t>
      </w:r>
      <w:r>
        <w:rPr>
          <w:spacing w:val="-3"/>
          <w:sz w:val="18"/>
          <w:vertAlign w:val="baseline"/>
        </w:rPr>
        <w:t> </w:t>
      </w:r>
      <w:r>
        <w:rPr>
          <w:sz w:val="18"/>
          <w:vertAlign w:val="baseline"/>
        </w:rPr>
        <w:t>Facilitator</w:t>
      </w:r>
      <w:r>
        <w:rPr>
          <w:spacing w:val="-4"/>
          <w:sz w:val="18"/>
          <w:vertAlign w:val="baseline"/>
        </w:rPr>
        <w:t> </w:t>
      </w:r>
      <w:r>
        <w:rPr>
          <w:sz w:val="18"/>
          <w:vertAlign w:val="baseline"/>
        </w:rPr>
        <w:t>Training</w:t>
      </w:r>
      <w:r>
        <w:rPr>
          <w:spacing w:val="-3"/>
          <w:sz w:val="18"/>
          <w:vertAlign w:val="baseline"/>
        </w:rPr>
        <w:t> </w:t>
      </w:r>
      <w:r>
        <w:rPr>
          <w:sz w:val="18"/>
          <w:vertAlign w:val="baseline"/>
        </w:rPr>
        <w:t>in</w:t>
      </w:r>
      <w:r>
        <w:rPr>
          <w:spacing w:val="-3"/>
          <w:sz w:val="18"/>
          <w:vertAlign w:val="baseline"/>
        </w:rPr>
        <w:t> </w:t>
      </w:r>
      <w:r>
        <w:rPr>
          <w:sz w:val="18"/>
          <w:vertAlign w:val="baseline"/>
        </w:rPr>
        <w:t>Intervention</w:t>
      </w:r>
      <w:r>
        <w:rPr>
          <w:spacing w:val="-3"/>
          <w:sz w:val="18"/>
          <w:vertAlign w:val="baseline"/>
        </w:rPr>
        <w:t> </w:t>
      </w:r>
      <w:r>
        <w:rPr>
          <w:sz w:val="18"/>
          <w:vertAlign w:val="baseline"/>
        </w:rPr>
        <w:t>Delivery:</w:t>
      </w:r>
      <w:r>
        <w:rPr>
          <w:spacing w:val="-3"/>
          <w:sz w:val="18"/>
          <w:vertAlign w:val="baseline"/>
        </w:rPr>
        <w:t> </w:t>
      </w:r>
      <w:r>
        <w:rPr>
          <w:sz w:val="18"/>
          <w:vertAlign w:val="baseline"/>
        </w:rPr>
        <w:t>Preparing</w:t>
      </w:r>
      <w:r>
        <w:rPr>
          <w:spacing w:val="-3"/>
          <w:sz w:val="18"/>
          <w:vertAlign w:val="baseline"/>
        </w:rPr>
        <w:t> </w:t>
      </w:r>
      <w:r>
        <w:rPr>
          <w:sz w:val="18"/>
          <w:vertAlign w:val="baseline"/>
        </w:rPr>
        <w:t>Clinicians</w:t>
      </w:r>
      <w:r>
        <w:rPr>
          <w:spacing w:val="-3"/>
          <w:sz w:val="18"/>
          <w:vertAlign w:val="baseline"/>
        </w:rPr>
        <w:t> </w:t>
      </w:r>
      <w:r>
        <w:rPr>
          <w:sz w:val="18"/>
          <w:vertAlign w:val="baseline"/>
        </w:rPr>
        <w:t>to</w:t>
      </w:r>
      <w:r>
        <w:rPr>
          <w:spacing w:val="-3"/>
          <w:sz w:val="18"/>
          <w:vertAlign w:val="baseline"/>
        </w:rPr>
        <w:t> </w:t>
      </w:r>
      <w:r>
        <w:rPr>
          <w:sz w:val="18"/>
          <w:vertAlign w:val="baseline"/>
        </w:rPr>
        <w:t>Deliver</w:t>
      </w:r>
      <w:r>
        <w:rPr>
          <w:spacing w:val="-4"/>
          <w:sz w:val="18"/>
          <w:vertAlign w:val="baseline"/>
        </w:rPr>
        <w:t> </w:t>
      </w:r>
      <w:r>
        <w:rPr>
          <w:sz w:val="18"/>
          <w:vertAlign w:val="baseline"/>
        </w:rPr>
        <w:t>AFFIRMative</w:t>
      </w:r>
      <w:r>
        <w:rPr>
          <w:spacing w:val="-3"/>
          <w:sz w:val="18"/>
          <w:vertAlign w:val="baseline"/>
        </w:rPr>
        <w:t> </w:t>
      </w:r>
      <w:r>
        <w:rPr>
          <w:sz w:val="18"/>
          <w:vertAlign w:val="baseline"/>
        </w:rPr>
        <w:t>Group</w:t>
      </w:r>
      <w:r>
        <w:rPr>
          <w:spacing w:val="-3"/>
          <w:sz w:val="18"/>
          <w:vertAlign w:val="baseline"/>
        </w:rPr>
        <w:t> </w:t>
      </w:r>
      <w:r>
        <w:rPr>
          <w:sz w:val="18"/>
          <w:vertAlign w:val="baseline"/>
        </w:rPr>
        <w:t>Cognitive</w:t>
      </w:r>
      <w:r>
        <w:rPr>
          <w:spacing w:val="-3"/>
          <w:sz w:val="18"/>
          <w:vertAlign w:val="baseline"/>
        </w:rPr>
        <w:t> </w:t>
      </w:r>
      <w:r>
        <w:rPr>
          <w:sz w:val="18"/>
          <w:vertAlign w:val="baseline"/>
        </w:rPr>
        <w:t>Behavioral</w:t>
      </w:r>
      <w:r>
        <w:rPr>
          <w:spacing w:val="-4"/>
          <w:sz w:val="18"/>
          <w:vertAlign w:val="baseline"/>
        </w:rPr>
        <w:t> </w:t>
      </w:r>
      <w:r>
        <w:rPr>
          <w:sz w:val="18"/>
          <w:vertAlign w:val="baseline"/>
        </w:rPr>
        <w:t>Therapy</w:t>
      </w:r>
      <w:r>
        <w:rPr>
          <w:spacing w:val="-3"/>
          <w:sz w:val="18"/>
          <w:vertAlign w:val="baseline"/>
        </w:rPr>
        <w:t> </w:t>
      </w:r>
      <w:r>
        <w:rPr>
          <w:sz w:val="18"/>
          <w:vertAlign w:val="baseline"/>
        </w:rPr>
        <w:t>to Sexual and Gender Minority Youth.” </w:t>
      </w:r>
      <w:r>
        <w:rPr>
          <w:i/>
          <w:sz w:val="18"/>
          <w:vertAlign w:val="baseline"/>
        </w:rPr>
        <w:t>Journal of Gay &amp; Lesbian Social Services </w:t>
      </w:r>
      <w:r>
        <w:rPr>
          <w:sz w:val="18"/>
          <w:vertAlign w:val="baseline"/>
        </w:rPr>
        <w:t>33, no. 1 (January 2, 2021): 56–77. </w:t>
      </w:r>
      <w:hyperlink r:id="rId235">
        <w:r>
          <w:rPr>
            <w:color w:val="1153CC"/>
            <w:spacing w:val="-2"/>
            <w:sz w:val="18"/>
            <w:u w:val="single" w:color="1153CC"/>
            <w:vertAlign w:val="baseline"/>
          </w:rPr>
          <w:t>https://doi.org/10.1080/10538720.2020.1836704</w:t>
        </w:r>
      </w:hyperlink>
      <w:hyperlink r:id="rId235">
        <w:r>
          <w:rPr>
            <w:spacing w:val="-2"/>
            <w:sz w:val="18"/>
            <w:u w:val="none"/>
            <w:vertAlign w:val="baseline"/>
          </w:rPr>
          <w:t>.</w:t>
        </w:r>
      </w:hyperlink>
    </w:p>
    <w:p>
      <w:pPr>
        <w:spacing w:before="0"/>
        <w:ind w:left="463" w:right="528" w:hanging="1"/>
        <w:jc w:val="left"/>
        <w:rPr>
          <w:sz w:val="18"/>
        </w:rPr>
      </w:pPr>
      <w:bookmarkStart w:name="_bookmark154" w:id="310"/>
      <w:bookmarkEnd w:id="310"/>
      <w:r>
        <w:rPr/>
      </w:r>
      <w:r>
        <w:rPr>
          <w:sz w:val="18"/>
          <w:vertAlign w:val="superscript"/>
        </w:rPr>
        <w:t>54</w:t>
      </w:r>
      <w:r>
        <w:rPr>
          <w:spacing w:val="-13"/>
          <w:sz w:val="18"/>
          <w:vertAlign w:val="baseline"/>
        </w:rPr>
        <w:t> </w:t>
      </w:r>
      <w:r>
        <w:rPr>
          <w:sz w:val="18"/>
          <w:vertAlign w:val="baseline"/>
        </w:rPr>
        <w:t>Iacono, Gio, Shelley L. Craig, Rachael Crowder, David J. Brennan, and Emily K. Loveland. “A Qualitative Study of the LGBTQ+ Youth</w:t>
      </w:r>
      <w:r>
        <w:rPr>
          <w:spacing w:val="-2"/>
          <w:sz w:val="18"/>
          <w:vertAlign w:val="baseline"/>
        </w:rPr>
        <w:t> </w:t>
      </w:r>
      <w:r>
        <w:rPr>
          <w:sz w:val="18"/>
          <w:vertAlign w:val="baseline"/>
        </w:rPr>
        <w:t>Affirmative</w:t>
      </w:r>
      <w:r>
        <w:rPr>
          <w:spacing w:val="-2"/>
          <w:sz w:val="18"/>
          <w:vertAlign w:val="baseline"/>
        </w:rPr>
        <w:t> </w:t>
      </w:r>
      <w:r>
        <w:rPr>
          <w:sz w:val="18"/>
          <w:vertAlign w:val="baseline"/>
        </w:rPr>
        <w:t>Mindfulness</w:t>
      </w:r>
      <w:r>
        <w:rPr>
          <w:spacing w:val="-3"/>
          <w:sz w:val="18"/>
          <w:vertAlign w:val="baseline"/>
        </w:rPr>
        <w:t> </w:t>
      </w:r>
      <w:r>
        <w:rPr>
          <w:sz w:val="18"/>
          <w:vertAlign w:val="baseline"/>
        </w:rPr>
        <w:t>Program</w:t>
      </w:r>
      <w:r>
        <w:rPr>
          <w:spacing w:val="-2"/>
          <w:sz w:val="18"/>
          <w:vertAlign w:val="baseline"/>
        </w:rPr>
        <w:t> </w:t>
      </w:r>
      <w:r>
        <w:rPr>
          <w:sz w:val="18"/>
          <w:vertAlign w:val="baseline"/>
        </w:rPr>
        <w:t>for</w:t>
      </w:r>
      <w:r>
        <w:rPr>
          <w:spacing w:val="-3"/>
          <w:sz w:val="18"/>
          <w:vertAlign w:val="baseline"/>
        </w:rPr>
        <w:t> </w:t>
      </w:r>
      <w:r>
        <w:rPr>
          <w:sz w:val="18"/>
          <w:vertAlign w:val="baseline"/>
        </w:rPr>
        <w:t>Sexual</w:t>
      </w:r>
      <w:r>
        <w:rPr>
          <w:spacing w:val="-3"/>
          <w:sz w:val="18"/>
          <w:vertAlign w:val="baseline"/>
        </w:rPr>
        <w:t> </w:t>
      </w:r>
      <w:r>
        <w:rPr>
          <w:sz w:val="18"/>
          <w:vertAlign w:val="baseline"/>
        </w:rPr>
        <w:t>and</w:t>
      </w:r>
      <w:r>
        <w:rPr>
          <w:spacing w:val="-2"/>
          <w:sz w:val="18"/>
          <w:vertAlign w:val="baseline"/>
        </w:rPr>
        <w:t> </w:t>
      </w:r>
      <w:r>
        <w:rPr>
          <w:sz w:val="18"/>
          <w:vertAlign w:val="baseline"/>
        </w:rPr>
        <w:t>Gender</w:t>
      </w:r>
      <w:r>
        <w:rPr>
          <w:spacing w:val="-3"/>
          <w:sz w:val="18"/>
          <w:vertAlign w:val="baseline"/>
        </w:rPr>
        <w:t> </w:t>
      </w:r>
      <w:r>
        <w:rPr>
          <w:sz w:val="18"/>
          <w:vertAlign w:val="baseline"/>
        </w:rPr>
        <w:t>Minority</w:t>
      </w:r>
      <w:r>
        <w:rPr>
          <w:spacing w:val="-2"/>
          <w:sz w:val="18"/>
          <w:vertAlign w:val="baseline"/>
        </w:rPr>
        <w:t> </w:t>
      </w:r>
      <w:r>
        <w:rPr>
          <w:sz w:val="18"/>
          <w:vertAlign w:val="baseline"/>
        </w:rPr>
        <w:t>Youth.”</w:t>
      </w:r>
      <w:r>
        <w:rPr>
          <w:spacing w:val="-2"/>
          <w:sz w:val="18"/>
          <w:vertAlign w:val="baseline"/>
        </w:rPr>
        <w:t> </w:t>
      </w:r>
      <w:r>
        <w:rPr>
          <w:i/>
          <w:sz w:val="18"/>
          <w:vertAlign w:val="baseline"/>
        </w:rPr>
        <w:t>Mindfulness</w:t>
      </w:r>
      <w:r>
        <w:rPr>
          <w:i/>
          <w:spacing w:val="-3"/>
          <w:sz w:val="18"/>
          <w:vertAlign w:val="baseline"/>
        </w:rPr>
        <w:t> </w:t>
      </w:r>
      <w:r>
        <w:rPr>
          <w:sz w:val="18"/>
          <w:vertAlign w:val="baseline"/>
        </w:rPr>
        <w:t>13,</w:t>
      </w:r>
      <w:r>
        <w:rPr>
          <w:spacing w:val="-3"/>
          <w:sz w:val="18"/>
          <w:vertAlign w:val="baseline"/>
        </w:rPr>
        <w:t> </w:t>
      </w:r>
      <w:r>
        <w:rPr>
          <w:sz w:val="18"/>
          <w:vertAlign w:val="baseline"/>
        </w:rPr>
        <w:t>no.</w:t>
      </w:r>
      <w:r>
        <w:rPr>
          <w:spacing w:val="-2"/>
          <w:sz w:val="18"/>
          <w:vertAlign w:val="baseline"/>
        </w:rPr>
        <w:t> </w:t>
      </w:r>
      <w:r>
        <w:rPr>
          <w:sz w:val="18"/>
          <w:vertAlign w:val="baseline"/>
        </w:rPr>
        <w:t>1</w:t>
      </w:r>
      <w:r>
        <w:rPr>
          <w:spacing w:val="-2"/>
          <w:sz w:val="18"/>
          <w:vertAlign w:val="baseline"/>
        </w:rPr>
        <w:t> </w:t>
      </w:r>
      <w:r>
        <w:rPr>
          <w:sz w:val="18"/>
          <w:vertAlign w:val="baseline"/>
        </w:rPr>
        <w:t>(January</w:t>
      </w:r>
      <w:r>
        <w:rPr>
          <w:spacing w:val="-2"/>
          <w:sz w:val="18"/>
          <w:vertAlign w:val="baseline"/>
        </w:rPr>
        <w:t> </w:t>
      </w:r>
      <w:r>
        <w:rPr>
          <w:sz w:val="18"/>
          <w:vertAlign w:val="baseline"/>
        </w:rPr>
        <w:t>1,</w:t>
      </w:r>
      <w:r>
        <w:rPr>
          <w:spacing w:val="-3"/>
          <w:sz w:val="18"/>
          <w:vertAlign w:val="baseline"/>
        </w:rPr>
        <w:t> </w:t>
      </w:r>
      <w:r>
        <w:rPr>
          <w:sz w:val="18"/>
          <w:vertAlign w:val="baseline"/>
        </w:rPr>
        <w:t>2022):</w:t>
      </w:r>
      <w:r>
        <w:rPr>
          <w:spacing w:val="-2"/>
          <w:sz w:val="18"/>
          <w:vertAlign w:val="baseline"/>
        </w:rPr>
        <w:t> </w:t>
      </w:r>
      <w:r>
        <w:rPr>
          <w:sz w:val="18"/>
          <w:vertAlign w:val="baseline"/>
        </w:rPr>
        <w:t>222–</w:t>
      </w:r>
    </w:p>
    <w:p>
      <w:pPr>
        <w:spacing w:before="0"/>
        <w:ind w:left="463" w:right="0" w:firstLine="0"/>
        <w:jc w:val="left"/>
        <w:rPr>
          <w:sz w:val="18"/>
        </w:rPr>
      </w:pPr>
      <w:r>
        <w:rPr>
          <w:spacing w:val="-2"/>
          <w:sz w:val="18"/>
        </w:rPr>
        <w:t>37.</w:t>
      </w:r>
      <w:r>
        <w:rPr>
          <w:spacing w:val="57"/>
          <w:sz w:val="18"/>
        </w:rPr>
        <w:t> </w:t>
      </w:r>
      <w:hyperlink r:id="rId236">
        <w:r>
          <w:rPr>
            <w:color w:val="1153CC"/>
            <w:spacing w:val="-2"/>
            <w:sz w:val="18"/>
            <w:u w:val="single" w:color="1153CC"/>
          </w:rPr>
          <w:t>https://doi.org/10.1007/s12671-021-01787-</w:t>
        </w:r>
        <w:r>
          <w:rPr>
            <w:color w:val="1153CC"/>
            <w:spacing w:val="-5"/>
            <w:sz w:val="18"/>
            <w:u w:val="single" w:color="1153CC"/>
          </w:rPr>
          <w:t>2</w:t>
        </w:r>
      </w:hyperlink>
      <w:hyperlink r:id="rId236">
        <w:r>
          <w:rPr>
            <w:spacing w:val="-5"/>
            <w:sz w:val="18"/>
            <w:u w:val="none"/>
          </w:rPr>
          <w:t>.</w:t>
        </w:r>
      </w:hyperlink>
    </w:p>
    <w:p>
      <w:pPr>
        <w:spacing w:before="0"/>
        <w:ind w:left="463" w:right="0" w:hanging="1"/>
        <w:jc w:val="left"/>
        <w:rPr>
          <w:sz w:val="18"/>
        </w:rPr>
      </w:pPr>
      <w:bookmarkStart w:name="_bookmark155" w:id="311"/>
      <w:bookmarkEnd w:id="311"/>
      <w:r>
        <w:rPr/>
      </w:r>
      <w:r>
        <w:rPr>
          <w:sz w:val="18"/>
          <w:vertAlign w:val="superscript"/>
        </w:rPr>
        <w:t>55</w:t>
      </w:r>
      <w:r>
        <w:rPr>
          <w:spacing w:val="-13"/>
          <w:sz w:val="18"/>
          <w:vertAlign w:val="baseline"/>
        </w:rPr>
        <w:t> </w:t>
      </w:r>
      <w:r>
        <w:rPr>
          <w:sz w:val="18"/>
          <w:vertAlign w:val="baseline"/>
        </w:rPr>
        <w:t>Rottnek,</w:t>
      </w:r>
      <w:r>
        <w:rPr>
          <w:spacing w:val="-5"/>
          <w:sz w:val="18"/>
          <w:vertAlign w:val="baseline"/>
        </w:rPr>
        <w:t> </w:t>
      </w:r>
      <w:r>
        <w:rPr>
          <w:sz w:val="18"/>
          <w:vertAlign w:val="baseline"/>
        </w:rPr>
        <w:t>James</w:t>
      </w:r>
      <w:r>
        <w:rPr>
          <w:spacing w:val="-3"/>
          <w:sz w:val="18"/>
          <w:vertAlign w:val="baseline"/>
        </w:rPr>
        <w:t> </w:t>
      </w:r>
      <w:r>
        <w:rPr>
          <w:sz w:val="18"/>
          <w:vertAlign w:val="baseline"/>
        </w:rPr>
        <w:t>P.</w:t>
      </w:r>
      <w:r>
        <w:rPr>
          <w:spacing w:val="-3"/>
          <w:sz w:val="18"/>
          <w:vertAlign w:val="baseline"/>
        </w:rPr>
        <w:t> </w:t>
      </w:r>
      <w:r>
        <w:rPr>
          <w:sz w:val="18"/>
          <w:vertAlign w:val="baseline"/>
        </w:rPr>
        <w:t>“Affirming</w:t>
      </w:r>
      <w:r>
        <w:rPr>
          <w:spacing w:val="-3"/>
          <w:sz w:val="18"/>
          <w:vertAlign w:val="baseline"/>
        </w:rPr>
        <w:t> </w:t>
      </w:r>
      <w:r>
        <w:rPr>
          <w:sz w:val="18"/>
          <w:vertAlign w:val="baseline"/>
        </w:rPr>
        <w:t>Solutions:</w:t>
      </w:r>
      <w:r>
        <w:rPr>
          <w:spacing w:val="-3"/>
          <w:sz w:val="18"/>
          <w:vertAlign w:val="baseline"/>
        </w:rPr>
        <w:t> </w:t>
      </w:r>
      <w:r>
        <w:rPr>
          <w:sz w:val="18"/>
          <w:vertAlign w:val="baseline"/>
        </w:rPr>
        <w:t>Using</w:t>
      </w:r>
      <w:r>
        <w:rPr>
          <w:spacing w:val="-3"/>
          <w:sz w:val="18"/>
          <w:vertAlign w:val="baseline"/>
        </w:rPr>
        <w:t> </w:t>
      </w:r>
      <w:r>
        <w:rPr>
          <w:sz w:val="18"/>
          <w:vertAlign w:val="baseline"/>
        </w:rPr>
        <w:t>Solution-Focused</w:t>
      </w:r>
      <w:r>
        <w:rPr>
          <w:spacing w:val="-3"/>
          <w:sz w:val="18"/>
          <w:vertAlign w:val="baseline"/>
        </w:rPr>
        <w:t> </w:t>
      </w:r>
      <w:r>
        <w:rPr>
          <w:sz w:val="18"/>
          <w:vertAlign w:val="baseline"/>
        </w:rPr>
        <w:t>Brief</w:t>
      </w:r>
      <w:r>
        <w:rPr>
          <w:spacing w:val="-3"/>
          <w:sz w:val="18"/>
          <w:vertAlign w:val="baseline"/>
        </w:rPr>
        <w:t> </w:t>
      </w:r>
      <w:r>
        <w:rPr>
          <w:sz w:val="18"/>
          <w:vertAlign w:val="baseline"/>
        </w:rPr>
        <w:t>Therapy</w:t>
      </w:r>
      <w:r>
        <w:rPr>
          <w:spacing w:val="-3"/>
          <w:sz w:val="18"/>
          <w:vertAlign w:val="baseline"/>
        </w:rPr>
        <w:t> </w:t>
      </w:r>
      <w:r>
        <w:rPr>
          <w:sz w:val="18"/>
          <w:vertAlign w:val="baseline"/>
        </w:rPr>
        <w:t>With</w:t>
      </w:r>
      <w:r>
        <w:rPr>
          <w:spacing w:val="-3"/>
          <w:sz w:val="18"/>
          <w:vertAlign w:val="baseline"/>
        </w:rPr>
        <w:t> </w:t>
      </w:r>
      <w:r>
        <w:rPr>
          <w:sz w:val="18"/>
          <w:vertAlign w:val="baseline"/>
        </w:rPr>
        <w:t>Transgender,</w:t>
      </w:r>
      <w:r>
        <w:rPr>
          <w:spacing w:val="-4"/>
          <w:sz w:val="18"/>
          <w:vertAlign w:val="baseline"/>
        </w:rPr>
        <w:t> </w:t>
      </w:r>
      <w:r>
        <w:rPr>
          <w:sz w:val="18"/>
          <w:vertAlign w:val="baseline"/>
        </w:rPr>
        <w:t>Gender</w:t>
      </w:r>
      <w:r>
        <w:rPr>
          <w:spacing w:val="-4"/>
          <w:sz w:val="18"/>
          <w:vertAlign w:val="baseline"/>
        </w:rPr>
        <w:t> </w:t>
      </w:r>
      <w:r>
        <w:rPr>
          <w:sz w:val="18"/>
          <w:vertAlign w:val="baseline"/>
        </w:rPr>
        <w:t>Nonconforming,</w:t>
      </w:r>
      <w:r>
        <w:rPr>
          <w:spacing w:val="-4"/>
          <w:sz w:val="18"/>
          <w:vertAlign w:val="baseline"/>
        </w:rPr>
        <w:t> </w:t>
      </w:r>
      <w:r>
        <w:rPr>
          <w:sz w:val="18"/>
          <w:vertAlign w:val="baseline"/>
        </w:rPr>
        <w:t>and Gender Questioning Youth.” </w:t>
      </w:r>
      <w:r>
        <w:rPr>
          <w:i/>
          <w:sz w:val="18"/>
          <w:vertAlign w:val="baseline"/>
        </w:rPr>
        <w:t>Journal of Systemic Therapies </w:t>
      </w:r>
      <w:r>
        <w:rPr>
          <w:sz w:val="18"/>
          <w:vertAlign w:val="baseline"/>
        </w:rPr>
        <w:t>39, no. 4 (December 2020): 13–28. </w:t>
      </w:r>
      <w:hyperlink r:id="rId237">
        <w:r>
          <w:rPr>
            <w:color w:val="1153CC"/>
            <w:spacing w:val="-2"/>
            <w:sz w:val="18"/>
            <w:u w:val="single" w:color="1153CC"/>
            <w:vertAlign w:val="baseline"/>
          </w:rPr>
          <w:t>https://doi.org/10.1521/jsyt.2020.39.4.13</w:t>
        </w:r>
      </w:hyperlink>
      <w:hyperlink r:id="rId237">
        <w:r>
          <w:rPr>
            <w:spacing w:val="-2"/>
            <w:sz w:val="18"/>
            <w:u w:val="none"/>
            <w:vertAlign w:val="baseline"/>
          </w:rPr>
          <w:t>.</w:t>
        </w:r>
      </w:hyperlink>
    </w:p>
    <w:p>
      <w:pPr>
        <w:spacing w:before="0"/>
        <w:ind w:left="463" w:right="314" w:hanging="1"/>
        <w:jc w:val="left"/>
        <w:rPr>
          <w:sz w:val="18"/>
        </w:rPr>
      </w:pPr>
      <w:bookmarkStart w:name="_bookmark156" w:id="312"/>
      <w:bookmarkEnd w:id="312"/>
      <w:r>
        <w:rPr/>
      </w:r>
      <w:r>
        <w:rPr>
          <w:sz w:val="18"/>
          <w:vertAlign w:val="superscript"/>
        </w:rPr>
        <w:t>56</w:t>
      </w:r>
      <w:r>
        <w:rPr>
          <w:spacing w:val="-8"/>
          <w:sz w:val="18"/>
          <w:vertAlign w:val="baseline"/>
        </w:rPr>
        <w:t> </w:t>
      </w:r>
      <w:r>
        <w:rPr>
          <w:sz w:val="18"/>
          <w:vertAlign w:val="baseline"/>
        </w:rPr>
        <w:t>Westmacott, Robin, and Christopher Edmondstone. “Working with Transgender and Gender Diverse Clients in Emotion Focused</w:t>
      </w:r>
      <w:r>
        <w:rPr>
          <w:spacing w:val="-3"/>
          <w:sz w:val="18"/>
          <w:vertAlign w:val="baseline"/>
        </w:rPr>
        <w:t> </w:t>
      </w:r>
      <w:r>
        <w:rPr>
          <w:sz w:val="18"/>
          <w:vertAlign w:val="baseline"/>
        </w:rPr>
        <w:t>Therapy:</w:t>
      </w:r>
      <w:r>
        <w:rPr>
          <w:spacing w:val="-3"/>
          <w:sz w:val="18"/>
          <w:vertAlign w:val="baseline"/>
        </w:rPr>
        <w:t> </w:t>
      </w:r>
      <w:r>
        <w:rPr>
          <w:sz w:val="18"/>
          <w:vertAlign w:val="baseline"/>
        </w:rPr>
        <w:t>Targeting</w:t>
      </w:r>
      <w:r>
        <w:rPr>
          <w:spacing w:val="-3"/>
          <w:sz w:val="18"/>
          <w:vertAlign w:val="baseline"/>
        </w:rPr>
        <w:t> </w:t>
      </w:r>
      <w:r>
        <w:rPr>
          <w:sz w:val="18"/>
          <w:vertAlign w:val="baseline"/>
        </w:rPr>
        <w:t>Minority</w:t>
      </w:r>
      <w:r>
        <w:rPr>
          <w:spacing w:val="-3"/>
          <w:sz w:val="18"/>
          <w:vertAlign w:val="baseline"/>
        </w:rPr>
        <w:t> </w:t>
      </w:r>
      <w:r>
        <w:rPr>
          <w:sz w:val="18"/>
          <w:vertAlign w:val="baseline"/>
        </w:rPr>
        <w:t>Stress.”</w:t>
      </w:r>
      <w:r>
        <w:rPr>
          <w:spacing w:val="-3"/>
          <w:sz w:val="18"/>
          <w:vertAlign w:val="baseline"/>
        </w:rPr>
        <w:t> </w:t>
      </w:r>
      <w:r>
        <w:rPr>
          <w:i/>
          <w:sz w:val="18"/>
          <w:vertAlign w:val="baseline"/>
        </w:rPr>
        <w:t>Person-Centered</w:t>
      </w:r>
      <w:r>
        <w:rPr>
          <w:i/>
          <w:spacing w:val="-3"/>
          <w:sz w:val="18"/>
          <w:vertAlign w:val="baseline"/>
        </w:rPr>
        <w:t> </w:t>
      </w:r>
      <w:r>
        <w:rPr>
          <w:i/>
          <w:sz w:val="18"/>
          <w:vertAlign w:val="baseline"/>
        </w:rPr>
        <w:t>&amp;</w:t>
      </w:r>
      <w:r>
        <w:rPr>
          <w:i/>
          <w:spacing w:val="-3"/>
          <w:sz w:val="18"/>
          <w:vertAlign w:val="baseline"/>
        </w:rPr>
        <w:t> </w:t>
      </w:r>
      <w:r>
        <w:rPr>
          <w:i/>
          <w:sz w:val="18"/>
          <w:vertAlign w:val="baseline"/>
        </w:rPr>
        <w:t>Experiential</w:t>
      </w:r>
      <w:r>
        <w:rPr>
          <w:i/>
          <w:spacing w:val="-3"/>
          <w:sz w:val="18"/>
          <w:vertAlign w:val="baseline"/>
        </w:rPr>
        <w:t> </w:t>
      </w:r>
      <w:r>
        <w:rPr>
          <w:i/>
          <w:sz w:val="18"/>
          <w:vertAlign w:val="baseline"/>
        </w:rPr>
        <w:t>Psychotherapies</w:t>
      </w:r>
      <w:r>
        <w:rPr>
          <w:i/>
          <w:spacing w:val="-3"/>
          <w:sz w:val="18"/>
          <w:vertAlign w:val="baseline"/>
        </w:rPr>
        <w:t> </w:t>
      </w:r>
      <w:r>
        <w:rPr>
          <w:sz w:val="18"/>
          <w:vertAlign w:val="baseline"/>
        </w:rPr>
        <w:t>19,</w:t>
      </w:r>
      <w:r>
        <w:rPr>
          <w:spacing w:val="-3"/>
          <w:sz w:val="18"/>
          <w:vertAlign w:val="baseline"/>
        </w:rPr>
        <w:t> </w:t>
      </w:r>
      <w:r>
        <w:rPr>
          <w:sz w:val="18"/>
          <w:vertAlign w:val="baseline"/>
        </w:rPr>
        <w:t>no.</w:t>
      </w:r>
      <w:r>
        <w:rPr>
          <w:spacing w:val="-3"/>
          <w:sz w:val="18"/>
          <w:vertAlign w:val="baseline"/>
        </w:rPr>
        <w:t> </w:t>
      </w:r>
      <w:r>
        <w:rPr>
          <w:sz w:val="18"/>
          <w:vertAlign w:val="baseline"/>
        </w:rPr>
        <w:t>4</w:t>
      </w:r>
      <w:r>
        <w:rPr>
          <w:spacing w:val="-3"/>
          <w:sz w:val="18"/>
          <w:vertAlign w:val="baseline"/>
        </w:rPr>
        <w:t> </w:t>
      </w:r>
      <w:r>
        <w:rPr>
          <w:sz w:val="18"/>
          <w:vertAlign w:val="baseline"/>
        </w:rPr>
        <w:t>(October</w:t>
      </w:r>
      <w:r>
        <w:rPr>
          <w:spacing w:val="-3"/>
          <w:sz w:val="18"/>
          <w:vertAlign w:val="baseline"/>
        </w:rPr>
        <w:t> </w:t>
      </w:r>
      <w:r>
        <w:rPr>
          <w:sz w:val="18"/>
          <w:vertAlign w:val="baseline"/>
        </w:rPr>
        <w:t>1,</w:t>
      </w:r>
      <w:r>
        <w:rPr>
          <w:spacing w:val="-3"/>
          <w:sz w:val="18"/>
          <w:vertAlign w:val="baseline"/>
        </w:rPr>
        <w:t> </w:t>
      </w:r>
      <w:r>
        <w:rPr>
          <w:sz w:val="18"/>
          <w:vertAlign w:val="baseline"/>
        </w:rPr>
        <w:t>2020):</w:t>
      </w:r>
      <w:r>
        <w:rPr>
          <w:spacing w:val="-3"/>
          <w:sz w:val="18"/>
          <w:vertAlign w:val="baseline"/>
        </w:rPr>
        <w:t> </w:t>
      </w:r>
      <w:r>
        <w:rPr>
          <w:sz w:val="18"/>
          <w:vertAlign w:val="baseline"/>
        </w:rPr>
        <w:t>331–</w:t>
      </w:r>
    </w:p>
    <w:p>
      <w:pPr>
        <w:spacing w:line="219" w:lineRule="exact" w:before="0"/>
        <w:ind w:left="463" w:right="0" w:firstLine="0"/>
        <w:jc w:val="left"/>
        <w:rPr>
          <w:sz w:val="18"/>
        </w:rPr>
      </w:pPr>
      <w:r>
        <w:rPr>
          <w:sz w:val="18"/>
        </w:rPr>
        <w:t>49.</w:t>
      </w:r>
      <w:r>
        <w:rPr>
          <w:spacing w:val="-2"/>
          <w:sz w:val="18"/>
        </w:rPr>
        <w:t> </w:t>
      </w:r>
      <w:hyperlink r:id="rId238">
        <w:r>
          <w:rPr>
            <w:color w:val="1153CC"/>
            <w:spacing w:val="-2"/>
            <w:sz w:val="18"/>
            <w:u w:val="single" w:color="1153CC"/>
          </w:rPr>
          <w:t>https://doi.org/10.1080/14779757.2020.1717986</w:t>
        </w:r>
      </w:hyperlink>
      <w:hyperlink r:id="rId238">
        <w:r>
          <w:rPr>
            <w:spacing w:val="-2"/>
            <w:sz w:val="18"/>
            <w:u w:val="none"/>
          </w:rPr>
          <w:t>.</w:t>
        </w:r>
      </w:hyperlink>
    </w:p>
    <w:p>
      <w:pPr>
        <w:spacing w:before="0"/>
        <w:ind w:left="463" w:right="314" w:hanging="1"/>
        <w:jc w:val="left"/>
        <w:rPr>
          <w:sz w:val="18"/>
        </w:rPr>
      </w:pPr>
      <w:bookmarkStart w:name="_bookmark157" w:id="313"/>
      <w:bookmarkEnd w:id="313"/>
      <w:r>
        <w:rPr/>
      </w:r>
      <w:r>
        <w:rPr>
          <w:sz w:val="18"/>
          <w:vertAlign w:val="superscript"/>
        </w:rPr>
        <w:t>57</w:t>
      </w:r>
      <w:r>
        <w:rPr>
          <w:spacing w:val="-13"/>
          <w:sz w:val="18"/>
          <w:vertAlign w:val="baseline"/>
        </w:rPr>
        <w:t> </w:t>
      </w:r>
      <w:r>
        <w:rPr>
          <w:sz w:val="18"/>
          <w:vertAlign w:val="baseline"/>
        </w:rPr>
        <w:t>Lange,</w:t>
      </w:r>
      <w:r>
        <w:rPr>
          <w:spacing w:val="-5"/>
          <w:sz w:val="18"/>
          <w:vertAlign w:val="baseline"/>
        </w:rPr>
        <w:t> </w:t>
      </w:r>
      <w:r>
        <w:rPr>
          <w:sz w:val="18"/>
          <w:vertAlign w:val="baseline"/>
        </w:rPr>
        <w:t>Tiffany</w:t>
      </w:r>
      <w:r>
        <w:rPr>
          <w:spacing w:val="-4"/>
          <w:sz w:val="18"/>
          <w:vertAlign w:val="baseline"/>
        </w:rPr>
        <w:t> </w:t>
      </w:r>
      <w:r>
        <w:rPr>
          <w:sz w:val="18"/>
          <w:vertAlign w:val="baseline"/>
        </w:rPr>
        <w:t>M.</w:t>
      </w:r>
      <w:r>
        <w:rPr>
          <w:spacing w:val="-3"/>
          <w:sz w:val="18"/>
          <w:vertAlign w:val="baseline"/>
        </w:rPr>
        <w:t> </w:t>
      </w:r>
      <w:r>
        <w:rPr>
          <w:sz w:val="18"/>
          <w:vertAlign w:val="baseline"/>
        </w:rPr>
        <w:t>“Trans-Affirmative</w:t>
      </w:r>
      <w:r>
        <w:rPr>
          <w:spacing w:val="-3"/>
          <w:sz w:val="18"/>
          <w:vertAlign w:val="baseline"/>
        </w:rPr>
        <w:t> </w:t>
      </w:r>
      <w:r>
        <w:rPr>
          <w:sz w:val="18"/>
          <w:vertAlign w:val="baseline"/>
        </w:rPr>
        <w:t>Narrative</w:t>
      </w:r>
      <w:r>
        <w:rPr>
          <w:spacing w:val="-3"/>
          <w:sz w:val="18"/>
          <w:vertAlign w:val="baseline"/>
        </w:rPr>
        <w:t> </w:t>
      </w:r>
      <w:r>
        <w:rPr>
          <w:sz w:val="18"/>
          <w:vertAlign w:val="baseline"/>
        </w:rPr>
        <w:t>Exposure</w:t>
      </w:r>
      <w:r>
        <w:rPr>
          <w:spacing w:val="-3"/>
          <w:sz w:val="18"/>
          <w:vertAlign w:val="baseline"/>
        </w:rPr>
        <w:t> </w:t>
      </w:r>
      <w:r>
        <w:rPr>
          <w:sz w:val="18"/>
          <w:vertAlign w:val="baseline"/>
        </w:rPr>
        <w:t>Therapy</w:t>
      </w:r>
      <w:r>
        <w:rPr>
          <w:spacing w:val="-3"/>
          <w:sz w:val="18"/>
          <w:vertAlign w:val="baseline"/>
        </w:rPr>
        <w:t> </w:t>
      </w:r>
      <w:r>
        <w:rPr>
          <w:sz w:val="18"/>
          <w:vertAlign w:val="baseline"/>
        </w:rPr>
        <w:t>(TA-NET):</w:t>
      </w:r>
      <w:r>
        <w:rPr>
          <w:spacing w:val="-3"/>
          <w:sz w:val="18"/>
          <w:vertAlign w:val="baseline"/>
        </w:rPr>
        <w:t> </w:t>
      </w:r>
      <w:r>
        <w:rPr>
          <w:sz w:val="18"/>
          <w:vertAlign w:val="baseline"/>
        </w:rPr>
        <w:t>A</w:t>
      </w:r>
      <w:r>
        <w:rPr>
          <w:spacing w:val="-4"/>
          <w:sz w:val="18"/>
          <w:vertAlign w:val="baseline"/>
        </w:rPr>
        <w:t> </w:t>
      </w:r>
      <w:r>
        <w:rPr>
          <w:sz w:val="18"/>
          <w:vertAlign w:val="baseline"/>
        </w:rPr>
        <w:t>Therapeutic</w:t>
      </w:r>
      <w:r>
        <w:rPr>
          <w:spacing w:val="-4"/>
          <w:sz w:val="18"/>
          <w:vertAlign w:val="baseline"/>
        </w:rPr>
        <w:t> </w:t>
      </w:r>
      <w:r>
        <w:rPr>
          <w:sz w:val="18"/>
          <w:vertAlign w:val="baseline"/>
        </w:rPr>
        <w:t>Approach</w:t>
      </w:r>
      <w:r>
        <w:rPr>
          <w:spacing w:val="-3"/>
          <w:sz w:val="18"/>
          <w:vertAlign w:val="baseline"/>
        </w:rPr>
        <w:t> </w:t>
      </w:r>
      <w:r>
        <w:rPr>
          <w:sz w:val="18"/>
          <w:vertAlign w:val="baseline"/>
        </w:rPr>
        <w:t>for</w:t>
      </w:r>
      <w:r>
        <w:rPr>
          <w:spacing w:val="-4"/>
          <w:sz w:val="18"/>
          <w:vertAlign w:val="baseline"/>
        </w:rPr>
        <w:t> </w:t>
      </w:r>
      <w:r>
        <w:rPr>
          <w:sz w:val="18"/>
          <w:vertAlign w:val="baseline"/>
        </w:rPr>
        <w:t>Targeting</w:t>
      </w:r>
      <w:r>
        <w:rPr>
          <w:spacing w:val="-3"/>
          <w:sz w:val="18"/>
          <w:vertAlign w:val="baseline"/>
        </w:rPr>
        <w:t> </w:t>
      </w:r>
      <w:r>
        <w:rPr>
          <w:sz w:val="18"/>
          <w:vertAlign w:val="baseline"/>
        </w:rPr>
        <w:t>Minority Stress, Internalized Stigma, and Trauma Reactions among Gender Diverse Adults.” In </w:t>
      </w:r>
      <w:r>
        <w:rPr>
          <w:i/>
          <w:sz w:val="18"/>
          <w:vertAlign w:val="baseline"/>
        </w:rPr>
        <w:t>Practice Innovations, </w:t>
      </w:r>
      <w:r>
        <w:rPr>
          <w:sz w:val="18"/>
          <w:vertAlign w:val="baseline"/>
        </w:rPr>
        <w:t>5:230–45, 2020. </w:t>
      </w:r>
      <w:hyperlink r:id="rId239">
        <w:r>
          <w:rPr>
            <w:color w:val="1153CC"/>
            <w:spacing w:val="-2"/>
            <w:sz w:val="18"/>
            <w:u w:val="single" w:color="1153CC"/>
            <w:vertAlign w:val="baseline"/>
          </w:rPr>
          <w:t>https://doi.org/10.1037/pri0000126</w:t>
        </w:r>
      </w:hyperlink>
      <w:hyperlink r:id="rId239">
        <w:r>
          <w:rPr>
            <w:spacing w:val="-2"/>
            <w:sz w:val="18"/>
            <w:u w:val="none"/>
            <w:vertAlign w:val="baseline"/>
          </w:rPr>
          <w:t>.</w:t>
        </w:r>
      </w:hyperlink>
    </w:p>
    <w:p>
      <w:pPr>
        <w:spacing w:before="0"/>
        <w:ind w:left="463" w:right="290" w:hanging="1"/>
        <w:jc w:val="left"/>
        <w:rPr>
          <w:sz w:val="18"/>
        </w:rPr>
      </w:pPr>
      <w:bookmarkStart w:name="_bookmark158" w:id="314"/>
      <w:bookmarkEnd w:id="314"/>
      <w:r>
        <w:rPr/>
      </w:r>
      <w:r>
        <w:rPr>
          <w:sz w:val="18"/>
          <w:vertAlign w:val="superscript"/>
        </w:rPr>
        <w:t>58</w:t>
      </w:r>
      <w:r>
        <w:rPr>
          <w:spacing w:val="-8"/>
          <w:sz w:val="18"/>
          <w:vertAlign w:val="baseline"/>
        </w:rPr>
        <w:t> </w:t>
      </w:r>
      <w:r>
        <w:rPr>
          <w:sz w:val="18"/>
          <w:vertAlign w:val="baseline"/>
        </w:rPr>
        <w:t>Diamond, Gary M., Rotem Boruchovitz-Zamir, Ofir Nir-Gotlieb, Inbal Gat, Eran Bar-Kalifa, Priel-Yehoshua Fitoussi, and Shira Katz.</w:t>
      </w:r>
      <w:r>
        <w:rPr>
          <w:spacing w:val="-3"/>
          <w:sz w:val="18"/>
          <w:vertAlign w:val="baseline"/>
        </w:rPr>
        <w:t> </w:t>
      </w:r>
      <w:r>
        <w:rPr>
          <w:sz w:val="18"/>
          <w:vertAlign w:val="baseline"/>
        </w:rPr>
        <w:t>“Attachment-based</w:t>
      </w:r>
      <w:r>
        <w:rPr>
          <w:spacing w:val="-3"/>
          <w:sz w:val="18"/>
          <w:vertAlign w:val="baseline"/>
        </w:rPr>
        <w:t> </w:t>
      </w:r>
      <w:r>
        <w:rPr>
          <w:sz w:val="18"/>
          <w:vertAlign w:val="baseline"/>
        </w:rPr>
        <w:t>Family</w:t>
      </w:r>
      <w:r>
        <w:rPr>
          <w:spacing w:val="-3"/>
          <w:sz w:val="18"/>
          <w:vertAlign w:val="baseline"/>
        </w:rPr>
        <w:t> </w:t>
      </w:r>
      <w:r>
        <w:rPr>
          <w:sz w:val="18"/>
          <w:vertAlign w:val="baseline"/>
        </w:rPr>
        <w:t>Therapy</w:t>
      </w:r>
      <w:r>
        <w:rPr>
          <w:spacing w:val="-3"/>
          <w:sz w:val="18"/>
          <w:vertAlign w:val="baseline"/>
        </w:rPr>
        <w:t> </w:t>
      </w:r>
      <w:r>
        <w:rPr>
          <w:sz w:val="18"/>
          <w:vertAlign w:val="baseline"/>
        </w:rPr>
        <w:t>for</w:t>
      </w:r>
      <w:r>
        <w:rPr>
          <w:spacing w:val="-3"/>
          <w:sz w:val="18"/>
          <w:vertAlign w:val="baseline"/>
        </w:rPr>
        <w:t> </w:t>
      </w:r>
      <w:r>
        <w:rPr>
          <w:sz w:val="18"/>
          <w:vertAlign w:val="baseline"/>
        </w:rPr>
        <w:t>Sexual</w:t>
      </w:r>
      <w:r>
        <w:rPr>
          <w:spacing w:val="-3"/>
          <w:sz w:val="18"/>
          <w:vertAlign w:val="baseline"/>
        </w:rPr>
        <w:t> </w:t>
      </w:r>
      <w:r>
        <w:rPr>
          <w:sz w:val="18"/>
          <w:vertAlign w:val="baseline"/>
        </w:rPr>
        <w:t>and</w:t>
      </w:r>
      <w:r>
        <w:rPr>
          <w:spacing w:val="-3"/>
          <w:sz w:val="18"/>
          <w:vertAlign w:val="baseline"/>
        </w:rPr>
        <w:t> </w:t>
      </w:r>
      <w:r>
        <w:rPr>
          <w:sz w:val="18"/>
          <w:vertAlign w:val="baseline"/>
        </w:rPr>
        <w:t>Gender</w:t>
      </w:r>
      <w:r>
        <w:rPr>
          <w:spacing w:val="-4"/>
          <w:sz w:val="18"/>
          <w:vertAlign w:val="baseline"/>
        </w:rPr>
        <w:t> </w:t>
      </w:r>
      <w:r>
        <w:rPr>
          <w:sz w:val="18"/>
          <w:vertAlign w:val="baseline"/>
        </w:rPr>
        <w:t>Minority</w:t>
      </w:r>
      <w:r>
        <w:rPr>
          <w:spacing w:val="-3"/>
          <w:sz w:val="18"/>
          <w:vertAlign w:val="baseline"/>
        </w:rPr>
        <w:t> </w:t>
      </w:r>
      <w:r>
        <w:rPr>
          <w:sz w:val="18"/>
          <w:vertAlign w:val="baseline"/>
        </w:rPr>
        <w:t>Young</w:t>
      </w:r>
      <w:r>
        <w:rPr>
          <w:spacing w:val="-3"/>
          <w:sz w:val="18"/>
          <w:vertAlign w:val="baseline"/>
        </w:rPr>
        <w:t> </w:t>
      </w:r>
      <w:r>
        <w:rPr>
          <w:sz w:val="18"/>
          <w:vertAlign w:val="baseline"/>
        </w:rPr>
        <w:t>Adults</w:t>
      </w:r>
      <w:r>
        <w:rPr>
          <w:spacing w:val="-3"/>
          <w:sz w:val="18"/>
          <w:vertAlign w:val="baseline"/>
        </w:rPr>
        <w:t> </w:t>
      </w:r>
      <w:r>
        <w:rPr>
          <w:sz w:val="18"/>
          <w:vertAlign w:val="baseline"/>
        </w:rPr>
        <w:t>and</w:t>
      </w:r>
      <w:r>
        <w:rPr>
          <w:spacing w:val="-3"/>
          <w:sz w:val="18"/>
          <w:vertAlign w:val="baseline"/>
        </w:rPr>
        <w:t> </w:t>
      </w:r>
      <w:r>
        <w:rPr>
          <w:sz w:val="18"/>
          <w:vertAlign w:val="baseline"/>
        </w:rPr>
        <w:t>Their</w:t>
      </w:r>
      <w:r>
        <w:rPr>
          <w:spacing w:val="-4"/>
          <w:sz w:val="18"/>
          <w:vertAlign w:val="baseline"/>
        </w:rPr>
        <w:t> </w:t>
      </w:r>
      <w:r>
        <w:rPr>
          <w:sz w:val="18"/>
          <w:vertAlign w:val="baseline"/>
        </w:rPr>
        <w:t>Nonaccepting</w:t>
      </w:r>
      <w:r>
        <w:rPr>
          <w:spacing w:val="-3"/>
          <w:sz w:val="18"/>
          <w:vertAlign w:val="baseline"/>
        </w:rPr>
        <w:t> </w:t>
      </w:r>
      <w:r>
        <w:rPr>
          <w:sz w:val="18"/>
          <w:vertAlign w:val="baseline"/>
        </w:rPr>
        <w:t>Parents.”</w:t>
      </w:r>
      <w:r>
        <w:rPr>
          <w:spacing w:val="-3"/>
          <w:sz w:val="18"/>
          <w:vertAlign w:val="baseline"/>
        </w:rPr>
        <w:t> </w:t>
      </w:r>
      <w:r>
        <w:rPr>
          <w:i/>
          <w:sz w:val="18"/>
          <w:vertAlign w:val="baseline"/>
        </w:rPr>
        <w:t>Family</w:t>
      </w:r>
      <w:r>
        <w:rPr>
          <w:i/>
          <w:sz w:val="18"/>
          <w:vertAlign w:val="baseline"/>
        </w:rPr>
        <w:t> Process </w:t>
      </w:r>
      <w:r>
        <w:rPr>
          <w:sz w:val="18"/>
          <w:vertAlign w:val="baseline"/>
        </w:rPr>
        <w:t>61, no. 2 (June 2022): 530–48. </w:t>
      </w:r>
      <w:hyperlink r:id="rId240">
        <w:r>
          <w:rPr>
            <w:color w:val="1153CC"/>
            <w:sz w:val="18"/>
            <w:u w:val="single" w:color="1153CC"/>
            <w:vertAlign w:val="baseline"/>
          </w:rPr>
          <w:t>https://doi.org/10.1111/famp.12770</w:t>
        </w:r>
      </w:hyperlink>
      <w:hyperlink r:id="rId240">
        <w:r>
          <w:rPr>
            <w:sz w:val="18"/>
            <w:u w:val="none"/>
            <w:vertAlign w:val="baseline"/>
          </w:rPr>
          <w:t>.</w:t>
        </w:r>
      </w:hyperlink>
    </w:p>
    <w:p>
      <w:pPr>
        <w:spacing w:before="0"/>
        <w:ind w:left="463" w:right="290" w:hanging="1"/>
        <w:jc w:val="left"/>
        <w:rPr>
          <w:sz w:val="18"/>
        </w:rPr>
      </w:pPr>
      <w:bookmarkStart w:name="_bookmark159" w:id="315"/>
      <w:bookmarkEnd w:id="315"/>
      <w:r>
        <w:rPr/>
      </w:r>
      <w:r>
        <w:rPr>
          <w:sz w:val="18"/>
          <w:vertAlign w:val="superscript"/>
        </w:rPr>
        <w:t>59</w:t>
      </w:r>
      <w:r>
        <w:rPr>
          <w:spacing w:val="-13"/>
          <w:sz w:val="18"/>
          <w:vertAlign w:val="baseline"/>
        </w:rPr>
        <w:t> </w:t>
      </w:r>
      <w:r>
        <w:rPr>
          <w:sz w:val="18"/>
          <w:vertAlign w:val="baseline"/>
        </w:rPr>
        <w:t>O’Neill,</w:t>
      </w:r>
      <w:r>
        <w:rPr>
          <w:spacing w:val="-4"/>
          <w:sz w:val="18"/>
          <w:vertAlign w:val="baseline"/>
        </w:rPr>
        <w:t> </w:t>
      </w:r>
      <w:r>
        <w:rPr>
          <w:sz w:val="18"/>
          <w:vertAlign w:val="baseline"/>
        </w:rPr>
        <w:t>R.,</w:t>
      </w:r>
      <w:r>
        <w:rPr>
          <w:spacing w:val="-3"/>
          <w:sz w:val="18"/>
          <w:vertAlign w:val="baseline"/>
        </w:rPr>
        <w:t> </w:t>
      </w:r>
      <w:r>
        <w:rPr>
          <w:sz w:val="18"/>
          <w:vertAlign w:val="baseline"/>
        </w:rPr>
        <w:t>B.</w:t>
      </w:r>
      <w:r>
        <w:rPr>
          <w:spacing w:val="-1"/>
          <w:sz w:val="18"/>
          <w:vertAlign w:val="baseline"/>
        </w:rPr>
        <w:t> </w:t>
      </w:r>
      <w:r>
        <w:rPr>
          <w:sz w:val="18"/>
          <w:vertAlign w:val="baseline"/>
        </w:rPr>
        <w:t>Gilea,</w:t>
      </w:r>
      <w:r>
        <w:rPr>
          <w:spacing w:val="-3"/>
          <w:sz w:val="18"/>
          <w:vertAlign w:val="baseline"/>
        </w:rPr>
        <w:t> </w:t>
      </w:r>
      <w:r>
        <w:rPr>
          <w:sz w:val="18"/>
          <w:vertAlign w:val="baseline"/>
        </w:rPr>
        <w:t>and</w:t>
      </w:r>
      <w:r>
        <w:rPr>
          <w:spacing w:val="-2"/>
          <w:sz w:val="18"/>
          <w:vertAlign w:val="baseline"/>
        </w:rPr>
        <w:t> </w:t>
      </w:r>
      <w:r>
        <w:rPr>
          <w:sz w:val="18"/>
          <w:vertAlign w:val="baseline"/>
        </w:rPr>
        <w:t>S.</w:t>
      </w:r>
      <w:r>
        <w:rPr>
          <w:spacing w:val="-2"/>
          <w:sz w:val="18"/>
          <w:vertAlign w:val="baseline"/>
        </w:rPr>
        <w:t> </w:t>
      </w:r>
      <w:r>
        <w:rPr>
          <w:sz w:val="18"/>
          <w:vertAlign w:val="baseline"/>
        </w:rPr>
        <w:t>Fellenger.</w:t>
      </w:r>
      <w:r>
        <w:rPr>
          <w:spacing w:val="-2"/>
          <w:sz w:val="18"/>
          <w:vertAlign w:val="baseline"/>
        </w:rPr>
        <w:t> </w:t>
      </w:r>
      <w:r>
        <w:rPr>
          <w:sz w:val="18"/>
          <w:vertAlign w:val="baseline"/>
        </w:rPr>
        <w:t>“Motivational</w:t>
      </w:r>
      <w:r>
        <w:rPr>
          <w:spacing w:val="-3"/>
          <w:sz w:val="18"/>
          <w:vertAlign w:val="baseline"/>
        </w:rPr>
        <w:t> </w:t>
      </w:r>
      <w:r>
        <w:rPr>
          <w:sz w:val="18"/>
          <w:vertAlign w:val="baseline"/>
        </w:rPr>
        <w:t>Interviewing</w:t>
      </w:r>
      <w:r>
        <w:rPr>
          <w:spacing w:val="-2"/>
          <w:sz w:val="18"/>
          <w:vertAlign w:val="baseline"/>
        </w:rPr>
        <w:t> </w:t>
      </w:r>
      <w:r>
        <w:rPr>
          <w:sz w:val="18"/>
          <w:vertAlign w:val="baseline"/>
        </w:rPr>
        <w:t>for</w:t>
      </w:r>
      <w:r>
        <w:rPr>
          <w:spacing w:val="-3"/>
          <w:sz w:val="18"/>
          <w:vertAlign w:val="baseline"/>
        </w:rPr>
        <w:t> </w:t>
      </w:r>
      <w:r>
        <w:rPr>
          <w:sz w:val="18"/>
          <w:vertAlign w:val="baseline"/>
        </w:rPr>
        <w:t>Caregivers</w:t>
      </w:r>
      <w:r>
        <w:rPr>
          <w:spacing w:val="-3"/>
          <w:sz w:val="18"/>
          <w:vertAlign w:val="baseline"/>
        </w:rPr>
        <w:t> </w:t>
      </w:r>
      <w:r>
        <w:rPr>
          <w:sz w:val="18"/>
          <w:vertAlign w:val="baseline"/>
        </w:rPr>
        <w:t>of</w:t>
      </w:r>
      <w:r>
        <w:rPr>
          <w:spacing w:val="-2"/>
          <w:sz w:val="18"/>
          <w:vertAlign w:val="baseline"/>
        </w:rPr>
        <w:t> </w:t>
      </w:r>
      <w:r>
        <w:rPr>
          <w:sz w:val="18"/>
          <w:vertAlign w:val="baseline"/>
        </w:rPr>
        <w:t>LGBT</w:t>
      </w:r>
      <w:r>
        <w:rPr>
          <w:spacing w:val="-2"/>
          <w:sz w:val="18"/>
          <w:vertAlign w:val="baseline"/>
        </w:rPr>
        <w:t> </w:t>
      </w:r>
      <w:r>
        <w:rPr>
          <w:sz w:val="18"/>
          <w:vertAlign w:val="baseline"/>
        </w:rPr>
        <w:t>Youth.”</w:t>
      </w:r>
      <w:r>
        <w:rPr>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LGBT</w:t>
      </w:r>
      <w:r>
        <w:rPr>
          <w:i/>
          <w:spacing w:val="-2"/>
          <w:sz w:val="18"/>
          <w:vertAlign w:val="baseline"/>
        </w:rPr>
        <w:t> </w:t>
      </w:r>
      <w:r>
        <w:rPr>
          <w:i/>
          <w:sz w:val="18"/>
          <w:vertAlign w:val="baseline"/>
        </w:rPr>
        <w:t>Youth</w:t>
      </w:r>
      <w:r>
        <w:rPr>
          <w:i/>
          <w:spacing w:val="-3"/>
          <w:sz w:val="18"/>
          <w:vertAlign w:val="baseline"/>
        </w:rPr>
        <w:t> </w:t>
      </w:r>
      <w:r>
        <w:rPr>
          <w:sz w:val="18"/>
          <w:vertAlign w:val="baseline"/>
        </w:rPr>
        <w:t>17,</w:t>
      </w:r>
      <w:r>
        <w:rPr>
          <w:spacing w:val="-3"/>
          <w:sz w:val="18"/>
          <w:vertAlign w:val="baseline"/>
        </w:rPr>
        <w:t> </w:t>
      </w:r>
      <w:r>
        <w:rPr>
          <w:sz w:val="18"/>
          <w:vertAlign w:val="baseline"/>
        </w:rPr>
        <w:t>no.</w:t>
      </w:r>
      <w:r>
        <w:rPr>
          <w:spacing w:val="-2"/>
          <w:sz w:val="18"/>
          <w:vertAlign w:val="baseline"/>
        </w:rPr>
        <w:t> </w:t>
      </w:r>
      <w:r>
        <w:rPr>
          <w:sz w:val="18"/>
          <w:vertAlign w:val="baseline"/>
        </w:rPr>
        <w:t>3 (July 2, 2020): 315–30. </w:t>
      </w:r>
      <w:hyperlink r:id="rId241">
        <w:r>
          <w:rPr>
            <w:color w:val="1153CC"/>
            <w:sz w:val="18"/>
            <w:u w:val="single" w:color="1153CC"/>
            <w:vertAlign w:val="baseline"/>
          </w:rPr>
          <w:t>https://doi.org/10.1080/19361653.2019.1591322</w:t>
        </w:r>
      </w:hyperlink>
      <w:hyperlink r:id="rId241">
        <w:r>
          <w:rPr>
            <w:sz w:val="18"/>
            <w:u w:val="none"/>
            <w:vertAlign w:val="baseline"/>
          </w:rPr>
          <w:t>.</w:t>
        </w:r>
      </w:hyperlink>
    </w:p>
    <w:p>
      <w:pPr>
        <w:spacing w:before="0"/>
        <w:ind w:left="463" w:right="0" w:firstLine="0"/>
        <w:jc w:val="left"/>
        <w:rPr>
          <w:sz w:val="18"/>
        </w:rPr>
      </w:pPr>
      <w:bookmarkStart w:name="_bookmark160" w:id="316"/>
      <w:bookmarkEnd w:id="316"/>
      <w:r>
        <w:rPr/>
      </w:r>
      <w:r>
        <w:rPr>
          <w:sz w:val="18"/>
          <w:vertAlign w:val="superscript"/>
        </w:rPr>
        <w:t>60</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4"/>
          <w:sz w:val="18"/>
          <w:vertAlign w:val="baseline"/>
        </w:rPr>
        <w:t> </w:t>
      </w:r>
      <w:r>
        <w:rPr>
          <w:sz w:val="18"/>
          <w:vertAlign w:val="baseline"/>
        </w:rPr>
        <w:t>“2022</w:t>
      </w:r>
      <w:r>
        <w:rPr>
          <w:spacing w:val="-3"/>
          <w:sz w:val="18"/>
          <w:vertAlign w:val="baseline"/>
        </w:rPr>
        <w:t> </w:t>
      </w:r>
      <w:r>
        <w:rPr>
          <w:sz w:val="18"/>
          <w:vertAlign w:val="baseline"/>
        </w:rPr>
        <w:t>National</w:t>
      </w:r>
      <w:r>
        <w:rPr>
          <w:spacing w:val="-4"/>
          <w:sz w:val="18"/>
          <w:vertAlign w:val="baseline"/>
        </w:rPr>
        <w:t> </w:t>
      </w:r>
      <w:r>
        <w:rPr>
          <w:sz w:val="18"/>
          <w:vertAlign w:val="baseline"/>
        </w:rPr>
        <w:t>Survey</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2022,</w:t>
      </w:r>
      <w:r>
        <w:rPr>
          <w:spacing w:val="-4"/>
          <w:sz w:val="18"/>
          <w:vertAlign w:val="baseline"/>
        </w:rPr>
        <w:t> </w:t>
      </w:r>
      <w:hyperlink r:id="rId193">
        <w:r>
          <w:rPr>
            <w:color w:val="1153CC"/>
            <w:sz w:val="18"/>
            <w:u w:val="single" w:color="1153CC"/>
            <w:vertAlign w:val="baseline"/>
          </w:rPr>
          <w:t>https://www.thetrevorproject.org/survey-</w:t>
        </w:r>
      </w:hyperlink>
      <w:r>
        <w:rPr>
          <w:color w:val="1153CC"/>
          <w:sz w:val="18"/>
          <w:u w:val="none"/>
          <w:vertAlign w:val="baseline"/>
        </w:rPr>
        <w:t> </w:t>
      </w:r>
      <w:hyperlink r:id="rId193">
        <w:r>
          <w:rPr>
            <w:color w:val="1153CC"/>
            <w:spacing w:val="-2"/>
            <w:sz w:val="18"/>
            <w:u w:val="single" w:color="1153CC"/>
            <w:vertAlign w:val="baseline"/>
          </w:rPr>
          <w:t>2022/assets/static/trevor01_2022survey_final.pdf</w:t>
        </w:r>
      </w:hyperlink>
      <w:hyperlink r:id="rId193">
        <w:r>
          <w:rPr>
            <w:spacing w:val="-2"/>
            <w:sz w:val="18"/>
            <w:u w:val="none"/>
            <w:vertAlign w:val="baseline"/>
          </w:rPr>
          <w:t>.</w:t>
        </w:r>
      </w:hyperlink>
    </w:p>
    <w:p>
      <w:pPr>
        <w:spacing w:before="0"/>
        <w:ind w:left="463" w:right="326" w:firstLine="0"/>
        <w:jc w:val="left"/>
        <w:rPr>
          <w:sz w:val="18"/>
        </w:rPr>
      </w:pPr>
      <w:bookmarkStart w:name="_bookmark161" w:id="317"/>
      <w:bookmarkEnd w:id="317"/>
      <w:r>
        <w:rPr/>
      </w:r>
      <w:r>
        <w:rPr>
          <w:sz w:val="18"/>
          <w:vertAlign w:val="superscript"/>
        </w:rPr>
        <w:t>61</w:t>
      </w:r>
      <w:r>
        <w:rPr>
          <w:spacing w:val="-9"/>
          <w:sz w:val="18"/>
          <w:vertAlign w:val="baseline"/>
        </w:rPr>
        <w:t> </w:t>
      </w:r>
      <w:r>
        <w:rPr>
          <w:sz w:val="18"/>
          <w:vertAlign w:val="baseline"/>
        </w:rPr>
        <w:t>Fish, Jessica N., Natasha D. Williams, Lauren B. McInroy, Megan S. Paceley, Rachel N. Edsall, Jackson Devadas, Sara Birnel Henderson, and Deborah S. Levine. “Q Chat Space: Assessing the Feasibility and Acceptability of an Internet-Based Support Program</w:t>
      </w:r>
      <w:r>
        <w:rPr>
          <w:spacing w:val="-3"/>
          <w:sz w:val="18"/>
          <w:vertAlign w:val="baseline"/>
        </w:rPr>
        <w:t> </w:t>
      </w:r>
      <w:r>
        <w:rPr>
          <w:sz w:val="18"/>
          <w:vertAlign w:val="baseline"/>
        </w:rPr>
        <w:t>for</w:t>
      </w:r>
      <w:r>
        <w:rPr>
          <w:spacing w:val="-4"/>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i/>
          <w:sz w:val="18"/>
          <w:vertAlign w:val="baseline"/>
        </w:rPr>
        <w:t>Prevention</w:t>
      </w:r>
      <w:r>
        <w:rPr>
          <w:i/>
          <w:spacing w:val="-3"/>
          <w:sz w:val="18"/>
          <w:vertAlign w:val="baseline"/>
        </w:rPr>
        <w:t> </w:t>
      </w:r>
      <w:r>
        <w:rPr>
          <w:i/>
          <w:sz w:val="18"/>
          <w:vertAlign w:val="baseline"/>
        </w:rPr>
        <w:t>Science</w:t>
      </w:r>
      <w:r>
        <w:rPr>
          <w:i/>
          <w:spacing w:val="-3"/>
          <w:sz w:val="18"/>
          <w:vertAlign w:val="baseline"/>
        </w:rPr>
        <w:t> </w:t>
      </w:r>
      <w:r>
        <w:rPr>
          <w:sz w:val="18"/>
          <w:vertAlign w:val="baseline"/>
        </w:rPr>
        <w:t>23,</w:t>
      </w:r>
      <w:r>
        <w:rPr>
          <w:spacing w:val="-4"/>
          <w:sz w:val="18"/>
          <w:vertAlign w:val="baseline"/>
        </w:rPr>
        <w:t> </w:t>
      </w:r>
      <w:r>
        <w:rPr>
          <w:sz w:val="18"/>
          <w:vertAlign w:val="baseline"/>
        </w:rPr>
        <w:t>no.</w:t>
      </w:r>
      <w:r>
        <w:rPr>
          <w:spacing w:val="-3"/>
          <w:sz w:val="18"/>
          <w:vertAlign w:val="baseline"/>
        </w:rPr>
        <w:t> </w:t>
      </w:r>
      <w:r>
        <w:rPr>
          <w:sz w:val="18"/>
          <w:vertAlign w:val="baseline"/>
        </w:rPr>
        <w:t>1</w:t>
      </w:r>
      <w:r>
        <w:rPr>
          <w:spacing w:val="-3"/>
          <w:sz w:val="18"/>
          <w:vertAlign w:val="baseline"/>
        </w:rPr>
        <w:t> </w:t>
      </w:r>
      <w:r>
        <w:rPr>
          <w:sz w:val="18"/>
          <w:vertAlign w:val="baseline"/>
        </w:rPr>
        <w:t>(January</w:t>
      </w:r>
      <w:r>
        <w:rPr>
          <w:spacing w:val="-4"/>
          <w:sz w:val="18"/>
          <w:vertAlign w:val="baseline"/>
        </w:rPr>
        <w:t> </w:t>
      </w:r>
      <w:r>
        <w:rPr>
          <w:sz w:val="18"/>
          <w:vertAlign w:val="baseline"/>
        </w:rPr>
        <w:t>1,</w:t>
      </w:r>
      <w:r>
        <w:rPr>
          <w:spacing w:val="-4"/>
          <w:sz w:val="18"/>
          <w:vertAlign w:val="baseline"/>
        </w:rPr>
        <w:t> </w:t>
      </w:r>
      <w:r>
        <w:rPr>
          <w:sz w:val="18"/>
          <w:vertAlign w:val="baseline"/>
        </w:rPr>
        <w:t>2022):</w:t>
      </w:r>
      <w:r>
        <w:rPr>
          <w:spacing w:val="-3"/>
          <w:sz w:val="18"/>
          <w:vertAlign w:val="baseline"/>
        </w:rPr>
        <w:t> </w:t>
      </w:r>
      <w:r>
        <w:rPr>
          <w:sz w:val="18"/>
          <w:vertAlign w:val="baseline"/>
        </w:rPr>
        <w:t>130–41.</w:t>
      </w:r>
      <w:r>
        <w:rPr>
          <w:spacing w:val="-3"/>
          <w:sz w:val="18"/>
          <w:vertAlign w:val="baseline"/>
        </w:rPr>
        <w:t> </w:t>
      </w:r>
      <w:hyperlink r:id="rId242">
        <w:r>
          <w:rPr>
            <w:color w:val="1153CC"/>
            <w:sz w:val="18"/>
            <w:u w:val="single" w:color="1153CC"/>
            <w:vertAlign w:val="baseline"/>
          </w:rPr>
          <w:t>https://doi.org/10.1007/s11121-021-01291-</w:t>
        </w:r>
      </w:hyperlink>
      <w:r>
        <w:rPr>
          <w:color w:val="1153CC"/>
          <w:sz w:val="18"/>
          <w:u w:val="none"/>
          <w:vertAlign w:val="baseline"/>
        </w:rPr>
        <w:t> </w:t>
      </w:r>
      <w:hyperlink r:id="rId242">
        <w:r>
          <w:rPr>
            <w:color w:val="1153CC"/>
            <w:spacing w:val="-6"/>
            <w:sz w:val="18"/>
            <w:u w:val="single" w:color="1153CC"/>
            <w:vertAlign w:val="baseline"/>
          </w:rPr>
          <w:t>y</w:t>
        </w:r>
      </w:hyperlink>
      <w:hyperlink r:id="rId242">
        <w:r>
          <w:rPr>
            <w:spacing w:val="-6"/>
            <w:sz w:val="18"/>
            <w:u w:val="none"/>
            <w:vertAlign w:val="baseline"/>
          </w:rPr>
          <w:t>.</w:t>
        </w:r>
      </w:hyperlink>
    </w:p>
    <w:p>
      <w:pPr>
        <w:spacing w:after="0"/>
        <w:jc w:val="left"/>
        <w:rPr>
          <w:sz w:val="18"/>
        </w:rPr>
        <w:sectPr>
          <w:pgSz w:w="12240" w:h="15840"/>
          <w:pgMar w:header="804" w:footer="1390" w:top="1080" w:bottom="1620" w:left="980" w:right="1080"/>
        </w:sectPr>
      </w:pPr>
    </w:p>
    <w:p>
      <w:pPr>
        <w:spacing w:before="68"/>
        <w:ind w:left="463" w:right="244" w:firstLine="0"/>
        <w:jc w:val="left"/>
        <w:rPr>
          <w:sz w:val="18"/>
        </w:rPr>
      </w:pPr>
      <w:bookmarkStart w:name="_bookmark162" w:id="318"/>
      <w:bookmarkEnd w:id="318"/>
      <w:r>
        <w:rPr/>
      </w:r>
      <w:r>
        <w:rPr>
          <w:sz w:val="18"/>
          <w:vertAlign w:val="superscript"/>
        </w:rPr>
        <w:t>62</w:t>
      </w:r>
      <w:r>
        <w:rPr>
          <w:spacing w:val="-10"/>
          <w:sz w:val="18"/>
          <w:vertAlign w:val="baseline"/>
        </w:rPr>
        <w:t> </w:t>
      </w:r>
      <w:r>
        <w:rPr>
          <w:sz w:val="18"/>
          <w:vertAlign w:val="baseline"/>
        </w:rPr>
        <w:t>Poteat, V. Paul, Jerel P. Calzo, Hirokazu Yoshikawa, Arthur Lipkin, Christopher J. Ceccolini, Sarah B. Rosenbach, Michael D. O’Brien,</w:t>
      </w:r>
      <w:r>
        <w:rPr>
          <w:spacing w:val="-3"/>
          <w:sz w:val="18"/>
          <w:vertAlign w:val="baseline"/>
        </w:rPr>
        <w:t> </w:t>
      </w:r>
      <w:r>
        <w:rPr>
          <w:sz w:val="18"/>
          <w:vertAlign w:val="baseline"/>
        </w:rPr>
        <w:t>Robert</w:t>
      </w:r>
      <w:r>
        <w:rPr>
          <w:spacing w:val="-1"/>
          <w:sz w:val="18"/>
          <w:vertAlign w:val="baseline"/>
        </w:rPr>
        <w:t> </w:t>
      </w:r>
      <w:r>
        <w:rPr>
          <w:sz w:val="18"/>
          <w:vertAlign w:val="baseline"/>
        </w:rPr>
        <w:t>A.</w:t>
      </w:r>
      <w:r>
        <w:rPr>
          <w:spacing w:val="-2"/>
          <w:sz w:val="18"/>
          <w:vertAlign w:val="baseline"/>
        </w:rPr>
        <w:t> </w:t>
      </w:r>
      <w:r>
        <w:rPr>
          <w:sz w:val="18"/>
          <w:vertAlign w:val="baseline"/>
        </w:rPr>
        <w:t>Marx,</w:t>
      </w:r>
      <w:r>
        <w:rPr>
          <w:spacing w:val="-3"/>
          <w:sz w:val="18"/>
          <w:vertAlign w:val="baseline"/>
        </w:rPr>
        <w:t> </w:t>
      </w:r>
      <w:r>
        <w:rPr>
          <w:sz w:val="18"/>
          <w:vertAlign w:val="baseline"/>
        </w:rPr>
        <w:t>Gabriel</w:t>
      </w:r>
      <w:r>
        <w:rPr>
          <w:spacing w:val="-3"/>
          <w:sz w:val="18"/>
          <w:vertAlign w:val="baseline"/>
        </w:rPr>
        <w:t> </w:t>
      </w:r>
      <w:r>
        <w:rPr>
          <w:sz w:val="18"/>
          <w:vertAlign w:val="baseline"/>
        </w:rPr>
        <w:t>R.</w:t>
      </w:r>
      <w:r>
        <w:rPr>
          <w:spacing w:val="-2"/>
          <w:sz w:val="18"/>
          <w:vertAlign w:val="baseline"/>
        </w:rPr>
        <w:t> </w:t>
      </w:r>
      <w:r>
        <w:rPr>
          <w:sz w:val="18"/>
          <w:vertAlign w:val="baseline"/>
        </w:rPr>
        <w:t>Murchison,</w:t>
      </w:r>
      <w:r>
        <w:rPr>
          <w:spacing w:val="-3"/>
          <w:sz w:val="18"/>
          <w:vertAlign w:val="baseline"/>
        </w:rPr>
        <w:t> </w:t>
      </w:r>
      <w:r>
        <w:rPr>
          <w:sz w:val="18"/>
          <w:vertAlign w:val="baseline"/>
        </w:rPr>
        <w:t>and</w:t>
      </w:r>
      <w:r>
        <w:rPr>
          <w:spacing w:val="-2"/>
          <w:sz w:val="18"/>
          <w:vertAlign w:val="baseline"/>
        </w:rPr>
        <w:t> </w:t>
      </w:r>
      <w:r>
        <w:rPr>
          <w:sz w:val="18"/>
          <w:vertAlign w:val="baseline"/>
        </w:rPr>
        <w:t>Esther</w:t>
      </w:r>
      <w:r>
        <w:rPr>
          <w:spacing w:val="-3"/>
          <w:sz w:val="18"/>
          <w:vertAlign w:val="baseline"/>
        </w:rPr>
        <w:t> </w:t>
      </w:r>
      <w:r>
        <w:rPr>
          <w:sz w:val="18"/>
          <w:vertAlign w:val="baseline"/>
        </w:rPr>
        <w:t>Burson.</w:t>
      </w:r>
      <w:r>
        <w:rPr>
          <w:spacing w:val="-2"/>
          <w:sz w:val="18"/>
          <w:vertAlign w:val="baseline"/>
        </w:rPr>
        <w:t> </w:t>
      </w:r>
      <w:r>
        <w:rPr>
          <w:sz w:val="18"/>
          <w:vertAlign w:val="baseline"/>
        </w:rPr>
        <w:t>“Greater</w:t>
      </w:r>
      <w:r>
        <w:rPr>
          <w:spacing w:val="-3"/>
          <w:sz w:val="18"/>
          <w:vertAlign w:val="baseline"/>
        </w:rPr>
        <w:t> </w:t>
      </w:r>
      <w:r>
        <w:rPr>
          <w:sz w:val="18"/>
          <w:vertAlign w:val="baseline"/>
        </w:rPr>
        <w:t>Engagement</w:t>
      </w:r>
      <w:r>
        <w:rPr>
          <w:spacing w:val="-3"/>
          <w:sz w:val="18"/>
          <w:vertAlign w:val="baseline"/>
        </w:rPr>
        <w:t> </w:t>
      </w:r>
      <w:r>
        <w:rPr>
          <w:sz w:val="18"/>
          <w:vertAlign w:val="baseline"/>
        </w:rPr>
        <w:t>in</w:t>
      </w:r>
      <w:r>
        <w:rPr>
          <w:spacing w:val="-2"/>
          <w:sz w:val="18"/>
          <w:vertAlign w:val="baseline"/>
        </w:rPr>
        <w:t> </w:t>
      </w:r>
      <w:r>
        <w:rPr>
          <w:sz w:val="18"/>
          <w:vertAlign w:val="baseline"/>
        </w:rPr>
        <w:t>Gender-Sexuality</w:t>
      </w:r>
      <w:r>
        <w:rPr>
          <w:spacing w:val="-2"/>
          <w:sz w:val="18"/>
          <w:vertAlign w:val="baseline"/>
        </w:rPr>
        <w:t> </w:t>
      </w:r>
      <w:r>
        <w:rPr>
          <w:sz w:val="18"/>
          <w:vertAlign w:val="baseline"/>
        </w:rPr>
        <w:t>Alliances</w:t>
      </w:r>
      <w:r>
        <w:rPr>
          <w:spacing w:val="-2"/>
          <w:sz w:val="18"/>
          <w:vertAlign w:val="baseline"/>
        </w:rPr>
        <w:t> </w:t>
      </w:r>
      <w:r>
        <w:rPr>
          <w:sz w:val="18"/>
          <w:vertAlign w:val="baseline"/>
        </w:rPr>
        <w:t>(GSAs)</w:t>
      </w:r>
      <w:r>
        <w:rPr>
          <w:spacing w:val="-2"/>
          <w:sz w:val="18"/>
          <w:vertAlign w:val="baseline"/>
        </w:rPr>
        <w:t> </w:t>
      </w:r>
      <w:r>
        <w:rPr>
          <w:sz w:val="18"/>
          <w:vertAlign w:val="baseline"/>
        </w:rPr>
        <w:t>and GSA Characteristics Predict Youth Empowerment and Reduced Mental Health Concerns.” </w:t>
      </w:r>
      <w:r>
        <w:rPr>
          <w:i/>
          <w:sz w:val="18"/>
          <w:vertAlign w:val="baseline"/>
        </w:rPr>
        <w:t>Child Development 91</w:t>
      </w:r>
      <w:r>
        <w:rPr>
          <w:sz w:val="18"/>
          <w:vertAlign w:val="baseline"/>
        </w:rPr>
        <w:t>, no. 5</w:t>
      </w:r>
      <w:r>
        <w:rPr>
          <w:spacing w:val="40"/>
          <w:sz w:val="18"/>
          <w:vertAlign w:val="baseline"/>
        </w:rPr>
        <w:t> </w:t>
      </w:r>
      <w:r>
        <w:rPr>
          <w:sz w:val="18"/>
          <w:vertAlign w:val="baseline"/>
        </w:rPr>
        <w:t>(September 2020): 1509–28. </w:t>
      </w:r>
      <w:hyperlink r:id="rId243">
        <w:r>
          <w:rPr>
            <w:color w:val="1153CC"/>
            <w:sz w:val="18"/>
            <w:u w:val="single" w:color="1153CC"/>
            <w:vertAlign w:val="baseline"/>
          </w:rPr>
          <w:t>https://doi.org/10.1111/cdev.13345</w:t>
        </w:r>
      </w:hyperlink>
      <w:hyperlink r:id="rId243">
        <w:r>
          <w:rPr>
            <w:sz w:val="18"/>
            <w:u w:val="none"/>
            <w:vertAlign w:val="baseline"/>
          </w:rPr>
          <w:t>.</w:t>
        </w:r>
      </w:hyperlink>
    </w:p>
    <w:p>
      <w:pPr>
        <w:spacing w:before="0"/>
        <w:ind w:left="463" w:right="252" w:hanging="1"/>
        <w:jc w:val="both"/>
        <w:rPr>
          <w:sz w:val="18"/>
        </w:rPr>
      </w:pPr>
      <w:bookmarkStart w:name="_bookmark163" w:id="319"/>
      <w:bookmarkEnd w:id="319"/>
      <w:r>
        <w:rPr/>
      </w:r>
      <w:r>
        <w:rPr>
          <w:sz w:val="18"/>
          <w:vertAlign w:val="superscript"/>
        </w:rPr>
        <w:t>63</w:t>
      </w:r>
      <w:r>
        <w:rPr>
          <w:spacing w:val="-11"/>
          <w:sz w:val="18"/>
          <w:vertAlign w:val="baseline"/>
        </w:rPr>
        <w:t> </w:t>
      </w:r>
      <w:r>
        <w:rPr>
          <w:sz w:val="18"/>
          <w:vertAlign w:val="baseline"/>
        </w:rPr>
        <w:t>Truong,</w:t>
      </w:r>
      <w:r>
        <w:rPr>
          <w:spacing w:val="-1"/>
          <w:sz w:val="18"/>
          <w:vertAlign w:val="baseline"/>
        </w:rPr>
        <w:t> </w:t>
      </w:r>
      <w:r>
        <w:rPr>
          <w:sz w:val="18"/>
          <w:vertAlign w:val="baseline"/>
        </w:rPr>
        <w:t>Nhan, Caitlin Clark, Sarah Rosenbach, and Joseph Kosciw. “The GSA Study: Results of National Surveys About Students’ and</w:t>
      </w:r>
      <w:r>
        <w:rPr>
          <w:spacing w:val="-3"/>
          <w:sz w:val="18"/>
          <w:vertAlign w:val="baseline"/>
        </w:rPr>
        <w:t> </w:t>
      </w:r>
      <w:r>
        <w:rPr>
          <w:sz w:val="18"/>
          <w:vertAlign w:val="baseline"/>
        </w:rPr>
        <w:t>Advisors’</w:t>
      </w:r>
      <w:r>
        <w:rPr>
          <w:spacing w:val="-4"/>
          <w:sz w:val="18"/>
          <w:vertAlign w:val="baseline"/>
        </w:rPr>
        <w:t> </w:t>
      </w:r>
      <w:r>
        <w:rPr>
          <w:sz w:val="18"/>
          <w:vertAlign w:val="baseline"/>
        </w:rPr>
        <w:t>Experiences</w:t>
      </w:r>
      <w:r>
        <w:rPr>
          <w:spacing w:val="-3"/>
          <w:sz w:val="18"/>
          <w:vertAlign w:val="baseline"/>
        </w:rPr>
        <w:t> </w:t>
      </w:r>
      <w:r>
        <w:rPr>
          <w:sz w:val="18"/>
          <w:vertAlign w:val="baseline"/>
        </w:rPr>
        <w:t>in</w:t>
      </w:r>
      <w:r>
        <w:rPr>
          <w:spacing w:val="-3"/>
          <w:sz w:val="18"/>
          <w:vertAlign w:val="baseline"/>
        </w:rPr>
        <w:t> </w:t>
      </w:r>
      <w:r>
        <w:rPr>
          <w:sz w:val="18"/>
          <w:vertAlign w:val="baseline"/>
        </w:rPr>
        <w:t>Gender</w:t>
      </w:r>
      <w:r>
        <w:rPr>
          <w:spacing w:val="-4"/>
          <w:sz w:val="18"/>
          <w:vertAlign w:val="baseline"/>
        </w:rPr>
        <w:t> </w:t>
      </w:r>
      <w:r>
        <w:rPr>
          <w:sz w:val="18"/>
          <w:vertAlign w:val="baseline"/>
        </w:rPr>
        <w:t>and</w:t>
      </w:r>
      <w:r>
        <w:rPr>
          <w:spacing w:val="-3"/>
          <w:sz w:val="18"/>
          <w:vertAlign w:val="baseline"/>
        </w:rPr>
        <w:t> </w:t>
      </w:r>
      <w:r>
        <w:rPr>
          <w:sz w:val="18"/>
          <w:vertAlign w:val="baseline"/>
        </w:rPr>
        <w:t>Sexuality</w:t>
      </w:r>
      <w:r>
        <w:rPr>
          <w:spacing w:val="-3"/>
          <w:sz w:val="18"/>
          <w:vertAlign w:val="baseline"/>
        </w:rPr>
        <w:t> </w:t>
      </w:r>
      <w:r>
        <w:rPr>
          <w:sz w:val="18"/>
          <w:vertAlign w:val="baseline"/>
        </w:rPr>
        <w:t>Alliance</w:t>
      </w:r>
      <w:r>
        <w:rPr>
          <w:spacing w:val="-3"/>
          <w:sz w:val="18"/>
          <w:vertAlign w:val="baseline"/>
        </w:rPr>
        <w:t> </w:t>
      </w:r>
      <w:r>
        <w:rPr>
          <w:sz w:val="18"/>
          <w:vertAlign w:val="baseline"/>
        </w:rPr>
        <w:t>Clubs.”</w:t>
      </w:r>
      <w:r>
        <w:rPr>
          <w:spacing w:val="-3"/>
          <w:sz w:val="18"/>
          <w:vertAlign w:val="baseline"/>
        </w:rPr>
        <w:t> </w:t>
      </w:r>
      <w:r>
        <w:rPr>
          <w:sz w:val="18"/>
          <w:vertAlign w:val="baseline"/>
        </w:rPr>
        <w:t>New</w:t>
      </w:r>
      <w:r>
        <w:rPr>
          <w:spacing w:val="-4"/>
          <w:sz w:val="18"/>
          <w:vertAlign w:val="baseline"/>
        </w:rPr>
        <w:t> </w:t>
      </w:r>
      <w:r>
        <w:rPr>
          <w:sz w:val="18"/>
          <w:vertAlign w:val="baseline"/>
        </w:rPr>
        <w:t>York:</w:t>
      </w:r>
      <w:r>
        <w:rPr>
          <w:spacing w:val="-3"/>
          <w:sz w:val="18"/>
          <w:vertAlign w:val="baseline"/>
        </w:rPr>
        <w:t> </w:t>
      </w:r>
      <w:r>
        <w:rPr>
          <w:sz w:val="18"/>
          <w:vertAlign w:val="baseline"/>
        </w:rPr>
        <w:t>Gay,</w:t>
      </w:r>
      <w:r>
        <w:rPr>
          <w:spacing w:val="-4"/>
          <w:sz w:val="18"/>
          <w:vertAlign w:val="baseline"/>
        </w:rPr>
        <w:t> </w:t>
      </w:r>
      <w:r>
        <w:rPr>
          <w:sz w:val="18"/>
          <w:vertAlign w:val="baseline"/>
        </w:rPr>
        <w:t>Lesbian</w:t>
      </w:r>
      <w:r>
        <w:rPr>
          <w:spacing w:val="-3"/>
          <w:sz w:val="18"/>
          <w:vertAlign w:val="baseline"/>
        </w:rPr>
        <w:t> </w:t>
      </w:r>
      <w:r>
        <w:rPr>
          <w:sz w:val="18"/>
          <w:vertAlign w:val="baseline"/>
        </w:rPr>
        <w:t>and</w:t>
      </w:r>
      <w:r>
        <w:rPr>
          <w:spacing w:val="-3"/>
          <w:sz w:val="18"/>
          <w:vertAlign w:val="baseline"/>
        </w:rPr>
        <w:t> </w:t>
      </w:r>
      <w:r>
        <w:rPr>
          <w:sz w:val="18"/>
          <w:vertAlign w:val="baseline"/>
        </w:rPr>
        <w:t>Straight</w:t>
      </w:r>
      <w:r>
        <w:rPr>
          <w:spacing w:val="-4"/>
          <w:sz w:val="18"/>
          <w:vertAlign w:val="baseline"/>
        </w:rPr>
        <w:t> </w:t>
      </w:r>
      <w:r>
        <w:rPr>
          <w:sz w:val="18"/>
          <w:vertAlign w:val="baseline"/>
        </w:rPr>
        <w:t>Education</w:t>
      </w:r>
      <w:r>
        <w:rPr>
          <w:spacing w:val="-3"/>
          <w:sz w:val="18"/>
          <w:vertAlign w:val="baseline"/>
        </w:rPr>
        <w:t> </w:t>
      </w:r>
      <w:r>
        <w:rPr>
          <w:sz w:val="18"/>
          <w:vertAlign w:val="baseline"/>
        </w:rPr>
        <w:t>Network,</w:t>
      </w:r>
      <w:r>
        <w:rPr>
          <w:spacing w:val="-4"/>
          <w:sz w:val="18"/>
          <w:vertAlign w:val="baseline"/>
        </w:rPr>
        <w:t> </w:t>
      </w:r>
      <w:r>
        <w:rPr>
          <w:sz w:val="18"/>
          <w:vertAlign w:val="baseline"/>
        </w:rPr>
        <w:t>2021. </w:t>
      </w:r>
      <w:bookmarkStart w:name="_bookmark164" w:id="320"/>
      <w:bookmarkEnd w:id="320"/>
      <w:r>
        <w:rPr>
          <w:spacing w:val="-1"/>
          <w:sz w:val="18"/>
          <w:vertAlign w:val="baseline"/>
        </w:rPr>
      </w:r>
      <w:hyperlink r:id="rId244">
        <w:r>
          <w:rPr>
            <w:color w:val="1153CC"/>
            <w:spacing w:val="-2"/>
            <w:sz w:val="18"/>
            <w:u w:val="single" w:color="1153CC"/>
            <w:vertAlign w:val="baseline"/>
          </w:rPr>
          <w:t>https://www.glsen.org/sites/default/files/2021-12/GLSEN_ResearchInstitute_GSAStudy_12012021.pd</w:t>
        </w:r>
      </w:hyperlink>
      <w:hyperlink r:id="rId244">
        <w:r>
          <w:rPr>
            <w:color w:val="1153CC"/>
            <w:spacing w:val="-2"/>
            <w:sz w:val="18"/>
            <w:u w:val="single" w:color="1153CC"/>
            <w:vertAlign w:val="baseline"/>
          </w:rPr>
          <w:t>f</w:t>
        </w:r>
        <w:r>
          <w:rPr>
            <w:spacing w:val="-2"/>
            <w:sz w:val="18"/>
            <w:u w:val="none"/>
            <w:vertAlign w:val="baseline"/>
          </w:rPr>
          <w:t>.</w:t>
        </w:r>
      </w:hyperlink>
    </w:p>
    <w:p>
      <w:pPr>
        <w:spacing w:before="0"/>
        <w:ind w:left="463" w:right="254" w:hanging="1"/>
        <w:jc w:val="left"/>
        <w:rPr>
          <w:sz w:val="18"/>
        </w:rPr>
      </w:pPr>
      <w:r>
        <w:rPr>
          <w:sz w:val="18"/>
          <w:vertAlign w:val="superscript"/>
        </w:rPr>
        <w:t>64</w:t>
      </w:r>
      <w:r>
        <w:rPr>
          <w:spacing w:val="-9"/>
          <w:sz w:val="18"/>
          <w:vertAlign w:val="baseline"/>
        </w:rPr>
        <w:t> </w:t>
      </w:r>
      <w:r>
        <w:rPr>
          <w:sz w:val="18"/>
          <w:vertAlign w:val="baseline"/>
        </w:rPr>
        <w:t>Wilkerson, J. Michael, Vanessa R. Schick, Kim A. Romijnders, Jessica Bauldry, Seyram A. Butame, and the Montrose Center. “Social</w:t>
      </w:r>
      <w:r>
        <w:rPr>
          <w:spacing w:val="-4"/>
          <w:sz w:val="18"/>
          <w:vertAlign w:val="baseline"/>
        </w:rPr>
        <w:t> </w:t>
      </w:r>
      <w:r>
        <w:rPr>
          <w:sz w:val="18"/>
          <w:vertAlign w:val="baseline"/>
        </w:rPr>
        <w:t>Support,</w:t>
      </w:r>
      <w:r>
        <w:rPr>
          <w:spacing w:val="-3"/>
          <w:sz w:val="18"/>
          <w:vertAlign w:val="baseline"/>
        </w:rPr>
        <w:t> </w:t>
      </w:r>
      <w:r>
        <w:rPr>
          <w:sz w:val="18"/>
          <w:vertAlign w:val="baseline"/>
        </w:rPr>
        <w:t>Depression,</w:t>
      </w:r>
      <w:r>
        <w:rPr>
          <w:spacing w:val="-4"/>
          <w:sz w:val="18"/>
          <w:vertAlign w:val="baseline"/>
        </w:rPr>
        <w:t> </w:t>
      </w:r>
      <w:r>
        <w:rPr>
          <w:sz w:val="18"/>
          <w:vertAlign w:val="baseline"/>
        </w:rPr>
        <w:t>Self-Esteem,</w:t>
      </w:r>
      <w:r>
        <w:rPr>
          <w:spacing w:val="-4"/>
          <w:sz w:val="18"/>
          <w:vertAlign w:val="baseline"/>
        </w:rPr>
        <w:t> </w:t>
      </w:r>
      <w:r>
        <w:rPr>
          <w:sz w:val="18"/>
          <w:vertAlign w:val="baseline"/>
        </w:rPr>
        <w:t>and</w:t>
      </w:r>
      <w:r>
        <w:rPr>
          <w:spacing w:val="-3"/>
          <w:sz w:val="18"/>
          <w:vertAlign w:val="baseline"/>
        </w:rPr>
        <w:t> </w:t>
      </w:r>
      <w:r>
        <w:rPr>
          <w:sz w:val="18"/>
          <w:vertAlign w:val="baseline"/>
        </w:rPr>
        <w:t>Coping</w:t>
      </w:r>
      <w:r>
        <w:rPr>
          <w:spacing w:val="-3"/>
          <w:sz w:val="18"/>
          <w:vertAlign w:val="baseline"/>
        </w:rPr>
        <w:t> </w:t>
      </w:r>
      <w:r>
        <w:rPr>
          <w:sz w:val="18"/>
          <w:vertAlign w:val="baseline"/>
        </w:rPr>
        <w:t>Among</w:t>
      </w:r>
      <w:r>
        <w:rPr>
          <w:spacing w:val="-3"/>
          <w:sz w:val="18"/>
          <w:vertAlign w:val="baseline"/>
        </w:rPr>
        <w:t> </w:t>
      </w:r>
      <w:r>
        <w:rPr>
          <w:sz w:val="18"/>
          <w:vertAlign w:val="baseline"/>
        </w:rPr>
        <w:t>LGBTQ</w:t>
      </w:r>
      <w:r>
        <w:rPr>
          <w:spacing w:val="-3"/>
          <w:sz w:val="18"/>
          <w:vertAlign w:val="baseline"/>
        </w:rPr>
        <w:t> </w:t>
      </w:r>
      <w:r>
        <w:rPr>
          <w:sz w:val="18"/>
          <w:vertAlign w:val="baseline"/>
        </w:rPr>
        <w:t>Adolescents</w:t>
      </w:r>
      <w:r>
        <w:rPr>
          <w:spacing w:val="-4"/>
          <w:sz w:val="18"/>
          <w:vertAlign w:val="baseline"/>
        </w:rPr>
        <w:t> </w:t>
      </w:r>
      <w:r>
        <w:rPr>
          <w:sz w:val="18"/>
          <w:vertAlign w:val="baseline"/>
        </w:rPr>
        <w:t>Participating</w:t>
      </w:r>
      <w:r>
        <w:rPr>
          <w:spacing w:val="-3"/>
          <w:sz w:val="18"/>
          <w:vertAlign w:val="baseline"/>
        </w:rPr>
        <w:t> </w:t>
      </w:r>
      <w:r>
        <w:rPr>
          <w:sz w:val="18"/>
          <w:vertAlign w:val="baseline"/>
        </w:rPr>
        <w:t>in</w:t>
      </w:r>
      <w:r>
        <w:rPr>
          <w:spacing w:val="-2"/>
          <w:sz w:val="18"/>
          <w:vertAlign w:val="baseline"/>
        </w:rPr>
        <w:t> </w:t>
      </w:r>
      <w:r>
        <w:rPr>
          <w:sz w:val="18"/>
          <w:vertAlign w:val="baseline"/>
        </w:rPr>
        <w:t>Hatch</w:t>
      </w:r>
      <w:r>
        <w:rPr>
          <w:spacing w:val="-3"/>
          <w:sz w:val="18"/>
          <w:vertAlign w:val="baseline"/>
        </w:rPr>
        <w:t> </w:t>
      </w:r>
      <w:r>
        <w:rPr>
          <w:sz w:val="18"/>
          <w:vertAlign w:val="baseline"/>
        </w:rPr>
        <w:t>Youth.”</w:t>
      </w:r>
      <w:r>
        <w:rPr>
          <w:spacing w:val="-3"/>
          <w:sz w:val="18"/>
          <w:vertAlign w:val="baseline"/>
        </w:rPr>
        <w:t> </w:t>
      </w:r>
      <w:r>
        <w:rPr>
          <w:i/>
          <w:sz w:val="18"/>
          <w:vertAlign w:val="baseline"/>
        </w:rPr>
        <w:t>Health</w:t>
      </w:r>
      <w:r>
        <w:rPr>
          <w:i/>
          <w:spacing w:val="-3"/>
          <w:sz w:val="18"/>
          <w:vertAlign w:val="baseline"/>
        </w:rPr>
        <w:t> </w:t>
      </w:r>
      <w:r>
        <w:rPr>
          <w:i/>
          <w:sz w:val="18"/>
          <w:vertAlign w:val="baseline"/>
        </w:rPr>
        <w:t>Promotion</w:t>
      </w:r>
      <w:r>
        <w:rPr>
          <w:i/>
          <w:sz w:val="18"/>
          <w:vertAlign w:val="baseline"/>
        </w:rPr>
        <w:t> </w:t>
      </w:r>
      <w:bookmarkStart w:name="_bookmark165" w:id="321"/>
      <w:bookmarkEnd w:id="321"/>
      <w:r>
        <w:rPr>
          <w:i/>
          <w:sz w:val="18"/>
          <w:vertAlign w:val="baseline"/>
        </w:rPr>
        <w:t>P</w:t>
      </w:r>
      <w:r>
        <w:rPr>
          <w:i/>
          <w:sz w:val="18"/>
          <w:vertAlign w:val="baseline"/>
        </w:rPr>
        <w:t>ractice </w:t>
      </w:r>
      <w:r>
        <w:rPr>
          <w:sz w:val="18"/>
          <w:vertAlign w:val="baseline"/>
        </w:rPr>
        <w:t>18, no. 3 (May 2017): 358–65. </w:t>
      </w:r>
      <w:hyperlink r:id="rId245">
        <w:r>
          <w:rPr>
            <w:color w:val="1153CC"/>
            <w:sz w:val="18"/>
            <w:u w:val="single" w:color="1153CC"/>
            <w:vertAlign w:val="baseline"/>
          </w:rPr>
          <w:t>https://doi.org/10.1177/1524839916654461</w:t>
        </w:r>
      </w:hyperlink>
      <w:hyperlink r:id="rId245">
        <w:r>
          <w:rPr>
            <w:sz w:val="18"/>
            <w:u w:val="none"/>
            <w:vertAlign w:val="baseline"/>
          </w:rPr>
          <w:t>.</w:t>
        </w:r>
      </w:hyperlink>
    </w:p>
    <w:p>
      <w:pPr>
        <w:spacing w:before="0"/>
        <w:ind w:left="463" w:right="0" w:hanging="1"/>
        <w:jc w:val="left"/>
        <w:rPr>
          <w:sz w:val="18"/>
        </w:rPr>
      </w:pPr>
      <w:r>
        <w:rPr>
          <w:sz w:val="18"/>
          <w:vertAlign w:val="superscript"/>
        </w:rPr>
        <w:t>65</w:t>
      </w:r>
      <w:r>
        <w:rPr>
          <w:spacing w:val="-13"/>
          <w:sz w:val="18"/>
          <w:vertAlign w:val="baseline"/>
        </w:rPr>
        <w:t> </w:t>
      </w:r>
      <w:r>
        <w:rPr>
          <w:sz w:val="18"/>
          <w:vertAlign w:val="baseline"/>
        </w:rPr>
        <w:t>Centers</w:t>
      </w:r>
      <w:r>
        <w:rPr>
          <w:spacing w:val="-4"/>
          <w:sz w:val="18"/>
          <w:vertAlign w:val="baseline"/>
        </w:rPr>
        <w:t> </w:t>
      </w:r>
      <w:r>
        <w:rPr>
          <w:sz w:val="18"/>
          <w:vertAlign w:val="baseline"/>
        </w:rPr>
        <w:t>for</w:t>
      </w:r>
      <w:r>
        <w:rPr>
          <w:spacing w:val="-4"/>
          <w:sz w:val="18"/>
          <w:vertAlign w:val="baseline"/>
        </w:rPr>
        <w:t> </w:t>
      </w:r>
      <w:r>
        <w:rPr>
          <w:sz w:val="18"/>
          <w:vertAlign w:val="baseline"/>
        </w:rPr>
        <w:t>Disease</w:t>
      </w:r>
      <w:r>
        <w:rPr>
          <w:spacing w:val="-3"/>
          <w:sz w:val="18"/>
          <w:vertAlign w:val="baseline"/>
        </w:rPr>
        <w:t> </w:t>
      </w:r>
      <w:r>
        <w:rPr>
          <w:sz w:val="18"/>
          <w:vertAlign w:val="baseline"/>
        </w:rPr>
        <w:t>Control</w:t>
      </w:r>
      <w:r>
        <w:rPr>
          <w:spacing w:val="-4"/>
          <w:sz w:val="18"/>
          <w:vertAlign w:val="baseline"/>
        </w:rPr>
        <w:t> </w:t>
      </w:r>
      <w:r>
        <w:rPr>
          <w:sz w:val="18"/>
          <w:vertAlign w:val="baseline"/>
        </w:rPr>
        <w:t>and</w:t>
      </w:r>
      <w:r>
        <w:rPr>
          <w:spacing w:val="-3"/>
          <w:sz w:val="18"/>
          <w:vertAlign w:val="baseline"/>
        </w:rPr>
        <w:t> </w:t>
      </w:r>
      <w:r>
        <w:rPr>
          <w:sz w:val="18"/>
          <w:vertAlign w:val="baseline"/>
        </w:rPr>
        <w:t>Prevention.</w:t>
      </w:r>
      <w:r>
        <w:rPr>
          <w:spacing w:val="-3"/>
          <w:sz w:val="18"/>
          <w:vertAlign w:val="baseline"/>
        </w:rPr>
        <w:t> </w:t>
      </w:r>
      <w:r>
        <w:rPr>
          <w:sz w:val="18"/>
          <w:vertAlign w:val="baseline"/>
        </w:rPr>
        <w:t>“School</w:t>
      </w:r>
      <w:r>
        <w:rPr>
          <w:spacing w:val="-4"/>
          <w:sz w:val="18"/>
          <w:vertAlign w:val="baseline"/>
        </w:rPr>
        <w:t> </w:t>
      </w:r>
      <w:r>
        <w:rPr>
          <w:sz w:val="18"/>
          <w:vertAlign w:val="baseline"/>
        </w:rPr>
        <w:t>Connectedness:</w:t>
      </w:r>
      <w:r>
        <w:rPr>
          <w:spacing w:val="-3"/>
          <w:sz w:val="18"/>
          <w:vertAlign w:val="baseline"/>
        </w:rPr>
        <w:t> </w:t>
      </w:r>
      <w:r>
        <w:rPr>
          <w:sz w:val="18"/>
          <w:vertAlign w:val="baseline"/>
        </w:rPr>
        <w:t>Strategies</w:t>
      </w:r>
      <w:r>
        <w:rPr>
          <w:spacing w:val="-3"/>
          <w:sz w:val="18"/>
          <w:vertAlign w:val="baseline"/>
        </w:rPr>
        <w:t> </w:t>
      </w:r>
      <w:r>
        <w:rPr>
          <w:sz w:val="18"/>
          <w:vertAlign w:val="baseline"/>
        </w:rPr>
        <w:t>for</w:t>
      </w:r>
      <w:r>
        <w:rPr>
          <w:spacing w:val="-4"/>
          <w:sz w:val="18"/>
          <w:vertAlign w:val="baseline"/>
        </w:rPr>
        <w:t> </w:t>
      </w:r>
      <w:r>
        <w:rPr>
          <w:sz w:val="18"/>
          <w:vertAlign w:val="baseline"/>
        </w:rPr>
        <w:t>Increasing</w:t>
      </w:r>
      <w:r>
        <w:rPr>
          <w:spacing w:val="-4"/>
          <w:sz w:val="18"/>
          <w:vertAlign w:val="baseline"/>
        </w:rPr>
        <w:t> </w:t>
      </w:r>
      <w:r>
        <w:rPr>
          <w:sz w:val="18"/>
          <w:vertAlign w:val="baseline"/>
        </w:rPr>
        <w:t>Protective</w:t>
      </w:r>
      <w:r>
        <w:rPr>
          <w:spacing w:val="-3"/>
          <w:sz w:val="18"/>
          <w:vertAlign w:val="baseline"/>
        </w:rPr>
        <w:t> </w:t>
      </w:r>
      <w:r>
        <w:rPr>
          <w:sz w:val="18"/>
          <w:vertAlign w:val="baseline"/>
        </w:rPr>
        <w:t>Factors</w:t>
      </w:r>
      <w:r>
        <w:rPr>
          <w:spacing w:val="-3"/>
          <w:sz w:val="18"/>
          <w:vertAlign w:val="baseline"/>
        </w:rPr>
        <w:t> </w:t>
      </w:r>
      <w:r>
        <w:rPr>
          <w:sz w:val="18"/>
          <w:vertAlign w:val="baseline"/>
        </w:rPr>
        <w:t>among</w:t>
      </w:r>
      <w:r>
        <w:rPr>
          <w:spacing w:val="-3"/>
          <w:sz w:val="18"/>
          <w:vertAlign w:val="baseline"/>
        </w:rPr>
        <w:t> </w:t>
      </w:r>
      <w:r>
        <w:rPr>
          <w:sz w:val="18"/>
          <w:vertAlign w:val="baseline"/>
        </w:rPr>
        <w:t>Youth.” </w:t>
      </w:r>
      <w:bookmarkStart w:name="_bookmark166" w:id="322"/>
      <w:bookmarkEnd w:id="322"/>
      <w:r>
        <w:rPr>
          <w:sz w:val="18"/>
          <w:vertAlign w:val="baseline"/>
        </w:rPr>
        <w:t>A</w:t>
      </w:r>
      <w:r>
        <w:rPr>
          <w:sz w:val="18"/>
          <w:vertAlign w:val="baseline"/>
        </w:rPr>
        <w:t>tlanta: US Department of Health and Human Services, 2009. </w:t>
      </w:r>
      <w:hyperlink r:id="rId246">
        <w:r>
          <w:rPr>
            <w:color w:val="1153CC"/>
            <w:sz w:val="18"/>
            <w:u w:val="single" w:color="1153CC"/>
            <w:vertAlign w:val="baseline"/>
          </w:rPr>
          <w:t>https://files.eric.ed.gov/fulltext/ED511993.pd</w:t>
        </w:r>
      </w:hyperlink>
      <w:hyperlink r:id="rId246">
        <w:r>
          <w:rPr>
            <w:color w:val="1153CC"/>
            <w:sz w:val="18"/>
            <w:u w:val="single" w:color="1153CC"/>
            <w:vertAlign w:val="baseline"/>
          </w:rPr>
          <w:t>f</w:t>
        </w:r>
        <w:r>
          <w:rPr>
            <w:sz w:val="18"/>
            <w:u w:val="none"/>
            <w:vertAlign w:val="baseline"/>
          </w:rPr>
          <w:t>.</w:t>
        </w:r>
      </w:hyperlink>
    </w:p>
    <w:p>
      <w:pPr>
        <w:spacing w:before="0"/>
        <w:ind w:left="463" w:right="314" w:hanging="1"/>
        <w:jc w:val="left"/>
        <w:rPr>
          <w:sz w:val="18"/>
        </w:rPr>
      </w:pPr>
      <w:r>
        <w:rPr>
          <w:sz w:val="18"/>
          <w:vertAlign w:val="superscript"/>
        </w:rPr>
        <w:t>66</w:t>
      </w:r>
      <w:r>
        <w:rPr>
          <w:spacing w:val="-9"/>
          <w:sz w:val="18"/>
          <w:vertAlign w:val="baseline"/>
        </w:rPr>
        <w:t> </w:t>
      </w:r>
      <w:r>
        <w:rPr>
          <w:sz w:val="18"/>
          <w:vertAlign w:val="baseline"/>
        </w:rPr>
        <w:t>Gillig, Traci K., Lynn C. Miller, and Courtney M. Cox. “‘She Finally Smiles … for Real’: Reducing Depressive Symptoms and Bolstering</w:t>
      </w:r>
      <w:r>
        <w:rPr>
          <w:spacing w:val="-2"/>
          <w:sz w:val="18"/>
          <w:vertAlign w:val="baseline"/>
        </w:rPr>
        <w:t> </w:t>
      </w:r>
      <w:r>
        <w:rPr>
          <w:sz w:val="18"/>
          <w:vertAlign w:val="baseline"/>
        </w:rPr>
        <w:t>Resilience</w:t>
      </w:r>
      <w:r>
        <w:rPr>
          <w:spacing w:val="-2"/>
          <w:sz w:val="18"/>
          <w:vertAlign w:val="baseline"/>
        </w:rPr>
        <w:t> </w:t>
      </w:r>
      <w:r>
        <w:rPr>
          <w:sz w:val="18"/>
          <w:vertAlign w:val="baseline"/>
        </w:rPr>
        <w:t>Through</w:t>
      </w:r>
      <w:r>
        <w:rPr>
          <w:spacing w:val="-2"/>
          <w:sz w:val="18"/>
          <w:vertAlign w:val="baseline"/>
        </w:rPr>
        <w:t> </w:t>
      </w:r>
      <w:r>
        <w:rPr>
          <w:sz w:val="18"/>
          <w:vertAlign w:val="baseline"/>
        </w:rPr>
        <w:t>a</w:t>
      </w:r>
      <w:r>
        <w:rPr>
          <w:spacing w:val="-3"/>
          <w:sz w:val="18"/>
          <w:vertAlign w:val="baseline"/>
        </w:rPr>
        <w:t> </w:t>
      </w:r>
      <w:r>
        <w:rPr>
          <w:sz w:val="18"/>
          <w:vertAlign w:val="baseline"/>
        </w:rPr>
        <w:t>Camp</w:t>
      </w:r>
      <w:r>
        <w:rPr>
          <w:spacing w:val="-2"/>
          <w:sz w:val="18"/>
          <w:vertAlign w:val="baseline"/>
        </w:rPr>
        <w:t> </w:t>
      </w:r>
      <w:r>
        <w:rPr>
          <w:sz w:val="18"/>
          <w:vertAlign w:val="baseline"/>
        </w:rPr>
        <w:t>Intervention</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Homosexuality</w:t>
      </w:r>
      <w:r>
        <w:rPr>
          <w:i/>
          <w:spacing w:val="-2"/>
          <w:sz w:val="18"/>
          <w:vertAlign w:val="baseline"/>
        </w:rPr>
        <w:t> </w:t>
      </w:r>
      <w:r>
        <w:rPr>
          <w:sz w:val="18"/>
          <w:vertAlign w:val="baseline"/>
        </w:rPr>
        <w:t>66,</w:t>
      </w:r>
      <w:r>
        <w:rPr>
          <w:spacing w:val="-3"/>
          <w:sz w:val="18"/>
          <w:vertAlign w:val="baseline"/>
        </w:rPr>
        <w:t> </w:t>
      </w:r>
      <w:r>
        <w:rPr>
          <w:sz w:val="18"/>
          <w:vertAlign w:val="baseline"/>
        </w:rPr>
        <w:t>no.</w:t>
      </w:r>
      <w:r>
        <w:rPr>
          <w:spacing w:val="-2"/>
          <w:sz w:val="18"/>
          <w:vertAlign w:val="baseline"/>
        </w:rPr>
        <w:t> </w:t>
      </w:r>
      <w:r>
        <w:rPr>
          <w:sz w:val="18"/>
          <w:vertAlign w:val="baseline"/>
        </w:rPr>
        <w:t>3</w:t>
      </w:r>
      <w:r>
        <w:rPr>
          <w:spacing w:val="-2"/>
          <w:sz w:val="18"/>
          <w:vertAlign w:val="baseline"/>
        </w:rPr>
        <w:t> </w:t>
      </w:r>
      <w:r>
        <w:rPr>
          <w:sz w:val="18"/>
          <w:vertAlign w:val="baseline"/>
        </w:rPr>
        <w:t>(February</w:t>
      </w:r>
      <w:r>
        <w:rPr>
          <w:spacing w:val="-2"/>
          <w:sz w:val="18"/>
          <w:vertAlign w:val="baseline"/>
        </w:rPr>
        <w:t> </w:t>
      </w:r>
      <w:r>
        <w:rPr>
          <w:sz w:val="18"/>
          <w:vertAlign w:val="baseline"/>
        </w:rPr>
        <w:t>23,</w:t>
      </w:r>
      <w:r>
        <w:rPr>
          <w:spacing w:val="-3"/>
          <w:sz w:val="18"/>
          <w:vertAlign w:val="baseline"/>
        </w:rPr>
        <w:t> </w:t>
      </w:r>
      <w:r>
        <w:rPr>
          <w:sz w:val="18"/>
          <w:vertAlign w:val="baseline"/>
        </w:rPr>
        <w:t>2019): </w:t>
      </w:r>
      <w:bookmarkStart w:name="_bookmark167" w:id="323"/>
      <w:bookmarkEnd w:id="323"/>
      <w:r>
        <w:rPr>
          <w:sz w:val="18"/>
          <w:vertAlign w:val="baseline"/>
        </w:rPr>
        <w:t>368–</w:t>
      </w:r>
      <w:r>
        <w:rPr>
          <w:sz w:val="18"/>
          <w:vertAlign w:val="baseline"/>
        </w:rPr>
        <w:t>88. </w:t>
      </w:r>
      <w:hyperlink r:id="rId247">
        <w:r>
          <w:rPr>
            <w:color w:val="1153CC"/>
            <w:sz w:val="18"/>
            <w:u w:val="single" w:color="1153CC"/>
            <w:vertAlign w:val="baseline"/>
          </w:rPr>
          <w:t>https://doi.org/10.1080/00918369.2017.1411693</w:t>
        </w:r>
      </w:hyperlink>
      <w:hyperlink r:id="rId247">
        <w:r>
          <w:rPr>
            <w:sz w:val="18"/>
            <w:u w:val="none"/>
            <w:vertAlign w:val="baseline"/>
          </w:rPr>
          <w:t>.</w:t>
        </w:r>
      </w:hyperlink>
    </w:p>
    <w:p>
      <w:pPr>
        <w:spacing w:before="0"/>
        <w:ind w:left="463" w:right="326" w:firstLine="0"/>
        <w:jc w:val="left"/>
        <w:rPr>
          <w:sz w:val="18"/>
        </w:rPr>
      </w:pPr>
      <w:r>
        <w:rPr>
          <w:sz w:val="18"/>
          <w:vertAlign w:val="superscript"/>
        </w:rPr>
        <w:t>67</w:t>
      </w:r>
      <w:r>
        <w:rPr>
          <w:spacing w:val="-9"/>
          <w:sz w:val="18"/>
          <w:vertAlign w:val="baseline"/>
        </w:rPr>
        <w:t> </w:t>
      </w:r>
      <w:r>
        <w:rPr>
          <w:sz w:val="18"/>
          <w:vertAlign w:val="baseline"/>
        </w:rPr>
        <w:t>Gillig, Traci K., and Leila Bighash. “Network and Proximity Effects on LGBTQ Youth’s Psychological Outcomes during a Camp Intervention.”</w:t>
      </w:r>
      <w:r>
        <w:rPr>
          <w:spacing w:val="-1"/>
          <w:sz w:val="18"/>
          <w:vertAlign w:val="baseline"/>
        </w:rPr>
        <w:t> </w:t>
      </w:r>
      <w:r>
        <w:rPr>
          <w:i/>
          <w:sz w:val="18"/>
          <w:vertAlign w:val="baseline"/>
        </w:rPr>
        <w:t>Health</w:t>
      </w:r>
      <w:r>
        <w:rPr>
          <w:i/>
          <w:spacing w:val="-2"/>
          <w:sz w:val="18"/>
          <w:vertAlign w:val="baseline"/>
        </w:rPr>
        <w:t> </w:t>
      </w:r>
      <w:r>
        <w:rPr>
          <w:i/>
          <w:sz w:val="18"/>
          <w:vertAlign w:val="baseline"/>
        </w:rPr>
        <w:t>Communication</w:t>
      </w:r>
      <w:r>
        <w:rPr>
          <w:i/>
          <w:spacing w:val="-2"/>
          <w:sz w:val="18"/>
          <w:vertAlign w:val="baseline"/>
        </w:rPr>
        <w:t> </w:t>
      </w:r>
      <w:r>
        <w:rPr>
          <w:sz w:val="18"/>
          <w:vertAlign w:val="baseline"/>
        </w:rPr>
        <w:t>38,</w:t>
      </w:r>
      <w:r>
        <w:rPr>
          <w:spacing w:val="-2"/>
          <w:sz w:val="18"/>
          <w:vertAlign w:val="baseline"/>
        </w:rPr>
        <w:t> </w:t>
      </w:r>
      <w:r>
        <w:rPr>
          <w:sz w:val="18"/>
          <w:vertAlign w:val="baseline"/>
        </w:rPr>
        <w:t>no.</w:t>
      </w:r>
      <w:r>
        <w:rPr>
          <w:spacing w:val="-1"/>
          <w:sz w:val="18"/>
          <w:vertAlign w:val="baseline"/>
        </w:rPr>
        <w:t> </w:t>
      </w:r>
      <w:r>
        <w:rPr>
          <w:sz w:val="18"/>
          <w:vertAlign w:val="baseline"/>
        </w:rPr>
        <w:t>4</w:t>
      </w:r>
      <w:r>
        <w:rPr>
          <w:spacing w:val="-1"/>
          <w:sz w:val="18"/>
          <w:vertAlign w:val="baseline"/>
        </w:rPr>
        <w:t> </w:t>
      </w:r>
      <w:r>
        <w:rPr>
          <w:sz w:val="18"/>
          <w:vertAlign w:val="baseline"/>
        </w:rPr>
        <w:t>(March</w:t>
      </w:r>
      <w:r>
        <w:rPr>
          <w:spacing w:val="-1"/>
          <w:sz w:val="18"/>
          <w:vertAlign w:val="baseline"/>
        </w:rPr>
        <w:t> </w:t>
      </w:r>
      <w:r>
        <w:rPr>
          <w:sz w:val="18"/>
          <w:vertAlign w:val="baseline"/>
        </w:rPr>
        <w:t>21,</w:t>
      </w:r>
      <w:r>
        <w:rPr>
          <w:spacing w:val="-2"/>
          <w:sz w:val="18"/>
          <w:vertAlign w:val="baseline"/>
        </w:rPr>
        <w:t> </w:t>
      </w:r>
      <w:r>
        <w:rPr>
          <w:sz w:val="18"/>
          <w:vertAlign w:val="baseline"/>
        </w:rPr>
        <w:t>2023):</w:t>
      </w:r>
      <w:r>
        <w:rPr>
          <w:spacing w:val="-1"/>
          <w:sz w:val="18"/>
          <w:vertAlign w:val="baseline"/>
        </w:rPr>
        <w:t> </w:t>
      </w:r>
      <w:r>
        <w:rPr>
          <w:sz w:val="18"/>
          <w:vertAlign w:val="baseline"/>
        </w:rPr>
        <w:t>641–47.</w:t>
      </w:r>
      <w:r>
        <w:rPr>
          <w:spacing w:val="-1"/>
          <w:sz w:val="18"/>
          <w:vertAlign w:val="baseline"/>
        </w:rPr>
        <w:t> </w:t>
      </w:r>
      <w:hyperlink r:id="rId248">
        <w:r>
          <w:rPr>
            <w:color w:val="1153CC"/>
            <w:sz w:val="18"/>
            <w:u w:val="single" w:color="1153CC"/>
            <w:vertAlign w:val="baseline"/>
          </w:rPr>
          <w:t>https://doi.org/10.1080/10410236.2021.1958983</w:t>
        </w:r>
      </w:hyperlink>
      <w:hyperlink r:id="rId248">
        <w:r>
          <w:rPr>
            <w:sz w:val="18"/>
            <w:u w:val="none"/>
            <w:vertAlign w:val="baseline"/>
          </w:rPr>
          <w:t>.</w:t>
        </w:r>
      </w:hyperlink>
      <w:r>
        <w:rPr>
          <w:spacing w:val="-1"/>
          <w:sz w:val="18"/>
          <w:u w:val="none"/>
          <w:vertAlign w:val="baseline"/>
        </w:rPr>
        <w:t> </w:t>
      </w:r>
      <w:r>
        <w:rPr>
          <w:sz w:val="18"/>
          <w:u w:val="none"/>
          <w:vertAlign w:val="superscript"/>
        </w:rPr>
        <w:t>68</w:t>
      </w:r>
      <w:r>
        <w:rPr>
          <w:sz w:val="18"/>
          <w:u w:val="none"/>
          <w:vertAlign w:val="baseline"/>
        </w:rPr>
        <w:t> Weinhardt, Lance S., Linda M. Wesp, Hui Xie, Jennifer (Jen) Murray, Jeanette Martín, Sarah DeGeorge, Caleb B. Weinhardt, Maren</w:t>
      </w:r>
      <w:r>
        <w:rPr>
          <w:spacing w:val="-3"/>
          <w:sz w:val="18"/>
          <w:u w:val="none"/>
          <w:vertAlign w:val="baseline"/>
        </w:rPr>
        <w:t> </w:t>
      </w:r>
      <w:r>
        <w:rPr>
          <w:sz w:val="18"/>
          <w:u w:val="none"/>
          <w:vertAlign w:val="baseline"/>
        </w:rPr>
        <w:t>Hawkins,</w:t>
      </w:r>
      <w:r>
        <w:rPr>
          <w:spacing w:val="-3"/>
          <w:sz w:val="18"/>
          <w:u w:val="none"/>
          <w:vertAlign w:val="baseline"/>
        </w:rPr>
        <w:t> </w:t>
      </w:r>
      <w:r>
        <w:rPr>
          <w:sz w:val="18"/>
          <w:u w:val="none"/>
          <w:vertAlign w:val="baseline"/>
        </w:rPr>
        <w:t>and</w:t>
      </w:r>
      <w:r>
        <w:rPr>
          <w:spacing w:val="-3"/>
          <w:sz w:val="18"/>
          <w:u w:val="none"/>
          <w:vertAlign w:val="baseline"/>
        </w:rPr>
        <w:t> </w:t>
      </w:r>
      <w:r>
        <w:rPr>
          <w:sz w:val="18"/>
          <w:u w:val="none"/>
          <w:vertAlign w:val="baseline"/>
        </w:rPr>
        <w:t>Patricia</w:t>
      </w:r>
      <w:r>
        <w:rPr>
          <w:spacing w:val="-3"/>
          <w:sz w:val="18"/>
          <w:u w:val="none"/>
          <w:vertAlign w:val="baseline"/>
        </w:rPr>
        <w:t> </w:t>
      </w:r>
      <w:r>
        <w:rPr>
          <w:sz w:val="18"/>
          <w:u w:val="none"/>
          <w:vertAlign w:val="baseline"/>
        </w:rPr>
        <w:t>Stevens.</w:t>
      </w:r>
      <w:r>
        <w:rPr>
          <w:spacing w:val="-3"/>
          <w:sz w:val="18"/>
          <w:u w:val="none"/>
          <w:vertAlign w:val="baseline"/>
        </w:rPr>
        <w:t> </w:t>
      </w:r>
      <w:r>
        <w:rPr>
          <w:sz w:val="18"/>
          <w:u w:val="none"/>
          <w:vertAlign w:val="baseline"/>
        </w:rPr>
        <w:t>“Pride</w:t>
      </w:r>
      <w:r>
        <w:rPr>
          <w:spacing w:val="-3"/>
          <w:sz w:val="18"/>
          <w:u w:val="none"/>
          <w:vertAlign w:val="baseline"/>
        </w:rPr>
        <w:t> </w:t>
      </w:r>
      <w:r>
        <w:rPr>
          <w:sz w:val="18"/>
          <w:u w:val="none"/>
          <w:vertAlign w:val="baseline"/>
        </w:rPr>
        <w:t>Camp:</w:t>
      </w:r>
      <w:r>
        <w:rPr>
          <w:spacing w:val="-3"/>
          <w:sz w:val="18"/>
          <w:u w:val="none"/>
          <w:vertAlign w:val="baseline"/>
        </w:rPr>
        <w:t> </w:t>
      </w:r>
      <w:r>
        <w:rPr>
          <w:sz w:val="18"/>
          <w:u w:val="none"/>
          <w:vertAlign w:val="baseline"/>
        </w:rPr>
        <w:t>Pilot</w:t>
      </w:r>
      <w:r>
        <w:rPr>
          <w:spacing w:val="-3"/>
          <w:sz w:val="18"/>
          <w:u w:val="none"/>
          <w:vertAlign w:val="baseline"/>
        </w:rPr>
        <w:t> </w:t>
      </w:r>
      <w:r>
        <w:rPr>
          <w:sz w:val="18"/>
          <w:u w:val="none"/>
          <w:vertAlign w:val="baseline"/>
        </w:rPr>
        <w:t>Study</w:t>
      </w:r>
      <w:r>
        <w:rPr>
          <w:spacing w:val="-3"/>
          <w:sz w:val="18"/>
          <w:u w:val="none"/>
          <w:vertAlign w:val="baseline"/>
        </w:rPr>
        <w:t> </w:t>
      </w:r>
      <w:r>
        <w:rPr>
          <w:sz w:val="18"/>
          <w:u w:val="none"/>
          <w:vertAlign w:val="baseline"/>
        </w:rPr>
        <w:t>of</w:t>
      </w:r>
      <w:r>
        <w:rPr>
          <w:spacing w:val="-3"/>
          <w:sz w:val="18"/>
          <w:u w:val="none"/>
          <w:vertAlign w:val="baseline"/>
        </w:rPr>
        <w:t> </w:t>
      </w:r>
      <w:r>
        <w:rPr>
          <w:sz w:val="18"/>
          <w:u w:val="none"/>
          <w:vertAlign w:val="baseline"/>
        </w:rPr>
        <w:t>an</w:t>
      </w:r>
      <w:r>
        <w:rPr>
          <w:spacing w:val="-3"/>
          <w:sz w:val="18"/>
          <w:u w:val="none"/>
          <w:vertAlign w:val="baseline"/>
        </w:rPr>
        <w:t> </w:t>
      </w:r>
      <w:r>
        <w:rPr>
          <w:sz w:val="18"/>
          <w:u w:val="none"/>
          <w:vertAlign w:val="baseline"/>
        </w:rPr>
        <w:t>Intervention</w:t>
      </w:r>
      <w:r>
        <w:rPr>
          <w:spacing w:val="-3"/>
          <w:sz w:val="18"/>
          <w:u w:val="none"/>
          <w:vertAlign w:val="baseline"/>
        </w:rPr>
        <w:t> </w:t>
      </w:r>
      <w:r>
        <w:rPr>
          <w:sz w:val="18"/>
          <w:u w:val="none"/>
          <w:vertAlign w:val="baseline"/>
        </w:rPr>
        <w:t>to</w:t>
      </w:r>
      <w:r>
        <w:rPr>
          <w:spacing w:val="-3"/>
          <w:sz w:val="18"/>
          <w:u w:val="none"/>
          <w:vertAlign w:val="baseline"/>
        </w:rPr>
        <w:t> </w:t>
      </w:r>
      <w:r>
        <w:rPr>
          <w:sz w:val="18"/>
          <w:u w:val="none"/>
          <w:vertAlign w:val="baseline"/>
        </w:rPr>
        <w:t>Develop</w:t>
      </w:r>
      <w:r>
        <w:rPr>
          <w:spacing w:val="-3"/>
          <w:sz w:val="18"/>
          <w:u w:val="none"/>
          <w:vertAlign w:val="baseline"/>
        </w:rPr>
        <w:t> </w:t>
      </w:r>
      <w:r>
        <w:rPr>
          <w:sz w:val="18"/>
          <w:u w:val="none"/>
          <w:vertAlign w:val="baseline"/>
        </w:rPr>
        <w:t>Resilience</w:t>
      </w:r>
      <w:r>
        <w:rPr>
          <w:spacing w:val="-3"/>
          <w:sz w:val="18"/>
          <w:u w:val="none"/>
          <w:vertAlign w:val="baseline"/>
        </w:rPr>
        <w:t> </w:t>
      </w:r>
      <w:r>
        <w:rPr>
          <w:sz w:val="18"/>
          <w:u w:val="none"/>
          <w:vertAlign w:val="baseline"/>
        </w:rPr>
        <w:t>and</w:t>
      </w:r>
      <w:r>
        <w:rPr>
          <w:spacing w:val="-3"/>
          <w:sz w:val="18"/>
          <w:u w:val="none"/>
          <w:vertAlign w:val="baseline"/>
        </w:rPr>
        <w:t> </w:t>
      </w:r>
      <w:r>
        <w:rPr>
          <w:sz w:val="18"/>
          <w:u w:val="none"/>
          <w:vertAlign w:val="baseline"/>
        </w:rPr>
        <w:t>Self-Esteem</w:t>
      </w:r>
      <w:r>
        <w:rPr>
          <w:spacing w:val="-3"/>
          <w:sz w:val="18"/>
          <w:u w:val="none"/>
          <w:vertAlign w:val="baseline"/>
        </w:rPr>
        <w:t> </w:t>
      </w:r>
      <w:r>
        <w:rPr>
          <w:sz w:val="18"/>
          <w:u w:val="none"/>
          <w:vertAlign w:val="baseline"/>
        </w:rPr>
        <w:t>among LGBTQ Youth.” </w:t>
      </w:r>
      <w:r>
        <w:rPr>
          <w:i/>
          <w:sz w:val="18"/>
          <w:u w:val="none"/>
          <w:vertAlign w:val="baseline"/>
        </w:rPr>
        <w:t>International Journal for Equity in Health </w:t>
      </w:r>
      <w:r>
        <w:rPr>
          <w:sz w:val="18"/>
          <w:u w:val="none"/>
          <w:vertAlign w:val="baseline"/>
        </w:rPr>
        <w:t>20, no. 1 (June 29, 2021): 150. </w:t>
      </w:r>
      <w:hyperlink r:id="rId249">
        <w:r>
          <w:rPr>
            <w:color w:val="1153CC"/>
            <w:sz w:val="18"/>
            <w:u w:val="single" w:color="1153CC"/>
            <w:vertAlign w:val="baseline"/>
          </w:rPr>
          <w:t>https://doi.org/10.1186/s12939-021-</w:t>
        </w:r>
      </w:hyperlink>
    </w:p>
    <w:p>
      <w:pPr>
        <w:spacing w:before="0"/>
        <w:ind w:left="463" w:right="254" w:hanging="1"/>
        <w:jc w:val="left"/>
        <w:rPr>
          <w:sz w:val="18"/>
        </w:rPr>
      </w:pPr>
      <w:r>
        <w:rPr>
          <w:sz w:val="18"/>
          <w:vertAlign w:val="superscript"/>
        </w:rPr>
        <w:t>69</w:t>
      </w:r>
      <w:r>
        <w:rPr>
          <w:spacing w:val="-13"/>
          <w:sz w:val="18"/>
          <w:vertAlign w:val="baseline"/>
        </w:rPr>
        <w:t> </w:t>
      </w:r>
      <w:r>
        <w:rPr>
          <w:sz w:val="18"/>
          <w:vertAlign w:val="baseline"/>
        </w:rPr>
        <w:t>Craig,</w:t>
      </w:r>
      <w:r>
        <w:rPr>
          <w:spacing w:val="-4"/>
          <w:sz w:val="18"/>
          <w:vertAlign w:val="baseline"/>
        </w:rPr>
        <w:t> </w:t>
      </w:r>
      <w:r>
        <w:rPr>
          <w:sz w:val="18"/>
          <w:vertAlign w:val="baseline"/>
        </w:rPr>
        <w:t>Shelley</w:t>
      </w:r>
      <w:r>
        <w:rPr>
          <w:spacing w:val="-3"/>
          <w:sz w:val="18"/>
          <w:vertAlign w:val="baseline"/>
        </w:rPr>
        <w:t> </w:t>
      </w:r>
      <w:r>
        <w:rPr>
          <w:sz w:val="18"/>
          <w:vertAlign w:val="baseline"/>
        </w:rPr>
        <w:t>L.,</w:t>
      </w:r>
      <w:r>
        <w:rPr>
          <w:spacing w:val="-3"/>
          <w:sz w:val="18"/>
          <w:vertAlign w:val="baseline"/>
        </w:rPr>
        <w:t> </w:t>
      </w:r>
      <w:r>
        <w:rPr>
          <w:sz w:val="18"/>
          <w:vertAlign w:val="baseline"/>
        </w:rPr>
        <w:t>Andrew</w:t>
      </w:r>
      <w:r>
        <w:rPr>
          <w:spacing w:val="-3"/>
          <w:sz w:val="18"/>
          <w:vertAlign w:val="baseline"/>
        </w:rPr>
        <w:t> </w:t>
      </w:r>
      <w:r>
        <w:rPr>
          <w:sz w:val="18"/>
          <w:vertAlign w:val="baseline"/>
        </w:rPr>
        <w:t>D.</w:t>
      </w:r>
      <w:r>
        <w:rPr>
          <w:spacing w:val="-2"/>
          <w:sz w:val="18"/>
          <w:vertAlign w:val="baseline"/>
        </w:rPr>
        <w:t> </w:t>
      </w:r>
      <w:r>
        <w:rPr>
          <w:sz w:val="18"/>
          <w:vertAlign w:val="baseline"/>
        </w:rPr>
        <w:t>Eaton,</w:t>
      </w:r>
      <w:r>
        <w:rPr>
          <w:spacing w:val="-3"/>
          <w:sz w:val="18"/>
          <w:vertAlign w:val="baseline"/>
        </w:rPr>
        <w:t> </w:t>
      </w:r>
      <w:r>
        <w:rPr>
          <w:sz w:val="18"/>
          <w:vertAlign w:val="baseline"/>
        </w:rPr>
        <w:t>Alexa</w:t>
      </w:r>
      <w:r>
        <w:rPr>
          <w:spacing w:val="-2"/>
          <w:sz w:val="18"/>
          <w:vertAlign w:val="baseline"/>
        </w:rPr>
        <w:t> </w:t>
      </w:r>
      <w:r>
        <w:rPr>
          <w:sz w:val="18"/>
          <w:vertAlign w:val="baseline"/>
        </w:rPr>
        <w:t>Kirkland,</w:t>
      </w:r>
      <w:r>
        <w:rPr>
          <w:spacing w:val="-3"/>
          <w:sz w:val="18"/>
          <w:vertAlign w:val="baseline"/>
        </w:rPr>
        <w:t> </w:t>
      </w:r>
      <w:r>
        <w:rPr>
          <w:sz w:val="18"/>
          <w:vertAlign w:val="baseline"/>
        </w:rPr>
        <w:t>Egag</w:t>
      </w:r>
      <w:r>
        <w:rPr>
          <w:spacing w:val="-2"/>
          <w:sz w:val="18"/>
          <w:vertAlign w:val="baseline"/>
        </w:rPr>
        <w:t> </w:t>
      </w:r>
      <w:r>
        <w:rPr>
          <w:sz w:val="18"/>
          <w:vertAlign w:val="baseline"/>
        </w:rPr>
        <w:t>Egag,</w:t>
      </w:r>
      <w:r>
        <w:rPr>
          <w:spacing w:val="-3"/>
          <w:sz w:val="18"/>
          <w:vertAlign w:val="baseline"/>
        </w:rPr>
        <w:t> </w:t>
      </w:r>
      <w:r>
        <w:rPr>
          <w:sz w:val="18"/>
          <w:vertAlign w:val="baseline"/>
        </w:rPr>
        <w:t>Rachael</w:t>
      </w:r>
      <w:r>
        <w:rPr>
          <w:spacing w:val="-3"/>
          <w:sz w:val="18"/>
          <w:vertAlign w:val="baseline"/>
        </w:rPr>
        <w:t> </w:t>
      </w:r>
      <w:r>
        <w:rPr>
          <w:sz w:val="18"/>
          <w:vertAlign w:val="baseline"/>
        </w:rPr>
        <w:t>Pascoe,</w:t>
      </w:r>
      <w:r>
        <w:rPr>
          <w:spacing w:val="-3"/>
          <w:sz w:val="18"/>
          <w:vertAlign w:val="baseline"/>
        </w:rPr>
        <w:t> </w:t>
      </w:r>
      <w:r>
        <w:rPr>
          <w:sz w:val="18"/>
          <w:vertAlign w:val="baseline"/>
        </w:rPr>
        <w:t>Kourteney</w:t>
      </w:r>
      <w:r>
        <w:rPr>
          <w:spacing w:val="-2"/>
          <w:sz w:val="18"/>
          <w:vertAlign w:val="baseline"/>
        </w:rPr>
        <w:t> </w:t>
      </w:r>
      <w:r>
        <w:rPr>
          <w:sz w:val="18"/>
          <w:vertAlign w:val="baseline"/>
        </w:rPr>
        <w:t>King,</w:t>
      </w:r>
      <w:r>
        <w:rPr>
          <w:spacing w:val="-3"/>
          <w:sz w:val="18"/>
          <w:vertAlign w:val="baseline"/>
        </w:rPr>
        <w:t> </w:t>
      </w:r>
      <w:r>
        <w:rPr>
          <w:sz w:val="18"/>
          <w:vertAlign w:val="baseline"/>
        </w:rPr>
        <w:t>and</w:t>
      </w:r>
      <w:r>
        <w:rPr>
          <w:spacing w:val="-2"/>
          <w:sz w:val="18"/>
          <w:vertAlign w:val="baseline"/>
        </w:rPr>
        <w:t> </w:t>
      </w:r>
      <w:r>
        <w:rPr>
          <w:sz w:val="18"/>
          <w:vertAlign w:val="baseline"/>
        </w:rPr>
        <w:t>Sreedevi</w:t>
      </w:r>
      <w:r>
        <w:rPr>
          <w:spacing w:val="-3"/>
          <w:sz w:val="18"/>
          <w:vertAlign w:val="baseline"/>
        </w:rPr>
        <w:t> </w:t>
      </w:r>
      <w:r>
        <w:rPr>
          <w:sz w:val="18"/>
          <w:vertAlign w:val="baseline"/>
        </w:rPr>
        <w:t>Krishnan.</w:t>
      </w:r>
      <w:r>
        <w:rPr>
          <w:spacing w:val="-2"/>
          <w:sz w:val="18"/>
          <w:vertAlign w:val="baseline"/>
        </w:rPr>
        <w:t> </w:t>
      </w:r>
      <w:r>
        <w:rPr>
          <w:sz w:val="18"/>
          <w:vertAlign w:val="baseline"/>
        </w:rPr>
        <w:t>“Towards an Integrative Self: A Digital Photo Elicitation Study of Resilience among Key Marginalized Populations of Sexual and Gender Minority Youth.” International Journal of Qualitative Studies on Health and Well-Being 16, no. 1 (January 1, 2021): 1961572. </w:t>
      </w:r>
      <w:bookmarkStart w:name="_bookmark168" w:id="324"/>
      <w:bookmarkEnd w:id="324"/>
      <w:r>
        <w:rPr>
          <w:spacing w:val="-1"/>
          <w:sz w:val="18"/>
          <w:vertAlign w:val="baseline"/>
        </w:rPr>
      </w:r>
      <w:hyperlink r:id="rId250">
        <w:r>
          <w:rPr>
            <w:color w:val="1153CC"/>
            <w:spacing w:val="-2"/>
            <w:sz w:val="18"/>
            <w:u w:val="single" w:color="1153CC"/>
            <w:vertAlign w:val="baseline"/>
          </w:rPr>
          <w:t>https://doi.org/10.1080/17482631.2021.1961572</w:t>
        </w:r>
      </w:hyperlink>
      <w:hyperlink r:id="rId250">
        <w:r>
          <w:rPr>
            <w:spacing w:val="-2"/>
            <w:sz w:val="18"/>
            <w:u w:val="none"/>
            <w:vertAlign w:val="baseline"/>
          </w:rPr>
          <w:t>.</w:t>
        </w:r>
      </w:hyperlink>
    </w:p>
    <w:p>
      <w:pPr>
        <w:spacing w:before="0"/>
        <w:ind w:left="463" w:right="279" w:hanging="1"/>
        <w:jc w:val="left"/>
        <w:rPr>
          <w:sz w:val="18"/>
        </w:rPr>
      </w:pPr>
      <w:r>
        <w:rPr>
          <w:sz w:val="18"/>
          <w:vertAlign w:val="superscript"/>
        </w:rPr>
        <w:t>70</w:t>
      </w:r>
      <w:r>
        <w:rPr>
          <w:spacing w:val="-13"/>
          <w:sz w:val="18"/>
          <w:vertAlign w:val="baseline"/>
        </w:rPr>
        <w:t> </w:t>
      </w:r>
      <w:r>
        <w:rPr>
          <w:sz w:val="18"/>
          <w:vertAlign w:val="baseline"/>
        </w:rPr>
        <w:t>ReScripted:</w:t>
      </w:r>
      <w:r>
        <w:rPr>
          <w:spacing w:val="-3"/>
          <w:sz w:val="18"/>
          <w:vertAlign w:val="baseline"/>
        </w:rPr>
        <w:t> </w:t>
      </w:r>
      <w:r>
        <w:rPr>
          <w:sz w:val="18"/>
          <w:vertAlign w:val="baseline"/>
        </w:rPr>
        <w:t>A</w:t>
      </w:r>
      <w:r>
        <w:rPr>
          <w:spacing w:val="-3"/>
          <w:sz w:val="18"/>
          <w:vertAlign w:val="baseline"/>
        </w:rPr>
        <w:t> </w:t>
      </w:r>
      <w:r>
        <w:rPr>
          <w:sz w:val="18"/>
          <w:vertAlign w:val="baseline"/>
        </w:rPr>
        <w:t>Program</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3"/>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Trauma</w:t>
      </w:r>
      <w:r>
        <w:rPr>
          <w:spacing w:val="-2"/>
          <w:sz w:val="18"/>
          <w:vertAlign w:val="baseline"/>
        </w:rPr>
        <w:t> </w:t>
      </w:r>
      <w:r>
        <w:rPr>
          <w:sz w:val="18"/>
          <w:vertAlign w:val="baseline"/>
        </w:rPr>
        <w:t>&amp;</w:t>
      </w:r>
      <w:r>
        <w:rPr>
          <w:spacing w:val="-3"/>
          <w:sz w:val="18"/>
          <w:vertAlign w:val="baseline"/>
        </w:rPr>
        <w:t> </w:t>
      </w:r>
      <w:r>
        <w:rPr>
          <w:sz w:val="18"/>
          <w:vertAlign w:val="baseline"/>
        </w:rPr>
        <w:t>Embodiment</w:t>
      </w:r>
      <w:r>
        <w:rPr>
          <w:spacing w:val="-3"/>
          <w:sz w:val="18"/>
          <w:vertAlign w:val="baseline"/>
        </w:rPr>
        <w:t> </w:t>
      </w:r>
      <w:r>
        <w:rPr>
          <w:sz w:val="18"/>
          <w:vertAlign w:val="baseline"/>
        </w:rPr>
        <w:t>at</w:t>
      </w:r>
      <w:r>
        <w:rPr>
          <w:spacing w:val="-3"/>
          <w:sz w:val="18"/>
          <w:vertAlign w:val="baseline"/>
        </w:rPr>
        <w:t> </w:t>
      </w:r>
      <w:r>
        <w:rPr>
          <w:sz w:val="18"/>
          <w:vertAlign w:val="baseline"/>
        </w:rPr>
        <w:t>JRI.</w:t>
      </w:r>
      <w:r>
        <w:rPr>
          <w:spacing w:val="-2"/>
          <w:sz w:val="18"/>
          <w:vertAlign w:val="baseline"/>
        </w:rPr>
        <w:t> </w:t>
      </w:r>
      <w:r>
        <w:rPr>
          <w:sz w:val="18"/>
          <w:vertAlign w:val="baseline"/>
        </w:rPr>
        <w:t>“ReScripted:</w:t>
      </w:r>
      <w:r>
        <w:rPr>
          <w:spacing w:val="-2"/>
          <w:sz w:val="18"/>
          <w:vertAlign w:val="baseline"/>
        </w:rPr>
        <w:t> </w:t>
      </w:r>
      <w:r>
        <w:rPr>
          <w:sz w:val="18"/>
          <w:vertAlign w:val="baseline"/>
        </w:rPr>
        <w:t>Act.</w:t>
      </w:r>
      <w:r>
        <w:rPr>
          <w:spacing w:val="-2"/>
          <w:sz w:val="18"/>
          <w:vertAlign w:val="baseline"/>
        </w:rPr>
        <w:t> </w:t>
      </w:r>
      <w:r>
        <w:rPr>
          <w:sz w:val="18"/>
          <w:vertAlign w:val="baseline"/>
        </w:rPr>
        <w:t>Embody.</w:t>
      </w:r>
      <w:r>
        <w:rPr>
          <w:spacing w:val="-2"/>
          <w:sz w:val="18"/>
          <w:vertAlign w:val="baseline"/>
        </w:rPr>
        <w:t> </w:t>
      </w:r>
      <w:r>
        <w:rPr>
          <w:sz w:val="18"/>
          <w:vertAlign w:val="baseline"/>
        </w:rPr>
        <w:t>Empower.”</w:t>
      </w:r>
      <w:r>
        <w:rPr>
          <w:spacing w:val="-3"/>
          <w:sz w:val="18"/>
          <w:vertAlign w:val="baseline"/>
        </w:rPr>
        <w:t> </w:t>
      </w:r>
      <w:r>
        <w:rPr>
          <w:sz w:val="18"/>
          <w:vertAlign w:val="baseline"/>
        </w:rPr>
        <w:t>Accessed</w:t>
      </w:r>
      <w:r>
        <w:rPr>
          <w:spacing w:val="-2"/>
          <w:sz w:val="18"/>
          <w:vertAlign w:val="baseline"/>
        </w:rPr>
        <w:t> </w:t>
      </w:r>
      <w:r>
        <w:rPr>
          <w:sz w:val="18"/>
          <w:vertAlign w:val="baseline"/>
        </w:rPr>
        <w:t>January </w:t>
      </w:r>
      <w:bookmarkStart w:name="_bookmark169" w:id="325"/>
      <w:bookmarkEnd w:id="325"/>
      <w:r>
        <w:rPr>
          <w:sz w:val="18"/>
          <w:vertAlign w:val="baseline"/>
        </w:rPr>
        <w:t>16,</w:t>
      </w:r>
      <w:r>
        <w:rPr>
          <w:sz w:val="18"/>
          <w:vertAlign w:val="baseline"/>
        </w:rPr>
        <w:t> 2023. </w:t>
      </w:r>
      <w:hyperlink r:id="rId251">
        <w:r>
          <w:rPr>
            <w:color w:val="1153CC"/>
            <w:sz w:val="18"/>
            <w:u w:val="single" w:color="1153CC"/>
            <w:vertAlign w:val="baseline"/>
          </w:rPr>
          <w:t>https://www.rescriptedjri.org</w:t>
        </w:r>
      </w:hyperlink>
      <w:hyperlink r:id="rId251">
        <w:r>
          <w:rPr>
            <w:sz w:val="18"/>
            <w:u w:val="none"/>
            <w:vertAlign w:val="baseline"/>
          </w:rPr>
          <w:t>.</w:t>
        </w:r>
      </w:hyperlink>
    </w:p>
    <w:p>
      <w:pPr>
        <w:spacing w:before="0"/>
        <w:ind w:left="463" w:right="314" w:hanging="1"/>
        <w:jc w:val="left"/>
        <w:rPr>
          <w:sz w:val="18"/>
        </w:rPr>
      </w:pPr>
      <w:r>
        <w:rPr>
          <w:sz w:val="18"/>
          <w:vertAlign w:val="superscript"/>
        </w:rPr>
        <w:t>71</w:t>
      </w:r>
      <w:r>
        <w:rPr>
          <w:spacing w:val="-13"/>
          <w:sz w:val="18"/>
          <w:vertAlign w:val="baseline"/>
        </w:rPr>
        <w:t> </w:t>
      </w:r>
      <w:r>
        <w:rPr>
          <w:sz w:val="18"/>
          <w:vertAlign w:val="baseline"/>
        </w:rPr>
        <w:t>Zaccari,</w:t>
      </w:r>
      <w:r>
        <w:rPr>
          <w:spacing w:val="-4"/>
          <w:sz w:val="18"/>
          <w:vertAlign w:val="baseline"/>
        </w:rPr>
        <w:t> </w:t>
      </w:r>
      <w:r>
        <w:rPr>
          <w:sz w:val="18"/>
          <w:vertAlign w:val="baseline"/>
        </w:rPr>
        <w:t>Belle,</w:t>
      </w:r>
      <w:r>
        <w:rPr>
          <w:spacing w:val="-2"/>
          <w:sz w:val="18"/>
          <w:vertAlign w:val="baseline"/>
        </w:rPr>
        <w:t> </w:t>
      </w:r>
      <w:r>
        <w:rPr>
          <w:sz w:val="18"/>
          <w:vertAlign w:val="baseline"/>
        </w:rPr>
        <w:t>Athena</w:t>
      </w:r>
      <w:r>
        <w:rPr>
          <w:spacing w:val="-2"/>
          <w:sz w:val="18"/>
          <w:vertAlign w:val="baseline"/>
        </w:rPr>
        <w:t> </w:t>
      </w:r>
      <w:r>
        <w:rPr>
          <w:sz w:val="18"/>
          <w:vertAlign w:val="baseline"/>
        </w:rPr>
        <w:t>D.</w:t>
      </w:r>
      <w:r>
        <w:rPr>
          <w:spacing w:val="-2"/>
          <w:sz w:val="18"/>
          <w:vertAlign w:val="baseline"/>
        </w:rPr>
        <w:t> </w:t>
      </w:r>
      <w:r>
        <w:rPr>
          <w:sz w:val="18"/>
          <w:vertAlign w:val="baseline"/>
        </w:rPr>
        <w:t>F.</w:t>
      </w:r>
      <w:r>
        <w:rPr>
          <w:spacing w:val="-2"/>
          <w:sz w:val="18"/>
          <w:vertAlign w:val="baseline"/>
        </w:rPr>
        <w:t> </w:t>
      </w:r>
      <w:r>
        <w:rPr>
          <w:sz w:val="18"/>
          <w:vertAlign w:val="baseline"/>
        </w:rPr>
        <w:t>Sherman,</w:t>
      </w:r>
      <w:r>
        <w:rPr>
          <w:spacing w:val="-3"/>
          <w:sz w:val="18"/>
          <w:vertAlign w:val="baseline"/>
        </w:rPr>
        <w:t> </w:t>
      </w:r>
      <w:r>
        <w:rPr>
          <w:sz w:val="18"/>
          <w:vertAlign w:val="baseline"/>
        </w:rPr>
        <w:t>Sarah</w:t>
      </w:r>
      <w:r>
        <w:rPr>
          <w:spacing w:val="-2"/>
          <w:sz w:val="18"/>
          <w:vertAlign w:val="baseline"/>
        </w:rPr>
        <w:t> </w:t>
      </w:r>
      <w:r>
        <w:rPr>
          <w:sz w:val="18"/>
          <w:vertAlign w:val="baseline"/>
        </w:rPr>
        <w:t>Febres-Cordero,</w:t>
      </w:r>
      <w:r>
        <w:rPr>
          <w:spacing w:val="-3"/>
          <w:sz w:val="18"/>
          <w:vertAlign w:val="baseline"/>
        </w:rPr>
        <w:t> </w:t>
      </w:r>
      <w:r>
        <w:rPr>
          <w:sz w:val="18"/>
          <w:vertAlign w:val="baseline"/>
        </w:rPr>
        <w:t>Melinda</w:t>
      </w:r>
      <w:r>
        <w:rPr>
          <w:spacing w:val="-2"/>
          <w:sz w:val="18"/>
          <w:vertAlign w:val="baseline"/>
        </w:rPr>
        <w:t> </w:t>
      </w:r>
      <w:r>
        <w:rPr>
          <w:sz w:val="18"/>
          <w:vertAlign w:val="baseline"/>
        </w:rPr>
        <w:t>Higgins,</w:t>
      </w:r>
      <w:r>
        <w:rPr>
          <w:spacing w:val="-3"/>
          <w:sz w:val="18"/>
          <w:vertAlign w:val="baseline"/>
        </w:rPr>
        <w:t> </w:t>
      </w:r>
      <w:r>
        <w:rPr>
          <w:sz w:val="18"/>
          <w:vertAlign w:val="baseline"/>
        </w:rPr>
        <w:t>and</w:t>
      </w:r>
      <w:r>
        <w:rPr>
          <w:spacing w:val="-2"/>
          <w:sz w:val="18"/>
          <w:vertAlign w:val="baseline"/>
        </w:rPr>
        <w:t> </w:t>
      </w:r>
      <w:r>
        <w:rPr>
          <w:sz w:val="18"/>
          <w:vertAlign w:val="baseline"/>
        </w:rPr>
        <w:t>Ursula</w:t>
      </w:r>
      <w:r>
        <w:rPr>
          <w:spacing w:val="-2"/>
          <w:sz w:val="18"/>
          <w:vertAlign w:val="baseline"/>
        </w:rPr>
        <w:t> </w:t>
      </w:r>
      <w:r>
        <w:rPr>
          <w:sz w:val="18"/>
          <w:vertAlign w:val="baseline"/>
        </w:rPr>
        <w:t>Kelly.</w:t>
      </w:r>
      <w:r>
        <w:rPr>
          <w:spacing w:val="-2"/>
          <w:sz w:val="18"/>
          <w:vertAlign w:val="baseline"/>
        </w:rPr>
        <w:t> </w:t>
      </w:r>
      <w:r>
        <w:rPr>
          <w:sz w:val="18"/>
          <w:vertAlign w:val="baseline"/>
        </w:rPr>
        <w:t>“Findings</w:t>
      </w:r>
      <w:r>
        <w:rPr>
          <w:spacing w:val="-2"/>
          <w:sz w:val="18"/>
          <w:vertAlign w:val="baseline"/>
        </w:rPr>
        <w:t> </w:t>
      </w:r>
      <w:r>
        <w:rPr>
          <w:sz w:val="18"/>
          <w:vertAlign w:val="baseline"/>
        </w:rPr>
        <w:t>from</w:t>
      </w:r>
      <w:r>
        <w:rPr>
          <w:spacing w:val="-2"/>
          <w:sz w:val="18"/>
          <w:vertAlign w:val="baseline"/>
        </w:rPr>
        <w:t> </w:t>
      </w:r>
      <w:r>
        <w:rPr>
          <w:sz w:val="18"/>
          <w:vertAlign w:val="baseline"/>
        </w:rPr>
        <w:t>a</w:t>
      </w:r>
      <w:r>
        <w:rPr>
          <w:spacing w:val="-3"/>
          <w:sz w:val="18"/>
          <w:vertAlign w:val="baseline"/>
        </w:rPr>
        <w:t> </w:t>
      </w:r>
      <w:r>
        <w:rPr>
          <w:sz w:val="18"/>
          <w:vertAlign w:val="baseline"/>
        </w:rPr>
        <w:t>Pilot</w:t>
      </w:r>
      <w:r>
        <w:rPr>
          <w:spacing w:val="-3"/>
          <w:sz w:val="18"/>
          <w:vertAlign w:val="baseline"/>
        </w:rPr>
        <w:t> </w:t>
      </w:r>
      <w:r>
        <w:rPr>
          <w:sz w:val="18"/>
          <w:vertAlign w:val="baseline"/>
        </w:rPr>
        <w:t>Study</w:t>
      </w:r>
      <w:r>
        <w:rPr>
          <w:spacing w:val="-2"/>
          <w:sz w:val="18"/>
          <w:vertAlign w:val="baseline"/>
        </w:rPr>
        <w:t> </w:t>
      </w:r>
      <w:r>
        <w:rPr>
          <w:sz w:val="18"/>
          <w:vertAlign w:val="baseline"/>
        </w:rPr>
        <w:t>of Trauma Center Trauma-Sensitive Yoga versus Cognitive Processing Therapy for PTSD Related to Military Sexual Trauma among Women Veterans.” </w:t>
      </w:r>
      <w:r>
        <w:rPr>
          <w:i/>
          <w:sz w:val="18"/>
          <w:vertAlign w:val="baseline"/>
        </w:rPr>
        <w:t>Complementary Therapies in Medicine </w:t>
      </w:r>
      <w:r>
        <w:rPr>
          <w:sz w:val="18"/>
          <w:vertAlign w:val="baseline"/>
        </w:rPr>
        <w:t>70 (November 1, 2022): 102850. </w:t>
      </w:r>
      <w:hyperlink r:id="rId252">
        <w:r>
          <w:rPr>
            <w:color w:val="1153CC"/>
            <w:spacing w:val="-2"/>
            <w:sz w:val="18"/>
            <w:u w:val="single" w:color="1153CC"/>
            <w:vertAlign w:val="baseline"/>
          </w:rPr>
          <w:t>https://doi.org/10.1016/j.ctim.2022.102850</w:t>
        </w:r>
      </w:hyperlink>
      <w:hyperlink r:id="rId252">
        <w:r>
          <w:rPr>
            <w:spacing w:val="-2"/>
            <w:sz w:val="18"/>
            <w:u w:val="none"/>
            <w:vertAlign w:val="baseline"/>
          </w:rPr>
          <w:t>.</w:t>
        </w:r>
      </w:hyperlink>
    </w:p>
    <w:p>
      <w:pPr>
        <w:spacing w:before="0"/>
        <w:ind w:left="463" w:right="314" w:hanging="1"/>
        <w:jc w:val="left"/>
        <w:rPr>
          <w:sz w:val="18"/>
        </w:rPr>
      </w:pPr>
      <w:r>
        <w:rPr>
          <w:sz w:val="18"/>
          <w:vertAlign w:val="superscript"/>
        </w:rPr>
        <w:t>72</w:t>
      </w:r>
      <w:r>
        <w:rPr>
          <w:spacing w:val="-13"/>
          <w:sz w:val="18"/>
          <w:vertAlign w:val="baseline"/>
        </w:rPr>
        <w:t> </w:t>
      </w:r>
      <w:r>
        <w:rPr>
          <w:sz w:val="18"/>
          <w:vertAlign w:val="baseline"/>
        </w:rPr>
        <w:t>Trauma</w:t>
      </w:r>
      <w:r>
        <w:rPr>
          <w:spacing w:val="-4"/>
          <w:sz w:val="18"/>
          <w:vertAlign w:val="baseline"/>
        </w:rPr>
        <w:t> </w:t>
      </w:r>
      <w:r>
        <w:rPr>
          <w:sz w:val="18"/>
          <w:vertAlign w:val="baseline"/>
        </w:rPr>
        <w:t>Informed</w:t>
      </w:r>
      <w:r>
        <w:rPr>
          <w:spacing w:val="-2"/>
          <w:sz w:val="18"/>
          <w:vertAlign w:val="baseline"/>
        </w:rPr>
        <w:t> </w:t>
      </w:r>
      <w:r>
        <w:rPr>
          <w:sz w:val="18"/>
          <w:vertAlign w:val="baseline"/>
        </w:rPr>
        <w:t>Weight</w:t>
      </w:r>
      <w:r>
        <w:rPr>
          <w:spacing w:val="-3"/>
          <w:sz w:val="18"/>
          <w:vertAlign w:val="baseline"/>
        </w:rPr>
        <w:t> </w:t>
      </w:r>
      <w:r>
        <w:rPr>
          <w:sz w:val="18"/>
          <w:vertAlign w:val="baseline"/>
        </w:rPr>
        <w:t>Lifting:</w:t>
      </w:r>
      <w:r>
        <w:rPr>
          <w:spacing w:val="-2"/>
          <w:sz w:val="18"/>
          <w:vertAlign w:val="baseline"/>
        </w:rPr>
        <w:t> </w:t>
      </w:r>
      <w:r>
        <w:rPr>
          <w:sz w:val="18"/>
          <w:vertAlign w:val="baseline"/>
        </w:rPr>
        <w:t>A</w:t>
      </w:r>
      <w:r>
        <w:rPr>
          <w:spacing w:val="-2"/>
          <w:sz w:val="18"/>
          <w:vertAlign w:val="baseline"/>
        </w:rPr>
        <w:t> </w:t>
      </w:r>
      <w:r>
        <w:rPr>
          <w:sz w:val="18"/>
          <w:vertAlign w:val="baseline"/>
        </w:rPr>
        <w:t>Project</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Trauma</w:t>
      </w:r>
      <w:r>
        <w:rPr>
          <w:spacing w:val="-2"/>
          <w:sz w:val="18"/>
          <w:vertAlign w:val="baseline"/>
        </w:rPr>
        <w:t> </w:t>
      </w:r>
      <w:r>
        <w:rPr>
          <w:sz w:val="18"/>
          <w:vertAlign w:val="baseline"/>
        </w:rPr>
        <w:t>&amp;</w:t>
      </w:r>
      <w:r>
        <w:rPr>
          <w:spacing w:val="-3"/>
          <w:sz w:val="18"/>
          <w:vertAlign w:val="baseline"/>
        </w:rPr>
        <w:t> </w:t>
      </w:r>
      <w:r>
        <w:rPr>
          <w:sz w:val="18"/>
          <w:vertAlign w:val="baseline"/>
        </w:rPr>
        <w:t>Embodiment</w:t>
      </w:r>
      <w:r>
        <w:rPr>
          <w:spacing w:val="-3"/>
          <w:sz w:val="18"/>
          <w:vertAlign w:val="baseline"/>
        </w:rPr>
        <w:t> </w:t>
      </w:r>
      <w:r>
        <w:rPr>
          <w:sz w:val="18"/>
          <w:vertAlign w:val="baseline"/>
        </w:rPr>
        <w:t>at</w:t>
      </w:r>
      <w:r>
        <w:rPr>
          <w:spacing w:val="-3"/>
          <w:sz w:val="18"/>
          <w:vertAlign w:val="baseline"/>
        </w:rPr>
        <w:t> </w:t>
      </w:r>
      <w:r>
        <w:rPr>
          <w:sz w:val="18"/>
          <w:vertAlign w:val="baseline"/>
        </w:rPr>
        <w:t>JRI.</w:t>
      </w:r>
      <w:r>
        <w:rPr>
          <w:spacing w:val="-2"/>
          <w:sz w:val="18"/>
          <w:vertAlign w:val="baseline"/>
        </w:rPr>
        <w:t> </w:t>
      </w:r>
      <w:r>
        <w:rPr>
          <w:sz w:val="18"/>
          <w:vertAlign w:val="baseline"/>
        </w:rPr>
        <w:t>“Research.”</w:t>
      </w:r>
      <w:r>
        <w:rPr>
          <w:spacing w:val="-2"/>
          <w:sz w:val="18"/>
          <w:vertAlign w:val="baseline"/>
        </w:rPr>
        <w:t> </w:t>
      </w:r>
      <w:r>
        <w:rPr>
          <w:sz w:val="18"/>
          <w:vertAlign w:val="baseline"/>
        </w:rPr>
        <w:t>Accessed</w:t>
      </w:r>
      <w:r>
        <w:rPr>
          <w:spacing w:val="-2"/>
          <w:sz w:val="18"/>
          <w:vertAlign w:val="baseline"/>
        </w:rPr>
        <w:t> </w:t>
      </w:r>
      <w:r>
        <w:rPr>
          <w:sz w:val="18"/>
          <w:vertAlign w:val="baseline"/>
        </w:rPr>
        <w:t>January</w:t>
      </w:r>
      <w:r>
        <w:rPr>
          <w:spacing w:val="-2"/>
          <w:sz w:val="18"/>
          <w:vertAlign w:val="baseline"/>
        </w:rPr>
        <w:t> </w:t>
      </w:r>
      <w:r>
        <w:rPr>
          <w:sz w:val="18"/>
          <w:vertAlign w:val="baseline"/>
        </w:rPr>
        <w:t>16, 2023. </w:t>
      </w:r>
      <w:hyperlink r:id="rId253">
        <w:r>
          <w:rPr>
            <w:color w:val="1153CC"/>
            <w:sz w:val="18"/>
            <w:u w:val="single" w:color="1153CC"/>
            <w:vertAlign w:val="baseline"/>
          </w:rPr>
          <w:t>https://www.traumainformedweightlifting.com/research</w:t>
        </w:r>
      </w:hyperlink>
      <w:hyperlink r:id="rId253">
        <w:r>
          <w:rPr>
            <w:sz w:val="18"/>
            <w:u w:val="none"/>
            <w:vertAlign w:val="baseline"/>
          </w:rPr>
          <w:t>.</w:t>
        </w:r>
      </w:hyperlink>
    </w:p>
    <w:p>
      <w:pPr>
        <w:spacing w:before="0"/>
        <w:ind w:left="463" w:right="279" w:hanging="1"/>
        <w:jc w:val="left"/>
        <w:rPr>
          <w:sz w:val="18"/>
        </w:rPr>
      </w:pPr>
      <w:bookmarkStart w:name="_bookmark170" w:id="326"/>
      <w:bookmarkEnd w:id="326"/>
      <w:r>
        <w:rPr/>
      </w:r>
      <w:r>
        <w:rPr>
          <w:sz w:val="18"/>
          <w:vertAlign w:val="superscript"/>
        </w:rPr>
        <w:t>73</w:t>
      </w:r>
      <w:r>
        <w:rPr>
          <w:spacing w:val="-13"/>
          <w:sz w:val="18"/>
          <w:vertAlign w:val="baseline"/>
        </w:rPr>
        <w:t> </w:t>
      </w:r>
      <w:r>
        <w:rPr>
          <w:sz w:val="18"/>
          <w:vertAlign w:val="baseline"/>
        </w:rPr>
        <w:t>Wagaman,</w:t>
      </w:r>
      <w:r>
        <w:rPr>
          <w:spacing w:val="-5"/>
          <w:sz w:val="18"/>
          <w:vertAlign w:val="baseline"/>
        </w:rPr>
        <w:t> </w:t>
      </w:r>
      <w:r>
        <w:rPr>
          <w:sz w:val="18"/>
          <w:vertAlign w:val="baseline"/>
        </w:rPr>
        <w:t>M.</w:t>
      </w:r>
      <w:r>
        <w:rPr>
          <w:spacing w:val="-3"/>
          <w:sz w:val="18"/>
          <w:vertAlign w:val="baseline"/>
        </w:rPr>
        <w:t> </w:t>
      </w:r>
      <w:r>
        <w:rPr>
          <w:sz w:val="18"/>
          <w:vertAlign w:val="baseline"/>
        </w:rPr>
        <w:t>Alex.</w:t>
      </w:r>
      <w:r>
        <w:rPr>
          <w:spacing w:val="-3"/>
          <w:sz w:val="18"/>
          <w:vertAlign w:val="baseline"/>
        </w:rPr>
        <w:t> </w:t>
      </w:r>
      <w:r>
        <w:rPr>
          <w:sz w:val="18"/>
          <w:vertAlign w:val="baseline"/>
        </w:rPr>
        <w:t>“Promoting</w:t>
      </w:r>
      <w:r>
        <w:rPr>
          <w:spacing w:val="-3"/>
          <w:sz w:val="18"/>
          <w:vertAlign w:val="baseline"/>
        </w:rPr>
        <w:t> </w:t>
      </w:r>
      <w:r>
        <w:rPr>
          <w:sz w:val="18"/>
          <w:vertAlign w:val="baseline"/>
        </w:rPr>
        <w:t>Empowerment</w:t>
      </w:r>
      <w:r>
        <w:rPr>
          <w:spacing w:val="-5"/>
          <w:sz w:val="18"/>
          <w:vertAlign w:val="baseline"/>
        </w:rPr>
        <w:t> </w:t>
      </w:r>
      <w:r>
        <w:rPr>
          <w:sz w:val="18"/>
          <w:vertAlign w:val="baseline"/>
        </w:rPr>
        <w:t>Among</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A</w:t>
      </w:r>
      <w:r>
        <w:rPr>
          <w:spacing w:val="-3"/>
          <w:sz w:val="18"/>
          <w:vertAlign w:val="baseline"/>
        </w:rPr>
        <w:t> </w:t>
      </w:r>
      <w:r>
        <w:rPr>
          <w:sz w:val="18"/>
          <w:vertAlign w:val="baseline"/>
        </w:rPr>
        <w:t>Social</w:t>
      </w:r>
      <w:r>
        <w:rPr>
          <w:spacing w:val="-4"/>
          <w:sz w:val="18"/>
          <w:vertAlign w:val="baseline"/>
        </w:rPr>
        <w:t> </w:t>
      </w:r>
      <w:r>
        <w:rPr>
          <w:sz w:val="18"/>
          <w:vertAlign w:val="baseline"/>
        </w:rPr>
        <w:t>Justice</w:t>
      </w:r>
      <w:r>
        <w:rPr>
          <w:spacing w:val="-3"/>
          <w:sz w:val="18"/>
          <w:vertAlign w:val="baseline"/>
        </w:rPr>
        <w:t> </w:t>
      </w:r>
      <w:r>
        <w:rPr>
          <w:sz w:val="18"/>
          <w:vertAlign w:val="baseline"/>
        </w:rPr>
        <w:t>Youth</w:t>
      </w:r>
      <w:r>
        <w:rPr>
          <w:spacing w:val="-3"/>
          <w:sz w:val="18"/>
          <w:vertAlign w:val="baseline"/>
        </w:rPr>
        <w:t> </w:t>
      </w:r>
      <w:r>
        <w:rPr>
          <w:sz w:val="18"/>
          <w:vertAlign w:val="baseline"/>
        </w:rPr>
        <w:t>Development</w:t>
      </w:r>
      <w:r>
        <w:rPr>
          <w:spacing w:val="-4"/>
          <w:sz w:val="18"/>
          <w:vertAlign w:val="baseline"/>
        </w:rPr>
        <w:t> </w:t>
      </w:r>
      <w:r>
        <w:rPr>
          <w:sz w:val="18"/>
          <w:vertAlign w:val="baseline"/>
        </w:rPr>
        <w:t>Approach.”</w:t>
      </w:r>
      <w:r>
        <w:rPr>
          <w:spacing w:val="-3"/>
          <w:sz w:val="18"/>
          <w:vertAlign w:val="baseline"/>
        </w:rPr>
        <w:t> </w:t>
      </w:r>
      <w:r>
        <w:rPr>
          <w:i/>
          <w:sz w:val="18"/>
          <w:vertAlign w:val="baseline"/>
        </w:rPr>
        <w:t>Child</w:t>
      </w:r>
      <w:r>
        <w:rPr>
          <w:i/>
          <w:spacing w:val="-4"/>
          <w:sz w:val="18"/>
          <w:vertAlign w:val="baseline"/>
        </w:rPr>
        <w:t> </w:t>
      </w:r>
      <w:r>
        <w:rPr>
          <w:i/>
          <w:sz w:val="18"/>
          <w:vertAlign w:val="baseline"/>
        </w:rPr>
        <w:t>and</w:t>
      </w:r>
      <w:r>
        <w:rPr>
          <w:i/>
          <w:sz w:val="18"/>
          <w:vertAlign w:val="baseline"/>
        </w:rPr>
        <w:t> Adolescent Social Work Journal </w:t>
      </w:r>
      <w:r>
        <w:rPr>
          <w:sz w:val="18"/>
          <w:vertAlign w:val="baseline"/>
        </w:rPr>
        <w:t>33, no. 5 (October 1, 2016): 395–405. </w:t>
      </w:r>
      <w:hyperlink r:id="rId254">
        <w:r>
          <w:rPr>
            <w:color w:val="1153CC"/>
            <w:sz w:val="18"/>
            <w:u w:val="single" w:color="1153CC"/>
            <w:vertAlign w:val="baseline"/>
          </w:rPr>
          <w:t>https://doi.org/10.1007/s10560-016-0435-7</w:t>
        </w:r>
      </w:hyperlink>
      <w:hyperlink r:id="rId254">
        <w:r>
          <w:rPr>
            <w:sz w:val="18"/>
            <w:u w:val="none"/>
            <w:vertAlign w:val="baseline"/>
          </w:rPr>
          <w:t>.</w:t>
        </w:r>
      </w:hyperlink>
    </w:p>
    <w:p>
      <w:pPr>
        <w:spacing w:before="0"/>
        <w:ind w:left="463" w:right="528" w:hanging="1"/>
        <w:jc w:val="left"/>
        <w:rPr>
          <w:sz w:val="18"/>
        </w:rPr>
      </w:pPr>
      <w:bookmarkStart w:name="_bookmark171" w:id="327"/>
      <w:bookmarkEnd w:id="327"/>
      <w:r>
        <w:rPr/>
      </w:r>
      <w:r>
        <w:rPr>
          <w:sz w:val="18"/>
          <w:vertAlign w:val="superscript"/>
        </w:rPr>
        <w:t>74</w:t>
      </w:r>
      <w:r>
        <w:rPr>
          <w:spacing w:val="-13"/>
          <w:sz w:val="18"/>
          <w:vertAlign w:val="baseline"/>
        </w:rPr>
        <w:t> </w:t>
      </w:r>
      <w:r>
        <w:rPr>
          <w:sz w:val="18"/>
          <w:vertAlign w:val="baseline"/>
        </w:rPr>
        <w:t>Matsuno,</w:t>
      </w:r>
      <w:r>
        <w:rPr>
          <w:spacing w:val="-6"/>
          <w:sz w:val="18"/>
          <w:vertAlign w:val="baseline"/>
        </w:rPr>
        <w:t> </w:t>
      </w:r>
      <w:r>
        <w:rPr>
          <w:sz w:val="18"/>
          <w:vertAlign w:val="baseline"/>
        </w:rPr>
        <w:t>Emmie,</w:t>
      </w:r>
      <w:r>
        <w:rPr>
          <w:spacing w:val="-4"/>
          <w:sz w:val="18"/>
          <w:vertAlign w:val="baseline"/>
        </w:rPr>
        <w:t> </w:t>
      </w:r>
      <w:r>
        <w:rPr>
          <w:sz w:val="18"/>
          <w:vertAlign w:val="baseline"/>
        </w:rPr>
        <w:t>and</w:t>
      </w:r>
      <w:r>
        <w:rPr>
          <w:spacing w:val="-3"/>
          <w:sz w:val="18"/>
          <w:vertAlign w:val="baseline"/>
        </w:rPr>
        <w:t> </w:t>
      </w:r>
      <w:r>
        <w:rPr>
          <w:sz w:val="18"/>
          <w:vertAlign w:val="baseline"/>
        </w:rPr>
        <w:t>Tania</w:t>
      </w:r>
      <w:r>
        <w:rPr>
          <w:spacing w:val="-3"/>
          <w:sz w:val="18"/>
          <w:vertAlign w:val="baseline"/>
        </w:rPr>
        <w:t> </w:t>
      </w:r>
      <w:r>
        <w:rPr>
          <w:sz w:val="18"/>
          <w:vertAlign w:val="baseline"/>
        </w:rPr>
        <w:t>Israel.</w:t>
      </w:r>
      <w:r>
        <w:rPr>
          <w:spacing w:val="-3"/>
          <w:sz w:val="18"/>
          <w:vertAlign w:val="baseline"/>
        </w:rPr>
        <w:t> </w:t>
      </w:r>
      <w:r>
        <w:rPr>
          <w:sz w:val="18"/>
          <w:vertAlign w:val="baseline"/>
        </w:rPr>
        <w:t>“Psychological</w:t>
      </w:r>
      <w:r>
        <w:rPr>
          <w:spacing w:val="-4"/>
          <w:sz w:val="18"/>
          <w:vertAlign w:val="baseline"/>
        </w:rPr>
        <w:t> </w:t>
      </w:r>
      <w:r>
        <w:rPr>
          <w:sz w:val="18"/>
          <w:vertAlign w:val="baseline"/>
        </w:rPr>
        <w:t>Interventions</w:t>
      </w:r>
      <w:r>
        <w:rPr>
          <w:spacing w:val="-3"/>
          <w:sz w:val="18"/>
          <w:vertAlign w:val="baseline"/>
        </w:rPr>
        <w:t> </w:t>
      </w:r>
      <w:r>
        <w:rPr>
          <w:sz w:val="18"/>
          <w:vertAlign w:val="baseline"/>
        </w:rPr>
        <w:t>Promoting</w:t>
      </w:r>
      <w:r>
        <w:rPr>
          <w:spacing w:val="-3"/>
          <w:sz w:val="18"/>
          <w:vertAlign w:val="baseline"/>
        </w:rPr>
        <w:t> </w:t>
      </w:r>
      <w:r>
        <w:rPr>
          <w:sz w:val="18"/>
          <w:vertAlign w:val="baseline"/>
        </w:rPr>
        <w:t>Resilience</w:t>
      </w:r>
      <w:r>
        <w:rPr>
          <w:spacing w:val="-3"/>
          <w:sz w:val="18"/>
          <w:vertAlign w:val="baseline"/>
        </w:rPr>
        <w:t> </w:t>
      </w:r>
      <w:r>
        <w:rPr>
          <w:sz w:val="18"/>
          <w:vertAlign w:val="baseline"/>
        </w:rPr>
        <w:t>Among</w:t>
      </w:r>
      <w:r>
        <w:rPr>
          <w:spacing w:val="-4"/>
          <w:sz w:val="18"/>
          <w:vertAlign w:val="baseline"/>
        </w:rPr>
        <w:t> </w:t>
      </w:r>
      <w:r>
        <w:rPr>
          <w:sz w:val="18"/>
          <w:vertAlign w:val="baseline"/>
        </w:rPr>
        <w:t>Transgender</w:t>
      </w:r>
      <w:r>
        <w:rPr>
          <w:spacing w:val="-4"/>
          <w:sz w:val="18"/>
          <w:vertAlign w:val="baseline"/>
        </w:rPr>
        <w:t> </w:t>
      </w:r>
      <w:r>
        <w:rPr>
          <w:sz w:val="18"/>
          <w:vertAlign w:val="baseline"/>
        </w:rPr>
        <w:t>Individuals: Transgender Resilience Intervention Model (TRIM).” </w:t>
      </w:r>
      <w:r>
        <w:rPr>
          <w:i/>
          <w:sz w:val="18"/>
          <w:vertAlign w:val="baseline"/>
        </w:rPr>
        <w:t>The Counseling Psychologist </w:t>
      </w:r>
      <w:r>
        <w:rPr>
          <w:sz w:val="18"/>
          <w:vertAlign w:val="baseline"/>
        </w:rPr>
        <w:t>46, no. 5 (July 2018): 632–55. </w:t>
      </w:r>
      <w:hyperlink r:id="rId255">
        <w:r>
          <w:rPr>
            <w:color w:val="1153CC"/>
            <w:spacing w:val="-2"/>
            <w:sz w:val="18"/>
            <w:u w:val="single" w:color="1153CC"/>
            <w:vertAlign w:val="baseline"/>
          </w:rPr>
          <w:t>https://doi.org/10.1177/0011000018787261</w:t>
        </w:r>
      </w:hyperlink>
      <w:hyperlink r:id="rId255">
        <w:r>
          <w:rPr>
            <w:spacing w:val="-2"/>
            <w:sz w:val="18"/>
            <w:u w:val="none"/>
            <w:vertAlign w:val="baseline"/>
          </w:rPr>
          <w:t>.</w:t>
        </w:r>
      </w:hyperlink>
    </w:p>
    <w:p>
      <w:pPr>
        <w:spacing w:before="0"/>
        <w:ind w:left="463" w:right="528" w:hanging="1"/>
        <w:jc w:val="left"/>
        <w:rPr>
          <w:sz w:val="18"/>
        </w:rPr>
      </w:pPr>
      <w:bookmarkStart w:name="_bookmark172" w:id="328"/>
      <w:bookmarkEnd w:id="328"/>
      <w:r>
        <w:rPr/>
      </w:r>
      <w:r>
        <w:rPr>
          <w:sz w:val="18"/>
          <w:vertAlign w:val="superscript"/>
        </w:rPr>
        <w:t>75</w:t>
      </w:r>
      <w:r>
        <w:rPr>
          <w:spacing w:val="-13"/>
          <w:sz w:val="18"/>
          <w:vertAlign w:val="baseline"/>
        </w:rPr>
        <w:t> </w:t>
      </w:r>
      <w:r>
        <w:rPr>
          <w:sz w:val="18"/>
          <w:vertAlign w:val="baseline"/>
        </w:rPr>
        <w:t>Barcelos,</w:t>
      </w:r>
      <w:r>
        <w:rPr>
          <w:spacing w:val="-5"/>
          <w:sz w:val="18"/>
          <w:vertAlign w:val="baseline"/>
        </w:rPr>
        <w:t> </w:t>
      </w:r>
      <w:r>
        <w:rPr>
          <w:sz w:val="18"/>
          <w:vertAlign w:val="baseline"/>
        </w:rPr>
        <w:t>Chris,</w:t>
      </w:r>
      <w:r>
        <w:rPr>
          <w:spacing w:val="-3"/>
          <w:sz w:val="18"/>
          <w:vertAlign w:val="baseline"/>
        </w:rPr>
        <w:t> </w:t>
      </w:r>
      <w:r>
        <w:rPr>
          <w:sz w:val="18"/>
          <w:vertAlign w:val="baseline"/>
        </w:rPr>
        <w:t>j.</w:t>
      </w:r>
      <w:r>
        <w:rPr>
          <w:spacing w:val="-2"/>
          <w:sz w:val="18"/>
          <w:vertAlign w:val="baseline"/>
        </w:rPr>
        <w:t> </w:t>
      </w:r>
      <w:r>
        <w:rPr>
          <w:sz w:val="18"/>
          <w:vertAlign w:val="baseline"/>
        </w:rPr>
        <w:t>nyla</w:t>
      </w:r>
      <w:r>
        <w:rPr>
          <w:spacing w:val="-2"/>
          <w:sz w:val="18"/>
          <w:vertAlign w:val="baseline"/>
        </w:rPr>
        <w:t> </w:t>
      </w:r>
      <w:r>
        <w:rPr>
          <w:sz w:val="18"/>
          <w:vertAlign w:val="baseline"/>
        </w:rPr>
        <w:t>mcneil,</w:t>
      </w:r>
      <w:r>
        <w:rPr>
          <w:spacing w:val="-3"/>
          <w:sz w:val="18"/>
          <w:vertAlign w:val="baseline"/>
        </w:rPr>
        <w:t> </w:t>
      </w:r>
      <w:r>
        <w:rPr>
          <w:sz w:val="18"/>
          <w:vertAlign w:val="baseline"/>
        </w:rPr>
        <w:t>Yanté</w:t>
      </w:r>
      <w:r>
        <w:rPr>
          <w:spacing w:val="-2"/>
          <w:sz w:val="18"/>
          <w:vertAlign w:val="baseline"/>
        </w:rPr>
        <w:t> </w:t>
      </w:r>
      <w:r>
        <w:rPr>
          <w:sz w:val="18"/>
          <w:vertAlign w:val="baseline"/>
        </w:rPr>
        <w:t>Turner,</w:t>
      </w:r>
      <w:r>
        <w:rPr>
          <w:spacing w:val="-3"/>
          <w:sz w:val="18"/>
          <w:vertAlign w:val="baseline"/>
        </w:rPr>
        <w:t> </w:t>
      </w:r>
      <w:r>
        <w:rPr>
          <w:sz w:val="18"/>
          <w:vertAlign w:val="baseline"/>
        </w:rPr>
        <w:t>and</w:t>
      </w:r>
      <w:r>
        <w:rPr>
          <w:spacing w:val="-3"/>
          <w:sz w:val="18"/>
          <w:vertAlign w:val="baseline"/>
        </w:rPr>
        <w:t> </w:t>
      </w:r>
      <w:r>
        <w:rPr>
          <w:sz w:val="18"/>
          <w:vertAlign w:val="baseline"/>
        </w:rPr>
        <w:t>Edie</w:t>
      </w:r>
      <w:r>
        <w:rPr>
          <w:spacing w:val="-2"/>
          <w:sz w:val="18"/>
          <w:vertAlign w:val="baseline"/>
        </w:rPr>
        <w:t> </w:t>
      </w:r>
      <w:r>
        <w:rPr>
          <w:sz w:val="18"/>
          <w:vertAlign w:val="baseline"/>
        </w:rPr>
        <w:t>Ma’iingan</w:t>
      </w:r>
      <w:r>
        <w:rPr>
          <w:spacing w:val="-2"/>
          <w:sz w:val="18"/>
          <w:vertAlign w:val="baseline"/>
        </w:rPr>
        <w:t> </w:t>
      </w:r>
      <w:r>
        <w:rPr>
          <w:sz w:val="18"/>
          <w:vertAlign w:val="baseline"/>
        </w:rPr>
        <w:t>Redwine.</w:t>
      </w:r>
      <w:r>
        <w:rPr>
          <w:spacing w:val="-2"/>
          <w:sz w:val="18"/>
          <w:vertAlign w:val="baseline"/>
        </w:rPr>
        <w:t> </w:t>
      </w:r>
      <w:r>
        <w:rPr>
          <w:sz w:val="18"/>
          <w:vertAlign w:val="baseline"/>
        </w:rPr>
        <w:t>“The</w:t>
      </w:r>
      <w:r>
        <w:rPr>
          <w:spacing w:val="-2"/>
          <w:sz w:val="18"/>
          <w:vertAlign w:val="baseline"/>
        </w:rPr>
        <w:t> </w:t>
      </w:r>
      <w:r>
        <w:rPr>
          <w:sz w:val="18"/>
          <w:vertAlign w:val="baseline"/>
        </w:rPr>
        <w:t>Trans</w:t>
      </w:r>
      <w:r>
        <w:rPr>
          <w:spacing w:val="-2"/>
          <w:sz w:val="18"/>
          <w:vertAlign w:val="baseline"/>
        </w:rPr>
        <w:t> </w:t>
      </w:r>
      <w:r>
        <w:rPr>
          <w:sz w:val="18"/>
          <w:vertAlign w:val="baseline"/>
        </w:rPr>
        <w:t>Youth</w:t>
      </w:r>
      <w:r>
        <w:rPr>
          <w:spacing w:val="-2"/>
          <w:sz w:val="18"/>
          <w:vertAlign w:val="baseline"/>
        </w:rPr>
        <w:t> </w:t>
      </w:r>
      <w:r>
        <w:rPr>
          <w:sz w:val="18"/>
          <w:vertAlign w:val="baseline"/>
        </w:rPr>
        <w:t>Justice</w:t>
      </w:r>
      <w:r>
        <w:rPr>
          <w:spacing w:val="-2"/>
          <w:sz w:val="18"/>
          <w:vertAlign w:val="baseline"/>
        </w:rPr>
        <w:t> </w:t>
      </w:r>
      <w:r>
        <w:rPr>
          <w:sz w:val="18"/>
          <w:vertAlign w:val="baseline"/>
        </w:rPr>
        <w:t>Project:</w:t>
      </w:r>
      <w:r>
        <w:rPr>
          <w:spacing w:val="-2"/>
          <w:sz w:val="18"/>
          <w:vertAlign w:val="baseline"/>
        </w:rPr>
        <w:t> </w:t>
      </w:r>
      <w:r>
        <w:rPr>
          <w:sz w:val="18"/>
          <w:vertAlign w:val="baseline"/>
        </w:rPr>
        <w:t>A</w:t>
      </w:r>
      <w:r>
        <w:rPr>
          <w:spacing w:val="-2"/>
          <w:sz w:val="18"/>
          <w:vertAlign w:val="baseline"/>
        </w:rPr>
        <w:t> </w:t>
      </w:r>
      <w:r>
        <w:rPr>
          <w:sz w:val="18"/>
          <w:vertAlign w:val="baseline"/>
        </w:rPr>
        <w:t>Political Education and Leadership Development Program.” </w:t>
      </w:r>
      <w:r>
        <w:rPr>
          <w:i/>
          <w:sz w:val="18"/>
          <w:vertAlign w:val="baseline"/>
        </w:rPr>
        <w:t>Journal of LGBT Youth </w:t>
      </w:r>
      <w:r>
        <w:rPr>
          <w:sz w:val="18"/>
          <w:vertAlign w:val="baseline"/>
        </w:rPr>
        <w:t>20, no. 2 (April 3, 2023): 265–81. </w:t>
      </w:r>
      <w:hyperlink r:id="rId256">
        <w:r>
          <w:rPr>
            <w:color w:val="1153CC"/>
            <w:spacing w:val="-2"/>
            <w:sz w:val="18"/>
            <w:u w:val="single" w:color="1153CC"/>
            <w:vertAlign w:val="baseline"/>
          </w:rPr>
          <w:t>https://doi.org/10.1080/19361653.2021.2020703</w:t>
        </w:r>
      </w:hyperlink>
      <w:hyperlink r:id="rId256">
        <w:r>
          <w:rPr>
            <w:spacing w:val="-2"/>
            <w:sz w:val="18"/>
            <w:u w:val="none"/>
            <w:vertAlign w:val="baseline"/>
          </w:rPr>
          <w:t>.</w:t>
        </w:r>
      </w:hyperlink>
    </w:p>
    <w:p>
      <w:pPr>
        <w:spacing w:before="0"/>
        <w:ind w:left="463" w:right="314" w:hanging="1"/>
        <w:jc w:val="left"/>
        <w:rPr>
          <w:sz w:val="18"/>
        </w:rPr>
      </w:pPr>
      <w:bookmarkStart w:name="_bookmark173" w:id="329"/>
      <w:bookmarkEnd w:id="329"/>
      <w:r>
        <w:rPr/>
      </w:r>
      <w:r>
        <w:rPr>
          <w:sz w:val="18"/>
          <w:vertAlign w:val="superscript"/>
        </w:rPr>
        <w:t>76</w:t>
      </w:r>
      <w:r>
        <w:rPr>
          <w:spacing w:val="-13"/>
          <w:sz w:val="18"/>
          <w:vertAlign w:val="baseline"/>
        </w:rPr>
        <w:t> </w:t>
      </w:r>
      <w:r>
        <w:rPr>
          <w:color w:val="2C2C29"/>
          <w:sz w:val="18"/>
          <w:vertAlign w:val="baseline"/>
        </w:rPr>
        <w:t>DeBlaere,</w:t>
      </w:r>
      <w:r>
        <w:rPr>
          <w:color w:val="2C2C29"/>
          <w:spacing w:val="-4"/>
          <w:sz w:val="18"/>
          <w:vertAlign w:val="baseline"/>
        </w:rPr>
        <w:t> </w:t>
      </w:r>
      <w:r>
        <w:rPr>
          <w:color w:val="2C2C29"/>
          <w:sz w:val="18"/>
          <w:vertAlign w:val="baseline"/>
        </w:rPr>
        <w:t>Cirleen,</w:t>
      </w:r>
      <w:r>
        <w:rPr>
          <w:color w:val="2C2C29"/>
          <w:spacing w:val="-3"/>
          <w:sz w:val="18"/>
          <w:vertAlign w:val="baseline"/>
        </w:rPr>
        <w:t> </w:t>
      </w:r>
      <w:r>
        <w:rPr>
          <w:color w:val="2C2C29"/>
          <w:sz w:val="18"/>
          <w:vertAlign w:val="baseline"/>
        </w:rPr>
        <w:t>Melanie</w:t>
      </w:r>
      <w:r>
        <w:rPr>
          <w:color w:val="2C2C29"/>
          <w:spacing w:val="-2"/>
          <w:sz w:val="18"/>
          <w:vertAlign w:val="baseline"/>
        </w:rPr>
        <w:t> </w:t>
      </w:r>
      <w:r>
        <w:rPr>
          <w:color w:val="2C2C29"/>
          <w:sz w:val="18"/>
          <w:vertAlign w:val="baseline"/>
        </w:rPr>
        <w:t>E.</w:t>
      </w:r>
      <w:r>
        <w:rPr>
          <w:color w:val="2C2C29"/>
          <w:spacing w:val="-3"/>
          <w:sz w:val="18"/>
          <w:vertAlign w:val="baseline"/>
        </w:rPr>
        <w:t> </w:t>
      </w:r>
      <w:r>
        <w:rPr>
          <w:color w:val="2C2C29"/>
          <w:sz w:val="18"/>
          <w:vertAlign w:val="baseline"/>
        </w:rPr>
        <w:t>Brewster,</w:t>
      </w:r>
      <w:r>
        <w:rPr>
          <w:color w:val="2C2C29"/>
          <w:spacing w:val="-3"/>
          <w:sz w:val="18"/>
          <w:vertAlign w:val="baseline"/>
        </w:rPr>
        <w:t> </w:t>
      </w:r>
      <w:r>
        <w:rPr>
          <w:color w:val="2C2C29"/>
          <w:sz w:val="18"/>
          <w:vertAlign w:val="baseline"/>
        </w:rPr>
        <w:t>Kristin</w:t>
      </w:r>
      <w:r>
        <w:rPr>
          <w:color w:val="2C2C29"/>
          <w:spacing w:val="-1"/>
          <w:sz w:val="18"/>
          <w:vertAlign w:val="baseline"/>
        </w:rPr>
        <w:t> </w:t>
      </w:r>
      <w:r>
        <w:rPr>
          <w:color w:val="2C2C29"/>
          <w:sz w:val="18"/>
          <w:vertAlign w:val="baseline"/>
        </w:rPr>
        <w:t>N.</w:t>
      </w:r>
      <w:r>
        <w:rPr>
          <w:color w:val="2C2C29"/>
          <w:spacing w:val="-2"/>
          <w:sz w:val="18"/>
          <w:vertAlign w:val="baseline"/>
        </w:rPr>
        <w:t> </w:t>
      </w:r>
      <w:r>
        <w:rPr>
          <w:color w:val="2C2C29"/>
          <w:sz w:val="18"/>
          <w:vertAlign w:val="baseline"/>
        </w:rPr>
        <w:t>Bertsch,</w:t>
      </w:r>
      <w:r>
        <w:rPr>
          <w:color w:val="2C2C29"/>
          <w:spacing w:val="-3"/>
          <w:sz w:val="18"/>
          <w:vertAlign w:val="baseline"/>
        </w:rPr>
        <w:t> </w:t>
      </w:r>
      <w:r>
        <w:rPr>
          <w:color w:val="2C2C29"/>
          <w:sz w:val="18"/>
          <w:vertAlign w:val="baseline"/>
        </w:rPr>
        <w:t>Aubrey</w:t>
      </w:r>
      <w:r>
        <w:rPr>
          <w:color w:val="2C2C29"/>
          <w:spacing w:val="-2"/>
          <w:sz w:val="18"/>
          <w:vertAlign w:val="baseline"/>
        </w:rPr>
        <w:t> </w:t>
      </w:r>
      <w:r>
        <w:rPr>
          <w:color w:val="2C2C29"/>
          <w:sz w:val="18"/>
          <w:vertAlign w:val="baseline"/>
        </w:rPr>
        <w:t>L.</w:t>
      </w:r>
      <w:r>
        <w:rPr>
          <w:color w:val="2C2C29"/>
          <w:spacing w:val="-2"/>
          <w:sz w:val="18"/>
          <w:vertAlign w:val="baseline"/>
        </w:rPr>
        <w:t> </w:t>
      </w:r>
      <w:r>
        <w:rPr>
          <w:color w:val="2C2C29"/>
          <w:sz w:val="18"/>
          <w:vertAlign w:val="baseline"/>
        </w:rPr>
        <w:t>DeCarlo,</w:t>
      </w:r>
      <w:r>
        <w:rPr>
          <w:color w:val="2C2C29"/>
          <w:spacing w:val="-3"/>
          <w:sz w:val="18"/>
          <w:vertAlign w:val="baseline"/>
        </w:rPr>
        <w:t> </w:t>
      </w:r>
      <w:r>
        <w:rPr>
          <w:color w:val="2C2C29"/>
          <w:sz w:val="18"/>
          <w:vertAlign w:val="baseline"/>
        </w:rPr>
        <w:t>Karen</w:t>
      </w:r>
      <w:r>
        <w:rPr>
          <w:color w:val="2C2C29"/>
          <w:spacing w:val="-2"/>
          <w:sz w:val="18"/>
          <w:vertAlign w:val="baseline"/>
        </w:rPr>
        <w:t> </w:t>
      </w:r>
      <w:r>
        <w:rPr>
          <w:color w:val="2C2C29"/>
          <w:sz w:val="18"/>
          <w:vertAlign w:val="baseline"/>
        </w:rPr>
        <w:t>A.</w:t>
      </w:r>
      <w:r>
        <w:rPr>
          <w:color w:val="2C2C29"/>
          <w:spacing w:val="-2"/>
          <w:sz w:val="18"/>
          <w:vertAlign w:val="baseline"/>
        </w:rPr>
        <w:t> </w:t>
      </w:r>
      <w:r>
        <w:rPr>
          <w:color w:val="2C2C29"/>
          <w:sz w:val="18"/>
          <w:vertAlign w:val="baseline"/>
        </w:rPr>
        <w:t>Kegel,</w:t>
      </w:r>
      <w:r>
        <w:rPr>
          <w:color w:val="2C2C29"/>
          <w:spacing w:val="-3"/>
          <w:sz w:val="18"/>
          <w:vertAlign w:val="baseline"/>
        </w:rPr>
        <w:t> </w:t>
      </w:r>
      <w:r>
        <w:rPr>
          <w:color w:val="2C2C29"/>
          <w:sz w:val="18"/>
          <w:vertAlign w:val="baseline"/>
        </w:rPr>
        <w:t>and</w:t>
      </w:r>
      <w:r>
        <w:rPr>
          <w:color w:val="2C2C29"/>
          <w:spacing w:val="-2"/>
          <w:sz w:val="18"/>
          <w:vertAlign w:val="baseline"/>
        </w:rPr>
        <w:t> </w:t>
      </w:r>
      <w:r>
        <w:rPr>
          <w:color w:val="2C2C29"/>
          <w:sz w:val="18"/>
          <w:vertAlign w:val="baseline"/>
        </w:rPr>
        <w:t>Candice</w:t>
      </w:r>
      <w:r>
        <w:rPr>
          <w:color w:val="2C2C29"/>
          <w:spacing w:val="-2"/>
          <w:sz w:val="18"/>
          <w:vertAlign w:val="baseline"/>
        </w:rPr>
        <w:t> </w:t>
      </w:r>
      <w:r>
        <w:rPr>
          <w:color w:val="2C2C29"/>
          <w:sz w:val="18"/>
          <w:vertAlign w:val="baseline"/>
        </w:rPr>
        <w:t>D.</w:t>
      </w:r>
      <w:r>
        <w:rPr>
          <w:color w:val="2C2C29"/>
          <w:spacing w:val="-2"/>
          <w:sz w:val="18"/>
          <w:vertAlign w:val="baseline"/>
        </w:rPr>
        <w:t> </w:t>
      </w:r>
      <w:r>
        <w:rPr>
          <w:color w:val="2C2C29"/>
          <w:sz w:val="18"/>
          <w:vertAlign w:val="baseline"/>
        </w:rPr>
        <w:t>Presseau.</w:t>
      </w:r>
      <w:r>
        <w:rPr>
          <w:color w:val="2C2C29"/>
          <w:spacing w:val="-2"/>
          <w:sz w:val="18"/>
          <w:vertAlign w:val="baseline"/>
        </w:rPr>
        <w:t> </w:t>
      </w:r>
      <w:r>
        <w:rPr>
          <w:color w:val="2C2C29"/>
          <w:sz w:val="18"/>
          <w:vertAlign w:val="baseline"/>
        </w:rPr>
        <w:t>“The Protective Power of Collective Action for Sexual Minority Women of Color: An Investigation of Multiple Discrimination Experiences and Psychological Distress.” </w:t>
      </w:r>
      <w:r>
        <w:rPr>
          <w:i/>
          <w:color w:val="2C2C29"/>
          <w:sz w:val="18"/>
          <w:vertAlign w:val="baseline"/>
        </w:rPr>
        <w:t>Psychology of Women Quarterly </w:t>
      </w:r>
      <w:r>
        <w:rPr>
          <w:color w:val="2C2C29"/>
          <w:sz w:val="18"/>
          <w:vertAlign w:val="baseline"/>
        </w:rPr>
        <w:t>38, no. 1 (March 2014): 20–32. </w:t>
      </w:r>
      <w:hyperlink r:id="rId257">
        <w:r>
          <w:rPr>
            <w:color w:val="1153CC"/>
            <w:spacing w:val="-2"/>
            <w:sz w:val="18"/>
            <w:u w:val="single" w:color="1153CC"/>
            <w:vertAlign w:val="baseline"/>
          </w:rPr>
          <w:t>https://doi.org/10.1177/0361684313493252</w:t>
        </w:r>
      </w:hyperlink>
      <w:hyperlink r:id="rId257">
        <w:r>
          <w:rPr>
            <w:color w:val="2C2C29"/>
            <w:spacing w:val="-2"/>
            <w:sz w:val="18"/>
            <w:u w:val="none"/>
            <w:vertAlign w:val="baseline"/>
          </w:rPr>
          <w:t>.</w:t>
        </w:r>
      </w:hyperlink>
    </w:p>
    <w:p>
      <w:pPr>
        <w:spacing w:before="0"/>
        <w:ind w:left="463" w:right="279" w:hanging="1"/>
        <w:jc w:val="left"/>
        <w:rPr>
          <w:sz w:val="18"/>
        </w:rPr>
      </w:pPr>
      <w:bookmarkStart w:name="_bookmark174" w:id="330"/>
      <w:bookmarkEnd w:id="330"/>
      <w:r>
        <w:rPr/>
      </w:r>
      <w:r>
        <w:rPr>
          <w:sz w:val="18"/>
          <w:vertAlign w:val="superscript"/>
        </w:rPr>
        <w:t>77</w:t>
      </w:r>
      <w:r>
        <w:rPr>
          <w:spacing w:val="-13"/>
          <w:sz w:val="18"/>
          <w:vertAlign w:val="baseline"/>
        </w:rPr>
        <w:t> </w:t>
      </w:r>
      <w:r>
        <w:rPr>
          <w:sz w:val="18"/>
          <w:vertAlign w:val="baseline"/>
        </w:rPr>
        <w:t>Strauss</w:t>
      </w:r>
      <w:r>
        <w:rPr>
          <w:spacing w:val="-4"/>
          <w:sz w:val="18"/>
          <w:vertAlign w:val="baseline"/>
        </w:rPr>
        <w:t> </w:t>
      </w:r>
      <w:r>
        <w:rPr>
          <w:sz w:val="18"/>
          <w:vertAlign w:val="baseline"/>
        </w:rPr>
        <w:t>Swanson,</w:t>
      </w:r>
      <w:r>
        <w:rPr>
          <w:spacing w:val="-3"/>
          <w:sz w:val="18"/>
          <w:vertAlign w:val="baseline"/>
        </w:rPr>
        <w:t> </w:t>
      </w:r>
      <w:r>
        <w:rPr>
          <w:sz w:val="18"/>
          <w:vertAlign w:val="baseline"/>
        </w:rPr>
        <w:t>Charlotte,</w:t>
      </w:r>
      <w:r>
        <w:rPr>
          <w:spacing w:val="-3"/>
          <w:sz w:val="18"/>
          <w:vertAlign w:val="baseline"/>
        </w:rPr>
        <w:t> </w:t>
      </w:r>
      <w:r>
        <w:rPr>
          <w:sz w:val="18"/>
          <w:vertAlign w:val="baseline"/>
        </w:rPr>
        <w:t>and</w:t>
      </w:r>
      <w:r>
        <w:rPr>
          <w:spacing w:val="-2"/>
          <w:sz w:val="18"/>
          <w:vertAlign w:val="baseline"/>
        </w:rPr>
        <w:t> </w:t>
      </w:r>
      <w:r>
        <w:rPr>
          <w:sz w:val="18"/>
          <w:vertAlign w:val="baseline"/>
        </w:rPr>
        <w:t>Dawn</w:t>
      </w:r>
      <w:r>
        <w:rPr>
          <w:spacing w:val="-2"/>
          <w:sz w:val="18"/>
          <w:vertAlign w:val="baseline"/>
        </w:rPr>
        <w:t> </w:t>
      </w:r>
      <w:r>
        <w:rPr>
          <w:sz w:val="18"/>
          <w:vertAlign w:val="baseline"/>
        </w:rPr>
        <w:t>M</w:t>
      </w:r>
      <w:r>
        <w:rPr>
          <w:spacing w:val="-3"/>
          <w:sz w:val="18"/>
          <w:vertAlign w:val="baseline"/>
        </w:rPr>
        <w:t> </w:t>
      </w:r>
      <w:r>
        <w:rPr>
          <w:sz w:val="18"/>
          <w:vertAlign w:val="baseline"/>
        </w:rPr>
        <w:t>Szymanski.</w:t>
      </w:r>
      <w:r>
        <w:rPr>
          <w:spacing w:val="-2"/>
          <w:sz w:val="18"/>
          <w:vertAlign w:val="baseline"/>
        </w:rPr>
        <w:t> </w:t>
      </w:r>
      <w:r>
        <w:rPr>
          <w:sz w:val="18"/>
          <w:vertAlign w:val="baseline"/>
        </w:rPr>
        <w:t>“From</w:t>
      </w:r>
      <w:r>
        <w:rPr>
          <w:spacing w:val="-2"/>
          <w:sz w:val="18"/>
          <w:vertAlign w:val="baseline"/>
        </w:rPr>
        <w:t> </w:t>
      </w:r>
      <w:r>
        <w:rPr>
          <w:sz w:val="18"/>
          <w:vertAlign w:val="baseline"/>
        </w:rPr>
        <w:t>Pain</w:t>
      </w:r>
      <w:r>
        <w:rPr>
          <w:spacing w:val="-2"/>
          <w:sz w:val="18"/>
          <w:vertAlign w:val="baseline"/>
        </w:rPr>
        <w:t> </w:t>
      </w:r>
      <w:r>
        <w:rPr>
          <w:sz w:val="18"/>
          <w:vertAlign w:val="baseline"/>
        </w:rPr>
        <w:t>to</w:t>
      </w:r>
      <w:r>
        <w:rPr>
          <w:spacing w:val="-2"/>
          <w:sz w:val="18"/>
          <w:vertAlign w:val="baseline"/>
        </w:rPr>
        <w:t> </w:t>
      </w:r>
      <w:r>
        <w:rPr>
          <w:sz w:val="18"/>
          <w:vertAlign w:val="baseline"/>
        </w:rPr>
        <w:t>Power:</w:t>
      </w:r>
      <w:r>
        <w:rPr>
          <w:spacing w:val="-2"/>
          <w:sz w:val="18"/>
          <w:vertAlign w:val="baseline"/>
        </w:rPr>
        <w:t> </w:t>
      </w:r>
      <w:r>
        <w:rPr>
          <w:sz w:val="18"/>
          <w:vertAlign w:val="baseline"/>
        </w:rPr>
        <w:t>An</w:t>
      </w:r>
      <w:r>
        <w:rPr>
          <w:spacing w:val="-2"/>
          <w:sz w:val="18"/>
          <w:vertAlign w:val="baseline"/>
        </w:rPr>
        <w:t> </w:t>
      </w:r>
      <w:r>
        <w:rPr>
          <w:sz w:val="18"/>
          <w:vertAlign w:val="baseline"/>
        </w:rPr>
        <w:t>Exploration</w:t>
      </w:r>
      <w:r>
        <w:rPr>
          <w:spacing w:val="-2"/>
          <w:sz w:val="18"/>
          <w:vertAlign w:val="baseline"/>
        </w:rPr>
        <w:t> </w:t>
      </w:r>
      <w:r>
        <w:rPr>
          <w:sz w:val="18"/>
          <w:vertAlign w:val="baseline"/>
        </w:rPr>
        <w:t>of</w:t>
      </w:r>
      <w:r>
        <w:rPr>
          <w:spacing w:val="-2"/>
          <w:sz w:val="18"/>
          <w:vertAlign w:val="baseline"/>
        </w:rPr>
        <w:t> </w:t>
      </w:r>
      <w:r>
        <w:rPr>
          <w:sz w:val="18"/>
          <w:vertAlign w:val="baseline"/>
        </w:rPr>
        <w:t>Activism,</w:t>
      </w:r>
      <w:r>
        <w:rPr>
          <w:spacing w:val="-3"/>
          <w:sz w:val="18"/>
          <w:vertAlign w:val="baseline"/>
        </w:rPr>
        <w:t> </w:t>
      </w:r>
      <w:r>
        <w:rPr>
          <w:sz w:val="18"/>
          <w:vertAlign w:val="baseline"/>
        </w:rPr>
        <w:t>the</w:t>
      </w:r>
      <w:r>
        <w:rPr>
          <w:spacing w:val="-2"/>
          <w:sz w:val="18"/>
          <w:vertAlign w:val="baseline"/>
        </w:rPr>
        <w:t> </w:t>
      </w:r>
      <w:r>
        <w:rPr>
          <w:sz w:val="18"/>
          <w:vertAlign w:val="baseline"/>
        </w:rPr>
        <w:t>#Metoo</w:t>
      </w:r>
      <w:r>
        <w:rPr>
          <w:spacing w:val="-2"/>
          <w:sz w:val="18"/>
          <w:vertAlign w:val="baseline"/>
        </w:rPr>
        <w:t> </w:t>
      </w:r>
      <w:r>
        <w:rPr>
          <w:sz w:val="18"/>
          <w:vertAlign w:val="baseline"/>
        </w:rPr>
        <w:t>Movement, and Healing from Sexual Assault Trauma.” </w:t>
      </w:r>
      <w:r>
        <w:rPr>
          <w:i/>
          <w:sz w:val="18"/>
          <w:vertAlign w:val="baseline"/>
        </w:rPr>
        <w:t>Journal of Counseling Psychology </w:t>
      </w:r>
      <w:r>
        <w:rPr>
          <w:sz w:val="18"/>
          <w:vertAlign w:val="baseline"/>
        </w:rPr>
        <w:t>67, no. 6 (November 1, 2020): 653–68. </w:t>
      </w:r>
      <w:hyperlink r:id="rId258">
        <w:r>
          <w:rPr>
            <w:color w:val="1153CC"/>
            <w:spacing w:val="-2"/>
            <w:sz w:val="18"/>
            <w:u w:val="single" w:color="1153CC"/>
            <w:vertAlign w:val="baseline"/>
          </w:rPr>
          <w:t>https://doi.org/10.1037/cou0000429</w:t>
        </w:r>
      </w:hyperlink>
      <w:hyperlink r:id="rId258">
        <w:r>
          <w:rPr>
            <w:spacing w:val="-2"/>
            <w:sz w:val="18"/>
            <w:u w:val="none"/>
            <w:vertAlign w:val="baseline"/>
          </w:rPr>
          <w:t>.</w:t>
        </w:r>
      </w:hyperlink>
    </w:p>
    <w:p>
      <w:pPr>
        <w:spacing w:before="0"/>
        <w:ind w:left="463" w:right="244" w:firstLine="0"/>
        <w:jc w:val="left"/>
        <w:rPr>
          <w:sz w:val="18"/>
        </w:rPr>
      </w:pPr>
      <w:bookmarkStart w:name="_bookmark175" w:id="331"/>
      <w:bookmarkEnd w:id="331"/>
      <w:r>
        <w:rPr/>
      </w:r>
      <w:r>
        <w:rPr>
          <w:sz w:val="18"/>
          <w:vertAlign w:val="superscript"/>
        </w:rPr>
        <w:t>78</w:t>
      </w:r>
      <w:r>
        <w:rPr>
          <w:spacing w:val="-10"/>
          <w:sz w:val="18"/>
          <w:vertAlign w:val="baseline"/>
        </w:rPr>
        <w:t> </w:t>
      </w:r>
      <w:r>
        <w:rPr>
          <w:sz w:val="18"/>
          <w:vertAlign w:val="baseline"/>
        </w:rPr>
        <w:t>Poteat, V. Paul, Jerel P. Calzo, Hirokazu Yoshikawa, Arthur Lipkin, Christopher J. Ceccolini, Sarah B. Rosenbach, Michael D. O’Brien,</w:t>
      </w:r>
      <w:r>
        <w:rPr>
          <w:spacing w:val="-3"/>
          <w:sz w:val="18"/>
          <w:vertAlign w:val="baseline"/>
        </w:rPr>
        <w:t> </w:t>
      </w:r>
      <w:r>
        <w:rPr>
          <w:sz w:val="18"/>
          <w:vertAlign w:val="baseline"/>
        </w:rPr>
        <w:t>Robert</w:t>
      </w:r>
      <w:r>
        <w:rPr>
          <w:spacing w:val="-1"/>
          <w:sz w:val="18"/>
          <w:vertAlign w:val="baseline"/>
        </w:rPr>
        <w:t> </w:t>
      </w:r>
      <w:r>
        <w:rPr>
          <w:sz w:val="18"/>
          <w:vertAlign w:val="baseline"/>
        </w:rPr>
        <w:t>A.</w:t>
      </w:r>
      <w:r>
        <w:rPr>
          <w:spacing w:val="-2"/>
          <w:sz w:val="18"/>
          <w:vertAlign w:val="baseline"/>
        </w:rPr>
        <w:t> </w:t>
      </w:r>
      <w:r>
        <w:rPr>
          <w:sz w:val="18"/>
          <w:vertAlign w:val="baseline"/>
        </w:rPr>
        <w:t>Marx,</w:t>
      </w:r>
      <w:r>
        <w:rPr>
          <w:spacing w:val="-3"/>
          <w:sz w:val="18"/>
          <w:vertAlign w:val="baseline"/>
        </w:rPr>
        <w:t> </w:t>
      </w:r>
      <w:r>
        <w:rPr>
          <w:sz w:val="18"/>
          <w:vertAlign w:val="baseline"/>
        </w:rPr>
        <w:t>Gabriel</w:t>
      </w:r>
      <w:r>
        <w:rPr>
          <w:spacing w:val="-3"/>
          <w:sz w:val="18"/>
          <w:vertAlign w:val="baseline"/>
        </w:rPr>
        <w:t> </w:t>
      </w:r>
      <w:r>
        <w:rPr>
          <w:sz w:val="18"/>
          <w:vertAlign w:val="baseline"/>
        </w:rPr>
        <w:t>R.</w:t>
      </w:r>
      <w:r>
        <w:rPr>
          <w:spacing w:val="-2"/>
          <w:sz w:val="18"/>
          <w:vertAlign w:val="baseline"/>
        </w:rPr>
        <w:t> </w:t>
      </w:r>
      <w:r>
        <w:rPr>
          <w:sz w:val="18"/>
          <w:vertAlign w:val="baseline"/>
        </w:rPr>
        <w:t>Murchison,</w:t>
      </w:r>
      <w:r>
        <w:rPr>
          <w:spacing w:val="-3"/>
          <w:sz w:val="18"/>
          <w:vertAlign w:val="baseline"/>
        </w:rPr>
        <w:t> </w:t>
      </w:r>
      <w:r>
        <w:rPr>
          <w:sz w:val="18"/>
          <w:vertAlign w:val="baseline"/>
        </w:rPr>
        <w:t>and</w:t>
      </w:r>
      <w:r>
        <w:rPr>
          <w:spacing w:val="-2"/>
          <w:sz w:val="18"/>
          <w:vertAlign w:val="baseline"/>
        </w:rPr>
        <w:t> </w:t>
      </w:r>
      <w:r>
        <w:rPr>
          <w:sz w:val="18"/>
          <w:vertAlign w:val="baseline"/>
        </w:rPr>
        <w:t>Esther</w:t>
      </w:r>
      <w:r>
        <w:rPr>
          <w:spacing w:val="-3"/>
          <w:sz w:val="18"/>
          <w:vertAlign w:val="baseline"/>
        </w:rPr>
        <w:t> </w:t>
      </w:r>
      <w:r>
        <w:rPr>
          <w:sz w:val="18"/>
          <w:vertAlign w:val="baseline"/>
        </w:rPr>
        <w:t>Burson.</w:t>
      </w:r>
      <w:r>
        <w:rPr>
          <w:spacing w:val="-2"/>
          <w:sz w:val="18"/>
          <w:vertAlign w:val="baseline"/>
        </w:rPr>
        <w:t> </w:t>
      </w:r>
      <w:r>
        <w:rPr>
          <w:sz w:val="18"/>
          <w:vertAlign w:val="baseline"/>
        </w:rPr>
        <w:t>“Greater</w:t>
      </w:r>
      <w:r>
        <w:rPr>
          <w:spacing w:val="-3"/>
          <w:sz w:val="18"/>
          <w:vertAlign w:val="baseline"/>
        </w:rPr>
        <w:t> </w:t>
      </w:r>
      <w:r>
        <w:rPr>
          <w:sz w:val="18"/>
          <w:vertAlign w:val="baseline"/>
        </w:rPr>
        <w:t>Engagement</w:t>
      </w:r>
      <w:r>
        <w:rPr>
          <w:spacing w:val="-3"/>
          <w:sz w:val="18"/>
          <w:vertAlign w:val="baseline"/>
        </w:rPr>
        <w:t> </w:t>
      </w:r>
      <w:r>
        <w:rPr>
          <w:sz w:val="18"/>
          <w:vertAlign w:val="baseline"/>
        </w:rPr>
        <w:t>in</w:t>
      </w:r>
      <w:r>
        <w:rPr>
          <w:spacing w:val="-2"/>
          <w:sz w:val="18"/>
          <w:vertAlign w:val="baseline"/>
        </w:rPr>
        <w:t> </w:t>
      </w:r>
      <w:r>
        <w:rPr>
          <w:sz w:val="18"/>
          <w:vertAlign w:val="baseline"/>
        </w:rPr>
        <w:t>Gender-Sexuality</w:t>
      </w:r>
      <w:r>
        <w:rPr>
          <w:spacing w:val="-2"/>
          <w:sz w:val="18"/>
          <w:vertAlign w:val="baseline"/>
        </w:rPr>
        <w:t> </w:t>
      </w:r>
      <w:r>
        <w:rPr>
          <w:sz w:val="18"/>
          <w:vertAlign w:val="baseline"/>
        </w:rPr>
        <w:t>Alliances</w:t>
      </w:r>
      <w:r>
        <w:rPr>
          <w:spacing w:val="-2"/>
          <w:sz w:val="18"/>
          <w:vertAlign w:val="baseline"/>
        </w:rPr>
        <w:t> </w:t>
      </w:r>
      <w:r>
        <w:rPr>
          <w:sz w:val="18"/>
          <w:vertAlign w:val="baseline"/>
        </w:rPr>
        <w:t>(GSAs)</w:t>
      </w:r>
      <w:r>
        <w:rPr>
          <w:spacing w:val="-2"/>
          <w:sz w:val="18"/>
          <w:vertAlign w:val="baseline"/>
        </w:rPr>
        <w:t> </w:t>
      </w:r>
      <w:r>
        <w:rPr>
          <w:sz w:val="18"/>
          <w:vertAlign w:val="baseline"/>
        </w:rPr>
        <w:t>and GSA Characteristics Predict Youth Empowerment and Reduced Mental Health Concerns.” </w:t>
      </w:r>
      <w:r>
        <w:rPr>
          <w:i/>
          <w:sz w:val="18"/>
          <w:vertAlign w:val="baseline"/>
        </w:rPr>
        <w:t>Child Development </w:t>
      </w:r>
      <w:r>
        <w:rPr>
          <w:sz w:val="18"/>
          <w:vertAlign w:val="baseline"/>
        </w:rPr>
        <w:t>91, no. 5</w:t>
      </w:r>
      <w:r>
        <w:rPr>
          <w:spacing w:val="40"/>
          <w:sz w:val="18"/>
          <w:vertAlign w:val="baseline"/>
        </w:rPr>
        <w:t> </w:t>
      </w:r>
      <w:r>
        <w:rPr>
          <w:sz w:val="18"/>
          <w:vertAlign w:val="baseline"/>
        </w:rPr>
        <w:t>(September 2020): 1509–28. </w:t>
      </w:r>
      <w:hyperlink r:id="rId243">
        <w:r>
          <w:rPr>
            <w:color w:val="1153CC"/>
            <w:sz w:val="18"/>
            <w:u w:val="single" w:color="1153CC"/>
            <w:vertAlign w:val="baseline"/>
          </w:rPr>
          <w:t>https://doi.org/10.1111/cdev.13345</w:t>
        </w:r>
      </w:hyperlink>
      <w:hyperlink r:id="rId243">
        <w:r>
          <w:rPr>
            <w:sz w:val="18"/>
            <w:u w:val="none"/>
            <w:vertAlign w:val="baseline"/>
          </w:rPr>
          <w:t>.</w:t>
        </w:r>
      </w:hyperlink>
    </w:p>
    <w:p>
      <w:pPr>
        <w:spacing w:before="0"/>
        <w:ind w:left="463" w:right="258" w:firstLine="0"/>
        <w:jc w:val="left"/>
        <w:rPr>
          <w:sz w:val="18"/>
        </w:rPr>
      </w:pPr>
      <w:bookmarkStart w:name="_bookmark176" w:id="332"/>
      <w:bookmarkEnd w:id="332"/>
      <w:r>
        <w:rPr/>
      </w:r>
      <w:r>
        <w:rPr>
          <w:sz w:val="18"/>
          <w:vertAlign w:val="superscript"/>
        </w:rPr>
        <w:t>79</w:t>
      </w:r>
      <w:r>
        <w:rPr>
          <w:spacing w:val="-9"/>
          <w:sz w:val="18"/>
          <w:vertAlign w:val="baseline"/>
        </w:rPr>
        <w:t> </w:t>
      </w:r>
      <w:r>
        <w:rPr>
          <w:sz w:val="18"/>
          <w:vertAlign w:val="baseline"/>
        </w:rPr>
        <w:t>Comerford, Jo. “Addressing Barriers to Care: What’s in the Legislature’s Final Mental Health Bill.” The People’s Blog (blog), August</w:t>
      </w:r>
      <w:r>
        <w:rPr>
          <w:spacing w:val="-10"/>
          <w:sz w:val="18"/>
          <w:vertAlign w:val="baseline"/>
        </w:rPr>
        <w:t> </w:t>
      </w:r>
      <w:r>
        <w:rPr>
          <w:sz w:val="18"/>
          <w:vertAlign w:val="baseline"/>
        </w:rPr>
        <w:t>3,</w:t>
      </w:r>
      <w:r>
        <w:rPr>
          <w:spacing w:val="-10"/>
          <w:sz w:val="18"/>
          <w:vertAlign w:val="baseline"/>
        </w:rPr>
        <w:t> </w:t>
      </w:r>
      <w:r>
        <w:rPr>
          <w:sz w:val="18"/>
          <w:vertAlign w:val="baseline"/>
        </w:rPr>
        <w:t>2022.</w:t>
      </w:r>
      <w:r>
        <w:rPr>
          <w:spacing w:val="-10"/>
          <w:sz w:val="18"/>
          <w:vertAlign w:val="baseline"/>
        </w:rPr>
        <w:t> </w:t>
      </w:r>
      <w:hyperlink r:id="rId259">
        <w:r>
          <w:rPr>
            <w:color w:val="1153CC"/>
            <w:sz w:val="18"/>
            <w:u w:val="single" w:color="1153CC"/>
            <w:vertAlign w:val="baseline"/>
          </w:rPr>
          <w:t>https://senatorjocomerford.org/addressing-barriers-to-care-whats-in-the-legislatures-final-mental-health-bill/</w:t>
        </w:r>
      </w:hyperlink>
      <w:hyperlink r:id="rId259">
        <w:r>
          <w:rPr>
            <w:sz w:val="18"/>
            <w:u w:val="none"/>
            <w:vertAlign w:val="baseline"/>
          </w:rPr>
          <w:t>.</w:t>
        </w:r>
      </w:hyperlink>
      <w:r>
        <w:rPr>
          <w:spacing w:val="-10"/>
          <w:sz w:val="18"/>
          <w:u w:val="none"/>
          <w:vertAlign w:val="baseline"/>
        </w:rPr>
        <w:t> </w:t>
      </w:r>
      <w:r>
        <w:rPr>
          <w:sz w:val="18"/>
          <w:u w:val="none"/>
          <w:vertAlign w:val="superscript"/>
        </w:rPr>
        <w:t>80</w:t>
      </w:r>
      <w:r>
        <w:rPr>
          <w:sz w:val="18"/>
          <w:u w:val="none"/>
          <w:vertAlign w:val="baseline"/>
        </w:rPr>
        <w:t> Mulqueen, Maggie. “Covid’s Mental Health Toll Makes Therapists Hard to Find. Insurance Companies Make It Harder.” </w:t>
      </w:r>
      <w:r>
        <w:rPr>
          <w:i/>
          <w:sz w:val="18"/>
          <w:u w:val="none"/>
          <w:vertAlign w:val="baseline"/>
        </w:rPr>
        <w:t>NBC</w:t>
      </w:r>
      <w:r>
        <w:rPr>
          <w:i/>
          <w:spacing w:val="40"/>
          <w:sz w:val="18"/>
          <w:u w:val="none"/>
          <w:vertAlign w:val="baseline"/>
        </w:rPr>
        <w:t> </w:t>
      </w:r>
      <w:r>
        <w:rPr>
          <w:i/>
          <w:sz w:val="18"/>
          <w:u w:val="none"/>
          <w:vertAlign w:val="baseline"/>
        </w:rPr>
        <w:t>News, </w:t>
      </w:r>
      <w:r>
        <w:rPr>
          <w:sz w:val="18"/>
          <w:u w:val="none"/>
          <w:vertAlign w:val="baseline"/>
        </w:rPr>
        <w:t>December 22, 2021, sec. Health &amp; Technology. </w:t>
      </w:r>
      <w:hyperlink r:id="rId260">
        <w:r>
          <w:rPr>
            <w:color w:val="1153CC"/>
            <w:sz w:val="18"/>
            <w:u w:val="single" w:color="1153CC"/>
            <w:vertAlign w:val="baseline"/>
          </w:rPr>
          <w:t>https://www.nbcnews.com/think/opinion/covid-s-mental-health-toll-</w:t>
        </w:r>
      </w:hyperlink>
      <w:r>
        <w:rPr>
          <w:color w:val="1153CC"/>
          <w:sz w:val="18"/>
          <w:u w:val="none"/>
          <w:vertAlign w:val="baseline"/>
        </w:rPr>
        <w:t> </w:t>
      </w:r>
      <w:hyperlink r:id="rId260">
        <w:r>
          <w:rPr>
            <w:color w:val="1153CC"/>
            <w:spacing w:val="-2"/>
            <w:sz w:val="18"/>
            <w:u w:val="single" w:color="1153CC"/>
            <w:vertAlign w:val="baseline"/>
          </w:rPr>
          <w:t>makes-therapists-hard-find-insurance-ncna1286502</w:t>
        </w:r>
      </w:hyperlink>
      <w:hyperlink r:id="rId260">
        <w:r>
          <w:rPr>
            <w:spacing w:val="-2"/>
            <w:sz w:val="18"/>
            <w:u w:val="none"/>
            <w:vertAlign w:val="baseline"/>
          </w:rPr>
          <w:t>.</w:t>
        </w:r>
      </w:hyperlink>
    </w:p>
    <w:p>
      <w:pPr>
        <w:spacing w:before="0"/>
        <w:ind w:left="463" w:right="0" w:firstLine="0"/>
        <w:jc w:val="left"/>
        <w:rPr>
          <w:sz w:val="18"/>
        </w:rPr>
      </w:pPr>
      <w:bookmarkStart w:name="_bookmark177" w:id="333"/>
      <w:bookmarkEnd w:id="333"/>
      <w:r>
        <w:rPr/>
      </w:r>
      <w:r>
        <w:rPr>
          <w:sz w:val="18"/>
          <w:vertAlign w:val="superscript"/>
        </w:rPr>
        <w:t>81</w:t>
      </w:r>
      <w:r>
        <w:rPr>
          <w:spacing w:val="-15"/>
          <w:sz w:val="18"/>
          <w:vertAlign w:val="baseline"/>
        </w:rPr>
        <w:t> </w:t>
      </w:r>
      <w:r>
        <w:rPr>
          <w:sz w:val="18"/>
          <w:vertAlign w:val="baseline"/>
        </w:rPr>
        <w:t>Kazdin,</w:t>
      </w:r>
      <w:r>
        <w:rPr>
          <w:spacing w:val="-5"/>
          <w:sz w:val="18"/>
          <w:vertAlign w:val="baseline"/>
        </w:rPr>
        <w:t> </w:t>
      </w:r>
      <w:r>
        <w:rPr>
          <w:sz w:val="18"/>
          <w:vertAlign w:val="baseline"/>
        </w:rPr>
        <w:t>Alan</w:t>
      </w:r>
      <w:r>
        <w:rPr>
          <w:spacing w:val="-3"/>
          <w:sz w:val="18"/>
          <w:vertAlign w:val="baseline"/>
        </w:rPr>
        <w:t> </w:t>
      </w:r>
      <w:r>
        <w:rPr>
          <w:sz w:val="18"/>
          <w:vertAlign w:val="baseline"/>
        </w:rPr>
        <w:t>E.</w:t>
      </w:r>
      <w:r>
        <w:rPr>
          <w:spacing w:val="-3"/>
          <w:sz w:val="18"/>
          <w:vertAlign w:val="baseline"/>
        </w:rPr>
        <w:t> </w:t>
      </w:r>
      <w:r>
        <w:rPr>
          <w:sz w:val="18"/>
          <w:vertAlign w:val="baseline"/>
        </w:rPr>
        <w:t>“Annual</w:t>
      </w:r>
      <w:r>
        <w:rPr>
          <w:spacing w:val="-3"/>
          <w:sz w:val="18"/>
          <w:vertAlign w:val="baseline"/>
        </w:rPr>
        <w:t> </w:t>
      </w:r>
      <w:r>
        <w:rPr>
          <w:sz w:val="18"/>
          <w:vertAlign w:val="baseline"/>
        </w:rPr>
        <w:t>Research</w:t>
      </w:r>
      <w:r>
        <w:rPr>
          <w:spacing w:val="-2"/>
          <w:sz w:val="18"/>
          <w:vertAlign w:val="baseline"/>
        </w:rPr>
        <w:t> </w:t>
      </w:r>
      <w:r>
        <w:rPr>
          <w:sz w:val="18"/>
          <w:vertAlign w:val="baseline"/>
        </w:rPr>
        <w:t>Review:</w:t>
      </w:r>
      <w:r>
        <w:rPr>
          <w:spacing w:val="-3"/>
          <w:sz w:val="18"/>
          <w:vertAlign w:val="baseline"/>
        </w:rPr>
        <w:t> </w:t>
      </w:r>
      <w:r>
        <w:rPr>
          <w:sz w:val="18"/>
          <w:vertAlign w:val="baseline"/>
        </w:rPr>
        <w:t>Expanding</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3"/>
          <w:sz w:val="18"/>
          <w:vertAlign w:val="baseline"/>
        </w:rPr>
        <w:t> </w:t>
      </w:r>
      <w:r>
        <w:rPr>
          <w:sz w:val="18"/>
          <w:vertAlign w:val="baseline"/>
        </w:rPr>
        <w:t>Services</w:t>
      </w:r>
      <w:r>
        <w:rPr>
          <w:spacing w:val="-2"/>
          <w:sz w:val="18"/>
          <w:vertAlign w:val="baseline"/>
        </w:rPr>
        <w:t> </w:t>
      </w:r>
      <w:r>
        <w:rPr>
          <w:sz w:val="18"/>
          <w:vertAlign w:val="baseline"/>
        </w:rPr>
        <w:t>through</w:t>
      </w:r>
      <w:r>
        <w:rPr>
          <w:spacing w:val="-2"/>
          <w:sz w:val="18"/>
          <w:vertAlign w:val="baseline"/>
        </w:rPr>
        <w:t> </w:t>
      </w:r>
      <w:r>
        <w:rPr>
          <w:sz w:val="18"/>
          <w:vertAlign w:val="baseline"/>
        </w:rPr>
        <w:t>Novel</w:t>
      </w:r>
      <w:r>
        <w:rPr>
          <w:spacing w:val="-4"/>
          <w:sz w:val="18"/>
          <w:vertAlign w:val="baseline"/>
        </w:rPr>
        <w:t> </w:t>
      </w:r>
      <w:r>
        <w:rPr>
          <w:sz w:val="18"/>
          <w:vertAlign w:val="baseline"/>
        </w:rPr>
        <w:t>Models</w:t>
      </w:r>
      <w:r>
        <w:rPr>
          <w:spacing w:val="-2"/>
          <w:sz w:val="18"/>
          <w:vertAlign w:val="baseline"/>
        </w:rPr>
        <w:t> </w:t>
      </w:r>
      <w:r>
        <w:rPr>
          <w:sz w:val="18"/>
          <w:vertAlign w:val="baseline"/>
        </w:rPr>
        <w:t>of</w:t>
      </w:r>
      <w:r>
        <w:rPr>
          <w:spacing w:val="-2"/>
          <w:sz w:val="18"/>
          <w:vertAlign w:val="baseline"/>
        </w:rPr>
        <w:t> </w:t>
      </w:r>
      <w:r>
        <w:rPr>
          <w:sz w:val="18"/>
          <w:vertAlign w:val="baseline"/>
        </w:rPr>
        <w:t>Intervention</w:t>
      </w:r>
      <w:r>
        <w:rPr>
          <w:spacing w:val="-2"/>
          <w:sz w:val="18"/>
          <w:vertAlign w:val="baseline"/>
        </w:rPr>
        <w:t> Delivery.”</w:t>
      </w:r>
    </w:p>
    <w:p>
      <w:pPr>
        <w:spacing w:before="0"/>
        <w:ind w:left="463" w:right="0" w:firstLine="0"/>
        <w:jc w:val="left"/>
        <w:rPr>
          <w:sz w:val="18"/>
        </w:rPr>
      </w:pPr>
      <w:r>
        <w:rPr>
          <w:i/>
          <w:sz w:val="18"/>
        </w:rPr>
        <w:t>Journal</w:t>
      </w:r>
      <w:r>
        <w:rPr>
          <w:i/>
          <w:spacing w:val="-6"/>
          <w:sz w:val="18"/>
        </w:rPr>
        <w:t> </w:t>
      </w:r>
      <w:r>
        <w:rPr>
          <w:i/>
          <w:sz w:val="18"/>
        </w:rPr>
        <w:t>of</w:t>
      </w:r>
      <w:r>
        <w:rPr>
          <w:i/>
          <w:spacing w:val="-3"/>
          <w:sz w:val="18"/>
        </w:rPr>
        <w:t> </w:t>
      </w:r>
      <w:r>
        <w:rPr>
          <w:i/>
          <w:sz w:val="18"/>
        </w:rPr>
        <w:t>Child</w:t>
      </w:r>
      <w:r>
        <w:rPr>
          <w:i/>
          <w:spacing w:val="-1"/>
          <w:sz w:val="18"/>
        </w:rPr>
        <w:t> </w:t>
      </w:r>
      <w:r>
        <w:rPr>
          <w:i/>
          <w:sz w:val="18"/>
        </w:rPr>
        <w:t>Psychology</w:t>
      </w:r>
      <w:r>
        <w:rPr>
          <w:i/>
          <w:spacing w:val="-3"/>
          <w:sz w:val="18"/>
        </w:rPr>
        <w:t> </w:t>
      </w:r>
      <w:r>
        <w:rPr>
          <w:i/>
          <w:sz w:val="18"/>
        </w:rPr>
        <w:t>and</w:t>
      </w:r>
      <w:r>
        <w:rPr>
          <w:i/>
          <w:spacing w:val="-1"/>
          <w:sz w:val="18"/>
        </w:rPr>
        <w:t> </w:t>
      </w:r>
      <w:r>
        <w:rPr>
          <w:i/>
          <w:sz w:val="18"/>
        </w:rPr>
        <w:t>Psychiatry</w:t>
      </w:r>
      <w:r>
        <w:rPr>
          <w:i/>
          <w:spacing w:val="-3"/>
          <w:sz w:val="18"/>
        </w:rPr>
        <w:t> </w:t>
      </w:r>
      <w:r>
        <w:rPr>
          <w:sz w:val="18"/>
        </w:rPr>
        <w:t>60,</w:t>
      </w:r>
      <w:r>
        <w:rPr>
          <w:spacing w:val="-4"/>
          <w:sz w:val="18"/>
        </w:rPr>
        <w:t> </w:t>
      </w:r>
      <w:r>
        <w:rPr>
          <w:sz w:val="18"/>
        </w:rPr>
        <w:t>no.</w:t>
      </w:r>
      <w:r>
        <w:rPr>
          <w:spacing w:val="-2"/>
          <w:sz w:val="18"/>
        </w:rPr>
        <w:t> </w:t>
      </w:r>
      <w:r>
        <w:rPr>
          <w:sz w:val="18"/>
        </w:rPr>
        <w:t>4</w:t>
      </w:r>
      <w:r>
        <w:rPr>
          <w:spacing w:val="-3"/>
          <w:sz w:val="18"/>
        </w:rPr>
        <w:t> </w:t>
      </w:r>
      <w:r>
        <w:rPr>
          <w:sz w:val="18"/>
        </w:rPr>
        <w:t>(April</w:t>
      </w:r>
      <w:r>
        <w:rPr>
          <w:spacing w:val="-3"/>
          <w:sz w:val="18"/>
        </w:rPr>
        <w:t> </w:t>
      </w:r>
      <w:r>
        <w:rPr>
          <w:sz w:val="18"/>
        </w:rPr>
        <w:t>2019):</w:t>
      </w:r>
      <w:r>
        <w:rPr>
          <w:spacing w:val="-3"/>
          <w:sz w:val="18"/>
        </w:rPr>
        <w:t> </w:t>
      </w:r>
      <w:r>
        <w:rPr>
          <w:sz w:val="18"/>
        </w:rPr>
        <w:t>455–72.</w:t>
      </w:r>
      <w:r>
        <w:rPr>
          <w:spacing w:val="-2"/>
          <w:sz w:val="18"/>
        </w:rPr>
        <w:t> </w:t>
      </w:r>
      <w:hyperlink r:id="rId261">
        <w:r>
          <w:rPr>
            <w:color w:val="1153CC"/>
            <w:spacing w:val="-2"/>
            <w:sz w:val="18"/>
            <w:u w:val="single" w:color="1153CC"/>
          </w:rPr>
          <w:t>https://doi.org/10.1111/jcpp.12937</w:t>
        </w:r>
      </w:hyperlink>
      <w:hyperlink r:id="rId261">
        <w:r>
          <w:rPr>
            <w:spacing w:val="-2"/>
            <w:sz w:val="18"/>
            <w:u w:val="none"/>
          </w:rPr>
          <w:t>.</w:t>
        </w:r>
      </w:hyperlink>
    </w:p>
    <w:p>
      <w:pPr>
        <w:spacing w:after="0"/>
        <w:jc w:val="left"/>
        <w:rPr>
          <w:sz w:val="18"/>
        </w:rPr>
        <w:sectPr>
          <w:pgSz w:w="12240" w:h="15840"/>
          <w:pgMar w:header="804" w:footer="1390" w:top="1080" w:bottom="1620" w:left="980" w:right="1080"/>
        </w:sectPr>
      </w:pPr>
    </w:p>
    <w:p>
      <w:pPr>
        <w:spacing w:before="68"/>
        <w:ind w:left="463" w:right="314" w:hanging="1"/>
        <w:jc w:val="left"/>
        <w:rPr>
          <w:sz w:val="18"/>
        </w:rPr>
      </w:pPr>
      <w:bookmarkStart w:name="_bookmark178" w:id="334"/>
      <w:bookmarkEnd w:id="334"/>
      <w:r>
        <w:rPr/>
      </w:r>
      <w:r>
        <w:rPr>
          <w:sz w:val="18"/>
          <w:vertAlign w:val="superscript"/>
        </w:rPr>
        <w:t>82</w:t>
      </w:r>
      <w:r>
        <w:rPr>
          <w:spacing w:val="-12"/>
          <w:sz w:val="18"/>
          <w:vertAlign w:val="baseline"/>
        </w:rPr>
        <w:t> </w:t>
      </w:r>
      <w:r>
        <w:rPr>
          <w:sz w:val="18"/>
          <w:vertAlign w:val="baseline"/>
        </w:rPr>
        <w:t>Willging, Cathleen E., Tania Israel, David Ley, Elise M. Trott, Catherine DeMaria, Aaron Joplin, and Verida Smiley. “Coaching Mental</w:t>
      </w:r>
      <w:r>
        <w:rPr>
          <w:spacing w:val="-3"/>
          <w:sz w:val="18"/>
          <w:vertAlign w:val="baseline"/>
        </w:rPr>
        <w:t> </w:t>
      </w:r>
      <w:r>
        <w:rPr>
          <w:sz w:val="18"/>
          <w:vertAlign w:val="baseline"/>
        </w:rPr>
        <w:t>Health</w:t>
      </w:r>
      <w:r>
        <w:rPr>
          <w:spacing w:val="-2"/>
          <w:sz w:val="18"/>
          <w:vertAlign w:val="baseline"/>
        </w:rPr>
        <w:t> </w:t>
      </w:r>
      <w:r>
        <w:rPr>
          <w:sz w:val="18"/>
          <w:vertAlign w:val="baseline"/>
        </w:rPr>
        <w:t>Peer</w:t>
      </w:r>
      <w:r>
        <w:rPr>
          <w:spacing w:val="-3"/>
          <w:sz w:val="18"/>
          <w:vertAlign w:val="baseline"/>
        </w:rPr>
        <w:t> </w:t>
      </w:r>
      <w:r>
        <w:rPr>
          <w:sz w:val="18"/>
          <w:vertAlign w:val="baseline"/>
        </w:rPr>
        <w:t>Advocates</w:t>
      </w:r>
      <w:r>
        <w:rPr>
          <w:spacing w:val="-3"/>
          <w:sz w:val="18"/>
          <w:vertAlign w:val="baseline"/>
        </w:rPr>
        <w:t> </w:t>
      </w:r>
      <w:r>
        <w:rPr>
          <w:sz w:val="18"/>
          <w:vertAlign w:val="baseline"/>
        </w:rPr>
        <w:t>for</w:t>
      </w:r>
      <w:r>
        <w:rPr>
          <w:spacing w:val="-3"/>
          <w:sz w:val="18"/>
          <w:vertAlign w:val="baseline"/>
        </w:rPr>
        <w:t> </w:t>
      </w:r>
      <w:r>
        <w:rPr>
          <w:sz w:val="18"/>
          <w:vertAlign w:val="baseline"/>
        </w:rPr>
        <w:t>Rural</w:t>
      </w:r>
      <w:r>
        <w:rPr>
          <w:spacing w:val="-3"/>
          <w:sz w:val="18"/>
          <w:vertAlign w:val="baseline"/>
        </w:rPr>
        <w:t> </w:t>
      </w:r>
      <w:r>
        <w:rPr>
          <w:sz w:val="18"/>
          <w:vertAlign w:val="baseline"/>
        </w:rPr>
        <w:t>LGBTQ</w:t>
      </w:r>
      <w:r>
        <w:rPr>
          <w:spacing w:val="-2"/>
          <w:sz w:val="18"/>
          <w:vertAlign w:val="baseline"/>
        </w:rPr>
        <w:t> </w:t>
      </w:r>
      <w:r>
        <w:rPr>
          <w:sz w:val="18"/>
          <w:vertAlign w:val="baseline"/>
        </w:rPr>
        <w:t>People.”</w:t>
      </w:r>
      <w:r>
        <w:rPr>
          <w:spacing w:val="-3"/>
          <w:sz w:val="18"/>
          <w:vertAlign w:val="baseline"/>
        </w:rPr>
        <w:t> </w:t>
      </w:r>
      <w:r>
        <w:rPr>
          <w:i/>
          <w:sz w:val="18"/>
          <w:vertAlign w:val="baseline"/>
        </w:rPr>
        <w:t>Journal</w:t>
      </w:r>
      <w:r>
        <w:rPr>
          <w:i/>
          <w:spacing w:val="-2"/>
          <w:sz w:val="18"/>
          <w:vertAlign w:val="baseline"/>
        </w:rPr>
        <w:t> </w:t>
      </w:r>
      <w:r>
        <w:rPr>
          <w:i/>
          <w:sz w:val="18"/>
          <w:vertAlign w:val="baseline"/>
        </w:rPr>
        <w:t>of</w:t>
      </w:r>
      <w:r>
        <w:rPr>
          <w:i/>
          <w:spacing w:val="-2"/>
          <w:sz w:val="18"/>
          <w:vertAlign w:val="baseline"/>
        </w:rPr>
        <w:t> </w:t>
      </w:r>
      <w:r>
        <w:rPr>
          <w:i/>
          <w:sz w:val="18"/>
          <w:vertAlign w:val="baseline"/>
        </w:rPr>
        <w:t>Gay</w:t>
      </w:r>
      <w:r>
        <w:rPr>
          <w:i/>
          <w:spacing w:val="-2"/>
          <w:sz w:val="18"/>
          <w:vertAlign w:val="baseline"/>
        </w:rPr>
        <w:t> </w:t>
      </w:r>
      <w:r>
        <w:rPr>
          <w:i/>
          <w:sz w:val="18"/>
          <w:vertAlign w:val="baseline"/>
        </w:rPr>
        <w:t>&amp;</w:t>
      </w:r>
      <w:r>
        <w:rPr>
          <w:i/>
          <w:spacing w:val="-3"/>
          <w:sz w:val="18"/>
          <w:vertAlign w:val="baseline"/>
        </w:rPr>
        <w:t> </w:t>
      </w:r>
      <w:r>
        <w:rPr>
          <w:i/>
          <w:sz w:val="18"/>
          <w:vertAlign w:val="baseline"/>
        </w:rPr>
        <w:t>Lesbian</w:t>
      </w:r>
      <w:r>
        <w:rPr>
          <w:i/>
          <w:spacing w:val="-3"/>
          <w:sz w:val="18"/>
          <w:vertAlign w:val="baseline"/>
        </w:rPr>
        <w:t> </w:t>
      </w:r>
      <w:r>
        <w:rPr>
          <w:i/>
          <w:sz w:val="18"/>
          <w:vertAlign w:val="baseline"/>
        </w:rPr>
        <w:t>Mental</w:t>
      </w:r>
      <w:r>
        <w:rPr>
          <w:i/>
          <w:spacing w:val="-3"/>
          <w:sz w:val="18"/>
          <w:vertAlign w:val="baseline"/>
        </w:rPr>
        <w:t> </w:t>
      </w:r>
      <w:r>
        <w:rPr>
          <w:i/>
          <w:sz w:val="18"/>
          <w:vertAlign w:val="baseline"/>
        </w:rPr>
        <w:t>Health</w:t>
      </w:r>
      <w:r>
        <w:rPr>
          <w:i/>
          <w:spacing w:val="-1"/>
          <w:sz w:val="18"/>
          <w:vertAlign w:val="baseline"/>
        </w:rPr>
        <w:t> </w:t>
      </w:r>
      <w:r>
        <w:rPr>
          <w:sz w:val="18"/>
          <w:vertAlign w:val="baseline"/>
        </w:rPr>
        <w:t>20,</w:t>
      </w:r>
      <w:r>
        <w:rPr>
          <w:spacing w:val="-3"/>
          <w:sz w:val="18"/>
          <w:vertAlign w:val="baseline"/>
        </w:rPr>
        <w:t> </w:t>
      </w:r>
      <w:r>
        <w:rPr>
          <w:sz w:val="18"/>
          <w:vertAlign w:val="baseline"/>
        </w:rPr>
        <w:t>no.</w:t>
      </w:r>
      <w:r>
        <w:rPr>
          <w:spacing w:val="-2"/>
          <w:sz w:val="18"/>
          <w:vertAlign w:val="baseline"/>
        </w:rPr>
        <w:t> </w:t>
      </w:r>
      <w:r>
        <w:rPr>
          <w:sz w:val="18"/>
          <w:vertAlign w:val="baseline"/>
        </w:rPr>
        <w:t>3</w:t>
      </w:r>
      <w:r>
        <w:rPr>
          <w:spacing w:val="-2"/>
          <w:sz w:val="18"/>
          <w:vertAlign w:val="baseline"/>
        </w:rPr>
        <w:t> </w:t>
      </w:r>
      <w:r>
        <w:rPr>
          <w:sz w:val="18"/>
          <w:vertAlign w:val="baseline"/>
        </w:rPr>
        <w:t>(July</w:t>
      </w:r>
      <w:r>
        <w:rPr>
          <w:spacing w:val="-2"/>
          <w:sz w:val="18"/>
          <w:vertAlign w:val="baseline"/>
        </w:rPr>
        <w:t> </w:t>
      </w:r>
      <w:r>
        <w:rPr>
          <w:sz w:val="18"/>
          <w:vertAlign w:val="baseline"/>
        </w:rPr>
        <w:t>2,</w:t>
      </w:r>
      <w:r>
        <w:rPr>
          <w:spacing w:val="-3"/>
          <w:sz w:val="18"/>
          <w:vertAlign w:val="baseline"/>
        </w:rPr>
        <w:t> </w:t>
      </w:r>
      <w:r>
        <w:rPr>
          <w:sz w:val="18"/>
          <w:vertAlign w:val="baseline"/>
        </w:rPr>
        <w:t>2016):</w:t>
      </w:r>
      <w:r>
        <w:rPr>
          <w:spacing w:val="-2"/>
          <w:sz w:val="18"/>
          <w:vertAlign w:val="baseline"/>
        </w:rPr>
        <w:t> </w:t>
      </w:r>
      <w:r>
        <w:rPr>
          <w:sz w:val="18"/>
          <w:vertAlign w:val="baseline"/>
        </w:rPr>
        <w:t>214–</w:t>
      </w:r>
    </w:p>
    <w:p>
      <w:pPr>
        <w:spacing w:line="219" w:lineRule="exact" w:before="0"/>
        <w:ind w:left="463" w:right="0" w:firstLine="0"/>
        <w:jc w:val="left"/>
        <w:rPr>
          <w:sz w:val="18"/>
        </w:rPr>
      </w:pPr>
      <w:r>
        <w:rPr>
          <w:sz w:val="18"/>
        </w:rPr>
        <w:t>36.</w:t>
      </w:r>
      <w:r>
        <w:rPr>
          <w:spacing w:val="-2"/>
          <w:sz w:val="18"/>
        </w:rPr>
        <w:t> </w:t>
      </w:r>
      <w:hyperlink r:id="rId262">
        <w:r>
          <w:rPr>
            <w:color w:val="1153CC"/>
            <w:spacing w:val="-2"/>
            <w:sz w:val="18"/>
            <w:u w:val="single" w:color="1153CC"/>
          </w:rPr>
          <w:t>https://doi.org/10.1080/19359705.2016.1166469</w:t>
        </w:r>
      </w:hyperlink>
      <w:hyperlink r:id="rId262">
        <w:r>
          <w:rPr>
            <w:spacing w:val="-2"/>
            <w:sz w:val="18"/>
            <w:u w:val="none"/>
          </w:rPr>
          <w:t>.</w:t>
        </w:r>
      </w:hyperlink>
    </w:p>
    <w:p>
      <w:pPr>
        <w:spacing w:before="0"/>
        <w:ind w:left="463" w:right="350" w:hanging="1"/>
        <w:jc w:val="left"/>
        <w:rPr>
          <w:sz w:val="18"/>
        </w:rPr>
      </w:pPr>
      <w:bookmarkStart w:name="_bookmark179" w:id="335"/>
      <w:bookmarkEnd w:id="335"/>
      <w:r>
        <w:rPr/>
      </w:r>
      <w:r>
        <w:rPr>
          <w:sz w:val="18"/>
          <w:vertAlign w:val="superscript"/>
        </w:rPr>
        <w:t>83</w:t>
      </w:r>
      <w:r>
        <w:rPr>
          <w:spacing w:val="-9"/>
          <w:sz w:val="18"/>
          <w:vertAlign w:val="baseline"/>
        </w:rPr>
        <w:t> </w:t>
      </w:r>
      <w:r>
        <w:rPr>
          <w:sz w:val="18"/>
          <w:vertAlign w:val="baseline"/>
        </w:rPr>
        <w:t>Noel, Lailea, Qi Chen, Liana J. Petruzzi, Farya Phillips, Ricardo Garay, Carmen Valdez, María P. Aranda, and Barbara Jones. “Interprofessional</w:t>
      </w:r>
      <w:r>
        <w:rPr>
          <w:spacing w:val="-4"/>
          <w:sz w:val="18"/>
          <w:vertAlign w:val="baseline"/>
        </w:rPr>
        <w:t> </w:t>
      </w:r>
      <w:r>
        <w:rPr>
          <w:sz w:val="18"/>
          <w:vertAlign w:val="baseline"/>
        </w:rPr>
        <w:t>Collaboration</w:t>
      </w:r>
      <w:r>
        <w:rPr>
          <w:spacing w:val="-3"/>
          <w:sz w:val="18"/>
          <w:vertAlign w:val="baseline"/>
        </w:rPr>
        <w:t> </w:t>
      </w:r>
      <w:r>
        <w:rPr>
          <w:sz w:val="18"/>
          <w:vertAlign w:val="baseline"/>
        </w:rPr>
        <w:t>between</w:t>
      </w:r>
      <w:r>
        <w:rPr>
          <w:spacing w:val="-3"/>
          <w:sz w:val="18"/>
          <w:vertAlign w:val="baseline"/>
        </w:rPr>
        <w:t> </w:t>
      </w:r>
      <w:r>
        <w:rPr>
          <w:sz w:val="18"/>
          <w:vertAlign w:val="baseline"/>
        </w:rPr>
        <w:t>Social</w:t>
      </w:r>
      <w:r>
        <w:rPr>
          <w:spacing w:val="-4"/>
          <w:sz w:val="18"/>
          <w:vertAlign w:val="baseline"/>
        </w:rPr>
        <w:t> </w:t>
      </w:r>
      <w:r>
        <w:rPr>
          <w:sz w:val="18"/>
          <w:vertAlign w:val="baseline"/>
        </w:rPr>
        <w:t>Workers</w:t>
      </w:r>
      <w:r>
        <w:rPr>
          <w:spacing w:val="-3"/>
          <w:sz w:val="18"/>
          <w:vertAlign w:val="baseline"/>
        </w:rPr>
        <w:t> </w:t>
      </w:r>
      <w:r>
        <w:rPr>
          <w:sz w:val="18"/>
          <w:vertAlign w:val="baseline"/>
        </w:rPr>
        <w:t>and</w:t>
      </w:r>
      <w:r>
        <w:rPr>
          <w:spacing w:val="-3"/>
          <w:sz w:val="18"/>
          <w:vertAlign w:val="baseline"/>
        </w:rPr>
        <w:t> </w:t>
      </w:r>
      <w:r>
        <w:rPr>
          <w:sz w:val="18"/>
          <w:vertAlign w:val="baseline"/>
        </w:rPr>
        <w:t>Community</w:t>
      </w:r>
      <w:r>
        <w:rPr>
          <w:spacing w:val="-3"/>
          <w:sz w:val="18"/>
          <w:vertAlign w:val="baseline"/>
        </w:rPr>
        <w:t> </w:t>
      </w:r>
      <w:r>
        <w:rPr>
          <w:sz w:val="18"/>
          <w:vertAlign w:val="baseline"/>
        </w:rPr>
        <w:t>Health</w:t>
      </w:r>
      <w:r>
        <w:rPr>
          <w:spacing w:val="-3"/>
          <w:sz w:val="18"/>
          <w:vertAlign w:val="baseline"/>
        </w:rPr>
        <w:t> </w:t>
      </w:r>
      <w:r>
        <w:rPr>
          <w:sz w:val="18"/>
          <w:vertAlign w:val="baseline"/>
        </w:rPr>
        <w:t>Workers</w:t>
      </w:r>
      <w:r>
        <w:rPr>
          <w:spacing w:val="-3"/>
          <w:sz w:val="18"/>
          <w:vertAlign w:val="baseline"/>
        </w:rPr>
        <w:t> </w:t>
      </w:r>
      <w:r>
        <w:rPr>
          <w:sz w:val="18"/>
          <w:vertAlign w:val="baseline"/>
        </w:rPr>
        <w:t>to</w:t>
      </w:r>
      <w:r>
        <w:rPr>
          <w:spacing w:val="-3"/>
          <w:sz w:val="18"/>
          <w:vertAlign w:val="baseline"/>
        </w:rPr>
        <w:t> </w:t>
      </w:r>
      <w:r>
        <w:rPr>
          <w:sz w:val="18"/>
          <w:vertAlign w:val="baseline"/>
        </w:rPr>
        <w:t>Address</w:t>
      </w:r>
      <w:r>
        <w:rPr>
          <w:spacing w:val="-3"/>
          <w:sz w:val="18"/>
          <w:vertAlign w:val="baseline"/>
        </w:rPr>
        <w:t> </w:t>
      </w:r>
      <w:r>
        <w:rPr>
          <w:sz w:val="18"/>
          <w:vertAlign w:val="baseline"/>
        </w:rPr>
        <w:t>Health</w:t>
      </w:r>
      <w:r>
        <w:rPr>
          <w:spacing w:val="-3"/>
          <w:sz w:val="18"/>
          <w:vertAlign w:val="baseline"/>
        </w:rPr>
        <w:t> </w:t>
      </w:r>
      <w:r>
        <w:rPr>
          <w:sz w:val="18"/>
          <w:vertAlign w:val="baseline"/>
        </w:rPr>
        <w:t>and</w:t>
      </w:r>
      <w:r>
        <w:rPr>
          <w:spacing w:val="-4"/>
          <w:sz w:val="18"/>
          <w:vertAlign w:val="baseline"/>
        </w:rPr>
        <w:t> </w:t>
      </w:r>
      <w:r>
        <w:rPr>
          <w:sz w:val="18"/>
          <w:vertAlign w:val="baseline"/>
        </w:rPr>
        <w:t>Mental</w:t>
      </w:r>
      <w:r>
        <w:rPr>
          <w:spacing w:val="-4"/>
          <w:sz w:val="18"/>
          <w:vertAlign w:val="baseline"/>
        </w:rPr>
        <w:t> </w:t>
      </w:r>
      <w:r>
        <w:rPr>
          <w:sz w:val="18"/>
          <w:vertAlign w:val="baseline"/>
        </w:rPr>
        <w:t>Health in the United States: A Systematised Review.” </w:t>
      </w:r>
      <w:r>
        <w:rPr>
          <w:i/>
          <w:sz w:val="18"/>
          <w:vertAlign w:val="baseline"/>
        </w:rPr>
        <w:t>Health &amp; Social Care in the Community </w:t>
      </w:r>
      <w:r>
        <w:rPr>
          <w:sz w:val="18"/>
          <w:vertAlign w:val="baseline"/>
        </w:rPr>
        <w:t>30, no. 6 (November 2022). </w:t>
      </w:r>
      <w:bookmarkStart w:name="_bookmark180" w:id="336"/>
      <w:bookmarkEnd w:id="336"/>
      <w:r>
        <w:rPr>
          <w:sz w:val="18"/>
          <w:vertAlign w:val="baseline"/>
        </w:rPr>
      </w:r>
      <w:hyperlink r:id="rId263">
        <w:r>
          <w:rPr>
            <w:color w:val="1153CC"/>
            <w:spacing w:val="-2"/>
            <w:sz w:val="18"/>
            <w:u w:val="single" w:color="1153CC"/>
            <w:vertAlign w:val="baseline"/>
          </w:rPr>
          <w:t>https://doi.org/10.1111/hsc.14061</w:t>
        </w:r>
      </w:hyperlink>
      <w:hyperlink r:id="rId263">
        <w:r>
          <w:rPr>
            <w:spacing w:val="-2"/>
            <w:sz w:val="18"/>
            <w:u w:val="none"/>
            <w:vertAlign w:val="baseline"/>
          </w:rPr>
          <w:t>.</w:t>
        </w:r>
      </w:hyperlink>
    </w:p>
    <w:p>
      <w:pPr>
        <w:spacing w:before="0"/>
        <w:ind w:left="463" w:right="314" w:hanging="1"/>
        <w:jc w:val="left"/>
        <w:rPr>
          <w:sz w:val="18"/>
        </w:rPr>
      </w:pPr>
      <w:r>
        <w:rPr>
          <w:sz w:val="18"/>
          <w:vertAlign w:val="superscript"/>
        </w:rPr>
        <w:t>84</w:t>
      </w:r>
      <w:r>
        <w:rPr>
          <w:spacing w:val="-8"/>
          <w:sz w:val="18"/>
          <w:vertAlign w:val="baseline"/>
        </w:rPr>
        <w:t> </w:t>
      </w:r>
      <w:r>
        <w:rPr>
          <w:sz w:val="18"/>
          <w:vertAlign w:val="baseline"/>
        </w:rPr>
        <w:t>Goldbach, Jeremy T., Harmony Rhoades, Joshua Rusow, and Peter Karys. “The Development of Proud &amp; Empowered: An Intervention</w:t>
      </w:r>
      <w:r>
        <w:rPr>
          <w:spacing w:val="-2"/>
          <w:sz w:val="18"/>
          <w:vertAlign w:val="baseline"/>
        </w:rPr>
        <w:t> </w:t>
      </w:r>
      <w:r>
        <w:rPr>
          <w:sz w:val="18"/>
          <w:vertAlign w:val="baseline"/>
        </w:rPr>
        <w:t>for</w:t>
      </w:r>
      <w:r>
        <w:rPr>
          <w:spacing w:val="-4"/>
          <w:sz w:val="18"/>
          <w:vertAlign w:val="baseline"/>
        </w:rPr>
        <w:t> </w:t>
      </w:r>
      <w:r>
        <w:rPr>
          <w:sz w:val="18"/>
          <w:vertAlign w:val="baseline"/>
        </w:rPr>
        <w:t>Promoting</w:t>
      </w:r>
      <w:r>
        <w:rPr>
          <w:spacing w:val="-2"/>
          <w:sz w:val="18"/>
          <w:vertAlign w:val="baseline"/>
        </w:rPr>
        <w:t> </w:t>
      </w:r>
      <w:r>
        <w:rPr>
          <w:sz w:val="18"/>
          <w:vertAlign w:val="baseline"/>
        </w:rPr>
        <w:t>LGBTQ</w:t>
      </w:r>
      <w:r>
        <w:rPr>
          <w:spacing w:val="-2"/>
          <w:sz w:val="18"/>
          <w:vertAlign w:val="baseline"/>
        </w:rPr>
        <w:t> </w:t>
      </w:r>
      <w:r>
        <w:rPr>
          <w:sz w:val="18"/>
          <w:vertAlign w:val="baseline"/>
        </w:rPr>
        <w:t>Adolescent</w:t>
      </w:r>
      <w:r>
        <w:rPr>
          <w:spacing w:val="-3"/>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i/>
          <w:sz w:val="18"/>
          <w:vertAlign w:val="baseline"/>
        </w:rPr>
        <w:t>Child</w:t>
      </w:r>
      <w:r>
        <w:rPr>
          <w:i/>
          <w:spacing w:val="-3"/>
          <w:sz w:val="18"/>
          <w:vertAlign w:val="baseline"/>
        </w:rPr>
        <w:t> </w:t>
      </w:r>
      <w:r>
        <w:rPr>
          <w:i/>
          <w:sz w:val="18"/>
          <w:vertAlign w:val="baseline"/>
        </w:rPr>
        <w:t>Psychiatry</w:t>
      </w:r>
      <w:r>
        <w:rPr>
          <w:i/>
          <w:spacing w:val="-2"/>
          <w:sz w:val="18"/>
          <w:vertAlign w:val="baseline"/>
        </w:rPr>
        <w:t> </w:t>
      </w:r>
      <w:r>
        <w:rPr>
          <w:i/>
          <w:sz w:val="18"/>
          <w:vertAlign w:val="baseline"/>
        </w:rPr>
        <w:t>&amp;</w:t>
      </w:r>
      <w:r>
        <w:rPr>
          <w:i/>
          <w:spacing w:val="-2"/>
          <w:sz w:val="18"/>
          <w:vertAlign w:val="baseline"/>
        </w:rPr>
        <w:t> </w:t>
      </w:r>
      <w:r>
        <w:rPr>
          <w:i/>
          <w:sz w:val="18"/>
          <w:vertAlign w:val="baseline"/>
        </w:rPr>
        <w:t>Human</w:t>
      </w:r>
      <w:r>
        <w:rPr>
          <w:i/>
          <w:spacing w:val="-3"/>
          <w:sz w:val="18"/>
          <w:vertAlign w:val="baseline"/>
        </w:rPr>
        <w:t> </w:t>
      </w:r>
      <w:r>
        <w:rPr>
          <w:i/>
          <w:sz w:val="18"/>
          <w:vertAlign w:val="baseline"/>
        </w:rPr>
        <w:t>Development</w:t>
      </w:r>
      <w:r>
        <w:rPr>
          <w:i/>
          <w:spacing w:val="-3"/>
          <w:sz w:val="18"/>
          <w:vertAlign w:val="baseline"/>
        </w:rPr>
        <w:t> </w:t>
      </w:r>
      <w:r>
        <w:rPr>
          <w:sz w:val="18"/>
          <w:vertAlign w:val="baseline"/>
        </w:rPr>
        <w:t>54,</w:t>
      </w:r>
      <w:r>
        <w:rPr>
          <w:spacing w:val="-3"/>
          <w:sz w:val="18"/>
          <w:vertAlign w:val="baseline"/>
        </w:rPr>
        <w:t> </w:t>
      </w:r>
      <w:r>
        <w:rPr>
          <w:sz w:val="18"/>
          <w:vertAlign w:val="baseline"/>
        </w:rPr>
        <w:t>no.</w:t>
      </w:r>
      <w:r>
        <w:rPr>
          <w:spacing w:val="-2"/>
          <w:sz w:val="18"/>
          <w:vertAlign w:val="baseline"/>
        </w:rPr>
        <w:t> </w:t>
      </w:r>
      <w:r>
        <w:rPr>
          <w:sz w:val="18"/>
          <w:vertAlign w:val="baseline"/>
        </w:rPr>
        <w:t>2</w:t>
      </w:r>
      <w:r>
        <w:rPr>
          <w:spacing w:val="-2"/>
          <w:sz w:val="18"/>
          <w:vertAlign w:val="baseline"/>
        </w:rPr>
        <w:t> </w:t>
      </w:r>
      <w:r>
        <w:rPr>
          <w:sz w:val="18"/>
          <w:vertAlign w:val="baseline"/>
        </w:rPr>
        <w:t>(April</w:t>
      </w:r>
      <w:r>
        <w:rPr>
          <w:spacing w:val="-3"/>
          <w:sz w:val="18"/>
          <w:vertAlign w:val="baseline"/>
        </w:rPr>
        <w:t> </w:t>
      </w:r>
      <w:r>
        <w:rPr>
          <w:sz w:val="18"/>
          <w:vertAlign w:val="baseline"/>
        </w:rPr>
        <w:t>1,</w:t>
      </w:r>
      <w:r>
        <w:rPr>
          <w:spacing w:val="-3"/>
          <w:sz w:val="18"/>
          <w:vertAlign w:val="baseline"/>
        </w:rPr>
        <w:t> </w:t>
      </w:r>
      <w:r>
        <w:rPr>
          <w:sz w:val="18"/>
          <w:vertAlign w:val="baseline"/>
        </w:rPr>
        <w:t>2023): </w:t>
      </w:r>
      <w:bookmarkStart w:name="_bookmark181" w:id="337"/>
      <w:bookmarkEnd w:id="337"/>
      <w:r>
        <w:rPr>
          <w:sz w:val="18"/>
          <w:vertAlign w:val="baseline"/>
        </w:rPr>
        <w:t>481–</w:t>
      </w:r>
      <w:r>
        <w:rPr>
          <w:sz w:val="18"/>
          <w:vertAlign w:val="baseline"/>
        </w:rPr>
        <w:t>92. </w:t>
      </w:r>
      <w:hyperlink r:id="rId264">
        <w:r>
          <w:rPr>
            <w:color w:val="1153CC"/>
            <w:sz w:val="18"/>
            <w:u w:val="single" w:color="1153CC"/>
            <w:vertAlign w:val="baseline"/>
          </w:rPr>
          <w:t>https://doi.org/10.1007/s10578-021-01250-2</w:t>
        </w:r>
      </w:hyperlink>
      <w:hyperlink r:id="rId264">
        <w:r>
          <w:rPr>
            <w:sz w:val="18"/>
            <w:u w:val="none"/>
            <w:vertAlign w:val="baseline"/>
          </w:rPr>
          <w:t>.</w:t>
        </w:r>
      </w:hyperlink>
    </w:p>
    <w:p>
      <w:pPr>
        <w:spacing w:before="1"/>
        <w:ind w:left="463" w:right="482" w:firstLine="0"/>
        <w:jc w:val="both"/>
        <w:rPr>
          <w:sz w:val="18"/>
        </w:rPr>
      </w:pPr>
      <w:r>
        <w:rPr>
          <w:sz w:val="18"/>
          <w:vertAlign w:val="superscript"/>
        </w:rPr>
        <w:t>85</w:t>
      </w:r>
      <w:r>
        <w:rPr>
          <w:spacing w:val="-11"/>
          <w:sz w:val="18"/>
          <w:vertAlign w:val="baseline"/>
        </w:rPr>
        <w:t> </w:t>
      </w:r>
      <w:r>
        <w:rPr>
          <w:sz w:val="18"/>
          <w:vertAlign w:val="baseline"/>
        </w:rPr>
        <w:t>Jivanjee,</w:t>
      </w:r>
      <w:r>
        <w:rPr>
          <w:spacing w:val="-6"/>
          <w:sz w:val="18"/>
          <w:vertAlign w:val="baseline"/>
        </w:rPr>
        <w:t> </w:t>
      </w:r>
      <w:r>
        <w:rPr>
          <w:sz w:val="18"/>
          <w:vertAlign w:val="baseline"/>
        </w:rPr>
        <w:t>Pauline,</w:t>
      </w:r>
      <w:r>
        <w:rPr>
          <w:spacing w:val="-3"/>
          <w:sz w:val="18"/>
          <w:vertAlign w:val="baseline"/>
        </w:rPr>
        <w:t> </w:t>
      </w:r>
      <w:r>
        <w:rPr>
          <w:sz w:val="18"/>
          <w:vertAlign w:val="baseline"/>
        </w:rPr>
        <w:t>Leigh</w:t>
      </w:r>
      <w:r>
        <w:rPr>
          <w:spacing w:val="-2"/>
          <w:sz w:val="18"/>
          <w:vertAlign w:val="baseline"/>
        </w:rPr>
        <w:t> </w:t>
      </w:r>
      <w:r>
        <w:rPr>
          <w:sz w:val="18"/>
          <w:vertAlign w:val="baseline"/>
        </w:rPr>
        <w:t>Grover,</w:t>
      </w:r>
      <w:r>
        <w:rPr>
          <w:spacing w:val="-3"/>
          <w:sz w:val="18"/>
          <w:vertAlign w:val="baseline"/>
        </w:rPr>
        <w:t> </w:t>
      </w:r>
      <w:r>
        <w:rPr>
          <w:sz w:val="18"/>
          <w:vertAlign w:val="baseline"/>
        </w:rPr>
        <w:t>Kristin</w:t>
      </w:r>
      <w:r>
        <w:rPr>
          <w:spacing w:val="-2"/>
          <w:sz w:val="18"/>
          <w:vertAlign w:val="baseline"/>
        </w:rPr>
        <w:t> </w:t>
      </w:r>
      <w:r>
        <w:rPr>
          <w:sz w:val="18"/>
          <w:vertAlign w:val="baseline"/>
        </w:rPr>
        <w:t>Thorp,</w:t>
      </w:r>
      <w:r>
        <w:rPr>
          <w:spacing w:val="-3"/>
          <w:sz w:val="18"/>
          <w:vertAlign w:val="baseline"/>
        </w:rPr>
        <w:t> </w:t>
      </w:r>
      <w:r>
        <w:rPr>
          <w:sz w:val="18"/>
          <w:vertAlign w:val="baseline"/>
        </w:rPr>
        <w:t>Brie</w:t>
      </w:r>
      <w:r>
        <w:rPr>
          <w:spacing w:val="-2"/>
          <w:sz w:val="18"/>
          <w:vertAlign w:val="baseline"/>
        </w:rPr>
        <w:t> </w:t>
      </w:r>
      <w:r>
        <w:rPr>
          <w:sz w:val="18"/>
          <w:vertAlign w:val="baseline"/>
        </w:rPr>
        <w:t>Masselli,</w:t>
      </w:r>
      <w:r>
        <w:rPr>
          <w:spacing w:val="-3"/>
          <w:sz w:val="18"/>
          <w:vertAlign w:val="baseline"/>
        </w:rPr>
        <w:t> </w:t>
      </w:r>
      <w:r>
        <w:rPr>
          <w:sz w:val="18"/>
          <w:vertAlign w:val="baseline"/>
        </w:rPr>
        <w:t>Johanna</w:t>
      </w:r>
      <w:r>
        <w:rPr>
          <w:spacing w:val="-2"/>
          <w:sz w:val="18"/>
          <w:vertAlign w:val="baseline"/>
        </w:rPr>
        <w:t> </w:t>
      </w:r>
      <w:r>
        <w:rPr>
          <w:sz w:val="18"/>
          <w:vertAlign w:val="baseline"/>
        </w:rPr>
        <w:t>Bergan,</w:t>
      </w:r>
      <w:r>
        <w:rPr>
          <w:spacing w:val="-3"/>
          <w:sz w:val="18"/>
          <w:vertAlign w:val="baseline"/>
        </w:rPr>
        <w:t> </w:t>
      </w:r>
      <w:r>
        <w:rPr>
          <w:sz w:val="18"/>
          <w:vertAlign w:val="baseline"/>
        </w:rPr>
        <w:t>and</w:t>
      </w:r>
      <w:r>
        <w:rPr>
          <w:spacing w:val="-2"/>
          <w:sz w:val="18"/>
          <w:vertAlign w:val="baseline"/>
        </w:rPr>
        <w:t> </w:t>
      </w:r>
      <w:r>
        <w:rPr>
          <w:sz w:val="18"/>
          <w:vertAlign w:val="baseline"/>
        </w:rPr>
        <w:t>Eileen</w:t>
      </w:r>
      <w:r>
        <w:rPr>
          <w:spacing w:val="-2"/>
          <w:sz w:val="18"/>
          <w:vertAlign w:val="baseline"/>
        </w:rPr>
        <w:t> </w:t>
      </w:r>
      <w:r>
        <w:rPr>
          <w:sz w:val="18"/>
          <w:vertAlign w:val="baseline"/>
        </w:rPr>
        <w:t>M.</w:t>
      </w:r>
      <w:r>
        <w:rPr>
          <w:spacing w:val="-2"/>
          <w:sz w:val="18"/>
          <w:vertAlign w:val="baseline"/>
        </w:rPr>
        <w:t> </w:t>
      </w:r>
      <w:r>
        <w:rPr>
          <w:sz w:val="18"/>
          <w:vertAlign w:val="baseline"/>
        </w:rPr>
        <w:t>Brennan.</w:t>
      </w:r>
      <w:r>
        <w:rPr>
          <w:spacing w:val="-2"/>
          <w:sz w:val="18"/>
          <w:vertAlign w:val="baseline"/>
        </w:rPr>
        <w:t> </w:t>
      </w:r>
      <w:r>
        <w:rPr>
          <w:sz w:val="18"/>
          <w:vertAlign w:val="baseline"/>
        </w:rPr>
        <w:t>“Training</w:t>
      </w:r>
      <w:r>
        <w:rPr>
          <w:spacing w:val="-2"/>
          <w:sz w:val="18"/>
          <w:vertAlign w:val="baseline"/>
        </w:rPr>
        <w:t> </w:t>
      </w:r>
      <w:r>
        <w:rPr>
          <w:sz w:val="18"/>
          <w:vertAlign w:val="baseline"/>
        </w:rPr>
        <w:t>Needs</w:t>
      </w:r>
      <w:r>
        <w:rPr>
          <w:spacing w:val="-2"/>
          <w:sz w:val="18"/>
          <w:vertAlign w:val="baseline"/>
        </w:rPr>
        <w:t> </w:t>
      </w:r>
      <w:r>
        <w:rPr>
          <w:sz w:val="18"/>
          <w:vertAlign w:val="baseline"/>
        </w:rPr>
        <w:t>of</w:t>
      </w:r>
      <w:r>
        <w:rPr>
          <w:spacing w:val="-3"/>
          <w:sz w:val="18"/>
          <w:vertAlign w:val="baseline"/>
        </w:rPr>
        <w:t> </w:t>
      </w:r>
      <w:r>
        <w:rPr>
          <w:sz w:val="18"/>
          <w:vertAlign w:val="baseline"/>
        </w:rPr>
        <w:t>Peer and</w:t>
      </w:r>
      <w:r>
        <w:rPr>
          <w:spacing w:val="-2"/>
          <w:sz w:val="18"/>
          <w:vertAlign w:val="baseline"/>
        </w:rPr>
        <w:t> </w:t>
      </w:r>
      <w:r>
        <w:rPr>
          <w:sz w:val="18"/>
          <w:vertAlign w:val="baseline"/>
        </w:rPr>
        <w:t>Non-Peer</w:t>
      </w:r>
      <w:r>
        <w:rPr>
          <w:spacing w:val="-3"/>
          <w:sz w:val="18"/>
          <w:vertAlign w:val="baseline"/>
        </w:rPr>
        <w:t> </w:t>
      </w:r>
      <w:r>
        <w:rPr>
          <w:sz w:val="18"/>
          <w:vertAlign w:val="baseline"/>
        </w:rPr>
        <w:t>Transition</w:t>
      </w:r>
      <w:r>
        <w:rPr>
          <w:spacing w:val="-2"/>
          <w:sz w:val="18"/>
          <w:vertAlign w:val="baseline"/>
        </w:rPr>
        <w:t> </w:t>
      </w:r>
      <w:r>
        <w:rPr>
          <w:sz w:val="18"/>
          <w:vertAlign w:val="baseline"/>
        </w:rPr>
        <w:t>Service</w:t>
      </w:r>
      <w:r>
        <w:rPr>
          <w:spacing w:val="-2"/>
          <w:sz w:val="18"/>
          <w:vertAlign w:val="baseline"/>
        </w:rPr>
        <w:t> </w:t>
      </w:r>
      <w:r>
        <w:rPr>
          <w:sz w:val="18"/>
          <w:vertAlign w:val="baseline"/>
        </w:rPr>
        <w:t>Providers:</w:t>
      </w:r>
      <w:r>
        <w:rPr>
          <w:spacing w:val="-2"/>
          <w:sz w:val="18"/>
          <w:vertAlign w:val="baseline"/>
        </w:rPr>
        <w:t> </w:t>
      </w:r>
      <w:r>
        <w:rPr>
          <w:sz w:val="18"/>
          <w:vertAlign w:val="baseline"/>
        </w:rPr>
        <w:t>Results</w:t>
      </w:r>
      <w:r>
        <w:rPr>
          <w:spacing w:val="-2"/>
          <w:sz w:val="18"/>
          <w:vertAlign w:val="baseline"/>
        </w:rPr>
        <w:t> </w:t>
      </w:r>
      <w:r>
        <w:rPr>
          <w:sz w:val="18"/>
          <w:vertAlign w:val="baseline"/>
        </w:rPr>
        <w:t>of</w:t>
      </w:r>
      <w:r>
        <w:rPr>
          <w:spacing w:val="-2"/>
          <w:sz w:val="18"/>
          <w:vertAlign w:val="baseline"/>
        </w:rPr>
        <w:t> </w:t>
      </w:r>
      <w:r>
        <w:rPr>
          <w:sz w:val="18"/>
          <w:vertAlign w:val="baseline"/>
        </w:rPr>
        <w:t>a</w:t>
      </w:r>
      <w:r>
        <w:rPr>
          <w:spacing w:val="-2"/>
          <w:sz w:val="18"/>
          <w:vertAlign w:val="baseline"/>
        </w:rPr>
        <w:t> </w:t>
      </w:r>
      <w:r>
        <w:rPr>
          <w:sz w:val="18"/>
          <w:vertAlign w:val="baseline"/>
        </w:rPr>
        <w:t>National</w:t>
      </w:r>
      <w:r>
        <w:rPr>
          <w:spacing w:val="-3"/>
          <w:sz w:val="18"/>
          <w:vertAlign w:val="baseline"/>
        </w:rPr>
        <w:t> </w:t>
      </w:r>
      <w:r>
        <w:rPr>
          <w:sz w:val="18"/>
          <w:vertAlign w:val="baseline"/>
        </w:rPr>
        <w:t>Survey.”</w:t>
      </w:r>
      <w:r>
        <w:rPr>
          <w:spacing w:val="-2"/>
          <w:sz w:val="18"/>
          <w:vertAlign w:val="baseline"/>
        </w:rPr>
        <w:t> </w:t>
      </w:r>
      <w:r>
        <w:rPr>
          <w:i/>
          <w:sz w:val="18"/>
          <w:vertAlign w:val="baseline"/>
        </w:rPr>
        <w:t>The</w:t>
      </w:r>
      <w:r>
        <w:rPr>
          <w:i/>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Behavioral</w:t>
      </w:r>
      <w:r>
        <w:rPr>
          <w:i/>
          <w:spacing w:val="-3"/>
          <w:sz w:val="18"/>
          <w:vertAlign w:val="baseline"/>
        </w:rPr>
        <w:t> </w:t>
      </w:r>
      <w:r>
        <w:rPr>
          <w:i/>
          <w:sz w:val="18"/>
          <w:vertAlign w:val="baseline"/>
        </w:rPr>
        <w:t>Health</w:t>
      </w:r>
      <w:r>
        <w:rPr>
          <w:i/>
          <w:spacing w:val="-2"/>
          <w:sz w:val="18"/>
          <w:vertAlign w:val="baseline"/>
        </w:rPr>
        <w:t> </w:t>
      </w:r>
      <w:r>
        <w:rPr>
          <w:i/>
          <w:sz w:val="18"/>
          <w:vertAlign w:val="baseline"/>
        </w:rPr>
        <w:t>Services</w:t>
      </w:r>
      <w:r>
        <w:rPr>
          <w:i/>
          <w:spacing w:val="-3"/>
          <w:sz w:val="18"/>
          <w:vertAlign w:val="baseline"/>
        </w:rPr>
        <w:t> </w:t>
      </w:r>
      <w:r>
        <w:rPr>
          <w:i/>
          <w:sz w:val="18"/>
          <w:vertAlign w:val="baseline"/>
        </w:rPr>
        <w:t>&amp;</w:t>
      </w:r>
      <w:r>
        <w:rPr>
          <w:i/>
          <w:spacing w:val="-3"/>
          <w:sz w:val="18"/>
          <w:vertAlign w:val="baseline"/>
        </w:rPr>
        <w:t> </w:t>
      </w:r>
      <w:r>
        <w:rPr>
          <w:i/>
          <w:sz w:val="18"/>
          <w:vertAlign w:val="baseline"/>
        </w:rPr>
        <w:t>Research</w:t>
      </w:r>
      <w:r>
        <w:rPr>
          <w:i/>
          <w:sz w:val="18"/>
          <w:vertAlign w:val="baseline"/>
        </w:rPr>
        <w:t> </w:t>
      </w:r>
      <w:bookmarkStart w:name="_bookmark182" w:id="338"/>
      <w:bookmarkEnd w:id="338"/>
      <w:r>
        <w:rPr>
          <w:i/>
          <w:spacing w:val="-1"/>
          <w:sz w:val="18"/>
          <w:vertAlign w:val="baseline"/>
        </w:rPr>
      </w:r>
      <w:r>
        <w:rPr>
          <w:sz w:val="18"/>
          <w:vertAlign w:val="baseline"/>
        </w:rPr>
        <w:t>47, no. 1 (January 1, 2020): 4–20. </w:t>
      </w:r>
      <w:hyperlink r:id="rId265">
        <w:r>
          <w:rPr>
            <w:color w:val="1153CC"/>
            <w:sz w:val="18"/>
            <w:u w:val="single" w:color="1153CC"/>
            <w:vertAlign w:val="baseline"/>
          </w:rPr>
          <w:t>https://doi.org/10.1007/s11414-019-09667-3</w:t>
        </w:r>
      </w:hyperlink>
      <w:hyperlink r:id="rId265">
        <w:r>
          <w:rPr>
            <w:sz w:val="18"/>
            <w:u w:val="none"/>
            <w:vertAlign w:val="baseline"/>
          </w:rPr>
          <w:t>.</w:t>
        </w:r>
      </w:hyperlink>
    </w:p>
    <w:p>
      <w:pPr>
        <w:spacing w:line="219" w:lineRule="exact" w:before="0"/>
        <w:ind w:left="463" w:right="0" w:firstLine="0"/>
        <w:jc w:val="both"/>
        <w:rPr>
          <w:sz w:val="18"/>
        </w:rPr>
      </w:pPr>
      <w:r>
        <w:rPr>
          <w:sz w:val="18"/>
          <w:vertAlign w:val="superscript"/>
        </w:rPr>
        <w:t>86</w:t>
      </w:r>
      <w:r>
        <w:rPr>
          <w:spacing w:val="-15"/>
          <w:sz w:val="18"/>
          <w:vertAlign w:val="baseline"/>
        </w:rPr>
        <w:t> </w:t>
      </w:r>
      <w:r>
        <w:rPr>
          <w:sz w:val="18"/>
          <w:vertAlign w:val="baseline"/>
        </w:rPr>
        <w:t>Marsico,</w:t>
      </w:r>
      <w:r>
        <w:rPr>
          <w:spacing w:val="-5"/>
          <w:sz w:val="18"/>
          <w:vertAlign w:val="baseline"/>
        </w:rPr>
        <w:t> </w:t>
      </w:r>
      <w:r>
        <w:rPr>
          <w:sz w:val="18"/>
          <w:vertAlign w:val="baseline"/>
        </w:rPr>
        <w:t>Kristen</w:t>
      </w:r>
      <w:r>
        <w:rPr>
          <w:spacing w:val="-1"/>
          <w:sz w:val="18"/>
          <w:vertAlign w:val="baseline"/>
        </w:rPr>
        <w:t> </w:t>
      </w:r>
      <w:r>
        <w:rPr>
          <w:sz w:val="18"/>
          <w:vertAlign w:val="baseline"/>
        </w:rPr>
        <w:t>F.,</w:t>
      </w:r>
      <w:r>
        <w:rPr>
          <w:spacing w:val="-3"/>
          <w:sz w:val="18"/>
          <w:vertAlign w:val="baseline"/>
        </w:rPr>
        <w:t> </w:t>
      </w:r>
      <w:r>
        <w:rPr>
          <w:sz w:val="18"/>
          <w:vertAlign w:val="baseline"/>
        </w:rPr>
        <w:t>Cixin</w:t>
      </w:r>
      <w:r>
        <w:rPr>
          <w:spacing w:val="-2"/>
          <w:sz w:val="18"/>
          <w:vertAlign w:val="baseline"/>
        </w:rPr>
        <w:t> </w:t>
      </w:r>
      <w:r>
        <w:rPr>
          <w:sz w:val="18"/>
          <w:vertAlign w:val="baseline"/>
        </w:rPr>
        <w:t>Wang,</w:t>
      </w:r>
      <w:r>
        <w:rPr>
          <w:spacing w:val="-3"/>
          <w:sz w:val="18"/>
          <w:vertAlign w:val="baseline"/>
        </w:rPr>
        <w:t> </w:t>
      </w:r>
      <w:r>
        <w:rPr>
          <w:sz w:val="18"/>
          <w:vertAlign w:val="baseline"/>
        </w:rPr>
        <w:t>and</w:t>
      </w:r>
      <w:r>
        <w:rPr>
          <w:spacing w:val="-2"/>
          <w:sz w:val="18"/>
          <w:vertAlign w:val="baseline"/>
        </w:rPr>
        <w:t> </w:t>
      </w:r>
      <w:r>
        <w:rPr>
          <w:sz w:val="18"/>
          <w:vertAlign w:val="baseline"/>
        </w:rPr>
        <w:t>Jia</w:t>
      </w:r>
      <w:r>
        <w:rPr>
          <w:spacing w:val="-2"/>
          <w:sz w:val="18"/>
          <w:vertAlign w:val="baseline"/>
        </w:rPr>
        <w:t> </w:t>
      </w:r>
      <w:r>
        <w:rPr>
          <w:sz w:val="18"/>
          <w:vertAlign w:val="baseline"/>
        </w:rPr>
        <w:t>Li</w:t>
      </w:r>
      <w:r>
        <w:rPr>
          <w:spacing w:val="-2"/>
          <w:sz w:val="18"/>
          <w:vertAlign w:val="baseline"/>
        </w:rPr>
        <w:t> </w:t>
      </w:r>
      <w:r>
        <w:rPr>
          <w:sz w:val="18"/>
          <w:vertAlign w:val="baseline"/>
        </w:rPr>
        <w:t>Liu.</w:t>
      </w:r>
      <w:r>
        <w:rPr>
          <w:spacing w:val="-2"/>
          <w:sz w:val="18"/>
          <w:vertAlign w:val="baseline"/>
        </w:rPr>
        <w:t> </w:t>
      </w:r>
      <w:r>
        <w:rPr>
          <w:sz w:val="18"/>
          <w:vertAlign w:val="baseline"/>
        </w:rPr>
        <w:t>“Effectiveness</w:t>
      </w:r>
      <w:r>
        <w:rPr>
          <w:spacing w:val="-2"/>
          <w:sz w:val="18"/>
          <w:vertAlign w:val="baseline"/>
        </w:rPr>
        <w:t> </w:t>
      </w:r>
      <w:r>
        <w:rPr>
          <w:sz w:val="18"/>
          <w:vertAlign w:val="baseline"/>
        </w:rPr>
        <w:t>of</w:t>
      </w:r>
      <w:r>
        <w:rPr>
          <w:spacing w:val="-3"/>
          <w:sz w:val="18"/>
          <w:vertAlign w:val="baseline"/>
        </w:rPr>
        <w:t> </w:t>
      </w:r>
      <w:r>
        <w:rPr>
          <w:sz w:val="18"/>
          <w:vertAlign w:val="baseline"/>
        </w:rPr>
        <w:t>Youth</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1"/>
          <w:sz w:val="18"/>
          <w:vertAlign w:val="baseline"/>
        </w:rPr>
        <w:t> </w:t>
      </w:r>
      <w:r>
        <w:rPr>
          <w:sz w:val="18"/>
          <w:vertAlign w:val="baseline"/>
        </w:rPr>
        <w:t>First</w:t>
      </w:r>
      <w:r>
        <w:rPr>
          <w:spacing w:val="-3"/>
          <w:sz w:val="18"/>
          <w:vertAlign w:val="baseline"/>
        </w:rPr>
        <w:t> </w:t>
      </w:r>
      <w:r>
        <w:rPr>
          <w:sz w:val="18"/>
          <w:vertAlign w:val="baseline"/>
        </w:rPr>
        <w:t>Aid</w:t>
      </w:r>
      <w:r>
        <w:rPr>
          <w:spacing w:val="-2"/>
          <w:sz w:val="18"/>
          <w:vertAlign w:val="baseline"/>
        </w:rPr>
        <w:t> </w:t>
      </w:r>
      <w:r>
        <w:rPr>
          <w:sz w:val="18"/>
          <w:vertAlign w:val="baseline"/>
        </w:rPr>
        <w:t>Training</w:t>
      </w:r>
      <w:r>
        <w:rPr>
          <w:spacing w:val="-2"/>
          <w:sz w:val="18"/>
          <w:vertAlign w:val="baseline"/>
        </w:rPr>
        <w:t> </w:t>
      </w:r>
      <w:r>
        <w:rPr>
          <w:sz w:val="18"/>
          <w:vertAlign w:val="baseline"/>
        </w:rPr>
        <w:t>for</w:t>
      </w:r>
      <w:r>
        <w:rPr>
          <w:spacing w:val="-3"/>
          <w:sz w:val="18"/>
          <w:vertAlign w:val="baseline"/>
        </w:rPr>
        <w:t> </w:t>
      </w:r>
      <w:r>
        <w:rPr>
          <w:sz w:val="18"/>
          <w:vertAlign w:val="baseline"/>
        </w:rPr>
        <w:t>Parents</w:t>
      </w:r>
      <w:r>
        <w:rPr>
          <w:spacing w:val="-2"/>
          <w:sz w:val="18"/>
          <w:vertAlign w:val="baseline"/>
        </w:rPr>
        <w:t> </w:t>
      </w:r>
      <w:r>
        <w:rPr>
          <w:sz w:val="18"/>
          <w:vertAlign w:val="baseline"/>
        </w:rPr>
        <w:t>at</w:t>
      </w:r>
      <w:r>
        <w:rPr>
          <w:spacing w:val="-2"/>
          <w:sz w:val="18"/>
          <w:vertAlign w:val="baseline"/>
        </w:rPr>
        <w:t> School.”</w:t>
      </w:r>
    </w:p>
    <w:p>
      <w:pPr>
        <w:spacing w:before="0"/>
        <w:ind w:left="463" w:right="0" w:firstLine="0"/>
        <w:jc w:val="left"/>
        <w:rPr>
          <w:sz w:val="18"/>
        </w:rPr>
      </w:pPr>
      <w:bookmarkStart w:name="_bookmark183" w:id="339"/>
      <w:bookmarkEnd w:id="339"/>
      <w:r>
        <w:rPr/>
      </w:r>
      <w:r>
        <w:rPr>
          <w:i/>
          <w:sz w:val="18"/>
        </w:rPr>
        <w:t>Psychology</w:t>
      </w:r>
      <w:r>
        <w:rPr>
          <w:i/>
          <w:spacing w:val="-2"/>
          <w:sz w:val="18"/>
        </w:rPr>
        <w:t> </w:t>
      </w:r>
      <w:r>
        <w:rPr>
          <w:i/>
          <w:sz w:val="18"/>
        </w:rPr>
        <w:t>in</w:t>
      </w:r>
      <w:r>
        <w:rPr>
          <w:i/>
          <w:spacing w:val="-3"/>
          <w:sz w:val="18"/>
        </w:rPr>
        <w:t> </w:t>
      </w:r>
      <w:r>
        <w:rPr>
          <w:i/>
          <w:sz w:val="18"/>
        </w:rPr>
        <w:t>the</w:t>
      </w:r>
      <w:r>
        <w:rPr>
          <w:i/>
          <w:spacing w:val="-2"/>
          <w:sz w:val="18"/>
        </w:rPr>
        <w:t> </w:t>
      </w:r>
      <w:r>
        <w:rPr>
          <w:i/>
          <w:sz w:val="18"/>
        </w:rPr>
        <w:t>Schools</w:t>
      </w:r>
      <w:r>
        <w:rPr>
          <w:i/>
          <w:spacing w:val="-3"/>
          <w:sz w:val="18"/>
        </w:rPr>
        <w:t> </w:t>
      </w:r>
      <w:r>
        <w:rPr>
          <w:sz w:val="18"/>
        </w:rPr>
        <w:t>59,</w:t>
      </w:r>
      <w:r>
        <w:rPr>
          <w:spacing w:val="-3"/>
          <w:sz w:val="18"/>
        </w:rPr>
        <w:t> </w:t>
      </w:r>
      <w:r>
        <w:rPr>
          <w:sz w:val="18"/>
        </w:rPr>
        <w:t>no.</w:t>
      </w:r>
      <w:r>
        <w:rPr>
          <w:spacing w:val="-1"/>
          <w:sz w:val="18"/>
        </w:rPr>
        <w:t> </w:t>
      </w:r>
      <w:r>
        <w:rPr>
          <w:sz w:val="18"/>
        </w:rPr>
        <w:t>8</w:t>
      </w:r>
      <w:r>
        <w:rPr>
          <w:spacing w:val="-2"/>
          <w:sz w:val="18"/>
        </w:rPr>
        <w:t> </w:t>
      </w:r>
      <w:r>
        <w:rPr>
          <w:sz w:val="18"/>
        </w:rPr>
        <w:t>(August</w:t>
      </w:r>
      <w:r>
        <w:rPr>
          <w:spacing w:val="-3"/>
          <w:sz w:val="18"/>
        </w:rPr>
        <w:t> </w:t>
      </w:r>
      <w:r>
        <w:rPr>
          <w:sz w:val="18"/>
        </w:rPr>
        <w:t>2022):</w:t>
      </w:r>
      <w:r>
        <w:rPr>
          <w:spacing w:val="-2"/>
          <w:sz w:val="18"/>
        </w:rPr>
        <w:t> </w:t>
      </w:r>
      <w:r>
        <w:rPr>
          <w:sz w:val="18"/>
        </w:rPr>
        <w:t>1701–16.</w:t>
      </w:r>
      <w:r>
        <w:rPr>
          <w:spacing w:val="-1"/>
          <w:sz w:val="18"/>
        </w:rPr>
        <w:t> </w:t>
      </w:r>
      <w:hyperlink r:id="rId266">
        <w:r>
          <w:rPr>
            <w:color w:val="1153CC"/>
            <w:spacing w:val="-2"/>
            <w:sz w:val="18"/>
            <w:u w:val="single" w:color="1153CC"/>
          </w:rPr>
          <w:t>https://doi.org/10.1002/pits.22717</w:t>
        </w:r>
      </w:hyperlink>
      <w:hyperlink r:id="rId266">
        <w:r>
          <w:rPr>
            <w:spacing w:val="-2"/>
            <w:sz w:val="18"/>
            <w:u w:val="none"/>
          </w:rPr>
          <w:t>.</w:t>
        </w:r>
      </w:hyperlink>
    </w:p>
    <w:p>
      <w:pPr>
        <w:spacing w:before="0"/>
        <w:ind w:left="463" w:right="314" w:hanging="1"/>
        <w:jc w:val="left"/>
        <w:rPr>
          <w:sz w:val="18"/>
        </w:rPr>
      </w:pPr>
      <w:r>
        <w:rPr>
          <w:sz w:val="18"/>
          <w:vertAlign w:val="superscript"/>
        </w:rPr>
        <w:t>87</w:t>
      </w:r>
      <w:r>
        <w:rPr>
          <w:spacing w:val="-13"/>
          <w:sz w:val="18"/>
          <w:vertAlign w:val="baseline"/>
        </w:rPr>
        <w:t> </w:t>
      </w:r>
      <w:r>
        <w:rPr>
          <w:sz w:val="18"/>
          <w:vertAlign w:val="baseline"/>
        </w:rPr>
        <w:t>Fish,</w:t>
      </w:r>
      <w:r>
        <w:rPr>
          <w:spacing w:val="-5"/>
          <w:sz w:val="18"/>
          <w:vertAlign w:val="baseline"/>
        </w:rPr>
        <w:t> </w:t>
      </w:r>
      <w:r>
        <w:rPr>
          <w:sz w:val="18"/>
          <w:vertAlign w:val="baseline"/>
        </w:rPr>
        <w:t>Jessica</w:t>
      </w:r>
      <w:r>
        <w:rPr>
          <w:spacing w:val="-3"/>
          <w:sz w:val="18"/>
          <w:vertAlign w:val="baseline"/>
        </w:rPr>
        <w:t> </w:t>
      </w:r>
      <w:r>
        <w:rPr>
          <w:sz w:val="18"/>
          <w:vertAlign w:val="baseline"/>
        </w:rPr>
        <w:t>N.</w:t>
      </w:r>
      <w:r>
        <w:rPr>
          <w:spacing w:val="-3"/>
          <w:sz w:val="18"/>
          <w:vertAlign w:val="baseline"/>
        </w:rPr>
        <w:t> </w:t>
      </w:r>
      <w:r>
        <w:rPr>
          <w:sz w:val="18"/>
          <w:vertAlign w:val="baseline"/>
        </w:rPr>
        <w:t>“Future</w:t>
      </w:r>
      <w:r>
        <w:rPr>
          <w:spacing w:val="-3"/>
          <w:sz w:val="18"/>
          <w:vertAlign w:val="baseline"/>
        </w:rPr>
        <w:t> </w:t>
      </w:r>
      <w:r>
        <w:rPr>
          <w:sz w:val="18"/>
          <w:vertAlign w:val="baseline"/>
        </w:rPr>
        <w:t>Directions</w:t>
      </w:r>
      <w:r>
        <w:rPr>
          <w:spacing w:val="-3"/>
          <w:sz w:val="18"/>
          <w:vertAlign w:val="baseline"/>
        </w:rPr>
        <w:t> </w:t>
      </w:r>
      <w:r>
        <w:rPr>
          <w:sz w:val="18"/>
          <w:vertAlign w:val="baseline"/>
        </w:rPr>
        <w:t>in</w:t>
      </w:r>
      <w:r>
        <w:rPr>
          <w:spacing w:val="-3"/>
          <w:sz w:val="18"/>
          <w:vertAlign w:val="baseline"/>
        </w:rPr>
        <w:t> </w:t>
      </w:r>
      <w:r>
        <w:rPr>
          <w:sz w:val="18"/>
          <w:vertAlign w:val="baseline"/>
        </w:rPr>
        <w:t>Understanding</w:t>
      </w:r>
      <w:r>
        <w:rPr>
          <w:spacing w:val="-3"/>
          <w:sz w:val="18"/>
          <w:vertAlign w:val="baseline"/>
        </w:rPr>
        <w:t> </w:t>
      </w:r>
      <w:r>
        <w:rPr>
          <w:sz w:val="18"/>
          <w:vertAlign w:val="baseline"/>
        </w:rPr>
        <w:t>and</w:t>
      </w:r>
      <w:r>
        <w:rPr>
          <w:spacing w:val="-3"/>
          <w:sz w:val="18"/>
          <w:vertAlign w:val="baseline"/>
        </w:rPr>
        <w:t> </w:t>
      </w:r>
      <w:r>
        <w:rPr>
          <w:sz w:val="18"/>
          <w:vertAlign w:val="baseline"/>
        </w:rPr>
        <w:t>Addressing</w:t>
      </w:r>
      <w:r>
        <w:rPr>
          <w:spacing w:val="-3"/>
          <w:sz w:val="18"/>
          <w:vertAlign w:val="baseline"/>
        </w:rPr>
        <w:t> </w:t>
      </w:r>
      <w:r>
        <w:rPr>
          <w:sz w:val="18"/>
          <w:vertAlign w:val="baseline"/>
        </w:rPr>
        <w:t>Mental</w:t>
      </w:r>
      <w:r>
        <w:rPr>
          <w:spacing w:val="-3"/>
          <w:sz w:val="18"/>
          <w:vertAlign w:val="baseline"/>
        </w:rPr>
        <w:t> </w:t>
      </w:r>
      <w:r>
        <w:rPr>
          <w:sz w:val="18"/>
          <w:vertAlign w:val="baseline"/>
        </w:rPr>
        <w:t>Health</w:t>
      </w:r>
      <w:r>
        <w:rPr>
          <w:spacing w:val="-3"/>
          <w:sz w:val="18"/>
          <w:vertAlign w:val="baseline"/>
        </w:rPr>
        <w:t> </w:t>
      </w:r>
      <w:r>
        <w:rPr>
          <w:sz w:val="18"/>
          <w:vertAlign w:val="baseline"/>
        </w:rPr>
        <w:t>among</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3"/>
          <w:sz w:val="18"/>
          <w:vertAlign w:val="baseline"/>
        </w:rPr>
        <w:t> </w:t>
      </w:r>
      <w:r>
        <w:rPr>
          <w:i/>
          <w:sz w:val="18"/>
          <w:vertAlign w:val="baseline"/>
        </w:rPr>
        <w:t>Clinical</w:t>
      </w:r>
      <w:r>
        <w:rPr>
          <w:i/>
          <w:sz w:val="18"/>
          <w:vertAlign w:val="baseline"/>
        </w:rPr>
        <w:t> </w:t>
      </w:r>
      <w:bookmarkStart w:name="_bookmark184" w:id="340"/>
      <w:bookmarkEnd w:id="340"/>
      <w:r>
        <w:rPr>
          <w:i/>
          <w:sz w:val="18"/>
          <w:vertAlign w:val="baseline"/>
        </w:rPr>
        <w:t>Chi</w:t>
      </w:r>
      <w:r>
        <w:rPr>
          <w:i/>
          <w:sz w:val="18"/>
          <w:vertAlign w:val="baseline"/>
        </w:rPr>
        <w:t>ld &amp; Adolescent Psychology </w:t>
      </w:r>
      <w:r>
        <w:rPr>
          <w:sz w:val="18"/>
          <w:vertAlign w:val="baseline"/>
        </w:rPr>
        <w:t>49, no. 6 (November 1, 2020): 943–56. </w:t>
      </w:r>
      <w:hyperlink r:id="rId233">
        <w:r>
          <w:rPr>
            <w:color w:val="1153CC"/>
            <w:sz w:val="18"/>
            <w:u w:val="single" w:color="1153CC"/>
            <w:vertAlign w:val="baseline"/>
          </w:rPr>
          <w:t>https://doi.org/10.1080/15374416.2020.1815207</w:t>
        </w:r>
      </w:hyperlink>
      <w:hyperlink r:id="rId233">
        <w:r>
          <w:rPr>
            <w:sz w:val="18"/>
            <w:u w:val="none"/>
            <w:vertAlign w:val="baseline"/>
          </w:rPr>
          <w:t>.</w:t>
        </w:r>
      </w:hyperlink>
    </w:p>
    <w:p>
      <w:pPr>
        <w:spacing w:before="0"/>
        <w:ind w:left="463" w:right="439" w:firstLine="0"/>
        <w:jc w:val="left"/>
        <w:rPr>
          <w:sz w:val="18"/>
        </w:rPr>
      </w:pPr>
      <w:r>
        <w:rPr>
          <w:sz w:val="18"/>
          <w:vertAlign w:val="superscript"/>
        </w:rPr>
        <w:t>88</w:t>
      </w:r>
      <w:r>
        <w:rPr>
          <w:spacing w:val="-13"/>
          <w:sz w:val="18"/>
          <w:vertAlign w:val="baseline"/>
        </w:rPr>
        <w:t> </w:t>
      </w:r>
      <w:r>
        <w:rPr>
          <w:sz w:val="18"/>
          <w:vertAlign w:val="baseline"/>
        </w:rPr>
        <w:t>Richgels,</w:t>
      </w:r>
      <w:r>
        <w:rPr>
          <w:spacing w:val="-4"/>
          <w:sz w:val="18"/>
          <w:vertAlign w:val="baseline"/>
        </w:rPr>
        <w:t> </w:t>
      </w:r>
      <w:r>
        <w:rPr>
          <w:sz w:val="18"/>
          <w:vertAlign w:val="baseline"/>
        </w:rPr>
        <w:t>Carrie,</w:t>
      </w:r>
      <w:r>
        <w:rPr>
          <w:spacing w:val="-3"/>
          <w:sz w:val="18"/>
          <w:vertAlign w:val="baseline"/>
        </w:rPr>
        <w:t> </w:t>
      </w:r>
      <w:r>
        <w:rPr>
          <w:sz w:val="18"/>
          <w:vertAlign w:val="baseline"/>
        </w:rPr>
        <w:t>Sean</w:t>
      </w:r>
      <w:r>
        <w:rPr>
          <w:spacing w:val="-2"/>
          <w:sz w:val="18"/>
          <w:vertAlign w:val="baseline"/>
        </w:rPr>
        <w:t> </w:t>
      </w:r>
      <w:r>
        <w:rPr>
          <w:sz w:val="18"/>
          <w:vertAlign w:val="baseline"/>
        </w:rPr>
        <w:t>Cahill,</w:t>
      </w:r>
      <w:r>
        <w:rPr>
          <w:spacing w:val="-3"/>
          <w:sz w:val="18"/>
          <w:vertAlign w:val="baseline"/>
        </w:rPr>
        <w:t> </w:t>
      </w:r>
      <w:r>
        <w:rPr>
          <w:sz w:val="18"/>
          <w:vertAlign w:val="baseline"/>
        </w:rPr>
        <w:t>Julie</w:t>
      </w:r>
      <w:r>
        <w:rPr>
          <w:spacing w:val="-2"/>
          <w:sz w:val="18"/>
          <w:vertAlign w:val="baseline"/>
        </w:rPr>
        <w:t> </w:t>
      </w:r>
      <w:r>
        <w:rPr>
          <w:sz w:val="18"/>
          <w:vertAlign w:val="baseline"/>
        </w:rPr>
        <w:t>Thompson,</w:t>
      </w:r>
      <w:r>
        <w:rPr>
          <w:spacing w:val="-3"/>
          <w:sz w:val="18"/>
          <w:vertAlign w:val="baseline"/>
        </w:rPr>
        <w:t> </w:t>
      </w:r>
      <w:r>
        <w:rPr>
          <w:sz w:val="18"/>
          <w:vertAlign w:val="baseline"/>
        </w:rPr>
        <w:t>and</w:t>
      </w:r>
      <w:r>
        <w:rPr>
          <w:spacing w:val="-2"/>
          <w:sz w:val="18"/>
          <w:vertAlign w:val="baseline"/>
        </w:rPr>
        <w:t> </w:t>
      </w:r>
      <w:r>
        <w:rPr>
          <w:sz w:val="18"/>
          <w:vertAlign w:val="baseline"/>
        </w:rPr>
        <w:t>Mason</w:t>
      </w:r>
      <w:r>
        <w:rPr>
          <w:spacing w:val="-2"/>
          <w:sz w:val="18"/>
          <w:vertAlign w:val="baseline"/>
        </w:rPr>
        <w:t> </w:t>
      </w:r>
      <w:r>
        <w:rPr>
          <w:sz w:val="18"/>
          <w:vertAlign w:val="baseline"/>
        </w:rPr>
        <w:t>Dunn.</w:t>
      </w:r>
      <w:r>
        <w:rPr>
          <w:spacing w:val="-3"/>
          <w:sz w:val="18"/>
          <w:vertAlign w:val="baseline"/>
        </w:rPr>
        <w:t> </w:t>
      </w:r>
      <w:r>
        <w:rPr>
          <w:sz w:val="18"/>
          <w:vertAlign w:val="baseline"/>
        </w:rPr>
        <w:t>“State</w:t>
      </w:r>
      <w:r>
        <w:rPr>
          <w:spacing w:val="-2"/>
          <w:sz w:val="18"/>
          <w:vertAlign w:val="baseline"/>
        </w:rPr>
        <w:t> </w:t>
      </w:r>
      <w:r>
        <w:rPr>
          <w:sz w:val="18"/>
          <w:vertAlign w:val="baseline"/>
        </w:rPr>
        <w:t>Bills</w:t>
      </w:r>
      <w:r>
        <w:rPr>
          <w:spacing w:val="-2"/>
          <w:sz w:val="18"/>
          <w:vertAlign w:val="baseline"/>
        </w:rPr>
        <w:t> </w:t>
      </w:r>
      <w:r>
        <w:rPr>
          <w:sz w:val="18"/>
          <w:vertAlign w:val="baseline"/>
        </w:rPr>
        <w:t>Restricting</w:t>
      </w:r>
      <w:r>
        <w:rPr>
          <w:spacing w:val="-2"/>
          <w:sz w:val="18"/>
          <w:vertAlign w:val="baseline"/>
        </w:rPr>
        <w:t> </w:t>
      </w:r>
      <w:r>
        <w:rPr>
          <w:sz w:val="18"/>
          <w:vertAlign w:val="baseline"/>
        </w:rPr>
        <w:t>Access</w:t>
      </w:r>
      <w:r>
        <w:rPr>
          <w:spacing w:val="-2"/>
          <w:sz w:val="18"/>
          <w:vertAlign w:val="baseline"/>
        </w:rPr>
        <w:t> </w:t>
      </w:r>
      <w:r>
        <w:rPr>
          <w:sz w:val="18"/>
          <w:vertAlign w:val="baseline"/>
        </w:rPr>
        <w:t>of</w:t>
      </w:r>
      <w:r>
        <w:rPr>
          <w:spacing w:val="-3"/>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to</w:t>
      </w:r>
      <w:r>
        <w:rPr>
          <w:spacing w:val="-2"/>
          <w:sz w:val="18"/>
          <w:vertAlign w:val="baseline"/>
        </w:rPr>
        <w:t> </w:t>
      </w:r>
      <w:r>
        <w:rPr>
          <w:sz w:val="18"/>
          <w:vertAlign w:val="baseline"/>
        </w:rPr>
        <w:t>Health Care, School Facilities, and School Athletics Threaten Health and Well-Being.” Fenway Health, 2021. </w:t>
      </w:r>
      <w:bookmarkStart w:name="_bookmark185" w:id="341"/>
      <w:bookmarkEnd w:id="341"/>
      <w:r>
        <w:rPr>
          <w:sz w:val="18"/>
          <w:vertAlign w:val="baseline"/>
        </w:rPr>
      </w:r>
      <w:hyperlink r:id="rId267">
        <w:r>
          <w:rPr>
            <w:color w:val="1153CC"/>
            <w:spacing w:val="-2"/>
            <w:sz w:val="18"/>
            <w:vertAlign w:val="baseline"/>
          </w:rPr>
          <w:t>https://fenwayhealth.org/wp-content/uploads/Anti-trans-legislation-policy-brief-FINAL.pdf</w:t>
        </w:r>
        <w:r>
          <w:rPr>
            <w:spacing w:val="-2"/>
            <w:sz w:val="18"/>
            <w:vertAlign w:val="baseline"/>
          </w:rPr>
          <w:t>.</w:t>
        </w:r>
      </w:hyperlink>
    </w:p>
    <w:p>
      <w:pPr>
        <w:spacing w:before="0"/>
        <w:ind w:left="463" w:right="0" w:firstLine="0"/>
        <w:jc w:val="left"/>
        <w:rPr>
          <w:sz w:val="18"/>
        </w:rPr>
      </w:pPr>
      <w:r>
        <w:rPr>
          <w:sz w:val="18"/>
          <w:vertAlign w:val="superscript"/>
        </w:rPr>
        <w:t>89</w:t>
      </w:r>
      <w:r>
        <w:rPr>
          <w:spacing w:val="-13"/>
          <w:sz w:val="18"/>
          <w:vertAlign w:val="baseline"/>
        </w:rPr>
        <w:t> </w:t>
      </w:r>
      <w:r>
        <w:rPr>
          <w:sz w:val="18"/>
          <w:vertAlign w:val="baseline"/>
        </w:rPr>
        <w:t>“Issues</w:t>
      </w:r>
      <w:r>
        <w:rPr>
          <w:spacing w:val="-6"/>
          <w:sz w:val="18"/>
          <w:vertAlign w:val="baseline"/>
        </w:rPr>
        <w:t> </w:t>
      </w:r>
      <w:r>
        <w:rPr>
          <w:sz w:val="18"/>
          <w:vertAlign w:val="baseline"/>
        </w:rPr>
        <w:t>Impacting</w:t>
      </w:r>
      <w:r>
        <w:rPr>
          <w:spacing w:val="-4"/>
          <w:sz w:val="18"/>
          <w:vertAlign w:val="baseline"/>
        </w:rPr>
        <w:t> </w:t>
      </w:r>
      <w:r>
        <w:rPr>
          <w:sz w:val="18"/>
          <w:vertAlign w:val="baseline"/>
        </w:rPr>
        <w:t>LGBTQ</w:t>
      </w:r>
      <w:r>
        <w:rPr>
          <w:spacing w:val="-4"/>
          <w:sz w:val="18"/>
          <w:vertAlign w:val="baseline"/>
        </w:rPr>
        <w:t> </w:t>
      </w:r>
      <w:r>
        <w:rPr>
          <w:sz w:val="18"/>
          <w:vertAlign w:val="baseline"/>
        </w:rPr>
        <w:t>Youth:</w:t>
      </w:r>
      <w:r>
        <w:rPr>
          <w:spacing w:val="-4"/>
          <w:sz w:val="18"/>
          <w:vertAlign w:val="baseline"/>
        </w:rPr>
        <w:t> </w:t>
      </w:r>
      <w:r>
        <w:rPr>
          <w:sz w:val="18"/>
          <w:vertAlign w:val="baseline"/>
        </w:rPr>
        <w:t>Polling</w:t>
      </w:r>
      <w:r>
        <w:rPr>
          <w:spacing w:val="-4"/>
          <w:sz w:val="18"/>
          <w:vertAlign w:val="baseline"/>
        </w:rPr>
        <w:t> </w:t>
      </w:r>
      <w:r>
        <w:rPr>
          <w:sz w:val="18"/>
          <w:vertAlign w:val="baseline"/>
        </w:rPr>
        <w:t>Analysis.”</w:t>
      </w:r>
      <w:r>
        <w:rPr>
          <w:spacing w:val="-4"/>
          <w:sz w:val="18"/>
          <w:vertAlign w:val="baseline"/>
        </w:rPr>
        <w:t> </w:t>
      </w:r>
      <w:r>
        <w:rPr>
          <w:sz w:val="18"/>
          <w:vertAlign w:val="baseline"/>
        </w:rPr>
        <w:t>The</w:t>
      </w:r>
      <w:r>
        <w:rPr>
          <w:spacing w:val="-4"/>
          <w:sz w:val="18"/>
          <w:vertAlign w:val="baseline"/>
        </w:rPr>
        <w:t> </w:t>
      </w:r>
      <w:r>
        <w:rPr>
          <w:sz w:val="18"/>
          <w:vertAlign w:val="baseline"/>
        </w:rPr>
        <w:t>Trevor</w:t>
      </w:r>
      <w:r>
        <w:rPr>
          <w:spacing w:val="-5"/>
          <w:sz w:val="18"/>
          <w:vertAlign w:val="baseline"/>
        </w:rPr>
        <w:t> </w:t>
      </w:r>
      <w:r>
        <w:rPr>
          <w:sz w:val="18"/>
          <w:vertAlign w:val="baseline"/>
        </w:rPr>
        <w:t>Project,</w:t>
      </w:r>
      <w:r>
        <w:rPr>
          <w:spacing w:val="-5"/>
          <w:sz w:val="18"/>
          <w:vertAlign w:val="baseline"/>
        </w:rPr>
        <w:t> </w:t>
      </w:r>
      <w:r>
        <w:rPr>
          <w:sz w:val="18"/>
          <w:vertAlign w:val="baseline"/>
        </w:rPr>
        <w:t>January</w:t>
      </w:r>
      <w:r>
        <w:rPr>
          <w:spacing w:val="-4"/>
          <w:sz w:val="18"/>
          <w:vertAlign w:val="baseline"/>
        </w:rPr>
        <w:t> </w:t>
      </w:r>
      <w:r>
        <w:rPr>
          <w:sz w:val="18"/>
          <w:vertAlign w:val="baseline"/>
        </w:rPr>
        <w:t>2022.</w:t>
      </w:r>
      <w:r>
        <w:rPr>
          <w:spacing w:val="-4"/>
          <w:sz w:val="18"/>
          <w:vertAlign w:val="baseline"/>
        </w:rPr>
        <w:t> </w:t>
      </w:r>
      <w:hyperlink r:id="rId268">
        <w:r>
          <w:rPr>
            <w:color w:val="1153CC"/>
            <w:sz w:val="18"/>
            <w:u w:val="single" w:color="1153CC"/>
            <w:vertAlign w:val="baseline"/>
          </w:rPr>
          <w:t>https://www.thetrevorproject.org/wp-</w:t>
        </w:r>
      </w:hyperlink>
      <w:r>
        <w:rPr>
          <w:color w:val="1153CC"/>
          <w:sz w:val="18"/>
          <w:u w:val="none"/>
          <w:vertAlign w:val="baseline"/>
        </w:rPr>
        <w:t> </w:t>
      </w:r>
      <w:bookmarkStart w:name="_bookmark186" w:id="342"/>
      <w:bookmarkEnd w:id="342"/>
      <w:r>
        <w:rPr>
          <w:color w:val="1153CC"/>
          <w:sz w:val="18"/>
          <w:u w:val="none"/>
          <w:vertAlign w:val="baseline"/>
        </w:rPr>
      </w:r>
      <w:hyperlink r:id="rId268">
        <w:r>
          <w:rPr>
            <w:color w:val="1153CC"/>
            <w:spacing w:val="-2"/>
            <w:sz w:val="18"/>
            <w:u w:val="single" w:color="1153CC"/>
            <w:vertAlign w:val="baseline"/>
          </w:rPr>
          <w:t>content/uploads/2022/01/TrevorProject_Public1.pd</w:t>
        </w:r>
      </w:hyperlink>
      <w:hyperlink r:id="rId268">
        <w:r>
          <w:rPr>
            <w:color w:val="1153CC"/>
            <w:spacing w:val="-2"/>
            <w:sz w:val="18"/>
            <w:u w:val="single" w:color="1153CC"/>
            <w:vertAlign w:val="baseline"/>
          </w:rPr>
          <w:t>f</w:t>
        </w:r>
        <w:r>
          <w:rPr>
            <w:spacing w:val="-2"/>
            <w:sz w:val="18"/>
            <w:u w:val="none"/>
            <w:vertAlign w:val="baseline"/>
          </w:rPr>
          <w:t>.</w:t>
        </w:r>
      </w:hyperlink>
    </w:p>
    <w:p>
      <w:pPr>
        <w:spacing w:before="0"/>
        <w:ind w:left="463" w:right="350" w:hanging="1"/>
        <w:jc w:val="left"/>
        <w:rPr>
          <w:sz w:val="18"/>
        </w:rPr>
      </w:pPr>
      <w:r>
        <w:rPr>
          <w:sz w:val="18"/>
          <w:vertAlign w:val="superscript"/>
        </w:rPr>
        <w:t>90</w:t>
      </w:r>
      <w:r>
        <w:rPr>
          <w:spacing w:val="-13"/>
          <w:sz w:val="18"/>
          <w:vertAlign w:val="baseline"/>
        </w:rPr>
        <w:t> </w:t>
      </w:r>
      <w:r>
        <w:rPr>
          <w:sz w:val="18"/>
          <w:vertAlign w:val="baseline"/>
        </w:rPr>
        <w:t>Kosciw,</w:t>
      </w:r>
      <w:r>
        <w:rPr>
          <w:spacing w:val="-4"/>
          <w:sz w:val="18"/>
          <w:vertAlign w:val="baseline"/>
        </w:rPr>
        <w:t> </w:t>
      </w:r>
      <w:r>
        <w:rPr>
          <w:sz w:val="18"/>
          <w:vertAlign w:val="baseline"/>
        </w:rPr>
        <w:t>Joseph,</w:t>
      </w:r>
      <w:r>
        <w:rPr>
          <w:spacing w:val="-3"/>
          <w:sz w:val="18"/>
          <w:vertAlign w:val="baseline"/>
        </w:rPr>
        <w:t> </w:t>
      </w:r>
      <w:r>
        <w:rPr>
          <w:sz w:val="18"/>
          <w:vertAlign w:val="baseline"/>
        </w:rPr>
        <w:t>Caitlin</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Youth in Our Nation’s Schools” (New York: Gay, Lesbian and Straight Education Network, 2022), </w:t>
      </w:r>
      <w:bookmarkStart w:name="_bookmark187" w:id="343"/>
      <w:bookmarkEnd w:id="343"/>
      <w:r>
        <w:rPr>
          <w:sz w:val="18"/>
          <w:vertAlign w:val="baseline"/>
        </w:rPr>
      </w:r>
      <w:hyperlink r:id="rId206">
        <w:r>
          <w:rPr>
            <w:color w:val="1153CC"/>
            <w:spacing w:val="-2"/>
            <w:sz w:val="18"/>
            <w:u w:val="single" w:color="1153CC"/>
            <w:vertAlign w:val="baseline"/>
          </w:rPr>
          <w:t>https://www.glsen.org/sites/default/files/2022-10/NSCS-2021-Full-Report.pd</w:t>
        </w:r>
      </w:hyperlink>
      <w:hyperlink r:id="rId206">
        <w:r>
          <w:rPr>
            <w:color w:val="1153CC"/>
            <w:spacing w:val="-2"/>
            <w:sz w:val="18"/>
            <w:u w:val="single" w:color="1153CC"/>
            <w:vertAlign w:val="baseline"/>
          </w:rPr>
          <w:t>f</w:t>
        </w:r>
        <w:r>
          <w:rPr>
            <w:spacing w:val="-2"/>
            <w:sz w:val="18"/>
            <w:u w:val="none"/>
            <w:vertAlign w:val="baseline"/>
          </w:rPr>
          <w:t>.</w:t>
        </w:r>
      </w:hyperlink>
    </w:p>
    <w:p>
      <w:pPr>
        <w:spacing w:before="0"/>
        <w:ind w:left="463" w:right="254" w:firstLine="0"/>
        <w:jc w:val="left"/>
        <w:rPr>
          <w:sz w:val="18"/>
        </w:rPr>
      </w:pPr>
      <w:r>
        <w:rPr>
          <w:sz w:val="18"/>
          <w:vertAlign w:val="superscript"/>
        </w:rPr>
        <w:t>91</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3"/>
          <w:sz w:val="18"/>
          <w:vertAlign w:val="baseline"/>
        </w:rPr>
        <w:t> </w:t>
      </w:r>
      <w:r>
        <w:rPr>
          <w:sz w:val="18"/>
          <w:vertAlign w:val="baseline"/>
        </w:rPr>
        <w:t>“Trauma</w:t>
      </w:r>
      <w:r>
        <w:rPr>
          <w:spacing w:val="-3"/>
          <w:sz w:val="18"/>
          <w:vertAlign w:val="baseline"/>
        </w:rPr>
        <w:t> </w:t>
      </w:r>
      <w:r>
        <w:rPr>
          <w:sz w:val="18"/>
          <w:vertAlign w:val="baseline"/>
        </w:rPr>
        <w:t>and</w:t>
      </w:r>
      <w:r>
        <w:rPr>
          <w:spacing w:val="-3"/>
          <w:sz w:val="18"/>
          <w:vertAlign w:val="baseline"/>
        </w:rPr>
        <w:t> </w:t>
      </w:r>
      <w:r>
        <w:rPr>
          <w:sz w:val="18"/>
          <w:vertAlign w:val="baseline"/>
        </w:rPr>
        <w:t>Suicide</w:t>
      </w:r>
      <w:r>
        <w:rPr>
          <w:spacing w:val="-3"/>
          <w:sz w:val="18"/>
          <w:vertAlign w:val="baseline"/>
        </w:rPr>
        <w:t> </w:t>
      </w:r>
      <w:r>
        <w:rPr>
          <w:sz w:val="18"/>
          <w:vertAlign w:val="baseline"/>
        </w:rPr>
        <w:t>Risk</w:t>
      </w:r>
      <w:r>
        <w:rPr>
          <w:spacing w:val="-4"/>
          <w:sz w:val="18"/>
          <w:vertAlign w:val="baseline"/>
        </w:rPr>
        <w:t> </w:t>
      </w:r>
      <w:r>
        <w:rPr>
          <w:sz w:val="18"/>
          <w:vertAlign w:val="baseline"/>
        </w:rPr>
        <w:t>Among</w:t>
      </w:r>
      <w:r>
        <w:rPr>
          <w:spacing w:val="-3"/>
          <w:sz w:val="18"/>
          <w:vertAlign w:val="baseline"/>
        </w:rPr>
        <w:t> </w:t>
      </w:r>
      <w:r>
        <w:rPr>
          <w:sz w:val="18"/>
          <w:vertAlign w:val="baseline"/>
        </w:rPr>
        <w:t>LGBTQ</w:t>
      </w:r>
      <w:r>
        <w:rPr>
          <w:spacing w:val="-4"/>
          <w:sz w:val="18"/>
          <w:vertAlign w:val="baseline"/>
        </w:rPr>
        <w:t> </w:t>
      </w:r>
      <w:r>
        <w:rPr>
          <w:sz w:val="18"/>
          <w:vertAlign w:val="baseline"/>
        </w:rPr>
        <w:t>Youth,”</w:t>
      </w:r>
      <w:r>
        <w:rPr>
          <w:spacing w:val="-3"/>
          <w:sz w:val="18"/>
          <w:vertAlign w:val="baseline"/>
        </w:rPr>
        <w:t> </w:t>
      </w:r>
      <w:r>
        <w:rPr>
          <w:sz w:val="18"/>
          <w:vertAlign w:val="baseline"/>
        </w:rPr>
        <w:t>July</w:t>
      </w:r>
      <w:r>
        <w:rPr>
          <w:spacing w:val="-3"/>
          <w:sz w:val="18"/>
          <w:vertAlign w:val="baseline"/>
        </w:rPr>
        <w:t> </w:t>
      </w:r>
      <w:r>
        <w:rPr>
          <w:sz w:val="18"/>
          <w:vertAlign w:val="baseline"/>
        </w:rPr>
        <w:t>28,</w:t>
      </w:r>
      <w:r>
        <w:rPr>
          <w:spacing w:val="-4"/>
          <w:sz w:val="18"/>
          <w:vertAlign w:val="baseline"/>
        </w:rPr>
        <w:t> </w:t>
      </w:r>
      <w:r>
        <w:rPr>
          <w:sz w:val="18"/>
          <w:vertAlign w:val="baseline"/>
        </w:rPr>
        <w:t>2022.</w:t>
      </w:r>
      <w:r>
        <w:rPr>
          <w:spacing w:val="-3"/>
          <w:sz w:val="18"/>
          <w:vertAlign w:val="baseline"/>
        </w:rPr>
        <w:t> </w:t>
      </w:r>
      <w:hyperlink r:id="rId195">
        <w:r>
          <w:rPr>
            <w:color w:val="1153CC"/>
            <w:sz w:val="18"/>
            <w:u w:val="single" w:color="1153CC"/>
            <w:vertAlign w:val="baseline"/>
          </w:rPr>
          <w:t>https://www.thetrevorproject.org/research-</w:t>
        </w:r>
      </w:hyperlink>
      <w:r>
        <w:rPr>
          <w:color w:val="1153CC"/>
          <w:sz w:val="18"/>
          <w:u w:val="none"/>
          <w:vertAlign w:val="baseline"/>
        </w:rPr>
        <w:t> </w:t>
      </w:r>
      <w:bookmarkStart w:name="_bookmark188" w:id="344"/>
      <w:bookmarkEnd w:id="344"/>
      <w:r>
        <w:rPr>
          <w:color w:val="1153CC"/>
          <w:sz w:val="18"/>
          <w:u w:val="none"/>
          <w:vertAlign w:val="baseline"/>
        </w:rPr>
      </w:r>
      <w:hyperlink r:id="rId195">
        <w:r>
          <w:rPr>
            <w:color w:val="1153CC"/>
            <w:spacing w:val="-2"/>
            <w:sz w:val="18"/>
            <w:u w:val="single" w:color="1153CC"/>
            <w:vertAlign w:val="baseline"/>
          </w:rPr>
          <w:t>briefs/trauma-and-suicide-risk-among-lgbtq-youth-july-2022/</w:t>
        </w:r>
      </w:hyperlink>
      <w:hyperlink r:id="rId195">
        <w:r>
          <w:rPr>
            <w:spacing w:val="-2"/>
            <w:sz w:val="18"/>
            <w:u w:val="none"/>
            <w:vertAlign w:val="baseline"/>
          </w:rPr>
          <w:t>.</w:t>
        </w:r>
      </w:hyperlink>
    </w:p>
    <w:p>
      <w:pPr>
        <w:spacing w:before="0"/>
        <w:ind w:left="463" w:right="290" w:hanging="1"/>
        <w:jc w:val="left"/>
        <w:rPr>
          <w:sz w:val="18"/>
        </w:rPr>
      </w:pPr>
      <w:r>
        <w:rPr>
          <w:sz w:val="18"/>
          <w:vertAlign w:val="superscript"/>
        </w:rPr>
        <w:t>92</w:t>
      </w:r>
      <w:r>
        <w:rPr>
          <w:spacing w:val="-13"/>
          <w:sz w:val="18"/>
          <w:vertAlign w:val="baseline"/>
        </w:rPr>
        <w:t> </w:t>
      </w:r>
      <w:r>
        <w:rPr>
          <w:sz w:val="18"/>
          <w:vertAlign w:val="baseline"/>
        </w:rPr>
        <w:t>Fulginiti,</w:t>
      </w:r>
      <w:r>
        <w:rPr>
          <w:spacing w:val="-4"/>
          <w:sz w:val="18"/>
          <w:vertAlign w:val="baseline"/>
        </w:rPr>
        <w:t> </w:t>
      </w:r>
      <w:r>
        <w:rPr>
          <w:sz w:val="18"/>
          <w:vertAlign w:val="baseline"/>
        </w:rPr>
        <w:t>Anthony,</w:t>
      </w:r>
      <w:r>
        <w:rPr>
          <w:spacing w:val="-3"/>
          <w:sz w:val="18"/>
          <w:vertAlign w:val="baseline"/>
        </w:rPr>
        <w:t> </w:t>
      </w:r>
      <w:r>
        <w:rPr>
          <w:sz w:val="18"/>
          <w:vertAlign w:val="baseline"/>
        </w:rPr>
        <w:t>Harmony</w:t>
      </w:r>
      <w:r>
        <w:rPr>
          <w:spacing w:val="-2"/>
          <w:sz w:val="18"/>
          <w:vertAlign w:val="baseline"/>
        </w:rPr>
        <w:t> </w:t>
      </w:r>
      <w:r>
        <w:rPr>
          <w:sz w:val="18"/>
          <w:vertAlign w:val="baseline"/>
        </w:rPr>
        <w:t>Rhoades,</w:t>
      </w:r>
      <w:r>
        <w:rPr>
          <w:spacing w:val="-3"/>
          <w:sz w:val="18"/>
          <w:vertAlign w:val="baseline"/>
        </w:rPr>
        <w:t> </w:t>
      </w:r>
      <w:r>
        <w:rPr>
          <w:sz w:val="18"/>
          <w:vertAlign w:val="baseline"/>
        </w:rPr>
        <w:t>Mary</w:t>
      </w:r>
      <w:r>
        <w:rPr>
          <w:spacing w:val="-2"/>
          <w:sz w:val="18"/>
          <w:vertAlign w:val="baseline"/>
        </w:rPr>
        <w:t> </w:t>
      </w:r>
      <w:r>
        <w:rPr>
          <w:sz w:val="18"/>
          <w:vertAlign w:val="baseline"/>
        </w:rPr>
        <w:t>Rose</w:t>
      </w:r>
      <w:r>
        <w:rPr>
          <w:spacing w:val="-2"/>
          <w:sz w:val="18"/>
          <w:vertAlign w:val="baseline"/>
        </w:rPr>
        <w:t> </w:t>
      </w:r>
      <w:r>
        <w:rPr>
          <w:sz w:val="18"/>
          <w:vertAlign w:val="baseline"/>
        </w:rPr>
        <w:t>Mamey,</w:t>
      </w:r>
      <w:r>
        <w:rPr>
          <w:spacing w:val="-3"/>
          <w:sz w:val="18"/>
          <w:vertAlign w:val="baseline"/>
        </w:rPr>
        <w:t> </w:t>
      </w:r>
      <w:r>
        <w:rPr>
          <w:sz w:val="18"/>
          <w:vertAlign w:val="baseline"/>
        </w:rPr>
        <w:t>Cary</w:t>
      </w:r>
      <w:r>
        <w:rPr>
          <w:spacing w:val="-2"/>
          <w:sz w:val="18"/>
          <w:vertAlign w:val="baseline"/>
        </w:rPr>
        <w:t> </w:t>
      </w:r>
      <w:r>
        <w:rPr>
          <w:sz w:val="18"/>
          <w:vertAlign w:val="baseline"/>
        </w:rPr>
        <w:t>Klemmer,</w:t>
      </w:r>
      <w:r>
        <w:rPr>
          <w:spacing w:val="-3"/>
          <w:sz w:val="18"/>
          <w:vertAlign w:val="baseline"/>
        </w:rPr>
        <w:t> </w:t>
      </w:r>
      <w:r>
        <w:rPr>
          <w:sz w:val="18"/>
          <w:vertAlign w:val="baseline"/>
        </w:rPr>
        <w:t>Ankur</w:t>
      </w:r>
      <w:r>
        <w:rPr>
          <w:spacing w:val="-3"/>
          <w:sz w:val="18"/>
          <w:vertAlign w:val="baseline"/>
        </w:rPr>
        <w:t> </w:t>
      </w:r>
      <w:r>
        <w:rPr>
          <w:sz w:val="18"/>
          <w:vertAlign w:val="baseline"/>
        </w:rPr>
        <w:t>Srivastava,</w:t>
      </w:r>
      <w:r>
        <w:rPr>
          <w:spacing w:val="-3"/>
          <w:sz w:val="18"/>
          <w:vertAlign w:val="baseline"/>
        </w:rPr>
        <w:t> </w:t>
      </w:r>
      <w:r>
        <w:rPr>
          <w:sz w:val="18"/>
          <w:vertAlign w:val="baseline"/>
        </w:rPr>
        <w:t>Garrett</w:t>
      </w:r>
      <w:r>
        <w:rPr>
          <w:spacing w:val="-3"/>
          <w:sz w:val="18"/>
          <w:vertAlign w:val="baseline"/>
        </w:rPr>
        <w:t> </w:t>
      </w:r>
      <w:r>
        <w:rPr>
          <w:sz w:val="18"/>
          <w:vertAlign w:val="baseline"/>
        </w:rPr>
        <w:t>Weskamp,</w:t>
      </w:r>
      <w:r>
        <w:rPr>
          <w:spacing w:val="-3"/>
          <w:sz w:val="18"/>
          <w:vertAlign w:val="baseline"/>
        </w:rPr>
        <w:t> </w:t>
      </w:r>
      <w:r>
        <w:rPr>
          <w:sz w:val="18"/>
          <w:vertAlign w:val="baseline"/>
        </w:rPr>
        <w:t>and</w:t>
      </w:r>
      <w:r>
        <w:rPr>
          <w:spacing w:val="-2"/>
          <w:sz w:val="18"/>
          <w:vertAlign w:val="baseline"/>
        </w:rPr>
        <w:t> </w:t>
      </w:r>
      <w:r>
        <w:rPr>
          <w:sz w:val="18"/>
          <w:vertAlign w:val="baseline"/>
        </w:rPr>
        <w:t>Jeremy</w:t>
      </w:r>
      <w:r>
        <w:rPr>
          <w:spacing w:val="-2"/>
          <w:sz w:val="18"/>
          <w:vertAlign w:val="baseline"/>
        </w:rPr>
        <w:t> </w:t>
      </w:r>
      <w:r>
        <w:rPr>
          <w:sz w:val="18"/>
          <w:vertAlign w:val="baseline"/>
        </w:rPr>
        <w:t>T. Goldbach. “Sexual Minority Stress, Mental Health Symptoms, and Suicidality among LGBTQ Youth Accessing Crisis Services.” </w:t>
      </w:r>
      <w:r>
        <w:rPr>
          <w:i/>
          <w:sz w:val="18"/>
          <w:vertAlign w:val="baseline"/>
        </w:rPr>
        <w:t>Journal of Youth and Adolescence </w:t>
      </w:r>
      <w:r>
        <w:rPr>
          <w:sz w:val="18"/>
          <w:vertAlign w:val="baseline"/>
        </w:rPr>
        <w:t>50, no. 5 (May 1, 2021): 893–905. </w:t>
      </w:r>
      <w:hyperlink r:id="rId201">
        <w:r>
          <w:rPr>
            <w:color w:val="1153CC"/>
            <w:sz w:val="18"/>
            <w:u w:val="single" w:color="1153CC"/>
            <w:vertAlign w:val="baseline"/>
          </w:rPr>
          <w:t>https://doi.org/10.1007/s10964-020-01354-3</w:t>
        </w:r>
      </w:hyperlink>
      <w:hyperlink r:id="rId201">
        <w:r>
          <w:rPr>
            <w:sz w:val="18"/>
            <w:u w:val="none"/>
            <w:vertAlign w:val="baseline"/>
          </w:rPr>
          <w:t>.</w:t>
        </w:r>
      </w:hyperlink>
    </w:p>
    <w:p>
      <w:pPr>
        <w:spacing w:before="0"/>
        <w:ind w:left="463" w:right="244" w:firstLine="0"/>
        <w:jc w:val="left"/>
        <w:rPr>
          <w:sz w:val="18"/>
        </w:rPr>
      </w:pPr>
      <w:r>
        <w:rPr>
          <w:sz w:val="18"/>
          <w:vertAlign w:val="superscript"/>
        </w:rPr>
        <w:t>93</w:t>
      </w:r>
      <w:r>
        <w:rPr>
          <w:spacing w:val="-10"/>
          <w:sz w:val="18"/>
          <w:vertAlign w:val="baseline"/>
        </w:rPr>
        <w:t> </w:t>
      </w:r>
      <w:r>
        <w:rPr>
          <w:sz w:val="18"/>
          <w:vertAlign w:val="baseline"/>
        </w:rPr>
        <w:t>Poteat, V. Paul, Jerel P. Calzo, Hirokazu Yoshikawa, Arthur Lipkin, Christopher J. Ceccolini, Sarah B. Rosenbach, Michael D. O’Brien,</w:t>
      </w:r>
      <w:r>
        <w:rPr>
          <w:spacing w:val="-3"/>
          <w:sz w:val="18"/>
          <w:vertAlign w:val="baseline"/>
        </w:rPr>
        <w:t> </w:t>
      </w:r>
      <w:r>
        <w:rPr>
          <w:sz w:val="18"/>
          <w:vertAlign w:val="baseline"/>
        </w:rPr>
        <w:t>Robert</w:t>
      </w:r>
      <w:r>
        <w:rPr>
          <w:spacing w:val="-1"/>
          <w:sz w:val="18"/>
          <w:vertAlign w:val="baseline"/>
        </w:rPr>
        <w:t> </w:t>
      </w:r>
      <w:r>
        <w:rPr>
          <w:sz w:val="18"/>
          <w:vertAlign w:val="baseline"/>
        </w:rPr>
        <w:t>A.</w:t>
      </w:r>
      <w:r>
        <w:rPr>
          <w:spacing w:val="-2"/>
          <w:sz w:val="18"/>
          <w:vertAlign w:val="baseline"/>
        </w:rPr>
        <w:t> </w:t>
      </w:r>
      <w:r>
        <w:rPr>
          <w:sz w:val="18"/>
          <w:vertAlign w:val="baseline"/>
        </w:rPr>
        <w:t>Marx,</w:t>
      </w:r>
      <w:r>
        <w:rPr>
          <w:spacing w:val="-3"/>
          <w:sz w:val="18"/>
          <w:vertAlign w:val="baseline"/>
        </w:rPr>
        <w:t> </w:t>
      </w:r>
      <w:r>
        <w:rPr>
          <w:sz w:val="18"/>
          <w:vertAlign w:val="baseline"/>
        </w:rPr>
        <w:t>Gabriel</w:t>
      </w:r>
      <w:r>
        <w:rPr>
          <w:spacing w:val="-3"/>
          <w:sz w:val="18"/>
          <w:vertAlign w:val="baseline"/>
        </w:rPr>
        <w:t> </w:t>
      </w:r>
      <w:r>
        <w:rPr>
          <w:sz w:val="18"/>
          <w:vertAlign w:val="baseline"/>
        </w:rPr>
        <w:t>R.</w:t>
      </w:r>
      <w:r>
        <w:rPr>
          <w:spacing w:val="-2"/>
          <w:sz w:val="18"/>
          <w:vertAlign w:val="baseline"/>
        </w:rPr>
        <w:t> </w:t>
      </w:r>
      <w:r>
        <w:rPr>
          <w:sz w:val="18"/>
          <w:vertAlign w:val="baseline"/>
        </w:rPr>
        <w:t>Murchison,</w:t>
      </w:r>
      <w:r>
        <w:rPr>
          <w:spacing w:val="-3"/>
          <w:sz w:val="18"/>
          <w:vertAlign w:val="baseline"/>
        </w:rPr>
        <w:t> </w:t>
      </w:r>
      <w:r>
        <w:rPr>
          <w:sz w:val="18"/>
          <w:vertAlign w:val="baseline"/>
        </w:rPr>
        <w:t>and</w:t>
      </w:r>
      <w:r>
        <w:rPr>
          <w:spacing w:val="-2"/>
          <w:sz w:val="18"/>
          <w:vertAlign w:val="baseline"/>
        </w:rPr>
        <w:t> </w:t>
      </w:r>
      <w:r>
        <w:rPr>
          <w:sz w:val="18"/>
          <w:vertAlign w:val="baseline"/>
        </w:rPr>
        <w:t>Esther</w:t>
      </w:r>
      <w:r>
        <w:rPr>
          <w:spacing w:val="-3"/>
          <w:sz w:val="18"/>
          <w:vertAlign w:val="baseline"/>
        </w:rPr>
        <w:t> </w:t>
      </w:r>
      <w:r>
        <w:rPr>
          <w:sz w:val="18"/>
          <w:vertAlign w:val="baseline"/>
        </w:rPr>
        <w:t>Burson.</w:t>
      </w:r>
      <w:r>
        <w:rPr>
          <w:spacing w:val="-2"/>
          <w:sz w:val="18"/>
          <w:vertAlign w:val="baseline"/>
        </w:rPr>
        <w:t> </w:t>
      </w:r>
      <w:r>
        <w:rPr>
          <w:sz w:val="18"/>
          <w:vertAlign w:val="baseline"/>
        </w:rPr>
        <w:t>“Greater</w:t>
      </w:r>
      <w:r>
        <w:rPr>
          <w:spacing w:val="-3"/>
          <w:sz w:val="18"/>
          <w:vertAlign w:val="baseline"/>
        </w:rPr>
        <w:t> </w:t>
      </w:r>
      <w:r>
        <w:rPr>
          <w:sz w:val="18"/>
          <w:vertAlign w:val="baseline"/>
        </w:rPr>
        <w:t>Engagement</w:t>
      </w:r>
      <w:r>
        <w:rPr>
          <w:spacing w:val="-3"/>
          <w:sz w:val="18"/>
          <w:vertAlign w:val="baseline"/>
        </w:rPr>
        <w:t> </w:t>
      </w:r>
      <w:r>
        <w:rPr>
          <w:sz w:val="18"/>
          <w:vertAlign w:val="baseline"/>
        </w:rPr>
        <w:t>in</w:t>
      </w:r>
      <w:r>
        <w:rPr>
          <w:spacing w:val="-2"/>
          <w:sz w:val="18"/>
          <w:vertAlign w:val="baseline"/>
        </w:rPr>
        <w:t> </w:t>
      </w:r>
      <w:r>
        <w:rPr>
          <w:sz w:val="18"/>
          <w:vertAlign w:val="baseline"/>
        </w:rPr>
        <w:t>Gender-Sexuality</w:t>
      </w:r>
      <w:r>
        <w:rPr>
          <w:spacing w:val="-2"/>
          <w:sz w:val="18"/>
          <w:vertAlign w:val="baseline"/>
        </w:rPr>
        <w:t> </w:t>
      </w:r>
      <w:r>
        <w:rPr>
          <w:sz w:val="18"/>
          <w:vertAlign w:val="baseline"/>
        </w:rPr>
        <w:t>Alliances</w:t>
      </w:r>
      <w:r>
        <w:rPr>
          <w:spacing w:val="-2"/>
          <w:sz w:val="18"/>
          <w:vertAlign w:val="baseline"/>
        </w:rPr>
        <w:t> </w:t>
      </w:r>
      <w:r>
        <w:rPr>
          <w:sz w:val="18"/>
          <w:vertAlign w:val="baseline"/>
        </w:rPr>
        <w:t>(GSAs)</w:t>
      </w:r>
      <w:r>
        <w:rPr>
          <w:spacing w:val="-2"/>
          <w:sz w:val="18"/>
          <w:vertAlign w:val="baseline"/>
        </w:rPr>
        <w:t> </w:t>
      </w:r>
      <w:r>
        <w:rPr>
          <w:sz w:val="18"/>
          <w:vertAlign w:val="baseline"/>
        </w:rPr>
        <w:t>and GSA Characteristics Predict Youth Empowerment and Reduced Mental Health Concerns.” </w:t>
      </w:r>
      <w:r>
        <w:rPr>
          <w:i/>
          <w:sz w:val="18"/>
          <w:vertAlign w:val="baseline"/>
        </w:rPr>
        <w:t>Child Development </w:t>
      </w:r>
      <w:r>
        <w:rPr>
          <w:sz w:val="18"/>
          <w:vertAlign w:val="baseline"/>
        </w:rPr>
        <w:t>91, no. 5</w:t>
      </w:r>
      <w:r>
        <w:rPr>
          <w:spacing w:val="40"/>
          <w:sz w:val="18"/>
          <w:vertAlign w:val="baseline"/>
        </w:rPr>
        <w:t> </w:t>
      </w:r>
      <w:r>
        <w:rPr>
          <w:sz w:val="18"/>
          <w:vertAlign w:val="baseline"/>
        </w:rPr>
        <w:t>(September 2020): 1509–28. </w:t>
      </w:r>
      <w:hyperlink r:id="rId243">
        <w:r>
          <w:rPr>
            <w:color w:val="1153CC"/>
            <w:sz w:val="18"/>
            <w:u w:val="single" w:color="1153CC"/>
            <w:vertAlign w:val="baseline"/>
          </w:rPr>
          <w:t>https://doi.org/10.1111/cdev.13345</w:t>
        </w:r>
      </w:hyperlink>
      <w:hyperlink r:id="rId243">
        <w:r>
          <w:rPr>
            <w:sz w:val="18"/>
            <w:u w:val="none"/>
            <w:vertAlign w:val="baseline"/>
          </w:rPr>
          <w:t>.</w:t>
        </w:r>
      </w:hyperlink>
    </w:p>
    <w:p>
      <w:pPr>
        <w:spacing w:before="0"/>
        <w:ind w:left="463" w:right="350" w:hanging="1"/>
        <w:jc w:val="left"/>
        <w:rPr>
          <w:sz w:val="18"/>
        </w:rPr>
      </w:pPr>
      <w:bookmarkStart w:name="_bookmark189" w:id="345"/>
      <w:bookmarkEnd w:id="345"/>
      <w:r>
        <w:rPr/>
      </w:r>
      <w:r>
        <w:rPr>
          <w:sz w:val="18"/>
          <w:vertAlign w:val="superscript"/>
        </w:rPr>
        <w:t>94</w:t>
      </w:r>
      <w:r>
        <w:rPr>
          <w:spacing w:val="-8"/>
          <w:sz w:val="18"/>
          <w:vertAlign w:val="baseline"/>
        </w:rPr>
        <w:t> </w:t>
      </w:r>
      <w:r>
        <w:rPr>
          <w:sz w:val="18"/>
          <w:vertAlign w:val="baseline"/>
        </w:rPr>
        <w:t>Zullo, Lucas, Ilana Seager van Dyk, Elizabeth Ollen, Natalie Ramos, Joan Asarnow, and Jeanne Miranda. “Treatment Recommendations</w:t>
      </w:r>
      <w:r>
        <w:rPr>
          <w:spacing w:val="-2"/>
          <w:sz w:val="18"/>
          <w:vertAlign w:val="baseline"/>
        </w:rPr>
        <w:t> </w:t>
      </w:r>
      <w:r>
        <w:rPr>
          <w:sz w:val="18"/>
          <w:vertAlign w:val="baseline"/>
        </w:rPr>
        <w:t>and</w:t>
      </w:r>
      <w:r>
        <w:rPr>
          <w:spacing w:val="-3"/>
          <w:sz w:val="18"/>
          <w:vertAlign w:val="baseline"/>
        </w:rPr>
        <w:t> </w:t>
      </w:r>
      <w:r>
        <w:rPr>
          <w:sz w:val="18"/>
          <w:vertAlign w:val="baseline"/>
        </w:rPr>
        <w:t>Barriers</w:t>
      </w:r>
      <w:r>
        <w:rPr>
          <w:spacing w:val="-2"/>
          <w:sz w:val="18"/>
          <w:vertAlign w:val="baseline"/>
        </w:rPr>
        <w:t> </w:t>
      </w:r>
      <w:r>
        <w:rPr>
          <w:sz w:val="18"/>
          <w:vertAlign w:val="baseline"/>
        </w:rPr>
        <w:t>to</w:t>
      </w:r>
      <w:r>
        <w:rPr>
          <w:spacing w:val="-3"/>
          <w:sz w:val="18"/>
          <w:vertAlign w:val="baseline"/>
        </w:rPr>
        <w:t> </w:t>
      </w:r>
      <w:r>
        <w:rPr>
          <w:sz w:val="18"/>
          <w:vertAlign w:val="baseline"/>
        </w:rPr>
        <w:t>Care</w:t>
      </w:r>
      <w:r>
        <w:rPr>
          <w:spacing w:val="-2"/>
          <w:sz w:val="18"/>
          <w:vertAlign w:val="baseline"/>
        </w:rPr>
        <w:t> </w:t>
      </w:r>
      <w:r>
        <w:rPr>
          <w:sz w:val="18"/>
          <w:vertAlign w:val="baseline"/>
        </w:rPr>
        <w:t>for</w:t>
      </w:r>
      <w:r>
        <w:rPr>
          <w:spacing w:val="-3"/>
          <w:sz w:val="18"/>
          <w:vertAlign w:val="baseline"/>
        </w:rPr>
        <w:t> </w:t>
      </w:r>
      <w:r>
        <w:rPr>
          <w:sz w:val="18"/>
          <w:vertAlign w:val="baseline"/>
        </w:rPr>
        <w:t>Suicidal</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4"/>
          <w:sz w:val="18"/>
          <w:vertAlign w:val="baseline"/>
        </w:rPr>
        <w:t> </w:t>
      </w:r>
      <w:r>
        <w:rPr>
          <w:sz w:val="18"/>
          <w:vertAlign w:val="baseline"/>
        </w:rPr>
        <w:t>A</w:t>
      </w:r>
      <w:r>
        <w:rPr>
          <w:spacing w:val="-2"/>
          <w:sz w:val="18"/>
          <w:vertAlign w:val="baseline"/>
        </w:rPr>
        <w:t> </w:t>
      </w:r>
      <w:r>
        <w:rPr>
          <w:sz w:val="18"/>
          <w:vertAlign w:val="baseline"/>
        </w:rPr>
        <w:t>Quality</w:t>
      </w:r>
      <w:r>
        <w:rPr>
          <w:spacing w:val="-3"/>
          <w:sz w:val="18"/>
          <w:vertAlign w:val="baseline"/>
        </w:rPr>
        <w:t> </w:t>
      </w:r>
      <w:r>
        <w:rPr>
          <w:sz w:val="18"/>
          <w:vertAlign w:val="baseline"/>
        </w:rPr>
        <w:t>Improvement</w:t>
      </w:r>
      <w:r>
        <w:rPr>
          <w:spacing w:val="-3"/>
          <w:sz w:val="18"/>
          <w:vertAlign w:val="baseline"/>
        </w:rPr>
        <w:t> </w:t>
      </w:r>
      <w:r>
        <w:rPr>
          <w:sz w:val="18"/>
          <w:vertAlign w:val="baseline"/>
        </w:rPr>
        <w:t>Study.”</w:t>
      </w:r>
      <w:r>
        <w:rPr>
          <w:spacing w:val="-4"/>
          <w:sz w:val="18"/>
          <w:vertAlign w:val="baseline"/>
        </w:rPr>
        <w:t> </w:t>
      </w:r>
      <w:r>
        <w:rPr>
          <w:i/>
          <w:sz w:val="18"/>
          <w:vertAlign w:val="baseline"/>
        </w:rPr>
        <w:t>Evidence-Based</w:t>
      </w:r>
      <w:r>
        <w:rPr>
          <w:i/>
          <w:spacing w:val="-2"/>
          <w:sz w:val="18"/>
          <w:vertAlign w:val="baseline"/>
        </w:rPr>
        <w:t> </w:t>
      </w:r>
      <w:r>
        <w:rPr>
          <w:i/>
          <w:sz w:val="18"/>
          <w:vertAlign w:val="baseline"/>
        </w:rPr>
        <w:t>Practice</w:t>
      </w:r>
      <w:r>
        <w:rPr>
          <w:i/>
          <w:spacing w:val="-3"/>
          <w:sz w:val="18"/>
          <w:vertAlign w:val="baseline"/>
        </w:rPr>
        <w:t> </w:t>
      </w:r>
      <w:r>
        <w:rPr>
          <w:i/>
          <w:sz w:val="18"/>
          <w:vertAlign w:val="baseline"/>
        </w:rPr>
        <w:t>in</w:t>
      </w:r>
      <w:r>
        <w:rPr>
          <w:i/>
          <w:sz w:val="18"/>
          <w:vertAlign w:val="baseline"/>
        </w:rPr>
        <w:t> Child and Adolescent Mental Health </w:t>
      </w:r>
      <w:r>
        <w:rPr>
          <w:sz w:val="18"/>
          <w:vertAlign w:val="baseline"/>
        </w:rPr>
        <w:t>6, no. 3 (July 3, 2021): 393–409. </w:t>
      </w:r>
      <w:hyperlink r:id="rId269">
        <w:r>
          <w:rPr>
            <w:color w:val="1153CC"/>
            <w:sz w:val="18"/>
            <w:u w:val="single" w:color="1153CC"/>
            <w:vertAlign w:val="baseline"/>
          </w:rPr>
          <w:t>https://doi.org/10.1080/23794925.2021.1950079</w:t>
        </w:r>
      </w:hyperlink>
      <w:hyperlink r:id="rId269">
        <w:r>
          <w:rPr>
            <w:sz w:val="18"/>
            <w:u w:val="none"/>
            <w:vertAlign w:val="baseline"/>
          </w:rPr>
          <w:t>.</w:t>
        </w:r>
      </w:hyperlink>
    </w:p>
    <w:p>
      <w:pPr>
        <w:spacing w:before="0"/>
        <w:ind w:left="463" w:right="254" w:firstLine="0"/>
        <w:jc w:val="left"/>
        <w:rPr>
          <w:sz w:val="18"/>
        </w:rPr>
      </w:pPr>
      <w:bookmarkStart w:name="_bookmark190" w:id="346"/>
      <w:bookmarkEnd w:id="346"/>
      <w:r>
        <w:rPr/>
      </w:r>
      <w:r>
        <w:rPr>
          <w:sz w:val="18"/>
          <w:vertAlign w:val="superscript"/>
        </w:rPr>
        <w:t>95</w:t>
      </w:r>
      <w:r>
        <w:rPr>
          <w:spacing w:val="-13"/>
          <w:sz w:val="18"/>
          <w:vertAlign w:val="baseline"/>
        </w:rPr>
        <w:t> </w:t>
      </w:r>
      <w:r>
        <w:rPr>
          <w:sz w:val="18"/>
          <w:vertAlign w:val="baseline"/>
        </w:rPr>
        <w:t>The</w:t>
      </w:r>
      <w:r>
        <w:rPr>
          <w:spacing w:val="-5"/>
          <w:sz w:val="18"/>
          <w:vertAlign w:val="baseline"/>
        </w:rPr>
        <w:t> </w:t>
      </w:r>
      <w:r>
        <w:rPr>
          <w:sz w:val="18"/>
          <w:vertAlign w:val="baseline"/>
        </w:rPr>
        <w:t>Trevor</w:t>
      </w:r>
      <w:r>
        <w:rPr>
          <w:spacing w:val="-4"/>
          <w:sz w:val="18"/>
          <w:vertAlign w:val="baseline"/>
        </w:rPr>
        <w:t> </w:t>
      </w:r>
      <w:r>
        <w:rPr>
          <w:sz w:val="18"/>
          <w:vertAlign w:val="baseline"/>
        </w:rPr>
        <w:t>Project.</w:t>
      </w:r>
      <w:r>
        <w:rPr>
          <w:spacing w:val="-3"/>
          <w:sz w:val="18"/>
          <w:vertAlign w:val="baseline"/>
        </w:rPr>
        <w:t> </w:t>
      </w:r>
      <w:r>
        <w:rPr>
          <w:sz w:val="18"/>
          <w:vertAlign w:val="baseline"/>
        </w:rPr>
        <w:t>“Trauma</w:t>
      </w:r>
      <w:r>
        <w:rPr>
          <w:spacing w:val="-3"/>
          <w:sz w:val="18"/>
          <w:vertAlign w:val="baseline"/>
        </w:rPr>
        <w:t> </w:t>
      </w:r>
      <w:r>
        <w:rPr>
          <w:sz w:val="18"/>
          <w:vertAlign w:val="baseline"/>
        </w:rPr>
        <w:t>and</w:t>
      </w:r>
      <w:r>
        <w:rPr>
          <w:spacing w:val="-3"/>
          <w:sz w:val="18"/>
          <w:vertAlign w:val="baseline"/>
        </w:rPr>
        <w:t> </w:t>
      </w:r>
      <w:r>
        <w:rPr>
          <w:sz w:val="18"/>
          <w:vertAlign w:val="baseline"/>
        </w:rPr>
        <w:t>Suicide</w:t>
      </w:r>
      <w:r>
        <w:rPr>
          <w:spacing w:val="-3"/>
          <w:sz w:val="18"/>
          <w:vertAlign w:val="baseline"/>
        </w:rPr>
        <w:t> </w:t>
      </w:r>
      <w:r>
        <w:rPr>
          <w:sz w:val="18"/>
          <w:vertAlign w:val="baseline"/>
        </w:rPr>
        <w:t>Risk</w:t>
      </w:r>
      <w:r>
        <w:rPr>
          <w:spacing w:val="-4"/>
          <w:sz w:val="18"/>
          <w:vertAlign w:val="baseline"/>
        </w:rPr>
        <w:t> </w:t>
      </w:r>
      <w:r>
        <w:rPr>
          <w:sz w:val="18"/>
          <w:vertAlign w:val="baseline"/>
        </w:rPr>
        <w:t>Among</w:t>
      </w:r>
      <w:r>
        <w:rPr>
          <w:spacing w:val="-3"/>
          <w:sz w:val="18"/>
          <w:vertAlign w:val="baseline"/>
        </w:rPr>
        <w:t> </w:t>
      </w:r>
      <w:r>
        <w:rPr>
          <w:sz w:val="18"/>
          <w:vertAlign w:val="baseline"/>
        </w:rPr>
        <w:t>LGBTQ</w:t>
      </w:r>
      <w:r>
        <w:rPr>
          <w:spacing w:val="-4"/>
          <w:sz w:val="18"/>
          <w:vertAlign w:val="baseline"/>
        </w:rPr>
        <w:t> </w:t>
      </w:r>
      <w:r>
        <w:rPr>
          <w:sz w:val="18"/>
          <w:vertAlign w:val="baseline"/>
        </w:rPr>
        <w:t>Youth,”</w:t>
      </w:r>
      <w:r>
        <w:rPr>
          <w:spacing w:val="-3"/>
          <w:sz w:val="18"/>
          <w:vertAlign w:val="baseline"/>
        </w:rPr>
        <w:t> </w:t>
      </w:r>
      <w:r>
        <w:rPr>
          <w:sz w:val="18"/>
          <w:vertAlign w:val="baseline"/>
        </w:rPr>
        <w:t>July</w:t>
      </w:r>
      <w:r>
        <w:rPr>
          <w:spacing w:val="-3"/>
          <w:sz w:val="18"/>
          <w:vertAlign w:val="baseline"/>
        </w:rPr>
        <w:t> </w:t>
      </w:r>
      <w:r>
        <w:rPr>
          <w:sz w:val="18"/>
          <w:vertAlign w:val="baseline"/>
        </w:rPr>
        <w:t>28,</w:t>
      </w:r>
      <w:r>
        <w:rPr>
          <w:spacing w:val="-4"/>
          <w:sz w:val="18"/>
          <w:vertAlign w:val="baseline"/>
        </w:rPr>
        <w:t> </w:t>
      </w:r>
      <w:r>
        <w:rPr>
          <w:sz w:val="18"/>
          <w:vertAlign w:val="baseline"/>
        </w:rPr>
        <w:t>2022.</w:t>
      </w:r>
      <w:r>
        <w:rPr>
          <w:spacing w:val="-3"/>
          <w:sz w:val="18"/>
          <w:vertAlign w:val="baseline"/>
        </w:rPr>
        <w:t> </w:t>
      </w:r>
      <w:hyperlink r:id="rId195">
        <w:r>
          <w:rPr>
            <w:color w:val="1153CC"/>
            <w:sz w:val="18"/>
            <w:u w:val="single" w:color="1153CC"/>
            <w:vertAlign w:val="baseline"/>
          </w:rPr>
          <w:t>https://www.thetrevorproject.org/research-</w:t>
        </w:r>
      </w:hyperlink>
      <w:r>
        <w:rPr>
          <w:color w:val="1153CC"/>
          <w:sz w:val="18"/>
          <w:u w:val="none"/>
          <w:vertAlign w:val="baseline"/>
        </w:rPr>
        <w:t> </w:t>
      </w:r>
      <w:hyperlink r:id="rId195">
        <w:r>
          <w:rPr>
            <w:color w:val="1153CC"/>
            <w:spacing w:val="-2"/>
            <w:sz w:val="18"/>
            <w:u w:val="single" w:color="1153CC"/>
            <w:vertAlign w:val="baseline"/>
          </w:rPr>
          <w:t>briefs/trauma-and-suicide-risk-among-lgbtq-youth-july-2022/</w:t>
        </w:r>
      </w:hyperlink>
      <w:hyperlink r:id="rId195">
        <w:r>
          <w:rPr>
            <w:spacing w:val="-2"/>
            <w:sz w:val="18"/>
            <w:u w:val="none"/>
            <w:vertAlign w:val="baseline"/>
          </w:rPr>
          <w:t>.</w:t>
        </w:r>
      </w:hyperlink>
    </w:p>
    <w:p>
      <w:pPr>
        <w:pStyle w:val="BodyText"/>
        <w:spacing w:before="21"/>
        <w:rPr>
          <w:sz w:val="18"/>
        </w:rPr>
      </w:pPr>
    </w:p>
    <w:p>
      <w:pPr>
        <w:spacing w:line="276" w:lineRule="auto" w:before="0"/>
        <w:ind w:left="463" w:right="350" w:hanging="1"/>
        <w:jc w:val="left"/>
        <w:rPr>
          <w:sz w:val="18"/>
        </w:rPr>
      </w:pPr>
      <w:bookmarkStart w:name="_bookmark191" w:id="347"/>
      <w:bookmarkEnd w:id="347"/>
      <w:r>
        <w:rPr/>
      </w:r>
      <w:r>
        <w:rPr>
          <w:sz w:val="18"/>
          <w:vertAlign w:val="superscript"/>
        </w:rPr>
        <w:t>96</w:t>
      </w:r>
      <w:r>
        <w:rPr>
          <w:spacing w:val="-13"/>
          <w:sz w:val="18"/>
          <w:vertAlign w:val="baseline"/>
        </w:rPr>
        <w:t> </w:t>
      </w:r>
      <w:r>
        <w:rPr>
          <w:sz w:val="18"/>
          <w:vertAlign w:val="baseline"/>
        </w:rPr>
        <w:t>Kosciw,</w:t>
      </w:r>
      <w:r>
        <w:rPr>
          <w:spacing w:val="-4"/>
          <w:sz w:val="18"/>
          <w:vertAlign w:val="baseline"/>
        </w:rPr>
        <w:t> </w:t>
      </w:r>
      <w:r>
        <w:rPr>
          <w:sz w:val="18"/>
          <w:vertAlign w:val="baseline"/>
        </w:rPr>
        <w:t>Joseph,</w:t>
      </w:r>
      <w:r>
        <w:rPr>
          <w:spacing w:val="-3"/>
          <w:sz w:val="18"/>
          <w:vertAlign w:val="baseline"/>
        </w:rPr>
        <w:t> </w:t>
      </w:r>
      <w:r>
        <w:rPr>
          <w:sz w:val="18"/>
          <w:vertAlign w:val="baseline"/>
        </w:rPr>
        <w:t>Caitlin</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3"/>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Youth in Our Nation’s Schools” (New York: Gay, Lesbian and Straight Education Network, 2022), </w:t>
      </w:r>
      <w:hyperlink r:id="rId206">
        <w:r>
          <w:rPr>
            <w:color w:val="1153CC"/>
            <w:spacing w:val="-2"/>
            <w:sz w:val="18"/>
            <w:u w:val="single" w:color="1153CC"/>
            <w:vertAlign w:val="baseline"/>
          </w:rPr>
          <w:t>https://www.glsen.org/sites/default/files/2022-10/NSCS-2021-Full-Report.pd</w:t>
        </w:r>
      </w:hyperlink>
      <w:hyperlink r:id="rId206">
        <w:r>
          <w:rPr>
            <w:color w:val="1153CC"/>
            <w:spacing w:val="-2"/>
            <w:sz w:val="18"/>
            <w:u w:val="single" w:color="1153CC"/>
            <w:vertAlign w:val="baseline"/>
          </w:rPr>
          <w:t>f</w:t>
        </w:r>
        <w:r>
          <w:rPr>
            <w:spacing w:val="-2"/>
            <w:sz w:val="18"/>
            <w:u w:val="none"/>
            <w:vertAlign w:val="baseline"/>
          </w:rPr>
          <w:t>.</w:t>
        </w:r>
      </w:hyperlink>
    </w:p>
    <w:p>
      <w:pPr>
        <w:spacing w:after="0" w:line="276" w:lineRule="auto"/>
        <w:jc w:val="left"/>
        <w:rPr>
          <w:sz w:val="18"/>
        </w:rPr>
        <w:sectPr>
          <w:pgSz w:w="12240" w:h="15840"/>
          <w:pgMar w:header="804" w:footer="1390" w:top="1080" w:bottom="1620" w:left="980" w:right="1080"/>
        </w:sectPr>
      </w:pPr>
    </w:p>
    <w:p>
      <w:pPr>
        <w:pStyle w:val="BodyText"/>
        <w:rPr>
          <w:sz w:val="34"/>
        </w:rPr>
      </w:pPr>
    </w:p>
    <w:p>
      <w:pPr>
        <w:pStyle w:val="BodyText"/>
        <w:rPr>
          <w:sz w:val="34"/>
        </w:rPr>
      </w:pPr>
    </w:p>
    <w:p>
      <w:pPr>
        <w:pStyle w:val="BodyText"/>
        <w:spacing w:before="148"/>
        <w:rPr>
          <w:sz w:val="34"/>
        </w:rPr>
      </w:pPr>
    </w:p>
    <w:p>
      <w:pPr>
        <w:spacing w:line="374" w:lineRule="exact" w:before="0"/>
        <w:ind w:left="581" w:right="0" w:firstLine="0"/>
        <w:jc w:val="left"/>
        <w:rPr>
          <w:sz w:val="34"/>
        </w:rPr>
      </w:pPr>
      <w:bookmarkStart w:name="Flyer Template for Reports Gianna, Theo " w:id="348"/>
      <w:bookmarkEnd w:id="348"/>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spacing w:line="184" w:lineRule="auto" w:before="109"/>
        <w:ind w:left="581" w:right="4353" w:firstLine="0"/>
        <w:jc w:val="left"/>
        <w:rPr>
          <w:rFonts w:ascii="Arial Black"/>
          <w:sz w:val="59"/>
        </w:rPr>
      </w:pPr>
      <w:r>
        <w:rPr>
          <w:rFonts w:ascii="Arial Black"/>
          <w:color w:val="FFFFFF"/>
          <w:w w:val="90"/>
          <w:sz w:val="59"/>
        </w:rPr>
        <w:t>MENTAL HEALTH: AN UPWARD TREND</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79"/>
        <w:rPr>
          <w:rFonts w:ascii="Arial Black"/>
          <w:sz w:val="20"/>
        </w:rPr>
      </w:pPr>
    </w:p>
    <w:p>
      <w:pPr>
        <w:spacing w:after="0"/>
        <w:rPr>
          <w:rFonts w:ascii="Arial Black"/>
          <w:sz w:val="20"/>
        </w:rPr>
        <w:sectPr>
          <w:headerReference w:type="default" r:id="rId270"/>
          <w:footerReference w:type="default" r:id="rId271"/>
          <w:pgSz w:w="12240" w:h="15840"/>
          <w:pgMar w:header="0" w:footer="0" w:top="0" w:bottom="280" w:left="920" w:right="300"/>
        </w:sectPr>
      </w:pPr>
    </w:p>
    <w:p>
      <w:pPr>
        <w:pStyle w:val="Heading9"/>
        <w:spacing w:before="106"/>
        <w:rPr>
          <w:i/>
        </w:rPr>
      </w:pPr>
      <w:r>
        <w:rPr>
          <w:i/>
          <w:spacing w:val="11"/>
          <w:w w:val="125"/>
        </w:rPr>
        <w:t>ABOUT</w:t>
      </w:r>
    </w:p>
    <w:p>
      <w:pPr>
        <w:pStyle w:val="BodyText"/>
        <w:spacing w:line="264" w:lineRule="auto" w:before="47"/>
        <w:ind w:left="323" w:right="38"/>
        <w:jc w:val="both"/>
        <w:rPr>
          <w:rFonts w:ascii="Times New Roman" w:hAnsi="Times New Roman"/>
        </w:rPr>
      </w:pPr>
      <w:r>
        <w:rPr>
          <w:rFonts w:ascii="Times New Roman" w:hAnsi="Times New Roman"/>
          <w:w w:val="115"/>
        </w:rPr>
        <w:t>The</w:t>
      </w:r>
      <w:r>
        <w:rPr>
          <w:rFonts w:ascii="Times New Roman" w:hAnsi="Times New Roman"/>
          <w:spacing w:val="-16"/>
          <w:w w:val="115"/>
        </w:rPr>
        <w:t> </w:t>
      </w:r>
      <w:r>
        <w:rPr>
          <w:rFonts w:ascii="Times New Roman" w:hAnsi="Times New Roman"/>
          <w:w w:val="115"/>
        </w:rPr>
        <w:t>personal</w:t>
      </w:r>
      <w:r>
        <w:rPr>
          <w:rFonts w:ascii="Times New Roman" w:hAnsi="Times New Roman"/>
          <w:spacing w:val="-16"/>
          <w:w w:val="115"/>
        </w:rPr>
        <w:t> </w:t>
      </w:r>
      <w:r>
        <w:rPr>
          <w:rFonts w:ascii="Times New Roman" w:hAnsi="Times New Roman"/>
          <w:w w:val="115"/>
        </w:rPr>
        <w:t>is</w:t>
      </w:r>
      <w:r>
        <w:rPr>
          <w:rFonts w:ascii="Times New Roman" w:hAnsi="Times New Roman"/>
          <w:spacing w:val="-16"/>
          <w:w w:val="115"/>
        </w:rPr>
        <w:t> </w:t>
      </w:r>
      <w:r>
        <w:rPr>
          <w:rFonts w:ascii="Times New Roman" w:hAnsi="Times New Roman"/>
          <w:w w:val="115"/>
        </w:rPr>
        <w:t>political</w:t>
      </w:r>
      <w:r>
        <w:rPr>
          <w:rFonts w:ascii="Times New Roman" w:hAnsi="Times New Roman"/>
          <w:spacing w:val="-16"/>
          <w:w w:val="115"/>
        </w:rPr>
        <w:t> </w:t>
      </w:r>
      <w:r>
        <w:rPr>
          <w:rFonts w:ascii="Times New Roman" w:hAnsi="Times New Roman"/>
          <w:w w:val="115"/>
        </w:rPr>
        <w:t>–</w:t>
      </w:r>
      <w:r>
        <w:rPr>
          <w:rFonts w:ascii="Times New Roman" w:hAnsi="Times New Roman"/>
          <w:spacing w:val="-15"/>
          <w:w w:val="115"/>
        </w:rPr>
        <w:t> </w:t>
      </w:r>
      <w:r>
        <w:rPr>
          <w:rFonts w:ascii="Times New Roman" w:hAnsi="Times New Roman"/>
          <w:w w:val="115"/>
        </w:rPr>
        <w:t>and</w:t>
      </w:r>
      <w:r>
        <w:rPr>
          <w:rFonts w:ascii="Times New Roman" w:hAnsi="Times New Roman"/>
          <w:spacing w:val="-16"/>
          <w:w w:val="115"/>
        </w:rPr>
        <w:t> </w:t>
      </w:r>
      <w:r>
        <w:rPr>
          <w:rFonts w:ascii="Times New Roman" w:hAnsi="Times New Roman"/>
          <w:w w:val="115"/>
        </w:rPr>
        <w:t>that</w:t>
      </w:r>
      <w:r>
        <w:rPr>
          <w:rFonts w:ascii="Times New Roman" w:hAnsi="Times New Roman"/>
          <w:spacing w:val="-16"/>
          <w:w w:val="115"/>
        </w:rPr>
        <w:t> </w:t>
      </w:r>
      <w:r>
        <w:rPr>
          <w:rFonts w:ascii="Times New Roman" w:hAnsi="Times New Roman"/>
          <w:w w:val="115"/>
        </w:rPr>
        <w:t>includes</w:t>
      </w:r>
      <w:r>
        <w:rPr>
          <w:rFonts w:ascii="Times New Roman" w:hAnsi="Times New Roman"/>
          <w:spacing w:val="-16"/>
          <w:w w:val="115"/>
        </w:rPr>
        <w:t> </w:t>
      </w:r>
      <w:r>
        <w:rPr>
          <w:rFonts w:ascii="Times New Roman" w:hAnsi="Times New Roman"/>
          <w:w w:val="115"/>
        </w:rPr>
        <w:t>mental health,</w:t>
      </w:r>
      <w:r>
        <w:rPr>
          <w:rFonts w:ascii="Times New Roman" w:hAnsi="Times New Roman"/>
          <w:w w:val="115"/>
        </w:rPr>
        <w:t> too.</w:t>
      </w:r>
      <w:r>
        <w:rPr>
          <w:rFonts w:ascii="Times New Roman" w:hAnsi="Times New Roman"/>
          <w:w w:val="115"/>
        </w:rPr>
        <w:t> Across</w:t>
      </w:r>
      <w:r>
        <w:rPr>
          <w:rFonts w:ascii="Times New Roman" w:hAnsi="Times New Roman"/>
          <w:w w:val="115"/>
        </w:rPr>
        <w:t> the</w:t>
      </w:r>
      <w:r>
        <w:rPr>
          <w:rFonts w:ascii="Times New Roman" w:hAnsi="Times New Roman"/>
          <w:w w:val="115"/>
        </w:rPr>
        <w:t> Commonwealth,</w:t>
      </w:r>
      <w:r>
        <w:rPr>
          <w:rFonts w:ascii="Times New Roman" w:hAnsi="Times New Roman"/>
          <w:w w:val="115"/>
        </w:rPr>
        <w:t> LGBTQ youth</w:t>
      </w:r>
      <w:r>
        <w:rPr>
          <w:rFonts w:ascii="Times New Roman" w:hAnsi="Times New Roman"/>
          <w:spacing w:val="-13"/>
          <w:w w:val="115"/>
        </w:rPr>
        <w:t> </w:t>
      </w:r>
      <w:r>
        <w:rPr>
          <w:rFonts w:ascii="Times New Roman" w:hAnsi="Times New Roman"/>
          <w:w w:val="115"/>
        </w:rPr>
        <w:t>mental</w:t>
      </w:r>
      <w:r>
        <w:rPr>
          <w:rFonts w:ascii="Times New Roman" w:hAnsi="Times New Roman"/>
          <w:spacing w:val="-13"/>
          <w:w w:val="115"/>
        </w:rPr>
        <w:t> </w:t>
      </w:r>
      <w:r>
        <w:rPr>
          <w:rFonts w:ascii="Times New Roman" w:hAnsi="Times New Roman"/>
          <w:w w:val="115"/>
        </w:rPr>
        <w:t>health</w:t>
      </w:r>
      <w:r>
        <w:rPr>
          <w:rFonts w:ascii="Times New Roman" w:hAnsi="Times New Roman"/>
          <w:spacing w:val="-13"/>
          <w:w w:val="115"/>
        </w:rPr>
        <w:t> </w:t>
      </w:r>
      <w:r>
        <w:rPr>
          <w:rFonts w:ascii="Times New Roman" w:hAnsi="Times New Roman"/>
          <w:w w:val="115"/>
        </w:rPr>
        <w:t>is</w:t>
      </w:r>
      <w:r>
        <w:rPr>
          <w:rFonts w:ascii="Times New Roman" w:hAnsi="Times New Roman"/>
          <w:spacing w:val="-13"/>
          <w:w w:val="115"/>
        </w:rPr>
        <w:t> </w:t>
      </w:r>
      <w:r>
        <w:rPr>
          <w:rFonts w:ascii="Times New Roman" w:hAnsi="Times New Roman"/>
          <w:w w:val="115"/>
        </w:rPr>
        <w:t>in</w:t>
      </w:r>
      <w:r>
        <w:rPr>
          <w:rFonts w:ascii="Times New Roman" w:hAnsi="Times New Roman"/>
          <w:spacing w:val="-13"/>
          <w:w w:val="115"/>
        </w:rPr>
        <w:t> </w:t>
      </w:r>
      <w:r>
        <w:rPr>
          <w:rFonts w:ascii="Times New Roman" w:hAnsi="Times New Roman"/>
          <w:w w:val="115"/>
        </w:rPr>
        <w:t>crisis.</w:t>
      </w:r>
      <w:r>
        <w:rPr>
          <w:rFonts w:ascii="Times New Roman" w:hAnsi="Times New Roman"/>
          <w:spacing w:val="-13"/>
          <w:w w:val="115"/>
        </w:rPr>
        <w:t> </w:t>
      </w:r>
      <w:r>
        <w:rPr>
          <w:rFonts w:ascii="Times New Roman" w:hAnsi="Times New Roman"/>
          <w:w w:val="115"/>
        </w:rPr>
        <w:t>Last</w:t>
      </w:r>
      <w:r>
        <w:rPr>
          <w:rFonts w:ascii="Times New Roman" w:hAnsi="Times New Roman"/>
          <w:spacing w:val="-13"/>
          <w:w w:val="115"/>
        </w:rPr>
        <w:t> </w:t>
      </w:r>
      <w:r>
        <w:rPr>
          <w:rFonts w:ascii="Times New Roman" w:hAnsi="Times New Roman"/>
          <w:w w:val="115"/>
        </w:rPr>
        <w:t>year,</w:t>
      </w:r>
      <w:r>
        <w:rPr>
          <w:rFonts w:ascii="Times New Roman" w:hAnsi="Times New Roman"/>
          <w:spacing w:val="-13"/>
          <w:w w:val="115"/>
        </w:rPr>
        <w:t> </w:t>
      </w:r>
      <w:r>
        <w:rPr>
          <w:rFonts w:ascii="Times New Roman" w:hAnsi="Times New Roman"/>
          <w:w w:val="115"/>
        </w:rPr>
        <w:t>LGBTQ youth</w:t>
      </w:r>
      <w:r>
        <w:rPr>
          <w:rFonts w:ascii="Times New Roman" w:hAnsi="Times New Roman"/>
          <w:w w:val="115"/>
        </w:rPr>
        <w:t> reported</w:t>
      </w:r>
      <w:r>
        <w:rPr>
          <w:rFonts w:ascii="Times New Roman" w:hAnsi="Times New Roman"/>
          <w:w w:val="115"/>
        </w:rPr>
        <w:t> alarmingly</w:t>
      </w:r>
      <w:r>
        <w:rPr>
          <w:rFonts w:ascii="Times New Roman" w:hAnsi="Times New Roman"/>
          <w:w w:val="115"/>
        </w:rPr>
        <w:t> high</w:t>
      </w:r>
      <w:r>
        <w:rPr>
          <w:rFonts w:ascii="Times New Roman" w:hAnsi="Times New Roman"/>
          <w:w w:val="115"/>
        </w:rPr>
        <w:t> levels</w:t>
      </w:r>
      <w:r>
        <w:rPr>
          <w:rFonts w:ascii="Times New Roman" w:hAnsi="Times New Roman"/>
          <w:w w:val="115"/>
        </w:rPr>
        <w:t> of depression, anxiety, suicidality, and trauma, yet most</w:t>
      </w:r>
      <w:r>
        <w:rPr>
          <w:rFonts w:ascii="Times New Roman" w:hAnsi="Times New Roman"/>
          <w:w w:val="115"/>
        </w:rPr>
        <w:t> who</w:t>
      </w:r>
      <w:r>
        <w:rPr>
          <w:rFonts w:ascii="Times New Roman" w:hAnsi="Times New Roman"/>
          <w:w w:val="115"/>
        </w:rPr>
        <w:t> wanted</w:t>
      </w:r>
      <w:r>
        <w:rPr>
          <w:rFonts w:ascii="Times New Roman" w:hAnsi="Times New Roman"/>
          <w:w w:val="115"/>
        </w:rPr>
        <w:t> mental</w:t>
      </w:r>
      <w:r>
        <w:rPr>
          <w:rFonts w:ascii="Times New Roman" w:hAnsi="Times New Roman"/>
          <w:w w:val="115"/>
        </w:rPr>
        <w:t> healthcare</w:t>
      </w:r>
      <w:r>
        <w:rPr>
          <w:rFonts w:ascii="Times New Roman" w:hAnsi="Times New Roman"/>
          <w:w w:val="115"/>
        </w:rPr>
        <w:t> did</w:t>
      </w:r>
      <w:r>
        <w:rPr>
          <w:rFonts w:ascii="Times New Roman" w:hAnsi="Times New Roman"/>
          <w:w w:val="115"/>
        </w:rPr>
        <w:t> not receive</w:t>
      </w:r>
      <w:r>
        <w:rPr>
          <w:rFonts w:ascii="Times New Roman" w:hAnsi="Times New Roman"/>
          <w:spacing w:val="-6"/>
          <w:w w:val="115"/>
        </w:rPr>
        <w:t> </w:t>
      </w:r>
      <w:r>
        <w:rPr>
          <w:rFonts w:ascii="Times New Roman" w:hAnsi="Times New Roman"/>
          <w:w w:val="115"/>
        </w:rPr>
        <w:t>it.</w:t>
      </w:r>
    </w:p>
    <w:p>
      <w:pPr>
        <w:pStyle w:val="Heading2"/>
        <w:spacing w:line="1085" w:lineRule="exact" w:before="228"/>
        <w:ind w:right="1273"/>
        <w:jc w:val="center"/>
      </w:pPr>
      <w:r>
        <w:rPr/>
        <w:br w:type="column"/>
      </w:r>
      <w:r>
        <w:rPr>
          <w:emboss/>
          <w:color w:val="1B6A4E"/>
          <w:w w:val="85"/>
        </w:rPr>
        <w:t>1</w:t>
      </w:r>
      <w:r>
        <w:rPr>
          <w:shadow w:val="0"/>
          <w:color w:val="1B6A4E"/>
          <w:spacing w:val="-10"/>
          <w:w w:val="85"/>
        </w:rPr>
        <w:t> </w:t>
      </w:r>
      <w:r>
        <w:rPr>
          <w:emboss/>
          <w:color w:val="1B6A4E"/>
          <w:spacing w:val="19"/>
          <w:w w:val="85"/>
        </w:rPr>
        <w:t>IN</w:t>
      </w:r>
      <w:r>
        <w:rPr>
          <w:shadow w:val="0"/>
          <w:color w:val="1B6A4E"/>
          <w:spacing w:val="-9"/>
          <w:w w:val="85"/>
        </w:rPr>
        <w:t> </w:t>
      </w:r>
      <w:r>
        <w:rPr>
          <w:emboss/>
          <w:color w:val="1B6A4E"/>
          <w:spacing w:val="-10"/>
          <w:w w:val="85"/>
        </w:rPr>
        <w:t>2</w:t>
      </w:r>
    </w:p>
    <w:p>
      <w:pPr>
        <w:pStyle w:val="BodyText"/>
        <w:spacing w:line="264" w:lineRule="auto"/>
        <w:ind w:left="118" w:right="1273"/>
        <w:jc w:val="center"/>
        <w:rPr>
          <w:rFonts w:ascii="Times New Roman"/>
        </w:rPr>
      </w:pPr>
      <w:r>
        <w:rPr>
          <w:rFonts w:ascii="Times New Roman"/>
          <w:w w:val="110"/>
        </w:rPr>
        <w:t>Massachusetts</w:t>
      </w:r>
      <w:r>
        <w:rPr>
          <w:rFonts w:ascii="Times New Roman"/>
          <w:spacing w:val="-5"/>
          <w:w w:val="110"/>
        </w:rPr>
        <w:t> </w:t>
      </w:r>
      <w:r>
        <w:rPr>
          <w:rFonts w:ascii="Times New Roman"/>
          <w:w w:val="110"/>
        </w:rPr>
        <w:t>LGBTQ</w:t>
      </w:r>
      <w:r>
        <w:rPr>
          <w:rFonts w:ascii="Times New Roman"/>
          <w:spacing w:val="-5"/>
          <w:w w:val="110"/>
        </w:rPr>
        <w:t> </w:t>
      </w:r>
      <w:r>
        <w:rPr>
          <w:rFonts w:ascii="Times New Roman"/>
          <w:w w:val="110"/>
        </w:rPr>
        <w:t>youth </w:t>
      </w:r>
      <w:r>
        <w:rPr>
          <w:rFonts w:ascii="Times New Roman"/>
          <w:w w:val="115"/>
        </w:rPr>
        <w:t>were</w:t>
      </w:r>
      <w:r>
        <w:rPr>
          <w:rFonts w:ascii="Times New Roman"/>
          <w:spacing w:val="-16"/>
          <w:w w:val="115"/>
        </w:rPr>
        <w:t> </w:t>
      </w:r>
      <w:r>
        <w:rPr>
          <w:rFonts w:ascii="Times New Roman"/>
          <w:w w:val="115"/>
        </w:rPr>
        <w:t>unable</w:t>
      </w:r>
      <w:r>
        <w:rPr>
          <w:rFonts w:ascii="Times New Roman"/>
          <w:spacing w:val="-16"/>
          <w:w w:val="115"/>
        </w:rPr>
        <w:t> </w:t>
      </w:r>
      <w:r>
        <w:rPr>
          <w:rFonts w:ascii="Times New Roman"/>
          <w:w w:val="115"/>
        </w:rPr>
        <w:t>to</w:t>
      </w:r>
      <w:r>
        <w:rPr>
          <w:rFonts w:ascii="Times New Roman"/>
          <w:spacing w:val="-16"/>
          <w:w w:val="115"/>
        </w:rPr>
        <w:t> </w:t>
      </w:r>
      <w:r>
        <w:rPr>
          <w:rFonts w:ascii="Times New Roman"/>
          <w:w w:val="115"/>
        </w:rPr>
        <w:t>access</w:t>
      </w:r>
      <w:r>
        <w:rPr>
          <w:rFonts w:ascii="Times New Roman"/>
          <w:spacing w:val="-16"/>
          <w:w w:val="115"/>
        </w:rPr>
        <w:t> </w:t>
      </w:r>
      <w:r>
        <w:rPr>
          <w:rFonts w:ascii="Times New Roman"/>
          <w:w w:val="115"/>
        </w:rPr>
        <w:t>mental </w:t>
      </w:r>
      <w:r>
        <w:rPr>
          <w:rFonts w:ascii="Times New Roman"/>
          <w:spacing w:val="-2"/>
          <w:w w:val="115"/>
        </w:rPr>
        <w:t>healthcare</w:t>
      </w:r>
    </w:p>
    <w:p>
      <w:pPr>
        <w:pStyle w:val="BodyText"/>
        <w:spacing w:before="9"/>
        <w:rPr>
          <w:rFonts w:ascii="Times New Roman"/>
          <w:sz w:val="8"/>
        </w:rPr>
      </w:pPr>
    </w:p>
    <w:p>
      <w:pPr>
        <w:pStyle w:val="BodyText"/>
        <w:spacing w:line="20" w:lineRule="exact"/>
        <w:ind w:left="-370"/>
        <w:rPr>
          <w:rFonts w:ascii="Times New Roman"/>
          <w:sz w:val="2"/>
        </w:rPr>
      </w:pPr>
      <w:r>
        <w:rPr>
          <w:rFonts w:ascii="Times New Roman"/>
          <w:sz w:val="2"/>
        </w:rPr>
        <mc:AlternateContent>
          <mc:Choice Requires="wps">
            <w:drawing>
              <wp:inline distT="0" distB="0" distL="0" distR="0">
                <wp:extent cx="2773680" cy="28575"/>
                <wp:effectExtent l="19050" t="0" r="7619" b="0"/>
                <wp:docPr id="246" name="Group 246"/>
                <wp:cNvGraphicFramePr>
                  <a:graphicFrameLocks/>
                </wp:cNvGraphicFramePr>
                <a:graphic>
                  <a:graphicData uri="http://schemas.microsoft.com/office/word/2010/wordprocessingGroup">
                    <wpg:wgp>
                      <wpg:cNvPr id="246" name="Group 246"/>
                      <wpg:cNvGrpSpPr/>
                      <wpg:grpSpPr>
                        <a:xfrm>
                          <a:off x="0" y="0"/>
                          <a:ext cx="2773680" cy="28575"/>
                          <a:chExt cx="2773680" cy="28575"/>
                        </a:xfrm>
                      </wpg:grpSpPr>
                      <wps:wsp>
                        <wps:cNvPr id="247" name="Graphic 247"/>
                        <wps:cNvSpPr/>
                        <wps:spPr>
                          <a:xfrm>
                            <a:off x="0" y="14287"/>
                            <a:ext cx="2773680" cy="1270"/>
                          </a:xfrm>
                          <a:custGeom>
                            <a:avLst/>
                            <a:gdLst/>
                            <a:ahLst/>
                            <a:cxnLst/>
                            <a:rect l="l" t="t" r="r" b="b"/>
                            <a:pathLst>
                              <a:path w="2773680" h="0">
                                <a:moveTo>
                                  <a:pt x="0" y="0"/>
                                </a:moveTo>
                                <a:lnTo>
                                  <a:pt x="2773600" y="0"/>
                                </a:lnTo>
                              </a:path>
                            </a:pathLst>
                          </a:custGeom>
                          <a:ln w="28574">
                            <a:solidFill>
                              <a:srgbClr val="1B6A4E"/>
                            </a:solidFill>
                            <a:prstDash val="sysDash"/>
                          </a:ln>
                        </wps:spPr>
                        <wps:bodyPr wrap="square" lIns="0" tIns="0" rIns="0" bIns="0" rtlCol="0">
                          <a:prstTxWarp prst="textNoShape">
                            <a:avLst/>
                          </a:prstTxWarp>
                          <a:noAutofit/>
                        </wps:bodyPr>
                      </wps:wsp>
                    </wpg:wgp>
                  </a:graphicData>
                </a:graphic>
              </wp:inline>
            </w:drawing>
          </mc:Choice>
          <mc:Fallback>
            <w:pict>
              <v:group style="width:218.4pt;height:2.25pt;mso-position-horizontal-relative:char;mso-position-vertical-relative:line" id="docshapegroup196" coordorigin="0,0" coordsize="4368,45">
                <v:line style="position:absolute" from="0,23" to="4368,23" stroked="true" strokeweight="2.25pt" strokecolor="#1b6a4e">
                  <v:stroke dashstyle="shortdash"/>
                </v:line>
              </v:group>
            </w:pict>
          </mc:Fallback>
        </mc:AlternateContent>
      </w:r>
      <w:r>
        <w:rPr>
          <w:rFonts w:ascii="Times New Roman"/>
          <w:sz w:val="2"/>
        </w:rPr>
      </w:r>
    </w:p>
    <w:p>
      <w:pPr>
        <w:pStyle w:val="Heading4"/>
        <w:spacing w:before="240"/>
        <w:ind w:right="1002"/>
        <w:jc w:val="center"/>
      </w:pPr>
      <w:r>
        <w:rPr>
          <w:emboss/>
          <w:color w:val="1B6A4E"/>
          <w:spacing w:val="19"/>
          <w:w w:val="85"/>
        </w:rPr>
        <w:t>71%</w:t>
      </w:r>
    </w:p>
    <w:p>
      <w:pPr>
        <w:pStyle w:val="BodyText"/>
        <w:spacing w:line="264" w:lineRule="auto" w:before="80"/>
        <w:ind w:left="548" w:right="1627" w:hanging="1"/>
        <w:jc w:val="center"/>
        <w:rPr>
          <w:rFonts w:ascii="Times New Roman"/>
        </w:rPr>
      </w:pPr>
      <w:r>
        <w:rPr/>
        <mc:AlternateContent>
          <mc:Choice Requires="wps">
            <w:drawing>
              <wp:anchor distT="0" distB="0" distL="0" distR="0" allowOverlap="1" layoutInCell="1" locked="0" behindDoc="0" simplePos="0" relativeHeight="15770112">
                <wp:simplePos x="0" y="0"/>
                <wp:positionH relativeFrom="page">
                  <wp:posOffset>655211</wp:posOffset>
                </wp:positionH>
                <wp:positionV relativeFrom="paragraph">
                  <wp:posOffset>246185</wp:posOffset>
                </wp:positionV>
                <wp:extent cx="3475990" cy="324993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3475990" cy="3249930"/>
                          <a:chExt cx="3475990" cy="3249930"/>
                        </a:xfrm>
                      </wpg:grpSpPr>
                      <pic:pic>
                        <pic:nvPicPr>
                          <pic:cNvPr id="249" name="Image 249"/>
                          <pic:cNvPicPr/>
                        </pic:nvPicPr>
                        <pic:blipFill>
                          <a:blip r:embed="rId272" cstate="print"/>
                          <a:stretch>
                            <a:fillRect/>
                          </a:stretch>
                        </pic:blipFill>
                        <pic:spPr>
                          <a:xfrm>
                            <a:off x="0" y="0"/>
                            <a:ext cx="3475728" cy="3249697"/>
                          </a:xfrm>
                          <a:prstGeom prst="rect">
                            <a:avLst/>
                          </a:prstGeom>
                        </pic:spPr>
                      </pic:pic>
                      <wps:wsp>
                        <wps:cNvPr id="250" name="Textbox 250"/>
                        <wps:cNvSpPr txBox="1"/>
                        <wps:spPr>
                          <a:xfrm>
                            <a:off x="0" y="0"/>
                            <a:ext cx="3475990" cy="3249930"/>
                          </a:xfrm>
                          <a:prstGeom prst="rect">
                            <a:avLst/>
                          </a:prstGeom>
                        </wps:spPr>
                        <wps:txbx>
                          <w:txbxContent>
                            <w:p>
                              <w:pPr>
                                <w:spacing w:before="191"/>
                                <w:ind w:left="211" w:right="0" w:firstLine="0"/>
                                <w:jc w:val="left"/>
                                <w:rPr>
                                  <w:b/>
                                  <w:i/>
                                  <w:sz w:val="34"/>
                                </w:rPr>
                              </w:pPr>
                              <w:r>
                                <w:rPr>
                                  <w:b/>
                                  <w:i/>
                                  <w:spacing w:val="13"/>
                                  <w:w w:val="125"/>
                                  <w:sz w:val="34"/>
                                </w:rPr>
                                <w:t>RECOMMENDATIONS</w:t>
                              </w:r>
                            </w:p>
                            <w:p>
                              <w:pPr>
                                <w:spacing w:line="268" w:lineRule="auto" w:before="401"/>
                                <w:ind w:left="1032" w:right="0" w:firstLine="0"/>
                                <w:jc w:val="left"/>
                                <w:rPr>
                                  <w:rFonts w:ascii="Times New Roman"/>
                                  <w:sz w:val="21"/>
                                </w:rPr>
                              </w:pPr>
                              <w:r>
                                <w:rPr>
                                  <w:rFonts w:ascii="Times New Roman"/>
                                  <w:w w:val="115"/>
                                  <w:sz w:val="21"/>
                                </w:rPr>
                                <w:t>Fund</w:t>
                              </w:r>
                              <w:r>
                                <w:rPr>
                                  <w:rFonts w:ascii="Times New Roman"/>
                                  <w:spacing w:val="-13"/>
                                  <w:w w:val="115"/>
                                  <w:sz w:val="21"/>
                                </w:rPr>
                                <w:t> </w:t>
                              </w:r>
                              <w:r>
                                <w:rPr>
                                  <w:rFonts w:ascii="Times New Roman"/>
                                  <w:w w:val="115"/>
                                  <w:sz w:val="21"/>
                                </w:rPr>
                                <w:t>more</w:t>
                              </w:r>
                              <w:r>
                                <w:rPr>
                                  <w:rFonts w:ascii="Times New Roman"/>
                                  <w:spacing w:val="-13"/>
                                  <w:w w:val="115"/>
                                  <w:sz w:val="21"/>
                                </w:rPr>
                                <w:t> </w:t>
                              </w:r>
                              <w:r>
                                <w:rPr>
                                  <w:rFonts w:ascii="Times New Roman"/>
                                  <w:w w:val="115"/>
                                  <w:sz w:val="21"/>
                                </w:rPr>
                                <w:t>statewide</w:t>
                              </w:r>
                              <w:r>
                                <w:rPr>
                                  <w:rFonts w:ascii="Times New Roman"/>
                                  <w:spacing w:val="-13"/>
                                  <w:w w:val="115"/>
                                  <w:sz w:val="21"/>
                                </w:rPr>
                                <w:t> </w:t>
                              </w:r>
                              <w:r>
                                <w:rPr>
                                  <w:rFonts w:ascii="Times New Roman"/>
                                  <w:w w:val="115"/>
                                  <w:sz w:val="21"/>
                                </w:rPr>
                                <w:t>research</w:t>
                              </w:r>
                              <w:r>
                                <w:rPr>
                                  <w:rFonts w:ascii="Times New Roman"/>
                                  <w:spacing w:val="-13"/>
                                  <w:w w:val="115"/>
                                  <w:sz w:val="21"/>
                                </w:rPr>
                                <w:t> </w:t>
                              </w:r>
                              <w:r>
                                <w:rPr>
                                  <w:rFonts w:ascii="Times New Roman"/>
                                  <w:w w:val="115"/>
                                  <w:sz w:val="21"/>
                                </w:rPr>
                                <w:t>about</w:t>
                              </w:r>
                              <w:r>
                                <w:rPr>
                                  <w:rFonts w:ascii="Times New Roman"/>
                                  <w:spacing w:val="-13"/>
                                  <w:w w:val="115"/>
                                  <w:sz w:val="21"/>
                                </w:rPr>
                                <w:t> </w:t>
                              </w:r>
                              <w:r>
                                <w:rPr>
                                  <w:rFonts w:ascii="Times New Roman"/>
                                  <w:w w:val="115"/>
                                  <w:sz w:val="21"/>
                                </w:rPr>
                                <w:t>mental health and suicide prevention treatment approaches</w:t>
                              </w:r>
                              <w:r>
                                <w:rPr>
                                  <w:rFonts w:ascii="Times New Roman"/>
                                  <w:spacing w:val="-10"/>
                                  <w:w w:val="115"/>
                                  <w:sz w:val="21"/>
                                </w:rPr>
                                <w:t> </w:t>
                              </w:r>
                              <w:r>
                                <w:rPr>
                                  <w:rFonts w:ascii="Times New Roman"/>
                                  <w:w w:val="115"/>
                                  <w:sz w:val="21"/>
                                </w:rPr>
                                <w:t>for</w:t>
                              </w:r>
                              <w:r>
                                <w:rPr>
                                  <w:rFonts w:ascii="Times New Roman"/>
                                  <w:spacing w:val="-10"/>
                                  <w:w w:val="115"/>
                                  <w:sz w:val="21"/>
                                </w:rPr>
                                <w:t> </w:t>
                              </w:r>
                              <w:r>
                                <w:rPr>
                                  <w:rFonts w:ascii="Times New Roman"/>
                                  <w:w w:val="115"/>
                                  <w:sz w:val="21"/>
                                </w:rPr>
                                <w:t>LGBTQ</w:t>
                              </w:r>
                              <w:r>
                                <w:rPr>
                                  <w:rFonts w:ascii="Times New Roman"/>
                                  <w:spacing w:val="-10"/>
                                  <w:w w:val="115"/>
                                  <w:sz w:val="21"/>
                                </w:rPr>
                                <w:t> </w:t>
                              </w:r>
                              <w:r>
                                <w:rPr>
                                  <w:rFonts w:ascii="Times New Roman"/>
                                  <w:w w:val="115"/>
                                  <w:sz w:val="21"/>
                                </w:rPr>
                                <w:t>youth.</w:t>
                              </w:r>
                            </w:p>
                            <w:p>
                              <w:pPr>
                                <w:spacing w:line="240" w:lineRule="auto" w:before="96"/>
                                <w:rPr>
                                  <w:rFonts w:ascii="Times New Roman"/>
                                  <w:sz w:val="21"/>
                                </w:rPr>
                              </w:pPr>
                            </w:p>
                            <w:p>
                              <w:pPr>
                                <w:spacing w:line="268" w:lineRule="auto" w:before="0"/>
                                <w:ind w:left="1030" w:right="160" w:firstLine="0"/>
                                <w:jc w:val="left"/>
                                <w:rPr>
                                  <w:rFonts w:ascii="Times New Roman" w:hAnsi="Times New Roman"/>
                                  <w:sz w:val="21"/>
                                </w:rPr>
                              </w:pPr>
                              <w:r>
                                <w:rPr>
                                  <w:rFonts w:ascii="Times New Roman" w:hAnsi="Times New Roman"/>
                                  <w:w w:val="115"/>
                                  <w:sz w:val="21"/>
                                </w:rPr>
                                <w:t>Promote services that address youths’ intersectional identities, including race, </w:t>
                              </w:r>
                              <w:r>
                                <w:rPr>
                                  <w:rFonts w:ascii="Times New Roman" w:hAnsi="Times New Roman"/>
                                  <w:spacing w:val="-2"/>
                                  <w:w w:val="115"/>
                                  <w:sz w:val="21"/>
                                </w:rPr>
                                <w:t>ethnicity,</w:t>
                              </w:r>
                              <w:r>
                                <w:rPr>
                                  <w:rFonts w:ascii="Times New Roman" w:hAnsi="Times New Roman"/>
                                  <w:spacing w:val="-8"/>
                                  <w:w w:val="115"/>
                                  <w:sz w:val="21"/>
                                </w:rPr>
                                <w:t> </w:t>
                              </w:r>
                              <w:r>
                                <w:rPr>
                                  <w:rFonts w:ascii="Times New Roman" w:hAnsi="Times New Roman"/>
                                  <w:spacing w:val="-2"/>
                                  <w:w w:val="115"/>
                                  <w:sz w:val="21"/>
                                </w:rPr>
                                <w:t>immigration,</w:t>
                              </w:r>
                              <w:r>
                                <w:rPr>
                                  <w:rFonts w:ascii="Times New Roman" w:hAnsi="Times New Roman"/>
                                  <w:spacing w:val="-8"/>
                                  <w:w w:val="115"/>
                                  <w:sz w:val="21"/>
                                </w:rPr>
                                <w:t> </w:t>
                              </w:r>
                              <w:r>
                                <w:rPr>
                                  <w:rFonts w:ascii="Times New Roman" w:hAnsi="Times New Roman"/>
                                  <w:spacing w:val="-2"/>
                                  <w:w w:val="115"/>
                                  <w:sz w:val="21"/>
                                </w:rPr>
                                <w:t>ability,</w:t>
                              </w:r>
                              <w:r>
                                <w:rPr>
                                  <w:rFonts w:ascii="Times New Roman" w:hAnsi="Times New Roman"/>
                                  <w:spacing w:val="-8"/>
                                  <w:w w:val="115"/>
                                  <w:sz w:val="21"/>
                                </w:rPr>
                                <w:t> </w:t>
                              </w:r>
                              <w:r>
                                <w:rPr>
                                  <w:rFonts w:ascii="Times New Roman" w:hAnsi="Times New Roman"/>
                                  <w:spacing w:val="-2"/>
                                  <w:w w:val="115"/>
                                  <w:sz w:val="21"/>
                                </w:rPr>
                                <w:t>involvement </w:t>
                              </w:r>
                              <w:r>
                                <w:rPr>
                                  <w:rFonts w:ascii="Times New Roman" w:hAnsi="Times New Roman"/>
                                  <w:w w:val="115"/>
                                  <w:sz w:val="21"/>
                                </w:rPr>
                                <w:t>in juvenile justice or foster care, and rural </w:t>
                              </w:r>
                              <w:r>
                                <w:rPr>
                                  <w:rFonts w:ascii="Times New Roman" w:hAnsi="Times New Roman"/>
                                  <w:spacing w:val="-2"/>
                                  <w:w w:val="115"/>
                                  <w:sz w:val="21"/>
                                </w:rPr>
                                <w:t>residence.</w:t>
                              </w:r>
                            </w:p>
                            <w:p>
                              <w:pPr>
                                <w:spacing w:line="240" w:lineRule="auto" w:before="114"/>
                                <w:rPr>
                                  <w:rFonts w:ascii="Times New Roman"/>
                                  <w:sz w:val="21"/>
                                </w:rPr>
                              </w:pPr>
                            </w:p>
                            <w:p>
                              <w:pPr>
                                <w:spacing w:line="268" w:lineRule="auto" w:before="0"/>
                                <w:ind w:left="1013" w:right="558" w:firstLine="0"/>
                                <w:jc w:val="left"/>
                                <w:rPr>
                                  <w:rFonts w:ascii="Times New Roman"/>
                                  <w:sz w:val="21"/>
                                </w:rPr>
                              </w:pPr>
                              <w:r>
                                <w:rPr>
                                  <w:rFonts w:ascii="Times New Roman"/>
                                  <w:w w:val="115"/>
                                  <w:sz w:val="21"/>
                                </w:rPr>
                                <w:t>Support reforms of the mental</w:t>
                              </w:r>
                              <w:r>
                                <w:rPr>
                                  <w:rFonts w:ascii="Times New Roman"/>
                                  <w:w w:val="115"/>
                                  <w:sz w:val="21"/>
                                </w:rPr>
                                <w:t> healthcare</w:t>
                              </w:r>
                              <w:r>
                                <w:rPr>
                                  <w:rFonts w:ascii="Times New Roman"/>
                                  <w:spacing w:val="-15"/>
                                  <w:w w:val="115"/>
                                  <w:sz w:val="21"/>
                                </w:rPr>
                                <w:t> </w:t>
                              </w:r>
                              <w:r>
                                <w:rPr>
                                  <w:rFonts w:ascii="Times New Roman"/>
                                  <w:w w:val="115"/>
                                  <w:sz w:val="21"/>
                                </w:rPr>
                                <w:t>and</w:t>
                              </w:r>
                              <w:r>
                                <w:rPr>
                                  <w:rFonts w:ascii="Times New Roman"/>
                                  <w:spacing w:val="-15"/>
                                  <w:w w:val="115"/>
                                  <w:sz w:val="21"/>
                                </w:rPr>
                                <w:t> </w:t>
                              </w:r>
                              <w:r>
                                <w:rPr>
                                  <w:rFonts w:ascii="Times New Roman"/>
                                  <w:w w:val="115"/>
                                  <w:sz w:val="21"/>
                                </w:rPr>
                                <w:t>health</w:t>
                              </w:r>
                              <w:r>
                                <w:rPr>
                                  <w:rFonts w:ascii="Times New Roman"/>
                                  <w:spacing w:val="-15"/>
                                  <w:w w:val="115"/>
                                  <w:sz w:val="21"/>
                                </w:rPr>
                                <w:t> </w:t>
                              </w:r>
                              <w:r>
                                <w:rPr>
                                  <w:rFonts w:ascii="Times New Roman"/>
                                  <w:w w:val="115"/>
                                  <w:sz w:val="21"/>
                                </w:rPr>
                                <w:t>insurance</w:t>
                              </w:r>
                              <w:r>
                                <w:rPr>
                                  <w:rFonts w:ascii="Times New Roman"/>
                                  <w:spacing w:val="-15"/>
                                  <w:w w:val="115"/>
                                  <w:sz w:val="21"/>
                                </w:rPr>
                                <w:t> </w:t>
                              </w:r>
                              <w:r>
                                <w:rPr>
                                  <w:rFonts w:ascii="Times New Roman"/>
                                  <w:w w:val="115"/>
                                  <w:sz w:val="21"/>
                                </w:rPr>
                                <w:t>systems.</w:t>
                              </w:r>
                            </w:p>
                          </w:txbxContent>
                        </wps:txbx>
                        <wps:bodyPr wrap="square" lIns="0" tIns="0" rIns="0" bIns="0" rtlCol="0">
                          <a:noAutofit/>
                        </wps:bodyPr>
                      </wps:wsp>
                    </wpg:wgp>
                  </a:graphicData>
                </a:graphic>
              </wp:anchor>
            </w:drawing>
          </mc:Choice>
          <mc:Fallback>
            <w:pict>
              <v:group style="position:absolute;margin-left:51.591461pt;margin-top:19.384668pt;width:273.7pt;height:255.9pt;mso-position-horizontal-relative:page;mso-position-vertical-relative:paragraph;z-index:15770112" id="docshapegroup197" coordorigin="1032,388" coordsize="5474,5118">
                <v:shape style="position:absolute;left:1031;top:387;width:5474;height:5118" type="#_x0000_t75" id="docshape198" stroked="false">
                  <v:imagedata r:id="rId272" o:title=""/>
                </v:shape>
                <v:shape style="position:absolute;left:1031;top:387;width:5474;height:5118" type="#_x0000_t202" id="docshape199" filled="false" stroked="false">
                  <v:textbox inset="0,0,0,0">
                    <w:txbxContent>
                      <w:p>
                        <w:pPr>
                          <w:spacing w:before="191"/>
                          <w:ind w:left="211" w:right="0" w:firstLine="0"/>
                          <w:jc w:val="left"/>
                          <w:rPr>
                            <w:b/>
                            <w:i/>
                            <w:sz w:val="34"/>
                          </w:rPr>
                        </w:pPr>
                        <w:r>
                          <w:rPr>
                            <w:b/>
                            <w:i/>
                            <w:spacing w:val="13"/>
                            <w:w w:val="125"/>
                            <w:sz w:val="34"/>
                          </w:rPr>
                          <w:t>RECOMMENDATIONS</w:t>
                        </w:r>
                      </w:p>
                      <w:p>
                        <w:pPr>
                          <w:spacing w:line="268" w:lineRule="auto" w:before="401"/>
                          <w:ind w:left="1032" w:right="0" w:firstLine="0"/>
                          <w:jc w:val="left"/>
                          <w:rPr>
                            <w:rFonts w:ascii="Times New Roman"/>
                            <w:sz w:val="21"/>
                          </w:rPr>
                        </w:pPr>
                        <w:r>
                          <w:rPr>
                            <w:rFonts w:ascii="Times New Roman"/>
                            <w:w w:val="115"/>
                            <w:sz w:val="21"/>
                          </w:rPr>
                          <w:t>Fund</w:t>
                        </w:r>
                        <w:r>
                          <w:rPr>
                            <w:rFonts w:ascii="Times New Roman"/>
                            <w:spacing w:val="-13"/>
                            <w:w w:val="115"/>
                            <w:sz w:val="21"/>
                          </w:rPr>
                          <w:t> </w:t>
                        </w:r>
                        <w:r>
                          <w:rPr>
                            <w:rFonts w:ascii="Times New Roman"/>
                            <w:w w:val="115"/>
                            <w:sz w:val="21"/>
                          </w:rPr>
                          <w:t>more</w:t>
                        </w:r>
                        <w:r>
                          <w:rPr>
                            <w:rFonts w:ascii="Times New Roman"/>
                            <w:spacing w:val="-13"/>
                            <w:w w:val="115"/>
                            <w:sz w:val="21"/>
                          </w:rPr>
                          <w:t> </w:t>
                        </w:r>
                        <w:r>
                          <w:rPr>
                            <w:rFonts w:ascii="Times New Roman"/>
                            <w:w w:val="115"/>
                            <w:sz w:val="21"/>
                          </w:rPr>
                          <w:t>statewide</w:t>
                        </w:r>
                        <w:r>
                          <w:rPr>
                            <w:rFonts w:ascii="Times New Roman"/>
                            <w:spacing w:val="-13"/>
                            <w:w w:val="115"/>
                            <w:sz w:val="21"/>
                          </w:rPr>
                          <w:t> </w:t>
                        </w:r>
                        <w:r>
                          <w:rPr>
                            <w:rFonts w:ascii="Times New Roman"/>
                            <w:w w:val="115"/>
                            <w:sz w:val="21"/>
                          </w:rPr>
                          <w:t>research</w:t>
                        </w:r>
                        <w:r>
                          <w:rPr>
                            <w:rFonts w:ascii="Times New Roman"/>
                            <w:spacing w:val="-13"/>
                            <w:w w:val="115"/>
                            <w:sz w:val="21"/>
                          </w:rPr>
                          <w:t> </w:t>
                        </w:r>
                        <w:r>
                          <w:rPr>
                            <w:rFonts w:ascii="Times New Roman"/>
                            <w:w w:val="115"/>
                            <w:sz w:val="21"/>
                          </w:rPr>
                          <w:t>about</w:t>
                        </w:r>
                        <w:r>
                          <w:rPr>
                            <w:rFonts w:ascii="Times New Roman"/>
                            <w:spacing w:val="-13"/>
                            <w:w w:val="115"/>
                            <w:sz w:val="21"/>
                          </w:rPr>
                          <w:t> </w:t>
                        </w:r>
                        <w:r>
                          <w:rPr>
                            <w:rFonts w:ascii="Times New Roman"/>
                            <w:w w:val="115"/>
                            <w:sz w:val="21"/>
                          </w:rPr>
                          <w:t>mental health and suicide prevention treatment approaches</w:t>
                        </w:r>
                        <w:r>
                          <w:rPr>
                            <w:rFonts w:ascii="Times New Roman"/>
                            <w:spacing w:val="-10"/>
                            <w:w w:val="115"/>
                            <w:sz w:val="21"/>
                          </w:rPr>
                          <w:t> </w:t>
                        </w:r>
                        <w:r>
                          <w:rPr>
                            <w:rFonts w:ascii="Times New Roman"/>
                            <w:w w:val="115"/>
                            <w:sz w:val="21"/>
                          </w:rPr>
                          <w:t>for</w:t>
                        </w:r>
                        <w:r>
                          <w:rPr>
                            <w:rFonts w:ascii="Times New Roman"/>
                            <w:spacing w:val="-10"/>
                            <w:w w:val="115"/>
                            <w:sz w:val="21"/>
                          </w:rPr>
                          <w:t> </w:t>
                        </w:r>
                        <w:r>
                          <w:rPr>
                            <w:rFonts w:ascii="Times New Roman"/>
                            <w:w w:val="115"/>
                            <w:sz w:val="21"/>
                          </w:rPr>
                          <w:t>LGBTQ</w:t>
                        </w:r>
                        <w:r>
                          <w:rPr>
                            <w:rFonts w:ascii="Times New Roman"/>
                            <w:spacing w:val="-10"/>
                            <w:w w:val="115"/>
                            <w:sz w:val="21"/>
                          </w:rPr>
                          <w:t> </w:t>
                        </w:r>
                        <w:r>
                          <w:rPr>
                            <w:rFonts w:ascii="Times New Roman"/>
                            <w:w w:val="115"/>
                            <w:sz w:val="21"/>
                          </w:rPr>
                          <w:t>youth.</w:t>
                        </w:r>
                      </w:p>
                      <w:p>
                        <w:pPr>
                          <w:spacing w:line="240" w:lineRule="auto" w:before="96"/>
                          <w:rPr>
                            <w:rFonts w:ascii="Times New Roman"/>
                            <w:sz w:val="21"/>
                          </w:rPr>
                        </w:pPr>
                      </w:p>
                      <w:p>
                        <w:pPr>
                          <w:spacing w:line="268" w:lineRule="auto" w:before="0"/>
                          <w:ind w:left="1030" w:right="160" w:firstLine="0"/>
                          <w:jc w:val="left"/>
                          <w:rPr>
                            <w:rFonts w:ascii="Times New Roman" w:hAnsi="Times New Roman"/>
                            <w:sz w:val="21"/>
                          </w:rPr>
                        </w:pPr>
                        <w:r>
                          <w:rPr>
                            <w:rFonts w:ascii="Times New Roman" w:hAnsi="Times New Roman"/>
                            <w:w w:val="115"/>
                            <w:sz w:val="21"/>
                          </w:rPr>
                          <w:t>Promote services that address youths’ intersectional identities, including race, </w:t>
                        </w:r>
                        <w:r>
                          <w:rPr>
                            <w:rFonts w:ascii="Times New Roman" w:hAnsi="Times New Roman"/>
                            <w:spacing w:val="-2"/>
                            <w:w w:val="115"/>
                            <w:sz w:val="21"/>
                          </w:rPr>
                          <w:t>ethnicity,</w:t>
                        </w:r>
                        <w:r>
                          <w:rPr>
                            <w:rFonts w:ascii="Times New Roman" w:hAnsi="Times New Roman"/>
                            <w:spacing w:val="-8"/>
                            <w:w w:val="115"/>
                            <w:sz w:val="21"/>
                          </w:rPr>
                          <w:t> </w:t>
                        </w:r>
                        <w:r>
                          <w:rPr>
                            <w:rFonts w:ascii="Times New Roman" w:hAnsi="Times New Roman"/>
                            <w:spacing w:val="-2"/>
                            <w:w w:val="115"/>
                            <w:sz w:val="21"/>
                          </w:rPr>
                          <w:t>immigration,</w:t>
                        </w:r>
                        <w:r>
                          <w:rPr>
                            <w:rFonts w:ascii="Times New Roman" w:hAnsi="Times New Roman"/>
                            <w:spacing w:val="-8"/>
                            <w:w w:val="115"/>
                            <w:sz w:val="21"/>
                          </w:rPr>
                          <w:t> </w:t>
                        </w:r>
                        <w:r>
                          <w:rPr>
                            <w:rFonts w:ascii="Times New Roman" w:hAnsi="Times New Roman"/>
                            <w:spacing w:val="-2"/>
                            <w:w w:val="115"/>
                            <w:sz w:val="21"/>
                          </w:rPr>
                          <w:t>ability,</w:t>
                        </w:r>
                        <w:r>
                          <w:rPr>
                            <w:rFonts w:ascii="Times New Roman" w:hAnsi="Times New Roman"/>
                            <w:spacing w:val="-8"/>
                            <w:w w:val="115"/>
                            <w:sz w:val="21"/>
                          </w:rPr>
                          <w:t> </w:t>
                        </w:r>
                        <w:r>
                          <w:rPr>
                            <w:rFonts w:ascii="Times New Roman" w:hAnsi="Times New Roman"/>
                            <w:spacing w:val="-2"/>
                            <w:w w:val="115"/>
                            <w:sz w:val="21"/>
                          </w:rPr>
                          <w:t>involvement </w:t>
                        </w:r>
                        <w:r>
                          <w:rPr>
                            <w:rFonts w:ascii="Times New Roman" w:hAnsi="Times New Roman"/>
                            <w:w w:val="115"/>
                            <w:sz w:val="21"/>
                          </w:rPr>
                          <w:t>in juvenile justice or foster care, and rural </w:t>
                        </w:r>
                        <w:r>
                          <w:rPr>
                            <w:rFonts w:ascii="Times New Roman" w:hAnsi="Times New Roman"/>
                            <w:spacing w:val="-2"/>
                            <w:w w:val="115"/>
                            <w:sz w:val="21"/>
                          </w:rPr>
                          <w:t>residence.</w:t>
                        </w:r>
                      </w:p>
                      <w:p>
                        <w:pPr>
                          <w:spacing w:line="240" w:lineRule="auto" w:before="114"/>
                          <w:rPr>
                            <w:rFonts w:ascii="Times New Roman"/>
                            <w:sz w:val="21"/>
                          </w:rPr>
                        </w:pPr>
                      </w:p>
                      <w:p>
                        <w:pPr>
                          <w:spacing w:line="268" w:lineRule="auto" w:before="0"/>
                          <w:ind w:left="1013" w:right="558" w:firstLine="0"/>
                          <w:jc w:val="left"/>
                          <w:rPr>
                            <w:rFonts w:ascii="Times New Roman"/>
                            <w:sz w:val="21"/>
                          </w:rPr>
                        </w:pPr>
                        <w:r>
                          <w:rPr>
                            <w:rFonts w:ascii="Times New Roman"/>
                            <w:w w:val="115"/>
                            <w:sz w:val="21"/>
                          </w:rPr>
                          <w:t>Support reforms of the mental</w:t>
                        </w:r>
                        <w:r>
                          <w:rPr>
                            <w:rFonts w:ascii="Times New Roman"/>
                            <w:w w:val="115"/>
                            <w:sz w:val="21"/>
                          </w:rPr>
                          <w:t> healthcare</w:t>
                        </w:r>
                        <w:r>
                          <w:rPr>
                            <w:rFonts w:ascii="Times New Roman"/>
                            <w:spacing w:val="-15"/>
                            <w:w w:val="115"/>
                            <w:sz w:val="21"/>
                          </w:rPr>
                          <w:t> </w:t>
                        </w:r>
                        <w:r>
                          <w:rPr>
                            <w:rFonts w:ascii="Times New Roman"/>
                            <w:w w:val="115"/>
                            <w:sz w:val="21"/>
                          </w:rPr>
                          <w:t>and</w:t>
                        </w:r>
                        <w:r>
                          <w:rPr>
                            <w:rFonts w:ascii="Times New Roman"/>
                            <w:spacing w:val="-15"/>
                            <w:w w:val="115"/>
                            <w:sz w:val="21"/>
                          </w:rPr>
                          <w:t> </w:t>
                        </w:r>
                        <w:r>
                          <w:rPr>
                            <w:rFonts w:ascii="Times New Roman"/>
                            <w:w w:val="115"/>
                            <w:sz w:val="21"/>
                          </w:rPr>
                          <w:t>health</w:t>
                        </w:r>
                        <w:r>
                          <w:rPr>
                            <w:rFonts w:ascii="Times New Roman"/>
                            <w:spacing w:val="-15"/>
                            <w:w w:val="115"/>
                            <w:sz w:val="21"/>
                          </w:rPr>
                          <w:t> </w:t>
                        </w:r>
                        <w:r>
                          <w:rPr>
                            <w:rFonts w:ascii="Times New Roman"/>
                            <w:w w:val="115"/>
                            <w:sz w:val="21"/>
                          </w:rPr>
                          <w:t>insurance</w:t>
                        </w:r>
                        <w:r>
                          <w:rPr>
                            <w:rFonts w:ascii="Times New Roman"/>
                            <w:spacing w:val="-15"/>
                            <w:w w:val="115"/>
                            <w:sz w:val="21"/>
                          </w:rPr>
                          <w:t> </w:t>
                        </w:r>
                        <w:r>
                          <w:rPr>
                            <w:rFonts w:ascii="Times New Roman"/>
                            <w:w w:val="115"/>
                            <w:sz w:val="21"/>
                          </w:rPr>
                          <w:t>systems.</w:t>
                        </w:r>
                      </w:p>
                    </w:txbxContent>
                  </v:textbox>
                  <w10:wrap type="none"/>
                </v:shape>
                <w10:wrap type="none"/>
              </v:group>
            </w:pict>
          </mc:Fallback>
        </mc:AlternateContent>
      </w:r>
      <w:r>
        <w:rPr>
          <w:rFonts w:ascii="Times New Roman"/>
          <w:w w:val="115"/>
        </w:rPr>
        <w:t>Massachusetts</w:t>
      </w:r>
      <w:r>
        <w:rPr>
          <w:rFonts w:ascii="Times New Roman"/>
          <w:spacing w:val="-6"/>
          <w:w w:val="115"/>
        </w:rPr>
        <w:t> </w:t>
      </w:r>
      <w:r>
        <w:rPr>
          <w:rFonts w:ascii="Times New Roman"/>
          <w:w w:val="115"/>
        </w:rPr>
        <w:t>LGBTQ youth</w:t>
      </w:r>
      <w:r>
        <w:rPr>
          <w:rFonts w:ascii="Times New Roman"/>
          <w:spacing w:val="-16"/>
          <w:w w:val="115"/>
        </w:rPr>
        <w:t> </w:t>
      </w:r>
      <w:r>
        <w:rPr>
          <w:rFonts w:ascii="Times New Roman"/>
          <w:w w:val="115"/>
        </w:rPr>
        <w:t>experience</w:t>
      </w:r>
      <w:r>
        <w:rPr>
          <w:rFonts w:ascii="Times New Roman"/>
          <w:spacing w:val="-16"/>
          <w:w w:val="115"/>
        </w:rPr>
        <w:t> </w:t>
      </w:r>
      <w:r>
        <w:rPr>
          <w:rFonts w:ascii="Times New Roman"/>
          <w:w w:val="115"/>
        </w:rPr>
        <w:t>anxiety</w:t>
      </w:r>
    </w:p>
    <w:p>
      <w:pPr>
        <w:pStyle w:val="BodyText"/>
        <w:rPr>
          <w:rFonts w:ascii="Times New Roman"/>
          <w:sz w:val="20"/>
        </w:rPr>
      </w:pPr>
    </w:p>
    <w:p>
      <w:pPr>
        <w:pStyle w:val="BodyText"/>
        <w:spacing w:before="161" w:after="1"/>
        <w:rPr>
          <w:rFonts w:ascii="Times New Roman"/>
          <w:sz w:val="20"/>
        </w:rPr>
      </w:pPr>
    </w:p>
    <w:p>
      <w:pPr>
        <w:pStyle w:val="BodyText"/>
        <w:spacing w:line="20" w:lineRule="exact"/>
        <w:ind w:left="-370"/>
        <w:rPr>
          <w:rFonts w:ascii="Times New Roman"/>
          <w:sz w:val="2"/>
        </w:rPr>
      </w:pPr>
      <w:r>
        <w:rPr>
          <w:rFonts w:ascii="Times New Roman"/>
          <w:sz w:val="2"/>
        </w:rPr>
        <mc:AlternateContent>
          <mc:Choice Requires="wps">
            <w:drawing>
              <wp:inline distT="0" distB="0" distL="0" distR="0">
                <wp:extent cx="2773680" cy="28575"/>
                <wp:effectExtent l="19050" t="0" r="7619" b="0"/>
                <wp:docPr id="251" name="Group 251"/>
                <wp:cNvGraphicFramePr>
                  <a:graphicFrameLocks/>
                </wp:cNvGraphicFramePr>
                <a:graphic>
                  <a:graphicData uri="http://schemas.microsoft.com/office/word/2010/wordprocessingGroup">
                    <wpg:wgp>
                      <wpg:cNvPr id="251" name="Group 251"/>
                      <wpg:cNvGrpSpPr/>
                      <wpg:grpSpPr>
                        <a:xfrm>
                          <a:off x="0" y="0"/>
                          <a:ext cx="2773680" cy="28575"/>
                          <a:chExt cx="2773680" cy="28575"/>
                        </a:xfrm>
                      </wpg:grpSpPr>
                      <wps:wsp>
                        <wps:cNvPr id="252" name="Graphic 252"/>
                        <wps:cNvSpPr/>
                        <wps:spPr>
                          <a:xfrm>
                            <a:off x="0" y="14287"/>
                            <a:ext cx="2773680" cy="1270"/>
                          </a:xfrm>
                          <a:custGeom>
                            <a:avLst/>
                            <a:gdLst/>
                            <a:ahLst/>
                            <a:cxnLst/>
                            <a:rect l="l" t="t" r="r" b="b"/>
                            <a:pathLst>
                              <a:path w="2773680" h="0">
                                <a:moveTo>
                                  <a:pt x="0" y="0"/>
                                </a:moveTo>
                                <a:lnTo>
                                  <a:pt x="2773600" y="0"/>
                                </a:lnTo>
                              </a:path>
                            </a:pathLst>
                          </a:custGeom>
                          <a:ln w="28574">
                            <a:solidFill>
                              <a:srgbClr val="1B6A4E"/>
                            </a:solidFill>
                            <a:prstDash val="sysDash"/>
                          </a:ln>
                        </wps:spPr>
                        <wps:bodyPr wrap="square" lIns="0" tIns="0" rIns="0" bIns="0" rtlCol="0">
                          <a:prstTxWarp prst="textNoShape">
                            <a:avLst/>
                          </a:prstTxWarp>
                          <a:noAutofit/>
                        </wps:bodyPr>
                      </wps:wsp>
                    </wpg:wgp>
                  </a:graphicData>
                </a:graphic>
              </wp:inline>
            </w:drawing>
          </mc:Choice>
          <mc:Fallback>
            <w:pict>
              <v:group style="width:218.4pt;height:2.25pt;mso-position-horizontal-relative:char;mso-position-vertical-relative:line" id="docshapegroup200" coordorigin="0,0" coordsize="4368,45">
                <v:line style="position:absolute" from="0,23" to="4368,23" stroked="true" strokeweight="2.25pt" strokecolor="#1b6a4e">
                  <v:stroke dashstyle="shortdash"/>
                </v:line>
              </v:group>
            </w:pict>
          </mc:Fallback>
        </mc:AlternateContent>
      </w:r>
      <w:r>
        <w:rPr>
          <w:rFonts w:ascii="Times New Roman"/>
          <w:sz w:val="2"/>
        </w:rPr>
      </w:r>
    </w:p>
    <w:p>
      <w:pPr>
        <w:pStyle w:val="Heading4"/>
        <w:ind w:left="195" w:right="1273"/>
        <w:jc w:val="center"/>
      </w:pPr>
      <w:r>
        <w:rPr>
          <w:emboss/>
          <w:color w:val="1B6A4E"/>
          <w:spacing w:val="19"/>
          <w:w w:val="75"/>
        </w:rPr>
        <w:t>11%</w:t>
      </w:r>
    </w:p>
    <w:p>
      <w:pPr>
        <w:pStyle w:val="BodyText"/>
        <w:spacing w:line="264" w:lineRule="auto"/>
        <w:ind w:left="470" w:right="1548" w:hanging="1"/>
        <w:jc w:val="center"/>
        <w:rPr>
          <w:rFonts w:ascii="Times New Roman"/>
        </w:rPr>
      </w:pPr>
      <w:r>
        <w:rPr>
          <w:rFonts w:ascii="Times New Roman"/>
          <w:w w:val="115"/>
        </w:rPr>
        <w:t>of</w:t>
      </w:r>
      <w:r>
        <w:rPr>
          <w:rFonts w:ascii="Times New Roman"/>
          <w:spacing w:val="-6"/>
          <w:w w:val="115"/>
        </w:rPr>
        <w:t> </w:t>
      </w:r>
      <w:r>
        <w:rPr>
          <w:rFonts w:ascii="Times New Roman"/>
          <w:w w:val="115"/>
        </w:rPr>
        <w:t>Massachusetts</w:t>
      </w:r>
      <w:r>
        <w:rPr>
          <w:rFonts w:ascii="Times New Roman"/>
          <w:spacing w:val="-6"/>
          <w:w w:val="115"/>
        </w:rPr>
        <w:t> </w:t>
      </w:r>
      <w:r>
        <w:rPr>
          <w:rFonts w:ascii="Times New Roman"/>
          <w:w w:val="115"/>
        </w:rPr>
        <w:t>LGBTQ youth</w:t>
      </w:r>
      <w:r>
        <w:rPr>
          <w:rFonts w:ascii="Times New Roman"/>
          <w:spacing w:val="-9"/>
          <w:w w:val="115"/>
        </w:rPr>
        <w:t> </w:t>
      </w:r>
      <w:r>
        <w:rPr>
          <w:rFonts w:ascii="Times New Roman"/>
          <w:w w:val="115"/>
        </w:rPr>
        <w:t>attempted</w:t>
      </w:r>
      <w:r>
        <w:rPr>
          <w:rFonts w:ascii="Times New Roman"/>
          <w:spacing w:val="-9"/>
          <w:w w:val="115"/>
        </w:rPr>
        <w:t> </w:t>
      </w:r>
      <w:r>
        <w:rPr>
          <w:rFonts w:ascii="Times New Roman"/>
          <w:w w:val="115"/>
        </w:rPr>
        <w:t>suicide</w:t>
      </w:r>
      <w:r>
        <w:rPr>
          <w:rFonts w:ascii="Times New Roman"/>
          <w:spacing w:val="-9"/>
          <w:w w:val="115"/>
        </w:rPr>
        <w:t> </w:t>
      </w:r>
      <w:r>
        <w:rPr>
          <w:rFonts w:ascii="Times New Roman"/>
          <w:w w:val="115"/>
        </w:rPr>
        <w:t>in the past year</w:t>
      </w:r>
    </w:p>
    <w:p>
      <w:pPr>
        <w:spacing w:after="0" w:line="264" w:lineRule="auto"/>
        <w:jc w:val="center"/>
        <w:rPr>
          <w:rFonts w:ascii="Times New Roman"/>
        </w:rPr>
        <w:sectPr>
          <w:type w:val="continuous"/>
          <w:pgSz w:w="12240" w:h="15840"/>
          <w:pgMar w:header="0" w:footer="0" w:top="1420" w:bottom="280" w:left="920" w:right="300"/>
          <w:cols w:num="2" w:equalWidth="0">
            <w:col w:w="5433" w:space="877"/>
            <w:col w:w="4710"/>
          </w:cols>
        </w:sectPr>
      </w:pPr>
    </w:p>
    <w:p>
      <w:pPr>
        <w:pStyle w:val="BodyText"/>
        <w:ind w:left="6559"/>
        <w:rPr>
          <w:rFonts w:ascii="Times New Roman"/>
          <w:sz w:val="20"/>
        </w:rPr>
      </w:pPr>
      <w:r>
        <w:rPr/>
        <mc:AlternateContent>
          <mc:Choice Requires="wps">
            <w:drawing>
              <wp:anchor distT="0" distB="0" distL="0" distR="0" allowOverlap="1" layoutInCell="1" locked="0" behindDoc="1" simplePos="0" relativeHeight="482591232">
                <wp:simplePos x="0" y="0"/>
                <wp:positionH relativeFrom="page">
                  <wp:posOffset>0</wp:posOffset>
                </wp:positionH>
                <wp:positionV relativeFrom="page">
                  <wp:posOffset>0</wp:posOffset>
                </wp:positionV>
                <wp:extent cx="7772400" cy="533019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7772400" cy="5330190"/>
                          <a:chExt cx="7772400" cy="5330190"/>
                        </a:xfrm>
                      </wpg:grpSpPr>
                      <pic:pic>
                        <pic:nvPicPr>
                          <pic:cNvPr id="254" name="Image 254"/>
                          <pic:cNvPicPr/>
                        </pic:nvPicPr>
                        <pic:blipFill>
                          <a:blip r:embed="rId273" cstate="print"/>
                          <a:stretch>
                            <a:fillRect/>
                          </a:stretch>
                        </pic:blipFill>
                        <pic:spPr>
                          <a:xfrm>
                            <a:off x="0" y="0"/>
                            <a:ext cx="7772400" cy="3201631"/>
                          </a:xfrm>
                          <a:prstGeom prst="rect">
                            <a:avLst/>
                          </a:prstGeom>
                        </pic:spPr>
                      </pic:pic>
                      <pic:pic>
                        <pic:nvPicPr>
                          <pic:cNvPr id="255" name="Image 255"/>
                          <pic:cNvPicPr/>
                        </pic:nvPicPr>
                        <pic:blipFill>
                          <a:blip r:embed="rId98" cstate="print"/>
                          <a:stretch>
                            <a:fillRect/>
                          </a:stretch>
                        </pic:blipFill>
                        <pic:spPr>
                          <a:xfrm>
                            <a:off x="4978374" y="735421"/>
                            <a:ext cx="1480888" cy="1480632"/>
                          </a:xfrm>
                          <a:prstGeom prst="rect">
                            <a:avLst/>
                          </a:prstGeom>
                        </pic:spPr>
                      </pic:pic>
                      <wps:wsp>
                        <wps:cNvPr id="256" name="Graphic 256"/>
                        <wps:cNvSpPr/>
                        <wps:spPr>
                          <a:xfrm>
                            <a:off x="4964629"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pic:pic>
                        <pic:nvPicPr>
                          <pic:cNvPr id="257" name="Image 257"/>
                          <pic:cNvPicPr/>
                        </pic:nvPicPr>
                        <pic:blipFill>
                          <a:blip r:embed="rId274" cstate="print"/>
                          <a:stretch>
                            <a:fillRect/>
                          </a:stretch>
                        </pic:blipFill>
                        <pic:spPr>
                          <a:xfrm>
                            <a:off x="655211" y="2933569"/>
                            <a:ext cx="3472760" cy="2396298"/>
                          </a:xfrm>
                          <a:prstGeom prst="rect">
                            <a:avLst/>
                          </a:prstGeom>
                        </pic:spPr>
                      </pic:pic>
                    </wpg:wgp>
                  </a:graphicData>
                </a:graphic>
              </wp:anchor>
            </w:drawing>
          </mc:Choice>
          <mc:Fallback>
            <w:pict>
              <v:group style="position:absolute;margin-left:-.000009pt;margin-top:-.000015pt;width:612pt;height:419.7pt;mso-position-horizontal-relative:page;mso-position-vertical-relative:page;z-index:-20725248" id="docshapegroup201" coordorigin="0,0" coordsize="12240,8394">
                <v:shape style="position:absolute;left:0;top:0;width:12240;height:5042" type="#_x0000_t75" id="docshape202" stroked="false">
                  <v:imagedata r:id="rId273" o:title=""/>
                </v:shape>
                <v:shape style="position:absolute;left:7839;top:1158;width:2333;height:2332" type="#_x0000_t75" id="docshape203" stroked="false">
                  <v:imagedata r:id="rId98" o:title=""/>
                </v:shape>
                <v:shape style="position:absolute;left:7818;top:1136;width:2375;height:2375" id="docshape204"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69;height:3774" type="#_x0000_t75" id="docshape205" stroked="false">
                  <v:imagedata r:id="rId274" o:title=""/>
                </v:shape>
                <w10:wrap type="none"/>
              </v:group>
            </w:pict>
          </mc:Fallback>
        </mc:AlternateContent>
      </w:r>
      <w:r>
        <w:rPr>
          <w:rFonts w:ascii="Times New Roman"/>
          <w:sz w:val="20"/>
        </w:rPr>
        <w:drawing>
          <wp:inline distT="0" distB="0" distL="0" distR="0">
            <wp:extent cx="2772307" cy="243840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275" cstate="print"/>
                    <a:stretch>
                      <a:fillRect/>
                    </a:stretch>
                  </pic:blipFill>
                  <pic:spPr>
                    <a:xfrm>
                      <a:off x="0" y="0"/>
                      <a:ext cx="2772307" cy="2438400"/>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header="0" w:footer="0" w:top="1420" w:bottom="280" w:left="920" w:right="300"/>
        </w:sectPr>
      </w:pPr>
    </w:p>
    <w:p>
      <w:pPr>
        <w:pStyle w:val="Heading7"/>
        <w:spacing w:before="306"/>
        <w:ind w:left="464"/>
      </w:pPr>
      <w:bookmarkStart w:name="FY 2025 - Addressing Pediatric Health - " w:id="349"/>
      <w:bookmarkEnd w:id="349"/>
      <w:r>
        <w:rPr/>
      </w:r>
      <w:bookmarkStart w:name="_bookmark192" w:id="350"/>
      <w:bookmarkEnd w:id="350"/>
      <w:r>
        <w:rPr/>
      </w:r>
      <w:hyperlink w:history="true" w:anchor="_bookmark3">
        <w:r>
          <w:rPr>
            <w:color w:val="365F91"/>
            <w:spacing w:val="-10"/>
          </w:rPr>
          <w:t>Addressing</w:t>
        </w:r>
        <w:r>
          <w:rPr>
            <w:color w:val="365F91"/>
            <w:spacing w:val="1"/>
          </w:rPr>
          <w:t> </w:t>
        </w:r>
        <w:r>
          <w:rPr>
            <w:color w:val="365F91"/>
            <w:spacing w:val="-10"/>
          </w:rPr>
          <w:t>Pediatric</w:t>
        </w:r>
        <w:r>
          <w:rPr>
            <w:color w:val="365F91"/>
            <w:spacing w:val="2"/>
          </w:rPr>
          <w:t> </w:t>
        </w:r>
        <w:r>
          <w:rPr>
            <w:color w:val="365F91"/>
            <w:spacing w:val="-10"/>
          </w:rPr>
          <w:t>Health</w:t>
        </w:r>
      </w:hyperlink>
    </w:p>
    <w:p>
      <w:pPr>
        <w:spacing w:before="314"/>
        <w:ind w:left="464" w:right="0" w:firstLine="0"/>
        <w:jc w:val="left"/>
        <w:rPr>
          <w:sz w:val="28"/>
        </w:rPr>
      </w:pPr>
      <w:bookmarkStart w:name="Introduction" w:id="351"/>
      <w:bookmarkEnd w:id="351"/>
      <w:r>
        <w:rPr/>
      </w: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629824">
                <wp:simplePos x="0" y="0"/>
                <wp:positionH relativeFrom="page">
                  <wp:posOffset>986789</wp:posOffset>
                </wp:positionH>
                <wp:positionV relativeFrom="paragraph">
                  <wp:posOffset>44641</wp:posOffset>
                </wp:positionV>
                <wp:extent cx="5799455" cy="635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15094pt;width:456.601pt;height:.481pt;mso-position-horizontal-relative:page;mso-position-vertical-relative:paragraph;z-index:-15686656;mso-wrap-distance-left:0;mso-wrap-distance-right:0" id="docshape209" filled="true" fillcolor="#4f81bc" stroked="false">
                <v:fill type="solid"/>
                <w10:wrap type="topAndBottom"/>
              </v:rect>
            </w:pict>
          </mc:Fallback>
        </mc:AlternateContent>
      </w:r>
    </w:p>
    <w:p>
      <w:pPr>
        <w:spacing w:line="276" w:lineRule="auto" w:before="241"/>
        <w:ind w:left="464" w:right="241" w:firstLine="0"/>
        <w:jc w:val="both"/>
        <w:rPr>
          <w:i/>
          <w:sz w:val="22"/>
        </w:rPr>
      </w:pPr>
      <w:bookmarkStart w:name="(first published in FY 2024 Annual Recom" w:id="352"/>
      <w:bookmarkEnd w:id="352"/>
      <w:r>
        <w:rPr/>
      </w:r>
      <w:r>
        <w:rPr>
          <w:i/>
          <w:sz w:val="22"/>
        </w:rPr>
        <w:t>(first published in FY 2024 Annual Recommendations Report, minor updates made to bring current to</w:t>
      </w:r>
      <w:r>
        <w:rPr>
          <w:i/>
          <w:sz w:val="22"/>
        </w:rPr>
        <w:t> FY 2025)</w:t>
      </w:r>
    </w:p>
    <w:p>
      <w:pPr>
        <w:pStyle w:val="BodyText"/>
        <w:spacing w:line="276" w:lineRule="auto" w:before="241"/>
        <w:ind w:left="463" w:right="241" w:hanging="3"/>
        <w:jc w:val="both"/>
      </w:pPr>
      <w:r>
        <w:rPr/>
        <w:t>The history of LGBTQ pediatric health is plagued by stigma, discrimination, and violence, and LGBTQ youth in the Commonwealth continue to face numerous challenges in accessing quality, culturally competent</w:t>
      </w:r>
      <w:r>
        <w:rPr>
          <w:spacing w:val="-11"/>
        </w:rPr>
        <w:t> </w:t>
      </w:r>
      <w:r>
        <w:rPr/>
        <w:t>healthcare.</w:t>
      </w:r>
      <w:r>
        <w:rPr>
          <w:spacing w:val="-10"/>
        </w:rPr>
        <w:t> </w:t>
      </w:r>
      <w:r>
        <w:rPr/>
        <w:t>With</w:t>
      </w:r>
      <w:r>
        <w:rPr>
          <w:spacing w:val="-10"/>
        </w:rPr>
        <w:t> </w:t>
      </w:r>
      <w:r>
        <w:rPr/>
        <w:t>the</w:t>
      </w:r>
      <w:r>
        <w:rPr>
          <w:spacing w:val="-10"/>
        </w:rPr>
        <w:t> </w:t>
      </w:r>
      <w:r>
        <w:rPr/>
        <w:t>proliferation</w:t>
      </w:r>
      <w:r>
        <w:rPr>
          <w:spacing w:val="-12"/>
        </w:rPr>
        <w:t> </w:t>
      </w:r>
      <w:r>
        <w:rPr/>
        <w:t>of</w:t>
      </w:r>
      <w:r>
        <w:rPr>
          <w:spacing w:val="-10"/>
        </w:rPr>
        <w:t> </w:t>
      </w:r>
      <w:r>
        <w:rPr/>
        <w:t>anti-trans</w:t>
      </w:r>
      <w:r>
        <w:rPr>
          <w:spacing w:val="-11"/>
        </w:rPr>
        <w:t> </w:t>
      </w:r>
      <w:r>
        <w:rPr/>
        <w:t>legislation</w:t>
      </w:r>
      <w:r>
        <w:rPr>
          <w:spacing w:val="-12"/>
        </w:rPr>
        <w:t> </w:t>
      </w:r>
      <w:r>
        <w:rPr/>
        <w:t>and</w:t>
      </w:r>
      <w:r>
        <w:rPr>
          <w:spacing w:val="-10"/>
        </w:rPr>
        <w:t> </w:t>
      </w:r>
      <w:r>
        <w:rPr/>
        <w:t>stigma</w:t>
      </w:r>
      <w:r>
        <w:rPr>
          <w:spacing w:val="-11"/>
        </w:rPr>
        <w:t> </w:t>
      </w:r>
      <w:r>
        <w:rPr/>
        <w:t>that</w:t>
      </w:r>
      <w:r>
        <w:rPr>
          <w:spacing w:val="-11"/>
        </w:rPr>
        <w:t> </w:t>
      </w:r>
      <w:r>
        <w:rPr/>
        <w:t>has</w:t>
      </w:r>
      <w:r>
        <w:rPr>
          <w:spacing w:val="-11"/>
        </w:rPr>
        <w:t> </w:t>
      </w:r>
      <w:r>
        <w:rPr/>
        <w:t>swept</w:t>
      </w:r>
      <w:r>
        <w:rPr>
          <w:spacing w:val="-11"/>
        </w:rPr>
        <w:t> </w:t>
      </w:r>
      <w:r>
        <w:rPr/>
        <w:t>across the</w:t>
      </w:r>
      <w:r>
        <w:rPr>
          <w:spacing w:val="-5"/>
        </w:rPr>
        <w:t> </w:t>
      </w:r>
      <w:r>
        <w:rPr/>
        <w:t>nation,</w:t>
      </w:r>
      <w:r>
        <w:rPr>
          <w:spacing w:val="-5"/>
        </w:rPr>
        <w:t> </w:t>
      </w:r>
      <w:r>
        <w:rPr/>
        <w:t>it</w:t>
      </w:r>
      <w:r>
        <w:rPr>
          <w:spacing w:val="-4"/>
        </w:rPr>
        <w:t> </w:t>
      </w:r>
      <w:r>
        <w:rPr/>
        <w:t>is</w:t>
      </w:r>
      <w:r>
        <w:rPr>
          <w:spacing w:val="-5"/>
        </w:rPr>
        <w:t> </w:t>
      </w:r>
      <w:r>
        <w:rPr/>
        <w:t>undeniable</w:t>
      </w:r>
      <w:r>
        <w:rPr>
          <w:spacing w:val="-4"/>
        </w:rPr>
        <w:t> </w:t>
      </w:r>
      <w:r>
        <w:rPr/>
        <w:t>that</w:t>
      </w:r>
      <w:r>
        <w:rPr>
          <w:spacing w:val="-5"/>
        </w:rPr>
        <w:t> </w:t>
      </w:r>
      <w:r>
        <w:rPr/>
        <w:t>the</w:t>
      </w:r>
      <w:r>
        <w:rPr>
          <w:spacing w:val="-5"/>
        </w:rPr>
        <w:t> </w:t>
      </w:r>
      <w:r>
        <w:rPr/>
        <w:t>access</w:t>
      </w:r>
      <w:r>
        <w:rPr>
          <w:spacing w:val="-5"/>
        </w:rPr>
        <w:t> </w:t>
      </w:r>
      <w:r>
        <w:rPr/>
        <w:t>of</w:t>
      </w:r>
      <w:r>
        <w:rPr>
          <w:spacing w:val="-5"/>
        </w:rPr>
        <w:t> </w:t>
      </w:r>
      <w:r>
        <w:rPr/>
        <w:t>LGBTQ</w:t>
      </w:r>
      <w:r>
        <w:rPr>
          <w:spacing w:val="-5"/>
        </w:rPr>
        <w:t> </w:t>
      </w:r>
      <w:r>
        <w:rPr/>
        <w:t>children</w:t>
      </w:r>
      <w:r>
        <w:rPr>
          <w:spacing w:val="-4"/>
        </w:rPr>
        <w:t> </w:t>
      </w:r>
      <w:r>
        <w:rPr/>
        <w:t>to</w:t>
      </w:r>
      <w:r>
        <w:rPr>
          <w:spacing w:val="-5"/>
        </w:rPr>
        <w:t> </w:t>
      </w:r>
      <w:r>
        <w:rPr/>
        <w:t>appropriate</w:t>
      </w:r>
      <w:r>
        <w:rPr>
          <w:spacing w:val="-5"/>
        </w:rPr>
        <w:t> </w:t>
      </w:r>
      <w:r>
        <w:rPr/>
        <w:t>and</w:t>
      </w:r>
      <w:r>
        <w:rPr>
          <w:spacing w:val="-4"/>
        </w:rPr>
        <w:t> </w:t>
      </w:r>
      <w:r>
        <w:rPr/>
        <w:t>affirming</w:t>
      </w:r>
      <w:r>
        <w:rPr>
          <w:spacing w:val="-5"/>
        </w:rPr>
        <w:t> </w:t>
      </w:r>
      <w:r>
        <w:rPr/>
        <w:t>health</w:t>
      </w:r>
      <w:r>
        <w:rPr>
          <w:spacing w:val="-5"/>
        </w:rPr>
        <w:t> </w:t>
      </w:r>
      <w:r>
        <w:rPr/>
        <w:t>care has</w:t>
      </w:r>
      <w:r>
        <w:rPr>
          <w:spacing w:val="-1"/>
        </w:rPr>
        <w:t> </w:t>
      </w:r>
      <w:r>
        <w:rPr/>
        <w:t>significantly decreased,</w:t>
      </w:r>
      <w:r>
        <w:rPr>
          <w:spacing w:val="-1"/>
        </w:rPr>
        <w:t> </w:t>
      </w:r>
      <w:r>
        <w:rPr/>
        <w:t>even</w:t>
      </w:r>
      <w:r>
        <w:rPr>
          <w:spacing w:val="-1"/>
        </w:rPr>
        <w:t> </w:t>
      </w:r>
      <w:r>
        <w:rPr/>
        <w:t>in</w:t>
      </w:r>
      <w:r>
        <w:rPr>
          <w:spacing w:val="-1"/>
        </w:rPr>
        <w:t> </w:t>
      </w:r>
      <w:r>
        <w:rPr/>
        <w:t>Massachusetts.</w:t>
      </w:r>
      <w:r>
        <w:rPr>
          <w:spacing w:val="-1"/>
        </w:rPr>
        <w:t> </w:t>
      </w:r>
      <w:r>
        <w:rPr/>
        <w:t>It</w:t>
      </w:r>
      <w:r>
        <w:rPr>
          <w:spacing w:val="-1"/>
        </w:rPr>
        <w:t> </w:t>
      </w:r>
      <w:r>
        <w:rPr/>
        <w:t>is imperative that</w:t>
      </w:r>
      <w:r>
        <w:rPr>
          <w:spacing w:val="-1"/>
        </w:rPr>
        <w:t> </w:t>
      </w:r>
      <w:r>
        <w:rPr/>
        <w:t>the</w:t>
      </w:r>
      <w:r>
        <w:rPr>
          <w:spacing w:val="-2"/>
        </w:rPr>
        <w:t> </w:t>
      </w:r>
      <w:r>
        <w:rPr/>
        <w:t>Commonwealth</w:t>
      </w:r>
      <w:r>
        <w:rPr>
          <w:spacing w:val="-1"/>
        </w:rPr>
        <w:t> </w:t>
      </w:r>
      <w:r>
        <w:rPr/>
        <w:t>continue to address priority needs identified in subsequent sections of this report, while also prioritizing addressing the multiple forms of oppression often experienced by individuals in uniquely adverse situations.</w:t>
      </w:r>
      <w:r>
        <w:rPr>
          <w:vertAlign w:val="superscript"/>
        </w:rPr>
        <w:t>1</w:t>
      </w:r>
      <w:r>
        <w:rPr>
          <w:vertAlign w:val="baseline"/>
        </w:rPr>
        <w:t> The Commonwealth must address the social inequities that create health disparities amongst marginalized and underserved communities, focus on social determinants of health, and move</w:t>
      </w:r>
      <w:r>
        <w:rPr>
          <w:spacing w:val="-13"/>
          <w:vertAlign w:val="baseline"/>
        </w:rPr>
        <w:t> </w:t>
      </w:r>
      <w:r>
        <w:rPr>
          <w:vertAlign w:val="baseline"/>
        </w:rPr>
        <w:t>away</w:t>
      </w:r>
      <w:r>
        <w:rPr>
          <w:spacing w:val="-12"/>
          <w:vertAlign w:val="baseline"/>
        </w:rPr>
        <w:t> </w:t>
      </w:r>
      <w:r>
        <w:rPr>
          <w:vertAlign w:val="baseline"/>
        </w:rPr>
        <w:t>from</w:t>
      </w:r>
      <w:r>
        <w:rPr>
          <w:spacing w:val="-13"/>
          <w:vertAlign w:val="baseline"/>
        </w:rPr>
        <w:t> </w:t>
      </w:r>
      <w:r>
        <w:rPr>
          <w:vertAlign w:val="baseline"/>
        </w:rPr>
        <w:t>an</w:t>
      </w:r>
      <w:r>
        <w:rPr>
          <w:spacing w:val="-12"/>
          <w:vertAlign w:val="baseline"/>
        </w:rPr>
        <w:t> </w:t>
      </w:r>
      <w:r>
        <w:rPr>
          <w:vertAlign w:val="baseline"/>
        </w:rPr>
        <w:t>individualistic</w:t>
      </w:r>
      <w:r>
        <w:rPr>
          <w:spacing w:val="-13"/>
          <w:vertAlign w:val="baseline"/>
        </w:rPr>
        <w:t> </w:t>
      </w:r>
      <w:r>
        <w:rPr>
          <w:vertAlign w:val="baseline"/>
        </w:rPr>
        <w:t>model</w:t>
      </w:r>
      <w:r>
        <w:rPr>
          <w:spacing w:val="-12"/>
          <w:vertAlign w:val="baseline"/>
        </w:rPr>
        <w:t> </w:t>
      </w:r>
      <w:r>
        <w:rPr>
          <w:vertAlign w:val="baseline"/>
        </w:rPr>
        <w:t>of</w:t>
      </w:r>
      <w:r>
        <w:rPr>
          <w:spacing w:val="-13"/>
          <w:vertAlign w:val="baseline"/>
        </w:rPr>
        <w:t> </w:t>
      </w:r>
      <w:r>
        <w:rPr>
          <w:vertAlign w:val="baseline"/>
        </w:rPr>
        <w:t>care.</w:t>
      </w:r>
      <w:r>
        <w:rPr>
          <w:spacing w:val="-12"/>
          <w:vertAlign w:val="baseline"/>
        </w:rPr>
        <w:t> </w:t>
      </w:r>
      <w:r>
        <w:rPr>
          <w:vertAlign w:val="baseline"/>
        </w:rPr>
        <w:t>Republishing</w:t>
      </w:r>
      <w:r>
        <w:rPr>
          <w:spacing w:val="-12"/>
          <w:vertAlign w:val="baseline"/>
        </w:rPr>
        <w:t> </w:t>
      </w:r>
      <w:r>
        <w:rPr>
          <w:vertAlign w:val="baseline"/>
        </w:rPr>
        <w:t>from</w:t>
      </w:r>
      <w:r>
        <w:rPr>
          <w:spacing w:val="-13"/>
          <w:vertAlign w:val="baseline"/>
        </w:rPr>
        <w:t> </w:t>
      </w:r>
      <w:r>
        <w:rPr>
          <w:vertAlign w:val="baseline"/>
        </w:rPr>
        <w:t>its</w:t>
      </w:r>
      <w:r>
        <w:rPr>
          <w:spacing w:val="-12"/>
          <w:vertAlign w:val="baseline"/>
        </w:rPr>
        <w:t> </w:t>
      </w:r>
      <w:r>
        <w:rPr>
          <w:vertAlign w:val="baseline"/>
        </w:rPr>
        <w:t>FY</w:t>
      </w:r>
      <w:r>
        <w:rPr>
          <w:spacing w:val="-13"/>
          <w:vertAlign w:val="baseline"/>
        </w:rPr>
        <w:t> </w:t>
      </w:r>
      <w:r>
        <w:rPr>
          <w:vertAlign w:val="baseline"/>
        </w:rPr>
        <w:t>2024</w:t>
      </w:r>
      <w:r>
        <w:rPr>
          <w:spacing w:val="-12"/>
          <w:vertAlign w:val="baseline"/>
        </w:rPr>
        <w:t> </w:t>
      </w:r>
      <w:r>
        <w:rPr>
          <w:vertAlign w:val="baseline"/>
        </w:rPr>
        <w:t>report,</w:t>
      </w:r>
      <w:r>
        <w:rPr>
          <w:spacing w:val="-13"/>
          <w:vertAlign w:val="baseline"/>
        </w:rPr>
        <w:t> </w:t>
      </w:r>
      <w:r>
        <w:rPr>
          <w:vertAlign w:val="baseline"/>
        </w:rPr>
        <w:t>the</w:t>
      </w:r>
      <w:r>
        <w:rPr>
          <w:spacing w:val="-12"/>
          <w:vertAlign w:val="baseline"/>
        </w:rPr>
        <w:t> </w:t>
      </w:r>
      <w:r>
        <w:rPr>
          <w:vertAlign w:val="baseline"/>
        </w:rPr>
        <w:t>Commission </w:t>
      </w:r>
      <w:r>
        <w:rPr>
          <w:spacing w:val="-2"/>
          <w:vertAlign w:val="baseline"/>
        </w:rPr>
        <w:t>dedicates</w:t>
      </w:r>
      <w:r>
        <w:rPr>
          <w:spacing w:val="-3"/>
          <w:vertAlign w:val="baseline"/>
        </w:rPr>
        <w:t> </w:t>
      </w:r>
      <w:r>
        <w:rPr>
          <w:spacing w:val="-2"/>
          <w:vertAlign w:val="baseline"/>
        </w:rPr>
        <w:t>this health</w:t>
      </w:r>
      <w:r>
        <w:rPr>
          <w:spacing w:val="-3"/>
          <w:vertAlign w:val="baseline"/>
        </w:rPr>
        <w:t> </w:t>
      </w:r>
      <w:r>
        <w:rPr>
          <w:spacing w:val="-2"/>
          <w:vertAlign w:val="baseline"/>
        </w:rPr>
        <w:t>section</w:t>
      </w:r>
      <w:r>
        <w:rPr>
          <w:spacing w:val="-3"/>
          <w:vertAlign w:val="baseline"/>
        </w:rPr>
        <w:t> </w:t>
      </w:r>
      <w:r>
        <w:rPr>
          <w:spacing w:val="-2"/>
          <w:vertAlign w:val="baseline"/>
        </w:rPr>
        <w:t>to</w:t>
      </w:r>
      <w:r>
        <w:rPr>
          <w:spacing w:val="-3"/>
          <w:vertAlign w:val="baseline"/>
        </w:rPr>
        <w:t> </w:t>
      </w:r>
      <w:r>
        <w:rPr>
          <w:spacing w:val="-2"/>
          <w:vertAlign w:val="baseline"/>
        </w:rPr>
        <w:t>research and</w:t>
      </w:r>
      <w:r>
        <w:rPr>
          <w:spacing w:val="-3"/>
          <w:vertAlign w:val="baseline"/>
        </w:rPr>
        <w:t> </w:t>
      </w:r>
      <w:r>
        <w:rPr>
          <w:spacing w:val="-2"/>
          <w:vertAlign w:val="baseline"/>
        </w:rPr>
        <w:t>recommendations</w:t>
      </w:r>
      <w:r>
        <w:rPr>
          <w:spacing w:val="-3"/>
          <w:vertAlign w:val="baseline"/>
        </w:rPr>
        <w:t> </w:t>
      </w:r>
      <w:r>
        <w:rPr>
          <w:spacing w:val="-2"/>
          <w:vertAlign w:val="baseline"/>
        </w:rPr>
        <w:t>in the</w:t>
      </w:r>
      <w:r>
        <w:rPr>
          <w:spacing w:val="-3"/>
          <w:vertAlign w:val="baseline"/>
        </w:rPr>
        <w:t> </w:t>
      </w:r>
      <w:r>
        <w:rPr>
          <w:spacing w:val="-2"/>
          <w:vertAlign w:val="baseline"/>
        </w:rPr>
        <w:t>specific areas</w:t>
      </w:r>
      <w:r>
        <w:rPr>
          <w:spacing w:val="-3"/>
          <w:vertAlign w:val="baseline"/>
        </w:rPr>
        <w:t> </w:t>
      </w:r>
      <w:r>
        <w:rPr>
          <w:spacing w:val="-2"/>
          <w:vertAlign w:val="baseline"/>
        </w:rPr>
        <w:t>of</w:t>
      </w:r>
      <w:r>
        <w:rPr>
          <w:spacing w:val="-3"/>
          <w:vertAlign w:val="baseline"/>
        </w:rPr>
        <w:t> </w:t>
      </w:r>
      <w:r>
        <w:rPr>
          <w:spacing w:val="-2"/>
          <w:vertAlign w:val="baseline"/>
        </w:rPr>
        <w:t>pediatric</w:t>
      </w:r>
      <w:r>
        <w:rPr>
          <w:spacing w:val="-4"/>
          <w:vertAlign w:val="baseline"/>
        </w:rPr>
        <w:t> </w:t>
      </w:r>
      <w:r>
        <w:rPr>
          <w:spacing w:val="-2"/>
          <w:vertAlign w:val="baseline"/>
        </w:rPr>
        <w:t>health, </w:t>
      </w:r>
      <w:r>
        <w:rPr>
          <w:vertAlign w:val="baseline"/>
        </w:rPr>
        <w:t>or the health care of youth under 18.</w:t>
      </w:r>
    </w:p>
    <w:p>
      <w:pPr>
        <w:spacing w:before="240"/>
        <w:ind w:left="464" w:right="0" w:firstLine="0"/>
        <w:jc w:val="both"/>
        <w:rPr>
          <w:sz w:val="28"/>
        </w:rPr>
      </w:pPr>
      <w:bookmarkStart w:name="FY 2025 Recommendations to the Governor " w:id="353"/>
      <w:bookmarkEnd w:id="353"/>
      <w:r>
        <w:rPr/>
      </w:r>
      <w:r>
        <w:rPr>
          <w:color w:val="365F91"/>
          <w:sz w:val="28"/>
        </w:rPr>
        <w:t>FY</w:t>
      </w:r>
      <w:r>
        <w:rPr>
          <w:color w:val="365F91"/>
          <w:spacing w:val="-11"/>
          <w:sz w:val="28"/>
        </w:rPr>
        <w:t> </w:t>
      </w:r>
      <w:r>
        <w:rPr>
          <w:color w:val="365F91"/>
          <w:sz w:val="28"/>
        </w:rPr>
        <w:t>2025</w:t>
      </w:r>
      <w:r>
        <w:rPr>
          <w:color w:val="365F91"/>
          <w:spacing w:val="-12"/>
          <w:sz w:val="28"/>
        </w:rPr>
        <w:t> </w:t>
      </w:r>
      <w:r>
        <w:rPr>
          <w:color w:val="365F91"/>
          <w:sz w:val="28"/>
        </w:rPr>
        <w:t>Recommendations</w:t>
      </w:r>
      <w:r>
        <w:rPr>
          <w:color w:val="365F91"/>
          <w:spacing w:val="-10"/>
          <w:sz w:val="28"/>
        </w:rPr>
        <w:t> </w:t>
      </w:r>
      <w:r>
        <w:rPr>
          <w:color w:val="365F91"/>
          <w:sz w:val="28"/>
        </w:rPr>
        <w:t>to</w:t>
      </w:r>
      <w:r>
        <w:rPr>
          <w:color w:val="365F91"/>
          <w:spacing w:val="-10"/>
          <w:sz w:val="28"/>
        </w:rPr>
        <w:t> </w:t>
      </w:r>
      <w:r>
        <w:rPr>
          <w:color w:val="365F91"/>
          <w:sz w:val="28"/>
        </w:rPr>
        <w:t>the</w:t>
      </w:r>
      <w:r>
        <w:rPr>
          <w:color w:val="365F91"/>
          <w:spacing w:val="-11"/>
          <w:sz w:val="28"/>
        </w:rPr>
        <w:t> </w:t>
      </w:r>
      <w:r>
        <w:rPr>
          <w:color w:val="365F91"/>
          <w:sz w:val="28"/>
        </w:rPr>
        <w:t>Governor</w:t>
      </w:r>
      <w:r>
        <w:rPr>
          <w:color w:val="365F91"/>
          <w:spacing w:val="-11"/>
          <w:sz w:val="28"/>
        </w:rPr>
        <w:t> </w:t>
      </w:r>
      <w:r>
        <w:rPr>
          <w:color w:val="365F91"/>
          <w:sz w:val="28"/>
        </w:rPr>
        <w:t>and</w:t>
      </w:r>
      <w:r>
        <w:rPr>
          <w:color w:val="365F91"/>
          <w:spacing w:val="-12"/>
          <w:sz w:val="28"/>
        </w:rPr>
        <w:t> </w:t>
      </w:r>
      <w:r>
        <w:rPr>
          <w:color w:val="365F91"/>
          <w:sz w:val="28"/>
        </w:rPr>
        <w:t>Legislature</w:t>
      </w:r>
      <w:r>
        <w:rPr>
          <w:color w:val="365F91"/>
          <w:spacing w:val="-11"/>
          <w:sz w:val="28"/>
        </w:rPr>
        <w:t> </w:t>
      </w:r>
      <w:r>
        <w:rPr>
          <w:color w:val="365F91"/>
          <w:sz w:val="28"/>
        </w:rPr>
        <w:t>on</w:t>
      </w:r>
      <w:r>
        <w:rPr>
          <w:color w:val="365F91"/>
          <w:spacing w:val="-11"/>
          <w:sz w:val="28"/>
        </w:rPr>
        <w:t> </w:t>
      </w:r>
      <w:r>
        <w:rPr>
          <w:color w:val="365F91"/>
          <w:sz w:val="28"/>
        </w:rPr>
        <w:t>Pediatric</w:t>
      </w:r>
      <w:r>
        <w:rPr>
          <w:color w:val="365F91"/>
          <w:spacing w:val="-11"/>
          <w:sz w:val="28"/>
        </w:rPr>
        <w:t> </w:t>
      </w:r>
      <w:r>
        <w:rPr>
          <w:color w:val="365F91"/>
          <w:spacing w:val="-2"/>
          <w:sz w:val="28"/>
        </w:rPr>
        <w:t>Health</w:t>
      </w:r>
    </w:p>
    <w:p>
      <w:pPr>
        <w:pStyle w:val="BodyText"/>
        <w:spacing w:before="9"/>
        <w:rPr>
          <w:sz w:val="3"/>
        </w:rPr>
      </w:pPr>
      <w:r>
        <w:rPr/>
        <mc:AlternateContent>
          <mc:Choice Requires="wps">
            <w:drawing>
              <wp:anchor distT="0" distB="0" distL="0" distR="0" allowOverlap="1" layoutInCell="1" locked="0" behindDoc="1" simplePos="0" relativeHeight="487630336">
                <wp:simplePos x="0" y="0"/>
                <wp:positionH relativeFrom="page">
                  <wp:posOffset>986789</wp:posOffset>
                </wp:positionH>
                <wp:positionV relativeFrom="paragraph">
                  <wp:posOffset>44496</wp:posOffset>
                </wp:positionV>
                <wp:extent cx="5799455" cy="6350"/>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03633pt;width:456.601pt;height:.48pt;mso-position-horizontal-relative:page;mso-position-vertical-relative:paragraph;z-index:-15686144;mso-wrap-distance-left:0;mso-wrap-distance-right:0" id="docshape210" filled="true" fillcolor="#4f81bc" stroked="false">
                <v:fill type="solid"/>
                <w10:wrap type="topAndBottom"/>
              </v:rect>
            </w:pict>
          </mc:Fallback>
        </mc:AlternateContent>
      </w:r>
    </w:p>
    <w:p>
      <w:pPr>
        <w:numPr>
          <w:ilvl w:val="0"/>
          <w:numId w:val="21"/>
        </w:numPr>
        <w:tabs>
          <w:tab w:pos="462" w:val="left" w:leader="none"/>
        </w:tabs>
        <w:spacing w:before="241"/>
        <w:ind w:left="462" w:right="0" w:hanging="358"/>
        <w:jc w:val="left"/>
        <w:rPr>
          <w:b/>
          <w:sz w:val="22"/>
        </w:rPr>
      </w:pPr>
      <w:r>
        <w:rPr>
          <w:b/>
          <w:sz w:val="22"/>
        </w:rPr>
        <w:t>Invest</w:t>
      </w:r>
      <w:r>
        <w:rPr>
          <w:b/>
          <w:spacing w:val="-10"/>
          <w:sz w:val="22"/>
        </w:rPr>
        <w:t> </w:t>
      </w:r>
      <w:r>
        <w:rPr>
          <w:b/>
          <w:sz w:val="22"/>
        </w:rPr>
        <w:t>in</w:t>
      </w:r>
      <w:r>
        <w:rPr>
          <w:b/>
          <w:spacing w:val="-7"/>
          <w:sz w:val="22"/>
        </w:rPr>
        <w:t> </w:t>
      </w:r>
      <w:r>
        <w:rPr>
          <w:b/>
          <w:sz w:val="22"/>
        </w:rPr>
        <w:t>access</w:t>
      </w:r>
      <w:r>
        <w:rPr>
          <w:b/>
          <w:spacing w:val="-8"/>
          <w:sz w:val="22"/>
        </w:rPr>
        <w:t> </w:t>
      </w:r>
      <w:r>
        <w:rPr>
          <w:b/>
          <w:sz w:val="22"/>
        </w:rPr>
        <w:t>to</w:t>
      </w:r>
      <w:r>
        <w:rPr>
          <w:b/>
          <w:spacing w:val="-8"/>
          <w:sz w:val="22"/>
        </w:rPr>
        <w:t> </w:t>
      </w:r>
      <w:r>
        <w:rPr>
          <w:b/>
          <w:sz w:val="22"/>
        </w:rPr>
        <w:t>culturally</w:t>
      </w:r>
      <w:r>
        <w:rPr>
          <w:b/>
          <w:spacing w:val="-8"/>
          <w:sz w:val="22"/>
        </w:rPr>
        <w:t> </w:t>
      </w:r>
      <w:r>
        <w:rPr>
          <w:b/>
          <w:sz w:val="22"/>
        </w:rPr>
        <w:t>competent</w:t>
      </w:r>
      <w:r>
        <w:rPr>
          <w:b/>
          <w:spacing w:val="-8"/>
          <w:sz w:val="22"/>
        </w:rPr>
        <w:t> </w:t>
      </w:r>
      <w:r>
        <w:rPr>
          <w:b/>
          <w:sz w:val="22"/>
        </w:rPr>
        <w:t>LGBTQ</w:t>
      </w:r>
      <w:r>
        <w:rPr>
          <w:b/>
          <w:spacing w:val="-7"/>
          <w:sz w:val="22"/>
        </w:rPr>
        <w:t> </w:t>
      </w:r>
      <w:r>
        <w:rPr>
          <w:b/>
          <w:sz w:val="22"/>
        </w:rPr>
        <w:t>healthcare</w:t>
      </w:r>
      <w:r>
        <w:rPr>
          <w:b/>
          <w:spacing w:val="-9"/>
          <w:sz w:val="22"/>
        </w:rPr>
        <w:t> </w:t>
      </w:r>
      <w:r>
        <w:rPr>
          <w:b/>
          <w:sz w:val="22"/>
        </w:rPr>
        <w:t>in</w:t>
      </w:r>
      <w:r>
        <w:rPr>
          <w:b/>
          <w:spacing w:val="-7"/>
          <w:sz w:val="22"/>
        </w:rPr>
        <w:t> </w:t>
      </w:r>
      <w:r>
        <w:rPr>
          <w:b/>
          <w:sz w:val="22"/>
        </w:rPr>
        <w:t>rural</w:t>
      </w:r>
      <w:r>
        <w:rPr>
          <w:b/>
          <w:spacing w:val="-9"/>
          <w:sz w:val="22"/>
        </w:rPr>
        <w:t> </w:t>
      </w:r>
      <w:r>
        <w:rPr>
          <w:b/>
          <w:sz w:val="22"/>
        </w:rPr>
        <w:t>and</w:t>
      </w:r>
      <w:r>
        <w:rPr>
          <w:b/>
          <w:spacing w:val="-8"/>
          <w:sz w:val="22"/>
        </w:rPr>
        <w:t> </w:t>
      </w:r>
      <w:r>
        <w:rPr>
          <w:b/>
          <w:sz w:val="22"/>
        </w:rPr>
        <w:t>underserved</w:t>
      </w:r>
      <w:r>
        <w:rPr>
          <w:b/>
          <w:spacing w:val="-8"/>
          <w:sz w:val="22"/>
        </w:rPr>
        <w:t> </w:t>
      </w:r>
      <w:r>
        <w:rPr>
          <w:b/>
          <w:spacing w:val="-2"/>
          <w:sz w:val="22"/>
        </w:rPr>
        <w:t>communities.</w:t>
      </w:r>
    </w:p>
    <w:p>
      <w:pPr>
        <w:pStyle w:val="BodyText"/>
        <w:spacing w:before="13"/>
        <w:rPr>
          <w:b/>
        </w:rPr>
      </w:pPr>
    </w:p>
    <w:p>
      <w:pPr>
        <w:pStyle w:val="BodyText"/>
        <w:spacing w:line="276" w:lineRule="auto"/>
        <w:ind w:left="463" w:right="241" w:hanging="3"/>
        <w:jc w:val="both"/>
      </w:pPr>
      <w:r>
        <w:rPr/>
        <w:t>The Commission recommends that the state continue to invest in and broaden access to affirming healthcare</w:t>
      </w:r>
      <w:r>
        <w:rPr>
          <w:spacing w:val="-10"/>
        </w:rPr>
        <w:t> </w:t>
      </w:r>
      <w:r>
        <w:rPr/>
        <w:t>for</w:t>
      </w:r>
      <w:r>
        <w:rPr>
          <w:spacing w:val="-10"/>
        </w:rPr>
        <w:t> </w:t>
      </w:r>
      <w:r>
        <w:rPr/>
        <w:t>LGBTQ</w:t>
      </w:r>
      <w:r>
        <w:rPr>
          <w:spacing w:val="-10"/>
        </w:rPr>
        <w:t> </w:t>
      </w:r>
      <w:r>
        <w:rPr/>
        <w:t>youth</w:t>
      </w:r>
      <w:r>
        <w:rPr>
          <w:spacing w:val="-10"/>
        </w:rPr>
        <w:t> </w:t>
      </w:r>
      <w:r>
        <w:rPr/>
        <w:t>across</w:t>
      </w:r>
      <w:r>
        <w:rPr>
          <w:spacing w:val="-9"/>
        </w:rPr>
        <w:t> </w:t>
      </w:r>
      <w:r>
        <w:rPr/>
        <w:t>the</w:t>
      </w:r>
      <w:r>
        <w:rPr>
          <w:spacing w:val="-10"/>
        </w:rPr>
        <w:t> </w:t>
      </w:r>
      <w:r>
        <w:rPr/>
        <w:t>state,</w:t>
      </w:r>
      <w:r>
        <w:rPr>
          <w:spacing w:val="-10"/>
        </w:rPr>
        <w:t> </w:t>
      </w:r>
      <w:r>
        <w:rPr/>
        <w:t>particularly</w:t>
      </w:r>
      <w:r>
        <w:rPr>
          <w:spacing w:val="-10"/>
        </w:rPr>
        <w:t> </w:t>
      </w:r>
      <w:r>
        <w:rPr/>
        <w:t>in</w:t>
      </w:r>
      <w:r>
        <w:rPr>
          <w:spacing w:val="-10"/>
        </w:rPr>
        <w:t> </w:t>
      </w:r>
      <w:r>
        <w:rPr/>
        <w:t>rural</w:t>
      </w:r>
      <w:r>
        <w:rPr>
          <w:spacing w:val="-10"/>
        </w:rPr>
        <w:t> </w:t>
      </w:r>
      <w:r>
        <w:rPr/>
        <w:t>and</w:t>
      </w:r>
      <w:r>
        <w:rPr>
          <w:spacing w:val="-10"/>
        </w:rPr>
        <w:t> </w:t>
      </w:r>
      <w:r>
        <w:rPr/>
        <w:t>underserved</w:t>
      </w:r>
      <w:r>
        <w:rPr>
          <w:spacing w:val="-10"/>
        </w:rPr>
        <w:t> </w:t>
      </w:r>
      <w:r>
        <w:rPr/>
        <w:t>communities.</w:t>
      </w:r>
      <w:r>
        <w:rPr>
          <w:spacing w:val="-10"/>
        </w:rPr>
        <w:t> </w:t>
      </w:r>
      <w:r>
        <w:rPr/>
        <w:t>Given the national attacks against gender-affirming care, it is likely that Massachusetts will see a significant increase in out-of-state patients needing gender-affirming care services - with LGBTQ youth in Massachusetts already struggling to access facilities with long wait times or high costs, it is essential that</w:t>
      </w:r>
      <w:r>
        <w:rPr>
          <w:spacing w:val="-13"/>
        </w:rPr>
        <w:t> </w:t>
      </w:r>
      <w:r>
        <w:rPr/>
        <w:t>Massachusetts</w:t>
      </w:r>
      <w:r>
        <w:rPr>
          <w:spacing w:val="-11"/>
        </w:rPr>
        <w:t> </w:t>
      </w:r>
      <w:r>
        <w:rPr/>
        <w:t>invest</w:t>
      </w:r>
      <w:r>
        <w:rPr>
          <w:spacing w:val="-13"/>
        </w:rPr>
        <w:t> </w:t>
      </w:r>
      <w:r>
        <w:rPr/>
        <w:t>in</w:t>
      </w:r>
      <w:r>
        <w:rPr>
          <w:spacing w:val="-12"/>
        </w:rPr>
        <w:t> </w:t>
      </w:r>
      <w:r>
        <w:rPr/>
        <w:t>building</w:t>
      </w:r>
      <w:r>
        <w:rPr>
          <w:spacing w:val="-11"/>
        </w:rPr>
        <w:t> </w:t>
      </w:r>
      <w:r>
        <w:rPr/>
        <w:t>capacity</w:t>
      </w:r>
      <w:r>
        <w:rPr>
          <w:spacing w:val="-11"/>
        </w:rPr>
        <w:t> </w:t>
      </w:r>
      <w:r>
        <w:rPr/>
        <w:t>for</w:t>
      </w:r>
      <w:r>
        <w:rPr>
          <w:spacing w:val="-12"/>
        </w:rPr>
        <w:t> </w:t>
      </w:r>
      <w:r>
        <w:rPr/>
        <w:t>LGBTQ</w:t>
      </w:r>
      <w:r>
        <w:rPr>
          <w:spacing w:val="-13"/>
        </w:rPr>
        <w:t> </w:t>
      </w:r>
      <w:r>
        <w:rPr/>
        <w:t>healthcare</w:t>
      </w:r>
      <w:r>
        <w:rPr>
          <w:spacing w:val="-11"/>
        </w:rPr>
        <w:t> </w:t>
      </w:r>
      <w:r>
        <w:rPr/>
        <w:t>across</w:t>
      </w:r>
      <w:r>
        <w:rPr>
          <w:spacing w:val="-12"/>
        </w:rPr>
        <w:t> </w:t>
      </w:r>
      <w:r>
        <w:rPr/>
        <w:t>the</w:t>
      </w:r>
      <w:r>
        <w:rPr>
          <w:spacing w:val="-10"/>
        </w:rPr>
        <w:t> </w:t>
      </w:r>
      <w:r>
        <w:rPr/>
        <w:t>state.</w:t>
      </w:r>
      <w:r>
        <w:rPr>
          <w:spacing w:val="-11"/>
        </w:rPr>
        <w:t> </w:t>
      </w:r>
      <w:r>
        <w:rPr/>
        <w:t>Furthermore,</w:t>
      </w:r>
      <w:r>
        <w:rPr>
          <w:spacing w:val="-12"/>
        </w:rPr>
        <w:t> </w:t>
      </w:r>
      <w:r>
        <w:rPr/>
        <w:t>the Commission</w:t>
      </w:r>
      <w:r>
        <w:rPr>
          <w:spacing w:val="-4"/>
        </w:rPr>
        <w:t> </w:t>
      </w:r>
      <w:r>
        <w:rPr/>
        <w:t>recommends</w:t>
      </w:r>
      <w:r>
        <w:rPr>
          <w:spacing w:val="-3"/>
        </w:rPr>
        <w:t> </w:t>
      </w:r>
      <w:r>
        <w:rPr/>
        <w:t>that</w:t>
      </w:r>
      <w:r>
        <w:rPr>
          <w:spacing w:val="-4"/>
        </w:rPr>
        <w:t> </w:t>
      </w:r>
      <w:r>
        <w:rPr/>
        <w:t>the</w:t>
      </w:r>
      <w:r>
        <w:rPr>
          <w:spacing w:val="-4"/>
        </w:rPr>
        <w:t> </w:t>
      </w:r>
      <w:r>
        <w:rPr/>
        <w:t>Commonwealth</w:t>
      </w:r>
      <w:r>
        <w:rPr>
          <w:spacing w:val="-3"/>
        </w:rPr>
        <w:t> </w:t>
      </w:r>
      <w:r>
        <w:rPr/>
        <w:t>make</w:t>
      </w:r>
      <w:r>
        <w:rPr>
          <w:spacing w:val="-4"/>
        </w:rPr>
        <w:t> </w:t>
      </w:r>
      <w:r>
        <w:rPr/>
        <w:t>a</w:t>
      </w:r>
      <w:r>
        <w:rPr>
          <w:spacing w:val="-4"/>
        </w:rPr>
        <w:t> </w:t>
      </w:r>
      <w:r>
        <w:rPr/>
        <w:t>systemic</w:t>
      </w:r>
      <w:r>
        <w:rPr>
          <w:spacing w:val="-4"/>
        </w:rPr>
        <w:t> </w:t>
      </w:r>
      <w:r>
        <w:rPr/>
        <w:t>investment</w:t>
      </w:r>
      <w:r>
        <w:rPr>
          <w:spacing w:val="-4"/>
        </w:rPr>
        <w:t> </w:t>
      </w:r>
      <w:r>
        <w:rPr/>
        <w:t>in</w:t>
      </w:r>
      <w:r>
        <w:rPr>
          <w:spacing w:val="-3"/>
        </w:rPr>
        <w:t> </w:t>
      </w:r>
      <w:r>
        <w:rPr/>
        <w:t>telehealth</w:t>
      </w:r>
      <w:r>
        <w:rPr>
          <w:spacing w:val="-4"/>
        </w:rPr>
        <w:t> </w:t>
      </w:r>
      <w:r>
        <w:rPr/>
        <w:t>services and create parity in primary care telehealth insurance reimbursement.</w:t>
      </w:r>
    </w:p>
    <w:p>
      <w:pPr>
        <w:numPr>
          <w:ilvl w:val="0"/>
          <w:numId w:val="21"/>
        </w:numPr>
        <w:tabs>
          <w:tab w:pos="461" w:val="left" w:leader="none"/>
          <w:tab w:pos="463" w:val="left" w:leader="none"/>
        </w:tabs>
        <w:spacing w:line="276" w:lineRule="auto" w:before="238"/>
        <w:ind w:left="463" w:right="243" w:hanging="360"/>
        <w:jc w:val="both"/>
        <w:rPr>
          <w:b/>
          <w:sz w:val="22"/>
        </w:rPr>
      </w:pPr>
      <w:r>
        <w:rPr>
          <w:b/>
          <w:sz w:val="22"/>
        </w:rPr>
        <w:t>Invest in substantial community-based, participatory, action-oriented research with non-white LGBTQ youth to better understand the needs of this population and improve SOGIE data collection </w:t>
      </w:r>
      <w:r>
        <w:rPr>
          <w:b/>
          <w:spacing w:val="-2"/>
          <w:sz w:val="22"/>
        </w:rPr>
        <w:t>standards.</w:t>
      </w:r>
    </w:p>
    <w:p>
      <w:pPr>
        <w:pStyle w:val="BodyText"/>
        <w:spacing w:line="276" w:lineRule="auto" w:before="242"/>
        <w:ind w:left="463" w:right="243" w:firstLine="4"/>
        <w:jc w:val="both"/>
      </w:pPr>
      <w:r>
        <w:rPr/>
        <w:t>Comprehensive research on the needs of underserved youth is essential to better understand needs and gaps in service provision. The Commission urges decision-makers to invest in new community- based</w:t>
      </w:r>
      <w:r>
        <w:rPr>
          <w:spacing w:val="-9"/>
        </w:rPr>
        <w:t> </w:t>
      </w:r>
      <w:r>
        <w:rPr/>
        <w:t>research</w:t>
      </w:r>
      <w:r>
        <w:rPr>
          <w:spacing w:val="-9"/>
        </w:rPr>
        <w:t> </w:t>
      </w:r>
      <w:r>
        <w:rPr/>
        <w:t>and</w:t>
      </w:r>
      <w:r>
        <w:rPr>
          <w:spacing w:val="-8"/>
        </w:rPr>
        <w:t> </w:t>
      </w:r>
      <w:r>
        <w:rPr/>
        <w:t>needs</w:t>
      </w:r>
      <w:r>
        <w:rPr>
          <w:spacing w:val="-8"/>
        </w:rPr>
        <w:t> </w:t>
      </w:r>
      <w:r>
        <w:rPr/>
        <w:t>assessments</w:t>
      </w:r>
      <w:r>
        <w:rPr>
          <w:spacing w:val="-8"/>
        </w:rPr>
        <w:t> </w:t>
      </w:r>
      <w:r>
        <w:rPr/>
        <w:t>that</w:t>
      </w:r>
      <w:r>
        <w:rPr>
          <w:spacing w:val="-9"/>
        </w:rPr>
        <w:t> </w:t>
      </w:r>
      <w:r>
        <w:rPr/>
        <w:t>prioritize</w:t>
      </w:r>
      <w:r>
        <w:rPr>
          <w:spacing w:val="-8"/>
        </w:rPr>
        <w:t> </w:t>
      </w:r>
      <w:r>
        <w:rPr/>
        <w:t>the</w:t>
      </w:r>
      <w:r>
        <w:rPr>
          <w:spacing w:val="-9"/>
        </w:rPr>
        <w:t> </w:t>
      </w:r>
      <w:r>
        <w:rPr/>
        <w:t>experiences</w:t>
      </w:r>
      <w:r>
        <w:rPr>
          <w:spacing w:val="-8"/>
        </w:rPr>
        <w:t> </w:t>
      </w:r>
      <w:r>
        <w:rPr/>
        <w:t>of</w:t>
      </w:r>
      <w:r>
        <w:rPr>
          <w:spacing w:val="-9"/>
        </w:rPr>
        <w:t> </w:t>
      </w:r>
      <w:r>
        <w:rPr/>
        <w:t>QTBIPOC</w:t>
      </w:r>
      <w:r>
        <w:rPr>
          <w:spacing w:val="-8"/>
        </w:rPr>
        <w:t> </w:t>
      </w:r>
      <w:r>
        <w:rPr/>
        <w:t>youth,</w:t>
      </w:r>
      <w:r>
        <w:rPr>
          <w:spacing w:val="-8"/>
        </w:rPr>
        <w:t> </w:t>
      </w:r>
      <w:r>
        <w:rPr/>
        <w:t>families,</w:t>
      </w:r>
      <w:r>
        <w:rPr>
          <w:spacing w:val="-8"/>
        </w:rPr>
        <w:t> </w:t>
      </w:r>
      <w:r>
        <w:rPr/>
        <w:t>and</w:t>
      </w:r>
    </w:p>
    <w:p>
      <w:pPr>
        <w:spacing w:after="0" w:line="276" w:lineRule="auto"/>
        <w:jc w:val="both"/>
        <w:sectPr>
          <w:headerReference w:type="default" r:id="rId276"/>
          <w:footerReference w:type="default" r:id="rId277"/>
          <w:pgSz w:w="12240" w:h="15840"/>
          <w:pgMar w:header="721" w:footer="1061" w:top="1360" w:bottom="1260" w:left="1120" w:right="1340"/>
          <w:pgNumType w:start="94"/>
        </w:sectPr>
      </w:pPr>
    </w:p>
    <w:p>
      <w:pPr>
        <w:pStyle w:val="BodyText"/>
        <w:spacing w:line="276" w:lineRule="auto" w:before="67"/>
        <w:ind w:left="464" w:right="243"/>
        <w:jc w:val="both"/>
      </w:pPr>
      <w:r>
        <w:rPr/>
        <w:t>providers across the state. Through this outreach, these partnerships can engage sustainable participation, and ultimately create long-lasting, community-driven interventions.</w:t>
      </w:r>
      <w:r>
        <w:rPr>
          <w:vertAlign w:val="superscript"/>
        </w:rPr>
        <w:t>2</w:t>
      </w:r>
    </w:p>
    <w:p>
      <w:pPr>
        <w:pStyle w:val="BodyText"/>
        <w:spacing w:line="276" w:lineRule="auto" w:before="241"/>
        <w:ind w:left="464" w:right="240" w:hanging="16"/>
        <w:jc w:val="both"/>
      </w:pPr>
      <w:r>
        <w:rPr/>
        <w:t>The Commission further recommends that the state advances its SOGIE data collection practices to take</w:t>
      </w:r>
      <w:r>
        <w:rPr>
          <w:spacing w:val="-4"/>
        </w:rPr>
        <w:t> </w:t>
      </w:r>
      <w:r>
        <w:rPr/>
        <w:t>a</w:t>
      </w:r>
      <w:r>
        <w:rPr>
          <w:spacing w:val="-2"/>
        </w:rPr>
        <w:t> </w:t>
      </w:r>
      <w:r>
        <w:rPr/>
        <w:t>broader</w:t>
      </w:r>
      <w:r>
        <w:rPr>
          <w:spacing w:val="-4"/>
        </w:rPr>
        <w:t> </w:t>
      </w:r>
      <w:r>
        <w:rPr/>
        <w:t>understanding</w:t>
      </w:r>
      <w:r>
        <w:rPr>
          <w:spacing w:val="-4"/>
        </w:rPr>
        <w:t> </w:t>
      </w:r>
      <w:r>
        <w:rPr/>
        <w:t>of</w:t>
      </w:r>
      <w:r>
        <w:rPr>
          <w:spacing w:val="-3"/>
        </w:rPr>
        <w:t> </w:t>
      </w:r>
      <w:r>
        <w:rPr/>
        <w:t>the</w:t>
      </w:r>
      <w:r>
        <w:rPr>
          <w:spacing w:val="-3"/>
        </w:rPr>
        <w:t> </w:t>
      </w:r>
      <w:r>
        <w:rPr/>
        <w:t>disparities</w:t>
      </w:r>
      <w:r>
        <w:rPr>
          <w:spacing w:val="-4"/>
        </w:rPr>
        <w:t> </w:t>
      </w:r>
      <w:r>
        <w:rPr/>
        <w:t>in</w:t>
      </w:r>
      <w:r>
        <w:rPr>
          <w:spacing w:val="-3"/>
        </w:rPr>
        <w:t> </w:t>
      </w:r>
      <w:r>
        <w:rPr/>
        <w:t>healthcare.</w:t>
      </w:r>
      <w:r>
        <w:rPr>
          <w:spacing w:val="-4"/>
        </w:rPr>
        <w:t> </w:t>
      </w:r>
      <w:r>
        <w:rPr/>
        <w:t>The</w:t>
      </w:r>
      <w:r>
        <w:rPr>
          <w:spacing w:val="-4"/>
        </w:rPr>
        <w:t> </w:t>
      </w:r>
      <w:r>
        <w:rPr/>
        <w:t>lack</w:t>
      </w:r>
      <w:r>
        <w:rPr>
          <w:spacing w:val="-3"/>
        </w:rPr>
        <w:t> </w:t>
      </w:r>
      <w:r>
        <w:rPr/>
        <w:t>of</w:t>
      </w:r>
      <w:r>
        <w:rPr>
          <w:spacing w:val="-4"/>
        </w:rPr>
        <w:t> </w:t>
      </w:r>
      <w:r>
        <w:rPr/>
        <w:t>standardized</w:t>
      </w:r>
      <w:r>
        <w:rPr>
          <w:spacing w:val="-3"/>
        </w:rPr>
        <w:t> </w:t>
      </w:r>
      <w:r>
        <w:rPr/>
        <w:t>data</w:t>
      </w:r>
      <w:r>
        <w:rPr>
          <w:spacing w:val="-2"/>
        </w:rPr>
        <w:t> </w:t>
      </w:r>
      <w:r>
        <w:rPr/>
        <w:t>collection practices has resulted in a failure to understand the impact of the pandemic among LGBTQ communities.</w:t>
      </w:r>
      <w:r>
        <w:rPr>
          <w:vertAlign w:val="superscript"/>
        </w:rPr>
        <w:t>3</w:t>
      </w:r>
      <w:r>
        <w:rPr>
          <w:spacing w:val="-13"/>
          <w:vertAlign w:val="baseline"/>
        </w:rPr>
        <w:t> </w:t>
      </w:r>
      <w:r>
        <w:rPr>
          <w:vertAlign w:val="baseline"/>
        </w:rPr>
        <w:t>More</w:t>
      </w:r>
      <w:r>
        <w:rPr>
          <w:spacing w:val="-12"/>
          <w:vertAlign w:val="baseline"/>
        </w:rPr>
        <w:t> </w:t>
      </w:r>
      <w:r>
        <w:rPr>
          <w:vertAlign w:val="baseline"/>
        </w:rPr>
        <w:t>inclusive</w:t>
      </w:r>
      <w:r>
        <w:rPr>
          <w:spacing w:val="-3"/>
          <w:vertAlign w:val="baseline"/>
        </w:rPr>
        <w:t> </w:t>
      </w:r>
      <w:r>
        <w:rPr>
          <w:vertAlign w:val="baseline"/>
        </w:rPr>
        <w:t>data</w:t>
      </w:r>
      <w:r>
        <w:rPr>
          <w:spacing w:val="-1"/>
          <w:vertAlign w:val="baseline"/>
        </w:rPr>
        <w:t> </w:t>
      </w:r>
      <w:r>
        <w:rPr>
          <w:vertAlign w:val="baseline"/>
        </w:rPr>
        <w:t>collection,</w:t>
      </w:r>
      <w:r>
        <w:rPr>
          <w:spacing w:val="-4"/>
          <w:vertAlign w:val="baseline"/>
        </w:rPr>
        <w:t> </w:t>
      </w:r>
      <w:r>
        <w:rPr>
          <w:vertAlign w:val="baseline"/>
        </w:rPr>
        <w:t>including</w:t>
      </w:r>
      <w:r>
        <w:rPr>
          <w:spacing w:val="-4"/>
          <w:vertAlign w:val="baseline"/>
        </w:rPr>
        <w:t> </w:t>
      </w:r>
      <w:r>
        <w:rPr>
          <w:vertAlign w:val="baseline"/>
        </w:rPr>
        <w:t>inclusive</w:t>
      </w:r>
      <w:r>
        <w:rPr>
          <w:spacing w:val="-3"/>
          <w:vertAlign w:val="baseline"/>
        </w:rPr>
        <w:t> </w:t>
      </w:r>
      <w:r>
        <w:rPr>
          <w:vertAlign w:val="baseline"/>
        </w:rPr>
        <w:t>electronic</w:t>
      </w:r>
      <w:r>
        <w:rPr>
          <w:spacing w:val="-3"/>
          <w:vertAlign w:val="baseline"/>
        </w:rPr>
        <w:t> </w:t>
      </w:r>
      <w:r>
        <w:rPr>
          <w:vertAlign w:val="baseline"/>
        </w:rPr>
        <w:t>health</w:t>
      </w:r>
      <w:r>
        <w:rPr>
          <w:spacing w:val="-3"/>
          <w:vertAlign w:val="baseline"/>
        </w:rPr>
        <w:t> </w:t>
      </w:r>
      <w:r>
        <w:rPr>
          <w:vertAlign w:val="baseline"/>
        </w:rPr>
        <w:t>records</w:t>
      </w:r>
      <w:r>
        <w:rPr>
          <w:spacing w:val="-2"/>
          <w:vertAlign w:val="baseline"/>
        </w:rPr>
        <w:t> </w:t>
      </w:r>
      <w:r>
        <w:rPr>
          <w:vertAlign w:val="baseline"/>
        </w:rPr>
        <w:t>(EHRs),</w:t>
      </w:r>
      <w:r>
        <w:rPr>
          <w:spacing w:val="-4"/>
          <w:vertAlign w:val="baseline"/>
        </w:rPr>
        <w:t> </w:t>
      </w:r>
      <w:r>
        <w:rPr>
          <w:vertAlign w:val="baseline"/>
        </w:rPr>
        <w:t>can </w:t>
      </w:r>
      <w:r>
        <w:rPr>
          <w:spacing w:val="-2"/>
          <w:vertAlign w:val="baseline"/>
        </w:rPr>
        <w:t>be</w:t>
      </w:r>
      <w:r>
        <w:rPr>
          <w:spacing w:val="-11"/>
          <w:vertAlign w:val="baseline"/>
        </w:rPr>
        <w:t> </w:t>
      </w:r>
      <w:r>
        <w:rPr>
          <w:spacing w:val="-2"/>
          <w:vertAlign w:val="baseline"/>
        </w:rPr>
        <w:t>lifesaving.</w:t>
      </w:r>
      <w:r>
        <w:rPr>
          <w:spacing w:val="-3"/>
          <w:vertAlign w:val="baseline"/>
        </w:rPr>
        <w:t> </w:t>
      </w:r>
      <w:r>
        <w:rPr>
          <w:spacing w:val="-2"/>
          <w:vertAlign w:val="superscript"/>
        </w:rPr>
        <w:t>4</w:t>
      </w:r>
      <w:r>
        <w:rPr>
          <w:spacing w:val="-11"/>
          <w:vertAlign w:val="baseline"/>
        </w:rPr>
        <w:t> </w:t>
      </w:r>
      <w:r>
        <w:rPr>
          <w:spacing w:val="-2"/>
          <w:vertAlign w:val="baseline"/>
        </w:rPr>
        <w:t>The Governor’s</w:t>
      </w:r>
      <w:r>
        <w:rPr>
          <w:spacing w:val="-3"/>
          <w:vertAlign w:val="baseline"/>
        </w:rPr>
        <w:t> </w:t>
      </w:r>
      <w:r>
        <w:rPr>
          <w:spacing w:val="-2"/>
          <w:vertAlign w:val="baseline"/>
        </w:rPr>
        <w:t>office</w:t>
      </w:r>
      <w:r>
        <w:rPr>
          <w:spacing w:val="-3"/>
          <w:vertAlign w:val="baseline"/>
        </w:rPr>
        <w:t> </w:t>
      </w:r>
      <w:r>
        <w:rPr>
          <w:spacing w:val="-2"/>
          <w:vertAlign w:val="baseline"/>
        </w:rPr>
        <w:t>can also</w:t>
      </w:r>
      <w:r>
        <w:rPr>
          <w:spacing w:val="-3"/>
          <w:vertAlign w:val="baseline"/>
        </w:rPr>
        <w:t> </w:t>
      </w:r>
      <w:r>
        <w:rPr>
          <w:spacing w:val="-2"/>
          <w:vertAlign w:val="baseline"/>
        </w:rPr>
        <w:t>learn from the recently</w:t>
      </w:r>
      <w:r>
        <w:rPr>
          <w:spacing w:val="-3"/>
          <w:vertAlign w:val="baseline"/>
        </w:rPr>
        <w:t> </w:t>
      </w:r>
      <w:r>
        <w:rPr>
          <w:spacing w:val="-2"/>
          <w:vertAlign w:val="baseline"/>
        </w:rPr>
        <w:t>released Federal Evidence</w:t>
      </w:r>
      <w:r>
        <w:rPr>
          <w:spacing w:val="-3"/>
          <w:vertAlign w:val="baseline"/>
        </w:rPr>
        <w:t> </w:t>
      </w:r>
      <w:r>
        <w:rPr>
          <w:spacing w:val="-2"/>
          <w:vertAlign w:val="baseline"/>
        </w:rPr>
        <w:t>Agenda </w:t>
      </w:r>
      <w:r>
        <w:rPr>
          <w:vertAlign w:val="baseline"/>
        </w:rPr>
        <w:t>on LGBTQ Equity that represents an important step forward in collecting SOGI data.</w:t>
      </w:r>
      <w:r>
        <w:rPr>
          <w:vertAlign w:val="superscript"/>
        </w:rPr>
        <w:t>5</w:t>
      </w:r>
    </w:p>
    <w:p>
      <w:pPr>
        <w:numPr>
          <w:ilvl w:val="0"/>
          <w:numId w:val="21"/>
        </w:numPr>
        <w:tabs>
          <w:tab w:pos="462" w:val="left" w:leader="none"/>
          <w:tab w:pos="464" w:val="left" w:leader="none"/>
        </w:tabs>
        <w:spacing w:line="276" w:lineRule="auto" w:before="239"/>
        <w:ind w:left="464" w:right="243" w:hanging="360"/>
        <w:jc w:val="left"/>
        <w:rPr>
          <w:b/>
          <w:sz w:val="22"/>
        </w:rPr>
      </w:pPr>
      <w:r>
        <w:rPr>
          <w:b/>
          <w:sz w:val="22"/>
        </w:rPr>
        <w:t>Improve</w:t>
      </w:r>
      <w:r>
        <w:rPr>
          <w:b/>
          <w:spacing w:val="-8"/>
          <w:sz w:val="22"/>
        </w:rPr>
        <w:t> </w:t>
      </w:r>
      <w:r>
        <w:rPr>
          <w:b/>
          <w:sz w:val="22"/>
        </w:rPr>
        <w:t>research</w:t>
      </w:r>
      <w:r>
        <w:rPr>
          <w:b/>
          <w:spacing w:val="-8"/>
          <w:sz w:val="22"/>
        </w:rPr>
        <w:t> </w:t>
      </w:r>
      <w:r>
        <w:rPr>
          <w:b/>
          <w:sz w:val="22"/>
        </w:rPr>
        <w:t>on</w:t>
      </w:r>
      <w:r>
        <w:rPr>
          <w:b/>
          <w:spacing w:val="-9"/>
          <w:sz w:val="22"/>
        </w:rPr>
        <w:t> </w:t>
      </w:r>
      <w:r>
        <w:rPr>
          <w:b/>
          <w:sz w:val="22"/>
        </w:rPr>
        <w:t>intersex</w:t>
      </w:r>
      <w:r>
        <w:rPr>
          <w:b/>
          <w:spacing w:val="-9"/>
          <w:sz w:val="22"/>
        </w:rPr>
        <w:t> </w:t>
      </w:r>
      <w:r>
        <w:rPr>
          <w:b/>
          <w:sz w:val="22"/>
        </w:rPr>
        <w:t>youth</w:t>
      </w:r>
      <w:r>
        <w:rPr>
          <w:b/>
          <w:spacing w:val="-9"/>
          <w:sz w:val="22"/>
        </w:rPr>
        <w:t> </w:t>
      </w:r>
      <w:r>
        <w:rPr>
          <w:b/>
          <w:sz w:val="22"/>
        </w:rPr>
        <w:t>communities</w:t>
      </w:r>
      <w:r>
        <w:rPr>
          <w:b/>
          <w:spacing w:val="-7"/>
          <w:sz w:val="22"/>
        </w:rPr>
        <w:t> </w:t>
      </w:r>
      <w:r>
        <w:rPr>
          <w:b/>
          <w:sz w:val="22"/>
        </w:rPr>
        <w:t>and</w:t>
      </w:r>
      <w:r>
        <w:rPr>
          <w:b/>
          <w:spacing w:val="-9"/>
          <w:sz w:val="22"/>
        </w:rPr>
        <w:t> </w:t>
      </w:r>
      <w:r>
        <w:rPr>
          <w:b/>
          <w:sz w:val="22"/>
        </w:rPr>
        <w:t>prohibit</w:t>
      </w:r>
      <w:r>
        <w:rPr>
          <w:b/>
          <w:spacing w:val="-9"/>
          <w:sz w:val="22"/>
        </w:rPr>
        <w:t> </w:t>
      </w:r>
      <w:r>
        <w:rPr>
          <w:b/>
          <w:sz w:val="22"/>
        </w:rPr>
        <w:t>non-consensual</w:t>
      </w:r>
      <w:r>
        <w:rPr>
          <w:b/>
          <w:spacing w:val="-8"/>
          <w:sz w:val="22"/>
        </w:rPr>
        <w:t> </w:t>
      </w:r>
      <w:r>
        <w:rPr>
          <w:b/>
          <w:sz w:val="22"/>
        </w:rPr>
        <w:t>unnecessary</w:t>
      </w:r>
      <w:r>
        <w:rPr>
          <w:b/>
          <w:spacing w:val="-8"/>
          <w:sz w:val="22"/>
        </w:rPr>
        <w:t> </w:t>
      </w:r>
      <w:r>
        <w:rPr>
          <w:b/>
          <w:sz w:val="22"/>
        </w:rPr>
        <w:t>medical interventions on minors.</w:t>
      </w:r>
    </w:p>
    <w:p>
      <w:pPr>
        <w:pStyle w:val="BodyText"/>
        <w:spacing w:line="276" w:lineRule="auto" w:before="241"/>
        <w:ind w:left="463" w:right="240" w:hanging="9"/>
        <w:jc w:val="both"/>
      </w:pPr>
      <w:r>
        <w:rPr/>
        <w:t>There is a significant and concerning lack of information at the state level about the experiences of intersex youth in healthcare spaces. As some intersex youth identify with the LGBTQ community, the Commission</w:t>
      </w:r>
      <w:r>
        <w:rPr>
          <w:spacing w:val="-11"/>
        </w:rPr>
        <w:t> </w:t>
      </w:r>
      <w:r>
        <w:rPr/>
        <w:t>urges</w:t>
      </w:r>
      <w:r>
        <w:rPr>
          <w:spacing w:val="-11"/>
        </w:rPr>
        <w:t> </w:t>
      </w:r>
      <w:r>
        <w:rPr/>
        <w:t>the</w:t>
      </w:r>
      <w:r>
        <w:rPr>
          <w:spacing w:val="-11"/>
        </w:rPr>
        <w:t> </w:t>
      </w:r>
      <w:r>
        <w:rPr/>
        <w:t>Commonwealth</w:t>
      </w:r>
      <w:r>
        <w:rPr>
          <w:spacing w:val="-10"/>
        </w:rPr>
        <w:t> </w:t>
      </w:r>
      <w:r>
        <w:rPr/>
        <w:t>to</w:t>
      </w:r>
      <w:r>
        <w:rPr>
          <w:spacing w:val="-11"/>
        </w:rPr>
        <w:t> </w:t>
      </w:r>
      <w:r>
        <w:rPr/>
        <w:t>increase</w:t>
      </w:r>
      <w:r>
        <w:rPr>
          <w:spacing w:val="-11"/>
        </w:rPr>
        <w:t> </w:t>
      </w:r>
      <w:r>
        <w:rPr/>
        <w:t>its</w:t>
      </w:r>
      <w:r>
        <w:rPr>
          <w:spacing w:val="-11"/>
        </w:rPr>
        <w:t> </w:t>
      </w:r>
      <w:r>
        <w:rPr/>
        <w:t>research</w:t>
      </w:r>
      <w:r>
        <w:rPr>
          <w:spacing w:val="-11"/>
        </w:rPr>
        <w:t> </w:t>
      </w:r>
      <w:r>
        <w:rPr/>
        <w:t>efforts</w:t>
      </w:r>
      <w:r>
        <w:rPr>
          <w:spacing w:val="-11"/>
        </w:rPr>
        <w:t> </w:t>
      </w:r>
      <w:r>
        <w:rPr/>
        <w:t>to</w:t>
      </w:r>
      <w:r>
        <w:rPr>
          <w:spacing w:val="-11"/>
        </w:rPr>
        <w:t> </w:t>
      </w:r>
      <w:r>
        <w:rPr/>
        <w:t>better</w:t>
      </w:r>
      <w:r>
        <w:rPr>
          <w:spacing w:val="-10"/>
        </w:rPr>
        <w:t> </w:t>
      </w:r>
      <w:r>
        <w:rPr/>
        <w:t>understand</w:t>
      </w:r>
      <w:r>
        <w:rPr>
          <w:spacing w:val="-11"/>
        </w:rPr>
        <w:t> </w:t>
      </w:r>
      <w:r>
        <w:rPr/>
        <w:t>the</w:t>
      </w:r>
      <w:r>
        <w:rPr>
          <w:spacing w:val="-11"/>
        </w:rPr>
        <w:t> </w:t>
      </w:r>
      <w:r>
        <w:rPr/>
        <w:t>unique needs of intersex youth. Additionally, the Commission strongly recommends that the state prohibit the non-consensual practices of performing medically unnecessary surgeries on intersex infants to reconstruct genitalia, except for when emergency intervention is necessary. By postponing non- consensual</w:t>
      </w:r>
      <w:r>
        <w:rPr>
          <w:spacing w:val="-10"/>
        </w:rPr>
        <w:t> </w:t>
      </w:r>
      <w:r>
        <w:rPr/>
        <w:t>surgeries,</w:t>
      </w:r>
      <w:r>
        <w:rPr>
          <w:spacing w:val="-10"/>
        </w:rPr>
        <w:t> </w:t>
      </w:r>
      <w:r>
        <w:rPr/>
        <w:t>minor</w:t>
      </w:r>
      <w:r>
        <w:rPr>
          <w:spacing w:val="-10"/>
        </w:rPr>
        <w:t> </w:t>
      </w:r>
      <w:r>
        <w:rPr/>
        <w:t>patients</w:t>
      </w:r>
      <w:r>
        <w:rPr>
          <w:spacing w:val="-9"/>
        </w:rPr>
        <w:t> </w:t>
      </w:r>
      <w:r>
        <w:rPr/>
        <w:t>are</w:t>
      </w:r>
      <w:r>
        <w:rPr>
          <w:spacing w:val="-10"/>
        </w:rPr>
        <w:t> </w:t>
      </w:r>
      <w:r>
        <w:rPr/>
        <w:t>more</w:t>
      </w:r>
      <w:r>
        <w:rPr>
          <w:spacing w:val="-10"/>
        </w:rPr>
        <w:t> </w:t>
      </w:r>
      <w:r>
        <w:rPr/>
        <w:t>able</w:t>
      </w:r>
      <w:r>
        <w:rPr>
          <w:spacing w:val="-10"/>
        </w:rPr>
        <w:t> </w:t>
      </w:r>
      <w:r>
        <w:rPr/>
        <w:t>to</w:t>
      </w:r>
      <w:r>
        <w:rPr>
          <w:spacing w:val="-9"/>
        </w:rPr>
        <w:t> </w:t>
      </w:r>
      <w:r>
        <w:rPr/>
        <w:t>fully</w:t>
      </w:r>
      <w:r>
        <w:rPr>
          <w:spacing w:val="-10"/>
        </w:rPr>
        <w:t> </w:t>
      </w:r>
      <w:r>
        <w:rPr/>
        <w:t>participate</w:t>
      </w:r>
      <w:r>
        <w:rPr>
          <w:spacing w:val="-10"/>
        </w:rPr>
        <w:t> </w:t>
      </w:r>
      <w:r>
        <w:rPr/>
        <w:t>in</w:t>
      </w:r>
      <w:r>
        <w:rPr>
          <w:spacing w:val="-10"/>
        </w:rPr>
        <w:t> </w:t>
      </w:r>
      <w:r>
        <w:rPr/>
        <w:t>decision-making</w:t>
      </w:r>
      <w:r>
        <w:rPr>
          <w:spacing w:val="-10"/>
        </w:rPr>
        <w:t> </w:t>
      </w:r>
      <w:r>
        <w:rPr/>
        <w:t>around</w:t>
      </w:r>
      <w:r>
        <w:rPr>
          <w:spacing w:val="-10"/>
        </w:rPr>
        <w:t> </w:t>
      </w:r>
      <w:r>
        <w:rPr/>
        <w:t>their own bodies at a later date.</w:t>
      </w:r>
      <w:r>
        <w:rPr>
          <w:vertAlign w:val="superscript"/>
        </w:rPr>
        <w:t>6</w:t>
      </w:r>
    </w:p>
    <w:p>
      <w:pPr>
        <w:numPr>
          <w:ilvl w:val="0"/>
          <w:numId w:val="21"/>
        </w:numPr>
        <w:tabs>
          <w:tab w:pos="513" w:val="left" w:leader="none"/>
        </w:tabs>
        <w:spacing w:before="240"/>
        <w:ind w:left="513" w:right="0" w:hanging="409"/>
        <w:jc w:val="left"/>
        <w:rPr>
          <w:b/>
          <w:sz w:val="22"/>
        </w:rPr>
      </w:pPr>
      <w:r>
        <w:rPr>
          <w:b/>
          <w:sz w:val="22"/>
        </w:rPr>
        <w:t>Expand</w:t>
      </w:r>
      <w:r>
        <w:rPr>
          <w:b/>
          <w:spacing w:val="-11"/>
          <w:sz w:val="22"/>
        </w:rPr>
        <w:t> </w:t>
      </w:r>
      <w:r>
        <w:rPr>
          <w:b/>
          <w:sz w:val="22"/>
        </w:rPr>
        <w:t>coverage</w:t>
      </w:r>
      <w:r>
        <w:rPr>
          <w:b/>
          <w:spacing w:val="-10"/>
          <w:sz w:val="22"/>
        </w:rPr>
        <w:t> </w:t>
      </w:r>
      <w:r>
        <w:rPr>
          <w:b/>
          <w:sz w:val="22"/>
        </w:rPr>
        <w:t>of</w:t>
      </w:r>
      <w:r>
        <w:rPr>
          <w:b/>
          <w:spacing w:val="-11"/>
          <w:sz w:val="22"/>
        </w:rPr>
        <w:t> </w:t>
      </w:r>
      <w:r>
        <w:rPr>
          <w:b/>
          <w:sz w:val="22"/>
        </w:rPr>
        <w:t>gender-affirming</w:t>
      </w:r>
      <w:r>
        <w:rPr>
          <w:b/>
          <w:spacing w:val="-10"/>
          <w:sz w:val="22"/>
        </w:rPr>
        <w:t> </w:t>
      </w:r>
      <w:r>
        <w:rPr>
          <w:b/>
          <w:sz w:val="22"/>
        </w:rPr>
        <w:t>care</w:t>
      </w:r>
      <w:r>
        <w:rPr>
          <w:b/>
          <w:spacing w:val="-10"/>
          <w:sz w:val="22"/>
        </w:rPr>
        <w:t> </w:t>
      </w:r>
      <w:r>
        <w:rPr>
          <w:b/>
          <w:sz w:val="22"/>
        </w:rPr>
        <w:t>and</w:t>
      </w:r>
      <w:r>
        <w:rPr>
          <w:b/>
          <w:spacing w:val="-11"/>
          <w:sz w:val="22"/>
        </w:rPr>
        <w:t> </w:t>
      </w:r>
      <w:r>
        <w:rPr>
          <w:b/>
          <w:sz w:val="22"/>
        </w:rPr>
        <w:t>increase</w:t>
      </w:r>
      <w:r>
        <w:rPr>
          <w:b/>
          <w:spacing w:val="-10"/>
          <w:sz w:val="22"/>
        </w:rPr>
        <w:t> </w:t>
      </w:r>
      <w:r>
        <w:rPr>
          <w:b/>
          <w:sz w:val="22"/>
        </w:rPr>
        <w:t>reimbursement</w:t>
      </w:r>
      <w:r>
        <w:rPr>
          <w:b/>
          <w:spacing w:val="-10"/>
          <w:sz w:val="22"/>
        </w:rPr>
        <w:t> </w:t>
      </w:r>
      <w:r>
        <w:rPr>
          <w:b/>
          <w:sz w:val="22"/>
        </w:rPr>
        <w:t>to</w:t>
      </w:r>
      <w:r>
        <w:rPr>
          <w:b/>
          <w:spacing w:val="-10"/>
          <w:sz w:val="22"/>
        </w:rPr>
        <w:t> </w:t>
      </w:r>
      <w:r>
        <w:rPr>
          <w:b/>
          <w:sz w:val="22"/>
        </w:rPr>
        <w:t>incentivize</w:t>
      </w:r>
      <w:r>
        <w:rPr>
          <w:b/>
          <w:spacing w:val="-11"/>
          <w:sz w:val="22"/>
        </w:rPr>
        <w:t> </w:t>
      </w:r>
      <w:r>
        <w:rPr>
          <w:b/>
          <w:spacing w:val="-2"/>
          <w:sz w:val="22"/>
        </w:rPr>
        <w:t>care.</w:t>
      </w:r>
    </w:p>
    <w:p>
      <w:pPr>
        <w:pStyle w:val="BodyText"/>
        <w:spacing w:before="11"/>
        <w:rPr>
          <w:b/>
        </w:rPr>
      </w:pPr>
    </w:p>
    <w:p>
      <w:pPr>
        <w:pStyle w:val="BodyText"/>
        <w:spacing w:line="276" w:lineRule="auto"/>
        <w:ind w:left="464" w:right="240" w:hanging="3"/>
        <w:jc w:val="both"/>
      </w:pPr>
      <w:r>
        <w:rPr/>
        <w:t>There are multiple tenets of gender-affirming care; as defined by the World Health Organization, gender-affirming</w:t>
      </w:r>
      <w:r>
        <w:rPr>
          <w:spacing w:val="-4"/>
        </w:rPr>
        <w:t> </w:t>
      </w:r>
      <w:r>
        <w:rPr/>
        <w:t>care</w:t>
      </w:r>
      <w:r>
        <w:rPr>
          <w:spacing w:val="-5"/>
        </w:rPr>
        <w:t> </w:t>
      </w:r>
      <w:r>
        <w:rPr/>
        <w:t>includes</w:t>
      </w:r>
      <w:r>
        <w:rPr>
          <w:spacing w:val="-5"/>
        </w:rPr>
        <w:t> </w:t>
      </w:r>
      <w:r>
        <w:rPr/>
        <w:t>social,</w:t>
      </w:r>
      <w:r>
        <w:rPr>
          <w:spacing w:val="-3"/>
        </w:rPr>
        <w:t> </w:t>
      </w:r>
      <w:r>
        <w:rPr/>
        <w:t>psychological,</w:t>
      </w:r>
      <w:r>
        <w:rPr>
          <w:spacing w:val="-5"/>
        </w:rPr>
        <w:t> </w:t>
      </w:r>
      <w:r>
        <w:rPr/>
        <w:t>behavioral,</w:t>
      </w:r>
      <w:r>
        <w:rPr>
          <w:spacing w:val="-5"/>
        </w:rPr>
        <w:t> </w:t>
      </w:r>
      <w:r>
        <w:rPr/>
        <w:t>and</w:t>
      </w:r>
      <w:r>
        <w:rPr>
          <w:spacing w:val="-5"/>
        </w:rPr>
        <w:t> </w:t>
      </w:r>
      <w:r>
        <w:rPr/>
        <w:t>medical</w:t>
      </w:r>
      <w:r>
        <w:rPr>
          <w:spacing w:val="-4"/>
        </w:rPr>
        <w:t> </w:t>
      </w:r>
      <w:r>
        <w:rPr/>
        <w:t>interventions</w:t>
      </w:r>
      <w:r>
        <w:rPr>
          <w:spacing w:val="-3"/>
        </w:rPr>
        <w:t> </w:t>
      </w:r>
      <w:r>
        <w:rPr/>
        <w:t>that</w:t>
      </w:r>
      <w:r>
        <w:rPr>
          <w:spacing w:val="-5"/>
        </w:rPr>
        <w:t> </w:t>
      </w:r>
      <w:r>
        <w:rPr/>
        <w:t>affirm a</w:t>
      </w:r>
      <w:r>
        <w:rPr>
          <w:spacing w:val="-3"/>
        </w:rPr>
        <w:t> </w:t>
      </w:r>
      <w:r>
        <w:rPr/>
        <w:t>patient’s</w:t>
      </w:r>
      <w:r>
        <w:rPr>
          <w:spacing w:val="-2"/>
        </w:rPr>
        <w:t> </w:t>
      </w:r>
      <w:r>
        <w:rPr/>
        <w:t>gender</w:t>
      </w:r>
      <w:r>
        <w:rPr>
          <w:spacing w:val="-3"/>
        </w:rPr>
        <w:t> </w:t>
      </w:r>
      <w:r>
        <w:rPr/>
        <w:t>identity</w:t>
      </w:r>
      <w:r>
        <w:rPr>
          <w:spacing w:val="-1"/>
        </w:rPr>
        <w:t> </w:t>
      </w:r>
      <w:r>
        <w:rPr/>
        <w:t>and</w:t>
      </w:r>
      <w:r>
        <w:rPr>
          <w:spacing w:val="-3"/>
        </w:rPr>
        <w:t> </w:t>
      </w:r>
      <w:r>
        <w:rPr/>
        <w:t>expression.</w:t>
      </w:r>
      <w:r>
        <w:rPr>
          <w:spacing w:val="-3"/>
        </w:rPr>
        <w:t> </w:t>
      </w:r>
      <w:r>
        <w:rPr/>
        <w:t>Therefore,</w:t>
      </w:r>
      <w:r>
        <w:rPr>
          <w:spacing w:val="-3"/>
        </w:rPr>
        <w:t> </w:t>
      </w:r>
      <w:r>
        <w:rPr/>
        <w:t>gender-affirming</w:t>
      </w:r>
      <w:r>
        <w:rPr>
          <w:spacing w:val="-2"/>
        </w:rPr>
        <w:t> </w:t>
      </w:r>
      <w:r>
        <w:rPr/>
        <w:t>care</w:t>
      </w:r>
      <w:r>
        <w:rPr>
          <w:spacing w:val="-3"/>
        </w:rPr>
        <w:t> </w:t>
      </w:r>
      <w:r>
        <w:rPr/>
        <w:t>coverage</w:t>
      </w:r>
      <w:r>
        <w:rPr>
          <w:spacing w:val="-3"/>
        </w:rPr>
        <w:t> </w:t>
      </w:r>
      <w:r>
        <w:rPr/>
        <w:t>should</w:t>
      </w:r>
      <w:r>
        <w:rPr>
          <w:spacing w:val="-3"/>
        </w:rPr>
        <w:t> </w:t>
      </w:r>
      <w:r>
        <w:rPr/>
        <w:t>include, though</w:t>
      </w:r>
      <w:r>
        <w:rPr>
          <w:spacing w:val="-9"/>
        </w:rPr>
        <w:t> </w:t>
      </w:r>
      <w:r>
        <w:rPr/>
        <w:t>not</w:t>
      </w:r>
      <w:r>
        <w:rPr>
          <w:spacing w:val="-9"/>
        </w:rPr>
        <w:t> </w:t>
      </w:r>
      <w:r>
        <w:rPr/>
        <w:t>be</w:t>
      </w:r>
      <w:r>
        <w:rPr>
          <w:spacing w:val="-10"/>
        </w:rPr>
        <w:t> </w:t>
      </w:r>
      <w:r>
        <w:rPr/>
        <w:t>limited</w:t>
      </w:r>
      <w:r>
        <w:rPr>
          <w:spacing w:val="-9"/>
        </w:rPr>
        <w:t> </w:t>
      </w:r>
      <w:r>
        <w:rPr/>
        <w:t>to,</w:t>
      </w:r>
      <w:r>
        <w:rPr>
          <w:spacing w:val="-8"/>
        </w:rPr>
        <w:t> </w:t>
      </w:r>
      <w:r>
        <w:rPr/>
        <w:t>hair</w:t>
      </w:r>
      <w:r>
        <w:rPr>
          <w:spacing w:val="-10"/>
        </w:rPr>
        <w:t> </w:t>
      </w:r>
      <w:r>
        <w:rPr/>
        <w:t>removal,</w:t>
      </w:r>
      <w:r>
        <w:rPr>
          <w:spacing w:val="-10"/>
        </w:rPr>
        <w:t> </w:t>
      </w:r>
      <w:r>
        <w:rPr/>
        <w:t>voice</w:t>
      </w:r>
      <w:r>
        <w:rPr>
          <w:spacing w:val="-10"/>
        </w:rPr>
        <w:t> </w:t>
      </w:r>
      <w:r>
        <w:rPr/>
        <w:t>therapy,</w:t>
      </w:r>
      <w:r>
        <w:rPr>
          <w:spacing w:val="-8"/>
        </w:rPr>
        <w:t> </w:t>
      </w:r>
      <w:r>
        <w:rPr/>
        <w:t>and</w:t>
      </w:r>
      <w:r>
        <w:rPr>
          <w:spacing w:val="-10"/>
        </w:rPr>
        <w:t> </w:t>
      </w:r>
      <w:r>
        <w:rPr/>
        <w:t>increased</w:t>
      </w:r>
      <w:r>
        <w:rPr>
          <w:spacing w:val="-10"/>
        </w:rPr>
        <w:t> </w:t>
      </w:r>
      <w:r>
        <w:rPr/>
        <w:t>access</w:t>
      </w:r>
      <w:r>
        <w:rPr>
          <w:spacing w:val="-9"/>
        </w:rPr>
        <w:t> </w:t>
      </w:r>
      <w:r>
        <w:rPr/>
        <w:t>to</w:t>
      </w:r>
      <w:r>
        <w:rPr>
          <w:spacing w:val="-8"/>
        </w:rPr>
        <w:t> </w:t>
      </w:r>
      <w:r>
        <w:rPr/>
        <w:t>family-building</w:t>
      </w:r>
      <w:r>
        <w:rPr>
          <w:spacing w:val="-8"/>
        </w:rPr>
        <w:t> </w:t>
      </w:r>
      <w:r>
        <w:rPr/>
        <w:t>services. Furthermore,</w:t>
      </w:r>
      <w:r>
        <w:rPr>
          <w:spacing w:val="-12"/>
        </w:rPr>
        <w:t> </w:t>
      </w:r>
      <w:r>
        <w:rPr/>
        <w:t>the</w:t>
      </w:r>
      <w:r>
        <w:rPr>
          <w:spacing w:val="-12"/>
        </w:rPr>
        <w:t> </w:t>
      </w:r>
      <w:r>
        <w:rPr/>
        <w:t>Commission</w:t>
      </w:r>
      <w:r>
        <w:rPr>
          <w:spacing w:val="-12"/>
        </w:rPr>
        <w:t> </w:t>
      </w:r>
      <w:r>
        <w:rPr/>
        <w:t>recommends</w:t>
      </w:r>
      <w:r>
        <w:rPr>
          <w:spacing w:val="-12"/>
        </w:rPr>
        <w:t> </w:t>
      </w:r>
      <w:r>
        <w:rPr/>
        <w:t>that</w:t>
      </w:r>
      <w:r>
        <w:rPr>
          <w:spacing w:val="-11"/>
        </w:rPr>
        <w:t> </w:t>
      </w:r>
      <w:r>
        <w:rPr/>
        <w:t>the</w:t>
      </w:r>
      <w:r>
        <w:rPr>
          <w:spacing w:val="-11"/>
        </w:rPr>
        <w:t> </w:t>
      </w:r>
      <w:r>
        <w:rPr/>
        <w:t>Commonwealth</w:t>
      </w:r>
      <w:r>
        <w:rPr>
          <w:spacing w:val="-11"/>
        </w:rPr>
        <w:t> </w:t>
      </w:r>
      <w:r>
        <w:rPr/>
        <w:t>consider</w:t>
      </w:r>
      <w:r>
        <w:rPr>
          <w:spacing w:val="-11"/>
        </w:rPr>
        <w:t> </w:t>
      </w:r>
      <w:r>
        <w:rPr/>
        <w:t>codifying</w:t>
      </w:r>
      <w:r>
        <w:rPr>
          <w:spacing w:val="-11"/>
        </w:rPr>
        <w:t> </w:t>
      </w:r>
      <w:r>
        <w:rPr/>
        <w:t>the</w:t>
      </w:r>
      <w:r>
        <w:rPr>
          <w:spacing w:val="-11"/>
        </w:rPr>
        <w:t> </w:t>
      </w:r>
      <w:r>
        <w:rPr/>
        <w:t>provisions of</w:t>
      </w:r>
      <w:r>
        <w:rPr>
          <w:spacing w:val="-13"/>
        </w:rPr>
        <w:t> </w:t>
      </w:r>
      <w:r>
        <w:rPr/>
        <w:t>the</w:t>
      </w:r>
      <w:r>
        <w:rPr>
          <w:spacing w:val="-11"/>
        </w:rPr>
        <w:t> </w:t>
      </w:r>
      <w:r>
        <w:rPr/>
        <w:t>2021</w:t>
      </w:r>
      <w:r>
        <w:rPr>
          <w:spacing w:val="-6"/>
        </w:rPr>
        <w:t> </w:t>
      </w:r>
      <w:r>
        <w:rPr/>
        <w:t>DOI</w:t>
      </w:r>
      <w:r>
        <w:rPr>
          <w:spacing w:val="-7"/>
        </w:rPr>
        <w:t> </w:t>
      </w:r>
      <w:r>
        <w:rPr/>
        <w:t>Bulletin</w:t>
      </w:r>
      <w:r>
        <w:rPr>
          <w:spacing w:val="-7"/>
        </w:rPr>
        <w:t> </w:t>
      </w:r>
      <w:r>
        <w:rPr>
          <w:vertAlign w:val="superscript"/>
        </w:rPr>
        <w:t>7</w:t>
      </w:r>
      <w:r>
        <w:rPr>
          <w:spacing w:val="-13"/>
          <w:vertAlign w:val="baseline"/>
        </w:rPr>
        <w:t> </w:t>
      </w:r>
      <w:r>
        <w:rPr>
          <w:vertAlign w:val="baseline"/>
        </w:rPr>
        <w:t>prohibiting</w:t>
      </w:r>
      <w:r>
        <w:rPr>
          <w:spacing w:val="-6"/>
          <w:vertAlign w:val="baseline"/>
        </w:rPr>
        <w:t> </w:t>
      </w:r>
      <w:r>
        <w:rPr>
          <w:vertAlign w:val="baseline"/>
        </w:rPr>
        <w:t>discrimination</w:t>
      </w:r>
      <w:r>
        <w:rPr>
          <w:spacing w:val="-7"/>
          <w:vertAlign w:val="baseline"/>
        </w:rPr>
        <w:t> </w:t>
      </w:r>
      <w:r>
        <w:rPr>
          <w:vertAlign w:val="baseline"/>
        </w:rPr>
        <w:t>in</w:t>
      </w:r>
      <w:r>
        <w:rPr>
          <w:spacing w:val="-7"/>
          <w:vertAlign w:val="baseline"/>
        </w:rPr>
        <w:t> </w:t>
      </w:r>
      <w:r>
        <w:rPr>
          <w:vertAlign w:val="baseline"/>
        </w:rPr>
        <w:t>health</w:t>
      </w:r>
      <w:r>
        <w:rPr>
          <w:spacing w:val="-7"/>
          <w:vertAlign w:val="baseline"/>
        </w:rPr>
        <w:t> </w:t>
      </w:r>
      <w:r>
        <w:rPr>
          <w:vertAlign w:val="baseline"/>
        </w:rPr>
        <w:t>insurance</w:t>
      </w:r>
      <w:r>
        <w:rPr>
          <w:spacing w:val="-7"/>
          <w:vertAlign w:val="baseline"/>
        </w:rPr>
        <w:t> </w:t>
      </w:r>
      <w:r>
        <w:rPr>
          <w:vertAlign w:val="baseline"/>
        </w:rPr>
        <w:t>on</w:t>
      </w:r>
      <w:r>
        <w:rPr>
          <w:spacing w:val="-7"/>
          <w:vertAlign w:val="baseline"/>
        </w:rPr>
        <w:t> </w:t>
      </w:r>
      <w:r>
        <w:rPr>
          <w:vertAlign w:val="baseline"/>
        </w:rPr>
        <w:t>the</w:t>
      </w:r>
      <w:r>
        <w:rPr>
          <w:spacing w:val="-7"/>
          <w:vertAlign w:val="baseline"/>
        </w:rPr>
        <w:t> </w:t>
      </w:r>
      <w:r>
        <w:rPr>
          <w:vertAlign w:val="baseline"/>
        </w:rPr>
        <w:t>basis</w:t>
      </w:r>
      <w:r>
        <w:rPr>
          <w:spacing w:val="-6"/>
          <w:vertAlign w:val="baseline"/>
        </w:rPr>
        <w:t> </w:t>
      </w:r>
      <w:r>
        <w:rPr>
          <w:vertAlign w:val="baseline"/>
        </w:rPr>
        <w:t>of</w:t>
      </w:r>
      <w:r>
        <w:rPr>
          <w:spacing w:val="-6"/>
          <w:vertAlign w:val="baseline"/>
        </w:rPr>
        <w:t> </w:t>
      </w:r>
      <w:r>
        <w:rPr>
          <w:vertAlign w:val="baseline"/>
        </w:rPr>
        <w:t>gender</w:t>
      </w:r>
      <w:r>
        <w:rPr>
          <w:spacing w:val="-6"/>
          <w:vertAlign w:val="baseline"/>
        </w:rPr>
        <w:t> </w:t>
      </w:r>
      <w:r>
        <w:rPr>
          <w:vertAlign w:val="baseline"/>
        </w:rPr>
        <w:t>identity and gender dysphoria, with the addition of a private right of action.</w:t>
      </w:r>
    </w:p>
    <w:p>
      <w:pPr>
        <w:numPr>
          <w:ilvl w:val="0"/>
          <w:numId w:val="21"/>
        </w:numPr>
        <w:tabs>
          <w:tab w:pos="462" w:val="left" w:leader="none"/>
          <w:tab w:pos="464" w:val="left" w:leader="none"/>
        </w:tabs>
        <w:spacing w:line="276" w:lineRule="auto" w:before="239"/>
        <w:ind w:left="464" w:right="244" w:hanging="360"/>
        <w:jc w:val="left"/>
        <w:rPr>
          <w:b/>
          <w:sz w:val="22"/>
        </w:rPr>
      </w:pPr>
      <w:r>
        <w:rPr>
          <w:b/>
          <w:sz w:val="22"/>
        </w:rPr>
        <w:t>Dedicate funding to address intimidation and violence towards healthcare workers and healthcare </w:t>
      </w:r>
      <w:r>
        <w:rPr>
          <w:b/>
          <w:spacing w:val="-2"/>
          <w:sz w:val="22"/>
        </w:rPr>
        <w:t>centers.</w:t>
      </w:r>
    </w:p>
    <w:p>
      <w:pPr>
        <w:pStyle w:val="BodyText"/>
        <w:spacing w:line="276" w:lineRule="auto" w:before="241"/>
        <w:ind w:left="464" w:right="243" w:firstLine="5"/>
        <w:jc w:val="both"/>
      </w:pPr>
      <w:r>
        <w:rPr/>
        <w:t>Given the alarming rise in security threats against gender-affirming pediatric providers, including Boston Children’s Hospital, the Commission recommends that state agencies and organizations collaborate to establish clear and specific guidance for youth, families, and providers. The guidance should</w:t>
      </w:r>
      <w:r>
        <w:rPr>
          <w:spacing w:val="-10"/>
        </w:rPr>
        <w:t> </w:t>
      </w:r>
      <w:r>
        <w:rPr/>
        <w:t>include</w:t>
      </w:r>
      <w:r>
        <w:rPr>
          <w:spacing w:val="-10"/>
        </w:rPr>
        <w:t> </w:t>
      </w:r>
      <w:r>
        <w:rPr/>
        <w:t>what</w:t>
      </w:r>
      <w:r>
        <w:rPr>
          <w:spacing w:val="-9"/>
        </w:rPr>
        <w:t> </w:t>
      </w:r>
      <w:r>
        <w:rPr/>
        <w:t>communities</w:t>
      </w:r>
      <w:r>
        <w:rPr>
          <w:spacing w:val="-9"/>
        </w:rPr>
        <w:t> </w:t>
      </w:r>
      <w:r>
        <w:rPr/>
        <w:t>and</w:t>
      </w:r>
      <w:r>
        <w:rPr>
          <w:spacing w:val="-10"/>
        </w:rPr>
        <w:t> </w:t>
      </w:r>
      <w:r>
        <w:rPr/>
        <w:t>facilities</w:t>
      </w:r>
      <w:r>
        <w:rPr>
          <w:spacing w:val="-8"/>
        </w:rPr>
        <w:t> </w:t>
      </w:r>
      <w:r>
        <w:rPr/>
        <w:t>can</w:t>
      </w:r>
      <w:r>
        <w:rPr>
          <w:spacing w:val="-9"/>
        </w:rPr>
        <w:t> </w:t>
      </w:r>
      <w:r>
        <w:rPr/>
        <w:t>do</w:t>
      </w:r>
      <w:r>
        <w:rPr>
          <w:spacing w:val="-9"/>
        </w:rPr>
        <w:t> </w:t>
      </w:r>
      <w:r>
        <w:rPr/>
        <w:t>when</w:t>
      </w:r>
      <w:r>
        <w:rPr>
          <w:spacing w:val="-9"/>
        </w:rPr>
        <w:t> </w:t>
      </w:r>
      <w:r>
        <w:rPr/>
        <w:t>threatened;</w:t>
      </w:r>
      <w:r>
        <w:rPr>
          <w:spacing w:val="-10"/>
        </w:rPr>
        <w:t> </w:t>
      </w:r>
      <w:r>
        <w:rPr/>
        <w:t>a</w:t>
      </w:r>
      <w:r>
        <w:rPr>
          <w:spacing w:val="-8"/>
        </w:rPr>
        <w:t> </w:t>
      </w:r>
      <w:r>
        <w:rPr/>
        <w:t>clear</w:t>
      </w:r>
      <w:r>
        <w:rPr>
          <w:spacing w:val="-9"/>
        </w:rPr>
        <w:t> </w:t>
      </w:r>
      <w:r>
        <w:rPr/>
        <w:t>pathway</w:t>
      </w:r>
      <w:r>
        <w:rPr>
          <w:spacing w:val="-10"/>
        </w:rPr>
        <w:t> </w:t>
      </w:r>
      <w:r>
        <w:rPr/>
        <w:t>for</w:t>
      </w:r>
      <w:r>
        <w:rPr>
          <w:spacing w:val="-9"/>
        </w:rPr>
        <w:t> </w:t>
      </w:r>
      <w:r>
        <w:rPr/>
        <w:t>providers of LGBTQ health care to be protected by the state; and investigation and prosecution of those who engage in cyber-harassment or cyberterrorism.</w:t>
      </w:r>
    </w:p>
    <w:p>
      <w:pPr>
        <w:spacing w:after="0" w:line="276" w:lineRule="auto"/>
        <w:jc w:val="both"/>
        <w:sectPr>
          <w:pgSz w:w="12240" w:h="15840"/>
          <w:pgMar w:header="721" w:footer="1061" w:top="1360" w:bottom="1260" w:left="1120" w:right="1340"/>
        </w:sectPr>
      </w:pPr>
    </w:p>
    <w:p>
      <w:pPr>
        <w:numPr>
          <w:ilvl w:val="0"/>
          <w:numId w:val="21"/>
        </w:numPr>
        <w:tabs>
          <w:tab w:pos="461" w:val="left" w:leader="none"/>
          <w:tab w:pos="463" w:val="left" w:leader="none"/>
        </w:tabs>
        <w:spacing w:line="276" w:lineRule="auto" w:before="67"/>
        <w:ind w:left="463" w:right="241" w:hanging="360"/>
        <w:jc w:val="left"/>
        <w:rPr>
          <w:b/>
          <w:sz w:val="22"/>
        </w:rPr>
      </w:pPr>
      <w:r>
        <w:rPr>
          <w:b/>
          <w:sz w:val="22"/>
        </w:rPr>
        <w:t>Integrate</w:t>
      </w:r>
      <w:r>
        <w:rPr>
          <w:b/>
          <w:spacing w:val="-8"/>
          <w:sz w:val="22"/>
        </w:rPr>
        <w:t> </w:t>
      </w:r>
      <w:r>
        <w:rPr>
          <w:b/>
          <w:sz w:val="22"/>
        </w:rPr>
        <w:t>gender-affirming</w:t>
      </w:r>
      <w:r>
        <w:rPr>
          <w:b/>
          <w:spacing w:val="-6"/>
          <w:sz w:val="22"/>
        </w:rPr>
        <w:t> </w:t>
      </w:r>
      <w:r>
        <w:rPr>
          <w:b/>
          <w:sz w:val="22"/>
        </w:rPr>
        <w:t>health</w:t>
      </w:r>
      <w:r>
        <w:rPr>
          <w:b/>
          <w:spacing w:val="-8"/>
          <w:sz w:val="22"/>
        </w:rPr>
        <w:t> </w:t>
      </w:r>
      <w:r>
        <w:rPr>
          <w:b/>
          <w:sz w:val="22"/>
        </w:rPr>
        <w:t>care</w:t>
      </w:r>
      <w:r>
        <w:rPr>
          <w:b/>
          <w:spacing w:val="-8"/>
          <w:sz w:val="22"/>
        </w:rPr>
        <w:t> </w:t>
      </w:r>
      <w:r>
        <w:rPr>
          <w:b/>
          <w:sz w:val="22"/>
        </w:rPr>
        <w:t>into</w:t>
      </w:r>
      <w:r>
        <w:rPr>
          <w:b/>
          <w:spacing w:val="-7"/>
          <w:sz w:val="22"/>
        </w:rPr>
        <w:t> </w:t>
      </w:r>
      <w:r>
        <w:rPr>
          <w:b/>
          <w:sz w:val="22"/>
        </w:rPr>
        <w:t>the</w:t>
      </w:r>
      <w:r>
        <w:rPr>
          <w:b/>
          <w:spacing w:val="-6"/>
          <w:sz w:val="22"/>
        </w:rPr>
        <w:t> </w:t>
      </w:r>
      <w:r>
        <w:rPr>
          <w:b/>
          <w:sz w:val="22"/>
        </w:rPr>
        <w:t>modern</w:t>
      </w:r>
      <w:r>
        <w:rPr>
          <w:b/>
          <w:spacing w:val="-7"/>
          <w:sz w:val="22"/>
        </w:rPr>
        <w:t> </w:t>
      </w:r>
      <w:r>
        <w:rPr>
          <w:b/>
          <w:sz w:val="22"/>
        </w:rPr>
        <w:t>health</w:t>
      </w:r>
      <w:r>
        <w:rPr>
          <w:b/>
          <w:spacing w:val="-7"/>
          <w:sz w:val="22"/>
        </w:rPr>
        <w:t> </w:t>
      </w:r>
      <w:r>
        <w:rPr>
          <w:b/>
          <w:sz w:val="22"/>
        </w:rPr>
        <w:t>care</w:t>
      </w:r>
      <w:r>
        <w:rPr>
          <w:b/>
          <w:spacing w:val="-8"/>
          <w:sz w:val="22"/>
        </w:rPr>
        <w:t> </w:t>
      </w:r>
      <w:r>
        <w:rPr>
          <w:b/>
          <w:sz w:val="22"/>
        </w:rPr>
        <w:t>environment,</w:t>
      </w:r>
      <w:r>
        <w:rPr>
          <w:b/>
          <w:spacing w:val="-7"/>
          <w:sz w:val="22"/>
        </w:rPr>
        <w:t> </w:t>
      </w:r>
      <w:r>
        <w:rPr>
          <w:b/>
          <w:sz w:val="22"/>
        </w:rPr>
        <w:t>and</w:t>
      </w:r>
      <w:r>
        <w:rPr>
          <w:b/>
          <w:spacing w:val="-8"/>
          <w:sz w:val="22"/>
        </w:rPr>
        <w:t> </w:t>
      </w:r>
      <w:r>
        <w:rPr>
          <w:b/>
          <w:sz w:val="22"/>
        </w:rPr>
        <w:t>combine</w:t>
      </w:r>
      <w:r>
        <w:rPr>
          <w:b/>
          <w:spacing w:val="-7"/>
          <w:sz w:val="22"/>
        </w:rPr>
        <w:t> </w:t>
      </w:r>
      <w:r>
        <w:rPr>
          <w:b/>
          <w:sz w:val="22"/>
        </w:rPr>
        <w:t>with primary care, mental health, and community services.</w:t>
      </w:r>
    </w:p>
    <w:p>
      <w:pPr>
        <w:pStyle w:val="BodyText"/>
        <w:spacing w:line="276" w:lineRule="auto" w:before="241"/>
        <w:ind w:left="463" w:right="240" w:hanging="5"/>
        <w:jc w:val="both"/>
      </w:pPr>
      <w:r>
        <w:rPr/>
        <w:t>As</w:t>
      </w:r>
      <w:r>
        <w:rPr>
          <w:spacing w:val="-5"/>
        </w:rPr>
        <w:t> </w:t>
      </w:r>
      <w:r>
        <w:rPr/>
        <w:t>discussed</w:t>
      </w:r>
      <w:r>
        <w:rPr>
          <w:spacing w:val="-4"/>
        </w:rPr>
        <w:t> </w:t>
      </w:r>
      <w:r>
        <w:rPr/>
        <w:t>throughout</w:t>
      </w:r>
      <w:r>
        <w:rPr>
          <w:spacing w:val="-4"/>
        </w:rPr>
        <w:t> </w:t>
      </w:r>
      <w:r>
        <w:rPr/>
        <w:t>this</w:t>
      </w:r>
      <w:r>
        <w:rPr>
          <w:spacing w:val="-5"/>
        </w:rPr>
        <w:t> </w:t>
      </w:r>
      <w:r>
        <w:rPr/>
        <w:t>section</w:t>
      </w:r>
      <w:r>
        <w:rPr>
          <w:spacing w:val="-4"/>
        </w:rPr>
        <w:t> </w:t>
      </w:r>
      <w:r>
        <w:rPr/>
        <w:t>on</w:t>
      </w:r>
      <w:r>
        <w:rPr>
          <w:spacing w:val="-4"/>
        </w:rPr>
        <w:t> </w:t>
      </w:r>
      <w:r>
        <w:rPr/>
        <w:t>pediatric</w:t>
      </w:r>
      <w:r>
        <w:rPr>
          <w:spacing w:val="-3"/>
        </w:rPr>
        <w:t> </w:t>
      </w:r>
      <w:r>
        <w:rPr/>
        <w:t>health,</w:t>
      </w:r>
      <w:r>
        <w:rPr>
          <w:spacing w:val="-5"/>
        </w:rPr>
        <w:t> </w:t>
      </w:r>
      <w:r>
        <w:rPr/>
        <w:t>access</w:t>
      </w:r>
      <w:r>
        <w:rPr>
          <w:spacing w:val="-3"/>
        </w:rPr>
        <w:t> </w:t>
      </w:r>
      <w:r>
        <w:rPr/>
        <w:t>to</w:t>
      </w:r>
      <w:r>
        <w:rPr>
          <w:spacing w:val="-2"/>
        </w:rPr>
        <w:t> </w:t>
      </w:r>
      <w:r>
        <w:rPr/>
        <w:t>gender-affirming</w:t>
      </w:r>
      <w:r>
        <w:rPr>
          <w:spacing w:val="-4"/>
        </w:rPr>
        <w:t> </w:t>
      </w:r>
      <w:r>
        <w:rPr/>
        <w:t>care</w:t>
      </w:r>
      <w:r>
        <w:rPr>
          <w:spacing w:val="-4"/>
        </w:rPr>
        <w:t> </w:t>
      </w:r>
      <w:r>
        <w:rPr/>
        <w:t>and</w:t>
      </w:r>
      <w:r>
        <w:rPr>
          <w:spacing w:val="-4"/>
        </w:rPr>
        <w:t> </w:t>
      </w:r>
      <w:r>
        <w:rPr/>
        <w:t>capacity for</w:t>
      </w:r>
      <w:r>
        <w:rPr>
          <w:spacing w:val="-5"/>
        </w:rPr>
        <w:t> </w:t>
      </w:r>
      <w:r>
        <w:rPr/>
        <w:t>existing</w:t>
      </w:r>
      <w:r>
        <w:rPr>
          <w:spacing w:val="-4"/>
        </w:rPr>
        <w:t> </w:t>
      </w:r>
      <w:r>
        <w:rPr/>
        <w:t>facilities</w:t>
      </w:r>
      <w:r>
        <w:rPr>
          <w:spacing w:val="-4"/>
        </w:rPr>
        <w:t> </w:t>
      </w:r>
      <w:r>
        <w:rPr/>
        <w:t>is</w:t>
      </w:r>
      <w:r>
        <w:rPr>
          <w:spacing w:val="-3"/>
        </w:rPr>
        <w:t> </w:t>
      </w:r>
      <w:r>
        <w:rPr/>
        <w:t>limited,</w:t>
      </w:r>
      <w:r>
        <w:rPr>
          <w:spacing w:val="-4"/>
        </w:rPr>
        <w:t> </w:t>
      </w:r>
      <w:r>
        <w:rPr/>
        <w:t>thus</w:t>
      </w:r>
      <w:r>
        <w:rPr>
          <w:spacing w:val="-3"/>
        </w:rPr>
        <w:t> </w:t>
      </w:r>
      <w:r>
        <w:rPr/>
        <w:t>the</w:t>
      </w:r>
      <w:r>
        <w:rPr>
          <w:spacing w:val="-4"/>
        </w:rPr>
        <w:t> </w:t>
      </w:r>
      <w:r>
        <w:rPr/>
        <w:t>state</w:t>
      </w:r>
      <w:r>
        <w:rPr>
          <w:spacing w:val="-4"/>
        </w:rPr>
        <w:t> </w:t>
      </w:r>
      <w:r>
        <w:rPr/>
        <w:t>must</w:t>
      </w:r>
      <w:r>
        <w:rPr>
          <w:spacing w:val="-4"/>
        </w:rPr>
        <w:t> </w:t>
      </w:r>
      <w:r>
        <w:rPr/>
        <w:t>examine</w:t>
      </w:r>
      <w:r>
        <w:rPr>
          <w:spacing w:val="-4"/>
        </w:rPr>
        <w:t> </w:t>
      </w:r>
      <w:r>
        <w:rPr/>
        <w:t>ways</w:t>
      </w:r>
      <w:r>
        <w:rPr>
          <w:spacing w:val="-4"/>
        </w:rPr>
        <w:t> </w:t>
      </w:r>
      <w:r>
        <w:rPr/>
        <w:t>to</w:t>
      </w:r>
      <w:r>
        <w:rPr>
          <w:spacing w:val="-5"/>
        </w:rPr>
        <w:t> </w:t>
      </w:r>
      <w:r>
        <w:rPr/>
        <w:t>integrate</w:t>
      </w:r>
      <w:r>
        <w:rPr>
          <w:spacing w:val="-4"/>
        </w:rPr>
        <w:t> </w:t>
      </w:r>
      <w:r>
        <w:rPr/>
        <w:t>gender-affirming</w:t>
      </w:r>
      <w:r>
        <w:rPr>
          <w:spacing w:val="-5"/>
        </w:rPr>
        <w:t> </w:t>
      </w:r>
      <w:r>
        <w:rPr/>
        <w:t>health care into the modern health environment. The Commission recommends that, instead of being relegated to specialty clinics, pediatric providers and clinicians in all facilities should be trained to provide gender-affirming care. In tandem with this, there must be more resources and education devoted to the pursuit of better care for neurodiverse individuals who are more likely to identify as LGBTQ.</w:t>
      </w:r>
      <w:r>
        <w:rPr>
          <w:spacing w:val="-5"/>
        </w:rPr>
        <w:t> </w:t>
      </w:r>
      <w:r>
        <w:rPr/>
        <w:t>Furthermore,</w:t>
      </w:r>
      <w:r>
        <w:rPr>
          <w:spacing w:val="-6"/>
        </w:rPr>
        <w:t> </w:t>
      </w:r>
      <w:r>
        <w:rPr/>
        <w:t>the</w:t>
      </w:r>
      <w:r>
        <w:rPr>
          <w:spacing w:val="-4"/>
        </w:rPr>
        <w:t> </w:t>
      </w:r>
      <w:r>
        <w:rPr/>
        <w:t>Commission</w:t>
      </w:r>
      <w:r>
        <w:rPr>
          <w:spacing w:val="-6"/>
        </w:rPr>
        <w:t> </w:t>
      </w:r>
      <w:r>
        <w:rPr/>
        <w:t>recommends</w:t>
      </w:r>
      <w:r>
        <w:rPr>
          <w:spacing w:val="-5"/>
        </w:rPr>
        <w:t> </w:t>
      </w:r>
      <w:r>
        <w:rPr/>
        <w:t>that</w:t>
      </w:r>
      <w:r>
        <w:rPr>
          <w:spacing w:val="-6"/>
        </w:rPr>
        <w:t> </w:t>
      </w:r>
      <w:r>
        <w:rPr/>
        <w:t>primary</w:t>
      </w:r>
      <w:r>
        <w:rPr>
          <w:spacing w:val="-6"/>
        </w:rPr>
        <w:t> </w:t>
      </w:r>
      <w:r>
        <w:rPr/>
        <w:t>care,</w:t>
      </w:r>
      <w:r>
        <w:rPr>
          <w:spacing w:val="-6"/>
        </w:rPr>
        <w:t> </w:t>
      </w:r>
      <w:r>
        <w:rPr/>
        <w:t>mental</w:t>
      </w:r>
      <w:r>
        <w:rPr>
          <w:spacing w:val="-5"/>
        </w:rPr>
        <w:t> </w:t>
      </w:r>
      <w:r>
        <w:rPr/>
        <w:t>health,</w:t>
      </w:r>
      <w:r>
        <w:rPr>
          <w:spacing w:val="-6"/>
        </w:rPr>
        <w:t> </w:t>
      </w:r>
      <w:r>
        <w:rPr/>
        <w:t>and</w:t>
      </w:r>
      <w:r>
        <w:rPr>
          <w:spacing w:val="-5"/>
        </w:rPr>
        <w:t> </w:t>
      </w:r>
      <w:r>
        <w:rPr/>
        <w:t>community services be integrated under one roof, in line with the medical home model that many integrated LGBTQ health centers have begun to adopt. While much of the funding for LGBTQ health has been focused</w:t>
      </w:r>
      <w:r>
        <w:rPr>
          <w:spacing w:val="-4"/>
        </w:rPr>
        <w:t> </w:t>
      </w:r>
      <w:r>
        <w:rPr/>
        <w:t>on</w:t>
      </w:r>
      <w:r>
        <w:rPr>
          <w:spacing w:val="-4"/>
        </w:rPr>
        <w:t> </w:t>
      </w:r>
      <w:r>
        <w:rPr/>
        <w:t>STI</w:t>
      </w:r>
      <w:r>
        <w:rPr>
          <w:spacing w:val="-4"/>
        </w:rPr>
        <w:t> </w:t>
      </w:r>
      <w:r>
        <w:rPr/>
        <w:t>screening,</w:t>
      </w:r>
      <w:r>
        <w:rPr>
          <w:spacing w:val="-4"/>
        </w:rPr>
        <w:t> </w:t>
      </w:r>
      <w:r>
        <w:rPr/>
        <w:t>prevention,</w:t>
      </w:r>
      <w:r>
        <w:rPr>
          <w:spacing w:val="-4"/>
        </w:rPr>
        <w:t> </w:t>
      </w:r>
      <w:r>
        <w:rPr/>
        <w:t>and</w:t>
      </w:r>
      <w:r>
        <w:rPr>
          <w:spacing w:val="-4"/>
        </w:rPr>
        <w:t> </w:t>
      </w:r>
      <w:r>
        <w:rPr/>
        <w:t>treatment,</w:t>
      </w:r>
      <w:r>
        <w:rPr>
          <w:spacing w:val="-4"/>
        </w:rPr>
        <w:t> </w:t>
      </w:r>
      <w:r>
        <w:rPr/>
        <w:t>more</w:t>
      </w:r>
      <w:r>
        <w:rPr>
          <w:spacing w:val="-4"/>
        </w:rPr>
        <w:t> </w:t>
      </w:r>
      <w:r>
        <w:rPr/>
        <w:t>can</w:t>
      </w:r>
      <w:r>
        <w:rPr>
          <w:spacing w:val="-4"/>
        </w:rPr>
        <w:t> </w:t>
      </w:r>
      <w:r>
        <w:rPr/>
        <w:t>be</w:t>
      </w:r>
      <w:r>
        <w:rPr>
          <w:spacing w:val="-4"/>
        </w:rPr>
        <w:t> </w:t>
      </w:r>
      <w:r>
        <w:rPr/>
        <w:t>done</w:t>
      </w:r>
      <w:r>
        <w:rPr>
          <w:spacing w:val="-4"/>
        </w:rPr>
        <w:t> </w:t>
      </w:r>
      <w:r>
        <w:rPr/>
        <w:t>to</w:t>
      </w:r>
      <w:r>
        <w:rPr>
          <w:spacing w:val="-4"/>
        </w:rPr>
        <w:t> </w:t>
      </w:r>
      <w:r>
        <w:rPr/>
        <w:t>focus</w:t>
      </w:r>
      <w:r>
        <w:rPr>
          <w:spacing w:val="-4"/>
        </w:rPr>
        <w:t> </w:t>
      </w:r>
      <w:r>
        <w:rPr/>
        <w:t>on</w:t>
      </w:r>
      <w:r>
        <w:rPr>
          <w:spacing w:val="-4"/>
        </w:rPr>
        <w:t> </w:t>
      </w:r>
      <w:r>
        <w:rPr/>
        <w:t>the</w:t>
      </w:r>
      <w:r>
        <w:rPr>
          <w:spacing w:val="-4"/>
        </w:rPr>
        <w:t> </w:t>
      </w:r>
      <w:r>
        <w:rPr/>
        <w:t>holistic</w:t>
      </w:r>
      <w:r>
        <w:rPr>
          <w:spacing w:val="-4"/>
        </w:rPr>
        <w:t> </w:t>
      </w:r>
      <w:r>
        <w:rPr/>
        <w:t>needs of the LGBTQ community. This includes hiring more diverse clinicians and investing in a trauma- informed work environment.</w:t>
      </w:r>
    </w:p>
    <w:p>
      <w:pPr>
        <w:spacing w:before="239"/>
        <w:ind w:left="464" w:right="0" w:firstLine="0"/>
        <w:jc w:val="both"/>
        <w:rPr>
          <w:sz w:val="28"/>
        </w:rPr>
      </w:pPr>
      <w:bookmarkStart w:name="Research: Protecting LGBTQ Youth Pediatr" w:id="354"/>
      <w:bookmarkEnd w:id="354"/>
      <w:r>
        <w:rPr/>
      </w:r>
      <w:r>
        <w:rPr>
          <w:color w:val="365F91"/>
          <w:sz w:val="28"/>
        </w:rPr>
        <w:t>Research:</w:t>
      </w:r>
      <w:r>
        <w:rPr>
          <w:color w:val="365F91"/>
          <w:spacing w:val="-13"/>
          <w:sz w:val="28"/>
        </w:rPr>
        <w:t> </w:t>
      </w:r>
      <w:r>
        <w:rPr>
          <w:color w:val="365F91"/>
          <w:sz w:val="28"/>
        </w:rPr>
        <w:t>Protecting</w:t>
      </w:r>
      <w:r>
        <w:rPr>
          <w:color w:val="365F91"/>
          <w:spacing w:val="-11"/>
          <w:sz w:val="28"/>
        </w:rPr>
        <w:t> </w:t>
      </w:r>
      <w:r>
        <w:rPr>
          <w:color w:val="365F91"/>
          <w:sz w:val="28"/>
        </w:rPr>
        <w:t>LGBTQ</w:t>
      </w:r>
      <w:r>
        <w:rPr>
          <w:color w:val="365F91"/>
          <w:spacing w:val="-12"/>
          <w:sz w:val="28"/>
        </w:rPr>
        <w:t> </w:t>
      </w:r>
      <w:r>
        <w:rPr>
          <w:color w:val="365F91"/>
          <w:sz w:val="28"/>
        </w:rPr>
        <w:t>Youth</w:t>
      </w:r>
      <w:r>
        <w:rPr>
          <w:color w:val="365F91"/>
          <w:spacing w:val="-13"/>
          <w:sz w:val="28"/>
        </w:rPr>
        <w:t> </w:t>
      </w:r>
      <w:r>
        <w:rPr>
          <w:color w:val="365F91"/>
          <w:sz w:val="28"/>
        </w:rPr>
        <w:t>Pediatric</w:t>
      </w:r>
      <w:r>
        <w:rPr>
          <w:color w:val="365F91"/>
          <w:spacing w:val="-12"/>
          <w:sz w:val="28"/>
        </w:rPr>
        <w:t> </w:t>
      </w:r>
      <w:r>
        <w:rPr>
          <w:color w:val="365F91"/>
          <w:spacing w:val="-2"/>
          <w:sz w:val="28"/>
        </w:rPr>
        <w:t>Health</w:t>
      </w:r>
    </w:p>
    <w:p>
      <w:pPr>
        <w:pStyle w:val="BodyText"/>
        <w:spacing w:before="10"/>
        <w:rPr>
          <w:sz w:val="3"/>
        </w:rPr>
      </w:pPr>
      <w:r>
        <w:rPr/>
        <mc:AlternateContent>
          <mc:Choice Requires="wps">
            <w:drawing>
              <wp:anchor distT="0" distB="0" distL="0" distR="0" allowOverlap="1" layoutInCell="1" locked="0" behindDoc="1" simplePos="0" relativeHeight="487630848">
                <wp:simplePos x="0" y="0"/>
                <wp:positionH relativeFrom="page">
                  <wp:posOffset>986789</wp:posOffset>
                </wp:positionH>
                <wp:positionV relativeFrom="paragraph">
                  <wp:posOffset>45131</wp:posOffset>
                </wp:positionV>
                <wp:extent cx="5799455" cy="635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53633pt;width:456.601pt;height:.48pt;mso-position-horizontal-relative:page;mso-position-vertical-relative:paragraph;z-index:-15685632;mso-wrap-distance-left:0;mso-wrap-distance-right:0" id="docshape211" filled="true" fillcolor="#4f81bc" stroked="false">
                <v:fill type="solid"/>
                <w10:wrap type="topAndBottom"/>
              </v:rect>
            </w:pict>
          </mc:Fallback>
        </mc:AlternateContent>
      </w:r>
    </w:p>
    <w:p>
      <w:pPr>
        <w:pStyle w:val="BodyText"/>
        <w:spacing w:line="276" w:lineRule="auto" w:before="241"/>
        <w:ind w:left="464" w:right="241" w:hanging="3"/>
        <w:jc w:val="both"/>
      </w:pPr>
      <w:r>
        <w:rPr/>
        <w:t>When</w:t>
      </w:r>
      <w:r>
        <w:rPr>
          <w:spacing w:val="-10"/>
        </w:rPr>
        <w:t> </w:t>
      </w:r>
      <w:r>
        <w:rPr/>
        <w:t>strategizing</w:t>
      </w:r>
      <w:r>
        <w:rPr>
          <w:spacing w:val="-10"/>
        </w:rPr>
        <w:t> </w:t>
      </w:r>
      <w:r>
        <w:rPr/>
        <w:t>and</w:t>
      </w:r>
      <w:r>
        <w:rPr>
          <w:spacing w:val="-10"/>
        </w:rPr>
        <w:t> </w:t>
      </w:r>
      <w:r>
        <w:rPr/>
        <w:t>developing</w:t>
      </w:r>
      <w:r>
        <w:rPr>
          <w:spacing w:val="-10"/>
        </w:rPr>
        <w:t> </w:t>
      </w:r>
      <w:r>
        <w:rPr/>
        <w:t>policies</w:t>
      </w:r>
      <w:r>
        <w:rPr>
          <w:spacing w:val="-11"/>
        </w:rPr>
        <w:t> </w:t>
      </w:r>
      <w:r>
        <w:rPr/>
        <w:t>and</w:t>
      </w:r>
      <w:r>
        <w:rPr>
          <w:spacing w:val="-10"/>
        </w:rPr>
        <w:t> </w:t>
      </w:r>
      <w:r>
        <w:rPr/>
        <w:t>programs</w:t>
      </w:r>
      <w:r>
        <w:rPr>
          <w:spacing w:val="-11"/>
        </w:rPr>
        <w:t> </w:t>
      </w:r>
      <w:r>
        <w:rPr/>
        <w:t>to</w:t>
      </w:r>
      <w:r>
        <w:rPr>
          <w:spacing w:val="-11"/>
        </w:rPr>
        <w:t> </w:t>
      </w:r>
      <w:r>
        <w:rPr/>
        <w:t>address</w:t>
      </w:r>
      <w:r>
        <w:rPr>
          <w:spacing w:val="-11"/>
        </w:rPr>
        <w:t> </w:t>
      </w:r>
      <w:r>
        <w:rPr/>
        <w:t>health</w:t>
      </w:r>
      <w:r>
        <w:rPr>
          <w:spacing w:val="-10"/>
        </w:rPr>
        <w:t> </w:t>
      </w:r>
      <w:r>
        <w:rPr/>
        <w:t>disparities</w:t>
      </w:r>
      <w:r>
        <w:rPr>
          <w:spacing w:val="-11"/>
        </w:rPr>
        <w:t> </w:t>
      </w:r>
      <w:r>
        <w:rPr/>
        <w:t>for</w:t>
      </w:r>
      <w:r>
        <w:rPr>
          <w:spacing w:val="-11"/>
        </w:rPr>
        <w:t> </w:t>
      </w:r>
      <w:r>
        <w:rPr/>
        <w:t>LGBTQ</w:t>
      </w:r>
      <w:r>
        <w:rPr>
          <w:spacing w:val="-11"/>
        </w:rPr>
        <w:t> </w:t>
      </w:r>
      <w:r>
        <w:rPr/>
        <w:t>youth across the Commonwealth, it is essential to understand that the experiences of LGBTQ youth are shaped</w:t>
      </w:r>
      <w:r>
        <w:rPr>
          <w:spacing w:val="-2"/>
        </w:rPr>
        <w:t> </w:t>
      </w:r>
      <w:r>
        <w:rPr/>
        <w:t>by</w:t>
      </w:r>
      <w:r>
        <w:rPr>
          <w:spacing w:val="-1"/>
        </w:rPr>
        <w:t> </w:t>
      </w:r>
      <w:r>
        <w:rPr/>
        <w:t>the</w:t>
      </w:r>
      <w:r>
        <w:rPr>
          <w:spacing w:val="-2"/>
        </w:rPr>
        <w:t> </w:t>
      </w:r>
      <w:r>
        <w:rPr/>
        <w:t>intersections</w:t>
      </w:r>
      <w:r>
        <w:rPr>
          <w:spacing w:val="-1"/>
        </w:rPr>
        <w:t> </w:t>
      </w:r>
      <w:r>
        <w:rPr/>
        <w:t>of</w:t>
      </w:r>
      <w:r>
        <w:rPr>
          <w:spacing w:val="-2"/>
        </w:rPr>
        <w:t> </w:t>
      </w:r>
      <w:r>
        <w:rPr/>
        <w:t>multiple</w:t>
      </w:r>
      <w:r>
        <w:rPr>
          <w:spacing w:val="-1"/>
        </w:rPr>
        <w:t> </w:t>
      </w:r>
      <w:r>
        <w:rPr/>
        <w:t>aspects</w:t>
      </w:r>
      <w:r>
        <w:rPr>
          <w:spacing w:val="-1"/>
        </w:rPr>
        <w:t> </w:t>
      </w:r>
      <w:r>
        <w:rPr/>
        <w:t>of their</w:t>
      </w:r>
      <w:r>
        <w:rPr>
          <w:spacing w:val="-2"/>
        </w:rPr>
        <w:t> </w:t>
      </w:r>
      <w:r>
        <w:rPr/>
        <w:t>identities,</w:t>
      </w:r>
      <w:r>
        <w:rPr>
          <w:spacing w:val="-2"/>
        </w:rPr>
        <w:t> </w:t>
      </w:r>
      <w:r>
        <w:rPr/>
        <w:t>and</w:t>
      </w:r>
      <w:r>
        <w:rPr>
          <w:spacing w:val="-2"/>
        </w:rPr>
        <w:t> </w:t>
      </w:r>
      <w:r>
        <w:rPr/>
        <w:t>that</w:t>
      </w:r>
      <w:r>
        <w:rPr>
          <w:spacing w:val="-2"/>
        </w:rPr>
        <w:t> </w:t>
      </w:r>
      <w:r>
        <w:rPr/>
        <w:t>addressing</w:t>
      </w:r>
      <w:r>
        <w:rPr>
          <w:spacing w:val="-2"/>
        </w:rPr>
        <w:t> </w:t>
      </w:r>
      <w:r>
        <w:rPr/>
        <w:t>the</w:t>
      </w:r>
      <w:r>
        <w:rPr>
          <w:spacing w:val="-2"/>
        </w:rPr>
        <w:t> </w:t>
      </w:r>
      <w:r>
        <w:rPr/>
        <w:t>issues</w:t>
      </w:r>
      <w:r>
        <w:rPr>
          <w:spacing w:val="-1"/>
        </w:rPr>
        <w:t> </w:t>
      </w:r>
      <w:r>
        <w:rPr/>
        <w:t>they face requires a holistic and intersectional approach.</w:t>
      </w:r>
    </w:p>
    <w:p>
      <w:pPr>
        <w:pStyle w:val="BodyText"/>
        <w:spacing w:line="276" w:lineRule="auto" w:before="240"/>
        <w:ind w:left="463" w:right="242" w:firstLine="14"/>
        <w:jc w:val="both"/>
      </w:pPr>
      <w:r>
        <w:rPr/>
        <w:t>In</w:t>
      </w:r>
      <w:r>
        <w:rPr>
          <w:spacing w:val="-2"/>
        </w:rPr>
        <w:t> </w:t>
      </w:r>
      <w:r>
        <w:rPr/>
        <w:t>particular,</w:t>
      </w:r>
      <w:r>
        <w:rPr>
          <w:spacing w:val="-1"/>
        </w:rPr>
        <w:t> </w:t>
      </w:r>
      <w:r>
        <w:rPr/>
        <w:t>the</w:t>
      </w:r>
      <w:r>
        <w:rPr>
          <w:spacing w:val="-2"/>
        </w:rPr>
        <w:t> </w:t>
      </w:r>
      <w:r>
        <w:rPr/>
        <w:t>experiences</w:t>
      </w:r>
      <w:r>
        <w:rPr>
          <w:spacing w:val="-3"/>
        </w:rPr>
        <w:t> </w:t>
      </w:r>
      <w:r>
        <w:rPr/>
        <w:t>of</w:t>
      </w:r>
      <w:r>
        <w:rPr>
          <w:spacing w:val="-3"/>
        </w:rPr>
        <w:t> </w:t>
      </w:r>
      <w:r>
        <w:rPr/>
        <w:t>youth</w:t>
      </w:r>
      <w:r>
        <w:rPr>
          <w:spacing w:val="-3"/>
        </w:rPr>
        <w:t> </w:t>
      </w:r>
      <w:r>
        <w:rPr/>
        <w:t>in</w:t>
      </w:r>
      <w:r>
        <w:rPr>
          <w:spacing w:val="-2"/>
        </w:rPr>
        <w:t> </w:t>
      </w:r>
      <w:r>
        <w:rPr/>
        <w:t>health</w:t>
      </w:r>
      <w:r>
        <w:rPr>
          <w:spacing w:val="-2"/>
        </w:rPr>
        <w:t> </w:t>
      </w:r>
      <w:r>
        <w:rPr/>
        <w:t>care</w:t>
      </w:r>
      <w:r>
        <w:rPr>
          <w:spacing w:val="-2"/>
        </w:rPr>
        <w:t> </w:t>
      </w:r>
      <w:r>
        <w:rPr/>
        <w:t>spaces</w:t>
      </w:r>
      <w:r>
        <w:rPr>
          <w:spacing w:val="-1"/>
        </w:rPr>
        <w:t> </w:t>
      </w:r>
      <w:r>
        <w:rPr/>
        <w:t>can</w:t>
      </w:r>
      <w:r>
        <w:rPr>
          <w:spacing w:val="-2"/>
        </w:rPr>
        <w:t> </w:t>
      </w:r>
      <w:r>
        <w:rPr/>
        <w:t>vary;</w:t>
      </w:r>
      <w:r>
        <w:rPr>
          <w:spacing w:val="-3"/>
        </w:rPr>
        <w:t> </w:t>
      </w:r>
      <w:r>
        <w:rPr/>
        <w:t>QTBIPOC</w:t>
      </w:r>
      <w:r>
        <w:rPr>
          <w:spacing w:val="-1"/>
        </w:rPr>
        <w:t> </w:t>
      </w:r>
      <w:r>
        <w:rPr/>
        <w:t>youth,</w:t>
      </w:r>
      <w:r>
        <w:rPr>
          <w:spacing w:val="-3"/>
        </w:rPr>
        <w:t> </w:t>
      </w:r>
      <w:r>
        <w:rPr/>
        <w:t>intersex</w:t>
      </w:r>
      <w:r>
        <w:rPr>
          <w:spacing w:val="-3"/>
        </w:rPr>
        <w:t> </w:t>
      </w:r>
      <w:r>
        <w:rPr/>
        <w:t>youth, youth with disabilities, and undocumented youth can often have differing experiences than may be experienced</w:t>
      </w:r>
      <w:r>
        <w:rPr>
          <w:spacing w:val="-5"/>
        </w:rPr>
        <w:t> </w:t>
      </w:r>
      <w:r>
        <w:rPr/>
        <w:t>by</w:t>
      </w:r>
      <w:r>
        <w:rPr>
          <w:spacing w:val="-6"/>
        </w:rPr>
        <w:t> </w:t>
      </w:r>
      <w:r>
        <w:rPr/>
        <w:t>their</w:t>
      </w:r>
      <w:r>
        <w:rPr>
          <w:spacing w:val="-5"/>
        </w:rPr>
        <w:t> </w:t>
      </w:r>
      <w:r>
        <w:rPr/>
        <w:t>peers,</w:t>
      </w:r>
      <w:r>
        <w:rPr>
          <w:spacing w:val="-6"/>
        </w:rPr>
        <w:t> </w:t>
      </w:r>
      <w:r>
        <w:rPr/>
        <w:t>impacting</w:t>
      </w:r>
      <w:r>
        <w:rPr>
          <w:spacing w:val="-5"/>
        </w:rPr>
        <w:t> </w:t>
      </w:r>
      <w:r>
        <w:rPr/>
        <w:t>their</w:t>
      </w:r>
      <w:r>
        <w:rPr>
          <w:spacing w:val="-6"/>
        </w:rPr>
        <w:t> </w:t>
      </w:r>
      <w:r>
        <w:rPr/>
        <w:t>overall</w:t>
      </w:r>
      <w:r>
        <w:rPr>
          <w:spacing w:val="-7"/>
        </w:rPr>
        <w:t> </w:t>
      </w:r>
      <w:r>
        <w:rPr/>
        <w:t>well-being</w:t>
      </w:r>
      <w:r>
        <w:rPr>
          <w:spacing w:val="-7"/>
        </w:rPr>
        <w:t> </w:t>
      </w:r>
      <w:r>
        <w:rPr/>
        <w:t>in</w:t>
      </w:r>
      <w:r>
        <w:rPr>
          <w:spacing w:val="-7"/>
        </w:rPr>
        <w:t> </w:t>
      </w:r>
      <w:r>
        <w:rPr/>
        <w:t>Massachusetts.</w:t>
      </w:r>
      <w:r>
        <w:rPr>
          <w:spacing w:val="-5"/>
        </w:rPr>
        <w:t> </w:t>
      </w:r>
      <w:r>
        <w:rPr/>
        <w:t>As</w:t>
      </w:r>
      <w:r>
        <w:rPr>
          <w:spacing w:val="-6"/>
        </w:rPr>
        <w:t> </w:t>
      </w:r>
      <w:r>
        <w:rPr/>
        <w:t>discussed</w:t>
      </w:r>
      <w:r>
        <w:rPr>
          <w:spacing w:val="-4"/>
        </w:rPr>
        <w:t> </w:t>
      </w:r>
      <w:r>
        <w:rPr/>
        <w:t>in</w:t>
      </w:r>
      <w:r>
        <w:rPr>
          <w:spacing w:val="-7"/>
        </w:rPr>
        <w:t> </w:t>
      </w:r>
      <w:r>
        <w:rPr/>
        <w:t>depth throughout</w:t>
      </w:r>
      <w:r>
        <w:rPr>
          <w:spacing w:val="-9"/>
        </w:rPr>
        <w:t> </w:t>
      </w:r>
      <w:r>
        <w:rPr/>
        <w:t>this</w:t>
      </w:r>
      <w:r>
        <w:rPr>
          <w:spacing w:val="-9"/>
        </w:rPr>
        <w:t> </w:t>
      </w:r>
      <w:r>
        <w:rPr/>
        <w:t>annual</w:t>
      </w:r>
      <w:r>
        <w:rPr>
          <w:spacing w:val="-9"/>
        </w:rPr>
        <w:t> </w:t>
      </w:r>
      <w:r>
        <w:rPr/>
        <w:t>report,</w:t>
      </w:r>
      <w:r>
        <w:rPr>
          <w:spacing w:val="-10"/>
        </w:rPr>
        <w:t> </w:t>
      </w:r>
      <w:r>
        <w:rPr/>
        <w:t>QTBIPOC</w:t>
      </w:r>
      <w:r>
        <w:rPr>
          <w:spacing w:val="-9"/>
        </w:rPr>
        <w:t> </w:t>
      </w:r>
      <w:r>
        <w:rPr/>
        <w:t>youth</w:t>
      </w:r>
      <w:r>
        <w:rPr>
          <w:spacing w:val="-9"/>
        </w:rPr>
        <w:t> </w:t>
      </w:r>
      <w:r>
        <w:rPr/>
        <w:t>often</w:t>
      </w:r>
      <w:r>
        <w:rPr>
          <w:spacing w:val="-9"/>
        </w:rPr>
        <w:t> </w:t>
      </w:r>
      <w:r>
        <w:rPr/>
        <w:t>face</w:t>
      </w:r>
      <w:r>
        <w:rPr>
          <w:spacing w:val="-9"/>
        </w:rPr>
        <w:t> </w:t>
      </w:r>
      <w:r>
        <w:rPr/>
        <w:t>additional</w:t>
      </w:r>
      <w:r>
        <w:rPr>
          <w:spacing w:val="-10"/>
        </w:rPr>
        <w:t> </w:t>
      </w:r>
      <w:r>
        <w:rPr/>
        <w:t>barriers</w:t>
      </w:r>
      <w:r>
        <w:rPr>
          <w:spacing w:val="-9"/>
        </w:rPr>
        <w:t> </w:t>
      </w:r>
      <w:r>
        <w:rPr/>
        <w:t>and</w:t>
      </w:r>
      <w:r>
        <w:rPr>
          <w:spacing w:val="-10"/>
        </w:rPr>
        <w:t> </w:t>
      </w:r>
      <w:r>
        <w:rPr/>
        <w:t>discrimination</w:t>
      </w:r>
      <w:r>
        <w:rPr>
          <w:spacing w:val="-10"/>
        </w:rPr>
        <w:t> </w:t>
      </w:r>
      <w:r>
        <w:rPr/>
        <w:t>due</w:t>
      </w:r>
      <w:r>
        <w:rPr>
          <w:spacing w:val="-9"/>
        </w:rPr>
        <w:t> </w:t>
      </w:r>
      <w:r>
        <w:rPr/>
        <w:t>to the</w:t>
      </w:r>
      <w:r>
        <w:rPr>
          <w:spacing w:val="-13"/>
        </w:rPr>
        <w:t> </w:t>
      </w:r>
      <w:r>
        <w:rPr/>
        <w:t>intersections</w:t>
      </w:r>
      <w:r>
        <w:rPr>
          <w:spacing w:val="-12"/>
        </w:rPr>
        <w:t> </w:t>
      </w:r>
      <w:r>
        <w:rPr/>
        <w:t>of</w:t>
      </w:r>
      <w:r>
        <w:rPr>
          <w:spacing w:val="-13"/>
        </w:rPr>
        <w:t> </w:t>
      </w:r>
      <w:r>
        <w:rPr/>
        <w:t>their</w:t>
      </w:r>
      <w:r>
        <w:rPr>
          <w:spacing w:val="-11"/>
        </w:rPr>
        <w:t> </w:t>
      </w:r>
      <w:r>
        <w:rPr/>
        <w:t>sexual</w:t>
      </w:r>
      <w:r>
        <w:rPr>
          <w:spacing w:val="-11"/>
        </w:rPr>
        <w:t> </w:t>
      </w:r>
      <w:r>
        <w:rPr/>
        <w:t>orientation</w:t>
      </w:r>
      <w:r>
        <w:rPr>
          <w:spacing w:val="-13"/>
        </w:rPr>
        <w:t> </w:t>
      </w:r>
      <w:r>
        <w:rPr/>
        <w:t>or</w:t>
      </w:r>
      <w:r>
        <w:rPr>
          <w:spacing w:val="-11"/>
        </w:rPr>
        <w:t> </w:t>
      </w:r>
      <w:r>
        <w:rPr/>
        <w:t>gender</w:t>
      </w:r>
      <w:r>
        <w:rPr>
          <w:spacing w:val="-12"/>
        </w:rPr>
        <w:t> </w:t>
      </w:r>
      <w:r>
        <w:rPr/>
        <w:t>identity</w:t>
      </w:r>
      <w:r>
        <w:rPr>
          <w:spacing w:val="-12"/>
        </w:rPr>
        <w:t> </w:t>
      </w:r>
      <w:r>
        <w:rPr/>
        <w:t>with</w:t>
      </w:r>
      <w:r>
        <w:rPr>
          <w:spacing w:val="-12"/>
        </w:rPr>
        <w:t> </w:t>
      </w:r>
      <w:r>
        <w:rPr/>
        <w:t>their</w:t>
      </w:r>
      <w:r>
        <w:rPr>
          <w:spacing w:val="-12"/>
        </w:rPr>
        <w:t> </w:t>
      </w:r>
      <w:r>
        <w:rPr/>
        <w:t>race</w:t>
      </w:r>
      <w:r>
        <w:rPr>
          <w:spacing w:val="-12"/>
        </w:rPr>
        <w:t> </w:t>
      </w:r>
      <w:r>
        <w:rPr/>
        <w:t>or</w:t>
      </w:r>
      <w:r>
        <w:rPr>
          <w:spacing w:val="-12"/>
        </w:rPr>
        <w:t> </w:t>
      </w:r>
      <w:r>
        <w:rPr/>
        <w:t>ethnicity.</w:t>
      </w:r>
      <w:r>
        <w:rPr>
          <w:spacing w:val="-12"/>
        </w:rPr>
        <w:t> </w:t>
      </w:r>
      <w:r>
        <w:rPr/>
        <w:t>Additionally, QTBIPOC over the age of 18 report experiencing higher rates of healthcare discrimination and increased</w:t>
      </w:r>
      <w:r>
        <w:rPr>
          <w:spacing w:val="-10"/>
        </w:rPr>
        <w:t> </w:t>
      </w:r>
      <w:r>
        <w:rPr/>
        <w:t>difficulty</w:t>
      </w:r>
      <w:r>
        <w:rPr>
          <w:spacing w:val="-3"/>
        </w:rPr>
        <w:t> </w:t>
      </w:r>
      <w:r>
        <w:rPr/>
        <w:t>accessing</w:t>
      </w:r>
      <w:r>
        <w:rPr>
          <w:spacing w:val="-4"/>
        </w:rPr>
        <w:t> </w:t>
      </w:r>
      <w:r>
        <w:rPr/>
        <w:t>care,</w:t>
      </w:r>
      <w:r>
        <w:rPr>
          <w:vertAlign w:val="superscript"/>
        </w:rPr>
        <w:t>8</w:t>
      </w:r>
      <w:r>
        <w:rPr>
          <w:spacing w:val="-13"/>
          <w:vertAlign w:val="baseline"/>
        </w:rPr>
        <w:t> </w:t>
      </w:r>
      <w:r>
        <w:rPr>
          <w:vertAlign w:val="baseline"/>
        </w:rPr>
        <w:t>though</w:t>
      </w:r>
      <w:r>
        <w:rPr>
          <w:spacing w:val="-2"/>
          <w:vertAlign w:val="baseline"/>
        </w:rPr>
        <w:t> </w:t>
      </w:r>
      <w:r>
        <w:rPr>
          <w:vertAlign w:val="baseline"/>
        </w:rPr>
        <w:t>there</w:t>
      </w:r>
      <w:r>
        <w:rPr>
          <w:spacing w:val="-3"/>
          <w:vertAlign w:val="baseline"/>
        </w:rPr>
        <w:t> </w:t>
      </w:r>
      <w:r>
        <w:rPr>
          <w:vertAlign w:val="baseline"/>
        </w:rPr>
        <w:t>is</w:t>
      </w:r>
      <w:r>
        <w:rPr>
          <w:spacing w:val="-4"/>
          <w:vertAlign w:val="baseline"/>
        </w:rPr>
        <w:t> </w:t>
      </w:r>
      <w:r>
        <w:rPr>
          <w:vertAlign w:val="baseline"/>
        </w:rPr>
        <w:t>little</w:t>
      </w:r>
      <w:r>
        <w:rPr>
          <w:spacing w:val="-3"/>
          <w:vertAlign w:val="baseline"/>
        </w:rPr>
        <w:t> </w:t>
      </w:r>
      <w:r>
        <w:rPr>
          <w:vertAlign w:val="baseline"/>
        </w:rPr>
        <w:t>to</w:t>
      </w:r>
      <w:r>
        <w:rPr>
          <w:spacing w:val="-3"/>
          <w:vertAlign w:val="baseline"/>
        </w:rPr>
        <w:t> </w:t>
      </w:r>
      <w:r>
        <w:rPr>
          <w:vertAlign w:val="baseline"/>
        </w:rPr>
        <w:t>no</w:t>
      </w:r>
      <w:r>
        <w:rPr>
          <w:spacing w:val="-3"/>
          <w:vertAlign w:val="baseline"/>
        </w:rPr>
        <w:t> </w:t>
      </w:r>
      <w:r>
        <w:rPr>
          <w:vertAlign w:val="baseline"/>
        </w:rPr>
        <w:t>research</w:t>
      </w:r>
      <w:r>
        <w:rPr>
          <w:spacing w:val="-4"/>
          <w:vertAlign w:val="baseline"/>
        </w:rPr>
        <w:t> </w:t>
      </w:r>
      <w:r>
        <w:rPr>
          <w:vertAlign w:val="baseline"/>
        </w:rPr>
        <w:t>examining</w:t>
      </w:r>
      <w:r>
        <w:rPr>
          <w:spacing w:val="-4"/>
          <w:vertAlign w:val="baseline"/>
        </w:rPr>
        <w:t> </w:t>
      </w:r>
      <w:r>
        <w:rPr>
          <w:vertAlign w:val="baseline"/>
        </w:rPr>
        <w:t>this</w:t>
      </w:r>
      <w:r>
        <w:rPr>
          <w:spacing w:val="-4"/>
          <w:vertAlign w:val="baseline"/>
        </w:rPr>
        <w:t> </w:t>
      </w:r>
      <w:r>
        <w:rPr>
          <w:vertAlign w:val="baseline"/>
        </w:rPr>
        <w:t>disparity</w:t>
      </w:r>
      <w:r>
        <w:rPr>
          <w:spacing w:val="-4"/>
          <w:vertAlign w:val="baseline"/>
        </w:rPr>
        <w:t> </w:t>
      </w:r>
      <w:r>
        <w:rPr>
          <w:vertAlign w:val="baseline"/>
        </w:rPr>
        <w:t>in</w:t>
      </w:r>
      <w:r>
        <w:rPr>
          <w:spacing w:val="-3"/>
          <w:vertAlign w:val="baseline"/>
        </w:rPr>
        <w:t> </w:t>
      </w:r>
      <w:r>
        <w:rPr>
          <w:vertAlign w:val="baseline"/>
        </w:rPr>
        <w:t>the pediatric populations.</w:t>
      </w:r>
    </w:p>
    <w:p>
      <w:pPr>
        <w:pStyle w:val="BodyText"/>
        <w:spacing w:line="276" w:lineRule="auto" w:before="240"/>
        <w:ind w:left="463" w:right="241" w:firstLine="8"/>
        <w:jc w:val="both"/>
      </w:pPr>
      <w:r>
        <w:rPr/>
        <w:t>LGBTQ youth with disabilities often experience greater health disparities than non-disabled LGBTQ youth, including higher rates of depressive symptoms and lowered self-esteem,</w:t>
      </w:r>
      <w:r>
        <w:rPr>
          <w:vertAlign w:val="superscript"/>
        </w:rPr>
        <w:t>9</w:t>
      </w:r>
      <w:r>
        <w:rPr>
          <w:vertAlign w:val="baseline"/>
        </w:rPr>
        <w:t> or may face communication</w:t>
      </w:r>
      <w:r>
        <w:rPr>
          <w:spacing w:val="-3"/>
          <w:vertAlign w:val="baseline"/>
        </w:rPr>
        <w:t> </w:t>
      </w:r>
      <w:r>
        <w:rPr>
          <w:vertAlign w:val="baseline"/>
        </w:rPr>
        <w:t>difficulties,</w:t>
      </w:r>
      <w:r>
        <w:rPr>
          <w:spacing w:val="-3"/>
          <w:vertAlign w:val="baseline"/>
        </w:rPr>
        <w:t> </w:t>
      </w:r>
      <w:r>
        <w:rPr>
          <w:vertAlign w:val="baseline"/>
        </w:rPr>
        <w:t>or</w:t>
      </w:r>
      <w:r>
        <w:rPr>
          <w:spacing w:val="-3"/>
          <w:vertAlign w:val="baseline"/>
        </w:rPr>
        <w:t> </w:t>
      </w:r>
      <w:r>
        <w:rPr>
          <w:vertAlign w:val="baseline"/>
        </w:rPr>
        <w:t>increased</w:t>
      </w:r>
      <w:r>
        <w:rPr>
          <w:spacing w:val="-2"/>
          <w:vertAlign w:val="baseline"/>
        </w:rPr>
        <w:t> </w:t>
      </w:r>
      <w:r>
        <w:rPr>
          <w:vertAlign w:val="baseline"/>
        </w:rPr>
        <w:t>stigmatization</w:t>
      </w:r>
      <w:r>
        <w:rPr>
          <w:spacing w:val="-3"/>
          <w:vertAlign w:val="baseline"/>
        </w:rPr>
        <w:t> </w:t>
      </w:r>
      <w:r>
        <w:rPr>
          <w:vertAlign w:val="baseline"/>
        </w:rPr>
        <w:t>and</w:t>
      </w:r>
      <w:r>
        <w:rPr>
          <w:spacing w:val="-1"/>
          <w:vertAlign w:val="baseline"/>
        </w:rPr>
        <w:t> </w:t>
      </w:r>
      <w:r>
        <w:rPr>
          <w:vertAlign w:val="baseline"/>
        </w:rPr>
        <w:t>discrimination.</w:t>
      </w:r>
      <w:r>
        <w:rPr>
          <w:spacing w:val="-2"/>
          <w:vertAlign w:val="baseline"/>
        </w:rPr>
        <w:t> </w:t>
      </w:r>
      <w:r>
        <w:rPr>
          <w:vertAlign w:val="baseline"/>
        </w:rPr>
        <w:t>For</w:t>
      </w:r>
      <w:r>
        <w:rPr>
          <w:spacing w:val="-3"/>
          <w:vertAlign w:val="baseline"/>
        </w:rPr>
        <w:t> </w:t>
      </w:r>
      <w:r>
        <w:rPr>
          <w:vertAlign w:val="baseline"/>
        </w:rPr>
        <w:t>example,</w:t>
      </w:r>
      <w:r>
        <w:rPr>
          <w:spacing w:val="-1"/>
          <w:vertAlign w:val="baseline"/>
        </w:rPr>
        <w:t> </w:t>
      </w:r>
      <w:r>
        <w:rPr>
          <w:vertAlign w:val="baseline"/>
        </w:rPr>
        <w:t>research</w:t>
      </w:r>
      <w:r>
        <w:rPr>
          <w:spacing w:val="-2"/>
          <w:vertAlign w:val="baseline"/>
        </w:rPr>
        <w:t> </w:t>
      </w:r>
      <w:r>
        <w:rPr>
          <w:vertAlign w:val="baseline"/>
        </w:rPr>
        <w:t>has shown that gender dysphoria is significantly more common in children with autism spectrum disorder,</w:t>
      </w:r>
      <w:r>
        <w:rPr>
          <w:vertAlign w:val="superscript"/>
        </w:rPr>
        <w:t>10</w:t>
      </w:r>
      <w:r>
        <w:rPr>
          <w:spacing w:val="-13"/>
          <w:vertAlign w:val="baseline"/>
        </w:rPr>
        <w:t> </w:t>
      </w:r>
      <w:r>
        <w:rPr>
          <w:vertAlign w:val="baseline"/>
        </w:rPr>
        <w:t>and</w:t>
      </w:r>
      <w:r>
        <w:rPr>
          <w:spacing w:val="-9"/>
          <w:vertAlign w:val="baseline"/>
        </w:rPr>
        <w:t> </w:t>
      </w:r>
      <w:r>
        <w:rPr>
          <w:vertAlign w:val="baseline"/>
        </w:rPr>
        <w:t>neurodivergent</w:t>
      </w:r>
      <w:r>
        <w:rPr>
          <w:spacing w:val="-2"/>
          <w:vertAlign w:val="baseline"/>
        </w:rPr>
        <w:t> </w:t>
      </w:r>
      <w:r>
        <w:rPr>
          <w:vertAlign w:val="baseline"/>
        </w:rPr>
        <w:t>LGBTQ</w:t>
      </w:r>
      <w:r>
        <w:rPr>
          <w:spacing w:val="-1"/>
          <w:vertAlign w:val="baseline"/>
        </w:rPr>
        <w:t> </w:t>
      </w:r>
      <w:r>
        <w:rPr>
          <w:vertAlign w:val="baseline"/>
        </w:rPr>
        <w:t>youth</w:t>
      </w:r>
      <w:r>
        <w:rPr>
          <w:spacing w:val="-2"/>
          <w:vertAlign w:val="baseline"/>
        </w:rPr>
        <w:t> </w:t>
      </w:r>
      <w:r>
        <w:rPr>
          <w:vertAlign w:val="baseline"/>
        </w:rPr>
        <w:t>may</w:t>
      </w:r>
      <w:r>
        <w:rPr>
          <w:spacing w:val="-1"/>
          <w:vertAlign w:val="baseline"/>
        </w:rPr>
        <w:t> </w:t>
      </w:r>
      <w:r>
        <w:rPr>
          <w:vertAlign w:val="baseline"/>
        </w:rPr>
        <w:t>experience difficulty</w:t>
      </w:r>
      <w:r>
        <w:rPr>
          <w:spacing w:val="-1"/>
          <w:vertAlign w:val="baseline"/>
        </w:rPr>
        <w:t> </w:t>
      </w:r>
      <w:r>
        <w:rPr>
          <w:vertAlign w:val="baseline"/>
        </w:rPr>
        <w:t>in</w:t>
      </w:r>
      <w:r>
        <w:rPr>
          <w:spacing w:val="-1"/>
          <w:vertAlign w:val="baseline"/>
        </w:rPr>
        <w:t> </w:t>
      </w:r>
      <w:r>
        <w:rPr>
          <w:vertAlign w:val="baseline"/>
        </w:rPr>
        <w:t>communicating</w:t>
      </w:r>
      <w:r>
        <w:rPr>
          <w:spacing w:val="-2"/>
          <w:vertAlign w:val="baseline"/>
        </w:rPr>
        <w:t> </w:t>
      </w:r>
      <w:r>
        <w:rPr>
          <w:vertAlign w:val="baseline"/>
        </w:rPr>
        <w:t>with</w:t>
      </w:r>
      <w:r>
        <w:rPr>
          <w:spacing w:val="-2"/>
          <w:vertAlign w:val="baseline"/>
        </w:rPr>
        <w:t> </w:t>
      </w:r>
      <w:r>
        <w:rPr>
          <w:vertAlign w:val="baseline"/>
        </w:rPr>
        <w:t>others, including their healthcare providers, about their gender identity.</w:t>
      </w:r>
      <w:r>
        <w:rPr>
          <w:vertAlign w:val="superscript"/>
        </w:rPr>
        <w:t>11</w:t>
      </w:r>
      <w:r>
        <w:rPr>
          <w:vertAlign w:val="baseline"/>
        </w:rPr>
        <w:t> Many youth who are able to communicate about their gender identity report not being believed due to their autism.</w:t>
      </w:r>
      <w:r>
        <w:rPr>
          <w:vertAlign w:val="superscript"/>
        </w:rPr>
        <w:t>12</w:t>
      </w:r>
    </w:p>
    <w:p>
      <w:pPr>
        <w:pStyle w:val="BodyText"/>
        <w:spacing w:line="276" w:lineRule="auto" w:before="241"/>
        <w:ind w:left="464" w:right="240" w:firstLine="8"/>
        <w:jc w:val="both"/>
      </w:pPr>
      <w:r>
        <w:rPr/>
        <w:t>Immigration</w:t>
      </w:r>
      <w:r>
        <w:rPr>
          <w:spacing w:val="-1"/>
        </w:rPr>
        <w:t> </w:t>
      </w:r>
      <w:r>
        <w:rPr/>
        <w:t>status</w:t>
      </w:r>
      <w:r>
        <w:rPr>
          <w:spacing w:val="-1"/>
        </w:rPr>
        <w:t> </w:t>
      </w:r>
      <w:r>
        <w:rPr/>
        <w:t>can</w:t>
      </w:r>
      <w:r>
        <w:rPr>
          <w:spacing w:val="-2"/>
        </w:rPr>
        <w:t> </w:t>
      </w:r>
      <w:r>
        <w:rPr/>
        <w:t>also</w:t>
      </w:r>
      <w:r>
        <w:rPr>
          <w:spacing w:val="-1"/>
        </w:rPr>
        <w:t> </w:t>
      </w:r>
      <w:r>
        <w:rPr/>
        <w:t>be</w:t>
      </w:r>
      <w:r>
        <w:rPr>
          <w:spacing w:val="-2"/>
        </w:rPr>
        <w:t> </w:t>
      </w:r>
      <w:r>
        <w:rPr/>
        <w:t>an</w:t>
      </w:r>
      <w:r>
        <w:rPr>
          <w:spacing w:val="-2"/>
        </w:rPr>
        <w:t> </w:t>
      </w:r>
      <w:r>
        <w:rPr/>
        <w:t>important</w:t>
      </w:r>
      <w:r>
        <w:rPr>
          <w:spacing w:val="-2"/>
        </w:rPr>
        <w:t> </w:t>
      </w:r>
      <w:r>
        <w:rPr/>
        <w:t>aspect</w:t>
      </w:r>
      <w:r>
        <w:rPr>
          <w:spacing w:val="-1"/>
        </w:rPr>
        <w:t> </w:t>
      </w:r>
      <w:r>
        <w:rPr/>
        <w:t>of</w:t>
      </w:r>
      <w:r>
        <w:rPr>
          <w:spacing w:val="-1"/>
        </w:rPr>
        <w:t> </w:t>
      </w:r>
      <w:r>
        <w:rPr/>
        <w:t>intersectionality</w:t>
      </w:r>
      <w:r>
        <w:rPr>
          <w:spacing w:val="-1"/>
        </w:rPr>
        <w:t> </w:t>
      </w:r>
      <w:r>
        <w:rPr/>
        <w:t>for</w:t>
      </w:r>
      <w:r>
        <w:rPr>
          <w:spacing w:val="-1"/>
        </w:rPr>
        <w:t> </w:t>
      </w:r>
      <w:r>
        <w:rPr/>
        <w:t>LGBTQ</w:t>
      </w:r>
      <w:r>
        <w:rPr>
          <w:spacing w:val="-2"/>
        </w:rPr>
        <w:t> </w:t>
      </w:r>
      <w:r>
        <w:rPr/>
        <w:t>youth,</w:t>
      </w:r>
      <w:r>
        <w:rPr>
          <w:spacing w:val="-1"/>
        </w:rPr>
        <w:t> </w:t>
      </w:r>
      <w:r>
        <w:rPr/>
        <w:t>as they</w:t>
      </w:r>
      <w:r>
        <w:rPr>
          <w:spacing w:val="-1"/>
        </w:rPr>
        <w:t> </w:t>
      </w:r>
      <w:r>
        <w:rPr/>
        <w:t>may face additional barriers and discrimination due to their status as immigrants or the children of immigrants. As highlighted in a subsequent section, undocumented youth lack appropriate access to</w:t>
      </w:r>
    </w:p>
    <w:p>
      <w:pPr>
        <w:spacing w:after="0" w:line="276" w:lineRule="auto"/>
        <w:jc w:val="both"/>
        <w:sectPr>
          <w:pgSz w:w="12240" w:h="15840"/>
          <w:pgMar w:header="721" w:footer="1061" w:top="1360" w:bottom="1260" w:left="1120" w:right="1340"/>
        </w:sectPr>
      </w:pPr>
    </w:p>
    <w:p>
      <w:pPr>
        <w:pStyle w:val="BodyText"/>
        <w:spacing w:line="276" w:lineRule="auto" w:before="67"/>
        <w:ind w:left="463" w:right="243"/>
        <w:jc w:val="both"/>
      </w:pPr>
      <w:r>
        <w:rPr/>
        <w:t>health</w:t>
      </w:r>
      <w:r>
        <w:rPr>
          <w:spacing w:val="-9"/>
        </w:rPr>
        <w:t> </w:t>
      </w:r>
      <w:r>
        <w:rPr/>
        <w:t>insurance</w:t>
      </w:r>
      <w:r>
        <w:rPr>
          <w:spacing w:val="-9"/>
        </w:rPr>
        <w:t> </w:t>
      </w:r>
      <w:r>
        <w:rPr/>
        <w:t>coverage</w:t>
      </w:r>
      <w:r>
        <w:rPr>
          <w:spacing w:val="-8"/>
        </w:rPr>
        <w:t> </w:t>
      </w:r>
      <w:r>
        <w:rPr/>
        <w:t>and</w:t>
      </w:r>
      <w:r>
        <w:rPr>
          <w:spacing w:val="-9"/>
        </w:rPr>
        <w:t> </w:t>
      </w:r>
      <w:r>
        <w:rPr/>
        <w:t>may</w:t>
      </w:r>
      <w:r>
        <w:rPr>
          <w:spacing w:val="-10"/>
        </w:rPr>
        <w:t> </w:t>
      </w:r>
      <w:r>
        <w:rPr/>
        <w:t>avoid</w:t>
      </w:r>
      <w:r>
        <w:rPr>
          <w:spacing w:val="-9"/>
        </w:rPr>
        <w:t> </w:t>
      </w:r>
      <w:r>
        <w:rPr/>
        <w:t>health</w:t>
      </w:r>
      <w:r>
        <w:rPr>
          <w:spacing w:val="-8"/>
        </w:rPr>
        <w:t> </w:t>
      </w:r>
      <w:r>
        <w:rPr/>
        <w:t>care</w:t>
      </w:r>
      <w:r>
        <w:rPr>
          <w:spacing w:val="-8"/>
        </w:rPr>
        <w:t> </w:t>
      </w:r>
      <w:r>
        <w:rPr/>
        <w:t>facilities</w:t>
      </w:r>
      <w:r>
        <w:rPr>
          <w:spacing w:val="-8"/>
        </w:rPr>
        <w:t> </w:t>
      </w:r>
      <w:r>
        <w:rPr/>
        <w:t>even</w:t>
      </w:r>
      <w:r>
        <w:rPr>
          <w:spacing w:val="-9"/>
        </w:rPr>
        <w:t> </w:t>
      </w:r>
      <w:r>
        <w:rPr/>
        <w:t>when</w:t>
      </w:r>
      <w:r>
        <w:rPr>
          <w:spacing w:val="-9"/>
        </w:rPr>
        <w:t> </w:t>
      </w:r>
      <w:r>
        <w:rPr/>
        <w:t>needed.</w:t>
      </w:r>
      <w:r>
        <w:rPr>
          <w:spacing w:val="-9"/>
        </w:rPr>
        <w:t> </w:t>
      </w:r>
      <w:r>
        <w:rPr/>
        <w:t>Additionally,</w:t>
      </w:r>
      <w:r>
        <w:rPr>
          <w:spacing w:val="-10"/>
        </w:rPr>
        <w:t> </w:t>
      </w:r>
      <w:r>
        <w:rPr/>
        <w:t>sexual minority immigrants are more likely than their heterosexual counterparts to report financial-related barriers to care and unmet mental health needs.</w:t>
      </w:r>
      <w:r>
        <w:rPr>
          <w:vertAlign w:val="superscript"/>
        </w:rPr>
        <w:t>13</w:t>
      </w:r>
    </w:p>
    <w:p>
      <w:pPr>
        <w:pStyle w:val="BodyText"/>
        <w:spacing w:line="276" w:lineRule="auto" w:before="240"/>
        <w:ind w:left="463" w:right="240" w:firstLine="8"/>
        <w:jc w:val="both"/>
      </w:pPr>
      <w:r>
        <w:rPr/>
        <w:t>Furthermore,</w:t>
      </w:r>
      <w:r>
        <w:rPr>
          <w:spacing w:val="-1"/>
        </w:rPr>
        <w:t> </w:t>
      </w:r>
      <w:r>
        <w:rPr/>
        <w:t>LGBTQ</w:t>
      </w:r>
      <w:r>
        <w:rPr>
          <w:spacing w:val="-2"/>
        </w:rPr>
        <w:t> </w:t>
      </w:r>
      <w:r>
        <w:rPr/>
        <w:t>youth</w:t>
      </w:r>
      <w:r>
        <w:rPr>
          <w:spacing w:val="-2"/>
        </w:rPr>
        <w:t> </w:t>
      </w:r>
      <w:r>
        <w:rPr/>
        <w:t>experience unique</w:t>
      </w:r>
      <w:r>
        <w:rPr>
          <w:spacing w:val="-2"/>
        </w:rPr>
        <w:t> </w:t>
      </w:r>
      <w:r>
        <w:rPr/>
        <w:t>challenges</w:t>
      </w:r>
      <w:r>
        <w:rPr>
          <w:spacing w:val="-1"/>
        </w:rPr>
        <w:t> </w:t>
      </w:r>
      <w:r>
        <w:rPr/>
        <w:t>within</w:t>
      </w:r>
      <w:r>
        <w:rPr>
          <w:spacing w:val="-1"/>
        </w:rPr>
        <w:t> </w:t>
      </w:r>
      <w:r>
        <w:rPr/>
        <w:t>the</w:t>
      </w:r>
      <w:r>
        <w:rPr>
          <w:spacing w:val="-2"/>
        </w:rPr>
        <w:t> </w:t>
      </w:r>
      <w:r>
        <w:rPr/>
        <w:t>child</w:t>
      </w:r>
      <w:r>
        <w:rPr>
          <w:spacing w:val="-1"/>
        </w:rPr>
        <w:t> </w:t>
      </w:r>
      <w:r>
        <w:rPr/>
        <w:t>welfare</w:t>
      </w:r>
      <w:r>
        <w:rPr>
          <w:spacing w:val="-2"/>
        </w:rPr>
        <w:t> </w:t>
      </w:r>
      <w:r>
        <w:rPr/>
        <w:t>system,</w:t>
      </w:r>
      <w:r>
        <w:rPr>
          <w:spacing w:val="-1"/>
        </w:rPr>
        <w:t> </w:t>
      </w:r>
      <w:r>
        <w:rPr/>
        <w:t>including a lack</w:t>
      </w:r>
      <w:r>
        <w:rPr>
          <w:spacing w:val="-13"/>
        </w:rPr>
        <w:t> </w:t>
      </w:r>
      <w:r>
        <w:rPr/>
        <w:t>of</w:t>
      </w:r>
      <w:r>
        <w:rPr>
          <w:spacing w:val="-12"/>
        </w:rPr>
        <w:t> </w:t>
      </w:r>
      <w:r>
        <w:rPr/>
        <w:t>placement</w:t>
      </w:r>
      <w:r>
        <w:rPr>
          <w:spacing w:val="-13"/>
        </w:rPr>
        <w:t> </w:t>
      </w:r>
      <w:r>
        <w:rPr/>
        <w:t>options.</w:t>
      </w:r>
      <w:r>
        <w:rPr>
          <w:vertAlign w:val="superscript"/>
        </w:rPr>
        <w:t>14</w:t>
      </w:r>
      <w:r>
        <w:rPr>
          <w:spacing w:val="-12"/>
          <w:vertAlign w:val="baseline"/>
        </w:rPr>
        <w:t> </w:t>
      </w:r>
      <w:r>
        <w:rPr>
          <w:vertAlign w:val="baseline"/>
        </w:rPr>
        <w:t>Until</w:t>
      </w:r>
      <w:r>
        <w:rPr>
          <w:spacing w:val="-13"/>
          <w:vertAlign w:val="baseline"/>
        </w:rPr>
        <w:t> </w:t>
      </w:r>
      <w:r>
        <w:rPr>
          <w:vertAlign w:val="baseline"/>
        </w:rPr>
        <w:t>2021,</w:t>
      </w:r>
      <w:r>
        <w:rPr>
          <w:spacing w:val="-12"/>
          <w:vertAlign w:val="baseline"/>
        </w:rPr>
        <w:t> </w:t>
      </w:r>
      <w:r>
        <w:rPr>
          <w:vertAlign w:val="baseline"/>
        </w:rPr>
        <w:t>the</w:t>
      </w:r>
      <w:r>
        <w:rPr>
          <w:spacing w:val="-13"/>
          <w:vertAlign w:val="baseline"/>
        </w:rPr>
        <w:t> </w:t>
      </w:r>
      <w:r>
        <w:rPr>
          <w:vertAlign w:val="baseline"/>
        </w:rPr>
        <w:t>Massachusetts</w:t>
      </w:r>
      <w:r>
        <w:rPr>
          <w:spacing w:val="-12"/>
          <w:vertAlign w:val="baseline"/>
        </w:rPr>
        <w:t> </w:t>
      </w:r>
      <w:r>
        <w:rPr>
          <w:vertAlign w:val="baseline"/>
        </w:rPr>
        <w:t>Department</w:t>
      </w:r>
      <w:r>
        <w:rPr>
          <w:spacing w:val="-12"/>
          <w:vertAlign w:val="baseline"/>
        </w:rPr>
        <w:t> </w:t>
      </w:r>
      <w:r>
        <w:rPr>
          <w:vertAlign w:val="baseline"/>
        </w:rPr>
        <w:t>of</w:t>
      </w:r>
      <w:r>
        <w:rPr>
          <w:spacing w:val="-13"/>
          <w:vertAlign w:val="baseline"/>
        </w:rPr>
        <w:t> </w:t>
      </w:r>
      <w:r>
        <w:rPr>
          <w:vertAlign w:val="baseline"/>
        </w:rPr>
        <w:t>Children</w:t>
      </w:r>
      <w:r>
        <w:rPr>
          <w:spacing w:val="-12"/>
          <w:vertAlign w:val="baseline"/>
        </w:rPr>
        <w:t> </w:t>
      </w:r>
      <w:r>
        <w:rPr>
          <w:vertAlign w:val="baseline"/>
        </w:rPr>
        <w:t>and</w:t>
      </w:r>
      <w:r>
        <w:rPr>
          <w:spacing w:val="-13"/>
          <w:vertAlign w:val="baseline"/>
        </w:rPr>
        <w:t> </w:t>
      </w:r>
      <w:r>
        <w:rPr>
          <w:vertAlign w:val="baseline"/>
        </w:rPr>
        <w:t>Families</w:t>
      </w:r>
      <w:r>
        <w:rPr>
          <w:spacing w:val="-12"/>
          <w:vertAlign w:val="baseline"/>
        </w:rPr>
        <w:t> </w:t>
      </w:r>
      <w:r>
        <w:rPr>
          <w:vertAlign w:val="baseline"/>
        </w:rPr>
        <w:t>lacked a clear policy on gender-affirming care. Prior to this policy, many transgender youth in DCF’s care reported being denied access to providers to diagnose gender dysphoria, and experiencing delays in accessing gender-affirming care.</w:t>
      </w:r>
      <w:r>
        <w:rPr>
          <w:vertAlign w:val="superscript"/>
        </w:rPr>
        <w:t>15</w:t>
      </w:r>
      <w:r>
        <w:rPr>
          <w:spacing w:val="-12"/>
          <w:vertAlign w:val="baseline"/>
        </w:rPr>
        <w:t> </w:t>
      </w:r>
      <w:r>
        <w:rPr>
          <w:vertAlign w:val="baseline"/>
        </w:rPr>
        <w:t>It remains to be seen if these updated policies have succeeded in decreasing barriers to care in this vulnerable population, but, as discussed in the agency recommendations below, the Commission continues to work with DCF and youth in the child welfare system to better understand areas of improvement and success.</w:t>
      </w:r>
    </w:p>
    <w:p>
      <w:pPr>
        <w:pStyle w:val="BodyText"/>
        <w:spacing w:line="276" w:lineRule="auto" w:before="240"/>
        <w:ind w:left="463" w:right="239"/>
        <w:jc w:val="both"/>
      </w:pPr>
      <w:r>
        <w:rPr/>
        <w:t>As</w:t>
      </w:r>
      <w:r>
        <w:rPr>
          <w:spacing w:val="-1"/>
        </w:rPr>
        <w:t> </w:t>
      </w:r>
      <w:r>
        <w:rPr/>
        <w:t>discussed</w:t>
      </w:r>
      <w:r>
        <w:rPr>
          <w:spacing w:val="-1"/>
        </w:rPr>
        <w:t> </w:t>
      </w:r>
      <w:r>
        <w:rPr/>
        <w:t>throughout</w:t>
      </w:r>
      <w:r>
        <w:rPr>
          <w:spacing w:val="-2"/>
        </w:rPr>
        <w:t> </w:t>
      </w:r>
      <w:r>
        <w:rPr/>
        <w:t>this</w:t>
      </w:r>
      <w:r>
        <w:rPr>
          <w:spacing w:val="-1"/>
        </w:rPr>
        <w:t> </w:t>
      </w:r>
      <w:r>
        <w:rPr/>
        <w:t>annual</w:t>
      </w:r>
      <w:r>
        <w:rPr>
          <w:spacing w:val="-2"/>
        </w:rPr>
        <w:t> </w:t>
      </w:r>
      <w:r>
        <w:rPr/>
        <w:t>report,</w:t>
      </w:r>
      <w:r>
        <w:rPr>
          <w:spacing w:val="-2"/>
        </w:rPr>
        <w:t> </w:t>
      </w:r>
      <w:r>
        <w:rPr/>
        <w:t>once</w:t>
      </w:r>
      <w:r>
        <w:rPr>
          <w:spacing w:val="-2"/>
        </w:rPr>
        <w:t> </w:t>
      </w:r>
      <w:r>
        <w:rPr/>
        <w:t>in the</w:t>
      </w:r>
      <w:r>
        <w:rPr>
          <w:spacing w:val="-1"/>
        </w:rPr>
        <w:t> </w:t>
      </w:r>
      <w:r>
        <w:rPr/>
        <w:t>child</w:t>
      </w:r>
      <w:r>
        <w:rPr>
          <w:spacing w:val="-1"/>
        </w:rPr>
        <w:t> </w:t>
      </w:r>
      <w:r>
        <w:rPr/>
        <w:t>welfare</w:t>
      </w:r>
      <w:r>
        <w:rPr>
          <w:spacing w:val="-2"/>
        </w:rPr>
        <w:t> </w:t>
      </w:r>
      <w:r>
        <w:rPr/>
        <w:t>system,</w:t>
      </w:r>
      <w:r>
        <w:rPr>
          <w:spacing w:val="-2"/>
        </w:rPr>
        <w:t> </w:t>
      </w:r>
      <w:r>
        <w:rPr/>
        <w:t>youth</w:t>
      </w:r>
      <w:r>
        <w:rPr>
          <w:spacing w:val="-2"/>
        </w:rPr>
        <w:t> </w:t>
      </w:r>
      <w:r>
        <w:rPr/>
        <w:t>face</w:t>
      </w:r>
      <w:r>
        <w:rPr>
          <w:spacing w:val="-2"/>
        </w:rPr>
        <w:t> </w:t>
      </w:r>
      <w:r>
        <w:rPr/>
        <w:t>an</w:t>
      </w:r>
      <w:r>
        <w:rPr>
          <w:spacing w:val="-2"/>
        </w:rPr>
        <w:t> </w:t>
      </w:r>
      <w:r>
        <w:rPr/>
        <w:t>increased risk</w:t>
      </w:r>
      <w:r>
        <w:rPr>
          <w:spacing w:val="-13"/>
        </w:rPr>
        <w:t> </w:t>
      </w:r>
      <w:r>
        <w:rPr/>
        <w:t>of</w:t>
      </w:r>
      <w:r>
        <w:rPr>
          <w:spacing w:val="-5"/>
        </w:rPr>
        <w:t> </w:t>
      </w:r>
      <w:r>
        <w:rPr/>
        <w:t>entering</w:t>
      </w:r>
      <w:r>
        <w:rPr>
          <w:spacing w:val="-5"/>
        </w:rPr>
        <w:t> </w:t>
      </w:r>
      <w:r>
        <w:rPr/>
        <w:t>the</w:t>
      </w:r>
      <w:r>
        <w:rPr>
          <w:spacing w:val="-5"/>
        </w:rPr>
        <w:t> </w:t>
      </w:r>
      <w:r>
        <w:rPr/>
        <w:t>juvenile</w:t>
      </w:r>
      <w:r>
        <w:rPr>
          <w:spacing w:val="-5"/>
        </w:rPr>
        <w:t> </w:t>
      </w:r>
      <w:r>
        <w:rPr/>
        <w:t>justice</w:t>
      </w:r>
      <w:r>
        <w:rPr>
          <w:spacing w:val="-4"/>
        </w:rPr>
        <w:t> </w:t>
      </w:r>
      <w:r>
        <w:rPr/>
        <w:t>system,</w:t>
      </w:r>
      <w:r>
        <w:rPr>
          <w:spacing w:val="-5"/>
        </w:rPr>
        <w:t> </w:t>
      </w:r>
      <w:r>
        <w:rPr/>
        <w:t>known</w:t>
      </w:r>
      <w:r>
        <w:rPr>
          <w:spacing w:val="-5"/>
        </w:rPr>
        <w:t> </w:t>
      </w:r>
      <w:r>
        <w:rPr/>
        <w:t>as</w:t>
      </w:r>
      <w:r>
        <w:rPr>
          <w:spacing w:val="-5"/>
        </w:rPr>
        <w:t> </w:t>
      </w:r>
      <w:r>
        <w:rPr/>
        <w:t>the</w:t>
      </w:r>
      <w:r>
        <w:rPr>
          <w:spacing w:val="-5"/>
        </w:rPr>
        <w:t> </w:t>
      </w:r>
      <w:r>
        <w:rPr/>
        <w:t>foster-care-to-prison</w:t>
      </w:r>
      <w:r>
        <w:rPr>
          <w:spacing w:val="-5"/>
        </w:rPr>
        <w:t> </w:t>
      </w:r>
      <w:r>
        <w:rPr/>
        <w:t>pipeline.</w:t>
      </w:r>
      <w:r>
        <w:rPr>
          <w:vertAlign w:val="superscript"/>
        </w:rPr>
        <w:t>16</w:t>
      </w:r>
      <w:r>
        <w:rPr>
          <w:spacing w:val="-13"/>
          <w:vertAlign w:val="baseline"/>
        </w:rPr>
        <w:t> </w:t>
      </w:r>
      <w:r>
        <w:rPr>
          <w:vertAlign w:val="baseline"/>
        </w:rPr>
        <w:t>Nationally,</w:t>
      </w:r>
      <w:r>
        <w:rPr>
          <w:spacing w:val="-3"/>
          <w:vertAlign w:val="baseline"/>
        </w:rPr>
        <w:t> </w:t>
      </w:r>
      <w:r>
        <w:rPr>
          <w:vertAlign w:val="baseline"/>
        </w:rPr>
        <w:t>a brief from the Center for American Progress found that gay and transgender youth are disproportionately</w:t>
      </w:r>
      <w:r>
        <w:rPr>
          <w:spacing w:val="-13"/>
          <w:vertAlign w:val="baseline"/>
        </w:rPr>
        <w:t> </w:t>
      </w:r>
      <w:r>
        <w:rPr>
          <w:vertAlign w:val="baseline"/>
        </w:rPr>
        <w:t>represented</w:t>
      </w:r>
      <w:r>
        <w:rPr>
          <w:spacing w:val="-12"/>
          <w:vertAlign w:val="baseline"/>
        </w:rPr>
        <w:t> </w:t>
      </w:r>
      <w:r>
        <w:rPr>
          <w:vertAlign w:val="baseline"/>
        </w:rPr>
        <w:t>in</w:t>
      </w:r>
      <w:r>
        <w:rPr>
          <w:spacing w:val="-13"/>
          <w:vertAlign w:val="baseline"/>
        </w:rPr>
        <w:t> </w:t>
      </w:r>
      <w:r>
        <w:rPr>
          <w:vertAlign w:val="baseline"/>
        </w:rPr>
        <w:t>the</w:t>
      </w:r>
      <w:r>
        <w:rPr>
          <w:spacing w:val="-12"/>
          <w:vertAlign w:val="baseline"/>
        </w:rPr>
        <w:t> </w:t>
      </w:r>
      <w:r>
        <w:rPr>
          <w:vertAlign w:val="baseline"/>
        </w:rPr>
        <w:t>juvenile</w:t>
      </w:r>
      <w:r>
        <w:rPr>
          <w:spacing w:val="-13"/>
          <w:vertAlign w:val="baseline"/>
        </w:rPr>
        <w:t> </w:t>
      </w:r>
      <w:r>
        <w:rPr>
          <w:vertAlign w:val="baseline"/>
        </w:rPr>
        <w:t>justice</w:t>
      </w:r>
      <w:r>
        <w:rPr>
          <w:spacing w:val="-12"/>
          <w:vertAlign w:val="baseline"/>
        </w:rPr>
        <w:t> </w:t>
      </w:r>
      <w:r>
        <w:rPr>
          <w:vertAlign w:val="baseline"/>
        </w:rPr>
        <w:t>system,</w:t>
      </w:r>
      <w:r>
        <w:rPr>
          <w:spacing w:val="-13"/>
          <w:vertAlign w:val="baseline"/>
        </w:rPr>
        <w:t> </w:t>
      </w:r>
      <w:r>
        <w:rPr>
          <w:vertAlign w:val="baseline"/>
        </w:rPr>
        <w:t>and</w:t>
      </w:r>
      <w:r>
        <w:rPr>
          <w:spacing w:val="-12"/>
          <w:vertAlign w:val="baseline"/>
        </w:rPr>
        <w:t> </w:t>
      </w:r>
      <w:r>
        <w:rPr>
          <w:vertAlign w:val="baseline"/>
        </w:rPr>
        <w:t>the</w:t>
      </w:r>
      <w:r>
        <w:rPr>
          <w:spacing w:val="-12"/>
          <w:vertAlign w:val="baseline"/>
        </w:rPr>
        <w:t> </w:t>
      </w:r>
      <w:r>
        <w:rPr>
          <w:vertAlign w:val="baseline"/>
        </w:rPr>
        <w:t>majority</w:t>
      </w:r>
      <w:r>
        <w:rPr>
          <w:spacing w:val="-13"/>
          <w:vertAlign w:val="baseline"/>
        </w:rPr>
        <w:t> </w:t>
      </w:r>
      <w:r>
        <w:rPr>
          <w:vertAlign w:val="baseline"/>
        </w:rPr>
        <w:t>of</w:t>
      </w:r>
      <w:r>
        <w:rPr>
          <w:spacing w:val="-12"/>
          <w:vertAlign w:val="baseline"/>
        </w:rPr>
        <w:t> </w:t>
      </w:r>
      <w:r>
        <w:rPr>
          <w:vertAlign w:val="baseline"/>
        </w:rPr>
        <w:t>these</w:t>
      </w:r>
      <w:r>
        <w:rPr>
          <w:spacing w:val="-13"/>
          <w:vertAlign w:val="baseline"/>
        </w:rPr>
        <w:t> </w:t>
      </w:r>
      <w:r>
        <w:rPr>
          <w:vertAlign w:val="baseline"/>
        </w:rPr>
        <w:t>youth</w:t>
      </w:r>
      <w:r>
        <w:rPr>
          <w:spacing w:val="-12"/>
          <w:vertAlign w:val="baseline"/>
        </w:rPr>
        <w:t> </w:t>
      </w:r>
      <w:r>
        <w:rPr>
          <w:vertAlign w:val="baseline"/>
        </w:rPr>
        <w:t>are</w:t>
      </w:r>
      <w:r>
        <w:rPr>
          <w:spacing w:val="-13"/>
          <w:vertAlign w:val="baseline"/>
        </w:rPr>
        <w:t> </w:t>
      </w:r>
      <w:r>
        <w:rPr>
          <w:vertAlign w:val="baseline"/>
        </w:rPr>
        <w:t>Black or</w:t>
      </w:r>
      <w:r>
        <w:rPr>
          <w:spacing w:val="-5"/>
          <w:vertAlign w:val="baseline"/>
        </w:rPr>
        <w:t> </w:t>
      </w:r>
      <w:r>
        <w:rPr>
          <w:vertAlign w:val="baseline"/>
        </w:rPr>
        <w:t>Latino.</w:t>
      </w:r>
      <w:r>
        <w:rPr>
          <w:vertAlign w:val="superscript"/>
        </w:rPr>
        <w:t>17</w:t>
      </w:r>
      <w:r>
        <w:rPr>
          <w:spacing w:val="-13"/>
          <w:vertAlign w:val="baseline"/>
        </w:rPr>
        <w:t> </w:t>
      </w:r>
      <w:r>
        <w:rPr>
          <w:vertAlign w:val="baseline"/>
        </w:rPr>
        <w:t>This research showed that LGBTQ youth were more likely to experience factors that place youth at risk of entering the juvenile justice system, including family conflict, child abuse, and homelessness.</w:t>
      </w:r>
      <w:r>
        <w:rPr>
          <w:spacing w:val="-1"/>
          <w:vertAlign w:val="baseline"/>
        </w:rPr>
        <w:t> </w:t>
      </w:r>
      <w:r>
        <w:rPr>
          <w:vertAlign w:val="baseline"/>
        </w:rPr>
        <w:t>Additionally, LGBTQ youth</w:t>
      </w:r>
      <w:r>
        <w:rPr>
          <w:spacing w:val="-1"/>
          <w:vertAlign w:val="baseline"/>
        </w:rPr>
        <w:t> </w:t>
      </w:r>
      <w:r>
        <w:rPr>
          <w:vertAlign w:val="baseline"/>
        </w:rPr>
        <w:t>face</w:t>
      </w:r>
      <w:r>
        <w:rPr>
          <w:spacing w:val="-1"/>
          <w:vertAlign w:val="baseline"/>
        </w:rPr>
        <w:t> </w:t>
      </w:r>
      <w:r>
        <w:rPr>
          <w:vertAlign w:val="baseline"/>
        </w:rPr>
        <w:t>the threat</w:t>
      </w:r>
      <w:r>
        <w:rPr>
          <w:spacing w:val="-1"/>
          <w:vertAlign w:val="baseline"/>
        </w:rPr>
        <w:t> </w:t>
      </w:r>
      <w:r>
        <w:rPr>
          <w:vertAlign w:val="baseline"/>
        </w:rPr>
        <w:t>of being placed in</w:t>
      </w:r>
      <w:r>
        <w:rPr>
          <w:spacing w:val="-1"/>
          <w:vertAlign w:val="baseline"/>
        </w:rPr>
        <w:t> </w:t>
      </w:r>
      <w:r>
        <w:rPr>
          <w:vertAlign w:val="baseline"/>
        </w:rPr>
        <w:t>restrictive</w:t>
      </w:r>
      <w:r>
        <w:rPr>
          <w:spacing w:val="-1"/>
          <w:vertAlign w:val="baseline"/>
        </w:rPr>
        <w:t> </w:t>
      </w:r>
      <w:r>
        <w:rPr>
          <w:vertAlign w:val="baseline"/>
        </w:rPr>
        <w:t>settings due to their sexual orientation and gender identity. A 2009 study found that LGBTQ youth in the juvenile system experience difficulties accessing culturally competent mental healthcare,</w:t>
      </w:r>
      <w:r>
        <w:rPr>
          <w:vertAlign w:val="superscript"/>
        </w:rPr>
        <w:t>18</w:t>
      </w:r>
      <w:r>
        <w:rPr>
          <w:spacing w:val="-13"/>
          <w:vertAlign w:val="baseline"/>
        </w:rPr>
        <w:t> </w:t>
      </w:r>
      <w:r>
        <w:rPr>
          <w:vertAlign w:val="baseline"/>
        </w:rPr>
        <w:t>but little research has been done on the topic since. In Massachusetts, LGBTQ youth are reported to make up approximately</w:t>
      </w:r>
      <w:r>
        <w:rPr>
          <w:spacing w:val="-9"/>
          <w:vertAlign w:val="baseline"/>
        </w:rPr>
        <w:t> </w:t>
      </w:r>
      <w:r>
        <w:rPr>
          <w:vertAlign w:val="baseline"/>
        </w:rPr>
        <w:t>6%</w:t>
      </w:r>
      <w:r>
        <w:rPr>
          <w:spacing w:val="-8"/>
          <w:vertAlign w:val="baseline"/>
        </w:rPr>
        <w:t> </w:t>
      </w:r>
      <w:r>
        <w:rPr>
          <w:vertAlign w:val="baseline"/>
        </w:rPr>
        <w:t>of</w:t>
      </w:r>
      <w:r>
        <w:rPr>
          <w:spacing w:val="-9"/>
          <w:vertAlign w:val="baseline"/>
        </w:rPr>
        <w:t> </w:t>
      </w:r>
      <w:r>
        <w:rPr>
          <w:vertAlign w:val="baseline"/>
        </w:rPr>
        <w:t>youth</w:t>
      </w:r>
      <w:r>
        <w:rPr>
          <w:spacing w:val="-8"/>
          <w:vertAlign w:val="baseline"/>
        </w:rPr>
        <w:t> </w:t>
      </w:r>
      <w:r>
        <w:rPr>
          <w:vertAlign w:val="baseline"/>
        </w:rPr>
        <w:t>in</w:t>
      </w:r>
      <w:r>
        <w:rPr>
          <w:spacing w:val="-8"/>
          <w:vertAlign w:val="baseline"/>
        </w:rPr>
        <w:t> </w:t>
      </w:r>
      <w:r>
        <w:rPr>
          <w:vertAlign w:val="baseline"/>
        </w:rPr>
        <w:t>the</w:t>
      </w:r>
      <w:r>
        <w:rPr>
          <w:spacing w:val="-8"/>
          <w:vertAlign w:val="baseline"/>
        </w:rPr>
        <w:t> </w:t>
      </w:r>
      <w:r>
        <w:rPr>
          <w:vertAlign w:val="baseline"/>
        </w:rPr>
        <w:t>Department</w:t>
      </w:r>
      <w:r>
        <w:rPr>
          <w:spacing w:val="-8"/>
          <w:vertAlign w:val="baseline"/>
        </w:rPr>
        <w:t> </w:t>
      </w:r>
      <w:r>
        <w:rPr>
          <w:vertAlign w:val="baseline"/>
        </w:rPr>
        <w:t>of</w:t>
      </w:r>
      <w:r>
        <w:rPr>
          <w:spacing w:val="-8"/>
          <w:vertAlign w:val="baseline"/>
        </w:rPr>
        <w:t> </w:t>
      </w:r>
      <w:r>
        <w:rPr>
          <w:vertAlign w:val="baseline"/>
        </w:rPr>
        <w:t>Youth</w:t>
      </w:r>
      <w:r>
        <w:rPr>
          <w:spacing w:val="-9"/>
          <w:vertAlign w:val="baseline"/>
        </w:rPr>
        <w:t> </w:t>
      </w:r>
      <w:r>
        <w:rPr>
          <w:vertAlign w:val="baseline"/>
        </w:rPr>
        <w:t>Services’</w:t>
      </w:r>
      <w:r>
        <w:rPr>
          <w:spacing w:val="-7"/>
          <w:vertAlign w:val="baseline"/>
        </w:rPr>
        <w:t> </w:t>
      </w:r>
      <w:r>
        <w:rPr>
          <w:vertAlign w:val="baseline"/>
        </w:rPr>
        <w:t>custody,</w:t>
      </w:r>
      <w:r>
        <w:rPr>
          <w:spacing w:val="-9"/>
          <w:vertAlign w:val="baseline"/>
        </w:rPr>
        <w:t> </w:t>
      </w:r>
      <w:r>
        <w:rPr>
          <w:vertAlign w:val="baseline"/>
        </w:rPr>
        <w:t>and</w:t>
      </w:r>
      <w:r>
        <w:rPr>
          <w:spacing w:val="-8"/>
          <w:vertAlign w:val="baseline"/>
        </w:rPr>
        <w:t> </w:t>
      </w:r>
      <w:r>
        <w:rPr>
          <w:vertAlign w:val="baseline"/>
        </w:rPr>
        <w:t>DYS</w:t>
      </w:r>
      <w:r>
        <w:rPr>
          <w:spacing w:val="-9"/>
          <w:vertAlign w:val="baseline"/>
        </w:rPr>
        <w:t> </w:t>
      </w:r>
      <w:r>
        <w:rPr>
          <w:vertAlign w:val="baseline"/>
        </w:rPr>
        <w:t>has</w:t>
      </w:r>
      <w:r>
        <w:rPr>
          <w:spacing w:val="-7"/>
          <w:vertAlign w:val="baseline"/>
        </w:rPr>
        <w:t> </w:t>
      </w:r>
      <w:r>
        <w:rPr>
          <w:vertAlign w:val="baseline"/>
        </w:rPr>
        <w:t>enacted</w:t>
      </w:r>
      <w:r>
        <w:rPr>
          <w:spacing w:val="-8"/>
          <w:vertAlign w:val="baseline"/>
        </w:rPr>
        <w:t> </w:t>
      </w:r>
      <w:r>
        <w:rPr>
          <w:vertAlign w:val="baseline"/>
        </w:rPr>
        <w:t>several policies over the years to better address and improve access to essential health care for youth in the juvenile justice system.</w:t>
      </w:r>
    </w:p>
    <w:p>
      <w:pPr>
        <w:pStyle w:val="BodyText"/>
        <w:spacing w:line="276" w:lineRule="auto" w:before="241"/>
        <w:ind w:left="463" w:right="239"/>
        <w:jc w:val="both"/>
      </w:pPr>
      <w:r>
        <w:rPr/>
        <w:t>Many</w:t>
      </w:r>
      <w:r>
        <w:rPr>
          <w:spacing w:val="-12"/>
        </w:rPr>
        <w:t> </w:t>
      </w:r>
      <w:r>
        <w:rPr/>
        <w:t>intersex</w:t>
      </w:r>
      <w:r>
        <w:rPr>
          <w:spacing w:val="-13"/>
        </w:rPr>
        <w:t> </w:t>
      </w:r>
      <w:r>
        <w:rPr/>
        <w:t>youth</w:t>
      </w:r>
      <w:r>
        <w:rPr>
          <w:spacing w:val="-11"/>
        </w:rPr>
        <w:t> </w:t>
      </w:r>
      <w:r>
        <w:rPr/>
        <w:t>also</w:t>
      </w:r>
      <w:r>
        <w:rPr>
          <w:spacing w:val="-12"/>
        </w:rPr>
        <w:t> </w:t>
      </w:r>
      <w:r>
        <w:rPr/>
        <w:t>identify</w:t>
      </w:r>
      <w:r>
        <w:rPr>
          <w:spacing w:val="-11"/>
        </w:rPr>
        <w:t> </w:t>
      </w:r>
      <w:r>
        <w:rPr/>
        <w:t>as</w:t>
      </w:r>
      <w:r>
        <w:rPr>
          <w:spacing w:val="-12"/>
        </w:rPr>
        <w:t> </w:t>
      </w:r>
      <w:r>
        <w:rPr/>
        <w:t>LGBTQ,</w:t>
      </w:r>
      <w:r>
        <w:rPr>
          <w:spacing w:val="-12"/>
        </w:rPr>
        <w:t> </w:t>
      </w:r>
      <w:r>
        <w:rPr/>
        <w:t>though</w:t>
      </w:r>
      <w:r>
        <w:rPr>
          <w:spacing w:val="-12"/>
        </w:rPr>
        <w:t> </w:t>
      </w:r>
      <w:r>
        <w:rPr/>
        <w:t>research</w:t>
      </w:r>
      <w:r>
        <w:rPr>
          <w:spacing w:val="-13"/>
        </w:rPr>
        <w:t> </w:t>
      </w:r>
      <w:r>
        <w:rPr/>
        <w:t>on</w:t>
      </w:r>
      <w:r>
        <w:rPr>
          <w:spacing w:val="-12"/>
        </w:rPr>
        <w:t> </w:t>
      </w:r>
      <w:r>
        <w:rPr/>
        <w:t>intersex</w:t>
      </w:r>
      <w:r>
        <w:rPr>
          <w:spacing w:val="-12"/>
        </w:rPr>
        <w:t> </w:t>
      </w:r>
      <w:r>
        <w:rPr/>
        <w:t>individuals</w:t>
      </w:r>
      <w:r>
        <w:rPr>
          <w:spacing w:val="-12"/>
        </w:rPr>
        <w:t> </w:t>
      </w:r>
      <w:r>
        <w:rPr/>
        <w:t>is</w:t>
      </w:r>
      <w:r>
        <w:rPr>
          <w:spacing w:val="-12"/>
        </w:rPr>
        <w:t> </w:t>
      </w:r>
      <w:r>
        <w:rPr/>
        <w:t>severely</w:t>
      </w:r>
      <w:r>
        <w:rPr>
          <w:spacing w:val="-12"/>
        </w:rPr>
        <w:t> </w:t>
      </w:r>
      <w:r>
        <w:rPr/>
        <w:t>lacking, and research on intersex youth in pediatric spaces even more so. Existing research shows that many intersex youth face difficulty communicating with healthcare professionals about their specific needs,</w:t>
      </w:r>
      <w:r>
        <w:rPr>
          <w:vertAlign w:val="superscript"/>
        </w:rPr>
        <w:t>21</w:t>
      </w:r>
      <w:r>
        <w:rPr>
          <w:spacing w:val="-13"/>
          <w:vertAlign w:val="baseline"/>
        </w:rPr>
        <w:t> </w:t>
      </w:r>
      <w:r>
        <w:rPr>
          <w:vertAlign w:val="baseline"/>
        </w:rPr>
        <w:t>and</w:t>
      </w:r>
      <w:r>
        <w:rPr>
          <w:spacing w:val="-1"/>
          <w:vertAlign w:val="baseline"/>
        </w:rPr>
        <w:t> </w:t>
      </w:r>
      <w:r>
        <w:rPr>
          <w:vertAlign w:val="baseline"/>
        </w:rPr>
        <w:t>are often kept in the dark about their intersex status by providers and caregivers.</w:t>
      </w:r>
      <w:r>
        <w:rPr>
          <w:vertAlign w:val="superscript"/>
        </w:rPr>
        <w:t>22</w:t>
      </w:r>
      <w:r>
        <w:rPr>
          <w:spacing w:val="-13"/>
          <w:vertAlign w:val="baseline"/>
        </w:rPr>
        <w:t> </w:t>
      </w:r>
      <w:r>
        <w:rPr>
          <w:vertAlign w:val="baseline"/>
        </w:rPr>
        <w:t>As a result, many intersex individuals report high rates of healthcare avoidance and thus poorer physical </w:t>
      </w:r>
      <w:r>
        <w:rPr>
          <w:spacing w:val="-2"/>
          <w:vertAlign w:val="baseline"/>
        </w:rPr>
        <w:t>and</w:t>
      </w:r>
      <w:r>
        <w:rPr>
          <w:spacing w:val="-11"/>
          <w:vertAlign w:val="baseline"/>
        </w:rPr>
        <w:t> </w:t>
      </w:r>
      <w:r>
        <w:rPr>
          <w:spacing w:val="-2"/>
          <w:vertAlign w:val="baseline"/>
        </w:rPr>
        <w:t>mental health outcomes. </w:t>
      </w:r>
      <w:r>
        <w:rPr>
          <w:spacing w:val="-2"/>
          <w:vertAlign w:val="superscript"/>
        </w:rPr>
        <w:t>23</w:t>
      </w:r>
      <w:r>
        <w:rPr>
          <w:spacing w:val="-11"/>
          <w:vertAlign w:val="baseline"/>
        </w:rPr>
        <w:t> </w:t>
      </w:r>
      <w:r>
        <w:rPr>
          <w:spacing w:val="-2"/>
          <w:vertAlign w:val="baseline"/>
        </w:rPr>
        <w:t>As discussed above, intersex youth are often subject to non-consensual </w:t>
      </w:r>
      <w:r>
        <w:rPr>
          <w:vertAlign w:val="baseline"/>
        </w:rPr>
        <w:t>medical interventions to alter their genitalia as infants,</w:t>
      </w:r>
      <w:r>
        <w:rPr>
          <w:vertAlign w:val="superscript"/>
        </w:rPr>
        <w:t>24</w:t>
      </w:r>
      <w:r>
        <w:rPr>
          <w:spacing w:val="-13"/>
          <w:vertAlign w:val="baseline"/>
        </w:rPr>
        <w:t> </w:t>
      </w:r>
      <w:r>
        <w:rPr>
          <w:vertAlign w:val="baseline"/>
        </w:rPr>
        <w:t>a practice that is condemned by the United Nations,</w:t>
      </w:r>
      <w:r>
        <w:rPr>
          <w:vertAlign w:val="superscript"/>
        </w:rPr>
        <w:t>25</w:t>
      </w:r>
      <w:r>
        <w:rPr>
          <w:spacing w:val="-13"/>
          <w:vertAlign w:val="baseline"/>
        </w:rPr>
        <w:t> </w:t>
      </w:r>
      <w:r>
        <w:rPr>
          <w:vertAlign w:val="baseline"/>
        </w:rPr>
        <w:t>and</w:t>
      </w:r>
      <w:r>
        <w:rPr>
          <w:spacing w:val="-5"/>
          <w:vertAlign w:val="baseline"/>
        </w:rPr>
        <w:t> </w:t>
      </w:r>
      <w:r>
        <w:rPr>
          <w:vertAlign w:val="baseline"/>
        </w:rPr>
        <w:t>closer to home, by the Massachusetts Medical Society. </w:t>
      </w:r>
      <w:r>
        <w:rPr>
          <w:vertAlign w:val="superscript"/>
        </w:rPr>
        <w:t>26</w:t>
      </w:r>
      <w:r>
        <w:rPr>
          <w:spacing w:val="-13"/>
          <w:vertAlign w:val="baseline"/>
        </w:rPr>
        <w:t> </w:t>
      </w:r>
      <w:r>
        <w:rPr>
          <w:vertAlign w:val="baseline"/>
        </w:rPr>
        <w:t>Intersex youth are also more likely than non-intersex LGBTQ youth to report experiencing suicide ideation and are also more likely to have undergone conversion</w:t>
      </w:r>
      <w:r>
        <w:rPr>
          <w:spacing w:val="-1"/>
          <w:vertAlign w:val="baseline"/>
        </w:rPr>
        <w:t> </w:t>
      </w:r>
      <w:r>
        <w:rPr>
          <w:vertAlign w:val="baseline"/>
        </w:rPr>
        <w:t>therapy.</w:t>
      </w:r>
      <w:r>
        <w:rPr>
          <w:vertAlign w:val="superscript"/>
        </w:rPr>
        <w:t>27</w:t>
      </w:r>
      <w:r>
        <w:rPr>
          <w:spacing w:val="-1"/>
          <w:vertAlign w:val="baseline"/>
        </w:rPr>
        <w:t> </w:t>
      </w:r>
      <w:r>
        <w:rPr>
          <w:vertAlign w:val="baseline"/>
        </w:rPr>
        <w:t>Significantly more research needs to be done in this area to better understand the challenges experienced by this subgroup of youth.</w:t>
      </w:r>
    </w:p>
    <w:p>
      <w:pPr>
        <w:spacing w:after="0" w:line="276" w:lineRule="auto"/>
        <w:jc w:val="both"/>
        <w:sectPr>
          <w:pgSz w:w="12240" w:h="15840"/>
          <w:pgMar w:header="721" w:footer="1061" w:top="1360" w:bottom="1260" w:left="1120" w:right="1340"/>
        </w:sectPr>
      </w:pPr>
    </w:p>
    <w:p>
      <w:pPr>
        <w:spacing w:before="67"/>
        <w:ind w:left="464" w:right="0" w:firstLine="0"/>
        <w:jc w:val="both"/>
        <w:rPr>
          <w:sz w:val="28"/>
        </w:rPr>
      </w:pPr>
      <w:bookmarkStart w:name="Social Determinants of Health" w:id="355"/>
      <w:bookmarkEnd w:id="355"/>
      <w:r>
        <w:rPr/>
      </w:r>
      <w:r>
        <w:rPr>
          <w:color w:val="365F91"/>
          <w:sz w:val="28"/>
        </w:rPr>
        <w:t>Social</w:t>
      </w:r>
      <w:r>
        <w:rPr>
          <w:color w:val="365F91"/>
          <w:spacing w:val="-11"/>
          <w:sz w:val="28"/>
        </w:rPr>
        <w:t> </w:t>
      </w:r>
      <w:r>
        <w:rPr>
          <w:color w:val="365F91"/>
          <w:sz w:val="28"/>
        </w:rPr>
        <w:t>Determinants</w:t>
      </w:r>
      <w:r>
        <w:rPr>
          <w:color w:val="365F91"/>
          <w:spacing w:val="-11"/>
          <w:sz w:val="28"/>
        </w:rPr>
        <w:t> </w:t>
      </w:r>
      <w:r>
        <w:rPr>
          <w:color w:val="365F91"/>
          <w:sz w:val="28"/>
        </w:rPr>
        <w:t>of</w:t>
      </w:r>
      <w:r>
        <w:rPr>
          <w:color w:val="365F91"/>
          <w:spacing w:val="-10"/>
          <w:sz w:val="28"/>
        </w:rPr>
        <w:t> </w:t>
      </w:r>
      <w:r>
        <w:rPr>
          <w:color w:val="365F91"/>
          <w:spacing w:val="-2"/>
          <w:sz w:val="28"/>
        </w:rPr>
        <w:t>Health</w:t>
      </w:r>
    </w:p>
    <w:p>
      <w:pPr>
        <w:pStyle w:val="BodyText"/>
        <w:spacing w:line="276" w:lineRule="auto" w:before="292"/>
        <w:ind w:left="463" w:right="241" w:hanging="3"/>
        <w:jc w:val="both"/>
      </w:pPr>
      <w:r>
        <w:rPr/>
        <w:t>The World Health Organization defines social determinants of health as non-medical factors that influence health outcomes.</w:t>
      </w:r>
      <w:r>
        <w:rPr>
          <w:vertAlign w:val="superscript"/>
        </w:rPr>
        <w:t>28</w:t>
      </w:r>
      <w:r>
        <w:rPr>
          <w:spacing w:val="-2"/>
          <w:vertAlign w:val="baseline"/>
        </w:rPr>
        <w:t> </w:t>
      </w:r>
      <w:r>
        <w:rPr>
          <w:vertAlign w:val="baseline"/>
        </w:rPr>
        <w:t>These factors can include economic stability, education, geographical location,</w:t>
      </w:r>
      <w:r>
        <w:rPr>
          <w:spacing w:val="-3"/>
          <w:vertAlign w:val="baseline"/>
        </w:rPr>
        <w:t> </w:t>
      </w:r>
      <w:r>
        <w:rPr>
          <w:vertAlign w:val="baseline"/>
        </w:rPr>
        <w:t>and</w:t>
      </w:r>
      <w:r>
        <w:rPr>
          <w:spacing w:val="-1"/>
          <w:vertAlign w:val="baseline"/>
        </w:rPr>
        <w:t> </w:t>
      </w:r>
      <w:r>
        <w:rPr>
          <w:vertAlign w:val="baseline"/>
        </w:rPr>
        <w:t>discrimination</w:t>
      </w:r>
      <w:r>
        <w:rPr>
          <w:spacing w:val="-3"/>
          <w:vertAlign w:val="baseline"/>
        </w:rPr>
        <w:t> </w:t>
      </w:r>
      <w:r>
        <w:rPr>
          <w:vertAlign w:val="baseline"/>
        </w:rPr>
        <w:t>and</w:t>
      </w:r>
      <w:r>
        <w:rPr>
          <w:spacing w:val="-2"/>
          <w:vertAlign w:val="baseline"/>
        </w:rPr>
        <w:t> </w:t>
      </w:r>
      <w:r>
        <w:rPr>
          <w:vertAlign w:val="baseline"/>
        </w:rPr>
        <w:t>trauma.</w:t>
      </w:r>
      <w:r>
        <w:rPr>
          <w:spacing w:val="-3"/>
          <w:vertAlign w:val="baseline"/>
        </w:rPr>
        <w:t> </w:t>
      </w:r>
      <w:r>
        <w:rPr>
          <w:vertAlign w:val="baseline"/>
        </w:rPr>
        <w:t>As</w:t>
      </w:r>
      <w:r>
        <w:rPr>
          <w:spacing w:val="-1"/>
          <w:vertAlign w:val="baseline"/>
        </w:rPr>
        <w:t> </w:t>
      </w:r>
      <w:r>
        <w:rPr>
          <w:vertAlign w:val="baseline"/>
        </w:rPr>
        <w:t>members</w:t>
      </w:r>
      <w:r>
        <w:rPr>
          <w:spacing w:val="-1"/>
          <w:vertAlign w:val="baseline"/>
        </w:rPr>
        <w:t> </w:t>
      </w:r>
      <w:r>
        <w:rPr>
          <w:vertAlign w:val="baseline"/>
        </w:rPr>
        <w:t>of</w:t>
      </w:r>
      <w:r>
        <w:rPr>
          <w:spacing w:val="-1"/>
          <w:vertAlign w:val="baseline"/>
        </w:rPr>
        <w:t> </w:t>
      </w:r>
      <w:r>
        <w:rPr>
          <w:vertAlign w:val="baseline"/>
        </w:rPr>
        <w:t>marginalized</w:t>
      </w:r>
      <w:r>
        <w:rPr>
          <w:spacing w:val="-3"/>
          <w:vertAlign w:val="baseline"/>
        </w:rPr>
        <w:t> </w:t>
      </w:r>
      <w:r>
        <w:rPr>
          <w:vertAlign w:val="baseline"/>
        </w:rPr>
        <w:t>and</w:t>
      </w:r>
      <w:r>
        <w:rPr>
          <w:spacing w:val="-2"/>
          <w:vertAlign w:val="baseline"/>
        </w:rPr>
        <w:t> </w:t>
      </w:r>
      <w:r>
        <w:rPr>
          <w:vertAlign w:val="baseline"/>
        </w:rPr>
        <w:t>underserved</w:t>
      </w:r>
      <w:r>
        <w:rPr>
          <w:spacing w:val="-2"/>
          <w:vertAlign w:val="baseline"/>
        </w:rPr>
        <w:t> </w:t>
      </w:r>
      <w:r>
        <w:rPr>
          <w:vertAlign w:val="baseline"/>
        </w:rPr>
        <w:t>communities, LGBTQ youth, particularly QTBIPOC youth, are more likely to experience health disparities linked to social determinants of health. For example, LGBTQ individuals on average experience higher rates of poverty than their cisgender counterparts.</w:t>
      </w:r>
      <w:r>
        <w:rPr>
          <w:vertAlign w:val="superscript"/>
        </w:rPr>
        <w:t>29</w:t>
      </w:r>
      <w:r>
        <w:rPr>
          <w:spacing w:val="-8"/>
          <w:vertAlign w:val="baseline"/>
        </w:rPr>
        <w:t> </w:t>
      </w:r>
      <w:r>
        <w:rPr>
          <w:vertAlign w:val="baseline"/>
        </w:rPr>
        <w:t>This economic instability may in part be linked to high rates</w:t>
      </w:r>
      <w:r>
        <w:rPr>
          <w:spacing w:val="-10"/>
          <w:vertAlign w:val="baseline"/>
        </w:rPr>
        <w:t> </w:t>
      </w:r>
      <w:r>
        <w:rPr>
          <w:vertAlign w:val="baseline"/>
        </w:rPr>
        <w:t>of</w:t>
      </w:r>
      <w:r>
        <w:rPr>
          <w:spacing w:val="-10"/>
          <w:vertAlign w:val="baseline"/>
        </w:rPr>
        <w:t> </w:t>
      </w:r>
      <w:r>
        <w:rPr>
          <w:vertAlign w:val="baseline"/>
        </w:rPr>
        <w:t>homelessness</w:t>
      </w:r>
      <w:r>
        <w:rPr>
          <w:spacing w:val="-10"/>
          <w:vertAlign w:val="baseline"/>
        </w:rPr>
        <w:t> </w:t>
      </w:r>
      <w:r>
        <w:rPr>
          <w:vertAlign w:val="baseline"/>
        </w:rPr>
        <w:t>among</w:t>
      </w:r>
      <w:r>
        <w:rPr>
          <w:spacing w:val="-10"/>
          <w:vertAlign w:val="baseline"/>
        </w:rPr>
        <w:t> </w:t>
      </w:r>
      <w:r>
        <w:rPr>
          <w:vertAlign w:val="baseline"/>
        </w:rPr>
        <w:t>LGBTQ</w:t>
      </w:r>
      <w:r>
        <w:rPr>
          <w:spacing w:val="-10"/>
          <w:vertAlign w:val="baseline"/>
        </w:rPr>
        <w:t> </w:t>
      </w:r>
      <w:r>
        <w:rPr>
          <w:vertAlign w:val="baseline"/>
        </w:rPr>
        <w:t>youth,</w:t>
      </w:r>
      <w:r>
        <w:rPr>
          <w:spacing w:val="-10"/>
          <w:vertAlign w:val="baseline"/>
        </w:rPr>
        <w:t> </w:t>
      </w:r>
      <w:r>
        <w:rPr>
          <w:vertAlign w:val="baseline"/>
        </w:rPr>
        <w:t>which</w:t>
      </w:r>
      <w:r>
        <w:rPr>
          <w:spacing w:val="-9"/>
          <w:vertAlign w:val="baseline"/>
        </w:rPr>
        <w:t> </w:t>
      </w:r>
      <w:r>
        <w:rPr>
          <w:vertAlign w:val="baseline"/>
        </w:rPr>
        <w:t>is</w:t>
      </w:r>
      <w:r>
        <w:rPr>
          <w:spacing w:val="-10"/>
          <w:vertAlign w:val="baseline"/>
        </w:rPr>
        <w:t> </w:t>
      </w:r>
      <w:r>
        <w:rPr>
          <w:vertAlign w:val="baseline"/>
        </w:rPr>
        <w:t>often</w:t>
      </w:r>
      <w:r>
        <w:rPr>
          <w:spacing w:val="-9"/>
          <w:vertAlign w:val="baseline"/>
        </w:rPr>
        <w:t> </w:t>
      </w:r>
      <w:r>
        <w:rPr>
          <w:vertAlign w:val="baseline"/>
        </w:rPr>
        <w:t>caused</w:t>
      </w:r>
      <w:r>
        <w:rPr>
          <w:spacing w:val="-10"/>
          <w:vertAlign w:val="baseline"/>
        </w:rPr>
        <w:t> </w:t>
      </w:r>
      <w:r>
        <w:rPr>
          <w:vertAlign w:val="baseline"/>
        </w:rPr>
        <w:t>by</w:t>
      </w:r>
      <w:r>
        <w:rPr>
          <w:spacing w:val="-9"/>
          <w:vertAlign w:val="baseline"/>
        </w:rPr>
        <w:t> </w:t>
      </w:r>
      <w:r>
        <w:rPr>
          <w:vertAlign w:val="baseline"/>
        </w:rPr>
        <w:t>running</w:t>
      </w:r>
      <w:r>
        <w:rPr>
          <w:spacing w:val="-8"/>
          <w:vertAlign w:val="baseline"/>
        </w:rPr>
        <w:t> </w:t>
      </w:r>
      <w:r>
        <w:rPr>
          <w:vertAlign w:val="baseline"/>
        </w:rPr>
        <w:t>away</w:t>
      </w:r>
      <w:r>
        <w:rPr>
          <w:spacing w:val="-10"/>
          <w:vertAlign w:val="baseline"/>
        </w:rPr>
        <w:t> </w:t>
      </w:r>
      <w:r>
        <w:rPr>
          <w:vertAlign w:val="baseline"/>
        </w:rPr>
        <w:t>or</w:t>
      </w:r>
      <w:r>
        <w:rPr>
          <w:spacing w:val="-10"/>
          <w:vertAlign w:val="baseline"/>
        </w:rPr>
        <w:t> </w:t>
      </w:r>
      <w:r>
        <w:rPr>
          <w:vertAlign w:val="baseline"/>
        </w:rPr>
        <w:t>being</w:t>
      </w:r>
      <w:r>
        <w:rPr>
          <w:spacing w:val="-10"/>
          <w:vertAlign w:val="baseline"/>
        </w:rPr>
        <w:t> </w:t>
      </w:r>
      <w:r>
        <w:rPr>
          <w:vertAlign w:val="baseline"/>
        </w:rPr>
        <w:t>kicked</w:t>
      </w:r>
      <w:r>
        <w:rPr>
          <w:spacing w:val="-10"/>
          <w:vertAlign w:val="baseline"/>
        </w:rPr>
        <w:t> </w:t>
      </w:r>
      <w:r>
        <w:rPr>
          <w:vertAlign w:val="baseline"/>
        </w:rPr>
        <w:t>out of their homes due to caregiver rejection.</w:t>
      </w:r>
      <w:r>
        <w:rPr>
          <w:vertAlign w:val="superscript"/>
        </w:rPr>
        <w:t>30</w:t>
      </w:r>
      <w:r>
        <w:rPr>
          <w:spacing w:val="-13"/>
          <w:vertAlign w:val="baseline"/>
        </w:rPr>
        <w:t> </w:t>
      </w:r>
      <w:r>
        <w:rPr>
          <w:vertAlign w:val="baseline"/>
        </w:rPr>
        <w:t>LGBTQ youth also report high levels of trauma exposure; in one study, 43% of LGBTQ youth reported experiencing multiple adverse childhood experiences (ACEs), and pansexual, transgender and gender-nonconforming, American Indian/Native American, Latinx, and rural youth were more likely to report a higher number of ACEs.</w:t>
      </w:r>
      <w:r>
        <w:rPr>
          <w:vertAlign w:val="superscript"/>
        </w:rPr>
        <w:t>31</w:t>
      </w:r>
    </w:p>
    <w:p>
      <w:pPr>
        <w:pStyle w:val="BodyText"/>
        <w:spacing w:line="276" w:lineRule="auto" w:before="240"/>
        <w:ind w:left="463" w:right="241" w:firstLine="16"/>
        <w:jc w:val="both"/>
      </w:pPr>
      <w:r>
        <w:rPr/>
        <w:t>LGBTQ youth also face social stressors outside the home. As discussed throughout this report, and particularly in the education section, LGBTQ youth who experience discrimination and bullying in schools are more likely to experience suicidal ideation, and physical, mental, and emotional health disparities.</w:t>
      </w:r>
      <w:r>
        <w:rPr>
          <w:vertAlign w:val="superscript"/>
        </w:rPr>
        <w:t>32</w:t>
      </w:r>
      <w:r>
        <w:rPr>
          <w:vertAlign w:val="baseline"/>
        </w:rPr>
        <w:t> This is consistent with the minority stress model, which explains that minorities experience social stressors which accumulate over time, leading to poorer health outcomes.</w:t>
      </w:r>
      <w:r>
        <w:rPr>
          <w:vertAlign w:val="superscript"/>
        </w:rPr>
        <w:t>33</w:t>
      </w:r>
      <w:r>
        <w:rPr>
          <w:vertAlign w:val="baseline"/>
        </w:rPr>
        <w:t> However, education can typically serve as either a source of stress or a protective factor. In a recent study</w:t>
      </w:r>
      <w:r>
        <w:rPr>
          <w:spacing w:val="-9"/>
          <w:vertAlign w:val="baseline"/>
        </w:rPr>
        <w:t> </w:t>
      </w:r>
      <w:r>
        <w:rPr>
          <w:vertAlign w:val="baseline"/>
        </w:rPr>
        <w:t>of</w:t>
      </w:r>
      <w:r>
        <w:rPr>
          <w:spacing w:val="-9"/>
          <w:vertAlign w:val="baseline"/>
        </w:rPr>
        <w:t> </w:t>
      </w:r>
      <w:r>
        <w:rPr>
          <w:vertAlign w:val="baseline"/>
        </w:rPr>
        <w:t>LGBTQ</w:t>
      </w:r>
      <w:r>
        <w:rPr>
          <w:spacing w:val="-9"/>
          <w:vertAlign w:val="baseline"/>
        </w:rPr>
        <w:t> </w:t>
      </w:r>
      <w:r>
        <w:rPr>
          <w:vertAlign w:val="baseline"/>
        </w:rPr>
        <w:t>students</w:t>
      </w:r>
      <w:r>
        <w:rPr>
          <w:spacing w:val="-8"/>
          <w:vertAlign w:val="baseline"/>
        </w:rPr>
        <w:t> </w:t>
      </w:r>
      <w:r>
        <w:rPr>
          <w:vertAlign w:val="baseline"/>
        </w:rPr>
        <w:t>in</w:t>
      </w:r>
      <w:r>
        <w:rPr>
          <w:spacing w:val="-8"/>
          <w:vertAlign w:val="baseline"/>
        </w:rPr>
        <w:t> </w:t>
      </w:r>
      <w:r>
        <w:rPr>
          <w:vertAlign w:val="baseline"/>
        </w:rPr>
        <w:t>Massachusetts,</w:t>
      </w:r>
      <w:r>
        <w:rPr>
          <w:spacing w:val="-8"/>
          <w:vertAlign w:val="baseline"/>
        </w:rPr>
        <w:t> </w:t>
      </w:r>
      <w:r>
        <w:rPr>
          <w:vertAlign w:val="baseline"/>
        </w:rPr>
        <w:t>students</w:t>
      </w:r>
      <w:r>
        <w:rPr>
          <w:spacing w:val="-8"/>
          <w:vertAlign w:val="baseline"/>
        </w:rPr>
        <w:t> </w:t>
      </w:r>
      <w:r>
        <w:rPr>
          <w:vertAlign w:val="baseline"/>
        </w:rPr>
        <w:t>reported</w:t>
      </w:r>
      <w:r>
        <w:rPr>
          <w:spacing w:val="-8"/>
          <w:vertAlign w:val="baseline"/>
        </w:rPr>
        <w:t> </w:t>
      </w:r>
      <w:r>
        <w:rPr>
          <w:vertAlign w:val="baseline"/>
        </w:rPr>
        <w:t>experiencing</w:t>
      </w:r>
      <w:r>
        <w:rPr>
          <w:spacing w:val="-9"/>
          <w:vertAlign w:val="baseline"/>
        </w:rPr>
        <w:t> </w:t>
      </w:r>
      <w:r>
        <w:rPr>
          <w:vertAlign w:val="baseline"/>
        </w:rPr>
        <w:t>verbal,</w:t>
      </w:r>
      <w:r>
        <w:rPr>
          <w:spacing w:val="-8"/>
          <w:vertAlign w:val="baseline"/>
        </w:rPr>
        <w:t> </w:t>
      </w:r>
      <w:r>
        <w:rPr>
          <w:vertAlign w:val="baseline"/>
        </w:rPr>
        <w:t>social,</w:t>
      </w:r>
      <w:r>
        <w:rPr>
          <w:spacing w:val="-8"/>
          <w:vertAlign w:val="baseline"/>
        </w:rPr>
        <w:t> </w:t>
      </w:r>
      <w:r>
        <w:rPr>
          <w:vertAlign w:val="baseline"/>
        </w:rPr>
        <w:t>and</w:t>
      </w:r>
      <w:r>
        <w:rPr>
          <w:spacing w:val="-9"/>
          <w:vertAlign w:val="baseline"/>
        </w:rPr>
        <w:t> </w:t>
      </w:r>
      <w:r>
        <w:rPr>
          <w:vertAlign w:val="baseline"/>
        </w:rPr>
        <w:t>physical bullying, but school health professionals in turn reported a low awareness of this bullying.</w:t>
      </w:r>
      <w:r>
        <w:rPr>
          <w:vertAlign w:val="superscript"/>
        </w:rPr>
        <w:t>34</w:t>
      </w:r>
      <w:r>
        <w:rPr>
          <w:vertAlign w:val="baseline"/>
        </w:rPr>
        <w:t> In a separate study, LGBTQ students reported concerns related to the sexual violence against and harassment of transgender students, and racism directed towards students of color; students identified access to safe bathrooms, information on gender transition, and access to safe spaces as priorities. One example given of an existing safe space was the school nurse’s office, suggesting that school nurses may play a key role in addressing LGBTQ student health needs.</w:t>
      </w:r>
      <w:r>
        <w:rPr>
          <w:vertAlign w:val="superscript"/>
        </w:rPr>
        <w:t>35</w:t>
      </w:r>
    </w:p>
    <w:p>
      <w:pPr>
        <w:pStyle w:val="BodyText"/>
        <w:spacing w:line="276" w:lineRule="auto" w:before="239"/>
        <w:ind w:left="463" w:right="239" w:firstLine="13"/>
        <w:jc w:val="both"/>
      </w:pPr>
      <w:r>
        <w:rPr/>
        <w:t>In</w:t>
      </w:r>
      <w:r>
        <w:rPr>
          <w:spacing w:val="-7"/>
        </w:rPr>
        <w:t> </w:t>
      </w:r>
      <w:r>
        <w:rPr/>
        <w:t>addition</w:t>
      </w:r>
      <w:r>
        <w:rPr>
          <w:spacing w:val="-6"/>
        </w:rPr>
        <w:t> </w:t>
      </w:r>
      <w:r>
        <w:rPr/>
        <w:t>to</w:t>
      </w:r>
      <w:r>
        <w:rPr>
          <w:spacing w:val="-6"/>
        </w:rPr>
        <w:t> </w:t>
      </w:r>
      <w:r>
        <w:rPr/>
        <w:t>education,</w:t>
      </w:r>
      <w:r>
        <w:rPr>
          <w:spacing w:val="-6"/>
        </w:rPr>
        <w:t> </w:t>
      </w:r>
      <w:r>
        <w:rPr/>
        <w:t>other</w:t>
      </w:r>
      <w:r>
        <w:rPr>
          <w:spacing w:val="-6"/>
        </w:rPr>
        <w:t> </w:t>
      </w:r>
      <w:r>
        <w:rPr/>
        <w:t>socioeconomic</w:t>
      </w:r>
      <w:r>
        <w:rPr>
          <w:spacing w:val="-7"/>
        </w:rPr>
        <w:t> </w:t>
      </w:r>
      <w:r>
        <w:rPr/>
        <w:t>factors</w:t>
      </w:r>
      <w:r>
        <w:rPr>
          <w:spacing w:val="-6"/>
        </w:rPr>
        <w:t> </w:t>
      </w:r>
      <w:r>
        <w:rPr/>
        <w:t>can</w:t>
      </w:r>
      <w:r>
        <w:rPr>
          <w:spacing w:val="-7"/>
        </w:rPr>
        <w:t> </w:t>
      </w:r>
      <w:r>
        <w:rPr/>
        <w:t>influence</w:t>
      </w:r>
      <w:r>
        <w:rPr>
          <w:spacing w:val="-7"/>
        </w:rPr>
        <w:t> </w:t>
      </w:r>
      <w:r>
        <w:rPr/>
        <w:t>a</w:t>
      </w:r>
      <w:r>
        <w:rPr>
          <w:spacing w:val="-6"/>
        </w:rPr>
        <w:t> </w:t>
      </w:r>
      <w:r>
        <w:rPr/>
        <w:t>child’s</w:t>
      </w:r>
      <w:r>
        <w:rPr>
          <w:spacing w:val="-6"/>
        </w:rPr>
        <w:t> </w:t>
      </w:r>
      <w:r>
        <w:rPr/>
        <w:t>access</w:t>
      </w:r>
      <w:r>
        <w:rPr>
          <w:spacing w:val="-6"/>
        </w:rPr>
        <w:t> </w:t>
      </w:r>
      <w:r>
        <w:rPr/>
        <w:t>to</w:t>
      </w:r>
      <w:r>
        <w:rPr>
          <w:spacing w:val="-6"/>
        </w:rPr>
        <w:t> </w:t>
      </w:r>
      <w:r>
        <w:rPr/>
        <w:t>safe</w:t>
      </w:r>
      <w:r>
        <w:rPr>
          <w:spacing w:val="-7"/>
        </w:rPr>
        <w:t> </w:t>
      </w:r>
      <w:r>
        <w:rPr/>
        <w:t>spaces</w:t>
      </w:r>
      <w:r>
        <w:rPr>
          <w:spacing w:val="-6"/>
        </w:rPr>
        <w:t> </w:t>
      </w:r>
      <w:r>
        <w:rPr/>
        <w:t>and resources.</w:t>
      </w:r>
      <w:r>
        <w:rPr>
          <w:spacing w:val="-2"/>
        </w:rPr>
        <w:t> </w:t>
      </w:r>
      <w:r>
        <w:rPr/>
        <w:t>Research</w:t>
      </w:r>
      <w:r>
        <w:rPr>
          <w:spacing w:val="-2"/>
        </w:rPr>
        <w:t> </w:t>
      </w:r>
      <w:r>
        <w:rPr/>
        <w:t>has</w:t>
      </w:r>
      <w:r>
        <w:rPr>
          <w:spacing w:val="-1"/>
        </w:rPr>
        <w:t> </w:t>
      </w:r>
      <w:r>
        <w:rPr/>
        <w:t>established</w:t>
      </w:r>
      <w:r>
        <w:rPr>
          <w:spacing w:val="-2"/>
        </w:rPr>
        <w:t> </w:t>
      </w:r>
      <w:r>
        <w:rPr/>
        <w:t>an</w:t>
      </w:r>
      <w:r>
        <w:rPr>
          <w:spacing w:val="-1"/>
        </w:rPr>
        <w:t> </w:t>
      </w:r>
      <w:r>
        <w:rPr/>
        <w:t>association</w:t>
      </w:r>
      <w:r>
        <w:rPr>
          <w:spacing w:val="-2"/>
        </w:rPr>
        <w:t> </w:t>
      </w:r>
      <w:r>
        <w:rPr/>
        <w:t>between</w:t>
      </w:r>
      <w:r>
        <w:rPr>
          <w:spacing w:val="-1"/>
        </w:rPr>
        <w:t> </w:t>
      </w:r>
      <w:r>
        <w:rPr/>
        <w:t>community</w:t>
      </w:r>
      <w:r>
        <w:rPr>
          <w:spacing w:val="-1"/>
        </w:rPr>
        <w:t> </w:t>
      </w:r>
      <w:r>
        <w:rPr/>
        <w:t>size</w:t>
      </w:r>
      <w:r>
        <w:rPr>
          <w:spacing w:val="-2"/>
        </w:rPr>
        <w:t> </w:t>
      </w:r>
      <w:r>
        <w:rPr/>
        <w:t>and</w:t>
      </w:r>
      <w:r>
        <w:rPr>
          <w:spacing w:val="-2"/>
        </w:rPr>
        <w:t> </w:t>
      </w:r>
      <w:r>
        <w:rPr/>
        <w:t>resources for</w:t>
      </w:r>
      <w:r>
        <w:rPr>
          <w:spacing w:val="-1"/>
        </w:rPr>
        <w:t> </w:t>
      </w:r>
      <w:r>
        <w:rPr/>
        <w:t>sexual and</w:t>
      </w:r>
      <w:r>
        <w:rPr>
          <w:spacing w:val="-8"/>
        </w:rPr>
        <w:t> </w:t>
      </w:r>
      <w:r>
        <w:rPr/>
        <w:t>gender</w:t>
      </w:r>
      <w:r>
        <w:rPr>
          <w:spacing w:val="-5"/>
        </w:rPr>
        <w:t> </w:t>
      </w:r>
      <w:r>
        <w:rPr/>
        <w:t>minority</w:t>
      </w:r>
      <w:r>
        <w:rPr>
          <w:spacing w:val="-6"/>
        </w:rPr>
        <w:t> </w:t>
      </w:r>
      <w:r>
        <w:rPr/>
        <w:t>youth,</w:t>
      </w:r>
      <w:r>
        <w:rPr>
          <w:spacing w:val="-7"/>
        </w:rPr>
        <w:t> </w:t>
      </w:r>
      <w:r>
        <w:rPr/>
        <w:t>with</w:t>
      </w:r>
      <w:r>
        <w:rPr>
          <w:spacing w:val="-8"/>
        </w:rPr>
        <w:t> </w:t>
      </w:r>
      <w:r>
        <w:rPr/>
        <w:t>larger</w:t>
      </w:r>
      <w:r>
        <w:rPr>
          <w:spacing w:val="-7"/>
        </w:rPr>
        <w:t> </w:t>
      </w:r>
      <w:r>
        <w:rPr/>
        <w:t>metropolitan</w:t>
      </w:r>
      <w:r>
        <w:rPr>
          <w:spacing w:val="-7"/>
        </w:rPr>
        <w:t> </w:t>
      </w:r>
      <w:r>
        <w:rPr/>
        <w:t>areas</w:t>
      </w:r>
      <w:r>
        <w:rPr>
          <w:spacing w:val="-7"/>
        </w:rPr>
        <w:t> </w:t>
      </w:r>
      <w:r>
        <w:rPr/>
        <w:t>having</w:t>
      </w:r>
      <w:r>
        <w:rPr>
          <w:spacing w:val="-5"/>
        </w:rPr>
        <w:t> </w:t>
      </w:r>
      <w:r>
        <w:rPr/>
        <w:t>more</w:t>
      </w:r>
      <w:r>
        <w:rPr>
          <w:spacing w:val="-8"/>
        </w:rPr>
        <w:t> </w:t>
      </w:r>
      <w:r>
        <w:rPr/>
        <w:t>resources.</w:t>
      </w:r>
      <w:r>
        <w:rPr>
          <w:spacing w:val="-8"/>
        </w:rPr>
        <w:t> </w:t>
      </w:r>
      <w:r>
        <w:rPr/>
        <w:t>Conversely,</w:t>
      </w:r>
      <w:r>
        <w:rPr>
          <w:spacing w:val="-7"/>
        </w:rPr>
        <w:t> </w:t>
      </w:r>
      <w:r>
        <w:rPr/>
        <w:t>LGBTQ youth</w:t>
      </w:r>
      <w:r>
        <w:rPr>
          <w:spacing w:val="-1"/>
        </w:rPr>
        <w:t> </w:t>
      </w:r>
      <w:r>
        <w:rPr/>
        <w:t>in</w:t>
      </w:r>
      <w:r>
        <w:rPr>
          <w:spacing w:val="-1"/>
        </w:rPr>
        <w:t> </w:t>
      </w:r>
      <w:r>
        <w:rPr/>
        <w:t>suburban</w:t>
      </w:r>
      <w:r>
        <w:rPr>
          <w:spacing w:val="-2"/>
        </w:rPr>
        <w:t> </w:t>
      </w:r>
      <w:r>
        <w:rPr/>
        <w:t>and</w:t>
      </w:r>
      <w:r>
        <w:rPr>
          <w:spacing w:val="-1"/>
        </w:rPr>
        <w:t> </w:t>
      </w:r>
      <w:r>
        <w:rPr/>
        <w:t>rural</w:t>
      </w:r>
      <w:r>
        <w:rPr>
          <w:spacing w:val="-2"/>
        </w:rPr>
        <w:t> </w:t>
      </w:r>
      <w:r>
        <w:rPr/>
        <w:t>areas expressed</w:t>
      </w:r>
      <w:r>
        <w:rPr>
          <w:spacing w:val="-2"/>
        </w:rPr>
        <w:t> </w:t>
      </w:r>
      <w:r>
        <w:rPr/>
        <w:t>a need</w:t>
      </w:r>
      <w:r>
        <w:rPr>
          <w:spacing w:val="-1"/>
        </w:rPr>
        <w:t> </w:t>
      </w:r>
      <w:r>
        <w:rPr/>
        <w:t>and</w:t>
      </w:r>
      <w:r>
        <w:rPr>
          <w:spacing w:val="-1"/>
        </w:rPr>
        <w:t> </w:t>
      </w:r>
      <w:r>
        <w:rPr/>
        <w:t>desire</w:t>
      </w:r>
      <w:r>
        <w:rPr>
          <w:spacing w:val="-1"/>
        </w:rPr>
        <w:t> </w:t>
      </w:r>
      <w:r>
        <w:rPr/>
        <w:t>for more</w:t>
      </w:r>
      <w:r>
        <w:rPr>
          <w:spacing w:val="-2"/>
        </w:rPr>
        <w:t> </w:t>
      </w:r>
      <w:r>
        <w:rPr/>
        <w:t>spaces to</w:t>
      </w:r>
      <w:r>
        <w:rPr>
          <w:spacing w:val="-1"/>
        </w:rPr>
        <w:t> </w:t>
      </w:r>
      <w:r>
        <w:rPr/>
        <w:t>socialize</w:t>
      </w:r>
      <w:r>
        <w:rPr>
          <w:spacing w:val="-2"/>
        </w:rPr>
        <w:t> </w:t>
      </w:r>
      <w:r>
        <w:rPr/>
        <w:t>and</w:t>
      </w:r>
      <w:r>
        <w:rPr>
          <w:spacing w:val="-1"/>
        </w:rPr>
        <w:t> </w:t>
      </w:r>
      <w:r>
        <w:rPr/>
        <w:t>meet other</w:t>
      </w:r>
      <w:r>
        <w:rPr>
          <w:spacing w:val="-13"/>
        </w:rPr>
        <w:t> </w:t>
      </w:r>
      <w:r>
        <w:rPr/>
        <w:t>LGBTQ</w:t>
      </w:r>
      <w:r>
        <w:rPr>
          <w:spacing w:val="-12"/>
        </w:rPr>
        <w:t> </w:t>
      </w:r>
      <w:r>
        <w:rPr/>
        <w:t>youth.</w:t>
      </w:r>
      <w:r>
        <w:rPr>
          <w:vertAlign w:val="superscript"/>
        </w:rPr>
        <w:t>36</w:t>
      </w:r>
      <w:r>
        <w:rPr>
          <w:spacing w:val="-13"/>
          <w:vertAlign w:val="baseline"/>
        </w:rPr>
        <w:t> </w:t>
      </w:r>
      <w:r>
        <w:rPr>
          <w:vertAlign w:val="baseline"/>
        </w:rPr>
        <w:t>In</w:t>
      </w:r>
      <w:r>
        <w:rPr>
          <w:spacing w:val="-12"/>
          <w:vertAlign w:val="baseline"/>
        </w:rPr>
        <w:t> </w:t>
      </w:r>
      <w:r>
        <w:rPr>
          <w:vertAlign w:val="baseline"/>
        </w:rPr>
        <w:t>particular,</w:t>
      </w:r>
      <w:r>
        <w:rPr>
          <w:spacing w:val="-13"/>
          <w:vertAlign w:val="baseline"/>
        </w:rPr>
        <w:t> </w:t>
      </w:r>
      <w:r>
        <w:rPr>
          <w:vertAlign w:val="baseline"/>
        </w:rPr>
        <w:t>rural</w:t>
      </w:r>
      <w:r>
        <w:rPr>
          <w:spacing w:val="-11"/>
          <w:vertAlign w:val="baseline"/>
        </w:rPr>
        <w:t> </w:t>
      </w:r>
      <w:r>
        <w:rPr>
          <w:vertAlign w:val="baseline"/>
        </w:rPr>
        <w:t>LGBTQ</w:t>
      </w:r>
      <w:r>
        <w:rPr>
          <w:spacing w:val="-9"/>
          <w:vertAlign w:val="baseline"/>
        </w:rPr>
        <w:t> </w:t>
      </w:r>
      <w:r>
        <w:rPr>
          <w:vertAlign w:val="baseline"/>
        </w:rPr>
        <w:t>youth</w:t>
      </w:r>
      <w:r>
        <w:rPr>
          <w:spacing w:val="-9"/>
          <w:vertAlign w:val="baseline"/>
        </w:rPr>
        <w:t> </w:t>
      </w:r>
      <w:r>
        <w:rPr>
          <w:vertAlign w:val="baseline"/>
        </w:rPr>
        <w:t>experience</w:t>
      </w:r>
      <w:r>
        <w:rPr>
          <w:spacing w:val="-10"/>
          <w:vertAlign w:val="baseline"/>
        </w:rPr>
        <w:t> </w:t>
      </w:r>
      <w:r>
        <w:rPr>
          <w:vertAlign w:val="baseline"/>
        </w:rPr>
        <w:t>higher</w:t>
      </w:r>
      <w:r>
        <w:rPr>
          <w:spacing w:val="-11"/>
          <w:vertAlign w:val="baseline"/>
        </w:rPr>
        <w:t> </w:t>
      </w:r>
      <w:r>
        <w:rPr>
          <w:vertAlign w:val="baseline"/>
        </w:rPr>
        <w:t>rates</w:t>
      </w:r>
      <w:r>
        <w:rPr>
          <w:spacing w:val="-11"/>
          <w:vertAlign w:val="baseline"/>
        </w:rPr>
        <w:t> </w:t>
      </w:r>
      <w:r>
        <w:rPr>
          <w:vertAlign w:val="baseline"/>
        </w:rPr>
        <w:t>of</w:t>
      </w:r>
      <w:r>
        <w:rPr>
          <w:spacing w:val="-10"/>
          <w:vertAlign w:val="baseline"/>
        </w:rPr>
        <w:t> </w:t>
      </w:r>
      <w:r>
        <w:rPr>
          <w:vertAlign w:val="baseline"/>
        </w:rPr>
        <w:t>depressive</w:t>
      </w:r>
      <w:r>
        <w:rPr>
          <w:spacing w:val="-11"/>
          <w:vertAlign w:val="baseline"/>
        </w:rPr>
        <w:t> </w:t>
      </w:r>
      <w:r>
        <w:rPr>
          <w:vertAlign w:val="baseline"/>
        </w:rPr>
        <w:t>symptoms and PTSD compared to their urban peers due to heightened levels of minority stress.</w:t>
      </w:r>
      <w:r>
        <w:rPr>
          <w:vertAlign w:val="superscript"/>
        </w:rPr>
        <w:t>37</w:t>
      </w:r>
      <w:r>
        <w:rPr>
          <w:spacing w:val="-8"/>
          <w:vertAlign w:val="baseline"/>
        </w:rPr>
        <w:t> </w:t>
      </w:r>
      <w:r>
        <w:rPr>
          <w:vertAlign w:val="baseline"/>
        </w:rPr>
        <w:t>Despite the clear</w:t>
      </w:r>
      <w:r>
        <w:rPr>
          <w:spacing w:val="-5"/>
          <w:vertAlign w:val="baseline"/>
        </w:rPr>
        <w:t> </w:t>
      </w:r>
      <w:r>
        <w:rPr>
          <w:vertAlign w:val="baseline"/>
        </w:rPr>
        <w:t>need</w:t>
      </w:r>
      <w:r>
        <w:rPr>
          <w:spacing w:val="-4"/>
          <w:vertAlign w:val="baseline"/>
        </w:rPr>
        <w:t> </w:t>
      </w:r>
      <w:r>
        <w:rPr>
          <w:vertAlign w:val="baseline"/>
        </w:rPr>
        <w:t>for</w:t>
      </w:r>
      <w:r>
        <w:rPr>
          <w:spacing w:val="-5"/>
          <w:vertAlign w:val="baseline"/>
        </w:rPr>
        <w:t> </w:t>
      </w:r>
      <w:r>
        <w:rPr>
          <w:vertAlign w:val="baseline"/>
        </w:rPr>
        <w:t>competent</w:t>
      </w:r>
      <w:r>
        <w:rPr>
          <w:spacing w:val="-3"/>
          <w:vertAlign w:val="baseline"/>
        </w:rPr>
        <w:t> </w:t>
      </w:r>
      <w:r>
        <w:rPr>
          <w:vertAlign w:val="baseline"/>
        </w:rPr>
        <w:t>health</w:t>
      </w:r>
      <w:r>
        <w:rPr>
          <w:spacing w:val="-4"/>
          <w:vertAlign w:val="baseline"/>
        </w:rPr>
        <w:t> </w:t>
      </w:r>
      <w:r>
        <w:rPr>
          <w:vertAlign w:val="baseline"/>
        </w:rPr>
        <w:t>services,</w:t>
      </w:r>
      <w:r>
        <w:rPr>
          <w:spacing w:val="-5"/>
          <w:vertAlign w:val="baseline"/>
        </w:rPr>
        <w:t> </w:t>
      </w:r>
      <w:r>
        <w:rPr>
          <w:vertAlign w:val="baseline"/>
        </w:rPr>
        <w:t>rural</w:t>
      </w:r>
      <w:r>
        <w:rPr>
          <w:spacing w:val="-5"/>
          <w:vertAlign w:val="baseline"/>
        </w:rPr>
        <w:t> </w:t>
      </w:r>
      <w:r>
        <w:rPr>
          <w:vertAlign w:val="baseline"/>
        </w:rPr>
        <w:t>youth</w:t>
      </w:r>
      <w:r>
        <w:rPr>
          <w:spacing w:val="-5"/>
          <w:vertAlign w:val="baseline"/>
        </w:rPr>
        <w:t> </w:t>
      </w:r>
      <w:r>
        <w:rPr>
          <w:vertAlign w:val="baseline"/>
        </w:rPr>
        <w:t>typically</w:t>
      </w:r>
      <w:r>
        <w:rPr>
          <w:spacing w:val="-4"/>
          <w:vertAlign w:val="baseline"/>
        </w:rPr>
        <w:t> </w:t>
      </w:r>
      <w:r>
        <w:rPr>
          <w:vertAlign w:val="baseline"/>
        </w:rPr>
        <w:t>lack</w:t>
      </w:r>
      <w:r>
        <w:rPr>
          <w:spacing w:val="-5"/>
          <w:vertAlign w:val="baseline"/>
        </w:rPr>
        <w:t> </w:t>
      </w:r>
      <w:r>
        <w:rPr>
          <w:vertAlign w:val="baseline"/>
        </w:rPr>
        <w:t>access</w:t>
      </w:r>
      <w:r>
        <w:rPr>
          <w:spacing w:val="-5"/>
          <w:vertAlign w:val="baseline"/>
        </w:rPr>
        <w:t> </w:t>
      </w:r>
      <w:r>
        <w:rPr>
          <w:vertAlign w:val="baseline"/>
        </w:rPr>
        <w:t>to</w:t>
      </w:r>
      <w:r>
        <w:rPr>
          <w:spacing w:val="-3"/>
          <w:vertAlign w:val="baseline"/>
        </w:rPr>
        <w:t> </w:t>
      </w:r>
      <w:r>
        <w:rPr>
          <w:vertAlign w:val="baseline"/>
        </w:rPr>
        <w:t>competent</w:t>
      </w:r>
      <w:r>
        <w:rPr>
          <w:spacing w:val="-4"/>
          <w:vertAlign w:val="baseline"/>
        </w:rPr>
        <w:t> </w:t>
      </w:r>
      <w:r>
        <w:rPr>
          <w:vertAlign w:val="baseline"/>
        </w:rPr>
        <w:t>and</w:t>
      </w:r>
      <w:r>
        <w:rPr>
          <w:spacing w:val="-3"/>
          <w:vertAlign w:val="baseline"/>
        </w:rPr>
        <w:t> </w:t>
      </w:r>
      <w:r>
        <w:rPr>
          <w:vertAlign w:val="baseline"/>
        </w:rPr>
        <w:t>affirming health</w:t>
      </w:r>
      <w:r>
        <w:rPr>
          <w:spacing w:val="-4"/>
          <w:vertAlign w:val="baseline"/>
        </w:rPr>
        <w:t> </w:t>
      </w:r>
      <w:r>
        <w:rPr>
          <w:vertAlign w:val="baseline"/>
        </w:rPr>
        <w:t>care</w:t>
      </w:r>
      <w:r>
        <w:rPr>
          <w:spacing w:val="-4"/>
          <w:vertAlign w:val="baseline"/>
        </w:rPr>
        <w:t> </w:t>
      </w:r>
      <w:r>
        <w:rPr>
          <w:vertAlign w:val="baseline"/>
        </w:rPr>
        <w:t>because</w:t>
      </w:r>
      <w:r>
        <w:rPr>
          <w:spacing w:val="-6"/>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general</w:t>
      </w:r>
      <w:r>
        <w:rPr>
          <w:spacing w:val="-6"/>
          <w:vertAlign w:val="baseline"/>
        </w:rPr>
        <w:t> </w:t>
      </w:r>
      <w:r>
        <w:rPr>
          <w:vertAlign w:val="baseline"/>
        </w:rPr>
        <w:t>shortage</w:t>
      </w:r>
      <w:r>
        <w:rPr>
          <w:spacing w:val="-6"/>
          <w:vertAlign w:val="baseline"/>
        </w:rPr>
        <w:t> </w:t>
      </w:r>
      <w:r>
        <w:rPr>
          <w:vertAlign w:val="baseline"/>
        </w:rPr>
        <w:t>of</w:t>
      </w:r>
      <w:r>
        <w:rPr>
          <w:spacing w:val="-4"/>
          <w:vertAlign w:val="baseline"/>
        </w:rPr>
        <w:t> </w:t>
      </w:r>
      <w:r>
        <w:rPr>
          <w:vertAlign w:val="baseline"/>
        </w:rPr>
        <w:t>healthcare</w:t>
      </w:r>
      <w:r>
        <w:rPr>
          <w:spacing w:val="-4"/>
          <w:vertAlign w:val="baseline"/>
        </w:rPr>
        <w:t> </w:t>
      </w:r>
      <w:r>
        <w:rPr>
          <w:vertAlign w:val="baseline"/>
        </w:rPr>
        <w:t>professionals</w:t>
      </w:r>
      <w:r>
        <w:rPr>
          <w:spacing w:val="-5"/>
          <w:vertAlign w:val="baseline"/>
        </w:rPr>
        <w:t> </w:t>
      </w:r>
      <w:r>
        <w:rPr>
          <w:vertAlign w:val="baseline"/>
        </w:rPr>
        <w:t>in</w:t>
      </w:r>
      <w:r>
        <w:rPr>
          <w:spacing w:val="-6"/>
          <w:vertAlign w:val="baseline"/>
        </w:rPr>
        <w:t> </w:t>
      </w:r>
      <w:r>
        <w:rPr>
          <w:vertAlign w:val="baseline"/>
        </w:rPr>
        <w:t>rural</w:t>
      </w:r>
      <w:r>
        <w:rPr>
          <w:spacing w:val="-6"/>
          <w:vertAlign w:val="baseline"/>
        </w:rPr>
        <w:t> </w:t>
      </w:r>
      <w:r>
        <w:rPr>
          <w:vertAlign w:val="baseline"/>
        </w:rPr>
        <w:t>areas.</w:t>
      </w:r>
      <w:r>
        <w:rPr>
          <w:spacing w:val="-6"/>
          <w:vertAlign w:val="baseline"/>
        </w:rPr>
        <w:t> </w:t>
      </w:r>
      <w:r>
        <w:rPr>
          <w:vertAlign w:val="baseline"/>
        </w:rPr>
        <w:t>This</w:t>
      </w:r>
      <w:r>
        <w:rPr>
          <w:spacing w:val="-5"/>
          <w:vertAlign w:val="baseline"/>
        </w:rPr>
        <w:t> </w:t>
      </w:r>
      <w:r>
        <w:rPr>
          <w:vertAlign w:val="baseline"/>
        </w:rPr>
        <w:t>shortage</w:t>
      </w:r>
      <w:r>
        <w:rPr>
          <w:spacing w:val="-6"/>
          <w:vertAlign w:val="baseline"/>
        </w:rPr>
        <w:t> </w:t>
      </w:r>
      <w:r>
        <w:rPr>
          <w:vertAlign w:val="baseline"/>
        </w:rPr>
        <w:t>is particularly acute for LGBTQ specialty services, which are often located in larger cities, an example clearly seen by the locations of LGBTQ organizations, programs, and services in Massachusetts.</w:t>
      </w:r>
    </w:p>
    <w:p>
      <w:pPr>
        <w:pStyle w:val="BodyText"/>
        <w:spacing w:line="276" w:lineRule="auto" w:before="241"/>
        <w:ind w:left="463" w:right="242" w:firstLine="7"/>
        <w:jc w:val="both"/>
      </w:pPr>
      <w:r>
        <w:rPr/>
        <w:t>One method for bridging this gap is telehealth, which has been shown to expand access to LGBTQ health in rural areas.</w:t>
      </w:r>
      <w:r>
        <w:rPr>
          <w:vertAlign w:val="superscript"/>
        </w:rPr>
        <w:t>38</w:t>
      </w:r>
      <w:r>
        <w:rPr>
          <w:spacing w:val="-7"/>
          <w:vertAlign w:val="baseline"/>
        </w:rPr>
        <w:t> </w:t>
      </w:r>
      <w:r>
        <w:rPr>
          <w:vertAlign w:val="baseline"/>
        </w:rPr>
        <w:t>Telehealth has also proven to be a high-quality strategy for pediatric health access</w:t>
      </w:r>
      <w:r>
        <w:rPr>
          <w:spacing w:val="23"/>
          <w:vertAlign w:val="baseline"/>
        </w:rPr>
        <w:t> </w:t>
      </w:r>
      <w:r>
        <w:rPr>
          <w:vertAlign w:val="baseline"/>
        </w:rPr>
        <w:t>and</w:t>
      </w:r>
      <w:r>
        <w:rPr>
          <w:spacing w:val="24"/>
          <w:vertAlign w:val="baseline"/>
        </w:rPr>
        <w:t> </w:t>
      </w:r>
      <w:r>
        <w:rPr>
          <w:vertAlign w:val="baseline"/>
        </w:rPr>
        <w:t>can</w:t>
      </w:r>
      <w:r>
        <w:rPr>
          <w:spacing w:val="22"/>
          <w:vertAlign w:val="baseline"/>
        </w:rPr>
        <w:t> </w:t>
      </w:r>
      <w:r>
        <w:rPr>
          <w:vertAlign w:val="baseline"/>
        </w:rPr>
        <w:t>be</w:t>
      </w:r>
      <w:r>
        <w:rPr>
          <w:spacing w:val="24"/>
          <w:vertAlign w:val="baseline"/>
        </w:rPr>
        <w:t> </w:t>
      </w:r>
      <w:r>
        <w:rPr>
          <w:vertAlign w:val="baseline"/>
        </w:rPr>
        <w:t>delivered</w:t>
      </w:r>
      <w:r>
        <w:rPr>
          <w:spacing w:val="22"/>
          <w:vertAlign w:val="baseline"/>
        </w:rPr>
        <w:t> </w:t>
      </w:r>
      <w:r>
        <w:rPr>
          <w:vertAlign w:val="baseline"/>
        </w:rPr>
        <w:t>in</w:t>
      </w:r>
      <w:r>
        <w:rPr>
          <w:spacing w:val="24"/>
          <w:vertAlign w:val="baseline"/>
        </w:rPr>
        <w:t> </w:t>
      </w:r>
      <w:r>
        <w:rPr>
          <w:vertAlign w:val="baseline"/>
        </w:rPr>
        <w:t>nontraditional</w:t>
      </w:r>
      <w:r>
        <w:rPr>
          <w:spacing w:val="23"/>
          <w:vertAlign w:val="baseline"/>
        </w:rPr>
        <w:t> </w:t>
      </w:r>
      <w:r>
        <w:rPr>
          <w:vertAlign w:val="baseline"/>
        </w:rPr>
        <w:t>settings</w:t>
      </w:r>
      <w:r>
        <w:rPr>
          <w:spacing w:val="23"/>
          <w:vertAlign w:val="baseline"/>
        </w:rPr>
        <w:t> </w:t>
      </w:r>
      <w:r>
        <w:rPr>
          <w:vertAlign w:val="baseline"/>
        </w:rPr>
        <w:t>such</w:t>
      </w:r>
      <w:r>
        <w:rPr>
          <w:spacing w:val="24"/>
          <w:vertAlign w:val="baseline"/>
        </w:rPr>
        <w:t> </w:t>
      </w:r>
      <w:r>
        <w:rPr>
          <w:vertAlign w:val="baseline"/>
        </w:rPr>
        <w:t>as</w:t>
      </w:r>
      <w:r>
        <w:rPr>
          <w:spacing w:val="23"/>
          <w:vertAlign w:val="baseline"/>
        </w:rPr>
        <w:t> </w:t>
      </w:r>
      <w:r>
        <w:rPr>
          <w:vertAlign w:val="baseline"/>
        </w:rPr>
        <w:t>schools</w:t>
      </w:r>
      <w:r>
        <w:rPr>
          <w:spacing w:val="23"/>
          <w:vertAlign w:val="baseline"/>
        </w:rPr>
        <w:t> </w:t>
      </w:r>
      <w:r>
        <w:rPr>
          <w:vertAlign w:val="baseline"/>
        </w:rPr>
        <w:t>and</w:t>
      </w:r>
      <w:r>
        <w:rPr>
          <w:spacing w:val="22"/>
          <w:vertAlign w:val="baseline"/>
        </w:rPr>
        <w:t> </w:t>
      </w:r>
      <w:r>
        <w:rPr>
          <w:vertAlign w:val="baseline"/>
        </w:rPr>
        <w:t>community</w:t>
      </w:r>
      <w:r>
        <w:rPr>
          <w:spacing w:val="23"/>
          <w:vertAlign w:val="baseline"/>
        </w:rPr>
        <w:t> </w:t>
      </w:r>
      <w:r>
        <w:rPr>
          <w:vertAlign w:val="baseline"/>
        </w:rPr>
        <w:t>centers.</w:t>
      </w:r>
      <w:r>
        <w:rPr>
          <w:vertAlign w:val="superscript"/>
        </w:rPr>
        <w:t>39</w:t>
      </w:r>
      <w:r>
        <w:rPr>
          <w:spacing w:val="-3"/>
          <w:vertAlign w:val="baseline"/>
        </w:rPr>
        <w:t> </w:t>
      </w:r>
      <w:r>
        <w:rPr>
          <w:vertAlign w:val="baseline"/>
        </w:rPr>
        <w:t>A</w:t>
      </w:r>
    </w:p>
    <w:p>
      <w:pPr>
        <w:spacing w:after="0" w:line="276" w:lineRule="auto"/>
        <w:jc w:val="both"/>
        <w:sectPr>
          <w:pgSz w:w="12240" w:h="15840"/>
          <w:pgMar w:header="721" w:footer="1061" w:top="1360" w:bottom="1260" w:left="1120" w:right="1340"/>
        </w:sectPr>
      </w:pPr>
    </w:p>
    <w:p>
      <w:pPr>
        <w:pStyle w:val="BodyText"/>
        <w:spacing w:line="276" w:lineRule="auto" w:before="67"/>
        <w:ind w:left="463" w:right="241"/>
        <w:jc w:val="both"/>
      </w:pPr>
      <w:r>
        <w:rPr/>
        <w:t>study of rural parents of children with special health needs found that parents using telehealth were less likely to experience common barriers to health access, such as traveling over an hour for appointments</w:t>
      </w:r>
      <w:r>
        <w:rPr>
          <w:spacing w:val="-13"/>
        </w:rPr>
        <w:t> </w:t>
      </w:r>
      <w:r>
        <w:rPr/>
        <w:t>or</w:t>
      </w:r>
      <w:r>
        <w:rPr>
          <w:spacing w:val="-12"/>
        </w:rPr>
        <w:t> </w:t>
      </w:r>
      <w:r>
        <w:rPr/>
        <w:t>missing</w:t>
      </w:r>
      <w:r>
        <w:rPr>
          <w:spacing w:val="-6"/>
        </w:rPr>
        <w:t> </w:t>
      </w:r>
      <w:r>
        <w:rPr/>
        <w:t>work.</w:t>
      </w:r>
      <w:r>
        <w:rPr>
          <w:vertAlign w:val="superscript"/>
        </w:rPr>
        <w:t>40</w:t>
      </w:r>
      <w:r>
        <w:rPr>
          <w:spacing w:val="-13"/>
          <w:vertAlign w:val="baseline"/>
        </w:rPr>
        <w:t> </w:t>
      </w:r>
      <w:r>
        <w:rPr>
          <w:vertAlign w:val="baseline"/>
        </w:rPr>
        <w:t>A</w:t>
      </w:r>
      <w:r>
        <w:rPr>
          <w:spacing w:val="-6"/>
          <w:vertAlign w:val="baseline"/>
        </w:rPr>
        <w:t> </w:t>
      </w:r>
      <w:r>
        <w:rPr>
          <w:vertAlign w:val="baseline"/>
        </w:rPr>
        <w:t>pediatric</w:t>
      </w:r>
      <w:r>
        <w:rPr>
          <w:spacing w:val="-7"/>
          <w:vertAlign w:val="baseline"/>
        </w:rPr>
        <w:t> </w:t>
      </w:r>
      <w:r>
        <w:rPr>
          <w:vertAlign w:val="baseline"/>
        </w:rPr>
        <w:t>gender-affirming</w:t>
      </w:r>
      <w:r>
        <w:rPr>
          <w:spacing w:val="-7"/>
          <w:vertAlign w:val="baseline"/>
        </w:rPr>
        <w:t> </w:t>
      </w:r>
      <w:r>
        <w:rPr>
          <w:vertAlign w:val="baseline"/>
        </w:rPr>
        <w:t>clinic</w:t>
      </w:r>
      <w:r>
        <w:rPr>
          <w:spacing w:val="-8"/>
          <w:vertAlign w:val="baseline"/>
        </w:rPr>
        <w:t> </w:t>
      </w:r>
      <w:r>
        <w:rPr>
          <w:vertAlign w:val="baseline"/>
        </w:rPr>
        <w:t>reported</w:t>
      </w:r>
      <w:r>
        <w:rPr>
          <w:spacing w:val="-7"/>
          <w:vertAlign w:val="baseline"/>
        </w:rPr>
        <w:t> </w:t>
      </w:r>
      <w:r>
        <w:rPr>
          <w:vertAlign w:val="baseline"/>
        </w:rPr>
        <w:t>that</w:t>
      </w:r>
      <w:r>
        <w:rPr>
          <w:spacing w:val="-8"/>
          <w:vertAlign w:val="baseline"/>
        </w:rPr>
        <w:t> </w:t>
      </w:r>
      <w:r>
        <w:rPr>
          <w:vertAlign w:val="baseline"/>
        </w:rPr>
        <w:t>telehealth</w:t>
      </w:r>
      <w:r>
        <w:rPr>
          <w:spacing w:val="-5"/>
          <w:vertAlign w:val="baseline"/>
        </w:rPr>
        <w:t> </w:t>
      </w:r>
      <w:r>
        <w:rPr>
          <w:vertAlign w:val="baseline"/>
        </w:rPr>
        <w:t>increased access</w:t>
      </w:r>
      <w:r>
        <w:rPr>
          <w:spacing w:val="-8"/>
          <w:vertAlign w:val="baseline"/>
        </w:rPr>
        <w:t> </w:t>
      </w:r>
      <w:r>
        <w:rPr>
          <w:vertAlign w:val="baseline"/>
        </w:rPr>
        <w:t>to</w:t>
      </w:r>
      <w:r>
        <w:rPr>
          <w:spacing w:val="-8"/>
          <w:vertAlign w:val="baseline"/>
        </w:rPr>
        <w:t> </w:t>
      </w:r>
      <w:r>
        <w:rPr>
          <w:vertAlign w:val="baseline"/>
        </w:rPr>
        <w:t>care</w:t>
      </w:r>
      <w:r>
        <w:rPr>
          <w:spacing w:val="-10"/>
          <w:vertAlign w:val="baseline"/>
        </w:rPr>
        <w:t> </w:t>
      </w:r>
      <w:r>
        <w:rPr>
          <w:vertAlign w:val="baseline"/>
        </w:rPr>
        <w:t>during</w:t>
      </w:r>
      <w:r>
        <w:rPr>
          <w:spacing w:val="-9"/>
          <w:vertAlign w:val="baseline"/>
        </w:rPr>
        <w:t> </w:t>
      </w:r>
      <w:r>
        <w:rPr>
          <w:vertAlign w:val="baseline"/>
        </w:rPr>
        <w:t>the</w:t>
      </w:r>
      <w:r>
        <w:rPr>
          <w:spacing w:val="-8"/>
          <w:vertAlign w:val="baseline"/>
        </w:rPr>
        <w:t> </w:t>
      </w:r>
      <w:r>
        <w:rPr>
          <w:vertAlign w:val="baseline"/>
        </w:rPr>
        <w:t>COVID-19</w:t>
      </w:r>
      <w:r>
        <w:rPr>
          <w:spacing w:val="-10"/>
          <w:vertAlign w:val="baseline"/>
        </w:rPr>
        <w:t> </w:t>
      </w:r>
      <w:r>
        <w:rPr>
          <w:vertAlign w:val="baseline"/>
        </w:rPr>
        <w:t>pandemic,</w:t>
      </w:r>
      <w:r>
        <w:rPr>
          <w:spacing w:val="-10"/>
          <w:vertAlign w:val="baseline"/>
        </w:rPr>
        <w:t> </w:t>
      </w:r>
      <w:r>
        <w:rPr>
          <w:vertAlign w:val="baseline"/>
        </w:rPr>
        <w:t>and</w:t>
      </w:r>
      <w:r>
        <w:rPr>
          <w:spacing w:val="-9"/>
          <w:vertAlign w:val="baseline"/>
        </w:rPr>
        <w:t> </w:t>
      </w:r>
      <w:r>
        <w:rPr>
          <w:vertAlign w:val="baseline"/>
        </w:rPr>
        <w:t>that</w:t>
      </w:r>
      <w:r>
        <w:rPr>
          <w:spacing w:val="-9"/>
          <w:vertAlign w:val="baseline"/>
        </w:rPr>
        <w:t> </w:t>
      </w:r>
      <w:r>
        <w:rPr>
          <w:vertAlign w:val="baseline"/>
        </w:rPr>
        <w:t>many</w:t>
      </w:r>
      <w:r>
        <w:rPr>
          <w:spacing w:val="-9"/>
          <w:vertAlign w:val="baseline"/>
        </w:rPr>
        <w:t> </w:t>
      </w:r>
      <w:r>
        <w:rPr>
          <w:vertAlign w:val="baseline"/>
        </w:rPr>
        <w:t>patients</w:t>
      </w:r>
      <w:r>
        <w:rPr>
          <w:spacing w:val="-8"/>
          <w:vertAlign w:val="baseline"/>
        </w:rPr>
        <w:t> </w:t>
      </w:r>
      <w:r>
        <w:rPr>
          <w:vertAlign w:val="baseline"/>
        </w:rPr>
        <w:t>continued</w:t>
      </w:r>
      <w:r>
        <w:rPr>
          <w:spacing w:val="-9"/>
          <w:vertAlign w:val="baseline"/>
        </w:rPr>
        <w:t> </w:t>
      </w:r>
      <w:r>
        <w:rPr>
          <w:vertAlign w:val="baseline"/>
        </w:rPr>
        <w:t>to</w:t>
      </w:r>
      <w:r>
        <w:rPr>
          <w:spacing w:val="-9"/>
          <w:vertAlign w:val="baseline"/>
        </w:rPr>
        <w:t> </w:t>
      </w:r>
      <w:r>
        <w:rPr>
          <w:vertAlign w:val="baseline"/>
        </w:rPr>
        <w:t>request</w:t>
      </w:r>
      <w:r>
        <w:rPr>
          <w:spacing w:val="-9"/>
          <w:vertAlign w:val="baseline"/>
        </w:rPr>
        <w:t> </w:t>
      </w:r>
      <w:r>
        <w:rPr>
          <w:vertAlign w:val="baseline"/>
        </w:rPr>
        <w:t>telehealth appointments</w:t>
      </w:r>
      <w:r>
        <w:rPr>
          <w:spacing w:val="-8"/>
          <w:vertAlign w:val="baseline"/>
        </w:rPr>
        <w:t> </w:t>
      </w:r>
      <w:r>
        <w:rPr>
          <w:vertAlign w:val="baseline"/>
        </w:rPr>
        <w:t>even</w:t>
      </w:r>
      <w:r>
        <w:rPr>
          <w:spacing w:val="-2"/>
          <w:vertAlign w:val="baseline"/>
        </w:rPr>
        <w:t> </w:t>
      </w:r>
      <w:r>
        <w:rPr>
          <w:vertAlign w:val="baseline"/>
        </w:rPr>
        <w:t>after</w:t>
      </w:r>
      <w:r>
        <w:rPr>
          <w:spacing w:val="-1"/>
          <w:vertAlign w:val="baseline"/>
        </w:rPr>
        <w:t> </w:t>
      </w:r>
      <w:r>
        <w:rPr>
          <w:vertAlign w:val="baseline"/>
        </w:rPr>
        <w:t>social</w:t>
      </w:r>
      <w:r>
        <w:rPr>
          <w:spacing w:val="-2"/>
          <w:vertAlign w:val="baseline"/>
        </w:rPr>
        <w:t> </w:t>
      </w:r>
      <w:r>
        <w:rPr>
          <w:vertAlign w:val="baseline"/>
        </w:rPr>
        <w:t>distancing</w:t>
      </w:r>
      <w:r>
        <w:rPr>
          <w:spacing w:val="-2"/>
          <w:vertAlign w:val="baseline"/>
        </w:rPr>
        <w:t> </w:t>
      </w:r>
      <w:r>
        <w:rPr>
          <w:vertAlign w:val="baseline"/>
        </w:rPr>
        <w:t>guidelines were</w:t>
      </w:r>
      <w:r>
        <w:rPr>
          <w:spacing w:val="-2"/>
          <w:vertAlign w:val="baseline"/>
        </w:rPr>
        <w:t> </w:t>
      </w:r>
      <w:r>
        <w:rPr>
          <w:vertAlign w:val="baseline"/>
        </w:rPr>
        <w:t>relaxed.</w:t>
      </w:r>
      <w:r>
        <w:rPr>
          <w:vertAlign w:val="superscript"/>
        </w:rPr>
        <w:t>41</w:t>
      </w:r>
      <w:r>
        <w:rPr>
          <w:spacing w:val="-13"/>
          <w:vertAlign w:val="baseline"/>
        </w:rPr>
        <w:t> </w:t>
      </w:r>
      <w:r>
        <w:rPr>
          <w:vertAlign w:val="baseline"/>
        </w:rPr>
        <w:t>Despite</w:t>
      </w:r>
      <w:r>
        <w:rPr>
          <w:spacing w:val="-1"/>
          <w:vertAlign w:val="baseline"/>
        </w:rPr>
        <w:t> </w:t>
      </w:r>
      <w:r>
        <w:rPr>
          <w:vertAlign w:val="baseline"/>
        </w:rPr>
        <w:t>concerns that</w:t>
      </w:r>
      <w:r>
        <w:rPr>
          <w:spacing w:val="-1"/>
          <w:vertAlign w:val="baseline"/>
        </w:rPr>
        <w:t> </w:t>
      </w:r>
      <w:r>
        <w:rPr>
          <w:vertAlign w:val="baseline"/>
        </w:rPr>
        <w:t>telehealth could raise healthcare costs and claims by insurance companies that telehealth lowers costs, preliminary</w:t>
      </w:r>
      <w:r>
        <w:rPr>
          <w:spacing w:val="-3"/>
          <w:vertAlign w:val="baseline"/>
        </w:rPr>
        <w:t> </w:t>
      </w:r>
      <w:r>
        <w:rPr>
          <w:vertAlign w:val="baseline"/>
        </w:rPr>
        <w:t>research</w:t>
      </w:r>
      <w:r>
        <w:rPr>
          <w:spacing w:val="-5"/>
          <w:vertAlign w:val="baseline"/>
        </w:rPr>
        <w:t> </w:t>
      </w:r>
      <w:r>
        <w:rPr>
          <w:vertAlign w:val="baseline"/>
        </w:rPr>
        <w:t>shows</w:t>
      </w:r>
      <w:r>
        <w:rPr>
          <w:spacing w:val="-4"/>
          <w:vertAlign w:val="baseline"/>
        </w:rPr>
        <w:t> </w:t>
      </w:r>
      <w:r>
        <w:rPr>
          <w:vertAlign w:val="baseline"/>
        </w:rPr>
        <w:t>that</w:t>
      </w:r>
      <w:r>
        <w:rPr>
          <w:spacing w:val="-4"/>
          <w:vertAlign w:val="baseline"/>
        </w:rPr>
        <w:t> </w:t>
      </w:r>
      <w:r>
        <w:rPr>
          <w:vertAlign w:val="baseline"/>
        </w:rPr>
        <w:t>telehealth</w:t>
      </w:r>
      <w:r>
        <w:rPr>
          <w:spacing w:val="-5"/>
          <w:vertAlign w:val="baseline"/>
        </w:rPr>
        <w:t> </w:t>
      </w:r>
      <w:r>
        <w:rPr>
          <w:vertAlign w:val="baseline"/>
        </w:rPr>
        <w:t>is</w:t>
      </w:r>
      <w:r>
        <w:rPr>
          <w:spacing w:val="-3"/>
          <w:vertAlign w:val="baseline"/>
        </w:rPr>
        <w:t> </w:t>
      </w:r>
      <w:r>
        <w:rPr>
          <w:vertAlign w:val="baseline"/>
        </w:rPr>
        <w:t>cost-neutral</w:t>
      </w:r>
      <w:r>
        <w:rPr>
          <w:spacing w:val="-5"/>
          <w:vertAlign w:val="baseline"/>
        </w:rPr>
        <w:t> </w:t>
      </w:r>
      <w:r>
        <w:rPr>
          <w:vertAlign w:val="baseline"/>
        </w:rPr>
        <w:t>in</w:t>
      </w:r>
      <w:r>
        <w:rPr>
          <w:spacing w:val="-4"/>
          <w:vertAlign w:val="baseline"/>
        </w:rPr>
        <w:t> </w:t>
      </w:r>
      <w:r>
        <w:rPr>
          <w:vertAlign w:val="baseline"/>
        </w:rPr>
        <w:t>that</w:t>
      </w:r>
      <w:r>
        <w:rPr>
          <w:spacing w:val="-4"/>
          <w:vertAlign w:val="baseline"/>
        </w:rPr>
        <w:t> </w:t>
      </w:r>
      <w:r>
        <w:rPr>
          <w:vertAlign w:val="baseline"/>
        </w:rPr>
        <w:t>it</w:t>
      </w:r>
      <w:r>
        <w:rPr>
          <w:spacing w:val="-4"/>
          <w:vertAlign w:val="baseline"/>
        </w:rPr>
        <w:t> </w:t>
      </w:r>
      <w:r>
        <w:rPr>
          <w:vertAlign w:val="baseline"/>
        </w:rPr>
        <w:t>does</w:t>
      </w:r>
      <w:r>
        <w:rPr>
          <w:spacing w:val="-4"/>
          <w:vertAlign w:val="baseline"/>
        </w:rPr>
        <w:t> </w:t>
      </w:r>
      <w:r>
        <w:rPr>
          <w:vertAlign w:val="baseline"/>
        </w:rPr>
        <w:t>not</w:t>
      </w:r>
      <w:r>
        <w:rPr>
          <w:spacing w:val="-5"/>
          <w:vertAlign w:val="baseline"/>
        </w:rPr>
        <w:t> </w:t>
      </w:r>
      <w:r>
        <w:rPr>
          <w:vertAlign w:val="baseline"/>
        </w:rPr>
        <w:t>reduce</w:t>
      </w:r>
      <w:r>
        <w:rPr>
          <w:spacing w:val="-4"/>
          <w:vertAlign w:val="baseline"/>
        </w:rPr>
        <w:t> </w:t>
      </w:r>
      <w:r>
        <w:rPr>
          <w:vertAlign w:val="baseline"/>
        </w:rPr>
        <w:t>operating</w:t>
      </w:r>
      <w:r>
        <w:rPr>
          <w:spacing w:val="-5"/>
          <w:vertAlign w:val="baseline"/>
        </w:rPr>
        <w:t> </w:t>
      </w:r>
      <w:r>
        <w:rPr>
          <w:vertAlign w:val="baseline"/>
        </w:rPr>
        <w:t>costs.</w:t>
      </w:r>
      <w:r>
        <w:rPr>
          <w:vertAlign w:val="superscript"/>
        </w:rPr>
        <w:t>42</w:t>
      </w:r>
    </w:p>
    <w:p>
      <w:pPr>
        <w:spacing w:before="240"/>
        <w:ind w:left="464" w:right="0" w:firstLine="0"/>
        <w:jc w:val="both"/>
        <w:rPr>
          <w:sz w:val="28"/>
        </w:rPr>
      </w:pPr>
      <w:bookmarkStart w:name="Health Care Access and Quality" w:id="356"/>
      <w:bookmarkEnd w:id="356"/>
      <w:r>
        <w:rPr/>
      </w:r>
      <w:r>
        <w:rPr>
          <w:color w:val="365F91"/>
          <w:sz w:val="28"/>
        </w:rPr>
        <w:t>Health</w:t>
      </w:r>
      <w:r>
        <w:rPr>
          <w:color w:val="365F91"/>
          <w:spacing w:val="-9"/>
          <w:sz w:val="28"/>
        </w:rPr>
        <w:t> </w:t>
      </w:r>
      <w:r>
        <w:rPr>
          <w:color w:val="365F91"/>
          <w:sz w:val="28"/>
        </w:rPr>
        <w:t>Care</w:t>
      </w:r>
      <w:r>
        <w:rPr>
          <w:color w:val="365F91"/>
          <w:spacing w:val="-8"/>
          <w:sz w:val="28"/>
        </w:rPr>
        <w:t> </w:t>
      </w:r>
      <w:r>
        <w:rPr>
          <w:color w:val="365F91"/>
          <w:sz w:val="28"/>
        </w:rPr>
        <w:t>Access</w:t>
      </w:r>
      <w:r>
        <w:rPr>
          <w:color w:val="365F91"/>
          <w:spacing w:val="-7"/>
          <w:sz w:val="28"/>
        </w:rPr>
        <w:t> </w:t>
      </w:r>
      <w:r>
        <w:rPr>
          <w:color w:val="365F91"/>
          <w:sz w:val="28"/>
        </w:rPr>
        <w:t>and</w:t>
      </w:r>
      <w:r>
        <w:rPr>
          <w:color w:val="365F91"/>
          <w:spacing w:val="-9"/>
          <w:sz w:val="28"/>
        </w:rPr>
        <w:t> </w:t>
      </w:r>
      <w:r>
        <w:rPr>
          <w:color w:val="365F91"/>
          <w:spacing w:val="-2"/>
          <w:sz w:val="28"/>
        </w:rPr>
        <w:t>Quality</w:t>
      </w:r>
    </w:p>
    <w:p>
      <w:pPr>
        <w:pStyle w:val="BodyText"/>
        <w:spacing w:line="276" w:lineRule="auto" w:before="292"/>
        <w:ind w:left="463" w:right="242"/>
        <w:jc w:val="both"/>
      </w:pPr>
      <w:r>
        <w:rPr/>
        <w:t>Access to competent, culturally sensitive healthcare remains a pressing issue for LGBTQ youth.</w:t>
      </w:r>
      <w:r>
        <w:rPr>
          <w:vertAlign w:val="superscript"/>
        </w:rPr>
        <w:t>43,44</w:t>
      </w:r>
      <w:r>
        <w:rPr>
          <w:vertAlign w:val="baseline"/>
        </w:rPr>
        <w:t> Many healthcare providers do not feel informed about the specific health needs of the LGBTQ community,</w:t>
      </w:r>
      <w:r>
        <w:rPr>
          <w:vertAlign w:val="superscript"/>
        </w:rPr>
        <w:t>45</w:t>
      </w:r>
      <w:r>
        <w:rPr>
          <w:spacing w:val="-9"/>
          <w:vertAlign w:val="baseline"/>
        </w:rPr>
        <w:t> </w:t>
      </w:r>
      <w:r>
        <w:rPr>
          <w:vertAlign w:val="baseline"/>
        </w:rPr>
        <w:t>and</w:t>
      </w:r>
      <w:r>
        <w:rPr>
          <w:spacing w:val="-2"/>
          <w:vertAlign w:val="baseline"/>
        </w:rPr>
        <w:t> </w:t>
      </w:r>
      <w:r>
        <w:rPr>
          <w:vertAlign w:val="baseline"/>
        </w:rPr>
        <w:t>report</w:t>
      </w:r>
      <w:r>
        <w:rPr>
          <w:spacing w:val="-2"/>
          <w:vertAlign w:val="baseline"/>
        </w:rPr>
        <w:t> </w:t>
      </w:r>
      <w:r>
        <w:rPr>
          <w:vertAlign w:val="baseline"/>
        </w:rPr>
        <w:t>receiving</w:t>
      </w:r>
      <w:r>
        <w:rPr>
          <w:spacing w:val="-3"/>
          <w:vertAlign w:val="baseline"/>
        </w:rPr>
        <w:t> </w:t>
      </w:r>
      <w:r>
        <w:rPr>
          <w:vertAlign w:val="baseline"/>
        </w:rPr>
        <w:t>little</w:t>
      </w:r>
      <w:r>
        <w:rPr>
          <w:spacing w:val="-2"/>
          <w:vertAlign w:val="baseline"/>
        </w:rPr>
        <w:t> </w:t>
      </w:r>
      <w:r>
        <w:rPr>
          <w:vertAlign w:val="baseline"/>
        </w:rPr>
        <w:t>to</w:t>
      </w:r>
      <w:r>
        <w:rPr>
          <w:spacing w:val="-1"/>
          <w:vertAlign w:val="baseline"/>
        </w:rPr>
        <w:t> </w:t>
      </w:r>
      <w:r>
        <w:rPr>
          <w:vertAlign w:val="baseline"/>
        </w:rPr>
        <w:t>no</w:t>
      </w:r>
      <w:r>
        <w:rPr>
          <w:spacing w:val="-2"/>
          <w:vertAlign w:val="baseline"/>
        </w:rPr>
        <w:t> </w:t>
      </w:r>
      <w:r>
        <w:rPr>
          <w:vertAlign w:val="baseline"/>
        </w:rPr>
        <w:t>training</w:t>
      </w:r>
      <w:r>
        <w:rPr>
          <w:spacing w:val="-3"/>
          <w:vertAlign w:val="baseline"/>
        </w:rPr>
        <w:t> </w:t>
      </w:r>
      <w:r>
        <w:rPr>
          <w:vertAlign w:val="baseline"/>
        </w:rPr>
        <w:t>on</w:t>
      </w:r>
      <w:r>
        <w:rPr>
          <w:spacing w:val="-2"/>
          <w:vertAlign w:val="baseline"/>
        </w:rPr>
        <w:t> </w:t>
      </w:r>
      <w:r>
        <w:rPr>
          <w:vertAlign w:val="baseline"/>
        </w:rPr>
        <w:t>the</w:t>
      </w:r>
      <w:r>
        <w:rPr>
          <w:spacing w:val="-2"/>
          <w:vertAlign w:val="baseline"/>
        </w:rPr>
        <w:t> </w:t>
      </w:r>
      <w:r>
        <w:rPr>
          <w:vertAlign w:val="baseline"/>
        </w:rPr>
        <w:t>topic</w:t>
      </w:r>
      <w:r>
        <w:rPr>
          <w:spacing w:val="-3"/>
          <w:vertAlign w:val="baseline"/>
        </w:rPr>
        <w:t> </w:t>
      </w:r>
      <w:r>
        <w:rPr>
          <w:vertAlign w:val="baseline"/>
        </w:rPr>
        <w:t>of</w:t>
      </w:r>
      <w:r>
        <w:rPr>
          <w:spacing w:val="-2"/>
          <w:vertAlign w:val="baseline"/>
        </w:rPr>
        <w:t> </w:t>
      </w:r>
      <w:r>
        <w:rPr>
          <w:vertAlign w:val="baseline"/>
        </w:rPr>
        <w:t>LGBTQ</w:t>
      </w:r>
      <w:r>
        <w:rPr>
          <w:spacing w:val="-3"/>
          <w:vertAlign w:val="baseline"/>
        </w:rPr>
        <w:t> </w:t>
      </w:r>
      <w:r>
        <w:rPr>
          <w:vertAlign w:val="baseline"/>
        </w:rPr>
        <w:t>youth.</w:t>
      </w:r>
      <w:r>
        <w:rPr>
          <w:vertAlign w:val="superscript"/>
        </w:rPr>
        <w:t>46</w:t>
      </w:r>
      <w:r>
        <w:rPr>
          <w:spacing w:val="-13"/>
          <w:vertAlign w:val="baseline"/>
        </w:rPr>
        <w:t> </w:t>
      </w:r>
      <w:r>
        <w:rPr>
          <w:vertAlign w:val="baseline"/>
        </w:rPr>
        <w:t>A</w:t>
      </w:r>
      <w:r>
        <w:rPr>
          <w:spacing w:val="-2"/>
          <w:vertAlign w:val="baseline"/>
        </w:rPr>
        <w:t> </w:t>
      </w:r>
      <w:r>
        <w:rPr>
          <w:vertAlign w:val="baseline"/>
        </w:rPr>
        <w:t>2021</w:t>
      </w:r>
      <w:r>
        <w:rPr>
          <w:spacing w:val="-3"/>
          <w:vertAlign w:val="baseline"/>
        </w:rPr>
        <w:t> </w:t>
      </w:r>
      <w:r>
        <w:rPr>
          <w:vertAlign w:val="baseline"/>
        </w:rPr>
        <w:t>from</w:t>
      </w:r>
      <w:r>
        <w:rPr>
          <w:spacing w:val="-2"/>
          <w:vertAlign w:val="baseline"/>
        </w:rPr>
        <w:t> </w:t>
      </w:r>
      <w:r>
        <w:rPr>
          <w:vertAlign w:val="baseline"/>
        </w:rPr>
        <w:t>the Center for American Progress noted that, in the last year, one-third of transgender respondents reported having to teach their doctor about transgender people in order to receive adequate care.</w:t>
      </w:r>
      <w:r>
        <w:rPr>
          <w:vertAlign w:val="superscript"/>
        </w:rPr>
        <w:t>47</w:t>
      </w:r>
    </w:p>
    <w:p>
      <w:pPr>
        <w:pStyle w:val="BodyText"/>
        <w:spacing w:line="276" w:lineRule="auto" w:before="240"/>
        <w:ind w:left="463" w:right="4173" w:firstLine="14"/>
        <w:jc w:val="both"/>
      </w:pPr>
      <w:r>
        <w:rPr/>
        <w:drawing>
          <wp:anchor distT="0" distB="0" distL="0" distR="0" allowOverlap="1" layoutInCell="1" locked="0" behindDoc="0" simplePos="0" relativeHeight="15772160">
            <wp:simplePos x="0" y="0"/>
            <wp:positionH relativeFrom="page">
              <wp:posOffset>4361813</wp:posOffset>
            </wp:positionH>
            <wp:positionV relativeFrom="paragraph">
              <wp:posOffset>301923</wp:posOffset>
            </wp:positionV>
            <wp:extent cx="2496184" cy="2496184"/>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78" cstate="print"/>
                    <a:stretch>
                      <a:fillRect/>
                    </a:stretch>
                  </pic:blipFill>
                  <pic:spPr>
                    <a:xfrm>
                      <a:off x="0" y="0"/>
                      <a:ext cx="2496184" cy="2496184"/>
                    </a:xfrm>
                    <a:prstGeom prst="rect">
                      <a:avLst/>
                    </a:prstGeom>
                  </pic:spPr>
                </pic:pic>
              </a:graphicData>
            </a:graphic>
          </wp:anchor>
        </w:drawing>
      </w:r>
      <w:r>
        <w:rPr/>
        <w:t>In addition to primary care, LGBTQ youth also struggle to access critical mental health care. In 2016, the American Psychological Association reported that most states had less than half the necessary number of public psychiatry beds, and that only 21% of children and adolescents received necessary mental health care due to a lack of mental health facilities.</w:t>
      </w:r>
      <w:r>
        <w:rPr>
          <w:vertAlign w:val="superscript"/>
        </w:rPr>
        <w:t>48</w:t>
      </w:r>
      <w:r>
        <w:rPr>
          <w:vertAlign w:val="baseline"/>
        </w:rPr>
        <w:t> The report detailed youth waiting in emergency rooms until inpatient psychiatric beds become available, the shortage of psychiatric care for youth in general, and how these system deficits leave many</w:t>
      </w:r>
      <w:r>
        <w:rPr>
          <w:spacing w:val="-8"/>
          <w:vertAlign w:val="baseline"/>
        </w:rPr>
        <w:t> </w:t>
      </w:r>
      <w:r>
        <w:rPr>
          <w:vertAlign w:val="baseline"/>
        </w:rPr>
        <w:t>youths</w:t>
      </w:r>
      <w:r>
        <w:rPr>
          <w:spacing w:val="-6"/>
          <w:vertAlign w:val="baseline"/>
        </w:rPr>
        <w:t> </w:t>
      </w:r>
      <w:r>
        <w:rPr>
          <w:vertAlign w:val="baseline"/>
        </w:rPr>
        <w:t>untreated</w:t>
      </w:r>
      <w:r>
        <w:rPr>
          <w:spacing w:val="-7"/>
          <w:vertAlign w:val="baseline"/>
        </w:rPr>
        <w:t> </w:t>
      </w:r>
      <w:r>
        <w:rPr>
          <w:vertAlign w:val="baseline"/>
        </w:rPr>
        <w:t>and</w:t>
      </w:r>
      <w:r>
        <w:rPr>
          <w:spacing w:val="-9"/>
          <w:vertAlign w:val="baseline"/>
        </w:rPr>
        <w:t> </w:t>
      </w:r>
      <w:r>
        <w:rPr>
          <w:vertAlign w:val="baseline"/>
        </w:rPr>
        <w:t>families</w:t>
      </w:r>
      <w:r>
        <w:rPr>
          <w:spacing w:val="-8"/>
          <w:vertAlign w:val="baseline"/>
        </w:rPr>
        <w:t> </w:t>
      </w:r>
      <w:r>
        <w:rPr>
          <w:vertAlign w:val="baseline"/>
        </w:rPr>
        <w:t>without</w:t>
      </w:r>
      <w:r>
        <w:rPr>
          <w:spacing w:val="-8"/>
          <w:vertAlign w:val="baseline"/>
        </w:rPr>
        <w:t> </w:t>
      </w:r>
      <w:r>
        <w:rPr>
          <w:vertAlign w:val="baseline"/>
        </w:rPr>
        <w:t>help.</w:t>
      </w:r>
      <w:r>
        <w:rPr>
          <w:spacing w:val="-8"/>
          <w:vertAlign w:val="baseline"/>
        </w:rPr>
        <w:t> </w:t>
      </w:r>
      <w:r>
        <w:rPr>
          <w:vertAlign w:val="baseline"/>
        </w:rPr>
        <w:t>Adding to the crisis, the demand for psychiatric beds increased sharply during the COVID-19 pandemic. </w:t>
      </w:r>
      <w:r>
        <w:rPr>
          <w:vertAlign w:val="superscript"/>
        </w:rPr>
        <w:t>49</w:t>
      </w:r>
      <w:r>
        <w:rPr>
          <w:vertAlign w:val="baseline"/>
        </w:rPr>
        <w:t> This issue is especially</w:t>
      </w:r>
      <w:r>
        <w:rPr>
          <w:spacing w:val="-8"/>
          <w:vertAlign w:val="baseline"/>
        </w:rPr>
        <w:t> </w:t>
      </w:r>
      <w:r>
        <w:rPr>
          <w:vertAlign w:val="baseline"/>
        </w:rPr>
        <w:t>pressing</w:t>
      </w:r>
      <w:r>
        <w:rPr>
          <w:spacing w:val="-8"/>
          <w:vertAlign w:val="baseline"/>
        </w:rPr>
        <w:t> </w:t>
      </w:r>
      <w:r>
        <w:rPr>
          <w:vertAlign w:val="baseline"/>
        </w:rPr>
        <w:t>for</w:t>
      </w:r>
      <w:r>
        <w:rPr>
          <w:spacing w:val="-7"/>
          <w:vertAlign w:val="baseline"/>
        </w:rPr>
        <w:t> </w:t>
      </w:r>
      <w:r>
        <w:rPr>
          <w:vertAlign w:val="baseline"/>
        </w:rPr>
        <w:t>LGBTQ</w:t>
      </w:r>
      <w:r>
        <w:rPr>
          <w:spacing w:val="-8"/>
          <w:vertAlign w:val="baseline"/>
        </w:rPr>
        <w:t> </w:t>
      </w:r>
      <w:r>
        <w:rPr>
          <w:vertAlign w:val="baseline"/>
        </w:rPr>
        <w:t>youth,</w:t>
      </w:r>
      <w:r>
        <w:rPr>
          <w:spacing w:val="-8"/>
          <w:vertAlign w:val="baseline"/>
        </w:rPr>
        <w:t> </w:t>
      </w:r>
      <w:r>
        <w:rPr>
          <w:vertAlign w:val="baseline"/>
        </w:rPr>
        <w:t>who</w:t>
      </w:r>
      <w:r>
        <w:rPr>
          <w:spacing w:val="-6"/>
          <w:vertAlign w:val="baseline"/>
        </w:rPr>
        <w:t> </w:t>
      </w:r>
      <w:r>
        <w:rPr>
          <w:vertAlign w:val="baseline"/>
        </w:rPr>
        <w:t>are</w:t>
      </w:r>
      <w:r>
        <w:rPr>
          <w:spacing w:val="-8"/>
          <w:vertAlign w:val="baseline"/>
        </w:rPr>
        <w:t> </w:t>
      </w:r>
      <w:r>
        <w:rPr>
          <w:spacing w:val="-2"/>
          <w:vertAlign w:val="baseline"/>
        </w:rPr>
        <w:t>significantly</w:t>
      </w:r>
    </w:p>
    <w:p>
      <w:pPr>
        <w:pStyle w:val="BodyText"/>
        <w:spacing w:line="276" w:lineRule="auto"/>
        <w:ind w:left="464" w:right="243"/>
        <w:jc w:val="both"/>
      </w:pPr>
      <w:r>
        <w:rPr/>
        <w:t>more</w:t>
      </w:r>
      <w:r>
        <w:rPr>
          <w:spacing w:val="-5"/>
        </w:rPr>
        <w:t> </w:t>
      </w:r>
      <w:r>
        <w:rPr/>
        <w:t>likely to attempt suicide than their heterosexual peers,</w:t>
      </w:r>
      <w:r>
        <w:rPr>
          <w:vertAlign w:val="superscript"/>
        </w:rPr>
        <w:t>50</w:t>
      </w:r>
      <w:r>
        <w:rPr>
          <w:spacing w:val="-13"/>
          <w:vertAlign w:val="baseline"/>
        </w:rPr>
        <w:t> </w:t>
      </w:r>
      <w:r>
        <w:rPr>
          <w:vertAlign w:val="baseline"/>
        </w:rPr>
        <w:t>and transgender and intersex youth in particular, who face unique risk factors that lead to an increased risk of suicide.</w:t>
      </w:r>
      <w:r>
        <w:rPr>
          <w:vertAlign w:val="superscript"/>
        </w:rPr>
        <w:t>51</w:t>
      </w:r>
    </w:p>
    <w:p>
      <w:pPr>
        <w:pStyle w:val="BodyText"/>
        <w:spacing w:line="276" w:lineRule="auto" w:before="240"/>
        <w:ind w:left="463" w:right="242" w:firstLine="14"/>
        <w:jc w:val="both"/>
      </w:pPr>
      <w:r>
        <w:rPr/>
        <w:t>Despite the illegality of automatic, categorical exclusions of transgender care,</w:t>
      </w:r>
      <w:r>
        <w:rPr>
          <w:vertAlign w:val="superscript"/>
        </w:rPr>
        <w:t>52</w:t>
      </w:r>
      <w:r>
        <w:rPr>
          <w:spacing w:val="-8"/>
          <w:vertAlign w:val="baseline"/>
        </w:rPr>
        <w:t> </w:t>
      </w:r>
      <w:r>
        <w:rPr>
          <w:vertAlign w:val="baseline"/>
        </w:rPr>
        <w:t>many LGBTQ youth and caregivers report experiencing insurance exclusions when accessing care.</w:t>
      </w:r>
      <w:r>
        <w:rPr>
          <w:vertAlign w:val="superscript"/>
        </w:rPr>
        <w:t>53</w:t>
      </w:r>
      <w:r>
        <w:rPr>
          <w:spacing w:val="-12"/>
          <w:vertAlign w:val="baseline"/>
        </w:rPr>
        <w:t> </w:t>
      </w:r>
      <w:r>
        <w:rPr>
          <w:vertAlign w:val="baseline"/>
        </w:rPr>
        <w:t>A 2019 Pennsylvania study found that 47% of surveyed insurance plans contained at least one transgender-specific exclusion</w:t>
      </w:r>
      <w:r>
        <w:rPr>
          <w:spacing w:val="-13"/>
          <w:vertAlign w:val="baseline"/>
        </w:rPr>
        <w:t> </w:t>
      </w:r>
      <w:r>
        <w:rPr>
          <w:vertAlign w:val="baseline"/>
        </w:rPr>
        <w:t>policy,</w:t>
      </w:r>
      <w:r>
        <w:rPr>
          <w:spacing w:val="-12"/>
          <w:vertAlign w:val="baseline"/>
        </w:rPr>
        <w:t> </w:t>
      </w:r>
      <w:r>
        <w:rPr>
          <w:vertAlign w:val="baseline"/>
        </w:rPr>
        <w:t>and</w:t>
      </w:r>
      <w:r>
        <w:rPr>
          <w:spacing w:val="-13"/>
          <w:vertAlign w:val="baseline"/>
        </w:rPr>
        <w:t> </w:t>
      </w:r>
      <w:r>
        <w:rPr>
          <w:vertAlign w:val="baseline"/>
        </w:rPr>
        <w:t>33%</w:t>
      </w:r>
      <w:r>
        <w:rPr>
          <w:spacing w:val="-12"/>
          <w:vertAlign w:val="baseline"/>
        </w:rPr>
        <w:t> </w:t>
      </w:r>
      <w:r>
        <w:rPr>
          <w:vertAlign w:val="baseline"/>
        </w:rPr>
        <w:t>flagged</w:t>
      </w:r>
      <w:r>
        <w:rPr>
          <w:spacing w:val="-13"/>
          <w:vertAlign w:val="baseline"/>
        </w:rPr>
        <w:t> </w:t>
      </w:r>
      <w:r>
        <w:rPr>
          <w:vertAlign w:val="baseline"/>
        </w:rPr>
        <w:t>or</w:t>
      </w:r>
      <w:r>
        <w:rPr>
          <w:spacing w:val="-12"/>
          <w:vertAlign w:val="baseline"/>
        </w:rPr>
        <w:t> </w:t>
      </w:r>
      <w:r>
        <w:rPr>
          <w:vertAlign w:val="baseline"/>
        </w:rPr>
        <w:t>denied</w:t>
      </w:r>
      <w:r>
        <w:rPr>
          <w:spacing w:val="-13"/>
          <w:vertAlign w:val="baseline"/>
        </w:rPr>
        <w:t> </w:t>
      </w:r>
      <w:r>
        <w:rPr>
          <w:vertAlign w:val="baseline"/>
        </w:rPr>
        <w:t>coverage</w:t>
      </w:r>
      <w:r>
        <w:rPr>
          <w:spacing w:val="-12"/>
          <w:vertAlign w:val="baseline"/>
        </w:rPr>
        <w:t> </w:t>
      </w:r>
      <w:r>
        <w:rPr>
          <w:vertAlign w:val="baseline"/>
        </w:rPr>
        <w:t>based</w:t>
      </w:r>
      <w:r>
        <w:rPr>
          <w:spacing w:val="-12"/>
          <w:vertAlign w:val="baseline"/>
        </w:rPr>
        <w:t> </w:t>
      </w:r>
      <w:r>
        <w:rPr>
          <w:vertAlign w:val="baseline"/>
        </w:rPr>
        <w:t>on</w:t>
      </w:r>
      <w:r>
        <w:rPr>
          <w:spacing w:val="-13"/>
          <w:vertAlign w:val="baseline"/>
        </w:rPr>
        <w:t> </w:t>
      </w:r>
      <w:r>
        <w:rPr>
          <w:vertAlign w:val="baseline"/>
        </w:rPr>
        <w:t>gender</w:t>
      </w:r>
      <w:r>
        <w:rPr>
          <w:spacing w:val="-12"/>
          <w:vertAlign w:val="baseline"/>
        </w:rPr>
        <w:t> </w:t>
      </w:r>
      <w:r>
        <w:rPr>
          <w:vertAlign w:val="baseline"/>
        </w:rPr>
        <w:t>markers.</w:t>
      </w:r>
      <w:r>
        <w:rPr>
          <w:vertAlign w:val="superscript"/>
        </w:rPr>
        <w:t>54</w:t>
      </w:r>
      <w:r>
        <w:rPr>
          <w:spacing w:val="-13"/>
          <w:vertAlign w:val="baseline"/>
        </w:rPr>
        <w:t> </w:t>
      </w:r>
      <w:r>
        <w:rPr>
          <w:vertAlign w:val="baseline"/>
        </w:rPr>
        <w:t>More</w:t>
      </w:r>
      <w:r>
        <w:rPr>
          <w:spacing w:val="-12"/>
          <w:vertAlign w:val="baseline"/>
        </w:rPr>
        <w:t> </w:t>
      </w:r>
      <w:r>
        <w:rPr>
          <w:vertAlign w:val="baseline"/>
        </w:rPr>
        <w:t>research</w:t>
      </w:r>
      <w:r>
        <w:rPr>
          <w:spacing w:val="-13"/>
          <w:vertAlign w:val="baseline"/>
        </w:rPr>
        <w:t> </w:t>
      </w:r>
      <w:r>
        <w:rPr>
          <w:vertAlign w:val="baseline"/>
        </w:rPr>
        <w:t>needs to be done to examine how LGBTQ youth in Massachusetts are being impacted, and what additional insurance barriers exist beyond exclusions, such as prior authorizations and denials.</w:t>
      </w:r>
    </w:p>
    <w:p>
      <w:pPr>
        <w:pStyle w:val="BodyText"/>
        <w:spacing w:line="276" w:lineRule="auto" w:before="240"/>
        <w:ind w:left="463" w:right="241"/>
        <w:jc w:val="both"/>
      </w:pPr>
      <w:r>
        <w:rPr/>
        <w:t>Further barriers in Massachusetts include safety in healthcare facilities. In the last several years, security</w:t>
      </w:r>
      <w:r>
        <w:rPr>
          <w:spacing w:val="15"/>
        </w:rPr>
        <w:t> </w:t>
      </w:r>
      <w:r>
        <w:rPr/>
        <w:t>has</w:t>
      </w:r>
      <w:r>
        <w:rPr>
          <w:spacing w:val="16"/>
        </w:rPr>
        <w:t> </w:t>
      </w:r>
      <w:r>
        <w:rPr/>
        <w:t>emerged</w:t>
      </w:r>
      <w:r>
        <w:rPr>
          <w:spacing w:val="14"/>
        </w:rPr>
        <w:t> </w:t>
      </w:r>
      <w:r>
        <w:rPr/>
        <w:t>as</w:t>
      </w:r>
      <w:r>
        <w:rPr>
          <w:spacing w:val="16"/>
        </w:rPr>
        <w:t> </w:t>
      </w:r>
      <w:r>
        <w:rPr/>
        <w:t>a</w:t>
      </w:r>
      <w:r>
        <w:rPr>
          <w:spacing w:val="14"/>
        </w:rPr>
        <w:t> </w:t>
      </w:r>
      <w:r>
        <w:rPr/>
        <w:t>serious</w:t>
      </w:r>
      <w:r>
        <w:rPr>
          <w:spacing w:val="14"/>
        </w:rPr>
        <w:t> </w:t>
      </w:r>
      <w:r>
        <w:rPr/>
        <w:t>threat</w:t>
      </w:r>
      <w:r>
        <w:rPr>
          <w:spacing w:val="14"/>
        </w:rPr>
        <w:t> </w:t>
      </w:r>
      <w:r>
        <w:rPr/>
        <w:t>to</w:t>
      </w:r>
      <w:r>
        <w:rPr>
          <w:spacing w:val="16"/>
        </w:rPr>
        <w:t> </w:t>
      </w:r>
      <w:r>
        <w:rPr/>
        <w:t>pediatric</w:t>
      </w:r>
      <w:r>
        <w:rPr>
          <w:spacing w:val="14"/>
        </w:rPr>
        <w:t> </w:t>
      </w:r>
      <w:r>
        <w:rPr/>
        <w:t>gender-affirming</w:t>
      </w:r>
      <w:r>
        <w:rPr>
          <w:spacing w:val="15"/>
        </w:rPr>
        <w:t> </w:t>
      </w:r>
      <w:r>
        <w:rPr/>
        <w:t>care</w:t>
      </w:r>
      <w:r>
        <w:rPr>
          <w:spacing w:val="15"/>
        </w:rPr>
        <w:t> </w:t>
      </w:r>
      <w:r>
        <w:rPr/>
        <w:t>spaces.</w:t>
      </w:r>
      <w:r>
        <w:rPr>
          <w:spacing w:val="15"/>
        </w:rPr>
        <w:t> </w:t>
      </w:r>
      <w:r>
        <w:rPr/>
        <w:t>In</w:t>
      </w:r>
      <w:r>
        <w:rPr>
          <w:spacing w:val="14"/>
        </w:rPr>
        <w:t> </w:t>
      </w:r>
      <w:r>
        <w:rPr/>
        <w:t>August</w:t>
      </w:r>
      <w:r>
        <w:rPr>
          <w:spacing w:val="14"/>
        </w:rPr>
        <w:t> </w:t>
      </w:r>
      <w:r>
        <w:rPr/>
        <w:t>2022,</w:t>
      </w:r>
    </w:p>
    <w:p>
      <w:pPr>
        <w:spacing w:after="0" w:line="276" w:lineRule="auto"/>
        <w:jc w:val="both"/>
        <w:sectPr>
          <w:pgSz w:w="12240" w:h="15840"/>
          <w:pgMar w:header="721" w:footer="1061" w:top="1360" w:bottom="1260" w:left="1120" w:right="1340"/>
        </w:sectPr>
      </w:pPr>
    </w:p>
    <w:p>
      <w:pPr>
        <w:pStyle w:val="BodyText"/>
        <w:spacing w:line="276" w:lineRule="auto" w:before="67"/>
        <w:ind w:left="463" w:right="240"/>
        <w:jc w:val="both"/>
      </w:pPr>
      <w:r>
        <w:rPr/>
        <w:t>Boston Children’s Hospital began receiving daily death threats, bomb threats, and hate mail because of a right-wing Twitter account that falsely accused the hospital of performing hysterectomies on children. </w:t>
      </w:r>
      <w:r>
        <w:rPr>
          <w:vertAlign w:val="superscript"/>
        </w:rPr>
        <w:t>55</w:t>
      </w:r>
      <w:r>
        <w:rPr>
          <w:spacing w:val="-11"/>
          <w:vertAlign w:val="baseline"/>
        </w:rPr>
        <w:t> </w:t>
      </w:r>
      <w:r>
        <w:rPr>
          <w:vertAlign w:val="baseline"/>
        </w:rPr>
        <w:t>Staff have reported feeling afraid to come to work and several staff members expressed concern that the threat of violence would deter clinicians from choosing to work in the field; despite the lack of continued media attention, the Commission understands from its own conversations with providers and advocates that the security threats have continued into 2023.</w:t>
      </w:r>
    </w:p>
    <w:p>
      <w:pPr>
        <w:pStyle w:val="BodyText"/>
        <w:spacing w:line="276" w:lineRule="auto" w:before="240"/>
        <w:ind w:left="463" w:right="240"/>
        <w:jc w:val="both"/>
      </w:pPr>
      <w:r>
        <w:rPr/>
        <mc:AlternateContent>
          <mc:Choice Requires="wps">
            <w:drawing>
              <wp:anchor distT="0" distB="0" distL="0" distR="0" allowOverlap="1" layoutInCell="1" locked="0" behindDoc="1" simplePos="0" relativeHeight="482594304">
                <wp:simplePos x="0" y="0"/>
                <wp:positionH relativeFrom="page">
                  <wp:posOffset>4751832</wp:posOffset>
                </wp:positionH>
                <wp:positionV relativeFrom="paragraph">
                  <wp:posOffset>937242</wp:posOffset>
                </wp:positionV>
                <wp:extent cx="18415" cy="170815"/>
                <wp:effectExtent l="0" t="0" r="0" b="0"/>
                <wp:wrapNone/>
                <wp:docPr id="266" name="Graphic 266"/>
                <wp:cNvGraphicFramePr>
                  <a:graphicFrameLocks/>
                </wp:cNvGraphicFramePr>
                <a:graphic>
                  <a:graphicData uri="http://schemas.microsoft.com/office/word/2010/wordprocessingShape">
                    <wps:wsp>
                      <wps:cNvPr id="266" name="Graphic 266"/>
                      <wps:cNvSpPr/>
                      <wps:spPr>
                        <a:xfrm>
                          <a:off x="0" y="0"/>
                          <a:ext cx="18415" cy="170815"/>
                        </a:xfrm>
                        <a:custGeom>
                          <a:avLst/>
                          <a:gdLst/>
                          <a:ahLst/>
                          <a:cxnLst/>
                          <a:rect l="l" t="t" r="r" b="b"/>
                          <a:pathLst>
                            <a:path w="18415" h="170815">
                              <a:moveTo>
                                <a:pt x="18287" y="0"/>
                              </a:moveTo>
                              <a:lnTo>
                                <a:pt x="0" y="0"/>
                              </a:lnTo>
                              <a:lnTo>
                                <a:pt x="0" y="170688"/>
                              </a:lnTo>
                              <a:lnTo>
                                <a:pt x="18287" y="170688"/>
                              </a:lnTo>
                              <a:lnTo>
                                <a:pt x="18287" y="0"/>
                              </a:lnTo>
                              <a:close/>
                            </a:path>
                          </a:pathLst>
                        </a:custGeom>
                        <a:solidFill>
                          <a:srgbClr val="FF9900"/>
                        </a:solidFill>
                      </wps:spPr>
                      <wps:bodyPr wrap="square" lIns="0" tIns="0" rIns="0" bIns="0" rtlCol="0">
                        <a:prstTxWarp prst="textNoShape">
                          <a:avLst/>
                        </a:prstTxWarp>
                        <a:noAutofit/>
                      </wps:bodyPr>
                    </wps:wsp>
                  </a:graphicData>
                </a:graphic>
              </wp:anchor>
            </w:drawing>
          </mc:Choice>
          <mc:Fallback>
            <w:pict>
              <v:rect style="position:absolute;margin-left:374.160004pt;margin-top:73.79863pt;width:1.44pt;height:13.44pt;mso-position-horizontal-relative:page;mso-position-vertical-relative:paragraph;z-index:-20722176" id="docshape212" filled="true" fillcolor="#ff9900" stroked="false">
                <v:fill type="solid"/>
                <w10:wrap type="none"/>
              </v:rect>
            </w:pict>
          </mc:Fallback>
        </mc:AlternateContent>
      </w:r>
      <w:r>
        <w:rPr/>
        <w:t>At every level - local, state, and federal - youth, families, educators, and providers have continued to endure online harassment and threats into 2024. As highlighted throughout this annual report, the rights of LGBTQ youth - particularly those who are BIPOC, trans and gender expansive - are under attack</w:t>
      </w:r>
      <w:r>
        <w:rPr>
          <w:spacing w:val="-8"/>
        </w:rPr>
        <w:t> </w:t>
      </w:r>
      <w:r>
        <w:rPr/>
        <w:t>across</w:t>
      </w:r>
      <w:r>
        <w:rPr>
          <w:spacing w:val="-9"/>
        </w:rPr>
        <w:t> </w:t>
      </w:r>
      <w:r>
        <w:rPr/>
        <w:t>the</w:t>
      </w:r>
      <w:r>
        <w:rPr>
          <w:spacing w:val="-8"/>
        </w:rPr>
        <w:t> </w:t>
      </w:r>
      <w:r>
        <w:rPr/>
        <w:t>country,</w:t>
      </w:r>
      <w:r>
        <w:rPr>
          <w:spacing w:val="-6"/>
        </w:rPr>
        <w:t> </w:t>
      </w:r>
      <w:r>
        <w:rPr/>
        <w:t>and</w:t>
      </w:r>
      <w:r>
        <w:rPr>
          <w:spacing w:val="-8"/>
        </w:rPr>
        <w:t> </w:t>
      </w:r>
      <w:r>
        <w:rPr/>
        <w:t>even</w:t>
      </w:r>
      <w:r>
        <w:rPr>
          <w:spacing w:val="-8"/>
        </w:rPr>
        <w:t> </w:t>
      </w:r>
      <w:r>
        <w:rPr/>
        <w:t>in</w:t>
      </w:r>
      <w:r>
        <w:rPr>
          <w:spacing w:val="-7"/>
        </w:rPr>
        <w:t> </w:t>
      </w:r>
      <w:r>
        <w:rPr/>
        <w:t>Massachusetts.</w:t>
      </w:r>
      <w:r>
        <w:rPr>
          <w:spacing w:val="-8"/>
        </w:rPr>
        <w:t> </w:t>
      </w:r>
      <w:r>
        <w:rPr>
          <w:color w:val="000000"/>
          <w:highlight w:val="magenta"/>
        </w:rPr>
        <w:t>In</w:t>
      </w:r>
      <w:r>
        <w:rPr>
          <w:color w:val="000000"/>
          <w:spacing w:val="-8"/>
          <w:highlight w:val="magenta"/>
        </w:rPr>
        <w:t> </w:t>
      </w:r>
      <w:r>
        <w:rPr>
          <w:color w:val="000000"/>
          <w:highlight w:val="magenta"/>
        </w:rPr>
        <w:t>2023,</w:t>
      </w:r>
      <w:r>
        <w:rPr>
          <w:color w:val="000000"/>
          <w:spacing w:val="-9"/>
          <w:highlight w:val="magenta"/>
        </w:rPr>
        <w:t> </w:t>
      </w:r>
      <w:r>
        <w:rPr>
          <w:color w:val="000000"/>
          <w:highlight w:val="magenta"/>
        </w:rPr>
        <w:t>at</w:t>
      </w:r>
      <w:r>
        <w:rPr>
          <w:color w:val="000000"/>
          <w:spacing w:val="-8"/>
          <w:highlight w:val="magenta"/>
        </w:rPr>
        <w:t> </w:t>
      </w:r>
      <w:r>
        <w:rPr>
          <w:color w:val="000000"/>
          <w:highlight w:val="magenta"/>
        </w:rPr>
        <w:t>least</w:t>
      </w:r>
      <w:r>
        <w:rPr>
          <w:color w:val="000000"/>
          <w:spacing w:val="-8"/>
          <w:highlight w:val="magenta"/>
        </w:rPr>
        <w:t> </w:t>
      </w:r>
      <w:r>
        <w:rPr>
          <w:color w:val="000000"/>
          <w:highlight w:val="magenta"/>
        </w:rPr>
        <w:t>31</w:t>
      </w:r>
      <w:r>
        <w:rPr>
          <w:color w:val="000000"/>
          <w:spacing w:val="-7"/>
          <w:highlight w:val="magenta"/>
        </w:rPr>
        <w:t> </w:t>
      </w:r>
      <w:r>
        <w:rPr>
          <w:color w:val="000000"/>
          <w:highlight w:val="magenta"/>
        </w:rPr>
        <w:t>states</w:t>
      </w:r>
      <w:r>
        <w:rPr>
          <w:color w:val="000000"/>
          <w:spacing w:val="-8"/>
          <w:highlight w:val="magenta"/>
        </w:rPr>
        <w:t> </w:t>
      </w:r>
      <w:r>
        <w:rPr>
          <w:color w:val="000000"/>
          <w:highlight w:val="magenta"/>
        </w:rPr>
        <w:t>considered</w:t>
      </w:r>
      <w:r>
        <w:rPr>
          <w:color w:val="000000"/>
          <w:spacing w:val="-8"/>
          <w:highlight w:val="magenta"/>
        </w:rPr>
        <w:t> </w:t>
      </w:r>
      <w:r>
        <w:rPr>
          <w:color w:val="000000"/>
          <w:highlight w:val="magenta"/>
        </w:rPr>
        <w:t>legislation</w:t>
      </w:r>
      <w:r>
        <w:rPr>
          <w:color w:val="000000"/>
        </w:rPr>
        <w:t> </w:t>
      </w:r>
      <w:r>
        <w:rPr>
          <w:color w:val="000000"/>
          <w:highlight w:val="magenta"/>
        </w:rPr>
        <w:t>banning</w:t>
      </w:r>
      <w:r>
        <w:rPr>
          <w:color w:val="000000"/>
          <w:spacing w:val="-13"/>
          <w:highlight w:val="magenta"/>
        </w:rPr>
        <w:t> </w:t>
      </w:r>
      <w:r>
        <w:rPr>
          <w:color w:val="000000"/>
          <w:highlight w:val="magenta"/>
        </w:rPr>
        <w:t>gender-affirming</w:t>
      </w:r>
      <w:r>
        <w:rPr>
          <w:color w:val="000000"/>
          <w:spacing w:val="-12"/>
          <w:highlight w:val="magenta"/>
        </w:rPr>
        <w:t> </w:t>
      </w:r>
      <w:r>
        <w:rPr>
          <w:color w:val="000000"/>
          <w:highlight w:val="magenta"/>
        </w:rPr>
        <w:t>care,</w:t>
      </w:r>
      <w:r>
        <w:rPr>
          <w:color w:val="000000"/>
          <w:spacing w:val="-13"/>
          <w:highlight w:val="magenta"/>
        </w:rPr>
        <w:t> </w:t>
      </w:r>
      <w:r>
        <w:rPr>
          <w:color w:val="000000"/>
          <w:highlight w:val="magenta"/>
        </w:rPr>
        <w:t>with</w:t>
      </w:r>
      <w:r>
        <w:rPr>
          <w:color w:val="000000"/>
          <w:spacing w:val="-12"/>
          <w:highlight w:val="magenta"/>
        </w:rPr>
        <w:t> </w:t>
      </w:r>
      <w:r>
        <w:rPr>
          <w:color w:val="000000"/>
          <w:highlight w:val="magenta"/>
        </w:rPr>
        <w:t>13</w:t>
      </w:r>
      <w:r>
        <w:rPr>
          <w:color w:val="000000"/>
          <w:spacing w:val="-10"/>
          <w:highlight w:val="magenta"/>
        </w:rPr>
        <w:t> </w:t>
      </w:r>
      <w:r>
        <w:rPr>
          <w:color w:val="000000"/>
          <w:highlight w:val="magenta"/>
        </w:rPr>
        <w:t>states</w:t>
      </w:r>
      <w:r>
        <w:rPr>
          <w:color w:val="000000"/>
          <w:spacing w:val="-10"/>
          <w:highlight w:val="magenta"/>
        </w:rPr>
        <w:t> </w:t>
      </w:r>
      <w:r>
        <w:rPr>
          <w:color w:val="000000"/>
          <w:highlight w:val="magenta"/>
        </w:rPr>
        <w:t>passing</w:t>
      </w:r>
      <w:r>
        <w:rPr>
          <w:color w:val="000000"/>
          <w:spacing w:val="-10"/>
          <w:highlight w:val="magenta"/>
        </w:rPr>
        <w:t> </w:t>
      </w:r>
      <w:r>
        <w:rPr>
          <w:color w:val="000000"/>
          <w:highlight w:val="magenta"/>
        </w:rPr>
        <w:t>legislation,</w:t>
      </w:r>
      <w:r>
        <w:rPr>
          <w:color w:val="000000"/>
          <w:vertAlign w:val="superscript"/>
        </w:rPr>
        <w:t>56</w:t>
      </w:r>
      <w:r>
        <w:rPr>
          <w:color w:val="000000"/>
          <w:spacing w:val="-13"/>
          <w:vertAlign w:val="baseline"/>
        </w:rPr>
        <w:t> </w:t>
      </w:r>
      <w:r>
        <w:rPr>
          <w:color w:val="000000"/>
          <w:vertAlign w:val="baseline"/>
        </w:rPr>
        <w:t>and</w:t>
      </w:r>
      <w:r>
        <w:rPr>
          <w:color w:val="000000"/>
          <w:spacing w:val="-10"/>
          <w:vertAlign w:val="baseline"/>
        </w:rPr>
        <w:t> </w:t>
      </w:r>
      <w:r>
        <w:rPr>
          <w:color w:val="000000"/>
          <w:vertAlign w:val="baseline"/>
        </w:rPr>
        <w:t>lawmakers</w:t>
      </w:r>
      <w:r>
        <w:rPr>
          <w:color w:val="000000"/>
          <w:spacing w:val="-10"/>
          <w:vertAlign w:val="baseline"/>
        </w:rPr>
        <w:t> </w:t>
      </w:r>
      <w:r>
        <w:rPr>
          <w:color w:val="000000"/>
          <w:vertAlign w:val="baseline"/>
        </w:rPr>
        <w:t>introduced</w:t>
      </w:r>
      <w:r>
        <w:rPr>
          <w:color w:val="000000"/>
          <w:spacing w:val="-10"/>
          <w:vertAlign w:val="baseline"/>
        </w:rPr>
        <w:t> </w:t>
      </w:r>
      <w:r>
        <w:rPr>
          <w:color w:val="000000"/>
          <w:vertAlign w:val="baseline"/>
        </w:rPr>
        <w:t>633</w:t>
      </w:r>
      <w:r>
        <w:rPr>
          <w:color w:val="000000"/>
          <w:spacing w:val="-11"/>
          <w:vertAlign w:val="baseline"/>
        </w:rPr>
        <w:t> </w:t>
      </w:r>
      <w:r>
        <w:rPr>
          <w:color w:val="000000"/>
          <w:vertAlign w:val="baseline"/>
        </w:rPr>
        <w:t>bills specifically</w:t>
      </w:r>
      <w:r>
        <w:rPr>
          <w:color w:val="000000"/>
          <w:spacing w:val="-13"/>
          <w:vertAlign w:val="baseline"/>
        </w:rPr>
        <w:t> </w:t>
      </w:r>
      <w:r>
        <w:rPr>
          <w:color w:val="000000"/>
          <w:vertAlign w:val="baseline"/>
        </w:rPr>
        <w:t>targeting</w:t>
      </w:r>
      <w:r>
        <w:rPr>
          <w:color w:val="000000"/>
          <w:spacing w:val="-12"/>
          <w:vertAlign w:val="baseline"/>
        </w:rPr>
        <w:t> </w:t>
      </w:r>
      <w:r>
        <w:rPr>
          <w:color w:val="000000"/>
          <w:vertAlign w:val="baseline"/>
        </w:rPr>
        <w:t>transgender</w:t>
      </w:r>
      <w:r>
        <w:rPr>
          <w:color w:val="000000"/>
          <w:spacing w:val="-6"/>
          <w:vertAlign w:val="baseline"/>
        </w:rPr>
        <w:t> </w:t>
      </w:r>
      <w:r>
        <w:rPr>
          <w:color w:val="000000"/>
          <w:vertAlign w:val="baseline"/>
        </w:rPr>
        <w:t>communities.</w:t>
      </w:r>
      <w:r>
        <w:rPr>
          <w:color w:val="000000"/>
          <w:spacing w:val="-13"/>
          <w:highlight w:val="magenta"/>
          <w:vertAlign w:val="baseline"/>
        </w:rPr>
        <w:t> </w:t>
      </w:r>
      <w:r>
        <w:rPr>
          <w:color w:val="000000"/>
          <w:highlight w:val="magenta"/>
          <w:vertAlign w:val="baseline"/>
        </w:rPr>
        <w:t>This</w:t>
      </w:r>
      <w:r>
        <w:rPr>
          <w:color w:val="000000"/>
          <w:spacing w:val="-7"/>
          <w:highlight w:val="magenta"/>
          <w:vertAlign w:val="baseline"/>
        </w:rPr>
        <w:t> </w:t>
      </w:r>
      <w:r>
        <w:rPr>
          <w:color w:val="000000"/>
          <w:highlight w:val="magenta"/>
          <w:vertAlign w:val="baseline"/>
        </w:rPr>
        <w:t>trend</w:t>
      </w:r>
      <w:r>
        <w:rPr>
          <w:color w:val="000000"/>
          <w:spacing w:val="-8"/>
          <w:highlight w:val="magenta"/>
          <w:vertAlign w:val="baseline"/>
        </w:rPr>
        <w:t> </w:t>
      </w:r>
      <w:r>
        <w:rPr>
          <w:color w:val="000000"/>
          <w:highlight w:val="magenta"/>
          <w:vertAlign w:val="baseline"/>
        </w:rPr>
        <w:t>has</w:t>
      </w:r>
      <w:r>
        <w:rPr>
          <w:color w:val="000000"/>
          <w:spacing w:val="-8"/>
          <w:highlight w:val="magenta"/>
          <w:vertAlign w:val="baseline"/>
        </w:rPr>
        <w:t> </w:t>
      </w:r>
      <w:r>
        <w:rPr>
          <w:color w:val="000000"/>
          <w:highlight w:val="magenta"/>
          <w:vertAlign w:val="baseline"/>
        </w:rPr>
        <w:t>exploded</w:t>
      </w:r>
      <w:r>
        <w:rPr>
          <w:color w:val="000000"/>
          <w:spacing w:val="-8"/>
          <w:highlight w:val="magenta"/>
          <w:vertAlign w:val="baseline"/>
        </w:rPr>
        <w:t> </w:t>
      </w:r>
      <w:r>
        <w:rPr>
          <w:color w:val="000000"/>
          <w:highlight w:val="magenta"/>
          <w:vertAlign w:val="baseline"/>
        </w:rPr>
        <w:t>into</w:t>
      </w:r>
      <w:r>
        <w:rPr>
          <w:color w:val="000000"/>
          <w:spacing w:val="-7"/>
          <w:highlight w:val="magenta"/>
          <w:vertAlign w:val="baseline"/>
        </w:rPr>
        <w:t> </w:t>
      </w:r>
      <w:r>
        <w:rPr>
          <w:color w:val="000000"/>
          <w:highlight w:val="magenta"/>
          <w:vertAlign w:val="baseline"/>
        </w:rPr>
        <w:t>2024;</w:t>
      </w:r>
      <w:r>
        <w:rPr>
          <w:color w:val="000000"/>
          <w:spacing w:val="-9"/>
          <w:highlight w:val="magenta"/>
          <w:vertAlign w:val="baseline"/>
        </w:rPr>
        <w:t> </w:t>
      </w:r>
      <w:r>
        <w:rPr>
          <w:color w:val="000000"/>
          <w:highlight w:val="magenta"/>
          <w:vertAlign w:val="baseline"/>
        </w:rPr>
        <w:t>as</w:t>
      </w:r>
      <w:r>
        <w:rPr>
          <w:color w:val="000000"/>
          <w:spacing w:val="-8"/>
          <w:highlight w:val="magenta"/>
          <w:vertAlign w:val="baseline"/>
        </w:rPr>
        <w:t> </w:t>
      </w:r>
      <w:r>
        <w:rPr>
          <w:color w:val="000000"/>
          <w:highlight w:val="magenta"/>
          <w:vertAlign w:val="baseline"/>
        </w:rPr>
        <w:t>of</w:t>
      </w:r>
      <w:r>
        <w:rPr>
          <w:color w:val="000000"/>
          <w:spacing w:val="-7"/>
          <w:highlight w:val="magenta"/>
          <w:vertAlign w:val="baseline"/>
        </w:rPr>
        <w:t> </w:t>
      </w:r>
      <w:r>
        <w:rPr>
          <w:color w:val="000000"/>
          <w:highlight w:val="magenta"/>
          <w:vertAlign w:val="baseline"/>
        </w:rPr>
        <w:t>mid-May,</w:t>
      </w:r>
      <w:r>
        <w:rPr>
          <w:color w:val="000000"/>
          <w:spacing w:val="-9"/>
          <w:highlight w:val="magenta"/>
          <w:vertAlign w:val="baseline"/>
        </w:rPr>
        <w:t> </w:t>
      </w:r>
      <w:r>
        <w:rPr>
          <w:color w:val="000000"/>
          <w:highlight w:val="magenta"/>
          <w:vertAlign w:val="baseline"/>
        </w:rPr>
        <w:t>515</w:t>
      </w:r>
      <w:r>
        <w:rPr>
          <w:color w:val="000000"/>
          <w:vertAlign w:val="baseline"/>
        </w:rPr>
        <w:t> </w:t>
      </w:r>
      <w:r>
        <w:rPr>
          <w:color w:val="000000"/>
          <w:highlight w:val="magenta"/>
          <w:vertAlign w:val="baseline"/>
        </w:rPr>
        <w:t>bills have been introduced targeting LGBTQ youth from prohibiting gender-affirming care to</w:t>
      </w:r>
      <w:r>
        <w:rPr>
          <w:color w:val="000000"/>
          <w:vertAlign w:val="baseline"/>
        </w:rPr>
        <w:t> </w:t>
      </w:r>
      <w:r>
        <w:rPr>
          <w:color w:val="000000"/>
          <w:highlight w:val="magenta"/>
          <w:vertAlign w:val="baseline"/>
        </w:rPr>
        <w:t>preventing teachings of gender, sexuality, and race in schools.</w:t>
      </w:r>
      <w:r>
        <w:rPr>
          <w:color w:val="000000"/>
          <w:vertAlign w:val="superscript"/>
        </w:rPr>
        <w:t>58</w:t>
      </w:r>
    </w:p>
    <w:p>
      <w:pPr>
        <w:pStyle w:val="BodyText"/>
        <w:spacing w:line="276" w:lineRule="auto" w:before="240"/>
        <w:ind w:left="463" w:right="242" w:hanging="3"/>
        <w:jc w:val="both"/>
      </w:pPr>
      <w:r>
        <w:rPr/>
        <w:t>The constant barrage of attacks and anti-trans and anti-Black rhetoric has had profound implications for transgender and gender expansive youth and youth of color who are coming of age in an atmosphere of fear, anxiety, and violence. Many transgender and gender expansive youth, even in Massachusetts, report feeling concerned that their state or local areas will pass anti-transgender legislation, and this fear is linked to higher rates of depression, anxiety, and PTSD.</w:t>
      </w:r>
      <w:r>
        <w:rPr>
          <w:vertAlign w:val="superscript"/>
        </w:rPr>
        <w:t>59</w:t>
      </w:r>
      <w:r>
        <w:rPr>
          <w:vertAlign w:val="baseline"/>
        </w:rPr>
        <w:t> Exposure to debates surrounding anti-trans legislation has been linked to poor mental health in trans youth and crisis hotlines, like the Trevor Project, have reported a 150% increase in calls over the last year.</w:t>
      </w:r>
      <w:r>
        <w:rPr>
          <w:vertAlign w:val="superscript"/>
        </w:rPr>
        <w:t>60</w:t>
      </w:r>
    </w:p>
    <w:p>
      <w:pPr>
        <w:pStyle w:val="BodyText"/>
        <w:spacing w:line="276" w:lineRule="auto" w:before="241"/>
        <w:ind w:left="463" w:right="241" w:firstLine="14"/>
        <w:jc w:val="both"/>
      </w:pPr>
      <w:r>
        <w:rPr/>
        <w:t>In 2022, Massachusetts Governor Charlie Baker signed a law defining the legality of and protections for gender-affirming care in Massachusetts; the law also protected providers and patients from legal action from other states.</w:t>
      </w:r>
      <w:r>
        <w:rPr>
          <w:vertAlign w:val="superscript"/>
        </w:rPr>
        <w:t>61</w:t>
      </w:r>
      <w:r>
        <w:rPr>
          <w:spacing w:val="-9"/>
          <w:vertAlign w:val="baseline"/>
        </w:rPr>
        <w:t> </w:t>
      </w:r>
      <w:r>
        <w:rPr>
          <w:vertAlign w:val="baseline"/>
        </w:rPr>
        <w:t>This is one of the most robust LGBTQ laws Massachusetts has passed to date, as it declares that gender-affirming care is legally protected healthcare, regardless of the patient's location. Certain states, like California, have gone further, introducing legislation to support transgender youth and families fleeing states with anti-transgender policies, laws, and pending legislation.</w:t>
      </w:r>
      <w:r>
        <w:rPr>
          <w:vertAlign w:val="superscript"/>
        </w:rPr>
        <w:t>62</w:t>
      </w:r>
      <w:r>
        <w:rPr>
          <w:spacing w:val="-13"/>
          <w:vertAlign w:val="baseline"/>
        </w:rPr>
        <w:t> </w:t>
      </w:r>
      <w:r>
        <w:rPr>
          <w:vertAlign w:val="baseline"/>
        </w:rPr>
        <w:t>The</w:t>
      </w:r>
      <w:r>
        <w:rPr>
          <w:spacing w:val="-12"/>
          <w:vertAlign w:val="baseline"/>
        </w:rPr>
        <w:t> </w:t>
      </w:r>
      <w:r>
        <w:rPr>
          <w:vertAlign w:val="baseline"/>
        </w:rPr>
        <w:t>Commission</w:t>
      </w:r>
      <w:r>
        <w:rPr>
          <w:spacing w:val="-13"/>
          <w:vertAlign w:val="baseline"/>
        </w:rPr>
        <w:t> </w:t>
      </w:r>
      <w:r>
        <w:rPr>
          <w:vertAlign w:val="baseline"/>
        </w:rPr>
        <w:t>strongly</w:t>
      </w:r>
      <w:r>
        <w:rPr>
          <w:spacing w:val="-12"/>
          <w:vertAlign w:val="baseline"/>
        </w:rPr>
        <w:t> </w:t>
      </w:r>
      <w:r>
        <w:rPr>
          <w:vertAlign w:val="baseline"/>
        </w:rPr>
        <w:t>recommends</w:t>
      </w:r>
      <w:r>
        <w:rPr>
          <w:spacing w:val="-13"/>
          <w:vertAlign w:val="baseline"/>
        </w:rPr>
        <w:t> </w:t>
      </w:r>
      <w:r>
        <w:rPr>
          <w:vertAlign w:val="baseline"/>
        </w:rPr>
        <w:t>that</w:t>
      </w:r>
      <w:r>
        <w:rPr>
          <w:spacing w:val="-12"/>
          <w:vertAlign w:val="baseline"/>
        </w:rPr>
        <w:t> </w:t>
      </w:r>
      <w:r>
        <w:rPr>
          <w:vertAlign w:val="baseline"/>
        </w:rPr>
        <w:t>the</w:t>
      </w:r>
      <w:r>
        <w:rPr>
          <w:spacing w:val="-12"/>
          <w:vertAlign w:val="baseline"/>
        </w:rPr>
        <w:t> </w:t>
      </w:r>
      <w:r>
        <w:rPr>
          <w:vertAlign w:val="baseline"/>
        </w:rPr>
        <w:t>Massachusetts</w:t>
      </w:r>
      <w:r>
        <w:rPr>
          <w:spacing w:val="-10"/>
          <w:vertAlign w:val="baseline"/>
        </w:rPr>
        <w:t> </w:t>
      </w:r>
      <w:r>
        <w:rPr>
          <w:vertAlign w:val="baseline"/>
        </w:rPr>
        <w:t>legislature</w:t>
      </w:r>
      <w:r>
        <w:rPr>
          <w:spacing w:val="-11"/>
          <w:vertAlign w:val="baseline"/>
        </w:rPr>
        <w:t> </w:t>
      </w:r>
      <w:r>
        <w:rPr>
          <w:vertAlign w:val="baseline"/>
        </w:rPr>
        <w:t>explore</w:t>
      </w:r>
      <w:r>
        <w:rPr>
          <w:spacing w:val="-11"/>
          <w:vertAlign w:val="baseline"/>
        </w:rPr>
        <w:t> </w:t>
      </w:r>
      <w:r>
        <w:rPr>
          <w:vertAlign w:val="baseline"/>
        </w:rPr>
        <w:t>further legislation to protect LGBTQ youth and their families fleeing to Massachusetts, which has already begun to occur.</w:t>
      </w:r>
    </w:p>
    <w:p>
      <w:pPr>
        <w:pStyle w:val="BodyText"/>
        <w:spacing w:line="276" w:lineRule="auto" w:before="239"/>
        <w:ind w:left="463" w:right="242"/>
        <w:jc w:val="both"/>
      </w:pPr>
      <w:r>
        <w:rPr/>
        <w:t>As</w:t>
      </w:r>
      <w:r>
        <w:rPr>
          <w:spacing w:val="-2"/>
        </w:rPr>
        <w:t> </w:t>
      </w:r>
      <w:r>
        <w:rPr/>
        <w:t>highlighted</w:t>
      </w:r>
      <w:r>
        <w:rPr>
          <w:spacing w:val="-3"/>
        </w:rPr>
        <w:t> </w:t>
      </w:r>
      <w:r>
        <w:rPr/>
        <w:t>above,</w:t>
      </w:r>
      <w:r>
        <w:rPr>
          <w:spacing w:val="-1"/>
        </w:rPr>
        <w:t> </w:t>
      </w:r>
      <w:r>
        <w:rPr/>
        <w:t>despite</w:t>
      </w:r>
      <w:r>
        <w:rPr>
          <w:spacing w:val="-2"/>
        </w:rPr>
        <w:t> </w:t>
      </w:r>
      <w:r>
        <w:rPr/>
        <w:t>gender-affirming</w:t>
      </w:r>
      <w:r>
        <w:rPr>
          <w:spacing w:val="-2"/>
        </w:rPr>
        <w:t> </w:t>
      </w:r>
      <w:r>
        <w:rPr/>
        <w:t>care being</w:t>
      </w:r>
      <w:r>
        <w:rPr>
          <w:spacing w:val="-2"/>
        </w:rPr>
        <w:t> </w:t>
      </w:r>
      <w:r>
        <w:rPr/>
        <w:t>a</w:t>
      </w:r>
      <w:r>
        <w:rPr>
          <w:spacing w:val="-3"/>
        </w:rPr>
        <w:t> </w:t>
      </w:r>
      <w:r>
        <w:rPr/>
        <w:t>right</w:t>
      </w:r>
      <w:r>
        <w:rPr>
          <w:spacing w:val="-2"/>
        </w:rPr>
        <w:t> </w:t>
      </w:r>
      <w:r>
        <w:rPr/>
        <w:t>in</w:t>
      </w:r>
      <w:r>
        <w:rPr>
          <w:spacing w:val="-3"/>
        </w:rPr>
        <w:t> </w:t>
      </w:r>
      <w:r>
        <w:rPr/>
        <w:t>Massachusetts,</w:t>
      </w:r>
      <w:r>
        <w:rPr>
          <w:spacing w:val="-3"/>
        </w:rPr>
        <w:t> </w:t>
      </w:r>
      <w:r>
        <w:rPr/>
        <w:t>patients</w:t>
      </w:r>
      <w:r>
        <w:rPr>
          <w:spacing w:val="-2"/>
        </w:rPr>
        <w:t> </w:t>
      </w:r>
      <w:r>
        <w:rPr/>
        <w:t>continue to face barriers that include insurance exclusions, inconsistent coverage, wrongful denials of care, burdensome prior authorization processes, and low reimbursement rates leading to less economic </w:t>
      </w:r>
      <w:r>
        <w:rPr>
          <w:spacing w:val="-2"/>
        </w:rPr>
        <w:t>incentive</w:t>
      </w:r>
      <w:r>
        <w:rPr>
          <w:spacing w:val="-10"/>
        </w:rPr>
        <w:t> </w:t>
      </w:r>
      <w:r>
        <w:rPr>
          <w:spacing w:val="-2"/>
        </w:rPr>
        <w:t>to provide this care.</w:t>
      </w:r>
      <w:r>
        <w:rPr>
          <w:spacing w:val="-2"/>
          <w:vertAlign w:val="superscript"/>
        </w:rPr>
        <w:t>63</w:t>
      </w:r>
      <w:r>
        <w:rPr>
          <w:spacing w:val="-11"/>
          <w:vertAlign w:val="baseline"/>
        </w:rPr>
        <w:t> </w:t>
      </w:r>
      <w:r>
        <w:rPr>
          <w:spacing w:val="-2"/>
          <w:vertAlign w:val="baseline"/>
        </w:rPr>
        <w:t>Barriers for patients enrolled in MassHealth include many specific</w:t>
      </w:r>
      <w:r>
        <w:rPr>
          <w:spacing w:val="-3"/>
          <w:vertAlign w:val="baseline"/>
        </w:rPr>
        <w:t> </w:t>
      </w:r>
      <w:r>
        <w:rPr>
          <w:spacing w:val="-2"/>
          <w:vertAlign w:val="baseline"/>
        </w:rPr>
        <w:t>areas </w:t>
      </w:r>
      <w:r>
        <w:rPr>
          <w:vertAlign w:val="baseline"/>
        </w:rPr>
        <w:t>related to hair removal, surgery, and voice therapy - with many policies out of step with World Professional Association for Transgender Health (WPATH) Standards of Care.</w:t>
      </w:r>
      <w:r>
        <w:rPr>
          <w:vertAlign w:val="superscript"/>
        </w:rPr>
        <w:t>64</w:t>
      </w:r>
    </w:p>
    <w:p>
      <w:pPr>
        <w:spacing w:after="0" w:line="276" w:lineRule="auto"/>
        <w:jc w:val="both"/>
        <w:sectPr>
          <w:pgSz w:w="12240" w:h="15840"/>
          <w:pgMar w:header="721" w:footer="1061" w:top="1360" w:bottom="1260" w:left="1120" w:right="1340"/>
        </w:sectPr>
      </w:pPr>
    </w:p>
    <w:p>
      <w:pPr>
        <w:spacing w:before="67"/>
        <w:ind w:left="464" w:right="0" w:firstLine="0"/>
        <w:jc w:val="both"/>
        <w:rPr>
          <w:sz w:val="28"/>
        </w:rPr>
      </w:pPr>
      <w:bookmarkStart w:name="Affirming Care Model" w:id="357"/>
      <w:bookmarkEnd w:id="357"/>
      <w:r>
        <w:rPr/>
      </w:r>
      <w:r>
        <w:rPr>
          <w:color w:val="365F91"/>
          <w:sz w:val="28"/>
        </w:rPr>
        <w:t>Affirming</w:t>
      </w:r>
      <w:r>
        <w:rPr>
          <w:color w:val="365F91"/>
          <w:spacing w:val="-12"/>
          <w:sz w:val="28"/>
        </w:rPr>
        <w:t> </w:t>
      </w:r>
      <w:r>
        <w:rPr>
          <w:color w:val="365F91"/>
          <w:sz w:val="28"/>
        </w:rPr>
        <w:t>Care</w:t>
      </w:r>
      <w:r>
        <w:rPr>
          <w:color w:val="365F91"/>
          <w:spacing w:val="-12"/>
          <w:sz w:val="28"/>
        </w:rPr>
        <w:t> </w:t>
      </w:r>
      <w:r>
        <w:rPr>
          <w:color w:val="365F91"/>
          <w:spacing w:val="-2"/>
          <w:sz w:val="28"/>
        </w:rPr>
        <w:t>Model</w:t>
      </w:r>
    </w:p>
    <w:p>
      <w:pPr>
        <w:pStyle w:val="BodyText"/>
        <w:spacing w:line="276" w:lineRule="auto" w:before="292"/>
        <w:ind w:left="463" w:right="240" w:firstLine="6"/>
        <w:jc w:val="both"/>
      </w:pPr>
      <w:r>
        <w:rPr/>
        <w:t>Gender-affirming care has been shown to be lifesaving for children, reducing the incidence of suicidality</w:t>
      </w:r>
      <w:r>
        <w:rPr>
          <w:spacing w:val="-9"/>
        </w:rPr>
        <w:t> </w:t>
      </w:r>
      <w:r>
        <w:rPr/>
        <w:t>and</w:t>
      </w:r>
      <w:r>
        <w:rPr>
          <w:spacing w:val="-10"/>
        </w:rPr>
        <w:t> </w:t>
      </w:r>
      <w:r>
        <w:rPr/>
        <w:t>increasing</w:t>
      </w:r>
      <w:r>
        <w:rPr>
          <w:spacing w:val="-10"/>
        </w:rPr>
        <w:t> </w:t>
      </w:r>
      <w:r>
        <w:rPr/>
        <w:t>access</w:t>
      </w:r>
      <w:r>
        <w:rPr>
          <w:spacing w:val="-9"/>
        </w:rPr>
        <w:t> </w:t>
      </w:r>
      <w:r>
        <w:rPr/>
        <w:t>to</w:t>
      </w:r>
      <w:r>
        <w:rPr>
          <w:spacing w:val="-9"/>
        </w:rPr>
        <w:t> </w:t>
      </w:r>
      <w:r>
        <w:rPr/>
        <w:t>healthcare</w:t>
      </w:r>
      <w:r>
        <w:rPr>
          <w:spacing w:val="-10"/>
        </w:rPr>
        <w:t> </w:t>
      </w:r>
      <w:r>
        <w:rPr/>
        <w:t>services.</w:t>
      </w:r>
      <w:r>
        <w:rPr>
          <w:spacing w:val="-10"/>
        </w:rPr>
        <w:t> </w:t>
      </w:r>
      <w:r>
        <w:rPr/>
        <w:t>Just</w:t>
      </w:r>
      <w:r>
        <w:rPr>
          <w:spacing w:val="-10"/>
        </w:rPr>
        <w:t> </w:t>
      </w:r>
      <w:r>
        <w:rPr/>
        <w:t>as</w:t>
      </w:r>
      <w:r>
        <w:rPr>
          <w:spacing w:val="-9"/>
        </w:rPr>
        <w:t> </w:t>
      </w:r>
      <w:r>
        <w:rPr/>
        <w:t>diabetes</w:t>
      </w:r>
      <w:r>
        <w:rPr>
          <w:spacing w:val="-9"/>
        </w:rPr>
        <w:t> </w:t>
      </w:r>
      <w:r>
        <w:rPr/>
        <w:t>clinics</w:t>
      </w:r>
      <w:r>
        <w:rPr>
          <w:spacing w:val="-9"/>
        </w:rPr>
        <w:t> </w:t>
      </w:r>
      <w:r>
        <w:rPr/>
        <w:t>were</w:t>
      </w:r>
      <w:r>
        <w:rPr>
          <w:spacing w:val="-10"/>
        </w:rPr>
        <w:t> </w:t>
      </w:r>
      <w:r>
        <w:rPr/>
        <w:t>once</w:t>
      </w:r>
      <w:r>
        <w:rPr>
          <w:spacing w:val="-10"/>
        </w:rPr>
        <w:t> </w:t>
      </w:r>
      <w:r>
        <w:rPr/>
        <w:t>separate</w:t>
      </w:r>
      <w:r>
        <w:rPr>
          <w:spacing w:val="-10"/>
        </w:rPr>
        <w:t> </w:t>
      </w:r>
      <w:r>
        <w:rPr/>
        <w:t>and specialized clinics, so too does gender-affirming care remain largely isolated to specific clinics.</w:t>
      </w:r>
      <w:r>
        <w:rPr>
          <w:vertAlign w:val="superscript"/>
        </w:rPr>
        <w:t>65</w:t>
      </w:r>
      <w:r>
        <w:rPr>
          <w:vertAlign w:val="baseline"/>
        </w:rPr>
        <w:t> However,</w:t>
      </w:r>
      <w:r>
        <w:rPr>
          <w:spacing w:val="-3"/>
          <w:vertAlign w:val="baseline"/>
        </w:rPr>
        <w:t> </w:t>
      </w:r>
      <w:r>
        <w:rPr>
          <w:vertAlign w:val="baseline"/>
        </w:rPr>
        <w:t>the</w:t>
      </w:r>
      <w:r>
        <w:rPr>
          <w:spacing w:val="-2"/>
          <w:vertAlign w:val="baseline"/>
        </w:rPr>
        <w:t> </w:t>
      </w:r>
      <w:r>
        <w:rPr>
          <w:vertAlign w:val="baseline"/>
        </w:rPr>
        <w:t>history</w:t>
      </w:r>
      <w:r>
        <w:rPr>
          <w:spacing w:val="-3"/>
          <w:vertAlign w:val="baseline"/>
        </w:rPr>
        <w:t> </w:t>
      </w:r>
      <w:r>
        <w:rPr>
          <w:vertAlign w:val="baseline"/>
        </w:rPr>
        <w:t>of</w:t>
      </w:r>
      <w:r>
        <w:rPr>
          <w:spacing w:val="-3"/>
          <w:vertAlign w:val="baseline"/>
        </w:rPr>
        <w:t> </w:t>
      </w:r>
      <w:r>
        <w:rPr>
          <w:vertAlign w:val="baseline"/>
        </w:rPr>
        <w:t>gender-affirming</w:t>
      </w:r>
      <w:r>
        <w:rPr>
          <w:spacing w:val="-3"/>
          <w:vertAlign w:val="baseline"/>
        </w:rPr>
        <w:t> </w:t>
      </w:r>
      <w:r>
        <w:rPr>
          <w:vertAlign w:val="baseline"/>
        </w:rPr>
        <w:t>care</w:t>
      </w:r>
      <w:r>
        <w:rPr>
          <w:spacing w:val="-3"/>
          <w:vertAlign w:val="baseline"/>
        </w:rPr>
        <w:t> </w:t>
      </w:r>
      <w:r>
        <w:rPr>
          <w:vertAlign w:val="baseline"/>
        </w:rPr>
        <w:t>is</w:t>
      </w:r>
      <w:r>
        <w:rPr>
          <w:spacing w:val="-2"/>
          <w:vertAlign w:val="baseline"/>
        </w:rPr>
        <w:t> </w:t>
      </w:r>
      <w:r>
        <w:rPr>
          <w:vertAlign w:val="baseline"/>
        </w:rPr>
        <w:t>one</w:t>
      </w:r>
      <w:r>
        <w:rPr>
          <w:spacing w:val="-2"/>
          <w:vertAlign w:val="baseline"/>
        </w:rPr>
        <w:t> </w:t>
      </w:r>
      <w:r>
        <w:rPr>
          <w:vertAlign w:val="baseline"/>
        </w:rPr>
        <w:t>that</w:t>
      </w:r>
      <w:r>
        <w:rPr>
          <w:spacing w:val="-3"/>
          <w:vertAlign w:val="baseline"/>
        </w:rPr>
        <w:t> </w:t>
      </w:r>
      <w:r>
        <w:rPr>
          <w:vertAlign w:val="baseline"/>
        </w:rPr>
        <w:t>is</w:t>
      </w:r>
      <w:r>
        <w:rPr>
          <w:spacing w:val="-2"/>
          <w:vertAlign w:val="baseline"/>
        </w:rPr>
        <w:t> </w:t>
      </w:r>
      <w:r>
        <w:rPr>
          <w:vertAlign w:val="baseline"/>
        </w:rPr>
        <w:t>increasingly</w:t>
      </w:r>
      <w:r>
        <w:rPr>
          <w:spacing w:val="-3"/>
          <w:vertAlign w:val="baseline"/>
        </w:rPr>
        <w:t> </w:t>
      </w:r>
      <w:r>
        <w:rPr>
          <w:vertAlign w:val="baseline"/>
        </w:rPr>
        <w:t>moving</w:t>
      </w:r>
      <w:r>
        <w:rPr>
          <w:spacing w:val="-2"/>
          <w:vertAlign w:val="baseline"/>
        </w:rPr>
        <w:t> </w:t>
      </w:r>
      <w:r>
        <w:rPr>
          <w:vertAlign w:val="baseline"/>
        </w:rPr>
        <w:t>from</w:t>
      </w:r>
      <w:r>
        <w:rPr>
          <w:spacing w:val="-3"/>
          <w:vertAlign w:val="baseline"/>
        </w:rPr>
        <w:t> </w:t>
      </w:r>
      <w:r>
        <w:rPr>
          <w:vertAlign w:val="baseline"/>
        </w:rPr>
        <w:t>urban</w:t>
      </w:r>
      <w:r>
        <w:rPr>
          <w:spacing w:val="-3"/>
          <w:vertAlign w:val="baseline"/>
        </w:rPr>
        <w:t> </w:t>
      </w:r>
      <w:r>
        <w:rPr>
          <w:vertAlign w:val="baseline"/>
        </w:rPr>
        <w:t>academic institutions to mainstream primary care and medical home settings. Numbers of trans-competent or gender-affirming providers have been slowly but steadily increasing over time, particularly in states like Massachusetts.</w:t>
      </w:r>
      <w:r>
        <w:rPr>
          <w:vertAlign w:val="superscript"/>
        </w:rPr>
        <w:t>66</w:t>
      </w:r>
      <w:r>
        <w:rPr>
          <w:vertAlign w:val="baseline"/>
        </w:rPr>
        <w:t> Moreover, the vast majority of trans and gender expansive youth who socially transition do continue to identify in their affirmed gender.</w:t>
      </w:r>
      <w:r>
        <w:rPr>
          <w:vertAlign w:val="superscript"/>
        </w:rPr>
        <w:t>67</w:t>
      </w:r>
      <w:r>
        <w:rPr>
          <w:spacing w:val="-6"/>
          <w:vertAlign w:val="baseline"/>
        </w:rPr>
        <w:t> </w:t>
      </w:r>
      <w:r>
        <w:rPr>
          <w:vertAlign w:val="baseline"/>
        </w:rPr>
        <w:t>Unfortunately, despite this increase in access,</w:t>
      </w:r>
      <w:r>
        <w:rPr>
          <w:spacing w:val="-10"/>
          <w:vertAlign w:val="baseline"/>
        </w:rPr>
        <w:t> </w:t>
      </w:r>
      <w:r>
        <w:rPr>
          <w:vertAlign w:val="baseline"/>
        </w:rPr>
        <w:t>many</w:t>
      </w:r>
      <w:r>
        <w:rPr>
          <w:spacing w:val="-7"/>
          <w:vertAlign w:val="baseline"/>
        </w:rPr>
        <w:t> </w:t>
      </w:r>
      <w:r>
        <w:rPr>
          <w:vertAlign w:val="baseline"/>
        </w:rPr>
        <w:t>barriers</w:t>
      </w:r>
      <w:r>
        <w:rPr>
          <w:spacing w:val="-10"/>
          <w:vertAlign w:val="baseline"/>
        </w:rPr>
        <w:t> </w:t>
      </w:r>
      <w:r>
        <w:rPr>
          <w:vertAlign w:val="baseline"/>
        </w:rPr>
        <w:t>to</w:t>
      </w:r>
      <w:r>
        <w:rPr>
          <w:spacing w:val="-8"/>
          <w:vertAlign w:val="baseline"/>
        </w:rPr>
        <w:t> </w:t>
      </w:r>
      <w:r>
        <w:rPr>
          <w:vertAlign w:val="baseline"/>
        </w:rPr>
        <w:t>care</w:t>
      </w:r>
      <w:r>
        <w:rPr>
          <w:spacing w:val="-10"/>
          <w:vertAlign w:val="baseline"/>
        </w:rPr>
        <w:t> </w:t>
      </w:r>
      <w:r>
        <w:rPr>
          <w:vertAlign w:val="baseline"/>
        </w:rPr>
        <w:t>remain</w:t>
      </w:r>
      <w:r>
        <w:rPr>
          <w:spacing w:val="-10"/>
          <w:vertAlign w:val="baseline"/>
        </w:rPr>
        <w:t> </w:t>
      </w:r>
      <w:r>
        <w:rPr>
          <w:vertAlign w:val="baseline"/>
        </w:rPr>
        <w:t>including</w:t>
      </w:r>
      <w:r>
        <w:rPr>
          <w:spacing w:val="-9"/>
          <w:vertAlign w:val="baseline"/>
        </w:rPr>
        <w:t> </w:t>
      </w:r>
      <w:r>
        <w:rPr>
          <w:vertAlign w:val="baseline"/>
        </w:rPr>
        <w:t>financial</w:t>
      </w:r>
      <w:r>
        <w:rPr>
          <w:spacing w:val="-10"/>
          <w:vertAlign w:val="baseline"/>
        </w:rPr>
        <w:t> </w:t>
      </w:r>
      <w:r>
        <w:rPr>
          <w:vertAlign w:val="baseline"/>
        </w:rPr>
        <w:t>access,</w:t>
      </w:r>
      <w:r>
        <w:rPr>
          <w:spacing w:val="-10"/>
          <w:vertAlign w:val="baseline"/>
        </w:rPr>
        <w:t> </w:t>
      </w:r>
      <w:r>
        <w:rPr>
          <w:vertAlign w:val="baseline"/>
        </w:rPr>
        <w:t>insurance</w:t>
      </w:r>
      <w:r>
        <w:rPr>
          <w:spacing w:val="-9"/>
          <w:vertAlign w:val="baseline"/>
        </w:rPr>
        <w:t> </w:t>
      </w:r>
      <w:r>
        <w:rPr>
          <w:vertAlign w:val="baseline"/>
        </w:rPr>
        <w:t>coverage,</w:t>
      </w:r>
      <w:r>
        <w:rPr>
          <w:spacing w:val="-10"/>
          <w:vertAlign w:val="baseline"/>
        </w:rPr>
        <w:t> </w:t>
      </w:r>
      <w:r>
        <w:rPr>
          <w:vertAlign w:val="baseline"/>
        </w:rPr>
        <w:t>lack</w:t>
      </w:r>
      <w:r>
        <w:rPr>
          <w:spacing w:val="-9"/>
          <w:vertAlign w:val="baseline"/>
        </w:rPr>
        <w:t> </w:t>
      </w:r>
      <w:r>
        <w:rPr>
          <w:vertAlign w:val="baseline"/>
        </w:rPr>
        <w:t>of</w:t>
      </w:r>
      <w:r>
        <w:rPr>
          <w:spacing w:val="-10"/>
          <w:vertAlign w:val="baseline"/>
        </w:rPr>
        <w:t> </w:t>
      </w:r>
      <w:r>
        <w:rPr>
          <w:vertAlign w:val="baseline"/>
        </w:rPr>
        <w:t>availability, and individuals' fears. Many youth and caregivers also report systemic barriers including bias, discrimination, and lack of provider education.</w:t>
      </w:r>
      <w:r>
        <w:rPr>
          <w:vertAlign w:val="superscript"/>
        </w:rPr>
        <w:t>68</w:t>
      </w:r>
    </w:p>
    <w:p>
      <w:pPr>
        <w:pStyle w:val="BodyText"/>
        <w:spacing w:line="276" w:lineRule="auto" w:before="240"/>
        <w:ind w:left="464" w:right="241" w:hanging="6"/>
        <w:jc w:val="both"/>
      </w:pPr>
      <w:r>
        <w:rPr/>
        <w:t>An affirming-care-model is one that affirms the child and their identity, leading by listening to the patients’</w:t>
      </w:r>
      <w:r>
        <w:rPr>
          <w:spacing w:val="-6"/>
        </w:rPr>
        <w:t> </w:t>
      </w:r>
      <w:r>
        <w:rPr/>
        <w:t>and</w:t>
      </w:r>
      <w:r>
        <w:rPr>
          <w:spacing w:val="-4"/>
        </w:rPr>
        <w:t> </w:t>
      </w:r>
      <w:r>
        <w:rPr/>
        <w:t>the</w:t>
      </w:r>
      <w:r>
        <w:rPr>
          <w:spacing w:val="-5"/>
        </w:rPr>
        <w:t> </w:t>
      </w:r>
      <w:r>
        <w:rPr/>
        <w:t>family’s</w:t>
      </w:r>
      <w:r>
        <w:rPr>
          <w:spacing w:val="-5"/>
        </w:rPr>
        <w:t> </w:t>
      </w:r>
      <w:r>
        <w:rPr/>
        <w:t>needs,</w:t>
      </w:r>
      <w:r>
        <w:rPr>
          <w:spacing w:val="-6"/>
        </w:rPr>
        <w:t> </w:t>
      </w:r>
      <w:r>
        <w:rPr/>
        <w:t>and</w:t>
      </w:r>
      <w:r>
        <w:rPr>
          <w:spacing w:val="-5"/>
        </w:rPr>
        <w:t> </w:t>
      </w:r>
      <w:r>
        <w:rPr/>
        <w:t>creating</w:t>
      </w:r>
      <w:r>
        <w:rPr>
          <w:spacing w:val="-5"/>
        </w:rPr>
        <w:t> </w:t>
      </w:r>
      <w:r>
        <w:rPr/>
        <w:t>a</w:t>
      </w:r>
      <w:r>
        <w:rPr>
          <w:spacing w:val="-5"/>
        </w:rPr>
        <w:t> </w:t>
      </w:r>
      <w:r>
        <w:rPr/>
        <w:t>team</w:t>
      </w:r>
      <w:r>
        <w:rPr>
          <w:spacing w:val="-4"/>
        </w:rPr>
        <w:t> </w:t>
      </w:r>
      <w:r>
        <w:rPr/>
        <w:t>of</w:t>
      </w:r>
      <w:r>
        <w:rPr>
          <w:spacing w:val="-6"/>
        </w:rPr>
        <w:t> </w:t>
      </w:r>
      <w:r>
        <w:rPr/>
        <w:t>support</w:t>
      </w:r>
      <w:r>
        <w:rPr>
          <w:spacing w:val="-6"/>
        </w:rPr>
        <w:t> </w:t>
      </w:r>
      <w:r>
        <w:rPr/>
        <w:t>and</w:t>
      </w:r>
      <w:r>
        <w:rPr>
          <w:spacing w:val="-5"/>
        </w:rPr>
        <w:t> </w:t>
      </w:r>
      <w:r>
        <w:rPr/>
        <w:t>guidance</w:t>
      </w:r>
      <w:r>
        <w:rPr>
          <w:spacing w:val="-5"/>
        </w:rPr>
        <w:t> </w:t>
      </w:r>
      <w:r>
        <w:rPr/>
        <w:t>to</w:t>
      </w:r>
      <w:r>
        <w:rPr>
          <w:spacing w:val="-5"/>
        </w:rPr>
        <w:t> </w:t>
      </w:r>
      <w:r>
        <w:rPr/>
        <w:t>provide</w:t>
      </w:r>
      <w:r>
        <w:rPr>
          <w:spacing w:val="-5"/>
        </w:rPr>
        <w:t> </w:t>
      </w:r>
      <w:r>
        <w:rPr/>
        <w:t>information, options, and clinical expertise. Importantly, an affirming model removes judgment and barriers to culturally sensitive care, meeting the individual where they are and delivering basic clinical competencies.</w:t>
      </w:r>
      <w:r>
        <w:rPr>
          <w:vertAlign w:val="superscript"/>
        </w:rPr>
        <w:t>69</w:t>
      </w:r>
      <w:r>
        <w:rPr>
          <w:vertAlign w:val="baseline"/>
        </w:rPr>
        <w:t> A 2021 study in New England conducted qualitative interviews with healthcare providers and transgender and gender-nonconforming adults, where community members emphasized the importance of integrated mental and physical health.</w:t>
      </w:r>
      <w:r>
        <w:rPr>
          <w:vertAlign w:val="superscript"/>
        </w:rPr>
        <w:t>70</w:t>
      </w:r>
    </w:p>
    <w:p>
      <w:pPr>
        <w:pStyle w:val="BodyText"/>
        <w:spacing w:before="7"/>
      </w:pPr>
    </w:p>
    <w:p>
      <w:pPr>
        <w:spacing w:before="0"/>
        <w:ind w:left="220" w:right="0" w:firstLine="0"/>
        <w:jc w:val="center"/>
        <w:rPr>
          <w:sz w:val="28"/>
        </w:rPr>
      </w:pPr>
      <w:r>
        <w:rPr>
          <w:color w:val="4F81BC"/>
          <w:spacing w:val="-6"/>
          <w:sz w:val="28"/>
        </w:rPr>
        <w:t>Moreover,</w:t>
      </w:r>
      <w:r>
        <w:rPr>
          <w:color w:val="4F81BC"/>
          <w:spacing w:val="-5"/>
          <w:sz w:val="28"/>
        </w:rPr>
        <w:t> </w:t>
      </w:r>
      <w:r>
        <w:rPr>
          <w:color w:val="4F81BC"/>
          <w:spacing w:val="-6"/>
          <w:sz w:val="28"/>
        </w:rPr>
        <w:t>if you are not</w:t>
      </w:r>
      <w:r>
        <w:rPr>
          <w:color w:val="4F81BC"/>
          <w:spacing w:val="-5"/>
          <w:sz w:val="28"/>
        </w:rPr>
        <w:t> </w:t>
      </w:r>
      <w:r>
        <w:rPr>
          <w:color w:val="4F81BC"/>
          <w:spacing w:val="-6"/>
          <w:sz w:val="28"/>
        </w:rPr>
        <w:t>counted, you will</w:t>
      </w:r>
      <w:r>
        <w:rPr>
          <w:color w:val="4F81BC"/>
          <w:spacing w:val="-5"/>
          <w:sz w:val="28"/>
        </w:rPr>
        <w:t> </w:t>
      </w:r>
      <w:r>
        <w:rPr>
          <w:color w:val="4F81BC"/>
          <w:spacing w:val="-6"/>
          <w:sz w:val="28"/>
        </w:rPr>
        <w:t>not</w:t>
      </w:r>
      <w:r>
        <w:rPr>
          <w:color w:val="4F81BC"/>
          <w:spacing w:val="-4"/>
          <w:sz w:val="28"/>
        </w:rPr>
        <w:t> </w:t>
      </w:r>
      <w:r>
        <w:rPr>
          <w:color w:val="4F81BC"/>
          <w:spacing w:val="-6"/>
          <w:sz w:val="28"/>
        </w:rPr>
        <w:t>count.</w:t>
      </w:r>
    </w:p>
    <w:p>
      <w:pPr>
        <w:pStyle w:val="BodyText"/>
        <w:spacing w:line="276" w:lineRule="auto" w:before="279"/>
        <w:ind w:left="464" w:right="240" w:hanging="3"/>
        <w:jc w:val="both"/>
      </w:pPr>
      <w:r>
        <w:rPr/>
        <w:t>The lack of existing guidelines for collecting sexual orientation and gender identity (SOGI) data in the pediatric population remains a profound issue. Additionally, there are currently no standardized guidelines for the collection of intersex data. When SOGI and intersex data is not collected, policymakers, agencies, and organizations do not have a complete understanding of the patient population, limiting the ability of providers to deliver specialized care to LGBTQ individuals. Recent recommendations</w:t>
      </w:r>
      <w:r>
        <w:rPr>
          <w:spacing w:val="-13"/>
        </w:rPr>
        <w:t> </w:t>
      </w:r>
      <w:r>
        <w:rPr/>
        <w:t>for</w:t>
      </w:r>
      <w:r>
        <w:rPr>
          <w:spacing w:val="-12"/>
        </w:rPr>
        <w:t> </w:t>
      </w:r>
      <w:r>
        <w:rPr/>
        <w:t>collecting</w:t>
      </w:r>
      <w:r>
        <w:rPr>
          <w:spacing w:val="-13"/>
        </w:rPr>
        <w:t> </w:t>
      </w:r>
      <w:r>
        <w:rPr/>
        <w:t>SOGI</w:t>
      </w:r>
      <w:r>
        <w:rPr>
          <w:spacing w:val="-12"/>
        </w:rPr>
        <w:t> </w:t>
      </w:r>
      <w:r>
        <w:rPr/>
        <w:t>data</w:t>
      </w:r>
      <w:r>
        <w:rPr>
          <w:spacing w:val="-13"/>
        </w:rPr>
        <w:t> </w:t>
      </w:r>
      <w:r>
        <w:rPr/>
        <w:t>published</w:t>
      </w:r>
      <w:r>
        <w:rPr>
          <w:spacing w:val="-12"/>
        </w:rPr>
        <w:t> </w:t>
      </w:r>
      <w:r>
        <w:rPr/>
        <w:t>in</w:t>
      </w:r>
      <w:r>
        <w:rPr>
          <w:spacing w:val="-13"/>
        </w:rPr>
        <w:t> </w:t>
      </w:r>
      <w:r>
        <w:rPr/>
        <w:t>New</w:t>
      </w:r>
      <w:r>
        <w:rPr>
          <w:spacing w:val="-12"/>
        </w:rPr>
        <w:t> </w:t>
      </w:r>
      <w:r>
        <w:rPr/>
        <w:t>England</w:t>
      </w:r>
      <w:r>
        <w:rPr>
          <w:spacing w:val="-12"/>
        </w:rPr>
        <w:t> </w:t>
      </w:r>
      <w:r>
        <w:rPr/>
        <w:t>take</w:t>
      </w:r>
      <w:r>
        <w:rPr>
          <w:spacing w:val="-13"/>
        </w:rPr>
        <w:t> </w:t>
      </w:r>
      <w:r>
        <w:rPr/>
        <w:t>into</w:t>
      </w:r>
      <w:r>
        <w:rPr>
          <w:spacing w:val="-12"/>
        </w:rPr>
        <w:t> </w:t>
      </w:r>
      <w:r>
        <w:rPr/>
        <w:t>consideration</w:t>
      </w:r>
      <w:r>
        <w:rPr>
          <w:spacing w:val="-13"/>
        </w:rPr>
        <w:t> </w:t>
      </w:r>
      <w:r>
        <w:rPr/>
        <w:t>children’s developmental</w:t>
      </w:r>
      <w:r>
        <w:rPr>
          <w:spacing w:val="-9"/>
        </w:rPr>
        <w:t> </w:t>
      </w:r>
      <w:r>
        <w:rPr/>
        <w:t>stages,</w:t>
      </w:r>
      <w:r>
        <w:rPr>
          <w:spacing w:val="-8"/>
        </w:rPr>
        <w:t> </w:t>
      </w:r>
      <w:r>
        <w:rPr/>
        <w:t>the</w:t>
      </w:r>
      <w:r>
        <w:rPr>
          <w:spacing w:val="-8"/>
        </w:rPr>
        <w:t> </w:t>
      </w:r>
      <w:r>
        <w:rPr/>
        <w:t>role</w:t>
      </w:r>
      <w:r>
        <w:rPr>
          <w:spacing w:val="-9"/>
        </w:rPr>
        <w:t> </w:t>
      </w:r>
      <w:r>
        <w:rPr/>
        <w:t>of</w:t>
      </w:r>
      <w:r>
        <w:rPr>
          <w:spacing w:val="-9"/>
        </w:rPr>
        <w:t> </w:t>
      </w:r>
      <w:r>
        <w:rPr/>
        <w:t>caregivers,</w:t>
      </w:r>
      <w:r>
        <w:rPr>
          <w:spacing w:val="-8"/>
        </w:rPr>
        <w:t> </w:t>
      </w:r>
      <w:r>
        <w:rPr/>
        <w:t>and</w:t>
      </w:r>
      <w:r>
        <w:rPr>
          <w:spacing w:val="-9"/>
        </w:rPr>
        <w:t> </w:t>
      </w:r>
      <w:r>
        <w:rPr/>
        <w:t>the</w:t>
      </w:r>
      <w:r>
        <w:rPr>
          <w:spacing w:val="-8"/>
        </w:rPr>
        <w:t> </w:t>
      </w:r>
      <w:r>
        <w:rPr/>
        <w:t>need</w:t>
      </w:r>
      <w:r>
        <w:rPr>
          <w:spacing w:val="-9"/>
        </w:rPr>
        <w:t> </w:t>
      </w:r>
      <w:r>
        <w:rPr/>
        <w:t>to</w:t>
      </w:r>
      <w:r>
        <w:rPr>
          <w:spacing w:val="-8"/>
        </w:rPr>
        <w:t> </w:t>
      </w:r>
      <w:r>
        <w:rPr/>
        <w:t>protect</w:t>
      </w:r>
      <w:r>
        <w:rPr>
          <w:spacing w:val="-9"/>
        </w:rPr>
        <w:t> </w:t>
      </w:r>
      <w:r>
        <w:rPr/>
        <w:t>the</w:t>
      </w:r>
      <w:r>
        <w:rPr>
          <w:spacing w:val="-9"/>
        </w:rPr>
        <w:t> </w:t>
      </w:r>
      <w:r>
        <w:rPr/>
        <w:t>privacy</w:t>
      </w:r>
      <w:r>
        <w:rPr>
          <w:spacing w:val="-7"/>
        </w:rPr>
        <w:t> </w:t>
      </w:r>
      <w:r>
        <w:rPr/>
        <w:t>of</w:t>
      </w:r>
      <w:r>
        <w:rPr>
          <w:spacing w:val="-9"/>
        </w:rPr>
        <w:t> </w:t>
      </w:r>
      <w:r>
        <w:rPr/>
        <w:t>this</w:t>
      </w:r>
      <w:r>
        <w:rPr>
          <w:spacing w:val="-8"/>
        </w:rPr>
        <w:t> </w:t>
      </w:r>
      <w:r>
        <w:rPr/>
        <w:t>information.</w:t>
      </w:r>
      <w:r>
        <w:rPr>
          <w:vertAlign w:val="superscript"/>
        </w:rPr>
        <w:t>71</w:t>
      </w:r>
    </w:p>
    <w:p>
      <w:pPr>
        <w:spacing w:before="238"/>
        <w:ind w:left="464" w:right="0" w:firstLine="0"/>
        <w:jc w:val="both"/>
        <w:rPr>
          <w:sz w:val="28"/>
        </w:rPr>
      </w:pPr>
      <w:bookmarkStart w:name="Reproductive Health" w:id="358"/>
      <w:bookmarkEnd w:id="358"/>
      <w:r>
        <w:rPr/>
      </w:r>
      <w:r>
        <w:rPr>
          <w:color w:val="365F91"/>
          <w:spacing w:val="-2"/>
          <w:sz w:val="28"/>
        </w:rPr>
        <w:t>Reproductive</w:t>
      </w:r>
      <w:r>
        <w:rPr>
          <w:color w:val="365F91"/>
          <w:spacing w:val="5"/>
          <w:sz w:val="28"/>
        </w:rPr>
        <w:t> </w:t>
      </w:r>
      <w:r>
        <w:rPr>
          <w:color w:val="365F91"/>
          <w:spacing w:val="-2"/>
          <w:sz w:val="28"/>
        </w:rPr>
        <w:t>Health</w:t>
      </w:r>
    </w:p>
    <w:p>
      <w:pPr>
        <w:pStyle w:val="BodyText"/>
        <w:spacing w:line="276" w:lineRule="auto" w:before="293"/>
        <w:ind w:left="463" w:right="240" w:firstLine="14"/>
        <w:jc w:val="both"/>
      </w:pPr>
      <w:r>
        <w:rPr/>
        <w:t>Fertility preservation and family-building remain priority issues in the care of LGBTQ adolescents. Current guidelines for the care of transgender and gender-diverse adolescents and young adults recommend</w:t>
      </w:r>
      <w:r>
        <w:rPr>
          <w:spacing w:val="-5"/>
        </w:rPr>
        <w:t> </w:t>
      </w:r>
      <w:r>
        <w:rPr/>
        <w:t>discussing</w:t>
      </w:r>
      <w:r>
        <w:rPr>
          <w:spacing w:val="-6"/>
        </w:rPr>
        <w:t> </w:t>
      </w:r>
      <w:r>
        <w:rPr/>
        <w:t>potential</w:t>
      </w:r>
      <w:r>
        <w:rPr>
          <w:spacing w:val="-6"/>
        </w:rPr>
        <w:t> </w:t>
      </w:r>
      <w:r>
        <w:rPr/>
        <w:t>fertility</w:t>
      </w:r>
      <w:r>
        <w:rPr>
          <w:spacing w:val="-7"/>
        </w:rPr>
        <w:t> </w:t>
      </w:r>
      <w:r>
        <w:rPr/>
        <w:t>impairment</w:t>
      </w:r>
      <w:r>
        <w:rPr>
          <w:spacing w:val="-7"/>
        </w:rPr>
        <w:t> </w:t>
      </w:r>
      <w:r>
        <w:rPr/>
        <w:t>and</w:t>
      </w:r>
      <w:r>
        <w:rPr>
          <w:spacing w:val="-8"/>
        </w:rPr>
        <w:t> </w:t>
      </w:r>
      <w:r>
        <w:rPr/>
        <w:t>fertility</w:t>
      </w:r>
      <w:r>
        <w:rPr>
          <w:spacing w:val="-5"/>
        </w:rPr>
        <w:t> </w:t>
      </w:r>
      <w:r>
        <w:rPr/>
        <w:t>preservation</w:t>
      </w:r>
      <w:r>
        <w:rPr>
          <w:spacing w:val="-6"/>
        </w:rPr>
        <w:t> </w:t>
      </w:r>
      <w:r>
        <w:rPr/>
        <w:t>options</w:t>
      </w:r>
      <w:r>
        <w:rPr>
          <w:spacing w:val="-7"/>
        </w:rPr>
        <w:t> </w:t>
      </w:r>
      <w:r>
        <w:rPr/>
        <w:t>with</w:t>
      </w:r>
      <w:r>
        <w:rPr>
          <w:spacing w:val="-5"/>
        </w:rPr>
        <w:t> </w:t>
      </w:r>
      <w:r>
        <w:rPr/>
        <w:t>youth</w:t>
      </w:r>
      <w:r>
        <w:rPr>
          <w:spacing w:val="-8"/>
        </w:rPr>
        <w:t> </w:t>
      </w:r>
      <w:r>
        <w:rPr/>
        <w:t>and their caregivers prior to the initiation of certain gender-affirming treatments. </w:t>
      </w:r>
      <w:r>
        <w:rPr>
          <w:vertAlign w:val="superscript"/>
        </w:rPr>
        <w:t>72</w:t>
      </w:r>
      <w:r>
        <w:rPr>
          <w:vertAlign w:val="baseline"/>
        </w:rPr>
        <w:t> </w:t>
      </w:r>
      <w:r>
        <w:rPr>
          <w:vertAlign w:val="superscript"/>
        </w:rPr>
        <w:t>,</w:t>
      </w:r>
      <w:r>
        <w:rPr>
          <w:vertAlign w:val="baseline"/>
        </w:rPr>
        <w:t> </w:t>
      </w:r>
      <w:r>
        <w:rPr>
          <w:vertAlign w:val="superscript"/>
        </w:rPr>
        <w:t>73</w:t>
      </w:r>
      <w:r>
        <w:rPr>
          <w:vertAlign w:val="baseline"/>
        </w:rPr>
        <w:t> Despite this guidance,</w:t>
      </w:r>
      <w:r>
        <w:rPr>
          <w:spacing w:val="-4"/>
          <w:vertAlign w:val="baseline"/>
        </w:rPr>
        <w:t> </w:t>
      </w:r>
      <w:r>
        <w:rPr>
          <w:vertAlign w:val="baseline"/>
        </w:rPr>
        <w:t>provider</w:t>
      </w:r>
      <w:r>
        <w:rPr>
          <w:spacing w:val="-5"/>
          <w:vertAlign w:val="baseline"/>
        </w:rPr>
        <w:t> </w:t>
      </w:r>
      <w:r>
        <w:rPr>
          <w:vertAlign w:val="baseline"/>
        </w:rPr>
        <w:t>knowledge</w:t>
      </w:r>
      <w:r>
        <w:rPr>
          <w:spacing w:val="-5"/>
          <w:vertAlign w:val="baseline"/>
        </w:rPr>
        <w:t> </w:t>
      </w:r>
      <w:r>
        <w:rPr>
          <w:vertAlign w:val="baseline"/>
        </w:rPr>
        <w:t>and</w:t>
      </w:r>
      <w:r>
        <w:rPr>
          <w:spacing w:val="-4"/>
          <w:vertAlign w:val="baseline"/>
        </w:rPr>
        <w:t> </w:t>
      </w:r>
      <w:r>
        <w:rPr>
          <w:vertAlign w:val="baseline"/>
        </w:rPr>
        <w:t>referral</w:t>
      </w:r>
      <w:r>
        <w:rPr>
          <w:spacing w:val="-5"/>
          <w:vertAlign w:val="baseline"/>
        </w:rPr>
        <w:t> </w:t>
      </w:r>
      <w:r>
        <w:rPr>
          <w:vertAlign w:val="baseline"/>
        </w:rPr>
        <w:t>practices</w:t>
      </w:r>
      <w:r>
        <w:rPr>
          <w:spacing w:val="-3"/>
          <w:vertAlign w:val="baseline"/>
        </w:rPr>
        <w:t> </w:t>
      </w:r>
      <w:r>
        <w:rPr>
          <w:vertAlign w:val="baseline"/>
        </w:rPr>
        <w:t>vary</w:t>
      </w:r>
      <w:r>
        <w:rPr>
          <w:spacing w:val="-5"/>
          <w:vertAlign w:val="baseline"/>
        </w:rPr>
        <w:t> </w:t>
      </w:r>
      <w:r>
        <w:rPr>
          <w:vertAlign w:val="baseline"/>
        </w:rPr>
        <w:t>widely,</w:t>
      </w:r>
      <w:r>
        <w:rPr>
          <w:spacing w:val="-5"/>
          <w:vertAlign w:val="baseline"/>
        </w:rPr>
        <w:t> </w:t>
      </w:r>
      <w:r>
        <w:rPr>
          <w:vertAlign w:val="baseline"/>
        </w:rPr>
        <w:t>resulting</w:t>
      </w:r>
      <w:r>
        <w:rPr>
          <w:spacing w:val="-4"/>
          <w:vertAlign w:val="baseline"/>
        </w:rPr>
        <w:t> </w:t>
      </w:r>
      <w:r>
        <w:rPr>
          <w:vertAlign w:val="baseline"/>
        </w:rPr>
        <w:t>in</w:t>
      </w:r>
      <w:r>
        <w:rPr>
          <w:spacing w:val="-4"/>
          <w:vertAlign w:val="baseline"/>
        </w:rPr>
        <w:t> </w:t>
      </w:r>
      <w:r>
        <w:rPr>
          <w:vertAlign w:val="baseline"/>
        </w:rPr>
        <w:t>inconsistent</w:t>
      </w:r>
      <w:r>
        <w:rPr>
          <w:spacing w:val="-4"/>
          <w:vertAlign w:val="baseline"/>
        </w:rPr>
        <w:t> </w:t>
      </w:r>
      <w:r>
        <w:rPr>
          <w:vertAlign w:val="baseline"/>
        </w:rPr>
        <w:t>experiences in</w:t>
      </w:r>
      <w:r>
        <w:rPr>
          <w:spacing w:val="-11"/>
          <w:vertAlign w:val="baseline"/>
        </w:rPr>
        <w:t> </w:t>
      </w:r>
      <w:r>
        <w:rPr>
          <w:vertAlign w:val="baseline"/>
        </w:rPr>
        <w:t>fertility</w:t>
      </w:r>
      <w:r>
        <w:rPr>
          <w:spacing w:val="-2"/>
          <w:vertAlign w:val="baseline"/>
        </w:rPr>
        <w:t> </w:t>
      </w:r>
      <w:r>
        <w:rPr>
          <w:vertAlign w:val="baseline"/>
        </w:rPr>
        <w:t>counseling.</w:t>
      </w:r>
      <w:r>
        <w:rPr>
          <w:vertAlign w:val="superscript"/>
        </w:rPr>
        <w:t>74,75</w:t>
      </w:r>
      <w:r>
        <w:rPr>
          <w:spacing w:val="-13"/>
          <w:vertAlign w:val="baseline"/>
        </w:rPr>
        <w:t> </w:t>
      </w:r>
      <w:r>
        <w:rPr>
          <w:vertAlign w:val="baseline"/>
        </w:rPr>
        <w:t>However,</w:t>
      </w:r>
      <w:r>
        <w:rPr>
          <w:spacing w:val="-4"/>
          <w:vertAlign w:val="baseline"/>
        </w:rPr>
        <w:t> </w:t>
      </w:r>
      <w:r>
        <w:rPr>
          <w:vertAlign w:val="baseline"/>
        </w:rPr>
        <w:t>research</w:t>
      </w:r>
      <w:r>
        <w:rPr>
          <w:spacing w:val="-3"/>
          <w:vertAlign w:val="baseline"/>
        </w:rPr>
        <w:t> </w:t>
      </w:r>
      <w:r>
        <w:rPr>
          <w:vertAlign w:val="baseline"/>
        </w:rPr>
        <w:t>has</w:t>
      </w:r>
      <w:r>
        <w:rPr>
          <w:spacing w:val="-2"/>
          <w:vertAlign w:val="baseline"/>
        </w:rPr>
        <w:t> </w:t>
      </w:r>
      <w:r>
        <w:rPr>
          <w:vertAlign w:val="baseline"/>
        </w:rPr>
        <w:t>demonstrated</w:t>
      </w:r>
      <w:r>
        <w:rPr>
          <w:spacing w:val="-3"/>
          <w:vertAlign w:val="baseline"/>
        </w:rPr>
        <w:t> </w:t>
      </w:r>
      <w:r>
        <w:rPr>
          <w:vertAlign w:val="baseline"/>
        </w:rPr>
        <w:t>that</w:t>
      </w:r>
      <w:r>
        <w:rPr>
          <w:spacing w:val="-3"/>
          <w:vertAlign w:val="baseline"/>
        </w:rPr>
        <w:t> </w:t>
      </w:r>
      <w:r>
        <w:rPr>
          <w:vertAlign w:val="baseline"/>
        </w:rPr>
        <w:t>many</w:t>
      </w:r>
      <w:r>
        <w:rPr>
          <w:spacing w:val="-3"/>
          <w:vertAlign w:val="baseline"/>
        </w:rPr>
        <w:t> </w:t>
      </w:r>
      <w:r>
        <w:rPr>
          <w:vertAlign w:val="baseline"/>
        </w:rPr>
        <w:t>transgender</w:t>
      </w:r>
      <w:r>
        <w:rPr>
          <w:spacing w:val="-3"/>
          <w:vertAlign w:val="baseline"/>
        </w:rPr>
        <w:t> </w:t>
      </w:r>
      <w:r>
        <w:rPr>
          <w:vertAlign w:val="baseline"/>
        </w:rPr>
        <w:t>adults</w:t>
      </w:r>
      <w:r>
        <w:rPr>
          <w:spacing w:val="-4"/>
          <w:vertAlign w:val="baseline"/>
        </w:rPr>
        <w:t> </w:t>
      </w:r>
      <w:r>
        <w:rPr>
          <w:vertAlign w:val="baseline"/>
        </w:rPr>
        <w:t>express a</w:t>
      </w:r>
      <w:r>
        <w:rPr>
          <w:spacing w:val="-13"/>
          <w:vertAlign w:val="baseline"/>
        </w:rPr>
        <w:t> </w:t>
      </w:r>
      <w:r>
        <w:rPr>
          <w:vertAlign w:val="baseline"/>
        </w:rPr>
        <w:t>desire</w:t>
      </w:r>
      <w:r>
        <w:rPr>
          <w:spacing w:val="-12"/>
          <w:vertAlign w:val="baseline"/>
        </w:rPr>
        <w:t> </w:t>
      </w:r>
      <w:r>
        <w:rPr>
          <w:vertAlign w:val="baseline"/>
        </w:rPr>
        <w:t>to</w:t>
      </w:r>
      <w:r>
        <w:rPr>
          <w:spacing w:val="-13"/>
          <w:vertAlign w:val="baseline"/>
        </w:rPr>
        <w:t> </w:t>
      </w:r>
      <w:r>
        <w:rPr>
          <w:vertAlign w:val="baseline"/>
        </w:rPr>
        <w:t>have</w:t>
      </w:r>
      <w:r>
        <w:rPr>
          <w:spacing w:val="-12"/>
          <w:vertAlign w:val="baseline"/>
        </w:rPr>
        <w:t> </w:t>
      </w:r>
      <w:r>
        <w:rPr>
          <w:vertAlign w:val="baseline"/>
        </w:rPr>
        <w:t>a</w:t>
      </w:r>
      <w:r>
        <w:rPr>
          <w:spacing w:val="-13"/>
          <w:vertAlign w:val="baseline"/>
        </w:rPr>
        <w:t> </w:t>
      </w:r>
      <w:r>
        <w:rPr>
          <w:vertAlign w:val="baseline"/>
        </w:rPr>
        <w:t>child</w:t>
      </w:r>
      <w:r>
        <w:rPr>
          <w:spacing w:val="-12"/>
          <w:vertAlign w:val="baseline"/>
        </w:rPr>
        <w:t> </w:t>
      </w:r>
      <w:r>
        <w:rPr>
          <w:vertAlign w:val="baseline"/>
        </w:rPr>
        <w:t>and</w:t>
      </w:r>
      <w:r>
        <w:rPr>
          <w:spacing w:val="-13"/>
          <w:vertAlign w:val="baseline"/>
        </w:rPr>
        <w:t> </w:t>
      </w:r>
      <w:r>
        <w:rPr>
          <w:vertAlign w:val="baseline"/>
        </w:rPr>
        <w:t>are</w:t>
      </w:r>
      <w:r>
        <w:rPr>
          <w:spacing w:val="-12"/>
          <w:vertAlign w:val="baseline"/>
        </w:rPr>
        <w:t> </w:t>
      </w:r>
      <w:r>
        <w:rPr>
          <w:vertAlign w:val="baseline"/>
        </w:rPr>
        <w:t>interested</w:t>
      </w:r>
      <w:r>
        <w:rPr>
          <w:spacing w:val="-12"/>
          <w:vertAlign w:val="baseline"/>
        </w:rPr>
        <w:t> </w:t>
      </w:r>
      <w:r>
        <w:rPr>
          <w:vertAlign w:val="baseline"/>
        </w:rPr>
        <w:t>in</w:t>
      </w:r>
      <w:r>
        <w:rPr>
          <w:spacing w:val="-13"/>
          <w:vertAlign w:val="baseline"/>
        </w:rPr>
        <w:t> </w:t>
      </w:r>
      <w:r>
        <w:rPr>
          <w:vertAlign w:val="baseline"/>
        </w:rPr>
        <w:t>biological</w:t>
      </w:r>
      <w:r>
        <w:rPr>
          <w:spacing w:val="-12"/>
          <w:vertAlign w:val="baseline"/>
        </w:rPr>
        <w:t> </w:t>
      </w:r>
      <w:r>
        <w:rPr>
          <w:vertAlign w:val="baseline"/>
        </w:rPr>
        <w:t>parenthood.</w:t>
      </w:r>
      <w:r>
        <w:rPr>
          <w:vertAlign w:val="superscript"/>
        </w:rPr>
        <w:t>76</w:t>
      </w:r>
      <w:r>
        <w:rPr>
          <w:spacing w:val="-13"/>
          <w:vertAlign w:val="baseline"/>
        </w:rPr>
        <w:t> </w:t>
      </w:r>
      <w:r>
        <w:rPr>
          <w:vertAlign w:val="baseline"/>
        </w:rPr>
        <w:t>Despite</w:t>
      </w:r>
      <w:r>
        <w:rPr>
          <w:spacing w:val="-12"/>
          <w:vertAlign w:val="baseline"/>
        </w:rPr>
        <w:t> </w:t>
      </w:r>
      <w:r>
        <w:rPr>
          <w:vertAlign w:val="baseline"/>
        </w:rPr>
        <w:t>this,</w:t>
      </w:r>
      <w:r>
        <w:rPr>
          <w:spacing w:val="-10"/>
          <w:vertAlign w:val="baseline"/>
        </w:rPr>
        <w:t> </w:t>
      </w:r>
      <w:r>
        <w:rPr>
          <w:vertAlign w:val="baseline"/>
        </w:rPr>
        <w:t>fertility</w:t>
      </w:r>
      <w:r>
        <w:rPr>
          <w:spacing w:val="-11"/>
          <w:vertAlign w:val="baseline"/>
        </w:rPr>
        <w:t> </w:t>
      </w:r>
      <w:r>
        <w:rPr>
          <w:vertAlign w:val="baseline"/>
        </w:rPr>
        <w:t>preservation rates</w:t>
      </w:r>
      <w:r>
        <w:rPr>
          <w:spacing w:val="-3"/>
          <w:vertAlign w:val="baseline"/>
        </w:rPr>
        <w:t> </w:t>
      </w:r>
      <w:r>
        <w:rPr>
          <w:vertAlign w:val="baseline"/>
        </w:rPr>
        <w:t>remain</w:t>
      </w:r>
      <w:r>
        <w:rPr>
          <w:spacing w:val="-1"/>
          <w:vertAlign w:val="baseline"/>
        </w:rPr>
        <w:t> </w:t>
      </w:r>
      <w:r>
        <w:rPr>
          <w:vertAlign w:val="baseline"/>
        </w:rPr>
        <w:t>low</w:t>
      </w:r>
      <w:r>
        <w:rPr>
          <w:spacing w:val="-3"/>
          <w:vertAlign w:val="baseline"/>
        </w:rPr>
        <w:t> </w:t>
      </w:r>
      <w:r>
        <w:rPr>
          <w:vertAlign w:val="baseline"/>
        </w:rPr>
        <w:t>among</w:t>
      </w:r>
      <w:r>
        <w:rPr>
          <w:spacing w:val="-2"/>
          <w:vertAlign w:val="baseline"/>
        </w:rPr>
        <w:t> </w:t>
      </w:r>
      <w:r>
        <w:rPr>
          <w:vertAlign w:val="baseline"/>
        </w:rPr>
        <w:t>transgender</w:t>
      </w:r>
      <w:r>
        <w:rPr>
          <w:spacing w:val="-2"/>
          <w:vertAlign w:val="baseline"/>
        </w:rPr>
        <w:t> </w:t>
      </w:r>
      <w:r>
        <w:rPr>
          <w:vertAlign w:val="baseline"/>
        </w:rPr>
        <w:t>youth;</w:t>
      </w:r>
      <w:r>
        <w:rPr>
          <w:spacing w:val="-2"/>
          <w:vertAlign w:val="baseline"/>
        </w:rPr>
        <w:t> </w:t>
      </w:r>
      <w:r>
        <w:rPr>
          <w:vertAlign w:val="baseline"/>
        </w:rPr>
        <w:t>a</w:t>
      </w:r>
      <w:r>
        <w:rPr>
          <w:spacing w:val="-3"/>
          <w:vertAlign w:val="baseline"/>
        </w:rPr>
        <w:t> </w:t>
      </w:r>
      <w:r>
        <w:rPr>
          <w:vertAlign w:val="baseline"/>
        </w:rPr>
        <w:t>2017</w:t>
      </w:r>
      <w:r>
        <w:rPr>
          <w:spacing w:val="-3"/>
          <w:vertAlign w:val="baseline"/>
        </w:rPr>
        <w:t> </w:t>
      </w:r>
      <w:r>
        <w:rPr>
          <w:vertAlign w:val="baseline"/>
        </w:rPr>
        <w:t>review</w:t>
      </w:r>
      <w:r>
        <w:rPr>
          <w:spacing w:val="-3"/>
          <w:vertAlign w:val="baseline"/>
        </w:rPr>
        <w:t> </w:t>
      </w:r>
      <w:r>
        <w:rPr>
          <w:vertAlign w:val="baseline"/>
        </w:rPr>
        <w:t>of</w:t>
      </w:r>
      <w:r>
        <w:rPr>
          <w:spacing w:val="-3"/>
          <w:vertAlign w:val="baseline"/>
        </w:rPr>
        <w:t> </w:t>
      </w:r>
      <w:r>
        <w:rPr>
          <w:vertAlign w:val="baseline"/>
        </w:rPr>
        <w:t>medical</w:t>
      </w:r>
      <w:r>
        <w:rPr>
          <w:spacing w:val="-3"/>
          <w:vertAlign w:val="baseline"/>
        </w:rPr>
        <w:t> </w:t>
      </w:r>
      <w:r>
        <w:rPr>
          <w:vertAlign w:val="baseline"/>
        </w:rPr>
        <w:t>records</w:t>
      </w:r>
      <w:r>
        <w:rPr>
          <w:spacing w:val="-3"/>
          <w:vertAlign w:val="baseline"/>
        </w:rPr>
        <w:t> </w:t>
      </w:r>
      <w:r>
        <w:rPr>
          <w:vertAlign w:val="baseline"/>
        </w:rPr>
        <w:t>at</w:t>
      </w:r>
      <w:r>
        <w:rPr>
          <w:spacing w:val="-3"/>
          <w:vertAlign w:val="baseline"/>
        </w:rPr>
        <w:t> </w:t>
      </w:r>
      <w:r>
        <w:rPr>
          <w:vertAlign w:val="baseline"/>
        </w:rPr>
        <w:t>a</w:t>
      </w:r>
      <w:r>
        <w:rPr>
          <w:spacing w:val="-3"/>
          <w:vertAlign w:val="baseline"/>
        </w:rPr>
        <w:t> </w:t>
      </w:r>
      <w:r>
        <w:rPr>
          <w:vertAlign w:val="baseline"/>
        </w:rPr>
        <w:t>pediatric</w:t>
      </w:r>
      <w:r>
        <w:rPr>
          <w:spacing w:val="-3"/>
          <w:vertAlign w:val="baseline"/>
        </w:rPr>
        <w:t> </w:t>
      </w:r>
      <w:r>
        <w:rPr>
          <w:vertAlign w:val="baseline"/>
        </w:rPr>
        <w:t>academic</w:t>
      </w:r>
    </w:p>
    <w:p>
      <w:pPr>
        <w:spacing w:after="0" w:line="276" w:lineRule="auto"/>
        <w:jc w:val="both"/>
        <w:sectPr>
          <w:pgSz w:w="12240" w:h="15840"/>
          <w:pgMar w:header="721" w:footer="1061" w:top="1360" w:bottom="1260" w:left="1120" w:right="1340"/>
        </w:sectPr>
      </w:pPr>
    </w:p>
    <w:p>
      <w:pPr>
        <w:pStyle w:val="BodyText"/>
        <w:spacing w:line="276" w:lineRule="auto" w:before="67"/>
        <w:ind w:left="464" w:right="240"/>
        <w:jc w:val="both"/>
      </w:pPr>
      <w:r>
        <w:rPr/>
        <w:t>center found that only 2 out of 72 patients engaged in fertility preservation, even when counseling was offered.</w:t>
      </w:r>
      <w:r>
        <w:rPr>
          <w:vertAlign w:val="superscript"/>
        </w:rPr>
        <w:t>77</w:t>
      </w:r>
    </w:p>
    <w:p>
      <w:pPr>
        <w:pStyle w:val="BodyText"/>
        <w:spacing w:line="264" w:lineRule="auto" w:before="241"/>
        <w:ind w:left="6559" w:right="241"/>
        <w:jc w:val="both"/>
      </w:pPr>
      <w:r>
        <w:rPr/>
        <w:drawing>
          <wp:anchor distT="0" distB="0" distL="0" distR="0" allowOverlap="1" layoutInCell="1" locked="0" behindDoc="0" simplePos="0" relativeHeight="15773184">
            <wp:simplePos x="0" y="0"/>
            <wp:positionH relativeFrom="page">
              <wp:posOffset>1117768</wp:posOffset>
            </wp:positionH>
            <wp:positionV relativeFrom="paragraph">
              <wp:posOffset>468162</wp:posOffset>
            </wp:positionV>
            <wp:extent cx="3457259" cy="2341959"/>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279" cstate="print"/>
                    <a:stretch>
                      <a:fillRect/>
                    </a:stretch>
                  </pic:blipFill>
                  <pic:spPr>
                    <a:xfrm>
                      <a:off x="0" y="0"/>
                      <a:ext cx="3457259" cy="2341959"/>
                    </a:xfrm>
                    <a:prstGeom prst="rect">
                      <a:avLst/>
                    </a:prstGeom>
                  </pic:spPr>
                </pic:pic>
              </a:graphicData>
            </a:graphic>
          </wp:anchor>
        </w:drawing>
      </w:r>
      <w:r>
        <w:rPr/>
        <w:t>Many barriers exist for transgender individuals who desire fertility preservation, including the cost of treatment, having to delay hormonal therapy, fear of invasive procedures, concern about the attitudes</w:t>
      </w:r>
      <w:r>
        <w:rPr>
          <w:spacing w:val="-13"/>
        </w:rPr>
        <w:t> </w:t>
      </w:r>
      <w:r>
        <w:rPr/>
        <w:t>of</w:t>
      </w:r>
      <w:r>
        <w:rPr>
          <w:spacing w:val="-12"/>
        </w:rPr>
        <w:t> </w:t>
      </w:r>
      <w:r>
        <w:rPr/>
        <w:t>medical</w:t>
      </w:r>
      <w:r>
        <w:rPr>
          <w:spacing w:val="-13"/>
        </w:rPr>
        <w:t> </w:t>
      </w:r>
      <w:r>
        <w:rPr/>
        <w:t>staff,</w:t>
      </w:r>
      <w:r>
        <w:rPr>
          <w:spacing w:val="-12"/>
        </w:rPr>
        <w:t> </w:t>
      </w:r>
      <w:r>
        <w:rPr/>
        <w:t>and</w:t>
      </w:r>
      <w:r>
        <w:rPr>
          <w:spacing w:val="-13"/>
        </w:rPr>
        <w:t> </w:t>
      </w:r>
      <w:r>
        <w:rPr/>
        <w:t>the unavailability of procedures locally.</w:t>
      </w:r>
      <w:r>
        <w:rPr>
          <w:vertAlign w:val="superscript"/>
        </w:rPr>
        <w:t>78,79,80</w:t>
      </w:r>
      <w:r>
        <w:rPr>
          <w:vertAlign w:val="baseline"/>
        </w:rPr>
        <w:t> Additionally, the lack of insurance coverage for fertility preservation remains a major</w:t>
      </w:r>
      <w:r>
        <w:rPr>
          <w:spacing w:val="40"/>
          <w:vertAlign w:val="baseline"/>
        </w:rPr>
        <w:t> </w:t>
      </w:r>
      <w:r>
        <w:rPr>
          <w:vertAlign w:val="baseline"/>
        </w:rPr>
        <w:t>barrier.</w:t>
      </w:r>
      <w:r>
        <w:rPr>
          <w:spacing w:val="-4"/>
          <w:vertAlign w:val="baseline"/>
        </w:rPr>
        <w:t> </w:t>
      </w:r>
      <w:r>
        <w:rPr>
          <w:vertAlign w:val="baseline"/>
        </w:rPr>
        <w:t>LGBTQ</w:t>
      </w:r>
      <w:r>
        <w:rPr>
          <w:spacing w:val="40"/>
          <w:vertAlign w:val="baseline"/>
        </w:rPr>
        <w:t> </w:t>
      </w:r>
      <w:r>
        <w:rPr>
          <w:vertAlign w:val="baseline"/>
        </w:rPr>
        <w:t>young adults may not immediately see the</w:t>
      </w:r>
      <w:r>
        <w:rPr>
          <w:spacing w:val="-13"/>
          <w:vertAlign w:val="baseline"/>
        </w:rPr>
        <w:t> </w:t>
      </w:r>
      <w:r>
        <w:rPr>
          <w:vertAlign w:val="baseline"/>
        </w:rPr>
        <w:t>possibility</w:t>
      </w:r>
      <w:r>
        <w:rPr>
          <w:spacing w:val="-11"/>
          <w:vertAlign w:val="baseline"/>
        </w:rPr>
        <w:t> </w:t>
      </w:r>
      <w:r>
        <w:rPr>
          <w:vertAlign w:val="baseline"/>
        </w:rPr>
        <w:t>of</w:t>
      </w:r>
      <w:r>
        <w:rPr>
          <w:spacing w:val="-12"/>
          <w:vertAlign w:val="baseline"/>
        </w:rPr>
        <w:t> </w:t>
      </w:r>
      <w:r>
        <w:rPr>
          <w:vertAlign w:val="baseline"/>
        </w:rPr>
        <w:t>building</w:t>
      </w:r>
      <w:r>
        <w:rPr>
          <w:spacing w:val="-12"/>
          <w:vertAlign w:val="baseline"/>
        </w:rPr>
        <w:t> </w:t>
      </w:r>
      <w:r>
        <w:rPr>
          <w:vertAlign w:val="baseline"/>
        </w:rPr>
        <w:t>a</w:t>
      </w:r>
      <w:r>
        <w:rPr>
          <w:spacing w:val="-12"/>
          <w:vertAlign w:val="baseline"/>
        </w:rPr>
        <w:t> </w:t>
      </w:r>
      <w:r>
        <w:rPr>
          <w:vertAlign w:val="baseline"/>
        </w:rPr>
        <w:t>family when</w:t>
      </w:r>
      <w:r>
        <w:rPr>
          <w:spacing w:val="-11"/>
          <w:vertAlign w:val="baseline"/>
        </w:rPr>
        <w:t> </w:t>
      </w:r>
      <w:r>
        <w:rPr>
          <w:vertAlign w:val="baseline"/>
        </w:rPr>
        <w:t>they</w:t>
      </w:r>
      <w:r>
        <w:rPr>
          <w:spacing w:val="-11"/>
          <w:vertAlign w:val="baseline"/>
        </w:rPr>
        <w:t> </w:t>
      </w:r>
      <w:r>
        <w:rPr>
          <w:vertAlign w:val="baseline"/>
        </w:rPr>
        <w:t>do</w:t>
      </w:r>
      <w:r>
        <w:rPr>
          <w:spacing w:val="-9"/>
          <w:vertAlign w:val="baseline"/>
        </w:rPr>
        <w:t> </w:t>
      </w:r>
      <w:r>
        <w:rPr>
          <w:vertAlign w:val="baseline"/>
        </w:rPr>
        <w:t>not</w:t>
      </w:r>
      <w:r>
        <w:rPr>
          <w:spacing w:val="-10"/>
          <w:vertAlign w:val="baseline"/>
        </w:rPr>
        <w:t> </w:t>
      </w:r>
      <w:r>
        <w:rPr>
          <w:vertAlign w:val="baseline"/>
        </w:rPr>
        <w:t>see</w:t>
      </w:r>
      <w:r>
        <w:rPr>
          <w:spacing w:val="-11"/>
          <w:vertAlign w:val="baseline"/>
        </w:rPr>
        <w:t> </w:t>
      </w:r>
      <w:r>
        <w:rPr>
          <w:spacing w:val="-2"/>
          <w:vertAlign w:val="baseline"/>
        </w:rPr>
        <w:t>themselves</w:t>
      </w:r>
    </w:p>
    <w:p>
      <w:pPr>
        <w:pStyle w:val="BodyText"/>
        <w:spacing w:line="264" w:lineRule="auto"/>
        <w:ind w:left="463" w:right="241"/>
        <w:jc w:val="both"/>
      </w:pPr>
      <w:r>
        <w:rPr/>
        <w:t>reflected in adults and family structures around them. When discussing family planning with LGBTQ youth and their caregivers, providers should discuss the various options available, such as surrogacy, adoption,</w:t>
      </w:r>
      <w:r>
        <w:rPr>
          <w:spacing w:val="-4"/>
        </w:rPr>
        <w:t> </w:t>
      </w:r>
      <w:r>
        <w:rPr/>
        <w:t>assisted</w:t>
      </w:r>
      <w:r>
        <w:rPr>
          <w:spacing w:val="-4"/>
        </w:rPr>
        <w:t> </w:t>
      </w:r>
      <w:r>
        <w:rPr/>
        <w:t>reproduction,</w:t>
      </w:r>
      <w:r>
        <w:rPr>
          <w:spacing w:val="-4"/>
        </w:rPr>
        <w:t> </w:t>
      </w:r>
      <w:r>
        <w:rPr/>
        <w:t>or</w:t>
      </w:r>
      <w:r>
        <w:rPr>
          <w:spacing w:val="-4"/>
        </w:rPr>
        <w:t> </w:t>
      </w:r>
      <w:r>
        <w:rPr/>
        <w:t>co-parenting.</w:t>
      </w:r>
      <w:r>
        <w:rPr>
          <w:spacing w:val="-4"/>
        </w:rPr>
        <w:t> </w:t>
      </w:r>
      <w:r>
        <w:rPr/>
        <w:t>Providers</w:t>
      </w:r>
      <w:r>
        <w:rPr>
          <w:spacing w:val="-4"/>
        </w:rPr>
        <w:t> </w:t>
      </w:r>
      <w:r>
        <w:rPr/>
        <w:t>should</w:t>
      </w:r>
      <w:r>
        <w:rPr>
          <w:spacing w:val="-3"/>
        </w:rPr>
        <w:t> </w:t>
      </w:r>
      <w:r>
        <w:rPr/>
        <w:t>also</w:t>
      </w:r>
      <w:r>
        <w:rPr>
          <w:spacing w:val="-3"/>
        </w:rPr>
        <w:t> </w:t>
      </w:r>
      <w:r>
        <w:rPr/>
        <w:t>ensure</w:t>
      </w:r>
      <w:r>
        <w:rPr>
          <w:spacing w:val="-4"/>
        </w:rPr>
        <w:t> </w:t>
      </w:r>
      <w:r>
        <w:rPr/>
        <w:t>that</w:t>
      </w:r>
      <w:r>
        <w:rPr>
          <w:spacing w:val="-4"/>
        </w:rPr>
        <w:t> </w:t>
      </w:r>
      <w:r>
        <w:rPr/>
        <w:t>youth</w:t>
      </w:r>
      <w:r>
        <w:rPr>
          <w:spacing w:val="-3"/>
        </w:rPr>
        <w:t> </w:t>
      </w:r>
      <w:r>
        <w:rPr/>
        <w:t>understand that testosterone is not a form of birth control, and that transgender men and nonbinary individuals may</w:t>
      </w:r>
      <w:r>
        <w:rPr>
          <w:spacing w:val="-4"/>
        </w:rPr>
        <w:t> </w:t>
      </w:r>
      <w:r>
        <w:rPr/>
        <w:t>still</w:t>
      </w:r>
      <w:r>
        <w:rPr>
          <w:spacing w:val="-4"/>
        </w:rPr>
        <w:t> </w:t>
      </w:r>
      <w:r>
        <w:rPr/>
        <w:t>become</w:t>
      </w:r>
      <w:r>
        <w:rPr>
          <w:spacing w:val="-4"/>
        </w:rPr>
        <w:t> </w:t>
      </w:r>
      <w:r>
        <w:rPr/>
        <w:t>pregnant</w:t>
      </w:r>
      <w:r>
        <w:rPr>
          <w:spacing w:val="-3"/>
        </w:rPr>
        <w:t> </w:t>
      </w:r>
      <w:r>
        <w:rPr/>
        <w:t>while</w:t>
      </w:r>
      <w:r>
        <w:rPr>
          <w:spacing w:val="-4"/>
        </w:rPr>
        <w:t> </w:t>
      </w:r>
      <w:r>
        <w:rPr/>
        <w:t>on</w:t>
      </w:r>
      <w:r>
        <w:rPr>
          <w:spacing w:val="-3"/>
        </w:rPr>
        <w:t> </w:t>
      </w:r>
      <w:r>
        <w:rPr/>
        <w:t>testosterone.</w:t>
      </w:r>
      <w:r>
        <w:rPr>
          <w:spacing w:val="-4"/>
        </w:rPr>
        <w:t> </w:t>
      </w:r>
      <w:r>
        <w:rPr/>
        <w:t>This</w:t>
      </w:r>
      <w:r>
        <w:rPr>
          <w:spacing w:val="-4"/>
        </w:rPr>
        <w:t> </w:t>
      </w:r>
      <w:r>
        <w:rPr/>
        <w:t>counseling</w:t>
      </w:r>
      <w:r>
        <w:rPr>
          <w:spacing w:val="-3"/>
        </w:rPr>
        <w:t> </w:t>
      </w:r>
      <w:r>
        <w:rPr/>
        <w:t>is</w:t>
      </w:r>
      <w:r>
        <w:rPr>
          <w:spacing w:val="-4"/>
        </w:rPr>
        <w:t> </w:t>
      </w:r>
      <w:r>
        <w:rPr/>
        <w:t>especially</w:t>
      </w:r>
      <w:r>
        <w:rPr>
          <w:spacing w:val="-4"/>
        </w:rPr>
        <w:t> </w:t>
      </w:r>
      <w:r>
        <w:rPr/>
        <w:t>important</w:t>
      </w:r>
      <w:r>
        <w:rPr>
          <w:spacing w:val="-3"/>
        </w:rPr>
        <w:t> </w:t>
      </w:r>
      <w:r>
        <w:rPr/>
        <w:t>since</w:t>
      </w:r>
      <w:r>
        <w:rPr>
          <w:spacing w:val="-4"/>
        </w:rPr>
        <w:t> </w:t>
      </w:r>
      <w:r>
        <w:rPr/>
        <w:t>LGBTQ youth may be at an increased risk for teenage pregnancy.</w:t>
      </w:r>
      <w:r>
        <w:rPr>
          <w:vertAlign w:val="superscript"/>
        </w:rPr>
        <w:t>81</w:t>
      </w:r>
    </w:p>
    <w:p>
      <w:pPr>
        <w:pStyle w:val="BodyText"/>
        <w:spacing w:before="240"/>
        <w:ind w:left="464"/>
        <w:jc w:val="both"/>
      </w:pPr>
      <w:bookmarkStart w:name="Sexually Transmitted Infections (STIs)" w:id="359"/>
      <w:bookmarkEnd w:id="359"/>
      <w:r>
        <w:rPr/>
      </w:r>
      <w:r>
        <w:rPr>
          <w:color w:val="365F91"/>
          <w:spacing w:val="-2"/>
        </w:rPr>
        <w:t>Sexually</w:t>
      </w:r>
      <w:r>
        <w:rPr>
          <w:color w:val="365F91"/>
          <w:spacing w:val="7"/>
        </w:rPr>
        <w:t> </w:t>
      </w:r>
      <w:r>
        <w:rPr>
          <w:color w:val="365F91"/>
          <w:spacing w:val="-2"/>
        </w:rPr>
        <w:t>Transmitted</w:t>
      </w:r>
      <w:r>
        <w:rPr>
          <w:color w:val="365F91"/>
          <w:spacing w:val="6"/>
        </w:rPr>
        <w:t> </w:t>
      </w:r>
      <w:r>
        <w:rPr>
          <w:color w:val="365F91"/>
          <w:spacing w:val="-2"/>
        </w:rPr>
        <w:t>Infections</w:t>
      </w:r>
      <w:r>
        <w:rPr>
          <w:color w:val="365F91"/>
          <w:spacing w:val="7"/>
        </w:rPr>
        <w:t> </w:t>
      </w:r>
      <w:r>
        <w:rPr>
          <w:color w:val="365F91"/>
          <w:spacing w:val="-2"/>
        </w:rPr>
        <w:t>(STIs)</w:t>
      </w:r>
    </w:p>
    <w:p>
      <w:pPr>
        <w:pStyle w:val="BodyText"/>
        <w:spacing w:before="11"/>
      </w:pPr>
    </w:p>
    <w:p>
      <w:pPr>
        <w:pStyle w:val="BodyText"/>
        <w:spacing w:line="276" w:lineRule="auto"/>
        <w:ind w:left="463" w:right="242" w:firstLine="13"/>
        <w:jc w:val="both"/>
      </w:pPr>
      <w:r>
        <w:rPr/>
        <w:t>In a recent national 2021 HIV study of youth over 18, the risk of HIV for LGBTQ youth is still much higher compared to their non-LGBTQ peers, especially among young gay and bisexual cisgender men and transgender women.</w:t>
      </w:r>
      <w:r>
        <w:rPr>
          <w:vertAlign w:val="superscript"/>
        </w:rPr>
        <w:t>82</w:t>
      </w:r>
      <w:r>
        <w:rPr>
          <w:spacing w:val="-13"/>
          <w:vertAlign w:val="baseline"/>
        </w:rPr>
        <w:t> </w:t>
      </w:r>
      <w:r>
        <w:rPr>
          <w:vertAlign w:val="baseline"/>
        </w:rPr>
        <w:t>Furthermore, trans women may be 66 times more likely to be diagnosed with HIV, and trans men 7 times more likely to be diagnosed. These disparities are likely due to a few factors,</w:t>
      </w:r>
      <w:r>
        <w:rPr>
          <w:spacing w:val="-1"/>
          <w:vertAlign w:val="baseline"/>
        </w:rPr>
        <w:t> </w:t>
      </w:r>
      <w:r>
        <w:rPr>
          <w:vertAlign w:val="baseline"/>
        </w:rPr>
        <w:t>including</w:t>
      </w:r>
      <w:r>
        <w:rPr>
          <w:spacing w:val="-1"/>
          <w:vertAlign w:val="baseline"/>
        </w:rPr>
        <w:t> </w:t>
      </w:r>
      <w:r>
        <w:rPr>
          <w:vertAlign w:val="baseline"/>
        </w:rPr>
        <w:t>stigma and</w:t>
      </w:r>
      <w:r>
        <w:rPr>
          <w:spacing w:val="-1"/>
          <w:vertAlign w:val="baseline"/>
        </w:rPr>
        <w:t> </w:t>
      </w:r>
      <w:r>
        <w:rPr>
          <w:vertAlign w:val="baseline"/>
        </w:rPr>
        <w:t>discrimination,</w:t>
      </w:r>
      <w:r>
        <w:rPr>
          <w:spacing w:val="-1"/>
          <w:vertAlign w:val="baseline"/>
        </w:rPr>
        <w:t> </w:t>
      </w:r>
      <w:r>
        <w:rPr>
          <w:vertAlign w:val="baseline"/>
        </w:rPr>
        <w:t>lack</w:t>
      </w:r>
      <w:r>
        <w:rPr>
          <w:spacing w:val="-1"/>
          <w:vertAlign w:val="baseline"/>
        </w:rPr>
        <w:t> </w:t>
      </w:r>
      <w:r>
        <w:rPr>
          <w:vertAlign w:val="baseline"/>
        </w:rPr>
        <w:t>of</w:t>
      </w:r>
      <w:r>
        <w:rPr>
          <w:spacing w:val="-1"/>
          <w:vertAlign w:val="baseline"/>
        </w:rPr>
        <w:t> </w:t>
      </w:r>
      <w:r>
        <w:rPr>
          <w:vertAlign w:val="baseline"/>
        </w:rPr>
        <w:t>access to comprehensive sexual health education and resources, and higher rates of risky behaviors such as unprotected sex and injection drug use. Fortunately, in Massachusetts, HIV transmission rates in youth aged 0-19 have lowered significantly, with youth aged 0-19 making up only 2% of recent HIV infection diagnoses in 2020.</w:t>
      </w:r>
      <w:r>
        <w:rPr>
          <w:vertAlign w:val="superscript"/>
        </w:rPr>
        <w:t>83</w:t>
      </w:r>
    </w:p>
    <w:p>
      <w:pPr>
        <w:pStyle w:val="BodyText"/>
        <w:spacing w:line="276" w:lineRule="auto" w:before="240"/>
        <w:ind w:left="463" w:right="242" w:firstLine="13"/>
        <w:jc w:val="both"/>
      </w:pPr>
      <w:r>
        <w:rPr/>
        <w:t>Unfortunately, it is still important to note that societal stigma and discrimination can make it difficult for</w:t>
      </w:r>
      <w:r>
        <w:rPr>
          <w:spacing w:val="-9"/>
        </w:rPr>
        <w:t> </w:t>
      </w:r>
      <w:r>
        <w:rPr/>
        <w:t>LGBTQ</w:t>
      </w:r>
      <w:r>
        <w:rPr>
          <w:spacing w:val="-9"/>
        </w:rPr>
        <w:t> </w:t>
      </w:r>
      <w:r>
        <w:rPr/>
        <w:t>youth</w:t>
      </w:r>
      <w:r>
        <w:rPr>
          <w:spacing w:val="-9"/>
        </w:rPr>
        <w:t> </w:t>
      </w:r>
      <w:r>
        <w:rPr/>
        <w:t>in</w:t>
      </w:r>
      <w:r>
        <w:rPr>
          <w:spacing w:val="-9"/>
        </w:rPr>
        <w:t> </w:t>
      </w:r>
      <w:r>
        <w:rPr/>
        <w:t>general</w:t>
      </w:r>
      <w:r>
        <w:rPr>
          <w:spacing w:val="-9"/>
        </w:rPr>
        <w:t> </w:t>
      </w:r>
      <w:r>
        <w:rPr/>
        <w:t>to</w:t>
      </w:r>
      <w:r>
        <w:rPr>
          <w:spacing w:val="-8"/>
        </w:rPr>
        <w:t> </w:t>
      </w:r>
      <w:r>
        <w:rPr/>
        <w:t>seek</w:t>
      </w:r>
      <w:r>
        <w:rPr>
          <w:spacing w:val="-9"/>
        </w:rPr>
        <w:t> </w:t>
      </w:r>
      <w:r>
        <w:rPr/>
        <w:t>out</w:t>
      </w:r>
      <w:r>
        <w:rPr>
          <w:spacing w:val="-8"/>
        </w:rPr>
        <w:t> </w:t>
      </w:r>
      <w:r>
        <w:rPr/>
        <w:t>testing,</w:t>
      </w:r>
      <w:r>
        <w:rPr>
          <w:spacing w:val="-8"/>
        </w:rPr>
        <w:t> </w:t>
      </w:r>
      <w:r>
        <w:rPr/>
        <w:t>prevention,</w:t>
      </w:r>
      <w:r>
        <w:rPr>
          <w:spacing w:val="-8"/>
        </w:rPr>
        <w:t> </w:t>
      </w:r>
      <w:r>
        <w:rPr/>
        <w:t>and</w:t>
      </w:r>
      <w:r>
        <w:rPr>
          <w:spacing w:val="-8"/>
        </w:rPr>
        <w:t> </w:t>
      </w:r>
      <w:r>
        <w:rPr/>
        <w:t>treatment</w:t>
      </w:r>
      <w:r>
        <w:rPr>
          <w:spacing w:val="-9"/>
        </w:rPr>
        <w:t> </w:t>
      </w:r>
      <w:r>
        <w:rPr/>
        <w:t>services,</w:t>
      </w:r>
      <w:r>
        <w:rPr>
          <w:spacing w:val="-8"/>
        </w:rPr>
        <w:t> </w:t>
      </w:r>
      <w:r>
        <w:rPr/>
        <w:t>leading</w:t>
      </w:r>
      <w:r>
        <w:rPr>
          <w:spacing w:val="-9"/>
        </w:rPr>
        <w:t> </w:t>
      </w:r>
      <w:r>
        <w:rPr/>
        <w:t>to</w:t>
      </w:r>
      <w:r>
        <w:rPr>
          <w:spacing w:val="-7"/>
        </w:rPr>
        <w:t> </w:t>
      </w:r>
      <w:r>
        <w:rPr/>
        <w:t>a</w:t>
      </w:r>
      <w:r>
        <w:rPr>
          <w:spacing w:val="-8"/>
        </w:rPr>
        <w:t> </w:t>
      </w:r>
      <w:r>
        <w:rPr/>
        <w:t>higher risk</w:t>
      </w:r>
      <w:r>
        <w:rPr>
          <w:spacing w:val="-2"/>
        </w:rPr>
        <w:t> </w:t>
      </w:r>
      <w:r>
        <w:rPr/>
        <w:t>of</w:t>
      </w:r>
      <w:r>
        <w:rPr>
          <w:spacing w:val="-2"/>
        </w:rPr>
        <w:t> </w:t>
      </w:r>
      <w:r>
        <w:rPr/>
        <w:t>HIV</w:t>
      </w:r>
      <w:r>
        <w:rPr>
          <w:spacing w:val="-2"/>
        </w:rPr>
        <w:t> </w:t>
      </w:r>
      <w:r>
        <w:rPr/>
        <w:t>transmission</w:t>
      </w:r>
      <w:r>
        <w:rPr>
          <w:spacing w:val="-2"/>
        </w:rPr>
        <w:t> </w:t>
      </w:r>
      <w:r>
        <w:rPr/>
        <w:t>and</w:t>
      </w:r>
      <w:r>
        <w:rPr>
          <w:spacing w:val="-2"/>
        </w:rPr>
        <w:t> </w:t>
      </w:r>
      <w:r>
        <w:rPr/>
        <w:t>poorer</w:t>
      </w:r>
      <w:r>
        <w:rPr>
          <w:spacing w:val="-2"/>
        </w:rPr>
        <w:t> </w:t>
      </w:r>
      <w:r>
        <w:rPr/>
        <w:t>health</w:t>
      </w:r>
      <w:r>
        <w:rPr>
          <w:spacing w:val="-2"/>
        </w:rPr>
        <w:t> </w:t>
      </w:r>
      <w:r>
        <w:rPr/>
        <w:t>outcomes.</w:t>
      </w:r>
      <w:r>
        <w:rPr>
          <w:spacing w:val="-1"/>
        </w:rPr>
        <w:t> </w:t>
      </w:r>
      <w:r>
        <w:rPr/>
        <w:t>Many</w:t>
      </w:r>
      <w:r>
        <w:rPr>
          <w:spacing w:val="-2"/>
        </w:rPr>
        <w:t> </w:t>
      </w:r>
      <w:r>
        <w:rPr/>
        <w:t>LGBTQ</w:t>
      </w:r>
      <w:r>
        <w:rPr>
          <w:spacing w:val="-1"/>
        </w:rPr>
        <w:t> </w:t>
      </w:r>
      <w:r>
        <w:rPr/>
        <w:t>youth</w:t>
      </w:r>
      <w:r>
        <w:rPr>
          <w:spacing w:val="-2"/>
        </w:rPr>
        <w:t> </w:t>
      </w:r>
      <w:r>
        <w:rPr/>
        <w:t>do</w:t>
      </w:r>
      <w:r>
        <w:rPr>
          <w:spacing w:val="-1"/>
        </w:rPr>
        <w:t> </w:t>
      </w:r>
      <w:r>
        <w:rPr/>
        <w:t>not</w:t>
      </w:r>
      <w:r>
        <w:rPr>
          <w:spacing w:val="-1"/>
        </w:rPr>
        <w:t> </w:t>
      </w:r>
      <w:r>
        <w:rPr/>
        <w:t>ask</w:t>
      </w:r>
      <w:r>
        <w:rPr>
          <w:spacing w:val="-2"/>
        </w:rPr>
        <w:t> </w:t>
      </w:r>
      <w:r>
        <w:rPr/>
        <w:t>for</w:t>
      </w:r>
      <w:r>
        <w:rPr>
          <w:spacing w:val="-2"/>
        </w:rPr>
        <w:t> </w:t>
      </w:r>
      <w:r>
        <w:rPr/>
        <w:t>sexual</w:t>
      </w:r>
      <w:r>
        <w:rPr>
          <w:spacing w:val="-2"/>
        </w:rPr>
        <w:t> </w:t>
      </w:r>
      <w:r>
        <w:rPr/>
        <w:t>health information or discuss their sexual orientation with their provider because of a concern that the provider</w:t>
      </w:r>
      <w:r>
        <w:rPr>
          <w:spacing w:val="-13"/>
        </w:rPr>
        <w:t> </w:t>
      </w:r>
      <w:r>
        <w:rPr/>
        <w:t>would</w:t>
      </w:r>
      <w:r>
        <w:rPr>
          <w:spacing w:val="-12"/>
        </w:rPr>
        <w:t> </w:t>
      </w:r>
      <w:r>
        <w:rPr/>
        <w:t>disclose</w:t>
      </w:r>
      <w:r>
        <w:rPr>
          <w:spacing w:val="-13"/>
        </w:rPr>
        <w:t> </w:t>
      </w:r>
      <w:r>
        <w:rPr/>
        <w:t>this</w:t>
      </w:r>
      <w:r>
        <w:rPr>
          <w:spacing w:val="-12"/>
        </w:rPr>
        <w:t> </w:t>
      </w:r>
      <w:r>
        <w:rPr/>
        <w:t>information</w:t>
      </w:r>
      <w:r>
        <w:rPr>
          <w:spacing w:val="-13"/>
        </w:rPr>
        <w:t> </w:t>
      </w:r>
      <w:r>
        <w:rPr/>
        <w:t>to</w:t>
      </w:r>
      <w:r>
        <w:rPr>
          <w:spacing w:val="-12"/>
        </w:rPr>
        <w:t> </w:t>
      </w:r>
      <w:r>
        <w:rPr/>
        <w:t>their</w:t>
      </w:r>
      <w:r>
        <w:rPr>
          <w:spacing w:val="-9"/>
        </w:rPr>
        <w:t> </w:t>
      </w:r>
      <w:r>
        <w:rPr/>
        <w:t>caregiver.</w:t>
      </w:r>
      <w:r>
        <w:rPr>
          <w:vertAlign w:val="superscript"/>
        </w:rPr>
        <w:t>84</w:t>
      </w:r>
      <w:r>
        <w:rPr>
          <w:spacing w:val="-13"/>
          <w:vertAlign w:val="baseline"/>
        </w:rPr>
        <w:t> </w:t>
      </w:r>
      <w:r>
        <w:rPr>
          <w:vertAlign w:val="baseline"/>
        </w:rPr>
        <w:t>Privacy</w:t>
      </w:r>
      <w:r>
        <w:rPr>
          <w:spacing w:val="-10"/>
          <w:vertAlign w:val="baseline"/>
        </w:rPr>
        <w:t> </w:t>
      </w:r>
      <w:r>
        <w:rPr>
          <w:vertAlign w:val="baseline"/>
        </w:rPr>
        <w:t>concerns</w:t>
      </w:r>
      <w:r>
        <w:rPr>
          <w:spacing w:val="-11"/>
          <w:vertAlign w:val="baseline"/>
        </w:rPr>
        <w:t> </w:t>
      </w:r>
      <w:r>
        <w:rPr>
          <w:vertAlign w:val="baseline"/>
        </w:rPr>
        <w:t>also</w:t>
      </w:r>
      <w:r>
        <w:rPr>
          <w:spacing w:val="-11"/>
          <w:vertAlign w:val="baseline"/>
        </w:rPr>
        <w:t> </w:t>
      </w:r>
      <w:r>
        <w:rPr>
          <w:vertAlign w:val="baseline"/>
        </w:rPr>
        <w:t>affect</w:t>
      </w:r>
      <w:r>
        <w:rPr>
          <w:spacing w:val="-12"/>
          <w:vertAlign w:val="baseline"/>
        </w:rPr>
        <w:t> </w:t>
      </w:r>
      <w:r>
        <w:rPr>
          <w:vertAlign w:val="baseline"/>
        </w:rPr>
        <w:t>access</w:t>
      </w:r>
      <w:r>
        <w:rPr>
          <w:spacing w:val="-11"/>
          <w:vertAlign w:val="baseline"/>
        </w:rPr>
        <w:t> </w:t>
      </w:r>
      <w:r>
        <w:rPr>
          <w:vertAlign w:val="baseline"/>
        </w:rPr>
        <w:t>to</w:t>
      </w:r>
      <w:r>
        <w:rPr>
          <w:spacing w:val="-11"/>
          <w:vertAlign w:val="baseline"/>
        </w:rPr>
        <w:t> </w:t>
      </w:r>
      <w:r>
        <w:rPr>
          <w:vertAlign w:val="baseline"/>
        </w:rPr>
        <w:t>pre- exposure</w:t>
      </w:r>
      <w:r>
        <w:rPr>
          <w:spacing w:val="29"/>
          <w:vertAlign w:val="baseline"/>
        </w:rPr>
        <w:t> </w:t>
      </w:r>
      <w:r>
        <w:rPr>
          <w:vertAlign w:val="baseline"/>
        </w:rPr>
        <w:t>prophylaxis</w:t>
      </w:r>
      <w:r>
        <w:rPr>
          <w:spacing w:val="28"/>
          <w:vertAlign w:val="baseline"/>
        </w:rPr>
        <w:t> </w:t>
      </w:r>
      <w:r>
        <w:rPr>
          <w:vertAlign w:val="baseline"/>
        </w:rPr>
        <w:t>(PrEP)</w:t>
      </w:r>
      <w:r>
        <w:rPr>
          <w:spacing w:val="28"/>
          <w:vertAlign w:val="baseline"/>
        </w:rPr>
        <w:t> </w:t>
      </w:r>
      <w:r>
        <w:rPr>
          <w:vertAlign w:val="baseline"/>
        </w:rPr>
        <w:t>and</w:t>
      </w:r>
      <w:r>
        <w:rPr>
          <w:spacing w:val="27"/>
          <w:vertAlign w:val="baseline"/>
        </w:rPr>
        <w:t> </w:t>
      </w:r>
      <w:r>
        <w:rPr>
          <w:vertAlign w:val="baseline"/>
        </w:rPr>
        <w:t>post-exposure</w:t>
      </w:r>
      <w:r>
        <w:rPr>
          <w:spacing w:val="29"/>
          <w:vertAlign w:val="baseline"/>
        </w:rPr>
        <w:t> </w:t>
      </w:r>
      <w:r>
        <w:rPr>
          <w:vertAlign w:val="baseline"/>
        </w:rPr>
        <w:t>prophylaxis</w:t>
      </w:r>
      <w:r>
        <w:rPr>
          <w:spacing w:val="28"/>
          <w:vertAlign w:val="baseline"/>
        </w:rPr>
        <w:t> </w:t>
      </w:r>
      <w:r>
        <w:rPr>
          <w:vertAlign w:val="baseline"/>
        </w:rPr>
        <w:t>(PEP),</w:t>
      </w:r>
      <w:r>
        <w:rPr>
          <w:spacing w:val="28"/>
          <w:vertAlign w:val="baseline"/>
        </w:rPr>
        <w:t> </w:t>
      </w:r>
      <w:r>
        <w:rPr>
          <w:vertAlign w:val="baseline"/>
        </w:rPr>
        <w:t>which</w:t>
      </w:r>
      <w:r>
        <w:rPr>
          <w:spacing w:val="29"/>
          <w:vertAlign w:val="baseline"/>
        </w:rPr>
        <w:t> </w:t>
      </w:r>
      <w:r>
        <w:rPr>
          <w:vertAlign w:val="baseline"/>
        </w:rPr>
        <w:t>are</w:t>
      </w:r>
      <w:r>
        <w:rPr>
          <w:spacing w:val="30"/>
          <w:vertAlign w:val="baseline"/>
        </w:rPr>
        <w:t> </w:t>
      </w:r>
      <w:r>
        <w:rPr>
          <w:vertAlign w:val="baseline"/>
        </w:rPr>
        <w:t>HIV</w:t>
      </w:r>
      <w:r>
        <w:rPr>
          <w:spacing w:val="29"/>
          <w:vertAlign w:val="baseline"/>
        </w:rPr>
        <w:t> </w:t>
      </w:r>
      <w:r>
        <w:rPr>
          <w:vertAlign w:val="baseline"/>
        </w:rPr>
        <w:t>medications</w:t>
      </w:r>
      <w:r>
        <w:rPr>
          <w:spacing w:val="28"/>
          <w:vertAlign w:val="baseline"/>
        </w:rPr>
        <w:t> </w:t>
      </w:r>
      <w:r>
        <w:rPr>
          <w:vertAlign w:val="baseline"/>
        </w:rPr>
        <w:t>that</w:t>
      </w:r>
    </w:p>
    <w:p>
      <w:pPr>
        <w:spacing w:after="0" w:line="276" w:lineRule="auto"/>
        <w:jc w:val="both"/>
        <w:sectPr>
          <w:pgSz w:w="12240" w:h="15840"/>
          <w:pgMar w:header="721" w:footer="1061" w:top="1360" w:bottom="1260" w:left="1120" w:right="1340"/>
        </w:sectPr>
      </w:pPr>
    </w:p>
    <w:p>
      <w:pPr>
        <w:pStyle w:val="BodyText"/>
        <w:spacing w:line="276" w:lineRule="auto" w:before="67"/>
        <w:ind w:left="464" w:right="239"/>
        <w:jc w:val="both"/>
      </w:pPr>
      <w:r>
        <w:rPr/>
        <w:t>reduce</w:t>
      </w:r>
      <w:r>
        <w:rPr>
          <w:spacing w:val="-13"/>
        </w:rPr>
        <w:t> </w:t>
      </w:r>
      <w:r>
        <w:rPr/>
        <w:t>the</w:t>
      </w:r>
      <w:r>
        <w:rPr>
          <w:spacing w:val="-12"/>
        </w:rPr>
        <w:t> </w:t>
      </w:r>
      <w:r>
        <w:rPr/>
        <w:t>risk</w:t>
      </w:r>
      <w:r>
        <w:rPr>
          <w:spacing w:val="-13"/>
        </w:rPr>
        <w:t> </w:t>
      </w:r>
      <w:r>
        <w:rPr/>
        <w:t>of</w:t>
      </w:r>
      <w:r>
        <w:rPr>
          <w:spacing w:val="-12"/>
        </w:rPr>
        <w:t> </w:t>
      </w:r>
      <w:r>
        <w:rPr/>
        <w:t>HIV</w:t>
      </w:r>
      <w:r>
        <w:rPr>
          <w:spacing w:val="-13"/>
        </w:rPr>
        <w:t> </w:t>
      </w:r>
      <w:r>
        <w:rPr/>
        <w:t>transmission.</w:t>
      </w:r>
      <w:r>
        <w:rPr>
          <w:spacing w:val="-12"/>
        </w:rPr>
        <w:t> </w:t>
      </w:r>
      <w:r>
        <w:rPr/>
        <w:t>LGBTQ</w:t>
      </w:r>
      <w:r>
        <w:rPr>
          <w:spacing w:val="-13"/>
        </w:rPr>
        <w:t> </w:t>
      </w:r>
      <w:r>
        <w:rPr/>
        <w:t>youth</w:t>
      </w:r>
      <w:r>
        <w:rPr>
          <w:spacing w:val="-12"/>
        </w:rPr>
        <w:t> </w:t>
      </w:r>
      <w:r>
        <w:rPr/>
        <w:t>face</w:t>
      </w:r>
      <w:r>
        <w:rPr>
          <w:spacing w:val="-12"/>
        </w:rPr>
        <w:t> </w:t>
      </w:r>
      <w:r>
        <w:rPr/>
        <w:t>privacy</w:t>
      </w:r>
      <w:r>
        <w:rPr>
          <w:spacing w:val="-13"/>
        </w:rPr>
        <w:t> </w:t>
      </w:r>
      <w:r>
        <w:rPr/>
        <w:t>risks</w:t>
      </w:r>
      <w:r>
        <w:rPr>
          <w:spacing w:val="-12"/>
        </w:rPr>
        <w:t> </w:t>
      </w:r>
      <w:r>
        <w:rPr/>
        <w:t>when</w:t>
      </w:r>
      <w:r>
        <w:rPr>
          <w:spacing w:val="-13"/>
        </w:rPr>
        <w:t> </w:t>
      </w:r>
      <w:r>
        <w:rPr/>
        <w:t>accessing</w:t>
      </w:r>
      <w:r>
        <w:rPr>
          <w:spacing w:val="-12"/>
        </w:rPr>
        <w:t> </w:t>
      </w:r>
      <w:r>
        <w:rPr/>
        <w:t>PrEP,</w:t>
      </w:r>
      <w:r>
        <w:rPr>
          <w:spacing w:val="-13"/>
        </w:rPr>
        <w:t> </w:t>
      </w:r>
      <w:r>
        <w:rPr/>
        <w:t>such</w:t>
      </w:r>
      <w:r>
        <w:rPr>
          <w:spacing w:val="-12"/>
        </w:rPr>
        <w:t> </w:t>
      </w:r>
      <w:r>
        <w:rPr/>
        <w:t>as</w:t>
      </w:r>
      <w:r>
        <w:rPr>
          <w:spacing w:val="-12"/>
        </w:rPr>
        <w:t> </w:t>
      </w:r>
      <w:r>
        <w:rPr/>
        <w:t>having an explanation of benefits sent to their caregiver, which could potentially out them before they are </w:t>
      </w:r>
      <w:r>
        <w:rPr>
          <w:spacing w:val="-2"/>
        </w:rPr>
        <w:t>ready.</w:t>
      </w:r>
      <w:r>
        <w:rPr>
          <w:spacing w:val="-2"/>
          <w:vertAlign w:val="superscript"/>
        </w:rPr>
        <w:t>85</w:t>
      </w:r>
    </w:p>
    <w:p>
      <w:pPr>
        <w:pStyle w:val="BodyText"/>
        <w:spacing w:line="276" w:lineRule="auto" w:before="240"/>
        <w:ind w:left="463" w:right="241" w:firstLine="14"/>
        <w:jc w:val="both"/>
      </w:pPr>
      <w:r>
        <w:rPr/>
        <w:t>In</w:t>
      </w:r>
      <w:r>
        <w:rPr>
          <w:spacing w:val="-13"/>
        </w:rPr>
        <w:t> </w:t>
      </w:r>
      <w:r>
        <w:rPr/>
        <w:t>2022,</w:t>
      </w:r>
      <w:r>
        <w:rPr>
          <w:spacing w:val="-12"/>
        </w:rPr>
        <w:t> </w:t>
      </w:r>
      <w:r>
        <w:rPr/>
        <w:t>Massachusetts</w:t>
      </w:r>
      <w:r>
        <w:rPr>
          <w:spacing w:val="-12"/>
        </w:rPr>
        <w:t> </w:t>
      </w:r>
      <w:r>
        <w:rPr/>
        <w:t>passed</w:t>
      </w:r>
      <w:r>
        <w:rPr>
          <w:spacing w:val="-13"/>
        </w:rPr>
        <w:t> </w:t>
      </w:r>
      <w:r>
        <w:rPr/>
        <w:t>legislation,</w:t>
      </w:r>
      <w:r>
        <w:rPr>
          <w:spacing w:val="-12"/>
        </w:rPr>
        <w:t> </w:t>
      </w:r>
      <w:r>
        <w:rPr/>
        <w:t>fulfilling</w:t>
      </w:r>
      <w:r>
        <w:rPr>
          <w:spacing w:val="-13"/>
        </w:rPr>
        <w:t> </w:t>
      </w:r>
      <w:r>
        <w:rPr/>
        <w:t>a</w:t>
      </w:r>
      <w:r>
        <w:rPr>
          <w:spacing w:val="-10"/>
        </w:rPr>
        <w:t> </w:t>
      </w:r>
      <w:r>
        <w:rPr/>
        <w:t>previous</w:t>
      </w:r>
      <w:r>
        <w:rPr>
          <w:spacing w:val="-12"/>
        </w:rPr>
        <w:t> </w:t>
      </w:r>
      <w:r>
        <w:rPr/>
        <w:t>recommendation</w:t>
      </w:r>
      <w:r>
        <w:rPr>
          <w:spacing w:val="-11"/>
        </w:rPr>
        <w:t> </w:t>
      </w:r>
      <w:r>
        <w:rPr/>
        <w:t>from</w:t>
      </w:r>
      <w:r>
        <w:rPr>
          <w:spacing w:val="-13"/>
        </w:rPr>
        <w:t> </w:t>
      </w:r>
      <w:r>
        <w:rPr/>
        <w:t>the</w:t>
      </w:r>
      <w:r>
        <w:rPr>
          <w:spacing w:val="-11"/>
        </w:rPr>
        <w:t> </w:t>
      </w:r>
      <w:r>
        <w:rPr/>
        <w:t>Commission, which</w:t>
      </w:r>
      <w:r>
        <w:rPr>
          <w:spacing w:val="-10"/>
        </w:rPr>
        <w:t> </w:t>
      </w:r>
      <w:r>
        <w:rPr/>
        <w:t>allowed</w:t>
      </w:r>
      <w:r>
        <w:rPr>
          <w:spacing w:val="-11"/>
        </w:rPr>
        <w:t> </w:t>
      </w:r>
      <w:r>
        <w:rPr/>
        <w:t>individuals</w:t>
      </w:r>
      <w:r>
        <w:rPr>
          <w:spacing w:val="-10"/>
        </w:rPr>
        <w:t> </w:t>
      </w:r>
      <w:r>
        <w:rPr/>
        <w:t>under</w:t>
      </w:r>
      <w:r>
        <w:rPr>
          <w:spacing w:val="-10"/>
        </w:rPr>
        <w:t> </w:t>
      </w:r>
      <w:r>
        <w:rPr/>
        <w:t>the</w:t>
      </w:r>
      <w:r>
        <w:rPr>
          <w:spacing w:val="-10"/>
        </w:rPr>
        <w:t> </w:t>
      </w:r>
      <w:r>
        <w:rPr/>
        <w:t>age</w:t>
      </w:r>
      <w:r>
        <w:rPr>
          <w:spacing w:val="-11"/>
        </w:rPr>
        <w:t> </w:t>
      </w:r>
      <w:r>
        <w:rPr/>
        <w:t>of</w:t>
      </w:r>
      <w:r>
        <w:rPr>
          <w:spacing w:val="-11"/>
        </w:rPr>
        <w:t> </w:t>
      </w:r>
      <w:r>
        <w:rPr/>
        <w:t>18</w:t>
      </w:r>
      <w:r>
        <w:rPr>
          <w:spacing w:val="-11"/>
        </w:rPr>
        <w:t> </w:t>
      </w:r>
      <w:r>
        <w:rPr/>
        <w:t>to</w:t>
      </w:r>
      <w:r>
        <w:rPr>
          <w:spacing w:val="-9"/>
        </w:rPr>
        <w:t> </w:t>
      </w:r>
      <w:r>
        <w:rPr/>
        <w:t>access</w:t>
      </w:r>
      <w:r>
        <w:rPr>
          <w:spacing w:val="-11"/>
        </w:rPr>
        <w:t> </w:t>
      </w:r>
      <w:r>
        <w:rPr/>
        <w:t>PrEP</w:t>
      </w:r>
      <w:r>
        <w:rPr>
          <w:spacing w:val="-11"/>
        </w:rPr>
        <w:t> </w:t>
      </w:r>
      <w:r>
        <w:rPr/>
        <w:t>without</w:t>
      </w:r>
      <w:r>
        <w:rPr>
          <w:spacing w:val="-12"/>
        </w:rPr>
        <w:t> </w:t>
      </w:r>
      <w:r>
        <w:rPr/>
        <w:t>caregiver</w:t>
      </w:r>
      <w:r>
        <w:rPr>
          <w:spacing w:val="-10"/>
        </w:rPr>
        <w:t> </w:t>
      </w:r>
      <w:r>
        <w:rPr/>
        <w:t>consent</w:t>
      </w:r>
      <w:r>
        <w:rPr>
          <w:spacing w:val="-10"/>
        </w:rPr>
        <w:t> </w:t>
      </w:r>
      <w:r>
        <w:rPr/>
        <w:t>and</w:t>
      </w:r>
      <w:r>
        <w:rPr>
          <w:spacing w:val="-9"/>
        </w:rPr>
        <w:t> </w:t>
      </w:r>
      <w:r>
        <w:rPr/>
        <w:t>prohibited the release of medical records related to PrEP without the minor’s written consent.</w:t>
      </w:r>
      <w:r>
        <w:rPr>
          <w:vertAlign w:val="superscript"/>
        </w:rPr>
        <w:t>86</w:t>
      </w:r>
      <w:r>
        <w:rPr>
          <w:vertAlign w:val="baseline"/>
        </w:rPr>
        <w:t> Despite this increase in access, there remains the risk of low adherence demonstrating the need for culturally tailored follow up efforts and assistance with the structural barriers to health experienced by LGBTQ youth, especially young transgender women.</w:t>
      </w:r>
      <w:r>
        <w:rPr>
          <w:vertAlign w:val="superscript"/>
        </w:rPr>
        <w:t>87</w:t>
      </w:r>
      <w:r>
        <w:rPr>
          <w:vertAlign w:val="baseline"/>
        </w:rPr>
        <w:t> Moreover, providers in New England continue to struggle with low PrEP knowledge, limited time for visits, and competing clinical priorities.</w:t>
      </w:r>
      <w:r>
        <w:rPr>
          <w:vertAlign w:val="superscript"/>
        </w:rPr>
        <w:t>88</w:t>
      </w:r>
    </w:p>
    <w:p>
      <w:pPr>
        <w:spacing w:before="240"/>
        <w:ind w:left="464" w:right="0" w:firstLine="0"/>
        <w:jc w:val="both"/>
        <w:rPr>
          <w:sz w:val="28"/>
        </w:rPr>
      </w:pPr>
      <w:bookmarkStart w:name="COVID Pandemic" w:id="360"/>
      <w:bookmarkEnd w:id="360"/>
      <w:r>
        <w:rPr/>
      </w:r>
      <w:r>
        <w:rPr>
          <w:color w:val="365F91"/>
          <w:sz w:val="28"/>
        </w:rPr>
        <w:t>COVID</w:t>
      </w:r>
      <w:r>
        <w:rPr>
          <w:color w:val="365F91"/>
          <w:spacing w:val="-11"/>
          <w:sz w:val="28"/>
        </w:rPr>
        <w:t> </w:t>
      </w:r>
      <w:r>
        <w:rPr>
          <w:color w:val="365F91"/>
          <w:spacing w:val="-2"/>
          <w:sz w:val="28"/>
        </w:rPr>
        <w:t>Pandemic</w:t>
      </w:r>
    </w:p>
    <w:p>
      <w:pPr>
        <w:pStyle w:val="BodyText"/>
        <w:spacing w:line="276" w:lineRule="auto" w:before="291"/>
        <w:ind w:left="463" w:right="242"/>
        <w:jc w:val="both"/>
      </w:pPr>
      <w:r>
        <w:rPr/>
        <w:t>The ongoing COVID pandemic and containment measures, such as stay-at-home orders and remote learning, have exacerbated existing mental health disparities in the LGBTQ community. According to the Trevor Project, 70% of LGBTQ youth stated that their mental health was poor during the pandemic.</w:t>
      </w:r>
      <w:r>
        <w:rPr>
          <w:u w:val="single"/>
          <w:vertAlign w:val="superscript"/>
        </w:rPr>
        <w:t>89</w:t>
      </w:r>
      <w:r>
        <w:rPr>
          <w:spacing w:val="-13"/>
          <w:u w:val="none"/>
          <w:vertAlign w:val="baseline"/>
        </w:rPr>
        <w:t> </w:t>
      </w:r>
      <w:r>
        <w:rPr>
          <w:u w:val="none"/>
          <w:vertAlign w:val="baseline"/>
        </w:rPr>
        <w:t>This</w:t>
      </w:r>
      <w:r>
        <w:rPr>
          <w:spacing w:val="-12"/>
          <w:u w:val="none"/>
          <w:vertAlign w:val="baseline"/>
        </w:rPr>
        <w:t> </w:t>
      </w:r>
      <w:r>
        <w:rPr>
          <w:u w:val="none"/>
          <w:vertAlign w:val="baseline"/>
        </w:rPr>
        <w:t>was</w:t>
      </w:r>
      <w:r>
        <w:rPr>
          <w:spacing w:val="-13"/>
          <w:u w:val="none"/>
          <w:vertAlign w:val="baseline"/>
        </w:rPr>
        <w:t> </w:t>
      </w:r>
      <w:r>
        <w:rPr>
          <w:u w:val="none"/>
          <w:vertAlign w:val="baseline"/>
        </w:rPr>
        <w:t>partially</w:t>
      </w:r>
      <w:r>
        <w:rPr>
          <w:spacing w:val="-12"/>
          <w:u w:val="none"/>
          <w:vertAlign w:val="baseline"/>
        </w:rPr>
        <w:t> </w:t>
      </w:r>
      <w:r>
        <w:rPr>
          <w:u w:val="none"/>
          <w:vertAlign w:val="baseline"/>
        </w:rPr>
        <w:t>attributed</w:t>
      </w:r>
      <w:r>
        <w:rPr>
          <w:spacing w:val="-13"/>
          <w:u w:val="none"/>
          <w:vertAlign w:val="baseline"/>
        </w:rPr>
        <w:t> </w:t>
      </w:r>
      <w:r>
        <w:rPr>
          <w:u w:val="none"/>
          <w:vertAlign w:val="baseline"/>
        </w:rPr>
        <w:t>to</w:t>
      </w:r>
      <w:r>
        <w:rPr>
          <w:spacing w:val="-12"/>
          <w:u w:val="none"/>
          <w:vertAlign w:val="baseline"/>
        </w:rPr>
        <w:t> </w:t>
      </w:r>
      <w:r>
        <w:rPr>
          <w:u w:val="none"/>
          <w:vertAlign w:val="baseline"/>
        </w:rPr>
        <w:t>being</w:t>
      </w:r>
      <w:r>
        <w:rPr>
          <w:spacing w:val="-11"/>
          <w:u w:val="none"/>
          <w:vertAlign w:val="baseline"/>
        </w:rPr>
        <w:t> </w:t>
      </w:r>
      <w:r>
        <w:rPr>
          <w:u w:val="none"/>
          <w:vertAlign w:val="baseline"/>
        </w:rPr>
        <w:t>confined</w:t>
      </w:r>
      <w:r>
        <w:rPr>
          <w:spacing w:val="-11"/>
          <w:u w:val="none"/>
          <w:vertAlign w:val="baseline"/>
        </w:rPr>
        <w:t> </w:t>
      </w:r>
      <w:r>
        <w:rPr>
          <w:u w:val="none"/>
          <w:vertAlign w:val="baseline"/>
        </w:rPr>
        <w:t>in</w:t>
      </w:r>
      <w:r>
        <w:rPr>
          <w:spacing w:val="-10"/>
          <w:u w:val="none"/>
          <w:vertAlign w:val="baseline"/>
        </w:rPr>
        <w:t> </w:t>
      </w:r>
      <w:r>
        <w:rPr>
          <w:u w:val="none"/>
          <w:vertAlign w:val="baseline"/>
        </w:rPr>
        <w:t>homes</w:t>
      </w:r>
      <w:r>
        <w:rPr>
          <w:spacing w:val="-10"/>
          <w:u w:val="none"/>
          <w:vertAlign w:val="baseline"/>
        </w:rPr>
        <w:t> </w:t>
      </w:r>
      <w:r>
        <w:rPr>
          <w:u w:val="none"/>
          <w:vertAlign w:val="baseline"/>
        </w:rPr>
        <w:t>with</w:t>
      </w:r>
      <w:r>
        <w:rPr>
          <w:spacing w:val="-11"/>
          <w:u w:val="none"/>
          <w:vertAlign w:val="baseline"/>
        </w:rPr>
        <w:t> </w:t>
      </w:r>
      <w:r>
        <w:rPr>
          <w:u w:val="none"/>
          <w:vertAlign w:val="baseline"/>
        </w:rPr>
        <w:t>families</w:t>
      </w:r>
      <w:r>
        <w:rPr>
          <w:spacing w:val="-10"/>
          <w:u w:val="none"/>
          <w:vertAlign w:val="baseline"/>
        </w:rPr>
        <w:t> </w:t>
      </w:r>
      <w:r>
        <w:rPr>
          <w:u w:val="none"/>
          <w:vertAlign w:val="baseline"/>
        </w:rPr>
        <w:t>who</w:t>
      </w:r>
      <w:r>
        <w:rPr>
          <w:spacing w:val="-11"/>
          <w:u w:val="none"/>
          <w:vertAlign w:val="baseline"/>
        </w:rPr>
        <w:t> </w:t>
      </w:r>
      <w:r>
        <w:rPr>
          <w:u w:val="none"/>
          <w:vertAlign w:val="baseline"/>
        </w:rPr>
        <w:t>were</w:t>
      </w:r>
      <w:r>
        <w:rPr>
          <w:spacing w:val="-11"/>
          <w:u w:val="none"/>
          <w:vertAlign w:val="baseline"/>
        </w:rPr>
        <w:t> </w:t>
      </w:r>
      <w:r>
        <w:rPr>
          <w:u w:val="none"/>
          <w:vertAlign w:val="baseline"/>
        </w:rPr>
        <w:t>not</w:t>
      </w:r>
      <w:r>
        <w:rPr>
          <w:spacing w:val="-12"/>
          <w:u w:val="none"/>
          <w:vertAlign w:val="baseline"/>
        </w:rPr>
        <w:t> </w:t>
      </w:r>
      <w:r>
        <w:rPr>
          <w:u w:val="none"/>
          <w:vertAlign w:val="baseline"/>
        </w:rPr>
        <w:t>aware or</w:t>
      </w:r>
      <w:r>
        <w:rPr>
          <w:spacing w:val="-13"/>
          <w:u w:val="none"/>
          <w:vertAlign w:val="baseline"/>
        </w:rPr>
        <w:t> </w:t>
      </w:r>
      <w:r>
        <w:rPr>
          <w:u w:val="none"/>
          <w:vertAlign w:val="baseline"/>
        </w:rPr>
        <w:t>supportive</w:t>
      </w:r>
      <w:r>
        <w:rPr>
          <w:spacing w:val="-12"/>
          <w:u w:val="none"/>
          <w:vertAlign w:val="baseline"/>
        </w:rPr>
        <w:t> </w:t>
      </w:r>
      <w:r>
        <w:rPr>
          <w:u w:val="none"/>
          <w:vertAlign w:val="baseline"/>
        </w:rPr>
        <w:t>of</w:t>
      </w:r>
      <w:r>
        <w:rPr>
          <w:spacing w:val="-13"/>
          <w:u w:val="none"/>
          <w:vertAlign w:val="baseline"/>
        </w:rPr>
        <w:t> </w:t>
      </w:r>
      <w:r>
        <w:rPr>
          <w:u w:val="none"/>
          <w:vertAlign w:val="baseline"/>
        </w:rPr>
        <w:t>their</w:t>
      </w:r>
      <w:r>
        <w:rPr>
          <w:spacing w:val="-11"/>
          <w:u w:val="none"/>
          <w:vertAlign w:val="baseline"/>
        </w:rPr>
        <w:t> </w:t>
      </w:r>
      <w:r>
        <w:rPr>
          <w:u w:val="none"/>
          <w:vertAlign w:val="baseline"/>
        </w:rPr>
        <w:t>gender</w:t>
      </w:r>
      <w:r>
        <w:rPr>
          <w:spacing w:val="-12"/>
          <w:u w:val="none"/>
          <w:vertAlign w:val="baseline"/>
        </w:rPr>
        <w:t> </w:t>
      </w:r>
      <w:r>
        <w:rPr>
          <w:u w:val="none"/>
          <w:vertAlign w:val="baseline"/>
        </w:rPr>
        <w:t>identity.</w:t>
      </w:r>
      <w:r>
        <w:rPr>
          <w:spacing w:val="-13"/>
          <w:u w:val="none"/>
          <w:vertAlign w:val="baseline"/>
        </w:rPr>
        <w:t> </w:t>
      </w:r>
      <w:r>
        <w:rPr>
          <w:u w:val="none"/>
          <w:vertAlign w:val="baseline"/>
        </w:rPr>
        <w:t>Research</w:t>
      </w:r>
      <w:r>
        <w:rPr>
          <w:spacing w:val="-12"/>
          <w:u w:val="none"/>
          <w:vertAlign w:val="baseline"/>
        </w:rPr>
        <w:t> </w:t>
      </w:r>
      <w:r>
        <w:rPr>
          <w:u w:val="none"/>
          <w:vertAlign w:val="baseline"/>
        </w:rPr>
        <w:t>has</w:t>
      </w:r>
      <w:r>
        <w:rPr>
          <w:spacing w:val="-12"/>
          <w:u w:val="none"/>
          <w:vertAlign w:val="baseline"/>
        </w:rPr>
        <w:t> </w:t>
      </w:r>
      <w:r>
        <w:rPr>
          <w:u w:val="none"/>
          <w:vertAlign w:val="baseline"/>
        </w:rPr>
        <w:t>shown</w:t>
      </w:r>
      <w:r>
        <w:rPr>
          <w:spacing w:val="-13"/>
          <w:u w:val="none"/>
          <w:vertAlign w:val="baseline"/>
        </w:rPr>
        <w:t> </w:t>
      </w:r>
      <w:r>
        <w:rPr>
          <w:u w:val="none"/>
          <w:vertAlign w:val="baseline"/>
        </w:rPr>
        <w:t>that</w:t>
      </w:r>
      <w:r>
        <w:rPr>
          <w:spacing w:val="-12"/>
          <w:u w:val="none"/>
          <w:vertAlign w:val="baseline"/>
        </w:rPr>
        <w:t> </w:t>
      </w:r>
      <w:r>
        <w:rPr>
          <w:u w:val="none"/>
          <w:vertAlign w:val="baseline"/>
        </w:rPr>
        <w:t>suicide</w:t>
      </w:r>
      <w:r>
        <w:rPr>
          <w:spacing w:val="-13"/>
          <w:u w:val="none"/>
          <w:vertAlign w:val="baseline"/>
        </w:rPr>
        <w:t> </w:t>
      </w:r>
      <w:r>
        <w:rPr>
          <w:u w:val="none"/>
          <w:vertAlign w:val="baseline"/>
        </w:rPr>
        <w:t>and</w:t>
      </w:r>
      <w:r>
        <w:rPr>
          <w:spacing w:val="-12"/>
          <w:u w:val="none"/>
          <w:vertAlign w:val="baseline"/>
        </w:rPr>
        <w:t> </w:t>
      </w:r>
      <w:r>
        <w:rPr>
          <w:u w:val="none"/>
          <w:vertAlign w:val="baseline"/>
        </w:rPr>
        <w:t>depression</w:t>
      </w:r>
      <w:r>
        <w:rPr>
          <w:spacing w:val="-12"/>
          <w:u w:val="none"/>
          <w:vertAlign w:val="baseline"/>
        </w:rPr>
        <w:t> </w:t>
      </w:r>
      <w:r>
        <w:rPr>
          <w:u w:val="none"/>
          <w:vertAlign w:val="baseline"/>
        </w:rPr>
        <w:t>rates</w:t>
      </w:r>
      <w:r>
        <w:rPr>
          <w:spacing w:val="-12"/>
          <w:u w:val="none"/>
          <w:vertAlign w:val="baseline"/>
        </w:rPr>
        <w:t> </w:t>
      </w:r>
      <w:r>
        <w:rPr>
          <w:u w:val="none"/>
          <w:vertAlign w:val="baseline"/>
        </w:rPr>
        <w:t>for</w:t>
      </w:r>
      <w:r>
        <w:rPr>
          <w:spacing w:val="-12"/>
          <w:u w:val="none"/>
          <w:vertAlign w:val="baseline"/>
        </w:rPr>
        <w:t> </w:t>
      </w:r>
      <w:r>
        <w:rPr>
          <w:u w:val="none"/>
          <w:vertAlign w:val="baseline"/>
        </w:rPr>
        <w:t>LGBTQ youth with unsupportive family members are much higher than peers with supportive families.</w:t>
      </w:r>
      <w:r>
        <w:rPr>
          <w:u w:val="none"/>
          <w:vertAlign w:val="superscript"/>
        </w:rPr>
        <w:t>90</w:t>
      </w:r>
    </w:p>
    <w:p>
      <w:pPr>
        <w:pStyle w:val="BodyText"/>
        <w:spacing w:line="276" w:lineRule="auto" w:before="240"/>
        <w:ind w:left="463" w:right="241" w:firstLine="7"/>
        <w:jc w:val="both"/>
      </w:pPr>
      <w:r>
        <w:rPr/>
        <w:t>COVID-19 also worsened existing socioeconomic stressors and caused disruptions in physical and mental health services.</w:t>
      </w:r>
      <w:r>
        <w:rPr>
          <w:vertAlign w:val="superscript"/>
        </w:rPr>
        <w:t>91</w:t>
      </w:r>
      <w:r>
        <w:rPr>
          <w:spacing w:val="-13"/>
          <w:vertAlign w:val="baseline"/>
        </w:rPr>
        <w:t> </w:t>
      </w:r>
      <w:r>
        <w:rPr>
          <w:vertAlign w:val="baseline"/>
        </w:rPr>
        <w:t>LGBTQ people, in general, are more likely to suffer from chronic conditions, substance</w:t>
      </w:r>
      <w:r>
        <w:rPr>
          <w:spacing w:val="-8"/>
          <w:vertAlign w:val="baseline"/>
        </w:rPr>
        <w:t> </w:t>
      </w:r>
      <w:r>
        <w:rPr>
          <w:vertAlign w:val="baseline"/>
        </w:rPr>
        <w:t>abuse</w:t>
      </w:r>
      <w:r>
        <w:rPr>
          <w:spacing w:val="-8"/>
          <w:vertAlign w:val="baseline"/>
        </w:rPr>
        <w:t> </w:t>
      </w:r>
      <w:r>
        <w:rPr>
          <w:vertAlign w:val="baseline"/>
        </w:rPr>
        <w:t>disorders,</w:t>
      </w:r>
      <w:r>
        <w:rPr>
          <w:spacing w:val="-7"/>
          <w:vertAlign w:val="baseline"/>
        </w:rPr>
        <w:t> </w:t>
      </w:r>
      <w:r>
        <w:rPr>
          <w:vertAlign w:val="baseline"/>
        </w:rPr>
        <w:t>breast</w:t>
      </w:r>
      <w:r>
        <w:rPr>
          <w:spacing w:val="-8"/>
          <w:vertAlign w:val="baseline"/>
        </w:rPr>
        <w:t> </w:t>
      </w:r>
      <w:r>
        <w:rPr>
          <w:vertAlign w:val="baseline"/>
        </w:rPr>
        <w:t>cancer,</w:t>
      </w:r>
      <w:r>
        <w:rPr>
          <w:spacing w:val="-7"/>
          <w:vertAlign w:val="baseline"/>
        </w:rPr>
        <w:t> </w:t>
      </w:r>
      <w:r>
        <w:rPr>
          <w:vertAlign w:val="baseline"/>
        </w:rPr>
        <w:t>certain</w:t>
      </w:r>
      <w:r>
        <w:rPr>
          <w:spacing w:val="-8"/>
          <w:vertAlign w:val="baseline"/>
        </w:rPr>
        <w:t> </w:t>
      </w:r>
      <w:r>
        <w:rPr>
          <w:vertAlign w:val="baseline"/>
        </w:rPr>
        <w:t>sexually</w:t>
      </w:r>
      <w:r>
        <w:rPr>
          <w:spacing w:val="-7"/>
          <w:vertAlign w:val="baseline"/>
        </w:rPr>
        <w:t> </w:t>
      </w:r>
      <w:r>
        <w:rPr>
          <w:vertAlign w:val="baseline"/>
        </w:rPr>
        <w:t>transmitted</w:t>
      </w:r>
      <w:r>
        <w:rPr>
          <w:spacing w:val="-7"/>
          <w:vertAlign w:val="baseline"/>
        </w:rPr>
        <w:t> </w:t>
      </w:r>
      <w:r>
        <w:rPr>
          <w:vertAlign w:val="baseline"/>
        </w:rPr>
        <w:t>diseases,</w:t>
      </w:r>
      <w:r>
        <w:rPr>
          <w:spacing w:val="-7"/>
          <w:vertAlign w:val="baseline"/>
        </w:rPr>
        <w:t> </w:t>
      </w:r>
      <w:r>
        <w:rPr>
          <w:vertAlign w:val="baseline"/>
        </w:rPr>
        <w:t>and</w:t>
      </w:r>
      <w:r>
        <w:rPr>
          <w:spacing w:val="-8"/>
          <w:vertAlign w:val="baseline"/>
        </w:rPr>
        <w:t> </w:t>
      </w:r>
      <w:r>
        <w:rPr>
          <w:vertAlign w:val="baseline"/>
        </w:rPr>
        <w:t>certain</w:t>
      </w:r>
      <w:r>
        <w:rPr>
          <w:spacing w:val="-7"/>
          <w:vertAlign w:val="baseline"/>
        </w:rPr>
        <w:t> </w:t>
      </w:r>
      <w:r>
        <w:rPr>
          <w:vertAlign w:val="baseline"/>
        </w:rPr>
        <w:t>cancers.</w:t>
      </w:r>
      <w:r>
        <w:rPr>
          <w:vertAlign w:val="superscript"/>
        </w:rPr>
        <w:t>92</w:t>
      </w:r>
      <w:r>
        <w:rPr>
          <w:vertAlign w:val="baseline"/>
        </w:rPr>
        <w:t> Many</w:t>
      </w:r>
      <w:r>
        <w:rPr>
          <w:spacing w:val="-2"/>
          <w:vertAlign w:val="baseline"/>
        </w:rPr>
        <w:t> </w:t>
      </w:r>
      <w:r>
        <w:rPr>
          <w:vertAlign w:val="baseline"/>
        </w:rPr>
        <w:t>of</w:t>
      </w:r>
      <w:r>
        <w:rPr>
          <w:spacing w:val="-2"/>
          <w:vertAlign w:val="baseline"/>
        </w:rPr>
        <w:t> </w:t>
      </w:r>
      <w:r>
        <w:rPr>
          <w:vertAlign w:val="baseline"/>
        </w:rPr>
        <w:t>these</w:t>
      </w:r>
      <w:r>
        <w:rPr>
          <w:spacing w:val="-2"/>
          <w:vertAlign w:val="baseline"/>
        </w:rPr>
        <w:t> </w:t>
      </w:r>
      <w:r>
        <w:rPr>
          <w:vertAlign w:val="baseline"/>
        </w:rPr>
        <w:t>underlying conditions are</w:t>
      </w:r>
      <w:r>
        <w:rPr>
          <w:spacing w:val="-2"/>
          <w:vertAlign w:val="baseline"/>
        </w:rPr>
        <w:t> </w:t>
      </w:r>
      <w:r>
        <w:rPr>
          <w:vertAlign w:val="baseline"/>
        </w:rPr>
        <w:t>associated with</w:t>
      </w:r>
      <w:r>
        <w:rPr>
          <w:spacing w:val="-1"/>
          <w:vertAlign w:val="baseline"/>
        </w:rPr>
        <w:t> </w:t>
      </w:r>
      <w:r>
        <w:rPr>
          <w:vertAlign w:val="baseline"/>
        </w:rPr>
        <w:t>a high</w:t>
      </w:r>
      <w:r>
        <w:rPr>
          <w:spacing w:val="-1"/>
          <w:vertAlign w:val="baseline"/>
        </w:rPr>
        <w:t> </w:t>
      </w:r>
      <w:r>
        <w:rPr>
          <w:vertAlign w:val="baseline"/>
        </w:rPr>
        <w:t>risk</w:t>
      </w:r>
      <w:r>
        <w:rPr>
          <w:spacing w:val="-2"/>
          <w:vertAlign w:val="baseline"/>
        </w:rPr>
        <w:t> </w:t>
      </w:r>
      <w:r>
        <w:rPr>
          <w:vertAlign w:val="baseline"/>
        </w:rPr>
        <w:t>for</w:t>
      </w:r>
      <w:r>
        <w:rPr>
          <w:spacing w:val="-2"/>
          <w:vertAlign w:val="baseline"/>
        </w:rPr>
        <w:t> </w:t>
      </w:r>
      <w:r>
        <w:rPr>
          <w:vertAlign w:val="baseline"/>
        </w:rPr>
        <w:t>severe COVID-19,</w:t>
      </w:r>
      <w:r>
        <w:rPr>
          <w:spacing w:val="-2"/>
          <w:vertAlign w:val="baseline"/>
        </w:rPr>
        <w:t> </w:t>
      </w:r>
      <w:r>
        <w:rPr>
          <w:vertAlign w:val="baseline"/>
        </w:rPr>
        <w:t>which could </w:t>
      </w:r>
      <w:r>
        <w:rPr>
          <w:spacing w:val="-2"/>
          <w:vertAlign w:val="baseline"/>
        </w:rPr>
        <w:t>further</w:t>
      </w:r>
      <w:r>
        <w:rPr>
          <w:spacing w:val="-10"/>
          <w:vertAlign w:val="baseline"/>
        </w:rPr>
        <w:t> </w:t>
      </w:r>
      <w:r>
        <w:rPr>
          <w:spacing w:val="-2"/>
          <w:vertAlign w:val="baseline"/>
        </w:rPr>
        <w:t>lead to hospitalization, intensive care, ventilation, or even death.</w:t>
      </w:r>
      <w:r>
        <w:rPr>
          <w:spacing w:val="-2"/>
          <w:vertAlign w:val="superscript"/>
        </w:rPr>
        <w:t>93</w:t>
      </w:r>
      <w:r>
        <w:rPr>
          <w:spacing w:val="-11"/>
          <w:vertAlign w:val="baseline"/>
        </w:rPr>
        <w:t> </w:t>
      </w:r>
      <w:r>
        <w:rPr>
          <w:spacing w:val="-2"/>
          <w:vertAlign w:val="baseline"/>
        </w:rPr>
        <w:t>While the COVID vaccination </w:t>
      </w:r>
      <w:r>
        <w:rPr>
          <w:vertAlign w:val="baseline"/>
        </w:rPr>
        <w:t>mitigates some of the health-related risks, COVID has likely worsened pre-existing health disparities, identity-based discrimination, and inequitable access to care.</w:t>
      </w:r>
      <w:r>
        <w:rPr>
          <w:vertAlign w:val="superscript"/>
        </w:rPr>
        <w:t>94</w:t>
      </w:r>
    </w:p>
    <w:p>
      <w:pPr>
        <w:spacing w:before="240"/>
        <w:ind w:left="464" w:right="0" w:firstLine="0"/>
        <w:jc w:val="both"/>
        <w:rPr>
          <w:sz w:val="28"/>
        </w:rPr>
      </w:pPr>
      <w:bookmarkStart w:name="Acknowledgments &amp; Citations" w:id="361"/>
      <w:bookmarkEnd w:id="361"/>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10"/>
        <w:rPr>
          <w:sz w:val="3"/>
        </w:rPr>
      </w:pPr>
      <w:r>
        <w:rPr/>
        <mc:AlternateContent>
          <mc:Choice Requires="wps">
            <w:drawing>
              <wp:anchor distT="0" distB="0" distL="0" distR="0" allowOverlap="1" layoutInCell="1" locked="0" behindDoc="1" simplePos="0" relativeHeight="487632896">
                <wp:simplePos x="0" y="0"/>
                <wp:positionH relativeFrom="page">
                  <wp:posOffset>986789</wp:posOffset>
                </wp:positionH>
                <wp:positionV relativeFrom="paragraph">
                  <wp:posOffset>45424</wp:posOffset>
                </wp:positionV>
                <wp:extent cx="5799455" cy="6350"/>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5799455" cy="6350"/>
                        </a:xfrm>
                        <a:custGeom>
                          <a:avLst/>
                          <a:gdLst/>
                          <a:ahLst/>
                          <a:cxnLst/>
                          <a:rect l="l" t="t" r="r" b="b"/>
                          <a:pathLst>
                            <a:path w="5799455" h="6350">
                              <a:moveTo>
                                <a:pt x="5798832" y="0"/>
                              </a:moveTo>
                              <a:lnTo>
                                <a:pt x="0" y="0"/>
                              </a:lnTo>
                              <a:lnTo>
                                <a:pt x="0" y="6095"/>
                              </a:lnTo>
                              <a:lnTo>
                                <a:pt x="5798832" y="6095"/>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76738pt;width:456.601pt;height:.48pt;mso-position-horizontal-relative:page;mso-position-vertical-relative:paragraph;z-index:-15683584;mso-wrap-distance-left:0;mso-wrap-distance-right:0" id="docshape213" filled="true" fillcolor="#4f81bc" stroked="false">
                <v:fill type="solid"/>
                <w10:wrap type="topAndBottom"/>
              </v:rect>
            </w:pict>
          </mc:Fallback>
        </mc:AlternateContent>
      </w:r>
    </w:p>
    <w:p>
      <w:pPr>
        <w:spacing w:line="276" w:lineRule="auto" w:before="241"/>
        <w:ind w:left="463" w:right="228" w:hanging="6"/>
        <w:jc w:val="left"/>
        <w:rPr>
          <w:i/>
          <w:sz w:val="22"/>
        </w:rPr>
      </w:pPr>
      <w:r>
        <w:rPr>
          <w:i/>
          <w:sz w:val="22"/>
        </w:rPr>
        <w:t>Acknowledgments:</w:t>
      </w:r>
      <w:r>
        <w:rPr>
          <w:i/>
          <w:spacing w:val="37"/>
          <w:sz w:val="22"/>
        </w:rPr>
        <w:t> </w:t>
      </w:r>
      <w:r>
        <w:rPr>
          <w:i/>
          <w:sz w:val="22"/>
        </w:rPr>
        <w:t>Dallas</w:t>
      </w:r>
      <w:r>
        <w:rPr>
          <w:i/>
          <w:spacing w:val="37"/>
          <w:sz w:val="22"/>
        </w:rPr>
        <w:t> </w:t>
      </w:r>
      <w:r>
        <w:rPr>
          <w:i/>
          <w:sz w:val="22"/>
        </w:rPr>
        <w:t>Ducar,</w:t>
      </w:r>
      <w:r>
        <w:rPr>
          <w:i/>
          <w:spacing w:val="39"/>
          <w:sz w:val="22"/>
        </w:rPr>
        <w:t> </w:t>
      </w:r>
      <w:r>
        <w:rPr>
          <w:i/>
          <w:sz w:val="22"/>
        </w:rPr>
        <w:t>lead</w:t>
      </w:r>
      <w:r>
        <w:rPr>
          <w:i/>
          <w:spacing w:val="37"/>
          <w:sz w:val="22"/>
        </w:rPr>
        <w:t> </w:t>
      </w:r>
      <w:r>
        <w:rPr>
          <w:i/>
          <w:sz w:val="22"/>
        </w:rPr>
        <w:t>researcher</w:t>
      </w:r>
      <w:r>
        <w:rPr>
          <w:i/>
          <w:spacing w:val="39"/>
          <w:sz w:val="22"/>
        </w:rPr>
        <w:t> </w:t>
      </w:r>
      <w:r>
        <w:rPr>
          <w:i/>
          <w:sz w:val="22"/>
        </w:rPr>
        <w:t>and</w:t>
      </w:r>
      <w:r>
        <w:rPr>
          <w:i/>
          <w:spacing w:val="38"/>
          <w:sz w:val="22"/>
        </w:rPr>
        <w:t> </w:t>
      </w:r>
      <w:r>
        <w:rPr>
          <w:i/>
          <w:sz w:val="22"/>
        </w:rPr>
        <w:t>author,</w:t>
      </w:r>
      <w:r>
        <w:rPr>
          <w:i/>
          <w:spacing w:val="39"/>
          <w:sz w:val="22"/>
        </w:rPr>
        <w:t> </w:t>
      </w:r>
      <w:r>
        <w:rPr>
          <w:i/>
          <w:sz w:val="22"/>
        </w:rPr>
        <w:t>Shannon</w:t>
      </w:r>
      <w:r>
        <w:rPr>
          <w:i/>
          <w:spacing w:val="37"/>
          <w:sz w:val="22"/>
        </w:rPr>
        <w:t> </w:t>
      </w:r>
      <w:r>
        <w:rPr>
          <w:i/>
          <w:sz w:val="22"/>
        </w:rPr>
        <w:t>Collins</w:t>
      </w:r>
      <w:r>
        <w:rPr>
          <w:i/>
          <w:spacing w:val="37"/>
          <w:sz w:val="22"/>
        </w:rPr>
        <w:t> </w:t>
      </w:r>
      <w:r>
        <w:rPr>
          <w:i/>
          <w:sz w:val="22"/>
        </w:rPr>
        <w:t>&amp;</w:t>
      </w:r>
      <w:r>
        <w:rPr>
          <w:i/>
          <w:spacing w:val="39"/>
          <w:sz w:val="22"/>
        </w:rPr>
        <w:t> </w:t>
      </w:r>
      <w:r>
        <w:rPr>
          <w:i/>
          <w:sz w:val="22"/>
        </w:rPr>
        <w:t>Mel</w:t>
      </w:r>
      <w:r>
        <w:rPr>
          <w:i/>
          <w:spacing w:val="40"/>
          <w:sz w:val="22"/>
        </w:rPr>
        <w:t> </w:t>
      </w:r>
      <w:r>
        <w:rPr>
          <w:i/>
          <w:sz w:val="22"/>
        </w:rPr>
        <w:t>DeSilva,</w:t>
      </w:r>
      <w:r>
        <w:rPr>
          <w:i/>
          <w:spacing w:val="38"/>
          <w:sz w:val="22"/>
        </w:rPr>
        <w:t> </w:t>
      </w:r>
      <w:r>
        <w:rPr>
          <w:i/>
          <w:sz w:val="22"/>
        </w:rPr>
        <w:t>co-</w:t>
      </w:r>
      <w:r>
        <w:rPr>
          <w:i/>
          <w:sz w:val="22"/>
        </w:rPr>
        <w:t> authors &amp; researchers (2023); Apollo Correia, secondary researcher and editor (2024)</w:t>
      </w:r>
    </w:p>
    <w:p>
      <w:pPr>
        <w:spacing w:before="240"/>
        <w:ind w:left="464" w:right="0" w:firstLine="0"/>
        <w:jc w:val="left"/>
        <w:rPr>
          <w:sz w:val="18"/>
        </w:rPr>
      </w:pPr>
      <w:r>
        <w:rPr>
          <w:sz w:val="18"/>
          <w:vertAlign w:val="superscript"/>
        </w:rPr>
        <w:t>1</w:t>
      </w:r>
      <w:r>
        <w:rPr>
          <w:spacing w:val="-13"/>
          <w:sz w:val="18"/>
          <w:vertAlign w:val="baseline"/>
        </w:rPr>
        <w:t> </w:t>
      </w:r>
      <w:r>
        <w:rPr>
          <w:sz w:val="18"/>
          <w:vertAlign w:val="baseline"/>
        </w:rPr>
        <w:t>Crenshaw,</w:t>
      </w:r>
      <w:r>
        <w:rPr>
          <w:spacing w:val="-7"/>
          <w:sz w:val="18"/>
          <w:vertAlign w:val="baseline"/>
        </w:rPr>
        <w:t> </w:t>
      </w:r>
      <w:r>
        <w:rPr>
          <w:sz w:val="18"/>
          <w:vertAlign w:val="baseline"/>
        </w:rPr>
        <w:t>Kimberlé</w:t>
      </w:r>
      <w:r>
        <w:rPr>
          <w:spacing w:val="-3"/>
          <w:sz w:val="18"/>
          <w:vertAlign w:val="baseline"/>
        </w:rPr>
        <w:t> </w:t>
      </w:r>
      <w:r>
        <w:rPr>
          <w:sz w:val="18"/>
          <w:vertAlign w:val="baseline"/>
        </w:rPr>
        <w:t>W.</w:t>
      </w:r>
      <w:r>
        <w:rPr>
          <w:spacing w:val="-3"/>
          <w:sz w:val="18"/>
          <w:vertAlign w:val="baseline"/>
        </w:rPr>
        <w:t> </w:t>
      </w:r>
      <w:r>
        <w:rPr>
          <w:i/>
          <w:sz w:val="18"/>
          <w:vertAlign w:val="baseline"/>
        </w:rPr>
        <w:t>On</w:t>
      </w:r>
      <w:r>
        <w:rPr>
          <w:i/>
          <w:spacing w:val="-4"/>
          <w:sz w:val="18"/>
          <w:vertAlign w:val="baseline"/>
        </w:rPr>
        <w:t> </w:t>
      </w:r>
      <w:r>
        <w:rPr>
          <w:i/>
          <w:sz w:val="18"/>
          <w:vertAlign w:val="baseline"/>
        </w:rPr>
        <w:t>Intersectionality:</w:t>
      </w:r>
      <w:r>
        <w:rPr>
          <w:i/>
          <w:spacing w:val="-3"/>
          <w:sz w:val="18"/>
          <w:vertAlign w:val="baseline"/>
        </w:rPr>
        <w:t> </w:t>
      </w:r>
      <w:r>
        <w:rPr>
          <w:i/>
          <w:sz w:val="18"/>
          <w:vertAlign w:val="baseline"/>
        </w:rPr>
        <w:t>Essential</w:t>
      </w:r>
      <w:r>
        <w:rPr>
          <w:i/>
          <w:spacing w:val="-4"/>
          <w:sz w:val="18"/>
          <w:vertAlign w:val="baseline"/>
        </w:rPr>
        <w:t> </w:t>
      </w:r>
      <w:r>
        <w:rPr>
          <w:i/>
          <w:sz w:val="18"/>
          <w:vertAlign w:val="baseline"/>
        </w:rPr>
        <w:t>Writings.</w:t>
      </w:r>
      <w:r>
        <w:rPr>
          <w:i/>
          <w:spacing w:val="-2"/>
          <w:sz w:val="18"/>
          <w:vertAlign w:val="baseline"/>
        </w:rPr>
        <w:t> </w:t>
      </w:r>
      <w:r>
        <w:rPr>
          <w:sz w:val="18"/>
          <w:vertAlign w:val="baseline"/>
        </w:rPr>
        <w:t>The</w:t>
      </w:r>
      <w:r>
        <w:rPr>
          <w:spacing w:val="-3"/>
          <w:sz w:val="18"/>
          <w:vertAlign w:val="baseline"/>
        </w:rPr>
        <w:t> </w:t>
      </w:r>
      <w:r>
        <w:rPr>
          <w:sz w:val="18"/>
          <w:vertAlign w:val="baseline"/>
        </w:rPr>
        <w:t>New</w:t>
      </w:r>
      <w:r>
        <w:rPr>
          <w:spacing w:val="-5"/>
          <w:sz w:val="18"/>
          <w:vertAlign w:val="baseline"/>
        </w:rPr>
        <w:t> </w:t>
      </w:r>
      <w:r>
        <w:rPr>
          <w:sz w:val="18"/>
          <w:vertAlign w:val="baseline"/>
        </w:rPr>
        <w:t>Press,</w:t>
      </w:r>
      <w:r>
        <w:rPr>
          <w:spacing w:val="-4"/>
          <w:sz w:val="18"/>
          <w:vertAlign w:val="baseline"/>
        </w:rPr>
        <w:t> </w:t>
      </w:r>
      <w:r>
        <w:rPr>
          <w:spacing w:val="-2"/>
          <w:sz w:val="18"/>
          <w:vertAlign w:val="baseline"/>
        </w:rPr>
        <w:t>2017.</w:t>
      </w:r>
    </w:p>
    <w:p>
      <w:pPr>
        <w:spacing w:line="276" w:lineRule="auto" w:before="34"/>
        <w:ind w:left="463" w:right="481" w:firstLine="1"/>
        <w:jc w:val="left"/>
        <w:rPr>
          <w:sz w:val="18"/>
        </w:rPr>
      </w:pPr>
      <w:r>
        <w:rPr>
          <w:sz w:val="18"/>
          <w:vertAlign w:val="superscript"/>
        </w:rPr>
        <w:t>2</w:t>
      </w:r>
      <w:r>
        <w:rPr>
          <w:spacing w:val="-10"/>
          <w:sz w:val="18"/>
          <w:vertAlign w:val="baseline"/>
        </w:rPr>
        <w:t> </w:t>
      </w:r>
      <w:r>
        <w:rPr>
          <w:color w:val="212121"/>
          <w:sz w:val="18"/>
          <w:vertAlign w:val="baseline"/>
        </w:rPr>
        <w:t>Oaks, Laury, Tania Israel, Kristin J. Conover, Alise Cogger, and Todd Raymond Avellar. "Community-based participatory research with invisible, geographically-dispersed communities: Partnering with lesbian, gay, bisexual, transgender and queer</w:t>
      </w:r>
      <w:r>
        <w:rPr>
          <w:color w:val="212121"/>
          <w:spacing w:val="-3"/>
          <w:sz w:val="18"/>
          <w:vertAlign w:val="baseline"/>
        </w:rPr>
        <w:t> </w:t>
      </w:r>
      <w:r>
        <w:rPr>
          <w:color w:val="212121"/>
          <w:sz w:val="18"/>
          <w:vertAlign w:val="baseline"/>
        </w:rPr>
        <w:t>communities</w:t>
      </w:r>
      <w:r>
        <w:rPr>
          <w:color w:val="212121"/>
          <w:spacing w:val="-2"/>
          <w:sz w:val="18"/>
          <w:vertAlign w:val="baseline"/>
        </w:rPr>
        <w:t> </w:t>
      </w:r>
      <w:r>
        <w:rPr>
          <w:color w:val="212121"/>
          <w:sz w:val="18"/>
          <w:vertAlign w:val="baseline"/>
        </w:rPr>
        <w:t>on</w:t>
      </w:r>
      <w:r>
        <w:rPr>
          <w:color w:val="212121"/>
          <w:spacing w:val="-2"/>
          <w:sz w:val="18"/>
          <w:vertAlign w:val="baseline"/>
        </w:rPr>
        <w:t> </w:t>
      </w:r>
      <w:r>
        <w:rPr>
          <w:color w:val="212121"/>
          <w:sz w:val="18"/>
          <w:vertAlign w:val="baseline"/>
        </w:rPr>
        <w:t>the</w:t>
      </w:r>
      <w:r>
        <w:rPr>
          <w:color w:val="212121"/>
          <w:spacing w:val="-2"/>
          <w:sz w:val="18"/>
          <w:vertAlign w:val="baseline"/>
        </w:rPr>
        <w:t> </w:t>
      </w:r>
      <w:r>
        <w:rPr>
          <w:color w:val="212121"/>
          <w:sz w:val="18"/>
          <w:vertAlign w:val="baseline"/>
        </w:rPr>
        <w:t>California</w:t>
      </w:r>
      <w:r>
        <w:rPr>
          <w:color w:val="212121"/>
          <w:spacing w:val="-2"/>
          <w:sz w:val="18"/>
          <w:vertAlign w:val="baseline"/>
        </w:rPr>
        <w:t> </w:t>
      </w:r>
      <w:r>
        <w:rPr>
          <w:color w:val="212121"/>
          <w:sz w:val="18"/>
          <w:vertAlign w:val="baseline"/>
        </w:rPr>
        <w:t>central</w:t>
      </w:r>
      <w:r>
        <w:rPr>
          <w:color w:val="212121"/>
          <w:spacing w:val="-3"/>
          <w:sz w:val="18"/>
          <w:vertAlign w:val="baseline"/>
        </w:rPr>
        <w:t> </w:t>
      </w:r>
      <w:r>
        <w:rPr>
          <w:color w:val="212121"/>
          <w:sz w:val="18"/>
          <w:vertAlign w:val="baseline"/>
        </w:rPr>
        <w:t>coast."</w:t>
      </w:r>
      <w:r>
        <w:rPr>
          <w:color w:val="212121"/>
          <w:spacing w:val="-2"/>
          <w:sz w:val="18"/>
          <w:vertAlign w:val="baseline"/>
        </w:rPr>
        <w:t> </w:t>
      </w:r>
      <w:r>
        <w:rPr>
          <w:i/>
          <w:color w:val="212121"/>
          <w:sz w:val="18"/>
          <w:vertAlign w:val="baseline"/>
        </w:rPr>
        <w:t>Journal</w:t>
      </w:r>
      <w:r>
        <w:rPr>
          <w:i/>
          <w:color w:val="212121"/>
          <w:spacing w:val="-3"/>
          <w:sz w:val="18"/>
          <w:vertAlign w:val="baseline"/>
        </w:rPr>
        <w:t> </w:t>
      </w:r>
      <w:r>
        <w:rPr>
          <w:i/>
          <w:color w:val="212121"/>
          <w:sz w:val="18"/>
          <w:vertAlign w:val="baseline"/>
        </w:rPr>
        <w:t>for</w:t>
      </w:r>
      <w:r>
        <w:rPr>
          <w:i/>
          <w:color w:val="212121"/>
          <w:spacing w:val="-3"/>
          <w:sz w:val="18"/>
          <w:vertAlign w:val="baseline"/>
        </w:rPr>
        <w:t> </w:t>
      </w:r>
      <w:r>
        <w:rPr>
          <w:i/>
          <w:color w:val="212121"/>
          <w:sz w:val="18"/>
          <w:vertAlign w:val="baseline"/>
        </w:rPr>
        <w:t>Social</w:t>
      </w:r>
      <w:r>
        <w:rPr>
          <w:i/>
          <w:color w:val="212121"/>
          <w:spacing w:val="-3"/>
          <w:sz w:val="18"/>
          <w:vertAlign w:val="baseline"/>
        </w:rPr>
        <w:t> </w:t>
      </w:r>
      <w:r>
        <w:rPr>
          <w:i/>
          <w:color w:val="212121"/>
          <w:sz w:val="18"/>
          <w:vertAlign w:val="baseline"/>
        </w:rPr>
        <w:t>Action</w:t>
      </w:r>
      <w:r>
        <w:rPr>
          <w:i/>
          <w:color w:val="212121"/>
          <w:spacing w:val="-1"/>
          <w:sz w:val="18"/>
          <w:vertAlign w:val="baseline"/>
        </w:rPr>
        <w:t> </w:t>
      </w:r>
      <w:r>
        <w:rPr>
          <w:i/>
          <w:color w:val="212121"/>
          <w:sz w:val="18"/>
          <w:vertAlign w:val="baseline"/>
        </w:rPr>
        <w:t>in</w:t>
      </w:r>
      <w:r>
        <w:rPr>
          <w:i/>
          <w:color w:val="212121"/>
          <w:spacing w:val="-3"/>
          <w:sz w:val="18"/>
          <w:vertAlign w:val="baseline"/>
        </w:rPr>
        <w:t> </w:t>
      </w:r>
      <w:r>
        <w:rPr>
          <w:i/>
          <w:color w:val="212121"/>
          <w:sz w:val="18"/>
          <w:vertAlign w:val="baseline"/>
        </w:rPr>
        <w:t>Counseling</w:t>
      </w:r>
      <w:r>
        <w:rPr>
          <w:i/>
          <w:color w:val="212121"/>
          <w:spacing w:val="-1"/>
          <w:sz w:val="18"/>
          <w:vertAlign w:val="baseline"/>
        </w:rPr>
        <w:t> </w:t>
      </w:r>
      <w:r>
        <w:rPr>
          <w:i/>
          <w:color w:val="212121"/>
          <w:sz w:val="18"/>
          <w:vertAlign w:val="baseline"/>
        </w:rPr>
        <w:t>&amp;</w:t>
      </w:r>
      <w:r>
        <w:rPr>
          <w:i/>
          <w:color w:val="212121"/>
          <w:spacing w:val="-3"/>
          <w:sz w:val="18"/>
          <w:vertAlign w:val="baseline"/>
        </w:rPr>
        <w:t> </w:t>
      </w:r>
      <w:r>
        <w:rPr>
          <w:i/>
          <w:color w:val="212121"/>
          <w:sz w:val="18"/>
          <w:vertAlign w:val="baseline"/>
        </w:rPr>
        <w:t>Psychology</w:t>
      </w:r>
      <w:r>
        <w:rPr>
          <w:i/>
          <w:color w:val="212121"/>
          <w:spacing w:val="-2"/>
          <w:sz w:val="18"/>
          <w:vertAlign w:val="baseline"/>
        </w:rPr>
        <w:t> </w:t>
      </w:r>
      <w:r>
        <w:rPr>
          <w:color w:val="212121"/>
          <w:sz w:val="18"/>
          <w:vertAlign w:val="baseline"/>
        </w:rPr>
        <w:t>11,</w:t>
      </w:r>
      <w:r>
        <w:rPr>
          <w:color w:val="212121"/>
          <w:spacing w:val="-3"/>
          <w:sz w:val="18"/>
          <w:vertAlign w:val="baseline"/>
        </w:rPr>
        <w:t> </w:t>
      </w:r>
      <w:r>
        <w:rPr>
          <w:color w:val="212121"/>
          <w:sz w:val="18"/>
          <w:vertAlign w:val="baseline"/>
        </w:rPr>
        <w:t>no.</w:t>
      </w:r>
      <w:r>
        <w:rPr>
          <w:color w:val="212121"/>
          <w:spacing w:val="-2"/>
          <w:sz w:val="18"/>
          <w:vertAlign w:val="baseline"/>
        </w:rPr>
        <w:t> </w:t>
      </w:r>
      <w:r>
        <w:rPr>
          <w:color w:val="212121"/>
          <w:sz w:val="18"/>
          <w:vertAlign w:val="baseline"/>
        </w:rPr>
        <w:t>1</w:t>
      </w:r>
      <w:r>
        <w:rPr>
          <w:color w:val="212121"/>
          <w:spacing w:val="-2"/>
          <w:sz w:val="18"/>
          <w:vertAlign w:val="baseline"/>
        </w:rPr>
        <w:t> </w:t>
      </w:r>
      <w:r>
        <w:rPr>
          <w:color w:val="212121"/>
          <w:sz w:val="18"/>
          <w:vertAlign w:val="baseline"/>
        </w:rPr>
        <w:t>(2019): 14-32. </w:t>
      </w:r>
      <w:r>
        <w:rPr>
          <w:sz w:val="18"/>
          <w:vertAlign w:val="superscript"/>
        </w:rPr>
        <w:t>3</w:t>
      </w:r>
      <w:r>
        <w:rPr>
          <w:spacing w:val="-8"/>
          <w:sz w:val="18"/>
          <w:vertAlign w:val="baseline"/>
        </w:rPr>
        <w:t> </w:t>
      </w:r>
      <w:r>
        <w:rPr>
          <w:sz w:val="18"/>
          <w:vertAlign w:val="baseline"/>
        </w:rPr>
        <w:t>Sage, 2021, “A year into the pandemic, LGBTQ life and death remains largely invisible,” https:</w:t>
      </w:r>
      <w:hyperlink r:id="rId280">
        <w:r>
          <w:rPr>
            <w:sz w:val="18"/>
            <w:vertAlign w:val="baseline"/>
          </w:rPr>
          <w:t>//www.sageusa.org/news</w:t>
        </w:r>
      </w:hyperlink>
      <w:r>
        <w:rPr>
          <w:spacing w:val="-2"/>
          <w:sz w:val="18"/>
          <w:vertAlign w:val="baseline"/>
        </w:rPr>
        <w:t> </w:t>
      </w:r>
      <w:r>
        <w:rPr>
          <w:sz w:val="18"/>
          <w:vertAlign w:val="baseline"/>
        </w:rPr>
        <w:t>posts/a-year-into-the-pandemic-lgbtq-life-and-death-remains-largely-invisible/</w:t>
      </w:r>
    </w:p>
    <w:p>
      <w:pPr>
        <w:spacing w:line="276" w:lineRule="auto" w:before="0"/>
        <w:ind w:left="464" w:right="533" w:firstLine="0"/>
        <w:jc w:val="left"/>
        <w:rPr>
          <w:sz w:val="18"/>
        </w:rPr>
      </w:pPr>
      <w:r>
        <w:rPr>
          <w:sz w:val="18"/>
          <w:vertAlign w:val="superscript"/>
        </w:rPr>
        <w:t>4</w:t>
      </w:r>
      <w:r>
        <w:rPr>
          <w:spacing w:val="-6"/>
          <w:sz w:val="18"/>
          <w:vertAlign w:val="baseline"/>
        </w:rPr>
        <w:t> </w:t>
      </w:r>
      <w:r>
        <w:rPr>
          <w:sz w:val="18"/>
          <w:vertAlign w:val="baseline"/>
        </w:rPr>
        <w:t>Comstock, 2019, “More inclusive EHRs can help extend welcome, save transgender lives,” </w:t>
      </w:r>
      <w:r>
        <w:rPr>
          <w:color w:val="1154CC"/>
          <w:sz w:val="18"/>
          <w:u w:val="single" w:color="1154CC"/>
          <w:vertAlign w:val="baseline"/>
        </w:rPr>
        <w:t>https:</w:t>
      </w:r>
      <w:hyperlink r:id="rId281">
        <w:r>
          <w:rPr>
            <w:color w:val="1154CC"/>
            <w:sz w:val="18"/>
            <w:u w:val="single" w:color="1154CC"/>
            <w:vertAlign w:val="baseline"/>
          </w:rPr>
          <w:t>//www.healthcareitnews.com/news/more-inclusive-ehrs-can-help-extend-welcome-save-transgender-lives</w:t>
        </w:r>
        <w:r>
          <w:rPr>
            <w:color w:val="1154CC"/>
            <w:spacing w:val="-11"/>
            <w:sz w:val="18"/>
            <w:u w:val="single" w:color="1154CC"/>
            <w:vertAlign w:val="baseline"/>
          </w:rPr>
          <w:t> </w:t>
        </w:r>
        <w:r>
          <w:rPr>
            <w:sz w:val="18"/>
            <w:u w:val="none"/>
            <w:vertAlign w:val="superscript"/>
          </w:rPr>
          <w:t>5</w:t>
        </w:r>
      </w:hyperlink>
      <w:r>
        <w:rPr>
          <w:spacing w:val="-16"/>
          <w:sz w:val="18"/>
          <w:u w:val="none"/>
          <w:vertAlign w:val="baseline"/>
        </w:rPr>
        <w:t> </w:t>
      </w:r>
      <w:r>
        <w:rPr>
          <w:sz w:val="18"/>
          <w:u w:val="none"/>
          <w:vertAlign w:val="baseline"/>
        </w:rPr>
        <w:t>FACT SHEET: Biden-Harris Administration Releases First-Ever Federal Evidence Agenda on LGBTQI+ Equity, January 24, 2023.</w:t>
      </w:r>
    </w:p>
    <w:p>
      <w:pPr>
        <w:spacing w:after="0" w:line="276" w:lineRule="auto"/>
        <w:jc w:val="left"/>
        <w:rPr>
          <w:sz w:val="18"/>
        </w:rPr>
        <w:sectPr>
          <w:pgSz w:w="12240" w:h="15840"/>
          <w:pgMar w:header="721" w:footer="1061" w:top="1360" w:bottom="1260" w:left="1120" w:right="1340"/>
        </w:sectPr>
      </w:pPr>
    </w:p>
    <w:p>
      <w:pPr>
        <w:spacing w:line="276" w:lineRule="auto" w:before="68"/>
        <w:ind w:left="464" w:right="468" w:firstLine="0"/>
        <w:jc w:val="left"/>
        <w:rPr>
          <w:sz w:val="18"/>
        </w:rPr>
      </w:pPr>
      <w:r>
        <w:rPr>
          <w:color w:val="1154CC"/>
          <w:spacing w:val="-2"/>
          <w:sz w:val="18"/>
          <w:u w:val="single" w:color="1154CC"/>
        </w:rPr>
        <w:t>https:</w:t>
      </w:r>
      <w:hyperlink r:id="rId282">
        <w:r>
          <w:rPr>
            <w:color w:val="1154CC"/>
            <w:spacing w:val="-2"/>
            <w:sz w:val="18"/>
            <w:u w:val="single" w:color="1154CC"/>
          </w:rPr>
          <w:t>//www.whitehouse.gov/ostp/news-updates/2023/01/24/fact-sheet-biden-harris-administration-releases-first-ever</w:t>
        </w:r>
      </w:hyperlink>
      <w:r>
        <w:rPr>
          <w:color w:val="1154CC"/>
          <w:sz w:val="18"/>
          <w:u w:val="none"/>
        </w:rPr>
        <w:t> </w:t>
      </w:r>
      <w:r>
        <w:rPr>
          <w:color w:val="1154CC"/>
          <w:spacing w:val="-2"/>
          <w:sz w:val="18"/>
          <w:u w:val="single" w:color="1154CC"/>
        </w:rPr>
        <w:t>federal-evidence-agenda-on-lgbtqi-equity/</w:t>
      </w:r>
    </w:p>
    <w:p>
      <w:pPr>
        <w:spacing w:line="276" w:lineRule="auto" w:before="0"/>
        <w:ind w:left="464" w:right="318" w:hanging="1"/>
        <w:jc w:val="left"/>
        <w:rPr>
          <w:sz w:val="18"/>
        </w:rPr>
      </w:pPr>
      <w:r>
        <w:rPr>
          <w:sz w:val="18"/>
          <w:vertAlign w:val="superscript"/>
        </w:rPr>
        <w:t>6</w:t>
      </w:r>
      <w:r>
        <w:rPr>
          <w:spacing w:val="-6"/>
          <w:sz w:val="18"/>
          <w:vertAlign w:val="baseline"/>
        </w:rPr>
        <w:t> </w:t>
      </w:r>
      <w:r>
        <w:rPr>
          <w:sz w:val="18"/>
          <w:vertAlign w:val="baseline"/>
        </w:rPr>
        <w:t>“Gender Incongruence and Transgender Health in the ICD,” accessed April 24, 2023, </w:t>
      </w:r>
      <w:r>
        <w:rPr>
          <w:spacing w:val="-2"/>
          <w:sz w:val="18"/>
          <w:vertAlign w:val="baseline"/>
        </w:rPr>
        <w:t>https:</w:t>
      </w:r>
      <w:hyperlink r:id="rId283">
        <w:r>
          <w:rPr>
            <w:spacing w:val="-2"/>
            <w:sz w:val="18"/>
            <w:vertAlign w:val="baseline"/>
          </w:rPr>
          <w:t>//www.who.int/standards/classifications/frequently-asked-questions/gender-incongruence-and-transgender-health-</w:t>
        </w:r>
      </w:hyperlink>
      <w:r>
        <w:rPr>
          <w:spacing w:val="40"/>
          <w:sz w:val="18"/>
          <w:vertAlign w:val="baseline"/>
        </w:rPr>
        <w:t>  </w:t>
      </w:r>
      <w:r>
        <w:rPr>
          <w:sz w:val="18"/>
          <w:vertAlign w:val="baseline"/>
        </w:rPr>
        <w:t>in the-icd.</w:t>
      </w:r>
    </w:p>
    <w:p>
      <w:pPr>
        <w:spacing w:line="276" w:lineRule="auto" w:before="0"/>
        <w:ind w:left="463" w:right="228" w:firstLine="12"/>
        <w:jc w:val="left"/>
        <w:rPr>
          <w:sz w:val="18"/>
        </w:rPr>
      </w:pPr>
      <w:r>
        <w:rPr>
          <w:sz w:val="18"/>
          <w:vertAlign w:val="superscript"/>
        </w:rPr>
        <w:t>7</w:t>
      </w:r>
      <w:r>
        <w:rPr>
          <w:spacing w:val="-13"/>
          <w:sz w:val="18"/>
          <w:vertAlign w:val="baseline"/>
        </w:rPr>
        <w:t> </w:t>
      </w:r>
      <w:r>
        <w:rPr>
          <w:sz w:val="18"/>
          <w:vertAlign w:val="baseline"/>
        </w:rPr>
        <w:t>Commonwealth of Massachusetts. “Continuing Applicability of Guidance Regarding Prohibited Discrimination on the Basis of</w:t>
      </w:r>
      <w:r>
        <w:rPr>
          <w:spacing w:val="-3"/>
          <w:sz w:val="18"/>
          <w:vertAlign w:val="baseline"/>
        </w:rPr>
        <w:t> </w:t>
      </w:r>
      <w:r>
        <w:rPr>
          <w:sz w:val="18"/>
          <w:vertAlign w:val="baseline"/>
        </w:rPr>
        <w:t>Gender</w:t>
      </w:r>
      <w:r>
        <w:rPr>
          <w:spacing w:val="-4"/>
          <w:sz w:val="18"/>
          <w:vertAlign w:val="baseline"/>
        </w:rPr>
        <w:t> </w:t>
      </w:r>
      <w:r>
        <w:rPr>
          <w:sz w:val="18"/>
          <w:vertAlign w:val="baseline"/>
        </w:rPr>
        <w:t>Identity</w:t>
      </w:r>
      <w:r>
        <w:rPr>
          <w:spacing w:val="-3"/>
          <w:sz w:val="18"/>
          <w:vertAlign w:val="baseline"/>
        </w:rPr>
        <w:t> </w:t>
      </w:r>
      <w:r>
        <w:rPr>
          <w:sz w:val="18"/>
          <w:vertAlign w:val="baseline"/>
        </w:rPr>
        <w:t>or</w:t>
      </w:r>
      <w:r>
        <w:rPr>
          <w:spacing w:val="-4"/>
          <w:sz w:val="18"/>
          <w:vertAlign w:val="baseline"/>
        </w:rPr>
        <w:t> </w:t>
      </w:r>
      <w:r>
        <w:rPr>
          <w:sz w:val="18"/>
          <w:vertAlign w:val="baseline"/>
        </w:rPr>
        <w:t>Gender</w:t>
      </w:r>
      <w:r>
        <w:rPr>
          <w:spacing w:val="-4"/>
          <w:sz w:val="18"/>
          <w:vertAlign w:val="baseline"/>
        </w:rPr>
        <w:t> </w:t>
      </w:r>
      <w:r>
        <w:rPr>
          <w:sz w:val="18"/>
          <w:vertAlign w:val="baseline"/>
        </w:rPr>
        <w:t>Dysphoria</w:t>
      </w:r>
      <w:r>
        <w:rPr>
          <w:spacing w:val="-3"/>
          <w:sz w:val="18"/>
          <w:vertAlign w:val="baseline"/>
        </w:rPr>
        <w:t> </w:t>
      </w:r>
      <w:r>
        <w:rPr>
          <w:sz w:val="18"/>
          <w:vertAlign w:val="baseline"/>
        </w:rPr>
        <w:t>Including</w:t>
      </w:r>
      <w:r>
        <w:rPr>
          <w:spacing w:val="-3"/>
          <w:sz w:val="18"/>
          <w:vertAlign w:val="baseline"/>
        </w:rPr>
        <w:t> </w:t>
      </w:r>
      <w:r>
        <w:rPr>
          <w:sz w:val="18"/>
          <w:vertAlign w:val="baseline"/>
        </w:rPr>
        <w:t>Medically</w:t>
      </w:r>
      <w:r>
        <w:rPr>
          <w:spacing w:val="-3"/>
          <w:sz w:val="18"/>
          <w:vertAlign w:val="baseline"/>
        </w:rPr>
        <w:t> </w:t>
      </w:r>
      <w:r>
        <w:rPr>
          <w:sz w:val="18"/>
          <w:vertAlign w:val="baseline"/>
        </w:rPr>
        <w:t>Necessary</w:t>
      </w:r>
      <w:r>
        <w:rPr>
          <w:spacing w:val="-3"/>
          <w:sz w:val="18"/>
          <w:vertAlign w:val="baseline"/>
        </w:rPr>
        <w:t> </w:t>
      </w:r>
      <w:r>
        <w:rPr>
          <w:sz w:val="18"/>
          <w:vertAlign w:val="baseline"/>
        </w:rPr>
        <w:t>Gender-Affirming</w:t>
      </w:r>
      <w:r>
        <w:rPr>
          <w:spacing w:val="-3"/>
          <w:sz w:val="18"/>
          <w:vertAlign w:val="baseline"/>
        </w:rPr>
        <w:t> </w:t>
      </w:r>
      <w:r>
        <w:rPr>
          <w:sz w:val="18"/>
          <w:vertAlign w:val="baseline"/>
        </w:rPr>
        <w:t>Care</w:t>
      </w:r>
      <w:r>
        <w:rPr>
          <w:spacing w:val="-3"/>
          <w:sz w:val="18"/>
          <w:vertAlign w:val="baseline"/>
        </w:rPr>
        <w:t> </w:t>
      </w:r>
      <w:r>
        <w:rPr>
          <w:sz w:val="18"/>
          <w:vertAlign w:val="baseline"/>
        </w:rPr>
        <w:t>and</w:t>
      </w:r>
      <w:r>
        <w:rPr>
          <w:spacing w:val="-3"/>
          <w:sz w:val="18"/>
          <w:vertAlign w:val="baseline"/>
        </w:rPr>
        <w:t> </w:t>
      </w:r>
      <w:r>
        <w:rPr>
          <w:sz w:val="18"/>
          <w:vertAlign w:val="baseline"/>
        </w:rPr>
        <w:t>Related</w:t>
      </w:r>
      <w:r>
        <w:rPr>
          <w:spacing w:val="-3"/>
          <w:sz w:val="18"/>
          <w:vertAlign w:val="baseline"/>
        </w:rPr>
        <w:t> </w:t>
      </w:r>
      <w:r>
        <w:rPr>
          <w:sz w:val="18"/>
          <w:vertAlign w:val="baseline"/>
        </w:rPr>
        <w:t>Services.”</w:t>
      </w:r>
      <w:r>
        <w:rPr>
          <w:spacing w:val="-3"/>
          <w:sz w:val="18"/>
          <w:vertAlign w:val="baseline"/>
        </w:rPr>
        <w:t> </w:t>
      </w:r>
      <w:r>
        <w:rPr>
          <w:sz w:val="18"/>
          <w:vertAlign w:val="baseline"/>
        </w:rPr>
        <w:t>2021.</w:t>
      </w:r>
      <w:r>
        <w:rPr>
          <w:spacing w:val="-4"/>
          <w:sz w:val="18"/>
          <w:vertAlign w:val="baseline"/>
        </w:rPr>
        <w:t> </w:t>
      </w:r>
      <w:r>
        <w:rPr>
          <w:sz w:val="18"/>
          <w:vertAlign w:val="superscript"/>
        </w:rPr>
        <w:t>8</w:t>
      </w:r>
      <w:r>
        <w:rPr>
          <w:sz w:val="18"/>
          <w:vertAlign w:val="baseline"/>
        </w:rPr>
        <w:t> Kattari, Shanna K., N. Eugene Walls, Darren L. Whitfield, and Lisa Langenderfer-Magruder. 2015. “Racial and Ethnic Differences in Experiences of Discrimination in Accessing Health Services among Transgender People in the United States.” </w:t>
      </w:r>
      <w:r>
        <w:rPr>
          <w:i/>
          <w:sz w:val="18"/>
          <w:vertAlign w:val="baseline"/>
        </w:rPr>
        <w:t>International Journal of Transgenderism </w:t>
      </w:r>
      <w:r>
        <w:rPr>
          <w:sz w:val="18"/>
          <w:vertAlign w:val="baseline"/>
        </w:rPr>
        <w:t>16 (2): 68–79. https://doi.org/10.1080/15532739.2015.1064336.</w:t>
      </w:r>
    </w:p>
    <w:p>
      <w:pPr>
        <w:spacing w:line="276" w:lineRule="auto" w:before="1"/>
        <w:ind w:left="463" w:right="266" w:firstLine="2"/>
        <w:jc w:val="left"/>
        <w:rPr>
          <w:sz w:val="18"/>
        </w:rPr>
      </w:pPr>
      <w:r>
        <w:rPr>
          <w:sz w:val="18"/>
          <w:vertAlign w:val="superscript"/>
        </w:rPr>
        <w:t>9</w:t>
      </w:r>
      <w:r>
        <w:rPr>
          <w:spacing w:val="-8"/>
          <w:sz w:val="18"/>
          <w:vertAlign w:val="baseline"/>
        </w:rPr>
        <w:t> </w:t>
      </w:r>
      <w:r>
        <w:rPr>
          <w:color w:val="202020"/>
          <w:sz w:val="18"/>
          <w:vertAlign w:val="baseline"/>
        </w:rPr>
        <w:t>Argenyi MS, Mereish EH, Watson RJ. Mental and Physical Health Disparities Among Sexual and Gender Minority Adolescents Based on Disability Status. LGBT Health. 2022 Oct</w:t>
      </w:r>
      <w:r>
        <w:rPr>
          <w:color w:val="202020"/>
          <w:spacing w:val="-1"/>
          <w:sz w:val="18"/>
          <w:vertAlign w:val="baseline"/>
        </w:rPr>
        <w:t> </w:t>
      </w:r>
      <w:r>
        <w:rPr>
          <w:color w:val="202020"/>
          <w:sz w:val="18"/>
          <w:vertAlign w:val="baseline"/>
        </w:rPr>
        <w:t>26. doi: 10.1089/lgbt.2022.0032.</w:t>
      </w:r>
      <w:r>
        <w:rPr>
          <w:color w:val="202020"/>
          <w:spacing w:val="-1"/>
          <w:sz w:val="18"/>
          <w:vertAlign w:val="baseline"/>
        </w:rPr>
        <w:t> </w:t>
      </w:r>
      <w:r>
        <w:rPr>
          <w:color w:val="202020"/>
          <w:sz w:val="18"/>
          <w:vertAlign w:val="baseline"/>
        </w:rPr>
        <w:t>Epub ahead</w:t>
      </w:r>
      <w:r>
        <w:rPr>
          <w:color w:val="202020"/>
          <w:spacing w:val="-1"/>
          <w:sz w:val="18"/>
          <w:vertAlign w:val="baseline"/>
        </w:rPr>
        <w:t> </w:t>
      </w:r>
      <w:r>
        <w:rPr>
          <w:color w:val="202020"/>
          <w:sz w:val="18"/>
          <w:vertAlign w:val="baseline"/>
        </w:rPr>
        <w:t>of print. PMID: 36301253.</w:t>
      </w:r>
      <w:r>
        <w:rPr>
          <w:color w:val="202020"/>
          <w:spacing w:val="-3"/>
          <w:sz w:val="18"/>
          <w:vertAlign w:val="baseline"/>
        </w:rPr>
        <w:t> </w:t>
      </w:r>
      <w:r>
        <w:rPr>
          <w:sz w:val="18"/>
          <w:vertAlign w:val="superscript"/>
        </w:rPr>
        <w:t>10</w:t>
      </w:r>
      <w:r>
        <w:rPr>
          <w:spacing w:val="-13"/>
          <w:sz w:val="18"/>
          <w:vertAlign w:val="baseline"/>
        </w:rPr>
        <w:t> </w:t>
      </w:r>
      <w:r>
        <w:rPr>
          <w:color w:val="202020"/>
          <w:sz w:val="18"/>
          <w:vertAlign w:val="baseline"/>
        </w:rPr>
        <w:t>Hisle-Gorman</w:t>
      </w:r>
      <w:r>
        <w:rPr>
          <w:color w:val="202020"/>
          <w:spacing w:val="-2"/>
          <w:sz w:val="18"/>
          <w:vertAlign w:val="baseline"/>
        </w:rPr>
        <w:t> </w:t>
      </w:r>
      <w:r>
        <w:rPr>
          <w:color w:val="202020"/>
          <w:sz w:val="18"/>
          <w:vertAlign w:val="baseline"/>
        </w:rPr>
        <w:t>E,</w:t>
      </w:r>
      <w:r>
        <w:rPr>
          <w:color w:val="202020"/>
          <w:spacing w:val="-3"/>
          <w:sz w:val="18"/>
          <w:vertAlign w:val="baseline"/>
        </w:rPr>
        <w:t> </w:t>
      </w:r>
      <w:r>
        <w:rPr>
          <w:color w:val="202020"/>
          <w:sz w:val="18"/>
          <w:vertAlign w:val="baseline"/>
        </w:rPr>
        <w:t>Landis</w:t>
      </w:r>
      <w:r>
        <w:rPr>
          <w:color w:val="202020"/>
          <w:spacing w:val="-2"/>
          <w:sz w:val="18"/>
          <w:vertAlign w:val="baseline"/>
        </w:rPr>
        <w:t> </w:t>
      </w:r>
      <w:r>
        <w:rPr>
          <w:color w:val="202020"/>
          <w:sz w:val="18"/>
          <w:vertAlign w:val="baseline"/>
        </w:rPr>
        <w:t>CA,</w:t>
      </w:r>
      <w:r>
        <w:rPr>
          <w:color w:val="202020"/>
          <w:spacing w:val="-3"/>
          <w:sz w:val="18"/>
          <w:vertAlign w:val="baseline"/>
        </w:rPr>
        <w:t> </w:t>
      </w:r>
      <w:r>
        <w:rPr>
          <w:color w:val="202020"/>
          <w:sz w:val="18"/>
          <w:vertAlign w:val="baseline"/>
        </w:rPr>
        <w:t>Susi</w:t>
      </w:r>
      <w:r>
        <w:rPr>
          <w:color w:val="202020"/>
          <w:spacing w:val="-3"/>
          <w:sz w:val="18"/>
          <w:vertAlign w:val="baseline"/>
        </w:rPr>
        <w:t> </w:t>
      </w:r>
      <w:r>
        <w:rPr>
          <w:color w:val="202020"/>
          <w:sz w:val="18"/>
          <w:vertAlign w:val="baseline"/>
        </w:rPr>
        <w:t>A,</w:t>
      </w:r>
      <w:r>
        <w:rPr>
          <w:color w:val="202020"/>
          <w:spacing w:val="-3"/>
          <w:sz w:val="18"/>
          <w:vertAlign w:val="baseline"/>
        </w:rPr>
        <w:t> </w:t>
      </w:r>
      <w:r>
        <w:rPr>
          <w:color w:val="202020"/>
          <w:sz w:val="18"/>
          <w:vertAlign w:val="baseline"/>
        </w:rPr>
        <w:t>Schvey</w:t>
      </w:r>
      <w:r>
        <w:rPr>
          <w:color w:val="202020"/>
          <w:spacing w:val="-2"/>
          <w:sz w:val="18"/>
          <w:vertAlign w:val="baseline"/>
        </w:rPr>
        <w:t> </w:t>
      </w:r>
      <w:r>
        <w:rPr>
          <w:color w:val="202020"/>
          <w:sz w:val="18"/>
          <w:vertAlign w:val="baseline"/>
        </w:rPr>
        <w:t>NA,</w:t>
      </w:r>
      <w:r>
        <w:rPr>
          <w:color w:val="202020"/>
          <w:spacing w:val="-3"/>
          <w:sz w:val="18"/>
          <w:vertAlign w:val="baseline"/>
        </w:rPr>
        <w:t> </w:t>
      </w:r>
      <w:r>
        <w:rPr>
          <w:color w:val="202020"/>
          <w:sz w:val="18"/>
          <w:vertAlign w:val="baseline"/>
        </w:rPr>
        <w:t>Gorman</w:t>
      </w:r>
      <w:r>
        <w:rPr>
          <w:color w:val="202020"/>
          <w:spacing w:val="-2"/>
          <w:sz w:val="18"/>
          <w:vertAlign w:val="baseline"/>
        </w:rPr>
        <w:t> </w:t>
      </w:r>
      <w:r>
        <w:rPr>
          <w:color w:val="202020"/>
          <w:sz w:val="18"/>
          <w:vertAlign w:val="baseline"/>
        </w:rPr>
        <w:t>GH,</w:t>
      </w:r>
      <w:r>
        <w:rPr>
          <w:color w:val="202020"/>
          <w:spacing w:val="-3"/>
          <w:sz w:val="18"/>
          <w:vertAlign w:val="baseline"/>
        </w:rPr>
        <w:t> </w:t>
      </w:r>
      <w:r>
        <w:rPr>
          <w:color w:val="202020"/>
          <w:sz w:val="18"/>
          <w:vertAlign w:val="baseline"/>
        </w:rPr>
        <w:t>Nylund</w:t>
      </w:r>
      <w:r>
        <w:rPr>
          <w:color w:val="202020"/>
          <w:spacing w:val="-3"/>
          <w:sz w:val="18"/>
          <w:vertAlign w:val="baseline"/>
        </w:rPr>
        <w:t> </w:t>
      </w:r>
      <w:r>
        <w:rPr>
          <w:color w:val="202020"/>
          <w:sz w:val="18"/>
          <w:vertAlign w:val="baseline"/>
        </w:rPr>
        <w:t>CM,</w:t>
      </w:r>
      <w:r>
        <w:rPr>
          <w:color w:val="202020"/>
          <w:spacing w:val="-3"/>
          <w:sz w:val="18"/>
          <w:vertAlign w:val="baseline"/>
        </w:rPr>
        <w:t> </w:t>
      </w:r>
      <w:r>
        <w:rPr>
          <w:color w:val="202020"/>
          <w:sz w:val="18"/>
          <w:vertAlign w:val="baseline"/>
        </w:rPr>
        <w:t>Klein</w:t>
      </w:r>
      <w:r>
        <w:rPr>
          <w:color w:val="202020"/>
          <w:spacing w:val="-2"/>
          <w:sz w:val="18"/>
          <w:vertAlign w:val="baseline"/>
        </w:rPr>
        <w:t> </w:t>
      </w:r>
      <w:r>
        <w:rPr>
          <w:color w:val="202020"/>
          <w:sz w:val="18"/>
          <w:vertAlign w:val="baseline"/>
        </w:rPr>
        <w:t>DA.</w:t>
      </w:r>
      <w:r>
        <w:rPr>
          <w:color w:val="202020"/>
          <w:spacing w:val="-2"/>
          <w:sz w:val="18"/>
          <w:vertAlign w:val="baseline"/>
        </w:rPr>
        <w:t> </w:t>
      </w:r>
      <w:r>
        <w:rPr>
          <w:color w:val="202020"/>
          <w:sz w:val="18"/>
          <w:vertAlign w:val="baseline"/>
        </w:rPr>
        <w:t>Gender</w:t>
      </w:r>
      <w:r>
        <w:rPr>
          <w:color w:val="202020"/>
          <w:spacing w:val="-3"/>
          <w:sz w:val="18"/>
          <w:vertAlign w:val="baseline"/>
        </w:rPr>
        <w:t> </w:t>
      </w:r>
      <w:r>
        <w:rPr>
          <w:color w:val="202020"/>
          <w:sz w:val="18"/>
          <w:vertAlign w:val="baseline"/>
        </w:rPr>
        <w:t>Dysphoria</w:t>
      </w:r>
      <w:r>
        <w:rPr>
          <w:color w:val="202020"/>
          <w:spacing w:val="-3"/>
          <w:sz w:val="18"/>
          <w:vertAlign w:val="baseline"/>
        </w:rPr>
        <w:t> </w:t>
      </w:r>
      <w:r>
        <w:rPr>
          <w:color w:val="202020"/>
          <w:sz w:val="18"/>
          <w:vertAlign w:val="baseline"/>
        </w:rPr>
        <w:t>in</w:t>
      </w:r>
      <w:r>
        <w:rPr>
          <w:color w:val="202020"/>
          <w:spacing w:val="-2"/>
          <w:sz w:val="18"/>
          <w:vertAlign w:val="baseline"/>
        </w:rPr>
        <w:t> </w:t>
      </w:r>
      <w:r>
        <w:rPr>
          <w:color w:val="202020"/>
          <w:sz w:val="18"/>
          <w:vertAlign w:val="baseline"/>
        </w:rPr>
        <w:t>Children with Autism Spectrum Disorder. LGBT Health. 2019 Apr;6(3):95-100. doi: 10.1089/lgbt.2018.0252. Epub 2019 Apr 2. PMID: 30920347. </w:t>
      </w:r>
      <w:r>
        <w:rPr>
          <w:sz w:val="18"/>
          <w:vertAlign w:val="superscript"/>
        </w:rPr>
        <w:t>11</w:t>
      </w:r>
      <w:r>
        <w:rPr>
          <w:spacing w:val="-8"/>
          <w:sz w:val="18"/>
          <w:vertAlign w:val="baseline"/>
        </w:rPr>
        <w:t> </w:t>
      </w:r>
      <w:r>
        <w:rPr>
          <w:color w:val="333333"/>
          <w:sz w:val="18"/>
          <w:vertAlign w:val="baseline"/>
        </w:rPr>
        <w:t>Scott B. Greenspan, Samuel Carr, Ashley C. Woodman, Amy Cannava &amp; Yena Li (2022) Identified protective factors to support psychological well-being among gender diverse autistic youth, Journal of LGBT Youth, DOI: </w:t>
      </w:r>
      <w:r>
        <w:rPr>
          <w:color w:val="333333"/>
          <w:sz w:val="18"/>
          <w:u w:val="single" w:color="333333"/>
          <w:vertAlign w:val="baseline"/>
        </w:rPr>
        <w:t>10.1080/19361653.2022.2119188 </w:t>
      </w:r>
      <w:r>
        <w:rPr>
          <w:sz w:val="18"/>
          <w:u w:val="none"/>
          <w:vertAlign w:val="superscript"/>
        </w:rPr>
        <w:t>12</w:t>
      </w:r>
      <w:r>
        <w:rPr>
          <w:spacing w:val="-8"/>
          <w:sz w:val="18"/>
          <w:u w:val="none"/>
          <w:vertAlign w:val="baseline"/>
        </w:rPr>
        <w:t> </w:t>
      </w:r>
      <w:r>
        <w:rPr>
          <w:sz w:val="18"/>
          <w:u w:val="none"/>
          <w:vertAlign w:val="baseline"/>
        </w:rPr>
        <w:t>Strang, John F., Meredith D. Powers, Megan Knauss, Ely Sibarium, Scott F. Leibowitz, Lauren Kenworthy, Eleonora Sadikova, et al. 2018. “‘They Thought It Was an Obsession’: Trajectories and Perspectives of Autistic Transgender and Gender-Diverse Adolescents.” </w:t>
      </w:r>
      <w:r>
        <w:rPr>
          <w:i/>
          <w:sz w:val="18"/>
          <w:u w:val="none"/>
          <w:vertAlign w:val="baseline"/>
        </w:rPr>
        <w:t>Journal of Autism and Developmental Disorders </w:t>
      </w:r>
      <w:r>
        <w:rPr>
          <w:sz w:val="18"/>
          <w:u w:val="none"/>
          <w:vertAlign w:val="baseline"/>
        </w:rPr>
        <w:t>48 (12): 4039–55. https://doi.org/10.1007/s10803-018-3723-6. </w:t>
      </w:r>
      <w:r>
        <w:rPr>
          <w:sz w:val="18"/>
          <w:u w:val="none"/>
          <w:vertAlign w:val="superscript"/>
        </w:rPr>
        <w:t>13</w:t>
      </w:r>
      <w:r>
        <w:rPr>
          <w:spacing w:val="-7"/>
          <w:sz w:val="18"/>
          <w:u w:val="none"/>
          <w:vertAlign w:val="baseline"/>
        </w:rPr>
        <w:t> </w:t>
      </w:r>
      <w:r>
        <w:rPr>
          <w:sz w:val="18"/>
          <w:u w:val="none"/>
          <w:vertAlign w:val="baseline"/>
        </w:rPr>
        <w:t>Gonzales, Gilbert, Reema Dedania, and Ryan Driscoll. 2018. “Health Insurance Coverage and Access to Care among US-Born and Foreign-Born Sexual Minorities.” </w:t>
      </w:r>
      <w:r>
        <w:rPr>
          <w:i/>
          <w:sz w:val="18"/>
          <w:u w:val="none"/>
          <w:vertAlign w:val="baseline"/>
        </w:rPr>
        <w:t>Journal of Immigrant and</w:t>
      </w:r>
      <w:r>
        <w:rPr>
          <w:i/>
          <w:sz w:val="18"/>
          <w:u w:val="none"/>
          <w:vertAlign w:val="baseline"/>
        </w:rPr>
        <w:t> Minority Health </w:t>
      </w:r>
      <w:r>
        <w:rPr>
          <w:sz w:val="18"/>
          <w:u w:val="none"/>
          <w:vertAlign w:val="baseline"/>
        </w:rPr>
        <w:t>21 (3): 540–48.</w:t>
      </w:r>
    </w:p>
    <w:p>
      <w:pPr>
        <w:spacing w:before="0"/>
        <w:ind w:left="464" w:right="0" w:firstLine="0"/>
        <w:jc w:val="left"/>
        <w:rPr>
          <w:sz w:val="18"/>
        </w:rPr>
      </w:pPr>
      <w:r>
        <w:rPr>
          <w:spacing w:val="-2"/>
          <w:sz w:val="18"/>
        </w:rPr>
        <w:t>https://doi.org/10.1007/s10903-018-0774-</w:t>
      </w:r>
      <w:r>
        <w:rPr>
          <w:spacing w:val="-5"/>
          <w:sz w:val="18"/>
        </w:rPr>
        <w:t>x.</w:t>
      </w:r>
    </w:p>
    <w:p>
      <w:pPr>
        <w:spacing w:line="276" w:lineRule="auto" w:before="32"/>
        <w:ind w:left="463" w:right="318" w:firstLine="0"/>
        <w:jc w:val="left"/>
        <w:rPr>
          <w:sz w:val="18"/>
        </w:rPr>
      </w:pPr>
      <w:r>
        <w:rPr>
          <w:sz w:val="18"/>
          <w:vertAlign w:val="superscript"/>
        </w:rPr>
        <w:t>14</w:t>
      </w:r>
      <w:r>
        <w:rPr>
          <w:spacing w:val="-13"/>
          <w:sz w:val="18"/>
          <w:vertAlign w:val="baseline"/>
        </w:rPr>
        <w:t> </w:t>
      </w:r>
      <w:r>
        <w:rPr>
          <w:color w:val="333333"/>
          <w:sz w:val="18"/>
          <w:vertAlign w:val="baseline"/>
        </w:rPr>
        <w:t>Adam</w:t>
      </w:r>
      <w:r>
        <w:rPr>
          <w:color w:val="333333"/>
          <w:spacing w:val="-3"/>
          <w:sz w:val="18"/>
          <w:vertAlign w:val="baseline"/>
        </w:rPr>
        <w:t> </w:t>
      </w:r>
      <w:r>
        <w:rPr>
          <w:color w:val="333333"/>
          <w:sz w:val="18"/>
          <w:vertAlign w:val="baseline"/>
        </w:rPr>
        <w:t>McCormick,</w:t>
      </w:r>
      <w:r>
        <w:rPr>
          <w:color w:val="333333"/>
          <w:spacing w:val="-3"/>
          <w:sz w:val="18"/>
          <w:vertAlign w:val="baseline"/>
        </w:rPr>
        <w:t> </w:t>
      </w:r>
      <w:r>
        <w:rPr>
          <w:color w:val="333333"/>
          <w:sz w:val="18"/>
          <w:vertAlign w:val="baseline"/>
        </w:rPr>
        <w:t>Kathryn</w:t>
      </w:r>
      <w:r>
        <w:rPr>
          <w:color w:val="333333"/>
          <w:spacing w:val="-2"/>
          <w:sz w:val="18"/>
          <w:vertAlign w:val="baseline"/>
        </w:rPr>
        <w:t> </w:t>
      </w:r>
      <w:r>
        <w:rPr>
          <w:color w:val="333333"/>
          <w:sz w:val="18"/>
          <w:vertAlign w:val="baseline"/>
        </w:rPr>
        <w:t>Schmidt</w:t>
      </w:r>
      <w:r>
        <w:rPr>
          <w:color w:val="333333"/>
          <w:spacing w:val="-3"/>
          <w:sz w:val="18"/>
          <w:vertAlign w:val="baseline"/>
        </w:rPr>
        <w:t> </w:t>
      </w:r>
      <w:r>
        <w:rPr>
          <w:color w:val="333333"/>
          <w:sz w:val="18"/>
          <w:vertAlign w:val="baseline"/>
        </w:rPr>
        <w:t>&amp;</w:t>
      </w:r>
      <w:r>
        <w:rPr>
          <w:color w:val="333333"/>
          <w:spacing w:val="-3"/>
          <w:sz w:val="18"/>
          <w:vertAlign w:val="baseline"/>
        </w:rPr>
        <w:t> </w:t>
      </w:r>
      <w:r>
        <w:rPr>
          <w:color w:val="333333"/>
          <w:sz w:val="18"/>
          <w:vertAlign w:val="baseline"/>
        </w:rPr>
        <w:t>Samuel</w:t>
      </w:r>
      <w:r>
        <w:rPr>
          <w:color w:val="333333"/>
          <w:spacing w:val="-3"/>
          <w:sz w:val="18"/>
          <w:vertAlign w:val="baseline"/>
        </w:rPr>
        <w:t> </w:t>
      </w:r>
      <w:r>
        <w:rPr>
          <w:color w:val="333333"/>
          <w:sz w:val="18"/>
          <w:vertAlign w:val="baseline"/>
        </w:rPr>
        <w:t>Terrazas</w:t>
      </w:r>
      <w:r>
        <w:rPr>
          <w:color w:val="333333"/>
          <w:spacing w:val="-2"/>
          <w:sz w:val="18"/>
          <w:vertAlign w:val="baseline"/>
        </w:rPr>
        <w:t> </w:t>
      </w:r>
      <w:r>
        <w:rPr>
          <w:color w:val="333333"/>
          <w:sz w:val="18"/>
          <w:vertAlign w:val="baseline"/>
        </w:rPr>
        <w:t>(2017)</w:t>
      </w:r>
      <w:r>
        <w:rPr>
          <w:color w:val="333333"/>
          <w:spacing w:val="-3"/>
          <w:sz w:val="18"/>
          <w:vertAlign w:val="baseline"/>
        </w:rPr>
        <w:t> </w:t>
      </w:r>
      <w:r>
        <w:rPr>
          <w:color w:val="333333"/>
          <w:sz w:val="18"/>
          <w:vertAlign w:val="baseline"/>
        </w:rPr>
        <w:t>LGBTQ</w:t>
      </w:r>
      <w:r>
        <w:rPr>
          <w:color w:val="333333"/>
          <w:spacing w:val="-2"/>
          <w:sz w:val="18"/>
          <w:vertAlign w:val="baseline"/>
        </w:rPr>
        <w:t> </w:t>
      </w:r>
      <w:r>
        <w:rPr>
          <w:color w:val="333333"/>
          <w:sz w:val="18"/>
          <w:vertAlign w:val="baseline"/>
        </w:rPr>
        <w:t>Youth</w:t>
      </w:r>
      <w:r>
        <w:rPr>
          <w:color w:val="333333"/>
          <w:spacing w:val="-2"/>
          <w:sz w:val="18"/>
          <w:vertAlign w:val="baseline"/>
        </w:rPr>
        <w:t> </w:t>
      </w:r>
      <w:r>
        <w:rPr>
          <w:color w:val="333333"/>
          <w:sz w:val="18"/>
          <w:vertAlign w:val="baseline"/>
        </w:rPr>
        <w:t>in</w:t>
      </w:r>
      <w:r>
        <w:rPr>
          <w:color w:val="333333"/>
          <w:spacing w:val="-3"/>
          <w:sz w:val="18"/>
          <w:vertAlign w:val="baseline"/>
        </w:rPr>
        <w:t> </w:t>
      </w:r>
      <w:r>
        <w:rPr>
          <w:color w:val="333333"/>
          <w:sz w:val="18"/>
          <w:vertAlign w:val="baseline"/>
        </w:rPr>
        <w:t>the</w:t>
      </w:r>
      <w:r>
        <w:rPr>
          <w:color w:val="333333"/>
          <w:spacing w:val="-2"/>
          <w:sz w:val="18"/>
          <w:vertAlign w:val="baseline"/>
        </w:rPr>
        <w:t> </w:t>
      </w:r>
      <w:r>
        <w:rPr>
          <w:color w:val="333333"/>
          <w:sz w:val="18"/>
          <w:vertAlign w:val="baseline"/>
        </w:rPr>
        <w:t>Child</w:t>
      </w:r>
      <w:r>
        <w:rPr>
          <w:color w:val="333333"/>
          <w:spacing w:val="-2"/>
          <w:sz w:val="18"/>
          <w:vertAlign w:val="baseline"/>
        </w:rPr>
        <w:t> </w:t>
      </w:r>
      <w:r>
        <w:rPr>
          <w:color w:val="333333"/>
          <w:sz w:val="18"/>
          <w:vertAlign w:val="baseline"/>
        </w:rPr>
        <w:t>Welfare</w:t>
      </w:r>
      <w:r>
        <w:rPr>
          <w:color w:val="333333"/>
          <w:spacing w:val="-2"/>
          <w:sz w:val="18"/>
          <w:vertAlign w:val="baseline"/>
        </w:rPr>
        <w:t> </w:t>
      </w:r>
      <w:r>
        <w:rPr>
          <w:color w:val="333333"/>
          <w:sz w:val="18"/>
          <w:vertAlign w:val="baseline"/>
        </w:rPr>
        <w:t>System:</w:t>
      </w:r>
      <w:r>
        <w:rPr>
          <w:color w:val="333333"/>
          <w:spacing w:val="-2"/>
          <w:sz w:val="18"/>
          <w:vertAlign w:val="baseline"/>
        </w:rPr>
        <w:t> </w:t>
      </w:r>
      <w:r>
        <w:rPr>
          <w:color w:val="333333"/>
          <w:sz w:val="18"/>
          <w:vertAlign w:val="baseline"/>
        </w:rPr>
        <w:t>An</w:t>
      </w:r>
      <w:r>
        <w:rPr>
          <w:color w:val="333333"/>
          <w:spacing w:val="-2"/>
          <w:sz w:val="18"/>
          <w:vertAlign w:val="baseline"/>
        </w:rPr>
        <w:t> </w:t>
      </w:r>
      <w:r>
        <w:rPr>
          <w:color w:val="333333"/>
          <w:sz w:val="18"/>
          <w:vertAlign w:val="baseline"/>
        </w:rPr>
        <w:t>Overview</w:t>
      </w:r>
      <w:r>
        <w:rPr>
          <w:color w:val="333333"/>
          <w:spacing w:val="-3"/>
          <w:sz w:val="18"/>
          <w:vertAlign w:val="baseline"/>
        </w:rPr>
        <w:t> </w:t>
      </w:r>
      <w:r>
        <w:rPr>
          <w:color w:val="333333"/>
          <w:sz w:val="18"/>
          <w:vertAlign w:val="baseline"/>
        </w:rPr>
        <w:t>of Research, Practice, and Policy, Journal of Public Child Welfare, 11:1, 27-39, DOI: </w:t>
      </w:r>
      <w:r>
        <w:rPr>
          <w:color w:val="333333"/>
          <w:sz w:val="18"/>
          <w:u w:val="single" w:color="333333"/>
          <w:vertAlign w:val="baseline"/>
        </w:rPr>
        <w:t>10.1080/15548732.2016.1221368 </w:t>
      </w:r>
      <w:r>
        <w:rPr>
          <w:sz w:val="18"/>
          <w:u w:val="none"/>
          <w:vertAlign w:val="superscript"/>
        </w:rPr>
        <w:t>15</w:t>
      </w:r>
      <w:r>
        <w:rPr>
          <w:sz w:val="18"/>
          <w:u w:val="none"/>
          <w:vertAlign w:val="baseline"/>
        </w:rPr>
        <w:t> “LGBTQ Youth in the Massachusetts Child Welfare System a Report on Pervasive Threats to Safety, Wellbeing, and Permanency Massachusetts Commission on Lesbian, Gay, Bisexual, Transgender, Queer, and Questioning Youth.” n.d.</w:t>
      </w:r>
    </w:p>
    <w:p>
      <w:pPr>
        <w:spacing w:line="219" w:lineRule="exact" w:before="0"/>
        <w:ind w:left="463" w:right="0" w:firstLine="0"/>
        <w:jc w:val="left"/>
        <w:rPr>
          <w:sz w:val="18"/>
        </w:rPr>
      </w:pPr>
      <w:r>
        <w:rPr>
          <w:sz w:val="18"/>
        </w:rPr>
        <w:t>Accessed</w:t>
      </w:r>
      <w:r>
        <w:rPr>
          <w:spacing w:val="-9"/>
          <w:sz w:val="18"/>
        </w:rPr>
        <w:t> </w:t>
      </w:r>
      <w:r>
        <w:rPr>
          <w:sz w:val="18"/>
        </w:rPr>
        <w:t>February</w:t>
      </w:r>
      <w:r>
        <w:rPr>
          <w:spacing w:val="-9"/>
          <w:sz w:val="18"/>
        </w:rPr>
        <w:t> </w:t>
      </w:r>
      <w:r>
        <w:rPr>
          <w:sz w:val="18"/>
        </w:rPr>
        <w:t>15,</w:t>
      </w:r>
      <w:r>
        <w:rPr>
          <w:spacing w:val="-10"/>
          <w:sz w:val="18"/>
        </w:rPr>
        <w:t> </w:t>
      </w:r>
      <w:r>
        <w:rPr>
          <w:sz w:val="18"/>
        </w:rPr>
        <w:t>2023.</w:t>
      </w:r>
      <w:r>
        <w:rPr>
          <w:spacing w:val="-8"/>
          <w:sz w:val="18"/>
        </w:rPr>
        <w:t> </w:t>
      </w:r>
      <w:r>
        <w:rPr>
          <w:sz w:val="18"/>
        </w:rPr>
        <w:t>https:</w:t>
      </w:r>
      <w:hyperlink r:id="rId284">
        <w:r>
          <w:rPr>
            <w:sz w:val="18"/>
          </w:rPr>
          <w:t>//www.mass.gov/doc/commission-report-on-</w:t>
        </w:r>
        <w:r>
          <w:rPr>
            <w:spacing w:val="-2"/>
            <w:sz w:val="18"/>
          </w:rPr>
          <w:t>dcf/download.</w:t>
        </w:r>
      </w:hyperlink>
    </w:p>
    <w:p>
      <w:pPr>
        <w:spacing w:line="276" w:lineRule="auto" w:before="34"/>
        <w:ind w:left="463" w:right="481" w:firstLine="1"/>
        <w:jc w:val="left"/>
        <w:rPr>
          <w:sz w:val="18"/>
        </w:rPr>
      </w:pPr>
      <w:r>
        <w:rPr>
          <w:sz w:val="18"/>
          <w:vertAlign w:val="superscript"/>
        </w:rPr>
        <w:t>16</w:t>
      </w:r>
      <w:r>
        <w:rPr>
          <w:spacing w:val="-13"/>
          <w:sz w:val="18"/>
          <w:vertAlign w:val="baseline"/>
        </w:rPr>
        <w:t> </w:t>
      </w:r>
      <w:r>
        <w:rPr>
          <w:sz w:val="18"/>
          <w:vertAlign w:val="baseline"/>
        </w:rPr>
        <w:t>Maschi,</w:t>
      </w:r>
      <w:r>
        <w:rPr>
          <w:spacing w:val="-5"/>
          <w:sz w:val="18"/>
          <w:vertAlign w:val="baseline"/>
        </w:rPr>
        <w:t> </w:t>
      </w:r>
      <w:r>
        <w:rPr>
          <w:sz w:val="18"/>
          <w:vertAlign w:val="baseline"/>
        </w:rPr>
        <w:t>Tina,</w:t>
      </w:r>
      <w:r>
        <w:rPr>
          <w:spacing w:val="-3"/>
          <w:sz w:val="18"/>
          <w:vertAlign w:val="baseline"/>
        </w:rPr>
        <w:t> </w:t>
      </w:r>
      <w:r>
        <w:rPr>
          <w:sz w:val="18"/>
          <w:vertAlign w:val="baseline"/>
        </w:rPr>
        <w:t>Schnavia</w:t>
      </w:r>
      <w:r>
        <w:rPr>
          <w:spacing w:val="-2"/>
          <w:sz w:val="18"/>
          <w:vertAlign w:val="baseline"/>
        </w:rPr>
        <w:t> </w:t>
      </w:r>
      <w:r>
        <w:rPr>
          <w:sz w:val="18"/>
          <w:vertAlign w:val="baseline"/>
        </w:rPr>
        <w:t>Smith</w:t>
      </w:r>
      <w:r>
        <w:rPr>
          <w:spacing w:val="-2"/>
          <w:sz w:val="18"/>
          <w:vertAlign w:val="baseline"/>
        </w:rPr>
        <w:t> </w:t>
      </w:r>
      <w:r>
        <w:rPr>
          <w:sz w:val="18"/>
          <w:vertAlign w:val="baseline"/>
        </w:rPr>
        <w:t>Hatcher,</w:t>
      </w:r>
      <w:r>
        <w:rPr>
          <w:spacing w:val="-3"/>
          <w:sz w:val="18"/>
          <w:vertAlign w:val="baseline"/>
        </w:rPr>
        <w:t> </w:t>
      </w:r>
      <w:r>
        <w:rPr>
          <w:sz w:val="18"/>
          <w:vertAlign w:val="baseline"/>
        </w:rPr>
        <w:t>Craig</w:t>
      </w:r>
      <w:r>
        <w:rPr>
          <w:spacing w:val="-2"/>
          <w:sz w:val="18"/>
          <w:vertAlign w:val="baseline"/>
        </w:rPr>
        <w:t> </w:t>
      </w:r>
      <w:r>
        <w:rPr>
          <w:sz w:val="18"/>
          <w:vertAlign w:val="baseline"/>
        </w:rPr>
        <w:t>S.</w:t>
      </w:r>
      <w:r>
        <w:rPr>
          <w:spacing w:val="-2"/>
          <w:sz w:val="18"/>
          <w:vertAlign w:val="baseline"/>
        </w:rPr>
        <w:t> </w:t>
      </w:r>
      <w:r>
        <w:rPr>
          <w:sz w:val="18"/>
          <w:vertAlign w:val="baseline"/>
        </w:rPr>
        <w:t>Schwalbe,</w:t>
      </w:r>
      <w:r>
        <w:rPr>
          <w:spacing w:val="-3"/>
          <w:sz w:val="18"/>
          <w:vertAlign w:val="baseline"/>
        </w:rPr>
        <w:t> </w:t>
      </w:r>
      <w:r>
        <w:rPr>
          <w:sz w:val="18"/>
          <w:vertAlign w:val="baseline"/>
        </w:rPr>
        <w:t>and</w:t>
      </w:r>
      <w:r>
        <w:rPr>
          <w:spacing w:val="-2"/>
          <w:sz w:val="18"/>
          <w:vertAlign w:val="baseline"/>
        </w:rPr>
        <w:t> </w:t>
      </w:r>
      <w:r>
        <w:rPr>
          <w:sz w:val="18"/>
          <w:vertAlign w:val="baseline"/>
        </w:rPr>
        <w:t>Nancy</w:t>
      </w:r>
      <w:r>
        <w:rPr>
          <w:spacing w:val="-2"/>
          <w:sz w:val="18"/>
          <w:vertAlign w:val="baseline"/>
        </w:rPr>
        <w:t> </w:t>
      </w:r>
      <w:r>
        <w:rPr>
          <w:sz w:val="18"/>
          <w:vertAlign w:val="baseline"/>
        </w:rPr>
        <w:t>Scotto</w:t>
      </w:r>
      <w:r>
        <w:rPr>
          <w:spacing w:val="-2"/>
          <w:sz w:val="18"/>
          <w:vertAlign w:val="baseline"/>
        </w:rPr>
        <w:t> </w:t>
      </w:r>
      <w:r>
        <w:rPr>
          <w:sz w:val="18"/>
          <w:vertAlign w:val="baseline"/>
        </w:rPr>
        <w:t>Rosato.</w:t>
      </w:r>
      <w:r>
        <w:rPr>
          <w:spacing w:val="-2"/>
          <w:sz w:val="18"/>
          <w:vertAlign w:val="baseline"/>
        </w:rPr>
        <w:t> </w:t>
      </w:r>
      <w:r>
        <w:rPr>
          <w:sz w:val="18"/>
          <w:vertAlign w:val="baseline"/>
        </w:rPr>
        <w:t>2008.</w:t>
      </w:r>
      <w:r>
        <w:rPr>
          <w:spacing w:val="-2"/>
          <w:sz w:val="18"/>
          <w:vertAlign w:val="baseline"/>
        </w:rPr>
        <w:t> </w:t>
      </w:r>
      <w:r>
        <w:rPr>
          <w:sz w:val="18"/>
          <w:vertAlign w:val="baseline"/>
        </w:rPr>
        <w:t>“Mapping</w:t>
      </w:r>
      <w:r>
        <w:rPr>
          <w:spacing w:val="-2"/>
          <w:sz w:val="18"/>
          <w:vertAlign w:val="baseline"/>
        </w:rPr>
        <w:t> </w:t>
      </w:r>
      <w:r>
        <w:rPr>
          <w:sz w:val="18"/>
          <w:vertAlign w:val="baseline"/>
        </w:rPr>
        <w:t>the</w:t>
      </w:r>
      <w:r>
        <w:rPr>
          <w:spacing w:val="-2"/>
          <w:sz w:val="18"/>
          <w:vertAlign w:val="baseline"/>
        </w:rPr>
        <w:t> </w:t>
      </w:r>
      <w:r>
        <w:rPr>
          <w:sz w:val="18"/>
          <w:vertAlign w:val="baseline"/>
        </w:rPr>
        <w:t>Social</w:t>
      </w:r>
      <w:r>
        <w:rPr>
          <w:spacing w:val="-3"/>
          <w:sz w:val="18"/>
          <w:vertAlign w:val="baseline"/>
        </w:rPr>
        <w:t> </w:t>
      </w:r>
      <w:r>
        <w:rPr>
          <w:sz w:val="18"/>
          <w:vertAlign w:val="baseline"/>
        </w:rPr>
        <w:t>Service Pathways of Youth to and through the Juvenile Justice System: A Comprehensive Review.” </w:t>
      </w:r>
      <w:r>
        <w:rPr>
          <w:i/>
          <w:sz w:val="18"/>
          <w:vertAlign w:val="baseline"/>
        </w:rPr>
        <w:t>Children and Youth Services</w:t>
      </w:r>
      <w:r>
        <w:rPr>
          <w:i/>
          <w:sz w:val="18"/>
          <w:vertAlign w:val="baseline"/>
        </w:rPr>
        <w:t> Review </w:t>
      </w:r>
      <w:r>
        <w:rPr>
          <w:sz w:val="18"/>
          <w:vertAlign w:val="baseline"/>
        </w:rPr>
        <w:t>30 (12): 1376–85. https://doi.org/10.1016/j.childyouth.2008.04.006.</w:t>
      </w:r>
    </w:p>
    <w:p>
      <w:pPr>
        <w:spacing w:line="276" w:lineRule="auto" w:before="0"/>
        <w:ind w:left="463" w:right="481" w:firstLine="0"/>
        <w:jc w:val="left"/>
        <w:rPr>
          <w:sz w:val="18"/>
        </w:rPr>
      </w:pPr>
      <w:r>
        <w:rPr>
          <w:sz w:val="18"/>
          <w:vertAlign w:val="superscript"/>
        </w:rPr>
        <w:t>17</w:t>
      </w:r>
      <w:r>
        <w:rPr>
          <w:sz w:val="18"/>
          <w:vertAlign w:val="baseline"/>
        </w:rPr>
        <w:t>Wilber,</w:t>
      </w:r>
      <w:r>
        <w:rPr>
          <w:spacing w:val="-3"/>
          <w:sz w:val="18"/>
          <w:vertAlign w:val="baseline"/>
        </w:rPr>
        <w:t> </w:t>
      </w:r>
      <w:r>
        <w:rPr>
          <w:sz w:val="18"/>
          <w:vertAlign w:val="baseline"/>
        </w:rPr>
        <w:t>Shannaen.</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and</w:t>
      </w:r>
      <w:r>
        <w:rPr>
          <w:spacing w:val="-2"/>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System</w:t>
      </w:r>
      <w:r>
        <w:rPr>
          <w:spacing w:val="-2"/>
          <w:sz w:val="18"/>
          <w:vertAlign w:val="baseline"/>
        </w:rPr>
        <w:t> </w:t>
      </w:r>
      <w:r>
        <w:rPr>
          <w:sz w:val="18"/>
          <w:vertAlign w:val="baseline"/>
        </w:rPr>
        <w:t>11</w:t>
      </w:r>
      <w:r>
        <w:rPr>
          <w:spacing w:val="-2"/>
          <w:sz w:val="18"/>
          <w:vertAlign w:val="baseline"/>
        </w:rPr>
        <w:t> </w:t>
      </w:r>
      <w:r>
        <w:rPr>
          <w:sz w:val="18"/>
          <w:vertAlign w:val="baseline"/>
        </w:rPr>
        <w:t>(Annie</w:t>
      </w:r>
      <w:r>
        <w:rPr>
          <w:spacing w:val="-2"/>
          <w:sz w:val="18"/>
          <w:vertAlign w:val="baseline"/>
        </w:rPr>
        <w:t> </w:t>
      </w:r>
      <w:r>
        <w:rPr>
          <w:sz w:val="18"/>
          <w:vertAlign w:val="baseline"/>
        </w:rPr>
        <w:t>E.</w:t>
      </w:r>
      <w:r>
        <w:rPr>
          <w:spacing w:val="-2"/>
          <w:sz w:val="18"/>
          <w:vertAlign w:val="baseline"/>
        </w:rPr>
        <w:t> </w:t>
      </w:r>
      <w:r>
        <w:rPr>
          <w:sz w:val="18"/>
          <w:vertAlign w:val="baseline"/>
        </w:rPr>
        <w:t>Casey Foundation 2015)</w:t>
      </w:r>
    </w:p>
    <w:p>
      <w:pPr>
        <w:spacing w:line="276" w:lineRule="auto" w:before="0"/>
        <w:ind w:left="463" w:right="310" w:firstLine="16"/>
        <w:jc w:val="left"/>
        <w:rPr>
          <w:sz w:val="18"/>
        </w:rPr>
      </w:pPr>
      <w:r>
        <w:rPr>
          <w:sz w:val="18"/>
        </w:rPr>
        <w:t>https://assets.aecf.org/m/resourcedoc/AECF-lesbiangaybisexualandtransgenderyouthinjj-2015.pdf</w:t>
      </w:r>
      <w:r>
        <w:rPr>
          <w:spacing w:val="-11"/>
          <w:sz w:val="18"/>
        </w:rPr>
        <w:t> </w:t>
      </w:r>
      <w:r>
        <w:rPr>
          <w:sz w:val="18"/>
          <w:vertAlign w:val="superscript"/>
        </w:rPr>
        <w:t>18</w:t>
      </w:r>
      <w:r>
        <w:rPr>
          <w:spacing w:val="-14"/>
          <w:sz w:val="18"/>
          <w:vertAlign w:val="baseline"/>
        </w:rPr>
        <w:t> </w:t>
      </w:r>
      <w:r>
        <w:rPr>
          <w:color w:val="212121"/>
          <w:sz w:val="18"/>
          <w:vertAlign w:val="baseline"/>
        </w:rPr>
        <w:t>Majd,</w:t>
      </w:r>
      <w:r>
        <w:rPr>
          <w:color w:val="212121"/>
          <w:spacing w:val="-10"/>
          <w:sz w:val="18"/>
          <w:vertAlign w:val="baseline"/>
        </w:rPr>
        <w:t> </w:t>
      </w:r>
      <w:r>
        <w:rPr>
          <w:color w:val="212121"/>
          <w:sz w:val="18"/>
          <w:vertAlign w:val="baseline"/>
        </w:rPr>
        <w:t>Katayoon,</w:t>
      </w:r>
      <w:r>
        <w:rPr>
          <w:color w:val="212121"/>
          <w:spacing w:val="-10"/>
          <w:sz w:val="18"/>
          <w:vertAlign w:val="baseline"/>
        </w:rPr>
        <w:t> </w:t>
      </w:r>
      <w:r>
        <w:rPr>
          <w:color w:val="212121"/>
          <w:sz w:val="18"/>
          <w:vertAlign w:val="baseline"/>
        </w:rPr>
        <w:t>Jody Marksamer, and Carolyn Reyes. "Hidden injustice: Lesbian, gay, bisexual and transgender youth in juvenile courts." (2016). </w:t>
      </w:r>
      <w:r>
        <w:rPr>
          <w:sz w:val="18"/>
          <w:vertAlign w:val="superscript"/>
        </w:rPr>
        <w:t>19</w:t>
      </w:r>
      <w:r>
        <w:rPr>
          <w:spacing w:val="-7"/>
          <w:sz w:val="18"/>
          <w:vertAlign w:val="baseline"/>
        </w:rPr>
        <w:t> </w:t>
      </w:r>
      <w:r>
        <w:rPr>
          <w:sz w:val="18"/>
          <w:vertAlign w:val="baseline"/>
        </w:rPr>
        <w:t>“The Mental Health and Well-Being of LGBTQ Youth Who Are Intersex.” n.d. https:</w:t>
      </w:r>
      <w:hyperlink r:id="rId285">
        <w:r>
          <w:rPr>
            <w:sz w:val="18"/>
            <w:vertAlign w:val="baseline"/>
          </w:rPr>
          <w:t>//www.thetrevorproject.org/wp</w:t>
        </w:r>
      </w:hyperlink>
      <w:r>
        <w:rPr>
          <w:sz w:val="18"/>
          <w:vertAlign w:val="baseline"/>
        </w:rPr>
        <w:t> </w:t>
      </w:r>
      <w:r>
        <w:rPr>
          <w:spacing w:val="-2"/>
          <w:sz w:val="18"/>
          <w:vertAlign w:val="baseline"/>
        </w:rPr>
        <w:t>content/uploads/2021/12/Intersex-Youth-Mental-Health-Report.pdf.</w:t>
      </w:r>
    </w:p>
    <w:p>
      <w:pPr>
        <w:spacing w:line="276" w:lineRule="auto" w:before="0"/>
        <w:ind w:left="464" w:right="228" w:firstLine="0"/>
        <w:jc w:val="left"/>
        <w:rPr>
          <w:sz w:val="18"/>
        </w:rPr>
      </w:pPr>
      <w:r>
        <w:rPr>
          <w:sz w:val="18"/>
          <w:vertAlign w:val="superscript"/>
        </w:rPr>
        <w:t>20</w:t>
      </w:r>
      <w:r>
        <w:rPr>
          <w:spacing w:val="-13"/>
          <w:sz w:val="18"/>
          <w:vertAlign w:val="baseline"/>
        </w:rPr>
        <w:t> </w:t>
      </w:r>
      <w:r>
        <w:rPr>
          <w:sz w:val="18"/>
          <w:vertAlign w:val="baseline"/>
        </w:rPr>
        <w:t>Carpenter,</w:t>
      </w:r>
      <w:r>
        <w:rPr>
          <w:spacing w:val="-5"/>
          <w:sz w:val="18"/>
          <w:vertAlign w:val="baseline"/>
        </w:rPr>
        <w:t> </w:t>
      </w:r>
      <w:r>
        <w:rPr>
          <w:sz w:val="18"/>
          <w:vertAlign w:val="baseline"/>
        </w:rPr>
        <w:t>Morgan.</w:t>
      </w:r>
      <w:r>
        <w:rPr>
          <w:spacing w:val="-3"/>
          <w:sz w:val="18"/>
          <w:vertAlign w:val="baseline"/>
        </w:rPr>
        <w:t> </w:t>
      </w:r>
      <w:r>
        <w:rPr>
          <w:sz w:val="18"/>
          <w:vertAlign w:val="baseline"/>
        </w:rPr>
        <w:t>2020.</w:t>
      </w:r>
      <w:r>
        <w:rPr>
          <w:spacing w:val="-3"/>
          <w:sz w:val="18"/>
          <w:vertAlign w:val="baseline"/>
        </w:rPr>
        <w:t> </w:t>
      </w:r>
      <w:r>
        <w:rPr>
          <w:sz w:val="18"/>
          <w:vertAlign w:val="baseline"/>
        </w:rPr>
        <w:t>“The</w:t>
      </w:r>
      <w:r>
        <w:rPr>
          <w:spacing w:val="-4"/>
          <w:sz w:val="18"/>
          <w:vertAlign w:val="baseline"/>
        </w:rPr>
        <w:t> </w:t>
      </w:r>
      <w:r>
        <w:rPr>
          <w:sz w:val="18"/>
          <w:vertAlign w:val="baseline"/>
        </w:rPr>
        <w:t>OHCHR</w:t>
      </w:r>
      <w:r>
        <w:rPr>
          <w:spacing w:val="-4"/>
          <w:sz w:val="18"/>
          <w:vertAlign w:val="baseline"/>
        </w:rPr>
        <w:t> </w:t>
      </w:r>
      <w:r>
        <w:rPr>
          <w:sz w:val="18"/>
          <w:vertAlign w:val="baseline"/>
        </w:rPr>
        <w:t>Background</w:t>
      </w:r>
      <w:r>
        <w:rPr>
          <w:spacing w:val="-3"/>
          <w:sz w:val="18"/>
          <w:vertAlign w:val="baseline"/>
        </w:rPr>
        <w:t> </w:t>
      </w:r>
      <w:r>
        <w:rPr>
          <w:sz w:val="18"/>
          <w:vertAlign w:val="baseline"/>
        </w:rPr>
        <w:t>Note</w:t>
      </w:r>
      <w:r>
        <w:rPr>
          <w:spacing w:val="-3"/>
          <w:sz w:val="18"/>
          <w:vertAlign w:val="baseline"/>
        </w:rPr>
        <w:t> </w:t>
      </w:r>
      <w:r>
        <w:rPr>
          <w:sz w:val="18"/>
          <w:vertAlign w:val="baseline"/>
        </w:rPr>
        <w:t>on</w:t>
      </w:r>
      <w:r>
        <w:rPr>
          <w:spacing w:val="-3"/>
          <w:sz w:val="18"/>
          <w:vertAlign w:val="baseline"/>
        </w:rPr>
        <w:t> </w:t>
      </w:r>
      <w:r>
        <w:rPr>
          <w:sz w:val="18"/>
          <w:vertAlign w:val="baseline"/>
        </w:rPr>
        <w:t>Human</w:t>
      </w:r>
      <w:r>
        <w:rPr>
          <w:spacing w:val="-3"/>
          <w:sz w:val="18"/>
          <w:vertAlign w:val="baseline"/>
        </w:rPr>
        <w:t> </w:t>
      </w:r>
      <w:r>
        <w:rPr>
          <w:sz w:val="18"/>
          <w:vertAlign w:val="baseline"/>
        </w:rPr>
        <w:t>Rights</w:t>
      </w:r>
      <w:r>
        <w:rPr>
          <w:spacing w:val="-3"/>
          <w:sz w:val="18"/>
          <w:vertAlign w:val="baseline"/>
        </w:rPr>
        <w:t> </w:t>
      </w:r>
      <w:r>
        <w:rPr>
          <w:sz w:val="18"/>
          <w:vertAlign w:val="baseline"/>
        </w:rPr>
        <w:t>Violations</w:t>
      </w:r>
      <w:r>
        <w:rPr>
          <w:spacing w:val="-3"/>
          <w:sz w:val="18"/>
          <w:vertAlign w:val="baseline"/>
        </w:rPr>
        <w:t> </w:t>
      </w:r>
      <w:r>
        <w:rPr>
          <w:sz w:val="18"/>
          <w:vertAlign w:val="baseline"/>
        </w:rPr>
        <w:t>against</w:t>
      </w:r>
      <w:r>
        <w:rPr>
          <w:spacing w:val="-4"/>
          <w:sz w:val="18"/>
          <w:vertAlign w:val="baseline"/>
        </w:rPr>
        <w:t> </w:t>
      </w:r>
      <w:r>
        <w:rPr>
          <w:sz w:val="18"/>
          <w:vertAlign w:val="baseline"/>
        </w:rPr>
        <w:t>Intersex</w:t>
      </w:r>
      <w:r>
        <w:rPr>
          <w:spacing w:val="-3"/>
          <w:sz w:val="18"/>
          <w:vertAlign w:val="baseline"/>
        </w:rPr>
        <w:t> </w:t>
      </w:r>
      <w:r>
        <w:rPr>
          <w:sz w:val="18"/>
          <w:vertAlign w:val="baseline"/>
        </w:rPr>
        <w:t>People.”</w:t>
      </w:r>
      <w:r>
        <w:rPr>
          <w:spacing w:val="-3"/>
          <w:sz w:val="18"/>
          <w:vertAlign w:val="baseline"/>
        </w:rPr>
        <w:t> </w:t>
      </w:r>
      <w:r>
        <w:rPr>
          <w:sz w:val="18"/>
          <w:vertAlign w:val="baseline"/>
        </w:rPr>
        <w:t>Sexual</w:t>
      </w:r>
      <w:r>
        <w:rPr>
          <w:spacing w:val="-4"/>
          <w:sz w:val="18"/>
          <w:vertAlign w:val="baseline"/>
        </w:rPr>
        <w:t> </w:t>
      </w:r>
      <w:r>
        <w:rPr>
          <w:sz w:val="18"/>
          <w:vertAlign w:val="baseline"/>
        </w:rPr>
        <w:t>and Reproductive Health Matters 28 (1): 1731298. </w:t>
      </w:r>
      <w:r>
        <w:rPr>
          <w:color w:val="1154CC"/>
          <w:sz w:val="18"/>
          <w:u w:val="single" w:color="1154CC"/>
          <w:vertAlign w:val="baseline"/>
        </w:rPr>
        <w:t>https://doi.org/10.1080/26410397.2020.1731298</w:t>
      </w:r>
      <w:r>
        <w:rPr>
          <w:sz w:val="18"/>
          <w:u w:val="none"/>
          <w:vertAlign w:val="baseline"/>
        </w:rPr>
        <w:t>. </w:t>
      </w:r>
      <w:r>
        <w:rPr>
          <w:sz w:val="18"/>
          <w:u w:val="none"/>
          <w:vertAlign w:val="superscript"/>
        </w:rPr>
        <w:t>21</w:t>
      </w:r>
      <w:r>
        <w:rPr>
          <w:spacing w:val="-5"/>
          <w:sz w:val="18"/>
          <w:u w:val="none"/>
          <w:vertAlign w:val="baseline"/>
        </w:rPr>
        <w:t> </w:t>
      </w:r>
      <w:r>
        <w:rPr>
          <w:sz w:val="18"/>
          <w:u w:val="none"/>
          <w:vertAlign w:val="baseline"/>
        </w:rPr>
        <w:t>Callens, Nina, Baudewijntje P.C. Kreukels, and Tim C. van de Grift. 2021. “Young Voices: Sexual Health and Transition Care Needs in Adolescents with Intersex/Differences of Sex Development—a Pilot Study.” </w:t>
      </w:r>
      <w:r>
        <w:rPr>
          <w:i/>
          <w:sz w:val="18"/>
          <w:u w:val="none"/>
          <w:vertAlign w:val="baseline"/>
        </w:rPr>
        <w:t>Journal of Pediatric and Adolescent Gynecology</w:t>
      </w:r>
      <w:r>
        <w:rPr>
          <w:i/>
          <w:sz w:val="18"/>
          <w:u w:val="none"/>
          <w:vertAlign w:val="baseline"/>
        </w:rPr>
        <w:t> </w:t>
      </w:r>
      <w:r>
        <w:rPr>
          <w:sz w:val="18"/>
          <w:u w:val="none"/>
          <w:vertAlign w:val="baseline"/>
        </w:rPr>
        <w:t>34 (2): 176-189.e2.</w:t>
      </w:r>
    </w:p>
    <w:p>
      <w:pPr>
        <w:spacing w:line="276" w:lineRule="auto" w:before="0"/>
        <w:ind w:left="464" w:right="318" w:firstLine="5"/>
        <w:jc w:val="left"/>
        <w:rPr>
          <w:sz w:val="18"/>
        </w:rPr>
      </w:pPr>
      <w:r>
        <w:rPr>
          <w:sz w:val="18"/>
          <w:vertAlign w:val="superscript"/>
        </w:rPr>
        <w:t>22</w:t>
      </w:r>
      <w:r>
        <w:rPr>
          <w:spacing w:val="-13"/>
          <w:sz w:val="18"/>
          <w:vertAlign w:val="baseline"/>
        </w:rPr>
        <w:t> </w:t>
      </w:r>
      <w:r>
        <w:rPr>
          <w:sz w:val="18"/>
          <w:vertAlign w:val="baseline"/>
        </w:rPr>
        <w:t>Rosenwohl-Mack,</w:t>
      </w:r>
      <w:r>
        <w:rPr>
          <w:spacing w:val="-5"/>
          <w:sz w:val="18"/>
          <w:vertAlign w:val="baseline"/>
        </w:rPr>
        <w:t> </w:t>
      </w:r>
      <w:r>
        <w:rPr>
          <w:sz w:val="18"/>
          <w:vertAlign w:val="baseline"/>
        </w:rPr>
        <w:t>Amy,</w:t>
      </w:r>
      <w:r>
        <w:rPr>
          <w:spacing w:val="-4"/>
          <w:sz w:val="18"/>
          <w:vertAlign w:val="baseline"/>
        </w:rPr>
        <w:t> </w:t>
      </w:r>
      <w:r>
        <w:rPr>
          <w:sz w:val="18"/>
          <w:vertAlign w:val="baseline"/>
        </w:rPr>
        <w:t>Suegee</w:t>
      </w:r>
      <w:r>
        <w:rPr>
          <w:spacing w:val="-3"/>
          <w:sz w:val="18"/>
          <w:vertAlign w:val="baseline"/>
        </w:rPr>
        <w:t> </w:t>
      </w:r>
      <w:r>
        <w:rPr>
          <w:sz w:val="18"/>
          <w:vertAlign w:val="baseline"/>
        </w:rPr>
        <w:t>Tamar-Mattis,</w:t>
      </w:r>
      <w:r>
        <w:rPr>
          <w:spacing w:val="-4"/>
          <w:sz w:val="18"/>
          <w:vertAlign w:val="baseline"/>
        </w:rPr>
        <w:t> </w:t>
      </w:r>
      <w:r>
        <w:rPr>
          <w:sz w:val="18"/>
          <w:vertAlign w:val="baseline"/>
        </w:rPr>
        <w:t>Arlene</w:t>
      </w:r>
      <w:r>
        <w:rPr>
          <w:spacing w:val="-3"/>
          <w:sz w:val="18"/>
          <w:vertAlign w:val="baseline"/>
        </w:rPr>
        <w:t> </w:t>
      </w:r>
      <w:r>
        <w:rPr>
          <w:sz w:val="18"/>
          <w:vertAlign w:val="baseline"/>
        </w:rPr>
        <w:t>B.</w:t>
      </w:r>
      <w:r>
        <w:rPr>
          <w:spacing w:val="-4"/>
          <w:sz w:val="18"/>
          <w:vertAlign w:val="baseline"/>
        </w:rPr>
        <w:t> </w:t>
      </w:r>
      <w:r>
        <w:rPr>
          <w:sz w:val="18"/>
          <w:vertAlign w:val="baseline"/>
        </w:rPr>
        <w:t>Baratz,</w:t>
      </w:r>
      <w:r>
        <w:rPr>
          <w:spacing w:val="-4"/>
          <w:sz w:val="18"/>
          <w:vertAlign w:val="baseline"/>
        </w:rPr>
        <w:t> </w:t>
      </w:r>
      <w:r>
        <w:rPr>
          <w:sz w:val="18"/>
          <w:vertAlign w:val="baseline"/>
        </w:rPr>
        <w:t>Katharine</w:t>
      </w:r>
      <w:r>
        <w:rPr>
          <w:spacing w:val="-3"/>
          <w:sz w:val="18"/>
          <w:vertAlign w:val="baseline"/>
        </w:rPr>
        <w:t> </w:t>
      </w:r>
      <w:r>
        <w:rPr>
          <w:sz w:val="18"/>
          <w:vertAlign w:val="baseline"/>
        </w:rPr>
        <w:t>B.</w:t>
      </w:r>
      <w:r>
        <w:rPr>
          <w:spacing w:val="-3"/>
          <w:sz w:val="18"/>
          <w:vertAlign w:val="baseline"/>
        </w:rPr>
        <w:t> </w:t>
      </w:r>
      <w:r>
        <w:rPr>
          <w:sz w:val="18"/>
          <w:vertAlign w:val="baseline"/>
        </w:rPr>
        <w:t>Dalke,</w:t>
      </w:r>
      <w:r>
        <w:rPr>
          <w:spacing w:val="-4"/>
          <w:sz w:val="18"/>
          <w:vertAlign w:val="baseline"/>
        </w:rPr>
        <w:t> </w:t>
      </w:r>
      <w:r>
        <w:rPr>
          <w:sz w:val="18"/>
          <w:vertAlign w:val="baseline"/>
        </w:rPr>
        <w:t>Alesdair</w:t>
      </w:r>
      <w:r>
        <w:rPr>
          <w:spacing w:val="-4"/>
          <w:sz w:val="18"/>
          <w:vertAlign w:val="baseline"/>
        </w:rPr>
        <w:t> </w:t>
      </w:r>
      <w:r>
        <w:rPr>
          <w:sz w:val="18"/>
          <w:vertAlign w:val="baseline"/>
        </w:rPr>
        <w:t>Ittelson,</w:t>
      </w:r>
      <w:r>
        <w:rPr>
          <w:spacing w:val="-4"/>
          <w:sz w:val="18"/>
          <w:vertAlign w:val="baseline"/>
        </w:rPr>
        <w:t> </w:t>
      </w:r>
      <w:r>
        <w:rPr>
          <w:sz w:val="18"/>
          <w:vertAlign w:val="baseline"/>
        </w:rPr>
        <w:t>Kimberly</w:t>
      </w:r>
      <w:r>
        <w:rPr>
          <w:spacing w:val="-3"/>
          <w:sz w:val="18"/>
          <w:vertAlign w:val="baseline"/>
        </w:rPr>
        <w:t> </w:t>
      </w:r>
      <w:r>
        <w:rPr>
          <w:sz w:val="18"/>
          <w:vertAlign w:val="baseline"/>
        </w:rPr>
        <w:t>Zieselman, and Jason D. Flatt. 2020. “A National Study on the Physical and Mental Health of Intersex Adults in the U.S.” Edited by Sergio A. Useche. </w:t>
      </w:r>
      <w:r>
        <w:rPr>
          <w:i/>
          <w:sz w:val="18"/>
          <w:vertAlign w:val="baseline"/>
        </w:rPr>
        <w:t>PLOS ONE </w:t>
      </w:r>
      <w:r>
        <w:rPr>
          <w:sz w:val="18"/>
          <w:vertAlign w:val="baseline"/>
        </w:rPr>
        <w:t>15 (10): e0240088. </w:t>
      </w:r>
      <w:r>
        <w:rPr>
          <w:color w:val="1154CC"/>
          <w:sz w:val="18"/>
          <w:u w:val="single" w:color="1154CC"/>
          <w:vertAlign w:val="baseline"/>
        </w:rPr>
        <w:t>https://doi.org/10.1371/journal.pone.0240088</w:t>
      </w:r>
      <w:r>
        <w:rPr>
          <w:sz w:val="18"/>
          <w:u w:val="none"/>
          <w:vertAlign w:val="baseline"/>
        </w:rPr>
        <w:t>.</w:t>
      </w:r>
    </w:p>
    <w:p>
      <w:pPr>
        <w:spacing w:line="276" w:lineRule="auto" w:before="0"/>
        <w:ind w:left="464" w:right="0" w:hanging="1"/>
        <w:jc w:val="left"/>
        <w:rPr>
          <w:sz w:val="18"/>
        </w:rPr>
      </w:pPr>
      <w:r>
        <w:rPr>
          <w:sz w:val="18"/>
          <w:vertAlign w:val="superscript"/>
        </w:rPr>
        <w:t>23</w:t>
      </w:r>
      <w:r>
        <w:rPr>
          <w:spacing w:val="-11"/>
          <w:sz w:val="18"/>
          <w:vertAlign w:val="baseline"/>
        </w:rPr>
        <w:t> </w:t>
      </w:r>
      <w:r>
        <w:rPr>
          <w:sz w:val="18"/>
          <w:vertAlign w:val="baseline"/>
        </w:rPr>
        <w:t>Medina, Caroline, and Lindsay Mahowald. 2021. “Key Issues Facing People with Intersex Traits.” Center for American Progress.</w:t>
      </w:r>
      <w:r>
        <w:rPr>
          <w:spacing w:val="-11"/>
          <w:sz w:val="18"/>
          <w:vertAlign w:val="baseline"/>
        </w:rPr>
        <w:t> </w:t>
      </w:r>
      <w:r>
        <w:rPr>
          <w:sz w:val="18"/>
          <w:vertAlign w:val="baseline"/>
        </w:rPr>
        <w:t>October</w:t>
      </w:r>
      <w:r>
        <w:rPr>
          <w:spacing w:val="-8"/>
          <w:sz w:val="18"/>
          <w:vertAlign w:val="baseline"/>
        </w:rPr>
        <w:t> </w:t>
      </w:r>
      <w:r>
        <w:rPr>
          <w:sz w:val="18"/>
          <w:vertAlign w:val="baseline"/>
        </w:rPr>
        <w:t>26,</w:t>
      </w:r>
      <w:r>
        <w:rPr>
          <w:spacing w:val="-8"/>
          <w:sz w:val="18"/>
          <w:vertAlign w:val="baseline"/>
        </w:rPr>
        <w:t> </w:t>
      </w:r>
      <w:r>
        <w:rPr>
          <w:sz w:val="18"/>
          <w:vertAlign w:val="baseline"/>
        </w:rPr>
        <w:t>2021.</w:t>
      </w:r>
      <w:r>
        <w:rPr>
          <w:spacing w:val="-7"/>
          <w:sz w:val="18"/>
          <w:vertAlign w:val="baseline"/>
        </w:rPr>
        <w:t> </w:t>
      </w:r>
      <w:r>
        <w:rPr>
          <w:sz w:val="18"/>
          <w:vertAlign w:val="baseline"/>
        </w:rPr>
        <w:t>https://</w:t>
      </w:r>
      <w:hyperlink r:id="rId286">
        <w:r>
          <w:rPr>
            <w:sz w:val="18"/>
            <w:vertAlign w:val="baseline"/>
          </w:rPr>
          <w:t>www.americanprogress.org/article/key-issues-facing-people-intersex-traits/.</w:t>
        </w:r>
      </w:hyperlink>
      <w:r>
        <w:rPr>
          <w:spacing w:val="-7"/>
          <w:sz w:val="18"/>
          <w:vertAlign w:val="baseline"/>
        </w:rPr>
        <w:t> </w:t>
      </w:r>
      <w:r>
        <w:rPr>
          <w:sz w:val="18"/>
          <w:vertAlign w:val="superscript"/>
        </w:rPr>
        <w:t>24</w:t>
      </w:r>
      <w:r>
        <w:rPr>
          <w:spacing w:val="-13"/>
          <w:sz w:val="18"/>
          <w:vertAlign w:val="baseline"/>
        </w:rPr>
        <w:t> </w:t>
      </w:r>
      <w:r>
        <w:rPr>
          <w:sz w:val="18"/>
          <w:vertAlign w:val="baseline"/>
        </w:rPr>
        <w:t>Ibid.</w:t>
      </w:r>
    </w:p>
    <w:p>
      <w:pPr>
        <w:spacing w:line="276" w:lineRule="auto" w:before="0"/>
        <w:ind w:left="464" w:right="245" w:firstLine="0"/>
        <w:jc w:val="both"/>
        <w:rPr>
          <w:sz w:val="18"/>
        </w:rPr>
      </w:pPr>
      <w:r>
        <w:rPr>
          <w:sz w:val="18"/>
          <w:vertAlign w:val="superscript"/>
        </w:rPr>
        <w:t>25</w:t>
      </w:r>
      <w:r>
        <w:rPr>
          <w:spacing w:val="-11"/>
          <w:sz w:val="18"/>
          <w:vertAlign w:val="baseline"/>
        </w:rPr>
        <w:t> </w:t>
      </w:r>
      <w:r>
        <w:rPr>
          <w:sz w:val="18"/>
          <w:vertAlign w:val="baseline"/>
        </w:rPr>
        <w:t>Carpenter,</w:t>
      </w:r>
      <w:r>
        <w:rPr>
          <w:spacing w:val="-7"/>
          <w:sz w:val="18"/>
          <w:vertAlign w:val="baseline"/>
        </w:rPr>
        <w:t> </w:t>
      </w:r>
      <w:r>
        <w:rPr>
          <w:sz w:val="18"/>
          <w:vertAlign w:val="baseline"/>
        </w:rPr>
        <w:t>Morgan.</w:t>
      </w:r>
      <w:r>
        <w:rPr>
          <w:spacing w:val="-3"/>
          <w:sz w:val="18"/>
          <w:vertAlign w:val="baseline"/>
        </w:rPr>
        <w:t> </w:t>
      </w:r>
      <w:r>
        <w:rPr>
          <w:sz w:val="18"/>
          <w:vertAlign w:val="baseline"/>
        </w:rPr>
        <w:t>2020.</w:t>
      </w:r>
      <w:r>
        <w:rPr>
          <w:spacing w:val="-3"/>
          <w:sz w:val="18"/>
          <w:vertAlign w:val="baseline"/>
        </w:rPr>
        <w:t> </w:t>
      </w:r>
      <w:r>
        <w:rPr>
          <w:sz w:val="18"/>
          <w:vertAlign w:val="baseline"/>
        </w:rPr>
        <w:t>“The</w:t>
      </w:r>
      <w:r>
        <w:rPr>
          <w:spacing w:val="-4"/>
          <w:sz w:val="18"/>
          <w:vertAlign w:val="baseline"/>
        </w:rPr>
        <w:t> </w:t>
      </w:r>
      <w:r>
        <w:rPr>
          <w:sz w:val="18"/>
          <w:vertAlign w:val="baseline"/>
        </w:rPr>
        <w:t>OHCHR</w:t>
      </w:r>
      <w:r>
        <w:rPr>
          <w:spacing w:val="-4"/>
          <w:sz w:val="18"/>
          <w:vertAlign w:val="baseline"/>
        </w:rPr>
        <w:t> </w:t>
      </w:r>
      <w:r>
        <w:rPr>
          <w:sz w:val="18"/>
          <w:vertAlign w:val="baseline"/>
        </w:rPr>
        <w:t>Background</w:t>
      </w:r>
      <w:r>
        <w:rPr>
          <w:spacing w:val="-3"/>
          <w:sz w:val="18"/>
          <w:vertAlign w:val="baseline"/>
        </w:rPr>
        <w:t> </w:t>
      </w:r>
      <w:r>
        <w:rPr>
          <w:sz w:val="18"/>
          <w:vertAlign w:val="baseline"/>
        </w:rPr>
        <w:t>Note</w:t>
      </w:r>
      <w:r>
        <w:rPr>
          <w:spacing w:val="-3"/>
          <w:sz w:val="18"/>
          <w:vertAlign w:val="baseline"/>
        </w:rPr>
        <w:t> </w:t>
      </w:r>
      <w:r>
        <w:rPr>
          <w:sz w:val="18"/>
          <w:vertAlign w:val="baseline"/>
        </w:rPr>
        <w:t>on</w:t>
      </w:r>
      <w:r>
        <w:rPr>
          <w:spacing w:val="-3"/>
          <w:sz w:val="18"/>
          <w:vertAlign w:val="baseline"/>
        </w:rPr>
        <w:t> </w:t>
      </w:r>
      <w:r>
        <w:rPr>
          <w:sz w:val="18"/>
          <w:vertAlign w:val="baseline"/>
        </w:rPr>
        <w:t>Human</w:t>
      </w:r>
      <w:r>
        <w:rPr>
          <w:spacing w:val="-3"/>
          <w:sz w:val="18"/>
          <w:vertAlign w:val="baseline"/>
        </w:rPr>
        <w:t> </w:t>
      </w:r>
      <w:r>
        <w:rPr>
          <w:sz w:val="18"/>
          <w:vertAlign w:val="baseline"/>
        </w:rPr>
        <w:t>Rights</w:t>
      </w:r>
      <w:r>
        <w:rPr>
          <w:spacing w:val="-3"/>
          <w:sz w:val="18"/>
          <w:vertAlign w:val="baseline"/>
        </w:rPr>
        <w:t> </w:t>
      </w:r>
      <w:r>
        <w:rPr>
          <w:sz w:val="18"/>
          <w:vertAlign w:val="baseline"/>
        </w:rPr>
        <w:t>Violations</w:t>
      </w:r>
      <w:r>
        <w:rPr>
          <w:spacing w:val="-3"/>
          <w:sz w:val="18"/>
          <w:vertAlign w:val="baseline"/>
        </w:rPr>
        <w:t> </w:t>
      </w:r>
      <w:r>
        <w:rPr>
          <w:sz w:val="18"/>
          <w:vertAlign w:val="baseline"/>
        </w:rPr>
        <w:t>against</w:t>
      </w:r>
      <w:r>
        <w:rPr>
          <w:spacing w:val="-4"/>
          <w:sz w:val="18"/>
          <w:vertAlign w:val="baseline"/>
        </w:rPr>
        <w:t> </w:t>
      </w:r>
      <w:r>
        <w:rPr>
          <w:sz w:val="18"/>
          <w:vertAlign w:val="baseline"/>
        </w:rPr>
        <w:t>Intersex</w:t>
      </w:r>
      <w:r>
        <w:rPr>
          <w:spacing w:val="-3"/>
          <w:sz w:val="18"/>
          <w:vertAlign w:val="baseline"/>
        </w:rPr>
        <w:t> </w:t>
      </w:r>
      <w:r>
        <w:rPr>
          <w:sz w:val="18"/>
          <w:vertAlign w:val="baseline"/>
        </w:rPr>
        <w:t>People.”</w:t>
      </w:r>
      <w:r>
        <w:rPr>
          <w:spacing w:val="-3"/>
          <w:sz w:val="18"/>
          <w:vertAlign w:val="baseline"/>
        </w:rPr>
        <w:t> </w:t>
      </w:r>
      <w:r>
        <w:rPr>
          <w:i/>
          <w:sz w:val="18"/>
          <w:vertAlign w:val="baseline"/>
        </w:rPr>
        <w:t>Sexual</w:t>
      </w:r>
      <w:r>
        <w:rPr>
          <w:i/>
          <w:spacing w:val="-4"/>
          <w:sz w:val="18"/>
          <w:vertAlign w:val="baseline"/>
        </w:rPr>
        <w:t> </w:t>
      </w:r>
      <w:r>
        <w:rPr>
          <w:i/>
          <w:sz w:val="18"/>
          <w:vertAlign w:val="baseline"/>
        </w:rPr>
        <w:t>and</w:t>
      </w:r>
      <w:r>
        <w:rPr>
          <w:i/>
          <w:sz w:val="18"/>
          <w:vertAlign w:val="baseline"/>
        </w:rPr>
        <w:t> Reproductive</w:t>
      </w:r>
      <w:r>
        <w:rPr>
          <w:i/>
          <w:spacing w:val="-6"/>
          <w:sz w:val="18"/>
          <w:vertAlign w:val="baseline"/>
        </w:rPr>
        <w:t> </w:t>
      </w:r>
      <w:r>
        <w:rPr>
          <w:i/>
          <w:sz w:val="18"/>
          <w:vertAlign w:val="baseline"/>
        </w:rPr>
        <w:t>Health</w:t>
      </w:r>
      <w:r>
        <w:rPr>
          <w:i/>
          <w:spacing w:val="-2"/>
          <w:sz w:val="18"/>
          <w:vertAlign w:val="baseline"/>
        </w:rPr>
        <w:t> </w:t>
      </w:r>
      <w:r>
        <w:rPr>
          <w:i/>
          <w:sz w:val="18"/>
          <w:vertAlign w:val="baseline"/>
        </w:rPr>
        <w:t>Matters</w:t>
      </w:r>
      <w:r>
        <w:rPr>
          <w:i/>
          <w:spacing w:val="-3"/>
          <w:sz w:val="18"/>
          <w:vertAlign w:val="baseline"/>
        </w:rPr>
        <w:t> </w:t>
      </w:r>
      <w:r>
        <w:rPr>
          <w:sz w:val="18"/>
          <w:vertAlign w:val="baseline"/>
        </w:rPr>
        <w:t>28</w:t>
      </w:r>
      <w:r>
        <w:rPr>
          <w:spacing w:val="-1"/>
          <w:sz w:val="18"/>
          <w:vertAlign w:val="baseline"/>
        </w:rPr>
        <w:t> </w:t>
      </w:r>
      <w:r>
        <w:rPr>
          <w:sz w:val="18"/>
          <w:vertAlign w:val="baseline"/>
        </w:rPr>
        <w:t>(1):</w:t>
      </w:r>
      <w:r>
        <w:rPr>
          <w:spacing w:val="-2"/>
          <w:sz w:val="18"/>
          <w:vertAlign w:val="baseline"/>
        </w:rPr>
        <w:t> </w:t>
      </w:r>
      <w:r>
        <w:rPr>
          <w:sz w:val="18"/>
          <w:vertAlign w:val="baseline"/>
        </w:rPr>
        <w:t>1731298.</w:t>
      </w:r>
      <w:r>
        <w:rPr>
          <w:spacing w:val="-2"/>
          <w:sz w:val="18"/>
          <w:vertAlign w:val="baseline"/>
        </w:rPr>
        <w:t> </w:t>
      </w:r>
      <w:r>
        <w:rPr>
          <w:color w:val="1154CC"/>
          <w:sz w:val="18"/>
          <w:u w:val="single" w:color="1154CC"/>
          <w:vertAlign w:val="baseline"/>
        </w:rPr>
        <w:t>https://doi.org/10.1080/26410397.2020.1731298</w:t>
      </w:r>
      <w:r>
        <w:rPr>
          <w:sz w:val="18"/>
          <w:u w:val="none"/>
          <w:vertAlign w:val="baseline"/>
        </w:rPr>
        <w:t>.</w:t>
      </w:r>
      <w:r>
        <w:rPr>
          <w:spacing w:val="-2"/>
          <w:sz w:val="18"/>
          <w:u w:val="none"/>
          <w:vertAlign w:val="baseline"/>
        </w:rPr>
        <w:t> </w:t>
      </w:r>
      <w:r>
        <w:rPr>
          <w:sz w:val="18"/>
          <w:u w:val="none"/>
          <w:vertAlign w:val="superscript"/>
        </w:rPr>
        <w:t>26</w:t>
      </w:r>
      <w:r>
        <w:rPr>
          <w:spacing w:val="-11"/>
          <w:sz w:val="18"/>
          <w:u w:val="none"/>
          <w:vertAlign w:val="baseline"/>
        </w:rPr>
        <w:t> </w:t>
      </w:r>
      <w:r>
        <w:rPr>
          <w:sz w:val="18"/>
          <w:u w:val="none"/>
          <w:vertAlign w:val="baseline"/>
        </w:rPr>
        <w:t>“Massachusetts</w:t>
      </w:r>
      <w:r>
        <w:rPr>
          <w:spacing w:val="-2"/>
          <w:sz w:val="18"/>
          <w:u w:val="none"/>
          <w:vertAlign w:val="baseline"/>
        </w:rPr>
        <w:t> </w:t>
      </w:r>
      <w:r>
        <w:rPr>
          <w:sz w:val="18"/>
          <w:u w:val="none"/>
          <w:vertAlign w:val="baseline"/>
        </w:rPr>
        <w:t>Medical Society: Oops!” n.d. Www.massmed.org. Accessed March 2, 2023.</w:t>
      </w:r>
    </w:p>
    <w:p>
      <w:pPr>
        <w:spacing w:after="0" w:line="276" w:lineRule="auto"/>
        <w:jc w:val="both"/>
        <w:rPr>
          <w:sz w:val="18"/>
        </w:rPr>
        <w:sectPr>
          <w:pgSz w:w="12240" w:h="15840"/>
          <w:pgMar w:header="721" w:footer="1061" w:top="1360" w:bottom="1260" w:left="1120" w:right="1340"/>
        </w:sectPr>
      </w:pPr>
    </w:p>
    <w:p>
      <w:pPr>
        <w:spacing w:line="276" w:lineRule="auto" w:before="68"/>
        <w:ind w:left="464" w:right="481" w:firstLine="7"/>
        <w:jc w:val="left"/>
        <w:rPr>
          <w:sz w:val="18"/>
        </w:rPr>
      </w:pPr>
      <w:r>
        <w:rPr>
          <w:spacing w:val="-2"/>
          <w:sz w:val="18"/>
        </w:rPr>
        <w:t>https:</w:t>
      </w:r>
      <w:hyperlink r:id="rId287">
        <w:r>
          <w:rPr>
            <w:spacing w:val="-2"/>
            <w:sz w:val="18"/>
          </w:rPr>
          <w:t>//www.massmed.org/News/Press-Releases/Massachusetts-Medical-Society-announces-policies-on-opioid-use-</w:t>
        </w:r>
      </w:hyperlink>
      <w:r>
        <w:rPr>
          <w:sz w:val="18"/>
        </w:rPr>
        <w:t> disorder. </w:t>
      </w:r>
      <w:r>
        <w:rPr>
          <w:sz w:val="18"/>
          <w:vertAlign w:val="superscript"/>
        </w:rPr>
        <w:t>27</w:t>
      </w:r>
      <w:r>
        <w:rPr>
          <w:spacing w:val="-6"/>
          <w:sz w:val="18"/>
          <w:vertAlign w:val="baseline"/>
        </w:rPr>
        <w:t> </w:t>
      </w:r>
      <w:r>
        <w:rPr>
          <w:sz w:val="18"/>
          <w:vertAlign w:val="baseline"/>
        </w:rPr>
        <w:t>“The Mental Health and Well-Being of LGBTQ Youth Who Are Intersex.” n.d. https:</w:t>
      </w:r>
      <w:hyperlink r:id="rId285">
        <w:r>
          <w:rPr>
            <w:sz w:val="18"/>
            <w:vertAlign w:val="baseline"/>
          </w:rPr>
          <w:t>//www.thetrevorproject.org/wp</w:t>
        </w:r>
      </w:hyperlink>
      <w:r>
        <w:rPr>
          <w:sz w:val="18"/>
          <w:vertAlign w:val="baseline"/>
        </w:rPr>
        <w:t> content/uploads/2021/12/Intersex-Youth-Mental-Health-Report.pdf.</w:t>
      </w:r>
    </w:p>
    <w:p>
      <w:pPr>
        <w:spacing w:line="276" w:lineRule="auto" w:before="1"/>
        <w:ind w:left="464" w:right="1807" w:hanging="8"/>
        <w:jc w:val="left"/>
        <w:rPr>
          <w:sz w:val="18"/>
        </w:rPr>
      </w:pPr>
      <w:r>
        <w:rPr>
          <w:sz w:val="18"/>
          <w:vertAlign w:val="superscript"/>
        </w:rPr>
        <w:t>28</w:t>
      </w:r>
      <w:r>
        <w:rPr>
          <w:spacing w:val="-13"/>
          <w:sz w:val="18"/>
          <w:vertAlign w:val="baseline"/>
        </w:rPr>
        <w:t> </w:t>
      </w:r>
      <w:r>
        <w:rPr>
          <w:sz w:val="18"/>
          <w:vertAlign w:val="baseline"/>
        </w:rPr>
        <w:t>World</w:t>
      </w:r>
      <w:r>
        <w:rPr>
          <w:spacing w:val="-6"/>
          <w:sz w:val="18"/>
          <w:vertAlign w:val="baseline"/>
        </w:rPr>
        <w:t> </w:t>
      </w:r>
      <w:r>
        <w:rPr>
          <w:sz w:val="18"/>
          <w:vertAlign w:val="baseline"/>
        </w:rPr>
        <w:t>Health</w:t>
      </w:r>
      <w:r>
        <w:rPr>
          <w:spacing w:val="-4"/>
          <w:sz w:val="18"/>
          <w:vertAlign w:val="baseline"/>
        </w:rPr>
        <w:t> </w:t>
      </w:r>
      <w:r>
        <w:rPr>
          <w:sz w:val="18"/>
          <w:vertAlign w:val="baseline"/>
        </w:rPr>
        <w:t>Organization.</w:t>
      </w:r>
      <w:r>
        <w:rPr>
          <w:spacing w:val="-4"/>
          <w:sz w:val="18"/>
          <w:vertAlign w:val="baseline"/>
        </w:rPr>
        <w:t> </w:t>
      </w:r>
      <w:r>
        <w:rPr>
          <w:sz w:val="18"/>
          <w:vertAlign w:val="baseline"/>
        </w:rPr>
        <w:t>2022.</w:t>
      </w:r>
      <w:r>
        <w:rPr>
          <w:spacing w:val="-4"/>
          <w:sz w:val="18"/>
          <w:vertAlign w:val="baseline"/>
        </w:rPr>
        <w:t> </w:t>
      </w:r>
      <w:r>
        <w:rPr>
          <w:sz w:val="18"/>
          <w:vertAlign w:val="baseline"/>
        </w:rPr>
        <w:t>“Social</w:t>
      </w:r>
      <w:r>
        <w:rPr>
          <w:spacing w:val="-5"/>
          <w:sz w:val="18"/>
          <w:vertAlign w:val="baseline"/>
        </w:rPr>
        <w:t> </w:t>
      </w:r>
      <w:r>
        <w:rPr>
          <w:sz w:val="18"/>
          <w:vertAlign w:val="baseline"/>
        </w:rPr>
        <w:t>Determinants</w:t>
      </w:r>
      <w:r>
        <w:rPr>
          <w:spacing w:val="-4"/>
          <w:sz w:val="18"/>
          <w:vertAlign w:val="baseline"/>
        </w:rPr>
        <w:t> </w:t>
      </w:r>
      <w:r>
        <w:rPr>
          <w:sz w:val="18"/>
          <w:vertAlign w:val="baseline"/>
        </w:rPr>
        <w:t>of</w:t>
      </w:r>
      <w:r>
        <w:rPr>
          <w:spacing w:val="-4"/>
          <w:sz w:val="18"/>
          <w:vertAlign w:val="baseline"/>
        </w:rPr>
        <w:t> </w:t>
      </w:r>
      <w:r>
        <w:rPr>
          <w:sz w:val="18"/>
          <w:vertAlign w:val="baseline"/>
        </w:rPr>
        <w:t>Health.”</w:t>
      </w:r>
      <w:r>
        <w:rPr>
          <w:spacing w:val="-4"/>
          <w:sz w:val="18"/>
          <w:vertAlign w:val="baseline"/>
        </w:rPr>
        <w:t> </w:t>
      </w:r>
      <w:r>
        <w:rPr>
          <w:sz w:val="18"/>
          <w:vertAlign w:val="baseline"/>
        </w:rPr>
        <w:t>World</w:t>
      </w:r>
      <w:r>
        <w:rPr>
          <w:spacing w:val="-4"/>
          <w:sz w:val="18"/>
          <w:vertAlign w:val="baseline"/>
        </w:rPr>
        <w:t> </w:t>
      </w:r>
      <w:r>
        <w:rPr>
          <w:sz w:val="18"/>
          <w:vertAlign w:val="baseline"/>
        </w:rPr>
        <w:t>Health</w:t>
      </w:r>
      <w:r>
        <w:rPr>
          <w:spacing w:val="-4"/>
          <w:sz w:val="18"/>
          <w:vertAlign w:val="baseline"/>
        </w:rPr>
        <w:t> </w:t>
      </w:r>
      <w:r>
        <w:rPr>
          <w:sz w:val="18"/>
          <w:vertAlign w:val="baseline"/>
        </w:rPr>
        <w:t>Organisation.</w:t>
      </w:r>
      <w:r>
        <w:rPr>
          <w:spacing w:val="-4"/>
          <w:sz w:val="18"/>
          <w:vertAlign w:val="baseline"/>
        </w:rPr>
        <w:t> </w:t>
      </w:r>
      <w:r>
        <w:rPr>
          <w:sz w:val="18"/>
          <w:vertAlign w:val="baseline"/>
        </w:rPr>
        <w:t>2022. </w:t>
      </w:r>
      <w:r>
        <w:rPr>
          <w:spacing w:val="-2"/>
          <w:sz w:val="18"/>
          <w:vertAlign w:val="baseline"/>
        </w:rPr>
        <w:t>https:</w:t>
      </w:r>
      <w:hyperlink r:id="rId288">
        <w:r>
          <w:rPr>
            <w:spacing w:val="-2"/>
            <w:sz w:val="18"/>
            <w:vertAlign w:val="baseline"/>
          </w:rPr>
          <w:t>//www.who.int/health-topics/social-determinants-of-health#tab=tab_1.</w:t>
        </w:r>
      </w:hyperlink>
    </w:p>
    <w:p>
      <w:pPr>
        <w:spacing w:line="276" w:lineRule="auto" w:before="0"/>
        <w:ind w:left="464" w:right="0" w:hanging="3"/>
        <w:jc w:val="left"/>
        <w:rPr>
          <w:sz w:val="18"/>
        </w:rPr>
      </w:pPr>
      <w:r>
        <w:rPr>
          <w:sz w:val="18"/>
          <w:vertAlign w:val="superscript"/>
        </w:rPr>
        <w:t>29</w:t>
      </w:r>
      <w:r>
        <w:rPr>
          <w:spacing w:val="-13"/>
          <w:sz w:val="18"/>
          <w:vertAlign w:val="baseline"/>
        </w:rPr>
        <w:t> </w:t>
      </w:r>
      <w:r>
        <w:rPr>
          <w:sz w:val="18"/>
          <w:vertAlign w:val="baseline"/>
        </w:rPr>
        <w:t>Badgett,</w:t>
      </w:r>
      <w:r>
        <w:rPr>
          <w:spacing w:val="-4"/>
          <w:sz w:val="18"/>
          <w:vertAlign w:val="baseline"/>
        </w:rPr>
        <w:t> </w:t>
      </w:r>
      <w:r>
        <w:rPr>
          <w:sz w:val="18"/>
          <w:vertAlign w:val="baseline"/>
        </w:rPr>
        <w:t>M.V.</w:t>
      </w:r>
      <w:r>
        <w:rPr>
          <w:spacing w:val="-2"/>
          <w:sz w:val="18"/>
          <w:vertAlign w:val="baseline"/>
        </w:rPr>
        <w:t> </w:t>
      </w:r>
      <w:r>
        <w:rPr>
          <w:sz w:val="18"/>
          <w:vertAlign w:val="baseline"/>
        </w:rPr>
        <w:t>Lee,</w:t>
      </w:r>
      <w:r>
        <w:rPr>
          <w:spacing w:val="-3"/>
          <w:sz w:val="18"/>
          <w:vertAlign w:val="baseline"/>
        </w:rPr>
        <w:t> </w:t>
      </w:r>
      <w:r>
        <w:rPr>
          <w:sz w:val="18"/>
          <w:vertAlign w:val="baseline"/>
        </w:rPr>
        <w:t>Soon</w:t>
      </w:r>
      <w:r>
        <w:rPr>
          <w:spacing w:val="-2"/>
          <w:sz w:val="18"/>
          <w:vertAlign w:val="baseline"/>
        </w:rPr>
        <w:t> </w:t>
      </w:r>
      <w:r>
        <w:rPr>
          <w:sz w:val="18"/>
          <w:vertAlign w:val="baseline"/>
        </w:rPr>
        <w:t>Kyu</w:t>
      </w:r>
      <w:r>
        <w:rPr>
          <w:spacing w:val="-2"/>
          <w:sz w:val="18"/>
          <w:vertAlign w:val="baseline"/>
        </w:rPr>
        <w:t> </w:t>
      </w:r>
      <w:r>
        <w:rPr>
          <w:sz w:val="18"/>
          <w:vertAlign w:val="baseline"/>
        </w:rPr>
        <w:t>Choi,</w:t>
      </w:r>
      <w:r>
        <w:rPr>
          <w:spacing w:val="-3"/>
          <w:sz w:val="18"/>
          <w:vertAlign w:val="baseline"/>
        </w:rPr>
        <w:t> </w:t>
      </w:r>
      <w:r>
        <w:rPr>
          <w:sz w:val="18"/>
          <w:vertAlign w:val="baseline"/>
        </w:rPr>
        <w:t>and</w:t>
      </w:r>
      <w:r>
        <w:rPr>
          <w:spacing w:val="-2"/>
          <w:sz w:val="18"/>
          <w:vertAlign w:val="baseline"/>
        </w:rPr>
        <w:t> </w:t>
      </w:r>
      <w:r>
        <w:rPr>
          <w:sz w:val="18"/>
          <w:vertAlign w:val="baseline"/>
        </w:rPr>
        <w:t>Bianca</w:t>
      </w:r>
      <w:r>
        <w:rPr>
          <w:spacing w:val="-2"/>
          <w:sz w:val="18"/>
          <w:vertAlign w:val="baseline"/>
        </w:rPr>
        <w:t> </w:t>
      </w:r>
      <w:r>
        <w:rPr>
          <w:sz w:val="18"/>
          <w:vertAlign w:val="baseline"/>
        </w:rPr>
        <w:t>D.M.</w:t>
      </w:r>
      <w:r>
        <w:rPr>
          <w:spacing w:val="-2"/>
          <w:sz w:val="18"/>
          <w:vertAlign w:val="baseline"/>
        </w:rPr>
        <w:t> </w:t>
      </w:r>
      <w:r>
        <w:rPr>
          <w:sz w:val="18"/>
          <w:vertAlign w:val="baseline"/>
        </w:rPr>
        <w:t>Wilson.</w:t>
      </w:r>
      <w:r>
        <w:rPr>
          <w:spacing w:val="-2"/>
          <w:sz w:val="18"/>
          <w:vertAlign w:val="baseline"/>
        </w:rPr>
        <w:t> </w:t>
      </w:r>
      <w:r>
        <w:rPr>
          <w:sz w:val="18"/>
          <w:vertAlign w:val="baseline"/>
        </w:rPr>
        <w:t>2019.</w:t>
      </w:r>
      <w:r>
        <w:rPr>
          <w:spacing w:val="-2"/>
          <w:sz w:val="18"/>
          <w:vertAlign w:val="baseline"/>
        </w:rPr>
        <w:t> </w:t>
      </w:r>
      <w:r>
        <w:rPr>
          <w:sz w:val="18"/>
          <w:vertAlign w:val="baseline"/>
        </w:rPr>
        <w:t>“LGBT</w:t>
      </w:r>
      <w:r>
        <w:rPr>
          <w:spacing w:val="-4"/>
          <w:sz w:val="18"/>
          <w:vertAlign w:val="baseline"/>
        </w:rPr>
        <w:t> </w:t>
      </w:r>
      <w:r>
        <w:rPr>
          <w:sz w:val="18"/>
          <w:vertAlign w:val="baseline"/>
        </w:rPr>
        <w:t>Poverty</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Williams</w:t>
      </w:r>
      <w:r>
        <w:rPr>
          <w:spacing w:val="-2"/>
          <w:sz w:val="18"/>
          <w:vertAlign w:val="baseline"/>
        </w:rPr>
        <w:t> </w:t>
      </w:r>
      <w:r>
        <w:rPr>
          <w:sz w:val="18"/>
          <w:vertAlign w:val="baseline"/>
        </w:rPr>
        <w:t>Institute. October 2019. https://williamsinstitute.law.ucla.edu/publications/lgbt-poverty-us/.</w:t>
      </w:r>
    </w:p>
    <w:p>
      <w:pPr>
        <w:spacing w:line="276" w:lineRule="auto" w:before="0"/>
        <w:ind w:left="463" w:right="228" w:firstLine="2"/>
        <w:jc w:val="left"/>
        <w:rPr>
          <w:sz w:val="18"/>
        </w:rPr>
      </w:pPr>
      <w:r>
        <w:rPr>
          <w:sz w:val="18"/>
          <w:vertAlign w:val="superscript"/>
        </w:rPr>
        <w:t>30</w:t>
      </w:r>
      <w:r>
        <w:rPr>
          <w:spacing w:val="-13"/>
          <w:sz w:val="18"/>
          <w:vertAlign w:val="baseline"/>
        </w:rPr>
        <w:t> </w:t>
      </w:r>
      <w:r>
        <w:rPr>
          <w:color w:val="202020"/>
          <w:sz w:val="18"/>
          <w:vertAlign w:val="baseline"/>
        </w:rPr>
        <w:t>Corliss</w:t>
      </w:r>
      <w:r>
        <w:rPr>
          <w:color w:val="202020"/>
          <w:spacing w:val="-4"/>
          <w:sz w:val="18"/>
          <w:vertAlign w:val="baseline"/>
        </w:rPr>
        <w:t> </w:t>
      </w:r>
      <w:r>
        <w:rPr>
          <w:color w:val="202020"/>
          <w:sz w:val="18"/>
          <w:vertAlign w:val="baseline"/>
        </w:rPr>
        <w:t>HL,</w:t>
      </w:r>
      <w:r>
        <w:rPr>
          <w:color w:val="202020"/>
          <w:spacing w:val="-3"/>
          <w:sz w:val="18"/>
          <w:vertAlign w:val="baseline"/>
        </w:rPr>
        <w:t> </w:t>
      </w:r>
      <w:r>
        <w:rPr>
          <w:color w:val="202020"/>
          <w:sz w:val="18"/>
          <w:vertAlign w:val="baseline"/>
        </w:rPr>
        <w:t>Goodenow</w:t>
      </w:r>
      <w:r>
        <w:rPr>
          <w:color w:val="202020"/>
          <w:spacing w:val="-3"/>
          <w:sz w:val="18"/>
          <w:vertAlign w:val="baseline"/>
        </w:rPr>
        <w:t> </w:t>
      </w:r>
      <w:r>
        <w:rPr>
          <w:color w:val="202020"/>
          <w:sz w:val="18"/>
          <w:vertAlign w:val="baseline"/>
        </w:rPr>
        <w:t>CS,</w:t>
      </w:r>
      <w:r>
        <w:rPr>
          <w:color w:val="202020"/>
          <w:spacing w:val="-3"/>
          <w:sz w:val="18"/>
          <w:vertAlign w:val="baseline"/>
        </w:rPr>
        <w:t> </w:t>
      </w:r>
      <w:r>
        <w:rPr>
          <w:color w:val="202020"/>
          <w:sz w:val="18"/>
          <w:vertAlign w:val="baseline"/>
        </w:rPr>
        <w:t>Nichols</w:t>
      </w:r>
      <w:r>
        <w:rPr>
          <w:color w:val="202020"/>
          <w:spacing w:val="-3"/>
          <w:sz w:val="18"/>
          <w:vertAlign w:val="baseline"/>
        </w:rPr>
        <w:t> </w:t>
      </w:r>
      <w:r>
        <w:rPr>
          <w:color w:val="202020"/>
          <w:sz w:val="18"/>
          <w:vertAlign w:val="baseline"/>
        </w:rPr>
        <w:t>L,</w:t>
      </w:r>
      <w:r>
        <w:rPr>
          <w:color w:val="202020"/>
          <w:spacing w:val="-3"/>
          <w:sz w:val="18"/>
          <w:vertAlign w:val="baseline"/>
        </w:rPr>
        <w:t> </w:t>
      </w:r>
      <w:r>
        <w:rPr>
          <w:color w:val="202020"/>
          <w:sz w:val="18"/>
          <w:vertAlign w:val="baseline"/>
        </w:rPr>
        <w:t>Austin</w:t>
      </w:r>
      <w:r>
        <w:rPr>
          <w:color w:val="202020"/>
          <w:spacing w:val="-3"/>
          <w:sz w:val="18"/>
          <w:vertAlign w:val="baseline"/>
        </w:rPr>
        <w:t> </w:t>
      </w:r>
      <w:r>
        <w:rPr>
          <w:color w:val="202020"/>
          <w:sz w:val="18"/>
          <w:vertAlign w:val="baseline"/>
        </w:rPr>
        <w:t>SB.</w:t>
      </w:r>
      <w:r>
        <w:rPr>
          <w:color w:val="202020"/>
          <w:spacing w:val="-3"/>
          <w:sz w:val="18"/>
          <w:vertAlign w:val="baseline"/>
        </w:rPr>
        <w:t> </w:t>
      </w:r>
      <w:r>
        <w:rPr>
          <w:color w:val="202020"/>
          <w:sz w:val="18"/>
          <w:vertAlign w:val="baseline"/>
        </w:rPr>
        <w:t>High</w:t>
      </w:r>
      <w:r>
        <w:rPr>
          <w:color w:val="202020"/>
          <w:spacing w:val="-3"/>
          <w:sz w:val="18"/>
          <w:vertAlign w:val="baseline"/>
        </w:rPr>
        <w:t> </w:t>
      </w:r>
      <w:r>
        <w:rPr>
          <w:color w:val="202020"/>
          <w:sz w:val="18"/>
          <w:vertAlign w:val="baseline"/>
        </w:rPr>
        <w:t>burden</w:t>
      </w:r>
      <w:r>
        <w:rPr>
          <w:color w:val="202020"/>
          <w:spacing w:val="-3"/>
          <w:sz w:val="18"/>
          <w:vertAlign w:val="baseline"/>
        </w:rPr>
        <w:t> </w:t>
      </w:r>
      <w:r>
        <w:rPr>
          <w:color w:val="202020"/>
          <w:sz w:val="18"/>
          <w:vertAlign w:val="baseline"/>
        </w:rPr>
        <w:t>of</w:t>
      </w:r>
      <w:r>
        <w:rPr>
          <w:color w:val="202020"/>
          <w:spacing w:val="-3"/>
          <w:sz w:val="18"/>
          <w:vertAlign w:val="baseline"/>
        </w:rPr>
        <w:t> </w:t>
      </w:r>
      <w:r>
        <w:rPr>
          <w:color w:val="202020"/>
          <w:sz w:val="18"/>
          <w:vertAlign w:val="baseline"/>
        </w:rPr>
        <w:t>homelessness</w:t>
      </w:r>
      <w:r>
        <w:rPr>
          <w:color w:val="202020"/>
          <w:spacing w:val="-3"/>
          <w:sz w:val="18"/>
          <w:vertAlign w:val="baseline"/>
        </w:rPr>
        <w:t> </w:t>
      </w:r>
      <w:r>
        <w:rPr>
          <w:color w:val="202020"/>
          <w:sz w:val="18"/>
          <w:vertAlign w:val="baseline"/>
        </w:rPr>
        <w:t>among</w:t>
      </w:r>
      <w:r>
        <w:rPr>
          <w:color w:val="202020"/>
          <w:spacing w:val="-3"/>
          <w:sz w:val="18"/>
          <w:vertAlign w:val="baseline"/>
        </w:rPr>
        <w:t> </w:t>
      </w:r>
      <w:r>
        <w:rPr>
          <w:color w:val="202020"/>
          <w:sz w:val="18"/>
          <w:vertAlign w:val="baseline"/>
        </w:rPr>
        <w:t>sexual-minority</w:t>
      </w:r>
      <w:r>
        <w:rPr>
          <w:color w:val="202020"/>
          <w:spacing w:val="-3"/>
          <w:sz w:val="18"/>
          <w:vertAlign w:val="baseline"/>
        </w:rPr>
        <w:t> </w:t>
      </w:r>
      <w:r>
        <w:rPr>
          <w:color w:val="202020"/>
          <w:sz w:val="18"/>
          <w:vertAlign w:val="baseline"/>
        </w:rPr>
        <w:t>adolescents:</w:t>
      </w:r>
      <w:r>
        <w:rPr>
          <w:color w:val="202020"/>
          <w:spacing w:val="-3"/>
          <w:sz w:val="18"/>
          <w:vertAlign w:val="baseline"/>
        </w:rPr>
        <w:t> </w:t>
      </w:r>
      <w:r>
        <w:rPr>
          <w:color w:val="202020"/>
          <w:sz w:val="18"/>
          <w:vertAlign w:val="baseline"/>
        </w:rPr>
        <w:t>findings from a representative Massachusetts high school sample. Am J Public Health. 2011 Sep;101(9):1683-9. doi: 10.2105/AJPH.2011.300155. Epub 2011 Jul 21. PMID: 21778481; PMCID: PMC3154237.</w:t>
      </w:r>
    </w:p>
    <w:p>
      <w:pPr>
        <w:spacing w:line="276" w:lineRule="auto" w:before="0"/>
        <w:ind w:left="463" w:right="405" w:firstLine="0"/>
        <w:jc w:val="left"/>
        <w:rPr>
          <w:sz w:val="18"/>
        </w:rPr>
      </w:pPr>
      <w:r>
        <w:rPr>
          <w:sz w:val="18"/>
          <w:vertAlign w:val="superscript"/>
        </w:rPr>
        <w:t>31</w:t>
      </w:r>
      <w:r>
        <w:rPr>
          <w:spacing w:val="-13"/>
          <w:sz w:val="18"/>
          <w:vertAlign w:val="baseline"/>
        </w:rPr>
        <w:t> </w:t>
      </w:r>
      <w:r>
        <w:rPr>
          <w:color w:val="202020"/>
          <w:sz w:val="18"/>
          <w:vertAlign w:val="baseline"/>
        </w:rPr>
        <w:t>Craig</w:t>
      </w:r>
      <w:r>
        <w:rPr>
          <w:color w:val="202020"/>
          <w:spacing w:val="-3"/>
          <w:sz w:val="18"/>
          <w:vertAlign w:val="baseline"/>
        </w:rPr>
        <w:t> </w:t>
      </w:r>
      <w:r>
        <w:rPr>
          <w:color w:val="202020"/>
          <w:sz w:val="18"/>
          <w:vertAlign w:val="baseline"/>
        </w:rPr>
        <w:t>SL,</w:t>
      </w:r>
      <w:r>
        <w:rPr>
          <w:color w:val="202020"/>
          <w:spacing w:val="-3"/>
          <w:sz w:val="18"/>
          <w:vertAlign w:val="baseline"/>
        </w:rPr>
        <w:t> </w:t>
      </w:r>
      <w:r>
        <w:rPr>
          <w:color w:val="202020"/>
          <w:sz w:val="18"/>
          <w:vertAlign w:val="baseline"/>
        </w:rPr>
        <w:t>Austin</w:t>
      </w:r>
      <w:r>
        <w:rPr>
          <w:color w:val="202020"/>
          <w:spacing w:val="-2"/>
          <w:sz w:val="18"/>
          <w:vertAlign w:val="baseline"/>
        </w:rPr>
        <w:t> </w:t>
      </w:r>
      <w:r>
        <w:rPr>
          <w:color w:val="202020"/>
          <w:sz w:val="18"/>
          <w:vertAlign w:val="baseline"/>
        </w:rPr>
        <w:t>A,</w:t>
      </w:r>
      <w:r>
        <w:rPr>
          <w:color w:val="202020"/>
          <w:spacing w:val="-3"/>
          <w:sz w:val="18"/>
          <w:vertAlign w:val="baseline"/>
        </w:rPr>
        <w:t> </w:t>
      </w:r>
      <w:r>
        <w:rPr>
          <w:color w:val="202020"/>
          <w:sz w:val="18"/>
          <w:vertAlign w:val="baseline"/>
        </w:rPr>
        <w:t>Levenson</w:t>
      </w:r>
      <w:r>
        <w:rPr>
          <w:color w:val="202020"/>
          <w:spacing w:val="-2"/>
          <w:sz w:val="18"/>
          <w:vertAlign w:val="baseline"/>
        </w:rPr>
        <w:t> </w:t>
      </w:r>
      <w:r>
        <w:rPr>
          <w:color w:val="202020"/>
          <w:sz w:val="18"/>
          <w:vertAlign w:val="baseline"/>
        </w:rPr>
        <w:t>J,</w:t>
      </w:r>
      <w:r>
        <w:rPr>
          <w:color w:val="202020"/>
          <w:spacing w:val="-4"/>
          <w:sz w:val="18"/>
          <w:vertAlign w:val="baseline"/>
        </w:rPr>
        <w:t> </w:t>
      </w:r>
      <w:r>
        <w:rPr>
          <w:color w:val="202020"/>
          <w:sz w:val="18"/>
          <w:vertAlign w:val="baseline"/>
        </w:rPr>
        <w:t>Leung</w:t>
      </w:r>
      <w:r>
        <w:rPr>
          <w:color w:val="202020"/>
          <w:spacing w:val="-2"/>
          <w:sz w:val="18"/>
          <w:vertAlign w:val="baseline"/>
        </w:rPr>
        <w:t> </w:t>
      </w:r>
      <w:r>
        <w:rPr>
          <w:color w:val="202020"/>
          <w:sz w:val="18"/>
          <w:vertAlign w:val="baseline"/>
        </w:rPr>
        <w:t>VWY,</w:t>
      </w:r>
      <w:r>
        <w:rPr>
          <w:color w:val="202020"/>
          <w:spacing w:val="-3"/>
          <w:sz w:val="18"/>
          <w:vertAlign w:val="baseline"/>
        </w:rPr>
        <w:t> </w:t>
      </w:r>
      <w:r>
        <w:rPr>
          <w:color w:val="202020"/>
          <w:sz w:val="18"/>
          <w:vertAlign w:val="baseline"/>
        </w:rPr>
        <w:t>Eaton</w:t>
      </w:r>
      <w:r>
        <w:rPr>
          <w:color w:val="202020"/>
          <w:spacing w:val="-2"/>
          <w:sz w:val="18"/>
          <w:vertAlign w:val="baseline"/>
        </w:rPr>
        <w:t> </w:t>
      </w:r>
      <w:r>
        <w:rPr>
          <w:color w:val="202020"/>
          <w:sz w:val="18"/>
          <w:vertAlign w:val="baseline"/>
        </w:rPr>
        <w:t>AD,</w:t>
      </w:r>
      <w:r>
        <w:rPr>
          <w:color w:val="202020"/>
          <w:spacing w:val="-3"/>
          <w:sz w:val="18"/>
          <w:vertAlign w:val="baseline"/>
        </w:rPr>
        <w:t> </w:t>
      </w:r>
      <w:r>
        <w:rPr>
          <w:color w:val="202020"/>
          <w:sz w:val="18"/>
          <w:vertAlign w:val="baseline"/>
        </w:rPr>
        <w:t>D'Souza</w:t>
      </w:r>
      <w:r>
        <w:rPr>
          <w:color w:val="202020"/>
          <w:spacing w:val="-2"/>
          <w:sz w:val="18"/>
          <w:vertAlign w:val="baseline"/>
        </w:rPr>
        <w:t> </w:t>
      </w:r>
      <w:r>
        <w:rPr>
          <w:color w:val="202020"/>
          <w:sz w:val="18"/>
          <w:vertAlign w:val="baseline"/>
        </w:rPr>
        <w:t>SA.</w:t>
      </w:r>
      <w:r>
        <w:rPr>
          <w:color w:val="202020"/>
          <w:spacing w:val="-2"/>
          <w:sz w:val="18"/>
          <w:vertAlign w:val="baseline"/>
        </w:rPr>
        <w:t> </w:t>
      </w:r>
      <w:r>
        <w:rPr>
          <w:color w:val="202020"/>
          <w:sz w:val="18"/>
          <w:vertAlign w:val="baseline"/>
        </w:rPr>
        <w:t>Frequencies</w:t>
      </w:r>
      <w:r>
        <w:rPr>
          <w:color w:val="202020"/>
          <w:spacing w:val="-3"/>
          <w:sz w:val="18"/>
          <w:vertAlign w:val="baseline"/>
        </w:rPr>
        <w:t> </w:t>
      </w:r>
      <w:r>
        <w:rPr>
          <w:color w:val="202020"/>
          <w:sz w:val="18"/>
          <w:vertAlign w:val="baseline"/>
        </w:rPr>
        <w:t>and</w:t>
      </w:r>
      <w:r>
        <w:rPr>
          <w:color w:val="202020"/>
          <w:spacing w:val="-2"/>
          <w:sz w:val="18"/>
          <w:vertAlign w:val="baseline"/>
        </w:rPr>
        <w:t> </w:t>
      </w:r>
      <w:r>
        <w:rPr>
          <w:color w:val="202020"/>
          <w:sz w:val="18"/>
          <w:vertAlign w:val="baseline"/>
        </w:rPr>
        <w:t>patterns</w:t>
      </w:r>
      <w:r>
        <w:rPr>
          <w:color w:val="202020"/>
          <w:spacing w:val="-2"/>
          <w:sz w:val="18"/>
          <w:vertAlign w:val="baseline"/>
        </w:rPr>
        <w:t> </w:t>
      </w:r>
      <w:r>
        <w:rPr>
          <w:color w:val="202020"/>
          <w:sz w:val="18"/>
          <w:vertAlign w:val="baseline"/>
        </w:rPr>
        <w:t>of</w:t>
      </w:r>
      <w:r>
        <w:rPr>
          <w:color w:val="202020"/>
          <w:spacing w:val="-3"/>
          <w:sz w:val="18"/>
          <w:vertAlign w:val="baseline"/>
        </w:rPr>
        <w:t> </w:t>
      </w:r>
      <w:r>
        <w:rPr>
          <w:color w:val="202020"/>
          <w:sz w:val="18"/>
          <w:vertAlign w:val="baseline"/>
        </w:rPr>
        <w:t>adverse</w:t>
      </w:r>
      <w:r>
        <w:rPr>
          <w:color w:val="202020"/>
          <w:spacing w:val="-2"/>
          <w:sz w:val="18"/>
          <w:vertAlign w:val="baseline"/>
        </w:rPr>
        <w:t> </w:t>
      </w:r>
      <w:r>
        <w:rPr>
          <w:color w:val="202020"/>
          <w:sz w:val="18"/>
          <w:vertAlign w:val="baseline"/>
        </w:rPr>
        <w:t>childhood</w:t>
      </w:r>
      <w:r>
        <w:rPr>
          <w:color w:val="202020"/>
          <w:spacing w:val="-2"/>
          <w:sz w:val="18"/>
          <w:vertAlign w:val="baseline"/>
        </w:rPr>
        <w:t> </w:t>
      </w:r>
      <w:r>
        <w:rPr>
          <w:color w:val="202020"/>
          <w:sz w:val="18"/>
          <w:vertAlign w:val="baseline"/>
        </w:rPr>
        <w:t>events in LGBTQ youth. Child Abuse Negl. 2020 Sep;107:104623. doi: 10.1016/j.chiabu.2020.104623. Epub 2020 Jul 16. PMID: 32682145. </w:t>
      </w:r>
      <w:r>
        <w:rPr>
          <w:sz w:val="18"/>
          <w:vertAlign w:val="superscript"/>
        </w:rPr>
        <w:t>32</w:t>
      </w:r>
      <w:r>
        <w:rPr>
          <w:spacing w:val="-9"/>
          <w:sz w:val="18"/>
          <w:vertAlign w:val="baseline"/>
        </w:rPr>
        <w:t> </w:t>
      </w:r>
      <w:r>
        <w:rPr>
          <w:color w:val="333333"/>
          <w:sz w:val="18"/>
          <w:vertAlign w:val="baseline"/>
        </w:rPr>
        <w:t>Almeida, J., Johnson, R.M., Corliss, H.L. </w:t>
      </w:r>
      <w:r>
        <w:rPr>
          <w:i/>
          <w:color w:val="333333"/>
          <w:sz w:val="18"/>
          <w:vertAlign w:val="baseline"/>
        </w:rPr>
        <w:t>et al. </w:t>
      </w:r>
      <w:r>
        <w:rPr>
          <w:color w:val="333333"/>
          <w:sz w:val="18"/>
          <w:vertAlign w:val="baseline"/>
        </w:rPr>
        <w:t>Emotional Distress Among LGBT Youth: The Influence of Perceived Discrimination Based on Sexual Orientation. </w:t>
      </w:r>
      <w:r>
        <w:rPr>
          <w:i/>
          <w:color w:val="333333"/>
          <w:sz w:val="18"/>
          <w:vertAlign w:val="baseline"/>
        </w:rPr>
        <w:t>J Youth Adolescence </w:t>
      </w:r>
      <w:r>
        <w:rPr>
          <w:color w:val="333333"/>
          <w:sz w:val="18"/>
          <w:vertAlign w:val="baseline"/>
        </w:rPr>
        <w:t>38, 1001–1014 (2009). https://doi.org/10.1007/s10964-009- 9397-9</w:t>
      </w:r>
    </w:p>
    <w:p>
      <w:pPr>
        <w:spacing w:line="276" w:lineRule="auto" w:before="0"/>
        <w:ind w:left="464" w:right="318" w:firstLine="0"/>
        <w:jc w:val="left"/>
        <w:rPr>
          <w:sz w:val="18"/>
        </w:rPr>
      </w:pPr>
      <w:r>
        <w:rPr>
          <w:sz w:val="18"/>
          <w:vertAlign w:val="superscript"/>
        </w:rPr>
        <w:t>33</w:t>
      </w:r>
      <w:r>
        <w:rPr>
          <w:spacing w:val="-13"/>
          <w:sz w:val="18"/>
          <w:vertAlign w:val="baseline"/>
        </w:rPr>
        <w:t> </w:t>
      </w:r>
      <w:r>
        <w:rPr>
          <w:sz w:val="18"/>
          <w:vertAlign w:val="baseline"/>
        </w:rPr>
        <w:t>Meyer,</w:t>
      </w:r>
      <w:r>
        <w:rPr>
          <w:spacing w:val="-1"/>
          <w:sz w:val="18"/>
          <w:vertAlign w:val="baseline"/>
        </w:rPr>
        <w:t> </w:t>
      </w:r>
      <w:r>
        <w:rPr>
          <w:sz w:val="18"/>
          <w:vertAlign w:val="baseline"/>
        </w:rPr>
        <w:t>Ilan H. 2003. “Prejudice,</w:t>
      </w:r>
      <w:r>
        <w:rPr>
          <w:spacing w:val="-1"/>
          <w:sz w:val="18"/>
          <w:vertAlign w:val="baseline"/>
        </w:rPr>
        <w:t> </w:t>
      </w:r>
      <w:r>
        <w:rPr>
          <w:sz w:val="18"/>
          <w:vertAlign w:val="baseline"/>
        </w:rPr>
        <w:t>Social</w:t>
      </w:r>
      <w:r>
        <w:rPr>
          <w:spacing w:val="-1"/>
          <w:sz w:val="18"/>
          <w:vertAlign w:val="baseline"/>
        </w:rPr>
        <w:t> </w:t>
      </w:r>
      <w:r>
        <w:rPr>
          <w:sz w:val="18"/>
          <w:vertAlign w:val="baseline"/>
        </w:rPr>
        <w:t>Stress,</w:t>
      </w:r>
      <w:r>
        <w:rPr>
          <w:spacing w:val="-1"/>
          <w:sz w:val="18"/>
          <w:vertAlign w:val="baseline"/>
        </w:rPr>
        <w:t> </w:t>
      </w:r>
      <w:r>
        <w:rPr>
          <w:sz w:val="18"/>
          <w:vertAlign w:val="baseline"/>
        </w:rPr>
        <w:t>and Mental</w:t>
      </w:r>
      <w:r>
        <w:rPr>
          <w:spacing w:val="-1"/>
          <w:sz w:val="18"/>
          <w:vertAlign w:val="baseline"/>
        </w:rPr>
        <w:t> </w:t>
      </w:r>
      <w:r>
        <w:rPr>
          <w:sz w:val="18"/>
          <w:vertAlign w:val="baseline"/>
        </w:rPr>
        <w:t>Health in Lesbian,</w:t>
      </w:r>
      <w:r>
        <w:rPr>
          <w:spacing w:val="-1"/>
          <w:sz w:val="18"/>
          <w:vertAlign w:val="baseline"/>
        </w:rPr>
        <w:t> </w:t>
      </w:r>
      <w:r>
        <w:rPr>
          <w:sz w:val="18"/>
          <w:vertAlign w:val="baseline"/>
        </w:rPr>
        <w:t>Gay,</w:t>
      </w:r>
      <w:r>
        <w:rPr>
          <w:spacing w:val="-1"/>
          <w:sz w:val="18"/>
          <w:vertAlign w:val="baseline"/>
        </w:rPr>
        <w:t> </w:t>
      </w:r>
      <w:r>
        <w:rPr>
          <w:sz w:val="18"/>
          <w:vertAlign w:val="baseline"/>
        </w:rPr>
        <w:t>and Bisexual</w:t>
      </w:r>
      <w:r>
        <w:rPr>
          <w:spacing w:val="-2"/>
          <w:sz w:val="18"/>
          <w:vertAlign w:val="baseline"/>
        </w:rPr>
        <w:t> </w:t>
      </w:r>
      <w:r>
        <w:rPr>
          <w:sz w:val="18"/>
          <w:vertAlign w:val="baseline"/>
        </w:rPr>
        <w:t>Populations: Conceptual Issues and Research Evidence.” </w:t>
      </w:r>
      <w:r>
        <w:rPr>
          <w:i/>
          <w:sz w:val="18"/>
          <w:vertAlign w:val="baseline"/>
        </w:rPr>
        <w:t>Psychological Bulletin </w:t>
      </w:r>
      <w:r>
        <w:rPr>
          <w:sz w:val="18"/>
          <w:vertAlign w:val="baseline"/>
        </w:rPr>
        <w:t>129 (5): 674–97. https://doi.org/10.1037/0033-2909.129.5.674. </w:t>
      </w:r>
      <w:r>
        <w:rPr>
          <w:sz w:val="18"/>
          <w:vertAlign w:val="superscript"/>
        </w:rPr>
        <w:t>34</w:t>
      </w:r>
      <w:r>
        <w:rPr>
          <w:sz w:val="18"/>
          <w:vertAlign w:val="baseline"/>
        </w:rPr>
        <w:t> Earnshaw, V. A., D. D. Menino, L. M. Sava, J. Perrotti, T. N. Barnes, D. L. Humphrey, and S. L. Reisner. “LGBTQ Bullying: A Qualitative</w:t>
      </w:r>
      <w:r>
        <w:rPr>
          <w:spacing w:val="-2"/>
          <w:sz w:val="18"/>
          <w:vertAlign w:val="baseline"/>
        </w:rPr>
        <w:t> </w:t>
      </w:r>
      <w:r>
        <w:rPr>
          <w:sz w:val="18"/>
          <w:vertAlign w:val="baseline"/>
        </w:rPr>
        <w:t>Investigation</w:t>
      </w:r>
      <w:r>
        <w:rPr>
          <w:spacing w:val="-2"/>
          <w:sz w:val="18"/>
          <w:vertAlign w:val="baseline"/>
        </w:rPr>
        <w:t> </w:t>
      </w:r>
      <w:r>
        <w:rPr>
          <w:sz w:val="18"/>
          <w:vertAlign w:val="baseline"/>
        </w:rPr>
        <w:t>of</w:t>
      </w:r>
      <w:r>
        <w:rPr>
          <w:spacing w:val="-2"/>
          <w:sz w:val="18"/>
          <w:vertAlign w:val="baseline"/>
        </w:rPr>
        <w:t> </w:t>
      </w:r>
      <w:r>
        <w:rPr>
          <w:sz w:val="18"/>
          <w:vertAlign w:val="baseline"/>
        </w:rPr>
        <w:t>Student</w:t>
      </w:r>
      <w:r>
        <w:rPr>
          <w:spacing w:val="-3"/>
          <w:sz w:val="18"/>
          <w:vertAlign w:val="baseline"/>
        </w:rPr>
        <w:t> </w:t>
      </w:r>
      <w:r>
        <w:rPr>
          <w:sz w:val="18"/>
          <w:vertAlign w:val="baseline"/>
        </w:rPr>
        <w:t>and</w:t>
      </w:r>
      <w:r>
        <w:rPr>
          <w:spacing w:val="-2"/>
          <w:sz w:val="18"/>
          <w:vertAlign w:val="baseline"/>
        </w:rPr>
        <w:t> </w:t>
      </w:r>
      <w:r>
        <w:rPr>
          <w:sz w:val="18"/>
          <w:vertAlign w:val="baseline"/>
        </w:rPr>
        <w:t>School</w:t>
      </w:r>
      <w:r>
        <w:rPr>
          <w:spacing w:val="-3"/>
          <w:sz w:val="18"/>
          <w:vertAlign w:val="baseline"/>
        </w:rPr>
        <w:t> </w:t>
      </w:r>
      <w:r>
        <w:rPr>
          <w:sz w:val="18"/>
          <w:vertAlign w:val="baseline"/>
        </w:rPr>
        <w:t>Health</w:t>
      </w:r>
      <w:r>
        <w:rPr>
          <w:spacing w:val="-2"/>
          <w:sz w:val="18"/>
          <w:vertAlign w:val="baseline"/>
        </w:rPr>
        <w:t> </w:t>
      </w:r>
      <w:r>
        <w:rPr>
          <w:sz w:val="18"/>
          <w:vertAlign w:val="baseline"/>
        </w:rPr>
        <w:t>Professional</w:t>
      </w:r>
      <w:r>
        <w:rPr>
          <w:spacing w:val="-3"/>
          <w:sz w:val="18"/>
          <w:vertAlign w:val="baseline"/>
        </w:rPr>
        <w:t> </w:t>
      </w:r>
      <w:r>
        <w:rPr>
          <w:sz w:val="18"/>
          <w:vertAlign w:val="baseline"/>
        </w:rPr>
        <w:t>Perspectives.”</w:t>
      </w:r>
      <w:r>
        <w:rPr>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LGBT</w:t>
      </w:r>
      <w:r>
        <w:rPr>
          <w:i/>
          <w:spacing w:val="-2"/>
          <w:sz w:val="18"/>
          <w:vertAlign w:val="baseline"/>
        </w:rPr>
        <w:t> </w:t>
      </w:r>
      <w:r>
        <w:rPr>
          <w:i/>
          <w:sz w:val="18"/>
          <w:vertAlign w:val="baseline"/>
        </w:rPr>
        <w:t>Youth</w:t>
      </w:r>
      <w:r>
        <w:rPr>
          <w:i/>
          <w:spacing w:val="-3"/>
          <w:sz w:val="18"/>
          <w:vertAlign w:val="baseline"/>
        </w:rPr>
        <w:t> </w:t>
      </w:r>
      <w:r>
        <w:rPr>
          <w:sz w:val="18"/>
          <w:vertAlign w:val="baseline"/>
        </w:rPr>
        <w:t>17,</w:t>
      </w:r>
      <w:r>
        <w:rPr>
          <w:spacing w:val="-3"/>
          <w:sz w:val="18"/>
          <w:vertAlign w:val="baseline"/>
        </w:rPr>
        <w:t> </w:t>
      </w:r>
      <w:r>
        <w:rPr>
          <w:sz w:val="18"/>
          <w:vertAlign w:val="baseline"/>
        </w:rPr>
        <w:t>no.</w:t>
      </w:r>
      <w:r>
        <w:rPr>
          <w:spacing w:val="-2"/>
          <w:sz w:val="18"/>
          <w:vertAlign w:val="baseline"/>
        </w:rPr>
        <w:t> </w:t>
      </w:r>
      <w:r>
        <w:rPr>
          <w:sz w:val="18"/>
          <w:vertAlign w:val="baseline"/>
        </w:rPr>
        <w:t>3</w:t>
      </w:r>
      <w:r>
        <w:rPr>
          <w:spacing w:val="-2"/>
          <w:sz w:val="18"/>
          <w:vertAlign w:val="baseline"/>
        </w:rPr>
        <w:t> </w:t>
      </w:r>
      <w:r>
        <w:rPr>
          <w:sz w:val="18"/>
          <w:vertAlign w:val="baseline"/>
        </w:rPr>
        <w:t>(2019): 280– 97. https://doi.org/10.1080/19361653.2019.1653808.</w:t>
      </w:r>
    </w:p>
    <w:p>
      <w:pPr>
        <w:spacing w:line="276" w:lineRule="auto" w:before="0"/>
        <w:ind w:left="464" w:right="257" w:hanging="1"/>
        <w:jc w:val="left"/>
        <w:rPr>
          <w:sz w:val="18"/>
        </w:rPr>
      </w:pPr>
      <w:r>
        <w:rPr>
          <w:sz w:val="18"/>
          <w:vertAlign w:val="superscript"/>
        </w:rPr>
        <w:t>35</w:t>
      </w:r>
      <w:r>
        <w:rPr>
          <w:spacing w:val="-9"/>
          <w:sz w:val="18"/>
          <w:vertAlign w:val="baseline"/>
        </w:rPr>
        <w:t> </w:t>
      </w:r>
      <w:r>
        <w:rPr>
          <w:color w:val="202020"/>
          <w:sz w:val="18"/>
          <w:vertAlign w:val="baseline"/>
        </w:rPr>
        <w:t>Sava LM, Earnshaw VA, Menino DD, Perrotti J, Reisner SL. LGBTQ Student Health: A Mixed-Methods Study of Unmet</w:t>
      </w:r>
      <w:r>
        <w:rPr>
          <w:color w:val="202020"/>
          <w:sz w:val="18"/>
          <w:vertAlign w:val="baseline"/>
        </w:rPr>
        <w:t> Needs in Massachusetts Schools. J Sch Health. 2021 Nov;91(11):894-905. doi: 10.1111/josh.13082. Epub 2021 Sep 22.</w:t>
      </w:r>
      <w:r>
        <w:rPr>
          <w:color w:val="202020"/>
          <w:spacing w:val="40"/>
          <w:sz w:val="18"/>
          <w:vertAlign w:val="baseline"/>
        </w:rPr>
        <w:t> </w:t>
      </w:r>
      <w:r>
        <w:rPr>
          <w:color w:val="202020"/>
          <w:sz w:val="18"/>
          <w:vertAlign w:val="baseline"/>
        </w:rPr>
        <w:t>PMID: 34553384. </w:t>
      </w:r>
      <w:r>
        <w:rPr>
          <w:sz w:val="18"/>
          <w:vertAlign w:val="superscript"/>
        </w:rPr>
        <w:t>36</w:t>
      </w:r>
      <w:r>
        <w:rPr>
          <w:spacing w:val="-9"/>
          <w:sz w:val="18"/>
          <w:vertAlign w:val="baseline"/>
        </w:rPr>
        <w:t> </w:t>
      </w:r>
      <w:r>
        <w:rPr>
          <w:sz w:val="18"/>
          <w:vertAlign w:val="baseline"/>
        </w:rPr>
        <w:t>Paceley, Megan S., Jessica N. Fish, Aaron Conrad, and Nikolaus Schuetz. 2019. “Diverse Community Contexts</w:t>
      </w:r>
      <w:r>
        <w:rPr>
          <w:spacing w:val="-3"/>
          <w:sz w:val="18"/>
          <w:vertAlign w:val="baseline"/>
        </w:rPr>
        <w:t> </w:t>
      </w:r>
      <w:r>
        <w:rPr>
          <w:sz w:val="18"/>
          <w:vertAlign w:val="baseline"/>
        </w:rPr>
        <w:t>and</w:t>
      </w:r>
      <w:r>
        <w:rPr>
          <w:spacing w:val="-3"/>
          <w:sz w:val="18"/>
          <w:vertAlign w:val="baseline"/>
        </w:rPr>
        <w:t> </w:t>
      </w:r>
      <w:r>
        <w:rPr>
          <w:sz w:val="18"/>
          <w:vertAlign w:val="baseline"/>
        </w:rPr>
        <w:t>Community</w:t>
      </w:r>
      <w:r>
        <w:rPr>
          <w:spacing w:val="-3"/>
          <w:sz w:val="18"/>
          <w:vertAlign w:val="baseline"/>
        </w:rPr>
        <w:t> </w:t>
      </w:r>
      <w:r>
        <w:rPr>
          <w:sz w:val="18"/>
          <w:vertAlign w:val="baseline"/>
        </w:rPr>
        <w:t>Resources</w:t>
      </w:r>
      <w:r>
        <w:rPr>
          <w:spacing w:val="-3"/>
          <w:sz w:val="18"/>
          <w:vertAlign w:val="baseline"/>
        </w:rPr>
        <w:t> </w:t>
      </w:r>
      <w:r>
        <w:rPr>
          <w:sz w:val="18"/>
          <w:vertAlign w:val="baseline"/>
        </w:rPr>
        <w:t>for</w:t>
      </w:r>
      <w:r>
        <w:rPr>
          <w:spacing w:val="-4"/>
          <w:sz w:val="18"/>
          <w:vertAlign w:val="baseline"/>
        </w:rPr>
        <w:t> </w:t>
      </w:r>
      <w:r>
        <w:rPr>
          <w:sz w:val="18"/>
          <w:vertAlign w:val="baseline"/>
        </w:rPr>
        <w:t>Sexual</w:t>
      </w:r>
      <w:r>
        <w:rPr>
          <w:spacing w:val="-4"/>
          <w:sz w:val="18"/>
          <w:vertAlign w:val="baseline"/>
        </w:rPr>
        <w:t> </w:t>
      </w:r>
      <w:r>
        <w:rPr>
          <w:sz w:val="18"/>
          <w:vertAlign w:val="baseline"/>
        </w:rPr>
        <w:t>and</w:t>
      </w:r>
      <w:r>
        <w:rPr>
          <w:spacing w:val="-3"/>
          <w:sz w:val="18"/>
          <w:vertAlign w:val="baseline"/>
        </w:rPr>
        <w:t> </w:t>
      </w:r>
      <w:r>
        <w:rPr>
          <w:sz w:val="18"/>
          <w:vertAlign w:val="baseline"/>
        </w:rPr>
        <w:t>Gender</w:t>
      </w:r>
      <w:r>
        <w:rPr>
          <w:spacing w:val="-4"/>
          <w:sz w:val="18"/>
          <w:vertAlign w:val="baseline"/>
        </w:rPr>
        <w:t> </w:t>
      </w:r>
      <w:r>
        <w:rPr>
          <w:sz w:val="18"/>
          <w:vertAlign w:val="baseline"/>
        </w:rPr>
        <w:t>Minority</w:t>
      </w:r>
      <w:r>
        <w:rPr>
          <w:spacing w:val="-3"/>
          <w:sz w:val="18"/>
          <w:vertAlign w:val="baseline"/>
        </w:rPr>
        <w:t> </w:t>
      </w:r>
      <w:r>
        <w:rPr>
          <w:sz w:val="18"/>
          <w:vertAlign w:val="baseline"/>
        </w:rPr>
        <w:t>Youth:</w:t>
      </w:r>
      <w:r>
        <w:rPr>
          <w:spacing w:val="-3"/>
          <w:sz w:val="18"/>
          <w:vertAlign w:val="baseline"/>
        </w:rPr>
        <w:t> </w:t>
      </w:r>
      <w:r>
        <w:rPr>
          <w:sz w:val="18"/>
          <w:vertAlign w:val="baseline"/>
        </w:rPr>
        <w:t>A</w:t>
      </w:r>
      <w:r>
        <w:rPr>
          <w:spacing w:val="-3"/>
          <w:sz w:val="18"/>
          <w:vertAlign w:val="baseline"/>
        </w:rPr>
        <w:t> </w:t>
      </w:r>
      <w:r>
        <w:rPr>
          <w:sz w:val="18"/>
          <w:vertAlign w:val="baseline"/>
        </w:rPr>
        <w:t>Mixed-Methods</w:t>
      </w:r>
      <w:r>
        <w:rPr>
          <w:spacing w:val="-3"/>
          <w:sz w:val="18"/>
          <w:vertAlign w:val="baseline"/>
        </w:rPr>
        <w:t> </w:t>
      </w:r>
      <w:r>
        <w:rPr>
          <w:sz w:val="18"/>
          <w:vertAlign w:val="baseline"/>
        </w:rPr>
        <w:t>Study.”</w:t>
      </w:r>
      <w:r>
        <w:rPr>
          <w:spacing w:val="-3"/>
          <w:sz w:val="18"/>
          <w:vertAlign w:val="baseline"/>
        </w:rPr>
        <w:t> </w:t>
      </w:r>
      <w:r>
        <w:rPr>
          <w:i/>
          <w:sz w:val="18"/>
          <w:vertAlign w:val="baseline"/>
        </w:rPr>
        <w:t>Journal</w:t>
      </w:r>
      <w:r>
        <w:rPr>
          <w:i/>
          <w:spacing w:val="-4"/>
          <w:sz w:val="18"/>
          <w:vertAlign w:val="baseline"/>
        </w:rPr>
        <w:t> </w:t>
      </w:r>
      <w:r>
        <w:rPr>
          <w:i/>
          <w:sz w:val="18"/>
          <w:vertAlign w:val="baseline"/>
        </w:rPr>
        <w:t>of</w:t>
      </w:r>
      <w:r>
        <w:rPr>
          <w:i/>
          <w:spacing w:val="-3"/>
          <w:sz w:val="18"/>
          <w:vertAlign w:val="baseline"/>
        </w:rPr>
        <w:t> </w:t>
      </w:r>
      <w:r>
        <w:rPr>
          <w:i/>
          <w:sz w:val="18"/>
          <w:vertAlign w:val="baseline"/>
        </w:rPr>
        <w:t>Community</w:t>
      </w:r>
      <w:r>
        <w:rPr>
          <w:i/>
          <w:sz w:val="18"/>
          <w:vertAlign w:val="baseline"/>
        </w:rPr>
        <w:t> &amp; Applied Social Psychology </w:t>
      </w:r>
      <w:r>
        <w:rPr>
          <w:sz w:val="18"/>
          <w:vertAlign w:val="baseline"/>
        </w:rPr>
        <w:t>29 (6): 445–60. https://doi.org/10.1002/casp.2417.</w:t>
      </w:r>
    </w:p>
    <w:p>
      <w:pPr>
        <w:spacing w:line="276" w:lineRule="auto" w:before="0"/>
        <w:ind w:left="464" w:right="318" w:firstLine="4"/>
        <w:jc w:val="left"/>
        <w:rPr>
          <w:sz w:val="18"/>
        </w:rPr>
      </w:pPr>
      <w:r>
        <w:rPr>
          <w:sz w:val="18"/>
          <w:vertAlign w:val="superscript"/>
        </w:rPr>
        <w:t>37</w:t>
      </w:r>
      <w:r>
        <w:rPr>
          <w:spacing w:val="-11"/>
          <w:sz w:val="18"/>
          <w:vertAlign w:val="baseline"/>
        </w:rPr>
        <w:t> </w:t>
      </w:r>
      <w:r>
        <w:rPr>
          <w:color w:val="202020"/>
          <w:sz w:val="18"/>
          <w:vertAlign w:val="baseline"/>
        </w:rPr>
        <w:t>Goldbach JT, Parra LA, O'Brien RP, Rhoades H, Schrager SM. Explaining behavioral health differences in urban and rural sexual</w:t>
      </w:r>
      <w:r>
        <w:rPr>
          <w:color w:val="202020"/>
          <w:spacing w:val="-1"/>
          <w:sz w:val="18"/>
          <w:vertAlign w:val="baseline"/>
        </w:rPr>
        <w:t> </w:t>
      </w:r>
      <w:r>
        <w:rPr>
          <w:color w:val="202020"/>
          <w:sz w:val="18"/>
          <w:vertAlign w:val="baseline"/>
        </w:rPr>
        <w:t>minority adolescents: A longitudinal</w:t>
      </w:r>
      <w:r>
        <w:rPr>
          <w:color w:val="202020"/>
          <w:spacing w:val="-1"/>
          <w:sz w:val="18"/>
          <w:vertAlign w:val="baseline"/>
        </w:rPr>
        <w:t> </w:t>
      </w:r>
      <w:r>
        <w:rPr>
          <w:color w:val="202020"/>
          <w:sz w:val="18"/>
          <w:vertAlign w:val="baseline"/>
        </w:rPr>
        <w:t>investigation of minority stress in a diverse national</w:t>
      </w:r>
      <w:r>
        <w:rPr>
          <w:color w:val="202020"/>
          <w:spacing w:val="-1"/>
          <w:sz w:val="18"/>
          <w:vertAlign w:val="baseline"/>
        </w:rPr>
        <w:t> </w:t>
      </w:r>
      <w:r>
        <w:rPr>
          <w:color w:val="202020"/>
          <w:sz w:val="18"/>
          <w:vertAlign w:val="baseline"/>
        </w:rPr>
        <w:t>sample of sexual</w:t>
      </w:r>
      <w:r>
        <w:rPr>
          <w:color w:val="202020"/>
          <w:spacing w:val="-2"/>
          <w:sz w:val="18"/>
          <w:vertAlign w:val="baseline"/>
        </w:rPr>
        <w:t> </w:t>
      </w:r>
      <w:r>
        <w:rPr>
          <w:color w:val="202020"/>
          <w:sz w:val="18"/>
          <w:vertAlign w:val="baseline"/>
        </w:rPr>
        <w:t>minority adolescents: A longitudinal investigation of minority stress in a diverse national sample of sexual minority adolescents. J Rural</w:t>
      </w:r>
      <w:r>
        <w:rPr>
          <w:color w:val="202020"/>
          <w:spacing w:val="-6"/>
          <w:sz w:val="18"/>
          <w:vertAlign w:val="baseline"/>
        </w:rPr>
        <w:t> </w:t>
      </w:r>
      <w:r>
        <w:rPr>
          <w:color w:val="202020"/>
          <w:sz w:val="18"/>
          <w:vertAlign w:val="baseline"/>
        </w:rPr>
        <w:t>Health.</w:t>
      </w:r>
      <w:r>
        <w:rPr>
          <w:color w:val="202020"/>
          <w:spacing w:val="-3"/>
          <w:sz w:val="18"/>
          <w:vertAlign w:val="baseline"/>
        </w:rPr>
        <w:t> </w:t>
      </w:r>
      <w:r>
        <w:rPr>
          <w:color w:val="202020"/>
          <w:sz w:val="18"/>
          <w:vertAlign w:val="baseline"/>
        </w:rPr>
        <w:t>2023</w:t>
      </w:r>
      <w:r>
        <w:rPr>
          <w:color w:val="202020"/>
          <w:spacing w:val="-3"/>
          <w:sz w:val="18"/>
          <w:vertAlign w:val="baseline"/>
        </w:rPr>
        <w:t> </w:t>
      </w:r>
      <w:r>
        <w:rPr>
          <w:color w:val="202020"/>
          <w:sz w:val="18"/>
          <w:vertAlign w:val="baseline"/>
        </w:rPr>
        <w:t>Jan;39(1):262-271.</w:t>
      </w:r>
      <w:r>
        <w:rPr>
          <w:color w:val="202020"/>
          <w:spacing w:val="-3"/>
          <w:sz w:val="18"/>
          <w:vertAlign w:val="baseline"/>
        </w:rPr>
        <w:t> </w:t>
      </w:r>
      <w:r>
        <w:rPr>
          <w:color w:val="202020"/>
          <w:sz w:val="18"/>
          <w:vertAlign w:val="baseline"/>
        </w:rPr>
        <w:t>doi:</w:t>
      </w:r>
      <w:r>
        <w:rPr>
          <w:color w:val="202020"/>
          <w:spacing w:val="-3"/>
          <w:sz w:val="18"/>
          <w:vertAlign w:val="baseline"/>
        </w:rPr>
        <w:t> </w:t>
      </w:r>
      <w:r>
        <w:rPr>
          <w:color w:val="202020"/>
          <w:sz w:val="18"/>
          <w:vertAlign w:val="baseline"/>
        </w:rPr>
        <w:t>10.1111/jrh.12706.</w:t>
      </w:r>
      <w:r>
        <w:rPr>
          <w:color w:val="202020"/>
          <w:spacing w:val="-3"/>
          <w:sz w:val="18"/>
          <w:vertAlign w:val="baseline"/>
        </w:rPr>
        <w:t> </w:t>
      </w:r>
      <w:r>
        <w:rPr>
          <w:color w:val="202020"/>
          <w:sz w:val="18"/>
          <w:vertAlign w:val="baseline"/>
        </w:rPr>
        <w:t>Epub</w:t>
      </w:r>
      <w:r>
        <w:rPr>
          <w:color w:val="202020"/>
          <w:spacing w:val="-2"/>
          <w:sz w:val="18"/>
          <w:vertAlign w:val="baseline"/>
        </w:rPr>
        <w:t> </w:t>
      </w:r>
      <w:r>
        <w:rPr>
          <w:color w:val="202020"/>
          <w:sz w:val="18"/>
          <w:vertAlign w:val="baseline"/>
        </w:rPr>
        <w:t>2022</w:t>
      </w:r>
      <w:r>
        <w:rPr>
          <w:color w:val="202020"/>
          <w:spacing w:val="-3"/>
          <w:sz w:val="18"/>
          <w:vertAlign w:val="baseline"/>
        </w:rPr>
        <w:t> </w:t>
      </w:r>
      <w:r>
        <w:rPr>
          <w:color w:val="202020"/>
          <w:sz w:val="18"/>
          <w:vertAlign w:val="baseline"/>
        </w:rPr>
        <w:t>Aug</w:t>
      </w:r>
      <w:r>
        <w:rPr>
          <w:color w:val="202020"/>
          <w:spacing w:val="-3"/>
          <w:sz w:val="18"/>
          <w:vertAlign w:val="baseline"/>
        </w:rPr>
        <w:t> </w:t>
      </w:r>
      <w:r>
        <w:rPr>
          <w:color w:val="202020"/>
          <w:sz w:val="18"/>
          <w:vertAlign w:val="baseline"/>
        </w:rPr>
        <w:t>17.</w:t>
      </w:r>
      <w:r>
        <w:rPr>
          <w:color w:val="202020"/>
          <w:spacing w:val="-6"/>
          <w:sz w:val="18"/>
          <w:vertAlign w:val="baseline"/>
        </w:rPr>
        <w:t> </w:t>
      </w:r>
      <w:r>
        <w:rPr>
          <w:color w:val="202020"/>
          <w:sz w:val="18"/>
          <w:vertAlign w:val="baseline"/>
        </w:rPr>
        <w:t>PMID:</w:t>
      </w:r>
      <w:r>
        <w:rPr>
          <w:color w:val="202020"/>
          <w:spacing w:val="-3"/>
          <w:sz w:val="18"/>
          <w:vertAlign w:val="baseline"/>
        </w:rPr>
        <w:t> </w:t>
      </w:r>
      <w:r>
        <w:rPr>
          <w:color w:val="202020"/>
          <w:sz w:val="18"/>
          <w:vertAlign w:val="baseline"/>
        </w:rPr>
        <w:t>35977886;</w:t>
      </w:r>
      <w:r>
        <w:rPr>
          <w:color w:val="202020"/>
          <w:spacing w:val="-3"/>
          <w:sz w:val="18"/>
          <w:vertAlign w:val="baseline"/>
        </w:rPr>
        <w:t> </w:t>
      </w:r>
      <w:r>
        <w:rPr>
          <w:color w:val="202020"/>
          <w:sz w:val="18"/>
          <w:vertAlign w:val="baseline"/>
        </w:rPr>
        <w:t>PMCID:</w:t>
      </w:r>
      <w:r>
        <w:rPr>
          <w:color w:val="202020"/>
          <w:spacing w:val="-2"/>
          <w:sz w:val="18"/>
          <w:vertAlign w:val="baseline"/>
        </w:rPr>
        <w:t> PMC9771913.</w:t>
      </w:r>
    </w:p>
    <w:p>
      <w:pPr>
        <w:spacing w:line="276" w:lineRule="auto" w:before="0"/>
        <w:ind w:left="463" w:right="228" w:firstLine="0"/>
        <w:jc w:val="left"/>
        <w:rPr>
          <w:sz w:val="18"/>
        </w:rPr>
      </w:pPr>
      <w:r>
        <w:rPr>
          <w:sz w:val="18"/>
          <w:vertAlign w:val="superscript"/>
        </w:rPr>
        <w:t>38</w:t>
      </w:r>
      <w:r>
        <w:rPr>
          <w:spacing w:val="-10"/>
          <w:sz w:val="18"/>
          <w:vertAlign w:val="baseline"/>
        </w:rPr>
        <w:t> </w:t>
      </w:r>
      <w:r>
        <w:rPr>
          <w:color w:val="212121"/>
          <w:sz w:val="18"/>
          <w:vertAlign w:val="baseline"/>
        </w:rPr>
        <w:t>Whaibeh, Emile, Hossam Mahmoud, and Emily L. Vogt. "Reducing the treatment gap for LGBT mental health needs: The potential</w:t>
      </w:r>
      <w:r>
        <w:rPr>
          <w:color w:val="212121"/>
          <w:spacing w:val="-4"/>
          <w:sz w:val="18"/>
          <w:vertAlign w:val="baseline"/>
        </w:rPr>
        <w:t> </w:t>
      </w:r>
      <w:r>
        <w:rPr>
          <w:color w:val="212121"/>
          <w:sz w:val="18"/>
          <w:vertAlign w:val="baseline"/>
        </w:rPr>
        <w:t>of</w:t>
      </w:r>
      <w:r>
        <w:rPr>
          <w:color w:val="212121"/>
          <w:spacing w:val="-2"/>
          <w:sz w:val="18"/>
          <w:vertAlign w:val="baseline"/>
        </w:rPr>
        <w:t> </w:t>
      </w:r>
      <w:r>
        <w:rPr>
          <w:color w:val="212121"/>
          <w:sz w:val="18"/>
          <w:vertAlign w:val="baseline"/>
        </w:rPr>
        <w:t>telepsychiatry."</w:t>
      </w:r>
      <w:r>
        <w:rPr>
          <w:color w:val="212121"/>
          <w:spacing w:val="-2"/>
          <w:sz w:val="18"/>
          <w:vertAlign w:val="baseline"/>
        </w:rPr>
        <w:t> </w:t>
      </w:r>
      <w:r>
        <w:rPr>
          <w:i/>
          <w:color w:val="212121"/>
          <w:sz w:val="18"/>
          <w:vertAlign w:val="baseline"/>
        </w:rPr>
        <w:t>The</w:t>
      </w:r>
      <w:r>
        <w:rPr>
          <w:i/>
          <w:color w:val="212121"/>
          <w:spacing w:val="-2"/>
          <w:sz w:val="18"/>
          <w:vertAlign w:val="baseline"/>
        </w:rPr>
        <w:t> </w:t>
      </w:r>
      <w:r>
        <w:rPr>
          <w:i/>
          <w:color w:val="212121"/>
          <w:sz w:val="18"/>
          <w:vertAlign w:val="baseline"/>
        </w:rPr>
        <w:t>journal</w:t>
      </w:r>
      <w:r>
        <w:rPr>
          <w:i/>
          <w:color w:val="212121"/>
          <w:spacing w:val="-3"/>
          <w:sz w:val="18"/>
          <w:vertAlign w:val="baseline"/>
        </w:rPr>
        <w:t> </w:t>
      </w:r>
      <w:r>
        <w:rPr>
          <w:i/>
          <w:color w:val="212121"/>
          <w:sz w:val="18"/>
          <w:vertAlign w:val="baseline"/>
        </w:rPr>
        <w:t>of</w:t>
      </w:r>
      <w:r>
        <w:rPr>
          <w:i/>
          <w:color w:val="212121"/>
          <w:spacing w:val="-2"/>
          <w:sz w:val="18"/>
          <w:vertAlign w:val="baseline"/>
        </w:rPr>
        <w:t> </w:t>
      </w:r>
      <w:r>
        <w:rPr>
          <w:i/>
          <w:color w:val="212121"/>
          <w:sz w:val="18"/>
          <w:vertAlign w:val="baseline"/>
        </w:rPr>
        <w:t>behavioral</w:t>
      </w:r>
      <w:r>
        <w:rPr>
          <w:i/>
          <w:color w:val="212121"/>
          <w:spacing w:val="-3"/>
          <w:sz w:val="18"/>
          <w:vertAlign w:val="baseline"/>
        </w:rPr>
        <w:t> </w:t>
      </w:r>
      <w:r>
        <w:rPr>
          <w:i/>
          <w:color w:val="212121"/>
          <w:sz w:val="18"/>
          <w:vertAlign w:val="baseline"/>
        </w:rPr>
        <w:t>health</w:t>
      </w:r>
      <w:r>
        <w:rPr>
          <w:i/>
          <w:color w:val="212121"/>
          <w:spacing w:val="-3"/>
          <w:sz w:val="18"/>
          <w:vertAlign w:val="baseline"/>
        </w:rPr>
        <w:t> </w:t>
      </w:r>
      <w:r>
        <w:rPr>
          <w:i/>
          <w:color w:val="212121"/>
          <w:sz w:val="18"/>
          <w:vertAlign w:val="baseline"/>
        </w:rPr>
        <w:t>services</w:t>
      </w:r>
      <w:r>
        <w:rPr>
          <w:i/>
          <w:color w:val="212121"/>
          <w:spacing w:val="-3"/>
          <w:sz w:val="18"/>
          <w:vertAlign w:val="baseline"/>
        </w:rPr>
        <w:t> </w:t>
      </w:r>
      <w:r>
        <w:rPr>
          <w:i/>
          <w:color w:val="212121"/>
          <w:sz w:val="18"/>
          <w:vertAlign w:val="baseline"/>
        </w:rPr>
        <w:t>&amp;</w:t>
      </w:r>
      <w:r>
        <w:rPr>
          <w:i/>
          <w:color w:val="212121"/>
          <w:spacing w:val="-3"/>
          <w:sz w:val="18"/>
          <w:vertAlign w:val="baseline"/>
        </w:rPr>
        <w:t> </w:t>
      </w:r>
      <w:r>
        <w:rPr>
          <w:i/>
          <w:color w:val="212121"/>
          <w:sz w:val="18"/>
          <w:vertAlign w:val="baseline"/>
        </w:rPr>
        <w:t>research</w:t>
      </w:r>
      <w:r>
        <w:rPr>
          <w:i/>
          <w:color w:val="212121"/>
          <w:spacing w:val="-3"/>
          <w:sz w:val="18"/>
          <w:vertAlign w:val="baseline"/>
        </w:rPr>
        <w:t> </w:t>
      </w:r>
      <w:r>
        <w:rPr>
          <w:color w:val="212121"/>
          <w:sz w:val="18"/>
          <w:vertAlign w:val="baseline"/>
        </w:rPr>
        <w:t>47,</w:t>
      </w:r>
      <w:r>
        <w:rPr>
          <w:color w:val="212121"/>
          <w:spacing w:val="-3"/>
          <w:sz w:val="18"/>
          <w:vertAlign w:val="baseline"/>
        </w:rPr>
        <w:t> </w:t>
      </w:r>
      <w:r>
        <w:rPr>
          <w:color w:val="212121"/>
          <w:sz w:val="18"/>
          <w:vertAlign w:val="baseline"/>
        </w:rPr>
        <w:t>no.</w:t>
      </w:r>
      <w:r>
        <w:rPr>
          <w:color w:val="212121"/>
          <w:spacing w:val="-2"/>
          <w:sz w:val="18"/>
          <w:vertAlign w:val="baseline"/>
        </w:rPr>
        <w:t> </w:t>
      </w:r>
      <w:r>
        <w:rPr>
          <w:color w:val="212121"/>
          <w:sz w:val="18"/>
          <w:vertAlign w:val="baseline"/>
        </w:rPr>
        <w:t>3</w:t>
      </w:r>
      <w:r>
        <w:rPr>
          <w:color w:val="212121"/>
          <w:spacing w:val="-2"/>
          <w:sz w:val="18"/>
          <w:vertAlign w:val="baseline"/>
        </w:rPr>
        <w:t> </w:t>
      </w:r>
      <w:r>
        <w:rPr>
          <w:color w:val="212121"/>
          <w:sz w:val="18"/>
          <w:vertAlign w:val="baseline"/>
        </w:rPr>
        <w:t>(2020):</w:t>
      </w:r>
      <w:r>
        <w:rPr>
          <w:color w:val="212121"/>
          <w:spacing w:val="-4"/>
          <w:sz w:val="18"/>
          <w:vertAlign w:val="baseline"/>
        </w:rPr>
        <w:t> </w:t>
      </w:r>
      <w:r>
        <w:rPr>
          <w:color w:val="212121"/>
          <w:sz w:val="18"/>
          <w:vertAlign w:val="baseline"/>
        </w:rPr>
        <w:t>424-431.</w:t>
      </w:r>
      <w:r>
        <w:rPr>
          <w:color w:val="212121"/>
          <w:spacing w:val="-2"/>
          <w:sz w:val="18"/>
          <w:vertAlign w:val="baseline"/>
        </w:rPr>
        <w:t> </w:t>
      </w:r>
      <w:r>
        <w:rPr>
          <w:sz w:val="18"/>
          <w:vertAlign w:val="superscript"/>
        </w:rPr>
        <w:t>39</w:t>
      </w:r>
      <w:r>
        <w:rPr>
          <w:spacing w:val="-13"/>
          <w:sz w:val="18"/>
          <w:vertAlign w:val="baseline"/>
        </w:rPr>
        <w:t> </w:t>
      </w:r>
      <w:r>
        <w:rPr>
          <w:sz w:val="18"/>
          <w:vertAlign w:val="baseline"/>
        </w:rPr>
        <w:t>Marcin,</w:t>
      </w:r>
      <w:r>
        <w:rPr>
          <w:spacing w:val="-3"/>
          <w:sz w:val="18"/>
          <w:vertAlign w:val="baseline"/>
        </w:rPr>
        <w:t> </w:t>
      </w:r>
      <w:r>
        <w:rPr>
          <w:sz w:val="18"/>
          <w:vertAlign w:val="baseline"/>
        </w:rPr>
        <w:t>James P., Ulfat Shaikh, and Robin H. Steinhorn. 2015. “Addressing Health Disparities in Rural Communities Using Telehealth.” </w:t>
      </w:r>
      <w:r>
        <w:rPr>
          <w:i/>
          <w:sz w:val="18"/>
          <w:vertAlign w:val="baseline"/>
        </w:rPr>
        <w:t>Pediatric Research </w:t>
      </w:r>
      <w:r>
        <w:rPr>
          <w:sz w:val="18"/>
          <w:vertAlign w:val="baseline"/>
        </w:rPr>
        <w:t>79 (1-2): 169–76. https://doi.org/10.1038/pr.2015.192.</w:t>
      </w:r>
    </w:p>
    <w:p>
      <w:pPr>
        <w:spacing w:line="276" w:lineRule="auto" w:before="0"/>
        <w:ind w:left="464" w:right="468" w:hanging="4"/>
        <w:jc w:val="left"/>
        <w:rPr>
          <w:sz w:val="18"/>
        </w:rPr>
      </w:pPr>
      <w:r>
        <w:rPr>
          <w:sz w:val="18"/>
          <w:vertAlign w:val="superscript"/>
        </w:rPr>
        <w:t>40</w:t>
      </w:r>
      <w:r>
        <w:rPr>
          <w:spacing w:val="-9"/>
          <w:sz w:val="18"/>
          <w:vertAlign w:val="baseline"/>
        </w:rPr>
        <w:t> </w:t>
      </w:r>
      <w:r>
        <w:rPr>
          <w:sz w:val="18"/>
          <w:vertAlign w:val="baseline"/>
        </w:rPr>
        <w:t>Marcin, J. P., J. Ellis, R. Mawis, E. Nagrampa, T. S. Nesbitt, and R. J. Dimand. 2003. “Using Telemedicine to Provide Pediatric</w:t>
      </w:r>
      <w:r>
        <w:rPr>
          <w:spacing w:val="-4"/>
          <w:sz w:val="18"/>
          <w:vertAlign w:val="baseline"/>
        </w:rPr>
        <w:t> </w:t>
      </w:r>
      <w:r>
        <w:rPr>
          <w:sz w:val="18"/>
          <w:vertAlign w:val="baseline"/>
        </w:rPr>
        <w:t>Subspecialty</w:t>
      </w:r>
      <w:r>
        <w:rPr>
          <w:spacing w:val="-3"/>
          <w:sz w:val="18"/>
          <w:vertAlign w:val="baseline"/>
        </w:rPr>
        <w:t> </w:t>
      </w:r>
      <w:r>
        <w:rPr>
          <w:sz w:val="18"/>
          <w:vertAlign w:val="baseline"/>
        </w:rPr>
        <w:t>Care</w:t>
      </w:r>
      <w:r>
        <w:rPr>
          <w:spacing w:val="-3"/>
          <w:sz w:val="18"/>
          <w:vertAlign w:val="baseline"/>
        </w:rPr>
        <w:t> </w:t>
      </w:r>
      <w:r>
        <w:rPr>
          <w:sz w:val="18"/>
          <w:vertAlign w:val="baseline"/>
        </w:rPr>
        <w:t>to</w:t>
      </w:r>
      <w:r>
        <w:rPr>
          <w:spacing w:val="-3"/>
          <w:sz w:val="18"/>
          <w:vertAlign w:val="baseline"/>
        </w:rPr>
        <w:t> </w:t>
      </w:r>
      <w:r>
        <w:rPr>
          <w:sz w:val="18"/>
          <w:vertAlign w:val="baseline"/>
        </w:rPr>
        <w:t>Children</w:t>
      </w:r>
      <w:r>
        <w:rPr>
          <w:spacing w:val="-3"/>
          <w:sz w:val="18"/>
          <w:vertAlign w:val="baseline"/>
        </w:rPr>
        <w:t> </w:t>
      </w:r>
      <w:r>
        <w:rPr>
          <w:sz w:val="18"/>
          <w:vertAlign w:val="baseline"/>
        </w:rPr>
        <w:t>with</w:t>
      </w:r>
      <w:r>
        <w:rPr>
          <w:spacing w:val="-3"/>
          <w:sz w:val="18"/>
          <w:vertAlign w:val="baseline"/>
        </w:rPr>
        <w:t> </w:t>
      </w:r>
      <w:r>
        <w:rPr>
          <w:sz w:val="18"/>
          <w:vertAlign w:val="baseline"/>
        </w:rPr>
        <w:t>Special</w:t>
      </w:r>
      <w:r>
        <w:rPr>
          <w:spacing w:val="-4"/>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Needs</w:t>
      </w:r>
      <w:r>
        <w:rPr>
          <w:spacing w:val="-3"/>
          <w:sz w:val="18"/>
          <w:vertAlign w:val="baseline"/>
        </w:rPr>
        <w:t> </w:t>
      </w:r>
      <w:r>
        <w:rPr>
          <w:sz w:val="18"/>
          <w:vertAlign w:val="baseline"/>
        </w:rPr>
        <w:t>in</w:t>
      </w:r>
      <w:r>
        <w:rPr>
          <w:spacing w:val="-3"/>
          <w:sz w:val="18"/>
          <w:vertAlign w:val="baseline"/>
        </w:rPr>
        <w:t> </w:t>
      </w:r>
      <w:r>
        <w:rPr>
          <w:sz w:val="18"/>
          <w:vertAlign w:val="baseline"/>
        </w:rPr>
        <w:t>an</w:t>
      </w:r>
      <w:r>
        <w:rPr>
          <w:spacing w:val="-3"/>
          <w:sz w:val="18"/>
          <w:vertAlign w:val="baseline"/>
        </w:rPr>
        <w:t> </w:t>
      </w:r>
      <w:r>
        <w:rPr>
          <w:sz w:val="18"/>
          <w:vertAlign w:val="baseline"/>
        </w:rPr>
        <w:t>Underserved</w:t>
      </w:r>
      <w:r>
        <w:rPr>
          <w:spacing w:val="-3"/>
          <w:sz w:val="18"/>
          <w:vertAlign w:val="baseline"/>
        </w:rPr>
        <w:t> </w:t>
      </w:r>
      <w:r>
        <w:rPr>
          <w:sz w:val="18"/>
          <w:vertAlign w:val="baseline"/>
        </w:rPr>
        <w:t>Rural</w:t>
      </w:r>
      <w:r>
        <w:rPr>
          <w:spacing w:val="-4"/>
          <w:sz w:val="18"/>
          <w:vertAlign w:val="baseline"/>
        </w:rPr>
        <w:t> </w:t>
      </w:r>
      <w:r>
        <w:rPr>
          <w:sz w:val="18"/>
          <w:vertAlign w:val="baseline"/>
        </w:rPr>
        <w:t>Community.”</w:t>
      </w:r>
      <w:r>
        <w:rPr>
          <w:spacing w:val="-3"/>
          <w:sz w:val="18"/>
          <w:vertAlign w:val="baseline"/>
        </w:rPr>
        <w:t> </w:t>
      </w:r>
      <w:r>
        <w:rPr>
          <w:i/>
          <w:sz w:val="18"/>
          <w:vertAlign w:val="baseline"/>
        </w:rPr>
        <w:t>PEDIATRICS</w:t>
      </w:r>
      <w:r>
        <w:rPr>
          <w:i/>
          <w:sz w:val="18"/>
          <w:vertAlign w:val="baseline"/>
        </w:rPr>
        <w:t> </w:t>
      </w:r>
      <w:r>
        <w:rPr>
          <w:sz w:val="18"/>
          <w:vertAlign w:val="baseline"/>
        </w:rPr>
        <w:t>113 (1): 1–6. https://doi.org/10.1542/peds.113.1.1.</w:t>
      </w:r>
    </w:p>
    <w:p>
      <w:pPr>
        <w:spacing w:line="276" w:lineRule="auto" w:before="0"/>
        <w:ind w:left="464" w:right="740" w:firstLine="1"/>
        <w:jc w:val="both"/>
        <w:rPr>
          <w:sz w:val="18"/>
        </w:rPr>
      </w:pPr>
      <w:r>
        <w:rPr>
          <w:sz w:val="18"/>
          <w:vertAlign w:val="superscript"/>
        </w:rPr>
        <w:t>41</w:t>
      </w:r>
      <w:r>
        <w:rPr>
          <w:spacing w:val="-11"/>
          <w:sz w:val="18"/>
          <w:vertAlign w:val="baseline"/>
        </w:rPr>
        <w:t> </w:t>
      </w:r>
      <w:r>
        <w:rPr>
          <w:sz w:val="18"/>
          <w:vertAlign w:val="baseline"/>
        </w:rPr>
        <w:t>McGregor,</w:t>
      </w:r>
      <w:r>
        <w:rPr>
          <w:spacing w:val="-7"/>
          <w:sz w:val="18"/>
          <w:vertAlign w:val="baseline"/>
        </w:rPr>
        <w:t> </w:t>
      </w:r>
      <w:r>
        <w:rPr>
          <w:sz w:val="18"/>
          <w:vertAlign w:val="baseline"/>
        </w:rPr>
        <w:t>Kerry,</w:t>
      </w:r>
      <w:r>
        <w:rPr>
          <w:spacing w:val="-3"/>
          <w:sz w:val="18"/>
          <w:vertAlign w:val="baseline"/>
        </w:rPr>
        <w:t> </w:t>
      </w:r>
      <w:r>
        <w:rPr>
          <w:sz w:val="18"/>
          <w:vertAlign w:val="baseline"/>
        </w:rPr>
        <w:t>Coleen</w:t>
      </w:r>
      <w:r>
        <w:rPr>
          <w:spacing w:val="-3"/>
          <w:sz w:val="18"/>
          <w:vertAlign w:val="baseline"/>
        </w:rPr>
        <w:t> </w:t>
      </w:r>
      <w:r>
        <w:rPr>
          <w:sz w:val="18"/>
          <w:vertAlign w:val="baseline"/>
        </w:rPr>
        <w:t>R</w:t>
      </w:r>
      <w:r>
        <w:rPr>
          <w:spacing w:val="-3"/>
          <w:sz w:val="18"/>
          <w:vertAlign w:val="baseline"/>
        </w:rPr>
        <w:t> </w:t>
      </w:r>
      <w:r>
        <w:rPr>
          <w:sz w:val="18"/>
          <w:vertAlign w:val="baseline"/>
        </w:rPr>
        <w:t>Williams,</w:t>
      </w:r>
      <w:r>
        <w:rPr>
          <w:spacing w:val="-3"/>
          <w:sz w:val="18"/>
          <w:vertAlign w:val="baseline"/>
        </w:rPr>
        <w:t> </w:t>
      </w:r>
      <w:r>
        <w:rPr>
          <w:sz w:val="18"/>
          <w:vertAlign w:val="baseline"/>
        </w:rPr>
        <w:t>Ariel</w:t>
      </w:r>
      <w:r>
        <w:rPr>
          <w:spacing w:val="-3"/>
          <w:sz w:val="18"/>
          <w:vertAlign w:val="baseline"/>
        </w:rPr>
        <w:t> </w:t>
      </w:r>
      <w:r>
        <w:rPr>
          <w:sz w:val="18"/>
          <w:vertAlign w:val="baseline"/>
        </w:rPr>
        <w:t>Botta,</w:t>
      </w:r>
      <w:r>
        <w:rPr>
          <w:spacing w:val="-4"/>
          <w:sz w:val="18"/>
          <w:vertAlign w:val="baseline"/>
        </w:rPr>
        <w:t> </w:t>
      </w:r>
      <w:r>
        <w:rPr>
          <w:sz w:val="18"/>
          <w:vertAlign w:val="baseline"/>
        </w:rPr>
        <w:t>Francie</w:t>
      </w:r>
      <w:r>
        <w:rPr>
          <w:spacing w:val="-3"/>
          <w:sz w:val="18"/>
          <w:vertAlign w:val="baseline"/>
        </w:rPr>
        <w:t> </w:t>
      </w:r>
      <w:r>
        <w:rPr>
          <w:sz w:val="18"/>
          <w:vertAlign w:val="baseline"/>
        </w:rPr>
        <w:t>Mandel,</w:t>
      </w:r>
      <w:r>
        <w:rPr>
          <w:spacing w:val="-3"/>
          <w:sz w:val="18"/>
          <w:vertAlign w:val="baseline"/>
        </w:rPr>
        <w:t> </w:t>
      </w:r>
      <w:r>
        <w:rPr>
          <w:sz w:val="18"/>
          <w:vertAlign w:val="baseline"/>
        </w:rPr>
        <w:t>and</w:t>
      </w:r>
      <w:r>
        <w:rPr>
          <w:spacing w:val="-3"/>
          <w:sz w:val="18"/>
          <w:vertAlign w:val="baseline"/>
        </w:rPr>
        <w:t> </w:t>
      </w:r>
      <w:r>
        <w:rPr>
          <w:sz w:val="18"/>
          <w:vertAlign w:val="baseline"/>
        </w:rPr>
        <w:t>Jennifer</w:t>
      </w:r>
      <w:r>
        <w:rPr>
          <w:spacing w:val="-4"/>
          <w:sz w:val="18"/>
          <w:vertAlign w:val="baseline"/>
        </w:rPr>
        <w:t> </w:t>
      </w:r>
      <w:r>
        <w:rPr>
          <w:sz w:val="18"/>
          <w:vertAlign w:val="baseline"/>
        </w:rPr>
        <w:t>Gentile.</w:t>
      </w:r>
      <w:r>
        <w:rPr>
          <w:spacing w:val="-3"/>
          <w:sz w:val="18"/>
          <w:vertAlign w:val="baseline"/>
        </w:rPr>
        <w:t> </w:t>
      </w:r>
      <w:r>
        <w:rPr>
          <w:sz w:val="18"/>
          <w:vertAlign w:val="baseline"/>
        </w:rPr>
        <w:t>“Providing</w:t>
      </w:r>
      <w:r>
        <w:rPr>
          <w:spacing w:val="-3"/>
          <w:sz w:val="18"/>
          <w:vertAlign w:val="baseline"/>
        </w:rPr>
        <w:t> </w:t>
      </w:r>
      <w:r>
        <w:rPr>
          <w:sz w:val="18"/>
          <w:vertAlign w:val="baseline"/>
        </w:rPr>
        <w:t>Essential</w:t>
      </w:r>
      <w:r>
        <w:rPr>
          <w:spacing w:val="-3"/>
          <w:sz w:val="18"/>
          <w:vertAlign w:val="baseline"/>
        </w:rPr>
        <w:t> </w:t>
      </w:r>
      <w:r>
        <w:rPr>
          <w:sz w:val="18"/>
          <w:vertAlign w:val="baseline"/>
        </w:rPr>
        <w:t>Gender- Affirming</w:t>
      </w:r>
      <w:r>
        <w:rPr>
          <w:spacing w:val="-1"/>
          <w:sz w:val="18"/>
          <w:vertAlign w:val="baseline"/>
        </w:rPr>
        <w:t> </w:t>
      </w:r>
      <w:r>
        <w:rPr>
          <w:sz w:val="18"/>
          <w:vertAlign w:val="baseline"/>
        </w:rPr>
        <w:t>Telehealth</w:t>
      </w:r>
      <w:r>
        <w:rPr>
          <w:spacing w:val="-1"/>
          <w:sz w:val="18"/>
          <w:vertAlign w:val="baseline"/>
        </w:rPr>
        <w:t> </w:t>
      </w:r>
      <w:r>
        <w:rPr>
          <w:sz w:val="18"/>
          <w:vertAlign w:val="baseline"/>
        </w:rPr>
        <w:t>Services</w:t>
      </w:r>
      <w:r>
        <w:rPr>
          <w:spacing w:val="-1"/>
          <w:sz w:val="18"/>
          <w:vertAlign w:val="baseline"/>
        </w:rPr>
        <w:t> </w:t>
      </w:r>
      <w:r>
        <w:rPr>
          <w:sz w:val="18"/>
          <w:vertAlign w:val="baseline"/>
        </w:rPr>
        <w:t>to</w:t>
      </w:r>
      <w:r>
        <w:rPr>
          <w:spacing w:val="-1"/>
          <w:sz w:val="18"/>
          <w:vertAlign w:val="baseline"/>
        </w:rPr>
        <w:t> </w:t>
      </w:r>
      <w:r>
        <w:rPr>
          <w:sz w:val="18"/>
          <w:vertAlign w:val="baseline"/>
        </w:rPr>
        <w:t>Transgender</w:t>
      </w:r>
      <w:r>
        <w:rPr>
          <w:spacing w:val="-2"/>
          <w:sz w:val="18"/>
          <w:vertAlign w:val="baseline"/>
        </w:rPr>
        <w:t> </w:t>
      </w:r>
      <w:r>
        <w:rPr>
          <w:sz w:val="18"/>
          <w:vertAlign w:val="baseline"/>
        </w:rPr>
        <w:t>Youth</w:t>
      </w:r>
      <w:r>
        <w:rPr>
          <w:spacing w:val="-1"/>
          <w:sz w:val="18"/>
          <w:vertAlign w:val="baseline"/>
        </w:rPr>
        <w:t> </w:t>
      </w:r>
      <w:r>
        <w:rPr>
          <w:sz w:val="18"/>
          <w:vertAlign w:val="baseline"/>
        </w:rPr>
        <w:t>during</w:t>
      </w:r>
      <w:r>
        <w:rPr>
          <w:spacing w:val="-1"/>
          <w:sz w:val="18"/>
          <w:vertAlign w:val="baseline"/>
        </w:rPr>
        <w:t> </w:t>
      </w:r>
      <w:r>
        <w:rPr>
          <w:sz w:val="18"/>
          <w:vertAlign w:val="baseline"/>
        </w:rPr>
        <w:t>COVID-19:</w:t>
      </w:r>
      <w:r>
        <w:rPr>
          <w:spacing w:val="-1"/>
          <w:sz w:val="18"/>
          <w:vertAlign w:val="baseline"/>
        </w:rPr>
        <w:t> </w:t>
      </w:r>
      <w:r>
        <w:rPr>
          <w:sz w:val="18"/>
          <w:vertAlign w:val="baseline"/>
        </w:rPr>
        <w:t>A</w:t>
      </w:r>
      <w:r>
        <w:rPr>
          <w:spacing w:val="-1"/>
          <w:sz w:val="18"/>
          <w:vertAlign w:val="baseline"/>
        </w:rPr>
        <w:t> </w:t>
      </w:r>
      <w:r>
        <w:rPr>
          <w:sz w:val="18"/>
          <w:vertAlign w:val="baseline"/>
        </w:rPr>
        <w:t>Service</w:t>
      </w:r>
      <w:r>
        <w:rPr>
          <w:spacing w:val="-1"/>
          <w:sz w:val="18"/>
          <w:vertAlign w:val="baseline"/>
        </w:rPr>
        <w:t> </w:t>
      </w:r>
      <w:r>
        <w:rPr>
          <w:sz w:val="18"/>
          <w:vertAlign w:val="baseline"/>
        </w:rPr>
        <w:t>Review.”</w:t>
      </w:r>
      <w:r>
        <w:rPr>
          <w:spacing w:val="-1"/>
          <w:sz w:val="18"/>
          <w:vertAlign w:val="baseline"/>
        </w:rPr>
        <w:t> </w:t>
      </w:r>
      <w:r>
        <w:rPr>
          <w:i/>
          <w:sz w:val="18"/>
          <w:vertAlign w:val="baseline"/>
        </w:rPr>
        <w:t>Journal</w:t>
      </w:r>
      <w:r>
        <w:rPr>
          <w:i/>
          <w:spacing w:val="-1"/>
          <w:sz w:val="18"/>
          <w:vertAlign w:val="baseline"/>
        </w:rPr>
        <w:t> </w:t>
      </w:r>
      <w:r>
        <w:rPr>
          <w:i/>
          <w:sz w:val="18"/>
          <w:vertAlign w:val="baseline"/>
        </w:rPr>
        <w:t>of</w:t>
      </w:r>
      <w:r>
        <w:rPr>
          <w:i/>
          <w:spacing w:val="-1"/>
          <w:sz w:val="18"/>
          <w:vertAlign w:val="baseline"/>
        </w:rPr>
        <w:t> </w:t>
      </w:r>
      <w:r>
        <w:rPr>
          <w:i/>
          <w:sz w:val="18"/>
          <w:vertAlign w:val="baseline"/>
        </w:rPr>
        <w:t>Telemedicine</w:t>
      </w:r>
      <w:r>
        <w:rPr>
          <w:i/>
          <w:spacing w:val="-1"/>
          <w:sz w:val="18"/>
          <w:vertAlign w:val="baseline"/>
        </w:rPr>
        <w:t> </w:t>
      </w:r>
      <w:r>
        <w:rPr>
          <w:i/>
          <w:sz w:val="18"/>
          <w:vertAlign w:val="baseline"/>
        </w:rPr>
        <w:t>and</w:t>
      </w:r>
      <w:r>
        <w:rPr>
          <w:i/>
          <w:sz w:val="18"/>
          <w:vertAlign w:val="baseline"/>
        </w:rPr>
        <w:t> Telecare </w:t>
      </w:r>
      <w:r>
        <w:rPr>
          <w:sz w:val="18"/>
          <w:vertAlign w:val="baseline"/>
        </w:rPr>
        <w:t>29, no. 2 (2022): 147–52. https://doi.org/10.1177/1357633x221095785.</w:t>
      </w:r>
    </w:p>
    <w:p>
      <w:pPr>
        <w:spacing w:line="276" w:lineRule="auto" w:before="0"/>
        <w:ind w:left="464" w:right="288" w:firstLine="0"/>
        <w:jc w:val="left"/>
        <w:rPr>
          <w:sz w:val="18"/>
        </w:rPr>
      </w:pPr>
      <w:r>
        <w:rPr>
          <w:sz w:val="18"/>
          <w:vertAlign w:val="superscript"/>
        </w:rPr>
        <w:t>42</w:t>
      </w:r>
      <w:r>
        <w:rPr>
          <w:spacing w:val="-8"/>
          <w:sz w:val="18"/>
          <w:vertAlign w:val="baseline"/>
        </w:rPr>
        <w:t> </w:t>
      </w:r>
      <w:r>
        <w:rPr>
          <w:sz w:val="18"/>
          <w:vertAlign w:val="baseline"/>
        </w:rPr>
        <w:t>Schoenberg, Shira. 2022. “Early Data Finds Telehealth Is Largely Cost Neutral.” CommonWealth Magazine. October 12, 2022. https://commonwealthmagazine.org/health-care/early-data-finds-telehealth-is-largely-cost-neutral/. </w:t>
      </w:r>
      <w:r>
        <w:rPr>
          <w:sz w:val="18"/>
          <w:vertAlign w:val="superscript"/>
        </w:rPr>
        <w:t>43</w:t>
      </w:r>
      <w:r>
        <w:rPr>
          <w:sz w:val="18"/>
          <w:vertAlign w:val="baseline"/>
        </w:rPr>
        <w:t> Gridley SJ, Crouch JM, Evans Y, Eng W, Antoon E, Lyapustina M, Schimmel-Bristow A, Woodward J, Dundon K, Schaff R, McCarty C, Ahrens</w:t>
      </w:r>
      <w:r>
        <w:rPr>
          <w:spacing w:val="-3"/>
          <w:sz w:val="18"/>
          <w:vertAlign w:val="baseline"/>
        </w:rPr>
        <w:t> </w:t>
      </w:r>
      <w:r>
        <w:rPr>
          <w:sz w:val="18"/>
          <w:vertAlign w:val="baseline"/>
        </w:rPr>
        <w:t>K,</w:t>
      </w:r>
      <w:r>
        <w:rPr>
          <w:spacing w:val="-3"/>
          <w:sz w:val="18"/>
          <w:vertAlign w:val="baseline"/>
        </w:rPr>
        <w:t> </w:t>
      </w:r>
      <w:r>
        <w:rPr>
          <w:sz w:val="18"/>
          <w:vertAlign w:val="baseline"/>
        </w:rPr>
        <w:t>Breland</w:t>
      </w:r>
      <w:r>
        <w:rPr>
          <w:spacing w:val="-3"/>
          <w:sz w:val="18"/>
          <w:vertAlign w:val="baseline"/>
        </w:rPr>
        <w:t> </w:t>
      </w:r>
      <w:r>
        <w:rPr>
          <w:sz w:val="18"/>
          <w:vertAlign w:val="baseline"/>
        </w:rPr>
        <w:t>DJ.</w:t>
      </w:r>
      <w:r>
        <w:rPr>
          <w:spacing w:val="-3"/>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Caregiver</w:t>
      </w:r>
      <w:r>
        <w:rPr>
          <w:spacing w:val="-3"/>
          <w:sz w:val="18"/>
          <w:vertAlign w:val="baseline"/>
        </w:rPr>
        <w:t> </w:t>
      </w:r>
      <w:r>
        <w:rPr>
          <w:sz w:val="18"/>
          <w:vertAlign w:val="baseline"/>
        </w:rPr>
        <w:t>Perspectives</w:t>
      </w:r>
      <w:r>
        <w:rPr>
          <w:spacing w:val="-3"/>
          <w:sz w:val="18"/>
          <w:vertAlign w:val="baseline"/>
        </w:rPr>
        <w:t> </w:t>
      </w:r>
      <w:r>
        <w:rPr>
          <w:sz w:val="18"/>
          <w:vertAlign w:val="baseline"/>
        </w:rPr>
        <w:t>on</w:t>
      </w:r>
      <w:r>
        <w:rPr>
          <w:spacing w:val="-3"/>
          <w:sz w:val="18"/>
          <w:vertAlign w:val="baseline"/>
        </w:rPr>
        <w:t> </w:t>
      </w:r>
      <w:r>
        <w:rPr>
          <w:sz w:val="18"/>
          <w:vertAlign w:val="baseline"/>
        </w:rPr>
        <w:t>Barriers</w:t>
      </w:r>
      <w:r>
        <w:rPr>
          <w:spacing w:val="-3"/>
          <w:sz w:val="18"/>
          <w:vertAlign w:val="baseline"/>
        </w:rPr>
        <w:t> </w:t>
      </w:r>
      <w:r>
        <w:rPr>
          <w:sz w:val="18"/>
          <w:vertAlign w:val="baseline"/>
        </w:rPr>
        <w:t>to</w:t>
      </w:r>
      <w:r>
        <w:rPr>
          <w:spacing w:val="-3"/>
          <w:sz w:val="18"/>
          <w:vertAlign w:val="baseline"/>
        </w:rPr>
        <w:t> </w:t>
      </w:r>
      <w:r>
        <w:rPr>
          <w:sz w:val="18"/>
          <w:vertAlign w:val="baseline"/>
        </w:rPr>
        <w:t>Gender-Affirming</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Youth. J Adolesc Health. 2016 Sep;59(3):254-261. doi: 10.1016/j.jadohealth.2016.03.017. Epub 2016 May 24. PMID: 27235374. </w:t>
      </w:r>
      <w:r>
        <w:rPr>
          <w:sz w:val="18"/>
          <w:vertAlign w:val="superscript"/>
        </w:rPr>
        <w:t>44</w:t>
      </w:r>
      <w:r>
        <w:rPr>
          <w:sz w:val="18"/>
          <w:vertAlign w:val="baseline"/>
        </w:rPr>
        <w:t> Reisner, Sari &amp; Benyishay, Matan &amp; Stott, Brooke &amp; Vedilago, Virginia &amp; Almazan, Anthony &amp; Keuroghlian, Alex. (2021).</w:t>
      </w:r>
    </w:p>
    <w:p>
      <w:pPr>
        <w:spacing w:line="276" w:lineRule="auto" w:before="0"/>
        <w:ind w:left="463" w:right="0" w:firstLine="0"/>
        <w:jc w:val="left"/>
        <w:rPr>
          <w:sz w:val="18"/>
        </w:rPr>
      </w:pPr>
      <w:r>
        <w:rPr>
          <w:sz w:val="18"/>
        </w:rPr>
        <w:t>Gender-Affirming</w:t>
      </w:r>
      <w:r>
        <w:rPr>
          <w:spacing w:val="-2"/>
          <w:sz w:val="18"/>
        </w:rPr>
        <w:t> </w:t>
      </w:r>
      <w:r>
        <w:rPr>
          <w:sz w:val="18"/>
        </w:rPr>
        <w:t>Mental</w:t>
      </w:r>
      <w:r>
        <w:rPr>
          <w:spacing w:val="-3"/>
          <w:sz w:val="18"/>
        </w:rPr>
        <w:t> </w:t>
      </w:r>
      <w:r>
        <w:rPr>
          <w:sz w:val="18"/>
        </w:rPr>
        <w:t>Health</w:t>
      </w:r>
      <w:r>
        <w:rPr>
          <w:spacing w:val="-2"/>
          <w:sz w:val="18"/>
        </w:rPr>
        <w:t> </w:t>
      </w:r>
      <w:r>
        <w:rPr>
          <w:sz w:val="18"/>
        </w:rPr>
        <w:t>Care</w:t>
      </w:r>
      <w:r>
        <w:rPr>
          <w:spacing w:val="-2"/>
          <w:sz w:val="18"/>
        </w:rPr>
        <w:t> </w:t>
      </w:r>
      <w:r>
        <w:rPr>
          <w:sz w:val="18"/>
        </w:rPr>
        <w:t>Access</w:t>
      </w:r>
      <w:r>
        <w:rPr>
          <w:spacing w:val="-2"/>
          <w:sz w:val="18"/>
        </w:rPr>
        <w:t> </w:t>
      </w:r>
      <w:r>
        <w:rPr>
          <w:sz w:val="18"/>
        </w:rPr>
        <w:t>and</w:t>
      </w:r>
      <w:r>
        <w:rPr>
          <w:spacing w:val="-3"/>
          <w:sz w:val="18"/>
        </w:rPr>
        <w:t> </w:t>
      </w:r>
      <w:r>
        <w:rPr>
          <w:sz w:val="18"/>
        </w:rPr>
        <w:t>Utilization</w:t>
      </w:r>
      <w:r>
        <w:rPr>
          <w:spacing w:val="-2"/>
          <w:sz w:val="18"/>
        </w:rPr>
        <w:t> </w:t>
      </w:r>
      <w:r>
        <w:rPr>
          <w:sz w:val="18"/>
        </w:rPr>
        <w:t>Among</w:t>
      </w:r>
      <w:r>
        <w:rPr>
          <w:spacing w:val="-2"/>
          <w:sz w:val="18"/>
        </w:rPr>
        <w:t> </w:t>
      </w:r>
      <w:r>
        <w:rPr>
          <w:sz w:val="18"/>
        </w:rPr>
        <w:t>Rural</w:t>
      </w:r>
      <w:r>
        <w:rPr>
          <w:spacing w:val="-3"/>
          <w:sz w:val="18"/>
        </w:rPr>
        <w:t> </w:t>
      </w:r>
      <w:r>
        <w:rPr>
          <w:sz w:val="18"/>
        </w:rPr>
        <w:t>Transgender</w:t>
      </w:r>
      <w:r>
        <w:rPr>
          <w:spacing w:val="-3"/>
          <w:sz w:val="18"/>
        </w:rPr>
        <w:t> </w:t>
      </w:r>
      <w:r>
        <w:rPr>
          <w:sz w:val="18"/>
        </w:rPr>
        <w:t>and</w:t>
      </w:r>
      <w:r>
        <w:rPr>
          <w:spacing w:val="-2"/>
          <w:sz w:val="18"/>
        </w:rPr>
        <w:t> </w:t>
      </w:r>
      <w:r>
        <w:rPr>
          <w:sz w:val="18"/>
        </w:rPr>
        <w:t>Gender</w:t>
      </w:r>
      <w:r>
        <w:rPr>
          <w:spacing w:val="-4"/>
          <w:sz w:val="18"/>
        </w:rPr>
        <w:t> </w:t>
      </w:r>
      <w:r>
        <w:rPr>
          <w:sz w:val="18"/>
        </w:rPr>
        <w:t>Diverse</w:t>
      </w:r>
      <w:r>
        <w:rPr>
          <w:spacing w:val="-2"/>
          <w:sz w:val="18"/>
        </w:rPr>
        <w:t> </w:t>
      </w:r>
      <w:r>
        <w:rPr>
          <w:sz w:val="18"/>
        </w:rPr>
        <w:t>Adults</w:t>
      </w:r>
      <w:r>
        <w:rPr>
          <w:spacing w:val="-2"/>
          <w:sz w:val="18"/>
        </w:rPr>
        <w:t> </w:t>
      </w:r>
      <w:r>
        <w:rPr>
          <w:sz w:val="18"/>
        </w:rPr>
        <w:t>in</w:t>
      </w:r>
      <w:r>
        <w:rPr>
          <w:spacing w:val="-3"/>
          <w:sz w:val="18"/>
        </w:rPr>
        <w:t> </w:t>
      </w:r>
      <w:r>
        <w:rPr>
          <w:sz w:val="18"/>
        </w:rPr>
        <w:t>Five Northeastern U.S. States. Transgender Health. 7. 10.1089/trgh.2021.0010.</w:t>
      </w:r>
    </w:p>
    <w:p>
      <w:pPr>
        <w:spacing w:line="276" w:lineRule="auto" w:before="0"/>
        <w:ind w:left="463" w:right="228" w:firstLine="0"/>
        <w:jc w:val="left"/>
        <w:rPr>
          <w:sz w:val="18"/>
        </w:rPr>
      </w:pPr>
      <w:r>
        <w:rPr>
          <w:sz w:val="18"/>
          <w:vertAlign w:val="superscript"/>
        </w:rPr>
        <w:t>45</w:t>
      </w:r>
      <w:r>
        <w:rPr>
          <w:spacing w:val="-13"/>
          <w:sz w:val="18"/>
          <w:vertAlign w:val="baseline"/>
        </w:rPr>
        <w:t> </w:t>
      </w:r>
      <w:r>
        <w:rPr>
          <w:sz w:val="18"/>
          <w:vertAlign w:val="baseline"/>
        </w:rPr>
        <w:t>Nowaskie,</w:t>
      </w:r>
      <w:r>
        <w:rPr>
          <w:spacing w:val="-5"/>
          <w:sz w:val="18"/>
          <w:vertAlign w:val="baseline"/>
        </w:rPr>
        <w:t> </w:t>
      </w:r>
      <w:r>
        <w:rPr>
          <w:sz w:val="18"/>
          <w:vertAlign w:val="baseline"/>
        </w:rPr>
        <w:t>Dustin</w:t>
      </w:r>
      <w:r>
        <w:rPr>
          <w:spacing w:val="-2"/>
          <w:sz w:val="18"/>
          <w:vertAlign w:val="baseline"/>
        </w:rPr>
        <w:t> </w:t>
      </w:r>
      <w:r>
        <w:rPr>
          <w:sz w:val="18"/>
          <w:vertAlign w:val="baseline"/>
        </w:rPr>
        <w:t>Z.,</w:t>
      </w:r>
      <w:r>
        <w:rPr>
          <w:spacing w:val="-3"/>
          <w:sz w:val="18"/>
          <w:vertAlign w:val="baseline"/>
        </w:rPr>
        <w:t> </w:t>
      </w:r>
      <w:r>
        <w:rPr>
          <w:sz w:val="18"/>
          <w:vertAlign w:val="baseline"/>
        </w:rPr>
        <w:t>and</w:t>
      </w:r>
      <w:r>
        <w:rPr>
          <w:spacing w:val="-2"/>
          <w:sz w:val="18"/>
          <w:vertAlign w:val="baseline"/>
        </w:rPr>
        <w:t> </w:t>
      </w:r>
      <w:r>
        <w:rPr>
          <w:sz w:val="18"/>
          <w:vertAlign w:val="baseline"/>
        </w:rPr>
        <w:t>John</w:t>
      </w:r>
      <w:r>
        <w:rPr>
          <w:spacing w:val="-2"/>
          <w:sz w:val="18"/>
          <w:vertAlign w:val="baseline"/>
        </w:rPr>
        <w:t> </w:t>
      </w:r>
      <w:r>
        <w:rPr>
          <w:sz w:val="18"/>
          <w:vertAlign w:val="baseline"/>
        </w:rPr>
        <w:t>S.</w:t>
      </w:r>
      <w:r>
        <w:rPr>
          <w:spacing w:val="-2"/>
          <w:sz w:val="18"/>
          <w:vertAlign w:val="baseline"/>
        </w:rPr>
        <w:t> </w:t>
      </w:r>
      <w:r>
        <w:rPr>
          <w:sz w:val="18"/>
          <w:vertAlign w:val="baseline"/>
        </w:rPr>
        <w:t>Sowinski.</w:t>
      </w:r>
      <w:r>
        <w:rPr>
          <w:spacing w:val="-2"/>
          <w:sz w:val="18"/>
          <w:vertAlign w:val="baseline"/>
        </w:rPr>
        <w:t> </w:t>
      </w:r>
      <w:r>
        <w:rPr>
          <w:sz w:val="18"/>
          <w:vertAlign w:val="baseline"/>
        </w:rPr>
        <w:t>2018.</w:t>
      </w:r>
      <w:r>
        <w:rPr>
          <w:spacing w:val="-2"/>
          <w:sz w:val="18"/>
          <w:vertAlign w:val="baseline"/>
        </w:rPr>
        <w:t> </w:t>
      </w:r>
      <w:r>
        <w:rPr>
          <w:sz w:val="18"/>
          <w:vertAlign w:val="baseline"/>
        </w:rPr>
        <w:t>“Primary</w:t>
      </w:r>
      <w:r>
        <w:rPr>
          <w:spacing w:val="-2"/>
          <w:sz w:val="18"/>
          <w:vertAlign w:val="baseline"/>
        </w:rPr>
        <w:t> </w:t>
      </w:r>
      <w:r>
        <w:rPr>
          <w:sz w:val="18"/>
          <w:vertAlign w:val="baseline"/>
        </w:rPr>
        <w:t>Care</w:t>
      </w:r>
      <w:r>
        <w:rPr>
          <w:spacing w:val="-3"/>
          <w:sz w:val="18"/>
          <w:vertAlign w:val="baseline"/>
        </w:rPr>
        <w:t> </w:t>
      </w:r>
      <w:r>
        <w:rPr>
          <w:sz w:val="18"/>
          <w:vertAlign w:val="baseline"/>
        </w:rPr>
        <w:t>Providers’</w:t>
      </w:r>
      <w:r>
        <w:rPr>
          <w:spacing w:val="-3"/>
          <w:sz w:val="18"/>
          <w:vertAlign w:val="baseline"/>
        </w:rPr>
        <w:t> </w:t>
      </w:r>
      <w:r>
        <w:rPr>
          <w:sz w:val="18"/>
          <w:vertAlign w:val="baseline"/>
        </w:rPr>
        <w:t>Attitudes,</w:t>
      </w:r>
      <w:r>
        <w:rPr>
          <w:spacing w:val="-3"/>
          <w:sz w:val="18"/>
          <w:vertAlign w:val="baseline"/>
        </w:rPr>
        <w:t> </w:t>
      </w:r>
      <w:r>
        <w:rPr>
          <w:sz w:val="18"/>
          <w:vertAlign w:val="baseline"/>
        </w:rPr>
        <w:t>Practices,</w:t>
      </w:r>
      <w:r>
        <w:rPr>
          <w:spacing w:val="-3"/>
          <w:sz w:val="18"/>
          <w:vertAlign w:val="baseline"/>
        </w:rPr>
        <w:t> </w:t>
      </w:r>
      <w:r>
        <w:rPr>
          <w:sz w:val="18"/>
          <w:vertAlign w:val="baseline"/>
        </w:rPr>
        <w:t>and</w:t>
      </w:r>
      <w:r>
        <w:rPr>
          <w:spacing w:val="-2"/>
          <w:sz w:val="18"/>
          <w:vertAlign w:val="baseline"/>
        </w:rPr>
        <w:t> </w:t>
      </w:r>
      <w:r>
        <w:rPr>
          <w:sz w:val="18"/>
          <w:vertAlign w:val="baseline"/>
        </w:rPr>
        <w:t>Knowledge</w:t>
      </w:r>
      <w:r>
        <w:rPr>
          <w:spacing w:val="-3"/>
          <w:sz w:val="18"/>
          <w:vertAlign w:val="baseline"/>
        </w:rPr>
        <w:t> </w:t>
      </w:r>
      <w:r>
        <w:rPr>
          <w:sz w:val="18"/>
          <w:vertAlign w:val="baseline"/>
        </w:rPr>
        <w:t>in</w:t>
      </w:r>
      <w:r>
        <w:rPr>
          <w:spacing w:val="-2"/>
          <w:sz w:val="18"/>
          <w:vertAlign w:val="baseline"/>
        </w:rPr>
        <w:t> </w:t>
      </w:r>
      <w:r>
        <w:rPr>
          <w:sz w:val="18"/>
          <w:vertAlign w:val="baseline"/>
        </w:rPr>
        <w:t>Treating LGBTQ Communities.” Journal of Homosexuality 66 (13): 1927–47. https://doi.org/10.1080/00918369.2018.1519304. </w:t>
      </w:r>
      <w:r>
        <w:rPr>
          <w:sz w:val="18"/>
          <w:vertAlign w:val="superscript"/>
        </w:rPr>
        <w:t>46</w:t>
      </w:r>
      <w:r>
        <w:rPr>
          <w:sz w:val="18"/>
          <w:vertAlign w:val="baseline"/>
        </w:rPr>
        <w:t> Vance, Stanley R., Bonnie L. Halpern-Felsher, and Stephen M. Rosenthal. 2015. “Health Care Providers’ Comfort with and Barriers to Care of Transgender Youth.” </w:t>
      </w:r>
      <w:r>
        <w:rPr>
          <w:i/>
          <w:sz w:val="18"/>
          <w:vertAlign w:val="baseline"/>
        </w:rPr>
        <w:t>Journal of Adolescent Health </w:t>
      </w:r>
      <w:r>
        <w:rPr>
          <w:sz w:val="18"/>
          <w:vertAlign w:val="baseline"/>
        </w:rPr>
        <w:t>56 (2): 251–53.</w:t>
      </w:r>
    </w:p>
    <w:p>
      <w:pPr>
        <w:spacing w:after="0" w:line="276" w:lineRule="auto"/>
        <w:jc w:val="left"/>
        <w:rPr>
          <w:sz w:val="18"/>
        </w:rPr>
        <w:sectPr>
          <w:pgSz w:w="12240" w:h="15840"/>
          <w:pgMar w:header="721" w:footer="1061" w:top="1360" w:bottom="1260" w:left="1120" w:right="1340"/>
        </w:sectPr>
      </w:pPr>
    </w:p>
    <w:p>
      <w:pPr>
        <w:spacing w:before="68"/>
        <w:ind w:left="464" w:right="0" w:firstLine="0"/>
        <w:jc w:val="left"/>
        <w:rPr>
          <w:sz w:val="18"/>
        </w:rPr>
      </w:pPr>
      <w:r>
        <w:rPr>
          <w:spacing w:val="-2"/>
          <w:sz w:val="18"/>
        </w:rPr>
        <w:t>https://doi.org/10.1016/j.jadohealth.2014.11.002.</w:t>
      </w:r>
    </w:p>
    <w:p>
      <w:pPr>
        <w:spacing w:line="276" w:lineRule="auto" w:before="34"/>
        <w:ind w:left="464" w:right="288" w:firstLine="1"/>
        <w:jc w:val="left"/>
        <w:rPr>
          <w:sz w:val="18"/>
        </w:rPr>
      </w:pPr>
      <w:r>
        <w:rPr>
          <w:sz w:val="18"/>
          <w:vertAlign w:val="superscript"/>
        </w:rPr>
        <w:t>47</w:t>
      </w:r>
      <w:r>
        <w:rPr>
          <w:spacing w:val="-13"/>
          <w:sz w:val="18"/>
          <w:vertAlign w:val="baseline"/>
        </w:rPr>
        <w:t> </w:t>
      </w:r>
      <w:r>
        <w:rPr>
          <w:sz w:val="18"/>
          <w:vertAlign w:val="baseline"/>
        </w:rPr>
        <w:t>Medina,</w:t>
      </w:r>
      <w:r>
        <w:rPr>
          <w:spacing w:val="-5"/>
          <w:sz w:val="18"/>
          <w:vertAlign w:val="baseline"/>
        </w:rPr>
        <w:t> </w:t>
      </w:r>
      <w:r>
        <w:rPr>
          <w:sz w:val="18"/>
          <w:vertAlign w:val="baseline"/>
        </w:rPr>
        <w:t>Caroline,</w:t>
      </w:r>
      <w:r>
        <w:rPr>
          <w:spacing w:val="-4"/>
          <w:sz w:val="18"/>
          <w:vertAlign w:val="baseline"/>
        </w:rPr>
        <w:t> </w:t>
      </w:r>
      <w:r>
        <w:rPr>
          <w:sz w:val="18"/>
          <w:vertAlign w:val="baseline"/>
        </w:rPr>
        <w:t>Lindsay</w:t>
      </w:r>
      <w:r>
        <w:rPr>
          <w:spacing w:val="-3"/>
          <w:sz w:val="18"/>
          <w:vertAlign w:val="baseline"/>
        </w:rPr>
        <w:t> </w:t>
      </w:r>
      <w:r>
        <w:rPr>
          <w:sz w:val="18"/>
          <w:vertAlign w:val="baseline"/>
        </w:rPr>
        <w:t>Mahowald,</w:t>
      </w:r>
      <w:r>
        <w:rPr>
          <w:spacing w:val="-4"/>
          <w:sz w:val="18"/>
          <w:vertAlign w:val="baseline"/>
        </w:rPr>
        <w:t> </w:t>
      </w:r>
      <w:r>
        <w:rPr>
          <w:sz w:val="18"/>
          <w:vertAlign w:val="baseline"/>
        </w:rPr>
        <w:t>Thee</w:t>
      </w:r>
      <w:r>
        <w:rPr>
          <w:spacing w:val="-3"/>
          <w:sz w:val="18"/>
          <w:vertAlign w:val="baseline"/>
        </w:rPr>
        <w:t> </w:t>
      </w:r>
      <w:r>
        <w:rPr>
          <w:sz w:val="18"/>
          <w:vertAlign w:val="baseline"/>
        </w:rPr>
        <w:t>Santos,</w:t>
      </w:r>
      <w:r>
        <w:rPr>
          <w:spacing w:val="-4"/>
          <w:sz w:val="18"/>
          <w:vertAlign w:val="baseline"/>
        </w:rPr>
        <w:t> </w:t>
      </w:r>
      <w:r>
        <w:rPr>
          <w:sz w:val="18"/>
          <w:vertAlign w:val="baseline"/>
        </w:rPr>
        <w:t>and</w:t>
      </w:r>
      <w:r>
        <w:rPr>
          <w:spacing w:val="-3"/>
          <w:sz w:val="18"/>
          <w:vertAlign w:val="baseline"/>
        </w:rPr>
        <w:t> </w:t>
      </w:r>
      <w:r>
        <w:rPr>
          <w:sz w:val="18"/>
          <w:vertAlign w:val="baseline"/>
        </w:rPr>
        <w:t>Sharita</w:t>
      </w:r>
      <w:r>
        <w:rPr>
          <w:spacing w:val="-3"/>
          <w:sz w:val="18"/>
          <w:vertAlign w:val="baseline"/>
        </w:rPr>
        <w:t> </w:t>
      </w:r>
      <w:r>
        <w:rPr>
          <w:sz w:val="18"/>
          <w:vertAlign w:val="baseline"/>
        </w:rPr>
        <w:t>Gruberg.</w:t>
      </w:r>
      <w:r>
        <w:rPr>
          <w:spacing w:val="-3"/>
          <w:sz w:val="18"/>
          <w:vertAlign w:val="baseline"/>
        </w:rPr>
        <w:t> </w:t>
      </w:r>
      <w:r>
        <w:rPr>
          <w:sz w:val="18"/>
          <w:vertAlign w:val="baseline"/>
        </w:rPr>
        <w:t>2021.</w:t>
      </w:r>
      <w:r>
        <w:rPr>
          <w:spacing w:val="-4"/>
          <w:sz w:val="18"/>
          <w:vertAlign w:val="baseline"/>
        </w:rPr>
        <w:t> </w:t>
      </w:r>
      <w:r>
        <w:rPr>
          <w:sz w:val="18"/>
          <w:vertAlign w:val="baseline"/>
        </w:rPr>
        <w:t>“Protecting</w:t>
      </w:r>
      <w:r>
        <w:rPr>
          <w:spacing w:val="-3"/>
          <w:sz w:val="18"/>
          <w:vertAlign w:val="baseline"/>
        </w:rPr>
        <w:t> </w:t>
      </w:r>
      <w:r>
        <w:rPr>
          <w:sz w:val="18"/>
          <w:vertAlign w:val="baseline"/>
        </w:rPr>
        <w:t>and</w:t>
      </w:r>
      <w:r>
        <w:rPr>
          <w:spacing w:val="-3"/>
          <w:sz w:val="18"/>
          <w:vertAlign w:val="baseline"/>
        </w:rPr>
        <w:t> </w:t>
      </w:r>
      <w:r>
        <w:rPr>
          <w:sz w:val="18"/>
          <w:vertAlign w:val="baseline"/>
        </w:rPr>
        <w:t>Advancing</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for Transgender Adult Communities.” Center for American Progress. August 18, 2021. </w:t>
      </w:r>
      <w:r>
        <w:rPr>
          <w:spacing w:val="-2"/>
          <w:sz w:val="18"/>
          <w:vertAlign w:val="baseline"/>
        </w:rPr>
        <w:t>https:</w:t>
      </w:r>
      <w:hyperlink r:id="rId289">
        <w:r>
          <w:rPr>
            <w:spacing w:val="-2"/>
            <w:sz w:val="18"/>
            <w:vertAlign w:val="baseline"/>
          </w:rPr>
          <w:t>//www.americanprogress.org/article/protecting-advancing-health-care-transgender-adult-communities/.</w:t>
        </w:r>
      </w:hyperlink>
    </w:p>
    <w:p>
      <w:pPr>
        <w:spacing w:line="276" w:lineRule="auto" w:before="0"/>
        <w:ind w:left="463" w:right="228" w:firstLine="2"/>
        <w:jc w:val="left"/>
        <w:rPr>
          <w:sz w:val="18"/>
        </w:rPr>
      </w:pPr>
      <w:r>
        <w:rPr>
          <w:sz w:val="18"/>
          <w:vertAlign w:val="superscript"/>
        </w:rPr>
        <w:t>48</w:t>
      </w:r>
      <w:r>
        <w:rPr>
          <w:spacing w:val="-13"/>
          <w:sz w:val="18"/>
          <w:vertAlign w:val="baseline"/>
        </w:rPr>
        <w:t> </w:t>
      </w:r>
      <w:r>
        <w:rPr>
          <w:sz w:val="18"/>
          <w:vertAlign w:val="baseline"/>
        </w:rPr>
        <w:t>American</w:t>
      </w:r>
      <w:r>
        <w:rPr>
          <w:spacing w:val="-5"/>
          <w:sz w:val="18"/>
          <w:vertAlign w:val="baseline"/>
        </w:rPr>
        <w:t> </w:t>
      </w:r>
      <w:r>
        <w:rPr>
          <w:sz w:val="18"/>
          <w:vertAlign w:val="baseline"/>
        </w:rPr>
        <w:t>Psychological</w:t>
      </w:r>
      <w:r>
        <w:rPr>
          <w:spacing w:val="-4"/>
          <w:sz w:val="18"/>
          <w:vertAlign w:val="baseline"/>
        </w:rPr>
        <w:t> </w:t>
      </w:r>
      <w:r>
        <w:rPr>
          <w:sz w:val="18"/>
          <w:vertAlign w:val="baseline"/>
        </w:rPr>
        <w:t>Association,</w:t>
      </w:r>
      <w:r>
        <w:rPr>
          <w:spacing w:val="-4"/>
          <w:sz w:val="18"/>
          <w:vertAlign w:val="baseline"/>
        </w:rPr>
        <w:t> </w:t>
      </w:r>
      <w:r>
        <w:rPr>
          <w:sz w:val="18"/>
          <w:vertAlign w:val="baseline"/>
        </w:rPr>
        <w:t>Position</w:t>
      </w:r>
      <w:r>
        <w:rPr>
          <w:spacing w:val="-3"/>
          <w:sz w:val="18"/>
          <w:vertAlign w:val="baseline"/>
        </w:rPr>
        <w:t> </w:t>
      </w:r>
      <w:r>
        <w:rPr>
          <w:sz w:val="18"/>
          <w:vertAlign w:val="baseline"/>
        </w:rPr>
        <w:t>Statement</w:t>
      </w:r>
      <w:r>
        <w:rPr>
          <w:spacing w:val="-4"/>
          <w:sz w:val="18"/>
          <w:vertAlign w:val="baseline"/>
        </w:rPr>
        <w:t> </w:t>
      </w:r>
      <w:r>
        <w:rPr>
          <w:sz w:val="18"/>
          <w:vertAlign w:val="baseline"/>
        </w:rPr>
        <w:t>on</w:t>
      </w:r>
      <w:r>
        <w:rPr>
          <w:spacing w:val="-3"/>
          <w:sz w:val="18"/>
          <w:vertAlign w:val="baseline"/>
        </w:rPr>
        <w:t> </w:t>
      </w:r>
      <w:r>
        <w:rPr>
          <w:sz w:val="18"/>
          <w:vertAlign w:val="baseline"/>
        </w:rPr>
        <w:t>Psychiatric</w:t>
      </w:r>
      <w:r>
        <w:rPr>
          <w:spacing w:val="-4"/>
          <w:sz w:val="18"/>
          <w:vertAlign w:val="baseline"/>
        </w:rPr>
        <w:t> </w:t>
      </w:r>
      <w:r>
        <w:rPr>
          <w:sz w:val="18"/>
          <w:vertAlign w:val="baseline"/>
        </w:rPr>
        <w:t>Hospitalization</w:t>
      </w:r>
      <w:r>
        <w:rPr>
          <w:spacing w:val="-3"/>
          <w:sz w:val="18"/>
          <w:vertAlign w:val="baseline"/>
        </w:rPr>
        <w:t> </w:t>
      </w:r>
      <w:r>
        <w:rPr>
          <w:sz w:val="18"/>
          <w:vertAlign w:val="baseline"/>
        </w:rPr>
        <w:t>of</w:t>
      </w:r>
      <w:r>
        <w:rPr>
          <w:spacing w:val="-3"/>
          <w:sz w:val="18"/>
          <w:vertAlign w:val="baseline"/>
        </w:rPr>
        <w:t> </w:t>
      </w:r>
      <w:r>
        <w:rPr>
          <w:sz w:val="18"/>
          <w:vertAlign w:val="baseline"/>
        </w:rPr>
        <w:t>Children</w:t>
      </w:r>
      <w:r>
        <w:rPr>
          <w:spacing w:val="-3"/>
          <w:sz w:val="18"/>
          <w:vertAlign w:val="baseline"/>
        </w:rPr>
        <w:t> </w:t>
      </w:r>
      <w:r>
        <w:rPr>
          <w:sz w:val="18"/>
          <w:vertAlign w:val="baseline"/>
        </w:rPr>
        <w:t>and</w:t>
      </w:r>
      <w:r>
        <w:rPr>
          <w:spacing w:val="-3"/>
          <w:sz w:val="18"/>
          <w:vertAlign w:val="baseline"/>
        </w:rPr>
        <w:t> </w:t>
      </w:r>
      <w:r>
        <w:rPr>
          <w:sz w:val="18"/>
          <w:vertAlign w:val="baseline"/>
        </w:rPr>
        <w:t>Adolescents, accessed January 10 2023, https:</w:t>
      </w:r>
      <w:hyperlink r:id="rId290">
        <w:r>
          <w:rPr>
            <w:sz w:val="18"/>
            <w:vertAlign w:val="baseline"/>
          </w:rPr>
          <w:t>//www.psychiatry.org/File%20Library/About-APA/Organization-Documents-</w:t>
        </w:r>
      </w:hyperlink>
      <w:r>
        <w:rPr>
          <w:sz w:val="18"/>
          <w:vertAlign w:val="baseline"/>
        </w:rPr>
        <w:t> Policies/Policies/Position 2016-Psychiatric-Hospitalization-of-Children-and-Adolescents.pdf</w:t>
      </w:r>
    </w:p>
    <w:p>
      <w:pPr>
        <w:spacing w:line="276" w:lineRule="auto" w:before="0"/>
        <w:ind w:left="464" w:right="318" w:hanging="1"/>
        <w:jc w:val="left"/>
        <w:rPr>
          <w:sz w:val="18"/>
        </w:rPr>
      </w:pPr>
      <w:r>
        <w:rPr>
          <w:sz w:val="18"/>
          <w:vertAlign w:val="superscript"/>
        </w:rPr>
        <w:t>49</w:t>
      </w:r>
      <w:r>
        <w:rPr>
          <w:spacing w:val="-13"/>
          <w:sz w:val="18"/>
          <w:vertAlign w:val="baseline"/>
        </w:rPr>
        <w:t> </w:t>
      </w:r>
      <w:r>
        <w:rPr>
          <w:sz w:val="18"/>
          <w:vertAlign w:val="baseline"/>
        </w:rPr>
        <w:t>The</w:t>
      </w:r>
      <w:r>
        <w:rPr>
          <w:spacing w:val="-4"/>
          <w:sz w:val="18"/>
          <w:vertAlign w:val="baseline"/>
        </w:rPr>
        <w:t> </w:t>
      </w:r>
      <w:r>
        <w:rPr>
          <w:sz w:val="18"/>
          <w:vertAlign w:val="baseline"/>
        </w:rPr>
        <w:t>Psychiatric</w:t>
      </w:r>
      <w:r>
        <w:rPr>
          <w:spacing w:val="-4"/>
          <w:sz w:val="18"/>
          <w:vertAlign w:val="baseline"/>
        </w:rPr>
        <w:t> </w:t>
      </w:r>
      <w:r>
        <w:rPr>
          <w:sz w:val="18"/>
          <w:vertAlign w:val="baseline"/>
        </w:rPr>
        <w:t>Bed</w:t>
      </w:r>
      <w:r>
        <w:rPr>
          <w:spacing w:val="-3"/>
          <w:sz w:val="18"/>
          <w:vertAlign w:val="baseline"/>
        </w:rPr>
        <w:t> </w:t>
      </w:r>
      <w:r>
        <w:rPr>
          <w:sz w:val="18"/>
          <w:vertAlign w:val="baseline"/>
        </w:rPr>
        <w:t>Crisis</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US:</w:t>
      </w:r>
      <w:r>
        <w:rPr>
          <w:spacing w:val="-3"/>
          <w:sz w:val="18"/>
          <w:vertAlign w:val="baseline"/>
        </w:rPr>
        <w:t> </w:t>
      </w:r>
      <w:r>
        <w:rPr>
          <w:sz w:val="18"/>
          <w:vertAlign w:val="baseline"/>
        </w:rPr>
        <w:t>Understanding</w:t>
      </w:r>
      <w:r>
        <w:rPr>
          <w:spacing w:val="-3"/>
          <w:sz w:val="18"/>
          <w:vertAlign w:val="baseline"/>
        </w:rPr>
        <w:t> </w:t>
      </w:r>
      <w:r>
        <w:rPr>
          <w:sz w:val="18"/>
          <w:vertAlign w:val="baseline"/>
        </w:rPr>
        <w:t>the</w:t>
      </w:r>
      <w:r>
        <w:rPr>
          <w:spacing w:val="-3"/>
          <w:sz w:val="18"/>
          <w:vertAlign w:val="baseline"/>
        </w:rPr>
        <w:t> </w:t>
      </w:r>
      <w:r>
        <w:rPr>
          <w:sz w:val="18"/>
          <w:vertAlign w:val="baseline"/>
        </w:rPr>
        <w:t>Problem</w:t>
      </w:r>
      <w:r>
        <w:rPr>
          <w:spacing w:val="-3"/>
          <w:sz w:val="18"/>
          <w:vertAlign w:val="baseline"/>
        </w:rPr>
        <w:t> </w:t>
      </w:r>
      <w:r>
        <w:rPr>
          <w:sz w:val="18"/>
          <w:vertAlign w:val="baseline"/>
        </w:rPr>
        <w:t>and</w:t>
      </w:r>
      <w:r>
        <w:rPr>
          <w:spacing w:val="-3"/>
          <w:sz w:val="18"/>
          <w:vertAlign w:val="baseline"/>
        </w:rPr>
        <w:t> </w:t>
      </w:r>
      <w:r>
        <w:rPr>
          <w:sz w:val="18"/>
          <w:vertAlign w:val="baseline"/>
        </w:rPr>
        <w:t>Moving</w:t>
      </w:r>
      <w:r>
        <w:rPr>
          <w:spacing w:val="-3"/>
          <w:sz w:val="18"/>
          <w:vertAlign w:val="baseline"/>
        </w:rPr>
        <w:t> </w:t>
      </w:r>
      <w:r>
        <w:rPr>
          <w:sz w:val="18"/>
          <w:vertAlign w:val="baseline"/>
        </w:rPr>
        <w:t>Towards</w:t>
      </w:r>
      <w:r>
        <w:rPr>
          <w:spacing w:val="-3"/>
          <w:sz w:val="18"/>
          <w:vertAlign w:val="baseline"/>
        </w:rPr>
        <w:t> </w:t>
      </w:r>
      <w:r>
        <w:rPr>
          <w:sz w:val="18"/>
          <w:vertAlign w:val="baseline"/>
        </w:rPr>
        <w:t>Solutions.</w:t>
      </w:r>
      <w:r>
        <w:rPr>
          <w:spacing w:val="-3"/>
          <w:sz w:val="18"/>
          <w:vertAlign w:val="baseline"/>
        </w:rPr>
        <w:t> </w:t>
      </w:r>
      <w:r>
        <w:rPr>
          <w:sz w:val="18"/>
          <w:vertAlign w:val="baseline"/>
        </w:rPr>
        <w:t>American</w:t>
      </w:r>
      <w:r>
        <w:rPr>
          <w:spacing w:val="-3"/>
          <w:sz w:val="18"/>
          <w:vertAlign w:val="baseline"/>
        </w:rPr>
        <w:t> </w:t>
      </w:r>
      <w:r>
        <w:rPr>
          <w:sz w:val="18"/>
          <w:vertAlign w:val="baseline"/>
        </w:rPr>
        <w:t>Psychological Association, 2022. https:</w:t>
      </w:r>
      <w:hyperlink r:id="rId290">
        <w:r>
          <w:rPr>
            <w:sz w:val="18"/>
            <w:vertAlign w:val="baseline"/>
          </w:rPr>
          <w:t>//www.psychiatry.org/File%20Library/About-APA/Organization-Documents-</w:t>
        </w:r>
      </w:hyperlink>
      <w:r>
        <w:rPr>
          <w:sz w:val="18"/>
          <w:vertAlign w:val="baseline"/>
        </w:rPr>
        <w:t> Policies/Policies/Position 2016-Psychiatric-Hospitalization-of-Children-and-Adolescents.pdf</w:t>
      </w:r>
    </w:p>
    <w:p>
      <w:pPr>
        <w:spacing w:line="276" w:lineRule="auto" w:before="0"/>
        <w:ind w:left="464" w:right="481" w:firstLine="12"/>
        <w:jc w:val="left"/>
        <w:rPr>
          <w:sz w:val="18"/>
        </w:rPr>
      </w:pPr>
      <w:r>
        <w:rPr>
          <w:sz w:val="18"/>
          <w:vertAlign w:val="superscript"/>
        </w:rPr>
        <w:t>50</w:t>
      </w:r>
      <w:r>
        <w:rPr>
          <w:spacing w:val="-13"/>
          <w:sz w:val="18"/>
          <w:vertAlign w:val="baseline"/>
        </w:rPr>
        <w:t> </w:t>
      </w:r>
      <w:r>
        <w:rPr>
          <w:color w:val="212121"/>
          <w:sz w:val="18"/>
          <w:vertAlign w:val="baseline"/>
        </w:rPr>
        <w:t>Aranmolate,</w:t>
      </w:r>
      <w:r>
        <w:rPr>
          <w:color w:val="212121"/>
          <w:spacing w:val="-5"/>
          <w:sz w:val="18"/>
          <w:vertAlign w:val="baseline"/>
        </w:rPr>
        <w:t> </w:t>
      </w:r>
      <w:r>
        <w:rPr>
          <w:color w:val="212121"/>
          <w:sz w:val="18"/>
          <w:vertAlign w:val="baseline"/>
        </w:rPr>
        <w:t>Rasaki,</w:t>
      </w:r>
      <w:r>
        <w:rPr>
          <w:color w:val="212121"/>
          <w:spacing w:val="-3"/>
          <w:sz w:val="18"/>
          <w:vertAlign w:val="baseline"/>
        </w:rPr>
        <w:t> </w:t>
      </w:r>
      <w:r>
        <w:rPr>
          <w:color w:val="212121"/>
          <w:sz w:val="18"/>
          <w:vertAlign w:val="baseline"/>
        </w:rPr>
        <w:t>Danielle</w:t>
      </w:r>
      <w:r>
        <w:rPr>
          <w:color w:val="212121"/>
          <w:spacing w:val="-3"/>
          <w:sz w:val="18"/>
          <w:vertAlign w:val="baseline"/>
        </w:rPr>
        <w:t> </w:t>
      </w:r>
      <w:r>
        <w:rPr>
          <w:color w:val="212121"/>
          <w:sz w:val="18"/>
          <w:vertAlign w:val="baseline"/>
        </w:rPr>
        <w:t>R.</w:t>
      </w:r>
      <w:r>
        <w:rPr>
          <w:color w:val="212121"/>
          <w:spacing w:val="-3"/>
          <w:sz w:val="18"/>
          <w:vertAlign w:val="baseline"/>
        </w:rPr>
        <w:t> </w:t>
      </w:r>
      <w:r>
        <w:rPr>
          <w:color w:val="212121"/>
          <w:sz w:val="18"/>
          <w:vertAlign w:val="baseline"/>
        </w:rPr>
        <w:t>Bogan,</w:t>
      </w:r>
      <w:r>
        <w:rPr>
          <w:color w:val="212121"/>
          <w:spacing w:val="-3"/>
          <w:sz w:val="18"/>
          <w:vertAlign w:val="baseline"/>
        </w:rPr>
        <w:t> </w:t>
      </w:r>
      <w:r>
        <w:rPr>
          <w:color w:val="212121"/>
          <w:sz w:val="18"/>
          <w:vertAlign w:val="baseline"/>
        </w:rPr>
        <w:t>Tiffany</w:t>
      </w:r>
      <w:r>
        <w:rPr>
          <w:color w:val="212121"/>
          <w:spacing w:val="-3"/>
          <w:sz w:val="18"/>
          <w:vertAlign w:val="baseline"/>
        </w:rPr>
        <w:t> </w:t>
      </w:r>
      <w:r>
        <w:rPr>
          <w:color w:val="212121"/>
          <w:sz w:val="18"/>
          <w:vertAlign w:val="baseline"/>
        </w:rPr>
        <w:t>Hoard,</w:t>
      </w:r>
      <w:r>
        <w:rPr>
          <w:color w:val="212121"/>
          <w:spacing w:val="-3"/>
          <w:sz w:val="18"/>
          <w:vertAlign w:val="baseline"/>
        </w:rPr>
        <w:t> </w:t>
      </w:r>
      <w:r>
        <w:rPr>
          <w:color w:val="212121"/>
          <w:sz w:val="18"/>
          <w:vertAlign w:val="baseline"/>
        </w:rPr>
        <w:t>and</w:t>
      </w:r>
      <w:r>
        <w:rPr>
          <w:color w:val="212121"/>
          <w:spacing w:val="-3"/>
          <w:sz w:val="18"/>
          <w:vertAlign w:val="baseline"/>
        </w:rPr>
        <w:t> </w:t>
      </w:r>
      <w:r>
        <w:rPr>
          <w:color w:val="212121"/>
          <w:sz w:val="18"/>
          <w:vertAlign w:val="baseline"/>
        </w:rPr>
        <w:t>Anthony</w:t>
      </w:r>
      <w:r>
        <w:rPr>
          <w:color w:val="212121"/>
          <w:spacing w:val="-3"/>
          <w:sz w:val="18"/>
          <w:vertAlign w:val="baseline"/>
        </w:rPr>
        <w:t> </w:t>
      </w:r>
      <w:r>
        <w:rPr>
          <w:color w:val="212121"/>
          <w:sz w:val="18"/>
          <w:vertAlign w:val="baseline"/>
        </w:rPr>
        <w:t>R.</w:t>
      </w:r>
      <w:r>
        <w:rPr>
          <w:color w:val="212121"/>
          <w:spacing w:val="-3"/>
          <w:sz w:val="18"/>
          <w:vertAlign w:val="baseline"/>
        </w:rPr>
        <w:t> </w:t>
      </w:r>
      <w:r>
        <w:rPr>
          <w:color w:val="212121"/>
          <w:sz w:val="18"/>
          <w:vertAlign w:val="baseline"/>
        </w:rPr>
        <w:t>Mawson.</w:t>
      </w:r>
      <w:r>
        <w:rPr>
          <w:color w:val="212121"/>
          <w:spacing w:val="-3"/>
          <w:sz w:val="18"/>
          <w:vertAlign w:val="baseline"/>
        </w:rPr>
        <w:t> </w:t>
      </w:r>
      <w:r>
        <w:rPr>
          <w:color w:val="212121"/>
          <w:sz w:val="18"/>
          <w:vertAlign w:val="baseline"/>
        </w:rPr>
        <w:t>"Suicide</w:t>
      </w:r>
      <w:r>
        <w:rPr>
          <w:color w:val="212121"/>
          <w:spacing w:val="-3"/>
          <w:sz w:val="18"/>
          <w:vertAlign w:val="baseline"/>
        </w:rPr>
        <w:t> </w:t>
      </w:r>
      <w:r>
        <w:rPr>
          <w:color w:val="212121"/>
          <w:sz w:val="18"/>
          <w:vertAlign w:val="baseline"/>
        </w:rPr>
        <w:t>risk</w:t>
      </w:r>
      <w:r>
        <w:rPr>
          <w:color w:val="212121"/>
          <w:spacing w:val="-3"/>
          <w:sz w:val="18"/>
          <w:vertAlign w:val="baseline"/>
        </w:rPr>
        <w:t> </w:t>
      </w:r>
      <w:r>
        <w:rPr>
          <w:color w:val="212121"/>
          <w:sz w:val="18"/>
          <w:vertAlign w:val="baseline"/>
        </w:rPr>
        <w:t>factors</w:t>
      </w:r>
      <w:r>
        <w:rPr>
          <w:color w:val="212121"/>
          <w:spacing w:val="-3"/>
          <w:sz w:val="18"/>
          <w:vertAlign w:val="baseline"/>
        </w:rPr>
        <w:t> </w:t>
      </w:r>
      <w:r>
        <w:rPr>
          <w:color w:val="212121"/>
          <w:sz w:val="18"/>
          <w:vertAlign w:val="baseline"/>
        </w:rPr>
        <w:t>among</w:t>
      </w:r>
      <w:r>
        <w:rPr>
          <w:color w:val="212121"/>
          <w:spacing w:val="-3"/>
          <w:sz w:val="18"/>
          <w:vertAlign w:val="baseline"/>
        </w:rPr>
        <w:t> </w:t>
      </w:r>
      <w:r>
        <w:rPr>
          <w:color w:val="212121"/>
          <w:sz w:val="18"/>
          <w:vertAlign w:val="baseline"/>
        </w:rPr>
        <w:t>LGBTQ youth." </w:t>
      </w:r>
      <w:r>
        <w:rPr>
          <w:i/>
          <w:color w:val="212121"/>
          <w:sz w:val="18"/>
          <w:vertAlign w:val="baseline"/>
        </w:rPr>
        <w:t>JSM Schizophrenia </w:t>
      </w:r>
      <w:r>
        <w:rPr>
          <w:color w:val="212121"/>
          <w:sz w:val="18"/>
          <w:vertAlign w:val="baseline"/>
        </w:rPr>
        <w:t>2, no. 2 (2017): 1011.</w:t>
      </w:r>
    </w:p>
    <w:p>
      <w:pPr>
        <w:spacing w:line="276" w:lineRule="auto" w:before="0"/>
        <w:ind w:left="464" w:right="481" w:firstLine="12"/>
        <w:jc w:val="left"/>
        <w:rPr>
          <w:sz w:val="18"/>
        </w:rPr>
      </w:pPr>
      <w:r>
        <w:rPr>
          <w:sz w:val="18"/>
          <w:vertAlign w:val="superscript"/>
        </w:rPr>
        <w:t>51</w:t>
      </w:r>
      <w:r>
        <w:rPr>
          <w:spacing w:val="-13"/>
          <w:sz w:val="18"/>
          <w:vertAlign w:val="baseline"/>
        </w:rPr>
        <w:t> </w:t>
      </w:r>
      <w:r>
        <w:rPr>
          <w:sz w:val="18"/>
          <w:vertAlign w:val="baseline"/>
        </w:rPr>
        <w:t>Haas,</w:t>
      </w:r>
      <w:r>
        <w:rPr>
          <w:spacing w:val="-4"/>
          <w:sz w:val="18"/>
          <w:vertAlign w:val="baseline"/>
        </w:rPr>
        <w:t> </w:t>
      </w:r>
      <w:r>
        <w:rPr>
          <w:sz w:val="18"/>
          <w:vertAlign w:val="baseline"/>
        </w:rPr>
        <w:t>Ann</w:t>
      </w:r>
      <w:r>
        <w:rPr>
          <w:spacing w:val="-3"/>
          <w:sz w:val="18"/>
          <w:vertAlign w:val="baseline"/>
        </w:rPr>
        <w:t> </w:t>
      </w:r>
      <w:r>
        <w:rPr>
          <w:sz w:val="18"/>
          <w:vertAlign w:val="baseline"/>
        </w:rPr>
        <w:t>P.,</w:t>
      </w:r>
      <w:r>
        <w:rPr>
          <w:spacing w:val="-4"/>
          <w:sz w:val="18"/>
          <w:vertAlign w:val="baseline"/>
        </w:rPr>
        <w:t> </w:t>
      </w:r>
      <w:r>
        <w:rPr>
          <w:sz w:val="18"/>
          <w:vertAlign w:val="baseline"/>
        </w:rPr>
        <w:t>Mickey</w:t>
      </w:r>
      <w:r>
        <w:rPr>
          <w:spacing w:val="-2"/>
          <w:sz w:val="18"/>
          <w:vertAlign w:val="baseline"/>
        </w:rPr>
        <w:t> </w:t>
      </w:r>
      <w:r>
        <w:rPr>
          <w:sz w:val="18"/>
          <w:vertAlign w:val="baseline"/>
        </w:rPr>
        <w:t>Eliason,</w:t>
      </w:r>
      <w:r>
        <w:rPr>
          <w:spacing w:val="-2"/>
          <w:sz w:val="18"/>
          <w:vertAlign w:val="baseline"/>
        </w:rPr>
        <w:t> </w:t>
      </w:r>
      <w:r>
        <w:rPr>
          <w:sz w:val="18"/>
          <w:vertAlign w:val="baseline"/>
        </w:rPr>
        <w:t>Vickie</w:t>
      </w:r>
      <w:r>
        <w:rPr>
          <w:spacing w:val="-2"/>
          <w:sz w:val="18"/>
          <w:vertAlign w:val="baseline"/>
        </w:rPr>
        <w:t> </w:t>
      </w:r>
      <w:r>
        <w:rPr>
          <w:sz w:val="18"/>
          <w:vertAlign w:val="baseline"/>
        </w:rPr>
        <w:t>M.</w:t>
      </w:r>
      <w:r>
        <w:rPr>
          <w:spacing w:val="-2"/>
          <w:sz w:val="18"/>
          <w:vertAlign w:val="baseline"/>
        </w:rPr>
        <w:t> </w:t>
      </w:r>
      <w:r>
        <w:rPr>
          <w:sz w:val="18"/>
          <w:vertAlign w:val="baseline"/>
        </w:rPr>
        <w:t>Mays,</w:t>
      </w:r>
      <w:r>
        <w:rPr>
          <w:spacing w:val="-3"/>
          <w:sz w:val="18"/>
          <w:vertAlign w:val="baseline"/>
        </w:rPr>
        <w:t> </w:t>
      </w:r>
      <w:r>
        <w:rPr>
          <w:sz w:val="18"/>
          <w:vertAlign w:val="baseline"/>
        </w:rPr>
        <w:t>Robin</w:t>
      </w:r>
      <w:r>
        <w:rPr>
          <w:spacing w:val="-2"/>
          <w:sz w:val="18"/>
          <w:vertAlign w:val="baseline"/>
        </w:rPr>
        <w:t> </w:t>
      </w:r>
      <w:r>
        <w:rPr>
          <w:sz w:val="18"/>
          <w:vertAlign w:val="baseline"/>
        </w:rPr>
        <w:t>M.</w:t>
      </w:r>
      <w:r>
        <w:rPr>
          <w:spacing w:val="-2"/>
          <w:sz w:val="18"/>
          <w:vertAlign w:val="baseline"/>
        </w:rPr>
        <w:t> </w:t>
      </w:r>
      <w:r>
        <w:rPr>
          <w:sz w:val="18"/>
          <w:vertAlign w:val="baseline"/>
        </w:rPr>
        <w:t>Mathy,</w:t>
      </w:r>
      <w:r>
        <w:rPr>
          <w:spacing w:val="-2"/>
          <w:sz w:val="18"/>
          <w:vertAlign w:val="baseline"/>
        </w:rPr>
        <w:t> </w:t>
      </w:r>
      <w:r>
        <w:rPr>
          <w:sz w:val="18"/>
          <w:vertAlign w:val="baseline"/>
        </w:rPr>
        <w:t>Susan</w:t>
      </w:r>
      <w:r>
        <w:rPr>
          <w:spacing w:val="-2"/>
          <w:sz w:val="18"/>
          <w:vertAlign w:val="baseline"/>
        </w:rPr>
        <w:t> </w:t>
      </w:r>
      <w:r>
        <w:rPr>
          <w:sz w:val="18"/>
          <w:vertAlign w:val="baseline"/>
        </w:rPr>
        <w:t>D.</w:t>
      </w:r>
      <w:r>
        <w:rPr>
          <w:spacing w:val="-2"/>
          <w:sz w:val="18"/>
          <w:vertAlign w:val="baseline"/>
        </w:rPr>
        <w:t> </w:t>
      </w:r>
      <w:r>
        <w:rPr>
          <w:sz w:val="18"/>
          <w:vertAlign w:val="baseline"/>
        </w:rPr>
        <w:t>Cochran,</w:t>
      </w:r>
      <w:r>
        <w:rPr>
          <w:spacing w:val="-3"/>
          <w:sz w:val="18"/>
          <w:vertAlign w:val="baseline"/>
        </w:rPr>
        <w:t> </w:t>
      </w:r>
      <w:r>
        <w:rPr>
          <w:sz w:val="18"/>
          <w:vertAlign w:val="baseline"/>
        </w:rPr>
        <w:t>Anthony</w:t>
      </w:r>
      <w:r>
        <w:rPr>
          <w:spacing w:val="-2"/>
          <w:sz w:val="18"/>
          <w:vertAlign w:val="baseline"/>
        </w:rPr>
        <w:t> </w:t>
      </w:r>
      <w:r>
        <w:rPr>
          <w:sz w:val="18"/>
          <w:vertAlign w:val="baseline"/>
        </w:rPr>
        <w:t>R.</w:t>
      </w:r>
      <w:r>
        <w:rPr>
          <w:spacing w:val="-2"/>
          <w:sz w:val="18"/>
          <w:vertAlign w:val="baseline"/>
        </w:rPr>
        <w:t> </w:t>
      </w:r>
      <w:r>
        <w:rPr>
          <w:sz w:val="18"/>
          <w:vertAlign w:val="baseline"/>
        </w:rPr>
        <w:t>D’Augelli,</w:t>
      </w:r>
      <w:r>
        <w:rPr>
          <w:spacing w:val="-3"/>
          <w:sz w:val="18"/>
          <w:vertAlign w:val="baseline"/>
        </w:rPr>
        <w:t> </w:t>
      </w:r>
      <w:r>
        <w:rPr>
          <w:sz w:val="18"/>
          <w:vertAlign w:val="baseline"/>
        </w:rPr>
        <w:t>Morton</w:t>
      </w:r>
      <w:r>
        <w:rPr>
          <w:spacing w:val="-1"/>
          <w:sz w:val="18"/>
          <w:vertAlign w:val="baseline"/>
        </w:rPr>
        <w:t> </w:t>
      </w:r>
      <w:r>
        <w:rPr>
          <w:sz w:val="18"/>
          <w:vertAlign w:val="baseline"/>
        </w:rPr>
        <w:t>M. Silverman, et al. 2010. “Suicide and Suicide Risk in Lesbian, Gay, Bisexual, and Transgender Populations: Review and Recommendations.” </w:t>
      </w:r>
      <w:r>
        <w:rPr>
          <w:i/>
          <w:sz w:val="18"/>
          <w:vertAlign w:val="baseline"/>
        </w:rPr>
        <w:t>Journal of Homosexuality </w:t>
      </w:r>
      <w:r>
        <w:rPr>
          <w:sz w:val="18"/>
          <w:vertAlign w:val="baseline"/>
        </w:rPr>
        <w:t>58 (1): 10–51. https://doi.org/10.1080/00918369.2011.534038.</w:t>
      </w:r>
    </w:p>
    <w:p>
      <w:pPr>
        <w:spacing w:line="276" w:lineRule="auto" w:before="0"/>
        <w:ind w:left="463" w:right="318" w:hanging="9"/>
        <w:jc w:val="left"/>
        <w:rPr>
          <w:sz w:val="18"/>
        </w:rPr>
      </w:pPr>
      <w:r>
        <w:rPr>
          <w:sz w:val="18"/>
          <w:vertAlign w:val="superscript"/>
        </w:rPr>
        <w:t>52</w:t>
      </w:r>
      <w:r>
        <w:rPr>
          <w:spacing w:val="-13"/>
          <w:sz w:val="18"/>
          <w:vertAlign w:val="baseline"/>
        </w:rPr>
        <w:t> </w:t>
      </w:r>
      <w:r>
        <w:rPr>
          <w:sz w:val="18"/>
          <w:vertAlign w:val="baseline"/>
        </w:rPr>
        <w:t>“Know</w:t>
      </w:r>
      <w:r>
        <w:rPr>
          <w:spacing w:val="-6"/>
          <w:sz w:val="18"/>
          <w:vertAlign w:val="baseline"/>
        </w:rPr>
        <w:t> </w:t>
      </w:r>
      <w:r>
        <w:rPr>
          <w:sz w:val="18"/>
          <w:vertAlign w:val="baseline"/>
        </w:rPr>
        <w:t>Your</w:t>
      </w:r>
      <w:r>
        <w:rPr>
          <w:spacing w:val="-4"/>
          <w:sz w:val="18"/>
          <w:vertAlign w:val="baseline"/>
        </w:rPr>
        <w:t> </w:t>
      </w:r>
      <w:r>
        <w:rPr>
          <w:sz w:val="18"/>
          <w:vertAlign w:val="baseline"/>
        </w:rPr>
        <w:t>Rights:</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2014.</w:t>
      </w:r>
      <w:r>
        <w:rPr>
          <w:spacing w:val="-3"/>
          <w:sz w:val="18"/>
          <w:vertAlign w:val="baseline"/>
        </w:rPr>
        <w:t> </w:t>
      </w:r>
      <w:r>
        <w:rPr>
          <w:sz w:val="18"/>
          <w:vertAlign w:val="baseline"/>
        </w:rPr>
        <w:t>National</w:t>
      </w:r>
      <w:r>
        <w:rPr>
          <w:spacing w:val="-4"/>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Transgender</w:t>
      </w:r>
      <w:r>
        <w:rPr>
          <w:spacing w:val="-4"/>
          <w:sz w:val="18"/>
          <w:vertAlign w:val="baseline"/>
        </w:rPr>
        <w:t> </w:t>
      </w:r>
      <w:r>
        <w:rPr>
          <w:sz w:val="18"/>
          <w:vertAlign w:val="baseline"/>
        </w:rPr>
        <w:t>Equality.</w:t>
      </w:r>
      <w:r>
        <w:rPr>
          <w:spacing w:val="-3"/>
          <w:sz w:val="18"/>
          <w:vertAlign w:val="baseline"/>
        </w:rPr>
        <w:t> </w:t>
      </w:r>
      <w:r>
        <w:rPr>
          <w:sz w:val="18"/>
          <w:vertAlign w:val="baseline"/>
        </w:rPr>
        <w:t>2014.</w:t>
      </w:r>
      <w:r>
        <w:rPr>
          <w:spacing w:val="-3"/>
          <w:sz w:val="18"/>
          <w:vertAlign w:val="baseline"/>
        </w:rPr>
        <w:t> </w:t>
      </w:r>
      <w:r>
        <w:rPr>
          <w:sz w:val="18"/>
          <w:vertAlign w:val="baseline"/>
        </w:rPr>
        <w:t>https://transequality.org/know- your</w:t>
      </w:r>
      <w:r>
        <w:rPr>
          <w:spacing w:val="-2"/>
          <w:sz w:val="18"/>
          <w:vertAlign w:val="baseline"/>
        </w:rPr>
        <w:t> </w:t>
      </w:r>
      <w:r>
        <w:rPr>
          <w:sz w:val="18"/>
          <w:vertAlign w:val="baseline"/>
        </w:rPr>
        <w:t>rights/health-care.</w:t>
      </w:r>
    </w:p>
    <w:p>
      <w:pPr>
        <w:spacing w:line="276" w:lineRule="auto" w:before="0"/>
        <w:ind w:left="464" w:right="318" w:firstLine="2"/>
        <w:jc w:val="left"/>
        <w:rPr>
          <w:sz w:val="18"/>
        </w:rPr>
      </w:pPr>
      <w:r>
        <w:rPr>
          <w:sz w:val="18"/>
          <w:vertAlign w:val="superscript"/>
        </w:rPr>
        <w:t>53</w:t>
      </w:r>
      <w:r>
        <w:rPr>
          <w:spacing w:val="-9"/>
          <w:sz w:val="18"/>
          <w:vertAlign w:val="baseline"/>
        </w:rPr>
        <w:t> </w:t>
      </w:r>
      <w:r>
        <w:rPr>
          <w:color w:val="202020"/>
          <w:sz w:val="18"/>
          <w:vertAlign w:val="baseline"/>
        </w:rPr>
        <w:t>Gridley SJ, Crouch JM, Evans Y, Eng W, Antoon E, Lyapustina M, Schimmel-Bristow A, Woodward J, Dundon K, Schaff R, McCarty C, Ahrens K, Breland DJ. Youth and Caregiver Perspectives on Barriers to Gender-Affirming Health Care for Transgender Youth. J Adolesc Health. 2016 Sep;59(3):254-261. doi: 10.1016/j.jadohealth.2016.03.017. Epub 2016</w:t>
      </w:r>
      <w:r>
        <w:rPr>
          <w:color w:val="202020"/>
          <w:spacing w:val="-1"/>
          <w:sz w:val="18"/>
          <w:vertAlign w:val="baseline"/>
        </w:rPr>
        <w:t> </w:t>
      </w:r>
      <w:r>
        <w:rPr>
          <w:color w:val="202020"/>
          <w:sz w:val="18"/>
          <w:vertAlign w:val="baseline"/>
        </w:rPr>
        <w:t>May 24. PMID: 27235374. </w:t>
      </w:r>
      <w:r>
        <w:rPr>
          <w:sz w:val="18"/>
          <w:vertAlign w:val="superscript"/>
        </w:rPr>
        <w:t>54</w:t>
      </w:r>
      <w:r>
        <w:rPr>
          <w:spacing w:val="-13"/>
          <w:sz w:val="18"/>
          <w:vertAlign w:val="baseline"/>
        </w:rPr>
        <w:t> </w:t>
      </w:r>
      <w:r>
        <w:rPr>
          <w:sz w:val="18"/>
          <w:vertAlign w:val="baseline"/>
        </w:rPr>
        <w:t>Dowshen, Nadia L., Julie Christensen, and Siobhan M. Gruschow. 2019. “Health Insurance Coverage of Recommended</w:t>
      </w:r>
      <w:r>
        <w:rPr>
          <w:spacing w:val="-4"/>
          <w:sz w:val="18"/>
          <w:vertAlign w:val="baseline"/>
        </w:rPr>
        <w:t> </w:t>
      </w:r>
      <w:r>
        <w:rPr>
          <w:sz w:val="18"/>
          <w:vertAlign w:val="baseline"/>
        </w:rPr>
        <w:t>Gender-Affirming</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Services</w:t>
      </w:r>
      <w:r>
        <w:rPr>
          <w:spacing w:val="-3"/>
          <w:sz w:val="18"/>
          <w:vertAlign w:val="baseline"/>
        </w:rPr>
        <w:t> </w:t>
      </w:r>
      <w:r>
        <w:rPr>
          <w:sz w:val="18"/>
          <w:vertAlign w:val="baseline"/>
        </w:rPr>
        <w:t>for</w:t>
      </w:r>
      <w:r>
        <w:rPr>
          <w:spacing w:val="-4"/>
          <w:sz w:val="18"/>
          <w:vertAlign w:val="baseline"/>
        </w:rPr>
        <w:t> </w:t>
      </w:r>
      <w:r>
        <w:rPr>
          <w:sz w:val="18"/>
          <w:vertAlign w:val="baseline"/>
        </w:rPr>
        <w:t>Transgender</w:t>
      </w:r>
      <w:r>
        <w:rPr>
          <w:spacing w:val="-4"/>
          <w:sz w:val="18"/>
          <w:vertAlign w:val="baseline"/>
        </w:rPr>
        <w:t> </w:t>
      </w:r>
      <w:r>
        <w:rPr>
          <w:sz w:val="18"/>
          <w:vertAlign w:val="baseline"/>
        </w:rPr>
        <w:t>Youth:</w:t>
      </w:r>
      <w:r>
        <w:rPr>
          <w:spacing w:val="-3"/>
          <w:sz w:val="18"/>
          <w:vertAlign w:val="baseline"/>
        </w:rPr>
        <w:t> </w:t>
      </w:r>
      <w:r>
        <w:rPr>
          <w:sz w:val="18"/>
          <w:vertAlign w:val="baseline"/>
        </w:rPr>
        <w:t>Shopping</w:t>
      </w:r>
      <w:r>
        <w:rPr>
          <w:spacing w:val="-3"/>
          <w:sz w:val="18"/>
          <w:vertAlign w:val="baseline"/>
        </w:rPr>
        <w:t> </w:t>
      </w:r>
      <w:r>
        <w:rPr>
          <w:sz w:val="18"/>
          <w:vertAlign w:val="baseline"/>
        </w:rPr>
        <w:t>Online</w:t>
      </w:r>
      <w:r>
        <w:rPr>
          <w:spacing w:val="-3"/>
          <w:sz w:val="18"/>
          <w:vertAlign w:val="baseline"/>
        </w:rPr>
        <w:t> </w:t>
      </w:r>
      <w:r>
        <w:rPr>
          <w:sz w:val="18"/>
          <w:vertAlign w:val="baseline"/>
        </w:rPr>
        <w:t>for</w:t>
      </w:r>
      <w:r>
        <w:rPr>
          <w:spacing w:val="-4"/>
          <w:sz w:val="18"/>
          <w:vertAlign w:val="baseline"/>
        </w:rPr>
        <w:t> </w:t>
      </w:r>
      <w:r>
        <w:rPr>
          <w:sz w:val="18"/>
          <w:vertAlign w:val="baseline"/>
        </w:rPr>
        <w:t>Coverage</w:t>
      </w:r>
      <w:r>
        <w:rPr>
          <w:spacing w:val="-3"/>
          <w:sz w:val="18"/>
          <w:vertAlign w:val="baseline"/>
        </w:rPr>
        <w:t> </w:t>
      </w:r>
      <w:r>
        <w:rPr>
          <w:sz w:val="18"/>
          <w:vertAlign w:val="baseline"/>
        </w:rPr>
        <w:t>Information.” Transgender Health 4 (1): 131–35. https://doi.org/10.1089/trgh.2018.0055.</w:t>
      </w:r>
    </w:p>
    <w:p>
      <w:pPr>
        <w:spacing w:line="276" w:lineRule="auto" w:before="0"/>
        <w:ind w:left="463" w:right="759" w:hanging="9"/>
        <w:jc w:val="left"/>
        <w:rPr>
          <w:sz w:val="18"/>
        </w:rPr>
      </w:pPr>
      <w:r>
        <w:rPr>
          <w:sz w:val="18"/>
          <w:vertAlign w:val="superscript"/>
        </w:rPr>
        <w:t>55</w:t>
      </w:r>
      <w:r>
        <w:rPr>
          <w:spacing w:val="-10"/>
          <w:sz w:val="18"/>
          <w:vertAlign w:val="baseline"/>
        </w:rPr>
        <w:t> </w:t>
      </w:r>
      <w:r>
        <w:rPr>
          <w:sz w:val="18"/>
          <w:vertAlign w:val="baseline"/>
        </w:rPr>
        <w:t>Jessica Bartlett. “Boston Children’s Faced Months of Death Threats and Hate Mail. Here’s How Staff Members Are Coping.”</w:t>
      </w:r>
      <w:r>
        <w:rPr>
          <w:spacing w:val="-6"/>
          <w:sz w:val="18"/>
          <w:vertAlign w:val="baseline"/>
        </w:rPr>
        <w:t> </w:t>
      </w:r>
      <w:r>
        <w:rPr>
          <w:sz w:val="18"/>
          <w:vertAlign w:val="baseline"/>
        </w:rPr>
        <w:t>BostonGlobe.com.</w:t>
      </w:r>
      <w:r>
        <w:rPr>
          <w:spacing w:val="-6"/>
          <w:sz w:val="18"/>
          <w:vertAlign w:val="baseline"/>
        </w:rPr>
        <w:t> </w:t>
      </w:r>
      <w:r>
        <w:rPr>
          <w:sz w:val="18"/>
          <w:vertAlign w:val="baseline"/>
        </w:rPr>
        <w:t>Accessed</w:t>
      </w:r>
      <w:r>
        <w:rPr>
          <w:spacing w:val="-6"/>
          <w:sz w:val="18"/>
          <w:vertAlign w:val="baseline"/>
        </w:rPr>
        <w:t> </w:t>
      </w:r>
      <w:r>
        <w:rPr>
          <w:sz w:val="18"/>
          <w:vertAlign w:val="baseline"/>
        </w:rPr>
        <w:t>February</w:t>
      </w:r>
      <w:r>
        <w:rPr>
          <w:spacing w:val="-6"/>
          <w:sz w:val="18"/>
          <w:vertAlign w:val="baseline"/>
        </w:rPr>
        <w:t> </w:t>
      </w:r>
      <w:r>
        <w:rPr>
          <w:sz w:val="18"/>
          <w:vertAlign w:val="baseline"/>
        </w:rPr>
        <w:t>22,</w:t>
      </w:r>
      <w:r>
        <w:rPr>
          <w:spacing w:val="-7"/>
          <w:sz w:val="18"/>
          <w:vertAlign w:val="baseline"/>
        </w:rPr>
        <w:t> </w:t>
      </w:r>
      <w:r>
        <w:rPr>
          <w:sz w:val="18"/>
          <w:vertAlign w:val="baseline"/>
        </w:rPr>
        <w:t>2023.</w:t>
      </w:r>
      <w:r>
        <w:rPr>
          <w:spacing w:val="-6"/>
          <w:sz w:val="18"/>
          <w:vertAlign w:val="baseline"/>
        </w:rPr>
        <w:t> </w:t>
      </w:r>
      <w:r>
        <w:rPr>
          <w:sz w:val="18"/>
          <w:vertAlign w:val="baseline"/>
        </w:rPr>
        <w:t>https:</w:t>
      </w:r>
      <w:hyperlink r:id="rId291">
        <w:r>
          <w:rPr>
            <w:sz w:val="18"/>
            <w:vertAlign w:val="baseline"/>
          </w:rPr>
          <w:t>//www.bostonglobe.com/2022/12/03/metro/boston-</w:t>
        </w:r>
      </w:hyperlink>
      <w:r>
        <w:rPr>
          <w:sz w:val="18"/>
          <w:vertAlign w:val="baseline"/>
        </w:rPr>
        <w:t> childrens-faced months-death-threats-hate-mail-heres-how-staff-are-coping/?event=event12.</w:t>
      </w:r>
    </w:p>
    <w:p>
      <w:pPr>
        <w:spacing w:line="276" w:lineRule="auto" w:before="0"/>
        <w:ind w:left="463" w:right="285" w:firstLine="0"/>
        <w:jc w:val="left"/>
        <w:rPr>
          <w:sz w:val="18"/>
        </w:rPr>
      </w:pPr>
      <w:r>
        <w:rPr>
          <w:sz w:val="18"/>
          <w:vertAlign w:val="superscript"/>
        </w:rPr>
        <w:t>56</w:t>
      </w:r>
      <w:r>
        <w:rPr>
          <w:spacing w:val="-9"/>
          <w:sz w:val="18"/>
          <w:vertAlign w:val="baseline"/>
        </w:rPr>
        <w:t> </w:t>
      </w:r>
      <w:r>
        <w:rPr>
          <w:sz w:val="18"/>
          <w:vertAlign w:val="baseline"/>
        </w:rPr>
        <w:t>Stanton, Cady. n.d. “11 States Have Already Introduced Bills Targeting Transgender Health Care in 2023.” USA TODAY. https://</w:t>
      </w:r>
      <w:hyperlink r:id="rId292">
        <w:r>
          <w:rPr>
            <w:sz w:val="18"/>
            <w:vertAlign w:val="baseline"/>
          </w:rPr>
          <w:t>www.usatoday.com/story/news/nation/2023/01/09/bills-targeting-transgender-healthcare-2023/11012864002/.</w:t>
        </w:r>
      </w:hyperlink>
      <w:r>
        <w:rPr>
          <w:spacing w:val="-11"/>
          <w:sz w:val="18"/>
          <w:vertAlign w:val="baseline"/>
        </w:rPr>
        <w:t> </w:t>
      </w:r>
      <w:r>
        <w:rPr>
          <w:sz w:val="18"/>
          <w:vertAlign w:val="superscript"/>
        </w:rPr>
        <w:t>57</w:t>
      </w:r>
      <w:r>
        <w:rPr>
          <w:sz w:val="18"/>
          <w:vertAlign w:val="baseline"/>
        </w:rPr>
        <w:t> Nakajima, Koko, and Connie Hanzhang Jin. 2022. “Bills Targeting Trans Youth Are Growing More Common — and Radically Reshaping Lives.” NPR, November 28, 2022, sec. National. https://</w:t>
      </w:r>
      <w:hyperlink r:id="rId293">
        <w:r>
          <w:rPr>
            <w:sz w:val="18"/>
            <w:vertAlign w:val="baseline"/>
          </w:rPr>
          <w:t>www.npr.org/2022/11/28/1138396067/transgender-</w:t>
        </w:r>
      </w:hyperlink>
      <w:r>
        <w:rPr>
          <w:sz w:val="18"/>
          <w:vertAlign w:val="baseline"/>
        </w:rPr>
        <w:t> youth bills-trans-sports.</w:t>
      </w:r>
    </w:p>
    <w:p>
      <w:pPr>
        <w:spacing w:line="276" w:lineRule="auto" w:before="0"/>
        <w:ind w:left="463" w:right="481" w:hanging="9"/>
        <w:jc w:val="left"/>
        <w:rPr>
          <w:sz w:val="18"/>
        </w:rPr>
      </w:pPr>
      <w:r>
        <w:rPr>
          <w:sz w:val="18"/>
          <w:vertAlign w:val="superscript"/>
        </w:rPr>
        <w:t>58</w:t>
      </w:r>
      <w:r>
        <w:rPr>
          <w:spacing w:val="-13"/>
          <w:sz w:val="18"/>
          <w:vertAlign w:val="baseline"/>
        </w:rPr>
        <w:t> </w:t>
      </w:r>
      <w:r>
        <w:rPr>
          <w:sz w:val="18"/>
          <w:vertAlign w:val="baseline"/>
        </w:rPr>
        <w:t>“Mapping</w:t>
      </w:r>
      <w:r>
        <w:rPr>
          <w:spacing w:val="-4"/>
          <w:sz w:val="18"/>
          <w:vertAlign w:val="baseline"/>
        </w:rPr>
        <w:t> </w:t>
      </w:r>
      <w:r>
        <w:rPr>
          <w:sz w:val="18"/>
          <w:vertAlign w:val="baseline"/>
        </w:rPr>
        <w:t>Attacks</w:t>
      </w:r>
      <w:r>
        <w:rPr>
          <w:spacing w:val="-2"/>
          <w:sz w:val="18"/>
          <w:vertAlign w:val="baseline"/>
        </w:rPr>
        <w:t> </w:t>
      </w:r>
      <w:r>
        <w:rPr>
          <w:sz w:val="18"/>
          <w:vertAlign w:val="baseline"/>
        </w:rPr>
        <w:t>on</w:t>
      </w:r>
      <w:r>
        <w:rPr>
          <w:spacing w:val="-2"/>
          <w:sz w:val="18"/>
          <w:vertAlign w:val="baseline"/>
        </w:rPr>
        <w:t> </w:t>
      </w:r>
      <w:r>
        <w:rPr>
          <w:sz w:val="18"/>
          <w:vertAlign w:val="baseline"/>
        </w:rPr>
        <w:t>LGBTQ</w:t>
      </w:r>
      <w:r>
        <w:rPr>
          <w:spacing w:val="-2"/>
          <w:sz w:val="18"/>
          <w:vertAlign w:val="baseline"/>
        </w:rPr>
        <w:t> </w:t>
      </w:r>
      <w:r>
        <w:rPr>
          <w:sz w:val="18"/>
          <w:vertAlign w:val="baseline"/>
        </w:rPr>
        <w:t>Rights</w:t>
      </w:r>
      <w:r>
        <w:rPr>
          <w:spacing w:val="-2"/>
          <w:sz w:val="18"/>
          <w:vertAlign w:val="baseline"/>
        </w:rPr>
        <w:t> </w:t>
      </w:r>
      <w:r>
        <w:rPr>
          <w:sz w:val="18"/>
          <w:vertAlign w:val="baseline"/>
        </w:rPr>
        <w:t>in</w:t>
      </w:r>
      <w:r>
        <w:rPr>
          <w:spacing w:val="-2"/>
          <w:sz w:val="18"/>
          <w:vertAlign w:val="baseline"/>
        </w:rPr>
        <w:t> </w:t>
      </w:r>
      <w:r>
        <w:rPr>
          <w:sz w:val="18"/>
          <w:vertAlign w:val="baseline"/>
        </w:rPr>
        <w:t>U.S.</w:t>
      </w:r>
      <w:r>
        <w:rPr>
          <w:spacing w:val="-2"/>
          <w:sz w:val="18"/>
          <w:vertAlign w:val="baseline"/>
        </w:rPr>
        <w:t> </w:t>
      </w:r>
      <w:r>
        <w:rPr>
          <w:sz w:val="18"/>
          <w:vertAlign w:val="baseline"/>
        </w:rPr>
        <w:t>State</w:t>
      </w:r>
      <w:r>
        <w:rPr>
          <w:spacing w:val="-2"/>
          <w:sz w:val="18"/>
          <w:vertAlign w:val="baseline"/>
        </w:rPr>
        <w:t> </w:t>
      </w:r>
      <w:r>
        <w:rPr>
          <w:sz w:val="18"/>
          <w:vertAlign w:val="baseline"/>
        </w:rPr>
        <w:t>Legislatures,”</w:t>
      </w:r>
      <w:r>
        <w:rPr>
          <w:spacing w:val="-4"/>
          <w:sz w:val="18"/>
          <w:vertAlign w:val="baseline"/>
        </w:rPr>
        <w:t> </w:t>
      </w:r>
      <w:r>
        <w:rPr>
          <w:i/>
          <w:sz w:val="18"/>
          <w:vertAlign w:val="baseline"/>
        </w:rPr>
        <w:t>American</w:t>
      </w:r>
      <w:r>
        <w:rPr>
          <w:i/>
          <w:spacing w:val="-2"/>
          <w:sz w:val="18"/>
          <w:vertAlign w:val="baseline"/>
        </w:rPr>
        <w:t> </w:t>
      </w:r>
      <w:r>
        <w:rPr>
          <w:i/>
          <w:sz w:val="18"/>
          <w:vertAlign w:val="baseline"/>
        </w:rPr>
        <w:t>Civil</w:t>
      </w:r>
      <w:r>
        <w:rPr>
          <w:i/>
          <w:spacing w:val="-3"/>
          <w:sz w:val="18"/>
          <w:vertAlign w:val="baseline"/>
        </w:rPr>
        <w:t> </w:t>
      </w:r>
      <w:r>
        <w:rPr>
          <w:i/>
          <w:sz w:val="18"/>
          <w:vertAlign w:val="baseline"/>
        </w:rPr>
        <w:t>Liberties</w:t>
      </w:r>
      <w:r>
        <w:rPr>
          <w:i/>
          <w:spacing w:val="-3"/>
          <w:sz w:val="18"/>
          <w:vertAlign w:val="baseline"/>
        </w:rPr>
        <w:t> </w:t>
      </w:r>
      <w:r>
        <w:rPr>
          <w:i/>
          <w:sz w:val="18"/>
          <w:vertAlign w:val="baseline"/>
        </w:rPr>
        <w:t>Union</w:t>
      </w:r>
      <w:r>
        <w:rPr>
          <w:i/>
          <w:spacing w:val="-2"/>
          <w:sz w:val="18"/>
          <w:vertAlign w:val="baseline"/>
        </w:rPr>
        <w:t> </w:t>
      </w:r>
      <w:r>
        <w:rPr>
          <w:sz w:val="18"/>
          <w:vertAlign w:val="baseline"/>
        </w:rPr>
        <w:t>(blog),</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3"/>
          <w:sz w:val="18"/>
          <w:vertAlign w:val="baseline"/>
        </w:rPr>
        <w:t> </w:t>
      </w:r>
      <w:r>
        <w:rPr>
          <w:sz w:val="18"/>
          <w:vertAlign w:val="baseline"/>
        </w:rPr>
        <w:t>24, 2023,</w:t>
      </w:r>
      <w:r>
        <w:rPr>
          <w:spacing w:val="-2"/>
          <w:sz w:val="18"/>
          <w:vertAlign w:val="baseline"/>
        </w:rPr>
        <w:t> </w:t>
      </w:r>
      <w:r>
        <w:rPr>
          <w:sz w:val="18"/>
          <w:vertAlign w:val="baseline"/>
        </w:rPr>
        <w:t>https:</w:t>
      </w:r>
      <w:hyperlink r:id="rId294">
        <w:r>
          <w:rPr>
            <w:sz w:val="18"/>
            <w:vertAlign w:val="baseline"/>
          </w:rPr>
          <w:t>//www.aclu.org/legislative-attacks-on-lgbtq-rights.</w:t>
        </w:r>
      </w:hyperlink>
    </w:p>
    <w:p>
      <w:pPr>
        <w:spacing w:line="276" w:lineRule="auto" w:before="0"/>
        <w:ind w:left="464" w:right="481" w:hanging="1"/>
        <w:jc w:val="left"/>
        <w:rPr>
          <w:sz w:val="18"/>
        </w:rPr>
      </w:pPr>
      <w:r>
        <w:rPr>
          <w:sz w:val="18"/>
          <w:vertAlign w:val="superscript"/>
        </w:rPr>
        <w:t>59</w:t>
      </w:r>
      <w:r>
        <w:rPr>
          <w:spacing w:val="-13"/>
          <w:sz w:val="18"/>
          <w:vertAlign w:val="baseline"/>
        </w:rPr>
        <w:t> </w:t>
      </w:r>
      <w:r>
        <w:rPr>
          <w:sz w:val="18"/>
          <w:vertAlign w:val="baseline"/>
        </w:rPr>
        <w:t>Hughto,</w:t>
      </w:r>
      <w:r>
        <w:rPr>
          <w:spacing w:val="-4"/>
          <w:sz w:val="18"/>
          <w:vertAlign w:val="baseline"/>
        </w:rPr>
        <w:t> </w:t>
      </w:r>
      <w:r>
        <w:rPr>
          <w:sz w:val="18"/>
          <w:vertAlign w:val="baseline"/>
        </w:rPr>
        <w:t>Jaclyn</w:t>
      </w:r>
      <w:r>
        <w:rPr>
          <w:spacing w:val="-2"/>
          <w:sz w:val="18"/>
          <w:vertAlign w:val="baseline"/>
        </w:rPr>
        <w:t> </w:t>
      </w:r>
      <w:r>
        <w:rPr>
          <w:sz w:val="18"/>
          <w:vertAlign w:val="baseline"/>
        </w:rPr>
        <w:t>M.</w:t>
      </w:r>
      <w:r>
        <w:rPr>
          <w:spacing w:val="-2"/>
          <w:sz w:val="18"/>
          <w:vertAlign w:val="baseline"/>
        </w:rPr>
        <w:t> </w:t>
      </w:r>
      <w:r>
        <w:rPr>
          <w:sz w:val="18"/>
          <w:vertAlign w:val="baseline"/>
        </w:rPr>
        <w:t>W.,</w:t>
      </w:r>
      <w:r>
        <w:rPr>
          <w:spacing w:val="-3"/>
          <w:sz w:val="18"/>
          <w:vertAlign w:val="baseline"/>
        </w:rPr>
        <w:t> </w:t>
      </w:r>
      <w:r>
        <w:rPr>
          <w:sz w:val="18"/>
          <w:vertAlign w:val="baseline"/>
        </w:rPr>
        <w:t>David</w:t>
      </w:r>
      <w:r>
        <w:rPr>
          <w:spacing w:val="-2"/>
          <w:sz w:val="18"/>
          <w:vertAlign w:val="baseline"/>
        </w:rPr>
        <w:t> </w:t>
      </w:r>
      <w:r>
        <w:rPr>
          <w:sz w:val="18"/>
          <w:vertAlign w:val="baseline"/>
        </w:rPr>
        <w:t>J.</w:t>
      </w:r>
      <w:r>
        <w:rPr>
          <w:spacing w:val="-2"/>
          <w:sz w:val="18"/>
          <w:vertAlign w:val="baseline"/>
        </w:rPr>
        <w:t> </w:t>
      </w:r>
      <w:r>
        <w:rPr>
          <w:sz w:val="18"/>
          <w:vertAlign w:val="baseline"/>
        </w:rPr>
        <w:t>Meyers,</w:t>
      </w:r>
      <w:r>
        <w:rPr>
          <w:spacing w:val="-3"/>
          <w:sz w:val="18"/>
          <w:vertAlign w:val="baseline"/>
        </w:rPr>
        <w:t> </w:t>
      </w:r>
      <w:r>
        <w:rPr>
          <w:sz w:val="18"/>
          <w:vertAlign w:val="baseline"/>
        </w:rPr>
        <w:t>Matthew</w:t>
      </w:r>
      <w:r>
        <w:rPr>
          <w:spacing w:val="-3"/>
          <w:sz w:val="18"/>
          <w:vertAlign w:val="baseline"/>
        </w:rPr>
        <w:t> </w:t>
      </w:r>
      <w:r>
        <w:rPr>
          <w:sz w:val="18"/>
          <w:vertAlign w:val="baseline"/>
        </w:rPr>
        <w:t>J.</w:t>
      </w:r>
      <w:r>
        <w:rPr>
          <w:spacing w:val="-2"/>
          <w:sz w:val="18"/>
          <w:vertAlign w:val="baseline"/>
        </w:rPr>
        <w:t> </w:t>
      </w:r>
      <w:r>
        <w:rPr>
          <w:sz w:val="18"/>
          <w:vertAlign w:val="baseline"/>
        </w:rPr>
        <w:t>Mimiaga,</w:t>
      </w:r>
      <w:r>
        <w:rPr>
          <w:spacing w:val="-3"/>
          <w:sz w:val="18"/>
          <w:vertAlign w:val="baseline"/>
        </w:rPr>
        <w:t> </w:t>
      </w:r>
      <w:r>
        <w:rPr>
          <w:sz w:val="18"/>
          <w:vertAlign w:val="baseline"/>
        </w:rPr>
        <w:t>Sari</w:t>
      </w:r>
      <w:r>
        <w:rPr>
          <w:spacing w:val="-3"/>
          <w:sz w:val="18"/>
          <w:vertAlign w:val="baseline"/>
        </w:rPr>
        <w:t> </w:t>
      </w:r>
      <w:r>
        <w:rPr>
          <w:sz w:val="18"/>
          <w:vertAlign w:val="baseline"/>
        </w:rPr>
        <w:t>L.</w:t>
      </w:r>
      <w:r>
        <w:rPr>
          <w:spacing w:val="-2"/>
          <w:sz w:val="18"/>
          <w:vertAlign w:val="baseline"/>
        </w:rPr>
        <w:t> </w:t>
      </w:r>
      <w:r>
        <w:rPr>
          <w:sz w:val="18"/>
          <w:vertAlign w:val="baseline"/>
        </w:rPr>
        <w:t>Reisner,</w:t>
      </w:r>
      <w:r>
        <w:rPr>
          <w:spacing w:val="-3"/>
          <w:sz w:val="18"/>
          <w:vertAlign w:val="baseline"/>
        </w:rPr>
        <w:t> </w:t>
      </w:r>
      <w:r>
        <w:rPr>
          <w:sz w:val="18"/>
          <w:vertAlign w:val="baseline"/>
        </w:rPr>
        <w:t>and</w:t>
      </w:r>
      <w:r>
        <w:rPr>
          <w:spacing w:val="-2"/>
          <w:sz w:val="18"/>
          <w:vertAlign w:val="baseline"/>
        </w:rPr>
        <w:t> </w:t>
      </w:r>
      <w:r>
        <w:rPr>
          <w:sz w:val="18"/>
          <w:vertAlign w:val="baseline"/>
        </w:rPr>
        <w:t>Sean</w:t>
      </w:r>
      <w:r>
        <w:rPr>
          <w:spacing w:val="-2"/>
          <w:sz w:val="18"/>
          <w:vertAlign w:val="baseline"/>
        </w:rPr>
        <w:t> </w:t>
      </w:r>
      <w:r>
        <w:rPr>
          <w:sz w:val="18"/>
          <w:vertAlign w:val="baseline"/>
        </w:rPr>
        <w:t>Cahill.</w:t>
      </w:r>
      <w:r>
        <w:rPr>
          <w:spacing w:val="-2"/>
          <w:sz w:val="18"/>
          <w:vertAlign w:val="baseline"/>
        </w:rPr>
        <w:t> </w:t>
      </w:r>
      <w:r>
        <w:rPr>
          <w:sz w:val="18"/>
          <w:vertAlign w:val="baseline"/>
        </w:rPr>
        <w:t>2021.</w:t>
      </w:r>
      <w:r>
        <w:rPr>
          <w:spacing w:val="-2"/>
          <w:sz w:val="18"/>
          <w:vertAlign w:val="baseline"/>
        </w:rPr>
        <w:t> </w:t>
      </w:r>
      <w:r>
        <w:rPr>
          <w:sz w:val="18"/>
          <w:vertAlign w:val="baseline"/>
        </w:rPr>
        <w:t>“Uncertainty</w:t>
      </w:r>
      <w:r>
        <w:rPr>
          <w:spacing w:val="-2"/>
          <w:sz w:val="18"/>
          <w:vertAlign w:val="baseline"/>
        </w:rPr>
        <w:t> </w:t>
      </w:r>
      <w:r>
        <w:rPr>
          <w:sz w:val="18"/>
          <w:vertAlign w:val="baseline"/>
        </w:rPr>
        <w:t>and Confusion Regarding Transgender Non-Discrimination Policies: Implications for the Mental Health of Transgender Americans.” Sexuality Research and Social Policy, June. https://doi.org/10.1007/s13178-021-00602-w.</w:t>
      </w:r>
    </w:p>
    <w:p>
      <w:pPr>
        <w:spacing w:line="276" w:lineRule="auto" w:before="0"/>
        <w:ind w:left="464" w:right="318" w:hanging="4"/>
        <w:jc w:val="left"/>
        <w:rPr>
          <w:sz w:val="18"/>
        </w:rPr>
      </w:pPr>
      <w:r>
        <w:rPr>
          <w:sz w:val="18"/>
          <w:vertAlign w:val="superscript"/>
        </w:rPr>
        <w:t>60</w:t>
      </w:r>
      <w:r>
        <w:rPr>
          <w:spacing w:val="-13"/>
          <w:sz w:val="18"/>
          <w:vertAlign w:val="baseline"/>
        </w:rPr>
        <w:t> </w:t>
      </w:r>
      <w:r>
        <w:rPr>
          <w:sz w:val="18"/>
          <w:vertAlign w:val="baseline"/>
        </w:rPr>
        <w:t>Weaver,</w:t>
      </w:r>
      <w:r>
        <w:rPr>
          <w:spacing w:val="-4"/>
          <w:sz w:val="18"/>
          <w:vertAlign w:val="baseline"/>
        </w:rPr>
        <w:t> </w:t>
      </w:r>
      <w:r>
        <w:rPr>
          <w:sz w:val="18"/>
          <w:vertAlign w:val="baseline"/>
        </w:rPr>
        <w:t>Josh.</w:t>
      </w:r>
      <w:r>
        <w:rPr>
          <w:spacing w:val="-3"/>
          <w:sz w:val="18"/>
          <w:vertAlign w:val="baseline"/>
        </w:rPr>
        <w:t> </w:t>
      </w:r>
      <w:r>
        <w:rPr>
          <w:sz w:val="18"/>
          <w:vertAlign w:val="baseline"/>
        </w:rPr>
        <w:t>“New</w:t>
      </w:r>
      <w:r>
        <w:rPr>
          <w:spacing w:val="-3"/>
          <w:sz w:val="18"/>
          <w:vertAlign w:val="baseline"/>
        </w:rPr>
        <w:t> </w:t>
      </w:r>
      <w:r>
        <w:rPr>
          <w:sz w:val="18"/>
          <w:vertAlign w:val="baseline"/>
        </w:rPr>
        <w:t>Poll</w:t>
      </w:r>
      <w:r>
        <w:rPr>
          <w:spacing w:val="-3"/>
          <w:sz w:val="18"/>
          <w:vertAlign w:val="baseline"/>
        </w:rPr>
        <w:t> </w:t>
      </w:r>
      <w:r>
        <w:rPr>
          <w:sz w:val="18"/>
          <w:vertAlign w:val="baseline"/>
        </w:rPr>
        <w:t>Illustrates</w:t>
      </w:r>
      <w:r>
        <w:rPr>
          <w:spacing w:val="-2"/>
          <w:sz w:val="18"/>
          <w:vertAlign w:val="baseline"/>
        </w:rPr>
        <w:t> </w:t>
      </w:r>
      <w:r>
        <w:rPr>
          <w:sz w:val="18"/>
          <w:vertAlign w:val="baseline"/>
        </w:rPr>
        <w:t>the</w:t>
      </w:r>
      <w:r>
        <w:rPr>
          <w:spacing w:val="-2"/>
          <w:sz w:val="18"/>
          <w:vertAlign w:val="baseline"/>
        </w:rPr>
        <w:t> </w:t>
      </w:r>
      <w:r>
        <w:rPr>
          <w:sz w:val="18"/>
          <w:vertAlign w:val="baseline"/>
        </w:rPr>
        <w:t>Impacts</w:t>
      </w:r>
      <w:r>
        <w:rPr>
          <w:spacing w:val="-3"/>
          <w:sz w:val="18"/>
          <w:vertAlign w:val="baseline"/>
        </w:rPr>
        <w:t> </w:t>
      </w:r>
      <w:r>
        <w:rPr>
          <w:sz w:val="18"/>
          <w:vertAlign w:val="baseline"/>
        </w:rPr>
        <w:t>of</w:t>
      </w:r>
      <w:r>
        <w:rPr>
          <w:spacing w:val="-2"/>
          <w:sz w:val="18"/>
          <w:vertAlign w:val="baseline"/>
        </w:rPr>
        <w:t> </w:t>
      </w:r>
      <w:r>
        <w:rPr>
          <w:sz w:val="18"/>
          <w:vertAlign w:val="baseline"/>
        </w:rPr>
        <w:t>Social</w:t>
      </w:r>
      <w:r>
        <w:rPr>
          <w:spacing w:val="-3"/>
          <w:sz w:val="18"/>
          <w:vertAlign w:val="baseline"/>
        </w:rPr>
        <w:t> </w:t>
      </w:r>
      <w:r>
        <w:rPr>
          <w:sz w:val="18"/>
          <w:vertAlign w:val="baseline"/>
        </w:rPr>
        <w:t>&amp;</w:t>
      </w:r>
      <w:r>
        <w:rPr>
          <w:spacing w:val="-3"/>
          <w:sz w:val="18"/>
          <w:vertAlign w:val="baseline"/>
        </w:rPr>
        <w:t> </w:t>
      </w:r>
      <w:r>
        <w:rPr>
          <w:sz w:val="18"/>
          <w:vertAlign w:val="baseline"/>
        </w:rPr>
        <w:t>Political</w:t>
      </w:r>
      <w:r>
        <w:rPr>
          <w:spacing w:val="-3"/>
          <w:sz w:val="18"/>
          <w:vertAlign w:val="baseline"/>
        </w:rPr>
        <w:t> </w:t>
      </w:r>
      <w:r>
        <w:rPr>
          <w:sz w:val="18"/>
          <w:vertAlign w:val="baseline"/>
        </w:rPr>
        <w:t>Issues</w:t>
      </w:r>
      <w:r>
        <w:rPr>
          <w:spacing w:val="-2"/>
          <w:sz w:val="18"/>
          <w:vertAlign w:val="baseline"/>
        </w:rPr>
        <w:t> </w:t>
      </w:r>
      <w:r>
        <w:rPr>
          <w:sz w:val="18"/>
          <w:vertAlign w:val="baseline"/>
        </w:rPr>
        <w:t>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The</w:t>
      </w:r>
      <w:r>
        <w:rPr>
          <w:spacing w:val="-3"/>
          <w:sz w:val="18"/>
          <w:vertAlign w:val="baseline"/>
        </w:rPr>
        <w:t> </w:t>
      </w:r>
      <w:r>
        <w:rPr>
          <w:sz w:val="18"/>
          <w:vertAlign w:val="baseline"/>
        </w:rPr>
        <w:t>Trevor</w:t>
      </w:r>
      <w:r>
        <w:rPr>
          <w:spacing w:val="-3"/>
          <w:sz w:val="18"/>
          <w:vertAlign w:val="baseline"/>
        </w:rPr>
        <w:t> </w:t>
      </w:r>
      <w:r>
        <w:rPr>
          <w:sz w:val="18"/>
          <w:vertAlign w:val="baseline"/>
        </w:rPr>
        <w:t>Project,</w:t>
      </w:r>
      <w:r>
        <w:rPr>
          <w:spacing w:val="-3"/>
          <w:sz w:val="18"/>
          <w:vertAlign w:val="baseline"/>
        </w:rPr>
        <w:t> </w:t>
      </w:r>
      <w:r>
        <w:rPr>
          <w:sz w:val="18"/>
          <w:vertAlign w:val="baseline"/>
        </w:rPr>
        <w:t>January 10,</w:t>
      </w:r>
      <w:r>
        <w:rPr>
          <w:spacing w:val="-2"/>
          <w:sz w:val="18"/>
          <w:vertAlign w:val="baseline"/>
        </w:rPr>
        <w:t> </w:t>
      </w:r>
      <w:r>
        <w:rPr>
          <w:sz w:val="18"/>
          <w:vertAlign w:val="baseline"/>
        </w:rPr>
        <w:t>2022.</w:t>
      </w:r>
    </w:p>
    <w:p>
      <w:pPr>
        <w:spacing w:line="276" w:lineRule="auto" w:before="0"/>
        <w:ind w:left="463" w:right="327" w:firstLine="0"/>
        <w:jc w:val="left"/>
        <w:rPr>
          <w:sz w:val="18"/>
        </w:rPr>
      </w:pPr>
      <w:r>
        <w:rPr>
          <w:sz w:val="18"/>
          <w:vertAlign w:val="superscript"/>
        </w:rPr>
        <w:t>61</w:t>
      </w:r>
      <w:r>
        <w:rPr>
          <w:spacing w:val="-8"/>
          <w:sz w:val="18"/>
          <w:vertAlign w:val="baseline"/>
        </w:rPr>
        <w:t> </w:t>
      </w:r>
      <w:r>
        <w:rPr>
          <w:sz w:val="18"/>
          <w:vertAlign w:val="baseline"/>
        </w:rPr>
        <w:t>GLAD. 2022. “Advocates Praise MA Protection for Abortion, Gender-Affirming Care.” GLAD. August 1, 2022. https:</w:t>
      </w:r>
      <w:hyperlink r:id="rId295">
        <w:r>
          <w:rPr>
            <w:sz w:val="18"/>
            <w:vertAlign w:val="baseline"/>
          </w:rPr>
          <w:t>//www.glad.org/post/advocates-praise-ma-protection-for-abortion-gender-affirming-care/.</w:t>
        </w:r>
      </w:hyperlink>
      <w:r>
        <w:rPr>
          <w:sz w:val="18"/>
          <w:vertAlign w:val="baseline"/>
        </w:rPr>
        <w:t> </w:t>
      </w:r>
      <w:r>
        <w:rPr>
          <w:sz w:val="18"/>
          <w:vertAlign w:val="superscript"/>
        </w:rPr>
        <w:t>62</w:t>
      </w:r>
      <w:r>
        <w:rPr>
          <w:sz w:val="18"/>
          <w:vertAlign w:val="baseline"/>
        </w:rPr>
        <w:t> Twitter, Instagram, Email,</w:t>
      </w:r>
      <w:r>
        <w:rPr>
          <w:spacing w:val="-4"/>
          <w:sz w:val="18"/>
          <w:vertAlign w:val="baseline"/>
        </w:rPr>
        <w:t> </w:t>
      </w:r>
      <w:r>
        <w:rPr>
          <w:sz w:val="18"/>
          <w:vertAlign w:val="baseline"/>
        </w:rPr>
        <w:t>and</w:t>
      </w:r>
      <w:r>
        <w:rPr>
          <w:spacing w:val="-3"/>
          <w:sz w:val="18"/>
          <w:vertAlign w:val="baseline"/>
        </w:rPr>
        <w:t> </w:t>
      </w:r>
      <w:r>
        <w:rPr>
          <w:sz w:val="18"/>
          <w:vertAlign w:val="baseline"/>
        </w:rPr>
        <w:t>Facebook.</w:t>
      </w:r>
      <w:r>
        <w:rPr>
          <w:spacing w:val="-3"/>
          <w:sz w:val="18"/>
          <w:vertAlign w:val="baseline"/>
        </w:rPr>
        <w:t> </w:t>
      </w:r>
      <w:r>
        <w:rPr>
          <w:sz w:val="18"/>
          <w:vertAlign w:val="baseline"/>
        </w:rPr>
        <w:t>2022.</w:t>
      </w:r>
      <w:r>
        <w:rPr>
          <w:spacing w:val="-3"/>
          <w:sz w:val="18"/>
          <w:vertAlign w:val="baseline"/>
        </w:rPr>
        <w:t> </w:t>
      </w:r>
      <w:r>
        <w:rPr>
          <w:sz w:val="18"/>
          <w:vertAlign w:val="baseline"/>
        </w:rPr>
        <w:t>“Newsom</w:t>
      </w:r>
      <w:r>
        <w:rPr>
          <w:spacing w:val="-3"/>
          <w:sz w:val="18"/>
          <w:vertAlign w:val="baseline"/>
        </w:rPr>
        <w:t> </w:t>
      </w:r>
      <w:r>
        <w:rPr>
          <w:sz w:val="18"/>
          <w:vertAlign w:val="baseline"/>
        </w:rPr>
        <w:t>Signs</w:t>
      </w:r>
      <w:r>
        <w:rPr>
          <w:spacing w:val="-3"/>
          <w:sz w:val="18"/>
          <w:vertAlign w:val="baseline"/>
        </w:rPr>
        <w:t> </w:t>
      </w:r>
      <w:r>
        <w:rPr>
          <w:sz w:val="18"/>
          <w:vertAlign w:val="baseline"/>
        </w:rPr>
        <w:t>Bill</w:t>
      </w:r>
      <w:r>
        <w:rPr>
          <w:spacing w:val="-4"/>
          <w:sz w:val="18"/>
          <w:vertAlign w:val="baseline"/>
        </w:rPr>
        <w:t> </w:t>
      </w:r>
      <w:r>
        <w:rPr>
          <w:sz w:val="18"/>
          <w:vertAlign w:val="baseline"/>
        </w:rPr>
        <w:t>Protecting</w:t>
      </w:r>
      <w:r>
        <w:rPr>
          <w:spacing w:val="-3"/>
          <w:sz w:val="18"/>
          <w:vertAlign w:val="baseline"/>
        </w:rPr>
        <w:t> </w:t>
      </w:r>
      <w:r>
        <w:rPr>
          <w:sz w:val="18"/>
          <w:vertAlign w:val="baseline"/>
        </w:rPr>
        <w:t>Transgender</w:t>
      </w:r>
      <w:r>
        <w:rPr>
          <w:spacing w:val="-4"/>
          <w:sz w:val="18"/>
          <w:vertAlign w:val="baseline"/>
        </w:rPr>
        <w:t> </w:t>
      </w:r>
      <w:r>
        <w:rPr>
          <w:sz w:val="18"/>
          <w:vertAlign w:val="baseline"/>
        </w:rPr>
        <w:t>Youths</w:t>
      </w:r>
      <w:r>
        <w:rPr>
          <w:spacing w:val="-3"/>
          <w:sz w:val="18"/>
          <w:vertAlign w:val="baseline"/>
        </w:rPr>
        <w:t> </w:t>
      </w:r>
      <w:r>
        <w:rPr>
          <w:sz w:val="18"/>
          <w:vertAlign w:val="baseline"/>
        </w:rPr>
        <w:t>and</w:t>
      </w:r>
      <w:r>
        <w:rPr>
          <w:spacing w:val="-3"/>
          <w:sz w:val="18"/>
          <w:vertAlign w:val="baseline"/>
        </w:rPr>
        <w:t> </w:t>
      </w:r>
      <w:r>
        <w:rPr>
          <w:sz w:val="18"/>
          <w:vertAlign w:val="baseline"/>
        </w:rPr>
        <w:t>Families</w:t>
      </w:r>
      <w:r>
        <w:rPr>
          <w:spacing w:val="-3"/>
          <w:sz w:val="18"/>
          <w:vertAlign w:val="baseline"/>
        </w:rPr>
        <w:t> </w:t>
      </w:r>
      <w:r>
        <w:rPr>
          <w:sz w:val="18"/>
          <w:vertAlign w:val="baseline"/>
        </w:rPr>
        <w:t>Fleeing</w:t>
      </w:r>
      <w:r>
        <w:rPr>
          <w:spacing w:val="-3"/>
          <w:sz w:val="18"/>
          <w:vertAlign w:val="baseline"/>
        </w:rPr>
        <w:t> </w:t>
      </w:r>
      <w:r>
        <w:rPr>
          <w:sz w:val="18"/>
          <w:vertAlign w:val="baseline"/>
        </w:rPr>
        <w:t>Red</w:t>
      </w:r>
      <w:r>
        <w:rPr>
          <w:spacing w:val="-3"/>
          <w:sz w:val="18"/>
          <w:vertAlign w:val="baseline"/>
        </w:rPr>
        <w:t> </w:t>
      </w:r>
      <w:r>
        <w:rPr>
          <w:sz w:val="18"/>
          <w:vertAlign w:val="baseline"/>
        </w:rPr>
        <w:t>State</w:t>
      </w:r>
      <w:r>
        <w:rPr>
          <w:spacing w:val="-4"/>
          <w:sz w:val="18"/>
          <w:vertAlign w:val="baseline"/>
        </w:rPr>
        <w:t> </w:t>
      </w:r>
      <w:r>
        <w:rPr>
          <w:sz w:val="18"/>
          <w:vertAlign w:val="baseline"/>
        </w:rPr>
        <w:t>Policies.”</w:t>
      </w:r>
      <w:r>
        <w:rPr>
          <w:spacing w:val="-3"/>
          <w:sz w:val="18"/>
          <w:vertAlign w:val="baseline"/>
        </w:rPr>
        <w:t> </w:t>
      </w:r>
      <w:r>
        <w:rPr>
          <w:sz w:val="18"/>
          <w:vertAlign w:val="baseline"/>
        </w:rPr>
        <w:t>Los Angeles Times. September 30, 2022. https:</w:t>
      </w:r>
      <w:hyperlink r:id="rId296">
        <w:r>
          <w:rPr>
            <w:sz w:val="18"/>
            <w:vertAlign w:val="baseline"/>
          </w:rPr>
          <w:t>//www.latimes.com/california/story/2022-09-29/with-new-law</w:t>
        </w:r>
      </w:hyperlink>
      <w:r>
        <w:rPr>
          <w:sz w:val="18"/>
          <w:vertAlign w:val="baseline"/>
        </w:rPr>
        <w:t> california- </w:t>
      </w:r>
      <w:r>
        <w:rPr>
          <w:spacing w:val="-2"/>
          <w:sz w:val="18"/>
          <w:vertAlign w:val="baseline"/>
        </w:rPr>
        <w:t>welcomes-out-of-state-transgender-youth.</w:t>
      </w:r>
    </w:p>
    <w:p>
      <w:pPr>
        <w:spacing w:line="276" w:lineRule="auto" w:before="0"/>
        <w:ind w:left="463" w:right="766" w:hanging="3"/>
        <w:jc w:val="left"/>
        <w:rPr>
          <w:sz w:val="18"/>
        </w:rPr>
      </w:pPr>
      <w:r>
        <w:rPr>
          <w:sz w:val="18"/>
          <w:vertAlign w:val="superscript"/>
        </w:rPr>
        <w:t>63</w:t>
      </w:r>
      <w:r>
        <w:rPr>
          <w:spacing w:val="-8"/>
          <w:sz w:val="18"/>
          <w:vertAlign w:val="baseline"/>
        </w:rPr>
        <w:t> </w:t>
      </w:r>
      <w:r>
        <w:rPr>
          <w:sz w:val="18"/>
          <w:vertAlign w:val="baseline"/>
        </w:rPr>
        <w:t>Sl, Reisner, White Jm, and Dunham Ee. n.d. “Discrimination and Health in Massachusetts: A Statewide Survey of Transgender</w:t>
      </w:r>
      <w:r>
        <w:rPr>
          <w:spacing w:val="-8"/>
          <w:sz w:val="18"/>
          <w:vertAlign w:val="baseline"/>
        </w:rPr>
        <w:t> </w:t>
      </w:r>
      <w:r>
        <w:rPr>
          <w:sz w:val="18"/>
          <w:vertAlign w:val="baseline"/>
        </w:rPr>
        <w:t>and</w:t>
      </w:r>
      <w:r>
        <w:rPr>
          <w:spacing w:val="-7"/>
          <w:sz w:val="18"/>
          <w:vertAlign w:val="baseline"/>
        </w:rPr>
        <w:t> </w:t>
      </w:r>
      <w:r>
        <w:rPr>
          <w:sz w:val="18"/>
          <w:vertAlign w:val="baseline"/>
        </w:rPr>
        <w:t>Gender</w:t>
      </w:r>
      <w:r>
        <w:rPr>
          <w:spacing w:val="-8"/>
          <w:sz w:val="18"/>
          <w:vertAlign w:val="baseline"/>
        </w:rPr>
        <w:t> </w:t>
      </w:r>
      <w:r>
        <w:rPr>
          <w:sz w:val="18"/>
          <w:vertAlign w:val="baseline"/>
        </w:rPr>
        <w:t>Nonconforming</w:t>
      </w:r>
      <w:r>
        <w:rPr>
          <w:spacing w:val="-7"/>
          <w:sz w:val="18"/>
          <w:vertAlign w:val="baseline"/>
        </w:rPr>
        <w:t> </w:t>
      </w:r>
      <w:r>
        <w:rPr>
          <w:sz w:val="18"/>
          <w:vertAlign w:val="baseline"/>
        </w:rPr>
        <w:t>Adults.”</w:t>
      </w:r>
      <w:r>
        <w:rPr>
          <w:spacing w:val="-7"/>
          <w:sz w:val="18"/>
          <w:vertAlign w:val="baseline"/>
        </w:rPr>
        <w:t> </w:t>
      </w:r>
      <w:r>
        <w:rPr>
          <w:sz w:val="18"/>
          <w:vertAlign w:val="baseline"/>
        </w:rPr>
        <w:t>https://fenwayhealth.org/documents/the-fenway-institute/policy- briefs/The-Fenway Institute-MTPC-Project-VOICE-Report-July-2014.pdf.</w:t>
      </w:r>
    </w:p>
    <w:p>
      <w:pPr>
        <w:spacing w:line="219" w:lineRule="exact" w:before="0"/>
        <w:ind w:left="464" w:right="0" w:firstLine="0"/>
        <w:jc w:val="left"/>
        <w:rPr>
          <w:sz w:val="18"/>
        </w:rPr>
      </w:pPr>
      <w:r>
        <w:rPr>
          <w:sz w:val="18"/>
          <w:vertAlign w:val="superscript"/>
        </w:rPr>
        <w:t>64</w:t>
      </w:r>
      <w:r>
        <w:rPr>
          <w:spacing w:val="-13"/>
          <w:sz w:val="18"/>
          <w:vertAlign w:val="baseline"/>
        </w:rPr>
        <w:t> </w:t>
      </w:r>
      <w:r>
        <w:rPr>
          <w:spacing w:val="-2"/>
          <w:sz w:val="18"/>
          <w:vertAlign w:val="baseline"/>
        </w:rPr>
        <w:t>Ibid.</w:t>
      </w:r>
    </w:p>
    <w:p>
      <w:pPr>
        <w:spacing w:before="33"/>
        <w:ind w:left="462" w:right="0" w:firstLine="0"/>
        <w:jc w:val="left"/>
        <w:rPr>
          <w:sz w:val="18"/>
        </w:rPr>
      </w:pPr>
      <w:r>
        <w:rPr>
          <w:sz w:val="18"/>
          <w:vertAlign w:val="superscript"/>
        </w:rPr>
        <w:t>65</w:t>
      </w:r>
      <w:r>
        <w:rPr>
          <w:spacing w:val="-15"/>
          <w:sz w:val="18"/>
          <w:vertAlign w:val="baseline"/>
        </w:rPr>
        <w:t> </w:t>
      </w:r>
      <w:r>
        <w:rPr>
          <w:sz w:val="18"/>
          <w:vertAlign w:val="baseline"/>
        </w:rPr>
        <w:t>Zajac,</w:t>
      </w:r>
      <w:r>
        <w:rPr>
          <w:spacing w:val="-5"/>
          <w:sz w:val="18"/>
          <w:vertAlign w:val="baseline"/>
        </w:rPr>
        <w:t> </w:t>
      </w:r>
      <w:r>
        <w:rPr>
          <w:sz w:val="18"/>
          <w:vertAlign w:val="baseline"/>
        </w:rPr>
        <w:t>Jacek,</w:t>
      </w:r>
      <w:r>
        <w:rPr>
          <w:spacing w:val="-3"/>
          <w:sz w:val="18"/>
          <w:vertAlign w:val="baseline"/>
        </w:rPr>
        <w:t> </w:t>
      </w:r>
      <w:r>
        <w:rPr>
          <w:sz w:val="18"/>
          <w:vertAlign w:val="baseline"/>
        </w:rPr>
        <w:t>Anil</w:t>
      </w:r>
      <w:r>
        <w:rPr>
          <w:spacing w:val="-3"/>
          <w:sz w:val="18"/>
          <w:vertAlign w:val="baseline"/>
        </w:rPr>
        <w:t> </w:t>
      </w:r>
      <w:r>
        <w:rPr>
          <w:sz w:val="18"/>
          <w:vertAlign w:val="baseline"/>
        </w:rPr>
        <w:t>Shrestha,</w:t>
      </w:r>
      <w:r>
        <w:rPr>
          <w:spacing w:val="-3"/>
          <w:sz w:val="18"/>
          <w:vertAlign w:val="baseline"/>
        </w:rPr>
        <w:t> </w:t>
      </w:r>
      <w:r>
        <w:rPr>
          <w:sz w:val="18"/>
          <w:vertAlign w:val="baseline"/>
        </w:rPr>
        <w:t>Parini</w:t>
      </w:r>
      <w:r>
        <w:rPr>
          <w:spacing w:val="-3"/>
          <w:sz w:val="18"/>
          <w:vertAlign w:val="baseline"/>
        </w:rPr>
        <w:t> </w:t>
      </w:r>
      <w:r>
        <w:rPr>
          <w:sz w:val="18"/>
          <w:vertAlign w:val="baseline"/>
        </w:rPr>
        <w:t>Patel,</w:t>
      </w:r>
      <w:r>
        <w:rPr>
          <w:spacing w:val="-3"/>
          <w:sz w:val="18"/>
          <w:vertAlign w:val="baseline"/>
        </w:rPr>
        <w:t> </w:t>
      </w:r>
      <w:r>
        <w:rPr>
          <w:sz w:val="18"/>
          <w:vertAlign w:val="baseline"/>
        </w:rPr>
        <w:t>and</w:t>
      </w:r>
      <w:r>
        <w:rPr>
          <w:spacing w:val="-2"/>
          <w:sz w:val="18"/>
          <w:vertAlign w:val="baseline"/>
        </w:rPr>
        <w:t> </w:t>
      </w:r>
      <w:r>
        <w:rPr>
          <w:sz w:val="18"/>
          <w:vertAlign w:val="baseline"/>
        </w:rPr>
        <w:t>Leonid</w:t>
      </w:r>
      <w:r>
        <w:rPr>
          <w:spacing w:val="-2"/>
          <w:sz w:val="18"/>
          <w:vertAlign w:val="baseline"/>
        </w:rPr>
        <w:t> </w:t>
      </w:r>
      <w:r>
        <w:rPr>
          <w:sz w:val="18"/>
          <w:vertAlign w:val="baseline"/>
        </w:rPr>
        <w:t>Poretsky.</w:t>
      </w:r>
      <w:r>
        <w:rPr>
          <w:spacing w:val="-2"/>
          <w:sz w:val="18"/>
          <w:vertAlign w:val="baseline"/>
        </w:rPr>
        <w:t> </w:t>
      </w:r>
      <w:r>
        <w:rPr>
          <w:sz w:val="18"/>
          <w:vertAlign w:val="baseline"/>
        </w:rPr>
        <w:t>"The</w:t>
      </w:r>
      <w:r>
        <w:rPr>
          <w:spacing w:val="-2"/>
          <w:sz w:val="18"/>
          <w:vertAlign w:val="baseline"/>
        </w:rPr>
        <w:t> </w:t>
      </w:r>
      <w:r>
        <w:rPr>
          <w:sz w:val="18"/>
          <w:vertAlign w:val="baseline"/>
        </w:rPr>
        <w:t>main</w:t>
      </w:r>
      <w:r>
        <w:rPr>
          <w:spacing w:val="-2"/>
          <w:sz w:val="18"/>
          <w:vertAlign w:val="baseline"/>
        </w:rPr>
        <w:t> </w:t>
      </w:r>
      <w:r>
        <w:rPr>
          <w:sz w:val="18"/>
          <w:vertAlign w:val="baseline"/>
        </w:rPr>
        <w:t>events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history</w:t>
      </w:r>
      <w:r>
        <w:rPr>
          <w:spacing w:val="-2"/>
          <w:sz w:val="18"/>
          <w:vertAlign w:val="baseline"/>
        </w:rPr>
        <w:t> </w:t>
      </w:r>
      <w:r>
        <w:rPr>
          <w:sz w:val="18"/>
          <w:vertAlign w:val="baseline"/>
        </w:rPr>
        <w:t>of</w:t>
      </w:r>
      <w:r>
        <w:rPr>
          <w:spacing w:val="-2"/>
          <w:sz w:val="18"/>
          <w:vertAlign w:val="baseline"/>
        </w:rPr>
        <w:t> </w:t>
      </w:r>
      <w:r>
        <w:rPr>
          <w:sz w:val="18"/>
          <w:vertAlign w:val="baseline"/>
        </w:rPr>
        <w:t>diabetes</w:t>
      </w:r>
      <w:r>
        <w:rPr>
          <w:spacing w:val="-2"/>
          <w:sz w:val="18"/>
          <w:vertAlign w:val="baseline"/>
        </w:rPr>
        <w:t> mellitus."</w:t>
      </w:r>
    </w:p>
    <w:p>
      <w:pPr>
        <w:spacing w:before="33"/>
        <w:ind w:left="463" w:right="0" w:firstLine="0"/>
        <w:jc w:val="left"/>
        <w:rPr>
          <w:sz w:val="18"/>
        </w:rPr>
      </w:pPr>
      <w:r>
        <w:rPr>
          <w:i/>
          <w:sz w:val="18"/>
        </w:rPr>
        <w:t>Principles</w:t>
      </w:r>
      <w:r>
        <w:rPr>
          <w:i/>
          <w:spacing w:val="-5"/>
          <w:sz w:val="18"/>
        </w:rPr>
        <w:t> </w:t>
      </w:r>
      <w:r>
        <w:rPr>
          <w:i/>
          <w:sz w:val="18"/>
        </w:rPr>
        <w:t>of</w:t>
      </w:r>
      <w:r>
        <w:rPr>
          <w:i/>
          <w:spacing w:val="-3"/>
          <w:sz w:val="18"/>
        </w:rPr>
        <w:t> </w:t>
      </w:r>
      <w:r>
        <w:rPr>
          <w:i/>
          <w:sz w:val="18"/>
        </w:rPr>
        <w:t>diabetes</w:t>
      </w:r>
      <w:r>
        <w:rPr>
          <w:i/>
          <w:spacing w:val="-4"/>
          <w:sz w:val="18"/>
        </w:rPr>
        <w:t> </w:t>
      </w:r>
      <w:r>
        <w:rPr>
          <w:i/>
          <w:sz w:val="18"/>
        </w:rPr>
        <w:t>mellitus</w:t>
      </w:r>
      <w:r>
        <w:rPr>
          <w:i/>
          <w:spacing w:val="-4"/>
          <w:sz w:val="18"/>
        </w:rPr>
        <w:t> </w:t>
      </w:r>
      <w:r>
        <w:rPr>
          <w:sz w:val="18"/>
        </w:rPr>
        <w:t>(2010):</w:t>
      </w:r>
      <w:r>
        <w:rPr>
          <w:spacing w:val="-3"/>
          <w:sz w:val="18"/>
        </w:rPr>
        <w:t> </w:t>
      </w:r>
      <w:r>
        <w:rPr>
          <w:sz w:val="18"/>
        </w:rPr>
        <w:t>3-</w:t>
      </w:r>
      <w:r>
        <w:rPr>
          <w:spacing w:val="-5"/>
          <w:sz w:val="18"/>
        </w:rPr>
        <w:t>16.</w:t>
      </w:r>
    </w:p>
    <w:p>
      <w:pPr>
        <w:spacing w:line="276" w:lineRule="auto" w:before="33"/>
        <w:ind w:left="464" w:right="318" w:hanging="3"/>
        <w:jc w:val="left"/>
        <w:rPr>
          <w:sz w:val="18"/>
        </w:rPr>
      </w:pPr>
      <w:r>
        <w:rPr>
          <w:sz w:val="18"/>
          <w:vertAlign w:val="superscript"/>
        </w:rPr>
        <w:t>66</w:t>
      </w:r>
      <w:r>
        <w:rPr>
          <w:spacing w:val="-13"/>
          <w:sz w:val="18"/>
          <w:vertAlign w:val="baseline"/>
        </w:rPr>
        <w:t> </w:t>
      </w:r>
      <w:r>
        <w:rPr>
          <w:sz w:val="18"/>
          <w:vertAlign w:val="baseline"/>
        </w:rPr>
        <w:t>Turban,</w:t>
      </w:r>
      <w:r>
        <w:rPr>
          <w:spacing w:val="-4"/>
          <w:sz w:val="18"/>
          <w:vertAlign w:val="baseline"/>
        </w:rPr>
        <w:t> </w:t>
      </w:r>
      <w:r>
        <w:rPr>
          <w:sz w:val="18"/>
          <w:vertAlign w:val="baseline"/>
        </w:rPr>
        <w:t>Jack</w:t>
      </w:r>
      <w:r>
        <w:rPr>
          <w:spacing w:val="-3"/>
          <w:sz w:val="18"/>
          <w:vertAlign w:val="baseline"/>
        </w:rPr>
        <w:t> </w:t>
      </w:r>
      <w:r>
        <w:rPr>
          <w:sz w:val="18"/>
          <w:vertAlign w:val="baseline"/>
        </w:rPr>
        <w:t>L.,</w:t>
      </w:r>
      <w:r>
        <w:rPr>
          <w:spacing w:val="-3"/>
          <w:sz w:val="18"/>
          <w:vertAlign w:val="baseline"/>
        </w:rPr>
        <w:t> </w:t>
      </w:r>
      <w:r>
        <w:rPr>
          <w:sz w:val="18"/>
          <w:vertAlign w:val="baseline"/>
        </w:rPr>
        <w:t>Dana</w:t>
      </w:r>
      <w:r>
        <w:rPr>
          <w:spacing w:val="-2"/>
          <w:sz w:val="18"/>
          <w:vertAlign w:val="baseline"/>
        </w:rPr>
        <w:t> </w:t>
      </w:r>
      <w:r>
        <w:rPr>
          <w:sz w:val="18"/>
          <w:vertAlign w:val="baseline"/>
        </w:rPr>
        <w:t>King,</w:t>
      </w:r>
      <w:r>
        <w:rPr>
          <w:spacing w:val="-3"/>
          <w:sz w:val="18"/>
          <w:vertAlign w:val="baseline"/>
        </w:rPr>
        <w:t> </w:t>
      </w:r>
      <w:r>
        <w:rPr>
          <w:sz w:val="18"/>
          <w:vertAlign w:val="baseline"/>
        </w:rPr>
        <w:t>Jeremi</w:t>
      </w:r>
      <w:r>
        <w:rPr>
          <w:spacing w:val="-3"/>
          <w:sz w:val="18"/>
          <w:vertAlign w:val="baseline"/>
        </w:rPr>
        <w:t> </w:t>
      </w:r>
      <w:r>
        <w:rPr>
          <w:sz w:val="18"/>
          <w:vertAlign w:val="baseline"/>
        </w:rPr>
        <w:t>M.</w:t>
      </w:r>
      <w:r>
        <w:rPr>
          <w:spacing w:val="-2"/>
          <w:sz w:val="18"/>
          <w:vertAlign w:val="baseline"/>
        </w:rPr>
        <w:t> </w:t>
      </w:r>
      <w:r>
        <w:rPr>
          <w:sz w:val="18"/>
          <w:vertAlign w:val="baseline"/>
        </w:rPr>
        <w:t>Carswell,</w:t>
      </w:r>
      <w:r>
        <w:rPr>
          <w:spacing w:val="-2"/>
          <w:sz w:val="18"/>
          <w:vertAlign w:val="baseline"/>
        </w:rPr>
        <w:t> </w:t>
      </w:r>
      <w:r>
        <w:rPr>
          <w:sz w:val="18"/>
          <w:vertAlign w:val="baseline"/>
        </w:rPr>
        <w:t>and</w:t>
      </w:r>
      <w:r>
        <w:rPr>
          <w:spacing w:val="-2"/>
          <w:sz w:val="18"/>
          <w:vertAlign w:val="baseline"/>
        </w:rPr>
        <w:t> </w:t>
      </w:r>
      <w:r>
        <w:rPr>
          <w:sz w:val="18"/>
          <w:vertAlign w:val="baseline"/>
        </w:rPr>
        <w:t>Alex</w:t>
      </w:r>
      <w:r>
        <w:rPr>
          <w:spacing w:val="-2"/>
          <w:sz w:val="18"/>
          <w:vertAlign w:val="baseline"/>
        </w:rPr>
        <w:t> </w:t>
      </w:r>
      <w:r>
        <w:rPr>
          <w:sz w:val="18"/>
          <w:vertAlign w:val="baseline"/>
        </w:rPr>
        <w:t>S.</w:t>
      </w:r>
      <w:r>
        <w:rPr>
          <w:spacing w:val="-2"/>
          <w:sz w:val="18"/>
          <w:vertAlign w:val="baseline"/>
        </w:rPr>
        <w:t> </w:t>
      </w:r>
      <w:r>
        <w:rPr>
          <w:sz w:val="18"/>
          <w:vertAlign w:val="baseline"/>
        </w:rPr>
        <w:t>Keuroghlian.</w:t>
      </w:r>
      <w:r>
        <w:rPr>
          <w:spacing w:val="-2"/>
          <w:sz w:val="18"/>
          <w:vertAlign w:val="baseline"/>
        </w:rPr>
        <w:t> </w:t>
      </w:r>
      <w:r>
        <w:rPr>
          <w:sz w:val="18"/>
          <w:vertAlign w:val="baseline"/>
        </w:rPr>
        <w:t>"Pubertal</w:t>
      </w:r>
      <w:r>
        <w:rPr>
          <w:spacing w:val="-3"/>
          <w:sz w:val="18"/>
          <w:vertAlign w:val="baseline"/>
        </w:rPr>
        <w:t> </w:t>
      </w:r>
      <w:r>
        <w:rPr>
          <w:sz w:val="18"/>
          <w:vertAlign w:val="baseline"/>
        </w:rPr>
        <w:t>suppression</w:t>
      </w:r>
      <w:r>
        <w:rPr>
          <w:spacing w:val="-2"/>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and risk of suicidal ideation." </w:t>
      </w:r>
      <w:r>
        <w:rPr>
          <w:i/>
          <w:sz w:val="18"/>
          <w:vertAlign w:val="baseline"/>
        </w:rPr>
        <w:t>Pediatrics </w:t>
      </w:r>
      <w:r>
        <w:rPr>
          <w:sz w:val="18"/>
          <w:vertAlign w:val="baseline"/>
        </w:rPr>
        <w:t>145, no. 2 (2020).</w:t>
      </w:r>
    </w:p>
    <w:p>
      <w:pPr>
        <w:spacing w:after="0" w:line="276" w:lineRule="auto"/>
        <w:jc w:val="left"/>
        <w:rPr>
          <w:sz w:val="18"/>
        </w:rPr>
        <w:sectPr>
          <w:pgSz w:w="12240" w:h="15840"/>
          <w:pgMar w:header="721" w:footer="1061" w:top="1360" w:bottom="1260" w:left="1120" w:right="1340"/>
        </w:sectPr>
      </w:pPr>
    </w:p>
    <w:p>
      <w:pPr>
        <w:spacing w:line="276" w:lineRule="auto" w:before="68"/>
        <w:ind w:left="463" w:right="481" w:firstLine="2"/>
        <w:jc w:val="left"/>
        <w:rPr>
          <w:sz w:val="18"/>
        </w:rPr>
      </w:pPr>
      <w:r>
        <w:rPr>
          <w:sz w:val="18"/>
          <w:vertAlign w:val="superscript"/>
        </w:rPr>
        <w:t>67</w:t>
      </w:r>
      <w:r>
        <w:rPr>
          <w:spacing w:val="-13"/>
          <w:sz w:val="18"/>
          <w:vertAlign w:val="baseline"/>
        </w:rPr>
        <w:t> </w:t>
      </w:r>
      <w:r>
        <w:rPr>
          <w:color w:val="212121"/>
          <w:sz w:val="18"/>
          <w:vertAlign w:val="baseline"/>
        </w:rPr>
        <w:t>Olson,</w:t>
      </w:r>
      <w:r>
        <w:rPr>
          <w:color w:val="212121"/>
          <w:spacing w:val="-4"/>
          <w:sz w:val="18"/>
          <w:vertAlign w:val="baseline"/>
        </w:rPr>
        <w:t> </w:t>
      </w:r>
      <w:r>
        <w:rPr>
          <w:color w:val="212121"/>
          <w:sz w:val="18"/>
          <w:vertAlign w:val="baseline"/>
        </w:rPr>
        <w:t>Kristina</w:t>
      </w:r>
      <w:r>
        <w:rPr>
          <w:color w:val="212121"/>
          <w:spacing w:val="-2"/>
          <w:sz w:val="18"/>
          <w:vertAlign w:val="baseline"/>
        </w:rPr>
        <w:t> </w:t>
      </w:r>
      <w:r>
        <w:rPr>
          <w:color w:val="212121"/>
          <w:sz w:val="18"/>
          <w:vertAlign w:val="baseline"/>
        </w:rPr>
        <w:t>R.,</w:t>
      </w:r>
      <w:r>
        <w:rPr>
          <w:color w:val="212121"/>
          <w:spacing w:val="-3"/>
          <w:sz w:val="18"/>
          <w:vertAlign w:val="baseline"/>
        </w:rPr>
        <w:t> </w:t>
      </w:r>
      <w:r>
        <w:rPr>
          <w:color w:val="212121"/>
          <w:sz w:val="18"/>
          <w:vertAlign w:val="baseline"/>
        </w:rPr>
        <w:t>Lily</w:t>
      </w:r>
      <w:r>
        <w:rPr>
          <w:color w:val="212121"/>
          <w:spacing w:val="-1"/>
          <w:sz w:val="18"/>
          <w:vertAlign w:val="baseline"/>
        </w:rPr>
        <w:t> </w:t>
      </w:r>
      <w:r>
        <w:rPr>
          <w:color w:val="212121"/>
          <w:sz w:val="18"/>
          <w:vertAlign w:val="baseline"/>
        </w:rPr>
        <w:t>Durwood,</w:t>
      </w:r>
      <w:r>
        <w:rPr>
          <w:color w:val="212121"/>
          <w:spacing w:val="-3"/>
          <w:sz w:val="18"/>
          <w:vertAlign w:val="baseline"/>
        </w:rPr>
        <w:t> </w:t>
      </w:r>
      <w:r>
        <w:rPr>
          <w:color w:val="212121"/>
          <w:sz w:val="18"/>
          <w:vertAlign w:val="baseline"/>
        </w:rPr>
        <w:t>Rachel</w:t>
      </w:r>
      <w:r>
        <w:rPr>
          <w:color w:val="212121"/>
          <w:spacing w:val="-3"/>
          <w:sz w:val="18"/>
          <w:vertAlign w:val="baseline"/>
        </w:rPr>
        <w:t> </w:t>
      </w:r>
      <w:r>
        <w:rPr>
          <w:color w:val="212121"/>
          <w:sz w:val="18"/>
          <w:vertAlign w:val="baseline"/>
        </w:rPr>
        <w:t>Horton,</w:t>
      </w:r>
      <w:r>
        <w:rPr>
          <w:color w:val="212121"/>
          <w:spacing w:val="-3"/>
          <w:sz w:val="18"/>
          <w:vertAlign w:val="baseline"/>
        </w:rPr>
        <w:t> </w:t>
      </w:r>
      <w:r>
        <w:rPr>
          <w:color w:val="212121"/>
          <w:sz w:val="18"/>
          <w:vertAlign w:val="baseline"/>
        </w:rPr>
        <w:t>Natalie</w:t>
      </w:r>
      <w:r>
        <w:rPr>
          <w:color w:val="212121"/>
          <w:spacing w:val="-2"/>
          <w:sz w:val="18"/>
          <w:vertAlign w:val="baseline"/>
        </w:rPr>
        <w:t> </w:t>
      </w:r>
      <w:r>
        <w:rPr>
          <w:color w:val="212121"/>
          <w:sz w:val="18"/>
          <w:vertAlign w:val="baseline"/>
        </w:rPr>
        <w:t>M.</w:t>
      </w:r>
      <w:r>
        <w:rPr>
          <w:color w:val="212121"/>
          <w:spacing w:val="-2"/>
          <w:sz w:val="18"/>
          <w:vertAlign w:val="baseline"/>
        </w:rPr>
        <w:t> </w:t>
      </w:r>
      <w:r>
        <w:rPr>
          <w:color w:val="212121"/>
          <w:sz w:val="18"/>
          <w:vertAlign w:val="baseline"/>
        </w:rPr>
        <w:t>Gallagher,</w:t>
      </w:r>
      <w:r>
        <w:rPr>
          <w:color w:val="212121"/>
          <w:spacing w:val="-3"/>
          <w:sz w:val="18"/>
          <w:vertAlign w:val="baseline"/>
        </w:rPr>
        <w:t> </w:t>
      </w:r>
      <w:r>
        <w:rPr>
          <w:color w:val="212121"/>
          <w:sz w:val="18"/>
          <w:vertAlign w:val="baseline"/>
        </w:rPr>
        <w:t>and</w:t>
      </w:r>
      <w:r>
        <w:rPr>
          <w:color w:val="212121"/>
          <w:spacing w:val="-2"/>
          <w:sz w:val="18"/>
          <w:vertAlign w:val="baseline"/>
        </w:rPr>
        <w:t> </w:t>
      </w:r>
      <w:r>
        <w:rPr>
          <w:color w:val="212121"/>
          <w:sz w:val="18"/>
          <w:vertAlign w:val="baseline"/>
        </w:rPr>
        <w:t>Aaron</w:t>
      </w:r>
      <w:r>
        <w:rPr>
          <w:color w:val="212121"/>
          <w:spacing w:val="-2"/>
          <w:sz w:val="18"/>
          <w:vertAlign w:val="baseline"/>
        </w:rPr>
        <w:t> </w:t>
      </w:r>
      <w:r>
        <w:rPr>
          <w:color w:val="212121"/>
          <w:sz w:val="18"/>
          <w:vertAlign w:val="baseline"/>
        </w:rPr>
        <w:t>Devor.</w:t>
      </w:r>
      <w:r>
        <w:rPr>
          <w:color w:val="212121"/>
          <w:spacing w:val="-2"/>
          <w:sz w:val="18"/>
          <w:vertAlign w:val="baseline"/>
        </w:rPr>
        <w:t> </w:t>
      </w:r>
      <w:r>
        <w:rPr>
          <w:color w:val="212121"/>
          <w:sz w:val="18"/>
          <w:vertAlign w:val="baseline"/>
        </w:rPr>
        <w:t>"Gender</w:t>
      </w:r>
      <w:r>
        <w:rPr>
          <w:color w:val="212121"/>
          <w:spacing w:val="-3"/>
          <w:sz w:val="18"/>
          <w:vertAlign w:val="baseline"/>
        </w:rPr>
        <w:t> </w:t>
      </w:r>
      <w:r>
        <w:rPr>
          <w:color w:val="212121"/>
          <w:sz w:val="18"/>
          <w:vertAlign w:val="baseline"/>
        </w:rPr>
        <w:t>identity</w:t>
      </w:r>
      <w:r>
        <w:rPr>
          <w:color w:val="212121"/>
          <w:spacing w:val="-2"/>
          <w:sz w:val="18"/>
          <w:vertAlign w:val="baseline"/>
        </w:rPr>
        <w:t> </w:t>
      </w:r>
      <w:r>
        <w:rPr>
          <w:color w:val="212121"/>
          <w:sz w:val="18"/>
          <w:vertAlign w:val="baseline"/>
        </w:rPr>
        <w:t>5</w:t>
      </w:r>
      <w:r>
        <w:rPr>
          <w:color w:val="212121"/>
          <w:spacing w:val="-2"/>
          <w:sz w:val="18"/>
          <w:vertAlign w:val="baseline"/>
        </w:rPr>
        <w:t> </w:t>
      </w:r>
      <w:r>
        <w:rPr>
          <w:color w:val="212121"/>
          <w:sz w:val="18"/>
          <w:vertAlign w:val="baseline"/>
        </w:rPr>
        <w:t>years</w:t>
      </w:r>
      <w:r>
        <w:rPr>
          <w:color w:val="212121"/>
          <w:spacing w:val="-2"/>
          <w:sz w:val="18"/>
          <w:vertAlign w:val="baseline"/>
        </w:rPr>
        <w:t> </w:t>
      </w:r>
      <w:r>
        <w:rPr>
          <w:color w:val="212121"/>
          <w:sz w:val="18"/>
          <w:vertAlign w:val="baseline"/>
        </w:rPr>
        <w:t>after social transition." </w:t>
      </w:r>
      <w:r>
        <w:rPr>
          <w:i/>
          <w:color w:val="212121"/>
          <w:sz w:val="18"/>
          <w:vertAlign w:val="baseline"/>
        </w:rPr>
        <w:t>Pediatrics </w:t>
      </w:r>
      <w:r>
        <w:rPr>
          <w:color w:val="212121"/>
          <w:sz w:val="18"/>
          <w:vertAlign w:val="baseline"/>
        </w:rPr>
        <w:t>150, no. 2 (2022).</w:t>
      </w:r>
    </w:p>
    <w:p>
      <w:pPr>
        <w:spacing w:line="276" w:lineRule="auto" w:before="0"/>
        <w:ind w:left="463" w:right="418" w:firstLine="2"/>
        <w:jc w:val="left"/>
        <w:rPr>
          <w:sz w:val="18"/>
        </w:rPr>
      </w:pPr>
      <w:r>
        <w:rPr>
          <w:sz w:val="18"/>
          <w:vertAlign w:val="superscript"/>
        </w:rPr>
        <w:t>68</w:t>
      </w:r>
      <w:r>
        <w:rPr>
          <w:spacing w:val="-14"/>
          <w:sz w:val="18"/>
          <w:vertAlign w:val="baseline"/>
        </w:rPr>
        <w:t> </w:t>
      </w:r>
      <w:r>
        <w:rPr>
          <w:color w:val="212121"/>
          <w:sz w:val="18"/>
          <w:vertAlign w:val="baseline"/>
        </w:rPr>
        <w:t>Puckett,</w:t>
      </w:r>
      <w:r>
        <w:rPr>
          <w:color w:val="212121"/>
          <w:spacing w:val="-5"/>
          <w:sz w:val="18"/>
          <w:vertAlign w:val="baseline"/>
        </w:rPr>
        <w:t> </w:t>
      </w:r>
      <w:r>
        <w:rPr>
          <w:color w:val="212121"/>
          <w:sz w:val="18"/>
          <w:vertAlign w:val="baseline"/>
        </w:rPr>
        <w:t>Jae</w:t>
      </w:r>
      <w:r>
        <w:rPr>
          <w:color w:val="212121"/>
          <w:spacing w:val="-2"/>
          <w:sz w:val="18"/>
          <w:vertAlign w:val="baseline"/>
        </w:rPr>
        <w:t> </w:t>
      </w:r>
      <w:r>
        <w:rPr>
          <w:color w:val="212121"/>
          <w:sz w:val="18"/>
          <w:vertAlign w:val="baseline"/>
        </w:rPr>
        <w:t>A.,</w:t>
      </w:r>
      <w:r>
        <w:rPr>
          <w:color w:val="212121"/>
          <w:spacing w:val="-3"/>
          <w:sz w:val="18"/>
          <w:vertAlign w:val="baseline"/>
        </w:rPr>
        <w:t> </w:t>
      </w:r>
      <w:r>
        <w:rPr>
          <w:color w:val="212121"/>
          <w:sz w:val="18"/>
          <w:vertAlign w:val="baseline"/>
        </w:rPr>
        <w:t>Peter</w:t>
      </w:r>
      <w:r>
        <w:rPr>
          <w:color w:val="212121"/>
          <w:spacing w:val="-3"/>
          <w:sz w:val="18"/>
          <w:vertAlign w:val="baseline"/>
        </w:rPr>
        <w:t> </w:t>
      </w:r>
      <w:r>
        <w:rPr>
          <w:color w:val="212121"/>
          <w:sz w:val="18"/>
          <w:vertAlign w:val="baseline"/>
        </w:rPr>
        <w:t>Cleary,</w:t>
      </w:r>
      <w:r>
        <w:rPr>
          <w:color w:val="212121"/>
          <w:spacing w:val="-3"/>
          <w:sz w:val="18"/>
          <w:vertAlign w:val="baseline"/>
        </w:rPr>
        <w:t> </w:t>
      </w:r>
      <w:r>
        <w:rPr>
          <w:color w:val="212121"/>
          <w:sz w:val="18"/>
          <w:vertAlign w:val="baseline"/>
        </w:rPr>
        <w:t>Kinton</w:t>
      </w:r>
      <w:r>
        <w:rPr>
          <w:color w:val="212121"/>
          <w:spacing w:val="-2"/>
          <w:sz w:val="18"/>
          <w:vertAlign w:val="baseline"/>
        </w:rPr>
        <w:t> </w:t>
      </w:r>
      <w:r>
        <w:rPr>
          <w:color w:val="212121"/>
          <w:sz w:val="18"/>
          <w:vertAlign w:val="baseline"/>
        </w:rPr>
        <w:t>Rossman,</w:t>
      </w:r>
      <w:r>
        <w:rPr>
          <w:color w:val="212121"/>
          <w:spacing w:val="-3"/>
          <w:sz w:val="18"/>
          <w:vertAlign w:val="baseline"/>
        </w:rPr>
        <w:t> </w:t>
      </w:r>
      <w:r>
        <w:rPr>
          <w:color w:val="212121"/>
          <w:sz w:val="18"/>
          <w:vertAlign w:val="baseline"/>
        </w:rPr>
        <w:t>Brian</w:t>
      </w:r>
      <w:r>
        <w:rPr>
          <w:color w:val="212121"/>
          <w:spacing w:val="-2"/>
          <w:sz w:val="18"/>
          <w:vertAlign w:val="baseline"/>
        </w:rPr>
        <w:t> </w:t>
      </w:r>
      <w:r>
        <w:rPr>
          <w:color w:val="212121"/>
          <w:sz w:val="18"/>
          <w:vertAlign w:val="baseline"/>
        </w:rPr>
        <w:t>Mustanski,</w:t>
      </w:r>
      <w:r>
        <w:rPr>
          <w:color w:val="212121"/>
          <w:spacing w:val="-3"/>
          <w:sz w:val="18"/>
          <w:vertAlign w:val="baseline"/>
        </w:rPr>
        <w:t> </w:t>
      </w:r>
      <w:r>
        <w:rPr>
          <w:color w:val="212121"/>
          <w:sz w:val="18"/>
          <w:vertAlign w:val="baseline"/>
        </w:rPr>
        <w:t>and</w:t>
      </w:r>
      <w:r>
        <w:rPr>
          <w:color w:val="212121"/>
          <w:spacing w:val="-2"/>
          <w:sz w:val="18"/>
          <w:vertAlign w:val="baseline"/>
        </w:rPr>
        <w:t> </w:t>
      </w:r>
      <w:r>
        <w:rPr>
          <w:color w:val="212121"/>
          <w:sz w:val="18"/>
          <w:vertAlign w:val="baseline"/>
        </w:rPr>
        <w:t>Michael</w:t>
      </w:r>
      <w:r>
        <w:rPr>
          <w:color w:val="212121"/>
          <w:spacing w:val="-3"/>
          <w:sz w:val="18"/>
          <w:vertAlign w:val="baseline"/>
        </w:rPr>
        <w:t> </w:t>
      </w:r>
      <w:r>
        <w:rPr>
          <w:color w:val="212121"/>
          <w:sz w:val="18"/>
          <w:vertAlign w:val="baseline"/>
        </w:rPr>
        <w:t>E.</w:t>
      </w:r>
      <w:r>
        <w:rPr>
          <w:color w:val="212121"/>
          <w:spacing w:val="-2"/>
          <w:sz w:val="18"/>
          <w:vertAlign w:val="baseline"/>
        </w:rPr>
        <w:t> </w:t>
      </w:r>
      <w:r>
        <w:rPr>
          <w:color w:val="212121"/>
          <w:sz w:val="18"/>
          <w:vertAlign w:val="baseline"/>
        </w:rPr>
        <w:t>Newcomb.</w:t>
      </w:r>
      <w:r>
        <w:rPr>
          <w:color w:val="212121"/>
          <w:spacing w:val="-2"/>
          <w:sz w:val="18"/>
          <w:vertAlign w:val="baseline"/>
        </w:rPr>
        <w:t> </w:t>
      </w:r>
      <w:r>
        <w:rPr>
          <w:color w:val="212121"/>
          <w:sz w:val="18"/>
          <w:vertAlign w:val="baseline"/>
        </w:rPr>
        <w:t>"Barriers</w:t>
      </w:r>
      <w:r>
        <w:rPr>
          <w:color w:val="212121"/>
          <w:spacing w:val="-2"/>
          <w:sz w:val="18"/>
          <w:vertAlign w:val="baseline"/>
        </w:rPr>
        <w:t> </w:t>
      </w:r>
      <w:r>
        <w:rPr>
          <w:color w:val="212121"/>
          <w:sz w:val="18"/>
          <w:vertAlign w:val="baseline"/>
        </w:rPr>
        <w:t>to</w:t>
      </w:r>
      <w:r>
        <w:rPr>
          <w:color w:val="212121"/>
          <w:spacing w:val="-2"/>
          <w:sz w:val="18"/>
          <w:vertAlign w:val="baseline"/>
        </w:rPr>
        <w:t> </w:t>
      </w:r>
      <w:r>
        <w:rPr>
          <w:color w:val="212121"/>
          <w:sz w:val="18"/>
          <w:vertAlign w:val="baseline"/>
        </w:rPr>
        <w:t>Gender-affirming care for transgender and gender nonconforming individuals." </w:t>
      </w:r>
      <w:r>
        <w:rPr>
          <w:i/>
          <w:color w:val="212121"/>
          <w:sz w:val="18"/>
          <w:vertAlign w:val="baseline"/>
        </w:rPr>
        <w:t>Sexuality Research and Social Policy </w:t>
      </w:r>
      <w:r>
        <w:rPr>
          <w:color w:val="212121"/>
          <w:sz w:val="18"/>
          <w:vertAlign w:val="baseline"/>
        </w:rPr>
        <w:t>15 (2018): 48-59. </w:t>
      </w:r>
      <w:r>
        <w:rPr>
          <w:sz w:val="18"/>
          <w:vertAlign w:val="superscript"/>
        </w:rPr>
        <w:t>69</w:t>
      </w:r>
      <w:r>
        <w:rPr>
          <w:sz w:val="18"/>
          <w:vertAlign w:val="baseline"/>
        </w:rPr>
        <w:t> Ducar, Dallas. “Gender-affirming health care is simply good health care. The Boston Globe, July, 2022. https://</w:t>
      </w:r>
      <w:hyperlink r:id="rId297">
        <w:r>
          <w:rPr>
            <w:sz w:val="18"/>
            <w:vertAlign w:val="baseline"/>
          </w:rPr>
          <w:t>www.bostonglobe.com/2022/07/04/opinion/gender-affirming-health-care-is-simply-good-health-care/</w:t>
        </w:r>
      </w:hyperlink>
      <w:r>
        <w:rPr>
          <w:sz w:val="18"/>
          <w:vertAlign w:val="baseline"/>
        </w:rPr>
        <w:t> </w:t>
      </w:r>
      <w:r>
        <w:rPr>
          <w:sz w:val="18"/>
          <w:vertAlign w:val="superscript"/>
        </w:rPr>
        <w:t>70</w:t>
      </w:r>
      <w:r>
        <w:rPr>
          <w:spacing w:val="-4"/>
          <w:sz w:val="18"/>
          <w:vertAlign w:val="baseline"/>
        </w:rPr>
        <w:t> </w:t>
      </w:r>
      <w:r>
        <w:rPr>
          <w:sz w:val="18"/>
          <w:vertAlign w:val="baseline"/>
        </w:rPr>
        <w:t>Loo, Stephanie, Anthony N. Almazan, Virginia Vedilago, Brooke Stott, Sari L. Reisner, and Alex S. Keuroghlian. 2021. “Understanding</w:t>
      </w:r>
      <w:r>
        <w:rPr>
          <w:spacing w:val="-1"/>
          <w:sz w:val="18"/>
          <w:vertAlign w:val="baseline"/>
        </w:rPr>
        <w:t> </w:t>
      </w:r>
      <w:r>
        <w:rPr>
          <w:sz w:val="18"/>
          <w:vertAlign w:val="baseline"/>
        </w:rPr>
        <w:t>Community Member</w:t>
      </w:r>
      <w:r>
        <w:rPr>
          <w:spacing w:val="-1"/>
          <w:sz w:val="18"/>
          <w:vertAlign w:val="baseline"/>
        </w:rPr>
        <w:t> </w:t>
      </w:r>
      <w:r>
        <w:rPr>
          <w:sz w:val="18"/>
          <w:vertAlign w:val="baseline"/>
        </w:rPr>
        <w:t>and Health Care Professional</w:t>
      </w:r>
      <w:r>
        <w:rPr>
          <w:spacing w:val="-1"/>
          <w:sz w:val="18"/>
          <w:vertAlign w:val="baseline"/>
        </w:rPr>
        <w:t> </w:t>
      </w:r>
      <w:r>
        <w:rPr>
          <w:sz w:val="18"/>
          <w:vertAlign w:val="baseline"/>
        </w:rPr>
        <w:t>Perspectives on Gender-Affirming Care—a Qualitative Study.” Edited by Stefano Federici. </w:t>
      </w:r>
      <w:r>
        <w:rPr>
          <w:i/>
          <w:sz w:val="18"/>
          <w:vertAlign w:val="baseline"/>
        </w:rPr>
        <w:t>PLOS ONE </w:t>
      </w:r>
      <w:r>
        <w:rPr>
          <w:sz w:val="18"/>
          <w:vertAlign w:val="baseline"/>
        </w:rPr>
        <w:t>16 (8): e0255568. https://doi.org/10.1371/journal.pone.0255568.</w:t>
      </w:r>
    </w:p>
    <w:p>
      <w:pPr>
        <w:spacing w:line="276" w:lineRule="auto" w:before="0"/>
        <w:ind w:left="464" w:right="228" w:hanging="7"/>
        <w:jc w:val="left"/>
        <w:rPr>
          <w:sz w:val="18"/>
        </w:rPr>
      </w:pPr>
      <w:r>
        <w:rPr>
          <w:sz w:val="18"/>
          <w:vertAlign w:val="superscript"/>
        </w:rPr>
        <w:t>71</w:t>
      </w:r>
      <w:r>
        <w:rPr>
          <w:spacing w:val="-13"/>
          <w:sz w:val="18"/>
          <w:vertAlign w:val="baseline"/>
        </w:rPr>
        <w:t> </w:t>
      </w:r>
      <w:r>
        <w:rPr>
          <w:color w:val="202020"/>
          <w:sz w:val="18"/>
          <w:vertAlign w:val="baseline"/>
        </w:rPr>
        <w:t>Goldhammer</w:t>
      </w:r>
      <w:r>
        <w:rPr>
          <w:color w:val="202020"/>
          <w:spacing w:val="-5"/>
          <w:sz w:val="18"/>
          <w:vertAlign w:val="baseline"/>
        </w:rPr>
        <w:t> </w:t>
      </w:r>
      <w:r>
        <w:rPr>
          <w:color w:val="202020"/>
          <w:sz w:val="18"/>
          <w:vertAlign w:val="baseline"/>
        </w:rPr>
        <w:t>H,</w:t>
      </w:r>
      <w:r>
        <w:rPr>
          <w:color w:val="202020"/>
          <w:spacing w:val="-3"/>
          <w:sz w:val="18"/>
          <w:vertAlign w:val="baseline"/>
        </w:rPr>
        <w:t> </w:t>
      </w:r>
      <w:r>
        <w:rPr>
          <w:color w:val="202020"/>
          <w:sz w:val="18"/>
          <w:vertAlign w:val="baseline"/>
        </w:rPr>
        <w:t>Grasso</w:t>
      </w:r>
      <w:r>
        <w:rPr>
          <w:color w:val="202020"/>
          <w:spacing w:val="-2"/>
          <w:sz w:val="18"/>
          <w:vertAlign w:val="baseline"/>
        </w:rPr>
        <w:t> </w:t>
      </w:r>
      <w:r>
        <w:rPr>
          <w:color w:val="202020"/>
          <w:sz w:val="18"/>
          <w:vertAlign w:val="baseline"/>
        </w:rPr>
        <w:t>C,</w:t>
      </w:r>
      <w:r>
        <w:rPr>
          <w:color w:val="202020"/>
          <w:spacing w:val="-3"/>
          <w:sz w:val="18"/>
          <w:vertAlign w:val="baseline"/>
        </w:rPr>
        <w:t> </w:t>
      </w:r>
      <w:r>
        <w:rPr>
          <w:color w:val="202020"/>
          <w:sz w:val="18"/>
          <w:vertAlign w:val="baseline"/>
        </w:rPr>
        <w:t>Katz-Wise</w:t>
      </w:r>
      <w:r>
        <w:rPr>
          <w:color w:val="202020"/>
          <w:spacing w:val="-2"/>
          <w:sz w:val="18"/>
          <w:vertAlign w:val="baseline"/>
        </w:rPr>
        <w:t> </w:t>
      </w:r>
      <w:r>
        <w:rPr>
          <w:color w:val="202020"/>
          <w:sz w:val="18"/>
          <w:vertAlign w:val="baseline"/>
        </w:rPr>
        <w:t>SL,</w:t>
      </w:r>
      <w:r>
        <w:rPr>
          <w:color w:val="202020"/>
          <w:spacing w:val="-3"/>
          <w:sz w:val="18"/>
          <w:vertAlign w:val="baseline"/>
        </w:rPr>
        <w:t> </w:t>
      </w:r>
      <w:r>
        <w:rPr>
          <w:color w:val="202020"/>
          <w:sz w:val="18"/>
          <w:vertAlign w:val="baseline"/>
        </w:rPr>
        <w:t>Thomson</w:t>
      </w:r>
      <w:r>
        <w:rPr>
          <w:color w:val="202020"/>
          <w:spacing w:val="-2"/>
          <w:sz w:val="18"/>
          <w:vertAlign w:val="baseline"/>
        </w:rPr>
        <w:t> </w:t>
      </w:r>
      <w:r>
        <w:rPr>
          <w:color w:val="202020"/>
          <w:sz w:val="18"/>
          <w:vertAlign w:val="baseline"/>
        </w:rPr>
        <w:t>K,</w:t>
      </w:r>
      <w:r>
        <w:rPr>
          <w:color w:val="202020"/>
          <w:spacing w:val="-3"/>
          <w:sz w:val="18"/>
          <w:vertAlign w:val="baseline"/>
        </w:rPr>
        <w:t> </w:t>
      </w:r>
      <w:r>
        <w:rPr>
          <w:color w:val="202020"/>
          <w:sz w:val="18"/>
          <w:vertAlign w:val="baseline"/>
        </w:rPr>
        <w:t>Gordon</w:t>
      </w:r>
      <w:r>
        <w:rPr>
          <w:color w:val="202020"/>
          <w:spacing w:val="-2"/>
          <w:sz w:val="18"/>
          <w:vertAlign w:val="baseline"/>
        </w:rPr>
        <w:t> </w:t>
      </w:r>
      <w:r>
        <w:rPr>
          <w:color w:val="202020"/>
          <w:sz w:val="18"/>
          <w:vertAlign w:val="baseline"/>
        </w:rPr>
        <w:t>AR,</w:t>
      </w:r>
      <w:r>
        <w:rPr>
          <w:color w:val="202020"/>
          <w:spacing w:val="-3"/>
          <w:sz w:val="18"/>
          <w:vertAlign w:val="baseline"/>
        </w:rPr>
        <w:t> </w:t>
      </w:r>
      <w:r>
        <w:rPr>
          <w:color w:val="202020"/>
          <w:sz w:val="18"/>
          <w:vertAlign w:val="baseline"/>
        </w:rPr>
        <w:t>Keuroghlian</w:t>
      </w:r>
      <w:r>
        <w:rPr>
          <w:color w:val="202020"/>
          <w:spacing w:val="-2"/>
          <w:sz w:val="18"/>
          <w:vertAlign w:val="baseline"/>
        </w:rPr>
        <w:t> </w:t>
      </w:r>
      <w:r>
        <w:rPr>
          <w:color w:val="202020"/>
          <w:sz w:val="18"/>
          <w:vertAlign w:val="baseline"/>
        </w:rPr>
        <w:t>AS.</w:t>
      </w:r>
      <w:r>
        <w:rPr>
          <w:color w:val="202020"/>
          <w:spacing w:val="-2"/>
          <w:sz w:val="18"/>
          <w:vertAlign w:val="baseline"/>
        </w:rPr>
        <w:t> </w:t>
      </w:r>
      <w:r>
        <w:rPr>
          <w:color w:val="202020"/>
          <w:sz w:val="18"/>
          <w:vertAlign w:val="baseline"/>
        </w:rPr>
        <w:t>Pediatric</w:t>
      </w:r>
      <w:r>
        <w:rPr>
          <w:color w:val="202020"/>
          <w:spacing w:val="-3"/>
          <w:sz w:val="18"/>
          <w:vertAlign w:val="baseline"/>
        </w:rPr>
        <w:t> </w:t>
      </w:r>
      <w:r>
        <w:rPr>
          <w:color w:val="202020"/>
          <w:sz w:val="18"/>
          <w:vertAlign w:val="baseline"/>
        </w:rPr>
        <w:t>sexual</w:t>
      </w:r>
      <w:r>
        <w:rPr>
          <w:color w:val="202020"/>
          <w:spacing w:val="-3"/>
          <w:sz w:val="18"/>
          <w:vertAlign w:val="baseline"/>
        </w:rPr>
        <w:t> </w:t>
      </w:r>
      <w:r>
        <w:rPr>
          <w:color w:val="202020"/>
          <w:sz w:val="18"/>
          <w:vertAlign w:val="baseline"/>
        </w:rPr>
        <w:t>orientation</w:t>
      </w:r>
      <w:r>
        <w:rPr>
          <w:color w:val="202020"/>
          <w:spacing w:val="-2"/>
          <w:sz w:val="18"/>
          <w:vertAlign w:val="baseline"/>
        </w:rPr>
        <w:t> </w:t>
      </w:r>
      <w:r>
        <w:rPr>
          <w:color w:val="202020"/>
          <w:sz w:val="18"/>
          <w:vertAlign w:val="baseline"/>
        </w:rPr>
        <w:t>and</w:t>
      </w:r>
      <w:r>
        <w:rPr>
          <w:color w:val="202020"/>
          <w:spacing w:val="-2"/>
          <w:sz w:val="18"/>
          <w:vertAlign w:val="baseline"/>
        </w:rPr>
        <w:t> </w:t>
      </w:r>
      <w:r>
        <w:rPr>
          <w:color w:val="202020"/>
          <w:sz w:val="18"/>
          <w:vertAlign w:val="baseline"/>
        </w:rPr>
        <w:t>gender identity data collection in the electronic health record. J Am Med Inform Assoc. 2022 Jun 14;29(7):1303-1309. doi: 10.1093/jamia/ocac048. PMID: 35396995; PMCID: PMC9196694.</w:t>
      </w:r>
    </w:p>
    <w:p>
      <w:pPr>
        <w:spacing w:line="276" w:lineRule="auto" w:before="0"/>
        <w:ind w:left="463" w:right="481" w:hanging="6"/>
        <w:jc w:val="left"/>
        <w:rPr>
          <w:sz w:val="18"/>
        </w:rPr>
      </w:pPr>
      <w:r>
        <w:rPr>
          <w:sz w:val="18"/>
          <w:vertAlign w:val="superscript"/>
        </w:rPr>
        <w:t>72</w:t>
      </w:r>
      <w:r>
        <w:rPr>
          <w:spacing w:val="-13"/>
          <w:sz w:val="18"/>
          <w:vertAlign w:val="baseline"/>
        </w:rPr>
        <w:t> </w:t>
      </w:r>
      <w:r>
        <w:rPr>
          <w:color w:val="212121"/>
          <w:sz w:val="18"/>
          <w:vertAlign w:val="baseline"/>
        </w:rPr>
        <w:t>Hembree,</w:t>
      </w:r>
      <w:r>
        <w:rPr>
          <w:color w:val="212121"/>
          <w:spacing w:val="-5"/>
          <w:sz w:val="18"/>
          <w:vertAlign w:val="baseline"/>
        </w:rPr>
        <w:t> </w:t>
      </w:r>
      <w:r>
        <w:rPr>
          <w:color w:val="212121"/>
          <w:sz w:val="18"/>
          <w:vertAlign w:val="baseline"/>
        </w:rPr>
        <w:t>Wylie</w:t>
      </w:r>
      <w:r>
        <w:rPr>
          <w:color w:val="212121"/>
          <w:spacing w:val="-2"/>
          <w:sz w:val="18"/>
          <w:vertAlign w:val="baseline"/>
        </w:rPr>
        <w:t> </w:t>
      </w:r>
      <w:r>
        <w:rPr>
          <w:color w:val="212121"/>
          <w:sz w:val="18"/>
          <w:vertAlign w:val="baseline"/>
        </w:rPr>
        <w:t>C.,</w:t>
      </w:r>
      <w:r>
        <w:rPr>
          <w:color w:val="212121"/>
          <w:spacing w:val="-3"/>
          <w:sz w:val="18"/>
          <w:vertAlign w:val="baseline"/>
        </w:rPr>
        <w:t> </w:t>
      </w:r>
      <w:r>
        <w:rPr>
          <w:color w:val="212121"/>
          <w:sz w:val="18"/>
          <w:vertAlign w:val="baseline"/>
        </w:rPr>
        <w:t>Peggy</w:t>
      </w:r>
      <w:r>
        <w:rPr>
          <w:color w:val="212121"/>
          <w:spacing w:val="-2"/>
          <w:sz w:val="18"/>
          <w:vertAlign w:val="baseline"/>
        </w:rPr>
        <w:t> </w:t>
      </w:r>
      <w:r>
        <w:rPr>
          <w:color w:val="212121"/>
          <w:sz w:val="18"/>
          <w:vertAlign w:val="baseline"/>
        </w:rPr>
        <w:t>T.</w:t>
      </w:r>
      <w:r>
        <w:rPr>
          <w:color w:val="212121"/>
          <w:spacing w:val="-2"/>
          <w:sz w:val="18"/>
          <w:vertAlign w:val="baseline"/>
        </w:rPr>
        <w:t> </w:t>
      </w:r>
      <w:r>
        <w:rPr>
          <w:color w:val="212121"/>
          <w:sz w:val="18"/>
          <w:vertAlign w:val="baseline"/>
        </w:rPr>
        <w:t>Cohen-Kettenis,</w:t>
      </w:r>
      <w:r>
        <w:rPr>
          <w:color w:val="212121"/>
          <w:spacing w:val="-3"/>
          <w:sz w:val="18"/>
          <w:vertAlign w:val="baseline"/>
        </w:rPr>
        <w:t> </w:t>
      </w:r>
      <w:r>
        <w:rPr>
          <w:color w:val="212121"/>
          <w:sz w:val="18"/>
          <w:vertAlign w:val="baseline"/>
        </w:rPr>
        <w:t>Louis</w:t>
      </w:r>
      <w:r>
        <w:rPr>
          <w:color w:val="212121"/>
          <w:spacing w:val="-2"/>
          <w:sz w:val="18"/>
          <w:vertAlign w:val="baseline"/>
        </w:rPr>
        <w:t> </w:t>
      </w:r>
      <w:r>
        <w:rPr>
          <w:color w:val="212121"/>
          <w:sz w:val="18"/>
          <w:vertAlign w:val="baseline"/>
        </w:rPr>
        <w:t>Gooren,</w:t>
      </w:r>
      <w:r>
        <w:rPr>
          <w:color w:val="212121"/>
          <w:spacing w:val="-3"/>
          <w:sz w:val="18"/>
          <w:vertAlign w:val="baseline"/>
        </w:rPr>
        <w:t> </w:t>
      </w:r>
      <w:r>
        <w:rPr>
          <w:color w:val="212121"/>
          <w:sz w:val="18"/>
          <w:vertAlign w:val="baseline"/>
        </w:rPr>
        <w:t>Sabine</w:t>
      </w:r>
      <w:r>
        <w:rPr>
          <w:color w:val="212121"/>
          <w:spacing w:val="-2"/>
          <w:sz w:val="18"/>
          <w:vertAlign w:val="baseline"/>
        </w:rPr>
        <w:t> </w:t>
      </w:r>
      <w:r>
        <w:rPr>
          <w:color w:val="212121"/>
          <w:sz w:val="18"/>
          <w:vertAlign w:val="baseline"/>
        </w:rPr>
        <w:t>E.</w:t>
      </w:r>
      <w:r>
        <w:rPr>
          <w:color w:val="212121"/>
          <w:spacing w:val="-2"/>
          <w:sz w:val="18"/>
          <w:vertAlign w:val="baseline"/>
        </w:rPr>
        <w:t> </w:t>
      </w:r>
      <w:r>
        <w:rPr>
          <w:color w:val="212121"/>
          <w:sz w:val="18"/>
          <w:vertAlign w:val="baseline"/>
        </w:rPr>
        <w:t>Hannema,</w:t>
      </w:r>
      <w:r>
        <w:rPr>
          <w:color w:val="212121"/>
          <w:spacing w:val="-3"/>
          <w:sz w:val="18"/>
          <w:vertAlign w:val="baseline"/>
        </w:rPr>
        <w:t> </w:t>
      </w:r>
      <w:r>
        <w:rPr>
          <w:color w:val="212121"/>
          <w:sz w:val="18"/>
          <w:vertAlign w:val="baseline"/>
        </w:rPr>
        <w:t>Walter</w:t>
      </w:r>
      <w:r>
        <w:rPr>
          <w:color w:val="212121"/>
          <w:spacing w:val="-3"/>
          <w:sz w:val="18"/>
          <w:vertAlign w:val="baseline"/>
        </w:rPr>
        <w:t> </w:t>
      </w:r>
      <w:r>
        <w:rPr>
          <w:color w:val="212121"/>
          <w:sz w:val="18"/>
          <w:vertAlign w:val="baseline"/>
        </w:rPr>
        <w:t>J.</w:t>
      </w:r>
      <w:r>
        <w:rPr>
          <w:color w:val="212121"/>
          <w:spacing w:val="-2"/>
          <w:sz w:val="18"/>
          <w:vertAlign w:val="baseline"/>
        </w:rPr>
        <w:t> </w:t>
      </w:r>
      <w:r>
        <w:rPr>
          <w:color w:val="212121"/>
          <w:sz w:val="18"/>
          <w:vertAlign w:val="baseline"/>
        </w:rPr>
        <w:t>Meyer,</w:t>
      </w:r>
      <w:r>
        <w:rPr>
          <w:color w:val="212121"/>
          <w:spacing w:val="-3"/>
          <w:sz w:val="18"/>
          <w:vertAlign w:val="baseline"/>
        </w:rPr>
        <w:t> </w:t>
      </w:r>
      <w:r>
        <w:rPr>
          <w:color w:val="212121"/>
          <w:sz w:val="18"/>
          <w:vertAlign w:val="baseline"/>
        </w:rPr>
        <w:t>M.</w:t>
      </w:r>
      <w:r>
        <w:rPr>
          <w:color w:val="212121"/>
          <w:spacing w:val="-2"/>
          <w:sz w:val="18"/>
          <w:vertAlign w:val="baseline"/>
        </w:rPr>
        <w:t> </w:t>
      </w:r>
      <w:r>
        <w:rPr>
          <w:color w:val="212121"/>
          <w:sz w:val="18"/>
          <w:vertAlign w:val="baseline"/>
        </w:rPr>
        <w:t>Hassan</w:t>
      </w:r>
      <w:r>
        <w:rPr>
          <w:color w:val="212121"/>
          <w:spacing w:val="-2"/>
          <w:sz w:val="18"/>
          <w:vertAlign w:val="baseline"/>
        </w:rPr>
        <w:t> </w:t>
      </w:r>
      <w:r>
        <w:rPr>
          <w:color w:val="212121"/>
          <w:sz w:val="18"/>
          <w:vertAlign w:val="baseline"/>
        </w:rPr>
        <w:t>Murad, Stephen M. Rosenthal, Joshua D. Safer, Vin Tangpricha, and Guy G. T’Sjoen. "Endocrine treatment of gender- dysphoric/gender incongruent persons: an endocrine society clinical practice guideline." </w:t>
      </w:r>
      <w:r>
        <w:rPr>
          <w:i/>
          <w:color w:val="212121"/>
          <w:sz w:val="18"/>
          <w:vertAlign w:val="baseline"/>
        </w:rPr>
        <w:t>The Journal of Clinical</w:t>
      </w:r>
      <w:r>
        <w:rPr>
          <w:i/>
          <w:color w:val="212121"/>
          <w:sz w:val="18"/>
          <w:vertAlign w:val="baseline"/>
        </w:rPr>
        <w:t> Endocrinology &amp; Metabolism </w:t>
      </w:r>
      <w:r>
        <w:rPr>
          <w:color w:val="212121"/>
          <w:sz w:val="18"/>
          <w:vertAlign w:val="baseline"/>
        </w:rPr>
        <w:t>102, no. 11 (2017): 3869-3903.</w:t>
      </w:r>
    </w:p>
    <w:p>
      <w:pPr>
        <w:spacing w:line="276" w:lineRule="auto" w:before="0"/>
        <w:ind w:left="463" w:right="228" w:hanging="9"/>
        <w:jc w:val="left"/>
        <w:rPr>
          <w:sz w:val="18"/>
        </w:rPr>
      </w:pPr>
      <w:r>
        <w:rPr>
          <w:sz w:val="18"/>
          <w:vertAlign w:val="superscript"/>
        </w:rPr>
        <w:t>73</w:t>
      </w:r>
      <w:r>
        <w:rPr>
          <w:spacing w:val="-13"/>
          <w:sz w:val="18"/>
          <w:vertAlign w:val="baseline"/>
        </w:rPr>
        <w:t> </w:t>
      </w:r>
      <w:r>
        <w:rPr>
          <w:color w:val="212121"/>
          <w:sz w:val="18"/>
          <w:vertAlign w:val="baseline"/>
        </w:rPr>
        <w:t>Ethics</w:t>
      </w:r>
      <w:r>
        <w:rPr>
          <w:color w:val="212121"/>
          <w:spacing w:val="-4"/>
          <w:sz w:val="18"/>
          <w:vertAlign w:val="baseline"/>
        </w:rPr>
        <w:t> </w:t>
      </w:r>
      <w:r>
        <w:rPr>
          <w:color w:val="212121"/>
          <w:sz w:val="18"/>
          <w:vertAlign w:val="baseline"/>
        </w:rPr>
        <w:t>Committee</w:t>
      </w:r>
      <w:r>
        <w:rPr>
          <w:color w:val="212121"/>
          <w:spacing w:val="-2"/>
          <w:sz w:val="18"/>
          <w:vertAlign w:val="baseline"/>
        </w:rPr>
        <w:t> </w:t>
      </w:r>
      <w:r>
        <w:rPr>
          <w:color w:val="212121"/>
          <w:sz w:val="18"/>
          <w:vertAlign w:val="baseline"/>
        </w:rPr>
        <w:t>of</w:t>
      </w:r>
      <w:r>
        <w:rPr>
          <w:color w:val="212121"/>
          <w:spacing w:val="-2"/>
          <w:sz w:val="18"/>
          <w:vertAlign w:val="baseline"/>
        </w:rPr>
        <w:t> </w:t>
      </w:r>
      <w:r>
        <w:rPr>
          <w:color w:val="212121"/>
          <w:sz w:val="18"/>
          <w:vertAlign w:val="baseline"/>
        </w:rPr>
        <w:t>the</w:t>
      </w:r>
      <w:r>
        <w:rPr>
          <w:color w:val="212121"/>
          <w:spacing w:val="-2"/>
          <w:sz w:val="18"/>
          <w:vertAlign w:val="baseline"/>
        </w:rPr>
        <w:t> </w:t>
      </w:r>
      <w:r>
        <w:rPr>
          <w:color w:val="212121"/>
          <w:sz w:val="18"/>
          <w:vertAlign w:val="baseline"/>
        </w:rPr>
        <w:t>American</w:t>
      </w:r>
      <w:r>
        <w:rPr>
          <w:color w:val="212121"/>
          <w:spacing w:val="-2"/>
          <w:sz w:val="18"/>
          <w:vertAlign w:val="baseline"/>
        </w:rPr>
        <w:t> </w:t>
      </w:r>
      <w:r>
        <w:rPr>
          <w:color w:val="212121"/>
          <w:sz w:val="18"/>
          <w:vertAlign w:val="baseline"/>
        </w:rPr>
        <w:t>Society</w:t>
      </w:r>
      <w:r>
        <w:rPr>
          <w:color w:val="212121"/>
          <w:spacing w:val="-2"/>
          <w:sz w:val="18"/>
          <w:vertAlign w:val="baseline"/>
        </w:rPr>
        <w:t> </w:t>
      </w:r>
      <w:r>
        <w:rPr>
          <w:color w:val="212121"/>
          <w:sz w:val="18"/>
          <w:vertAlign w:val="baseline"/>
        </w:rPr>
        <w:t>for</w:t>
      </w:r>
      <w:r>
        <w:rPr>
          <w:color w:val="212121"/>
          <w:spacing w:val="-3"/>
          <w:sz w:val="18"/>
          <w:vertAlign w:val="baseline"/>
        </w:rPr>
        <w:t> </w:t>
      </w:r>
      <w:r>
        <w:rPr>
          <w:color w:val="212121"/>
          <w:sz w:val="18"/>
          <w:vertAlign w:val="baseline"/>
        </w:rPr>
        <w:t>Reproductive</w:t>
      </w:r>
      <w:r>
        <w:rPr>
          <w:color w:val="212121"/>
          <w:spacing w:val="-2"/>
          <w:sz w:val="18"/>
          <w:vertAlign w:val="baseline"/>
        </w:rPr>
        <w:t> </w:t>
      </w:r>
      <w:r>
        <w:rPr>
          <w:color w:val="212121"/>
          <w:sz w:val="18"/>
          <w:vertAlign w:val="baseline"/>
        </w:rPr>
        <w:t>Medicine.</w:t>
      </w:r>
      <w:r>
        <w:rPr>
          <w:color w:val="212121"/>
          <w:spacing w:val="-2"/>
          <w:sz w:val="18"/>
          <w:vertAlign w:val="baseline"/>
        </w:rPr>
        <w:t> </w:t>
      </w:r>
      <w:r>
        <w:rPr>
          <w:color w:val="212121"/>
          <w:sz w:val="18"/>
          <w:vertAlign w:val="baseline"/>
        </w:rPr>
        <w:t>"Access</w:t>
      </w:r>
      <w:r>
        <w:rPr>
          <w:color w:val="212121"/>
          <w:spacing w:val="-2"/>
          <w:sz w:val="18"/>
          <w:vertAlign w:val="baseline"/>
        </w:rPr>
        <w:t> </w:t>
      </w:r>
      <w:r>
        <w:rPr>
          <w:color w:val="212121"/>
          <w:sz w:val="18"/>
          <w:vertAlign w:val="baseline"/>
        </w:rPr>
        <w:t>to</w:t>
      </w:r>
      <w:r>
        <w:rPr>
          <w:color w:val="212121"/>
          <w:spacing w:val="-2"/>
          <w:sz w:val="18"/>
          <w:vertAlign w:val="baseline"/>
        </w:rPr>
        <w:t> </w:t>
      </w:r>
      <w:r>
        <w:rPr>
          <w:color w:val="212121"/>
          <w:sz w:val="18"/>
          <w:vertAlign w:val="baseline"/>
        </w:rPr>
        <w:t>fertility</w:t>
      </w:r>
      <w:r>
        <w:rPr>
          <w:color w:val="212121"/>
          <w:spacing w:val="-2"/>
          <w:sz w:val="18"/>
          <w:vertAlign w:val="baseline"/>
        </w:rPr>
        <w:t> </w:t>
      </w:r>
      <w:r>
        <w:rPr>
          <w:color w:val="212121"/>
          <w:sz w:val="18"/>
          <w:vertAlign w:val="baseline"/>
        </w:rPr>
        <w:t>services</w:t>
      </w:r>
      <w:r>
        <w:rPr>
          <w:color w:val="212121"/>
          <w:spacing w:val="-2"/>
          <w:sz w:val="18"/>
          <w:vertAlign w:val="baseline"/>
        </w:rPr>
        <w:t> </w:t>
      </w:r>
      <w:r>
        <w:rPr>
          <w:color w:val="212121"/>
          <w:sz w:val="18"/>
          <w:vertAlign w:val="baseline"/>
        </w:rPr>
        <w:t>by</w:t>
      </w:r>
      <w:r>
        <w:rPr>
          <w:color w:val="212121"/>
          <w:spacing w:val="-2"/>
          <w:sz w:val="18"/>
          <w:vertAlign w:val="baseline"/>
        </w:rPr>
        <w:t> </w:t>
      </w:r>
      <w:r>
        <w:rPr>
          <w:color w:val="212121"/>
          <w:sz w:val="18"/>
          <w:vertAlign w:val="baseline"/>
        </w:rPr>
        <w:t>transgender</w:t>
      </w:r>
      <w:r>
        <w:rPr>
          <w:color w:val="212121"/>
          <w:spacing w:val="-4"/>
          <w:sz w:val="18"/>
          <w:vertAlign w:val="baseline"/>
        </w:rPr>
        <w:t> </w:t>
      </w:r>
      <w:r>
        <w:rPr>
          <w:color w:val="212121"/>
          <w:sz w:val="18"/>
          <w:vertAlign w:val="baseline"/>
        </w:rPr>
        <w:t>persons: an Ethics Committee opinion." </w:t>
      </w:r>
      <w:r>
        <w:rPr>
          <w:i/>
          <w:color w:val="212121"/>
          <w:sz w:val="18"/>
          <w:vertAlign w:val="baseline"/>
        </w:rPr>
        <w:t>Fertility and Sterility </w:t>
      </w:r>
      <w:r>
        <w:rPr>
          <w:color w:val="212121"/>
          <w:sz w:val="18"/>
          <w:vertAlign w:val="baseline"/>
        </w:rPr>
        <w:t>104, no. 5 (2015): 1111-1115.</w:t>
      </w:r>
    </w:p>
    <w:p>
      <w:pPr>
        <w:spacing w:line="276" w:lineRule="auto" w:before="0"/>
        <w:ind w:left="464" w:right="481" w:hanging="3"/>
        <w:jc w:val="left"/>
        <w:rPr>
          <w:sz w:val="18"/>
        </w:rPr>
      </w:pPr>
      <w:r>
        <w:rPr>
          <w:sz w:val="18"/>
          <w:vertAlign w:val="superscript"/>
        </w:rPr>
        <w:t>74</w:t>
      </w:r>
      <w:r>
        <w:rPr>
          <w:spacing w:val="-8"/>
          <w:sz w:val="18"/>
          <w:vertAlign w:val="baseline"/>
        </w:rPr>
        <w:t> </w:t>
      </w:r>
      <w:r>
        <w:rPr>
          <w:color w:val="212121"/>
          <w:sz w:val="18"/>
          <w:vertAlign w:val="baseline"/>
        </w:rPr>
        <w:t>Chen, Diane, Victoria D. Kolbuck, Megan E. Sutter, Amy C. Tishelman, Gwendolyn P. Quinn, and Leena Nahata. "Knowledge,</w:t>
      </w:r>
      <w:r>
        <w:rPr>
          <w:color w:val="212121"/>
          <w:spacing w:val="-4"/>
          <w:sz w:val="18"/>
          <w:vertAlign w:val="baseline"/>
        </w:rPr>
        <w:t> </w:t>
      </w:r>
      <w:r>
        <w:rPr>
          <w:color w:val="212121"/>
          <w:sz w:val="18"/>
          <w:vertAlign w:val="baseline"/>
        </w:rPr>
        <w:t>practice</w:t>
      </w:r>
      <w:r>
        <w:rPr>
          <w:color w:val="212121"/>
          <w:spacing w:val="-3"/>
          <w:sz w:val="18"/>
          <w:vertAlign w:val="baseline"/>
        </w:rPr>
        <w:t> </w:t>
      </w:r>
      <w:r>
        <w:rPr>
          <w:color w:val="212121"/>
          <w:sz w:val="18"/>
          <w:vertAlign w:val="baseline"/>
        </w:rPr>
        <w:t>behaviors,</w:t>
      </w:r>
      <w:r>
        <w:rPr>
          <w:color w:val="212121"/>
          <w:spacing w:val="-4"/>
          <w:sz w:val="18"/>
          <w:vertAlign w:val="baseline"/>
        </w:rPr>
        <w:t> </w:t>
      </w:r>
      <w:r>
        <w:rPr>
          <w:color w:val="212121"/>
          <w:sz w:val="18"/>
          <w:vertAlign w:val="baseline"/>
        </w:rPr>
        <w:t>and</w:t>
      </w:r>
      <w:r>
        <w:rPr>
          <w:color w:val="212121"/>
          <w:spacing w:val="-3"/>
          <w:sz w:val="18"/>
          <w:vertAlign w:val="baseline"/>
        </w:rPr>
        <w:t> </w:t>
      </w:r>
      <w:r>
        <w:rPr>
          <w:color w:val="212121"/>
          <w:sz w:val="18"/>
          <w:vertAlign w:val="baseline"/>
        </w:rPr>
        <w:t>perceived</w:t>
      </w:r>
      <w:r>
        <w:rPr>
          <w:color w:val="212121"/>
          <w:spacing w:val="-4"/>
          <w:sz w:val="18"/>
          <w:vertAlign w:val="baseline"/>
        </w:rPr>
        <w:t> </w:t>
      </w:r>
      <w:r>
        <w:rPr>
          <w:color w:val="212121"/>
          <w:sz w:val="18"/>
          <w:vertAlign w:val="baseline"/>
        </w:rPr>
        <w:t>barriers</w:t>
      </w:r>
      <w:r>
        <w:rPr>
          <w:color w:val="212121"/>
          <w:spacing w:val="-3"/>
          <w:sz w:val="18"/>
          <w:vertAlign w:val="baseline"/>
        </w:rPr>
        <w:t> </w:t>
      </w:r>
      <w:r>
        <w:rPr>
          <w:color w:val="212121"/>
          <w:sz w:val="18"/>
          <w:vertAlign w:val="baseline"/>
        </w:rPr>
        <w:t>to</w:t>
      </w:r>
      <w:r>
        <w:rPr>
          <w:color w:val="212121"/>
          <w:spacing w:val="-3"/>
          <w:sz w:val="18"/>
          <w:vertAlign w:val="baseline"/>
        </w:rPr>
        <w:t> </w:t>
      </w:r>
      <w:r>
        <w:rPr>
          <w:color w:val="212121"/>
          <w:sz w:val="18"/>
          <w:vertAlign w:val="baseline"/>
        </w:rPr>
        <w:t>fertility</w:t>
      </w:r>
      <w:r>
        <w:rPr>
          <w:color w:val="212121"/>
          <w:spacing w:val="-3"/>
          <w:sz w:val="18"/>
          <w:vertAlign w:val="baseline"/>
        </w:rPr>
        <w:t> </w:t>
      </w:r>
      <w:r>
        <w:rPr>
          <w:color w:val="212121"/>
          <w:sz w:val="18"/>
          <w:vertAlign w:val="baseline"/>
        </w:rPr>
        <w:t>care</w:t>
      </w:r>
      <w:r>
        <w:rPr>
          <w:color w:val="212121"/>
          <w:spacing w:val="-3"/>
          <w:sz w:val="18"/>
          <w:vertAlign w:val="baseline"/>
        </w:rPr>
        <w:t> </w:t>
      </w:r>
      <w:r>
        <w:rPr>
          <w:color w:val="212121"/>
          <w:sz w:val="18"/>
          <w:vertAlign w:val="baseline"/>
        </w:rPr>
        <w:t>among</w:t>
      </w:r>
      <w:r>
        <w:rPr>
          <w:color w:val="212121"/>
          <w:spacing w:val="-3"/>
          <w:sz w:val="18"/>
          <w:vertAlign w:val="baseline"/>
        </w:rPr>
        <w:t> </w:t>
      </w:r>
      <w:r>
        <w:rPr>
          <w:color w:val="212121"/>
          <w:sz w:val="18"/>
          <w:vertAlign w:val="baseline"/>
        </w:rPr>
        <w:t>providers</w:t>
      </w:r>
      <w:r>
        <w:rPr>
          <w:color w:val="212121"/>
          <w:spacing w:val="-3"/>
          <w:sz w:val="18"/>
          <w:vertAlign w:val="baseline"/>
        </w:rPr>
        <w:t> </w:t>
      </w:r>
      <w:r>
        <w:rPr>
          <w:color w:val="212121"/>
          <w:sz w:val="18"/>
          <w:vertAlign w:val="baseline"/>
        </w:rPr>
        <w:t>of</w:t>
      </w:r>
      <w:r>
        <w:rPr>
          <w:color w:val="212121"/>
          <w:spacing w:val="-3"/>
          <w:sz w:val="18"/>
          <w:vertAlign w:val="baseline"/>
        </w:rPr>
        <w:t> </w:t>
      </w:r>
      <w:r>
        <w:rPr>
          <w:color w:val="212121"/>
          <w:sz w:val="18"/>
          <w:vertAlign w:val="baseline"/>
        </w:rPr>
        <w:t>transgender</w:t>
      </w:r>
      <w:r>
        <w:rPr>
          <w:color w:val="212121"/>
          <w:spacing w:val="-4"/>
          <w:sz w:val="18"/>
          <w:vertAlign w:val="baseline"/>
        </w:rPr>
        <w:t> </w:t>
      </w:r>
      <w:r>
        <w:rPr>
          <w:color w:val="212121"/>
          <w:sz w:val="18"/>
          <w:vertAlign w:val="baseline"/>
        </w:rPr>
        <w:t>healthcare." </w:t>
      </w:r>
      <w:r>
        <w:rPr>
          <w:i/>
          <w:color w:val="212121"/>
          <w:sz w:val="18"/>
          <w:vertAlign w:val="baseline"/>
        </w:rPr>
        <w:t>Journal of Adolescent Health </w:t>
      </w:r>
      <w:r>
        <w:rPr>
          <w:color w:val="212121"/>
          <w:sz w:val="18"/>
          <w:vertAlign w:val="baseline"/>
        </w:rPr>
        <w:t>64, no. 2 (2019): 226-234.</w:t>
      </w:r>
    </w:p>
    <w:p>
      <w:pPr>
        <w:spacing w:line="276" w:lineRule="auto" w:before="0"/>
        <w:ind w:left="464" w:right="228" w:hanging="1"/>
        <w:jc w:val="left"/>
        <w:rPr>
          <w:sz w:val="18"/>
        </w:rPr>
      </w:pPr>
      <w:r>
        <w:rPr>
          <w:sz w:val="18"/>
          <w:vertAlign w:val="superscript"/>
        </w:rPr>
        <w:t>75</w:t>
      </w:r>
      <w:r>
        <w:rPr>
          <w:spacing w:val="-9"/>
          <w:sz w:val="18"/>
          <w:vertAlign w:val="baseline"/>
        </w:rPr>
        <w:t> </w:t>
      </w:r>
      <w:r>
        <w:rPr>
          <w:color w:val="212121"/>
          <w:sz w:val="18"/>
          <w:vertAlign w:val="baseline"/>
        </w:rPr>
        <w:t>Chen, Diane, Moira A. Kyweluk, Afiya Sajwani, Elisa J. Gordon, Emilie K. Johnson, Courtney A. Finlayson, and Teresa K. Woodruff.</w:t>
      </w:r>
      <w:r>
        <w:rPr>
          <w:color w:val="212121"/>
          <w:spacing w:val="-3"/>
          <w:sz w:val="18"/>
          <w:vertAlign w:val="baseline"/>
        </w:rPr>
        <w:t> </w:t>
      </w:r>
      <w:r>
        <w:rPr>
          <w:color w:val="212121"/>
          <w:sz w:val="18"/>
          <w:vertAlign w:val="baseline"/>
        </w:rPr>
        <w:t>"Factors</w:t>
      </w:r>
      <w:r>
        <w:rPr>
          <w:color w:val="212121"/>
          <w:spacing w:val="-3"/>
          <w:sz w:val="18"/>
          <w:vertAlign w:val="baseline"/>
        </w:rPr>
        <w:t> </w:t>
      </w:r>
      <w:r>
        <w:rPr>
          <w:color w:val="212121"/>
          <w:sz w:val="18"/>
          <w:vertAlign w:val="baseline"/>
        </w:rPr>
        <w:t>affecting</w:t>
      </w:r>
      <w:r>
        <w:rPr>
          <w:color w:val="212121"/>
          <w:spacing w:val="-3"/>
          <w:sz w:val="18"/>
          <w:vertAlign w:val="baseline"/>
        </w:rPr>
        <w:t> </w:t>
      </w:r>
      <w:r>
        <w:rPr>
          <w:color w:val="212121"/>
          <w:sz w:val="18"/>
          <w:vertAlign w:val="baseline"/>
        </w:rPr>
        <w:t>fertility</w:t>
      </w:r>
      <w:r>
        <w:rPr>
          <w:color w:val="212121"/>
          <w:spacing w:val="-3"/>
          <w:sz w:val="18"/>
          <w:vertAlign w:val="baseline"/>
        </w:rPr>
        <w:t> </w:t>
      </w:r>
      <w:r>
        <w:rPr>
          <w:color w:val="212121"/>
          <w:sz w:val="18"/>
          <w:vertAlign w:val="baseline"/>
        </w:rPr>
        <w:t>decision-making</w:t>
      </w:r>
      <w:r>
        <w:rPr>
          <w:color w:val="212121"/>
          <w:spacing w:val="-3"/>
          <w:sz w:val="18"/>
          <w:vertAlign w:val="baseline"/>
        </w:rPr>
        <w:t> </w:t>
      </w:r>
      <w:r>
        <w:rPr>
          <w:color w:val="212121"/>
          <w:sz w:val="18"/>
          <w:vertAlign w:val="baseline"/>
        </w:rPr>
        <w:t>among</w:t>
      </w:r>
      <w:r>
        <w:rPr>
          <w:color w:val="212121"/>
          <w:spacing w:val="-3"/>
          <w:sz w:val="18"/>
          <w:vertAlign w:val="baseline"/>
        </w:rPr>
        <w:t> </w:t>
      </w:r>
      <w:r>
        <w:rPr>
          <w:color w:val="212121"/>
          <w:sz w:val="18"/>
          <w:vertAlign w:val="baseline"/>
        </w:rPr>
        <w:t>transgender</w:t>
      </w:r>
      <w:r>
        <w:rPr>
          <w:color w:val="212121"/>
          <w:spacing w:val="-4"/>
          <w:sz w:val="18"/>
          <w:vertAlign w:val="baseline"/>
        </w:rPr>
        <w:t> </w:t>
      </w:r>
      <w:r>
        <w:rPr>
          <w:color w:val="212121"/>
          <w:sz w:val="18"/>
          <w:vertAlign w:val="baseline"/>
        </w:rPr>
        <w:t>adolescents</w:t>
      </w:r>
      <w:r>
        <w:rPr>
          <w:color w:val="212121"/>
          <w:spacing w:val="-3"/>
          <w:sz w:val="18"/>
          <w:vertAlign w:val="baseline"/>
        </w:rPr>
        <w:t> </w:t>
      </w:r>
      <w:r>
        <w:rPr>
          <w:color w:val="212121"/>
          <w:sz w:val="18"/>
          <w:vertAlign w:val="baseline"/>
        </w:rPr>
        <w:t>and</w:t>
      </w:r>
      <w:r>
        <w:rPr>
          <w:color w:val="212121"/>
          <w:spacing w:val="-3"/>
          <w:sz w:val="18"/>
          <w:vertAlign w:val="baseline"/>
        </w:rPr>
        <w:t> </w:t>
      </w:r>
      <w:r>
        <w:rPr>
          <w:color w:val="212121"/>
          <w:sz w:val="18"/>
          <w:vertAlign w:val="baseline"/>
        </w:rPr>
        <w:t>young</w:t>
      </w:r>
      <w:r>
        <w:rPr>
          <w:color w:val="212121"/>
          <w:spacing w:val="-4"/>
          <w:sz w:val="18"/>
          <w:vertAlign w:val="baseline"/>
        </w:rPr>
        <w:t> </w:t>
      </w:r>
      <w:r>
        <w:rPr>
          <w:color w:val="212121"/>
          <w:sz w:val="18"/>
          <w:vertAlign w:val="baseline"/>
        </w:rPr>
        <w:t>adults."</w:t>
      </w:r>
      <w:r>
        <w:rPr>
          <w:color w:val="212121"/>
          <w:spacing w:val="-3"/>
          <w:sz w:val="18"/>
          <w:vertAlign w:val="baseline"/>
        </w:rPr>
        <w:t> </w:t>
      </w:r>
      <w:r>
        <w:rPr>
          <w:i/>
          <w:color w:val="212121"/>
          <w:sz w:val="18"/>
          <w:vertAlign w:val="baseline"/>
        </w:rPr>
        <w:t>LGBT</w:t>
      </w:r>
      <w:r>
        <w:rPr>
          <w:i/>
          <w:color w:val="212121"/>
          <w:spacing w:val="-3"/>
          <w:sz w:val="18"/>
          <w:vertAlign w:val="baseline"/>
        </w:rPr>
        <w:t> </w:t>
      </w:r>
      <w:r>
        <w:rPr>
          <w:i/>
          <w:color w:val="212121"/>
          <w:sz w:val="18"/>
          <w:vertAlign w:val="baseline"/>
        </w:rPr>
        <w:t>health</w:t>
      </w:r>
      <w:r>
        <w:rPr>
          <w:i/>
          <w:color w:val="212121"/>
          <w:spacing w:val="-4"/>
          <w:sz w:val="18"/>
          <w:vertAlign w:val="baseline"/>
        </w:rPr>
        <w:t> </w:t>
      </w:r>
      <w:r>
        <w:rPr>
          <w:color w:val="212121"/>
          <w:sz w:val="18"/>
          <w:vertAlign w:val="baseline"/>
        </w:rPr>
        <w:t>6,</w:t>
      </w:r>
      <w:r>
        <w:rPr>
          <w:color w:val="212121"/>
          <w:spacing w:val="-4"/>
          <w:sz w:val="18"/>
          <w:vertAlign w:val="baseline"/>
        </w:rPr>
        <w:t> </w:t>
      </w:r>
      <w:r>
        <w:rPr>
          <w:color w:val="212121"/>
          <w:sz w:val="18"/>
          <w:vertAlign w:val="baseline"/>
        </w:rPr>
        <w:t>no. 3 (2019): 107-115.</w:t>
      </w:r>
    </w:p>
    <w:p>
      <w:pPr>
        <w:spacing w:line="276" w:lineRule="auto" w:before="1"/>
        <w:ind w:left="463" w:right="228" w:firstLine="3"/>
        <w:jc w:val="left"/>
        <w:rPr>
          <w:sz w:val="18"/>
        </w:rPr>
      </w:pPr>
      <w:r>
        <w:rPr>
          <w:sz w:val="18"/>
          <w:vertAlign w:val="superscript"/>
        </w:rPr>
        <w:t>76</w:t>
      </w:r>
      <w:r>
        <w:rPr>
          <w:spacing w:val="-13"/>
          <w:sz w:val="18"/>
          <w:vertAlign w:val="baseline"/>
        </w:rPr>
        <w:t> </w:t>
      </w:r>
      <w:r>
        <w:rPr>
          <w:sz w:val="18"/>
          <w:vertAlign w:val="baseline"/>
        </w:rPr>
        <w:t>Nahata,</w:t>
      </w:r>
      <w:r>
        <w:rPr>
          <w:spacing w:val="-4"/>
          <w:sz w:val="18"/>
          <w:vertAlign w:val="baseline"/>
        </w:rPr>
        <w:t> </w:t>
      </w:r>
      <w:r>
        <w:rPr>
          <w:sz w:val="18"/>
          <w:vertAlign w:val="baseline"/>
        </w:rPr>
        <w:t>Leena,</w:t>
      </w:r>
      <w:r>
        <w:rPr>
          <w:spacing w:val="-3"/>
          <w:sz w:val="18"/>
          <w:vertAlign w:val="baseline"/>
        </w:rPr>
        <w:t> </w:t>
      </w:r>
      <w:r>
        <w:rPr>
          <w:sz w:val="18"/>
          <w:vertAlign w:val="baseline"/>
        </w:rPr>
        <w:t>Diane</w:t>
      </w:r>
      <w:r>
        <w:rPr>
          <w:spacing w:val="-2"/>
          <w:sz w:val="18"/>
          <w:vertAlign w:val="baseline"/>
        </w:rPr>
        <w:t> </w:t>
      </w:r>
      <w:r>
        <w:rPr>
          <w:sz w:val="18"/>
          <w:vertAlign w:val="baseline"/>
        </w:rPr>
        <w:t>Chen,</w:t>
      </w:r>
      <w:r>
        <w:rPr>
          <w:spacing w:val="-3"/>
          <w:sz w:val="18"/>
          <w:vertAlign w:val="baseline"/>
        </w:rPr>
        <w:t> </w:t>
      </w:r>
      <w:r>
        <w:rPr>
          <w:sz w:val="18"/>
          <w:vertAlign w:val="baseline"/>
        </w:rPr>
        <w:t>Molly</w:t>
      </w:r>
      <w:r>
        <w:rPr>
          <w:spacing w:val="-2"/>
          <w:sz w:val="18"/>
          <w:vertAlign w:val="baseline"/>
        </w:rPr>
        <w:t> </w:t>
      </w:r>
      <w:r>
        <w:rPr>
          <w:sz w:val="18"/>
          <w:vertAlign w:val="baseline"/>
        </w:rPr>
        <w:t>B.</w:t>
      </w:r>
      <w:r>
        <w:rPr>
          <w:spacing w:val="-2"/>
          <w:sz w:val="18"/>
          <w:vertAlign w:val="baseline"/>
        </w:rPr>
        <w:t> </w:t>
      </w:r>
      <w:r>
        <w:rPr>
          <w:sz w:val="18"/>
          <w:vertAlign w:val="baseline"/>
        </w:rPr>
        <w:t>Moravek,</w:t>
      </w:r>
      <w:r>
        <w:rPr>
          <w:spacing w:val="-3"/>
          <w:sz w:val="18"/>
          <w:vertAlign w:val="baseline"/>
        </w:rPr>
        <w:t> </w:t>
      </w:r>
      <w:r>
        <w:rPr>
          <w:sz w:val="18"/>
          <w:vertAlign w:val="baseline"/>
        </w:rPr>
        <w:t>Gwendolyn</w:t>
      </w:r>
      <w:r>
        <w:rPr>
          <w:spacing w:val="-2"/>
          <w:sz w:val="18"/>
          <w:vertAlign w:val="baseline"/>
        </w:rPr>
        <w:t> </w:t>
      </w:r>
      <w:r>
        <w:rPr>
          <w:sz w:val="18"/>
          <w:vertAlign w:val="baseline"/>
        </w:rPr>
        <w:t>P.</w:t>
      </w:r>
      <w:r>
        <w:rPr>
          <w:spacing w:val="-3"/>
          <w:sz w:val="18"/>
          <w:vertAlign w:val="baseline"/>
        </w:rPr>
        <w:t> </w:t>
      </w:r>
      <w:r>
        <w:rPr>
          <w:sz w:val="18"/>
          <w:vertAlign w:val="baseline"/>
        </w:rPr>
        <w:t>Quinn,</w:t>
      </w:r>
      <w:r>
        <w:rPr>
          <w:spacing w:val="-3"/>
          <w:sz w:val="18"/>
          <w:vertAlign w:val="baseline"/>
        </w:rPr>
        <w:t> </w:t>
      </w:r>
      <w:r>
        <w:rPr>
          <w:sz w:val="18"/>
          <w:vertAlign w:val="baseline"/>
        </w:rPr>
        <w:t>Megan</w:t>
      </w:r>
      <w:r>
        <w:rPr>
          <w:spacing w:val="-2"/>
          <w:sz w:val="18"/>
          <w:vertAlign w:val="baseline"/>
        </w:rPr>
        <w:t> </w:t>
      </w:r>
      <w:r>
        <w:rPr>
          <w:sz w:val="18"/>
          <w:vertAlign w:val="baseline"/>
        </w:rPr>
        <w:t>E.</w:t>
      </w:r>
      <w:r>
        <w:rPr>
          <w:spacing w:val="-2"/>
          <w:sz w:val="18"/>
          <w:vertAlign w:val="baseline"/>
        </w:rPr>
        <w:t> </w:t>
      </w:r>
      <w:r>
        <w:rPr>
          <w:sz w:val="18"/>
          <w:vertAlign w:val="baseline"/>
        </w:rPr>
        <w:t>Sutter,</w:t>
      </w:r>
      <w:r>
        <w:rPr>
          <w:spacing w:val="-3"/>
          <w:sz w:val="18"/>
          <w:vertAlign w:val="baseline"/>
        </w:rPr>
        <w:t> </w:t>
      </w:r>
      <w:r>
        <w:rPr>
          <w:sz w:val="18"/>
          <w:vertAlign w:val="baseline"/>
        </w:rPr>
        <w:t>Julia</w:t>
      </w:r>
      <w:r>
        <w:rPr>
          <w:spacing w:val="-2"/>
          <w:sz w:val="18"/>
          <w:vertAlign w:val="baseline"/>
        </w:rPr>
        <w:t> </w:t>
      </w:r>
      <w:r>
        <w:rPr>
          <w:sz w:val="18"/>
          <w:vertAlign w:val="baseline"/>
        </w:rPr>
        <w:t>Taylor,</w:t>
      </w:r>
      <w:r>
        <w:rPr>
          <w:spacing w:val="-3"/>
          <w:sz w:val="18"/>
          <w:vertAlign w:val="baseline"/>
        </w:rPr>
        <w:t> </w:t>
      </w:r>
      <w:r>
        <w:rPr>
          <w:sz w:val="18"/>
          <w:vertAlign w:val="baseline"/>
        </w:rPr>
        <w:t>Amy</w:t>
      </w:r>
      <w:r>
        <w:rPr>
          <w:spacing w:val="-2"/>
          <w:sz w:val="18"/>
          <w:vertAlign w:val="baseline"/>
        </w:rPr>
        <w:t> </w:t>
      </w:r>
      <w:r>
        <w:rPr>
          <w:sz w:val="18"/>
          <w:vertAlign w:val="baseline"/>
        </w:rPr>
        <w:t>C.</w:t>
      </w:r>
      <w:r>
        <w:rPr>
          <w:spacing w:val="-2"/>
          <w:sz w:val="18"/>
          <w:vertAlign w:val="baseline"/>
        </w:rPr>
        <w:t> </w:t>
      </w:r>
      <w:r>
        <w:rPr>
          <w:sz w:val="18"/>
          <w:vertAlign w:val="baseline"/>
        </w:rPr>
        <w:t>Tishelman,</w:t>
      </w:r>
      <w:r>
        <w:rPr>
          <w:spacing w:val="-3"/>
          <w:sz w:val="18"/>
          <w:vertAlign w:val="baseline"/>
        </w:rPr>
        <w:t> </w:t>
      </w:r>
      <w:r>
        <w:rPr>
          <w:sz w:val="18"/>
          <w:vertAlign w:val="baseline"/>
        </w:rPr>
        <w:t>and Veronica Gomez-Lobo. 2019. “Understudied and Under-Reported: Fertility Issues in Transgender Youth—a Narrative Review.” The Journal of Pediatrics 205 (February): 265–71. https://doi.org/10.1016/j.jpeds.2018.09.009.</w:t>
      </w:r>
    </w:p>
    <w:p>
      <w:pPr>
        <w:spacing w:line="276" w:lineRule="auto" w:before="0"/>
        <w:ind w:left="463" w:right="0" w:hanging="9"/>
        <w:jc w:val="left"/>
        <w:rPr>
          <w:sz w:val="18"/>
        </w:rPr>
      </w:pPr>
      <w:r>
        <w:rPr>
          <w:sz w:val="18"/>
          <w:vertAlign w:val="superscript"/>
        </w:rPr>
        <w:t>77</w:t>
      </w:r>
      <w:r>
        <w:rPr>
          <w:spacing w:val="-13"/>
          <w:sz w:val="18"/>
          <w:vertAlign w:val="baseline"/>
        </w:rPr>
        <w:t> </w:t>
      </w:r>
      <w:r>
        <w:rPr>
          <w:sz w:val="18"/>
          <w:vertAlign w:val="baseline"/>
        </w:rPr>
        <w:t>Nahata,</w:t>
      </w:r>
      <w:r>
        <w:rPr>
          <w:spacing w:val="-5"/>
          <w:sz w:val="18"/>
          <w:vertAlign w:val="baseline"/>
        </w:rPr>
        <w:t> </w:t>
      </w:r>
      <w:r>
        <w:rPr>
          <w:sz w:val="18"/>
          <w:vertAlign w:val="baseline"/>
        </w:rPr>
        <w:t>Leena,</w:t>
      </w:r>
      <w:r>
        <w:rPr>
          <w:spacing w:val="-4"/>
          <w:sz w:val="18"/>
          <w:vertAlign w:val="baseline"/>
        </w:rPr>
        <w:t> </w:t>
      </w:r>
      <w:r>
        <w:rPr>
          <w:sz w:val="18"/>
          <w:vertAlign w:val="baseline"/>
        </w:rPr>
        <w:t>Amy</w:t>
      </w:r>
      <w:r>
        <w:rPr>
          <w:spacing w:val="-3"/>
          <w:sz w:val="18"/>
          <w:vertAlign w:val="baseline"/>
        </w:rPr>
        <w:t> </w:t>
      </w:r>
      <w:r>
        <w:rPr>
          <w:sz w:val="18"/>
          <w:vertAlign w:val="baseline"/>
        </w:rPr>
        <w:t>C.</w:t>
      </w:r>
      <w:r>
        <w:rPr>
          <w:spacing w:val="-3"/>
          <w:sz w:val="18"/>
          <w:vertAlign w:val="baseline"/>
        </w:rPr>
        <w:t> </w:t>
      </w:r>
      <w:r>
        <w:rPr>
          <w:sz w:val="18"/>
          <w:vertAlign w:val="baseline"/>
        </w:rPr>
        <w:t>Tishelman,</w:t>
      </w:r>
      <w:r>
        <w:rPr>
          <w:spacing w:val="-4"/>
          <w:sz w:val="18"/>
          <w:vertAlign w:val="baseline"/>
        </w:rPr>
        <w:t> </w:t>
      </w:r>
      <w:r>
        <w:rPr>
          <w:sz w:val="18"/>
          <w:vertAlign w:val="baseline"/>
        </w:rPr>
        <w:t>Nicole</w:t>
      </w:r>
      <w:r>
        <w:rPr>
          <w:spacing w:val="-3"/>
          <w:sz w:val="18"/>
          <w:vertAlign w:val="baseline"/>
        </w:rPr>
        <w:t> </w:t>
      </w:r>
      <w:r>
        <w:rPr>
          <w:sz w:val="18"/>
          <w:vertAlign w:val="baseline"/>
        </w:rPr>
        <w:t>M.</w:t>
      </w:r>
      <w:r>
        <w:rPr>
          <w:spacing w:val="-3"/>
          <w:sz w:val="18"/>
          <w:vertAlign w:val="baseline"/>
        </w:rPr>
        <w:t> </w:t>
      </w:r>
      <w:r>
        <w:rPr>
          <w:sz w:val="18"/>
          <w:vertAlign w:val="baseline"/>
        </w:rPr>
        <w:t>Caltabellotta,</w:t>
      </w:r>
      <w:r>
        <w:rPr>
          <w:spacing w:val="-4"/>
          <w:sz w:val="18"/>
          <w:vertAlign w:val="baseline"/>
        </w:rPr>
        <w:t> </w:t>
      </w:r>
      <w:r>
        <w:rPr>
          <w:sz w:val="18"/>
          <w:vertAlign w:val="baseline"/>
        </w:rPr>
        <w:t>and</w:t>
      </w:r>
      <w:r>
        <w:rPr>
          <w:spacing w:val="-3"/>
          <w:sz w:val="18"/>
          <w:vertAlign w:val="baseline"/>
        </w:rPr>
        <w:t> </w:t>
      </w:r>
      <w:r>
        <w:rPr>
          <w:sz w:val="18"/>
          <w:vertAlign w:val="baseline"/>
        </w:rPr>
        <w:t>Gwendolyn</w:t>
      </w:r>
      <w:r>
        <w:rPr>
          <w:spacing w:val="-3"/>
          <w:sz w:val="18"/>
          <w:vertAlign w:val="baseline"/>
        </w:rPr>
        <w:t> </w:t>
      </w:r>
      <w:r>
        <w:rPr>
          <w:sz w:val="18"/>
          <w:vertAlign w:val="baseline"/>
        </w:rPr>
        <w:t>P.</w:t>
      </w:r>
      <w:r>
        <w:rPr>
          <w:spacing w:val="-4"/>
          <w:sz w:val="18"/>
          <w:vertAlign w:val="baseline"/>
        </w:rPr>
        <w:t> </w:t>
      </w:r>
      <w:r>
        <w:rPr>
          <w:sz w:val="18"/>
          <w:vertAlign w:val="baseline"/>
        </w:rPr>
        <w:t>Quinn.</w:t>
      </w:r>
      <w:r>
        <w:rPr>
          <w:spacing w:val="-3"/>
          <w:sz w:val="18"/>
          <w:vertAlign w:val="baseline"/>
        </w:rPr>
        <w:t> </w:t>
      </w:r>
      <w:r>
        <w:rPr>
          <w:sz w:val="18"/>
          <w:vertAlign w:val="baseline"/>
        </w:rPr>
        <w:t>2017.</w:t>
      </w:r>
      <w:r>
        <w:rPr>
          <w:spacing w:val="-3"/>
          <w:sz w:val="18"/>
          <w:vertAlign w:val="baseline"/>
        </w:rPr>
        <w:t> </w:t>
      </w:r>
      <w:r>
        <w:rPr>
          <w:sz w:val="18"/>
          <w:vertAlign w:val="baseline"/>
        </w:rPr>
        <w:t>“Low</w:t>
      </w:r>
      <w:r>
        <w:rPr>
          <w:spacing w:val="-4"/>
          <w:sz w:val="18"/>
          <w:vertAlign w:val="baseline"/>
        </w:rPr>
        <w:t> </w:t>
      </w:r>
      <w:r>
        <w:rPr>
          <w:sz w:val="18"/>
          <w:vertAlign w:val="baseline"/>
        </w:rPr>
        <w:t>Fertility</w:t>
      </w:r>
      <w:r>
        <w:rPr>
          <w:spacing w:val="-3"/>
          <w:sz w:val="18"/>
          <w:vertAlign w:val="baseline"/>
        </w:rPr>
        <w:t> </w:t>
      </w:r>
      <w:r>
        <w:rPr>
          <w:sz w:val="18"/>
          <w:vertAlign w:val="baseline"/>
        </w:rPr>
        <w:t>Preservation Utilization among Transgender Youth.” Journal of Adolescent Health 61 (1): 40–44. </w:t>
      </w:r>
      <w:r>
        <w:rPr>
          <w:spacing w:val="-2"/>
          <w:sz w:val="18"/>
          <w:vertAlign w:val="baseline"/>
        </w:rPr>
        <w:t>https://doi.org/10.1016/j.jadohealth.2016.12.012.</w:t>
      </w:r>
    </w:p>
    <w:p>
      <w:pPr>
        <w:spacing w:line="276" w:lineRule="auto" w:before="0"/>
        <w:ind w:left="464" w:right="228" w:hanging="9"/>
        <w:jc w:val="left"/>
        <w:rPr>
          <w:sz w:val="18"/>
        </w:rPr>
      </w:pPr>
      <w:r>
        <w:rPr>
          <w:sz w:val="18"/>
          <w:vertAlign w:val="superscript"/>
        </w:rPr>
        <w:t>78</w:t>
      </w:r>
      <w:r>
        <w:rPr>
          <w:spacing w:val="-13"/>
          <w:sz w:val="18"/>
          <w:vertAlign w:val="baseline"/>
        </w:rPr>
        <w:t> </w:t>
      </w:r>
      <w:r>
        <w:rPr>
          <w:sz w:val="18"/>
          <w:vertAlign w:val="baseline"/>
        </w:rPr>
        <w:t>Vyas,</w:t>
      </w:r>
      <w:r>
        <w:rPr>
          <w:spacing w:val="-4"/>
          <w:sz w:val="18"/>
          <w:vertAlign w:val="baseline"/>
        </w:rPr>
        <w:t> </w:t>
      </w:r>
      <w:r>
        <w:rPr>
          <w:sz w:val="18"/>
          <w:vertAlign w:val="baseline"/>
        </w:rPr>
        <w:t>Nina,</w:t>
      </w:r>
      <w:r>
        <w:rPr>
          <w:spacing w:val="-3"/>
          <w:sz w:val="18"/>
          <w:vertAlign w:val="baseline"/>
        </w:rPr>
        <w:t> </w:t>
      </w:r>
      <w:r>
        <w:rPr>
          <w:sz w:val="18"/>
          <w:vertAlign w:val="baseline"/>
        </w:rPr>
        <w:t>Christopher</w:t>
      </w:r>
      <w:r>
        <w:rPr>
          <w:spacing w:val="-3"/>
          <w:sz w:val="18"/>
          <w:vertAlign w:val="baseline"/>
        </w:rPr>
        <w:t> </w:t>
      </w:r>
      <w:r>
        <w:rPr>
          <w:sz w:val="18"/>
          <w:vertAlign w:val="baseline"/>
        </w:rPr>
        <w:t>R.</w:t>
      </w:r>
      <w:r>
        <w:rPr>
          <w:spacing w:val="-2"/>
          <w:sz w:val="18"/>
          <w:vertAlign w:val="baseline"/>
        </w:rPr>
        <w:t> </w:t>
      </w:r>
      <w:r>
        <w:rPr>
          <w:sz w:val="18"/>
          <w:vertAlign w:val="baseline"/>
        </w:rPr>
        <w:t>Douglas,</w:t>
      </w:r>
      <w:r>
        <w:rPr>
          <w:spacing w:val="-3"/>
          <w:sz w:val="18"/>
          <w:vertAlign w:val="baseline"/>
        </w:rPr>
        <w:t> </w:t>
      </w:r>
      <w:r>
        <w:rPr>
          <w:sz w:val="18"/>
          <w:vertAlign w:val="baseline"/>
        </w:rPr>
        <w:t>Christopher</w:t>
      </w:r>
      <w:r>
        <w:rPr>
          <w:spacing w:val="-3"/>
          <w:sz w:val="18"/>
          <w:vertAlign w:val="baseline"/>
        </w:rPr>
        <w:t> </w:t>
      </w:r>
      <w:r>
        <w:rPr>
          <w:sz w:val="18"/>
          <w:vertAlign w:val="baseline"/>
        </w:rPr>
        <w:t>Mann,</w:t>
      </w:r>
      <w:r>
        <w:rPr>
          <w:spacing w:val="-3"/>
          <w:sz w:val="18"/>
          <w:vertAlign w:val="baseline"/>
        </w:rPr>
        <w:t> </w:t>
      </w:r>
      <w:r>
        <w:rPr>
          <w:sz w:val="18"/>
          <w:vertAlign w:val="baseline"/>
        </w:rPr>
        <w:t>Amy</w:t>
      </w:r>
      <w:r>
        <w:rPr>
          <w:spacing w:val="-2"/>
          <w:sz w:val="18"/>
          <w:vertAlign w:val="baseline"/>
        </w:rPr>
        <w:t> </w:t>
      </w:r>
      <w:r>
        <w:rPr>
          <w:sz w:val="18"/>
          <w:vertAlign w:val="baseline"/>
        </w:rPr>
        <w:t>K.</w:t>
      </w:r>
      <w:r>
        <w:rPr>
          <w:spacing w:val="-3"/>
          <w:sz w:val="18"/>
          <w:vertAlign w:val="baseline"/>
        </w:rPr>
        <w:t> </w:t>
      </w:r>
      <w:r>
        <w:rPr>
          <w:sz w:val="18"/>
          <w:vertAlign w:val="baseline"/>
        </w:rPr>
        <w:t>Weimer,</w:t>
      </w:r>
      <w:r>
        <w:rPr>
          <w:spacing w:val="-3"/>
          <w:sz w:val="18"/>
          <w:vertAlign w:val="baseline"/>
        </w:rPr>
        <w:t> </w:t>
      </w:r>
      <w:r>
        <w:rPr>
          <w:sz w:val="18"/>
          <w:vertAlign w:val="baseline"/>
        </w:rPr>
        <w:t>and</w:t>
      </w:r>
      <w:r>
        <w:rPr>
          <w:spacing w:val="-2"/>
          <w:sz w:val="18"/>
          <w:vertAlign w:val="baseline"/>
        </w:rPr>
        <w:t> </w:t>
      </w:r>
      <w:r>
        <w:rPr>
          <w:sz w:val="18"/>
          <w:vertAlign w:val="baseline"/>
        </w:rPr>
        <w:t>Molly</w:t>
      </w:r>
      <w:r>
        <w:rPr>
          <w:spacing w:val="-2"/>
          <w:sz w:val="18"/>
          <w:vertAlign w:val="baseline"/>
        </w:rPr>
        <w:t> </w:t>
      </w:r>
      <w:r>
        <w:rPr>
          <w:sz w:val="18"/>
          <w:vertAlign w:val="baseline"/>
        </w:rPr>
        <w:t>M.</w:t>
      </w:r>
      <w:r>
        <w:rPr>
          <w:spacing w:val="-2"/>
          <w:sz w:val="18"/>
          <w:vertAlign w:val="baseline"/>
        </w:rPr>
        <w:t> </w:t>
      </w:r>
      <w:r>
        <w:rPr>
          <w:sz w:val="18"/>
          <w:vertAlign w:val="baseline"/>
        </w:rPr>
        <w:t>Quinn.</w:t>
      </w:r>
      <w:r>
        <w:rPr>
          <w:spacing w:val="-2"/>
          <w:sz w:val="18"/>
          <w:vertAlign w:val="baseline"/>
        </w:rPr>
        <w:t> </w:t>
      </w:r>
      <w:r>
        <w:rPr>
          <w:sz w:val="18"/>
          <w:vertAlign w:val="baseline"/>
        </w:rPr>
        <w:t>2020.</w:t>
      </w:r>
      <w:r>
        <w:rPr>
          <w:spacing w:val="-2"/>
          <w:sz w:val="18"/>
          <w:vertAlign w:val="baseline"/>
        </w:rPr>
        <w:t> </w:t>
      </w:r>
      <w:r>
        <w:rPr>
          <w:sz w:val="18"/>
          <w:vertAlign w:val="baseline"/>
        </w:rPr>
        <w:t>“Access,</w:t>
      </w:r>
      <w:r>
        <w:rPr>
          <w:spacing w:val="-3"/>
          <w:sz w:val="18"/>
          <w:vertAlign w:val="baseline"/>
        </w:rPr>
        <w:t> </w:t>
      </w:r>
      <w:r>
        <w:rPr>
          <w:sz w:val="18"/>
          <w:vertAlign w:val="baseline"/>
        </w:rPr>
        <w:t>Barriers,</w:t>
      </w:r>
      <w:r>
        <w:rPr>
          <w:spacing w:val="-3"/>
          <w:sz w:val="18"/>
          <w:vertAlign w:val="baseline"/>
        </w:rPr>
        <w:t> </w:t>
      </w:r>
      <w:r>
        <w:rPr>
          <w:sz w:val="18"/>
          <w:vertAlign w:val="baseline"/>
        </w:rPr>
        <w:t>and Decisional Regret in Pursuit of Fertility Preservation among Transgender and Gender-Diverse Individuals.” </w:t>
      </w:r>
      <w:r>
        <w:rPr>
          <w:i/>
          <w:sz w:val="18"/>
          <w:vertAlign w:val="baseline"/>
        </w:rPr>
        <w:t>Fertility and</w:t>
      </w:r>
      <w:r>
        <w:rPr>
          <w:i/>
          <w:sz w:val="18"/>
          <w:vertAlign w:val="baseline"/>
        </w:rPr>
        <w:t> Sterility</w:t>
      </w:r>
      <w:r>
        <w:rPr>
          <w:sz w:val="18"/>
          <w:vertAlign w:val="baseline"/>
        </w:rPr>
        <w:t>, December. https://doi.org/10.1016/j.fertnstert.2020.09.007.</w:t>
      </w:r>
    </w:p>
    <w:p>
      <w:pPr>
        <w:spacing w:line="276" w:lineRule="auto" w:before="0"/>
        <w:ind w:left="464" w:right="481" w:hanging="4"/>
        <w:jc w:val="left"/>
        <w:rPr>
          <w:sz w:val="18"/>
        </w:rPr>
      </w:pPr>
      <w:r>
        <w:rPr>
          <w:sz w:val="18"/>
          <w:vertAlign w:val="superscript"/>
        </w:rPr>
        <w:t>79</w:t>
      </w:r>
      <w:r>
        <w:rPr>
          <w:spacing w:val="-10"/>
          <w:sz w:val="18"/>
          <w:vertAlign w:val="baseline"/>
        </w:rPr>
        <w:t> </w:t>
      </w:r>
      <w:r>
        <w:rPr>
          <w:sz w:val="18"/>
          <w:vertAlign w:val="baseline"/>
        </w:rPr>
        <w:t>Stolk, T. H. R., J. D. Asseler, J. A. F. Huirne, E. van den Boogaard, and N. M. van Mello. 2023. “Desire for Children and Fertility</w:t>
      </w:r>
      <w:r>
        <w:rPr>
          <w:spacing w:val="-3"/>
          <w:sz w:val="18"/>
          <w:vertAlign w:val="baseline"/>
        </w:rPr>
        <w:t> </w:t>
      </w:r>
      <w:r>
        <w:rPr>
          <w:sz w:val="18"/>
          <w:vertAlign w:val="baseline"/>
        </w:rPr>
        <w:t>Preservation</w:t>
      </w:r>
      <w:r>
        <w:rPr>
          <w:spacing w:val="-3"/>
          <w:sz w:val="18"/>
          <w:vertAlign w:val="baseline"/>
        </w:rPr>
        <w:t> </w:t>
      </w:r>
      <w:r>
        <w:rPr>
          <w:sz w:val="18"/>
          <w:vertAlign w:val="baseline"/>
        </w:rPr>
        <w:t>in</w:t>
      </w:r>
      <w:r>
        <w:rPr>
          <w:spacing w:val="-3"/>
          <w:sz w:val="18"/>
          <w:vertAlign w:val="baseline"/>
        </w:rPr>
        <w:t> </w:t>
      </w:r>
      <w:r>
        <w:rPr>
          <w:sz w:val="18"/>
          <w:vertAlign w:val="baseline"/>
        </w:rPr>
        <w:t>Transgender</w:t>
      </w:r>
      <w:r>
        <w:rPr>
          <w:spacing w:val="-4"/>
          <w:sz w:val="18"/>
          <w:vertAlign w:val="baseline"/>
        </w:rPr>
        <w:t> </w:t>
      </w:r>
      <w:r>
        <w:rPr>
          <w:sz w:val="18"/>
          <w:vertAlign w:val="baseline"/>
        </w:rPr>
        <w:t>and</w:t>
      </w:r>
      <w:r>
        <w:rPr>
          <w:spacing w:val="-4"/>
          <w:sz w:val="18"/>
          <w:vertAlign w:val="baseline"/>
        </w:rPr>
        <w:t> </w:t>
      </w:r>
      <w:r>
        <w:rPr>
          <w:sz w:val="18"/>
          <w:vertAlign w:val="baseline"/>
        </w:rPr>
        <w:t>Gender-Diverse</w:t>
      </w:r>
      <w:r>
        <w:rPr>
          <w:spacing w:val="-3"/>
          <w:sz w:val="18"/>
          <w:vertAlign w:val="baseline"/>
        </w:rPr>
        <w:t> </w:t>
      </w:r>
      <w:r>
        <w:rPr>
          <w:sz w:val="18"/>
          <w:vertAlign w:val="baseline"/>
        </w:rPr>
        <w:t>People:</w:t>
      </w:r>
      <w:r>
        <w:rPr>
          <w:spacing w:val="-3"/>
          <w:sz w:val="18"/>
          <w:vertAlign w:val="baseline"/>
        </w:rPr>
        <w:t> </w:t>
      </w:r>
      <w:r>
        <w:rPr>
          <w:sz w:val="18"/>
          <w:vertAlign w:val="baseline"/>
        </w:rPr>
        <w:t>A</w:t>
      </w:r>
      <w:r>
        <w:rPr>
          <w:spacing w:val="-3"/>
          <w:sz w:val="18"/>
          <w:vertAlign w:val="baseline"/>
        </w:rPr>
        <w:t> </w:t>
      </w:r>
      <w:r>
        <w:rPr>
          <w:sz w:val="18"/>
          <w:vertAlign w:val="baseline"/>
        </w:rPr>
        <w:t>Systematic</w:t>
      </w:r>
      <w:r>
        <w:rPr>
          <w:spacing w:val="-4"/>
          <w:sz w:val="18"/>
          <w:vertAlign w:val="baseline"/>
        </w:rPr>
        <w:t> </w:t>
      </w:r>
      <w:r>
        <w:rPr>
          <w:sz w:val="18"/>
          <w:vertAlign w:val="baseline"/>
        </w:rPr>
        <w:t>Review.”</w:t>
      </w:r>
      <w:r>
        <w:rPr>
          <w:spacing w:val="-3"/>
          <w:sz w:val="18"/>
          <w:vertAlign w:val="baseline"/>
        </w:rPr>
        <w:t> </w:t>
      </w:r>
      <w:r>
        <w:rPr>
          <w:i/>
          <w:sz w:val="18"/>
          <w:vertAlign w:val="baseline"/>
        </w:rPr>
        <w:t>Best</w:t>
      </w:r>
      <w:r>
        <w:rPr>
          <w:i/>
          <w:spacing w:val="-4"/>
          <w:sz w:val="18"/>
          <w:vertAlign w:val="baseline"/>
        </w:rPr>
        <w:t> </w:t>
      </w:r>
      <w:r>
        <w:rPr>
          <w:i/>
          <w:sz w:val="18"/>
          <w:vertAlign w:val="baseline"/>
        </w:rPr>
        <w:t>Practice</w:t>
      </w:r>
      <w:r>
        <w:rPr>
          <w:i/>
          <w:spacing w:val="-3"/>
          <w:sz w:val="18"/>
          <w:vertAlign w:val="baseline"/>
        </w:rPr>
        <w:t> </w:t>
      </w:r>
      <w:r>
        <w:rPr>
          <w:i/>
          <w:sz w:val="18"/>
          <w:vertAlign w:val="baseline"/>
        </w:rPr>
        <w:t>&amp;</w:t>
      </w:r>
      <w:r>
        <w:rPr>
          <w:i/>
          <w:spacing w:val="-3"/>
          <w:sz w:val="18"/>
          <w:vertAlign w:val="baseline"/>
        </w:rPr>
        <w:t> </w:t>
      </w:r>
      <w:r>
        <w:rPr>
          <w:i/>
          <w:sz w:val="18"/>
          <w:vertAlign w:val="baseline"/>
        </w:rPr>
        <w:t>Research</w:t>
      </w:r>
      <w:r>
        <w:rPr>
          <w:i/>
          <w:spacing w:val="-2"/>
          <w:sz w:val="18"/>
          <w:vertAlign w:val="baseline"/>
        </w:rPr>
        <w:t> </w:t>
      </w:r>
      <w:r>
        <w:rPr>
          <w:i/>
          <w:sz w:val="18"/>
          <w:vertAlign w:val="baseline"/>
        </w:rPr>
        <w:t>Clinical</w:t>
      </w:r>
      <w:r>
        <w:rPr>
          <w:i/>
          <w:sz w:val="18"/>
          <w:vertAlign w:val="baseline"/>
        </w:rPr>
        <w:t> Obstetrics &amp; Gynaecology </w:t>
      </w:r>
      <w:r>
        <w:rPr>
          <w:sz w:val="18"/>
          <w:vertAlign w:val="baseline"/>
        </w:rPr>
        <w:t>87 (March): 102312. https://doi.org/10.1016/j.bpobgyn.2023.102312.</w:t>
      </w:r>
    </w:p>
    <w:p>
      <w:pPr>
        <w:spacing w:line="276" w:lineRule="auto" w:before="0"/>
        <w:ind w:left="464" w:right="274" w:firstLine="0"/>
        <w:jc w:val="left"/>
        <w:rPr>
          <w:sz w:val="18"/>
        </w:rPr>
      </w:pPr>
      <w:r>
        <w:rPr>
          <w:sz w:val="18"/>
          <w:vertAlign w:val="superscript"/>
        </w:rPr>
        <w:t>80</w:t>
      </w:r>
      <w:r>
        <w:rPr>
          <w:spacing w:val="-12"/>
          <w:sz w:val="18"/>
          <w:vertAlign w:val="baseline"/>
        </w:rPr>
        <w:t> </w:t>
      </w:r>
      <w:r>
        <w:rPr>
          <w:sz w:val="18"/>
          <w:vertAlign w:val="baseline"/>
        </w:rPr>
        <w:t>Rogers, Chloë,</w:t>
      </w:r>
      <w:r>
        <w:rPr>
          <w:spacing w:val="-1"/>
          <w:sz w:val="18"/>
          <w:vertAlign w:val="baseline"/>
        </w:rPr>
        <w:t> </w:t>
      </w:r>
      <w:r>
        <w:rPr>
          <w:sz w:val="18"/>
          <w:vertAlign w:val="baseline"/>
        </w:rPr>
        <w:t>Mike Webberley, Roxana Mateescu, Yasmeen El</w:t>
      </w:r>
      <w:r>
        <w:rPr>
          <w:spacing w:val="-1"/>
          <w:sz w:val="18"/>
          <w:vertAlign w:val="baseline"/>
        </w:rPr>
        <w:t> </w:t>
      </w:r>
      <w:r>
        <w:rPr>
          <w:sz w:val="18"/>
          <w:vertAlign w:val="baseline"/>
        </w:rPr>
        <w:t>Rakhawy, Anaïs Daly-Gourdialsing, and Helen Webberley. 2020.</w:t>
      </w:r>
      <w:r>
        <w:rPr>
          <w:spacing w:val="-3"/>
          <w:sz w:val="18"/>
          <w:vertAlign w:val="baseline"/>
        </w:rPr>
        <w:t> </w:t>
      </w:r>
      <w:r>
        <w:rPr>
          <w:sz w:val="18"/>
          <w:vertAlign w:val="baseline"/>
        </w:rPr>
        <w:t>“A</w:t>
      </w:r>
      <w:r>
        <w:rPr>
          <w:spacing w:val="-3"/>
          <w:sz w:val="18"/>
          <w:vertAlign w:val="baseline"/>
        </w:rPr>
        <w:t> </w:t>
      </w:r>
      <w:r>
        <w:rPr>
          <w:sz w:val="18"/>
          <w:vertAlign w:val="baseline"/>
        </w:rPr>
        <w:t>Retrospective</w:t>
      </w:r>
      <w:r>
        <w:rPr>
          <w:spacing w:val="-3"/>
          <w:sz w:val="18"/>
          <w:vertAlign w:val="baseline"/>
        </w:rPr>
        <w:t> </w:t>
      </w:r>
      <w:r>
        <w:rPr>
          <w:sz w:val="18"/>
          <w:vertAlign w:val="baseline"/>
        </w:rPr>
        <w:t>Study</w:t>
      </w:r>
      <w:r>
        <w:rPr>
          <w:spacing w:val="-3"/>
          <w:sz w:val="18"/>
          <w:vertAlign w:val="baseline"/>
        </w:rPr>
        <w:t> </w:t>
      </w:r>
      <w:r>
        <w:rPr>
          <w:sz w:val="18"/>
          <w:vertAlign w:val="baseline"/>
        </w:rPr>
        <w:t>of</w:t>
      </w:r>
      <w:r>
        <w:rPr>
          <w:spacing w:val="-4"/>
          <w:sz w:val="18"/>
          <w:vertAlign w:val="baseline"/>
        </w:rPr>
        <w:t> </w:t>
      </w:r>
      <w:r>
        <w:rPr>
          <w:sz w:val="18"/>
          <w:vertAlign w:val="baseline"/>
        </w:rPr>
        <w:t>Positive</w:t>
      </w:r>
      <w:r>
        <w:rPr>
          <w:spacing w:val="-3"/>
          <w:sz w:val="18"/>
          <w:vertAlign w:val="baseline"/>
        </w:rPr>
        <w:t> </w:t>
      </w:r>
      <w:r>
        <w:rPr>
          <w:sz w:val="18"/>
          <w:vertAlign w:val="baseline"/>
        </w:rPr>
        <w:t>and</w:t>
      </w:r>
      <w:r>
        <w:rPr>
          <w:spacing w:val="-3"/>
          <w:sz w:val="18"/>
          <w:vertAlign w:val="baseline"/>
        </w:rPr>
        <w:t> </w:t>
      </w:r>
      <w:r>
        <w:rPr>
          <w:sz w:val="18"/>
          <w:vertAlign w:val="baseline"/>
        </w:rPr>
        <w:t>Negative</w:t>
      </w:r>
      <w:r>
        <w:rPr>
          <w:spacing w:val="-3"/>
          <w:sz w:val="18"/>
          <w:vertAlign w:val="baseline"/>
        </w:rPr>
        <w:t> </w:t>
      </w:r>
      <w:r>
        <w:rPr>
          <w:sz w:val="18"/>
          <w:vertAlign w:val="baseline"/>
        </w:rPr>
        <w:t>Determinants</w:t>
      </w:r>
      <w:r>
        <w:rPr>
          <w:spacing w:val="-3"/>
          <w:sz w:val="18"/>
          <w:vertAlign w:val="baseline"/>
        </w:rPr>
        <w:t> </w:t>
      </w:r>
      <w:r>
        <w:rPr>
          <w:sz w:val="18"/>
          <w:vertAlign w:val="baseline"/>
        </w:rPr>
        <w:t>of</w:t>
      </w:r>
      <w:r>
        <w:rPr>
          <w:spacing w:val="-3"/>
          <w:sz w:val="18"/>
          <w:vertAlign w:val="baseline"/>
        </w:rPr>
        <w:t> </w:t>
      </w:r>
      <w:r>
        <w:rPr>
          <w:sz w:val="18"/>
          <w:vertAlign w:val="baseline"/>
        </w:rPr>
        <w:t>Gamete</w:t>
      </w:r>
      <w:r>
        <w:rPr>
          <w:spacing w:val="-3"/>
          <w:sz w:val="18"/>
          <w:vertAlign w:val="baseline"/>
        </w:rPr>
        <w:t> </w:t>
      </w:r>
      <w:r>
        <w:rPr>
          <w:sz w:val="18"/>
          <w:vertAlign w:val="baseline"/>
        </w:rPr>
        <w:t>Storage</w:t>
      </w:r>
      <w:r>
        <w:rPr>
          <w:spacing w:val="-3"/>
          <w:sz w:val="18"/>
          <w:vertAlign w:val="baseline"/>
        </w:rPr>
        <w:t> </w:t>
      </w:r>
      <w:r>
        <w:rPr>
          <w:sz w:val="18"/>
          <w:vertAlign w:val="baseline"/>
        </w:rPr>
        <w:t>in</w:t>
      </w:r>
      <w:r>
        <w:rPr>
          <w:spacing w:val="-3"/>
          <w:sz w:val="18"/>
          <w:vertAlign w:val="baseline"/>
        </w:rPr>
        <w:t> </w:t>
      </w:r>
      <w:r>
        <w:rPr>
          <w:sz w:val="18"/>
          <w:vertAlign w:val="baseline"/>
        </w:rPr>
        <w:t>Transgender</w:t>
      </w:r>
      <w:r>
        <w:rPr>
          <w:spacing w:val="-4"/>
          <w:sz w:val="18"/>
          <w:vertAlign w:val="baseline"/>
        </w:rPr>
        <w:t> </w:t>
      </w:r>
      <w:r>
        <w:rPr>
          <w:sz w:val="18"/>
          <w:vertAlign w:val="baseline"/>
        </w:rPr>
        <w:t>and</w:t>
      </w:r>
      <w:r>
        <w:rPr>
          <w:spacing w:val="-4"/>
          <w:sz w:val="18"/>
          <w:vertAlign w:val="baseline"/>
        </w:rPr>
        <w:t> </w:t>
      </w:r>
      <w:r>
        <w:rPr>
          <w:sz w:val="18"/>
          <w:vertAlign w:val="baseline"/>
        </w:rPr>
        <w:t>Gender-Diverse Patients.” </w:t>
      </w:r>
      <w:r>
        <w:rPr>
          <w:i/>
          <w:sz w:val="18"/>
          <w:vertAlign w:val="baseline"/>
        </w:rPr>
        <w:t>International Journal of Transgender Health </w:t>
      </w:r>
      <w:r>
        <w:rPr>
          <w:sz w:val="18"/>
          <w:vertAlign w:val="baseline"/>
        </w:rPr>
        <w:t>22 (1-2): 167–78. https://doi.org/10.1080/26895269.2020.1848693. </w:t>
      </w:r>
      <w:r>
        <w:rPr>
          <w:sz w:val="18"/>
          <w:vertAlign w:val="superscript"/>
        </w:rPr>
        <w:t>81</w:t>
      </w:r>
      <w:r>
        <w:rPr>
          <w:spacing w:val="-9"/>
          <w:sz w:val="18"/>
          <w:vertAlign w:val="baseline"/>
        </w:rPr>
        <w:t> </w:t>
      </w:r>
      <w:r>
        <w:rPr>
          <w:sz w:val="18"/>
          <w:vertAlign w:val="baseline"/>
        </w:rPr>
        <w:t>Lindley, Lisa L., and Katrina M. Walsemann. 2015. “Sexual Orientation and Risk of Pregnancy among New York City High School Students.” </w:t>
      </w:r>
      <w:r>
        <w:rPr>
          <w:i/>
          <w:sz w:val="18"/>
          <w:vertAlign w:val="baseline"/>
        </w:rPr>
        <w:t>American Journal of Public Health </w:t>
      </w:r>
      <w:r>
        <w:rPr>
          <w:sz w:val="18"/>
          <w:vertAlign w:val="baseline"/>
        </w:rPr>
        <w:t>105 (7): 1379–86. https://doi.org/10.2105/ajph.2015.302553. </w:t>
      </w:r>
      <w:r>
        <w:rPr>
          <w:sz w:val="18"/>
          <w:vertAlign w:val="superscript"/>
        </w:rPr>
        <w:t>82</w:t>
      </w:r>
      <w:r>
        <w:rPr>
          <w:sz w:val="18"/>
          <w:vertAlign w:val="baseline"/>
        </w:rPr>
        <w:t> </w:t>
      </w:r>
      <w:r>
        <w:rPr>
          <w:color w:val="212121"/>
          <w:sz w:val="18"/>
          <w:vertAlign w:val="baseline"/>
        </w:rPr>
        <w:t>Stutterheim, Sarah E., Mart van Dijk, Haoyi Wang, and Kai J. Jonas. "The worldwide burden of HIV in transgender</w:t>
      </w:r>
      <w:r>
        <w:rPr>
          <w:color w:val="212121"/>
          <w:sz w:val="18"/>
          <w:vertAlign w:val="baseline"/>
        </w:rPr>
        <w:t> individuals: an updated systematic review and meta-analysis." </w:t>
      </w:r>
      <w:r>
        <w:rPr>
          <w:i/>
          <w:color w:val="212121"/>
          <w:sz w:val="18"/>
          <w:vertAlign w:val="baseline"/>
        </w:rPr>
        <w:t>PLoS One </w:t>
      </w:r>
      <w:r>
        <w:rPr>
          <w:color w:val="212121"/>
          <w:sz w:val="18"/>
          <w:vertAlign w:val="baseline"/>
        </w:rPr>
        <w:t>16, no. 12 (2021): e0260063.</w:t>
      </w:r>
    </w:p>
    <w:p>
      <w:pPr>
        <w:spacing w:line="276" w:lineRule="auto" w:before="0"/>
        <w:ind w:left="464" w:right="0" w:hanging="10"/>
        <w:jc w:val="left"/>
        <w:rPr>
          <w:sz w:val="18"/>
        </w:rPr>
      </w:pPr>
      <w:r>
        <w:rPr>
          <w:sz w:val="18"/>
          <w:vertAlign w:val="superscript"/>
        </w:rPr>
        <w:t>83</w:t>
      </w:r>
      <w:r>
        <w:rPr>
          <w:spacing w:val="-9"/>
          <w:sz w:val="18"/>
          <w:vertAlign w:val="baseline"/>
        </w:rPr>
        <w:t> </w:t>
      </w:r>
      <w:r>
        <w:rPr>
          <w:sz w:val="18"/>
          <w:vertAlign w:val="baseline"/>
        </w:rPr>
        <w:t>Massachusetts Department of Public Health, Bureau of Infectious Disease and Laboratory Sciences. Massachusetts HIV Epidemiologic</w:t>
      </w:r>
      <w:r>
        <w:rPr>
          <w:spacing w:val="-5"/>
          <w:sz w:val="18"/>
          <w:vertAlign w:val="baseline"/>
        </w:rPr>
        <w:t> </w:t>
      </w:r>
      <w:r>
        <w:rPr>
          <w:sz w:val="18"/>
          <w:vertAlign w:val="baseline"/>
        </w:rPr>
        <w:t>Profile,</w:t>
      </w:r>
      <w:r>
        <w:rPr>
          <w:spacing w:val="-5"/>
          <w:sz w:val="18"/>
          <w:vertAlign w:val="baseline"/>
        </w:rPr>
        <w:t> </w:t>
      </w:r>
      <w:r>
        <w:rPr>
          <w:sz w:val="18"/>
          <w:vertAlign w:val="baseline"/>
        </w:rPr>
        <w:t>Statewide</w:t>
      </w:r>
      <w:r>
        <w:rPr>
          <w:spacing w:val="-4"/>
          <w:sz w:val="18"/>
          <w:vertAlign w:val="baseline"/>
        </w:rPr>
        <w:t> </w:t>
      </w:r>
      <w:r>
        <w:rPr>
          <w:sz w:val="18"/>
          <w:vertAlign w:val="baseline"/>
        </w:rPr>
        <w:t>Report</w:t>
      </w:r>
      <w:r>
        <w:rPr>
          <w:spacing w:val="-5"/>
          <w:sz w:val="18"/>
          <w:vertAlign w:val="baseline"/>
        </w:rPr>
        <w:t> </w:t>
      </w:r>
      <w:r>
        <w:rPr>
          <w:sz w:val="18"/>
          <w:vertAlign w:val="baseline"/>
        </w:rPr>
        <w:t>–</w:t>
      </w:r>
      <w:r>
        <w:rPr>
          <w:spacing w:val="-4"/>
          <w:sz w:val="18"/>
          <w:vertAlign w:val="baseline"/>
        </w:rPr>
        <w:t> </w:t>
      </w:r>
      <w:r>
        <w:rPr>
          <w:sz w:val="18"/>
          <w:vertAlign w:val="baseline"/>
        </w:rPr>
        <w:t>Data</w:t>
      </w:r>
      <w:r>
        <w:rPr>
          <w:spacing w:val="-4"/>
          <w:sz w:val="18"/>
          <w:vertAlign w:val="baseline"/>
        </w:rPr>
        <w:t> </w:t>
      </w:r>
      <w:r>
        <w:rPr>
          <w:sz w:val="18"/>
          <w:vertAlign w:val="baseline"/>
        </w:rPr>
        <w:t>as</w:t>
      </w:r>
      <w:r>
        <w:rPr>
          <w:spacing w:val="-4"/>
          <w:sz w:val="18"/>
          <w:vertAlign w:val="baseline"/>
        </w:rPr>
        <w:t> </w:t>
      </w:r>
      <w:r>
        <w:rPr>
          <w:sz w:val="18"/>
          <w:vertAlign w:val="baseline"/>
        </w:rPr>
        <w:t>of</w:t>
      </w:r>
      <w:r>
        <w:rPr>
          <w:spacing w:val="-4"/>
          <w:sz w:val="18"/>
          <w:vertAlign w:val="baseline"/>
        </w:rPr>
        <w:t> </w:t>
      </w:r>
      <w:r>
        <w:rPr>
          <w:sz w:val="18"/>
          <w:vertAlign w:val="baseline"/>
        </w:rPr>
        <w:t>1/1/2022</w:t>
      </w:r>
      <w:r>
        <w:rPr>
          <w:spacing w:val="-4"/>
          <w:sz w:val="18"/>
          <w:vertAlign w:val="baseline"/>
        </w:rPr>
        <w:t> </w:t>
      </w:r>
      <w:r>
        <w:rPr>
          <w:sz w:val="18"/>
          <w:vertAlign w:val="baseline"/>
        </w:rPr>
        <w:t>https://</w:t>
      </w:r>
      <w:hyperlink r:id="rId298">
        <w:r>
          <w:rPr>
            <w:sz w:val="18"/>
            <w:vertAlign w:val="baseline"/>
          </w:rPr>
          <w:t>www.mass.gov/lists/hivaids-epidemiologic-profiles.</w:t>
        </w:r>
      </w:hyperlink>
      <w:r>
        <w:rPr>
          <w:sz w:val="18"/>
          <w:vertAlign w:val="baseline"/>
        </w:rPr>
        <w:t> Published February 2022. Accessed March 2 2023.</w:t>
      </w:r>
    </w:p>
    <w:p>
      <w:pPr>
        <w:spacing w:line="276" w:lineRule="auto" w:before="0"/>
        <w:ind w:left="463" w:right="228" w:firstLine="0"/>
        <w:jc w:val="left"/>
        <w:rPr>
          <w:sz w:val="18"/>
        </w:rPr>
      </w:pPr>
      <w:r>
        <w:rPr>
          <w:sz w:val="18"/>
          <w:vertAlign w:val="superscript"/>
        </w:rPr>
        <w:t>84</w:t>
      </w:r>
      <w:r>
        <w:rPr>
          <w:spacing w:val="-13"/>
          <w:sz w:val="18"/>
          <w:vertAlign w:val="baseline"/>
        </w:rPr>
        <w:t> </w:t>
      </w:r>
      <w:r>
        <w:rPr>
          <w:sz w:val="18"/>
          <w:vertAlign w:val="baseline"/>
        </w:rPr>
        <w:t>Fisher,</w:t>
      </w:r>
      <w:r>
        <w:rPr>
          <w:spacing w:val="-4"/>
          <w:sz w:val="18"/>
          <w:vertAlign w:val="baseline"/>
        </w:rPr>
        <w:t> </w:t>
      </w:r>
      <w:r>
        <w:rPr>
          <w:sz w:val="18"/>
          <w:vertAlign w:val="baseline"/>
        </w:rPr>
        <w:t>Celia</w:t>
      </w:r>
      <w:r>
        <w:rPr>
          <w:spacing w:val="-2"/>
          <w:sz w:val="18"/>
          <w:vertAlign w:val="baseline"/>
        </w:rPr>
        <w:t> </w:t>
      </w:r>
      <w:r>
        <w:rPr>
          <w:sz w:val="18"/>
          <w:vertAlign w:val="baseline"/>
        </w:rPr>
        <w:t>B.,</w:t>
      </w:r>
      <w:r>
        <w:rPr>
          <w:spacing w:val="-3"/>
          <w:sz w:val="18"/>
          <w:vertAlign w:val="baseline"/>
        </w:rPr>
        <w:t> </w:t>
      </w:r>
      <w:r>
        <w:rPr>
          <w:sz w:val="18"/>
          <w:vertAlign w:val="baseline"/>
        </w:rPr>
        <w:t>Adam</w:t>
      </w:r>
      <w:r>
        <w:rPr>
          <w:spacing w:val="-2"/>
          <w:sz w:val="18"/>
          <w:vertAlign w:val="baseline"/>
        </w:rPr>
        <w:t> </w:t>
      </w:r>
      <w:r>
        <w:rPr>
          <w:sz w:val="18"/>
          <w:vertAlign w:val="baseline"/>
        </w:rPr>
        <w:t>L.</w:t>
      </w:r>
      <w:r>
        <w:rPr>
          <w:spacing w:val="-2"/>
          <w:sz w:val="18"/>
          <w:vertAlign w:val="baseline"/>
        </w:rPr>
        <w:t> </w:t>
      </w:r>
      <w:r>
        <w:rPr>
          <w:sz w:val="18"/>
          <w:vertAlign w:val="baseline"/>
        </w:rPr>
        <w:t>Fried,</w:t>
      </w:r>
      <w:r>
        <w:rPr>
          <w:spacing w:val="-3"/>
          <w:sz w:val="18"/>
          <w:vertAlign w:val="baseline"/>
        </w:rPr>
        <w:t> </w:t>
      </w:r>
      <w:r>
        <w:rPr>
          <w:sz w:val="18"/>
          <w:vertAlign w:val="baseline"/>
        </w:rPr>
        <w:t>Margaret</w:t>
      </w:r>
      <w:r>
        <w:rPr>
          <w:spacing w:val="-3"/>
          <w:sz w:val="18"/>
          <w:vertAlign w:val="baseline"/>
        </w:rPr>
        <w:t> </w:t>
      </w:r>
      <w:r>
        <w:rPr>
          <w:sz w:val="18"/>
          <w:vertAlign w:val="baseline"/>
        </w:rPr>
        <w:t>Desmond,</w:t>
      </w:r>
      <w:r>
        <w:rPr>
          <w:spacing w:val="-3"/>
          <w:sz w:val="18"/>
          <w:vertAlign w:val="baseline"/>
        </w:rPr>
        <w:t> </w:t>
      </w:r>
      <w:r>
        <w:rPr>
          <w:sz w:val="18"/>
          <w:vertAlign w:val="baseline"/>
        </w:rPr>
        <w:t>Kathryn</w:t>
      </w:r>
      <w:r>
        <w:rPr>
          <w:spacing w:val="-2"/>
          <w:sz w:val="18"/>
          <w:vertAlign w:val="baseline"/>
        </w:rPr>
        <w:t> </w:t>
      </w:r>
      <w:r>
        <w:rPr>
          <w:sz w:val="18"/>
          <w:vertAlign w:val="baseline"/>
        </w:rPr>
        <w:t>Macapagal,</w:t>
      </w:r>
      <w:r>
        <w:rPr>
          <w:spacing w:val="-3"/>
          <w:sz w:val="18"/>
          <w:vertAlign w:val="baseline"/>
        </w:rPr>
        <w:t> </w:t>
      </w:r>
      <w:r>
        <w:rPr>
          <w:sz w:val="18"/>
          <w:vertAlign w:val="baseline"/>
        </w:rPr>
        <w:t>and</w:t>
      </w:r>
      <w:r>
        <w:rPr>
          <w:spacing w:val="-2"/>
          <w:sz w:val="18"/>
          <w:vertAlign w:val="baseline"/>
        </w:rPr>
        <w:t> </w:t>
      </w:r>
      <w:r>
        <w:rPr>
          <w:sz w:val="18"/>
          <w:vertAlign w:val="baseline"/>
        </w:rPr>
        <w:t>Brian</w:t>
      </w:r>
      <w:r>
        <w:rPr>
          <w:spacing w:val="-2"/>
          <w:sz w:val="18"/>
          <w:vertAlign w:val="baseline"/>
        </w:rPr>
        <w:t> </w:t>
      </w:r>
      <w:r>
        <w:rPr>
          <w:sz w:val="18"/>
          <w:vertAlign w:val="baseline"/>
        </w:rPr>
        <w:t>Mustanski.</w:t>
      </w:r>
      <w:r>
        <w:rPr>
          <w:spacing w:val="-2"/>
          <w:sz w:val="18"/>
          <w:vertAlign w:val="baseline"/>
        </w:rPr>
        <w:t> </w:t>
      </w:r>
      <w:r>
        <w:rPr>
          <w:sz w:val="18"/>
          <w:vertAlign w:val="baseline"/>
        </w:rPr>
        <w:t>2018.</w:t>
      </w:r>
      <w:r>
        <w:rPr>
          <w:spacing w:val="-2"/>
          <w:sz w:val="18"/>
          <w:vertAlign w:val="baseline"/>
        </w:rPr>
        <w:t> </w:t>
      </w:r>
      <w:r>
        <w:rPr>
          <w:sz w:val="18"/>
          <w:vertAlign w:val="baseline"/>
        </w:rPr>
        <w:t>“Perceived</w:t>
      </w:r>
      <w:r>
        <w:rPr>
          <w:spacing w:val="-3"/>
          <w:sz w:val="18"/>
          <w:vertAlign w:val="baseline"/>
        </w:rPr>
        <w:t> </w:t>
      </w:r>
      <w:r>
        <w:rPr>
          <w:sz w:val="18"/>
          <w:vertAlign w:val="baseline"/>
        </w:rPr>
        <w:t>Barriers</w:t>
      </w:r>
      <w:r>
        <w:rPr>
          <w:spacing w:val="-2"/>
          <w:sz w:val="18"/>
          <w:vertAlign w:val="baseline"/>
        </w:rPr>
        <w:t> </w:t>
      </w:r>
      <w:r>
        <w:rPr>
          <w:sz w:val="18"/>
          <w:vertAlign w:val="baseline"/>
        </w:rPr>
        <w:t>to HIV Prevention Services for Transgender Youth.” LGBT Health 5 (6): 350–58. https://doi.org/10.1089/lgbt.2017.0098. </w:t>
      </w:r>
      <w:r>
        <w:rPr>
          <w:sz w:val="18"/>
          <w:vertAlign w:val="superscript"/>
        </w:rPr>
        <w:t>85</w:t>
      </w:r>
      <w:r>
        <w:rPr>
          <w:sz w:val="18"/>
          <w:vertAlign w:val="baseline"/>
        </w:rPr>
        <w:t> Seiler, Naomi. n.d. Review of Enhancing Medicaid Provider and Patient Engagement and Education to Deliver PrEP Intervention Services. AcademyHealth. Accessed January 10, 2023.</w:t>
      </w:r>
    </w:p>
    <w:p>
      <w:pPr>
        <w:spacing w:after="0" w:line="276" w:lineRule="auto"/>
        <w:jc w:val="left"/>
        <w:rPr>
          <w:sz w:val="18"/>
        </w:rPr>
        <w:sectPr>
          <w:pgSz w:w="12240" w:h="15840"/>
          <w:pgMar w:header="721" w:footer="1061" w:top="1360" w:bottom="1260" w:left="1120" w:right="1340"/>
        </w:sectPr>
      </w:pPr>
    </w:p>
    <w:p>
      <w:pPr>
        <w:spacing w:line="276" w:lineRule="auto" w:before="68"/>
        <w:ind w:left="464" w:right="0" w:firstLine="8"/>
        <w:jc w:val="left"/>
        <w:rPr>
          <w:sz w:val="18"/>
        </w:rPr>
      </w:pPr>
      <w:r>
        <w:rPr>
          <w:sz w:val="18"/>
        </w:rPr>
        <w:t>https://academyhealth.org/sites/default/files/engagementmedicaidprep_issuebrief_may2019.pdf.</w:t>
      </w:r>
      <w:r>
        <w:rPr>
          <w:spacing w:val="-11"/>
          <w:sz w:val="18"/>
        </w:rPr>
        <w:t> </w:t>
      </w:r>
      <w:r>
        <w:rPr>
          <w:sz w:val="18"/>
          <w:vertAlign w:val="superscript"/>
        </w:rPr>
        <w:t>86</w:t>
      </w:r>
      <w:r>
        <w:rPr>
          <w:spacing w:val="-13"/>
          <w:sz w:val="18"/>
          <w:vertAlign w:val="baseline"/>
        </w:rPr>
        <w:t> </w:t>
      </w:r>
      <w:r>
        <w:rPr>
          <w:sz w:val="18"/>
          <w:vertAlign w:val="baseline"/>
        </w:rPr>
        <w:t>“PrEP</w:t>
      </w:r>
      <w:r>
        <w:rPr>
          <w:spacing w:val="-10"/>
          <w:sz w:val="18"/>
          <w:vertAlign w:val="baseline"/>
        </w:rPr>
        <w:t> </w:t>
      </w:r>
      <w:r>
        <w:rPr>
          <w:sz w:val="18"/>
          <w:vertAlign w:val="baseline"/>
        </w:rPr>
        <w:t>for</w:t>
      </w:r>
      <w:r>
        <w:rPr>
          <w:spacing w:val="-10"/>
          <w:sz w:val="18"/>
          <w:vertAlign w:val="baseline"/>
        </w:rPr>
        <w:t> </w:t>
      </w:r>
      <w:r>
        <w:rPr>
          <w:sz w:val="18"/>
          <w:vertAlign w:val="baseline"/>
        </w:rPr>
        <w:t>Minors</w:t>
      </w:r>
      <w:r>
        <w:rPr>
          <w:spacing w:val="-9"/>
          <w:sz w:val="18"/>
          <w:vertAlign w:val="baseline"/>
        </w:rPr>
        <w:t> </w:t>
      </w:r>
      <w:r>
        <w:rPr>
          <w:sz w:val="18"/>
          <w:vertAlign w:val="baseline"/>
        </w:rPr>
        <w:t>in Massachusetts.” n.d. GLAD. https:</w:t>
      </w:r>
      <w:hyperlink r:id="rId299">
        <w:r>
          <w:rPr>
            <w:sz w:val="18"/>
            <w:vertAlign w:val="baseline"/>
          </w:rPr>
          <w:t>//www.glad.org/prep-for-minors-in</w:t>
        </w:r>
      </w:hyperlink>
      <w:r>
        <w:rPr>
          <w:sz w:val="18"/>
          <w:vertAlign w:val="baseline"/>
        </w:rPr>
        <w:t> </w:t>
      </w:r>
      <w:r>
        <w:rPr>
          <w:spacing w:val="-2"/>
          <w:sz w:val="18"/>
          <w:vertAlign w:val="baseline"/>
        </w:rPr>
        <w:t>massachusetts/#:~:text=Massachusetts%20has%20a%20new%20law.</w:t>
      </w:r>
    </w:p>
    <w:p>
      <w:pPr>
        <w:spacing w:line="276" w:lineRule="auto" w:before="1"/>
        <w:ind w:left="464" w:right="283" w:firstLine="2"/>
        <w:jc w:val="both"/>
        <w:rPr>
          <w:sz w:val="18"/>
        </w:rPr>
      </w:pPr>
      <w:r>
        <w:rPr>
          <w:sz w:val="18"/>
          <w:vertAlign w:val="superscript"/>
        </w:rPr>
        <w:t>87</w:t>
      </w:r>
      <w:r>
        <w:rPr>
          <w:spacing w:val="-11"/>
          <w:sz w:val="18"/>
          <w:vertAlign w:val="baseline"/>
        </w:rPr>
        <w:t> </w:t>
      </w:r>
      <w:r>
        <w:rPr>
          <w:color w:val="212121"/>
          <w:sz w:val="18"/>
          <w:vertAlign w:val="baseline"/>
        </w:rPr>
        <w:t>Connolly,</w:t>
      </w:r>
      <w:r>
        <w:rPr>
          <w:color w:val="212121"/>
          <w:spacing w:val="-4"/>
          <w:sz w:val="18"/>
          <w:vertAlign w:val="baseline"/>
        </w:rPr>
        <w:t> </w:t>
      </w:r>
      <w:r>
        <w:rPr>
          <w:color w:val="212121"/>
          <w:sz w:val="18"/>
          <w:vertAlign w:val="baseline"/>
        </w:rPr>
        <w:t>Maureen</w:t>
      </w:r>
      <w:r>
        <w:rPr>
          <w:color w:val="212121"/>
          <w:spacing w:val="-1"/>
          <w:sz w:val="18"/>
          <w:vertAlign w:val="baseline"/>
        </w:rPr>
        <w:t> </w:t>
      </w:r>
      <w:r>
        <w:rPr>
          <w:color w:val="212121"/>
          <w:sz w:val="18"/>
          <w:vertAlign w:val="baseline"/>
        </w:rPr>
        <w:t>D.,</w:t>
      </w:r>
      <w:r>
        <w:rPr>
          <w:color w:val="212121"/>
          <w:spacing w:val="-2"/>
          <w:sz w:val="18"/>
          <w:vertAlign w:val="baseline"/>
        </w:rPr>
        <w:t> </w:t>
      </w:r>
      <w:r>
        <w:rPr>
          <w:color w:val="212121"/>
          <w:sz w:val="18"/>
          <w:vertAlign w:val="baseline"/>
        </w:rPr>
        <w:t>Doreen</w:t>
      </w:r>
      <w:r>
        <w:rPr>
          <w:color w:val="212121"/>
          <w:spacing w:val="-2"/>
          <w:sz w:val="18"/>
          <w:vertAlign w:val="baseline"/>
        </w:rPr>
        <w:t> </w:t>
      </w:r>
      <w:r>
        <w:rPr>
          <w:color w:val="212121"/>
          <w:sz w:val="18"/>
          <w:vertAlign w:val="baseline"/>
        </w:rPr>
        <w:t>N.</w:t>
      </w:r>
      <w:r>
        <w:rPr>
          <w:color w:val="212121"/>
          <w:spacing w:val="-1"/>
          <w:sz w:val="18"/>
          <w:vertAlign w:val="baseline"/>
        </w:rPr>
        <w:t> </w:t>
      </w:r>
      <w:r>
        <w:rPr>
          <w:color w:val="212121"/>
          <w:sz w:val="18"/>
          <w:vertAlign w:val="baseline"/>
        </w:rPr>
        <w:t>Dankerlui,</w:t>
      </w:r>
      <w:r>
        <w:rPr>
          <w:color w:val="212121"/>
          <w:spacing w:val="-2"/>
          <w:sz w:val="18"/>
          <w:vertAlign w:val="baseline"/>
        </w:rPr>
        <w:t> </w:t>
      </w:r>
      <w:r>
        <w:rPr>
          <w:color w:val="212121"/>
          <w:sz w:val="18"/>
          <w:vertAlign w:val="baseline"/>
        </w:rPr>
        <w:t>Tony</w:t>
      </w:r>
      <w:r>
        <w:rPr>
          <w:color w:val="212121"/>
          <w:spacing w:val="-1"/>
          <w:sz w:val="18"/>
          <w:vertAlign w:val="baseline"/>
        </w:rPr>
        <w:t> </w:t>
      </w:r>
      <w:r>
        <w:rPr>
          <w:color w:val="212121"/>
          <w:sz w:val="18"/>
          <w:vertAlign w:val="baseline"/>
        </w:rPr>
        <w:t>Eljallad,</w:t>
      </w:r>
      <w:r>
        <w:rPr>
          <w:color w:val="212121"/>
          <w:spacing w:val="-2"/>
          <w:sz w:val="18"/>
          <w:vertAlign w:val="baseline"/>
        </w:rPr>
        <w:t> </w:t>
      </w:r>
      <w:r>
        <w:rPr>
          <w:color w:val="212121"/>
          <w:sz w:val="18"/>
          <w:vertAlign w:val="baseline"/>
        </w:rPr>
        <w:t>Isadore</w:t>
      </w:r>
      <w:r>
        <w:rPr>
          <w:color w:val="212121"/>
          <w:spacing w:val="-1"/>
          <w:sz w:val="18"/>
          <w:vertAlign w:val="baseline"/>
        </w:rPr>
        <w:t> </w:t>
      </w:r>
      <w:r>
        <w:rPr>
          <w:color w:val="212121"/>
          <w:sz w:val="18"/>
          <w:vertAlign w:val="baseline"/>
        </w:rPr>
        <w:t>Dodard-Friedman,</w:t>
      </w:r>
      <w:r>
        <w:rPr>
          <w:color w:val="212121"/>
          <w:spacing w:val="-2"/>
          <w:sz w:val="18"/>
          <w:vertAlign w:val="baseline"/>
        </w:rPr>
        <w:t> </w:t>
      </w:r>
      <w:r>
        <w:rPr>
          <w:color w:val="212121"/>
          <w:sz w:val="18"/>
          <w:vertAlign w:val="baseline"/>
        </w:rPr>
        <w:t>Amy</w:t>
      </w:r>
      <w:r>
        <w:rPr>
          <w:color w:val="212121"/>
          <w:spacing w:val="-1"/>
          <w:sz w:val="18"/>
          <w:vertAlign w:val="baseline"/>
        </w:rPr>
        <w:t> </w:t>
      </w:r>
      <w:r>
        <w:rPr>
          <w:color w:val="212121"/>
          <w:sz w:val="18"/>
          <w:vertAlign w:val="baseline"/>
        </w:rPr>
        <w:t>Tang,</w:t>
      </w:r>
      <w:r>
        <w:rPr>
          <w:color w:val="212121"/>
          <w:spacing w:val="-3"/>
          <w:sz w:val="18"/>
          <w:vertAlign w:val="baseline"/>
        </w:rPr>
        <w:t> </w:t>
      </w:r>
      <w:r>
        <w:rPr>
          <w:color w:val="212121"/>
          <w:sz w:val="18"/>
          <w:vertAlign w:val="baseline"/>
        </w:rPr>
        <w:t>and</w:t>
      </w:r>
      <w:r>
        <w:rPr>
          <w:color w:val="212121"/>
          <w:spacing w:val="-1"/>
          <w:sz w:val="18"/>
          <w:vertAlign w:val="baseline"/>
        </w:rPr>
        <w:t> </w:t>
      </w:r>
      <w:r>
        <w:rPr>
          <w:color w:val="212121"/>
          <w:sz w:val="18"/>
          <w:vertAlign w:val="baseline"/>
        </w:rPr>
        <w:t>Christine</w:t>
      </w:r>
      <w:r>
        <w:rPr>
          <w:color w:val="212121"/>
          <w:spacing w:val="-1"/>
          <w:sz w:val="18"/>
          <w:vertAlign w:val="baseline"/>
        </w:rPr>
        <w:t> </w:t>
      </w:r>
      <w:r>
        <w:rPr>
          <w:color w:val="212121"/>
          <w:sz w:val="18"/>
          <w:vertAlign w:val="baseline"/>
        </w:rPr>
        <w:t>LM</w:t>
      </w:r>
      <w:r>
        <w:rPr>
          <w:color w:val="212121"/>
          <w:spacing w:val="-2"/>
          <w:sz w:val="18"/>
          <w:vertAlign w:val="baseline"/>
        </w:rPr>
        <w:t> </w:t>
      </w:r>
      <w:r>
        <w:rPr>
          <w:color w:val="212121"/>
          <w:sz w:val="18"/>
          <w:vertAlign w:val="baseline"/>
        </w:rPr>
        <w:t>Joseph. "Outcomes</w:t>
      </w:r>
      <w:r>
        <w:rPr>
          <w:color w:val="212121"/>
          <w:spacing w:val="-3"/>
          <w:sz w:val="18"/>
          <w:vertAlign w:val="baseline"/>
        </w:rPr>
        <w:t> </w:t>
      </w:r>
      <w:r>
        <w:rPr>
          <w:color w:val="212121"/>
          <w:sz w:val="18"/>
          <w:vertAlign w:val="baseline"/>
        </w:rPr>
        <w:t>of</w:t>
      </w:r>
      <w:r>
        <w:rPr>
          <w:color w:val="212121"/>
          <w:spacing w:val="-3"/>
          <w:sz w:val="18"/>
          <w:vertAlign w:val="baseline"/>
        </w:rPr>
        <w:t> </w:t>
      </w:r>
      <w:r>
        <w:rPr>
          <w:color w:val="212121"/>
          <w:sz w:val="18"/>
          <w:vertAlign w:val="baseline"/>
        </w:rPr>
        <w:t>a</w:t>
      </w:r>
      <w:r>
        <w:rPr>
          <w:color w:val="212121"/>
          <w:spacing w:val="-3"/>
          <w:sz w:val="18"/>
          <w:vertAlign w:val="baseline"/>
        </w:rPr>
        <w:t> </w:t>
      </w:r>
      <w:r>
        <w:rPr>
          <w:color w:val="212121"/>
          <w:sz w:val="18"/>
          <w:vertAlign w:val="baseline"/>
        </w:rPr>
        <w:t>PrEP</w:t>
      </w:r>
      <w:r>
        <w:rPr>
          <w:color w:val="212121"/>
          <w:spacing w:val="-3"/>
          <w:sz w:val="18"/>
          <w:vertAlign w:val="baseline"/>
        </w:rPr>
        <w:t> </w:t>
      </w:r>
      <w:r>
        <w:rPr>
          <w:color w:val="212121"/>
          <w:sz w:val="18"/>
          <w:vertAlign w:val="baseline"/>
        </w:rPr>
        <w:t>Demonstration</w:t>
      </w:r>
      <w:r>
        <w:rPr>
          <w:color w:val="212121"/>
          <w:spacing w:val="-3"/>
          <w:sz w:val="18"/>
          <w:vertAlign w:val="baseline"/>
        </w:rPr>
        <w:t> </w:t>
      </w:r>
      <w:r>
        <w:rPr>
          <w:color w:val="212121"/>
          <w:sz w:val="18"/>
          <w:vertAlign w:val="baseline"/>
        </w:rPr>
        <w:t>Project</w:t>
      </w:r>
      <w:r>
        <w:rPr>
          <w:color w:val="212121"/>
          <w:spacing w:val="-4"/>
          <w:sz w:val="18"/>
          <w:vertAlign w:val="baseline"/>
        </w:rPr>
        <w:t> </w:t>
      </w:r>
      <w:r>
        <w:rPr>
          <w:color w:val="212121"/>
          <w:sz w:val="18"/>
          <w:vertAlign w:val="baseline"/>
        </w:rPr>
        <w:t>with</w:t>
      </w:r>
      <w:r>
        <w:rPr>
          <w:color w:val="212121"/>
          <w:spacing w:val="-2"/>
          <w:sz w:val="18"/>
          <w:vertAlign w:val="baseline"/>
        </w:rPr>
        <w:t> </w:t>
      </w:r>
      <w:r>
        <w:rPr>
          <w:color w:val="212121"/>
          <w:sz w:val="18"/>
          <w:vertAlign w:val="baseline"/>
        </w:rPr>
        <w:t>LGBTQ</w:t>
      </w:r>
      <w:r>
        <w:rPr>
          <w:color w:val="212121"/>
          <w:spacing w:val="-3"/>
          <w:sz w:val="18"/>
          <w:vertAlign w:val="baseline"/>
        </w:rPr>
        <w:t> </w:t>
      </w:r>
      <w:r>
        <w:rPr>
          <w:color w:val="212121"/>
          <w:sz w:val="18"/>
          <w:vertAlign w:val="baseline"/>
        </w:rPr>
        <w:t>Youth</w:t>
      </w:r>
      <w:r>
        <w:rPr>
          <w:color w:val="212121"/>
          <w:spacing w:val="-3"/>
          <w:sz w:val="18"/>
          <w:vertAlign w:val="baseline"/>
        </w:rPr>
        <w:t> </w:t>
      </w:r>
      <w:r>
        <w:rPr>
          <w:color w:val="212121"/>
          <w:sz w:val="18"/>
          <w:vertAlign w:val="baseline"/>
        </w:rPr>
        <w:t>in</w:t>
      </w:r>
      <w:r>
        <w:rPr>
          <w:color w:val="212121"/>
          <w:spacing w:val="-4"/>
          <w:sz w:val="18"/>
          <w:vertAlign w:val="baseline"/>
        </w:rPr>
        <w:t> </w:t>
      </w:r>
      <w:r>
        <w:rPr>
          <w:color w:val="212121"/>
          <w:sz w:val="18"/>
          <w:vertAlign w:val="baseline"/>
        </w:rPr>
        <w:t>a</w:t>
      </w:r>
      <w:r>
        <w:rPr>
          <w:color w:val="212121"/>
          <w:spacing w:val="-3"/>
          <w:sz w:val="18"/>
          <w:vertAlign w:val="baseline"/>
        </w:rPr>
        <w:t> </w:t>
      </w:r>
      <w:r>
        <w:rPr>
          <w:color w:val="212121"/>
          <w:sz w:val="18"/>
          <w:vertAlign w:val="baseline"/>
        </w:rPr>
        <w:t>Community-Based</w:t>
      </w:r>
      <w:r>
        <w:rPr>
          <w:color w:val="212121"/>
          <w:spacing w:val="-3"/>
          <w:sz w:val="18"/>
          <w:vertAlign w:val="baseline"/>
        </w:rPr>
        <w:t> </w:t>
      </w:r>
      <w:r>
        <w:rPr>
          <w:color w:val="212121"/>
          <w:sz w:val="18"/>
          <w:vertAlign w:val="baseline"/>
        </w:rPr>
        <w:t>Clinic</w:t>
      </w:r>
      <w:r>
        <w:rPr>
          <w:color w:val="212121"/>
          <w:spacing w:val="-4"/>
          <w:sz w:val="18"/>
          <w:vertAlign w:val="baseline"/>
        </w:rPr>
        <w:t> </w:t>
      </w:r>
      <w:r>
        <w:rPr>
          <w:color w:val="212121"/>
          <w:sz w:val="18"/>
          <w:vertAlign w:val="baseline"/>
        </w:rPr>
        <w:t>Setting</w:t>
      </w:r>
      <w:r>
        <w:rPr>
          <w:color w:val="212121"/>
          <w:spacing w:val="-3"/>
          <w:sz w:val="18"/>
          <w:vertAlign w:val="baseline"/>
        </w:rPr>
        <w:t> </w:t>
      </w:r>
      <w:r>
        <w:rPr>
          <w:color w:val="212121"/>
          <w:sz w:val="18"/>
          <w:vertAlign w:val="baseline"/>
        </w:rPr>
        <w:t>with</w:t>
      </w:r>
      <w:r>
        <w:rPr>
          <w:color w:val="212121"/>
          <w:spacing w:val="-3"/>
          <w:sz w:val="18"/>
          <w:vertAlign w:val="baseline"/>
        </w:rPr>
        <w:t> </w:t>
      </w:r>
      <w:r>
        <w:rPr>
          <w:color w:val="212121"/>
          <w:sz w:val="18"/>
          <w:vertAlign w:val="baseline"/>
        </w:rPr>
        <w:t>Integrated</w:t>
      </w:r>
      <w:r>
        <w:rPr>
          <w:color w:val="212121"/>
          <w:spacing w:val="-3"/>
          <w:sz w:val="18"/>
          <w:vertAlign w:val="baseline"/>
        </w:rPr>
        <w:t> </w:t>
      </w:r>
      <w:r>
        <w:rPr>
          <w:color w:val="212121"/>
          <w:sz w:val="18"/>
          <w:vertAlign w:val="baseline"/>
        </w:rPr>
        <w:t>Gender Affirming Care." </w:t>
      </w:r>
      <w:r>
        <w:rPr>
          <w:i/>
          <w:color w:val="212121"/>
          <w:sz w:val="18"/>
          <w:vertAlign w:val="baseline"/>
        </w:rPr>
        <w:t>Transgender Health </w:t>
      </w:r>
      <w:r>
        <w:rPr>
          <w:color w:val="212121"/>
          <w:sz w:val="18"/>
          <w:vertAlign w:val="baseline"/>
        </w:rPr>
        <w:t>5, no. 2 (2020): 75-79.</w:t>
      </w:r>
    </w:p>
    <w:p>
      <w:pPr>
        <w:spacing w:line="276" w:lineRule="auto" w:before="0"/>
        <w:ind w:left="463" w:right="481" w:firstLine="0"/>
        <w:jc w:val="left"/>
        <w:rPr>
          <w:sz w:val="18"/>
        </w:rPr>
      </w:pPr>
      <w:r>
        <w:rPr>
          <w:sz w:val="18"/>
          <w:vertAlign w:val="superscript"/>
        </w:rPr>
        <w:t>88</w:t>
      </w:r>
      <w:r>
        <w:rPr>
          <w:spacing w:val="-13"/>
          <w:sz w:val="18"/>
          <w:vertAlign w:val="baseline"/>
        </w:rPr>
        <w:t> </w:t>
      </w:r>
      <w:r>
        <w:rPr>
          <w:color w:val="212121"/>
          <w:sz w:val="18"/>
          <w:vertAlign w:val="baseline"/>
        </w:rPr>
        <w:t>Valente,</w:t>
      </w:r>
      <w:r>
        <w:rPr>
          <w:color w:val="212121"/>
          <w:spacing w:val="-5"/>
          <w:sz w:val="18"/>
          <w:vertAlign w:val="baseline"/>
        </w:rPr>
        <w:t> </w:t>
      </w:r>
      <w:r>
        <w:rPr>
          <w:color w:val="212121"/>
          <w:sz w:val="18"/>
          <w:vertAlign w:val="baseline"/>
        </w:rPr>
        <w:t>Pablo</w:t>
      </w:r>
      <w:r>
        <w:rPr>
          <w:color w:val="212121"/>
          <w:spacing w:val="-2"/>
          <w:sz w:val="18"/>
          <w:vertAlign w:val="baseline"/>
        </w:rPr>
        <w:t> </w:t>
      </w:r>
      <w:r>
        <w:rPr>
          <w:color w:val="212121"/>
          <w:sz w:val="18"/>
          <w:vertAlign w:val="baseline"/>
        </w:rPr>
        <w:t>K.,</w:t>
      </w:r>
      <w:r>
        <w:rPr>
          <w:color w:val="212121"/>
          <w:spacing w:val="-3"/>
          <w:sz w:val="18"/>
          <w:vertAlign w:val="baseline"/>
        </w:rPr>
        <w:t> </w:t>
      </w:r>
      <w:r>
        <w:rPr>
          <w:color w:val="212121"/>
          <w:sz w:val="18"/>
          <w:vertAlign w:val="baseline"/>
        </w:rPr>
        <w:t>Jack</w:t>
      </w:r>
      <w:r>
        <w:rPr>
          <w:color w:val="212121"/>
          <w:spacing w:val="-3"/>
          <w:sz w:val="18"/>
          <w:vertAlign w:val="baseline"/>
        </w:rPr>
        <w:t> </w:t>
      </w:r>
      <w:r>
        <w:rPr>
          <w:color w:val="212121"/>
          <w:sz w:val="18"/>
          <w:vertAlign w:val="baseline"/>
        </w:rPr>
        <w:t>C.</w:t>
      </w:r>
      <w:r>
        <w:rPr>
          <w:color w:val="212121"/>
          <w:spacing w:val="-2"/>
          <w:sz w:val="18"/>
          <w:vertAlign w:val="baseline"/>
        </w:rPr>
        <w:t> </w:t>
      </w:r>
      <w:r>
        <w:rPr>
          <w:color w:val="212121"/>
          <w:sz w:val="18"/>
          <w:vertAlign w:val="baseline"/>
        </w:rPr>
        <w:t>Rusley,</w:t>
      </w:r>
      <w:r>
        <w:rPr>
          <w:color w:val="212121"/>
          <w:spacing w:val="-3"/>
          <w:sz w:val="18"/>
          <w:vertAlign w:val="baseline"/>
        </w:rPr>
        <w:t> </w:t>
      </w:r>
      <w:r>
        <w:rPr>
          <w:color w:val="212121"/>
          <w:sz w:val="18"/>
          <w:vertAlign w:val="baseline"/>
        </w:rPr>
        <w:t>Don</w:t>
      </w:r>
      <w:r>
        <w:rPr>
          <w:color w:val="212121"/>
          <w:spacing w:val="-2"/>
          <w:sz w:val="18"/>
          <w:vertAlign w:val="baseline"/>
        </w:rPr>
        <w:t> </w:t>
      </w:r>
      <w:r>
        <w:rPr>
          <w:color w:val="212121"/>
          <w:sz w:val="18"/>
          <w:vertAlign w:val="baseline"/>
        </w:rPr>
        <w:t>Operario,</w:t>
      </w:r>
      <w:r>
        <w:rPr>
          <w:color w:val="212121"/>
          <w:spacing w:val="-2"/>
          <w:sz w:val="18"/>
          <w:vertAlign w:val="baseline"/>
        </w:rPr>
        <w:t> </w:t>
      </w:r>
      <w:r>
        <w:rPr>
          <w:color w:val="212121"/>
          <w:sz w:val="18"/>
          <w:vertAlign w:val="baseline"/>
        </w:rPr>
        <w:t>and</w:t>
      </w:r>
      <w:r>
        <w:rPr>
          <w:color w:val="212121"/>
          <w:spacing w:val="-2"/>
          <w:sz w:val="18"/>
          <w:vertAlign w:val="baseline"/>
        </w:rPr>
        <w:t> </w:t>
      </w:r>
      <w:r>
        <w:rPr>
          <w:color w:val="212121"/>
          <w:sz w:val="18"/>
          <w:vertAlign w:val="baseline"/>
        </w:rPr>
        <w:t>Katie</w:t>
      </w:r>
      <w:r>
        <w:rPr>
          <w:color w:val="212121"/>
          <w:spacing w:val="-2"/>
          <w:sz w:val="18"/>
          <w:vertAlign w:val="baseline"/>
        </w:rPr>
        <w:t> </w:t>
      </w:r>
      <w:r>
        <w:rPr>
          <w:color w:val="212121"/>
          <w:sz w:val="18"/>
          <w:vertAlign w:val="baseline"/>
        </w:rPr>
        <w:t>B.</w:t>
      </w:r>
      <w:r>
        <w:rPr>
          <w:color w:val="212121"/>
          <w:spacing w:val="-3"/>
          <w:sz w:val="18"/>
          <w:vertAlign w:val="baseline"/>
        </w:rPr>
        <w:t> </w:t>
      </w:r>
      <w:r>
        <w:rPr>
          <w:color w:val="212121"/>
          <w:sz w:val="18"/>
          <w:vertAlign w:val="baseline"/>
        </w:rPr>
        <w:t>Biello.</w:t>
      </w:r>
      <w:r>
        <w:rPr>
          <w:color w:val="212121"/>
          <w:spacing w:val="-2"/>
          <w:sz w:val="18"/>
          <w:vertAlign w:val="baseline"/>
        </w:rPr>
        <w:t> </w:t>
      </w:r>
      <w:r>
        <w:rPr>
          <w:color w:val="212121"/>
          <w:sz w:val="18"/>
          <w:vertAlign w:val="baseline"/>
        </w:rPr>
        <w:t>"Readiness</w:t>
      </w:r>
      <w:r>
        <w:rPr>
          <w:color w:val="212121"/>
          <w:spacing w:val="-2"/>
          <w:sz w:val="18"/>
          <w:vertAlign w:val="baseline"/>
        </w:rPr>
        <w:t> </w:t>
      </w:r>
      <w:r>
        <w:rPr>
          <w:color w:val="212121"/>
          <w:sz w:val="18"/>
          <w:vertAlign w:val="baseline"/>
        </w:rPr>
        <w:t>to</w:t>
      </w:r>
      <w:r>
        <w:rPr>
          <w:color w:val="212121"/>
          <w:spacing w:val="-2"/>
          <w:sz w:val="18"/>
          <w:vertAlign w:val="baseline"/>
        </w:rPr>
        <w:t> </w:t>
      </w:r>
      <w:r>
        <w:rPr>
          <w:color w:val="212121"/>
          <w:sz w:val="18"/>
          <w:vertAlign w:val="baseline"/>
        </w:rPr>
        <w:t>Provide</w:t>
      </w:r>
      <w:r>
        <w:rPr>
          <w:color w:val="212121"/>
          <w:spacing w:val="-2"/>
          <w:sz w:val="18"/>
          <w:vertAlign w:val="baseline"/>
        </w:rPr>
        <w:t> </w:t>
      </w:r>
      <w:r>
        <w:rPr>
          <w:color w:val="212121"/>
          <w:sz w:val="18"/>
          <w:vertAlign w:val="baseline"/>
        </w:rPr>
        <w:t>Oral</w:t>
      </w:r>
      <w:r>
        <w:rPr>
          <w:color w:val="212121"/>
          <w:spacing w:val="-3"/>
          <w:sz w:val="18"/>
          <w:vertAlign w:val="baseline"/>
        </w:rPr>
        <w:t> </w:t>
      </w:r>
      <w:r>
        <w:rPr>
          <w:color w:val="212121"/>
          <w:sz w:val="18"/>
          <w:vertAlign w:val="baseline"/>
        </w:rPr>
        <w:t>and</w:t>
      </w:r>
      <w:r>
        <w:rPr>
          <w:color w:val="212121"/>
          <w:spacing w:val="-2"/>
          <w:sz w:val="18"/>
          <w:vertAlign w:val="baseline"/>
        </w:rPr>
        <w:t> </w:t>
      </w:r>
      <w:r>
        <w:rPr>
          <w:color w:val="212121"/>
          <w:sz w:val="18"/>
          <w:vertAlign w:val="baseline"/>
        </w:rPr>
        <w:t>Injectable</w:t>
      </w:r>
      <w:r>
        <w:rPr>
          <w:color w:val="212121"/>
          <w:spacing w:val="-2"/>
          <w:sz w:val="18"/>
          <w:vertAlign w:val="baseline"/>
        </w:rPr>
        <w:t> </w:t>
      </w:r>
      <w:r>
        <w:rPr>
          <w:color w:val="212121"/>
          <w:sz w:val="18"/>
          <w:vertAlign w:val="baseline"/>
        </w:rPr>
        <w:t>PrEP</w:t>
      </w:r>
      <w:r>
        <w:rPr>
          <w:color w:val="212121"/>
          <w:spacing w:val="-2"/>
          <w:sz w:val="18"/>
          <w:vertAlign w:val="baseline"/>
        </w:rPr>
        <w:t> </w:t>
      </w:r>
      <w:r>
        <w:rPr>
          <w:color w:val="212121"/>
          <w:sz w:val="18"/>
          <w:vertAlign w:val="baseline"/>
        </w:rPr>
        <w:t>for Sexual</w:t>
      </w:r>
      <w:r>
        <w:rPr>
          <w:color w:val="212121"/>
          <w:spacing w:val="-1"/>
          <w:sz w:val="18"/>
          <w:vertAlign w:val="baseline"/>
        </w:rPr>
        <w:t> </w:t>
      </w:r>
      <w:r>
        <w:rPr>
          <w:color w:val="212121"/>
          <w:sz w:val="18"/>
          <w:vertAlign w:val="baseline"/>
        </w:rPr>
        <w:t>and</w:t>
      </w:r>
      <w:r>
        <w:rPr>
          <w:color w:val="212121"/>
          <w:spacing w:val="-1"/>
          <w:sz w:val="18"/>
          <w:vertAlign w:val="baseline"/>
        </w:rPr>
        <w:t> </w:t>
      </w:r>
      <w:r>
        <w:rPr>
          <w:color w:val="212121"/>
          <w:sz w:val="18"/>
          <w:vertAlign w:val="baseline"/>
        </w:rPr>
        <w:t>Gender</w:t>
      </w:r>
      <w:r>
        <w:rPr>
          <w:color w:val="212121"/>
          <w:spacing w:val="-1"/>
          <w:sz w:val="18"/>
          <w:vertAlign w:val="baseline"/>
        </w:rPr>
        <w:t> </w:t>
      </w:r>
      <w:r>
        <w:rPr>
          <w:color w:val="212121"/>
          <w:sz w:val="18"/>
          <w:vertAlign w:val="baseline"/>
        </w:rPr>
        <w:t>Minority Youth Among Healthcare Providers and Clinics in the US Northeast." </w:t>
      </w:r>
      <w:r>
        <w:rPr>
          <w:i/>
          <w:color w:val="212121"/>
          <w:sz w:val="18"/>
          <w:vertAlign w:val="baseline"/>
        </w:rPr>
        <w:t>Journal</w:t>
      </w:r>
      <w:r>
        <w:rPr>
          <w:i/>
          <w:color w:val="212121"/>
          <w:spacing w:val="-1"/>
          <w:sz w:val="18"/>
          <w:vertAlign w:val="baseline"/>
        </w:rPr>
        <w:t> </w:t>
      </w:r>
      <w:r>
        <w:rPr>
          <w:i/>
          <w:color w:val="212121"/>
          <w:sz w:val="18"/>
          <w:vertAlign w:val="baseline"/>
        </w:rPr>
        <w:t>of Adolescent</w:t>
      </w:r>
      <w:r>
        <w:rPr>
          <w:i/>
          <w:color w:val="212121"/>
          <w:sz w:val="18"/>
          <w:vertAlign w:val="baseline"/>
        </w:rPr>
        <w:t> Health </w:t>
      </w:r>
      <w:r>
        <w:rPr>
          <w:color w:val="212121"/>
          <w:sz w:val="18"/>
          <w:vertAlign w:val="baseline"/>
        </w:rPr>
        <w:t>(2023). </w:t>
      </w:r>
      <w:r>
        <w:rPr>
          <w:sz w:val="18"/>
          <w:vertAlign w:val="superscript"/>
        </w:rPr>
        <w:t>89</w:t>
      </w:r>
      <w:r>
        <w:rPr>
          <w:spacing w:val="-9"/>
          <w:sz w:val="18"/>
          <w:vertAlign w:val="baseline"/>
        </w:rPr>
        <w:t> </w:t>
      </w:r>
      <w:r>
        <w:rPr>
          <w:sz w:val="18"/>
          <w:vertAlign w:val="baseline"/>
        </w:rPr>
        <w:t>The Trevor Project, “National Survey on LGBTQ Youth Mental Health 2021,” 2021, https:</w:t>
      </w:r>
      <w:hyperlink r:id="rId300">
        <w:r>
          <w:rPr>
            <w:sz w:val="18"/>
            <w:vertAlign w:val="baseline"/>
          </w:rPr>
          <w:t>//www.thetrevorproject.org/survey</w:t>
        </w:r>
      </w:hyperlink>
      <w:r>
        <w:rPr>
          <w:sz w:val="18"/>
          <w:vertAlign w:val="baseline"/>
        </w:rPr>
        <w:t> 2021/?section=Introduction.</w:t>
      </w:r>
    </w:p>
    <w:p>
      <w:pPr>
        <w:spacing w:line="276" w:lineRule="auto" w:before="0"/>
        <w:ind w:left="464" w:right="0" w:hanging="3"/>
        <w:jc w:val="left"/>
        <w:rPr>
          <w:sz w:val="18"/>
        </w:rPr>
      </w:pPr>
      <w:r>
        <w:rPr>
          <w:sz w:val="18"/>
          <w:vertAlign w:val="superscript"/>
        </w:rPr>
        <w:t>90</w:t>
      </w:r>
      <w:r>
        <w:rPr>
          <w:spacing w:val="-13"/>
          <w:sz w:val="18"/>
          <w:vertAlign w:val="baseline"/>
        </w:rPr>
        <w:t> </w:t>
      </w:r>
      <w:r>
        <w:rPr>
          <w:sz w:val="18"/>
          <w:vertAlign w:val="baseline"/>
        </w:rPr>
        <w:t>Andraska,</w:t>
      </w:r>
      <w:r>
        <w:rPr>
          <w:spacing w:val="-5"/>
          <w:sz w:val="18"/>
          <w:vertAlign w:val="baseline"/>
        </w:rPr>
        <w:t> </w:t>
      </w:r>
      <w:r>
        <w:rPr>
          <w:sz w:val="18"/>
          <w:vertAlign w:val="baseline"/>
        </w:rPr>
        <w:t>Elizabeth</w:t>
      </w:r>
      <w:r>
        <w:rPr>
          <w:spacing w:val="-3"/>
          <w:sz w:val="18"/>
          <w:vertAlign w:val="baseline"/>
        </w:rPr>
        <w:t> </w:t>
      </w:r>
      <w:r>
        <w:rPr>
          <w:sz w:val="18"/>
          <w:vertAlign w:val="baseline"/>
        </w:rPr>
        <w:t>Ann,</w:t>
      </w:r>
      <w:r>
        <w:rPr>
          <w:spacing w:val="-4"/>
          <w:sz w:val="18"/>
          <w:vertAlign w:val="baseline"/>
        </w:rPr>
        <w:t> </w:t>
      </w:r>
      <w:r>
        <w:rPr>
          <w:sz w:val="18"/>
          <w:vertAlign w:val="baseline"/>
        </w:rPr>
        <w:t>Olamide</w:t>
      </w:r>
      <w:r>
        <w:rPr>
          <w:spacing w:val="-3"/>
          <w:sz w:val="18"/>
          <w:vertAlign w:val="baseline"/>
        </w:rPr>
        <w:t> </w:t>
      </w:r>
      <w:r>
        <w:rPr>
          <w:sz w:val="18"/>
          <w:vertAlign w:val="baseline"/>
        </w:rPr>
        <w:t>Alabi,</w:t>
      </w:r>
      <w:r>
        <w:rPr>
          <w:spacing w:val="-4"/>
          <w:sz w:val="18"/>
          <w:vertAlign w:val="baseline"/>
        </w:rPr>
        <w:t> </w:t>
      </w:r>
      <w:r>
        <w:rPr>
          <w:sz w:val="18"/>
          <w:vertAlign w:val="baseline"/>
        </w:rPr>
        <w:t>Chelsea</w:t>
      </w:r>
      <w:r>
        <w:rPr>
          <w:spacing w:val="-3"/>
          <w:sz w:val="18"/>
          <w:vertAlign w:val="baseline"/>
        </w:rPr>
        <w:t> </w:t>
      </w:r>
      <w:r>
        <w:rPr>
          <w:sz w:val="18"/>
          <w:vertAlign w:val="baseline"/>
        </w:rPr>
        <w:t>Dorsey,</w:t>
      </w:r>
      <w:r>
        <w:rPr>
          <w:spacing w:val="-4"/>
          <w:sz w:val="18"/>
          <w:vertAlign w:val="baseline"/>
        </w:rPr>
        <w:t> </w:t>
      </w:r>
      <w:r>
        <w:rPr>
          <w:sz w:val="18"/>
          <w:vertAlign w:val="baseline"/>
        </w:rPr>
        <w:t>Young</w:t>
      </w:r>
      <w:r>
        <w:rPr>
          <w:spacing w:val="-3"/>
          <w:sz w:val="18"/>
          <w:vertAlign w:val="baseline"/>
        </w:rPr>
        <w:t> </w:t>
      </w:r>
      <w:r>
        <w:rPr>
          <w:sz w:val="18"/>
          <w:vertAlign w:val="baseline"/>
        </w:rPr>
        <w:t>Erben,</w:t>
      </w:r>
      <w:r>
        <w:rPr>
          <w:spacing w:val="-4"/>
          <w:sz w:val="18"/>
          <w:vertAlign w:val="baseline"/>
        </w:rPr>
        <w:t> </w:t>
      </w:r>
      <w:r>
        <w:rPr>
          <w:sz w:val="18"/>
          <w:vertAlign w:val="baseline"/>
        </w:rPr>
        <w:t>Gabriela</w:t>
      </w:r>
      <w:r>
        <w:rPr>
          <w:spacing w:val="-3"/>
          <w:sz w:val="18"/>
          <w:vertAlign w:val="baseline"/>
        </w:rPr>
        <w:t> </w:t>
      </w:r>
      <w:r>
        <w:rPr>
          <w:sz w:val="18"/>
          <w:vertAlign w:val="baseline"/>
        </w:rPr>
        <w:t>Velazquez,</w:t>
      </w:r>
      <w:r>
        <w:rPr>
          <w:spacing w:val="-4"/>
          <w:sz w:val="18"/>
          <w:vertAlign w:val="baseline"/>
        </w:rPr>
        <w:t> </w:t>
      </w:r>
      <w:r>
        <w:rPr>
          <w:sz w:val="18"/>
          <w:vertAlign w:val="baseline"/>
        </w:rPr>
        <w:t>Camila</w:t>
      </w:r>
      <w:r>
        <w:rPr>
          <w:spacing w:val="-3"/>
          <w:sz w:val="18"/>
          <w:vertAlign w:val="baseline"/>
        </w:rPr>
        <w:t> </w:t>
      </w:r>
      <w:r>
        <w:rPr>
          <w:sz w:val="18"/>
          <w:vertAlign w:val="baseline"/>
        </w:rPr>
        <w:t>Franco-Mesa,</w:t>
      </w:r>
      <w:r>
        <w:rPr>
          <w:spacing w:val="-4"/>
          <w:sz w:val="18"/>
          <w:vertAlign w:val="baseline"/>
        </w:rPr>
        <w:t> </w:t>
      </w:r>
      <w:r>
        <w:rPr>
          <w:sz w:val="18"/>
          <w:vertAlign w:val="baseline"/>
        </w:rPr>
        <w:t>and</w:t>
      </w:r>
      <w:r>
        <w:rPr>
          <w:spacing w:val="-3"/>
          <w:sz w:val="18"/>
          <w:vertAlign w:val="baseline"/>
        </w:rPr>
        <w:t> </w:t>
      </w:r>
      <w:r>
        <w:rPr>
          <w:sz w:val="18"/>
          <w:vertAlign w:val="baseline"/>
        </w:rPr>
        <w:t>Ulka Sachdev. 2021. “Health Care Disparities during the COVID-19 Pandemic.” Seminars in Vascular Surgery 34 (3). </w:t>
      </w:r>
      <w:r>
        <w:rPr>
          <w:spacing w:val="-2"/>
          <w:sz w:val="18"/>
          <w:vertAlign w:val="baseline"/>
        </w:rPr>
        <w:t>https://doi.org/10.1053/j.semvascsurg.2021.08.002.</w:t>
      </w:r>
    </w:p>
    <w:p>
      <w:pPr>
        <w:spacing w:line="276" w:lineRule="auto" w:before="0"/>
        <w:ind w:left="464" w:right="481" w:hanging="3"/>
        <w:jc w:val="left"/>
        <w:rPr>
          <w:sz w:val="18"/>
        </w:rPr>
      </w:pPr>
      <w:r>
        <w:rPr>
          <w:sz w:val="18"/>
          <w:vertAlign w:val="superscript"/>
        </w:rPr>
        <w:t>91</w:t>
      </w:r>
      <w:r>
        <w:rPr>
          <w:spacing w:val="-13"/>
          <w:sz w:val="18"/>
          <w:vertAlign w:val="baseline"/>
        </w:rPr>
        <w:t> </w:t>
      </w:r>
      <w:r>
        <w:rPr>
          <w:sz w:val="18"/>
          <w:vertAlign w:val="baseline"/>
        </w:rPr>
        <w:t>Cameron</w:t>
      </w:r>
      <w:r>
        <w:rPr>
          <w:spacing w:val="-4"/>
          <w:sz w:val="18"/>
          <w:vertAlign w:val="baseline"/>
        </w:rPr>
        <w:t> </w:t>
      </w:r>
      <w:r>
        <w:rPr>
          <w:sz w:val="18"/>
          <w:vertAlign w:val="baseline"/>
        </w:rPr>
        <w:t>K.</w:t>
      </w:r>
      <w:r>
        <w:rPr>
          <w:spacing w:val="-3"/>
          <w:sz w:val="18"/>
          <w:vertAlign w:val="baseline"/>
        </w:rPr>
        <w:t> </w:t>
      </w:r>
      <w:r>
        <w:rPr>
          <w:sz w:val="18"/>
          <w:vertAlign w:val="baseline"/>
        </w:rPr>
        <w:t>Ormiston</w:t>
      </w:r>
      <w:r>
        <w:rPr>
          <w:spacing w:val="-3"/>
          <w:sz w:val="18"/>
          <w:vertAlign w:val="baseline"/>
        </w:rPr>
        <w:t> </w:t>
      </w:r>
      <w:r>
        <w:rPr>
          <w:sz w:val="18"/>
          <w:vertAlign w:val="baseline"/>
        </w:rPr>
        <w:t>and</w:t>
      </w:r>
      <w:r>
        <w:rPr>
          <w:spacing w:val="-3"/>
          <w:sz w:val="18"/>
          <w:vertAlign w:val="baseline"/>
        </w:rPr>
        <w:t> </w:t>
      </w:r>
      <w:r>
        <w:rPr>
          <w:sz w:val="18"/>
          <w:vertAlign w:val="baseline"/>
        </w:rPr>
        <w:t>Faustine</w:t>
      </w:r>
      <w:r>
        <w:rPr>
          <w:spacing w:val="-3"/>
          <w:sz w:val="18"/>
          <w:vertAlign w:val="baseline"/>
        </w:rPr>
        <w:t> </w:t>
      </w:r>
      <w:r>
        <w:rPr>
          <w:sz w:val="18"/>
          <w:vertAlign w:val="baseline"/>
        </w:rPr>
        <w:t>Williams,</w:t>
      </w:r>
      <w:r>
        <w:rPr>
          <w:spacing w:val="-4"/>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sz w:val="18"/>
          <w:vertAlign w:val="baseline"/>
        </w:rPr>
        <w:t>during</w:t>
      </w:r>
      <w:r>
        <w:rPr>
          <w:spacing w:val="-3"/>
          <w:sz w:val="18"/>
          <w:vertAlign w:val="baseline"/>
        </w:rPr>
        <w:t> </w:t>
      </w:r>
      <w:r>
        <w:rPr>
          <w:sz w:val="18"/>
          <w:vertAlign w:val="baseline"/>
        </w:rPr>
        <w:t>COVID-19:</w:t>
      </w:r>
      <w:r>
        <w:rPr>
          <w:spacing w:val="-3"/>
          <w:sz w:val="18"/>
          <w:vertAlign w:val="baseline"/>
        </w:rPr>
        <w:t> </w:t>
      </w:r>
      <w:r>
        <w:rPr>
          <w:sz w:val="18"/>
          <w:vertAlign w:val="baseline"/>
        </w:rPr>
        <w:t>Unmet</w:t>
      </w:r>
      <w:r>
        <w:rPr>
          <w:spacing w:val="-4"/>
          <w:sz w:val="18"/>
          <w:vertAlign w:val="baseline"/>
        </w:rPr>
        <w:t> </w:t>
      </w:r>
      <w:r>
        <w:rPr>
          <w:sz w:val="18"/>
          <w:vertAlign w:val="baseline"/>
        </w:rPr>
        <w:t>Needs</w:t>
      </w:r>
      <w:r>
        <w:rPr>
          <w:spacing w:val="-3"/>
          <w:sz w:val="18"/>
          <w:vertAlign w:val="baseline"/>
        </w:rPr>
        <w:t> </w:t>
      </w:r>
      <w:r>
        <w:rPr>
          <w:sz w:val="18"/>
          <w:vertAlign w:val="baseline"/>
        </w:rPr>
        <w:t>in</w:t>
      </w:r>
      <w:r>
        <w:rPr>
          <w:spacing w:val="-4"/>
          <w:sz w:val="18"/>
          <w:vertAlign w:val="baseline"/>
        </w:rPr>
        <w:t> </w:t>
      </w:r>
      <w:r>
        <w:rPr>
          <w:sz w:val="18"/>
          <w:vertAlign w:val="baseline"/>
        </w:rPr>
        <w:t>Public health and Policy,” The Lancet 399 (2022): 501-503. https://doi.org/10.1016/S0140-6736(21)02872-5.</w:t>
      </w:r>
    </w:p>
    <w:p>
      <w:pPr>
        <w:spacing w:line="276" w:lineRule="auto" w:before="0"/>
        <w:ind w:left="464" w:right="0" w:hanging="4"/>
        <w:jc w:val="left"/>
        <w:rPr>
          <w:sz w:val="18"/>
        </w:rPr>
      </w:pPr>
      <w:r>
        <w:rPr>
          <w:sz w:val="18"/>
          <w:vertAlign w:val="superscript"/>
        </w:rPr>
        <w:t>92</w:t>
      </w:r>
      <w:r>
        <w:rPr>
          <w:spacing w:val="-13"/>
          <w:sz w:val="18"/>
          <w:vertAlign w:val="baseline"/>
        </w:rPr>
        <w:t> </w:t>
      </w:r>
      <w:r>
        <w:rPr>
          <w:sz w:val="18"/>
          <w:vertAlign w:val="baseline"/>
        </w:rPr>
        <w:t>“LGBTQ</w:t>
      </w:r>
      <w:r>
        <w:rPr>
          <w:spacing w:val="-8"/>
          <w:sz w:val="18"/>
          <w:vertAlign w:val="baseline"/>
        </w:rPr>
        <w:t> </w:t>
      </w:r>
      <w:r>
        <w:rPr>
          <w:sz w:val="18"/>
          <w:vertAlign w:val="baseline"/>
        </w:rPr>
        <w:t>Health</w:t>
      </w:r>
      <w:r>
        <w:rPr>
          <w:spacing w:val="-5"/>
          <w:sz w:val="18"/>
          <w:vertAlign w:val="baseline"/>
        </w:rPr>
        <w:t> </w:t>
      </w:r>
      <w:r>
        <w:rPr>
          <w:sz w:val="18"/>
          <w:vertAlign w:val="baseline"/>
        </w:rPr>
        <w:t>Disparities,”</w:t>
      </w:r>
      <w:r>
        <w:rPr>
          <w:spacing w:val="-5"/>
          <w:sz w:val="18"/>
          <w:vertAlign w:val="baseline"/>
        </w:rPr>
        <w:t> </w:t>
      </w:r>
      <w:r>
        <w:rPr>
          <w:sz w:val="18"/>
          <w:vertAlign w:val="baseline"/>
        </w:rPr>
        <w:t>Cigna,</w:t>
      </w:r>
      <w:r>
        <w:rPr>
          <w:spacing w:val="-6"/>
          <w:sz w:val="18"/>
          <w:vertAlign w:val="baseline"/>
        </w:rPr>
        <w:t> </w:t>
      </w:r>
      <w:r>
        <w:rPr>
          <w:sz w:val="18"/>
          <w:vertAlign w:val="baseline"/>
        </w:rPr>
        <w:t>February</w:t>
      </w:r>
      <w:r>
        <w:rPr>
          <w:spacing w:val="-5"/>
          <w:sz w:val="18"/>
          <w:vertAlign w:val="baseline"/>
        </w:rPr>
        <w:t> </w:t>
      </w:r>
      <w:r>
        <w:rPr>
          <w:sz w:val="18"/>
          <w:vertAlign w:val="baseline"/>
        </w:rPr>
        <w:t>2017,</w:t>
      </w:r>
      <w:r>
        <w:rPr>
          <w:spacing w:val="-6"/>
          <w:sz w:val="18"/>
          <w:vertAlign w:val="baseline"/>
        </w:rPr>
        <w:t> </w:t>
      </w:r>
      <w:r>
        <w:rPr>
          <w:sz w:val="18"/>
          <w:vertAlign w:val="baseline"/>
        </w:rPr>
        <w:t>https://</w:t>
      </w:r>
      <w:hyperlink r:id="rId301">
        <w:r>
          <w:rPr>
            <w:color w:val="0000FF"/>
            <w:sz w:val="18"/>
            <w:u w:val="single" w:color="0000FF"/>
            <w:vertAlign w:val="baseline"/>
          </w:rPr>
          <w:t>www.cigna.com/individuals-families/health-</w:t>
        </w:r>
        <w:r>
          <w:rPr>
            <w:color w:val="0000FF"/>
            <w:spacing w:val="-5"/>
            <w:sz w:val="18"/>
            <w:u w:val="single" w:color="0000FF"/>
            <w:vertAlign w:val="baseline"/>
          </w:rPr>
          <w:t> </w:t>
        </w:r>
        <w:r>
          <w:rPr>
            <w:sz w:val="18"/>
            <w:u w:val="none"/>
            <w:vertAlign w:val="baseline"/>
          </w:rPr>
          <w:t>wellness/lgbt</w:t>
        </w:r>
      </w:hyperlink>
      <w:r>
        <w:rPr>
          <w:sz w:val="18"/>
          <w:u w:val="none"/>
          <w:vertAlign w:val="baseline"/>
        </w:rPr>
        <w:t> </w:t>
      </w:r>
      <w:r>
        <w:rPr>
          <w:spacing w:val="-2"/>
          <w:sz w:val="18"/>
          <w:u w:val="none"/>
          <w:vertAlign w:val="baseline"/>
        </w:rPr>
        <w:t>disparities.</w:t>
      </w:r>
    </w:p>
    <w:p>
      <w:pPr>
        <w:spacing w:line="276" w:lineRule="auto" w:before="0"/>
        <w:ind w:left="464" w:right="382" w:hanging="4"/>
        <w:jc w:val="left"/>
        <w:rPr>
          <w:sz w:val="18"/>
        </w:rPr>
      </w:pPr>
      <w:r>
        <w:rPr>
          <w:sz w:val="18"/>
          <w:vertAlign w:val="superscript"/>
        </w:rPr>
        <w:t>93</w:t>
      </w:r>
      <w:r>
        <w:rPr>
          <w:spacing w:val="-7"/>
          <w:sz w:val="18"/>
          <w:vertAlign w:val="baseline"/>
        </w:rPr>
        <w:t> </w:t>
      </w:r>
      <w:r>
        <w:rPr>
          <w:sz w:val="18"/>
          <w:vertAlign w:val="baseline"/>
        </w:rPr>
        <w:t>“People with Certain Medical Conditions,” Center for Disease Control and Prevention, April 29, 2021, https://</w:t>
      </w:r>
      <w:hyperlink r:id="rId302">
        <w:r>
          <w:rPr>
            <w:color w:val="0000FF"/>
            <w:sz w:val="18"/>
            <w:u w:val="single" w:color="0000FF"/>
            <w:vertAlign w:val="baseline"/>
          </w:rPr>
          <w:t>www.cdc.gov/coronavirus/2019-ncov/need-extra-precautions/people-with-medical-conditions.html. </w:t>
        </w:r>
        <w:r>
          <w:rPr>
            <w:sz w:val="18"/>
            <w:u w:val="none"/>
            <w:vertAlign w:val="superscript"/>
          </w:rPr>
          <w:t>94</w:t>
        </w:r>
      </w:hyperlink>
      <w:r>
        <w:rPr>
          <w:sz w:val="18"/>
          <w:u w:val="none"/>
          <w:vertAlign w:val="baseline"/>
        </w:rPr>
        <w:t> M.V. Lee Badgett,</w:t>
      </w:r>
      <w:r>
        <w:rPr>
          <w:spacing w:val="-3"/>
          <w:sz w:val="18"/>
          <w:u w:val="none"/>
          <w:vertAlign w:val="baseline"/>
        </w:rPr>
        <w:t> </w:t>
      </w:r>
      <w:r>
        <w:rPr>
          <w:sz w:val="18"/>
          <w:u w:val="none"/>
          <w:vertAlign w:val="baseline"/>
        </w:rPr>
        <w:t>Soon</w:t>
      </w:r>
      <w:r>
        <w:rPr>
          <w:spacing w:val="-2"/>
          <w:sz w:val="18"/>
          <w:u w:val="none"/>
          <w:vertAlign w:val="baseline"/>
        </w:rPr>
        <w:t> </w:t>
      </w:r>
      <w:r>
        <w:rPr>
          <w:sz w:val="18"/>
          <w:u w:val="none"/>
          <w:vertAlign w:val="baseline"/>
        </w:rPr>
        <w:t>Kyu</w:t>
      </w:r>
      <w:r>
        <w:rPr>
          <w:spacing w:val="-2"/>
          <w:sz w:val="18"/>
          <w:u w:val="none"/>
          <w:vertAlign w:val="baseline"/>
        </w:rPr>
        <w:t> </w:t>
      </w:r>
      <w:r>
        <w:rPr>
          <w:sz w:val="18"/>
          <w:u w:val="none"/>
          <w:vertAlign w:val="baseline"/>
        </w:rPr>
        <w:t>Choi,</w:t>
      </w:r>
      <w:r>
        <w:rPr>
          <w:spacing w:val="-3"/>
          <w:sz w:val="18"/>
          <w:u w:val="none"/>
          <w:vertAlign w:val="baseline"/>
        </w:rPr>
        <w:t> </w:t>
      </w:r>
      <w:r>
        <w:rPr>
          <w:sz w:val="18"/>
          <w:u w:val="none"/>
          <w:vertAlign w:val="baseline"/>
        </w:rPr>
        <w:t>and</w:t>
      </w:r>
      <w:r>
        <w:rPr>
          <w:spacing w:val="-2"/>
          <w:sz w:val="18"/>
          <w:u w:val="none"/>
          <w:vertAlign w:val="baseline"/>
        </w:rPr>
        <w:t> </w:t>
      </w:r>
      <w:r>
        <w:rPr>
          <w:sz w:val="18"/>
          <w:u w:val="none"/>
          <w:vertAlign w:val="baseline"/>
        </w:rPr>
        <w:t>Bianca</w:t>
      </w:r>
      <w:r>
        <w:rPr>
          <w:spacing w:val="-2"/>
          <w:sz w:val="18"/>
          <w:u w:val="none"/>
          <w:vertAlign w:val="baseline"/>
        </w:rPr>
        <w:t> </w:t>
      </w:r>
      <w:r>
        <w:rPr>
          <w:sz w:val="18"/>
          <w:u w:val="none"/>
          <w:vertAlign w:val="baseline"/>
        </w:rPr>
        <w:t>D.M.</w:t>
      </w:r>
      <w:r>
        <w:rPr>
          <w:spacing w:val="-2"/>
          <w:sz w:val="18"/>
          <w:u w:val="none"/>
          <w:vertAlign w:val="baseline"/>
        </w:rPr>
        <w:t> </w:t>
      </w:r>
      <w:r>
        <w:rPr>
          <w:sz w:val="18"/>
          <w:u w:val="none"/>
          <w:vertAlign w:val="baseline"/>
        </w:rPr>
        <w:t>Wilson,</w:t>
      </w:r>
      <w:r>
        <w:rPr>
          <w:spacing w:val="-3"/>
          <w:sz w:val="18"/>
          <w:u w:val="none"/>
          <w:vertAlign w:val="baseline"/>
        </w:rPr>
        <w:t> </w:t>
      </w:r>
      <w:r>
        <w:rPr>
          <w:i/>
          <w:sz w:val="18"/>
          <w:u w:val="none"/>
          <w:vertAlign w:val="baseline"/>
        </w:rPr>
        <w:t>LGBT</w:t>
      </w:r>
      <w:r>
        <w:rPr>
          <w:i/>
          <w:spacing w:val="-2"/>
          <w:sz w:val="18"/>
          <w:u w:val="none"/>
          <w:vertAlign w:val="baseline"/>
        </w:rPr>
        <w:t> </w:t>
      </w:r>
      <w:r>
        <w:rPr>
          <w:i/>
          <w:sz w:val="18"/>
          <w:u w:val="none"/>
          <w:vertAlign w:val="baseline"/>
        </w:rPr>
        <w:t>Poverty</w:t>
      </w:r>
      <w:r>
        <w:rPr>
          <w:i/>
          <w:spacing w:val="-2"/>
          <w:sz w:val="18"/>
          <w:u w:val="none"/>
          <w:vertAlign w:val="baseline"/>
        </w:rPr>
        <w:t> </w:t>
      </w:r>
      <w:r>
        <w:rPr>
          <w:i/>
          <w:sz w:val="18"/>
          <w:u w:val="none"/>
          <w:vertAlign w:val="baseline"/>
        </w:rPr>
        <w:t>in</w:t>
      </w:r>
      <w:r>
        <w:rPr>
          <w:i/>
          <w:spacing w:val="-3"/>
          <w:sz w:val="18"/>
          <w:u w:val="none"/>
          <w:vertAlign w:val="baseline"/>
        </w:rPr>
        <w:t> </w:t>
      </w:r>
      <w:r>
        <w:rPr>
          <w:i/>
          <w:sz w:val="18"/>
          <w:u w:val="none"/>
          <w:vertAlign w:val="baseline"/>
        </w:rPr>
        <w:t>the</w:t>
      </w:r>
      <w:r>
        <w:rPr>
          <w:i/>
          <w:spacing w:val="-2"/>
          <w:sz w:val="18"/>
          <w:u w:val="none"/>
          <w:vertAlign w:val="baseline"/>
        </w:rPr>
        <w:t> </w:t>
      </w:r>
      <w:r>
        <w:rPr>
          <w:i/>
          <w:sz w:val="18"/>
          <w:u w:val="none"/>
          <w:vertAlign w:val="baseline"/>
        </w:rPr>
        <w:t>United</w:t>
      </w:r>
      <w:r>
        <w:rPr>
          <w:i/>
          <w:spacing w:val="-3"/>
          <w:sz w:val="18"/>
          <w:u w:val="none"/>
          <w:vertAlign w:val="baseline"/>
        </w:rPr>
        <w:t> </w:t>
      </w:r>
      <w:r>
        <w:rPr>
          <w:i/>
          <w:sz w:val="18"/>
          <w:u w:val="none"/>
          <w:vertAlign w:val="baseline"/>
        </w:rPr>
        <w:t>States:</w:t>
      </w:r>
      <w:r>
        <w:rPr>
          <w:i/>
          <w:spacing w:val="-2"/>
          <w:sz w:val="18"/>
          <w:u w:val="none"/>
          <w:vertAlign w:val="baseline"/>
        </w:rPr>
        <w:t> </w:t>
      </w:r>
      <w:r>
        <w:rPr>
          <w:i/>
          <w:sz w:val="18"/>
          <w:u w:val="none"/>
          <w:vertAlign w:val="baseline"/>
        </w:rPr>
        <w:t>A</w:t>
      </w:r>
      <w:r>
        <w:rPr>
          <w:i/>
          <w:spacing w:val="-2"/>
          <w:sz w:val="18"/>
          <w:u w:val="none"/>
          <w:vertAlign w:val="baseline"/>
        </w:rPr>
        <w:t> </w:t>
      </w:r>
      <w:r>
        <w:rPr>
          <w:i/>
          <w:sz w:val="18"/>
          <w:u w:val="none"/>
          <w:vertAlign w:val="baseline"/>
        </w:rPr>
        <w:t>Study</w:t>
      </w:r>
      <w:r>
        <w:rPr>
          <w:i/>
          <w:spacing w:val="-2"/>
          <w:sz w:val="18"/>
          <w:u w:val="none"/>
          <w:vertAlign w:val="baseline"/>
        </w:rPr>
        <w:t> </w:t>
      </w:r>
      <w:r>
        <w:rPr>
          <w:i/>
          <w:sz w:val="18"/>
          <w:u w:val="none"/>
          <w:vertAlign w:val="baseline"/>
        </w:rPr>
        <w:t>of</w:t>
      </w:r>
      <w:r>
        <w:rPr>
          <w:i/>
          <w:spacing w:val="-2"/>
          <w:sz w:val="18"/>
          <w:u w:val="none"/>
          <w:vertAlign w:val="baseline"/>
        </w:rPr>
        <w:t> </w:t>
      </w:r>
      <w:r>
        <w:rPr>
          <w:i/>
          <w:sz w:val="18"/>
          <w:u w:val="none"/>
          <w:vertAlign w:val="baseline"/>
        </w:rPr>
        <w:t>Differences</w:t>
      </w:r>
      <w:r>
        <w:rPr>
          <w:i/>
          <w:spacing w:val="-3"/>
          <w:sz w:val="18"/>
          <w:u w:val="none"/>
          <w:vertAlign w:val="baseline"/>
        </w:rPr>
        <w:t> </w:t>
      </w:r>
      <w:r>
        <w:rPr>
          <w:i/>
          <w:sz w:val="18"/>
          <w:u w:val="none"/>
          <w:vertAlign w:val="baseline"/>
        </w:rPr>
        <w:t>between</w:t>
      </w:r>
      <w:r>
        <w:rPr>
          <w:i/>
          <w:spacing w:val="-3"/>
          <w:sz w:val="18"/>
          <w:u w:val="none"/>
          <w:vertAlign w:val="baseline"/>
        </w:rPr>
        <w:t> </w:t>
      </w:r>
      <w:r>
        <w:rPr>
          <w:i/>
          <w:sz w:val="18"/>
          <w:u w:val="none"/>
          <w:vertAlign w:val="baseline"/>
        </w:rPr>
        <w:t>Sexual</w:t>
      </w:r>
      <w:r>
        <w:rPr>
          <w:i/>
          <w:sz w:val="18"/>
          <w:u w:val="none"/>
          <w:vertAlign w:val="baseline"/>
        </w:rPr>
        <w:t> Orientation and Gender Identify Groups </w:t>
      </w:r>
      <w:r>
        <w:rPr>
          <w:sz w:val="18"/>
          <w:u w:val="none"/>
          <w:vertAlign w:val="baseline"/>
        </w:rPr>
        <w:t>(Los Angeles: Williams Institute at UCLA School of Law, 2019), </w:t>
      </w:r>
      <w:r>
        <w:rPr>
          <w:color w:val="0000FF"/>
          <w:spacing w:val="-2"/>
          <w:sz w:val="18"/>
          <w:u w:val="single" w:color="0000FF"/>
          <w:vertAlign w:val="baseline"/>
        </w:rPr>
        <w:t>https://williamsinstitute.law.ucla.edu/wp-content/uploads/National-LGBT-Poverty-Oct-2019.pdf</w:t>
      </w:r>
      <w:r>
        <w:rPr>
          <w:spacing w:val="-2"/>
          <w:sz w:val="18"/>
          <w:u w:val="none"/>
          <w:vertAlign w:val="baseline"/>
        </w:rPr>
        <w:t>.</w:t>
      </w:r>
    </w:p>
    <w:p>
      <w:pPr>
        <w:spacing w:after="0" w:line="276" w:lineRule="auto"/>
        <w:jc w:val="left"/>
        <w:rPr>
          <w:sz w:val="18"/>
        </w:rPr>
        <w:sectPr>
          <w:pgSz w:w="12240" w:h="15840"/>
          <w:pgMar w:header="721" w:footer="1061" w:top="1360" w:bottom="1260" w:left="1120" w:right="1340"/>
        </w:sectPr>
      </w:pPr>
    </w:p>
    <w:p>
      <w:pPr>
        <w:pStyle w:val="BodyText"/>
        <w:rPr>
          <w:sz w:val="34"/>
        </w:rPr>
      </w:pPr>
    </w:p>
    <w:p>
      <w:pPr>
        <w:pStyle w:val="BodyText"/>
        <w:spacing w:before="243"/>
        <w:rPr>
          <w:sz w:val="34"/>
        </w:rPr>
      </w:pPr>
    </w:p>
    <w:p>
      <w:pPr>
        <w:spacing w:line="359" w:lineRule="exact" w:before="1"/>
        <w:ind w:left="494" w:right="0" w:firstLine="0"/>
        <w:jc w:val="left"/>
        <w:rPr>
          <w:sz w:val="34"/>
        </w:rPr>
      </w:pP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1"/>
        <w:spacing w:line="187" w:lineRule="auto"/>
        <w:ind w:right="2207"/>
      </w:pPr>
      <w:r>
        <w:rPr>
          <w:color w:val="FFFFFF"/>
          <w:spacing w:val="-2"/>
          <w:w w:val="90"/>
        </w:rPr>
        <w:t>PEDIATRIC </w:t>
      </w:r>
      <w:r>
        <w:rPr>
          <w:color w:val="FFFFFF"/>
          <w:spacing w:val="-28"/>
        </w:rPr>
        <w:t>HEALTH</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5"/>
        <w:rPr>
          <w:rFonts w:ascii="Arial Black"/>
          <w:sz w:val="20"/>
        </w:rPr>
      </w:pPr>
    </w:p>
    <w:p>
      <w:pPr>
        <w:spacing w:after="0"/>
        <w:rPr>
          <w:rFonts w:ascii="Arial Black"/>
          <w:sz w:val="20"/>
        </w:rPr>
        <w:sectPr>
          <w:headerReference w:type="default" r:id="rId303"/>
          <w:footerReference w:type="default" r:id="rId304"/>
          <w:pgSz w:w="12240" w:h="15840"/>
          <w:pgMar w:header="0" w:footer="0" w:top="0" w:bottom="280" w:left="1100" w:right="340"/>
        </w:sectPr>
      </w:pPr>
    </w:p>
    <w:p>
      <w:pPr>
        <w:pStyle w:val="Heading9"/>
        <w:ind w:left="143"/>
        <w:rPr>
          <w:i/>
        </w:rPr>
      </w:pPr>
      <w:r>
        <w:rPr>
          <w:i/>
          <w:spacing w:val="11"/>
          <w:w w:val="125"/>
        </w:rPr>
        <w:t>ABOUT</w:t>
      </w:r>
    </w:p>
    <w:p>
      <w:pPr>
        <w:spacing w:line="271" w:lineRule="auto" w:before="40"/>
        <w:ind w:left="151" w:right="38" w:firstLine="0"/>
        <w:jc w:val="both"/>
        <w:rPr>
          <w:rFonts w:ascii="Georgia"/>
          <w:sz w:val="20"/>
        </w:rPr>
      </w:pPr>
      <w:r>
        <w:rPr>
          <w:rFonts w:ascii="Georgia"/>
          <w:sz w:val="20"/>
        </w:rPr>
        <w:t>The history of LGBTQ pediatric health is plagued by stigma, harm, and discrimination. Across the Commonwealth, LGBTQ youth continue to face numerous challenges in accessing quality, culturally competent healthcare, including a lack of affordable</w:t>
      </w:r>
      <w:r>
        <w:rPr>
          <w:rFonts w:ascii="Georgia"/>
          <w:spacing w:val="40"/>
          <w:sz w:val="20"/>
        </w:rPr>
        <w:t> </w:t>
      </w:r>
      <w:r>
        <w:rPr>
          <w:rFonts w:ascii="Georgia"/>
          <w:sz w:val="20"/>
        </w:rPr>
        <w:t>and inclusive services.</w:t>
      </w:r>
    </w:p>
    <w:p>
      <w:pPr>
        <w:pStyle w:val="BodyText"/>
        <w:spacing w:before="29"/>
        <w:rPr>
          <w:rFonts w:ascii="Georgia"/>
          <w:sz w:val="20"/>
        </w:rPr>
      </w:pPr>
    </w:p>
    <w:p>
      <w:pPr>
        <w:spacing w:line="271" w:lineRule="auto" w:before="1"/>
        <w:ind w:left="151" w:right="38" w:firstLine="0"/>
        <w:jc w:val="both"/>
        <w:rPr>
          <w:rFonts w:ascii="Georgia"/>
          <w:sz w:val="20"/>
        </w:rPr>
      </w:pPr>
      <w:r>
        <w:rPr/>
        <mc:AlternateContent>
          <mc:Choice Requires="wps">
            <w:drawing>
              <wp:anchor distT="0" distB="0" distL="0" distR="0" allowOverlap="1" layoutInCell="1" locked="0" behindDoc="0" simplePos="0" relativeHeight="15774720">
                <wp:simplePos x="0" y="0"/>
                <wp:positionH relativeFrom="page">
                  <wp:posOffset>655211</wp:posOffset>
                </wp:positionH>
                <wp:positionV relativeFrom="paragraph">
                  <wp:posOffset>1478570</wp:posOffset>
                </wp:positionV>
                <wp:extent cx="3554729" cy="311340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3554729" cy="3113405"/>
                          <a:chExt cx="3554729" cy="3113405"/>
                        </a:xfrm>
                      </wpg:grpSpPr>
                      <pic:pic>
                        <pic:nvPicPr>
                          <pic:cNvPr id="270" name="Image 270"/>
                          <pic:cNvPicPr/>
                        </pic:nvPicPr>
                        <pic:blipFill>
                          <a:blip r:embed="rId305" cstate="print"/>
                          <a:stretch>
                            <a:fillRect/>
                          </a:stretch>
                        </pic:blipFill>
                        <pic:spPr>
                          <a:xfrm>
                            <a:off x="0" y="0"/>
                            <a:ext cx="3554512" cy="3112999"/>
                          </a:xfrm>
                          <a:prstGeom prst="rect">
                            <a:avLst/>
                          </a:prstGeom>
                        </pic:spPr>
                      </pic:pic>
                      <wps:wsp>
                        <wps:cNvPr id="271" name="Textbox 271"/>
                        <wps:cNvSpPr txBox="1"/>
                        <wps:spPr>
                          <a:xfrm>
                            <a:off x="121800" y="86387"/>
                            <a:ext cx="3159760" cy="1659889"/>
                          </a:xfrm>
                          <a:prstGeom prst="rect">
                            <a:avLst/>
                          </a:prstGeom>
                        </wps:spPr>
                        <wps:txbx>
                          <w:txbxContent>
                            <w:p>
                              <w:pPr>
                                <w:spacing w:before="26"/>
                                <w:ind w:left="20" w:right="0" w:firstLine="0"/>
                                <w:jc w:val="left"/>
                                <w:rPr>
                                  <w:b/>
                                  <w:i/>
                                  <w:sz w:val="34"/>
                                </w:rPr>
                              </w:pPr>
                              <w:r>
                                <w:rPr>
                                  <w:b/>
                                  <w:i/>
                                  <w:spacing w:val="13"/>
                                  <w:w w:val="125"/>
                                  <w:sz w:val="34"/>
                                </w:rPr>
                                <w:t>RECOMMENDATIONS</w:t>
                              </w:r>
                            </w:p>
                            <w:p>
                              <w:pPr>
                                <w:spacing w:line="276" w:lineRule="auto" w:before="128"/>
                                <w:ind w:left="723" w:right="87" w:firstLine="0"/>
                                <w:jc w:val="both"/>
                                <w:rPr>
                                  <w:rFonts w:ascii="Georgia"/>
                                  <w:sz w:val="18"/>
                                </w:rPr>
                              </w:pPr>
                              <w:r>
                                <w:rPr>
                                  <w:rFonts w:ascii="Georgia"/>
                                  <w:w w:val="105"/>
                                  <w:sz w:val="18"/>
                                </w:rPr>
                                <w:t>Invest in access to culturally competent LGBTQ healthcare</w:t>
                              </w:r>
                              <w:r>
                                <w:rPr>
                                  <w:rFonts w:ascii="Georgia"/>
                                  <w:spacing w:val="-12"/>
                                  <w:w w:val="105"/>
                                  <w:sz w:val="18"/>
                                </w:rPr>
                                <w:t> </w:t>
                              </w:r>
                              <w:r>
                                <w:rPr>
                                  <w:rFonts w:ascii="Georgia"/>
                                  <w:w w:val="105"/>
                                  <w:sz w:val="18"/>
                                </w:rPr>
                                <w:t>in</w:t>
                              </w:r>
                              <w:r>
                                <w:rPr>
                                  <w:rFonts w:ascii="Georgia"/>
                                  <w:spacing w:val="-11"/>
                                  <w:w w:val="105"/>
                                  <w:sz w:val="18"/>
                                </w:rPr>
                                <w:t> </w:t>
                              </w:r>
                              <w:r>
                                <w:rPr>
                                  <w:rFonts w:ascii="Georgia"/>
                                  <w:w w:val="105"/>
                                  <w:sz w:val="18"/>
                                </w:rPr>
                                <w:t>rural</w:t>
                              </w:r>
                              <w:r>
                                <w:rPr>
                                  <w:rFonts w:ascii="Georgia"/>
                                  <w:spacing w:val="-11"/>
                                  <w:w w:val="105"/>
                                  <w:sz w:val="18"/>
                                </w:rPr>
                                <w:t> </w:t>
                              </w:r>
                              <w:r>
                                <w:rPr>
                                  <w:rFonts w:ascii="Georgia"/>
                                  <w:w w:val="105"/>
                                  <w:sz w:val="18"/>
                                </w:rPr>
                                <w:t>and</w:t>
                              </w:r>
                              <w:r>
                                <w:rPr>
                                  <w:rFonts w:ascii="Georgia"/>
                                  <w:spacing w:val="-11"/>
                                  <w:w w:val="105"/>
                                  <w:sz w:val="18"/>
                                </w:rPr>
                                <w:t> </w:t>
                              </w:r>
                              <w:r>
                                <w:rPr>
                                  <w:rFonts w:ascii="Georgia"/>
                                  <w:w w:val="105"/>
                                  <w:sz w:val="18"/>
                                </w:rPr>
                                <w:t>underserved</w:t>
                              </w:r>
                              <w:r>
                                <w:rPr>
                                  <w:rFonts w:ascii="Georgia"/>
                                  <w:spacing w:val="-11"/>
                                  <w:w w:val="105"/>
                                  <w:sz w:val="18"/>
                                </w:rPr>
                                <w:t> </w:t>
                              </w:r>
                              <w:r>
                                <w:rPr>
                                  <w:rFonts w:ascii="Georgia"/>
                                  <w:spacing w:val="-2"/>
                                  <w:w w:val="105"/>
                                  <w:sz w:val="18"/>
                                </w:rPr>
                                <w:t>communities.</w:t>
                              </w:r>
                            </w:p>
                            <w:p>
                              <w:pPr>
                                <w:spacing w:line="240" w:lineRule="auto" w:before="10"/>
                                <w:rPr>
                                  <w:rFonts w:ascii="Georgia"/>
                                  <w:sz w:val="18"/>
                                </w:rPr>
                              </w:pPr>
                            </w:p>
                            <w:p>
                              <w:pPr>
                                <w:spacing w:line="276" w:lineRule="auto" w:before="0"/>
                                <w:ind w:left="723" w:right="83" w:firstLine="0"/>
                                <w:jc w:val="both"/>
                                <w:rPr>
                                  <w:rFonts w:ascii="Georgia"/>
                                  <w:sz w:val="18"/>
                                </w:rPr>
                              </w:pPr>
                              <w:r>
                                <w:rPr>
                                  <w:rFonts w:ascii="Georgia"/>
                                  <w:w w:val="105"/>
                                  <w:sz w:val="18"/>
                                </w:rPr>
                                <w:t>Improve</w:t>
                              </w:r>
                              <w:r>
                                <w:rPr>
                                  <w:rFonts w:ascii="Georgia"/>
                                  <w:spacing w:val="-5"/>
                                  <w:w w:val="105"/>
                                  <w:sz w:val="18"/>
                                </w:rPr>
                                <w:t> </w:t>
                              </w:r>
                              <w:r>
                                <w:rPr>
                                  <w:rFonts w:ascii="Georgia"/>
                                  <w:w w:val="105"/>
                                  <w:sz w:val="18"/>
                                </w:rPr>
                                <w:t>research</w:t>
                              </w:r>
                              <w:r>
                                <w:rPr>
                                  <w:rFonts w:ascii="Georgia"/>
                                  <w:spacing w:val="-5"/>
                                  <w:w w:val="105"/>
                                  <w:sz w:val="18"/>
                                </w:rPr>
                                <w:t> </w:t>
                              </w:r>
                              <w:r>
                                <w:rPr>
                                  <w:rFonts w:ascii="Georgia"/>
                                  <w:w w:val="105"/>
                                  <w:sz w:val="18"/>
                                </w:rPr>
                                <w:t>on</w:t>
                              </w:r>
                              <w:r>
                                <w:rPr>
                                  <w:rFonts w:ascii="Georgia"/>
                                  <w:spacing w:val="-5"/>
                                  <w:w w:val="105"/>
                                  <w:sz w:val="18"/>
                                </w:rPr>
                                <w:t> </w:t>
                              </w:r>
                              <w:r>
                                <w:rPr>
                                  <w:rFonts w:ascii="Georgia"/>
                                  <w:w w:val="105"/>
                                  <w:sz w:val="18"/>
                                </w:rPr>
                                <w:t>intersex</w:t>
                              </w:r>
                              <w:r>
                                <w:rPr>
                                  <w:rFonts w:ascii="Georgia"/>
                                  <w:spacing w:val="-5"/>
                                  <w:w w:val="105"/>
                                  <w:sz w:val="18"/>
                                </w:rPr>
                                <w:t> </w:t>
                              </w:r>
                              <w:r>
                                <w:rPr>
                                  <w:rFonts w:ascii="Georgia"/>
                                  <w:w w:val="105"/>
                                  <w:sz w:val="18"/>
                                </w:rPr>
                                <w:t>youth</w:t>
                              </w:r>
                              <w:r>
                                <w:rPr>
                                  <w:rFonts w:ascii="Georgia"/>
                                  <w:spacing w:val="-5"/>
                                  <w:w w:val="105"/>
                                  <w:sz w:val="18"/>
                                </w:rPr>
                                <w:t> </w:t>
                              </w:r>
                              <w:r>
                                <w:rPr>
                                  <w:rFonts w:ascii="Georgia"/>
                                  <w:w w:val="105"/>
                                  <w:sz w:val="18"/>
                                </w:rPr>
                                <w:t>communities, and</w:t>
                              </w:r>
                              <w:r>
                                <w:rPr>
                                  <w:rFonts w:ascii="Georgia"/>
                                  <w:spacing w:val="-12"/>
                                  <w:w w:val="105"/>
                                  <w:sz w:val="18"/>
                                </w:rPr>
                                <w:t> </w:t>
                              </w:r>
                              <w:r>
                                <w:rPr>
                                  <w:rFonts w:ascii="Georgia"/>
                                  <w:w w:val="105"/>
                                  <w:sz w:val="18"/>
                                </w:rPr>
                                <w:t>prohibit</w:t>
                              </w:r>
                              <w:r>
                                <w:rPr>
                                  <w:rFonts w:ascii="Georgia"/>
                                  <w:spacing w:val="-11"/>
                                  <w:w w:val="105"/>
                                  <w:sz w:val="18"/>
                                </w:rPr>
                                <w:t> </w:t>
                              </w:r>
                              <w:r>
                                <w:rPr>
                                  <w:rFonts w:ascii="Georgia"/>
                                  <w:w w:val="105"/>
                                  <w:sz w:val="18"/>
                                </w:rPr>
                                <w:t>non-consensual</w:t>
                              </w:r>
                              <w:r>
                                <w:rPr>
                                  <w:rFonts w:ascii="Georgia"/>
                                  <w:spacing w:val="-12"/>
                                  <w:w w:val="105"/>
                                  <w:sz w:val="18"/>
                                </w:rPr>
                                <w:t> </w:t>
                              </w:r>
                              <w:r>
                                <w:rPr>
                                  <w:rFonts w:ascii="Georgia"/>
                                  <w:w w:val="105"/>
                                  <w:sz w:val="18"/>
                                </w:rPr>
                                <w:t>unnecessary</w:t>
                              </w:r>
                              <w:r>
                                <w:rPr>
                                  <w:rFonts w:ascii="Georgia"/>
                                  <w:spacing w:val="-11"/>
                                  <w:w w:val="105"/>
                                  <w:sz w:val="18"/>
                                </w:rPr>
                                <w:t> </w:t>
                              </w:r>
                              <w:r>
                                <w:rPr>
                                  <w:rFonts w:ascii="Georgia"/>
                                  <w:w w:val="105"/>
                                  <w:sz w:val="18"/>
                                </w:rPr>
                                <w:t>medical interventions on minors.</w:t>
                              </w:r>
                            </w:p>
                            <w:p>
                              <w:pPr>
                                <w:spacing w:line="276" w:lineRule="auto" w:before="184"/>
                                <w:ind w:left="723" w:right="0" w:firstLine="0"/>
                                <w:jc w:val="left"/>
                                <w:rPr>
                                  <w:rFonts w:ascii="Georgia"/>
                                  <w:sz w:val="18"/>
                                </w:rPr>
                              </w:pPr>
                              <w:r>
                                <w:rPr>
                                  <w:rFonts w:ascii="Georgia"/>
                                  <w:w w:val="105"/>
                                  <w:sz w:val="18"/>
                                </w:rPr>
                                <w:t>Expand</w:t>
                              </w:r>
                              <w:r>
                                <w:rPr>
                                  <w:rFonts w:ascii="Georgia"/>
                                  <w:spacing w:val="-12"/>
                                  <w:w w:val="105"/>
                                  <w:sz w:val="18"/>
                                </w:rPr>
                                <w:t> </w:t>
                              </w:r>
                              <w:r>
                                <w:rPr>
                                  <w:rFonts w:ascii="Georgia"/>
                                  <w:w w:val="105"/>
                                  <w:sz w:val="18"/>
                                </w:rPr>
                                <w:t>coverage</w:t>
                              </w:r>
                              <w:r>
                                <w:rPr>
                                  <w:rFonts w:ascii="Georgia"/>
                                  <w:spacing w:val="-11"/>
                                  <w:w w:val="105"/>
                                  <w:sz w:val="18"/>
                                </w:rPr>
                                <w:t> </w:t>
                              </w:r>
                              <w:r>
                                <w:rPr>
                                  <w:rFonts w:ascii="Georgia"/>
                                  <w:w w:val="105"/>
                                  <w:sz w:val="18"/>
                                </w:rPr>
                                <w:t>of</w:t>
                              </w:r>
                              <w:r>
                                <w:rPr>
                                  <w:rFonts w:ascii="Georgia"/>
                                  <w:spacing w:val="-12"/>
                                  <w:w w:val="105"/>
                                  <w:sz w:val="18"/>
                                </w:rPr>
                                <w:t> </w:t>
                              </w:r>
                              <w:r>
                                <w:rPr>
                                  <w:rFonts w:ascii="Georgia"/>
                                  <w:w w:val="105"/>
                                  <w:sz w:val="18"/>
                                </w:rPr>
                                <w:t>gender-affirming</w:t>
                              </w:r>
                              <w:r>
                                <w:rPr>
                                  <w:rFonts w:ascii="Georgia"/>
                                  <w:spacing w:val="-11"/>
                                  <w:w w:val="105"/>
                                  <w:sz w:val="18"/>
                                </w:rPr>
                                <w:t> </w:t>
                              </w:r>
                              <w:r>
                                <w:rPr>
                                  <w:rFonts w:ascii="Georgia"/>
                                  <w:w w:val="105"/>
                                  <w:sz w:val="18"/>
                                </w:rPr>
                                <w:t>care</w:t>
                              </w:r>
                              <w:r>
                                <w:rPr>
                                  <w:rFonts w:ascii="Georgia"/>
                                  <w:spacing w:val="-11"/>
                                  <w:w w:val="105"/>
                                  <w:sz w:val="18"/>
                                </w:rPr>
                                <w:t> </w:t>
                              </w:r>
                              <w:r>
                                <w:rPr>
                                  <w:rFonts w:ascii="Georgia"/>
                                  <w:w w:val="105"/>
                                  <w:sz w:val="18"/>
                                </w:rPr>
                                <w:t>and increase reimbursement to incentivize care.</w:t>
                              </w:r>
                            </w:p>
                          </w:txbxContent>
                        </wps:txbx>
                        <wps:bodyPr wrap="square" lIns="0" tIns="0" rIns="0" bIns="0" rtlCol="0">
                          <a:noAutofit/>
                        </wps:bodyPr>
                      </wps:wsp>
                      <wps:wsp>
                        <wps:cNvPr id="272" name="Textbox 272"/>
                        <wps:cNvSpPr txBox="1"/>
                        <wps:spPr>
                          <a:xfrm>
                            <a:off x="115102" y="2103026"/>
                            <a:ext cx="3190875" cy="639445"/>
                          </a:xfrm>
                          <a:prstGeom prst="rect">
                            <a:avLst/>
                          </a:prstGeom>
                        </wps:spPr>
                        <wps:txbx>
                          <w:txbxContent>
                            <w:p>
                              <w:pPr>
                                <w:spacing w:before="26"/>
                                <w:ind w:left="20" w:right="0" w:firstLine="0"/>
                                <w:jc w:val="left"/>
                                <w:rPr>
                                  <w:b/>
                                  <w:i/>
                                  <w:sz w:val="34"/>
                                </w:rPr>
                              </w:pPr>
                              <w:r>
                                <w:rPr>
                                  <w:b/>
                                  <w:i/>
                                  <w:spacing w:val="13"/>
                                  <w:w w:val="130"/>
                                  <w:sz w:val="34"/>
                                </w:rPr>
                                <w:t>LEGISLATION</w:t>
                              </w:r>
                            </w:p>
                            <w:p>
                              <w:pPr>
                                <w:spacing w:before="292"/>
                                <w:ind w:left="30" w:right="0" w:firstLine="0"/>
                                <w:jc w:val="left"/>
                                <w:rPr>
                                  <w:rFonts w:ascii="Georgia"/>
                                  <w:sz w:val="22"/>
                                </w:rPr>
                              </w:pPr>
                              <w:r>
                                <w:rPr>
                                  <w:rFonts w:ascii="Georgia"/>
                                  <w:spacing w:val="-2"/>
                                  <w:sz w:val="22"/>
                                </w:rPr>
                                <w:t>S.</w:t>
                              </w:r>
                              <w:r>
                                <w:rPr>
                                  <w:rFonts w:ascii="Georgia"/>
                                  <w:spacing w:val="-5"/>
                                  <w:sz w:val="22"/>
                                </w:rPr>
                                <w:t> </w:t>
                              </w:r>
                              <w:r>
                                <w:rPr>
                                  <w:rFonts w:ascii="Georgia"/>
                                  <w:spacing w:val="-2"/>
                                  <w:sz w:val="22"/>
                                </w:rPr>
                                <w:t>596/H.1037:</w:t>
                              </w:r>
                              <w:r>
                                <w:rPr>
                                  <w:rFonts w:ascii="Georgia"/>
                                  <w:spacing w:val="-5"/>
                                  <w:sz w:val="22"/>
                                </w:rPr>
                                <w:t> </w:t>
                              </w:r>
                              <w:r>
                                <w:rPr>
                                  <w:rFonts w:ascii="Georgia"/>
                                  <w:spacing w:val="-2"/>
                                  <w:sz w:val="22"/>
                                </w:rPr>
                                <w:t>Trans-Inclusive</w:t>
                              </w:r>
                              <w:r>
                                <w:rPr>
                                  <w:rFonts w:ascii="Georgia"/>
                                  <w:spacing w:val="-5"/>
                                  <w:sz w:val="22"/>
                                </w:rPr>
                                <w:t> </w:t>
                              </w:r>
                              <w:r>
                                <w:rPr>
                                  <w:rFonts w:ascii="Georgia"/>
                                  <w:spacing w:val="-2"/>
                                  <w:sz w:val="22"/>
                                </w:rPr>
                                <w:t>Health</w:t>
                              </w:r>
                              <w:r>
                                <w:rPr>
                                  <w:rFonts w:ascii="Georgia"/>
                                  <w:spacing w:val="-5"/>
                                  <w:sz w:val="22"/>
                                </w:rPr>
                                <w:t> </w:t>
                              </w:r>
                              <w:r>
                                <w:rPr>
                                  <w:rFonts w:ascii="Georgia"/>
                                  <w:spacing w:val="-2"/>
                                  <w:sz w:val="22"/>
                                </w:rPr>
                                <w:t>Care</w:t>
                              </w:r>
                              <w:r>
                                <w:rPr>
                                  <w:rFonts w:ascii="Georgia"/>
                                  <w:spacing w:val="-5"/>
                                  <w:sz w:val="22"/>
                                </w:rPr>
                                <w:t> </w:t>
                              </w:r>
                              <w:r>
                                <w:rPr>
                                  <w:rFonts w:ascii="Georgia"/>
                                  <w:spacing w:val="-2"/>
                                  <w:sz w:val="22"/>
                                </w:rPr>
                                <w:t>Access</w:t>
                              </w:r>
                            </w:p>
                          </w:txbxContent>
                        </wps:txbx>
                        <wps:bodyPr wrap="square" lIns="0" tIns="0" rIns="0" bIns="0" rtlCol="0">
                          <a:noAutofit/>
                        </wps:bodyPr>
                      </wps:wsp>
                    </wpg:wgp>
                  </a:graphicData>
                </a:graphic>
              </wp:anchor>
            </w:drawing>
          </mc:Choice>
          <mc:Fallback>
            <w:pict>
              <v:group style="position:absolute;margin-left:51.591457pt;margin-top:116.422897pt;width:279.9pt;height:245.15pt;mso-position-horizontal-relative:page;mso-position-vertical-relative:paragraph;z-index:15774720" id="docshapegroup214" coordorigin="1032,2328" coordsize="5598,4903">
                <v:shape style="position:absolute;left:1031;top:2328;width:5598;height:4903" type="#_x0000_t75" id="docshape215" stroked="false">
                  <v:imagedata r:id="rId305" o:title=""/>
                </v:shape>
                <v:shape style="position:absolute;left:1223;top:2464;width:4976;height:2614" type="#_x0000_t202" id="docshape216" filled="false" stroked="false">
                  <v:textbox inset="0,0,0,0">
                    <w:txbxContent>
                      <w:p>
                        <w:pPr>
                          <w:spacing w:before="26"/>
                          <w:ind w:left="20" w:right="0" w:firstLine="0"/>
                          <w:jc w:val="left"/>
                          <w:rPr>
                            <w:b/>
                            <w:i/>
                            <w:sz w:val="34"/>
                          </w:rPr>
                        </w:pPr>
                        <w:r>
                          <w:rPr>
                            <w:b/>
                            <w:i/>
                            <w:spacing w:val="13"/>
                            <w:w w:val="125"/>
                            <w:sz w:val="34"/>
                          </w:rPr>
                          <w:t>RECOMMENDATIONS</w:t>
                        </w:r>
                      </w:p>
                      <w:p>
                        <w:pPr>
                          <w:spacing w:line="276" w:lineRule="auto" w:before="128"/>
                          <w:ind w:left="723" w:right="87" w:firstLine="0"/>
                          <w:jc w:val="both"/>
                          <w:rPr>
                            <w:rFonts w:ascii="Georgia"/>
                            <w:sz w:val="18"/>
                          </w:rPr>
                        </w:pPr>
                        <w:r>
                          <w:rPr>
                            <w:rFonts w:ascii="Georgia"/>
                            <w:w w:val="105"/>
                            <w:sz w:val="18"/>
                          </w:rPr>
                          <w:t>Invest in access to culturally competent LGBTQ healthcare</w:t>
                        </w:r>
                        <w:r>
                          <w:rPr>
                            <w:rFonts w:ascii="Georgia"/>
                            <w:spacing w:val="-12"/>
                            <w:w w:val="105"/>
                            <w:sz w:val="18"/>
                          </w:rPr>
                          <w:t> </w:t>
                        </w:r>
                        <w:r>
                          <w:rPr>
                            <w:rFonts w:ascii="Georgia"/>
                            <w:w w:val="105"/>
                            <w:sz w:val="18"/>
                          </w:rPr>
                          <w:t>in</w:t>
                        </w:r>
                        <w:r>
                          <w:rPr>
                            <w:rFonts w:ascii="Georgia"/>
                            <w:spacing w:val="-11"/>
                            <w:w w:val="105"/>
                            <w:sz w:val="18"/>
                          </w:rPr>
                          <w:t> </w:t>
                        </w:r>
                        <w:r>
                          <w:rPr>
                            <w:rFonts w:ascii="Georgia"/>
                            <w:w w:val="105"/>
                            <w:sz w:val="18"/>
                          </w:rPr>
                          <w:t>rural</w:t>
                        </w:r>
                        <w:r>
                          <w:rPr>
                            <w:rFonts w:ascii="Georgia"/>
                            <w:spacing w:val="-11"/>
                            <w:w w:val="105"/>
                            <w:sz w:val="18"/>
                          </w:rPr>
                          <w:t> </w:t>
                        </w:r>
                        <w:r>
                          <w:rPr>
                            <w:rFonts w:ascii="Georgia"/>
                            <w:w w:val="105"/>
                            <w:sz w:val="18"/>
                          </w:rPr>
                          <w:t>and</w:t>
                        </w:r>
                        <w:r>
                          <w:rPr>
                            <w:rFonts w:ascii="Georgia"/>
                            <w:spacing w:val="-11"/>
                            <w:w w:val="105"/>
                            <w:sz w:val="18"/>
                          </w:rPr>
                          <w:t> </w:t>
                        </w:r>
                        <w:r>
                          <w:rPr>
                            <w:rFonts w:ascii="Georgia"/>
                            <w:w w:val="105"/>
                            <w:sz w:val="18"/>
                          </w:rPr>
                          <w:t>underserved</w:t>
                        </w:r>
                        <w:r>
                          <w:rPr>
                            <w:rFonts w:ascii="Georgia"/>
                            <w:spacing w:val="-11"/>
                            <w:w w:val="105"/>
                            <w:sz w:val="18"/>
                          </w:rPr>
                          <w:t> </w:t>
                        </w:r>
                        <w:r>
                          <w:rPr>
                            <w:rFonts w:ascii="Georgia"/>
                            <w:spacing w:val="-2"/>
                            <w:w w:val="105"/>
                            <w:sz w:val="18"/>
                          </w:rPr>
                          <w:t>communities.</w:t>
                        </w:r>
                      </w:p>
                      <w:p>
                        <w:pPr>
                          <w:spacing w:line="240" w:lineRule="auto" w:before="10"/>
                          <w:rPr>
                            <w:rFonts w:ascii="Georgia"/>
                            <w:sz w:val="18"/>
                          </w:rPr>
                        </w:pPr>
                      </w:p>
                      <w:p>
                        <w:pPr>
                          <w:spacing w:line="276" w:lineRule="auto" w:before="0"/>
                          <w:ind w:left="723" w:right="83" w:firstLine="0"/>
                          <w:jc w:val="both"/>
                          <w:rPr>
                            <w:rFonts w:ascii="Georgia"/>
                            <w:sz w:val="18"/>
                          </w:rPr>
                        </w:pPr>
                        <w:r>
                          <w:rPr>
                            <w:rFonts w:ascii="Georgia"/>
                            <w:w w:val="105"/>
                            <w:sz w:val="18"/>
                          </w:rPr>
                          <w:t>Improve</w:t>
                        </w:r>
                        <w:r>
                          <w:rPr>
                            <w:rFonts w:ascii="Georgia"/>
                            <w:spacing w:val="-5"/>
                            <w:w w:val="105"/>
                            <w:sz w:val="18"/>
                          </w:rPr>
                          <w:t> </w:t>
                        </w:r>
                        <w:r>
                          <w:rPr>
                            <w:rFonts w:ascii="Georgia"/>
                            <w:w w:val="105"/>
                            <w:sz w:val="18"/>
                          </w:rPr>
                          <w:t>research</w:t>
                        </w:r>
                        <w:r>
                          <w:rPr>
                            <w:rFonts w:ascii="Georgia"/>
                            <w:spacing w:val="-5"/>
                            <w:w w:val="105"/>
                            <w:sz w:val="18"/>
                          </w:rPr>
                          <w:t> </w:t>
                        </w:r>
                        <w:r>
                          <w:rPr>
                            <w:rFonts w:ascii="Georgia"/>
                            <w:w w:val="105"/>
                            <w:sz w:val="18"/>
                          </w:rPr>
                          <w:t>on</w:t>
                        </w:r>
                        <w:r>
                          <w:rPr>
                            <w:rFonts w:ascii="Georgia"/>
                            <w:spacing w:val="-5"/>
                            <w:w w:val="105"/>
                            <w:sz w:val="18"/>
                          </w:rPr>
                          <w:t> </w:t>
                        </w:r>
                        <w:r>
                          <w:rPr>
                            <w:rFonts w:ascii="Georgia"/>
                            <w:w w:val="105"/>
                            <w:sz w:val="18"/>
                          </w:rPr>
                          <w:t>intersex</w:t>
                        </w:r>
                        <w:r>
                          <w:rPr>
                            <w:rFonts w:ascii="Georgia"/>
                            <w:spacing w:val="-5"/>
                            <w:w w:val="105"/>
                            <w:sz w:val="18"/>
                          </w:rPr>
                          <w:t> </w:t>
                        </w:r>
                        <w:r>
                          <w:rPr>
                            <w:rFonts w:ascii="Georgia"/>
                            <w:w w:val="105"/>
                            <w:sz w:val="18"/>
                          </w:rPr>
                          <w:t>youth</w:t>
                        </w:r>
                        <w:r>
                          <w:rPr>
                            <w:rFonts w:ascii="Georgia"/>
                            <w:spacing w:val="-5"/>
                            <w:w w:val="105"/>
                            <w:sz w:val="18"/>
                          </w:rPr>
                          <w:t> </w:t>
                        </w:r>
                        <w:r>
                          <w:rPr>
                            <w:rFonts w:ascii="Georgia"/>
                            <w:w w:val="105"/>
                            <w:sz w:val="18"/>
                          </w:rPr>
                          <w:t>communities, and</w:t>
                        </w:r>
                        <w:r>
                          <w:rPr>
                            <w:rFonts w:ascii="Georgia"/>
                            <w:spacing w:val="-12"/>
                            <w:w w:val="105"/>
                            <w:sz w:val="18"/>
                          </w:rPr>
                          <w:t> </w:t>
                        </w:r>
                        <w:r>
                          <w:rPr>
                            <w:rFonts w:ascii="Georgia"/>
                            <w:w w:val="105"/>
                            <w:sz w:val="18"/>
                          </w:rPr>
                          <w:t>prohibit</w:t>
                        </w:r>
                        <w:r>
                          <w:rPr>
                            <w:rFonts w:ascii="Georgia"/>
                            <w:spacing w:val="-11"/>
                            <w:w w:val="105"/>
                            <w:sz w:val="18"/>
                          </w:rPr>
                          <w:t> </w:t>
                        </w:r>
                        <w:r>
                          <w:rPr>
                            <w:rFonts w:ascii="Georgia"/>
                            <w:w w:val="105"/>
                            <w:sz w:val="18"/>
                          </w:rPr>
                          <w:t>non-consensual</w:t>
                        </w:r>
                        <w:r>
                          <w:rPr>
                            <w:rFonts w:ascii="Georgia"/>
                            <w:spacing w:val="-12"/>
                            <w:w w:val="105"/>
                            <w:sz w:val="18"/>
                          </w:rPr>
                          <w:t> </w:t>
                        </w:r>
                        <w:r>
                          <w:rPr>
                            <w:rFonts w:ascii="Georgia"/>
                            <w:w w:val="105"/>
                            <w:sz w:val="18"/>
                          </w:rPr>
                          <w:t>unnecessary</w:t>
                        </w:r>
                        <w:r>
                          <w:rPr>
                            <w:rFonts w:ascii="Georgia"/>
                            <w:spacing w:val="-11"/>
                            <w:w w:val="105"/>
                            <w:sz w:val="18"/>
                          </w:rPr>
                          <w:t> </w:t>
                        </w:r>
                        <w:r>
                          <w:rPr>
                            <w:rFonts w:ascii="Georgia"/>
                            <w:w w:val="105"/>
                            <w:sz w:val="18"/>
                          </w:rPr>
                          <w:t>medical interventions on minors.</w:t>
                        </w:r>
                      </w:p>
                      <w:p>
                        <w:pPr>
                          <w:spacing w:line="276" w:lineRule="auto" w:before="184"/>
                          <w:ind w:left="723" w:right="0" w:firstLine="0"/>
                          <w:jc w:val="left"/>
                          <w:rPr>
                            <w:rFonts w:ascii="Georgia"/>
                            <w:sz w:val="18"/>
                          </w:rPr>
                        </w:pPr>
                        <w:r>
                          <w:rPr>
                            <w:rFonts w:ascii="Georgia"/>
                            <w:w w:val="105"/>
                            <w:sz w:val="18"/>
                          </w:rPr>
                          <w:t>Expand</w:t>
                        </w:r>
                        <w:r>
                          <w:rPr>
                            <w:rFonts w:ascii="Georgia"/>
                            <w:spacing w:val="-12"/>
                            <w:w w:val="105"/>
                            <w:sz w:val="18"/>
                          </w:rPr>
                          <w:t> </w:t>
                        </w:r>
                        <w:r>
                          <w:rPr>
                            <w:rFonts w:ascii="Georgia"/>
                            <w:w w:val="105"/>
                            <w:sz w:val="18"/>
                          </w:rPr>
                          <w:t>coverage</w:t>
                        </w:r>
                        <w:r>
                          <w:rPr>
                            <w:rFonts w:ascii="Georgia"/>
                            <w:spacing w:val="-11"/>
                            <w:w w:val="105"/>
                            <w:sz w:val="18"/>
                          </w:rPr>
                          <w:t> </w:t>
                        </w:r>
                        <w:r>
                          <w:rPr>
                            <w:rFonts w:ascii="Georgia"/>
                            <w:w w:val="105"/>
                            <w:sz w:val="18"/>
                          </w:rPr>
                          <w:t>of</w:t>
                        </w:r>
                        <w:r>
                          <w:rPr>
                            <w:rFonts w:ascii="Georgia"/>
                            <w:spacing w:val="-12"/>
                            <w:w w:val="105"/>
                            <w:sz w:val="18"/>
                          </w:rPr>
                          <w:t> </w:t>
                        </w:r>
                        <w:r>
                          <w:rPr>
                            <w:rFonts w:ascii="Georgia"/>
                            <w:w w:val="105"/>
                            <w:sz w:val="18"/>
                          </w:rPr>
                          <w:t>gender-affirming</w:t>
                        </w:r>
                        <w:r>
                          <w:rPr>
                            <w:rFonts w:ascii="Georgia"/>
                            <w:spacing w:val="-11"/>
                            <w:w w:val="105"/>
                            <w:sz w:val="18"/>
                          </w:rPr>
                          <w:t> </w:t>
                        </w:r>
                        <w:r>
                          <w:rPr>
                            <w:rFonts w:ascii="Georgia"/>
                            <w:w w:val="105"/>
                            <w:sz w:val="18"/>
                          </w:rPr>
                          <w:t>care</w:t>
                        </w:r>
                        <w:r>
                          <w:rPr>
                            <w:rFonts w:ascii="Georgia"/>
                            <w:spacing w:val="-11"/>
                            <w:w w:val="105"/>
                            <w:sz w:val="18"/>
                          </w:rPr>
                          <w:t> </w:t>
                        </w:r>
                        <w:r>
                          <w:rPr>
                            <w:rFonts w:ascii="Georgia"/>
                            <w:w w:val="105"/>
                            <w:sz w:val="18"/>
                          </w:rPr>
                          <w:t>and increase reimbursement to incentivize care.</w:t>
                        </w:r>
                      </w:p>
                    </w:txbxContent>
                  </v:textbox>
                  <w10:wrap type="none"/>
                </v:shape>
                <v:shape style="position:absolute;left:1213;top:5640;width:5025;height:1007" type="#_x0000_t202" id="docshape217" filled="false" stroked="false">
                  <v:textbox inset="0,0,0,0">
                    <w:txbxContent>
                      <w:p>
                        <w:pPr>
                          <w:spacing w:before="26"/>
                          <w:ind w:left="20" w:right="0" w:firstLine="0"/>
                          <w:jc w:val="left"/>
                          <w:rPr>
                            <w:b/>
                            <w:i/>
                            <w:sz w:val="34"/>
                          </w:rPr>
                        </w:pPr>
                        <w:r>
                          <w:rPr>
                            <w:b/>
                            <w:i/>
                            <w:spacing w:val="13"/>
                            <w:w w:val="130"/>
                            <w:sz w:val="34"/>
                          </w:rPr>
                          <w:t>LEGISLATION</w:t>
                        </w:r>
                      </w:p>
                      <w:p>
                        <w:pPr>
                          <w:spacing w:before="292"/>
                          <w:ind w:left="30" w:right="0" w:firstLine="0"/>
                          <w:jc w:val="left"/>
                          <w:rPr>
                            <w:rFonts w:ascii="Georgia"/>
                            <w:sz w:val="22"/>
                          </w:rPr>
                        </w:pPr>
                        <w:r>
                          <w:rPr>
                            <w:rFonts w:ascii="Georgia"/>
                            <w:spacing w:val="-2"/>
                            <w:sz w:val="22"/>
                          </w:rPr>
                          <w:t>S.</w:t>
                        </w:r>
                        <w:r>
                          <w:rPr>
                            <w:rFonts w:ascii="Georgia"/>
                            <w:spacing w:val="-5"/>
                            <w:sz w:val="22"/>
                          </w:rPr>
                          <w:t> </w:t>
                        </w:r>
                        <w:r>
                          <w:rPr>
                            <w:rFonts w:ascii="Georgia"/>
                            <w:spacing w:val="-2"/>
                            <w:sz w:val="22"/>
                          </w:rPr>
                          <w:t>596/H.1037:</w:t>
                        </w:r>
                        <w:r>
                          <w:rPr>
                            <w:rFonts w:ascii="Georgia"/>
                            <w:spacing w:val="-5"/>
                            <w:sz w:val="22"/>
                          </w:rPr>
                          <w:t> </w:t>
                        </w:r>
                        <w:r>
                          <w:rPr>
                            <w:rFonts w:ascii="Georgia"/>
                            <w:spacing w:val="-2"/>
                            <w:sz w:val="22"/>
                          </w:rPr>
                          <w:t>Trans-Inclusive</w:t>
                        </w:r>
                        <w:r>
                          <w:rPr>
                            <w:rFonts w:ascii="Georgia"/>
                            <w:spacing w:val="-5"/>
                            <w:sz w:val="22"/>
                          </w:rPr>
                          <w:t> </w:t>
                        </w:r>
                        <w:r>
                          <w:rPr>
                            <w:rFonts w:ascii="Georgia"/>
                            <w:spacing w:val="-2"/>
                            <w:sz w:val="22"/>
                          </w:rPr>
                          <w:t>Health</w:t>
                        </w:r>
                        <w:r>
                          <w:rPr>
                            <w:rFonts w:ascii="Georgia"/>
                            <w:spacing w:val="-5"/>
                            <w:sz w:val="22"/>
                          </w:rPr>
                          <w:t> </w:t>
                        </w:r>
                        <w:r>
                          <w:rPr>
                            <w:rFonts w:ascii="Georgia"/>
                            <w:spacing w:val="-2"/>
                            <w:sz w:val="22"/>
                          </w:rPr>
                          <w:t>Care</w:t>
                        </w:r>
                        <w:r>
                          <w:rPr>
                            <w:rFonts w:ascii="Georgia"/>
                            <w:spacing w:val="-5"/>
                            <w:sz w:val="22"/>
                          </w:rPr>
                          <w:t> </w:t>
                        </w:r>
                        <w:r>
                          <w:rPr>
                            <w:rFonts w:ascii="Georgia"/>
                            <w:spacing w:val="-2"/>
                            <w:sz w:val="22"/>
                          </w:rPr>
                          <w:t>Access</w:t>
                        </w:r>
                      </w:p>
                    </w:txbxContent>
                  </v:textbox>
                  <w10:wrap type="none"/>
                </v:shape>
                <w10:wrap type="none"/>
              </v:group>
            </w:pict>
          </mc:Fallback>
        </mc:AlternateContent>
      </w:r>
      <w:r>
        <w:rPr>
          <w:rFonts w:ascii="Georgia"/>
          <w:sz w:val="20"/>
        </w:rPr>
        <w:t>It is imperative that the Commonwealth continue to address priority needs and work on centering intersectionality with an eye on the multiple forms of oppression often experienced by individuals in</w:t>
      </w:r>
      <w:r>
        <w:rPr>
          <w:rFonts w:ascii="Georgia"/>
          <w:spacing w:val="80"/>
          <w:sz w:val="20"/>
        </w:rPr>
        <w:t> </w:t>
      </w:r>
      <w:r>
        <w:rPr>
          <w:rFonts w:ascii="Georgia"/>
          <w:sz w:val="20"/>
        </w:rPr>
        <w:t>uniquely adverse situations. Importantly, intersectionality recognizes the intertwined,</w:t>
      </w:r>
      <w:r>
        <w:rPr>
          <w:rFonts w:ascii="Georgia"/>
          <w:spacing w:val="80"/>
          <w:sz w:val="20"/>
        </w:rPr>
        <w:t> </w:t>
      </w:r>
      <w:r>
        <w:rPr>
          <w:rFonts w:ascii="Georgia"/>
          <w:sz w:val="20"/>
        </w:rPr>
        <w:t>inequitable social systems that create disease and </w:t>
      </w:r>
      <w:r>
        <w:rPr>
          <w:rFonts w:ascii="Georgia"/>
          <w:spacing w:val="-2"/>
          <w:sz w:val="20"/>
        </w:rPr>
        <w:t>disparities.</w:t>
      </w:r>
    </w:p>
    <w:p>
      <w:pPr>
        <w:spacing w:line="1080" w:lineRule="exact" w:before="333"/>
        <w:ind w:left="1169" w:right="0" w:firstLine="0"/>
        <w:jc w:val="left"/>
        <w:rPr>
          <w:rFonts w:ascii="Arial Black"/>
          <w:sz w:val="77"/>
        </w:rPr>
      </w:pPr>
      <w:r>
        <w:rPr/>
        <w:br w:type="column"/>
      </w:r>
      <w:r>
        <w:rPr>
          <w:rFonts w:ascii="Arial Black"/>
          <w:emboss/>
          <w:color w:val="F46E16"/>
          <w:spacing w:val="20"/>
          <w:w w:val="95"/>
          <w:sz w:val="77"/>
        </w:rPr>
        <w:t>33%</w:t>
      </w:r>
    </w:p>
    <w:p>
      <w:pPr>
        <w:pStyle w:val="BodyText"/>
        <w:spacing w:line="266" w:lineRule="auto"/>
        <w:ind w:right="921"/>
        <w:jc w:val="center"/>
        <w:rPr>
          <w:rFonts w:ascii="Georgia"/>
        </w:rPr>
      </w:pPr>
      <w:r>
        <w:rPr>
          <w:rFonts w:ascii="Georgia"/>
          <w:w w:val="105"/>
        </w:rPr>
        <w:t>of insurance plans flag or deny </w:t>
      </w:r>
      <w:r>
        <w:rPr>
          <w:rFonts w:ascii="Georgia"/>
          <w:spacing w:val="-2"/>
          <w:w w:val="105"/>
        </w:rPr>
        <w:t>converage</w:t>
      </w:r>
      <w:r>
        <w:rPr>
          <w:rFonts w:ascii="Georgia"/>
          <w:spacing w:val="-12"/>
          <w:w w:val="105"/>
        </w:rPr>
        <w:t> </w:t>
      </w:r>
      <w:r>
        <w:rPr>
          <w:rFonts w:ascii="Georgia"/>
          <w:spacing w:val="-2"/>
          <w:w w:val="105"/>
        </w:rPr>
        <w:t>based</w:t>
      </w:r>
      <w:r>
        <w:rPr>
          <w:rFonts w:ascii="Georgia"/>
          <w:spacing w:val="-12"/>
          <w:w w:val="105"/>
        </w:rPr>
        <w:t> </w:t>
      </w:r>
      <w:r>
        <w:rPr>
          <w:rFonts w:ascii="Georgia"/>
          <w:spacing w:val="-2"/>
          <w:w w:val="105"/>
        </w:rPr>
        <w:t>on</w:t>
      </w:r>
      <w:r>
        <w:rPr>
          <w:rFonts w:ascii="Georgia"/>
          <w:spacing w:val="-12"/>
          <w:w w:val="105"/>
        </w:rPr>
        <w:t> </w:t>
      </w:r>
      <w:r>
        <w:rPr>
          <w:rFonts w:ascii="Georgia"/>
          <w:spacing w:val="-2"/>
          <w:w w:val="105"/>
        </w:rPr>
        <w:t>gender</w:t>
      </w:r>
      <w:r>
        <w:rPr>
          <w:rFonts w:ascii="Georgia"/>
          <w:spacing w:val="-12"/>
          <w:w w:val="105"/>
        </w:rPr>
        <w:t> </w:t>
      </w:r>
      <w:r>
        <w:rPr>
          <w:rFonts w:ascii="Georgia"/>
          <w:spacing w:val="-2"/>
          <w:w w:val="105"/>
        </w:rPr>
        <w:t>markers</w:t>
      </w:r>
    </w:p>
    <w:p>
      <w:pPr>
        <w:pStyle w:val="BodyText"/>
        <w:spacing w:before="186"/>
        <w:rPr>
          <w:rFonts w:ascii="Georgia"/>
        </w:rPr>
      </w:pPr>
    </w:p>
    <w:p>
      <w:pPr>
        <w:pStyle w:val="Heading4"/>
        <w:spacing w:line="1055" w:lineRule="exact"/>
        <w:ind w:left="1198"/>
      </w:pPr>
      <w:r>
        <w:rPr>
          <w:emboss/>
          <w:color w:val="F46E16"/>
          <w:spacing w:val="13"/>
        </w:rPr>
        <w:t>70%</w:t>
      </w:r>
    </w:p>
    <w:p>
      <w:pPr>
        <w:pStyle w:val="BodyText"/>
        <w:spacing w:line="266" w:lineRule="auto"/>
        <w:ind w:left="414" w:right="1259"/>
        <w:jc w:val="center"/>
        <w:rPr>
          <w:rFonts w:ascii="Georgia"/>
        </w:rPr>
      </w:pPr>
      <w:r>
        <w:rPr>
          <w:rFonts w:ascii="Georgia"/>
        </w:rPr>
        <w:t>of LGBTQ youth say their mental health was poor during the COVID-19 pandemic</w:t>
      </w:r>
    </w:p>
    <w:p>
      <w:pPr>
        <w:pStyle w:val="BodyText"/>
        <w:rPr>
          <w:rFonts w:ascii="Georgia"/>
        </w:rPr>
      </w:pPr>
    </w:p>
    <w:p>
      <w:pPr>
        <w:pStyle w:val="Heading4"/>
        <w:spacing w:line="1026" w:lineRule="exact"/>
        <w:ind w:left="1252"/>
      </w:pPr>
      <w:r>
        <w:rPr>
          <w:emboss/>
          <w:color w:val="F46E16"/>
          <w:spacing w:val="19"/>
          <w:w w:val="95"/>
        </w:rPr>
        <w:t>510</w:t>
      </w:r>
    </w:p>
    <w:p>
      <w:pPr>
        <w:pStyle w:val="BodyText"/>
        <w:spacing w:line="218" w:lineRule="exact"/>
        <w:ind w:right="843"/>
        <w:jc w:val="center"/>
        <w:rPr>
          <w:rFonts w:ascii="Georgia"/>
        </w:rPr>
      </w:pPr>
      <w:r>
        <w:rPr>
          <w:rFonts w:ascii="Georgia"/>
        </w:rPr>
        <w:t>Bills</w:t>
      </w:r>
      <w:r>
        <w:rPr>
          <w:rFonts w:ascii="Georgia"/>
          <w:spacing w:val="-10"/>
        </w:rPr>
        <w:t> </w:t>
      </w:r>
      <w:r>
        <w:rPr>
          <w:rFonts w:ascii="Georgia"/>
        </w:rPr>
        <w:t>as</w:t>
      </w:r>
      <w:r>
        <w:rPr>
          <w:rFonts w:ascii="Georgia"/>
          <w:spacing w:val="-9"/>
        </w:rPr>
        <w:t> </w:t>
      </w:r>
      <w:r>
        <w:rPr>
          <w:rFonts w:ascii="Georgia"/>
        </w:rPr>
        <w:t>of</w:t>
      </w:r>
      <w:r>
        <w:rPr>
          <w:rFonts w:ascii="Georgia"/>
          <w:spacing w:val="35"/>
        </w:rPr>
        <w:t> </w:t>
      </w:r>
      <w:r>
        <w:rPr>
          <w:rFonts w:ascii="Georgia"/>
        </w:rPr>
        <w:t>2023</w:t>
      </w:r>
      <w:r>
        <w:rPr>
          <w:rFonts w:ascii="Georgia"/>
          <w:spacing w:val="-10"/>
        </w:rPr>
        <w:t> </w:t>
      </w:r>
      <w:r>
        <w:rPr>
          <w:rFonts w:ascii="Georgia"/>
        </w:rPr>
        <w:t>target</w:t>
      </w:r>
      <w:r>
        <w:rPr>
          <w:rFonts w:ascii="Georgia"/>
          <w:spacing w:val="-9"/>
        </w:rPr>
        <w:t> </w:t>
      </w:r>
      <w:r>
        <w:rPr>
          <w:rFonts w:ascii="Georgia"/>
          <w:spacing w:val="-4"/>
        </w:rPr>
        <w:t>LGBTQ</w:t>
      </w:r>
    </w:p>
    <w:p>
      <w:pPr>
        <w:pStyle w:val="BodyText"/>
        <w:spacing w:line="266" w:lineRule="auto" w:before="27"/>
        <w:ind w:left="652" w:right="1497" w:hanging="1"/>
        <w:jc w:val="center"/>
        <w:rPr>
          <w:rFonts w:ascii="Georgia"/>
        </w:rPr>
      </w:pPr>
      <w:r>
        <w:rPr>
          <w:rFonts w:ascii="Georgia"/>
          <w:w w:val="105"/>
        </w:rPr>
        <w:t>youth across the nation, </w:t>
      </w:r>
      <w:r>
        <w:rPr>
          <w:rFonts w:ascii="Georgia"/>
        </w:rPr>
        <w:t>including banning gender- </w:t>
      </w:r>
      <w:r>
        <w:rPr>
          <w:rFonts w:ascii="Georgia"/>
          <w:w w:val="105"/>
        </w:rPr>
        <w:t>affirming health care</w:t>
      </w:r>
    </w:p>
    <w:p>
      <w:pPr>
        <w:spacing w:after="0" w:line="266" w:lineRule="auto"/>
        <w:jc w:val="center"/>
        <w:rPr>
          <w:rFonts w:ascii="Georgia"/>
        </w:rPr>
        <w:sectPr>
          <w:type w:val="continuous"/>
          <w:pgSz w:w="12240" w:h="15840"/>
          <w:pgMar w:header="0" w:footer="0" w:top="1420" w:bottom="280" w:left="1100" w:right="340"/>
          <w:cols w:num="2" w:equalWidth="0">
            <w:col w:w="5133" w:space="879"/>
            <w:col w:w="4788"/>
          </w:cols>
        </w:sectPr>
      </w:pPr>
    </w:p>
    <w:p>
      <w:pPr>
        <w:pStyle w:val="BodyText"/>
        <w:ind w:left="5955"/>
        <w:rPr>
          <w:rFonts w:ascii="Georgia"/>
          <w:sz w:val="20"/>
        </w:rPr>
      </w:pPr>
      <w:r>
        <w:rPr/>
        <mc:AlternateContent>
          <mc:Choice Requires="wps">
            <w:drawing>
              <wp:anchor distT="0" distB="0" distL="0" distR="0" allowOverlap="1" layoutInCell="1" locked="0" behindDoc="1" simplePos="0" relativeHeight="482595840">
                <wp:simplePos x="0" y="0"/>
                <wp:positionH relativeFrom="page">
                  <wp:posOffset>0</wp:posOffset>
                </wp:positionH>
                <wp:positionV relativeFrom="page">
                  <wp:posOffset>0</wp:posOffset>
                </wp:positionV>
                <wp:extent cx="7772400" cy="588264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772400" cy="5882640"/>
                          <a:chExt cx="7772400" cy="5882640"/>
                        </a:xfrm>
                      </wpg:grpSpPr>
                      <pic:pic>
                        <pic:nvPicPr>
                          <pic:cNvPr id="274" name="Image 274"/>
                          <pic:cNvPicPr/>
                        </pic:nvPicPr>
                        <pic:blipFill>
                          <a:blip r:embed="rId306" cstate="print"/>
                          <a:stretch>
                            <a:fillRect/>
                          </a:stretch>
                        </pic:blipFill>
                        <pic:spPr>
                          <a:xfrm>
                            <a:off x="0" y="0"/>
                            <a:ext cx="7772400" cy="3173439"/>
                          </a:xfrm>
                          <a:prstGeom prst="rect">
                            <a:avLst/>
                          </a:prstGeom>
                        </pic:spPr>
                      </pic:pic>
                      <pic:pic>
                        <pic:nvPicPr>
                          <pic:cNvPr id="275" name="Image 275"/>
                          <pic:cNvPicPr/>
                        </pic:nvPicPr>
                        <pic:blipFill>
                          <a:blip r:embed="rId98" cstate="print"/>
                          <a:stretch>
                            <a:fillRect/>
                          </a:stretch>
                        </pic:blipFill>
                        <pic:spPr>
                          <a:xfrm>
                            <a:off x="4978373" y="735421"/>
                            <a:ext cx="1480888" cy="1480632"/>
                          </a:xfrm>
                          <a:prstGeom prst="rect">
                            <a:avLst/>
                          </a:prstGeom>
                        </pic:spPr>
                      </pic:pic>
                      <wps:wsp>
                        <wps:cNvPr id="276" name="Graphic 276"/>
                        <wps:cNvSpPr/>
                        <wps:spPr>
                          <a:xfrm>
                            <a:off x="4964628"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655211" y="2933569"/>
                            <a:ext cx="3471545" cy="2885440"/>
                          </a:xfrm>
                          <a:custGeom>
                            <a:avLst/>
                            <a:gdLst/>
                            <a:ahLst/>
                            <a:cxnLst/>
                            <a:rect l="l" t="t" r="r" b="b"/>
                            <a:pathLst>
                              <a:path w="3471545" h="2885440">
                                <a:moveTo>
                                  <a:pt x="3113780" y="2885116"/>
                                </a:moveTo>
                                <a:lnTo>
                                  <a:pt x="361948" y="2885116"/>
                                </a:lnTo>
                                <a:lnTo>
                                  <a:pt x="312835" y="2881812"/>
                                </a:lnTo>
                                <a:lnTo>
                                  <a:pt x="265729" y="2872187"/>
                                </a:lnTo>
                                <a:lnTo>
                                  <a:pt x="221062" y="2856673"/>
                                </a:lnTo>
                                <a:lnTo>
                                  <a:pt x="179266" y="2835700"/>
                                </a:lnTo>
                                <a:lnTo>
                                  <a:pt x="140773" y="2809700"/>
                                </a:lnTo>
                                <a:lnTo>
                                  <a:pt x="106012" y="2779104"/>
                                </a:lnTo>
                                <a:lnTo>
                                  <a:pt x="75416" y="2744343"/>
                                </a:lnTo>
                                <a:lnTo>
                                  <a:pt x="49416" y="2705850"/>
                                </a:lnTo>
                                <a:lnTo>
                                  <a:pt x="28443" y="2664054"/>
                                </a:lnTo>
                                <a:lnTo>
                                  <a:pt x="12929" y="2619387"/>
                                </a:lnTo>
                                <a:lnTo>
                                  <a:pt x="3304" y="2572281"/>
                                </a:lnTo>
                                <a:lnTo>
                                  <a:pt x="0" y="2523166"/>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8" y="0"/>
                                </a:lnTo>
                                <a:lnTo>
                                  <a:pt x="3162893" y="3304"/>
                                </a:lnTo>
                                <a:lnTo>
                                  <a:pt x="3209999" y="12929"/>
                                </a:lnTo>
                                <a:lnTo>
                                  <a:pt x="3254666" y="28443"/>
                                </a:lnTo>
                                <a:lnTo>
                                  <a:pt x="3296461" y="49416"/>
                                </a:lnTo>
                                <a:lnTo>
                                  <a:pt x="3334955" y="75416"/>
                                </a:lnTo>
                                <a:lnTo>
                                  <a:pt x="3369716" y="106012"/>
                                </a:lnTo>
                                <a:lnTo>
                                  <a:pt x="3400312" y="140773"/>
                                </a:lnTo>
                                <a:lnTo>
                                  <a:pt x="3426312" y="179266"/>
                                </a:lnTo>
                                <a:lnTo>
                                  <a:pt x="3447285" y="221062"/>
                                </a:lnTo>
                                <a:lnTo>
                                  <a:pt x="3462799" y="265729"/>
                                </a:lnTo>
                                <a:lnTo>
                                  <a:pt x="3471156" y="306627"/>
                                </a:lnTo>
                                <a:lnTo>
                                  <a:pt x="3471156" y="2578489"/>
                                </a:lnTo>
                                <a:lnTo>
                                  <a:pt x="3462799" y="2619387"/>
                                </a:lnTo>
                                <a:lnTo>
                                  <a:pt x="3447285" y="2664054"/>
                                </a:lnTo>
                                <a:lnTo>
                                  <a:pt x="3426312" y="2705850"/>
                                </a:lnTo>
                                <a:lnTo>
                                  <a:pt x="3400312" y="2744343"/>
                                </a:lnTo>
                                <a:lnTo>
                                  <a:pt x="3369716" y="2779104"/>
                                </a:lnTo>
                                <a:lnTo>
                                  <a:pt x="3334955" y="2809700"/>
                                </a:lnTo>
                                <a:lnTo>
                                  <a:pt x="3296461" y="2835700"/>
                                </a:lnTo>
                                <a:lnTo>
                                  <a:pt x="3254666" y="2856673"/>
                                </a:lnTo>
                                <a:lnTo>
                                  <a:pt x="3209999" y="2872187"/>
                                </a:lnTo>
                                <a:lnTo>
                                  <a:pt x="3162893" y="2881812"/>
                                </a:lnTo>
                                <a:lnTo>
                                  <a:pt x="3113780" y="2885116"/>
                                </a:lnTo>
                                <a:close/>
                              </a:path>
                            </a:pathLst>
                          </a:custGeom>
                          <a:solidFill>
                            <a:srgbClr val="F2AB97">
                              <a:alpha val="55999"/>
                            </a:srgbClr>
                          </a:solidFill>
                        </wps:spPr>
                        <wps:bodyPr wrap="square" lIns="0" tIns="0" rIns="0" bIns="0" rtlCol="0">
                          <a:prstTxWarp prst="textNoShape">
                            <a:avLst/>
                          </a:prstTxWarp>
                          <a:noAutofit/>
                        </wps:bodyPr>
                      </wps:wsp>
                      <wps:wsp>
                        <wps:cNvPr id="278" name="Graphic 278"/>
                        <wps:cNvSpPr/>
                        <wps:spPr>
                          <a:xfrm>
                            <a:off x="4356887" y="4390915"/>
                            <a:ext cx="2773680" cy="1270"/>
                          </a:xfrm>
                          <a:custGeom>
                            <a:avLst/>
                            <a:gdLst/>
                            <a:ahLst/>
                            <a:cxnLst/>
                            <a:rect l="l" t="t" r="r" b="b"/>
                            <a:pathLst>
                              <a:path w="2773680" h="0">
                                <a:moveTo>
                                  <a:pt x="0" y="0"/>
                                </a:moveTo>
                                <a:lnTo>
                                  <a:pt x="2773600" y="0"/>
                                </a:lnTo>
                              </a:path>
                            </a:pathLst>
                          </a:custGeom>
                          <a:ln w="28574">
                            <a:solidFill>
                              <a:srgbClr val="F46E16"/>
                            </a:solidFill>
                            <a:prstDash val="sysDash"/>
                          </a:ln>
                        </wps:spPr>
                        <wps:bodyPr wrap="square" lIns="0" tIns="0" rIns="0" bIns="0" rtlCol="0">
                          <a:prstTxWarp prst="textNoShape">
                            <a:avLst/>
                          </a:prstTxWarp>
                          <a:noAutofit/>
                        </wps:bodyPr>
                      </wps:wsp>
                      <wps:wsp>
                        <wps:cNvPr id="279" name="Graphic 279"/>
                        <wps:cNvSpPr/>
                        <wps:spPr>
                          <a:xfrm>
                            <a:off x="4356887" y="5867891"/>
                            <a:ext cx="2773680" cy="1270"/>
                          </a:xfrm>
                          <a:custGeom>
                            <a:avLst/>
                            <a:gdLst/>
                            <a:ahLst/>
                            <a:cxnLst/>
                            <a:rect l="l" t="t" r="r" b="b"/>
                            <a:pathLst>
                              <a:path w="2773680" h="0">
                                <a:moveTo>
                                  <a:pt x="0" y="0"/>
                                </a:moveTo>
                                <a:lnTo>
                                  <a:pt x="2773600" y="0"/>
                                </a:lnTo>
                              </a:path>
                            </a:pathLst>
                          </a:custGeom>
                          <a:ln w="28574">
                            <a:solidFill>
                              <a:srgbClr val="F46E16"/>
                            </a:solidFill>
                            <a:prstDash val="sysDash"/>
                          </a:ln>
                        </wps:spPr>
                        <wps:bodyPr wrap="square" lIns="0" tIns="0" rIns="0" bIns="0" rtlCol="0">
                          <a:prstTxWarp prst="textNoShape">
                            <a:avLst/>
                          </a:prstTxWarp>
                          <a:noAutofit/>
                        </wps:bodyPr>
                      </wps:wsp>
                      <wps:wsp>
                        <wps:cNvPr id="280" name="Graphic 280"/>
                        <wps:cNvSpPr/>
                        <wps:spPr>
                          <a:xfrm>
                            <a:off x="3658590" y="1627873"/>
                            <a:ext cx="942340" cy="892810"/>
                          </a:xfrm>
                          <a:custGeom>
                            <a:avLst/>
                            <a:gdLst/>
                            <a:ahLst/>
                            <a:cxnLst/>
                            <a:rect l="l" t="t" r="r" b="b"/>
                            <a:pathLst>
                              <a:path w="942340" h="892810">
                                <a:moveTo>
                                  <a:pt x="758825" y="590524"/>
                                </a:moveTo>
                                <a:lnTo>
                                  <a:pt x="586778" y="590651"/>
                                </a:lnTo>
                                <a:lnTo>
                                  <a:pt x="519417" y="720013"/>
                                </a:lnTo>
                                <a:lnTo>
                                  <a:pt x="514477" y="726935"/>
                                </a:lnTo>
                                <a:lnTo>
                                  <a:pt x="508012" y="732129"/>
                                </a:lnTo>
                                <a:lnTo>
                                  <a:pt x="500430" y="735406"/>
                                </a:lnTo>
                                <a:lnTo>
                                  <a:pt x="492137" y="736549"/>
                                </a:lnTo>
                                <a:lnTo>
                                  <a:pt x="488988" y="736396"/>
                                </a:lnTo>
                                <a:lnTo>
                                  <a:pt x="408533" y="417880"/>
                                </a:lnTo>
                                <a:lnTo>
                                  <a:pt x="369887" y="567461"/>
                                </a:lnTo>
                                <a:lnTo>
                                  <a:pt x="365734" y="576795"/>
                                </a:lnTo>
                                <a:lnTo>
                                  <a:pt x="358952" y="584085"/>
                                </a:lnTo>
                                <a:lnTo>
                                  <a:pt x="350202" y="588822"/>
                                </a:lnTo>
                                <a:lnTo>
                                  <a:pt x="340131" y="590524"/>
                                </a:lnTo>
                                <a:lnTo>
                                  <a:pt x="186258" y="590524"/>
                                </a:lnTo>
                                <a:lnTo>
                                  <a:pt x="455955" y="888822"/>
                                </a:lnTo>
                                <a:lnTo>
                                  <a:pt x="464235" y="892467"/>
                                </a:lnTo>
                                <a:lnTo>
                                  <a:pt x="481622" y="892467"/>
                                </a:lnTo>
                                <a:lnTo>
                                  <a:pt x="489966" y="888822"/>
                                </a:lnTo>
                                <a:lnTo>
                                  <a:pt x="758825" y="590524"/>
                                </a:lnTo>
                                <a:close/>
                              </a:path>
                              <a:path w="942340" h="892810">
                                <a:moveTo>
                                  <a:pt x="941882" y="240284"/>
                                </a:moveTo>
                                <a:lnTo>
                                  <a:pt x="940473" y="224764"/>
                                </a:lnTo>
                                <a:lnTo>
                                  <a:pt x="928077" y="179832"/>
                                </a:lnTo>
                                <a:lnTo>
                                  <a:pt x="908405" y="138214"/>
                                </a:lnTo>
                                <a:lnTo>
                                  <a:pt x="886968" y="107480"/>
                                </a:lnTo>
                                <a:lnTo>
                                  <a:pt x="882269" y="100736"/>
                                </a:lnTo>
                                <a:lnTo>
                                  <a:pt x="850455" y="68237"/>
                                </a:lnTo>
                                <a:lnTo>
                                  <a:pt x="813803" y="41516"/>
                                </a:lnTo>
                                <a:lnTo>
                                  <a:pt x="773087" y="21412"/>
                                </a:lnTo>
                                <a:lnTo>
                                  <a:pt x="729132" y="8750"/>
                                </a:lnTo>
                                <a:lnTo>
                                  <a:pt x="682739" y="4343"/>
                                </a:lnTo>
                                <a:lnTo>
                                  <a:pt x="632739" y="8864"/>
                                </a:lnTo>
                                <a:lnTo>
                                  <a:pt x="585787" y="22034"/>
                                </a:lnTo>
                                <a:lnTo>
                                  <a:pt x="542798" y="43256"/>
                                </a:lnTo>
                                <a:lnTo>
                                  <a:pt x="504723" y="71932"/>
                                </a:lnTo>
                                <a:lnTo>
                                  <a:pt x="472490" y="107480"/>
                                </a:lnTo>
                                <a:lnTo>
                                  <a:pt x="439801" y="70739"/>
                                </a:lnTo>
                                <a:lnTo>
                                  <a:pt x="401307" y="40894"/>
                                </a:lnTo>
                                <a:lnTo>
                                  <a:pt x="358101" y="18656"/>
                                </a:lnTo>
                                <a:lnTo>
                                  <a:pt x="311302" y="4787"/>
                                </a:lnTo>
                                <a:lnTo>
                                  <a:pt x="262051" y="0"/>
                                </a:lnTo>
                                <a:lnTo>
                                  <a:pt x="215658" y="4483"/>
                                </a:lnTo>
                                <a:lnTo>
                                  <a:pt x="171704" y="17386"/>
                                </a:lnTo>
                                <a:lnTo>
                                  <a:pt x="130987" y="37871"/>
                                </a:lnTo>
                                <a:lnTo>
                                  <a:pt x="94322" y="65087"/>
                                </a:lnTo>
                                <a:lnTo>
                                  <a:pt x="62522" y="98209"/>
                                </a:lnTo>
                                <a:lnTo>
                                  <a:pt x="36385" y="136385"/>
                                </a:lnTo>
                                <a:lnTo>
                                  <a:pt x="16713" y="178777"/>
                                </a:lnTo>
                                <a:lnTo>
                                  <a:pt x="4318" y="224561"/>
                                </a:lnTo>
                                <a:lnTo>
                                  <a:pt x="0" y="272884"/>
                                </a:lnTo>
                                <a:lnTo>
                                  <a:pt x="4457" y="320001"/>
                                </a:lnTo>
                                <a:lnTo>
                                  <a:pt x="16941" y="363232"/>
                                </a:lnTo>
                                <a:lnTo>
                                  <a:pt x="36080" y="405231"/>
                                </a:lnTo>
                                <a:lnTo>
                                  <a:pt x="60528" y="448830"/>
                                </a:lnTo>
                                <a:lnTo>
                                  <a:pt x="61861" y="452018"/>
                                </a:lnTo>
                                <a:lnTo>
                                  <a:pt x="63715" y="454939"/>
                                </a:lnTo>
                                <a:lnTo>
                                  <a:pt x="66078" y="457593"/>
                                </a:lnTo>
                                <a:lnTo>
                                  <a:pt x="130733" y="529145"/>
                                </a:lnTo>
                                <a:lnTo>
                                  <a:pt x="316318" y="529209"/>
                                </a:lnTo>
                                <a:lnTo>
                                  <a:pt x="383933" y="267246"/>
                                </a:lnTo>
                                <a:lnTo>
                                  <a:pt x="388264" y="257492"/>
                                </a:lnTo>
                                <a:lnTo>
                                  <a:pt x="395351" y="249770"/>
                                </a:lnTo>
                                <a:lnTo>
                                  <a:pt x="404444" y="245033"/>
                                </a:lnTo>
                                <a:lnTo>
                                  <a:pt x="414769" y="244221"/>
                                </a:lnTo>
                                <a:lnTo>
                                  <a:pt x="425030" y="246392"/>
                                </a:lnTo>
                                <a:lnTo>
                                  <a:pt x="433755" y="251714"/>
                                </a:lnTo>
                                <a:lnTo>
                                  <a:pt x="440258" y="259575"/>
                                </a:lnTo>
                                <a:lnTo>
                                  <a:pt x="443865" y="269417"/>
                                </a:lnTo>
                                <a:lnTo>
                                  <a:pt x="506183" y="612127"/>
                                </a:lnTo>
                                <a:lnTo>
                                  <a:pt x="540829" y="545706"/>
                                </a:lnTo>
                                <a:lnTo>
                                  <a:pt x="545706" y="538822"/>
                                </a:lnTo>
                                <a:lnTo>
                                  <a:pt x="552145" y="533615"/>
                                </a:lnTo>
                                <a:lnTo>
                                  <a:pt x="559752" y="530326"/>
                                </a:lnTo>
                                <a:lnTo>
                                  <a:pt x="568096" y="529170"/>
                                </a:lnTo>
                                <a:lnTo>
                                  <a:pt x="814158" y="529170"/>
                                </a:lnTo>
                                <a:lnTo>
                                  <a:pt x="878713" y="457593"/>
                                </a:lnTo>
                                <a:lnTo>
                                  <a:pt x="880922" y="455041"/>
                                </a:lnTo>
                                <a:lnTo>
                                  <a:pt x="882713" y="452208"/>
                                </a:lnTo>
                                <a:lnTo>
                                  <a:pt x="884034" y="449211"/>
                                </a:lnTo>
                                <a:lnTo>
                                  <a:pt x="908088" y="406234"/>
                                </a:lnTo>
                                <a:lnTo>
                                  <a:pt x="927354" y="363931"/>
                                </a:lnTo>
                                <a:lnTo>
                                  <a:pt x="940130" y="320052"/>
                                </a:lnTo>
                                <a:lnTo>
                                  <a:pt x="941882" y="302082"/>
                                </a:lnTo>
                                <a:lnTo>
                                  <a:pt x="941882" y="244221"/>
                                </a:lnTo>
                                <a:lnTo>
                                  <a:pt x="941882" y="2402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5pt;margin-top:-.00005pt;width:612pt;height:463.2pt;mso-position-horizontal-relative:page;mso-position-vertical-relative:page;z-index:-20720640" id="docshapegroup218" coordorigin="0,0" coordsize="12240,9264">
                <v:shape style="position:absolute;left:0;top:0;width:12240;height:4998" type="#_x0000_t75" id="docshape219" stroked="false">
                  <v:imagedata r:id="rId306" o:title=""/>
                </v:shape>
                <v:shape style="position:absolute;left:7839;top:1158;width:2333;height:2332" type="#_x0000_t75" id="docshape220" stroked="false">
                  <v:imagedata r:id="rId98" o:title=""/>
                </v:shape>
                <v:shape style="position:absolute;left:7818;top:1136;width:2375;height:2375" id="docshape221"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67;height:4544" id="docshape222" coordorigin="1032,4620" coordsize="5467,4544" path="m5935,9163l1602,9163,1524,9158,1450,9143,1380,9118,1314,9085,1254,9045,1199,8996,1151,8942,1110,8881,1077,8815,1052,8745,1037,8671,1032,8593,1032,5190,1037,5112,1052,5038,1077,4968,1110,4902,1151,4841,1199,4787,1254,4739,1314,4698,1380,4665,1450,4640,1524,4625,1602,4620,5935,4620,6013,4625,6087,4640,6157,4665,6223,4698,6284,4739,6338,4787,6387,4841,6428,4902,6461,4968,6485,5038,6498,5103,6498,8680,6485,8745,6461,8815,6428,8881,6387,8942,6338,8996,6284,9045,6223,9085,6157,9118,6087,9143,6013,9158,5935,9163xe" filled="true" fillcolor="#f2ab97" stroked="false">
                  <v:path arrowok="t"/>
                  <v:fill opacity="36700f" type="solid"/>
                </v:shape>
                <v:line style="position:absolute" from="6861,6915" to="11229,6915" stroked="true" strokeweight="2.25pt" strokecolor="#f46e16">
                  <v:stroke dashstyle="shortdash"/>
                </v:line>
                <v:line style="position:absolute" from="6861,9241" to="11229,9241" stroked="true" strokeweight="2.25pt" strokecolor="#f46e16">
                  <v:stroke dashstyle="shortdash"/>
                </v:line>
                <v:shape style="position:absolute;left:5761;top:2563;width:1484;height:1406" id="docshape223" coordorigin="5762,2564" coordsize="1484,1406" path="m6957,3494l6686,3494,6580,3697,6572,3708,6562,3717,6550,3722,6537,3723,6532,3723,6529,3723,6515,3718,6503,3710,6494,3698,6489,3684,6405,3222,6344,3457,6338,3472,6327,3483,6313,3491,6297,3494,6055,3494,6480,3963,6493,3969,6520,3969,6533,3963,6957,3494xm7245,2942l7243,2918,7223,2847,7192,2781,7158,2733,7151,2722,7101,2671,7043,2629,6979,2597,6910,2577,6837,2570,6758,2578,6684,2598,6616,2632,6556,2677,6506,2733,6454,2675,6394,2628,6326,2593,6252,2571,6174,2564,6101,2571,6032,2591,5968,2623,5910,2666,5860,2718,5819,2778,5788,2845,5768,2917,5762,2993,5769,3068,5788,3136,5818,3202,5857,3270,5859,3275,5862,3280,5866,3284,5967,3397,6260,3397,6366,2984,6373,2969,6384,2957,6398,2949,6415,2948,6431,2952,6445,2960,6455,2972,6461,2988,6559,3528,6613,3423,6621,3412,6631,3404,6643,3399,6656,3397,7044,3397,7145,3284,7149,3280,7152,3276,7154,3271,7192,3203,7222,3137,7242,3068,7245,3039,7245,2948,7245,2942xe" filled="true" fillcolor="#ffffff" stroked="false">
                  <v:path arrowok="t"/>
                  <v:fill type="solid"/>
                </v:shape>
                <w10:wrap type="none"/>
              </v:group>
            </w:pict>
          </mc:Fallback>
        </mc:AlternateContent>
      </w:r>
      <w:r>
        <w:rPr>
          <w:rFonts w:ascii="Georgia"/>
          <w:sz w:val="20"/>
        </w:rPr>
        <w:drawing>
          <wp:inline distT="0" distB="0" distL="0" distR="0">
            <wp:extent cx="2950964" cy="2599658"/>
            <wp:effectExtent l="0" t="0" r="0" b="0"/>
            <wp:docPr id="281" name="Image 281"/>
            <wp:cNvGraphicFramePr>
              <a:graphicFrameLocks/>
            </wp:cNvGraphicFramePr>
            <a:graphic>
              <a:graphicData uri="http://schemas.openxmlformats.org/drawingml/2006/picture">
                <pic:pic>
                  <pic:nvPicPr>
                    <pic:cNvPr id="281" name="Image 281"/>
                    <pic:cNvPicPr/>
                  </pic:nvPicPr>
                  <pic:blipFill>
                    <a:blip r:embed="rId307" cstate="print"/>
                    <a:stretch>
                      <a:fillRect/>
                    </a:stretch>
                  </pic:blipFill>
                  <pic:spPr>
                    <a:xfrm>
                      <a:off x="0" y="0"/>
                      <a:ext cx="2950964" cy="2599658"/>
                    </a:xfrm>
                    <a:prstGeom prst="rect">
                      <a:avLst/>
                    </a:prstGeom>
                  </pic:spPr>
                </pic:pic>
              </a:graphicData>
            </a:graphic>
          </wp:inline>
        </w:drawing>
      </w:r>
      <w:r>
        <w:rPr>
          <w:rFonts w:ascii="Georgia"/>
          <w:sz w:val="20"/>
        </w:rPr>
      </w:r>
    </w:p>
    <w:p>
      <w:pPr>
        <w:spacing w:after="0"/>
        <w:rPr>
          <w:rFonts w:ascii="Georgia"/>
          <w:sz w:val="20"/>
        </w:rPr>
        <w:sectPr>
          <w:type w:val="continuous"/>
          <w:pgSz w:w="12240" w:h="15840"/>
          <w:pgMar w:header="0" w:footer="0" w:top="1420" w:bottom="280" w:left="1100" w:right="340"/>
        </w:sectPr>
      </w:pPr>
    </w:p>
    <w:p>
      <w:pPr>
        <w:pStyle w:val="Heading7"/>
        <w:spacing w:before="308"/>
        <w:ind w:left="463"/>
      </w:pPr>
      <w:bookmarkStart w:name="FY 2025 - Pregnancy_Gynecological - Fina" w:id="362"/>
      <w:bookmarkEnd w:id="362"/>
      <w:r>
        <w:rPr/>
      </w:r>
      <w:bookmarkStart w:name="_bookmark193" w:id="363"/>
      <w:bookmarkEnd w:id="363"/>
      <w:r>
        <w:rPr/>
      </w:r>
      <w:hyperlink w:history="true" w:anchor="_bookmark3">
        <w:r>
          <w:rPr>
            <w:color w:val="365F91"/>
            <w:spacing w:val="-10"/>
          </w:rPr>
          <w:t>Broadening</w:t>
        </w:r>
        <w:r>
          <w:rPr>
            <w:color w:val="365F91"/>
            <w:spacing w:val="1"/>
          </w:rPr>
          <w:t> </w:t>
        </w:r>
        <w:r>
          <w:rPr>
            <w:color w:val="365F91"/>
            <w:spacing w:val="-10"/>
          </w:rPr>
          <w:t>Pregnancy</w:t>
        </w:r>
        <w:r>
          <w:rPr>
            <w:color w:val="365F91"/>
          </w:rPr>
          <w:t> </w:t>
        </w:r>
        <w:r>
          <w:rPr>
            <w:color w:val="365F91"/>
            <w:spacing w:val="-10"/>
          </w:rPr>
          <w:t>and</w:t>
        </w:r>
        <w:r>
          <w:rPr>
            <w:color w:val="365F91"/>
            <w:spacing w:val="1"/>
          </w:rPr>
          <w:t> </w:t>
        </w:r>
        <w:r>
          <w:rPr>
            <w:color w:val="365F91"/>
            <w:spacing w:val="-10"/>
          </w:rPr>
          <w:t>Gynecological</w:t>
        </w:r>
        <w:r>
          <w:rPr>
            <w:color w:val="365F91"/>
          </w:rPr>
          <w:t> </w:t>
        </w:r>
        <w:r>
          <w:rPr>
            <w:color w:val="365F91"/>
            <w:spacing w:val="-10"/>
          </w:rPr>
          <w:t>Health</w:t>
        </w:r>
      </w:hyperlink>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34432">
                <wp:simplePos x="0" y="0"/>
                <wp:positionH relativeFrom="page">
                  <wp:posOffset>889000</wp:posOffset>
                </wp:positionH>
                <wp:positionV relativeFrom="paragraph">
                  <wp:posOffset>260158</wp:posOffset>
                </wp:positionV>
                <wp:extent cx="6350" cy="1270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470C4"/>
                        </a:solidFill>
                      </wps:spPr>
                      <wps:bodyPr wrap="square" lIns="0" tIns="0" rIns="0" bIns="0" rtlCol="0">
                        <a:prstTxWarp prst="textNoShape">
                          <a:avLst/>
                        </a:prstTxWarp>
                        <a:noAutofit/>
                      </wps:bodyPr>
                    </wps:wsp>
                  </a:graphicData>
                </a:graphic>
              </wp:anchor>
            </w:drawing>
          </mc:Choice>
          <mc:Fallback>
            <w:pict>
              <v:rect style="position:absolute;margin-left:70pt;margin-top:20.484907pt;width:.499pt;height:.962pt;mso-position-horizontal-relative:page;mso-position-vertical-relative:paragraph;z-index:-15682048;mso-wrap-distance-left:0;mso-wrap-distance-right:0" id="docshape227" filled="true" fillcolor="#4470c4" stroked="false">
                <v:fill type="solid"/>
                <w10:wrap type="topAndBottom"/>
              </v:rect>
            </w:pict>
          </mc:Fallback>
        </mc:AlternateContent>
      </w:r>
    </w:p>
    <w:p>
      <w:pPr>
        <w:spacing w:before="0"/>
        <w:ind w:left="463" w:right="0" w:firstLine="0"/>
        <w:jc w:val="left"/>
        <w:rPr>
          <w:sz w:val="32"/>
        </w:rPr>
      </w:pPr>
      <w:bookmarkStart w:name="Introduction" w:id="364"/>
      <w:bookmarkEnd w:id="364"/>
      <w:r>
        <w:rPr/>
      </w:r>
      <w:r>
        <w:rPr>
          <w:color w:val="365F91"/>
          <w:spacing w:val="-2"/>
          <w:sz w:val="32"/>
        </w:rPr>
        <w:t>Introduction</w:t>
      </w:r>
    </w:p>
    <w:p>
      <w:pPr>
        <w:pStyle w:val="BodyText"/>
        <w:spacing w:before="6"/>
        <w:rPr>
          <w:sz w:val="4"/>
        </w:rPr>
      </w:pPr>
      <w:r>
        <w:rPr/>
        <mc:AlternateContent>
          <mc:Choice Requires="wps">
            <w:drawing>
              <wp:anchor distT="0" distB="0" distL="0" distR="0" allowOverlap="1" layoutInCell="1" locked="0" behindDoc="1" simplePos="0" relativeHeight="487634944">
                <wp:simplePos x="0" y="0"/>
                <wp:positionH relativeFrom="page">
                  <wp:posOffset>897636</wp:posOffset>
                </wp:positionH>
                <wp:positionV relativeFrom="paragraph">
                  <wp:posOffset>50288</wp:posOffset>
                </wp:positionV>
                <wp:extent cx="6103620" cy="635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6103620" cy="6350"/>
                        </a:xfrm>
                        <a:custGeom>
                          <a:avLst/>
                          <a:gdLst/>
                          <a:ahLst/>
                          <a:cxnLst/>
                          <a:rect l="l" t="t" r="r" b="b"/>
                          <a:pathLst>
                            <a:path w="6103620" h="6350">
                              <a:moveTo>
                                <a:pt x="6103620" y="0"/>
                              </a:moveTo>
                              <a:lnTo>
                                <a:pt x="0" y="0"/>
                              </a:lnTo>
                              <a:lnTo>
                                <a:pt x="0" y="6108"/>
                              </a:lnTo>
                              <a:lnTo>
                                <a:pt x="6103620" y="6108"/>
                              </a:lnTo>
                              <a:lnTo>
                                <a:pt x="61036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95975pt;width:480.6pt;height:.481pt;mso-position-horizontal-relative:page;mso-position-vertical-relative:paragraph;z-index:-15681536;mso-wrap-distance-left:0;mso-wrap-distance-right:0" id="docshape228" filled="true" fillcolor="#4f81bc" stroked="false">
                <v:fill type="solid"/>
                <w10:wrap type="topAndBottom"/>
              </v:rect>
            </w:pict>
          </mc:Fallback>
        </mc:AlternateContent>
      </w:r>
    </w:p>
    <w:p>
      <w:pPr>
        <w:spacing w:line="276" w:lineRule="auto" w:before="240"/>
        <w:ind w:left="463" w:right="242" w:firstLine="0"/>
        <w:jc w:val="both"/>
        <w:rPr>
          <w:i/>
          <w:sz w:val="22"/>
        </w:rPr>
      </w:pPr>
      <w:bookmarkStart w:name="(first published in FY 2024 Annual Recom" w:id="365"/>
      <w:bookmarkEnd w:id="365"/>
      <w:r>
        <w:rPr/>
      </w:r>
      <w:r>
        <w:rPr>
          <w:i/>
          <w:sz w:val="22"/>
        </w:rPr>
        <w:t>(first published in FY 2024 Annual Recommendations Report, minor updates made to bring current to FY</w:t>
      </w:r>
      <w:r>
        <w:rPr>
          <w:i/>
          <w:sz w:val="22"/>
        </w:rPr>
        <w:t> </w:t>
      </w:r>
      <w:r>
        <w:rPr>
          <w:i/>
          <w:spacing w:val="-2"/>
          <w:sz w:val="22"/>
        </w:rPr>
        <w:t>2025)</w:t>
      </w:r>
    </w:p>
    <w:p>
      <w:pPr>
        <w:pStyle w:val="BodyText"/>
        <w:spacing w:line="276" w:lineRule="auto" w:before="241"/>
        <w:ind w:left="463" w:right="241"/>
        <w:jc w:val="both"/>
      </w:pPr>
      <w:r>
        <w:rPr/>
        <w:t>This</w:t>
      </w:r>
      <w:r>
        <w:rPr>
          <w:spacing w:val="-2"/>
        </w:rPr>
        <w:t> </w:t>
      </w:r>
      <w:r>
        <w:rPr/>
        <w:t>report</w:t>
      </w:r>
      <w:r>
        <w:rPr>
          <w:spacing w:val="-2"/>
        </w:rPr>
        <w:t> </w:t>
      </w:r>
      <w:r>
        <w:rPr/>
        <w:t>provides</w:t>
      </w:r>
      <w:r>
        <w:rPr>
          <w:spacing w:val="-2"/>
        </w:rPr>
        <w:t> </w:t>
      </w:r>
      <w:r>
        <w:rPr/>
        <w:t>background</w:t>
      </w:r>
      <w:r>
        <w:rPr>
          <w:spacing w:val="-2"/>
        </w:rPr>
        <w:t> </w:t>
      </w:r>
      <w:r>
        <w:rPr/>
        <w:t>information</w:t>
      </w:r>
      <w:r>
        <w:rPr>
          <w:spacing w:val="-2"/>
        </w:rPr>
        <w:t> </w:t>
      </w:r>
      <w:r>
        <w:rPr/>
        <w:t>and</w:t>
      </w:r>
      <w:r>
        <w:rPr>
          <w:spacing w:val="-2"/>
        </w:rPr>
        <w:t> </w:t>
      </w:r>
      <w:r>
        <w:rPr/>
        <w:t>literature</w:t>
      </w:r>
      <w:r>
        <w:rPr>
          <w:spacing w:val="-2"/>
        </w:rPr>
        <w:t> </w:t>
      </w:r>
      <w:r>
        <w:rPr/>
        <w:t>regarding</w:t>
      </w:r>
      <w:r>
        <w:rPr>
          <w:spacing w:val="-2"/>
        </w:rPr>
        <w:t> </w:t>
      </w:r>
      <w:r>
        <w:rPr/>
        <w:t>issues</w:t>
      </w:r>
      <w:r>
        <w:rPr>
          <w:spacing w:val="-2"/>
        </w:rPr>
        <w:t> </w:t>
      </w:r>
      <w:r>
        <w:rPr/>
        <w:t>that</w:t>
      </w:r>
      <w:r>
        <w:rPr>
          <w:spacing w:val="-2"/>
        </w:rPr>
        <w:t> </w:t>
      </w:r>
      <w:r>
        <w:rPr/>
        <w:t>fall</w:t>
      </w:r>
      <w:r>
        <w:rPr>
          <w:spacing w:val="-2"/>
        </w:rPr>
        <w:t> </w:t>
      </w:r>
      <w:r>
        <w:rPr/>
        <w:t>under</w:t>
      </w:r>
      <w:r>
        <w:rPr>
          <w:spacing w:val="-2"/>
        </w:rPr>
        <w:t> </w:t>
      </w:r>
      <w:r>
        <w:rPr/>
        <w:t>the</w:t>
      </w:r>
      <w:r>
        <w:rPr>
          <w:spacing w:val="-2"/>
        </w:rPr>
        <w:t> </w:t>
      </w:r>
      <w:r>
        <w:rPr/>
        <w:t>umbrella</w:t>
      </w:r>
      <w:r>
        <w:rPr>
          <w:spacing w:val="-2"/>
        </w:rPr>
        <w:t> </w:t>
      </w:r>
      <w:r>
        <w:rPr/>
        <w:t>of pregnancy and gynecological health related to LGBTQ youth. The information details healthcare services such as gender-affirming care, contraceptives, fertility treatments, and abortion discussed in relation to LGBTQ youth and the general LGBTQ population. Background on menstruation and pregnancy is detailed below</w:t>
      </w:r>
      <w:r>
        <w:rPr>
          <w:spacing w:val="-6"/>
        </w:rPr>
        <w:t> </w:t>
      </w:r>
      <w:r>
        <w:rPr/>
        <w:t>to</w:t>
      </w:r>
      <w:r>
        <w:rPr>
          <w:spacing w:val="-5"/>
        </w:rPr>
        <w:t> </w:t>
      </w:r>
      <w:r>
        <w:rPr/>
        <w:t>capture</w:t>
      </w:r>
      <w:r>
        <w:rPr>
          <w:spacing w:val="-7"/>
        </w:rPr>
        <w:t> </w:t>
      </w:r>
      <w:r>
        <w:rPr/>
        <w:t>the</w:t>
      </w:r>
      <w:r>
        <w:rPr>
          <w:spacing w:val="-5"/>
        </w:rPr>
        <w:t> </w:t>
      </w:r>
      <w:r>
        <w:rPr/>
        <w:t>inequities</w:t>
      </w:r>
      <w:r>
        <w:rPr>
          <w:spacing w:val="-6"/>
        </w:rPr>
        <w:t> </w:t>
      </w:r>
      <w:r>
        <w:rPr/>
        <w:t>LGBTQ</w:t>
      </w:r>
      <w:r>
        <w:rPr>
          <w:spacing w:val="-5"/>
        </w:rPr>
        <w:t> </w:t>
      </w:r>
      <w:r>
        <w:rPr/>
        <w:t>youth</w:t>
      </w:r>
      <w:r>
        <w:rPr>
          <w:spacing w:val="-7"/>
        </w:rPr>
        <w:t> </w:t>
      </w:r>
      <w:r>
        <w:rPr/>
        <w:t>and</w:t>
      </w:r>
      <w:r>
        <w:rPr>
          <w:spacing w:val="-5"/>
        </w:rPr>
        <w:t> </w:t>
      </w:r>
      <w:r>
        <w:rPr/>
        <w:t>the</w:t>
      </w:r>
      <w:r>
        <w:rPr>
          <w:spacing w:val="-4"/>
        </w:rPr>
        <w:t> </w:t>
      </w:r>
      <w:r>
        <w:rPr/>
        <w:t>general</w:t>
      </w:r>
      <w:r>
        <w:rPr>
          <w:spacing w:val="-6"/>
        </w:rPr>
        <w:t> </w:t>
      </w:r>
      <w:r>
        <w:rPr/>
        <w:t>LGBTQ</w:t>
      </w:r>
      <w:r>
        <w:rPr>
          <w:spacing w:val="-7"/>
        </w:rPr>
        <w:t> </w:t>
      </w:r>
      <w:r>
        <w:rPr/>
        <w:t>population</w:t>
      </w:r>
      <w:r>
        <w:rPr>
          <w:spacing w:val="-4"/>
        </w:rPr>
        <w:t> </w:t>
      </w:r>
      <w:r>
        <w:rPr/>
        <w:t>experience</w:t>
      </w:r>
      <w:r>
        <w:rPr>
          <w:spacing w:val="-5"/>
        </w:rPr>
        <w:t> </w:t>
      </w:r>
      <w:r>
        <w:rPr/>
        <w:t>with</w:t>
      </w:r>
      <w:r>
        <w:rPr>
          <w:spacing w:val="-5"/>
        </w:rPr>
        <w:t> </w:t>
      </w:r>
      <w:r>
        <w:rPr/>
        <w:t>these</w:t>
      </w:r>
      <w:r>
        <w:rPr>
          <w:spacing w:val="-5"/>
        </w:rPr>
        <w:t> </w:t>
      </w:r>
      <w:r>
        <w:rPr/>
        <w:t>two biological functions. Maternal mortality is also a topic of discussion as there is a lack of universal data collection on maternal deaths for LGBTQ birthing people.</w:t>
      </w:r>
    </w:p>
    <w:p>
      <w:pPr>
        <w:pStyle w:val="BodyText"/>
        <w:spacing w:before="240"/>
        <w:ind w:left="463" w:right="241"/>
        <w:jc w:val="both"/>
      </w:pPr>
      <w:r>
        <w:rPr/>
        <w:t>The second part of this report demonstrates Massachusetts’ efforts in expanding reproductive health care that could improve pregnancy and gynecological outcomes for LGBTQ youth and where some policies fall short. Healthcare coverage is an essential component that can provide LGBTQ youth patients access to healthcare providers and facilities. This is crucial for LGBTQ birthing people who need healthcare access during</w:t>
      </w:r>
      <w:r>
        <w:rPr>
          <w:spacing w:val="-10"/>
        </w:rPr>
        <w:t> </w:t>
      </w:r>
      <w:r>
        <w:rPr/>
        <w:t>pregnancy</w:t>
      </w:r>
      <w:r>
        <w:rPr>
          <w:spacing w:val="-11"/>
        </w:rPr>
        <w:t> </w:t>
      </w:r>
      <w:r>
        <w:rPr/>
        <w:t>and</w:t>
      </w:r>
      <w:r>
        <w:rPr>
          <w:spacing w:val="-10"/>
        </w:rPr>
        <w:t> </w:t>
      </w:r>
      <w:r>
        <w:rPr/>
        <w:t>post-partum.</w:t>
      </w:r>
      <w:r>
        <w:rPr>
          <w:spacing w:val="-12"/>
        </w:rPr>
        <w:t> </w:t>
      </w:r>
      <w:r>
        <w:rPr/>
        <w:t>LGBTQ</w:t>
      </w:r>
      <w:r>
        <w:rPr>
          <w:spacing w:val="-11"/>
        </w:rPr>
        <w:t> </w:t>
      </w:r>
      <w:r>
        <w:rPr/>
        <w:t>youth</w:t>
      </w:r>
      <w:r>
        <w:rPr>
          <w:spacing w:val="-11"/>
        </w:rPr>
        <w:t> </w:t>
      </w:r>
      <w:r>
        <w:rPr/>
        <w:t>may</w:t>
      </w:r>
      <w:r>
        <w:rPr>
          <w:spacing w:val="-11"/>
        </w:rPr>
        <w:t> </w:t>
      </w:r>
      <w:r>
        <w:rPr/>
        <w:t>experience</w:t>
      </w:r>
      <w:r>
        <w:rPr>
          <w:spacing w:val="-11"/>
        </w:rPr>
        <w:t> </w:t>
      </w:r>
      <w:r>
        <w:rPr/>
        <w:t>infertility</w:t>
      </w:r>
      <w:r>
        <w:rPr>
          <w:spacing w:val="-10"/>
        </w:rPr>
        <w:t> </w:t>
      </w:r>
      <w:r>
        <w:rPr/>
        <w:t>due</w:t>
      </w:r>
      <w:r>
        <w:rPr>
          <w:spacing w:val="-9"/>
        </w:rPr>
        <w:t> </w:t>
      </w:r>
      <w:r>
        <w:rPr/>
        <w:t>to</w:t>
      </w:r>
      <w:r>
        <w:rPr>
          <w:spacing w:val="-11"/>
        </w:rPr>
        <w:t> </w:t>
      </w:r>
      <w:r>
        <w:rPr/>
        <w:t>hormone</w:t>
      </w:r>
      <w:r>
        <w:rPr>
          <w:spacing w:val="-10"/>
        </w:rPr>
        <w:t> </w:t>
      </w:r>
      <w:r>
        <w:rPr/>
        <w:t>therapy</w:t>
      </w:r>
      <w:r>
        <w:rPr>
          <w:spacing w:val="-11"/>
        </w:rPr>
        <w:t> </w:t>
      </w:r>
      <w:r>
        <w:rPr/>
        <w:t>or</w:t>
      </w:r>
      <w:r>
        <w:rPr>
          <w:spacing w:val="-11"/>
        </w:rPr>
        <w:t> </w:t>
      </w:r>
      <w:r>
        <w:rPr/>
        <w:t>may not be able to conceive with a partner who is the same sex or has the same reproductive anatomy. Expanding</w:t>
      </w:r>
      <w:r>
        <w:rPr>
          <w:spacing w:val="-13"/>
        </w:rPr>
        <w:t> </w:t>
      </w:r>
      <w:r>
        <w:rPr/>
        <w:t>access</w:t>
      </w:r>
      <w:r>
        <w:rPr>
          <w:spacing w:val="-12"/>
        </w:rPr>
        <w:t> </w:t>
      </w:r>
      <w:r>
        <w:rPr/>
        <w:t>to</w:t>
      </w:r>
      <w:r>
        <w:rPr>
          <w:spacing w:val="-13"/>
        </w:rPr>
        <w:t> </w:t>
      </w:r>
      <w:r>
        <w:rPr/>
        <w:t>fertility</w:t>
      </w:r>
      <w:r>
        <w:rPr>
          <w:spacing w:val="-12"/>
        </w:rPr>
        <w:t> </w:t>
      </w:r>
      <w:r>
        <w:rPr/>
        <w:t>treatments</w:t>
      </w:r>
      <w:r>
        <w:rPr>
          <w:spacing w:val="-13"/>
        </w:rPr>
        <w:t> </w:t>
      </w:r>
      <w:r>
        <w:rPr/>
        <w:t>for</w:t>
      </w:r>
      <w:r>
        <w:rPr>
          <w:spacing w:val="-12"/>
        </w:rPr>
        <w:t> </w:t>
      </w:r>
      <w:r>
        <w:rPr/>
        <w:t>LGBTQ</w:t>
      </w:r>
      <w:r>
        <w:rPr>
          <w:spacing w:val="-13"/>
        </w:rPr>
        <w:t> </w:t>
      </w:r>
      <w:r>
        <w:rPr/>
        <w:t>individuals</w:t>
      </w:r>
      <w:r>
        <w:rPr>
          <w:spacing w:val="-12"/>
        </w:rPr>
        <w:t> </w:t>
      </w:r>
      <w:r>
        <w:rPr/>
        <w:t>assigned</w:t>
      </w:r>
      <w:r>
        <w:rPr>
          <w:spacing w:val="-12"/>
        </w:rPr>
        <w:t> </w:t>
      </w:r>
      <w:r>
        <w:rPr/>
        <w:t>female</w:t>
      </w:r>
      <w:r>
        <w:rPr>
          <w:spacing w:val="-13"/>
        </w:rPr>
        <w:t> </w:t>
      </w:r>
      <w:r>
        <w:rPr/>
        <w:t>at</w:t>
      </w:r>
      <w:r>
        <w:rPr>
          <w:spacing w:val="-12"/>
        </w:rPr>
        <w:t> </w:t>
      </w:r>
      <w:r>
        <w:rPr/>
        <w:t>birth</w:t>
      </w:r>
      <w:r>
        <w:rPr>
          <w:spacing w:val="-13"/>
        </w:rPr>
        <w:t> </w:t>
      </w:r>
      <w:r>
        <w:rPr/>
        <w:t>furthers</w:t>
      </w:r>
      <w:r>
        <w:rPr>
          <w:spacing w:val="-12"/>
        </w:rPr>
        <w:t> </w:t>
      </w:r>
      <w:r>
        <w:rPr/>
        <w:t>reproductive rights for those who do not fall under the heteronormative ideals of what a “mother” or parent should be. For LGBTQ youth, doula services can provide a wide range of support whether it be for pregnancy-related reasons,</w:t>
      </w:r>
      <w:r>
        <w:rPr>
          <w:spacing w:val="-10"/>
        </w:rPr>
        <w:t> </w:t>
      </w:r>
      <w:r>
        <w:rPr/>
        <w:t>abortion</w:t>
      </w:r>
      <w:r>
        <w:rPr>
          <w:spacing w:val="-10"/>
        </w:rPr>
        <w:t> </w:t>
      </w:r>
      <w:r>
        <w:rPr/>
        <w:t>support,</w:t>
      </w:r>
      <w:r>
        <w:rPr>
          <w:spacing w:val="-8"/>
        </w:rPr>
        <w:t> </w:t>
      </w:r>
      <w:r>
        <w:rPr/>
        <w:t>and</w:t>
      </w:r>
      <w:r>
        <w:rPr>
          <w:spacing w:val="-10"/>
        </w:rPr>
        <w:t> </w:t>
      </w:r>
      <w:r>
        <w:rPr/>
        <w:t>even</w:t>
      </w:r>
      <w:r>
        <w:rPr>
          <w:spacing w:val="-9"/>
        </w:rPr>
        <w:t> </w:t>
      </w:r>
      <w:r>
        <w:rPr/>
        <w:t>gender-affirming</w:t>
      </w:r>
      <w:r>
        <w:rPr>
          <w:spacing w:val="-8"/>
        </w:rPr>
        <w:t> </w:t>
      </w:r>
      <w:r>
        <w:rPr/>
        <w:t>healthcare</w:t>
      </w:r>
      <w:r>
        <w:rPr>
          <w:spacing w:val="-10"/>
        </w:rPr>
        <w:t> </w:t>
      </w:r>
      <w:r>
        <w:rPr/>
        <w:t>support.</w:t>
      </w:r>
      <w:r>
        <w:rPr>
          <w:spacing w:val="-10"/>
        </w:rPr>
        <w:t> </w:t>
      </w:r>
      <w:r>
        <w:rPr/>
        <w:t>LGBTQ</w:t>
      </w:r>
      <w:r>
        <w:rPr>
          <w:spacing w:val="-9"/>
        </w:rPr>
        <w:t> </w:t>
      </w:r>
      <w:r>
        <w:rPr/>
        <w:t>youth</w:t>
      </w:r>
      <w:r>
        <w:rPr>
          <w:spacing w:val="-9"/>
        </w:rPr>
        <w:t> </w:t>
      </w:r>
      <w:r>
        <w:rPr/>
        <w:t>also</w:t>
      </w:r>
      <w:r>
        <w:rPr>
          <w:spacing w:val="-9"/>
        </w:rPr>
        <w:t> </w:t>
      </w:r>
      <w:r>
        <w:rPr/>
        <w:t>deserve</w:t>
      </w:r>
      <w:r>
        <w:rPr>
          <w:spacing w:val="-10"/>
        </w:rPr>
        <w:t> </w:t>
      </w:r>
      <w:r>
        <w:rPr/>
        <w:t>access to abortion care, birth control access, and access to menstrual products and the Commonwealth has the opportunity to further expand access through legislation.</w:t>
      </w:r>
    </w:p>
    <w:p>
      <w:pPr>
        <w:pStyle w:val="BodyText"/>
        <w:spacing w:before="130"/>
      </w:pPr>
    </w:p>
    <w:p>
      <w:pPr>
        <w:spacing w:line="379" w:lineRule="auto" w:before="0"/>
        <w:ind w:left="463" w:right="243" w:hanging="1"/>
        <w:jc w:val="both"/>
        <w:rPr>
          <w:sz w:val="28"/>
        </w:rPr>
      </w:pPr>
      <w:r>
        <w:rPr/>
        <mc:AlternateContent>
          <mc:Choice Requires="wps">
            <w:drawing>
              <wp:anchor distT="0" distB="0" distL="0" distR="0" allowOverlap="1" layoutInCell="1" locked="0" behindDoc="0" simplePos="0" relativeHeight="15776256">
                <wp:simplePos x="0" y="0"/>
                <wp:positionH relativeFrom="page">
                  <wp:posOffset>897636</wp:posOffset>
                </wp:positionH>
                <wp:positionV relativeFrom="paragraph">
                  <wp:posOffset>573181</wp:posOffset>
                </wp:positionV>
                <wp:extent cx="6103620" cy="6350"/>
                <wp:effectExtent l="0" t="0" r="0" b="0"/>
                <wp:wrapNone/>
                <wp:docPr id="287" name="Graphic 287"/>
                <wp:cNvGraphicFramePr>
                  <a:graphicFrameLocks/>
                </wp:cNvGraphicFramePr>
                <a:graphic>
                  <a:graphicData uri="http://schemas.microsoft.com/office/word/2010/wordprocessingShape">
                    <wps:wsp>
                      <wps:cNvPr id="287" name="Graphic 287"/>
                      <wps:cNvSpPr/>
                      <wps:spPr>
                        <a:xfrm>
                          <a:off x="0" y="0"/>
                          <a:ext cx="6103620" cy="6350"/>
                        </a:xfrm>
                        <a:custGeom>
                          <a:avLst/>
                          <a:gdLst/>
                          <a:ahLst/>
                          <a:cxnLst/>
                          <a:rect l="l" t="t" r="r" b="b"/>
                          <a:pathLst>
                            <a:path w="6103620" h="6350">
                              <a:moveTo>
                                <a:pt x="6103620" y="0"/>
                              </a:moveTo>
                              <a:lnTo>
                                <a:pt x="0" y="0"/>
                              </a:lnTo>
                              <a:lnTo>
                                <a:pt x="0" y="6096"/>
                              </a:lnTo>
                              <a:lnTo>
                                <a:pt x="6103620" y="6096"/>
                              </a:lnTo>
                              <a:lnTo>
                                <a:pt x="61036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45.132401pt;width:480.6pt;height:.48pt;mso-position-horizontal-relative:page;mso-position-vertical-relative:paragraph;z-index:15776256" id="docshape229" filled="true" fillcolor="#4f81bc" stroked="false">
                <v:fill type="solid"/>
                <w10:wrap type="none"/>
              </v:rect>
            </w:pict>
          </mc:Fallback>
        </mc:AlternateContent>
      </w:r>
      <w:r>
        <w:rPr/>
        <mc:AlternateContent>
          <mc:Choice Requires="wps">
            <w:drawing>
              <wp:anchor distT="0" distB="0" distL="0" distR="0" allowOverlap="1" layoutInCell="1" locked="0" behindDoc="0" simplePos="0" relativeHeight="15776768">
                <wp:simplePos x="0" y="0"/>
                <wp:positionH relativeFrom="page">
                  <wp:posOffset>889000</wp:posOffset>
                </wp:positionH>
                <wp:positionV relativeFrom="paragraph">
                  <wp:posOffset>330827</wp:posOffset>
                </wp:positionV>
                <wp:extent cx="6350" cy="12700"/>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4470C4"/>
                        </a:solidFill>
                      </wps:spPr>
                      <wps:bodyPr wrap="square" lIns="0" tIns="0" rIns="0" bIns="0" rtlCol="0">
                        <a:prstTxWarp prst="textNoShape">
                          <a:avLst/>
                        </a:prstTxWarp>
                        <a:noAutofit/>
                      </wps:bodyPr>
                    </wps:wsp>
                  </a:graphicData>
                </a:graphic>
              </wp:anchor>
            </w:drawing>
          </mc:Choice>
          <mc:Fallback>
            <w:pict>
              <v:rect style="position:absolute;margin-left:70pt;margin-top:26.049402pt;width:.499pt;height:.961pt;mso-position-horizontal-relative:page;mso-position-vertical-relative:paragraph;z-index:15776768" id="docshape230" filled="true" fillcolor="#4470c4" stroked="false">
                <v:fill type="solid"/>
                <w10:wrap type="none"/>
              </v:rect>
            </w:pict>
          </mc:Fallback>
        </mc:AlternateContent>
      </w:r>
      <w:bookmarkStart w:name="FY 2025 Recommendations to the Governor " w:id="366"/>
      <w:bookmarkEnd w:id="366"/>
      <w:r>
        <w:rPr/>
      </w:r>
      <w:r>
        <w:rPr>
          <w:color w:val="365F91"/>
          <w:sz w:val="28"/>
        </w:rPr>
        <w:t>FY 2025 Recommendations to the Governor and Legislature on Pregnancy &amp; Gynecological Health</w:t>
      </w:r>
    </w:p>
    <w:p>
      <w:pPr>
        <w:numPr>
          <w:ilvl w:val="0"/>
          <w:numId w:val="22"/>
        </w:numPr>
        <w:tabs>
          <w:tab w:pos="461" w:val="left" w:leader="none"/>
          <w:tab w:pos="463" w:val="left" w:leader="none"/>
        </w:tabs>
        <w:spacing w:before="72"/>
        <w:ind w:left="463" w:right="241" w:hanging="360"/>
        <w:jc w:val="left"/>
        <w:rPr>
          <w:b/>
          <w:sz w:val="22"/>
        </w:rPr>
      </w:pPr>
      <w:r>
        <w:rPr>
          <w:b/>
          <w:sz w:val="22"/>
        </w:rPr>
        <w:t>Improve SOGI data collection efforts across state services as it relates to pregnancy service needs and</w:t>
      </w:r>
      <w:r>
        <w:rPr>
          <w:b/>
          <w:spacing w:val="40"/>
          <w:sz w:val="22"/>
        </w:rPr>
        <w:t> </w:t>
      </w:r>
      <w:r>
        <w:rPr>
          <w:b/>
          <w:sz w:val="22"/>
        </w:rPr>
        <w:t>mortality rates.</w:t>
      </w:r>
    </w:p>
    <w:p>
      <w:pPr>
        <w:pStyle w:val="BodyText"/>
        <w:spacing w:line="276" w:lineRule="auto" w:before="241"/>
        <w:ind w:left="463" w:right="243"/>
        <w:jc w:val="both"/>
      </w:pPr>
      <w:r>
        <w:rPr/>
        <w:t>As discussed throughout this section, there remains a critical lack of SOGI data collection as it relates to pregnancy</w:t>
      </w:r>
      <w:r>
        <w:rPr>
          <w:spacing w:val="-1"/>
        </w:rPr>
        <w:t> </w:t>
      </w:r>
      <w:r>
        <w:rPr/>
        <w:t>and</w:t>
      </w:r>
      <w:r>
        <w:rPr>
          <w:spacing w:val="-2"/>
        </w:rPr>
        <w:t> </w:t>
      </w:r>
      <w:r>
        <w:rPr/>
        <w:t>abortion</w:t>
      </w:r>
      <w:r>
        <w:rPr>
          <w:spacing w:val="-2"/>
        </w:rPr>
        <w:t> </w:t>
      </w:r>
      <w:r>
        <w:rPr/>
        <w:t>services,</w:t>
      </w:r>
      <w:r>
        <w:rPr>
          <w:spacing w:val="-1"/>
        </w:rPr>
        <w:t> </w:t>
      </w:r>
      <w:r>
        <w:rPr/>
        <w:t>as</w:t>
      </w:r>
      <w:r>
        <w:rPr>
          <w:spacing w:val="-1"/>
        </w:rPr>
        <w:t> </w:t>
      </w:r>
      <w:r>
        <w:rPr/>
        <w:t>well</w:t>
      </w:r>
      <w:r>
        <w:rPr>
          <w:spacing w:val="-2"/>
        </w:rPr>
        <w:t> </w:t>
      </w:r>
      <w:r>
        <w:rPr/>
        <w:t>as</w:t>
      </w:r>
      <w:r>
        <w:rPr>
          <w:spacing w:val="-1"/>
        </w:rPr>
        <w:t> </w:t>
      </w:r>
      <w:r>
        <w:rPr/>
        <w:t>mortality rates</w:t>
      </w:r>
      <w:r>
        <w:rPr>
          <w:spacing w:val="-1"/>
        </w:rPr>
        <w:t> </w:t>
      </w:r>
      <w:r>
        <w:rPr/>
        <w:t>for</w:t>
      </w:r>
      <w:r>
        <w:rPr>
          <w:spacing w:val="-1"/>
        </w:rPr>
        <w:t> </w:t>
      </w:r>
      <w:r>
        <w:rPr/>
        <w:t>birthing</w:t>
      </w:r>
      <w:r>
        <w:rPr>
          <w:spacing w:val="-1"/>
        </w:rPr>
        <w:t> </w:t>
      </w:r>
      <w:r>
        <w:rPr/>
        <w:t>people. Without</w:t>
      </w:r>
      <w:r>
        <w:rPr>
          <w:spacing w:val="-1"/>
        </w:rPr>
        <w:t> </w:t>
      </w:r>
      <w:r>
        <w:rPr/>
        <w:t>this information,</w:t>
      </w:r>
      <w:r>
        <w:rPr>
          <w:spacing w:val="-1"/>
        </w:rPr>
        <w:t> </w:t>
      </w:r>
      <w:r>
        <w:rPr/>
        <w:t>it </w:t>
      </w:r>
      <w:r>
        <w:rPr>
          <w:spacing w:val="-2"/>
        </w:rPr>
        <w:t>is</w:t>
      </w:r>
      <w:r>
        <w:rPr>
          <w:spacing w:val="-3"/>
        </w:rPr>
        <w:t> </w:t>
      </w:r>
      <w:r>
        <w:rPr>
          <w:spacing w:val="-2"/>
        </w:rPr>
        <w:t>difficult</w:t>
      </w:r>
      <w:r>
        <w:rPr>
          <w:spacing w:val="-3"/>
        </w:rPr>
        <w:t> </w:t>
      </w:r>
      <w:r>
        <w:rPr>
          <w:spacing w:val="-2"/>
        </w:rPr>
        <w:t>to</w:t>
      </w:r>
      <w:r>
        <w:rPr>
          <w:spacing w:val="-3"/>
        </w:rPr>
        <w:t> </w:t>
      </w:r>
      <w:r>
        <w:rPr>
          <w:spacing w:val="-2"/>
        </w:rPr>
        <w:t>accurately</w:t>
      </w:r>
      <w:r>
        <w:rPr>
          <w:spacing w:val="-3"/>
        </w:rPr>
        <w:t> </w:t>
      </w:r>
      <w:r>
        <w:rPr>
          <w:spacing w:val="-2"/>
        </w:rPr>
        <w:t>capture</w:t>
      </w:r>
      <w:r>
        <w:rPr>
          <w:spacing w:val="-3"/>
        </w:rPr>
        <w:t> </w:t>
      </w:r>
      <w:r>
        <w:rPr>
          <w:spacing w:val="-2"/>
        </w:rPr>
        <w:t>the</w:t>
      </w:r>
      <w:r>
        <w:rPr>
          <w:spacing w:val="-3"/>
        </w:rPr>
        <w:t> </w:t>
      </w:r>
      <w:r>
        <w:rPr>
          <w:spacing w:val="-2"/>
        </w:rPr>
        <w:t>experiences</w:t>
      </w:r>
      <w:r>
        <w:rPr>
          <w:spacing w:val="-3"/>
        </w:rPr>
        <w:t> </w:t>
      </w:r>
      <w:r>
        <w:rPr>
          <w:spacing w:val="-2"/>
        </w:rPr>
        <w:t>of</w:t>
      </w:r>
      <w:r>
        <w:rPr>
          <w:spacing w:val="-3"/>
        </w:rPr>
        <w:t> </w:t>
      </w:r>
      <w:r>
        <w:rPr>
          <w:spacing w:val="-2"/>
        </w:rPr>
        <w:t>LGBTQ</w:t>
      </w:r>
      <w:r>
        <w:rPr>
          <w:spacing w:val="-3"/>
        </w:rPr>
        <w:t> </w:t>
      </w:r>
      <w:r>
        <w:rPr>
          <w:spacing w:val="-2"/>
        </w:rPr>
        <w:t>individuals</w:t>
      </w:r>
      <w:r>
        <w:rPr>
          <w:spacing w:val="-3"/>
        </w:rPr>
        <w:t> </w:t>
      </w:r>
      <w:r>
        <w:rPr>
          <w:spacing w:val="-2"/>
        </w:rPr>
        <w:t>across</w:t>
      </w:r>
      <w:r>
        <w:rPr>
          <w:spacing w:val="-3"/>
        </w:rPr>
        <w:t> </w:t>
      </w:r>
      <w:r>
        <w:rPr>
          <w:spacing w:val="-2"/>
        </w:rPr>
        <w:t>the</w:t>
      </w:r>
      <w:r>
        <w:rPr>
          <w:spacing w:val="-3"/>
        </w:rPr>
        <w:t> </w:t>
      </w:r>
      <w:r>
        <w:rPr>
          <w:spacing w:val="-2"/>
        </w:rPr>
        <w:t>state</w:t>
      </w:r>
      <w:r>
        <w:rPr>
          <w:spacing w:val="-3"/>
        </w:rPr>
        <w:t> </w:t>
      </w:r>
      <w:r>
        <w:rPr>
          <w:spacing w:val="-2"/>
        </w:rPr>
        <w:t>who</w:t>
      </w:r>
      <w:r>
        <w:rPr>
          <w:spacing w:val="-3"/>
        </w:rPr>
        <w:t> </w:t>
      </w:r>
      <w:r>
        <w:rPr>
          <w:spacing w:val="-2"/>
        </w:rPr>
        <w:t>seek</w:t>
      </w:r>
      <w:r>
        <w:rPr>
          <w:spacing w:val="-3"/>
        </w:rPr>
        <w:t> </w:t>
      </w:r>
      <w:r>
        <w:rPr>
          <w:spacing w:val="-2"/>
        </w:rPr>
        <w:t>reproductive </w:t>
      </w:r>
      <w:r>
        <w:rPr/>
        <w:t>health</w:t>
      </w:r>
      <w:r>
        <w:rPr>
          <w:spacing w:val="-13"/>
        </w:rPr>
        <w:t> </w:t>
      </w:r>
      <w:r>
        <w:rPr/>
        <w:t>care.</w:t>
      </w:r>
      <w:r>
        <w:rPr>
          <w:spacing w:val="-12"/>
        </w:rPr>
        <w:t> </w:t>
      </w:r>
      <w:r>
        <w:rPr/>
        <w:t>The</w:t>
      </w:r>
      <w:r>
        <w:rPr>
          <w:spacing w:val="-13"/>
        </w:rPr>
        <w:t> </w:t>
      </w:r>
      <w:r>
        <w:rPr/>
        <w:t>Commission</w:t>
      </w:r>
      <w:r>
        <w:rPr>
          <w:spacing w:val="-12"/>
        </w:rPr>
        <w:t> </w:t>
      </w:r>
      <w:r>
        <w:rPr/>
        <w:t>recommends</w:t>
      </w:r>
      <w:r>
        <w:rPr>
          <w:spacing w:val="-13"/>
        </w:rPr>
        <w:t> </w:t>
      </w:r>
      <w:r>
        <w:rPr/>
        <w:t>that</w:t>
      </w:r>
      <w:r>
        <w:rPr>
          <w:spacing w:val="-12"/>
        </w:rPr>
        <w:t> </w:t>
      </w:r>
      <w:r>
        <w:rPr/>
        <w:t>agencies</w:t>
      </w:r>
      <w:r>
        <w:rPr>
          <w:spacing w:val="-12"/>
        </w:rPr>
        <w:t> </w:t>
      </w:r>
      <w:r>
        <w:rPr/>
        <w:t>explore</w:t>
      </w:r>
      <w:r>
        <w:rPr>
          <w:spacing w:val="-10"/>
        </w:rPr>
        <w:t> </w:t>
      </w:r>
      <w:r>
        <w:rPr/>
        <w:t>ways</w:t>
      </w:r>
      <w:r>
        <w:rPr>
          <w:spacing w:val="-12"/>
        </w:rPr>
        <w:t> </w:t>
      </w:r>
      <w:r>
        <w:rPr/>
        <w:t>to</w:t>
      </w:r>
      <w:r>
        <w:rPr>
          <w:spacing w:val="-12"/>
        </w:rPr>
        <w:t> </w:t>
      </w:r>
      <w:r>
        <w:rPr/>
        <w:t>include</w:t>
      </w:r>
      <w:r>
        <w:rPr>
          <w:spacing w:val="-13"/>
        </w:rPr>
        <w:t> </w:t>
      </w:r>
      <w:r>
        <w:rPr/>
        <w:t>SOGI</w:t>
      </w:r>
      <w:r>
        <w:rPr>
          <w:spacing w:val="-12"/>
        </w:rPr>
        <w:t> </w:t>
      </w:r>
      <w:r>
        <w:rPr/>
        <w:t>data</w:t>
      </w:r>
      <w:r>
        <w:rPr>
          <w:spacing w:val="-11"/>
        </w:rPr>
        <w:t> </w:t>
      </w:r>
      <w:r>
        <w:rPr/>
        <w:t>collection</w:t>
      </w:r>
      <w:r>
        <w:rPr>
          <w:spacing w:val="-13"/>
        </w:rPr>
        <w:t> </w:t>
      </w:r>
      <w:r>
        <w:rPr/>
        <w:t>where appropriate to better understand the need for LGBTQ-inclusive health care in all areas.</w:t>
      </w:r>
    </w:p>
    <w:p>
      <w:pPr>
        <w:spacing w:after="0" w:line="276" w:lineRule="auto"/>
        <w:jc w:val="both"/>
        <w:sectPr>
          <w:headerReference w:type="default" r:id="rId308"/>
          <w:footerReference w:type="default" r:id="rId309"/>
          <w:pgSz w:w="12240" w:h="15840"/>
          <w:pgMar w:header="800" w:footer="1530" w:top="1080" w:bottom="1720" w:left="980" w:right="1000"/>
          <w:pgNumType w:start="110"/>
        </w:sectPr>
      </w:pPr>
    </w:p>
    <w:p>
      <w:pPr>
        <w:numPr>
          <w:ilvl w:val="0"/>
          <w:numId w:val="22"/>
        </w:numPr>
        <w:tabs>
          <w:tab w:pos="461" w:val="left" w:leader="none"/>
          <w:tab w:pos="463" w:val="left" w:leader="none"/>
        </w:tabs>
        <w:spacing w:line="276" w:lineRule="auto" w:before="69"/>
        <w:ind w:left="463" w:right="242" w:hanging="360"/>
        <w:jc w:val="left"/>
        <w:rPr>
          <w:b/>
          <w:sz w:val="22"/>
        </w:rPr>
      </w:pPr>
      <w:r>
        <w:rPr>
          <w:b/>
          <w:sz w:val="22"/>
        </w:rPr>
        <w:t>Create</w:t>
      </w:r>
      <w:r>
        <w:rPr>
          <w:b/>
          <w:spacing w:val="-1"/>
          <w:sz w:val="22"/>
        </w:rPr>
        <w:t> </w:t>
      </w:r>
      <w:r>
        <w:rPr>
          <w:b/>
          <w:sz w:val="22"/>
        </w:rPr>
        <w:t>and</w:t>
      </w:r>
      <w:r>
        <w:rPr>
          <w:b/>
          <w:spacing w:val="-1"/>
          <w:sz w:val="22"/>
        </w:rPr>
        <w:t> </w:t>
      </w:r>
      <w:r>
        <w:rPr>
          <w:b/>
          <w:sz w:val="22"/>
        </w:rPr>
        <w:t>fund</w:t>
      </w:r>
      <w:r>
        <w:rPr>
          <w:b/>
          <w:spacing w:val="-2"/>
          <w:sz w:val="22"/>
        </w:rPr>
        <w:t> </w:t>
      </w:r>
      <w:r>
        <w:rPr>
          <w:b/>
          <w:sz w:val="22"/>
        </w:rPr>
        <w:t>community</w:t>
      </w:r>
      <w:r>
        <w:rPr>
          <w:b/>
          <w:spacing w:val="-1"/>
          <w:sz w:val="22"/>
        </w:rPr>
        <w:t> </w:t>
      </w:r>
      <w:r>
        <w:rPr>
          <w:b/>
          <w:sz w:val="22"/>
        </w:rPr>
        <w:t>birthing</w:t>
      </w:r>
      <w:r>
        <w:rPr>
          <w:b/>
          <w:spacing w:val="-1"/>
          <w:sz w:val="22"/>
        </w:rPr>
        <w:t> </w:t>
      </w:r>
      <w:r>
        <w:rPr>
          <w:b/>
          <w:sz w:val="22"/>
        </w:rPr>
        <w:t>centers across the</w:t>
      </w:r>
      <w:r>
        <w:rPr>
          <w:b/>
          <w:spacing w:val="-1"/>
          <w:sz w:val="22"/>
        </w:rPr>
        <w:t> </w:t>
      </w:r>
      <w:r>
        <w:rPr>
          <w:b/>
          <w:sz w:val="22"/>
        </w:rPr>
        <w:t>Commonwealth</w:t>
      </w:r>
      <w:r>
        <w:rPr>
          <w:b/>
          <w:spacing w:val="-2"/>
          <w:sz w:val="22"/>
        </w:rPr>
        <w:t> </w:t>
      </w:r>
      <w:r>
        <w:rPr>
          <w:b/>
          <w:sz w:val="22"/>
        </w:rPr>
        <w:t>and increase</w:t>
      </w:r>
      <w:r>
        <w:rPr>
          <w:b/>
          <w:spacing w:val="-1"/>
          <w:sz w:val="22"/>
        </w:rPr>
        <w:t> </w:t>
      </w:r>
      <w:r>
        <w:rPr>
          <w:b/>
          <w:sz w:val="22"/>
        </w:rPr>
        <w:t>access</w:t>
      </w:r>
      <w:r>
        <w:rPr>
          <w:b/>
          <w:spacing w:val="-2"/>
          <w:sz w:val="22"/>
        </w:rPr>
        <w:t> </w:t>
      </w:r>
      <w:r>
        <w:rPr>
          <w:b/>
          <w:sz w:val="22"/>
        </w:rPr>
        <w:t>to</w:t>
      </w:r>
      <w:r>
        <w:rPr>
          <w:b/>
          <w:spacing w:val="-2"/>
          <w:sz w:val="22"/>
        </w:rPr>
        <w:t> </w:t>
      </w:r>
      <w:r>
        <w:rPr>
          <w:b/>
          <w:sz w:val="22"/>
        </w:rPr>
        <w:t>culturally competent doula services.</w:t>
      </w:r>
    </w:p>
    <w:p>
      <w:pPr>
        <w:pStyle w:val="BodyText"/>
        <w:spacing w:line="276" w:lineRule="auto" w:before="240"/>
        <w:ind w:left="463" w:right="241"/>
        <w:jc w:val="both"/>
      </w:pPr>
      <w:r>
        <w:rPr/>
        <w:t>In a 2022 national poll from the American Association of Medical Colleges, 51% of LGBTQ birthing people reported that the quality of their birthing experiences was negatively impacted by bias or discrimination.</w:t>
      </w:r>
      <w:hyperlink w:history="true" w:anchor="_bookmark194">
        <w:r>
          <w:rPr>
            <w:vertAlign w:val="superscript"/>
          </w:rPr>
          <w:t>1</w:t>
        </w:r>
      </w:hyperlink>
      <w:r>
        <w:rPr>
          <w:vertAlign w:val="baseline"/>
        </w:rPr>
        <w:t> For many people, birthing centers provide a more comfortable space for people with low-risk pregnancies to give birth, especially for transgender or gender expansive people who may be more likely to face discrimination</w:t>
      </w:r>
      <w:r>
        <w:rPr>
          <w:spacing w:val="-5"/>
          <w:vertAlign w:val="baseline"/>
        </w:rPr>
        <w:t> </w:t>
      </w:r>
      <w:r>
        <w:rPr>
          <w:vertAlign w:val="baseline"/>
        </w:rPr>
        <w:t>in</w:t>
      </w:r>
      <w:r>
        <w:rPr>
          <w:spacing w:val="-5"/>
          <w:vertAlign w:val="baseline"/>
        </w:rPr>
        <w:t> </w:t>
      </w:r>
      <w:r>
        <w:rPr>
          <w:vertAlign w:val="baseline"/>
        </w:rPr>
        <w:t>a</w:t>
      </w:r>
      <w:r>
        <w:rPr>
          <w:spacing w:val="-4"/>
          <w:vertAlign w:val="baseline"/>
        </w:rPr>
        <w:t> </w:t>
      </w:r>
      <w:r>
        <w:rPr>
          <w:vertAlign w:val="baseline"/>
        </w:rPr>
        <w:t>hospital</w:t>
      </w:r>
      <w:r>
        <w:rPr>
          <w:spacing w:val="-5"/>
          <w:vertAlign w:val="baseline"/>
        </w:rPr>
        <w:t> </w:t>
      </w:r>
      <w:r>
        <w:rPr>
          <w:vertAlign w:val="baseline"/>
        </w:rPr>
        <w:t>setting.</w:t>
      </w:r>
      <w:r>
        <w:rPr>
          <w:spacing w:val="-4"/>
          <w:vertAlign w:val="baseline"/>
        </w:rPr>
        <w:t> </w:t>
      </w:r>
      <w:r>
        <w:rPr>
          <w:vertAlign w:val="baseline"/>
        </w:rPr>
        <w:t>In</w:t>
      </w:r>
      <w:r>
        <w:rPr>
          <w:spacing w:val="-5"/>
          <w:vertAlign w:val="baseline"/>
        </w:rPr>
        <w:t> </w:t>
      </w:r>
      <w:r>
        <w:rPr>
          <w:vertAlign w:val="baseline"/>
        </w:rPr>
        <w:t>Massachusetts,</w:t>
      </w:r>
      <w:r>
        <w:rPr>
          <w:spacing w:val="-5"/>
          <w:vertAlign w:val="baseline"/>
        </w:rPr>
        <w:t> </w:t>
      </w:r>
      <w:r>
        <w:rPr>
          <w:vertAlign w:val="baseline"/>
        </w:rPr>
        <w:t>only</w:t>
      </w:r>
      <w:r>
        <w:rPr>
          <w:spacing w:val="-5"/>
          <w:vertAlign w:val="baseline"/>
        </w:rPr>
        <w:t> </w:t>
      </w:r>
      <w:r>
        <w:rPr>
          <w:vertAlign w:val="baseline"/>
        </w:rPr>
        <w:t>one</w:t>
      </w:r>
      <w:r>
        <w:rPr>
          <w:spacing w:val="-4"/>
          <w:vertAlign w:val="baseline"/>
        </w:rPr>
        <w:t> </w:t>
      </w:r>
      <w:r>
        <w:rPr>
          <w:vertAlign w:val="baseline"/>
        </w:rPr>
        <w:t>community</w:t>
      </w:r>
      <w:r>
        <w:rPr>
          <w:spacing w:val="-4"/>
          <w:vertAlign w:val="baseline"/>
        </w:rPr>
        <w:t> </w:t>
      </w:r>
      <w:r>
        <w:rPr>
          <w:vertAlign w:val="baseline"/>
        </w:rPr>
        <w:t>birthing</w:t>
      </w:r>
      <w:r>
        <w:rPr>
          <w:spacing w:val="-4"/>
          <w:vertAlign w:val="baseline"/>
        </w:rPr>
        <w:t> </w:t>
      </w:r>
      <w:r>
        <w:rPr>
          <w:vertAlign w:val="baseline"/>
        </w:rPr>
        <w:t>center</w:t>
      </w:r>
      <w:r>
        <w:rPr>
          <w:spacing w:val="-4"/>
          <w:vertAlign w:val="baseline"/>
        </w:rPr>
        <w:t> </w:t>
      </w:r>
      <w:r>
        <w:rPr>
          <w:vertAlign w:val="baseline"/>
        </w:rPr>
        <w:t>currently</w:t>
      </w:r>
      <w:r>
        <w:rPr>
          <w:spacing w:val="-4"/>
          <w:vertAlign w:val="baseline"/>
        </w:rPr>
        <w:t> </w:t>
      </w:r>
      <w:r>
        <w:rPr>
          <w:vertAlign w:val="baseline"/>
        </w:rPr>
        <w:t>exists</w:t>
      </w:r>
      <w:r>
        <w:rPr>
          <w:spacing w:val="-3"/>
          <w:vertAlign w:val="baseline"/>
        </w:rPr>
        <w:t> </w:t>
      </w:r>
      <w:r>
        <w:rPr>
          <w:vertAlign w:val="baseline"/>
        </w:rPr>
        <w:t>- </w:t>
      </w:r>
      <w:hyperlink r:id="rId310">
        <w:r>
          <w:rPr>
            <w:color w:val="1153CC"/>
            <w:u w:val="single" w:color="1153CC"/>
            <w:vertAlign w:val="baseline"/>
          </w:rPr>
          <w:t>Seven Sisters Midwifery &amp; Community Birth Center</w:t>
        </w:r>
      </w:hyperlink>
      <w:r>
        <w:rPr>
          <w:color w:val="1153CC"/>
          <w:u w:val="none"/>
          <w:vertAlign w:val="baseline"/>
        </w:rPr>
        <w:t> </w:t>
      </w:r>
      <w:r>
        <w:rPr>
          <w:u w:val="none"/>
          <w:vertAlign w:val="baseline"/>
        </w:rPr>
        <w:t>- and, though the Commission is pleased to note that the center offers gender-affirming care, there remains a great need for more community birthing centers across the state. The Commission recommends that the Commonwealth invest in community birthing centers across the state to alleviate medical costs and health inequities for all birthing people across the state.</w:t>
      </w:r>
      <w:r>
        <w:rPr>
          <w:spacing w:val="-7"/>
          <w:u w:val="none"/>
          <w:vertAlign w:val="baseline"/>
        </w:rPr>
        <w:t> </w:t>
      </w:r>
      <w:r>
        <w:rPr>
          <w:u w:val="none"/>
          <w:vertAlign w:val="baseline"/>
        </w:rPr>
        <w:t>The</w:t>
      </w:r>
      <w:r>
        <w:rPr>
          <w:spacing w:val="-7"/>
          <w:u w:val="none"/>
          <w:vertAlign w:val="baseline"/>
        </w:rPr>
        <w:t> </w:t>
      </w:r>
      <w:r>
        <w:rPr>
          <w:u w:val="none"/>
          <w:vertAlign w:val="baseline"/>
        </w:rPr>
        <w:t>Commission</w:t>
      </w:r>
      <w:r>
        <w:rPr>
          <w:spacing w:val="-8"/>
          <w:u w:val="none"/>
          <w:vertAlign w:val="baseline"/>
        </w:rPr>
        <w:t> </w:t>
      </w:r>
      <w:r>
        <w:rPr>
          <w:u w:val="none"/>
          <w:vertAlign w:val="baseline"/>
        </w:rPr>
        <w:t>urges</w:t>
      </w:r>
      <w:r>
        <w:rPr>
          <w:spacing w:val="-7"/>
          <w:u w:val="none"/>
          <w:vertAlign w:val="baseline"/>
        </w:rPr>
        <w:t> </w:t>
      </w:r>
      <w:r>
        <w:rPr>
          <w:u w:val="none"/>
          <w:vertAlign w:val="baseline"/>
        </w:rPr>
        <w:t>the</w:t>
      </w:r>
      <w:r>
        <w:rPr>
          <w:spacing w:val="-7"/>
          <w:u w:val="none"/>
          <w:vertAlign w:val="baseline"/>
        </w:rPr>
        <w:t> </w:t>
      </w:r>
      <w:r>
        <w:rPr>
          <w:u w:val="none"/>
          <w:vertAlign w:val="baseline"/>
        </w:rPr>
        <w:t>legislature</w:t>
      </w:r>
      <w:r>
        <w:rPr>
          <w:spacing w:val="-8"/>
          <w:u w:val="none"/>
          <w:vertAlign w:val="baseline"/>
        </w:rPr>
        <w:t> </w:t>
      </w:r>
      <w:r>
        <w:rPr>
          <w:u w:val="none"/>
          <w:vertAlign w:val="baseline"/>
        </w:rPr>
        <w:t>to</w:t>
      </w:r>
      <w:r>
        <w:rPr>
          <w:spacing w:val="-6"/>
          <w:u w:val="none"/>
          <w:vertAlign w:val="baseline"/>
        </w:rPr>
        <w:t> </w:t>
      </w:r>
      <w:r>
        <w:rPr>
          <w:u w:val="none"/>
          <w:vertAlign w:val="baseline"/>
        </w:rPr>
        <w:t>pass</w:t>
      </w:r>
      <w:r>
        <w:rPr>
          <w:spacing w:val="-7"/>
          <w:u w:val="none"/>
          <w:vertAlign w:val="baseline"/>
        </w:rPr>
        <w:t> </w:t>
      </w:r>
      <w:r>
        <w:rPr>
          <w:i/>
          <w:u w:val="none"/>
          <w:vertAlign w:val="baseline"/>
        </w:rPr>
        <w:t>An</w:t>
      </w:r>
      <w:r>
        <w:rPr>
          <w:i/>
          <w:spacing w:val="-8"/>
          <w:u w:val="none"/>
          <w:vertAlign w:val="baseline"/>
        </w:rPr>
        <w:t> </w:t>
      </w:r>
      <w:r>
        <w:rPr>
          <w:i/>
          <w:u w:val="none"/>
          <w:vertAlign w:val="baseline"/>
        </w:rPr>
        <w:t>Act</w:t>
      </w:r>
      <w:r>
        <w:rPr>
          <w:i/>
          <w:spacing w:val="-7"/>
          <w:u w:val="none"/>
          <w:vertAlign w:val="baseline"/>
        </w:rPr>
        <w:t> </w:t>
      </w:r>
      <w:r>
        <w:rPr>
          <w:i/>
          <w:u w:val="none"/>
          <w:vertAlign w:val="baseline"/>
        </w:rPr>
        <w:t>Relative</w:t>
      </w:r>
      <w:r>
        <w:rPr>
          <w:i/>
          <w:spacing w:val="-7"/>
          <w:u w:val="none"/>
          <w:vertAlign w:val="baseline"/>
        </w:rPr>
        <w:t> </w:t>
      </w:r>
      <w:r>
        <w:rPr>
          <w:i/>
          <w:u w:val="none"/>
          <w:vertAlign w:val="baseline"/>
        </w:rPr>
        <w:t>to</w:t>
      </w:r>
      <w:r>
        <w:rPr>
          <w:i/>
          <w:spacing w:val="-8"/>
          <w:u w:val="none"/>
          <w:vertAlign w:val="baseline"/>
        </w:rPr>
        <w:t> </w:t>
      </w:r>
      <w:r>
        <w:rPr>
          <w:i/>
          <w:u w:val="none"/>
          <w:vertAlign w:val="baseline"/>
        </w:rPr>
        <w:t>Birthing</w:t>
      </w:r>
      <w:r>
        <w:rPr>
          <w:i/>
          <w:spacing w:val="-7"/>
          <w:u w:val="none"/>
          <w:vertAlign w:val="baseline"/>
        </w:rPr>
        <w:t> </w:t>
      </w:r>
      <w:r>
        <w:rPr>
          <w:i/>
          <w:u w:val="none"/>
          <w:vertAlign w:val="baseline"/>
        </w:rPr>
        <w:t>Justice</w:t>
      </w:r>
      <w:r>
        <w:rPr>
          <w:i/>
          <w:spacing w:val="-8"/>
          <w:u w:val="none"/>
          <w:vertAlign w:val="baseline"/>
        </w:rPr>
        <w:t> </w:t>
      </w:r>
      <w:r>
        <w:rPr>
          <w:i/>
          <w:u w:val="none"/>
          <w:vertAlign w:val="baseline"/>
        </w:rPr>
        <w:t>in</w:t>
      </w:r>
      <w:r>
        <w:rPr>
          <w:i/>
          <w:spacing w:val="-7"/>
          <w:u w:val="none"/>
          <w:vertAlign w:val="baseline"/>
        </w:rPr>
        <w:t> </w:t>
      </w:r>
      <w:r>
        <w:rPr>
          <w:i/>
          <w:u w:val="none"/>
          <w:vertAlign w:val="baseline"/>
        </w:rPr>
        <w:t>the</w:t>
      </w:r>
      <w:r>
        <w:rPr>
          <w:i/>
          <w:spacing w:val="-8"/>
          <w:u w:val="none"/>
          <w:vertAlign w:val="baseline"/>
        </w:rPr>
        <w:t> </w:t>
      </w:r>
      <w:r>
        <w:rPr>
          <w:i/>
          <w:u w:val="none"/>
          <w:vertAlign w:val="baseline"/>
        </w:rPr>
        <w:t>Commonwealth</w:t>
      </w:r>
      <w:r>
        <w:rPr>
          <w:i/>
          <w:u w:val="none"/>
          <w:vertAlign w:val="baseline"/>
        </w:rPr>
        <w:t> </w:t>
      </w:r>
      <w:r>
        <w:rPr>
          <w:u w:val="none"/>
          <w:vertAlign w:val="baseline"/>
        </w:rPr>
        <w:t>(</w:t>
      </w:r>
      <w:hyperlink r:id="rId311">
        <w:r>
          <w:rPr>
            <w:color w:val="1153CC"/>
            <w:u w:val="single" w:color="1153CC"/>
            <w:vertAlign w:val="baseline"/>
          </w:rPr>
          <w:t>S.1415</w:t>
        </w:r>
      </w:hyperlink>
      <w:r>
        <w:rPr>
          <w:u w:val="none"/>
          <w:vertAlign w:val="baseline"/>
        </w:rPr>
        <w:t>), which would introduce a framework to better address health inequities faced by birthing people across the state.</w:t>
      </w:r>
    </w:p>
    <w:p>
      <w:pPr>
        <w:pStyle w:val="BodyText"/>
        <w:spacing w:line="276" w:lineRule="auto" w:before="239"/>
        <w:ind w:left="463" w:right="240"/>
        <w:jc w:val="both"/>
      </w:pPr>
      <w:r>
        <w:rPr/>
        <w:t>Furthermore, the Commission urges legislators and agencies to expand access to affirming doula services across the Commonwealth. As discussed later in this section, doulas can alleviate health inequities and provide greater physical, emotional, and informational support for birthing people, particularly for Black LGBTQ</w:t>
      </w:r>
      <w:r>
        <w:rPr>
          <w:spacing w:val="-4"/>
        </w:rPr>
        <w:t> </w:t>
      </w:r>
      <w:r>
        <w:rPr/>
        <w:t>birthing</w:t>
      </w:r>
      <w:r>
        <w:rPr>
          <w:spacing w:val="-4"/>
        </w:rPr>
        <w:t> </w:t>
      </w:r>
      <w:r>
        <w:rPr/>
        <w:t>communities</w:t>
      </w:r>
      <w:r>
        <w:rPr>
          <w:spacing w:val="-5"/>
        </w:rPr>
        <w:t> </w:t>
      </w:r>
      <w:r>
        <w:rPr/>
        <w:t>who</w:t>
      </w:r>
      <w:r>
        <w:rPr>
          <w:spacing w:val="-5"/>
        </w:rPr>
        <w:t> </w:t>
      </w:r>
      <w:r>
        <w:rPr/>
        <w:t>face</w:t>
      </w:r>
      <w:r>
        <w:rPr>
          <w:spacing w:val="-3"/>
        </w:rPr>
        <w:t> </w:t>
      </w:r>
      <w:r>
        <w:rPr/>
        <w:t>greater</w:t>
      </w:r>
      <w:r>
        <w:rPr>
          <w:spacing w:val="-4"/>
        </w:rPr>
        <w:t> </w:t>
      </w:r>
      <w:r>
        <w:rPr/>
        <w:t>health</w:t>
      </w:r>
      <w:r>
        <w:rPr>
          <w:spacing w:val="-5"/>
        </w:rPr>
        <w:t> </w:t>
      </w:r>
      <w:r>
        <w:rPr/>
        <w:t>risks,</w:t>
      </w:r>
      <w:r>
        <w:rPr>
          <w:spacing w:val="-5"/>
        </w:rPr>
        <w:t> </w:t>
      </w:r>
      <w:r>
        <w:rPr/>
        <w:t>bias,</w:t>
      </w:r>
      <w:r>
        <w:rPr>
          <w:spacing w:val="-4"/>
        </w:rPr>
        <w:t> </w:t>
      </w:r>
      <w:r>
        <w:rPr/>
        <w:t>or</w:t>
      </w:r>
      <w:r>
        <w:rPr>
          <w:spacing w:val="-5"/>
        </w:rPr>
        <w:t> </w:t>
      </w:r>
      <w:r>
        <w:rPr/>
        <w:t>discrimination</w:t>
      </w:r>
      <w:r>
        <w:rPr>
          <w:spacing w:val="-5"/>
        </w:rPr>
        <w:t> </w:t>
      </w:r>
      <w:r>
        <w:rPr/>
        <w:t>when</w:t>
      </w:r>
      <w:r>
        <w:rPr>
          <w:spacing w:val="-4"/>
        </w:rPr>
        <w:t> </w:t>
      </w:r>
      <w:r>
        <w:rPr/>
        <w:t>birthing</w:t>
      </w:r>
      <w:r>
        <w:rPr>
          <w:spacing w:val="-4"/>
        </w:rPr>
        <w:t> </w:t>
      </w:r>
      <w:r>
        <w:rPr/>
        <w:t>in</w:t>
      </w:r>
      <w:r>
        <w:rPr>
          <w:spacing w:val="-4"/>
        </w:rPr>
        <w:t> </w:t>
      </w:r>
      <w:r>
        <w:rPr/>
        <w:t>hospital spaces. Additionally, the Commission recommends that the Commonwealth expand its approach to doula services and consider investing in gender doulas to provide transition support for trans and gender expansive communities.</w:t>
      </w:r>
    </w:p>
    <w:p>
      <w:pPr>
        <w:numPr>
          <w:ilvl w:val="0"/>
          <w:numId w:val="22"/>
        </w:numPr>
        <w:tabs>
          <w:tab w:pos="461" w:val="left" w:leader="none"/>
          <w:tab w:pos="463" w:val="left" w:leader="none"/>
        </w:tabs>
        <w:spacing w:line="276" w:lineRule="auto" w:before="241"/>
        <w:ind w:left="463" w:right="242" w:hanging="360"/>
        <w:jc w:val="left"/>
        <w:rPr>
          <w:b/>
          <w:sz w:val="22"/>
        </w:rPr>
      </w:pPr>
      <w:r>
        <w:rPr>
          <w:b/>
          <w:sz w:val="22"/>
        </w:rPr>
        <w:t>Expand LGBTQ cultural awareness, anti-bias, and racial equity trainings for public hospital providers and </w:t>
      </w:r>
      <w:r>
        <w:rPr>
          <w:b/>
          <w:spacing w:val="-2"/>
          <w:sz w:val="22"/>
        </w:rPr>
        <w:t>staff.</w:t>
      </w:r>
    </w:p>
    <w:p>
      <w:pPr>
        <w:pStyle w:val="BodyText"/>
        <w:spacing w:line="276" w:lineRule="auto" w:before="240"/>
        <w:ind w:left="463" w:right="239"/>
        <w:jc w:val="both"/>
      </w:pPr>
      <w:r>
        <w:rPr/>
        <w:t>Given the alarming disparities and structural racism faced by Black birthing people in Massachusetts, the Commission</w:t>
      </w:r>
      <w:r>
        <w:rPr>
          <w:spacing w:val="-10"/>
        </w:rPr>
        <w:t> </w:t>
      </w:r>
      <w:r>
        <w:rPr/>
        <w:t>strongly</w:t>
      </w:r>
      <w:r>
        <w:rPr>
          <w:spacing w:val="-10"/>
        </w:rPr>
        <w:t> </w:t>
      </w:r>
      <w:r>
        <w:rPr/>
        <w:t>recommends</w:t>
      </w:r>
      <w:r>
        <w:rPr>
          <w:spacing w:val="-9"/>
        </w:rPr>
        <w:t> </w:t>
      </w:r>
      <w:r>
        <w:rPr/>
        <w:t>that</w:t>
      </w:r>
      <w:r>
        <w:rPr>
          <w:spacing w:val="-9"/>
        </w:rPr>
        <w:t> </w:t>
      </w:r>
      <w:r>
        <w:rPr/>
        <w:t>the</w:t>
      </w:r>
      <w:r>
        <w:rPr>
          <w:spacing w:val="-9"/>
        </w:rPr>
        <w:t> </w:t>
      </w:r>
      <w:r>
        <w:rPr/>
        <w:t>Commonwealth</w:t>
      </w:r>
      <w:r>
        <w:rPr>
          <w:spacing w:val="-10"/>
        </w:rPr>
        <w:t> </w:t>
      </w:r>
      <w:r>
        <w:rPr/>
        <w:t>explore</w:t>
      </w:r>
      <w:r>
        <w:rPr>
          <w:spacing w:val="-10"/>
        </w:rPr>
        <w:t> </w:t>
      </w:r>
      <w:r>
        <w:rPr/>
        <w:t>the</w:t>
      </w:r>
      <w:r>
        <w:rPr>
          <w:spacing w:val="-10"/>
        </w:rPr>
        <w:t> </w:t>
      </w:r>
      <w:r>
        <w:rPr/>
        <w:t>expansion</w:t>
      </w:r>
      <w:r>
        <w:rPr>
          <w:spacing w:val="-10"/>
        </w:rPr>
        <w:t> </w:t>
      </w:r>
      <w:r>
        <w:rPr/>
        <w:t>of</w:t>
      </w:r>
      <w:r>
        <w:rPr>
          <w:spacing w:val="-10"/>
        </w:rPr>
        <w:t> </w:t>
      </w:r>
      <w:r>
        <w:rPr/>
        <w:t>mandated</w:t>
      </w:r>
      <w:r>
        <w:rPr>
          <w:spacing w:val="-10"/>
        </w:rPr>
        <w:t> </w:t>
      </w:r>
      <w:r>
        <w:rPr/>
        <w:t>trainings</w:t>
      </w:r>
      <w:r>
        <w:rPr>
          <w:spacing w:val="-8"/>
        </w:rPr>
        <w:t> </w:t>
      </w:r>
      <w:r>
        <w:rPr/>
        <w:t>to reduce</w:t>
      </w:r>
      <w:r>
        <w:rPr>
          <w:spacing w:val="-3"/>
        </w:rPr>
        <w:t> </w:t>
      </w:r>
      <w:r>
        <w:rPr/>
        <w:t>incidents</w:t>
      </w:r>
      <w:r>
        <w:rPr>
          <w:spacing w:val="-3"/>
        </w:rPr>
        <w:t> </w:t>
      </w:r>
      <w:r>
        <w:rPr/>
        <w:t>of</w:t>
      </w:r>
      <w:r>
        <w:rPr>
          <w:spacing w:val="-2"/>
        </w:rPr>
        <w:t> </w:t>
      </w:r>
      <w:r>
        <w:rPr/>
        <w:t>discrimination,</w:t>
      </w:r>
      <w:r>
        <w:rPr>
          <w:spacing w:val="-3"/>
        </w:rPr>
        <w:t> </w:t>
      </w:r>
      <w:r>
        <w:rPr/>
        <w:t>bias,</w:t>
      </w:r>
      <w:r>
        <w:rPr>
          <w:spacing w:val="-1"/>
        </w:rPr>
        <w:t> </w:t>
      </w:r>
      <w:r>
        <w:rPr/>
        <w:t>and</w:t>
      </w:r>
      <w:r>
        <w:rPr>
          <w:spacing w:val="-3"/>
        </w:rPr>
        <w:t> </w:t>
      </w:r>
      <w:r>
        <w:rPr/>
        <w:t>racism</w:t>
      </w:r>
      <w:r>
        <w:rPr>
          <w:spacing w:val="-3"/>
        </w:rPr>
        <w:t> </w:t>
      </w:r>
      <w:r>
        <w:rPr/>
        <w:t>faced</w:t>
      </w:r>
      <w:r>
        <w:rPr>
          <w:spacing w:val="-2"/>
        </w:rPr>
        <w:t> </w:t>
      </w:r>
      <w:r>
        <w:rPr/>
        <w:t>by</w:t>
      </w:r>
      <w:r>
        <w:rPr>
          <w:spacing w:val="-2"/>
        </w:rPr>
        <w:t> </w:t>
      </w:r>
      <w:r>
        <w:rPr/>
        <w:t>LGBTQ</w:t>
      </w:r>
      <w:r>
        <w:rPr>
          <w:spacing w:val="-3"/>
        </w:rPr>
        <w:t> </w:t>
      </w:r>
      <w:r>
        <w:rPr/>
        <w:t>and</w:t>
      </w:r>
      <w:r>
        <w:rPr>
          <w:spacing w:val="-3"/>
        </w:rPr>
        <w:t> </w:t>
      </w:r>
      <w:r>
        <w:rPr/>
        <w:t>BIPOC individuals</w:t>
      </w:r>
      <w:r>
        <w:rPr>
          <w:spacing w:val="-1"/>
        </w:rPr>
        <w:t> </w:t>
      </w:r>
      <w:r>
        <w:rPr/>
        <w:t>across</w:t>
      </w:r>
      <w:r>
        <w:rPr>
          <w:spacing w:val="-3"/>
        </w:rPr>
        <w:t> </w:t>
      </w:r>
      <w:r>
        <w:rPr/>
        <w:t>the</w:t>
      </w:r>
      <w:r>
        <w:rPr>
          <w:spacing w:val="-3"/>
        </w:rPr>
        <w:t> </w:t>
      </w:r>
      <w:r>
        <w:rPr/>
        <w:t>state. Agencies should examine professional development practices where relevant in public hospitals and facilities</w:t>
      </w:r>
      <w:r>
        <w:rPr>
          <w:spacing w:val="-3"/>
        </w:rPr>
        <w:t> </w:t>
      </w:r>
      <w:r>
        <w:rPr/>
        <w:t>to</w:t>
      </w:r>
      <w:r>
        <w:rPr>
          <w:spacing w:val="-3"/>
        </w:rPr>
        <w:t> </w:t>
      </w:r>
      <w:r>
        <w:rPr/>
        <w:t>ensure</w:t>
      </w:r>
      <w:r>
        <w:rPr>
          <w:spacing w:val="-4"/>
        </w:rPr>
        <w:t> </w:t>
      </w:r>
      <w:r>
        <w:rPr/>
        <w:t>that</w:t>
      </w:r>
      <w:r>
        <w:rPr>
          <w:spacing w:val="-4"/>
        </w:rPr>
        <w:t> </w:t>
      </w:r>
      <w:r>
        <w:rPr/>
        <w:t>medical</w:t>
      </w:r>
      <w:r>
        <w:rPr>
          <w:spacing w:val="-4"/>
        </w:rPr>
        <w:t> </w:t>
      </w:r>
      <w:r>
        <w:rPr/>
        <w:t>providers</w:t>
      </w:r>
      <w:r>
        <w:rPr>
          <w:spacing w:val="-5"/>
        </w:rPr>
        <w:t> </w:t>
      </w:r>
      <w:r>
        <w:rPr/>
        <w:t>and</w:t>
      </w:r>
      <w:r>
        <w:rPr>
          <w:spacing w:val="-4"/>
        </w:rPr>
        <w:t> </w:t>
      </w:r>
      <w:r>
        <w:rPr/>
        <w:t>staff</w:t>
      </w:r>
      <w:r>
        <w:rPr>
          <w:spacing w:val="-4"/>
        </w:rPr>
        <w:t> </w:t>
      </w:r>
      <w:r>
        <w:rPr/>
        <w:t>are</w:t>
      </w:r>
      <w:r>
        <w:rPr>
          <w:spacing w:val="-5"/>
        </w:rPr>
        <w:t> </w:t>
      </w:r>
      <w:r>
        <w:rPr/>
        <w:t>receiving</w:t>
      </w:r>
      <w:r>
        <w:rPr>
          <w:spacing w:val="-3"/>
        </w:rPr>
        <w:t> </w:t>
      </w:r>
      <w:r>
        <w:rPr/>
        <w:t>frequent</w:t>
      </w:r>
      <w:r>
        <w:rPr>
          <w:spacing w:val="-6"/>
        </w:rPr>
        <w:t> </w:t>
      </w:r>
      <w:r>
        <w:rPr/>
        <w:t>and</w:t>
      </w:r>
      <w:r>
        <w:rPr>
          <w:spacing w:val="-3"/>
        </w:rPr>
        <w:t> </w:t>
      </w:r>
      <w:r>
        <w:rPr/>
        <w:t>mandatory</w:t>
      </w:r>
      <w:r>
        <w:rPr>
          <w:spacing w:val="-5"/>
        </w:rPr>
        <w:t> </w:t>
      </w:r>
      <w:r>
        <w:rPr/>
        <w:t>opportunities</w:t>
      </w:r>
      <w:r>
        <w:rPr>
          <w:spacing w:val="-5"/>
        </w:rPr>
        <w:t> </w:t>
      </w:r>
      <w:r>
        <w:rPr/>
        <w:t>for LGBTQ cultural awareness, anti-bias, and racial equity trainings.</w:t>
      </w:r>
    </w:p>
    <w:p>
      <w:pPr>
        <w:spacing w:before="239"/>
        <w:ind w:left="463" w:right="0" w:firstLine="0"/>
        <w:jc w:val="both"/>
        <w:rPr>
          <w:sz w:val="28"/>
        </w:rPr>
      </w:pPr>
      <w:bookmarkStart w:name="Research: LGBTQ Youth and Healthcare Acc" w:id="367"/>
      <w:bookmarkEnd w:id="367"/>
      <w:r>
        <w:rPr/>
      </w:r>
      <w:r>
        <w:rPr>
          <w:color w:val="365F91"/>
          <w:sz w:val="28"/>
        </w:rPr>
        <w:t>Research:</w:t>
      </w:r>
      <w:r>
        <w:rPr>
          <w:color w:val="365F91"/>
          <w:spacing w:val="-10"/>
          <w:sz w:val="28"/>
        </w:rPr>
        <w:t> </w:t>
      </w:r>
      <w:r>
        <w:rPr>
          <w:color w:val="365F91"/>
          <w:sz w:val="28"/>
        </w:rPr>
        <w:t>LGBTQ</w:t>
      </w:r>
      <w:r>
        <w:rPr>
          <w:color w:val="365F91"/>
          <w:spacing w:val="-10"/>
          <w:sz w:val="28"/>
        </w:rPr>
        <w:t> </w:t>
      </w:r>
      <w:r>
        <w:rPr>
          <w:color w:val="365F91"/>
          <w:sz w:val="28"/>
        </w:rPr>
        <w:t>Youth</w:t>
      </w:r>
      <w:r>
        <w:rPr>
          <w:color w:val="365F91"/>
          <w:spacing w:val="-11"/>
          <w:sz w:val="28"/>
        </w:rPr>
        <w:t> </w:t>
      </w:r>
      <w:r>
        <w:rPr>
          <w:color w:val="365F91"/>
          <w:sz w:val="28"/>
        </w:rPr>
        <w:t>and</w:t>
      </w:r>
      <w:r>
        <w:rPr>
          <w:color w:val="365F91"/>
          <w:spacing w:val="-11"/>
          <w:sz w:val="28"/>
        </w:rPr>
        <w:t> </w:t>
      </w:r>
      <w:r>
        <w:rPr>
          <w:color w:val="365F91"/>
          <w:sz w:val="28"/>
        </w:rPr>
        <w:t>Healthcare</w:t>
      </w:r>
      <w:r>
        <w:rPr>
          <w:color w:val="365F91"/>
          <w:spacing w:val="-11"/>
          <w:sz w:val="28"/>
        </w:rPr>
        <w:t> </w:t>
      </w:r>
      <w:r>
        <w:rPr>
          <w:color w:val="365F91"/>
          <w:spacing w:val="-2"/>
          <w:sz w:val="28"/>
        </w:rPr>
        <w:t>Access</w:t>
      </w:r>
    </w:p>
    <w:p>
      <w:pPr>
        <w:pStyle w:val="BodyText"/>
        <w:spacing w:before="10"/>
        <w:rPr>
          <w:sz w:val="3"/>
        </w:rPr>
      </w:pPr>
      <w:r>
        <w:rPr/>
        <mc:AlternateContent>
          <mc:Choice Requires="wps">
            <w:drawing>
              <wp:anchor distT="0" distB="0" distL="0" distR="0" allowOverlap="1" layoutInCell="1" locked="0" behindDoc="1" simplePos="0" relativeHeight="487636480">
                <wp:simplePos x="0" y="0"/>
                <wp:positionH relativeFrom="page">
                  <wp:posOffset>897636</wp:posOffset>
                </wp:positionH>
                <wp:positionV relativeFrom="paragraph">
                  <wp:posOffset>44884</wp:posOffset>
                </wp:positionV>
                <wp:extent cx="6103620" cy="635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6103620" cy="6350"/>
                        </a:xfrm>
                        <a:custGeom>
                          <a:avLst/>
                          <a:gdLst/>
                          <a:ahLst/>
                          <a:cxnLst/>
                          <a:rect l="l" t="t" r="r" b="b"/>
                          <a:pathLst>
                            <a:path w="6103620" h="6350">
                              <a:moveTo>
                                <a:pt x="6103620" y="0"/>
                              </a:moveTo>
                              <a:lnTo>
                                <a:pt x="0" y="0"/>
                              </a:lnTo>
                              <a:lnTo>
                                <a:pt x="0" y="6108"/>
                              </a:lnTo>
                              <a:lnTo>
                                <a:pt x="6103620" y="6108"/>
                              </a:lnTo>
                              <a:lnTo>
                                <a:pt x="61036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4215pt;width:480.6pt;height:.481pt;mso-position-horizontal-relative:page;mso-position-vertical-relative:paragraph;z-index:-15680000;mso-wrap-distance-left:0;mso-wrap-distance-right:0" id="docshape231" filled="true" fillcolor="#4f81bc" stroked="false">
                <v:fill type="solid"/>
                <w10:wrap type="topAndBottom"/>
              </v:rect>
            </w:pict>
          </mc:Fallback>
        </mc:AlternateContent>
      </w:r>
    </w:p>
    <w:p>
      <w:pPr>
        <w:pStyle w:val="BodyText"/>
        <w:spacing w:line="276" w:lineRule="auto" w:before="241"/>
        <w:ind w:left="463" w:right="242"/>
        <w:jc w:val="both"/>
      </w:pPr>
      <w:r>
        <w:rPr/>
        <w:t>Pregnancy and</w:t>
      </w:r>
      <w:r>
        <w:rPr>
          <w:spacing w:val="-2"/>
        </w:rPr>
        <w:t> </w:t>
      </w:r>
      <w:r>
        <w:rPr/>
        <w:t>gynecological</w:t>
      </w:r>
      <w:r>
        <w:rPr>
          <w:spacing w:val="-2"/>
        </w:rPr>
        <w:t> </w:t>
      </w:r>
      <w:r>
        <w:rPr/>
        <w:t>healthcare</w:t>
      </w:r>
      <w:r>
        <w:rPr>
          <w:spacing w:val="-1"/>
        </w:rPr>
        <w:t> </w:t>
      </w:r>
      <w:r>
        <w:rPr/>
        <w:t>have</w:t>
      </w:r>
      <w:r>
        <w:rPr>
          <w:spacing w:val="-2"/>
        </w:rPr>
        <w:t> </w:t>
      </w:r>
      <w:r>
        <w:rPr/>
        <w:t>typically been</w:t>
      </w:r>
      <w:r>
        <w:rPr>
          <w:spacing w:val="-2"/>
        </w:rPr>
        <w:t> </w:t>
      </w:r>
      <w:r>
        <w:rPr/>
        <w:t>framed</w:t>
      </w:r>
      <w:r>
        <w:rPr>
          <w:spacing w:val="-1"/>
        </w:rPr>
        <w:t> </w:t>
      </w:r>
      <w:r>
        <w:rPr/>
        <w:t>as</w:t>
      </w:r>
      <w:r>
        <w:rPr>
          <w:spacing w:val="-1"/>
        </w:rPr>
        <w:t> </w:t>
      </w:r>
      <w:r>
        <w:rPr/>
        <w:t>a</w:t>
      </w:r>
      <w:r>
        <w:rPr>
          <w:spacing w:val="-1"/>
        </w:rPr>
        <w:t> </w:t>
      </w:r>
      <w:r>
        <w:rPr/>
        <w:t>heterosexual cisgender</w:t>
      </w:r>
      <w:r>
        <w:rPr>
          <w:spacing w:val="-1"/>
        </w:rPr>
        <w:t> </w:t>
      </w:r>
      <w:r>
        <w:rPr/>
        <w:t>“women’s rights” issue, but many LGBTQ people such as lesbians, bisexual women, transgender men, Two-Spirit, intersex, nonbinary and gender nonconforming individuals use contraception, have the capacity to carry pregnancy, experience miscarriages, and choose to get abortions. While LGBTQ people often explore numerous paths to parenthood, this report focuses on the experiences of people with the capacity for pregnancy and need for affirming-gynecological care in the Massachusetts healthcare system.</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1"/>
        <w:jc w:val="both"/>
      </w:pPr>
      <w:r>
        <w:rPr/>
        <w:t>Research has shown that LGBTQ people face systemic and individual barriers to accessing health care. </w:t>
      </w:r>
      <w:hyperlink w:history="true" w:anchor="_bookmark195">
        <w:r>
          <w:rPr>
            <w:vertAlign w:val="superscript"/>
          </w:rPr>
          <w:t>2</w:t>
        </w:r>
      </w:hyperlink>
      <w:r>
        <w:rPr>
          <w:vertAlign w:val="baseline"/>
        </w:rPr>
        <w:t> LGBTQ individuals are more likely to be underinsured and uninsured, making cost a major barrier to accessing health care. This is especially true for transgender and nonbinary individuals. According to the 2015 U.S. Transgender Survey, a third of respondents could not afford healthcare services when they needed them; transgender people of color, including multiracial, American Indian, Black, and Latinx respondents were more likely to not have seen a healthcare provider in the past year due to cost</w:t>
      </w:r>
      <w:hyperlink w:history="true" w:anchor="_bookmark196">
        <w:r>
          <w:rPr>
            <w:vertAlign w:val="baseline"/>
          </w:rPr>
          <w:t>.</w:t>
        </w:r>
        <w:r>
          <w:rPr>
            <w:vertAlign w:val="superscript"/>
          </w:rPr>
          <w:t>3</w:t>
        </w:r>
      </w:hyperlink>
      <w:r>
        <w:rPr>
          <w:vertAlign w:val="baseline"/>
        </w:rPr>
        <w:t> LGBTQ immigrants</w:t>
      </w:r>
      <w:r>
        <w:rPr>
          <w:spacing w:val="-5"/>
          <w:vertAlign w:val="baseline"/>
        </w:rPr>
        <w:t> </w:t>
      </w:r>
      <w:r>
        <w:rPr>
          <w:vertAlign w:val="baseline"/>
        </w:rPr>
        <w:t>face</w:t>
      </w:r>
      <w:r>
        <w:rPr>
          <w:spacing w:val="-6"/>
          <w:vertAlign w:val="baseline"/>
        </w:rPr>
        <w:t> </w:t>
      </w:r>
      <w:r>
        <w:rPr>
          <w:vertAlign w:val="baseline"/>
        </w:rPr>
        <w:t>multiple</w:t>
      </w:r>
      <w:r>
        <w:rPr>
          <w:spacing w:val="-4"/>
          <w:vertAlign w:val="baseline"/>
        </w:rPr>
        <w:t> </w:t>
      </w:r>
      <w:r>
        <w:rPr>
          <w:vertAlign w:val="baseline"/>
        </w:rPr>
        <w:t>barriers</w:t>
      </w:r>
      <w:r>
        <w:rPr>
          <w:spacing w:val="-5"/>
          <w:vertAlign w:val="baseline"/>
        </w:rPr>
        <w:t> </w:t>
      </w:r>
      <w:r>
        <w:rPr>
          <w:vertAlign w:val="baseline"/>
        </w:rPr>
        <w:t>to</w:t>
      </w:r>
      <w:r>
        <w:rPr>
          <w:spacing w:val="-5"/>
          <w:vertAlign w:val="baseline"/>
        </w:rPr>
        <w:t> </w:t>
      </w:r>
      <w:r>
        <w:rPr>
          <w:vertAlign w:val="baseline"/>
        </w:rPr>
        <w:t>healthcare</w:t>
      </w:r>
      <w:r>
        <w:rPr>
          <w:spacing w:val="-6"/>
          <w:vertAlign w:val="baseline"/>
        </w:rPr>
        <w:t> </w:t>
      </w:r>
      <w:r>
        <w:rPr>
          <w:vertAlign w:val="baseline"/>
        </w:rPr>
        <w:t>access</w:t>
      </w:r>
      <w:r>
        <w:rPr>
          <w:spacing w:val="-5"/>
          <w:vertAlign w:val="baseline"/>
        </w:rPr>
        <w:t> </w:t>
      </w:r>
      <w:r>
        <w:rPr>
          <w:vertAlign w:val="baseline"/>
        </w:rPr>
        <w:t>due</w:t>
      </w:r>
      <w:r>
        <w:rPr>
          <w:spacing w:val="-6"/>
          <w:vertAlign w:val="baseline"/>
        </w:rPr>
        <w:t> </w:t>
      </w:r>
      <w:r>
        <w:rPr>
          <w:vertAlign w:val="baseline"/>
        </w:rPr>
        <w:t>to</w:t>
      </w:r>
      <w:r>
        <w:rPr>
          <w:spacing w:val="-4"/>
          <w:vertAlign w:val="baseline"/>
        </w:rPr>
        <w:t> </w:t>
      </w:r>
      <w:r>
        <w:rPr>
          <w:vertAlign w:val="baseline"/>
        </w:rPr>
        <w:t>their</w:t>
      </w:r>
      <w:r>
        <w:rPr>
          <w:spacing w:val="-5"/>
          <w:vertAlign w:val="baseline"/>
        </w:rPr>
        <w:t> </w:t>
      </w:r>
      <w:r>
        <w:rPr>
          <w:vertAlign w:val="baseline"/>
        </w:rPr>
        <w:t>citizenship</w:t>
      </w:r>
      <w:r>
        <w:rPr>
          <w:spacing w:val="-6"/>
          <w:vertAlign w:val="baseline"/>
        </w:rPr>
        <w:t> </w:t>
      </w:r>
      <w:r>
        <w:rPr>
          <w:vertAlign w:val="baseline"/>
        </w:rPr>
        <w:t>status</w:t>
      </w:r>
      <w:r>
        <w:rPr>
          <w:spacing w:val="-5"/>
          <w:vertAlign w:val="baseline"/>
        </w:rPr>
        <w:t> </w:t>
      </w:r>
      <w:r>
        <w:rPr>
          <w:vertAlign w:val="baseline"/>
        </w:rPr>
        <w:t>and</w:t>
      </w:r>
      <w:r>
        <w:rPr>
          <w:spacing w:val="-4"/>
          <w:vertAlign w:val="baseline"/>
        </w:rPr>
        <w:t> </w:t>
      </w:r>
      <w:r>
        <w:rPr>
          <w:vertAlign w:val="baseline"/>
        </w:rPr>
        <w:t>sexual</w:t>
      </w:r>
      <w:r>
        <w:rPr>
          <w:spacing w:val="-6"/>
          <w:vertAlign w:val="baseline"/>
        </w:rPr>
        <w:t> </w:t>
      </w:r>
      <w:r>
        <w:rPr>
          <w:vertAlign w:val="baseline"/>
        </w:rPr>
        <w:t>orientation or gender identity. In the U.S. it is estimated that 22% of the LGBTQ population is undocumented,</w:t>
      </w:r>
      <w:hyperlink w:history="true" w:anchor="_bookmark197">
        <w:r>
          <w:rPr>
            <w:vertAlign w:val="superscript"/>
          </w:rPr>
          <w:t>4</w:t>
        </w:r>
      </w:hyperlink>
      <w:r>
        <w:rPr>
          <w:vertAlign w:val="baseline"/>
        </w:rPr>
        <w:t> though there</w:t>
      </w:r>
      <w:r>
        <w:rPr>
          <w:spacing w:val="-10"/>
          <w:vertAlign w:val="baseline"/>
        </w:rPr>
        <w:t> </w:t>
      </w:r>
      <w:r>
        <w:rPr>
          <w:vertAlign w:val="baseline"/>
        </w:rPr>
        <w:t>is</w:t>
      </w:r>
      <w:r>
        <w:rPr>
          <w:spacing w:val="-9"/>
          <w:vertAlign w:val="baseline"/>
        </w:rPr>
        <w:t> </w:t>
      </w:r>
      <w:r>
        <w:rPr>
          <w:vertAlign w:val="baseline"/>
        </w:rPr>
        <w:t>no</w:t>
      </w:r>
      <w:r>
        <w:rPr>
          <w:spacing w:val="-8"/>
          <w:vertAlign w:val="baseline"/>
        </w:rPr>
        <w:t> </w:t>
      </w:r>
      <w:r>
        <w:rPr>
          <w:vertAlign w:val="baseline"/>
        </w:rPr>
        <w:t>current</w:t>
      </w:r>
      <w:r>
        <w:rPr>
          <w:spacing w:val="-10"/>
          <w:vertAlign w:val="baseline"/>
        </w:rPr>
        <w:t> </w:t>
      </w:r>
      <w:r>
        <w:rPr>
          <w:vertAlign w:val="baseline"/>
        </w:rPr>
        <w:t>empirical</w:t>
      </w:r>
      <w:r>
        <w:rPr>
          <w:spacing w:val="-10"/>
          <w:vertAlign w:val="baseline"/>
        </w:rPr>
        <w:t> </w:t>
      </w:r>
      <w:r>
        <w:rPr>
          <w:vertAlign w:val="baseline"/>
        </w:rPr>
        <w:t>data</w:t>
      </w:r>
      <w:r>
        <w:rPr>
          <w:spacing w:val="-10"/>
          <w:vertAlign w:val="baseline"/>
        </w:rPr>
        <w:t> </w:t>
      </w:r>
      <w:r>
        <w:rPr>
          <w:vertAlign w:val="baseline"/>
        </w:rPr>
        <w:t>on</w:t>
      </w:r>
      <w:r>
        <w:rPr>
          <w:spacing w:val="-10"/>
          <w:vertAlign w:val="baseline"/>
        </w:rPr>
        <w:t> </w:t>
      </w:r>
      <w:r>
        <w:rPr>
          <w:vertAlign w:val="baseline"/>
        </w:rPr>
        <w:t>the</w:t>
      </w:r>
      <w:r>
        <w:rPr>
          <w:spacing w:val="-9"/>
          <w:vertAlign w:val="baseline"/>
        </w:rPr>
        <w:t> </w:t>
      </w:r>
      <w:r>
        <w:rPr>
          <w:vertAlign w:val="baseline"/>
        </w:rPr>
        <w:t>percentage</w:t>
      </w:r>
      <w:r>
        <w:rPr>
          <w:spacing w:val="-9"/>
          <w:vertAlign w:val="baseline"/>
        </w:rPr>
        <w:t> </w:t>
      </w:r>
      <w:r>
        <w:rPr>
          <w:vertAlign w:val="baseline"/>
        </w:rPr>
        <w:t>of</w:t>
      </w:r>
      <w:r>
        <w:rPr>
          <w:spacing w:val="-10"/>
          <w:vertAlign w:val="baseline"/>
        </w:rPr>
        <w:t> </w:t>
      </w:r>
      <w:r>
        <w:rPr>
          <w:vertAlign w:val="baseline"/>
        </w:rPr>
        <w:t>undocumented</w:t>
      </w:r>
      <w:r>
        <w:rPr>
          <w:spacing w:val="-10"/>
          <w:vertAlign w:val="baseline"/>
        </w:rPr>
        <w:t> </w:t>
      </w:r>
      <w:r>
        <w:rPr>
          <w:vertAlign w:val="baseline"/>
        </w:rPr>
        <w:t>LGBTQ</w:t>
      </w:r>
      <w:r>
        <w:rPr>
          <w:spacing w:val="-10"/>
          <w:vertAlign w:val="baseline"/>
        </w:rPr>
        <w:t> </w:t>
      </w:r>
      <w:r>
        <w:rPr>
          <w:vertAlign w:val="baseline"/>
        </w:rPr>
        <w:t>individuals</w:t>
      </w:r>
      <w:r>
        <w:rPr>
          <w:spacing w:val="-9"/>
          <w:vertAlign w:val="baseline"/>
        </w:rPr>
        <w:t> </w:t>
      </w:r>
      <w:r>
        <w:rPr>
          <w:vertAlign w:val="baseline"/>
        </w:rPr>
        <w:t>in</w:t>
      </w:r>
      <w:r>
        <w:rPr>
          <w:spacing w:val="-9"/>
          <w:vertAlign w:val="baseline"/>
        </w:rPr>
        <w:t> </w:t>
      </w:r>
      <w:r>
        <w:rPr>
          <w:vertAlign w:val="baseline"/>
        </w:rPr>
        <w:t>Massachusetts. Undocumented LGBTQ individuals may have an additional layer of difficulty when trying to access healthcare through Medicaid and other public programs, leading to not having unmet healthcare needs. Transgender adolescents and youth are further disadvantaged, as they might rely on their parents for insurance</w:t>
      </w:r>
      <w:r>
        <w:rPr>
          <w:spacing w:val="-8"/>
          <w:vertAlign w:val="baseline"/>
        </w:rPr>
        <w:t> </w:t>
      </w:r>
      <w:r>
        <w:rPr>
          <w:vertAlign w:val="baseline"/>
        </w:rPr>
        <w:t>coverage.</w:t>
      </w:r>
      <w:r>
        <w:rPr>
          <w:spacing w:val="-8"/>
          <w:vertAlign w:val="baseline"/>
        </w:rPr>
        <w:t> </w:t>
      </w:r>
      <w:r>
        <w:rPr>
          <w:vertAlign w:val="baseline"/>
        </w:rPr>
        <w:t>This</w:t>
      </w:r>
      <w:r>
        <w:rPr>
          <w:spacing w:val="-7"/>
          <w:vertAlign w:val="baseline"/>
        </w:rPr>
        <w:t> </w:t>
      </w:r>
      <w:r>
        <w:rPr>
          <w:vertAlign w:val="baseline"/>
        </w:rPr>
        <w:t>could</w:t>
      </w:r>
      <w:r>
        <w:rPr>
          <w:spacing w:val="-8"/>
          <w:vertAlign w:val="baseline"/>
        </w:rPr>
        <w:t> </w:t>
      </w:r>
      <w:r>
        <w:rPr>
          <w:vertAlign w:val="baseline"/>
        </w:rPr>
        <w:t>be</w:t>
      </w:r>
      <w:r>
        <w:rPr>
          <w:spacing w:val="-8"/>
          <w:vertAlign w:val="baseline"/>
        </w:rPr>
        <w:t> </w:t>
      </w:r>
      <w:r>
        <w:rPr>
          <w:vertAlign w:val="baseline"/>
        </w:rPr>
        <w:t>problematic</w:t>
      </w:r>
      <w:r>
        <w:rPr>
          <w:spacing w:val="-8"/>
          <w:vertAlign w:val="baseline"/>
        </w:rPr>
        <w:t> </w:t>
      </w:r>
      <w:r>
        <w:rPr>
          <w:vertAlign w:val="baseline"/>
        </w:rPr>
        <w:t>if</w:t>
      </w:r>
      <w:r>
        <w:rPr>
          <w:spacing w:val="-7"/>
          <w:vertAlign w:val="baseline"/>
        </w:rPr>
        <w:t> </w:t>
      </w:r>
      <w:r>
        <w:rPr>
          <w:vertAlign w:val="baseline"/>
        </w:rPr>
        <w:t>their</w:t>
      </w:r>
      <w:r>
        <w:rPr>
          <w:spacing w:val="-7"/>
          <w:vertAlign w:val="baseline"/>
        </w:rPr>
        <w:t> </w:t>
      </w:r>
      <w:r>
        <w:rPr>
          <w:vertAlign w:val="baseline"/>
        </w:rPr>
        <w:t>parents</w:t>
      </w:r>
      <w:r>
        <w:rPr>
          <w:spacing w:val="-8"/>
          <w:vertAlign w:val="baseline"/>
        </w:rPr>
        <w:t> </w:t>
      </w:r>
      <w:r>
        <w:rPr>
          <w:vertAlign w:val="baseline"/>
        </w:rPr>
        <w:t>or</w:t>
      </w:r>
      <w:r>
        <w:rPr>
          <w:spacing w:val="-8"/>
          <w:vertAlign w:val="baseline"/>
        </w:rPr>
        <w:t> </w:t>
      </w:r>
      <w:r>
        <w:rPr>
          <w:vertAlign w:val="baseline"/>
        </w:rPr>
        <w:t>guardians</w:t>
      </w:r>
      <w:r>
        <w:rPr>
          <w:spacing w:val="-8"/>
          <w:vertAlign w:val="baseline"/>
        </w:rPr>
        <w:t> </w:t>
      </w:r>
      <w:r>
        <w:rPr>
          <w:vertAlign w:val="baseline"/>
        </w:rPr>
        <w:t>lack</w:t>
      </w:r>
      <w:r>
        <w:rPr>
          <w:spacing w:val="-8"/>
          <w:vertAlign w:val="baseline"/>
        </w:rPr>
        <w:t> </w:t>
      </w:r>
      <w:r>
        <w:rPr>
          <w:vertAlign w:val="baseline"/>
        </w:rPr>
        <w:t>health</w:t>
      </w:r>
      <w:r>
        <w:rPr>
          <w:spacing w:val="-8"/>
          <w:vertAlign w:val="baseline"/>
        </w:rPr>
        <w:t> </w:t>
      </w:r>
      <w:r>
        <w:rPr>
          <w:vertAlign w:val="baseline"/>
        </w:rPr>
        <w:t>care</w:t>
      </w:r>
      <w:r>
        <w:rPr>
          <w:spacing w:val="-8"/>
          <w:vertAlign w:val="baseline"/>
        </w:rPr>
        <w:t> </w:t>
      </w:r>
      <w:r>
        <w:rPr>
          <w:vertAlign w:val="baseline"/>
        </w:rPr>
        <w:t>coverage</w:t>
      </w:r>
      <w:r>
        <w:rPr>
          <w:spacing w:val="-7"/>
          <w:vertAlign w:val="baseline"/>
        </w:rPr>
        <w:t> </w:t>
      </w:r>
      <w:r>
        <w:rPr>
          <w:vertAlign w:val="baseline"/>
        </w:rPr>
        <w:t>due</w:t>
      </w:r>
      <w:r>
        <w:rPr>
          <w:spacing w:val="-8"/>
          <w:vertAlign w:val="baseline"/>
        </w:rPr>
        <w:t> </w:t>
      </w:r>
      <w:r>
        <w:rPr>
          <w:vertAlign w:val="baseline"/>
        </w:rPr>
        <w:t>to economic reasons, or if their parents are unsupportive of their sexuality and gender identity, thus cutting off a trans youth’s access to insurance coverage.</w:t>
      </w:r>
    </w:p>
    <w:p>
      <w:pPr>
        <w:pStyle w:val="BodyText"/>
        <w:spacing w:line="276" w:lineRule="auto" w:before="240"/>
        <w:ind w:left="463" w:right="240"/>
        <w:jc w:val="both"/>
      </w:pPr>
      <w:r>
        <w:rPr/>
        <w:t>Although the reproductive health care needs of LGBTQ individuals assigned female at birth are similar to cisgender,</w:t>
      </w:r>
      <w:r>
        <w:rPr>
          <w:spacing w:val="-8"/>
        </w:rPr>
        <w:t> </w:t>
      </w:r>
      <w:r>
        <w:rPr/>
        <w:t>heterosexual</w:t>
      </w:r>
      <w:r>
        <w:rPr>
          <w:spacing w:val="-8"/>
        </w:rPr>
        <w:t> </w:t>
      </w:r>
      <w:r>
        <w:rPr/>
        <w:t>individuals,</w:t>
      </w:r>
      <w:r>
        <w:rPr>
          <w:spacing w:val="-8"/>
        </w:rPr>
        <w:t> </w:t>
      </w:r>
      <w:r>
        <w:rPr/>
        <w:t>LGBTQ</w:t>
      </w:r>
      <w:r>
        <w:rPr>
          <w:spacing w:val="-8"/>
        </w:rPr>
        <w:t> </w:t>
      </w:r>
      <w:r>
        <w:rPr/>
        <w:t>people</w:t>
      </w:r>
      <w:r>
        <w:rPr>
          <w:spacing w:val="-8"/>
        </w:rPr>
        <w:t> </w:t>
      </w:r>
      <w:r>
        <w:rPr/>
        <w:t>still</w:t>
      </w:r>
      <w:r>
        <w:rPr>
          <w:spacing w:val="-8"/>
        </w:rPr>
        <w:t> </w:t>
      </w:r>
      <w:r>
        <w:rPr/>
        <w:t>have</w:t>
      </w:r>
      <w:r>
        <w:rPr>
          <w:spacing w:val="-8"/>
        </w:rPr>
        <w:t> </w:t>
      </w:r>
      <w:r>
        <w:rPr/>
        <w:t>unique</w:t>
      </w:r>
      <w:r>
        <w:rPr>
          <w:spacing w:val="-8"/>
        </w:rPr>
        <w:t> </w:t>
      </w:r>
      <w:r>
        <w:rPr/>
        <w:t>needs</w:t>
      </w:r>
      <w:r>
        <w:rPr>
          <w:spacing w:val="-7"/>
        </w:rPr>
        <w:t> </w:t>
      </w:r>
      <w:r>
        <w:rPr/>
        <w:t>in</w:t>
      </w:r>
      <w:r>
        <w:rPr>
          <w:spacing w:val="-8"/>
        </w:rPr>
        <w:t> </w:t>
      </w:r>
      <w:r>
        <w:rPr/>
        <w:t>regards</w:t>
      </w:r>
      <w:r>
        <w:rPr>
          <w:spacing w:val="-7"/>
        </w:rPr>
        <w:t> </w:t>
      </w:r>
      <w:r>
        <w:rPr/>
        <w:t>to</w:t>
      </w:r>
      <w:r>
        <w:rPr>
          <w:spacing w:val="-8"/>
        </w:rPr>
        <w:t> </w:t>
      </w:r>
      <w:r>
        <w:rPr/>
        <w:t>reproductive</w:t>
      </w:r>
      <w:r>
        <w:rPr>
          <w:spacing w:val="-8"/>
        </w:rPr>
        <w:t> </w:t>
      </w:r>
      <w:r>
        <w:rPr/>
        <w:t>health care</w:t>
      </w:r>
      <w:r>
        <w:rPr>
          <w:spacing w:val="-11"/>
        </w:rPr>
        <w:t> </w:t>
      </w:r>
      <w:r>
        <w:rPr/>
        <w:t>and</w:t>
      </w:r>
      <w:r>
        <w:rPr>
          <w:spacing w:val="-12"/>
        </w:rPr>
        <w:t> </w:t>
      </w:r>
      <w:r>
        <w:rPr/>
        <w:t>face</w:t>
      </w:r>
      <w:r>
        <w:rPr>
          <w:spacing w:val="-10"/>
        </w:rPr>
        <w:t> </w:t>
      </w:r>
      <w:r>
        <w:rPr/>
        <w:t>barriers</w:t>
      </w:r>
      <w:r>
        <w:rPr>
          <w:spacing w:val="-11"/>
        </w:rPr>
        <w:t> </w:t>
      </w:r>
      <w:r>
        <w:rPr/>
        <w:t>when</w:t>
      </w:r>
      <w:r>
        <w:rPr>
          <w:spacing w:val="-12"/>
        </w:rPr>
        <w:t> </w:t>
      </w:r>
      <w:r>
        <w:rPr/>
        <w:t>pursuing</w:t>
      </w:r>
      <w:r>
        <w:rPr>
          <w:spacing w:val="-10"/>
        </w:rPr>
        <w:t> </w:t>
      </w:r>
      <w:r>
        <w:rPr/>
        <w:t>care</w:t>
      </w:r>
      <w:hyperlink w:history="true" w:anchor="_bookmark198">
        <w:r>
          <w:rPr/>
          <w:t>.</w:t>
        </w:r>
        <w:r>
          <w:rPr>
            <w:vertAlign w:val="superscript"/>
          </w:rPr>
          <w:t>5</w:t>
        </w:r>
      </w:hyperlink>
      <w:r>
        <w:rPr>
          <w:spacing w:val="-12"/>
          <w:vertAlign w:val="baseline"/>
        </w:rPr>
        <w:t> </w:t>
      </w:r>
      <w:r>
        <w:rPr>
          <w:vertAlign w:val="baseline"/>
        </w:rPr>
        <w:t>When</w:t>
      </w:r>
      <w:r>
        <w:rPr>
          <w:spacing w:val="-10"/>
          <w:vertAlign w:val="baseline"/>
        </w:rPr>
        <w:t> </w:t>
      </w:r>
      <w:r>
        <w:rPr>
          <w:vertAlign w:val="baseline"/>
        </w:rPr>
        <w:t>actually</w:t>
      </w:r>
      <w:r>
        <w:rPr>
          <w:spacing w:val="-11"/>
          <w:vertAlign w:val="baseline"/>
        </w:rPr>
        <w:t> </w:t>
      </w:r>
      <w:r>
        <w:rPr>
          <w:vertAlign w:val="baseline"/>
        </w:rPr>
        <w:t>attempting</w:t>
      </w:r>
      <w:r>
        <w:rPr>
          <w:spacing w:val="-10"/>
          <w:vertAlign w:val="baseline"/>
        </w:rPr>
        <w:t> </w:t>
      </w:r>
      <w:r>
        <w:rPr>
          <w:vertAlign w:val="baseline"/>
        </w:rPr>
        <w:t>to</w:t>
      </w:r>
      <w:r>
        <w:rPr>
          <w:spacing w:val="-11"/>
          <w:vertAlign w:val="baseline"/>
        </w:rPr>
        <w:t> </w:t>
      </w:r>
      <w:r>
        <w:rPr>
          <w:vertAlign w:val="baseline"/>
        </w:rPr>
        <w:t>access</w:t>
      </w:r>
      <w:r>
        <w:rPr>
          <w:spacing w:val="-10"/>
          <w:vertAlign w:val="baseline"/>
        </w:rPr>
        <w:t> </w:t>
      </w:r>
      <w:r>
        <w:rPr>
          <w:vertAlign w:val="baseline"/>
        </w:rPr>
        <w:t>health</w:t>
      </w:r>
      <w:r>
        <w:rPr>
          <w:spacing w:val="-10"/>
          <w:vertAlign w:val="baseline"/>
        </w:rPr>
        <w:t> </w:t>
      </w:r>
      <w:r>
        <w:rPr>
          <w:vertAlign w:val="baseline"/>
        </w:rPr>
        <w:t>care</w:t>
      </w:r>
      <w:r>
        <w:rPr>
          <w:spacing w:val="-10"/>
          <w:vertAlign w:val="baseline"/>
        </w:rPr>
        <w:t> </w:t>
      </w:r>
      <w:r>
        <w:rPr>
          <w:vertAlign w:val="baseline"/>
        </w:rPr>
        <w:t>services,</w:t>
      </w:r>
      <w:r>
        <w:rPr>
          <w:spacing w:val="-11"/>
          <w:vertAlign w:val="baseline"/>
        </w:rPr>
        <w:t> </w:t>
      </w:r>
      <w:r>
        <w:rPr>
          <w:vertAlign w:val="baseline"/>
        </w:rPr>
        <w:t>studies </w:t>
      </w:r>
      <w:r>
        <w:rPr>
          <w:spacing w:val="-2"/>
          <w:vertAlign w:val="baseline"/>
        </w:rPr>
        <w:t>have shown that LGBTQ youth had negative experiences with primary health care providers</w:t>
      </w:r>
      <w:hyperlink w:history="true" w:anchor="_bookmark199">
        <w:r>
          <w:rPr>
            <w:spacing w:val="-2"/>
            <w:vertAlign w:val="baseline"/>
          </w:rPr>
          <w:t>.</w:t>
        </w:r>
        <w:r>
          <w:rPr>
            <w:spacing w:val="-2"/>
            <w:vertAlign w:val="superscript"/>
          </w:rPr>
          <w:t>6</w:t>
        </w:r>
      </w:hyperlink>
      <w:r>
        <w:rPr>
          <w:spacing w:val="-2"/>
          <w:vertAlign w:val="baseline"/>
        </w:rPr>
        <w:t> Discrimination, </w:t>
      </w:r>
      <w:r>
        <w:rPr>
          <w:vertAlign w:val="baseline"/>
        </w:rPr>
        <w:t>or</w:t>
      </w:r>
      <w:r>
        <w:rPr>
          <w:spacing w:val="-4"/>
          <w:vertAlign w:val="baseline"/>
        </w:rPr>
        <w:t> </w:t>
      </w:r>
      <w:r>
        <w:rPr>
          <w:vertAlign w:val="baseline"/>
        </w:rPr>
        <w:t>the</w:t>
      </w:r>
      <w:r>
        <w:rPr>
          <w:spacing w:val="-4"/>
          <w:vertAlign w:val="baseline"/>
        </w:rPr>
        <w:t> </w:t>
      </w:r>
      <w:r>
        <w:rPr>
          <w:vertAlign w:val="baseline"/>
        </w:rPr>
        <w:t>potential</w:t>
      </w:r>
      <w:r>
        <w:rPr>
          <w:spacing w:val="-4"/>
          <w:vertAlign w:val="baseline"/>
        </w:rPr>
        <w:t> </w:t>
      </w:r>
      <w:r>
        <w:rPr>
          <w:vertAlign w:val="baseline"/>
        </w:rPr>
        <w:t>for</w:t>
      </w:r>
      <w:r>
        <w:rPr>
          <w:spacing w:val="-4"/>
          <w:vertAlign w:val="baseline"/>
        </w:rPr>
        <w:t> </w:t>
      </w:r>
      <w:r>
        <w:rPr>
          <w:vertAlign w:val="baseline"/>
        </w:rPr>
        <w:t>discrimination</w:t>
      </w:r>
      <w:r>
        <w:rPr>
          <w:spacing w:val="-4"/>
          <w:vertAlign w:val="baseline"/>
        </w:rPr>
        <w:t> </w:t>
      </w:r>
      <w:r>
        <w:rPr>
          <w:vertAlign w:val="baseline"/>
        </w:rPr>
        <w:t>in</w:t>
      </w:r>
      <w:r>
        <w:rPr>
          <w:spacing w:val="-3"/>
          <w:vertAlign w:val="baseline"/>
        </w:rPr>
        <w:t> </w:t>
      </w:r>
      <w:r>
        <w:rPr>
          <w:vertAlign w:val="baseline"/>
        </w:rPr>
        <w:t>healthcare</w:t>
      </w:r>
      <w:r>
        <w:rPr>
          <w:spacing w:val="-3"/>
          <w:vertAlign w:val="baseline"/>
        </w:rPr>
        <w:t> </w:t>
      </w:r>
      <w:r>
        <w:rPr>
          <w:vertAlign w:val="baseline"/>
        </w:rPr>
        <w:t>settings,</w:t>
      </w:r>
      <w:r>
        <w:rPr>
          <w:spacing w:val="-4"/>
          <w:vertAlign w:val="baseline"/>
        </w:rPr>
        <w:t> </w:t>
      </w:r>
      <w:r>
        <w:rPr>
          <w:vertAlign w:val="baseline"/>
        </w:rPr>
        <w:t>deters</w:t>
      </w:r>
      <w:r>
        <w:rPr>
          <w:spacing w:val="-4"/>
          <w:vertAlign w:val="baseline"/>
        </w:rPr>
        <w:t> </w:t>
      </w:r>
      <w:r>
        <w:rPr>
          <w:vertAlign w:val="baseline"/>
        </w:rPr>
        <w:t>LGBTQ</w:t>
      </w:r>
      <w:r>
        <w:rPr>
          <w:spacing w:val="-4"/>
          <w:vertAlign w:val="baseline"/>
        </w:rPr>
        <w:t> </w:t>
      </w:r>
      <w:r>
        <w:rPr>
          <w:vertAlign w:val="baseline"/>
        </w:rPr>
        <w:t>individuals</w:t>
      </w:r>
      <w:r>
        <w:rPr>
          <w:spacing w:val="-4"/>
          <w:vertAlign w:val="baseline"/>
        </w:rPr>
        <w:t> </w:t>
      </w:r>
      <w:r>
        <w:rPr>
          <w:vertAlign w:val="baseline"/>
        </w:rPr>
        <w:t>from</w:t>
      </w:r>
      <w:r>
        <w:rPr>
          <w:spacing w:val="-4"/>
          <w:vertAlign w:val="baseline"/>
        </w:rPr>
        <w:t> </w:t>
      </w:r>
      <w:r>
        <w:rPr>
          <w:vertAlign w:val="baseline"/>
        </w:rPr>
        <w:t>seeking</w:t>
      </w:r>
      <w:r>
        <w:rPr>
          <w:spacing w:val="-4"/>
          <w:vertAlign w:val="baseline"/>
        </w:rPr>
        <w:t> </w:t>
      </w:r>
      <w:r>
        <w:rPr>
          <w:vertAlign w:val="baseline"/>
        </w:rPr>
        <w:t>healthcare due</w:t>
      </w:r>
      <w:r>
        <w:rPr>
          <w:spacing w:val="-3"/>
          <w:vertAlign w:val="baseline"/>
        </w:rPr>
        <w:t> </w:t>
      </w:r>
      <w:r>
        <w:rPr>
          <w:vertAlign w:val="baseline"/>
        </w:rPr>
        <w:t>to</w:t>
      </w:r>
      <w:r>
        <w:rPr>
          <w:spacing w:val="-2"/>
          <w:vertAlign w:val="baseline"/>
        </w:rPr>
        <w:t> </w:t>
      </w:r>
      <w:r>
        <w:rPr>
          <w:vertAlign w:val="baseline"/>
        </w:rPr>
        <w:t>past</w:t>
      </w:r>
      <w:r>
        <w:rPr>
          <w:spacing w:val="-3"/>
          <w:vertAlign w:val="baseline"/>
        </w:rPr>
        <w:t> </w:t>
      </w:r>
      <w:r>
        <w:rPr>
          <w:vertAlign w:val="baseline"/>
        </w:rPr>
        <w:t>experiences</w:t>
      </w:r>
      <w:r>
        <w:rPr>
          <w:spacing w:val="-2"/>
          <w:vertAlign w:val="baseline"/>
        </w:rPr>
        <w:t> </w:t>
      </w:r>
      <w:r>
        <w:rPr>
          <w:vertAlign w:val="baseline"/>
        </w:rPr>
        <w:t>with</w:t>
      </w:r>
      <w:r>
        <w:rPr>
          <w:spacing w:val="-3"/>
          <w:vertAlign w:val="baseline"/>
        </w:rPr>
        <w:t> </w:t>
      </w:r>
      <w:r>
        <w:rPr>
          <w:vertAlign w:val="baseline"/>
        </w:rPr>
        <w:t>being</w:t>
      </w:r>
      <w:r>
        <w:rPr>
          <w:spacing w:val="-3"/>
          <w:vertAlign w:val="baseline"/>
        </w:rPr>
        <w:t> </w:t>
      </w:r>
      <w:r>
        <w:rPr>
          <w:vertAlign w:val="baseline"/>
        </w:rPr>
        <w:t>misgendered,</w:t>
      </w:r>
      <w:r>
        <w:rPr>
          <w:spacing w:val="-2"/>
          <w:vertAlign w:val="baseline"/>
        </w:rPr>
        <w:t> </w:t>
      </w:r>
      <w:r>
        <w:rPr>
          <w:vertAlign w:val="baseline"/>
        </w:rPr>
        <w:t>mistreated</w:t>
      </w:r>
      <w:r>
        <w:rPr>
          <w:spacing w:val="-3"/>
          <w:vertAlign w:val="baseline"/>
        </w:rPr>
        <w:t> </w:t>
      </w:r>
      <w:r>
        <w:rPr>
          <w:vertAlign w:val="baseline"/>
        </w:rPr>
        <w:t>for</w:t>
      </w:r>
      <w:r>
        <w:rPr>
          <w:spacing w:val="-3"/>
          <w:vertAlign w:val="baseline"/>
        </w:rPr>
        <w:t> </w:t>
      </w:r>
      <w:r>
        <w:rPr>
          <w:vertAlign w:val="baseline"/>
        </w:rPr>
        <w:t>their</w:t>
      </w:r>
      <w:r>
        <w:rPr>
          <w:spacing w:val="-4"/>
          <w:vertAlign w:val="baseline"/>
        </w:rPr>
        <w:t> </w:t>
      </w:r>
      <w:r>
        <w:rPr>
          <w:vertAlign w:val="baseline"/>
        </w:rPr>
        <w:t>sexuality</w:t>
      </w:r>
      <w:r>
        <w:rPr>
          <w:spacing w:val="-1"/>
          <w:vertAlign w:val="baseline"/>
        </w:rPr>
        <w:t> </w:t>
      </w:r>
      <w:r>
        <w:rPr>
          <w:vertAlign w:val="baseline"/>
        </w:rPr>
        <w:t>or</w:t>
      </w:r>
      <w:r>
        <w:rPr>
          <w:spacing w:val="-4"/>
          <w:vertAlign w:val="baseline"/>
        </w:rPr>
        <w:t> </w:t>
      </w:r>
      <w:r>
        <w:rPr>
          <w:vertAlign w:val="baseline"/>
        </w:rPr>
        <w:t>gender</w:t>
      </w:r>
      <w:r>
        <w:rPr>
          <w:spacing w:val="-3"/>
          <w:vertAlign w:val="baseline"/>
        </w:rPr>
        <w:t> </w:t>
      </w:r>
      <w:r>
        <w:rPr>
          <w:vertAlign w:val="baseline"/>
        </w:rPr>
        <w:t>identity,</w:t>
      </w:r>
      <w:r>
        <w:rPr>
          <w:spacing w:val="-2"/>
          <w:vertAlign w:val="baseline"/>
        </w:rPr>
        <w:t> </w:t>
      </w:r>
      <w:r>
        <w:rPr>
          <w:vertAlign w:val="baseline"/>
        </w:rPr>
        <w:t>or</w:t>
      </w:r>
      <w:r>
        <w:rPr>
          <w:spacing w:val="-3"/>
          <w:vertAlign w:val="baseline"/>
        </w:rPr>
        <w:t> </w:t>
      </w:r>
      <w:r>
        <w:rPr>
          <w:vertAlign w:val="baseline"/>
        </w:rPr>
        <w:t>being denied</w:t>
      </w:r>
      <w:r>
        <w:rPr>
          <w:spacing w:val="-2"/>
          <w:vertAlign w:val="baseline"/>
        </w:rPr>
        <w:t> </w:t>
      </w:r>
      <w:r>
        <w:rPr>
          <w:vertAlign w:val="baseline"/>
        </w:rPr>
        <w:t>healthcare</w:t>
      </w:r>
      <w:r>
        <w:rPr>
          <w:spacing w:val="-3"/>
          <w:vertAlign w:val="baseline"/>
        </w:rPr>
        <w:t> </w:t>
      </w:r>
      <w:r>
        <w:rPr>
          <w:vertAlign w:val="baseline"/>
        </w:rPr>
        <w:t>services</w:t>
      </w:r>
      <w:r>
        <w:rPr>
          <w:spacing w:val="-2"/>
          <w:vertAlign w:val="baseline"/>
        </w:rPr>
        <w:t> </w:t>
      </w:r>
      <w:r>
        <w:rPr>
          <w:vertAlign w:val="baseline"/>
        </w:rPr>
        <w:t>that</w:t>
      </w:r>
      <w:r>
        <w:rPr>
          <w:spacing w:val="-3"/>
          <w:vertAlign w:val="baseline"/>
        </w:rPr>
        <w:t> </w:t>
      </w:r>
      <w:r>
        <w:rPr>
          <w:vertAlign w:val="baseline"/>
        </w:rPr>
        <w:t>are</w:t>
      </w:r>
      <w:r>
        <w:rPr>
          <w:spacing w:val="-3"/>
          <w:vertAlign w:val="baseline"/>
        </w:rPr>
        <w:t> </w:t>
      </w:r>
      <w:r>
        <w:rPr>
          <w:vertAlign w:val="baseline"/>
        </w:rPr>
        <w:t>related</w:t>
      </w:r>
      <w:r>
        <w:rPr>
          <w:spacing w:val="-3"/>
          <w:vertAlign w:val="baseline"/>
        </w:rPr>
        <w:t> </w:t>
      </w:r>
      <w:r>
        <w:rPr>
          <w:vertAlign w:val="baseline"/>
        </w:rPr>
        <w:t>to</w:t>
      </w:r>
      <w:r>
        <w:rPr>
          <w:spacing w:val="-2"/>
          <w:vertAlign w:val="baseline"/>
        </w:rPr>
        <w:t> </w:t>
      </w:r>
      <w:r>
        <w:rPr>
          <w:vertAlign w:val="baseline"/>
        </w:rPr>
        <w:t>their</w:t>
      </w:r>
      <w:r>
        <w:rPr>
          <w:spacing w:val="-1"/>
          <w:vertAlign w:val="baseline"/>
        </w:rPr>
        <w:t> </w:t>
      </w:r>
      <w:r>
        <w:rPr>
          <w:vertAlign w:val="baseline"/>
        </w:rPr>
        <w:t>gender</w:t>
      </w:r>
      <w:r>
        <w:rPr>
          <w:spacing w:val="-1"/>
          <w:vertAlign w:val="baseline"/>
        </w:rPr>
        <w:t> </w:t>
      </w:r>
      <w:r>
        <w:rPr>
          <w:vertAlign w:val="baseline"/>
        </w:rPr>
        <w:t>transition.</w:t>
      </w:r>
      <w:r>
        <w:rPr>
          <w:spacing w:val="-4"/>
          <w:vertAlign w:val="baseline"/>
        </w:rPr>
        <w:t> </w:t>
      </w:r>
      <w:hyperlink w:history="true" w:anchor="_bookmark200">
        <w:r>
          <w:rPr>
            <w:vertAlign w:val="superscript"/>
          </w:rPr>
          <w:t>7</w:t>
        </w:r>
      </w:hyperlink>
      <w:r>
        <w:rPr>
          <w:spacing w:val="-3"/>
          <w:vertAlign w:val="baseline"/>
        </w:rPr>
        <w:t> </w:t>
      </w:r>
      <w:r>
        <w:rPr>
          <w:vertAlign w:val="baseline"/>
        </w:rPr>
        <w:t>Transmasculine</w:t>
      </w:r>
      <w:r>
        <w:rPr>
          <w:spacing w:val="-3"/>
          <w:vertAlign w:val="baseline"/>
        </w:rPr>
        <w:t> </w:t>
      </w:r>
      <w:r>
        <w:rPr>
          <w:vertAlign w:val="baseline"/>
        </w:rPr>
        <w:t>youth</w:t>
      </w:r>
      <w:r>
        <w:rPr>
          <w:spacing w:val="-3"/>
          <w:vertAlign w:val="baseline"/>
        </w:rPr>
        <w:t> </w:t>
      </w:r>
      <w:r>
        <w:rPr>
          <w:vertAlign w:val="baseline"/>
        </w:rPr>
        <w:t>of</w:t>
      </w:r>
      <w:r>
        <w:rPr>
          <w:spacing w:val="-3"/>
          <w:vertAlign w:val="baseline"/>
        </w:rPr>
        <w:t> </w:t>
      </w:r>
      <w:r>
        <w:rPr>
          <w:vertAlign w:val="baseline"/>
        </w:rPr>
        <w:t>color</w:t>
      </w:r>
      <w:r>
        <w:rPr>
          <w:spacing w:val="-3"/>
          <w:vertAlign w:val="baseline"/>
        </w:rPr>
        <w:t> </w:t>
      </w:r>
      <w:r>
        <w:rPr>
          <w:vertAlign w:val="baseline"/>
        </w:rPr>
        <w:t>have reported</w:t>
      </w:r>
      <w:r>
        <w:rPr>
          <w:spacing w:val="-13"/>
          <w:vertAlign w:val="baseline"/>
        </w:rPr>
        <w:t> </w:t>
      </w:r>
      <w:r>
        <w:rPr>
          <w:vertAlign w:val="baseline"/>
        </w:rPr>
        <w:t>experiencing</w:t>
      </w:r>
      <w:r>
        <w:rPr>
          <w:spacing w:val="-12"/>
          <w:vertAlign w:val="baseline"/>
        </w:rPr>
        <w:t> </w:t>
      </w:r>
      <w:r>
        <w:rPr>
          <w:vertAlign w:val="baseline"/>
        </w:rPr>
        <w:t>cissexism,</w:t>
      </w:r>
      <w:r>
        <w:rPr>
          <w:spacing w:val="-13"/>
          <w:vertAlign w:val="baseline"/>
        </w:rPr>
        <w:t> </w:t>
      </w:r>
      <w:r>
        <w:rPr>
          <w:vertAlign w:val="baseline"/>
        </w:rPr>
        <w:t>heterosexism,</w:t>
      </w:r>
      <w:r>
        <w:rPr>
          <w:spacing w:val="-12"/>
          <w:vertAlign w:val="baseline"/>
        </w:rPr>
        <w:t> </w:t>
      </w:r>
      <w:r>
        <w:rPr>
          <w:vertAlign w:val="baseline"/>
        </w:rPr>
        <w:t>and</w:t>
      </w:r>
      <w:r>
        <w:rPr>
          <w:spacing w:val="-13"/>
          <w:vertAlign w:val="baseline"/>
        </w:rPr>
        <w:t> </w:t>
      </w:r>
      <w:r>
        <w:rPr>
          <w:vertAlign w:val="baseline"/>
        </w:rPr>
        <w:t>racism</w:t>
      </w:r>
      <w:r>
        <w:rPr>
          <w:spacing w:val="-12"/>
          <w:vertAlign w:val="baseline"/>
        </w:rPr>
        <w:t> </w:t>
      </w:r>
      <w:r>
        <w:rPr>
          <w:vertAlign w:val="baseline"/>
        </w:rPr>
        <w:t>when</w:t>
      </w:r>
      <w:r>
        <w:rPr>
          <w:spacing w:val="-13"/>
          <w:vertAlign w:val="baseline"/>
        </w:rPr>
        <w:t> </w:t>
      </w:r>
      <w:r>
        <w:rPr>
          <w:vertAlign w:val="baseline"/>
        </w:rPr>
        <w:t>accessing</w:t>
      </w:r>
      <w:r>
        <w:rPr>
          <w:spacing w:val="-12"/>
          <w:vertAlign w:val="baseline"/>
        </w:rPr>
        <w:t> </w:t>
      </w:r>
      <w:r>
        <w:rPr>
          <w:vertAlign w:val="baseline"/>
        </w:rPr>
        <w:t>and</w:t>
      </w:r>
      <w:r>
        <w:rPr>
          <w:spacing w:val="-12"/>
          <w:vertAlign w:val="baseline"/>
        </w:rPr>
        <w:t> </w:t>
      </w:r>
      <w:r>
        <w:rPr>
          <w:vertAlign w:val="baseline"/>
        </w:rPr>
        <w:t>utilizing</w:t>
      </w:r>
      <w:r>
        <w:rPr>
          <w:spacing w:val="-12"/>
          <w:vertAlign w:val="baseline"/>
        </w:rPr>
        <w:t> </w:t>
      </w:r>
      <w:r>
        <w:rPr>
          <w:vertAlign w:val="baseline"/>
        </w:rPr>
        <w:t>reproductive</w:t>
      </w:r>
      <w:r>
        <w:rPr>
          <w:spacing w:val="-11"/>
          <w:vertAlign w:val="baseline"/>
        </w:rPr>
        <w:t> </w:t>
      </w:r>
      <w:r>
        <w:rPr>
          <w:vertAlign w:val="baseline"/>
        </w:rPr>
        <w:t>health services, particularly gynecological health care</w:t>
      </w:r>
      <w:hyperlink w:history="true" w:anchor="_bookmark201">
        <w:r>
          <w:rPr>
            <w:vertAlign w:val="baseline"/>
          </w:rPr>
          <w:t>.</w:t>
        </w:r>
        <w:r>
          <w:rPr>
            <w:vertAlign w:val="superscript"/>
          </w:rPr>
          <w:t>8</w:t>
        </w:r>
      </w:hyperlink>
      <w:r>
        <w:rPr>
          <w:vertAlign w:val="baseline"/>
        </w:rPr>
        <w:t> Studies have shown that primary care providers are less likely</w:t>
      </w:r>
      <w:r>
        <w:rPr>
          <w:spacing w:val="-5"/>
          <w:vertAlign w:val="baseline"/>
        </w:rPr>
        <w:t> </w:t>
      </w:r>
      <w:r>
        <w:rPr>
          <w:vertAlign w:val="baseline"/>
        </w:rPr>
        <w:t>to</w:t>
      </w:r>
      <w:r>
        <w:rPr>
          <w:spacing w:val="-6"/>
          <w:vertAlign w:val="baseline"/>
        </w:rPr>
        <w:t> </w:t>
      </w:r>
      <w:r>
        <w:rPr>
          <w:vertAlign w:val="baseline"/>
        </w:rPr>
        <w:t>discuss</w:t>
      </w:r>
      <w:r>
        <w:rPr>
          <w:spacing w:val="-6"/>
          <w:vertAlign w:val="baseline"/>
        </w:rPr>
        <w:t> </w:t>
      </w:r>
      <w:r>
        <w:rPr>
          <w:vertAlign w:val="baseline"/>
        </w:rPr>
        <w:t>birth</w:t>
      </w:r>
      <w:r>
        <w:rPr>
          <w:spacing w:val="-6"/>
          <w:vertAlign w:val="baseline"/>
        </w:rPr>
        <w:t> </w:t>
      </w:r>
      <w:r>
        <w:rPr>
          <w:vertAlign w:val="baseline"/>
        </w:rPr>
        <w:t>control</w:t>
      </w:r>
      <w:r>
        <w:rPr>
          <w:spacing w:val="-7"/>
          <w:vertAlign w:val="baseline"/>
        </w:rPr>
        <w:t> </w:t>
      </w:r>
      <w:r>
        <w:rPr>
          <w:vertAlign w:val="baseline"/>
        </w:rPr>
        <w:t>with</w:t>
      </w:r>
      <w:r>
        <w:rPr>
          <w:spacing w:val="-6"/>
          <w:vertAlign w:val="baseline"/>
        </w:rPr>
        <w:t> </w:t>
      </w:r>
      <w:r>
        <w:rPr>
          <w:vertAlign w:val="baseline"/>
        </w:rPr>
        <w:t>LGBTQ</w:t>
      </w:r>
      <w:r>
        <w:rPr>
          <w:spacing w:val="-7"/>
          <w:vertAlign w:val="baseline"/>
        </w:rPr>
        <w:t> </w:t>
      </w:r>
      <w:r>
        <w:rPr>
          <w:vertAlign w:val="baseline"/>
        </w:rPr>
        <w:t>youth</w:t>
      </w:r>
      <w:r>
        <w:rPr>
          <w:spacing w:val="-7"/>
          <w:vertAlign w:val="baseline"/>
        </w:rPr>
        <w:t> </w:t>
      </w:r>
      <w:r>
        <w:rPr>
          <w:vertAlign w:val="baseline"/>
        </w:rPr>
        <w:t>patients</w:t>
      </w:r>
      <w:hyperlink w:history="true" w:anchor="_bookmark202">
        <w:r>
          <w:rPr>
            <w:vertAlign w:val="baseline"/>
          </w:rPr>
          <w:t>,</w:t>
        </w:r>
        <w:r>
          <w:rPr>
            <w:vertAlign w:val="superscript"/>
          </w:rPr>
          <w:t>9</w:t>
        </w:r>
      </w:hyperlink>
      <w:r>
        <w:rPr>
          <w:spacing w:val="-7"/>
          <w:vertAlign w:val="baseline"/>
        </w:rPr>
        <w:t> </w:t>
      </w:r>
      <w:r>
        <w:rPr>
          <w:vertAlign w:val="baseline"/>
        </w:rPr>
        <w:t>thus</w:t>
      </w:r>
      <w:r>
        <w:rPr>
          <w:spacing w:val="-6"/>
          <w:vertAlign w:val="baseline"/>
        </w:rPr>
        <w:t> </w:t>
      </w:r>
      <w:r>
        <w:rPr>
          <w:vertAlign w:val="baseline"/>
        </w:rPr>
        <w:t>showing</w:t>
      </w:r>
      <w:r>
        <w:rPr>
          <w:spacing w:val="-6"/>
          <w:vertAlign w:val="baseline"/>
        </w:rPr>
        <w:t> </w:t>
      </w:r>
      <w:r>
        <w:rPr>
          <w:vertAlign w:val="baseline"/>
        </w:rPr>
        <w:t>how</w:t>
      </w:r>
      <w:r>
        <w:rPr>
          <w:spacing w:val="-6"/>
          <w:vertAlign w:val="baseline"/>
        </w:rPr>
        <w:t> </w:t>
      </w:r>
      <w:r>
        <w:rPr>
          <w:vertAlign w:val="baseline"/>
        </w:rPr>
        <w:t>healthcare</w:t>
      </w:r>
      <w:r>
        <w:rPr>
          <w:spacing w:val="-5"/>
          <w:vertAlign w:val="baseline"/>
        </w:rPr>
        <w:t> </w:t>
      </w:r>
      <w:r>
        <w:rPr>
          <w:vertAlign w:val="baseline"/>
        </w:rPr>
        <w:t>providers</w:t>
      </w:r>
      <w:r>
        <w:rPr>
          <w:spacing w:val="-6"/>
          <w:vertAlign w:val="baseline"/>
        </w:rPr>
        <w:t> </w:t>
      </w:r>
      <w:r>
        <w:rPr>
          <w:vertAlign w:val="baseline"/>
        </w:rPr>
        <w:t>approach LGBTQ patients through a heteronormative lens and assuming that contraceptives are only necessary for people who engage in primarily heterosexual relations.</w:t>
      </w:r>
    </w:p>
    <w:p>
      <w:pPr>
        <w:spacing w:before="239"/>
        <w:ind w:left="463" w:right="0" w:firstLine="0"/>
        <w:jc w:val="both"/>
        <w:rPr>
          <w:sz w:val="28"/>
        </w:rPr>
      </w:pPr>
      <w:bookmarkStart w:name="Gender-Affirming Health Care" w:id="368"/>
      <w:bookmarkEnd w:id="368"/>
      <w:r>
        <w:rPr/>
      </w:r>
      <w:r>
        <w:rPr>
          <w:color w:val="365F91"/>
          <w:spacing w:val="-2"/>
          <w:sz w:val="28"/>
        </w:rPr>
        <w:t>Gender-Affirming</w:t>
      </w:r>
      <w:r>
        <w:rPr>
          <w:color w:val="365F91"/>
          <w:spacing w:val="4"/>
          <w:sz w:val="28"/>
        </w:rPr>
        <w:t> </w:t>
      </w:r>
      <w:r>
        <w:rPr>
          <w:color w:val="365F91"/>
          <w:spacing w:val="-2"/>
          <w:sz w:val="28"/>
        </w:rPr>
        <w:t>Health</w:t>
      </w:r>
      <w:r>
        <w:rPr>
          <w:color w:val="365F91"/>
          <w:spacing w:val="4"/>
          <w:sz w:val="28"/>
        </w:rPr>
        <w:t> </w:t>
      </w:r>
      <w:r>
        <w:rPr>
          <w:color w:val="365F91"/>
          <w:spacing w:val="-4"/>
          <w:sz w:val="28"/>
        </w:rPr>
        <w:t>Care</w:t>
      </w:r>
    </w:p>
    <w:p>
      <w:pPr>
        <w:pStyle w:val="BodyText"/>
        <w:spacing w:line="276" w:lineRule="auto" w:before="293"/>
        <w:ind w:left="463" w:right="241"/>
        <w:jc w:val="both"/>
      </w:pPr>
      <w:r>
        <w:rPr/>
        <w:t>Transgender,</w:t>
      </w:r>
      <w:r>
        <w:rPr>
          <w:spacing w:val="-1"/>
        </w:rPr>
        <w:t> </w:t>
      </w:r>
      <w:r>
        <w:rPr/>
        <w:t>nonbinary,</w:t>
      </w:r>
      <w:r>
        <w:rPr>
          <w:spacing w:val="-3"/>
        </w:rPr>
        <w:t> </w:t>
      </w:r>
      <w:r>
        <w:rPr/>
        <w:t>and</w:t>
      </w:r>
      <w:r>
        <w:rPr>
          <w:spacing w:val="-3"/>
        </w:rPr>
        <w:t> </w:t>
      </w:r>
      <w:r>
        <w:rPr/>
        <w:t>gender-nonconforming</w:t>
      </w:r>
      <w:r>
        <w:rPr>
          <w:spacing w:val="-2"/>
        </w:rPr>
        <w:t> </w:t>
      </w:r>
      <w:r>
        <w:rPr/>
        <w:t>patients</w:t>
      </w:r>
      <w:r>
        <w:rPr>
          <w:spacing w:val="-3"/>
        </w:rPr>
        <w:t> </w:t>
      </w:r>
      <w:r>
        <w:rPr/>
        <w:t>who</w:t>
      </w:r>
      <w:r>
        <w:rPr>
          <w:spacing w:val="-1"/>
        </w:rPr>
        <w:t> </w:t>
      </w:r>
      <w:r>
        <w:rPr/>
        <w:t>have</w:t>
      </w:r>
      <w:r>
        <w:rPr>
          <w:spacing w:val="-4"/>
        </w:rPr>
        <w:t> </w:t>
      </w:r>
      <w:r>
        <w:rPr/>
        <w:t>retained</w:t>
      </w:r>
      <w:r>
        <w:rPr>
          <w:spacing w:val="-4"/>
        </w:rPr>
        <w:t> </w:t>
      </w:r>
      <w:r>
        <w:rPr/>
        <w:t>their</w:t>
      </w:r>
      <w:r>
        <w:rPr>
          <w:spacing w:val="-2"/>
        </w:rPr>
        <w:t> </w:t>
      </w:r>
      <w:r>
        <w:rPr/>
        <w:t>reproductive</w:t>
      </w:r>
      <w:r>
        <w:rPr>
          <w:spacing w:val="-4"/>
        </w:rPr>
        <w:t> </w:t>
      </w:r>
      <w:r>
        <w:rPr/>
        <w:t>organs including the cervix, uterus, one or both fallopian tubes and/or ovaries require routine gynecological care. This includes standard sexual reproductive care such as contraception counseling, reproductive health education,</w:t>
      </w:r>
      <w:r>
        <w:rPr>
          <w:spacing w:val="-4"/>
        </w:rPr>
        <w:t> </w:t>
      </w:r>
      <w:r>
        <w:rPr/>
        <w:t>breast,</w:t>
      </w:r>
      <w:r>
        <w:rPr>
          <w:spacing w:val="-4"/>
        </w:rPr>
        <w:t> </w:t>
      </w:r>
      <w:r>
        <w:rPr/>
        <w:t>and</w:t>
      </w:r>
      <w:r>
        <w:rPr>
          <w:spacing w:val="-4"/>
        </w:rPr>
        <w:t> </w:t>
      </w:r>
      <w:r>
        <w:rPr/>
        <w:t>gynecological</w:t>
      </w:r>
      <w:r>
        <w:rPr>
          <w:spacing w:val="-3"/>
        </w:rPr>
        <w:t> </w:t>
      </w:r>
      <w:r>
        <w:rPr/>
        <w:t>cancer</w:t>
      </w:r>
      <w:r>
        <w:rPr>
          <w:spacing w:val="-4"/>
        </w:rPr>
        <w:t> </w:t>
      </w:r>
      <w:r>
        <w:rPr/>
        <w:t>screenings,</w:t>
      </w:r>
      <w:r>
        <w:rPr>
          <w:spacing w:val="-4"/>
        </w:rPr>
        <w:t> </w:t>
      </w:r>
      <w:r>
        <w:rPr/>
        <w:t>STI</w:t>
      </w:r>
      <w:r>
        <w:rPr>
          <w:spacing w:val="-3"/>
        </w:rPr>
        <w:t> </w:t>
      </w:r>
      <w:r>
        <w:rPr/>
        <w:t>testing,</w:t>
      </w:r>
      <w:r>
        <w:rPr>
          <w:spacing w:val="-4"/>
        </w:rPr>
        <w:t> </w:t>
      </w:r>
      <w:r>
        <w:rPr/>
        <w:t>and</w:t>
      </w:r>
      <w:r>
        <w:rPr>
          <w:spacing w:val="-4"/>
        </w:rPr>
        <w:t> </w:t>
      </w:r>
      <w:r>
        <w:rPr/>
        <w:t>menstruation</w:t>
      </w:r>
      <w:r>
        <w:rPr>
          <w:spacing w:val="-4"/>
        </w:rPr>
        <w:t> </w:t>
      </w:r>
      <w:r>
        <w:rPr/>
        <w:t>management.</w:t>
      </w:r>
      <w:r>
        <w:rPr>
          <w:spacing w:val="-4"/>
        </w:rPr>
        <w:t> </w:t>
      </w:r>
      <w:r>
        <w:rPr/>
        <w:t>Breast exams are also part of gynecological care. For transmen and gender diverse patients who underwent top surgery to remove their breasts, they may still need chest exams as they could still be at risk for breast cancer. The LGBTQ community is not a monolithic population and youth within this community have different needs and experiences with accessing reproductive and sexual healthcare. All people who are capable</w:t>
      </w:r>
      <w:r>
        <w:rPr>
          <w:spacing w:val="-4"/>
        </w:rPr>
        <w:t> </w:t>
      </w:r>
      <w:r>
        <w:rPr/>
        <w:t>of</w:t>
      </w:r>
      <w:r>
        <w:rPr>
          <w:spacing w:val="-5"/>
        </w:rPr>
        <w:t> </w:t>
      </w:r>
      <w:r>
        <w:rPr/>
        <w:t>becoming</w:t>
      </w:r>
      <w:r>
        <w:rPr>
          <w:spacing w:val="-4"/>
        </w:rPr>
        <w:t> </w:t>
      </w:r>
      <w:r>
        <w:rPr/>
        <w:t>pregnant,</w:t>
      </w:r>
      <w:r>
        <w:rPr>
          <w:spacing w:val="-5"/>
        </w:rPr>
        <w:t> </w:t>
      </w:r>
      <w:r>
        <w:rPr/>
        <w:t>including</w:t>
      </w:r>
      <w:r>
        <w:rPr>
          <w:spacing w:val="-4"/>
        </w:rPr>
        <w:t> </w:t>
      </w:r>
      <w:r>
        <w:rPr/>
        <w:t>queer</w:t>
      </w:r>
      <w:r>
        <w:rPr>
          <w:spacing w:val="-5"/>
        </w:rPr>
        <w:t> </w:t>
      </w:r>
      <w:r>
        <w:rPr/>
        <w:t>women,</w:t>
      </w:r>
      <w:r>
        <w:rPr>
          <w:spacing w:val="-5"/>
        </w:rPr>
        <w:t> </w:t>
      </w:r>
      <w:r>
        <w:rPr/>
        <w:t>transmasculine</w:t>
      </w:r>
      <w:r>
        <w:rPr>
          <w:spacing w:val="-4"/>
        </w:rPr>
        <w:t> </w:t>
      </w:r>
      <w:r>
        <w:rPr/>
        <w:t>people,</w:t>
      </w:r>
      <w:r>
        <w:rPr>
          <w:spacing w:val="-4"/>
        </w:rPr>
        <w:t> </w:t>
      </w:r>
      <w:r>
        <w:rPr/>
        <w:t>and</w:t>
      </w:r>
      <w:r>
        <w:rPr>
          <w:spacing w:val="-5"/>
        </w:rPr>
        <w:t> </w:t>
      </w:r>
      <w:r>
        <w:rPr/>
        <w:t>nonbinary</w:t>
      </w:r>
      <w:r>
        <w:rPr>
          <w:spacing w:val="-5"/>
        </w:rPr>
        <w:t> </w:t>
      </w:r>
      <w:r>
        <w:rPr/>
        <w:t>people</w:t>
      </w:r>
      <w:r>
        <w:rPr>
          <w:spacing w:val="-4"/>
        </w:rPr>
        <w:t> </w:t>
      </w:r>
      <w:r>
        <w:rPr/>
        <w:t>may need full spectrum pregnancy care, family planning, and abortion care.</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1"/>
        <w:jc w:val="both"/>
      </w:pPr>
      <w:r>
        <w:rPr/>
        <w:t>Intersex people also need gender-affirming health care. It is important to note that people born with variations</w:t>
      </w:r>
      <w:r>
        <w:rPr>
          <w:spacing w:val="-11"/>
        </w:rPr>
        <w:t> </w:t>
      </w:r>
      <w:r>
        <w:rPr/>
        <w:t>in</w:t>
      </w:r>
      <w:r>
        <w:rPr>
          <w:spacing w:val="-12"/>
        </w:rPr>
        <w:t> </w:t>
      </w:r>
      <w:r>
        <w:rPr/>
        <w:t>their</w:t>
      </w:r>
      <w:r>
        <w:rPr>
          <w:spacing w:val="-11"/>
        </w:rPr>
        <w:t> </w:t>
      </w:r>
      <w:r>
        <w:rPr/>
        <w:t>sex</w:t>
      </w:r>
      <w:r>
        <w:rPr>
          <w:spacing w:val="-10"/>
        </w:rPr>
        <w:t> </w:t>
      </w:r>
      <w:r>
        <w:rPr/>
        <w:t>characteristics</w:t>
      </w:r>
      <w:r>
        <w:rPr>
          <w:spacing w:val="-11"/>
        </w:rPr>
        <w:t> </w:t>
      </w:r>
      <w:r>
        <w:rPr/>
        <w:t>may</w:t>
      </w:r>
      <w:r>
        <w:rPr>
          <w:spacing w:val="-10"/>
        </w:rPr>
        <w:t> </w:t>
      </w:r>
      <w:r>
        <w:rPr/>
        <w:t>or</w:t>
      </w:r>
      <w:r>
        <w:rPr>
          <w:spacing w:val="-11"/>
        </w:rPr>
        <w:t> </w:t>
      </w:r>
      <w:r>
        <w:rPr/>
        <w:t>may</w:t>
      </w:r>
      <w:r>
        <w:rPr>
          <w:spacing w:val="-11"/>
        </w:rPr>
        <w:t> </w:t>
      </w:r>
      <w:r>
        <w:rPr/>
        <w:t>not</w:t>
      </w:r>
      <w:r>
        <w:rPr>
          <w:spacing w:val="-12"/>
        </w:rPr>
        <w:t> </w:t>
      </w:r>
      <w:r>
        <w:rPr/>
        <w:t>identify</w:t>
      </w:r>
      <w:r>
        <w:rPr>
          <w:spacing w:val="-11"/>
        </w:rPr>
        <w:t> </w:t>
      </w:r>
      <w:r>
        <w:rPr/>
        <w:t>as</w:t>
      </w:r>
      <w:r>
        <w:rPr>
          <w:spacing w:val="-11"/>
        </w:rPr>
        <w:t> </w:t>
      </w:r>
      <w:r>
        <w:rPr/>
        <w:t>intersex</w:t>
      </w:r>
      <w:r>
        <w:rPr>
          <w:spacing w:val="-12"/>
        </w:rPr>
        <w:t> </w:t>
      </w:r>
      <w:r>
        <w:rPr/>
        <w:t>or</w:t>
      </w:r>
      <w:r>
        <w:rPr>
          <w:spacing w:val="-11"/>
        </w:rPr>
        <w:t> </w:t>
      </w:r>
      <w:r>
        <w:rPr/>
        <w:t>as</w:t>
      </w:r>
      <w:r>
        <w:rPr>
          <w:spacing w:val="-11"/>
        </w:rPr>
        <w:t> </w:t>
      </w:r>
      <w:r>
        <w:rPr/>
        <w:t>part</w:t>
      </w:r>
      <w:r>
        <w:rPr>
          <w:spacing w:val="-11"/>
        </w:rPr>
        <w:t> </w:t>
      </w:r>
      <w:r>
        <w:rPr/>
        <w:t>of</w:t>
      </w:r>
      <w:r>
        <w:rPr>
          <w:spacing w:val="-11"/>
        </w:rPr>
        <w:t> </w:t>
      </w:r>
      <w:r>
        <w:rPr/>
        <w:t>the</w:t>
      </w:r>
      <w:r>
        <w:rPr>
          <w:spacing w:val="-12"/>
        </w:rPr>
        <w:t> </w:t>
      </w:r>
      <w:r>
        <w:rPr/>
        <w:t>LGBTQ</w:t>
      </w:r>
      <w:r>
        <w:rPr>
          <w:spacing w:val="-10"/>
        </w:rPr>
        <w:t> </w:t>
      </w:r>
      <w:r>
        <w:rPr/>
        <w:t>community, but their reproductive and gynecological healthcare needs may be similar to transgender and gender non- conforming patients in that they may have</w:t>
      </w:r>
      <w:r>
        <w:rPr>
          <w:spacing w:val="-1"/>
        </w:rPr>
        <w:t> </w:t>
      </w:r>
      <w:r>
        <w:rPr/>
        <w:t>a gender identity that does not corresponded with the sex they were assigned at birth. Intersex patients also experience barriers when accessing gender affirming healthcare and reproductive healthcare based on the fact that they have sex characteristic variations that transcend typical notions of female and male bodies</w:t>
      </w:r>
      <w:hyperlink w:history="true" w:anchor="_bookmark203">
        <w:r>
          <w:rPr/>
          <w:t>.</w:t>
        </w:r>
        <w:r>
          <w:rPr>
            <w:vertAlign w:val="superscript"/>
          </w:rPr>
          <w:t>10</w:t>
        </w:r>
      </w:hyperlink>
      <w:r>
        <w:rPr>
          <w:vertAlign w:val="baseline"/>
        </w:rPr>
        <w:t> Sex characteristic variations may occur in the chromosomes, external genitalia, gonads, hormone production, hormone responsiveness, internal reproductive organs, or any combination of these, among others. People born with variations of sex characteristics that do not fit the gender binary may be subjected to unnecessary medical procedures and surgeries without their consent, usually when they are children thus not being able to consent to these procedures.</w:t>
      </w:r>
      <w:r>
        <w:rPr>
          <w:spacing w:val="-4"/>
          <w:vertAlign w:val="baseline"/>
        </w:rPr>
        <w:t> </w:t>
      </w:r>
      <w:r>
        <w:rPr>
          <w:vertAlign w:val="baseline"/>
        </w:rPr>
        <w:t>There</w:t>
      </w:r>
      <w:r>
        <w:rPr>
          <w:spacing w:val="-6"/>
          <w:vertAlign w:val="baseline"/>
        </w:rPr>
        <w:t> </w:t>
      </w:r>
      <w:r>
        <w:rPr>
          <w:vertAlign w:val="baseline"/>
        </w:rPr>
        <w:t>is</w:t>
      </w:r>
      <w:r>
        <w:rPr>
          <w:spacing w:val="-4"/>
          <w:vertAlign w:val="baseline"/>
        </w:rPr>
        <w:t> </w:t>
      </w:r>
      <w:r>
        <w:rPr>
          <w:vertAlign w:val="baseline"/>
        </w:rPr>
        <w:t>no</w:t>
      </w:r>
      <w:r>
        <w:rPr>
          <w:spacing w:val="-5"/>
          <w:vertAlign w:val="baseline"/>
        </w:rPr>
        <w:t> </w:t>
      </w:r>
      <w:r>
        <w:rPr>
          <w:vertAlign w:val="baseline"/>
        </w:rPr>
        <w:t>evidence</w:t>
      </w:r>
      <w:r>
        <w:rPr>
          <w:spacing w:val="-6"/>
          <w:vertAlign w:val="baseline"/>
        </w:rPr>
        <w:t> </w:t>
      </w:r>
      <w:r>
        <w:rPr>
          <w:vertAlign w:val="baseline"/>
        </w:rPr>
        <w:t>demonstrating</w:t>
      </w:r>
      <w:r>
        <w:rPr>
          <w:spacing w:val="-4"/>
          <w:vertAlign w:val="baseline"/>
        </w:rPr>
        <w:t> </w:t>
      </w:r>
      <w:r>
        <w:rPr>
          <w:vertAlign w:val="baseline"/>
        </w:rPr>
        <w:t>the</w:t>
      </w:r>
      <w:r>
        <w:rPr>
          <w:spacing w:val="-4"/>
          <w:vertAlign w:val="baseline"/>
        </w:rPr>
        <w:t> </w:t>
      </w:r>
      <w:r>
        <w:rPr>
          <w:vertAlign w:val="baseline"/>
        </w:rPr>
        <w:t>benefits</w:t>
      </w:r>
      <w:r>
        <w:rPr>
          <w:spacing w:val="-5"/>
          <w:vertAlign w:val="baseline"/>
        </w:rPr>
        <w:t> </w:t>
      </w:r>
      <w:r>
        <w:rPr>
          <w:vertAlign w:val="baseline"/>
        </w:rPr>
        <w:t>of</w:t>
      </w:r>
      <w:r>
        <w:rPr>
          <w:spacing w:val="-6"/>
          <w:vertAlign w:val="baseline"/>
        </w:rPr>
        <w:t> </w:t>
      </w:r>
      <w:r>
        <w:rPr>
          <w:vertAlign w:val="baseline"/>
        </w:rPr>
        <w:t>cosmetic</w:t>
      </w:r>
      <w:r>
        <w:rPr>
          <w:spacing w:val="-6"/>
          <w:vertAlign w:val="baseline"/>
        </w:rPr>
        <w:t> </w:t>
      </w:r>
      <w:r>
        <w:rPr>
          <w:vertAlign w:val="baseline"/>
        </w:rPr>
        <w:t>surgeries</w:t>
      </w:r>
      <w:r>
        <w:rPr>
          <w:spacing w:val="-5"/>
          <w:vertAlign w:val="baseline"/>
        </w:rPr>
        <w:t> </w:t>
      </w:r>
      <w:r>
        <w:rPr>
          <w:vertAlign w:val="baseline"/>
        </w:rPr>
        <w:t>and</w:t>
      </w:r>
      <w:r>
        <w:rPr>
          <w:spacing w:val="-4"/>
          <w:vertAlign w:val="baseline"/>
        </w:rPr>
        <w:t> </w:t>
      </w:r>
      <w:r>
        <w:rPr>
          <w:vertAlign w:val="baseline"/>
        </w:rPr>
        <w:t>genital</w:t>
      </w:r>
      <w:r>
        <w:rPr>
          <w:spacing w:val="-5"/>
          <w:vertAlign w:val="baseline"/>
        </w:rPr>
        <w:t> </w:t>
      </w:r>
      <w:r>
        <w:rPr>
          <w:vertAlign w:val="baseline"/>
        </w:rPr>
        <w:t>surgeries</w:t>
      </w:r>
      <w:r>
        <w:rPr>
          <w:spacing w:val="-5"/>
          <w:vertAlign w:val="baseline"/>
        </w:rPr>
        <w:t> </w:t>
      </w:r>
      <w:r>
        <w:rPr>
          <w:vertAlign w:val="baseline"/>
        </w:rPr>
        <w:t>on intersex children.</w:t>
      </w:r>
      <w:hyperlink w:history="true" w:anchor="_bookmark204">
        <w:r>
          <w:rPr>
            <w:vertAlign w:val="superscript"/>
          </w:rPr>
          <w:t>11</w:t>
        </w:r>
      </w:hyperlink>
    </w:p>
    <w:p>
      <w:pPr>
        <w:pStyle w:val="BodyText"/>
        <w:spacing w:line="276" w:lineRule="auto" w:before="240"/>
        <w:ind w:left="463" w:right="242"/>
        <w:jc w:val="both"/>
      </w:pPr>
      <w:r>
        <w:rPr/>
        <w:t>survey found that 6% of transgender and gender-diverse individuals residing in rural areas across five northeastern</w:t>
      </w:r>
      <w:r>
        <w:rPr>
          <w:spacing w:val="-13"/>
        </w:rPr>
        <w:t> </w:t>
      </w:r>
      <w:r>
        <w:rPr/>
        <w:t>states,</w:t>
      </w:r>
      <w:r>
        <w:rPr>
          <w:spacing w:val="-12"/>
        </w:rPr>
        <w:t> </w:t>
      </w:r>
      <w:r>
        <w:rPr/>
        <w:t>such</w:t>
      </w:r>
      <w:r>
        <w:rPr>
          <w:spacing w:val="-13"/>
        </w:rPr>
        <w:t> </w:t>
      </w:r>
      <w:r>
        <w:rPr/>
        <w:t>as</w:t>
      </w:r>
      <w:r>
        <w:rPr>
          <w:spacing w:val="-12"/>
        </w:rPr>
        <w:t> </w:t>
      </w:r>
      <w:r>
        <w:rPr/>
        <w:t>Connecticut,</w:t>
      </w:r>
      <w:r>
        <w:rPr>
          <w:spacing w:val="-13"/>
        </w:rPr>
        <w:t> </w:t>
      </w:r>
      <w:r>
        <w:rPr/>
        <w:t>Massachusetts,</w:t>
      </w:r>
      <w:r>
        <w:rPr>
          <w:spacing w:val="-12"/>
        </w:rPr>
        <w:t> </w:t>
      </w:r>
      <w:r>
        <w:rPr/>
        <w:t>New</w:t>
      </w:r>
      <w:r>
        <w:rPr>
          <w:spacing w:val="-13"/>
        </w:rPr>
        <w:t> </w:t>
      </w:r>
      <w:r>
        <w:rPr/>
        <w:t>Hampshire,</w:t>
      </w:r>
      <w:r>
        <w:rPr>
          <w:spacing w:val="-12"/>
        </w:rPr>
        <w:t> </w:t>
      </w:r>
      <w:r>
        <w:rPr/>
        <w:t>New</w:t>
      </w:r>
      <w:r>
        <w:rPr>
          <w:spacing w:val="-12"/>
        </w:rPr>
        <w:t> </w:t>
      </w:r>
      <w:r>
        <w:rPr/>
        <w:t>York,</w:t>
      </w:r>
      <w:r>
        <w:rPr>
          <w:spacing w:val="-13"/>
        </w:rPr>
        <w:t> </w:t>
      </w:r>
      <w:r>
        <w:rPr/>
        <w:t>and</w:t>
      </w:r>
      <w:r>
        <w:rPr>
          <w:spacing w:val="-12"/>
        </w:rPr>
        <w:t> </w:t>
      </w:r>
      <w:r>
        <w:rPr/>
        <w:t>Vermont</w:t>
      </w:r>
      <w:r>
        <w:rPr>
          <w:spacing w:val="-13"/>
        </w:rPr>
        <w:t> </w:t>
      </w:r>
      <w:r>
        <w:rPr/>
        <w:t>reported that there were no gender-affirming clinicians available where they accessed primary care. They also reported that they had to travel at least two hours for gender-affirming primary care</w:t>
      </w:r>
      <w:hyperlink w:history="true" w:anchor="_bookmark205">
        <w:r>
          <w:rPr/>
          <w:t>.</w:t>
        </w:r>
        <w:r>
          <w:rPr>
            <w:vertAlign w:val="superscript"/>
          </w:rPr>
          <w:t>12</w:t>
        </w:r>
      </w:hyperlink>
    </w:p>
    <w:p>
      <w:pPr>
        <w:pStyle w:val="BodyText"/>
      </w:pPr>
    </w:p>
    <w:p>
      <w:pPr>
        <w:pStyle w:val="BodyText"/>
        <w:spacing w:before="237"/>
      </w:pPr>
    </w:p>
    <w:p>
      <w:pPr>
        <w:spacing w:before="0"/>
        <w:ind w:left="463" w:right="0" w:firstLine="0"/>
        <w:jc w:val="left"/>
        <w:rPr>
          <w:sz w:val="28"/>
        </w:rPr>
      </w:pPr>
      <w:bookmarkStart w:name="Menstruation" w:id="369"/>
      <w:bookmarkEnd w:id="369"/>
      <w:r>
        <w:rPr/>
      </w:r>
      <w:r>
        <w:rPr>
          <w:color w:val="365F91"/>
          <w:spacing w:val="-2"/>
          <w:sz w:val="28"/>
        </w:rPr>
        <w:t>Menstruation</w:t>
      </w:r>
    </w:p>
    <w:p>
      <w:pPr>
        <w:pStyle w:val="BodyText"/>
        <w:spacing w:line="276" w:lineRule="auto" w:before="292"/>
        <w:ind w:left="463" w:right="243"/>
        <w:jc w:val="both"/>
      </w:pPr>
      <w:r>
        <w:rPr/>
        <w:t>Transgender, non-binary and gender non-conforming individuals with female reproductive organs experience menstruation, which may lead to dysphoria for some</w:t>
      </w:r>
    </w:p>
    <w:p>
      <w:pPr>
        <w:pStyle w:val="BodyText"/>
        <w:spacing w:line="276" w:lineRule="auto"/>
        <w:ind w:left="463" w:right="4082" w:hanging="1"/>
        <w:jc w:val="both"/>
      </w:pPr>
      <w:r>
        <w:rPr/>
        <w:drawing>
          <wp:anchor distT="0" distB="0" distL="0" distR="0" allowOverlap="1" layoutInCell="1" locked="0" behindDoc="0" simplePos="0" relativeHeight="15777792">
            <wp:simplePos x="0" y="0"/>
            <wp:positionH relativeFrom="page">
              <wp:posOffset>4636136</wp:posOffset>
            </wp:positionH>
            <wp:positionV relativeFrom="paragraph">
              <wp:posOffset>41829</wp:posOffset>
            </wp:positionV>
            <wp:extent cx="2266796" cy="950582"/>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312" cstate="print"/>
                    <a:stretch>
                      <a:fillRect/>
                    </a:stretch>
                  </pic:blipFill>
                  <pic:spPr>
                    <a:xfrm>
                      <a:off x="0" y="0"/>
                      <a:ext cx="2266796" cy="950582"/>
                    </a:xfrm>
                    <a:prstGeom prst="rect">
                      <a:avLst/>
                    </a:prstGeom>
                  </pic:spPr>
                </pic:pic>
              </a:graphicData>
            </a:graphic>
          </wp:anchor>
        </w:drawing>
      </w:r>
      <w:r>
        <w:rPr/>
        <w:t>transgender and non-binary folks</w:t>
      </w:r>
      <w:hyperlink w:history="true" w:anchor="_bookmark206">
        <w:r>
          <w:rPr/>
          <w:t>.</w:t>
        </w:r>
        <w:r>
          <w:rPr>
            <w:vertAlign w:val="superscript"/>
          </w:rPr>
          <w:t>13</w:t>
        </w:r>
      </w:hyperlink>
      <w:r>
        <w:rPr>
          <w:vertAlign w:val="baseline"/>
        </w:rPr>
        <w:t> A recent study has shown that 93% of trans and nonbinary youth experience distress related</w:t>
      </w:r>
      <w:r>
        <w:rPr>
          <w:spacing w:val="-13"/>
          <w:vertAlign w:val="baseline"/>
        </w:rPr>
        <w:t> </w:t>
      </w:r>
      <w:r>
        <w:rPr>
          <w:vertAlign w:val="baseline"/>
        </w:rPr>
        <w:t>to</w:t>
      </w:r>
      <w:r>
        <w:rPr>
          <w:spacing w:val="-12"/>
          <w:vertAlign w:val="baseline"/>
        </w:rPr>
        <w:t> </w:t>
      </w:r>
      <w:r>
        <w:rPr>
          <w:vertAlign w:val="baseline"/>
        </w:rPr>
        <w:t>having</w:t>
      </w:r>
      <w:r>
        <w:rPr>
          <w:spacing w:val="-13"/>
          <w:vertAlign w:val="baseline"/>
        </w:rPr>
        <w:t> </w:t>
      </w:r>
      <w:r>
        <w:rPr>
          <w:vertAlign w:val="baseline"/>
        </w:rPr>
        <w:t>their</w:t>
      </w:r>
      <w:r>
        <w:rPr>
          <w:spacing w:val="-12"/>
          <w:vertAlign w:val="baseline"/>
        </w:rPr>
        <w:t> </w:t>
      </w:r>
      <w:r>
        <w:rPr>
          <w:vertAlign w:val="baseline"/>
        </w:rPr>
        <w:t>periods,</w:t>
      </w:r>
      <w:r>
        <w:rPr>
          <w:spacing w:val="-13"/>
          <w:vertAlign w:val="baseline"/>
        </w:rPr>
        <w:t> </w:t>
      </w:r>
      <w:r>
        <w:rPr>
          <w:vertAlign w:val="baseline"/>
        </w:rPr>
        <w:t>and</w:t>
      </w:r>
      <w:r>
        <w:rPr>
          <w:spacing w:val="-12"/>
          <w:vertAlign w:val="baseline"/>
        </w:rPr>
        <w:t> </w:t>
      </w:r>
      <w:r>
        <w:rPr>
          <w:vertAlign w:val="baseline"/>
        </w:rPr>
        <w:t>reported</w:t>
      </w:r>
      <w:r>
        <w:rPr>
          <w:spacing w:val="-13"/>
          <w:vertAlign w:val="baseline"/>
        </w:rPr>
        <w:t> </w:t>
      </w:r>
      <w:r>
        <w:rPr>
          <w:vertAlign w:val="baseline"/>
        </w:rPr>
        <w:t>a</w:t>
      </w:r>
      <w:r>
        <w:rPr>
          <w:spacing w:val="-12"/>
          <w:vertAlign w:val="baseline"/>
        </w:rPr>
        <w:t> </w:t>
      </w:r>
      <w:r>
        <w:rPr>
          <w:vertAlign w:val="baseline"/>
        </w:rPr>
        <w:t>desire</w:t>
      </w:r>
      <w:r>
        <w:rPr>
          <w:spacing w:val="-12"/>
          <w:vertAlign w:val="baseline"/>
        </w:rPr>
        <w:t> </w:t>
      </w:r>
      <w:r>
        <w:rPr>
          <w:vertAlign w:val="baseline"/>
        </w:rPr>
        <w:t>for</w:t>
      </w:r>
      <w:r>
        <w:rPr>
          <w:spacing w:val="-13"/>
          <w:vertAlign w:val="baseline"/>
        </w:rPr>
        <w:t> </w:t>
      </w:r>
      <w:r>
        <w:rPr>
          <w:vertAlign w:val="baseline"/>
        </w:rPr>
        <w:t>medical assistance to reduce or eliminate their periods. </w:t>
      </w:r>
      <w:hyperlink w:history="true" w:anchor="_bookmark207">
        <w:r>
          <w:rPr>
            <w:vertAlign w:val="superscript"/>
          </w:rPr>
          <w:t>14</w:t>
        </w:r>
      </w:hyperlink>
      <w:r>
        <w:rPr>
          <w:vertAlign w:val="baseline"/>
        </w:rPr>
        <w:t> Gender- affirming hormone therapy is a viable option for transgender youths</w:t>
      </w:r>
      <w:r>
        <w:rPr>
          <w:spacing w:val="16"/>
          <w:vertAlign w:val="baseline"/>
        </w:rPr>
        <w:t> </w:t>
      </w:r>
      <w:r>
        <w:rPr>
          <w:vertAlign w:val="baseline"/>
        </w:rPr>
        <w:t>who</w:t>
      </w:r>
      <w:r>
        <w:rPr>
          <w:spacing w:val="17"/>
          <w:vertAlign w:val="baseline"/>
        </w:rPr>
        <w:t> </w:t>
      </w:r>
      <w:r>
        <w:rPr>
          <w:vertAlign w:val="baseline"/>
        </w:rPr>
        <w:t>are</w:t>
      </w:r>
      <w:r>
        <w:rPr>
          <w:spacing w:val="16"/>
          <w:vertAlign w:val="baseline"/>
        </w:rPr>
        <w:t> </w:t>
      </w:r>
      <w:r>
        <w:rPr>
          <w:vertAlign w:val="baseline"/>
        </w:rPr>
        <w:t>interested</w:t>
      </w:r>
      <w:r>
        <w:rPr>
          <w:spacing w:val="17"/>
          <w:vertAlign w:val="baseline"/>
        </w:rPr>
        <w:t> </w:t>
      </w:r>
      <w:r>
        <w:rPr>
          <w:vertAlign w:val="baseline"/>
        </w:rPr>
        <w:t>in</w:t>
      </w:r>
      <w:r>
        <w:rPr>
          <w:spacing w:val="17"/>
          <w:vertAlign w:val="baseline"/>
        </w:rPr>
        <w:t> </w:t>
      </w:r>
      <w:r>
        <w:rPr>
          <w:vertAlign w:val="baseline"/>
        </w:rPr>
        <w:t>amenorrhea,</w:t>
      </w:r>
      <w:r>
        <w:rPr>
          <w:spacing w:val="16"/>
          <w:vertAlign w:val="baseline"/>
        </w:rPr>
        <w:t> </w:t>
      </w:r>
      <w:r>
        <w:rPr>
          <w:vertAlign w:val="baseline"/>
        </w:rPr>
        <w:t>or</w:t>
      </w:r>
      <w:r>
        <w:rPr>
          <w:spacing w:val="17"/>
          <w:vertAlign w:val="baseline"/>
        </w:rPr>
        <w:t> </w:t>
      </w:r>
      <w:r>
        <w:rPr>
          <w:vertAlign w:val="baseline"/>
        </w:rPr>
        <w:t>the</w:t>
      </w:r>
      <w:r>
        <w:rPr>
          <w:spacing w:val="19"/>
          <w:vertAlign w:val="baseline"/>
        </w:rPr>
        <w:t> </w:t>
      </w:r>
      <w:r>
        <w:rPr>
          <w:vertAlign w:val="baseline"/>
        </w:rPr>
        <w:t>cessation</w:t>
      </w:r>
      <w:r>
        <w:rPr>
          <w:spacing w:val="16"/>
          <w:vertAlign w:val="baseline"/>
        </w:rPr>
        <w:t> </w:t>
      </w:r>
      <w:r>
        <w:rPr>
          <w:spacing w:val="-5"/>
          <w:vertAlign w:val="baseline"/>
        </w:rPr>
        <w:t>of</w:t>
      </w:r>
    </w:p>
    <w:p>
      <w:pPr>
        <w:pStyle w:val="BodyText"/>
        <w:spacing w:line="276" w:lineRule="auto"/>
        <w:ind w:left="463" w:right="240" w:hanging="1"/>
        <w:jc w:val="both"/>
      </w:pPr>
      <w:r>
        <w:rPr/>
        <w:t>menstruation</w:t>
      </w:r>
      <w:hyperlink w:history="true" w:anchor="_bookmark208">
        <w:r>
          <w:rPr/>
          <w:t>.</w:t>
        </w:r>
        <w:r>
          <w:rPr>
            <w:vertAlign w:val="superscript"/>
          </w:rPr>
          <w:t>15</w:t>
        </w:r>
      </w:hyperlink>
      <w:r>
        <w:rPr>
          <w:vertAlign w:val="baseline"/>
        </w:rPr>
        <w:t> Although hormone therapy is an option, many LGBTQ youth may be too young or uninterested</w:t>
      </w:r>
      <w:r>
        <w:rPr>
          <w:spacing w:val="-3"/>
          <w:vertAlign w:val="baseline"/>
        </w:rPr>
        <w:t> </w:t>
      </w:r>
      <w:r>
        <w:rPr>
          <w:vertAlign w:val="baseline"/>
        </w:rPr>
        <w:t>in</w:t>
      </w:r>
      <w:r>
        <w:rPr>
          <w:spacing w:val="-5"/>
          <w:vertAlign w:val="baseline"/>
        </w:rPr>
        <w:t> </w:t>
      </w:r>
      <w:r>
        <w:rPr>
          <w:vertAlign w:val="baseline"/>
        </w:rPr>
        <w:t>taking</w:t>
      </w:r>
      <w:r>
        <w:rPr>
          <w:spacing w:val="-4"/>
          <w:vertAlign w:val="baseline"/>
        </w:rPr>
        <w:t> </w:t>
      </w:r>
      <w:r>
        <w:rPr>
          <w:vertAlign w:val="baseline"/>
        </w:rPr>
        <w:t>testosterone,</w:t>
      </w:r>
      <w:r>
        <w:rPr>
          <w:spacing w:val="-5"/>
          <w:vertAlign w:val="baseline"/>
        </w:rPr>
        <w:t> </w:t>
      </w:r>
      <w:r>
        <w:rPr>
          <w:vertAlign w:val="baseline"/>
        </w:rPr>
        <w:t>leaving</w:t>
      </w:r>
      <w:r>
        <w:rPr>
          <w:spacing w:val="-5"/>
          <w:vertAlign w:val="baseline"/>
        </w:rPr>
        <w:t> </w:t>
      </w:r>
      <w:r>
        <w:rPr>
          <w:vertAlign w:val="baseline"/>
        </w:rPr>
        <w:t>the</w:t>
      </w:r>
      <w:r>
        <w:rPr>
          <w:spacing w:val="-4"/>
          <w:vertAlign w:val="baseline"/>
        </w:rPr>
        <w:t> </w:t>
      </w:r>
      <w:r>
        <w:rPr>
          <w:vertAlign w:val="baseline"/>
        </w:rPr>
        <w:t>best</w:t>
      </w:r>
      <w:r>
        <w:rPr>
          <w:spacing w:val="-3"/>
          <w:vertAlign w:val="baseline"/>
        </w:rPr>
        <w:t> </w:t>
      </w:r>
      <w:r>
        <w:rPr>
          <w:vertAlign w:val="baseline"/>
        </w:rPr>
        <w:t>menstrual</w:t>
      </w:r>
      <w:r>
        <w:rPr>
          <w:spacing w:val="-4"/>
          <w:vertAlign w:val="baseline"/>
        </w:rPr>
        <w:t> </w:t>
      </w:r>
      <w:r>
        <w:rPr>
          <w:vertAlign w:val="baseline"/>
        </w:rPr>
        <w:t>care</w:t>
      </w:r>
      <w:r>
        <w:rPr>
          <w:spacing w:val="-5"/>
          <w:vertAlign w:val="baseline"/>
        </w:rPr>
        <w:t> </w:t>
      </w:r>
      <w:r>
        <w:rPr>
          <w:vertAlign w:val="baseline"/>
        </w:rPr>
        <w:t>treatment</w:t>
      </w:r>
      <w:r>
        <w:rPr>
          <w:spacing w:val="-4"/>
          <w:vertAlign w:val="baseline"/>
        </w:rPr>
        <w:t> </w:t>
      </w:r>
      <w:r>
        <w:rPr>
          <w:vertAlign w:val="baseline"/>
        </w:rPr>
        <w:t>for</w:t>
      </w:r>
      <w:r>
        <w:rPr>
          <w:spacing w:val="-5"/>
          <w:vertAlign w:val="baseline"/>
        </w:rPr>
        <w:t> </w:t>
      </w:r>
      <w:r>
        <w:rPr>
          <w:vertAlign w:val="baseline"/>
        </w:rPr>
        <w:t>LGBTQ</w:t>
      </w:r>
      <w:r>
        <w:rPr>
          <w:spacing w:val="-4"/>
          <w:vertAlign w:val="baseline"/>
        </w:rPr>
        <w:t> </w:t>
      </w:r>
      <w:r>
        <w:rPr>
          <w:vertAlign w:val="baseline"/>
        </w:rPr>
        <w:t>youth</w:t>
      </w:r>
      <w:r>
        <w:rPr>
          <w:spacing w:val="-4"/>
          <w:vertAlign w:val="baseline"/>
        </w:rPr>
        <w:t> </w:t>
      </w:r>
      <w:r>
        <w:rPr>
          <w:vertAlign w:val="baseline"/>
        </w:rPr>
        <w:t>unclear.</w:t>
      </w:r>
      <w:r>
        <w:rPr>
          <w:spacing w:val="-4"/>
          <w:vertAlign w:val="baseline"/>
        </w:rPr>
        <w:t> </w:t>
      </w:r>
      <w:r>
        <w:rPr>
          <w:vertAlign w:val="baseline"/>
        </w:rPr>
        <w:t>In the meantime, LGBTQ youth with menstrual cycles still need gynecological and sexual health treatment.</w:t>
      </w:r>
    </w:p>
    <w:p>
      <w:pPr>
        <w:pStyle w:val="BodyText"/>
        <w:spacing w:line="276" w:lineRule="auto" w:before="240"/>
        <w:ind w:left="463" w:right="242"/>
        <w:jc w:val="both"/>
      </w:pPr>
      <w:r>
        <w:rPr/>
        <w:t>Along</w:t>
      </w:r>
      <w:r>
        <w:rPr>
          <w:spacing w:val="-8"/>
        </w:rPr>
        <w:t> </w:t>
      </w:r>
      <w:r>
        <w:rPr/>
        <w:t>with</w:t>
      </w:r>
      <w:r>
        <w:rPr>
          <w:spacing w:val="-7"/>
        </w:rPr>
        <w:t> </w:t>
      </w:r>
      <w:r>
        <w:rPr/>
        <w:t>healthcare</w:t>
      </w:r>
      <w:r>
        <w:rPr>
          <w:spacing w:val="-7"/>
        </w:rPr>
        <w:t> </w:t>
      </w:r>
      <w:r>
        <w:rPr/>
        <w:t>access,</w:t>
      </w:r>
      <w:r>
        <w:rPr>
          <w:spacing w:val="-7"/>
        </w:rPr>
        <w:t> </w:t>
      </w:r>
      <w:r>
        <w:rPr/>
        <w:t>LGBTQ</w:t>
      </w:r>
      <w:r>
        <w:rPr>
          <w:spacing w:val="-7"/>
        </w:rPr>
        <w:t> </w:t>
      </w:r>
      <w:r>
        <w:rPr/>
        <w:t>youth</w:t>
      </w:r>
      <w:r>
        <w:rPr>
          <w:spacing w:val="-7"/>
        </w:rPr>
        <w:t> </w:t>
      </w:r>
      <w:r>
        <w:rPr/>
        <w:t>need</w:t>
      </w:r>
      <w:r>
        <w:rPr>
          <w:spacing w:val="-8"/>
        </w:rPr>
        <w:t> </w:t>
      </w:r>
      <w:r>
        <w:rPr/>
        <w:t>access</w:t>
      </w:r>
      <w:r>
        <w:rPr>
          <w:spacing w:val="-7"/>
        </w:rPr>
        <w:t> </w:t>
      </w:r>
      <w:r>
        <w:rPr/>
        <w:t>to</w:t>
      </w:r>
      <w:r>
        <w:rPr>
          <w:spacing w:val="-7"/>
        </w:rPr>
        <w:t> </w:t>
      </w:r>
      <w:r>
        <w:rPr/>
        <w:t>menstrual</w:t>
      </w:r>
      <w:r>
        <w:rPr>
          <w:spacing w:val="-8"/>
        </w:rPr>
        <w:t> </w:t>
      </w:r>
      <w:r>
        <w:rPr/>
        <w:t>products.</w:t>
      </w:r>
      <w:r>
        <w:rPr>
          <w:spacing w:val="-6"/>
        </w:rPr>
        <w:t> </w:t>
      </w:r>
      <w:r>
        <w:rPr/>
        <w:t>Period</w:t>
      </w:r>
      <w:r>
        <w:rPr>
          <w:spacing w:val="-8"/>
        </w:rPr>
        <w:t> </w:t>
      </w:r>
      <w:r>
        <w:rPr/>
        <w:t>poverty</w:t>
      </w:r>
      <w:r>
        <w:rPr>
          <w:spacing w:val="-8"/>
        </w:rPr>
        <w:t> </w:t>
      </w:r>
      <w:r>
        <w:rPr/>
        <w:t>refers</w:t>
      </w:r>
      <w:r>
        <w:rPr>
          <w:spacing w:val="-6"/>
        </w:rPr>
        <w:t> </w:t>
      </w:r>
      <w:r>
        <w:rPr/>
        <w:t>to</w:t>
      </w:r>
      <w:r>
        <w:rPr>
          <w:spacing w:val="-7"/>
        </w:rPr>
        <w:t> </w:t>
      </w:r>
      <w:r>
        <w:rPr/>
        <w:t>the phenomena of not being able to afford menstrual products such as pads, tampons, or liners to manage bleeding.</w:t>
      </w:r>
      <w:r>
        <w:rPr>
          <w:spacing w:val="-12"/>
        </w:rPr>
        <w:t> </w:t>
      </w:r>
      <w:r>
        <w:rPr/>
        <w:t>It</w:t>
      </w:r>
      <w:r>
        <w:rPr>
          <w:spacing w:val="-12"/>
        </w:rPr>
        <w:t> </w:t>
      </w:r>
      <w:r>
        <w:rPr/>
        <w:t>has</w:t>
      </w:r>
      <w:r>
        <w:rPr>
          <w:spacing w:val="-11"/>
        </w:rPr>
        <w:t> </w:t>
      </w:r>
      <w:r>
        <w:rPr/>
        <w:t>been</w:t>
      </w:r>
      <w:r>
        <w:rPr>
          <w:spacing w:val="-12"/>
        </w:rPr>
        <w:t> </w:t>
      </w:r>
      <w:r>
        <w:rPr/>
        <w:t>reported</w:t>
      </w:r>
      <w:r>
        <w:rPr>
          <w:spacing w:val="-12"/>
        </w:rPr>
        <w:t> </w:t>
      </w:r>
      <w:r>
        <w:rPr/>
        <w:t>that</w:t>
      </w:r>
      <w:r>
        <w:rPr>
          <w:spacing w:val="-12"/>
        </w:rPr>
        <w:t> </w:t>
      </w:r>
      <w:r>
        <w:rPr/>
        <w:t>1</w:t>
      </w:r>
      <w:r>
        <w:rPr>
          <w:spacing w:val="-11"/>
        </w:rPr>
        <w:t> </w:t>
      </w:r>
      <w:r>
        <w:rPr/>
        <w:t>in</w:t>
      </w:r>
      <w:r>
        <w:rPr>
          <w:spacing w:val="-12"/>
        </w:rPr>
        <w:t> </w:t>
      </w:r>
      <w:r>
        <w:rPr/>
        <w:t>5</w:t>
      </w:r>
      <w:r>
        <w:rPr>
          <w:spacing w:val="-10"/>
        </w:rPr>
        <w:t> </w:t>
      </w:r>
      <w:r>
        <w:rPr/>
        <w:t>girls</w:t>
      </w:r>
      <w:r>
        <w:rPr>
          <w:spacing w:val="-11"/>
        </w:rPr>
        <w:t> </w:t>
      </w:r>
      <w:r>
        <w:rPr/>
        <w:t>have</w:t>
      </w:r>
      <w:r>
        <w:rPr>
          <w:spacing w:val="-12"/>
        </w:rPr>
        <w:t> </w:t>
      </w:r>
      <w:r>
        <w:rPr/>
        <w:t>stayed</w:t>
      </w:r>
      <w:r>
        <w:rPr>
          <w:spacing w:val="-12"/>
        </w:rPr>
        <w:t> </w:t>
      </w:r>
      <w:r>
        <w:rPr/>
        <w:t>home</w:t>
      </w:r>
      <w:r>
        <w:rPr>
          <w:spacing w:val="-12"/>
        </w:rPr>
        <w:t> </w:t>
      </w:r>
      <w:r>
        <w:rPr/>
        <w:t>from</w:t>
      </w:r>
      <w:r>
        <w:rPr>
          <w:spacing w:val="-12"/>
        </w:rPr>
        <w:t> </w:t>
      </w:r>
      <w:r>
        <w:rPr/>
        <w:t>school</w:t>
      </w:r>
      <w:r>
        <w:rPr>
          <w:spacing w:val="-11"/>
        </w:rPr>
        <w:t> </w:t>
      </w:r>
      <w:r>
        <w:rPr/>
        <w:t>while</w:t>
      </w:r>
      <w:r>
        <w:rPr>
          <w:spacing w:val="-12"/>
        </w:rPr>
        <w:t> </w:t>
      </w:r>
      <w:r>
        <w:rPr/>
        <w:t>on</w:t>
      </w:r>
      <w:r>
        <w:rPr>
          <w:spacing w:val="-12"/>
        </w:rPr>
        <w:t> </w:t>
      </w:r>
      <w:r>
        <w:rPr/>
        <w:t>their</w:t>
      </w:r>
      <w:r>
        <w:rPr>
          <w:spacing w:val="-11"/>
        </w:rPr>
        <w:t> </w:t>
      </w:r>
      <w:r>
        <w:rPr/>
        <w:t>period</w:t>
      </w:r>
      <w:r>
        <w:rPr>
          <w:spacing w:val="-12"/>
        </w:rPr>
        <w:t> </w:t>
      </w:r>
      <w:r>
        <w:rPr/>
        <w:t>and</w:t>
      </w:r>
      <w:r>
        <w:rPr>
          <w:spacing w:val="-12"/>
        </w:rPr>
        <w:t> </w:t>
      </w:r>
      <w:r>
        <w:rPr/>
        <w:t>many youth in New Bedford and Southeastern Massachusetts are currently experiencing period poverty.</w:t>
      </w:r>
      <w:hyperlink w:history="true" w:anchor="_bookmark209">
        <w:r>
          <w:rPr>
            <w:vertAlign w:val="superscript"/>
          </w:rPr>
          <w:t>16</w:t>
        </w:r>
      </w:hyperlink>
      <w:r>
        <w:rPr>
          <w:vertAlign w:val="baseline"/>
        </w:rPr>
        <w:t> Transgender</w:t>
      </w:r>
      <w:r>
        <w:rPr>
          <w:spacing w:val="-6"/>
          <w:vertAlign w:val="baseline"/>
        </w:rPr>
        <w:t> </w:t>
      </w:r>
      <w:r>
        <w:rPr>
          <w:vertAlign w:val="baseline"/>
        </w:rPr>
        <w:t>populations</w:t>
      </w:r>
      <w:r>
        <w:rPr>
          <w:spacing w:val="-7"/>
          <w:vertAlign w:val="baseline"/>
        </w:rPr>
        <w:t> </w:t>
      </w:r>
      <w:r>
        <w:rPr>
          <w:vertAlign w:val="baseline"/>
        </w:rPr>
        <w:t>are</w:t>
      </w:r>
      <w:r>
        <w:rPr>
          <w:spacing w:val="-8"/>
          <w:vertAlign w:val="baseline"/>
        </w:rPr>
        <w:t> </w:t>
      </w:r>
      <w:r>
        <w:rPr>
          <w:vertAlign w:val="baseline"/>
        </w:rPr>
        <w:t>three</w:t>
      </w:r>
      <w:r>
        <w:rPr>
          <w:spacing w:val="-8"/>
          <w:vertAlign w:val="baseline"/>
        </w:rPr>
        <w:t> </w:t>
      </w:r>
      <w:r>
        <w:rPr>
          <w:vertAlign w:val="baseline"/>
        </w:rPr>
        <w:t>times</w:t>
      </w:r>
      <w:r>
        <w:rPr>
          <w:spacing w:val="-7"/>
          <w:vertAlign w:val="baseline"/>
        </w:rPr>
        <w:t> </w:t>
      </w:r>
      <w:r>
        <w:rPr>
          <w:vertAlign w:val="baseline"/>
        </w:rPr>
        <w:t>more</w:t>
      </w:r>
      <w:r>
        <w:rPr>
          <w:spacing w:val="-8"/>
          <w:vertAlign w:val="baseline"/>
        </w:rPr>
        <w:t> </w:t>
      </w:r>
      <w:r>
        <w:rPr>
          <w:vertAlign w:val="baseline"/>
        </w:rPr>
        <w:t>likely</w:t>
      </w:r>
      <w:r>
        <w:rPr>
          <w:spacing w:val="-6"/>
          <w:vertAlign w:val="baseline"/>
        </w:rPr>
        <w:t> </w:t>
      </w:r>
      <w:r>
        <w:rPr>
          <w:vertAlign w:val="baseline"/>
        </w:rPr>
        <w:t>to</w:t>
      </w:r>
      <w:r>
        <w:rPr>
          <w:spacing w:val="-7"/>
          <w:vertAlign w:val="baseline"/>
        </w:rPr>
        <w:t> </w:t>
      </w:r>
      <w:r>
        <w:rPr>
          <w:vertAlign w:val="baseline"/>
        </w:rPr>
        <w:t>be</w:t>
      </w:r>
      <w:r>
        <w:rPr>
          <w:spacing w:val="-7"/>
          <w:vertAlign w:val="baseline"/>
        </w:rPr>
        <w:t> </w:t>
      </w:r>
      <w:r>
        <w:rPr>
          <w:vertAlign w:val="baseline"/>
        </w:rPr>
        <w:t>unemployed</w:t>
      </w:r>
      <w:r>
        <w:rPr>
          <w:spacing w:val="-8"/>
          <w:vertAlign w:val="baseline"/>
        </w:rPr>
        <w:t> </w:t>
      </w:r>
      <w:r>
        <w:rPr>
          <w:vertAlign w:val="baseline"/>
        </w:rPr>
        <w:t>and</w:t>
      </w:r>
      <w:r>
        <w:rPr>
          <w:spacing w:val="-7"/>
          <w:vertAlign w:val="baseline"/>
        </w:rPr>
        <w:t> </w:t>
      </w:r>
      <w:r>
        <w:rPr>
          <w:vertAlign w:val="baseline"/>
        </w:rPr>
        <w:t>more</w:t>
      </w:r>
      <w:r>
        <w:rPr>
          <w:spacing w:val="-8"/>
          <w:vertAlign w:val="baseline"/>
        </w:rPr>
        <w:t> </w:t>
      </w:r>
      <w:r>
        <w:rPr>
          <w:vertAlign w:val="baseline"/>
        </w:rPr>
        <w:t>than</w:t>
      </w:r>
      <w:r>
        <w:rPr>
          <w:spacing w:val="-7"/>
          <w:vertAlign w:val="baseline"/>
        </w:rPr>
        <w:t> </w:t>
      </w:r>
      <w:r>
        <w:rPr>
          <w:vertAlign w:val="baseline"/>
        </w:rPr>
        <w:t>twice</w:t>
      </w:r>
      <w:r>
        <w:rPr>
          <w:spacing w:val="-7"/>
          <w:vertAlign w:val="baseline"/>
        </w:rPr>
        <w:t> </w:t>
      </w:r>
      <w:r>
        <w:rPr>
          <w:vertAlign w:val="baseline"/>
        </w:rPr>
        <w:t>as</w:t>
      </w:r>
      <w:r>
        <w:rPr>
          <w:spacing w:val="-7"/>
          <w:vertAlign w:val="baseline"/>
        </w:rPr>
        <w:t> </w:t>
      </w:r>
      <w:r>
        <w:rPr>
          <w:vertAlign w:val="baseline"/>
        </w:rPr>
        <w:t>likely</w:t>
      </w:r>
      <w:r>
        <w:rPr>
          <w:spacing w:val="-8"/>
          <w:vertAlign w:val="baseline"/>
        </w:rPr>
        <w:t> </w:t>
      </w:r>
      <w:r>
        <w:rPr>
          <w:vertAlign w:val="baseline"/>
        </w:rPr>
        <w:t>to</w:t>
      </w:r>
      <w:r>
        <w:rPr>
          <w:spacing w:val="-7"/>
          <w:vertAlign w:val="baseline"/>
        </w:rPr>
        <w:t> </w:t>
      </w:r>
      <w:r>
        <w:rPr>
          <w:vertAlign w:val="baseline"/>
        </w:rPr>
        <w:t>live in poverty compared to the general population, thus making transgender youth more likely to experience period</w:t>
      </w:r>
      <w:r>
        <w:rPr>
          <w:spacing w:val="-4"/>
          <w:vertAlign w:val="baseline"/>
        </w:rPr>
        <w:t> </w:t>
      </w:r>
      <w:r>
        <w:rPr>
          <w:vertAlign w:val="baseline"/>
        </w:rPr>
        <w:t>poverty.</w:t>
      </w:r>
      <w:r>
        <w:rPr>
          <w:spacing w:val="-4"/>
          <w:vertAlign w:val="baseline"/>
        </w:rPr>
        <w:t> </w:t>
      </w:r>
      <w:r>
        <w:rPr>
          <w:vertAlign w:val="baseline"/>
        </w:rPr>
        <w:t>Those</w:t>
      </w:r>
      <w:r>
        <w:rPr>
          <w:spacing w:val="-3"/>
          <w:vertAlign w:val="baseline"/>
        </w:rPr>
        <w:t> </w:t>
      </w:r>
      <w:r>
        <w:rPr>
          <w:vertAlign w:val="baseline"/>
        </w:rPr>
        <w:t>who</w:t>
      </w:r>
      <w:r>
        <w:rPr>
          <w:spacing w:val="-2"/>
          <w:vertAlign w:val="baseline"/>
        </w:rPr>
        <w:t> </w:t>
      </w:r>
      <w:r>
        <w:rPr>
          <w:vertAlign w:val="baseline"/>
        </w:rPr>
        <w:t>are</w:t>
      </w:r>
      <w:r>
        <w:rPr>
          <w:spacing w:val="-4"/>
          <w:vertAlign w:val="baseline"/>
        </w:rPr>
        <w:t> </w:t>
      </w:r>
      <w:r>
        <w:rPr>
          <w:vertAlign w:val="baseline"/>
        </w:rPr>
        <w:t>disabled,</w:t>
      </w:r>
      <w:r>
        <w:rPr>
          <w:spacing w:val="-1"/>
          <w:vertAlign w:val="baseline"/>
        </w:rPr>
        <w:t> </w:t>
      </w:r>
      <w:r>
        <w:rPr>
          <w:vertAlign w:val="baseline"/>
        </w:rPr>
        <w:t>people</w:t>
      </w:r>
      <w:r>
        <w:rPr>
          <w:spacing w:val="-4"/>
          <w:vertAlign w:val="baseline"/>
        </w:rPr>
        <w:t> </w:t>
      </w:r>
      <w:r>
        <w:rPr>
          <w:vertAlign w:val="baseline"/>
        </w:rPr>
        <w:t>of</w:t>
      </w:r>
      <w:r>
        <w:rPr>
          <w:spacing w:val="-3"/>
          <w:vertAlign w:val="baseline"/>
        </w:rPr>
        <w:t> </w:t>
      </w:r>
      <w:r>
        <w:rPr>
          <w:vertAlign w:val="baseline"/>
        </w:rPr>
        <w:t>color,</w:t>
      </w:r>
      <w:r>
        <w:rPr>
          <w:spacing w:val="-4"/>
          <w:vertAlign w:val="baseline"/>
        </w:rPr>
        <w:t> </w:t>
      </w:r>
      <w:r>
        <w:rPr>
          <w:vertAlign w:val="baseline"/>
        </w:rPr>
        <w:t>or</w:t>
      </w:r>
      <w:r>
        <w:rPr>
          <w:spacing w:val="-4"/>
          <w:vertAlign w:val="baseline"/>
        </w:rPr>
        <w:t> </w:t>
      </w:r>
      <w:r>
        <w:rPr>
          <w:vertAlign w:val="baseline"/>
        </w:rPr>
        <w:t>undocumented</w:t>
      </w:r>
      <w:r>
        <w:rPr>
          <w:spacing w:val="-3"/>
          <w:vertAlign w:val="baseline"/>
        </w:rPr>
        <w:t> </w:t>
      </w:r>
      <w:r>
        <w:rPr>
          <w:vertAlign w:val="baseline"/>
        </w:rPr>
        <w:t>immigrants</w:t>
      </w:r>
      <w:r>
        <w:rPr>
          <w:spacing w:val="-4"/>
          <w:vertAlign w:val="baseline"/>
        </w:rPr>
        <w:t> </w:t>
      </w:r>
      <w:r>
        <w:rPr>
          <w:vertAlign w:val="baseline"/>
        </w:rPr>
        <w:t>are</w:t>
      </w:r>
      <w:r>
        <w:rPr>
          <w:spacing w:val="-3"/>
          <w:vertAlign w:val="baseline"/>
        </w:rPr>
        <w:t> </w:t>
      </w:r>
      <w:r>
        <w:rPr>
          <w:vertAlign w:val="baseline"/>
        </w:rPr>
        <w:t>especially</w:t>
      </w:r>
      <w:r>
        <w:rPr>
          <w:spacing w:val="-3"/>
          <w:vertAlign w:val="baseline"/>
        </w:rPr>
        <w:t> </w:t>
      </w:r>
      <w:r>
        <w:rPr>
          <w:vertAlign w:val="baseline"/>
        </w:rPr>
        <w:t>likely</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0"/>
        <w:jc w:val="both"/>
      </w:pPr>
      <w:r>
        <w:rPr/>
        <w:t>to be unemployed and living in poverty</w:t>
      </w:r>
      <w:hyperlink w:history="true" w:anchor="_bookmark210">
        <w:r>
          <w:rPr/>
          <w:t>.</w:t>
        </w:r>
        <w:r>
          <w:rPr>
            <w:vertAlign w:val="superscript"/>
          </w:rPr>
          <w:t>17</w:t>
        </w:r>
      </w:hyperlink>
      <w:r>
        <w:rPr>
          <w:vertAlign w:val="baseline"/>
        </w:rPr>
        <w:t> Even when menstrual products are free, transgender individuals may not be able to access them still. While menstrual products are sometimes available in women’s restrooms, they may not be available in men’s restrooms, making them inaccessible for menstruating individuals</w:t>
      </w:r>
      <w:r>
        <w:rPr>
          <w:spacing w:val="-2"/>
          <w:vertAlign w:val="baseline"/>
        </w:rPr>
        <w:t> </w:t>
      </w:r>
      <w:r>
        <w:rPr>
          <w:vertAlign w:val="baseline"/>
        </w:rPr>
        <w:t>who</w:t>
      </w:r>
      <w:r>
        <w:rPr>
          <w:spacing w:val="-2"/>
          <w:vertAlign w:val="baseline"/>
        </w:rPr>
        <w:t> </w:t>
      </w:r>
      <w:r>
        <w:rPr>
          <w:vertAlign w:val="baseline"/>
        </w:rPr>
        <w:t>feel</w:t>
      </w:r>
      <w:r>
        <w:rPr>
          <w:spacing w:val="-2"/>
          <w:vertAlign w:val="baseline"/>
        </w:rPr>
        <w:t> </w:t>
      </w:r>
      <w:r>
        <w:rPr>
          <w:vertAlign w:val="baseline"/>
        </w:rPr>
        <w:t>comfortable</w:t>
      </w:r>
      <w:r>
        <w:rPr>
          <w:spacing w:val="-3"/>
          <w:vertAlign w:val="baseline"/>
        </w:rPr>
        <w:t> </w:t>
      </w:r>
      <w:r>
        <w:rPr>
          <w:vertAlign w:val="baseline"/>
        </w:rPr>
        <w:t>using</w:t>
      </w:r>
      <w:r>
        <w:rPr>
          <w:spacing w:val="-2"/>
          <w:vertAlign w:val="baseline"/>
        </w:rPr>
        <w:t> </w:t>
      </w:r>
      <w:r>
        <w:rPr>
          <w:vertAlign w:val="baseline"/>
        </w:rPr>
        <w:t>a</w:t>
      </w:r>
      <w:r>
        <w:rPr>
          <w:spacing w:val="-3"/>
          <w:vertAlign w:val="baseline"/>
        </w:rPr>
        <w:t> </w:t>
      </w:r>
      <w:r>
        <w:rPr>
          <w:vertAlign w:val="baseline"/>
        </w:rPr>
        <w:t>men’s</w:t>
      </w:r>
      <w:r>
        <w:rPr>
          <w:spacing w:val="-2"/>
          <w:vertAlign w:val="baseline"/>
        </w:rPr>
        <w:t> </w:t>
      </w:r>
      <w:r>
        <w:rPr>
          <w:vertAlign w:val="baseline"/>
        </w:rPr>
        <w:t>restroom.</w:t>
      </w:r>
      <w:r>
        <w:rPr>
          <w:spacing w:val="-3"/>
          <w:vertAlign w:val="baseline"/>
        </w:rPr>
        <w:t> </w:t>
      </w:r>
      <w:r>
        <w:rPr>
          <w:vertAlign w:val="baseline"/>
        </w:rPr>
        <w:t>Homeless</w:t>
      </w:r>
      <w:r>
        <w:rPr>
          <w:spacing w:val="-2"/>
          <w:vertAlign w:val="baseline"/>
        </w:rPr>
        <w:t> </w:t>
      </w:r>
      <w:r>
        <w:rPr>
          <w:vertAlign w:val="baseline"/>
        </w:rPr>
        <w:t>transmasculine</w:t>
      </w:r>
      <w:r>
        <w:rPr>
          <w:spacing w:val="-2"/>
          <w:vertAlign w:val="baseline"/>
        </w:rPr>
        <w:t> </w:t>
      </w:r>
      <w:r>
        <w:rPr>
          <w:vertAlign w:val="baseline"/>
        </w:rPr>
        <w:t>individuals</w:t>
      </w:r>
      <w:r>
        <w:rPr>
          <w:spacing w:val="-2"/>
          <w:vertAlign w:val="baseline"/>
        </w:rPr>
        <w:t> </w:t>
      </w:r>
      <w:r>
        <w:rPr>
          <w:vertAlign w:val="baseline"/>
        </w:rPr>
        <w:t>face</w:t>
      </w:r>
      <w:r>
        <w:rPr>
          <w:spacing w:val="-3"/>
          <w:vertAlign w:val="baseline"/>
        </w:rPr>
        <w:t> </w:t>
      </w:r>
      <w:r>
        <w:rPr>
          <w:vertAlign w:val="baseline"/>
        </w:rPr>
        <w:t>similar barriers in men’s homeless shelters where virtually no menstrual products are provided.</w:t>
      </w:r>
      <w:hyperlink w:history="true" w:anchor="_bookmark211">
        <w:r>
          <w:rPr>
            <w:vertAlign w:val="superscript"/>
          </w:rPr>
          <w:t>18</w:t>
        </w:r>
      </w:hyperlink>
      <w:r>
        <w:rPr>
          <w:vertAlign w:val="baseline"/>
        </w:rPr>
        <w:t> Access to menstrual products is also an issue in both women and men’s prisons, where transgender and nonbinary individuals might be incarcerated in either.</w:t>
      </w:r>
    </w:p>
    <w:p>
      <w:pPr>
        <w:pStyle w:val="BodyText"/>
      </w:pPr>
    </w:p>
    <w:p>
      <w:pPr>
        <w:pStyle w:val="BodyText"/>
        <w:spacing w:before="236"/>
      </w:pPr>
    </w:p>
    <w:p>
      <w:pPr>
        <w:spacing w:before="0"/>
        <w:ind w:left="463" w:right="0" w:firstLine="0"/>
        <w:jc w:val="left"/>
        <w:rPr>
          <w:sz w:val="28"/>
        </w:rPr>
      </w:pPr>
      <w:bookmarkStart w:name="Contraceptives" w:id="370"/>
      <w:bookmarkEnd w:id="370"/>
      <w:r>
        <w:rPr/>
      </w:r>
      <w:r>
        <w:rPr>
          <w:color w:val="365F91"/>
          <w:spacing w:val="-2"/>
          <w:sz w:val="28"/>
        </w:rPr>
        <w:t>Contraceptives</w:t>
      </w:r>
    </w:p>
    <w:p>
      <w:pPr>
        <w:pStyle w:val="BodyText"/>
        <w:spacing w:line="276" w:lineRule="auto" w:before="293"/>
        <w:ind w:left="463" w:right="240"/>
        <w:jc w:val="both"/>
      </w:pPr>
      <w:r>
        <w:rPr/>
        <w:t>Due to heteronormative social structures, the use of contraceptives, or birth control, has been culturally understood to be exclusively by cisgender women who have heterosexual relations with cisgender men to prevent</w:t>
      </w:r>
      <w:r>
        <w:rPr>
          <w:spacing w:val="-7"/>
        </w:rPr>
        <w:t> </w:t>
      </w:r>
      <w:r>
        <w:rPr/>
        <w:t>pregnancy,</w:t>
      </w:r>
      <w:r>
        <w:rPr>
          <w:spacing w:val="-6"/>
        </w:rPr>
        <w:t> </w:t>
      </w:r>
      <w:r>
        <w:rPr/>
        <w:t>even</w:t>
      </w:r>
      <w:r>
        <w:rPr>
          <w:spacing w:val="-6"/>
        </w:rPr>
        <w:t> </w:t>
      </w:r>
      <w:r>
        <w:rPr/>
        <w:t>though</w:t>
      </w:r>
      <w:r>
        <w:rPr>
          <w:spacing w:val="-6"/>
        </w:rPr>
        <w:t> </w:t>
      </w:r>
      <w:r>
        <w:rPr/>
        <w:t>there</w:t>
      </w:r>
      <w:r>
        <w:rPr>
          <w:spacing w:val="-5"/>
        </w:rPr>
        <w:t> </w:t>
      </w:r>
      <w:r>
        <w:rPr/>
        <w:t>are</w:t>
      </w:r>
      <w:r>
        <w:rPr>
          <w:spacing w:val="-8"/>
        </w:rPr>
        <w:t> </w:t>
      </w:r>
      <w:r>
        <w:rPr/>
        <w:t>a</w:t>
      </w:r>
      <w:r>
        <w:rPr>
          <w:spacing w:val="-6"/>
        </w:rPr>
        <w:t> </w:t>
      </w:r>
      <w:r>
        <w:rPr/>
        <w:t>variety</w:t>
      </w:r>
      <w:r>
        <w:rPr>
          <w:spacing w:val="-5"/>
        </w:rPr>
        <w:t> </w:t>
      </w:r>
      <w:r>
        <w:rPr/>
        <w:t>of</w:t>
      </w:r>
      <w:r>
        <w:rPr>
          <w:spacing w:val="-8"/>
        </w:rPr>
        <w:t> </w:t>
      </w:r>
      <w:r>
        <w:rPr/>
        <w:t>health</w:t>
      </w:r>
      <w:r>
        <w:rPr>
          <w:spacing w:val="-7"/>
        </w:rPr>
        <w:t> </w:t>
      </w:r>
      <w:r>
        <w:rPr/>
        <w:t>reasons</w:t>
      </w:r>
      <w:r>
        <w:rPr>
          <w:spacing w:val="-7"/>
        </w:rPr>
        <w:t> </w:t>
      </w:r>
      <w:r>
        <w:rPr/>
        <w:t>why</w:t>
      </w:r>
      <w:r>
        <w:rPr>
          <w:spacing w:val="-6"/>
        </w:rPr>
        <w:t> </w:t>
      </w:r>
      <w:r>
        <w:rPr/>
        <w:t>women</w:t>
      </w:r>
      <w:r>
        <w:rPr>
          <w:spacing w:val="-7"/>
        </w:rPr>
        <w:t> </w:t>
      </w:r>
      <w:r>
        <w:rPr/>
        <w:t>would</w:t>
      </w:r>
      <w:r>
        <w:rPr>
          <w:spacing w:val="-6"/>
        </w:rPr>
        <w:t> </w:t>
      </w:r>
      <w:r>
        <w:rPr/>
        <w:t>choose</w:t>
      </w:r>
      <w:r>
        <w:rPr>
          <w:spacing w:val="-8"/>
        </w:rPr>
        <w:t> </w:t>
      </w:r>
      <w:r>
        <w:rPr/>
        <w:t>or</w:t>
      </w:r>
      <w:r>
        <w:rPr>
          <w:spacing w:val="-8"/>
        </w:rPr>
        <w:t> </w:t>
      </w:r>
      <w:r>
        <w:rPr/>
        <w:t>need</w:t>
      </w:r>
      <w:r>
        <w:rPr>
          <w:spacing w:val="-7"/>
        </w:rPr>
        <w:t> </w:t>
      </w:r>
      <w:r>
        <w:rPr/>
        <w:t>to be on birth control. These heteronormative cultural understandings of birth control exclude LGBTQ youth from</w:t>
      </w:r>
      <w:r>
        <w:rPr>
          <w:spacing w:val="-13"/>
        </w:rPr>
        <w:t> </w:t>
      </w:r>
      <w:r>
        <w:rPr/>
        <w:t>discourse</w:t>
      </w:r>
      <w:r>
        <w:rPr>
          <w:spacing w:val="-12"/>
        </w:rPr>
        <w:t> </w:t>
      </w:r>
      <w:r>
        <w:rPr/>
        <w:t>around</w:t>
      </w:r>
      <w:r>
        <w:rPr>
          <w:spacing w:val="-13"/>
        </w:rPr>
        <w:t> </w:t>
      </w:r>
      <w:r>
        <w:rPr/>
        <w:t>contraceptives,</w:t>
      </w:r>
      <w:r>
        <w:rPr>
          <w:spacing w:val="-11"/>
        </w:rPr>
        <w:t> </w:t>
      </w:r>
      <w:r>
        <w:rPr/>
        <w:t>which</w:t>
      </w:r>
      <w:r>
        <w:rPr>
          <w:spacing w:val="-12"/>
        </w:rPr>
        <w:t> </w:t>
      </w:r>
      <w:r>
        <w:rPr/>
        <w:t>takes</w:t>
      </w:r>
      <w:r>
        <w:rPr>
          <w:spacing w:val="-12"/>
        </w:rPr>
        <w:t> </w:t>
      </w:r>
      <w:r>
        <w:rPr/>
        <w:t>root</w:t>
      </w:r>
      <w:r>
        <w:rPr>
          <w:spacing w:val="-13"/>
        </w:rPr>
        <w:t> </w:t>
      </w:r>
      <w:r>
        <w:rPr/>
        <w:t>in</w:t>
      </w:r>
      <w:r>
        <w:rPr>
          <w:spacing w:val="-12"/>
        </w:rPr>
        <w:t> </w:t>
      </w:r>
      <w:r>
        <w:rPr/>
        <w:t>the</w:t>
      </w:r>
      <w:r>
        <w:rPr>
          <w:spacing w:val="-12"/>
        </w:rPr>
        <w:t> </w:t>
      </w:r>
      <w:r>
        <w:rPr/>
        <w:t>medical</w:t>
      </w:r>
      <w:r>
        <w:rPr>
          <w:spacing w:val="-13"/>
        </w:rPr>
        <w:t> </w:t>
      </w:r>
      <w:r>
        <w:rPr/>
        <w:t>system.</w:t>
      </w:r>
      <w:r>
        <w:rPr>
          <w:spacing w:val="-10"/>
        </w:rPr>
        <w:t> </w:t>
      </w:r>
      <w:r>
        <w:rPr/>
        <w:t>Healthcare</w:t>
      </w:r>
      <w:r>
        <w:rPr>
          <w:spacing w:val="-13"/>
        </w:rPr>
        <w:t> </w:t>
      </w:r>
      <w:r>
        <w:rPr/>
        <w:t>providers</w:t>
      </w:r>
      <w:r>
        <w:rPr>
          <w:spacing w:val="-11"/>
        </w:rPr>
        <w:t> </w:t>
      </w:r>
      <w:r>
        <w:rPr/>
        <w:t>are</w:t>
      </w:r>
      <w:r>
        <w:rPr>
          <w:spacing w:val="-13"/>
        </w:rPr>
        <w:t> </w:t>
      </w:r>
      <w:r>
        <w:rPr/>
        <w:t>less likely</w:t>
      </w:r>
      <w:r>
        <w:rPr>
          <w:spacing w:val="-5"/>
        </w:rPr>
        <w:t> </w:t>
      </w:r>
      <w:r>
        <w:rPr/>
        <w:t>to</w:t>
      </w:r>
      <w:r>
        <w:rPr>
          <w:spacing w:val="-5"/>
        </w:rPr>
        <w:t> </w:t>
      </w:r>
      <w:r>
        <w:rPr/>
        <w:t>discuss</w:t>
      </w:r>
      <w:r>
        <w:rPr>
          <w:spacing w:val="-6"/>
        </w:rPr>
        <w:t> </w:t>
      </w:r>
      <w:r>
        <w:rPr/>
        <w:t>birth</w:t>
      </w:r>
      <w:r>
        <w:rPr>
          <w:spacing w:val="-4"/>
        </w:rPr>
        <w:t> </w:t>
      </w:r>
      <w:r>
        <w:rPr/>
        <w:t>control</w:t>
      </w:r>
      <w:r>
        <w:rPr>
          <w:spacing w:val="-7"/>
        </w:rPr>
        <w:t> </w:t>
      </w:r>
      <w:r>
        <w:rPr/>
        <w:t>options</w:t>
      </w:r>
      <w:r>
        <w:rPr>
          <w:spacing w:val="-5"/>
        </w:rPr>
        <w:t> </w:t>
      </w:r>
      <w:r>
        <w:rPr/>
        <w:t>with</w:t>
      </w:r>
      <w:r>
        <w:rPr>
          <w:spacing w:val="-7"/>
        </w:rPr>
        <w:t> </w:t>
      </w:r>
      <w:r>
        <w:rPr/>
        <w:t>LGBTQ</w:t>
      </w:r>
      <w:r>
        <w:rPr>
          <w:spacing w:val="-6"/>
        </w:rPr>
        <w:t> </w:t>
      </w:r>
      <w:r>
        <w:rPr/>
        <w:t>youth</w:t>
      </w:r>
      <w:r>
        <w:rPr>
          <w:spacing w:val="-7"/>
        </w:rPr>
        <w:t> </w:t>
      </w:r>
      <w:r>
        <w:rPr/>
        <w:t>patients.</w:t>
      </w:r>
      <w:r>
        <w:rPr>
          <w:spacing w:val="-6"/>
        </w:rPr>
        <w:t> </w:t>
      </w:r>
      <w:hyperlink w:history="true" w:anchor="_bookmark212">
        <w:r>
          <w:rPr>
            <w:vertAlign w:val="superscript"/>
          </w:rPr>
          <w:t>19</w:t>
        </w:r>
      </w:hyperlink>
      <w:r>
        <w:rPr>
          <w:spacing w:val="-5"/>
          <w:vertAlign w:val="baseline"/>
        </w:rPr>
        <w:t> </w:t>
      </w:r>
      <w:r>
        <w:rPr>
          <w:vertAlign w:val="baseline"/>
        </w:rPr>
        <w:t>LGBTQ</w:t>
      </w:r>
      <w:r>
        <w:rPr>
          <w:spacing w:val="-6"/>
          <w:vertAlign w:val="baseline"/>
        </w:rPr>
        <w:t> </w:t>
      </w:r>
      <w:r>
        <w:rPr>
          <w:vertAlign w:val="baseline"/>
        </w:rPr>
        <w:t>youth</w:t>
      </w:r>
      <w:r>
        <w:rPr>
          <w:spacing w:val="-6"/>
          <w:vertAlign w:val="baseline"/>
        </w:rPr>
        <w:t> </w:t>
      </w:r>
      <w:r>
        <w:rPr>
          <w:vertAlign w:val="baseline"/>
        </w:rPr>
        <w:t>patients</w:t>
      </w:r>
      <w:r>
        <w:rPr>
          <w:spacing w:val="-6"/>
          <w:vertAlign w:val="baseline"/>
        </w:rPr>
        <w:t> </w:t>
      </w:r>
      <w:r>
        <w:rPr>
          <w:vertAlign w:val="baseline"/>
        </w:rPr>
        <w:t>deserve</w:t>
      </w:r>
      <w:r>
        <w:rPr>
          <w:spacing w:val="-7"/>
          <w:vertAlign w:val="baseline"/>
        </w:rPr>
        <w:t> </w:t>
      </w:r>
      <w:r>
        <w:rPr>
          <w:vertAlign w:val="baseline"/>
        </w:rPr>
        <w:t>access</w:t>
      </w:r>
      <w:r>
        <w:rPr>
          <w:spacing w:val="-6"/>
          <w:vertAlign w:val="baseline"/>
        </w:rPr>
        <w:t> </w:t>
      </w:r>
      <w:r>
        <w:rPr>
          <w:vertAlign w:val="baseline"/>
        </w:rPr>
        <w:t>to contraceptives</w:t>
      </w:r>
      <w:r>
        <w:rPr>
          <w:spacing w:val="-3"/>
          <w:vertAlign w:val="baseline"/>
        </w:rPr>
        <w:t> </w:t>
      </w:r>
      <w:r>
        <w:rPr>
          <w:vertAlign w:val="baseline"/>
        </w:rPr>
        <w:t>and</w:t>
      </w:r>
      <w:r>
        <w:rPr>
          <w:spacing w:val="-2"/>
          <w:vertAlign w:val="baseline"/>
        </w:rPr>
        <w:t> </w:t>
      </w:r>
      <w:r>
        <w:rPr>
          <w:vertAlign w:val="baseline"/>
        </w:rPr>
        <w:t>health</w:t>
      </w:r>
      <w:r>
        <w:rPr>
          <w:spacing w:val="-2"/>
          <w:vertAlign w:val="baseline"/>
        </w:rPr>
        <w:t> </w:t>
      </w:r>
      <w:r>
        <w:rPr>
          <w:vertAlign w:val="baseline"/>
        </w:rPr>
        <w:t>care</w:t>
      </w:r>
      <w:r>
        <w:rPr>
          <w:spacing w:val="-2"/>
          <w:vertAlign w:val="baseline"/>
        </w:rPr>
        <w:t> </w:t>
      </w:r>
      <w:r>
        <w:rPr>
          <w:vertAlign w:val="baseline"/>
        </w:rPr>
        <w:t>providers</w:t>
      </w:r>
      <w:r>
        <w:rPr>
          <w:spacing w:val="-3"/>
          <w:vertAlign w:val="baseline"/>
        </w:rPr>
        <w:t> </w:t>
      </w:r>
      <w:r>
        <w:rPr>
          <w:vertAlign w:val="baseline"/>
        </w:rPr>
        <w:t>need</w:t>
      </w:r>
      <w:r>
        <w:rPr>
          <w:spacing w:val="-2"/>
          <w:vertAlign w:val="baseline"/>
        </w:rPr>
        <w:t> </w:t>
      </w:r>
      <w:r>
        <w:rPr>
          <w:vertAlign w:val="baseline"/>
        </w:rPr>
        <w:t>to</w:t>
      </w:r>
      <w:r>
        <w:rPr>
          <w:spacing w:val="-2"/>
          <w:vertAlign w:val="baseline"/>
        </w:rPr>
        <w:t> </w:t>
      </w:r>
      <w:r>
        <w:rPr>
          <w:vertAlign w:val="baseline"/>
        </w:rPr>
        <w:t>inform</w:t>
      </w:r>
      <w:r>
        <w:rPr>
          <w:spacing w:val="-3"/>
          <w:vertAlign w:val="baseline"/>
        </w:rPr>
        <w:t> </w:t>
      </w:r>
      <w:r>
        <w:rPr>
          <w:vertAlign w:val="baseline"/>
        </w:rPr>
        <w:t>them</w:t>
      </w:r>
      <w:r>
        <w:rPr>
          <w:spacing w:val="-3"/>
          <w:vertAlign w:val="baseline"/>
        </w:rPr>
        <w:t> </w:t>
      </w:r>
      <w:r>
        <w:rPr>
          <w:vertAlign w:val="baseline"/>
        </w:rPr>
        <w:t>of their</w:t>
      </w:r>
      <w:r>
        <w:rPr>
          <w:spacing w:val="-3"/>
          <w:vertAlign w:val="baseline"/>
        </w:rPr>
        <w:t> </w:t>
      </w:r>
      <w:r>
        <w:rPr>
          <w:vertAlign w:val="baseline"/>
        </w:rPr>
        <w:t>options</w:t>
      </w:r>
      <w:r>
        <w:rPr>
          <w:spacing w:val="-1"/>
          <w:vertAlign w:val="baseline"/>
        </w:rPr>
        <w:t> </w:t>
      </w:r>
      <w:r>
        <w:rPr>
          <w:vertAlign w:val="baseline"/>
        </w:rPr>
        <w:t>whether</w:t>
      </w:r>
      <w:r>
        <w:rPr>
          <w:spacing w:val="-3"/>
          <w:vertAlign w:val="baseline"/>
        </w:rPr>
        <w:t> </w:t>
      </w:r>
      <w:r>
        <w:rPr>
          <w:vertAlign w:val="baseline"/>
        </w:rPr>
        <w:t>it</w:t>
      </w:r>
      <w:r>
        <w:rPr>
          <w:spacing w:val="-2"/>
          <w:vertAlign w:val="baseline"/>
        </w:rPr>
        <w:t> </w:t>
      </w:r>
      <w:r>
        <w:rPr>
          <w:vertAlign w:val="baseline"/>
        </w:rPr>
        <w:t>be</w:t>
      </w:r>
      <w:r>
        <w:rPr>
          <w:spacing w:val="-2"/>
          <w:vertAlign w:val="baseline"/>
        </w:rPr>
        <w:t> </w:t>
      </w:r>
      <w:r>
        <w:rPr>
          <w:vertAlign w:val="baseline"/>
        </w:rPr>
        <w:t>for</w:t>
      </w:r>
      <w:r>
        <w:rPr>
          <w:spacing w:val="-3"/>
          <w:vertAlign w:val="baseline"/>
        </w:rPr>
        <w:t> </w:t>
      </w:r>
      <w:r>
        <w:rPr>
          <w:vertAlign w:val="baseline"/>
        </w:rPr>
        <w:t>pregnancy prevention,</w:t>
      </w:r>
      <w:r>
        <w:rPr>
          <w:spacing w:val="-6"/>
          <w:vertAlign w:val="baseline"/>
        </w:rPr>
        <w:t> </w:t>
      </w:r>
      <w:r>
        <w:rPr>
          <w:vertAlign w:val="baseline"/>
        </w:rPr>
        <w:t>menstrual</w:t>
      </w:r>
      <w:r>
        <w:rPr>
          <w:spacing w:val="-7"/>
          <w:vertAlign w:val="baseline"/>
        </w:rPr>
        <w:t> </w:t>
      </w:r>
      <w:r>
        <w:rPr>
          <w:vertAlign w:val="baseline"/>
        </w:rPr>
        <w:t>suppression,</w:t>
      </w:r>
      <w:r>
        <w:rPr>
          <w:spacing w:val="-8"/>
          <w:vertAlign w:val="baseline"/>
        </w:rPr>
        <w:t> </w:t>
      </w:r>
      <w:r>
        <w:rPr>
          <w:vertAlign w:val="baseline"/>
        </w:rPr>
        <w:t>or</w:t>
      </w:r>
      <w:r>
        <w:rPr>
          <w:spacing w:val="-7"/>
          <w:vertAlign w:val="baseline"/>
        </w:rPr>
        <w:t> </w:t>
      </w:r>
      <w:r>
        <w:rPr>
          <w:vertAlign w:val="baseline"/>
        </w:rPr>
        <w:t>both;</w:t>
      </w:r>
      <w:r>
        <w:rPr>
          <w:spacing w:val="-8"/>
          <w:vertAlign w:val="baseline"/>
        </w:rPr>
        <w:t> </w:t>
      </w:r>
      <w:r>
        <w:rPr>
          <w:vertAlign w:val="baseline"/>
        </w:rPr>
        <w:t>oral</w:t>
      </w:r>
      <w:r>
        <w:rPr>
          <w:spacing w:val="-7"/>
          <w:vertAlign w:val="baseline"/>
        </w:rPr>
        <w:t> </w:t>
      </w:r>
      <w:r>
        <w:rPr>
          <w:vertAlign w:val="baseline"/>
        </w:rPr>
        <w:t>contraceptives,</w:t>
      </w:r>
      <w:r>
        <w:rPr>
          <w:spacing w:val="-7"/>
          <w:vertAlign w:val="baseline"/>
        </w:rPr>
        <w:t> </w:t>
      </w:r>
      <w:r>
        <w:rPr>
          <w:vertAlign w:val="baseline"/>
        </w:rPr>
        <w:t>IUDs,</w:t>
      </w:r>
      <w:r>
        <w:rPr>
          <w:spacing w:val="-8"/>
          <w:vertAlign w:val="baseline"/>
        </w:rPr>
        <w:t> </w:t>
      </w:r>
      <w:r>
        <w:rPr>
          <w:vertAlign w:val="baseline"/>
        </w:rPr>
        <w:t>contraceptive</w:t>
      </w:r>
      <w:r>
        <w:rPr>
          <w:spacing w:val="-7"/>
          <w:vertAlign w:val="baseline"/>
        </w:rPr>
        <w:t> </w:t>
      </w:r>
      <w:r>
        <w:rPr>
          <w:vertAlign w:val="baseline"/>
        </w:rPr>
        <w:t>patches,</w:t>
      </w:r>
      <w:r>
        <w:rPr>
          <w:spacing w:val="-8"/>
          <w:vertAlign w:val="baseline"/>
        </w:rPr>
        <w:t> </w:t>
      </w:r>
      <w:r>
        <w:rPr>
          <w:vertAlign w:val="baseline"/>
        </w:rPr>
        <w:t>vaginal</w:t>
      </w:r>
      <w:r>
        <w:rPr>
          <w:spacing w:val="-8"/>
          <w:vertAlign w:val="baseline"/>
        </w:rPr>
        <w:t> </w:t>
      </w:r>
      <w:r>
        <w:rPr>
          <w:vertAlign w:val="baseline"/>
        </w:rPr>
        <w:t>rings, Depo injections, implants, and the emergency contraceptive pills are viable options for LGBTQ youth, especially for transgender and gender diverse patients who were assigned female at birth. </w:t>
      </w:r>
      <w:hyperlink w:history="true" w:anchor="_bookmark213">
        <w:r>
          <w:rPr>
            <w:vertAlign w:val="superscript"/>
          </w:rPr>
          <w:t>20</w:t>
        </w:r>
      </w:hyperlink>
      <w:r>
        <w:rPr>
          <w:vertAlign w:val="baseline"/>
        </w:rPr>
        <w:t> Access to contraceptives helps LGBTQ youth prevent pregnancy and manage menstruation, two biological functions that might cause distress and gender dysmorphia, as noted above.</w:t>
      </w:r>
    </w:p>
    <w:p>
      <w:pPr>
        <w:pStyle w:val="BodyText"/>
        <w:spacing w:line="276" w:lineRule="auto" w:before="239"/>
        <w:ind w:left="5803" w:right="241"/>
        <w:jc w:val="both"/>
      </w:pPr>
      <w:r>
        <w:rPr/>
        <w:drawing>
          <wp:anchor distT="0" distB="0" distL="0" distR="0" allowOverlap="1" layoutInCell="1" locked="0" behindDoc="0" simplePos="0" relativeHeight="15778304">
            <wp:simplePos x="0" y="0"/>
            <wp:positionH relativeFrom="page">
              <wp:posOffset>825500</wp:posOffset>
            </wp:positionH>
            <wp:positionV relativeFrom="paragraph">
              <wp:posOffset>157831</wp:posOffset>
            </wp:positionV>
            <wp:extent cx="3383279" cy="2468876"/>
            <wp:effectExtent l="0" t="0" r="0" b="0"/>
            <wp:wrapNone/>
            <wp:docPr id="291" name="Image 291"/>
            <wp:cNvGraphicFramePr>
              <a:graphicFrameLocks/>
            </wp:cNvGraphicFramePr>
            <a:graphic>
              <a:graphicData uri="http://schemas.openxmlformats.org/drawingml/2006/picture">
                <pic:pic>
                  <pic:nvPicPr>
                    <pic:cNvPr id="291" name="Image 291"/>
                    <pic:cNvPicPr/>
                  </pic:nvPicPr>
                  <pic:blipFill>
                    <a:blip r:embed="rId313" cstate="print"/>
                    <a:stretch>
                      <a:fillRect/>
                    </a:stretch>
                  </pic:blipFill>
                  <pic:spPr>
                    <a:xfrm>
                      <a:off x="0" y="0"/>
                      <a:ext cx="3383279" cy="2468876"/>
                    </a:xfrm>
                    <a:prstGeom prst="rect">
                      <a:avLst/>
                    </a:prstGeom>
                  </pic:spPr>
                </pic:pic>
              </a:graphicData>
            </a:graphic>
          </wp:anchor>
        </w:drawing>
      </w:r>
      <w:r>
        <w:rPr/>
        <w:t>Some transgender men and genderqueer youths assigned female at birth may lack sufficient knowledge around contraceptives and their reproductive capacity when undergoing</w:t>
      </w:r>
      <w:r>
        <w:rPr>
          <w:spacing w:val="-7"/>
        </w:rPr>
        <w:t> </w:t>
      </w:r>
      <w:r>
        <w:rPr/>
        <w:t>testosterone</w:t>
      </w:r>
      <w:r>
        <w:rPr>
          <w:spacing w:val="-7"/>
        </w:rPr>
        <w:t> </w:t>
      </w:r>
      <w:r>
        <w:rPr/>
        <w:t>therapy,</w:t>
      </w:r>
      <w:r>
        <w:rPr>
          <w:spacing w:val="-7"/>
        </w:rPr>
        <w:t> </w:t>
      </w:r>
      <w:r>
        <w:rPr/>
        <w:t>which</w:t>
      </w:r>
      <w:r>
        <w:rPr>
          <w:spacing w:val="-7"/>
        </w:rPr>
        <w:t> </w:t>
      </w:r>
      <w:r>
        <w:rPr/>
        <w:t>is</w:t>
      </w:r>
      <w:r>
        <w:rPr>
          <w:spacing w:val="-6"/>
        </w:rPr>
        <w:t> </w:t>
      </w:r>
      <w:r>
        <w:rPr/>
        <w:t>why it</w:t>
      </w:r>
      <w:r>
        <w:rPr>
          <w:spacing w:val="-11"/>
        </w:rPr>
        <w:t> </w:t>
      </w:r>
      <w:r>
        <w:rPr/>
        <w:t>is</w:t>
      </w:r>
      <w:r>
        <w:rPr>
          <w:spacing w:val="-9"/>
        </w:rPr>
        <w:t> </w:t>
      </w:r>
      <w:r>
        <w:rPr/>
        <w:t>essential</w:t>
      </w:r>
      <w:r>
        <w:rPr>
          <w:spacing w:val="-9"/>
        </w:rPr>
        <w:t> </w:t>
      </w:r>
      <w:r>
        <w:rPr/>
        <w:t>for</w:t>
      </w:r>
      <w:r>
        <w:rPr>
          <w:spacing w:val="-11"/>
        </w:rPr>
        <w:t> </w:t>
      </w:r>
      <w:r>
        <w:rPr/>
        <w:t>LGBTQ</w:t>
      </w:r>
      <w:r>
        <w:rPr>
          <w:spacing w:val="-10"/>
        </w:rPr>
        <w:t> </w:t>
      </w:r>
      <w:r>
        <w:rPr/>
        <w:t>youth</w:t>
      </w:r>
      <w:r>
        <w:rPr>
          <w:spacing w:val="-10"/>
        </w:rPr>
        <w:t> </w:t>
      </w:r>
      <w:r>
        <w:rPr/>
        <w:t>to</w:t>
      </w:r>
      <w:r>
        <w:rPr>
          <w:spacing w:val="-9"/>
        </w:rPr>
        <w:t> </w:t>
      </w:r>
      <w:r>
        <w:rPr/>
        <w:t>have</w:t>
      </w:r>
      <w:r>
        <w:rPr>
          <w:spacing w:val="-11"/>
        </w:rPr>
        <w:t> </w:t>
      </w:r>
      <w:r>
        <w:rPr/>
        <w:t>access</w:t>
      </w:r>
      <w:r>
        <w:rPr>
          <w:spacing w:val="-9"/>
        </w:rPr>
        <w:t> </w:t>
      </w:r>
      <w:r>
        <w:rPr/>
        <w:t>to LGBTQ-competent healthcare providers and facilities. Although testosterone reduces fertility, it is still possible for transgender individuals with female reproductive capacity on testosterone therapy to become pregnant. Existing misconceptions about testosterone as an effective contraceptive may lead transgender</w:t>
      </w:r>
      <w:r>
        <w:rPr>
          <w:spacing w:val="62"/>
        </w:rPr>
        <w:t>  </w:t>
      </w:r>
      <w:r>
        <w:rPr/>
        <w:t>men</w:t>
      </w:r>
      <w:r>
        <w:rPr>
          <w:spacing w:val="63"/>
        </w:rPr>
        <w:t>  </w:t>
      </w:r>
      <w:r>
        <w:rPr/>
        <w:t>and</w:t>
      </w:r>
      <w:r>
        <w:rPr>
          <w:spacing w:val="64"/>
        </w:rPr>
        <w:t>  </w:t>
      </w:r>
      <w:r>
        <w:rPr/>
        <w:t>other</w:t>
      </w:r>
      <w:r>
        <w:rPr>
          <w:spacing w:val="62"/>
        </w:rPr>
        <w:t>  </w:t>
      </w:r>
      <w:r>
        <w:rPr>
          <w:spacing w:val="-2"/>
        </w:rPr>
        <w:t>individuals</w:t>
      </w:r>
    </w:p>
    <w:p>
      <w:pPr>
        <w:pStyle w:val="BodyText"/>
        <w:spacing w:line="276" w:lineRule="auto"/>
        <w:ind w:left="463" w:right="240"/>
        <w:jc w:val="both"/>
      </w:pPr>
      <w:r>
        <w:rPr/>
        <w:t>assigned female at birth to believe that they are infertile. Consequently, this can lead to unintended pregnancies in transgender men undergoing testosterone therapy. A study found that one- third of pregnancies for trans men were unplanned and that usage of contraceptives prior to pregnancy was lower</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5"/>
        <w:jc w:val="both"/>
      </w:pPr>
      <w:r>
        <w:rPr/>
        <w:t>for</w:t>
      </w:r>
      <w:r>
        <w:rPr>
          <w:spacing w:val="-3"/>
        </w:rPr>
        <w:t> </w:t>
      </w:r>
      <w:r>
        <w:rPr/>
        <w:t>transgender</w:t>
      </w:r>
      <w:r>
        <w:rPr>
          <w:spacing w:val="-3"/>
        </w:rPr>
        <w:t> </w:t>
      </w:r>
      <w:r>
        <w:rPr/>
        <w:t>individuals</w:t>
      </w:r>
      <w:r>
        <w:rPr>
          <w:spacing w:val="-1"/>
        </w:rPr>
        <w:t> </w:t>
      </w:r>
      <w:r>
        <w:rPr/>
        <w:t>who</w:t>
      </w:r>
      <w:r>
        <w:rPr>
          <w:spacing w:val="-2"/>
        </w:rPr>
        <w:t> </w:t>
      </w:r>
      <w:r>
        <w:rPr/>
        <w:t>were</w:t>
      </w:r>
      <w:r>
        <w:rPr>
          <w:spacing w:val="-2"/>
        </w:rPr>
        <w:t> </w:t>
      </w:r>
      <w:r>
        <w:rPr/>
        <w:t>using</w:t>
      </w:r>
      <w:r>
        <w:rPr>
          <w:spacing w:val="-2"/>
        </w:rPr>
        <w:t> </w:t>
      </w:r>
      <w:r>
        <w:rPr/>
        <w:t>testosterone</w:t>
      </w:r>
      <w:r>
        <w:rPr>
          <w:spacing w:val="-3"/>
        </w:rPr>
        <w:t> </w:t>
      </w:r>
      <w:r>
        <w:rPr/>
        <w:t>gender</w:t>
      </w:r>
      <w:r>
        <w:rPr>
          <w:spacing w:val="-1"/>
        </w:rPr>
        <w:t> </w:t>
      </w:r>
      <w:r>
        <w:rPr/>
        <w:t>affirming</w:t>
      </w:r>
      <w:r>
        <w:rPr>
          <w:spacing w:val="-2"/>
        </w:rPr>
        <w:t> </w:t>
      </w:r>
      <w:r>
        <w:rPr/>
        <w:t>therapy</w:t>
      </w:r>
      <w:r>
        <w:rPr>
          <w:spacing w:val="-3"/>
        </w:rPr>
        <w:t> </w:t>
      </w:r>
      <w:r>
        <w:rPr/>
        <w:t>compared</w:t>
      </w:r>
      <w:r>
        <w:rPr>
          <w:spacing w:val="-3"/>
        </w:rPr>
        <w:t> </w:t>
      </w:r>
      <w:r>
        <w:rPr/>
        <w:t>to</w:t>
      </w:r>
      <w:r>
        <w:rPr>
          <w:spacing w:val="-1"/>
        </w:rPr>
        <w:t> </w:t>
      </w:r>
      <w:r>
        <w:rPr/>
        <w:t>those</w:t>
      </w:r>
      <w:r>
        <w:rPr>
          <w:spacing w:val="-2"/>
        </w:rPr>
        <w:t> </w:t>
      </w:r>
      <w:r>
        <w:rPr/>
        <w:t>who had not had testosterone.</w:t>
      </w:r>
      <w:hyperlink w:history="true" w:anchor="_bookmark214">
        <w:r>
          <w:rPr>
            <w:vertAlign w:val="superscript"/>
          </w:rPr>
          <w:t>21</w:t>
        </w:r>
      </w:hyperlink>
    </w:p>
    <w:p>
      <w:pPr>
        <w:pStyle w:val="BodyText"/>
        <w:spacing w:line="276" w:lineRule="auto" w:before="240"/>
        <w:ind w:left="463" w:right="242"/>
        <w:jc w:val="both"/>
      </w:pPr>
      <w:r>
        <w:rPr/>
        <w:t>For transmen and</w:t>
      </w:r>
      <w:r>
        <w:rPr>
          <w:spacing w:val="-1"/>
        </w:rPr>
        <w:t> </w:t>
      </w:r>
      <w:r>
        <w:rPr/>
        <w:t>other gender diverse patients assigned</w:t>
      </w:r>
      <w:r>
        <w:rPr>
          <w:spacing w:val="-1"/>
        </w:rPr>
        <w:t> </w:t>
      </w:r>
      <w:r>
        <w:rPr/>
        <w:t>female</w:t>
      </w:r>
      <w:r>
        <w:rPr>
          <w:spacing w:val="-1"/>
        </w:rPr>
        <w:t> </w:t>
      </w:r>
      <w:r>
        <w:rPr/>
        <w:t>at</w:t>
      </w:r>
      <w:r>
        <w:rPr>
          <w:spacing w:val="-1"/>
        </w:rPr>
        <w:t> </w:t>
      </w:r>
      <w:r>
        <w:rPr/>
        <w:t>birth</w:t>
      </w:r>
      <w:r>
        <w:rPr>
          <w:spacing w:val="-1"/>
        </w:rPr>
        <w:t> </w:t>
      </w:r>
      <w:r>
        <w:rPr/>
        <w:t>who desire</w:t>
      </w:r>
      <w:r>
        <w:rPr>
          <w:spacing w:val="-1"/>
        </w:rPr>
        <w:t> </w:t>
      </w:r>
      <w:r>
        <w:rPr/>
        <w:t>birth control</w:t>
      </w:r>
      <w:r>
        <w:rPr>
          <w:spacing w:val="-1"/>
        </w:rPr>
        <w:t> </w:t>
      </w:r>
      <w:r>
        <w:rPr/>
        <w:t>to either prevent pregnancy or to prompt the cessation of menstruation, it is important that they have access to contraceptive resources and consult with a healthcare provider on which forms of contraceptives are right for them, especially during testosterone gender affirming therapy. Progestin-only contraceptive methods, such as pills, IUDs, and implants do not interfere with testosterone. This may be a preferable method for patients</w:t>
      </w:r>
      <w:r>
        <w:rPr>
          <w:spacing w:val="-11"/>
        </w:rPr>
        <w:t> </w:t>
      </w:r>
      <w:r>
        <w:rPr/>
        <w:t>due</w:t>
      </w:r>
      <w:r>
        <w:rPr>
          <w:spacing w:val="-9"/>
        </w:rPr>
        <w:t> </w:t>
      </w:r>
      <w:r>
        <w:rPr/>
        <w:t>to</w:t>
      </w:r>
      <w:r>
        <w:rPr>
          <w:spacing w:val="-11"/>
        </w:rPr>
        <w:t> </w:t>
      </w:r>
      <w:r>
        <w:rPr/>
        <w:t>progestin’s</w:t>
      </w:r>
      <w:r>
        <w:rPr>
          <w:spacing w:val="-10"/>
        </w:rPr>
        <w:t> </w:t>
      </w:r>
      <w:r>
        <w:rPr/>
        <w:t>high</w:t>
      </w:r>
      <w:r>
        <w:rPr>
          <w:spacing w:val="-10"/>
        </w:rPr>
        <w:t> </w:t>
      </w:r>
      <w:r>
        <w:rPr/>
        <w:t>rates</w:t>
      </w:r>
      <w:r>
        <w:rPr>
          <w:spacing w:val="-11"/>
        </w:rPr>
        <w:t> </w:t>
      </w:r>
      <w:r>
        <w:rPr/>
        <w:t>of</w:t>
      </w:r>
      <w:r>
        <w:rPr>
          <w:spacing w:val="-10"/>
        </w:rPr>
        <w:t> </w:t>
      </w:r>
      <w:r>
        <w:rPr/>
        <w:t>amenorrhea</w:t>
      </w:r>
      <w:r>
        <w:rPr>
          <w:spacing w:val="-10"/>
        </w:rPr>
        <w:t> </w:t>
      </w:r>
      <w:r>
        <w:rPr/>
        <w:t>and</w:t>
      </w:r>
      <w:r>
        <w:rPr>
          <w:spacing w:val="-11"/>
        </w:rPr>
        <w:t> </w:t>
      </w:r>
      <w:r>
        <w:rPr/>
        <w:t>potential</w:t>
      </w:r>
      <w:r>
        <w:rPr>
          <w:spacing w:val="-10"/>
        </w:rPr>
        <w:t> </w:t>
      </w:r>
      <w:r>
        <w:rPr/>
        <w:t>for</w:t>
      </w:r>
      <w:r>
        <w:rPr>
          <w:spacing w:val="-11"/>
        </w:rPr>
        <w:t> </w:t>
      </w:r>
      <w:r>
        <w:rPr/>
        <w:t>masculinizing</w:t>
      </w:r>
      <w:r>
        <w:rPr>
          <w:spacing w:val="-10"/>
        </w:rPr>
        <w:t> </w:t>
      </w:r>
      <w:r>
        <w:rPr/>
        <w:t>effects.</w:t>
      </w:r>
      <w:r>
        <w:rPr>
          <w:spacing w:val="-10"/>
        </w:rPr>
        <w:t> </w:t>
      </w:r>
      <w:hyperlink w:history="true" w:anchor="_bookmark215">
        <w:r>
          <w:rPr>
            <w:vertAlign w:val="superscript"/>
          </w:rPr>
          <w:t>22</w:t>
        </w:r>
      </w:hyperlink>
      <w:r>
        <w:rPr>
          <w:spacing w:val="-12"/>
          <w:vertAlign w:val="baseline"/>
        </w:rPr>
        <w:t> </w:t>
      </w:r>
      <w:r>
        <w:rPr>
          <w:vertAlign w:val="baseline"/>
        </w:rPr>
        <w:t>Another</w:t>
      </w:r>
      <w:r>
        <w:rPr>
          <w:spacing w:val="-10"/>
          <w:vertAlign w:val="baseline"/>
        </w:rPr>
        <w:t> </w:t>
      </w:r>
      <w:r>
        <w:rPr>
          <w:vertAlign w:val="baseline"/>
        </w:rPr>
        <w:t>type of hormonal birth control is combined hormonal contraceptives (CHC), which includes pills, patches, and vaginal</w:t>
      </w:r>
      <w:r>
        <w:rPr>
          <w:spacing w:val="-13"/>
          <w:vertAlign w:val="baseline"/>
        </w:rPr>
        <w:t> </w:t>
      </w:r>
      <w:r>
        <w:rPr>
          <w:vertAlign w:val="baseline"/>
        </w:rPr>
        <w:t>rings.</w:t>
      </w:r>
      <w:r>
        <w:rPr>
          <w:spacing w:val="-9"/>
          <w:vertAlign w:val="baseline"/>
        </w:rPr>
        <w:t> </w:t>
      </w:r>
      <w:r>
        <w:rPr>
          <w:vertAlign w:val="baseline"/>
        </w:rPr>
        <w:t>However,</w:t>
      </w:r>
      <w:r>
        <w:rPr>
          <w:spacing w:val="-12"/>
          <w:vertAlign w:val="baseline"/>
        </w:rPr>
        <w:t> </w:t>
      </w:r>
      <w:r>
        <w:rPr>
          <w:vertAlign w:val="baseline"/>
        </w:rPr>
        <w:t>there</w:t>
      </w:r>
      <w:r>
        <w:rPr>
          <w:spacing w:val="-13"/>
          <w:vertAlign w:val="baseline"/>
        </w:rPr>
        <w:t> </w:t>
      </w:r>
      <w:r>
        <w:rPr>
          <w:vertAlign w:val="baseline"/>
        </w:rPr>
        <w:t>is</w:t>
      </w:r>
      <w:r>
        <w:rPr>
          <w:spacing w:val="-11"/>
          <w:vertAlign w:val="baseline"/>
        </w:rPr>
        <w:t> </w:t>
      </w:r>
      <w:r>
        <w:rPr>
          <w:vertAlign w:val="baseline"/>
        </w:rPr>
        <w:t>a</w:t>
      </w:r>
      <w:r>
        <w:rPr>
          <w:spacing w:val="-12"/>
          <w:vertAlign w:val="baseline"/>
        </w:rPr>
        <w:t> </w:t>
      </w:r>
      <w:r>
        <w:rPr>
          <w:vertAlign w:val="baseline"/>
        </w:rPr>
        <w:t>lack</w:t>
      </w:r>
      <w:r>
        <w:rPr>
          <w:spacing w:val="-13"/>
          <w:vertAlign w:val="baseline"/>
        </w:rPr>
        <w:t> </w:t>
      </w:r>
      <w:r>
        <w:rPr>
          <w:vertAlign w:val="baseline"/>
        </w:rPr>
        <w:t>of</w:t>
      </w:r>
      <w:r>
        <w:rPr>
          <w:spacing w:val="-10"/>
          <w:vertAlign w:val="baseline"/>
        </w:rPr>
        <w:t> </w:t>
      </w:r>
      <w:r>
        <w:rPr>
          <w:vertAlign w:val="baseline"/>
        </w:rPr>
        <w:t>evidence</w:t>
      </w:r>
      <w:r>
        <w:rPr>
          <w:spacing w:val="-13"/>
          <w:vertAlign w:val="baseline"/>
        </w:rPr>
        <w:t> </w:t>
      </w:r>
      <w:r>
        <w:rPr>
          <w:vertAlign w:val="baseline"/>
        </w:rPr>
        <w:t>on</w:t>
      </w:r>
      <w:r>
        <w:rPr>
          <w:spacing w:val="-11"/>
          <w:vertAlign w:val="baseline"/>
        </w:rPr>
        <w:t> </w:t>
      </w:r>
      <w:r>
        <w:rPr>
          <w:vertAlign w:val="baseline"/>
        </w:rPr>
        <w:t>whether</w:t>
      </w:r>
      <w:r>
        <w:rPr>
          <w:spacing w:val="-12"/>
          <w:vertAlign w:val="baseline"/>
        </w:rPr>
        <w:t> </w:t>
      </w:r>
      <w:r>
        <w:rPr>
          <w:vertAlign w:val="baseline"/>
        </w:rPr>
        <w:t>the</w:t>
      </w:r>
      <w:r>
        <w:rPr>
          <w:spacing w:val="-12"/>
          <w:vertAlign w:val="baseline"/>
        </w:rPr>
        <w:t> </w:t>
      </w:r>
      <w:r>
        <w:rPr>
          <w:vertAlign w:val="baseline"/>
        </w:rPr>
        <w:t>estrogen</w:t>
      </w:r>
      <w:r>
        <w:rPr>
          <w:spacing w:val="-13"/>
          <w:vertAlign w:val="baseline"/>
        </w:rPr>
        <w:t> </w:t>
      </w:r>
      <w:r>
        <w:rPr>
          <w:vertAlign w:val="baseline"/>
        </w:rPr>
        <w:t>in</w:t>
      </w:r>
      <w:r>
        <w:rPr>
          <w:spacing w:val="-12"/>
          <w:vertAlign w:val="baseline"/>
        </w:rPr>
        <w:t> </w:t>
      </w:r>
      <w:r>
        <w:rPr>
          <w:vertAlign w:val="baseline"/>
        </w:rPr>
        <w:t>CHCs</w:t>
      </w:r>
      <w:r>
        <w:rPr>
          <w:spacing w:val="-12"/>
          <w:vertAlign w:val="baseline"/>
        </w:rPr>
        <w:t> </w:t>
      </w:r>
      <w:r>
        <w:rPr>
          <w:vertAlign w:val="baseline"/>
        </w:rPr>
        <w:t>may</w:t>
      </w:r>
      <w:r>
        <w:rPr>
          <w:spacing w:val="-12"/>
          <w:vertAlign w:val="baseline"/>
        </w:rPr>
        <w:t> </w:t>
      </w:r>
      <w:r>
        <w:rPr>
          <w:vertAlign w:val="baseline"/>
        </w:rPr>
        <w:t>or</w:t>
      </w:r>
      <w:r>
        <w:rPr>
          <w:spacing w:val="-12"/>
          <w:vertAlign w:val="baseline"/>
        </w:rPr>
        <w:t> </w:t>
      </w:r>
      <w:r>
        <w:rPr>
          <w:vertAlign w:val="baseline"/>
        </w:rPr>
        <w:t>may</w:t>
      </w:r>
      <w:r>
        <w:rPr>
          <w:spacing w:val="-13"/>
          <w:vertAlign w:val="baseline"/>
        </w:rPr>
        <w:t> </w:t>
      </w:r>
      <w:r>
        <w:rPr>
          <w:vertAlign w:val="baseline"/>
        </w:rPr>
        <w:t>not</w:t>
      </w:r>
      <w:r>
        <w:rPr>
          <w:spacing w:val="-12"/>
          <w:vertAlign w:val="baseline"/>
        </w:rPr>
        <w:t> </w:t>
      </w:r>
      <w:r>
        <w:rPr>
          <w:vertAlign w:val="baseline"/>
        </w:rPr>
        <w:t>interfere with</w:t>
      </w:r>
      <w:r>
        <w:rPr>
          <w:spacing w:val="-8"/>
          <w:vertAlign w:val="baseline"/>
        </w:rPr>
        <w:t> </w:t>
      </w:r>
      <w:r>
        <w:rPr>
          <w:vertAlign w:val="baseline"/>
        </w:rPr>
        <w:t>testosterone</w:t>
      </w:r>
      <w:r>
        <w:rPr>
          <w:spacing w:val="-9"/>
          <w:vertAlign w:val="baseline"/>
        </w:rPr>
        <w:t> </w:t>
      </w:r>
      <w:r>
        <w:rPr>
          <w:vertAlign w:val="baseline"/>
        </w:rPr>
        <w:t>for</w:t>
      </w:r>
      <w:r>
        <w:rPr>
          <w:spacing w:val="-7"/>
          <w:vertAlign w:val="baseline"/>
        </w:rPr>
        <w:t> </w:t>
      </w:r>
      <w:r>
        <w:rPr>
          <w:vertAlign w:val="baseline"/>
        </w:rPr>
        <w:t>transgender</w:t>
      </w:r>
      <w:r>
        <w:rPr>
          <w:spacing w:val="-6"/>
          <w:vertAlign w:val="baseline"/>
        </w:rPr>
        <w:t> </w:t>
      </w:r>
      <w:r>
        <w:rPr>
          <w:vertAlign w:val="baseline"/>
        </w:rPr>
        <w:t>men.</w:t>
      </w:r>
      <w:r>
        <w:rPr>
          <w:spacing w:val="-7"/>
          <w:vertAlign w:val="baseline"/>
        </w:rPr>
        <w:t> </w:t>
      </w:r>
      <w:r>
        <w:rPr>
          <w:vertAlign w:val="baseline"/>
        </w:rPr>
        <w:t>Though</w:t>
      </w:r>
      <w:r>
        <w:rPr>
          <w:spacing w:val="-7"/>
          <w:vertAlign w:val="baseline"/>
        </w:rPr>
        <w:t> </w:t>
      </w:r>
      <w:r>
        <w:rPr>
          <w:vertAlign w:val="baseline"/>
        </w:rPr>
        <w:t>transgender</w:t>
      </w:r>
      <w:r>
        <w:rPr>
          <w:spacing w:val="-6"/>
          <w:vertAlign w:val="baseline"/>
        </w:rPr>
        <w:t> </w:t>
      </w:r>
      <w:r>
        <w:rPr>
          <w:vertAlign w:val="baseline"/>
        </w:rPr>
        <w:t>male</w:t>
      </w:r>
      <w:r>
        <w:rPr>
          <w:spacing w:val="-6"/>
          <w:vertAlign w:val="baseline"/>
        </w:rPr>
        <w:t> </w:t>
      </w:r>
      <w:r>
        <w:rPr>
          <w:vertAlign w:val="baseline"/>
        </w:rPr>
        <w:t>patients</w:t>
      </w:r>
      <w:r>
        <w:rPr>
          <w:spacing w:val="-7"/>
          <w:vertAlign w:val="baseline"/>
        </w:rPr>
        <w:t> </w:t>
      </w:r>
      <w:r>
        <w:rPr>
          <w:vertAlign w:val="baseline"/>
        </w:rPr>
        <w:t>can</w:t>
      </w:r>
      <w:r>
        <w:rPr>
          <w:spacing w:val="-8"/>
          <w:vertAlign w:val="baseline"/>
        </w:rPr>
        <w:t> </w:t>
      </w:r>
      <w:r>
        <w:rPr>
          <w:vertAlign w:val="baseline"/>
        </w:rPr>
        <w:t>choose</w:t>
      </w:r>
      <w:r>
        <w:rPr>
          <w:spacing w:val="-9"/>
          <w:vertAlign w:val="baseline"/>
        </w:rPr>
        <w:t> </w:t>
      </w:r>
      <w:r>
        <w:rPr>
          <w:vertAlign w:val="baseline"/>
        </w:rPr>
        <w:t>CHCs,</w:t>
      </w:r>
      <w:r>
        <w:rPr>
          <w:spacing w:val="-7"/>
          <w:vertAlign w:val="baseline"/>
        </w:rPr>
        <w:t> </w:t>
      </w:r>
      <w:r>
        <w:rPr>
          <w:vertAlign w:val="baseline"/>
        </w:rPr>
        <w:t>some</w:t>
      </w:r>
      <w:r>
        <w:rPr>
          <w:spacing w:val="-9"/>
          <w:vertAlign w:val="baseline"/>
        </w:rPr>
        <w:t> </w:t>
      </w:r>
      <w:r>
        <w:rPr>
          <w:vertAlign w:val="baseline"/>
        </w:rPr>
        <w:t>may</w:t>
      </w:r>
      <w:r>
        <w:rPr>
          <w:spacing w:val="-7"/>
          <w:vertAlign w:val="baseline"/>
        </w:rPr>
        <w:t> </w:t>
      </w:r>
      <w:r>
        <w:rPr>
          <w:vertAlign w:val="baseline"/>
        </w:rPr>
        <w:t>not prefer</w:t>
      </w:r>
      <w:r>
        <w:rPr>
          <w:spacing w:val="-10"/>
          <w:vertAlign w:val="baseline"/>
        </w:rPr>
        <w:t> </w:t>
      </w:r>
      <w:r>
        <w:rPr>
          <w:vertAlign w:val="baseline"/>
        </w:rPr>
        <w:t>this</w:t>
      </w:r>
      <w:r>
        <w:rPr>
          <w:spacing w:val="-8"/>
          <w:vertAlign w:val="baseline"/>
        </w:rPr>
        <w:t> </w:t>
      </w:r>
      <w:r>
        <w:rPr>
          <w:vertAlign w:val="baseline"/>
        </w:rPr>
        <w:t>method</w:t>
      </w:r>
      <w:r>
        <w:rPr>
          <w:spacing w:val="-9"/>
          <w:vertAlign w:val="baseline"/>
        </w:rPr>
        <w:t> </w:t>
      </w:r>
      <w:r>
        <w:rPr>
          <w:vertAlign w:val="baseline"/>
        </w:rPr>
        <w:t>due</w:t>
      </w:r>
      <w:r>
        <w:rPr>
          <w:spacing w:val="-9"/>
          <w:vertAlign w:val="baseline"/>
        </w:rPr>
        <w:t> </w:t>
      </w:r>
      <w:r>
        <w:rPr>
          <w:vertAlign w:val="baseline"/>
        </w:rPr>
        <w:t>to</w:t>
      </w:r>
      <w:r>
        <w:rPr>
          <w:spacing w:val="-7"/>
          <w:vertAlign w:val="baseline"/>
        </w:rPr>
        <w:t> </w:t>
      </w:r>
      <w:r>
        <w:rPr>
          <w:vertAlign w:val="baseline"/>
        </w:rPr>
        <w:t>concerns</w:t>
      </w:r>
      <w:r>
        <w:rPr>
          <w:spacing w:val="-8"/>
          <w:vertAlign w:val="baseline"/>
        </w:rPr>
        <w:t> </w:t>
      </w:r>
      <w:r>
        <w:rPr>
          <w:vertAlign w:val="baseline"/>
        </w:rPr>
        <w:t>about</w:t>
      </w:r>
      <w:r>
        <w:rPr>
          <w:spacing w:val="-9"/>
          <w:vertAlign w:val="baseline"/>
        </w:rPr>
        <w:t> </w:t>
      </w:r>
      <w:r>
        <w:rPr>
          <w:vertAlign w:val="baseline"/>
        </w:rPr>
        <w:t>having</w:t>
      </w:r>
      <w:r>
        <w:rPr>
          <w:spacing w:val="-9"/>
          <w:vertAlign w:val="baseline"/>
        </w:rPr>
        <w:t> </w:t>
      </w:r>
      <w:r>
        <w:rPr>
          <w:vertAlign w:val="baseline"/>
        </w:rPr>
        <w:t>estrogen</w:t>
      </w:r>
      <w:r>
        <w:rPr>
          <w:spacing w:val="-10"/>
          <w:vertAlign w:val="baseline"/>
        </w:rPr>
        <w:t> </w:t>
      </w:r>
      <w:r>
        <w:rPr>
          <w:vertAlign w:val="baseline"/>
        </w:rPr>
        <w:t>in</w:t>
      </w:r>
      <w:r>
        <w:rPr>
          <w:spacing w:val="-9"/>
          <w:vertAlign w:val="baseline"/>
        </w:rPr>
        <w:t> </w:t>
      </w:r>
      <w:r>
        <w:rPr>
          <w:vertAlign w:val="baseline"/>
        </w:rPr>
        <w:t>their</w:t>
      </w:r>
      <w:r>
        <w:rPr>
          <w:spacing w:val="-9"/>
          <w:vertAlign w:val="baseline"/>
        </w:rPr>
        <w:t> </w:t>
      </w:r>
      <w:r>
        <w:rPr>
          <w:vertAlign w:val="baseline"/>
        </w:rPr>
        <w:t>system</w:t>
      </w:r>
      <w:r>
        <w:rPr>
          <w:spacing w:val="-10"/>
          <w:vertAlign w:val="baseline"/>
        </w:rPr>
        <w:t> </w:t>
      </w:r>
      <w:r>
        <w:rPr>
          <w:vertAlign w:val="baseline"/>
        </w:rPr>
        <w:t>and</w:t>
      </w:r>
      <w:r>
        <w:rPr>
          <w:spacing w:val="-9"/>
          <w:vertAlign w:val="baseline"/>
        </w:rPr>
        <w:t> </w:t>
      </w:r>
      <w:r>
        <w:rPr>
          <w:vertAlign w:val="baseline"/>
        </w:rPr>
        <w:t>for</w:t>
      </w:r>
      <w:r>
        <w:rPr>
          <w:spacing w:val="-10"/>
          <w:vertAlign w:val="baseline"/>
        </w:rPr>
        <w:t> </w:t>
      </w:r>
      <w:r>
        <w:rPr>
          <w:vertAlign w:val="baseline"/>
        </w:rPr>
        <w:t>potential</w:t>
      </w:r>
      <w:r>
        <w:rPr>
          <w:spacing w:val="-10"/>
          <w:vertAlign w:val="baseline"/>
        </w:rPr>
        <w:t> </w:t>
      </w:r>
      <w:r>
        <w:rPr>
          <w:vertAlign w:val="baseline"/>
        </w:rPr>
        <w:t>feminizing</w:t>
      </w:r>
      <w:r>
        <w:rPr>
          <w:spacing w:val="-9"/>
          <w:vertAlign w:val="baseline"/>
        </w:rPr>
        <w:t> </w:t>
      </w:r>
      <w:r>
        <w:rPr>
          <w:vertAlign w:val="baseline"/>
        </w:rPr>
        <w:t>traits to appear</w:t>
      </w:r>
      <w:hyperlink w:history="true" w:anchor="_bookmark216">
        <w:r>
          <w:rPr>
            <w:vertAlign w:val="baseline"/>
          </w:rPr>
          <w:t>.</w:t>
        </w:r>
        <w:r>
          <w:rPr>
            <w:vertAlign w:val="superscript"/>
          </w:rPr>
          <w:t>23</w:t>
        </w:r>
      </w:hyperlink>
    </w:p>
    <w:p>
      <w:pPr>
        <w:pStyle w:val="BodyText"/>
        <w:spacing w:line="276" w:lineRule="auto" w:before="240"/>
        <w:ind w:left="463" w:right="242"/>
        <w:jc w:val="both"/>
      </w:pPr>
      <w:r>
        <w:rPr/>
        <w:t>Non-hormonal</w:t>
      </w:r>
      <w:r>
        <w:rPr>
          <w:spacing w:val="-1"/>
        </w:rPr>
        <w:t> </w:t>
      </w:r>
      <w:r>
        <w:rPr/>
        <w:t>contraceptives, such as the copper IUD, does not interfere with testosterone, but there are risks of bleeding, both insertion and menstrual bleeding, which may not be ideal for transgender men and nonbinary patients experiencing gender dysmorphia</w:t>
      </w:r>
      <w:hyperlink w:history="true" w:anchor="_bookmark217">
        <w:r>
          <w:rPr/>
          <w:t>.</w:t>
        </w:r>
        <w:r>
          <w:rPr>
            <w:vertAlign w:val="superscript"/>
          </w:rPr>
          <w:t>24</w:t>
        </w:r>
      </w:hyperlink>
      <w:r>
        <w:rPr>
          <w:vertAlign w:val="baseline"/>
        </w:rPr>
        <w:t> However, some transmasculine patients elect to have</w:t>
      </w:r>
      <w:r>
        <w:rPr>
          <w:spacing w:val="-2"/>
          <w:vertAlign w:val="baseline"/>
        </w:rPr>
        <w:t> </w:t>
      </w:r>
      <w:r>
        <w:rPr>
          <w:vertAlign w:val="baseline"/>
        </w:rPr>
        <w:t>an</w:t>
      </w:r>
      <w:r>
        <w:rPr>
          <w:spacing w:val="-2"/>
          <w:vertAlign w:val="baseline"/>
        </w:rPr>
        <w:t> </w:t>
      </w:r>
      <w:r>
        <w:rPr>
          <w:vertAlign w:val="baseline"/>
        </w:rPr>
        <w:t>IUD because</w:t>
      </w:r>
      <w:r>
        <w:rPr>
          <w:spacing w:val="-1"/>
          <w:vertAlign w:val="baseline"/>
        </w:rPr>
        <w:t> </w:t>
      </w:r>
      <w:r>
        <w:rPr>
          <w:vertAlign w:val="baseline"/>
        </w:rPr>
        <w:t>they</w:t>
      </w:r>
      <w:r>
        <w:rPr>
          <w:spacing w:val="-1"/>
          <w:vertAlign w:val="baseline"/>
        </w:rPr>
        <w:t> </w:t>
      </w:r>
      <w:r>
        <w:rPr>
          <w:vertAlign w:val="baseline"/>
        </w:rPr>
        <w:t>may</w:t>
      </w:r>
      <w:r>
        <w:rPr>
          <w:spacing w:val="-2"/>
          <w:vertAlign w:val="baseline"/>
        </w:rPr>
        <w:t> </w:t>
      </w:r>
      <w:r>
        <w:rPr>
          <w:vertAlign w:val="baseline"/>
        </w:rPr>
        <w:t>prefer</w:t>
      </w:r>
      <w:r>
        <w:rPr>
          <w:spacing w:val="-2"/>
          <w:vertAlign w:val="baseline"/>
        </w:rPr>
        <w:t> </w:t>
      </w:r>
      <w:r>
        <w:rPr>
          <w:vertAlign w:val="baseline"/>
        </w:rPr>
        <w:t>not</w:t>
      </w:r>
      <w:r>
        <w:rPr>
          <w:spacing w:val="-2"/>
          <w:vertAlign w:val="baseline"/>
        </w:rPr>
        <w:t> </w:t>
      </w:r>
      <w:r>
        <w:rPr>
          <w:vertAlign w:val="baseline"/>
        </w:rPr>
        <w:t>to</w:t>
      </w:r>
      <w:r>
        <w:rPr>
          <w:spacing w:val="-1"/>
          <w:vertAlign w:val="baseline"/>
        </w:rPr>
        <w:t> </w:t>
      </w:r>
      <w:r>
        <w:rPr>
          <w:vertAlign w:val="baseline"/>
        </w:rPr>
        <w:t>take</w:t>
      </w:r>
      <w:r>
        <w:rPr>
          <w:spacing w:val="-2"/>
          <w:vertAlign w:val="baseline"/>
        </w:rPr>
        <w:t> </w:t>
      </w:r>
      <w:r>
        <w:rPr>
          <w:vertAlign w:val="baseline"/>
        </w:rPr>
        <w:t>birth</w:t>
      </w:r>
      <w:r>
        <w:rPr>
          <w:spacing w:val="-2"/>
          <w:vertAlign w:val="baseline"/>
        </w:rPr>
        <w:t> </w:t>
      </w:r>
      <w:r>
        <w:rPr>
          <w:vertAlign w:val="baseline"/>
        </w:rPr>
        <w:t>control</w:t>
      </w:r>
      <w:r>
        <w:rPr>
          <w:spacing w:val="-2"/>
          <w:vertAlign w:val="baseline"/>
        </w:rPr>
        <w:t> </w:t>
      </w:r>
      <w:r>
        <w:rPr>
          <w:vertAlign w:val="baseline"/>
        </w:rPr>
        <w:t>pills</w:t>
      </w:r>
      <w:r>
        <w:rPr>
          <w:spacing w:val="-2"/>
          <w:vertAlign w:val="baseline"/>
        </w:rPr>
        <w:t> </w:t>
      </w:r>
      <w:r>
        <w:rPr>
          <w:vertAlign w:val="baseline"/>
        </w:rPr>
        <w:t>daily</w:t>
      </w:r>
      <w:r>
        <w:rPr>
          <w:spacing w:val="-2"/>
          <w:vertAlign w:val="baseline"/>
        </w:rPr>
        <w:t> </w:t>
      </w:r>
      <w:r>
        <w:rPr>
          <w:vertAlign w:val="baseline"/>
        </w:rPr>
        <w:t>as</w:t>
      </w:r>
      <w:r>
        <w:rPr>
          <w:spacing w:val="-2"/>
          <w:vertAlign w:val="baseline"/>
        </w:rPr>
        <w:t> </w:t>
      </w:r>
      <w:r>
        <w:rPr>
          <w:vertAlign w:val="baseline"/>
        </w:rPr>
        <w:t>this</w:t>
      </w:r>
      <w:r>
        <w:rPr>
          <w:spacing w:val="-2"/>
          <w:vertAlign w:val="baseline"/>
        </w:rPr>
        <w:t> </w:t>
      </w:r>
      <w:r>
        <w:rPr>
          <w:vertAlign w:val="baseline"/>
        </w:rPr>
        <w:t>task</w:t>
      </w:r>
      <w:r>
        <w:rPr>
          <w:spacing w:val="-2"/>
          <w:vertAlign w:val="baseline"/>
        </w:rPr>
        <w:t> </w:t>
      </w:r>
      <w:r>
        <w:rPr>
          <w:vertAlign w:val="baseline"/>
        </w:rPr>
        <w:t>can</w:t>
      </w:r>
      <w:r>
        <w:rPr>
          <w:spacing w:val="-2"/>
          <w:vertAlign w:val="baseline"/>
        </w:rPr>
        <w:t> </w:t>
      </w:r>
      <w:r>
        <w:rPr>
          <w:vertAlign w:val="baseline"/>
        </w:rPr>
        <w:t>be</w:t>
      </w:r>
      <w:r>
        <w:rPr>
          <w:spacing w:val="-2"/>
          <w:vertAlign w:val="baseline"/>
        </w:rPr>
        <w:t> </w:t>
      </w:r>
      <w:r>
        <w:rPr>
          <w:vertAlign w:val="baseline"/>
        </w:rPr>
        <w:t>associated</w:t>
      </w:r>
      <w:r>
        <w:rPr>
          <w:spacing w:val="-2"/>
          <w:vertAlign w:val="baseline"/>
        </w:rPr>
        <w:t> </w:t>
      </w:r>
      <w:r>
        <w:rPr>
          <w:vertAlign w:val="baseline"/>
        </w:rPr>
        <w:t>with cisgender</w:t>
      </w:r>
      <w:r>
        <w:rPr>
          <w:spacing w:val="-13"/>
          <w:vertAlign w:val="baseline"/>
        </w:rPr>
        <w:t> </w:t>
      </w:r>
      <w:r>
        <w:rPr>
          <w:vertAlign w:val="baseline"/>
        </w:rPr>
        <w:t>women.</w:t>
      </w:r>
      <w:hyperlink w:history="true" w:anchor="_bookmark218">
        <w:r>
          <w:rPr>
            <w:vertAlign w:val="superscript"/>
          </w:rPr>
          <w:t>25</w:t>
        </w:r>
      </w:hyperlink>
      <w:r>
        <w:rPr>
          <w:spacing w:val="-12"/>
          <w:vertAlign w:val="baseline"/>
        </w:rPr>
        <w:t> </w:t>
      </w:r>
      <w:r>
        <w:rPr>
          <w:vertAlign w:val="baseline"/>
        </w:rPr>
        <w:t>LGBTQ-</w:t>
      </w:r>
      <w:r>
        <w:rPr>
          <w:spacing w:val="-13"/>
          <w:vertAlign w:val="baseline"/>
        </w:rPr>
        <w:t> </w:t>
      </w:r>
      <w:r>
        <w:rPr>
          <w:vertAlign w:val="baseline"/>
        </w:rPr>
        <w:t>focused</w:t>
      </w:r>
      <w:r>
        <w:rPr>
          <w:spacing w:val="-12"/>
          <w:vertAlign w:val="baseline"/>
        </w:rPr>
        <w:t> </w:t>
      </w:r>
      <w:r>
        <w:rPr>
          <w:vertAlign w:val="baseline"/>
        </w:rPr>
        <w:t>healthcare</w:t>
      </w:r>
      <w:r>
        <w:rPr>
          <w:spacing w:val="-13"/>
          <w:vertAlign w:val="baseline"/>
        </w:rPr>
        <w:t> </w:t>
      </w:r>
      <w:r>
        <w:rPr>
          <w:vertAlign w:val="baseline"/>
        </w:rPr>
        <w:t>providers</w:t>
      </w:r>
      <w:r>
        <w:rPr>
          <w:spacing w:val="-12"/>
          <w:vertAlign w:val="baseline"/>
        </w:rPr>
        <w:t> </w:t>
      </w:r>
      <w:r>
        <w:rPr>
          <w:vertAlign w:val="baseline"/>
        </w:rPr>
        <w:t>should</w:t>
      </w:r>
      <w:r>
        <w:rPr>
          <w:spacing w:val="-13"/>
          <w:vertAlign w:val="baseline"/>
        </w:rPr>
        <w:t> </w:t>
      </w:r>
      <w:r>
        <w:rPr>
          <w:vertAlign w:val="baseline"/>
        </w:rPr>
        <w:t>be</w:t>
      </w:r>
      <w:r>
        <w:rPr>
          <w:spacing w:val="-12"/>
          <w:vertAlign w:val="baseline"/>
        </w:rPr>
        <w:t> </w:t>
      </w:r>
      <w:r>
        <w:rPr>
          <w:vertAlign w:val="baseline"/>
        </w:rPr>
        <w:t>equipped</w:t>
      </w:r>
      <w:r>
        <w:rPr>
          <w:spacing w:val="-12"/>
          <w:vertAlign w:val="baseline"/>
        </w:rPr>
        <w:t> </w:t>
      </w:r>
      <w:r>
        <w:rPr>
          <w:vertAlign w:val="baseline"/>
        </w:rPr>
        <w:t>with</w:t>
      </w:r>
      <w:r>
        <w:rPr>
          <w:spacing w:val="-13"/>
          <w:vertAlign w:val="baseline"/>
        </w:rPr>
        <w:t> </w:t>
      </w:r>
      <w:r>
        <w:rPr>
          <w:vertAlign w:val="baseline"/>
        </w:rPr>
        <w:t>this</w:t>
      </w:r>
      <w:r>
        <w:rPr>
          <w:spacing w:val="-11"/>
          <w:vertAlign w:val="baseline"/>
        </w:rPr>
        <w:t> </w:t>
      </w:r>
      <w:r>
        <w:rPr>
          <w:vertAlign w:val="baseline"/>
        </w:rPr>
        <w:t>medical</w:t>
      </w:r>
      <w:r>
        <w:rPr>
          <w:spacing w:val="-13"/>
          <w:vertAlign w:val="baseline"/>
        </w:rPr>
        <w:t> </w:t>
      </w:r>
      <w:r>
        <w:rPr>
          <w:vertAlign w:val="baseline"/>
        </w:rPr>
        <w:t>information and</w:t>
      </w:r>
      <w:r>
        <w:rPr>
          <w:spacing w:val="-4"/>
          <w:vertAlign w:val="baseline"/>
        </w:rPr>
        <w:t> </w:t>
      </w:r>
      <w:r>
        <w:rPr>
          <w:vertAlign w:val="baseline"/>
        </w:rPr>
        <w:t>familiarize</w:t>
      </w:r>
      <w:r>
        <w:rPr>
          <w:spacing w:val="-4"/>
          <w:vertAlign w:val="baseline"/>
        </w:rPr>
        <w:t> </w:t>
      </w:r>
      <w:r>
        <w:rPr>
          <w:vertAlign w:val="baseline"/>
        </w:rPr>
        <w:t>themselves</w:t>
      </w:r>
      <w:r>
        <w:rPr>
          <w:spacing w:val="-2"/>
          <w:vertAlign w:val="baseline"/>
        </w:rPr>
        <w:t> </w:t>
      </w:r>
      <w:r>
        <w:rPr>
          <w:vertAlign w:val="baseline"/>
        </w:rPr>
        <w:t>with</w:t>
      </w:r>
      <w:r>
        <w:rPr>
          <w:spacing w:val="-4"/>
          <w:vertAlign w:val="baseline"/>
        </w:rPr>
        <w:t> </w:t>
      </w:r>
      <w:r>
        <w:rPr>
          <w:vertAlign w:val="baseline"/>
        </w:rPr>
        <w:t>the</w:t>
      </w:r>
      <w:r>
        <w:rPr>
          <w:spacing w:val="-4"/>
          <w:vertAlign w:val="baseline"/>
        </w:rPr>
        <w:t> </w:t>
      </w:r>
      <w:r>
        <w:rPr>
          <w:vertAlign w:val="baseline"/>
        </w:rPr>
        <w:t>nuances</w:t>
      </w:r>
      <w:r>
        <w:rPr>
          <w:spacing w:val="-4"/>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reproductive</w:t>
      </w:r>
      <w:r>
        <w:rPr>
          <w:spacing w:val="-4"/>
          <w:vertAlign w:val="baseline"/>
        </w:rPr>
        <w:t> </w:t>
      </w:r>
      <w:r>
        <w:rPr>
          <w:vertAlign w:val="baseline"/>
        </w:rPr>
        <w:t>healthcare</w:t>
      </w:r>
      <w:r>
        <w:rPr>
          <w:spacing w:val="-3"/>
          <w:vertAlign w:val="baseline"/>
        </w:rPr>
        <w:t> </w:t>
      </w:r>
      <w:r>
        <w:rPr>
          <w:vertAlign w:val="baseline"/>
        </w:rPr>
        <w:t>needs</w:t>
      </w:r>
      <w:r>
        <w:rPr>
          <w:spacing w:val="-4"/>
          <w:vertAlign w:val="baseline"/>
        </w:rPr>
        <w:t> </w:t>
      </w:r>
      <w:r>
        <w:rPr>
          <w:vertAlign w:val="baseline"/>
        </w:rPr>
        <w:t>of</w:t>
      </w:r>
      <w:r>
        <w:rPr>
          <w:spacing w:val="-4"/>
          <w:vertAlign w:val="baseline"/>
        </w:rPr>
        <w:t> </w:t>
      </w:r>
      <w:r>
        <w:rPr>
          <w:vertAlign w:val="baseline"/>
        </w:rPr>
        <w:t>LGBTQ</w:t>
      </w:r>
      <w:r>
        <w:rPr>
          <w:spacing w:val="-3"/>
          <w:vertAlign w:val="baseline"/>
        </w:rPr>
        <w:t> </w:t>
      </w:r>
      <w:r>
        <w:rPr>
          <w:vertAlign w:val="baseline"/>
        </w:rPr>
        <w:t>youth</w:t>
      </w:r>
      <w:r>
        <w:rPr>
          <w:spacing w:val="-4"/>
          <w:vertAlign w:val="baseline"/>
        </w:rPr>
        <w:t> </w:t>
      </w:r>
      <w:r>
        <w:rPr>
          <w:vertAlign w:val="baseline"/>
        </w:rPr>
        <w:t>in</w:t>
      </w:r>
      <w:r>
        <w:rPr>
          <w:spacing w:val="-4"/>
          <w:vertAlign w:val="baseline"/>
        </w:rPr>
        <w:t> </w:t>
      </w:r>
      <w:r>
        <w:rPr>
          <w:vertAlign w:val="baseline"/>
        </w:rPr>
        <w:t>order to empower their transgender and nonbinary patients when considering birth control options while going through gender-affirming hormone therapy. There is currently no evidence-based guidelines to draw from in offering contraception to transmasculine individuals who are on hormone-based therapy and typically, empirical</w:t>
      </w:r>
      <w:r>
        <w:rPr>
          <w:spacing w:val="-5"/>
          <w:vertAlign w:val="baseline"/>
        </w:rPr>
        <w:t> </w:t>
      </w:r>
      <w:r>
        <w:rPr>
          <w:vertAlign w:val="baseline"/>
        </w:rPr>
        <w:t>assumptions</w:t>
      </w:r>
      <w:r>
        <w:rPr>
          <w:spacing w:val="-5"/>
          <w:vertAlign w:val="baseline"/>
        </w:rPr>
        <w:t> </w:t>
      </w:r>
      <w:r>
        <w:rPr>
          <w:vertAlign w:val="baseline"/>
        </w:rPr>
        <w:t>have</w:t>
      </w:r>
      <w:r>
        <w:rPr>
          <w:spacing w:val="-5"/>
          <w:vertAlign w:val="baseline"/>
        </w:rPr>
        <w:t> </w:t>
      </w:r>
      <w:r>
        <w:rPr>
          <w:vertAlign w:val="baseline"/>
        </w:rPr>
        <w:t>been</w:t>
      </w:r>
      <w:r>
        <w:rPr>
          <w:spacing w:val="-4"/>
          <w:vertAlign w:val="baseline"/>
        </w:rPr>
        <w:t> </w:t>
      </w:r>
      <w:r>
        <w:rPr>
          <w:vertAlign w:val="baseline"/>
        </w:rPr>
        <w:t>that</w:t>
      </w:r>
      <w:r>
        <w:rPr>
          <w:spacing w:val="-5"/>
          <w:vertAlign w:val="baseline"/>
        </w:rPr>
        <w:t> </w:t>
      </w:r>
      <w:r>
        <w:rPr>
          <w:vertAlign w:val="baseline"/>
        </w:rPr>
        <w:t>all</w:t>
      </w:r>
      <w:r>
        <w:rPr>
          <w:spacing w:val="-5"/>
          <w:vertAlign w:val="baseline"/>
        </w:rPr>
        <w:t> </w:t>
      </w:r>
      <w:r>
        <w:rPr>
          <w:vertAlign w:val="baseline"/>
        </w:rPr>
        <w:t>contraception</w:t>
      </w:r>
      <w:r>
        <w:rPr>
          <w:spacing w:val="-5"/>
          <w:vertAlign w:val="baseline"/>
        </w:rPr>
        <w:t> </w:t>
      </w:r>
      <w:r>
        <w:rPr>
          <w:vertAlign w:val="baseline"/>
        </w:rPr>
        <w:t>available</w:t>
      </w:r>
      <w:r>
        <w:rPr>
          <w:spacing w:val="-5"/>
          <w:vertAlign w:val="baseline"/>
        </w:rPr>
        <w:t> </w:t>
      </w:r>
      <w:r>
        <w:rPr>
          <w:vertAlign w:val="baseline"/>
        </w:rPr>
        <w:t>to</w:t>
      </w:r>
      <w:r>
        <w:rPr>
          <w:spacing w:val="-5"/>
          <w:vertAlign w:val="baseline"/>
        </w:rPr>
        <w:t> </w:t>
      </w:r>
      <w:r>
        <w:rPr>
          <w:vertAlign w:val="baseline"/>
        </w:rPr>
        <w:t>cisgender</w:t>
      </w:r>
      <w:r>
        <w:rPr>
          <w:spacing w:val="-4"/>
          <w:vertAlign w:val="baseline"/>
        </w:rPr>
        <w:t> </w:t>
      </w:r>
      <w:r>
        <w:rPr>
          <w:vertAlign w:val="baseline"/>
        </w:rPr>
        <w:t>women</w:t>
      </w:r>
      <w:r>
        <w:rPr>
          <w:spacing w:val="-5"/>
          <w:vertAlign w:val="baseline"/>
        </w:rPr>
        <w:t> </w:t>
      </w:r>
      <w:r>
        <w:rPr>
          <w:vertAlign w:val="baseline"/>
        </w:rPr>
        <w:t>are</w:t>
      </w:r>
      <w:r>
        <w:rPr>
          <w:spacing w:val="-5"/>
          <w:vertAlign w:val="baseline"/>
        </w:rPr>
        <w:t> </w:t>
      </w:r>
      <w:r>
        <w:rPr>
          <w:vertAlign w:val="baseline"/>
        </w:rPr>
        <w:t>all</w:t>
      </w:r>
      <w:r>
        <w:rPr>
          <w:spacing w:val="-5"/>
          <w:vertAlign w:val="baseline"/>
        </w:rPr>
        <w:t> </w:t>
      </w:r>
      <w:r>
        <w:rPr>
          <w:vertAlign w:val="baseline"/>
        </w:rPr>
        <w:t>viable</w:t>
      </w:r>
      <w:r>
        <w:rPr>
          <w:spacing w:val="-5"/>
          <w:vertAlign w:val="baseline"/>
        </w:rPr>
        <w:t> </w:t>
      </w:r>
      <w:r>
        <w:rPr>
          <w:vertAlign w:val="baseline"/>
        </w:rPr>
        <w:t>options for</w:t>
      </w:r>
      <w:r>
        <w:rPr>
          <w:spacing w:val="-9"/>
          <w:vertAlign w:val="baseline"/>
        </w:rPr>
        <w:t> </w:t>
      </w:r>
      <w:r>
        <w:rPr>
          <w:vertAlign w:val="baseline"/>
        </w:rPr>
        <w:t>transgender</w:t>
      </w:r>
      <w:r>
        <w:rPr>
          <w:spacing w:val="-9"/>
          <w:vertAlign w:val="baseline"/>
        </w:rPr>
        <w:t> </w:t>
      </w:r>
      <w:r>
        <w:rPr>
          <w:vertAlign w:val="baseline"/>
        </w:rPr>
        <w:t>and</w:t>
      </w:r>
      <w:r>
        <w:rPr>
          <w:spacing w:val="-9"/>
          <w:vertAlign w:val="baseline"/>
        </w:rPr>
        <w:t> </w:t>
      </w:r>
      <w:r>
        <w:rPr>
          <w:vertAlign w:val="baseline"/>
        </w:rPr>
        <w:t>nonbinary</w:t>
      </w:r>
      <w:r>
        <w:rPr>
          <w:spacing w:val="-9"/>
          <w:vertAlign w:val="baseline"/>
        </w:rPr>
        <w:t> </w:t>
      </w:r>
      <w:r>
        <w:rPr>
          <w:vertAlign w:val="baseline"/>
        </w:rPr>
        <w:t>patients</w:t>
      </w:r>
      <w:hyperlink w:history="true" w:anchor="_bookmark219">
        <w:r>
          <w:rPr>
            <w:vertAlign w:val="baseline"/>
          </w:rPr>
          <w:t>.</w:t>
        </w:r>
        <w:r>
          <w:rPr>
            <w:vertAlign w:val="superscript"/>
          </w:rPr>
          <w:t>26</w:t>
        </w:r>
      </w:hyperlink>
      <w:r>
        <w:rPr>
          <w:spacing w:val="-9"/>
          <w:vertAlign w:val="baseline"/>
        </w:rPr>
        <w:t> </w:t>
      </w:r>
      <w:r>
        <w:rPr>
          <w:vertAlign w:val="baseline"/>
        </w:rPr>
        <w:t>More</w:t>
      </w:r>
      <w:r>
        <w:rPr>
          <w:spacing w:val="-9"/>
          <w:vertAlign w:val="baseline"/>
        </w:rPr>
        <w:t> </w:t>
      </w:r>
      <w:r>
        <w:rPr>
          <w:vertAlign w:val="baseline"/>
        </w:rPr>
        <w:t>research</w:t>
      </w:r>
      <w:r>
        <w:rPr>
          <w:spacing w:val="-9"/>
          <w:vertAlign w:val="baseline"/>
        </w:rPr>
        <w:t> </w:t>
      </w:r>
      <w:r>
        <w:rPr>
          <w:vertAlign w:val="baseline"/>
        </w:rPr>
        <w:t>is</w:t>
      </w:r>
      <w:r>
        <w:rPr>
          <w:spacing w:val="-8"/>
          <w:vertAlign w:val="baseline"/>
        </w:rPr>
        <w:t> </w:t>
      </w:r>
      <w:r>
        <w:rPr>
          <w:vertAlign w:val="baseline"/>
        </w:rPr>
        <w:t>needed</w:t>
      </w:r>
      <w:r>
        <w:rPr>
          <w:spacing w:val="-8"/>
          <w:vertAlign w:val="baseline"/>
        </w:rPr>
        <w:t> </w:t>
      </w:r>
      <w:r>
        <w:rPr>
          <w:vertAlign w:val="baseline"/>
        </w:rPr>
        <w:t>on</w:t>
      </w:r>
      <w:r>
        <w:rPr>
          <w:spacing w:val="-9"/>
          <w:vertAlign w:val="baseline"/>
        </w:rPr>
        <w:t> </w:t>
      </w:r>
      <w:r>
        <w:rPr>
          <w:vertAlign w:val="baseline"/>
        </w:rPr>
        <w:t>the</w:t>
      </w:r>
      <w:r>
        <w:rPr>
          <w:spacing w:val="-8"/>
          <w:vertAlign w:val="baseline"/>
        </w:rPr>
        <w:t> </w:t>
      </w:r>
      <w:r>
        <w:rPr>
          <w:vertAlign w:val="baseline"/>
        </w:rPr>
        <w:t>interactions</w:t>
      </w:r>
      <w:r>
        <w:rPr>
          <w:spacing w:val="-8"/>
          <w:vertAlign w:val="baseline"/>
        </w:rPr>
        <w:t> </w:t>
      </w:r>
      <w:r>
        <w:rPr>
          <w:vertAlign w:val="baseline"/>
        </w:rPr>
        <w:t>and</w:t>
      </w:r>
      <w:r>
        <w:rPr>
          <w:spacing w:val="-8"/>
          <w:vertAlign w:val="baseline"/>
        </w:rPr>
        <w:t> </w:t>
      </w:r>
      <w:r>
        <w:rPr>
          <w:vertAlign w:val="baseline"/>
        </w:rPr>
        <w:t>effects</w:t>
      </w:r>
      <w:r>
        <w:rPr>
          <w:spacing w:val="-8"/>
          <w:vertAlign w:val="baseline"/>
        </w:rPr>
        <w:t> </w:t>
      </w:r>
      <w:r>
        <w:rPr>
          <w:vertAlign w:val="baseline"/>
        </w:rPr>
        <w:t>between contraceptives containing estrogen and testosterone therapy.</w:t>
      </w:r>
    </w:p>
    <w:p>
      <w:pPr>
        <w:spacing w:before="239"/>
        <w:ind w:left="463" w:right="0" w:firstLine="0"/>
        <w:jc w:val="both"/>
        <w:rPr>
          <w:sz w:val="28"/>
        </w:rPr>
      </w:pPr>
      <w:bookmarkStart w:name="Fertility Preservation" w:id="371"/>
      <w:bookmarkEnd w:id="371"/>
      <w:r>
        <w:rPr/>
      </w:r>
      <w:r>
        <w:rPr>
          <w:color w:val="365F91"/>
          <w:sz w:val="28"/>
        </w:rPr>
        <w:t>Fertility</w:t>
      </w:r>
      <w:r>
        <w:rPr>
          <w:color w:val="365F91"/>
          <w:spacing w:val="-11"/>
          <w:sz w:val="28"/>
        </w:rPr>
        <w:t> </w:t>
      </w:r>
      <w:r>
        <w:rPr>
          <w:color w:val="365F91"/>
          <w:spacing w:val="-2"/>
          <w:sz w:val="28"/>
        </w:rPr>
        <w:t>Preservation</w:t>
      </w:r>
    </w:p>
    <w:p>
      <w:pPr>
        <w:pStyle w:val="BodyText"/>
        <w:spacing w:line="276" w:lineRule="auto" w:before="292"/>
        <w:ind w:left="463" w:right="240"/>
        <w:jc w:val="both"/>
      </w:pPr>
      <w:r>
        <w:rPr/>
        <w:t>Counseling</w:t>
      </w:r>
      <w:r>
        <w:rPr>
          <w:spacing w:val="-3"/>
        </w:rPr>
        <w:t> </w:t>
      </w:r>
      <w:r>
        <w:rPr/>
        <w:t>on</w:t>
      </w:r>
      <w:r>
        <w:rPr>
          <w:spacing w:val="-3"/>
        </w:rPr>
        <w:t> </w:t>
      </w:r>
      <w:r>
        <w:rPr/>
        <w:t>fertility</w:t>
      </w:r>
      <w:r>
        <w:rPr>
          <w:spacing w:val="-2"/>
        </w:rPr>
        <w:t> </w:t>
      </w:r>
      <w:r>
        <w:rPr/>
        <w:t>and</w:t>
      </w:r>
      <w:r>
        <w:rPr>
          <w:spacing w:val="-2"/>
        </w:rPr>
        <w:t> </w:t>
      </w:r>
      <w:r>
        <w:rPr/>
        <w:t>reproductive</w:t>
      </w:r>
      <w:r>
        <w:rPr>
          <w:spacing w:val="-2"/>
        </w:rPr>
        <w:t> </w:t>
      </w:r>
      <w:r>
        <w:rPr/>
        <w:t>options</w:t>
      </w:r>
      <w:r>
        <w:rPr>
          <w:spacing w:val="-2"/>
        </w:rPr>
        <w:t> </w:t>
      </w:r>
      <w:r>
        <w:rPr/>
        <w:t>is</w:t>
      </w:r>
      <w:r>
        <w:rPr>
          <w:spacing w:val="-1"/>
        </w:rPr>
        <w:t> </w:t>
      </w:r>
      <w:r>
        <w:rPr/>
        <w:t>recommended</w:t>
      </w:r>
      <w:r>
        <w:rPr>
          <w:spacing w:val="-1"/>
        </w:rPr>
        <w:t> </w:t>
      </w:r>
      <w:r>
        <w:rPr/>
        <w:t>prior</w:t>
      </w:r>
      <w:r>
        <w:rPr>
          <w:spacing w:val="-3"/>
        </w:rPr>
        <w:t> </w:t>
      </w:r>
      <w:r>
        <w:rPr/>
        <w:t>to</w:t>
      </w:r>
      <w:r>
        <w:rPr>
          <w:spacing w:val="-1"/>
        </w:rPr>
        <w:t> </w:t>
      </w:r>
      <w:r>
        <w:rPr/>
        <w:t>the</w:t>
      </w:r>
      <w:r>
        <w:rPr>
          <w:spacing w:val="-2"/>
        </w:rPr>
        <w:t> </w:t>
      </w:r>
      <w:r>
        <w:rPr/>
        <w:t>initiation</w:t>
      </w:r>
      <w:r>
        <w:rPr>
          <w:spacing w:val="-2"/>
        </w:rPr>
        <w:t> </w:t>
      </w:r>
      <w:r>
        <w:rPr/>
        <w:t>of</w:t>
      </w:r>
      <w:r>
        <w:rPr>
          <w:spacing w:val="-3"/>
        </w:rPr>
        <w:t> </w:t>
      </w:r>
      <w:r>
        <w:rPr/>
        <w:t>puberty</w:t>
      </w:r>
      <w:r>
        <w:rPr>
          <w:spacing w:val="-1"/>
        </w:rPr>
        <w:t> </w:t>
      </w:r>
      <w:r>
        <w:rPr/>
        <w:t>blockers or gender-affirming hormones for transgender youth. Studies have shown that around half of transgender adults wished to have children, and more than a third of transmasculine adults and half of transfeminine adults report they would have considered preserving reproductive gametes had this been an available option for them.</w:t>
      </w:r>
      <w:hyperlink w:history="true" w:anchor="_bookmark220">
        <w:r>
          <w:rPr>
            <w:vertAlign w:val="superscript"/>
          </w:rPr>
          <w:t>27</w:t>
        </w:r>
      </w:hyperlink>
      <w:r>
        <w:rPr>
          <w:vertAlign w:val="baseline"/>
        </w:rPr>
        <w:t> Although fertility preservation services are routinely offered, reports have shown that only between 0%-2% of transmasculine youth and 8%-14% of transfeminine youth complete fertility preservations</w:t>
      </w:r>
      <w:r>
        <w:rPr>
          <w:spacing w:val="-6"/>
          <w:vertAlign w:val="baseline"/>
        </w:rPr>
        <w:t> </w:t>
      </w:r>
      <w:r>
        <w:rPr>
          <w:vertAlign w:val="baseline"/>
        </w:rPr>
        <w:t>prior</w:t>
      </w:r>
      <w:r>
        <w:rPr>
          <w:spacing w:val="-6"/>
          <w:vertAlign w:val="baseline"/>
        </w:rPr>
        <w:t> </w:t>
      </w:r>
      <w:r>
        <w:rPr>
          <w:vertAlign w:val="baseline"/>
        </w:rPr>
        <w:t>to</w:t>
      </w:r>
      <w:r>
        <w:rPr>
          <w:spacing w:val="-6"/>
          <w:vertAlign w:val="baseline"/>
        </w:rPr>
        <w:t> </w:t>
      </w:r>
      <w:r>
        <w:rPr>
          <w:vertAlign w:val="baseline"/>
        </w:rPr>
        <w:t>starting</w:t>
      </w:r>
      <w:r>
        <w:rPr>
          <w:spacing w:val="-7"/>
          <w:vertAlign w:val="baseline"/>
        </w:rPr>
        <w:t> </w:t>
      </w:r>
      <w:r>
        <w:rPr>
          <w:vertAlign w:val="baseline"/>
        </w:rPr>
        <w:t>gender-affirming</w:t>
      </w:r>
      <w:r>
        <w:rPr>
          <w:spacing w:val="-5"/>
          <w:vertAlign w:val="baseline"/>
        </w:rPr>
        <w:t> </w:t>
      </w:r>
      <w:r>
        <w:rPr>
          <w:vertAlign w:val="baseline"/>
        </w:rPr>
        <w:t>medical</w:t>
      </w:r>
      <w:r>
        <w:rPr>
          <w:spacing w:val="-6"/>
          <w:vertAlign w:val="baseline"/>
        </w:rPr>
        <w:t> </w:t>
      </w:r>
      <w:r>
        <w:rPr>
          <w:vertAlign w:val="baseline"/>
        </w:rPr>
        <w:t>treatment</w:t>
      </w:r>
      <w:hyperlink w:history="true" w:anchor="_bookmark221">
        <w:r>
          <w:rPr>
            <w:vertAlign w:val="baseline"/>
          </w:rPr>
          <w:t>.</w:t>
        </w:r>
        <w:r>
          <w:rPr>
            <w:vertAlign w:val="superscript"/>
          </w:rPr>
          <w:t>28</w:t>
        </w:r>
      </w:hyperlink>
      <w:r>
        <w:rPr>
          <w:spacing w:val="-7"/>
          <w:vertAlign w:val="baseline"/>
        </w:rPr>
        <w:t> </w:t>
      </w:r>
      <w:r>
        <w:rPr>
          <w:vertAlign w:val="baseline"/>
        </w:rPr>
        <w:t>There</w:t>
      </w:r>
      <w:r>
        <w:rPr>
          <w:spacing w:val="-7"/>
          <w:vertAlign w:val="baseline"/>
        </w:rPr>
        <w:t> </w:t>
      </w:r>
      <w:r>
        <w:rPr>
          <w:vertAlign w:val="baseline"/>
        </w:rPr>
        <w:t>are</w:t>
      </w:r>
      <w:r>
        <w:rPr>
          <w:spacing w:val="-5"/>
          <w:vertAlign w:val="baseline"/>
        </w:rPr>
        <w:t> </w:t>
      </w:r>
      <w:r>
        <w:rPr>
          <w:vertAlign w:val="baseline"/>
        </w:rPr>
        <w:t>numerous</w:t>
      </w:r>
      <w:r>
        <w:rPr>
          <w:spacing w:val="-6"/>
          <w:vertAlign w:val="baseline"/>
        </w:rPr>
        <w:t> </w:t>
      </w:r>
      <w:r>
        <w:rPr>
          <w:vertAlign w:val="baseline"/>
        </w:rPr>
        <w:t>factors</w:t>
      </w:r>
      <w:r>
        <w:rPr>
          <w:spacing w:val="-6"/>
          <w:vertAlign w:val="baseline"/>
        </w:rPr>
        <w:t> </w:t>
      </w:r>
      <w:r>
        <w:rPr>
          <w:vertAlign w:val="baseline"/>
        </w:rPr>
        <w:t>that</w:t>
      </w:r>
      <w:r>
        <w:rPr>
          <w:spacing w:val="-6"/>
          <w:vertAlign w:val="baseline"/>
        </w:rPr>
        <w:t> </w:t>
      </w:r>
      <w:r>
        <w:rPr>
          <w:vertAlign w:val="baseline"/>
        </w:rPr>
        <w:t>pose barriers</w:t>
      </w:r>
      <w:r>
        <w:rPr>
          <w:spacing w:val="-9"/>
          <w:vertAlign w:val="baseline"/>
        </w:rPr>
        <w:t> </w:t>
      </w:r>
      <w:r>
        <w:rPr>
          <w:vertAlign w:val="baseline"/>
        </w:rPr>
        <w:t>to</w:t>
      </w:r>
      <w:r>
        <w:rPr>
          <w:spacing w:val="-9"/>
          <w:vertAlign w:val="baseline"/>
        </w:rPr>
        <w:t> </w:t>
      </w:r>
      <w:r>
        <w:rPr>
          <w:vertAlign w:val="baseline"/>
        </w:rPr>
        <w:t>transgender</w:t>
      </w:r>
      <w:r>
        <w:rPr>
          <w:spacing w:val="-10"/>
          <w:vertAlign w:val="baseline"/>
        </w:rPr>
        <w:t> </w:t>
      </w:r>
      <w:r>
        <w:rPr>
          <w:vertAlign w:val="baseline"/>
        </w:rPr>
        <w:t>youth</w:t>
      </w:r>
      <w:r>
        <w:rPr>
          <w:spacing w:val="-10"/>
          <w:vertAlign w:val="baseline"/>
        </w:rPr>
        <w:t> </w:t>
      </w:r>
      <w:r>
        <w:rPr>
          <w:vertAlign w:val="baseline"/>
        </w:rPr>
        <w:t>receiving</w:t>
      </w:r>
      <w:r>
        <w:rPr>
          <w:spacing w:val="-9"/>
          <w:vertAlign w:val="baseline"/>
        </w:rPr>
        <w:t> </w:t>
      </w:r>
      <w:r>
        <w:rPr>
          <w:vertAlign w:val="baseline"/>
        </w:rPr>
        <w:t>fertility</w:t>
      </w:r>
      <w:r>
        <w:rPr>
          <w:spacing w:val="-9"/>
          <w:vertAlign w:val="baseline"/>
        </w:rPr>
        <w:t> </w:t>
      </w:r>
      <w:r>
        <w:rPr>
          <w:vertAlign w:val="baseline"/>
        </w:rPr>
        <w:t>preservation</w:t>
      </w:r>
      <w:r>
        <w:rPr>
          <w:spacing w:val="-10"/>
          <w:vertAlign w:val="baseline"/>
        </w:rPr>
        <w:t> </w:t>
      </w:r>
      <w:r>
        <w:rPr>
          <w:vertAlign w:val="baseline"/>
        </w:rPr>
        <w:t>services,</w:t>
      </w:r>
      <w:r>
        <w:rPr>
          <w:spacing w:val="-10"/>
          <w:vertAlign w:val="baseline"/>
        </w:rPr>
        <w:t> </w:t>
      </w:r>
      <w:r>
        <w:rPr>
          <w:vertAlign w:val="baseline"/>
        </w:rPr>
        <w:t>including</w:t>
      </w:r>
      <w:r>
        <w:rPr>
          <w:spacing w:val="-8"/>
          <w:vertAlign w:val="baseline"/>
        </w:rPr>
        <w:t> </w:t>
      </w:r>
      <w:r>
        <w:rPr>
          <w:vertAlign w:val="baseline"/>
        </w:rPr>
        <w:t>dysphoria</w:t>
      </w:r>
      <w:r>
        <w:rPr>
          <w:spacing w:val="-10"/>
          <w:vertAlign w:val="baseline"/>
        </w:rPr>
        <w:t> </w:t>
      </w:r>
      <w:r>
        <w:rPr>
          <w:vertAlign w:val="baseline"/>
        </w:rPr>
        <w:t>related</w:t>
      </w:r>
      <w:r>
        <w:rPr>
          <w:spacing w:val="-9"/>
          <w:vertAlign w:val="baseline"/>
        </w:rPr>
        <w:t> </w:t>
      </w:r>
      <w:r>
        <w:rPr>
          <w:vertAlign w:val="baseline"/>
        </w:rPr>
        <w:t>to</w:t>
      </w:r>
      <w:r>
        <w:rPr>
          <w:spacing w:val="-9"/>
          <w:vertAlign w:val="baseline"/>
        </w:rPr>
        <w:t> </w:t>
      </w:r>
      <w:r>
        <w:rPr>
          <w:vertAlign w:val="baseline"/>
        </w:rPr>
        <w:t>fertility preservation</w:t>
      </w:r>
      <w:r>
        <w:rPr>
          <w:spacing w:val="-1"/>
          <w:vertAlign w:val="baseline"/>
        </w:rPr>
        <w:t> </w:t>
      </w:r>
      <w:r>
        <w:rPr>
          <w:vertAlign w:val="baseline"/>
        </w:rPr>
        <w:t>procedures, invasiveness of procedures, cost, lack</w:t>
      </w:r>
      <w:r>
        <w:rPr>
          <w:spacing w:val="-1"/>
          <w:vertAlign w:val="baseline"/>
        </w:rPr>
        <w:t> </w:t>
      </w:r>
      <w:r>
        <w:rPr>
          <w:vertAlign w:val="baseline"/>
        </w:rPr>
        <w:t>of coverage</w:t>
      </w:r>
      <w:r>
        <w:rPr>
          <w:spacing w:val="-1"/>
          <w:vertAlign w:val="baseline"/>
        </w:rPr>
        <w:t> </w:t>
      </w:r>
      <w:r>
        <w:rPr>
          <w:vertAlign w:val="baseline"/>
        </w:rPr>
        <w:t>of these</w:t>
      </w:r>
      <w:r>
        <w:rPr>
          <w:spacing w:val="-1"/>
          <w:vertAlign w:val="baseline"/>
        </w:rPr>
        <w:t> </w:t>
      </w:r>
      <w:r>
        <w:rPr>
          <w:vertAlign w:val="baseline"/>
        </w:rPr>
        <w:t>services by insurance, concerns about delaying or pausing gender-affirming care to undergo fertility preservation, and lack of affirming providers and facilities that offer fertility preservation.</w:t>
      </w:r>
      <w:hyperlink w:history="true" w:anchor="_bookmark222">
        <w:r>
          <w:rPr>
            <w:vertAlign w:val="superscript"/>
          </w:rPr>
          <w:t>29</w:t>
        </w:r>
      </w:hyperlink>
    </w:p>
    <w:p>
      <w:pPr>
        <w:spacing w:after="0" w:line="276" w:lineRule="auto"/>
        <w:jc w:val="both"/>
        <w:sectPr>
          <w:pgSz w:w="12240" w:h="15840"/>
          <w:pgMar w:header="800" w:footer="1530" w:top="1080" w:bottom="1760" w:left="980" w:right="1000"/>
        </w:sectPr>
      </w:pPr>
    </w:p>
    <w:p>
      <w:pPr>
        <w:pStyle w:val="BodyText"/>
        <w:spacing w:before="261"/>
        <w:rPr>
          <w:sz w:val="28"/>
        </w:rPr>
      </w:pPr>
    </w:p>
    <w:p>
      <w:pPr>
        <w:spacing w:before="0"/>
        <w:ind w:left="463" w:right="0" w:firstLine="0"/>
        <w:jc w:val="left"/>
        <w:rPr>
          <w:sz w:val="28"/>
        </w:rPr>
      </w:pPr>
      <w:bookmarkStart w:name="Pregnancy" w:id="372"/>
      <w:bookmarkEnd w:id="372"/>
      <w:r>
        <w:rPr/>
      </w:r>
      <w:r>
        <w:rPr>
          <w:color w:val="365F91"/>
          <w:spacing w:val="-2"/>
          <w:sz w:val="28"/>
        </w:rPr>
        <w:t>Pregnancy</w:t>
      </w:r>
    </w:p>
    <w:p>
      <w:pPr>
        <w:pStyle w:val="BodyText"/>
        <w:spacing w:line="276" w:lineRule="auto" w:before="292"/>
        <w:ind w:left="463" w:right="4084"/>
        <w:jc w:val="both"/>
      </w:pPr>
      <w:r>
        <w:rPr/>
        <w:drawing>
          <wp:anchor distT="0" distB="0" distL="0" distR="0" allowOverlap="1" layoutInCell="1" locked="0" behindDoc="0" simplePos="0" relativeHeight="15778816">
            <wp:simplePos x="0" y="0"/>
            <wp:positionH relativeFrom="page">
              <wp:posOffset>4632960</wp:posOffset>
            </wp:positionH>
            <wp:positionV relativeFrom="paragraph">
              <wp:posOffset>196142</wp:posOffset>
            </wp:positionV>
            <wp:extent cx="2440939" cy="2440925"/>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314" cstate="print"/>
                    <a:stretch>
                      <a:fillRect/>
                    </a:stretch>
                  </pic:blipFill>
                  <pic:spPr>
                    <a:xfrm>
                      <a:off x="0" y="0"/>
                      <a:ext cx="2440939" cy="2440925"/>
                    </a:xfrm>
                    <a:prstGeom prst="rect">
                      <a:avLst/>
                    </a:prstGeom>
                  </pic:spPr>
                </pic:pic>
              </a:graphicData>
            </a:graphic>
          </wp:anchor>
        </w:drawing>
      </w:r>
      <w:r>
        <w:rPr/>
        <w:t>Due to heteronormative societal structures, LGBTQ youth may feel pressured to conform to such standards by having sexual intercourse to prove they are heterosexual, thus increasing the risk of pregnancy. LGBTQ individuals under the age of 20 are more</w:t>
      </w:r>
      <w:r>
        <w:rPr>
          <w:spacing w:val="-9"/>
        </w:rPr>
        <w:t> </w:t>
      </w:r>
      <w:r>
        <w:rPr/>
        <w:t>likely</w:t>
      </w:r>
      <w:r>
        <w:rPr>
          <w:spacing w:val="-7"/>
        </w:rPr>
        <w:t> </w:t>
      </w:r>
      <w:r>
        <w:rPr/>
        <w:t>to</w:t>
      </w:r>
      <w:r>
        <w:rPr>
          <w:spacing w:val="-7"/>
        </w:rPr>
        <w:t> </w:t>
      </w:r>
      <w:r>
        <w:rPr/>
        <w:t>experience</w:t>
      </w:r>
      <w:r>
        <w:rPr>
          <w:spacing w:val="-7"/>
        </w:rPr>
        <w:t> </w:t>
      </w:r>
      <w:r>
        <w:rPr/>
        <w:t>an</w:t>
      </w:r>
      <w:r>
        <w:rPr>
          <w:spacing w:val="-9"/>
        </w:rPr>
        <w:t> </w:t>
      </w:r>
      <w:r>
        <w:rPr/>
        <w:t>unintended</w:t>
      </w:r>
      <w:r>
        <w:rPr>
          <w:spacing w:val="-8"/>
        </w:rPr>
        <w:t> </w:t>
      </w:r>
      <w:r>
        <w:rPr/>
        <w:t>pregnancy,</w:t>
      </w:r>
      <w:r>
        <w:rPr>
          <w:spacing w:val="-8"/>
        </w:rPr>
        <w:t> </w:t>
      </w:r>
      <w:r>
        <w:rPr/>
        <w:t>especially</w:t>
      </w:r>
      <w:r>
        <w:rPr>
          <w:spacing w:val="-7"/>
        </w:rPr>
        <w:t> </w:t>
      </w:r>
      <w:r>
        <w:rPr/>
        <w:t>a teen pregnancy, compared to their heterosexual counterparts. </w:t>
      </w:r>
      <w:hyperlink w:history="true" w:anchor="_bookmark223">
        <w:r>
          <w:rPr>
            <w:vertAlign w:val="superscript"/>
          </w:rPr>
          <w:t>30</w:t>
        </w:r>
      </w:hyperlink>
      <w:r>
        <w:rPr>
          <w:spacing w:val="-1"/>
          <w:vertAlign w:val="baseline"/>
        </w:rPr>
        <w:t> </w:t>
      </w:r>
      <w:r>
        <w:rPr>
          <w:vertAlign w:val="baseline"/>
        </w:rPr>
        <w:t>This is</w:t>
      </w:r>
      <w:r>
        <w:rPr>
          <w:spacing w:val="-1"/>
          <w:vertAlign w:val="baseline"/>
        </w:rPr>
        <w:t> </w:t>
      </w:r>
      <w:r>
        <w:rPr>
          <w:vertAlign w:val="baseline"/>
        </w:rPr>
        <w:t>alarming, especially</w:t>
      </w:r>
      <w:r>
        <w:rPr>
          <w:spacing w:val="-1"/>
          <w:vertAlign w:val="baseline"/>
        </w:rPr>
        <w:t> </w:t>
      </w:r>
      <w:r>
        <w:rPr>
          <w:vertAlign w:val="baseline"/>
        </w:rPr>
        <w:t>for LGBTQ youth in Massachusetts high schools who have a higher percentage of experiencing sexual assault compared to their non- LGBTQ peers</w:t>
      </w:r>
      <w:hyperlink w:history="true" w:anchor="_bookmark224">
        <w:r>
          <w:rPr>
            <w:vertAlign w:val="baseline"/>
          </w:rPr>
          <w:t>.</w:t>
        </w:r>
        <w:r>
          <w:rPr>
            <w:vertAlign w:val="superscript"/>
          </w:rPr>
          <w:t>31</w:t>
        </w:r>
      </w:hyperlink>
      <w:r>
        <w:rPr>
          <w:vertAlign w:val="baseline"/>
        </w:rPr>
        <w:t> Furthermore, one study showed that sexual minority (lesbian and bisexual women) individuals between the ages of 16-45 experience worse pregnancy outcomes, such as miscarriages, stillbirths,</w:t>
      </w:r>
      <w:r>
        <w:rPr>
          <w:spacing w:val="-8"/>
          <w:vertAlign w:val="baseline"/>
        </w:rPr>
        <w:t> </w:t>
      </w:r>
      <w:r>
        <w:rPr>
          <w:vertAlign w:val="baseline"/>
        </w:rPr>
        <w:t>low</w:t>
      </w:r>
      <w:r>
        <w:rPr>
          <w:spacing w:val="-8"/>
          <w:vertAlign w:val="baseline"/>
        </w:rPr>
        <w:t> </w:t>
      </w:r>
      <w:r>
        <w:rPr>
          <w:vertAlign w:val="baseline"/>
        </w:rPr>
        <w:t>birth</w:t>
      </w:r>
      <w:r>
        <w:rPr>
          <w:spacing w:val="-7"/>
          <w:vertAlign w:val="baseline"/>
        </w:rPr>
        <w:t> </w:t>
      </w:r>
      <w:r>
        <w:rPr>
          <w:vertAlign w:val="baseline"/>
        </w:rPr>
        <w:t>weights,</w:t>
      </w:r>
      <w:r>
        <w:rPr>
          <w:spacing w:val="-8"/>
          <w:vertAlign w:val="baseline"/>
        </w:rPr>
        <w:t> </w:t>
      </w:r>
      <w:r>
        <w:rPr>
          <w:vertAlign w:val="baseline"/>
        </w:rPr>
        <w:t>and</w:t>
      </w:r>
      <w:r>
        <w:rPr>
          <w:spacing w:val="-8"/>
          <w:vertAlign w:val="baseline"/>
        </w:rPr>
        <w:t> </w:t>
      </w:r>
      <w:r>
        <w:rPr>
          <w:vertAlign w:val="baseline"/>
        </w:rPr>
        <w:t>premature</w:t>
      </w:r>
      <w:r>
        <w:rPr>
          <w:spacing w:val="-8"/>
          <w:vertAlign w:val="baseline"/>
        </w:rPr>
        <w:t> </w:t>
      </w:r>
      <w:r>
        <w:rPr>
          <w:vertAlign w:val="baseline"/>
        </w:rPr>
        <w:t>births</w:t>
      </w:r>
      <w:r>
        <w:rPr>
          <w:spacing w:val="-7"/>
          <w:vertAlign w:val="baseline"/>
        </w:rPr>
        <w:t> </w:t>
      </w:r>
      <w:r>
        <w:rPr>
          <w:vertAlign w:val="baseline"/>
        </w:rPr>
        <w:t>compared</w:t>
      </w:r>
      <w:r>
        <w:rPr>
          <w:spacing w:val="-8"/>
          <w:vertAlign w:val="baseline"/>
        </w:rPr>
        <w:t> </w:t>
      </w:r>
      <w:r>
        <w:rPr>
          <w:spacing w:val="-5"/>
          <w:vertAlign w:val="baseline"/>
        </w:rPr>
        <w:t>to</w:t>
      </w:r>
    </w:p>
    <w:p>
      <w:pPr>
        <w:pStyle w:val="BodyText"/>
        <w:spacing w:line="276" w:lineRule="auto"/>
        <w:ind w:left="463" w:right="241" w:hanging="1"/>
        <w:jc w:val="both"/>
      </w:pPr>
      <w:r>
        <w:rPr/>
        <w:t>heterosexual patients. </w:t>
      </w:r>
      <w:hyperlink w:history="true" w:anchor="_bookmark225">
        <w:r>
          <w:rPr>
            <w:vertAlign w:val="superscript"/>
          </w:rPr>
          <w:t>32</w:t>
        </w:r>
      </w:hyperlink>
      <w:r>
        <w:rPr>
          <w:vertAlign w:val="baseline"/>
        </w:rPr>
        <w:t> At the intersection of race, ethnicity, and sexual identity, Black and Latina lesbian and</w:t>
      </w:r>
      <w:r>
        <w:rPr>
          <w:spacing w:val="-12"/>
          <w:vertAlign w:val="baseline"/>
        </w:rPr>
        <w:t> </w:t>
      </w:r>
      <w:r>
        <w:rPr>
          <w:vertAlign w:val="baseline"/>
        </w:rPr>
        <w:t>bisexual</w:t>
      </w:r>
      <w:r>
        <w:rPr>
          <w:spacing w:val="-9"/>
          <w:vertAlign w:val="baseline"/>
        </w:rPr>
        <w:t> </w:t>
      </w:r>
      <w:r>
        <w:rPr>
          <w:vertAlign w:val="baseline"/>
        </w:rPr>
        <w:t>women</w:t>
      </w:r>
      <w:r>
        <w:rPr>
          <w:spacing w:val="-10"/>
          <w:vertAlign w:val="baseline"/>
        </w:rPr>
        <w:t> </w:t>
      </w:r>
      <w:r>
        <w:rPr>
          <w:vertAlign w:val="baseline"/>
        </w:rPr>
        <w:t>have</w:t>
      </w:r>
      <w:r>
        <w:rPr>
          <w:spacing w:val="-10"/>
          <w:vertAlign w:val="baseline"/>
        </w:rPr>
        <w:t> </w:t>
      </w:r>
      <w:r>
        <w:rPr>
          <w:vertAlign w:val="baseline"/>
        </w:rPr>
        <w:t>an</w:t>
      </w:r>
      <w:r>
        <w:rPr>
          <w:spacing w:val="-12"/>
          <w:vertAlign w:val="baseline"/>
        </w:rPr>
        <w:t> </w:t>
      </w:r>
      <w:r>
        <w:rPr>
          <w:vertAlign w:val="baseline"/>
        </w:rPr>
        <w:t>additional</w:t>
      </w:r>
      <w:r>
        <w:rPr>
          <w:spacing w:val="-10"/>
          <w:vertAlign w:val="baseline"/>
        </w:rPr>
        <w:t> </w:t>
      </w:r>
      <w:r>
        <w:rPr>
          <w:vertAlign w:val="baseline"/>
        </w:rPr>
        <w:t>risk</w:t>
      </w:r>
      <w:r>
        <w:rPr>
          <w:spacing w:val="-12"/>
          <w:vertAlign w:val="baseline"/>
        </w:rPr>
        <w:t> </w:t>
      </w:r>
      <w:r>
        <w:rPr>
          <w:vertAlign w:val="baseline"/>
        </w:rPr>
        <w:t>for</w:t>
      </w:r>
      <w:r>
        <w:rPr>
          <w:spacing w:val="-11"/>
          <w:vertAlign w:val="baseline"/>
        </w:rPr>
        <w:t> </w:t>
      </w:r>
      <w:r>
        <w:rPr>
          <w:vertAlign w:val="baseline"/>
        </w:rPr>
        <w:t>adverse</w:t>
      </w:r>
      <w:r>
        <w:rPr>
          <w:spacing w:val="-12"/>
          <w:vertAlign w:val="baseline"/>
        </w:rPr>
        <w:t> </w:t>
      </w:r>
      <w:r>
        <w:rPr>
          <w:vertAlign w:val="baseline"/>
        </w:rPr>
        <w:t>birth</w:t>
      </w:r>
      <w:r>
        <w:rPr>
          <w:spacing w:val="-12"/>
          <w:vertAlign w:val="baseline"/>
        </w:rPr>
        <w:t> </w:t>
      </w:r>
      <w:r>
        <w:rPr>
          <w:vertAlign w:val="baseline"/>
        </w:rPr>
        <w:t>outcomes</w:t>
      </w:r>
      <w:hyperlink w:history="true" w:anchor="_bookmark226">
        <w:r>
          <w:rPr>
            <w:vertAlign w:val="baseline"/>
          </w:rPr>
          <w:t>.</w:t>
        </w:r>
        <w:r>
          <w:rPr>
            <w:vertAlign w:val="superscript"/>
          </w:rPr>
          <w:t>33</w:t>
        </w:r>
      </w:hyperlink>
      <w:r>
        <w:rPr>
          <w:spacing w:val="-11"/>
          <w:vertAlign w:val="baseline"/>
        </w:rPr>
        <w:t> </w:t>
      </w:r>
      <w:r>
        <w:rPr>
          <w:vertAlign w:val="baseline"/>
        </w:rPr>
        <w:t>Data</w:t>
      </w:r>
      <w:r>
        <w:rPr>
          <w:spacing w:val="-11"/>
          <w:vertAlign w:val="baseline"/>
        </w:rPr>
        <w:t> </w:t>
      </w:r>
      <w:r>
        <w:rPr>
          <w:vertAlign w:val="baseline"/>
        </w:rPr>
        <w:t>is</w:t>
      </w:r>
      <w:r>
        <w:rPr>
          <w:spacing w:val="-10"/>
          <w:vertAlign w:val="baseline"/>
        </w:rPr>
        <w:t> </w:t>
      </w:r>
      <w:r>
        <w:rPr>
          <w:vertAlign w:val="baseline"/>
        </w:rPr>
        <w:t>currently</w:t>
      </w:r>
      <w:r>
        <w:rPr>
          <w:spacing w:val="-10"/>
          <w:vertAlign w:val="baseline"/>
        </w:rPr>
        <w:t> </w:t>
      </w:r>
      <w:r>
        <w:rPr>
          <w:vertAlign w:val="baseline"/>
        </w:rPr>
        <w:t>limited</w:t>
      </w:r>
      <w:r>
        <w:rPr>
          <w:spacing w:val="-10"/>
          <w:vertAlign w:val="baseline"/>
        </w:rPr>
        <w:t> </w:t>
      </w:r>
      <w:r>
        <w:rPr>
          <w:vertAlign w:val="baseline"/>
        </w:rPr>
        <w:t>regarding the pregnancy outcomes of transgender birthing people.</w:t>
      </w:r>
    </w:p>
    <w:p>
      <w:pPr>
        <w:pStyle w:val="BodyText"/>
        <w:spacing w:line="276" w:lineRule="auto" w:before="240"/>
        <w:ind w:left="463" w:right="240"/>
        <w:jc w:val="both"/>
      </w:pPr>
      <w:r>
        <w:rPr/>
        <w:t>Transgender</w:t>
      </w:r>
      <w:r>
        <w:rPr>
          <w:spacing w:val="-4"/>
        </w:rPr>
        <w:t> </w:t>
      </w:r>
      <w:r>
        <w:rPr/>
        <w:t>men</w:t>
      </w:r>
      <w:r>
        <w:rPr>
          <w:spacing w:val="-5"/>
        </w:rPr>
        <w:t> </w:t>
      </w:r>
      <w:r>
        <w:rPr/>
        <w:t>and</w:t>
      </w:r>
      <w:r>
        <w:rPr>
          <w:spacing w:val="-4"/>
        </w:rPr>
        <w:t> </w:t>
      </w:r>
      <w:r>
        <w:rPr/>
        <w:t>nonbinary</w:t>
      </w:r>
      <w:r>
        <w:rPr>
          <w:spacing w:val="-5"/>
        </w:rPr>
        <w:t> </w:t>
      </w:r>
      <w:r>
        <w:rPr/>
        <w:t>individuals</w:t>
      </w:r>
      <w:r>
        <w:rPr>
          <w:spacing w:val="-5"/>
        </w:rPr>
        <w:t> </w:t>
      </w:r>
      <w:r>
        <w:rPr/>
        <w:t>who</w:t>
      </w:r>
      <w:r>
        <w:rPr>
          <w:spacing w:val="-5"/>
        </w:rPr>
        <w:t> </w:t>
      </w:r>
      <w:r>
        <w:rPr/>
        <w:t>have</w:t>
      </w:r>
      <w:r>
        <w:rPr>
          <w:spacing w:val="-5"/>
        </w:rPr>
        <w:t> </w:t>
      </w:r>
      <w:r>
        <w:rPr/>
        <w:t>transitioned</w:t>
      </w:r>
      <w:r>
        <w:rPr>
          <w:spacing w:val="-5"/>
        </w:rPr>
        <w:t> </w:t>
      </w:r>
      <w:r>
        <w:rPr/>
        <w:t>hormonally</w:t>
      </w:r>
      <w:r>
        <w:rPr>
          <w:spacing w:val="-4"/>
        </w:rPr>
        <w:t> </w:t>
      </w:r>
      <w:r>
        <w:rPr/>
        <w:t>and</w:t>
      </w:r>
      <w:r>
        <w:rPr>
          <w:spacing w:val="-5"/>
        </w:rPr>
        <w:t> </w:t>
      </w:r>
      <w:r>
        <w:rPr/>
        <w:t>are</w:t>
      </w:r>
      <w:r>
        <w:rPr>
          <w:spacing w:val="-5"/>
        </w:rPr>
        <w:t> </w:t>
      </w:r>
      <w:r>
        <w:rPr/>
        <w:t>taking</w:t>
      </w:r>
      <w:r>
        <w:rPr>
          <w:spacing w:val="-5"/>
        </w:rPr>
        <w:t> </w:t>
      </w:r>
      <w:r>
        <w:rPr/>
        <w:t>testosterone but</w:t>
      </w:r>
      <w:r>
        <w:rPr>
          <w:spacing w:val="-8"/>
        </w:rPr>
        <w:t> </w:t>
      </w:r>
      <w:r>
        <w:rPr/>
        <w:t>retain</w:t>
      </w:r>
      <w:r>
        <w:rPr>
          <w:spacing w:val="-8"/>
        </w:rPr>
        <w:t> </w:t>
      </w:r>
      <w:r>
        <w:rPr/>
        <w:t>their</w:t>
      </w:r>
      <w:r>
        <w:rPr>
          <w:spacing w:val="-9"/>
        </w:rPr>
        <w:t> </w:t>
      </w:r>
      <w:r>
        <w:rPr/>
        <w:t>female</w:t>
      </w:r>
      <w:r>
        <w:rPr>
          <w:spacing w:val="-8"/>
        </w:rPr>
        <w:t> </w:t>
      </w:r>
      <w:r>
        <w:rPr/>
        <w:t>reproductive</w:t>
      </w:r>
      <w:r>
        <w:rPr>
          <w:spacing w:val="-8"/>
        </w:rPr>
        <w:t> </w:t>
      </w:r>
      <w:r>
        <w:rPr/>
        <w:t>organs</w:t>
      </w:r>
      <w:r>
        <w:rPr>
          <w:spacing w:val="-8"/>
        </w:rPr>
        <w:t> </w:t>
      </w:r>
      <w:r>
        <w:rPr/>
        <w:t>have</w:t>
      </w:r>
      <w:r>
        <w:rPr>
          <w:spacing w:val="-8"/>
        </w:rPr>
        <w:t> </w:t>
      </w:r>
      <w:r>
        <w:rPr/>
        <w:t>the</w:t>
      </w:r>
      <w:r>
        <w:rPr>
          <w:spacing w:val="-8"/>
        </w:rPr>
        <w:t> </w:t>
      </w:r>
      <w:r>
        <w:rPr/>
        <w:t>potential</w:t>
      </w:r>
      <w:r>
        <w:rPr>
          <w:spacing w:val="-8"/>
        </w:rPr>
        <w:t> </w:t>
      </w:r>
      <w:r>
        <w:rPr/>
        <w:t>to</w:t>
      </w:r>
      <w:r>
        <w:rPr>
          <w:spacing w:val="-8"/>
        </w:rPr>
        <w:t> </w:t>
      </w:r>
      <w:r>
        <w:rPr/>
        <w:t>become</w:t>
      </w:r>
      <w:r>
        <w:rPr>
          <w:spacing w:val="-8"/>
        </w:rPr>
        <w:t> </w:t>
      </w:r>
      <w:r>
        <w:rPr/>
        <w:t>pregnant.</w:t>
      </w:r>
      <w:r>
        <w:rPr>
          <w:spacing w:val="-8"/>
        </w:rPr>
        <w:t> </w:t>
      </w:r>
      <w:r>
        <w:rPr/>
        <w:t>Since</w:t>
      </w:r>
      <w:r>
        <w:rPr>
          <w:spacing w:val="-8"/>
        </w:rPr>
        <w:t> </w:t>
      </w:r>
      <w:r>
        <w:rPr/>
        <w:t>the</w:t>
      </w:r>
      <w:r>
        <w:rPr>
          <w:spacing w:val="-6"/>
        </w:rPr>
        <w:t> </w:t>
      </w:r>
      <w:r>
        <w:rPr/>
        <w:t>United</w:t>
      </w:r>
      <w:r>
        <w:rPr>
          <w:spacing w:val="-8"/>
        </w:rPr>
        <w:t> </w:t>
      </w:r>
      <w:r>
        <w:rPr/>
        <w:t>States has been tracking pregnant people as female, there is a lack of data on how many transgender men and nonbinary people give birth each year. A report on pregnancy in transgender men found that pregnant transmasculine individuals who were previously on testosterone therapy preferred to have elective cesarean as the mode of delivery to lessen dysphoria</w:t>
      </w:r>
      <w:hyperlink w:history="true" w:anchor="_bookmark227">
        <w:r>
          <w:rPr/>
          <w:t>.</w:t>
        </w:r>
        <w:r>
          <w:rPr>
            <w:vertAlign w:val="superscript"/>
          </w:rPr>
          <w:t>34</w:t>
        </w:r>
      </w:hyperlink>
      <w:r>
        <w:rPr>
          <w:vertAlign w:val="baseline"/>
        </w:rPr>
        <w:t>A Rutgers University study shows that pregnant transgender</w:t>
      </w:r>
      <w:r>
        <w:rPr>
          <w:spacing w:val="-8"/>
          <w:vertAlign w:val="baseline"/>
        </w:rPr>
        <w:t> </w:t>
      </w:r>
      <w:r>
        <w:rPr>
          <w:vertAlign w:val="baseline"/>
        </w:rPr>
        <w:t>men</w:t>
      </w:r>
      <w:r>
        <w:rPr>
          <w:spacing w:val="-8"/>
          <w:vertAlign w:val="baseline"/>
        </w:rPr>
        <w:t> </w:t>
      </w:r>
      <w:r>
        <w:rPr>
          <w:vertAlign w:val="baseline"/>
        </w:rPr>
        <w:t>are</w:t>
      </w:r>
      <w:r>
        <w:rPr>
          <w:spacing w:val="-8"/>
          <w:vertAlign w:val="baseline"/>
        </w:rPr>
        <w:t> </w:t>
      </w:r>
      <w:r>
        <w:rPr>
          <w:vertAlign w:val="baseline"/>
        </w:rPr>
        <w:t>at</w:t>
      </w:r>
      <w:r>
        <w:rPr>
          <w:spacing w:val="-8"/>
          <w:vertAlign w:val="baseline"/>
        </w:rPr>
        <w:t> </w:t>
      </w:r>
      <w:r>
        <w:rPr>
          <w:vertAlign w:val="baseline"/>
        </w:rPr>
        <w:t>risk</w:t>
      </w:r>
      <w:r>
        <w:rPr>
          <w:spacing w:val="-8"/>
          <w:vertAlign w:val="baseline"/>
        </w:rPr>
        <w:t> </w:t>
      </w:r>
      <w:r>
        <w:rPr>
          <w:vertAlign w:val="baseline"/>
        </w:rPr>
        <w:t>for</w:t>
      </w:r>
      <w:r>
        <w:rPr>
          <w:spacing w:val="-8"/>
          <w:vertAlign w:val="baseline"/>
        </w:rPr>
        <w:t> </w:t>
      </w:r>
      <w:r>
        <w:rPr>
          <w:vertAlign w:val="baseline"/>
        </w:rPr>
        <w:t>depression</w:t>
      </w:r>
      <w:hyperlink w:history="true" w:anchor="_bookmark228">
        <w:r>
          <w:rPr>
            <w:vertAlign w:val="baseline"/>
          </w:rPr>
          <w:t>.</w:t>
        </w:r>
        <w:r>
          <w:rPr>
            <w:vertAlign w:val="superscript"/>
          </w:rPr>
          <w:t>35</w:t>
        </w:r>
      </w:hyperlink>
      <w:r>
        <w:rPr>
          <w:spacing w:val="-8"/>
          <w:vertAlign w:val="baseline"/>
        </w:rPr>
        <w:t> </w:t>
      </w:r>
      <w:r>
        <w:rPr>
          <w:vertAlign w:val="baseline"/>
        </w:rPr>
        <w:t>This</w:t>
      </w:r>
      <w:r>
        <w:rPr>
          <w:spacing w:val="-7"/>
          <w:vertAlign w:val="baseline"/>
        </w:rPr>
        <w:t> </w:t>
      </w:r>
      <w:r>
        <w:rPr>
          <w:vertAlign w:val="baseline"/>
        </w:rPr>
        <w:t>is</w:t>
      </w:r>
      <w:r>
        <w:rPr>
          <w:spacing w:val="-7"/>
          <w:vertAlign w:val="baseline"/>
        </w:rPr>
        <w:t> </w:t>
      </w:r>
      <w:r>
        <w:rPr>
          <w:vertAlign w:val="baseline"/>
        </w:rPr>
        <w:t>alarming</w:t>
      </w:r>
      <w:r>
        <w:rPr>
          <w:spacing w:val="-8"/>
          <w:vertAlign w:val="baseline"/>
        </w:rPr>
        <w:t> </w:t>
      </w:r>
      <w:r>
        <w:rPr>
          <w:vertAlign w:val="baseline"/>
        </w:rPr>
        <w:t>since</w:t>
      </w:r>
      <w:r>
        <w:rPr>
          <w:spacing w:val="-7"/>
          <w:vertAlign w:val="baseline"/>
        </w:rPr>
        <w:t> </w:t>
      </w:r>
      <w:r>
        <w:rPr>
          <w:vertAlign w:val="baseline"/>
        </w:rPr>
        <w:t>transgender</w:t>
      </w:r>
      <w:r>
        <w:rPr>
          <w:spacing w:val="-8"/>
          <w:vertAlign w:val="baseline"/>
        </w:rPr>
        <w:t> </w:t>
      </w:r>
      <w:r>
        <w:rPr>
          <w:vertAlign w:val="baseline"/>
        </w:rPr>
        <w:t>individuals</w:t>
      </w:r>
      <w:r>
        <w:rPr>
          <w:spacing w:val="-7"/>
          <w:vertAlign w:val="baseline"/>
        </w:rPr>
        <w:t> </w:t>
      </w:r>
      <w:r>
        <w:rPr>
          <w:vertAlign w:val="baseline"/>
        </w:rPr>
        <w:t>are</w:t>
      </w:r>
      <w:r>
        <w:rPr>
          <w:spacing w:val="-8"/>
          <w:vertAlign w:val="baseline"/>
        </w:rPr>
        <w:t> </w:t>
      </w:r>
      <w:r>
        <w:rPr>
          <w:vertAlign w:val="baseline"/>
        </w:rPr>
        <w:t>at</w:t>
      </w:r>
      <w:r>
        <w:rPr>
          <w:spacing w:val="-8"/>
          <w:vertAlign w:val="baseline"/>
        </w:rPr>
        <w:t> </w:t>
      </w:r>
      <w:r>
        <w:rPr>
          <w:vertAlign w:val="baseline"/>
        </w:rPr>
        <w:t>higher</w:t>
      </w:r>
      <w:r>
        <w:rPr>
          <w:spacing w:val="-8"/>
          <w:vertAlign w:val="baseline"/>
        </w:rPr>
        <w:t> </w:t>
      </w:r>
      <w:r>
        <w:rPr>
          <w:vertAlign w:val="baseline"/>
        </w:rPr>
        <w:t>risk for suicide compared to the general population in the United States</w:t>
      </w:r>
      <w:hyperlink w:history="true" w:anchor="_bookmark229">
        <w:r>
          <w:rPr>
            <w:vertAlign w:val="baseline"/>
          </w:rPr>
          <w:t>.</w:t>
        </w:r>
        <w:r>
          <w:rPr>
            <w:vertAlign w:val="superscript"/>
          </w:rPr>
          <w:t>36</w:t>
        </w:r>
      </w:hyperlink>
      <w:r>
        <w:rPr>
          <w:vertAlign w:val="baseline"/>
        </w:rPr>
        <w:t> Just as a cisgender woman is at risk for postpartum depression, transmasculine patients who give birth are also at risk for postpartum </w:t>
      </w:r>
      <w:r>
        <w:rPr>
          <w:spacing w:val="-2"/>
          <w:vertAlign w:val="baseline"/>
        </w:rPr>
        <w:t>depression.</w:t>
      </w:r>
    </w:p>
    <w:p>
      <w:pPr>
        <w:pStyle w:val="BodyText"/>
        <w:spacing w:line="276" w:lineRule="auto" w:before="240"/>
        <w:ind w:left="463" w:right="241"/>
        <w:jc w:val="both"/>
      </w:pPr>
      <w:r>
        <w:rPr/>
        <w:t>A study that interviewed 22 healthcare providers demonstrated that they typically advised transgender patients</w:t>
      </w:r>
      <w:r>
        <w:rPr>
          <w:spacing w:val="-12"/>
        </w:rPr>
        <w:t> </w:t>
      </w:r>
      <w:r>
        <w:rPr/>
        <w:t>to</w:t>
      </w:r>
      <w:r>
        <w:rPr>
          <w:spacing w:val="-11"/>
        </w:rPr>
        <w:t> </w:t>
      </w:r>
      <w:r>
        <w:rPr/>
        <w:t>discontinue</w:t>
      </w:r>
      <w:r>
        <w:rPr>
          <w:spacing w:val="-11"/>
        </w:rPr>
        <w:t> </w:t>
      </w:r>
      <w:r>
        <w:rPr/>
        <w:t>testosterone</w:t>
      </w:r>
      <w:r>
        <w:rPr>
          <w:spacing w:val="-11"/>
        </w:rPr>
        <w:t> </w:t>
      </w:r>
      <w:r>
        <w:rPr/>
        <w:t>therapy</w:t>
      </w:r>
      <w:r>
        <w:rPr>
          <w:spacing w:val="-12"/>
        </w:rPr>
        <w:t> </w:t>
      </w:r>
      <w:r>
        <w:rPr/>
        <w:t>either</w:t>
      </w:r>
      <w:r>
        <w:rPr>
          <w:spacing w:val="-11"/>
        </w:rPr>
        <w:t> </w:t>
      </w:r>
      <w:r>
        <w:rPr/>
        <w:t>six</w:t>
      </w:r>
      <w:r>
        <w:rPr>
          <w:spacing w:val="-11"/>
        </w:rPr>
        <w:t> </w:t>
      </w:r>
      <w:r>
        <w:rPr/>
        <w:t>months</w:t>
      </w:r>
      <w:r>
        <w:rPr>
          <w:spacing w:val="-11"/>
        </w:rPr>
        <w:t> </w:t>
      </w:r>
      <w:r>
        <w:rPr/>
        <w:t>before</w:t>
      </w:r>
      <w:r>
        <w:rPr>
          <w:spacing w:val="-13"/>
        </w:rPr>
        <w:t> </w:t>
      </w:r>
      <w:r>
        <w:rPr/>
        <w:t>trying</w:t>
      </w:r>
      <w:r>
        <w:rPr>
          <w:spacing w:val="-10"/>
        </w:rPr>
        <w:t> </w:t>
      </w:r>
      <w:r>
        <w:rPr/>
        <w:t>to</w:t>
      </w:r>
      <w:r>
        <w:rPr>
          <w:spacing w:val="-11"/>
        </w:rPr>
        <w:t> </w:t>
      </w:r>
      <w:r>
        <w:rPr/>
        <w:t>get</w:t>
      </w:r>
      <w:r>
        <w:rPr>
          <w:spacing w:val="-12"/>
        </w:rPr>
        <w:t> </w:t>
      </w:r>
      <w:r>
        <w:rPr/>
        <w:t>pregnant</w:t>
      </w:r>
      <w:r>
        <w:rPr>
          <w:spacing w:val="-10"/>
        </w:rPr>
        <w:t> </w:t>
      </w:r>
      <w:r>
        <w:rPr/>
        <w:t>or</w:t>
      </w:r>
      <w:r>
        <w:rPr>
          <w:spacing w:val="-12"/>
        </w:rPr>
        <w:t> </w:t>
      </w:r>
      <w:r>
        <w:rPr/>
        <w:t>immediately after</w:t>
      </w:r>
      <w:r>
        <w:rPr>
          <w:spacing w:val="-10"/>
        </w:rPr>
        <w:t> </w:t>
      </w:r>
      <w:r>
        <w:rPr/>
        <w:t>finding</w:t>
      </w:r>
      <w:r>
        <w:rPr>
          <w:spacing w:val="-8"/>
        </w:rPr>
        <w:t> </w:t>
      </w:r>
      <w:r>
        <w:rPr/>
        <w:t>out</w:t>
      </w:r>
      <w:r>
        <w:rPr>
          <w:spacing w:val="-10"/>
        </w:rPr>
        <w:t> </w:t>
      </w:r>
      <w:r>
        <w:rPr/>
        <w:t>about</w:t>
      </w:r>
      <w:r>
        <w:rPr>
          <w:spacing w:val="-9"/>
        </w:rPr>
        <w:t> </w:t>
      </w:r>
      <w:r>
        <w:rPr/>
        <w:t>the</w:t>
      </w:r>
      <w:r>
        <w:rPr>
          <w:spacing w:val="-9"/>
        </w:rPr>
        <w:t> </w:t>
      </w:r>
      <w:r>
        <w:rPr/>
        <w:t>pregnancy;</w:t>
      </w:r>
      <w:r>
        <w:rPr>
          <w:spacing w:val="-9"/>
        </w:rPr>
        <w:t> </w:t>
      </w:r>
      <w:r>
        <w:rPr/>
        <w:t>they</w:t>
      </w:r>
      <w:r>
        <w:rPr>
          <w:spacing w:val="-10"/>
        </w:rPr>
        <w:t> </w:t>
      </w:r>
      <w:r>
        <w:rPr/>
        <w:t>also</w:t>
      </w:r>
      <w:r>
        <w:rPr>
          <w:spacing w:val="-9"/>
        </w:rPr>
        <w:t> </w:t>
      </w:r>
      <w:r>
        <w:rPr/>
        <w:t>advised</w:t>
      </w:r>
      <w:r>
        <w:rPr>
          <w:spacing w:val="-10"/>
        </w:rPr>
        <w:t> </w:t>
      </w:r>
      <w:r>
        <w:rPr/>
        <w:t>withholding</w:t>
      </w:r>
      <w:r>
        <w:rPr>
          <w:spacing w:val="-9"/>
        </w:rPr>
        <w:t> </w:t>
      </w:r>
      <w:r>
        <w:rPr/>
        <w:t>hormone</w:t>
      </w:r>
      <w:r>
        <w:rPr>
          <w:spacing w:val="-9"/>
        </w:rPr>
        <w:t> </w:t>
      </w:r>
      <w:r>
        <w:rPr/>
        <w:t>therapy</w:t>
      </w:r>
      <w:r>
        <w:rPr>
          <w:spacing w:val="-9"/>
        </w:rPr>
        <w:t> </w:t>
      </w:r>
      <w:r>
        <w:rPr/>
        <w:t>during</w:t>
      </w:r>
      <w:r>
        <w:rPr>
          <w:spacing w:val="-10"/>
        </w:rPr>
        <w:t> </w:t>
      </w:r>
      <w:r>
        <w:rPr/>
        <w:t>chestfeeding. These</w:t>
      </w:r>
      <w:r>
        <w:rPr>
          <w:spacing w:val="-10"/>
        </w:rPr>
        <w:t> </w:t>
      </w:r>
      <w:r>
        <w:rPr/>
        <w:t>guidelines</w:t>
      </w:r>
      <w:r>
        <w:rPr>
          <w:spacing w:val="-11"/>
        </w:rPr>
        <w:t> </w:t>
      </w:r>
      <w:r>
        <w:rPr/>
        <w:t>are</w:t>
      </w:r>
      <w:r>
        <w:rPr>
          <w:spacing w:val="-12"/>
        </w:rPr>
        <w:t> </w:t>
      </w:r>
      <w:r>
        <w:rPr/>
        <w:t>advised</w:t>
      </w:r>
      <w:r>
        <w:rPr>
          <w:spacing w:val="-11"/>
        </w:rPr>
        <w:t> </w:t>
      </w:r>
      <w:r>
        <w:rPr/>
        <w:t>to</w:t>
      </w:r>
      <w:r>
        <w:rPr>
          <w:spacing w:val="-11"/>
        </w:rPr>
        <w:t> </w:t>
      </w:r>
      <w:r>
        <w:rPr/>
        <w:t>pregnant</w:t>
      </w:r>
      <w:r>
        <w:rPr>
          <w:spacing w:val="-11"/>
        </w:rPr>
        <w:t> </w:t>
      </w:r>
      <w:r>
        <w:rPr/>
        <w:t>transmen</w:t>
      </w:r>
      <w:r>
        <w:rPr>
          <w:spacing w:val="-9"/>
        </w:rPr>
        <w:t> </w:t>
      </w:r>
      <w:r>
        <w:rPr/>
        <w:t>and</w:t>
      </w:r>
      <w:r>
        <w:rPr>
          <w:spacing w:val="-12"/>
        </w:rPr>
        <w:t> </w:t>
      </w:r>
      <w:r>
        <w:rPr/>
        <w:t>nonbinary</w:t>
      </w:r>
      <w:r>
        <w:rPr>
          <w:spacing w:val="-11"/>
        </w:rPr>
        <w:t> </w:t>
      </w:r>
      <w:r>
        <w:rPr/>
        <w:t>patients</w:t>
      </w:r>
      <w:r>
        <w:rPr>
          <w:spacing w:val="-11"/>
        </w:rPr>
        <w:t> </w:t>
      </w:r>
      <w:r>
        <w:rPr/>
        <w:t>out</w:t>
      </w:r>
      <w:r>
        <w:rPr>
          <w:spacing w:val="-11"/>
        </w:rPr>
        <w:t> </w:t>
      </w:r>
      <w:r>
        <w:rPr/>
        <w:t>of</w:t>
      </w:r>
      <w:r>
        <w:rPr>
          <w:spacing w:val="-11"/>
        </w:rPr>
        <w:t> </w:t>
      </w:r>
      <w:r>
        <w:rPr/>
        <w:t>concern</w:t>
      </w:r>
      <w:r>
        <w:rPr>
          <w:spacing w:val="-10"/>
        </w:rPr>
        <w:t> </w:t>
      </w:r>
      <w:r>
        <w:rPr/>
        <w:t>that</w:t>
      </w:r>
      <w:r>
        <w:rPr>
          <w:spacing w:val="-12"/>
        </w:rPr>
        <w:t> </w:t>
      </w:r>
      <w:r>
        <w:rPr/>
        <w:t>testosterone will cause excess androgen exposure to the fetus. The same study interviewed 70 transgender and nonbinary people who were pregnant or were intending to be pregnant; they reported that they felt like they had to choose between their mental health or the well-being of their child when making decisions about pausing hormone therapy during pregnancy. There is inadequate empirical evidence guiding the practice of pausing testosterone therapy for pregnant transmen and gender-diverse patients. Most of the existing</w:t>
      </w:r>
      <w:r>
        <w:rPr>
          <w:spacing w:val="25"/>
        </w:rPr>
        <w:t> </w:t>
      </w:r>
      <w:r>
        <w:rPr/>
        <w:t>medical</w:t>
      </w:r>
      <w:r>
        <w:rPr>
          <w:spacing w:val="24"/>
        </w:rPr>
        <w:t> </w:t>
      </w:r>
      <w:r>
        <w:rPr/>
        <w:t>research</w:t>
      </w:r>
      <w:r>
        <w:rPr>
          <w:spacing w:val="25"/>
        </w:rPr>
        <w:t> </w:t>
      </w:r>
      <w:r>
        <w:rPr/>
        <w:t>on</w:t>
      </w:r>
      <w:r>
        <w:rPr>
          <w:spacing w:val="24"/>
        </w:rPr>
        <w:t> </w:t>
      </w:r>
      <w:r>
        <w:rPr/>
        <w:t>the</w:t>
      </w:r>
      <w:r>
        <w:rPr>
          <w:spacing w:val="24"/>
        </w:rPr>
        <w:t> </w:t>
      </w:r>
      <w:r>
        <w:rPr/>
        <w:t>effects</w:t>
      </w:r>
      <w:r>
        <w:rPr>
          <w:spacing w:val="24"/>
        </w:rPr>
        <w:t> </w:t>
      </w:r>
      <w:r>
        <w:rPr/>
        <w:t>of</w:t>
      </w:r>
      <w:r>
        <w:rPr>
          <w:spacing w:val="24"/>
        </w:rPr>
        <w:t> </w:t>
      </w:r>
      <w:r>
        <w:rPr/>
        <w:t>excess</w:t>
      </w:r>
      <w:r>
        <w:rPr>
          <w:spacing w:val="24"/>
        </w:rPr>
        <w:t> </w:t>
      </w:r>
      <w:r>
        <w:rPr/>
        <w:t>androgen</w:t>
      </w:r>
      <w:r>
        <w:rPr>
          <w:spacing w:val="24"/>
        </w:rPr>
        <w:t> </w:t>
      </w:r>
      <w:r>
        <w:rPr/>
        <w:t>exposure</w:t>
      </w:r>
      <w:r>
        <w:rPr>
          <w:spacing w:val="24"/>
        </w:rPr>
        <w:t> </w:t>
      </w:r>
      <w:r>
        <w:rPr/>
        <w:t>to</w:t>
      </w:r>
      <w:r>
        <w:rPr>
          <w:spacing w:val="25"/>
        </w:rPr>
        <w:t> </w:t>
      </w:r>
      <w:r>
        <w:rPr/>
        <w:t>the</w:t>
      </w:r>
      <w:r>
        <w:rPr>
          <w:spacing w:val="25"/>
        </w:rPr>
        <w:t> </w:t>
      </w:r>
      <w:r>
        <w:rPr/>
        <w:t>fetus</w:t>
      </w:r>
      <w:r>
        <w:rPr>
          <w:spacing w:val="24"/>
        </w:rPr>
        <w:t> </w:t>
      </w:r>
      <w:r>
        <w:rPr/>
        <w:t>focuses</w:t>
      </w:r>
      <w:r>
        <w:rPr>
          <w:spacing w:val="26"/>
        </w:rPr>
        <w:t> </w:t>
      </w:r>
      <w:r>
        <w:rPr/>
        <w:t>on</w:t>
      </w:r>
      <w:r>
        <w:rPr>
          <w:spacing w:val="24"/>
        </w:rPr>
        <w:t> </w:t>
      </w:r>
      <w:r>
        <w:rPr/>
        <w:t>pregnant</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1"/>
        <w:jc w:val="both"/>
      </w:pPr>
      <w:r>
        <w:rPr/>
        <w:t>people with polycystic ovary syndrome whose testosterone levels fall between those of cisgender women and</w:t>
      </w:r>
      <w:r>
        <w:rPr>
          <w:spacing w:val="-1"/>
        </w:rPr>
        <w:t> </w:t>
      </w:r>
      <w:r>
        <w:rPr/>
        <w:t>cisgender men</w:t>
      </w:r>
      <w:hyperlink w:history="true" w:anchor="_bookmark230">
        <w:r>
          <w:rPr/>
          <w:t>.</w:t>
        </w:r>
        <w:r>
          <w:rPr>
            <w:vertAlign w:val="superscript"/>
          </w:rPr>
          <w:t>37</w:t>
        </w:r>
      </w:hyperlink>
      <w:r>
        <w:rPr>
          <w:spacing w:val="-1"/>
          <w:vertAlign w:val="baseline"/>
        </w:rPr>
        <w:t> </w:t>
      </w:r>
      <w:r>
        <w:rPr>
          <w:vertAlign w:val="baseline"/>
        </w:rPr>
        <w:t>More</w:t>
      </w:r>
      <w:r>
        <w:rPr>
          <w:spacing w:val="-1"/>
          <w:vertAlign w:val="baseline"/>
        </w:rPr>
        <w:t> </w:t>
      </w:r>
      <w:r>
        <w:rPr>
          <w:vertAlign w:val="baseline"/>
        </w:rPr>
        <w:t>research</w:t>
      </w:r>
      <w:r>
        <w:rPr>
          <w:spacing w:val="-1"/>
          <w:vertAlign w:val="baseline"/>
        </w:rPr>
        <w:t> </w:t>
      </w:r>
      <w:r>
        <w:rPr>
          <w:vertAlign w:val="baseline"/>
        </w:rPr>
        <w:t>on various dosages of testosterone</w:t>
      </w:r>
      <w:r>
        <w:rPr>
          <w:spacing w:val="-1"/>
          <w:vertAlign w:val="baseline"/>
        </w:rPr>
        <w:t> </w:t>
      </w:r>
      <w:r>
        <w:rPr>
          <w:vertAlign w:val="baseline"/>
        </w:rPr>
        <w:t>may affect</w:t>
      </w:r>
      <w:r>
        <w:rPr>
          <w:spacing w:val="-1"/>
          <w:vertAlign w:val="baseline"/>
        </w:rPr>
        <w:t> </w:t>
      </w:r>
      <w:r>
        <w:rPr>
          <w:vertAlign w:val="baseline"/>
        </w:rPr>
        <w:t>all</w:t>
      </w:r>
      <w:r>
        <w:rPr>
          <w:spacing w:val="-1"/>
          <w:vertAlign w:val="baseline"/>
        </w:rPr>
        <w:t> </w:t>
      </w:r>
      <w:r>
        <w:rPr>
          <w:vertAlign w:val="baseline"/>
        </w:rPr>
        <w:t>stages of pregnancy and</w:t>
      </w:r>
      <w:r>
        <w:rPr>
          <w:spacing w:val="-5"/>
          <w:vertAlign w:val="baseline"/>
        </w:rPr>
        <w:t> </w:t>
      </w:r>
      <w:r>
        <w:rPr>
          <w:vertAlign w:val="baseline"/>
        </w:rPr>
        <w:t>chestfeeding</w:t>
      </w:r>
      <w:r>
        <w:rPr>
          <w:spacing w:val="-5"/>
          <w:vertAlign w:val="baseline"/>
        </w:rPr>
        <w:t> </w:t>
      </w:r>
      <w:r>
        <w:rPr>
          <w:vertAlign w:val="baseline"/>
        </w:rPr>
        <w:t>and</w:t>
      </w:r>
      <w:r>
        <w:rPr>
          <w:spacing w:val="-4"/>
          <w:vertAlign w:val="baseline"/>
        </w:rPr>
        <w:t> </w:t>
      </w:r>
      <w:r>
        <w:rPr>
          <w:vertAlign w:val="baseline"/>
        </w:rPr>
        <w:t>is</w:t>
      </w:r>
      <w:r>
        <w:rPr>
          <w:spacing w:val="-5"/>
          <w:vertAlign w:val="baseline"/>
        </w:rPr>
        <w:t> </w:t>
      </w:r>
      <w:r>
        <w:rPr>
          <w:vertAlign w:val="baseline"/>
        </w:rPr>
        <w:t>needed</w:t>
      </w:r>
      <w:r>
        <w:rPr>
          <w:spacing w:val="-5"/>
          <w:vertAlign w:val="baseline"/>
        </w:rPr>
        <w:t> </w:t>
      </w:r>
      <w:r>
        <w:rPr>
          <w:vertAlign w:val="baseline"/>
        </w:rPr>
        <w:t>to</w:t>
      </w:r>
      <w:r>
        <w:rPr>
          <w:spacing w:val="-5"/>
          <w:vertAlign w:val="baseline"/>
        </w:rPr>
        <w:t> </w:t>
      </w:r>
      <w:r>
        <w:rPr>
          <w:vertAlign w:val="baseline"/>
        </w:rPr>
        <w:t>further</w:t>
      </w:r>
      <w:r>
        <w:rPr>
          <w:spacing w:val="-5"/>
          <w:vertAlign w:val="baseline"/>
        </w:rPr>
        <w:t> </w:t>
      </w:r>
      <w:r>
        <w:rPr>
          <w:vertAlign w:val="baseline"/>
        </w:rPr>
        <w:t>expand</w:t>
      </w:r>
      <w:r>
        <w:rPr>
          <w:spacing w:val="-5"/>
          <w:vertAlign w:val="baseline"/>
        </w:rPr>
        <w:t> </w:t>
      </w:r>
      <w:r>
        <w:rPr>
          <w:vertAlign w:val="baseline"/>
        </w:rPr>
        <w:t>better</w:t>
      </w:r>
      <w:r>
        <w:rPr>
          <w:spacing w:val="-5"/>
          <w:vertAlign w:val="baseline"/>
        </w:rPr>
        <w:t> </w:t>
      </w:r>
      <w:r>
        <w:rPr>
          <w:vertAlign w:val="baseline"/>
        </w:rPr>
        <w:t>pregnancy</w:t>
      </w:r>
      <w:r>
        <w:rPr>
          <w:spacing w:val="-5"/>
          <w:vertAlign w:val="baseline"/>
        </w:rPr>
        <w:t> </w:t>
      </w:r>
      <w:r>
        <w:rPr>
          <w:vertAlign w:val="baseline"/>
        </w:rPr>
        <w:t>and</w:t>
      </w:r>
      <w:r>
        <w:rPr>
          <w:spacing w:val="-5"/>
          <w:vertAlign w:val="baseline"/>
        </w:rPr>
        <w:t> </w:t>
      </w:r>
      <w:r>
        <w:rPr>
          <w:vertAlign w:val="baseline"/>
        </w:rPr>
        <w:t>birthing</w:t>
      </w:r>
      <w:r>
        <w:rPr>
          <w:spacing w:val="-5"/>
          <w:vertAlign w:val="baseline"/>
        </w:rPr>
        <w:t> </w:t>
      </w:r>
      <w:r>
        <w:rPr>
          <w:vertAlign w:val="baseline"/>
        </w:rPr>
        <w:t>outcomes</w:t>
      </w:r>
      <w:r>
        <w:rPr>
          <w:spacing w:val="-5"/>
          <w:vertAlign w:val="baseline"/>
        </w:rPr>
        <w:t> </w:t>
      </w:r>
      <w:r>
        <w:rPr>
          <w:vertAlign w:val="baseline"/>
        </w:rPr>
        <w:t>for</w:t>
      </w:r>
      <w:r>
        <w:rPr>
          <w:spacing w:val="-5"/>
          <w:vertAlign w:val="baseline"/>
        </w:rPr>
        <w:t> </w:t>
      </w:r>
      <w:r>
        <w:rPr>
          <w:vertAlign w:val="baseline"/>
        </w:rPr>
        <w:t>transgender and</w:t>
      </w:r>
      <w:r>
        <w:rPr>
          <w:spacing w:val="40"/>
          <w:vertAlign w:val="baseline"/>
        </w:rPr>
        <w:t> </w:t>
      </w:r>
      <w:r>
        <w:rPr>
          <w:vertAlign w:val="baseline"/>
        </w:rPr>
        <w:t>nonbinary</w:t>
      </w:r>
      <w:r>
        <w:rPr>
          <w:spacing w:val="40"/>
          <w:vertAlign w:val="baseline"/>
        </w:rPr>
        <w:t> </w:t>
      </w:r>
      <w:r>
        <w:rPr>
          <w:vertAlign w:val="baseline"/>
        </w:rPr>
        <w:t>birthing</w:t>
      </w:r>
      <w:r>
        <w:rPr>
          <w:spacing w:val="40"/>
          <w:vertAlign w:val="baseline"/>
        </w:rPr>
        <w:t> </w:t>
      </w:r>
      <w:r>
        <w:rPr>
          <w:vertAlign w:val="baseline"/>
        </w:rPr>
        <w:t>people.</w:t>
      </w:r>
      <w:r>
        <w:rPr>
          <w:spacing w:val="40"/>
          <w:vertAlign w:val="baseline"/>
        </w:rPr>
        <w:t> </w:t>
      </w:r>
      <w:r>
        <w:rPr>
          <w:vertAlign w:val="baseline"/>
        </w:rPr>
        <w:t>It’s</w:t>
      </w:r>
      <w:r>
        <w:rPr>
          <w:spacing w:val="40"/>
          <w:vertAlign w:val="baseline"/>
        </w:rPr>
        <w:t> </w:t>
      </w:r>
      <w:r>
        <w:rPr>
          <w:vertAlign w:val="baseline"/>
        </w:rPr>
        <w:t>important</w:t>
      </w:r>
      <w:r>
        <w:rPr>
          <w:spacing w:val="40"/>
          <w:vertAlign w:val="baseline"/>
        </w:rPr>
        <w:t> </w:t>
      </w:r>
      <w:r>
        <w:rPr>
          <w:vertAlign w:val="baseline"/>
        </w:rPr>
        <w:t>for</w:t>
      </w:r>
      <w:r>
        <w:rPr>
          <w:spacing w:val="40"/>
          <w:vertAlign w:val="baseline"/>
        </w:rPr>
        <w:t> </w:t>
      </w:r>
      <w:r>
        <w:rPr>
          <w:vertAlign w:val="baseline"/>
        </w:rPr>
        <w:t>healthcare</w:t>
      </w:r>
      <w:r>
        <w:rPr>
          <w:spacing w:val="40"/>
          <w:vertAlign w:val="baseline"/>
        </w:rPr>
        <w:t> </w:t>
      </w:r>
      <w:r>
        <w:rPr>
          <w:vertAlign w:val="baseline"/>
        </w:rPr>
        <w:t>providers</w:t>
      </w:r>
      <w:r>
        <w:rPr>
          <w:spacing w:val="40"/>
          <w:vertAlign w:val="baseline"/>
        </w:rPr>
        <w:t> </w:t>
      </w:r>
      <w:r>
        <w:rPr>
          <w:vertAlign w:val="baseline"/>
        </w:rPr>
        <w:t>to</w:t>
      </w:r>
      <w:r>
        <w:rPr>
          <w:spacing w:val="40"/>
          <w:vertAlign w:val="baseline"/>
        </w:rPr>
        <w:t> </w:t>
      </w:r>
      <w:r>
        <w:rPr>
          <w:vertAlign w:val="baseline"/>
        </w:rPr>
        <w:t>understand</w:t>
      </w:r>
      <w:r>
        <w:rPr>
          <w:spacing w:val="40"/>
          <w:vertAlign w:val="baseline"/>
        </w:rPr>
        <w:t> </w:t>
      </w:r>
      <w:r>
        <w:rPr>
          <w:vertAlign w:val="baseline"/>
        </w:rPr>
        <w:t>how</w:t>
      </w:r>
      <w:r>
        <w:rPr>
          <w:spacing w:val="40"/>
          <w:vertAlign w:val="baseline"/>
        </w:rPr>
        <w:t> </w:t>
      </w:r>
      <w:r>
        <w:rPr>
          <w:vertAlign w:val="baseline"/>
        </w:rPr>
        <w:t>gendered</w:t>
      </w:r>
    </w:p>
    <w:p>
      <w:pPr>
        <w:pStyle w:val="BodyText"/>
        <w:spacing w:before="4"/>
        <w:rPr>
          <w:sz w:val="10"/>
        </w:rPr>
      </w:pPr>
      <w:r>
        <w:rPr/>
        <w:drawing>
          <wp:anchor distT="0" distB="0" distL="0" distR="0" allowOverlap="1" layoutInCell="1" locked="0" behindDoc="1" simplePos="0" relativeHeight="487638528">
            <wp:simplePos x="0" y="0"/>
            <wp:positionH relativeFrom="page">
              <wp:posOffset>2190750</wp:posOffset>
            </wp:positionH>
            <wp:positionV relativeFrom="paragraph">
              <wp:posOffset>95407</wp:posOffset>
            </wp:positionV>
            <wp:extent cx="3368192" cy="2357723"/>
            <wp:effectExtent l="0" t="0" r="0" b="0"/>
            <wp:wrapTopAndBottom/>
            <wp:docPr id="293" name="Image 293"/>
            <wp:cNvGraphicFramePr>
              <a:graphicFrameLocks/>
            </wp:cNvGraphicFramePr>
            <a:graphic>
              <a:graphicData uri="http://schemas.openxmlformats.org/drawingml/2006/picture">
                <pic:pic>
                  <pic:nvPicPr>
                    <pic:cNvPr id="293" name="Image 293"/>
                    <pic:cNvPicPr/>
                  </pic:nvPicPr>
                  <pic:blipFill>
                    <a:blip r:embed="rId315" cstate="print"/>
                    <a:stretch>
                      <a:fillRect/>
                    </a:stretch>
                  </pic:blipFill>
                  <pic:spPr>
                    <a:xfrm>
                      <a:off x="0" y="0"/>
                      <a:ext cx="3368192" cy="2357723"/>
                    </a:xfrm>
                    <a:prstGeom prst="rect">
                      <a:avLst/>
                    </a:prstGeom>
                  </pic:spPr>
                </pic:pic>
              </a:graphicData>
            </a:graphic>
          </wp:anchor>
        </w:drawing>
      </w:r>
    </w:p>
    <w:p>
      <w:pPr>
        <w:pStyle w:val="BodyText"/>
        <w:spacing w:line="276" w:lineRule="auto" w:before="160"/>
        <w:ind w:left="463" w:right="243"/>
        <w:jc w:val="both"/>
      </w:pPr>
      <w:r>
        <w:rPr/>
        <w:t>expectations</w:t>
      </w:r>
      <w:r>
        <w:rPr>
          <w:spacing w:val="40"/>
        </w:rPr>
        <w:t> </w:t>
      </w:r>
      <w:r>
        <w:rPr/>
        <w:t>and heteronormative ideals of birthing could elicit gender dysmorphia, depression, and distress for birthing transgender people even if they desired pregnancy from the beginning.</w:t>
      </w:r>
    </w:p>
    <w:p>
      <w:pPr>
        <w:spacing w:before="239"/>
        <w:ind w:left="463" w:right="0" w:firstLine="0"/>
        <w:jc w:val="both"/>
        <w:rPr>
          <w:sz w:val="28"/>
        </w:rPr>
      </w:pPr>
      <w:bookmarkStart w:name="Fertility Treatments" w:id="373"/>
      <w:bookmarkEnd w:id="373"/>
      <w:r>
        <w:rPr/>
      </w:r>
      <w:r>
        <w:rPr>
          <w:color w:val="365F91"/>
          <w:sz w:val="28"/>
        </w:rPr>
        <w:t>Fertility</w:t>
      </w:r>
      <w:r>
        <w:rPr>
          <w:color w:val="365F91"/>
          <w:spacing w:val="-11"/>
          <w:sz w:val="28"/>
        </w:rPr>
        <w:t> </w:t>
      </w:r>
      <w:r>
        <w:rPr>
          <w:color w:val="365F91"/>
          <w:spacing w:val="-2"/>
          <w:sz w:val="28"/>
        </w:rPr>
        <w:t>Treatments</w:t>
      </w:r>
    </w:p>
    <w:p>
      <w:pPr>
        <w:pStyle w:val="BodyText"/>
        <w:spacing w:line="276" w:lineRule="auto" w:before="293"/>
        <w:ind w:left="463" w:right="242"/>
        <w:jc w:val="both"/>
      </w:pPr>
      <w:r>
        <w:rPr/>
        <w:t>The</w:t>
      </w:r>
      <w:r>
        <w:rPr>
          <w:spacing w:val="-10"/>
        </w:rPr>
        <w:t> </w:t>
      </w:r>
      <w:r>
        <w:rPr/>
        <w:t>World</w:t>
      </w:r>
      <w:r>
        <w:rPr>
          <w:spacing w:val="-9"/>
        </w:rPr>
        <w:t> </w:t>
      </w:r>
      <w:r>
        <w:rPr/>
        <w:t>Health</w:t>
      </w:r>
      <w:r>
        <w:rPr>
          <w:spacing w:val="-10"/>
        </w:rPr>
        <w:t> </w:t>
      </w:r>
      <w:r>
        <w:rPr/>
        <w:t>Organization</w:t>
      </w:r>
      <w:r>
        <w:rPr>
          <w:spacing w:val="-10"/>
        </w:rPr>
        <w:t> </w:t>
      </w:r>
      <w:r>
        <w:rPr/>
        <w:t>defines</w:t>
      </w:r>
      <w:r>
        <w:rPr>
          <w:spacing w:val="-9"/>
        </w:rPr>
        <w:t> </w:t>
      </w:r>
      <w:r>
        <w:rPr/>
        <w:t>“infertility”</w:t>
      </w:r>
      <w:r>
        <w:rPr>
          <w:spacing w:val="-8"/>
        </w:rPr>
        <w:t> </w:t>
      </w:r>
      <w:r>
        <w:rPr/>
        <w:t>as</w:t>
      </w:r>
      <w:r>
        <w:rPr>
          <w:spacing w:val="-9"/>
        </w:rPr>
        <w:t> </w:t>
      </w:r>
      <w:r>
        <w:rPr/>
        <w:t>a</w:t>
      </w:r>
      <w:r>
        <w:rPr>
          <w:spacing w:val="-10"/>
        </w:rPr>
        <w:t> </w:t>
      </w:r>
      <w:r>
        <w:rPr/>
        <w:t>disease</w:t>
      </w:r>
      <w:r>
        <w:rPr>
          <w:spacing w:val="-10"/>
        </w:rPr>
        <w:t> </w:t>
      </w:r>
      <w:r>
        <w:rPr/>
        <w:t>of</w:t>
      </w:r>
      <w:r>
        <w:rPr>
          <w:spacing w:val="-10"/>
        </w:rPr>
        <w:t> </w:t>
      </w:r>
      <w:r>
        <w:rPr/>
        <w:t>the</w:t>
      </w:r>
      <w:r>
        <w:rPr>
          <w:spacing w:val="-10"/>
        </w:rPr>
        <w:t> </w:t>
      </w:r>
      <w:r>
        <w:rPr/>
        <w:t>male</w:t>
      </w:r>
      <w:r>
        <w:rPr>
          <w:spacing w:val="-9"/>
        </w:rPr>
        <w:t> </w:t>
      </w:r>
      <w:r>
        <w:rPr/>
        <w:t>and</w:t>
      </w:r>
      <w:r>
        <w:rPr>
          <w:spacing w:val="-10"/>
        </w:rPr>
        <w:t> </w:t>
      </w:r>
      <w:r>
        <w:rPr/>
        <w:t>female</w:t>
      </w:r>
      <w:r>
        <w:rPr>
          <w:spacing w:val="-10"/>
        </w:rPr>
        <w:t> </w:t>
      </w:r>
      <w:r>
        <w:rPr/>
        <w:t>reproductive</w:t>
      </w:r>
      <w:r>
        <w:rPr>
          <w:spacing w:val="-9"/>
        </w:rPr>
        <w:t> </w:t>
      </w:r>
      <w:r>
        <w:rPr/>
        <w:t>system defined by the failure to achieve pregnancy after 12 months of or more of regular unprotected sexual intercourse</w:t>
      </w:r>
      <w:hyperlink w:history="true" w:anchor="_bookmark231">
        <w:r>
          <w:rPr/>
          <w:t>.</w:t>
        </w:r>
        <w:r>
          <w:rPr>
            <w:vertAlign w:val="superscript"/>
          </w:rPr>
          <w:t>38</w:t>
        </w:r>
      </w:hyperlink>
      <w:r>
        <w:rPr>
          <w:vertAlign w:val="baseline"/>
        </w:rPr>
        <w:t> This physical understanding of “infertility” does not capture the experience of most LGBTQ individuals;</w:t>
      </w:r>
      <w:r>
        <w:rPr>
          <w:spacing w:val="-4"/>
          <w:vertAlign w:val="baseline"/>
        </w:rPr>
        <w:t> </w:t>
      </w:r>
      <w:r>
        <w:rPr>
          <w:vertAlign w:val="baseline"/>
        </w:rPr>
        <w:t>for</w:t>
      </w:r>
      <w:r>
        <w:rPr>
          <w:spacing w:val="-4"/>
          <w:vertAlign w:val="baseline"/>
        </w:rPr>
        <w:t> </w:t>
      </w:r>
      <w:r>
        <w:rPr>
          <w:vertAlign w:val="baseline"/>
        </w:rPr>
        <w:t>some</w:t>
      </w:r>
      <w:r>
        <w:rPr>
          <w:spacing w:val="-4"/>
          <w:vertAlign w:val="baseline"/>
        </w:rPr>
        <w:t> </w:t>
      </w:r>
      <w:r>
        <w:rPr>
          <w:vertAlign w:val="baseline"/>
        </w:rPr>
        <w:t>LGBTQ</w:t>
      </w:r>
      <w:r>
        <w:rPr>
          <w:spacing w:val="-4"/>
          <w:vertAlign w:val="baseline"/>
        </w:rPr>
        <w:t> </w:t>
      </w:r>
      <w:r>
        <w:rPr>
          <w:vertAlign w:val="baseline"/>
        </w:rPr>
        <w:t>individuals,</w:t>
      </w:r>
      <w:r>
        <w:rPr>
          <w:spacing w:val="-4"/>
          <w:vertAlign w:val="baseline"/>
        </w:rPr>
        <w:t> </w:t>
      </w:r>
      <w:r>
        <w:rPr>
          <w:vertAlign w:val="baseline"/>
        </w:rPr>
        <w:t>they</w:t>
      </w:r>
      <w:r>
        <w:rPr>
          <w:spacing w:val="-4"/>
          <w:vertAlign w:val="baseline"/>
        </w:rPr>
        <w:t> </w:t>
      </w:r>
      <w:r>
        <w:rPr>
          <w:vertAlign w:val="baseline"/>
        </w:rPr>
        <w:t>are</w:t>
      </w:r>
      <w:r>
        <w:rPr>
          <w:spacing w:val="-4"/>
          <w:vertAlign w:val="baseline"/>
        </w:rPr>
        <w:t> </w:t>
      </w:r>
      <w:r>
        <w:rPr>
          <w:vertAlign w:val="baseline"/>
        </w:rPr>
        <w:t>not</w:t>
      </w:r>
      <w:r>
        <w:rPr>
          <w:spacing w:val="-4"/>
          <w:vertAlign w:val="baseline"/>
        </w:rPr>
        <w:t> </w:t>
      </w:r>
      <w:r>
        <w:rPr>
          <w:vertAlign w:val="baseline"/>
        </w:rPr>
        <w:t>biologically</w:t>
      </w:r>
      <w:r>
        <w:rPr>
          <w:spacing w:val="-4"/>
          <w:vertAlign w:val="baseline"/>
        </w:rPr>
        <w:t> </w:t>
      </w:r>
      <w:r>
        <w:rPr>
          <w:vertAlign w:val="baseline"/>
        </w:rPr>
        <w:t>infertile</w:t>
      </w:r>
      <w:r>
        <w:rPr>
          <w:spacing w:val="-4"/>
          <w:vertAlign w:val="baseline"/>
        </w:rPr>
        <w:t> </w:t>
      </w:r>
      <w:r>
        <w:rPr>
          <w:vertAlign w:val="baseline"/>
        </w:rPr>
        <w:t>yet</w:t>
      </w:r>
      <w:r>
        <w:rPr>
          <w:spacing w:val="-4"/>
          <w:vertAlign w:val="baseline"/>
        </w:rPr>
        <w:t> </w:t>
      </w:r>
      <w:r>
        <w:rPr>
          <w:vertAlign w:val="baseline"/>
        </w:rPr>
        <w:t>cannot</w:t>
      </w:r>
      <w:r>
        <w:rPr>
          <w:spacing w:val="-4"/>
          <w:vertAlign w:val="baseline"/>
        </w:rPr>
        <w:t> </w:t>
      </w:r>
      <w:r>
        <w:rPr>
          <w:vertAlign w:val="baseline"/>
        </w:rPr>
        <w:t>become</w:t>
      </w:r>
      <w:r>
        <w:rPr>
          <w:spacing w:val="-4"/>
          <w:vertAlign w:val="baseline"/>
        </w:rPr>
        <w:t> </w:t>
      </w:r>
      <w:r>
        <w:rPr>
          <w:vertAlign w:val="baseline"/>
        </w:rPr>
        <w:t>pregnant.</w:t>
      </w:r>
      <w:r>
        <w:rPr>
          <w:spacing w:val="-4"/>
          <w:vertAlign w:val="baseline"/>
        </w:rPr>
        <w:t> </w:t>
      </w:r>
      <w:r>
        <w:rPr>
          <w:vertAlign w:val="baseline"/>
        </w:rPr>
        <w:t>For example,</w:t>
      </w:r>
      <w:r>
        <w:rPr>
          <w:spacing w:val="-4"/>
          <w:vertAlign w:val="baseline"/>
        </w:rPr>
        <w:t> </w:t>
      </w:r>
      <w:r>
        <w:rPr>
          <w:vertAlign w:val="baseline"/>
        </w:rPr>
        <w:t>a</w:t>
      </w:r>
      <w:r>
        <w:rPr>
          <w:spacing w:val="-4"/>
          <w:vertAlign w:val="baseline"/>
        </w:rPr>
        <w:t> </w:t>
      </w:r>
      <w:r>
        <w:rPr>
          <w:vertAlign w:val="baseline"/>
        </w:rPr>
        <w:t>lesbian</w:t>
      </w:r>
      <w:r>
        <w:rPr>
          <w:spacing w:val="-5"/>
          <w:vertAlign w:val="baseline"/>
        </w:rPr>
        <w:t> </w:t>
      </w:r>
      <w:r>
        <w:rPr>
          <w:vertAlign w:val="baseline"/>
        </w:rPr>
        <w:t>assigned</w:t>
      </w:r>
      <w:r>
        <w:rPr>
          <w:spacing w:val="-5"/>
          <w:vertAlign w:val="baseline"/>
        </w:rPr>
        <w:t> </w:t>
      </w:r>
      <w:r>
        <w:rPr>
          <w:vertAlign w:val="baseline"/>
        </w:rPr>
        <w:t>female</w:t>
      </w:r>
      <w:r>
        <w:rPr>
          <w:spacing w:val="-4"/>
          <w:vertAlign w:val="baseline"/>
        </w:rPr>
        <w:t> </w:t>
      </w:r>
      <w:r>
        <w:rPr>
          <w:vertAlign w:val="baseline"/>
        </w:rPr>
        <w:t>at</w:t>
      </w:r>
      <w:r>
        <w:rPr>
          <w:spacing w:val="-4"/>
          <w:vertAlign w:val="baseline"/>
        </w:rPr>
        <w:t> </w:t>
      </w:r>
      <w:r>
        <w:rPr>
          <w:vertAlign w:val="baseline"/>
        </w:rPr>
        <w:t>birth</w:t>
      </w:r>
      <w:r>
        <w:rPr>
          <w:spacing w:val="-4"/>
          <w:vertAlign w:val="baseline"/>
        </w:rPr>
        <w:t> </w:t>
      </w:r>
      <w:r>
        <w:rPr>
          <w:vertAlign w:val="baseline"/>
        </w:rPr>
        <w:t>could</w:t>
      </w:r>
      <w:r>
        <w:rPr>
          <w:spacing w:val="-3"/>
          <w:vertAlign w:val="baseline"/>
        </w:rPr>
        <w:t> </w:t>
      </w:r>
      <w:r>
        <w:rPr>
          <w:vertAlign w:val="baseline"/>
        </w:rPr>
        <w:t>have</w:t>
      </w:r>
      <w:r>
        <w:rPr>
          <w:spacing w:val="-5"/>
          <w:vertAlign w:val="baseline"/>
        </w:rPr>
        <w:t> </w:t>
      </w:r>
      <w:r>
        <w:rPr>
          <w:vertAlign w:val="baseline"/>
        </w:rPr>
        <w:t>the</w:t>
      </w:r>
      <w:r>
        <w:rPr>
          <w:spacing w:val="-4"/>
          <w:vertAlign w:val="baseline"/>
        </w:rPr>
        <w:t> </w:t>
      </w:r>
      <w:r>
        <w:rPr>
          <w:vertAlign w:val="baseline"/>
        </w:rPr>
        <w:t>reproductive</w:t>
      </w:r>
      <w:r>
        <w:rPr>
          <w:spacing w:val="-3"/>
          <w:vertAlign w:val="baseline"/>
        </w:rPr>
        <w:t> </w:t>
      </w:r>
      <w:r>
        <w:rPr>
          <w:vertAlign w:val="baseline"/>
        </w:rPr>
        <w:t>capabilities</w:t>
      </w:r>
      <w:r>
        <w:rPr>
          <w:spacing w:val="-5"/>
          <w:vertAlign w:val="baseline"/>
        </w:rPr>
        <w:t> </w:t>
      </w:r>
      <w:r>
        <w:rPr>
          <w:vertAlign w:val="baseline"/>
        </w:rPr>
        <w:t>of</w:t>
      </w:r>
      <w:r>
        <w:rPr>
          <w:spacing w:val="-4"/>
          <w:vertAlign w:val="baseline"/>
        </w:rPr>
        <w:t> </w:t>
      </w:r>
      <w:r>
        <w:rPr>
          <w:vertAlign w:val="baseline"/>
        </w:rPr>
        <w:t>becoming</w:t>
      </w:r>
      <w:r>
        <w:rPr>
          <w:spacing w:val="-4"/>
          <w:vertAlign w:val="baseline"/>
        </w:rPr>
        <w:t> </w:t>
      </w:r>
      <w:r>
        <w:rPr>
          <w:vertAlign w:val="baseline"/>
        </w:rPr>
        <w:t>pregnant, but they cannot</w:t>
      </w:r>
      <w:r>
        <w:rPr>
          <w:spacing w:val="-1"/>
          <w:vertAlign w:val="baseline"/>
        </w:rPr>
        <w:t> </w:t>
      </w:r>
      <w:r>
        <w:rPr>
          <w:vertAlign w:val="baseline"/>
        </w:rPr>
        <w:t>get pregnant</w:t>
      </w:r>
      <w:r>
        <w:rPr>
          <w:spacing w:val="-1"/>
          <w:vertAlign w:val="baseline"/>
        </w:rPr>
        <w:t> </w:t>
      </w:r>
      <w:r>
        <w:rPr>
          <w:vertAlign w:val="baseline"/>
        </w:rPr>
        <w:t>by their partner who is also female assigned</w:t>
      </w:r>
      <w:r>
        <w:rPr>
          <w:spacing w:val="-1"/>
          <w:vertAlign w:val="baseline"/>
        </w:rPr>
        <w:t> </w:t>
      </w:r>
      <w:r>
        <w:rPr>
          <w:vertAlign w:val="baseline"/>
        </w:rPr>
        <w:t>at birth.</w:t>
      </w:r>
      <w:r>
        <w:rPr>
          <w:spacing w:val="-1"/>
          <w:vertAlign w:val="baseline"/>
        </w:rPr>
        <w:t> </w:t>
      </w:r>
      <w:r>
        <w:rPr>
          <w:vertAlign w:val="baseline"/>
        </w:rPr>
        <w:t>Biologically, this couple cannot conceive together through sexual intercourse. Medically, the language around fertility assumes heterosexuality.</w:t>
      </w:r>
      <w:r>
        <w:rPr>
          <w:spacing w:val="-4"/>
          <w:vertAlign w:val="baseline"/>
        </w:rPr>
        <w:t> </w:t>
      </w:r>
      <w:r>
        <w:rPr>
          <w:vertAlign w:val="baseline"/>
        </w:rPr>
        <w:t>Many</w:t>
      </w:r>
      <w:r>
        <w:rPr>
          <w:spacing w:val="-5"/>
          <w:vertAlign w:val="baseline"/>
        </w:rPr>
        <w:t> </w:t>
      </w:r>
      <w:r>
        <w:rPr>
          <w:vertAlign w:val="baseline"/>
        </w:rPr>
        <w:t>LGBTQ</w:t>
      </w:r>
      <w:r>
        <w:rPr>
          <w:spacing w:val="-4"/>
          <w:vertAlign w:val="baseline"/>
        </w:rPr>
        <w:t> </w:t>
      </w:r>
      <w:r>
        <w:rPr>
          <w:vertAlign w:val="baseline"/>
        </w:rPr>
        <w:t>individuals</w:t>
      </w:r>
      <w:r>
        <w:rPr>
          <w:spacing w:val="-5"/>
          <w:vertAlign w:val="baseline"/>
        </w:rPr>
        <w:t> </w:t>
      </w:r>
      <w:r>
        <w:rPr>
          <w:vertAlign w:val="baseline"/>
        </w:rPr>
        <w:t>make</w:t>
      </w:r>
      <w:r>
        <w:rPr>
          <w:spacing w:val="-3"/>
          <w:vertAlign w:val="baseline"/>
        </w:rPr>
        <w:t> </w:t>
      </w:r>
      <w:r>
        <w:rPr>
          <w:vertAlign w:val="baseline"/>
        </w:rPr>
        <w:t>their</w:t>
      </w:r>
      <w:r>
        <w:rPr>
          <w:spacing w:val="-3"/>
          <w:vertAlign w:val="baseline"/>
        </w:rPr>
        <w:t> </w:t>
      </w:r>
      <w:r>
        <w:rPr>
          <w:vertAlign w:val="baseline"/>
        </w:rPr>
        <w:t>own</w:t>
      </w:r>
      <w:r>
        <w:rPr>
          <w:spacing w:val="-4"/>
          <w:vertAlign w:val="baseline"/>
        </w:rPr>
        <w:t> </w:t>
      </w:r>
      <w:r>
        <w:rPr>
          <w:vertAlign w:val="baseline"/>
        </w:rPr>
        <w:t>choice</w:t>
      </w:r>
      <w:r>
        <w:rPr>
          <w:spacing w:val="-4"/>
          <w:vertAlign w:val="baseline"/>
        </w:rPr>
        <w:t> </w:t>
      </w:r>
      <w:r>
        <w:rPr>
          <w:vertAlign w:val="baseline"/>
        </w:rPr>
        <w:t>in</w:t>
      </w:r>
      <w:r>
        <w:rPr>
          <w:spacing w:val="-4"/>
          <w:vertAlign w:val="baseline"/>
        </w:rPr>
        <w:t> </w:t>
      </w:r>
      <w:r>
        <w:rPr>
          <w:vertAlign w:val="baseline"/>
        </w:rPr>
        <w:t>going</w:t>
      </w:r>
      <w:r>
        <w:rPr>
          <w:spacing w:val="-4"/>
          <w:vertAlign w:val="baseline"/>
        </w:rPr>
        <w:t> </w:t>
      </w:r>
      <w:r>
        <w:rPr>
          <w:vertAlign w:val="baseline"/>
        </w:rPr>
        <w:t>through</w:t>
      </w:r>
      <w:r>
        <w:rPr>
          <w:spacing w:val="-4"/>
          <w:vertAlign w:val="baseline"/>
        </w:rPr>
        <w:t> </w:t>
      </w:r>
      <w:r>
        <w:rPr>
          <w:vertAlign w:val="baseline"/>
        </w:rPr>
        <w:t>pregnancy,</w:t>
      </w:r>
      <w:r>
        <w:rPr>
          <w:spacing w:val="-5"/>
          <w:vertAlign w:val="baseline"/>
        </w:rPr>
        <w:t> </w:t>
      </w:r>
      <w:r>
        <w:rPr>
          <w:vertAlign w:val="baseline"/>
        </w:rPr>
        <w:t>often</w:t>
      </w:r>
      <w:r>
        <w:rPr>
          <w:spacing w:val="-4"/>
          <w:vertAlign w:val="baseline"/>
        </w:rPr>
        <w:t> </w:t>
      </w:r>
      <w:r>
        <w:rPr>
          <w:vertAlign w:val="baseline"/>
        </w:rPr>
        <w:t>seeking fertility treatments to achieve</w:t>
      </w:r>
      <w:r>
        <w:rPr>
          <w:spacing w:val="-1"/>
          <w:vertAlign w:val="baseline"/>
        </w:rPr>
        <w:t> </w:t>
      </w:r>
      <w:r>
        <w:rPr>
          <w:vertAlign w:val="baseline"/>
        </w:rPr>
        <w:t>pregnancy</w:t>
      </w:r>
      <w:hyperlink w:history="true" w:anchor="_bookmark232">
        <w:r>
          <w:rPr>
            <w:vertAlign w:val="baseline"/>
          </w:rPr>
          <w:t>,</w:t>
        </w:r>
        <w:r>
          <w:rPr>
            <w:vertAlign w:val="superscript"/>
          </w:rPr>
          <w:t>39</w:t>
        </w:r>
      </w:hyperlink>
      <w:r>
        <w:rPr>
          <w:spacing w:val="-1"/>
          <w:vertAlign w:val="baseline"/>
        </w:rPr>
        <w:t> </w:t>
      </w:r>
      <w:r>
        <w:rPr>
          <w:vertAlign w:val="baseline"/>
        </w:rPr>
        <w:t>although disparities in access to fertility treatments exist along the lines of race, ethnicity, education, class, gender identity, and sexual orientation.</w:t>
      </w:r>
      <w:hyperlink w:history="true" w:anchor="_bookmark233">
        <w:r>
          <w:rPr>
            <w:vertAlign w:val="superscript"/>
          </w:rPr>
          <w:t>40</w:t>
        </w:r>
      </w:hyperlink>
      <w:r>
        <w:rPr>
          <w:vertAlign w:val="baseline"/>
        </w:rPr>
        <w:t> Even when living in states</w:t>
      </w:r>
      <w:r>
        <w:rPr>
          <w:spacing w:val="-6"/>
          <w:vertAlign w:val="baseline"/>
        </w:rPr>
        <w:t> </w:t>
      </w:r>
      <w:r>
        <w:rPr>
          <w:vertAlign w:val="baseline"/>
        </w:rPr>
        <w:t>with</w:t>
      </w:r>
      <w:r>
        <w:rPr>
          <w:spacing w:val="-5"/>
          <w:vertAlign w:val="baseline"/>
        </w:rPr>
        <w:t> </w:t>
      </w:r>
      <w:r>
        <w:rPr>
          <w:vertAlign w:val="baseline"/>
        </w:rPr>
        <w:t>mandated</w:t>
      </w:r>
      <w:r>
        <w:rPr>
          <w:spacing w:val="-5"/>
          <w:vertAlign w:val="baseline"/>
        </w:rPr>
        <w:t> </w:t>
      </w:r>
      <w:r>
        <w:rPr>
          <w:vertAlign w:val="baseline"/>
        </w:rPr>
        <w:t>insurance</w:t>
      </w:r>
      <w:r>
        <w:rPr>
          <w:spacing w:val="-5"/>
          <w:vertAlign w:val="baseline"/>
        </w:rPr>
        <w:t> </w:t>
      </w:r>
      <w:r>
        <w:rPr>
          <w:vertAlign w:val="baseline"/>
        </w:rPr>
        <w:t>coverage</w:t>
      </w:r>
      <w:r>
        <w:rPr>
          <w:spacing w:val="-7"/>
          <w:vertAlign w:val="baseline"/>
        </w:rPr>
        <w:t> </w:t>
      </w:r>
      <w:r>
        <w:rPr>
          <w:vertAlign w:val="baseline"/>
        </w:rPr>
        <w:t>for</w:t>
      </w:r>
      <w:r>
        <w:rPr>
          <w:spacing w:val="-5"/>
          <w:vertAlign w:val="baseline"/>
        </w:rPr>
        <w:t> </w:t>
      </w:r>
      <w:r>
        <w:rPr>
          <w:vertAlign w:val="baseline"/>
        </w:rPr>
        <w:t>fertility</w:t>
      </w:r>
      <w:r>
        <w:rPr>
          <w:spacing w:val="-5"/>
          <w:vertAlign w:val="baseline"/>
        </w:rPr>
        <w:t> </w:t>
      </w:r>
      <w:r>
        <w:rPr>
          <w:vertAlign w:val="baseline"/>
        </w:rPr>
        <w:t>treatments,</w:t>
      </w:r>
      <w:r>
        <w:rPr>
          <w:spacing w:val="-6"/>
          <w:vertAlign w:val="baseline"/>
        </w:rPr>
        <w:t> </w:t>
      </w:r>
      <w:r>
        <w:rPr>
          <w:vertAlign w:val="baseline"/>
        </w:rPr>
        <w:t>racial</w:t>
      </w:r>
      <w:r>
        <w:rPr>
          <w:spacing w:val="-6"/>
          <w:vertAlign w:val="baseline"/>
        </w:rPr>
        <w:t> </w:t>
      </w:r>
      <w:r>
        <w:rPr>
          <w:vertAlign w:val="baseline"/>
        </w:rPr>
        <w:t>and</w:t>
      </w:r>
      <w:r>
        <w:rPr>
          <w:spacing w:val="-7"/>
          <w:vertAlign w:val="baseline"/>
        </w:rPr>
        <w:t> </w:t>
      </w:r>
      <w:r>
        <w:rPr>
          <w:vertAlign w:val="baseline"/>
        </w:rPr>
        <w:t>socioeconomic</w:t>
      </w:r>
      <w:r>
        <w:rPr>
          <w:spacing w:val="-6"/>
          <w:vertAlign w:val="baseline"/>
        </w:rPr>
        <w:t> </w:t>
      </w:r>
      <w:r>
        <w:rPr>
          <w:vertAlign w:val="baseline"/>
        </w:rPr>
        <w:t>disparities</w:t>
      </w:r>
      <w:r>
        <w:rPr>
          <w:spacing w:val="-6"/>
          <w:vertAlign w:val="baseline"/>
        </w:rPr>
        <w:t> </w:t>
      </w:r>
      <w:r>
        <w:rPr>
          <w:vertAlign w:val="baseline"/>
        </w:rPr>
        <w:t>exist among</w:t>
      </w:r>
      <w:r>
        <w:rPr>
          <w:spacing w:val="-8"/>
          <w:vertAlign w:val="baseline"/>
        </w:rPr>
        <w:t> </w:t>
      </w:r>
      <w:r>
        <w:rPr>
          <w:vertAlign w:val="baseline"/>
        </w:rPr>
        <w:t>fertility</w:t>
      </w:r>
      <w:r>
        <w:rPr>
          <w:spacing w:val="-7"/>
          <w:vertAlign w:val="baseline"/>
        </w:rPr>
        <w:t> </w:t>
      </w:r>
      <w:r>
        <w:rPr>
          <w:vertAlign w:val="baseline"/>
        </w:rPr>
        <w:t>patients</w:t>
      </w:r>
      <w:r>
        <w:rPr>
          <w:spacing w:val="-7"/>
          <w:vertAlign w:val="baseline"/>
        </w:rPr>
        <w:t> </w:t>
      </w:r>
      <w:r>
        <w:rPr>
          <w:vertAlign w:val="baseline"/>
        </w:rPr>
        <w:t>accessing</w:t>
      </w:r>
      <w:r>
        <w:rPr>
          <w:spacing w:val="-8"/>
          <w:vertAlign w:val="baseline"/>
        </w:rPr>
        <w:t> </w:t>
      </w:r>
      <w:r>
        <w:rPr>
          <w:vertAlign w:val="baseline"/>
        </w:rPr>
        <w:t>care.</w:t>
      </w:r>
      <w:r>
        <w:rPr>
          <w:spacing w:val="-9"/>
          <w:vertAlign w:val="baseline"/>
        </w:rPr>
        <w:t> </w:t>
      </w:r>
      <w:hyperlink w:history="true" w:anchor="_bookmark234">
        <w:r>
          <w:rPr>
            <w:vertAlign w:val="superscript"/>
          </w:rPr>
          <w:t>41</w:t>
        </w:r>
      </w:hyperlink>
      <w:r>
        <w:rPr>
          <w:spacing w:val="-7"/>
          <w:vertAlign w:val="baseline"/>
        </w:rPr>
        <w:t> </w:t>
      </w:r>
      <w:r>
        <w:rPr>
          <w:vertAlign w:val="baseline"/>
        </w:rPr>
        <w:t>As</w:t>
      </w:r>
      <w:r>
        <w:rPr>
          <w:spacing w:val="-7"/>
          <w:vertAlign w:val="baseline"/>
        </w:rPr>
        <w:t> </w:t>
      </w:r>
      <w:r>
        <w:rPr>
          <w:vertAlign w:val="baseline"/>
        </w:rPr>
        <w:t>discussed</w:t>
      </w:r>
      <w:r>
        <w:rPr>
          <w:spacing w:val="-7"/>
          <w:vertAlign w:val="baseline"/>
        </w:rPr>
        <w:t> </w:t>
      </w:r>
      <w:r>
        <w:rPr>
          <w:vertAlign w:val="baseline"/>
        </w:rPr>
        <w:t>further</w:t>
      </w:r>
      <w:r>
        <w:rPr>
          <w:spacing w:val="-7"/>
          <w:vertAlign w:val="baseline"/>
        </w:rPr>
        <w:t> </w:t>
      </w:r>
      <w:r>
        <w:rPr>
          <w:vertAlign w:val="baseline"/>
        </w:rPr>
        <w:t>below,</w:t>
      </w:r>
      <w:r>
        <w:rPr>
          <w:spacing w:val="-7"/>
          <w:vertAlign w:val="baseline"/>
        </w:rPr>
        <w:t> </w:t>
      </w:r>
      <w:r>
        <w:rPr>
          <w:vertAlign w:val="baseline"/>
        </w:rPr>
        <w:t>infertility</w:t>
      </w:r>
      <w:r>
        <w:rPr>
          <w:spacing w:val="-7"/>
          <w:vertAlign w:val="baseline"/>
        </w:rPr>
        <w:t> </w:t>
      </w:r>
      <w:r>
        <w:rPr>
          <w:vertAlign w:val="baseline"/>
        </w:rPr>
        <w:t>for</w:t>
      </w:r>
      <w:r>
        <w:rPr>
          <w:spacing w:val="-7"/>
          <w:vertAlign w:val="baseline"/>
        </w:rPr>
        <w:t> </w:t>
      </w:r>
      <w:r>
        <w:rPr>
          <w:vertAlign w:val="baseline"/>
        </w:rPr>
        <w:t>the</w:t>
      </w:r>
      <w:r>
        <w:rPr>
          <w:spacing w:val="-8"/>
          <w:vertAlign w:val="baseline"/>
        </w:rPr>
        <w:t> </w:t>
      </w:r>
      <w:r>
        <w:rPr>
          <w:vertAlign w:val="baseline"/>
        </w:rPr>
        <w:t>LGBTQ</w:t>
      </w:r>
      <w:r>
        <w:rPr>
          <w:spacing w:val="-7"/>
          <w:vertAlign w:val="baseline"/>
        </w:rPr>
        <w:t> </w:t>
      </w:r>
      <w:r>
        <w:rPr>
          <w:vertAlign w:val="baseline"/>
        </w:rPr>
        <w:t>community</w:t>
      </w:r>
      <w:r>
        <w:rPr>
          <w:spacing w:val="-7"/>
          <w:vertAlign w:val="baseline"/>
        </w:rPr>
        <w:t> </w:t>
      </w:r>
      <w:r>
        <w:rPr>
          <w:vertAlign w:val="baseline"/>
        </w:rPr>
        <w:t>is usually</w:t>
      </w:r>
      <w:r>
        <w:rPr>
          <w:spacing w:val="-2"/>
          <w:vertAlign w:val="baseline"/>
        </w:rPr>
        <w:t> </w:t>
      </w:r>
      <w:r>
        <w:rPr>
          <w:vertAlign w:val="baseline"/>
        </w:rPr>
        <w:t>the</w:t>
      </w:r>
      <w:r>
        <w:rPr>
          <w:spacing w:val="-2"/>
          <w:vertAlign w:val="baseline"/>
        </w:rPr>
        <w:t> </w:t>
      </w:r>
      <w:r>
        <w:rPr>
          <w:vertAlign w:val="baseline"/>
        </w:rPr>
        <w:t>inability</w:t>
      </w:r>
      <w:r>
        <w:rPr>
          <w:spacing w:val="-2"/>
          <w:vertAlign w:val="baseline"/>
        </w:rPr>
        <w:t> </w:t>
      </w:r>
      <w:r>
        <w:rPr>
          <w:vertAlign w:val="baseline"/>
        </w:rPr>
        <w:t>to</w:t>
      </w:r>
      <w:r>
        <w:rPr>
          <w:spacing w:val="-1"/>
          <w:vertAlign w:val="baseline"/>
        </w:rPr>
        <w:t> </w:t>
      </w:r>
      <w:r>
        <w:rPr>
          <w:vertAlign w:val="baseline"/>
        </w:rPr>
        <w:t>be</w:t>
      </w:r>
      <w:r>
        <w:rPr>
          <w:spacing w:val="-2"/>
          <w:vertAlign w:val="baseline"/>
        </w:rPr>
        <w:t> </w:t>
      </w:r>
      <w:r>
        <w:rPr>
          <w:vertAlign w:val="baseline"/>
        </w:rPr>
        <w:t>able</w:t>
      </w:r>
      <w:r>
        <w:rPr>
          <w:spacing w:val="-2"/>
          <w:vertAlign w:val="baseline"/>
        </w:rPr>
        <w:t> </w:t>
      </w:r>
      <w:r>
        <w:rPr>
          <w:vertAlign w:val="baseline"/>
        </w:rPr>
        <w:t>to</w:t>
      </w:r>
      <w:r>
        <w:rPr>
          <w:spacing w:val="-2"/>
          <w:vertAlign w:val="baseline"/>
        </w:rPr>
        <w:t> </w:t>
      </w:r>
      <w:r>
        <w:rPr>
          <w:vertAlign w:val="baseline"/>
        </w:rPr>
        <w:t>afford</w:t>
      </w:r>
      <w:r>
        <w:rPr>
          <w:spacing w:val="-2"/>
          <w:vertAlign w:val="baseline"/>
        </w:rPr>
        <w:t> </w:t>
      </w:r>
      <w:r>
        <w:rPr>
          <w:vertAlign w:val="baseline"/>
        </w:rPr>
        <w:t>fertility</w:t>
      </w:r>
      <w:r>
        <w:rPr>
          <w:spacing w:val="-2"/>
          <w:vertAlign w:val="baseline"/>
        </w:rPr>
        <w:t> </w:t>
      </w:r>
      <w:r>
        <w:rPr>
          <w:vertAlign w:val="baseline"/>
        </w:rPr>
        <w:t>treatments</w:t>
      </w:r>
      <w:r>
        <w:rPr>
          <w:spacing w:val="-1"/>
          <w:vertAlign w:val="baseline"/>
        </w:rPr>
        <w:t> </w:t>
      </w:r>
      <w:r>
        <w:rPr>
          <w:vertAlign w:val="baseline"/>
        </w:rPr>
        <w:t>to</w:t>
      </w:r>
      <w:r>
        <w:rPr>
          <w:spacing w:val="-1"/>
          <w:vertAlign w:val="baseline"/>
        </w:rPr>
        <w:t> </w:t>
      </w:r>
      <w:r>
        <w:rPr>
          <w:vertAlign w:val="baseline"/>
        </w:rPr>
        <w:t>get</w:t>
      </w:r>
      <w:r>
        <w:rPr>
          <w:spacing w:val="-1"/>
          <w:vertAlign w:val="baseline"/>
        </w:rPr>
        <w:t> </w:t>
      </w:r>
      <w:r>
        <w:rPr>
          <w:vertAlign w:val="baseline"/>
        </w:rPr>
        <w:t>pregnant,</w:t>
      </w:r>
      <w:r>
        <w:rPr>
          <w:spacing w:val="-2"/>
          <w:vertAlign w:val="baseline"/>
        </w:rPr>
        <w:t> </w:t>
      </w:r>
      <w:r>
        <w:rPr>
          <w:vertAlign w:val="baseline"/>
        </w:rPr>
        <w:t>whereas</w:t>
      </w:r>
      <w:r>
        <w:rPr>
          <w:spacing w:val="-2"/>
          <w:vertAlign w:val="baseline"/>
        </w:rPr>
        <w:t> </w:t>
      </w:r>
      <w:r>
        <w:rPr>
          <w:vertAlign w:val="baseline"/>
        </w:rPr>
        <w:t>heterosexual</w:t>
      </w:r>
      <w:r>
        <w:rPr>
          <w:spacing w:val="-2"/>
          <w:vertAlign w:val="baseline"/>
        </w:rPr>
        <w:t> </w:t>
      </w:r>
      <w:r>
        <w:rPr>
          <w:vertAlign w:val="baseline"/>
        </w:rPr>
        <w:t>families are more likely to afford fertility treatments through tax loopholes.</w:t>
      </w:r>
    </w:p>
    <w:p>
      <w:pPr>
        <w:spacing w:before="239"/>
        <w:ind w:left="463" w:right="0" w:firstLine="0"/>
        <w:jc w:val="both"/>
        <w:rPr>
          <w:sz w:val="28"/>
        </w:rPr>
      </w:pPr>
      <w:bookmarkStart w:name="Maternal Mortality" w:id="374"/>
      <w:bookmarkEnd w:id="374"/>
      <w:r>
        <w:rPr/>
      </w:r>
      <w:r>
        <w:rPr>
          <w:color w:val="365F91"/>
          <w:sz w:val="28"/>
        </w:rPr>
        <w:t>Maternal</w:t>
      </w:r>
      <w:r>
        <w:rPr>
          <w:color w:val="365F91"/>
          <w:spacing w:val="-15"/>
          <w:sz w:val="28"/>
        </w:rPr>
        <w:t> </w:t>
      </w:r>
      <w:r>
        <w:rPr>
          <w:color w:val="365F91"/>
          <w:spacing w:val="-2"/>
          <w:sz w:val="28"/>
        </w:rPr>
        <w:t>Mortality</w:t>
      </w:r>
    </w:p>
    <w:p>
      <w:pPr>
        <w:pStyle w:val="BodyText"/>
        <w:spacing w:before="292"/>
        <w:ind w:left="463"/>
        <w:jc w:val="both"/>
      </w:pPr>
      <w:r>
        <w:rPr/>
        <w:t>In</w:t>
      </w:r>
      <w:r>
        <w:rPr>
          <w:spacing w:val="-11"/>
        </w:rPr>
        <w:t> </w:t>
      </w:r>
      <w:r>
        <w:rPr/>
        <w:t>recent</w:t>
      </w:r>
      <w:r>
        <w:rPr>
          <w:spacing w:val="-10"/>
        </w:rPr>
        <w:t> </w:t>
      </w:r>
      <w:r>
        <w:rPr/>
        <w:t>years,</w:t>
      </w:r>
      <w:r>
        <w:rPr>
          <w:spacing w:val="-10"/>
        </w:rPr>
        <w:t> </w:t>
      </w:r>
      <w:r>
        <w:rPr/>
        <w:t>the</w:t>
      </w:r>
      <w:r>
        <w:rPr>
          <w:spacing w:val="-9"/>
        </w:rPr>
        <w:t> </w:t>
      </w:r>
      <w:r>
        <w:rPr/>
        <w:t>United</w:t>
      </w:r>
      <w:r>
        <w:rPr>
          <w:spacing w:val="-10"/>
        </w:rPr>
        <w:t> </w:t>
      </w:r>
      <w:r>
        <w:rPr/>
        <w:t>States</w:t>
      </w:r>
      <w:r>
        <w:rPr>
          <w:spacing w:val="-9"/>
        </w:rPr>
        <w:t> </w:t>
      </w:r>
      <w:r>
        <w:rPr/>
        <w:t>has</w:t>
      </w:r>
      <w:r>
        <w:rPr>
          <w:spacing w:val="-10"/>
        </w:rPr>
        <w:t> </w:t>
      </w:r>
      <w:r>
        <w:rPr/>
        <w:t>seen</w:t>
      </w:r>
      <w:r>
        <w:rPr>
          <w:spacing w:val="-10"/>
        </w:rPr>
        <w:t> </w:t>
      </w:r>
      <w:r>
        <w:rPr/>
        <w:t>an</w:t>
      </w:r>
      <w:r>
        <w:rPr>
          <w:spacing w:val="-10"/>
        </w:rPr>
        <w:t> </w:t>
      </w:r>
      <w:r>
        <w:rPr/>
        <w:t>increase</w:t>
      </w:r>
      <w:r>
        <w:rPr>
          <w:spacing w:val="-10"/>
        </w:rPr>
        <w:t> </w:t>
      </w:r>
      <w:r>
        <w:rPr/>
        <w:t>in</w:t>
      </w:r>
      <w:r>
        <w:rPr>
          <w:spacing w:val="-10"/>
        </w:rPr>
        <w:t> </w:t>
      </w:r>
      <w:r>
        <w:rPr/>
        <w:t>maternal</w:t>
      </w:r>
      <w:r>
        <w:rPr>
          <w:spacing w:val="-8"/>
        </w:rPr>
        <w:t> </w:t>
      </w:r>
      <w:r>
        <w:rPr/>
        <w:t>mortality</w:t>
      </w:r>
      <w:r>
        <w:rPr>
          <w:spacing w:val="-9"/>
        </w:rPr>
        <w:t> </w:t>
      </w:r>
      <w:r>
        <w:rPr/>
        <w:t>by</w:t>
      </w:r>
      <w:r>
        <w:rPr>
          <w:spacing w:val="-9"/>
        </w:rPr>
        <w:t> </w:t>
      </w:r>
      <w:r>
        <w:rPr/>
        <w:t>26.6%,</w:t>
      </w:r>
      <w:r>
        <w:rPr>
          <w:spacing w:val="-9"/>
        </w:rPr>
        <w:t> </w:t>
      </w:r>
      <w:r>
        <w:rPr/>
        <w:t>from</w:t>
      </w:r>
      <w:r>
        <w:rPr>
          <w:spacing w:val="-10"/>
        </w:rPr>
        <w:t> </w:t>
      </w:r>
      <w:r>
        <w:rPr/>
        <w:t>18.8</w:t>
      </w:r>
      <w:r>
        <w:rPr>
          <w:spacing w:val="-9"/>
        </w:rPr>
        <w:t> </w:t>
      </w:r>
      <w:r>
        <w:rPr/>
        <w:t>in</w:t>
      </w:r>
      <w:r>
        <w:rPr>
          <w:spacing w:val="-11"/>
        </w:rPr>
        <w:t> </w:t>
      </w:r>
      <w:r>
        <w:rPr/>
        <w:t>2000</w:t>
      </w:r>
      <w:r>
        <w:rPr>
          <w:spacing w:val="-8"/>
        </w:rPr>
        <w:t> </w:t>
      </w:r>
      <w:r>
        <w:rPr>
          <w:spacing w:val="-7"/>
        </w:rPr>
        <w:t>to</w:t>
      </w:r>
    </w:p>
    <w:p>
      <w:pPr>
        <w:pStyle w:val="BodyText"/>
        <w:spacing w:line="276" w:lineRule="auto" w:before="40"/>
        <w:ind w:left="463"/>
      </w:pPr>
      <w:r>
        <w:rPr/>
        <w:t>23.8</w:t>
      </w:r>
      <w:r>
        <w:rPr>
          <w:spacing w:val="-13"/>
        </w:rPr>
        <w:t> </w:t>
      </w:r>
      <w:r>
        <w:rPr/>
        <w:t>in</w:t>
      </w:r>
      <w:r>
        <w:rPr>
          <w:spacing w:val="-13"/>
        </w:rPr>
        <w:t> </w:t>
      </w:r>
      <w:r>
        <w:rPr/>
        <w:t>2014.</w:t>
      </w:r>
      <w:hyperlink w:history="true" w:anchor="_bookmark235">
        <w:r>
          <w:rPr>
            <w:vertAlign w:val="superscript"/>
          </w:rPr>
          <w:t>42</w:t>
        </w:r>
      </w:hyperlink>
      <w:r>
        <w:rPr>
          <w:spacing w:val="-13"/>
          <w:vertAlign w:val="baseline"/>
        </w:rPr>
        <w:t> </w:t>
      </w:r>
      <w:r>
        <w:rPr>
          <w:vertAlign w:val="baseline"/>
        </w:rPr>
        <w:t>States</w:t>
      </w:r>
      <w:r>
        <w:rPr>
          <w:spacing w:val="-13"/>
          <w:vertAlign w:val="baseline"/>
        </w:rPr>
        <w:t> </w:t>
      </w:r>
      <w:r>
        <w:rPr>
          <w:vertAlign w:val="baseline"/>
        </w:rPr>
        <w:t>vary</w:t>
      </w:r>
      <w:r>
        <w:rPr>
          <w:spacing w:val="-13"/>
          <w:vertAlign w:val="baseline"/>
        </w:rPr>
        <w:t> </w:t>
      </w:r>
      <w:r>
        <w:rPr>
          <w:vertAlign w:val="baseline"/>
        </w:rPr>
        <w:t>in</w:t>
      </w:r>
      <w:r>
        <w:rPr>
          <w:spacing w:val="-13"/>
          <w:vertAlign w:val="baseline"/>
        </w:rPr>
        <w:t> </w:t>
      </w:r>
      <w:r>
        <w:rPr>
          <w:vertAlign w:val="baseline"/>
        </w:rPr>
        <w:t>degrees</w:t>
      </w:r>
      <w:r>
        <w:rPr>
          <w:spacing w:val="-13"/>
          <w:vertAlign w:val="baseline"/>
        </w:rPr>
        <w:t> </w:t>
      </w:r>
      <w:r>
        <w:rPr>
          <w:vertAlign w:val="baseline"/>
        </w:rPr>
        <w:t>of</w:t>
      </w:r>
      <w:r>
        <w:rPr>
          <w:spacing w:val="-13"/>
          <w:vertAlign w:val="baseline"/>
        </w:rPr>
        <w:t> </w:t>
      </w:r>
      <w:r>
        <w:rPr>
          <w:vertAlign w:val="baseline"/>
        </w:rPr>
        <w:t>disparity</w:t>
      </w:r>
      <w:r>
        <w:rPr>
          <w:spacing w:val="-13"/>
          <w:vertAlign w:val="baseline"/>
        </w:rPr>
        <w:t> </w:t>
      </w:r>
      <w:r>
        <w:rPr>
          <w:vertAlign w:val="baseline"/>
        </w:rPr>
        <w:t>due</w:t>
      </w:r>
      <w:r>
        <w:rPr>
          <w:spacing w:val="-12"/>
          <w:vertAlign w:val="baseline"/>
        </w:rPr>
        <w:t> </w:t>
      </w:r>
      <w:r>
        <w:rPr>
          <w:vertAlign w:val="baseline"/>
        </w:rPr>
        <w:t>to</w:t>
      </w:r>
      <w:r>
        <w:rPr>
          <w:spacing w:val="-13"/>
          <w:vertAlign w:val="baseline"/>
        </w:rPr>
        <w:t> </w:t>
      </w:r>
      <w:r>
        <w:rPr>
          <w:vertAlign w:val="baseline"/>
        </w:rPr>
        <w:t>the</w:t>
      </w:r>
      <w:r>
        <w:rPr>
          <w:spacing w:val="-13"/>
          <w:vertAlign w:val="baseline"/>
        </w:rPr>
        <w:t> </w:t>
      </w:r>
      <w:r>
        <w:rPr>
          <w:vertAlign w:val="baseline"/>
        </w:rPr>
        <w:t>availability</w:t>
      </w:r>
      <w:r>
        <w:rPr>
          <w:spacing w:val="-13"/>
          <w:vertAlign w:val="baseline"/>
        </w:rPr>
        <w:t> </w:t>
      </w:r>
      <w:r>
        <w:rPr>
          <w:vertAlign w:val="baseline"/>
        </w:rPr>
        <w:t>of</w:t>
      </w:r>
      <w:r>
        <w:rPr>
          <w:spacing w:val="-13"/>
          <w:vertAlign w:val="baseline"/>
        </w:rPr>
        <w:t> </w:t>
      </w:r>
      <w:r>
        <w:rPr>
          <w:vertAlign w:val="baseline"/>
        </w:rPr>
        <w:t>programs</w:t>
      </w:r>
      <w:r>
        <w:rPr>
          <w:spacing w:val="-13"/>
          <w:vertAlign w:val="baseline"/>
        </w:rPr>
        <w:t> </w:t>
      </w:r>
      <w:r>
        <w:rPr>
          <w:vertAlign w:val="baseline"/>
        </w:rPr>
        <w:t>and</w:t>
      </w:r>
      <w:r>
        <w:rPr>
          <w:spacing w:val="-12"/>
          <w:vertAlign w:val="baseline"/>
        </w:rPr>
        <w:t> </w:t>
      </w:r>
      <w:r>
        <w:rPr>
          <w:vertAlign w:val="baseline"/>
        </w:rPr>
        <w:t>policies</w:t>
      </w:r>
      <w:r>
        <w:rPr>
          <w:spacing w:val="-13"/>
          <w:vertAlign w:val="baseline"/>
        </w:rPr>
        <w:t> </w:t>
      </w:r>
      <w:r>
        <w:rPr>
          <w:vertAlign w:val="baseline"/>
        </w:rPr>
        <w:t>for</w:t>
      </w:r>
      <w:r>
        <w:rPr>
          <w:spacing w:val="-13"/>
          <w:vertAlign w:val="baseline"/>
        </w:rPr>
        <w:t> </w:t>
      </w:r>
      <w:r>
        <w:rPr>
          <w:vertAlign w:val="baseline"/>
        </w:rPr>
        <w:t>pregnant people.</w:t>
      </w:r>
      <w:r>
        <w:rPr>
          <w:spacing w:val="4"/>
          <w:vertAlign w:val="baseline"/>
        </w:rPr>
        <w:t> </w:t>
      </w:r>
      <w:r>
        <w:rPr>
          <w:vertAlign w:val="baseline"/>
        </w:rPr>
        <w:t>For</w:t>
      </w:r>
      <w:r>
        <w:rPr>
          <w:spacing w:val="5"/>
          <w:vertAlign w:val="baseline"/>
        </w:rPr>
        <w:t> </w:t>
      </w:r>
      <w:r>
        <w:rPr>
          <w:vertAlign w:val="baseline"/>
        </w:rPr>
        <w:t>Massachusetts,</w:t>
      </w:r>
      <w:r>
        <w:rPr>
          <w:spacing w:val="4"/>
          <w:vertAlign w:val="baseline"/>
        </w:rPr>
        <w:t> </w:t>
      </w:r>
      <w:r>
        <w:rPr>
          <w:vertAlign w:val="baseline"/>
        </w:rPr>
        <w:t>the</w:t>
      </w:r>
      <w:r>
        <w:rPr>
          <w:spacing w:val="4"/>
          <w:vertAlign w:val="baseline"/>
        </w:rPr>
        <w:t> </w:t>
      </w:r>
      <w:r>
        <w:rPr>
          <w:vertAlign w:val="baseline"/>
        </w:rPr>
        <w:t>maternal</w:t>
      </w:r>
      <w:r>
        <w:rPr>
          <w:spacing w:val="3"/>
          <w:vertAlign w:val="baseline"/>
        </w:rPr>
        <w:t> </w:t>
      </w:r>
      <w:r>
        <w:rPr>
          <w:vertAlign w:val="baseline"/>
        </w:rPr>
        <w:t>mortality</w:t>
      </w:r>
      <w:r>
        <w:rPr>
          <w:spacing w:val="6"/>
          <w:vertAlign w:val="baseline"/>
        </w:rPr>
        <w:t> </w:t>
      </w:r>
      <w:r>
        <w:rPr>
          <w:vertAlign w:val="baseline"/>
        </w:rPr>
        <w:t>rate</w:t>
      </w:r>
      <w:r>
        <w:rPr>
          <w:spacing w:val="3"/>
          <w:vertAlign w:val="baseline"/>
        </w:rPr>
        <w:t> </w:t>
      </w:r>
      <w:r>
        <w:rPr>
          <w:vertAlign w:val="baseline"/>
        </w:rPr>
        <w:t>is</w:t>
      </w:r>
      <w:r>
        <w:rPr>
          <w:spacing w:val="5"/>
          <w:vertAlign w:val="baseline"/>
        </w:rPr>
        <w:t> </w:t>
      </w:r>
      <w:r>
        <w:rPr>
          <w:vertAlign w:val="baseline"/>
        </w:rPr>
        <w:t>8.4</w:t>
      </w:r>
      <w:r>
        <w:rPr>
          <w:spacing w:val="4"/>
          <w:vertAlign w:val="baseline"/>
        </w:rPr>
        <w:t> </w:t>
      </w:r>
      <w:r>
        <w:rPr>
          <w:vertAlign w:val="baseline"/>
        </w:rPr>
        <w:t>per</w:t>
      </w:r>
      <w:r>
        <w:rPr>
          <w:spacing w:val="3"/>
          <w:vertAlign w:val="baseline"/>
        </w:rPr>
        <w:t> </w:t>
      </w:r>
      <w:r>
        <w:rPr>
          <w:vertAlign w:val="baseline"/>
        </w:rPr>
        <w:t>100,000</w:t>
      </w:r>
      <w:r>
        <w:rPr>
          <w:spacing w:val="4"/>
          <w:vertAlign w:val="baseline"/>
        </w:rPr>
        <w:t> </w:t>
      </w:r>
      <w:r>
        <w:rPr>
          <w:vertAlign w:val="baseline"/>
        </w:rPr>
        <w:t>births,</w:t>
      </w:r>
      <w:r>
        <w:rPr>
          <w:spacing w:val="3"/>
          <w:vertAlign w:val="baseline"/>
        </w:rPr>
        <w:t> </w:t>
      </w:r>
      <w:r>
        <w:rPr>
          <w:vertAlign w:val="baseline"/>
        </w:rPr>
        <w:t>making</w:t>
      </w:r>
      <w:r>
        <w:rPr>
          <w:spacing w:val="5"/>
          <w:vertAlign w:val="baseline"/>
        </w:rPr>
        <w:t> </w:t>
      </w:r>
      <w:r>
        <w:rPr>
          <w:vertAlign w:val="baseline"/>
        </w:rPr>
        <w:t>it</w:t>
      </w:r>
      <w:r>
        <w:rPr>
          <w:spacing w:val="4"/>
          <w:vertAlign w:val="baseline"/>
        </w:rPr>
        <w:t> </w:t>
      </w:r>
      <w:r>
        <w:rPr>
          <w:vertAlign w:val="baseline"/>
        </w:rPr>
        <w:t>the</w:t>
      </w:r>
      <w:r>
        <w:rPr>
          <w:spacing w:val="4"/>
          <w:vertAlign w:val="baseline"/>
        </w:rPr>
        <w:t> </w:t>
      </w:r>
      <w:r>
        <w:rPr>
          <w:vertAlign w:val="baseline"/>
        </w:rPr>
        <w:t>state</w:t>
      </w:r>
      <w:r>
        <w:rPr>
          <w:spacing w:val="5"/>
          <w:vertAlign w:val="baseline"/>
        </w:rPr>
        <w:t> </w:t>
      </w:r>
      <w:r>
        <w:rPr>
          <w:spacing w:val="-4"/>
          <w:vertAlign w:val="baseline"/>
        </w:rPr>
        <w:t>with</w:t>
      </w:r>
    </w:p>
    <w:p>
      <w:pPr>
        <w:spacing w:after="0" w:line="276" w:lineRule="auto"/>
        <w:sectPr>
          <w:pgSz w:w="12240" w:h="15840"/>
          <w:pgMar w:header="800" w:footer="1530" w:top="1080" w:bottom="1760" w:left="980" w:right="1000"/>
        </w:sectPr>
      </w:pPr>
    </w:p>
    <w:p>
      <w:pPr>
        <w:pStyle w:val="BodyText"/>
        <w:spacing w:line="276" w:lineRule="auto" w:before="69"/>
        <w:ind w:left="463" w:right="240"/>
        <w:jc w:val="both"/>
      </w:pPr>
      <w:r>
        <w:rPr/>
        <w:t>the second lowest maternal mortality rate.</w:t>
      </w:r>
      <w:hyperlink w:history="true" w:anchor="_bookmark236">
        <w:r>
          <w:rPr>
            <w:vertAlign w:val="superscript"/>
          </w:rPr>
          <w:t>43</w:t>
        </w:r>
      </w:hyperlink>
      <w:r>
        <w:rPr>
          <w:vertAlign w:val="baseline"/>
        </w:rPr>
        <w:t> Although maternal deaths are low in Massachusetts, racial, ethnic,</w:t>
      </w:r>
      <w:r>
        <w:rPr>
          <w:spacing w:val="-6"/>
          <w:vertAlign w:val="baseline"/>
        </w:rPr>
        <w:t> </w:t>
      </w:r>
      <w:r>
        <w:rPr>
          <w:vertAlign w:val="baseline"/>
        </w:rPr>
        <w:t>age</w:t>
      </w:r>
      <w:r>
        <w:rPr>
          <w:spacing w:val="-7"/>
          <w:vertAlign w:val="baseline"/>
        </w:rPr>
        <w:t> </w:t>
      </w:r>
      <w:r>
        <w:rPr>
          <w:vertAlign w:val="baseline"/>
        </w:rPr>
        <w:t>and</w:t>
      </w:r>
      <w:r>
        <w:rPr>
          <w:spacing w:val="-7"/>
          <w:vertAlign w:val="baseline"/>
        </w:rPr>
        <w:t> </w:t>
      </w:r>
      <w:r>
        <w:rPr>
          <w:vertAlign w:val="baseline"/>
        </w:rPr>
        <w:t>insurance</w:t>
      </w:r>
      <w:r>
        <w:rPr>
          <w:spacing w:val="-4"/>
          <w:vertAlign w:val="baseline"/>
        </w:rPr>
        <w:t> </w:t>
      </w:r>
      <w:r>
        <w:rPr>
          <w:vertAlign w:val="baseline"/>
        </w:rPr>
        <w:t>disparities</w:t>
      </w:r>
      <w:r>
        <w:rPr>
          <w:spacing w:val="-6"/>
          <w:vertAlign w:val="baseline"/>
        </w:rPr>
        <w:t> </w:t>
      </w:r>
      <w:r>
        <w:rPr>
          <w:vertAlign w:val="baseline"/>
        </w:rPr>
        <w:t>remain.</w:t>
      </w:r>
      <w:r>
        <w:rPr>
          <w:spacing w:val="-6"/>
          <w:vertAlign w:val="baseline"/>
        </w:rPr>
        <w:t> </w:t>
      </w:r>
      <w:r>
        <w:rPr>
          <w:vertAlign w:val="baseline"/>
        </w:rPr>
        <w:t>A</w:t>
      </w:r>
      <w:r>
        <w:rPr>
          <w:spacing w:val="-6"/>
          <w:vertAlign w:val="baseline"/>
        </w:rPr>
        <w:t> </w:t>
      </w:r>
      <w:r>
        <w:rPr>
          <w:vertAlign w:val="baseline"/>
        </w:rPr>
        <w:t>report</w:t>
      </w:r>
      <w:r>
        <w:rPr>
          <w:spacing w:val="-7"/>
          <w:vertAlign w:val="baseline"/>
        </w:rPr>
        <w:t> </w:t>
      </w:r>
      <w:r>
        <w:rPr>
          <w:vertAlign w:val="baseline"/>
        </w:rPr>
        <w:t>from</w:t>
      </w:r>
      <w:r>
        <w:rPr>
          <w:spacing w:val="-6"/>
          <w:vertAlign w:val="baseline"/>
        </w:rPr>
        <w:t> </w:t>
      </w:r>
      <w:r>
        <w:rPr>
          <w:vertAlign w:val="baseline"/>
        </w:rPr>
        <w:t>the</w:t>
      </w:r>
      <w:r>
        <w:rPr>
          <w:spacing w:val="-7"/>
          <w:vertAlign w:val="baseline"/>
        </w:rPr>
        <w:t> </w:t>
      </w:r>
      <w:r>
        <w:rPr>
          <w:vertAlign w:val="baseline"/>
        </w:rPr>
        <w:t>Massachusetts</w:t>
      </w:r>
      <w:r>
        <w:rPr>
          <w:spacing w:val="-5"/>
          <w:vertAlign w:val="baseline"/>
        </w:rPr>
        <w:t> </w:t>
      </w:r>
      <w:r>
        <w:rPr>
          <w:vertAlign w:val="baseline"/>
        </w:rPr>
        <w:t>Department</w:t>
      </w:r>
      <w:r>
        <w:rPr>
          <w:spacing w:val="-6"/>
          <w:vertAlign w:val="baseline"/>
        </w:rPr>
        <w:t> </w:t>
      </w:r>
      <w:r>
        <w:rPr>
          <w:vertAlign w:val="baseline"/>
        </w:rPr>
        <w:t>of</w:t>
      </w:r>
      <w:r>
        <w:rPr>
          <w:spacing w:val="-6"/>
          <w:vertAlign w:val="baseline"/>
        </w:rPr>
        <w:t> </w:t>
      </w:r>
      <w:r>
        <w:rPr>
          <w:vertAlign w:val="baseline"/>
        </w:rPr>
        <w:t>Public</w:t>
      </w:r>
      <w:r>
        <w:rPr>
          <w:spacing w:val="-6"/>
          <w:vertAlign w:val="baseline"/>
        </w:rPr>
        <w:t> </w:t>
      </w:r>
      <w:r>
        <w:rPr>
          <w:vertAlign w:val="baseline"/>
        </w:rPr>
        <w:t>Health showed that Black women were approximately twice as likely as white women to experience pregnancy- associated mortality, with a large percentage of these deaths reported to be preventable</w:t>
      </w:r>
      <w:hyperlink w:history="true" w:anchor="_bookmark237">
        <w:r>
          <w:rPr>
            <w:vertAlign w:val="baseline"/>
          </w:rPr>
          <w:t>.</w:t>
        </w:r>
        <w:r>
          <w:rPr>
            <w:vertAlign w:val="superscript"/>
          </w:rPr>
          <w:t>44</w:t>
        </w:r>
      </w:hyperlink>
      <w:r>
        <w:rPr>
          <w:vertAlign w:val="baseline"/>
        </w:rPr>
        <w:t> At the intersection of race, Black women with pregnancy-related conditions such as preeclampsia, eclampsia, </w:t>
      </w:r>
      <w:r>
        <w:rPr>
          <w:spacing w:val="-2"/>
          <w:vertAlign w:val="baseline"/>
        </w:rPr>
        <w:t>placental abruption, placenta previa, and postpartum hemorrhage, who gave birth are four times more likely </w:t>
      </w:r>
      <w:r>
        <w:rPr>
          <w:vertAlign w:val="baseline"/>
        </w:rPr>
        <w:t>to die than white women who gave birth. Alarmingly, Black pregnant people do not show a higher significance</w:t>
      </w:r>
      <w:r>
        <w:rPr>
          <w:spacing w:val="-9"/>
          <w:vertAlign w:val="baseline"/>
        </w:rPr>
        <w:t> </w:t>
      </w:r>
      <w:r>
        <w:rPr>
          <w:vertAlign w:val="baseline"/>
        </w:rPr>
        <w:t>of</w:t>
      </w:r>
      <w:r>
        <w:rPr>
          <w:spacing w:val="-10"/>
          <w:vertAlign w:val="baseline"/>
        </w:rPr>
        <w:t> </w:t>
      </w:r>
      <w:r>
        <w:rPr>
          <w:vertAlign w:val="baseline"/>
        </w:rPr>
        <w:t>pregnancy-related</w:t>
      </w:r>
      <w:r>
        <w:rPr>
          <w:spacing w:val="-9"/>
          <w:vertAlign w:val="baseline"/>
        </w:rPr>
        <w:t> </w:t>
      </w:r>
      <w:r>
        <w:rPr>
          <w:vertAlign w:val="baseline"/>
        </w:rPr>
        <w:t>medical</w:t>
      </w:r>
      <w:r>
        <w:rPr>
          <w:spacing w:val="-10"/>
          <w:vertAlign w:val="baseline"/>
        </w:rPr>
        <w:t> </w:t>
      </w:r>
      <w:r>
        <w:rPr>
          <w:vertAlign w:val="baseline"/>
        </w:rPr>
        <w:t>conditions</w:t>
      </w:r>
      <w:r>
        <w:rPr>
          <w:spacing w:val="-7"/>
          <w:vertAlign w:val="baseline"/>
        </w:rPr>
        <w:t> </w:t>
      </w:r>
      <w:r>
        <w:rPr>
          <w:vertAlign w:val="baseline"/>
        </w:rPr>
        <w:t>but</w:t>
      </w:r>
      <w:r>
        <w:rPr>
          <w:spacing w:val="-9"/>
          <w:vertAlign w:val="baseline"/>
        </w:rPr>
        <w:t> </w:t>
      </w:r>
      <w:r>
        <w:rPr>
          <w:vertAlign w:val="baseline"/>
        </w:rPr>
        <w:t>were</w:t>
      </w:r>
      <w:r>
        <w:rPr>
          <w:spacing w:val="-8"/>
          <w:vertAlign w:val="baseline"/>
        </w:rPr>
        <w:t> </w:t>
      </w:r>
      <w:r>
        <w:rPr>
          <w:vertAlign w:val="baseline"/>
        </w:rPr>
        <w:t>more</w:t>
      </w:r>
      <w:r>
        <w:rPr>
          <w:spacing w:val="-10"/>
          <w:vertAlign w:val="baseline"/>
        </w:rPr>
        <w:t> </w:t>
      </w:r>
      <w:r>
        <w:rPr>
          <w:vertAlign w:val="baseline"/>
        </w:rPr>
        <w:t>likely</w:t>
      </w:r>
      <w:r>
        <w:rPr>
          <w:spacing w:val="-9"/>
          <w:vertAlign w:val="baseline"/>
        </w:rPr>
        <w:t> </w:t>
      </w:r>
      <w:r>
        <w:rPr>
          <w:vertAlign w:val="baseline"/>
        </w:rPr>
        <w:t>to</w:t>
      </w:r>
      <w:r>
        <w:rPr>
          <w:spacing w:val="-8"/>
          <w:vertAlign w:val="baseline"/>
        </w:rPr>
        <w:t> </w:t>
      </w:r>
      <w:r>
        <w:rPr>
          <w:vertAlign w:val="baseline"/>
        </w:rPr>
        <w:t>die</w:t>
      </w:r>
      <w:r>
        <w:rPr>
          <w:spacing w:val="-8"/>
          <w:vertAlign w:val="baseline"/>
        </w:rPr>
        <w:t> </w:t>
      </w:r>
      <w:r>
        <w:rPr>
          <w:vertAlign w:val="baseline"/>
        </w:rPr>
        <w:t>from</w:t>
      </w:r>
      <w:r>
        <w:rPr>
          <w:spacing w:val="-10"/>
          <w:vertAlign w:val="baseline"/>
        </w:rPr>
        <w:t> </w:t>
      </w:r>
      <w:r>
        <w:rPr>
          <w:vertAlign w:val="baseline"/>
        </w:rPr>
        <w:t>these</w:t>
      </w:r>
      <w:r>
        <w:rPr>
          <w:spacing w:val="-9"/>
          <w:vertAlign w:val="baseline"/>
        </w:rPr>
        <w:t> </w:t>
      </w:r>
      <w:r>
        <w:rPr>
          <w:vertAlign w:val="baseline"/>
        </w:rPr>
        <w:t>conditions</w:t>
      </w:r>
      <w:r>
        <w:rPr>
          <w:spacing w:val="-8"/>
          <w:vertAlign w:val="baseline"/>
        </w:rPr>
        <w:t> </w:t>
      </w:r>
      <w:r>
        <w:rPr>
          <w:vertAlign w:val="baseline"/>
        </w:rPr>
        <w:t>than white pregnant people with the same pregnancy-related conditions</w:t>
      </w:r>
      <w:hyperlink w:history="true" w:anchor="_bookmark238">
        <w:r>
          <w:rPr>
            <w:vertAlign w:val="baseline"/>
          </w:rPr>
          <w:t>.</w:t>
        </w:r>
        <w:r>
          <w:rPr>
            <w:vertAlign w:val="superscript"/>
          </w:rPr>
          <w:t>45</w:t>
        </w:r>
      </w:hyperlink>
      <w:r>
        <w:rPr>
          <w:vertAlign w:val="baseline"/>
        </w:rPr>
        <w:t> The lack of universal data collection on the gender identity and sexuality of pregnant people makes it difficult to know the extent of pregnancy associated-deaths in LGBTQ populations.</w:t>
      </w:r>
    </w:p>
    <w:p>
      <w:pPr>
        <w:spacing w:before="239"/>
        <w:ind w:left="463" w:right="0" w:firstLine="0"/>
        <w:jc w:val="left"/>
        <w:rPr>
          <w:sz w:val="28"/>
        </w:rPr>
      </w:pPr>
      <w:bookmarkStart w:name="Abortion" w:id="375"/>
      <w:bookmarkEnd w:id="375"/>
      <w:r>
        <w:rPr/>
      </w:r>
      <w:r>
        <w:rPr>
          <w:color w:val="365F91"/>
          <w:spacing w:val="-2"/>
          <w:sz w:val="28"/>
        </w:rPr>
        <w:t>Abortion</w:t>
      </w:r>
    </w:p>
    <w:p>
      <w:pPr>
        <w:pStyle w:val="BodyText"/>
        <w:spacing w:line="276" w:lineRule="auto" w:before="292"/>
        <w:ind w:left="463" w:right="242"/>
        <w:jc w:val="both"/>
      </w:pPr>
      <w:r>
        <w:rPr/>
        <w:t>In 1973, the Supreme Court had constitutionally ruled the right to an abortion in </w:t>
      </w:r>
      <w:r>
        <w:rPr>
          <w:i/>
        </w:rPr>
        <w:t>Roe v. Wade</w:t>
      </w:r>
      <w:r>
        <w:rPr/>
        <w:t>, until the ruling was reversed in the summer of 2022. At the time before the overturning, the federal Medicaid program covered the cost of an abortion. The Hyde Amendment, which prohibits Medicaid funding for abortion</w:t>
      </w:r>
      <w:r>
        <w:rPr>
          <w:spacing w:val="-8"/>
        </w:rPr>
        <w:t> </w:t>
      </w:r>
      <w:r>
        <w:rPr/>
        <w:t>services,</w:t>
      </w:r>
      <w:r>
        <w:rPr>
          <w:spacing w:val="-7"/>
        </w:rPr>
        <w:t> </w:t>
      </w:r>
      <w:r>
        <w:rPr/>
        <w:t>was</w:t>
      </w:r>
      <w:r>
        <w:rPr>
          <w:spacing w:val="-7"/>
        </w:rPr>
        <w:t> </w:t>
      </w:r>
      <w:r>
        <w:rPr/>
        <w:t>passed</w:t>
      </w:r>
      <w:r>
        <w:rPr>
          <w:spacing w:val="-8"/>
        </w:rPr>
        <w:t> </w:t>
      </w:r>
      <w:r>
        <w:rPr/>
        <w:t>and</w:t>
      </w:r>
      <w:r>
        <w:rPr>
          <w:spacing w:val="-8"/>
        </w:rPr>
        <w:t> </w:t>
      </w:r>
      <w:r>
        <w:rPr/>
        <w:t>implemented</w:t>
      </w:r>
      <w:r>
        <w:rPr>
          <w:spacing w:val="-7"/>
        </w:rPr>
        <w:t> </w:t>
      </w:r>
      <w:r>
        <w:rPr/>
        <w:t>in</w:t>
      </w:r>
      <w:r>
        <w:rPr>
          <w:spacing w:val="-7"/>
        </w:rPr>
        <w:t> </w:t>
      </w:r>
      <w:r>
        <w:rPr/>
        <w:t>the</w:t>
      </w:r>
      <w:r>
        <w:rPr>
          <w:spacing w:val="-8"/>
        </w:rPr>
        <w:t> </w:t>
      </w:r>
      <w:r>
        <w:rPr/>
        <w:t>Medicare</w:t>
      </w:r>
      <w:r>
        <w:rPr>
          <w:spacing w:val="-8"/>
        </w:rPr>
        <w:t> </w:t>
      </w:r>
      <w:r>
        <w:rPr/>
        <w:t>funding</w:t>
      </w:r>
      <w:r>
        <w:rPr>
          <w:spacing w:val="-7"/>
        </w:rPr>
        <w:t> </w:t>
      </w:r>
      <w:r>
        <w:rPr/>
        <w:t>bill</w:t>
      </w:r>
      <w:r>
        <w:rPr>
          <w:spacing w:val="-7"/>
        </w:rPr>
        <w:t> </w:t>
      </w:r>
      <w:r>
        <w:rPr/>
        <w:t>in</w:t>
      </w:r>
      <w:r>
        <w:rPr>
          <w:spacing w:val="-7"/>
        </w:rPr>
        <w:t> </w:t>
      </w:r>
      <w:r>
        <w:rPr/>
        <w:t>1976.</w:t>
      </w:r>
      <w:r>
        <w:rPr>
          <w:spacing w:val="-8"/>
        </w:rPr>
        <w:t> </w:t>
      </w:r>
      <w:r>
        <w:rPr/>
        <w:t>As</w:t>
      </w:r>
      <w:r>
        <w:rPr>
          <w:spacing w:val="-7"/>
        </w:rPr>
        <w:t> </w:t>
      </w:r>
      <w:r>
        <w:rPr/>
        <w:t>a</w:t>
      </w:r>
      <w:r>
        <w:rPr>
          <w:spacing w:val="-7"/>
        </w:rPr>
        <w:t> </w:t>
      </w:r>
      <w:r>
        <w:rPr/>
        <w:t>result,</w:t>
      </w:r>
      <w:r>
        <w:rPr>
          <w:spacing w:val="-6"/>
        </w:rPr>
        <w:t> </w:t>
      </w:r>
      <w:r>
        <w:rPr/>
        <w:t>this</w:t>
      </w:r>
      <w:r>
        <w:rPr>
          <w:spacing w:val="-7"/>
        </w:rPr>
        <w:t> </w:t>
      </w:r>
      <w:r>
        <w:rPr/>
        <w:t>affects LGBTQ individuals who already experience access disparities for healthcare services due to a lack of insurance coverage or being underinsured. A 2018 survey by the Center for American Progress found that 20% of LGBTQ people reported receiving Medicaid benefits compared to 12.9% of non-LGBTQ people. LGBTQ</w:t>
      </w:r>
      <w:r>
        <w:rPr>
          <w:spacing w:val="-6"/>
        </w:rPr>
        <w:t> </w:t>
      </w:r>
      <w:r>
        <w:rPr/>
        <w:t>people</w:t>
      </w:r>
      <w:r>
        <w:rPr>
          <w:spacing w:val="-6"/>
        </w:rPr>
        <w:t> </w:t>
      </w:r>
      <w:r>
        <w:rPr/>
        <w:t>of</w:t>
      </w:r>
      <w:r>
        <w:rPr>
          <w:spacing w:val="-5"/>
        </w:rPr>
        <w:t> </w:t>
      </w:r>
      <w:r>
        <w:rPr/>
        <w:t>color</w:t>
      </w:r>
      <w:r>
        <w:rPr>
          <w:spacing w:val="-5"/>
        </w:rPr>
        <w:t> </w:t>
      </w:r>
      <w:r>
        <w:rPr/>
        <w:t>reported</w:t>
      </w:r>
      <w:r>
        <w:rPr>
          <w:spacing w:val="-6"/>
        </w:rPr>
        <w:t> </w:t>
      </w:r>
      <w:r>
        <w:rPr/>
        <w:t>receiving</w:t>
      </w:r>
      <w:r>
        <w:rPr>
          <w:spacing w:val="-6"/>
        </w:rPr>
        <w:t> </w:t>
      </w:r>
      <w:r>
        <w:rPr/>
        <w:t>Medicaid</w:t>
      </w:r>
      <w:r>
        <w:rPr>
          <w:spacing w:val="-4"/>
        </w:rPr>
        <w:t> </w:t>
      </w:r>
      <w:r>
        <w:rPr/>
        <w:t>benefits</w:t>
      </w:r>
      <w:r>
        <w:rPr>
          <w:spacing w:val="-5"/>
        </w:rPr>
        <w:t> </w:t>
      </w:r>
      <w:r>
        <w:rPr/>
        <w:t>at</w:t>
      </w:r>
      <w:r>
        <w:rPr>
          <w:spacing w:val="-5"/>
        </w:rPr>
        <w:t> </w:t>
      </w:r>
      <w:r>
        <w:rPr/>
        <w:t>the</w:t>
      </w:r>
      <w:r>
        <w:rPr>
          <w:spacing w:val="-6"/>
        </w:rPr>
        <w:t> </w:t>
      </w:r>
      <w:r>
        <w:rPr/>
        <w:t>rate</w:t>
      </w:r>
      <w:r>
        <w:rPr>
          <w:spacing w:val="-6"/>
        </w:rPr>
        <w:t> </w:t>
      </w:r>
      <w:r>
        <w:rPr/>
        <w:t>of</w:t>
      </w:r>
      <w:r>
        <w:rPr>
          <w:spacing w:val="-5"/>
        </w:rPr>
        <w:t> </w:t>
      </w:r>
      <w:r>
        <w:rPr/>
        <w:t>24%</w:t>
      </w:r>
      <w:r>
        <w:rPr>
          <w:spacing w:val="-5"/>
        </w:rPr>
        <w:t> </w:t>
      </w:r>
      <w:r>
        <w:rPr/>
        <w:t>compared</w:t>
      </w:r>
      <w:r>
        <w:rPr>
          <w:spacing w:val="-4"/>
        </w:rPr>
        <w:t> </w:t>
      </w:r>
      <w:r>
        <w:rPr/>
        <w:t>to</w:t>
      </w:r>
      <w:r>
        <w:rPr>
          <w:spacing w:val="-5"/>
        </w:rPr>
        <w:t> </w:t>
      </w:r>
      <w:r>
        <w:rPr/>
        <w:t>18.8%</w:t>
      </w:r>
      <w:r>
        <w:rPr>
          <w:spacing w:val="-5"/>
        </w:rPr>
        <w:t> </w:t>
      </w:r>
      <w:r>
        <w:rPr/>
        <w:t>of</w:t>
      </w:r>
      <w:r>
        <w:rPr>
          <w:spacing w:val="-5"/>
        </w:rPr>
        <w:t> </w:t>
      </w:r>
      <w:r>
        <w:rPr/>
        <w:t>white LGBTQ people; and 21.4% of transgender people reported that they or their family received Medicaid benefits,</w:t>
      </w:r>
      <w:r>
        <w:rPr>
          <w:spacing w:val="-4"/>
        </w:rPr>
        <w:t> </w:t>
      </w:r>
      <w:r>
        <w:rPr/>
        <w:t>compared</w:t>
      </w:r>
      <w:r>
        <w:rPr>
          <w:spacing w:val="-4"/>
        </w:rPr>
        <w:t> </w:t>
      </w:r>
      <w:r>
        <w:rPr/>
        <w:t>to</w:t>
      </w:r>
      <w:r>
        <w:rPr>
          <w:spacing w:val="-5"/>
        </w:rPr>
        <w:t> </w:t>
      </w:r>
      <w:r>
        <w:rPr/>
        <w:t>13.4%</w:t>
      </w:r>
      <w:r>
        <w:rPr>
          <w:spacing w:val="-5"/>
        </w:rPr>
        <w:t> </w:t>
      </w:r>
      <w:r>
        <w:rPr/>
        <w:t>of</w:t>
      </w:r>
      <w:r>
        <w:rPr>
          <w:spacing w:val="-4"/>
        </w:rPr>
        <w:t> </w:t>
      </w:r>
      <w:r>
        <w:rPr/>
        <w:t>cisgender</w:t>
      </w:r>
      <w:r>
        <w:rPr>
          <w:spacing w:val="-5"/>
        </w:rPr>
        <w:t> </w:t>
      </w:r>
      <w:r>
        <w:rPr/>
        <w:t>people.</w:t>
      </w:r>
      <w:r>
        <w:rPr>
          <w:spacing w:val="-4"/>
        </w:rPr>
        <w:t> </w:t>
      </w:r>
      <w:r>
        <w:rPr/>
        <w:t>Additionally,</w:t>
      </w:r>
      <w:r>
        <w:rPr>
          <w:spacing w:val="-5"/>
        </w:rPr>
        <w:t> </w:t>
      </w:r>
      <w:r>
        <w:rPr/>
        <w:t>LGBTQ</w:t>
      </w:r>
      <w:r>
        <w:rPr>
          <w:spacing w:val="-4"/>
        </w:rPr>
        <w:t> </w:t>
      </w:r>
      <w:r>
        <w:rPr/>
        <w:t>individuals</w:t>
      </w:r>
      <w:r>
        <w:rPr>
          <w:spacing w:val="-5"/>
        </w:rPr>
        <w:t> </w:t>
      </w:r>
      <w:r>
        <w:rPr/>
        <w:t>with</w:t>
      </w:r>
      <w:r>
        <w:rPr>
          <w:spacing w:val="-3"/>
        </w:rPr>
        <w:t> </w:t>
      </w:r>
      <w:r>
        <w:rPr/>
        <w:t>disabilities</w:t>
      </w:r>
      <w:r>
        <w:rPr>
          <w:spacing w:val="-5"/>
        </w:rPr>
        <w:t> </w:t>
      </w:r>
      <w:r>
        <w:rPr/>
        <w:t>reported receiving Medicaid benefits at a rate of 44.4%, as compared to 11.8% of non-disabled LGBTQ people.</w:t>
      </w:r>
      <w:hyperlink w:history="true" w:anchor="_bookmark239">
        <w:r>
          <w:rPr>
            <w:vertAlign w:val="superscript"/>
          </w:rPr>
          <w:t>46</w:t>
        </w:r>
      </w:hyperlink>
    </w:p>
    <w:p>
      <w:pPr>
        <w:pStyle w:val="BodyText"/>
        <w:spacing w:line="276" w:lineRule="auto" w:before="240"/>
        <w:ind w:left="463" w:right="240"/>
        <w:jc w:val="both"/>
      </w:pPr>
      <w:r>
        <w:rPr/>
        <w:t>LGBTQ people who receive Medicaid may experience cost barriers when seeking abortion services, especially</w:t>
      </w:r>
      <w:r>
        <w:rPr>
          <w:spacing w:val="-10"/>
        </w:rPr>
        <w:t> </w:t>
      </w:r>
      <w:r>
        <w:rPr/>
        <w:t>since</w:t>
      </w:r>
      <w:r>
        <w:rPr>
          <w:spacing w:val="-11"/>
        </w:rPr>
        <w:t> </w:t>
      </w:r>
      <w:r>
        <w:rPr/>
        <w:t>LGBTQ</w:t>
      </w:r>
      <w:r>
        <w:rPr>
          <w:spacing w:val="-10"/>
        </w:rPr>
        <w:t> </w:t>
      </w:r>
      <w:r>
        <w:rPr/>
        <w:t>individuals</w:t>
      </w:r>
      <w:r>
        <w:rPr>
          <w:spacing w:val="-11"/>
        </w:rPr>
        <w:t> </w:t>
      </w:r>
      <w:r>
        <w:rPr/>
        <w:t>under</w:t>
      </w:r>
      <w:r>
        <w:rPr>
          <w:spacing w:val="-10"/>
        </w:rPr>
        <w:t> </w:t>
      </w:r>
      <w:r>
        <w:rPr/>
        <w:t>the</w:t>
      </w:r>
      <w:r>
        <w:rPr>
          <w:spacing w:val="-11"/>
        </w:rPr>
        <w:t> </w:t>
      </w:r>
      <w:r>
        <w:rPr/>
        <w:t>age</w:t>
      </w:r>
      <w:r>
        <w:rPr>
          <w:spacing w:val="-10"/>
        </w:rPr>
        <w:t> </w:t>
      </w:r>
      <w:r>
        <w:rPr/>
        <w:t>of</w:t>
      </w:r>
      <w:r>
        <w:rPr>
          <w:spacing w:val="-11"/>
        </w:rPr>
        <w:t> </w:t>
      </w:r>
      <w:r>
        <w:rPr/>
        <w:t>20</w:t>
      </w:r>
      <w:r>
        <w:rPr>
          <w:spacing w:val="-10"/>
        </w:rPr>
        <w:t> </w:t>
      </w:r>
      <w:r>
        <w:rPr/>
        <w:t>are</w:t>
      </w:r>
      <w:r>
        <w:rPr>
          <w:spacing w:val="-10"/>
        </w:rPr>
        <w:t> </w:t>
      </w:r>
      <w:r>
        <w:rPr/>
        <w:t>more</w:t>
      </w:r>
      <w:r>
        <w:rPr>
          <w:spacing w:val="-11"/>
        </w:rPr>
        <w:t> </w:t>
      </w:r>
      <w:r>
        <w:rPr/>
        <w:t>likely</w:t>
      </w:r>
      <w:r>
        <w:rPr>
          <w:spacing w:val="-11"/>
        </w:rPr>
        <w:t> </w:t>
      </w:r>
      <w:r>
        <w:rPr/>
        <w:t>to</w:t>
      </w:r>
      <w:r>
        <w:rPr>
          <w:spacing w:val="-10"/>
        </w:rPr>
        <w:t> </w:t>
      </w:r>
      <w:r>
        <w:rPr/>
        <w:t>have</w:t>
      </w:r>
      <w:r>
        <w:rPr>
          <w:spacing w:val="-11"/>
        </w:rPr>
        <w:t> </w:t>
      </w:r>
      <w:r>
        <w:rPr/>
        <w:t>an</w:t>
      </w:r>
      <w:r>
        <w:rPr>
          <w:spacing w:val="-9"/>
        </w:rPr>
        <w:t> </w:t>
      </w:r>
      <w:r>
        <w:rPr/>
        <w:t>abortion</w:t>
      </w:r>
      <w:r>
        <w:rPr>
          <w:spacing w:val="-11"/>
        </w:rPr>
        <w:t> </w:t>
      </w:r>
      <w:r>
        <w:rPr/>
        <w:t>compared</w:t>
      </w:r>
      <w:r>
        <w:rPr>
          <w:spacing w:val="-10"/>
        </w:rPr>
        <w:t> </w:t>
      </w:r>
      <w:r>
        <w:rPr/>
        <w:t>to</w:t>
      </w:r>
      <w:r>
        <w:rPr>
          <w:spacing w:val="-11"/>
        </w:rPr>
        <w:t> </w:t>
      </w:r>
      <w:r>
        <w:rPr/>
        <w:t>their heterosexual counterparts</w:t>
      </w:r>
      <w:hyperlink w:history="true" w:anchor="_bookmark240">
        <w:r>
          <w:rPr/>
          <w:t>.</w:t>
        </w:r>
        <w:r>
          <w:rPr>
            <w:vertAlign w:val="superscript"/>
          </w:rPr>
          <w:t>47</w:t>
        </w:r>
      </w:hyperlink>
      <w:r>
        <w:rPr>
          <w:vertAlign w:val="baseline"/>
        </w:rPr>
        <w:t> A 2017 study showed that an estimated number of 462 to 530 transgender and nonbinary individuals obtained abortion care services, but only 23% of those clinics provided transgender-specific</w:t>
      </w:r>
      <w:r>
        <w:rPr>
          <w:spacing w:val="-2"/>
          <w:vertAlign w:val="baseline"/>
        </w:rPr>
        <w:t> </w:t>
      </w:r>
      <w:r>
        <w:rPr>
          <w:vertAlign w:val="baseline"/>
        </w:rPr>
        <w:t>care.</w:t>
      </w:r>
      <w:r>
        <w:rPr>
          <w:spacing w:val="-3"/>
          <w:vertAlign w:val="baseline"/>
        </w:rPr>
        <w:t> </w:t>
      </w:r>
      <w:hyperlink w:history="true" w:anchor="_bookmark241">
        <w:r>
          <w:rPr>
            <w:vertAlign w:val="superscript"/>
          </w:rPr>
          <w:t>48</w:t>
        </w:r>
      </w:hyperlink>
      <w:r>
        <w:rPr>
          <w:spacing w:val="-4"/>
          <w:vertAlign w:val="baseline"/>
        </w:rPr>
        <w:t> </w:t>
      </w:r>
      <w:r>
        <w:rPr>
          <w:vertAlign w:val="baseline"/>
        </w:rPr>
        <w:t>The</w:t>
      </w:r>
      <w:r>
        <w:rPr>
          <w:spacing w:val="-4"/>
          <w:vertAlign w:val="baseline"/>
        </w:rPr>
        <w:t> </w:t>
      </w:r>
      <w:r>
        <w:rPr>
          <w:vertAlign w:val="baseline"/>
        </w:rPr>
        <w:t>recent</w:t>
      </w:r>
      <w:r>
        <w:rPr>
          <w:spacing w:val="-2"/>
          <w:vertAlign w:val="baseline"/>
        </w:rPr>
        <w:t> </w:t>
      </w:r>
      <w:r>
        <w:rPr>
          <w:vertAlign w:val="baseline"/>
        </w:rPr>
        <w:t>overturn</w:t>
      </w:r>
      <w:r>
        <w:rPr>
          <w:spacing w:val="-4"/>
          <w:vertAlign w:val="baseline"/>
        </w:rPr>
        <w:t> </w:t>
      </w:r>
      <w:r>
        <w:rPr>
          <w:vertAlign w:val="baseline"/>
        </w:rPr>
        <w:t>of</w:t>
      </w:r>
      <w:r>
        <w:rPr>
          <w:spacing w:val="-3"/>
          <w:vertAlign w:val="baseline"/>
        </w:rPr>
        <w:t> </w:t>
      </w:r>
      <w:r>
        <w:rPr>
          <w:i/>
          <w:vertAlign w:val="baseline"/>
        </w:rPr>
        <w:t>Roe</w:t>
      </w:r>
      <w:r>
        <w:rPr>
          <w:i/>
          <w:spacing w:val="-5"/>
          <w:vertAlign w:val="baseline"/>
        </w:rPr>
        <w:t> </w:t>
      </w:r>
      <w:r>
        <w:rPr>
          <w:i/>
          <w:vertAlign w:val="baseline"/>
        </w:rPr>
        <w:t>v.</w:t>
      </w:r>
      <w:r>
        <w:rPr>
          <w:i/>
          <w:spacing w:val="-3"/>
          <w:vertAlign w:val="baseline"/>
        </w:rPr>
        <w:t> </w:t>
      </w:r>
      <w:r>
        <w:rPr>
          <w:i/>
          <w:vertAlign w:val="baseline"/>
        </w:rPr>
        <w:t>Wade</w:t>
      </w:r>
      <w:r>
        <w:rPr>
          <w:i/>
          <w:spacing w:val="-3"/>
          <w:vertAlign w:val="baseline"/>
        </w:rPr>
        <w:t> </w:t>
      </w:r>
      <w:r>
        <w:rPr>
          <w:vertAlign w:val="baseline"/>
        </w:rPr>
        <w:t>may</w:t>
      </w:r>
      <w:r>
        <w:rPr>
          <w:spacing w:val="-4"/>
          <w:vertAlign w:val="baseline"/>
        </w:rPr>
        <w:t> </w:t>
      </w:r>
      <w:r>
        <w:rPr>
          <w:vertAlign w:val="baseline"/>
        </w:rPr>
        <w:t>add</w:t>
      </w:r>
      <w:r>
        <w:rPr>
          <w:spacing w:val="-3"/>
          <w:vertAlign w:val="baseline"/>
        </w:rPr>
        <w:t> </w:t>
      </w:r>
      <w:r>
        <w:rPr>
          <w:vertAlign w:val="baseline"/>
        </w:rPr>
        <w:t>another</w:t>
      </w:r>
      <w:r>
        <w:rPr>
          <w:spacing w:val="-4"/>
          <w:vertAlign w:val="baseline"/>
        </w:rPr>
        <w:t> </w:t>
      </w:r>
      <w:r>
        <w:rPr>
          <w:vertAlign w:val="baseline"/>
        </w:rPr>
        <w:t>layer</w:t>
      </w:r>
      <w:r>
        <w:rPr>
          <w:spacing w:val="-4"/>
          <w:vertAlign w:val="baseline"/>
        </w:rPr>
        <w:t> </w:t>
      </w:r>
      <w:r>
        <w:rPr>
          <w:vertAlign w:val="baseline"/>
        </w:rPr>
        <w:t>of</w:t>
      </w:r>
      <w:r>
        <w:rPr>
          <w:spacing w:val="-3"/>
          <w:vertAlign w:val="baseline"/>
        </w:rPr>
        <w:t> </w:t>
      </w:r>
      <w:r>
        <w:rPr>
          <w:vertAlign w:val="baseline"/>
        </w:rPr>
        <w:t>inaccessibility</w:t>
      </w:r>
      <w:r>
        <w:rPr>
          <w:spacing w:val="-2"/>
          <w:vertAlign w:val="baseline"/>
        </w:rPr>
        <w:t> </w:t>
      </w:r>
      <w:r>
        <w:rPr>
          <w:vertAlign w:val="baseline"/>
        </w:rPr>
        <w:t>to abortion</w:t>
      </w:r>
      <w:r>
        <w:rPr>
          <w:spacing w:val="-2"/>
          <w:vertAlign w:val="baseline"/>
        </w:rPr>
        <w:t> </w:t>
      </w:r>
      <w:r>
        <w:rPr>
          <w:vertAlign w:val="baseline"/>
        </w:rPr>
        <w:t>care services</w:t>
      </w:r>
      <w:r>
        <w:rPr>
          <w:spacing w:val="-1"/>
          <w:vertAlign w:val="baseline"/>
        </w:rPr>
        <w:t> </w:t>
      </w:r>
      <w:r>
        <w:rPr>
          <w:vertAlign w:val="baseline"/>
        </w:rPr>
        <w:t>for</w:t>
      </w:r>
      <w:r>
        <w:rPr>
          <w:spacing w:val="-1"/>
          <w:vertAlign w:val="baseline"/>
        </w:rPr>
        <w:t> </w:t>
      </w:r>
      <w:r>
        <w:rPr>
          <w:vertAlign w:val="baseline"/>
        </w:rPr>
        <w:t>LGBTQ</w:t>
      </w:r>
      <w:r>
        <w:rPr>
          <w:spacing w:val="-2"/>
          <w:vertAlign w:val="baseline"/>
        </w:rPr>
        <w:t> </w:t>
      </w:r>
      <w:r>
        <w:rPr>
          <w:vertAlign w:val="baseline"/>
        </w:rPr>
        <w:t>youth, particularly in</w:t>
      </w:r>
      <w:r>
        <w:rPr>
          <w:spacing w:val="-2"/>
          <w:vertAlign w:val="baseline"/>
        </w:rPr>
        <w:t> </w:t>
      </w:r>
      <w:r>
        <w:rPr>
          <w:vertAlign w:val="baseline"/>
        </w:rPr>
        <w:t>more conservative</w:t>
      </w:r>
      <w:r>
        <w:rPr>
          <w:spacing w:val="-2"/>
          <w:vertAlign w:val="baseline"/>
        </w:rPr>
        <w:t> </w:t>
      </w:r>
      <w:r>
        <w:rPr>
          <w:vertAlign w:val="baseline"/>
        </w:rPr>
        <w:t>states and</w:t>
      </w:r>
      <w:r>
        <w:rPr>
          <w:spacing w:val="-2"/>
          <w:vertAlign w:val="baseline"/>
        </w:rPr>
        <w:t> </w:t>
      </w:r>
      <w:r>
        <w:rPr>
          <w:vertAlign w:val="baseline"/>
        </w:rPr>
        <w:t>rural areas.</w:t>
      </w:r>
      <w:r>
        <w:rPr>
          <w:spacing w:val="-2"/>
          <w:vertAlign w:val="baseline"/>
        </w:rPr>
        <w:t> </w:t>
      </w:r>
      <w:r>
        <w:rPr>
          <w:vertAlign w:val="baseline"/>
        </w:rPr>
        <w:t>According to</w:t>
      </w:r>
      <w:r>
        <w:rPr>
          <w:spacing w:val="-4"/>
          <w:vertAlign w:val="baseline"/>
        </w:rPr>
        <w:t> </w:t>
      </w:r>
      <w:r>
        <w:rPr>
          <w:vertAlign w:val="baseline"/>
        </w:rPr>
        <w:t>a</w:t>
      </w:r>
      <w:r>
        <w:rPr>
          <w:spacing w:val="-4"/>
          <w:vertAlign w:val="baseline"/>
        </w:rPr>
        <w:t> </w:t>
      </w:r>
      <w:r>
        <w:rPr>
          <w:vertAlign w:val="baseline"/>
        </w:rPr>
        <w:t>recent</w:t>
      </w:r>
      <w:r>
        <w:rPr>
          <w:spacing w:val="-3"/>
          <w:vertAlign w:val="baseline"/>
        </w:rPr>
        <w:t> </w:t>
      </w:r>
      <w:r>
        <w:rPr>
          <w:vertAlign w:val="baseline"/>
        </w:rPr>
        <w:t>survey</w:t>
      </w:r>
      <w:r>
        <w:rPr>
          <w:spacing w:val="-4"/>
          <w:vertAlign w:val="baseline"/>
        </w:rPr>
        <w:t> </w:t>
      </w:r>
      <w:r>
        <w:rPr>
          <w:vertAlign w:val="baseline"/>
        </w:rPr>
        <w:t>by</w:t>
      </w:r>
      <w:r>
        <w:rPr>
          <w:spacing w:val="-3"/>
          <w:vertAlign w:val="baseline"/>
        </w:rPr>
        <w:t> </w:t>
      </w:r>
      <w:r>
        <w:rPr>
          <w:vertAlign w:val="baseline"/>
        </w:rPr>
        <w:t>the</w:t>
      </w:r>
      <w:r>
        <w:rPr>
          <w:spacing w:val="-3"/>
          <w:vertAlign w:val="baseline"/>
        </w:rPr>
        <w:t> </w:t>
      </w:r>
      <w:r>
        <w:rPr>
          <w:vertAlign w:val="baseline"/>
        </w:rPr>
        <w:t>Trevor</w:t>
      </w:r>
      <w:r>
        <w:rPr>
          <w:spacing w:val="-4"/>
          <w:vertAlign w:val="baseline"/>
        </w:rPr>
        <w:t> </w:t>
      </w:r>
      <w:r>
        <w:rPr>
          <w:vertAlign w:val="baseline"/>
        </w:rPr>
        <w:t>Project,</w:t>
      </w:r>
      <w:r>
        <w:rPr>
          <w:spacing w:val="-4"/>
          <w:vertAlign w:val="baseline"/>
        </w:rPr>
        <w:t> </w:t>
      </w:r>
      <w:r>
        <w:rPr>
          <w:vertAlign w:val="baseline"/>
        </w:rPr>
        <w:t>over</w:t>
      </w:r>
      <w:r>
        <w:rPr>
          <w:spacing w:val="-4"/>
          <w:vertAlign w:val="baseline"/>
        </w:rPr>
        <w:t> </w:t>
      </w:r>
      <w:r>
        <w:rPr>
          <w:vertAlign w:val="baseline"/>
        </w:rPr>
        <w:t>65%</w:t>
      </w:r>
      <w:r>
        <w:rPr>
          <w:spacing w:val="-4"/>
          <w:vertAlign w:val="baseline"/>
        </w:rPr>
        <w:t> </w:t>
      </w:r>
      <w:r>
        <w:rPr>
          <w:vertAlign w:val="baseline"/>
        </w:rPr>
        <w:t>of</w:t>
      </w:r>
      <w:r>
        <w:rPr>
          <w:spacing w:val="-3"/>
          <w:vertAlign w:val="baseline"/>
        </w:rPr>
        <w:t> </w:t>
      </w:r>
      <w:r>
        <w:rPr>
          <w:vertAlign w:val="baseline"/>
        </w:rPr>
        <w:t>LGBTQ</w:t>
      </w:r>
      <w:r>
        <w:rPr>
          <w:spacing w:val="-3"/>
          <w:vertAlign w:val="baseline"/>
        </w:rPr>
        <w:t> </w:t>
      </w:r>
      <w:r>
        <w:rPr>
          <w:vertAlign w:val="baseline"/>
        </w:rPr>
        <w:t>youth</w:t>
      </w:r>
      <w:r>
        <w:rPr>
          <w:spacing w:val="-2"/>
          <w:vertAlign w:val="baseline"/>
        </w:rPr>
        <w:t> </w:t>
      </w:r>
      <w:r>
        <w:rPr>
          <w:vertAlign w:val="baseline"/>
        </w:rPr>
        <w:t>expressed</w:t>
      </w:r>
      <w:r>
        <w:rPr>
          <w:spacing w:val="-3"/>
          <w:vertAlign w:val="baseline"/>
        </w:rPr>
        <w:t> </w:t>
      </w:r>
      <w:r>
        <w:rPr>
          <w:vertAlign w:val="baseline"/>
        </w:rPr>
        <w:t>that</w:t>
      </w:r>
      <w:r>
        <w:rPr>
          <w:spacing w:val="-4"/>
          <w:vertAlign w:val="baseline"/>
        </w:rPr>
        <w:t> </w:t>
      </w:r>
      <w:r>
        <w:rPr>
          <w:vertAlign w:val="baseline"/>
        </w:rPr>
        <w:t>abortion</w:t>
      </w:r>
      <w:r>
        <w:rPr>
          <w:spacing w:val="-4"/>
          <w:vertAlign w:val="baseline"/>
        </w:rPr>
        <w:t> </w:t>
      </w:r>
      <w:r>
        <w:rPr>
          <w:vertAlign w:val="baseline"/>
        </w:rPr>
        <w:t>restrictions</w:t>
      </w:r>
      <w:r>
        <w:rPr>
          <w:spacing w:val="-4"/>
          <w:vertAlign w:val="baseline"/>
        </w:rPr>
        <w:t> </w:t>
      </w:r>
      <w:r>
        <w:rPr>
          <w:vertAlign w:val="baseline"/>
        </w:rPr>
        <w:t>and bans heighten their feelings of stress and anxiety</w:t>
      </w:r>
      <w:hyperlink w:history="true" w:anchor="_bookmark242">
        <w:r>
          <w:rPr>
            <w:vertAlign w:val="baseline"/>
          </w:rPr>
          <w:t>.</w:t>
        </w:r>
        <w:r>
          <w:rPr>
            <w:vertAlign w:val="superscript"/>
          </w:rPr>
          <w:t>49</w:t>
        </w:r>
      </w:hyperlink>
    </w:p>
    <w:p>
      <w:pPr>
        <w:pStyle w:val="BodyText"/>
        <w:spacing w:line="276" w:lineRule="auto" w:before="241"/>
        <w:ind w:left="463" w:right="241"/>
        <w:jc w:val="both"/>
      </w:pPr>
      <w:r>
        <w:rPr/>
        <w:t>Although Massachusetts tends to have progressive</w:t>
      </w:r>
      <w:r>
        <w:rPr>
          <w:spacing w:val="-1"/>
        </w:rPr>
        <w:t> </w:t>
      </w:r>
      <w:r>
        <w:rPr/>
        <w:t>views and</w:t>
      </w:r>
      <w:r>
        <w:rPr>
          <w:spacing w:val="-1"/>
        </w:rPr>
        <w:t> </w:t>
      </w:r>
      <w:r>
        <w:rPr/>
        <w:t>policies on</w:t>
      </w:r>
      <w:r>
        <w:rPr>
          <w:spacing w:val="-1"/>
        </w:rPr>
        <w:t> </w:t>
      </w:r>
      <w:r>
        <w:rPr/>
        <w:t>abortion</w:t>
      </w:r>
      <w:r>
        <w:rPr>
          <w:spacing w:val="-1"/>
        </w:rPr>
        <w:t> </w:t>
      </w:r>
      <w:r>
        <w:rPr/>
        <w:t>rights, certain</w:t>
      </w:r>
      <w:r>
        <w:rPr>
          <w:spacing w:val="-1"/>
        </w:rPr>
        <w:t> </w:t>
      </w:r>
      <w:r>
        <w:rPr/>
        <w:t>regions in the state lack access to routine abortion care providers, making it difficult to schedule an appointment for an</w:t>
      </w:r>
      <w:r>
        <w:rPr>
          <w:spacing w:val="-13"/>
        </w:rPr>
        <w:t> </w:t>
      </w:r>
      <w:r>
        <w:rPr/>
        <w:t>abortion;</w:t>
      </w:r>
      <w:r>
        <w:rPr>
          <w:spacing w:val="-12"/>
        </w:rPr>
        <w:t> </w:t>
      </w:r>
      <w:r>
        <w:rPr/>
        <w:t>these</w:t>
      </w:r>
      <w:r>
        <w:rPr>
          <w:spacing w:val="-13"/>
        </w:rPr>
        <w:t> </w:t>
      </w:r>
      <w:r>
        <w:rPr/>
        <w:t>areas</w:t>
      </w:r>
      <w:r>
        <w:rPr>
          <w:spacing w:val="-12"/>
        </w:rPr>
        <w:t> </w:t>
      </w:r>
      <w:r>
        <w:rPr/>
        <w:t>include</w:t>
      </w:r>
      <w:r>
        <w:rPr>
          <w:spacing w:val="-13"/>
        </w:rPr>
        <w:t> </w:t>
      </w:r>
      <w:r>
        <w:rPr/>
        <w:t>Cape</w:t>
      </w:r>
      <w:r>
        <w:rPr>
          <w:spacing w:val="-12"/>
        </w:rPr>
        <w:t> </w:t>
      </w:r>
      <w:r>
        <w:rPr/>
        <w:t>Cod,</w:t>
      </w:r>
      <w:r>
        <w:rPr>
          <w:spacing w:val="-13"/>
        </w:rPr>
        <w:t> </w:t>
      </w:r>
      <w:r>
        <w:rPr/>
        <w:t>Martha’s</w:t>
      </w:r>
      <w:r>
        <w:rPr>
          <w:spacing w:val="-12"/>
        </w:rPr>
        <w:t> </w:t>
      </w:r>
      <w:r>
        <w:rPr/>
        <w:t>Vineyard,</w:t>
      </w:r>
      <w:r>
        <w:rPr>
          <w:spacing w:val="-12"/>
        </w:rPr>
        <w:t> </w:t>
      </w:r>
      <w:r>
        <w:rPr/>
        <w:t>Plymouth</w:t>
      </w:r>
      <w:r>
        <w:rPr>
          <w:spacing w:val="-13"/>
        </w:rPr>
        <w:t> </w:t>
      </w:r>
      <w:r>
        <w:rPr/>
        <w:t>County,</w:t>
      </w:r>
      <w:r>
        <w:rPr>
          <w:spacing w:val="-12"/>
        </w:rPr>
        <w:t> </w:t>
      </w:r>
      <w:r>
        <w:rPr/>
        <w:t>and</w:t>
      </w:r>
      <w:r>
        <w:rPr>
          <w:spacing w:val="-13"/>
        </w:rPr>
        <w:t> </w:t>
      </w:r>
      <w:r>
        <w:rPr/>
        <w:t>the</w:t>
      </w:r>
      <w:r>
        <w:rPr>
          <w:spacing w:val="-12"/>
        </w:rPr>
        <w:t> </w:t>
      </w:r>
      <w:r>
        <w:rPr/>
        <w:t>entire</w:t>
      </w:r>
      <w:r>
        <w:rPr>
          <w:spacing w:val="-13"/>
        </w:rPr>
        <w:t> </w:t>
      </w:r>
      <w:r>
        <w:rPr/>
        <w:t>South</w:t>
      </w:r>
      <w:r>
        <w:rPr>
          <w:spacing w:val="-12"/>
        </w:rPr>
        <w:t> </w:t>
      </w:r>
      <w:r>
        <w:rPr/>
        <w:t>Coast, which includes two major gateway cities, New Bedford and Fall River, home to a million residents and numerous hospitals and medical centers. There are also limited abortion providers in Western Massachusetts</w:t>
      </w:r>
      <w:r>
        <w:rPr>
          <w:spacing w:val="-12"/>
        </w:rPr>
        <w:t> </w:t>
      </w:r>
      <w:r>
        <w:rPr/>
        <w:t>and</w:t>
      </w:r>
      <w:r>
        <w:rPr>
          <w:spacing w:val="-11"/>
        </w:rPr>
        <w:t> </w:t>
      </w:r>
      <w:r>
        <w:rPr/>
        <w:t>although</w:t>
      </w:r>
      <w:r>
        <w:rPr>
          <w:spacing w:val="-11"/>
        </w:rPr>
        <w:t> </w:t>
      </w:r>
      <w:r>
        <w:rPr/>
        <w:t>populations</w:t>
      </w:r>
      <w:r>
        <w:rPr>
          <w:spacing w:val="-12"/>
        </w:rPr>
        <w:t> </w:t>
      </w:r>
      <w:r>
        <w:rPr/>
        <w:t>are</w:t>
      </w:r>
      <w:r>
        <w:rPr>
          <w:spacing w:val="-11"/>
        </w:rPr>
        <w:t> </w:t>
      </w:r>
      <w:r>
        <w:rPr/>
        <w:t>low</w:t>
      </w:r>
      <w:r>
        <w:rPr>
          <w:spacing w:val="-12"/>
        </w:rPr>
        <w:t> </w:t>
      </w:r>
      <w:r>
        <w:rPr/>
        <w:t>and</w:t>
      </w:r>
      <w:r>
        <w:rPr>
          <w:spacing w:val="-12"/>
        </w:rPr>
        <w:t> </w:t>
      </w:r>
      <w:r>
        <w:rPr/>
        <w:t>dispersed,</w:t>
      </w:r>
      <w:r>
        <w:rPr>
          <w:spacing w:val="-11"/>
        </w:rPr>
        <w:t> </w:t>
      </w:r>
      <w:r>
        <w:rPr/>
        <w:t>there</w:t>
      </w:r>
      <w:r>
        <w:rPr>
          <w:spacing w:val="-11"/>
        </w:rPr>
        <w:t> </w:t>
      </w:r>
      <w:r>
        <w:rPr/>
        <w:t>is</w:t>
      </w:r>
      <w:r>
        <w:rPr>
          <w:spacing w:val="-12"/>
        </w:rPr>
        <w:t> </w:t>
      </w:r>
      <w:r>
        <w:rPr/>
        <w:t>still</w:t>
      </w:r>
      <w:r>
        <w:rPr>
          <w:spacing w:val="-11"/>
        </w:rPr>
        <w:t> </w:t>
      </w:r>
      <w:r>
        <w:rPr/>
        <w:t>a</w:t>
      </w:r>
      <w:r>
        <w:rPr>
          <w:spacing w:val="-10"/>
        </w:rPr>
        <w:t> </w:t>
      </w:r>
      <w:r>
        <w:rPr/>
        <w:t>huge</w:t>
      </w:r>
      <w:r>
        <w:rPr>
          <w:spacing w:val="-11"/>
        </w:rPr>
        <w:t> </w:t>
      </w:r>
      <w:r>
        <w:rPr/>
        <w:t>travel</w:t>
      </w:r>
      <w:r>
        <w:rPr>
          <w:spacing w:val="-11"/>
        </w:rPr>
        <w:t> </w:t>
      </w:r>
      <w:r>
        <w:rPr/>
        <w:t>distance</w:t>
      </w:r>
      <w:r>
        <w:rPr>
          <w:spacing w:val="-11"/>
        </w:rPr>
        <w:t> </w:t>
      </w:r>
      <w:r>
        <w:rPr/>
        <w:t>between residents and abortion services</w:t>
      </w:r>
      <w:hyperlink w:history="true" w:anchor="_bookmark243">
        <w:r>
          <w:rPr/>
          <w:t>.</w:t>
        </w:r>
        <w:r>
          <w:rPr>
            <w:vertAlign w:val="superscript"/>
          </w:rPr>
          <w:t>50</w:t>
        </w:r>
      </w:hyperlink>
      <w:r>
        <w:rPr>
          <w:vertAlign w:val="baseline"/>
        </w:rPr>
        <w:t> Abortions are not illegal in these areas but many hospitals and medical</w:t>
      </w:r>
    </w:p>
    <w:p>
      <w:pPr>
        <w:spacing w:after="0" w:line="276" w:lineRule="auto"/>
        <w:jc w:val="both"/>
        <w:sectPr>
          <w:pgSz w:w="12240" w:h="15840"/>
          <w:pgMar w:header="800" w:footer="1530" w:top="1080" w:bottom="1760" w:left="980" w:right="1000"/>
        </w:sectPr>
      </w:pPr>
    </w:p>
    <w:p>
      <w:pPr>
        <w:pStyle w:val="BodyText"/>
        <w:spacing w:line="276" w:lineRule="auto" w:before="69"/>
        <w:ind w:left="463" w:right="239"/>
        <w:jc w:val="both"/>
      </w:pPr>
      <w:r>
        <w:rPr/>
        <w:t>providers are not required to provide routine abortion services. Instead, they are expected to perform an abortion</w:t>
      </w:r>
      <w:r>
        <w:rPr>
          <w:spacing w:val="-12"/>
        </w:rPr>
        <w:t> </w:t>
      </w:r>
      <w:r>
        <w:rPr/>
        <w:t>if</w:t>
      </w:r>
      <w:r>
        <w:rPr>
          <w:spacing w:val="-11"/>
        </w:rPr>
        <w:t> </w:t>
      </w:r>
      <w:r>
        <w:rPr/>
        <w:t>necessary,</w:t>
      </w:r>
      <w:r>
        <w:rPr>
          <w:spacing w:val="-11"/>
        </w:rPr>
        <w:t> </w:t>
      </w:r>
      <w:r>
        <w:rPr/>
        <w:t>such</w:t>
      </w:r>
      <w:r>
        <w:rPr>
          <w:spacing w:val="-10"/>
        </w:rPr>
        <w:t> </w:t>
      </w:r>
      <w:r>
        <w:rPr/>
        <w:t>as</w:t>
      </w:r>
      <w:r>
        <w:rPr>
          <w:spacing w:val="-11"/>
        </w:rPr>
        <w:t> </w:t>
      </w:r>
      <w:r>
        <w:rPr/>
        <w:t>when</w:t>
      </w:r>
      <w:r>
        <w:rPr>
          <w:spacing w:val="-12"/>
        </w:rPr>
        <w:t> </w:t>
      </w:r>
      <w:r>
        <w:rPr/>
        <w:t>the</w:t>
      </w:r>
      <w:r>
        <w:rPr>
          <w:spacing w:val="-10"/>
        </w:rPr>
        <w:t> </w:t>
      </w:r>
      <w:r>
        <w:rPr/>
        <w:t>pregnant</w:t>
      </w:r>
      <w:r>
        <w:rPr>
          <w:spacing w:val="-11"/>
        </w:rPr>
        <w:t> </w:t>
      </w:r>
      <w:r>
        <w:rPr/>
        <w:t>person</w:t>
      </w:r>
      <w:r>
        <w:rPr>
          <w:spacing w:val="-12"/>
        </w:rPr>
        <w:t> </w:t>
      </w:r>
      <w:r>
        <w:rPr/>
        <w:t>is</w:t>
      </w:r>
      <w:r>
        <w:rPr>
          <w:spacing w:val="-11"/>
        </w:rPr>
        <w:t> </w:t>
      </w:r>
      <w:r>
        <w:rPr/>
        <w:t>in</w:t>
      </w:r>
      <w:r>
        <w:rPr>
          <w:spacing w:val="-12"/>
        </w:rPr>
        <w:t> </w:t>
      </w:r>
      <w:r>
        <w:rPr/>
        <w:t>a</w:t>
      </w:r>
      <w:r>
        <w:rPr>
          <w:spacing w:val="-10"/>
        </w:rPr>
        <w:t> </w:t>
      </w:r>
      <w:r>
        <w:rPr/>
        <w:t>medical</w:t>
      </w:r>
      <w:r>
        <w:rPr>
          <w:spacing w:val="-11"/>
        </w:rPr>
        <w:t> </w:t>
      </w:r>
      <w:r>
        <w:rPr/>
        <w:t>emergency</w:t>
      </w:r>
      <w:r>
        <w:rPr>
          <w:spacing w:val="-11"/>
        </w:rPr>
        <w:t> </w:t>
      </w:r>
      <w:r>
        <w:rPr/>
        <w:t>and</w:t>
      </w:r>
      <w:r>
        <w:rPr>
          <w:spacing w:val="-10"/>
        </w:rPr>
        <w:t> </w:t>
      </w:r>
      <w:r>
        <w:rPr/>
        <w:t>the</w:t>
      </w:r>
      <w:r>
        <w:rPr>
          <w:spacing w:val="-10"/>
        </w:rPr>
        <w:t> </w:t>
      </w:r>
      <w:r>
        <w:rPr/>
        <w:t>medical</w:t>
      </w:r>
      <w:r>
        <w:rPr>
          <w:spacing w:val="-10"/>
        </w:rPr>
        <w:t> </w:t>
      </w:r>
      <w:r>
        <w:rPr/>
        <w:t>provider needs to perform an abortion to stabilize the patient. In compliance with the Massachusetts Health and Hospital</w:t>
      </w:r>
      <w:r>
        <w:rPr>
          <w:spacing w:val="-8"/>
        </w:rPr>
        <w:t> </w:t>
      </w:r>
      <w:r>
        <w:rPr/>
        <w:t>Association,</w:t>
      </w:r>
      <w:r>
        <w:rPr>
          <w:spacing w:val="-7"/>
        </w:rPr>
        <w:t> </w:t>
      </w:r>
      <w:r>
        <w:rPr/>
        <w:t>all</w:t>
      </w:r>
      <w:r>
        <w:rPr>
          <w:spacing w:val="-7"/>
        </w:rPr>
        <w:t> </w:t>
      </w:r>
      <w:r>
        <w:rPr/>
        <w:t>hospitals</w:t>
      </w:r>
      <w:r>
        <w:rPr>
          <w:spacing w:val="-7"/>
        </w:rPr>
        <w:t> </w:t>
      </w:r>
      <w:r>
        <w:rPr/>
        <w:t>are</w:t>
      </w:r>
      <w:r>
        <w:rPr>
          <w:spacing w:val="-8"/>
        </w:rPr>
        <w:t> </w:t>
      </w:r>
      <w:r>
        <w:rPr/>
        <w:t>expected</w:t>
      </w:r>
      <w:r>
        <w:rPr>
          <w:spacing w:val="-7"/>
        </w:rPr>
        <w:t> </w:t>
      </w:r>
      <w:r>
        <w:rPr/>
        <w:t>to</w:t>
      </w:r>
      <w:r>
        <w:rPr>
          <w:spacing w:val="-7"/>
        </w:rPr>
        <w:t> </w:t>
      </w:r>
      <w:r>
        <w:rPr/>
        <w:t>perform</w:t>
      </w:r>
      <w:r>
        <w:rPr>
          <w:spacing w:val="-8"/>
        </w:rPr>
        <w:t> </w:t>
      </w:r>
      <w:r>
        <w:rPr/>
        <w:t>an</w:t>
      </w:r>
      <w:r>
        <w:rPr>
          <w:spacing w:val="-8"/>
        </w:rPr>
        <w:t> </w:t>
      </w:r>
      <w:r>
        <w:rPr/>
        <w:t>abortion</w:t>
      </w:r>
      <w:r>
        <w:rPr>
          <w:spacing w:val="-8"/>
        </w:rPr>
        <w:t> </w:t>
      </w:r>
      <w:r>
        <w:rPr/>
        <w:t>if</w:t>
      </w:r>
      <w:r>
        <w:rPr>
          <w:spacing w:val="-6"/>
        </w:rPr>
        <w:t> </w:t>
      </w:r>
      <w:r>
        <w:rPr/>
        <w:t>necessary</w:t>
      </w:r>
      <w:r>
        <w:rPr>
          <w:spacing w:val="-8"/>
        </w:rPr>
        <w:t> </w:t>
      </w:r>
      <w:r>
        <w:rPr/>
        <w:t>to</w:t>
      </w:r>
      <w:r>
        <w:rPr>
          <w:spacing w:val="-7"/>
        </w:rPr>
        <w:t> </w:t>
      </w:r>
      <w:r>
        <w:rPr/>
        <w:t>stabilize</w:t>
      </w:r>
      <w:r>
        <w:rPr>
          <w:spacing w:val="-8"/>
        </w:rPr>
        <w:t> </w:t>
      </w:r>
      <w:r>
        <w:rPr/>
        <w:t>the</w:t>
      </w:r>
      <w:r>
        <w:rPr>
          <w:spacing w:val="-8"/>
        </w:rPr>
        <w:t> </w:t>
      </w:r>
      <w:r>
        <w:rPr/>
        <w:t>pregnant patient.</w:t>
      </w:r>
      <w:r>
        <w:rPr>
          <w:spacing w:val="-3"/>
        </w:rPr>
        <w:t> </w:t>
      </w:r>
      <w:r>
        <w:rPr/>
        <w:t>However,</w:t>
      </w:r>
      <w:r>
        <w:rPr>
          <w:spacing w:val="-3"/>
        </w:rPr>
        <w:t> </w:t>
      </w:r>
      <w:r>
        <w:rPr/>
        <w:t>hospitals</w:t>
      </w:r>
      <w:r>
        <w:rPr>
          <w:spacing w:val="-3"/>
        </w:rPr>
        <w:t> </w:t>
      </w:r>
      <w:r>
        <w:rPr/>
        <w:t>and</w:t>
      </w:r>
      <w:r>
        <w:rPr>
          <w:spacing w:val="-3"/>
        </w:rPr>
        <w:t> </w:t>
      </w:r>
      <w:r>
        <w:rPr/>
        <w:t>medical</w:t>
      </w:r>
      <w:r>
        <w:rPr>
          <w:spacing w:val="-2"/>
        </w:rPr>
        <w:t> </w:t>
      </w:r>
      <w:r>
        <w:rPr/>
        <w:t>providers</w:t>
      </w:r>
      <w:r>
        <w:rPr>
          <w:spacing w:val="-3"/>
        </w:rPr>
        <w:t> </w:t>
      </w:r>
      <w:r>
        <w:rPr/>
        <w:t>are</w:t>
      </w:r>
      <w:r>
        <w:rPr>
          <w:spacing w:val="-3"/>
        </w:rPr>
        <w:t> </w:t>
      </w:r>
      <w:r>
        <w:rPr/>
        <w:t>not</w:t>
      </w:r>
      <w:r>
        <w:rPr>
          <w:spacing w:val="-3"/>
        </w:rPr>
        <w:t> </w:t>
      </w:r>
      <w:r>
        <w:rPr/>
        <w:t>required</w:t>
      </w:r>
      <w:r>
        <w:rPr>
          <w:spacing w:val="-3"/>
        </w:rPr>
        <w:t> </w:t>
      </w:r>
      <w:r>
        <w:rPr/>
        <w:t>to</w:t>
      </w:r>
      <w:r>
        <w:rPr>
          <w:spacing w:val="-2"/>
        </w:rPr>
        <w:t> </w:t>
      </w:r>
      <w:r>
        <w:rPr/>
        <w:t>provide</w:t>
      </w:r>
      <w:r>
        <w:rPr>
          <w:spacing w:val="-2"/>
        </w:rPr>
        <w:t> </w:t>
      </w:r>
      <w:r>
        <w:rPr/>
        <w:t>abortion</w:t>
      </w:r>
      <w:r>
        <w:rPr>
          <w:spacing w:val="-3"/>
        </w:rPr>
        <w:t> </w:t>
      </w:r>
      <w:r>
        <w:rPr/>
        <w:t>as</w:t>
      </w:r>
      <w:r>
        <w:rPr>
          <w:spacing w:val="-3"/>
        </w:rPr>
        <w:t> </w:t>
      </w:r>
      <w:r>
        <w:rPr/>
        <w:t>a</w:t>
      </w:r>
      <w:r>
        <w:rPr>
          <w:spacing w:val="-3"/>
        </w:rPr>
        <w:t> </w:t>
      </w:r>
      <w:r>
        <w:rPr/>
        <w:t>regular</w:t>
      </w:r>
      <w:r>
        <w:rPr>
          <w:spacing w:val="-3"/>
        </w:rPr>
        <w:t> </w:t>
      </w:r>
      <w:r>
        <w:rPr/>
        <w:t>service but</w:t>
      </w:r>
      <w:r>
        <w:rPr>
          <w:spacing w:val="-2"/>
        </w:rPr>
        <w:t> </w:t>
      </w:r>
      <w:r>
        <w:rPr/>
        <w:t>can</w:t>
      </w:r>
      <w:r>
        <w:rPr>
          <w:spacing w:val="-2"/>
        </w:rPr>
        <w:t> </w:t>
      </w:r>
      <w:r>
        <w:rPr/>
        <w:t>refer pregnant</w:t>
      </w:r>
      <w:r>
        <w:rPr>
          <w:spacing w:val="-2"/>
        </w:rPr>
        <w:t> </w:t>
      </w:r>
      <w:r>
        <w:rPr/>
        <w:t>people</w:t>
      </w:r>
      <w:r>
        <w:rPr>
          <w:spacing w:val="-2"/>
        </w:rPr>
        <w:t> </w:t>
      </w:r>
      <w:r>
        <w:rPr/>
        <w:t>with</w:t>
      </w:r>
      <w:r>
        <w:rPr>
          <w:spacing w:val="-2"/>
        </w:rPr>
        <w:t> </w:t>
      </w:r>
      <w:r>
        <w:rPr/>
        <w:t>unintended</w:t>
      </w:r>
      <w:r>
        <w:rPr>
          <w:spacing w:val="-2"/>
        </w:rPr>
        <w:t> </w:t>
      </w:r>
      <w:r>
        <w:rPr/>
        <w:t>pregnancies</w:t>
      </w:r>
      <w:r>
        <w:rPr>
          <w:spacing w:val="-2"/>
        </w:rPr>
        <w:t> </w:t>
      </w:r>
      <w:r>
        <w:rPr/>
        <w:t>to</w:t>
      </w:r>
      <w:r>
        <w:rPr>
          <w:spacing w:val="-2"/>
        </w:rPr>
        <w:t> </w:t>
      </w:r>
      <w:r>
        <w:rPr/>
        <w:t>other</w:t>
      </w:r>
      <w:r>
        <w:rPr>
          <w:spacing w:val="-2"/>
        </w:rPr>
        <w:t> </w:t>
      </w:r>
      <w:r>
        <w:rPr/>
        <w:t>medical</w:t>
      </w:r>
      <w:r>
        <w:rPr>
          <w:spacing w:val="-2"/>
        </w:rPr>
        <w:t> </w:t>
      </w:r>
      <w:r>
        <w:rPr/>
        <w:t>centers</w:t>
      </w:r>
      <w:r>
        <w:rPr>
          <w:spacing w:val="-2"/>
        </w:rPr>
        <w:t> </w:t>
      </w:r>
      <w:r>
        <w:rPr/>
        <w:t>or</w:t>
      </w:r>
      <w:r>
        <w:rPr>
          <w:spacing w:val="-2"/>
        </w:rPr>
        <w:t> </w:t>
      </w:r>
      <w:r>
        <w:rPr/>
        <w:t>providers</w:t>
      </w:r>
      <w:r>
        <w:rPr>
          <w:spacing w:val="-2"/>
        </w:rPr>
        <w:t> </w:t>
      </w:r>
      <w:r>
        <w:rPr/>
        <w:t>who</w:t>
      </w:r>
      <w:r>
        <w:rPr>
          <w:spacing w:val="-2"/>
        </w:rPr>
        <w:t> </w:t>
      </w:r>
      <w:r>
        <w:rPr/>
        <w:t>can provide routine abortion services. Statewide, only nine hospitals provide routine abortion services with seven of them being in Boston and Cambridge. Fortunately, those nine hospitals that provide routine abortion services appear to also provide gender-affirming care or are trained in LGBTQ healthcare.</w:t>
      </w:r>
    </w:p>
    <w:p>
      <w:pPr>
        <w:pStyle w:val="BodyText"/>
        <w:spacing w:line="276" w:lineRule="auto" w:before="239"/>
        <w:ind w:left="463" w:right="240"/>
        <w:jc w:val="both"/>
      </w:pPr>
      <w:r>
        <w:rPr/>
        <w:t>According</w:t>
      </w:r>
      <w:r>
        <w:rPr>
          <w:spacing w:val="-9"/>
        </w:rPr>
        <w:t> </w:t>
      </w:r>
      <w:r>
        <w:rPr/>
        <w:t>to</w:t>
      </w:r>
      <w:r>
        <w:rPr>
          <w:spacing w:val="-7"/>
        </w:rPr>
        <w:t> </w:t>
      </w:r>
      <w:r>
        <w:rPr/>
        <w:t>a</w:t>
      </w:r>
      <w:r>
        <w:rPr>
          <w:spacing w:val="-8"/>
        </w:rPr>
        <w:t> </w:t>
      </w:r>
      <w:r>
        <w:rPr/>
        <w:t>directory</w:t>
      </w:r>
      <w:r>
        <w:rPr>
          <w:spacing w:val="-9"/>
        </w:rPr>
        <w:t> </w:t>
      </w:r>
      <w:r>
        <w:rPr/>
        <w:t>designed</w:t>
      </w:r>
      <w:r>
        <w:rPr>
          <w:spacing w:val="-9"/>
        </w:rPr>
        <w:t> </w:t>
      </w:r>
      <w:r>
        <w:rPr/>
        <w:t>by</w:t>
      </w:r>
      <w:r>
        <w:rPr>
          <w:spacing w:val="-9"/>
        </w:rPr>
        <w:t> </w:t>
      </w:r>
      <w:r>
        <w:rPr/>
        <w:t>a</w:t>
      </w:r>
      <w:r>
        <w:rPr>
          <w:spacing w:val="-7"/>
        </w:rPr>
        <w:t> </w:t>
      </w:r>
      <w:r>
        <w:rPr/>
        <w:t>New</w:t>
      </w:r>
      <w:r>
        <w:rPr>
          <w:spacing w:val="-9"/>
        </w:rPr>
        <w:t> </w:t>
      </w:r>
      <w:r>
        <w:rPr/>
        <w:t>England-based</w:t>
      </w:r>
      <w:r>
        <w:rPr>
          <w:spacing w:val="-9"/>
        </w:rPr>
        <w:t> </w:t>
      </w:r>
      <w:r>
        <w:rPr/>
        <w:t>abortion</w:t>
      </w:r>
      <w:r>
        <w:rPr>
          <w:spacing w:val="-9"/>
        </w:rPr>
        <w:t> </w:t>
      </w:r>
      <w:r>
        <w:rPr/>
        <w:t>rights</w:t>
      </w:r>
      <w:r>
        <w:rPr>
          <w:spacing w:val="-8"/>
        </w:rPr>
        <w:t> </w:t>
      </w:r>
      <w:r>
        <w:rPr/>
        <w:t>group,</w:t>
      </w:r>
      <w:r>
        <w:rPr>
          <w:spacing w:val="-8"/>
        </w:rPr>
        <w:t> </w:t>
      </w:r>
      <w:r>
        <w:rPr/>
        <w:t>Reproductive</w:t>
      </w:r>
      <w:r>
        <w:rPr>
          <w:spacing w:val="-9"/>
        </w:rPr>
        <w:t> </w:t>
      </w:r>
      <w:r>
        <w:rPr/>
        <w:t>Equity</w:t>
      </w:r>
      <w:r>
        <w:rPr>
          <w:spacing w:val="-9"/>
        </w:rPr>
        <w:t> </w:t>
      </w:r>
      <w:r>
        <w:rPr/>
        <w:t>Now, the nearest abortion service providers in New Bedford are 43 miles away – Four Women's Health Services in</w:t>
      </w:r>
      <w:r>
        <w:rPr>
          <w:spacing w:val="-10"/>
        </w:rPr>
        <w:t> </w:t>
      </w:r>
      <w:r>
        <w:rPr/>
        <w:t>Attleboro</w:t>
      </w:r>
      <w:r>
        <w:rPr>
          <w:spacing w:val="-10"/>
        </w:rPr>
        <w:t> </w:t>
      </w:r>
      <w:r>
        <w:rPr/>
        <w:t>and</w:t>
      </w:r>
      <w:r>
        <w:rPr>
          <w:spacing w:val="-9"/>
        </w:rPr>
        <w:t> </w:t>
      </w:r>
      <w:r>
        <w:rPr/>
        <w:t>the</w:t>
      </w:r>
      <w:r>
        <w:rPr>
          <w:spacing w:val="-9"/>
        </w:rPr>
        <w:t> </w:t>
      </w:r>
      <w:r>
        <w:rPr/>
        <w:t>Women</w:t>
      </w:r>
      <w:r>
        <w:rPr>
          <w:spacing w:val="-10"/>
        </w:rPr>
        <w:t> </w:t>
      </w:r>
      <w:r>
        <w:rPr/>
        <w:t>and</w:t>
      </w:r>
      <w:r>
        <w:rPr>
          <w:spacing w:val="-9"/>
        </w:rPr>
        <w:t> </w:t>
      </w:r>
      <w:r>
        <w:rPr/>
        <w:t>Infant</w:t>
      </w:r>
      <w:r>
        <w:rPr>
          <w:spacing w:val="-8"/>
        </w:rPr>
        <w:t> </w:t>
      </w:r>
      <w:r>
        <w:rPr/>
        <w:t>Hospital</w:t>
      </w:r>
      <w:r>
        <w:rPr>
          <w:spacing w:val="-10"/>
        </w:rPr>
        <w:t> </w:t>
      </w:r>
      <w:r>
        <w:rPr/>
        <w:t>in</w:t>
      </w:r>
      <w:r>
        <w:rPr>
          <w:spacing w:val="-9"/>
        </w:rPr>
        <w:t> </w:t>
      </w:r>
      <w:r>
        <w:rPr/>
        <w:t>Providence,</w:t>
      </w:r>
      <w:r>
        <w:rPr>
          <w:spacing w:val="-9"/>
        </w:rPr>
        <w:t> </w:t>
      </w:r>
      <w:r>
        <w:rPr/>
        <w:t>RI.</w:t>
      </w:r>
      <w:r>
        <w:rPr>
          <w:spacing w:val="-8"/>
        </w:rPr>
        <w:t> </w:t>
      </w:r>
      <w:r>
        <w:rPr/>
        <w:t>Pregnant</w:t>
      </w:r>
      <w:r>
        <w:rPr>
          <w:spacing w:val="-9"/>
        </w:rPr>
        <w:t> </w:t>
      </w:r>
      <w:r>
        <w:rPr/>
        <w:t>people</w:t>
      </w:r>
      <w:r>
        <w:rPr>
          <w:spacing w:val="-10"/>
        </w:rPr>
        <w:t> </w:t>
      </w:r>
      <w:r>
        <w:rPr/>
        <w:t>in</w:t>
      </w:r>
      <w:r>
        <w:rPr>
          <w:spacing w:val="-10"/>
        </w:rPr>
        <w:t> </w:t>
      </w:r>
      <w:r>
        <w:rPr/>
        <w:t>Cape</w:t>
      </w:r>
      <w:r>
        <w:rPr>
          <w:spacing w:val="-9"/>
        </w:rPr>
        <w:t> </w:t>
      </w:r>
      <w:r>
        <w:rPr/>
        <w:t>Cod</w:t>
      </w:r>
      <w:r>
        <w:rPr>
          <w:spacing w:val="-10"/>
        </w:rPr>
        <w:t> </w:t>
      </w:r>
      <w:r>
        <w:rPr/>
        <w:t>would</w:t>
      </w:r>
      <w:r>
        <w:rPr>
          <w:spacing w:val="-9"/>
        </w:rPr>
        <w:t> </w:t>
      </w:r>
      <w:r>
        <w:rPr/>
        <w:t>need to travel almost 100 miles to access routine abortion service providers in the greater Boston area</w:t>
      </w:r>
      <w:hyperlink w:history="true" w:anchor="_bookmark244">
        <w:r>
          <w:rPr/>
          <w:t>.</w:t>
        </w:r>
        <w:r>
          <w:rPr>
            <w:vertAlign w:val="superscript"/>
          </w:rPr>
          <w:t>51</w:t>
        </w:r>
      </w:hyperlink>
      <w:r>
        <w:rPr>
          <w:vertAlign w:val="baseline"/>
        </w:rPr>
        <w:t> This becomes a barrier</w:t>
      </w:r>
      <w:r>
        <w:rPr>
          <w:spacing w:val="-2"/>
          <w:vertAlign w:val="baseline"/>
        </w:rPr>
        <w:t> </w:t>
      </w:r>
      <w:r>
        <w:rPr>
          <w:vertAlign w:val="baseline"/>
        </w:rPr>
        <w:t>to</w:t>
      </w:r>
      <w:r>
        <w:rPr>
          <w:spacing w:val="-1"/>
          <w:vertAlign w:val="baseline"/>
        </w:rPr>
        <w:t> </w:t>
      </w:r>
      <w:r>
        <w:rPr>
          <w:vertAlign w:val="baseline"/>
        </w:rPr>
        <w:t>abortion</w:t>
      </w:r>
      <w:r>
        <w:rPr>
          <w:spacing w:val="-2"/>
          <w:vertAlign w:val="baseline"/>
        </w:rPr>
        <w:t> </w:t>
      </w:r>
      <w:r>
        <w:rPr>
          <w:vertAlign w:val="baseline"/>
        </w:rPr>
        <w:t>access</w:t>
      </w:r>
      <w:r>
        <w:rPr>
          <w:spacing w:val="-1"/>
          <w:vertAlign w:val="baseline"/>
        </w:rPr>
        <w:t> </w:t>
      </w:r>
      <w:r>
        <w:rPr>
          <w:vertAlign w:val="baseline"/>
        </w:rPr>
        <w:t>for</w:t>
      </w:r>
      <w:r>
        <w:rPr>
          <w:spacing w:val="-2"/>
          <w:vertAlign w:val="baseline"/>
        </w:rPr>
        <w:t> </w:t>
      </w:r>
      <w:r>
        <w:rPr>
          <w:vertAlign w:val="baseline"/>
        </w:rPr>
        <w:t>LGBTQ</w:t>
      </w:r>
      <w:r>
        <w:rPr>
          <w:spacing w:val="-1"/>
          <w:vertAlign w:val="baseline"/>
        </w:rPr>
        <w:t> </w:t>
      </w:r>
      <w:r>
        <w:rPr>
          <w:vertAlign w:val="baseline"/>
        </w:rPr>
        <w:t>youth</w:t>
      </w:r>
      <w:r>
        <w:rPr>
          <w:spacing w:val="-2"/>
          <w:vertAlign w:val="baseline"/>
        </w:rPr>
        <w:t> </w:t>
      </w:r>
      <w:r>
        <w:rPr>
          <w:vertAlign w:val="baseline"/>
        </w:rPr>
        <w:t>who cannot</w:t>
      </w:r>
      <w:r>
        <w:rPr>
          <w:spacing w:val="-1"/>
          <w:vertAlign w:val="baseline"/>
        </w:rPr>
        <w:t> </w:t>
      </w:r>
      <w:r>
        <w:rPr>
          <w:vertAlign w:val="baseline"/>
        </w:rPr>
        <w:t>afford</w:t>
      </w:r>
      <w:r>
        <w:rPr>
          <w:spacing w:val="-1"/>
          <w:vertAlign w:val="baseline"/>
        </w:rPr>
        <w:t> </w:t>
      </w:r>
      <w:r>
        <w:rPr>
          <w:vertAlign w:val="baseline"/>
        </w:rPr>
        <w:t>to cover</w:t>
      </w:r>
      <w:r>
        <w:rPr>
          <w:spacing w:val="-2"/>
          <w:vertAlign w:val="baseline"/>
        </w:rPr>
        <w:t> </w:t>
      </w:r>
      <w:r>
        <w:rPr>
          <w:vertAlign w:val="baseline"/>
        </w:rPr>
        <w:t>travel</w:t>
      </w:r>
      <w:r>
        <w:rPr>
          <w:spacing w:val="-1"/>
          <w:vertAlign w:val="baseline"/>
        </w:rPr>
        <w:t> </w:t>
      </w:r>
      <w:r>
        <w:rPr>
          <w:vertAlign w:val="baseline"/>
        </w:rPr>
        <w:t>expenses,</w:t>
      </w:r>
      <w:r>
        <w:rPr>
          <w:spacing w:val="-2"/>
          <w:vertAlign w:val="baseline"/>
        </w:rPr>
        <w:t> </w:t>
      </w:r>
      <w:r>
        <w:rPr>
          <w:vertAlign w:val="baseline"/>
        </w:rPr>
        <w:t>such</w:t>
      </w:r>
      <w:r>
        <w:rPr>
          <w:spacing w:val="-2"/>
          <w:vertAlign w:val="baseline"/>
        </w:rPr>
        <w:t> </w:t>
      </w:r>
      <w:r>
        <w:rPr>
          <w:vertAlign w:val="baseline"/>
        </w:rPr>
        <w:t>as gas, especially if the lack of accessible public transportation is an existing problem as well. They also might not be able to take time off from work to travel for an abortion appointment or miss classes if they attend a state college or university in those areas that lack routine abortion providers nearby. Some LGBTQ youth may not be able to travel freely if they are under the care of a parent or guardian and may not feel comfortable disclosing their pregnancy to them.</w:t>
      </w:r>
    </w:p>
    <w:p>
      <w:pPr>
        <w:spacing w:before="240"/>
        <w:ind w:left="463" w:right="0" w:firstLine="0"/>
        <w:jc w:val="left"/>
        <w:rPr>
          <w:sz w:val="28"/>
        </w:rPr>
      </w:pPr>
      <w:bookmarkStart w:name="Policy" w:id="376"/>
      <w:bookmarkEnd w:id="376"/>
      <w:r>
        <w:rPr/>
      </w:r>
      <w:r>
        <w:rPr>
          <w:color w:val="365F91"/>
          <w:spacing w:val="-2"/>
          <w:sz w:val="28"/>
        </w:rPr>
        <w:t>Policy</w:t>
      </w:r>
    </w:p>
    <w:p>
      <w:pPr>
        <w:spacing w:line="276" w:lineRule="auto" w:before="292"/>
        <w:ind w:left="463" w:right="5459" w:firstLine="0"/>
        <w:jc w:val="both"/>
        <w:rPr>
          <w:sz w:val="21"/>
        </w:rPr>
      </w:pPr>
      <w:r>
        <w:rPr/>
        <w:drawing>
          <wp:anchor distT="0" distB="0" distL="0" distR="0" allowOverlap="1" layoutInCell="1" locked="0" behindDoc="0" simplePos="0" relativeHeight="15779840">
            <wp:simplePos x="0" y="0"/>
            <wp:positionH relativeFrom="page">
              <wp:posOffset>3759200</wp:posOffset>
            </wp:positionH>
            <wp:positionV relativeFrom="paragraph">
              <wp:posOffset>199303</wp:posOffset>
            </wp:positionV>
            <wp:extent cx="3309607" cy="2038794"/>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316" cstate="print"/>
                    <a:stretch>
                      <a:fillRect/>
                    </a:stretch>
                  </pic:blipFill>
                  <pic:spPr>
                    <a:xfrm>
                      <a:off x="0" y="0"/>
                      <a:ext cx="3309607" cy="2038794"/>
                    </a:xfrm>
                    <a:prstGeom prst="rect">
                      <a:avLst/>
                    </a:prstGeom>
                  </pic:spPr>
                </pic:pic>
              </a:graphicData>
            </a:graphic>
          </wp:anchor>
        </w:drawing>
      </w:r>
      <w:r>
        <w:rPr>
          <w:sz w:val="21"/>
        </w:rPr>
        <w:t>A systemic policy review of maternal health- related policies and legislations addressing racial disparities</w:t>
      </w:r>
      <w:r>
        <w:rPr>
          <w:spacing w:val="-12"/>
          <w:sz w:val="21"/>
        </w:rPr>
        <w:t> </w:t>
      </w:r>
      <w:r>
        <w:rPr>
          <w:sz w:val="21"/>
        </w:rPr>
        <w:t>proposed</w:t>
      </w:r>
      <w:r>
        <w:rPr>
          <w:spacing w:val="-12"/>
          <w:sz w:val="21"/>
        </w:rPr>
        <w:t> </w:t>
      </w:r>
      <w:r>
        <w:rPr>
          <w:sz w:val="21"/>
        </w:rPr>
        <w:t>federally</w:t>
      </w:r>
      <w:r>
        <w:rPr>
          <w:spacing w:val="-12"/>
          <w:sz w:val="21"/>
        </w:rPr>
        <w:t> </w:t>
      </w:r>
      <w:r>
        <w:rPr>
          <w:sz w:val="21"/>
        </w:rPr>
        <w:t>and</w:t>
      </w:r>
      <w:r>
        <w:rPr>
          <w:spacing w:val="-12"/>
          <w:sz w:val="21"/>
        </w:rPr>
        <w:t> </w:t>
      </w:r>
      <w:r>
        <w:rPr>
          <w:sz w:val="21"/>
        </w:rPr>
        <w:t>at</w:t>
      </w:r>
      <w:r>
        <w:rPr>
          <w:spacing w:val="-12"/>
          <w:sz w:val="21"/>
        </w:rPr>
        <w:t> </w:t>
      </w:r>
      <w:r>
        <w:rPr>
          <w:sz w:val="21"/>
        </w:rPr>
        <w:t>the</w:t>
      </w:r>
      <w:r>
        <w:rPr>
          <w:spacing w:val="-12"/>
          <w:sz w:val="21"/>
        </w:rPr>
        <w:t> </w:t>
      </w:r>
      <w:r>
        <w:rPr>
          <w:sz w:val="21"/>
        </w:rPr>
        <w:t>state-level in</w:t>
      </w:r>
      <w:r>
        <w:rPr>
          <w:spacing w:val="-1"/>
          <w:sz w:val="21"/>
        </w:rPr>
        <w:t> </w:t>
      </w:r>
      <w:r>
        <w:rPr>
          <w:sz w:val="21"/>
        </w:rPr>
        <w:t>Massachusetts</w:t>
      </w:r>
      <w:r>
        <w:rPr>
          <w:spacing w:val="-2"/>
          <w:sz w:val="21"/>
        </w:rPr>
        <w:t> </w:t>
      </w:r>
      <w:r>
        <w:rPr>
          <w:sz w:val="21"/>
        </w:rPr>
        <w:t>between</w:t>
      </w:r>
      <w:r>
        <w:rPr>
          <w:spacing w:val="-2"/>
          <w:sz w:val="21"/>
        </w:rPr>
        <w:t> </w:t>
      </w:r>
      <w:r>
        <w:rPr>
          <w:sz w:val="21"/>
        </w:rPr>
        <w:t>2010</w:t>
      </w:r>
      <w:r>
        <w:rPr>
          <w:spacing w:val="-2"/>
          <w:sz w:val="21"/>
        </w:rPr>
        <w:t> </w:t>
      </w:r>
      <w:r>
        <w:rPr>
          <w:sz w:val="21"/>
        </w:rPr>
        <w:t>and</w:t>
      </w:r>
      <w:r>
        <w:rPr>
          <w:spacing w:val="-2"/>
          <w:sz w:val="21"/>
        </w:rPr>
        <w:t> </w:t>
      </w:r>
      <w:r>
        <w:rPr>
          <w:sz w:val="21"/>
        </w:rPr>
        <w:t>2020</w:t>
      </w:r>
      <w:r>
        <w:rPr>
          <w:spacing w:val="-1"/>
          <w:sz w:val="21"/>
        </w:rPr>
        <w:t> </w:t>
      </w:r>
      <w:r>
        <w:rPr>
          <w:sz w:val="21"/>
        </w:rPr>
        <w:t>showed that</w:t>
      </w:r>
      <w:r>
        <w:rPr>
          <w:spacing w:val="-9"/>
          <w:sz w:val="21"/>
        </w:rPr>
        <w:t> </w:t>
      </w:r>
      <w:r>
        <w:rPr>
          <w:sz w:val="21"/>
        </w:rPr>
        <w:t>16-state</w:t>
      </w:r>
      <w:r>
        <w:rPr>
          <w:spacing w:val="-10"/>
          <w:sz w:val="21"/>
        </w:rPr>
        <w:t> </w:t>
      </w:r>
      <w:r>
        <w:rPr>
          <w:sz w:val="21"/>
        </w:rPr>
        <w:t>level</w:t>
      </w:r>
      <w:r>
        <w:rPr>
          <w:spacing w:val="-9"/>
          <w:sz w:val="21"/>
        </w:rPr>
        <w:t> </w:t>
      </w:r>
      <w:r>
        <w:rPr>
          <w:sz w:val="21"/>
        </w:rPr>
        <w:t>bills</w:t>
      </w:r>
      <w:r>
        <w:rPr>
          <w:spacing w:val="-9"/>
          <w:sz w:val="21"/>
        </w:rPr>
        <w:t> </w:t>
      </w:r>
      <w:r>
        <w:rPr>
          <w:sz w:val="21"/>
        </w:rPr>
        <w:t>were</w:t>
      </w:r>
      <w:r>
        <w:rPr>
          <w:spacing w:val="-9"/>
          <w:sz w:val="21"/>
        </w:rPr>
        <w:t> </w:t>
      </w:r>
      <w:r>
        <w:rPr>
          <w:sz w:val="21"/>
        </w:rPr>
        <w:t>proposed.</w:t>
      </w:r>
      <w:r>
        <w:rPr>
          <w:spacing w:val="-9"/>
          <w:sz w:val="21"/>
        </w:rPr>
        <w:t> </w:t>
      </w:r>
      <w:r>
        <w:rPr>
          <w:sz w:val="21"/>
        </w:rPr>
        <w:t>Of</w:t>
      </w:r>
      <w:r>
        <w:rPr>
          <w:spacing w:val="-10"/>
          <w:sz w:val="21"/>
        </w:rPr>
        <w:t> </w:t>
      </w:r>
      <w:r>
        <w:rPr>
          <w:sz w:val="21"/>
        </w:rPr>
        <w:t>those</w:t>
      </w:r>
      <w:r>
        <w:rPr>
          <w:spacing w:val="-9"/>
          <w:sz w:val="21"/>
        </w:rPr>
        <w:t> </w:t>
      </w:r>
      <w:r>
        <w:rPr>
          <w:sz w:val="21"/>
        </w:rPr>
        <w:t>16 proposed only 2 of them were signed into law. Interestingly,</w:t>
      </w:r>
      <w:r>
        <w:rPr>
          <w:spacing w:val="-2"/>
          <w:sz w:val="21"/>
        </w:rPr>
        <w:t> </w:t>
      </w:r>
      <w:r>
        <w:rPr>
          <w:sz w:val="21"/>
        </w:rPr>
        <w:t>a</w:t>
      </w:r>
      <w:r>
        <w:rPr>
          <w:spacing w:val="-2"/>
          <w:sz w:val="21"/>
        </w:rPr>
        <w:t> </w:t>
      </w:r>
      <w:r>
        <w:rPr>
          <w:sz w:val="21"/>
        </w:rPr>
        <w:t>majority</w:t>
      </w:r>
      <w:r>
        <w:rPr>
          <w:spacing w:val="-3"/>
          <w:sz w:val="21"/>
        </w:rPr>
        <w:t> </w:t>
      </w:r>
      <w:r>
        <w:rPr>
          <w:sz w:val="21"/>
        </w:rPr>
        <w:t>of</w:t>
      </w:r>
      <w:r>
        <w:rPr>
          <w:spacing w:val="-3"/>
          <w:sz w:val="21"/>
        </w:rPr>
        <w:t> </w:t>
      </w:r>
      <w:r>
        <w:rPr>
          <w:sz w:val="21"/>
        </w:rPr>
        <w:t>the</w:t>
      </w:r>
      <w:r>
        <w:rPr>
          <w:spacing w:val="-3"/>
          <w:sz w:val="21"/>
        </w:rPr>
        <w:t> </w:t>
      </w:r>
      <w:r>
        <w:rPr>
          <w:sz w:val="21"/>
        </w:rPr>
        <w:t>bills</w:t>
      </w:r>
      <w:r>
        <w:rPr>
          <w:spacing w:val="-3"/>
          <w:sz w:val="21"/>
        </w:rPr>
        <w:t> </w:t>
      </w:r>
      <w:r>
        <w:rPr>
          <w:sz w:val="21"/>
        </w:rPr>
        <w:t>proposed</w:t>
      </w:r>
      <w:r>
        <w:rPr>
          <w:spacing w:val="-3"/>
          <w:sz w:val="21"/>
        </w:rPr>
        <w:t> </w:t>
      </w:r>
      <w:r>
        <w:rPr>
          <w:sz w:val="21"/>
        </w:rPr>
        <w:t>were centered around expanding healthcare coverage that would cover prenatal, pregnancy, and postpartum services, and would allow for care beyond the current coverage of 60 days postpartum</w:t>
      </w:r>
      <w:r>
        <w:rPr>
          <w:spacing w:val="74"/>
          <w:w w:val="150"/>
          <w:sz w:val="21"/>
        </w:rPr>
        <w:t> </w:t>
      </w:r>
      <w:r>
        <w:rPr>
          <w:sz w:val="21"/>
        </w:rPr>
        <w:t>through</w:t>
      </w:r>
      <w:r>
        <w:rPr>
          <w:spacing w:val="74"/>
          <w:w w:val="150"/>
          <w:sz w:val="21"/>
        </w:rPr>
        <w:t> </w:t>
      </w:r>
      <w:r>
        <w:rPr>
          <w:sz w:val="21"/>
        </w:rPr>
        <w:t>Medicaid</w:t>
      </w:r>
      <w:r>
        <w:rPr>
          <w:spacing w:val="74"/>
          <w:w w:val="150"/>
          <w:sz w:val="21"/>
        </w:rPr>
        <w:t> </w:t>
      </w:r>
      <w:r>
        <w:rPr>
          <w:sz w:val="21"/>
        </w:rPr>
        <w:t>for</w:t>
      </w:r>
      <w:r>
        <w:rPr>
          <w:spacing w:val="74"/>
          <w:w w:val="150"/>
          <w:sz w:val="21"/>
        </w:rPr>
        <w:t> </w:t>
      </w:r>
      <w:r>
        <w:rPr>
          <w:sz w:val="21"/>
        </w:rPr>
        <w:t>low-</w:t>
      </w:r>
      <w:r>
        <w:rPr>
          <w:spacing w:val="-2"/>
          <w:sz w:val="21"/>
        </w:rPr>
        <w:t>income</w:t>
      </w:r>
    </w:p>
    <w:p>
      <w:pPr>
        <w:spacing w:line="276" w:lineRule="auto" w:before="1"/>
        <w:ind w:left="463" w:right="240" w:firstLine="0"/>
        <w:jc w:val="both"/>
        <w:rPr>
          <w:sz w:val="21"/>
        </w:rPr>
      </w:pPr>
      <w:r>
        <w:rPr>
          <w:sz w:val="21"/>
        </w:rPr>
        <w:t>people who had just given birth. It is clear that expanding healthcare coverage is essential for pregnancy and gynecological health needs, especially after giving birth. Under federal law, Medicaid can only cover 60 days postpartum.</w:t>
      </w:r>
      <w:r>
        <w:rPr>
          <w:spacing w:val="-1"/>
          <w:sz w:val="21"/>
        </w:rPr>
        <w:t> </w:t>
      </w:r>
      <w:r>
        <w:rPr>
          <w:sz w:val="21"/>
        </w:rPr>
        <w:t>This</w:t>
      </w:r>
      <w:r>
        <w:rPr>
          <w:spacing w:val="-1"/>
          <w:sz w:val="21"/>
        </w:rPr>
        <w:t> </w:t>
      </w:r>
      <w:r>
        <w:rPr>
          <w:sz w:val="21"/>
        </w:rPr>
        <w:t>policy</w:t>
      </w:r>
      <w:r>
        <w:rPr>
          <w:spacing w:val="-1"/>
          <w:sz w:val="21"/>
        </w:rPr>
        <w:t> </w:t>
      </w:r>
      <w:r>
        <w:rPr>
          <w:sz w:val="21"/>
        </w:rPr>
        <w:t>design</w:t>
      </w:r>
      <w:r>
        <w:rPr>
          <w:spacing w:val="-1"/>
          <w:sz w:val="21"/>
        </w:rPr>
        <w:t> </w:t>
      </w:r>
      <w:r>
        <w:rPr>
          <w:sz w:val="21"/>
        </w:rPr>
        <w:t>does</w:t>
      </w:r>
      <w:r>
        <w:rPr>
          <w:spacing w:val="-1"/>
          <w:sz w:val="21"/>
        </w:rPr>
        <w:t> </w:t>
      </w:r>
      <w:r>
        <w:rPr>
          <w:sz w:val="21"/>
        </w:rPr>
        <w:t>not take</w:t>
      </w:r>
      <w:r>
        <w:rPr>
          <w:spacing w:val="-1"/>
          <w:sz w:val="21"/>
        </w:rPr>
        <w:t> </w:t>
      </w:r>
      <w:r>
        <w:rPr>
          <w:sz w:val="21"/>
        </w:rPr>
        <w:t>into</w:t>
      </w:r>
      <w:r>
        <w:rPr>
          <w:spacing w:val="-1"/>
          <w:sz w:val="21"/>
        </w:rPr>
        <w:t> </w:t>
      </w:r>
      <w:r>
        <w:rPr>
          <w:sz w:val="21"/>
        </w:rPr>
        <w:t>consideration</w:t>
      </w:r>
      <w:r>
        <w:rPr>
          <w:spacing w:val="-1"/>
          <w:sz w:val="21"/>
        </w:rPr>
        <w:t> </w:t>
      </w:r>
      <w:r>
        <w:rPr>
          <w:sz w:val="21"/>
        </w:rPr>
        <w:t>the</w:t>
      </w:r>
      <w:r>
        <w:rPr>
          <w:spacing w:val="-1"/>
          <w:sz w:val="21"/>
        </w:rPr>
        <w:t> </w:t>
      </w:r>
      <w:r>
        <w:rPr>
          <w:sz w:val="21"/>
        </w:rPr>
        <w:t>fact that pregnant people</w:t>
      </w:r>
      <w:r>
        <w:rPr>
          <w:spacing w:val="-1"/>
          <w:sz w:val="21"/>
        </w:rPr>
        <w:t> </w:t>
      </w:r>
      <w:r>
        <w:rPr>
          <w:sz w:val="21"/>
        </w:rPr>
        <w:t>are</w:t>
      </w:r>
      <w:r>
        <w:rPr>
          <w:spacing w:val="-2"/>
          <w:sz w:val="21"/>
        </w:rPr>
        <w:t> </w:t>
      </w:r>
      <w:r>
        <w:rPr>
          <w:sz w:val="21"/>
        </w:rPr>
        <w:t>more</w:t>
      </w:r>
      <w:r>
        <w:rPr>
          <w:spacing w:val="-1"/>
          <w:sz w:val="21"/>
        </w:rPr>
        <w:t> </w:t>
      </w:r>
      <w:r>
        <w:rPr>
          <w:sz w:val="21"/>
        </w:rPr>
        <w:t>likely</w:t>
      </w:r>
      <w:r>
        <w:rPr>
          <w:spacing w:val="-1"/>
          <w:sz w:val="21"/>
        </w:rPr>
        <w:t> </w:t>
      </w:r>
      <w:r>
        <w:rPr>
          <w:sz w:val="21"/>
        </w:rPr>
        <w:t>to experience postpartum complications after 60 days of giving birth.</w:t>
      </w:r>
    </w:p>
    <w:p>
      <w:pPr>
        <w:spacing w:line="276" w:lineRule="auto" w:before="239"/>
        <w:ind w:left="463" w:right="239" w:firstLine="0"/>
        <w:jc w:val="both"/>
        <w:rPr>
          <w:sz w:val="21"/>
        </w:rPr>
      </w:pPr>
      <w:r>
        <w:rPr>
          <w:sz w:val="21"/>
        </w:rPr>
        <w:t>In April 2022,</w:t>
      </w:r>
      <w:r>
        <w:rPr>
          <w:spacing w:val="-1"/>
          <w:sz w:val="21"/>
        </w:rPr>
        <w:t> </w:t>
      </w:r>
      <w:r>
        <w:rPr>
          <w:sz w:val="21"/>
        </w:rPr>
        <w:t>the Biden-Harris Administration announced that 720,000 pregnant and postpartum people across the United States could be eligible for Medicaid and Children’s Health Insurance Program coverage for a full 12 months</w:t>
      </w:r>
      <w:r>
        <w:rPr>
          <w:spacing w:val="-7"/>
          <w:sz w:val="21"/>
        </w:rPr>
        <w:t> </w:t>
      </w:r>
      <w:r>
        <w:rPr>
          <w:sz w:val="21"/>
        </w:rPr>
        <w:t>rather</w:t>
      </w:r>
      <w:r>
        <w:rPr>
          <w:spacing w:val="-8"/>
          <w:sz w:val="21"/>
        </w:rPr>
        <w:t> </w:t>
      </w:r>
      <w:r>
        <w:rPr>
          <w:sz w:val="21"/>
        </w:rPr>
        <w:t>than</w:t>
      </w:r>
      <w:r>
        <w:rPr>
          <w:spacing w:val="-8"/>
          <w:sz w:val="21"/>
        </w:rPr>
        <w:t> </w:t>
      </w:r>
      <w:r>
        <w:rPr>
          <w:sz w:val="21"/>
        </w:rPr>
        <w:t>60</w:t>
      </w:r>
      <w:r>
        <w:rPr>
          <w:spacing w:val="-8"/>
          <w:sz w:val="21"/>
        </w:rPr>
        <w:t> </w:t>
      </w:r>
      <w:r>
        <w:rPr>
          <w:sz w:val="21"/>
        </w:rPr>
        <w:t>days.</w:t>
      </w:r>
      <w:r>
        <w:rPr>
          <w:spacing w:val="-8"/>
          <w:sz w:val="21"/>
        </w:rPr>
        <w:t> </w:t>
      </w:r>
      <w:r>
        <w:rPr>
          <w:sz w:val="21"/>
        </w:rPr>
        <w:t>Under</w:t>
      </w:r>
      <w:r>
        <w:rPr>
          <w:spacing w:val="-7"/>
          <w:sz w:val="21"/>
        </w:rPr>
        <w:t> </w:t>
      </w:r>
      <w:r>
        <w:rPr>
          <w:sz w:val="21"/>
        </w:rPr>
        <w:t>the</w:t>
      </w:r>
      <w:r>
        <w:rPr>
          <w:spacing w:val="-7"/>
          <w:sz w:val="21"/>
        </w:rPr>
        <w:t> </w:t>
      </w:r>
      <w:r>
        <w:rPr>
          <w:sz w:val="21"/>
        </w:rPr>
        <w:t>American</w:t>
      </w:r>
      <w:r>
        <w:rPr>
          <w:spacing w:val="-7"/>
          <w:sz w:val="21"/>
        </w:rPr>
        <w:t> </w:t>
      </w:r>
      <w:r>
        <w:rPr>
          <w:sz w:val="21"/>
        </w:rPr>
        <w:t>Rescue</w:t>
      </w:r>
      <w:r>
        <w:rPr>
          <w:spacing w:val="-8"/>
          <w:sz w:val="21"/>
        </w:rPr>
        <w:t> </w:t>
      </w:r>
      <w:r>
        <w:rPr>
          <w:sz w:val="21"/>
        </w:rPr>
        <w:t>Plan</w:t>
      </w:r>
      <w:r>
        <w:rPr>
          <w:spacing w:val="-7"/>
          <w:sz w:val="21"/>
        </w:rPr>
        <w:t> </w:t>
      </w:r>
      <w:r>
        <w:rPr>
          <w:sz w:val="21"/>
        </w:rPr>
        <w:t>Act</w:t>
      </w:r>
      <w:r>
        <w:rPr>
          <w:spacing w:val="-6"/>
          <w:sz w:val="21"/>
        </w:rPr>
        <w:t> </w:t>
      </w:r>
      <w:r>
        <w:rPr>
          <w:sz w:val="21"/>
        </w:rPr>
        <w:t>of</w:t>
      </w:r>
      <w:r>
        <w:rPr>
          <w:spacing w:val="-7"/>
          <w:sz w:val="21"/>
        </w:rPr>
        <w:t> </w:t>
      </w:r>
      <w:r>
        <w:rPr>
          <w:sz w:val="21"/>
        </w:rPr>
        <w:t>2021</w:t>
      </w:r>
      <w:r>
        <w:rPr>
          <w:spacing w:val="-6"/>
          <w:sz w:val="21"/>
        </w:rPr>
        <w:t> </w:t>
      </w:r>
      <w:r>
        <w:rPr>
          <w:sz w:val="21"/>
        </w:rPr>
        <w:t>(ARP),</w:t>
      </w:r>
      <w:r>
        <w:rPr>
          <w:spacing w:val="-6"/>
          <w:sz w:val="21"/>
        </w:rPr>
        <w:t> </w:t>
      </w:r>
      <w:r>
        <w:rPr>
          <w:sz w:val="21"/>
        </w:rPr>
        <w:t>states</w:t>
      </w:r>
      <w:r>
        <w:rPr>
          <w:spacing w:val="-7"/>
          <w:sz w:val="21"/>
        </w:rPr>
        <w:t> </w:t>
      </w:r>
      <w:r>
        <w:rPr>
          <w:sz w:val="21"/>
        </w:rPr>
        <w:t>were</w:t>
      </w:r>
      <w:r>
        <w:rPr>
          <w:spacing w:val="-7"/>
          <w:sz w:val="21"/>
        </w:rPr>
        <w:t> </w:t>
      </w:r>
      <w:r>
        <w:rPr>
          <w:sz w:val="21"/>
        </w:rPr>
        <w:t>given</w:t>
      </w:r>
      <w:r>
        <w:rPr>
          <w:spacing w:val="-7"/>
          <w:sz w:val="21"/>
        </w:rPr>
        <w:t> </w:t>
      </w:r>
      <w:r>
        <w:rPr>
          <w:sz w:val="21"/>
        </w:rPr>
        <w:t>the</w:t>
      </w:r>
      <w:r>
        <w:rPr>
          <w:spacing w:val="-7"/>
          <w:sz w:val="21"/>
        </w:rPr>
        <w:t> </w:t>
      </w:r>
      <w:r>
        <w:rPr>
          <w:sz w:val="21"/>
        </w:rPr>
        <w:t>incentives</w:t>
      </w:r>
    </w:p>
    <w:p>
      <w:pPr>
        <w:spacing w:after="0" w:line="276" w:lineRule="auto"/>
        <w:jc w:val="both"/>
        <w:rPr>
          <w:sz w:val="21"/>
        </w:rPr>
        <w:sectPr>
          <w:pgSz w:w="12240" w:h="15840"/>
          <w:pgMar w:header="800" w:footer="1530" w:top="1080" w:bottom="1760" w:left="980" w:right="1000"/>
        </w:sectPr>
      </w:pPr>
    </w:p>
    <w:p>
      <w:pPr>
        <w:spacing w:before="69"/>
        <w:ind w:left="463" w:right="0" w:firstLine="0"/>
        <w:jc w:val="both"/>
        <w:rPr>
          <w:sz w:val="21"/>
        </w:rPr>
      </w:pPr>
      <w:r>
        <w:rPr>
          <w:sz w:val="21"/>
        </w:rPr>
        <w:t>and</w:t>
      </w:r>
      <w:r>
        <w:rPr>
          <w:spacing w:val="9"/>
          <w:sz w:val="21"/>
        </w:rPr>
        <w:t> </w:t>
      </w:r>
      <w:r>
        <w:rPr>
          <w:sz w:val="21"/>
        </w:rPr>
        <w:t>option</w:t>
      </w:r>
      <w:r>
        <w:rPr>
          <w:spacing w:val="11"/>
          <w:sz w:val="21"/>
        </w:rPr>
        <w:t> </w:t>
      </w:r>
      <w:r>
        <w:rPr>
          <w:sz w:val="21"/>
        </w:rPr>
        <w:t>to</w:t>
      </w:r>
      <w:r>
        <w:rPr>
          <w:spacing w:val="12"/>
          <w:sz w:val="21"/>
        </w:rPr>
        <w:t> </w:t>
      </w:r>
      <w:r>
        <w:rPr>
          <w:sz w:val="21"/>
        </w:rPr>
        <w:t>expand</w:t>
      </w:r>
      <w:r>
        <w:rPr>
          <w:spacing w:val="11"/>
          <w:sz w:val="21"/>
        </w:rPr>
        <w:t> </w:t>
      </w:r>
      <w:r>
        <w:rPr>
          <w:sz w:val="21"/>
        </w:rPr>
        <w:t>Medicaid</w:t>
      </w:r>
      <w:r>
        <w:rPr>
          <w:spacing w:val="11"/>
          <w:sz w:val="21"/>
        </w:rPr>
        <w:t> </w:t>
      </w:r>
      <w:r>
        <w:rPr>
          <w:sz w:val="21"/>
        </w:rPr>
        <w:t>services</w:t>
      </w:r>
      <w:r>
        <w:rPr>
          <w:spacing w:val="12"/>
          <w:sz w:val="21"/>
        </w:rPr>
        <w:t> </w:t>
      </w:r>
      <w:r>
        <w:rPr>
          <w:sz w:val="21"/>
        </w:rPr>
        <w:t>for</w:t>
      </w:r>
      <w:r>
        <w:rPr>
          <w:spacing w:val="11"/>
          <w:sz w:val="21"/>
        </w:rPr>
        <w:t> </w:t>
      </w:r>
      <w:r>
        <w:rPr>
          <w:sz w:val="21"/>
        </w:rPr>
        <w:t>postpartum</w:t>
      </w:r>
      <w:r>
        <w:rPr>
          <w:spacing w:val="12"/>
          <w:sz w:val="21"/>
        </w:rPr>
        <w:t> </w:t>
      </w:r>
      <w:r>
        <w:rPr>
          <w:sz w:val="21"/>
        </w:rPr>
        <w:t>services</w:t>
      </w:r>
      <w:r>
        <w:rPr>
          <w:spacing w:val="11"/>
          <w:sz w:val="21"/>
        </w:rPr>
        <w:t> </w:t>
      </w:r>
      <w:r>
        <w:rPr>
          <w:sz w:val="21"/>
        </w:rPr>
        <w:t>from</w:t>
      </w:r>
      <w:r>
        <w:rPr>
          <w:spacing w:val="11"/>
          <w:sz w:val="21"/>
        </w:rPr>
        <w:t> </w:t>
      </w:r>
      <w:r>
        <w:rPr>
          <w:sz w:val="21"/>
        </w:rPr>
        <w:t>60</w:t>
      </w:r>
      <w:r>
        <w:rPr>
          <w:spacing w:val="12"/>
          <w:sz w:val="21"/>
        </w:rPr>
        <w:t> </w:t>
      </w:r>
      <w:r>
        <w:rPr>
          <w:sz w:val="21"/>
        </w:rPr>
        <w:t>days</w:t>
      </w:r>
      <w:r>
        <w:rPr>
          <w:spacing w:val="11"/>
          <w:sz w:val="21"/>
        </w:rPr>
        <w:t> </w:t>
      </w:r>
      <w:r>
        <w:rPr>
          <w:sz w:val="21"/>
        </w:rPr>
        <w:t>to</w:t>
      </w:r>
      <w:r>
        <w:rPr>
          <w:spacing w:val="11"/>
          <w:sz w:val="21"/>
        </w:rPr>
        <w:t> </w:t>
      </w:r>
      <w:r>
        <w:rPr>
          <w:sz w:val="21"/>
        </w:rPr>
        <w:t>12</w:t>
      </w:r>
      <w:r>
        <w:rPr>
          <w:spacing w:val="11"/>
          <w:sz w:val="21"/>
        </w:rPr>
        <w:t> </w:t>
      </w:r>
      <w:r>
        <w:rPr>
          <w:sz w:val="21"/>
        </w:rPr>
        <w:t>months.</w:t>
      </w:r>
      <w:r>
        <w:rPr>
          <w:spacing w:val="11"/>
          <w:sz w:val="21"/>
        </w:rPr>
        <w:t> </w:t>
      </w:r>
      <w:r>
        <w:rPr>
          <w:sz w:val="21"/>
        </w:rPr>
        <w:t>In</w:t>
      </w:r>
      <w:r>
        <w:rPr>
          <w:spacing w:val="11"/>
          <w:sz w:val="21"/>
        </w:rPr>
        <w:t> </w:t>
      </w:r>
      <w:r>
        <w:rPr>
          <w:sz w:val="21"/>
        </w:rPr>
        <w:t>July</w:t>
      </w:r>
      <w:r>
        <w:rPr>
          <w:spacing w:val="11"/>
          <w:sz w:val="21"/>
        </w:rPr>
        <w:t> </w:t>
      </w:r>
      <w:r>
        <w:rPr>
          <w:sz w:val="21"/>
        </w:rPr>
        <w:t>2022,</w:t>
      </w:r>
      <w:r>
        <w:rPr>
          <w:spacing w:val="13"/>
          <w:sz w:val="21"/>
        </w:rPr>
        <w:t> </w:t>
      </w:r>
      <w:r>
        <w:rPr>
          <w:spacing w:val="-5"/>
          <w:sz w:val="21"/>
        </w:rPr>
        <w:t>the</w:t>
      </w:r>
    </w:p>
    <w:p>
      <w:pPr>
        <w:spacing w:line="276" w:lineRule="auto" w:before="38"/>
        <w:ind w:left="463" w:right="239" w:firstLine="0"/>
        <w:jc w:val="both"/>
        <w:rPr>
          <w:sz w:val="21"/>
        </w:rPr>
      </w:pPr>
      <w:r>
        <w:rPr>
          <w:sz w:val="21"/>
        </w:rPr>
        <w:t>U.S. Department of Health and Human Services (HHS), through the Federal Centers for Medicare and Medicaid Services, approved Massachusetts’ request to extend MassHealth coverage from 60 days to 12 months after pregnancy. This coverage expansion will allow an additional 8,000 individuals annually to access MassHealth services</w:t>
      </w:r>
      <w:hyperlink w:history="true" w:anchor="_bookmark245">
        <w:r>
          <w:rPr>
            <w:sz w:val="21"/>
          </w:rPr>
          <w:t>.</w:t>
        </w:r>
        <w:r>
          <w:rPr>
            <w:sz w:val="21"/>
            <w:vertAlign w:val="superscript"/>
          </w:rPr>
          <w:t>52</w:t>
        </w:r>
      </w:hyperlink>
      <w:r>
        <w:rPr>
          <w:sz w:val="21"/>
          <w:vertAlign w:val="baseline"/>
        </w:rPr>
        <w:t> The ARP’s state plan option is currently limited to a five-year period that ends March 31, 2027, meaning that this state coverage expansion will expire.</w:t>
      </w:r>
    </w:p>
    <w:p>
      <w:pPr>
        <w:spacing w:line="276" w:lineRule="auto" w:before="240"/>
        <w:ind w:left="463" w:right="239" w:firstLine="0"/>
        <w:jc w:val="both"/>
        <w:rPr>
          <w:sz w:val="21"/>
        </w:rPr>
      </w:pPr>
      <w:r>
        <w:rPr>
          <w:sz w:val="21"/>
        </w:rPr>
        <w:t>Although the APR’s state plan has a lengthy expansion period, Massachusetts needs to pass legislation that requires</w:t>
      </w:r>
      <w:r>
        <w:rPr>
          <w:spacing w:val="-6"/>
          <w:sz w:val="21"/>
        </w:rPr>
        <w:t> </w:t>
      </w:r>
      <w:r>
        <w:rPr>
          <w:sz w:val="21"/>
        </w:rPr>
        <w:t>MassHealth</w:t>
      </w:r>
      <w:r>
        <w:rPr>
          <w:spacing w:val="-6"/>
          <w:sz w:val="21"/>
        </w:rPr>
        <w:t> </w:t>
      </w:r>
      <w:r>
        <w:rPr>
          <w:sz w:val="21"/>
        </w:rPr>
        <w:t>to</w:t>
      </w:r>
      <w:r>
        <w:rPr>
          <w:spacing w:val="-6"/>
          <w:sz w:val="21"/>
        </w:rPr>
        <w:t> </w:t>
      </w:r>
      <w:r>
        <w:rPr>
          <w:sz w:val="21"/>
        </w:rPr>
        <w:t>grant</w:t>
      </w:r>
      <w:r>
        <w:rPr>
          <w:spacing w:val="-6"/>
          <w:sz w:val="21"/>
        </w:rPr>
        <w:t> </w:t>
      </w:r>
      <w:r>
        <w:rPr>
          <w:sz w:val="21"/>
        </w:rPr>
        <w:t>recipients</w:t>
      </w:r>
      <w:r>
        <w:rPr>
          <w:spacing w:val="-6"/>
          <w:sz w:val="21"/>
        </w:rPr>
        <w:t> </w:t>
      </w:r>
      <w:r>
        <w:rPr>
          <w:sz w:val="21"/>
        </w:rPr>
        <w:t>a</w:t>
      </w:r>
      <w:r>
        <w:rPr>
          <w:spacing w:val="-8"/>
          <w:sz w:val="21"/>
        </w:rPr>
        <w:t> </w:t>
      </w:r>
      <w:r>
        <w:rPr>
          <w:sz w:val="21"/>
        </w:rPr>
        <w:t>12-month</w:t>
      </w:r>
      <w:r>
        <w:rPr>
          <w:spacing w:val="-7"/>
          <w:sz w:val="21"/>
        </w:rPr>
        <w:t> </w:t>
      </w:r>
      <w:r>
        <w:rPr>
          <w:sz w:val="21"/>
        </w:rPr>
        <w:t>expansion</w:t>
      </w:r>
      <w:r>
        <w:rPr>
          <w:spacing w:val="-6"/>
          <w:sz w:val="21"/>
        </w:rPr>
        <w:t> </w:t>
      </w:r>
      <w:r>
        <w:rPr>
          <w:sz w:val="21"/>
        </w:rPr>
        <w:t>of</w:t>
      </w:r>
      <w:r>
        <w:rPr>
          <w:spacing w:val="-6"/>
          <w:sz w:val="21"/>
        </w:rPr>
        <w:t> </w:t>
      </w:r>
      <w:r>
        <w:rPr>
          <w:sz w:val="21"/>
        </w:rPr>
        <w:t>postpartum</w:t>
      </w:r>
      <w:r>
        <w:rPr>
          <w:spacing w:val="-6"/>
          <w:sz w:val="21"/>
        </w:rPr>
        <w:t> </w:t>
      </w:r>
      <w:r>
        <w:rPr>
          <w:sz w:val="21"/>
        </w:rPr>
        <w:t>care</w:t>
      </w:r>
      <w:r>
        <w:rPr>
          <w:spacing w:val="-6"/>
          <w:sz w:val="21"/>
        </w:rPr>
        <w:t> </w:t>
      </w:r>
      <w:r>
        <w:rPr>
          <w:sz w:val="21"/>
        </w:rPr>
        <w:t>services</w:t>
      </w:r>
      <w:r>
        <w:rPr>
          <w:spacing w:val="-6"/>
          <w:sz w:val="21"/>
        </w:rPr>
        <w:t> </w:t>
      </w:r>
      <w:r>
        <w:rPr>
          <w:sz w:val="21"/>
        </w:rPr>
        <w:t>under</w:t>
      </w:r>
      <w:r>
        <w:rPr>
          <w:spacing w:val="-6"/>
          <w:sz w:val="21"/>
        </w:rPr>
        <w:t> </w:t>
      </w:r>
      <w:r>
        <w:rPr>
          <w:sz w:val="21"/>
        </w:rPr>
        <w:t>their</w:t>
      </w:r>
      <w:r>
        <w:rPr>
          <w:spacing w:val="-6"/>
          <w:sz w:val="21"/>
        </w:rPr>
        <w:t> </w:t>
      </w:r>
      <w:r>
        <w:rPr>
          <w:sz w:val="21"/>
        </w:rPr>
        <w:t>Medicaid benefits</w:t>
      </w:r>
      <w:r>
        <w:rPr>
          <w:spacing w:val="-7"/>
          <w:sz w:val="21"/>
        </w:rPr>
        <w:t> </w:t>
      </w:r>
      <w:r>
        <w:rPr>
          <w:sz w:val="21"/>
        </w:rPr>
        <w:t>after</w:t>
      </w:r>
      <w:r>
        <w:rPr>
          <w:spacing w:val="-7"/>
          <w:sz w:val="21"/>
        </w:rPr>
        <w:t> </w:t>
      </w:r>
      <w:r>
        <w:rPr>
          <w:sz w:val="21"/>
        </w:rPr>
        <w:t>the</w:t>
      </w:r>
      <w:r>
        <w:rPr>
          <w:spacing w:val="-7"/>
          <w:sz w:val="21"/>
        </w:rPr>
        <w:t> </w:t>
      </w:r>
      <w:r>
        <w:rPr>
          <w:sz w:val="21"/>
        </w:rPr>
        <w:t>ARP’s</w:t>
      </w:r>
      <w:r>
        <w:rPr>
          <w:spacing w:val="-7"/>
          <w:sz w:val="21"/>
        </w:rPr>
        <w:t> </w:t>
      </w:r>
      <w:r>
        <w:rPr>
          <w:sz w:val="21"/>
        </w:rPr>
        <w:t>state</w:t>
      </w:r>
      <w:r>
        <w:rPr>
          <w:spacing w:val="-7"/>
          <w:sz w:val="21"/>
        </w:rPr>
        <w:t> </w:t>
      </w:r>
      <w:r>
        <w:rPr>
          <w:sz w:val="21"/>
        </w:rPr>
        <w:t>plan</w:t>
      </w:r>
      <w:r>
        <w:rPr>
          <w:spacing w:val="-7"/>
          <w:sz w:val="21"/>
        </w:rPr>
        <w:t> </w:t>
      </w:r>
      <w:r>
        <w:rPr>
          <w:sz w:val="21"/>
        </w:rPr>
        <w:t>expires</w:t>
      </w:r>
      <w:r>
        <w:rPr>
          <w:spacing w:val="-9"/>
          <w:sz w:val="21"/>
        </w:rPr>
        <w:t> </w:t>
      </w:r>
      <w:r>
        <w:rPr>
          <w:sz w:val="21"/>
        </w:rPr>
        <w:t>in</w:t>
      </w:r>
      <w:r>
        <w:rPr>
          <w:spacing w:val="-7"/>
          <w:sz w:val="21"/>
        </w:rPr>
        <w:t> </w:t>
      </w:r>
      <w:r>
        <w:rPr>
          <w:sz w:val="21"/>
        </w:rPr>
        <w:t>2027,</w:t>
      </w:r>
      <w:r>
        <w:rPr>
          <w:spacing w:val="-6"/>
          <w:sz w:val="21"/>
        </w:rPr>
        <w:t> </w:t>
      </w:r>
      <w:r>
        <w:rPr>
          <w:sz w:val="21"/>
        </w:rPr>
        <w:t>if</w:t>
      </w:r>
      <w:r>
        <w:rPr>
          <w:spacing w:val="-7"/>
          <w:sz w:val="21"/>
        </w:rPr>
        <w:t> </w:t>
      </w:r>
      <w:r>
        <w:rPr>
          <w:sz w:val="21"/>
        </w:rPr>
        <w:t>the</w:t>
      </w:r>
      <w:r>
        <w:rPr>
          <w:spacing w:val="-9"/>
          <w:sz w:val="21"/>
        </w:rPr>
        <w:t> </w:t>
      </w:r>
      <w:r>
        <w:rPr>
          <w:sz w:val="21"/>
        </w:rPr>
        <w:t>presidential</w:t>
      </w:r>
      <w:r>
        <w:rPr>
          <w:spacing w:val="-7"/>
          <w:sz w:val="21"/>
        </w:rPr>
        <w:t> </w:t>
      </w:r>
      <w:r>
        <w:rPr>
          <w:sz w:val="21"/>
        </w:rPr>
        <w:t>administration</w:t>
      </w:r>
      <w:r>
        <w:rPr>
          <w:spacing w:val="-7"/>
          <w:sz w:val="21"/>
        </w:rPr>
        <w:t> </w:t>
      </w:r>
      <w:r>
        <w:rPr>
          <w:sz w:val="21"/>
        </w:rPr>
        <w:t>at</w:t>
      </w:r>
      <w:r>
        <w:rPr>
          <w:spacing w:val="-6"/>
          <w:sz w:val="21"/>
        </w:rPr>
        <w:t> </w:t>
      </w:r>
      <w:r>
        <w:rPr>
          <w:sz w:val="21"/>
        </w:rPr>
        <w:t>that</w:t>
      </w:r>
      <w:r>
        <w:rPr>
          <w:spacing w:val="-8"/>
          <w:sz w:val="21"/>
        </w:rPr>
        <w:t> </w:t>
      </w:r>
      <w:r>
        <w:rPr>
          <w:sz w:val="21"/>
        </w:rPr>
        <w:t>time</w:t>
      </w:r>
      <w:r>
        <w:rPr>
          <w:spacing w:val="-7"/>
          <w:sz w:val="21"/>
        </w:rPr>
        <w:t> </w:t>
      </w:r>
      <w:r>
        <w:rPr>
          <w:sz w:val="21"/>
        </w:rPr>
        <w:t>does</w:t>
      </w:r>
      <w:r>
        <w:rPr>
          <w:spacing w:val="-7"/>
          <w:sz w:val="21"/>
        </w:rPr>
        <w:t> </w:t>
      </w:r>
      <w:r>
        <w:rPr>
          <w:sz w:val="21"/>
        </w:rPr>
        <w:t>not</w:t>
      </w:r>
      <w:r>
        <w:rPr>
          <w:spacing w:val="-6"/>
          <w:sz w:val="21"/>
        </w:rPr>
        <w:t> </w:t>
      </w:r>
      <w:r>
        <w:rPr>
          <w:sz w:val="21"/>
        </w:rPr>
        <w:t>extend </w:t>
      </w:r>
      <w:r>
        <w:rPr>
          <w:spacing w:val="-4"/>
          <w:sz w:val="21"/>
        </w:rPr>
        <w:t>it.</w:t>
      </w:r>
    </w:p>
    <w:p>
      <w:pPr>
        <w:spacing w:before="240"/>
        <w:ind w:left="463" w:right="0" w:firstLine="0"/>
        <w:jc w:val="both"/>
        <w:rPr>
          <w:sz w:val="28"/>
        </w:rPr>
      </w:pPr>
      <w:bookmarkStart w:name="Access to Fertility Treatments" w:id="377"/>
      <w:bookmarkEnd w:id="377"/>
      <w:r>
        <w:rPr/>
      </w:r>
      <w:r>
        <w:rPr>
          <w:color w:val="365F91"/>
          <w:sz w:val="28"/>
        </w:rPr>
        <w:t>Access</w:t>
      </w:r>
      <w:r>
        <w:rPr>
          <w:color w:val="365F91"/>
          <w:spacing w:val="-8"/>
          <w:sz w:val="28"/>
        </w:rPr>
        <w:t> </w:t>
      </w:r>
      <w:r>
        <w:rPr>
          <w:color w:val="365F91"/>
          <w:sz w:val="28"/>
        </w:rPr>
        <w:t>to</w:t>
      </w:r>
      <w:r>
        <w:rPr>
          <w:color w:val="365F91"/>
          <w:spacing w:val="-8"/>
          <w:sz w:val="28"/>
        </w:rPr>
        <w:t> </w:t>
      </w:r>
      <w:r>
        <w:rPr>
          <w:color w:val="365F91"/>
          <w:sz w:val="28"/>
        </w:rPr>
        <w:t>Fertility</w:t>
      </w:r>
      <w:r>
        <w:rPr>
          <w:color w:val="365F91"/>
          <w:spacing w:val="-8"/>
          <w:sz w:val="28"/>
        </w:rPr>
        <w:t> </w:t>
      </w:r>
      <w:r>
        <w:rPr>
          <w:color w:val="365F91"/>
          <w:spacing w:val="-2"/>
          <w:sz w:val="28"/>
        </w:rPr>
        <w:t>Treatments</w:t>
      </w:r>
    </w:p>
    <w:p>
      <w:pPr>
        <w:pStyle w:val="BodyText"/>
        <w:spacing w:line="276" w:lineRule="auto" w:before="291"/>
        <w:ind w:left="463" w:right="240"/>
        <w:jc w:val="both"/>
      </w:pPr>
      <w:r>
        <w:rPr/>
        <w:t>Heteronormative ideals of pregnancy and parenting typically frame fertility treatments as a service that cisgender women struggling with infertility seek. LGBTQ individuals who desire to become pregnant and parent</w:t>
      </w:r>
      <w:r>
        <w:rPr>
          <w:spacing w:val="-9"/>
        </w:rPr>
        <w:t> </w:t>
      </w:r>
      <w:r>
        <w:rPr/>
        <w:t>a</w:t>
      </w:r>
      <w:r>
        <w:rPr>
          <w:spacing w:val="-9"/>
        </w:rPr>
        <w:t> </w:t>
      </w:r>
      <w:r>
        <w:rPr/>
        <w:t>child</w:t>
      </w:r>
      <w:r>
        <w:rPr>
          <w:spacing w:val="-9"/>
        </w:rPr>
        <w:t> </w:t>
      </w:r>
      <w:r>
        <w:rPr/>
        <w:t>seek</w:t>
      </w:r>
      <w:r>
        <w:rPr>
          <w:spacing w:val="-9"/>
        </w:rPr>
        <w:t> </w:t>
      </w:r>
      <w:r>
        <w:rPr/>
        <w:t>out</w:t>
      </w:r>
      <w:r>
        <w:rPr>
          <w:spacing w:val="-9"/>
        </w:rPr>
        <w:t> </w:t>
      </w:r>
      <w:r>
        <w:rPr/>
        <w:t>fertility</w:t>
      </w:r>
      <w:r>
        <w:rPr>
          <w:spacing w:val="-9"/>
        </w:rPr>
        <w:t> </w:t>
      </w:r>
      <w:r>
        <w:rPr/>
        <w:t>treatments</w:t>
      </w:r>
      <w:r>
        <w:rPr>
          <w:spacing w:val="-10"/>
        </w:rPr>
        <w:t> </w:t>
      </w:r>
      <w:r>
        <w:rPr/>
        <w:t>if</w:t>
      </w:r>
      <w:r>
        <w:rPr>
          <w:spacing w:val="-9"/>
        </w:rPr>
        <w:t> </w:t>
      </w:r>
      <w:r>
        <w:rPr/>
        <w:t>they</w:t>
      </w:r>
      <w:r>
        <w:rPr>
          <w:spacing w:val="-8"/>
        </w:rPr>
        <w:t> </w:t>
      </w:r>
      <w:r>
        <w:rPr/>
        <w:t>cannot</w:t>
      </w:r>
      <w:r>
        <w:rPr>
          <w:spacing w:val="-9"/>
        </w:rPr>
        <w:t> </w:t>
      </w:r>
      <w:r>
        <w:rPr/>
        <w:t>conceive</w:t>
      </w:r>
      <w:r>
        <w:rPr>
          <w:spacing w:val="-8"/>
        </w:rPr>
        <w:t> </w:t>
      </w:r>
      <w:r>
        <w:rPr/>
        <w:t>a</w:t>
      </w:r>
      <w:r>
        <w:rPr>
          <w:spacing w:val="-10"/>
        </w:rPr>
        <w:t> </w:t>
      </w:r>
      <w:r>
        <w:rPr/>
        <w:t>pregnancy</w:t>
      </w:r>
      <w:r>
        <w:rPr>
          <w:spacing w:val="-9"/>
        </w:rPr>
        <w:t> </w:t>
      </w:r>
      <w:r>
        <w:rPr/>
        <w:t>if</w:t>
      </w:r>
      <w:r>
        <w:rPr>
          <w:spacing w:val="-10"/>
        </w:rPr>
        <w:t> </w:t>
      </w:r>
      <w:r>
        <w:rPr/>
        <w:t>they</w:t>
      </w:r>
      <w:r>
        <w:rPr>
          <w:spacing w:val="-9"/>
        </w:rPr>
        <w:t> </w:t>
      </w:r>
      <w:r>
        <w:rPr/>
        <w:t>do</w:t>
      </w:r>
      <w:r>
        <w:rPr>
          <w:spacing w:val="-10"/>
        </w:rPr>
        <w:t> </w:t>
      </w:r>
      <w:r>
        <w:rPr/>
        <w:t>not</w:t>
      </w:r>
      <w:r>
        <w:rPr>
          <w:spacing w:val="-8"/>
        </w:rPr>
        <w:t> </w:t>
      </w:r>
      <w:r>
        <w:rPr/>
        <w:t>desire</w:t>
      </w:r>
      <w:r>
        <w:rPr>
          <w:spacing w:val="-10"/>
        </w:rPr>
        <w:t> </w:t>
      </w:r>
      <w:r>
        <w:rPr/>
        <w:t>sex</w:t>
      </w:r>
      <w:r>
        <w:rPr>
          <w:spacing w:val="-9"/>
        </w:rPr>
        <w:t> </w:t>
      </w:r>
      <w:r>
        <w:rPr/>
        <w:t>with someone</w:t>
      </w:r>
      <w:r>
        <w:rPr>
          <w:spacing w:val="-2"/>
        </w:rPr>
        <w:t> </w:t>
      </w:r>
      <w:r>
        <w:rPr/>
        <w:t>with</w:t>
      </w:r>
      <w:r>
        <w:rPr>
          <w:spacing w:val="-2"/>
        </w:rPr>
        <w:t> </w:t>
      </w:r>
      <w:r>
        <w:rPr/>
        <w:t>a</w:t>
      </w:r>
      <w:r>
        <w:rPr>
          <w:spacing w:val="-1"/>
        </w:rPr>
        <w:t> </w:t>
      </w:r>
      <w:r>
        <w:rPr/>
        <w:t>penis,</w:t>
      </w:r>
      <w:r>
        <w:rPr>
          <w:spacing w:val="-1"/>
        </w:rPr>
        <w:t> </w:t>
      </w:r>
      <w:r>
        <w:rPr/>
        <w:t>particularly</w:t>
      </w:r>
      <w:r>
        <w:rPr>
          <w:spacing w:val="-1"/>
        </w:rPr>
        <w:t> </w:t>
      </w:r>
      <w:r>
        <w:rPr/>
        <w:t>a cisgender male.</w:t>
      </w:r>
      <w:r>
        <w:rPr>
          <w:spacing w:val="-1"/>
        </w:rPr>
        <w:t> </w:t>
      </w:r>
      <w:r>
        <w:rPr/>
        <w:t>LGBTQ</w:t>
      </w:r>
      <w:r>
        <w:rPr>
          <w:spacing w:val="-1"/>
        </w:rPr>
        <w:t> </w:t>
      </w:r>
      <w:r>
        <w:rPr/>
        <w:t>patients</w:t>
      </w:r>
      <w:r>
        <w:rPr>
          <w:spacing w:val="-1"/>
        </w:rPr>
        <w:t> </w:t>
      </w:r>
      <w:r>
        <w:rPr/>
        <w:t>might</w:t>
      </w:r>
      <w:r>
        <w:rPr>
          <w:spacing w:val="-2"/>
        </w:rPr>
        <w:t> </w:t>
      </w:r>
      <w:r>
        <w:rPr/>
        <w:t>also</w:t>
      </w:r>
      <w:r>
        <w:rPr>
          <w:spacing w:val="-1"/>
        </w:rPr>
        <w:t> </w:t>
      </w:r>
      <w:r>
        <w:rPr/>
        <w:t>look</w:t>
      </w:r>
      <w:r>
        <w:rPr>
          <w:spacing w:val="-2"/>
        </w:rPr>
        <w:t> </w:t>
      </w:r>
      <w:r>
        <w:rPr/>
        <w:t>to</w:t>
      </w:r>
      <w:r>
        <w:rPr>
          <w:spacing w:val="-1"/>
        </w:rPr>
        <w:t> </w:t>
      </w:r>
      <w:r>
        <w:rPr/>
        <w:t>fertility</w:t>
      </w:r>
      <w:r>
        <w:rPr>
          <w:spacing w:val="-1"/>
        </w:rPr>
        <w:t> </w:t>
      </w:r>
      <w:r>
        <w:rPr/>
        <w:t>treatments due to infertility caused by hormone therapy. As mentioned earlier in this section, LGBTQ folks who desire to</w:t>
      </w:r>
      <w:r>
        <w:rPr>
          <w:spacing w:val="-13"/>
        </w:rPr>
        <w:t> </w:t>
      </w:r>
      <w:r>
        <w:rPr/>
        <w:t>become</w:t>
      </w:r>
      <w:r>
        <w:rPr>
          <w:spacing w:val="-12"/>
        </w:rPr>
        <w:t> </w:t>
      </w:r>
      <w:r>
        <w:rPr/>
        <w:t>pregnant</w:t>
      </w:r>
      <w:r>
        <w:rPr>
          <w:spacing w:val="-13"/>
        </w:rPr>
        <w:t> </w:t>
      </w:r>
      <w:r>
        <w:rPr/>
        <w:t>often</w:t>
      </w:r>
      <w:r>
        <w:rPr>
          <w:spacing w:val="-12"/>
        </w:rPr>
        <w:t> </w:t>
      </w:r>
      <w:r>
        <w:rPr/>
        <w:t>cannot</w:t>
      </w:r>
      <w:r>
        <w:rPr>
          <w:spacing w:val="-13"/>
        </w:rPr>
        <w:t> </w:t>
      </w:r>
      <w:r>
        <w:rPr/>
        <w:t>afford</w:t>
      </w:r>
      <w:r>
        <w:rPr>
          <w:spacing w:val="-12"/>
        </w:rPr>
        <w:t> </w:t>
      </w:r>
      <w:r>
        <w:rPr/>
        <w:t>fertility</w:t>
      </w:r>
      <w:r>
        <w:rPr>
          <w:spacing w:val="-13"/>
        </w:rPr>
        <w:t> </w:t>
      </w:r>
      <w:r>
        <w:rPr/>
        <w:t>treatments.</w:t>
      </w:r>
      <w:r>
        <w:rPr>
          <w:spacing w:val="-12"/>
        </w:rPr>
        <w:t> </w:t>
      </w:r>
      <w:r>
        <w:rPr/>
        <w:t>In</w:t>
      </w:r>
      <w:r>
        <w:rPr>
          <w:spacing w:val="-12"/>
        </w:rPr>
        <w:t> </w:t>
      </w:r>
      <w:r>
        <w:rPr/>
        <w:t>June</w:t>
      </w:r>
      <w:r>
        <w:rPr>
          <w:spacing w:val="-13"/>
        </w:rPr>
        <w:t> </w:t>
      </w:r>
      <w:r>
        <w:rPr/>
        <w:t>2022,</w:t>
      </w:r>
      <w:r>
        <w:rPr>
          <w:spacing w:val="-12"/>
        </w:rPr>
        <w:t> </w:t>
      </w:r>
      <w:r>
        <w:rPr/>
        <w:t>The</w:t>
      </w:r>
      <w:r>
        <w:rPr>
          <w:spacing w:val="-13"/>
        </w:rPr>
        <w:t> </w:t>
      </w:r>
      <w:r>
        <w:rPr/>
        <w:t>Equal</w:t>
      </w:r>
      <w:r>
        <w:rPr>
          <w:spacing w:val="-12"/>
        </w:rPr>
        <w:t> </w:t>
      </w:r>
      <w:r>
        <w:rPr/>
        <w:t>Access</w:t>
      </w:r>
      <w:r>
        <w:rPr>
          <w:spacing w:val="-13"/>
        </w:rPr>
        <w:t> </w:t>
      </w:r>
      <w:r>
        <w:rPr/>
        <w:t>to</w:t>
      </w:r>
      <w:r>
        <w:rPr>
          <w:spacing w:val="-12"/>
        </w:rPr>
        <w:t> </w:t>
      </w:r>
      <w:r>
        <w:rPr/>
        <w:t>Reproductive Care Act (H.R.8190) was introduced in the United States Congress, though this bill did not progress, which would have closed a loophole in the tax code to cover fertility treatments as “medical care.” Heterosexual couples can usually cover the cost of fertility by claiming the expenses associated with surrogacy or IVF treatments</w:t>
      </w:r>
      <w:r>
        <w:rPr>
          <w:spacing w:val="-7"/>
        </w:rPr>
        <w:t> </w:t>
      </w:r>
      <w:r>
        <w:rPr/>
        <w:t>in</w:t>
      </w:r>
      <w:r>
        <w:rPr>
          <w:spacing w:val="-7"/>
        </w:rPr>
        <w:t> </w:t>
      </w:r>
      <w:r>
        <w:rPr/>
        <w:t>their</w:t>
      </w:r>
      <w:r>
        <w:rPr>
          <w:spacing w:val="-6"/>
        </w:rPr>
        <w:t> </w:t>
      </w:r>
      <w:r>
        <w:rPr/>
        <w:t>income</w:t>
      </w:r>
      <w:r>
        <w:rPr>
          <w:spacing w:val="-7"/>
        </w:rPr>
        <w:t> </w:t>
      </w:r>
      <w:r>
        <w:rPr/>
        <w:t>tax.</w:t>
      </w:r>
      <w:r>
        <w:rPr>
          <w:spacing w:val="-7"/>
        </w:rPr>
        <w:t> </w:t>
      </w:r>
      <w:r>
        <w:rPr/>
        <w:t>The</w:t>
      </w:r>
      <w:r>
        <w:rPr>
          <w:spacing w:val="-7"/>
        </w:rPr>
        <w:t> </w:t>
      </w:r>
      <w:r>
        <w:rPr/>
        <w:t>legislation</w:t>
      </w:r>
      <w:r>
        <w:rPr>
          <w:spacing w:val="-8"/>
        </w:rPr>
        <w:t> </w:t>
      </w:r>
      <w:r>
        <w:rPr/>
        <w:t>would</w:t>
      </w:r>
      <w:r>
        <w:rPr>
          <w:spacing w:val="-7"/>
        </w:rPr>
        <w:t> </w:t>
      </w:r>
      <w:r>
        <w:rPr/>
        <w:t>then</w:t>
      </w:r>
      <w:r>
        <w:rPr>
          <w:spacing w:val="-7"/>
        </w:rPr>
        <w:t> </w:t>
      </w:r>
      <w:r>
        <w:rPr/>
        <w:t>classify</w:t>
      </w:r>
      <w:r>
        <w:rPr>
          <w:spacing w:val="-7"/>
        </w:rPr>
        <w:t> </w:t>
      </w:r>
      <w:r>
        <w:rPr/>
        <w:t>assisted</w:t>
      </w:r>
      <w:r>
        <w:rPr>
          <w:spacing w:val="-8"/>
        </w:rPr>
        <w:t> </w:t>
      </w:r>
      <w:r>
        <w:rPr/>
        <w:t>reproduction</w:t>
      </w:r>
      <w:r>
        <w:rPr>
          <w:spacing w:val="-8"/>
        </w:rPr>
        <w:t> </w:t>
      </w:r>
      <w:r>
        <w:rPr/>
        <w:t>as</w:t>
      </w:r>
      <w:r>
        <w:rPr>
          <w:spacing w:val="-7"/>
        </w:rPr>
        <w:t> </w:t>
      </w:r>
      <w:r>
        <w:rPr/>
        <w:t>a</w:t>
      </w:r>
      <w:r>
        <w:rPr>
          <w:spacing w:val="-7"/>
        </w:rPr>
        <w:t> </w:t>
      </w:r>
      <w:r>
        <w:rPr/>
        <w:t>tax-deductible medical expense, which would expand access to fertility treatments for LGBTQ families.</w:t>
      </w:r>
    </w:p>
    <w:p>
      <w:pPr>
        <w:spacing w:before="239"/>
        <w:ind w:left="463" w:right="0" w:firstLine="0"/>
        <w:jc w:val="both"/>
        <w:rPr>
          <w:sz w:val="28"/>
        </w:rPr>
      </w:pPr>
      <w:bookmarkStart w:name="Doula Services" w:id="378"/>
      <w:bookmarkEnd w:id="378"/>
      <w:r>
        <w:rPr/>
      </w:r>
      <w:r>
        <w:rPr>
          <w:color w:val="365F91"/>
          <w:sz w:val="28"/>
        </w:rPr>
        <w:t>Doula</w:t>
      </w:r>
      <w:r>
        <w:rPr>
          <w:color w:val="365F91"/>
          <w:spacing w:val="-9"/>
          <w:sz w:val="28"/>
        </w:rPr>
        <w:t> </w:t>
      </w:r>
      <w:r>
        <w:rPr>
          <w:color w:val="365F91"/>
          <w:spacing w:val="-2"/>
          <w:sz w:val="28"/>
        </w:rPr>
        <w:t>Services</w:t>
      </w:r>
    </w:p>
    <w:p>
      <w:pPr>
        <w:pStyle w:val="BodyText"/>
        <w:spacing w:line="276" w:lineRule="auto" w:before="293"/>
        <w:ind w:left="463" w:right="240"/>
        <w:jc w:val="both"/>
      </w:pPr>
      <w:r>
        <w:rPr/>
        <w:t>A</w:t>
      </w:r>
      <w:r>
        <w:rPr>
          <w:spacing w:val="-13"/>
        </w:rPr>
        <w:t> </w:t>
      </w:r>
      <w:r>
        <w:rPr/>
        <w:t>systemic</w:t>
      </w:r>
      <w:r>
        <w:rPr>
          <w:spacing w:val="-12"/>
        </w:rPr>
        <w:t> </w:t>
      </w:r>
      <w:r>
        <w:rPr/>
        <w:t>policy</w:t>
      </w:r>
      <w:r>
        <w:rPr>
          <w:spacing w:val="-13"/>
        </w:rPr>
        <w:t> </w:t>
      </w:r>
      <w:r>
        <w:rPr/>
        <w:t>review</w:t>
      </w:r>
      <w:r>
        <w:rPr>
          <w:spacing w:val="-12"/>
        </w:rPr>
        <w:t> </w:t>
      </w:r>
      <w:r>
        <w:rPr/>
        <w:t>study</w:t>
      </w:r>
      <w:r>
        <w:rPr>
          <w:spacing w:val="-13"/>
        </w:rPr>
        <w:t> </w:t>
      </w:r>
      <w:r>
        <w:rPr/>
        <w:t>on</w:t>
      </w:r>
      <w:r>
        <w:rPr>
          <w:spacing w:val="-12"/>
        </w:rPr>
        <w:t> </w:t>
      </w:r>
      <w:r>
        <w:rPr/>
        <w:t>Massachusetts</w:t>
      </w:r>
      <w:r>
        <w:rPr>
          <w:spacing w:val="-13"/>
        </w:rPr>
        <w:t> </w:t>
      </w:r>
      <w:r>
        <w:rPr/>
        <w:t>bills</w:t>
      </w:r>
      <w:r>
        <w:rPr>
          <w:spacing w:val="-12"/>
        </w:rPr>
        <w:t> </w:t>
      </w:r>
      <w:r>
        <w:rPr/>
        <w:t>related</w:t>
      </w:r>
      <w:r>
        <w:rPr>
          <w:spacing w:val="-12"/>
        </w:rPr>
        <w:t> </w:t>
      </w:r>
      <w:r>
        <w:rPr/>
        <w:t>to</w:t>
      </w:r>
      <w:r>
        <w:rPr>
          <w:spacing w:val="-13"/>
        </w:rPr>
        <w:t> </w:t>
      </w:r>
      <w:r>
        <w:rPr/>
        <w:t>maternal</w:t>
      </w:r>
      <w:r>
        <w:rPr>
          <w:spacing w:val="-12"/>
        </w:rPr>
        <w:t> </w:t>
      </w:r>
      <w:r>
        <w:rPr/>
        <w:t>health</w:t>
      </w:r>
      <w:r>
        <w:rPr>
          <w:spacing w:val="-13"/>
        </w:rPr>
        <w:t> </w:t>
      </w:r>
      <w:r>
        <w:rPr/>
        <w:t>and</w:t>
      </w:r>
      <w:r>
        <w:rPr>
          <w:spacing w:val="-12"/>
        </w:rPr>
        <w:t> </w:t>
      </w:r>
      <w:r>
        <w:rPr/>
        <w:t>racial</w:t>
      </w:r>
      <w:r>
        <w:rPr>
          <w:spacing w:val="-13"/>
        </w:rPr>
        <w:t> </w:t>
      </w:r>
      <w:r>
        <w:rPr/>
        <w:t>equity</w:t>
      </w:r>
      <w:r>
        <w:rPr>
          <w:spacing w:val="-12"/>
        </w:rPr>
        <w:t> </w:t>
      </w:r>
      <w:r>
        <w:rPr/>
        <w:t>has</w:t>
      </w:r>
      <w:r>
        <w:rPr>
          <w:spacing w:val="-12"/>
        </w:rPr>
        <w:t> </w:t>
      </w:r>
      <w:r>
        <w:rPr/>
        <w:t>shown that the common theme among legislative bills relates to the need for doula and midwives services</w:t>
      </w:r>
      <w:hyperlink w:history="true" w:anchor="_bookmark246">
        <w:r>
          <w:rPr/>
          <w:t>.</w:t>
        </w:r>
        <w:r>
          <w:rPr>
            <w:vertAlign w:val="superscript"/>
          </w:rPr>
          <w:t>53</w:t>
        </w:r>
      </w:hyperlink>
      <w:r>
        <w:rPr>
          <w:vertAlign w:val="baseline"/>
        </w:rPr>
        <w:t> A doula is a trained professional who provides continuous physical, emotional, and informational support to clients</w:t>
      </w:r>
      <w:r>
        <w:rPr>
          <w:spacing w:val="-3"/>
          <w:vertAlign w:val="baseline"/>
        </w:rPr>
        <w:t> </w:t>
      </w:r>
      <w:r>
        <w:rPr>
          <w:vertAlign w:val="baseline"/>
        </w:rPr>
        <w:t>before,</w:t>
      </w:r>
      <w:r>
        <w:rPr>
          <w:spacing w:val="-3"/>
          <w:vertAlign w:val="baseline"/>
        </w:rPr>
        <w:t> </w:t>
      </w:r>
      <w:r>
        <w:rPr>
          <w:vertAlign w:val="baseline"/>
        </w:rPr>
        <w:t>during,</w:t>
      </w:r>
      <w:r>
        <w:rPr>
          <w:spacing w:val="-3"/>
          <w:vertAlign w:val="baseline"/>
        </w:rPr>
        <w:t> </w:t>
      </w:r>
      <w:r>
        <w:rPr>
          <w:vertAlign w:val="baseline"/>
        </w:rPr>
        <w:t>and</w:t>
      </w:r>
      <w:r>
        <w:rPr>
          <w:spacing w:val="-3"/>
          <w:vertAlign w:val="baseline"/>
        </w:rPr>
        <w:t> </w:t>
      </w:r>
      <w:r>
        <w:rPr>
          <w:vertAlign w:val="baseline"/>
        </w:rPr>
        <w:t>after</w:t>
      </w:r>
      <w:r>
        <w:rPr>
          <w:spacing w:val="-3"/>
          <w:vertAlign w:val="baseline"/>
        </w:rPr>
        <w:t> </w:t>
      </w:r>
      <w:r>
        <w:rPr>
          <w:vertAlign w:val="baseline"/>
        </w:rPr>
        <w:t>childbirth</w:t>
      </w:r>
      <w:hyperlink w:history="true" w:anchor="_bookmark247">
        <w:r>
          <w:rPr>
            <w:vertAlign w:val="baseline"/>
          </w:rPr>
          <w:t>.</w:t>
        </w:r>
        <w:r>
          <w:rPr>
            <w:vertAlign w:val="superscript"/>
          </w:rPr>
          <w:t>54</w:t>
        </w:r>
      </w:hyperlink>
      <w:r>
        <w:rPr>
          <w:spacing w:val="-3"/>
          <w:vertAlign w:val="baseline"/>
        </w:rPr>
        <w:t> </w:t>
      </w:r>
      <w:r>
        <w:rPr>
          <w:vertAlign w:val="baseline"/>
        </w:rPr>
        <w:t>Unlike</w:t>
      </w:r>
      <w:r>
        <w:rPr>
          <w:spacing w:val="-3"/>
          <w:vertAlign w:val="baseline"/>
        </w:rPr>
        <w:t> </w:t>
      </w:r>
      <w:r>
        <w:rPr>
          <w:vertAlign w:val="baseline"/>
        </w:rPr>
        <w:t>midwives,</w:t>
      </w:r>
      <w:r>
        <w:rPr>
          <w:spacing w:val="-3"/>
          <w:vertAlign w:val="baseline"/>
        </w:rPr>
        <w:t> </w:t>
      </w:r>
      <w:r>
        <w:rPr>
          <w:vertAlign w:val="baseline"/>
        </w:rPr>
        <w:t>they</w:t>
      </w:r>
      <w:r>
        <w:rPr>
          <w:spacing w:val="-3"/>
          <w:vertAlign w:val="baseline"/>
        </w:rPr>
        <w:t> </w:t>
      </w:r>
      <w:r>
        <w:rPr>
          <w:vertAlign w:val="baseline"/>
        </w:rPr>
        <w:t>do</w:t>
      </w:r>
      <w:r>
        <w:rPr>
          <w:spacing w:val="-3"/>
          <w:vertAlign w:val="baseline"/>
        </w:rPr>
        <w:t> </w:t>
      </w:r>
      <w:r>
        <w:rPr>
          <w:vertAlign w:val="baseline"/>
        </w:rPr>
        <w:t>not</w:t>
      </w:r>
      <w:r>
        <w:rPr>
          <w:spacing w:val="-3"/>
          <w:vertAlign w:val="baseline"/>
        </w:rPr>
        <w:t> </w:t>
      </w:r>
      <w:r>
        <w:rPr>
          <w:vertAlign w:val="baseline"/>
        </w:rPr>
        <w:t>provide</w:t>
      </w:r>
      <w:r>
        <w:rPr>
          <w:spacing w:val="-3"/>
          <w:vertAlign w:val="baseline"/>
        </w:rPr>
        <w:t> </w:t>
      </w:r>
      <w:r>
        <w:rPr>
          <w:vertAlign w:val="baseline"/>
        </w:rPr>
        <w:t>medical</w:t>
      </w:r>
      <w:r>
        <w:rPr>
          <w:spacing w:val="-3"/>
          <w:vertAlign w:val="baseline"/>
        </w:rPr>
        <w:t> </w:t>
      </w:r>
      <w:r>
        <w:rPr>
          <w:vertAlign w:val="baseline"/>
        </w:rPr>
        <w:t>care</w:t>
      </w:r>
      <w:r>
        <w:rPr>
          <w:spacing w:val="-3"/>
          <w:vertAlign w:val="baseline"/>
        </w:rPr>
        <w:t> </w:t>
      </w:r>
      <w:r>
        <w:rPr>
          <w:vertAlign w:val="baseline"/>
        </w:rPr>
        <w:t>and</w:t>
      </w:r>
      <w:r>
        <w:rPr>
          <w:spacing w:val="-3"/>
          <w:vertAlign w:val="baseline"/>
        </w:rPr>
        <w:t> </w:t>
      </w:r>
      <w:r>
        <w:rPr>
          <w:vertAlign w:val="baseline"/>
        </w:rPr>
        <w:t>cannot assist in delivery. Rather, they are a companion who supports their client with reproductive health related experiences. According to DONA International, birthing people who use doulas are less likely to have cesarean sections, make fewer requests for pain medications, report less anxiety, and overall have greater salinification</w:t>
      </w:r>
      <w:r>
        <w:rPr>
          <w:spacing w:val="-3"/>
          <w:vertAlign w:val="baseline"/>
        </w:rPr>
        <w:t> </w:t>
      </w:r>
      <w:r>
        <w:rPr>
          <w:vertAlign w:val="baseline"/>
        </w:rPr>
        <w:t>with</w:t>
      </w:r>
      <w:r>
        <w:rPr>
          <w:spacing w:val="-3"/>
          <w:vertAlign w:val="baseline"/>
        </w:rPr>
        <w:t> </w:t>
      </w:r>
      <w:r>
        <w:rPr>
          <w:vertAlign w:val="baseline"/>
        </w:rPr>
        <w:t>their</w:t>
      </w:r>
      <w:r>
        <w:rPr>
          <w:spacing w:val="-3"/>
          <w:vertAlign w:val="baseline"/>
        </w:rPr>
        <w:t> </w:t>
      </w:r>
      <w:r>
        <w:rPr>
          <w:vertAlign w:val="baseline"/>
        </w:rPr>
        <w:t>birth</w:t>
      </w:r>
      <w:r>
        <w:rPr>
          <w:spacing w:val="-4"/>
          <w:vertAlign w:val="baseline"/>
        </w:rPr>
        <w:t> </w:t>
      </w:r>
      <w:r>
        <w:rPr>
          <w:vertAlign w:val="baseline"/>
        </w:rPr>
        <w:t>experiences</w:t>
      </w:r>
      <w:hyperlink w:history="true" w:anchor="_bookmark248">
        <w:r>
          <w:rPr>
            <w:vertAlign w:val="baseline"/>
          </w:rPr>
          <w:t>.</w:t>
        </w:r>
        <w:r>
          <w:rPr>
            <w:vertAlign w:val="superscript"/>
          </w:rPr>
          <w:t>55</w:t>
        </w:r>
      </w:hyperlink>
      <w:r>
        <w:rPr>
          <w:spacing w:val="-4"/>
          <w:vertAlign w:val="baseline"/>
        </w:rPr>
        <w:t> </w:t>
      </w:r>
      <w:r>
        <w:rPr>
          <w:vertAlign w:val="baseline"/>
        </w:rPr>
        <w:t>Doulas</w:t>
      </w:r>
      <w:r>
        <w:rPr>
          <w:spacing w:val="-4"/>
          <w:vertAlign w:val="baseline"/>
        </w:rPr>
        <w:t> </w:t>
      </w:r>
      <w:r>
        <w:rPr>
          <w:vertAlign w:val="baseline"/>
        </w:rPr>
        <w:t>that</w:t>
      </w:r>
      <w:r>
        <w:rPr>
          <w:spacing w:val="-4"/>
          <w:vertAlign w:val="baseline"/>
        </w:rPr>
        <w:t> </w:t>
      </w:r>
      <w:r>
        <w:rPr>
          <w:vertAlign w:val="baseline"/>
        </w:rPr>
        <w:t>specialize</w:t>
      </w:r>
      <w:r>
        <w:rPr>
          <w:spacing w:val="-3"/>
          <w:vertAlign w:val="baseline"/>
        </w:rPr>
        <w:t> </w:t>
      </w:r>
      <w:r>
        <w:rPr>
          <w:vertAlign w:val="baseline"/>
        </w:rPr>
        <w:t>in</w:t>
      </w:r>
      <w:r>
        <w:rPr>
          <w:spacing w:val="-4"/>
          <w:vertAlign w:val="baseline"/>
        </w:rPr>
        <w:t> </w:t>
      </w:r>
      <w:r>
        <w:rPr>
          <w:vertAlign w:val="baseline"/>
        </w:rPr>
        <w:t>LGBTQ</w:t>
      </w:r>
      <w:r>
        <w:rPr>
          <w:spacing w:val="-4"/>
          <w:vertAlign w:val="baseline"/>
        </w:rPr>
        <w:t> </w:t>
      </w:r>
      <w:r>
        <w:rPr>
          <w:vertAlign w:val="baseline"/>
        </w:rPr>
        <w:t>issues</w:t>
      </w:r>
      <w:r>
        <w:rPr>
          <w:spacing w:val="-4"/>
          <w:vertAlign w:val="baseline"/>
        </w:rPr>
        <w:t> </w:t>
      </w:r>
      <w:r>
        <w:rPr>
          <w:vertAlign w:val="baseline"/>
        </w:rPr>
        <w:t>can</w:t>
      </w:r>
      <w:r>
        <w:rPr>
          <w:spacing w:val="-3"/>
          <w:vertAlign w:val="baseline"/>
        </w:rPr>
        <w:t> </w:t>
      </w:r>
      <w:r>
        <w:rPr>
          <w:vertAlign w:val="baseline"/>
        </w:rPr>
        <w:t>be</w:t>
      </w:r>
      <w:r>
        <w:rPr>
          <w:spacing w:val="-3"/>
          <w:vertAlign w:val="baseline"/>
        </w:rPr>
        <w:t> </w:t>
      </w:r>
      <w:r>
        <w:rPr>
          <w:vertAlign w:val="baseline"/>
        </w:rPr>
        <w:t>helpful</w:t>
      </w:r>
      <w:r>
        <w:rPr>
          <w:spacing w:val="-4"/>
          <w:vertAlign w:val="baseline"/>
        </w:rPr>
        <w:t> </w:t>
      </w:r>
      <w:r>
        <w:rPr>
          <w:vertAlign w:val="baseline"/>
        </w:rPr>
        <w:t>for</w:t>
      </w:r>
      <w:r>
        <w:rPr>
          <w:spacing w:val="-4"/>
          <w:vertAlign w:val="baseline"/>
        </w:rPr>
        <w:t> </w:t>
      </w:r>
      <w:r>
        <w:rPr>
          <w:vertAlign w:val="baseline"/>
        </w:rPr>
        <w:t>LGBTQ individuals who need support navigating a health care system that oftentimes may discriminate against them, mistreat them, and misgender them based on heteronormative societal ideals around birthing and parenting. </w:t>
      </w:r>
      <w:hyperlink w:history="true" w:anchor="_bookmark249">
        <w:r>
          <w:rPr>
            <w:vertAlign w:val="superscript"/>
          </w:rPr>
          <w:t>56</w:t>
        </w:r>
      </w:hyperlink>
      <w:r>
        <w:rPr>
          <w:vertAlign w:val="baseline"/>
        </w:rPr>
        <w:t> Doulas</w:t>
      </w:r>
      <w:r>
        <w:rPr>
          <w:spacing w:val="-1"/>
          <w:vertAlign w:val="baseline"/>
        </w:rPr>
        <w:t> </w:t>
      </w:r>
      <w:r>
        <w:rPr>
          <w:vertAlign w:val="baseline"/>
        </w:rPr>
        <w:t>can</w:t>
      </w:r>
      <w:r>
        <w:rPr>
          <w:spacing w:val="-1"/>
          <w:vertAlign w:val="baseline"/>
        </w:rPr>
        <w:t> </w:t>
      </w:r>
      <w:r>
        <w:rPr>
          <w:vertAlign w:val="baseline"/>
        </w:rPr>
        <w:t>also help</w:t>
      </w:r>
      <w:r>
        <w:rPr>
          <w:spacing w:val="-1"/>
          <w:vertAlign w:val="baseline"/>
        </w:rPr>
        <w:t> </w:t>
      </w:r>
      <w:r>
        <w:rPr>
          <w:vertAlign w:val="baseline"/>
        </w:rPr>
        <w:t>reduce</w:t>
      </w:r>
      <w:r>
        <w:rPr>
          <w:spacing w:val="-1"/>
          <w:vertAlign w:val="baseline"/>
        </w:rPr>
        <w:t> </w:t>
      </w:r>
      <w:r>
        <w:rPr>
          <w:vertAlign w:val="baseline"/>
        </w:rPr>
        <w:t>racial,</w:t>
      </w:r>
      <w:r>
        <w:rPr>
          <w:spacing w:val="-1"/>
          <w:vertAlign w:val="baseline"/>
        </w:rPr>
        <w:t> </w:t>
      </w:r>
      <w:r>
        <w:rPr>
          <w:vertAlign w:val="baseline"/>
        </w:rPr>
        <w:t>gender,</w:t>
      </w:r>
      <w:r>
        <w:rPr>
          <w:spacing w:val="-1"/>
          <w:vertAlign w:val="baseline"/>
        </w:rPr>
        <w:t> </w:t>
      </w:r>
      <w:r>
        <w:rPr>
          <w:vertAlign w:val="baseline"/>
        </w:rPr>
        <w:t>and</w:t>
      </w:r>
      <w:r>
        <w:rPr>
          <w:spacing w:val="-1"/>
          <w:vertAlign w:val="baseline"/>
        </w:rPr>
        <w:t> </w:t>
      </w:r>
      <w:r>
        <w:rPr>
          <w:vertAlign w:val="baseline"/>
        </w:rPr>
        <w:t>other health inequities</w:t>
      </w:r>
      <w:r>
        <w:rPr>
          <w:spacing w:val="-1"/>
          <w:vertAlign w:val="baseline"/>
        </w:rPr>
        <w:t> </w:t>
      </w:r>
      <w:r>
        <w:rPr>
          <w:vertAlign w:val="baseline"/>
        </w:rPr>
        <w:t>in health care</w:t>
      </w:r>
      <w:r>
        <w:rPr>
          <w:spacing w:val="-1"/>
          <w:vertAlign w:val="baseline"/>
        </w:rPr>
        <w:t> </w:t>
      </w:r>
      <w:r>
        <w:rPr>
          <w:vertAlign w:val="baseline"/>
        </w:rPr>
        <w:t>settings.</w:t>
      </w:r>
    </w:p>
    <w:p>
      <w:pPr>
        <w:pStyle w:val="BodyText"/>
        <w:spacing w:line="276" w:lineRule="auto" w:before="240"/>
        <w:ind w:left="463" w:right="243" w:hanging="1"/>
        <w:jc w:val="both"/>
      </w:pPr>
      <w:r>
        <w:rPr/>
        <w:t>Birth doulas are the most known type of doula but there are different types of doulas, many of which can be helpful for LGBTQ populations and youth who need support navigating the various stages of birthing experiences.</w:t>
      </w:r>
      <w:r>
        <w:rPr>
          <w:spacing w:val="-13"/>
        </w:rPr>
        <w:t> </w:t>
      </w:r>
      <w:r>
        <w:rPr/>
        <w:t>Transition</w:t>
      </w:r>
      <w:r>
        <w:rPr>
          <w:spacing w:val="-12"/>
        </w:rPr>
        <w:t> </w:t>
      </w:r>
      <w:r>
        <w:rPr/>
        <w:t>doulas</w:t>
      </w:r>
      <w:r>
        <w:rPr>
          <w:spacing w:val="-13"/>
        </w:rPr>
        <w:t> </w:t>
      </w:r>
      <w:r>
        <w:rPr/>
        <w:t>are</w:t>
      </w:r>
      <w:r>
        <w:rPr>
          <w:spacing w:val="-12"/>
        </w:rPr>
        <w:t> </w:t>
      </w:r>
      <w:r>
        <w:rPr/>
        <w:t>caregivers</w:t>
      </w:r>
      <w:r>
        <w:rPr>
          <w:spacing w:val="-13"/>
        </w:rPr>
        <w:t> </w:t>
      </w:r>
      <w:r>
        <w:rPr/>
        <w:t>for</w:t>
      </w:r>
      <w:r>
        <w:rPr>
          <w:spacing w:val="-12"/>
        </w:rPr>
        <w:t> </w:t>
      </w:r>
      <w:r>
        <w:rPr/>
        <w:t>clients</w:t>
      </w:r>
      <w:r>
        <w:rPr>
          <w:spacing w:val="-13"/>
        </w:rPr>
        <w:t> </w:t>
      </w:r>
      <w:r>
        <w:rPr/>
        <w:t>experiencing</w:t>
      </w:r>
      <w:r>
        <w:rPr>
          <w:spacing w:val="-12"/>
        </w:rPr>
        <w:t> </w:t>
      </w:r>
      <w:r>
        <w:rPr/>
        <w:t>the</w:t>
      </w:r>
      <w:r>
        <w:rPr>
          <w:spacing w:val="-12"/>
        </w:rPr>
        <w:t> </w:t>
      </w:r>
      <w:r>
        <w:rPr/>
        <w:t>wide</w:t>
      </w:r>
      <w:r>
        <w:rPr>
          <w:spacing w:val="-13"/>
        </w:rPr>
        <w:t> </w:t>
      </w:r>
      <w:r>
        <w:rPr/>
        <w:t>spectrum</w:t>
      </w:r>
      <w:r>
        <w:rPr>
          <w:spacing w:val="-12"/>
        </w:rPr>
        <w:t> </w:t>
      </w:r>
      <w:r>
        <w:rPr/>
        <w:t>of</w:t>
      </w:r>
      <w:r>
        <w:rPr>
          <w:spacing w:val="-13"/>
        </w:rPr>
        <w:t> </w:t>
      </w:r>
      <w:r>
        <w:rPr/>
        <w:t>gender-affirming</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3"/>
        <w:jc w:val="both"/>
      </w:pPr>
      <w:r>
        <w:rPr/>
        <w:t>transitions. They may provide resources and referrals centered around LGBTQ healthcare, support clients receiving hormone shots, and provide compassionate trauma-informed wellness and support. Abortion doulas can also be helpful for LGBTQ youth who need support navigating the experience of getting an </w:t>
      </w:r>
      <w:r>
        <w:rPr>
          <w:spacing w:val="-2"/>
        </w:rPr>
        <w:t>abortion.</w:t>
      </w:r>
    </w:p>
    <w:p>
      <w:pPr>
        <w:pStyle w:val="BodyText"/>
        <w:spacing w:line="276" w:lineRule="auto" w:before="240"/>
        <w:ind w:left="463" w:right="241"/>
        <w:jc w:val="both"/>
      </w:pPr>
      <w:r>
        <w:rPr>
          <w:i/>
        </w:rPr>
        <w:t>An</w:t>
      </w:r>
      <w:r>
        <w:rPr>
          <w:i/>
          <w:spacing w:val="-3"/>
        </w:rPr>
        <w:t> </w:t>
      </w:r>
      <w:r>
        <w:rPr>
          <w:i/>
        </w:rPr>
        <w:t>Act</w:t>
      </w:r>
      <w:r>
        <w:rPr>
          <w:i/>
          <w:spacing w:val="-2"/>
        </w:rPr>
        <w:t> </w:t>
      </w:r>
      <w:r>
        <w:rPr>
          <w:i/>
        </w:rPr>
        <w:t>Relative</w:t>
      </w:r>
      <w:r>
        <w:rPr>
          <w:i/>
          <w:spacing w:val="-4"/>
        </w:rPr>
        <w:t> </w:t>
      </w:r>
      <w:r>
        <w:rPr>
          <w:i/>
        </w:rPr>
        <w:t>to</w:t>
      </w:r>
      <w:r>
        <w:rPr>
          <w:i/>
          <w:spacing w:val="-3"/>
        </w:rPr>
        <w:t> </w:t>
      </w:r>
      <w:r>
        <w:rPr>
          <w:i/>
        </w:rPr>
        <w:t>Medicaid</w:t>
      </w:r>
      <w:r>
        <w:rPr>
          <w:i/>
          <w:spacing w:val="-3"/>
        </w:rPr>
        <w:t> </w:t>
      </w:r>
      <w:r>
        <w:rPr>
          <w:i/>
        </w:rPr>
        <w:t>Coverage</w:t>
      </w:r>
      <w:r>
        <w:rPr>
          <w:i/>
          <w:spacing w:val="-4"/>
        </w:rPr>
        <w:t> </w:t>
      </w:r>
      <w:r>
        <w:rPr>
          <w:i/>
        </w:rPr>
        <w:t>for</w:t>
      </w:r>
      <w:r>
        <w:rPr>
          <w:i/>
          <w:spacing w:val="-3"/>
        </w:rPr>
        <w:t> </w:t>
      </w:r>
      <w:r>
        <w:rPr>
          <w:i/>
        </w:rPr>
        <w:t>Doula</w:t>
      </w:r>
      <w:r>
        <w:rPr>
          <w:i/>
          <w:spacing w:val="-3"/>
        </w:rPr>
        <w:t> </w:t>
      </w:r>
      <w:r>
        <w:rPr>
          <w:i/>
        </w:rPr>
        <w:t>Services</w:t>
      </w:r>
      <w:r>
        <w:rPr>
          <w:i/>
          <w:spacing w:val="-2"/>
        </w:rPr>
        <w:t> </w:t>
      </w:r>
      <w:hyperlink r:id="rId317">
        <w:r>
          <w:rPr/>
          <w:t>(</w:t>
        </w:r>
      </w:hyperlink>
      <w:hyperlink r:id="rId317">
        <w:r>
          <w:rPr>
            <w:b/>
            <w:color w:val="1153CC"/>
            <w:u w:val="single" w:color="1153CC"/>
          </w:rPr>
          <w:t>S.782</w:t>
        </w:r>
      </w:hyperlink>
      <w:r>
        <w:rPr>
          <w:b/>
          <w:u w:val="none"/>
        </w:rPr>
        <w:t>/</w:t>
      </w:r>
      <w:hyperlink r:id="rId318">
        <w:r>
          <w:rPr>
            <w:b/>
            <w:color w:val="1153CC"/>
            <w:u w:val="single" w:color="1153CC"/>
          </w:rPr>
          <w:t>H.1240</w:t>
        </w:r>
      </w:hyperlink>
      <w:r>
        <w:rPr>
          <w:u w:val="none"/>
        </w:rPr>
        <w:t>)</w:t>
      </w:r>
      <w:r>
        <w:rPr>
          <w:spacing w:val="-2"/>
          <w:u w:val="none"/>
        </w:rPr>
        <w:t> </w:t>
      </w:r>
      <w:r>
        <w:rPr>
          <w:u w:val="none"/>
        </w:rPr>
        <w:t>was</w:t>
      </w:r>
      <w:r>
        <w:rPr>
          <w:spacing w:val="-3"/>
          <w:u w:val="none"/>
        </w:rPr>
        <w:t> </w:t>
      </w:r>
      <w:r>
        <w:rPr>
          <w:u w:val="none"/>
        </w:rPr>
        <w:t>initially</w:t>
      </w:r>
      <w:r>
        <w:rPr>
          <w:spacing w:val="-3"/>
          <w:u w:val="none"/>
        </w:rPr>
        <w:t> </w:t>
      </w:r>
      <w:r>
        <w:rPr>
          <w:u w:val="none"/>
        </w:rPr>
        <w:t>proposed</w:t>
      </w:r>
      <w:r>
        <w:rPr>
          <w:spacing w:val="-3"/>
          <w:u w:val="none"/>
        </w:rPr>
        <w:t> </w:t>
      </w:r>
      <w:r>
        <w:rPr>
          <w:u w:val="none"/>
        </w:rPr>
        <w:t>in</w:t>
      </w:r>
      <w:r>
        <w:rPr>
          <w:spacing w:val="-2"/>
          <w:u w:val="none"/>
        </w:rPr>
        <w:t> </w:t>
      </w:r>
      <w:r>
        <w:rPr>
          <w:u w:val="none"/>
        </w:rPr>
        <w:t>2019,</w:t>
      </w:r>
      <w:r>
        <w:rPr>
          <w:spacing w:val="-3"/>
          <w:u w:val="none"/>
        </w:rPr>
        <w:t> </w:t>
      </w:r>
      <w:r>
        <w:rPr>
          <w:u w:val="none"/>
        </w:rPr>
        <w:t>and during the 2023-2024 Massachusetts legislative session was re-introduced; this bill would require MassHealth to provide coverage for doula services, which are services typically paid for out-of-pocket. Additionally, the bill would also produce a Doula Care Advisory Commission which would handle many of the administrative aspects of implementation. If Massachusetts accomplishes implementing MassHealth coverage for doula services, the state would join alongside other states who have their state Medicaid services cover doula services, such as California, whose Medicaid program made doula services free for Medi-Cal</w:t>
      </w:r>
      <w:r>
        <w:rPr>
          <w:spacing w:val="-3"/>
          <w:u w:val="none"/>
        </w:rPr>
        <w:t> </w:t>
      </w:r>
      <w:r>
        <w:rPr>
          <w:u w:val="none"/>
        </w:rPr>
        <w:t>recipients</w:t>
      </w:r>
      <w:r>
        <w:rPr>
          <w:spacing w:val="-1"/>
          <w:u w:val="none"/>
        </w:rPr>
        <w:t> </w:t>
      </w:r>
      <w:r>
        <w:rPr>
          <w:u w:val="none"/>
        </w:rPr>
        <w:t>in</w:t>
      </w:r>
      <w:r>
        <w:rPr>
          <w:spacing w:val="-1"/>
          <w:u w:val="none"/>
        </w:rPr>
        <w:t> </w:t>
      </w:r>
      <w:r>
        <w:rPr>
          <w:u w:val="none"/>
        </w:rPr>
        <w:t>January</w:t>
      </w:r>
      <w:r>
        <w:rPr>
          <w:spacing w:val="-3"/>
          <w:u w:val="none"/>
        </w:rPr>
        <w:t> </w:t>
      </w:r>
      <w:r>
        <w:rPr>
          <w:u w:val="none"/>
        </w:rPr>
        <w:t>2023,</w:t>
      </w:r>
      <w:r>
        <w:rPr>
          <w:spacing w:val="-3"/>
          <w:u w:val="none"/>
        </w:rPr>
        <w:t> </w:t>
      </w:r>
      <w:hyperlink w:history="true" w:anchor="_bookmark250">
        <w:r>
          <w:rPr>
            <w:u w:val="none"/>
            <w:vertAlign w:val="superscript"/>
          </w:rPr>
          <w:t>57</w:t>
        </w:r>
      </w:hyperlink>
      <w:r>
        <w:rPr>
          <w:spacing w:val="-2"/>
          <w:u w:val="none"/>
          <w:vertAlign w:val="baseline"/>
        </w:rPr>
        <w:t> </w:t>
      </w:r>
      <w:r>
        <w:rPr>
          <w:u w:val="none"/>
          <w:vertAlign w:val="baseline"/>
        </w:rPr>
        <w:t>and</w:t>
      </w:r>
      <w:r>
        <w:rPr>
          <w:spacing w:val="-2"/>
          <w:u w:val="none"/>
          <w:vertAlign w:val="baseline"/>
        </w:rPr>
        <w:t> </w:t>
      </w:r>
      <w:r>
        <w:rPr>
          <w:u w:val="none"/>
          <w:vertAlign w:val="baseline"/>
        </w:rPr>
        <w:t>Oregon</w:t>
      </w:r>
      <w:r>
        <w:rPr>
          <w:spacing w:val="-2"/>
          <w:u w:val="none"/>
          <w:vertAlign w:val="baseline"/>
        </w:rPr>
        <w:t> </w:t>
      </w:r>
      <w:r>
        <w:rPr>
          <w:u w:val="none"/>
          <w:vertAlign w:val="baseline"/>
        </w:rPr>
        <w:t>and</w:t>
      </w:r>
      <w:r>
        <w:rPr>
          <w:spacing w:val="-3"/>
          <w:u w:val="none"/>
          <w:vertAlign w:val="baseline"/>
        </w:rPr>
        <w:t> </w:t>
      </w:r>
      <w:r>
        <w:rPr>
          <w:u w:val="none"/>
          <w:vertAlign w:val="baseline"/>
        </w:rPr>
        <w:t>Minnesota</w:t>
      </w:r>
      <w:r>
        <w:rPr>
          <w:spacing w:val="-1"/>
          <w:u w:val="none"/>
          <w:vertAlign w:val="baseline"/>
        </w:rPr>
        <w:t> </w:t>
      </w:r>
      <w:r>
        <w:rPr>
          <w:u w:val="none"/>
          <w:vertAlign w:val="baseline"/>
        </w:rPr>
        <w:t>which</w:t>
      </w:r>
      <w:r>
        <w:rPr>
          <w:spacing w:val="-2"/>
          <w:u w:val="none"/>
          <w:vertAlign w:val="baseline"/>
        </w:rPr>
        <w:t> </w:t>
      </w:r>
      <w:r>
        <w:rPr>
          <w:u w:val="none"/>
          <w:vertAlign w:val="baseline"/>
        </w:rPr>
        <w:t>both</w:t>
      </w:r>
      <w:r>
        <w:rPr>
          <w:spacing w:val="-2"/>
          <w:u w:val="none"/>
          <w:vertAlign w:val="baseline"/>
        </w:rPr>
        <w:t> </w:t>
      </w:r>
      <w:r>
        <w:rPr>
          <w:u w:val="none"/>
          <w:vertAlign w:val="baseline"/>
        </w:rPr>
        <w:t>have</w:t>
      </w:r>
      <w:r>
        <w:rPr>
          <w:spacing w:val="-3"/>
          <w:u w:val="none"/>
          <w:vertAlign w:val="baseline"/>
        </w:rPr>
        <w:t> </w:t>
      </w:r>
      <w:r>
        <w:rPr>
          <w:u w:val="none"/>
          <w:vertAlign w:val="baseline"/>
        </w:rPr>
        <w:t>legislation</w:t>
      </w:r>
      <w:r>
        <w:rPr>
          <w:spacing w:val="-2"/>
          <w:u w:val="none"/>
          <w:vertAlign w:val="baseline"/>
        </w:rPr>
        <w:t> </w:t>
      </w:r>
      <w:r>
        <w:rPr>
          <w:u w:val="none"/>
          <w:vertAlign w:val="baseline"/>
        </w:rPr>
        <w:t>that</w:t>
      </w:r>
      <w:r>
        <w:rPr>
          <w:spacing w:val="-2"/>
          <w:u w:val="none"/>
          <w:vertAlign w:val="baseline"/>
        </w:rPr>
        <w:t> </w:t>
      </w:r>
      <w:r>
        <w:rPr>
          <w:u w:val="none"/>
          <w:vertAlign w:val="baseline"/>
        </w:rPr>
        <w:t>require their Medicaid programs to cover doula services</w:t>
      </w:r>
      <w:hyperlink w:history="true" w:anchor="_bookmark251">
        <w:r>
          <w:rPr>
            <w:u w:val="none"/>
            <w:vertAlign w:val="baseline"/>
          </w:rPr>
          <w:t>.</w:t>
        </w:r>
        <w:r>
          <w:rPr>
            <w:u w:val="none"/>
            <w:vertAlign w:val="superscript"/>
          </w:rPr>
          <w:t>58</w:t>
        </w:r>
      </w:hyperlink>
    </w:p>
    <w:p>
      <w:pPr>
        <w:pStyle w:val="BodyText"/>
        <w:spacing w:line="276" w:lineRule="auto" w:before="240"/>
        <w:ind w:left="5143" w:right="242"/>
        <w:jc w:val="both"/>
      </w:pPr>
      <w:r>
        <w:rPr/>
        <w:drawing>
          <wp:anchor distT="0" distB="0" distL="0" distR="0" allowOverlap="1" layoutInCell="1" locked="0" behindDoc="0" simplePos="0" relativeHeight="15780352">
            <wp:simplePos x="0" y="0"/>
            <wp:positionH relativeFrom="page">
              <wp:posOffset>825500</wp:posOffset>
            </wp:positionH>
            <wp:positionV relativeFrom="paragraph">
              <wp:posOffset>348353</wp:posOffset>
            </wp:positionV>
            <wp:extent cx="2971393" cy="1883409"/>
            <wp:effectExtent l="0" t="0" r="0" b="0"/>
            <wp:wrapNone/>
            <wp:docPr id="295" name="Image 295"/>
            <wp:cNvGraphicFramePr>
              <a:graphicFrameLocks/>
            </wp:cNvGraphicFramePr>
            <a:graphic>
              <a:graphicData uri="http://schemas.openxmlformats.org/drawingml/2006/picture">
                <pic:pic>
                  <pic:nvPicPr>
                    <pic:cNvPr id="295" name="Image 295"/>
                    <pic:cNvPicPr/>
                  </pic:nvPicPr>
                  <pic:blipFill>
                    <a:blip r:embed="rId319" cstate="print"/>
                    <a:stretch>
                      <a:fillRect/>
                    </a:stretch>
                  </pic:blipFill>
                  <pic:spPr>
                    <a:xfrm>
                      <a:off x="0" y="0"/>
                      <a:ext cx="2971393" cy="1883409"/>
                    </a:xfrm>
                    <a:prstGeom prst="rect">
                      <a:avLst/>
                    </a:prstGeom>
                  </pic:spPr>
                </pic:pic>
              </a:graphicData>
            </a:graphic>
          </wp:anchor>
        </w:drawing>
      </w:r>
      <w:r>
        <w:rPr/>
        <w:t>Although legislation requiring Medicaid-provided doulas services has not passed into law yet, Massachusetts</w:t>
      </w:r>
      <w:r>
        <w:rPr>
          <w:spacing w:val="-3"/>
        </w:rPr>
        <w:t> </w:t>
      </w:r>
      <w:r>
        <w:rPr/>
        <w:t>is</w:t>
      </w:r>
      <w:r>
        <w:rPr>
          <w:spacing w:val="-3"/>
        </w:rPr>
        <w:t> </w:t>
      </w:r>
      <w:r>
        <w:rPr/>
        <w:t>making</w:t>
      </w:r>
      <w:r>
        <w:rPr>
          <w:spacing w:val="-4"/>
        </w:rPr>
        <w:t> </w:t>
      </w:r>
      <w:r>
        <w:rPr/>
        <w:t>the</w:t>
      </w:r>
      <w:r>
        <w:rPr>
          <w:spacing w:val="-4"/>
        </w:rPr>
        <w:t> </w:t>
      </w:r>
      <w:r>
        <w:rPr/>
        <w:t>effort</w:t>
      </w:r>
      <w:r>
        <w:rPr>
          <w:spacing w:val="-4"/>
        </w:rPr>
        <w:t> </w:t>
      </w:r>
      <w:r>
        <w:rPr/>
        <w:t>to</w:t>
      </w:r>
      <w:r>
        <w:rPr>
          <w:spacing w:val="-2"/>
        </w:rPr>
        <w:t> </w:t>
      </w:r>
      <w:r>
        <w:rPr/>
        <w:t>build</w:t>
      </w:r>
      <w:r>
        <w:rPr>
          <w:spacing w:val="-4"/>
        </w:rPr>
        <w:t> </w:t>
      </w:r>
      <w:r>
        <w:rPr/>
        <w:t>awareness for doula services and how they can benefit low- income, BIPOC communities. The Birth Equity and Support through the Inclusion of Doula Expertise (BESIDE) Investment Program, offered by the Massachusetts Health Policy Commission, seeks to address inequities in maternal health outcomes and improve the care and patient experience of Black birthing people by increasing access to doula </w:t>
      </w:r>
      <w:r>
        <w:rPr>
          <w:spacing w:val="-2"/>
        </w:rPr>
        <w:t>services</w:t>
      </w:r>
      <w:hyperlink w:history="true" w:anchor="_bookmark252">
        <w:r>
          <w:rPr>
            <w:spacing w:val="-2"/>
          </w:rPr>
          <w:t>.</w:t>
        </w:r>
        <w:r>
          <w:rPr>
            <w:spacing w:val="-2"/>
            <w:vertAlign w:val="superscript"/>
          </w:rPr>
          <w:t>59</w:t>
        </w:r>
      </w:hyperlink>
    </w:p>
    <w:p>
      <w:pPr>
        <w:pStyle w:val="BodyText"/>
        <w:spacing w:line="276" w:lineRule="auto" w:before="239"/>
        <w:ind w:left="463" w:right="240"/>
        <w:jc w:val="both"/>
      </w:pPr>
      <w:r>
        <w:rPr/>
        <w:t>Of the over 400 birth centers in the United States, there is only one community birthing center in Massachusetts. The Commonwealth and the Department of Public Health should work to invest and grant funding for community birthing centers, especially LGBTQ-friendly and gender affirming birthing centers. Birthing centers with both midwifery services and doula services could create better pregnancy outcomes and birthing experiences for LGBTQ youth, especially transgender birthing people who are more likely to choose</w:t>
      </w:r>
      <w:r>
        <w:rPr>
          <w:spacing w:val="-1"/>
        </w:rPr>
        <w:t> </w:t>
      </w:r>
      <w:r>
        <w:rPr/>
        <w:t>alternative</w:t>
      </w:r>
      <w:r>
        <w:rPr>
          <w:spacing w:val="-1"/>
        </w:rPr>
        <w:t> </w:t>
      </w:r>
      <w:r>
        <w:rPr/>
        <w:t>settings for birthing to avoid</w:t>
      </w:r>
      <w:r>
        <w:rPr>
          <w:spacing w:val="-1"/>
        </w:rPr>
        <w:t> </w:t>
      </w:r>
      <w:r>
        <w:rPr/>
        <w:t>harassment</w:t>
      </w:r>
      <w:r>
        <w:rPr>
          <w:spacing w:val="-1"/>
        </w:rPr>
        <w:t> </w:t>
      </w:r>
      <w:r>
        <w:rPr/>
        <w:t>and</w:t>
      </w:r>
      <w:r>
        <w:rPr>
          <w:spacing w:val="-1"/>
        </w:rPr>
        <w:t> </w:t>
      </w:r>
      <w:r>
        <w:rPr/>
        <w:t>discrimination from</w:t>
      </w:r>
      <w:r>
        <w:rPr>
          <w:spacing w:val="-1"/>
        </w:rPr>
        <w:t> </w:t>
      </w:r>
      <w:r>
        <w:rPr/>
        <w:t>medical</w:t>
      </w:r>
      <w:r>
        <w:rPr>
          <w:spacing w:val="-1"/>
        </w:rPr>
        <w:t> </w:t>
      </w:r>
      <w:r>
        <w:rPr/>
        <w:t>facilities who may not have effective LGBTQ training for healthcare providers</w:t>
      </w:r>
      <w:hyperlink w:history="true" w:anchor="_bookmark253">
        <w:r>
          <w:rPr/>
          <w:t>.</w:t>
        </w:r>
        <w:r>
          <w:rPr>
            <w:vertAlign w:val="superscript"/>
          </w:rPr>
          <w:t>60</w:t>
        </w:r>
      </w:hyperlink>
      <w:r>
        <w:rPr>
          <w:vertAlign w:val="baseline"/>
        </w:rPr>
        <w:t> Aside from birthing doulas, abortion doulas and gender doulas can alleviate health inequity outcomes and aid LGBTQ youth with navigating the healthcare system when seeking pregnancy and gynecological healthcare. The MA Department of Public Health should consider implementing pilot programs for gender doulas that can provide guidance and support for LGBTQ youth seeking gynecological healthcare, thus reducing gender dysphoria.</w:t>
      </w:r>
    </w:p>
    <w:p>
      <w:pPr>
        <w:spacing w:after="0" w:line="276" w:lineRule="auto"/>
        <w:jc w:val="both"/>
        <w:sectPr>
          <w:pgSz w:w="12240" w:h="15840"/>
          <w:pgMar w:header="800" w:footer="1530" w:top="1080" w:bottom="1760" w:left="980" w:right="1000"/>
        </w:sectPr>
      </w:pPr>
    </w:p>
    <w:p>
      <w:pPr>
        <w:spacing w:before="68"/>
        <w:ind w:left="463" w:right="0" w:firstLine="0"/>
        <w:jc w:val="both"/>
        <w:rPr>
          <w:sz w:val="28"/>
        </w:rPr>
      </w:pPr>
      <w:bookmarkStart w:name="Maternity Leave" w:id="379"/>
      <w:bookmarkEnd w:id="379"/>
      <w:r>
        <w:rPr/>
      </w:r>
      <w:r>
        <w:rPr>
          <w:color w:val="365F91"/>
          <w:sz w:val="28"/>
        </w:rPr>
        <w:t>Maternity</w:t>
      </w:r>
      <w:r>
        <w:rPr>
          <w:color w:val="365F91"/>
          <w:spacing w:val="-15"/>
          <w:sz w:val="28"/>
        </w:rPr>
        <w:t> </w:t>
      </w:r>
      <w:r>
        <w:rPr>
          <w:color w:val="365F91"/>
          <w:spacing w:val="-2"/>
          <w:sz w:val="28"/>
        </w:rPr>
        <w:t>Leave</w:t>
      </w:r>
    </w:p>
    <w:p>
      <w:pPr>
        <w:pStyle w:val="BodyText"/>
        <w:spacing w:line="276" w:lineRule="auto" w:before="292"/>
        <w:ind w:left="463" w:right="239"/>
        <w:jc w:val="both"/>
      </w:pPr>
      <w:r>
        <w:rPr/>
        <w:t>The</w:t>
      </w:r>
      <w:r>
        <w:rPr>
          <w:spacing w:val="-6"/>
        </w:rPr>
        <w:t> </w:t>
      </w:r>
      <w:r>
        <w:rPr/>
        <w:t>United</w:t>
      </w:r>
      <w:r>
        <w:rPr>
          <w:spacing w:val="-6"/>
        </w:rPr>
        <w:t> </w:t>
      </w:r>
      <w:r>
        <w:rPr/>
        <w:t>States</w:t>
      </w:r>
      <w:r>
        <w:rPr>
          <w:spacing w:val="-6"/>
        </w:rPr>
        <w:t> </w:t>
      </w:r>
      <w:r>
        <w:rPr/>
        <w:t>is</w:t>
      </w:r>
      <w:r>
        <w:rPr>
          <w:spacing w:val="-6"/>
        </w:rPr>
        <w:t> </w:t>
      </w:r>
      <w:r>
        <w:rPr/>
        <w:t>one</w:t>
      </w:r>
      <w:r>
        <w:rPr>
          <w:spacing w:val="-7"/>
        </w:rPr>
        <w:t> </w:t>
      </w:r>
      <w:r>
        <w:rPr/>
        <w:t>of</w:t>
      </w:r>
      <w:r>
        <w:rPr>
          <w:spacing w:val="-6"/>
        </w:rPr>
        <w:t> </w:t>
      </w:r>
      <w:r>
        <w:rPr/>
        <w:t>the</w:t>
      </w:r>
      <w:r>
        <w:rPr>
          <w:spacing w:val="-7"/>
        </w:rPr>
        <w:t> </w:t>
      </w:r>
      <w:r>
        <w:rPr/>
        <w:t>few</w:t>
      </w:r>
      <w:r>
        <w:rPr>
          <w:spacing w:val="-6"/>
        </w:rPr>
        <w:t> </w:t>
      </w:r>
      <w:r>
        <w:rPr/>
        <w:t>industrialized</w:t>
      </w:r>
      <w:r>
        <w:rPr>
          <w:spacing w:val="-6"/>
        </w:rPr>
        <w:t> </w:t>
      </w:r>
      <w:r>
        <w:rPr/>
        <w:t>nations</w:t>
      </w:r>
      <w:r>
        <w:rPr>
          <w:spacing w:val="-6"/>
        </w:rPr>
        <w:t> </w:t>
      </w:r>
      <w:r>
        <w:rPr/>
        <w:t>without</w:t>
      </w:r>
      <w:r>
        <w:rPr>
          <w:spacing w:val="-7"/>
        </w:rPr>
        <w:t> </w:t>
      </w:r>
      <w:r>
        <w:rPr/>
        <w:t>federally</w:t>
      </w:r>
      <w:r>
        <w:rPr>
          <w:spacing w:val="-6"/>
        </w:rPr>
        <w:t> </w:t>
      </w:r>
      <w:r>
        <w:rPr/>
        <w:t>paid</w:t>
      </w:r>
      <w:r>
        <w:rPr>
          <w:spacing w:val="-5"/>
        </w:rPr>
        <w:t> </w:t>
      </w:r>
      <w:r>
        <w:rPr/>
        <w:t>maternity</w:t>
      </w:r>
      <w:r>
        <w:rPr>
          <w:spacing w:val="-6"/>
        </w:rPr>
        <w:t> </w:t>
      </w:r>
      <w:r>
        <w:rPr/>
        <w:t>leave.</w:t>
      </w:r>
      <w:r>
        <w:rPr>
          <w:spacing w:val="-7"/>
        </w:rPr>
        <w:t> </w:t>
      </w:r>
      <w:r>
        <w:rPr/>
        <w:t>Compared to other countries, the U.S. offers unpaid, job-protected leave for only 12 weeks through the Family and Medical Leave Act. A number of states, including Massachusetts, have their own paid family and parental leave</w:t>
      </w:r>
      <w:r>
        <w:rPr>
          <w:spacing w:val="-11"/>
        </w:rPr>
        <w:t> </w:t>
      </w:r>
      <w:r>
        <w:rPr/>
        <w:t>programs.</w:t>
      </w:r>
      <w:r>
        <w:rPr>
          <w:spacing w:val="-12"/>
        </w:rPr>
        <w:t> </w:t>
      </w:r>
      <w:r>
        <w:rPr/>
        <w:t>The</w:t>
      </w:r>
      <w:r>
        <w:rPr>
          <w:spacing w:val="-11"/>
        </w:rPr>
        <w:t> </w:t>
      </w:r>
      <w:r>
        <w:rPr/>
        <w:t>Paid</w:t>
      </w:r>
      <w:r>
        <w:rPr>
          <w:spacing w:val="-10"/>
        </w:rPr>
        <w:t> </w:t>
      </w:r>
      <w:r>
        <w:rPr/>
        <w:t>Family</w:t>
      </w:r>
      <w:r>
        <w:rPr>
          <w:spacing w:val="-11"/>
        </w:rPr>
        <w:t> </w:t>
      </w:r>
      <w:r>
        <w:rPr/>
        <w:t>and</w:t>
      </w:r>
      <w:r>
        <w:rPr>
          <w:spacing w:val="-11"/>
        </w:rPr>
        <w:t> </w:t>
      </w:r>
      <w:r>
        <w:rPr/>
        <w:t>Medical</w:t>
      </w:r>
      <w:r>
        <w:rPr>
          <w:spacing w:val="-11"/>
        </w:rPr>
        <w:t> </w:t>
      </w:r>
      <w:r>
        <w:rPr/>
        <w:t>Leave</w:t>
      </w:r>
      <w:r>
        <w:rPr>
          <w:spacing w:val="-11"/>
        </w:rPr>
        <w:t> </w:t>
      </w:r>
      <w:r>
        <w:rPr/>
        <w:t>(PFML)</w:t>
      </w:r>
      <w:r>
        <w:rPr>
          <w:spacing w:val="-11"/>
        </w:rPr>
        <w:t> </w:t>
      </w:r>
      <w:r>
        <w:rPr/>
        <w:t>program</w:t>
      </w:r>
      <w:r>
        <w:rPr>
          <w:spacing w:val="-12"/>
        </w:rPr>
        <w:t> </w:t>
      </w:r>
      <w:r>
        <w:rPr/>
        <w:t>in</w:t>
      </w:r>
      <w:r>
        <w:rPr>
          <w:spacing w:val="-11"/>
        </w:rPr>
        <w:t> </w:t>
      </w:r>
      <w:r>
        <w:rPr/>
        <w:t>Massachusetts</w:t>
      </w:r>
      <w:r>
        <w:rPr>
          <w:spacing w:val="-11"/>
        </w:rPr>
        <w:t> </w:t>
      </w:r>
      <w:r>
        <w:rPr/>
        <w:t>is</w:t>
      </w:r>
      <w:r>
        <w:rPr>
          <w:spacing w:val="-11"/>
        </w:rPr>
        <w:t> </w:t>
      </w:r>
      <w:r>
        <w:rPr/>
        <w:t>a</w:t>
      </w:r>
      <w:r>
        <w:rPr>
          <w:spacing w:val="-11"/>
        </w:rPr>
        <w:t> </w:t>
      </w:r>
      <w:r>
        <w:rPr/>
        <w:t>program</w:t>
      </w:r>
      <w:r>
        <w:rPr>
          <w:spacing w:val="-12"/>
        </w:rPr>
        <w:t> </w:t>
      </w:r>
      <w:r>
        <w:rPr/>
        <w:t>different from</w:t>
      </w:r>
      <w:r>
        <w:rPr>
          <w:spacing w:val="-3"/>
        </w:rPr>
        <w:t> </w:t>
      </w:r>
      <w:r>
        <w:rPr/>
        <w:t>the</w:t>
      </w:r>
      <w:r>
        <w:rPr>
          <w:spacing w:val="-2"/>
        </w:rPr>
        <w:t> </w:t>
      </w:r>
      <w:r>
        <w:rPr/>
        <w:t>Family</w:t>
      </w:r>
      <w:r>
        <w:rPr>
          <w:spacing w:val="-3"/>
        </w:rPr>
        <w:t> </w:t>
      </w:r>
      <w:r>
        <w:rPr/>
        <w:t>and</w:t>
      </w:r>
      <w:r>
        <w:rPr>
          <w:spacing w:val="-2"/>
        </w:rPr>
        <w:t> </w:t>
      </w:r>
      <w:r>
        <w:rPr/>
        <w:t>Medical</w:t>
      </w:r>
      <w:r>
        <w:rPr>
          <w:spacing w:val="-3"/>
        </w:rPr>
        <w:t> </w:t>
      </w:r>
      <w:r>
        <w:rPr/>
        <w:t>Leave</w:t>
      </w:r>
      <w:r>
        <w:rPr>
          <w:spacing w:val="-2"/>
        </w:rPr>
        <w:t> </w:t>
      </w:r>
      <w:r>
        <w:rPr/>
        <w:t>Act</w:t>
      </w:r>
      <w:r>
        <w:rPr>
          <w:spacing w:val="-2"/>
        </w:rPr>
        <w:t> </w:t>
      </w:r>
      <w:r>
        <w:rPr/>
        <w:t>and</w:t>
      </w:r>
      <w:r>
        <w:rPr>
          <w:spacing w:val="-2"/>
        </w:rPr>
        <w:t> </w:t>
      </w:r>
      <w:r>
        <w:rPr/>
        <w:t>is</w:t>
      </w:r>
      <w:r>
        <w:rPr>
          <w:spacing w:val="-3"/>
        </w:rPr>
        <w:t> </w:t>
      </w:r>
      <w:r>
        <w:rPr/>
        <w:t>funded</w:t>
      </w:r>
      <w:r>
        <w:rPr>
          <w:spacing w:val="-2"/>
        </w:rPr>
        <w:t> </w:t>
      </w:r>
      <w:r>
        <w:rPr/>
        <w:t>through</w:t>
      </w:r>
      <w:r>
        <w:rPr>
          <w:spacing w:val="-2"/>
        </w:rPr>
        <w:t> </w:t>
      </w:r>
      <w:r>
        <w:rPr/>
        <w:t>employer</w:t>
      </w:r>
      <w:r>
        <w:rPr>
          <w:spacing w:val="-3"/>
        </w:rPr>
        <w:t> </w:t>
      </w:r>
      <w:r>
        <w:rPr/>
        <w:t>and</w:t>
      </w:r>
      <w:r>
        <w:rPr>
          <w:spacing w:val="-2"/>
        </w:rPr>
        <w:t> </w:t>
      </w:r>
      <w:r>
        <w:rPr/>
        <w:t>employee</w:t>
      </w:r>
      <w:r>
        <w:rPr>
          <w:spacing w:val="-2"/>
        </w:rPr>
        <w:t> </w:t>
      </w:r>
      <w:r>
        <w:rPr/>
        <w:t>contributions.</w:t>
      </w:r>
      <w:r>
        <w:rPr>
          <w:spacing w:val="-2"/>
        </w:rPr>
        <w:t> </w:t>
      </w:r>
      <w:r>
        <w:rPr/>
        <w:t>Most Massachusetts</w:t>
      </w:r>
      <w:r>
        <w:rPr>
          <w:spacing w:val="-4"/>
        </w:rPr>
        <w:t> </w:t>
      </w:r>
      <w:r>
        <w:rPr/>
        <w:t>employees</w:t>
      </w:r>
      <w:r>
        <w:rPr>
          <w:spacing w:val="-2"/>
        </w:rPr>
        <w:t> </w:t>
      </w:r>
      <w:r>
        <w:rPr/>
        <w:t>are</w:t>
      </w:r>
      <w:r>
        <w:rPr>
          <w:spacing w:val="-3"/>
        </w:rPr>
        <w:t> </w:t>
      </w:r>
      <w:r>
        <w:rPr/>
        <w:t>eligible</w:t>
      </w:r>
      <w:r>
        <w:rPr>
          <w:spacing w:val="-4"/>
        </w:rPr>
        <w:t> </w:t>
      </w:r>
      <w:r>
        <w:rPr/>
        <w:t>for</w:t>
      </w:r>
      <w:r>
        <w:rPr>
          <w:spacing w:val="-4"/>
        </w:rPr>
        <w:t> </w:t>
      </w:r>
      <w:r>
        <w:rPr/>
        <w:t>up</w:t>
      </w:r>
      <w:r>
        <w:rPr>
          <w:spacing w:val="-3"/>
        </w:rPr>
        <w:t> </w:t>
      </w:r>
      <w:r>
        <w:rPr/>
        <w:t>to</w:t>
      </w:r>
      <w:r>
        <w:rPr>
          <w:spacing w:val="-4"/>
        </w:rPr>
        <w:t> </w:t>
      </w:r>
      <w:r>
        <w:rPr/>
        <w:t>26</w:t>
      </w:r>
      <w:r>
        <w:rPr>
          <w:spacing w:val="-3"/>
        </w:rPr>
        <w:t> </w:t>
      </w:r>
      <w:r>
        <w:rPr/>
        <w:t>weeks</w:t>
      </w:r>
      <w:r>
        <w:rPr>
          <w:spacing w:val="-4"/>
        </w:rPr>
        <w:t> </w:t>
      </w:r>
      <w:r>
        <w:rPr/>
        <w:t>of</w:t>
      </w:r>
      <w:r>
        <w:rPr>
          <w:spacing w:val="-3"/>
        </w:rPr>
        <w:t> </w:t>
      </w:r>
      <w:r>
        <w:rPr/>
        <w:t>combined</w:t>
      </w:r>
      <w:r>
        <w:rPr>
          <w:spacing w:val="-3"/>
        </w:rPr>
        <w:t> </w:t>
      </w:r>
      <w:r>
        <w:rPr/>
        <w:t>family</w:t>
      </w:r>
      <w:r>
        <w:rPr>
          <w:spacing w:val="-3"/>
        </w:rPr>
        <w:t> </w:t>
      </w:r>
      <w:r>
        <w:rPr/>
        <w:t>and</w:t>
      </w:r>
      <w:r>
        <w:rPr>
          <w:spacing w:val="-3"/>
        </w:rPr>
        <w:t> </w:t>
      </w:r>
      <w:r>
        <w:rPr/>
        <w:t>medical</w:t>
      </w:r>
      <w:r>
        <w:rPr>
          <w:spacing w:val="-3"/>
        </w:rPr>
        <w:t> </w:t>
      </w:r>
      <w:r>
        <w:rPr/>
        <w:t>leave</w:t>
      </w:r>
      <w:r>
        <w:rPr>
          <w:spacing w:val="-4"/>
        </w:rPr>
        <w:t> </w:t>
      </w:r>
      <w:r>
        <w:rPr/>
        <w:t>per</w:t>
      </w:r>
      <w:r>
        <w:rPr>
          <w:spacing w:val="-3"/>
        </w:rPr>
        <w:t> </w:t>
      </w:r>
      <w:r>
        <w:rPr/>
        <w:t>benefit </w:t>
      </w:r>
      <w:r>
        <w:rPr>
          <w:spacing w:val="-2"/>
        </w:rPr>
        <w:t>year.</w:t>
      </w:r>
    </w:p>
    <w:p>
      <w:pPr>
        <w:spacing w:before="239"/>
        <w:ind w:left="463" w:right="0" w:firstLine="0"/>
        <w:jc w:val="both"/>
        <w:rPr>
          <w:sz w:val="28"/>
        </w:rPr>
      </w:pPr>
      <w:bookmarkStart w:name="Abortion Access" w:id="380"/>
      <w:bookmarkEnd w:id="380"/>
      <w:r>
        <w:rPr/>
      </w:r>
      <w:r>
        <w:rPr>
          <w:color w:val="365F91"/>
          <w:sz w:val="28"/>
        </w:rPr>
        <w:t>Abortion</w:t>
      </w:r>
      <w:r>
        <w:rPr>
          <w:color w:val="365F91"/>
          <w:spacing w:val="-13"/>
          <w:sz w:val="28"/>
        </w:rPr>
        <w:t> </w:t>
      </w:r>
      <w:r>
        <w:rPr>
          <w:color w:val="365F91"/>
          <w:spacing w:val="-2"/>
          <w:sz w:val="28"/>
        </w:rPr>
        <w:t>Access</w:t>
      </w:r>
    </w:p>
    <w:p>
      <w:pPr>
        <w:pStyle w:val="BodyText"/>
        <w:spacing w:line="276" w:lineRule="auto" w:before="293"/>
        <w:ind w:left="463" w:right="242"/>
        <w:jc w:val="both"/>
      </w:pPr>
      <w:r>
        <w:rPr/>
        <w:t>In the United States alone, there are over 600,000 abortions performed annually</w:t>
      </w:r>
      <w:hyperlink w:history="true" w:anchor="_bookmark254">
        <w:r>
          <w:rPr/>
          <w:t>.</w:t>
        </w:r>
        <w:r>
          <w:rPr>
            <w:vertAlign w:val="superscript"/>
          </w:rPr>
          <w:t>61</w:t>
        </w:r>
      </w:hyperlink>
      <w:r>
        <w:rPr>
          <w:vertAlign w:val="baseline"/>
        </w:rPr>
        <w:t> Despite the fact that abortions are quite common and a necessary healthcare procedure, abortion inaccessibility in the United States</w:t>
      </w:r>
      <w:r>
        <w:rPr>
          <w:spacing w:val="-4"/>
          <w:vertAlign w:val="baseline"/>
        </w:rPr>
        <w:t> </w:t>
      </w:r>
      <w:r>
        <w:rPr>
          <w:vertAlign w:val="baseline"/>
        </w:rPr>
        <w:t>continues</w:t>
      </w:r>
      <w:r>
        <w:rPr>
          <w:spacing w:val="-5"/>
          <w:vertAlign w:val="baseline"/>
        </w:rPr>
        <w:t> </w:t>
      </w:r>
      <w:r>
        <w:rPr>
          <w:vertAlign w:val="baseline"/>
        </w:rPr>
        <w:t>to</w:t>
      </w:r>
      <w:r>
        <w:rPr>
          <w:spacing w:val="-5"/>
          <w:vertAlign w:val="baseline"/>
        </w:rPr>
        <w:t> </w:t>
      </w:r>
      <w:r>
        <w:rPr>
          <w:vertAlign w:val="baseline"/>
        </w:rPr>
        <w:t>grow.</w:t>
      </w:r>
      <w:r>
        <w:rPr>
          <w:spacing w:val="-3"/>
          <w:vertAlign w:val="baseline"/>
        </w:rPr>
        <w:t> </w:t>
      </w:r>
      <w:r>
        <w:rPr>
          <w:vertAlign w:val="baseline"/>
        </w:rPr>
        <w:t>The</w:t>
      </w:r>
      <w:r>
        <w:rPr>
          <w:spacing w:val="-6"/>
          <w:vertAlign w:val="baseline"/>
        </w:rPr>
        <w:t> </w:t>
      </w:r>
      <w:r>
        <w:rPr>
          <w:vertAlign w:val="baseline"/>
        </w:rPr>
        <w:t>recent</w:t>
      </w:r>
      <w:r>
        <w:rPr>
          <w:spacing w:val="-6"/>
          <w:vertAlign w:val="baseline"/>
        </w:rPr>
        <w:t> </w:t>
      </w:r>
      <w:r>
        <w:rPr>
          <w:vertAlign w:val="baseline"/>
        </w:rPr>
        <w:t>overturn</w:t>
      </w:r>
      <w:r>
        <w:rPr>
          <w:spacing w:val="-4"/>
          <w:vertAlign w:val="baseline"/>
        </w:rPr>
        <w:t> </w:t>
      </w:r>
      <w:r>
        <w:rPr>
          <w:vertAlign w:val="baseline"/>
        </w:rPr>
        <w:t>of</w:t>
      </w:r>
      <w:r>
        <w:rPr>
          <w:spacing w:val="-5"/>
          <w:vertAlign w:val="baseline"/>
        </w:rPr>
        <w:t> </w:t>
      </w:r>
      <w:r>
        <w:rPr>
          <w:i/>
          <w:vertAlign w:val="baseline"/>
        </w:rPr>
        <w:t>Roe</w:t>
      </w:r>
      <w:r>
        <w:rPr>
          <w:i/>
          <w:spacing w:val="-5"/>
          <w:vertAlign w:val="baseline"/>
        </w:rPr>
        <w:t> </w:t>
      </w:r>
      <w:r>
        <w:rPr>
          <w:i/>
          <w:vertAlign w:val="baseline"/>
        </w:rPr>
        <w:t>v.</w:t>
      </w:r>
      <w:r>
        <w:rPr>
          <w:i/>
          <w:spacing w:val="-6"/>
          <w:vertAlign w:val="baseline"/>
        </w:rPr>
        <w:t> </w:t>
      </w:r>
      <w:r>
        <w:rPr>
          <w:i/>
          <w:vertAlign w:val="baseline"/>
        </w:rPr>
        <w:t>Wade</w:t>
      </w:r>
      <w:r>
        <w:rPr>
          <w:i/>
          <w:spacing w:val="-5"/>
          <w:vertAlign w:val="baseline"/>
        </w:rPr>
        <w:t> </w:t>
      </w:r>
      <w:r>
        <w:rPr>
          <w:vertAlign w:val="baseline"/>
        </w:rPr>
        <w:t>has</w:t>
      </w:r>
      <w:r>
        <w:rPr>
          <w:spacing w:val="-4"/>
          <w:vertAlign w:val="baseline"/>
        </w:rPr>
        <w:t> </w:t>
      </w:r>
      <w:r>
        <w:rPr>
          <w:vertAlign w:val="baseline"/>
        </w:rPr>
        <w:t>sparked</w:t>
      </w:r>
      <w:r>
        <w:rPr>
          <w:spacing w:val="-6"/>
          <w:vertAlign w:val="baseline"/>
        </w:rPr>
        <w:t> </w:t>
      </w:r>
      <w:r>
        <w:rPr>
          <w:vertAlign w:val="baseline"/>
        </w:rPr>
        <w:t>uncertainty</w:t>
      </w:r>
      <w:r>
        <w:rPr>
          <w:spacing w:val="-5"/>
          <w:vertAlign w:val="baseline"/>
        </w:rPr>
        <w:t> </w:t>
      </w:r>
      <w:r>
        <w:rPr>
          <w:vertAlign w:val="baseline"/>
        </w:rPr>
        <w:t>around</w:t>
      </w:r>
      <w:r>
        <w:rPr>
          <w:spacing w:val="-6"/>
          <w:vertAlign w:val="baseline"/>
        </w:rPr>
        <w:t> </w:t>
      </w:r>
      <w:r>
        <w:rPr>
          <w:vertAlign w:val="baseline"/>
        </w:rPr>
        <w:t>the</w:t>
      </w:r>
      <w:r>
        <w:rPr>
          <w:spacing w:val="-6"/>
          <w:vertAlign w:val="baseline"/>
        </w:rPr>
        <w:t> </w:t>
      </w:r>
      <w:r>
        <w:rPr>
          <w:vertAlign w:val="baseline"/>
        </w:rPr>
        <w:t>future</w:t>
      </w:r>
      <w:r>
        <w:rPr>
          <w:spacing w:val="-3"/>
          <w:vertAlign w:val="baseline"/>
        </w:rPr>
        <w:t> </w:t>
      </w:r>
      <w:r>
        <w:rPr>
          <w:vertAlign w:val="baseline"/>
        </w:rPr>
        <w:t>of abortion access across the country, particularly in states with strong anti-abortion views. In the United States, 13 states – Arkansas, Idaho, Kentucky, Louisiana, Mississippi, Missouri, North Dakota, Oklahoma, South</w:t>
      </w:r>
      <w:r>
        <w:rPr>
          <w:spacing w:val="-5"/>
          <w:vertAlign w:val="baseline"/>
        </w:rPr>
        <w:t> </w:t>
      </w:r>
      <w:r>
        <w:rPr>
          <w:vertAlign w:val="baseline"/>
        </w:rPr>
        <w:t>Dakota,</w:t>
      </w:r>
      <w:r>
        <w:rPr>
          <w:spacing w:val="-6"/>
          <w:vertAlign w:val="baseline"/>
        </w:rPr>
        <w:t> </w:t>
      </w:r>
      <w:r>
        <w:rPr>
          <w:vertAlign w:val="baseline"/>
        </w:rPr>
        <w:t>Tennessee,</w:t>
      </w:r>
      <w:r>
        <w:rPr>
          <w:spacing w:val="-5"/>
          <w:vertAlign w:val="baseline"/>
        </w:rPr>
        <w:t> </w:t>
      </w:r>
      <w:r>
        <w:rPr>
          <w:vertAlign w:val="baseline"/>
        </w:rPr>
        <w:t>Texas,</w:t>
      </w:r>
      <w:r>
        <w:rPr>
          <w:spacing w:val="-6"/>
          <w:vertAlign w:val="baseline"/>
        </w:rPr>
        <w:t> </w:t>
      </w:r>
      <w:r>
        <w:rPr>
          <w:vertAlign w:val="baseline"/>
        </w:rPr>
        <w:t>Utah,</w:t>
      </w:r>
      <w:r>
        <w:rPr>
          <w:spacing w:val="-5"/>
          <w:vertAlign w:val="baseline"/>
        </w:rPr>
        <w:t> </w:t>
      </w:r>
      <w:r>
        <w:rPr>
          <w:vertAlign w:val="baseline"/>
        </w:rPr>
        <w:t>and</w:t>
      </w:r>
      <w:r>
        <w:rPr>
          <w:spacing w:val="-7"/>
          <w:vertAlign w:val="baseline"/>
        </w:rPr>
        <w:t> </w:t>
      </w:r>
      <w:r>
        <w:rPr>
          <w:vertAlign w:val="baseline"/>
        </w:rPr>
        <w:t>Wyoming--</w:t>
      </w:r>
      <w:r>
        <w:rPr>
          <w:spacing w:val="-6"/>
          <w:vertAlign w:val="baseline"/>
        </w:rPr>
        <w:t> </w:t>
      </w:r>
      <w:r>
        <w:rPr>
          <w:vertAlign w:val="baseline"/>
        </w:rPr>
        <w:t>have</w:t>
      </w:r>
      <w:r>
        <w:rPr>
          <w:spacing w:val="-5"/>
          <w:vertAlign w:val="baseline"/>
        </w:rPr>
        <w:t> </w:t>
      </w:r>
      <w:r>
        <w:rPr>
          <w:vertAlign w:val="baseline"/>
        </w:rPr>
        <w:t>implemented</w:t>
      </w:r>
      <w:r>
        <w:rPr>
          <w:spacing w:val="-5"/>
          <w:vertAlign w:val="baseline"/>
        </w:rPr>
        <w:t> </w:t>
      </w:r>
      <w:r>
        <w:rPr>
          <w:vertAlign w:val="baseline"/>
        </w:rPr>
        <w:t>trigger</w:t>
      </w:r>
      <w:r>
        <w:rPr>
          <w:spacing w:val="-6"/>
          <w:vertAlign w:val="baseline"/>
        </w:rPr>
        <w:t> </w:t>
      </w:r>
      <w:r>
        <w:rPr>
          <w:vertAlign w:val="baseline"/>
        </w:rPr>
        <w:t>bans,</w:t>
      </w:r>
      <w:r>
        <w:rPr>
          <w:spacing w:val="-5"/>
          <w:vertAlign w:val="baseline"/>
        </w:rPr>
        <w:t> </w:t>
      </w:r>
      <w:r>
        <w:rPr>
          <w:vertAlign w:val="baseline"/>
        </w:rPr>
        <w:t>which</w:t>
      </w:r>
      <w:r>
        <w:rPr>
          <w:spacing w:val="-7"/>
          <w:vertAlign w:val="baseline"/>
        </w:rPr>
        <w:t> </w:t>
      </w:r>
      <w:r>
        <w:rPr>
          <w:vertAlign w:val="baseline"/>
        </w:rPr>
        <w:t>are</w:t>
      </w:r>
      <w:r>
        <w:rPr>
          <w:spacing w:val="-5"/>
          <w:vertAlign w:val="baseline"/>
        </w:rPr>
        <w:t> </w:t>
      </w:r>
      <w:r>
        <w:rPr>
          <w:vertAlign w:val="baseline"/>
        </w:rPr>
        <w:t>laws</w:t>
      </w:r>
      <w:r>
        <w:rPr>
          <w:spacing w:val="-5"/>
          <w:vertAlign w:val="baseline"/>
        </w:rPr>
        <w:t> </w:t>
      </w:r>
      <w:r>
        <w:rPr>
          <w:vertAlign w:val="baseline"/>
        </w:rPr>
        <w:t>that would automatically ban abortion after a </w:t>
      </w:r>
      <w:r>
        <w:rPr>
          <w:i/>
          <w:vertAlign w:val="baseline"/>
        </w:rPr>
        <w:t>Roe v. Wade </w:t>
      </w:r>
      <w:r>
        <w:rPr>
          <w:vertAlign w:val="baseline"/>
        </w:rPr>
        <w:t>overturn</w:t>
      </w:r>
      <w:hyperlink w:history="true" w:anchor="_bookmark255">
        <w:r>
          <w:rPr>
            <w:vertAlign w:val="baseline"/>
          </w:rPr>
          <w:t>.</w:t>
        </w:r>
        <w:r>
          <w:rPr>
            <w:vertAlign w:val="superscript"/>
          </w:rPr>
          <w:t>62</w:t>
        </w:r>
      </w:hyperlink>
    </w:p>
    <w:p>
      <w:pPr>
        <w:pStyle w:val="BodyText"/>
        <w:spacing w:line="276" w:lineRule="auto" w:before="239"/>
        <w:ind w:left="463" w:right="242"/>
        <w:jc w:val="both"/>
      </w:pPr>
      <w:r>
        <w:rPr/>
        <w:t>In 2017, 18,850 abortions were provided in Massachusetts, though some of the abortions were not performed for Massachusetts residents but for out-of-state individuals. It’s possible that some people in Massachusetts traveled to other states to get an abortion. In 2017, some 43% of Massachusetts counties had no clinics that provide abortion, and 13% of Massachusetts women live in those counties. It should be noted that the statistics mentioned may not cover birthing people across the gender spectrum. In Massachusetts, abortion is legal at 24 weeks but may be performed past 24 weeks or more in cases where the pregnant person’s life is determined to be endangered or there is a lethal fetal anomaly. Although the Hyde</w:t>
      </w:r>
      <w:r>
        <w:rPr>
          <w:spacing w:val="-4"/>
        </w:rPr>
        <w:t> </w:t>
      </w:r>
      <w:r>
        <w:rPr/>
        <w:t>Amendment</w:t>
      </w:r>
      <w:r>
        <w:rPr>
          <w:spacing w:val="-3"/>
        </w:rPr>
        <w:t> </w:t>
      </w:r>
      <w:r>
        <w:rPr/>
        <w:t>prevents</w:t>
      </w:r>
      <w:r>
        <w:rPr>
          <w:spacing w:val="-4"/>
        </w:rPr>
        <w:t> </w:t>
      </w:r>
      <w:r>
        <w:rPr/>
        <w:t>Medicaid</w:t>
      </w:r>
      <w:r>
        <w:rPr>
          <w:spacing w:val="-4"/>
        </w:rPr>
        <w:t> </w:t>
      </w:r>
      <w:r>
        <w:rPr/>
        <w:t>from</w:t>
      </w:r>
      <w:r>
        <w:rPr>
          <w:spacing w:val="-4"/>
        </w:rPr>
        <w:t> </w:t>
      </w:r>
      <w:r>
        <w:rPr/>
        <w:t>using</w:t>
      </w:r>
      <w:r>
        <w:rPr>
          <w:spacing w:val="-4"/>
        </w:rPr>
        <w:t> </w:t>
      </w:r>
      <w:r>
        <w:rPr/>
        <w:t>federal</w:t>
      </w:r>
      <w:r>
        <w:rPr>
          <w:spacing w:val="-4"/>
        </w:rPr>
        <w:t> </w:t>
      </w:r>
      <w:r>
        <w:rPr/>
        <w:t>funding</w:t>
      </w:r>
      <w:r>
        <w:rPr>
          <w:spacing w:val="-4"/>
        </w:rPr>
        <w:t> </w:t>
      </w:r>
      <w:r>
        <w:rPr/>
        <w:t>to</w:t>
      </w:r>
      <w:r>
        <w:rPr>
          <w:spacing w:val="-3"/>
        </w:rPr>
        <w:t> </w:t>
      </w:r>
      <w:r>
        <w:rPr/>
        <w:t>cover</w:t>
      </w:r>
      <w:r>
        <w:rPr>
          <w:spacing w:val="-4"/>
        </w:rPr>
        <w:t> </w:t>
      </w:r>
      <w:r>
        <w:rPr/>
        <w:t>abortion</w:t>
      </w:r>
      <w:r>
        <w:rPr>
          <w:spacing w:val="-4"/>
        </w:rPr>
        <w:t> </w:t>
      </w:r>
      <w:r>
        <w:rPr/>
        <w:t>services,</w:t>
      </w:r>
      <w:r>
        <w:rPr>
          <w:spacing w:val="-4"/>
        </w:rPr>
        <w:t> </w:t>
      </w:r>
      <w:r>
        <w:rPr/>
        <w:t>Massachusetts is one of the 33 states that use state funding to cover abortion services for MassHealth beneficiaries</w:t>
      </w:r>
      <w:hyperlink w:history="true" w:anchor="_bookmark256">
        <w:r>
          <w:rPr/>
          <w:t>.</w:t>
        </w:r>
        <w:r>
          <w:rPr>
            <w:vertAlign w:val="superscript"/>
          </w:rPr>
          <w:t>63</w:t>
        </w:r>
      </w:hyperlink>
    </w:p>
    <w:p>
      <w:pPr>
        <w:pStyle w:val="BodyText"/>
        <w:spacing w:line="276" w:lineRule="auto" w:before="241"/>
        <w:ind w:left="463" w:right="239"/>
        <w:jc w:val="both"/>
      </w:pPr>
      <w:r>
        <w:rPr/>
        <w:t>The ROE Act (S.1209) was codified into law by the Massachusetts legislature, expanding abortion access in the</w:t>
      </w:r>
      <w:r>
        <w:rPr>
          <w:spacing w:val="-7"/>
        </w:rPr>
        <w:t> </w:t>
      </w:r>
      <w:r>
        <w:rPr/>
        <w:t>Commonwealth</w:t>
      </w:r>
      <w:r>
        <w:rPr>
          <w:spacing w:val="-7"/>
        </w:rPr>
        <w:t> </w:t>
      </w:r>
      <w:r>
        <w:rPr/>
        <w:t>after</w:t>
      </w:r>
      <w:r>
        <w:rPr>
          <w:spacing w:val="-6"/>
        </w:rPr>
        <w:t> </w:t>
      </w:r>
      <w:r>
        <w:rPr/>
        <w:t>the</w:t>
      </w:r>
      <w:r>
        <w:rPr>
          <w:spacing w:val="-7"/>
        </w:rPr>
        <w:t> </w:t>
      </w:r>
      <w:r>
        <w:rPr/>
        <w:t>Senate</w:t>
      </w:r>
      <w:r>
        <w:rPr>
          <w:spacing w:val="-7"/>
        </w:rPr>
        <w:t> </w:t>
      </w:r>
      <w:r>
        <w:rPr/>
        <w:t>overrode</w:t>
      </w:r>
      <w:r>
        <w:rPr>
          <w:spacing w:val="-7"/>
        </w:rPr>
        <w:t> </w:t>
      </w:r>
      <w:r>
        <w:rPr/>
        <w:t>Governor</w:t>
      </w:r>
      <w:r>
        <w:rPr>
          <w:spacing w:val="-6"/>
        </w:rPr>
        <w:t> </w:t>
      </w:r>
      <w:r>
        <w:rPr/>
        <w:t>Baker’s</w:t>
      </w:r>
      <w:r>
        <w:rPr>
          <w:spacing w:val="-6"/>
        </w:rPr>
        <w:t> </w:t>
      </w:r>
      <w:r>
        <w:rPr/>
        <w:t>veto.</w:t>
      </w:r>
      <w:r>
        <w:rPr>
          <w:spacing w:val="-7"/>
        </w:rPr>
        <w:t> </w:t>
      </w:r>
      <w:r>
        <w:rPr/>
        <w:t>Despite</w:t>
      </w:r>
      <w:r>
        <w:rPr>
          <w:spacing w:val="-5"/>
        </w:rPr>
        <w:t> </w:t>
      </w:r>
      <w:r>
        <w:rPr/>
        <w:t>Governor</w:t>
      </w:r>
      <w:r>
        <w:rPr>
          <w:spacing w:val="-6"/>
        </w:rPr>
        <w:t> </w:t>
      </w:r>
      <w:r>
        <w:rPr/>
        <w:t>Baker’s</w:t>
      </w:r>
      <w:r>
        <w:rPr>
          <w:spacing w:val="-6"/>
        </w:rPr>
        <w:t> </w:t>
      </w:r>
      <w:r>
        <w:rPr/>
        <w:t>veto</w:t>
      </w:r>
      <w:r>
        <w:rPr>
          <w:spacing w:val="-6"/>
        </w:rPr>
        <w:t> </w:t>
      </w:r>
      <w:r>
        <w:rPr/>
        <w:t>of</w:t>
      </w:r>
      <w:r>
        <w:rPr>
          <w:spacing w:val="-6"/>
        </w:rPr>
        <w:t> </w:t>
      </w:r>
      <w:r>
        <w:rPr/>
        <w:t>the ROE Act, Baker signed an executive order after </w:t>
      </w:r>
      <w:r>
        <w:rPr>
          <w:i/>
        </w:rPr>
        <w:t>Roe v. Wade </w:t>
      </w:r>
      <w:r>
        <w:rPr/>
        <w:t>was overturned, preventing criminal action against out-of- state individuals seeking abortion care in Massachusetts.</w:t>
      </w:r>
    </w:p>
    <w:p>
      <w:pPr>
        <w:pStyle w:val="BodyText"/>
        <w:spacing w:line="276" w:lineRule="auto" w:before="239"/>
        <w:ind w:left="463" w:right="242"/>
        <w:jc w:val="both"/>
      </w:pPr>
      <w:r>
        <w:rPr/>
        <w:t>The</w:t>
      </w:r>
      <w:r>
        <w:rPr>
          <w:spacing w:val="-7"/>
        </w:rPr>
        <w:t> </w:t>
      </w:r>
      <w:r>
        <w:rPr/>
        <w:t>parent</w:t>
      </w:r>
      <w:r>
        <w:rPr>
          <w:spacing w:val="-7"/>
        </w:rPr>
        <w:t> </w:t>
      </w:r>
      <w:r>
        <w:rPr/>
        <w:t>or</w:t>
      </w:r>
      <w:r>
        <w:rPr>
          <w:spacing w:val="-8"/>
        </w:rPr>
        <w:t> </w:t>
      </w:r>
      <w:r>
        <w:rPr/>
        <w:t>guardian</w:t>
      </w:r>
      <w:r>
        <w:rPr>
          <w:spacing w:val="-7"/>
        </w:rPr>
        <w:t> </w:t>
      </w:r>
      <w:r>
        <w:rPr/>
        <w:t>of</w:t>
      </w:r>
      <w:r>
        <w:rPr>
          <w:spacing w:val="-8"/>
        </w:rPr>
        <w:t> </w:t>
      </w:r>
      <w:r>
        <w:rPr/>
        <w:t>a</w:t>
      </w:r>
      <w:r>
        <w:rPr>
          <w:spacing w:val="-6"/>
        </w:rPr>
        <w:t> </w:t>
      </w:r>
      <w:r>
        <w:rPr/>
        <w:t>minor</w:t>
      </w:r>
      <w:r>
        <w:rPr>
          <w:spacing w:val="-8"/>
        </w:rPr>
        <w:t> </w:t>
      </w:r>
      <w:r>
        <w:rPr/>
        <w:t>younger</w:t>
      </w:r>
      <w:r>
        <w:rPr>
          <w:spacing w:val="-8"/>
        </w:rPr>
        <w:t> </w:t>
      </w:r>
      <w:r>
        <w:rPr/>
        <w:t>than</w:t>
      </w:r>
      <w:r>
        <w:rPr>
          <w:spacing w:val="-7"/>
        </w:rPr>
        <w:t> </w:t>
      </w:r>
      <w:r>
        <w:rPr/>
        <w:t>16</w:t>
      </w:r>
      <w:r>
        <w:rPr>
          <w:spacing w:val="-6"/>
        </w:rPr>
        <w:t> </w:t>
      </w:r>
      <w:r>
        <w:rPr/>
        <w:t>must</w:t>
      </w:r>
      <w:r>
        <w:rPr>
          <w:spacing w:val="-7"/>
        </w:rPr>
        <w:t> </w:t>
      </w:r>
      <w:r>
        <w:rPr/>
        <w:t>consent</w:t>
      </w:r>
      <w:r>
        <w:rPr>
          <w:spacing w:val="-6"/>
        </w:rPr>
        <w:t> </w:t>
      </w:r>
      <w:r>
        <w:rPr/>
        <w:t>before</w:t>
      </w:r>
      <w:r>
        <w:rPr>
          <w:spacing w:val="-8"/>
        </w:rPr>
        <w:t> </w:t>
      </w:r>
      <w:r>
        <w:rPr/>
        <w:t>an</w:t>
      </w:r>
      <w:r>
        <w:rPr>
          <w:spacing w:val="-7"/>
        </w:rPr>
        <w:t> </w:t>
      </w:r>
      <w:r>
        <w:rPr/>
        <w:t>abortion</w:t>
      </w:r>
      <w:r>
        <w:rPr>
          <w:spacing w:val="-8"/>
        </w:rPr>
        <w:t> </w:t>
      </w:r>
      <w:r>
        <w:rPr/>
        <w:t>is</w:t>
      </w:r>
      <w:r>
        <w:rPr>
          <w:spacing w:val="-6"/>
        </w:rPr>
        <w:t> </w:t>
      </w:r>
      <w:r>
        <w:rPr/>
        <w:t>provided</w:t>
      </w:r>
      <w:hyperlink w:history="true" w:anchor="_bookmark257">
        <w:r>
          <w:rPr/>
          <w:t>.</w:t>
        </w:r>
        <w:r>
          <w:rPr>
            <w:vertAlign w:val="superscript"/>
          </w:rPr>
          <w:t>64</w:t>
        </w:r>
      </w:hyperlink>
      <w:r>
        <w:rPr>
          <w:spacing w:val="-7"/>
          <w:vertAlign w:val="baseline"/>
        </w:rPr>
        <w:t> </w:t>
      </w:r>
      <w:r>
        <w:rPr>
          <w:vertAlign w:val="baseline"/>
        </w:rPr>
        <w:t>After</w:t>
      </w:r>
      <w:r>
        <w:rPr>
          <w:spacing w:val="-6"/>
          <w:vertAlign w:val="baseline"/>
        </w:rPr>
        <w:t> </w:t>
      </w:r>
      <w:r>
        <w:rPr>
          <w:vertAlign w:val="baseline"/>
        </w:rPr>
        <w:t>the ROE</w:t>
      </w:r>
      <w:r>
        <w:rPr>
          <w:spacing w:val="-3"/>
          <w:vertAlign w:val="baseline"/>
        </w:rPr>
        <w:t> </w:t>
      </w:r>
      <w:r>
        <w:rPr>
          <w:vertAlign w:val="baseline"/>
        </w:rPr>
        <w:t>Act</w:t>
      </w:r>
      <w:r>
        <w:rPr>
          <w:spacing w:val="-3"/>
          <w:vertAlign w:val="baseline"/>
        </w:rPr>
        <w:t> </w:t>
      </w:r>
      <w:r>
        <w:rPr>
          <w:vertAlign w:val="baseline"/>
        </w:rPr>
        <w:t>became</w:t>
      </w:r>
      <w:r>
        <w:rPr>
          <w:spacing w:val="-4"/>
          <w:vertAlign w:val="baseline"/>
        </w:rPr>
        <w:t> </w:t>
      </w:r>
      <w:r>
        <w:rPr>
          <w:vertAlign w:val="baseline"/>
        </w:rPr>
        <w:t>law,</w:t>
      </w:r>
      <w:r>
        <w:rPr>
          <w:spacing w:val="-4"/>
          <w:vertAlign w:val="baseline"/>
        </w:rPr>
        <w:t> </w:t>
      </w:r>
      <w:r>
        <w:rPr>
          <w:vertAlign w:val="baseline"/>
        </w:rPr>
        <w:t>it</w:t>
      </w:r>
      <w:r>
        <w:rPr>
          <w:spacing w:val="-4"/>
          <w:vertAlign w:val="baseline"/>
        </w:rPr>
        <w:t> </w:t>
      </w:r>
      <w:r>
        <w:rPr>
          <w:vertAlign w:val="baseline"/>
        </w:rPr>
        <w:t>repealed</w:t>
      </w:r>
      <w:r>
        <w:rPr>
          <w:spacing w:val="-3"/>
          <w:vertAlign w:val="baseline"/>
        </w:rPr>
        <w:t> </w:t>
      </w:r>
      <w:r>
        <w:rPr>
          <w:vertAlign w:val="baseline"/>
        </w:rPr>
        <w:t>the</w:t>
      </w:r>
      <w:r>
        <w:rPr>
          <w:spacing w:val="-3"/>
          <w:vertAlign w:val="baseline"/>
        </w:rPr>
        <w:t> </w:t>
      </w:r>
      <w:r>
        <w:rPr>
          <w:vertAlign w:val="baseline"/>
        </w:rPr>
        <w:t>parental</w:t>
      </w:r>
      <w:r>
        <w:rPr>
          <w:spacing w:val="-3"/>
          <w:vertAlign w:val="baseline"/>
        </w:rPr>
        <w:t> </w:t>
      </w:r>
      <w:r>
        <w:rPr>
          <w:vertAlign w:val="baseline"/>
        </w:rPr>
        <w:t>consent</w:t>
      </w:r>
      <w:r>
        <w:rPr>
          <w:spacing w:val="-3"/>
          <w:vertAlign w:val="baseline"/>
        </w:rPr>
        <w:t> </w:t>
      </w:r>
      <w:r>
        <w:rPr>
          <w:vertAlign w:val="baseline"/>
        </w:rPr>
        <w:t>provision</w:t>
      </w:r>
      <w:r>
        <w:rPr>
          <w:spacing w:val="-4"/>
          <w:vertAlign w:val="baseline"/>
        </w:rPr>
        <w:t> </w:t>
      </w:r>
      <w:r>
        <w:rPr>
          <w:vertAlign w:val="baseline"/>
        </w:rPr>
        <w:t>for</w:t>
      </w:r>
      <w:r>
        <w:rPr>
          <w:spacing w:val="-4"/>
          <w:vertAlign w:val="baseline"/>
        </w:rPr>
        <w:t> </w:t>
      </w:r>
      <w:r>
        <w:rPr>
          <w:vertAlign w:val="baseline"/>
        </w:rPr>
        <w:t>older</w:t>
      </w:r>
      <w:r>
        <w:rPr>
          <w:spacing w:val="-3"/>
          <w:vertAlign w:val="baseline"/>
        </w:rPr>
        <w:t> </w:t>
      </w:r>
      <w:r>
        <w:rPr>
          <w:vertAlign w:val="baseline"/>
        </w:rPr>
        <w:t>teens</w:t>
      </w:r>
      <w:r>
        <w:rPr>
          <w:spacing w:val="-4"/>
          <w:vertAlign w:val="baseline"/>
        </w:rPr>
        <w:t> </w:t>
      </w:r>
      <w:r>
        <w:rPr>
          <w:vertAlign w:val="baseline"/>
        </w:rPr>
        <w:t>aged</w:t>
      </w:r>
      <w:r>
        <w:rPr>
          <w:spacing w:val="-4"/>
          <w:vertAlign w:val="baseline"/>
        </w:rPr>
        <w:t> </w:t>
      </w:r>
      <w:r>
        <w:rPr>
          <w:vertAlign w:val="baseline"/>
        </w:rPr>
        <w:t>16</w:t>
      </w:r>
      <w:r>
        <w:rPr>
          <w:spacing w:val="-3"/>
          <w:vertAlign w:val="baseline"/>
        </w:rPr>
        <w:t> </w:t>
      </w:r>
      <w:r>
        <w:rPr>
          <w:vertAlign w:val="baseline"/>
        </w:rPr>
        <w:t>and</w:t>
      </w:r>
      <w:r>
        <w:rPr>
          <w:spacing w:val="-3"/>
          <w:vertAlign w:val="baseline"/>
        </w:rPr>
        <w:t> </w:t>
      </w:r>
      <w:r>
        <w:rPr>
          <w:vertAlign w:val="baseline"/>
        </w:rPr>
        <w:t>17</w:t>
      </w:r>
      <w:r>
        <w:rPr>
          <w:spacing w:val="-4"/>
          <w:vertAlign w:val="baseline"/>
        </w:rPr>
        <w:t> </w:t>
      </w:r>
      <w:r>
        <w:rPr>
          <w:vertAlign w:val="baseline"/>
        </w:rPr>
        <w:t>years</w:t>
      </w:r>
      <w:r>
        <w:rPr>
          <w:spacing w:val="-4"/>
          <w:vertAlign w:val="baseline"/>
        </w:rPr>
        <w:t> </w:t>
      </w:r>
      <w:r>
        <w:rPr>
          <w:vertAlign w:val="baseline"/>
        </w:rPr>
        <w:t>old.</w:t>
      </w:r>
      <w:r>
        <w:rPr>
          <w:spacing w:val="-3"/>
          <w:vertAlign w:val="baseline"/>
        </w:rPr>
        <w:t> </w:t>
      </w:r>
      <w:r>
        <w:rPr>
          <w:vertAlign w:val="baseline"/>
        </w:rPr>
        <w:t>It also made it official for judicial bypass hearings to take place virtually rather than in person. The Massachusetts Judicial Bypass Process law requires minors under the age of 16 to obtain parental consent or navigate the court system to obtain a judge’s permission to move forward with an abortion</w:t>
      </w:r>
      <w:hyperlink w:history="true" w:anchor="_bookmark258">
        <w:r>
          <w:rPr>
            <w:vertAlign w:val="baseline"/>
          </w:rPr>
          <w:t>.</w:t>
        </w:r>
        <w:r>
          <w:rPr>
            <w:vertAlign w:val="superscript"/>
          </w:rPr>
          <w:t>65</w:t>
        </w:r>
      </w:hyperlink>
      <w:r>
        <w:rPr>
          <w:vertAlign w:val="baseline"/>
        </w:rPr>
        <w:t> Although the</w:t>
      </w:r>
      <w:r>
        <w:rPr>
          <w:spacing w:val="31"/>
          <w:vertAlign w:val="baseline"/>
        </w:rPr>
        <w:t> </w:t>
      </w:r>
      <w:r>
        <w:rPr>
          <w:vertAlign w:val="baseline"/>
        </w:rPr>
        <w:t>judicial</w:t>
      </w:r>
      <w:r>
        <w:rPr>
          <w:spacing w:val="31"/>
          <w:vertAlign w:val="baseline"/>
        </w:rPr>
        <w:t> </w:t>
      </w:r>
      <w:r>
        <w:rPr>
          <w:vertAlign w:val="baseline"/>
        </w:rPr>
        <w:t>bypass</w:t>
      </w:r>
      <w:r>
        <w:rPr>
          <w:spacing w:val="31"/>
          <w:vertAlign w:val="baseline"/>
        </w:rPr>
        <w:t> </w:t>
      </w:r>
      <w:r>
        <w:rPr>
          <w:vertAlign w:val="baseline"/>
        </w:rPr>
        <w:t>law</w:t>
      </w:r>
      <w:r>
        <w:rPr>
          <w:spacing w:val="31"/>
          <w:vertAlign w:val="baseline"/>
        </w:rPr>
        <w:t> </w:t>
      </w:r>
      <w:r>
        <w:rPr>
          <w:vertAlign w:val="baseline"/>
        </w:rPr>
        <w:t>is</w:t>
      </w:r>
      <w:r>
        <w:rPr>
          <w:spacing w:val="30"/>
          <w:vertAlign w:val="baseline"/>
        </w:rPr>
        <w:t> </w:t>
      </w:r>
      <w:r>
        <w:rPr>
          <w:vertAlign w:val="baseline"/>
        </w:rPr>
        <w:t>an</w:t>
      </w:r>
      <w:r>
        <w:rPr>
          <w:spacing w:val="31"/>
          <w:vertAlign w:val="baseline"/>
        </w:rPr>
        <w:t> </w:t>
      </w:r>
      <w:r>
        <w:rPr>
          <w:vertAlign w:val="baseline"/>
        </w:rPr>
        <w:t>option</w:t>
      </w:r>
      <w:r>
        <w:rPr>
          <w:spacing w:val="31"/>
          <w:vertAlign w:val="baseline"/>
        </w:rPr>
        <w:t> </w:t>
      </w:r>
      <w:r>
        <w:rPr>
          <w:vertAlign w:val="baseline"/>
        </w:rPr>
        <w:t>for</w:t>
      </w:r>
      <w:r>
        <w:rPr>
          <w:spacing w:val="31"/>
          <w:vertAlign w:val="baseline"/>
        </w:rPr>
        <w:t> </w:t>
      </w:r>
      <w:r>
        <w:rPr>
          <w:vertAlign w:val="baseline"/>
        </w:rPr>
        <w:t>youths</w:t>
      </w:r>
      <w:r>
        <w:rPr>
          <w:spacing w:val="31"/>
          <w:vertAlign w:val="baseline"/>
        </w:rPr>
        <w:t> </w:t>
      </w:r>
      <w:r>
        <w:rPr>
          <w:vertAlign w:val="baseline"/>
        </w:rPr>
        <w:t>to</w:t>
      </w:r>
      <w:r>
        <w:rPr>
          <w:spacing w:val="32"/>
          <w:vertAlign w:val="baseline"/>
        </w:rPr>
        <w:t> </w:t>
      </w:r>
      <w:r>
        <w:rPr>
          <w:vertAlign w:val="baseline"/>
        </w:rPr>
        <w:t>access</w:t>
      </w:r>
      <w:r>
        <w:rPr>
          <w:spacing w:val="31"/>
          <w:vertAlign w:val="baseline"/>
        </w:rPr>
        <w:t> </w:t>
      </w:r>
      <w:r>
        <w:rPr>
          <w:vertAlign w:val="baseline"/>
        </w:rPr>
        <w:t>an</w:t>
      </w:r>
      <w:r>
        <w:rPr>
          <w:spacing w:val="31"/>
          <w:vertAlign w:val="baseline"/>
        </w:rPr>
        <w:t> </w:t>
      </w:r>
      <w:r>
        <w:rPr>
          <w:vertAlign w:val="baseline"/>
        </w:rPr>
        <w:t>abortion</w:t>
      </w:r>
      <w:r>
        <w:rPr>
          <w:spacing w:val="31"/>
          <w:vertAlign w:val="baseline"/>
        </w:rPr>
        <w:t> </w:t>
      </w:r>
      <w:r>
        <w:rPr>
          <w:vertAlign w:val="baseline"/>
        </w:rPr>
        <w:t>without</w:t>
      </w:r>
      <w:r>
        <w:rPr>
          <w:spacing w:val="31"/>
          <w:vertAlign w:val="baseline"/>
        </w:rPr>
        <w:t> </w:t>
      </w:r>
      <w:r>
        <w:rPr>
          <w:vertAlign w:val="baseline"/>
        </w:rPr>
        <w:t>parental</w:t>
      </w:r>
      <w:r>
        <w:rPr>
          <w:spacing w:val="31"/>
          <w:vertAlign w:val="baseline"/>
        </w:rPr>
        <w:t> </w:t>
      </w:r>
      <w:r>
        <w:rPr>
          <w:vertAlign w:val="baseline"/>
        </w:rPr>
        <w:t>permission,</w:t>
      </w:r>
      <w:r>
        <w:rPr>
          <w:spacing w:val="31"/>
          <w:vertAlign w:val="baseline"/>
        </w:rPr>
        <w:t> </w:t>
      </w:r>
      <w:r>
        <w:rPr>
          <w:vertAlign w:val="baseline"/>
        </w:rPr>
        <w:t>the</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7"/>
        <w:jc w:val="both"/>
      </w:pPr>
      <w:r>
        <w:rPr/>
        <w:t>implementation of parental consent laws for youths under 16 makes it difficult for those with unintended pregnancies who might not feel comfortable disclosing their pregnancies to their parents or guardians.</w:t>
      </w:r>
    </w:p>
    <w:p>
      <w:pPr>
        <w:pStyle w:val="BodyText"/>
        <w:spacing w:line="276" w:lineRule="auto" w:before="240"/>
        <w:ind w:left="463" w:right="242"/>
        <w:jc w:val="both"/>
      </w:pPr>
      <w:r>
        <w:rPr/>
        <w:t>A</w:t>
      </w:r>
      <w:r>
        <w:rPr>
          <w:spacing w:val="-6"/>
        </w:rPr>
        <w:t> </w:t>
      </w:r>
      <w:r>
        <w:rPr/>
        <w:t>study</w:t>
      </w:r>
      <w:r>
        <w:rPr>
          <w:spacing w:val="-6"/>
        </w:rPr>
        <w:t> </w:t>
      </w:r>
      <w:r>
        <w:rPr/>
        <w:t>found</w:t>
      </w:r>
      <w:r>
        <w:rPr>
          <w:spacing w:val="-7"/>
        </w:rPr>
        <w:t> </w:t>
      </w:r>
      <w:r>
        <w:rPr/>
        <w:t>that</w:t>
      </w:r>
      <w:r>
        <w:rPr>
          <w:spacing w:val="-6"/>
        </w:rPr>
        <w:t> </w:t>
      </w:r>
      <w:r>
        <w:rPr/>
        <w:t>the</w:t>
      </w:r>
      <w:r>
        <w:rPr>
          <w:spacing w:val="-7"/>
        </w:rPr>
        <w:t> </w:t>
      </w:r>
      <w:r>
        <w:rPr/>
        <w:t>Massachusetts</w:t>
      </w:r>
      <w:r>
        <w:rPr>
          <w:spacing w:val="-6"/>
        </w:rPr>
        <w:t> </w:t>
      </w:r>
      <w:r>
        <w:rPr/>
        <w:t>Judicial</w:t>
      </w:r>
      <w:r>
        <w:rPr>
          <w:spacing w:val="-6"/>
        </w:rPr>
        <w:t> </w:t>
      </w:r>
      <w:r>
        <w:rPr/>
        <w:t>Bypass</w:t>
      </w:r>
      <w:r>
        <w:rPr>
          <w:spacing w:val="-6"/>
        </w:rPr>
        <w:t> </w:t>
      </w:r>
      <w:r>
        <w:rPr/>
        <w:t>Process</w:t>
      </w:r>
      <w:r>
        <w:rPr>
          <w:spacing w:val="-6"/>
        </w:rPr>
        <w:t> </w:t>
      </w:r>
      <w:r>
        <w:rPr/>
        <w:t>Law</w:t>
      </w:r>
      <w:r>
        <w:rPr>
          <w:spacing w:val="-7"/>
        </w:rPr>
        <w:t> </w:t>
      </w:r>
      <w:r>
        <w:rPr/>
        <w:t>delays</w:t>
      </w:r>
      <w:r>
        <w:rPr>
          <w:spacing w:val="-6"/>
        </w:rPr>
        <w:t> </w:t>
      </w:r>
      <w:r>
        <w:rPr/>
        <w:t>youth’s</w:t>
      </w:r>
      <w:r>
        <w:rPr>
          <w:spacing w:val="-6"/>
        </w:rPr>
        <w:t> </w:t>
      </w:r>
      <w:r>
        <w:rPr/>
        <w:t>access</w:t>
      </w:r>
      <w:r>
        <w:rPr>
          <w:spacing w:val="-6"/>
        </w:rPr>
        <w:t> </w:t>
      </w:r>
      <w:r>
        <w:rPr/>
        <w:t>to</w:t>
      </w:r>
      <w:r>
        <w:rPr>
          <w:spacing w:val="-6"/>
        </w:rPr>
        <w:t> </w:t>
      </w:r>
      <w:r>
        <w:rPr/>
        <w:t>abortion</w:t>
      </w:r>
      <w:r>
        <w:rPr>
          <w:spacing w:val="-7"/>
        </w:rPr>
        <w:t> </w:t>
      </w:r>
      <w:r>
        <w:rPr/>
        <w:t>by</w:t>
      </w:r>
      <w:r>
        <w:rPr>
          <w:spacing w:val="-6"/>
        </w:rPr>
        <w:t> </w:t>
      </w:r>
      <w:r>
        <w:rPr/>
        <w:t>14.8 days,</w:t>
      </w:r>
      <w:r>
        <w:rPr>
          <w:spacing w:val="-2"/>
        </w:rPr>
        <w:t> </w:t>
      </w:r>
      <w:r>
        <w:rPr/>
        <w:t>which</w:t>
      </w:r>
      <w:r>
        <w:rPr>
          <w:spacing w:val="-1"/>
        </w:rPr>
        <w:t> </w:t>
      </w:r>
      <w:r>
        <w:rPr/>
        <w:t>is</w:t>
      </w:r>
      <w:r>
        <w:rPr>
          <w:spacing w:val="-1"/>
        </w:rPr>
        <w:t> </w:t>
      </w:r>
      <w:r>
        <w:rPr/>
        <w:t>6.1</w:t>
      </w:r>
      <w:r>
        <w:rPr>
          <w:spacing w:val="-2"/>
        </w:rPr>
        <w:t> </w:t>
      </w:r>
      <w:r>
        <w:rPr/>
        <w:t>days</w:t>
      </w:r>
      <w:r>
        <w:rPr>
          <w:spacing w:val="-1"/>
        </w:rPr>
        <w:t> </w:t>
      </w:r>
      <w:r>
        <w:rPr/>
        <w:t>longer</w:t>
      </w:r>
      <w:r>
        <w:rPr>
          <w:spacing w:val="-2"/>
        </w:rPr>
        <w:t> </w:t>
      </w:r>
      <w:r>
        <w:rPr/>
        <w:t>than</w:t>
      </w:r>
      <w:r>
        <w:rPr>
          <w:spacing w:val="-2"/>
        </w:rPr>
        <w:t> </w:t>
      </w:r>
      <w:r>
        <w:rPr/>
        <w:t>youth</w:t>
      </w:r>
      <w:r>
        <w:rPr>
          <w:spacing w:val="-2"/>
        </w:rPr>
        <w:t> </w:t>
      </w:r>
      <w:r>
        <w:rPr/>
        <w:t>who</w:t>
      </w:r>
      <w:r>
        <w:rPr>
          <w:spacing w:val="-1"/>
        </w:rPr>
        <w:t> </w:t>
      </w:r>
      <w:r>
        <w:rPr/>
        <w:t>had</w:t>
      </w:r>
      <w:r>
        <w:rPr>
          <w:spacing w:val="-1"/>
        </w:rPr>
        <w:t> </w:t>
      </w:r>
      <w:r>
        <w:rPr/>
        <w:t>parental</w:t>
      </w:r>
      <w:r>
        <w:rPr>
          <w:spacing w:val="-2"/>
        </w:rPr>
        <w:t> </w:t>
      </w:r>
      <w:r>
        <w:rPr/>
        <w:t>permission.</w:t>
      </w:r>
      <w:r>
        <w:rPr>
          <w:spacing w:val="-2"/>
        </w:rPr>
        <w:t> </w:t>
      </w:r>
      <w:r>
        <w:rPr/>
        <w:t>It</w:t>
      </w:r>
      <w:r>
        <w:rPr>
          <w:spacing w:val="-2"/>
        </w:rPr>
        <w:t> </w:t>
      </w:r>
      <w:r>
        <w:rPr/>
        <w:t>is</w:t>
      </w:r>
      <w:r>
        <w:rPr>
          <w:spacing w:val="-1"/>
        </w:rPr>
        <w:t> </w:t>
      </w:r>
      <w:r>
        <w:rPr/>
        <w:t>also noted</w:t>
      </w:r>
      <w:r>
        <w:rPr>
          <w:spacing w:val="-1"/>
        </w:rPr>
        <w:t> </w:t>
      </w:r>
      <w:r>
        <w:rPr/>
        <w:t>that</w:t>
      </w:r>
      <w:r>
        <w:rPr>
          <w:spacing w:val="-1"/>
        </w:rPr>
        <w:t> </w:t>
      </w:r>
      <w:r>
        <w:rPr/>
        <w:t>the</w:t>
      </w:r>
      <w:r>
        <w:rPr>
          <w:spacing w:val="-2"/>
        </w:rPr>
        <w:t> </w:t>
      </w:r>
      <w:r>
        <w:rPr/>
        <w:t>majority</w:t>
      </w:r>
      <w:r>
        <w:rPr>
          <w:spacing w:val="-2"/>
        </w:rPr>
        <w:t> </w:t>
      </w:r>
      <w:r>
        <w:rPr/>
        <w:t>of young people navigating the judicial system to obtain a judge’s permission were disproportionately low- income, people of color</w:t>
      </w:r>
      <w:hyperlink w:history="true" w:anchor="_bookmark259">
        <w:r>
          <w:rPr/>
          <w:t>.</w:t>
        </w:r>
        <w:r>
          <w:rPr>
            <w:vertAlign w:val="superscript"/>
          </w:rPr>
          <w:t>66</w:t>
        </w:r>
      </w:hyperlink>
      <w:r>
        <w:rPr>
          <w:vertAlign w:val="baseline"/>
        </w:rPr>
        <w:t> Going through the legal process may also be time-consuming, especially if the pregnant</w:t>
      </w:r>
      <w:r>
        <w:rPr>
          <w:spacing w:val="-13"/>
          <w:vertAlign w:val="baseline"/>
        </w:rPr>
        <w:t> </w:t>
      </w:r>
      <w:r>
        <w:rPr>
          <w:vertAlign w:val="baseline"/>
        </w:rPr>
        <w:t>person</w:t>
      </w:r>
      <w:r>
        <w:rPr>
          <w:spacing w:val="-12"/>
          <w:vertAlign w:val="baseline"/>
        </w:rPr>
        <w:t> </w:t>
      </w:r>
      <w:r>
        <w:rPr>
          <w:vertAlign w:val="baseline"/>
        </w:rPr>
        <w:t>does</w:t>
      </w:r>
      <w:r>
        <w:rPr>
          <w:spacing w:val="-12"/>
          <w:vertAlign w:val="baseline"/>
        </w:rPr>
        <w:t> </w:t>
      </w:r>
      <w:r>
        <w:rPr>
          <w:vertAlign w:val="baseline"/>
        </w:rPr>
        <w:t>not</w:t>
      </w:r>
      <w:r>
        <w:rPr>
          <w:spacing w:val="-11"/>
          <w:vertAlign w:val="baseline"/>
        </w:rPr>
        <w:t> </w:t>
      </w:r>
      <w:r>
        <w:rPr>
          <w:vertAlign w:val="baseline"/>
        </w:rPr>
        <w:t>have</w:t>
      </w:r>
      <w:r>
        <w:rPr>
          <w:spacing w:val="-13"/>
          <w:vertAlign w:val="baseline"/>
        </w:rPr>
        <w:t> </w:t>
      </w:r>
      <w:r>
        <w:rPr>
          <w:vertAlign w:val="baseline"/>
        </w:rPr>
        <w:t>the</w:t>
      </w:r>
      <w:r>
        <w:rPr>
          <w:spacing w:val="-11"/>
          <w:vertAlign w:val="baseline"/>
        </w:rPr>
        <w:t> </w:t>
      </w:r>
      <w:r>
        <w:rPr>
          <w:vertAlign w:val="baseline"/>
        </w:rPr>
        <w:t>privilege</w:t>
      </w:r>
      <w:r>
        <w:rPr>
          <w:spacing w:val="-13"/>
          <w:vertAlign w:val="baseline"/>
        </w:rPr>
        <w:t> </w:t>
      </w:r>
      <w:r>
        <w:rPr>
          <w:vertAlign w:val="baseline"/>
        </w:rPr>
        <w:t>of</w:t>
      </w:r>
      <w:r>
        <w:rPr>
          <w:spacing w:val="-10"/>
          <w:vertAlign w:val="baseline"/>
        </w:rPr>
        <w:t> </w:t>
      </w:r>
      <w:r>
        <w:rPr>
          <w:vertAlign w:val="baseline"/>
        </w:rPr>
        <w:t>taking</w:t>
      </w:r>
      <w:r>
        <w:rPr>
          <w:spacing w:val="-12"/>
          <w:vertAlign w:val="baseline"/>
        </w:rPr>
        <w:t> </w:t>
      </w:r>
      <w:r>
        <w:rPr>
          <w:vertAlign w:val="baseline"/>
        </w:rPr>
        <w:t>time</w:t>
      </w:r>
      <w:r>
        <w:rPr>
          <w:spacing w:val="-12"/>
          <w:vertAlign w:val="baseline"/>
        </w:rPr>
        <w:t> </w:t>
      </w:r>
      <w:r>
        <w:rPr>
          <w:vertAlign w:val="baseline"/>
        </w:rPr>
        <w:t>off</w:t>
      </w:r>
      <w:r>
        <w:rPr>
          <w:spacing w:val="-12"/>
          <w:vertAlign w:val="baseline"/>
        </w:rPr>
        <w:t> </w:t>
      </w:r>
      <w:r>
        <w:rPr>
          <w:vertAlign w:val="baseline"/>
        </w:rPr>
        <w:t>from</w:t>
      </w:r>
      <w:r>
        <w:rPr>
          <w:spacing w:val="-12"/>
          <w:vertAlign w:val="baseline"/>
        </w:rPr>
        <w:t> </w:t>
      </w:r>
      <w:r>
        <w:rPr>
          <w:vertAlign w:val="baseline"/>
        </w:rPr>
        <w:t>work</w:t>
      </w:r>
      <w:r>
        <w:rPr>
          <w:spacing w:val="-13"/>
          <w:vertAlign w:val="baseline"/>
        </w:rPr>
        <w:t> </w:t>
      </w:r>
      <w:r>
        <w:rPr>
          <w:vertAlign w:val="baseline"/>
        </w:rPr>
        <w:t>to</w:t>
      </w:r>
      <w:r>
        <w:rPr>
          <w:spacing w:val="-10"/>
          <w:vertAlign w:val="baseline"/>
        </w:rPr>
        <w:t> </w:t>
      </w:r>
      <w:r>
        <w:rPr>
          <w:vertAlign w:val="baseline"/>
        </w:rPr>
        <w:t>navigate</w:t>
      </w:r>
      <w:r>
        <w:rPr>
          <w:spacing w:val="-13"/>
          <w:vertAlign w:val="baseline"/>
        </w:rPr>
        <w:t> </w:t>
      </w:r>
      <w:r>
        <w:rPr>
          <w:vertAlign w:val="baseline"/>
        </w:rPr>
        <w:t>the</w:t>
      </w:r>
      <w:r>
        <w:rPr>
          <w:spacing w:val="-11"/>
          <w:vertAlign w:val="baseline"/>
        </w:rPr>
        <w:t> </w:t>
      </w:r>
      <w:r>
        <w:rPr>
          <w:vertAlign w:val="baseline"/>
        </w:rPr>
        <w:t>legal</w:t>
      </w:r>
      <w:r>
        <w:rPr>
          <w:spacing w:val="-12"/>
          <w:vertAlign w:val="baseline"/>
        </w:rPr>
        <w:t> </w:t>
      </w:r>
      <w:r>
        <w:rPr>
          <w:vertAlign w:val="baseline"/>
        </w:rPr>
        <w:t>system,</w:t>
      </w:r>
      <w:r>
        <w:rPr>
          <w:spacing w:val="-12"/>
          <w:vertAlign w:val="baseline"/>
        </w:rPr>
        <w:t> </w:t>
      </w:r>
      <w:r>
        <w:rPr>
          <w:vertAlign w:val="baseline"/>
        </w:rPr>
        <w:t>which can be a distressing situation. The judicial bypass process not only delays access to surgical abortions but also delays youths' eligibility for medication abortions. Medication abortions might be the only safe and private way for youths to terminate their unintended pregnancies.</w:t>
      </w:r>
    </w:p>
    <w:p>
      <w:pPr>
        <w:pStyle w:val="BodyText"/>
        <w:spacing w:line="276" w:lineRule="auto" w:before="240"/>
        <w:ind w:left="463" w:right="240"/>
        <w:jc w:val="both"/>
      </w:pPr>
      <w:r>
        <w:rPr/>
        <w:t>In July 2022, former Governor Charlie Baker signed An Act Expanding Protections For Reproductive and Gender- affirming Care which expanded reproductive healthcare and gender-affirming services in the Commonwealth.</w:t>
      </w:r>
      <w:r>
        <w:rPr>
          <w:spacing w:val="-7"/>
        </w:rPr>
        <w:t> </w:t>
      </w:r>
      <w:r>
        <w:rPr/>
        <w:t>The</w:t>
      </w:r>
      <w:r>
        <w:rPr>
          <w:spacing w:val="-7"/>
        </w:rPr>
        <w:t> </w:t>
      </w:r>
      <w:r>
        <w:rPr/>
        <w:t>bill,</w:t>
      </w:r>
      <w:r>
        <w:rPr>
          <w:spacing w:val="-7"/>
        </w:rPr>
        <w:t> </w:t>
      </w:r>
      <w:r>
        <w:rPr/>
        <w:t>now</w:t>
      </w:r>
      <w:r>
        <w:rPr>
          <w:spacing w:val="-7"/>
        </w:rPr>
        <w:t> </w:t>
      </w:r>
      <w:r>
        <w:rPr/>
        <w:t>law,</w:t>
      </w:r>
      <w:r>
        <w:rPr>
          <w:spacing w:val="-7"/>
        </w:rPr>
        <w:t> </w:t>
      </w:r>
      <w:r>
        <w:rPr/>
        <w:t>included</w:t>
      </w:r>
      <w:r>
        <w:rPr>
          <w:spacing w:val="-8"/>
        </w:rPr>
        <w:t> </w:t>
      </w:r>
      <w:r>
        <w:rPr/>
        <w:t>a</w:t>
      </w:r>
      <w:r>
        <w:rPr>
          <w:spacing w:val="-7"/>
        </w:rPr>
        <w:t> </w:t>
      </w:r>
      <w:r>
        <w:rPr/>
        <w:t>section</w:t>
      </w:r>
      <w:r>
        <w:rPr>
          <w:spacing w:val="-7"/>
        </w:rPr>
        <w:t> </w:t>
      </w:r>
      <w:r>
        <w:rPr/>
        <w:t>that</w:t>
      </w:r>
      <w:r>
        <w:rPr>
          <w:spacing w:val="-7"/>
        </w:rPr>
        <w:t> </w:t>
      </w:r>
      <w:r>
        <w:rPr/>
        <w:t>ensures</w:t>
      </w:r>
      <w:r>
        <w:rPr>
          <w:spacing w:val="-6"/>
        </w:rPr>
        <w:t> </w:t>
      </w:r>
      <w:r>
        <w:rPr/>
        <w:t>public</w:t>
      </w:r>
      <w:r>
        <w:rPr>
          <w:spacing w:val="-8"/>
        </w:rPr>
        <w:t> </w:t>
      </w:r>
      <w:r>
        <w:rPr/>
        <w:t>university</w:t>
      </w:r>
      <w:r>
        <w:rPr>
          <w:spacing w:val="-7"/>
        </w:rPr>
        <w:t> </w:t>
      </w:r>
      <w:r>
        <w:rPr/>
        <w:t>students</w:t>
      </w:r>
      <w:r>
        <w:rPr>
          <w:spacing w:val="-6"/>
        </w:rPr>
        <w:t> </w:t>
      </w:r>
      <w:r>
        <w:rPr/>
        <w:t>have</w:t>
      </w:r>
      <w:r>
        <w:rPr>
          <w:spacing w:val="-8"/>
        </w:rPr>
        <w:t> </w:t>
      </w:r>
      <w:r>
        <w:rPr/>
        <w:t>access</w:t>
      </w:r>
      <w:r>
        <w:rPr>
          <w:spacing w:val="-6"/>
        </w:rPr>
        <w:t> </w:t>
      </w:r>
      <w:r>
        <w:rPr/>
        <w:t>to medication abortion through their university’s health services or by being connected to outside resources. This</w:t>
      </w:r>
      <w:r>
        <w:rPr>
          <w:spacing w:val="-11"/>
        </w:rPr>
        <w:t> </w:t>
      </w:r>
      <w:r>
        <w:rPr/>
        <w:t>legislation</w:t>
      </w:r>
      <w:r>
        <w:rPr>
          <w:spacing w:val="-11"/>
        </w:rPr>
        <w:t> </w:t>
      </w:r>
      <w:r>
        <w:rPr/>
        <w:t>also</w:t>
      </w:r>
      <w:r>
        <w:rPr>
          <w:spacing w:val="-11"/>
        </w:rPr>
        <w:t> </w:t>
      </w:r>
      <w:r>
        <w:rPr/>
        <w:t>created</w:t>
      </w:r>
      <w:r>
        <w:rPr>
          <w:spacing w:val="-11"/>
        </w:rPr>
        <w:t> </w:t>
      </w:r>
      <w:r>
        <w:rPr/>
        <w:t>the</w:t>
      </w:r>
      <w:r>
        <w:rPr>
          <w:spacing w:val="-11"/>
        </w:rPr>
        <w:t> </w:t>
      </w:r>
      <w:r>
        <w:rPr/>
        <w:t>Public</w:t>
      </w:r>
      <w:r>
        <w:rPr>
          <w:spacing w:val="-10"/>
        </w:rPr>
        <w:t> </w:t>
      </w:r>
      <w:r>
        <w:rPr/>
        <w:t>University</w:t>
      </w:r>
      <w:r>
        <w:rPr>
          <w:spacing w:val="-11"/>
        </w:rPr>
        <w:t> </w:t>
      </w:r>
      <w:r>
        <w:rPr/>
        <w:t>Health</w:t>
      </w:r>
      <w:r>
        <w:rPr>
          <w:spacing w:val="-11"/>
        </w:rPr>
        <w:t> </w:t>
      </w:r>
      <w:r>
        <w:rPr/>
        <w:t>Center</w:t>
      </w:r>
      <w:r>
        <w:rPr>
          <w:spacing w:val="-11"/>
        </w:rPr>
        <w:t> </w:t>
      </w:r>
      <w:r>
        <w:rPr/>
        <w:t>Sexual</w:t>
      </w:r>
      <w:r>
        <w:rPr>
          <w:spacing w:val="-11"/>
        </w:rPr>
        <w:t> </w:t>
      </w:r>
      <w:r>
        <w:rPr/>
        <w:t>and</w:t>
      </w:r>
      <w:r>
        <w:rPr>
          <w:spacing w:val="-11"/>
        </w:rPr>
        <w:t> </w:t>
      </w:r>
      <w:r>
        <w:rPr/>
        <w:t>Reproductive</w:t>
      </w:r>
      <w:r>
        <w:rPr>
          <w:spacing w:val="-10"/>
        </w:rPr>
        <w:t> </w:t>
      </w:r>
      <w:r>
        <w:rPr/>
        <w:t>Health</w:t>
      </w:r>
      <w:r>
        <w:rPr>
          <w:spacing w:val="-11"/>
        </w:rPr>
        <w:t> </w:t>
      </w:r>
      <w:r>
        <w:rPr/>
        <w:t>Preparation Fund to help cover expenses for implementing new programs</w:t>
      </w:r>
      <w:hyperlink w:history="true" w:anchor="_bookmark259">
        <w:r>
          <w:rPr/>
          <w:t>.</w:t>
        </w:r>
        <w:r>
          <w:rPr>
            <w:vertAlign w:val="superscript"/>
          </w:rPr>
          <w:t>67</w:t>
        </w:r>
      </w:hyperlink>
    </w:p>
    <w:p>
      <w:pPr>
        <w:pStyle w:val="BodyText"/>
        <w:spacing w:line="276" w:lineRule="auto" w:before="240"/>
        <w:ind w:left="463" w:right="241"/>
        <w:jc w:val="both"/>
      </w:pPr>
      <w:r>
        <w:rPr/>
        <w:t>Additionally,</w:t>
      </w:r>
      <w:r>
        <w:rPr>
          <w:spacing w:val="-3"/>
        </w:rPr>
        <w:t> </w:t>
      </w:r>
      <w:r>
        <w:rPr/>
        <w:t>in</w:t>
      </w:r>
      <w:r>
        <w:rPr>
          <w:spacing w:val="-4"/>
        </w:rPr>
        <w:t> </w:t>
      </w:r>
      <w:r>
        <w:rPr/>
        <w:t>April</w:t>
      </w:r>
      <w:r>
        <w:rPr>
          <w:spacing w:val="-4"/>
        </w:rPr>
        <w:t> </w:t>
      </w:r>
      <w:r>
        <w:rPr/>
        <w:t>of</w:t>
      </w:r>
      <w:r>
        <w:rPr>
          <w:spacing w:val="-3"/>
        </w:rPr>
        <w:t> </w:t>
      </w:r>
      <w:r>
        <w:rPr/>
        <w:t>2023,</w:t>
      </w:r>
      <w:r>
        <w:rPr>
          <w:spacing w:val="-4"/>
        </w:rPr>
        <w:t> </w:t>
      </w:r>
      <w:r>
        <w:rPr/>
        <w:t>after</w:t>
      </w:r>
      <w:r>
        <w:rPr>
          <w:spacing w:val="-3"/>
        </w:rPr>
        <w:t> </w:t>
      </w:r>
      <w:r>
        <w:rPr/>
        <w:t>a</w:t>
      </w:r>
      <w:r>
        <w:rPr>
          <w:spacing w:val="-4"/>
        </w:rPr>
        <w:t> </w:t>
      </w:r>
      <w:r>
        <w:rPr/>
        <w:t>federal</w:t>
      </w:r>
      <w:r>
        <w:rPr>
          <w:spacing w:val="-4"/>
        </w:rPr>
        <w:t> </w:t>
      </w:r>
      <w:r>
        <w:rPr/>
        <w:t>court</w:t>
      </w:r>
      <w:r>
        <w:rPr>
          <w:spacing w:val="-5"/>
        </w:rPr>
        <w:t> </w:t>
      </w:r>
      <w:r>
        <w:rPr/>
        <w:t>ruling</w:t>
      </w:r>
      <w:r>
        <w:rPr>
          <w:spacing w:val="-4"/>
        </w:rPr>
        <w:t> </w:t>
      </w:r>
      <w:r>
        <w:rPr/>
        <w:t>from</w:t>
      </w:r>
      <w:r>
        <w:rPr>
          <w:spacing w:val="-2"/>
        </w:rPr>
        <w:t> </w:t>
      </w:r>
      <w:r>
        <w:rPr/>
        <w:t>Texas</w:t>
      </w:r>
      <w:r>
        <w:rPr>
          <w:spacing w:val="-4"/>
        </w:rPr>
        <w:t> </w:t>
      </w:r>
      <w:r>
        <w:rPr/>
        <w:t>that</w:t>
      </w:r>
      <w:r>
        <w:rPr>
          <w:spacing w:val="-2"/>
        </w:rPr>
        <w:t> </w:t>
      </w:r>
      <w:r>
        <w:rPr/>
        <w:t>blocked</w:t>
      </w:r>
      <w:r>
        <w:rPr>
          <w:spacing w:val="-4"/>
        </w:rPr>
        <w:t> </w:t>
      </w:r>
      <w:r>
        <w:rPr/>
        <w:t>further</w:t>
      </w:r>
      <w:r>
        <w:rPr>
          <w:spacing w:val="-3"/>
        </w:rPr>
        <w:t> </w:t>
      </w:r>
      <w:r>
        <w:rPr/>
        <w:t>distribution</w:t>
      </w:r>
      <w:r>
        <w:rPr>
          <w:spacing w:val="-3"/>
        </w:rPr>
        <w:t> </w:t>
      </w:r>
      <w:r>
        <w:rPr/>
        <w:t>of</w:t>
      </w:r>
      <w:r>
        <w:rPr>
          <w:spacing w:val="-3"/>
        </w:rPr>
        <w:t> </w:t>
      </w:r>
      <w:r>
        <w:rPr/>
        <w:t>the medication abortion pill mifepristone, Governor Maura Healey issued an Executive Order affirming protections for abortion access in Massachusetts, and directing the state to begin stockpiling more than 15,000 doses of mifepristone to ensure access to the medication for over one year.</w:t>
      </w:r>
      <w:hyperlink w:history="true" w:anchor="_bookmark260">
        <w:r>
          <w:rPr>
            <w:vertAlign w:val="superscript"/>
          </w:rPr>
          <w:t>68</w:t>
        </w:r>
      </w:hyperlink>
    </w:p>
    <w:p>
      <w:pPr>
        <w:pStyle w:val="BodyText"/>
        <w:spacing w:line="276" w:lineRule="auto" w:before="239"/>
        <w:ind w:left="463" w:right="238"/>
        <w:jc w:val="both"/>
      </w:pPr>
      <w:r>
        <w:rPr/>
        <w:t>However,</w:t>
      </w:r>
      <w:r>
        <w:rPr>
          <w:spacing w:val="-13"/>
        </w:rPr>
        <w:t> </w:t>
      </w:r>
      <w:r>
        <w:rPr/>
        <w:t>though</w:t>
      </w:r>
      <w:r>
        <w:rPr>
          <w:spacing w:val="-12"/>
        </w:rPr>
        <w:t> </w:t>
      </w:r>
      <w:r>
        <w:rPr/>
        <w:t>Massachusetts</w:t>
      </w:r>
      <w:r>
        <w:rPr>
          <w:spacing w:val="-13"/>
        </w:rPr>
        <w:t> </w:t>
      </w:r>
      <w:r>
        <w:rPr/>
        <w:t>leans</w:t>
      </w:r>
      <w:r>
        <w:rPr>
          <w:spacing w:val="-12"/>
        </w:rPr>
        <w:t> </w:t>
      </w:r>
      <w:r>
        <w:rPr/>
        <w:t>progressively</w:t>
      </w:r>
      <w:r>
        <w:rPr>
          <w:spacing w:val="-13"/>
        </w:rPr>
        <w:t> </w:t>
      </w:r>
      <w:r>
        <w:rPr/>
        <w:t>toward</w:t>
      </w:r>
      <w:r>
        <w:rPr>
          <w:spacing w:val="-12"/>
        </w:rPr>
        <w:t> </w:t>
      </w:r>
      <w:r>
        <w:rPr/>
        <w:t>abortion</w:t>
      </w:r>
      <w:r>
        <w:rPr>
          <w:spacing w:val="-13"/>
        </w:rPr>
        <w:t> </w:t>
      </w:r>
      <w:r>
        <w:rPr/>
        <w:t>rights,</w:t>
      </w:r>
      <w:r>
        <w:rPr>
          <w:spacing w:val="-12"/>
        </w:rPr>
        <w:t> </w:t>
      </w:r>
      <w:r>
        <w:rPr/>
        <w:t>the</w:t>
      </w:r>
      <w:r>
        <w:rPr>
          <w:spacing w:val="-12"/>
        </w:rPr>
        <w:t> </w:t>
      </w:r>
      <w:r>
        <w:rPr/>
        <w:t>Massachusetts</w:t>
      </w:r>
      <w:r>
        <w:rPr>
          <w:spacing w:val="-13"/>
        </w:rPr>
        <w:t> </w:t>
      </w:r>
      <w:r>
        <w:rPr/>
        <w:t>Department of Public Health's lack of requiring medical providers and facilities it funds to provide routine abortion services</w:t>
      </w:r>
      <w:r>
        <w:rPr>
          <w:spacing w:val="-5"/>
        </w:rPr>
        <w:t> </w:t>
      </w:r>
      <w:r>
        <w:rPr/>
        <w:t>create</w:t>
      </w:r>
      <w:r>
        <w:rPr>
          <w:spacing w:val="-6"/>
        </w:rPr>
        <w:t> </w:t>
      </w:r>
      <w:r>
        <w:rPr/>
        <w:t>a</w:t>
      </w:r>
      <w:r>
        <w:rPr>
          <w:spacing w:val="-4"/>
        </w:rPr>
        <w:t> </w:t>
      </w:r>
      <w:r>
        <w:rPr/>
        <w:t>barrier</w:t>
      </w:r>
      <w:r>
        <w:rPr>
          <w:spacing w:val="-5"/>
        </w:rPr>
        <w:t> </w:t>
      </w:r>
      <w:r>
        <w:rPr/>
        <w:t>for</w:t>
      </w:r>
      <w:r>
        <w:rPr>
          <w:spacing w:val="-5"/>
        </w:rPr>
        <w:t> </w:t>
      </w:r>
      <w:r>
        <w:rPr/>
        <w:t>Massachusetts</w:t>
      </w:r>
      <w:r>
        <w:rPr>
          <w:spacing w:val="-5"/>
        </w:rPr>
        <w:t> </w:t>
      </w:r>
      <w:r>
        <w:rPr/>
        <w:t>residents</w:t>
      </w:r>
      <w:r>
        <w:rPr>
          <w:spacing w:val="-4"/>
        </w:rPr>
        <w:t> </w:t>
      </w:r>
      <w:r>
        <w:rPr/>
        <w:t>to</w:t>
      </w:r>
      <w:r>
        <w:rPr>
          <w:spacing w:val="-5"/>
        </w:rPr>
        <w:t> </w:t>
      </w:r>
      <w:r>
        <w:rPr/>
        <w:t>access</w:t>
      </w:r>
      <w:r>
        <w:rPr>
          <w:spacing w:val="-4"/>
        </w:rPr>
        <w:t> </w:t>
      </w:r>
      <w:r>
        <w:rPr/>
        <w:t>abortion</w:t>
      </w:r>
      <w:r>
        <w:rPr>
          <w:spacing w:val="-6"/>
        </w:rPr>
        <w:t> </w:t>
      </w:r>
      <w:r>
        <w:rPr/>
        <w:t>services</w:t>
      </w:r>
      <w:r>
        <w:rPr>
          <w:spacing w:val="-4"/>
        </w:rPr>
        <w:t> </w:t>
      </w:r>
      <w:r>
        <w:rPr/>
        <w:t>at</w:t>
      </w:r>
      <w:r>
        <w:rPr>
          <w:spacing w:val="-6"/>
        </w:rPr>
        <w:t> </w:t>
      </w:r>
      <w:r>
        <w:rPr/>
        <w:t>certain</w:t>
      </w:r>
      <w:r>
        <w:rPr>
          <w:spacing w:val="-4"/>
        </w:rPr>
        <w:t> </w:t>
      </w:r>
      <w:r>
        <w:rPr/>
        <w:t>medical</w:t>
      </w:r>
      <w:r>
        <w:rPr>
          <w:spacing w:val="-4"/>
        </w:rPr>
        <w:t> </w:t>
      </w:r>
      <w:r>
        <w:rPr/>
        <w:t>facilities in the state, thus causing pregnant people to travel far distances for abortion services. Fortunately, the Commonwealth</w:t>
      </w:r>
      <w:r>
        <w:rPr>
          <w:spacing w:val="-3"/>
        </w:rPr>
        <w:t> </w:t>
      </w:r>
      <w:r>
        <w:rPr/>
        <w:t>has</w:t>
      </w:r>
      <w:r>
        <w:rPr>
          <w:spacing w:val="-4"/>
        </w:rPr>
        <w:t> </w:t>
      </w:r>
      <w:r>
        <w:rPr/>
        <w:t>ensured</w:t>
      </w:r>
      <w:r>
        <w:rPr>
          <w:spacing w:val="-4"/>
        </w:rPr>
        <w:t> </w:t>
      </w:r>
      <w:r>
        <w:rPr/>
        <w:t>that</w:t>
      </w:r>
      <w:r>
        <w:rPr>
          <w:spacing w:val="-3"/>
        </w:rPr>
        <w:t> </w:t>
      </w:r>
      <w:r>
        <w:rPr/>
        <w:t>medical</w:t>
      </w:r>
      <w:r>
        <w:rPr>
          <w:spacing w:val="-4"/>
        </w:rPr>
        <w:t> </w:t>
      </w:r>
      <w:r>
        <w:rPr/>
        <w:t>providers</w:t>
      </w:r>
      <w:r>
        <w:rPr>
          <w:spacing w:val="-2"/>
        </w:rPr>
        <w:t> </w:t>
      </w:r>
      <w:r>
        <w:rPr/>
        <w:t>and</w:t>
      </w:r>
      <w:r>
        <w:rPr>
          <w:spacing w:val="-4"/>
        </w:rPr>
        <w:t> </w:t>
      </w:r>
      <w:r>
        <w:rPr/>
        <w:t>facilities</w:t>
      </w:r>
      <w:r>
        <w:rPr>
          <w:spacing w:val="-2"/>
        </w:rPr>
        <w:t> </w:t>
      </w:r>
      <w:r>
        <w:rPr/>
        <w:t>perform</w:t>
      </w:r>
      <w:r>
        <w:rPr>
          <w:spacing w:val="-4"/>
        </w:rPr>
        <w:t> </w:t>
      </w:r>
      <w:r>
        <w:rPr/>
        <w:t>emergency</w:t>
      </w:r>
      <w:r>
        <w:rPr>
          <w:spacing w:val="-3"/>
        </w:rPr>
        <w:t> </w:t>
      </w:r>
      <w:r>
        <w:rPr/>
        <w:t>abortions</w:t>
      </w:r>
      <w:r>
        <w:rPr>
          <w:spacing w:val="-4"/>
        </w:rPr>
        <w:t> </w:t>
      </w:r>
      <w:r>
        <w:rPr/>
        <w:t>to</w:t>
      </w:r>
      <w:r>
        <w:rPr>
          <w:spacing w:val="-3"/>
        </w:rPr>
        <w:t> </w:t>
      </w:r>
      <w:r>
        <w:rPr/>
        <w:t>stabilize the pregnant person in the event of a medical emergency. However, lack of access to routine abortion services can negatively impact LGBTQ youth with unintended pregnancies. Although unintended pregnancies are not classified as “emergencies” or “life-threatening,” unwanted pregnancies are still distressing to LGBTQ youth who do not want to be pregnant, especially if the pregnancy amplifies feelings of</w:t>
      </w:r>
      <w:r>
        <w:rPr>
          <w:spacing w:val="-13"/>
        </w:rPr>
        <w:t> </w:t>
      </w:r>
      <w:r>
        <w:rPr/>
        <w:t>gender</w:t>
      </w:r>
      <w:r>
        <w:rPr>
          <w:spacing w:val="-12"/>
        </w:rPr>
        <w:t> </w:t>
      </w:r>
      <w:r>
        <w:rPr/>
        <w:t>dysphoria.</w:t>
      </w:r>
      <w:r>
        <w:rPr>
          <w:spacing w:val="-13"/>
        </w:rPr>
        <w:t> </w:t>
      </w:r>
      <w:r>
        <w:rPr/>
        <w:t>The</w:t>
      </w:r>
      <w:r>
        <w:rPr>
          <w:spacing w:val="-12"/>
        </w:rPr>
        <w:t> </w:t>
      </w:r>
      <w:r>
        <w:rPr/>
        <w:t>Commonwealth</w:t>
      </w:r>
      <w:r>
        <w:rPr>
          <w:spacing w:val="-13"/>
        </w:rPr>
        <w:t> </w:t>
      </w:r>
      <w:r>
        <w:rPr/>
        <w:t>should</w:t>
      </w:r>
      <w:r>
        <w:rPr>
          <w:spacing w:val="-12"/>
        </w:rPr>
        <w:t> </w:t>
      </w:r>
      <w:r>
        <w:rPr/>
        <w:t>urge</w:t>
      </w:r>
      <w:r>
        <w:rPr>
          <w:spacing w:val="-13"/>
        </w:rPr>
        <w:t> </w:t>
      </w:r>
      <w:r>
        <w:rPr/>
        <w:t>the</w:t>
      </w:r>
      <w:r>
        <w:rPr>
          <w:spacing w:val="-12"/>
        </w:rPr>
        <w:t> </w:t>
      </w:r>
      <w:r>
        <w:rPr/>
        <w:t>Department</w:t>
      </w:r>
      <w:r>
        <w:rPr>
          <w:spacing w:val="-12"/>
        </w:rPr>
        <w:t> </w:t>
      </w:r>
      <w:r>
        <w:rPr/>
        <w:t>of</w:t>
      </w:r>
      <w:r>
        <w:rPr>
          <w:spacing w:val="-13"/>
        </w:rPr>
        <w:t> </w:t>
      </w:r>
      <w:r>
        <w:rPr/>
        <w:t>Public</w:t>
      </w:r>
      <w:r>
        <w:rPr>
          <w:spacing w:val="-12"/>
        </w:rPr>
        <w:t> </w:t>
      </w:r>
      <w:r>
        <w:rPr/>
        <w:t>Health</w:t>
      </w:r>
      <w:r>
        <w:rPr>
          <w:spacing w:val="-13"/>
        </w:rPr>
        <w:t> </w:t>
      </w:r>
      <w:r>
        <w:rPr/>
        <w:t>to</w:t>
      </w:r>
      <w:r>
        <w:rPr>
          <w:spacing w:val="-12"/>
        </w:rPr>
        <w:t> </w:t>
      </w:r>
      <w:r>
        <w:rPr/>
        <w:t>revise</w:t>
      </w:r>
      <w:r>
        <w:rPr>
          <w:spacing w:val="-13"/>
        </w:rPr>
        <w:t> </w:t>
      </w:r>
      <w:r>
        <w:rPr/>
        <w:t>its</w:t>
      </w:r>
      <w:r>
        <w:rPr>
          <w:spacing w:val="-12"/>
        </w:rPr>
        <w:t> </w:t>
      </w:r>
      <w:r>
        <w:rPr/>
        <w:t>provision of abortion requirements for medical facilities and programs it funds. The state should also work with the Department of Public Health to expand funding to invest in abortion-competent medical providers and resources in order to expand routine abortion service access to Massachusetts residents. Pregnant people with unintended pregnancies would not have to travel long distances within the state for an abortion.</w:t>
      </w:r>
    </w:p>
    <w:p>
      <w:pPr>
        <w:spacing w:before="241"/>
        <w:ind w:left="463" w:right="0" w:firstLine="0"/>
        <w:jc w:val="both"/>
        <w:rPr>
          <w:sz w:val="28"/>
        </w:rPr>
      </w:pPr>
      <w:bookmarkStart w:name="Birth Control Access" w:id="381"/>
      <w:bookmarkEnd w:id="381"/>
      <w:r>
        <w:rPr/>
      </w:r>
      <w:r>
        <w:rPr>
          <w:color w:val="365F91"/>
          <w:sz w:val="28"/>
        </w:rPr>
        <w:t>Birth</w:t>
      </w:r>
      <w:r>
        <w:rPr>
          <w:color w:val="365F91"/>
          <w:spacing w:val="-10"/>
          <w:sz w:val="28"/>
        </w:rPr>
        <w:t> </w:t>
      </w:r>
      <w:r>
        <w:rPr>
          <w:color w:val="365F91"/>
          <w:sz w:val="28"/>
        </w:rPr>
        <w:t>Control</w:t>
      </w:r>
      <w:r>
        <w:rPr>
          <w:color w:val="365F91"/>
          <w:spacing w:val="-10"/>
          <w:sz w:val="28"/>
        </w:rPr>
        <w:t> </w:t>
      </w:r>
      <w:r>
        <w:rPr>
          <w:color w:val="365F91"/>
          <w:spacing w:val="-2"/>
          <w:sz w:val="28"/>
        </w:rPr>
        <w:t>Access</w:t>
      </w:r>
    </w:p>
    <w:p>
      <w:pPr>
        <w:spacing w:line="276" w:lineRule="auto" w:before="291"/>
        <w:ind w:left="463" w:right="240" w:firstLine="0"/>
        <w:jc w:val="both"/>
        <w:rPr>
          <w:sz w:val="21"/>
        </w:rPr>
      </w:pPr>
      <w:r>
        <w:rPr>
          <w:sz w:val="21"/>
        </w:rPr>
        <w:t>In November 2017, Governor Charlie Baker signed An Act Relative to Advancing Contraceptive Coverage and Economic Security (ACCESS), which further expanded access to birth control. This law allows (1) eligible people</w:t>
      </w:r>
    </w:p>
    <w:p>
      <w:pPr>
        <w:spacing w:after="0" w:line="276" w:lineRule="auto"/>
        <w:jc w:val="both"/>
        <w:rPr>
          <w:sz w:val="21"/>
        </w:rPr>
        <w:sectPr>
          <w:pgSz w:w="12240" w:h="15840"/>
          <w:pgMar w:header="800" w:footer="1530" w:top="1080" w:bottom="1720" w:left="980" w:right="1000"/>
        </w:sectPr>
      </w:pPr>
    </w:p>
    <w:p>
      <w:pPr>
        <w:spacing w:line="276" w:lineRule="auto" w:before="69"/>
        <w:ind w:left="463" w:right="237" w:firstLine="0"/>
        <w:jc w:val="both"/>
        <w:rPr>
          <w:sz w:val="21"/>
        </w:rPr>
      </w:pPr>
      <w:r>
        <w:rPr>
          <w:sz w:val="21"/>
        </w:rPr>
        <w:t>to</w:t>
      </w:r>
      <w:r>
        <w:rPr>
          <w:spacing w:val="-3"/>
          <w:sz w:val="21"/>
        </w:rPr>
        <w:t> </w:t>
      </w:r>
      <w:r>
        <w:rPr>
          <w:sz w:val="21"/>
        </w:rPr>
        <w:t>get</w:t>
      </w:r>
      <w:r>
        <w:rPr>
          <w:spacing w:val="-3"/>
          <w:sz w:val="21"/>
        </w:rPr>
        <w:t> </w:t>
      </w:r>
      <w:r>
        <w:rPr>
          <w:sz w:val="21"/>
        </w:rPr>
        <w:t>a</w:t>
      </w:r>
      <w:r>
        <w:rPr>
          <w:spacing w:val="-3"/>
          <w:sz w:val="21"/>
        </w:rPr>
        <w:t> </w:t>
      </w:r>
      <w:r>
        <w:rPr>
          <w:sz w:val="21"/>
        </w:rPr>
        <w:t>year’s</w:t>
      </w:r>
      <w:r>
        <w:rPr>
          <w:spacing w:val="-4"/>
          <w:sz w:val="21"/>
        </w:rPr>
        <w:t> </w:t>
      </w:r>
      <w:r>
        <w:rPr>
          <w:sz w:val="21"/>
        </w:rPr>
        <w:t>supply</w:t>
      </w:r>
      <w:r>
        <w:rPr>
          <w:spacing w:val="-3"/>
          <w:sz w:val="21"/>
        </w:rPr>
        <w:t> </w:t>
      </w:r>
      <w:r>
        <w:rPr>
          <w:sz w:val="21"/>
        </w:rPr>
        <w:t>of</w:t>
      </w:r>
      <w:r>
        <w:rPr>
          <w:spacing w:val="-4"/>
          <w:sz w:val="21"/>
        </w:rPr>
        <w:t> </w:t>
      </w:r>
      <w:r>
        <w:rPr>
          <w:sz w:val="21"/>
        </w:rPr>
        <w:t>no-cost</w:t>
      </w:r>
      <w:r>
        <w:rPr>
          <w:spacing w:val="-3"/>
          <w:sz w:val="21"/>
        </w:rPr>
        <w:t> </w:t>
      </w:r>
      <w:r>
        <w:rPr>
          <w:sz w:val="21"/>
        </w:rPr>
        <w:t>birth</w:t>
      </w:r>
      <w:r>
        <w:rPr>
          <w:spacing w:val="-3"/>
          <w:sz w:val="21"/>
        </w:rPr>
        <w:t> </w:t>
      </w:r>
      <w:r>
        <w:rPr>
          <w:sz w:val="21"/>
        </w:rPr>
        <w:t>control</w:t>
      </w:r>
      <w:r>
        <w:rPr>
          <w:spacing w:val="-3"/>
          <w:sz w:val="21"/>
        </w:rPr>
        <w:t> </w:t>
      </w:r>
      <w:r>
        <w:rPr>
          <w:sz w:val="21"/>
        </w:rPr>
        <w:t>and</w:t>
      </w:r>
      <w:r>
        <w:rPr>
          <w:spacing w:val="-3"/>
          <w:sz w:val="21"/>
        </w:rPr>
        <w:t> </w:t>
      </w:r>
      <w:r>
        <w:rPr>
          <w:sz w:val="21"/>
        </w:rPr>
        <w:t>(2)</w:t>
      </w:r>
      <w:r>
        <w:rPr>
          <w:spacing w:val="-3"/>
          <w:sz w:val="21"/>
        </w:rPr>
        <w:t> </w:t>
      </w:r>
      <w:r>
        <w:rPr>
          <w:sz w:val="21"/>
        </w:rPr>
        <w:t>emergency</w:t>
      </w:r>
      <w:r>
        <w:rPr>
          <w:spacing w:val="-3"/>
          <w:sz w:val="21"/>
        </w:rPr>
        <w:t> </w:t>
      </w:r>
      <w:r>
        <w:rPr>
          <w:sz w:val="21"/>
        </w:rPr>
        <w:t>contraceptives,</w:t>
      </w:r>
      <w:r>
        <w:rPr>
          <w:spacing w:val="-3"/>
          <w:sz w:val="21"/>
        </w:rPr>
        <w:t> </w:t>
      </w:r>
      <w:r>
        <w:rPr>
          <w:sz w:val="21"/>
        </w:rPr>
        <w:t>such</w:t>
      </w:r>
      <w:r>
        <w:rPr>
          <w:spacing w:val="-3"/>
          <w:sz w:val="21"/>
        </w:rPr>
        <w:t> </w:t>
      </w:r>
      <w:r>
        <w:rPr>
          <w:sz w:val="21"/>
        </w:rPr>
        <w:t>as</w:t>
      </w:r>
      <w:r>
        <w:rPr>
          <w:spacing w:val="-4"/>
          <w:sz w:val="21"/>
        </w:rPr>
        <w:t> </w:t>
      </w:r>
      <w:r>
        <w:rPr>
          <w:sz w:val="21"/>
        </w:rPr>
        <w:t>Plan</w:t>
      </w:r>
      <w:r>
        <w:rPr>
          <w:spacing w:val="-3"/>
          <w:sz w:val="21"/>
        </w:rPr>
        <w:t> </w:t>
      </w:r>
      <w:r>
        <w:rPr>
          <w:sz w:val="21"/>
        </w:rPr>
        <w:t>B</w:t>
      </w:r>
      <w:r>
        <w:rPr>
          <w:spacing w:val="-2"/>
          <w:sz w:val="21"/>
        </w:rPr>
        <w:t> </w:t>
      </w:r>
      <w:r>
        <w:rPr>
          <w:sz w:val="21"/>
        </w:rPr>
        <w:t>One-Step</w:t>
      </w:r>
      <w:r>
        <w:rPr>
          <w:spacing w:val="-3"/>
          <w:sz w:val="21"/>
        </w:rPr>
        <w:t> </w:t>
      </w:r>
      <w:r>
        <w:rPr>
          <w:sz w:val="21"/>
        </w:rPr>
        <w:t>or</w:t>
      </w:r>
      <w:r>
        <w:rPr>
          <w:spacing w:val="-3"/>
          <w:sz w:val="21"/>
        </w:rPr>
        <w:t> </w:t>
      </w:r>
      <w:r>
        <w:rPr>
          <w:sz w:val="21"/>
        </w:rPr>
        <w:t>ella. Eligible patients can get birth control pills, patches, rings, or injectable birth control. To be eligible, one must be fully insured by a health insurance plan subject to Massachusetts law, including health plans from MassHealth and plans purchased on the MA Health Connector. Insurance through the MA Group Insurance Commission is also covered. This is an essential component that furthers reproductive rights.</w:t>
      </w:r>
    </w:p>
    <w:p>
      <w:pPr>
        <w:spacing w:line="276" w:lineRule="auto" w:before="239"/>
        <w:ind w:left="463" w:right="240" w:firstLine="0"/>
        <w:jc w:val="both"/>
        <w:rPr>
          <w:sz w:val="21"/>
        </w:rPr>
      </w:pPr>
      <w:r>
        <w:rPr>
          <w:sz w:val="21"/>
        </w:rPr>
        <w:t>Unfortunately, this provision may not have been effectively implemented; only about 300 eligible AFAB people obtained</w:t>
      </w:r>
      <w:r>
        <w:rPr>
          <w:spacing w:val="-4"/>
          <w:sz w:val="21"/>
        </w:rPr>
        <w:t> </w:t>
      </w:r>
      <w:r>
        <w:rPr>
          <w:sz w:val="21"/>
        </w:rPr>
        <w:t>a</w:t>
      </w:r>
      <w:r>
        <w:rPr>
          <w:spacing w:val="-4"/>
          <w:sz w:val="21"/>
        </w:rPr>
        <w:t> </w:t>
      </w:r>
      <w:r>
        <w:rPr>
          <w:sz w:val="21"/>
        </w:rPr>
        <w:t>12-month</w:t>
      </w:r>
      <w:r>
        <w:rPr>
          <w:spacing w:val="-4"/>
          <w:sz w:val="21"/>
        </w:rPr>
        <w:t> </w:t>
      </w:r>
      <w:r>
        <w:rPr>
          <w:sz w:val="21"/>
        </w:rPr>
        <w:t>supply</w:t>
      </w:r>
      <w:r>
        <w:rPr>
          <w:spacing w:val="-5"/>
          <w:sz w:val="21"/>
        </w:rPr>
        <w:t> </w:t>
      </w:r>
      <w:r>
        <w:rPr>
          <w:sz w:val="21"/>
        </w:rPr>
        <w:t>of</w:t>
      </w:r>
      <w:r>
        <w:rPr>
          <w:spacing w:val="-5"/>
          <w:sz w:val="21"/>
        </w:rPr>
        <w:t> </w:t>
      </w:r>
      <w:r>
        <w:rPr>
          <w:sz w:val="21"/>
        </w:rPr>
        <w:t>birth</w:t>
      </w:r>
      <w:r>
        <w:rPr>
          <w:spacing w:val="-4"/>
          <w:sz w:val="21"/>
        </w:rPr>
        <w:t> </w:t>
      </w:r>
      <w:r>
        <w:rPr>
          <w:sz w:val="21"/>
        </w:rPr>
        <w:t>control</w:t>
      </w:r>
      <w:r>
        <w:rPr>
          <w:spacing w:val="-5"/>
          <w:sz w:val="21"/>
        </w:rPr>
        <w:t> </w:t>
      </w:r>
      <w:r>
        <w:rPr>
          <w:sz w:val="21"/>
        </w:rPr>
        <w:t>in</w:t>
      </w:r>
      <w:r>
        <w:rPr>
          <w:spacing w:val="-4"/>
          <w:sz w:val="21"/>
        </w:rPr>
        <w:t> </w:t>
      </w:r>
      <w:r>
        <w:rPr>
          <w:sz w:val="21"/>
        </w:rPr>
        <w:t>2020</w:t>
      </w:r>
      <w:r>
        <w:rPr>
          <w:spacing w:val="-5"/>
          <w:sz w:val="21"/>
        </w:rPr>
        <w:t> </w:t>
      </w:r>
      <w:r>
        <w:rPr>
          <w:sz w:val="21"/>
        </w:rPr>
        <w:t>through</w:t>
      </w:r>
      <w:r>
        <w:rPr>
          <w:spacing w:val="-4"/>
          <w:sz w:val="21"/>
        </w:rPr>
        <w:t> </w:t>
      </w:r>
      <w:r>
        <w:rPr>
          <w:sz w:val="21"/>
        </w:rPr>
        <w:t>the</w:t>
      </w:r>
      <w:r>
        <w:rPr>
          <w:spacing w:val="-4"/>
          <w:sz w:val="21"/>
        </w:rPr>
        <w:t> </w:t>
      </w:r>
      <w:r>
        <w:rPr>
          <w:sz w:val="21"/>
        </w:rPr>
        <w:t>state’s</w:t>
      </w:r>
      <w:r>
        <w:rPr>
          <w:spacing w:val="-5"/>
          <w:sz w:val="21"/>
        </w:rPr>
        <w:t> </w:t>
      </w:r>
      <w:r>
        <w:rPr>
          <w:sz w:val="21"/>
        </w:rPr>
        <w:t>largest</w:t>
      </w:r>
      <w:r>
        <w:rPr>
          <w:spacing w:val="-4"/>
          <w:sz w:val="21"/>
        </w:rPr>
        <w:t> </w:t>
      </w:r>
      <w:r>
        <w:rPr>
          <w:sz w:val="21"/>
        </w:rPr>
        <w:t>insurers.</w:t>
      </w:r>
      <w:r>
        <w:rPr>
          <w:spacing w:val="-5"/>
          <w:sz w:val="21"/>
        </w:rPr>
        <w:t> </w:t>
      </w:r>
      <w:r>
        <w:rPr>
          <w:sz w:val="21"/>
        </w:rPr>
        <w:t>Patients</w:t>
      </w:r>
      <w:r>
        <w:rPr>
          <w:spacing w:val="-5"/>
          <w:sz w:val="21"/>
        </w:rPr>
        <w:t> </w:t>
      </w:r>
      <w:r>
        <w:rPr>
          <w:sz w:val="21"/>
        </w:rPr>
        <w:t>and</w:t>
      </w:r>
      <w:r>
        <w:rPr>
          <w:spacing w:val="-4"/>
          <w:sz w:val="21"/>
        </w:rPr>
        <w:t> </w:t>
      </w:r>
      <w:r>
        <w:rPr>
          <w:sz w:val="21"/>
        </w:rPr>
        <w:t>healthcare providers have reported poor experiences with trying</w:t>
      </w:r>
      <w:r>
        <w:rPr>
          <w:spacing w:val="-1"/>
          <w:sz w:val="21"/>
        </w:rPr>
        <w:t> </w:t>
      </w:r>
      <w:r>
        <w:rPr>
          <w:sz w:val="21"/>
        </w:rPr>
        <w:t>to obtain or prescribe a 12-month supply</w:t>
      </w:r>
      <w:r>
        <w:rPr>
          <w:spacing w:val="-2"/>
          <w:sz w:val="21"/>
        </w:rPr>
        <w:t> </w:t>
      </w:r>
      <w:r>
        <w:rPr>
          <w:sz w:val="21"/>
        </w:rPr>
        <w:t>of birth control. Not</w:t>
      </w:r>
      <w:r>
        <w:rPr>
          <w:spacing w:val="-3"/>
          <w:sz w:val="21"/>
        </w:rPr>
        <w:t> </w:t>
      </w:r>
      <w:r>
        <w:rPr>
          <w:sz w:val="21"/>
        </w:rPr>
        <w:t>many</w:t>
      </w:r>
      <w:r>
        <w:rPr>
          <w:spacing w:val="-3"/>
          <w:sz w:val="21"/>
        </w:rPr>
        <w:t> </w:t>
      </w:r>
      <w:r>
        <w:rPr>
          <w:sz w:val="21"/>
        </w:rPr>
        <w:t>eligible</w:t>
      </w:r>
      <w:r>
        <w:rPr>
          <w:spacing w:val="-3"/>
          <w:sz w:val="21"/>
        </w:rPr>
        <w:t> </w:t>
      </w:r>
      <w:r>
        <w:rPr>
          <w:sz w:val="21"/>
        </w:rPr>
        <w:t>patients,</w:t>
      </w:r>
      <w:r>
        <w:rPr>
          <w:spacing w:val="-3"/>
          <w:sz w:val="21"/>
        </w:rPr>
        <w:t> </w:t>
      </w:r>
      <w:r>
        <w:rPr>
          <w:sz w:val="21"/>
        </w:rPr>
        <w:t>healthcare</w:t>
      </w:r>
      <w:r>
        <w:rPr>
          <w:spacing w:val="-3"/>
          <w:sz w:val="21"/>
        </w:rPr>
        <w:t> </w:t>
      </w:r>
      <w:r>
        <w:rPr>
          <w:sz w:val="21"/>
        </w:rPr>
        <w:t>providers,</w:t>
      </w:r>
      <w:r>
        <w:rPr>
          <w:spacing w:val="-3"/>
          <w:sz w:val="21"/>
        </w:rPr>
        <w:t> </w:t>
      </w:r>
      <w:r>
        <w:rPr>
          <w:sz w:val="21"/>
        </w:rPr>
        <w:t>and</w:t>
      </w:r>
      <w:r>
        <w:rPr>
          <w:spacing w:val="-3"/>
          <w:sz w:val="21"/>
        </w:rPr>
        <w:t> </w:t>
      </w:r>
      <w:r>
        <w:rPr>
          <w:sz w:val="21"/>
        </w:rPr>
        <w:t>pharmacies</w:t>
      </w:r>
      <w:r>
        <w:rPr>
          <w:spacing w:val="-4"/>
          <w:sz w:val="21"/>
        </w:rPr>
        <w:t> </w:t>
      </w:r>
      <w:r>
        <w:rPr>
          <w:sz w:val="21"/>
        </w:rPr>
        <w:t>are</w:t>
      </w:r>
      <w:r>
        <w:rPr>
          <w:spacing w:val="-3"/>
          <w:sz w:val="21"/>
        </w:rPr>
        <w:t> </w:t>
      </w:r>
      <w:r>
        <w:rPr>
          <w:sz w:val="21"/>
        </w:rPr>
        <w:t>even</w:t>
      </w:r>
      <w:r>
        <w:rPr>
          <w:spacing w:val="-3"/>
          <w:sz w:val="21"/>
        </w:rPr>
        <w:t> </w:t>
      </w:r>
      <w:r>
        <w:rPr>
          <w:sz w:val="21"/>
        </w:rPr>
        <w:t>aware</w:t>
      </w:r>
      <w:r>
        <w:rPr>
          <w:spacing w:val="-3"/>
          <w:sz w:val="21"/>
        </w:rPr>
        <w:t> </w:t>
      </w:r>
      <w:r>
        <w:rPr>
          <w:sz w:val="21"/>
        </w:rPr>
        <w:t>of</w:t>
      </w:r>
      <w:r>
        <w:rPr>
          <w:spacing w:val="-4"/>
          <w:sz w:val="21"/>
        </w:rPr>
        <w:t> </w:t>
      </w:r>
      <w:r>
        <w:rPr>
          <w:sz w:val="21"/>
        </w:rPr>
        <w:t>this</w:t>
      </w:r>
      <w:r>
        <w:rPr>
          <w:spacing w:val="-4"/>
          <w:sz w:val="21"/>
        </w:rPr>
        <w:t> </w:t>
      </w:r>
      <w:r>
        <w:rPr>
          <w:sz w:val="21"/>
        </w:rPr>
        <w:t>provision</w:t>
      </w:r>
      <w:r>
        <w:rPr>
          <w:spacing w:val="-3"/>
          <w:sz w:val="21"/>
        </w:rPr>
        <w:t> </w:t>
      </w:r>
      <w:r>
        <w:rPr>
          <w:sz w:val="21"/>
        </w:rPr>
        <w:t>and</w:t>
      </w:r>
      <w:r>
        <w:rPr>
          <w:spacing w:val="-3"/>
          <w:sz w:val="21"/>
        </w:rPr>
        <w:t> </w:t>
      </w:r>
      <w:r>
        <w:rPr>
          <w:sz w:val="21"/>
        </w:rPr>
        <w:t>there</w:t>
      </w:r>
      <w:r>
        <w:rPr>
          <w:spacing w:val="-3"/>
          <w:sz w:val="21"/>
        </w:rPr>
        <w:t> </w:t>
      </w:r>
      <w:r>
        <w:rPr>
          <w:sz w:val="21"/>
        </w:rPr>
        <w:t>has been confusion on whether MassHealth beneficiaries are eligible due to poor awareness of the law and roll-out of the provision</w:t>
      </w:r>
      <w:hyperlink w:history="true" w:anchor="_bookmark261">
        <w:r>
          <w:rPr>
            <w:sz w:val="21"/>
          </w:rPr>
          <w:t>.</w:t>
        </w:r>
        <w:r>
          <w:rPr>
            <w:sz w:val="21"/>
            <w:vertAlign w:val="superscript"/>
          </w:rPr>
          <w:t>69</w:t>
        </w:r>
      </w:hyperlink>
    </w:p>
    <w:p>
      <w:pPr>
        <w:spacing w:line="276" w:lineRule="auto" w:before="240"/>
        <w:ind w:left="463" w:right="238" w:hanging="1"/>
        <w:jc w:val="both"/>
        <w:rPr>
          <w:sz w:val="21"/>
        </w:rPr>
      </w:pPr>
      <w:r>
        <w:rPr>
          <w:sz w:val="21"/>
        </w:rPr>
        <w:t>However, information about the ACCESS law is housed in the Mass.gov web services</w:t>
      </w:r>
      <w:hyperlink w:history="true" w:anchor="_bookmark262">
        <w:r>
          <w:rPr>
            <w:sz w:val="21"/>
          </w:rPr>
          <w:t>,</w:t>
        </w:r>
        <w:r>
          <w:rPr>
            <w:sz w:val="21"/>
            <w:vertAlign w:val="superscript"/>
          </w:rPr>
          <w:t>70</w:t>
        </w:r>
      </w:hyperlink>
      <w:r>
        <w:rPr>
          <w:sz w:val="21"/>
          <w:vertAlign w:val="baseline"/>
        </w:rPr>
        <w:t> where there is some detailed advice on how to find out if you are eligible for a one-year supply of prescription birth control, which includes</w:t>
      </w:r>
      <w:r>
        <w:rPr>
          <w:spacing w:val="-6"/>
          <w:sz w:val="21"/>
          <w:vertAlign w:val="baseline"/>
        </w:rPr>
        <w:t> </w:t>
      </w:r>
      <w:r>
        <w:rPr>
          <w:sz w:val="21"/>
          <w:vertAlign w:val="baseline"/>
        </w:rPr>
        <w:t>speaking</w:t>
      </w:r>
      <w:r>
        <w:rPr>
          <w:spacing w:val="-6"/>
          <w:sz w:val="21"/>
          <w:vertAlign w:val="baseline"/>
        </w:rPr>
        <w:t> </w:t>
      </w:r>
      <w:r>
        <w:rPr>
          <w:sz w:val="21"/>
          <w:vertAlign w:val="baseline"/>
        </w:rPr>
        <w:t>with</w:t>
      </w:r>
      <w:r>
        <w:rPr>
          <w:spacing w:val="-5"/>
          <w:sz w:val="21"/>
          <w:vertAlign w:val="baseline"/>
        </w:rPr>
        <w:t> </w:t>
      </w:r>
      <w:r>
        <w:rPr>
          <w:sz w:val="21"/>
          <w:vertAlign w:val="baseline"/>
        </w:rPr>
        <w:t>your</w:t>
      </w:r>
      <w:r>
        <w:rPr>
          <w:spacing w:val="-5"/>
          <w:sz w:val="21"/>
          <w:vertAlign w:val="baseline"/>
        </w:rPr>
        <w:t> </w:t>
      </w:r>
      <w:r>
        <w:rPr>
          <w:sz w:val="21"/>
          <w:vertAlign w:val="baseline"/>
        </w:rPr>
        <w:t>health</w:t>
      </w:r>
      <w:r>
        <w:rPr>
          <w:spacing w:val="-5"/>
          <w:sz w:val="21"/>
          <w:vertAlign w:val="baseline"/>
        </w:rPr>
        <w:t> </w:t>
      </w:r>
      <w:r>
        <w:rPr>
          <w:sz w:val="21"/>
          <w:vertAlign w:val="baseline"/>
        </w:rPr>
        <w:t>insurance</w:t>
      </w:r>
      <w:r>
        <w:rPr>
          <w:spacing w:val="-5"/>
          <w:sz w:val="21"/>
          <w:vertAlign w:val="baseline"/>
        </w:rPr>
        <w:t> </w:t>
      </w:r>
      <w:r>
        <w:rPr>
          <w:sz w:val="21"/>
          <w:vertAlign w:val="baseline"/>
        </w:rPr>
        <w:t>provider,</w:t>
      </w:r>
      <w:r>
        <w:rPr>
          <w:spacing w:val="-5"/>
          <w:sz w:val="21"/>
          <w:vertAlign w:val="baseline"/>
        </w:rPr>
        <w:t> </w:t>
      </w:r>
      <w:r>
        <w:rPr>
          <w:sz w:val="21"/>
          <w:vertAlign w:val="baseline"/>
        </w:rPr>
        <w:t>employee</w:t>
      </w:r>
      <w:r>
        <w:rPr>
          <w:spacing w:val="-5"/>
          <w:sz w:val="21"/>
          <w:vertAlign w:val="baseline"/>
        </w:rPr>
        <w:t> </w:t>
      </w:r>
      <w:r>
        <w:rPr>
          <w:sz w:val="21"/>
          <w:vertAlign w:val="baseline"/>
        </w:rPr>
        <w:t>benefits</w:t>
      </w:r>
      <w:r>
        <w:rPr>
          <w:spacing w:val="-6"/>
          <w:sz w:val="21"/>
          <w:vertAlign w:val="baseline"/>
        </w:rPr>
        <w:t> </w:t>
      </w:r>
      <w:r>
        <w:rPr>
          <w:sz w:val="21"/>
          <w:vertAlign w:val="baseline"/>
        </w:rPr>
        <w:t>administrator,</w:t>
      </w:r>
      <w:r>
        <w:rPr>
          <w:spacing w:val="-5"/>
          <w:sz w:val="21"/>
          <w:vertAlign w:val="baseline"/>
        </w:rPr>
        <w:t> </w:t>
      </w:r>
      <w:r>
        <w:rPr>
          <w:sz w:val="21"/>
          <w:vertAlign w:val="baseline"/>
        </w:rPr>
        <w:t>or</w:t>
      </w:r>
      <w:r>
        <w:rPr>
          <w:spacing w:val="-5"/>
          <w:sz w:val="21"/>
          <w:vertAlign w:val="baseline"/>
        </w:rPr>
        <w:t> </w:t>
      </w:r>
      <w:r>
        <w:rPr>
          <w:sz w:val="21"/>
          <w:vertAlign w:val="baseline"/>
        </w:rPr>
        <w:t>human</w:t>
      </w:r>
      <w:r>
        <w:rPr>
          <w:spacing w:val="-5"/>
          <w:sz w:val="21"/>
          <w:vertAlign w:val="baseline"/>
        </w:rPr>
        <w:t> </w:t>
      </w:r>
      <w:r>
        <w:rPr>
          <w:sz w:val="21"/>
          <w:vertAlign w:val="baseline"/>
        </w:rPr>
        <w:t>resources.</w:t>
      </w:r>
      <w:r>
        <w:rPr>
          <w:spacing w:val="-6"/>
          <w:sz w:val="21"/>
          <w:vertAlign w:val="baseline"/>
        </w:rPr>
        <w:t> </w:t>
      </w:r>
      <w:r>
        <w:rPr>
          <w:sz w:val="21"/>
          <w:vertAlign w:val="baseline"/>
        </w:rPr>
        <w:t>In the</w:t>
      </w:r>
      <w:r>
        <w:rPr>
          <w:spacing w:val="-3"/>
          <w:sz w:val="21"/>
          <w:vertAlign w:val="baseline"/>
        </w:rPr>
        <w:t> </w:t>
      </w:r>
      <w:r>
        <w:rPr>
          <w:sz w:val="21"/>
          <w:vertAlign w:val="baseline"/>
        </w:rPr>
        <w:t>event</w:t>
      </w:r>
      <w:r>
        <w:rPr>
          <w:spacing w:val="-4"/>
          <w:sz w:val="21"/>
          <w:vertAlign w:val="baseline"/>
        </w:rPr>
        <w:t> </w:t>
      </w:r>
      <w:r>
        <w:rPr>
          <w:sz w:val="21"/>
          <w:vertAlign w:val="baseline"/>
        </w:rPr>
        <w:t>that</w:t>
      </w:r>
      <w:r>
        <w:rPr>
          <w:spacing w:val="-4"/>
          <w:sz w:val="21"/>
          <w:vertAlign w:val="baseline"/>
        </w:rPr>
        <w:t> </w:t>
      </w:r>
      <w:r>
        <w:rPr>
          <w:sz w:val="21"/>
          <w:vertAlign w:val="baseline"/>
        </w:rPr>
        <w:t>a</w:t>
      </w:r>
      <w:r>
        <w:rPr>
          <w:spacing w:val="-3"/>
          <w:sz w:val="21"/>
          <w:vertAlign w:val="baseline"/>
        </w:rPr>
        <w:t> </w:t>
      </w:r>
      <w:r>
        <w:rPr>
          <w:sz w:val="21"/>
          <w:vertAlign w:val="baseline"/>
        </w:rPr>
        <w:t>patient’s</w:t>
      </w:r>
      <w:r>
        <w:rPr>
          <w:spacing w:val="-4"/>
          <w:sz w:val="21"/>
          <w:vertAlign w:val="baseline"/>
        </w:rPr>
        <w:t> </w:t>
      </w:r>
      <w:r>
        <w:rPr>
          <w:sz w:val="21"/>
          <w:vertAlign w:val="baseline"/>
        </w:rPr>
        <w:t>clinician</w:t>
      </w:r>
      <w:r>
        <w:rPr>
          <w:spacing w:val="-3"/>
          <w:sz w:val="21"/>
          <w:vertAlign w:val="baseline"/>
        </w:rPr>
        <w:t> </w:t>
      </w:r>
      <w:r>
        <w:rPr>
          <w:sz w:val="21"/>
          <w:vertAlign w:val="baseline"/>
        </w:rPr>
        <w:t>or</w:t>
      </w:r>
      <w:r>
        <w:rPr>
          <w:spacing w:val="-3"/>
          <w:sz w:val="21"/>
          <w:vertAlign w:val="baseline"/>
        </w:rPr>
        <w:t> </w:t>
      </w:r>
      <w:r>
        <w:rPr>
          <w:sz w:val="21"/>
          <w:vertAlign w:val="baseline"/>
        </w:rPr>
        <w:t>pharmacist</w:t>
      </w:r>
      <w:r>
        <w:rPr>
          <w:spacing w:val="-3"/>
          <w:sz w:val="21"/>
          <w:vertAlign w:val="baseline"/>
        </w:rPr>
        <w:t> </w:t>
      </w:r>
      <w:r>
        <w:rPr>
          <w:sz w:val="21"/>
          <w:vertAlign w:val="baseline"/>
        </w:rPr>
        <w:t>claims</w:t>
      </w:r>
      <w:r>
        <w:rPr>
          <w:spacing w:val="-5"/>
          <w:sz w:val="21"/>
          <w:vertAlign w:val="baseline"/>
        </w:rPr>
        <w:t> </w:t>
      </w:r>
      <w:r>
        <w:rPr>
          <w:sz w:val="21"/>
          <w:vertAlign w:val="baseline"/>
        </w:rPr>
        <w:t>to</w:t>
      </w:r>
      <w:r>
        <w:rPr>
          <w:spacing w:val="-3"/>
          <w:sz w:val="21"/>
          <w:vertAlign w:val="baseline"/>
        </w:rPr>
        <w:t> </w:t>
      </w:r>
      <w:r>
        <w:rPr>
          <w:sz w:val="21"/>
          <w:vertAlign w:val="baseline"/>
        </w:rPr>
        <w:t>be</w:t>
      </w:r>
      <w:r>
        <w:rPr>
          <w:spacing w:val="-3"/>
          <w:sz w:val="21"/>
          <w:vertAlign w:val="baseline"/>
        </w:rPr>
        <w:t> </w:t>
      </w:r>
      <w:r>
        <w:rPr>
          <w:sz w:val="21"/>
          <w:vertAlign w:val="baseline"/>
        </w:rPr>
        <w:t>unaware</w:t>
      </w:r>
      <w:r>
        <w:rPr>
          <w:spacing w:val="-3"/>
          <w:sz w:val="21"/>
          <w:vertAlign w:val="baseline"/>
        </w:rPr>
        <w:t> </w:t>
      </w:r>
      <w:r>
        <w:rPr>
          <w:sz w:val="21"/>
          <w:vertAlign w:val="baseline"/>
        </w:rPr>
        <w:t>of</w:t>
      </w:r>
      <w:r>
        <w:rPr>
          <w:spacing w:val="-4"/>
          <w:sz w:val="21"/>
          <w:vertAlign w:val="baseline"/>
        </w:rPr>
        <w:t> </w:t>
      </w:r>
      <w:r>
        <w:rPr>
          <w:sz w:val="21"/>
          <w:vertAlign w:val="baseline"/>
        </w:rPr>
        <w:t>the</w:t>
      </w:r>
      <w:r>
        <w:rPr>
          <w:spacing w:val="-3"/>
          <w:sz w:val="21"/>
          <w:vertAlign w:val="baseline"/>
        </w:rPr>
        <w:t> </w:t>
      </w:r>
      <w:r>
        <w:rPr>
          <w:sz w:val="21"/>
          <w:vertAlign w:val="baseline"/>
        </w:rPr>
        <w:t>ACCESS</w:t>
      </w:r>
      <w:r>
        <w:rPr>
          <w:spacing w:val="-4"/>
          <w:sz w:val="21"/>
          <w:vertAlign w:val="baseline"/>
        </w:rPr>
        <w:t> </w:t>
      </w:r>
      <w:r>
        <w:rPr>
          <w:sz w:val="21"/>
          <w:vertAlign w:val="baseline"/>
        </w:rPr>
        <w:t>provisions,</w:t>
      </w:r>
      <w:r>
        <w:rPr>
          <w:spacing w:val="-3"/>
          <w:sz w:val="21"/>
          <w:vertAlign w:val="baseline"/>
        </w:rPr>
        <w:t> </w:t>
      </w:r>
      <w:r>
        <w:rPr>
          <w:sz w:val="21"/>
          <w:vertAlign w:val="baseline"/>
        </w:rPr>
        <w:t>there</w:t>
      </w:r>
      <w:r>
        <w:rPr>
          <w:spacing w:val="-3"/>
          <w:sz w:val="21"/>
          <w:vertAlign w:val="baseline"/>
        </w:rPr>
        <w:t> </w:t>
      </w:r>
      <w:r>
        <w:rPr>
          <w:sz w:val="21"/>
          <w:vertAlign w:val="baseline"/>
        </w:rPr>
        <w:t>is</w:t>
      </w:r>
      <w:r>
        <w:rPr>
          <w:spacing w:val="-4"/>
          <w:sz w:val="21"/>
          <w:vertAlign w:val="baseline"/>
        </w:rPr>
        <w:t> </w:t>
      </w:r>
      <w:r>
        <w:rPr>
          <w:sz w:val="21"/>
          <w:vertAlign w:val="baseline"/>
        </w:rPr>
        <w:t>a</w:t>
      </w:r>
      <w:r>
        <w:rPr>
          <w:spacing w:val="-3"/>
          <w:sz w:val="21"/>
          <w:vertAlign w:val="baseline"/>
        </w:rPr>
        <w:t> </w:t>
      </w:r>
      <w:r>
        <w:rPr>
          <w:sz w:val="21"/>
          <w:vertAlign w:val="baseline"/>
        </w:rPr>
        <w:t>script provided for patients to utilize when discussing their desire for birth control.</w:t>
      </w:r>
      <w:hyperlink w:history="true" w:anchor="_bookmark263">
        <w:r>
          <w:rPr>
            <w:sz w:val="21"/>
            <w:vertAlign w:val="superscript"/>
          </w:rPr>
          <w:t>71</w:t>
        </w:r>
      </w:hyperlink>
      <w:r>
        <w:rPr>
          <w:sz w:val="21"/>
          <w:vertAlign w:val="baseline"/>
        </w:rPr>
        <w:t> Providing advice and conversational starter tips on accessing a one-year supply of birth control are helpful at the individual level. Despite this, instead of the issue of access falling on the legislature or agencies, it becomes an individualized problem that shifts the responsibility to the patient rather than the state.</w:t>
      </w:r>
    </w:p>
    <w:p>
      <w:pPr>
        <w:spacing w:line="276" w:lineRule="auto" w:before="241"/>
        <w:ind w:left="463" w:right="4890" w:firstLine="0"/>
        <w:jc w:val="both"/>
        <w:rPr>
          <w:sz w:val="21"/>
        </w:rPr>
      </w:pPr>
      <w:r>
        <w:rPr/>
        <w:drawing>
          <wp:anchor distT="0" distB="0" distL="0" distR="0" allowOverlap="1" layoutInCell="1" locked="0" behindDoc="0" simplePos="0" relativeHeight="15780864">
            <wp:simplePos x="0" y="0"/>
            <wp:positionH relativeFrom="page">
              <wp:posOffset>4120515</wp:posOffset>
            </wp:positionH>
            <wp:positionV relativeFrom="paragraph">
              <wp:posOffset>162934</wp:posOffset>
            </wp:positionV>
            <wp:extent cx="2952846" cy="2258056"/>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320" cstate="print"/>
                    <a:stretch>
                      <a:fillRect/>
                    </a:stretch>
                  </pic:blipFill>
                  <pic:spPr>
                    <a:xfrm>
                      <a:off x="0" y="0"/>
                      <a:ext cx="2952846" cy="2258056"/>
                    </a:xfrm>
                    <a:prstGeom prst="rect">
                      <a:avLst/>
                    </a:prstGeom>
                  </pic:spPr>
                </pic:pic>
              </a:graphicData>
            </a:graphic>
          </wp:anchor>
        </w:drawing>
      </w:r>
      <w:r>
        <w:rPr>
          <w:sz w:val="21"/>
        </w:rPr>
        <w:t>At the national level, groups of reproductive justice and youth activists, advocacy groups, and healthcare professionals have formed the Free the Pill coalition to push for over-the-counter birth control pills. Over-the- counter birth control pills would be a major step in advancing reproductive rights and access. However, this process</w:t>
      </w:r>
      <w:r>
        <w:rPr>
          <w:spacing w:val="-2"/>
          <w:sz w:val="21"/>
        </w:rPr>
        <w:t> </w:t>
      </w:r>
      <w:r>
        <w:rPr>
          <w:sz w:val="21"/>
        </w:rPr>
        <w:t>requires</w:t>
      </w:r>
      <w:r>
        <w:rPr>
          <w:spacing w:val="-2"/>
          <w:sz w:val="21"/>
        </w:rPr>
        <w:t> </w:t>
      </w:r>
      <w:r>
        <w:rPr>
          <w:sz w:val="21"/>
        </w:rPr>
        <w:t>a</w:t>
      </w:r>
      <w:r>
        <w:rPr>
          <w:spacing w:val="-2"/>
          <w:sz w:val="21"/>
        </w:rPr>
        <w:t> </w:t>
      </w:r>
      <w:r>
        <w:rPr>
          <w:sz w:val="21"/>
        </w:rPr>
        <w:t>pharmaceutical</w:t>
      </w:r>
      <w:r>
        <w:rPr>
          <w:spacing w:val="-2"/>
          <w:sz w:val="21"/>
        </w:rPr>
        <w:t> </w:t>
      </w:r>
      <w:r>
        <w:rPr>
          <w:sz w:val="21"/>
        </w:rPr>
        <w:t>company</w:t>
      </w:r>
      <w:r>
        <w:rPr>
          <w:spacing w:val="-2"/>
          <w:sz w:val="21"/>
        </w:rPr>
        <w:t> </w:t>
      </w:r>
      <w:r>
        <w:rPr>
          <w:sz w:val="21"/>
        </w:rPr>
        <w:t>to</w:t>
      </w:r>
      <w:r>
        <w:rPr>
          <w:spacing w:val="-2"/>
          <w:sz w:val="21"/>
        </w:rPr>
        <w:t> </w:t>
      </w:r>
      <w:r>
        <w:rPr>
          <w:sz w:val="21"/>
        </w:rPr>
        <w:t>submit</w:t>
      </w:r>
      <w:r>
        <w:rPr>
          <w:spacing w:val="-2"/>
          <w:sz w:val="21"/>
        </w:rPr>
        <w:t> </w:t>
      </w:r>
      <w:r>
        <w:rPr>
          <w:sz w:val="21"/>
        </w:rPr>
        <w:t>an Rx-to-OTC</w:t>
      </w:r>
      <w:r>
        <w:rPr>
          <w:spacing w:val="-12"/>
          <w:sz w:val="21"/>
        </w:rPr>
        <w:t> </w:t>
      </w:r>
      <w:r>
        <w:rPr>
          <w:sz w:val="21"/>
        </w:rPr>
        <w:t>switch</w:t>
      </w:r>
      <w:r>
        <w:rPr>
          <w:spacing w:val="-12"/>
          <w:sz w:val="21"/>
        </w:rPr>
        <w:t> </w:t>
      </w:r>
      <w:r>
        <w:rPr>
          <w:sz w:val="21"/>
        </w:rPr>
        <w:t>application</w:t>
      </w:r>
      <w:r>
        <w:rPr>
          <w:spacing w:val="-11"/>
          <w:sz w:val="21"/>
        </w:rPr>
        <w:t> </w:t>
      </w:r>
      <w:r>
        <w:rPr>
          <w:sz w:val="21"/>
        </w:rPr>
        <w:t>to</w:t>
      </w:r>
      <w:r>
        <w:rPr>
          <w:spacing w:val="-12"/>
          <w:sz w:val="21"/>
        </w:rPr>
        <w:t> </w:t>
      </w:r>
      <w:r>
        <w:rPr>
          <w:sz w:val="21"/>
        </w:rPr>
        <w:t>the</w:t>
      </w:r>
      <w:r>
        <w:rPr>
          <w:spacing w:val="-11"/>
          <w:sz w:val="21"/>
        </w:rPr>
        <w:t> </w:t>
      </w:r>
      <w:r>
        <w:rPr>
          <w:sz w:val="21"/>
        </w:rPr>
        <w:t>FDA,</w:t>
      </w:r>
      <w:r>
        <w:rPr>
          <w:spacing w:val="-12"/>
          <w:sz w:val="21"/>
        </w:rPr>
        <w:t> </w:t>
      </w:r>
      <w:r>
        <w:rPr>
          <w:sz w:val="21"/>
        </w:rPr>
        <w:t>which</w:t>
      </w:r>
      <w:r>
        <w:rPr>
          <w:spacing w:val="-11"/>
          <w:sz w:val="21"/>
        </w:rPr>
        <w:t> </w:t>
      </w:r>
      <w:r>
        <w:rPr>
          <w:sz w:val="21"/>
        </w:rPr>
        <w:t>could</w:t>
      </w:r>
      <w:r>
        <w:rPr>
          <w:spacing w:val="-11"/>
          <w:sz w:val="21"/>
        </w:rPr>
        <w:t> </w:t>
      </w:r>
      <w:r>
        <w:rPr>
          <w:sz w:val="21"/>
        </w:rPr>
        <w:t>take time</w:t>
      </w:r>
      <w:r>
        <w:rPr>
          <w:spacing w:val="-11"/>
          <w:sz w:val="21"/>
        </w:rPr>
        <w:t> </w:t>
      </w:r>
      <w:r>
        <w:rPr>
          <w:sz w:val="21"/>
        </w:rPr>
        <w:t>to</w:t>
      </w:r>
      <w:r>
        <w:rPr>
          <w:spacing w:val="-12"/>
          <w:sz w:val="21"/>
        </w:rPr>
        <w:t> </w:t>
      </w:r>
      <w:r>
        <w:rPr>
          <w:sz w:val="21"/>
        </w:rPr>
        <w:t>process</w:t>
      </w:r>
      <w:r>
        <w:rPr>
          <w:spacing w:val="-12"/>
          <w:sz w:val="21"/>
        </w:rPr>
        <w:t> </w:t>
      </w:r>
      <w:r>
        <w:rPr>
          <w:sz w:val="21"/>
        </w:rPr>
        <w:t>and</w:t>
      </w:r>
      <w:r>
        <w:rPr>
          <w:spacing w:val="-11"/>
          <w:sz w:val="21"/>
        </w:rPr>
        <w:t> </w:t>
      </w:r>
      <w:r>
        <w:rPr>
          <w:sz w:val="21"/>
        </w:rPr>
        <w:t>pass.</w:t>
      </w:r>
      <w:r>
        <w:rPr>
          <w:spacing w:val="-11"/>
          <w:sz w:val="21"/>
        </w:rPr>
        <w:t> </w:t>
      </w:r>
      <w:r>
        <w:rPr>
          <w:sz w:val="21"/>
        </w:rPr>
        <w:t>OTC</w:t>
      </w:r>
      <w:r>
        <w:rPr>
          <w:spacing w:val="-12"/>
          <w:sz w:val="21"/>
        </w:rPr>
        <w:t> </w:t>
      </w:r>
      <w:r>
        <w:rPr>
          <w:sz w:val="21"/>
        </w:rPr>
        <w:t>birth</w:t>
      </w:r>
      <w:r>
        <w:rPr>
          <w:spacing w:val="-11"/>
          <w:sz w:val="21"/>
        </w:rPr>
        <w:t> </w:t>
      </w:r>
      <w:r>
        <w:rPr>
          <w:sz w:val="21"/>
        </w:rPr>
        <w:t>control</w:t>
      </w:r>
      <w:r>
        <w:rPr>
          <w:spacing w:val="-11"/>
          <w:sz w:val="21"/>
        </w:rPr>
        <w:t> </w:t>
      </w:r>
      <w:r>
        <w:rPr>
          <w:sz w:val="21"/>
        </w:rPr>
        <w:t>would</w:t>
      </w:r>
      <w:r>
        <w:rPr>
          <w:spacing w:val="-11"/>
          <w:sz w:val="21"/>
        </w:rPr>
        <w:t> </w:t>
      </w:r>
      <w:r>
        <w:rPr>
          <w:sz w:val="21"/>
        </w:rPr>
        <w:t>remove an</w:t>
      </w:r>
      <w:r>
        <w:rPr>
          <w:spacing w:val="-5"/>
          <w:sz w:val="21"/>
        </w:rPr>
        <w:t> </w:t>
      </w:r>
      <w:r>
        <w:rPr>
          <w:sz w:val="21"/>
        </w:rPr>
        <w:t>access</w:t>
      </w:r>
      <w:r>
        <w:rPr>
          <w:spacing w:val="-6"/>
          <w:sz w:val="21"/>
        </w:rPr>
        <w:t> </w:t>
      </w:r>
      <w:r>
        <w:rPr>
          <w:sz w:val="21"/>
        </w:rPr>
        <w:t>barrier</w:t>
      </w:r>
      <w:r>
        <w:rPr>
          <w:spacing w:val="-5"/>
          <w:sz w:val="21"/>
        </w:rPr>
        <w:t> </w:t>
      </w:r>
      <w:r>
        <w:rPr>
          <w:sz w:val="21"/>
        </w:rPr>
        <w:t>for</w:t>
      </w:r>
      <w:r>
        <w:rPr>
          <w:spacing w:val="-5"/>
          <w:sz w:val="21"/>
        </w:rPr>
        <w:t> </w:t>
      </w:r>
      <w:r>
        <w:rPr>
          <w:sz w:val="21"/>
        </w:rPr>
        <w:t>people</w:t>
      </w:r>
      <w:r>
        <w:rPr>
          <w:spacing w:val="-5"/>
          <w:sz w:val="21"/>
        </w:rPr>
        <w:t> </w:t>
      </w:r>
      <w:r>
        <w:rPr>
          <w:sz w:val="21"/>
        </w:rPr>
        <w:t>assigned</w:t>
      </w:r>
      <w:r>
        <w:rPr>
          <w:spacing w:val="-5"/>
          <w:sz w:val="21"/>
        </w:rPr>
        <w:t> </w:t>
      </w:r>
      <w:r>
        <w:rPr>
          <w:sz w:val="21"/>
        </w:rPr>
        <w:t>female</w:t>
      </w:r>
      <w:r>
        <w:rPr>
          <w:spacing w:val="-5"/>
          <w:sz w:val="21"/>
        </w:rPr>
        <w:t> </w:t>
      </w:r>
      <w:r>
        <w:rPr>
          <w:sz w:val="21"/>
        </w:rPr>
        <w:t>at</w:t>
      </w:r>
      <w:r>
        <w:rPr>
          <w:spacing w:val="-5"/>
          <w:sz w:val="21"/>
        </w:rPr>
        <w:t> </w:t>
      </w:r>
      <w:r>
        <w:rPr>
          <w:sz w:val="21"/>
        </w:rPr>
        <w:t>birth.</w:t>
      </w:r>
      <w:r>
        <w:rPr>
          <w:spacing w:val="-7"/>
          <w:sz w:val="21"/>
        </w:rPr>
        <w:t> </w:t>
      </w:r>
      <w:r>
        <w:rPr>
          <w:sz w:val="21"/>
        </w:rPr>
        <w:t>This would make it so they would not need to acquire a prescription, thus making it easier for LGBTQ youth who need</w:t>
      </w:r>
      <w:r>
        <w:rPr>
          <w:spacing w:val="21"/>
          <w:sz w:val="21"/>
        </w:rPr>
        <w:t> </w:t>
      </w:r>
      <w:r>
        <w:rPr>
          <w:sz w:val="21"/>
        </w:rPr>
        <w:t>to</w:t>
      </w:r>
      <w:r>
        <w:rPr>
          <w:spacing w:val="21"/>
          <w:sz w:val="21"/>
        </w:rPr>
        <w:t> </w:t>
      </w:r>
      <w:r>
        <w:rPr>
          <w:sz w:val="21"/>
        </w:rPr>
        <w:t>quickly</w:t>
      </w:r>
      <w:r>
        <w:rPr>
          <w:spacing w:val="23"/>
          <w:sz w:val="21"/>
        </w:rPr>
        <w:t> </w:t>
      </w:r>
      <w:r>
        <w:rPr>
          <w:sz w:val="21"/>
        </w:rPr>
        <w:t>get</w:t>
      </w:r>
      <w:r>
        <w:rPr>
          <w:spacing w:val="23"/>
          <w:sz w:val="21"/>
        </w:rPr>
        <w:t> </w:t>
      </w:r>
      <w:r>
        <w:rPr>
          <w:sz w:val="21"/>
        </w:rPr>
        <w:t>birth</w:t>
      </w:r>
      <w:r>
        <w:rPr>
          <w:spacing w:val="23"/>
          <w:sz w:val="21"/>
        </w:rPr>
        <w:t> </w:t>
      </w:r>
      <w:r>
        <w:rPr>
          <w:sz w:val="21"/>
        </w:rPr>
        <w:t>control</w:t>
      </w:r>
      <w:r>
        <w:rPr>
          <w:spacing w:val="23"/>
          <w:sz w:val="21"/>
        </w:rPr>
        <w:t> </w:t>
      </w:r>
      <w:r>
        <w:rPr>
          <w:sz w:val="21"/>
        </w:rPr>
        <w:t>and</w:t>
      </w:r>
      <w:r>
        <w:rPr>
          <w:spacing w:val="22"/>
          <w:sz w:val="21"/>
        </w:rPr>
        <w:t> </w:t>
      </w:r>
      <w:r>
        <w:rPr>
          <w:sz w:val="21"/>
        </w:rPr>
        <w:t>would</w:t>
      </w:r>
      <w:r>
        <w:rPr>
          <w:spacing w:val="23"/>
          <w:sz w:val="21"/>
        </w:rPr>
        <w:t> </w:t>
      </w:r>
      <w:r>
        <w:rPr>
          <w:sz w:val="21"/>
        </w:rPr>
        <w:t>not</w:t>
      </w:r>
      <w:r>
        <w:rPr>
          <w:spacing w:val="23"/>
          <w:sz w:val="21"/>
        </w:rPr>
        <w:t> </w:t>
      </w:r>
      <w:r>
        <w:rPr>
          <w:sz w:val="21"/>
        </w:rPr>
        <w:t>need</w:t>
      </w:r>
      <w:r>
        <w:rPr>
          <w:spacing w:val="23"/>
          <w:sz w:val="21"/>
        </w:rPr>
        <w:t> </w:t>
      </w:r>
      <w:r>
        <w:rPr>
          <w:spacing w:val="-10"/>
          <w:sz w:val="21"/>
        </w:rPr>
        <w:t>a</w:t>
      </w:r>
    </w:p>
    <w:p>
      <w:pPr>
        <w:spacing w:line="276" w:lineRule="auto" w:before="0"/>
        <w:ind w:left="463" w:right="238" w:firstLine="0"/>
        <w:jc w:val="both"/>
        <w:rPr>
          <w:sz w:val="21"/>
        </w:rPr>
      </w:pPr>
      <w:r>
        <w:rPr>
          <w:sz w:val="21"/>
        </w:rPr>
        <w:t>prescription from a clinician or primary care doctor. Aside from shielding LGBTQ youth from the possibility of experiencing trauma, discrimination, and mistreatment from primary care doctors, it can already be difficult to schedule an appointment with a</w:t>
      </w:r>
      <w:r>
        <w:rPr>
          <w:spacing w:val="-1"/>
          <w:sz w:val="21"/>
        </w:rPr>
        <w:t> </w:t>
      </w:r>
      <w:r>
        <w:rPr>
          <w:sz w:val="21"/>
        </w:rPr>
        <w:t>healthcare provider for a</w:t>
      </w:r>
      <w:r>
        <w:rPr>
          <w:spacing w:val="-1"/>
          <w:sz w:val="21"/>
        </w:rPr>
        <w:t> </w:t>
      </w:r>
      <w:r>
        <w:rPr>
          <w:sz w:val="21"/>
        </w:rPr>
        <w:t>birth</w:t>
      </w:r>
      <w:r>
        <w:rPr>
          <w:spacing w:val="-1"/>
          <w:sz w:val="21"/>
        </w:rPr>
        <w:t> </w:t>
      </w:r>
      <w:r>
        <w:rPr>
          <w:sz w:val="21"/>
        </w:rPr>
        <w:t>control prescription since appointments</w:t>
      </w:r>
      <w:r>
        <w:rPr>
          <w:spacing w:val="-1"/>
          <w:sz w:val="21"/>
        </w:rPr>
        <w:t> </w:t>
      </w:r>
      <w:r>
        <w:rPr>
          <w:sz w:val="21"/>
        </w:rPr>
        <w:t>tend</w:t>
      </w:r>
      <w:r>
        <w:rPr>
          <w:spacing w:val="-2"/>
          <w:sz w:val="21"/>
        </w:rPr>
        <w:t> </w:t>
      </w:r>
      <w:r>
        <w:rPr>
          <w:sz w:val="21"/>
        </w:rPr>
        <w:t>to get scheduled 2-3 months out. Since there does not seem to be any legislative push for over-the-counter birth control</w:t>
      </w:r>
      <w:r>
        <w:rPr>
          <w:spacing w:val="-10"/>
          <w:sz w:val="21"/>
        </w:rPr>
        <w:t> </w:t>
      </w:r>
      <w:r>
        <w:rPr>
          <w:sz w:val="21"/>
        </w:rPr>
        <w:t>at</w:t>
      </w:r>
      <w:r>
        <w:rPr>
          <w:spacing w:val="-10"/>
          <w:sz w:val="21"/>
        </w:rPr>
        <w:t> </w:t>
      </w:r>
      <w:r>
        <w:rPr>
          <w:sz w:val="21"/>
        </w:rPr>
        <w:t>the</w:t>
      </w:r>
      <w:r>
        <w:rPr>
          <w:spacing w:val="-12"/>
          <w:sz w:val="21"/>
        </w:rPr>
        <w:t> </w:t>
      </w:r>
      <w:r>
        <w:rPr>
          <w:sz w:val="21"/>
        </w:rPr>
        <w:t>state</w:t>
      </w:r>
      <w:r>
        <w:rPr>
          <w:spacing w:val="-10"/>
          <w:sz w:val="21"/>
        </w:rPr>
        <w:t> </w:t>
      </w:r>
      <w:r>
        <w:rPr>
          <w:sz w:val="21"/>
        </w:rPr>
        <w:t>level,</w:t>
      </w:r>
      <w:r>
        <w:rPr>
          <w:spacing w:val="-10"/>
          <w:sz w:val="21"/>
        </w:rPr>
        <w:t> </w:t>
      </w:r>
      <w:r>
        <w:rPr>
          <w:sz w:val="21"/>
        </w:rPr>
        <w:t>in</w:t>
      </w:r>
      <w:r>
        <w:rPr>
          <w:spacing w:val="-10"/>
          <w:sz w:val="21"/>
        </w:rPr>
        <w:t> </w:t>
      </w:r>
      <w:r>
        <w:rPr>
          <w:sz w:val="21"/>
        </w:rPr>
        <w:t>the</w:t>
      </w:r>
      <w:r>
        <w:rPr>
          <w:spacing w:val="-10"/>
          <w:sz w:val="21"/>
        </w:rPr>
        <w:t> </w:t>
      </w:r>
      <w:r>
        <w:rPr>
          <w:sz w:val="21"/>
        </w:rPr>
        <w:t>meantime,</w:t>
      </w:r>
      <w:r>
        <w:rPr>
          <w:spacing w:val="-12"/>
          <w:sz w:val="21"/>
        </w:rPr>
        <w:t> </w:t>
      </w:r>
      <w:r>
        <w:rPr>
          <w:sz w:val="21"/>
        </w:rPr>
        <w:t>it’s</w:t>
      </w:r>
      <w:r>
        <w:rPr>
          <w:spacing w:val="-11"/>
          <w:sz w:val="21"/>
        </w:rPr>
        <w:t> </w:t>
      </w:r>
      <w:r>
        <w:rPr>
          <w:sz w:val="21"/>
        </w:rPr>
        <w:t>recommended</w:t>
      </w:r>
      <w:r>
        <w:rPr>
          <w:spacing w:val="-10"/>
          <w:sz w:val="21"/>
        </w:rPr>
        <w:t> </w:t>
      </w:r>
      <w:r>
        <w:rPr>
          <w:sz w:val="21"/>
        </w:rPr>
        <w:t>that</w:t>
      </w:r>
      <w:r>
        <w:rPr>
          <w:spacing w:val="-11"/>
          <w:sz w:val="21"/>
        </w:rPr>
        <w:t> </w:t>
      </w:r>
      <w:r>
        <w:rPr>
          <w:sz w:val="21"/>
        </w:rPr>
        <w:t>the</w:t>
      </w:r>
      <w:r>
        <w:rPr>
          <w:spacing w:val="-10"/>
          <w:sz w:val="21"/>
        </w:rPr>
        <w:t> </w:t>
      </w:r>
      <w:r>
        <w:rPr>
          <w:sz w:val="21"/>
        </w:rPr>
        <w:t>Commonwealth</w:t>
      </w:r>
      <w:r>
        <w:rPr>
          <w:spacing w:val="-10"/>
          <w:sz w:val="21"/>
        </w:rPr>
        <w:t> </w:t>
      </w:r>
      <w:r>
        <w:rPr>
          <w:sz w:val="21"/>
        </w:rPr>
        <w:t>invests</w:t>
      </w:r>
      <w:r>
        <w:rPr>
          <w:spacing w:val="-11"/>
          <w:sz w:val="21"/>
        </w:rPr>
        <w:t> </w:t>
      </w:r>
      <w:r>
        <w:rPr>
          <w:sz w:val="21"/>
        </w:rPr>
        <w:t>in</w:t>
      </w:r>
      <w:r>
        <w:rPr>
          <w:spacing w:val="-10"/>
          <w:sz w:val="21"/>
        </w:rPr>
        <w:t> </w:t>
      </w:r>
      <w:r>
        <w:rPr>
          <w:sz w:val="21"/>
        </w:rPr>
        <w:t>robust</w:t>
      </w:r>
      <w:r>
        <w:rPr>
          <w:spacing w:val="-10"/>
          <w:sz w:val="21"/>
        </w:rPr>
        <w:t> </w:t>
      </w:r>
      <w:r>
        <w:rPr>
          <w:sz w:val="21"/>
        </w:rPr>
        <w:t>planning, implementation,</w:t>
      </w:r>
      <w:r>
        <w:rPr>
          <w:spacing w:val="-12"/>
          <w:sz w:val="21"/>
        </w:rPr>
        <w:t> </w:t>
      </w:r>
      <w:r>
        <w:rPr>
          <w:sz w:val="21"/>
        </w:rPr>
        <w:t>and</w:t>
      </w:r>
      <w:r>
        <w:rPr>
          <w:spacing w:val="-12"/>
          <w:sz w:val="21"/>
        </w:rPr>
        <w:t> </w:t>
      </w:r>
      <w:r>
        <w:rPr>
          <w:sz w:val="21"/>
        </w:rPr>
        <w:t>campaigning</w:t>
      </w:r>
      <w:r>
        <w:rPr>
          <w:spacing w:val="-12"/>
          <w:sz w:val="21"/>
        </w:rPr>
        <w:t> </w:t>
      </w:r>
      <w:r>
        <w:rPr>
          <w:sz w:val="21"/>
        </w:rPr>
        <w:t>when</w:t>
      </w:r>
      <w:r>
        <w:rPr>
          <w:spacing w:val="-12"/>
          <w:sz w:val="21"/>
        </w:rPr>
        <w:t> </w:t>
      </w:r>
      <w:r>
        <w:rPr>
          <w:sz w:val="21"/>
        </w:rPr>
        <w:t>rolling</w:t>
      </w:r>
      <w:r>
        <w:rPr>
          <w:spacing w:val="-12"/>
          <w:sz w:val="21"/>
        </w:rPr>
        <w:t> </w:t>
      </w:r>
      <w:r>
        <w:rPr>
          <w:sz w:val="21"/>
        </w:rPr>
        <w:t>out</w:t>
      </w:r>
      <w:r>
        <w:rPr>
          <w:spacing w:val="-12"/>
          <w:sz w:val="21"/>
        </w:rPr>
        <w:t> </w:t>
      </w:r>
      <w:r>
        <w:rPr>
          <w:sz w:val="21"/>
        </w:rPr>
        <w:t>reproductive</w:t>
      </w:r>
      <w:r>
        <w:rPr>
          <w:spacing w:val="-12"/>
          <w:sz w:val="21"/>
        </w:rPr>
        <w:t> </w:t>
      </w:r>
      <w:r>
        <w:rPr>
          <w:sz w:val="21"/>
        </w:rPr>
        <w:t>health</w:t>
      </w:r>
      <w:r>
        <w:rPr>
          <w:spacing w:val="-11"/>
          <w:sz w:val="21"/>
        </w:rPr>
        <w:t> </w:t>
      </w:r>
      <w:r>
        <w:rPr>
          <w:sz w:val="21"/>
        </w:rPr>
        <w:t>policies.</w:t>
      </w:r>
      <w:r>
        <w:rPr>
          <w:spacing w:val="-12"/>
          <w:sz w:val="21"/>
        </w:rPr>
        <w:t> </w:t>
      </w:r>
      <w:r>
        <w:rPr>
          <w:sz w:val="21"/>
        </w:rPr>
        <w:t>The</w:t>
      </w:r>
      <w:r>
        <w:rPr>
          <w:spacing w:val="-12"/>
          <w:sz w:val="21"/>
        </w:rPr>
        <w:t> </w:t>
      </w:r>
      <w:r>
        <w:rPr>
          <w:sz w:val="21"/>
        </w:rPr>
        <w:t>state</w:t>
      </w:r>
      <w:r>
        <w:rPr>
          <w:spacing w:val="-12"/>
          <w:sz w:val="21"/>
        </w:rPr>
        <w:t> </w:t>
      </w:r>
      <w:r>
        <w:rPr>
          <w:sz w:val="21"/>
        </w:rPr>
        <w:t>health</w:t>
      </w:r>
      <w:r>
        <w:rPr>
          <w:spacing w:val="-12"/>
          <w:sz w:val="21"/>
        </w:rPr>
        <w:t> </w:t>
      </w:r>
      <w:r>
        <w:rPr>
          <w:sz w:val="21"/>
        </w:rPr>
        <w:t>agencies</w:t>
      </w:r>
      <w:r>
        <w:rPr>
          <w:spacing w:val="-12"/>
          <w:sz w:val="21"/>
        </w:rPr>
        <w:t> </w:t>
      </w:r>
      <w:r>
        <w:rPr>
          <w:sz w:val="21"/>
        </w:rPr>
        <w:t>should invest</w:t>
      </w:r>
      <w:r>
        <w:rPr>
          <w:spacing w:val="-11"/>
          <w:sz w:val="21"/>
        </w:rPr>
        <w:t> </w:t>
      </w:r>
      <w:r>
        <w:rPr>
          <w:sz w:val="21"/>
        </w:rPr>
        <w:t>in</w:t>
      </w:r>
      <w:r>
        <w:rPr>
          <w:spacing w:val="-11"/>
          <w:sz w:val="21"/>
        </w:rPr>
        <w:t> </w:t>
      </w:r>
      <w:r>
        <w:rPr>
          <w:sz w:val="21"/>
        </w:rPr>
        <w:t>and</w:t>
      </w:r>
      <w:r>
        <w:rPr>
          <w:spacing w:val="-12"/>
          <w:sz w:val="21"/>
        </w:rPr>
        <w:t> </w:t>
      </w:r>
      <w:r>
        <w:rPr>
          <w:sz w:val="21"/>
        </w:rPr>
        <w:t>implement</w:t>
      </w:r>
      <w:r>
        <w:rPr>
          <w:spacing w:val="-12"/>
          <w:sz w:val="21"/>
        </w:rPr>
        <w:t> </w:t>
      </w:r>
      <w:r>
        <w:rPr>
          <w:sz w:val="21"/>
        </w:rPr>
        <w:t>training</w:t>
      </w:r>
      <w:r>
        <w:rPr>
          <w:spacing w:val="-11"/>
          <w:sz w:val="21"/>
        </w:rPr>
        <w:t> </w:t>
      </w:r>
      <w:r>
        <w:rPr>
          <w:sz w:val="21"/>
        </w:rPr>
        <w:t>for</w:t>
      </w:r>
      <w:r>
        <w:rPr>
          <w:spacing w:val="-11"/>
          <w:sz w:val="21"/>
        </w:rPr>
        <w:t> </w:t>
      </w:r>
      <w:r>
        <w:rPr>
          <w:sz w:val="21"/>
        </w:rPr>
        <w:t>healthcare</w:t>
      </w:r>
      <w:r>
        <w:rPr>
          <w:spacing w:val="-11"/>
          <w:sz w:val="21"/>
        </w:rPr>
        <w:t> </w:t>
      </w:r>
      <w:r>
        <w:rPr>
          <w:sz w:val="21"/>
        </w:rPr>
        <w:t>providers,</w:t>
      </w:r>
      <w:r>
        <w:rPr>
          <w:spacing w:val="-11"/>
          <w:sz w:val="21"/>
        </w:rPr>
        <w:t> </w:t>
      </w:r>
      <w:r>
        <w:rPr>
          <w:sz w:val="21"/>
        </w:rPr>
        <w:t>pharmacists,</w:t>
      </w:r>
      <w:r>
        <w:rPr>
          <w:spacing w:val="-11"/>
          <w:sz w:val="21"/>
        </w:rPr>
        <w:t> </w:t>
      </w:r>
      <w:r>
        <w:rPr>
          <w:sz w:val="21"/>
        </w:rPr>
        <w:t>and</w:t>
      </w:r>
      <w:r>
        <w:rPr>
          <w:spacing w:val="-11"/>
          <w:sz w:val="21"/>
        </w:rPr>
        <w:t> </w:t>
      </w:r>
      <w:r>
        <w:rPr>
          <w:sz w:val="21"/>
        </w:rPr>
        <w:t>insurers</w:t>
      </w:r>
      <w:r>
        <w:rPr>
          <w:spacing w:val="-12"/>
          <w:sz w:val="21"/>
        </w:rPr>
        <w:t> </w:t>
      </w:r>
      <w:r>
        <w:rPr>
          <w:sz w:val="21"/>
        </w:rPr>
        <w:t>on</w:t>
      </w:r>
      <w:r>
        <w:rPr>
          <w:spacing w:val="-11"/>
          <w:sz w:val="21"/>
        </w:rPr>
        <w:t> </w:t>
      </w:r>
      <w:r>
        <w:rPr>
          <w:sz w:val="21"/>
        </w:rPr>
        <w:t>the</w:t>
      </w:r>
      <w:r>
        <w:rPr>
          <w:spacing w:val="-12"/>
          <w:sz w:val="21"/>
        </w:rPr>
        <w:t> </w:t>
      </w:r>
      <w:r>
        <w:rPr>
          <w:sz w:val="21"/>
        </w:rPr>
        <w:t>ACCESS</w:t>
      </w:r>
      <w:r>
        <w:rPr>
          <w:spacing w:val="-12"/>
          <w:sz w:val="21"/>
        </w:rPr>
        <w:t> </w:t>
      </w:r>
      <w:r>
        <w:rPr>
          <w:sz w:val="21"/>
        </w:rPr>
        <w:t>law</w:t>
      </w:r>
      <w:r>
        <w:rPr>
          <w:spacing w:val="-10"/>
          <w:sz w:val="21"/>
        </w:rPr>
        <w:t> </w:t>
      </w:r>
      <w:r>
        <w:rPr>
          <w:sz w:val="21"/>
        </w:rPr>
        <w:t>and</w:t>
      </w:r>
      <w:r>
        <w:rPr>
          <w:spacing w:val="-12"/>
          <w:sz w:val="21"/>
        </w:rPr>
        <w:t> </w:t>
      </w:r>
      <w:r>
        <w:rPr>
          <w:sz w:val="21"/>
        </w:rPr>
        <w:t>other wide ranges of reproductive health-related provisions. The Commonwealth should also invest in creating more effective campaigning and implementing an education component to the ACCESS law.</w:t>
      </w:r>
    </w:p>
    <w:p>
      <w:pPr>
        <w:spacing w:after="0" w:line="276" w:lineRule="auto"/>
        <w:jc w:val="both"/>
        <w:rPr>
          <w:sz w:val="21"/>
        </w:rPr>
        <w:sectPr>
          <w:pgSz w:w="12240" w:h="15840"/>
          <w:pgMar w:header="800" w:footer="1530" w:top="1080" w:bottom="1760" w:left="980" w:right="1000"/>
        </w:sectPr>
      </w:pPr>
    </w:p>
    <w:p>
      <w:pPr>
        <w:spacing w:line="276" w:lineRule="auto" w:before="69"/>
        <w:ind w:left="463" w:right="242" w:firstLine="0"/>
        <w:jc w:val="both"/>
        <w:rPr>
          <w:sz w:val="21"/>
        </w:rPr>
      </w:pPr>
      <w:r>
        <w:rPr>
          <w:sz w:val="21"/>
        </w:rPr>
        <w:t>In</w:t>
      </w:r>
      <w:r>
        <w:rPr>
          <w:spacing w:val="-12"/>
          <w:sz w:val="21"/>
        </w:rPr>
        <w:t> </w:t>
      </w:r>
      <w:r>
        <w:rPr>
          <w:sz w:val="21"/>
        </w:rPr>
        <w:t>Massachusetts,</w:t>
      </w:r>
      <w:r>
        <w:rPr>
          <w:spacing w:val="-12"/>
          <w:sz w:val="21"/>
        </w:rPr>
        <w:t> </w:t>
      </w:r>
      <w:r>
        <w:rPr>
          <w:sz w:val="21"/>
        </w:rPr>
        <w:t>youth</w:t>
      </w:r>
      <w:r>
        <w:rPr>
          <w:spacing w:val="-12"/>
          <w:sz w:val="21"/>
        </w:rPr>
        <w:t> </w:t>
      </w:r>
      <w:r>
        <w:rPr>
          <w:sz w:val="21"/>
        </w:rPr>
        <w:t>under</w:t>
      </w:r>
      <w:r>
        <w:rPr>
          <w:spacing w:val="-12"/>
          <w:sz w:val="21"/>
        </w:rPr>
        <w:t> </w:t>
      </w:r>
      <w:r>
        <w:rPr>
          <w:sz w:val="21"/>
        </w:rPr>
        <w:t>the</w:t>
      </w:r>
      <w:r>
        <w:rPr>
          <w:spacing w:val="-12"/>
          <w:sz w:val="21"/>
        </w:rPr>
        <w:t> </w:t>
      </w:r>
      <w:r>
        <w:rPr>
          <w:sz w:val="21"/>
        </w:rPr>
        <w:t>age</w:t>
      </w:r>
      <w:r>
        <w:rPr>
          <w:spacing w:val="-12"/>
          <w:sz w:val="21"/>
        </w:rPr>
        <w:t> </w:t>
      </w:r>
      <w:r>
        <w:rPr>
          <w:sz w:val="21"/>
        </w:rPr>
        <w:t>of</w:t>
      </w:r>
      <w:r>
        <w:rPr>
          <w:spacing w:val="-12"/>
          <w:sz w:val="21"/>
        </w:rPr>
        <w:t> </w:t>
      </w:r>
      <w:r>
        <w:rPr>
          <w:sz w:val="21"/>
        </w:rPr>
        <w:t>18</w:t>
      </w:r>
      <w:r>
        <w:rPr>
          <w:spacing w:val="-11"/>
          <w:sz w:val="21"/>
        </w:rPr>
        <w:t> </w:t>
      </w:r>
      <w:r>
        <w:rPr>
          <w:sz w:val="21"/>
        </w:rPr>
        <w:t>can</w:t>
      </w:r>
      <w:r>
        <w:rPr>
          <w:spacing w:val="-12"/>
          <w:sz w:val="21"/>
        </w:rPr>
        <w:t> </w:t>
      </w:r>
      <w:r>
        <w:rPr>
          <w:sz w:val="21"/>
        </w:rPr>
        <w:t>get</w:t>
      </w:r>
      <w:r>
        <w:rPr>
          <w:spacing w:val="-12"/>
          <w:sz w:val="21"/>
        </w:rPr>
        <w:t> </w:t>
      </w:r>
      <w:r>
        <w:rPr>
          <w:sz w:val="21"/>
        </w:rPr>
        <w:t>a</w:t>
      </w:r>
      <w:r>
        <w:rPr>
          <w:spacing w:val="-12"/>
          <w:sz w:val="21"/>
        </w:rPr>
        <w:t> </w:t>
      </w:r>
      <w:r>
        <w:rPr>
          <w:sz w:val="21"/>
        </w:rPr>
        <w:t>prescription</w:t>
      </w:r>
      <w:r>
        <w:rPr>
          <w:spacing w:val="-12"/>
          <w:sz w:val="21"/>
        </w:rPr>
        <w:t> </w:t>
      </w:r>
      <w:r>
        <w:rPr>
          <w:sz w:val="21"/>
        </w:rPr>
        <w:t>for</w:t>
      </w:r>
      <w:r>
        <w:rPr>
          <w:spacing w:val="-12"/>
          <w:sz w:val="21"/>
        </w:rPr>
        <w:t> </w:t>
      </w:r>
      <w:r>
        <w:rPr>
          <w:sz w:val="21"/>
        </w:rPr>
        <w:t>birth</w:t>
      </w:r>
      <w:r>
        <w:rPr>
          <w:spacing w:val="-12"/>
          <w:sz w:val="21"/>
        </w:rPr>
        <w:t> </w:t>
      </w:r>
      <w:r>
        <w:rPr>
          <w:sz w:val="21"/>
        </w:rPr>
        <w:t>control</w:t>
      </w:r>
      <w:r>
        <w:rPr>
          <w:spacing w:val="-12"/>
          <w:sz w:val="21"/>
        </w:rPr>
        <w:t> </w:t>
      </w:r>
      <w:r>
        <w:rPr>
          <w:sz w:val="21"/>
        </w:rPr>
        <w:t>without</w:t>
      </w:r>
      <w:r>
        <w:rPr>
          <w:spacing w:val="-11"/>
          <w:sz w:val="21"/>
        </w:rPr>
        <w:t> </w:t>
      </w:r>
      <w:r>
        <w:rPr>
          <w:sz w:val="21"/>
        </w:rPr>
        <w:t>parental</w:t>
      </w:r>
      <w:r>
        <w:rPr>
          <w:spacing w:val="-12"/>
          <w:sz w:val="21"/>
        </w:rPr>
        <w:t> </w:t>
      </w:r>
      <w:r>
        <w:rPr>
          <w:sz w:val="21"/>
        </w:rPr>
        <w:t>or</w:t>
      </w:r>
      <w:r>
        <w:rPr>
          <w:spacing w:val="-12"/>
          <w:sz w:val="21"/>
        </w:rPr>
        <w:t> </w:t>
      </w:r>
      <w:r>
        <w:rPr>
          <w:sz w:val="21"/>
        </w:rPr>
        <w:t>guardian’s permission, though they do need parental consent for abortion procedures. Essentially, anyone of any age can get prescription</w:t>
      </w:r>
      <w:r>
        <w:rPr>
          <w:spacing w:val="-1"/>
          <w:sz w:val="21"/>
        </w:rPr>
        <w:t> </w:t>
      </w:r>
      <w:r>
        <w:rPr>
          <w:sz w:val="21"/>
        </w:rPr>
        <w:t>birth</w:t>
      </w:r>
      <w:r>
        <w:rPr>
          <w:spacing w:val="-1"/>
          <w:sz w:val="21"/>
        </w:rPr>
        <w:t> </w:t>
      </w:r>
      <w:r>
        <w:rPr>
          <w:sz w:val="21"/>
        </w:rPr>
        <w:t>control.</w:t>
      </w:r>
      <w:r>
        <w:rPr>
          <w:spacing w:val="-1"/>
          <w:sz w:val="21"/>
        </w:rPr>
        <w:t> </w:t>
      </w:r>
      <w:r>
        <w:rPr>
          <w:sz w:val="21"/>
        </w:rPr>
        <w:t>The</w:t>
      </w:r>
      <w:r>
        <w:rPr>
          <w:spacing w:val="-1"/>
          <w:sz w:val="21"/>
        </w:rPr>
        <w:t> </w:t>
      </w:r>
      <w:r>
        <w:rPr>
          <w:sz w:val="21"/>
        </w:rPr>
        <w:t>Massachusetts</w:t>
      </w:r>
      <w:r>
        <w:rPr>
          <w:spacing w:val="-1"/>
          <w:sz w:val="21"/>
        </w:rPr>
        <w:t> </w:t>
      </w:r>
      <w:r>
        <w:rPr>
          <w:sz w:val="21"/>
        </w:rPr>
        <w:t>Department of</w:t>
      </w:r>
      <w:r>
        <w:rPr>
          <w:spacing w:val="-1"/>
          <w:sz w:val="21"/>
        </w:rPr>
        <w:t> </w:t>
      </w:r>
      <w:r>
        <w:rPr>
          <w:sz w:val="21"/>
        </w:rPr>
        <w:t>Public</w:t>
      </w:r>
      <w:r>
        <w:rPr>
          <w:spacing w:val="-1"/>
          <w:sz w:val="21"/>
        </w:rPr>
        <w:t> </w:t>
      </w:r>
      <w:r>
        <w:rPr>
          <w:sz w:val="21"/>
        </w:rPr>
        <w:t>Health</w:t>
      </w:r>
      <w:r>
        <w:rPr>
          <w:spacing w:val="-1"/>
          <w:sz w:val="21"/>
        </w:rPr>
        <w:t> </w:t>
      </w:r>
      <w:r>
        <w:rPr>
          <w:sz w:val="21"/>
        </w:rPr>
        <w:t>funds</w:t>
      </w:r>
      <w:r>
        <w:rPr>
          <w:spacing w:val="-1"/>
          <w:sz w:val="21"/>
        </w:rPr>
        <w:t> </w:t>
      </w:r>
      <w:r>
        <w:rPr>
          <w:sz w:val="21"/>
        </w:rPr>
        <w:t>state-wide</w:t>
      </w:r>
      <w:r>
        <w:rPr>
          <w:spacing w:val="-2"/>
          <w:sz w:val="21"/>
        </w:rPr>
        <w:t> </w:t>
      </w:r>
      <w:r>
        <w:rPr>
          <w:sz w:val="21"/>
        </w:rPr>
        <w:t>family</w:t>
      </w:r>
      <w:r>
        <w:rPr>
          <w:spacing w:val="-1"/>
          <w:sz w:val="21"/>
        </w:rPr>
        <w:t> </w:t>
      </w:r>
      <w:r>
        <w:rPr>
          <w:sz w:val="21"/>
        </w:rPr>
        <w:t>planning programs that provide low or no-cost reproductive and sexual health healthcare and information that adolescents can access</w:t>
      </w:r>
      <w:hyperlink w:history="true" w:anchor="_bookmark264">
        <w:r>
          <w:rPr>
            <w:sz w:val="21"/>
          </w:rPr>
          <w:t>.</w:t>
        </w:r>
        <w:r>
          <w:rPr>
            <w:sz w:val="21"/>
            <w:vertAlign w:val="superscript"/>
          </w:rPr>
          <w:t>72</w:t>
        </w:r>
      </w:hyperlink>
    </w:p>
    <w:p>
      <w:pPr>
        <w:spacing w:before="238"/>
        <w:ind w:left="463" w:right="0" w:firstLine="0"/>
        <w:jc w:val="both"/>
        <w:rPr>
          <w:sz w:val="28"/>
        </w:rPr>
      </w:pPr>
      <w:bookmarkStart w:name="Access to Menstrual Products" w:id="382"/>
      <w:bookmarkEnd w:id="382"/>
      <w:r>
        <w:rPr/>
      </w:r>
      <w:r>
        <w:rPr>
          <w:color w:val="365F91"/>
          <w:sz w:val="28"/>
        </w:rPr>
        <w:t>Access</w:t>
      </w:r>
      <w:r>
        <w:rPr>
          <w:color w:val="365F91"/>
          <w:spacing w:val="-10"/>
          <w:sz w:val="28"/>
        </w:rPr>
        <w:t> </w:t>
      </w:r>
      <w:r>
        <w:rPr>
          <w:color w:val="365F91"/>
          <w:sz w:val="28"/>
        </w:rPr>
        <w:t>to</w:t>
      </w:r>
      <w:r>
        <w:rPr>
          <w:color w:val="365F91"/>
          <w:spacing w:val="-9"/>
          <w:sz w:val="28"/>
        </w:rPr>
        <w:t> </w:t>
      </w:r>
      <w:r>
        <w:rPr>
          <w:color w:val="365F91"/>
          <w:sz w:val="28"/>
        </w:rPr>
        <w:t>Menstrual</w:t>
      </w:r>
      <w:r>
        <w:rPr>
          <w:color w:val="365F91"/>
          <w:spacing w:val="-9"/>
          <w:sz w:val="28"/>
        </w:rPr>
        <w:t> </w:t>
      </w:r>
      <w:r>
        <w:rPr>
          <w:color w:val="365F91"/>
          <w:spacing w:val="-2"/>
          <w:sz w:val="28"/>
        </w:rPr>
        <w:t>Products</w:t>
      </w:r>
    </w:p>
    <w:p>
      <w:pPr>
        <w:pStyle w:val="BodyText"/>
        <w:spacing w:line="276" w:lineRule="auto" w:before="293"/>
        <w:ind w:left="463" w:right="240"/>
        <w:jc w:val="both"/>
      </w:pPr>
      <w:r>
        <w:rPr/>
        <w:t>In</w:t>
      </w:r>
      <w:r>
        <w:rPr>
          <w:spacing w:val="-3"/>
        </w:rPr>
        <w:t> </w:t>
      </w:r>
      <w:r>
        <w:rPr/>
        <w:t>May</w:t>
      </w:r>
      <w:r>
        <w:rPr>
          <w:spacing w:val="-3"/>
        </w:rPr>
        <w:t> </w:t>
      </w:r>
      <w:r>
        <w:rPr/>
        <w:t>2021,</w:t>
      </w:r>
      <w:r>
        <w:rPr>
          <w:spacing w:val="-3"/>
        </w:rPr>
        <w:t> </w:t>
      </w:r>
      <w:r>
        <w:rPr/>
        <w:t>to</w:t>
      </w:r>
      <w:r>
        <w:rPr>
          <w:spacing w:val="-2"/>
        </w:rPr>
        <w:t> </w:t>
      </w:r>
      <w:r>
        <w:rPr/>
        <w:t>commemorate</w:t>
      </w:r>
      <w:r>
        <w:rPr>
          <w:spacing w:val="-3"/>
        </w:rPr>
        <w:t> </w:t>
      </w:r>
      <w:r>
        <w:rPr>
          <w:i/>
        </w:rPr>
        <w:t>Menstrual</w:t>
      </w:r>
      <w:r>
        <w:rPr>
          <w:i/>
          <w:spacing w:val="-3"/>
        </w:rPr>
        <w:t> </w:t>
      </w:r>
      <w:r>
        <w:rPr>
          <w:i/>
        </w:rPr>
        <w:t>Hygiene</w:t>
      </w:r>
      <w:r>
        <w:rPr>
          <w:i/>
          <w:spacing w:val="-4"/>
        </w:rPr>
        <w:t> </w:t>
      </w:r>
      <w:r>
        <w:rPr>
          <w:i/>
        </w:rPr>
        <w:t>Day</w:t>
      </w:r>
      <w:r>
        <w:rPr/>
        <w:t>,</w:t>
      </w:r>
      <w:r>
        <w:rPr>
          <w:spacing w:val="-3"/>
        </w:rPr>
        <w:t> </w:t>
      </w:r>
      <w:r>
        <w:rPr/>
        <w:t>the</w:t>
      </w:r>
      <w:r>
        <w:rPr>
          <w:spacing w:val="-3"/>
        </w:rPr>
        <w:t> </w:t>
      </w:r>
      <w:r>
        <w:rPr/>
        <w:t>Menstrual</w:t>
      </w:r>
      <w:r>
        <w:rPr>
          <w:spacing w:val="-3"/>
        </w:rPr>
        <w:t> </w:t>
      </w:r>
      <w:r>
        <w:rPr/>
        <w:t>Equity</w:t>
      </w:r>
      <w:r>
        <w:rPr>
          <w:spacing w:val="-3"/>
        </w:rPr>
        <w:t> </w:t>
      </w:r>
      <w:r>
        <w:rPr/>
        <w:t>for</w:t>
      </w:r>
      <w:r>
        <w:rPr>
          <w:spacing w:val="-3"/>
        </w:rPr>
        <w:t> </w:t>
      </w:r>
      <w:r>
        <w:rPr/>
        <w:t>All</w:t>
      </w:r>
      <w:r>
        <w:rPr>
          <w:spacing w:val="-3"/>
        </w:rPr>
        <w:t> </w:t>
      </w:r>
      <w:r>
        <w:rPr/>
        <w:t>Act</w:t>
      </w:r>
      <w:r>
        <w:rPr>
          <w:spacing w:val="-3"/>
        </w:rPr>
        <w:t> </w:t>
      </w:r>
      <w:r>
        <w:rPr/>
        <w:t>of</w:t>
      </w:r>
      <w:r>
        <w:rPr>
          <w:spacing w:val="-3"/>
        </w:rPr>
        <w:t> </w:t>
      </w:r>
      <w:r>
        <w:rPr/>
        <w:t>2021</w:t>
      </w:r>
      <w:r>
        <w:rPr>
          <w:spacing w:val="-3"/>
        </w:rPr>
        <w:t> </w:t>
      </w:r>
      <w:r>
        <w:rPr/>
        <w:t>(H.R.3614) was introduced to the United States Congress, though did not progress. The bill aimed to increase the availability and affordability of menstrual products for individuals with limited access, and for other purposes. The legislation’s components include giving states the option to use federal funds to provide students with free menstrual products in schools, incentivizing universities to implement pilot programs that provide free menstrual products, ensuring free menstrual products to detainees in federal, state, and local facilities (including immigration detention centers), ensure that homeless shelters can use grants to cover menstrual products, requiring Medicaid to cover the cost of menstrual products, directing large employers with 100 employees or more to provide free menstrual products to employees, and require all federal</w:t>
      </w:r>
      <w:r>
        <w:rPr>
          <w:spacing w:val="-10"/>
        </w:rPr>
        <w:t> </w:t>
      </w:r>
      <w:r>
        <w:rPr/>
        <w:t>buildings</w:t>
      </w:r>
      <w:r>
        <w:rPr>
          <w:spacing w:val="-10"/>
        </w:rPr>
        <w:t> </w:t>
      </w:r>
      <w:r>
        <w:rPr/>
        <w:t>to</w:t>
      </w:r>
      <w:r>
        <w:rPr>
          <w:spacing w:val="-9"/>
        </w:rPr>
        <w:t> </w:t>
      </w:r>
      <w:r>
        <w:rPr/>
        <w:t>provide</w:t>
      </w:r>
      <w:r>
        <w:rPr>
          <w:spacing w:val="-10"/>
        </w:rPr>
        <w:t> </w:t>
      </w:r>
      <w:r>
        <w:rPr/>
        <w:t>free</w:t>
      </w:r>
      <w:r>
        <w:rPr>
          <w:spacing w:val="-10"/>
        </w:rPr>
        <w:t> </w:t>
      </w:r>
      <w:r>
        <w:rPr/>
        <w:t>menstrual</w:t>
      </w:r>
      <w:r>
        <w:rPr>
          <w:spacing w:val="-10"/>
        </w:rPr>
        <w:t> </w:t>
      </w:r>
      <w:r>
        <w:rPr/>
        <w:t>products</w:t>
      </w:r>
      <w:r>
        <w:rPr>
          <w:spacing w:val="-10"/>
        </w:rPr>
        <w:t> </w:t>
      </w:r>
      <w:r>
        <w:rPr/>
        <w:t>in</w:t>
      </w:r>
      <w:r>
        <w:rPr>
          <w:spacing w:val="-10"/>
        </w:rPr>
        <w:t> </w:t>
      </w:r>
      <w:r>
        <w:rPr/>
        <w:t>restrooms.</w:t>
      </w:r>
      <w:r>
        <w:rPr>
          <w:spacing w:val="-10"/>
        </w:rPr>
        <w:t> </w:t>
      </w:r>
      <w:r>
        <w:rPr/>
        <w:t>This</w:t>
      </w:r>
      <w:r>
        <w:rPr>
          <w:spacing w:val="-10"/>
        </w:rPr>
        <w:t> </w:t>
      </w:r>
      <w:r>
        <w:rPr/>
        <w:t>is</w:t>
      </w:r>
      <w:r>
        <w:rPr>
          <w:spacing w:val="-10"/>
        </w:rPr>
        <w:t> </w:t>
      </w:r>
      <w:r>
        <w:rPr/>
        <w:t>a</w:t>
      </w:r>
      <w:r>
        <w:rPr>
          <w:spacing w:val="-10"/>
        </w:rPr>
        <w:t> </w:t>
      </w:r>
      <w:r>
        <w:rPr/>
        <w:t>federal,</w:t>
      </w:r>
      <w:r>
        <w:rPr>
          <w:spacing w:val="-10"/>
        </w:rPr>
        <w:t> </w:t>
      </w:r>
      <w:r>
        <w:rPr/>
        <w:t>comprehensive</w:t>
      </w:r>
      <w:r>
        <w:rPr>
          <w:spacing w:val="-10"/>
        </w:rPr>
        <w:t> </w:t>
      </w:r>
      <w:r>
        <w:rPr/>
        <w:t>initiative that</w:t>
      </w:r>
      <w:r>
        <w:rPr>
          <w:spacing w:val="-3"/>
        </w:rPr>
        <w:t> </w:t>
      </w:r>
      <w:r>
        <w:rPr/>
        <w:t>would</w:t>
      </w:r>
      <w:r>
        <w:rPr>
          <w:spacing w:val="-3"/>
        </w:rPr>
        <w:t> </w:t>
      </w:r>
      <w:r>
        <w:rPr/>
        <w:t>further</w:t>
      </w:r>
      <w:r>
        <w:rPr>
          <w:spacing w:val="-4"/>
        </w:rPr>
        <w:t> </w:t>
      </w:r>
      <w:r>
        <w:rPr/>
        <w:t>reproductive</w:t>
      </w:r>
      <w:r>
        <w:rPr>
          <w:spacing w:val="-3"/>
        </w:rPr>
        <w:t> </w:t>
      </w:r>
      <w:r>
        <w:rPr/>
        <w:t>access</w:t>
      </w:r>
      <w:r>
        <w:rPr>
          <w:spacing w:val="-4"/>
        </w:rPr>
        <w:t> </w:t>
      </w:r>
      <w:r>
        <w:rPr/>
        <w:t>for</w:t>
      </w:r>
      <w:r>
        <w:rPr>
          <w:spacing w:val="-4"/>
        </w:rPr>
        <w:t> </w:t>
      </w:r>
      <w:r>
        <w:rPr/>
        <w:t>menstruating</w:t>
      </w:r>
      <w:r>
        <w:rPr>
          <w:spacing w:val="-4"/>
        </w:rPr>
        <w:t> </w:t>
      </w:r>
      <w:r>
        <w:rPr/>
        <w:t>LGBTQ</w:t>
      </w:r>
      <w:r>
        <w:rPr>
          <w:spacing w:val="-3"/>
        </w:rPr>
        <w:t> </w:t>
      </w:r>
      <w:r>
        <w:rPr/>
        <w:t>youth,</w:t>
      </w:r>
      <w:r>
        <w:rPr>
          <w:spacing w:val="-2"/>
        </w:rPr>
        <w:t> </w:t>
      </w:r>
      <w:r>
        <w:rPr/>
        <w:t>especially</w:t>
      </w:r>
      <w:r>
        <w:rPr>
          <w:spacing w:val="-4"/>
        </w:rPr>
        <w:t> </w:t>
      </w:r>
      <w:r>
        <w:rPr/>
        <w:t>youth</w:t>
      </w:r>
      <w:r>
        <w:rPr>
          <w:spacing w:val="-3"/>
        </w:rPr>
        <w:t> </w:t>
      </w:r>
      <w:r>
        <w:rPr/>
        <w:t>in</w:t>
      </w:r>
      <w:r>
        <w:rPr>
          <w:spacing w:val="-3"/>
        </w:rPr>
        <w:t> </w:t>
      </w:r>
      <w:r>
        <w:rPr/>
        <w:t>schools,</w:t>
      </w:r>
      <w:r>
        <w:rPr>
          <w:spacing w:val="-4"/>
        </w:rPr>
        <w:t> </w:t>
      </w:r>
      <w:r>
        <w:rPr/>
        <w:t>prisons, and homeless shelters. The progression of this bill has remained stagnant since its introduction to the U.S. Congress. However, various states such as California, Illinois, and Maryland have passed menstrual equity legislation that requires schools to provide menstrual products to students in female restrooms. Other states, including Massachusetts, have introduced menstrual equity bills.</w:t>
      </w:r>
    </w:p>
    <w:p>
      <w:pPr>
        <w:pStyle w:val="BodyText"/>
        <w:spacing w:line="276" w:lineRule="auto" w:before="240"/>
        <w:ind w:left="4005" w:right="241"/>
        <w:jc w:val="both"/>
      </w:pPr>
      <w:r>
        <w:rPr/>
        <w:drawing>
          <wp:anchor distT="0" distB="0" distL="0" distR="0" allowOverlap="1" layoutInCell="1" locked="0" behindDoc="0" simplePos="0" relativeHeight="15781376">
            <wp:simplePos x="0" y="0"/>
            <wp:positionH relativeFrom="page">
              <wp:posOffset>825500</wp:posOffset>
            </wp:positionH>
            <wp:positionV relativeFrom="paragraph">
              <wp:posOffset>164374</wp:posOffset>
            </wp:positionV>
            <wp:extent cx="2249169" cy="2422879"/>
            <wp:effectExtent l="0" t="0" r="0" b="0"/>
            <wp:wrapNone/>
            <wp:docPr id="297" name="Image 297"/>
            <wp:cNvGraphicFramePr>
              <a:graphicFrameLocks/>
            </wp:cNvGraphicFramePr>
            <a:graphic>
              <a:graphicData uri="http://schemas.openxmlformats.org/drawingml/2006/picture">
                <pic:pic>
                  <pic:nvPicPr>
                    <pic:cNvPr id="297" name="Image 297"/>
                    <pic:cNvPicPr/>
                  </pic:nvPicPr>
                  <pic:blipFill>
                    <a:blip r:embed="rId321" cstate="print"/>
                    <a:stretch>
                      <a:fillRect/>
                    </a:stretch>
                  </pic:blipFill>
                  <pic:spPr>
                    <a:xfrm>
                      <a:off x="0" y="0"/>
                      <a:ext cx="2249169" cy="2422879"/>
                    </a:xfrm>
                    <a:prstGeom prst="rect">
                      <a:avLst/>
                    </a:prstGeom>
                  </pic:spPr>
                </pic:pic>
              </a:graphicData>
            </a:graphic>
          </wp:anchor>
        </w:drawing>
      </w:r>
      <w:r>
        <w:rPr/>
        <w:t>In the 2023-2024 legislative session, Massachusetts lawmakers reintroduced </w:t>
      </w:r>
      <w:r>
        <w:rPr>
          <w:i/>
        </w:rPr>
        <w:t>An Act to Increase Access to Disposable Menstrual</w:t>
      </w:r>
      <w:r>
        <w:rPr>
          <w:i/>
        </w:rPr>
        <w:t> Products </w:t>
      </w:r>
      <w:r>
        <w:rPr/>
        <w:t>(</w:t>
      </w:r>
      <w:hyperlink r:id="rId322">
        <w:r>
          <w:rPr>
            <w:color w:val="1153CC"/>
            <w:u w:val="single" w:color="1153CC"/>
          </w:rPr>
          <w:t>S.1381</w:t>
        </w:r>
      </w:hyperlink>
      <w:r>
        <w:rPr>
          <w:u w:val="none"/>
        </w:rPr>
        <w:t>/</w:t>
      </w:r>
      <w:hyperlink r:id="rId323">
        <w:r>
          <w:rPr>
            <w:color w:val="1153CC"/>
            <w:u w:val="single" w:color="1153CC"/>
          </w:rPr>
          <w:t>H.534</w:t>
        </w:r>
      </w:hyperlink>
      <w:hyperlink r:id="rId323">
        <w:r>
          <w:rPr>
            <w:u w:val="none"/>
          </w:rPr>
          <w:t>)</w:t>
        </w:r>
      </w:hyperlink>
      <w:r>
        <w:rPr>
          <w:u w:val="none"/>
        </w:rPr>
        <w:t> which would provide access to free menstrual products to all menstruating individuals in schools, shelters,</w:t>
      </w:r>
      <w:r>
        <w:rPr>
          <w:spacing w:val="-5"/>
          <w:u w:val="none"/>
        </w:rPr>
        <w:t> </w:t>
      </w:r>
      <w:r>
        <w:rPr>
          <w:u w:val="none"/>
        </w:rPr>
        <w:t>and</w:t>
      </w:r>
      <w:r>
        <w:rPr>
          <w:spacing w:val="-4"/>
          <w:u w:val="none"/>
        </w:rPr>
        <w:t> </w:t>
      </w:r>
      <w:r>
        <w:rPr>
          <w:u w:val="none"/>
        </w:rPr>
        <w:t>prisons.</w:t>
      </w:r>
      <w:r>
        <w:rPr>
          <w:spacing w:val="-5"/>
          <w:u w:val="none"/>
        </w:rPr>
        <w:t> </w:t>
      </w:r>
      <w:r>
        <w:rPr>
          <w:u w:val="none"/>
        </w:rPr>
        <w:t>Just</w:t>
      </w:r>
      <w:r>
        <w:rPr>
          <w:spacing w:val="-5"/>
          <w:u w:val="none"/>
        </w:rPr>
        <w:t> </w:t>
      </w:r>
      <w:r>
        <w:rPr>
          <w:u w:val="none"/>
        </w:rPr>
        <w:t>like</w:t>
      </w:r>
      <w:r>
        <w:rPr>
          <w:spacing w:val="-5"/>
          <w:u w:val="none"/>
        </w:rPr>
        <w:t> </w:t>
      </w:r>
      <w:r>
        <w:rPr>
          <w:u w:val="none"/>
        </w:rPr>
        <w:t>the</w:t>
      </w:r>
      <w:r>
        <w:rPr>
          <w:spacing w:val="-5"/>
          <w:u w:val="none"/>
        </w:rPr>
        <w:t> </w:t>
      </w:r>
      <w:r>
        <w:rPr>
          <w:u w:val="none"/>
        </w:rPr>
        <w:t>Menstrual</w:t>
      </w:r>
      <w:r>
        <w:rPr>
          <w:spacing w:val="-5"/>
          <w:u w:val="none"/>
        </w:rPr>
        <w:t> </w:t>
      </w:r>
      <w:r>
        <w:rPr>
          <w:u w:val="none"/>
        </w:rPr>
        <w:t>Equity</w:t>
      </w:r>
      <w:r>
        <w:rPr>
          <w:spacing w:val="-5"/>
          <w:u w:val="none"/>
        </w:rPr>
        <w:t> </w:t>
      </w:r>
      <w:r>
        <w:rPr>
          <w:u w:val="none"/>
        </w:rPr>
        <w:t>for</w:t>
      </w:r>
      <w:r>
        <w:rPr>
          <w:spacing w:val="-5"/>
          <w:u w:val="none"/>
        </w:rPr>
        <w:t> </w:t>
      </w:r>
      <w:r>
        <w:rPr>
          <w:u w:val="none"/>
        </w:rPr>
        <w:t>All</w:t>
      </w:r>
      <w:r>
        <w:rPr>
          <w:spacing w:val="-5"/>
          <w:u w:val="none"/>
        </w:rPr>
        <w:t> </w:t>
      </w:r>
      <w:r>
        <w:rPr>
          <w:u w:val="none"/>
        </w:rPr>
        <w:t>Act,</w:t>
      </w:r>
      <w:r>
        <w:rPr>
          <w:spacing w:val="-5"/>
          <w:u w:val="none"/>
        </w:rPr>
        <w:t> </w:t>
      </w:r>
      <w:r>
        <w:rPr>
          <w:u w:val="none"/>
        </w:rPr>
        <w:t>the</w:t>
      </w:r>
      <w:r>
        <w:rPr>
          <w:spacing w:val="-5"/>
          <w:u w:val="none"/>
        </w:rPr>
        <w:t> </w:t>
      </w:r>
      <w:r>
        <w:rPr>
          <w:u w:val="none"/>
        </w:rPr>
        <w:t>I AM bill would expand reproductive care for menstruating LGBTQ youth primarily in Massachusetts who attend public schools, are experiencing homelessness and need to stay in homeless shelters, or are incarcerated in the prison system. In 2019, Boston Public Schools launched a period product pilot program that brought</w:t>
      </w:r>
      <w:r>
        <w:rPr>
          <w:spacing w:val="-1"/>
          <w:u w:val="none"/>
        </w:rPr>
        <w:t> </w:t>
      </w:r>
      <w:r>
        <w:rPr>
          <w:u w:val="none"/>
        </w:rPr>
        <w:t>free menstrual supplies to students. This initiative came out around three years after Cambridge and Somerville Public Schools started similar</w:t>
      </w:r>
      <w:r>
        <w:rPr>
          <w:spacing w:val="47"/>
          <w:u w:val="none"/>
        </w:rPr>
        <w:t> </w:t>
      </w:r>
      <w:r>
        <w:rPr>
          <w:u w:val="none"/>
        </w:rPr>
        <w:t>programs.</w:t>
      </w:r>
      <w:r>
        <w:rPr>
          <w:spacing w:val="46"/>
          <w:u w:val="none"/>
        </w:rPr>
        <w:t> </w:t>
      </w:r>
      <w:r>
        <w:rPr>
          <w:u w:val="none"/>
        </w:rPr>
        <w:t>Public</w:t>
      </w:r>
      <w:r>
        <w:rPr>
          <w:spacing w:val="47"/>
          <w:u w:val="none"/>
        </w:rPr>
        <w:t> </w:t>
      </w:r>
      <w:r>
        <w:rPr>
          <w:u w:val="none"/>
        </w:rPr>
        <w:t>school</w:t>
      </w:r>
      <w:r>
        <w:rPr>
          <w:spacing w:val="48"/>
          <w:u w:val="none"/>
        </w:rPr>
        <w:t> </w:t>
      </w:r>
      <w:r>
        <w:rPr>
          <w:u w:val="none"/>
        </w:rPr>
        <w:t>systems</w:t>
      </w:r>
      <w:r>
        <w:rPr>
          <w:spacing w:val="47"/>
          <w:u w:val="none"/>
        </w:rPr>
        <w:t> </w:t>
      </w:r>
      <w:r>
        <w:rPr>
          <w:u w:val="none"/>
        </w:rPr>
        <w:t>taking</w:t>
      </w:r>
      <w:r>
        <w:rPr>
          <w:spacing w:val="48"/>
          <w:u w:val="none"/>
        </w:rPr>
        <w:t> </w:t>
      </w:r>
      <w:r>
        <w:rPr>
          <w:u w:val="none"/>
        </w:rPr>
        <w:t>initiative</w:t>
      </w:r>
      <w:r>
        <w:rPr>
          <w:spacing w:val="48"/>
          <w:u w:val="none"/>
        </w:rPr>
        <w:t> </w:t>
      </w:r>
      <w:r>
        <w:rPr>
          <w:u w:val="none"/>
        </w:rPr>
        <w:t>to</w:t>
      </w:r>
      <w:r>
        <w:rPr>
          <w:spacing w:val="47"/>
          <w:u w:val="none"/>
        </w:rPr>
        <w:t> </w:t>
      </w:r>
      <w:r>
        <w:rPr>
          <w:spacing w:val="-5"/>
          <w:u w:val="none"/>
        </w:rPr>
        <w:t>run</w:t>
      </w:r>
    </w:p>
    <w:p>
      <w:pPr>
        <w:pStyle w:val="BodyText"/>
        <w:spacing w:line="276" w:lineRule="auto"/>
        <w:ind w:left="463" w:right="242"/>
        <w:jc w:val="both"/>
      </w:pPr>
      <w:r>
        <w:rPr/>
        <w:t>menstrual</w:t>
      </w:r>
      <w:r>
        <w:rPr>
          <w:spacing w:val="-13"/>
        </w:rPr>
        <w:t> </w:t>
      </w:r>
      <w:r>
        <w:rPr/>
        <w:t>product</w:t>
      </w:r>
      <w:r>
        <w:rPr>
          <w:spacing w:val="-12"/>
        </w:rPr>
        <w:t> </w:t>
      </w:r>
      <w:r>
        <w:rPr/>
        <w:t>programs</w:t>
      </w:r>
      <w:r>
        <w:rPr>
          <w:spacing w:val="-13"/>
        </w:rPr>
        <w:t> </w:t>
      </w:r>
      <w:r>
        <w:rPr/>
        <w:t>alleviate</w:t>
      </w:r>
      <w:r>
        <w:rPr>
          <w:spacing w:val="-12"/>
        </w:rPr>
        <w:t> </w:t>
      </w:r>
      <w:r>
        <w:rPr/>
        <w:t>some</w:t>
      </w:r>
      <w:r>
        <w:rPr>
          <w:spacing w:val="-13"/>
        </w:rPr>
        <w:t> </w:t>
      </w:r>
      <w:r>
        <w:rPr/>
        <w:t>inaccessibility</w:t>
      </w:r>
      <w:r>
        <w:rPr>
          <w:spacing w:val="-12"/>
        </w:rPr>
        <w:t> </w:t>
      </w:r>
      <w:r>
        <w:rPr/>
        <w:t>to</w:t>
      </w:r>
      <w:r>
        <w:rPr>
          <w:spacing w:val="-13"/>
        </w:rPr>
        <w:t> </w:t>
      </w:r>
      <w:r>
        <w:rPr/>
        <w:t>period</w:t>
      </w:r>
      <w:r>
        <w:rPr>
          <w:spacing w:val="-12"/>
        </w:rPr>
        <w:t> </w:t>
      </w:r>
      <w:r>
        <w:rPr/>
        <w:t>products</w:t>
      </w:r>
      <w:r>
        <w:rPr>
          <w:spacing w:val="-12"/>
        </w:rPr>
        <w:t> </w:t>
      </w:r>
      <w:r>
        <w:rPr/>
        <w:t>for</w:t>
      </w:r>
      <w:r>
        <w:rPr>
          <w:spacing w:val="-13"/>
        </w:rPr>
        <w:t> </w:t>
      </w:r>
      <w:r>
        <w:rPr/>
        <w:t>menstruating</w:t>
      </w:r>
      <w:r>
        <w:rPr>
          <w:spacing w:val="-12"/>
        </w:rPr>
        <w:t> </w:t>
      </w:r>
      <w:r>
        <w:rPr/>
        <w:t>LGBTQ</w:t>
      </w:r>
      <w:r>
        <w:rPr>
          <w:spacing w:val="-13"/>
        </w:rPr>
        <w:t> </w:t>
      </w:r>
      <w:r>
        <w:rPr/>
        <w:t>youth and reduce the stigma around menstruation. The Commission urges the Commonwealth to sign the I AM bill into law to further expand access to menstrual products across the state.</w:t>
      </w:r>
    </w:p>
    <w:p>
      <w:pPr>
        <w:spacing w:after="0" w:line="276" w:lineRule="auto"/>
        <w:jc w:val="both"/>
        <w:sectPr>
          <w:pgSz w:w="12240" w:h="15840"/>
          <w:pgMar w:header="800" w:footer="1530" w:top="1080" w:bottom="1760" w:left="980" w:right="1000"/>
        </w:sectPr>
      </w:pPr>
    </w:p>
    <w:p>
      <w:pPr>
        <w:pStyle w:val="BodyText"/>
        <w:spacing w:line="276" w:lineRule="auto" w:before="69"/>
        <w:ind w:left="463" w:right="243"/>
        <w:jc w:val="both"/>
      </w:pPr>
      <w:r>
        <w:rPr/>
        <w:t>Another way to expand access to menstrual products is through the Supplemental Nutrition Assistance Program, the federal nutrition program that aims to</w:t>
      </w:r>
    </w:p>
    <w:p>
      <w:pPr>
        <w:pStyle w:val="BodyText"/>
        <w:spacing w:line="276" w:lineRule="auto" w:before="240"/>
        <w:ind w:left="463" w:right="239"/>
        <w:jc w:val="both"/>
      </w:pPr>
      <w:r>
        <w:rPr/>
        <w:t>reduce</w:t>
      </w:r>
      <w:r>
        <w:rPr>
          <w:spacing w:val="-8"/>
        </w:rPr>
        <w:t> </w:t>
      </w:r>
      <w:r>
        <w:rPr/>
        <w:t>food</w:t>
      </w:r>
      <w:r>
        <w:rPr>
          <w:spacing w:val="-8"/>
        </w:rPr>
        <w:t> </w:t>
      </w:r>
      <w:r>
        <w:rPr/>
        <w:t>insecurity</w:t>
      </w:r>
      <w:r>
        <w:rPr>
          <w:spacing w:val="-6"/>
        </w:rPr>
        <w:t> </w:t>
      </w:r>
      <w:r>
        <w:rPr/>
        <w:t>for</w:t>
      </w:r>
      <w:r>
        <w:rPr>
          <w:spacing w:val="-8"/>
        </w:rPr>
        <w:t> </w:t>
      </w:r>
      <w:r>
        <w:rPr/>
        <w:t>low-income</w:t>
      </w:r>
      <w:r>
        <w:rPr>
          <w:spacing w:val="-7"/>
        </w:rPr>
        <w:t> </w:t>
      </w:r>
      <w:r>
        <w:rPr/>
        <w:t>communities.</w:t>
      </w:r>
      <w:r>
        <w:rPr>
          <w:spacing w:val="-7"/>
        </w:rPr>
        <w:t> </w:t>
      </w:r>
      <w:r>
        <w:rPr/>
        <w:t>Surveys</w:t>
      </w:r>
      <w:r>
        <w:rPr>
          <w:spacing w:val="-7"/>
        </w:rPr>
        <w:t> </w:t>
      </w:r>
      <w:r>
        <w:rPr/>
        <w:t>have</w:t>
      </w:r>
      <w:r>
        <w:rPr>
          <w:spacing w:val="-7"/>
        </w:rPr>
        <w:t> </w:t>
      </w:r>
      <w:r>
        <w:rPr/>
        <w:t>shown</w:t>
      </w:r>
      <w:r>
        <w:rPr>
          <w:spacing w:val="-8"/>
        </w:rPr>
        <w:t> </w:t>
      </w:r>
      <w:r>
        <w:rPr/>
        <w:t>that</w:t>
      </w:r>
      <w:r>
        <w:rPr>
          <w:spacing w:val="-7"/>
        </w:rPr>
        <w:t> </w:t>
      </w:r>
      <w:r>
        <w:rPr/>
        <w:t>more</w:t>
      </w:r>
      <w:r>
        <w:rPr>
          <w:spacing w:val="-8"/>
        </w:rPr>
        <w:t> </w:t>
      </w:r>
      <w:r>
        <w:rPr/>
        <w:t>than</w:t>
      </w:r>
      <w:r>
        <w:rPr>
          <w:spacing w:val="-8"/>
        </w:rPr>
        <w:t> </w:t>
      </w:r>
      <w:r>
        <w:rPr/>
        <w:t>1</w:t>
      </w:r>
      <w:r>
        <w:rPr>
          <w:spacing w:val="-8"/>
        </w:rPr>
        <w:t> </w:t>
      </w:r>
      <w:r>
        <w:rPr/>
        <w:t>in</w:t>
      </w:r>
      <w:r>
        <w:rPr>
          <w:spacing w:val="-6"/>
        </w:rPr>
        <w:t> </w:t>
      </w:r>
      <w:r>
        <w:rPr/>
        <w:t>4</w:t>
      </w:r>
      <w:r>
        <w:rPr>
          <w:spacing w:val="-8"/>
        </w:rPr>
        <w:t> </w:t>
      </w:r>
      <w:r>
        <w:rPr/>
        <w:t>lesbian,</w:t>
      </w:r>
      <w:r>
        <w:rPr>
          <w:spacing w:val="-7"/>
        </w:rPr>
        <w:t> </w:t>
      </w:r>
      <w:r>
        <w:rPr/>
        <w:t>gay, and bisexual individuals aged 18-44 participated in SNAP, compared to 20% of heterosexual participants</w:t>
      </w:r>
      <w:hyperlink w:history="true" w:anchor="_bookmark265">
        <w:r>
          <w:rPr/>
          <w:t>.</w:t>
        </w:r>
        <w:r>
          <w:rPr>
            <w:vertAlign w:val="superscript"/>
          </w:rPr>
          <w:t>73</w:t>
        </w:r>
      </w:hyperlink>
      <w:r>
        <w:rPr>
          <w:vertAlign w:val="baseline"/>
        </w:rPr>
        <w:t> Most</w:t>
      </w:r>
      <w:r>
        <w:rPr>
          <w:spacing w:val="-2"/>
          <w:vertAlign w:val="baseline"/>
        </w:rPr>
        <w:t> </w:t>
      </w:r>
      <w:r>
        <w:rPr>
          <w:vertAlign w:val="baseline"/>
        </w:rPr>
        <w:t>federal surveys</w:t>
      </w:r>
      <w:r>
        <w:rPr>
          <w:spacing w:val="-1"/>
          <w:vertAlign w:val="baseline"/>
        </w:rPr>
        <w:t> </w:t>
      </w:r>
      <w:r>
        <w:rPr>
          <w:vertAlign w:val="baseline"/>
        </w:rPr>
        <w:t>do not</w:t>
      </w:r>
      <w:r>
        <w:rPr>
          <w:spacing w:val="-2"/>
          <w:vertAlign w:val="baseline"/>
        </w:rPr>
        <w:t> </w:t>
      </w:r>
      <w:r>
        <w:rPr>
          <w:vertAlign w:val="baseline"/>
        </w:rPr>
        <w:t>sufficiently</w:t>
      </w:r>
      <w:r>
        <w:rPr>
          <w:spacing w:val="-1"/>
          <w:vertAlign w:val="baseline"/>
        </w:rPr>
        <w:t> </w:t>
      </w:r>
      <w:r>
        <w:rPr>
          <w:vertAlign w:val="baseline"/>
        </w:rPr>
        <w:t>measure</w:t>
      </w:r>
      <w:r>
        <w:rPr>
          <w:spacing w:val="-1"/>
          <w:vertAlign w:val="baseline"/>
        </w:rPr>
        <w:t> </w:t>
      </w:r>
      <w:r>
        <w:rPr>
          <w:vertAlign w:val="baseline"/>
        </w:rPr>
        <w:t>participants’ gender</w:t>
      </w:r>
      <w:r>
        <w:rPr>
          <w:spacing w:val="-2"/>
          <w:vertAlign w:val="baseline"/>
        </w:rPr>
        <w:t> </w:t>
      </w:r>
      <w:r>
        <w:rPr>
          <w:vertAlign w:val="baseline"/>
        </w:rPr>
        <w:t>identity</w:t>
      </w:r>
      <w:r>
        <w:rPr>
          <w:spacing w:val="-1"/>
          <w:vertAlign w:val="baseline"/>
        </w:rPr>
        <w:t> </w:t>
      </w:r>
      <w:r>
        <w:rPr>
          <w:vertAlign w:val="baseline"/>
        </w:rPr>
        <w:t>but</w:t>
      </w:r>
      <w:r>
        <w:rPr>
          <w:spacing w:val="-1"/>
          <w:vertAlign w:val="baseline"/>
        </w:rPr>
        <w:t> </w:t>
      </w:r>
      <w:r>
        <w:rPr>
          <w:vertAlign w:val="baseline"/>
        </w:rPr>
        <w:t>studies have</w:t>
      </w:r>
      <w:r>
        <w:rPr>
          <w:spacing w:val="-2"/>
          <w:vertAlign w:val="baseline"/>
        </w:rPr>
        <w:t> </w:t>
      </w:r>
      <w:r>
        <w:rPr>
          <w:vertAlign w:val="baseline"/>
        </w:rPr>
        <w:t>shown</w:t>
      </w:r>
      <w:r>
        <w:rPr>
          <w:spacing w:val="-1"/>
          <w:vertAlign w:val="baseline"/>
        </w:rPr>
        <w:t> </w:t>
      </w:r>
      <w:r>
        <w:rPr>
          <w:vertAlign w:val="baseline"/>
        </w:rPr>
        <w:t>that transgender</w:t>
      </w:r>
      <w:r>
        <w:rPr>
          <w:spacing w:val="-9"/>
          <w:vertAlign w:val="baseline"/>
        </w:rPr>
        <w:t> </w:t>
      </w:r>
      <w:r>
        <w:rPr>
          <w:vertAlign w:val="baseline"/>
        </w:rPr>
        <w:t>individuals</w:t>
      </w:r>
      <w:r>
        <w:rPr>
          <w:spacing w:val="-7"/>
          <w:vertAlign w:val="baseline"/>
        </w:rPr>
        <w:t> </w:t>
      </w:r>
      <w:r>
        <w:rPr>
          <w:vertAlign w:val="baseline"/>
        </w:rPr>
        <w:t>have</w:t>
      </w:r>
      <w:r>
        <w:rPr>
          <w:spacing w:val="-9"/>
          <w:vertAlign w:val="baseline"/>
        </w:rPr>
        <w:t> </w:t>
      </w:r>
      <w:r>
        <w:rPr>
          <w:vertAlign w:val="baseline"/>
        </w:rPr>
        <w:t>struggled</w:t>
      </w:r>
      <w:r>
        <w:rPr>
          <w:spacing w:val="-7"/>
          <w:vertAlign w:val="baseline"/>
        </w:rPr>
        <w:t> </w:t>
      </w:r>
      <w:r>
        <w:rPr>
          <w:vertAlign w:val="baseline"/>
        </w:rPr>
        <w:t>with</w:t>
      </w:r>
      <w:r>
        <w:rPr>
          <w:spacing w:val="-9"/>
          <w:vertAlign w:val="baseline"/>
        </w:rPr>
        <w:t> </w:t>
      </w:r>
      <w:r>
        <w:rPr>
          <w:vertAlign w:val="baseline"/>
        </w:rPr>
        <w:t>food</w:t>
      </w:r>
      <w:r>
        <w:rPr>
          <w:spacing w:val="-8"/>
          <w:vertAlign w:val="baseline"/>
        </w:rPr>
        <w:t> </w:t>
      </w:r>
      <w:r>
        <w:rPr>
          <w:vertAlign w:val="baseline"/>
        </w:rPr>
        <w:t>insecurity</w:t>
      </w:r>
      <w:r>
        <w:rPr>
          <w:spacing w:val="-7"/>
          <w:vertAlign w:val="baseline"/>
        </w:rPr>
        <w:t> </w:t>
      </w:r>
      <w:r>
        <w:rPr>
          <w:vertAlign w:val="baseline"/>
        </w:rPr>
        <w:t>more</w:t>
      </w:r>
      <w:r>
        <w:rPr>
          <w:spacing w:val="-6"/>
          <w:vertAlign w:val="baseline"/>
        </w:rPr>
        <w:t> </w:t>
      </w:r>
      <w:r>
        <w:rPr>
          <w:vertAlign w:val="baseline"/>
        </w:rPr>
        <w:t>so</w:t>
      </w:r>
      <w:r>
        <w:rPr>
          <w:spacing w:val="-8"/>
          <w:vertAlign w:val="baseline"/>
        </w:rPr>
        <w:t> </w:t>
      </w:r>
      <w:r>
        <w:rPr>
          <w:vertAlign w:val="baseline"/>
        </w:rPr>
        <w:t>than</w:t>
      </w:r>
      <w:r>
        <w:rPr>
          <w:spacing w:val="-8"/>
          <w:vertAlign w:val="baseline"/>
        </w:rPr>
        <w:t> </w:t>
      </w:r>
      <w:r>
        <w:rPr>
          <w:vertAlign w:val="baseline"/>
        </w:rPr>
        <w:t>their</w:t>
      </w:r>
      <w:r>
        <w:rPr>
          <w:spacing w:val="-6"/>
          <w:vertAlign w:val="baseline"/>
        </w:rPr>
        <w:t> </w:t>
      </w:r>
      <w:r>
        <w:rPr>
          <w:vertAlign w:val="baseline"/>
        </w:rPr>
        <w:t>cisgender</w:t>
      </w:r>
      <w:r>
        <w:rPr>
          <w:spacing w:val="-7"/>
          <w:vertAlign w:val="baseline"/>
        </w:rPr>
        <w:t> </w:t>
      </w:r>
      <w:r>
        <w:rPr>
          <w:vertAlign w:val="baseline"/>
        </w:rPr>
        <w:t>counterparts.</w:t>
      </w:r>
      <w:r>
        <w:rPr>
          <w:spacing w:val="-8"/>
          <w:vertAlign w:val="baseline"/>
        </w:rPr>
        <w:t> </w:t>
      </w:r>
      <w:hyperlink w:history="true" w:anchor="_bookmark266">
        <w:r>
          <w:rPr>
            <w:vertAlign w:val="superscript"/>
          </w:rPr>
          <w:t>74</w:t>
        </w:r>
      </w:hyperlink>
      <w:r>
        <w:rPr>
          <w:spacing w:val="-8"/>
          <w:vertAlign w:val="baseline"/>
        </w:rPr>
        <w:t> </w:t>
      </w:r>
      <w:r>
        <w:rPr>
          <w:vertAlign w:val="baseline"/>
        </w:rPr>
        <w:t>At the federal level, menstrual products are not covered by SNAP benefits. However, the Commonwealth can introduce legislation that can allow SNAP recipients to purchase period products with their benefits, like what Illinois implemented in January 2022</w:t>
      </w:r>
      <w:hyperlink w:history="true" w:anchor="_bookmark267">
        <w:r>
          <w:rPr>
            <w:vertAlign w:val="baseline"/>
          </w:rPr>
          <w:t>.</w:t>
        </w:r>
        <w:r>
          <w:rPr>
            <w:vertAlign w:val="superscript"/>
          </w:rPr>
          <w:t>75</w:t>
        </w:r>
      </w:hyperlink>
    </w:p>
    <w:p>
      <w:pPr>
        <w:pStyle w:val="BodyText"/>
        <w:spacing w:line="276" w:lineRule="auto" w:before="239"/>
        <w:ind w:left="463" w:right="238"/>
        <w:jc w:val="both"/>
      </w:pPr>
      <w:r>
        <w:rPr/>
        <w:t>As mentioned earlier in the report, Massachusetts is one of the states with the lowest maternal mortality rates. However, disparities among racial, ethnic, and class backgrounds remain. Massachusetts has a Maternal</w:t>
      </w:r>
      <w:r>
        <w:rPr>
          <w:spacing w:val="-8"/>
        </w:rPr>
        <w:t> </w:t>
      </w:r>
      <w:r>
        <w:rPr/>
        <w:t>Mortality</w:t>
      </w:r>
      <w:r>
        <w:rPr>
          <w:spacing w:val="-7"/>
        </w:rPr>
        <w:t> </w:t>
      </w:r>
      <w:r>
        <w:rPr/>
        <w:t>Review</w:t>
      </w:r>
      <w:r>
        <w:rPr>
          <w:spacing w:val="-7"/>
        </w:rPr>
        <w:t> </w:t>
      </w:r>
      <w:r>
        <w:rPr/>
        <w:t>Committee</w:t>
      </w:r>
      <w:r>
        <w:rPr>
          <w:spacing w:val="-6"/>
        </w:rPr>
        <w:t> </w:t>
      </w:r>
      <w:r>
        <w:rPr/>
        <w:t>that</w:t>
      </w:r>
      <w:r>
        <w:rPr>
          <w:spacing w:val="-8"/>
        </w:rPr>
        <w:t> </w:t>
      </w:r>
      <w:r>
        <w:rPr/>
        <w:t>reviews</w:t>
      </w:r>
      <w:r>
        <w:rPr>
          <w:spacing w:val="-7"/>
        </w:rPr>
        <w:t> </w:t>
      </w:r>
      <w:r>
        <w:rPr/>
        <w:t>maternal</w:t>
      </w:r>
      <w:r>
        <w:rPr>
          <w:spacing w:val="-7"/>
        </w:rPr>
        <w:t> </w:t>
      </w:r>
      <w:r>
        <w:rPr/>
        <w:t>deaths,</w:t>
      </w:r>
      <w:r>
        <w:rPr>
          <w:spacing w:val="-7"/>
        </w:rPr>
        <w:t> </w:t>
      </w:r>
      <w:r>
        <w:rPr/>
        <w:t>studies</w:t>
      </w:r>
      <w:r>
        <w:rPr>
          <w:spacing w:val="-7"/>
        </w:rPr>
        <w:t> </w:t>
      </w:r>
      <w:r>
        <w:rPr/>
        <w:t>pregnancy</w:t>
      </w:r>
      <w:r>
        <w:rPr>
          <w:spacing w:val="-6"/>
        </w:rPr>
        <w:t> </w:t>
      </w:r>
      <w:r>
        <w:rPr/>
        <w:t>complications,</w:t>
      </w:r>
      <w:r>
        <w:rPr>
          <w:spacing w:val="-7"/>
        </w:rPr>
        <w:t> </w:t>
      </w:r>
      <w:r>
        <w:rPr/>
        <w:t>and makes recommendations to improve maternal</w:t>
      </w:r>
      <w:r>
        <w:rPr>
          <w:spacing w:val="-1"/>
        </w:rPr>
        <w:t> </w:t>
      </w:r>
      <w:r>
        <w:rPr/>
        <w:t>outcomes and prevent mortality</w:t>
      </w:r>
      <w:hyperlink w:history="true" w:anchor="_bookmark268">
        <w:r>
          <w:rPr/>
          <w:t>.</w:t>
        </w:r>
        <w:r>
          <w:rPr>
            <w:color w:val="1154CC"/>
            <w:u w:val="single" w:color="1154CC"/>
            <w:vertAlign w:val="superscript"/>
          </w:rPr>
          <w:t>76</w:t>
        </w:r>
      </w:hyperlink>
      <w:r>
        <w:rPr>
          <w:color w:val="1154CC"/>
          <w:spacing w:val="-1"/>
          <w:u w:val="none"/>
          <w:vertAlign w:val="baseline"/>
        </w:rPr>
        <w:t> </w:t>
      </w:r>
      <w:r>
        <w:rPr>
          <w:u w:val="none"/>
          <w:vertAlign w:val="baseline"/>
        </w:rPr>
        <w:t>This is a step</w:t>
      </w:r>
      <w:r>
        <w:rPr>
          <w:spacing w:val="-1"/>
          <w:u w:val="none"/>
          <w:vertAlign w:val="baseline"/>
        </w:rPr>
        <w:t> </w:t>
      </w:r>
      <w:r>
        <w:rPr>
          <w:u w:val="none"/>
          <w:vertAlign w:val="baseline"/>
        </w:rPr>
        <w:t>in the</w:t>
      </w:r>
      <w:r>
        <w:rPr>
          <w:spacing w:val="-1"/>
          <w:u w:val="none"/>
          <w:vertAlign w:val="baseline"/>
        </w:rPr>
        <w:t> </w:t>
      </w:r>
      <w:r>
        <w:rPr>
          <w:u w:val="none"/>
          <w:vertAlign w:val="baseline"/>
        </w:rPr>
        <w:t>right direction in addressing maternal mortality inequities as a study has shown that states with maternal mortality review committees play an integral role in understanding preventable causes of maternal mortality. They also apply a health equity approach to understand the structural drivers of racial, ethnic, and geographic inequities in maternal deaths</w:t>
      </w:r>
      <w:hyperlink w:history="true" w:anchor="_bookmark269">
        <w:r>
          <w:rPr>
            <w:u w:val="none"/>
            <w:vertAlign w:val="baseline"/>
          </w:rPr>
          <w:t>.</w:t>
        </w:r>
        <w:r>
          <w:rPr>
            <w:color w:val="1154CC"/>
            <w:u w:val="single" w:color="1154CC"/>
            <w:vertAlign w:val="superscript"/>
          </w:rPr>
          <w:t>77</w:t>
        </w:r>
      </w:hyperlink>
      <w:r>
        <w:rPr>
          <w:color w:val="1154CC"/>
          <w:u w:val="none"/>
          <w:vertAlign w:val="baseline"/>
        </w:rPr>
        <w:t> </w:t>
      </w:r>
      <w:r>
        <w:rPr>
          <w:u w:val="none"/>
          <w:vertAlign w:val="baseline"/>
        </w:rPr>
        <w:t>The MA Maternal Mortality Review Committee and the Department of Public Health should consider applying an LGBTQ-inclusive lens approach when reviewing maternal deaths in the state.</w:t>
      </w:r>
    </w:p>
    <w:p>
      <w:pPr>
        <w:pStyle w:val="BodyText"/>
      </w:pPr>
    </w:p>
    <w:p>
      <w:pPr>
        <w:pStyle w:val="BodyText"/>
        <w:spacing w:before="238"/>
      </w:pPr>
    </w:p>
    <w:p>
      <w:pPr>
        <w:spacing w:before="0"/>
        <w:ind w:left="463" w:right="0" w:firstLine="0"/>
        <w:jc w:val="both"/>
        <w:rPr>
          <w:sz w:val="32"/>
        </w:rPr>
      </w:pPr>
      <w:bookmarkStart w:name="Acknowledgments &amp; Citations" w:id="383"/>
      <w:bookmarkEnd w:id="383"/>
      <w:r>
        <w:rPr/>
      </w:r>
      <w:r>
        <w:rPr>
          <w:color w:val="365F91"/>
          <w:sz w:val="32"/>
        </w:rPr>
        <w:t>Acknowledgments</w:t>
      </w:r>
      <w:r>
        <w:rPr>
          <w:color w:val="365F91"/>
          <w:spacing w:val="-6"/>
          <w:sz w:val="32"/>
        </w:rPr>
        <w:t> </w:t>
      </w:r>
      <w:r>
        <w:rPr>
          <w:color w:val="365F91"/>
          <w:sz w:val="32"/>
        </w:rPr>
        <w:t>&amp;</w:t>
      </w:r>
      <w:r>
        <w:rPr>
          <w:color w:val="365F91"/>
          <w:spacing w:val="-5"/>
          <w:sz w:val="32"/>
        </w:rPr>
        <w:t> </w:t>
      </w:r>
      <w:r>
        <w:rPr>
          <w:color w:val="365F91"/>
          <w:spacing w:val="-2"/>
          <w:sz w:val="32"/>
        </w:rPr>
        <w:t>Citations</w:t>
      </w:r>
    </w:p>
    <w:p>
      <w:pPr>
        <w:pStyle w:val="BodyText"/>
        <w:spacing w:before="6"/>
        <w:rPr>
          <w:sz w:val="4"/>
        </w:rPr>
      </w:pPr>
      <w:r>
        <w:rPr/>
        <mc:AlternateContent>
          <mc:Choice Requires="wps">
            <w:drawing>
              <wp:anchor distT="0" distB="0" distL="0" distR="0" allowOverlap="1" layoutInCell="1" locked="0" behindDoc="1" simplePos="0" relativeHeight="487641088">
                <wp:simplePos x="0" y="0"/>
                <wp:positionH relativeFrom="page">
                  <wp:posOffset>897636</wp:posOffset>
                </wp:positionH>
                <wp:positionV relativeFrom="paragraph">
                  <wp:posOffset>50257</wp:posOffset>
                </wp:positionV>
                <wp:extent cx="6103620" cy="6350"/>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6103620" cy="6350"/>
                        </a:xfrm>
                        <a:custGeom>
                          <a:avLst/>
                          <a:gdLst/>
                          <a:ahLst/>
                          <a:cxnLst/>
                          <a:rect l="l" t="t" r="r" b="b"/>
                          <a:pathLst>
                            <a:path w="6103620" h="6350">
                              <a:moveTo>
                                <a:pt x="6103620" y="0"/>
                              </a:moveTo>
                              <a:lnTo>
                                <a:pt x="0" y="0"/>
                              </a:lnTo>
                              <a:lnTo>
                                <a:pt x="0" y="6096"/>
                              </a:lnTo>
                              <a:lnTo>
                                <a:pt x="6103620" y="6096"/>
                              </a:lnTo>
                              <a:lnTo>
                                <a:pt x="61036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957285pt;width:480.6pt;height:.48pt;mso-position-horizontal-relative:page;mso-position-vertical-relative:paragraph;z-index:-15675392;mso-wrap-distance-left:0;mso-wrap-distance-right:0" id="docshape232" filled="true" fillcolor="#4f81bc" stroked="false">
                <v:fill type="solid"/>
                <w10:wrap type="topAndBottom"/>
              </v:rect>
            </w:pict>
          </mc:Fallback>
        </mc:AlternateContent>
      </w:r>
    </w:p>
    <w:p>
      <w:pPr>
        <w:spacing w:before="240"/>
        <w:ind w:left="463" w:right="0" w:firstLine="0"/>
        <w:jc w:val="left"/>
        <w:rPr>
          <w:i/>
          <w:sz w:val="21"/>
        </w:rPr>
      </w:pPr>
      <w:r>
        <w:rPr>
          <w:i/>
          <w:sz w:val="21"/>
        </w:rPr>
        <w:t>Acknowledgments:</w:t>
      </w:r>
      <w:r>
        <w:rPr>
          <w:i/>
          <w:spacing w:val="-3"/>
          <w:sz w:val="21"/>
        </w:rPr>
        <w:t> </w:t>
      </w:r>
      <w:r>
        <w:rPr>
          <w:i/>
          <w:sz w:val="21"/>
        </w:rPr>
        <w:t>Karina</w:t>
      </w:r>
      <w:r>
        <w:rPr>
          <w:i/>
          <w:spacing w:val="-4"/>
          <w:sz w:val="21"/>
        </w:rPr>
        <w:t> </w:t>
      </w:r>
      <w:r>
        <w:rPr>
          <w:i/>
          <w:sz w:val="21"/>
        </w:rPr>
        <w:t>Sumano,</w:t>
      </w:r>
      <w:r>
        <w:rPr>
          <w:i/>
          <w:spacing w:val="-2"/>
          <w:sz w:val="21"/>
        </w:rPr>
        <w:t> </w:t>
      </w:r>
      <w:r>
        <w:rPr>
          <w:i/>
          <w:sz w:val="21"/>
        </w:rPr>
        <w:t>lead</w:t>
      </w:r>
      <w:r>
        <w:rPr>
          <w:i/>
          <w:spacing w:val="-3"/>
          <w:sz w:val="21"/>
        </w:rPr>
        <w:t> </w:t>
      </w:r>
      <w:r>
        <w:rPr>
          <w:i/>
          <w:sz w:val="21"/>
        </w:rPr>
        <w:t>researcher</w:t>
      </w:r>
      <w:r>
        <w:rPr>
          <w:i/>
          <w:spacing w:val="-4"/>
          <w:sz w:val="21"/>
        </w:rPr>
        <w:t> </w:t>
      </w:r>
      <w:r>
        <w:rPr>
          <w:i/>
          <w:sz w:val="21"/>
        </w:rPr>
        <w:t>&amp;</w:t>
      </w:r>
      <w:r>
        <w:rPr>
          <w:i/>
          <w:spacing w:val="-3"/>
          <w:sz w:val="21"/>
        </w:rPr>
        <w:t> </w:t>
      </w:r>
      <w:r>
        <w:rPr>
          <w:i/>
          <w:sz w:val="21"/>
        </w:rPr>
        <w:t>author</w:t>
      </w:r>
      <w:r>
        <w:rPr>
          <w:i/>
          <w:spacing w:val="-2"/>
          <w:sz w:val="21"/>
        </w:rPr>
        <w:t> (2023)</w:t>
      </w:r>
    </w:p>
    <w:p>
      <w:pPr>
        <w:pStyle w:val="BodyText"/>
        <w:spacing w:before="242"/>
        <w:rPr>
          <w:i/>
          <w:sz w:val="21"/>
        </w:rPr>
      </w:pPr>
    </w:p>
    <w:p>
      <w:pPr>
        <w:spacing w:before="0"/>
        <w:ind w:left="463" w:right="261" w:firstLine="0"/>
        <w:jc w:val="left"/>
        <w:rPr>
          <w:sz w:val="18"/>
        </w:rPr>
      </w:pPr>
      <w:bookmarkStart w:name="_bookmark194" w:id="384"/>
      <w:bookmarkEnd w:id="384"/>
      <w:r>
        <w:rPr/>
      </w:r>
      <w:r>
        <w:rPr>
          <w:sz w:val="18"/>
          <w:vertAlign w:val="superscript"/>
        </w:rPr>
        <w:t>1</w:t>
      </w:r>
      <w:r>
        <w:rPr>
          <w:spacing w:val="-13"/>
          <w:sz w:val="18"/>
          <w:vertAlign w:val="baseline"/>
        </w:rPr>
        <w:t> </w:t>
      </w:r>
      <w:r>
        <w:rPr>
          <w:sz w:val="18"/>
          <w:vertAlign w:val="baseline"/>
        </w:rPr>
        <w:t>“Polling</w:t>
      </w:r>
      <w:r>
        <w:rPr>
          <w:spacing w:val="-4"/>
          <w:sz w:val="18"/>
          <w:vertAlign w:val="baseline"/>
        </w:rPr>
        <w:t> </w:t>
      </w:r>
      <w:r>
        <w:rPr>
          <w:sz w:val="18"/>
          <w:vertAlign w:val="baseline"/>
        </w:rPr>
        <w:t>Spotlight:</w:t>
      </w:r>
      <w:r>
        <w:rPr>
          <w:spacing w:val="-2"/>
          <w:sz w:val="18"/>
          <w:vertAlign w:val="baseline"/>
        </w:rPr>
        <w:t> </w:t>
      </w:r>
      <w:r>
        <w:rPr>
          <w:sz w:val="18"/>
          <w:vertAlign w:val="baseline"/>
        </w:rPr>
        <w:t>Understanding</w:t>
      </w:r>
      <w:r>
        <w:rPr>
          <w:spacing w:val="-2"/>
          <w:sz w:val="18"/>
          <w:vertAlign w:val="baseline"/>
        </w:rPr>
        <w:t> </w:t>
      </w:r>
      <w:r>
        <w:rPr>
          <w:sz w:val="18"/>
          <w:vertAlign w:val="baseline"/>
        </w:rPr>
        <w:t>the</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3"/>
          <w:sz w:val="18"/>
          <w:vertAlign w:val="baseline"/>
        </w:rPr>
        <w:t> </w:t>
      </w:r>
      <w:r>
        <w:rPr>
          <w:sz w:val="18"/>
          <w:vertAlign w:val="baseline"/>
        </w:rPr>
        <w:t>Birthing</w:t>
      </w:r>
      <w:r>
        <w:rPr>
          <w:spacing w:val="-2"/>
          <w:sz w:val="18"/>
          <w:vertAlign w:val="baseline"/>
        </w:rPr>
        <w:t> </w:t>
      </w:r>
      <w:r>
        <w:rPr>
          <w:sz w:val="18"/>
          <w:vertAlign w:val="baseline"/>
        </w:rPr>
        <w:t>People,”</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Health</w:t>
      </w:r>
      <w:r>
        <w:rPr>
          <w:spacing w:val="-2"/>
          <w:sz w:val="18"/>
          <w:vertAlign w:val="baseline"/>
        </w:rPr>
        <w:t> </w:t>
      </w:r>
      <w:r>
        <w:rPr>
          <w:sz w:val="18"/>
          <w:vertAlign w:val="baseline"/>
        </w:rPr>
        <w:t>Justice,</w:t>
      </w:r>
      <w:r>
        <w:rPr>
          <w:spacing w:val="-3"/>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24,</w:t>
      </w:r>
      <w:r>
        <w:rPr>
          <w:spacing w:val="-3"/>
          <w:sz w:val="18"/>
          <w:vertAlign w:val="baseline"/>
        </w:rPr>
        <w:t> </w:t>
      </w:r>
      <w:r>
        <w:rPr>
          <w:sz w:val="18"/>
          <w:vertAlign w:val="baseline"/>
        </w:rPr>
        <w:t>2023, </w:t>
      </w:r>
      <w:bookmarkStart w:name="_bookmark195" w:id="385"/>
      <w:bookmarkEnd w:id="385"/>
      <w:r>
        <w:rPr>
          <w:spacing w:val="-2"/>
          <w:sz w:val="18"/>
          <w:vertAlign w:val="baseline"/>
        </w:rPr>
        <w:t>h</w:t>
      </w:r>
      <w:r>
        <w:rPr>
          <w:spacing w:val="-2"/>
          <w:sz w:val="18"/>
          <w:vertAlign w:val="baseline"/>
        </w:rPr>
        <w:t>ttps://</w:t>
      </w:r>
      <w:hyperlink r:id="rId324">
        <w:r>
          <w:rPr>
            <w:spacing w:val="-2"/>
            <w:sz w:val="18"/>
            <w:vertAlign w:val="baseline"/>
          </w:rPr>
          <w:t>www.aamchealthjustice.org/news/polling/lgbtq-birth.</w:t>
        </w:r>
      </w:hyperlink>
    </w:p>
    <w:p>
      <w:pPr>
        <w:spacing w:before="0"/>
        <w:ind w:left="463" w:right="261" w:hanging="1"/>
        <w:jc w:val="left"/>
        <w:rPr>
          <w:sz w:val="18"/>
        </w:rPr>
      </w:pPr>
      <w:r>
        <w:rPr>
          <w:sz w:val="18"/>
          <w:vertAlign w:val="superscript"/>
        </w:rPr>
        <w:t>2</w:t>
      </w:r>
      <w:r>
        <w:rPr>
          <w:spacing w:val="-13"/>
          <w:sz w:val="18"/>
          <w:vertAlign w:val="baseline"/>
        </w:rPr>
        <w:t> </w:t>
      </w:r>
      <w:r>
        <w:rPr>
          <w:sz w:val="18"/>
          <w:vertAlign w:val="baseline"/>
        </w:rPr>
        <w:t>Meghan</w:t>
      </w:r>
      <w:r>
        <w:rPr>
          <w:spacing w:val="-4"/>
          <w:sz w:val="18"/>
          <w:vertAlign w:val="baseline"/>
        </w:rPr>
        <w:t> </w:t>
      </w:r>
      <w:r>
        <w:rPr>
          <w:sz w:val="18"/>
          <w:vertAlign w:val="baseline"/>
        </w:rPr>
        <w:t>Romanelli</w:t>
      </w:r>
      <w:r>
        <w:rPr>
          <w:spacing w:val="-3"/>
          <w:sz w:val="18"/>
          <w:vertAlign w:val="baseline"/>
        </w:rPr>
        <w:t> </w:t>
      </w:r>
      <w:r>
        <w:rPr>
          <w:sz w:val="18"/>
          <w:vertAlign w:val="baseline"/>
        </w:rPr>
        <w:t>and</w:t>
      </w:r>
      <w:r>
        <w:rPr>
          <w:spacing w:val="-2"/>
          <w:sz w:val="18"/>
          <w:vertAlign w:val="baseline"/>
        </w:rPr>
        <w:t> </w:t>
      </w:r>
      <w:r>
        <w:rPr>
          <w:sz w:val="18"/>
          <w:vertAlign w:val="baseline"/>
        </w:rPr>
        <w:t>Kimberly</w:t>
      </w:r>
      <w:r>
        <w:rPr>
          <w:spacing w:val="-2"/>
          <w:sz w:val="18"/>
          <w:vertAlign w:val="baseline"/>
        </w:rPr>
        <w:t> </w:t>
      </w:r>
      <w:r>
        <w:rPr>
          <w:sz w:val="18"/>
          <w:vertAlign w:val="baseline"/>
        </w:rPr>
        <w:t>D.</w:t>
      </w:r>
      <w:r>
        <w:rPr>
          <w:spacing w:val="-2"/>
          <w:sz w:val="18"/>
          <w:vertAlign w:val="baseline"/>
        </w:rPr>
        <w:t> </w:t>
      </w:r>
      <w:r>
        <w:rPr>
          <w:sz w:val="18"/>
          <w:vertAlign w:val="baseline"/>
        </w:rPr>
        <w:t>Hudson,</w:t>
      </w:r>
      <w:r>
        <w:rPr>
          <w:spacing w:val="-3"/>
          <w:sz w:val="18"/>
          <w:vertAlign w:val="baseline"/>
        </w:rPr>
        <w:t> </w:t>
      </w:r>
      <w:r>
        <w:rPr>
          <w:sz w:val="18"/>
          <w:vertAlign w:val="baseline"/>
        </w:rPr>
        <w:t>“Individual</w:t>
      </w:r>
      <w:r>
        <w:rPr>
          <w:spacing w:val="-3"/>
          <w:sz w:val="18"/>
          <w:vertAlign w:val="baseline"/>
        </w:rPr>
        <w:t> </w:t>
      </w:r>
      <w:r>
        <w:rPr>
          <w:sz w:val="18"/>
          <w:vertAlign w:val="baseline"/>
        </w:rPr>
        <w:t>and</w:t>
      </w:r>
      <w:r>
        <w:rPr>
          <w:spacing w:val="-2"/>
          <w:sz w:val="18"/>
          <w:vertAlign w:val="baseline"/>
        </w:rPr>
        <w:t> </w:t>
      </w:r>
      <w:r>
        <w:rPr>
          <w:sz w:val="18"/>
          <w:vertAlign w:val="baseline"/>
        </w:rPr>
        <w:t>Systemic</w:t>
      </w:r>
      <w:r>
        <w:rPr>
          <w:spacing w:val="-3"/>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Health</w:t>
      </w:r>
      <w:r>
        <w:rPr>
          <w:spacing w:val="-2"/>
          <w:sz w:val="18"/>
          <w:vertAlign w:val="baseline"/>
        </w:rPr>
        <w:t> </w:t>
      </w:r>
      <w:r>
        <w:rPr>
          <w:sz w:val="18"/>
          <w:vertAlign w:val="baseline"/>
        </w:rPr>
        <w:t>Care:</w:t>
      </w:r>
      <w:r>
        <w:rPr>
          <w:spacing w:val="-2"/>
          <w:sz w:val="18"/>
          <w:vertAlign w:val="baseline"/>
        </w:rPr>
        <w:t> </w:t>
      </w:r>
      <w:r>
        <w:rPr>
          <w:sz w:val="18"/>
          <w:vertAlign w:val="baseline"/>
        </w:rPr>
        <w:t>Perspectives</w:t>
      </w:r>
      <w:r>
        <w:rPr>
          <w:spacing w:val="-2"/>
          <w:sz w:val="18"/>
          <w:vertAlign w:val="baseline"/>
        </w:rPr>
        <w:t> </w:t>
      </w:r>
      <w:r>
        <w:rPr>
          <w:sz w:val="18"/>
          <w:vertAlign w:val="baseline"/>
        </w:rPr>
        <w:t>of</w:t>
      </w:r>
      <w:r>
        <w:rPr>
          <w:spacing w:val="-2"/>
          <w:sz w:val="18"/>
          <w:vertAlign w:val="baseline"/>
        </w:rPr>
        <w:t> </w:t>
      </w:r>
      <w:r>
        <w:rPr>
          <w:sz w:val="18"/>
          <w:vertAlign w:val="baseline"/>
        </w:rPr>
        <w:t>Lesbian,</w:t>
      </w:r>
      <w:r>
        <w:rPr>
          <w:spacing w:val="-3"/>
          <w:sz w:val="18"/>
          <w:vertAlign w:val="baseline"/>
        </w:rPr>
        <w:t> </w:t>
      </w:r>
      <w:r>
        <w:rPr>
          <w:sz w:val="18"/>
          <w:vertAlign w:val="baseline"/>
        </w:rPr>
        <w:t>Gay, Bisexual, and Transgender Adults,” </w:t>
      </w:r>
      <w:r>
        <w:rPr>
          <w:i/>
          <w:sz w:val="18"/>
          <w:vertAlign w:val="baseline"/>
        </w:rPr>
        <w:t>American Journal of Orthopsychiatry </w:t>
      </w:r>
      <w:r>
        <w:rPr>
          <w:sz w:val="18"/>
          <w:vertAlign w:val="baseline"/>
        </w:rPr>
        <w:t>87, no. 6 (2017): 714–28, </w:t>
      </w:r>
      <w:bookmarkStart w:name="_bookmark196" w:id="386"/>
      <w:bookmarkEnd w:id="386"/>
      <w:r>
        <w:rPr>
          <w:sz w:val="18"/>
          <w:vertAlign w:val="baseline"/>
        </w:rPr>
      </w:r>
      <w:hyperlink r:id="rId325">
        <w:r>
          <w:rPr>
            <w:color w:val="0561C1"/>
            <w:spacing w:val="-2"/>
            <w:sz w:val="18"/>
            <w:u w:val="single" w:color="0561C1"/>
            <w:vertAlign w:val="baseline"/>
          </w:rPr>
          <w:t>https://doi.org/10.1037/ort0000306</w:t>
        </w:r>
      </w:hyperlink>
      <w:hyperlink r:id="rId325">
        <w:r>
          <w:rPr>
            <w:spacing w:val="-2"/>
            <w:sz w:val="18"/>
            <w:u w:val="none"/>
            <w:vertAlign w:val="baseline"/>
          </w:rPr>
          <w:t>.</w:t>
        </w:r>
      </w:hyperlink>
    </w:p>
    <w:p>
      <w:pPr>
        <w:spacing w:before="0"/>
        <w:ind w:left="463" w:right="391" w:hanging="1"/>
        <w:jc w:val="left"/>
        <w:rPr>
          <w:sz w:val="18"/>
        </w:rPr>
      </w:pPr>
      <w:r>
        <w:rPr>
          <w:sz w:val="18"/>
          <w:vertAlign w:val="superscript"/>
        </w:rPr>
        <w:t>3</w:t>
      </w:r>
      <w:r>
        <w:rPr>
          <w:spacing w:val="-13"/>
          <w:sz w:val="18"/>
          <w:vertAlign w:val="baseline"/>
        </w:rPr>
        <w:t> </w:t>
      </w:r>
      <w:r>
        <w:rPr>
          <w:sz w:val="18"/>
          <w:vertAlign w:val="baseline"/>
        </w:rPr>
        <w:t>James,</w:t>
      </w:r>
      <w:r>
        <w:rPr>
          <w:spacing w:val="-3"/>
          <w:sz w:val="18"/>
          <w:vertAlign w:val="baseline"/>
        </w:rPr>
        <w:t> </w:t>
      </w:r>
      <w:r>
        <w:rPr>
          <w:sz w:val="18"/>
          <w:vertAlign w:val="baseline"/>
        </w:rPr>
        <w:t>S.</w:t>
      </w:r>
      <w:r>
        <w:rPr>
          <w:spacing w:val="-1"/>
          <w:sz w:val="18"/>
          <w:vertAlign w:val="baseline"/>
        </w:rPr>
        <w:t> </w:t>
      </w:r>
      <w:r>
        <w:rPr>
          <w:sz w:val="18"/>
          <w:vertAlign w:val="baseline"/>
        </w:rPr>
        <w:t>E.,</w:t>
      </w:r>
      <w:r>
        <w:rPr>
          <w:spacing w:val="-2"/>
          <w:sz w:val="18"/>
          <w:vertAlign w:val="baseline"/>
        </w:rPr>
        <w:t> </w:t>
      </w:r>
      <w:r>
        <w:rPr>
          <w:sz w:val="18"/>
          <w:vertAlign w:val="baseline"/>
        </w:rPr>
        <w:t>Herman,</w:t>
      </w:r>
      <w:r>
        <w:rPr>
          <w:spacing w:val="-2"/>
          <w:sz w:val="18"/>
          <w:vertAlign w:val="baseline"/>
        </w:rPr>
        <w:t> </w:t>
      </w:r>
      <w:r>
        <w:rPr>
          <w:sz w:val="18"/>
          <w:vertAlign w:val="baseline"/>
        </w:rPr>
        <w:t>J.</w:t>
      </w:r>
      <w:r>
        <w:rPr>
          <w:spacing w:val="-1"/>
          <w:sz w:val="18"/>
          <w:vertAlign w:val="baseline"/>
        </w:rPr>
        <w:t> </w:t>
      </w:r>
      <w:r>
        <w:rPr>
          <w:sz w:val="18"/>
          <w:vertAlign w:val="baseline"/>
        </w:rPr>
        <w:t>L.,</w:t>
      </w:r>
      <w:r>
        <w:rPr>
          <w:spacing w:val="-2"/>
          <w:sz w:val="18"/>
          <w:vertAlign w:val="baseline"/>
        </w:rPr>
        <w:t> </w:t>
      </w:r>
      <w:r>
        <w:rPr>
          <w:sz w:val="18"/>
          <w:vertAlign w:val="baseline"/>
        </w:rPr>
        <w:t>Rankin,</w:t>
      </w:r>
      <w:r>
        <w:rPr>
          <w:spacing w:val="-2"/>
          <w:sz w:val="18"/>
          <w:vertAlign w:val="baseline"/>
        </w:rPr>
        <w:t> </w:t>
      </w:r>
      <w:r>
        <w:rPr>
          <w:sz w:val="18"/>
          <w:vertAlign w:val="baseline"/>
        </w:rPr>
        <w:t>S.,</w:t>
      </w:r>
      <w:r>
        <w:rPr>
          <w:spacing w:val="-2"/>
          <w:sz w:val="18"/>
          <w:vertAlign w:val="baseline"/>
        </w:rPr>
        <w:t> </w:t>
      </w:r>
      <w:r>
        <w:rPr>
          <w:sz w:val="18"/>
          <w:vertAlign w:val="baseline"/>
        </w:rPr>
        <w:t>Keisling,</w:t>
      </w:r>
      <w:r>
        <w:rPr>
          <w:spacing w:val="-2"/>
          <w:sz w:val="18"/>
          <w:vertAlign w:val="baseline"/>
        </w:rPr>
        <w:t> </w:t>
      </w:r>
      <w:r>
        <w:rPr>
          <w:sz w:val="18"/>
          <w:vertAlign w:val="baseline"/>
        </w:rPr>
        <w:t>M.,</w:t>
      </w:r>
      <w:r>
        <w:rPr>
          <w:spacing w:val="-2"/>
          <w:sz w:val="18"/>
          <w:vertAlign w:val="baseline"/>
        </w:rPr>
        <w:t> </w:t>
      </w:r>
      <w:r>
        <w:rPr>
          <w:sz w:val="18"/>
          <w:vertAlign w:val="baseline"/>
        </w:rPr>
        <w:t>Mottet,</w:t>
      </w:r>
      <w:r>
        <w:rPr>
          <w:spacing w:val="-2"/>
          <w:sz w:val="18"/>
          <w:vertAlign w:val="baseline"/>
        </w:rPr>
        <w:t> </w:t>
      </w:r>
      <w:r>
        <w:rPr>
          <w:sz w:val="18"/>
          <w:vertAlign w:val="baseline"/>
        </w:rPr>
        <w:t>L.,</w:t>
      </w:r>
      <w:r>
        <w:rPr>
          <w:spacing w:val="-2"/>
          <w:sz w:val="18"/>
          <w:vertAlign w:val="baseline"/>
        </w:rPr>
        <w:t> </w:t>
      </w:r>
      <w:r>
        <w:rPr>
          <w:sz w:val="18"/>
          <w:vertAlign w:val="baseline"/>
        </w:rPr>
        <w:t>&amp;</w:t>
      </w:r>
      <w:r>
        <w:rPr>
          <w:spacing w:val="-2"/>
          <w:sz w:val="18"/>
          <w:vertAlign w:val="baseline"/>
        </w:rPr>
        <w:t> </w:t>
      </w:r>
      <w:r>
        <w:rPr>
          <w:sz w:val="18"/>
          <w:vertAlign w:val="baseline"/>
        </w:rPr>
        <w:t>Anafi,</w:t>
      </w:r>
      <w:r>
        <w:rPr>
          <w:spacing w:val="-2"/>
          <w:sz w:val="18"/>
          <w:vertAlign w:val="baseline"/>
        </w:rPr>
        <w:t> </w:t>
      </w:r>
      <w:r>
        <w:rPr>
          <w:sz w:val="18"/>
          <w:vertAlign w:val="baseline"/>
        </w:rPr>
        <w:t>M.</w:t>
      </w:r>
      <w:r>
        <w:rPr>
          <w:spacing w:val="-1"/>
          <w:sz w:val="18"/>
          <w:vertAlign w:val="baseline"/>
        </w:rPr>
        <w:t> </w:t>
      </w:r>
      <w:r>
        <w:rPr>
          <w:sz w:val="18"/>
          <w:vertAlign w:val="baseline"/>
        </w:rPr>
        <w:t>(2016).</w:t>
      </w:r>
      <w:r>
        <w:rPr>
          <w:spacing w:val="-2"/>
          <w:sz w:val="18"/>
          <w:vertAlign w:val="baseline"/>
        </w:rPr>
        <w:t> </w:t>
      </w:r>
      <w:r>
        <w:rPr>
          <w:sz w:val="18"/>
          <w:vertAlign w:val="baseline"/>
        </w:rPr>
        <w:t>The</w:t>
      </w:r>
      <w:r>
        <w:rPr>
          <w:spacing w:val="-1"/>
          <w:sz w:val="18"/>
          <w:vertAlign w:val="baseline"/>
        </w:rPr>
        <w:t> </w:t>
      </w:r>
      <w:r>
        <w:rPr>
          <w:sz w:val="18"/>
          <w:vertAlign w:val="baseline"/>
        </w:rPr>
        <w:t>Report</w:t>
      </w:r>
      <w:r>
        <w:rPr>
          <w:spacing w:val="-2"/>
          <w:sz w:val="18"/>
          <w:vertAlign w:val="baseline"/>
        </w:rPr>
        <w:t> </w:t>
      </w:r>
      <w:r>
        <w:rPr>
          <w:sz w:val="18"/>
          <w:vertAlign w:val="baseline"/>
        </w:rPr>
        <w:t>of</w:t>
      </w:r>
      <w:r>
        <w:rPr>
          <w:spacing w:val="-1"/>
          <w:sz w:val="18"/>
          <w:vertAlign w:val="baseline"/>
        </w:rPr>
        <w:t> </w:t>
      </w:r>
      <w:r>
        <w:rPr>
          <w:sz w:val="18"/>
          <w:vertAlign w:val="baseline"/>
        </w:rPr>
        <w:t>the</w:t>
      </w:r>
      <w:r>
        <w:rPr>
          <w:spacing w:val="-1"/>
          <w:sz w:val="18"/>
          <w:vertAlign w:val="baseline"/>
        </w:rPr>
        <w:t> </w:t>
      </w:r>
      <w:r>
        <w:rPr>
          <w:sz w:val="18"/>
          <w:vertAlign w:val="baseline"/>
        </w:rPr>
        <w:t>2015</w:t>
      </w:r>
      <w:r>
        <w:rPr>
          <w:spacing w:val="-1"/>
          <w:sz w:val="18"/>
          <w:vertAlign w:val="baseline"/>
        </w:rPr>
        <w:t> </w:t>
      </w:r>
      <w:r>
        <w:rPr>
          <w:sz w:val="18"/>
          <w:vertAlign w:val="baseline"/>
        </w:rPr>
        <w:t>U.S.</w:t>
      </w:r>
      <w:r>
        <w:rPr>
          <w:spacing w:val="-1"/>
          <w:sz w:val="18"/>
          <w:vertAlign w:val="baseline"/>
        </w:rPr>
        <w:t> </w:t>
      </w:r>
      <w:r>
        <w:rPr>
          <w:sz w:val="18"/>
          <w:vertAlign w:val="baseline"/>
        </w:rPr>
        <w:t>Transgender </w:t>
      </w:r>
      <w:bookmarkStart w:name="_bookmark197" w:id="387"/>
      <w:bookmarkEnd w:id="387"/>
      <w:r>
        <w:rPr>
          <w:sz w:val="18"/>
          <w:vertAlign w:val="baseline"/>
        </w:rPr>
        <w:t>Su</w:t>
      </w:r>
      <w:r>
        <w:rPr>
          <w:sz w:val="18"/>
          <w:vertAlign w:val="baseline"/>
        </w:rPr>
        <w:t>rvey. Washington, DC: National Center for Transgender Equality.</w:t>
      </w:r>
    </w:p>
    <w:p>
      <w:pPr>
        <w:spacing w:before="0"/>
        <w:ind w:left="463" w:right="964" w:hanging="1"/>
        <w:jc w:val="left"/>
        <w:rPr>
          <w:sz w:val="18"/>
        </w:rPr>
      </w:pPr>
      <w:r>
        <w:rPr>
          <w:sz w:val="18"/>
          <w:vertAlign w:val="superscript"/>
        </w:rPr>
        <w:t>4</w:t>
      </w:r>
      <w:r>
        <w:rPr>
          <w:spacing w:val="-13"/>
          <w:sz w:val="18"/>
          <w:vertAlign w:val="baseline"/>
        </w:rPr>
        <w:t> </w:t>
      </w:r>
      <w:r>
        <w:rPr>
          <w:sz w:val="18"/>
          <w:vertAlign w:val="baseline"/>
        </w:rPr>
        <w:t>Abbi</w:t>
      </w:r>
      <w:r>
        <w:rPr>
          <w:spacing w:val="-4"/>
          <w:sz w:val="18"/>
          <w:vertAlign w:val="baseline"/>
        </w:rPr>
        <w:t> </w:t>
      </w:r>
      <w:r>
        <w:rPr>
          <w:sz w:val="18"/>
          <w:vertAlign w:val="baseline"/>
        </w:rPr>
        <w:t>Coursolle,</w:t>
      </w:r>
      <w:r>
        <w:rPr>
          <w:spacing w:val="-3"/>
          <w:sz w:val="18"/>
          <w:vertAlign w:val="baseline"/>
        </w:rPr>
        <w:t> </w:t>
      </w:r>
      <w:r>
        <w:rPr>
          <w:sz w:val="18"/>
          <w:vertAlign w:val="baseline"/>
        </w:rPr>
        <w:t>“Meeting</w:t>
      </w:r>
      <w:r>
        <w:rPr>
          <w:spacing w:val="-2"/>
          <w:sz w:val="18"/>
          <w:vertAlign w:val="baseline"/>
        </w:rPr>
        <w:t> </w:t>
      </w:r>
      <w:r>
        <w:rPr>
          <w:sz w:val="18"/>
          <w:vertAlign w:val="baseline"/>
        </w:rPr>
        <w:t>the</w:t>
      </w:r>
      <w:r>
        <w:rPr>
          <w:spacing w:val="-2"/>
          <w:sz w:val="18"/>
          <w:vertAlign w:val="baseline"/>
        </w:rPr>
        <w:t> </w:t>
      </w:r>
      <w:r>
        <w:rPr>
          <w:sz w:val="18"/>
          <w:vertAlign w:val="baseline"/>
        </w:rPr>
        <w:t>Health</w:t>
      </w:r>
      <w:r>
        <w:rPr>
          <w:spacing w:val="-2"/>
          <w:sz w:val="18"/>
          <w:vertAlign w:val="baseline"/>
        </w:rPr>
        <w:t> </w:t>
      </w:r>
      <w:r>
        <w:rPr>
          <w:sz w:val="18"/>
          <w:vertAlign w:val="baseline"/>
        </w:rPr>
        <w:t>Care</w:t>
      </w:r>
      <w:r>
        <w:rPr>
          <w:spacing w:val="-2"/>
          <w:sz w:val="18"/>
          <w:vertAlign w:val="baseline"/>
        </w:rPr>
        <w:t> </w:t>
      </w:r>
      <w:r>
        <w:rPr>
          <w:sz w:val="18"/>
          <w:vertAlign w:val="baseline"/>
        </w:rPr>
        <w:t>Needs</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4"/>
          <w:sz w:val="18"/>
          <w:vertAlign w:val="baseline"/>
        </w:rPr>
        <w:t> </w:t>
      </w:r>
      <w:r>
        <w:rPr>
          <w:sz w:val="18"/>
          <w:vertAlign w:val="baseline"/>
        </w:rPr>
        <w:t>Immigrants,”</w:t>
      </w:r>
      <w:r>
        <w:rPr>
          <w:spacing w:val="-2"/>
          <w:sz w:val="18"/>
          <w:vertAlign w:val="baseline"/>
        </w:rPr>
        <w:t> </w:t>
      </w:r>
      <w:r>
        <w:rPr>
          <w:sz w:val="18"/>
          <w:vertAlign w:val="baseline"/>
        </w:rPr>
        <w:t>National</w:t>
      </w:r>
      <w:r>
        <w:rPr>
          <w:spacing w:val="-3"/>
          <w:sz w:val="18"/>
          <w:vertAlign w:val="baseline"/>
        </w:rPr>
        <w:t> </w:t>
      </w:r>
      <w:r>
        <w:rPr>
          <w:sz w:val="18"/>
          <w:vertAlign w:val="baseline"/>
        </w:rPr>
        <w:t>Health</w:t>
      </w:r>
      <w:r>
        <w:rPr>
          <w:spacing w:val="-2"/>
          <w:sz w:val="18"/>
          <w:vertAlign w:val="baseline"/>
        </w:rPr>
        <w:t> </w:t>
      </w:r>
      <w:r>
        <w:rPr>
          <w:sz w:val="18"/>
          <w:vertAlign w:val="baseline"/>
        </w:rPr>
        <w:t>Law</w:t>
      </w:r>
      <w:r>
        <w:rPr>
          <w:spacing w:val="-3"/>
          <w:sz w:val="18"/>
          <w:vertAlign w:val="baseline"/>
        </w:rPr>
        <w:t> </w:t>
      </w:r>
      <w:r>
        <w:rPr>
          <w:sz w:val="18"/>
          <w:vertAlign w:val="baseline"/>
        </w:rPr>
        <w:t>Program,</w:t>
      </w:r>
      <w:r>
        <w:rPr>
          <w:spacing w:val="-3"/>
          <w:sz w:val="18"/>
          <w:vertAlign w:val="baseline"/>
        </w:rPr>
        <w:t> </w:t>
      </w:r>
      <w:r>
        <w:rPr>
          <w:sz w:val="18"/>
          <w:vertAlign w:val="baseline"/>
        </w:rPr>
        <w:t>August</w:t>
      </w:r>
      <w:r>
        <w:rPr>
          <w:spacing w:val="-3"/>
          <w:sz w:val="18"/>
          <w:vertAlign w:val="baseline"/>
        </w:rPr>
        <w:t> </w:t>
      </w:r>
      <w:r>
        <w:rPr>
          <w:sz w:val="18"/>
          <w:vertAlign w:val="baseline"/>
        </w:rPr>
        <w:t>16,</w:t>
      </w:r>
      <w:r>
        <w:rPr>
          <w:spacing w:val="-3"/>
          <w:sz w:val="18"/>
          <w:vertAlign w:val="baseline"/>
        </w:rPr>
        <w:t> </w:t>
      </w:r>
      <w:r>
        <w:rPr>
          <w:sz w:val="18"/>
          <w:vertAlign w:val="baseline"/>
        </w:rPr>
        <w:t>2021, </w:t>
      </w:r>
      <w:hyperlink r:id="rId326">
        <w:r>
          <w:rPr>
            <w:color w:val="0561C1"/>
            <w:spacing w:val="-2"/>
            <w:sz w:val="18"/>
            <w:u w:val="single" w:color="0561C1"/>
            <w:vertAlign w:val="baseline"/>
          </w:rPr>
          <w:t>https://healthlaw.org/meeting-the-health-care-needs-of-lgbtq-immigrants/</w:t>
        </w:r>
      </w:hyperlink>
      <w:hyperlink r:id="rId326">
        <w:r>
          <w:rPr>
            <w:spacing w:val="-2"/>
            <w:sz w:val="18"/>
            <w:u w:val="none"/>
            <w:vertAlign w:val="baseline"/>
          </w:rPr>
          <w:t>.</w:t>
        </w:r>
      </w:hyperlink>
    </w:p>
    <w:p>
      <w:pPr>
        <w:spacing w:before="0"/>
        <w:ind w:left="463" w:right="261" w:hanging="1"/>
        <w:jc w:val="left"/>
        <w:rPr>
          <w:sz w:val="18"/>
        </w:rPr>
      </w:pPr>
      <w:bookmarkStart w:name="_bookmark198" w:id="388"/>
      <w:bookmarkEnd w:id="388"/>
      <w:r>
        <w:rPr/>
      </w:r>
      <w:r>
        <w:rPr>
          <w:sz w:val="18"/>
          <w:vertAlign w:val="superscript"/>
        </w:rPr>
        <w:t>5</w:t>
      </w:r>
      <w:r>
        <w:rPr>
          <w:spacing w:val="-13"/>
          <w:sz w:val="18"/>
          <w:vertAlign w:val="baseline"/>
        </w:rPr>
        <w:t> </w:t>
      </w:r>
      <w:r>
        <w:rPr>
          <w:sz w:val="18"/>
          <w:vertAlign w:val="baseline"/>
        </w:rPr>
        <w:t>Wingo,</w:t>
      </w:r>
      <w:r>
        <w:rPr>
          <w:spacing w:val="-5"/>
          <w:sz w:val="18"/>
          <w:vertAlign w:val="baseline"/>
        </w:rPr>
        <w:t> </w:t>
      </w:r>
      <w:r>
        <w:rPr>
          <w:sz w:val="18"/>
          <w:vertAlign w:val="baseline"/>
        </w:rPr>
        <w:t>Erin,</w:t>
      </w:r>
      <w:r>
        <w:rPr>
          <w:spacing w:val="-3"/>
          <w:sz w:val="18"/>
          <w:vertAlign w:val="baseline"/>
        </w:rPr>
        <w:t> </w:t>
      </w:r>
      <w:r>
        <w:rPr>
          <w:sz w:val="18"/>
          <w:vertAlign w:val="baseline"/>
        </w:rPr>
        <w:t>Natalie</w:t>
      </w:r>
      <w:r>
        <w:rPr>
          <w:spacing w:val="-2"/>
          <w:sz w:val="18"/>
          <w:vertAlign w:val="baseline"/>
        </w:rPr>
        <w:t> </w:t>
      </w:r>
      <w:r>
        <w:rPr>
          <w:sz w:val="18"/>
          <w:vertAlign w:val="baseline"/>
        </w:rPr>
        <w:t>Ingraham,</w:t>
      </w:r>
      <w:r>
        <w:rPr>
          <w:spacing w:val="-3"/>
          <w:sz w:val="18"/>
          <w:vertAlign w:val="baseline"/>
        </w:rPr>
        <w:t> </w:t>
      </w:r>
      <w:r>
        <w:rPr>
          <w:sz w:val="18"/>
          <w:vertAlign w:val="baseline"/>
        </w:rPr>
        <w:t>and</w:t>
      </w:r>
      <w:r>
        <w:rPr>
          <w:spacing w:val="-2"/>
          <w:sz w:val="18"/>
          <w:vertAlign w:val="baseline"/>
        </w:rPr>
        <w:t> </w:t>
      </w:r>
      <w:r>
        <w:rPr>
          <w:sz w:val="18"/>
          <w:vertAlign w:val="baseline"/>
        </w:rPr>
        <w:t>Sarah</w:t>
      </w:r>
      <w:r>
        <w:rPr>
          <w:spacing w:val="-2"/>
          <w:sz w:val="18"/>
          <w:vertAlign w:val="baseline"/>
        </w:rPr>
        <w:t> </w:t>
      </w:r>
      <w:r>
        <w:rPr>
          <w:sz w:val="18"/>
          <w:vertAlign w:val="baseline"/>
        </w:rPr>
        <w:t>C.M.</w:t>
      </w:r>
      <w:r>
        <w:rPr>
          <w:spacing w:val="-3"/>
          <w:sz w:val="18"/>
          <w:vertAlign w:val="baseline"/>
        </w:rPr>
        <w:t> </w:t>
      </w:r>
      <w:r>
        <w:rPr>
          <w:sz w:val="18"/>
          <w:vertAlign w:val="baseline"/>
        </w:rPr>
        <w:t>Roberts.</w:t>
      </w:r>
      <w:r>
        <w:rPr>
          <w:spacing w:val="-2"/>
          <w:sz w:val="18"/>
          <w:vertAlign w:val="baseline"/>
        </w:rPr>
        <w:t> </w:t>
      </w:r>
      <w:r>
        <w:rPr>
          <w:sz w:val="18"/>
          <w:vertAlign w:val="baseline"/>
        </w:rPr>
        <w:t>“Reproductive</w:t>
      </w:r>
      <w:r>
        <w:rPr>
          <w:spacing w:val="-2"/>
          <w:sz w:val="18"/>
          <w:vertAlign w:val="baseline"/>
        </w:rPr>
        <w:t> </w:t>
      </w:r>
      <w:r>
        <w:rPr>
          <w:sz w:val="18"/>
          <w:vertAlign w:val="baseline"/>
        </w:rPr>
        <w:t>Health</w:t>
      </w:r>
      <w:r>
        <w:rPr>
          <w:spacing w:val="-2"/>
          <w:sz w:val="18"/>
          <w:vertAlign w:val="baseline"/>
        </w:rPr>
        <w:t> </w:t>
      </w:r>
      <w:r>
        <w:rPr>
          <w:sz w:val="18"/>
          <w:vertAlign w:val="baseline"/>
        </w:rPr>
        <w:t>Care</w:t>
      </w:r>
      <w:r>
        <w:rPr>
          <w:spacing w:val="-2"/>
          <w:sz w:val="18"/>
          <w:vertAlign w:val="baseline"/>
        </w:rPr>
        <w:t> </w:t>
      </w:r>
      <w:r>
        <w:rPr>
          <w:sz w:val="18"/>
          <w:vertAlign w:val="baseline"/>
        </w:rPr>
        <w:t>Priorities</w:t>
      </w:r>
      <w:r>
        <w:rPr>
          <w:spacing w:val="-2"/>
          <w:sz w:val="18"/>
          <w:vertAlign w:val="baseline"/>
        </w:rPr>
        <w:t> </w:t>
      </w:r>
      <w:r>
        <w:rPr>
          <w:sz w:val="18"/>
          <w:vertAlign w:val="baseline"/>
        </w:rPr>
        <w:t>and</w:t>
      </w:r>
      <w:r>
        <w:rPr>
          <w:spacing w:val="-2"/>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Effective</w:t>
      </w:r>
      <w:r>
        <w:rPr>
          <w:spacing w:val="-2"/>
          <w:sz w:val="18"/>
          <w:vertAlign w:val="baseline"/>
        </w:rPr>
        <w:t> </w:t>
      </w:r>
      <w:r>
        <w:rPr>
          <w:sz w:val="18"/>
          <w:vertAlign w:val="baseline"/>
        </w:rPr>
        <w:t>Care</w:t>
      </w:r>
      <w:r>
        <w:rPr>
          <w:spacing w:val="-2"/>
          <w:sz w:val="18"/>
          <w:vertAlign w:val="baseline"/>
        </w:rPr>
        <w:t> </w:t>
      </w:r>
      <w:r>
        <w:rPr>
          <w:sz w:val="18"/>
          <w:vertAlign w:val="baseline"/>
        </w:rPr>
        <w:t>for LGBTQ People Assigned Female at Birth: A Qualitative Study.” </w:t>
      </w:r>
      <w:r>
        <w:rPr>
          <w:i/>
          <w:sz w:val="18"/>
          <w:vertAlign w:val="baseline"/>
        </w:rPr>
        <w:t>Women’s Health Issues </w:t>
      </w:r>
      <w:r>
        <w:rPr>
          <w:sz w:val="18"/>
          <w:vertAlign w:val="baseline"/>
        </w:rPr>
        <w:t>28, no. 4 (July 2018): 350–57. </w:t>
      </w:r>
      <w:hyperlink r:id="rId327">
        <w:r>
          <w:rPr>
            <w:color w:val="0561C1"/>
            <w:spacing w:val="-2"/>
            <w:sz w:val="18"/>
            <w:u w:val="single" w:color="0561C1"/>
            <w:vertAlign w:val="baseline"/>
          </w:rPr>
          <w:t>https://doi.org/10.1016/j.whi.2018.03.002</w:t>
        </w:r>
      </w:hyperlink>
      <w:hyperlink r:id="rId327">
        <w:r>
          <w:rPr>
            <w:spacing w:val="-2"/>
            <w:sz w:val="18"/>
            <w:u w:val="none"/>
            <w:vertAlign w:val="baseline"/>
          </w:rPr>
          <w:t>.</w:t>
        </w:r>
      </w:hyperlink>
    </w:p>
    <w:p>
      <w:pPr>
        <w:spacing w:before="0"/>
        <w:ind w:left="463" w:right="261" w:hanging="1"/>
        <w:jc w:val="left"/>
        <w:rPr>
          <w:sz w:val="18"/>
        </w:rPr>
      </w:pPr>
      <w:bookmarkStart w:name="_bookmark199" w:id="389"/>
      <w:bookmarkEnd w:id="389"/>
      <w:r>
        <w:rPr/>
      </w:r>
      <w:r>
        <w:rPr>
          <w:sz w:val="18"/>
          <w:vertAlign w:val="superscript"/>
        </w:rPr>
        <w:t>6</w:t>
      </w:r>
      <w:r>
        <w:rPr>
          <w:spacing w:val="-13"/>
          <w:sz w:val="18"/>
          <w:vertAlign w:val="baseline"/>
        </w:rPr>
        <w:t> </w:t>
      </w:r>
      <w:r>
        <w:rPr>
          <w:sz w:val="18"/>
          <w:vertAlign w:val="baseline"/>
        </w:rPr>
        <w:t>Barbara</w:t>
      </w:r>
      <w:r>
        <w:rPr>
          <w:spacing w:val="-3"/>
          <w:sz w:val="18"/>
          <w:vertAlign w:val="baseline"/>
        </w:rPr>
        <w:t> </w:t>
      </w:r>
      <w:r>
        <w:rPr>
          <w:sz w:val="18"/>
          <w:vertAlign w:val="baseline"/>
        </w:rPr>
        <w:t>K.</w:t>
      </w:r>
      <w:r>
        <w:rPr>
          <w:spacing w:val="-3"/>
          <w:sz w:val="18"/>
          <w:vertAlign w:val="baseline"/>
        </w:rPr>
        <w:t> </w:t>
      </w:r>
      <w:r>
        <w:rPr>
          <w:sz w:val="18"/>
          <w:vertAlign w:val="baseline"/>
        </w:rPr>
        <w:t>Snyder,</w:t>
      </w:r>
      <w:r>
        <w:rPr>
          <w:spacing w:val="-3"/>
          <w:sz w:val="18"/>
          <w:vertAlign w:val="baseline"/>
        </w:rPr>
        <w:t> </w:t>
      </w:r>
      <w:r>
        <w:rPr>
          <w:sz w:val="18"/>
          <w:vertAlign w:val="baseline"/>
        </w:rPr>
        <w:t>Gail</w:t>
      </w:r>
      <w:r>
        <w:rPr>
          <w:spacing w:val="-3"/>
          <w:sz w:val="18"/>
          <w:vertAlign w:val="baseline"/>
        </w:rPr>
        <w:t> </w:t>
      </w:r>
      <w:r>
        <w:rPr>
          <w:sz w:val="18"/>
          <w:vertAlign w:val="baseline"/>
        </w:rPr>
        <w:t>D.</w:t>
      </w:r>
      <w:r>
        <w:rPr>
          <w:spacing w:val="-2"/>
          <w:sz w:val="18"/>
          <w:vertAlign w:val="baseline"/>
        </w:rPr>
        <w:t> </w:t>
      </w:r>
      <w:r>
        <w:rPr>
          <w:sz w:val="18"/>
          <w:vertAlign w:val="baseline"/>
        </w:rPr>
        <w:t>Burack,</w:t>
      </w:r>
      <w:r>
        <w:rPr>
          <w:spacing w:val="-3"/>
          <w:sz w:val="18"/>
          <w:vertAlign w:val="baseline"/>
        </w:rPr>
        <w:t> </w:t>
      </w:r>
      <w:r>
        <w:rPr>
          <w:sz w:val="18"/>
          <w:vertAlign w:val="baseline"/>
        </w:rPr>
        <w:t>and</w:t>
      </w:r>
      <w:r>
        <w:rPr>
          <w:spacing w:val="-2"/>
          <w:sz w:val="18"/>
          <w:vertAlign w:val="baseline"/>
        </w:rPr>
        <w:t> </w:t>
      </w:r>
      <w:r>
        <w:rPr>
          <w:sz w:val="18"/>
          <w:vertAlign w:val="baseline"/>
        </w:rPr>
        <w:t>Anna</w:t>
      </w:r>
      <w:r>
        <w:rPr>
          <w:spacing w:val="-2"/>
          <w:sz w:val="18"/>
          <w:vertAlign w:val="baseline"/>
        </w:rPr>
        <w:t> </w:t>
      </w:r>
      <w:r>
        <w:rPr>
          <w:sz w:val="18"/>
          <w:vertAlign w:val="baseline"/>
        </w:rPr>
        <w:t>Petrova,</w:t>
      </w:r>
      <w:r>
        <w:rPr>
          <w:spacing w:val="-3"/>
          <w:sz w:val="18"/>
          <w:vertAlign w:val="baseline"/>
        </w:rPr>
        <w:t> </w:t>
      </w:r>
      <w:r>
        <w:rPr>
          <w:sz w:val="18"/>
          <w:vertAlign w:val="baseline"/>
        </w:rPr>
        <w:t>“LGBTQ</w:t>
      </w:r>
      <w:r>
        <w:rPr>
          <w:spacing w:val="-2"/>
          <w:sz w:val="18"/>
          <w:vertAlign w:val="baseline"/>
        </w:rPr>
        <w:t> </w:t>
      </w:r>
      <w:r>
        <w:rPr>
          <w:sz w:val="18"/>
          <w:vertAlign w:val="baseline"/>
        </w:rPr>
        <w:t>Youth’s</w:t>
      </w:r>
      <w:r>
        <w:rPr>
          <w:spacing w:val="-2"/>
          <w:sz w:val="18"/>
          <w:vertAlign w:val="baseline"/>
        </w:rPr>
        <w:t> </w:t>
      </w:r>
      <w:r>
        <w:rPr>
          <w:sz w:val="18"/>
          <w:vertAlign w:val="baseline"/>
        </w:rPr>
        <w:t>Perceptions</w:t>
      </w:r>
      <w:r>
        <w:rPr>
          <w:spacing w:val="-2"/>
          <w:sz w:val="18"/>
          <w:vertAlign w:val="baseline"/>
        </w:rPr>
        <w:t> </w:t>
      </w:r>
      <w:r>
        <w:rPr>
          <w:sz w:val="18"/>
          <w:vertAlign w:val="baseline"/>
        </w:rPr>
        <w:t>of</w:t>
      </w:r>
      <w:r>
        <w:rPr>
          <w:spacing w:val="-2"/>
          <w:sz w:val="18"/>
          <w:vertAlign w:val="baseline"/>
        </w:rPr>
        <w:t> </w:t>
      </w:r>
      <w:r>
        <w:rPr>
          <w:sz w:val="18"/>
          <w:vertAlign w:val="baseline"/>
        </w:rPr>
        <w:t>Primary</w:t>
      </w:r>
      <w:r>
        <w:rPr>
          <w:spacing w:val="-2"/>
          <w:sz w:val="18"/>
          <w:vertAlign w:val="baseline"/>
        </w:rPr>
        <w:t> </w:t>
      </w:r>
      <w:r>
        <w:rPr>
          <w:sz w:val="18"/>
          <w:vertAlign w:val="baseline"/>
        </w:rPr>
        <w:t>Care,”</w:t>
      </w:r>
      <w:r>
        <w:rPr>
          <w:spacing w:val="-2"/>
          <w:sz w:val="18"/>
          <w:vertAlign w:val="baseline"/>
        </w:rPr>
        <w:t> </w:t>
      </w:r>
      <w:r>
        <w:rPr>
          <w:i/>
          <w:sz w:val="18"/>
          <w:vertAlign w:val="baseline"/>
        </w:rPr>
        <w:t>Clinical</w:t>
      </w:r>
      <w:r>
        <w:rPr>
          <w:i/>
          <w:spacing w:val="-3"/>
          <w:sz w:val="18"/>
          <w:vertAlign w:val="baseline"/>
        </w:rPr>
        <w:t> </w:t>
      </w:r>
      <w:r>
        <w:rPr>
          <w:i/>
          <w:sz w:val="18"/>
          <w:vertAlign w:val="baseline"/>
        </w:rPr>
        <w:t>Pediatrics</w:t>
      </w:r>
      <w:r>
        <w:rPr>
          <w:i/>
          <w:spacing w:val="-3"/>
          <w:sz w:val="18"/>
          <w:vertAlign w:val="baseline"/>
        </w:rPr>
        <w:t> </w:t>
      </w:r>
      <w:r>
        <w:rPr>
          <w:sz w:val="18"/>
          <w:vertAlign w:val="baseline"/>
        </w:rPr>
        <w:t>56,</w:t>
      </w:r>
      <w:r>
        <w:rPr>
          <w:spacing w:val="-3"/>
          <w:sz w:val="18"/>
          <w:vertAlign w:val="baseline"/>
        </w:rPr>
        <w:t> </w:t>
      </w:r>
      <w:r>
        <w:rPr>
          <w:sz w:val="18"/>
          <w:vertAlign w:val="baseline"/>
        </w:rPr>
        <w:t>no.</w:t>
      </w:r>
      <w:r>
        <w:rPr>
          <w:spacing w:val="-2"/>
          <w:sz w:val="18"/>
          <w:vertAlign w:val="baseline"/>
        </w:rPr>
        <w:t> </w:t>
      </w:r>
      <w:r>
        <w:rPr>
          <w:sz w:val="18"/>
          <w:vertAlign w:val="baseline"/>
        </w:rPr>
        <w:t>5 (May 2017): 443–50, </w:t>
      </w:r>
      <w:hyperlink r:id="rId328">
        <w:r>
          <w:rPr>
            <w:color w:val="0561C1"/>
            <w:sz w:val="18"/>
            <w:u w:val="single" w:color="0561C1"/>
            <w:vertAlign w:val="baseline"/>
          </w:rPr>
          <w:t>https://doi.org/10.1177/0009922816673306</w:t>
        </w:r>
      </w:hyperlink>
      <w:hyperlink r:id="rId328">
        <w:r>
          <w:rPr>
            <w:sz w:val="18"/>
            <w:u w:val="none"/>
            <w:vertAlign w:val="baseline"/>
          </w:rPr>
          <w:t>.</w:t>
        </w:r>
      </w:hyperlink>
    </w:p>
    <w:p>
      <w:pPr>
        <w:spacing w:before="0"/>
        <w:ind w:left="463" w:right="261" w:hanging="1"/>
        <w:jc w:val="left"/>
        <w:rPr>
          <w:sz w:val="18"/>
        </w:rPr>
      </w:pPr>
      <w:bookmarkStart w:name="_bookmark200" w:id="390"/>
      <w:bookmarkEnd w:id="390"/>
      <w:r>
        <w:rPr/>
      </w:r>
      <w:r>
        <w:rPr>
          <w:sz w:val="18"/>
          <w:vertAlign w:val="superscript"/>
        </w:rPr>
        <w:t>7</w:t>
      </w:r>
      <w:r>
        <w:rPr>
          <w:spacing w:val="-13"/>
          <w:sz w:val="18"/>
          <w:vertAlign w:val="baseline"/>
        </w:rPr>
        <w:t> </w:t>
      </w:r>
      <w:r>
        <w:rPr>
          <w:sz w:val="18"/>
          <w:vertAlign w:val="baseline"/>
        </w:rPr>
        <w:t>“Discrimination</w:t>
      </w:r>
      <w:r>
        <w:rPr>
          <w:spacing w:val="-3"/>
          <w:sz w:val="18"/>
          <w:vertAlign w:val="baseline"/>
        </w:rPr>
        <w:t> </w:t>
      </w:r>
      <w:r>
        <w:rPr>
          <w:sz w:val="18"/>
          <w:vertAlign w:val="baseline"/>
        </w:rPr>
        <w:t>Prevents</w:t>
      </w:r>
      <w:r>
        <w:rPr>
          <w:spacing w:val="-3"/>
          <w:sz w:val="18"/>
          <w:vertAlign w:val="baseline"/>
        </w:rPr>
        <w:t> </w:t>
      </w:r>
      <w:r>
        <w:rPr>
          <w:sz w:val="18"/>
          <w:vertAlign w:val="baseline"/>
        </w:rPr>
        <w:t>LGBTQ</w:t>
      </w:r>
      <w:r>
        <w:rPr>
          <w:spacing w:val="-3"/>
          <w:sz w:val="18"/>
          <w:vertAlign w:val="baseline"/>
        </w:rPr>
        <w:t> </w:t>
      </w:r>
      <w:r>
        <w:rPr>
          <w:sz w:val="18"/>
          <w:vertAlign w:val="baseline"/>
        </w:rPr>
        <w:t>People</w:t>
      </w:r>
      <w:r>
        <w:rPr>
          <w:spacing w:val="-3"/>
          <w:sz w:val="18"/>
          <w:vertAlign w:val="baseline"/>
        </w:rPr>
        <w:t> </w:t>
      </w:r>
      <w:r>
        <w:rPr>
          <w:sz w:val="18"/>
          <w:vertAlign w:val="baseline"/>
        </w:rPr>
        <w:t>From</w:t>
      </w:r>
      <w:r>
        <w:rPr>
          <w:spacing w:val="-3"/>
          <w:sz w:val="18"/>
          <w:vertAlign w:val="baseline"/>
        </w:rPr>
        <w:t> </w:t>
      </w:r>
      <w:r>
        <w:rPr>
          <w:sz w:val="18"/>
          <w:vertAlign w:val="baseline"/>
        </w:rPr>
        <w:t>Accessing</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i/>
          <w:sz w:val="18"/>
          <w:vertAlign w:val="baseline"/>
        </w:rPr>
        <w:t>Center</w:t>
      </w:r>
      <w:r>
        <w:rPr>
          <w:i/>
          <w:spacing w:val="-3"/>
          <w:sz w:val="18"/>
          <w:vertAlign w:val="baseline"/>
        </w:rPr>
        <w:t> </w:t>
      </w:r>
      <w:r>
        <w:rPr>
          <w:i/>
          <w:sz w:val="18"/>
          <w:vertAlign w:val="baseline"/>
        </w:rPr>
        <w:t>for</w:t>
      </w:r>
      <w:r>
        <w:rPr>
          <w:i/>
          <w:spacing w:val="-3"/>
          <w:sz w:val="18"/>
          <w:vertAlign w:val="baseline"/>
        </w:rPr>
        <w:t> </w:t>
      </w:r>
      <w:r>
        <w:rPr>
          <w:i/>
          <w:sz w:val="18"/>
          <w:vertAlign w:val="baseline"/>
        </w:rPr>
        <w:t>American</w:t>
      </w:r>
      <w:r>
        <w:rPr>
          <w:i/>
          <w:spacing w:val="-3"/>
          <w:sz w:val="18"/>
          <w:vertAlign w:val="baseline"/>
        </w:rPr>
        <w:t> </w:t>
      </w:r>
      <w:r>
        <w:rPr>
          <w:i/>
          <w:sz w:val="18"/>
          <w:vertAlign w:val="baseline"/>
        </w:rPr>
        <w:t>Progress</w:t>
      </w:r>
      <w:r>
        <w:rPr>
          <w:i/>
          <w:spacing w:val="-3"/>
          <w:sz w:val="18"/>
          <w:vertAlign w:val="baseline"/>
        </w:rPr>
        <w:t> </w:t>
      </w:r>
      <w:r>
        <w:rPr>
          <w:sz w:val="18"/>
          <w:vertAlign w:val="baseline"/>
        </w:rPr>
        <w:t>(blog),</w:t>
      </w:r>
      <w:r>
        <w:rPr>
          <w:spacing w:val="-3"/>
          <w:sz w:val="18"/>
          <w:vertAlign w:val="baseline"/>
        </w:rPr>
        <w:t> </w:t>
      </w:r>
      <w:r>
        <w:rPr>
          <w:sz w:val="18"/>
          <w:vertAlign w:val="baseline"/>
        </w:rPr>
        <w:t>accessed</w:t>
      </w:r>
      <w:r>
        <w:rPr>
          <w:spacing w:val="-3"/>
          <w:sz w:val="18"/>
          <w:vertAlign w:val="baseline"/>
        </w:rPr>
        <w:t> </w:t>
      </w:r>
      <w:r>
        <w:rPr>
          <w:sz w:val="18"/>
          <w:vertAlign w:val="baseline"/>
        </w:rPr>
        <w:t>August</w:t>
      </w:r>
      <w:r>
        <w:rPr>
          <w:spacing w:val="-3"/>
          <w:sz w:val="18"/>
          <w:vertAlign w:val="baseline"/>
        </w:rPr>
        <w:t> </w:t>
      </w:r>
      <w:r>
        <w:rPr>
          <w:sz w:val="18"/>
          <w:vertAlign w:val="baseline"/>
        </w:rPr>
        <w:t>11, 2022,</w:t>
      </w:r>
      <w:r>
        <w:rPr>
          <w:spacing w:val="-2"/>
          <w:sz w:val="18"/>
          <w:vertAlign w:val="baseline"/>
        </w:rPr>
        <w:t> </w:t>
      </w:r>
      <w:hyperlink r:id="rId329">
        <w:r>
          <w:rPr>
            <w:color w:val="0561C1"/>
            <w:sz w:val="18"/>
            <w:u w:val="single" w:color="0561C1"/>
            <w:vertAlign w:val="baseline"/>
          </w:rPr>
          <w:t>https://www.americanprogress.org/article/discrimination-prevents-lgbtq-people-accessing-health-care/</w:t>
        </w:r>
      </w:hyperlink>
      <w:hyperlink r:id="rId329">
        <w:r>
          <w:rPr>
            <w:sz w:val="18"/>
            <w:u w:val="none"/>
            <w:vertAlign w:val="baseline"/>
          </w:rPr>
          <w:t>.</w:t>
        </w:r>
      </w:hyperlink>
    </w:p>
    <w:p>
      <w:pPr>
        <w:spacing w:before="0"/>
        <w:ind w:left="463" w:right="0" w:hanging="1"/>
        <w:jc w:val="left"/>
        <w:rPr>
          <w:sz w:val="18"/>
        </w:rPr>
      </w:pPr>
      <w:bookmarkStart w:name="_bookmark201" w:id="391"/>
      <w:bookmarkEnd w:id="391"/>
      <w:r>
        <w:rPr/>
      </w:r>
      <w:r>
        <w:rPr>
          <w:sz w:val="18"/>
          <w:vertAlign w:val="superscript"/>
        </w:rPr>
        <w:t>8</w:t>
      </w:r>
      <w:r>
        <w:rPr>
          <w:spacing w:val="-13"/>
          <w:sz w:val="18"/>
          <w:vertAlign w:val="baseline"/>
        </w:rPr>
        <w:t> </w:t>
      </w:r>
      <w:r>
        <w:rPr>
          <w:sz w:val="18"/>
          <w:vertAlign w:val="baseline"/>
        </w:rPr>
        <w:t>Agénor,</w:t>
      </w:r>
      <w:r>
        <w:rPr>
          <w:spacing w:val="-5"/>
          <w:sz w:val="18"/>
          <w:vertAlign w:val="baseline"/>
        </w:rPr>
        <w:t> </w:t>
      </w:r>
      <w:r>
        <w:rPr>
          <w:sz w:val="18"/>
          <w:vertAlign w:val="baseline"/>
        </w:rPr>
        <w:t>Madina,</w:t>
      </w:r>
      <w:r>
        <w:rPr>
          <w:spacing w:val="-3"/>
          <w:sz w:val="18"/>
          <w:vertAlign w:val="baseline"/>
        </w:rPr>
        <w:t> </w:t>
      </w:r>
      <w:r>
        <w:rPr>
          <w:sz w:val="18"/>
          <w:vertAlign w:val="baseline"/>
        </w:rPr>
        <w:t>Dougie</w:t>
      </w:r>
      <w:r>
        <w:rPr>
          <w:spacing w:val="-2"/>
          <w:sz w:val="18"/>
          <w:vertAlign w:val="baseline"/>
        </w:rPr>
        <w:t> </w:t>
      </w:r>
      <w:r>
        <w:rPr>
          <w:sz w:val="18"/>
          <w:vertAlign w:val="baseline"/>
        </w:rPr>
        <w:t>Zubizarreta,</w:t>
      </w:r>
      <w:r>
        <w:rPr>
          <w:spacing w:val="-3"/>
          <w:sz w:val="18"/>
          <w:vertAlign w:val="baseline"/>
        </w:rPr>
        <w:t> </w:t>
      </w:r>
      <w:r>
        <w:rPr>
          <w:sz w:val="18"/>
          <w:vertAlign w:val="baseline"/>
        </w:rPr>
        <w:t>Sophia</w:t>
      </w:r>
      <w:r>
        <w:rPr>
          <w:spacing w:val="-2"/>
          <w:sz w:val="18"/>
          <w:vertAlign w:val="baseline"/>
        </w:rPr>
        <w:t> </w:t>
      </w:r>
      <w:r>
        <w:rPr>
          <w:sz w:val="18"/>
          <w:vertAlign w:val="baseline"/>
        </w:rPr>
        <w:t>Geffen,</w:t>
      </w:r>
      <w:r>
        <w:rPr>
          <w:spacing w:val="-3"/>
          <w:sz w:val="18"/>
          <w:vertAlign w:val="baseline"/>
        </w:rPr>
        <w:t> </w:t>
      </w:r>
      <w:r>
        <w:rPr>
          <w:sz w:val="18"/>
          <w:vertAlign w:val="baseline"/>
        </w:rPr>
        <w:t>Natasha</w:t>
      </w:r>
      <w:r>
        <w:rPr>
          <w:spacing w:val="-2"/>
          <w:sz w:val="18"/>
          <w:vertAlign w:val="baseline"/>
        </w:rPr>
        <w:t> </w:t>
      </w:r>
      <w:r>
        <w:rPr>
          <w:sz w:val="18"/>
          <w:vertAlign w:val="baseline"/>
        </w:rPr>
        <w:t>Ramanayake,</w:t>
      </w:r>
      <w:r>
        <w:rPr>
          <w:spacing w:val="-3"/>
          <w:sz w:val="18"/>
          <w:vertAlign w:val="baseline"/>
        </w:rPr>
        <w:t> </w:t>
      </w:r>
      <w:r>
        <w:rPr>
          <w:sz w:val="18"/>
          <w:vertAlign w:val="baseline"/>
        </w:rPr>
        <w:t>Shane</w:t>
      </w:r>
      <w:r>
        <w:rPr>
          <w:spacing w:val="-2"/>
          <w:sz w:val="18"/>
          <w:vertAlign w:val="baseline"/>
        </w:rPr>
        <w:t> </w:t>
      </w:r>
      <w:r>
        <w:rPr>
          <w:sz w:val="18"/>
          <w:vertAlign w:val="baseline"/>
        </w:rPr>
        <w:t>Giraldo,</w:t>
      </w:r>
      <w:r>
        <w:rPr>
          <w:spacing w:val="-3"/>
          <w:sz w:val="18"/>
          <w:vertAlign w:val="baseline"/>
        </w:rPr>
        <w:t> </w:t>
      </w:r>
      <w:r>
        <w:rPr>
          <w:sz w:val="18"/>
          <w:vertAlign w:val="baseline"/>
        </w:rPr>
        <w:t>Allison</w:t>
      </w:r>
      <w:r>
        <w:rPr>
          <w:spacing w:val="-2"/>
          <w:sz w:val="18"/>
          <w:vertAlign w:val="baseline"/>
        </w:rPr>
        <w:t> </w:t>
      </w:r>
      <w:r>
        <w:rPr>
          <w:sz w:val="18"/>
          <w:vertAlign w:val="baseline"/>
        </w:rPr>
        <w:t>McGuirk,</w:t>
      </w:r>
      <w:r>
        <w:rPr>
          <w:spacing w:val="-3"/>
          <w:sz w:val="18"/>
          <w:vertAlign w:val="baseline"/>
        </w:rPr>
        <w:t> </w:t>
      </w:r>
      <w:r>
        <w:rPr>
          <w:sz w:val="18"/>
          <w:vertAlign w:val="baseline"/>
        </w:rPr>
        <w:t>Mateo</w:t>
      </w:r>
      <w:r>
        <w:rPr>
          <w:spacing w:val="-2"/>
          <w:sz w:val="18"/>
          <w:vertAlign w:val="baseline"/>
        </w:rPr>
        <w:t> </w:t>
      </w:r>
      <w:r>
        <w:rPr>
          <w:sz w:val="18"/>
          <w:vertAlign w:val="baseline"/>
        </w:rPr>
        <w:t>Caballero,</w:t>
      </w:r>
      <w:r>
        <w:rPr>
          <w:spacing w:val="-3"/>
          <w:sz w:val="18"/>
          <w:vertAlign w:val="baseline"/>
        </w:rPr>
        <w:t> </w:t>
      </w:r>
      <w:r>
        <w:rPr>
          <w:sz w:val="18"/>
          <w:vertAlign w:val="baseline"/>
        </w:rPr>
        <w:t>and Keosha Bond. 2022. “‘Making a Way Out of No Way:’ Understanding the Sexual and Reproductive Health Care Experiences of</w:t>
      </w:r>
    </w:p>
    <w:p>
      <w:pPr>
        <w:spacing w:after="0"/>
        <w:jc w:val="left"/>
        <w:rPr>
          <w:sz w:val="18"/>
        </w:rPr>
        <w:sectPr>
          <w:pgSz w:w="12240" w:h="15840"/>
          <w:pgMar w:header="800" w:footer="1530" w:top="1080" w:bottom="1760" w:left="980" w:right="1000"/>
        </w:sectPr>
      </w:pPr>
    </w:p>
    <w:p>
      <w:pPr>
        <w:spacing w:before="68"/>
        <w:ind w:left="463" w:right="0" w:firstLine="0"/>
        <w:jc w:val="left"/>
        <w:rPr>
          <w:sz w:val="18"/>
        </w:rPr>
      </w:pPr>
      <w:r>
        <w:rPr>
          <w:sz w:val="18"/>
        </w:rPr>
        <w:t>Transmasculine</w:t>
      </w:r>
      <w:r>
        <w:rPr>
          <w:spacing w:val="-4"/>
          <w:sz w:val="18"/>
        </w:rPr>
        <w:t> </w:t>
      </w:r>
      <w:r>
        <w:rPr>
          <w:sz w:val="18"/>
        </w:rPr>
        <w:t>Young</w:t>
      </w:r>
      <w:r>
        <w:rPr>
          <w:spacing w:val="-3"/>
          <w:sz w:val="18"/>
        </w:rPr>
        <w:t> </w:t>
      </w:r>
      <w:r>
        <w:rPr>
          <w:sz w:val="18"/>
        </w:rPr>
        <w:t>Adults</w:t>
      </w:r>
      <w:r>
        <w:rPr>
          <w:spacing w:val="-3"/>
          <w:sz w:val="18"/>
        </w:rPr>
        <w:t> </w:t>
      </w:r>
      <w:r>
        <w:rPr>
          <w:sz w:val="18"/>
        </w:rPr>
        <w:t>of</w:t>
      </w:r>
      <w:r>
        <w:rPr>
          <w:spacing w:val="-4"/>
          <w:sz w:val="18"/>
        </w:rPr>
        <w:t> </w:t>
      </w:r>
      <w:r>
        <w:rPr>
          <w:sz w:val="18"/>
        </w:rPr>
        <w:t>Color</w:t>
      </w:r>
      <w:r>
        <w:rPr>
          <w:spacing w:val="-4"/>
          <w:sz w:val="18"/>
        </w:rPr>
        <w:t> </w:t>
      </w:r>
      <w:r>
        <w:rPr>
          <w:sz w:val="18"/>
        </w:rPr>
        <w:t>in</w:t>
      </w:r>
      <w:r>
        <w:rPr>
          <w:spacing w:val="-3"/>
          <w:sz w:val="18"/>
        </w:rPr>
        <w:t> </w:t>
      </w:r>
      <w:r>
        <w:rPr>
          <w:sz w:val="18"/>
        </w:rPr>
        <w:t>the</w:t>
      </w:r>
      <w:r>
        <w:rPr>
          <w:spacing w:val="-3"/>
          <w:sz w:val="18"/>
        </w:rPr>
        <w:t> </w:t>
      </w:r>
      <w:r>
        <w:rPr>
          <w:sz w:val="18"/>
        </w:rPr>
        <w:t>United</w:t>
      </w:r>
      <w:r>
        <w:rPr>
          <w:spacing w:val="-3"/>
          <w:sz w:val="18"/>
        </w:rPr>
        <w:t> </w:t>
      </w:r>
      <w:r>
        <w:rPr>
          <w:sz w:val="18"/>
        </w:rPr>
        <w:t>States.”</w:t>
      </w:r>
      <w:r>
        <w:rPr>
          <w:spacing w:val="-4"/>
          <w:sz w:val="18"/>
        </w:rPr>
        <w:t> </w:t>
      </w:r>
      <w:r>
        <w:rPr>
          <w:i/>
          <w:sz w:val="18"/>
        </w:rPr>
        <w:t>Qualitative</w:t>
      </w:r>
      <w:r>
        <w:rPr>
          <w:i/>
          <w:spacing w:val="-3"/>
          <w:sz w:val="18"/>
        </w:rPr>
        <w:t> </w:t>
      </w:r>
      <w:r>
        <w:rPr>
          <w:i/>
          <w:sz w:val="18"/>
        </w:rPr>
        <w:t>Health</w:t>
      </w:r>
      <w:r>
        <w:rPr>
          <w:i/>
          <w:spacing w:val="-2"/>
          <w:sz w:val="18"/>
        </w:rPr>
        <w:t> </w:t>
      </w:r>
      <w:r>
        <w:rPr>
          <w:i/>
          <w:sz w:val="18"/>
        </w:rPr>
        <w:t>Research</w:t>
      </w:r>
      <w:r>
        <w:rPr>
          <w:i/>
          <w:spacing w:val="-3"/>
          <w:sz w:val="18"/>
        </w:rPr>
        <w:t> </w:t>
      </w:r>
      <w:r>
        <w:rPr>
          <w:sz w:val="18"/>
        </w:rPr>
        <w:t>32</w:t>
      </w:r>
      <w:r>
        <w:rPr>
          <w:spacing w:val="-3"/>
          <w:sz w:val="18"/>
        </w:rPr>
        <w:t> </w:t>
      </w:r>
      <w:r>
        <w:rPr>
          <w:sz w:val="18"/>
        </w:rPr>
        <w:t>(1):</w:t>
      </w:r>
      <w:r>
        <w:rPr>
          <w:spacing w:val="-3"/>
          <w:sz w:val="18"/>
        </w:rPr>
        <w:t> </w:t>
      </w:r>
      <w:r>
        <w:rPr>
          <w:sz w:val="18"/>
        </w:rPr>
        <w:t>121–34. </w:t>
      </w:r>
      <w:bookmarkStart w:name="_bookmark202" w:id="392"/>
      <w:bookmarkEnd w:id="392"/>
      <w:r>
        <w:rPr>
          <w:spacing w:val="-1"/>
          <w:sz w:val="18"/>
        </w:rPr>
      </w:r>
      <w:hyperlink r:id="rId330">
        <w:r>
          <w:rPr>
            <w:color w:val="0561C1"/>
            <w:spacing w:val="-2"/>
            <w:sz w:val="18"/>
            <w:u w:val="single" w:color="0561C1"/>
          </w:rPr>
          <w:t>https://doi.org/10.1177/10497323211050051</w:t>
        </w:r>
      </w:hyperlink>
      <w:hyperlink r:id="rId330">
        <w:r>
          <w:rPr>
            <w:spacing w:val="-2"/>
            <w:sz w:val="18"/>
            <w:u w:val="none"/>
          </w:rPr>
          <w:t>.</w:t>
        </w:r>
      </w:hyperlink>
    </w:p>
    <w:p>
      <w:pPr>
        <w:spacing w:before="0"/>
        <w:ind w:left="463" w:right="261" w:hanging="1"/>
        <w:jc w:val="left"/>
        <w:rPr>
          <w:sz w:val="18"/>
        </w:rPr>
      </w:pPr>
      <w:r>
        <w:rPr>
          <w:sz w:val="18"/>
          <w:vertAlign w:val="superscript"/>
        </w:rPr>
        <w:t>9</w:t>
      </w:r>
      <w:r>
        <w:rPr>
          <w:spacing w:val="-13"/>
          <w:sz w:val="18"/>
          <w:vertAlign w:val="baseline"/>
        </w:rPr>
        <w:t> </w:t>
      </w:r>
      <w:r>
        <w:rPr>
          <w:sz w:val="18"/>
          <w:vertAlign w:val="baseline"/>
        </w:rPr>
        <w:t>Barbara</w:t>
      </w:r>
      <w:r>
        <w:rPr>
          <w:spacing w:val="-3"/>
          <w:sz w:val="18"/>
          <w:vertAlign w:val="baseline"/>
        </w:rPr>
        <w:t> </w:t>
      </w:r>
      <w:r>
        <w:rPr>
          <w:sz w:val="18"/>
          <w:vertAlign w:val="baseline"/>
        </w:rPr>
        <w:t>K.</w:t>
      </w:r>
      <w:r>
        <w:rPr>
          <w:spacing w:val="-3"/>
          <w:sz w:val="18"/>
          <w:vertAlign w:val="baseline"/>
        </w:rPr>
        <w:t> </w:t>
      </w:r>
      <w:r>
        <w:rPr>
          <w:sz w:val="18"/>
          <w:vertAlign w:val="baseline"/>
        </w:rPr>
        <w:t>Snyder,</w:t>
      </w:r>
      <w:r>
        <w:rPr>
          <w:spacing w:val="-3"/>
          <w:sz w:val="18"/>
          <w:vertAlign w:val="baseline"/>
        </w:rPr>
        <w:t> </w:t>
      </w:r>
      <w:r>
        <w:rPr>
          <w:sz w:val="18"/>
          <w:vertAlign w:val="baseline"/>
        </w:rPr>
        <w:t>Gail</w:t>
      </w:r>
      <w:r>
        <w:rPr>
          <w:spacing w:val="-3"/>
          <w:sz w:val="18"/>
          <w:vertAlign w:val="baseline"/>
        </w:rPr>
        <w:t> </w:t>
      </w:r>
      <w:r>
        <w:rPr>
          <w:sz w:val="18"/>
          <w:vertAlign w:val="baseline"/>
        </w:rPr>
        <w:t>D.</w:t>
      </w:r>
      <w:r>
        <w:rPr>
          <w:spacing w:val="-2"/>
          <w:sz w:val="18"/>
          <w:vertAlign w:val="baseline"/>
        </w:rPr>
        <w:t> </w:t>
      </w:r>
      <w:r>
        <w:rPr>
          <w:sz w:val="18"/>
          <w:vertAlign w:val="baseline"/>
        </w:rPr>
        <w:t>Burack,</w:t>
      </w:r>
      <w:r>
        <w:rPr>
          <w:spacing w:val="-3"/>
          <w:sz w:val="18"/>
          <w:vertAlign w:val="baseline"/>
        </w:rPr>
        <w:t> </w:t>
      </w:r>
      <w:r>
        <w:rPr>
          <w:sz w:val="18"/>
          <w:vertAlign w:val="baseline"/>
        </w:rPr>
        <w:t>and</w:t>
      </w:r>
      <w:r>
        <w:rPr>
          <w:spacing w:val="-2"/>
          <w:sz w:val="18"/>
          <w:vertAlign w:val="baseline"/>
        </w:rPr>
        <w:t> </w:t>
      </w:r>
      <w:r>
        <w:rPr>
          <w:sz w:val="18"/>
          <w:vertAlign w:val="baseline"/>
        </w:rPr>
        <w:t>Anna</w:t>
      </w:r>
      <w:r>
        <w:rPr>
          <w:spacing w:val="-2"/>
          <w:sz w:val="18"/>
          <w:vertAlign w:val="baseline"/>
        </w:rPr>
        <w:t> </w:t>
      </w:r>
      <w:r>
        <w:rPr>
          <w:sz w:val="18"/>
          <w:vertAlign w:val="baseline"/>
        </w:rPr>
        <w:t>Petrova,</w:t>
      </w:r>
      <w:r>
        <w:rPr>
          <w:spacing w:val="-3"/>
          <w:sz w:val="18"/>
          <w:vertAlign w:val="baseline"/>
        </w:rPr>
        <w:t> </w:t>
      </w:r>
      <w:r>
        <w:rPr>
          <w:sz w:val="18"/>
          <w:vertAlign w:val="baseline"/>
        </w:rPr>
        <w:t>“LGBTQ</w:t>
      </w:r>
      <w:r>
        <w:rPr>
          <w:spacing w:val="-2"/>
          <w:sz w:val="18"/>
          <w:vertAlign w:val="baseline"/>
        </w:rPr>
        <w:t> </w:t>
      </w:r>
      <w:r>
        <w:rPr>
          <w:sz w:val="18"/>
          <w:vertAlign w:val="baseline"/>
        </w:rPr>
        <w:t>Youth’s</w:t>
      </w:r>
      <w:r>
        <w:rPr>
          <w:spacing w:val="-2"/>
          <w:sz w:val="18"/>
          <w:vertAlign w:val="baseline"/>
        </w:rPr>
        <w:t> </w:t>
      </w:r>
      <w:r>
        <w:rPr>
          <w:sz w:val="18"/>
          <w:vertAlign w:val="baseline"/>
        </w:rPr>
        <w:t>Perceptions</w:t>
      </w:r>
      <w:r>
        <w:rPr>
          <w:spacing w:val="-2"/>
          <w:sz w:val="18"/>
          <w:vertAlign w:val="baseline"/>
        </w:rPr>
        <w:t> </w:t>
      </w:r>
      <w:r>
        <w:rPr>
          <w:sz w:val="18"/>
          <w:vertAlign w:val="baseline"/>
        </w:rPr>
        <w:t>of</w:t>
      </w:r>
      <w:r>
        <w:rPr>
          <w:spacing w:val="-2"/>
          <w:sz w:val="18"/>
          <w:vertAlign w:val="baseline"/>
        </w:rPr>
        <w:t> </w:t>
      </w:r>
      <w:r>
        <w:rPr>
          <w:sz w:val="18"/>
          <w:vertAlign w:val="baseline"/>
        </w:rPr>
        <w:t>Primary</w:t>
      </w:r>
      <w:r>
        <w:rPr>
          <w:spacing w:val="-2"/>
          <w:sz w:val="18"/>
          <w:vertAlign w:val="baseline"/>
        </w:rPr>
        <w:t> </w:t>
      </w:r>
      <w:r>
        <w:rPr>
          <w:sz w:val="18"/>
          <w:vertAlign w:val="baseline"/>
        </w:rPr>
        <w:t>Care,”</w:t>
      </w:r>
      <w:r>
        <w:rPr>
          <w:spacing w:val="-2"/>
          <w:sz w:val="18"/>
          <w:vertAlign w:val="baseline"/>
        </w:rPr>
        <w:t> </w:t>
      </w:r>
      <w:r>
        <w:rPr>
          <w:i/>
          <w:sz w:val="18"/>
          <w:vertAlign w:val="baseline"/>
        </w:rPr>
        <w:t>Clinical</w:t>
      </w:r>
      <w:r>
        <w:rPr>
          <w:i/>
          <w:spacing w:val="-3"/>
          <w:sz w:val="18"/>
          <w:vertAlign w:val="baseline"/>
        </w:rPr>
        <w:t> </w:t>
      </w:r>
      <w:r>
        <w:rPr>
          <w:i/>
          <w:sz w:val="18"/>
          <w:vertAlign w:val="baseline"/>
        </w:rPr>
        <w:t>Pediatrics</w:t>
      </w:r>
      <w:r>
        <w:rPr>
          <w:i/>
          <w:spacing w:val="-3"/>
          <w:sz w:val="18"/>
          <w:vertAlign w:val="baseline"/>
        </w:rPr>
        <w:t> </w:t>
      </w:r>
      <w:r>
        <w:rPr>
          <w:sz w:val="18"/>
          <w:vertAlign w:val="baseline"/>
        </w:rPr>
        <w:t>56,</w:t>
      </w:r>
      <w:r>
        <w:rPr>
          <w:spacing w:val="-3"/>
          <w:sz w:val="18"/>
          <w:vertAlign w:val="baseline"/>
        </w:rPr>
        <w:t> </w:t>
      </w:r>
      <w:r>
        <w:rPr>
          <w:sz w:val="18"/>
          <w:vertAlign w:val="baseline"/>
        </w:rPr>
        <w:t>no.</w:t>
      </w:r>
      <w:r>
        <w:rPr>
          <w:spacing w:val="-2"/>
          <w:sz w:val="18"/>
          <w:vertAlign w:val="baseline"/>
        </w:rPr>
        <w:t> </w:t>
      </w:r>
      <w:r>
        <w:rPr>
          <w:sz w:val="18"/>
          <w:vertAlign w:val="baseline"/>
        </w:rPr>
        <w:t>5 </w:t>
      </w:r>
      <w:bookmarkStart w:name="_bookmark203" w:id="393"/>
      <w:bookmarkEnd w:id="393"/>
      <w:r>
        <w:rPr>
          <w:sz w:val="18"/>
          <w:vertAlign w:val="baseline"/>
        </w:rPr>
        <w:t>(</w:t>
      </w:r>
      <w:r>
        <w:rPr>
          <w:sz w:val="18"/>
          <w:vertAlign w:val="baseline"/>
        </w:rPr>
        <w:t>May 2017): 443–50, </w:t>
      </w:r>
      <w:hyperlink r:id="rId328">
        <w:r>
          <w:rPr>
            <w:color w:val="0561C1"/>
            <w:sz w:val="18"/>
            <w:u w:val="single" w:color="0561C1"/>
            <w:vertAlign w:val="baseline"/>
          </w:rPr>
          <w:t>https://doi.org/10.1177/0009922816673306</w:t>
        </w:r>
      </w:hyperlink>
      <w:hyperlink r:id="rId328">
        <w:r>
          <w:rPr>
            <w:sz w:val="18"/>
            <w:u w:val="none"/>
            <w:vertAlign w:val="baseline"/>
          </w:rPr>
          <w:t>.</w:t>
        </w:r>
      </w:hyperlink>
    </w:p>
    <w:p>
      <w:pPr>
        <w:spacing w:before="1"/>
        <w:ind w:left="463" w:right="889" w:firstLine="0"/>
        <w:jc w:val="left"/>
        <w:rPr>
          <w:sz w:val="18"/>
        </w:rPr>
      </w:pPr>
      <w:r>
        <w:rPr>
          <w:sz w:val="18"/>
          <w:vertAlign w:val="superscript"/>
        </w:rPr>
        <w:t>10</w:t>
      </w:r>
      <w:r>
        <w:rPr>
          <w:spacing w:val="-14"/>
          <w:sz w:val="18"/>
          <w:vertAlign w:val="baseline"/>
        </w:rPr>
        <w:t> </w:t>
      </w:r>
      <w:r>
        <w:rPr>
          <w:sz w:val="18"/>
          <w:vertAlign w:val="baseline"/>
        </w:rPr>
        <w:t>Publication</w:t>
      </w:r>
      <w:r>
        <w:rPr>
          <w:spacing w:val="-4"/>
          <w:sz w:val="18"/>
          <w:vertAlign w:val="baseline"/>
        </w:rPr>
        <w:t> </w:t>
      </w:r>
      <w:r>
        <w:rPr>
          <w:sz w:val="18"/>
          <w:vertAlign w:val="baseline"/>
        </w:rPr>
        <w:t>Published</w:t>
      </w:r>
      <w:r>
        <w:rPr>
          <w:spacing w:val="-3"/>
          <w:sz w:val="18"/>
          <w:vertAlign w:val="baseline"/>
        </w:rPr>
        <w:t> </w:t>
      </w:r>
      <w:r>
        <w:rPr>
          <w:sz w:val="18"/>
          <w:vertAlign w:val="baseline"/>
        </w:rPr>
        <w:t>on</w:t>
      </w:r>
      <w:r>
        <w:rPr>
          <w:spacing w:val="-3"/>
          <w:sz w:val="18"/>
          <w:vertAlign w:val="baseline"/>
        </w:rPr>
        <w:t> </w:t>
      </w:r>
      <w:r>
        <w:rPr>
          <w:sz w:val="18"/>
          <w:vertAlign w:val="baseline"/>
        </w:rPr>
        <w:t>6</w:t>
      </w:r>
      <w:r>
        <w:rPr>
          <w:spacing w:val="-3"/>
          <w:sz w:val="18"/>
          <w:vertAlign w:val="baseline"/>
        </w:rPr>
        <w:t> </w:t>
      </w:r>
      <w:r>
        <w:rPr>
          <w:sz w:val="18"/>
          <w:vertAlign w:val="baseline"/>
        </w:rPr>
        <w:t>August</w:t>
      </w:r>
      <w:r>
        <w:rPr>
          <w:spacing w:val="-4"/>
          <w:sz w:val="18"/>
          <w:vertAlign w:val="baseline"/>
        </w:rPr>
        <w:t> </w:t>
      </w:r>
      <w:r>
        <w:rPr>
          <w:sz w:val="18"/>
          <w:vertAlign w:val="baseline"/>
        </w:rPr>
        <w:t>2020,</w:t>
      </w:r>
      <w:r>
        <w:rPr>
          <w:spacing w:val="-4"/>
          <w:sz w:val="18"/>
          <w:vertAlign w:val="baseline"/>
        </w:rPr>
        <w:t> </w:t>
      </w:r>
      <w:r>
        <w:rPr>
          <w:sz w:val="18"/>
          <w:vertAlign w:val="baseline"/>
        </w:rPr>
        <w:t>“Affirming</w:t>
      </w:r>
      <w:r>
        <w:rPr>
          <w:spacing w:val="-3"/>
          <w:sz w:val="18"/>
          <w:vertAlign w:val="baseline"/>
        </w:rPr>
        <w:t> </w:t>
      </w:r>
      <w:r>
        <w:rPr>
          <w:sz w:val="18"/>
          <w:vertAlign w:val="baseline"/>
        </w:rPr>
        <w:t>Primary</w:t>
      </w:r>
      <w:r>
        <w:rPr>
          <w:spacing w:val="-3"/>
          <w:sz w:val="18"/>
          <w:vertAlign w:val="baseline"/>
        </w:rPr>
        <w:t> </w:t>
      </w:r>
      <w:r>
        <w:rPr>
          <w:sz w:val="18"/>
          <w:vertAlign w:val="baseline"/>
        </w:rPr>
        <w:t>Care</w:t>
      </w:r>
      <w:r>
        <w:rPr>
          <w:spacing w:val="-3"/>
          <w:sz w:val="18"/>
          <w:vertAlign w:val="baseline"/>
        </w:rPr>
        <w:t> </w:t>
      </w:r>
      <w:r>
        <w:rPr>
          <w:sz w:val="18"/>
          <w:vertAlign w:val="baseline"/>
        </w:rPr>
        <w:t>for</w:t>
      </w:r>
      <w:r>
        <w:rPr>
          <w:spacing w:val="-4"/>
          <w:sz w:val="18"/>
          <w:vertAlign w:val="baseline"/>
        </w:rPr>
        <w:t> </w:t>
      </w:r>
      <w:r>
        <w:rPr>
          <w:sz w:val="18"/>
          <w:vertAlign w:val="baseline"/>
        </w:rPr>
        <w:t>Intersex</w:t>
      </w:r>
      <w:r>
        <w:rPr>
          <w:spacing w:val="-4"/>
          <w:sz w:val="18"/>
          <w:vertAlign w:val="baseline"/>
        </w:rPr>
        <w:t> </w:t>
      </w:r>
      <w:r>
        <w:rPr>
          <w:sz w:val="18"/>
          <w:vertAlign w:val="baseline"/>
        </w:rPr>
        <w:t>People</w:t>
      </w:r>
      <w:r>
        <w:rPr>
          <w:spacing w:val="-3"/>
          <w:sz w:val="18"/>
          <w:vertAlign w:val="baseline"/>
        </w:rPr>
        <w:t> </w:t>
      </w:r>
      <w:r>
        <w:rPr>
          <w:sz w:val="18"/>
          <w:vertAlign w:val="baseline"/>
        </w:rPr>
        <w:t>2020</w:t>
      </w:r>
      <w:r>
        <w:rPr>
          <w:spacing w:val="-3"/>
          <w:sz w:val="18"/>
          <w:vertAlign w:val="baseline"/>
        </w:rPr>
        <w:t> </w:t>
      </w:r>
      <w:r>
        <w:rPr>
          <w:sz w:val="18"/>
          <w:vertAlign w:val="baseline"/>
        </w:rPr>
        <w:t>»</w:t>
      </w:r>
      <w:r>
        <w:rPr>
          <w:spacing w:val="-3"/>
          <w:sz w:val="18"/>
          <w:vertAlign w:val="baseline"/>
        </w:rPr>
        <w:t> </w:t>
      </w:r>
      <w:r>
        <w:rPr>
          <w:sz w:val="18"/>
          <w:vertAlign w:val="baseline"/>
        </w:rPr>
        <w:t>LGBTQIA+</w:t>
      </w:r>
      <w:r>
        <w:rPr>
          <w:spacing w:val="-3"/>
          <w:sz w:val="18"/>
          <w:vertAlign w:val="baseline"/>
        </w:rPr>
        <w:t> </w:t>
      </w:r>
      <w:r>
        <w:rPr>
          <w:sz w:val="18"/>
          <w:vertAlign w:val="baseline"/>
        </w:rPr>
        <w:t>Health</w:t>
      </w:r>
      <w:r>
        <w:rPr>
          <w:spacing w:val="-3"/>
          <w:sz w:val="18"/>
          <w:vertAlign w:val="baseline"/>
        </w:rPr>
        <w:t> </w:t>
      </w:r>
      <w:r>
        <w:rPr>
          <w:sz w:val="18"/>
          <w:vertAlign w:val="baseline"/>
        </w:rPr>
        <w:t>Education Center,” </w:t>
      </w:r>
      <w:r>
        <w:rPr>
          <w:i/>
          <w:sz w:val="18"/>
          <w:vertAlign w:val="baseline"/>
        </w:rPr>
        <w:t>LGBTQIA+ Health Education Center </w:t>
      </w:r>
      <w:r>
        <w:rPr>
          <w:sz w:val="18"/>
          <w:vertAlign w:val="baseline"/>
        </w:rPr>
        <w:t>(blog), accessed December 3, 2022, </w:t>
      </w:r>
      <w:bookmarkStart w:name="_bookmark204" w:id="394"/>
      <w:bookmarkEnd w:id="394"/>
      <w:r>
        <w:rPr>
          <w:sz w:val="18"/>
          <w:vertAlign w:val="baseline"/>
        </w:rPr>
      </w:r>
      <w:hyperlink r:id="rId331">
        <w:r>
          <w:rPr>
            <w:color w:val="0561C1"/>
            <w:spacing w:val="-2"/>
            <w:sz w:val="18"/>
            <w:u w:val="single" w:color="0561C1"/>
            <w:vertAlign w:val="baseline"/>
          </w:rPr>
          <w:t>https://www.lgbtqiahealtheducation.org/publication/affirming-primary-care-for-intersex-people-2020/</w:t>
        </w:r>
      </w:hyperlink>
      <w:hyperlink r:id="rId331">
        <w:r>
          <w:rPr>
            <w:spacing w:val="-2"/>
            <w:sz w:val="18"/>
            <w:u w:val="none"/>
            <w:vertAlign w:val="baseline"/>
          </w:rPr>
          <w:t>.</w:t>
        </w:r>
      </w:hyperlink>
    </w:p>
    <w:p>
      <w:pPr>
        <w:spacing w:line="219" w:lineRule="exact" w:before="0"/>
        <w:ind w:left="463" w:right="0" w:firstLine="0"/>
        <w:jc w:val="left"/>
        <w:rPr>
          <w:sz w:val="18"/>
        </w:rPr>
      </w:pPr>
      <w:r>
        <w:rPr>
          <w:sz w:val="18"/>
          <w:vertAlign w:val="superscript"/>
        </w:rPr>
        <w:t>11</w:t>
      </w:r>
      <w:r>
        <w:rPr>
          <w:spacing w:val="-13"/>
          <w:sz w:val="18"/>
          <w:vertAlign w:val="baseline"/>
        </w:rPr>
        <w:t> </w:t>
      </w:r>
      <w:bookmarkStart w:name="_bookmark205" w:id="395"/>
      <w:bookmarkEnd w:id="395"/>
      <w:r>
        <w:rPr>
          <w:spacing w:val="-4"/>
          <w:sz w:val="18"/>
          <w:vertAlign w:val="baseline"/>
        </w:rPr>
        <w:t>l</w:t>
      </w:r>
      <w:r>
        <w:rPr>
          <w:spacing w:val="-4"/>
          <w:sz w:val="18"/>
          <w:vertAlign w:val="baseline"/>
        </w:rPr>
        <w:t>bid</w:t>
      </w:r>
    </w:p>
    <w:p>
      <w:pPr>
        <w:spacing w:before="0"/>
        <w:ind w:left="463" w:right="391" w:firstLine="0"/>
        <w:jc w:val="left"/>
        <w:rPr>
          <w:sz w:val="18"/>
        </w:rPr>
      </w:pPr>
      <w:r>
        <w:rPr>
          <w:sz w:val="18"/>
          <w:vertAlign w:val="superscript"/>
        </w:rPr>
        <w:t>12</w:t>
      </w:r>
      <w:r>
        <w:rPr>
          <w:spacing w:val="-8"/>
          <w:sz w:val="18"/>
          <w:vertAlign w:val="baseline"/>
        </w:rPr>
        <w:t> </w:t>
      </w:r>
      <w:r>
        <w:rPr>
          <w:sz w:val="18"/>
          <w:vertAlign w:val="baseline"/>
        </w:rPr>
        <w:t>“New Study Finds Significant Barriers to Gender-Affirming Primary Care among Transgender People Living in Rural Areas - Fenway</w:t>
      </w:r>
      <w:r>
        <w:rPr>
          <w:spacing w:val="-3"/>
          <w:sz w:val="18"/>
          <w:vertAlign w:val="baseline"/>
        </w:rPr>
        <w:t> </w:t>
      </w:r>
      <w:r>
        <w:rPr>
          <w:sz w:val="18"/>
          <w:vertAlign w:val="baseline"/>
        </w:rPr>
        <w:t>Health:</w:t>
      </w:r>
      <w:r>
        <w:rPr>
          <w:spacing w:val="-3"/>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Is</w:t>
      </w:r>
      <w:r>
        <w:rPr>
          <w:spacing w:val="-3"/>
          <w:sz w:val="18"/>
          <w:vertAlign w:val="baseline"/>
        </w:rPr>
        <w:t> </w:t>
      </w:r>
      <w:r>
        <w:rPr>
          <w:sz w:val="18"/>
          <w:vertAlign w:val="baseline"/>
        </w:rPr>
        <w:t>A</w:t>
      </w:r>
      <w:r>
        <w:rPr>
          <w:spacing w:val="-4"/>
          <w:sz w:val="18"/>
          <w:vertAlign w:val="baseline"/>
        </w:rPr>
        <w:t> </w:t>
      </w:r>
      <w:r>
        <w:rPr>
          <w:sz w:val="18"/>
          <w:vertAlign w:val="baseline"/>
        </w:rPr>
        <w:t>Right,</w:t>
      </w:r>
      <w:r>
        <w:rPr>
          <w:spacing w:val="-4"/>
          <w:sz w:val="18"/>
          <w:vertAlign w:val="baseline"/>
        </w:rPr>
        <w:t> </w:t>
      </w:r>
      <w:r>
        <w:rPr>
          <w:sz w:val="18"/>
          <w:vertAlign w:val="baseline"/>
        </w:rPr>
        <w:t>Not</w:t>
      </w:r>
      <w:r>
        <w:rPr>
          <w:spacing w:val="-4"/>
          <w:sz w:val="18"/>
          <w:vertAlign w:val="baseline"/>
        </w:rPr>
        <w:t> </w:t>
      </w:r>
      <w:r>
        <w:rPr>
          <w:sz w:val="18"/>
          <w:vertAlign w:val="baseline"/>
        </w:rPr>
        <w:t>A</w:t>
      </w:r>
      <w:r>
        <w:rPr>
          <w:spacing w:val="-3"/>
          <w:sz w:val="18"/>
          <w:vertAlign w:val="baseline"/>
        </w:rPr>
        <w:t> </w:t>
      </w:r>
      <w:r>
        <w:rPr>
          <w:sz w:val="18"/>
          <w:vertAlign w:val="baseline"/>
        </w:rPr>
        <w:t>Privilege.,”</w:t>
      </w:r>
      <w:r>
        <w:rPr>
          <w:spacing w:val="-3"/>
          <w:sz w:val="18"/>
          <w:vertAlign w:val="baseline"/>
        </w:rPr>
        <w:t> </w:t>
      </w:r>
      <w:r>
        <w:rPr>
          <w:sz w:val="18"/>
          <w:vertAlign w:val="baseline"/>
        </w:rPr>
        <w:t>August</w:t>
      </w:r>
      <w:r>
        <w:rPr>
          <w:spacing w:val="-4"/>
          <w:sz w:val="18"/>
          <w:vertAlign w:val="baseline"/>
        </w:rPr>
        <w:t> </w:t>
      </w:r>
      <w:r>
        <w:rPr>
          <w:sz w:val="18"/>
          <w:vertAlign w:val="baseline"/>
        </w:rPr>
        <w:t>18,</w:t>
      </w:r>
      <w:r>
        <w:rPr>
          <w:spacing w:val="-4"/>
          <w:sz w:val="18"/>
          <w:vertAlign w:val="baseline"/>
        </w:rPr>
        <w:t> </w:t>
      </w:r>
      <w:r>
        <w:rPr>
          <w:sz w:val="18"/>
          <w:vertAlign w:val="baseline"/>
        </w:rPr>
        <w:t>2022,</w:t>
      </w:r>
      <w:r>
        <w:rPr>
          <w:spacing w:val="-4"/>
          <w:sz w:val="18"/>
          <w:vertAlign w:val="baseline"/>
        </w:rPr>
        <w:t> </w:t>
      </w:r>
      <w:hyperlink r:id="rId332">
        <w:r>
          <w:rPr>
            <w:color w:val="0561C1"/>
            <w:sz w:val="18"/>
            <w:u w:val="single" w:color="0561C1"/>
            <w:vertAlign w:val="baseline"/>
          </w:rPr>
          <w:t>https://fenwayhealth.org/new-study-finds-</w:t>
        </w:r>
      </w:hyperlink>
      <w:r>
        <w:rPr>
          <w:color w:val="0561C1"/>
          <w:spacing w:val="-4"/>
          <w:sz w:val="18"/>
          <w:u w:val="single" w:color="0561C1"/>
          <w:vertAlign w:val="baseline"/>
        </w:rPr>
        <w:t> </w:t>
      </w:r>
      <w:hyperlink r:id="rId332">
        <w:r>
          <w:rPr>
            <w:color w:val="0561C1"/>
            <w:sz w:val="18"/>
            <w:u w:val="single" w:color="0561C1"/>
            <w:vertAlign w:val="baseline"/>
          </w:rPr>
          <w:t>significant-</w:t>
        </w:r>
      </w:hyperlink>
      <w:r>
        <w:rPr>
          <w:color w:val="0561C1"/>
          <w:sz w:val="18"/>
          <w:u w:val="none"/>
          <w:vertAlign w:val="baseline"/>
        </w:rPr>
        <w:t> </w:t>
      </w:r>
      <w:bookmarkStart w:name="_bookmark206" w:id="396"/>
      <w:bookmarkEnd w:id="396"/>
      <w:r>
        <w:rPr>
          <w:color w:val="0561C1"/>
          <w:sz w:val="18"/>
          <w:u w:val="none"/>
          <w:vertAlign w:val="baseline"/>
        </w:rPr>
      </w:r>
      <w:hyperlink r:id="rId332">
        <w:r>
          <w:rPr>
            <w:color w:val="0561C1"/>
            <w:spacing w:val="-2"/>
            <w:sz w:val="18"/>
            <w:u w:val="single" w:color="0561C1"/>
            <w:vertAlign w:val="baseline"/>
          </w:rPr>
          <w:t>barriers-to-gender-affirming-primary-care-among-transgender-people-living-in-rural-areas/</w:t>
        </w:r>
      </w:hyperlink>
      <w:hyperlink r:id="rId332">
        <w:r>
          <w:rPr>
            <w:spacing w:val="-2"/>
            <w:sz w:val="18"/>
            <w:u w:val="none"/>
            <w:vertAlign w:val="baseline"/>
          </w:rPr>
          <w:t>.</w:t>
        </w:r>
      </w:hyperlink>
    </w:p>
    <w:p>
      <w:pPr>
        <w:spacing w:before="0"/>
        <w:ind w:left="463" w:right="391" w:hanging="1"/>
        <w:jc w:val="left"/>
        <w:rPr>
          <w:sz w:val="18"/>
        </w:rPr>
      </w:pPr>
      <w:r>
        <w:rPr>
          <w:sz w:val="18"/>
          <w:vertAlign w:val="superscript"/>
        </w:rPr>
        <w:t>13</w:t>
      </w:r>
      <w:r>
        <w:rPr>
          <w:spacing w:val="-13"/>
          <w:sz w:val="18"/>
          <w:vertAlign w:val="baseline"/>
        </w:rPr>
        <w:t> </w:t>
      </w:r>
      <w:r>
        <w:rPr>
          <w:sz w:val="18"/>
          <w:vertAlign w:val="baseline"/>
        </w:rPr>
        <w:t>Claire</w:t>
      </w:r>
      <w:r>
        <w:rPr>
          <w:spacing w:val="-3"/>
          <w:sz w:val="18"/>
          <w:vertAlign w:val="baseline"/>
        </w:rPr>
        <w:t> </w:t>
      </w:r>
      <w:r>
        <w:rPr>
          <w:sz w:val="18"/>
          <w:vertAlign w:val="baseline"/>
        </w:rPr>
        <w:t>E.</w:t>
      </w:r>
      <w:r>
        <w:rPr>
          <w:spacing w:val="-2"/>
          <w:sz w:val="18"/>
          <w:vertAlign w:val="baseline"/>
        </w:rPr>
        <w:t> </w:t>
      </w:r>
      <w:r>
        <w:rPr>
          <w:sz w:val="18"/>
          <w:vertAlign w:val="baseline"/>
        </w:rPr>
        <w:t>Lunde</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“Beyond</w:t>
      </w:r>
      <w:r>
        <w:rPr>
          <w:spacing w:val="-3"/>
          <w:sz w:val="18"/>
          <w:vertAlign w:val="baseline"/>
        </w:rPr>
        <w:t> </w:t>
      </w:r>
      <w:r>
        <w:rPr>
          <w:sz w:val="18"/>
          <w:vertAlign w:val="baseline"/>
        </w:rPr>
        <w:t>the</w:t>
      </w:r>
      <w:r>
        <w:rPr>
          <w:spacing w:val="-2"/>
          <w:sz w:val="18"/>
          <w:vertAlign w:val="baseline"/>
        </w:rPr>
        <w:t> </w:t>
      </w:r>
      <w:r>
        <w:rPr>
          <w:sz w:val="18"/>
          <w:vertAlign w:val="baseline"/>
        </w:rPr>
        <w:t>Binary:</w:t>
      </w:r>
      <w:r>
        <w:rPr>
          <w:spacing w:val="-2"/>
          <w:sz w:val="18"/>
          <w:vertAlign w:val="baseline"/>
        </w:rPr>
        <w:t> </w:t>
      </w:r>
      <w:r>
        <w:rPr>
          <w:sz w:val="18"/>
          <w:vertAlign w:val="baseline"/>
        </w:rPr>
        <w:t>Sexual</w:t>
      </w:r>
      <w:r>
        <w:rPr>
          <w:spacing w:val="-3"/>
          <w:sz w:val="18"/>
          <w:vertAlign w:val="baseline"/>
        </w:rPr>
        <w:t> </w:t>
      </w:r>
      <w:r>
        <w:rPr>
          <w:sz w:val="18"/>
          <w:vertAlign w:val="baseline"/>
        </w:rPr>
        <w:t>and</w:t>
      </w:r>
      <w:r>
        <w:rPr>
          <w:spacing w:val="-2"/>
          <w:sz w:val="18"/>
          <w:vertAlign w:val="baseline"/>
        </w:rPr>
        <w:t> </w:t>
      </w:r>
      <w:r>
        <w:rPr>
          <w:sz w:val="18"/>
          <w:vertAlign w:val="baseline"/>
        </w:rPr>
        <w:t>Reproductive</w:t>
      </w:r>
      <w:r>
        <w:rPr>
          <w:spacing w:val="-2"/>
          <w:sz w:val="18"/>
          <w:vertAlign w:val="baseline"/>
        </w:rPr>
        <w:t> </w:t>
      </w:r>
      <w:r>
        <w:rPr>
          <w:sz w:val="18"/>
          <w:vertAlign w:val="baseline"/>
        </w:rPr>
        <w:t>Health</w:t>
      </w:r>
      <w:r>
        <w:rPr>
          <w:spacing w:val="-2"/>
          <w:sz w:val="18"/>
          <w:vertAlign w:val="baseline"/>
        </w:rPr>
        <w:t> </w:t>
      </w:r>
      <w:r>
        <w:rPr>
          <w:sz w:val="18"/>
          <w:vertAlign w:val="baseline"/>
        </w:rPr>
        <w:t>Considerations</w:t>
      </w:r>
      <w:r>
        <w:rPr>
          <w:spacing w:val="-2"/>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and</w:t>
      </w:r>
      <w:r>
        <w:rPr>
          <w:spacing w:val="-3"/>
          <w:sz w:val="18"/>
          <w:vertAlign w:val="baseline"/>
        </w:rPr>
        <w:t> </w:t>
      </w:r>
      <w:r>
        <w:rPr>
          <w:sz w:val="18"/>
          <w:vertAlign w:val="baseline"/>
        </w:rPr>
        <w:t>Gender Expansive Adolescents,” </w:t>
      </w:r>
      <w:r>
        <w:rPr>
          <w:i/>
          <w:sz w:val="18"/>
          <w:vertAlign w:val="baseline"/>
        </w:rPr>
        <w:t>Frontiers in Reproductive Health </w:t>
      </w:r>
      <w:r>
        <w:rPr>
          <w:sz w:val="18"/>
          <w:vertAlign w:val="baseline"/>
        </w:rPr>
        <w:t>3 (2021), </w:t>
      </w:r>
      <w:bookmarkStart w:name="_bookmark207" w:id="397"/>
      <w:bookmarkEnd w:id="397"/>
      <w:r>
        <w:rPr>
          <w:sz w:val="18"/>
          <w:vertAlign w:val="baseline"/>
        </w:rPr>
      </w:r>
      <w:hyperlink r:id="rId333">
        <w:r>
          <w:rPr>
            <w:color w:val="0561C1"/>
            <w:spacing w:val="-2"/>
            <w:sz w:val="18"/>
            <w:u w:val="single" w:color="0561C1"/>
            <w:vertAlign w:val="baseline"/>
          </w:rPr>
          <w:t>https://www.frontiersin.org/articles/10.3389/frph.2021.670919</w:t>
        </w:r>
      </w:hyperlink>
      <w:hyperlink r:id="rId333">
        <w:r>
          <w:rPr>
            <w:spacing w:val="-2"/>
            <w:sz w:val="18"/>
            <w:u w:val="none"/>
            <w:vertAlign w:val="baseline"/>
          </w:rPr>
          <w:t>.</w:t>
        </w:r>
      </w:hyperlink>
    </w:p>
    <w:p>
      <w:pPr>
        <w:spacing w:before="0"/>
        <w:ind w:left="463" w:right="0" w:hanging="1"/>
        <w:jc w:val="left"/>
        <w:rPr>
          <w:sz w:val="18"/>
        </w:rPr>
      </w:pPr>
      <w:r>
        <w:rPr>
          <w:sz w:val="18"/>
          <w:vertAlign w:val="superscript"/>
        </w:rPr>
        <w:t>14</w:t>
      </w:r>
      <w:r>
        <w:rPr>
          <w:spacing w:val="-13"/>
          <w:sz w:val="18"/>
          <w:vertAlign w:val="baseline"/>
        </w:rPr>
        <w:t> </w:t>
      </w:r>
      <w:r>
        <w:rPr>
          <w:sz w:val="18"/>
          <w:vertAlign w:val="baseline"/>
        </w:rPr>
        <w:t>Beth</w:t>
      </w:r>
      <w:r>
        <w:rPr>
          <w:spacing w:val="-3"/>
          <w:sz w:val="18"/>
          <w:vertAlign w:val="baseline"/>
        </w:rPr>
        <w:t> </w:t>
      </w:r>
      <w:r>
        <w:rPr>
          <w:sz w:val="18"/>
          <w:vertAlign w:val="baseline"/>
        </w:rPr>
        <w:t>I.</w:t>
      </w:r>
      <w:r>
        <w:rPr>
          <w:spacing w:val="-2"/>
          <w:sz w:val="18"/>
          <w:vertAlign w:val="baseline"/>
        </w:rPr>
        <w:t> </w:t>
      </w:r>
      <w:r>
        <w:rPr>
          <w:sz w:val="18"/>
          <w:vertAlign w:val="baseline"/>
        </w:rPr>
        <w:t>Schwartz</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“Experiences</w:t>
      </w:r>
      <w:r>
        <w:rPr>
          <w:spacing w:val="-2"/>
          <w:sz w:val="18"/>
          <w:vertAlign w:val="baseline"/>
        </w:rPr>
        <w:t> </w:t>
      </w:r>
      <w:r>
        <w:rPr>
          <w:sz w:val="18"/>
          <w:vertAlign w:val="baseline"/>
        </w:rPr>
        <w:t>with</w:t>
      </w:r>
      <w:r>
        <w:rPr>
          <w:spacing w:val="-2"/>
          <w:sz w:val="18"/>
          <w:vertAlign w:val="baseline"/>
        </w:rPr>
        <w:t> </w:t>
      </w:r>
      <w:r>
        <w:rPr>
          <w:sz w:val="18"/>
          <w:vertAlign w:val="baseline"/>
        </w:rPr>
        <w:t>Menses</w:t>
      </w:r>
      <w:r>
        <w:rPr>
          <w:spacing w:val="-2"/>
          <w:sz w:val="18"/>
          <w:vertAlign w:val="baseline"/>
        </w:rPr>
        <w:t> </w:t>
      </w:r>
      <w:r>
        <w:rPr>
          <w:sz w:val="18"/>
          <w:vertAlign w:val="baseline"/>
        </w:rPr>
        <w:t>in</w:t>
      </w:r>
      <w:r>
        <w:rPr>
          <w:spacing w:val="-2"/>
          <w:sz w:val="18"/>
          <w:vertAlign w:val="baseline"/>
        </w:rPr>
        <w:t> </w:t>
      </w:r>
      <w:r>
        <w:rPr>
          <w:sz w:val="18"/>
          <w:vertAlign w:val="baseline"/>
        </w:rPr>
        <w:t>Transgender</w:t>
      </w:r>
      <w:r>
        <w:rPr>
          <w:spacing w:val="-3"/>
          <w:sz w:val="18"/>
          <w:vertAlign w:val="baseline"/>
        </w:rPr>
        <w:t> </w:t>
      </w:r>
      <w:r>
        <w:rPr>
          <w:sz w:val="18"/>
          <w:vertAlign w:val="baseline"/>
        </w:rPr>
        <w:t>and</w:t>
      </w:r>
      <w:r>
        <w:rPr>
          <w:spacing w:val="-2"/>
          <w:sz w:val="18"/>
          <w:vertAlign w:val="baseline"/>
        </w:rPr>
        <w:t> </w:t>
      </w:r>
      <w:r>
        <w:rPr>
          <w:sz w:val="18"/>
          <w:vertAlign w:val="baseline"/>
        </w:rPr>
        <w:t>Gender</w:t>
      </w:r>
      <w:r>
        <w:rPr>
          <w:spacing w:val="-3"/>
          <w:sz w:val="18"/>
          <w:vertAlign w:val="baseline"/>
        </w:rPr>
        <w:t> </w:t>
      </w:r>
      <w:r>
        <w:rPr>
          <w:sz w:val="18"/>
          <w:vertAlign w:val="baseline"/>
        </w:rPr>
        <w:t>Nonbinary</w:t>
      </w:r>
      <w:r>
        <w:rPr>
          <w:spacing w:val="-2"/>
          <w:sz w:val="18"/>
          <w:vertAlign w:val="baseline"/>
        </w:rPr>
        <w:t> </w:t>
      </w:r>
      <w:r>
        <w:rPr>
          <w:sz w:val="18"/>
          <w:vertAlign w:val="baseline"/>
        </w:rPr>
        <w:t>Adolescents,”</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Pediatric</w:t>
      </w:r>
      <w:r>
        <w:rPr>
          <w:i/>
          <w:spacing w:val="-3"/>
          <w:sz w:val="18"/>
          <w:vertAlign w:val="baseline"/>
        </w:rPr>
        <w:t> </w:t>
      </w:r>
      <w:r>
        <w:rPr>
          <w:i/>
          <w:sz w:val="18"/>
          <w:vertAlign w:val="baseline"/>
        </w:rPr>
        <w:t>and</w:t>
      </w:r>
      <w:r>
        <w:rPr>
          <w:i/>
          <w:sz w:val="18"/>
          <w:vertAlign w:val="baseline"/>
        </w:rPr>
        <w:t> </w:t>
      </w:r>
      <w:bookmarkStart w:name="_bookmark208" w:id="398"/>
      <w:bookmarkEnd w:id="398"/>
      <w:r>
        <w:rPr>
          <w:i/>
          <w:sz w:val="18"/>
          <w:vertAlign w:val="baseline"/>
        </w:rPr>
        <w:t>A</w:t>
      </w:r>
      <w:r>
        <w:rPr>
          <w:i/>
          <w:sz w:val="18"/>
          <w:vertAlign w:val="baseline"/>
        </w:rPr>
        <w:t>dolescent Gynecology </w:t>
      </w:r>
      <w:r>
        <w:rPr>
          <w:sz w:val="18"/>
          <w:vertAlign w:val="baseline"/>
        </w:rPr>
        <w:t>35, no. 4 (August 2022): 450–56, </w:t>
      </w:r>
      <w:hyperlink r:id="rId334">
        <w:r>
          <w:rPr>
            <w:color w:val="0561C1"/>
            <w:sz w:val="18"/>
            <w:u w:val="single" w:color="0561C1"/>
            <w:vertAlign w:val="baseline"/>
          </w:rPr>
          <w:t>https://doi.org/10.1016/j.jpag.2022.01.015</w:t>
        </w:r>
      </w:hyperlink>
      <w:hyperlink r:id="rId334">
        <w:r>
          <w:rPr>
            <w:sz w:val="18"/>
            <w:u w:val="none"/>
            <w:vertAlign w:val="baseline"/>
          </w:rPr>
          <w:t>.</w:t>
        </w:r>
      </w:hyperlink>
    </w:p>
    <w:p>
      <w:pPr>
        <w:spacing w:before="0"/>
        <w:ind w:left="463" w:right="261" w:hanging="1"/>
        <w:jc w:val="left"/>
        <w:rPr>
          <w:sz w:val="18"/>
        </w:rPr>
      </w:pPr>
      <w:r>
        <w:rPr>
          <w:sz w:val="18"/>
          <w:vertAlign w:val="superscript"/>
        </w:rPr>
        <w:t>15</w:t>
      </w:r>
      <w:r>
        <w:rPr>
          <w:spacing w:val="-13"/>
          <w:sz w:val="18"/>
          <w:vertAlign w:val="baseline"/>
        </w:rPr>
        <w:t> </w:t>
      </w:r>
      <w:r>
        <w:rPr>
          <w:sz w:val="18"/>
          <w:vertAlign w:val="baseline"/>
        </w:rPr>
        <w:t>Molly</w:t>
      </w:r>
      <w:r>
        <w:rPr>
          <w:spacing w:val="-4"/>
          <w:sz w:val="18"/>
          <w:vertAlign w:val="baseline"/>
        </w:rPr>
        <w:t> </w:t>
      </w:r>
      <w:r>
        <w:rPr>
          <w:sz w:val="18"/>
          <w:vertAlign w:val="baseline"/>
        </w:rPr>
        <w:t>B.</w:t>
      </w:r>
      <w:r>
        <w:rPr>
          <w:spacing w:val="-2"/>
          <w:sz w:val="18"/>
          <w:vertAlign w:val="baseline"/>
        </w:rPr>
        <w:t> </w:t>
      </w:r>
      <w:r>
        <w:rPr>
          <w:sz w:val="18"/>
          <w:vertAlign w:val="baseline"/>
        </w:rPr>
        <w:t>Moravek,</w:t>
      </w:r>
      <w:r>
        <w:rPr>
          <w:spacing w:val="-3"/>
          <w:sz w:val="18"/>
          <w:vertAlign w:val="baseline"/>
        </w:rPr>
        <w:t> </w:t>
      </w:r>
      <w:r>
        <w:rPr>
          <w:sz w:val="18"/>
          <w:vertAlign w:val="baseline"/>
        </w:rPr>
        <w:t>“Gender-Affirming</w:t>
      </w:r>
      <w:r>
        <w:rPr>
          <w:spacing w:val="-2"/>
          <w:sz w:val="18"/>
          <w:vertAlign w:val="baseline"/>
        </w:rPr>
        <w:t> </w:t>
      </w:r>
      <w:r>
        <w:rPr>
          <w:sz w:val="18"/>
          <w:vertAlign w:val="baseline"/>
        </w:rPr>
        <w:t>Hormone</w:t>
      </w:r>
      <w:r>
        <w:rPr>
          <w:spacing w:val="-2"/>
          <w:sz w:val="18"/>
          <w:vertAlign w:val="baseline"/>
        </w:rPr>
        <w:t> </w:t>
      </w:r>
      <w:r>
        <w:rPr>
          <w:sz w:val="18"/>
          <w:vertAlign w:val="baseline"/>
        </w:rPr>
        <w:t>Therapy</w:t>
      </w:r>
      <w:r>
        <w:rPr>
          <w:spacing w:val="-2"/>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Men,”</w:t>
      </w:r>
      <w:r>
        <w:rPr>
          <w:spacing w:val="-3"/>
          <w:sz w:val="18"/>
          <w:vertAlign w:val="baseline"/>
        </w:rPr>
        <w:t> </w:t>
      </w:r>
      <w:r>
        <w:rPr>
          <w:i/>
          <w:sz w:val="18"/>
          <w:vertAlign w:val="baseline"/>
        </w:rPr>
        <w:t>Clinical</w:t>
      </w:r>
      <w:r>
        <w:rPr>
          <w:i/>
          <w:spacing w:val="-3"/>
          <w:sz w:val="18"/>
          <w:vertAlign w:val="baseline"/>
        </w:rPr>
        <w:t> </w:t>
      </w:r>
      <w:r>
        <w:rPr>
          <w:i/>
          <w:sz w:val="18"/>
          <w:vertAlign w:val="baseline"/>
        </w:rPr>
        <w:t>Obstetrics</w:t>
      </w:r>
      <w:r>
        <w:rPr>
          <w:i/>
          <w:spacing w:val="-3"/>
          <w:sz w:val="18"/>
          <w:vertAlign w:val="baseline"/>
        </w:rPr>
        <w:t> </w:t>
      </w:r>
      <w:r>
        <w:rPr>
          <w:i/>
          <w:sz w:val="18"/>
          <w:vertAlign w:val="baseline"/>
        </w:rPr>
        <w:t>&amp;</w:t>
      </w:r>
      <w:r>
        <w:rPr>
          <w:i/>
          <w:spacing w:val="-3"/>
          <w:sz w:val="18"/>
          <w:vertAlign w:val="baseline"/>
        </w:rPr>
        <w:t> </w:t>
      </w:r>
      <w:r>
        <w:rPr>
          <w:i/>
          <w:sz w:val="18"/>
          <w:vertAlign w:val="baseline"/>
        </w:rPr>
        <w:t>Gynecology</w:t>
      </w:r>
      <w:r>
        <w:rPr>
          <w:i/>
          <w:spacing w:val="-1"/>
          <w:sz w:val="18"/>
          <w:vertAlign w:val="baseline"/>
        </w:rPr>
        <w:t> </w:t>
      </w:r>
      <w:r>
        <w:rPr>
          <w:sz w:val="18"/>
          <w:vertAlign w:val="baseline"/>
        </w:rPr>
        <w:t>61,</w:t>
      </w:r>
      <w:r>
        <w:rPr>
          <w:spacing w:val="-3"/>
          <w:sz w:val="18"/>
          <w:vertAlign w:val="baseline"/>
        </w:rPr>
        <w:t> </w:t>
      </w:r>
      <w:r>
        <w:rPr>
          <w:sz w:val="18"/>
          <w:vertAlign w:val="baseline"/>
        </w:rPr>
        <w:t>no.</w:t>
      </w:r>
      <w:r>
        <w:rPr>
          <w:spacing w:val="-2"/>
          <w:sz w:val="18"/>
          <w:vertAlign w:val="baseline"/>
        </w:rPr>
        <w:t> </w:t>
      </w:r>
      <w:r>
        <w:rPr>
          <w:sz w:val="18"/>
          <w:vertAlign w:val="baseline"/>
        </w:rPr>
        <w:t>4 </w:t>
      </w:r>
      <w:bookmarkStart w:name="_bookmark209" w:id="399"/>
      <w:bookmarkEnd w:id="399"/>
      <w:r>
        <w:rPr>
          <w:sz w:val="18"/>
          <w:vertAlign w:val="baseline"/>
        </w:rPr>
        <w:t>(</w:t>
      </w:r>
      <w:r>
        <w:rPr>
          <w:sz w:val="18"/>
          <w:vertAlign w:val="baseline"/>
        </w:rPr>
        <w:t>December 2018): 687–704, </w:t>
      </w:r>
      <w:hyperlink r:id="rId335">
        <w:r>
          <w:rPr>
            <w:color w:val="0561C1"/>
            <w:sz w:val="18"/>
            <w:u w:val="single" w:color="0561C1"/>
            <w:vertAlign w:val="baseline"/>
          </w:rPr>
          <w:t>https://doi.org/10.1097/GRF.0000000000000398</w:t>
        </w:r>
      </w:hyperlink>
      <w:hyperlink r:id="rId335">
        <w:r>
          <w:rPr>
            <w:sz w:val="18"/>
            <w:u w:val="none"/>
            <w:vertAlign w:val="baseline"/>
          </w:rPr>
          <w:t>.</w:t>
        </w:r>
      </w:hyperlink>
    </w:p>
    <w:p>
      <w:pPr>
        <w:spacing w:before="0"/>
        <w:ind w:left="463" w:right="1991" w:hanging="1"/>
        <w:jc w:val="left"/>
        <w:rPr>
          <w:sz w:val="18"/>
        </w:rPr>
      </w:pPr>
      <w:r>
        <w:rPr>
          <w:sz w:val="18"/>
          <w:vertAlign w:val="superscript"/>
        </w:rPr>
        <w:t>16</w:t>
      </w:r>
      <w:r>
        <w:rPr>
          <w:spacing w:val="-13"/>
          <w:sz w:val="18"/>
          <w:vertAlign w:val="baseline"/>
        </w:rPr>
        <w:t> </w:t>
      </w:r>
      <w:r>
        <w:rPr>
          <w:sz w:val="18"/>
          <w:vertAlign w:val="baseline"/>
        </w:rPr>
        <w:t>“Menstrual</w:t>
      </w:r>
      <w:r>
        <w:rPr>
          <w:spacing w:val="-6"/>
          <w:sz w:val="18"/>
          <w:vertAlign w:val="baseline"/>
        </w:rPr>
        <w:t> </w:t>
      </w:r>
      <w:r>
        <w:rPr>
          <w:sz w:val="18"/>
          <w:vertAlign w:val="baseline"/>
        </w:rPr>
        <w:t>Access</w:t>
      </w:r>
      <w:r>
        <w:rPr>
          <w:spacing w:val="-3"/>
          <w:sz w:val="18"/>
          <w:vertAlign w:val="baseline"/>
        </w:rPr>
        <w:t> </w:t>
      </w:r>
      <w:r>
        <w:rPr>
          <w:sz w:val="18"/>
          <w:vertAlign w:val="baseline"/>
        </w:rPr>
        <w:t>Advocacy</w:t>
      </w:r>
      <w:r>
        <w:rPr>
          <w:spacing w:val="-3"/>
          <w:sz w:val="18"/>
          <w:vertAlign w:val="baseline"/>
        </w:rPr>
        <w:t> </w:t>
      </w:r>
      <w:r>
        <w:rPr>
          <w:sz w:val="18"/>
          <w:vertAlign w:val="baseline"/>
        </w:rPr>
        <w:t>Project</w:t>
      </w:r>
      <w:r>
        <w:rPr>
          <w:spacing w:val="-4"/>
          <w:sz w:val="18"/>
          <w:vertAlign w:val="baseline"/>
        </w:rPr>
        <w:t> </w:t>
      </w:r>
      <w:r>
        <w:rPr>
          <w:sz w:val="18"/>
          <w:vertAlign w:val="baseline"/>
        </w:rPr>
        <w:t>–</w:t>
      </w:r>
      <w:r>
        <w:rPr>
          <w:spacing w:val="-3"/>
          <w:sz w:val="18"/>
          <w:vertAlign w:val="baseline"/>
        </w:rPr>
        <w:t> </w:t>
      </w:r>
      <w:r>
        <w:rPr>
          <w:sz w:val="18"/>
          <w:vertAlign w:val="baseline"/>
        </w:rPr>
        <w:t>YWCA</w:t>
      </w:r>
      <w:r>
        <w:rPr>
          <w:spacing w:val="-3"/>
          <w:sz w:val="18"/>
          <w:vertAlign w:val="baseline"/>
        </w:rPr>
        <w:t> </w:t>
      </w:r>
      <w:r>
        <w:rPr>
          <w:sz w:val="18"/>
          <w:vertAlign w:val="baseline"/>
        </w:rPr>
        <w:t>Southeastern</w:t>
      </w:r>
      <w:r>
        <w:rPr>
          <w:spacing w:val="-3"/>
          <w:sz w:val="18"/>
          <w:vertAlign w:val="baseline"/>
        </w:rPr>
        <w:t> </w:t>
      </w:r>
      <w:r>
        <w:rPr>
          <w:sz w:val="18"/>
          <w:vertAlign w:val="baseline"/>
        </w:rPr>
        <w:t>Massachusetts,”</w:t>
      </w:r>
      <w:r>
        <w:rPr>
          <w:spacing w:val="-3"/>
          <w:sz w:val="18"/>
          <w:vertAlign w:val="baseline"/>
        </w:rPr>
        <w:t> </w:t>
      </w:r>
      <w:r>
        <w:rPr>
          <w:sz w:val="18"/>
          <w:vertAlign w:val="baseline"/>
        </w:rPr>
        <w:t>accessed</w:t>
      </w:r>
      <w:r>
        <w:rPr>
          <w:spacing w:val="-3"/>
          <w:sz w:val="18"/>
          <w:vertAlign w:val="baseline"/>
        </w:rPr>
        <w:t> </w:t>
      </w:r>
      <w:r>
        <w:rPr>
          <w:sz w:val="18"/>
          <w:vertAlign w:val="baseline"/>
        </w:rPr>
        <w:t>December</w:t>
      </w:r>
      <w:r>
        <w:rPr>
          <w:spacing w:val="-4"/>
          <w:sz w:val="18"/>
          <w:vertAlign w:val="baseline"/>
        </w:rPr>
        <w:t> </w:t>
      </w:r>
      <w:r>
        <w:rPr>
          <w:sz w:val="18"/>
          <w:vertAlign w:val="baseline"/>
        </w:rPr>
        <w:t>4,</w:t>
      </w:r>
      <w:r>
        <w:rPr>
          <w:spacing w:val="-4"/>
          <w:sz w:val="18"/>
          <w:vertAlign w:val="baseline"/>
        </w:rPr>
        <w:t> </w:t>
      </w:r>
      <w:r>
        <w:rPr>
          <w:sz w:val="18"/>
          <w:vertAlign w:val="baseline"/>
        </w:rPr>
        <w:t>2022, </w:t>
      </w:r>
      <w:hyperlink r:id="rId336">
        <w:r>
          <w:rPr>
            <w:color w:val="0561C1"/>
            <w:spacing w:val="-2"/>
            <w:sz w:val="18"/>
            <w:u w:val="single" w:color="0561C1"/>
            <w:vertAlign w:val="baseline"/>
          </w:rPr>
          <w:t>https://ywcasema.org/menstrual-access-advocacy-project/</w:t>
        </w:r>
      </w:hyperlink>
      <w:hyperlink r:id="rId336">
        <w:r>
          <w:rPr>
            <w:spacing w:val="-2"/>
            <w:sz w:val="18"/>
            <w:u w:val="none"/>
            <w:vertAlign w:val="baseline"/>
          </w:rPr>
          <w:t>.</w:t>
        </w:r>
      </w:hyperlink>
    </w:p>
    <w:p>
      <w:pPr>
        <w:spacing w:line="219" w:lineRule="exact" w:before="0"/>
        <w:ind w:left="463" w:right="0" w:firstLine="0"/>
        <w:jc w:val="left"/>
        <w:rPr>
          <w:sz w:val="18"/>
        </w:rPr>
      </w:pPr>
      <w:bookmarkStart w:name="_bookmark210" w:id="400"/>
      <w:bookmarkEnd w:id="400"/>
      <w:r>
        <w:rPr/>
      </w:r>
      <w:r>
        <w:rPr>
          <w:sz w:val="18"/>
          <w:vertAlign w:val="superscript"/>
        </w:rPr>
        <w:t>17</w:t>
      </w:r>
      <w:r>
        <w:rPr>
          <w:spacing w:val="-13"/>
          <w:sz w:val="18"/>
          <w:vertAlign w:val="baseline"/>
        </w:rPr>
        <w:t> </w:t>
      </w:r>
      <w:r>
        <w:rPr>
          <w:sz w:val="18"/>
          <w:vertAlign w:val="baseline"/>
        </w:rPr>
        <w:t>James,</w:t>
      </w:r>
      <w:r>
        <w:rPr>
          <w:spacing w:val="-4"/>
          <w:sz w:val="18"/>
          <w:vertAlign w:val="baseline"/>
        </w:rPr>
        <w:t> </w:t>
      </w:r>
      <w:r>
        <w:rPr>
          <w:sz w:val="18"/>
          <w:vertAlign w:val="baseline"/>
        </w:rPr>
        <w:t>S.</w:t>
      </w:r>
      <w:r>
        <w:rPr>
          <w:spacing w:val="-2"/>
          <w:sz w:val="18"/>
          <w:vertAlign w:val="baseline"/>
        </w:rPr>
        <w:t> </w:t>
      </w:r>
      <w:r>
        <w:rPr>
          <w:sz w:val="18"/>
          <w:vertAlign w:val="baseline"/>
        </w:rPr>
        <w:t>E.,</w:t>
      </w:r>
      <w:r>
        <w:rPr>
          <w:spacing w:val="-3"/>
          <w:sz w:val="18"/>
          <w:vertAlign w:val="baseline"/>
        </w:rPr>
        <w:t> </w:t>
      </w:r>
      <w:r>
        <w:rPr>
          <w:sz w:val="18"/>
          <w:vertAlign w:val="baseline"/>
        </w:rPr>
        <w:t>Herman,</w:t>
      </w:r>
      <w:r>
        <w:rPr>
          <w:spacing w:val="-2"/>
          <w:sz w:val="18"/>
          <w:vertAlign w:val="baseline"/>
        </w:rPr>
        <w:t> </w:t>
      </w:r>
      <w:r>
        <w:rPr>
          <w:sz w:val="18"/>
          <w:vertAlign w:val="baseline"/>
        </w:rPr>
        <w:t>J.</w:t>
      </w:r>
      <w:r>
        <w:rPr>
          <w:spacing w:val="-2"/>
          <w:sz w:val="18"/>
          <w:vertAlign w:val="baseline"/>
        </w:rPr>
        <w:t> </w:t>
      </w:r>
      <w:r>
        <w:rPr>
          <w:sz w:val="18"/>
          <w:vertAlign w:val="baseline"/>
        </w:rPr>
        <w:t>L.,</w:t>
      </w:r>
      <w:r>
        <w:rPr>
          <w:spacing w:val="-2"/>
          <w:sz w:val="18"/>
          <w:vertAlign w:val="baseline"/>
        </w:rPr>
        <w:t> </w:t>
      </w:r>
      <w:r>
        <w:rPr>
          <w:sz w:val="18"/>
          <w:vertAlign w:val="baseline"/>
        </w:rPr>
        <w:t>Rankin,</w:t>
      </w:r>
      <w:r>
        <w:rPr>
          <w:spacing w:val="-3"/>
          <w:sz w:val="18"/>
          <w:vertAlign w:val="baseline"/>
        </w:rPr>
        <w:t> </w:t>
      </w:r>
      <w:r>
        <w:rPr>
          <w:sz w:val="18"/>
          <w:vertAlign w:val="baseline"/>
        </w:rPr>
        <w:t>S.,</w:t>
      </w:r>
      <w:r>
        <w:rPr>
          <w:spacing w:val="-3"/>
          <w:sz w:val="18"/>
          <w:vertAlign w:val="baseline"/>
        </w:rPr>
        <w:t> </w:t>
      </w:r>
      <w:r>
        <w:rPr>
          <w:sz w:val="18"/>
          <w:vertAlign w:val="baseline"/>
        </w:rPr>
        <w:t>Keisling,</w:t>
      </w:r>
      <w:r>
        <w:rPr>
          <w:spacing w:val="-1"/>
          <w:sz w:val="18"/>
          <w:vertAlign w:val="baseline"/>
        </w:rPr>
        <w:t> </w:t>
      </w:r>
      <w:r>
        <w:rPr>
          <w:sz w:val="18"/>
          <w:vertAlign w:val="baseline"/>
        </w:rPr>
        <w:t>M.,</w:t>
      </w:r>
      <w:r>
        <w:rPr>
          <w:spacing w:val="-3"/>
          <w:sz w:val="18"/>
          <w:vertAlign w:val="baseline"/>
        </w:rPr>
        <w:t> </w:t>
      </w:r>
      <w:r>
        <w:rPr>
          <w:sz w:val="18"/>
          <w:vertAlign w:val="baseline"/>
        </w:rPr>
        <w:t>Mottet,</w:t>
      </w:r>
      <w:r>
        <w:rPr>
          <w:spacing w:val="-3"/>
          <w:sz w:val="18"/>
          <w:vertAlign w:val="baseline"/>
        </w:rPr>
        <w:t> </w:t>
      </w:r>
      <w:r>
        <w:rPr>
          <w:sz w:val="18"/>
          <w:vertAlign w:val="baseline"/>
        </w:rPr>
        <w:t>L.,</w:t>
      </w:r>
      <w:r>
        <w:rPr>
          <w:spacing w:val="-2"/>
          <w:sz w:val="18"/>
          <w:vertAlign w:val="baseline"/>
        </w:rPr>
        <w:t> </w:t>
      </w:r>
      <w:r>
        <w:rPr>
          <w:sz w:val="18"/>
          <w:vertAlign w:val="baseline"/>
        </w:rPr>
        <w:t>&amp;</w:t>
      </w:r>
      <w:r>
        <w:rPr>
          <w:spacing w:val="-2"/>
          <w:sz w:val="18"/>
          <w:vertAlign w:val="baseline"/>
        </w:rPr>
        <w:t> </w:t>
      </w:r>
      <w:r>
        <w:rPr>
          <w:sz w:val="18"/>
          <w:vertAlign w:val="baseline"/>
        </w:rPr>
        <w:t>Anafi,</w:t>
      </w:r>
      <w:r>
        <w:rPr>
          <w:spacing w:val="-3"/>
          <w:sz w:val="18"/>
          <w:vertAlign w:val="baseline"/>
        </w:rPr>
        <w:t> </w:t>
      </w:r>
      <w:r>
        <w:rPr>
          <w:sz w:val="18"/>
          <w:vertAlign w:val="baseline"/>
        </w:rPr>
        <w:t>M.</w:t>
      </w:r>
      <w:r>
        <w:rPr>
          <w:spacing w:val="-1"/>
          <w:sz w:val="18"/>
          <w:vertAlign w:val="baseline"/>
        </w:rPr>
        <w:t> </w:t>
      </w:r>
      <w:r>
        <w:rPr>
          <w:sz w:val="18"/>
          <w:vertAlign w:val="baseline"/>
        </w:rPr>
        <w:t>(2016).</w:t>
      </w:r>
      <w:r>
        <w:rPr>
          <w:spacing w:val="-2"/>
          <w:sz w:val="18"/>
          <w:vertAlign w:val="baseline"/>
        </w:rPr>
        <w:t> </w:t>
      </w:r>
      <w:r>
        <w:rPr>
          <w:sz w:val="18"/>
          <w:vertAlign w:val="baseline"/>
        </w:rPr>
        <w:t>Executive</w:t>
      </w:r>
      <w:r>
        <w:rPr>
          <w:spacing w:val="-2"/>
          <w:sz w:val="18"/>
          <w:vertAlign w:val="baseline"/>
        </w:rPr>
        <w:t> </w:t>
      </w:r>
      <w:r>
        <w:rPr>
          <w:sz w:val="18"/>
          <w:vertAlign w:val="baseline"/>
        </w:rPr>
        <w:t>Summary</w:t>
      </w:r>
      <w:r>
        <w:rPr>
          <w:spacing w:val="-1"/>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Report</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pacing w:val="-4"/>
          <w:sz w:val="18"/>
          <w:vertAlign w:val="baseline"/>
        </w:rPr>
        <w:t>2015</w:t>
      </w:r>
    </w:p>
    <w:p>
      <w:pPr>
        <w:spacing w:before="0"/>
        <w:ind w:left="463" w:right="0" w:firstLine="0"/>
        <w:jc w:val="left"/>
        <w:rPr>
          <w:sz w:val="18"/>
        </w:rPr>
      </w:pPr>
      <w:r>
        <w:rPr>
          <w:sz w:val="18"/>
        </w:rPr>
        <w:t>U.S.</w:t>
      </w:r>
      <w:r>
        <w:rPr>
          <w:spacing w:val="-5"/>
          <w:sz w:val="18"/>
        </w:rPr>
        <w:t> </w:t>
      </w:r>
      <w:r>
        <w:rPr>
          <w:sz w:val="18"/>
        </w:rPr>
        <w:t>Transgender</w:t>
      </w:r>
      <w:r>
        <w:rPr>
          <w:spacing w:val="-3"/>
          <w:sz w:val="18"/>
        </w:rPr>
        <w:t> </w:t>
      </w:r>
      <w:r>
        <w:rPr>
          <w:sz w:val="18"/>
        </w:rPr>
        <w:t>Survey.</w:t>
      </w:r>
      <w:r>
        <w:rPr>
          <w:spacing w:val="-2"/>
          <w:sz w:val="18"/>
        </w:rPr>
        <w:t> </w:t>
      </w:r>
      <w:r>
        <w:rPr>
          <w:sz w:val="18"/>
        </w:rPr>
        <w:t>Washington,</w:t>
      </w:r>
      <w:r>
        <w:rPr>
          <w:spacing w:val="-3"/>
          <w:sz w:val="18"/>
        </w:rPr>
        <w:t> </w:t>
      </w:r>
      <w:r>
        <w:rPr>
          <w:sz w:val="18"/>
        </w:rPr>
        <w:t>DC:</w:t>
      </w:r>
      <w:r>
        <w:rPr>
          <w:spacing w:val="-2"/>
          <w:sz w:val="18"/>
        </w:rPr>
        <w:t> </w:t>
      </w:r>
      <w:r>
        <w:rPr>
          <w:sz w:val="18"/>
        </w:rPr>
        <w:t>National</w:t>
      </w:r>
      <w:r>
        <w:rPr>
          <w:spacing w:val="-3"/>
          <w:sz w:val="18"/>
        </w:rPr>
        <w:t> </w:t>
      </w:r>
      <w:r>
        <w:rPr>
          <w:sz w:val="18"/>
        </w:rPr>
        <w:t>Center</w:t>
      </w:r>
      <w:r>
        <w:rPr>
          <w:spacing w:val="-3"/>
          <w:sz w:val="18"/>
        </w:rPr>
        <w:t> </w:t>
      </w:r>
      <w:r>
        <w:rPr>
          <w:sz w:val="18"/>
        </w:rPr>
        <w:t>for</w:t>
      </w:r>
      <w:r>
        <w:rPr>
          <w:spacing w:val="-3"/>
          <w:sz w:val="18"/>
        </w:rPr>
        <w:t> </w:t>
      </w:r>
      <w:r>
        <w:rPr>
          <w:sz w:val="18"/>
        </w:rPr>
        <w:t>Transgender</w:t>
      </w:r>
      <w:r>
        <w:rPr>
          <w:spacing w:val="-2"/>
          <w:sz w:val="18"/>
        </w:rPr>
        <w:t> Equality.</w:t>
      </w:r>
    </w:p>
    <w:p>
      <w:pPr>
        <w:spacing w:before="0"/>
        <w:ind w:left="463" w:right="579" w:firstLine="0"/>
        <w:jc w:val="left"/>
        <w:rPr>
          <w:sz w:val="18"/>
        </w:rPr>
      </w:pPr>
      <w:bookmarkStart w:name="_bookmark211" w:id="401"/>
      <w:bookmarkEnd w:id="401"/>
      <w:r>
        <w:rPr/>
      </w:r>
      <w:r>
        <w:rPr>
          <w:spacing w:val="-2"/>
          <w:sz w:val="18"/>
          <w:vertAlign w:val="superscript"/>
        </w:rPr>
        <w:t>18</w:t>
      </w:r>
      <w:r>
        <w:rPr>
          <w:spacing w:val="-15"/>
          <w:sz w:val="18"/>
          <w:vertAlign w:val="baseline"/>
        </w:rPr>
        <w:t> </w:t>
      </w:r>
      <w:hyperlink r:id="rId337">
        <w:r>
          <w:rPr>
            <w:color w:val="0561C1"/>
            <w:spacing w:val="-2"/>
            <w:sz w:val="18"/>
            <w:u w:val="single" w:color="0561C1"/>
            <w:vertAlign w:val="baseline"/>
          </w:rPr>
          <w:t>https://www.aclu.org/news/lgbtq-rights/menstruation-related-discrimination-is-sex-discrimination-we-dont-need-to-erase-</w:t>
        </w:r>
      </w:hyperlink>
      <w:r>
        <w:rPr>
          <w:color w:val="0561C1"/>
          <w:sz w:val="18"/>
          <w:u w:val="none"/>
          <w:vertAlign w:val="baseline"/>
        </w:rPr>
        <w:t> </w:t>
      </w:r>
      <w:hyperlink r:id="rId337">
        <w:r>
          <w:rPr>
            <w:color w:val="0561C1"/>
            <w:spacing w:val="-2"/>
            <w:sz w:val="18"/>
            <w:u w:val="single" w:color="0561C1"/>
            <w:vertAlign w:val="baseline"/>
          </w:rPr>
          <w:t>trans-or-non-binary-people-to-make-that-point</w:t>
        </w:r>
      </w:hyperlink>
    </w:p>
    <w:p>
      <w:pPr>
        <w:spacing w:before="1"/>
        <w:ind w:left="463" w:right="0" w:firstLine="0"/>
        <w:jc w:val="left"/>
        <w:rPr>
          <w:sz w:val="18"/>
        </w:rPr>
      </w:pPr>
      <w:bookmarkStart w:name="_bookmark212" w:id="402"/>
      <w:bookmarkEnd w:id="402"/>
      <w:r>
        <w:rPr/>
      </w:r>
      <w:r>
        <w:rPr>
          <w:sz w:val="18"/>
          <w:vertAlign w:val="superscript"/>
        </w:rPr>
        <w:t>19</w:t>
      </w:r>
      <w:r>
        <w:rPr>
          <w:spacing w:val="-15"/>
          <w:sz w:val="18"/>
          <w:vertAlign w:val="baseline"/>
        </w:rPr>
        <w:t> </w:t>
      </w:r>
      <w:r>
        <w:rPr>
          <w:sz w:val="18"/>
          <w:vertAlign w:val="baseline"/>
        </w:rPr>
        <w:t>Barbara</w:t>
      </w:r>
      <w:r>
        <w:rPr>
          <w:spacing w:val="-4"/>
          <w:sz w:val="18"/>
          <w:vertAlign w:val="baseline"/>
        </w:rPr>
        <w:t> </w:t>
      </w:r>
      <w:r>
        <w:rPr>
          <w:sz w:val="18"/>
          <w:vertAlign w:val="baseline"/>
        </w:rPr>
        <w:t>K.</w:t>
      </w:r>
      <w:r>
        <w:rPr>
          <w:spacing w:val="-2"/>
          <w:sz w:val="18"/>
          <w:vertAlign w:val="baseline"/>
        </w:rPr>
        <w:t> </w:t>
      </w:r>
      <w:r>
        <w:rPr>
          <w:sz w:val="18"/>
          <w:vertAlign w:val="baseline"/>
        </w:rPr>
        <w:t>Snyder,</w:t>
      </w:r>
      <w:r>
        <w:rPr>
          <w:spacing w:val="-3"/>
          <w:sz w:val="18"/>
          <w:vertAlign w:val="baseline"/>
        </w:rPr>
        <w:t> </w:t>
      </w:r>
      <w:r>
        <w:rPr>
          <w:sz w:val="18"/>
          <w:vertAlign w:val="baseline"/>
        </w:rPr>
        <w:t>Gail</w:t>
      </w:r>
      <w:r>
        <w:rPr>
          <w:spacing w:val="-3"/>
          <w:sz w:val="18"/>
          <w:vertAlign w:val="baseline"/>
        </w:rPr>
        <w:t> </w:t>
      </w:r>
      <w:r>
        <w:rPr>
          <w:sz w:val="18"/>
          <w:vertAlign w:val="baseline"/>
        </w:rPr>
        <w:t>D.</w:t>
      </w:r>
      <w:r>
        <w:rPr>
          <w:spacing w:val="-2"/>
          <w:sz w:val="18"/>
          <w:vertAlign w:val="baseline"/>
        </w:rPr>
        <w:t> </w:t>
      </w:r>
      <w:r>
        <w:rPr>
          <w:sz w:val="18"/>
          <w:vertAlign w:val="baseline"/>
        </w:rPr>
        <w:t>Burack,</w:t>
      </w:r>
      <w:r>
        <w:rPr>
          <w:spacing w:val="-4"/>
          <w:sz w:val="18"/>
          <w:vertAlign w:val="baseline"/>
        </w:rPr>
        <w:t> </w:t>
      </w:r>
      <w:r>
        <w:rPr>
          <w:sz w:val="18"/>
          <w:vertAlign w:val="baseline"/>
        </w:rPr>
        <w:t>and</w:t>
      </w:r>
      <w:r>
        <w:rPr>
          <w:spacing w:val="-2"/>
          <w:sz w:val="18"/>
          <w:vertAlign w:val="baseline"/>
        </w:rPr>
        <w:t> </w:t>
      </w:r>
      <w:r>
        <w:rPr>
          <w:sz w:val="18"/>
          <w:vertAlign w:val="baseline"/>
        </w:rPr>
        <w:t>Anna</w:t>
      </w:r>
      <w:r>
        <w:rPr>
          <w:spacing w:val="-2"/>
          <w:sz w:val="18"/>
          <w:vertAlign w:val="baseline"/>
        </w:rPr>
        <w:t> </w:t>
      </w:r>
      <w:r>
        <w:rPr>
          <w:sz w:val="18"/>
          <w:vertAlign w:val="baseline"/>
        </w:rPr>
        <w:t>Petrova,</w:t>
      </w:r>
      <w:r>
        <w:rPr>
          <w:spacing w:val="-3"/>
          <w:sz w:val="18"/>
          <w:vertAlign w:val="baseline"/>
        </w:rPr>
        <w:t> </w:t>
      </w:r>
      <w:r>
        <w:rPr>
          <w:sz w:val="18"/>
          <w:vertAlign w:val="baseline"/>
        </w:rPr>
        <w:t>“LGBTQ</w:t>
      </w:r>
      <w:r>
        <w:rPr>
          <w:spacing w:val="-2"/>
          <w:sz w:val="18"/>
          <w:vertAlign w:val="baseline"/>
        </w:rPr>
        <w:t> </w:t>
      </w:r>
      <w:r>
        <w:rPr>
          <w:sz w:val="18"/>
          <w:vertAlign w:val="baseline"/>
        </w:rPr>
        <w:t>Youth’s</w:t>
      </w:r>
      <w:r>
        <w:rPr>
          <w:spacing w:val="-2"/>
          <w:sz w:val="18"/>
          <w:vertAlign w:val="baseline"/>
        </w:rPr>
        <w:t> </w:t>
      </w:r>
      <w:r>
        <w:rPr>
          <w:sz w:val="18"/>
          <w:vertAlign w:val="baseline"/>
        </w:rPr>
        <w:t>Perceptions</w:t>
      </w:r>
      <w:r>
        <w:rPr>
          <w:spacing w:val="-2"/>
          <w:sz w:val="18"/>
          <w:vertAlign w:val="baseline"/>
        </w:rPr>
        <w:t> </w:t>
      </w:r>
      <w:r>
        <w:rPr>
          <w:sz w:val="18"/>
          <w:vertAlign w:val="baseline"/>
        </w:rPr>
        <w:t>of</w:t>
      </w:r>
      <w:r>
        <w:rPr>
          <w:spacing w:val="-2"/>
          <w:sz w:val="18"/>
          <w:vertAlign w:val="baseline"/>
        </w:rPr>
        <w:t> </w:t>
      </w:r>
      <w:r>
        <w:rPr>
          <w:sz w:val="18"/>
          <w:vertAlign w:val="baseline"/>
        </w:rPr>
        <w:t>Primary</w:t>
      </w:r>
      <w:r>
        <w:rPr>
          <w:spacing w:val="-2"/>
          <w:sz w:val="18"/>
          <w:vertAlign w:val="baseline"/>
        </w:rPr>
        <w:t> Care,”</w:t>
      </w:r>
    </w:p>
    <w:p>
      <w:pPr>
        <w:spacing w:before="0"/>
        <w:ind w:left="463" w:right="261" w:hanging="1"/>
        <w:jc w:val="left"/>
        <w:rPr>
          <w:sz w:val="18"/>
        </w:rPr>
      </w:pPr>
      <w:bookmarkStart w:name="_bookmark213" w:id="403"/>
      <w:bookmarkEnd w:id="403"/>
      <w:r>
        <w:rPr/>
      </w:r>
      <w:r>
        <w:rPr>
          <w:sz w:val="18"/>
          <w:vertAlign w:val="superscript"/>
        </w:rPr>
        <w:t>20</w:t>
      </w:r>
      <w:r>
        <w:rPr>
          <w:spacing w:val="-13"/>
          <w:sz w:val="18"/>
          <w:vertAlign w:val="baseline"/>
        </w:rPr>
        <w:t> </w:t>
      </w:r>
      <w:r>
        <w:rPr>
          <w:sz w:val="18"/>
          <w:vertAlign w:val="baseline"/>
        </w:rPr>
        <w:t>Jamie</w:t>
      </w:r>
      <w:r>
        <w:rPr>
          <w:spacing w:val="-4"/>
          <w:sz w:val="18"/>
          <w:vertAlign w:val="baseline"/>
        </w:rPr>
        <w:t> </w:t>
      </w:r>
      <w:r>
        <w:rPr>
          <w:sz w:val="18"/>
          <w:vertAlign w:val="baseline"/>
        </w:rPr>
        <w:t>Mehringer</w:t>
      </w:r>
      <w:r>
        <w:rPr>
          <w:spacing w:val="-4"/>
          <w:sz w:val="18"/>
          <w:vertAlign w:val="baseline"/>
        </w:rPr>
        <w:t> </w:t>
      </w:r>
      <w:r>
        <w:rPr>
          <w:sz w:val="18"/>
          <w:vertAlign w:val="baseline"/>
        </w:rPr>
        <w:t>and</w:t>
      </w:r>
      <w:r>
        <w:rPr>
          <w:spacing w:val="-3"/>
          <w:sz w:val="18"/>
          <w:vertAlign w:val="baseline"/>
        </w:rPr>
        <w:t> </w:t>
      </w:r>
      <w:r>
        <w:rPr>
          <w:sz w:val="18"/>
          <w:vertAlign w:val="baseline"/>
        </w:rPr>
        <w:t>Nadia</w:t>
      </w:r>
      <w:r>
        <w:rPr>
          <w:spacing w:val="-3"/>
          <w:sz w:val="18"/>
          <w:vertAlign w:val="baseline"/>
        </w:rPr>
        <w:t> </w:t>
      </w:r>
      <w:r>
        <w:rPr>
          <w:sz w:val="18"/>
          <w:vertAlign w:val="baseline"/>
        </w:rPr>
        <w:t>L.</w:t>
      </w:r>
      <w:r>
        <w:rPr>
          <w:spacing w:val="-4"/>
          <w:sz w:val="18"/>
          <w:vertAlign w:val="baseline"/>
        </w:rPr>
        <w:t> </w:t>
      </w:r>
      <w:r>
        <w:rPr>
          <w:sz w:val="18"/>
          <w:vertAlign w:val="baseline"/>
        </w:rPr>
        <w:t>Dowshen,</w:t>
      </w:r>
      <w:r>
        <w:rPr>
          <w:spacing w:val="-4"/>
          <w:sz w:val="18"/>
          <w:vertAlign w:val="baseline"/>
        </w:rPr>
        <w:t> </w:t>
      </w:r>
      <w:r>
        <w:rPr>
          <w:sz w:val="18"/>
          <w:vertAlign w:val="baseline"/>
        </w:rPr>
        <w:t>“Sexual</w:t>
      </w:r>
      <w:r>
        <w:rPr>
          <w:spacing w:val="-4"/>
          <w:sz w:val="18"/>
          <w:vertAlign w:val="baseline"/>
        </w:rPr>
        <w:t> </w:t>
      </w:r>
      <w:r>
        <w:rPr>
          <w:sz w:val="18"/>
          <w:vertAlign w:val="baseline"/>
        </w:rPr>
        <w:t>and</w:t>
      </w:r>
      <w:r>
        <w:rPr>
          <w:spacing w:val="-3"/>
          <w:sz w:val="18"/>
          <w:vertAlign w:val="baseline"/>
        </w:rPr>
        <w:t> </w:t>
      </w:r>
      <w:r>
        <w:rPr>
          <w:sz w:val="18"/>
          <w:vertAlign w:val="baseline"/>
        </w:rPr>
        <w:t>Reproductive</w:t>
      </w:r>
      <w:r>
        <w:rPr>
          <w:spacing w:val="-3"/>
          <w:sz w:val="18"/>
          <w:vertAlign w:val="baseline"/>
        </w:rPr>
        <w:t> </w:t>
      </w:r>
      <w:r>
        <w:rPr>
          <w:sz w:val="18"/>
          <w:vertAlign w:val="baseline"/>
        </w:rPr>
        <w:t>Health</w:t>
      </w:r>
      <w:r>
        <w:rPr>
          <w:spacing w:val="-3"/>
          <w:sz w:val="18"/>
          <w:vertAlign w:val="baseline"/>
        </w:rPr>
        <w:t> </w:t>
      </w:r>
      <w:r>
        <w:rPr>
          <w:sz w:val="18"/>
          <w:vertAlign w:val="baseline"/>
        </w:rPr>
        <w:t>Considerations</w:t>
      </w:r>
      <w:r>
        <w:rPr>
          <w:spacing w:val="-3"/>
          <w:sz w:val="18"/>
          <w:vertAlign w:val="baseline"/>
        </w:rPr>
        <w:t> </w:t>
      </w:r>
      <w:r>
        <w:rPr>
          <w:sz w:val="18"/>
          <w:vertAlign w:val="baseline"/>
        </w:rPr>
        <w:t>among</w:t>
      </w:r>
      <w:r>
        <w:rPr>
          <w:spacing w:val="-3"/>
          <w:sz w:val="18"/>
          <w:vertAlign w:val="baseline"/>
        </w:rPr>
        <w:t> </w:t>
      </w:r>
      <w:r>
        <w:rPr>
          <w:sz w:val="18"/>
          <w:vertAlign w:val="baseline"/>
        </w:rPr>
        <w:t>Transgender</w:t>
      </w:r>
      <w:r>
        <w:rPr>
          <w:spacing w:val="-4"/>
          <w:sz w:val="18"/>
          <w:vertAlign w:val="baseline"/>
        </w:rPr>
        <w:t> </w:t>
      </w:r>
      <w:r>
        <w:rPr>
          <w:sz w:val="18"/>
          <w:vertAlign w:val="baseline"/>
        </w:rPr>
        <w:t>and</w:t>
      </w:r>
      <w:r>
        <w:rPr>
          <w:spacing w:val="-3"/>
          <w:sz w:val="18"/>
          <w:vertAlign w:val="baseline"/>
        </w:rPr>
        <w:t> </w:t>
      </w:r>
      <w:r>
        <w:rPr>
          <w:sz w:val="18"/>
          <w:vertAlign w:val="baseline"/>
        </w:rPr>
        <w:t>Gender- Expansive Youth,” </w:t>
      </w:r>
      <w:r>
        <w:rPr>
          <w:i/>
          <w:sz w:val="18"/>
          <w:vertAlign w:val="baseline"/>
        </w:rPr>
        <w:t>Current Problems in Pediatric and Adolescent Health Care </w:t>
      </w:r>
      <w:r>
        <w:rPr>
          <w:sz w:val="18"/>
          <w:vertAlign w:val="baseline"/>
        </w:rPr>
        <w:t>49, no. 9 (September 2019): 100684, </w:t>
      </w:r>
      <w:hyperlink r:id="rId338">
        <w:r>
          <w:rPr>
            <w:color w:val="0561C1"/>
            <w:spacing w:val="-2"/>
            <w:sz w:val="18"/>
            <w:u w:val="single" w:color="0561C1"/>
            <w:vertAlign w:val="baseline"/>
          </w:rPr>
          <w:t>https://doi.org/10.1016/j.cppeds.2019.100684</w:t>
        </w:r>
      </w:hyperlink>
      <w:hyperlink r:id="rId338">
        <w:r>
          <w:rPr>
            <w:spacing w:val="-2"/>
            <w:sz w:val="18"/>
            <w:u w:val="none"/>
            <w:vertAlign w:val="baseline"/>
          </w:rPr>
          <w:t>.</w:t>
        </w:r>
      </w:hyperlink>
    </w:p>
    <w:p>
      <w:pPr>
        <w:spacing w:before="0"/>
        <w:ind w:left="463" w:right="474" w:firstLine="0"/>
        <w:jc w:val="left"/>
        <w:rPr>
          <w:sz w:val="18"/>
        </w:rPr>
      </w:pPr>
      <w:bookmarkStart w:name="_bookmark214" w:id="404"/>
      <w:bookmarkEnd w:id="404"/>
      <w:r>
        <w:rPr/>
      </w:r>
      <w:r>
        <w:rPr>
          <w:sz w:val="18"/>
          <w:vertAlign w:val="superscript"/>
        </w:rPr>
        <w:t>21</w:t>
      </w:r>
      <w:r>
        <w:rPr>
          <w:spacing w:val="-7"/>
          <w:sz w:val="18"/>
          <w:vertAlign w:val="baseline"/>
        </w:rPr>
        <w:t> </w:t>
      </w:r>
      <w:r>
        <w:rPr>
          <w:sz w:val="18"/>
          <w:vertAlign w:val="baseline"/>
        </w:rPr>
        <w:t>Danielle Boudreau and Ronica Mukerjee, “Contraception Care for Transmasculine Individuals on Testosterone Therapy,” </w:t>
      </w:r>
      <w:bookmarkStart w:name="_bookmark215" w:id="405"/>
      <w:bookmarkEnd w:id="405"/>
      <w:r>
        <w:rPr>
          <w:sz w:val="18"/>
          <w:vertAlign w:val="baseline"/>
        </w:rPr>
      </w:r>
      <w:r>
        <w:rPr>
          <w:i/>
          <w:sz w:val="18"/>
          <w:vertAlign w:val="baseline"/>
        </w:rPr>
        <w:t>Journal</w:t>
      </w:r>
      <w:r>
        <w:rPr>
          <w:i/>
          <w:spacing w:val="-5"/>
          <w:sz w:val="18"/>
          <w:vertAlign w:val="baseline"/>
        </w:rPr>
        <w:t> </w:t>
      </w:r>
      <w:r>
        <w:rPr>
          <w:i/>
          <w:sz w:val="18"/>
          <w:vertAlign w:val="baseline"/>
        </w:rPr>
        <w:t>of</w:t>
      </w:r>
      <w:r>
        <w:rPr>
          <w:i/>
          <w:spacing w:val="-3"/>
          <w:sz w:val="18"/>
          <w:vertAlign w:val="baseline"/>
        </w:rPr>
        <w:t> </w:t>
      </w:r>
      <w:r>
        <w:rPr>
          <w:i/>
          <w:sz w:val="18"/>
          <w:vertAlign w:val="baseline"/>
        </w:rPr>
        <w:t>Midwifery</w:t>
      </w:r>
      <w:r>
        <w:rPr>
          <w:i/>
          <w:spacing w:val="-3"/>
          <w:sz w:val="18"/>
          <w:vertAlign w:val="baseline"/>
        </w:rPr>
        <w:t> </w:t>
      </w:r>
      <w:r>
        <w:rPr>
          <w:i/>
          <w:sz w:val="18"/>
          <w:vertAlign w:val="baseline"/>
        </w:rPr>
        <w:t>&amp;</w:t>
      </w:r>
      <w:r>
        <w:rPr>
          <w:i/>
          <w:spacing w:val="-4"/>
          <w:sz w:val="18"/>
          <w:vertAlign w:val="baseline"/>
        </w:rPr>
        <w:t> </w:t>
      </w:r>
      <w:r>
        <w:rPr>
          <w:i/>
          <w:sz w:val="18"/>
          <w:vertAlign w:val="baseline"/>
        </w:rPr>
        <w:t>Women’s</w:t>
      </w:r>
      <w:r>
        <w:rPr>
          <w:i/>
          <w:spacing w:val="-4"/>
          <w:sz w:val="18"/>
          <w:vertAlign w:val="baseline"/>
        </w:rPr>
        <w:t> </w:t>
      </w:r>
      <w:r>
        <w:rPr>
          <w:i/>
          <w:sz w:val="18"/>
          <w:vertAlign w:val="baseline"/>
        </w:rPr>
        <w:t>Health</w:t>
      </w:r>
      <w:r>
        <w:rPr>
          <w:i/>
          <w:spacing w:val="-4"/>
          <w:sz w:val="18"/>
          <w:vertAlign w:val="baseline"/>
        </w:rPr>
        <w:t> </w:t>
      </w:r>
      <w:r>
        <w:rPr>
          <w:sz w:val="18"/>
          <w:vertAlign w:val="baseline"/>
        </w:rPr>
        <w:t>64,</w:t>
      </w:r>
      <w:r>
        <w:rPr>
          <w:spacing w:val="-4"/>
          <w:sz w:val="18"/>
          <w:vertAlign w:val="baseline"/>
        </w:rPr>
        <w:t> </w:t>
      </w:r>
      <w:r>
        <w:rPr>
          <w:sz w:val="18"/>
          <w:vertAlign w:val="baseline"/>
        </w:rPr>
        <w:t>no.</w:t>
      </w:r>
      <w:r>
        <w:rPr>
          <w:spacing w:val="-3"/>
          <w:sz w:val="18"/>
          <w:vertAlign w:val="baseline"/>
        </w:rPr>
        <w:t> </w:t>
      </w:r>
      <w:r>
        <w:rPr>
          <w:sz w:val="18"/>
          <w:vertAlign w:val="baseline"/>
        </w:rPr>
        <w:t>4</w:t>
      </w:r>
      <w:r>
        <w:rPr>
          <w:spacing w:val="-2"/>
          <w:sz w:val="18"/>
          <w:vertAlign w:val="baseline"/>
        </w:rPr>
        <w:t> </w:t>
      </w:r>
      <w:r>
        <w:rPr>
          <w:sz w:val="18"/>
          <w:vertAlign w:val="baseline"/>
        </w:rPr>
        <w:t>(July</w:t>
      </w:r>
      <w:r>
        <w:rPr>
          <w:spacing w:val="-3"/>
          <w:sz w:val="18"/>
          <w:vertAlign w:val="baseline"/>
        </w:rPr>
        <w:t> </w:t>
      </w:r>
      <w:r>
        <w:rPr>
          <w:sz w:val="18"/>
          <w:vertAlign w:val="baseline"/>
        </w:rPr>
        <w:t>2019):</w:t>
      </w:r>
      <w:r>
        <w:rPr>
          <w:spacing w:val="-3"/>
          <w:sz w:val="18"/>
          <w:vertAlign w:val="baseline"/>
        </w:rPr>
        <w:t> </w:t>
      </w:r>
      <w:r>
        <w:rPr>
          <w:sz w:val="18"/>
          <w:vertAlign w:val="baseline"/>
        </w:rPr>
        <w:t>395–402,</w:t>
      </w:r>
      <w:r>
        <w:rPr>
          <w:spacing w:val="-4"/>
          <w:sz w:val="18"/>
          <w:vertAlign w:val="baseline"/>
        </w:rPr>
        <w:t> </w:t>
      </w:r>
      <w:hyperlink r:id="rId339">
        <w:r>
          <w:rPr>
            <w:color w:val="0561C1"/>
            <w:sz w:val="18"/>
            <w:u w:val="single" w:color="0561C1"/>
            <w:vertAlign w:val="baseline"/>
          </w:rPr>
          <w:t>https://doi.org/10.1111/jmwh.12962</w:t>
        </w:r>
      </w:hyperlink>
      <w:hyperlink r:id="rId339">
        <w:r>
          <w:rPr>
            <w:sz w:val="18"/>
            <w:u w:val="none"/>
            <w:vertAlign w:val="baseline"/>
          </w:rPr>
          <w:t>.</w:t>
        </w:r>
      </w:hyperlink>
      <w:r>
        <w:rPr>
          <w:spacing w:val="-3"/>
          <w:sz w:val="18"/>
          <w:u w:val="none"/>
          <w:vertAlign w:val="baseline"/>
        </w:rPr>
        <w:t> </w:t>
      </w:r>
      <w:r>
        <w:rPr>
          <w:sz w:val="18"/>
          <w:u w:val="none"/>
          <w:vertAlign w:val="superscript"/>
        </w:rPr>
        <w:t>22</w:t>
      </w:r>
      <w:r>
        <w:rPr>
          <w:spacing w:val="-14"/>
          <w:sz w:val="18"/>
          <w:u w:val="none"/>
          <w:vertAlign w:val="baseline"/>
        </w:rPr>
        <w:t> </w:t>
      </w:r>
      <w:r>
        <w:rPr>
          <w:sz w:val="18"/>
          <w:u w:val="none"/>
          <w:vertAlign w:val="baseline"/>
        </w:rPr>
        <w:t>“Contraception for Your Transgender Patients,” </w:t>
      </w:r>
      <w:r>
        <w:rPr>
          <w:i/>
          <w:sz w:val="18"/>
          <w:u w:val="none"/>
          <w:vertAlign w:val="baseline"/>
        </w:rPr>
        <w:t>Birth Control Pharmacist </w:t>
      </w:r>
      <w:r>
        <w:rPr>
          <w:sz w:val="18"/>
          <w:u w:val="none"/>
          <w:vertAlign w:val="baseline"/>
        </w:rPr>
        <w:t>(blog), April 24, 2020, </w:t>
      </w:r>
      <w:hyperlink r:id="rId340">
        <w:r>
          <w:rPr>
            <w:color w:val="0561C1"/>
            <w:spacing w:val="-2"/>
            <w:sz w:val="18"/>
            <w:u w:val="single" w:color="0561C1"/>
            <w:vertAlign w:val="baseline"/>
          </w:rPr>
          <w:t>https://birthcontrolpharmacist.com/2020/04/23/contraception-for-your-transgender-patients/</w:t>
        </w:r>
      </w:hyperlink>
      <w:hyperlink r:id="rId340">
        <w:r>
          <w:rPr>
            <w:spacing w:val="-2"/>
            <w:sz w:val="18"/>
            <w:u w:val="none"/>
            <w:vertAlign w:val="baseline"/>
          </w:rPr>
          <w:t>.</w:t>
        </w:r>
      </w:hyperlink>
    </w:p>
    <w:p>
      <w:pPr>
        <w:spacing w:before="0"/>
        <w:ind w:left="463" w:right="0" w:firstLine="0"/>
        <w:jc w:val="left"/>
        <w:rPr>
          <w:sz w:val="18"/>
        </w:rPr>
      </w:pPr>
      <w:bookmarkStart w:name="_bookmark216" w:id="406"/>
      <w:bookmarkEnd w:id="406"/>
      <w:r>
        <w:rPr/>
      </w:r>
      <w:r>
        <w:rPr>
          <w:sz w:val="18"/>
          <w:vertAlign w:val="superscript"/>
        </w:rPr>
        <w:t>23</w:t>
      </w:r>
      <w:r>
        <w:rPr>
          <w:spacing w:val="-13"/>
          <w:sz w:val="18"/>
          <w:vertAlign w:val="baseline"/>
        </w:rPr>
        <w:t> </w:t>
      </w:r>
      <w:r>
        <w:rPr>
          <w:spacing w:val="-2"/>
          <w:sz w:val="18"/>
          <w:vertAlign w:val="baseline"/>
        </w:rPr>
        <w:t>Ibid.</w:t>
      </w:r>
    </w:p>
    <w:p>
      <w:pPr>
        <w:spacing w:before="0"/>
        <w:ind w:left="463" w:right="0" w:firstLine="0"/>
        <w:jc w:val="left"/>
        <w:rPr>
          <w:sz w:val="18"/>
        </w:rPr>
      </w:pPr>
      <w:bookmarkStart w:name="_bookmark217" w:id="407"/>
      <w:bookmarkEnd w:id="407"/>
      <w:r>
        <w:rPr/>
      </w:r>
      <w:r>
        <w:rPr>
          <w:sz w:val="18"/>
          <w:vertAlign w:val="superscript"/>
        </w:rPr>
        <w:t>24</w:t>
      </w:r>
      <w:r>
        <w:rPr>
          <w:spacing w:val="-13"/>
          <w:sz w:val="18"/>
          <w:vertAlign w:val="baseline"/>
        </w:rPr>
        <w:t> </w:t>
      </w:r>
      <w:r>
        <w:rPr>
          <w:spacing w:val="-4"/>
          <w:sz w:val="18"/>
          <w:vertAlign w:val="baseline"/>
        </w:rPr>
        <w:t>Ibid</w:t>
      </w:r>
    </w:p>
    <w:p>
      <w:pPr>
        <w:spacing w:before="0"/>
        <w:ind w:left="463" w:right="0" w:firstLine="0"/>
        <w:jc w:val="left"/>
        <w:rPr>
          <w:sz w:val="18"/>
        </w:rPr>
      </w:pPr>
      <w:bookmarkStart w:name="_bookmark218" w:id="408"/>
      <w:bookmarkEnd w:id="408"/>
      <w:r>
        <w:rPr/>
      </w:r>
      <w:r>
        <w:rPr>
          <w:sz w:val="18"/>
          <w:vertAlign w:val="superscript"/>
        </w:rPr>
        <w:t>25</w:t>
      </w:r>
      <w:r>
        <w:rPr>
          <w:spacing w:val="-15"/>
          <w:sz w:val="18"/>
          <w:vertAlign w:val="baseline"/>
        </w:rPr>
        <w:t> </w:t>
      </w:r>
      <w:r>
        <w:rPr>
          <w:sz w:val="18"/>
          <w:vertAlign w:val="baseline"/>
        </w:rPr>
        <w:t>Danielle</w:t>
      </w:r>
      <w:r>
        <w:rPr>
          <w:spacing w:val="-6"/>
          <w:sz w:val="18"/>
          <w:vertAlign w:val="baseline"/>
        </w:rPr>
        <w:t> </w:t>
      </w:r>
      <w:r>
        <w:rPr>
          <w:sz w:val="18"/>
          <w:vertAlign w:val="baseline"/>
        </w:rPr>
        <w:t>Boudreau</w:t>
      </w:r>
      <w:r>
        <w:rPr>
          <w:spacing w:val="-3"/>
          <w:sz w:val="18"/>
          <w:vertAlign w:val="baseline"/>
        </w:rPr>
        <w:t> </w:t>
      </w:r>
      <w:r>
        <w:rPr>
          <w:sz w:val="18"/>
          <w:vertAlign w:val="baseline"/>
        </w:rPr>
        <w:t>and</w:t>
      </w:r>
      <w:r>
        <w:rPr>
          <w:spacing w:val="-3"/>
          <w:sz w:val="18"/>
          <w:vertAlign w:val="baseline"/>
        </w:rPr>
        <w:t> </w:t>
      </w:r>
      <w:r>
        <w:rPr>
          <w:sz w:val="18"/>
          <w:vertAlign w:val="baseline"/>
        </w:rPr>
        <w:t>Ronica</w:t>
      </w:r>
      <w:r>
        <w:rPr>
          <w:spacing w:val="-3"/>
          <w:sz w:val="18"/>
          <w:vertAlign w:val="baseline"/>
        </w:rPr>
        <w:t> </w:t>
      </w:r>
      <w:r>
        <w:rPr>
          <w:sz w:val="18"/>
          <w:vertAlign w:val="baseline"/>
        </w:rPr>
        <w:t>Mukerjee,</w:t>
      </w:r>
      <w:r>
        <w:rPr>
          <w:spacing w:val="-4"/>
          <w:sz w:val="18"/>
          <w:vertAlign w:val="baseline"/>
        </w:rPr>
        <w:t> </w:t>
      </w:r>
      <w:r>
        <w:rPr>
          <w:sz w:val="18"/>
          <w:vertAlign w:val="baseline"/>
        </w:rPr>
        <w:t>“Contraception</w:t>
      </w:r>
      <w:r>
        <w:rPr>
          <w:spacing w:val="-3"/>
          <w:sz w:val="18"/>
          <w:vertAlign w:val="baseline"/>
        </w:rPr>
        <w:t> </w:t>
      </w:r>
      <w:r>
        <w:rPr>
          <w:sz w:val="18"/>
          <w:vertAlign w:val="baseline"/>
        </w:rPr>
        <w:t>Care</w:t>
      </w:r>
      <w:r>
        <w:rPr>
          <w:spacing w:val="-3"/>
          <w:sz w:val="18"/>
          <w:vertAlign w:val="baseline"/>
        </w:rPr>
        <w:t> </w:t>
      </w:r>
      <w:r>
        <w:rPr>
          <w:sz w:val="18"/>
          <w:vertAlign w:val="baseline"/>
        </w:rPr>
        <w:t>for</w:t>
      </w:r>
      <w:r>
        <w:rPr>
          <w:spacing w:val="-4"/>
          <w:sz w:val="18"/>
          <w:vertAlign w:val="baseline"/>
        </w:rPr>
        <w:t> </w:t>
      </w:r>
      <w:r>
        <w:rPr>
          <w:sz w:val="18"/>
          <w:vertAlign w:val="baseline"/>
        </w:rPr>
        <w:t>Transmasculine</w:t>
      </w:r>
      <w:r>
        <w:rPr>
          <w:spacing w:val="-3"/>
          <w:sz w:val="18"/>
          <w:vertAlign w:val="baseline"/>
        </w:rPr>
        <w:t> </w:t>
      </w:r>
      <w:r>
        <w:rPr>
          <w:sz w:val="18"/>
          <w:vertAlign w:val="baseline"/>
        </w:rPr>
        <w:t>Individuals</w:t>
      </w:r>
      <w:r>
        <w:rPr>
          <w:spacing w:val="-3"/>
          <w:sz w:val="18"/>
          <w:vertAlign w:val="baseline"/>
        </w:rPr>
        <w:t> </w:t>
      </w:r>
      <w:r>
        <w:rPr>
          <w:sz w:val="18"/>
          <w:vertAlign w:val="baseline"/>
        </w:rPr>
        <w:t>on</w:t>
      </w:r>
      <w:r>
        <w:rPr>
          <w:spacing w:val="-3"/>
          <w:sz w:val="18"/>
          <w:vertAlign w:val="baseline"/>
        </w:rPr>
        <w:t> </w:t>
      </w:r>
      <w:r>
        <w:rPr>
          <w:sz w:val="18"/>
          <w:vertAlign w:val="baseline"/>
        </w:rPr>
        <w:t>Testosterone</w:t>
      </w:r>
      <w:r>
        <w:rPr>
          <w:spacing w:val="-4"/>
          <w:sz w:val="18"/>
          <w:vertAlign w:val="baseline"/>
        </w:rPr>
        <w:t> </w:t>
      </w:r>
      <w:r>
        <w:rPr>
          <w:spacing w:val="-2"/>
          <w:sz w:val="18"/>
          <w:vertAlign w:val="baseline"/>
        </w:rPr>
        <w:t>Therapy,”</w:t>
      </w:r>
    </w:p>
    <w:p>
      <w:pPr>
        <w:spacing w:before="0"/>
        <w:ind w:left="463" w:right="0" w:firstLine="0"/>
        <w:jc w:val="left"/>
        <w:rPr>
          <w:sz w:val="18"/>
        </w:rPr>
      </w:pPr>
      <w:bookmarkStart w:name="_bookmark219" w:id="409"/>
      <w:bookmarkEnd w:id="409"/>
      <w:r>
        <w:rPr/>
      </w:r>
      <w:r>
        <w:rPr>
          <w:sz w:val="18"/>
          <w:vertAlign w:val="superscript"/>
        </w:rPr>
        <w:t>26</w:t>
      </w:r>
      <w:r>
        <w:rPr>
          <w:spacing w:val="-15"/>
          <w:sz w:val="18"/>
          <w:vertAlign w:val="baseline"/>
        </w:rPr>
        <w:t> </w:t>
      </w:r>
      <w:r>
        <w:rPr>
          <w:sz w:val="18"/>
          <w:vertAlign w:val="baseline"/>
        </w:rPr>
        <w:t>Danielle</w:t>
      </w:r>
      <w:r>
        <w:rPr>
          <w:spacing w:val="-6"/>
          <w:sz w:val="18"/>
          <w:vertAlign w:val="baseline"/>
        </w:rPr>
        <w:t> </w:t>
      </w:r>
      <w:r>
        <w:rPr>
          <w:sz w:val="18"/>
          <w:vertAlign w:val="baseline"/>
        </w:rPr>
        <w:t>Boudreau</w:t>
      </w:r>
      <w:r>
        <w:rPr>
          <w:spacing w:val="-3"/>
          <w:sz w:val="18"/>
          <w:vertAlign w:val="baseline"/>
        </w:rPr>
        <w:t> </w:t>
      </w:r>
      <w:r>
        <w:rPr>
          <w:sz w:val="18"/>
          <w:vertAlign w:val="baseline"/>
        </w:rPr>
        <w:t>and</w:t>
      </w:r>
      <w:r>
        <w:rPr>
          <w:spacing w:val="-3"/>
          <w:sz w:val="18"/>
          <w:vertAlign w:val="baseline"/>
        </w:rPr>
        <w:t> </w:t>
      </w:r>
      <w:r>
        <w:rPr>
          <w:sz w:val="18"/>
          <w:vertAlign w:val="baseline"/>
        </w:rPr>
        <w:t>Ronica</w:t>
      </w:r>
      <w:r>
        <w:rPr>
          <w:spacing w:val="-3"/>
          <w:sz w:val="18"/>
          <w:vertAlign w:val="baseline"/>
        </w:rPr>
        <w:t> </w:t>
      </w:r>
      <w:r>
        <w:rPr>
          <w:sz w:val="18"/>
          <w:vertAlign w:val="baseline"/>
        </w:rPr>
        <w:t>Mukerjee,</w:t>
      </w:r>
      <w:r>
        <w:rPr>
          <w:spacing w:val="-4"/>
          <w:sz w:val="18"/>
          <w:vertAlign w:val="baseline"/>
        </w:rPr>
        <w:t> </w:t>
      </w:r>
      <w:r>
        <w:rPr>
          <w:sz w:val="18"/>
          <w:vertAlign w:val="baseline"/>
        </w:rPr>
        <w:t>“Contraception</w:t>
      </w:r>
      <w:r>
        <w:rPr>
          <w:spacing w:val="-3"/>
          <w:sz w:val="18"/>
          <w:vertAlign w:val="baseline"/>
        </w:rPr>
        <w:t> </w:t>
      </w:r>
      <w:r>
        <w:rPr>
          <w:sz w:val="18"/>
          <w:vertAlign w:val="baseline"/>
        </w:rPr>
        <w:t>Care</w:t>
      </w:r>
      <w:r>
        <w:rPr>
          <w:spacing w:val="-3"/>
          <w:sz w:val="18"/>
          <w:vertAlign w:val="baseline"/>
        </w:rPr>
        <w:t> </w:t>
      </w:r>
      <w:r>
        <w:rPr>
          <w:sz w:val="18"/>
          <w:vertAlign w:val="baseline"/>
        </w:rPr>
        <w:t>for</w:t>
      </w:r>
      <w:r>
        <w:rPr>
          <w:spacing w:val="-4"/>
          <w:sz w:val="18"/>
          <w:vertAlign w:val="baseline"/>
        </w:rPr>
        <w:t> </w:t>
      </w:r>
      <w:r>
        <w:rPr>
          <w:sz w:val="18"/>
          <w:vertAlign w:val="baseline"/>
        </w:rPr>
        <w:t>Transmasculine</w:t>
      </w:r>
      <w:r>
        <w:rPr>
          <w:spacing w:val="-3"/>
          <w:sz w:val="18"/>
          <w:vertAlign w:val="baseline"/>
        </w:rPr>
        <w:t> </w:t>
      </w:r>
      <w:r>
        <w:rPr>
          <w:sz w:val="18"/>
          <w:vertAlign w:val="baseline"/>
        </w:rPr>
        <w:t>Individuals</w:t>
      </w:r>
      <w:r>
        <w:rPr>
          <w:spacing w:val="-3"/>
          <w:sz w:val="18"/>
          <w:vertAlign w:val="baseline"/>
        </w:rPr>
        <w:t> </w:t>
      </w:r>
      <w:r>
        <w:rPr>
          <w:sz w:val="18"/>
          <w:vertAlign w:val="baseline"/>
        </w:rPr>
        <w:t>on</w:t>
      </w:r>
      <w:r>
        <w:rPr>
          <w:spacing w:val="-3"/>
          <w:sz w:val="18"/>
          <w:vertAlign w:val="baseline"/>
        </w:rPr>
        <w:t> </w:t>
      </w:r>
      <w:r>
        <w:rPr>
          <w:sz w:val="18"/>
          <w:vertAlign w:val="baseline"/>
        </w:rPr>
        <w:t>Testosterone</w:t>
      </w:r>
      <w:r>
        <w:rPr>
          <w:spacing w:val="-4"/>
          <w:sz w:val="18"/>
          <w:vertAlign w:val="baseline"/>
        </w:rPr>
        <w:t> </w:t>
      </w:r>
      <w:r>
        <w:rPr>
          <w:spacing w:val="-2"/>
          <w:sz w:val="18"/>
          <w:vertAlign w:val="baseline"/>
        </w:rPr>
        <w:t>Therapy,”</w:t>
      </w:r>
    </w:p>
    <w:p>
      <w:pPr>
        <w:spacing w:before="0"/>
        <w:ind w:left="463" w:right="261" w:hanging="1"/>
        <w:jc w:val="left"/>
        <w:rPr>
          <w:sz w:val="18"/>
        </w:rPr>
      </w:pPr>
      <w:bookmarkStart w:name="_bookmark220" w:id="410"/>
      <w:bookmarkEnd w:id="410"/>
      <w:r>
        <w:rPr/>
      </w:r>
      <w:r>
        <w:rPr>
          <w:sz w:val="18"/>
          <w:vertAlign w:val="superscript"/>
        </w:rPr>
        <w:t>27</w:t>
      </w:r>
      <w:r>
        <w:rPr>
          <w:spacing w:val="-13"/>
          <w:sz w:val="18"/>
          <w:vertAlign w:val="baseline"/>
        </w:rPr>
        <w:t> </w:t>
      </w:r>
      <w:r>
        <w:rPr>
          <w:sz w:val="18"/>
          <w:vertAlign w:val="baseline"/>
        </w:rPr>
        <w:t>Jamie</w:t>
      </w:r>
      <w:r>
        <w:rPr>
          <w:spacing w:val="-4"/>
          <w:sz w:val="18"/>
          <w:vertAlign w:val="baseline"/>
        </w:rPr>
        <w:t> </w:t>
      </w:r>
      <w:r>
        <w:rPr>
          <w:sz w:val="18"/>
          <w:vertAlign w:val="baseline"/>
        </w:rPr>
        <w:t>Mehringer</w:t>
      </w:r>
      <w:r>
        <w:rPr>
          <w:spacing w:val="-4"/>
          <w:sz w:val="18"/>
          <w:vertAlign w:val="baseline"/>
        </w:rPr>
        <w:t> </w:t>
      </w:r>
      <w:r>
        <w:rPr>
          <w:sz w:val="18"/>
          <w:vertAlign w:val="baseline"/>
        </w:rPr>
        <w:t>and</w:t>
      </w:r>
      <w:r>
        <w:rPr>
          <w:spacing w:val="-3"/>
          <w:sz w:val="18"/>
          <w:vertAlign w:val="baseline"/>
        </w:rPr>
        <w:t> </w:t>
      </w:r>
      <w:r>
        <w:rPr>
          <w:sz w:val="18"/>
          <w:vertAlign w:val="baseline"/>
        </w:rPr>
        <w:t>Nadia</w:t>
      </w:r>
      <w:r>
        <w:rPr>
          <w:spacing w:val="-3"/>
          <w:sz w:val="18"/>
          <w:vertAlign w:val="baseline"/>
        </w:rPr>
        <w:t> </w:t>
      </w:r>
      <w:r>
        <w:rPr>
          <w:sz w:val="18"/>
          <w:vertAlign w:val="baseline"/>
        </w:rPr>
        <w:t>L.</w:t>
      </w:r>
      <w:r>
        <w:rPr>
          <w:spacing w:val="-4"/>
          <w:sz w:val="18"/>
          <w:vertAlign w:val="baseline"/>
        </w:rPr>
        <w:t> </w:t>
      </w:r>
      <w:r>
        <w:rPr>
          <w:sz w:val="18"/>
          <w:vertAlign w:val="baseline"/>
        </w:rPr>
        <w:t>Dowshen,</w:t>
      </w:r>
      <w:r>
        <w:rPr>
          <w:spacing w:val="-4"/>
          <w:sz w:val="18"/>
          <w:vertAlign w:val="baseline"/>
        </w:rPr>
        <w:t> </w:t>
      </w:r>
      <w:r>
        <w:rPr>
          <w:sz w:val="18"/>
          <w:vertAlign w:val="baseline"/>
        </w:rPr>
        <w:t>“Sexual</w:t>
      </w:r>
      <w:r>
        <w:rPr>
          <w:spacing w:val="-4"/>
          <w:sz w:val="18"/>
          <w:vertAlign w:val="baseline"/>
        </w:rPr>
        <w:t> </w:t>
      </w:r>
      <w:r>
        <w:rPr>
          <w:sz w:val="18"/>
          <w:vertAlign w:val="baseline"/>
        </w:rPr>
        <w:t>and</w:t>
      </w:r>
      <w:r>
        <w:rPr>
          <w:spacing w:val="-3"/>
          <w:sz w:val="18"/>
          <w:vertAlign w:val="baseline"/>
        </w:rPr>
        <w:t> </w:t>
      </w:r>
      <w:r>
        <w:rPr>
          <w:sz w:val="18"/>
          <w:vertAlign w:val="baseline"/>
        </w:rPr>
        <w:t>Reproductive</w:t>
      </w:r>
      <w:r>
        <w:rPr>
          <w:spacing w:val="-3"/>
          <w:sz w:val="18"/>
          <w:vertAlign w:val="baseline"/>
        </w:rPr>
        <w:t> </w:t>
      </w:r>
      <w:r>
        <w:rPr>
          <w:sz w:val="18"/>
          <w:vertAlign w:val="baseline"/>
        </w:rPr>
        <w:t>Health</w:t>
      </w:r>
      <w:r>
        <w:rPr>
          <w:spacing w:val="-3"/>
          <w:sz w:val="18"/>
          <w:vertAlign w:val="baseline"/>
        </w:rPr>
        <w:t> </w:t>
      </w:r>
      <w:r>
        <w:rPr>
          <w:sz w:val="18"/>
          <w:vertAlign w:val="baseline"/>
        </w:rPr>
        <w:t>Considerations</w:t>
      </w:r>
      <w:r>
        <w:rPr>
          <w:spacing w:val="-3"/>
          <w:sz w:val="18"/>
          <w:vertAlign w:val="baseline"/>
        </w:rPr>
        <w:t> </w:t>
      </w:r>
      <w:r>
        <w:rPr>
          <w:sz w:val="18"/>
          <w:vertAlign w:val="baseline"/>
        </w:rPr>
        <w:t>among</w:t>
      </w:r>
      <w:r>
        <w:rPr>
          <w:spacing w:val="-3"/>
          <w:sz w:val="18"/>
          <w:vertAlign w:val="baseline"/>
        </w:rPr>
        <w:t> </w:t>
      </w:r>
      <w:r>
        <w:rPr>
          <w:sz w:val="18"/>
          <w:vertAlign w:val="baseline"/>
        </w:rPr>
        <w:t>Transgender</w:t>
      </w:r>
      <w:r>
        <w:rPr>
          <w:spacing w:val="-4"/>
          <w:sz w:val="18"/>
          <w:vertAlign w:val="baseline"/>
        </w:rPr>
        <w:t> </w:t>
      </w:r>
      <w:r>
        <w:rPr>
          <w:sz w:val="18"/>
          <w:vertAlign w:val="baseline"/>
        </w:rPr>
        <w:t>and</w:t>
      </w:r>
      <w:r>
        <w:rPr>
          <w:spacing w:val="-3"/>
          <w:sz w:val="18"/>
          <w:vertAlign w:val="baseline"/>
        </w:rPr>
        <w:t> </w:t>
      </w:r>
      <w:r>
        <w:rPr>
          <w:sz w:val="18"/>
          <w:vertAlign w:val="baseline"/>
        </w:rPr>
        <w:t>Gender- Expansive Youth,” </w:t>
      </w:r>
      <w:r>
        <w:rPr>
          <w:i/>
          <w:sz w:val="18"/>
          <w:vertAlign w:val="baseline"/>
        </w:rPr>
        <w:t>Current Problems in Pediatric and Adolescent Health Care </w:t>
      </w:r>
      <w:r>
        <w:rPr>
          <w:sz w:val="18"/>
          <w:vertAlign w:val="baseline"/>
        </w:rPr>
        <w:t>49, no. 9 (September 2019): 100684, </w:t>
      </w:r>
      <w:hyperlink r:id="rId338">
        <w:r>
          <w:rPr>
            <w:color w:val="0561C1"/>
            <w:spacing w:val="-2"/>
            <w:sz w:val="18"/>
            <w:u w:val="single" w:color="0561C1"/>
            <w:vertAlign w:val="baseline"/>
          </w:rPr>
          <w:t>https://doi.org/10.1016/j.cppeds.2019.100684</w:t>
        </w:r>
      </w:hyperlink>
      <w:hyperlink r:id="rId338">
        <w:r>
          <w:rPr>
            <w:spacing w:val="-2"/>
            <w:sz w:val="18"/>
            <w:u w:val="none"/>
            <w:vertAlign w:val="baseline"/>
          </w:rPr>
          <w:t>.</w:t>
        </w:r>
      </w:hyperlink>
    </w:p>
    <w:p>
      <w:pPr>
        <w:spacing w:line="219" w:lineRule="exact" w:before="0"/>
        <w:ind w:left="463" w:right="0" w:firstLine="0"/>
        <w:jc w:val="left"/>
        <w:rPr>
          <w:sz w:val="18"/>
        </w:rPr>
      </w:pPr>
      <w:bookmarkStart w:name="_bookmark221" w:id="411"/>
      <w:bookmarkEnd w:id="411"/>
      <w:r>
        <w:rPr/>
      </w:r>
      <w:r>
        <w:rPr>
          <w:spacing w:val="-2"/>
          <w:sz w:val="18"/>
          <w:vertAlign w:val="superscript"/>
        </w:rPr>
        <w:t>28</w:t>
      </w:r>
      <w:r>
        <w:rPr>
          <w:spacing w:val="-2"/>
          <w:sz w:val="18"/>
          <w:vertAlign w:val="baseline"/>
        </w:rPr>
        <w:t>Ibid.</w:t>
      </w:r>
    </w:p>
    <w:p>
      <w:pPr>
        <w:spacing w:before="0"/>
        <w:ind w:left="463" w:right="0" w:firstLine="0"/>
        <w:jc w:val="left"/>
        <w:rPr>
          <w:sz w:val="18"/>
        </w:rPr>
      </w:pPr>
      <w:bookmarkStart w:name="_bookmark222" w:id="412"/>
      <w:bookmarkEnd w:id="412"/>
      <w:r>
        <w:rPr/>
      </w:r>
      <w:r>
        <w:rPr>
          <w:sz w:val="18"/>
          <w:vertAlign w:val="superscript"/>
        </w:rPr>
        <w:t>29</w:t>
      </w:r>
      <w:r>
        <w:rPr>
          <w:spacing w:val="-13"/>
          <w:sz w:val="18"/>
          <w:vertAlign w:val="baseline"/>
        </w:rPr>
        <w:t> </w:t>
      </w:r>
      <w:r>
        <w:rPr>
          <w:spacing w:val="-2"/>
          <w:sz w:val="18"/>
          <w:vertAlign w:val="baseline"/>
        </w:rPr>
        <w:t>Ibid.</w:t>
      </w:r>
    </w:p>
    <w:p>
      <w:pPr>
        <w:spacing w:before="0"/>
        <w:ind w:left="463" w:right="261" w:hanging="1"/>
        <w:jc w:val="left"/>
        <w:rPr>
          <w:sz w:val="18"/>
        </w:rPr>
      </w:pPr>
      <w:bookmarkStart w:name="_bookmark223" w:id="413"/>
      <w:bookmarkEnd w:id="413"/>
      <w:r>
        <w:rPr/>
      </w:r>
      <w:r>
        <w:rPr>
          <w:sz w:val="18"/>
          <w:vertAlign w:val="superscript"/>
        </w:rPr>
        <w:t>30</w:t>
      </w:r>
      <w:r>
        <w:rPr>
          <w:spacing w:val="-13"/>
          <w:sz w:val="18"/>
          <w:vertAlign w:val="baseline"/>
        </w:rPr>
        <w:t> </w:t>
      </w:r>
      <w:r>
        <w:rPr>
          <w:sz w:val="18"/>
          <w:vertAlign w:val="baseline"/>
        </w:rPr>
        <w:t>Charlton,</w:t>
      </w:r>
      <w:r>
        <w:rPr>
          <w:spacing w:val="-4"/>
          <w:sz w:val="18"/>
          <w:vertAlign w:val="baseline"/>
        </w:rPr>
        <w:t> </w:t>
      </w:r>
      <w:r>
        <w:rPr>
          <w:sz w:val="18"/>
          <w:vertAlign w:val="baseline"/>
        </w:rPr>
        <w:t>Brittany</w:t>
      </w:r>
      <w:r>
        <w:rPr>
          <w:spacing w:val="-2"/>
          <w:sz w:val="18"/>
          <w:vertAlign w:val="baseline"/>
        </w:rPr>
        <w:t> </w:t>
      </w:r>
      <w:r>
        <w:rPr>
          <w:sz w:val="18"/>
          <w:vertAlign w:val="baseline"/>
        </w:rPr>
        <w:t>M.,</w:t>
      </w:r>
      <w:r>
        <w:rPr>
          <w:spacing w:val="-3"/>
          <w:sz w:val="18"/>
          <w:vertAlign w:val="baseline"/>
        </w:rPr>
        <w:t> </w:t>
      </w:r>
      <w:r>
        <w:rPr>
          <w:sz w:val="18"/>
          <w:vertAlign w:val="baseline"/>
        </w:rPr>
        <w:t>Bethany</w:t>
      </w:r>
      <w:r>
        <w:rPr>
          <w:spacing w:val="-3"/>
          <w:sz w:val="18"/>
          <w:vertAlign w:val="baseline"/>
        </w:rPr>
        <w:t> </w:t>
      </w:r>
      <w:r>
        <w:rPr>
          <w:sz w:val="18"/>
          <w:vertAlign w:val="baseline"/>
        </w:rPr>
        <w:t>G.</w:t>
      </w:r>
      <w:r>
        <w:rPr>
          <w:spacing w:val="-2"/>
          <w:sz w:val="18"/>
          <w:vertAlign w:val="baseline"/>
        </w:rPr>
        <w:t> </w:t>
      </w:r>
      <w:r>
        <w:rPr>
          <w:sz w:val="18"/>
          <w:vertAlign w:val="baseline"/>
        </w:rPr>
        <w:t>Everett,</w:t>
      </w:r>
      <w:r>
        <w:rPr>
          <w:spacing w:val="-3"/>
          <w:sz w:val="18"/>
          <w:vertAlign w:val="baseline"/>
        </w:rPr>
        <w:t> </w:t>
      </w:r>
      <w:r>
        <w:rPr>
          <w:sz w:val="18"/>
          <w:vertAlign w:val="baseline"/>
        </w:rPr>
        <w:t>Alexis</w:t>
      </w:r>
      <w:r>
        <w:rPr>
          <w:spacing w:val="-2"/>
          <w:sz w:val="18"/>
          <w:vertAlign w:val="baseline"/>
        </w:rPr>
        <w:t> </w:t>
      </w:r>
      <w:r>
        <w:rPr>
          <w:sz w:val="18"/>
          <w:vertAlign w:val="baseline"/>
        </w:rPr>
        <w:t>Light,</w:t>
      </w:r>
      <w:r>
        <w:rPr>
          <w:spacing w:val="-3"/>
          <w:sz w:val="18"/>
          <w:vertAlign w:val="baseline"/>
        </w:rPr>
        <w:t> </w:t>
      </w:r>
      <w:r>
        <w:rPr>
          <w:sz w:val="18"/>
          <w:vertAlign w:val="baseline"/>
        </w:rPr>
        <w:t>Rachel</w:t>
      </w:r>
      <w:r>
        <w:rPr>
          <w:spacing w:val="-3"/>
          <w:sz w:val="18"/>
          <w:vertAlign w:val="baseline"/>
        </w:rPr>
        <w:t> </w:t>
      </w:r>
      <w:r>
        <w:rPr>
          <w:sz w:val="18"/>
          <w:vertAlign w:val="baseline"/>
        </w:rPr>
        <w:t>K.</w:t>
      </w:r>
      <w:r>
        <w:rPr>
          <w:spacing w:val="-2"/>
          <w:sz w:val="18"/>
          <w:vertAlign w:val="baseline"/>
        </w:rPr>
        <w:t> </w:t>
      </w:r>
      <w:r>
        <w:rPr>
          <w:sz w:val="18"/>
          <w:vertAlign w:val="baseline"/>
        </w:rPr>
        <w:t>Jones,</w:t>
      </w:r>
      <w:r>
        <w:rPr>
          <w:spacing w:val="-3"/>
          <w:sz w:val="18"/>
          <w:vertAlign w:val="baseline"/>
        </w:rPr>
        <w:t> </w:t>
      </w:r>
      <w:r>
        <w:rPr>
          <w:sz w:val="18"/>
          <w:vertAlign w:val="baseline"/>
        </w:rPr>
        <w:t>Elizabeth</w:t>
      </w:r>
      <w:r>
        <w:rPr>
          <w:spacing w:val="-2"/>
          <w:sz w:val="18"/>
          <w:vertAlign w:val="baseline"/>
        </w:rPr>
        <w:t> </w:t>
      </w:r>
      <w:r>
        <w:rPr>
          <w:sz w:val="18"/>
          <w:vertAlign w:val="baseline"/>
        </w:rPr>
        <w:t>Janiak,</w:t>
      </w:r>
      <w:r>
        <w:rPr>
          <w:spacing w:val="-3"/>
          <w:sz w:val="18"/>
          <w:vertAlign w:val="baseline"/>
        </w:rPr>
        <w:t> </w:t>
      </w:r>
      <w:r>
        <w:rPr>
          <w:sz w:val="18"/>
          <w:vertAlign w:val="baseline"/>
        </w:rPr>
        <w:t>Audrey</w:t>
      </w:r>
      <w:r>
        <w:rPr>
          <w:spacing w:val="-2"/>
          <w:sz w:val="18"/>
          <w:vertAlign w:val="baseline"/>
        </w:rPr>
        <w:t> </w:t>
      </w:r>
      <w:r>
        <w:rPr>
          <w:sz w:val="18"/>
          <w:vertAlign w:val="baseline"/>
        </w:rPr>
        <w:t>J.</w:t>
      </w:r>
      <w:r>
        <w:rPr>
          <w:spacing w:val="-2"/>
          <w:sz w:val="18"/>
          <w:vertAlign w:val="baseline"/>
        </w:rPr>
        <w:t> </w:t>
      </w:r>
      <w:r>
        <w:rPr>
          <w:sz w:val="18"/>
          <w:vertAlign w:val="baseline"/>
        </w:rPr>
        <w:t>Gaskins,</w:t>
      </w:r>
      <w:r>
        <w:rPr>
          <w:spacing w:val="-3"/>
          <w:sz w:val="18"/>
          <w:vertAlign w:val="baseline"/>
        </w:rPr>
        <w:t> </w:t>
      </w:r>
      <w:r>
        <w:rPr>
          <w:sz w:val="18"/>
          <w:vertAlign w:val="baseline"/>
        </w:rPr>
        <w:t>Jorge</w:t>
      </w:r>
      <w:r>
        <w:rPr>
          <w:spacing w:val="-3"/>
          <w:sz w:val="18"/>
          <w:vertAlign w:val="baseline"/>
        </w:rPr>
        <w:t> </w:t>
      </w:r>
      <w:r>
        <w:rPr>
          <w:sz w:val="18"/>
          <w:vertAlign w:val="baseline"/>
        </w:rPr>
        <w:t>E.</w:t>
      </w:r>
      <w:r>
        <w:rPr>
          <w:spacing w:val="-2"/>
          <w:sz w:val="18"/>
          <w:vertAlign w:val="baseline"/>
        </w:rPr>
        <w:t> </w:t>
      </w:r>
      <w:r>
        <w:rPr>
          <w:sz w:val="18"/>
          <w:vertAlign w:val="baseline"/>
        </w:rPr>
        <w:t>Chavarro, Heidi Moseson, Vishnudas Sarda, and S. Bryn Austin. “Sexual Orientation Differences in Pregnancy and Abortion Across the Lifecourse.” </w:t>
      </w:r>
      <w:r>
        <w:rPr>
          <w:i/>
          <w:sz w:val="18"/>
          <w:vertAlign w:val="baseline"/>
        </w:rPr>
        <w:t>Women’s Health Issues </w:t>
      </w:r>
      <w:r>
        <w:rPr>
          <w:sz w:val="18"/>
          <w:vertAlign w:val="baseline"/>
        </w:rPr>
        <w:t>30, no. 2 (March 2020): 65–72. </w:t>
      </w:r>
      <w:hyperlink r:id="rId341">
        <w:r>
          <w:rPr>
            <w:color w:val="0561C1"/>
            <w:sz w:val="18"/>
            <w:u w:val="single" w:color="0561C1"/>
            <w:vertAlign w:val="baseline"/>
          </w:rPr>
          <w:t>https://doi.org/10.1016/j.whi.2019.10.007</w:t>
        </w:r>
      </w:hyperlink>
      <w:hyperlink r:id="rId341">
        <w:r>
          <w:rPr>
            <w:sz w:val="18"/>
            <w:u w:val="none"/>
            <w:vertAlign w:val="baseline"/>
          </w:rPr>
          <w:t>.</w:t>
        </w:r>
      </w:hyperlink>
    </w:p>
    <w:p>
      <w:pPr>
        <w:spacing w:before="0"/>
        <w:ind w:left="463" w:right="2255" w:hanging="1"/>
        <w:jc w:val="left"/>
        <w:rPr>
          <w:sz w:val="18"/>
        </w:rPr>
      </w:pPr>
      <w:bookmarkStart w:name="_bookmark224" w:id="414"/>
      <w:bookmarkEnd w:id="414"/>
      <w:r>
        <w:rPr/>
      </w:r>
      <w:r>
        <w:rPr>
          <w:sz w:val="18"/>
          <w:vertAlign w:val="superscript"/>
        </w:rPr>
        <w:t>31</w:t>
      </w:r>
      <w:r>
        <w:rPr>
          <w:spacing w:val="-13"/>
          <w:sz w:val="18"/>
          <w:vertAlign w:val="baseline"/>
        </w:rPr>
        <w:t> </w:t>
      </w:r>
      <w:r>
        <w:rPr>
          <w:sz w:val="18"/>
          <w:vertAlign w:val="baseline"/>
        </w:rPr>
        <w:t>“Annual</w:t>
      </w:r>
      <w:r>
        <w:rPr>
          <w:spacing w:val="-5"/>
          <w:sz w:val="18"/>
          <w:vertAlign w:val="baseline"/>
        </w:rPr>
        <w:t> </w:t>
      </w:r>
      <w:r>
        <w:rPr>
          <w:sz w:val="18"/>
          <w:vertAlign w:val="baseline"/>
        </w:rPr>
        <w:t>Recommendations</w:t>
      </w:r>
      <w:r>
        <w:rPr>
          <w:spacing w:val="-3"/>
          <w:sz w:val="18"/>
          <w:vertAlign w:val="baseline"/>
        </w:rPr>
        <w:t> </w:t>
      </w:r>
      <w:r>
        <w:rPr>
          <w:sz w:val="18"/>
          <w:vertAlign w:val="baseline"/>
        </w:rPr>
        <w:t>-</w:t>
      </w:r>
      <w:r>
        <w:rPr>
          <w:spacing w:val="-5"/>
          <w:sz w:val="18"/>
          <w:vertAlign w:val="baseline"/>
        </w:rPr>
        <w:t> </w:t>
      </w:r>
      <w:r>
        <w:rPr>
          <w:sz w:val="18"/>
          <w:vertAlign w:val="baseline"/>
        </w:rPr>
        <w:t>Commission</w:t>
      </w:r>
      <w:r>
        <w:rPr>
          <w:spacing w:val="-3"/>
          <w:sz w:val="18"/>
          <w:vertAlign w:val="baseline"/>
        </w:rPr>
        <w:t> </w:t>
      </w:r>
      <w:r>
        <w:rPr>
          <w:sz w:val="18"/>
          <w:vertAlign w:val="baseline"/>
        </w:rPr>
        <w:t>on</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w:t>
      </w:r>
      <w:r>
        <w:rPr>
          <w:spacing w:val="-5"/>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December</w:t>
      </w:r>
      <w:r>
        <w:rPr>
          <w:spacing w:val="-5"/>
          <w:sz w:val="18"/>
          <w:vertAlign w:val="baseline"/>
        </w:rPr>
        <w:t> </w:t>
      </w:r>
      <w:r>
        <w:rPr>
          <w:sz w:val="18"/>
          <w:vertAlign w:val="baseline"/>
        </w:rPr>
        <w:t>4,</w:t>
      </w:r>
      <w:r>
        <w:rPr>
          <w:spacing w:val="-4"/>
          <w:sz w:val="18"/>
          <w:vertAlign w:val="baseline"/>
        </w:rPr>
        <w:t> </w:t>
      </w:r>
      <w:r>
        <w:rPr>
          <w:sz w:val="18"/>
          <w:vertAlign w:val="baseline"/>
        </w:rPr>
        <w:t>2022, </w:t>
      </w:r>
      <w:hyperlink r:id="rId342">
        <w:r>
          <w:rPr>
            <w:color w:val="0561C1"/>
            <w:spacing w:val="-2"/>
            <w:sz w:val="18"/>
            <w:u w:val="single" w:color="0561C1"/>
            <w:vertAlign w:val="baseline"/>
          </w:rPr>
          <w:t>https://www.mass.gov/lists/annual-recommendations-commission-on-lgbtq-youth</w:t>
        </w:r>
      </w:hyperlink>
      <w:hyperlink r:id="rId342">
        <w:r>
          <w:rPr>
            <w:spacing w:val="-2"/>
            <w:sz w:val="18"/>
            <w:u w:val="none"/>
            <w:vertAlign w:val="baseline"/>
          </w:rPr>
          <w:t>.</w:t>
        </w:r>
      </w:hyperlink>
    </w:p>
    <w:p>
      <w:pPr>
        <w:spacing w:before="0"/>
        <w:ind w:left="463" w:right="669" w:hanging="1"/>
        <w:jc w:val="left"/>
        <w:rPr>
          <w:sz w:val="18"/>
        </w:rPr>
      </w:pPr>
      <w:bookmarkStart w:name="_bookmark225" w:id="415"/>
      <w:bookmarkEnd w:id="415"/>
      <w:r>
        <w:rPr/>
      </w:r>
      <w:r>
        <w:rPr>
          <w:sz w:val="18"/>
          <w:vertAlign w:val="superscript"/>
        </w:rPr>
        <w:t>32</w:t>
      </w:r>
      <w:r>
        <w:rPr>
          <w:spacing w:val="-13"/>
          <w:sz w:val="18"/>
          <w:vertAlign w:val="baseline"/>
        </w:rPr>
        <w:t> </w:t>
      </w:r>
      <w:r>
        <w:rPr>
          <w:sz w:val="18"/>
          <w:vertAlign w:val="baseline"/>
        </w:rPr>
        <w:t>Everett,</w:t>
      </w:r>
      <w:r>
        <w:rPr>
          <w:spacing w:val="-4"/>
          <w:sz w:val="18"/>
          <w:vertAlign w:val="baseline"/>
        </w:rPr>
        <w:t> </w:t>
      </w:r>
      <w:r>
        <w:rPr>
          <w:sz w:val="18"/>
          <w:vertAlign w:val="baseline"/>
        </w:rPr>
        <w:t>Bethany</w:t>
      </w:r>
      <w:r>
        <w:rPr>
          <w:spacing w:val="-2"/>
          <w:sz w:val="18"/>
          <w:vertAlign w:val="baseline"/>
        </w:rPr>
        <w:t> </w:t>
      </w:r>
      <w:r>
        <w:rPr>
          <w:sz w:val="18"/>
          <w:vertAlign w:val="baseline"/>
        </w:rPr>
        <w:t>G.,</w:t>
      </w:r>
      <w:r>
        <w:rPr>
          <w:spacing w:val="-3"/>
          <w:sz w:val="18"/>
          <w:vertAlign w:val="baseline"/>
        </w:rPr>
        <w:t> </w:t>
      </w:r>
      <w:r>
        <w:rPr>
          <w:sz w:val="18"/>
          <w:vertAlign w:val="baseline"/>
        </w:rPr>
        <w:t>Michelle</w:t>
      </w:r>
      <w:r>
        <w:rPr>
          <w:spacing w:val="-2"/>
          <w:sz w:val="18"/>
          <w:vertAlign w:val="baseline"/>
        </w:rPr>
        <w:t> </w:t>
      </w:r>
      <w:r>
        <w:rPr>
          <w:sz w:val="18"/>
          <w:vertAlign w:val="baseline"/>
        </w:rPr>
        <w:t>A.</w:t>
      </w:r>
      <w:r>
        <w:rPr>
          <w:spacing w:val="-2"/>
          <w:sz w:val="18"/>
          <w:vertAlign w:val="baseline"/>
        </w:rPr>
        <w:t> </w:t>
      </w:r>
      <w:r>
        <w:rPr>
          <w:sz w:val="18"/>
          <w:vertAlign w:val="baseline"/>
        </w:rPr>
        <w:t>Kominiarek,</w:t>
      </w:r>
      <w:r>
        <w:rPr>
          <w:spacing w:val="-3"/>
          <w:sz w:val="18"/>
          <w:vertAlign w:val="baseline"/>
        </w:rPr>
        <w:t> </w:t>
      </w:r>
      <w:r>
        <w:rPr>
          <w:sz w:val="18"/>
          <w:vertAlign w:val="baseline"/>
        </w:rPr>
        <w:t>Stefanie</w:t>
      </w:r>
      <w:r>
        <w:rPr>
          <w:spacing w:val="-2"/>
          <w:sz w:val="18"/>
          <w:vertAlign w:val="baseline"/>
        </w:rPr>
        <w:t> </w:t>
      </w:r>
      <w:r>
        <w:rPr>
          <w:sz w:val="18"/>
          <w:vertAlign w:val="baseline"/>
        </w:rPr>
        <w:t>Mollborn,</w:t>
      </w:r>
      <w:r>
        <w:rPr>
          <w:spacing w:val="-3"/>
          <w:sz w:val="18"/>
          <w:vertAlign w:val="baseline"/>
        </w:rPr>
        <w:t> </w:t>
      </w:r>
      <w:r>
        <w:rPr>
          <w:sz w:val="18"/>
          <w:vertAlign w:val="baseline"/>
        </w:rPr>
        <w:t>Daniel</w:t>
      </w:r>
      <w:r>
        <w:rPr>
          <w:spacing w:val="-3"/>
          <w:sz w:val="18"/>
          <w:vertAlign w:val="baseline"/>
        </w:rPr>
        <w:t> </w:t>
      </w:r>
      <w:r>
        <w:rPr>
          <w:sz w:val="18"/>
          <w:vertAlign w:val="baseline"/>
        </w:rPr>
        <w:t>E.</w:t>
      </w:r>
      <w:r>
        <w:rPr>
          <w:spacing w:val="-2"/>
          <w:sz w:val="18"/>
          <w:vertAlign w:val="baseline"/>
        </w:rPr>
        <w:t> </w:t>
      </w:r>
      <w:r>
        <w:rPr>
          <w:sz w:val="18"/>
          <w:vertAlign w:val="baseline"/>
        </w:rPr>
        <w:t>Adkins,</w:t>
      </w:r>
      <w:r>
        <w:rPr>
          <w:spacing w:val="-3"/>
          <w:sz w:val="18"/>
          <w:vertAlign w:val="baseline"/>
        </w:rPr>
        <w:t> </w:t>
      </w:r>
      <w:r>
        <w:rPr>
          <w:sz w:val="18"/>
          <w:vertAlign w:val="baseline"/>
        </w:rPr>
        <w:t>and</w:t>
      </w:r>
      <w:r>
        <w:rPr>
          <w:spacing w:val="-2"/>
          <w:sz w:val="18"/>
          <w:vertAlign w:val="baseline"/>
        </w:rPr>
        <w:t> </w:t>
      </w:r>
      <w:r>
        <w:rPr>
          <w:sz w:val="18"/>
          <w:vertAlign w:val="baseline"/>
        </w:rPr>
        <w:t>Tonda</w:t>
      </w:r>
      <w:r>
        <w:rPr>
          <w:spacing w:val="-2"/>
          <w:sz w:val="18"/>
          <w:vertAlign w:val="baseline"/>
        </w:rPr>
        <w:t> </w:t>
      </w:r>
      <w:r>
        <w:rPr>
          <w:sz w:val="18"/>
          <w:vertAlign w:val="baseline"/>
        </w:rPr>
        <w:t>L.</w:t>
      </w:r>
      <w:r>
        <w:rPr>
          <w:spacing w:val="-3"/>
          <w:sz w:val="18"/>
          <w:vertAlign w:val="baseline"/>
        </w:rPr>
        <w:t> </w:t>
      </w:r>
      <w:r>
        <w:rPr>
          <w:sz w:val="18"/>
          <w:vertAlign w:val="baseline"/>
        </w:rPr>
        <w:t>Hughes.</w:t>
      </w:r>
      <w:r>
        <w:rPr>
          <w:spacing w:val="-2"/>
          <w:sz w:val="18"/>
          <w:vertAlign w:val="baseline"/>
        </w:rPr>
        <w:t> </w:t>
      </w:r>
      <w:r>
        <w:rPr>
          <w:sz w:val="18"/>
          <w:vertAlign w:val="baseline"/>
        </w:rPr>
        <w:t>“Sexual</w:t>
      </w:r>
      <w:r>
        <w:rPr>
          <w:spacing w:val="-4"/>
          <w:sz w:val="18"/>
          <w:vertAlign w:val="baseline"/>
        </w:rPr>
        <w:t> </w:t>
      </w:r>
      <w:r>
        <w:rPr>
          <w:sz w:val="18"/>
          <w:vertAlign w:val="baseline"/>
        </w:rPr>
        <w:t>Orientation Disparities in Pregnancy and Infant Outcomes.” </w:t>
      </w:r>
      <w:r>
        <w:rPr>
          <w:i/>
          <w:sz w:val="18"/>
          <w:vertAlign w:val="baseline"/>
        </w:rPr>
        <w:t>Maternal and Child Health Journal </w:t>
      </w:r>
      <w:r>
        <w:rPr>
          <w:sz w:val="18"/>
          <w:vertAlign w:val="baseline"/>
        </w:rPr>
        <w:t>23, no. 1 (January 2019): 72–81. </w:t>
      </w:r>
      <w:hyperlink r:id="rId343">
        <w:r>
          <w:rPr>
            <w:color w:val="0561C1"/>
            <w:spacing w:val="-2"/>
            <w:sz w:val="18"/>
            <w:u w:val="single" w:color="0561C1"/>
            <w:vertAlign w:val="baseline"/>
          </w:rPr>
          <w:t>https://doi.org/10.1007/s10995-018-2595-x</w:t>
        </w:r>
      </w:hyperlink>
      <w:hyperlink r:id="rId343">
        <w:r>
          <w:rPr>
            <w:spacing w:val="-2"/>
            <w:sz w:val="18"/>
            <w:u w:val="none"/>
            <w:vertAlign w:val="baseline"/>
          </w:rPr>
          <w:t>.</w:t>
        </w:r>
      </w:hyperlink>
    </w:p>
    <w:p>
      <w:pPr>
        <w:spacing w:before="0"/>
        <w:ind w:left="463" w:right="261" w:hanging="1"/>
        <w:jc w:val="left"/>
        <w:rPr>
          <w:sz w:val="18"/>
        </w:rPr>
      </w:pPr>
      <w:bookmarkStart w:name="_bookmark226" w:id="416"/>
      <w:bookmarkEnd w:id="416"/>
      <w:r>
        <w:rPr/>
      </w:r>
      <w:r>
        <w:rPr>
          <w:sz w:val="18"/>
          <w:vertAlign w:val="superscript"/>
        </w:rPr>
        <w:t>33</w:t>
      </w:r>
      <w:r>
        <w:rPr>
          <w:spacing w:val="-13"/>
          <w:sz w:val="18"/>
          <w:vertAlign w:val="baseline"/>
        </w:rPr>
        <w:t> </w:t>
      </w:r>
      <w:r>
        <w:rPr>
          <w:sz w:val="18"/>
          <w:vertAlign w:val="baseline"/>
        </w:rPr>
        <w:t>Bethany</w:t>
      </w:r>
      <w:r>
        <w:rPr>
          <w:spacing w:val="-4"/>
          <w:sz w:val="18"/>
          <w:vertAlign w:val="baseline"/>
        </w:rPr>
        <w:t> </w:t>
      </w:r>
      <w:r>
        <w:rPr>
          <w:sz w:val="18"/>
          <w:vertAlign w:val="baseline"/>
        </w:rPr>
        <w:t>G.</w:t>
      </w:r>
      <w:r>
        <w:rPr>
          <w:spacing w:val="-2"/>
          <w:sz w:val="18"/>
          <w:vertAlign w:val="baseline"/>
        </w:rPr>
        <w:t> </w:t>
      </w:r>
      <w:r>
        <w:rPr>
          <w:sz w:val="18"/>
          <w:vertAlign w:val="baseline"/>
        </w:rPr>
        <w:t>Everett</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“Sexual</w:t>
      </w:r>
      <w:r>
        <w:rPr>
          <w:spacing w:val="-3"/>
          <w:sz w:val="18"/>
          <w:vertAlign w:val="baseline"/>
        </w:rPr>
        <w:t> </w:t>
      </w:r>
      <w:r>
        <w:rPr>
          <w:sz w:val="18"/>
          <w:vertAlign w:val="baseline"/>
        </w:rPr>
        <w:t>Identity</w:t>
      </w:r>
      <w:r>
        <w:rPr>
          <w:spacing w:val="-2"/>
          <w:sz w:val="18"/>
          <w:vertAlign w:val="baseline"/>
        </w:rPr>
        <w:t> </w:t>
      </w:r>
      <w:r>
        <w:rPr>
          <w:sz w:val="18"/>
          <w:vertAlign w:val="baseline"/>
        </w:rPr>
        <w:t>and</w:t>
      </w:r>
      <w:r>
        <w:rPr>
          <w:spacing w:val="-3"/>
          <w:sz w:val="18"/>
          <w:vertAlign w:val="baseline"/>
        </w:rPr>
        <w:t> </w:t>
      </w:r>
      <w:r>
        <w:rPr>
          <w:sz w:val="18"/>
          <w:vertAlign w:val="baseline"/>
        </w:rPr>
        <w:t>Birth</w:t>
      </w:r>
      <w:r>
        <w:rPr>
          <w:spacing w:val="-2"/>
          <w:sz w:val="18"/>
          <w:vertAlign w:val="baseline"/>
        </w:rPr>
        <w:t> </w:t>
      </w:r>
      <w:r>
        <w:rPr>
          <w:sz w:val="18"/>
          <w:vertAlign w:val="baseline"/>
        </w:rPr>
        <w:t>Outcomes:</w:t>
      </w:r>
      <w:r>
        <w:rPr>
          <w:spacing w:val="-2"/>
          <w:sz w:val="18"/>
          <w:vertAlign w:val="baseline"/>
        </w:rPr>
        <w:t> </w:t>
      </w:r>
      <w:r>
        <w:rPr>
          <w:sz w:val="18"/>
          <w:vertAlign w:val="baseline"/>
        </w:rPr>
        <w:t>A</w:t>
      </w:r>
      <w:r>
        <w:rPr>
          <w:spacing w:val="-2"/>
          <w:sz w:val="18"/>
          <w:vertAlign w:val="baseline"/>
        </w:rPr>
        <w:t> </w:t>
      </w:r>
      <w:r>
        <w:rPr>
          <w:sz w:val="18"/>
          <w:vertAlign w:val="baseline"/>
        </w:rPr>
        <w:t>Focus</w:t>
      </w:r>
      <w:r>
        <w:rPr>
          <w:spacing w:val="-2"/>
          <w:sz w:val="18"/>
          <w:vertAlign w:val="baseline"/>
        </w:rPr>
        <w:t> </w:t>
      </w:r>
      <w:r>
        <w:rPr>
          <w:sz w:val="18"/>
          <w:vertAlign w:val="baseline"/>
        </w:rPr>
        <w:t>on</w:t>
      </w:r>
      <w:r>
        <w:rPr>
          <w:spacing w:val="-2"/>
          <w:sz w:val="18"/>
          <w:vertAlign w:val="baseline"/>
        </w:rPr>
        <w:t> </w:t>
      </w:r>
      <w:r>
        <w:rPr>
          <w:sz w:val="18"/>
          <w:vertAlign w:val="baseline"/>
        </w:rPr>
        <w:t>the</w:t>
      </w:r>
      <w:r>
        <w:rPr>
          <w:spacing w:val="-3"/>
          <w:sz w:val="18"/>
          <w:vertAlign w:val="baseline"/>
        </w:rPr>
        <w:t> </w:t>
      </w:r>
      <w:r>
        <w:rPr>
          <w:sz w:val="18"/>
          <w:vertAlign w:val="baseline"/>
        </w:rPr>
        <w:t>Moderating</w:t>
      </w:r>
      <w:r>
        <w:rPr>
          <w:spacing w:val="-2"/>
          <w:sz w:val="18"/>
          <w:vertAlign w:val="baseline"/>
        </w:rPr>
        <w:t> </w:t>
      </w:r>
      <w:r>
        <w:rPr>
          <w:sz w:val="18"/>
          <w:vertAlign w:val="baseline"/>
        </w:rPr>
        <w:t>Role</w:t>
      </w:r>
      <w:r>
        <w:rPr>
          <w:spacing w:val="-2"/>
          <w:sz w:val="18"/>
          <w:vertAlign w:val="baseline"/>
        </w:rPr>
        <w:t> </w:t>
      </w:r>
      <w:r>
        <w:rPr>
          <w:sz w:val="18"/>
          <w:vertAlign w:val="baseline"/>
        </w:rPr>
        <w:t>of</w:t>
      </w:r>
      <w:r>
        <w:rPr>
          <w:spacing w:val="-2"/>
          <w:sz w:val="18"/>
          <w:vertAlign w:val="baseline"/>
        </w:rPr>
        <w:t> </w:t>
      </w:r>
      <w:r>
        <w:rPr>
          <w:sz w:val="18"/>
          <w:vertAlign w:val="baseline"/>
        </w:rPr>
        <w:t>Race-Ethnicity,”</w:t>
      </w:r>
      <w:r>
        <w:rPr>
          <w:spacing w:val="-2"/>
          <w:sz w:val="18"/>
          <w:vertAlign w:val="baseline"/>
        </w:rPr>
        <w:t> </w:t>
      </w:r>
      <w:r>
        <w:rPr>
          <w:sz w:val="18"/>
          <w:vertAlign w:val="baseline"/>
        </w:rPr>
        <w:t>Journal</w:t>
      </w:r>
      <w:r>
        <w:rPr>
          <w:spacing w:val="-3"/>
          <w:sz w:val="18"/>
          <w:vertAlign w:val="baseline"/>
        </w:rPr>
        <w:t> </w:t>
      </w:r>
      <w:r>
        <w:rPr>
          <w:sz w:val="18"/>
          <w:vertAlign w:val="baseline"/>
        </w:rPr>
        <w:t>of Health and Social Behavior 62, no. 2 (June 2021): 183–201, </w:t>
      </w:r>
      <w:hyperlink r:id="rId344">
        <w:r>
          <w:rPr>
            <w:color w:val="0561C1"/>
            <w:sz w:val="18"/>
            <w:u w:val="single" w:color="0561C1"/>
            <w:vertAlign w:val="baseline"/>
          </w:rPr>
          <w:t>https://doi.org/10.1177/0022146521997811</w:t>
        </w:r>
      </w:hyperlink>
      <w:hyperlink r:id="rId344">
        <w:r>
          <w:rPr>
            <w:sz w:val="18"/>
            <w:u w:val="none"/>
            <w:vertAlign w:val="baseline"/>
          </w:rPr>
          <w:t>.</w:t>
        </w:r>
      </w:hyperlink>
    </w:p>
    <w:p>
      <w:pPr>
        <w:spacing w:before="0"/>
        <w:ind w:left="463" w:right="391" w:hanging="1"/>
        <w:jc w:val="left"/>
        <w:rPr>
          <w:sz w:val="18"/>
        </w:rPr>
      </w:pPr>
      <w:bookmarkStart w:name="_bookmark227" w:id="417"/>
      <w:bookmarkEnd w:id="417"/>
      <w:r>
        <w:rPr/>
      </w:r>
      <w:r>
        <w:rPr>
          <w:sz w:val="18"/>
          <w:vertAlign w:val="superscript"/>
        </w:rPr>
        <w:t>34</w:t>
      </w:r>
      <w:r>
        <w:rPr>
          <w:spacing w:val="-13"/>
          <w:sz w:val="18"/>
          <w:vertAlign w:val="baseline"/>
        </w:rPr>
        <w:t> </w:t>
      </w:r>
      <w:r>
        <w:rPr>
          <w:sz w:val="18"/>
          <w:vertAlign w:val="baseline"/>
        </w:rPr>
        <w:t>Sajal</w:t>
      </w:r>
      <w:r>
        <w:rPr>
          <w:spacing w:val="-4"/>
          <w:sz w:val="18"/>
          <w:vertAlign w:val="baseline"/>
        </w:rPr>
        <w:t> </w:t>
      </w:r>
      <w:r>
        <w:rPr>
          <w:sz w:val="18"/>
          <w:vertAlign w:val="baseline"/>
        </w:rPr>
        <w:t>Patel</w:t>
      </w:r>
      <w:r>
        <w:rPr>
          <w:spacing w:val="-3"/>
          <w:sz w:val="18"/>
          <w:vertAlign w:val="baseline"/>
        </w:rPr>
        <w:t> </w:t>
      </w:r>
      <w:r>
        <w:rPr>
          <w:sz w:val="18"/>
          <w:vertAlign w:val="baseline"/>
        </w:rPr>
        <w:t>and</w:t>
      </w:r>
      <w:r>
        <w:rPr>
          <w:spacing w:val="-3"/>
          <w:sz w:val="18"/>
          <w:vertAlign w:val="baseline"/>
        </w:rPr>
        <w:t> </w:t>
      </w:r>
      <w:r>
        <w:rPr>
          <w:sz w:val="18"/>
          <w:vertAlign w:val="baseline"/>
        </w:rPr>
        <w:t>Lori</w:t>
      </w:r>
      <w:r>
        <w:rPr>
          <w:spacing w:val="-3"/>
          <w:sz w:val="18"/>
          <w:vertAlign w:val="baseline"/>
        </w:rPr>
        <w:t> </w:t>
      </w:r>
      <w:r>
        <w:rPr>
          <w:sz w:val="18"/>
          <w:vertAlign w:val="baseline"/>
        </w:rPr>
        <w:t>B.</w:t>
      </w:r>
      <w:r>
        <w:rPr>
          <w:spacing w:val="-2"/>
          <w:sz w:val="18"/>
          <w:vertAlign w:val="baseline"/>
        </w:rPr>
        <w:t> </w:t>
      </w:r>
      <w:r>
        <w:rPr>
          <w:sz w:val="18"/>
          <w:vertAlign w:val="baseline"/>
        </w:rPr>
        <w:t>Sweeney,</w:t>
      </w:r>
      <w:r>
        <w:rPr>
          <w:spacing w:val="-3"/>
          <w:sz w:val="18"/>
          <w:vertAlign w:val="baseline"/>
        </w:rPr>
        <w:t> </w:t>
      </w:r>
      <w:r>
        <w:rPr>
          <w:sz w:val="18"/>
          <w:vertAlign w:val="baseline"/>
        </w:rPr>
        <w:t>“Maternal</w:t>
      </w:r>
      <w:r>
        <w:rPr>
          <w:spacing w:val="-3"/>
          <w:sz w:val="18"/>
          <w:vertAlign w:val="baseline"/>
        </w:rPr>
        <w:t> </w:t>
      </w:r>
      <w:r>
        <w:rPr>
          <w:sz w:val="18"/>
          <w:vertAlign w:val="baseline"/>
        </w:rPr>
        <w:t>Health</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Transgender</w:t>
      </w:r>
      <w:r>
        <w:rPr>
          <w:spacing w:val="-3"/>
          <w:sz w:val="18"/>
          <w:vertAlign w:val="baseline"/>
        </w:rPr>
        <w:t> </w:t>
      </w:r>
      <w:r>
        <w:rPr>
          <w:sz w:val="18"/>
          <w:vertAlign w:val="baseline"/>
        </w:rPr>
        <w:t>Population,”</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Women’s</w:t>
      </w:r>
      <w:r>
        <w:rPr>
          <w:i/>
          <w:spacing w:val="-3"/>
          <w:sz w:val="18"/>
          <w:vertAlign w:val="baseline"/>
        </w:rPr>
        <w:t> </w:t>
      </w:r>
      <w:r>
        <w:rPr>
          <w:i/>
          <w:sz w:val="18"/>
          <w:vertAlign w:val="baseline"/>
        </w:rPr>
        <w:t>Health</w:t>
      </w:r>
      <w:r>
        <w:rPr>
          <w:i/>
          <w:spacing w:val="-3"/>
          <w:sz w:val="18"/>
          <w:vertAlign w:val="baseline"/>
        </w:rPr>
        <w:t> </w:t>
      </w:r>
      <w:r>
        <w:rPr>
          <w:sz w:val="18"/>
          <w:vertAlign w:val="baseline"/>
        </w:rPr>
        <w:t>30,</w:t>
      </w:r>
      <w:r>
        <w:rPr>
          <w:spacing w:val="-3"/>
          <w:sz w:val="18"/>
          <w:vertAlign w:val="baseline"/>
        </w:rPr>
        <w:t> </w:t>
      </w:r>
      <w:r>
        <w:rPr>
          <w:sz w:val="18"/>
          <w:vertAlign w:val="baseline"/>
        </w:rPr>
        <w:t>no.</w:t>
      </w:r>
      <w:r>
        <w:rPr>
          <w:spacing w:val="-2"/>
          <w:sz w:val="18"/>
          <w:vertAlign w:val="baseline"/>
        </w:rPr>
        <w:t> </w:t>
      </w:r>
      <w:r>
        <w:rPr>
          <w:sz w:val="18"/>
          <w:vertAlign w:val="baseline"/>
        </w:rPr>
        <w:t>2 (February 2021): 253–59, </w:t>
      </w:r>
      <w:hyperlink r:id="rId345">
        <w:r>
          <w:rPr>
            <w:color w:val="0561C1"/>
            <w:sz w:val="18"/>
            <w:u w:val="single" w:color="0561C1"/>
            <w:vertAlign w:val="baseline"/>
          </w:rPr>
          <w:t>https://doi.org/10.1089/jwh.2020.8880</w:t>
        </w:r>
      </w:hyperlink>
      <w:hyperlink r:id="rId345">
        <w:r>
          <w:rPr>
            <w:sz w:val="18"/>
            <w:u w:val="none"/>
            <w:vertAlign w:val="baseline"/>
          </w:rPr>
          <w:t>.</w:t>
        </w:r>
      </w:hyperlink>
    </w:p>
    <w:p>
      <w:pPr>
        <w:spacing w:before="0"/>
        <w:ind w:left="463" w:right="1178" w:hanging="1"/>
        <w:jc w:val="left"/>
        <w:rPr>
          <w:sz w:val="18"/>
        </w:rPr>
      </w:pPr>
      <w:bookmarkStart w:name="_bookmark228" w:id="418"/>
      <w:bookmarkEnd w:id="418"/>
      <w:r>
        <w:rPr/>
      </w:r>
      <w:r>
        <w:rPr>
          <w:sz w:val="18"/>
          <w:vertAlign w:val="superscript"/>
        </w:rPr>
        <w:t>35</w:t>
      </w:r>
      <w:r>
        <w:rPr>
          <w:spacing w:val="-13"/>
          <w:sz w:val="18"/>
          <w:vertAlign w:val="baseline"/>
        </w:rPr>
        <w:t> </w:t>
      </w:r>
      <w:r>
        <w:rPr>
          <w:sz w:val="18"/>
          <w:vertAlign w:val="baseline"/>
        </w:rPr>
        <w:t>“Pregnant</w:t>
      </w:r>
      <w:r>
        <w:rPr>
          <w:spacing w:val="-4"/>
          <w:sz w:val="18"/>
          <w:vertAlign w:val="baseline"/>
        </w:rPr>
        <w:t> </w:t>
      </w:r>
      <w:r>
        <w:rPr>
          <w:sz w:val="18"/>
          <w:vertAlign w:val="baseline"/>
        </w:rPr>
        <w:t>Transgender</w:t>
      </w:r>
      <w:r>
        <w:rPr>
          <w:spacing w:val="-3"/>
          <w:sz w:val="18"/>
          <w:vertAlign w:val="baseline"/>
        </w:rPr>
        <w:t> </w:t>
      </w:r>
      <w:r>
        <w:rPr>
          <w:sz w:val="18"/>
          <w:vertAlign w:val="baseline"/>
        </w:rPr>
        <w:t>Men</w:t>
      </w:r>
      <w:r>
        <w:rPr>
          <w:spacing w:val="-2"/>
          <w:sz w:val="18"/>
          <w:vertAlign w:val="baseline"/>
        </w:rPr>
        <w:t> </w:t>
      </w:r>
      <w:r>
        <w:rPr>
          <w:sz w:val="18"/>
          <w:vertAlign w:val="baseline"/>
        </w:rPr>
        <w:t>at</w:t>
      </w:r>
      <w:r>
        <w:rPr>
          <w:spacing w:val="-3"/>
          <w:sz w:val="18"/>
          <w:vertAlign w:val="baseline"/>
        </w:rPr>
        <w:t> </w:t>
      </w:r>
      <w:r>
        <w:rPr>
          <w:sz w:val="18"/>
          <w:vertAlign w:val="baseline"/>
        </w:rPr>
        <w:t>Risk</w:t>
      </w:r>
      <w:r>
        <w:rPr>
          <w:spacing w:val="-3"/>
          <w:sz w:val="18"/>
          <w:vertAlign w:val="baseline"/>
        </w:rPr>
        <w:t> </w:t>
      </w:r>
      <w:r>
        <w:rPr>
          <w:sz w:val="18"/>
          <w:vertAlign w:val="baseline"/>
        </w:rPr>
        <w:t>for</w:t>
      </w:r>
      <w:r>
        <w:rPr>
          <w:spacing w:val="-3"/>
          <w:sz w:val="18"/>
          <w:vertAlign w:val="baseline"/>
        </w:rPr>
        <w:t> </w:t>
      </w:r>
      <w:r>
        <w:rPr>
          <w:sz w:val="18"/>
          <w:vertAlign w:val="baseline"/>
        </w:rPr>
        <w:t>Depression</w:t>
      </w:r>
      <w:r>
        <w:rPr>
          <w:spacing w:val="-2"/>
          <w:sz w:val="18"/>
          <w:vertAlign w:val="baseline"/>
        </w:rPr>
        <w:t> </w:t>
      </w:r>
      <w:r>
        <w:rPr>
          <w:sz w:val="18"/>
          <w:vertAlign w:val="baseline"/>
        </w:rPr>
        <w:t>and</w:t>
      </w:r>
      <w:r>
        <w:rPr>
          <w:spacing w:val="-2"/>
          <w:sz w:val="18"/>
          <w:vertAlign w:val="baseline"/>
        </w:rPr>
        <w:t> </w:t>
      </w:r>
      <w:r>
        <w:rPr>
          <w:sz w:val="18"/>
          <w:vertAlign w:val="baseline"/>
        </w:rPr>
        <w:t>Lack</w:t>
      </w:r>
      <w:r>
        <w:rPr>
          <w:spacing w:val="-3"/>
          <w:sz w:val="18"/>
          <w:vertAlign w:val="baseline"/>
        </w:rPr>
        <w:t> </w:t>
      </w:r>
      <w:r>
        <w:rPr>
          <w:sz w:val="18"/>
          <w:vertAlign w:val="baseline"/>
        </w:rPr>
        <w:t>of</w:t>
      </w:r>
      <w:r>
        <w:rPr>
          <w:spacing w:val="-3"/>
          <w:sz w:val="18"/>
          <w:vertAlign w:val="baseline"/>
        </w:rPr>
        <w:t> </w:t>
      </w:r>
      <w:r>
        <w:rPr>
          <w:sz w:val="18"/>
          <w:vertAlign w:val="baseline"/>
        </w:rPr>
        <w:t>Care,</w:t>
      </w:r>
      <w:r>
        <w:rPr>
          <w:spacing w:val="-3"/>
          <w:sz w:val="18"/>
          <w:vertAlign w:val="baseline"/>
        </w:rPr>
        <w:t> </w:t>
      </w:r>
      <w:r>
        <w:rPr>
          <w:sz w:val="18"/>
          <w:vertAlign w:val="baseline"/>
        </w:rPr>
        <w:t>Rutgers</w:t>
      </w:r>
      <w:r>
        <w:rPr>
          <w:spacing w:val="-2"/>
          <w:sz w:val="18"/>
          <w:vertAlign w:val="baseline"/>
        </w:rPr>
        <w:t> </w:t>
      </w:r>
      <w:r>
        <w:rPr>
          <w:sz w:val="18"/>
          <w:vertAlign w:val="baseline"/>
        </w:rPr>
        <w:t>Study</w:t>
      </w:r>
      <w:r>
        <w:rPr>
          <w:spacing w:val="-2"/>
          <w:sz w:val="18"/>
          <w:vertAlign w:val="baseline"/>
        </w:rPr>
        <w:t> </w:t>
      </w:r>
      <w:r>
        <w:rPr>
          <w:sz w:val="18"/>
          <w:vertAlign w:val="baseline"/>
        </w:rPr>
        <w:t>Finds,”</w:t>
      </w:r>
      <w:r>
        <w:rPr>
          <w:spacing w:val="-2"/>
          <w:sz w:val="18"/>
          <w:vertAlign w:val="baseline"/>
        </w:rPr>
        <w:t> </w:t>
      </w:r>
      <w:r>
        <w:rPr>
          <w:sz w:val="18"/>
          <w:vertAlign w:val="baseline"/>
        </w:rPr>
        <w:t>accessed</w:t>
      </w:r>
      <w:r>
        <w:rPr>
          <w:spacing w:val="-3"/>
          <w:sz w:val="18"/>
          <w:vertAlign w:val="baseline"/>
        </w:rPr>
        <w:t> </w:t>
      </w:r>
      <w:r>
        <w:rPr>
          <w:sz w:val="18"/>
          <w:vertAlign w:val="baseline"/>
        </w:rPr>
        <w:t>August</w:t>
      </w:r>
      <w:r>
        <w:rPr>
          <w:spacing w:val="-3"/>
          <w:sz w:val="18"/>
          <w:vertAlign w:val="baseline"/>
        </w:rPr>
        <w:t> </w:t>
      </w:r>
      <w:r>
        <w:rPr>
          <w:sz w:val="18"/>
          <w:vertAlign w:val="baseline"/>
        </w:rPr>
        <w:t>1,</w:t>
      </w:r>
      <w:r>
        <w:rPr>
          <w:spacing w:val="-3"/>
          <w:sz w:val="18"/>
          <w:vertAlign w:val="baseline"/>
        </w:rPr>
        <w:t> </w:t>
      </w:r>
      <w:r>
        <w:rPr>
          <w:sz w:val="18"/>
          <w:vertAlign w:val="baseline"/>
        </w:rPr>
        <w:t>2022, </w:t>
      </w:r>
      <w:hyperlink r:id="rId346">
        <w:r>
          <w:rPr>
            <w:color w:val="0561C1"/>
            <w:spacing w:val="-2"/>
            <w:sz w:val="18"/>
            <w:u w:val="single" w:color="0561C1"/>
            <w:vertAlign w:val="baseline"/>
          </w:rPr>
          <w:t>https://www.rutgers.edu/news/pregnant-transgender-men-risk-depression-and-lack-care-rutgers-study-finds</w:t>
        </w:r>
      </w:hyperlink>
      <w:hyperlink r:id="rId346">
        <w:r>
          <w:rPr>
            <w:spacing w:val="-2"/>
            <w:sz w:val="18"/>
            <w:u w:val="none"/>
            <w:vertAlign w:val="baseline"/>
          </w:rPr>
          <w:t>.</w:t>
        </w:r>
      </w:hyperlink>
    </w:p>
    <w:p>
      <w:pPr>
        <w:spacing w:before="0"/>
        <w:ind w:left="463" w:right="1810" w:hanging="1"/>
        <w:jc w:val="left"/>
        <w:rPr>
          <w:sz w:val="18"/>
        </w:rPr>
      </w:pPr>
      <w:bookmarkStart w:name="_bookmark229" w:id="419"/>
      <w:bookmarkEnd w:id="419"/>
      <w:r>
        <w:rPr/>
      </w:r>
      <w:r>
        <w:rPr>
          <w:sz w:val="18"/>
          <w:vertAlign w:val="superscript"/>
        </w:rPr>
        <w:t>36</w:t>
      </w:r>
      <w:r>
        <w:rPr>
          <w:spacing w:val="-13"/>
          <w:sz w:val="18"/>
          <w:vertAlign w:val="baseline"/>
        </w:rPr>
        <w:t> </w:t>
      </w:r>
      <w:r>
        <w:rPr>
          <w:sz w:val="18"/>
          <w:vertAlign w:val="baseline"/>
        </w:rPr>
        <w:t>“Suicide</w:t>
      </w:r>
      <w:r>
        <w:rPr>
          <w:spacing w:val="-5"/>
          <w:sz w:val="18"/>
          <w:vertAlign w:val="baseline"/>
        </w:rPr>
        <w:t> </w:t>
      </w:r>
      <w:r>
        <w:rPr>
          <w:sz w:val="18"/>
          <w:vertAlign w:val="baseline"/>
        </w:rPr>
        <w:t>Thoughts</w:t>
      </w:r>
      <w:r>
        <w:rPr>
          <w:spacing w:val="-3"/>
          <w:sz w:val="18"/>
          <w:vertAlign w:val="baseline"/>
        </w:rPr>
        <w:t> </w:t>
      </w:r>
      <w:r>
        <w:rPr>
          <w:sz w:val="18"/>
          <w:vertAlign w:val="baseline"/>
        </w:rPr>
        <w:t>and</w:t>
      </w:r>
      <w:r>
        <w:rPr>
          <w:spacing w:val="-4"/>
          <w:sz w:val="18"/>
          <w:vertAlign w:val="baseline"/>
        </w:rPr>
        <w:t> </w:t>
      </w:r>
      <w:r>
        <w:rPr>
          <w:sz w:val="18"/>
          <w:vertAlign w:val="baseline"/>
        </w:rPr>
        <w:t>Attempts</w:t>
      </w:r>
      <w:r>
        <w:rPr>
          <w:spacing w:val="-3"/>
          <w:sz w:val="18"/>
          <w:vertAlign w:val="baseline"/>
        </w:rPr>
        <w:t> </w:t>
      </w:r>
      <w:r>
        <w:rPr>
          <w:sz w:val="18"/>
          <w:vertAlign w:val="baseline"/>
        </w:rPr>
        <w:t>Among</w:t>
      </w:r>
      <w:r>
        <w:rPr>
          <w:spacing w:val="-3"/>
          <w:sz w:val="18"/>
          <w:vertAlign w:val="baseline"/>
        </w:rPr>
        <w:t> </w:t>
      </w:r>
      <w:r>
        <w:rPr>
          <w:sz w:val="18"/>
          <w:vertAlign w:val="baseline"/>
        </w:rPr>
        <w:t>Transgender</w:t>
      </w:r>
      <w:r>
        <w:rPr>
          <w:spacing w:val="-4"/>
          <w:sz w:val="18"/>
          <w:vertAlign w:val="baseline"/>
        </w:rPr>
        <w:t> </w:t>
      </w:r>
      <w:r>
        <w:rPr>
          <w:sz w:val="18"/>
          <w:vertAlign w:val="baseline"/>
        </w:rPr>
        <w:t>Adults,”</w:t>
      </w:r>
      <w:r>
        <w:rPr>
          <w:spacing w:val="-3"/>
          <w:sz w:val="18"/>
          <w:vertAlign w:val="baseline"/>
        </w:rPr>
        <w:t> </w:t>
      </w:r>
      <w:r>
        <w:rPr>
          <w:sz w:val="18"/>
          <w:vertAlign w:val="baseline"/>
        </w:rPr>
        <w:t>Williams</w:t>
      </w:r>
      <w:r>
        <w:rPr>
          <w:spacing w:val="-3"/>
          <w:sz w:val="18"/>
          <w:vertAlign w:val="baseline"/>
        </w:rPr>
        <w:t> </w:t>
      </w:r>
      <w:r>
        <w:rPr>
          <w:sz w:val="18"/>
          <w:vertAlign w:val="baseline"/>
        </w:rPr>
        <w:t>Institute,</w:t>
      </w:r>
      <w:r>
        <w:rPr>
          <w:spacing w:val="-4"/>
          <w:sz w:val="18"/>
          <w:vertAlign w:val="baseline"/>
        </w:rPr>
        <w:t> </w:t>
      </w:r>
      <w:r>
        <w:rPr>
          <w:sz w:val="18"/>
          <w:vertAlign w:val="baseline"/>
        </w:rPr>
        <w:t>accessed</w:t>
      </w:r>
      <w:r>
        <w:rPr>
          <w:spacing w:val="-3"/>
          <w:sz w:val="18"/>
          <w:vertAlign w:val="baseline"/>
        </w:rPr>
        <w:t> </w:t>
      </w:r>
      <w:r>
        <w:rPr>
          <w:sz w:val="18"/>
          <w:vertAlign w:val="baseline"/>
        </w:rPr>
        <w:t>August</w:t>
      </w:r>
      <w:r>
        <w:rPr>
          <w:spacing w:val="-4"/>
          <w:sz w:val="18"/>
          <w:vertAlign w:val="baseline"/>
        </w:rPr>
        <w:t> </w:t>
      </w:r>
      <w:r>
        <w:rPr>
          <w:sz w:val="18"/>
          <w:vertAlign w:val="baseline"/>
        </w:rPr>
        <w:t>12,</w:t>
      </w:r>
      <w:r>
        <w:rPr>
          <w:spacing w:val="-4"/>
          <w:sz w:val="18"/>
          <w:vertAlign w:val="baseline"/>
        </w:rPr>
        <w:t> </w:t>
      </w:r>
      <w:r>
        <w:rPr>
          <w:sz w:val="18"/>
          <w:vertAlign w:val="baseline"/>
        </w:rPr>
        <w:t>2022, </w:t>
      </w:r>
      <w:hyperlink r:id="rId347">
        <w:r>
          <w:rPr>
            <w:color w:val="0561C1"/>
            <w:spacing w:val="-2"/>
            <w:sz w:val="18"/>
            <w:u w:val="single" w:color="0561C1"/>
            <w:vertAlign w:val="baseline"/>
          </w:rPr>
          <w:t>https://williamsinstitute.law.ucla.edu/publications/suicidality-transgender-adults/</w:t>
        </w:r>
      </w:hyperlink>
      <w:hyperlink r:id="rId347">
        <w:r>
          <w:rPr>
            <w:spacing w:val="-2"/>
            <w:sz w:val="18"/>
            <w:u w:val="none"/>
            <w:vertAlign w:val="baseline"/>
          </w:rPr>
          <w:t>.</w:t>
        </w:r>
      </w:hyperlink>
    </w:p>
    <w:p>
      <w:pPr>
        <w:spacing w:after="0"/>
        <w:jc w:val="left"/>
        <w:rPr>
          <w:sz w:val="18"/>
        </w:rPr>
        <w:sectPr>
          <w:pgSz w:w="12240" w:h="15840"/>
          <w:pgMar w:header="800" w:footer="1530" w:top="1080" w:bottom="1760" w:left="980" w:right="1000"/>
        </w:sectPr>
      </w:pPr>
    </w:p>
    <w:p>
      <w:pPr>
        <w:spacing w:before="68"/>
        <w:ind w:left="463" w:right="296" w:firstLine="0"/>
        <w:jc w:val="left"/>
        <w:rPr>
          <w:sz w:val="18"/>
        </w:rPr>
      </w:pPr>
      <w:bookmarkStart w:name="_bookmark230" w:id="420"/>
      <w:bookmarkEnd w:id="420"/>
      <w:r>
        <w:rPr/>
      </w:r>
      <w:r>
        <w:rPr>
          <w:sz w:val="18"/>
          <w:vertAlign w:val="superscript"/>
        </w:rPr>
        <w:t>37</w:t>
      </w:r>
      <w:r>
        <w:rPr>
          <w:spacing w:val="-11"/>
          <w:sz w:val="18"/>
          <w:vertAlign w:val="baseline"/>
        </w:rPr>
        <w:t> </w:t>
      </w:r>
      <w:r>
        <w:rPr>
          <w:sz w:val="18"/>
          <w:vertAlign w:val="baseline"/>
        </w:rPr>
        <w:t>Carla A. Pfeffer, “Transgender Men and Nonbinary People Are Asked to Stop Testosterone Therapy during Pregnancy – but the Evidence for This Guidance Is Still Murky,” The Conversation, accessed December 5, 2022, </w:t>
      </w:r>
      <w:hyperlink r:id="rId348">
        <w:r>
          <w:rPr>
            <w:color w:val="0561C1"/>
            <w:sz w:val="18"/>
            <w:u w:val="single" w:color="0561C1"/>
            <w:vertAlign w:val="baseline"/>
          </w:rPr>
          <w:t>http://theconversation.com/transgender-men-and-nonbinary-people-are-asked-to-stop-testosterone-therapy-during-</w:t>
        </w:r>
      </w:hyperlink>
      <w:r>
        <w:rPr>
          <w:color w:val="0561C1"/>
          <w:spacing w:val="-11"/>
          <w:sz w:val="18"/>
          <w:u w:val="single" w:color="0561C1"/>
          <w:vertAlign w:val="baseline"/>
        </w:rPr>
        <w:t> </w:t>
      </w:r>
      <w:hyperlink r:id="rId348">
        <w:r>
          <w:rPr>
            <w:color w:val="0561C1"/>
            <w:sz w:val="18"/>
            <w:u w:val="single" w:color="0561C1"/>
            <w:vertAlign w:val="baseline"/>
          </w:rPr>
          <w:t>pregnancy-</w:t>
        </w:r>
      </w:hyperlink>
      <w:r>
        <w:rPr>
          <w:color w:val="0561C1"/>
          <w:sz w:val="18"/>
          <w:u w:val="none"/>
          <w:vertAlign w:val="baseline"/>
        </w:rPr>
        <w:t> </w:t>
      </w:r>
      <w:bookmarkStart w:name="_bookmark231" w:id="421"/>
      <w:bookmarkEnd w:id="421"/>
      <w:r>
        <w:rPr>
          <w:color w:val="0561C1"/>
          <w:sz w:val="18"/>
          <w:u w:val="none"/>
          <w:vertAlign w:val="baseline"/>
        </w:rPr>
      </w:r>
      <w:hyperlink r:id="rId348">
        <w:r>
          <w:rPr>
            <w:color w:val="0561C1"/>
            <w:spacing w:val="-2"/>
            <w:sz w:val="18"/>
            <w:u w:val="single" w:color="0561C1"/>
            <w:vertAlign w:val="baseline"/>
          </w:rPr>
          <w:t>but-the-evidence-for-this-guidance-is-still-murky-187672</w:t>
        </w:r>
      </w:hyperlink>
      <w:hyperlink r:id="rId348">
        <w:r>
          <w:rPr>
            <w:spacing w:val="-2"/>
            <w:sz w:val="18"/>
            <w:u w:val="none"/>
            <w:vertAlign w:val="baseline"/>
          </w:rPr>
          <w:t>.</w:t>
        </w:r>
      </w:hyperlink>
    </w:p>
    <w:p>
      <w:pPr>
        <w:spacing w:before="1"/>
        <w:ind w:left="463" w:right="0" w:firstLine="0"/>
        <w:jc w:val="left"/>
        <w:rPr>
          <w:sz w:val="18"/>
        </w:rPr>
      </w:pPr>
      <w:r>
        <w:rPr>
          <w:sz w:val="18"/>
          <w:vertAlign w:val="superscript"/>
        </w:rPr>
        <w:t>38</w:t>
      </w:r>
      <w:r>
        <w:rPr>
          <w:spacing w:val="-15"/>
          <w:sz w:val="18"/>
          <w:vertAlign w:val="baseline"/>
        </w:rPr>
        <w:t> </w:t>
      </w:r>
      <w:bookmarkStart w:name="_bookmark232" w:id="422"/>
      <w:bookmarkEnd w:id="422"/>
      <w:r>
        <w:rPr>
          <w:sz w:val="18"/>
          <w:vertAlign w:val="baseline"/>
        </w:rPr>
        <w:t>“</w:t>
      </w:r>
      <w:r>
        <w:rPr>
          <w:sz w:val="18"/>
          <w:vertAlign w:val="baseline"/>
        </w:rPr>
        <w:t>Infertility,”</w:t>
      </w:r>
      <w:r>
        <w:rPr>
          <w:spacing w:val="-10"/>
          <w:sz w:val="18"/>
          <w:vertAlign w:val="baseline"/>
        </w:rPr>
        <w:t> </w:t>
      </w:r>
      <w:r>
        <w:rPr>
          <w:sz w:val="18"/>
          <w:vertAlign w:val="baseline"/>
        </w:rPr>
        <w:t>accessed</w:t>
      </w:r>
      <w:r>
        <w:rPr>
          <w:spacing w:val="-6"/>
          <w:sz w:val="18"/>
          <w:vertAlign w:val="baseline"/>
        </w:rPr>
        <w:t> </w:t>
      </w:r>
      <w:r>
        <w:rPr>
          <w:sz w:val="18"/>
          <w:vertAlign w:val="baseline"/>
        </w:rPr>
        <w:t>December</w:t>
      </w:r>
      <w:r>
        <w:rPr>
          <w:spacing w:val="-6"/>
          <w:sz w:val="18"/>
          <w:vertAlign w:val="baseline"/>
        </w:rPr>
        <w:t> </w:t>
      </w:r>
      <w:r>
        <w:rPr>
          <w:sz w:val="18"/>
          <w:vertAlign w:val="baseline"/>
        </w:rPr>
        <w:t>4,</w:t>
      </w:r>
      <w:r>
        <w:rPr>
          <w:spacing w:val="-7"/>
          <w:sz w:val="18"/>
          <w:vertAlign w:val="baseline"/>
        </w:rPr>
        <w:t> </w:t>
      </w:r>
      <w:r>
        <w:rPr>
          <w:sz w:val="18"/>
          <w:vertAlign w:val="baseline"/>
        </w:rPr>
        <w:t>2022,</w:t>
      </w:r>
      <w:r>
        <w:rPr>
          <w:spacing w:val="-6"/>
          <w:sz w:val="18"/>
          <w:vertAlign w:val="baseline"/>
        </w:rPr>
        <w:t> </w:t>
      </w:r>
      <w:hyperlink r:id="rId349">
        <w:r>
          <w:rPr>
            <w:color w:val="0561C1"/>
            <w:sz w:val="18"/>
            <w:u w:val="single" w:color="0561C1"/>
            <w:vertAlign w:val="baseline"/>
          </w:rPr>
          <w:t>https://www.who.int/news-room/fact-</w:t>
        </w:r>
        <w:r>
          <w:rPr>
            <w:color w:val="0561C1"/>
            <w:spacing w:val="-2"/>
            <w:sz w:val="18"/>
            <w:u w:val="single" w:color="0561C1"/>
            <w:vertAlign w:val="baseline"/>
          </w:rPr>
          <w:t>sheets/detail/infertility</w:t>
        </w:r>
      </w:hyperlink>
      <w:hyperlink r:id="rId349">
        <w:r>
          <w:rPr>
            <w:spacing w:val="-2"/>
            <w:sz w:val="18"/>
            <w:u w:val="none"/>
            <w:vertAlign w:val="baseline"/>
          </w:rPr>
          <w:t>.</w:t>
        </w:r>
      </w:hyperlink>
    </w:p>
    <w:p>
      <w:pPr>
        <w:spacing w:before="0"/>
        <w:ind w:left="463" w:right="391" w:hanging="1"/>
        <w:jc w:val="left"/>
        <w:rPr>
          <w:sz w:val="18"/>
        </w:rPr>
      </w:pPr>
      <w:r>
        <w:rPr>
          <w:sz w:val="18"/>
          <w:vertAlign w:val="superscript"/>
        </w:rPr>
        <w:t>39</w:t>
      </w:r>
      <w:r>
        <w:rPr>
          <w:spacing w:val="-13"/>
          <w:sz w:val="18"/>
          <w:vertAlign w:val="baseline"/>
        </w:rPr>
        <w:t> </w:t>
      </w:r>
      <w:r>
        <w:rPr>
          <w:sz w:val="18"/>
          <w:vertAlign w:val="baseline"/>
        </w:rPr>
        <w:t>Janelle</w:t>
      </w:r>
      <w:r>
        <w:rPr>
          <w:spacing w:val="-4"/>
          <w:sz w:val="18"/>
          <w:vertAlign w:val="baseline"/>
        </w:rPr>
        <w:t> </w:t>
      </w:r>
      <w:r>
        <w:rPr>
          <w:sz w:val="18"/>
          <w:vertAlign w:val="baseline"/>
        </w:rPr>
        <w:t>M.</w:t>
      </w:r>
      <w:r>
        <w:rPr>
          <w:spacing w:val="-3"/>
          <w:sz w:val="18"/>
          <w:vertAlign w:val="baseline"/>
        </w:rPr>
        <w:t> </w:t>
      </w:r>
      <w:r>
        <w:rPr>
          <w:sz w:val="18"/>
          <w:vertAlign w:val="baseline"/>
        </w:rPr>
        <w:t>Downing,</w:t>
      </w:r>
      <w:r>
        <w:rPr>
          <w:spacing w:val="-4"/>
          <w:sz w:val="18"/>
          <w:vertAlign w:val="baseline"/>
        </w:rPr>
        <w:t> </w:t>
      </w:r>
      <w:r>
        <w:rPr>
          <w:sz w:val="18"/>
          <w:vertAlign w:val="baseline"/>
        </w:rPr>
        <w:t>“Pathways</w:t>
      </w:r>
      <w:r>
        <w:rPr>
          <w:spacing w:val="-3"/>
          <w:sz w:val="18"/>
          <w:vertAlign w:val="baseline"/>
        </w:rPr>
        <w:t> </w:t>
      </w:r>
      <w:r>
        <w:rPr>
          <w:sz w:val="18"/>
          <w:vertAlign w:val="baseline"/>
        </w:rPr>
        <w:t>to</w:t>
      </w:r>
      <w:r>
        <w:rPr>
          <w:spacing w:val="-3"/>
          <w:sz w:val="18"/>
          <w:vertAlign w:val="baseline"/>
        </w:rPr>
        <w:t> </w:t>
      </w:r>
      <w:r>
        <w:rPr>
          <w:sz w:val="18"/>
          <w:vertAlign w:val="baseline"/>
        </w:rPr>
        <w:t>Pregnancy</w:t>
      </w:r>
      <w:r>
        <w:rPr>
          <w:spacing w:val="-4"/>
          <w:sz w:val="18"/>
          <w:vertAlign w:val="baseline"/>
        </w:rPr>
        <w:t> </w:t>
      </w:r>
      <w:r>
        <w:rPr>
          <w:sz w:val="18"/>
          <w:vertAlign w:val="baseline"/>
        </w:rPr>
        <w:t>for</w:t>
      </w:r>
      <w:r>
        <w:rPr>
          <w:spacing w:val="-4"/>
          <w:sz w:val="18"/>
          <w:vertAlign w:val="baseline"/>
        </w:rPr>
        <w:t> </w:t>
      </w:r>
      <w:r>
        <w:rPr>
          <w:sz w:val="18"/>
          <w:vertAlign w:val="baseline"/>
        </w:rPr>
        <w:t>Sexual</w:t>
      </w:r>
      <w:r>
        <w:rPr>
          <w:spacing w:val="-4"/>
          <w:sz w:val="18"/>
          <w:vertAlign w:val="baseline"/>
        </w:rPr>
        <w:t> </w:t>
      </w:r>
      <w:r>
        <w:rPr>
          <w:sz w:val="18"/>
          <w:vertAlign w:val="baseline"/>
        </w:rPr>
        <w:t>Minority</w:t>
      </w:r>
      <w:r>
        <w:rPr>
          <w:spacing w:val="-3"/>
          <w:sz w:val="18"/>
          <w:vertAlign w:val="baseline"/>
        </w:rPr>
        <w:t> </w:t>
      </w:r>
      <w:r>
        <w:rPr>
          <w:sz w:val="18"/>
          <w:vertAlign w:val="baseline"/>
        </w:rPr>
        <w:t>Women</w:t>
      </w:r>
      <w:r>
        <w:rPr>
          <w:spacing w:val="-3"/>
          <w:sz w:val="18"/>
          <w:vertAlign w:val="baseline"/>
        </w:rPr>
        <w:t> </w:t>
      </w:r>
      <w:r>
        <w:rPr>
          <w:sz w:val="18"/>
          <w:vertAlign w:val="baseline"/>
        </w:rPr>
        <w:t>in</w:t>
      </w:r>
      <w:r>
        <w:rPr>
          <w:spacing w:val="-3"/>
          <w:sz w:val="18"/>
          <w:vertAlign w:val="baseline"/>
        </w:rPr>
        <w:t> </w:t>
      </w:r>
      <w:r>
        <w:rPr>
          <w:sz w:val="18"/>
          <w:vertAlign w:val="baseline"/>
        </w:rPr>
        <w:t>Same-Sex</w:t>
      </w:r>
      <w:r>
        <w:rPr>
          <w:spacing w:val="-3"/>
          <w:sz w:val="18"/>
          <w:vertAlign w:val="baseline"/>
        </w:rPr>
        <w:t> </w:t>
      </w:r>
      <w:r>
        <w:rPr>
          <w:sz w:val="18"/>
          <w:vertAlign w:val="baseline"/>
        </w:rPr>
        <w:t>Marriages,”</w:t>
      </w:r>
      <w:r>
        <w:rPr>
          <w:spacing w:val="-3"/>
          <w:sz w:val="18"/>
          <w:vertAlign w:val="baseline"/>
        </w:rPr>
        <w:t> </w:t>
      </w:r>
      <w:r>
        <w:rPr>
          <w:i/>
          <w:sz w:val="18"/>
          <w:vertAlign w:val="baseline"/>
        </w:rPr>
        <w:t>American</w:t>
      </w:r>
      <w:r>
        <w:rPr>
          <w:i/>
          <w:spacing w:val="-3"/>
          <w:sz w:val="18"/>
          <w:vertAlign w:val="baseline"/>
        </w:rPr>
        <w:t> </w:t>
      </w:r>
      <w:r>
        <w:rPr>
          <w:i/>
          <w:sz w:val="18"/>
          <w:vertAlign w:val="baseline"/>
        </w:rPr>
        <w:t>Journal</w:t>
      </w:r>
      <w:r>
        <w:rPr>
          <w:i/>
          <w:spacing w:val="-4"/>
          <w:sz w:val="18"/>
          <w:vertAlign w:val="baseline"/>
        </w:rPr>
        <w:t> </w:t>
      </w:r>
      <w:r>
        <w:rPr>
          <w:i/>
          <w:sz w:val="18"/>
          <w:vertAlign w:val="baseline"/>
        </w:rPr>
        <w:t>of</w:t>
      </w:r>
      <w:r>
        <w:rPr>
          <w:i/>
          <w:sz w:val="18"/>
          <w:vertAlign w:val="baseline"/>
        </w:rPr>
        <w:t> </w:t>
      </w:r>
      <w:bookmarkStart w:name="_bookmark233" w:id="423"/>
      <w:bookmarkEnd w:id="423"/>
      <w:r>
        <w:rPr>
          <w:i/>
          <w:sz w:val="18"/>
          <w:vertAlign w:val="baseline"/>
        </w:rPr>
        <w:t>Obs</w:t>
      </w:r>
      <w:r>
        <w:rPr>
          <w:i/>
          <w:sz w:val="18"/>
          <w:vertAlign w:val="baseline"/>
        </w:rPr>
        <w:t>tetrics and Gynecology </w:t>
      </w:r>
      <w:r>
        <w:rPr>
          <w:sz w:val="18"/>
          <w:vertAlign w:val="baseline"/>
        </w:rPr>
        <w:t>221, no. 3 (September 2019): 281–82, </w:t>
      </w:r>
      <w:hyperlink r:id="rId350">
        <w:r>
          <w:rPr>
            <w:color w:val="0561C1"/>
            <w:sz w:val="18"/>
            <w:u w:val="single" w:color="0561C1"/>
            <w:vertAlign w:val="baseline"/>
          </w:rPr>
          <w:t>https://doi.org/10.1016/j.ajog.2019.04.019</w:t>
        </w:r>
      </w:hyperlink>
      <w:hyperlink r:id="rId350">
        <w:r>
          <w:rPr>
            <w:sz w:val="18"/>
            <w:u w:val="none"/>
            <w:vertAlign w:val="baseline"/>
          </w:rPr>
          <w:t>.</w:t>
        </w:r>
      </w:hyperlink>
    </w:p>
    <w:p>
      <w:pPr>
        <w:spacing w:before="0"/>
        <w:ind w:left="463" w:right="261" w:hanging="1"/>
        <w:jc w:val="left"/>
        <w:rPr>
          <w:sz w:val="18"/>
        </w:rPr>
      </w:pPr>
      <w:r>
        <w:rPr>
          <w:sz w:val="18"/>
          <w:vertAlign w:val="superscript"/>
        </w:rPr>
        <w:t>40</w:t>
      </w:r>
      <w:r>
        <w:rPr>
          <w:spacing w:val="-13"/>
          <w:sz w:val="18"/>
          <w:vertAlign w:val="baseline"/>
        </w:rPr>
        <w:t> </w:t>
      </w:r>
      <w:r>
        <w:rPr>
          <w:sz w:val="18"/>
          <w:vertAlign w:val="baseline"/>
        </w:rPr>
        <w:t>Margot</w:t>
      </w:r>
      <w:r>
        <w:rPr>
          <w:spacing w:val="-5"/>
          <w:sz w:val="18"/>
          <w:vertAlign w:val="baseline"/>
        </w:rPr>
        <w:t> </w:t>
      </w:r>
      <w:r>
        <w:rPr>
          <w:sz w:val="18"/>
          <w:vertAlign w:val="baseline"/>
        </w:rPr>
        <w:t>Kelly-Hedrick,</w:t>
      </w:r>
      <w:r>
        <w:rPr>
          <w:spacing w:val="-4"/>
          <w:sz w:val="18"/>
          <w:vertAlign w:val="baseline"/>
        </w:rPr>
        <w:t> </w:t>
      </w:r>
      <w:r>
        <w:rPr>
          <w:sz w:val="18"/>
          <w:vertAlign w:val="baseline"/>
        </w:rPr>
        <w:t>“DISPARITIES</w:t>
      </w:r>
      <w:r>
        <w:rPr>
          <w:spacing w:val="-3"/>
          <w:sz w:val="18"/>
          <w:vertAlign w:val="baseline"/>
        </w:rPr>
        <w:t> </w:t>
      </w:r>
      <w:r>
        <w:rPr>
          <w:sz w:val="18"/>
          <w:vertAlign w:val="baseline"/>
        </w:rPr>
        <w:t>IN</w:t>
      </w:r>
      <w:r>
        <w:rPr>
          <w:spacing w:val="-3"/>
          <w:sz w:val="18"/>
          <w:vertAlign w:val="baseline"/>
        </w:rPr>
        <w:t> </w:t>
      </w:r>
      <w:r>
        <w:rPr>
          <w:sz w:val="18"/>
          <w:vertAlign w:val="baseline"/>
        </w:rPr>
        <w:t>ACCESS</w:t>
      </w:r>
      <w:r>
        <w:rPr>
          <w:spacing w:val="-3"/>
          <w:sz w:val="18"/>
          <w:vertAlign w:val="baseline"/>
        </w:rPr>
        <w:t> </w:t>
      </w:r>
      <w:r>
        <w:rPr>
          <w:sz w:val="18"/>
          <w:vertAlign w:val="baseline"/>
        </w:rPr>
        <w:t>TO</w:t>
      </w:r>
      <w:r>
        <w:rPr>
          <w:spacing w:val="-4"/>
          <w:sz w:val="18"/>
          <w:vertAlign w:val="baseline"/>
        </w:rPr>
        <w:t> </w:t>
      </w:r>
      <w:r>
        <w:rPr>
          <w:sz w:val="18"/>
          <w:vertAlign w:val="baseline"/>
        </w:rPr>
        <w:t>FERTILITY</w:t>
      </w:r>
      <w:r>
        <w:rPr>
          <w:spacing w:val="-3"/>
          <w:sz w:val="18"/>
          <w:vertAlign w:val="baseline"/>
        </w:rPr>
        <w:t> </w:t>
      </w:r>
      <w:r>
        <w:rPr>
          <w:sz w:val="18"/>
          <w:vertAlign w:val="baseline"/>
        </w:rPr>
        <w:t>CARE</w:t>
      </w:r>
      <w:r>
        <w:rPr>
          <w:spacing w:val="-4"/>
          <w:sz w:val="18"/>
          <w:vertAlign w:val="baseline"/>
        </w:rPr>
        <w:t> </w:t>
      </w:r>
      <w:r>
        <w:rPr>
          <w:sz w:val="18"/>
          <w:vertAlign w:val="baseline"/>
        </w:rPr>
        <w:t>IN</w:t>
      </w:r>
      <w:r>
        <w:rPr>
          <w:spacing w:val="-3"/>
          <w:sz w:val="18"/>
          <w:vertAlign w:val="baseline"/>
        </w:rPr>
        <w:t> </w:t>
      </w:r>
      <w:r>
        <w:rPr>
          <w:sz w:val="18"/>
          <w:vertAlign w:val="baseline"/>
        </w:rPr>
        <w:t>THE</w:t>
      </w:r>
      <w:r>
        <w:rPr>
          <w:spacing w:val="-4"/>
          <w:sz w:val="18"/>
          <w:vertAlign w:val="baseline"/>
        </w:rPr>
        <w:t> </w:t>
      </w:r>
      <w:r>
        <w:rPr>
          <w:sz w:val="18"/>
          <w:vertAlign w:val="baseline"/>
        </w:rPr>
        <w:t>UNITED</w:t>
      </w:r>
      <w:r>
        <w:rPr>
          <w:spacing w:val="-4"/>
          <w:sz w:val="18"/>
          <w:vertAlign w:val="baseline"/>
        </w:rPr>
        <w:t> </w:t>
      </w:r>
      <w:r>
        <w:rPr>
          <w:sz w:val="18"/>
          <w:vertAlign w:val="baseline"/>
        </w:rPr>
        <w:t>STATES:</w:t>
      </w:r>
      <w:r>
        <w:rPr>
          <w:spacing w:val="-3"/>
          <w:sz w:val="18"/>
          <w:vertAlign w:val="baseline"/>
        </w:rPr>
        <w:t> </w:t>
      </w:r>
      <w:r>
        <w:rPr>
          <w:sz w:val="18"/>
          <w:vertAlign w:val="baseline"/>
        </w:rPr>
        <w:t>ETHICAL</w:t>
      </w:r>
      <w:r>
        <w:rPr>
          <w:spacing w:val="-3"/>
          <w:sz w:val="18"/>
          <w:vertAlign w:val="baseline"/>
        </w:rPr>
        <w:t> </w:t>
      </w:r>
      <w:r>
        <w:rPr>
          <w:sz w:val="18"/>
          <w:vertAlign w:val="baseline"/>
        </w:rPr>
        <w:t>CONSIDERATIONS</w:t>
      </w:r>
      <w:r>
        <w:rPr>
          <w:spacing w:val="-3"/>
          <w:sz w:val="18"/>
          <w:vertAlign w:val="baseline"/>
        </w:rPr>
        <w:t> </w:t>
      </w:r>
      <w:r>
        <w:rPr>
          <w:sz w:val="18"/>
          <w:vertAlign w:val="baseline"/>
        </w:rPr>
        <w:t>FOR </w:t>
      </w:r>
      <w:bookmarkStart w:name="_bookmark234" w:id="424"/>
      <w:bookmarkEnd w:id="424"/>
      <w:r>
        <w:rPr>
          <w:sz w:val="18"/>
          <w:vertAlign w:val="baseline"/>
        </w:rPr>
        <w:t>E</w:t>
      </w:r>
      <w:r>
        <w:rPr>
          <w:sz w:val="18"/>
          <w:vertAlign w:val="baseline"/>
        </w:rPr>
        <w:t>QUITABLE SOLUTIONS,” n.d., 37.</w:t>
      </w:r>
    </w:p>
    <w:p>
      <w:pPr>
        <w:spacing w:before="0"/>
        <w:ind w:left="463" w:right="0" w:hanging="1"/>
        <w:jc w:val="left"/>
        <w:rPr>
          <w:sz w:val="18"/>
        </w:rPr>
      </w:pPr>
      <w:r>
        <w:rPr>
          <w:sz w:val="18"/>
          <w:vertAlign w:val="superscript"/>
        </w:rPr>
        <w:t>41</w:t>
      </w:r>
      <w:r>
        <w:rPr>
          <w:spacing w:val="-13"/>
          <w:sz w:val="18"/>
          <w:vertAlign w:val="baseline"/>
        </w:rPr>
        <w:t> </w:t>
      </w:r>
      <w:r>
        <w:rPr>
          <w:sz w:val="18"/>
          <w:vertAlign w:val="baseline"/>
        </w:rPr>
        <w:t>Isabel</w:t>
      </w:r>
      <w:r>
        <w:rPr>
          <w:spacing w:val="-4"/>
          <w:sz w:val="18"/>
          <w:vertAlign w:val="baseline"/>
        </w:rPr>
        <w:t> </w:t>
      </w:r>
      <w:r>
        <w:rPr>
          <w:sz w:val="18"/>
          <w:vertAlign w:val="baseline"/>
        </w:rPr>
        <w:t>Galic</w:t>
      </w:r>
      <w:r>
        <w:rPr>
          <w:spacing w:val="-3"/>
          <w:sz w:val="18"/>
          <w:vertAlign w:val="baseline"/>
        </w:rPr>
        <w:t> </w:t>
      </w:r>
      <w:r>
        <w:rPr>
          <w:sz w:val="18"/>
          <w:vertAlign w:val="baseline"/>
        </w:rPr>
        <w:t>et</w:t>
      </w:r>
      <w:r>
        <w:rPr>
          <w:spacing w:val="-4"/>
          <w:sz w:val="18"/>
          <w:vertAlign w:val="baseline"/>
        </w:rPr>
        <w:t> </w:t>
      </w:r>
      <w:r>
        <w:rPr>
          <w:sz w:val="18"/>
          <w:vertAlign w:val="baseline"/>
        </w:rPr>
        <w:t>al.,</w:t>
      </w:r>
      <w:r>
        <w:rPr>
          <w:spacing w:val="-3"/>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Access</w:t>
      </w:r>
      <w:r>
        <w:rPr>
          <w:spacing w:val="-2"/>
          <w:sz w:val="18"/>
          <w:vertAlign w:val="baseline"/>
        </w:rPr>
        <w:t> </w:t>
      </w:r>
      <w:r>
        <w:rPr>
          <w:sz w:val="18"/>
          <w:vertAlign w:val="baseline"/>
        </w:rPr>
        <w:t>to</w:t>
      </w:r>
      <w:r>
        <w:rPr>
          <w:spacing w:val="-2"/>
          <w:sz w:val="18"/>
          <w:vertAlign w:val="baseline"/>
        </w:rPr>
        <w:t> </w:t>
      </w:r>
      <w:r>
        <w:rPr>
          <w:sz w:val="18"/>
          <w:vertAlign w:val="baseline"/>
        </w:rPr>
        <w:t>Fertility</w:t>
      </w:r>
      <w:r>
        <w:rPr>
          <w:spacing w:val="-2"/>
          <w:sz w:val="18"/>
          <w:vertAlign w:val="baseline"/>
        </w:rPr>
        <w:t> </w:t>
      </w:r>
      <w:r>
        <w:rPr>
          <w:sz w:val="18"/>
          <w:vertAlign w:val="baseline"/>
        </w:rPr>
        <w:t>Care:</w:t>
      </w:r>
      <w:r>
        <w:rPr>
          <w:spacing w:val="-2"/>
          <w:sz w:val="18"/>
          <w:vertAlign w:val="baseline"/>
        </w:rPr>
        <w:t> </w:t>
      </w:r>
      <w:r>
        <w:rPr>
          <w:sz w:val="18"/>
          <w:vertAlign w:val="baseline"/>
        </w:rPr>
        <w:t>Who’s</w:t>
      </w:r>
      <w:r>
        <w:rPr>
          <w:spacing w:val="-1"/>
          <w:sz w:val="18"/>
          <w:vertAlign w:val="baseline"/>
        </w:rPr>
        <w:t> </w:t>
      </w:r>
      <w:r>
        <w:rPr>
          <w:sz w:val="18"/>
          <w:vertAlign w:val="baseline"/>
        </w:rPr>
        <w:t>in</w:t>
      </w:r>
      <w:r>
        <w:rPr>
          <w:spacing w:val="-2"/>
          <w:sz w:val="18"/>
          <w:vertAlign w:val="baseline"/>
        </w:rPr>
        <w:t> </w:t>
      </w:r>
      <w:r>
        <w:rPr>
          <w:sz w:val="18"/>
          <w:vertAlign w:val="baseline"/>
        </w:rPr>
        <w:t>and</w:t>
      </w:r>
      <w:r>
        <w:rPr>
          <w:spacing w:val="-2"/>
          <w:sz w:val="18"/>
          <w:vertAlign w:val="baseline"/>
        </w:rPr>
        <w:t> </w:t>
      </w:r>
      <w:r>
        <w:rPr>
          <w:sz w:val="18"/>
          <w:vertAlign w:val="baseline"/>
        </w:rPr>
        <w:t>Who’s</w:t>
      </w:r>
      <w:r>
        <w:rPr>
          <w:spacing w:val="-2"/>
          <w:sz w:val="18"/>
          <w:vertAlign w:val="baseline"/>
        </w:rPr>
        <w:t> </w:t>
      </w:r>
      <w:r>
        <w:rPr>
          <w:sz w:val="18"/>
          <w:vertAlign w:val="baseline"/>
        </w:rPr>
        <w:t>out,”</w:t>
      </w:r>
      <w:r>
        <w:rPr>
          <w:spacing w:val="-2"/>
          <w:sz w:val="18"/>
          <w:vertAlign w:val="baseline"/>
        </w:rPr>
        <w:t> </w:t>
      </w:r>
      <w:r>
        <w:rPr>
          <w:i/>
          <w:sz w:val="18"/>
          <w:vertAlign w:val="baseline"/>
        </w:rPr>
        <w:t>F&amp;S</w:t>
      </w:r>
      <w:r>
        <w:rPr>
          <w:i/>
          <w:spacing w:val="-2"/>
          <w:sz w:val="18"/>
          <w:vertAlign w:val="baseline"/>
        </w:rPr>
        <w:t> </w:t>
      </w:r>
      <w:r>
        <w:rPr>
          <w:i/>
          <w:sz w:val="18"/>
          <w:vertAlign w:val="baseline"/>
        </w:rPr>
        <w:t>Reports</w:t>
      </w:r>
      <w:r>
        <w:rPr>
          <w:i/>
          <w:spacing w:val="-3"/>
          <w:sz w:val="18"/>
          <w:vertAlign w:val="baseline"/>
        </w:rPr>
        <w:t> </w:t>
      </w:r>
      <w:r>
        <w:rPr>
          <w:sz w:val="18"/>
          <w:vertAlign w:val="baseline"/>
        </w:rPr>
        <w:t>2,</w:t>
      </w:r>
      <w:r>
        <w:rPr>
          <w:spacing w:val="-3"/>
          <w:sz w:val="18"/>
          <w:vertAlign w:val="baseline"/>
        </w:rPr>
        <w:t> </w:t>
      </w:r>
      <w:r>
        <w:rPr>
          <w:sz w:val="18"/>
          <w:vertAlign w:val="baseline"/>
        </w:rPr>
        <w:t>no.</w:t>
      </w:r>
      <w:r>
        <w:rPr>
          <w:spacing w:val="-2"/>
          <w:sz w:val="18"/>
          <w:vertAlign w:val="baseline"/>
        </w:rPr>
        <w:t> </w:t>
      </w:r>
      <w:r>
        <w:rPr>
          <w:sz w:val="18"/>
          <w:vertAlign w:val="baseline"/>
        </w:rPr>
        <w:t>1</w:t>
      </w:r>
      <w:r>
        <w:rPr>
          <w:spacing w:val="-2"/>
          <w:sz w:val="18"/>
          <w:vertAlign w:val="baseline"/>
        </w:rPr>
        <w:t> </w:t>
      </w:r>
      <w:r>
        <w:rPr>
          <w:sz w:val="18"/>
          <w:vertAlign w:val="baseline"/>
        </w:rPr>
        <w:t>(November</w:t>
      </w:r>
      <w:r>
        <w:rPr>
          <w:spacing w:val="-3"/>
          <w:sz w:val="18"/>
          <w:vertAlign w:val="baseline"/>
        </w:rPr>
        <w:t> </w:t>
      </w:r>
      <w:r>
        <w:rPr>
          <w:sz w:val="18"/>
          <w:vertAlign w:val="baseline"/>
        </w:rPr>
        <w:t>18,</w:t>
      </w:r>
      <w:r>
        <w:rPr>
          <w:spacing w:val="-3"/>
          <w:sz w:val="18"/>
          <w:vertAlign w:val="baseline"/>
        </w:rPr>
        <w:t> </w:t>
      </w:r>
      <w:r>
        <w:rPr>
          <w:sz w:val="18"/>
          <w:vertAlign w:val="baseline"/>
        </w:rPr>
        <w:t>2020): </w:t>
      </w:r>
      <w:bookmarkStart w:name="_bookmark235" w:id="425"/>
      <w:bookmarkEnd w:id="425"/>
      <w:r>
        <w:rPr>
          <w:sz w:val="18"/>
          <w:vertAlign w:val="baseline"/>
        </w:rPr>
        <w:t>109–17,</w:t>
      </w:r>
      <w:r>
        <w:rPr>
          <w:spacing w:val="-2"/>
          <w:sz w:val="18"/>
          <w:vertAlign w:val="baseline"/>
        </w:rPr>
        <w:t> </w:t>
      </w:r>
      <w:hyperlink r:id="rId351">
        <w:r>
          <w:rPr>
            <w:color w:val="0561C1"/>
            <w:sz w:val="18"/>
            <w:u w:val="single" w:color="0561C1"/>
            <w:vertAlign w:val="baseline"/>
          </w:rPr>
          <w:t>https://doi.org/10.1016/j.xfre.2020.11.001</w:t>
        </w:r>
      </w:hyperlink>
      <w:hyperlink r:id="rId351">
        <w:r>
          <w:rPr>
            <w:sz w:val="18"/>
            <w:u w:val="none"/>
            <w:vertAlign w:val="baseline"/>
          </w:rPr>
          <w:t>.</w:t>
        </w:r>
      </w:hyperlink>
    </w:p>
    <w:p>
      <w:pPr>
        <w:spacing w:before="0"/>
        <w:ind w:left="463" w:right="261" w:hanging="1"/>
        <w:jc w:val="left"/>
        <w:rPr>
          <w:sz w:val="18"/>
        </w:rPr>
      </w:pPr>
      <w:r>
        <w:rPr>
          <w:sz w:val="18"/>
          <w:vertAlign w:val="superscript"/>
        </w:rPr>
        <w:t>42</w:t>
      </w:r>
      <w:r>
        <w:rPr>
          <w:spacing w:val="-8"/>
          <w:sz w:val="18"/>
          <w:vertAlign w:val="baseline"/>
        </w:rPr>
        <w:t> </w:t>
      </w:r>
      <w:r>
        <w:rPr>
          <w:sz w:val="18"/>
          <w:vertAlign w:val="baseline"/>
        </w:rPr>
        <w:t>MacDorman, Marian F., Eugene Declercq, Howard Cabral, and Christine Morton. “Recent Increases in the U.S. Maternal Mortality</w:t>
      </w:r>
      <w:r>
        <w:rPr>
          <w:spacing w:val="-3"/>
          <w:sz w:val="18"/>
          <w:vertAlign w:val="baseline"/>
        </w:rPr>
        <w:t> </w:t>
      </w:r>
      <w:r>
        <w:rPr>
          <w:sz w:val="18"/>
          <w:vertAlign w:val="baseline"/>
        </w:rPr>
        <w:t>Rate:</w:t>
      </w:r>
      <w:r>
        <w:rPr>
          <w:spacing w:val="-2"/>
          <w:sz w:val="18"/>
          <w:vertAlign w:val="baseline"/>
        </w:rPr>
        <w:t> </w:t>
      </w:r>
      <w:r>
        <w:rPr>
          <w:sz w:val="18"/>
          <w:vertAlign w:val="baseline"/>
        </w:rPr>
        <w:t>Disentangling</w:t>
      </w:r>
      <w:r>
        <w:rPr>
          <w:spacing w:val="-3"/>
          <w:sz w:val="18"/>
          <w:vertAlign w:val="baseline"/>
        </w:rPr>
        <w:t> </w:t>
      </w:r>
      <w:r>
        <w:rPr>
          <w:sz w:val="18"/>
          <w:vertAlign w:val="baseline"/>
        </w:rPr>
        <w:t>Trends</w:t>
      </w:r>
      <w:r>
        <w:rPr>
          <w:spacing w:val="-3"/>
          <w:sz w:val="18"/>
          <w:vertAlign w:val="baseline"/>
        </w:rPr>
        <w:t> </w:t>
      </w:r>
      <w:r>
        <w:rPr>
          <w:sz w:val="18"/>
          <w:vertAlign w:val="baseline"/>
        </w:rPr>
        <w:t>From</w:t>
      </w:r>
      <w:r>
        <w:rPr>
          <w:spacing w:val="-3"/>
          <w:sz w:val="18"/>
          <w:vertAlign w:val="baseline"/>
        </w:rPr>
        <w:t> </w:t>
      </w:r>
      <w:r>
        <w:rPr>
          <w:sz w:val="18"/>
          <w:vertAlign w:val="baseline"/>
        </w:rPr>
        <w:t>Measurement</w:t>
      </w:r>
      <w:r>
        <w:rPr>
          <w:spacing w:val="-3"/>
          <w:sz w:val="18"/>
          <w:vertAlign w:val="baseline"/>
        </w:rPr>
        <w:t> </w:t>
      </w:r>
      <w:r>
        <w:rPr>
          <w:sz w:val="18"/>
          <w:vertAlign w:val="baseline"/>
        </w:rPr>
        <w:t>Issues.”</w:t>
      </w:r>
      <w:r>
        <w:rPr>
          <w:spacing w:val="-3"/>
          <w:sz w:val="18"/>
          <w:vertAlign w:val="baseline"/>
        </w:rPr>
        <w:t> </w:t>
      </w:r>
      <w:r>
        <w:rPr>
          <w:i/>
          <w:sz w:val="18"/>
          <w:vertAlign w:val="baseline"/>
        </w:rPr>
        <w:t>Obstetrics</w:t>
      </w:r>
      <w:r>
        <w:rPr>
          <w:i/>
          <w:spacing w:val="-3"/>
          <w:sz w:val="18"/>
          <w:vertAlign w:val="baseline"/>
        </w:rPr>
        <w:t> </w:t>
      </w:r>
      <w:r>
        <w:rPr>
          <w:i/>
          <w:sz w:val="18"/>
          <w:vertAlign w:val="baseline"/>
        </w:rPr>
        <w:t>&amp;</w:t>
      </w:r>
      <w:r>
        <w:rPr>
          <w:i/>
          <w:spacing w:val="-4"/>
          <w:sz w:val="18"/>
          <w:vertAlign w:val="baseline"/>
        </w:rPr>
        <w:t> </w:t>
      </w:r>
      <w:r>
        <w:rPr>
          <w:i/>
          <w:sz w:val="18"/>
          <w:vertAlign w:val="baseline"/>
        </w:rPr>
        <w:t>Gynecology</w:t>
      </w:r>
      <w:r>
        <w:rPr>
          <w:i/>
          <w:spacing w:val="-3"/>
          <w:sz w:val="18"/>
          <w:vertAlign w:val="baseline"/>
        </w:rPr>
        <w:t> </w:t>
      </w:r>
      <w:r>
        <w:rPr>
          <w:sz w:val="18"/>
          <w:vertAlign w:val="baseline"/>
        </w:rPr>
        <w:t>128,</w:t>
      </w:r>
      <w:r>
        <w:rPr>
          <w:spacing w:val="-3"/>
          <w:sz w:val="18"/>
          <w:vertAlign w:val="baseline"/>
        </w:rPr>
        <w:t> </w:t>
      </w:r>
      <w:r>
        <w:rPr>
          <w:sz w:val="18"/>
          <w:vertAlign w:val="baseline"/>
        </w:rPr>
        <w:t>no.</w:t>
      </w:r>
      <w:r>
        <w:rPr>
          <w:spacing w:val="-3"/>
          <w:sz w:val="18"/>
          <w:vertAlign w:val="baseline"/>
        </w:rPr>
        <w:t> </w:t>
      </w:r>
      <w:r>
        <w:rPr>
          <w:sz w:val="18"/>
          <w:vertAlign w:val="baseline"/>
        </w:rPr>
        <w:t>3</w:t>
      </w:r>
      <w:r>
        <w:rPr>
          <w:spacing w:val="-3"/>
          <w:sz w:val="18"/>
          <w:vertAlign w:val="baseline"/>
        </w:rPr>
        <w:t> </w:t>
      </w:r>
      <w:r>
        <w:rPr>
          <w:sz w:val="18"/>
          <w:vertAlign w:val="baseline"/>
        </w:rPr>
        <w:t>(September</w:t>
      </w:r>
      <w:r>
        <w:rPr>
          <w:spacing w:val="-4"/>
          <w:sz w:val="18"/>
          <w:vertAlign w:val="baseline"/>
        </w:rPr>
        <w:t> </w:t>
      </w:r>
      <w:r>
        <w:rPr>
          <w:sz w:val="18"/>
          <w:vertAlign w:val="baseline"/>
        </w:rPr>
        <w:t>2016):</w:t>
      </w:r>
      <w:r>
        <w:rPr>
          <w:spacing w:val="-3"/>
          <w:sz w:val="18"/>
          <w:vertAlign w:val="baseline"/>
        </w:rPr>
        <w:t> </w:t>
      </w:r>
      <w:r>
        <w:rPr>
          <w:sz w:val="18"/>
          <w:vertAlign w:val="baseline"/>
        </w:rPr>
        <w:t>447–</w:t>
      </w:r>
    </w:p>
    <w:p>
      <w:pPr>
        <w:spacing w:before="0"/>
        <w:ind w:left="463" w:right="0" w:firstLine="0"/>
        <w:jc w:val="left"/>
        <w:rPr>
          <w:sz w:val="18"/>
        </w:rPr>
      </w:pPr>
      <w:bookmarkStart w:name="_bookmark236" w:id="426"/>
      <w:bookmarkEnd w:id="426"/>
      <w:r>
        <w:rPr/>
      </w:r>
      <w:r>
        <w:rPr>
          <w:sz w:val="18"/>
        </w:rPr>
        <w:t>55.</w:t>
      </w:r>
      <w:r>
        <w:rPr>
          <w:spacing w:val="-2"/>
          <w:sz w:val="18"/>
        </w:rPr>
        <w:t> </w:t>
      </w:r>
      <w:hyperlink r:id="rId352">
        <w:r>
          <w:rPr>
            <w:color w:val="0561C1"/>
            <w:spacing w:val="-2"/>
            <w:sz w:val="18"/>
            <w:u w:val="single" w:color="0561C1"/>
          </w:rPr>
          <w:t>https://doi.org/10.1097/AOG.0000000000001556</w:t>
        </w:r>
      </w:hyperlink>
      <w:hyperlink r:id="rId352">
        <w:r>
          <w:rPr>
            <w:spacing w:val="-2"/>
            <w:sz w:val="18"/>
            <w:u w:val="none"/>
          </w:rPr>
          <w:t>.</w:t>
        </w:r>
      </w:hyperlink>
    </w:p>
    <w:p>
      <w:pPr>
        <w:spacing w:before="0"/>
        <w:ind w:left="463" w:right="2359" w:hanging="1"/>
        <w:jc w:val="left"/>
        <w:rPr>
          <w:sz w:val="18"/>
        </w:rPr>
      </w:pPr>
      <w:r>
        <w:rPr>
          <w:sz w:val="18"/>
          <w:vertAlign w:val="superscript"/>
        </w:rPr>
        <w:t>43</w:t>
      </w:r>
      <w:r>
        <w:rPr>
          <w:spacing w:val="-13"/>
          <w:sz w:val="18"/>
          <w:vertAlign w:val="baseline"/>
        </w:rPr>
        <w:t> </w:t>
      </w:r>
      <w:r>
        <w:rPr>
          <w:sz w:val="18"/>
          <w:vertAlign w:val="baseline"/>
        </w:rPr>
        <w:t>“The</w:t>
      </w:r>
      <w:r>
        <w:rPr>
          <w:spacing w:val="-5"/>
          <w:sz w:val="18"/>
          <w:vertAlign w:val="baseline"/>
        </w:rPr>
        <w:t> </w:t>
      </w:r>
      <w:r>
        <w:rPr>
          <w:sz w:val="18"/>
          <w:vertAlign w:val="baseline"/>
        </w:rPr>
        <w:t>States</w:t>
      </w:r>
      <w:r>
        <w:rPr>
          <w:spacing w:val="-3"/>
          <w:sz w:val="18"/>
          <w:vertAlign w:val="baseline"/>
        </w:rPr>
        <w:t> </w:t>
      </w:r>
      <w:r>
        <w:rPr>
          <w:sz w:val="18"/>
          <w:vertAlign w:val="baseline"/>
        </w:rPr>
        <w:t>with</w:t>
      </w:r>
      <w:r>
        <w:rPr>
          <w:spacing w:val="-3"/>
          <w:sz w:val="18"/>
          <w:vertAlign w:val="baseline"/>
        </w:rPr>
        <w:t> </w:t>
      </w:r>
      <w:r>
        <w:rPr>
          <w:sz w:val="18"/>
          <w:vertAlign w:val="baseline"/>
        </w:rPr>
        <w:t>the</w:t>
      </w:r>
      <w:r>
        <w:rPr>
          <w:spacing w:val="-3"/>
          <w:sz w:val="18"/>
          <w:vertAlign w:val="baseline"/>
        </w:rPr>
        <w:t> </w:t>
      </w:r>
      <w:r>
        <w:rPr>
          <w:sz w:val="18"/>
          <w:vertAlign w:val="baseline"/>
        </w:rPr>
        <w:t>Highest</w:t>
      </w:r>
      <w:r>
        <w:rPr>
          <w:spacing w:val="-4"/>
          <w:sz w:val="18"/>
          <w:vertAlign w:val="baseline"/>
        </w:rPr>
        <w:t> </w:t>
      </w:r>
      <w:r>
        <w:rPr>
          <w:sz w:val="18"/>
          <w:vertAlign w:val="baseline"/>
        </w:rPr>
        <w:t>(and</w:t>
      </w:r>
      <w:r>
        <w:rPr>
          <w:spacing w:val="-3"/>
          <w:sz w:val="18"/>
          <w:vertAlign w:val="baseline"/>
        </w:rPr>
        <w:t> </w:t>
      </w:r>
      <w:r>
        <w:rPr>
          <w:sz w:val="18"/>
          <w:vertAlign w:val="baseline"/>
        </w:rPr>
        <w:t>Lowest)</w:t>
      </w:r>
      <w:r>
        <w:rPr>
          <w:spacing w:val="-3"/>
          <w:sz w:val="18"/>
          <w:vertAlign w:val="baseline"/>
        </w:rPr>
        <w:t> </w:t>
      </w:r>
      <w:r>
        <w:rPr>
          <w:sz w:val="18"/>
          <w:vertAlign w:val="baseline"/>
        </w:rPr>
        <w:t>Maternal</w:t>
      </w:r>
      <w:r>
        <w:rPr>
          <w:spacing w:val="-4"/>
          <w:sz w:val="18"/>
          <w:vertAlign w:val="baseline"/>
        </w:rPr>
        <w:t> </w:t>
      </w:r>
      <w:r>
        <w:rPr>
          <w:sz w:val="18"/>
          <w:vertAlign w:val="baseline"/>
        </w:rPr>
        <w:t>Mortality,</w:t>
      </w:r>
      <w:r>
        <w:rPr>
          <w:spacing w:val="-3"/>
          <w:sz w:val="18"/>
          <w:vertAlign w:val="baseline"/>
        </w:rPr>
        <w:t> </w:t>
      </w:r>
      <w:r>
        <w:rPr>
          <w:sz w:val="18"/>
          <w:vertAlign w:val="baseline"/>
        </w:rPr>
        <w:t>Mapped,”</w:t>
      </w:r>
      <w:r>
        <w:rPr>
          <w:spacing w:val="-3"/>
          <w:sz w:val="18"/>
          <w:vertAlign w:val="baseline"/>
        </w:rPr>
        <w:t> </w:t>
      </w:r>
      <w:r>
        <w:rPr>
          <w:sz w:val="18"/>
          <w:vertAlign w:val="baseline"/>
        </w:rPr>
        <w:t>accessed</w:t>
      </w:r>
      <w:r>
        <w:rPr>
          <w:spacing w:val="-3"/>
          <w:sz w:val="18"/>
          <w:vertAlign w:val="baseline"/>
        </w:rPr>
        <w:t> </w:t>
      </w:r>
      <w:r>
        <w:rPr>
          <w:sz w:val="18"/>
          <w:vertAlign w:val="baseline"/>
        </w:rPr>
        <w:t>August</w:t>
      </w:r>
      <w:r>
        <w:rPr>
          <w:spacing w:val="-4"/>
          <w:sz w:val="18"/>
          <w:vertAlign w:val="baseline"/>
        </w:rPr>
        <w:t> </w:t>
      </w:r>
      <w:r>
        <w:rPr>
          <w:sz w:val="18"/>
          <w:vertAlign w:val="baseline"/>
        </w:rPr>
        <w:t>11,</w:t>
      </w:r>
      <w:r>
        <w:rPr>
          <w:spacing w:val="-4"/>
          <w:sz w:val="18"/>
          <w:vertAlign w:val="baseline"/>
        </w:rPr>
        <w:t> </w:t>
      </w:r>
      <w:r>
        <w:rPr>
          <w:sz w:val="18"/>
          <w:vertAlign w:val="baseline"/>
        </w:rPr>
        <w:t>2022, </w:t>
      </w:r>
      <w:bookmarkStart w:name="_bookmark237" w:id="427"/>
      <w:bookmarkEnd w:id="427"/>
      <w:r>
        <w:rPr>
          <w:sz w:val="18"/>
          <w:vertAlign w:val="baseline"/>
        </w:rPr>
      </w:r>
      <w:hyperlink r:id="rId353">
        <w:r>
          <w:rPr>
            <w:color w:val="0561C1"/>
            <w:spacing w:val="-2"/>
            <w:sz w:val="18"/>
            <w:u w:val="single" w:color="0561C1"/>
            <w:vertAlign w:val="baseline"/>
          </w:rPr>
          <w:t>https://www.advisory.com/Daily-Briefing/2018/11/09/maternal-mortality</w:t>
        </w:r>
      </w:hyperlink>
      <w:hyperlink r:id="rId353">
        <w:r>
          <w:rPr>
            <w:spacing w:val="-2"/>
            <w:sz w:val="18"/>
            <w:u w:val="none"/>
            <w:vertAlign w:val="baseline"/>
          </w:rPr>
          <w:t>.</w:t>
        </w:r>
      </w:hyperlink>
    </w:p>
    <w:p>
      <w:pPr>
        <w:spacing w:before="0"/>
        <w:ind w:left="463" w:right="0" w:hanging="1"/>
        <w:jc w:val="left"/>
        <w:rPr>
          <w:sz w:val="18"/>
        </w:rPr>
      </w:pPr>
      <w:r>
        <w:rPr>
          <w:sz w:val="18"/>
          <w:vertAlign w:val="superscript"/>
        </w:rPr>
        <w:t>44</w:t>
      </w:r>
      <w:r>
        <w:rPr>
          <w:spacing w:val="-9"/>
          <w:sz w:val="18"/>
          <w:vertAlign w:val="baseline"/>
        </w:rPr>
        <w:t> </w:t>
      </w:r>
      <w:r>
        <w:rPr>
          <w:sz w:val="18"/>
          <w:vertAlign w:val="baseline"/>
        </w:rPr>
        <w:t>Massachusetts Department of Health. </w:t>
      </w:r>
      <w:r>
        <w:rPr>
          <w:i/>
          <w:sz w:val="18"/>
          <w:vertAlign w:val="baseline"/>
        </w:rPr>
        <w:t>Maternal Mortality and Morbidity Review in Massachusetts: A Bulletin for Health Care</w:t>
      </w:r>
      <w:r>
        <w:rPr>
          <w:i/>
          <w:sz w:val="18"/>
          <w:vertAlign w:val="baseline"/>
        </w:rPr>
        <w:t> Professionals,</w:t>
      </w:r>
      <w:r>
        <w:rPr>
          <w:i/>
          <w:spacing w:val="-4"/>
          <w:sz w:val="18"/>
          <w:vertAlign w:val="baseline"/>
        </w:rPr>
        <w:t> </w:t>
      </w:r>
      <w:r>
        <w:rPr>
          <w:i/>
          <w:sz w:val="18"/>
          <w:vertAlign w:val="baseline"/>
        </w:rPr>
        <w:t>Pregnancy-</w:t>
      </w:r>
      <w:r>
        <w:rPr>
          <w:i/>
          <w:spacing w:val="-3"/>
          <w:sz w:val="18"/>
          <w:vertAlign w:val="baseline"/>
        </w:rPr>
        <w:t> </w:t>
      </w:r>
      <w:r>
        <w:rPr>
          <w:i/>
          <w:sz w:val="18"/>
          <w:vertAlign w:val="baseline"/>
        </w:rPr>
        <w:t>Associated</w:t>
      </w:r>
      <w:r>
        <w:rPr>
          <w:i/>
          <w:spacing w:val="-3"/>
          <w:sz w:val="18"/>
          <w:vertAlign w:val="baseline"/>
        </w:rPr>
        <w:t> </w:t>
      </w:r>
      <w:r>
        <w:rPr>
          <w:i/>
          <w:sz w:val="18"/>
          <w:vertAlign w:val="baseline"/>
        </w:rPr>
        <w:t>Mortality,</w:t>
      </w:r>
      <w:r>
        <w:rPr>
          <w:i/>
          <w:spacing w:val="-3"/>
          <w:sz w:val="18"/>
          <w:vertAlign w:val="baseline"/>
        </w:rPr>
        <w:t> </w:t>
      </w:r>
      <w:r>
        <w:rPr>
          <w:i/>
          <w:sz w:val="18"/>
          <w:vertAlign w:val="baseline"/>
        </w:rPr>
        <w:t>2000-2007</w:t>
      </w:r>
      <w:r>
        <w:rPr>
          <w:sz w:val="18"/>
          <w:vertAlign w:val="baseline"/>
        </w:rPr>
        <w:t>.</w:t>
      </w:r>
      <w:r>
        <w:rPr>
          <w:spacing w:val="-3"/>
          <w:sz w:val="18"/>
          <w:vertAlign w:val="baseline"/>
        </w:rPr>
        <w:t> </w:t>
      </w:r>
      <w:r>
        <w:rPr>
          <w:sz w:val="18"/>
          <w:vertAlign w:val="baseline"/>
        </w:rPr>
        <w:t>Bureau</w:t>
      </w:r>
      <w:r>
        <w:rPr>
          <w:spacing w:val="-3"/>
          <w:sz w:val="18"/>
          <w:vertAlign w:val="baseline"/>
        </w:rPr>
        <w:t> </w:t>
      </w:r>
      <w:r>
        <w:rPr>
          <w:sz w:val="18"/>
          <w:vertAlign w:val="baseline"/>
        </w:rPr>
        <w:t>of</w:t>
      </w:r>
      <w:r>
        <w:rPr>
          <w:spacing w:val="-3"/>
          <w:sz w:val="18"/>
          <w:vertAlign w:val="baseline"/>
        </w:rPr>
        <w:t> </w:t>
      </w:r>
      <w:r>
        <w:rPr>
          <w:sz w:val="18"/>
          <w:vertAlign w:val="baseline"/>
        </w:rPr>
        <w:t>Family</w:t>
      </w:r>
      <w:r>
        <w:rPr>
          <w:spacing w:val="-3"/>
          <w:sz w:val="18"/>
          <w:vertAlign w:val="baseline"/>
        </w:rPr>
        <w:t> </w:t>
      </w:r>
      <w:r>
        <w:rPr>
          <w:sz w:val="18"/>
          <w:vertAlign w:val="baseline"/>
        </w:rPr>
        <w:t>Health</w:t>
      </w:r>
      <w:r>
        <w:rPr>
          <w:spacing w:val="-3"/>
          <w:sz w:val="18"/>
          <w:vertAlign w:val="baseline"/>
        </w:rPr>
        <w:t> </w:t>
      </w:r>
      <w:r>
        <w:rPr>
          <w:sz w:val="18"/>
          <w:vertAlign w:val="baseline"/>
        </w:rPr>
        <w:t>and</w:t>
      </w:r>
      <w:r>
        <w:rPr>
          <w:spacing w:val="-3"/>
          <w:sz w:val="18"/>
          <w:vertAlign w:val="baseline"/>
        </w:rPr>
        <w:t> </w:t>
      </w:r>
      <w:r>
        <w:rPr>
          <w:sz w:val="18"/>
          <w:vertAlign w:val="baseline"/>
        </w:rPr>
        <w:t>Nutrition,</w:t>
      </w:r>
      <w:r>
        <w:rPr>
          <w:spacing w:val="-4"/>
          <w:sz w:val="18"/>
          <w:vertAlign w:val="baseline"/>
        </w:rPr>
        <w:t> </w:t>
      </w:r>
      <w:r>
        <w:rPr>
          <w:sz w:val="18"/>
          <w:vertAlign w:val="baseline"/>
        </w:rPr>
        <w:t>Massachusetts</w:t>
      </w:r>
      <w:r>
        <w:rPr>
          <w:spacing w:val="-4"/>
          <w:sz w:val="18"/>
          <w:vertAlign w:val="baseline"/>
        </w:rPr>
        <w:t> </w:t>
      </w:r>
      <w:r>
        <w:rPr>
          <w:sz w:val="18"/>
          <w:vertAlign w:val="baseline"/>
        </w:rPr>
        <w:t>Department</w:t>
      </w:r>
      <w:r>
        <w:rPr>
          <w:spacing w:val="-4"/>
          <w:sz w:val="18"/>
          <w:vertAlign w:val="baseline"/>
        </w:rPr>
        <w:t> </w:t>
      </w:r>
      <w:r>
        <w:rPr>
          <w:sz w:val="18"/>
          <w:vertAlign w:val="baseline"/>
        </w:rPr>
        <w:t>of Public Health (2014). Available online at: https</w:t>
      </w:r>
      <w:hyperlink r:id="rId354">
        <w:r>
          <w:rPr>
            <w:sz w:val="18"/>
            <w:vertAlign w:val="baseline"/>
          </w:rPr>
          <w:t>://www.mass.gov/doc/2014-</w:t>
        </w:r>
      </w:hyperlink>
      <w:r>
        <w:rPr>
          <w:sz w:val="18"/>
          <w:vertAlign w:val="baseline"/>
        </w:rPr>
        <w:t> report- pregnancy- associated- mortality-2000- </w:t>
      </w:r>
      <w:r>
        <w:rPr>
          <w:spacing w:val="-2"/>
          <w:sz w:val="18"/>
          <w:vertAlign w:val="baseline"/>
        </w:rPr>
        <w:t>2007/download</w:t>
      </w:r>
    </w:p>
    <w:p>
      <w:pPr>
        <w:spacing w:before="0"/>
        <w:ind w:left="463" w:right="261" w:firstLine="0"/>
        <w:jc w:val="left"/>
        <w:rPr>
          <w:sz w:val="18"/>
        </w:rPr>
      </w:pPr>
      <w:bookmarkStart w:name="_bookmark238" w:id="428"/>
      <w:bookmarkEnd w:id="428"/>
      <w:r>
        <w:rPr/>
      </w:r>
      <w:r>
        <w:rPr>
          <w:sz w:val="18"/>
          <w:vertAlign w:val="superscript"/>
        </w:rPr>
        <w:t>45</w:t>
      </w:r>
      <w:r>
        <w:rPr>
          <w:spacing w:val="-9"/>
          <w:sz w:val="18"/>
          <w:vertAlign w:val="baseline"/>
        </w:rPr>
        <w:t> </w:t>
      </w:r>
      <w:r>
        <w:rPr>
          <w:sz w:val="18"/>
          <w:vertAlign w:val="baseline"/>
        </w:rPr>
        <w:t>Tucker, Myra J., Cynthia J. Berg, William M. Callaghan, and Jason Hsia. “The Black–White Disparity in Pregnancy-Related Mortality</w:t>
      </w:r>
      <w:r>
        <w:rPr>
          <w:spacing w:val="-2"/>
          <w:sz w:val="18"/>
          <w:vertAlign w:val="baseline"/>
        </w:rPr>
        <w:t> </w:t>
      </w:r>
      <w:r>
        <w:rPr>
          <w:sz w:val="18"/>
          <w:vertAlign w:val="baseline"/>
        </w:rPr>
        <w:t>From</w:t>
      </w:r>
      <w:r>
        <w:rPr>
          <w:spacing w:val="-2"/>
          <w:sz w:val="18"/>
          <w:vertAlign w:val="baseline"/>
        </w:rPr>
        <w:t> </w:t>
      </w:r>
      <w:r>
        <w:rPr>
          <w:sz w:val="18"/>
          <w:vertAlign w:val="baseline"/>
        </w:rPr>
        <w:t>5</w:t>
      </w:r>
      <w:r>
        <w:rPr>
          <w:spacing w:val="-2"/>
          <w:sz w:val="18"/>
          <w:vertAlign w:val="baseline"/>
        </w:rPr>
        <w:t> </w:t>
      </w:r>
      <w:r>
        <w:rPr>
          <w:sz w:val="18"/>
          <w:vertAlign w:val="baseline"/>
        </w:rPr>
        <w:t>Conditions:</w:t>
      </w:r>
      <w:r>
        <w:rPr>
          <w:spacing w:val="-2"/>
          <w:sz w:val="18"/>
          <w:vertAlign w:val="baseline"/>
        </w:rPr>
        <w:t> </w:t>
      </w:r>
      <w:r>
        <w:rPr>
          <w:sz w:val="18"/>
          <w:vertAlign w:val="baseline"/>
        </w:rPr>
        <w:t>Differences</w:t>
      </w:r>
      <w:r>
        <w:rPr>
          <w:spacing w:val="-2"/>
          <w:sz w:val="18"/>
          <w:vertAlign w:val="baseline"/>
        </w:rPr>
        <w:t> </w:t>
      </w:r>
      <w:r>
        <w:rPr>
          <w:sz w:val="18"/>
          <w:vertAlign w:val="baseline"/>
        </w:rPr>
        <w:t>in</w:t>
      </w:r>
      <w:r>
        <w:rPr>
          <w:spacing w:val="-3"/>
          <w:sz w:val="18"/>
          <w:vertAlign w:val="baseline"/>
        </w:rPr>
        <w:t> </w:t>
      </w:r>
      <w:r>
        <w:rPr>
          <w:sz w:val="18"/>
          <w:vertAlign w:val="baseline"/>
        </w:rPr>
        <w:t>Prevalence</w:t>
      </w:r>
      <w:r>
        <w:rPr>
          <w:spacing w:val="-2"/>
          <w:sz w:val="18"/>
          <w:vertAlign w:val="baseline"/>
        </w:rPr>
        <w:t> </w:t>
      </w:r>
      <w:r>
        <w:rPr>
          <w:sz w:val="18"/>
          <w:vertAlign w:val="baseline"/>
        </w:rPr>
        <w:t>and</w:t>
      </w:r>
      <w:r>
        <w:rPr>
          <w:spacing w:val="-2"/>
          <w:sz w:val="18"/>
          <w:vertAlign w:val="baseline"/>
        </w:rPr>
        <w:t> </w:t>
      </w:r>
      <w:r>
        <w:rPr>
          <w:sz w:val="18"/>
          <w:vertAlign w:val="baseline"/>
        </w:rPr>
        <w:t>Case-Fatality</w:t>
      </w:r>
      <w:r>
        <w:rPr>
          <w:spacing w:val="-2"/>
          <w:sz w:val="18"/>
          <w:vertAlign w:val="baseline"/>
        </w:rPr>
        <w:t> </w:t>
      </w:r>
      <w:r>
        <w:rPr>
          <w:sz w:val="18"/>
          <w:vertAlign w:val="baseline"/>
        </w:rPr>
        <w:t>Rates.”</w:t>
      </w:r>
      <w:r>
        <w:rPr>
          <w:spacing w:val="-2"/>
          <w:sz w:val="18"/>
          <w:vertAlign w:val="baseline"/>
        </w:rPr>
        <w:t> </w:t>
      </w:r>
      <w:r>
        <w:rPr>
          <w:i/>
          <w:sz w:val="18"/>
          <w:vertAlign w:val="baseline"/>
        </w:rPr>
        <w:t>American</w:t>
      </w:r>
      <w:r>
        <w:rPr>
          <w:i/>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w:t>
      </w:r>
      <w:r>
        <w:rPr>
          <w:i/>
          <w:sz w:val="18"/>
          <w:vertAlign w:val="baseline"/>
        </w:rPr>
        <w:t>Public</w:t>
      </w:r>
      <w:r>
        <w:rPr>
          <w:i/>
          <w:spacing w:val="-3"/>
          <w:sz w:val="18"/>
          <w:vertAlign w:val="baseline"/>
        </w:rPr>
        <w:t> </w:t>
      </w:r>
      <w:r>
        <w:rPr>
          <w:i/>
          <w:sz w:val="18"/>
          <w:vertAlign w:val="baseline"/>
        </w:rPr>
        <w:t>Health</w:t>
      </w:r>
      <w:r>
        <w:rPr>
          <w:i/>
          <w:spacing w:val="-2"/>
          <w:sz w:val="18"/>
          <w:vertAlign w:val="baseline"/>
        </w:rPr>
        <w:t> </w:t>
      </w:r>
      <w:r>
        <w:rPr>
          <w:sz w:val="18"/>
          <w:vertAlign w:val="baseline"/>
        </w:rPr>
        <w:t>97,</w:t>
      </w:r>
      <w:r>
        <w:rPr>
          <w:spacing w:val="-3"/>
          <w:sz w:val="18"/>
          <w:vertAlign w:val="baseline"/>
        </w:rPr>
        <w:t> </w:t>
      </w:r>
      <w:r>
        <w:rPr>
          <w:sz w:val="18"/>
          <w:vertAlign w:val="baseline"/>
        </w:rPr>
        <w:t>no.</w:t>
      </w:r>
      <w:r>
        <w:rPr>
          <w:spacing w:val="-2"/>
          <w:sz w:val="18"/>
          <w:vertAlign w:val="baseline"/>
        </w:rPr>
        <w:t> </w:t>
      </w:r>
      <w:r>
        <w:rPr>
          <w:sz w:val="18"/>
          <w:vertAlign w:val="baseline"/>
        </w:rPr>
        <w:t>2 (February 2007): 247–51. </w:t>
      </w:r>
      <w:hyperlink r:id="rId355">
        <w:r>
          <w:rPr>
            <w:color w:val="0561C1"/>
            <w:sz w:val="18"/>
            <w:u w:val="single" w:color="0561C1"/>
            <w:vertAlign w:val="baseline"/>
          </w:rPr>
          <w:t>https://doi.org/10.2105/AJPH.2005.072975</w:t>
        </w:r>
      </w:hyperlink>
    </w:p>
    <w:p>
      <w:pPr>
        <w:spacing w:before="0"/>
        <w:ind w:left="463" w:right="1067" w:hanging="1"/>
        <w:jc w:val="left"/>
        <w:rPr>
          <w:sz w:val="18"/>
        </w:rPr>
      </w:pPr>
      <w:bookmarkStart w:name="_bookmark239" w:id="429"/>
      <w:bookmarkEnd w:id="429"/>
      <w:r>
        <w:rPr/>
      </w:r>
      <w:r>
        <w:rPr>
          <w:sz w:val="18"/>
          <w:vertAlign w:val="superscript"/>
        </w:rPr>
        <w:t>46</w:t>
      </w:r>
      <w:r>
        <w:rPr>
          <w:spacing w:val="-13"/>
          <w:sz w:val="18"/>
          <w:vertAlign w:val="baseline"/>
        </w:rPr>
        <w:t> </w:t>
      </w:r>
      <w:r>
        <w:rPr>
          <w:sz w:val="18"/>
          <w:vertAlign w:val="baseline"/>
        </w:rPr>
        <w:t>“Protecting</w:t>
      </w:r>
      <w:r>
        <w:rPr>
          <w:spacing w:val="-3"/>
          <w:sz w:val="18"/>
          <w:vertAlign w:val="baseline"/>
        </w:rPr>
        <w:t> </w:t>
      </w:r>
      <w:r>
        <w:rPr>
          <w:sz w:val="18"/>
          <w:vertAlign w:val="baseline"/>
        </w:rPr>
        <w:t>Basic</w:t>
      </w:r>
      <w:r>
        <w:rPr>
          <w:spacing w:val="-3"/>
          <w:sz w:val="18"/>
          <w:vertAlign w:val="baseline"/>
        </w:rPr>
        <w:t> </w:t>
      </w:r>
      <w:r>
        <w:rPr>
          <w:sz w:val="18"/>
          <w:vertAlign w:val="baseline"/>
        </w:rPr>
        <w:t>Living</w:t>
      </w:r>
      <w:r>
        <w:rPr>
          <w:spacing w:val="-2"/>
          <w:sz w:val="18"/>
          <w:vertAlign w:val="baseline"/>
        </w:rPr>
        <w:t> </w:t>
      </w:r>
      <w:r>
        <w:rPr>
          <w:sz w:val="18"/>
          <w:vertAlign w:val="baseline"/>
        </w:rPr>
        <w:t>Standards</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4"/>
          <w:sz w:val="18"/>
          <w:vertAlign w:val="baseline"/>
        </w:rPr>
        <w:t> </w:t>
      </w:r>
      <w:r>
        <w:rPr>
          <w:sz w:val="18"/>
          <w:vertAlign w:val="baseline"/>
        </w:rPr>
        <w:t>People,”</w:t>
      </w:r>
      <w:r>
        <w:rPr>
          <w:spacing w:val="-2"/>
          <w:sz w:val="18"/>
          <w:vertAlign w:val="baseline"/>
        </w:rPr>
        <w:t> </w:t>
      </w:r>
      <w:r>
        <w:rPr>
          <w:i/>
          <w:sz w:val="18"/>
          <w:vertAlign w:val="baseline"/>
        </w:rPr>
        <w:t>Center</w:t>
      </w:r>
      <w:r>
        <w:rPr>
          <w:i/>
          <w:spacing w:val="-3"/>
          <w:sz w:val="18"/>
          <w:vertAlign w:val="baseline"/>
        </w:rPr>
        <w:t> </w:t>
      </w:r>
      <w:r>
        <w:rPr>
          <w:i/>
          <w:sz w:val="18"/>
          <w:vertAlign w:val="baseline"/>
        </w:rPr>
        <w:t>for</w:t>
      </w:r>
      <w:r>
        <w:rPr>
          <w:i/>
          <w:spacing w:val="-3"/>
          <w:sz w:val="18"/>
          <w:vertAlign w:val="baseline"/>
        </w:rPr>
        <w:t> </w:t>
      </w:r>
      <w:r>
        <w:rPr>
          <w:i/>
          <w:sz w:val="18"/>
          <w:vertAlign w:val="baseline"/>
        </w:rPr>
        <w:t>American</w:t>
      </w:r>
      <w:r>
        <w:rPr>
          <w:i/>
          <w:spacing w:val="-2"/>
          <w:sz w:val="18"/>
          <w:vertAlign w:val="baseline"/>
        </w:rPr>
        <w:t> </w:t>
      </w:r>
      <w:r>
        <w:rPr>
          <w:i/>
          <w:sz w:val="18"/>
          <w:vertAlign w:val="baseline"/>
        </w:rPr>
        <w:t>Progress</w:t>
      </w:r>
      <w:r>
        <w:rPr>
          <w:i/>
          <w:spacing w:val="-3"/>
          <w:sz w:val="18"/>
          <w:vertAlign w:val="baseline"/>
        </w:rPr>
        <w:t> </w:t>
      </w:r>
      <w:r>
        <w:rPr>
          <w:sz w:val="18"/>
          <w:vertAlign w:val="baseline"/>
        </w:rPr>
        <w:t>(blog),</w:t>
      </w:r>
      <w:r>
        <w:rPr>
          <w:spacing w:val="-3"/>
          <w:sz w:val="18"/>
          <w:vertAlign w:val="baseline"/>
        </w:rPr>
        <w:t> </w:t>
      </w:r>
      <w:r>
        <w:rPr>
          <w:sz w:val="18"/>
          <w:vertAlign w:val="baseline"/>
        </w:rPr>
        <w:t>accessed</w:t>
      </w:r>
      <w:r>
        <w:rPr>
          <w:spacing w:val="-2"/>
          <w:sz w:val="18"/>
          <w:vertAlign w:val="baseline"/>
        </w:rPr>
        <w:t> </w:t>
      </w:r>
      <w:r>
        <w:rPr>
          <w:sz w:val="18"/>
          <w:vertAlign w:val="baseline"/>
        </w:rPr>
        <w:t>August</w:t>
      </w:r>
      <w:r>
        <w:rPr>
          <w:spacing w:val="-3"/>
          <w:sz w:val="18"/>
          <w:vertAlign w:val="baseline"/>
        </w:rPr>
        <w:t> </w:t>
      </w:r>
      <w:r>
        <w:rPr>
          <w:sz w:val="18"/>
          <w:vertAlign w:val="baseline"/>
        </w:rPr>
        <w:t>11,</w:t>
      </w:r>
      <w:r>
        <w:rPr>
          <w:spacing w:val="-3"/>
          <w:sz w:val="18"/>
          <w:vertAlign w:val="baseline"/>
        </w:rPr>
        <w:t> </w:t>
      </w:r>
      <w:r>
        <w:rPr>
          <w:sz w:val="18"/>
          <w:vertAlign w:val="baseline"/>
        </w:rPr>
        <w:t>2022, </w:t>
      </w:r>
      <w:hyperlink r:id="rId356">
        <w:r>
          <w:rPr>
            <w:color w:val="0561C1"/>
            <w:spacing w:val="-2"/>
            <w:sz w:val="18"/>
            <w:u w:val="single" w:color="0561C1"/>
            <w:vertAlign w:val="baseline"/>
          </w:rPr>
          <w:t>https://www.americanprogress.org/article/protecting-basic-living-standards-lgbtq-people/</w:t>
        </w:r>
      </w:hyperlink>
      <w:hyperlink r:id="rId356">
        <w:r>
          <w:rPr>
            <w:spacing w:val="-2"/>
            <w:sz w:val="18"/>
            <w:u w:val="none"/>
            <w:vertAlign w:val="baseline"/>
          </w:rPr>
          <w:t>.</w:t>
        </w:r>
      </w:hyperlink>
    </w:p>
    <w:p>
      <w:pPr>
        <w:spacing w:before="0"/>
        <w:ind w:left="463" w:right="261" w:hanging="1"/>
        <w:jc w:val="left"/>
        <w:rPr>
          <w:sz w:val="18"/>
        </w:rPr>
      </w:pPr>
      <w:bookmarkStart w:name="_bookmark240" w:id="430"/>
      <w:bookmarkEnd w:id="430"/>
      <w:r>
        <w:rPr/>
      </w:r>
      <w:r>
        <w:rPr>
          <w:sz w:val="18"/>
          <w:vertAlign w:val="superscript"/>
        </w:rPr>
        <w:t>47</w:t>
      </w:r>
      <w:r>
        <w:rPr>
          <w:spacing w:val="-13"/>
          <w:sz w:val="18"/>
          <w:vertAlign w:val="baseline"/>
        </w:rPr>
        <w:t> </w:t>
      </w:r>
      <w:r>
        <w:rPr>
          <w:sz w:val="18"/>
          <w:vertAlign w:val="baseline"/>
        </w:rPr>
        <w:t>Brittany</w:t>
      </w:r>
      <w:r>
        <w:rPr>
          <w:spacing w:val="-4"/>
          <w:sz w:val="18"/>
          <w:vertAlign w:val="baseline"/>
        </w:rPr>
        <w:t> </w:t>
      </w:r>
      <w:r>
        <w:rPr>
          <w:sz w:val="18"/>
          <w:vertAlign w:val="baseline"/>
        </w:rPr>
        <w:t>M.</w:t>
      </w:r>
      <w:r>
        <w:rPr>
          <w:spacing w:val="-3"/>
          <w:sz w:val="18"/>
          <w:vertAlign w:val="baseline"/>
        </w:rPr>
        <w:t> </w:t>
      </w:r>
      <w:r>
        <w:rPr>
          <w:sz w:val="18"/>
          <w:vertAlign w:val="baseline"/>
        </w:rPr>
        <w:t>Charlton</w:t>
      </w:r>
      <w:r>
        <w:rPr>
          <w:spacing w:val="-3"/>
          <w:sz w:val="18"/>
          <w:vertAlign w:val="baseline"/>
        </w:rPr>
        <w:t> </w:t>
      </w:r>
      <w:r>
        <w:rPr>
          <w:sz w:val="18"/>
          <w:vertAlign w:val="baseline"/>
        </w:rPr>
        <w:t>et</w:t>
      </w:r>
      <w:r>
        <w:rPr>
          <w:spacing w:val="-4"/>
          <w:sz w:val="18"/>
          <w:vertAlign w:val="baseline"/>
        </w:rPr>
        <w:t> </w:t>
      </w:r>
      <w:r>
        <w:rPr>
          <w:sz w:val="18"/>
          <w:vertAlign w:val="baseline"/>
        </w:rPr>
        <w:t>al.,</w:t>
      </w:r>
      <w:r>
        <w:rPr>
          <w:spacing w:val="-4"/>
          <w:sz w:val="18"/>
          <w:vertAlign w:val="baseline"/>
        </w:rPr>
        <w:t> </w:t>
      </w:r>
      <w:r>
        <w:rPr>
          <w:sz w:val="18"/>
          <w:vertAlign w:val="baseline"/>
        </w:rPr>
        <w:t>“Sexual</w:t>
      </w:r>
      <w:r>
        <w:rPr>
          <w:spacing w:val="-4"/>
          <w:sz w:val="18"/>
          <w:vertAlign w:val="baseline"/>
        </w:rPr>
        <w:t> </w:t>
      </w:r>
      <w:r>
        <w:rPr>
          <w:sz w:val="18"/>
          <w:vertAlign w:val="baseline"/>
        </w:rPr>
        <w:t>Orientation</w:t>
      </w:r>
      <w:r>
        <w:rPr>
          <w:spacing w:val="-2"/>
          <w:sz w:val="18"/>
          <w:vertAlign w:val="baseline"/>
        </w:rPr>
        <w:t> </w:t>
      </w:r>
      <w:r>
        <w:rPr>
          <w:sz w:val="18"/>
          <w:vertAlign w:val="baseline"/>
        </w:rPr>
        <w:t>Differences</w:t>
      </w:r>
      <w:r>
        <w:rPr>
          <w:spacing w:val="-3"/>
          <w:sz w:val="18"/>
          <w:vertAlign w:val="baseline"/>
        </w:rPr>
        <w:t> </w:t>
      </w:r>
      <w:r>
        <w:rPr>
          <w:sz w:val="18"/>
          <w:vertAlign w:val="baseline"/>
        </w:rPr>
        <w:t>in</w:t>
      </w:r>
      <w:r>
        <w:rPr>
          <w:spacing w:val="-3"/>
          <w:sz w:val="18"/>
          <w:vertAlign w:val="baseline"/>
        </w:rPr>
        <w:t> </w:t>
      </w:r>
      <w:r>
        <w:rPr>
          <w:sz w:val="18"/>
          <w:vertAlign w:val="baseline"/>
        </w:rPr>
        <w:t>Pregnancy</w:t>
      </w:r>
      <w:r>
        <w:rPr>
          <w:spacing w:val="-3"/>
          <w:sz w:val="18"/>
          <w:vertAlign w:val="baseline"/>
        </w:rPr>
        <w:t> </w:t>
      </w:r>
      <w:r>
        <w:rPr>
          <w:sz w:val="18"/>
          <w:vertAlign w:val="baseline"/>
        </w:rPr>
        <w:t>and</w:t>
      </w:r>
      <w:r>
        <w:rPr>
          <w:spacing w:val="-3"/>
          <w:sz w:val="18"/>
          <w:vertAlign w:val="baseline"/>
        </w:rPr>
        <w:t> </w:t>
      </w:r>
      <w:r>
        <w:rPr>
          <w:sz w:val="18"/>
          <w:vertAlign w:val="baseline"/>
        </w:rPr>
        <w:t>Abortion</w:t>
      </w:r>
      <w:r>
        <w:rPr>
          <w:spacing w:val="-3"/>
          <w:sz w:val="18"/>
          <w:vertAlign w:val="baseline"/>
        </w:rPr>
        <w:t> </w:t>
      </w:r>
      <w:r>
        <w:rPr>
          <w:sz w:val="18"/>
          <w:vertAlign w:val="baseline"/>
        </w:rPr>
        <w:t>Across</w:t>
      </w:r>
      <w:r>
        <w:rPr>
          <w:spacing w:val="-3"/>
          <w:sz w:val="18"/>
          <w:vertAlign w:val="baseline"/>
        </w:rPr>
        <w:t> </w:t>
      </w:r>
      <w:r>
        <w:rPr>
          <w:sz w:val="18"/>
          <w:vertAlign w:val="baseline"/>
        </w:rPr>
        <w:t>the</w:t>
      </w:r>
      <w:r>
        <w:rPr>
          <w:spacing w:val="-3"/>
          <w:sz w:val="18"/>
          <w:vertAlign w:val="baseline"/>
        </w:rPr>
        <w:t> </w:t>
      </w:r>
      <w:r>
        <w:rPr>
          <w:sz w:val="18"/>
          <w:vertAlign w:val="baseline"/>
        </w:rPr>
        <w:t>Lifecourse,”</w:t>
      </w:r>
      <w:r>
        <w:rPr>
          <w:spacing w:val="-3"/>
          <w:sz w:val="18"/>
          <w:vertAlign w:val="baseline"/>
        </w:rPr>
        <w:t> </w:t>
      </w:r>
      <w:r>
        <w:rPr>
          <w:i/>
          <w:sz w:val="18"/>
          <w:vertAlign w:val="baseline"/>
        </w:rPr>
        <w:t>Women’s</w:t>
      </w:r>
      <w:r>
        <w:rPr>
          <w:i/>
          <w:spacing w:val="-4"/>
          <w:sz w:val="18"/>
          <w:vertAlign w:val="baseline"/>
        </w:rPr>
        <w:t> </w:t>
      </w:r>
      <w:r>
        <w:rPr>
          <w:i/>
          <w:sz w:val="18"/>
          <w:vertAlign w:val="baseline"/>
        </w:rPr>
        <w:t>Health</w:t>
      </w:r>
      <w:r>
        <w:rPr>
          <w:i/>
          <w:sz w:val="18"/>
          <w:vertAlign w:val="baseline"/>
        </w:rPr>
        <w:t> Issues </w:t>
      </w:r>
      <w:r>
        <w:rPr>
          <w:sz w:val="18"/>
          <w:vertAlign w:val="baseline"/>
        </w:rPr>
        <w:t>30, no. 2 (March 2020): 65–72.</w:t>
      </w:r>
    </w:p>
    <w:p>
      <w:pPr>
        <w:spacing w:before="0"/>
        <w:ind w:left="463" w:right="261" w:hanging="1"/>
        <w:jc w:val="left"/>
        <w:rPr>
          <w:sz w:val="18"/>
        </w:rPr>
      </w:pPr>
      <w:bookmarkStart w:name="_bookmark241" w:id="431"/>
      <w:bookmarkEnd w:id="431"/>
      <w:r>
        <w:rPr/>
      </w:r>
      <w:r>
        <w:rPr>
          <w:sz w:val="18"/>
          <w:vertAlign w:val="superscript"/>
        </w:rPr>
        <w:t>48</w:t>
      </w:r>
      <w:r>
        <w:rPr>
          <w:spacing w:val="-13"/>
          <w:sz w:val="18"/>
          <w:vertAlign w:val="baseline"/>
        </w:rPr>
        <w:t> </w:t>
      </w:r>
      <w:r>
        <w:rPr>
          <w:sz w:val="18"/>
          <w:vertAlign w:val="baseline"/>
        </w:rPr>
        <w:t>Rachel</w:t>
      </w:r>
      <w:r>
        <w:rPr>
          <w:spacing w:val="-5"/>
          <w:sz w:val="18"/>
          <w:vertAlign w:val="baseline"/>
        </w:rPr>
        <w:t> </w:t>
      </w:r>
      <w:r>
        <w:rPr>
          <w:sz w:val="18"/>
          <w:vertAlign w:val="baseline"/>
        </w:rPr>
        <w:t>K.</w:t>
      </w:r>
      <w:r>
        <w:rPr>
          <w:spacing w:val="-2"/>
          <w:sz w:val="18"/>
          <w:vertAlign w:val="baseline"/>
        </w:rPr>
        <w:t> </w:t>
      </w:r>
      <w:r>
        <w:rPr>
          <w:sz w:val="18"/>
          <w:vertAlign w:val="baseline"/>
        </w:rPr>
        <w:t>Jones,</w:t>
      </w:r>
      <w:r>
        <w:rPr>
          <w:spacing w:val="-3"/>
          <w:sz w:val="18"/>
          <w:vertAlign w:val="baseline"/>
        </w:rPr>
        <w:t> </w:t>
      </w:r>
      <w:r>
        <w:rPr>
          <w:sz w:val="18"/>
          <w:vertAlign w:val="baseline"/>
        </w:rPr>
        <w:t>Elizabeth</w:t>
      </w:r>
      <w:r>
        <w:rPr>
          <w:spacing w:val="-2"/>
          <w:sz w:val="18"/>
          <w:vertAlign w:val="baseline"/>
        </w:rPr>
        <w:t> </w:t>
      </w:r>
      <w:r>
        <w:rPr>
          <w:sz w:val="18"/>
          <w:vertAlign w:val="baseline"/>
        </w:rPr>
        <w:t>Witwer,</w:t>
      </w:r>
      <w:r>
        <w:rPr>
          <w:spacing w:val="-3"/>
          <w:sz w:val="18"/>
          <w:vertAlign w:val="baseline"/>
        </w:rPr>
        <w:t> </w:t>
      </w:r>
      <w:r>
        <w:rPr>
          <w:sz w:val="18"/>
          <w:vertAlign w:val="baseline"/>
        </w:rPr>
        <w:t>and</w:t>
      </w:r>
      <w:r>
        <w:rPr>
          <w:spacing w:val="-2"/>
          <w:sz w:val="18"/>
          <w:vertAlign w:val="baseline"/>
        </w:rPr>
        <w:t> </w:t>
      </w:r>
      <w:r>
        <w:rPr>
          <w:sz w:val="18"/>
          <w:vertAlign w:val="baseline"/>
        </w:rPr>
        <w:t>Jenna</w:t>
      </w:r>
      <w:r>
        <w:rPr>
          <w:spacing w:val="-3"/>
          <w:sz w:val="18"/>
          <w:vertAlign w:val="baseline"/>
        </w:rPr>
        <w:t> </w:t>
      </w:r>
      <w:r>
        <w:rPr>
          <w:sz w:val="18"/>
          <w:vertAlign w:val="baseline"/>
        </w:rPr>
        <w:t>Jerman,</w:t>
      </w:r>
      <w:r>
        <w:rPr>
          <w:spacing w:val="-3"/>
          <w:sz w:val="18"/>
          <w:vertAlign w:val="baseline"/>
        </w:rPr>
        <w:t> </w:t>
      </w:r>
      <w:r>
        <w:rPr>
          <w:sz w:val="18"/>
          <w:vertAlign w:val="baseline"/>
        </w:rPr>
        <w:t>“Transgender</w:t>
      </w:r>
      <w:r>
        <w:rPr>
          <w:spacing w:val="-3"/>
          <w:sz w:val="18"/>
          <w:vertAlign w:val="baseline"/>
        </w:rPr>
        <w:t> </w:t>
      </w:r>
      <w:r>
        <w:rPr>
          <w:sz w:val="18"/>
          <w:vertAlign w:val="baseline"/>
        </w:rPr>
        <w:t>Abortion</w:t>
      </w:r>
      <w:r>
        <w:rPr>
          <w:spacing w:val="-2"/>
          <w:sz w:val="18"/>
          <w:vertAlign w:val="baseline"/>
        </w:rPr>
        <w:t> </w:t>
      </w:r>
      <w:r>
        <w:rPr>
          <w:sz w:val="18"/>
          <w:vertAlign w:val="baseline"/>
        </w:rPr>
        <w:t>Patients</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3"/>
          <w:sz w:val="18"/>
          <w:vertAlign w:val="baseline"/>
        </w:rPr>
        <w:t> </w:t>
      </w:r>
      <w:r>
        <w:rPr>
          <w:sz w:val="18"/>
          <w:vertAlign w:val="baseline"/>
        </w:rPr>
        <w:t>Provision</w:t>
      </w:r>
      <w:r>
        <w:rPr>
          <w:spacing w:val="-2"/>
          <w:sz w:val="18"/>
          <w:vertAlign w:val="baseline"/>
        </w:rPr>
        <w:t> </w:t>
      </w:r>
      <w:r>
        <w:rPr>
          <w:sz w:val="18"/>
          <w:vertAlign w:val="baseline"/>
        </w:rPr>
        <w:t>of</w:t>
      </w:r>
      <w:r>
        <w:rPr>
          <w:spacing w:val="-2"/>
          <w:sz w:val="18"/>
          <w:vertAlign w:val="baseline"/>
        </w:rPr>
        <w:t> </w:t>
      </w:r>
      <w:r>
        <w:rPr>
          <w:sz w:val="18"/>
          <w:vertAlign w:val="baseline"/>
        </w:rPr>
        <w:t>Transgender-</w:t>
      </w:r>
      <w:r>
        <w:rPr>
          <w:spacing w:val="-2"/>
          <w:sz w:val="18"/>
          <w:vertAlign w:val="baseline"/>
        </w:rPr>
        <w:t> </w:t>
      </w:r>
      <w:r>
        <w:rPr>
          <w:sz w:val="18"/>
          <w:vertAlign w:val="baseline"/>
        </w:rPr>
        <w:t>Specific Care at Non-Hospital Facilities That Provide Abortions,” </w:t>
      </w:r>
      <w:r>
        <w:rPr>
          <w:i/>
          <w:sz w:val="18"/>
          <w:vertAlign w:val="baseline"/>
        </w:rPr>
        <w:t>Contraception: X </w:t>
      </w:r>
      <w:r>
        <w:rPr>
          <w:sz w:val="18"/>
          <w:vertAlign w:val="baseline"/>
        </w:rPr>
        <w:t>2 (2020): 100019, </w:t>
      </w:r>
      <w:hyperlink r:id="rId357">
        <w:r>
          <w:rPr>
            <w:color w:val="0561C1"/>
            <w:spacing w:val="-2"/>
            <w:sz w:val="18"/>
            <w:u w:val="single" w:color="0561C1"/>
            <w:vertAlign w:val="baseline"/>
          </w:rPr>
          <w:t>https://doi.org/10.1016/j.conx.2020.100019</w:t>
        </w:r>
      </w:hyperlink>
      <w:hyperlink r:id="rId357">
        <w:r>
          <w:rPr>
            <w:spacing w:val="-2"/>
            <w:sz w:val="18"/>
            <w:u w:val="none"/>
            <w:vertAlign w:val="baseline"/>
          </w:rPr>
          <w:t>.</w:t>
        </w:r>
      </w:hyperlink>
    </w:p>
    <w:p>
      <w:pPr>
        <w:spacing w:before="0"/>
        <w:ind w:left="463" w:right="781" w:hanging="1"/>
        <w:jc w:val="left"/>
        <w:rPr>
          <w:sz w:val="18"/>
        </w:rPr>
      </w:pPr>
      <w:bookmarkStart w:name="_bookmark242" w:id="432"/>
      <w:bookmarkEnd w:id="432"/>
      <w:r>
        <w:rPr/>
      </w:r>
      <w:r>
        <w:rPr>
          <w:sz w:val="18"/>
          <w:vertAlign w:val="superscript"/>
        </w:rPr>
        <w:t>49</w:t>
      </w:r>
      <w:r>
        <w:rPr>
          <w:spacing w:val="-13"/>
          <w:sz w:val="18"/>
          <w:vertAlign w:val="baseline"/>
        </w:rPr>
        <w:t> </w:t>
      </w:r>
      <w:r>
        <w:rPr>
          <w:sz w:val="18"/>
          <w:vertAlign w:val="baseline"/>
        </w:rPr>
        <w:t>“New</w:t>
      </w:r>
      <w:r>
        <w:rPr>
          <w:spacing w:val="-4"/>
          <w:sz w:val="18"/>
          <w:vertAlign w:val="baseline"/>
        </w:rPr>
        <w:t> </w:t>
      </w:r>
      <w:r>
        <w:rPr>
          <w:sz w:val="18"/>
          <w:vertAlign w:val="baseline"/>
        </w:rPr>
        <w:t>Poll</w:t>
      </w:r>
      <w:r>
        <w:rPr>
          <w:spacing w:val="-3"/>
          <w:sz w:val="18"/>
          <w:vertAlign w:val="baseline"/>
        </w:rPr>
        <w:t> </w:t>
      </w:r>
      <w:r>
        <w:rPr>
          <w:sz w:val="18"/>
          <w:vertAlign w:val="baseline"/>
        </w:rPr>
        <w:t>Illustrates</w:t>
      </w:r>
      <w:r>
        <w:rPr>
          <w:spacing w:val="-2"/>
          <w:sz w:val="18"/>
          <w:vertAlign w:val="baseline"/>
        </w:rPr>
        <w:t> </w:t>
      </w:r>
      <w:r>
        <w:rPr>
          <w:sz w:val="18"/>
          <w:vertAlign w:val="baseline"/>
        </w:rPr>
        <w:t>the</w:t>
      </w:r>
      <w:r>
        <w:rPr>
          <w:spacing w:val="-2"/>
          <w:sz w:val="18"/>
          <w:vertAlign w:val="baseline"/>
        </w:rPr>
        <w:t> </w:t>
      </w:r>
      <w:r>
        <w:rPr>
          <w:sz w:val="18"/>
          <w:vertAlign w:val="baseline"/>
        </w:rPr>
        <w:t>Impacts</w:t>
      </w:r>
      <w:r>
        <w:rPr>
          <w:spacing w:val="-2"/>
          <w:sz w:val="18"/>
          <w:vertAlign w:val="baseline"/>
        </w:rPr>
        <w:t> </w:t>
      </w:r>
      <w:r>
        <w:rPr>
          <w:sz w:val="18"/>
          <w:vertAlign w:val="baseline"/>
        </w:rPr>
        <w:t>of</w:t>
      </w:r>
      <w:r>
        <w:rPr>
          <w:spacing w:val="-2"/>
          <w:sz w:val="18"/>
          <w:vertAlign w:val="baseline"/>
        </w:rPr>
        <w:t> </w:t>
      </w:r>
      <w:r>
        <w:rPr>
          <w:sz w:val="18"/>
          <w:vertAlign w:val="baseline"/>
        </w:rPr>
        <w:t>Social</w:t>
      </w:r>
      <w:r>
        <w:rPr>
          <w:spacing w:val="-3"/>
          <w:sz w:val="18"/>
          <w:vertAlign w:val="baseline"/>
        </w:rPr>
        <w:t> </w:t>
      </w:r>
      <w:r>
        <w:rPr>
          <w:sz w:val="18"/>
          <w:vertAlign w:val="baseline"/>
        </w:rPr>
        <w:t>&amp;</w:t>
      </w:r>
      <w:r>
        <w:rPr>
          <w:spacing w:val="-3"/>
          <w:sz w:val="18"/>
          <w:vertAlign w:val="baseline"/>
        </w:rPr>
        <w:t> </w:t>
      </w:r>
      <w:r>
        <w:rPr>
          <w:sz w:val="18"/>
          <w:vertAlign w:val="baseline"/>
        </w:rPr>
        <w:t>Political</w:t>
      </w:r>
      <w:r>
        <w:rPr>
          <w:spacing w:val="-3"/>
          <w:sz w:val="18"/>
          <w:vertAlign w:val="baseline"/>
        </w:rPr>
        <w:t> </w:t>
      </w:r>
      <w:r>
        <w:rPr>
          <w:sz w:val="18"/>
          <w:vertAlign w:val="baseline"/>
        </w:rPr>
        <w:t>Issues</w:t>
      </w:r>
      <w:r>
        <w:rPr>
          <w:spacing w:val="-2"/>
          <w:sz w:val="18"/>
          <w:vertAlign w:val="baseline"/>
        </w:rPr>
        <w:t> </w:t>
      </w:r>
      <w:r>
        <w:rPr>
          <w:sz w:val="18"/>
          <w:vertAlign w:val="baseline"/>
        </w:rPr>
        <w:t>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i/>
          <w:sz w:val="18"/>
          <w:vertAlign w:val="baseline"/>
        </w:rPr>
        <w:t>The</w:t>
      </w:r>
      <w:r>
        <w:rPr>
          <w:i/>
          <w:spacing w:val="-2"/>
          <w:sz w:val="18"/>
          <w:vertAlign w:val="baseline"/>
        </w:rPr>
        <w:t> </w:t>
      </w:r>
      <w:r>
        <w:rPr>
          <w:i/>
          <w:sz w:val="18"/>
          <w:vertAlign w:val="baseline"/>
        </w:rPr>
        <w:t>Trevor</w:t>
      </w:r>
      <w:r>
        <w:rPr>
          <w:i/>
          <w:spacing w:val="-3"/>
          <w:sz w:val="18"/>
          <w:vertAlign w:val="baseline"/>
        </w:rPr>
        <w:t> </w:t>
      </w:r>
      <w:r>
        <w:rPr>
          <w:i/>
          <w:sz w:val="18"/>
          <w:vertAlign w:val="baseline"/>
        </w:rPr>
        <w:t>Project</w:t>
      </w:r>
      <w:r>
        <w:rPr>
          <w:i/>
          <w:spacing w:val="-3"/>
          <w:sz w:val="18"/>
          <w:vertAlign w:val="baseline"/>
        </w:rPr>
        <w:t> </w:t>
      </w:r>
      <w:r>
        <w:rPr>
          <w:sz w:val="18"/>
          <w:vertAlign w:val="baseline"/>
        </w:rPr>
        <w:t>(blog),</w:t>
      </w:r>
      <w:r>
        <w:rPr>
          <w:spacing w:val="-3"/>
          <w:sz w:val="18"/>
          <w:vertAlign w:val="baseline"/>
        </w:rPr>
        <w:t> </w:t>
      </w:r>
      <w:r>
        <w:rPr>
          <w:sz w:val="18"/>
          <w:vertAlign w:val="baseline"/>
        </w:rPr>
        <w:t>January</w:t>
      </w:r>
      <w:r>
        <w:rPr>
          <w:spacing w:val="-3"/>
          <w:sz w:val="18"/>
          <w:vertAlign w:val="baseline"/>
        </w:rPr>
        <w:t> </w:t>
      </w:r>
      <w:r>
        <w:rPr>
          <w:sz w:val="18"/>
          <w:vertAlign w:val="baseline"/>
        </w:rPr>
        <w:t>10,</w:t>
      </w:r>
      <w:r>
        <w:rPr>
          <w:spacing w:val="-3"/>
          <w:sz w:val="18"/>
          <w:vertAlign w:val="baseline"/>
        </w:rPr>
        <w:t> </w:t>
      </w:r>
      <w:r>
        <w:rPr>
          <w:sz w:val="18"/>
          <w:vertAlign w:val="baseline"/>
        </w:rPr>
        <w:t>2022, </w:t>
      </w:r>
      <w:hyperlink r:id="rId358">
        <w:r>
          <w:rPr>
            <w:color w:val="0561C1"/>
            <w:spacing w:val="-2"/>
            <w:sz w:val="18"/>
            <w:u w:val="single" w:color="0561C1"/>
            <w:vertAlign w:val="baseline"/>
          </w:rPr>
          <w:t>https://www.thetrevorproject.org/blog/new-poll-illustrates-the-impacts-of-social-political-issues-on-lgbtq-youth/</w:t>
        </w:r>
      </w:hyperlink>
    </w:p>
    <w:p>
      <w:pPr>
        <w:spacing w:before="0"/>
        <w:ind w:left="463" w:right="511" w:firstLine="0"/>
        <w:jc w:val="both"/>
        <w:rPr>
          <w:sz w:val="18"/>
        </w:rPr>
      </w:pPr>
      <w:bookmarkStart w:name="_bookmark243" w:id="433"/>
      <w:bookmarkEnd w:id="433"/>
      <w:r>
        <w:rPr/>
      </w:r>
      <w:r>
        <w:rPr>
          <w:sz w:val="18"/>
          <w:vertAlign w:val="superscript"/>
        </w:rPr>
        <w:t>50</w:t>
      </w:r>
      <w:r>
        <w:rPr>
          <w:spacing w:val="-11"/>
          <w:sz w:val="18"/>
          <w:vertAlign w:val="baseline"/>
        </w:rPr>
        <w:t> </w:t>
      </w:r>
      <w:r>
        <w:rPr>
          <w:sz w:val="18"/>
          <w:vertAlign w:val="baseline"/>
        </w:rPr>
        <w:t>Stephanie</w:t>
      </w:r>
      <w:r>
        <w:rPr>
          <w:spacing w:val="-3"/>
          <w:sz w:val="18"/>
          <w:vertAlign w:val="baseline"/>
        </w:rPr>
        <w:t> </w:t>
      </w:r>
      <w:r>
        <w:rPr>
          <w:sz w:val="18"/>
          <w:vertAlign w:val="baseline"/>
        </w:rPr>
        <w:t>Ebbert,</w:t>
      </w:r>
      <w:r>
        <w:rPr>
          <w:spacing w:val="-2"/>
          <w:sz w:val="18"/>
          <w:vertAlign w:val="baseline"/>
        </w:rPr>
        <w:t> </w:t>
      </w:r>
      <w:r>
        <w:rPr>
          <w:sz w:val="18"/>
          <w:vertAlign w:val="baseline"/>
        </w:rPr>
        <w:t>“Massachusetts</w:t>
      </w:r>
      <w:r>
        <w:rPr>
          <w:spacing w:val="-1"/>
          <w:sz w:val="18"/>
          <w:vertAlign w:val="baseline"/>
        </w:rPr>
        <w:t> </w:t>
      </w:r>
      <w:r>
        <w:rPr>
          <w:sz w:val="18"/>
          <w:vertAlign w:val="baseline"/>
        </w:rPr>
        <w:t>Has</w:t>
      </w:r>
      <w:r>
        <w:rPr>
          <w:spacing w:val="-1"/>
          <w:sz w:val="18"/>
          <w:vertAlign w:val="baseline"/>
        </w:rPr>
        <w:t> </w:t>
      </w:r>
      <w:r>
        <w:rPr>
          <w:sz w:val="18"/>
          <w:vertAlign w:val="baseline"/>
        </w:rPr>
        <w:t>Expanded</w:t>
      </w:r>
      <w:r>
        <w:rPr>
          <w:spacing w:val="-1"/>
          <w:sz w:val="18"/>
          <w:vertAlign w:val="baseline"/>
        </w:rPr>
        <w:t> </w:t>
      </w:r>
      <w:r>
        <w:rPr>
          <w:sz w:val="18"/>
          <w:vertAlign w:val="baseline"/>
        </w:rPr>
        <w:t>Abortion</w:t>
      </w:r>
      <w:r>
        <w:rPr>
          <w:spacing w:val="-1"/>
          <w:sz w:val="18"/>
          <w:vertAlign w:val="baseline"/>
        </w:rPr>
        <w:t> </w:t>
      </w:r>
      <w:r>
        <w:rPr>
          <w:sz w:val="18"/>
          <w:vertAlign w:val="baseline"/>
        </w:rPr>
        <w:t>Rights.</w:t>
      </w:r>
      <w:r>
        <w:rPr>
          <w:spacing w:val="-1"/>
          <w:sz w:val="18"/>
          <w:vertAlign w:val="baseline"/>
        </w:rPr>
        <w:t> </w:t>
      </w:r>
      <w:r>
        <w:rPr>
          <w:sz w:val="18"/>
          <w:vertAlign w:val="baseline"/>
        </w:rPr>
        <w:t>But</w:t>
      </w:r>
      <w:r>
        <w:rPr>
          <w:spacing w:val="-2"/>
          <w:sz w:val="18"/>
          <w:vertAlign w:val="baseline"/>
        </w:rPr>
        <w:t> </w:t>
      </w:r>
      <w:r>
        <w:rPr>
          <w:sz w:val="18"/>
          <w:vertAlign w:val="baseline"/>
        </w:rPr>
        <w:t>Even</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1"/>
          <w:sz w:val="18"/>
          <w:vertAlign w:val="baseline"/>
        </w:rPr>
        <w:t> </w:t>
      </w:r>
      <w:r>
        <w:rPr>
          <w:sz w:val="18"/>
          <w:vertAlign w:val="baseline"/>
        </w:rPr>
        <w:t>Metro</w:t>
      </w:r>
      <w:r>
        <w:rPr>
          <w:spacing w:val="-1"/>
          <w:sz w:val="18"/>
          <w:vertAlign w:val="baseline"/>
        </w:rPr>
        <w:t> </w:t>
      </w:r>
      <w:r>
        <w:rPr>
          <w:sz w:val="18"/>
          <w:vertAlign w:val="baseline"/>
        </w:rPr>
        <w:t>Region,</w:t>
      </w:r>
      <w:r>
        <w:rPr>
          <w:spacing w:val="-2"/>
          <w:sz w:val="18"/>
          <w:vertAlign w:val="baseline"/>
        </w:rPr>
        <w:t> </w:t>
      </w:r>
      <w:r>
        <w:rPr>
          <w:sz w:val="18"/>
          <w:vertAlign w:val="baseline"/>
        </w:rPr>
        <w:t>Clinics</w:t>
      </w:r>
      <w:r>
        <w:rPr>
          <w:spacing w:val="-1"/>
          <w:sz w:val="18"/>
          <w:vertAlign w:val="baseline"/>
        </w:rPr>
        <w:t> </w:t>
      </w:r>
      <w:r>
        <w:rPr>
          <w:sz w:val="18"/>
          <w:vertAlign w:val="baseline"/>
        </w:rPr>
        <w:t>Can</w:t>
      </w:r>
      <w:r>
        <w:rPr>
          <w:spacing w:val="-1"/>
          <w:sz w:val="18"/>
          <w:vertAlign w:val="baseline"/>
        </w:rPr>
        <w:t> </w:t>
      </w:r>
      <w:r>
        <w:rPr>
          <w:sz w:val="18"/>
          <w:vertAlign w:val="baseline"/>
        </w:rPr>
        <w:t>Be</w:t>
      </w:r>
      <w:r>
        <w:rPr>
          <w:spacing w:val="-2"/>
          <w:sz w:val="18"/>
          <w:vertAlign w:val="baseline"/>
        </w:rPr>
        <w:t> </w:t>
      </w:r>
      <w:r>
        <w:rPr>
          <w:sz w:val="18"/>
          <w:vertAlign w:val="baseline"/>
        </w:rPr>
        <w:t>Distant.</w:t>
      </w:r>
      <w:r>
        <w:rPr>
          <w:spacing w:val="-1"/>
          <w:sz w:val="18"/>
          <w:vertAlign w:val="baseline"/>
        </w:rPr>
        <w:t> </w:t>
      </w:r>
      <w:r>
        <w:rPr>
          <w:sz w:val="18"/>
          <w:vertAlign w:val="baseline"/>
        </w:rPr>
        <w:t>-</w:t>
      </w:r>
      <w:r>
        <w:rPr>
          <w:spacing w:val="-2"/>
          <w:sz w:val="18"/>
          <w:vertAlign w:val="baseline"/>
        </w:rPr>
        <w:t> </w:t>
      </w:r>
      <w:r>
        <w:rPr>
          <w:sz w:val="18"/>
          <w:vertAlign w:val="baseline"/>
        </w:rPr>
        <w:t>The Boston</w:t>
      </w:r>
      <w:r>
        <w:rPr>
          <w:spacing w:val="-6"/>
          <w:sz w:val="18"/>
          <w:vertAlign w:val="baseline"/>
        </w:rPr>
        <w:t> </w:t>
      </w:r>
      <w:r>
        <w:rPr>
          <w:sz w:val="18"/>
          <w:vertAlign w:val="baseline"/>
        </w:rPr>
        <w:t>Globe,”</w:t>
      </w:r>
      <w:r>
        <w:rPr>
          <w:spacing w:val="-7"/>
          <w:sz w:val="18"/>
          <w:vertAlign w:val="baseline"/>
        </w:rPr>
        <w:t> </w:t>
      </w:r>
      <w:r>
        <w:rPr>
          <w:sz w:val="18"/>
          <w:vertAlign w:val="baseline"/>
        </w:rPr>
        <w:t>accessed</w:t>
      </w:r>
      <w:r>
        <w:rPr>
          <w:spacing w:val="-6"/>
          <w:sz w:val="18"/>
          <w:vertAlign w:val="baseline"/>
        </w:rPr>
        <w:t> </w:t>
      </w:r>
      <w:r>
        <w:rPr>
          <w:sz w:val="18"/>
          <w:vertAlign w:val="baseline"/>
        </w:rPr>
        <w:t>December</w:t>
      </w:r>
      <w:r>
        <w:rPr>
          <w:spacing w:val="-7"/>
          <w:sz w:val="18"/>
          <w:vertAlign w:val="baseline"/>
        </w:rPr>
        <w:t> </w:t>
      </w:r>
      <w:r>
        <w:rPr>
          <w:sz w:val="18"/>
          <w:vertAlign w:val="baseline"/>
        </w:rPr>
        <w:t>4,</w:t>
      </w:r>
      <w:r>
        <w:rPr>
          <w:spacing w:val="-7"/>
          <w:sz w:val="18"/>
          <w:vertAlign w:val="baseline"/>
        </w:rPr>
        <w:t> </w:t>
      </w:r>
      <w:r>
        <w:rPr>
          <w:sz w:val="18"/>
          <w:vertAlign w:val="baseline"/>
        </w:rPr>
        <w:t>2022,</w:t>
      </w:r>
      <w:r>
        <w:rPr>
          <w:spacing w:val="-7"/>
          <w:sz w:val="18"/>
          <w:vertAlign w:val="baseline"/>
        </w:rPr>
        <w:t> </w:t>
      </w:r>
      <w:hyperlink r:id="rId359">
        <w:r>
          <w:rPr>
            <w:color w:val="0561C1"/>
            <w:sz w:val="18"/>
            <w:u w:val="single" w:color="0561C1"/>
            <w:vertAlign w:val="baseline"/>
          </w:rPr>
          <w:t>https://www.bostonglobe.com/2022/10/09/metro/massachusetts-has-expanded-</w:t>
        </w:r>
      </w:hyperlink>
      <w:r>
        <w:rPr>
          <w:color w:val="0561C1"/>
          <w:sz w:val="18"/>
          <w:u w:val="none"/>
          <w:vertAlign w:val="baseline"/>
        </w:rPr>
        <w:t> </w:t>
      </w:r>
      <w:hyperlink r:id="rId359">
        <w:r>
          <w:rPr>
            <w:color w:val="0561C1"/>
            <w:spacing w:val="-2"/>
            <w:sz w:val="18"/>
            <w:u w:val="single" w:color="0561C1"/>
            <w:vertAlign w:val="baseline"/>
          </w:rPr>
          <w:t>abortion-rights-even-metro-region-clinics-can-be-distant/</w:t>
        </w:r>
      </w:hyperlink>
      <w:hyperlink r:id="rId359">
        <w:r>
          <w:rPr>
            <w:spacing w:val="-2"/>
            <w:sz w:val="18"/>
            <w:u w:val="none"/>
            <w:vertAlign w:val="baseline"/>
          </w:rPr>
          <w:t>.</w:t>
        </w:r>
      </w:hyperlink>
    </w:p>
    <w:p>
      <w:pPr>
        <w:spacing w:line="219" w:lineRule="exact" w:before="0"/>
        <w:ind w:left="463" w:right="0" w:firstLine="0"/>
        <w:jc w:val="both"/>
        <w:rPr>
          <w:sz w:val="18"/>
        </w:rPr>
      </w:pPr>
      <w:bookmarkStart w:name="_bookmark244" w:id="434"/>
      <w:bookmarkEnd w:id="434"/>
      <w:r>
        <w:rPr/>
      </w:r>
      <w:r>
        <w:rPr>
          <w:spacing w:val="-2"/>
          <w:sz w:val="18"/>
          <w:vertAlign w:val="superscript"/>
        </w:rPr>
        <w:t>51</w:t>
      </w:r>
      <w:r>
        <w:rPr>
          <w:spacing w:val="65"/>
          <w:sz w:val="18"/>
          <w:vertAlign w:val="baseline"/>
        </w:rPr>
        <w:t> </w:t>
      </w:r>
      <w:r>
        <w:rPr>
          <w:spacing w:val="-2"/>
          <w:sz w:val="18"/>
          <w:vertAlign w:val="baseline"/>
        </w:rPr>
        <w:t>https://abortioncarenewengland.org/providers-by-zipcode</w:t>
      </w:r>
    </w:p>
    <w:p>
      <w:pPr>
        <w:spacing w:before="0"/>
        <w:ind w:left="463" w:right="0" w:firstLine="0"/>
        <w:jc w:val="left"/>
        <w:rPr>
          <w:sz w:val="18"/>
        </w:rPr>
      </w:pPr>
      <w:bookmarkStart w:name="_bookmark245" w:id="435"/>
      <w:bookmarkEnd w:id="435"/>
      <w:r>
        <w:rPr/>
      </w:r>
      <w:r>
        <w:rPr>
          <w:sz w:val="18"/>
          <w:vertAlign w:val="superscript"/>
        </w:rPr>
        <w:t>52</w:t>
      </w:r>
      <w:r>
        <w:rPr>
          <w:spacing w:val="-15"/>
          <w:sz w:val="18"/>
          <w:vertAlign w:val="baseline"/>
        </w:rPr>
        <w:t> </w:t>
      </w:r>
      <w:r>
        <w:rPr>
          <w:sz w:val="18"/>
          <w:vertAlign w:val="baseline"/>
        </w:rPr>
        <w:t>“MassHealth’s</w:t>
      </w:r>
      <w:r>
        <w:rPr>
          <w:spacing w:val="-5"/>
          <w:sz w:val="18"/>
          <w:vertAlign w:val="baseline"/>
        </w:rPr>
        <w:t> </w:t>
      </w:r>
      <w:r>
        <w:rPr>
          <w:sz w:val="18"/>
          <w:vertAlign w:val="baseline"/>
        </w:rPr>
        <w:t>Extended</w:t>
      </w:r>
      <w:r>
        <w:rPr>
          <w:spacing w:val="-3"/>
          <w:sz w:val="18"/>
          <w:vertAlign w:val="baseline"/>
        </w:rPr>
        <w:t> </w:t>
      </w:r>
      <w:r>
        <w:rPr>
          <w:sz w:val="18"/>
          <w:vertAlign w:val="baseline"/>
        </w:rPr>
        <w:t>12-Month</w:t>
      </w:r>
      <w:r>
        <w:rPr>
          <w:spacing w:val="-3"/>
          <w:sz w:val="18"/>
          <w:vertAlign w:val="baseline"/>
        </w:rPr>
        <w:t> </w:t>
      </w:r>
      <w:r>
        <w:rPr>
          <w:sz w:val="18"/>
          <w:vertAlign w:val="baseline"/>
        </w:rPr>
        <w:t>Postpartum</w:t>
      </w:r>
      <w:r>
        <w:rPr>
          <w:spacing w:val="-2"/>
          <w:sz w:val="18"/>
          <w:vertAlign w:val="baseline"/>
        </w:rPr>
        <w:t> </w:t>
      </w:r>
      <w:r>
        <w:rPr>
          <w:sz w:val="18"/>
          <w:vertAlign w:val="baseline"/>
        </w:rPr>
        <w:t>Coverage</w:t>
      </w:r>
      <w:r>
        <w:rPr>
          <w:spacing w:val="-4"/>
          <w:sz w:val="18"/>
          <w:vertAlign w:val="baseline"/>
        </w:rPr>
        <w:t> </w:t>
      </w:r>
      <w:r>
        <w:rPr>
          <w:sz w:val="18"/>
          <w:vertAlign w:val="baseline"/>
        </w:rPr>
        <w:t>Approved</w:t>
      </w:r>
      <w:r>
        <w:rPr>
          <w:spacing w:val="-3"/>
          <w:sz w:val="18"/>
          <w:vertAlign w:val="baseline"/>
        </w:rPr>
        <w:t> </w:t>
      </w:r>
      <w:r>
        <w:rPr>
          <w:sz w:val="18"/>
          <w:vertAlign w:val="baseline"/>
        </w:rPr>
        <w:t>by</w:t>
      </w:r>
      <w:r>
        <w:rPr>
          <w:spacing w:val="-2"/>
          <w:sz w:val="18"/>
          <w:vertAlign w:val="baseline"/>
        </w:rPr>
        <w:t> </w:t>
      </w:r>
      <w:r>
        <w:rPr>
          <w:sz w:val="18"/>
          <w:vertAlign w:val="baseline"/>
        </w:rPr>
        <w:t>the</w:t>
      </w:r>
      <w:r>
        <w:rPr>
          <w:spacing w:val="-3"/>
          <w:sz w:val="18"/>
          <w:vertAlign w:val="baseline"/>
        </w:rPr>
        <w:t> </w:t>
      </w:r>
      <w:r>
        <w:rPr>
          <w:sz w:val="18"/>
          <w:vertAlign w:val="baseline"/>
        </w:rPr>
        <w:t>Federal</w:t>
      </w:r>
      <w:r>
        <w:rPr>
          <w:spacing w:val="-4"/>
          <w:sz w:val="18"/>
          <w:vertAlign w:val="baseline"/>
        </w:rPr>
        <w:t> </w:t>
      </w:r>
      <w:r>
        <w:rPr>
          <w:sz w:val="18"/>
          <w:vertAlign w:val="baseline"/>
        </w:rPr>
        <w:t>Centers</w:t>
      </w:r>
      <w:r>
        <w:rPr>
          <w:spacing w:val="-3"/>
          <w:sz w:val="18"/>
          <w:vertAlign w:val="baseline"/>
        </w:rPr>
        <w:t> </w:t>
      </w:r>
      <w:r>
        <w:rPr>
          <w:sz w:val="18"/>
          <w:vertAlign w:val="baseline"/>
        </w:rPr>
        <w:t>for</w:t>
      </w:r>
      <w:r>
        <w:rPr>
          <w:spacing w:val="-3"/>
          <w:sz w:val="18"/>
          <w:vertAlign w:val="baseline"/>
        </w:rPr>
        <w:t> </w:t>
      </w:r>
      <w:r>
        <w:rPr>
          <w:sz w:val="18"/>
          <w:vertAlign w:val="baseline"/>
        </w:rPr>
        <w:t>Medicare</w:t>
      </w:r>
      <w:r>
        <w:rPr>
          <w:spacing w:val="-3"/>
          <w:sz w:val="18"/>
          <w:vertAlign w:val="baseline"/>
        </w:rPr>
        <w:t> </w:t>
      </w:r>
      <w:r>
        <w:rPr>
          <w:sz w:val="18"/>
          <w:vertAlign w:val="baseline"/>
        </w:rPr>
        <w:t>&amp;</w:t>
      </w:r>
      <w:r>
        <w:rPr>
          <w:spacing w:val="-4"/>
          <w:sz w:val="18"/>
          <w:vertAlign w:val="baseline"/>
        </w:rPr>
        <w:t> </w:t>
      </w:r>
      <w:r>
        <w:rPr>
          <w:sz w:val="18"/>
          <w:vertAlign w:val="baseline"/>
        </w:rPr>
        <w:t>Medicaid</w:t>
      </w:r>
      <w:r>
        <w:rPr>
          <w:spacing w:val="-2"/>
          <w:sz w:val="18"/>
          <w:vertAlign w:val="baseline"/>
        </w:rPr>
        <w:t> Services</w:t>
      </w:r>
    </w:p>
    <w:p>
      <w:pPr>
        <w:spacing w:before="0"/>
        <w:ind w:left="463" w:right="310" w:firstLine="0"/>
        <w:jc w:val="left"/>
        <w:rPr>
          <w:sz w:val="18"/>
        </w:rPr>
      </w:pPr>
      <w:r>
        <w:rPr>
          <w:sz w:val="18"/>
        </w:rPr>
        <w:t>|</w:t>
      </w:r>
      <w:r>
        <w:rPr>
          <w:spacing w:val="-6"/>
          <w:sz w:val="18"/>
        </w:rPr>
        <w:t> </w:t>
      </w:r>
      <w:r>
        <w:rPr>
          <w:sz w:val="18"/>
        </w:rPr>
        <w:t>Mass.Gov,”</w:t>
      </w:r>
      <w:r>
        <w:rPr>
          <w:spacing w:val="-6"/>
          <w:sz w:val="18"/>
        </w:rPr>
        <w:t> </w:t>
      </w:r>
      <w:r>
        <w:rPr>
          <w:sz w:val="18"/>
        </w:rPr>
        <w:t>accessed</w:t>
      </w:r>
      <w:r>
        <w:rPr>
          <w:spacing w:val="-6"/>
          <w:sz w:val="18"/>
        </w:rPr>
        <w:t> </w:t>
      </w:r>
      <w:r>
        <w:rPr>
          <w:sz w:val="18"/>
        </w:rPr>
        <w:t>December</w:t>
      </w:r>
      <w:r>
        <w:rPr>
          <w:spacing w:val="-6"/>
          <w:sz w:val="18"/>
        </w:rPr>
        <w:t> </w:t>
      </w:r>
      <w:r>
        <w:rPr>
          <w:sz w:val="18"/>
        </w:rPr>
        <w:t>4,</w:t>
      </w:r>
      <w:r>
        <w:rPr>
          <w:spacing w:val="-6"/>
          <w:sz w:val="18"/>
        </w:rPr>
        <w:t> </w:t>
      </w:r>
      <w:r>
        <w:rPr>
          <w:sz w:val="18"/>
        </w:rPr>
        <w:t>2022,</w:t>
      </w:r>
      <w:r>
        <w:rPr>
          <w:spacing w:val="-6"/>
          <w:sz w:val="18"/>
        </w:rPr>
        <w:t> </w:t>
      </w:r>
      <w:hyperlink r:id="rId360">
        <w:r>
          <w:rPr>
            <w:color w:val="0561C1"/>
            <w:sz w:val="18"/>
            <w:u w:val="single" w:color="0561C1"/>
          </w:rPr>
          <w:t>https://www.mass.gov/news/masshealths-extended-12-month-postpartum-</w:t>
        </w:r>
      </w:hyperlink>
      <w:r>
        <w:rPr>
          <w:color w:val="0561C1"/>
          <w:spacing w:val="-6"/>
          <w:sz w:val="18"/>
          <w:u w:val="single" w:color="0561C1"/>
        </w:rPr>
        <w:t> </w:t>
      </w:r>
      <w:hyperlink r:id="rId360">
        <w:r>
          <w:rPr>
            <w:color w:val="0561C1"/>
            <w:sz w:val="18"/>
            <w:u w:val="single" w:color="0561C1"/>
          </w:rPr>
          <w:t>coverage-</w:t>
        </w:r>
      </w:hyperlink>
      <w:r>
        <w:rPr>
          <w:color w:val="0561C1"/>
          <w:sz w:val="18"/>
          <w:u w:val="none"/>
        </w:rPr>
        <w:t> </w:t>
      </w:r>
      <w:hyperlink r:id="rId360">
        <w:r>
          <w:rPr>
            <w:color w:val="0561C1"/>
            <w:spacing w:val="-2"/>
            <w:sz w:val="18"/>
            <w:u w:val="single" w:color="0561C1"/>
          </w:rPr>
          <w:t>approved-by-the-federal-centers-for-medicare-medicaid-services</w:t>
        </w:r>
      </w:hyperlink>
      <w:hyperlink r:id="rId360">
        <w:r>
          <w:rPr>
            <w:spacing w:val="-2"/>
            <w:sz w:val="18"/>
            <w:u w:val="none"/>
          </w:rPr>
          <w:t>.</w:t>
        </w:r>
      </w:hyperlink>
    </w:p>
    <w:p>
      <w:pPr>
        <w:spacing w:before="0"/>
        <w:ind w:left="463" w:right="24" w:firstLine="0"/>
        <w:jc w:val="left"/>
        <w:rPr>
          <w:sz w:val="18"/>
        </w:rPr>
      </w:pPr>
      <w:bookmarkStart w:name="_bookmark246" w:id="436"/>
      <w:bookmarkEnd w:id="436"/>
      <w:r>
        <w:rPr/>
      </w:r>
      <w:r>
        <w:rPr>
          <w:sz w:val="18"/>
          <w:vertAlign w:val="superscript"/>
        </w:rPr>
        <w:t>53</w:t>
      </w:r>
      <w:r>
        <w:rPr>
          <w:spacing w:val="-8"/>
          <w:sz w:val="18"/>
          <w:vertAlign w:val="baseline"/>
        </w:rPr>
        <w:t> </w:t>
      </w:r>
      <w:r>
        <w:rPr>
          <w:sz w:val="18"/>
          <w:vertAlign w:val="baseline"/>
        </w:rPr>
        <w:t>Keri Carvalho et al., “A Systematic Policy Review of Black Maternal Health-Related Policies Proposed Federally and in Massachusetts:</w:t>
      </w:r>
      <w:r>
        <w:rPr>
          <w:spacing w:val="-5"/>
          <w:sz w:val="18"/>
          <w:vertAlign w:val="baseline"/>
        </w:rPr>
        <w:t> </w:t>
      </w:r>
      <w:r>
        <w:rPr>
          <w:sz w:val="18"/>
          <w:vertAlign w:val="baseline"/>
        </w:rPr>
        <w:t>2010–2020,”</w:t>
      </w:r>
      <w:r>
        <w:rPr>
          <w:spacing w:val="-4"/>
          <w:sz w:val="18"/>
          <w:vertAlign w:val="baseline"/>
        </w:rPr>
        <w:t> </w:t>
      </w:r>
      <w:r>
        <w:rPr>
          <w:i/>
          <w:sz w:val="18"/>
          <w:vertAlign w:val="baseline"/>
        </w:rPr>
        <w:t>Frontiers</w:t>
      </w:r>
      <w:r>
        <w:rPr>
          <w:i/>
          <w:spacing w:val="-3"/>
          <w:sz w:val="18"/>
          <w:vertAlign w:val="baseline"/>
        </w:rPr>
        <w:t> </w:t>
      </w:r>
      <w:r>
        <w:rPr>
          <w:i/>
          <w:sz w:val="18"/>
          <w:vertAlign w:val="baseline"/>
        </w:rPr>
        <w:t>in</w:t>
      </w:r>
      <w:r>
        <w:rPr>
          <w:i/>
          <w:spacing w:val="-3"/>
          <w:sz w:val="18"/>
          <w:vertAlign w:val="baseline"/>
        </w:rPr>
        <w:t> </w:t>
      </w:r>
      <w:r>
        <w:rPr>
          <w:i/>
          <w:sz w:val="18"/>
          <w:vertAlign w:val="baseline"/>
        </w:rPr>
        <w:t>Public</w:t>
      </w:r>
      <w:r>
        <w:rPr>
          <w:i/>
          <w:spacing w:val="-4"/>
          <w:sz w:val="18"/>
          <w:vertAlign w:val="baseline"/>
        </w:rPr>
        <w:t> </w:t>
      </w:r>
      <w:r>
        <w:rPr>
          <w:i/>
          <w:sz w:val="18"/>
          <w:vertAlign w:val="baseline"/>
        </w:rPr>
        <w:t>Health</w:t>
      </w:r>
      <w:r>
        <w:rPr>
          <w:i/>
          <w:spacing w:val="-3"/>
          <w:sz w:val="18"/>
          <w:vertAlign w:val="baseline"/>
        </w:rPr>
        <w:t> </w:t>
      </w:r>
      <w:r>
        <w:rPr>
          <w:sz w:val="18"/>
          <w:vertAlign w:val="baseline"/>
        </w:rPr>
        <w:t>9</w:t>
      </w:r>
      <w:r>
        <w:rPr>
          <w:spacing w:val="-3"/>
          <w:sz w:val="18"/>
          <w:vertAlign w:val="baseline"/>
        </w:rPr>
        <w:t> </w:t>
      </w:r>
      <w:r>
        <w:rPr>
          <w:sz w:val="18"/>
          <w:vertAlign w:val="baseline"/>
        </w:rPr>
        <w:t>(October</w:t>
      </w:r>
      <w:r>
        <w:rPr>
          <w:spacing w:val="-2"/>
          <w:sz w:val="18"/>
          <w:vertAlign w:val="baseline"/>
        </w:rPr>
        <w:t> </w:t>
      </w:r>
      <w:r>
        <w:rPr>
          <w:sz w:val="18"/>
          <w:vertAlign w:val="baseline"/>
        </w:rPr>
        <w:t>21,</w:t>
      </w:r>
      <w:r>
        <w:rPr>
          <w:spacing w:val="-4"/>
          <w:sz w:val="18"/>
          <w:vertAlign w:val="baseline"/>
        </w:rPr>
        <w:t> </w:t>
      </w:r>
      <w:r>
        <w:rPr>
          <w:sz w:val="18"/>
          <w:vertAlign w:val="baseline"/>
        </w:rPr>
        <w:t>2021):</w:t>
      </w:r>
      <w:r>
        <w:rPr>
          <w:spacing w:val="-3"/>
          <w:sz w:val="18"/>
          <w:vertAlign w:val="baseline"/>
        </w:rPr>
        <w:t> </w:t>
      </w:r>
      <w:r>
        <w:rPr>
          <w:sz w:val="18"/>
          <w:vertAlign w:val="baseline"/>
        </w:rPr>
        <w:t>664659,</w:t>
      </w:r>
      <w:r>
        <w:rPr>
          <w:spacing w:val="-4"/>
          <w:sz w:val="18"/>
          <w:vertAlign w:val="baseline"/>
        </w:rPr>
        <w:t> </w:t>
      </w:r>
      <w:hyperlink r:id="rId361">
        <w:r>
          <w:rPr>
            <w:color w:val="0561C1"/>
            <w:sz w:val="18"/>
            <w:u w:val="single" w:color="0561C1"/>
            <w:vertAlign w:val="baseline"/>
          </w:rPr>
          <w:t>https://doi.org/10.3389/fpubh.2021.664659</w:t>
        </w:r>
      </w:hyperlink>
      <w:hyperlink r:id="rId361">
        <w:r>
          <w:rPr>
            <w:sz w:val="18"/>
            <w:u w:val="none"/>
            <w:vertAlign w:val="baseline"/>
          </w:rPr>
          <w:t>.</w:t>
        </w:r>
      </w:hyperlink>
    </w:p>
    <w:p>
      <w:pPr>
        <w:spacing w:line="219" w:lineRule="exact" w:before="0"/>
        <w:ind w:left="463" w:right="0" w:firstLine="0"/>
        <w:jc w:val="left"/>
        <w:rPr>
          <w:sz w:val="18"/>
        </w:rPr>
      </w:pPr>
      <w:bookmarkStart w:name="_bookmark247" w:id="437"/>
      <w:bookmarkEnd w:id="437"/>
      <w:r>
        <w:rPr/>
      </w:r>
      <w:r>
        <w:rPr>
          <w:sz w:val="18"/>
          <w:vertAlign w:val="superscript"/>
        </w:rPr>
        <w:t>54</w:t>
      </w:r>
      <w:r>
        <w:rPr>
          <w:spacing w:val="-15"/>
          <w:sz w:val="18"/>
          <w:vertAlign w:val="baseline"/>
        </w:rPr>
        <w:t> </w:t>
      </w:r>
      <w:r>
        <w:rPr>
          <w:sz w:val="18"/>
          <w:vertAlign w:val="baseline"/>
        </w:rPr>
        <w:t>“What</w:t>
      </w:r>
      <w:r>
        <w:rPr>
          <w:spacing w:val="-7"/>
          <w:sz w:val="18"/>
          <w:vertAlign w:val="baseline"/>
        </w:rPr>
        <w:t> </w:t>
      </w:r>
      <w:r>
        <w:rPr>
          <w:sz w:val="18"/>
          <w:vertAlign w:val="baseline"/>
        </w:rPr>
        <w:t>Is</w:t>
      </w:r>
      <w:r>
        <w:rPr>
          <w:spacing w:val="-3"/>
          <w:sz w:val="18"/>
          <w:vertAlign w:val="baseline"/>
        </w:rPr>
        <w:t> </w:t>
      </w:r>
      <w:r>
        <w:rPr>
          <w:sz w:val="18"/>
          <w:vertAlign w:val="baseline"/>
        </w:rPr>
        <w:t>a</w:t>
      </w:r>
      <w:r>
        <w:rPr>
          <w:spacing w:val="-3"/>
          <w:sz w:val="18"/>
          <w:vertAlign w:val="baseline"/>
        </w:rPr>
        <w:t> </w:t>
      </w:r>
      <w:r>
        <w:rPr>
          <w:sz w:val="18"/>
          <w:vertAlign w:val="baseline"/>
        </w:rPr>
        <w:t>Doula</w:t>
      </w:r>
      <w:r>
        <w:rPr>
          <w:spacing w:val="-3"/>
          <w:sz w:val="18"/>
          <w:vertAlign w:val="baseline"/>
        </w:rPr>
        <w:t> </w:t>
      </w:r>
      <w:r>
        <w:rPr>
          <w:sz w:val="18"/>
          <w:vertAlign w:val="baseline"/>
        </w:rPr>
        <w:t>-</w:t>
      </w:r>
      <w:r>
        <w:rPr>
          <w:spacing w:val="-3"/>
          <w:sz w:val="18"/>
          <w:vertAlign w:val="baseline"/>
        </w:rPr>
        <w:t> </w:t>
      </w:r>
      <w:r>
        <w:rPr>
          <w:sz w:val="18"/>
          <w:vertAlign w:val="baseline"/>
        </w:rPr>
        <w:t>DONA</w:t>
      </w:r>
      <w:r>
        <w:rPr>
          <w:spacing w:val="-3"/>
          <w:sz w:val="18"/>
          <w:vertAlign w:val="baseline"/>
        </w:rPr>
        <w:t> </w:t>
      </w:r>
      <w:r>
        <w:rPr>
          <w:sz w:val="18"/>
          <w:vertAlign w:val="baseline"/>
        </w:rPr>
        <w:t>International,”</w:t>
      </w:r>
      <w:r>
        <w:rPr>
          <w:spacing w:val="-3"/>
          <w:sz w:val="18"/>
          <w:vertAlign w:val="baseline"/>
        </w:rPr>
        <w:t> </w:t>
      </w:r>
      <w:r>
        <w:rPr>
          <w:sz w:val="18"/>
          <w:vertAlign w:val="baseline"/>
        </w:rPr>
        <w:t>accessed</w:t>
      </w:r>
      <w:r>
        <w:rPr>
          <w:spacing w:val="-3"/>
          <w:sz w:val="18"/>
          <w:vertAlign w:val="baseline"/>
        </w:rPr>
        <w:t> </w:t>
      </w:r>
      <w:r>
        <w:rPr>
          <w:sz w:val="18"/>
          <w:vertAlign w:val="baseline"/>
        </w:rPr>
        <w:t>December</w:t>
      </w:r>
      <w:r>
        <w:rPr>
          <w:spacing w:val="-4"/>
          <w:sz w:val="18"/>
          <w:vertAlign w:val="baseline"/>
        </w:rPr>
        <w:t> </w:t>
      </w:r>
      <w:r>
        <w:rPr>
          <w:sz w:val="18"/>
          <w:vertAlign w:val="baseline"/>
        </w:rPr>
        <w:t>4,</w:t>
      </w:r>
      <w:r>
        <w:rPr>
          <w:spacing w:val="-4"/>
          <w:sz w:val="18"/>
          <w:vertAlign w:val="baseline"/>
        </w:rPr>
        <w:t> </w:t>
      </w:r>
      <w:r>
        <w:rPr>
          <w:sz w:val="18"/>
          <w:vertAlign w:val="baseline"/>
        </w:rPr>
        <w:t>2022,</w:t>
      </w:r>
      <w:r>
        <w:rPr>
          <w:spacing w:val="-4"/>
          <w:sz w:val="18"/>
          <w:vertAlign w:val="baseline"/>
        </w:rPr>
        <w:t> </w:t>
      </w:r>
      <w:hyperlink r:id="rId362">
        <w:r>
          <w:rPr>
            <w:color w:val="0561C1"/>
            <w:sz w:val="18"/>
            <w:u w:val="single" w:color="0561C1"/>
            <w:vertAlign w:val="baseline"/>
          </w:rPr>
          <w:t>https://www.dona.org/what-is-a-</w:t>
        </w:r>
        <w:r>
          <w:rPr>
            <w:color w:val="0561C1"/>
            <w:spacing w:val="-2"/>
            <w:sz w:val="18"/>
            <w:u w:val="single" w:color="0561C1"/>
            <w:vertAlign w:val="baseline"/>
          </w:rPr>
          <w:t>doula/</w:t>
        </w:r>
      </w:hyperlink>
      <w:hyperlink r:id="rId362">
        <w:r>
          <w:rPr>
            <w:spacing w:val="-2"/>
            <w:sz w:val="18"/>
            <w:u w:val="none"/>
            <w:vertAlign w:val="baseline"/>
          </w:rPr>
          <w:t>.</w:t>
        </w:r>
      </w:hyperlink>
    </w:p>
    <w:p>
      <w:pPr>
        <w:spacing w:before="1"/>
        <w:ind w:left="463" w:right="261" w:hanging="1"/>
        <w:jc w:val="left"/>
        <w:rPr>
          <w:sz w:val="18"/>
        </w:rPr>
      </w:pPr>
      <w:bookmarkStart w:name="_bookmark248" w:id="438"/>
      <w:bookmarkEnd w:id="438"/>
      <w:r>
        <w:rPr/>
      </w:r>
      <w:r>
        <w:rPr>
          <w:sz w:val="18"/>
          <w:vertAlign w:val="superscript"/>
        </w:rPr>
        <w:t>55</w:t>
      </w:r>
      <w:r>
        <w:rPr>
          <w:spacing w:val="-13"/>
          <w:sz w:val="18"/>
          <w:vertAlign w:val="baseline"/>
        </w:rPr>
        <w:t> </w:t>
      </w:r>
      <w:r>
        <w:rPr>
          <w:sz w:val="18"/>
          <w:vertAlign w:val="baseline"/>
        </w:rPr>
        <w:t>Hodnett</w:t>
      </w:r>
      <w:r>
        <w:rPr>
          <w:spacing w:val="-4"/>
          <w:sz w:val="18"/>
          <w:vertAlign w:val="baseline"/>
        </w:rPr>
        <w:t> </w:t>
      </w:r>
      <w:r>
        <w:rPr>
          <w:sz w:val="18"/>
          <w:vertAlign w:val="baseline"/>
        </w:rPr>
        <w:t>ED.</w:t>
      </w:r>
      <w:r>
        <w:rPr>
          <w:spacing w:val="-2"/>
          <w:sz w:val="18"/>
          <w:vertAlign w:val="baseline"/>
        </w:rPr>
        <w:t> </w:t>
      </w:r>
      <w:r>
        <w:rPr>
          <w:sz w:val="18"/>
          <w:vertAlign w:val="baseline"/>
        </w:rPr>
        <w:t>Pain</w:t>
      </w:r>
      <w:r>
        <w:rPr>
          <w:spacing w:val="-2"/>
          <w:sz w:val="18"/>
          <w:vertAlign w:val="baseline"/>
        </w:rPr>
        <w:t> </w:t>
      </w:r>
      <w:r>
        <w:rPr>
          <w:sz w:val="18"/>
          <w:vertAlign w:val="baseline"/>
        </w:rPr>
        <w:t>and</w:t>
      </w:r>
      <w:r>
        <w:rPr>
          <w:spacing w:val="-2"/>
          <w:sz w:val="18"/>
          <w:vertAlign w:val="baseline"/>
        </w:rPr>
        <w:t> </w:t>
      </w:r>
      <w:r>
        <w:rPr>
          <w:sz w:val="18"/>
          <w:vertAlign w:val="baseline"/>
        </w:rPr>
        <w:t>women’s</w:t>
      </w:r>
      <w:r>
        <w:rPr>
          <w:spacing w:val="-2"/>
          <w:sz w:val="18"/>
          <w:vertAlign w:val="baseline"/>
        </w:rPr>
        <w:t> </w:t>
      </w:r>
      <w:r>
        <w:rPr>
          <w:sz w:val="18"/>
          <w:vertAlign w:val="baseline"/>
        </w:rPr>
        <w:t>satisfaction</w:t>
      </w:r>
      <w:r>
        <w:rPr>
          <w:spacing w:val="-2"/>
          <w:sz w:val="18"/>
          <w:vertAlign w:val="baseline"/>
        </w:rPr>
        <w:t> </w:t>
      </w:r>
      <w:r>
        <w:rPr>
          <w:sz w:val="18"/>
          <w:vertAlign w:val="baseline"/>
        </w:rPr>
        <w:t>with</w:t>
      </w:r>
      <w:r>
        <w:rPr>
          <w:spacing w:val="-2"/>
          <w:sz w:val="18"/>
          <w:vertAlign w:val="baseline"/>
        </w:rPr>
        <w:t> </w:t>
      </w:r>
      <w:r>
        <w:rPr>
          <w:sz w:val="18"/>
          <w:vertAlign w:val="baseline"/>
        </w:rPr>
        <w:t>the</w:t>
      </w:r>
      <w:r>
        <w:rPr>
          <w:spacing w:val="-2"/>
          <w:sz w:val="18"/>
          <w:vertAlign w:val="baseline"/>
        </w:rPr>
        <w:t> </w:t>
      </w:r>
      <w:r>
        <w:rPr>
          <w:sz w:val="18"/>
          <w:vertAlign w:val="baseline"/>
        </w:rPr>
        <w:t>experience</w:t>
      </w:r>
      <w:r>
        <w:rPr>
          <w:spacing w:val="-2"/>
          <w:sz w:val="18"/>
          <w:vertAlign w:val="baseline"/>
        </w:rPr>
        <w:t> </w:t>
      </w:r>
      <w:r>
        <w:rPr>
          <w:sz w:val="18"/>
          <w:vertAlign w:val="baseline"/>
        </w:rPr>
        <w:t>of</w:t>
      </w:r>
      <w:r>
        <w:rPr>
          <w:spacing w:val="-2"/>
          <w:sz w:val="18"/>
          <w:vertAlign w:val="baseline"/>
        </w:rPr>
        <w:t> </w:t>
      </w:r>
      <w:r>
        <w:rPr>
          <w:sz w:val="18"/>
          <w:vertAlign w:val="baseline"/>
        </w:rPr>
        <w:t>childbirth:</w:t>
      </w:r>
      <w:r>
        <w:rPr>
          <w:spacing w:val="-2"/>
          <w:sz w:val="18"/>
          <w:vertAlign w:val="baseline"/>
        </w:rPr>
        <w:t> </w:t>
      </w:r>
      <w:r>
        <w:rPr>
          <w:sz w:val="18"/>
          <w:vertAlign w:val="baseline"/>
        </w:rPr>
        <w:t>a</w:t>
      </w:r>
      <w:r>
        <w:rPr>
          <w:spacing w:val="-2"/>
          <w:sz w:val="18"/>
          <w:vertAlign w:val="baseline"/>
        </w:rPr>
        <w:t> </w:t>
      </w:r>
      <w:r>
        <w:rPr>
          <w:sz w:val="18"/>
          <w:vertAlign w:val="baseline"/>
        </w:rPr>
        <w:t>systematic</w:t>
      </w:r>
      <w:r>
        <w:rPr>
          <w:spacing w:val="-3"/>
          <w:sz w:val="18"/>
          <w:vertAlign w:val="baseline"/>
        </w:rPr>
        <w:t> </w:t>
      </w:r>
      <w:r>
        <w:rPr>
          <w:sz w:val="18"/>
          <w:vertAlign w:val="baseline"/>
        </w:rPr>
        <w:t>review.</w:t>
      </w:r>
      <w:r>
        <w:rPr>
          <w:spacing w:val="-2"/>
          <w:sz w:val="18"/>
          <w:vertAlign w:val="baseline"/>
        </w:rPr>
        <w:t> </w:t>
      </w:r>
      <w:r>
        <w:rPr>
          <w:sz w:val="18"/>
          <w:vertAlign w:val="baseline"/>
        </w:rPr>
        <w:t>Am</w:t>
      </w:r>
      <w:r>
        <w:rPr>
          <w:spacing w:val="-2"/>
          <w:sz w:val="18"/>
          <w:vertAlign w:val="baseline"/>
        </w:rPr>
        <w:t> </w:t>
      </w:r>
      <w:r>
        <w:rPr>
          <w:sz w:val="18"/>
          <w:vertAlign w:val="baseline"/>
        </w:rPr>
        <w:t>J</w:t>
      </w:r>
      <w:r>
        <w:rPr>
          <w:spacing w:val="-2"/>
          <w:sz w:val="18"/>
          <w:vertAlign w:val="baseline"/>
        </w:rPr>
        <w:t> </w:t>
      </w:r>
      <w:r>
        <w:rPr>
          <w:sz w:val="18"/>
          <w:vertAlign w:val="baseline"/>
        </w:rPr>
        <w:t>Obstet</w:t>
      </w:r>
      <w:r>
        <w:rPr>
          <w:spacing w:val="-4"/>
          <w:sz w:val="18"/>
          <w:vertAlign w:val="baseline"/>
        </w:rPr>
        <w:t> </w:t>
      </w:r>
      <w:r>
        <w:rPr>
          <w:sz w:val="18"/>
          <w:vertAlign w:val="baseline"/>
        </w:rPr>
        <w:t>Gynecol</w:t>
      </w:r>
      <w:r>
        <w:rPr>
          <w:spacing w:val="-3"/>
          <w:sz w:val="18"/>
          <w:vertAlign w:val="baseline"/>
        </w:rPr>
        <w:t> </w:t>
      </w:r>
      <w:r>
        <w:rPr>
          <w:sz w:val="18"/>
          <w:vertAlign w:val="baseline"/>
        </w:rPr>
        <w:t>2002; 186(5) S160-72. Hodnett ED, Gates S, Hofmeyr G J, Sakala C, Weston J. Continuous support for women during childbirth [PDF]. Cochrane Database Syst Rev 2011, Issue 2.</w:t>
      </w:r>
    </w:p>
    <w:p>
      <w:pPr>
        <w:spacing w:before="0"/>
        <w:ind w:left="463" w:right="1554" w:hanging="1"/>
        <w:jc w:val="left"/>
        <w:rPr>
          <w:sz w:val="18"/>
        </w:rPr>
      </w:pPr>
      <w:bookmarkStart w:name="_bookmark249" w:id="439"/>
      <w:bookmarkEnd w:id="439"/>
      <w:r>
        <w:rPr/>
      </w:r>
      <w:r>
        <w:rPr>
          <w:sz w:val="18"/>
          <w:vertAlign w:val="superscript"/>
        </w:rPr>
        <w:t>56</w:t>
      </w:r>
      <w:r>
        <w:rPr>
          <w:spacing w:val="-13"/>
          <w:sz w:val="18"/>
          <w:vertAlign w:val="baseline"/>
        </w:rPr>
        <w:t> </w:t>
      </w:r>
      <w:r>
        <w:rPr>
          <w:sz w:val="18"/>
          <w:vertAlign w:val="baseline"/>
        </w:rPr>
        <w:t>“LGBTQ+</w:t>
      </w:r>
      <w:r>
        <w:rPr>
          <w:spacing w:val="-3"/>
          <w:sz w:val="18"/>
          <w:vertAlign w:val="baseline"/>
        </w:rPr>
        <w:t> </w:t>
      </w:r>
      <w:r>
        <w:rPr>
          <w:sz w:val="18"/>
          <w:vertAlign w:val="baseline"/>
        </w:rPr>
        <w:t>Doulas</w:t>
      </w:r>
      <w:r>
        <w:rPr>
          <w:spacing w:val="-2"/>
          <w:sz w:val="18"/>
          <w:vertAlign w:val="baseline"/>
        </w:rPr>
        <w:t> </w:t>
      </w:r>
      <w:r>
        <w:rPr>
          <w:sz w:val="18"/>
          <w:vertAlign w:val="baseline"/>
        </w:rPr>
        <w:t>Help</w:t>
      </w:r>
      <w:r>
        <w:rPr>
          <w:spacing w:val="-2"/>
          <w:sz w:val="18"/>
          <w:vertAlign w:val="baseline"/>
        </w:rPr>
        <w:t> </w:t>
      </w:r>
      <w:r>
        <w:rPr>
          <w:sz w:val="18"/>
          <w:vertAlign w:val="baseline"/>
        </w:rPr>
        <w:t>New</w:t>
      </w:r>
      <w:r>
        <w:rPr>
          <w:spacing w:val="-3"/>
          <w:sz w:val="18"/>
          <w:vertAlign w:val="baseline"/>
        </w:rPr>
        <w:t> </w:t>
      </w:r>
      <w:r>
        <w:rPr>
          <w:sz w:val="18"/>
          <w:vertAlign w:val="baseline"/>
        </w:rPr>
        <w:t>Parents</w:t>
      </w:r>
      <w:r>
        <w:rPr>
          <w:spacing w:val="-2"/>
          <w:sz w:val="18"/>
          <w:vertAlign w:val="baseline"/>
        </w:rPr>
        <w:t> </w:t>
      </w:r>
      <w:r>
        <w:rPr>
          <w:sz w:val="18"/>
          <w:vertAlign w:val="baseline"/>
        </w:rPr>
        <w:t>Thrive,</w:t>
      </w:r>
      <w:r>
        <w:rPr>
          <w:spacing w:val="-3"/>
          <w:sz w:val="18"/>
          <w:vertAlign w:val="baseline"/>
        </w:rPr>
        <w:t> </w:t>
      </w:r>
      <w:r>
        <w:rPr>
          <w:sz w:val="18"/>
          <w:vertAlign w:val="baseline"/>
        </w:rPr>
        <w:t>No</w:t>
      </w:r>
      <w:r>
        <w:rPr>
          <w:spacing w:val="-4"/>
          <w:sz w:val="18"/>
          <w:vertAlign w:val="baseline"/>
        </w:rPr>
        <w:t> </w:t>
      </w:r>
      <w:r>
        <w:rPr>
          <w:sz w:val="18"/>
          <w:vertAlign w:val="baseline"/>
        </w:rPr>
        <w:t>Matter</w:t>
      </w:r>
      <w:r>
        <w:rPr>
          <w:spacing w:val="-3"/>
          <w:sz w:val="18"/>
          <w:vertAlign w:val="baseline"/>
        </w:rPr>
        <w:t> </w:t>
      </w:r>
      <w:r>
        <w:rPr>
          <w:sz w:val="18"/>
          <w:vertAlign w:val="baseline"/>
        </w:rPr>
        <w:t>How</w:t>
      </w:r>
      <w:r>
        <w:rPr>
          <w:spacing w:val="-3"/>
          <w:sz w:val="18"/>
          <w:vertAlign w:val="baseline"/>
        </w:rPr>
        <w:t> </w:t>
      </w:r>
      <w:r>
        <w:rPr>
          <w:sz w:val="18"/>
          <w:vertAlign w:val="baseline"/>
        </w:rPr>
        <w:t>They</w:t>
      </w:r>
      <w:r>
        <w:rPr>
          <w:spacing w:val="-2"/>
          <w:sz w:val="18"/>
          <w:vertAlign w:val="baseline"/>
        </w:rPr>
        <w:t> </w:t>
      </w:r>
      <w:r>
        <w:rPr>
          <w:sz w:val="18"/>
          <w:vertAlign w:val="baseline"/>
        </w:rPr>
        <w:t>Identify</w:t>
      </w:r>
      <w:r>
        <w:rPr>
          <w:spacing w:val="-2"/>
          <w:sz w:val="18"/>
          <w:vertAlign w:val="baseline"/>
        </w:rPr>
        <w:t> </w:t>
      </w:r>
      <w:r>
        <w:rPr>
          <w:sz w:val="18"/>
          <w:vertAlign w:val="baseline"/>
        </w:rPr>
        <w:t>|</w:t>
      </w:r>
      <w:r>
        <w:rPr>
          <w:spacing w:val="-2"/>
          <w:sz w:val="18"/>
          <w:vertAlign w:val="baseline"/>
        </w:rPr>
        <w:t> </w:t>
      </w:r>
      <w:r>
        <w:rPr>
          <w:sz w:val="18"/>
          <w:vertAlign w:val="baseline"/>
        </w:rPr>
        <w:t>Them,”</w:t>
      </w:r>
      <w:r>
        <w:rPr>
          <w:spacing w:val="-2"/>
          <w:sz w:val="18"/>
          <w:vertAlign w:val="baseline"/>
        </w:rPr>
        <w:t> </w:t>
      </w:r>
      <w:r>
        <w:rPr>
          <w:sz w:val="18"/>
          <w:vertAlign w:val="baseline"/>
        </w:rPr>
        <w:t>accessed</w:t>
      </w:r>
      <w:r>
        <w:rPr>
          <w:spacing w:val="-2"/>
          <w:sz w:val="18"/>
          <w:vertAlign w:val="baseline"/>
        </w:rPr>
        <w:t> </w:t>
      </w:r>
      <w:r>
        <w:rPr>
          <w:sz w:val="18"/>
          <w:vertAlign w:val="baseline"/>
        </w:rPr>
        <w:t>December</w:t>
      </w:r>
      <w:r>
        <w:rPr>
          <w:spacing w:val="-3"/>
          <w:sz w:val="18"/>
          <w:vertAlign w:val="baseline"/>
        </w:rPr>
        <w:t> </w:t>
      </w:r>
      <w:r>
        <w:rPr>
          <w:sz w:val="18"/>
          <w:vertAlign w:val="baseline"/>
        </w:rPr>
        <w:t>4,</w:t>
      </w:r>
      <w:r>
        <w:rPr>
          <w:spacing w:val="-3"/>
          <w:sz w:val="18"/>
          <w:vertAlign w:val="baseline"/>
        </w:rPr>
        <w:t> </w:t>
      </w:r>
      <w:r>
        <w:rPr>
          <w:sz w:val="18"/>
          <w:vertAlign w:val="baseline"/>
        </w:rPr>
        <w:t>2022, </w:t>
      </w:r>
      <w:hyperlink r:id="rId363">
        <w:r>
          <w:rPr>
            <w:color w:val="0561C1"/>
            <w:spacing w:val="-2"/>
            <w:sz w:val="18"/>
            <w:u w:val="single" w:color="0561C1"/>
            <w:vertAlign w:val="baseline"/>
          </w:rPr>
          <w:t>https://www.them.us/story/lgbtq-doulas</w:t>
        </w:r>
      </w:hyperlink>
      <w:hyperlink r:id="rId363">
        <w:r>
          <w:rPr>
            <w:spacing w:val="-2"/>
            <w:sz w:val="18"/>
            <w:u w:val="none"/>
            <w:vertAlign w:val="baseline"/>
          </w:rPr>
          <w:t>.</w:t>
        </w:r>
      </w:hyperlink>
    </w:p>
    <w:p>
      <w:pPr>
        <w:spacing w:line="219" w:lineRule="exact" w:before="0"/>
        <w:ind w:left="463" w:right="0" w:firstLine="0"/>
        <w:jc w:val="left"/>
        <w:rPr>
          <w:sz w:val="18"/>
        </w:rPr>
      </w:pPr>
      <w:bookmarkStart w:name="_bookmark250" w:id="440"/>
      <w:bookmarkEnd w:id="440"/>
      <w:r>
        <w:rPr/>
      </w:r>
      <w:r>
        <w:rPr>
          <w:sz w:val="18"/>
          <w:vertAlign w:val="superscript"/>
        </w:rPr>
        <w:t>57</w:t>
      </w:r>
      <w:r>
        <w:rPr>
          <w:spacing w:val="-15"/>
          <w:sz w:val="18"/>
          <w:vertAlign w:val="baseline"/>
        </w:rPr>
        <w:t> </w:t>
      </w:r>
      <w:r>
        <w:rPr>
          <w:sz w:val="18"/>
          <w:vertAlign w:val="baseline"/>
        </w:rPr>
        <w:t>“Doula</w:t>
      </w:r>
      <w:r>
        <w:rPr>
          <w:spacing w:val="-10"/>
          <w:sz w:val="18"/>
          <w:vertAlign w:val="baseline"/>
        </w:rPr>
        <w:t> </w:t>
      </w:r>
      <w:r>
        <w:rPr>
          <w:sz w:val="18"/>
          <w:vertAlign w:val="baseline"/>
        </w:rPr>
        <w:t>Services,”</w:t>
      </w:r>
      <w:r>
        <w:rPr>
          <w:spacing w:val="-6"/>
          <w:sz w:val="18"/>
          <w:vertAlign w:val="baseline"/>
        </w:rPr>
        <w:t> </w:t>
      </w:r>
      <w:r>
        <w:rPr>
          <w:sz w:val="18"/>
          <w:vertAlign w:val="baseline"/>
        </w:rPr>
        <w:t>accessed</w:t>
      </w:r>
      <w:r>
        <w:rPr>
          <w:spacing w:val="-6"/>
          <w:sz w:val="18"/>
          <w:vertAlign w:val="baseline"/>
        </w:rPr>
        <w:t> </w:t>
      </w:r>
      <w:r>
        <w:rPr>
          <w:sz w:val="18"/>
          <w:vertAlign w:val="baseline"/>
        </w:rPr>
        <w:t>December</w:t>
      </w:r>
      <w:r>
        <w:rPr>
          <w:spacing w:val="-7"/>
          <w:sz w:val="18"/>
          <w:vertAlign w:val="baseline"/>
        </w:rPr>
        <w:t> </w:t>
      </w:r>
      <w:r>
        <w:rPr>
          <w:sz w:val="18"/>
          <w:vertAlign w:val="baseline"/>
        </w:rPr>
        <w:t>5,</w:t>
      </w:r>
      <w:r>
        <w:rPr>
          <w:spacing w:val="-7"/>
          <w:sz w:val="18"/>
          <w:vertAlign w:val="baseline"/>
        </w:rPr>
        <w:t> </w:t>
      </w:r>
      <w:r>
        <w:rPr>
          <w:sz w:val="18"/>
          <w:vertAlign w:val="baseline"/>
        </w:rPr>
        <w:t>2022,</w:t>
      </w:r>
      <w:r>
        <w:rPr>
          <w:spacing w:val="-6"/>
          <w:sz w:val="18"/>
          <w:vertAlign w:val="baseline"/>
        </w:rPr>
        <w:t> </w:t>
      </w:r>
      <w:hyperlink r:id="rId364">
        <w:r>
          <w:rPr>
            <w:color w:val="0561C1"/>
            <w:sz w:val="18"/>
            <w:u w:val="single" w:color="0561C1"/>
            <w:vertAlign w:val="baseline"/>
          </w:rPr>
          <w:t>https://www.dhcs.ca.gov/provgovpart/Pages/Doula-</w:t>
        </w:r>
        <w:r>
          <w:rPr>
            <w:color w:val="0561C1"/>
            <w:spacing w:val="-2"/>
            <w:sz w:val="18"/>
            <w:u w:val="single" w:color="0561C1"/>
            <w:vertAlign w:val="baseline"/>
          </w:rPr>
          <w:t>Services.aspx</w:t>
        </w:r>
      </w:hyperlink>
      <w:hyperlink r:id="rId364">
        <w:r>
          <w:rPr>
            <w:spacing w:val="-2"/>
            <w:sz w:val="18"/>
            <w:u w:val="none"/>
            <w:vertAlign w:val="baseline"/>
          </w:rPr>
          <w:t>.</w:t>
        </w:r>
      </w:hyperlink>
    </w:p>
    <w:p>
      <w:pPr>
        <w:spacing w:before="0"/>
        <w:ind w:left="463" w:right="335" w:hanging="1"/>
        <w:jc w:val="left"/>
        <w:rPr>
          <w:sz w:val="18"/>
        </w:rPr>
      </w:pPr>
      <w:bookmarkStart w:name="_bookmark251" w:id="441"/>
      <w:bookmarkEnd w:id="441"/>
      <w:r>
        <w:rPr/>
      </w:r>
      <w:r>
        <w:rPr>
          <w:sz w:val="18"/>
          <w:vertAlign w:val="superscript"/>
        </w:rPr>
        <w:t>58</w:t>
      </w:r>
      <w:r>
        <w:rPr>
          <w:spacing w:val="-13"/>
          <w:sz w:val="18"/>
          <w:vertAlign w:val="baseline"/>
        </w:rPr>
        <w:t> </w:t>
      </w:r>
      <w:r>
        <w:rPr>
          <w:sz w:val="18"/>
          <w:vertAlign w:val="baseline"/>
        </w:rPr>
        <w:t>“Medicaid</w:t>
      </w:r>
      <w:r>
        <w:rPr>
          <w:spacing w:val="-4"/>
          <w:sz w:val="18"/>
          <w:vertAlign w:val="baseline"/>
        </w:rPr>
        <w:t> </w:t>
      </w:r>
      <w:r>
        <w:rPr>
          <w:sz w:val="18"/>
          <w:vertAlign w:val="baseline"/>
        </w:rPr>
        <w:t>Coverage</w:t>
      </w:r>
      <w:r>
        <w:rPr>
          <w:spacing w:val="-2"/>
          <w:sz w:val="18"/>
          <w:vertAlign w:val="baseline"/>
        </w:rPr>
        <w:t> </w:t>
      </w:r>
      <w:r>
        <w:rPr>
          <w:sz w:val="18"/>
          <w:vertAlign w:val="baseline"/>
        </w:rPr>
        <w:t>for</w:t>
      </w:r>
      <w:r>
        <w:rPr>
          <w:spacing w:val="-3"/>
          <w:sz w:val="18"/>
          <w:vertAlign w:val="baseline"/>
        </w:rPr>
        <w:t> </w:t>
      </w:r>
      <w:r>
        <w:rPr>
          <w:sz w:val="18"/>
          <w:vertAlign w:val="baseline"/>
        </w:rPr>
        <w:t>Doula</w:t>
      </w:r>
      <w:r>
        <w:rPr>
          <w:spacing w:val="-3"/>
          <w:sz w:val="18"/>
          <w:vertAlign w:val="baseline"/>
        </w:rPr>
        <w:t> </w:t>
      </w:r>
      <w:r>
        <w:rPr>
          <w:sz w:val="18"/>
          <w:vertAlign w:val="baseline"/>
        </w:rPr>
        <w:t>Care:</w:t>
      </w:r>
      <w:r>
        <w:rPr>
          <w:spacing w:val="-2"/>
          <w:sz w:val="18"/>
          <w:vertAlign w:val="baseline"/>
        </w:rPr>
        <w:t> </w:t>
      </w:r>
      <w:r>
        <w:rPr>
          <w:sz w:val="18"/>
          <w:vertAlign w:val="baseline"/>
        </w:rPr>
        <w:t>State</w:t>
      </w:r>
      <w:r>
        <w:rPr>
          <w:spacing w:val="-2"/>
          <w:sz w:val="18"/>
          <w:vertAlign w:val="baseline"/>
        </w:rPr>
        <w:t> </w:t>
      </w:r>
      <w:r>
        <w:rPr>
          <w:sz w:val="18"/>
          <w:vertAlign w:val="baseline"/>
        </w:rPr>
        <w:t>Implementation</w:t>
      </w:r>
      <w:r>
        <w:rPr>
          <w:spacing w:val="-2"/>
          <w:sz w:val="18"/>
          <w:vertAlign w:val="baseline"/>
        </w:rPr>
        <w:t> </w:t>
      </w:r>
      <w:r>
        <w:rPr>
          <w:sz w:val="18"/>
          <w:vertAlign w:val="baseline"/>
        </w:rPr>
        <w:t>Efforts</w:t>
      </w:r>
      <w:r>
        <w:rPr>
          <w:spacing w:val="-2"/>
          <w:sz w:val="18"/>
          <w:vertAlign w:val="baseline"/>
        </w:rPr>
        <w:t> </w:t>
      </w:r>
      <w:r>
        <w:rPr>
          <w:sz w:val="18"/>
          <w:vertAlign w:val="baseline"/>
        </w:rPr>
        <w:t>-</w:t>
      </w:r>
      <w:r>
        <w:rPr>
          <w:spacing w:val="-3"/>
          <w:sz w:val="18"/>
          <w:vertAlign w:val="baseline"/>
        </w:rPr>
        <w:t> </w:t>
      </w:r>
      <w:r>
        <w:rPr>
          <w:sz w:val="18"/>
          <w:vertAlign w:val="baseline"/>
        </w:rPr>
        <w:t>National</w:t>
      </w:r>
      <w:r>
        <w:rPr>
          <w:spacing w:val="-3"/>
          <w:sz w:val="18"/>
          <w:vertAlign w:val="baseline"/>
        </w:rPr>
        <w:t> </w:t>
      </w:r>
      <w:r>
        <w:rPr>
          <w:sz w:val="18"/>
          <w:vertAlign w:val="baseline"/>
        </w:rPr>
        <w:t>Health</w:t>
      </w:r>
      <w:r>
        <w:rPr>
          <w:spacing w:val="-2"/>
          <w:sz w:val="18"/>
          <w:vertAlign w:val="baseline"/>
        </w:rPr>
        <w:t> </w:t>
      </w:r>
      <w:r>
        <w:rPr>
          <w:sz w:val="18"/>
          <w:vertAlign w:val="baseline"/>
        </w:rPr>
        <w:t>Law</w:t>
      </w:r>
      <w:r>
        <w:rPr>
          <w:spacing w:val="-3"/>
          <w:sz w:val="18"/>
          <w:vertAlign w:val="baseline"/>
        </w:rPr>
        <w:t> </w:t>
      </w:r>
      <w:r>
        <w:rPr>
          <w:sz w:val="18"/>
          <w:vertAlign w:val="baseline"/>
        </w:rPr>
        <w:t>Program,”</w:t>
      </w:r>
      <w:r>
        <w:rPr>
          <w:spacing w:val="-2"/>
          <w:sz w:val="18"/>
          <w:vertAlign w:val="baseline"/>
        </w:rPr>
        <w:t> </w:t>
      </w:r>
      <w:r>
        <w:rPr>
          <w:sz w:val="18"/>
          <w:vertAlign w:val="baseline"/>
        </w:rPr>
        <w:t>accessed</w:t>
      </w:r>
      <w:r>
        <w:rPr>
          <w:spacing w:val="-2"/>
          <w:sz w:val="18"/>
          <w:vertAlign w:val="baseline"/>
        </w:rPr>
        <w:t> </w:t>
      </w:r>
      <w:r>
        <w:rPr>
          <w:sz w:val="18"/>
          <w:vertAlign w:val="baseline"/>
        </w:rPr>
        <w:t>December</w:t>
      </w:r>
      <w:r>
        <w:rPr>
          <w:spacing w:val="-3"/>
          <w:sz w:val="18"/>
          <w:vertAlign w:val="baseline"/>
        </w:rPr>
        <w:t> </w:t>
      </w:r>
      <w:r>
        <w:rPr>
          <w:sz w:val="18"/>
          <w:vertAlign w:val="baseline"/>
        </w:rPr>
        <w:t>5,</w:t>
      </w:r>
      <w:r>
        <w:rPr>
          <w:spacing w:val="-3"/>
          <w:sz w:val="18"/>
          <w:vertAlign w:val="baseline"/>
        </w:rPr>
        <w:t> </w:t>
      </w:r>
      <w:r>
        <w:rPr>
          <w:sz w:val="18"/>
          <w:vertAlign w:val="baseline"/>
        </w:rPr>
        <w:t>2022, </w:t>
      </w:r>
      <w:hyperlink r:id="rId365">
        <w:r>
          <w:rPr>
            <w:color w:val="0561C1"/>
            <w:spacing w:val="-2"/>
            <w:sz w:val="18"/>
            <w:u w:val="single" w:color="0561C1"/>
            <w:vertAlign w:val="baseline"/>
          </w:rPr>
          <w:t>https://healthlaw.org/medicaid-coverage-for-doula-care-state-implementation-efforts/</w:t>
        </w:r>
      </w:hyperlink>
      <w:hyperlink r:id="rId365">
        <w:r>
          <w:rPr>
            <w:spacing w:val="-2"/>
            <w:sz w:val="18"/>
            <w:u w:val="none"/>
            <w:vertAlign w:val="baseline"/>
          </w:rPr>
          <w:t>.</w:t>
        </w:r>
      </w:hyperlink>
    </w:p>
    <w:p>
      <w:pPr>
        <w:spacing w:before="0"/>
        <w:ind w:left="463" w:right="572" w:firstLine="0"/>
        <w:jc w:val="left"/>
        <w:rPr>
          <w:sz w:val="18"/>
        </w:rPr>
      </w:pPr>
      <w:bookmarkStart w:name="_bookmark252" w:id="442"/>
      <w:bookmarkEnd w:id="442"/>
      <w:r>
        <w:rPr/>
      </w:r>
      <w:r>
        <w:rPr>
          <w:sz w:val="18"/>
          <w:vertAlign w:val="superscript"/>
        </w:rPr>
        <w:t>59</w:t>
      </w:r>
      <w:r>
        <w:rPr>
          <w:spacing w:val="-8"/>
          <w:sz w:val="18"/>
          <w:vertAlign w:val="baseline"/>
        </w:rPr>
        <w:t> </w:t>
      </w:r>
      <w:r>
        <w:rPr>
          <w:sz w:val="18"/>
          <w:vertAlign w:val="baseline"/>
        </w:rPr>
        <w:t>“Birth Equity and Support through the Inclusion of Doula Expertise (BESIDE) Investment Program | Mass.Gov,” accessed December</w:t>
      </w:r>
      <w:r>
        <w:rPr>
          <w:spacing w:val="-11"/>
          <w:sz w:val="18"/>
          <w:vertAlign w:val="baseline"/>
        </w:rPr>
        <w:t> </w:t>
      </w:r>
      <w:r>
        <w:rPr>
          <w:sz w:val="18"/>
          <w:vertAlign w:val="baseline"/>
        </w:rPr>
        <w:t>5,</w:t>
      </w:r>
      <w:r>
        <w:rPr>
          <w:spacing w:val="-10"/>
          <w:sz w:val="18"/>
          <w:vertAlign w:val="baseline"/>
        </w:rPr>
        <w:t> </w:t>
      </w:r>
      <w:r>
        <w:rPr>
          <w:sz w:val="18"/>
          <w:vertAlign w:val="baseline"/>
        </w:rPr>
        <w:t>2022,</w:t>
      </w:r>
      <w:r>
        <w:rPr>
          <w:spacing w:val="-10"/>
          <w:sz w:val="18"/>
          <w:vertAlign w:val="baseline"/>
        </w:rPr>
        <w:t> </w:t>
      </w:r>
      <w:hyperlink r:id="rId366">
        <w:r>
          <w:rPr>
            <w:color w:val="0561C1"/>
            <w:sz w:val="18"/>
            <w:u w:val="single" w:color="0561C1"/>
            <w:vertAlign w:val="baseline"/>
          </w:rPr>
          <w:t>https://www.mass.gov/service-details/birth-equity-and-support-through-the-inclusion-of-doula-expertise-</w:t>
        </w:r>
      </w:hyperlink>
      <w:r>
        <w:rPr>
          <w:color w:val="0561C1"/>
          <w:sz w:val="18"/>
          <w:u w:val="none"/>
          <w:vertAlign w:val="baseline"/>
        </w:rPr>
        <w:t> </w:t>
      </w:r>
      <w:hyperlink r:id="rId366">
        <w:r>
          <w:rPr>
            <w:color w:val="0561C1"/>
            <w:spacing w:val="-2"/>
            <w:sz w:val="18"/>
            <w:u w:val="single" w:color="0561C1"/>
            <w:vertAlign w:val="baseline"/>
          </w:rPr>
          <w:t>beside-investment-program</w:t>
        </w:r>
      </w:hyperlink>
      <w:hyperlink r:id="rId366">
        <w:r>
          <w:rPr>
            <w:spacing w:val="-2"/>
            <w:sz w:val="18"/>
            <w:u w:val="none"/>
            <w:vertAlign w:val="baseline"/>
          </w:rPr>
          <w:t>.</w:t>
        </w:r>
      </w:hyperlink>
    </w:p>
    <w:p>
      <w:pPr>
        <w:spacing w:before="0"/>
        <w:ind w:left="463" w:right="0" w:firstLine="0"/>
        <w:jc w:val="left"/>
        <w:rPr>
          <w:sz w:val="18"/>
        </w:rPr>
      </w:pPr>
      <w:bookmarkStart w:name="_bookmark253" w:id="443"/>
      <w:bookmarkEnd w:id="443"/>
      <w:r>
        <w:rPr/>
      </w:r>
      <w:r>
        <w:rPr>
          <w:sz w:val="18"/>
          <w:vertAlign w:val="superscript"/>
        </w:rPr>
        <w:t>60</w:t>
      </w:r>
      <w:r>
        <w:rPr>
          <w:spacing w:val="-15"/>
          <w:sz w:val="18"/>
          <w:vertAlign w:val="baseline"/>
        </w:rPr>
        <w:t> </w:t>
      </w:r>
      <w:r>
        <w:rPr>
          <w:sz w:val="18"/>
          <w:vertAlign w:val="baseline"/>
        </w:rPr>
        <w:t>Sajal</w:t>
      </w:r>
      <w:r>
        <w:rPr>
          <w:spacing w:val="-4"/>
          <w:sz w:val="18"/>
          <w:vertAlign w:val="baseline"/>
        </w:rPr>
        <w:t> </w:t>
      </w:r>
      <w:r>
        <w:rPr>
          <w:sz w:val="18"/>
          <w:vertAlign w:val="baseline"/>
        </w:rPr>
        <w:t>Patel</w:t>
      </w:r>
      <w:r>
        <w:rPr>
          <w:spacing w:val="-3"/>
          <w:sz w:val="18"/>
          <w:vertAlign w:val="baseline"/>
        </w:rPr>
        <w:t> </w:t>
      </w:r>
      <w:r>
        <w:rPr>
          <w:sz w:val="18"/>
          <w:vertAlign w:val="baseline"/>
        </w:rPr>
        <w:t>and</w:t>
      </w:r>
      <w:r>
        <w:rPr>
          <w:spacing w:val="-2"/>
          <w:sz w:val="18"/>
          <w:vertAlign w:val="baseline"/>
        </w:rPr>
        <w:t> </w:t>
      </w:r>
      <w:r>
        <w:rPr>
          <w:sz w:val="18"/>
          <w:vertAlign w:val="baseline"/>
        </w:rPr>
        <w:t>Lori</w:t>
      </w:r>
      <w:r>
        <w:rPr>
          <w:spacing w:val="-3"/>
          <w:sz w:val="18"/>
          <w:vertAlign w:val="baseline"/>
        </w:rPr>
        <w:t> </w:t>
      </w:r>
      <w:r>
        <w:rPr>
          <w:sz w:val="18"/>
          <w:vertAlign w:val="baseline"/>
        </w:rPr>
        <w:t>B.</w:t>
      </w:r>
      <w:r>
        <w:rPr>
          <w:spacing w:val="-2"/>
          <w:sz w:val="18"/>
          <w:vertAlign w:val="baseline"/>
        </w:rPr>
        <w:t> </w:t>
      </w:r>
      <w:r>
        <w:rPr>
          <w:sz w:val="18"/>
          <w:vertAlign w:val="baseline"/>
        </w:rPr>
        <w:t>Sweeney,</w:t>
      </w:r>
      <w:r>
        <w:rPr>
          <w:spacing w:val="-2"/>
          <w:sz w:val="18"/>
          <w:vertAlign w:val="baseline"/>
        </w:rPr>
        <w:t> </w:t>
      </w:r>
      <w:r>
        <w:rPr>
          <w:sz w:val="18"/>
          <w:vertAlign w:val="baseline"/>
        </w:rPr>
        <w:t>“Maternal</w:t>
      </w:r>
      <w:r>
        <w:rPr>
          <w:spacing w:val="-3"/>
          <w:sz w:val="18"/>
          <w:vertAlign w:val="baseline"/>
        </w:rPr>
        <w:t> </w:t>
      </w:r>
      <w:r>
        <w:rPr>
          <w:sz w:val="18"/>
          <w:vertAlign w:val="baseline"/>
        </w:rPr>
        <w:t>Health</w:t>
      </w:r>
      <w:r>
        <w:rPr>
          <w:spacing w:val="-2"/>
          <w:sz w:val="18"/>
          <w:vertAlign w:val="baseline"/>
        </w:rPr>
        <w:t> </w:t>
      </w:r>
      <w:r>
        <w:rPr>
          <w:sz w:val="18"/>
          <w:vertAlign w:val="baseline"/>
        </w:rPr>
        <w:t>in</w:t>
      </w:r>
      <w:r>
        <w:rPr>
          <w:spacing w:val="-1"/>
          <w:sz w:val="18"/>
          <w:vertAlign w:val="baseline"/>
        </w:rPr>
        <w:t> </w:t>
      </w:r>
      <w:r>
        <w:rPr>
          <w:sz w:val="18"/>
          <w:vertAlign w:val="baseline"/>
        </w:rPr>
        <w:t>the</w:t>
      </w:r>
      <w:r>
        <w:rPr>
          <w:spacing w:val="-2"/>
          <w:sz w:val="18"/>
          <w:vertAlign w:val="baseline"/>
        </w:rPr>
        <w:t> </w:t>
      </w:r>
      <w:r>
        <w:rPr>
          <w:sz w:val="18"/>
          <w:vertAlign w:val="baseline"/>
        </w:rPr>
        <w:t>Transgender</w:t>
      </w:r>
      <w:r>
        <w:rPr>
          <w:spacing w:val="-2"/>
          <w:sz w:val="18"/>
          <w:vertAlign w:val="baseline"/>
        </w:rPr>
        <w:t> Population,”</w:t>
      </w:r>
    </w:p>
    <w:p>
      <w:pPr>
        <w:spacing w:before="0"/>
        <w:ind w:left="463" w:right="0" w:hanging="1"/>
        <w:jc w:val="left"/>
        <w:rPr>
          <w:sz w:val="18"/>
        </w:rPr>
      </w:pPr>
      <w:bookmarkStart w:name="_bookmark254" w:id="444"/>
      <w:bookmarkEnd w:id="444"/>
      <w:r>
        <w:rPr/>
      </w:r>
      <w:r>
        <w:rPr>
          <w:sz w:val="18"/>
          <w:vertAlign w:val="superscript"/>
        </w:rPr>
        <w:t>61</w:t>
      </w:r>
      <w:r>
        <w:rPr>
          <w:spacing w:val="-13"/>
          <w:sz w:val="18"/>
          <w:vertAlign w:val="baseline"/>
        </w:rPr>
        <w:t> </w:t>
      </w:r>
      <w:r>
        <w:rPr>
          <w:sz w:val="18"/>
          <w:vertAlign w:val="baseline"/>
        </w:rPr>
        <w:t>Jeff</w:t>
      </w:r>
      <w:r>
        <w:rPr>
          <w:spacing w:val="-3"/>
          <w:sz w:val="18"/>
          <w:vertAlign w:val="baseline"/>
        </w:rPr>
        <w:t> </w:t>
      </w:r>
      <w:r>
        <w:rPr>
          <w:sz w:val="18"/>
          <w:vertAlign w:val="baseline"/>
        </w:rPr>
        <w:t>Diamant</w:t>
      </w:r>
      <w:r>
        <w:rPr>
          <w:spacing w:val="-3"/>
          <w:sz w:val="18"/>
          <w:vertAlign w:val="baseline"/>
        </w:rPr>
        <w:t> </w:t>
      </w:r>
      <w:r>
        <w:rPr>
          <w:sz w:val="18"/>
          <w:vertAlign w:val="baseline"/>
        </w:rPr>
        <w:t>and</w:t>
      </w:r>
      <w:r>
        <w:rPr>
          <w:spacing w:val="-2"/>
          <w:sz w:val="18"/>
          <w:vertAlign w:val="baseline"/>
        </w:rPr>
        <w:t> </w:t>
      </w:r>
      <w:r>
        <w:rPr>
          <w:sz w:val="18"/>
          <w:vertAlign w:val="baseline"/>
        </w:rPr>
        <w:t>Besheer</w:t>
      </w:r>
      <w:r>
        <w:rPr>
          <w:spacing w:val="-3"/>
          <w:sz w:val="18"/>
          <w:vertAlign w:val="baseline"/>
        </w:rPr>
        <w:t> </w:t>
      </w:r>
      <w:r>
        <w:rPr>
          <w:sz w:val="18"/>
          <w:vertAlign w:val="baseline"/>
        </w:rPr>
        <w:t>Mohamed,</w:t>
      </w:r>
      <w:r>
        <w:rPr>
          <w:spacing w:val="-3"/>
          <w:sz w:val="18"/>
          <w:vertAlign w:val="baseline"/>
        </w:rPr>
        <w:t> </w:t>
      </w:r>
      <w:r>
        <w:rPr>
          <w:sz w:val="18"/>
          <w:vertAlign w:val="baseline"/>
        </w:rPr>
        <w:t>“What</w:t>
      </w:r>
      <w:r>
        <w:rPr>
          <w:spacing w:val="-3"/>
          <w:sz w:val="18"/>
          <w:vertAlign w:val="baseline"/>
        </w:rPr>
        <w:t> </w:t>
      </w:r>
      <w:r>
        <w:rPr>
          <w:sz w:val="18"/>
          <w:vertAlign w:val="baseline"/>
        </w:rPr>
        <w:t>the</w:t>
      </w:r>
      <w:r>
        <w:rPr>
          <w:spacing w:val="-2"/>
          <w:sz w:val="18"/>
          <w:vertAlign w:val="baseline"/>
        </w:rPr>
        <w:t> </w:t>
      </w:r>
      <w:r>
        <w:rPr>
          <w:sz w:val="18"/>
          <w:vertAlign w:val="baseline"/>
        </w:rPr>
        <w:t>Data</w:t>
      </w:r>
      <w:r>
        <w:rPr>
          <w:spacing w:val="-2"/>
          <w:sz w:val="18"/>
          <w:vertAlign w:val="baseline"/>
        </w:rPr>
        <w:t> </w:t>
      </w:r>
      <w:r>
        <w:rPr>
          <w:sz w:val="18"/>
          <w:vertAlign w:val="baseline"/>
        </w:rPr>
        <w:t>Says</w:t>
      </w:r>
      <w:r>
        <w:rPr>
          <w:spacing w:val="-2"/>
          <w:sz w:val="18"/>
          <w:vertAlign w:val="baseline"/>
        </w:rPr>
        <w:t> </w:t>
      </w:r>
      <w:r>
        <w:rPr>
          <w:sz w:val="18"/>
          <w:vertAlign w:val="baseline"/>
        </w:rPr>
        <w:t>about</w:t>
      </w:r>
      <w:r>
        <w:rPr>
          <w:spacing w:val="-3"/>
          <w:sz w:val="18"/>
          <w:vertAlign w:val="baseline"/>
        </w:rPr>
        <w:t> </w:t>
      </w:r>
      <w:r>
        <w:rPr>
          <w:sz w:val="18"/>
          <w:vertAlign w:val="baseline"/>
        </w:rPr>
        <w:t>Abortion</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U.S.,”</w:t>
      </w:r>
      <w:r>
        <w:rPr>
          <w:spacing w:val="-2"/>
          <w:sz w:val="18"/>
          <w:vertAlign w:val="baseline"/>
        </w:rPr>
        <w:t> </w:t>
      </w:r>
      <w:r>
        <w:rPr>
          <w:i/>
          <w:sz w:val="18"/>
          <w:vertAlign w:val="baseline"/>
        </w:rPr>
        <w:t>Pew</w:t>
      </w:r>
      <w:r>
        <w:rPr>
          <w:i/>
          <w:spacing w:val="-3"/>
          <w:sz w:val="18"/>
          <w:vertAlign w:val="baseline"/>
        </w:rPr>
        <w:t> </w:t>
      </w:r>
      <w:r>
        <w:rPr>
          <w:i/>
          <w:sz w:val="18"/>
          <w:vertAlign w:val="baseline"/>
        </w:rPr>
        <w:t>Research</w:t>
      </w:r>
      <w:r>
        <w:rPr>
          <w:i/>
          <w:spacing w:val="-2"/>
          <w:sz w:val="18"/>
          <w:vertAlign w:val="baseline"/>
        </w:rPr>
        <w:t> </w:t>
      </w:r>
      <w:r>
        <w:rPr>
          <w:i/>
          <w:sz w:val="18"/>
          <w:vertAlign w:val="baseline"/>
        </w:rPr>
        <w:t>Center</w:t>
      </w:r>
      <w:r>
        <w:rPr>
          <w:i/>
          <w:spacing w:val="-3"/>
          <w:sz w:val="18"/>
          <w:vertAlign w:val="baseline"/>
        </w:rPr>
        <w:t> </w:t>
      </w:r>
      <w:r>
        <w:rPr>
          <w:sz w:val="18"/>
          <w:vertAlign w:val="baseline"/>
        </w:rPr>
        <w:t>(blog),</w:t>
      </w:r>
      <w:r>
        <w:rPr>
          <w:spacing w:val="-3"/>
          <w:sz w:val="18"/>
          <w:vertAlign w:val="baseline"/>
        </w:rPr>
        <w:t> </w:t>
      </w:r>
      <w:r>
        <w:rPr>
          <w:sz w:val="18"/>
          <w:vertAlign w:val="baseline"/>
        </w:rPr>
        <w:t>accessed December 4, 2022, </w:t>
      </w:r>
      <w:hyperlink r:id="rId367">
        <w:r>
          <w:rPr>
            <w:color w:val="0561C1"/>
            <w:sz w:val="18"/>
            <w:u w:val="single" w:color="0561C1"/>
            <w:vertAlign w:val="baseline"/>
          </w:rPr>
          <w:t>https://www.pewresearch.org/fact-tank/2022/06/24/what-the-data-says-about-abortion-in-the-u-s-2/</w:t>
        </w:r>
      </w:hyperlink>
      <w:hyperlink r:id="rId367">
        <w:r>
          <w:rPr>
            <w:sz w:val="18"/>
            <w:u w:val="none"/>
            <w:vertAlign w:val="baseline"/>
          </w:rPr>
          <w:t>.</w:t>
        </w:r>
      </w:hyperlink>
    </w:p>
    <w:p>
      <w:pPr>
        <w:spacing w:before="0"/>
        <w:ind w:left="463" w:right="0" w:hanging="1"/>
        <w:jc w:val="left"/>
        <w:rPr>
          <w:sz w:val="18"/>
        </w:rPr>
      </w:pPr>
      <w:bookmarkStart w:name="_bookmark255" w:id="445"/>
      <w:bookmarkEnd w:id="445"/>
      <w:r>
        <w:rPr/>
      </w:r>
      <w:r>
        <w:rPr>
          <w:sz w:val="18"/>
          <w:vertAlign w:val="superscript"/>
        </w:rPr>
        <w:t>62</w:t>
      </w:r>
      <w:r>
        <w:rPr>
          <w:spacing w:val="-13"/>
          <w:sz w:val="18"/>
          <w:vertAlign w:val="baseline"/>
        </w:rPr>
        <w:t> </w:t>
      </w:r>
      <w:r>
        <w:rPr>
          <w:sz w:val="18"/>
          <w:vertAlign w:val="baseline"/>
        </w:rPr>
        <w:t>“13</w:t>
      </w:r>
      <w:r>
        <w:rPr>
          <w:spacing w:val="-3"/>
          <w:sz w:val="18"/>
          <w:vertAlign w:val="baseline"/>
        </w:rPr>
        <w:t> </w:t>
      </w:r>
      <w:r>
        <w:rPr>
          <w:sz w:val="18"/>
          <w:vertAlign w:val="baseline"/>
        </w:rPr>
        <w:t>States</w:t>
      </w:r>
      <w:r>
        <w:rPr>
          <w:spacing w:val="-2"/>
          <w:sz w:val="18"/>
          <w:vertAlign w:val="baseline"/>
        </w:rPr>
        <w:t> </w:t>
      </w:r>
      <w:r>
        <w:rPr>
          <w:sz w:val="18"/>
          <w:vertAlign w:val="baseline"/>
        </w:rPr>
        <w:t>Have</w:t>
      </w:r>
      <w:r>
        <w:rPr>
          <w:spacing w:val="-2"/>
          <w:sz w:val="18"/>
          <w:vertAlign w:val="baseline"/>
        </w:rPr>
        <w:t> </w:t>
      </w:r>
      <w:r>
        <w:rPr>
          <w:sz w:val="18"/>
          <w:vertAlign w:val="baseline"/>
        </w:rPr>
        <w:t>Abortion</w:t>
      </w:r>
      <w:r>
        <w:rPr>
          <w:spacing w:val="-2"/>
          <w:sz w:val="18"/>
          <w:vertAlign w:val="baseline"/>
        </w:rPr>
        <w:t> </w:t>
      </w:r>
      <w:r>
        <w:rPr>
          <w:sz w:val="18"/>
          <w:vertAlign w:val="baseline"/>
        </w:rPr>
        <w:t>Trigger</w:t>
      </w:r>
      <w:r>
        <w:rPr>
          <w:spacing w:val="-3"/>
          <w:sz w:val="18"/>
          <w:vertAlign w:val="baseline"/>
        </w:rPr>
        <w:t> </w:t>
      </w:r>
      <w:r>
        <w:rPr>
          <w:sz w:val="18"/>
          <w:vertAlign w:val="baseline"/>
        </w:rPr>
        <w:t>Bans—Here’s</w:t>
      </w:r>
      <w:r>
        <w:rPr>
          <w:spacing w:val="-3"/>
          <w:sz w:val="18"/>
          <w:vertAlign w:val="baseline"/>
        </w:rPr>
        <w:t> </w:t>
      </w:r>
      <w:r>
        <w:rPr>
          <w:sz w:val="18"/>
          <w:vertAlign w:val="baseline"/>
        </w:rPr>
        <w:t>What</w:t>
      </w:r>
      <w:r>
        <w:rPr>
          <w:spacing w:val="-3"/>
          <w:sz w:val="18"/>
          <w:vertAlign w:val="baseline"/>
        </w:rPr>
        <w:t> </w:t>
      </w:r>
      <w:r>
        <w:rPr>
          <w:sz w:val="18"/>
          <w:vertAlign w:val="baseline"/>
        </w:rPr>
        <w:t>Happens</w:t>
      </w:r>
      <w:r>
        <w:rPr>
          <w:spacing w:val="-3"/>
          <w:sz w:val="18"/>
          <w:vertAlign w:val="baseline"/>
        </w:rPr>
        <w:t> </w:t>
      </w:r>
      <w:r>
        <w:rPr>
          <w:sz w:val="18"/>
          <w:vertAlign w:val="baseline"/>
        </w:rPr>
        <w:t>When</w:t>
      </w:r>
      <w:r>
        <w:rPr>
          <w:spacing w:val="-2"/>
          <w:sz w:val="18"/>
          <w:vertAlign w:val="baseline"/>
        </w:rPr>
        <w:t> </w:t>
      </w:r>
      <w:r>
        <w:rPr>
          <w:sz w:val="18"/>
          <w:vertAlign w:val="baseline"/>
        </w:rPr>
        <w:t>Roe</w:t>
      </w:r>
      <w:r>
        <w:rPr>
          <w:spacing w:val="-2"/>
          <w:sz w:val="18"/>
          <w:vertAlign w:val="baseline"/>
        </w:rPr>
        <w:t> </w:t>
      </w:r>
      <w:r>
        <w:rPr>
          <w:sz w:val="18"/>
          <w:vertAlign w:val="baseline"/>
        </w:rPr>
        <w:t>Is</w:t>
      </w:r>
      <w:r>
        <w:rPr>
          <w:spacing w:val="-2"/>
          <w:sz w:val="18"/>
          <w:vertAlign w:val="baseline"/>
        </w:rPr>
        <w:t> </w:t>
      </w:r>
      <w:r>
        <w:rPr>
          <w:sz w:val="18"/>
          <w:vertAlign w:val="baseline"/>
        </w:rPr>
        <w:t>Overturned,”</w:t>
      </w:r>
      <w:r>
        <w:rPr>
          <w:spacing w:val="-2"/>
          <w:sz w:val="18"/>
          <w:vertAlign w:val="baseline"/>
        </w:rPr>
        <w:t> </w:t>
      </w:r>
      <w:r>
        <w:rPr>
          <w:sz w:val="18"/>
          <w:vertAlign w:val="baseline"/>
        </w:rPr>
        <w:t>Guttmacher</w:t>
      </w:r>
      <w:r>
        <w:rPr>
          <w:spacing w:val="-3"/>
          <w:sz w:val="18"/>
          <w:vertAlign w:val="baseline"/>
        </w:rPr>
        <w:t> </w:t>
      </w:r>
      <w:r>
        <w:rPr>
          <w:sz w:val="18"/>
          <w:vertAlign w:val="baseline"/>
        </w:rPr>
        <w:t>Institute,</w:t>
      </w:r>
      <w:r>
        <w:rPr>
          <w:spacing w:val="-3"/>
          <w:sz w:val="18"/>
          <w:vertAlign w:val="baseline"/>
        </w:rPr>
        <w:t> </w:t>
      </w:r>
      <w:r>
        <w:rPr>
          <w:sz w:val="18"/>
          <w:vertAlign w:val="baseline"/>
        </w:rPr>
        <w:t>June</w:t>
      </w:r>
      <w:r>
        <w:rPr>
          <w:spacing w:val="-2"/>
          <w:sz w:val="18"/>
          <w:vertAlign w:val="baseline"/>
        </w:rPr>
        <w:t> </w:t>
      </w:r>
      <w:r>
        <w:rPr>
          <w:sz w:val="18"/>
          <w:vertAlign w:val="baseline"/>
        </w:rPr>
        <w:t>6,</w:t>
      </w:r>
      <w:r>
        <w:rPr>
          <w:spacing w:val="-3"/>
          <w:sz w:val="18"/>
          <w:vertAlign w:val="baseline"/>
        </w:rPr>
        <w:t> </w:t>
      </w:r>
      <w:r>
        <w:rPr>
          <w:sz w:val="18"/>
          <w:vertAlign w:val="baseline"/>
        </w:rPr>
        <w:t>2022, </w:t>
      </w:r>
      <w:hyperlink r:id="rId368">
        <w:r>
          <w:rPr>
            <w:color w:val="0561C1"/>
            <w:spacing w:val="-2"/>
            <w:sz w:val="18"/>
            <w:u w:val="single" w:color="0561C1"/>
            <w:vertAlign w:val="baseline"/>
          </w:rPr>
          <w:t>https://doi.org/10.1363/2022.33571</w:t>
        </w:r>
      </w:hyperlink>
      <w:hyperlink r:id="rId368">
        <w:r>
          <w:rPr>
            <w:spacing w:val="-2"/>
            <w:sz w:val="18"/>
            <w:u w:val="none"/>
            <w:vertAlign w:val="baseline"/>
          </w:rPr>
          <w:t>.</w:t>
        </w:r>
      </w:hyperlink>
    </w:p>
    <w:p>
      <w:pPr>
        <w:spacing w:after="0"/>
        <w:jc w:val="left"/>
        <w:rPr>
          <w:sz w:val="18"/>
        </w:rPr>
        <w:sectPr>
          <w:pgSz w:w="12240" w:h="15840"/>
          <w:pgMar w:header="800" w:footer="1530" w:top="1080" w:bottom="1760" w:left="980" w:right="1000"/>
        </w:sectPr>
      </w:pPr>
    </w:p>
    <w:p>
      <w:pPr>
        <w:spacing w:before="68"/>
        <w:ind w:left="463" w:right="1003" w:firstLine="0"/>
        <w:jc w:val="left"/>
        <w:rPr>
          <w:sz w:val="18"/>
        </w:rPr>
      </w:pPr>
      <w:bookmarkStart w:name="_bookmark256" w:id="446"/>
      <w:bookmarkEnd w:id="446"/>
      <w:r>
        <w:rPr/>
      </w:r>
      <w:r>
        <w:rPr>
          <w:sz w:val="18"/>
          <w:vertAlign w:val="superscript"/>
        </w:rPr>
        <w:t>63</w:t>
      </w:r>
      <w:r>
        <w:rPr>
          <w:spacing w:val="-13"/>
          <w:sz w:val="18"/>
          <w:vertAlign w:val="baseline"/>
        </w:rPr>
        <w:t> </w:t>
      </w:r>
      <w:r>
        <w:rPr>
          <w:sz w:val="18"/>
          <w:vertAlign w:val="baseline"/>
        </w:rPr>
        <w:t>“State</w:t>
      </w:r>
      <w:r>
        <w:rPr>
          <w:spacing w:val="-6"/>
          <w:sz w:val="18"/>
          <w:vertAlign w:val="baseline"/>
        </w:rPr>
        <w:t> </w:t>
      </w:r>
      <w:r>
        <w:rPr>
          <w:sz w:val="18"/>
          <w:vertAlign w:val="baseline"/>
        </w:rPr>
        <w:t>Facts</w:t>
      </w:r>
      <w:r>
        <w:rPr>
          <w:spacing w:val="-3"/>
          <w:sz w:val="18"/>
          <w:vertAlign w:val="baseline"/>
        </w:rPr>
        <w:t> </w:t>
      </w:r>
      <w:r>
        <w:rPr>
          <w:sz w:val="18"/>
          <w:vertAlign w:val="baseline"/>
        </w:rPr>
        <w:t>About</w:t>
      </w:r>
      <w:r>
        <w:rPr>
          <w:spacing w:val="-4"/>
          <w:sz w:val="18"/>
          <w:vertAlign w:val="baseline"/>
        </w:rPr>
        <w:t> </w:t>
      </w:r>
      <w:r>
        <w:rPr>
          <w:sz w:val="18"/>
          <w:vertAlign w:val="baseline"/>
        </w:rPr>
        <w:t>Abortion:</w:t>
      </w:r>
      <w:r>
        <w:rPr>
          <w:spacing w:val="-3"/>
          <w:sz w:val="18"/>
          <w:vertAlign w:val="baseline"/>
        </w:rPr>
        <w:t> </w:t>
      </w:r>
      <w:r>
        <w:rPr>
          <w:sz w:val="18"/>
          <w:vertAlign w:val="baseline"/>
        </w:rPr>
        <w:t>Massachusetts,”</w:t>
      </w:r>
      <w:r>
        <w:rPr>
          <w:spacing w:val="-4"/>
          <w:sz w:val="18"/>
          <w:vertAlign w:val="baseline"/>
        </w:rPr>
        <w:t> </w:t>
      </w:r>
      <w:r>
        <w:rPr>
          <w:sz w:val="18"/>
          <w:vertAlign w:val="baseline"/>
        </w:rPr>
        <w:t>Guttmacher</w:t>
      </w:r>
      <w:r>
        <w:rPr>
          <w:spacing w:val="-4"/>
          <w:sz w:val="18"/>
          <w:vertAlign w:val="baseline"/>
        </w:rPr>
        <w:t> </w:t>
      </w:r>
      <w:r>
        <w:rPr>
          <w:sz w:val="18"/>
          <w:vertAlign w:val="baseline"/>
        </w:rPr>
        <w:t>Institute,</w:t>
      </w:r>
      <w:r>
        <w:rPr>
          <w:spacing w:val="-4"/>
          <w:sz w:val="18"/>
          <w:vertAlign w:val="baseline"/>
        </w:rPr>
        <w:t> </w:t>
      </w:r>
      <w:r>
        <w:rPr>
          <w:sz w:val="18"/>
          <w:vertAlign w:val="baseline"/>
        </w:rPr>
        <w:t>June</w:t>
      </w:r>
      <w:r>
        <w:rPr>
          <w:spacing w:val="-3"/>
          <w:sz w:val="18"/>
          <w:vertAlign w:val="baseline"/>
        </w:rPr>
        <w:t> </w:t>
      </w:r>
      <w:r>
        <w:rPr>
          <w:sz w:val="18"/>
          <w:vertAlign w:val="baseline"/>
        </w:rPr>
        <w:t>28,</w:t>
      </w:r>
      <w:r>
        <w:rPr>
          <w:spacing w:val="-4"/>
          <w:sz w:val="18"/>
          <w:vertAlign w:val="baseline"/>
        </w:rPr>
        <w:t> </w:t>
      </w:r>
      <w:r>
        <w:rPr>
          <w:sz w:val="18"/>
          <w:vertAlign w:val="baseline"/>
        </w:rPr>
        <w:t>2022,</w:t>
      </w:r>
      <w:r>
        <w:rPr>
          <w:spacing w:val="-4"/>
          <w:sz w:val="18"/>
          <w:vertAlign w:val="baseline"/>
        </w:rPr>
        <w:t> </w:t>
      </w:r>
      <w:hyperlink r:id="rId369">
        <w:r>
          <w:rPr>
            <w:color w:val="0561C1"/>
            <w:sz w:val="18"/>
            <w:u w:val="single" w:color="0561C1"/>
            <w:vertAlign w:val="baseline"/>
          </w:rPr>
          <w:t>https://www.guttmacher.org/fact-</w:t>
        </w:r>
      </w:hyperlink>
      <w:r>
        <w:rPr>
          <w:color w:val="0561C1"/>
          <w:sz w:val="18"/>
          <w:u w:val="none"/>
          <w:vertAlign w:val="baseline"/>
        </w:rPr>
        <w:t> </w:t>
      </w:r>
      <w:bookmarkStart w:name="_bookmark257" w:id="447"/>
      <w:bookmarkEnd w:id="447"/>
      <w:r>
        <w:rPr>
          <w:color w:val="0561C1"/>
          <w:sz w:val="18"/>
          <w:u w:val="none"/>
          <w:vertAlign w:val="baseline"/>
        </w:rPr>
      </w:r>
      <w:hyperlink r:id="rId369">
        <w:r>
          <w:rPr>
            <w:color w:val="0561C1"/>
            <w:spacing w:val="-2"/>
            <w:sz w:val="18"/>
            <w:u w:val="single" w:color="0561C1"/>
            <w:vertAlign w:val="baseline"/>
          </w:rPr>
          <w:t>sheet/state-facts-about-abortion-massachusetts</w:t>
        </w:r>
      </w:hyperlink>
      <w:hyperlink r:id="rId369">
        <w:r>
          <w:rPr>
            <w:spacing w:val="-2"/>
            <w:sz w:val="18"/>
            <w:u w:val="none"/>
            <w:vertAlign w:val="baseline"/>
          </w:rPr>
          <w:t>.</w:t>
        </w:r>
      </w:hyperlink>
    </w:p>
    <w:p>
      <w:pPr>
        <w:spacing w:before="0"/>
        <w:ind w:left="463" w:right="1748" w:firstLine="0"/>
        <w:jc w:val="left"/>
        <w:rPr>
          <w:sz w:val="18"/>
        </w:rPr>
      </w:pPr>
      <w:r>
        <w:rPr>
          <w:sz w:val="18"/>
          <w:vertAlign w:val="superscript"/>
        </w:rPr>
        <w:t>64</w:t>
      </w:r>
      <w:r>
        <w:rPr>
          <w:spacing w:val="-13"/>
          <w:sz w:val="18"/>
          <w:vertAlign w:val="baseline"/>
        </w:rPr>
        <w:t> </w:t>
      </w:r>
      <w:r>
        <w:rPr>
          <w:sz w:val="18"/>
          <w:vertAlign w:val="baseline"/>
        </w:rPr>
        <w:t>“Massachusetts</w:t>
      </w:r>
      <w:r>
        <w:rPr>
          <w:spacing w:val="-5"/>
          <w:sz w:val="18"/>
          <w:vertAlign w:val="baseline"/>
        </w:rPr>
        <w:t> </w:t>
      </w:r>
      <w:r>
        <w:rPr>
          <w:sz w:val="18"/>
          <w:vertAlign w:val="baseline"/>
        </w:rPr>
        <w:t>Law</w:t>
      </w:r>
      <w:r>
        <w:rPr>
          <w:spacing w:val="-4"/>
          <w:sz w:val="18"/>
          <w:vertAlign w:val="baseline"/>
        </w:rPr>
        <w:t> </w:t>
      </w:r>
      <w:r>
        <w:rPr>
          <w:sz w:val="18"/>
          <w:vertAlign w:val="baseline"/>
        </w:rPr>
        <w:t>about</w:t>
      </w:r>
      <w:r>
        <w:rPr>
          <w:spacing w:val="-4"/>
          <w:sz w:val="18"/>
          <w:vertAlign w:val="baseline"/>
        </w:rPr>
        <w:t> </w:t>
      </w:r>
      <w:r>
        <w:rPr>
          <w:sz w:val="18"/>
          <w:vertAlign w:val="baseline"/>
        </w:rPr>
        <w:t>Abortion</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December</w:t>
      </w:r>
      <w:r>
        <w:rPr>
          <w:spacing w:val="-4"/>
          <w:sz w:val="18"/>
          <w:vertAlign w:val="baseline"/>
        </w:rPr>
        <w:t> </w:t>
      </w:r>
      <w:r>
        <w:rPr>
          <w:sz w:val="18"/>
          <w:vertAlign w:val="baseline"/>
        </w:rPr>
        <w:t>4,</w:t>
      </w:r>
      <w:r>
        <w:rPr>
          <w:spacing w:val="-4"/>
          <w:sz w:val="18"/>
          <w:vertAlign w:val="baseline"/>
        </w:rPr>
        <w:t> </w:t>
      </w:r>
      <w:r>
        <w:rPr>
          <w:sz w:val="18"/>
          <w:vertAlign w:val="baseline"/>
        </w:rPr>
        <w:t>2022,</w:t>
      </w:r>
      <w:r>
        <w:rPr>
          <w:spacing w:val="-4"/>
          <w:sz w:val="18"/>
          <w:vertAlign w:val="baseline"/>
        </w:rPr>
        <w:t> </w:t>
      </w:r>
      <w:hyperlink r:id="rId370">
        <w:r>
          <w:rPr>
            <w:color w:val="0561C1"/>
            <w:sz w:val="18"/>
            <w:u w:val="single" w:color="0561C1"/>
            <w:vertAlign w:val="baseline"/>
          </w:rPr>
          <w:t>https://www.mass.gov/info-</w:t>
        </w:r>
      </w:hyperlink>
      <w:r>
        <w:rPr>
          <w:color w:val="0561C1"/>
          <w:sz w:val="18"/>
          <w:u w:val="none"/>
          <w:vertAlign w:val="baseline"/>
        </w:rPr>
        <w:t> </w:t>
      </w:r>
      <w:bookmarkStart w:name="_bookmark258" w:id="448"/>
      <w:bookmarkEnd w:id="448"/>
      <w:r>
        <w:rPr>
          <w:color w:val="0561C1"/>
          <w:sz w:val="18"/>
          <w:u w:val="none"/>
          <w:vertAlign w:val="baseline"/>
        </w:rPr>
      </w:r>
      <w:hyperlink r:id="rId370">
        <w:r>
          <w:rPr>
            <w:color w:val="0561C1"/>
            <w:spacing w:val="-2"/>
            <w:sz w:val="18"/>
            <w:u w:val="single" w:color="0561C1"/>
            <w:vertAlign w:val="baseline"/>
          </w:rPr>
          <w:t>details/massachusetts-law-about-abortion</w:t>
        </w:r>
      </w:hyperlink>
      <w:hyperlink r:id="rId370">
        <w:r>
          <w:rPr>
            <w:spacing w:val="-2"/>
            <w:sz w:val="18"/>
            <w:u w:val="none"/>
            <w:vertAlign w:val="baseline"/>
          </w:rPr>
          <w:t>.</w:t>
        </w:r>
      </w:hyperlink>
    </w:p>
    <w:p>
      <w:pPr>
        <w:spacing w:before="1"/>
        <w:ind w:left="463" w:right="507" w:firstLine="0"/>
        <w:jc w:val="left"/>
        <w:rPr>
          <w:sz w:val="18"/>
        </w:rPr>
      </w:pPr>
      <w:r>
        <w:rPr>
          <w:sz w:val="18"/>
          <w:vertAlign w:val="superscript"/>
        </w:rPr>
        <w:t>65</w:t>
      </w:r>
      <w:r>
        <w:rPr>
          <w:spacing w:val="-11"/>
          <w:sz w:val="18"/>
          <w:vertAlign w:val="baseline"/>
        </w:rPr>
        <w:t> </w:t>
      </w:r>
      <w:r>
        <w:rPr>
          <w:sz w:val="18"/>
          <w:vertAlign w:val="baseline"/>
        </w:rPr>
        <w:t>“New Study Finds Massachusetts Judicial Bypass Process Delays Access to Abortion | Planned Parenthood Advocacy Fund of Massachusetts,</w:t>
      </w:r>
      <w:r>
        <w:rPr>
          <w:spacing w:val="-7"/>
          <w:sz w:val="18"/>
          <w:vertAlign w:val="baseline"/>
        </w:rPr>
        <w:t> </w:t>
      </w:r>
      <w:r>
        <w:rPr>
          <w:sz w:val="18"/>
          <w:vertAlign w:val="baseline"/>
        </w:rPr>
        <w:t>Inc.,”</w:t>
      </w:r>
      <w:r>
        <w:rPr>
          <w:spacing w:val="-6"/>
          <w:sz w:val="18"/>
          <w:vertAlign w:val="baseline"/>
        </w:rPr>
        <w:t> </w:t>
      </w:r>
      <w:r>
        <w:rPr>
          <w:sz w:val="18"/>
          <w:vertAlign w:val="baseline"/>
        </w:rPr>
        <w:t>accessed</w:t>
      </w:r>
      <w:r>
        <w:rPr>
          <w:spacing w:val="-6"/>
          <w:sz w:val="18"/>
          <w:vertAlign w:val="baseline"/>
        </w:rPr>
        <w:t> </w:t>
      </w:r>
      <w:r>
        <w:rPr>
          <w:sz w:val="18"/>
          <w:vertAlign w:val="baseline"/>
        </w:rPr>
        <w:t>December</w:t>
      </w:r>
      <w:r>
        <w:rPr>
          <w:spacing w:val="-7"/>
          <w:sz w:val="18"/>
          <w:vertAlign w:val="baseline"/>
        </w:rPr>
        <w:t> </w:t>
      </w:r>
      <w:r>
        <w:rPr>
          <w:sz w:val="18"/>
          <w:vertAlign w:val="baseline"/>
        </w:rPr>
        <w:t>4,</w:t>
      </w:r>
      <w:r>
        <w:rPr>
          <w:spacing w:val="-7"/>
          <w:sz w:val="18"/>
          <w:vertAlign w:val="baseline"/>
        </w:rPr>
        <w:t> </w:t>
      </w:r>
      <w:r>
        <w:rPr>
          <w:sz w:val="18"/>
          <w:vertAlign w:val="baseline"/>
        </w:rPr>
        <w:t>2022,</w:t>
      </w:r>
      <w:r>
        <w:rPr>
          <w:spacing w:val="-7"/>
          <w:sz w:val="18"/>
          <w:vertAlign w:val="baseline"/>
        </w:rPr>
        <w:t> </w:t>
      </w:r>
      <w:hyperlink r:id="rId371">
        <w:r>
          <w:rPr>
            <w:color w:val="0561C1"/>
            <w:sz w:val="18"/>
            <w:u w:val="single" w:color="0561C1"/>
            <w:vertAlign w:val="baseline"/>
          </w:rPr>
          <w:t>https://www.plannedparenthoodaction.org/planned-parenthood-advocacy-</w:t>
        </w:r>
      </w:hyperlink>
      <w:r>
        <w:rPr>
          <w:color w:val="0561C1"/>
          <w:sz w:val="18"/>
          <w:u w:val="none"/>
          <w:vertAlign w:val="baseline"/>
        </w:rPr>
        <w:t> </w:t>
      </w:r>
      <w:bookmarkStart w:name="_bookmark259" w:id="449"/>
      <w:bookmarkEnd w:id="449"/>
      <w:r>
        <w:rPr>
          <w:color w:val="0561C1"/>
          <w:sz w:val="18"/>
          <w:u w:val="none"/>
          <w:vertAlign w:val="baseline"/>
        </w:rPr>
      </w:r>
      <w:hyperlink r:id="rId371">
        <w:r>
          <w:rPr>
            <w:color w:val="0561C1"/>
            <w:spacing w:val="-2"/>
            <w:sz w:val="18"/>
            <w:u w:val="single" w:color="0561C1"/>
            <w:vertAlign w:val="baseline"/>
          </w:rPr>
          <w:t>fund-massachusetts-inc/pressroom/new-study-finds-massachusetts-judicial-bypass-process-delays-access-to-abortion</w:t>
        </w:r>
      </w:hyperlink>
      <w:hyperlink r:id="rId371">
        <w:r>
          <w:rPr>
            <w:spacing w:val="-2"/>
            <w:sz w:val="18"/>
            <w:u w:val="none"/>
            <w:vertAlign w:val="baseline"/>
          </w:rPr>
          <w:t>.</w:t>
        </w:r>
      </w:hyperlink>
    </w:p>
    <w:p>
      <w:pPr>
        <w:spacing w:before="0"/>
        <w:ind w:left="463" w:right="0" w:firstLine="0"/>
        <w:jc w:val="left"/>
        <w:rPr>
          <w:sz w:val="18"/>
        </w:rPr>
      </w:pPr>
      <w:r>
        <w:rPr>
          <w:sz w:val="18"/>
          <w:vertAlign w:val="superscript"/>
        </w:rPr>
        <w:t>66</w:t>
      </w:r>
      <w:r>
        <w:rPr>
          <w:spacing w:val="-13"/>
          <w:sz w:val="18"/>
          <w:vertAlign w:val="baseline"/>
        </w:rPr>
        <w:t> </w:t>
      </w:r>
      <w:r>
        <w:rPr>
          <w:sz w:val="18"/>
          <w:vertAlign w:val="baseline"/>
        </w:rPr>
        <w:t>Elizabeth</w:t>
      </w:r>
      <w:r>
        <w:rPr>
          <w:spacing w:val="-4"/>
          <w:sz w:val="18"/>
          <w:vertAlign w:val="baseline"/>
        </w:rPr>
        <w:t> </w:t>
      </w:r>
      <w:r>
        <w:rPr>
          <w:sz w:val="18"/>
          <w:vertAlign w:val="baseline"/>
        </w:rPr>
        <w:t>Janiak</w:t>
      </w:r>
      <w:r>
        <w:rPr>
          <w:spacing w:val="-4"/>
          <w:sz w:val="18"/>
          <w:vertAlign w:val="baseline"/>
        </w:rPr>
        <w:t> </w:t>
      </w:r>
      <w:r>
        <w:rPr>
          <w:sz w:val="18"/>
          <w:vertAlign w:val="baseline"/>
        </w:rPr>
        <w:t>et</w:t>
      </w:r>
      <w:r>
        <w:rPr>
          <w:spacing w:val="-4"/>
          <w:sz w:val="18"/>
          <w:vertAlign w:val="baseline"/>
        </w:rPr>
        <w:t> </w:t>
      </w:r>
      <w:r>
        <w:rPr>
          <w:sz w:val="18"/>
          <w:vertAlign w:val="baseline"/>
        </w:rPr>
        <w:t>al.,</w:t>
      </w:r>
      <w:r>
        <w:rPr>
          <w:spacing w:val="-4"/>
          <w:sz w:val="18"/>
          <w:vertAlign w:val="baseline"/>
        </w:rPr>
        <w:t> </w:t>
      </w:r>
      <w:r>
        <w:rPr>
          <w:sz w:val="18"/>
          <w:vertAlign w:val="baseline"/>
        </w:rPr>
        <w:t>“Massachusetts’</w:t>
      </w:r>
      <w:r>
        <w:rPr>
          <w:spacing w:val="-4"/>
          <w:sz w:val="18"/>
          <w:vertAlign w:val="baseline"/>
        </w:rPr>
        <w:t> </w:t>
      </w:r>
      <w:r>
        <w:rPr>
          <w:sz w:val="18"/>
          <w:vertAlign w:val="baseline"/>
        </w:rPr>
        <w:t>Parental</w:t>
      </w:r>
      <w:r>
        <w:rPr>
          <w:spacing w:val="-4"/>
          <w:sz w:val="18"/>
          <w:vertAlign w:val="baseline"/>
        </w:rPr>
        <w:t> </w:t>
      </w:r>
      <w:r>
        <w:rPr>
          <w:sz w:val="18"/>
          <w:vertAlign w:val="baseline"/>
        </w:rPr>
        <w:t>Consent</w:t>
      </w:r>
      <w:r>
        <w:rPr>
          <w:spacing w:val="-4"/>
          <w:sz w:val="18"/>
          <w:vertAlign w:val="baseline"/>
        </w:rPr>
        <w:t> </w:t>
      </w:r>
      <w:r>
        <w:rPr>
          <w:sz w:val="18"/>
          <w:vertAlign w:val="baseline"/>
        </w:rPr>
        <w:t>Law</w:t>
      </w:r>
      <w:r>
        <w:rPr>
          <w:spacing w:val="-4"/>
          <w:sz w:val="18"/>
          <w:vertAlign w:val="baseline"/>
        </w:rPr>
        <w:t> </w:t>
      </w:r>
      <w:r>
        <w:rPr>
          <w:sz w:val="18"/>
          <w:vertAlign w:val="baseline"/>
        </w:rPr>
        <w:t>and</w:t>
      </w:r>
      <w:r>
        <w:rPr>
          <w:spacing w:val="-3"/>
          <w:sz w:val="18"/>
          <w:vertAlign w:val="baseline"/>
        </w:rPr>
        <w:t> </w:t>
      </w:r>
      <w:r>
        <w:rPr>
          <w:sz w:val="18"/>
          <w:vertAlign w:val="baseline"/>
        </w:rPr>
        <w:t>Procedural</w:t>
      </w:r>
      <w:r>
        <w:rPr>
          <w:spacing w:val="-4"/>
          <w:sz w:val="18"/>
          <w:vertAlign w:val="baseline"/>
        </w:rPr>
        <w:t> </w:t>
      </w:r>
      <w:r>
        <w:rPr>
          <w:sz w:val="18"/>
          <w:vertAlign w:val="baseline"/>
        </w:rPr>
        <w:t>Timing</w:t>
      </w:r>
      <w:r>
        <w:rPr>
          <w:spacing w:val="-3"/>
          <w:sz w:val="18"/>
          <w:vertAlign w:val="baseline"/>
        </w:rPr>
        <w:t> </w:t>
      </w:r>
      <w:r>
        <w:rPr>
          <w:sz w:val="18"/>
          <w:vertAlign w:val="baseline"/>
        </w:rPr>
        <w:t>Among</w:t>
      </w:r>
      <w:r>
        <w:rPr>
          <w:spacing w:val="-4"/>
          <w:sz w:val="18"/>
          <w:vertAlign w:val="baseline"/>
        </w:rPr>
        <w:t> </w:t>
      </w:r>
      <w:r>
        <w:rPr>
          <w:sz w:val="18"/>
          <w:vertAlign w:val="baseline"/>
        </w:rPr>
        <w:t>Adolescents</w:t>
      </w:r>
      <w:r>
        <w:rPr>
          <w:spacing w:val="-3"/>
          <w:sz w:val="18"/>
          <w:vertAlign w:val="baseline"/>
        </w:rPr>
        <w:t> </w:t>
      </w:r>
      <w:r>
        <w:rPr>
          <w:sz w:val="18"/>
          <w:vertAlign w:val="baseline"/>
        </w:rPr>
        <w:t>Undergoing</w:t>
      </w:r>
      <w:r>
        <w:rPr>
          <w:spacing w:val="-3"/>
          <w:sz w:val="18"/>
          <w:vertAlign w:val="baseline"/>
        </w:rPr>
        <w:t> </w:t>
      </w:r>
      <w:r>
        <w:rPr>
          <w:sz w:val="18"/>
          <w:vertAlign w:val="baseline"/>
        </w:rPr>
        <w:t>Abortion,” </w:t>
      </w:r>
      <w:r>
        <w:rPr>
          <w:i/>
          <w:sz w:val="18"/>
          <w:vertAlign w:val="baseline"/>
        </w:rPr>
        <w:t>Obstetrics &amp; Gynecology </w:t>
      </w:r>
      <w:r>
        <w:rPr>
          <w:sz w:val="18"/>
          <w:vertAlign w:val="baseline"/>
        </w:rPr>
        <w:t>133, no. 5 (May 2019): 978–86, </w:t>
      </w:r>
      <w:hyperlink r:id="rId372">
        <w:r>
          <w:rPr>
            <w:color w:val="0561C1"/>
            <w:sz w:val="18"/>
            <w:u w:val="single" w:color="0561C1"/>
            <w:vertAlign w:val="baseline"/>
          </w:rPr>
          <w:t>https://doi.org/10.1097/AOG.0000000000003190</w:t>
        </w:r>
      </w:hyperlink>
      <w:hyperlink r:id="rId372">
        <w:r>
          <w:rPr>
            <w:sz w:val="18"/>
            <w:u w:val="none"/>
            <w:vertAlign w:val="baseline"/>
          </w:rPr>
          <w:t>.</w:t>
        </w:r>
      </w:hyperlink>
      <w:r>
        <w:rPr>
          <w:sz w:val="18"/>
          <w:u w:val="none"/>
          <w:vertAlign w:val="baseline"/>
        </w:rPr>
        <w:t> </w:t>
      </w:r>
      <w:r>
        <w:rPr>
          <w:sz w:val="18"/>
          <w:u w:val="none"/>
          <w:vertAlign w:val="superscript"/>
        </w:rPr>
        <w:t>67</w:t>
      </w:r>
      <w:r>
        <w:rPr>
          <w:spacing w:val="-9"/>
          <w:sz w:val="18"/>
          <w:u w:val="none"/>
          <w:vertAlign w:val="baseline"/>
        </w:rPr>
        <w:t> </w:t>
      </w:r>
      <w:r>
        <w:rPr>
          <w:sz w:val="18"/>
          <w:u w:val="none"/>
          <w:vertAlign w:val="baseline"/>
        </w:rPr>
        <w:t>“New Law Ensures Medication Abortion Access for Public University Students in Mass.,” News, August 1, 2022,</w:t>
      </w:r>
    </w:p>
    <w:p>
      <w:pPr>
        <w:spacing w:before="0"/>
        <w:ind w:left="463" w:right="867" w:firstLine="0"/>
        <w:jc w:val="left"/>
        <w:rPr>
          <w:sz w:val="18"/>
        </w:rPr>
      </w:pPr>
      <w:hyperlink r:id="rId373">
        <w:r>
          <w:rPr>
            <w:color w:val="0561C1"/>
            <w:spacing w:val="-2"/>
            <w:sz w:val="18"/>
            <w:u w:val="single" w:color="0561C1"/>
          </w:rPr>
          <w:t>https://www.wgbh.org/news/local-news/2022/08/01/new-law-ensures-medication-abortion-access-for-public-university-</w:t>
        </w:r>
      </w:hyperlink>
      <w:r>
        <w:rPr>
          <w:color w:val="0561C1"/>
          <w:sz w:val="18"/>
          <w:u w:val="none"/>
        </w:rPr>
        <w:t> </w:t>
      </w:r>
      <w:bookmarkStart w:name="_bookmark260" w:id="450"/>
      <w:bookmarkEnd w:id="450"/>
      <w:r>
        <w:rPr>
          <w:color w:val="0561C1"/>
          <w:sz w:val="18"/>
          <w:u w:val="none"/>
        </w:rPr>
      </w:r>
      <w:hyperlink r:id="rId373">
        <w:r>
          <w:rPr>
            <w:color w:val="0561C1"/>
            <w:spacing w:val="-2"/>
            <w:sz w:val="18"/>
            <w:u w:val="single" w:color="0561C1"/>
          </w:rPr>
          <w:t>students-in-mass</w:t>
        </w:r>
      </w:hyperlink>
      <w:hyperlink r:id="rId373">
        <w:r>
          <w:rPr>
            <w:spacing w:val="-2"/>
            <w:sz w:val="18"/>
            <w:u w:val="none"/>
          </w:rPr>
          <w:t>.</w:t>
        </w:r>
      </w:hyperlink>
    </w:p>
    <w:p>
      <w:pPr>
        <w:spacing w:before="0"/>
        <w:ind w:left="463" w:right="773" w:hanging="1"/>
        <w:jc w:val="both"/>
        <w:rPr>
          <w:sz w:val="18"/>
        </w:rPr>
      </w:pPr>
      <w:r>
        <w:rPr>
          <w:sz w:val="18"/>
          <w:vertAlign w:val="superscript"/>
        </w:rPr>
        <w:t>68</w:t>
      </w:r>
      <w:r>
        <w:rPr>
          <w:spacing w:val="-11"/>
          <w:sz w:val="18"/>
          <w:vertAlign w:val="baseline"/>
        </w:rPr>
        <w:t> </w:t>
      </w:r>
      <w:r>
        <w:rPr>
          <w:sz w:val="18"/>
          <w:vertAlign w:val="baseline"/>
        </w:rPr>
        <w:t>“Governor</w:t>
      </w:r>
      <w:r>
        <w:rPr>
          <w:spacing w:val="-7"/>
          <w:sz w:val="18"/>
          <w:vertAlign w:val="baseline"/>
        </w:rPr>
        <w:t> </w:t>
      </w:r>
      <w:r>
        <w:rPr>
          <w:sz w:val="18"/>
          <w:vertAlign w:val="baseline"/>
        </w:rPr>
        <w:t>Healey</w:t>
      </w:r>
      <w:r>
        <w:rPr>
          <w:spacing w:val="-3"/>
          <w:sz w:val="18"/>
          <w:vertAlign w:val="baseline"/>
        </w:rPr>
        <w:t> </w:t>
      </w:r>
      <w:r>
        <w:rPr>
          <w:sz w:val="18"/>
          <w:vertAlign w:val="baseline"/>
        </w:rPr>
        <w:t>Announces</w:t>
      </w:r>
      <w:r>
        <w:rPr>
          <w:spacing w:val="-4"/>
          <w:sz w:val="18"/>
          <w:vertAlign w:val="baseline"/>
        </w:rPr>
        <w:t> </w:t>
      </w:r>
      <w:r>
        <w:rPr>
          <w:sz w:val="18"/>
          <w:vertAlign w:val="baseline"/>
        </w:rPr>
        <w:t>Immediate</w:t>
      </w:r>
      <w:r>
        <w:rPr>
          <w:spacing w:val="-3"/>
          <w:sz w:val="18"/>
          <w:vertAlign w:val="baseline"/>
        </w:rPr>
        <w:t> </w:t>
      </w:r>
      <w:r>
        <w:rPr>
          <w:sz w:val="18"/>
          <w:vertAlign w:val="baseline"/>
        </w:rPr>
        <w:t>Action</w:t>
      </w:r>
      <w:r>
        <w:rPr>
          <w:spacing w:val="-3"/>
          <w:sz w:val="18"/>
          <w:vertAlign w:val="baseline"/>
        </w:rPr>
        <w:t> </w:t>
      </w:r>
      <w:r>
        <w:rPr>
          <w:sz w:val="18"/>
          <w:vertAlign w:val="baseline"/>
        </w:rPr>
        <w:t>to</w:t>
      </w:r>
      <w:r>
        <w:rPr>
          <w:spacing w:val="-3"/>
          <w:sz w:val="18"/>
          <w:vertAlign w:val="baseline"/>
        </w:rPr>
        <w:t> </w:t>
      </w:r>
      <w:r>
        <w:rPr>
          <w:sz w:val="18"/>
          <w:vertAlign w:val="baseline"/>
        </w:rPr>
        <w:t>Protect</w:t>
      </w:r>
      <w:r>
        <w:rPr>
          <w:spacing w:val="-4"/>
          <w:sz w:val="18"/>
          <w:vertAlign w:val="baseline"/>
        </w:rPr>
        <w:t> </w:t>
      </w:r>
      <w:r>
        <w:rPr>
          <w:sz w:val="18"/>
          <w:vertAlign w:val="baseline"/>
        </w:rPr>
        <w:t>Access</w:t>
      </w:r>
      <w:r>
        <w:rPr>
          <w:spacing w:val="-3"/>
          <w:sz w:val="18"/>
          <w:vertAlign w:val="baseline"/>
        </w:rPr>
        <w:t> </w:t>
      </w:r>
      <w:r>
        <w:rPr>
          <w:sz w:val="18"/>
          <w:vertAlign w:val="baseline"/>
        </w:rPr>
        <w:t>to</w:t>
      </w:r>
      <w:r>
        <w:rPr>
          <w:spacing w:val="-3"/>
          <w:sz w:val="18"/>
          <w:vertAlign w:val="baseline"/>
        </w:rPr>
        <w:t> </w:t>
      </w:r>
      <w:r>
        <w:rPr>
          <w:sz w:val="18"/>
          <w:vertAlign w:val="baseline"/>
        </w:rPr>
        <w:t>Medication</w:t>
      </w:r>
      <w:r>
        <w:rPr>
          <w:spacing w:val="-3"/>
          <w:sz w:val="18"/>
          <w:vertAlign w:val="baseline"/>
        </w:rPr>
        <w:t> </w:t>
      </w:r>
      <w:r>
        <w:rPr>
          <w:sz w:val="18"/>
          <w:vertAlign w:val="baseline"/>
        </w:rPr>
        <w:t>Abortion</w:t>
      </w:r>
      <w:r>
        <w:rPr>
          <w:spacing w:val="-3"/>
          <w:sz w:val="18"/>
          <w:vertAlign w:val="baseline"/>
        </w:rPr>
        <w:t> </w:t>
      </w:r>
      <w:r>
        <w:rPr>
          <w:sz w:val="18"/>
          <w:vertAlign w:val="baseline"/>
        </w:rPr>
        <w:t>in</w:t>
      </w:r>
      <w:r>
        <w:rPr>
          <w:spacing w:val="-3"/>
          <w:sz w:val="18"/>
          <w:vertAlign w:val="baseline"/>
        </w:rPr>
        <w:t> </w:t>
      </w:r>
      <w:r>
        <w:rPr>
          <w:sz w:val="18"/>
          <w:vertAlign w:val="baseline"/>
        </w:rPr>
        <w:t>Massachusetts</w:t>
      </w:r>
      <w:r>
        <w:rPr>
          <w:spacing w:val="-3"/>
          <w:sz w:val="18"/>
          <w:vertAlign w:val="baseline"/>
        </w:rPr>
        <w:t> </w:t>
      </w:r>
      <w:r>
        <w:rPr>
          <w:sz w:val="18"/>
          <w:vertAlign w:val="baseline"/>
        </w:rPr>
        <w:t>|</w:t>
      </w:r>
      <w:r>
        <w:rPr>
          <w:spacing w:val="-4"/>
          <w:sz w:val="18"/>
          <w:vertAlign w:val="baseline"/>
        </w:rPr>
        <w:t> </w:t>
      </w:r>
      <w:r>
        <w:rPr>
          <w:sz w:val="18"/>
          <w:vertAlign w:val="baseline"/>
        </w:rPr>
        <w:t>Mass.Gov,” accessed</w:t>
      </w:r>
      <w:r>
        <w:rPr>
          <w:spacing w:val="-3"/>
          <w:sz w:val="18"/>
          <w:vertAlign w:val="baseline"/>
        </w:rPr>
        <w:t> </w:t>
      </w:r>
      <w:r>
        <w:rPr>
          <w:sz w:val="18"/>
          <w:vertAlign w:val="baseline"/>
        </w:rPr>
        <w:t>April</w:t>
      </w:r>
      <w:r>
        <w:rPr>
          <w:spacing w:val="-4"/>
          <w:sz w:val="18"/>
          <w:vertAlign w:val="baseline"/>
        </w:rPr>
        <w:t> </w:t>
      </w:r>
      <w:r>
        <w:rPr>
          <w:sz w:val="18"/>
          <w:vertAlign w:val="baseline"/>
        </w:rPr>
        <w:t>24,</w:t>
      </w:r>
      <w:r>
        <w:rPr>
          <w:spacing w:val="-4"/>
          <w:sz w:val="18"/>
          <w:vertAlign w:val="baseline"/>
        </w:rPr>
        <w:t> </w:t>
      </w:r>
      <w:r>
        <w:rPr>
          <w:sz w:val="18"/>
          <w:vertAlign w:val="baseline"/>
        </w:rPr>
        <w:t>2023,</w:t>
      </w:r>
      <w:r>
        <w:rPr>
          <w:spacing w:val="-4"/>
          <w:sz w:val="18"/>
          <w:vertAlign w:val="baseline"/>
        </w:rPr>
        <w:t> </w:t>
      </w:r>
      <w:r>
        <w:rPr>
          <w:sz w:val="18"/>
          <w:vertAlign w:val="baseline"/>
        </w:rPr>
        <w:t>https://</w:t>
      </w:r>
      <w:hyperlink r:id="rId374">
        <w:r>
          <w:rPr>
            <w:sz w:val="18"/>
            <w:vertAlign w:val="baseline"/>
          </w:rPr>
          <w:t>www.mass.gov/news/governor-healey-announces-immediate-action-to-protect-access-to-</w:t>
        </w:r>
      </w:hyperlink>
      <w:r>
        <w:rPr>
          <w:sz w:val="18"/>
          <w:vertAlign w:val="baseline"/>
        </w:rPr>
        <w:t> </w:t>
      </w:r>
      <w:bookmarkStart w:name="_bookmark261" w:id="451"/>
      <w:bookmarkEnd w:id="451"/>
      <w:r>
        <w:rPr>
          <w:spacing w:val="-2"/>
          <w:sz w:val="18"/>
          <w:vertAlign w:val="baseline"/>
        </w:rPr>
        <w:t>med</w:t>
      </w:r>
      <w:r>
        <w:rPr>
          <w:spacing w:val="-2"/>
          <w:sz w:val="18"/>
          <w:vertAlign w:val="baseline"/>
        </w:rPr>
        <w:t>ication-abortion-in-massachusetts.</w:t>
      </w:r>
    </w:p>
    <w:p>
      <w:pPr>
        <w:spacing w:before="0"/>
        <w:ind w:left="463" w:right="391" w:hanging="1"/>
        <w:jc w:val="left"/>
        <w:rPr>
          <w:sz w:val="18"/>
        </w:rPr>
      </w:pPr>
      <w:r>
        <w:rPr>
          <w:sz w:val="18"/>
          <w:vertAlign w:val="superscript"/>
        </w:rPr>
        <w:t>69</w:t>
      </w:r>
      <w:r>
        <w:rPr>
          <w:spacing w:val="-13"/>
          <w:sz w:val="18"/>
          <w:vertAlign w:val="baseline"/>
        </w:rPr>
        <w:t> </w:t>
      </w:r>
      <w:r>
        <w:rPr>
          <w:sz w:val="18"/>
          <w:vertAlign w:val="baseline"/>
        </w:rPr>
        <w:t>Sarah</w:t>
      </w:r>
      <w:r>
        <w:rPr>
          <w:spacing w:val="-5"/>
          <w:sz w:val="18"/>
          <w:vertAlign w:val="baseline"/>
        </w:rPr>
        <w:t> </w:t>
      </w:r>
      <w:r>
        <w:rPr>
          <w:sz w:val="18"/>
          <w:vertAlign w:val="baseline"/>
        </w:rPr>
        <w:t>Betancourt,</w:t>
      </w:r>
      <w:r>
        <w:rPr>
          <w:spacing w:val="-3"/>
          <w:sz w:val="18"/>
          <w:vertAlign w:val="baseline"/>
        </w:rPr>
        <w:t> </w:t>
      </w:r>
      <w:r>
        <w:rPr>
          <w:sz w:val="18"/>
          <w:vertAlign w:val="baseline"/>
        </w:rPr>
        <w:t>“2017</w:t>
      </w:r>
      <w:r>
        <w:rPr>
          <w:spacing w:val="-2"/>
          <w:sz w:val="18"/>
          <w:vertAlign w:val="baseline"/>
        </w:rPr>
        <w:t> </w:t>
      </w:r>
      <w:r>
        <w:rPr>
          <w:sz w:val="18"/>
          <w:vertAlign w:val="baseline"/>
        </w:rPr>
        <w:t>Birth</w:t>
      </w:r>
      <w:r>
        <w:rPr>
          <w:spacing w:val="-1"/>
          <w:sz w:val="18"/>
          <w:vertAlign w:val="baseline"/>
        </w:rPr>
        <w:t> </w:t>
      </w:r>
      <w:r>
        <w:rPr>
          <w:sz w:val="18"/>
          <w:vertAlign w:val="baseline"/>
        </w:rPr>
        <w:t>Control</w:t>
      </w:r>
      <w:r>
        <w:rPr>
          <w:spacing w:val="-3"/>
          <w:sz w:val="18"/>
          <w:vertAlign w:val="baseline"/>
        </w:rPr>
        <w:t> </w:t>
      </w:r>
      <w:r>
        <w:rPr>
          <w:sz w:val="18"/>
          <w:vertAlign w:val="baseline"/>
        </w:rPr>
        <w:t>Provision</w:t>
      </w:r>
      <w:r>
        <w:rPr>
          <w:spacing w:val="-2"/>
          <w:sz w:val="18"/>
          <w:vertAlign w:val="baseline"/>
        </w:rPr>
        <w:t> </w:t>
      </w:r>
      <w:r>
        <w:rPr>
          <w:sz w:val="18"/>
          <w:vertAlign w:val="baseline"/>
        </w:rPr>
        <w:t>Fell</w:t>
      </w:r>
      <w:r>
        <w:rPr>
          <w:spacing w:val="-3"/>
          <w:sz w:val="18"/>
          <w:vertAlign w:val="baseline"/>
        </w:rPr>
        <w:t> </w:t>
      </w:r>
      <w:r>
        <w:rPr>
          <w:sz w:val="18"/>
          <w:vertAlign w:val="baseline"/>
        </w:rPr>
        <w:t>through</w:t>
      </w:r>
      <w:r>
        <w:rPr>
          <w:spacing w:val="-2"/>
          <w:sz w:val="18"/>
          <w:vertAlign w:val="baseline"/>
        </w:rPr>
        <w:t> </w:t>
      </w:r>
      <w:r>
        <w:rPr>
          <w:sz w:val="18"/>
          <w:vertAlign w:val="baseline"/>
        </w:rPr>
        <w:t>the</w:t>
      </w:r>
      <w:r>
        <w:rPr>
          <w:spacing w:val="-2"/>
          <w:sz w:val="18"/>
          <w:vertAlign w:val="baseline"/>
        </w:rPr>
        <w:t> </w:t>
      </w:r>
      <w:r>
        <w:rPr>
          <w:sz w:val="18"/>
          <w:vertAlign w:val="baseline"/>
        </w:rPr>
        <w:t>Cracks,”</w:t>
      </w:r>
      <w:r>
        <w:rPr>
          <w:spacing w:val="-2"/>
          <w:sz w:val="18"/>
          <w:vertAlign w:val="baseline"/>
        </w:rPr>
        <w:t> </w:t>
      </w:r>
      <w:r>
        <w:rPr>
          <w:i/>
          <w:sz w:val="18"/>
          <w:vertAlign w:val="baseline"/>
        </w:rPr>
        <w:t>CommonWealth</w:t>
      </w:r>
      <w:r>
        <w:rPr>
          <w:i/>
          <w:spacing w:val="-3"/>
          <w:sz w:val="18"/>
          <w:vertAlign w:val="baseline"/>
        </w:rPr>
        <w:t> </w:t>
      </w:r>
      <w:r>
        <w:rPr>
          <w:i/>
          <w:sz w:val="18"/>
          <w:vertAlign w:val="baseline"/>
        </w:rPr>
        <w:t>Magazine</w:t>
      </w:r>
      <w:r>
        <w:rPr>
          <w:i/>
          <w:spacing w:val="-2"/>
          <w:sz w:val="18"/>
          <w:vertAlign w:val="baseline"/>
        </w:rPr>
        <w:t> </w:t>
      </w:r>
      <w:r>
        <w:rPr>
          <w:sz w:val="18"/>
          <w:vertAlign w:val="baseline"/>
        </w:rPr>
        <w:t>(blog),</w:t>
      </w:r>
      <w:r>
        <w:rPr>
          <w:spacing w:val="-3"/>
          <w:sz w:val="18"/>
          <w:vertAlign w:val="baseline"/>
        </w:rPr>
        <w:t> </w:t>
      </w:r>
      <w:r>
        <w:rPr>
          <w:sz w:val="18"/>
          <w:vertAlign w:val="baseline"/>
        </w:rPr>
        <w:t>February</w:t>
      </w:r>
      <w:r>
        <w:rPr>
          <w:spacing w:val="-2"/>
          <w:sz w:val="18"/>
          <w:vertAlign w:val="baseline"/>
        </w:rPr>
        <w:t> </w:t>
      </w:r>
      <w:r>
        <w:rPr>
          <w:sz w:val="18"/>
          <w:vertAlign w:val="baseline"/>
        </w:rPr>
        <w:t>28,</w:t>
      </w:r>
      <w:r>
        <w:rPr>
          <w:spacing w:val="-3"/>
          <w:sz w:val="18"/>
          <w:vertAlign w:val="baseline"/>
        </w:rPr>
        <w:t> </w:t>
      </w:r>
      <w:r>
        <w:rPr>
          <w:sz w:val="18"/>
          <w:vertAlign w:val="baseline"/>
        </w:rPr>
        <w:t>2021, </w:t>
      </w:r>
      <w:bookmarkStart w:name="_bookmark262" w:id="452"/>
      <w:bookmarkEnd w:id="452"/>
      <w:r>
        <w:rPr>
          <w:sz w:val="18"/>
          <w:vertAlign w:val="baseline"/>
        </w:rPr>
      </w:r>
      <w:hyperlink r:id="rId375">
        <w:r>
          <w:rPr>
            <w:color w:val="0561C1"/>
            <w:spacing w:val="-2"/>
            <w:sz w:val="18"/>
            <w:u w:val="single" w:color="0561C1"/>
            <w:vertAlign w:val="baseline"/>
          </w:rPr>
          <w:t>https://commonwealthmagazine.org/health/2017-birth-control-provision-fell-through-the-cracks/</w:t>
        </w:r>
      </w:hyperlink>
      <w:hyperlink r:id="rId375">
        <w:r>
          <w:rPr>
            <w:spacing w:val="-2"/>
            <w:sz w:val="18"/>
            <w:u w:val="none"/>
            <w:vertAlign w:val="baseline"/>
          </w:rPr>
          <w:t>.</w:t>
        </w:r>
      </w:hyperlink>
    </w:p>
    <w:p>
      <w:pPr>
        <w:spacing w:before="0"/>
        <w:ind w:left="463" w:right="342" w:firstLine="0"/>
        <w:jc w:val="left"/>
        <w:rPr>
          <w:sz w:val="18"/>
        </w:rPr>
      </w:pPr>
      <w:r>
        <w:rPr>
          <w:sz w:val="18"/>
          <w:vertAlign w:val="superscript"/>
        </w:rPr>
        <w:t>70</w:t>
      </w:r>
      <w:r>
        <w:rPr>
          <w:spacing w:val="-13"/>
          <w:sz w:val="18"/>
          <w:vertAlign w:val="baseline"/>
        </w:rPr>
        <w:t> </w:t>
      </w:r>
      <w:r>
        <w:rPr>
          <w:sz w:val="18"/>
          <w:vertAlign w:val="baseline"/>
        </w:rPr>
        <w:t>“ACCESS</w:t>
      </w:r>
      <w:r>
        <w:rPr>
          <w:spacing w:val="-5"/>
          <w:sz w:val="18"/>
          <w:vertAlign w:val="baseline"/>
        </w:rPr>
        <w:t> </w:t>
      </w:r>
      <w:r>
        <w:rPr>
          <w:sz w:val="18"/>
          <w:vertAlign w:val="baseline"/>
        </w:rPr>
        <w:t>to</w:t>
      </w:r>
      <w:r>
        <w:rPr>
          <w:spacing w:val="-3"/>
          <w:sz w:val="18"/>
          <w:vertAlign w:val="baseline"/>
        </w:rPr>
        <w:t> </w:t>
      </w:r>
      <w:r>
        <w:rPr>
          <w:sz w:val="18"/>
          <w:vertAlign w:val="baseline"/>
        </w:rPr>
        <w:t>Birth</w:t>
      </w:r>
      <w:r>
        <w:rPr>
          <w:spacing w:val="-3"/>
          <w:sz w:val="18"/>
          <w:vertAlign w:val="baseline"/>
        </w:rPr>
        <w:t> </w:t>
      </w:r>
      <w:r>
        <w:rPr>
          <w:sz w:val="18"/>
          <w:vertAlign w:val="baseline"/>
        </w:rPr>
        <w:t>Control</w:t>
      </w:r>
      <w:r>
        <w:rPr>
          <w:spacing w:val="-4"/>
          <w:sz w:val="18"/>
          <w:vertAlign w:val="baseline"/>
        </w:rPr>
        <w:t> </w:t>
      </w:r>
      <w:r>
        <w:rPr>
          <w:sz w:val="18"/>
          <w:vertAlign w:val="baseline"/>
        </w:rPr>
        <w:t>and</w:t>
      </w:r>
      <w:r>
        <w:rPr>
          <w:spacing w:val="-3"/>
          <w:sz w:val="18"/>
          <w:vertAlign w:val="baseline"/>
        </w:rPr>
        <w:t> </w:t>
      </w:r>
      <w:r>
        <w:rPr>
          <w:sz w:val="18"/>
          <w:vertAlign w:val="baseline"/>
        </w:rPr>
        <w:t>Emergency</w:t>
      </w:r>
      <w:r>
        <w:rPr>
          <w:spacing w:val="-3"/>
          <w:sz w:val="18"/>
          <w:vertAlign w:val="baseline"/>
        </w:rPr>
        <w:t> </w:t>
      </w:r>
      <w:r>
        <w:rPr>
          <w:sz w:val="18"/>
          <w:vertAlign w:val="baseline"/>
        </w:rPr>
        <w:t>Contraception</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4"/>
          <w:sz w:val="18"/>
          <w:vertAlign w:val="baseline"/>
        </w:rPr>
        <w:t> </w:t>
      </w:r>
      <w:r>
        <w:rPr>
          <w:sz w:val="18"/>
          <w:vertAlign w:val="baseline"/>
        </w:rPr>
        <w:t>December</w:t>
      </w:r>
      <w:r>
        <w:rPr>
          <w:spacing w:val="-4"/>
          <w:sz w:val="18"/>
          <w:vertAlign w:val="baseline"/>
        </w:rPr>
        <w:t> </w:t>
      </w:r>
      <w:r>
        <w:rPr>
          <w:sz w:val="18"/>
          <w:vertAlign w:val="baseline"/>
        </w:rPr>
        <w:t>4,</w:t>
      </w:r>
      <w:r>
        <w:rPr>
          <w:spacing w:val="-4"/>
          <w:sz w:val="18"/>
          <w:vertAlign w:val="baseline"/>
        </w:rPr>
        <w:t> </w:t>
      </w:r>
      <w:r>
        <w:rPr>
          <w:sz w:val="18"/>
          <w:vertAlign w:val="baseline"/>
        </w:rPr>
        <w:t>2022,</w:t>
      </w:r>
      <w:r>
        <w:rPr>
          <w:spacing w:val="-4"/>
          <w:sz w:val="18"/>
          <w:vertAlign w:val="baseline"/>
        </w:rPr>
        <w:t> </w:t>
      </w:r>
      <w:hyperlink r:id="rId376">
        <w:r>
          <w:rPr>
            <w:color w:val="0561C1"/>
            <w:sz w:val="18"/>
            <w:u w:val="single" w:color="0561C1"/>
            <w:vertAlign w:val="baseline"/>
          </w:rPr>
          <w:t>https://www.mass.gov/info-</w:t>
        </w:r>
      </w:hyperlink>
      <w:r>
        <w:rPr>
          <w:color w:val="0561C1"/>
          <w:sz w:val="18"/>
          <w:u w:val="none"/>
          <w:vertAlign w:val="baseline"/>
        </w:rPr>
        <w:t> </w:t>
      </w:r>
      <w:bookmarkStart w:name="_bookmark263" w:id="453"/>
      <w:bookmarkEnd w:id="453"/>
      <w:r>
        <w:rPr>
          <w:color w:val="0561C1"/>
          <w:sz w:val="18"/>
          <w:u w:val="none"/>
          <w:vertAlign w:val="baseline"/>
        </w:rPr>
      </w:r>
      <w:hyperlink r:id="rId376">
        <w:r>
          <w:rPr>
            <w:color w:val="0561C1"/>
            <w:spacing w:val="-2"/>
            <w:sz w:val="18"/>
            <w:u w:val="single" w:color="0561C1"/>
            <w:vertAlign w:val="baseline"/>
          </w:rPr>
          <w:t>details/access-to-birth-control-and-emergency-contraception</w:t>
        </w:r>
      </w:hyperlink>
      <w:hyperlink r:id="rId376">
        <w:r>
          <w:rPr>
            <w:spacing w:val="-2"/>
            <w:sz w:val="18"/>
            <w:u w:val="none"/>
            <w:vertAlign w:val="baseline"/>
          </w:rPr>
          <w:t>.</w:t>
        </w:r>
      </w:hyperlink>
    </w:p>
    <w:p>
      <w:pPr>
        <w:spacing w:before="0"/>
        <w:ind w:left="463" w:right="2193" w:hanging="1"/>
        <w:jc w:val="left"/>
        <w:rPr>
          <w:sz w:val="18"/>
        </w:rPr>
      </w:pPr>
      <w:r>
        <w:rPr>
          <w:sz w:val="18"/>
          <w:vertAlign w:val="superscript"/>
        </w:rPr>
        <w:t>71</w:t>
      </w:r>
      <w:r>
        <w:rPr>
          <w:spacing w:val="-13"/>
          <w:sz w:val="18"/>
          <w:vertAlign w:val="baseline"/>
        </w:rPr>
        <w:t> </w:t>
      </w:r>
      <w:r>
        <w:rPr>
          <w:sz w:val="18"/>
          <w:vertAlign w:val="baseline"/>
        </w:rPr>
        <w:t>“Talk</w:t>
      </w:r>
      <w:r>
        <w:rPr>
          <w:spacing w:val="-4"/>
          <w:sz w:val="18"/>
          <w:vertAlign w:val="baseline"/>
        </w:rPr>
        <w:t> </w:t>
      </w:r>
      <w:r>
        <w:rPr>
          <w:sz w:val="18"/>
          <w:vertAlign w:val="baseline"/>
        </w:rPr>
        <w:t>to</w:t>
      </w:r>
      <w:r>
        <w:rPr>
          <w:spacing w:val="-2"/>
          <w:sz w:val="18"/>
          <w:vertAlign w:val="baseline"/>
        </w:rPr>
        <w:t> </w:t>
      </w:r>
      <w:r>
        <w:rPr>
          <w:sz w:val="18"/>
          <w:vertAlign w:val="baseline"/>
        </w:rPr>
        <w:t>Your</w:t>
      </w:r>
      <w:r>
        <w:rPr>
          <w:spacing w:val="-3"/>
          <w:sz w:val="18"/>
          <w:vertAlign w:val="baseline"/>
        </w:rPr>
        <w:t> </w:t>
      </w:r>
      <w:r>
        <w:rPr>
          <w:sz w:val="18"/>
          <w:vertAlign w:val="baseline"/>
        </w:rPr>
        <w:t>Clinician</w:t>
      </w:r>
      <w:r>
        <w:rPr>
          <w:spacing w:val="-2"/>
          <w:sz w:val="18"/>
          <w:vertAlign w:val="baseline"/>
        </w:rPr>
        <w:t> </w:t>
      </w:r>
      <w:r>
        <w:rPr>
          <w:sz w:val="18"/>
          <w:vertAlign w:val="baseline"/>
        </w:rPr>
        <w:t>or</w:t>
      </w:r>
      <w:r>
        <w:rPr>
          <w:spacing w:val="-3"/>
          <w:sz w:val="18"/>
          <w:vertAlign w:val="baseline"/>
        </w:rPr>
        <w:t> </w:t>
      </w:r>
      <w:r>
        <w:rPr>
          <w:sz w:val="18"/>
          <w:vertAlign w:val="baseline"/>
        </w:rPr>
        <w:t>Pharmacist</w:t>
      </w:r>
      <w:r>
        <w:rPr>
          <w:spacing w:val="-3"/>
          <w:sz w:val="18"/>
          <w:vertAlign w:val="baseline"/>
        </w:rPr>
        <w:t> </w:t>
      </w:r>
      <w:r>
        <w:rPr>
          <w:sz w:val="18"/>
          <w:vertAlign w:val="baseline"/>
        </w:rPr>
        <w:t>about</w:t>
      </w:r>
      <w:r>
        <w:rPr>
          <w:spacing w:val="-3"/>
          <w:sz w:val="18"/>
          <w:vertAlign w:val="baseline"/>
        </w:rPr>
        <w:t> </w:t>
      </w:r>
      <w:r>
        <w:rPr>
          <w:sz w:val="18"/>
          <w:vertAlign w:val="baseline"/>
        </w:rPr>
        <w:t>the</w:t>
      </w:r>
      <w:r>
        <w:rPr>
          <w:spacing w:val="-2"/>
          <w:sz w:val="18"/>
          <w:vertAlign w:val="baseline"/>
        </w:rPr>
        <w:t> </w:t>
      </w:r>
      <w:r>
        <w:rPr>
          <w:sz w:val="18"/>
          <w:vertAlign w:val="baseline"/>
        </w:rPr>
        <w:t>ACCESS</w:t>
      </w:r>
      <w:r>
        <w:rPr>
          <w:spacing w:val="-2"/>
          <w:sz w:val="18"/>
          <w:vertAlign w:val="baseline"/>
        </w:rPr>
        <w:t> </w:t>
      </w:r>
      <w:r>
        <w:rPr>
          <w:sz w:val="18"/>
          <w:vertAlign w:val="baseline"/>
        </w:rPr>
        <w:t>Law</w:t>
      </w:r>
      <w:r>
        <w:rPr>
          <w:spacing w:val="-3"/>
          <w:sz w:val="18"/>
          <w:vertAlign w:val="baseline"/>
        </w:rPr>
        <w:t> </w:t>
      </w:r>
      <w:r>
        <w:rPr>
          <w:sz w:val="18"/>
          <w:vertAlign w:val="baseline"/>
        </w:rPr>
        <w:t>|</w:t>
      </w:r>
      <w:r>
        <w:rPr>
          <w:spacing w:val="-4"/>
          <w:sz w:val="18"/>
          <w:vertAlign w:val="baseline"/>
        </w:rPr>
        <w:t> </w:t>
      </w:r>
      <w:r>
        <w:rPr>
          <w:sz w:val="18"/>
          <w:vertAlign w:val="baseline"/>
        </w:rPr>
        <w:t>Mass.Gov,”</w:t>
      </w:r>
      <w:r>
        <w:rPr>
          <w:spacing w:val="-2"/>
          <w:sz w:val="18"/>
          <w:vertAlign w:val="baseline"/>
        </w:rPr>
        <w:t> </w:t>
      </w:r>
      <w:r>
        <w:rPr>
          <w:sz w:val="18"/>
          <w:vertAlign w:val="baseline"/>
        </w:rPr>
        <w:t>accessed</w:t>
      </w:r>
      <w:r>
        <w:rPr>
          <w:spacing w:val="-2"/>
          <w:sz w:val="18"/>
          <w:vertAlign w:val="baseline"/>
        </w:rPr>
        <w:t> </w:t>
      </w:r>
      <w:r>
        <w:rPr>
          <w:sz w:val="18"/>
          <w:vertAlign w:val="baseline"/>
        </w:rPr>
        <w:t>December</w:t>
      </w:r>
      <w:r>
        <w:rPr>
          <w:spacing w:val="-4"/>
          <w:sz w:val="18"/>
          <w:vertAlign w:val="baseline"/>
        </w:rPr>
        <w:t> </w:t>
      </w:r>
      <w:r>
        <w:rPr>
          <w:sz w:val="18"/>
          <w:vertAlign w:val="baseline"/>
        </w:rPr>
        <w:t>4,</w:t>
      </w:r>
      <w:r>
        <w:rPr>
          <w:spacing w:val="-3"/>
          <w:sz w:val="18"/>
          <w:vertAlign w:val="baseline"/>
        </w:rPr>
        <w:t> </w:t>
      </w:r>
      <w:r>
        <w:rPr>
          <w:sz w:val="18"/>
          <w:vertAlign w:val="baseline"/>
        </w:rPr>
        <w:t>2022, </w:t>
      </w:r>
      <w:hyperlink r:id="rId377">
        <w:r>
          <w:rPr>
            <w:color w:val="0561C1"/>
            <w:spacing w:val="-2"/>
            <w:sz w:val="18"/>
            <w:u w:val="single" w:color="0561C1"/>
            <w:vertAlign w:val="baseline"/>
          </w:rPr>
          <w:t>https://www.mass.gov/info-details/talk-to-your-clinician-or-pharmacist-about-the-access-law</w:t>
        </w:r>
      </w:hyperlink>
      <w:hyperlink r:id="rId377">
        <w:r>
          <w:rPr>
            <w:spacing w:val="-2"/>
            <w:sz w:val="18"/>
            <w:u w:val="none"/>
            <w:vertAlign w:val="baseline"/>
          </w:rPr>
          <w:t>.</w:t>
        </w:r>
      </w:hyperlink>
    </w:p>
    <w:p>
      <w:pPr>
        <w:spacing w:before="0"/>
        <w:ind w:left="463" w:right="581" w:firstLine="0"/>
        <w:jc w:val="left"/>
        <w:rPr>
          <w:sz w:val="18"/>
        </w:rPr>
      </w:pPr>
      <w:bookmarkStart w:name="_bookmark264" w:id="454"/>
      <w:bookmarkEnd w:id="454"/>
      <w:r>
        <w:rPr/>
      </w:r>
      <w:r>
        <w:rPr>
          <w:sz w:val="18"/>
          <w:vertAlign w:val="superscript"/>
        </w:rPr>
        <w:t>72</w:t>
      </w:r>
      <w:r>
        <w:rPr>
          <w:spacing w:val="-13"/>
          <w:sz w:val="18"/>
          <w:vertAlign w:val="baseline"/>
        </w:rPr>
        <w:t> </w:t>
      </w:r>
      <w:r>
        <w:rPr>
          <w:sz w:val="18"/>
          <w:vertAlign w:val="baseline"/>
        </w:rPr>
        <w:t>“DPH-Funded</w:t>
      </w:r>
      <w:r>
        <w:rPr>
          <w:spacing w:val="-6"/>
          <w:sz w:val="18"/>
          <w:vertAlign w:val="baseline"/>
        </w:rPr>
        <w:t> </w:t>
      </w:r>
      <w:r>
        <w:rPr>
          <w:sz w:val="18"/>
          <w:vertAlign w:val="baseline"/>
        </w:rPr>
        <w:t>Family</w:t>
      </w:r>
      <w:r>
        <w:rPr>
          <w:spacing w:val="-3"/>
          <w:sz w:val="18"/>
          <w:vertAlign w:val="baseline"/>
        </w:rPr>
        <w:t> </w:t>
      </w:r>
      <w:r>
        <w:rPr>
          <w:sz w:val="18"/>
          <w:vertAlign w:val="baseline"/>
        </w:rPr>
        <w:t>Planning</w:t>
      </w:r>
      <w:r>
        <w:rPr>
          <w:spacing w:val="-4"/>
          <w:sz w:val="18"/>
          <w:vertAlign w:val="baseline"/>
        </w:rPr>
        <w:t> </w:t>
      </w:r>
      <w:r>
        <w:rPr>
          <w:sz w:val="18"/>
          <w:vertAlign w:val="baseline"/>
        </w:rPr>
        <w:t>Programs</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4"/>
          <w:sz w:val="18"/>
          <w:vertAlign w:val="baseline"/>
        </w:rPr>
        <w:t> </w:t>
      </w:r>
      <w:r>
        <w:rPr>
          <w:sz w:val="18"/>
          <w:vertAlign w:val="baseline"/>
        </w:rPr>
        <w:t>December</w:t>
      </w:r>
      <w:r>
        <w:rPr>
          <w:spacing w:val="-4"/>
          <w:sz w:val="18"/>
          <w:vertAlign w:val="baseline"/>
        </w:rPr>
        <w:t> </w:t>
      </w:r>
      <w:r>
        <w:rPr>
          <w:sz w:val="18"/>
          <w:vertAlign w:val="baseline"/>
        </w:rPr>
        <w:t>5,</w:t>
      </w:r>
      <w:r>
        <w:rPr>
          <w:spacing w:val="-4"/>
          <w:sz w:val="18"/>
          <w:vertAlign w:val="baseline"/>
        </w:rPr>
        <w:t> </w:t>
      </w:r>
      <w:r>
        <w:rPr>
          <w:sz w:val="18"/>
          <w:vertAlign w:val="baseline"/>
        </w:rPr>
        <w:t>2022,</w:t>
      </w:r>
      <w:r>
        <w:rPr>
          <w:spacing w:val="-4"/>
          <w:sz w:val="18"/>
          <w:vertAlign w:val="baseline"/>
        </w:rPr>
        <w:t> </w:t>
      </w:r>
      <w:hyperlink r:id="rId378">
        <w:r>
          <w:rPr>
            <w:color w:val="0561C1"/>
            <w:sz w:val="18"/>
            <w:u w:val="single" w:color="0561C1"/>
            <w:vertAlign w:val="baseline"/>
          </w:rPr>
          <w:t>https://www.mass.gov/info-details/dph-</w:t>
        </w:r>
      </w:hyperlink>
      <w:r>
        <w:rPr>
          <w:color w:val="0561C1"/>
          <w:sz w:val="18"/>
          <w:u w:val="none"/>
          <w:vertAlign w:val="baseline"/>
        </w:rPr>
        <w:t> </w:t>
      </w:r>
      <w:hyperlink r:id="rId378">
        <w:r>
          <w:rPr>
            <w:color w:val="0561C1"/>
            <w:spacing w:val="-2"/>
            <w:sz w:val="18"/>
            <w:u w:val="single" w:color="0561C1"/>
            <w:vertAlign w:val="baseline"/>
          </w:rPr>
          <w:t>funded-family-planning-programs</w:t>
        </w:r>
      </w:hyperlink>
      <w:hyperlink r:id="rId378">
        <w:r>
          <w:rPr>
            <w:spacing w:val="-2"/>
            <w:sz w:val="18"/>
            <w:u w:val="none"/>
            <w:vertAlign w:val="baseline"/>
          </w:rPr>
          <w:t>.</w:t>
        </w:r>
      </w:hyperlink>
    </w:p>
    <w:p>
      <w:pPr>
        <w:spacing w:before="0"/>
        <w:ind w:left="463" w:right="0" w:hanging="1"/>
        <w:jc w:val="left"/>
        <w:rPr>
          <w:sz w:val="18"/>
        </w:rPr>
      </w:pPr>
      <w:bookmarkStart w:name="_bookmark265" w:id="455"/>
      <w:bookmarkEnd w:id="455"/>
      <w:r>
        <w:rPr/>
      </w:r>
      <w:r>
        <w:rPr>
          <w:sz w:val="18"/>
          <w:vertAlign w:val="superscript"/>
        </w:rPr>
        <w:t>73</w:t>
      </w:r>
      <w:r>
        <w:rPr>
          <w:spacing w:val="-13"/>
          <w:sz w:val="18"/>
          <w:vertAlign w:val="baseline"/>
        </w:rPr>
        <w:t> </w:t>
      </w:r>
      <w:r>
        <w:rPr>
          <w:sz w:val="18"/>
          <w:vertAlign w:val="baseline"/>
        </w:rPr>
        <w:t>Taylor</w:t>
      </w:r>
      <w:r>
        <w:rPr>
          <w:spacing w:val="-4"/>
          <w:sz w:val="18"/>
          <w:vertAlign w:val="baseline"/>
        </w:rPr>
        <w:t> </w:t>
      </w:r>
      <w:r>
        <w:rPr>
          <w:sz w:val="18"/>
          <w:vertAlign w:val="baseline"/>
        </w:rPr>
        <w:t>N</w:t>
      </w:r>
      <w:r>
        <w:rPr>
          <w:spacing w:val="-2"/>
          <w:sz w:val="18"/>
          <w:vertAlign w:val="baseline"/>
        </w:rPr>
        <w:t> </w:t>
      </w:r>
      <w:r>
        <w:rPr>
          <w:sz w:val="18"/>
          <w:vertAlign w:val="baseline"/>
        </w:rPr>
        <w:t>T</w:t>
      </w:r>
      <w:r>
        <w:rPr>
          <w:spacing w:val="-2"/>
          <w:sz w:val="18"/>
          <w:vertAlign w:val="baseline"/>
        </w:rPr>
        <w:t> </w:t>
      </w:r>
      <w:r>
        <w:rPr>
          <w:sz w:val="18"/>
          <w:vertAlign w:val="baseline"/>
        </w:rPr>
        <w:t>Brown,</w:t>
      </w:r>
      <w:r>
        <w:rPr>
          <w:spacing w:val="-3"/>
          <w:sz w:val="18"/>
          <w:vertAlign w:val="baseline"/>
        </w:rPr>
        <w:t> </w:t>
      </w:r>
      <w:r>
        <w:rPr>
          <w:sz w:val="18"/>
          <w:vertAlign w:val="baseline"/>
        </w:rPr>
        <w:t>Adam</w:t>
      </w:r>
      <w:r>
        <w:rPr>
          <w:spacing w:val="-2"/>
          <w:sz w:val="18"/>
          <w:vertAlign w:val="baseline"/>
        </w:rPr>
        <w:t> </w:t>
      </w:r>
      <w:r>
        <w:rPr>
          <w:sz w:val="18"/>
          <w:vertAlign w:val="baseline"/>
        </w:rPr>
        <w:t>P</w:t>
      </w:r>
      <w:r>
        <w:rPr>
          <w:spacing w:val="-2"/>
          <w:sz w:val="18"/>
          <w:vertAlign w:val="baseline"/>
        </w:rPr>
        <w:t> </w:t>
      </w:r>
      <w:r>
        <w:rPr>
          <w:sz w:val="18"/>
          <w:vertAlign w:val="baseline"/>
        </w:rPr>
        <w:t>Romero,</w:t>
      </w:r>
      <w:r>
        <w:rPr>
          <w:spacing w:val="-3"/>
          <w:sz w:val="18"/>
          <w:vertAlign w:val="baseline"/>
        </w:rPr>
        <w:t> </w:t>
      </w:r>
      <w:r>
        <w:rPr>
          <w:sz w:val="18"/>
          <w:vertAlign w:val="baseline"/>
        </w:rPr>
        <w:t>and</w:t>
      </w:r>
      <w:r>
        <w:rPr>
          <w:spacing w:val="-2"/>
          <w:sz w:val="18"/>
          <w:vertAlign w:val="baseline"/>
        </w:rPr>
        <w:t> </w:t>
      </w:r>
      <w:r>
        <w:rPr>
          <w:sz w:val="18"/>
          <w:vertAlign w:val="baseline"/>
        </w:rPr>
        <w:t>Gary</w:t>
      </w:r>
      <w:r>
        <w:rPr>
          <w:spacing w:val="-3"/>
          <w:sz w:val="18"/>
          <w:vertAlign w:val="baseline"/>
        </w:rPr>
        <w:t> </w:t>
      </w:r>
      <w:r>
        <w:rPr>
          <w:sz w:val="18"/>
          <w:vertAlign w:val="baseline"/>
        </w:rPr>
        <w:t>J</w:t>
      </w:r>
      <w:r>
        <w:rPr>
          <w:spacing w:val="-2"/>
          <w:sz w:val="18"/>
          <w:vertAlign w:val="baseline"/>
        </w:rPr>
        <w:t> </w:t>
      </w:r>
      <w:r>
        <w:rPr>
          <w:sz w:val="18"/>
          <w:vertAlign w:val="baseline"/>
        </w:rPr>
        <w:t>Gates,</w:t>
      </w:r>
      <w:r>
        <w:rPr>
          <w:spacing w:val="-3"/>
          <w:sz w:val="18"/>
          <w:vertAlign w:val="baseline"/>
        </w:rPr>
        <w:t> </w:t>
      </w:r>
      <w:r>
        <w:rPr>
          <w:sz w:val="18"/>
          <w:vertAlign w:val="baseline"/>
        </w:rPr>
        <w:t>“FOOD</w:t>
      </w:r>
      <w:r>
        <w:rPr>
          <w:spacing w:val="-3"/>
          <w:sz w:val="18"/>
          <w:vertAlign w:val="baseline"/>
        </w:rPr>
        <w:t> </w:t>
      </w:r>
      <w:r>
        <w:rPr>
          <w:sz w:val="18"/>
          <w:vertAlign w:val="baseline"/>
        </w:rPr>
        <w:t>INSECURITY</w:t>
      </w:r>
      <w:r>
        <w:rPr>
          <w:spacing w:val="-2"/>
          <w:sz w:val="18"/>
          <w:vertAlign w:val="baseline"/>
        </w:rPr>
        <w:t> </w:t>
      </w:r>
      <w:r>
        <w:rPr>
          <w:sz w:val="18"/>
          <w:vertAlign w:val="baseline"/>
        </w:rPr>
        <w:t>AND</w:t>
      </w:r>
      <w:r>
        <w:rPr>
          <w:spacing w:val="-3"/>
          <w:sz w:val="18"/>
          <w:vertAlign w:val="baseline"/>
        </w:rPr>
        <w:t> </w:t>
      </w:r>
      <w:r>
        <w:rPr>
          <w:sz w:val="18"/>
          <w:vertAlign w:val="baseline"/>
        </w:rPr>
        <w:t>SNAP</w:t>
      </w:r>
      <w:r>
        <w:rPr>
          <w:spacing w:val="-3"/>
          <w:sz w:val="18"/>
          <w:vertAlign w:val="baseline"/>
        </w:rPr>
        <w:t> </w:t>
      </w:r>
      <w:r>
        <w:rPr>
          <w:sz w:val="18"/>
          <w:vertAlign w:val="baseline"/>
        </w:rPr>
        <w:t>PARTICIPATION</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3"/>
          <w:sz w:val="18"/>
          <w:vertAlign w:val="baseline"/>
        </w:rPr>
        <w:t> </w:t>
      </w:r>
      <w:r>
        <w:rPr>
          <w:sz w:val="18"/>
          <w:vertAlign w:val="baseline"/>
        </w:rPr>
        <w:t>LGBT</w:t>
      </w:r>
      <w:r>
        <w:rPr>
          <w:spacing w:val="-2"/>
          <w:sz w:val="18"/>
          <w:vertAlign w:val="baseline"/>
        </w:rPr>
        <w:t> </w:t>
      </w:r>
      <w:r>
        <w:rPr>
          <w:sz w:val="18"/>
          <w:vertAlign w:val="baseline"/>
        </w:rPr>
        <w:t>COMMUNITY,” n.d.,</w:t>
      </w:r>
      <w:r>
        <w:rPr>
          <w:spacing w:val="-2"/>
          <w:sz w:val="18"/>
          <w:vertAlign w:val="baseline"/>
        </w:rPr>
        <w:t> </w:t>
      </w:r>
      <w:r>
        <w:rPr>
          <w:sz w:val="18"/>
          <w:vertAlign w:val="baseline"/>
        </w:rPr>
        <w:t>28.</w:t>
      </w:r>
    </w:p>
    <w:p>
      <w:pPr>
        <w:spacing w:line="219" w:lineRule="exact" w:before="0"/>
        <w:ind w:left="463" w:right="0" w:firstLine="0"/>
        <w:jc w:val="left"/>
        <w:rPr>
          <w:sz w:val="18"/>
        </w:rPr>
      </w:pPr>
      <w:bookmarkStart w:name="_bookmark266" w:id="456"/>
      <w:bookmarkEnd w:id="456"/>
      <w:r>
        <w:rPr/>
      </w:r>
      <w:r>
        <w:rPr>
          <w:sz w:val="18"/>
          <w:vertAlign w:val="superscript"/>
        </w:rPr>
        <w:t>74</w:t>
      </w:r>
      <w:r>
        <w:rPr>
          <w:spacing w:val="-13"/>
          <w:sz w:val="18"/>
          <w:vertAlign w:val="baseline"/>
        </w:rPr>
        <w:t> </w:t>
      </w:r>
      <w:r>
        <w:rPr>
          <w:spacing w:val="-2"/>
          <w:sz w:val="18"/>
          <w:vertAlign w:val="baseline"/>
        </w:rPr>
        <w:t>lbid.</w:t>
      </w:r>
    </w:p>
    <w:p>
      <w:pPr>
        <w:spacing w:before="0"/>
        <w:ind w:left="463" w:right="321" w:firstLine="0"/>
        <w:jc w:val="left"/>
        <w:rPr>
          <w:sz w:val="18"/>
        </w:rPr>
      </w:pPr>
      <w:bookmarkStart w:name="_bookmark267" w:id="457"/>
      <w:bookmarkEnd w:id="457"/>
      <w:r>
        <w:rPr/>
      </w:r>
      <w:r>
        <w:rPr>
          <w:sz w:val="18"/>
          <w:vertAlign w:val="superscript"/>
        </w:rPr>
        <w:t>75</w:t>
      </w:r>
      <w:r>
        <w:rPr>
          <w:spacing w:val="-9"/>
          <w:sz w:val="18"/>
          <w:vertAlign w:val="baseline"/>
        </w:rPr>
        <w:t> </w:t>
      </w:r>
      <w:r>
        <w:rPr>
          <w:sz w:val="18"/>
          <w:vertAlign w:val="baseline"/>
        </w:rPr>
        <w:t>“Menstrual Hygiene Products Can Be Purchased with SNAP and WIC Benefits under Villa Law,” ISDC, August 5, 2021, </w:t>
      </w:r>
      <w:hyperlink r:id="rId379">
        <w:r>
          <w:rPr>
            <w:color w:val="0561C1"/>
            <w:sz w:val="18"/>
            <w:u w:val="single" w:color="0561C1"/>
            <w:vertAlign w:val="baseline"/>
          </w:rPr>
          <w:t>https://www.illinoissenatedemocrats.com/caucus-news/72-senator-karina-villa-news/2886-menstrual-hygiene-products-can-</w:t>
        </w:r>
      </w:hyperlink>
      <w:r>
        <w:rPr>
          <w:color w:val="0561C1"/>
          <w:spacing w:val="-11"/>
          <w:sz w:val="18"/>
          <w:u w:val="single" w:color="0561C1"/>
          <w:vertAlign w:val="baseline"/>
        </w:rPr>
        <w:t> </w:t>
      </w:r>
      <w:hyperlink r:id="rId379">
        <w:r>
          <w:rPr>
            <w:color w:val="0561C1"/>
            <w:sz w:val="18"/>
            <w:u w:val="single" w:color="0561C1"/>
            <w:vertAlign w:val="baseline"/>
          </w:rPr>
          <w:t>be-</w:t>
        </w:r>
      </w:hyperlink>
      <w:r>
        <w:rPr>
          <w:color w:val="0561C1"/>
          <w:sz w:val="18"/>
          <w:u w:val="none"/>
          <w:vertAlign w:val="baseline"/>
        </w:rPr>
        <w:t> </w:t>
      </w:r>
      <w:hyperlink r:id="rId379">
        <w:r>
          <w:rPr>
            <w:color w:val="0561C1"/>
            <w:spacing w:val="-2"/>
            <w:sz w:val="18"/>
            <w:u w:val="single" w:color="0561C1"/>
            <w:vertAlign w:val="baseline"/>
          </w:rPr>
          <w:t>purchased-with-snap-and-wic-benefits-under-villa-law</w:t>
        </w:r>
      </w:hyperlink>
    </w:p>
    <w:p>
      <w:pPr>
        <w:spacing w:before="0"/>
        <w:ind w:left="463" w:right="937" w:firstLine="0"/>
        <w:jc w:val="left"/>
        <w:rPr>
          <w:sz w:val="18"/>
        </w:rPr>
      </w:pPr>
      <w:bookmarkStart w:name="_bookmark268" w:id="458"/>
      <w:bookmarkEnd w:id="458"/>
      <w:r>
        <w:rPr/>
      </w:r>
      <w:r>
        <w:rPr>
          <w:sz w:val="18"/>
          <w:vertAlign w:val="superscript"/>
        </w:rPr>
        <w:t>76</w:t>
      </w:r>
      <w:r>
        <w:rPr>
          <w:spacing w:val="-13"/>
          <w:sz w:val="18"/>
          <w:vertAlign w:val="baseline"/>
        </w:rPr>
        <w:t> </w:t>
      </w:r>
      <w:r>
        <w:rPr>
          <w:sz w:val="18"/>
          <w:vertAlign w:val="baseline"/>
        </w:rPr>
        <w:t>“Maternal</w:t>
      </w:r>
      <w:r>
        <w:rPr>
          <w:spacing w:val="-6"/>
          <w:sz w:val="18"/>
          <w:vertAlign w:val="baseline"/>
        </w:rPr>
        <w:t> </w:t>
      </w:r>
      <w:r>
        <w:rPr>
          <w:sz w:val="18"/>
          <w:vertAlign w:val="baseline"/>
        </w:rPr>
        <w:t>Mortality</w:t>
      </w:r>
      <w:r>
        <w:rPr>
          <w:spacing w:val="-3"/>
          <w:sz w:val="18"/>
          <w:vertAlign w:val="baseline"/>
        </w:rPr>
        <w:t> </w:t>
      </w:r>
      <w:r>
        <w:rPr>
          <w:sz w:val="18"/>
          <w:vertAlign w:val="baseline"/>
        </w:rPr>
        <w:t>and</w:t>
      </w:r>
      <w:r>
        <w:rPr>
          <w:spacing w:val="-3"/>
          <w:sz w:val="18"/>
          <w:vertAlign w:val="baseline"/>
        </w:rPr>
        <w:t> </w:t>
      </w:r>
      <w:r>
        <w:rPr>
          <w:sz w:val="18"/>
          <w:vertAlign w:val="baseline"/>
        </w:rPr>
        <w:t>Morbidity</w:t>
      </w:r>
      <w:r>
        <w:rPr>
          <w:spacing w:val="-3"/>
          <w:sz w:val="18"/>
          <w:vertAlign w:val="baseline"/>
        </w:rPr>
        <w:t> </w:t>
      </w:r>
      <w:r>
        <w:rPr>
          <w:sz w:val="18"/>
          <w:vertAlign w:val="baseline"/>
        </w:rPr>
        <w:t>Initiative</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December</w:t>
      </w:r>
      <w:r>
        <w:rPr>
          <w:spacing w:val="-5"/>
          <w:sz w:val="18"/>
          <w:vertAlign w:val="baseline"/>
        </w:rPr>
        <w:t> </w:t>
      </w:r>
      <w:r>
        <w:rPr>
          <w:sz w:val="18"/>
          <w:vertAlign w:val="baseline"/>
        </w:rPr>
        <w:t>5,</w:t>
      </w:r>
      <w:r>
        <w:rPr>
          <w:spacing w:val="-4"/>
          <w:sz w:val="18"/>
          <w:vertAlign w:val="baseline"/>
        </w:rPr>
        <w:t> </w:t>
      </w:r>
      <w:r>
        <w:rPr>
          <w:sz w:val="18"/>
          <w:vertAlign w:val="baseline"/>
        </w:rPr>
        <w:t>2022,</w:t>
      </w:r>
      <w:r>
        <w:rPr>
          <w:spacing w:val="-4"/>
          <w:sz w:val="18"/>
          <w:vertAlign w:val="baseline"/>
        </w:rPr>
        <w:t> </w:t>
      </w:r>
      <w:hyperlink r:id="rId380">
        <w:r>
          <w:rPr>
            <w:color w:val="0561C1"/>
            <w:sz w:val="18"/>
            <w:u w:val="single" w:color="0561C1"/>
            <w:vertAlign w:val="baseline"/>
          </w:rPr>
          <w:t>https://www.mass.gov/service-</w:t>
        </w:r>
      </w:hyperlink>
      <w:r>
        <w:rPr>
          <w:color w:val="0561C1"/>
          <w:sz w:val="18"/>
          <w:u w:val="none"/>
          <w:vertAlign w:val="baseline"/>
        </w:rPr>
        <w:t> </w:t>
      </w:r>
      <w:hyperlink r:id="rId380">
        <w:r>
          <w:rPr>
            <w:color w:val="0561C1"/>
            <w:spacing w:val="-2"/>
            <w:sz w:val="18"/>
            <w:u w:val="single" w:color="0561C1"/>
            <w:vertAlign w:val="baseline"/>
          </w:rPr>
          <w:t>details/maternal-mortality-and-morbidity-initiative</w:t>
        </w:r>
      </w:hyperlink>
      <w:hyperlink r:id="rId380">
        <w:r>
          <w:rPr>
            <w:spacing w:val="-2"/>
            <w:sz w:val="18"/>
            <w:u w:val="none"/>
            <w:vertAlign w:val="baseline"/>
          </w:rPr>
          <w:t>.</w:t>
        </w:r>
      </w:hyperlink>
    </w:p>
    <w:p>
      <w:pPr>
        <w:spacing w:before="0"/>
        <w:ind w:left="463" w:right="0" w:hanging="1"/>
        <w:jc w:val="left"/>
        <w:rPr>
          <w:sz w:val="18"/>
        </w:rPr>
      </w:pPr>
      <w:bookmarkStart w:name="_bookmark269" w:id="459"/>
      <w:bookmarkEnd w:id="459"/>
      <w:r>
        <w:rPr/>
      </w:r>
      <w:r>
        <w:rPr>
          <w:sz w:val="18"/>
          <w:vertAlign w:val="superscript"/>
        </w:rPr>
        <w:t>77</w:t>
      </w:r>
      <w:r>
        <w:rPr>
          <w:spacing w:val="-13"/>
          <w:sz w:val="18"/>
          <w:vertAlign w:val="baseline"/>
        </w:rPr>
        <w:t> </w:t>
      </w:r>
      <w:r>
        <w:rPr>
          <w:sz w:val="18"/>
          <w:vertAlign w:val="baseline"/>
        </w:rPr>
        <w:t>Michael</w:t>
      </w:r>
      <w:r>
        <w:rPr>
          <w:spacing w:val="-5"/>
          <w:sz w:val="18"/>
          <w:vertAlign w:val="baseline"/>
        </w:rPr>
        <w:t> </w:t>
      </w:r>
      <w:r>
        <w:rPr>
          <w:sz w:val="18"/>
          <w:vertAlign w:val="baseline"/>
        </w:rPr>
        <w:t>R.</w:t>
      </w:r>
      <w:r>
        <w:rPr>
          <w:spacing w:val="-2"/>
          <w:sz w:val="18"/>
          <w:vertAlign w:val="baseline"/>
        </w:rPr>
        <w:t> </w:t>
      </w:r>
      <w:r>
        <w:rPr>
          <w:sz w:val="18"/>
          <w:vertAlign w:val="baseline"/>
        </w:rPr>
        <w:t>Kramer</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“Changing</w:t>
      </w:r>
      <w:r>
        <w:rPr>
          <w:spacing w:val="-2"/>
          <w:sz w:val="18"/>
          <w:vertAlign w:val="baseline"/>
        </w:rPr>
        <w:t> </w:t>
      </w:r>
      <w:r>
        <w:rPr>
          <w:sz w:val="18"/>
          <w:vertAlign w:val="baseline"/>
        </w:rPr>
        <w:t>the</w:t>
      </w:r>
      <w:r>
        <w:rPr>
          <w:spacing w:val="-2"/>
          <w:sz w:val="18"/>
          <w:vertAlign w:val="baseline"/>
        </w:rPr>
        <w:t> </w:t>
      </w:r>
      <w:r>
        <w:rPr>
          <w:sz w:val="18"/>
          <w:vertAlign w:val="baseline"/>
        </w:rPr>
        <w:t>Conversation:</w:t>
      </w:r>
      <w:r>
        <w:rPr>
          <w:spacing w:val="-2"/>
          <w:sz w:val="18"/>
          <w:vertAlign w:val="baseline"/>
        </w:rPr>
        <w:t> </w:t>
      </w:r>
      <w:r>
        <w:rPr>
          <w:sz w:val="18"/>
          <w:vertAlign w:val="baseline"/>
        </w:rPr>
        <w:t>Applying</w:t>
      </w:r>
      <w:r>
        <w:rPr>
          <w:spacing w:val="-2"/>
          <w:sz w:val="18"/>
          <w:vertAlign w:val="baseline"/>
        </w:rPr>
        <w:t> </w:t>
      </w:r>
      <w:r>
        <w:rPr>
          <w:sz w:val="18"/>
          <w:vertAlign w:val="baseline"/>
        </w:rPr>
        <w:t>a</w:t>
      </w:r>
      <w:r>
        <w:rPr>
          <w:spacing w:val="-2"/>
          <w:sz w:val="18"/>
          <w:vertAlign w:val="baseline"/>
        </w:rPr>
        <w:t> </w:t>
      </w:r>
      <w:r>
        <w:rPr>
          <w:sz w:val="18"/>
          <w:vertAlign w:val="baseline"/>
        </w:rPr>
        <w:t>Health</w:t>
      </w:r>
      <w:r>
        <w:rPr>
          <w:spacing w:val="-2"/>
          <w:sz w:val="18"/>
          <w:vertAlign w:val="baseline"/>
        </w:rPr>
        <w:t> </w:t>
      </w:r>
      <w:r>
        <w:rPr>
          <w:sz w:val="18"/>
          <w:vertAlign w:val="baseline"/>
        </w:rPr>
        <w:t>Equity</w:t>
      </w:r>
      <w:r>
        <w:rPr>
          <w:spacing w:val="-2"/>
          <w:sz w:val="18"/>
          <w:vertAlign w:val="baseline"/>
        </w:rPr>
        <w:t> </w:t>
      </w:r>
      <w:r>
        <w:rPr>
          <w:sz w:val="18"/>
          <w:vertAlign w:val="baseline"/>
        </w:rPr>
        <w:t>Framework</w:t>
      </w:r>
      <w:r>
        <w:rPr>
          <w:spacing w:val="-3"/>
          <w:sz w:val="18"/>
          <w:vertAlign w:val="baseline"/>
        </w:rPr>
        <w:t> </w:t>
      </w:r>
      <w:r>
        <w:rPr>
          <w:sz w:val="18"/>
          <w:vertAlign w:val="baseline"/>
        </w:rPr>
        <w:t>to</w:t>
      </w:r>
      <w:r>
        <w:rPr>
          <w:spacing w:val="-2"/>
          <w:sz w:val="18"/>
          <w:vertAlign w:val="baseline"/>
        </w:rPr>
        <w:t> </w:t>
      </w:r>
      <w:r>
        <w:rPr>
          <w:sz w:val="18"/>
          <w:vertAlign w:val="baseline"/>
        </w:rPr>
        <w:t>Maternal</w:t>
      </w:r>
      <w:r>
        <w:rPr>
          <w:spacing w:val="-3"/>
          <w:sz w:val="18"/>
          <w:vertAlign w:val="baseline"/>
        </w:rPr>
        <w:t> </w:t>
      </w:r>
      <w:r>
        <w:rPr>
          <w:sz w:val="18"/>
          <w:vertAlign w:val="baseline"/>
        </w:rPr>
        <w:t>Mortality</w:t>
      </w:r>
      <w:r>
        <w:rPr>
          <w:spacing w:val="-2"/>
          <w:sz w:val="18"/>
          <w:vertAlign w:val="baseline"/>
        </w:rPr>
        <w:t> </w:t>
      </w:r>
      <w:r>
        <w:rPr>
          <w:sz w:val="18"/>
          <w:vertAlign w:val="baseline"/>
        </w:rPr>
        <w:t>Reviews,” </w:t>
      </w:r>
      <w:r>
        <w:rPr>
          <w:i/>
          <w:sz w:val="18"/>
          <w:vertAlign w:val="baseline"/>
        </w:rPr>
        <w:t>American Journal of Obstetrics and Gynecology </w:t>
      </w:r>
      <w:r>
        <w:rPr>
          <w:sz w:val="18"/>
          <w:vertAlign w:val="baseline"/>
        </w:rPr>
        <w:t>221, no. 6 (December 2019): 609.e1-609.e9, </w:t>
      </w:r>
      <w:hyperlink r:id="rId381">
        <w:r>
          <w:rPr>
            <w:color w:val="0561C1"/>
            <w:spacing w:val="-2"/>
            <w:sz w:val="18"/>
            <w:u w:val="single" w:color="0561C1"/>
            <w:vertAlign w:val="baseline"/>
          </w:rPr>
          <w:t>https://doi.org/10.1016/j.ajog.2019.08.057</w:t>
        </w:r>
      </w:hyperlink>
      <w:hyperlink r:id="rId381">
        <w:r>
          <w:rPr>
            <w:spacing w:val="-2"/>
            <w:sz w:val="18"/>
            <w:u w:val="none"/>
            <w:vertAlign w:val="baseline"/>
          </w:rPr>
          <w:t>.</w:t>
        </w:r>
      </w:hyperlink>
    </w:p>
    <w:p>
      <w:pPr>
        <w:spacing w:after="0"/>
        <w:jc w:val="left"/>
        <w:rPr>
          <w:sz w:val="18"/>
        </w:rPr>
        <w:sectPr>
          <w:pgSz w:w="12240" w:h="15840"/>
          <w:pgMar w:header="800" w:footer="1530" w:top="1080" w:bottom="1760" w:left="980" w:right="1000"/>
        </w:sectPr>
      </w:pPr>
    </w:p>
    <w:p>
      <w:pPr>
        <w:spacing w:line="400" w:lineRule="exact" w:before="94"/>
        <w:ind w:left="474" w:right="0" w:firstLine="0"/>
        <w:jc w:val="left"/>
        <w:rPr>
          <w:sz w:val="34"/>
        </w:rPr>
      </w:pP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5"/>
        <w:spacing w:line="213" w:lineRule="auto"/>
        <w:ind w:right="4560"/>
      </w:pPr>
      <w:r>
        <w:rPr>
          <w:color w:val="FFFFFF"/>
          <w:spacing w:val="-30"/>
        </w:rPr>
        <w:t>PREGNANCY </w:t>
      </w:r>
      <w:r>
        <w:rPr>
          <w:color w:val="FFFFFF"/>
          <w:spacing w:val="-10"/>
        </w:rPr>
        <w:t>REPORT</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7"/>
        <w:rPr>
          <w:rFonts w:ascii="Verdana"/>
          <w:b/>
          <w:sz w:val="20"/>
        </w:rPr>
      </w:pPr>
    </w:p>
    <w:p>
      <w:pPr>
        <w:spacing w:after="0"/>
        <w:rPr>
          <w:rFonts w:ascii="Verdana"/>
          <w:sz w:val="20"/>
        </w:rPr>
        <w:sectPr>
          <w:headerReference w:type="default" r:id="rId382"/>
          <w:footerReference w:type="default" r:id="rId383"/>
          <w:pgSz w:w="12240" w:h="15840"/>
          <w:pgMar w:header="0" w:footer="0" w:top="980" w:bottom="280" w:left="1120" w:right="1200"/>
        </w:sectPr>
      </w:pPr>
    </w:p>
    <w:p>
      <w:pPr>
        <w:pStyle w:val="Heading9"/>
        <w:ind w:left="123"/>
        <w:rPr>
          <w:i/>
        </w:rPr>
      </w:pPr>
      <w:r>
        <w:rPr>
          <w:i/>
          <w:spacing w:val="11"/>
          <w:w w:val="125"/>
        </w:rPr>
        <w:t>ABOUT</w:t>
      </w:r>
    </w:p>
    <w:p>
      <w:pPr>
        <w:spacing w:line="266" w:lineRule="auto" w:before="41"/>
        <w:ind w:left="123" w:right="38" w:firstLine="0"/>
        <w:jc w:val="both"/>
        <w:rPr>
          <w:rFonts w:ascii="Times New Roman"/>
          <w:sz w:val="24"/>
        </w:rPr>
      </w:pPr>
      <w:r>
        <w:rPr>
          <w:rFonts w:ascii="Times New Roman"/>
          <w:w w:val="110"/>
          <w:sz w:val="24"/>
        </w:rPr>
        <w:t>Many</w:t>
      </w:r>
      <w:r>
        <w:rPr>
          <w:rFonts w:ascii="Times New Roman"/>
          <w:spacing w:val="-11"/>
          <w:w w:val="110"/>
          <w:sz w:val="24"/>
        </w:rPr>
        <w:t> </w:t>
      </w:r>
      <w:r>
        <w:rPr>
          <w:rFonts w:ascii="Times New Roman"/>
          <w:w w:val="110"/>
          <w:sz w:val="24"/>
        </w:rPr>
        <w:t>LGBTQ</w:t>
      </w:r>
      <w:r>
        <w:rPr>
          <w:rFonts w:ascii="Times New Roman"/>
          <w:spacing w:val="-11"/>
          <w:w w:val="110"/>
          <w:sz w:val="24"/>
        </w:rPr>
        <w:t> </w:t>
      </w:r>
      <w:r>
        <w:rPr>
          <w:rFonts w:ascii="Times New Roman"/>
          <w:w w:val="110"/>
          <w:sz w:val="24"/>
        </w:rPr>
        <w:t>people</w:t>
      </w:r>
      <w:r>
        <w:rPr>
          <w:rFonts w:ascii="Times New Roman"/>
          <w:spacing w:val="-11"/>
          <w:w w:val="110"/>
          <w:sz w:val="24"/>
        </w:rPr>
        <w:t> </w:t>
      </w:r>
      <w:r>
        <w:rPr>
          <w:rFonts w:ascii="Times New Roman"/>
          <w:w w:val="110"/>
          <w:sz w:val="24"/>
        </w:rPr>
        <w:t>such</w:t>
      </w:r>
      <w:r>
        <w:rPr>
          <w:rFonts w:ascii="Times New Roman"/>
          <w:spacing w:val="-11"/>
          <w:w w:val="110"/>
          <w:sz w:val="24"/>
        </w:rPr>
        <w:t> </w:t>
      </w:r>
      <w:r>
        <w:rPr>
          <w:rFonts w:ascii="Times New Roman"/>
          <w:w w:val="110"/>
          <w:sz w:val="24"/>
        </w:rPr>
        <w:t>as</w:t>
      </w:r>
      <w:r>
        <w:rPr>
          <w:rFonts w:ascii="Times New Roman"/>
          <w:spacing w:val="-11"/>
          <w:w w:val="110"/>
          <w:sz w:val="24"/>
        </w:rPr>
        <w:t> </w:t>
      </w:r>
      <w:r>
        <w:rPr>
          <w:rFonts w:ascii="Times New Roman"/>
          <w:w w:val="110"/>
          <w:sz w:val="24"/>
        </w:rPr>
        <w:t>lesbians,</w:t>
      </w:r>
      <w:r>
        <w:rPr>
          <w:rFonts w:ascii="Times New Roman"/>
          <w:spacing w:val="-11"/>
          <w:w w:val="110"/>
          <w:sz w:val="24"/>
        </w:rPr>
        <w:t> </w:t>
      </w:r>
      <w:r>
        <w:rPr>
          <w:rFonts w:ascii="Times New Roman"/>
          <w:w w:val="110"/>
          <w:sz w:val="24"/>
        </w:rPr>
        <w:t>bisexual </w:t>
      </w:r>
      <w:r>
        <w:rPr>
          <w:rFonts w:ascii="Times New Roman"/>
          <w:w w:val="115"/>
          <w:sz w:val="24"/>
        </w:rPr>
        <w:t>women,</w:t>
      </w:r>
      <w:r>
        <w:rPr>
          <w:rFonts w:ascii="Times New Roman"/>
          <w:w w:val="115"/>
          <w:sz w:val="24"/>
        </w:rPr>
        <w:t> transgender</w:t>
      </w:r>
      <w:r>
        <w:rPr>
          <w:rFonts w:ascii="Times New Roman"/>
          <w:w w:val="115"/>
          <w:sz w:val="24"/>
        </w:rPr>
        <w:t> men,</w:t>
      </w:r>
      <w:r>
        <w:rPr>
          <w:rFonts w:ascii="Times New Roman"/>
          <w:w w:val="115"/>
          <w:sz w:val="24"/>
        </w:rPr>
        <w:t> Two-Spirit, intersex,</w:t>
      </w:r>
      <w:r>
        <w:rPr>
          <w:rFonts w:ascii="Times New Roman"/>
          <w:w w:val="115"/>
          <w:sz w:val="24"/>
        </w:rPr>
        <w:t> nonbinary</w:t>
      </w:r>
      <w:r>
        <w:rPr>
          <w:rFonts w:ascii="Times New Roman"/>
          <w:w w:val="115"/>
          <w:sz w:val="24"/>
        </w:rPr>
        <w:t> and</w:t>
      </w:r>
      <w:r>
        <w:rPr>
          <w:rFonts w:ascii="Times New Roman"/>
          <w:w w:val="115"/>
          <w:sz w:val="24"/>
        </w:rPr>
        <w:t> gender nonconforming</w:t>
      </w:r>
      <w:r>
        <w:rPr>
          <w:rFonts w:ascii="Times New Roman"/>
          <w:spacing w:val="-14"/>
          <w:w w:val="115"/>
          <w:sz w:val="24"/>
        </w:rPr>
        <w:t> </w:t>
      </w:r>
      <w:r>
        <w:rPr>
          <w:rFonts w:ascii="Times New Roman"/>
          <w:w w:val="115"/>
          <w:sz w:val="24"/>
        </w:rPr>
        <w:t>individuals</w:t>
      </w:r>
      <w:r>
        <w:rPr>
          <w:rFonts w:ascii="Times New Roman"/>
          <w:spacing w:val="-14"/>
          <w:w w:val="115"/>
          <w:sz w:val="24"/>
        </w:rPr>
        <w:t> </w:t>
      </w:r>
      <w:r>
        <w:rPr>
          <w:rFonts w:ascii="Times New Roman"/>
          <w:w w:val="115"/>
          <w:sz w:val="24"/>
        </w:rPr>
        <w:t>use</w:t>
      </w:r>
      <w:r>
        <w:rPr>
          <w:rFonts w:ascii="Times New Roman"/>
          <w:spacing w:val="-14"/>
          <w:w w:val="115"/>
          <w:sz w:val="24"/>
        </w:rPr>
        <w:t> </w:t>
      </w:r>
      <w:r>
        <w:rPr>
          <w:rFonts w:ascii="Times New Roman"/>
          <w:w w:val="115"/>
          <w:sz w:val="24"/>
        </w:rPr>
        <w:t>contraception, have</w:t>
      </w:r>
      <w:r>
        <w:rPr>
          <w:rFonts w:ascii="Times New Roman"/>
          <w:w w:val="115"/>
          <w:sz w:val="24"/>
        </w:rPr>
        <w:t> the</w:t>
      </w:r>
      <w:r>
        <w:rPr>
          <w:rFonts w:ascii="Times New Roman"/>
          <w:w w:val="115"/>
          <w:sz w:val="24"/>
        </w:rPr>
        <w:t> capacity</w:t>
      </w:r>
      <w:r>
        <w:rPr>
          <w:rFonts w:ascii="Times New Roman"/>
          <w:w w:val="115"/>
          <w:sz w:val="24"/>
        </w:rPr>
        <w:t> to</w:t>
      </w:r>
      <w:r>
        <w:rPr>
          <w:rFonts w:ascii="Times New Roman"/>
          <w:w w:val="115"/>
          <w:sz w:val="24"/>
        </w:rPr>
        <w:t> carry</w:t>
      </w:r>
      <w:r>
        <w:rPr>
          <w:rFonts w:ascii="Times New Roman"/>
          <w:w w:val="115"/>
          <w:sz w:val="24"/>
        </w:rPr>
        <w:t> a</w:t>
      </w:r>
      <w:r>
        <w:rPr>
          <w:rFonts w:ascii="Times New Roman"/>
          <w:w w:val="115"/>
          <w:sz w:val="24"/>
        </w:rPr>
        <w:t> pregnancy, experience</w:t>
      </w:r>
      <w:r>
        <w:rPr>
          <w:rFonts w:ascii="Times New Roman"/>
          <w:w w:val="115"/>
          <w:sz w:val="24"/>
        </w:rPr>
        <w:t> miscarriages,</w:t>
      </w:r>
      <w:r>
        <w:rPr>
          <w:rFonts w:ascii="Times New Roman"/>
          <w:w w:val="115"/>
          <w:sz w:val="24"/>
        </w:rPr>
        <w:t> and</w:t>
      </w:r>
      <w:r>
        <w:rPr>
          <w:rFonts w:ascii="Times New Roman"/>
          <w:w w:val="115"/>
          <w:sz w:val="24"/>
        </w:rPr>
        <w:t> choose</w:t>
      </w:r>
      <w:r>
        <w:rPr>
          <w:rFonts w:ascii="Times New Roman"/>
          <w:w w:val="115"/>
          <w:sz w:val="24"/>
        </w:rPr>
        <w:t> to</w:t>
      </w:r>
      <w:r>
        <w:rPr>
          <w:rFonts w:ascii="Times New Roman"/>
          <w:w w:val="115"/>
          <w:sz w:val="24"/>
        </w:rPr>
        <w:t> get abortions.</w:t>
      </w:r>
      <w:r>
        <w:rPr>
          <w:rFonts w:ascii="Times New Roman"/>
          <w:w w:val="115"/>
          <w:sz w:val="24"/>
        </w:rPr>
        <w:t> Pregnancy</w:t>
      </w:r>
      <w:r>
        <w:rPr>
          <w:rFonts w:ascii="Times New Roman"/>
          <w:w w:val="115"/>
          <w:sz w:val="24"/>
        </w:rPr>
        <w:t> is</w:t>
      </w:r>
      <w:r>
        <w:rPr>
          <w:rFonts w:ascii="Times New Roman"/>
          <w:w w:val="115"/>
          <w:sz w:val="24"/>
        </w:rPr>
        <w:t> not</w:t>
      </w:r>
      <w:r>
        <w:rPr>
          <w:rFonts w:ascii="Times New Roman"/>
          <w:w w:val="115"/>
          <w:sz w:val="24"/>
        </w:rPr>
        <w:t> confined</w:t>
      </w:r>
      <w:r>
        <w:rPr>
          <w:rFonts w:ascii="Times New Roman"/>
          <w:w w:val="115"/>
          <w:sz w:val="24"/>
        </w:rPr>
        <w:t> to cisgender</w:t>
      </w:r>
      <w:r>
        <w:rPr>
          <w:rFonts w:ascii="Times New Roman"/>
          <w:spacing w:val="-4"/>
          <w:w w:val="115"/>
          <w:sz w:val="24"/>
        </w:rPr>
        <w:t> </w:t>
      </w:r>
      <w:r>
        <w:rPr>
          <w:rFonts w:ascii="Times New Roman"/>
          <w:w w:val="115"/>
          <w:sz w:val="24"/>
        </w:rPr>
        <w:t>women.</w:t>
      </w:r>
    </w:p>
    <w:p>
      <w:pPr>
        <w:pStyle w:val="BodyText"/>
        <w:rPr>
          <w:rFonts w:ascii="Times New Roman"/>
          <w:sz w:val="24"/>
        </w:rPr>
      </w:pPr>
    </w:p>
    <w:p>
      <w:pPr>
        <w:pStyle w:val="BodyText"/>
        <w:spacing w:before="197"/>
        <w:rPr>
          <w:rFonts w:ascii="Times New Roman"/>
          <w:sz w:val="24"/>
        </w:rPr>
      </w:pPr>
    </w:p>
    <w:p>
      <w:pPr>
        <w:pStyle w:val="Heading9"/>
        <w:spacing w:before="0"/>
        <w:ind w:left="123"/>
        <w:rPr>
          <w:i/>
        </w:rPr>
      </w:pPr>
      <w:r>
        <w:rPr>
          <w:i/>
          <w:spacing w:val="13"/>
          <w:w w:val="125"/>
        </w:rPr>
        <w:t>RECOMMENDATIONS</w:t>
      </w:r>
    </w:p>
    <w:p>
      <w:pPr>
        <w:spacing w:line="902" w:lineRule="exact" w:before="322"/>
        <w:ind w:left="1012" w:right="0" w:firstLine="0"/>
        <w:jc w:val="left"/>
        <w:rPr>
          <w:rFonts w:ascii="Verdana"/>
          <w:b/>
          <w:sz w:val="75"/>
        </w:rPr>
      </w:pPr>
      <w:r>
        <w:rPr/>
        <w:br w:type="column"/>
      </w:r>
      <w:r>
        <w:rPr>
          <w:rFonts w:ascii="Verdana"/>
          <w:b/>
          <w:emboss/>
          <w:color w:val="7B0085"/>
          <w:spacing w:val="19"/>
          <w:w w:val="95"/>
          <w:sz w:val="75"/>
        </w:rPr>
        <w:t>100</w:t>
      </w:r>
    </w:p>
    <w:p>
      <w:pPr>
        <w:spacing w:line="266" w:lineRule="auto" w:before="0"/>
        <w:ind w:left="123" w:right="289" w:hanging="1"/>
        <w:jc w:val="center"/>
        <w:rPr>
          <w:rFonts w:ascii="Times New Roman"/>
          <w:sz w:val="24"/>
        </w:rPr>
      </w:pPr>
      <w:r>
        <w:rPr>
          <w:rFonts w:ascii="Times New Roman"/>
          <w:w w:val="115"/>
          <w:sz w:val="24"/>
        </w:rPr>
        <w:t>miles</w:t>
      </w:r>
      <w:r>
        <w:rPr>
          <w:rFonts w:ascii="Times New Roman"/>
          <w:spacing w:val="-14"/>
          <w:w w:val="115"/>
          <w:sz w:val="24"/>
        </w:rPr>
        <w:t> </w:t>
      </w:r>
      <w:r>
        <w:rPr>
          <w:rFonts w:ascii="Times New Roman"/>
          <w:w w:val="115"/>
          <w:sz w:val="24"/>
        </w:rPr>
        <w:t>that</w:t>
      </w:r>
      <w:r>
        <w:rPr>
          <w:rFonts w:ascii="Times New Roman"/>
          <w:spacing w:val="-14"/>
          <w:w w:val="115"/>
          <w:sz w:val="24"/>
        </w:rPr>
        <w:t> </w:t>
      </w:r>
      <w:r>
        <w:rPr>
          <w:rFonts w:ascii="Times New Roman"/>
          <w:w w:val="115"/>
          <w:sz w:val="24"/>
        </w:rPr>
        <w:t>pregnant</w:t>
      </w:r>
      <w:r>
        <w:rPr>
          <w:rFonts w:ascii="Times New Roman"/>
          <w:spacing w:val="-14"/>
          <w:w w:val="115"/>
          <w:sz w:val="24"/>
        </w:rPr>
        <w:t> </w:t>
      </w:r>
      <w:r>
        <w:rPr>
          <w:rFonts w:ascii="Times New Roman"/>
          <w:w w:val="115"/>
          <w:sz w:val="24"/>
        </w:rPr>
        <w:t>individuals </w:t>
      </w:r>
      <w:r>
        <w:rPr>
          <w:rFonts w:ascii="Times New Roman"/>
          <w:w w:val="110"/>
          <w:sz w:val="24"/>
        </w:rPr>
        <w:t>on</w:t>
      </w:r>
      <w:r>
        <w:rPr>
          <w:rFonts w:ascii="Times New Roman"/>
          <w:spacing w:val="-6"/>
          <w:w w:val="110"/>
          <w:sz w:val="24"/>
        </w:rPr>
        <w:t> </w:t>
      </w:r>
      <w:r>
        <w:rPr>
          <w:rFonts w:ascii="Times New Roman"/>
          <w:w w:val="110"/>
          <w:sz w:val="24"/>
        </w:rPr>
        <w:t>Cape</w:t>
      </w:r>
      <w:r>
        <w:rPr>
          <w:rFonts w:ascii="Times New Roman"/>
          <w:spacing w:val="-6"/>
          <w:w w:val="110"/>
          <w:sz w:val="24"/>
        </w:rPr>
        <w:t> </w:t>
      </w:r>
      <w:r>
        <w:rPr>
          <w:rFonts w:ascii="Times New Roman"/>
          <w:w w:val="110"/>
          <w:sz w:val="24"/>
        </w:rPr>
        <w:t>Cod</w:t>
      </w:r>
      <w:r>
        <w:rPr>
          <w:rFonts w:ascii="Times New Roman"/>
          <w:spacing w:val="-6"/>
          <w:w w:val="110"/>
          <w:sz w:val="24"/>
        </w:rPr>
        <w:t> </w:t>
      </w:r>
      <w:r>
        <w:rPr>
          <w:rFonts w:ascii="Times New Roman"/>
          <w:w w:val="110"/>
          <w:sz w:val="24"/>
        </w:rPr>
        <w:t>may</w:t>
      </w:r>
      <w:r>
        <w:rPr>
          <w:rFonts w:ascii="Times New Roman"/>
          <w:spacing w:val="-6"/>
          <w:w w:val="110"/>
          <w:sz w:val="24"/>
        </w:rPr>
        <w:t> </w:t>
      </w:r>
      <w:r>
        <w:rPr>
          <w:rFonts w:ascii="Times New Roman"/>
          <w:w w:val="110"/>
          <w:sz w:val="24"/>
        </w:rPr>
        <w:t>need</w:t>
      </w:r>
      <w:r>
        <w:rPr>
          <w:rFonts w:ascii="Times New Roman"/>
          <w:spacing w:val="-6"/>
          <w:w w:val="110"/>
          <w:sz w:val="24"/>
        </w:rPr>
        <w:t> </w:t>
      </w:r>
      <w:r>
        <w:rPr>
          <w:rFonts w:ascii="Times New Roman"/>
          <w:w w:val="110"/>
          <w:sz w:val="24"/>
        </w:rPr>
        <w:t>to</w:t>
      </w:r>
      <w:r>
        <w:rPr>
          <w:rFonts w:ascii="Times New Roman"/>
          <w:spacing w:val="-6"/>
          <w:w w:val="110"/>
          <w:sz w:val="24"/>
        </w:rPr>
        <w:t> </w:t>
      </w:r>
      <w:r>
        <w:rPr>
          <w:rFonts w:ascii="Times New Roman"/>
          <w:w w:val="110"/>
          <w:sz w:val="24"/>
        </w:rPr>
        <w:t>travel </w:t>
      </w:r>
      <w:r>
        <w:rPr>
          <w:rFonts w:ascii="Times New Roman"/>
          <w:w w:val="115"/>
          <w:sz w:val="24"/>
        </w:rPr>
        <w:t>to access abortion services</w:t>
      </w:r>
    </w:p>
    <w:p>
      <w:pPr>
        <w:pStyle w:val="BodyText"/>
        <w:spacing w:before="67"/>
        <w:rPr>
          <w:rFonts w:ascii="Times New Roman"/>
          <w:sz w:val="24"/>
        </w:rPr>
      </w:pPr>
    </w:p>
    <w:p>
      <w:pPr>
        <w:pStyle w:val="Heading3"/>
        <w:ind w:left="1" w:right="242"/>
        <w:jc w:val="center"/>
      </w:pPr>
      <w:r>
        <w:rPr>
          <w:emboss/>
          <w:color w:val="7B0085"/>
          <w:spacing w:val="19"/>
          <w:w w:val="80"/>
        </w:rPr>
        <w:t>93%</w:t>
      </w:r>
    </w:p>
    <w:p>
      <w:pPr>
        <w:spacing w:line="266" w:lineRule="auto" w:before="43"/>
        <w:ind w:left="0" w:right="242" w:firstLine="0"/>
        <w:jc w:val="center"/>
        <w:rPr>
          <w:rFonts w:ascii="Times New Roman"/>
          <w:sz w:val="24"/>
        </w:rPr>
      </w:pPr>
      <w:r>
        <w:rPr>
          <w:rFonts w:ascii="Times New Roman"/>
          <w:w w:val="115"/>
          <w:sz w:val="24"/>
        </w:rPr>
        <w:t>of</w:t>
      </w:r>
      <w:r>
        <w:rPr>
          <w:rFonts w:ascii="Times New Roman"/>
          <w:spacing w:val="-18"/>
          <w:w w:val="115"/>
          <w:sz w:val="24"/>
        </w:rPr>
        <w:t> </w:t>
      </w:r>
      <w:r>
        <w:rPr>
          <w:rFonts w:ascii="Times New Roman"/>
          <w:w w:val="115"/>
          <w:sz w:val="24"/>
        </w:rPr>
        <w:t>non-binary</w:t>
      </w:r>
      <w:r>
        <w:rPr>
          <w:rFonts w:ascii="Times New Roman"/>
          <w:spacing w:val="-17"/>
          <w:w w:val="115"/>
          <w:sz w:val="24"/>
        </w:rPr>
        <w:t> </w:t>
      </w:r>
      <w:r>
        <w:rPr>
          <w:rFonts w:ascii="Times New Roman"/>
          <w:w w:val="115"/>
          <w:sz w:val="24"/>
        </w:rPr>
        <w:t>and</w:t>
      </w:r>
      <w:r>
        <w:rPr>
          <w:rFonts w:ascii="Times New Roman"/>
          <w:spacing w:val="-17"/>
          <w:w w:val="115"/>
          <w:sz w:val="24"/>
        </w:rPr>
        <w:t> </w:t>
      </w:r>
      <w:r>
        <w:rPr>
          <w:rFonts w:ascii="Times New Roman"/>
          <w:w w:val="115"/>
          <w:sz w:val="24"/>
        </w:rPr>
        <w:t>transgender </w:t>
      </w:r>
      <w:r>
        <w:rPr>
          <w:rFonts w:ascii="Times New Roman"/>
          <w:w w:val="120"/>
          <w:sz w:val="24"/>
        </w:rPr>
        <w:t>youth</w:t>
      </w:r>
      <w:r>
        <w:rPr>
          <w:rFonts w:ascii="Times New Roman"/>
          <w:spacing w:val="-6"/>
          <w:w w:val="120"/>
          <w:sz w:val="24"/>
        </w:rPr>
        <w:t> </w:t>
      </w:r>
      <w:r>
        <w:rPr>
          <w:rFonts w:ascii="Times New Roman"/>
          <w:w w:val="120"/>
          <w:sz w:val="24"/>
        </w:rPr>
        <w:t>face</w:t>
      </w:r>
      <w:r>
        <w:rPr>
          <w:rFonts w:ascii="Times New Roman"/>
          <w:spacing w:val="-6"/>
          <w:w w:val="120"/>
          <w:sz w:val="24"/>
        </w:rPr>
        <w:t> </w:t>
      </w:r>
      <w:r>
        <w:rPr>
          <w:rFonts w:ascii="Times New Roman"/>
          <w:w w:val="120"/>
          <w:sz w:val="24"/>
        </w:rPr>
        <w:t>distress</w:t>
      </w:r>
      <w:r>
        <w:rPr>
          <w:rFonts w:ascii="Times New Roman"/>
          <w:spacing w:val="-6"/>
          <w:w w:val="120"/>
          <w:sz w:val="24"/>
        </w:rPr>
        <w:t> </w:t>
      </w:r>
      <w:r>
        <w:rPr>
          <w:rFonts w:ascii="Times New Roman"/>
          <w:w w:val="120"/>
          <w:sz w:val="24"/>
        </w:rPr>
        <w:t>due</w:t>
      </w:r>
      <w:r>
        <w:rPr>
          <w:rFonts w:ascii="Times New Roman"/>
          <w:spacing w:val="-6"/>
          <w:w w:val="120"/>
          <w:sz w:val="24"/>
        </w:rPr>
        <w:t> </w:t>
      </w:r>
      <w:r>
        <w:rPr>
          <w:rFonts w:ascii="Times New Roman"/>
          <w:w w:val="120"/>
          <w:sz w:val="24"/>
        </w:rPr>
        <w:t>to </w:t>
      </w:r>
      <w:r>
        <w:rPr>
          <w:rFonts w:ascii="Times New Roman"/>
          <w:spacing w:val="-2"/>
          <w:w w:val="120"/>
          <w:sz w:val="24"/>
        </w:rPr>
        <w:t>menstruation</w:t>
      </w:r>
    </w:p>
    <w:p>
      <w:pPr>
        <w:spacing w:after="0" w:line="266" w:lineRule="auto"/>
        <w:jc w:val="center"/>
        <w:rPr>
          <w:rFonts w:ascii="Times New Roman"/>
          <w:sz w:val="24"/>
        </w:rPr>
        <w:sectPr>
          <w:type w:val="continuous"/>
          <w:pgSz w:w="12240" w:h="15840"/>
          <w:pgMar w:header="0" w:footer="0" w:top="1420" w:bottom="280" w:left="1120" w:right="1200"/>
          <w:cols w:num="2" w:equalWidth="0">
            <w:col w:w="5234" w:space="864"/>
            <w:col w:w="3822"/>
          </w:cols>
        </w:sectPr>
      </w:pPr>
    </w:p>
    <w:p>
      <w:pPr>
        <w:pStyle w:val="BodyText"/>
        <w:spacing w:before="9"/>
        <w:rPr>
          <w:rFonts w:ascii="Times New Roman"/>
          <w:sz w:val="11"/>
        </w:rPr>
      </w:pPr>
    </w:p>
    <w:p>
      <w:pPr>
        <w:spacing w:after="0"/>
        <w:rPr>
          <w:rFonts w:ascii="Times New Roman"/>
          <w:sz w:val="11"/>
        </w:rPr>
        <w:sectPr>
          <w:type w:val="continuous"/>
          <w:pgSz w:w="12240" w:h="15840"/>
          <w:pgMar w:header="0" w:footer="0" w:top="1420" w:bottom="280" w:left="1120" w:right="1200"/>
        </w:sectPr>
      </w:pPr>
    </w:p>
    <w:p>
      <w:pPr>
        <w:spacing w:line="273" w:lineRule="auto" w:before="99"/>
        <w:ind w:left="1039" w:right="0" w:firstLine="0"/>
        <w:jc w:val="left"/>
        <w:rPr>
          <w:rFonts w:ascii="Times New Roman"/>
          <w:sz w:val="19"/>
        </w:rPr>
      </w:pPr>
      <w:r>
        <w:rPr>
          <w:rFonts w:ascii="Times New Roman"/>
          <w:w w:val="115"/>
          <w:sz w:val="19"/>
        </w:rPr>
        <w:t>Improve SOGI data collection efforts across state</w:t>
      </w:r>
      <w:r>
        <w:rPr>
          <w:rFonts w:ascii="Times New Roman"/>
          <w:spacing w:val="-5"/>
          <w:w w:val="115"/>
          <w:sz w:val="19"/>
        </w:rPr>
        <w:t> </w:t>
      </w:r>
      <w:r>
        <w:rPr>
          <w:rFonts w:ascii="Times New Roman"/>
          <w:w w:val="115"/>
          <w:sz w:val="19"/>
        </w:rPr>
        <w:t>services</w:t>
      </w:r>
      <w:r>
        <w:rPr>
          <w:rFonts w:ascii="Times New Roman"/>
          <w:spacing w:val="-5"/>
          <w:w w:val="115"/>
          <w:sz w:val="19"/>
        </w:rPr>
        <w:t> </w:t>
      </w:r>
      <w:r>
        <w:rPr>
          <w:rFonts w:ascii="Times New Roman"/>
          <w:w w:val="115"/>
          <w:sz w:val="19"/>
        </w:rPr>
        <w:t>as</w:t>
      </w:r>
      <w:r>
        <w:rPr>
          <w:rFonts w:ascii="Times New Roman"/>
          <w:spacing w:val="-5"/>
          <w:w w:val="115"/>
          <w:sz w:val="19"/>
        </w:rPr>
        <w:t> </w:t>
      </w:r>
      <w:r>
        <w:rPr>
          <w:rFonts w:ascii="Times New Roman"/>
          <w:w w:val="115"/>
          <w:sz w:val="19"/>
        </w:rPr>
        <w:t>it</w:t>
      </w:r>
      <w:r>
        <w:rPr>
          <w:rFonts w:ascii="Times New Roman"/>
          <w:spacing w:val="-5"/>
          <w:w w:val="115"/>
          <w:sz w:val="19"/>
        </w:rPr>
        <w:t> </w:t>
      </w:r>
      <w:r>
        <w:rPr>
          <w:rFonts w:ascii="Times New Roman"/>
          <w:w w:val="115"/>
          <w:sz w:val="19"/>
        </w:rPr>
        <w:t>relates</w:t>
      </w:r>
      <w:r>
        <w:rPr>
          <w:rFonts w:ascii="Times New Roman"/>
          <w:spacing w:val="-5"/>
          <w:w w:val="115"/>
          <w:sz w:val="19"/>
        </w:rPr>
        <w:t> </w:t>
      </w:r>
      <w:r>
        <w:rPr>
          <w:rFonts w:ascii="Times New Roman"/>
          <w:w w:val="115"/>
          <w:sz w:val="19"/>
        </w:rPr>
        <w:t>to</w:t>
      </w:r>
      <w:r>
        <w:rPr>
          <w:rFonts w:ascii="Times New Roman"/>
          <w:spacing w:val="-5"/>
          <w:w w:val="115"/>
          <w:sz w:val="19"/>
        </w:rPr>
        <w:t> </w:t>
      </w:r>
      <w:r>
        <w:rPr>
          <w:rFonts w:ascii="Times New Roman"/>
          <w:w w:val="115"/>
          <w:sz w:val="19"/>
        </w:rPr>
        <w:t>pregnancy</w:t>
      </w:r>
      <w:r>
        <w:rPr>
          <w:rFonts w:ascii="Times New Roman"/>
          <w:spacing w:val="-5"/>
          <w:w w:val="115"/>
          <w:sz w:val="19"/>
        </w:rPr>
        <w:t> </w:t>
      </w:r>
      <w:r>
        <w:rPr>
          <w:rFonts w:ascii="Times New Roman"/>
          <w:w w:val="115"/>
          <w:sz w:val="19"/>
        </w:rPr>
        <w:t>service needs and mortality rates.</w:t>
      </w:r>
    </w:p>
    <w:p>
      <w:pPr>
        <w:pStyle w:val="BodyText"/>
        <w:spacing w:before="79"/>
        <w:rPr>
          <w:rFonts w:ascii="Times New Roman"/>
          <w:sz w:val="19"/>
        </w:rPr>
      </w:pPr>
    </w:p>
    <w:p>
      <w:pPr>
        <w:spacing w:line="273" w:lineRule="auto" w:before="0"/>
        <w:ind w:left="1039" w:right="0" w:firstLine="0"/>
        <w:jc w:val="left"/>
        <w:rPr>
          <w:rFonts w:ascii="Times New Roman"/>
          <w:sz w:val="19"/>
        </w:rPr>
      </w:pPr>
      <w:r>
        <w:rPr>
          <w:rFonts w:ascii="Times New Roman"/>
          <w:w w:val="115"/>
          <w:sz w:val="19"/>
        </w:rPr>
        <w:t>Create and fund community birthing centers across</w:t>
      </w:r>
      <w:r>
        <w:rPr>
          <w:rFonts w:ascii="Times New Roman"/>
          <w:spacing w:val="-14"/>
          <w:w w:val="115"/>
          <w:sz w:val="19"/>
        </w:rPr>
        <w:t> </w:t>
      </w:r>
      <w:r>
        <w:rPr>
          <w:rFonts w:ascii="Times New Roman"/>
          <w:w w:val="115"/>
          <w:sz w:val="19"/>
        </w:rPr>
        <w:t>the</w:t>
      </w:r>
      <w:r>
        <w:rPr>
          <w:rFonts w:ascii="Times New Roman"/>
          <w:spacing w:val="-14"/>
          <w:w w:val="115"/>
          <w:sz w:val="19"/>
        </w:rPr>
        <w:t> </w:t>
      </w:r>
      <w:r>
        <w:rPr>
          <w:rFonts w:ascii="Times New Roman"/>
          <w:w w:val="115"/>
          <w:sz w:val="19"/>
        </w:rPr>
        <w:t>Commonwealth,</w:t>
      </w:r>
      <w:r>
        <w:rPr>
          <w:rFonts w:ascii="Times New Roman"/>
          <w:spacing w:val="-13"/>
          <w:w w:val="115"/>
          <w:sz w:val="19"/>
        </w:rPr>
        <w:t> </w:t>
      </w:r>
      <w:r>
        <w:rPr>
          <w:rFonts w:ascii="Times New Roman"/>
          <w:w w:val="115"/>
          <w:sz w:val="19"/>
        </w:rPr>
        <w:t>and</w:t>
      </w:r>
      <w:r>
        <w:rPr>
          <w:rFonts w:ascii="Times New Roman"/>
          <w:spacing w:val="-14"/>
          <w:w w:val="115"/>
          <w:sz w:val="19"/>
        </w:rPr>
        <w:t> </w:t>
      </w:r>
      <w:r>
        <w:rPr>
          <w:rFonts w:ascii="Times New Roman"/>
          <w:w w:val="115"/>
          <w:sz w:val="19"/>
        </w:rPr>
        <w:t>increase</w:t>
      </w:r>
      <w:r>
        <w:rPr>
          <w:rFonts w:ascii="Times New Roman"/>
          <w:spacing w:val="-14"/>
          <w:w w:val="115"/>
          <w:sz w:val="19"/>
        </w:rPr>
        <w:t> </w:t>
      </w:r>
      <w:r>
        <w:rPr>
          <w:rFonts w:ascii="Times New Roman"/>
          <w:w w:val="115"/>
          <w:sz w:val="19"/>
        </w:rPr>
        <w:t>access to culturally competent doula services.</w:t>
      </w:r>
    </w:p>
    <w:p>
      <w:pPr>
        <w:pStyle w:val="BodyText"/>
        <w:spacing w:before="76"/>
        <w:rPr>
          <w:rFonts w:ascii="Times New Roman"/>
          <w:sz w:val="19"/>
        </w:rPr>
      </w:pPr>
    </w:p>
    <w:p>
      <w:pPr>
        <w:spacing w:line="273" w:lineRule="auto" w:before="0"/>
        <w:ind w:left="1039" w:right="770" w:firstLine="0"/>
        <w:jc w:val="left"/>
        <w:rPr>
          <w:rFonts w:ascii="Times New Roman"/>
          <w:sz w:val="19"/>
        </w:rPr>
      </w:pPr>
      <w:r>
        <w:rPr>
          <w:rFonts w:ascii="Times New Roman"/>
          <w:w w:val="115"/>
          <w:sz w:val="19"/>
        </w:rPr>
        <w:t>Expand LGBTQ cultural awareness, anti-bias, and racial equity trainings for</w:t>
      </w:r>
      <w:r>
        <w:rPr>
          <w:rFonts w:ascii="Times New Roman"/>
          <w:spacing w:val="-13"/>
          <w:w w:val="115"/>
          <w:sz w:val="19"/>
        </w:rPr>
        <w:t> </w:t>
      </w:r>
      <w:r>
        <w:rPr>
          <w:rFonts w:ascii="Times New Roman"/>
          <w:w w:val="115"/>
          <w:sz w:val="19"/>
        </w:rPr>
        <w:t>public</w:t>
      </w:r>
      <w:r>
        <w:rPr>
          <w:rFonts w:ascii="Times New Roman"/>
          <w:spacing w:val="-13"/>
          <w:w w:val="115"/>
          <w:sz w:val="19"/>
        </w:rPr>
        <w:t> </w:t>
      </w:r>
      <w:r>
        <w:rPr>
          <w:rFonts w:ascii="Times New Roman"/>
          <w:w w:val="115"/>
          <w:sz w:val="19"/>
        </w:rPr>
        <w:t>hospital</w:t>
      </w:r>
      <w:r>
        <w:rPr>
          <w:rFonts w:ascii="Times New Roman"/>
          <w:spacing w:val="-13"/>
          <w:w w:val="115"/>
          <w:sz w:val="19"/>
        </w:rPr>
        <w:t> </w:t>
      </w:r>
      <w:r>
        <w:rPr>
          <w:rFonts w:ascii="Times New Roman"/>
          <w:w w:val="115"/>
          <w:sz w:val="19"/>
        </w:rPr>
        <w:t>providers</w:t>
      </w:r>
      <w:r>
        <w:rPr>
          <w:rFonts w:ascii="Times New Roman"/>
          <w:spacing w:val="-13"/>
          <w:w w:val="115"/>
          <w:sz w:val="19"/>
        </w:rPr>
        <w:t> </w:t>
      </w:r>
      <w:r>
        <w:rPr>
          <w:rFonts w:ascii="Times New Roman"/>
          <w:w w:val="115"/>
          <w:sz w:val="19"/>
        </w:rPr>
        <w:t>and</w:t>
      </w:r>
      <w:r>
        <w:rPr>
          <w:rFonts w:ascii="Times New Roman"/>
          <w:spacing w:val="-13"/>
          <w:w w:val="115"/>
          <w:sz w:val="19"/>
        </w:rPr>
        <w:t> </w:t>
      </w:r>
      <w:r>
        <w:rPr>
          <w:rFonts w:ascii="Times New Roman"/>
          <w:w w:val="115"/>
          <w:sz w:val="19"/>
        </w:rPr>
        <w:t>staff.</w:t>
      </w:r>
    </w:p>
    <w:p>
      <w:pPr>
        <w:spacing w:before="373"/>
        <w:ind w:left="1980" w:right="0" w:firstLine="0"/>
        <w:jc w:val="left"/>
        <w:rPr>
          <w:rFonts w:ascii="Verdana"/>
          <w:b/>
          <w:sz w:val="75"/>
        </w:rPr>
      </w:pPr>
      <w:r>
        <w:rPr/>
        <w:br w:type="column"/>
      </w:r>
      <w:r>
        <w:rPr>
          <w:rFonts w:ascii="Verdana"/>
          <w:b/>
          <w:emboss/>
          <w:color w:val="7B0085"/>
          <w:spacing w:val="19"/>
          <w:w w:val="85"/>
          <w:sz w:val="75"/>
        </w:rPr>
        <w:t>65%</w:t>
      </w:r>
    </w:p>
    <w:p>
      <w:pPr>
        <w:spacing w:line="266" w:lineRule="auto" w:before="59"/>
        <w:ind w:left="681" w:right="0" w:firstLine="0"/>
        <w:jc w:val="center"/>
        <w:rPr>
          <w:rFonts w:ascii="Times New Roman"/>
          <w:sz w:val="24"/>
        </w:rPr>
      </w:pPr>
      <w:r>
        <w:rPr>
          <w:rFonts w:ascii="Times New Roman"/>
          <w:w w:val="115"/>
          <w:sz w:val="24"/>
        </w:rPr>
        <w:t>of</w:t>
      </w:r>
      <w:r>
        <w:rPr>
          <w:rFonts w:ascii="Times New Roman"/>
          <w:spacing w:val="-12"/>
          <w:w w:val="115"/>
          <w:sz w:val="24"/>
        </w:rPr>
        <w:t> </w:t>
      </w:r>
      <w:r>
        <w:rPr>
          <w:rFonts w:ascii="Times New Roman"/>
          <w:w w:val="115"/>
          <w:sz w:val="24"/>
        </w:rPr>
        <w:t>LGBTQ</w:t>
      </w:r>
      <w:r>
        <w:rPr>
          <w:rFonts w:ascii="Times New Roman"/>
          <w:spacing w:val="-12"/>
          <w:w w:val="115"/>
          <w:sz w:val="24"/>
        </w:rPr>
        <w:t> </w:t>
      </w:r>
      <w:r>
        <w:rPr>
          <w:rFonts w:ascii="Times New Roman"/>
          <w:w w:val="115"/>
          <w:sz w:val="24"/>
        </w:rPr>
        <w:t>youth</w:t>
      </w:r>
      <w:r>
        <w:rPr>
          <w:rFonts w:ascii="Times New Roman"/>
          <w:spacing w:val="-12"/>
          <w:w w:val="115"/>
          <w:sz w:val="24"/>
        </w:rPr>
        <w:t> </w:t>
      </w:r>
      <w:r>
        <w:rPr>
          <w:rFonts w:ascii="Times New Roman"/>
          <w:w w:val="115"/>
          <w:sz w:val="24"/>
        </w:rPr>
        <w:t>expressed</w:t>
      </w:r>
      <w:r>
        <w:rPr>
          <w:rFonts w:ascii="Times New Roman"/>
          <w:spacing w:val="-12"/>
          <w:w w:val="115"/>
          <w:sz w:val="24"/>
        </w:rPr>
        <w:t> </w:t>
      </w:r>
      <w:r>
        <w:rPr>
          <w:rFonts w:ascii="Times New Roman"/>
          <w:w w:val="115"/>
          <w:sz w:val="24"/>
        </w:rPr>
        <w:t>that abortion restrictions and bans heighten</w:t>
      </w:r>
      <w:r>
        <w:rPr>
          <w:rFonts w:ascii="Times New Roman"/>
          <w:spacing w:val="-18"/>
          <w:w w:val="115"/>
          <w:sz w:val="24"/>
        </w:rPr>
        <w:t> </w:t>
      </w:r>
      <w:r>
        <w:rPr>
          <w:rFonts w:ascii="Times New Roman"/>
          <w:w w:val="115"/>
          <w:sz w:val="24"/>
        </w:rPr>
        <w:t>their</w:t>
      </w:r>
      <w:r>
        <w:rPr>
          <w:rFonts w:ascii="Times New Roman"/>
          <w:spacing w:val="-17"/>
          <w:w w:val="115"/>
          <w:sz w:val="24"/>
        </w:rPr>
        <w:t> </w:t>
      </w:r>
      <w:r>
        <w:rPr>
          <w:rFonts w:ascii="Times New Roman"/>
          <w:w w:val="115"/>
          <w:sz w:val="24"/>
        </w:rPr>
        <w:t>feelings</w:t>
      </w:r>
      <w:r>
        <w:rPr>
          <w:rFonts w:ascii="Times New Roman"/>
          <w:spacing w:val="-17"/>
          <w:w w:val="115"/>
          <w:sz w:val="24"/>
        </w:rPr>
        <w:t> </w:t>
      </w:r>
      <w:r>
        <w:rPr>
          <w:rFonts w:ascii="Times New Roman"/>
          <w:w w:val="115"/>
          <w:sz w:val="24"/>
        </w:rPr>
        <w:t>of</w:t>
      </w:r>
      <w:r>
        <w:rPr>
          <w:rFonts w:ascii="Times New Roman"/>
          <w:spacing w:val="-17"/>
          <w:w w:val="115"/>
          <w:sz w:val="24"/>
        </w:rPr>
        <w:t> </w:t>
      </w:r>
      <w:r>
        <w:rPr>
          <w:rFonts w:ascii="Times New Roman"/>
          <w:w w:val="115"/>
          <w:sz w:val="24"/>
        </w:rPr>
        <w:t>stress</w:t>
      </w:r>
      <w:r>
        <w:rPr>
          <w:rFonts w:ascii="Times New Roman"/>
          <w:spacing w:val="-18"/>
          <w:w w:val="115"/>
          <w:sz w:val="24"/>
        </w:rPr>
        <w:t> </w:t>
      </w:r>
      <w:r>
        <w:rPr>
          <w:rFonts w:ascii="Times New Roman"/>
          <w:w w:val="115"/>
          <w:sz w:val="24"/>
        </w:rPr>
        <w:t>and </w:t>
      </w:r>
      <w:r>
        <w:rPr>
          <w:rFonts w:ascii="Times New Roman"/>
          <w:spacing w:val="-2"/>
          <w:w w:val="115"/>
          <w:sz w:val="24"/>
        </w:rPr>
        <w:t>anxiety</w:t>
      </w:r>
    </w:p>
    <w:p>
      <w:pPr>
        <w:spacing w:after="0" w:line="266" w:lineRule="auto"/>
        <w:jc w:val="center"/>
        <w:rPr>
          <w:rFonts w:ascii="Times New Roman"/>
          <w:sz w:val="24"/>
        </w:rPr>
        <w:sectPr>
          <w:type w:val="continuous"/>
          <w:pgSz w:w="12240" w:h="15840"/>
          <w:pgMar w:header="0" w:footer="0" w:top="1420" w:bottom="280" w:left="1120" w:right="1200"/>
          <w:cols w:num="2" w:equalWidth="0">
            <w:col w:w="5136" w:space="40"/>
            <w:col w:w="4744"/>
          </w:cols>
        </w:sectPr>
      </w:pPr>
    </w:p>
    <w:p>
      <w:pPr>
        <w:pStyle w:val="BodyText"/>
        <w:rPr>
          <w:rFonts w:ascii="Times New Roman"/>
          <w:sz w:val="34"/>
        </w:rPr>
      </w:pPr>
      <w:r>
        <w:rPr/>
        <mc:AlternateContent>
          <mc:Choice Requires="wps">
            <w:drawing>
              <wp:anchor distT="0" distB="0" distL="0" distR="0" allowOverlap="1" layoutInCell="1" locked="0" behindDoc="1" simplePos="0" relativeHeight="482604032">
                <wp:simplePos x="0" y="0"/>
                <wp:positionH relativeFrom="page">
                  <wp:posOffset>0</wp:posOffset>
                </wp:positionH>
                <wp:positionV relativeFrom="page">
                  <wp:posOffset>0</wp:posOffset>
                </wp:positionV>
                <wp:extent cx="7772400" cy="1005840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7772400" cy="10058400"/>
                          <a:chExt cx="7772400" cy="10058400"/>
                        </a:xfrm>
                      </wpg:grpSpPr>
                      <pic:pic>
                        <pic:nvPicPr>
                          <pic:cNvPr id="300" name="Image 300"/>
                          <pic:cNvPicPr/>
                        </pic:nvPicPr>
                        <pic:blipFill>
                          <a:blip r:embed="rId384" cstate="print"/>
                          <a:stretch>
                            <a:fillRect/>
                          </a:stretch>
                        </pic:blipFill>
                        <pic:spPr>
                          <a:xfrm>
                            <a:off x="0" y="0"/>
                            <a:ext cx="7772400" cy="3022921"/>
                          </a:xfrm>
                          <a:prstGeom prst="rect">
                            <a:avLst/>
                          </a:prstGeom>
                        </pic:spPr>
                      </pic:pic>
                      <pic:pic>
                        <pic:nvPicPr>
                          <pic:cNvPr id="301" name="Image 301"/>
                          <pic:cNvPicPr/>
                        </pic:nvPicPr>
                        <pic:blipFill>
                          <a:blip r:embed="rId98" cstate="print"/>
                          <a:stretch>
                            <a:fillRect/>
                          </a:stretch>
                        </pic:blipFill>
                        <pic:spPr>
                          <a:xfrm>
                            <a:off x="4978373" y="735421"/>
                            <a:ext cx="1480888" cy="1480632"/>
                          </a:xfrm>
                          <a:prstGeom prst="rect">
                            <a:avLst/>
                          </a:prstGeom>
                        </pic:spPr>
                      </pic:pic>
                      <wps:wsp>
                        <wps:cNvPr id="302" name="Graphic 302"/>
                        <wps:cNvSpPr/>
                        <wps:spPr>
                          <a:xfrm>
                            <a:off x="4964628"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303" name="Graphic 303"/>
                        <wps:cNvSpPr/>
                        <wps:spPr>
                          <a:xfrm>
                            <a:off x="661415" y="8198448"/>
                            <a:ext cx="3474085" cy="1172210"/>
                          </a:xfrm>
                          <a:custGeom>
                            <a:avLst/>
                            <a:gdLst/>
                            <a:ahLst/>
                            <a:cxnLst/>
                            <a:rect l="l" t="t" r="r" b="b"/>
                            <a:pathLst>
                              <a:path w="3474085" h="1172210">
                                <a:moveTo>
                                  <a:pt x="3113779" y="1171707"/>
                                </a:moveTo>
                                <a:lnTo>
                                  <a:pt x="361949" y="1171707"/>
                                </a:lnTo>
                                <a:lnTo>
                                  <a:pt x="312835" y="1168403"/>
                                </a:lnTo>
                                <a:lnTo>
                                  <a:pt x="265729" y="1158778"/>
                                </a:lnTo>
                                <a:lnTo>
                                  <a:pt x="221062" y="1143264"/>
                                </a:lnTo>
                                <a:lnTo>
                                  <a:pt x="179266" y="1122291"/>
                                </a:lnTo>
                                <a:lnTo>
                                  <a:pt x="140773" y="1096291"/>
                                </a:lnTo>
                                <a:lnTo>
                                  <a:pt x="106012" y="1065695"/>
                                </a:lnTo>
                                <a:lnTo>
                                  <a:pt x="75416" y="1030934"/>
                                </a:lnTo>
                                <a:lnTo>
                                  <a:pt x="49416" y="992441"/>
                                </a:lnTo>
                                <a:lnTo>
                                  <a:pt x="28443" y="950645"/>
                                </a:lnTo>
                                <a:lnTo>
                                  <a:pt x="12929" y="905978"/>
                                </a:lnTo>
                                <a:lnTo>
                                  <a:pt x="3304" y="858872"/>
                                </a:lnTo>
                                <a:lnTo>
                                  <a:pt x="0" y="809757"/>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9" y="0"/>
                                </a:lnTo>
                                <a:lnTo>
                                  <a:pt x="3162893" y="3304"/>
                                </a:lnTo>
                                <a:lnTo>
                                  <a:pt x="3209999" y="12929"/>
                                </a:lnTo>
                                <a:lnTo>
                                  <a:pt x="3254666" y="28443"/>
                                </a:lnTo>
                                <a:lnTo>
                                  <a:pt x="3296461" y="49416"/>
                                </a:lnTo>
                                <a:lnTo>
                                  <a:pt x="3334955" y="75416"/>
                                </a:lnTo>
                                <a:lnTo>
                                  <a:pt x="3369716" y="106012"/>
                                </a:lnTo>
                                <a:lnTo>
                                  <a:pt x="3400311" y="140773"/>
                                </a:lnTo>
                                <a:lnTo>
                                  <a:pt x="3426311" y="179266"/>
                                </a:lnTo>
                                <a:lnTo>
                                  <a:pt x="3447284" y="221062"/>
                                </a:lnTo>
                                <a:lnTo>
                                  <a:pt x="3462799" y="265729"/>
                                </a:lnTo>
                                <a:lnTo>
                                  <a:pt x="3472424" y="312835"/>
                                </a:lnTo>
                                <a:lnTo>
                                  <a:pt x="3473930" y="335226"/>
                                </a:lnTo>
                                <a:lnTo>
                                  <a:pt x="3473930" y="836481"/>
                                </a:lnTo>
                                <a:lnTo>
                                  <a:pt x="3462799" y="905978"/>
                                </a:lnTo>
                                <a:lnTo>
                                  <a:pt x="3447284" y="950645"/>
                                </a:lnTo>
                                <a:lnTo>
                                  <a:pt x="3426311" y="992441"/>
                                </a:lnTo>
                                <a:lnTo>
                                  <a:pt x="3400311" y="1030934"/>
                                </a:lnTo>
                                <a:lnTo>
                                  <a:pt x="3369716" y="1065695"/>
                                </a:lnTo>
                                <a:lnTo>
                                  <a:pt x="3334955" y="1096291"/>
                                </a:lnTo>
                                <a:lnTo>
                                  <a:pt x="3296461" y="1122291"/>
                                </a:lnTo>
                                <a:lnTo>
                                  <a:pt x="3254666" y="1143264"/>
                                </a:lnTo>
                                <a:lnTo>
                                  <a:pt x="3209999" y="1158778"/>
                                </a:lnTo>
                                <a:lnTo>
                                  <a:pt x="3162893" y="1168403"/>
                                </a:lnTo>
                                <a:lnTo>
                                  <a:pt x="3113779" y="1171707"/>
                                </a:lnTo>
                                <a:close/>
                              </a:path>
                            </a:pathLst>
                          </a:custGeom>
                          <a:solidFill>
                            <a:srgbClr val="DEC7EB">
                              <a:alpha val="55999"/>
                            </a:srgbClr>
                          </a:solidFill>
                        </wps:spPr>
                        <wps:bodyPr wrap="square" lIns="0" tIns="0" rIns="0" bIns="0" rtlCol="0">
                          <a:prstTxWarp prst="textNoShape">
                            <a:avLst/>
                          </a:prstTxWarp>
                          <a:noAutofit/>
                        </wps:bodyPr>
                      </wps:wsp>
                      <wps:wsp>
                        <wps:cNvPr id="304" name="Graphic 304"/>
                        <wps:cNvSpPr/>
                        <wps:spPr>
                          <a:xfrm>
                            <a:off x="4356886" y="4376635"/>
                            <a:ext cx="771525" cy="28575"/>
                          </a:xfrm>
                          <a:custGeom>
                            <a:avLst/>
                            <a:gdLst/>
                            <a:ahLst/>
                            <a:cxnLst/>
                            <a:rect l="l" t="t" r="r" b="b"/>
                            <a:pathLst>
                              <a:path w="771525" h="28575">
                                <a:moveTo>
                                  <a:pt x="85725" y="0"/>
                                </a:moveTo>
                                <a:lnTo>
                                  <a:pt x="0" y="0"/>
                                </a:lnTo>
                                <a:lnTo>
                                  <a:pt x="0" y="28575"/>
                                </a:lnTo>
                                <a:lnTo>
                                  <a:pt x="85725" y="28575"/>
                                </a:lnTo>
                                <a:lnTo>
                                  <a:pt x="85725" y="0"/>
                                </a:lnTo>
                                <a:close/>
                              </a:path>
                              <a:path w="771525" h="28575">
                                <a:moveTo>
                                  <a:pt x="200025" y="0"/>
                                </a:moveTo>
                                <a:lnTo>
                                  <a:pt x="114300" y="0"/>
                                </a:lnTo>
                                <a:lnTo>
                                  <a:pt x="114300" y="28575"/>
                                </a:lnTo>
                                <a:lnTo>
                                  <a:pt x="200025" y="28575"/>
                                </a:lnTo>
                                <a:lnTo>
                                  <a:pt x="200025" y="0"/>
                                </a:lnTo>
                                <a:close/>
                              </a:path>
                              <a:path w="771525" h="28575">
                                <a:moveTo>
                                  <a:pt x="314325" y="0"/>
                                </a:moveTo>
                                <a:lnTo>
                                  <a:pt x="228600" y="0"/>
                                </a:lnTo>
                                <a:lnTo>
                                  <a:pt x="228600" y="28575"/>
                                </a:lnTo>
                                <a:lnTo>
                                  <a:pt x="314325" y="28575"/>
                                </a:lnTo>
                                <a:lnTo>
                                  <a:pt x="314325" y="0"/>
                                </a:lnTo>
                                <a:close/>
                              </a:path>
                              <a:path w="771525" h="28575">
                                <a:moveTo>
                                  <a:pt x="428625" y="0"/>
                                </a:moveTo>
                                <a:lnTo>
                                  <a:pt x="342900" y="0"/>
                                </a:lnTo>
                                <a:lnTo>
                                  <a:pt x="342900" y="28575"/>
                                </a:lnTo>
                                <a:lnTo>
                                  <a:pt x="428625" y="28575"/>
                                </a:lnTo>
                                <a:lnTo>
                                  <a:pt x="428625" y="0"/>
                                </a:lnTo>
                                <a:close/>
                              </a:path>
                              <a:path w="771525" h="28575">
                                <a:moveTo>
                                  <a:pt x="542925" y="0"/>
                                </a:moveTo>
                                <a:lnTo>
                                  <a:pt x="457200" y="0"/>
                                </a:lnTo>
                                <a:lnTo>
                                  <a:pt x="457200" y="28575"/>
                                </a:lnTo>
                                <a:lnTo>
                                  <a:pt x="542925" y="28575"/>
                                </a:lnTo>
                                <a:lnTo>
                                  <a:pt x="542925" y="0"/>
                                </a:lnTo>
                                <a:close/>
                              </a:path>
                              <a:path w="771525" h="28575">
                                <a:moveTo>
                                  <a:pt x="657225" y="0"/>
                                </a:moveTo>
                                <a:lnTo>
                                  <a:pt x="571500" y="0"/>
                                </a:lnTo>
                                <a:lnTo>
                                  <a:pt x="571500" y="28575"/>
                                </a:lnTo>
                                <a:lnTo>
                                  <a:pt x="657225" y="28575"/>
                                </a:lnTo>
                                <a:lnTo>
                                  <a:pt x="657225" y="0"/>
                                </a:lnTo>
                                <a:close/>
                              </a:path>
                              <a:path w="771525" h="28575">
                                <a:moveTo>
                                  <a:pt x="771525" y="0"/>
                                </a:moveTo>
                                <a:lnTo>
                                  <a:pt x="685800" y="0"/>
                                </a:lnTo>
                                <a:lnTo>
                                  <a:pt x="685800" y="28575"/>
                                </a:lnTo>
                                <a:lnTo>
                                  <a:pt x="771525" y="28575"/>
                                </a:lnTo>
                                <a:lnTo>
                                  <a:pt x="771525" y="0"/>
                                </a:lnTo>
                                <a:close/>
                              </a:path>
                            </a:pathLst>
                          </a:custGeom>
                          <a:solidFill>
                            <a:srgbClr val="001389"/>
                          </a:solidFill>
                        </wps:spPr>
                        <wps:bodyPr wrap="square" lIns="0" tIns="0" rIns="0" bIns="0" rtlCol="0">
                          <a:prstTxWarp prst="textNoShape">
                            <a:avLst/>
                          </a:prstTxWarp>
                          <a:noAutofit/>
                        </wps:bodyPr>
                      </wps:wsp>
                      <pic:pic>
                        <pic:nvPicPr>
                          <pic:cNvPr id="305" name="Image 305"/>
                          <pic:cNvPicPr/>
                        </pic:nvPicPr>
                        <pic:blipFill>
                          <a:blip r:embed="rId385" cstate="print"/>
                          <a:stretch>
                            <a:fillRect/>
                          </a:stretch>
                        </pic:blipFill>
                        <pic:spPr>
                          <a:xfrm>
                            <a:off x="655210" y="2933569"/>
                            <a:ext cx="3754678" cy="5157442"/>
                          </a:xfrm>
                          <a:prstGeom prst="rect">
                            <a:avLst/>
                          </a:prstGeom>
                        </pic:spPr>
                      </pic:pic>
                      <wps:wsp>
                        <wps:cNvPr id="306" name="Graphic 306"/>
                        <wps:cNvSpPr/>
                        <wps:spPr>
                          <a:xfrm>
                            <a:off x="5156986" y="4376635"/>
                            <a:ext cx="1973580" cy="28575"/>
                          </a:xfrm>
                          <a:custGeom>
                            <a:avLst/>
                            <a:gdLst/>
                            <a:ahLst/>
                            <a:cxnLst/>
                            <a:rect l="l" t="t" r="r" b="b"/>
                            <a:pathLst>
                              <a:path w="1973580" h="28575">
                                <a:moveTo>
                                  <a:pt x="85725" y="0"/>
                                </a:moveTo>
                                <a:lnTo>
                                  <a:pt x="0" y="0"/>
                                </a:lnTo>
                                <a:lnTo>
                                  <a:pt x="0" y="28575"/>
                                </a:lnTo>
                                <a:lnTo>
                                  <a:pt x="85725" y="28575"/>
                                </a:lnTo>
                                <a:lnTo>
                                  <a:pt x="85725" y="0"/>
                                </a:lnTo>
                                <a:close/>
                              </a:path>
                              <a:path w="1973580" h="28575">
                                <a:moveTo>
                                  <a:pt x="200025" y="0"/>
                                </a:moveTo>
                                <a:lnTo>
                                  <a:pt x="114300" y="0"/>
                                </a:lnTo>
                                <a:lnTo>
                                  <a:pt x="114300" y="28575"/>
                                </a:lnTo>
                                <a:lnTo>
                                  <a:pt x="200025" y="28575"/>
                                </a:lnTo>
                                <a:lnTo>
                                  <a:pt x="200025" y="0"/>
                                </a:lnTo>
                                <a:close/>
                              </a:path>
                              <a:path w="1973580" h="28575">
                                <a:moveTo>
                                  <a:pt x="314325" y="0"/>
                                </a:moveTo>
                                <a:lnTo>
                                  <a:pt x="228600" y="0"/>
                                </a:lnTo>
                                <a:lnTo>
                                  <a:pt x="228600" y="28575"/>
                                </a:lnTo>
                                <a:lnTo>
                                  <a:pt x="314325" y="28575"/>
                                </a:lnTo>
                                <a:lnTo>
                                  <a:pt x="314325" y="0"/>
                                </a:lnTo>
                                <a:close/>
                              </a:path>
                              <a:path w="1973580" h="28575">
                                <a:moveTo>
                                  <a:pt x="428625" y="0"/>
                                </a:moveTo>
                                <a:lnTo>
                                  <a:pt x="342900" y="0"/>
                                </a:lnTo>
                                <a:lnTo>
                                  <a:pt x="342900" y="28575"/>
                                </a:lnTo>
                                <a:lnTo>
                                  <a:pt x="428625" y="28575"/>
                                </a:lnTo>
                                <a:lnTo>
                                  <a:pt x="428625" y="0"/>
                                </a:lnTo>
                                <a:close/>
                              </a:path>
                              <a:path w="1973580" h="28575">
                                <a:moveTo>
                                  <a:pt x="542925" y="0"/>
                                </a:moveTo>
                                <a:lnTo>
                                  <a:pt x="457200" y="0"/>
                                </a:lnTo>
                                <a:lnTo>
                                  <a:pt x="457200" y="28575"/>
                                </a:lnTo>
                                <a:lnTo>
                                  <a:pt x="542925" y="28575"/>
                                </a:lnTo>
                                <a:lnTo>
                                  <a:pt x="542925" y="0"/>
                                </a:lnTo>
                                <a:close/>
                              </a:path>
                              <a:path w="1973580" h="28575">
                                <a:moveTo>
                                  <a:pt x="657225" y="0"/>
                                </a:moveTo>
                                <a:lnTo>
                                  <a:pt x="571500" y="0"/>
                                </a:lnTo>
                                <a:lnTo>
                                  <a:pt x="571500" y="28575"/>
                                </a:lnTo>
                                <a:lnTo>
                                  <a:pt x="657225" y="28575"/>
                                </a:lnTo>
                                <a:lnTo>
                                  <a:pt x="657225" y="0"/>
                                </a:lnTo>
                                <a:close/>
                              </a:path>
                              <a:path w="1973580" h="28575">
                                <a:moveTo>
                                  <a:pt x="771525" y="0"/>
                                </a:moveTo>
                                <a:lnTo>
                                  <a:pt x="685800" y="0"/>
                                </a:lnTo>
                                <a:lnTo>
                                  <a:pt x="685800" y="28575"/>
                                </a:lnTo>
                                <a:lnTo>
                                  <a:pt x="771525" y="28575"/>
                                </a:lnTo>
                                <a:lnTo>
                                  <a:pt x="771525" y="0"/>
                                </a:lnTo>
                                <a:close/>
                              </a:path>
                              <a:path w="1973580" h="28575">
                                <a:moveTo>
                                  <a:pt x="885825" y="0"/>
                                </a:moveTo>
                                <a:lnTo>
                                  <a:pt x="800100" y="0"/>
                                </a:lnTo>
                                <a:lnTo>
                                  <a:pt x="800100" y="28575"/>
                                </a:lnTo>
                                <a:lnTo>
                                  <a:pt x="885825" y="28575"/>
                                </a:lnTo>
                                <a:lnTo>
                                  <a:pt x="885825" y="0"/>
                                </a:lnTo>
                                <a:close/>
                              </a:path>
                              <a:path w="1973580" h="28575">
                                <a:moveTo>
                                  <a:pt x="1000125" y="0"/>
                                </a:moveTo>
                                <a:lnTo>
                                  <a:pt x="914400" y="0"/>
                                </a:lnTo>
                                <a:lnTo>
                                  <a:pt x="914400" y="28575"/>
                                </a:lnTo>
                                <a:lnTo>
                                  <a:pt x="1000125" y="28575"/>
                                </a:lnTo>
                                <a:lnTo>
                                  <a:pt x="1000125" y="0"/>
                                </a:lnTo>
                                <a:close/>
                              </a:path>
                              <a:path w="1973580" h="28575">
                                <a:moveTo>
                                  <a:pt x="1114425" y="0"/>
                                </a:moveTo>
                                <a:lnTo>
                                  <a:pt x="1028700" y="0"/>
                                </a:lnTo>
                                <a:lnTo>
                                  <a:pt x="1028700" y="28575"/>
                                </a:lnTo>
                                <a:lnTo>
                                  <a:pt x="1114425" y="28575"/>
                                </a:lnTo>
                                <a:lnTo>
                                  <a:pt x="1114425" y="0"/>
                                </a:lnTo>
                                <a:close/>
                              </a:path>
                              <a:path w="1973580" h="28575">
                                <a:moveTo>
                                  <a:pt x="1228725" y="0"/>
                                </a:moveTo>
                                <a:lnTo>
                                  <a:pt x="1143000" y="0"/>
                                </a:lnTo>
                                <a:lnTo>
                                  <a:pt x="1143000" y="28575"/>
                                </a:lnTo>
                                <a:lnTo>
                                  <a:pt x="1228725" y="28575"/>
                                </a:lnTo>
                                <a:lnTo>
                                  <a:pt x="1228725" y="0"/>
                                </a:lnTo>
                                <a:close/>
                              </a:path>
                              <a:path w="1973580" h="28575">
                                <a:moveTo>
                                  <a:pt x="1343025" y="0"/>
                                </a:moveTo>
                                <a:lnTo>
                                  <a:pt x="1257300" y="0"/>
                                </a:lnTo>
                                <a:lnTo>
                                  <a:pt x="1257300" y="28575"/>
                                </a:lnTo>
                                <a:lnTo>
                                  <a:pt x="1343025" y="28575"/>
                                </a:lnTo>
                                <a:lnTo>
                                  <a:pt x="1343025" y="0"/>
                                </a:lnTo>
                                <a:close/>
                              </a:path>
                              <a:path w="1973580" h="28575">
                                <a:moveTo>
                                  <a:pt x="1457325" y="0"/>
                                </a:moveTo>
                                <a:lnTo>
                                  <a:pt x="1371600" y="0"/>
                                </a:lnTo>
                                <a:lnTo>
                                  <a:pt x="1371600" y="28575"/>
                                </a:lnTo>
                                <a:lnTo>
                                  <a:pt x="1457325" y="28575"/>
                                </a:lnTo>
                                <a:lnTo>
                                  <a:pt x="1457325" y="0"/>
                                </a:lnTo>
                                <a:close/>
                              </a:path>
                              <a:path w="1973580" h="28575">
                                <a:moveTo>
                                  <a:pt x="1571625" y="0"/>
                                </a:moveTo>
                                <a:lnTo>
                                  <a:pt x="1485900" y="0"/>
                                </a:lnTo>
                                <a:lnTo>
                                  <a:pt x="1485900" y="28575"/>
                                </a:lnTo>
                                <a:lnTo>
                                  <a:pt x="1571625" y="28575"/>
                                </a:lnTo>
                                <a:lnTo>
                                  <a:pt x="1571625" y="0"/>
                                </a:lnTo>
                                <a:close/>
                              </a:path>
                              <a:path w="1973580" h="28575">
                                <a:moveTo>
                                  <a:pt x="1685925" y="0"/>
                                </a:moveTo>
                                <a:lnTo>
                                  <a:pt x="1600200" y="0"/>
                                </a:lnTo>
                                <a:lnTo>
                                  <a:pt x="1600200" y="28575"/>
                                </a:lnTo>
                                <a:lnTo>
                                  <a:pt x="1685925" y="28575"/>
                                </a:lnTo>
                                <a:lnTo>
                                  <a:pt x="1685925" y="0"/>
                                </a:lnTo>
                                <a:close/>
                              </a:path>
                              <a:path w="1973580" h="28575">
                                <a:moveTo>
                                  <a:pt x="1800225" y="0"/>
                                </a:moveTo>
                                <a:lnTo>
                                  <a:pt x="1714500" y="0"/>
                                </a:lnTo>
                                <a:lnTo>
                                  <a:pt x="1714500" y="28575"/>
                                </a:lnTo>
                                <a:lnTo>
                                  <a:pt x="1800225" y="28575"/>
                                </a:lnTo>
                                <a:lnTo>
                                  <a:pt x="1800225" y="0"/>
                                </a:lnTo>
                                <a:close/>
                              </a:path>
                              <a:path w="1973580" h="28575">
                                <a:moveTo>
                                  <a:pt x="1914525" y="0"/>
                                </a:moveTo>
                                <a:lnTo>
                                  <a:pt x="1828800" y="0"/>
                                </a:lnTo>
                                <a:lnTo>
                                  <a:pt x="1828800" y="28575"/>
                                </a:lnTo>
                                <a:lnTo>
                                  <a:pt x="1914525" y="28575"/>
                                </a:lnTo>
                                <a:lnTo>
                                  <a:pt x="1914525" y="0"/>
                                </a:lnTo>
                                <a:close/>
                              </a:path>
                              <a:path w="1973580" h="28575">
                                <a:moveTo>
                                  <a:pt x="1973491" y="0"/>
                                </a:moveTo>
                                <a:lnTo>
                                  <a:pt x="1943100" y="0"/>
                                </a:lnTo>
                                <a:lnTo>
                                  <a:pt x="1943100" y="28575"/>
                                </a:lnTo>
                                <a:lnTo>
                                  <a:pt x="1973491" y="28575"/>
                                </a:lnTo>
                                <a:lnTo>
                                  <a:pt x="1973491" y="0"/>
                                </a:lnTo>
                                <a:close/>
                              </a:path>
                            </a:pathLst>
                          </a:custGeom>
                          <a:solidFill>
                            <a:srgbClr val="001389"/>
                          </a:solidFill>
                        </wps:spPr>
                        <wps:bodyPr wrap="square" lIns="0" tIns="0" rIns="0" bIns="0" rtlCol="0">
                          <a:prstTxWarp prst="textNoShape">
                            <a:avLst/>
                          </a:prstTxWarp>
                          <a:noAutofit/>
                        </wps:bodyPr>
                      </wps:wsp>
                      <wps:wsp>
                        <wps:cNvPr id="307" name="Graphic 307"/>
                        <wps:cNvSpPr/>
                        <wps:spPr>
                          <a:xfrm>
                            <a:off x="4356887" y="5906223"/>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pic:pic>
                        <pic:nvPicPr>
                          <pic:cNvPr id="308" name="Image 308"/>
                          <pic:cNvPicPr/>
                        </pic:nvPicPr>
                        <pic:blipFill>
                          <a:blip r:embed="rId386" cstate="print"/>
                          <a:stretch>
                            <a:fillRect/>
                          </a:stretch>
                        </pic:blipFill>
                        <pic:spPr>
                          <a:xfrm>
                            <a:off x="3574814" y="7204746"/>
                            <a:ext cx="1066799" cy="1133474"/>
                          </a:xfrm>
                          <a:prstGeom prst="rect">
                            <a:avLst/>
                          </a:prstGeom>
                        </pic:spPr>
                      </pic:pic>
                      <pic:pic>
                        <pic:nvPicPr>
                          <pic:cNvPr id="309" name="Image 309"/>
                          <pic:cNvPicPr/>
                        </pic:nvPicPr>
                        <pic:blipFill>
                          <a:blip r:embed="rId387" cstate="print"/>
                          <a:stretch>
                            <a:fillRect/>
                          </a:stretch>
                        </pic:blipFill>
                        <pic:spPr>
                          <a:xfrm>
                            <a:off x="4769367" y="7635854"/>
                            <a:ext cx="3003032" cy="2422545"/>
                          </a:xfrm>
                          <a:prstGeom prst="rect">
                            <a:avLst/>
                          </a:prstGeom>
                        </pic:spPr>
                      </pic:pic>
                      <pic:pic>
                        <pic:nvPicPr>
                          <pic:cNvPr id="310" name="Image 310"/>
                          <pic:cNvPicPr/>
                        </pic:nvPicPr>
                        <pic:blipFill>
                          <a:blip r:embed="rId388" cstate="print"/>
                          <a:stretch>
                            <a:fillRect/>
                          </a:stretch>
                        </pic:blipFill>
                        <pic:spPr>
                          <a:xfrm>
                            <a:off x="6671809" y="4127617"/>
                            <a:ext cx="768071" cy="975198"/>
                          </a:xfrm>
                          <a:prstGeom prst="rect">
                            <a:avLst/>
                          </a:prstGeom>
                        </pic:spPr>
                      </pic:pic>
                      <wps:wsp>
                        <wps:cNvPr id="311" name="Graphic 311"/>
                        <wps:cNvSpPr/>
                        <wps:spPr>
                          <a:xfrm>
                            <a:off x="809687" y="7192695"/>
                            <a:ext cx="494665" cy="494665"/>
                          </a:xfrm>
                          <a:custGeom>
                            <a:avLst/>
                            <a:gdLst/>
                            <a:ahLst/>
                            <a:cxnLst/>
                            <a:rect l="l" t="t" r="r" b="b"/>
                            <a:pathLst>
                              <a:path w="494665" h="494665">
                                <a:moveTo>
                                  <a:pt x="467690" y="239890"/>
                                </a:moveTo>
                                <a:lnTo>
                                  <a:pt x="462038" y="197002"/>
                                </a:lnTo>
                                <a:lnTo>
                                  <a:pt x="448132" y="156032"/>
                                </a:lnTo>
                                <a:lnTo>
                                  <a:pt x="426504" y="118579"/>
                                </a:lnTo>
                                <a:lnTo>
                                  <a:pt x="397979" y="86055"/>
                                </a:lnTo>
                                <a:lnTo>
                                  <a:pt x="363664" y="59715"/>
                                </a:lnTo>
                                <a:lnTo>
                                  <a:pt x="324866" y="40589"/>
                                </a:lnTo>
                                <a:lnTo>
                                  <a:pt x="283083" y="29387"/>
                                </a:lnTo>
                                <a:lnTo>
                                  <a:pt x="254355" y="26568"/>
                                </a:lnTo>
                                <a:lnTo>
                                  <a:pt x="239915" y="26568"/>
                                </a:lnTo>
                                <a:lnTo>
                                  <a:pt x="197027" y="32207"/>
                                </a:lnTo>
                                <a:lnTo>
                                  <a:pt x="156070" y="46113"/>
                                </a:lnTo>
                                <a:lnTo>
                                  <a:pt x="118605" y="67741"/>
                                </a:lnTo>
                                <a:lnTo>
                                  <a:pt x="86080" y="96266"/>
                                </a:lnTo>
                                <a:lnTo>
                                  <a:pt x="59740" y="130581"/>
                                </a:lnTo>
                                <a:lnTo>
                                  <a:pt x="40614" y="169379"/>
                                </a:lnTo>
                                <a:lnTo>
                                  <a:pt x="29413" y="211175"/>
                                </a:lnTo>
                                <a:lnTo>
                                  <a:pt x="26593" y="239890"/>
                                </a:lnTo>
                                <a:lnTo>
                                  <a:pt x="26593" y="254330"/>
                                </a:lnTo>
                                <a:lnTo>
                                  <a:pt x="32232" y="297218"/>
                                </a:lnTo>
                                <a:lnTo>
                                  <a:pt x="46139" y="338188"/>
                                </a:lnTo>
                                <a:lnTo>
                                  <a:pt x="67767" y="375653"/>
                                </a:lnTo>
                                <a:lnTo>
                                  <a:pt x="96291" y="408165"/>
                                </a:lnTo>
                                <a:lnTo>
                                  <a:pt x="130619" y="434505"/>
                                </a:lnTo>
                                <a:lnTo>
                                  <a:pt x="169405" y="453631"/>
                                </a:lnTo>
                                <a:lnTo>
                                  <a:pt x="211201" y="464832"/>
                                </a:lnTo>
                                <a:lnTo>
                                  <a:pt x="239915" y="467664"/>
                                </a:lnTo>
                                <a:lnTo>
                                  <a:pt x="254355" y="467664"/>
                                </a:lnTo>
                                <a:lnTo>
                                  <a:pt x="297243" y="462013"/>
                                </a:lnTo>
                                <a:lnTo>
                                  <a:pt x="338213" y="448106"/>
                                </a:lnTo>
                                <a:lnTo>
                                  <a:pt x="375678" y="426478"/>
                                </a:lnTo>
                                <a:lnTo>
                                  <a:pt x="408190" y="397954"/>
                                </a:lnTo>
                                <a:lnTo>
                                  <a:pt x="434530" y="363639"/>
                                </a:lnTo>
                                <a:lnTo>
                                  <a:pt x="453656" y="324840"/>
                                </a:lnTo>
                                <a:lnTo>
                                  <a:pt x="464858" y="283057"/>
                                </a:lnTo>
                                <a:lnTo>
                                  <a:pt x="467690" y="254330"/>
                                </a:lnTo>
                                <a:lnTo>
                                  <a:pt x="467690" y="247116"/>
                                </a:lnTo>
                                <a:lnTo>
                                  <a:pt x="467690" y="239890"/>
                                </a:lnTo>
                                <a:close/>
                              </a:path>
                              <a:path w="494665" h="494665">
                                <a:moveTo>
                                  <a:pt x="494258" y="247116"/>
                                </a:moveTo>
                                <a:lnTo>
                                  <a:pt x="489229" y="197370"/>
                                </a:lnTo>
                                <a:lnTo>
                                  <a:pt x="477316" y="159105"/>
                                </a:lnTo>
                                <a:lnTo>
                                  <a:pt x="477316" y="247116"/>
                                </a:lnTo>
                                <a:lnTo>
                                  <a:pt x="472630" y="293446"/>
                                </a:lnTo>
                                <a:lnTo>
                                  <a:pt x="459206" y="336626"/>
                                </a:lnTo>
                                <a:lnTo>
                                  <a:pt x="437959" y="375729"/>
                                </a:lnTo>
                                <a:lnTo>
                                  <a:pt x="409829" y="409803"/>
                                </a:lnTo>
                                <a:lnTo>
                                  <a:pt x="375742" y="437934"/>
                                </a:lnTo>
                                <a:lnTo>
                                  <a:pt x="336638" y="459181"/>
                                </a:lnTo>
                                <a:lnTo>
                                  <a:pt x="293458" y="472617"/>
                                </a:lnTo>
                                <a:lnTo>
                                  <a:pt x="247116" y="477304"/>
                                </a:lnTo>
                                <a:lnTo>
                                  <a:pt x="200787" y="472617"/>
                                </a:lnTo>
                                <a:lnTo>
                                  <a:pt x="157619" y="459181"/>
                                </a:lnTo>
                                <a:lnTo>
                                  <a:pt x="118516" y="437934"/>
                                </a:lnTo>
                                <a:lnTo>
                                  <a:pt x="84442" y="409803"/>
                                </a:lnTo>
                                <a:lnTo>
                                  <a:pt x="56311" y="375729"/>
                                </a:lnTo>
                                <a:lnTo>
                                  <a:pt x="35052" y="336626"/>
                                </a:lnTo>
                                <a:lnTo>
                                  <a:pt x="21628" y="293446"/>
                                </a:lnTo>
                                <a:lnTo>
                                  <a:pt x="16941" y="247116"/>
                                </a:lnTo>
                                <a:lnTo>
                                  <a:pt x="21628" y="200787"/>
                                </a:lnTo>
                                <a:lnTo>
                                  <a:pt x="35052" y="157607"/>
                                </a:lnTo>
                                <a:lnTo>
                                  <a:pt x="56299" y="118516"/>
                                </a:lnTo>
                                <a:lnTo>
                                  <a:pt x="84442" y="84429"/>
                                </a:lnTo>
                                <a:lnTo>
                                  <a:pt x="118516" y="56299"/>
                                </a:lnTo>
                                <a:lnTo>
                                  <a:pt x="157607" y="35052"/>
                                </a:lnTo>
                                <a:lnTo>
                                  <a:pt x="200787" y="21615"/>
                                </a:lnTo>
                                <a:lnTo>
                                  <a:pt x="247116" y="16941"/>
                                </a:lnTo>
                                <a:lnTo>
                                  <a:pt x="293458" y="21615"/>
                                </a:lnTo>
                                <a:lnTo>
                                  <a:pt x="336638" y="35052"/>
                                </a:lnTo>
                                <a:lnTo>
                                  <a:pt x="375742" y="56299"/>
                                </a:lnTo>
                                <a:lnTo>
                                  <a:pt x="409816" y="84429"/>
                                </a:lnTo>
                                <a:lnTo>
                                  <a:pt x="437946" y="118516"/>
                                </a:lnTo>
                                <a:lnTo>
                                  <a:pt x="459206" y="157607"/>
                                </a:lnTo>
                                <a:lnTo>
                                  <a:pt x="472630" y="200787"/>
                                </a:lnTo>
                                <a:lnTo>
                                  <a:pt x="477316" y="247116"/>
                                </a:lnTo>
                                <a:lnTo>
                                  <a:pt x="477316" y="159105"/>
                                </a:lnTo>
                                <a:lnTo>
                                  <a:pt x="451993" y="109042"/>
                                </a:lnTo>
                                <a:lnTo>
                                  <a:pt x="421792" y="72453"/>
                                </a:lnTo>
                                <a:lnTo>
                                  <a:pt x="385203" y="42252"/>
                                </a:lnTo>
                                <a:lnTo>
                                  <a:pt x="343217" y="19443"/>
                                </a:lnTo>
                                <a:lnTo>
                                  <a:pt x="335153" y="16941"/>
                                </a:lnTo>
                                <a:lnTo>
                                  <a:pt x="296862" y="5029"/>
                                </a:lnTo>
                                <a:lnTo>
                                  <a:pt x="247116" y="0"/>
                                </a:lnTo>
                                <a:lnTo>
                                  <a:pt x="197370" y="5029"/>
                                </a:lnTo>
                                <a:lnTo>
                                  <a:pt x="151015" y="19443"/>
                                </a:lnTo>
                                <a:lnTo>
                                  <a:pt x="109042" y="42252"/>
                                </a:lnTo>
                                <a:lnTo>
                                  <a:pt x="72453" y="72453"/>
                                </a:lnTo>
                                <a:lnTo>
                                  <a:pt x="42252" y="109042"/>
                                </a:lnTo>
                                <a:lnTo>
                                  <a:pt x="19443" y="151015"/>
                                </a:lnTo>
                                <a:lnTo>
                                  <a:pt x="5029" y="197370"/>
                                </a:lnTo>
                                <a:lnTo>
                                  <a:pt x="0" y="247116"/>
                                </a:lnTo>
                                <a:lnTo>
                                  <a:pt x="5029" y="296849"/>
                                </a:lnTo>
                                <a:lnTo>
                                  <a:pt x="19443" y="343217"/>
                                </a:lnTo>
                                <a:lnTo>
                                  <a:pt x="42252" y="385191"/>
                                </a:lnTo>
                                <a:lnTo>
                                  <a:pt x="72453" y="421779"/>
                                </a:lnTo>
                                <a:lnTo>
                                  <a:pt x="109042" y="451980"/>
                                </a:lnTo>
                                <a:lnTo>
                                  <a:pt x="151015" y="474789"/>
                                </a:lnTo>
                                <a:lnTo>
                                  <a:pt x="197370" y="489216"/>
                                </a:lnTo>
                                <a:lnTo>
                                  <a:pt x="247116" y="494245"/>
                                </a:lnTo>
                                <a:lnTo>
                                  <a:pt x="296862" y="489216"/>
                                </a:lnTo>
                                <a:lnTo>
                                  <a:pt x="335153" y="477304"/>
                                </a:lnTo>
                                <a:lnTo>
                                  <a:pt x="385216" y="451980"/>
                                </a:lnTo>
                                <a:lnTo>
                                  <a:pt x="421805" y="421779"/>
                                </a:lnTo>
                                <a:lnTo>
                                  <a:pt x="452005" y="385191"/>
                                </a:lnTo>
                                <a:lnTo>
                                  <a:pt x="474814" y="343217"/>
                                </a:lnTo>
                                <a:lnTo>
                                  <a:pt x="489229" y="296849"/>
                                </a:lnTo>
                                <a:lnTo>
                                  <a:pt x="494258" y="247116"/>
                                </a:lnTo>
                                <a:close/>
                              </a:path>
                            </a:pathLst>
                          </a:custGeom>
                          <a:solidFill>
                            <a:srgbClr val="D6A2AB"/>
                          </a:solidFill>
                        </wps:spPr>
                        <wps:bodyPr wrap="square" lIns="0" tIns="0" rIns="0" bIns="0" rtlCol="0">
                          <a:prstTxWarp prst="textNoShape">
                            <a:avLst/>
                          </a:prstTxWarp>
                          <a:noAutofit/>
                        </wps:bodyPr>
                      </wps:wsp>
                      <wps:wsp>
                        <wps:cNvPr id="312" name="Graphic 312"/>
                        <wps:cNvSpPr/>
                        <wps:spPr>
                          <a:xfrm>
                            <a:off x="915795" y="7279819"/>
                            <a:ext cx="288290" cy="304800"/>
                          </a:xfrm>
                          <a:custGeom>
                            <a:avLst/>
                            <a:gdLst/>
                            <a:ahLst/>
                            <a:cxnLst/>
                            <a:rect l="l" t="t" r="r" b="b"/>
                            <a:pathLst>
                              <a:path w="288290" h="304800">
                                <a:moveTo>
                                  <a:pt x="141214" y="304472"/>
                                </a:moveTo>
                                <a:lnTo>
                                  <a:pt x="89757" y="299714"/>
                                </a:lnTo>
                                <a:lnTo>
                                  <a:pt x="51094" y="286729"/>
                                </a:lnTo>
                                <a:lnTo>
                                  <a:pt x="17245" y="261313"/>
                                </a:lnTo>
                                <a:lnTo>
                                  <a:pt x="434" y="221214"/>
                                </a:lnTo>
                                <a:lnTo>
                                  <a:pt x="0" y="212906"/>
                                </a:lnTo>
                                <a:lnTo>
                                  <a:pt x="19" y="204039"/>
                                </a:lnTo>
                                <a:lnTo>
                                  <a:pt x="20180" y="166525"/>
                                </a:lnTo>
                                <a:lnTo>
                                  <a:pt x="45155" y="157085"/>
                                </a:lnTo>
                                <a:lnTo>
                                  <a:pt x="61149" y="157134"/>
                                </a:lnTo>
                                <a:lnTo>
                                  <a:pt x="95584" y="177705"/>
                                </a:lnTo>
                                <a:lnTo>
                                  <a:pt x="89579" y="220547"/>
                                </a:lnTo>
                                <a:lnTo>
                                  <a:pt x="67401" y="233166"/>
                                </a:lnTo>
                                <a:lnTo>
                                  <a:pt x="78173" y="238496"/>
                                </a:lnTo>
                                <a:lnTo>
                                  <a:pt x="90686" y="242321"/>
                                </a:lnTo>
                                <a:lnTo>
                                  <a:pt x="104941" y="244640"/>
                                </a:lnTo>
                                <a:lnTo>
                                  <a:pt x="120940" y="245453"/>
                                </a:lnTo>
                                <a:lnTo>
                                  <a:pt x="133910" y="244835"/>
                                </a:lnTo>
                                <a:lnTo>
                                  <a:pt x="171555" y="222289"/>
                                </a:lnTo>
                                <a:lnTo>
                                  <a:pt x="174858" y="198449"/>
                                </a:lnTo>
                                <a:lnTo>
                                  <a:pt x="173618" y="192903"/>
                                </a:lnTo>
                                <a:lnTo>
                                  <a:pt x="140952" y="169372"/>
                                </a:lnTo>
                                <a:lnTo>
                                  <a:pt x="116007" y="168626"/>
                                </a:lnTo>
                                <a:lnTo>
                                  <a:pt x="116155" y="125556"/>
                                </a:lnTo>
                                <a:lnTo>
                                  <a:pt x="154160" y="120212"/>
                                </a:lnTo>
                                <a:lnTo>
                                  <a:pt x="169461" y="86445"/>
                                </a:lnTo>
                                <a:lnTo>
                                  <a:pt x="168186" y="80737"/>
                                </a:lnTo>
                                <a:lnTo>
                                  <a:pt x="135125" y="58268"/>
                                </a:lnTo>
                                <a:lnTo>
                                  <a:pt x="122956" y="57709"/>
                                </a:lnTo>
                                <a:lnTo>
                                  <a:pt x="113399" y="57952"/>
                                </a:lnTo>
                                <a:lnTo>
                                  <a:pt x="77657" y="70461"/>
                                </a:lnTo>
                                <a:lnTo>
                                  <a:pt x="80435" y="70723"/>
                                </a:lnTo>
                                <a:lnTo>
                                  <a:pt x="83514" y="71435"/>
                                </a:lnTo>
                                <a:lnTo>
                                  <a:pt x="105398" y="108252"/>
                                </a:lnTo>
                                <a:lnTo>
                                  <a:pt x="71526" y="134934"/>
                                </a:lnTo>
                                <a:lnTo>
                                  <a:pt x="29161" y="126628"/>
                                </a:lnTo>
                                <a:lnTo>
                                  <a:pt x="8501" y="91398"/>
                                </a:lnTo>
                                <a:lnTo>
                                  <a:pt x="8530" y="82531"/>
                                </a:lnTo>
                                <a:lnTo>
                                  <a:pt x="23171" y="41263"/>
                                </a:lnTo>
                                <a:lnTo>
                                  <a:pt x="54058" y="17259"/>
                                </a:lnTo>
                                <a:lnTo>
                                  <a:pt x="99985" y="3149"/>
                                </a:lnTo>
                                <a:lnTo>
                                  <a:pt x="142969" y="0"/>
                                </a:lnTo>
                                <a:lnTo>
                                  <a:pt x="155720" y="281"/>
                                </a:lnTo>
                                <a:lnTo>
                                  <a:pt x="205434" y="6346"/>
                                </a:lnTo>
                                <a:lnTo>
                                  <a:pt x="246554" y="22448"/>
                                </a:lnTo>
                                <a:lnTo>
                                  <a:pt x="273530" y="50177"/>
                                </a:lnTo>
                                <a:lnTo>
                                  <a:pt x="280066" y="79634"/>
                                </a:lnTo>
                                <a:lnTo>
                                  <a:pt x="278990" y="92843"/>
                                </a:lnTo>
                                <a:lnTo>
                                  <a:pt x="254143" y="131943"/>
                                </a:lnTo>
                                <a:lnTo>
                                  <a:pt x="213573" y="146508"/>
                                </a:lnTo>
                                <a:lnTo>
                                  <a:pt x="213559" y="148687"/>
                                </a:lnTo>
                                <a:lnTo>
                                  <a:pt x="256340" y="162489"/>
                                </a:lnTo>
                                <a:lnTo>
                                  <a:pt x="282726" y="192140"/>
                                </a:lnTo>
                                <a:lnTo>
                                  <a:pt x="287757" y="221575"/>
                                </a:lnTo>
                                <a:lnTo>
                                  <a:pt x="287262" y="228753"/>
                                </a:lnTo>
                                <a:lnTo>
                                  <a:pt x="270109" y="264691"/>
                                </a:lnTo>
                                <a:lnTo>
                                  <a:pt x="235248" y="288227"/>
                                </a:lnTo>
                                <a:lnTo>
                                  <a:pt x="195108" y="300293"/>
                                </a:lnTo>
                                <a:lnTo>
                                  <a:pt x="160764" y="304051"/>
                                </a:lnTo>
                                <a:lnTo>
                                  <a:pt x="141214" y="30447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59pt;margin-top:-.000053pt;width:612pt;height:792pt;mso-position-horizontal-relative:page;mso-position-vertical-relative:page;z-index:-20712448" id="docshapegroup233" coordorigin="0,0" coordsize="12240,15840">
                <v:shape style="position:absolute;left:0;top:0;width:12240;height:4761" type="#_x0000_t75" id="docshape234" stroked="false">
                  <v:imagedata r:id="rId384" o:title=""/>
                </v:shape>
                <v:shape style="position:absolute;left:7839;top:1158;width:2333;height:2332" type="#_x0000_t75" id="docshape235" stroked="false">
                  <v:imagedata r:id="rId98" o:title=""/>
                </v:shape>
                <v:shape style="position:absolute;left:7818;top:1136;width:2375;height:2375" id="docshape236"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41;top:12910;width:5471;height:1846" id="docshape237" coordorigin="1042,12911" coordsize="5471,1846" path="m5945,14756l1612,14756,1534,14751,1460,14736,1390,14711,1324,14678,1263,14637,1209,14589,1160,14534,1119,14474,1086,14408,1062,14338,1047,14263,1042,14186,1042,13481,1047,13404,1062,13329,1086,13259,1119,13193,1160,13133,1209,13078,1263,13030,1324,12989,1390,12956,1460,12931,1534,12916,1612,12911,5945,12911,6023,12916,6097,12931,6167,12956,6233,12989,6293,13030,6348,13078,6396,13133,6437,13193,6470,13259,6495,13329,6510,13404,6512,13439,6512,14228,6495,14338,6470,14408,6437,14474,6396,14534,6348,14589,6293,14637,6233,14678,6167,14711,6097,14736,6023,14751,5945,14756xe" filled="true" fillcolor="#dec7eb" stroked="false">
                  <v:path arrowok="t"/>
                  <v:fill opacity="36700f" type="solid"/>
                </v:shape>
                <v:shape style="position:absolute;left:6861;top:6892;width:1215;height:45" id="docshape238" coordorigin="6861,6892" coordsize="1215,45" path="m6996,6892l6861,6892,6861,6937,6996,6937,6996,6892xm7176,6892l7041,6892,7041,6937,7176,6937,7176,6892xm7356,6892l7221,6892,7221,6937,7356,6937,7356,6892xm7536,6892l7401,6892,7401,6937,7536,6937,7536,6892xm7716,6892l7581,6892,7581,6937,7716,6937,7716,6892xm7896,6892l7761,6892,7761,6937,7896,6937,7896,6892xm8076,6892l7941,6892,7941,6937,8076,6937,8076,6892xe" filled="true" fillcolor="#001389" stroked="false">
                  <v:path arrowok="t"/>
                  <v:fill type="solid"/>
                </v:shape>
                <v:shape style="position:absolute;left:1031;top:4619;width:5913;height:8122" type="#_x0000_t75" id="docshape239" stroked="false">
                  <v:imagedata r:id="rId385" o:title=""/>
                </v:shape>
                <v:shape style="position:absolute;left:8121;top:6892;width:3108;height:45" id="docshape240" coordorigin="8121,6892" coordsize="3108,45" path="m8256,6892l8121,6892,8121,6937,8256,6937,8256,6892xm8436,6892l8301,6892,8301,6937,8436,6937,8436,6892xm8616,6892l8481,6892,8481,6937,8616,6937,8616,6892xm8796,6892l8661,6892,8661,6937,8796,6937,8796,6892xm8976,6892l8841,6892,8841,6937,8976,6937,8976,6892xm9156,6892l9021,6892,9021,6937,9156,6937,9156,6892xm9336,6892l9201,6892,9201,6937,9336,6937,9336,6892xm9516,6892l9381,6892,9381,6937,9516,6937,9516,6892xm9696,6892l9561,6892,9561,6937,9696,6937,9696,6892xm9876,6892l9741,6892,9741,6937,9876,6937,9876,6892xm10056,6892l9921,6892,9921,6937,10056,6937,10056,6892xm10236,6892l10101,6892,10101,6937,10236,6937,10236,6892xm10416,6892l10281,6892,10281,6937,10416,6937,10416,6892xm10596,6892l10461,6892,10461,6937,10596,6937,10596,6892xm10776,6892l10641,6892,10641,6937,10776,6937,10776,6892xm10956,6892l10821,6892,10821,6937,10956,6937,10956,6892xm11136,6892l11001,6892,11001,6937,11136,6937,11136,6892xm11229,6892l11181,6892,11181,6937,11229,6937,11229,6892xe" filled="true" fillcolor="#001389" stroked="false">
                  <v:path arrowok="t"/>
                  <v:fill type="solid"/>
                </v:shape>
                <v:line style="position:absolute" from="6861,9301" to="11229,9301" stroked="true" strokeweight="2.25pt" strokecolor="#001389">
                  <v:stroke dashstyle="shortdash"/>
                </v:line>
                <v:shape style="position:absolute;left:5629;top:11346;width:1680;height:1785" type="#_x0000_t75" id="docshape241" stroked="false">
                  <v:imagedata r:id="rId386" o:title=""/>
                </v:shape>
                <v:shape style="position:absolute;left:7510;top:12024;width:4730;height:3816" type="#_x0000_t75" id="docshape242" stroked="false">
                  <v:imagedata r:id="rId387" o:title=""/>
                </v:shape>
                <v:shape style="position:absolute;left:10506;top:6500;width:1210;height:1536" type="#_x0000_t75" id="docshape243" stroked="false">
                  <v:imagedata r:id="rId388" o:title=""/>
                </v:shape>
                <v:shape style="position:absolute;left:1275;top:11327;width:779;height:779" id="docshape244" coordorigin="1275,11327" coordsize="779,779" path="m2012,11705l2011,11693,2009,11671,2007,11660,2003,11637,2000,11626,1993,11605,1990,11594,1981,11573,1976,11563,1965,11542,1959,11533,1947,11514,1940,11505,1926,11487,1918,11479,1902,11463,1893,11455,1876,11441,1867,11434,1848,11421,1838,11415,1818,11405,1808,11400,1787,11391,1776,11387,1754,11381,1743,11378,1721,11373,1710,11372,1687,11369,1676,11369,1653,11369,1642,11369,1619,11372,1608,11373,1585,11378,1574,11381,1553,11387,1542,11391,1521,11400,1511,11405,1491,11415,1481,11421,1462,11434,1453,11441,1435,11455,1427,11463,1411,11479,1403,11487,1389,11505,1382,11514,1369,11533,1363,11542,1353,11563,1348,11573,1339,11594,1335,11605,1329,11626,1326,11637,1321,11660,1320,11671,1318,11693,1317,11705,1317,11728,1318,11739,1320,11762,1321,11773,1326,11795,1329,11806,1335,11828,1339,11839,1348,11860,1353,11870,1363,11890,1369,11900,1382,11919,1389,11928,1403,11945,1411,11954,1427,11970,1435,11977,1453,11992,1462,11999,1481,12011,1491,12017,1511,12028,1521,12033,1542,12041,1553,12045,1574,12052,1585,12055,1608,12059,1619,12061,1642,12063,1653,12064,1676,12064,1687,12063,1710,12061,1721,12059,1743,12055,1754,12052,1776,12045,1787,12041,1808,12033,1818,12028,1838,12017,1848,12011,1867,11999,1876,11992,1893,11977,1902,11970,1918,11954,1926,11945,1940,11928,1947,11919,1959,11900,1965,11890,1976,11870,1981,11860,1990,11839,1993,11828,2000,11806,2003,11795,2007,11773,2009,11762,2011,11739,2012,11728,2012,11716,2012,11705xm2053,11716l2046,11638,2027,11578,2027,11716,2019,11789,1998,11857,1965,11919,1921,11972,1867,12017,1805,12050,1737,12071,1664,12079,1591,12071,1523,12050,1462,12017,1408,11972,1364,11919,1330,11857,1309,11789,1302,11716,1309,11643,1330,11575,1364,11514,1408,11460,1462,11416,1523,11382,1591,11361,1664,11354,1737,11361,1805,11382,1867,11416,1920,11460,1965,11514,1998,11575,2019,11643,2027,11716,2027,11578,2023,11565,1987,11499,1939,11441,1882,11394,1816,11358,1803,11354,1743,11335,1664,11327,1586,11335,1513,11358,1447,11394,1389,11441,1342,11499,1306,11565,1283,11638,1275,11716,1283,11795,1306,11868,1342,11934,1389,11991,1447,12039,1513,12075,1586,12097,1664,12105,1743,12097,1803,12079,1816,12075,1882,12039,1939,11991,1987,11934,2023,11868,2046,11795,2053,11716xe" filled="true" fillcolor="#d6a2ab" stroked="false">
                  <v:path arrowok="t"/>
                  <v:fill type="solid"/>
                </v:shape>
                <v:shape style="position:absolute;left:1442;top:11464;width:454;height:480" id="docshape245" coordorigin="1442,11464" coordsize="454,480" path="m1665,11944l1584,11936,1523,11916,1469,11876,1443,11813,1442,11800,1442,11786,1474,11727,1513,11712,1538,11712,1593,11744,1583,11812,1548,11831,1565,11840,1585,11846,1607,11850,1633,11851,1653,11850,1712,11814,1718,11777,1716,11768,1664,11731,1625,11730,1625,11662,1685,11654,1709,11600,1707,11591,1655,11556,1636,11555,1621,11556,1564,11575,1569,11576,1574,11577,1608,11635,1555,11677,1488,11664,1456,11608,1456,11594,1479,11529,1527,11491,1600,11469,1667,11464,1687,11465,1766,11474,1830,11500,1873,11543,1883,11590,1882,11610,1842,11672,1779,11695,1779,11698,1846,11720,1887,11767,1895,11813,1895,11825,1868,11881,1813,11918,1749,11937,1695,11943,1665,11944xe" filled="true" fillcolor="#ffffff" stroked="false">
                  <v:path arrowok="t"/>
                  <v:fill type="solid"/>
                </v:shape>
                <w10:wrap type="none"/>
              </v:group>
            </w:pict>
          </mc:Fallback>
        </mc:AlternateContent>
      </w:r>
    </w:p>
    <w:p>
      <w:pPr>
        <w:pStyle w:val="BodyText"/>
        <w:spacing w:before="246"/>
        <w:rPr>
          <w:rFonts w:ascii="Times New Roman"/>
          <w:sz w:val="34"/>
        </w:rPr>
      </w:pPr>
    </w:p>
    <w:p>
      <w:pPr>
        <w:pStyle w:val="Heading9"/>
        <w:spacing w:before="1"/>
        <w:ind w:left="103"/>
        <w:jc w:val="left"/>
        <w:rPr>
          <w:i/>
        </w:rPr>
      </w:pPr>
      <w:r>
        <w:rPr>
          <w:i/>
          <w:spacing w:val="13"/>
          <w:w w:val="130"/>
        </w:rPr>
        <w:t>LEGISLATION</w:t>
      </w:r>
    </w:p>
    <w:p>
      <w:pPr>
        <w:pStyle w:val="BodyText"/>
        <w:spacing w:before="64"/>
        <w:rPr>
          <w:b/>
          <w:i/>
          <w:sz w:val="21"/>
        </w:rPr>
      </w:pPr>
    </w:p>
    <w:p>
      <w:pPr>
        <w:spacing w:before="0"/>
        <w:ind w:left="123" w:right="0" w:firstLine="0"/>
        <w:jc w:val="left"/>
        <w:rPr>
          <w:rFonts w:ascii="Times New Roman"/>
          <w:sz w:val="21"/>
        </w:rPr>
      </w:pPr>
      <w:r>
        <w:rPr>
          <w:rFonts w:ascii="Times New Roman"/>
          <w:sz w:val="21"/>
        </w:rPr>
        <w:t>S.1415:</w:t>
      </w:r>
      <w:r>
        <w:rPr>
          <w:rFonts w:ascii="Times New Roman"/>
          <w:spacing w:val="22"/>
          <w:sz w:val="21"/>
        </w:rPr>
        <w:t> </w:t>
      </w:r>
      <w:r>
        <w:rPr>
          <w:rFonts w:ascii="Times New Roman"/>
          <w:sz w:val="21"/>
        </w:rPr>
        <w:t>Birthing</w:t>
      </w:r>
      <w:r>
        <w:rPr>
          <w:rFonts w:ascii="Times New Roman"/>
          <w:spacing w:val="22"/>
          <w:sz w:val="21"/>
        </w:rPr>
        <w:t> </w:t>
      </w:r>
      <w:r>
        <w:rPr>
          <w:rFonts w:ascii="Times New Roman"/>
          <w:sz w:val="21"/>
        </w:rPr>
        <w:t>Justice</w:t>
      </w:r>
      <w:r>
        <w:rPr>
          <w:rFonts w:ascii="Times New Roman"/>
          <w:spacing w:val="22"/>
          <w:sz w:val="21"/>
        </w:rPr>
        <w:t> </w:t>
      </w:r>
      <w:r>
        <w:rPr>
          <w:rFonts w:ascii="Times New Roman"/>
          <w:sz w:val="21"/>
        </w:rPr>
        <w:t>in</w:t>
      </w:r>
      <w:r>
        <w:rPr>
          <w:rFonts w:ascii="Times New Roman"/>
          <w:spacing w:val="23"/>
          <w:sz w:val="21"/>
        </w:rPr>
        <w:t> </w:t>
      </w:r>
      <w:r>
        <w:rPr>
          <w:rFonts w:ascii="Times New Roman"/>
          <w:sz w:val="21"/>
        </w:rPr>
        <w:t>the</w:t>
      </w:r>
      <w:r>
        <w:rPr>
          <w:rFonts w:ascii="Times New Roman"/>
          <w:spacing w:val="22"/>
          <w:sz w:val="21"/>
        </w:rPr>
        <w:t> </w:t>
      </w:r>
      <w:r>
        <w:rPr>
          <w:rFonts w:ascii="Times New Roman"/>
          <w:spacing w:val="-2"/>
          <w:sz w:val="21"/>
        </w:rPr>
        <w:t>Commonwealth</w:t>
      </w:r>
    </w:p>
    <w:p>
      <w:pPr>
        <w:spacing w:after="0"/>
        <w:jc w:val="left"/>
        <w:rPr>
          <w:rFonts w:ascii="Times New Roman"/>
          <w:sz w:val="21"/>
        </w:rPr>
        <w:sectPr>
          <w:type w:val="continuous"/>
          <w:pgSz w:w="12240" w:h="15840"/>
          <w:pgMar w:header="0" w:footer="0" w:top="1420" w:bottom="280" w:left="1120" w:right="1200"/>
        </w:sectPr>
      </w:pPr>
    </w:p>
    <w:p>
      <w:pPr>
        <w:pStyle w:val="BodyText"/>
        <w:spacing w:before="1" w:after="1"/>
        <w:rPr>
          <w:rFonts w:ascii="Times New Roman"/>
          <w:sz w:val="11"/>
        </w:rPr>
      </w:pPr>
    </w:p>
    <w:p>
      <w:pPr>
        <w:pStyle w:val="BodyText"/>
        <w:spacing w:line="20" w:lineRule="exact"/>
        <w:ind w:left="320"/>
        <w:rPr>
          <w:rFonts w:ascii="Times New Roman"/>
          <w:sz w:val="2"/>
        </w:rPr>
      </w:pPr>
      <w:r>
        <w:rPr>
          <w:rFonts w:ascii="Times New Roman"/>
          <w:sz w:val="2"/>
        </w:rPr>
        <mc:AlternateContent>
          <mc:Choice Requires="wps">
            <w:drawing>
              <wp:inline distT="0" distB="0" distL="0" distR="0">
                <wp:extent cx="6350" cy="12700"/>
                <wp:effectExtent l="0" t="0" r="0" b="0"/>
                <wp:docPr id="316" name="Group 316"/>
                <wp:cNvGraphicFramePr>
                  <a:graphicFrameLocks/>
                </wp:cNvGraphicFramePr>
                <a:graphic>
                  <a:graphicData uri="http://schemas.microsoft.com/office/word/2010/wordprocessingGroup">
                    <wpg:wgp>
                      <wpg:cNvPr id="316" name="Group 316"/>
                      <wpg:cNvGrpSpPr/>
                      <wpg:grpSpPr>
                        <a:xfrm>
                          <a:off x="0" y="0"/>
                          <a:ext cx="6350" cy="12700"/>
                          <a:chExt cx="6350" cy="12700"/>
                        </a:xfrm>
                      </wpg:grpSpPr>
                      <wps:wsp>
                        <wps:cNvPr id="317" name="Graphic 317"/>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0F6DC5"/>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249" coordorigin="0,0" coordsize="10,20">
                <v:rect style="position:absolute;left:0;top:0;width:10;height:20" id="docshape250" filled="true" fillcolor="#0f6dc5" stroked="false">
                  <v:fill type="solid"/>
                </v:rect>
              </v:group>
            </w:pict>
          </mc:Fallback>
        </mc:AlternateContent>
      </w:r>
      <w:r>
        <w:rPr>
          <w:rFonts w:ascii="Times New Roman"/>
          <w:sz w:val="2"/>
        </w:rPr>
      </w:r>
    </w:p>
    <w:p>
      <w:pPr>
        <w:pStyle w:val="Heading7"/>
        <w:ind w:left="363"/>
      </w:pPr>
      <w:bookmarkStart w:name="FY 2025 - Sexual Health - Final.pdf" w:id="460"/>
      <w:bookmarkEnd w:id="460"/>
      <w:r>
        <w:rPr/>
      </w:r>
      <w:bookmarkStart w:name="Introduction" w:id="461"/>
      <w:bookmarkEnd w:id="461"/>
      <w:r>
        <w:rPr/>
      </w:r>
      <w:bookmarkStart w:name="_bookmark270" w:id="462"/>
      <w:bookmarkEnd w:id="462"/>
      <w:r>
        <w:rPr/>
      </w:r>
      <w:hyperlink w:history="true" w:anchor="_bookmark3">
        <w:r>
          <w:rPr>
            <w:color w:val="365F91"/>
            <w:spacing w:val="-10"/>
          </w:rPr>
          <w:t>Improving</w:t>
        </w:r>
        <w:r>
          <w:rPr>
            <w:color w:val="365F91"/>
            <w:spacing w:val="-1"/>
          </w:rPr>
          <w:t> </w:t>
        </w:r>
        <w:r>
          <w:rPr>
            <w:color w:val="365F91"/>
            <w:spacing w:val="-10"/>
          </w:rPr>
          <w:t>Sexual</w:t>
        </w:r>
        <w:r>
          <w:rPr>
            <w:color w:val="365F91"/>
            <w:spacing w:val="-3"/>
          </w:rPr>
          <w:t> </w:t>
        </w:r>
        <w:r>
          <w:rPr>
            <w:color w:val="365F91"/>
            <w:spacing w:val="-10"/>
          </w:rPr>
          <w:t>Health</w:t>
        </w:r>
      </w:hyperlink>
    </w:p>
    <w:p>
      <w:pPr>
        <w:spacing w:before="400"/>
        <w:ind w:left="363" w:right="0" w:firstLine="0"/>
        <w:jc w:val="left"/>
        <w:rPr>
          <w:sz w:val="28"/>
        </w:rPr>
      </w:pPr>
      <w:r>
        <w:rPr/>
        <mc:AlternateContent>
          <mc:Choice Requires="wps">
            <w:drawing>
              <wp:anchor distT="0" distB="0" distL="0" distR="0" allowOverlap="1" layoutInCell="1" locked="0" behindDoc="1" simplePos="0" relativeHeight="487642624">
                <wp:simplePos x="0" y="0"/>
                <wp:positionH relativeFrom="page">
                  <wp:posOffset>897636</wp:posOffset>
                </wp:positionH>
                <wp:positionV relativeFrom="paragraph">
                  <wp:posOffset>483437</wp:posOffset>
                </wp:positionV>
                <wp:extent cx="6014720" cy="635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6014720" cy="6350"/>
                        </a:xfrm>
                        <a:custGeom>
                          <a:avLst/>
                          <a:gdLst/>
                          <a:ahLst/>
                          <a:cxnLst/>
                          <a:rect l="l" t="t" r="r" b="b"/>
                          <a:pathLst>
                            <a:path w="6014720" h="6350">
                              <a:moveTo>
                                <a:pt x="6014466" y="0"/>
                              </a:moveTo>
                              <a:lnTo>
                                <a:pt x="0" y="0"/>
                              </a:lnTo>
                              <a:lnTo>
                                <a:pt x="0" y="6096"/>
                              </a:lnTo>
                              <a:lnTo>
                                <a:pt x="6014466" y="6096"/>
                              </a:lnTo>
                              <a:lnTo>
                                <a:pt x="60144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8.065937pt;width:473.58pt;height:.48pt;mso-position-horizontal-relative:page;mso-position-vertical-relative:paragraph;z-index:-15673856;mso-wrap-distance-left:0;mso-wrap-distance-right:0" id="docshape251" filled="true" fillcolor="#4f81bc" stroked="false">
                <v:fill type="solid"/>
                <w10:wrap type="topAndBottom"/>
              </v:rect>
            </w:pict>
          </mc:Fallback>
        </mc:AlternateContent>
      </w:r>
      <w:r>
        <w:rPr/>
        <mc:AlternateContent>
          <mc:Choice Requires="wps">
            <w:drawing>
              <wp:anchor distT="0" distB="0" distL="0" distR="0" allowOverlap="1" layoutInCell="1" locked="0" behindDoc="1" simplePos="0" relativeHeight="487643136">
                <wp:simplePos x="0" y="0"/>
                <wp:positionH relativeFrom="page">
                  <wp:posOffset>889000</wp:posOffset>
                </wp:positionH>
                <wp:positionV relativeFrom="paragraph">
                  <wp:posOffset>540892</wp:posOffset>
                </wp:positionV>
                <wp:extent cx="6350" cy="1270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42.589939pt;width:.499pt;height:.96pt;mso-position-horizontal-relative:page;mso-position-vertical-relative:paragraph;z-index:-15673344;mso-wrap-distance-left:0;mso-wrap-distance-right:0" id="docshape252" filled="true" fillcolor="#0f6dc5" stroked="false">
                <v:fill type="solid"/>
                <w10:wrap type="topAndBottom"/>
              </v:rect>
            </w:pict>
          </mc:Fallback>
        </mc:AlternateContent>
      </w:r>
      <w:r>
        <w:rPr>
          <w:color w:val="365F91"/>
          <w:spacing w:val="-2"/>
          <w:sz w:val="28"/>
        </w:rPr>
        <w:t>Introduction</w:t>
      </w:r>
    </w:p>
    <w:p>
      <w:pPr>
        <w:pStyle w:val="BodyText"/>
        <w:spacing w:before="8"/>
        <w:rPr>
          <w:sz w:val="4"/>
        </w:rPr>
      </w:pPr>
    </w:p>
    <w:p>
      <w:pPr>
        <w:spacing w:line="264" w:lineRule="auto" w:before="102"/>
        <w:ind w:left="363" w:right="91" w:firstLine="0"/>
        <w:jc w:val="left"/>
        <w:rPr>
          <w:i/>
          <w:sz w:val="22"/>
        </w:rPr>
      </w:pPr>
      <w:bookmarkStart w:name="(first published in FY 2024 Annual Recom" w:id="463"/>
      <w:bookmarkEnd w:id="463"/>
      <w:r>
        <w:rPr/>
      </w:r>
      <w:r>
        <w:rPr>
          <w:i/>
          <w:sz w:val="22"/>
        </w:rPr>
        <w:t>(first</w:t>
      </w:r>
      <w:r>
        <w:rPr>
          <w:i/>
          <w:spacing w:val="-4"/>
          <w:sz w:val="22"/>
        </w:rPr>
        <w:t> </w:t>
      </w:r>
      <w:r>
        <w:rPr>
          <w:i/>
          <w:sz w:val="22"/>
        </w:rPr>
        <w:t>published</w:t>
      </w:r>
      <w:r>
        <w:rPr>
          <w:i/>
          <w:spacing w:val="-4"/>
          <w:sz w:val="22"/>
        </w:rPr>
        <w:t> </w:t>
      </w:r>
      <w:r>
        <w:rPr>
          <w:i/>
          <w:sz w:val="22"/>
        </w:rPr>
        <w:t>in</w:t>
      </w:r>
      <w:r>
        <w:rPr>
          <w:i/>
          <w:spacing w:val="-3"/>
          <w:sz w:val="22"/>
        </w:rPr>
        <w:t> </w:t>
      </w:r>
      <w:r>
        <w:rPr>
          <w:i/>
          <w:sz w:val="22"/>
        </w:rPr>
        <w:t>FY</w:t>
      </w:r>
      <w:r>
        <w:rPr>
          <w:i/>
          <w:spacing w:val="-4"/>
          <w:sz w:val="22"/>
        </w:rPr>
        <w:t> </w:t>
      </w:r>
      <w:r>
        <w:rPr>
          <w:i/>
          <w:sz w:val="22"/>
        </w:rPr>
        <w:t>2024</w:t>
      </w:r>
      <w:r>
        <w:rPr>
          <w:i/>
          <w:spacing w:val="-1"/>
          <w:sz w:val="22"/>
        </w:rPr>
        <w:t> </w:t>
      </w:r>
      <w:r>
        <w:rPr>
          <w:i/>
          <w:sz w:val="22"/>
        </w:rPr>
        <w:t>Annual</w:t>
      </w:r>
      <w:r>
        <w:rPr>
          <w:i/>
          <w:spacing w:val="-3"/>
          <w:sz w:val="22"/>
        </w:rPr>
        <w:t> </w:t>
      </w:r>
      <w:r>
        <w:rPr>
          <w:i/>
          <w:sz w:val="22"/>
        </w:rPr>
        <w:t>Recommendations</w:t>
      </w:r>
      <w:r>
        <w:rPr>
          <w:i/>
          <w:spacing w:val="-4"/>
          <w:sz w:val="22"/>
        </w:rPr>
        <w:t> </w:t>
      </w:r>
      <w:r>
        <w:rPr>
          <w:i/>
          <w:sz w:val="22"/>
        </w:rPr>
        <w:t>Report,</w:t>
      </w:r>
      <w:r>
        <w:rPr>
          <w:i/>
          <w:spacing w:val="-2"/>
          <w:sz w:val="22"/>
        </w:rPr>
        <w:t> </w:t>
      </w:r>
      <w:r>
        <w:rPr>
          <w:i/>
          <w:sz w:val="22"/>
        </w:rPr>
        <w:t>minor</w:t>
      </w:r>
      <w:r>
        <w:rPr>
          <w:i/>
          <w:spacing w:val="-4"/>
          <w:sz w:val="22"/>
        </w:rPr>
        <w:t> </w:t>
      </w:r>
      <w:r>
        <w:rPr>
          <w:i/>
          <w:sz w:val="22"/>
        </w:rPr>
        <w:t>updates</w:t>
      </w:r>
      <w:r>
        <w:rPr>
          <w:i/>
          <w:spacing w:val="-4"/>
          <w:sz w:val="22"/>
        </w:rPr>
        <w:t> </w:t>
      </w:r>
      <w:r>
        <w:rPr>
          <w:i/>
          <w:sz w:val="22"/>
        </w:rPr>
        <w:t>made</w:t>
      </w:r>
      <w:r>
        <w:rPr>
          <w:i/>
          <w:spacing w:val="-3"/>
          <w:sz w:val="22"/>
        </w:rPr>
        <w:t> </w:t>
      </w:r>
      <w:r>
        <w:rPr>
          <w:i/>
          <w:sz w:val="22"/>
        </w:rPr>
        <w:t>to</w:t>
      </w:r>
      <w:r>
        <w:rPr>
          <w:i/>
          <w:spacing w:val="-3"/>
          <w:sz w:val="22"/>
        </w:rPr>
        <w:t> </w:t>
      </w:r>
      <w:r>
        <w:rPr>
          <w:i/>
          <w:sz w:val="22"/>
        </w:rPr>
        <w:t>bring</w:t>
      </w:r>
      <w:r>
        <w:rPr>
          <w:i/>
          <w:spacing w:val="-3"/>
          <w:sz w:val="22"/>
        </w:rPr>
        <w:t> </w:t>
      </w:r>
      <w:r>
        <w:rPr>
          <w:i/>
          <w:sz w:val="22"/>
        </w:rPr>
        <w:t>current</w:t>
      </w:r>
      <w:r>
        <w:rPr>
          <w:i/>
          <w:spacing w:val="-3"/>
          <w:sz w:val="22"/>
        </w:rPr>
        <w:t> </w:t>
      </w:r>
      <w:r>
        <w:rPr>
          <w:i/>
          <w:sz w:val="22"/>
        </w:rPr>
        <w:t>to</w:t>
      </w:r>
      <w:r>
        <w:rPr>
          <w:i/>
          <w:spacing w:val="-3"/>
          <w:sz w:val="22"/>
        </w:rPr>
        <w:t> </w:t>
      </w:r>
      <w:r>
        <w:rPr>
          <w:i/>
          <w:sz w:val="22"/>
        </w:rPr>
        <w:t>FY</w:t>
      </w:r>
      <w:r>
        <w:rPr>
          <w:i/>
          <w:sz w:val="22"/>
        </w:rPr>
        <w:t> </w:t>
      </w:r>
      <w:r>
        <w:rPr>
          <w:i/>
          <w:spacing w:val="-2"/>
          <w:sz w:val="22"/>
        </w:rPr>
        <w:t>2025)</w:t>
      </w:r>
    </w:p>
    <w:p>
      <w:pPr>
        <w:pStyle w:val="BodyText"/>
        <w:spacing w:before="146"/>
        <w:rPr>
          <w:i/>
        </w:rPr>
      </w:pPr>
    </w:p>
    <w:p>
      <w:pPr>
        <w:pStyle w:val="BodyText"/>
        <w:spacing w:line="276" w:lineRule="auto"/>
        <w:ind w:left="363" w:right="142"/>
        <w:jc w:val="both"/>
      </w:pPr>
      <w:r>
        <w:rPr/>
        <w:t>The Commission was founded in the early 1990s to address the significant disparities in LGBTQ youth mental health</w:t>
      </w:r>
      <w:r>
        <w:rPr>
          <w:spacing w:val="-1"/>
        </w:rPr>
        <w:t> </w:t>
      </w:r>
      <w:r>
        <w:rPr/>
        <w:t>occurring during the AIDS</w:t>
      </w:r>
      <w:r>
        <w:rPr>
          <w:spacing w:val="-1"/>
        </w:rPr>
        <w:t> </w:t>
      </w:r>
      <w:r>
        <w:rPr/>
        <w:t>epidemic. Since then, the</w:t>
      </w:r>
      <w:r>
        <w:rPr>
          <w:spacing w:val="-1"/>
        </w:rPr>
        <w:t> </w:t>
      </w:r>
      <w:r>
        <w:rPr/>
        <w:t>Commission</w:t>
      </w:r>
      <w:r>
        <w:rPr>
          <w:spacing w:val="-1"/>
        </w:rPr>
        <w:t> </w:t>
      </w:r>
      <w:r>
        <w:rPr/>
        <w:t>has dedicated much</w:t>
      </w:r>
      <w:r>
        <w:rPr>
          <w:spacing w:val="-1"/>
        </w:rPr>
        <w:t> </w:t>
      </w:r>
      <w:r>
        <w:rPr/>
        <w:t>of its work</w:t>
      </w:r>
      <w:r>
        <w:rPr>
          <w:spacing w:val="-13"/>
        </w:rPr>
        <w:t> </w:t>
      </w:r>
      <w:r>
        <w:rPr/>
        <w:t>and</w:t>
      </w:r>
      <w:r>
        <w:rPr>
          <w:spacing w:val="-12"/>
        </w:rPr>
        <w:t> </w:t>
      </w:r>
      <w:r>
        <w:rPr/>
        <w:t>resources</w:t>
      </w:r>
      <w:r>
        <w:rPr>
          <w:spacing w:val="-13"/>
        </w:rPr>
        <w:t> </w:t>
      </w:r>
      <w:r>
        <w:rPr/>
        <w:t>to</w:t>
      </w:r>
      <w:r>
        <w:rPr>
          <w:spacing w:val="-12"/>
        </w:rPr>
        <w:t> </w:t>
      </w:r>
      <w:r>
        <w:rPr/>
        <w:t>supporting</w:t>
      </w:r>
      <w:r>
        <w:rPr>
          <w:spacing w:val="-13"/>
        </w:rPr>
        <w:t> </w:t>
      </w:r>
      <w:r>
        <w:rPr/>
        <w:t>LGBTQ</w:t>
      </w:r>
      <w:r>
        <w:rPr>
          <w:spacing w:val="-12"/>
        </w:rPr>
        <w:t> </w:t>
      </w:r>
      <w:r>
        <w:rPr/>
        <w:t>youth</w:t>
      </w:r>
      <w:r>
        <w:rPr>
          <w:spacing w:val="-13"/>
        </w:rPr>
        <w:t> </w:t>
      </w:r>
      <w:r>
        <w:rPr/>
        <w:t>sexual</w:t>
      </w:r>
      <w:r>
        <w:rPr>
          <w:spacing w:val="-12"/>
        </w:rPr>
        <w:t> </w:t>
      </w:r>
      <w:r>
        <w:rPr/>
        <w:t>health</w:t>
      </w:r>
      <w:r>
        <w:rPr>
          <w:spacing w:val="-12"/>
        </w:rPr>
        <w:t> </w:t>
      </w:r>
      <w:r>
        <w:rPr/>
        <w:t>through</w:t>
      </w:r>
      <w:r>
        <w:rPr>
          <w:spacing w:val="-13"/>
        </w:rPr>
        <w:t> </w:t>
      </w:r>
      <w:r>
        <w:rPr/>
        <w:t>supporting</w:t>
      </w:r>
      <w:r>
        <w:rPr>
          <w:spacing w:val="-12"/>
        </w:rPr>
        <w:t> </w:t>
      </w:r>
      <w:r>
        <w:rPr/>
        <w:t>policies</w:t>
      </w:r>
      <w:r>
        <w:rPr>
          <w:spacing w:val="-13"/>
        </w:rPr>
        <w:t> </w:t>
      </w:r>
      <w:r>
        <w:rPr/>
        <w:t>increasing</w:t>
      </w:r>
      <w:r>
        <w:rPr>
          <w:spacing w:val="-12"/>
        </w:rPr>
        <w:t> </w:t>
      </w:r>
      <w:r>
        <w:rPr/>
        <w:t>access to PrEP and PEP; advocating for comprehensive sexual health education; addressing factors leading to disparities</w:t>
      </w:r>
      <w:r>
        <w:rPr>
          <w:spacing w:val="-7"/>
        </w:rPr>
        <w:t> </w:t>
      </w:r>
      <w:r>
        <w:rPr/>
        <w:t>around</w:t>
      </w:r>
      <w:r>
        <w:rPr>
          <w:spacing w:val="-8"/>
        </w:rPr>
        <w:t> </w:t>
      </w:r>
      <w:r>
        <w:rPr/>
        <w:t>sexual</w:t>
      </w:r>
      <w:r>
        <w:rPr>
          <w:spacing w:val="-8"/>
        </w:rPr>
        <w:t> </w:t>
      </w:r>
      <w:r>
        <w:rPr/>
        <w:t>victimization;</w:t>
      </w:r>
      <w:r>
        <w:rPr>
          <w:spacing w:val="-5"/>
        </w:rPr>
        <w:t> </w:t>
      </w:r>
      <w:r>
        <w:rPr/>
        <w:t>and</w:t>
      </w:r>
      <w:r>
        <w:rPr>
          <w:spacing w:val="-8"/>
        </w:rPr>
        <w:t> </w:t>
      </w:r>
      <w:r>
        <w:rPr/>
        <w:t>more.</w:t>
      </w:r>
      <w:r>
        <w:rPr>
          <w:spacing w:val="-8"/>
        </w:rPr>
        <w:t> </w:t>
      </w:r>
      <w:r>
        <w:rPr/>
        <w:t>While</w:t>
      </w:r>
      <w:r>
        <w:rPr>
          <w:spacing w:val="-8"/>
        </w:rPr>
        <w:t> </w:t>
      </w:r>
      <w:r>
        <w:rPr/>
        <w:t>Massachusetts</w:t>
      </w:r>
      <w:r>
        <w:rPr>
          <w:spacing w:val="-7"/>
        </w:rPr>
        <w:t> </w:t>
      </w:r>
      <w:r>
        <w:rPr/>
        <w:t>remains</w:t>
      </w:r>
      <w:r>
        <w:rPr>
          <w:spacing w:val="-7"/>
        </w:rPr>
        <w:t> </w:t>
      </w:r>
      <w:r>
        <w:rPr/>
        <w:t>a</w:t>
      </w:r>
      <w:r>
        <w:rPr>
          <w:spacing w:val="-7"/>
        </w:rPr>
        <w:t> </w:t>
      </w:r>
      <w:r>
        <w:rPr/>
        <w:t>leader</w:t>
      </w:r>
      <w:r>
        <w:rPr>
          <w:spacing w:val="-6"/>
        </w:rPr>
        <w:t> </w:t>
      </w:r>
      <w:r>
        <w:rPr/>
        <w:t>in</w:t>
      </w:r>
      <w:r>
        <w:rPr>
          <w:spacing w:val="-5"/>
        </w:rPr>
        <w:t> </w:t>
      </w:r>
      <w:r>
        <w:rPr/>
        <w:t>many</w:t>
      </w:r>
      <w:r>
        <w:rPr>
          <w:spacing w:val="-7"/>
        </w:rPr>
        <w:t> </w:t>
      </w:r>
      <w:r>
        <w:rPr/>
        <w:t>areas</w:t>
      </w:r>
      <w:r>
        <w:rPr>
          <w:spacing w:val="-7"/>
        </w:rPr>
        <w:t> </w:t>
      </w:r>
      <w:r>
        <w:rPr/>
        <w:t>of LGBTQ</w:t>
      </w:r>
      <w:r>
        <w:rPr>
          <w:spacing w:val="-9"/>
        </w:rPr>
        <w:t> </w:t>
      </w:r>
      <w:r>
        <w:rPr/>
        <w:t>legal</w:t>
      </w:r>
      <w:r>
        <w:rPr>
          <w:spacing w:val="-9"/>
        </w:rPr>
        <w:t> </w:t>
      </w:r>
      <w:r>
        <w:rPr/>
        <w:t>protections,</w:t>
      </w:r>
      <w:r>
        <w:rPr>
          <w:spacing w:val="-9"/>
        </w:rPr>
        <w:t> </w:t>
      </w:r>
      <w:r>
        <w:rPr/>
        <w:t>there</w:t>
      </w:r>
      <w:r>
        <w:rPr>
          <w:spacing w:val="-10"/>
        </w:rPr>
        <w:t> </w:t>
      </w:r>
      <w:r>
        <w:rPr/>
        <w:t>still</w:t>
      </w:r>
      <w:r>
        <w:rPr>
          <w:spacing w:val="-10"/>
        </w:rPr>
        <w:t> </w:t>
      </w:r>
      <w:r>
        <w:rPr/>
        <w:t>remain</w:t>
      </w:r>
      <w:r>
        <w:rPr>
          <w:spacing w:val="-10"/>
        </w:rPr>
        <w:t> </w:t>
      </w:r>
      <w:r>
        <w:rPr/>
        <w:t>a</w:t>
      </w:r>
      <w:r>
        <w:rPr>
          <w:spacing w:val="-9"/>
        </w:rPr>
        <w:t> </w:t>
      </w:r>
      <w:r>
        <w:rPr/>
        <w:t>concerning</w:t>
      </w:r>
      <w:r>
        <w:rPr>
          <w:spacing w:val="-10"/>
        </w:rPr>
        <w:t> </w:t>
      </w:r>
      <w:r>
        <w:rPr/>
        <w:t>number</w:t>
      </w:r>
      <w:r>
        <w:rPr>
          <w:spacing w:val="-10"/>
        </w:rPr>
        <w:t> </w:t>
      </w:r>
      <w:r>
        <w:rPr/>
        <w:t>of</w:t>
      </w:r>
      <w:r>
        <w:rPr>
          <w:spacing w:val="-8"/>
        </w:rPr>
        <w:t> </w:t>
      </w:r>
      <w:r>
        <w:rPr/>
        <w:t>areas</w:t>
      </w:r>
      <w:r>
        <w:rPr>
          <w:spacing w:val="-10"/>
        </w:rPr>
        <w:t> </w:t>
      </w:r>
      <w:r>
        <w:rPr/>
        <w:t>where</w:t>
      </w:r>
      <w:r>
        <w:rPr>
          <w:spacing w:val="-9"/>
        </w:rPr>
        <w:t> </w:t>
      </w:r>
      <w:r>
        <w:rPr/>
        <w:t>the</w:t>
      </w:r>
      <w:r>
        <w:rPr>
          <w:spacing w:val="-10"/>
        </w:rPr>
        <w:t> </w:t>
      </w:r>
      <w:r>
        <w:rPr/>
        <w:t>state</w:t>
      </w:r>
      <w:r>
        <w:rPr>
          <w:spacing w:val="-9"/>
        </w:rPr>
        <w:t> </w:t>
      </w:r>
      <w:r>
        <w:rPr/>
        <w:t>has</w:t>
      </w:r>
      <w:r>
        <w:rPr>
          <w:spacing w:val="-10"/>
        </w:rPr>
        <w:t> </w:t>
      </w:r>
      <w:r>
        <w:rPr/>
        <w:t>failed</w:t>
      </w:r>
      <w:r>
        <w:rPr>
          <w:spacing w:val="-9"/>
        </w:rPr>
        <w:t> </w:t>
      </w:r>
      <w:r>
        <w:rPr/>
        <w:t>to</w:t>
      </w:r>
      <w:r>
        <w:rPr>
          <w:spacing w:val="-10"/>
        </w:rPr>
        <w:t> </w:t>
      </w:r>
      <w:r>
        <w:rPr/>
        <w:t>stay ahead and ensure that the unique gaps in resources, education, and services for LGBTQ youth are </w:t>
      </w:r>
      <w:r>
        <w:rPr>
          <w:spacing w:val="-2"/>
        </w:rPr>
        <w:t>addressed.</w:t>
      </w:r>
    </w:p>
    <w:p>
      <w:pPr>
        <w:pStyle w:val="BodyText"/>
        <w:spacing w:line="276" w:lineRule="auto" w:before="120"/>
        <w:ind w:left="363" w:right="140"/>
        <w:jc w:val="both"/>
      </w:pPr>
      <w:r>
        <w:rPr/>
        <w:t>To this day, across the state</w:t>
      </w:r>
      <w:r>
        <w:rPr>
          <w:spacing w:val="-1"/>
        </w:rPr>
        <w:t> </w:t>
      </w:r>
      <w:r>
        <w:rPr/>
        <w:t>and the nation, LGBTQ</w:t>
      </w:r>
      <w:r>
        <w:rPr>
          <w:spacing w:val="-1"/>
        </w:rPr>
        <w:t> </w:t>
      </w:r>
      <w:r>
        <w:rPr/>
        <w:t>youth</w:t>
      </w:r>
      <w:r>
        <w:rPr>
          <w:spacing w:val="-1"/>
        </w:rPr>
        <w:t> </w:t>
      </w:r>
      <w:r>
        <w:rPr/>
        <w:t>remain at</w:t>
      </w:r>
      <w:r>
        <w:rPr>
          <w:spacing w:val="-1"/>
        </w:rPr>
        <w:t> </w:t>
      </w:r>
      <w:r>
        <w:rPr/>
        <w:t>a higher risk</w:t>
      </w:r>
      <w:r>
        <w:rPr>
          <w:spacing w:val="-1"/>
        </w:rPr>
        <w:t> </w:t>
      </w:r>
      <w:r>
        <w:rPr/>
        <w:t>for STIs, HIV, and</w:t>
      </w:r>
      <w:r>
        <w:rPr>
          <w:spacing w:val="-1"/>
        </w:rPr>
        <w:t> </w:t>
      </w:r>
      <w:r>
        <w:rPr/>
        <w:t>sexual violence.</w:t>
      </w:r>
      <w:r>
        <w:rPr>
          <w:spacing w:val="-7"/>
        </w:rPr>
        <w:t> </w:t>
      </w:r>
      <w:r>
        <w:rPr/>
        <w:t>Furthermore,</w:t>
      </w:r>
      <w:r>
        <w:rPr>
          <w:spacing w:val="-7"/>
        </w:rPr>
        <w:t> </w:t>
      </w:r>
      <w:r>
        <w:rPr/>
        <w:t>as</w:t>
      </w:r>
      <w:r>
        <w:rPr>
          <w:spacing w:val="-6"/>
        </w:rPr>
        <w:t> </w:t>
      </w:r>
      <w:r>
        <w:rPr/>
        <w:t>discussed</w:t>
      </w:r>
      <w:r>
        <w:rPr>
          <w:spacing w:val="-7"/>
        </w:rPr>
        <w:t> </w:t>
      </w:r>
      <w:r>
        <w:rPr/>
        <w:t>in</w:t>
      </w:r>
      <w:r>
        <w:rPr>
          <w:spacing w:val="-7"/>
        </w:rPr>
        <w:t> </w:t>
      </w:r>
      <w:r>
        <w:rPr/>
        <w:t>the</w:t>
      </w:r>
      <w:r>
        <w:rPr>
          <w:spacing w:val="-7"/>
        </w:rPr>
        <w:t> </w:t>
      </w:r>
      <w:r>
        <w:rPr/>
        <w:t>pregnancy</w:t>
      </w:r>
      <w:r>
        <w:rPr>
          <w:spacing w:val="-6"/>
        </w:rPr>
        <w:t> </w:t>
      </w:r>
      <w:r>
        <w:rPr/>
        <w:t>section</w:t>
      </w:r>
      <w:r>
        <w:rPr>
          <w:spacing w:val="-8"/>
        </w:rPr>
        <w:t> </w:t>
      </w:r>
      <w:r>
        <w:rPr/>
        <w:t>of</w:t>
      </w:r>
      <w:r>
        <w:rPr>
          <w:spacing w:val="-6"/>
        </w:rPr>
        <w:t> </w:t>
      </w:r>
      <w:r>
        <w:rPr/>
        <w:t>this</w:t>
      </w:r>
      <w:r>
        <w:rPr>
          <w:spacing w:val="-7"/>
        </w:rPr>
        <w:t> </w:t>
      </w:r>
      <w:r>
        <w:rPr/>
        <w:t>annual</w:t>
      </w:r>
      <w:r>
        <w:rPr>
          <w:spacing w:val="-7"/>
        </w:rPr>
        <w:t> </w:t>
      </w:r>
      <w:r>
        <w:rPr/>
        <w:t>report,</w:t>
      </w:r>
      <w:r>
        <w:rPr>
          <w:spacing w:val="-7"/>
        </w:rPr>
        <w:t> </w:t>
      </w:r>
      <w:r>
        <w:rPr/>
        <w:t>LGBTQ</w:t>
      </w:r>
      <w:r>
        <w:rPr>
          <w:spacing w:val="-7"/>
        </w:rPr>
        <w:t> </w:t>
      </w:r>
      <w:r>
        <w:rPr/>
        <w:t>youth</w:t>
      </w:r>
      <w:r>
        <w:rPr>
          <w:spacing w:val="-7"/>
        </w:rPr>
        <w:t> </w:t>
      </w:r>
      <w:r>
        <w:rPr/>
        <w:t>are</w:t>
      </w:r>
      <w:r>
        <w:rPr>
          <w:spacing w:val="-8"/>
        </w:rPr>
        <w:t> </w:t>
      </w:r>
      <w:r>
        <w:rPr/>
        <w:t>often left out of conversations around national and statewide conversations involving pregnancy, abortion access, and gynecological health, but often face significant disparities in access and care. Compounding these issues, LGBTQ youth frequently encounter barriers to accessing contraceptives, affirming medical care, and inclusive sexual health education. Across the nation, 29 states and D.C. mandate sexual health education in schools, though only 7 states require curricula to include information on sexual orientation and</w:t>
      </w:r>
      <w:r>
        <w:rPr>
          <w:spacing w:val="-11"/>
        </w:rPr>
        <w:t> </w:t>
      </w:r>
      <w:r>
        <w:rPr/>
        <w:t>gender</w:t>
      </w:r>
      <w:r>
        <w:rPr>
          <w:spacing w:val="-11"/>
        </w:rPr>
        <w:t> </w:t>
      </w:r>
      <w:r>
        <w:rPr/>
        <w:t>identity</w:t>
      </w:r>
      <w:r>
        <w:rPr>
          <w:spacing w:val="-9"/>
        </w:rPr>
        <w:t> </w:t>
      </w:r>
      <w:r>
        <w:rPr/>
        <w:t>-</w:t>
      </w:r>
      <w:r>
        <w:rPr>
          <w:spacing w:val="-11"/>
        </w:rPr>
        <w:t> </w:t>
      </w:r>
      <w:r>
        <w:rPr/>
        <w:t>Massachusetts,</w:t>
      </w:r>
      <w:r>
        <w:rPr>
          <w:spacing w:val="-11"/>
        </w:rPr>
        <w:t> </w:t>
      </w:r>
      <w:r>
        <w:rPr/>
        <w:t>which</w:t>
      </w:r>
      <w:r>
        <w:rPr>
          <w:spacing w:val="-11"/>
        </w:rPr>
        <w:t> </w:t>
      </w:r>
      <w:r>
        <w:rPr/>
        <w:t>has</w:t>
      </w:r>
      <w:r>
        <w:rPr>
          <w:spacing w:val="-11"/>
        </w:rPr>
        <w:t> </w:t>
      </w:r>
      <w:r>
        <w:rPr/>
        <w:t>not</w:t>
      </w:r>
      <w:r>
        <w:rPr>
          <w:spacing w:val="-12"/>
        </w:rPr>
        <w:t> </w:t>
      </w:r>
      <w:r>
        <w:rPr/>
        <w:t>updated</w:t>
      </w:r>
      <w:r>
        <w:rPr>
          <w:spacing w:val="-11"/>
        </w:rPr>
        <w:t> </w:t>
      </w:r>
      <w:r>
        <w:rPr/>
        <w:t>its</w:t>
      </w:r>
      <w:r>
        <w:rPr>
          <w:spacing w:val="-11"/>
        </w:rPr>
        <w:t> </w:t>
      </w:r>
      <w:r>
        <w:rPr/>
        <w:t>education</w:t>
      </w:r>
      <w:r>
        <w:rPr>
          <w:spacing w:val="-11"/>
        </w:rPr>
        <w:t> </w:t>
      </w:r>
      <w:r>
        <w:rPr/>
        <w:t>standards</w:t>
      </w:r>
      <w:r>
        <w:rPr>
          <w:spacing w:val="-11"/>
        </w:rPr>
        <w:t> </w:t>
      </w:r>
      <w:r>
        <w:rPr/>
        <w:t>since</w:t>
      </w:r>
      <w:r>
        <w:rPr>
          <w:spacing w:val="-11"/>
        </w:rPr>
        <w:t> </w:t>
      </w:r>
      <w:r>
        <w:rPr/>
        <w:t>1999,</w:t>
      </w:r>
      <w:r>
        <w:rPr>
          <w:spacing w:val="-11"/>
        </w:rPr>
        <w:t> </w:t>
      </w:r>
      <w:r>
        <w:rPr/>
        <w:t>mandates </w:t>
      </w:r>
      <w:r>
        <w:rPr>
          <w:spacing w:val="-2"/>
        </w:rPr>
        <w:t>neither.</w:t>
      </w:r>
      <w:r>
        <w:rPr>
          <w:spacing w:val="-2"/>
          <w:vertAlign w:val="superscript"/>
        </w:rPr>
        <w:t>1</w:t>
      </w:r>
    </w:p>
    <w:p>
      <w:pPr>
        <w:pStyle w:val="BodyText"/>
        <w:spacing w:line="276" w:lineRule="auto" w:before="120"/>
        <w:ind w:left="363" w:right="143"/>
        <w:jc w:val="both"/>
      </w:pPr>
      <w:r>
        <w:rPr/>
        <w:t>As highlighted in numerous areas throughout this report, sexual health goes beyond just conversations around HIV, AIDS, and education. The following recommendations highlight solutions for critical gaps in Massachusetts</w:t>
      </w:r>
      <w:r>
        <w:rPr>
          <w:spacing w:val="-4"/>
        </w:rPr>
        <w:t> </w:t>
      </w:r>
      <w:r>
        <w:rPr/>
        <w:t>policies</w:t>
      </w:r>
      <w:r>
        <w:rPr>
          <w:spacing w:val="-4"/>
        </w:rPr>
        <w:t> </w:t>
      </w:r>
      <w:r>
        <w:rPr/>
        <w:t>and</w:t>
      </w:r>
      <w:r>
        <w:rPr>
          <w:spacing w:val="-4"/>
        </w:rPr>
        <w:t> </w:t>
      </w:r>
      <w:r>
        <w:rPr/>
        <w:t>services,</w:t>
      </w:r>
      <w:r>
        <w:rPr>
          <w:spacing w:val="-4"/>
        </w:rPr>
        <w:t> </w:t>
      </w:r>
      <w:r>
        <w:rPr/>
        <w:t>while</w:t>
      </w:r>
      <w:r>
        <w:rPr>
          <w:spacing w:val="-4"/>
        </w:rPr>
        <w:t> </w:t>
      </w:r>
      <w:r>
        <w:rPr/>
        <w:t>also</w:t>
      </w:r>
      <w:r>
        <w:rPr>
          <w:spacing w:val="-4"/>
        </w:rPr>
        <w:t> </w:t>
      </w:r>
      <w:r>
        <w:rPr/>
        <w:t>taking</w:t>
      </w:r>
      <w:r>
        <w:rPr>
          <w:spacing w:val="-4"/>
        </w:rPr>
        <w:t> </w:t>
      </w:r>
      <w:r>
        <w:rPr/>
        <w:t>a</w:t>
      </w:r>
      <w:r>
        <w:rPr>
          <w:spacing w:val="-3"/>
        </w:rPr>
        <w:t> </w:t>
      </w:r>
      <w:r>
        <w:rPr/>
        <w:t>broader</w:t>
      </w:r>
      <w:r>
        <w:rPr>
          <w:spacing w:val="-4"/>
        </w:rPr>
        <w:t> </w:t>
      </w:r>
      <w:r>
        <w:rPr/>
        <w:t>look</w:t>
      </w:r>
      <w:r>
        <w:rPr>
          <w:spacing w:val="-4"/>
        </w:rPr>
        <w:t> </w:t>
      </w:r>
      <w:r>
        <w:rPr/>
        <w:t>at</w:t>
      </w:r>
      <w:r>
        <w:rPr>
          <w:spacing w:val="-4"/>
        </w:rPr>
        <w:t> </w:t>
      </w:r>
      <w:r>
        <w:rPr/>
        <w:t>how</w:t>
      </w:r>
      <w:r>
        <w:rPr>
          <w:spacing w:val="-3"/>
        </w:rPr>
        <w:t> </w:t>
      </w:r>
      <w:r>
        <w:rPr/>
        <w:t>LGBTQ</w:t>
      </w:r>
      <w:r>
        <w:rPr>
          <w:spacing w:val="-3"/>
        </w:rPr>
        <w:t> </w:t>
      </w:r>
      <w:r>
        <w:rPr/>
        <w:t>youth</w:t>
      </w:r>
      <w:r>
        <w:rPr>
          <w:spacing w:val="-2"/>
        </w:rPr>
        <w:t> </w:t>
      </w:r>
      <w:r>
        <w:rPr/>
        <w:t>are</w:t>
      </w:r>
      <w:r>
        <w:rPr>
          <w:spacing w:val="-4"/>
        </w:rPr>
        <w:t> </w:t>
      </w:r>
      <w:r>
        <w:rPr/>
        <w:t>affected</w:t>
      </w:r>
      <w:r>
        <w:rPr>
          <w:spacing w:val="-3"/>
        </w:rPr>
        <w:t> </w:t>
      </w:r>
      <w:r>
        <w:rPr/>
        <w:t>by poor sexual health policies across the state.</w:t>
      </w:r>
    </w:p>
    <w:p>
      <w:pPr>
        <w:pStyle w:val="BodyText"/>
        <w:spacing w:before="129"/>
      </w:pPr>
    </w:p>
    <w:p>
      <w:pPr>
        <w:spacing w:before="0"/>
        <w:ind w:left="363" w:right="0" w:firstLine="0"/>
        <w:jc w:val="both"/>
        <w:rPr>
          <w:sz w:val="28"/>
        </w:rPr>
      </w:pPr>
      <w:r>
        <w:rPr/>
        <mc:AlternateContent>
          <mc:Choice Requires="wps">
            <w:drawing>
              <wp:anchor distT="0" distB="0" distL="0" distR="0" allowOverlap="1" layoutInCell="1" locked="0" behindDoc="1" simplePos="0" relativeHeight="487643648">
                <wp:simplePos x="0" y="0"/>
                <wp:positionH relativeFrom="page">
                  <wp:posOffset>897636</wp:posOffset>
                </wp:positionH>
                <wp:positionV relativeFrom="paragraph">
                  <wp:posOffset>230755</wp:posOffset>
                </wp:positionV>
                <wp:extent cx="6014720" cy="635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6014720" cy="6350"/>
                        </a:xfrm>
                        <a:custGeom>
                          <a:avLst/>
                          <a:gdLst/>
                          <a:ahLst/>
                          <a:cxnLst/>
                          <a:rect l="l" t="t" r="r" b="b"/>
                          <a:pathLst>
                            <a:path w="6014720" h="6350">
                              <a:moveTo>
                                <a:pt x="6014466" y="0"/>
                              </a:moveTo>
                              <a:lnTo>
                                <a:pt x="0" y="0"/>
                              </a:lnTo>
                              <a:lnTo>
                                <a:pt x="0" y="6096"/>
                              </a:lnTo>
                              <a:lnTo>
                                <a:pt x="6014466" y="6096"/>
                              </a:lnTo>
                              <a:lnTo>
                                <a:pt x="60144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69731pt;width:473.58pt;height:.48pt;mso-position-horizontal-relative:page;mso-position-vertical-relative:paragraph;z-index:-15672832;mso-wrap-distance-left:0;mso-wrap-distance-right:0" id="docshape253" filled="true" fillcolor="#4f81bc" stroked="false">
                <v:fill type="solid"/>
                <w10:wrap type="topAndBottom"/>
              </v:rect>
            </w:pict>
          </mc:Fallback>
        </mc:AlternateContent>
      </w:r>
      <w:r>
        <w:rPr/>
        <mc:AlternateContent>
          <mc:Choice Requires="wps">
            <w:drawing>
              <wp:anchor distT="0" distB="0" distL="0" distR="0" allowOverlap="1" layoutInCell="1" locked="0" behindDoc="1" simplePos="0" relativeHeight="487644160">
                <wp:simplePos x="0" y="0"/>
                <wp:positionH relativeFrom="page">
                  <wp:posOffset>889000</wp:posOffset>
                </wp:positionH>
                <wp:positionV relativeFrom="paragraph">
                  <wp:posOffset>288019</wp:posOffset>
                </wp:positionV>
                <wp:extent cx="6350" cy="1270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22.67873pt;width:.499pt;height:.959pt;mso-position-horizontal-relative:page;mso-position-vertical-relative:paragraph;z-index:-15672320;mso-wrap-distance-left:0;mso-wrap-distance-right:0" id="docshape254" filled="true" fillcolor="#0f6dc5" stroked="false">
                <v:fill type="solid"/>
                <w10:wrap type="topAndBottom"/>
              </v:rect>
            </w:pict>
          </mc:Fallback>
        </mc:AlternateContent>
      </w:r>
      <w:bookmarkStart w:name="FY 2025 Recommendations to the Governor " w:id="464"/>
      <w:bookmarkEnd w:id="464"/>
      <w:r>
        <w:rPr/>
      </w:r>
      <w:r>
        <w:rPr>
          <w:color w:val="365F91"/>
          <w:sz w:val="28"/>
        </w:rPr>
        <w:t>FY</w:t>
      </w:r>
      <w:r>
        <w:rPr>
          <w:color w:val="365F91"/>
          <w:spacing w:val="-10"/>
          <w:sz w:val="28"/>
        </w:rPr>
        <w:t> </w:t>
      </w:r>
      <w:r>
        <w:rPr>
          <w:color w:val="365F91"/>
          <w:sz w:val="28"/>
        </w:rPr>
        <w:t>2025</w:t>
      </w:r>
      <w:r>
        <w:rPr>
          <w:color w:val="365F91"/>
          <w:spacing w:val="-10"/>
          <w:sz w:val="28"/>
        </w:rPr>
        <w:t> </w:t>
      </w:r>
      <w:r>
        <w:rPr>
          <w:color w:val="365F91"/>
          <w:sz w:val="28"/>
        </w:rPr>
        <w:t>Recommendations</w:t>
      </w:r>
      <w:r>
        <w:rPr>
          <w:color w:val="365F91"/>
          <w:spacing w:val="-9"/>
          <w:sz w:val="28"/>
        </w:rPr>
        <w:t> </w:t>
      </w:r>
      <w:r>
        <w:rPr>
          <w:color w:val="365F91"/>
          <w:sz w:val="28"/>
        </w:rPr>
        <w:t>to</w:t>
      </w:r>
      <w:r>
        <w:rPr>
          <w:color w:val="365F91"/>
          <w:spacing w:val="-9"/>
          <w:sz w:val="28"/>
        </w:rPr>
        <w:t> </w:t>
      </w:r>
      <w:r>
        <w:rPr>
          <w:color w:val="365F91"/>
          <w:sz w:val="28"/>
        </w:rPr>
        <w:t>the</w:t>
      </w:r>
      <w:r>
        <w:rPr>
          <w:color w:val="365F91"/>
          <w:spacing w:val="-10"/>
          <w:sz w:val="28"/>
        </w:rPr>
        <w:t> </w:t>
      </w:r>
      <w:r>
        <w:rPr>
          <w:color w:val="365F91"/>
          <w:sz w:val="28"/>
        </w:rPr>
        <w:t>Governor</w:t>
      </w:r>
      <w:r>
        <w:rPr>
          <w:color w:val="365F91"/>
          <w:spacing w:val="-10"/>
          <w:sz w:val="28"/>
        </w:rPr>
        <w:t> </w:t>
      </w:r>
      <w:r>
        <w:rPr>
          <w:color w:val="365F91"/>
          <w:sz w:val="28"/>
        </w:rPr>
        <w:t>and</w:t>
      </w:r>
      <w:r>
        <w:rPr>
          <w:color w:val="365F91"/>
          <w:spacing w:val="-11"/>
          <w:sz w:val="28"/>
        </w:rPr>
        <w:t> </w:t>
      </w:r>
      <w:r>
        <w:rPr>
          <w:color w:val="365F91"/>
          <w:sz w:val="28"/>
        </w:rPr>
        <w:t>Legislature</w:t>
      </w:r>
      <w:r>
        <w:rPr>
          <w:color w:val="365F91"/>
          <w:spacing w:val="-9"/>
          <w:sz w:val="28"/>
        </w:rPr>
        <w:t> </w:t>
      </w:r>
      <w:r>
        <w:rPr>
          <w:color w:val="365F91"/>
          <w:sz w:val="28"/>
        </w:rPr>
        <w:t>on</w:t>
      </w:r>
      <w:r>
        <w:rPr>
          <w:color w:val="365F91"/>
          <w:spacing w:val="-11"/>
          <w:sz w:val="28"/>
        </w:rPr>
        <w:t> </w:t>
      </w:r>
      <w:r>
        <w:rPr>
          <w:color w:val="365F91"/>
          <w:sz w:val="28"/>
        </w:rPr>
        <w:t>Sexual</w:t>
      </w:r>
      <w:r>
        <w:rPr>
          <w:color w:val="365F91"/>
          <w:spacing w:val="-9"/>
          <w:sz w:val="28"/>
        </w:rPr>
        <w:t> </w:t>
      </w:r>
      <w:r>
        <w:rPr>
          <w:color w:val="365F91"/>
          <w:spacing w:val="-2"/>
          <w:sz w:val="28"/>
        </w:rPr>
        <w:t>Health</w:t>
      </w:r>
    </w:p>
    <w:p>
      <w:pPr>
        <w:pStyle w:val="BodyText"/>
        <w:spacing w:before="7"/>
        <w:rPr>
          <w:sz w:val="4"/>
        </w:rPr>
      </w:pPr>
    </w:p>
    <w:p>
      <w:pPr>
        <w:numPr>
          <w:ilvl w:val="0"/>
          <w:numId w:val="23"/>
        </w:numPr>
        <w:tabs>
          <w:tab w:pos="602" w:val="left" w:leader="none"/>
        </w:tabs>
        <w:spacing w:line="276" w:lineRule="auto" w:before="101"/>
        <w:ind w:left="363" w:right="143" w:firstLine="0"/>
        <w:jc w:val="left"/>
        <w:rPr>
          <w:b/>
          <w:sz w:val="22"/>
        </w:rPr>
      </w:pPr>
      <w:bookmarkStart w:name="1. Ensure that all youth have access to " w:id="465"/>
      <w:bookmarkEnd w:id="465"/>
      <w:r>
        <w:rPr/>
      </w:r>
      <w:r>
        <w:rPr>
          <w:b/>
          <w:sz w:val="22"/>
        </w:rPr>
        <w:t>Ensure</w:t>
      </w:r>
      <w:r>
        <w:rPr>
          <w:b/>
          <w:spacing w:val="26"/>
          <w:sz w:val="22"/>
        </w:rPr>
        <w:t> </w:t>
      </w:r>
      <w:r>
        <w:rPr>
          <w:b/>
          <w:sz w:val="22"/>
        </w:rPr>
        <w:t>that</w:t>
      </w:r>
      <w:r>
        <w:rPr>
          <w:b/>
          <w:spacing w:val="26"/>
          <w:sz w:val="22"/>
        </w:rPr>
        <w:t> </w:t>
      </w:r>
      <w:r>
        <w:rPr>
          <w:b/>
          <w:sz w:val="22"/>
        </w:rPr>
        <w:t>all</w:t>
      </w:r>
      <w:r>
        <w:rPr>
          <w:b/>
          <w:spacing w:val="26"/>
          <w:sz w:val="22"/>
        </w:rPr>
        <w:t> </w:t>
      </w:r>
      <w:r>
        <w:rPr>
          <w:b/>
          <w:sz w:val="22"/>
        </w:rPr>
        <w:t>youth</w:t>
      </w:r>
      <w:r>
        <w:rPr>
          <w:b/>
          <w:spacing w:val="26"/>
          <w:sz w:val="22"/>
        </w:rPr>
        <w:t> </w:t>
      </w:r>
      <w:r>
        <w:rPr>
          <w:b/>
          <w:sz w:val="22"/>
        </w:rPr>
        <w:t>have</w:t>
      </w:r>
      <w:r>
        <w:rPr>
          <w:b/>
          <w:spacing w:val="26"/>
          <w:sz w:val="22"/>
        </w:rPr>
        <w:t> </w:t>
      </w:r>
      <w:r>
        <w:rPr>
          <w:b/>
          <w:sz w:val="22"/>
        </w:rPr>
        <w:t>access</w:t>
      </w:r>
      <w:r>
        <w:rPr>
          <w:b/>
          <w:spacing w:val="28"/>
          <w:sz w:val="22"/>
        </w:rPr>
        <w:t> </w:t>
      </w:r>
      <w:r>
        <w:rPr>
          <w:b/>
          <w:sz w:val="22"/>
        </w:rPr>
        <w:t>to</w:t>
      </w:r>
      <w:r>
        <w:rPr>
          <w:b/>
          <w:spacing w:val="26"/>
          <w:sz w:val="22"/>
        </w:rPr>
        <w:t> </w:t>
      </w:r>
      <w:r>
        <w:rPr>
          <w:b/>
          <w:sz w:val="22"/>
        </w:rPr>
        <w:t>age-appropriate,</w:t>
      </w:r>
      <w:r>
        <w:rPr>
          <w:b/>
          <w:spacing w:val="26"/>
          <w:sz w:val="22"/>
        </w:rPr>
        <w:t> </w:t>
      </w:r>
      <w:r>
        <w:rPr>
          <w:b/>
          <w:sz w:val="22"/>
        </w:rPr>
        <w:t>LGBTQ-inclusive,</w:t>
      </w:r>
      <w:r>
        <w:rPr>
          <w:b/>
          <w:spacing w:val="26"/>
          <w:sz w:val="22"/>
        </w:rPr>
        <w:t> </w:t>
      </w:r>
      <w:r>
        <w:rPr>
          <w:b/>
          <w:sz w:val="22"/>
        </w:rPr>
        <w:t>and</w:t>
      </w:r>
      <w:r>
        <w:rPr>
          <w:b/>
          <w:spacing w:val="26"/>
          <w:sz w:val="22"/>
        </w:rPr>
        <w:t> </w:t>
      </w:r>
      <w:r>
        <w:rPr>
          <w:b/>
          <w:sz w:val="22"/>
        </w:rPr>
        <w:t>consent-based</w:t>
      </w:r>
      <w:r>
        <w:rPr>
          <w:b/>
          <w:spacing w:val="26"/>
          <w:sz w:val="22"/>
        </w:rPr>
        <w:t> </w:t>
      </w:r>
      <w:r>
        <w:rPr>
          <w:b/>
          <w:sz w:val="22"/>
        </w:rPr>
        <w:t>sexual health education, and that educators are provided with implementation support.</w:t>
      </w:r>
    </w:p>
    <w:p>
      <w:pPr>
        <w:pStyle w:val="BodyText"/>
        <w:spacing w:line="276" w:lineRule="auto" w:before="240"/>
        <w:ind w:left="363" w:right="142"/>
        <w:jc w:val="both"/>
      </w:pPr>
      <w:r>
        <w:rPr/>
        <w:t>Most</w:t>
      </w:r>
      <w:r>
        <w:rPr>
          <w:spacing w:val="-13"/>
        </w:rPr>
        <w:t> </w:t>
      </w:r>
      <w:r>
        <w:rPr/>
        <w:t>youth</w:t>
      </w:r>
      <w:r>
        <w:rPr>
          <w:spacing w:val="-12"/>
        </w:rPr>
        <w:t> </w:t>
      </w:r>
      <w:r>
        <w:rPr/>
        <w:t>across</w:t>
      </w:r>
      <w:r>
        <w:rPr>
          <w:spacing w:val="-13"/>
        </w:rPr>
        <w:t> </w:t>
      </w:r>
      <w:r>
        <w:rPr/>
        <w:t>the</w:t>
      </w:r>
      <w:r>
        <w:rPr>
          <w:spacing w:val="-12"/>
        </w:rPr>
        <w:t> </w:t>
      </w:r>
      <w:r>
        <w:rPr/>
        <w:t>country</w:t>
      </w:r>
      <w:r>
        <w:rPr>
          <w:spacing w:val="-13"/>
        </w:rPr>
        <w:t> </w:t>
      </w:r>
      <w:r>
        <w:rPr/>
        <w:t>rely</w:t>
      </w:r>
      <w:r>
        <w:rPr>
          <w:spacing w:val="-12"/>
        </w:rPr>
        <w:t> </w:t>
      </w:r>
      <w:r>
        <w:rPr/>
        <w:t>on</w:t>
      </w:r>
      <w:r>
        <w:rPr>
          <w:spacing w:val="-13"/>
        </w:rPr>
        <w:t> </w:t>
      </w:r>
      <w:r>
        <w:rPr/>
        <w:t>schools</w:t>
      </w:r>
      <w:r>
        <w:rPr>
          <w:spacing w:val="-12"/>
        </w:rPr>
        <w:t> </w:t>
      </w:r>
      <w:r>
        <w:rPr/>
        <w:t>to</w:t>
      </w:r>
      <w:r>
        <w:rPr>
          <w:spacing w:val="-12"/>
        </w:rPr>
        <w:t> </w:t>
      </w:r>
      <w:r>
        <w:rPr/>
        <w:t>provide</w:t>
      </w:r>
      <w:r>
        <w:rPr>
          <w:spacing w:val="-13"/>
        </w:rPr>
        <w:t> </w:t>
      </w:r>
      <w:r>
        <w:rPr/>
        <w:t>basic</w:t>
      </w:r>
      <w:r>
        <w:rPr>
          <w:spacing w:val="-12"/>
        </w:rPr>
        <w:t> </w:t>
      </w:r>
      <w:r>
        <w:rPr/>
        <w:t>education</w:t>
      </w:r>
      <w:r>
        <w:rPr>
          <w:spacing w:val="-13"/>
        </w:rPr>
        <w:t> </w:t>
      </w:r>
      <w:r>
        <w:rPr/>
        <w:t>on</w:t>
      </w:r>
      <w:r>
        <w:rPr>
          <w:spacing w:val="-12"/>
        </w:rPr>
        <w:t> </w:t>
      </w:r>
      <w:r>
        <w:rPr/>
        <w:t>sexual</w:t>
      </w:r>
      <w:r>
        <w:rPr>
          <w:spacing w:val="-13"/>
        </w:rPr>
        <w:t> </w:t>
      </w:r>
      <w:r>
        <w:rPr/>
        <w:t>health,</w:t>
      </w:r>
      <w:r>
        <w:rPr>
          <w:spacing w:val="-12"/>
        </w:rPr>
        <w:t> </w:t>
      </w:r>
      <w:r>
        <w:rPr/>
        <w:t>building</w:t>
      </w:r>
      <w:r>
        <w:rPr>
          <w:spacing w:val="-12"/>
        </w:rPr>
        <w:t> </w:t>
      </w:r>
      <w:r>
        <w:rPr/>
        <w:t>healthy relationships,</w:t>
      </w:r>
      <w:r>
        <w:rPr>
          <w:spacing w:val="-8"/>
        </w:rPr>
        <w:t> </w:t>
      </w:r>
      <w:r>
        <w:rPr/>
        <w:t>and</w:t>
      </w:r>
      <w:r>
        <w:rPr>
          <w:spacing w:val="-9"/>
        </w:rPr>
        <w:t> </w:t>
      </w:r>
      <w:r>
        <w:rPr/>
        <w:t>consent.</w:t>
      </w:r>
      <w:r>
        <w:rPr>
          <w:spacing w:val="-8"/>
        </w:rPr>
        <w:t> </w:t>
      </w:r>
      <w:r>
        <w:rPr/>
        <w:t>For</w:t>
      </w:r>
      <w:r>
        <w:rPr>
          <w:spacing w:val="-9"/>
        </w:rPr>
        <w:t> </w:t>
      </w:r>
      <w:r>
        <w:rPr/>
        <w:t>a</w:t>
      </w:r>
      <w:r>
        <w:rPr>
          <w:spacing w:val="-8"/>
        </w:rPr>
        <w:t> </w:t>
      </w:r>
      <w:r>
        <w:rPr/>
        <w:t>variety</w:t>
      </w:r>
      <w:r>
        <w:rPr>
          <w:spacing w:val="-7"/>
        </w:rPr>
        <w:t> </w:t>
      </w:r>
      <w:r>
        <w:rPr/>
        <w:t>of</w:t>
      </w:r>
      <w:r>
        <w:rPr>
          <w:spacing w:val="-9"/>
        </w:rPr>
        <w:t> </w:t>
      </w:r>
      <w:r>
        <w:rPr/>
        <w:t>reasons,</w:t>
      </w:r>
      <w:r>
        <w:rPr>
          <w:spacing w:val="-8"/>
        </w:rPr>
        <w:t> </w:t>
      </w:r>
      <w:r>
        <w:rPr/>
        <w:t>including</w:t>
      </w:r>
      <w:r>
        <w:rPr>
          <w:spacing w:val="-9"/>
        </w:rPr>
        <w:t> </w:t>
      </w:r>
      <w:r>
        <w:rPr/>
        <w:t>financial</w:t>
      </w:r>
      <w:r>
        <w:rPr>
          <w:spacing w:val="-9"/>
        </w:rPr>
        <w:t> </w:t>
      </w:r>
      <w:r>
        <w:rPr/>
        <w:t>disparities</w:t>
      </w:r>
      <w:r>
        <w:rPr>
          <w:spacing w:val="-8"/>
        </w:rPr>
        <w:t> </w:t>
      </w:r>
      <w:r>
        <w:rPr/>
        <w:t>and</w:t>
      </w:r>
      <w:r>
        <w:rPr>
          <w:spacing w:val="-9"/>
        </w:rPr>
        <w:t> </w:t>
      </w:r>
      <w:r>
        <w:rPr/>
        <w:t>lack</w:t>
      </w:r>
      <w:r>
        <w:rPr>
          <w:spacing w:val="-9"/>
        </w:rPr>
        <w:t> </w:t>
      </w:r>
      <w:r>
        <w:rPr/>
        <w:t>of</w:t>
      </w:r>
      <w:r>
        <w:rPr>
          <w:spacing w:val="-9"/>
        </w:rPr>
        <w:t> </w:t>
      </w:r>
      <w:r>
        <w:rPr/>
        <w:t>support</w:t>
      </w:r>
      <w:r>
        <w:rPr>
          <w:spacing w:val="-9"/>
        </w:rPr>
        <w:t> </w:t>
      </w:r>
      <w:r>
        <w:rPr/>
        <w:t>from parents, many schools in Massachusetts fail to provide adequate sexual health education to students. LGBTQ youth often fail to receive appropriate sexual health education from their families, especially if their</w:t>
      </w:r>
      <w:r>
        <w:rPr>
          <w:spacing w:val="-13"/>
        </w:rPr>
        <w:t> </w:t>
      </w:r>
      <w:r>
        <w:rPr/>
        <w:t>parents</w:t>
      </w:r>
      <w:r>
        <w:rPr>
          <w:spacing w:val="-12"/>
        </w:rPr>
        <w:t> </w:t>
      </w:r>
      <w:r>
        <w:rPr/>
        <w:t>are</w:t>
      </w:r>
      <w:r>
        <w:rPr>
          <w:spacing w:val="-13"/>
        </w:rPr>
        <w:t> </w:t>
      </w:r>
      <w:r>
        <w:rPr/>
        <w:t>cisgender</w:t>
      </w:r>
      <w:r>
        <w:rPr>
          <w:spacing w:val="-12"/>
        </w:rPr>
        <w:t> </w:t>
      </w:r>
      <w:r>
        <w:rPr/>
        <w:t>and</w:t>
      </w:r>
      <w:r>
        <w:rPr>
          <w:spacing w:val="-13"/>
        </w:rPr>
        <w:t> </w:t>
      </w:r>
      <w:r>
        <w:rPr/>
        <w:t>heterosexual.</w:t>
      </w:r>
      <w:r>
        <w:rPr>
          <w:spacing w:val="-12"/>
        </w:rPr>
        <w:t> </w:t>
      </w:r>
      <w:r>
        <w:rPr/>
        <w:t>As</w:t>
      </w:r>
      <w:r>
        <w:rPr>
          <w:spacing w:val="-13"/>
        </w:rPr>
        <w:t> </w:t>
      </w:r>
      <w:r>
        <w:rPr/>
        <w:t>a</w:t>
      </w:r>
      <w:r>
        <w:rPr>
          <w:spacing w:val="-12"/>
        </w:rPr>
        <w:t> </w:t>
      </w:r>
      <w:r>
        <w:rPr/>
        <w:t>result,</w:t>
      </w:r>
      <w:r>
        <w:rPr>
          <w:spacing w:val="-12"/>
        </w:rPr>
        <w:t> </w:t>
      </w:r>
      <w:r>
        <w:rPr/>
        <w:t>youth</w:t>
      </w:r>
      <w:r>
        <w:rPr>
          <w:spacing w:val="-13"/>
        </w:rPr>
        <w:t> </w:t>
      </w:r>
      <w:r>
        <w:rPr/>
        <w:t>often</w:t>
      </w:r>
      <w:r>
        <w:rPr>
          <w:spacing w:val="-12"/>
        </w:rPr>
        <w:t> </w:t>
      </w:r>
      <w:r>
        <w:rPr/>
        <w:t>turn</w:t>
      </w:r>
      <w:r>
        <w:rPr>
          <w:spacing w:val="-13"/>
        </w:rPr>
        <w:t> </w:t>
      </w:r>
      <w:r>
        <w:rPr/>
        <w:t>to</w:t>
      </w:r>
      <w:r>
        <w:rPr>
          <w:spacing w:val="-12"/>
        </w:rPr>
        <w:t> </w:t>
      </w:r>
      <w:r>
        <w:rPr/>
        <w:t>finding</w:t>
      </w:r>
      <w:r>
        <w:rPr>
          <w:spacing w:val="-13"/>
        </w:rPr>
        <w:t> </w:t>
      </w:r>
      <w:r>
        <w:rPr/>
        <w:t>information</w:t>
      </w:r>
      <w:r>
        <w:rPr>
          <w:spacing w:val="-12"/>
        </w:rPr>
        <w:t> </w:t>
      </w:r>
      <w:r>
        <w:rPr/>
        <w:t>in</w:t>
      </w:r>
      <w:r>
        <w:rPr>
          <w:spacing w:val="-12"/>
        </w:rPr>
        <w:t> </w:t>
      </w:r>
      <w:r>
        <w:rPr/>
        <w:t>schools and, failing that, seek to learn from peers or the Internet - both of which provide inaccurate and harmful</w:t>
      </w:r>
    </w:p>
    <w:p>
      <w:pPr>
        <w:spacing w:after="0" w:line="276" w:lineRule="auto"/>
        <w:jc w:val="both"/>
        <w:sectPr>
          <w:headerReference w:type="default" r:id="rId389"/>
          <w:footerReference w:type="default" r:id="rId390"/>
          <w:pgSz w:w="12240" w:h="15840"/>
          <w:pgMar w:header="763" w:footer="1339" w:top="1180" w:bottom="1520" w:left="1080" w:right="1240"/>
          <w:pgNumType w:start="131"/>
        </w:sectPr>
      </w:pPr>
    </w:p>
    <w:p>
      <w:pPr>
        <w:pStyle w:val="BodyText"/>
        <w:spacing w:line="276" w:lineRule="auto" w:before="69"/>
        <w:ind w:left="363" w:right="142"/>
        <w:jc w:val="both"/>
      </w:pPr>
      <w:r>
        <w:rPr/>
        <w:t>education. Furthermore, most sexual health curricula fail to appropriately educate youth on the basis of consent, particularly youth in elementary school who often do not receive any education around correct names</w:t>
      </w:r>
      <w:r>
        <w:rPr>
          <w:spacing w:val="-4"/>
        </w:rPr>
        <w:t> </w:t>
      </w:r>
      <w:r>
        <w:rPr/>
        <w:t>for</w:t>
      </w:r>
      <w:r>
        <w:rPr>
          <w:spacing w:val="-4"/>
        </w:rPr>
        <w:t> </w:t>
      </w:r>
      <w:r>
        <w:rPr/>
        <w:t>body</w:t>
      </w:r>
      <w:r>
        <w:rPr>
          <w:spacing w:val="-4"/>
        </w:rPr>
        <w:t> </w:t>
      </w:r>
      <w:r>
        <w:rPr/>
        <w:t>parts.</w:t>
      </w:r>
      <w:r>
        <w:rPr>
          <w:spacing w:val="-3"/>
        </w:rPr>
        <w:t> </w:t>
      </w:r>
      <w:r>
        <w:rPr/>
        <w:t>Without</w:t>
      </w:r>
      <w:r>
        <w:rPr>
          <w:spacing w:val="-3"/>
        </w:rPr>
        <w:t> </w:t>
      </w:r>
      <w:r>
        <w:rPr/>
        <w:t>this</w:t>
      </w:r>
      <w:r>
        <w:rPr>
          <w:spacing w:val="-3"/>
        </w:rPr>
        <w:t> </w:t>
      </w:r>
      <w:r>
        <w:rPr/>
        <w:t>basic</w:t>
      </w:r>
      <w:r>
        <w:rPr>
          <w:spacing w:val="-5"/>
        </w:rPr>
        <w:t> </w:t>
      </w:r>
      <w:r>
        <w:rPr/>
        <w:t>education,</w:t>
      </w:r>
      <w:r>
        <w:rPr>
          <w:spacing w:val="-3"/>
        </w:rPr>
        <w:t> </w:t>
      </w:r>
      <w:r>
        <w:rPr/>
        <w:t>LGBTQ</w:t>
      </w:r>
      <w:r>
        <w:rPr>
          <w:spacing w:val="-3"/>
        </w:rPr>
        <w:t> </w:t>
      </w:r>
      <w:r>
        <w:rPr/>
        <w:t>youth</w:t>
      </w:r>
      <w:r>
        <w:rPr>
          <w:spacing w:val="-2"/>
        </w:rPr>
        <w:t> </w:t>
      </w:r>
      <w:r>
        <w:rPr/>
        <w:t>of</w:t>
      </w:r>
      <w:r>
        <w:rPr>
          <w:spacing w:val="-4"/>
        </w:rPr>
        <w:t> </w:t>
      </w:r>
      <w:r>
        <w:rPr/>
        <w:t>all</w:t>
      </w:r>
      <w:r>
        <w:rPr>
          <w:spacing w:val="-4"/>
        </w:rPr>
        <w:t> </w:t>
      </w:r>
      <w:r>
        <w:rPr/>
        <w:t>ages</w:t>
      </w:r>
      <w:r>
        <w:rPr>
          <w:spacing w:val="-4"/>
        </w:rPr>
        <w:t> </w:t>
      </w:r>
      <w:r>
        <w:rPr/>
        <w:t>are</w:t>
      </w:r>
      <w:r>
        <w:rPr>
          <w:spacing w:val="-4"/>
        </w:rPr>
        <w:t> </w:t>
      </w:r>
      <w:r>
        <w:rPr/>
        <w:t>at</w:t>
      </w:r>
      <w:r>
        <w:rPr>
          <w:spacing w:val="-4"/>
        </w:rPr>
        <w:t> </w:t>
      </w:r>
      <w:r>
        <w:rPr/>
        <w:t>a</w:t>
      </w:r>
      <w:r>
        <w:rPr>
          <w:spacing w:val="-3"/>
        </w:rPr>
        <w:t> </w:t>
      </w:r>
      <w:r>
        <w:rPr/>
        <w:t>greater</w:t>
      </w:r>
      <w:r>
        <w:rPr>
          <w:spacing w:val="-4"/>
        </w:rPr>
        <w:t> </w:t>
      </w:r>
      <w:r>
        <w:rPr/>
        <w:t>risk</w:t>
      </w:r>
      <w:r>
        <w:rPr>
          <w:spacing w:val="-4"/>
        </w:rPr>
        <w:t> </w:t>
      </w:r>
      <w:r>
        <w:rPr/>
        <w:t>of</w:t>
      </w:r>
      <w:r>
        <w:rPr>
          <w:spacing w:val="-4"/>
        </w:rPr>
        <w:t> </w:t>
      </w:r>
      <w:r>
        <w:rPr/>
        <w:t>sexual </w:t>
      </w:r>
      <w:r>
        <w:rPr>
          <w:spacing w:val="-2"/>
        </w:rPr>
        <w:t>victimization.</w:t>
      </w:r>
    </w:p>
    <w:p>
      <w:pPr>
        <w:pStyle w:val="BodyText"/>
        <w:spacing w:line="276" w:lineRule="auto" w:before="239"/>
        <w:ind w:left="363" w:right="141"/>
        <w:jc w:val="both"/>
      </w:pPr>
      <w:r>
        <w:rPr/>
        <w:t>The Commission commends the recent passage of the Department of Elementary and Secondary Education’s </w:t>
      </w:r>
      <w:hyperlink r:id="rId391">
        <w:r>
          <w:rPr>
            <w:color w:val="1154CC"/>
            <w:u w:val="single" w:color="1154CC"/>
          </w:rPr>
          <w:t>Comprehensive Health and Physical Education Frameworks</w:t>
        </w:r>
      </w:hyperlink>
      <w:r>
        <w:rPr>
          <w:color w:val="1154CC"/>
          <w:u w:val="none"/>
        </w:rPr>
        <w:t> </w:t>
      </w:r>
      <w:r>
        <w:rPr>
          <w:u w:val="none"/>
        </w:rPr>
        <w:t>in August 2023. Through its Safe Schools Program partnership with DESE, the Commission has been grateful for the opportunity to advise on the development, and now implementation, of the frameworks across the Commonwealth. However, it is critical to emphasize that these frameworks are </w:t>
      </w:r>
      <w:r>
        <w:rPr>
          <w:i/>
          <w:u w:val="none"/>
        </w:rPr>
        <w:t>not </w:t>
      </w:r>
      <w:r>
        <w:rPr>
          <w:u w:val="none"/>
        </w:rPr>
        <w:t>mandatory and act as guidelines rather than </w:t>
      </w:r>
      <w:r>
        <w:rPr>
          <w:spacing w:val="-2"/>
          <w:u w:val="none"/>
        </w:rPr>
        <w:t>requirements.</w:t>
      </w:r>
    </w:p>
    <w:p>
      <w:pPr>
        <w:pStyle w:val="BodyText"/>
        <w:spacing w:line="276" w:lineRule="auto" w:before="241"/>
        <w:ind w:left="363" w:right="142"/>
        <w:jc w:val="both"/>
      </w:pPr>
      <w:r>
        <w:rPr/>
        <w:t>The Commission supports and prioritizes the implementation of </w:t>
      </w:r>
      <w:r>
        <w:rPr>
          <w:i/>
        </w:rPr>
        <w:t>An Act Relative to Healthy Youth</w:t>
      </w:r>
      <w:r>
        <w:rPr>
          <w:i/>
        </w:rPr>
        <w:t> </w:t>
      </w:r>
      <w:r>
        <w:rPr/>
        <w:t>(</w:t>
      </w:r>
      <w:hyperlink r:id="rId130">
        <w:r>
          <w:rPr>
            <w:b/>
            <w:color w:val="1153CC"/>
            <w:u w:val="single" w:color="1153CC"/>
          </w:rPr>
          <w:t>S.268</w:t>
        </w:r>
      </w:hyperlink>
      <w:r>
        <w:rPr>
          <w:b/>
          <w:u w:val="none"/>
        </w:rPr>
        <w:t>/</w:t>
      </w:r>
      <w:hyperlink r:id="rId131">
        <w:r>
          <w:rPr>
            <w:b/>
            <w:color w:val="1153CC"/>
            <w:u w:val="single" w:color="1153CC"/>
          </w:rPr>
          <w:t>H.544</w:t>
        </w:r>
      </w:hyperlink>
      <w:r>
        <w:rPr>
          <w:u w:val="none"/>
        </w:rPr>
        <w:t>), also known</w:t>
      </w:r>
      <w:r>
        <w:rPr>
          <w:spacing w:val="-1"/>
          <w:u w:val="none"/>
        </w:rPr>
        <w:t> </w:t>
      </w:r>
      <w:r>
        <w:rPr>
          <w:u w:val="none"/>
        </w:rPr>
        <w:t>as the Healthy Youth</w:t>
      </w:r>
      <w:r>
        <w:rPr>
          <w:spacing w:val="-1"/>
          <w:u w:val="none"/>
        </w:rPr>
        <w:t> </w:t>
      </w:r>
      <w:r>
        <w:rPr>
          <w:u w:val="none"/>
        </w:rPr>
        <w:t>Act (HYA), which would</w:t>
      </w:r>
      <w:r>
        <w:rPr>
          <w:spacing w:val="-1"/>
          <w:u w:val="none"/>
        </w:rPr>
        <w:t> </w:t>
      </w:r>
      <w:r>
        <w:rPr>
          <w:u w:val="none"/>
        </w:rPr>
        <w:t>ensure that all</w:t>
      </w:r>
      <w:r>
        <w:rPr>
          <w:spacing w:val="-1"/>
          <w:u w:val="none"/>
        </w:rPr>
        <w:t> </w:t>
      </w:r>
      <w:r>
        <w:rPr>
          <w:u w:val="none"/>
        </w:rPr>
        <w:t>schools that</w:t>
      </w:r>
      <w:r>
        <w:rPr>
          <w:spacing w:val="-1"/>
          <w:u w:val="none"/>
        </w:rPr>
        <w:t> </w:t>
      </w:r>
      <w:r>
        <w:rPr>
          <w:u w:val="none"/>
        </w:rPr>
        <w:t>elect to teach sexual health education update their curriculum materials to include age-appropriate, consent- based,</w:t>
      </w:r>
      <w:r>
        <w:rPr>
          <w:spacing w:val="-13"/>
          <w:u w:val="none"/>
        </w:rPr>
        <w:t> </w:t>
      </w:r>
      <w:r>
        <w:rPr>
          <w:u w:val="none"/>
        </w:rPr>
        <w:t>and</w:t>
      </w:r>
      <w:r>
        <w:rPr>
          <w:spacing w:val="-12"/>
          <w:u w:val="none"/>
        </w:rPr>
        <w:t> </w:t>
      </w:r>
      <w:r>
        <w:rPr>
          <w:u w:val="none"/>
        </w:rPr>
        <w:t>LGBTQ-inclusive</w:t>
      </w:r>
      <w:r>
        <w:rPr>
          <w:spacing w:val="-13"/>
          <w:u w:val="none"/>
        </w:rPr>
        <w:t> </w:t>
      </w:r>
      <w:r>
        <w:rPr>
          <w:u w:val="none"/>
        </w:rPr>
        <w:t>information.</w:t>
      </w:r>
      <w:r>
        <w:rPr>
          <w:spacing w:val="-12"/>
          <w:u w:val="none"/>
        </w:rPr>
        <w:t> </w:t>
      </w:r>
      <w:r>
        <w:rPr>
          <w:u w:val="none"/>
        </w:rPr>
        <w:t>However,</w:t>
      </w:r>
      <w:r>
        <w:rPr>
          <w:spacing w:val="-13"/>
          <w:u w:val="none"/>
        </w:rPr>
        <w:t> </w:t>
      </w:r>
      <w:r>
        <w:rPr>
          <w:u w:val="none"/>
        </w:rPr>
        <w:t>the</w:t>
      </w:r>
      <w:r>
        <w:rPr>
          <w:spacing w:val="-12"/>
          <w:u w:val="none"/>
        </w:rPr>
        <w:t> </w:t>
      </w:r>
      <w:r>
        <w:rPr>
          <w:u w:val="none"/>
        </w:rPr>
        <w:t>Commission</w:t>
      </w:r>
      <w:r>
        <w:rPr>
          <w:spacing w:val="-13"/>
          <w:u w:val="none"/>
        </w:rPr>
        <w:t> </w:t>
      </w:r>
      <w:r>
        <w:rPr>
          <w:u w:val="none"/>
        </w:rPr>
        <w:t>supports</w:t>
      </w:r>
      <w:r>
        <w:rPr>
          <w:spacing w:val="-12"/>
          <w:u w:val="none"/>
        </w:rPr>
        <w:t> </w:t>
      </w:r>
      <w:r>
        <w:rPr>
          <w:u w:val="none"/>
        </w:rPr>
        <w:t>this</w:t>
      </w:r>
      <w:r>
        <w:rPr>
          <w:spacing w:val="-12"/>
          <w:u w:val="none"/>
        </w:rPr>
        <w:t> </w:t>
      </w:r>
      <w:r>
        <w:rPr>
          <w:u w:val="none"/>
        </w:rPr>
        <w:t>bill</w:t>
      </w:r>
      <w:r>
        <w:rPr>
          <w:spacing w:val="-13"/>
          <w:u w:val="none"/>
        </w:rPr>
        <w:t> </w:t>
      </w:r>
      <w:r>
        <w:rPr>
          <w:u w:val="none"/>
        </w:rPr>
        <w:t>on</w:t>
      </w:r>
      <w:r>
        <w:rPr>
          <w:spacing w:val="-12"/>
          <w:u w:val="none"/>
        </w:rPr>
        <w:t> </w:t>
      </w:r>
      <w:r>
        <w:rPr>
          <w:u w:val="none"/>
        </w:rPr>
        <w:t>the</w:t>
      </w:r>
      <w:r>
        <w:rPr>
          <w:spacing w:val="-13"/>
          <w:u w:val="none"/>
        </w:rPr>
        <w:t> </w:t>
      </w:r>
      <w:r>
        <w:rPr>
          <w:u w:val="none"/>
        </w:rPr>
        <w:t>understanding that the phrase “human sexuality issues” </w:t>
      </w:r>
      <w:r>
        <w:rPr>
          <w:b/>
          <w:u w:val="none"/>
        </w:rPr>
        <w:t>must be removed </w:t>
      </w:r>
      <w:r>
        <w:rPr>
          <w:u w:val="none"/>
        </w:rPr>
        <w:t>from the bill text before it is passed through the State House. The phrase as written seemingly provides a loophole being used by transphobic parents to</w:t>
      </w:r>
      <w:r>
        <w:rPr>
          <w:spacing w:val="-9"/>
          <w:u w:val="none"/>
        </w:rPr>
        <w:t> </w:t>
      </w:r>
      <w:r>
        <w:rPr>
          <w:u w:val="none"/>
        </w:rPr>
        <w:t>opt</w:t>
      </w:r>
      <w:r>
        <w:rPr>
          <w:spacing w:val="-10"/>
          <w:u w:val="none"/>
        </w:rPr>
        <w:t> </w:t>
      </w:r>
      <w:r>
        <w:rPr>
          <w:u w:val="none"/>
        </w:rPr>
        <w:t>students</w:t>
      </w:r>
      <w:r>
        <w:rPr>
          <w:spacing w:val="-9"/>
          <w:u w:val="none"/>
        </w:rPr>
        <w:t> </w:t>
      </w:r>
      <w:r>
        <w:rPr>
          <w:u w:val="none"/>
        </w:rPr>
        <w:t>out</w:t>
      </w:r>
      <w:r>
        <w:rPr>
          <w:spacing w:val="-10"/>
          <w:u w:val="none"/>
        </w:rPr>
        <w:t> </w:t>
      </w:r>
      <w:r>
        <w:rPr>
          <w:u w:val="none"/>
        </w:rPr>
        <w:t>from</w:t>
      </w:r>
      <w:r>
        <w:rPr>
          <w:spacing w:val="-10"/>
          <w:u w:val="none"/>
        </w:rPr>
        <w:t> </w:t>
      </w:r>
      <w:r>
        <w:rPr>
          <w:i/>
          <w:u w:val="none"/>
        </w:rPr>
        <w:t>all</w:t>
      </w:r>
      <w:r>
        <w:rPr>
          <w:i/>
          <w:spacing w:val="-10"/>
          <w:u w:val="none"/>
        </w:rPr>
        <w:t> </w:t>
      </w:r>
      <w:r>
        <w:rPr>
          <w:u w:val="none"/>
        </w:rPr>
        <w:t>LGBTQ-related</w:t>
      </w:r>
      <w:r>
        <w:rPr>
          <w:spacing w:val="-10"/>
          <w:u w:val="none"/>
        </w:rPr>
        <w:t> </w:t>
      </w:r>
      <w:r>
        <w:rPr>
          <w:u w:val="none"/>
        </w:rPr>
        <w:t>curriculum</w:t>
      </w:r>
      <w:r>
        <w:rPr>
          <w:spacing w:val="-10"/>
          <w:u w:val="none"/>
        </w:rPr>
        <w:t> </w:t>
      </w:r>
      <w:r>
        <w:rPr>
          <w:u w:val="none"/>
        </w:rPr>
        <w:t>being</w:t>
      </w:r>
      <w:r>
        <w:rPr>
          <w:spacing w:val="-10"/>
          <w:u w:val="none"/>
        </w:rPr>
        <w:t> </w:t>
      </w:r>
      <w:r>
        <w:rPr>
          <w:u w:val="none"/>
        </w:rPr>
        <w:t>provided</w:t>
      </w:r>
      <w:r>
        <w:rPr>
          <w:spacing w:val="-10"/>
          <w:u w:val="none"/>
        </w:rPr>
        <w:t> </w:t>
      </w:r>
      <w:r>
        <w:rPr>
          <w:u w:val="none"/>
        </w:rPr>
        <w:t>by</w:t>
      </w:r>
      <w:r>
        <w:rPr>
          <w:spacing w:val="-10"/>
          <w:u w:val="none"/>
        </w:rPr>
        <w:t> </w:t>
      </w:r>
      <w:r>
        <w:rPr>
          <w:u w:val="none"/>
        </w:rPr>
        <w:t>schools,</w:t>
      </w:r>
      <w:r>
        <w:rPr>
          <w:spacing w:val="-10"/>
          <w:u w:val="none"/>
        </w:rPr>
        <w:t> </w:t>
      </w:r>
      <w:r>
        <w:rPr>
          <w:u w:val="none"/>
        </w:rPr>
        <w:t>including</w:t>
      </w:r>
      <w:r>
        <w:rPr>
          <w:spacing w:val="-10"/>
          <w:u w:val="none"/>
        </w:rPr>
        <w:t> </w:t>
      </w:r>
      <w:r>
        <w:rPr>
          <w:u w:val="none"/>
        </w:rPr>
        <w:t>history</w:t>
      </w:r>
      <w:r>
        <w:rPr>
          <w:spacing w:val="-10"/>
          <w:u w:val="none"/>
        </w:rPr>
        <w:t> </w:t>
      </w:r>
      <w:r>
        <w:rPr>
          <w:u w:val="none"/>
        </w:rPr>
        <w:t>lessons and story hours, which in many instances has led for lessons to be canceled for all students. The Commission advises the legislature to remove these words to alleviate the significant burden that youth, parents, school administrators, and teachers are currently facing in dealing with these confusing </w:t>
      </w:r>
      <w:r>
        <w:rPr>
          <w:spacing w:val="-2"/>
          <w:u w:val="none"/>
        </w:rPr>
        <w:t>challenges.</w:t>
      </w:r>
    </w:p>
    <w:p>
      <w:pPr>
        <w:pStyle w:val="BodyText"/>
        <w:spacing w:line="276" w:lineRule="auto" w:before="240"/>
        <w:ind w:left="363" w:right="142"/>
        <w:jc w:val="both"/>
      </w:pPr>
      <w:r>
        <w:rPr/>
        <w:t>Furthermore, the Commission advises the state to examine all curriculum being taught to youth in state custody and services - with particular attention to the Department of Children &amp; Families (DCF) and Department of Developmental Services (DDS). The Commission has appreciated the attention of some state agencies, particularly the Department of Youth Services, for its commitment to updating and expanding its LGBTQ-inclusive education materials for its young people.</w:t>
      </w:r>
    </w:p>
    <w:p>
      <w:pPr>
        <w:numPr>
          <w:ilvl w:val="0"/>
          <w:numId w:val="23"/>
        </w:numPr>
        <w:tabs>
          <w:tab w:pos="581" w:val="left" w:leader="none"/>
        </w:tabs>
        <w:spacing w:line="276" w:lineRule="auto" w:before="239"/>
        <w:ind w:left="363" w:right="144" w:firstLine="0"/>
        <w:jc w:val="left"/>
        <w:rPr>
          <w:b/>
          <w:sz w:val="22"/>
        </w:rPr>
      </w:pPr>
      <w:bookmarkStart w:name="2. Support and increase HIV &amp; STI preven" w:id="466"/>
      <w:bookmarkEnd w:id="466"/>
      <w:r>
        <w:rPr/>
      </w:r>
      <w:r>
        <w:rPr>
          <w:b/>
          <w:sz w:val="22"/>
        </w:rPr>
        <w:t>Support and increase HIV &amp; STI prevention and treatment services for LGBTQ youth, and awareness campaigns across the state.</w:t>
      </w:r>
    </w:p>
    <w:p>
      <w:pPr>
        <w:pStyle w:val="BodyText"/>
        <w:spacing w:line="276" w:lineRule="auto" w:before="240"/>
        <w:ind w:left="363" w:right="141"/>
        <w:jc w:val="both"/>
      </w:pPr>
      <w:r>
        <w:rPr/>
        <w:t>Massachusetts is seeing an alarming rise in sexually transmitted infections and diseases in youth, per information received from the Department of Public Health (DPH). It is widely understood that LGBTQ youth</w:t>
      </w:r>
      <w:r>
        <w:rPr>
          <w:spacing w:val="-11"/>
        </w:rPr>
        <w:t> </w:t>
      </w:r>
      <w:r>
        <w:rPr/>
        <w:t>-</w:t>
      </w:r>
      <w:r>
        <w:rPr>
          <w:spacing w:val="-10"/>
        </w:rPr>
        <w:t> </w:t>
      </w:r>
      <w:r>
        <w:rPr/>
        <w:t>particularly</w:t>
      </w:r>
      <w:r>
        <w:rPr>
          <w:spacing w:val="-11"/>
        </w:rPr>
        <w:t> </w:t>
      </w:r>
      <w:r>
        <w:rPr/>
        <w:t>QTBIPOC</w:t>
      </w:r>
      <w:r>
        <w:rPr>
          <w:spacing w:val="-11"/>
        </w:rPr>
        <w:t> </w:t>
      </w:r>
      <w:r>
        <w:rPr/>
        <w:t>youth</w:t>
      </w:r>
      <w:r>
        <w:rPr>
          <w:spacing w:val="-10"/>
        </w:rPr>
        <w:t> </w:t>
      </w:r>
      <w:r>
        <w:rPr/>
        <w:t>-</w:t>
      </w:r>
      <w:r>
        <w:rPr>
          <w:spacing w:val="-11"/>
        </w:rPr>
        <w:t> </w:t>
      </w:r>
      <w:r>
        <w:rPr/>
        <w:t>are</w:t>
      </w:r>
      <w:r>
        <w:rPr>
          <w:spacing w:val="-11"/>
        </w:rPr>
        <w:t> </w:t>
      </w:r>
      <w:r>
        <w:rPr/>
        <w:t>disproportionately</w:t>
      </w:r>
      <w:r>
        <w:rPr>
          <w:spacing w:val="-11"/>
        </w:rPr>
        <w:t> </w:t>
      </w:r>
      <w:r>
        <w:rPr/>
        <w:t>impacted</w:t>
      </w:r>
      <w:r>
        <w:rPr>
          <w:spacing w:val="-10"/>
        </w:rPr>
        <w:t> </w:t>
      </w:r>
      <w:r>
        <w:rPr/>
        <w:t>by</w:t>
      </w:r>
      <w:r>
        <w:rPr>
          <w:spacing w:val="-10"/>
        </w:rPr>
        <w:t> </w:t>
      </w:r>
      <w:r>
        <w:rPr/>
        <w:t>HIV,</w:t>
      </w:r>
      <w:r>
        <w:rPr>
          <w:spacing w:val="-11"/>
        </w:rPr>
        <w:t> </w:t>
      </w:r>
      <w:r>
        <w:rPr/>
        <w:t>and</w:t>
      </w:r>
      <w:r>
        <w:rPr>
          <w:spacing w:val="-11"/>
        </w:rPr>
        <w:t> </w:t>
      </w:r>
      <w:r>
        <w:rPr/>
        <w:t>access</w:t>
      </w:r>
      <w:r>
        <w:rPr>
          <w:spacing w:val="-11"/>
        </w:rPr>
        <w:t> </w:t>
      </w:r>
      <w:r>
        <w:rPr/>
        <w:t>to</w:t>
      </w:r>
      <w:r>
        <w:rPr>
          <w:spacing w:val="-9"/>
        </w:rPr>
        <w:t> </w:t>
      </w:r>
      <w:r>
        <w:rPr/>
        <w:t>HIV</w:t>
      </w:r>
      <w:r>
        <w:rPr>
          <w:spacing w:val="-11"/>
        </w:rPr>
        <w:t> </w:t>
      </w:r>
      <w:r>
        <w:rPr/>
        <w:t>prevention and</w:t>
      </w:r>
      <w:r>
        <w:rPr>
          <w:spacing w:val="-10"/>
        </w:rPr>
        <w:t> </w:t>
      </w:r>
      <w:r>
        <w:rPr/>
        <w:t>treatment</w:t>
      </w:r>
      <w:r>
        <w:rPr>
          <w:spacing w:val="-11"/>
        </w:rPr>
        <w:t> </w:t>
      </w:r>
      <w:r>
        <w:rPr/>
        <w:t>is</w:t>
      </w:r>
      <w:r>
        <w:rPr>
          <w:spacing w:val="-10"/>
        </w:rPr>
        <w:t> </w:t>
      </w:r>
      <w:r>
        <w:rPr/>
        <w:t>limited.</w:t>
      </w:r>
      <w:r>
        <w:rPr>
          <w:spacing w:val="-9"/>
        </w:rPr>
        <w:t> </w:t>
      </w:r>
      <w:r>
        <w:rPr/>
        <w:t>The</w:t>
      </w:r>
      <w:r>
        <w:rPr>
          <w:spacing w:val="-10"/>
        </w:rPr>
        <w:t> </w:t>
      </w:r>
      <w:r>
        <w:rPr/>
        <w:t>Commission</w:t>
      </w:r>
      <w:r>
        <w:rPr>
          <w:spacing w:val="-10"/>
        </w:rPr>
        <w:t> </w:t>
      </w:r>
      <w:r>
        <w:rPr/>
        <w:t>strongly</w:t>
      </w:r>
      <w:r>
        <w:rPr>
          <w:spacing w:val="-10"/>
        </w:rPr>
        <w:t> </w:t>
      </w:r>
      <w:r>
        <w:rPr/>
        <w:t>recommends</w:t>
      </w:r>
      <w:r>
        <w:rPr>
          <w:spacing w:val="-10"/>
        </w:rPr>
        <w:t> </w:t>
      </w:r>
      <w:r>
        <w:rPr/>
        <w:t>that</w:t>
      </w:r>
      <w:r>
        <w:rPr>
          <w:spacing w:val="-11"/>
        </w:rPr>
        <w:t> </w:t>
      </w:r>
      <w:r>
        <w:rPr/>
        <w:t>the</w:t>
      </w:r>
      <w:r>
        <w:rPr>
          <w:spacing w:val="-10"/>
        </w:rPr>
        <w:t> </w:t>
      </w:r>
      <w:r>
        <w:rPr/>
        <w:t>legislature</w:t>
      </w:r>
      <w:r>
        <w:rPr>
          <w:spacing w:val="-10"/>
        </w:rPr>
        <w:t> </w:t>
      </w:r>
      <w:r>
        <w:rPr/>
        <w:t>pass</w:t>
      </w:r>
      <w:r>
        <w:rPr>
          <w:spacing w:val="-10"/>
        </w:rPr>
        <w:t> </w:t>
      </w:r>
      <w:r>
        <w:rPr>
          <w:i/>
        </w:rPr>
        <w:t>An</w:t>
      </w:r>
      <w:r>
        <w:rPr>
          <w:i/>
          <w:spacing w:val="-10"/>
        </w:rPr>
        <w:t> </w:t>
      </w:r>
      <w:r>
        <w:rPr>
          <w:i/>
        </w:rPr>
        <w:t>Act</w:t>
      </w:r>
      <w:r>
        <w:rPr>
          <w:i/>
          <w:spacing w:val="-11"/>
        </w:rPr>
        <w:t> </w:t>
      </w:r>
      <w:r>
        <w:rPr>
          <w:i/>
        </w:rPr>
        <w:t>to</w:t>
      </w:r>
      <w:r>
        <w:rPr>
          <w:i/>
          <w:spacing w:val="-10"/>
        </w:rPr>
        <w:t> </w:t>
      </w:r>
      <w:r>
        <w:rPr>
          <w:i/>
        </w:rPr>
        <w:t>Prevent</w:t>
      </w:r>
      <w:r>
        <w:rPr>
          <w:i/>
        </w:rPr>
        <w:t> Barriers to HIV Prevention Medication </w:t>
      </w:r>
      <w:r>
        <w:rPr/>
        <w:t>(</w:t>
      </w:r>
      <w:hyperlink r:id="rId392">
        <w:r>
          <w:rPr>
            <w:b/>
            <w:u w:val="single"/>
          </w:rPr>
          <w:t>S.619</w:t>
        </w:r>
      </w:hyperlink>
      <w:r>
        <w:rPr>
          <w:b/>
          <w:u w:val="none"/>
        </w:rPr>
        <w:t>/</w:t>
      </w:r>
      <w:hyperlink r:id="rId393">
        <w:r>
          <w:rPr>
            <w:b/>
            <w:u w:val="single"/>
          </w:rPr>
          <w:t>H.1085</w:t>
        </w:r>
      </w:hyperlink>
      <w:r>
        <w:rPr>
          <w:u w:val="none"/>
        </w:rPr>
        <w:t>), which would further address barriers to accessing HIV</w:t>
      </w:r>
      <w:r>
        <w:rPr>
          <w:spacing w:val="-1"/>
          <w:u w:val="none"/>
        </w:rPr>
        <w:t> </w:t>
      </w:r>
      <w:r>
        <w:rPr>
          <w:u w:val="none"/>
        </w:rPr>
        <w:t>prevention</w:t>
      </w:r>
      <w:r>
        <w:rPr>
          <w:spacing w:val="-2"/>
          <w:u w:val="none"/>
        </w:rPr>
        <w:t> </w:t>
      </w:r>
      <w:r>
        <w:rPr>
          <w:u w:val="none"/>
        </w:rPr>
        <w:t>medication.</w:t>
      </w:r>
      <w:r>
        <w:rPr>
          <w:spacing w:val="-1"/>
          <w:u w:val="none"/>
        </w:rPr>
        <w:t> </w:t>
      </w:r>
      <w:r>
        <w:rPr>
          <w:u w:val="none"/>
        </w:rPr>
        <w:t>Additionally,</w:t>
      </w:r>
      <w:r>
        <w:rPr>
          <w:spacing w:val="-1"/>
          <w:u w:val="none"/>
        </w:rPr>
        <w:t> </w:t>
      </w:r>
      <w:r>
        <w:rPr>
          <w:u w:val="none"/>
        </w:rPr>
        <w:t>the Commission</w:t>
      </w:r>
      <w:r>
        <w:rPr>
          <w:spacing w:val="-2"/>
          <w:u w:val="none"/>
        </w:rPr>
        <w:t> </w:t>
      </w:r>
      <w:r>
        <w:rPr>
          <w:u w:val="none"/>
        </w:rPr>
        <w:t>strongly</w:t>
      </w:r>
      <w:r>
        <w:rPr>
          <w:spacing w:val="-1"/>
          <w:u w:val="none"/>
        </w:rPr>
        <w:t> </w:t>
      </w:r>
      <w:r>
        <w:rPr>
          <w:u w:val="none"/>
        </w:rPr>
        <w:t>urges policymakers</w:t>
      </w:r>
      <w:r>
        <w:rPr>
          <w:spacing w:val="-1"/>
          <w:u w:val="none"/>
        </w:rPr>
        <w:t> </w:t>
      </w:r>
      <w:r>
        <w:rPr>
          <w:u w:val="none"/>
        </w:rPr>
        <w:t>to fully</w:t>
      </w:r>
      <w:r>
        <w:rPr>
          <w:spacing w:val="-1"/>
          <w:u w:val="none"/>
        </w:rPr>
        <w:t> </w:t>
      </w:r>
      <w:r>
        <w:rPr>
          <w:u w:val="none"/>
        </w:rPr>
        <w:t>restore</w:t>
      </w:r>
      <w:r>
        <w:rPr>
          <w:spacing w:val="-1"/>
          <w:u w:val="none"/>
        </w:rPr>
        <w:t> </w:t>
      </w:r>
      <w:r>
        <w:rPr>
          <w:u w:val="none"/>
        </w:rPr>
        <w:t>the cuts made to the state’s HIV/AIDS funding line beginning in FY 2024.</w:t>
      </w:r>
    </w:p>
    <w:p>
      <w:pPr>
        <w:spacing w:after="0" w:line="276" w:lineRule="auto"/>
        <w:jc w:val="both"/>
        <w:sectPr>
          <w:pgSz w:w="12240" w:h="15840"/>
          <w:pgMar w:header="763" w:footer="1339" w:top="1180" w:bottom="1560" w:left="1080" w:right="1240"/>
        </w:sectPr>
      </w:pPr>
    </w:p>
    <w:p>
      <w:pPr>
        <w:numPr>
          <w:ilvl w:val="0"/>
          <w:numId w:val="23"/>
        </w:numPr>
        <w:tabs>
          <w:tab w:pos="362" w:val="left" w:leader="none"/>
        </w:tabs>
        <w:spacing w:before="69"/>
        <w:ind w:left="362" w:right="0" w:hanging="244"/>
        <w:jc w:val="left"/>
        <w:rPr>
          <w:b/>
          <w:sz w:val="22"/>
        </w:rPr>
      </w:pPr>
      <w:bookmarkStart w:name="3. Prohibit medical providers from perfo" w:id="467"/>
      <w:bookmarkEnd w:id="467"/>
      <w:r>
        <w:rPr/>
      </w:r>
      <w:r>
        <w:rPr>
          <w:b/>
          <w:sz w:val="22"/>
        </w:rPr>
        <w:t>Prohibit</w:t>
      </w:r>
      <w:r>
        <w:rPr>
          <w:b/>
          <w:spacing w:val="-13"/>
          <w:sz w:val="22"/>
        </w:rPr>
        <w:t> </w:t>
      </w:r>
      <w:r>
        <w:rPr>
          <w:b/>
          <w:sz w:val="22"/>
        </w:rPr>
        <w:t>medical</w:t>
      </w:r>
      <w:r>
        <w:rPr>
          <w:b/>
          <w:spacing w:val="-12"/>
          <w:sz w:val="22"/>
        </w:rPr>
        <w:t> </w:t>
      </w:r>
      <w:r>
        <w:rPr>
          <w:b/>
          <w:sz w:val="22"/>
        </w:rPr>
        <w:t>providers</w:t>
      </w:r>
      <w:r>
        <w:rPr>
          <w:b/>
          <w:spacing w:val="-12"/>
          <w:sz w:val="22"/>
        </w:rPr>
        <w:t> </w:t>
      </w:r>
      <w:r>
        <w:rPr>
          <w:b/>
          <w:sz w:val="22"/>
        </w:rPr>
        <w:t>from</w:t>
      </w:r>
      <w:r>
        <w:rPr>
          <w:b/>
          <w:spacing w:val="-12"/>
          <w:sz w:val="22"/>
        </w:rPr>
        <w:t> </w:t>
      </w:r>
      <w:r>
        <w:rPr>
          <w:b/>
          <w:sz w:val="22"/>
        </w:rPr>
        <w:t>performing</w:t>
      </w:r>
      <w:r>
        <w:rPr>
          <w:b/>
          <w:spacing w:val="-12"/>
          <w:sz w:val="22"/>
        </w:rPr>
        <w:t> </w:t>
      </w:r>
      <w:r>
        <w:rPr>
          <w:b/>
          <w:sz w:val="22"/>
        </w:rPr>
        <w:t>non-consensual</w:t>
      </w:r>
      <w:r>
        <w:rPr>
          <w:b/>
          <w:spacing w:val="-11"/>
          <w:sz w:val="22"/>
        </w:rPr>
        <w:t> </w:t>
      </w:r>
      <w:r>
        <w:rPr>
          <w:b/>
          <w:sz w:val="22"/>
        </w:rPr>
        <w:t>examinations</w:t>
      </w:r>
      <w:r>
        <w:rPr>
          <w:b/>
          <w:spacing w:val="-12"/>
          <w:sz w:val="22"/>
        </w:rPr>
        <w:t> </w:t>
      </w:r>
      <w:r>
        <w:rPr>
          <w:b/>
          <w:sz w:val="22"/>
        </w:rPr>
        <w:t>on</w:t>
      </w:r>
      <w:r>
        <w:rPr>
          <w:b/>
          <w:spacing w:val="-11"/>
          <w:sz w:val="22"/>
        </w:rPr>
        <w:t> </w:t>
      </w:r>
      <w:r>
        <w:rPr>
          <w:b/>
          <w:sz w:val="22"/>
        </w:rPr>
        <w:t>unconscious</w:t>
      </w:r>
      <w:r>
        <w:rPr>
          <w:b/>
          <w:spacing w:val="-12"/>
          <w:sz w:val="22"/>
        </w:rPr>
        <w:t> </w:t>
      </w:r>
      <w:r>
        <w:rPr>
          <w:b/>
          <w:spacing w:val="-2"/>
          <w:sz w:val="22"/>
        </w:rPr>
        <w:t>patients.</w:t>
      </w:r>
    </w:p>
    <w:p>
      <w:pPr>
        <w:pStyle w:val="BodyText"/>
        <w:spacing w:before="11"/>
        <w:rPr>
          <w:b/>
        </w:rPr>
      </w:pPr>
    </w:p>
    <w:p>
      <w:pPr>
        <w:pStyle w:val="BodyText"/>
        <w:spacing w:line="276" w:lineRule="auto"/>
        <w:ind w:left="363" w:right="142"/>
        <w:jc w:val="both"/>
      </w:pPr>
      <w:r>
        <w:rPr/>
        <w:t>The Commission supports the passage of </w:t>
      </w:r>
      <w:r>
        <w:rPr>
          <w:i/>
        </w:rPr>
        <w:t>An Act Prohibiting Nonconsensual Intimate Examinations of</w:t>
      </w:r>
      <w:r>
        <w:rPr>
          <w:i/>
        </w:rPr>
        <w:t> Anesthetized or</w:t>
      </w:r>
      <w:r>
        <w:rPr>
          <w:i/>
          <w:spacing w:val="-1"/>
        </w:rPr>
        <w:t> </w:t>
      </w:r>
      <w:r>
        <w:rPr>
          <w:i/>
        </w:rPr>
        <w:t>Unconscious</w:t>
      </w:r>
      <w:r>
        <w:rPr>
          <w:i/>
          <w:spacing w:val="-2"/>
        </w:rPr>
        <w:t> </w:t>
      </w:r>
      <w:r>
        <w:rPr>
          <w:i/>
        </w:rPr>
        <w:t>Patients</w:t>
      </w:r>
      <w:r>
        <w:rPr>
          <w:i/>
          <w:spacing w:val="-2"/>
        </w:rPr>
        <w:t> </w:t>
      </w:r>
      <w:r>
        <w:rPr/>
        <w:t>(</w:t>
      </w:r>
      <w:hyperlink r:id="rId394">
        <w:r>
          <w:rPr>
            <w:b/>
            <w:u w:val="single"/>
          </w:rPr>
          <w:t>S.1333</w:t>
        </w:r>
      </w:hyperlink>
      <w:r>
        <w:rPr>
          <w:b/>
          <w:u w:val="none"/>
        </w:rPr>
        <w:t>/</w:t>
      </w:r>
      <w:hyperlink r:id="rId395">
        <w:r>
          <w:rPr>
            <w:b/>
            <w:u w:val="single"/>
          </w:rPr>
          <w:t>H</w:t>
        </w:r>
      </w:hyperlink>
      <w:hyperlink r:id="rId395">
        <w:r>
          <w:rPr>
            <w:b/>
            <w:u w:val="single"/>
          </w:rPr>
          <w:t>.4293</w:t>
        </w:r>
      </w:hyperlink>
      <w:r>
        <w:rPr>
          <w:u w:val="none"/>
        </w:rPr>
        <w:t>),</w:t>
      </w:r>
      <w:r>
        <w:rPr>
          <w:spacing w:val="-1"/>
          <w:u w:val="none"/>
        </w:rPr>
        <w:t> </w:t>
      </w:r>
      <w:r>
        <w:rPr>
          <w:u w:val="none"/>
        </w:rPr>
        <w:t>which</w:t>
      </w:r>
      <w:r>
        <w:rPr>
          <w:spacing w:val="-2"/>
          <w:u w:val="none"/>
        </w:rPr>
        <w:t> </w:t>
      </w:r>
      <w:r>
        <w:rPr>
          <w:u w:val="none"/>
        </w:rPr>
        <w:t>would</w:t>
      </w:r>
      <w:r>
        <w:rPr>
          <w:spacing w:val="-2"/>
          <w:u w:val="none"/>
        </w:rPr>
        <w:t> </w:t>
      </w:r>
      <w:r>
        <w:rPr>
          <w:u w:val="none"/>
        </w:rPr>
        <w:t>ban</w:t>
      </w:r>
      <w:r>
        <w:rPr>
          <w:spacing w:val="-2"/>
          <w:u w:val="none"/>
        </w:rPr>
        <w:t> </w:t>
      </w:r>
      <w:r>
        <w:rPr>
          <w:u w:val="none"/>
        </w:rPr>
        <w:t>the</w:t>
      </w:r>
      <w:r>
        <w:rPr>
          <w:spacing w:val="-1"/>
          <w:u w:val="none"/>
        </w:rPr>
        <w:t> </w:t>
      </w:r>
      <w:r>
        <w:rPr>
          <w:u w:val="none"/>
        </w:rPr>
        <w:t>common</w:t>
      </w:r>
      <w:r>
        <w:rPr>
          <w:spacing w:val="-2"/>
          <w:u w:val="none"/>
        </w:rPr>
        <w:t> </w:t>
      </w:r>
      <w:r>
        <w:rPr>
          <w:u w:val="none"/>
        </w:rPr>
        <w:t>practice</w:t>
      </w:r>
      <w:r>
        <w:rPr>
          <w:spacing w:val="-2"/>
          <w:u w:val="none"/>
        </w:rPr>
        <w:t> </w:t>
      </w:r>
      <w:r>
        <w:rPr>
          <w:u w:val="none"/>
        </w:rPr>
        <w:t>employed by teaching hospitals – of which Massachusetts has several – by allowing medical students to perform pelvic</w:t>
      </w:r>
      <w:r>
        <w:rPr>
          <w:spacing w:val="-1"/>
          <w:u w:val="none"/>
        </w:rPr>
        <w:t> </w:t>
      </w:r>
      <w:r>
        <w:rPr>
          <w:u w:val="none"/>
        </w:rPr>
        <w:t>examinations on</w:t>
      </w:r>
      <w:r>
        <w:rPr>
          <w:spacing w:val="-1"/>
          <w:u w:val="none"/>
        </w:rPr>
        <w:t> </w:t>
      </w:r>
      <w:r>
        <w:rPr>
          <w:u w:val="none"/>
        </w:rPr>
        <w:t>unconscious patients without their consent.</w:t>
      </w:r>
      <w:r>
        <w:rPr>
          <w:spacing w:val="-1"/>
          <w:u w:val="none"/>
        </w:rPr>
        <w:t> </w:t>
      </w:r>
      <w:r>
        <w:rPr>
          <w:u w:val="none"/>
        </w:rPr>
        <w:t>While most research</w:t>
      </w:r>
      <w:r>
        <w:rPr>
          <w:spacing w:val="-1"/>
          <w:u w:val="none"/>
        </w:rPr>
        <w:t> </w:t>
      </w:r>
      <w:r>
        <w:rPr>
          <w:u w:val="none"/>
        </w:rPr>
        <w:t>and advocacy is directed towards cisgender women without distinction to intersex status,</w:t>
      </w:r>
      <w:r>
        <w:rPr>
          <w:u w:val="none"/>
          <w:vertAlign w:val="superscript"/>
        </w:rPr>
        <w:t>2</w:t>
      </w:r>
      <w:r>
        <w:rPr>
          <w:u w:val="none"/>
          <w:vertAlign w:val="baseline"/>
        </w:rPr>
        <w:t> the Commission is seriously concerned about the implications of such practices for women of color, transgender men, and intersex individuals, particularly given the medical profession’s history of medical racism, transphobia, and disregard for ethical care for intersex patients,</w:t>
      </w:r>
      <w:r>
        <w:rPr>
          <w:u w:val="none"/>
          <w:vertAlign w:val="superscript"/>
        </w:rPr>
        <w:t>3</w:t>
      </w:r>
      <w:r>
        <w:rPr>
          <w:u w:val="none"/>
          <w:vertAlign w:val="baseline"/>
        </w:rPr>
        <w:t> as discussed below. The Commission advises that Massachusetts pass a gender-neutral ban on these invasive practices and set up accountability systems and</w:t>
      </w:r>
      <w:r>
        <w:rPr>
          <w:spacing w:val="-3"/>
          <w:u w:val="none"/>
          <w:vertAlign w:val="baseline"/>
        </w:rPr>
        <w:t> </w:t>
      </w:r>
      <w:r>
        <w:rPr>
          <w:u w:val="none"/>
          <w:vertAlign w:val="baseline"/>
        </w:rPr>
        <w:t>educational</w:t>
      </w:r>
      <w:r>
        <w:rPr>
          <w:spacing w:val="-3"/>
          <w:u w:val="none"/>
          <w:vertAlign w:val="baseline"/>
        </w:rPr>
        <w:t> </w:t>
      </w:r>
      <w:r>
        <w:rPr>
          <w:u w:val="none"/>
          <w:vertAlign w:val="baseline"/>
        </w:rPr>
        <w:t>campaigns</w:t>
      </w:r>
      <w:r>
        <w:rPr>
          <w:spacing w:val="-2"/>
          <w:u w:val="none"/>
          <w:vertAlign w:val="baseline"/>
        </w:rPr>
        <w:t> </w:t>
      </w:r>
      <w:r>
        <w:rPr>
          <w:u w:val="none"/>
          <w:vertAlign w:val="baseline"/>
        </w:rPr>
        <w:t>to</w:t>
      </w:r>
      <w:r>
        <w:rPr>
          <w:spacing w:val="-2"/>
          <w:u w:val="none"/>
          <w:vertAlign w:val="baseline"/>
        </w:rPr>
        <w:t> </w:t>
      </w:r>
      <w:r>
        <w:rPr>
          <w:u w:val="none"/>
          <w:vertAlign w:val="baseline"/>
        </w:rPr>
        <w:t>ensure</w:t>
      </w:r>
      <w:r>
        <w:rPr>
          <w:spacing w:val="-3"/>
          <w:u w:val="none"/>
          <w:vertAlign w:val="baseline"/>
        </w:rPr>
        <w:t> </w:t>
      </w:r>
      <w:r>
        <w:rPr>
          <w:u w:val="none"/>
          <w:vertAlign w:val="baseline"/>
        </w:rPr>
        <w:t>that</w:t>
      </w:r>
      <w:r>
        <w:rPr>
          <w:spacing w:val="-3"/>
          <w:u w:val="none"/>
          <w:vertAlign w:val="baseline"/>
        </w:rPr>
        <w:t> </w:t>
      </w:r>
      <w:r>
        <w:rPr>
          <w:u w:val="none"/>
          <w:vertAlign w:val="baseline"/>
        </w:rPr>
        <w:t>patients</w:t>
      </w:r>
      <w:r>
        <w:rPr>
          <w:spacing w:val="-1"/>
          <w:u w:val="none"/>
          <w:vertAlign w:val="baseline"/>
        </w:rPr>
        <w:t> </w:t>
      </w:r>
      <w:r>
        <w:rPr>
          <w:u w:val="none"/>
          <w:vertAlign w:val="baseline"/>
        </w:rPr>
        <w:t>who</w:t>
      </w:r>
      <w:r>
        <w:rPr>
          <w:spacing w:val="-2"/>
          <w:u w:val="none"/>
          <w:vertAlign w:val="baseline"/>
        </w:rPr>
        <w:t> </w:t>
      </w:r>
      <w:r>
        <w:rPr>
          <w:u w:val="none"/>
          <w:vertAlign w:val="baseline"/>
        </w:rPr>
        <w:t>suspect</w:t>
      </w:r>
      <w:r>
        <w:rPr>
          <w:spacing w:val="-1"/>
          <w:u w:val="none"/>
          <w:vertAlign w:val="baseline"/>
        </w:rPr>
        <w:t> </w:t>
      </w:r>
      <w:r>
        <w:rPr>
          <w:u w:val="none"/>
          <w:vertAlign w:val="baseline"/>
        </w:rPr>
        <w:t>that</w:t>
      </w:r>
      <w:r>
        <w:rPr>
          <w:spacing w:val="-3"/>
          <w:u w:val="none"/>
          <w:vertAlign w:val="baseline"/>
        </w:rPr>
        <w:t> </w:t>
      </w:r>
      <w:r>
        <w:rPr>
          <w:u w:val="none"/>
          <w:vertAlign w:val="baseline"/>
        </w:rPr>
        <w:t>such</w:t>
      </w:r>
      <w:r>
        <w:rPr>
          <w:spacing w:val="-3"/>
          <w:u w:val="none"/>
          <w:vertAlign w:val="baseline"/>
        </w:rPr>
        <w:t> </w:t>
      </w:r>
      <w:r>
        <w:rPr>
          <w:u w:val="none"/>
          <w:vertAlign w:val="baseline"/>
        </w:rPr>
        <w:t>a</w:t>
      </w:r>
      <w:r>
        <w:rPr>
          <w:spacing w:val="-2"/>
          <w:u w:val="none"/>
          <w:vertAlign w:val="baseline"/>
        </w:rPr>
        <w:t> </w:t>
      </w:r>
      <w:r>
        <w:rPr>
          <w:u w:val="none"/>
          <w:vertAlign w:val="baseline"/>
        </w:rPr>
        <w:t>practice</w:t>
      </w:r>
      <w:r>
        <w:rPr>
          <w:spacing w:val="-3"/>
          <w:u w:val="none"/>
          <w:vertAlign w:val="baseline"/>
        </w:rPr>
        <w:t> </w:t>
      </w:r>
      <w:r>
        <w:rPr>
          <w:u w:val="none"/>
          <w:vertAlign w:val="baseline"/>
        </w:rPr>
        <w:t>might</w:t>
      </w:r>
      <w:r>
        <w:rPr>
          <w:spacing w:val="-2"/>
          <w:u w:val="none"/>
          <w:vertAlign w:val="baseline"/>
        </w:rPr>
        <w:t> </w:t>
      </w:r>
      <w:r>
        <w:rPr>
          <w:u w:val="none"/>
          <w:vertAlign w:val="baseline"/>
        </w:rPr>
        <w:t>have</w:t>
      </w:r>
      <w:r>
        <w:rPr>
          <w:spacing w:val="-3"/>
          <w:u w:val="none"/>
          <w:vertAlign w:val="baseline"/>
        </w:rPr>
        <w:t> </w:t>
      </w:r>
      <w:r>
        <w:rPr>
          <w:u w:val="none"/>
          <w:vertAlign w:val="baseline"/>
        </w:rPr>
        <w:t>occurred have a reporting method easily available to them.</w:t>
      </w:r>
    </w:p>
    <w:p>
      <w:pPr>
        <w:numPr>
          <w:ilvl w:val="0"/>
          <w:numId w:val="23"/>
        </w:numPr>
        <w:tabs>
          <w:tab w:pos="363" w:val="left" w:leader="none"/>
        </w:tabs>
        <w:spacing w:line="276" w:lineRule="auto" w:before="240"/>
        <w:ind w:left="363" w:right="144" w:hanging="245"/>
        <w:jc w:val="left"/>
        <w:rPr>
          <w:b/>
          <w:sz w:val="22"/>
        </w:rPr>
      </w:pPr>
      <w:r>
        <w:rPr>
          <w:b/>
          <w:sz w:val="22"/>
        </w:rPr>
        <w:t>Increase access to critical reproductive and sexual health items, such as contraceptives and menstrual </w:t>
      </w:r>
      <w:r>
        <w:rPr>
          <w:b/>
          <w:spacing w:val="-2"/>
          <w:sz w:val="22"/>
        </w:rPr>
        <w:t>products.</w:t>
      </w:r>
    </w:p>
    <w:p>
      <w:pPr>
        <w:pStyle w:val="BodyText"/>
        <w:spacing w:line="276" w:lineRule="auto" w:before="240"/>
        <w:ind w:left="363" w:right="143"/>
        <w:jc w:val="both"/>
      </w:pPr>
      <w:r>
        <w:rPr/>
        <w:t>Having</w:t>
      </w:r>
      <w:r>
        <w:rPr>
          <w:spacing w:val="-12"/>
        </w:rPr>
        <w:t> </w:t>
      </w:r>
      <w:r>
        <w:rPr/>
        <w:t>access</w:t>
      </w:r>
      <w:r>
        <w:rPr>
          <w:spacing w:val="-11"/>
        </w:rPr>
        <w:t> </w:t>
      </w:r>
      <w:r>
        <w:rPr/>
        <w:t>to</w:t>
      </w:r>
      <w:r>
        <w:rPr>
          <w:spacing w:val="-11"/>
        </w:rPr>
        <w:t> </w:t>
      </w:r>
      <w:r>
        <w:rPr/>
        <w:t>contraceptives</w:t>
      </w:r>
      <w:r>
        <w:rPr>
          <w:spacing w:val="-11"/>
        </w:rPr>
        <w:t> </w:t>
      </w:r>
      <w:r>
        <w:rPr/>
        <w:t>guarantees</w:t>
      </w:r>
      <w:r>
        <w:rPr>
          <w:spacing w:val="-11"/>
        </w:rPr>
        <w:t> </w:t>
      </w:r>
      <w:r>
        <w:rPr/>
        <w:t>that</w:t>
      </w:r>
      <w:r>
        <w:rPr>
          <w:spacing w:val="-11"/>
        </w:rPr>
        <w:t> </w:t>
      </w:r>
      <w:r>
        <w:rPr/>
        <w:t>the</w:t>
      </w:r>
      <w:r>
        <w:rPr>
          <w:spacing w:val="-11"/>
        </w:rPr>
        <w:t> </w:t>
      </w:r>
      <w:r>
        <w:rPr/>
        <w:t>Commonwealth</w:t>
      </w:r>
      <w:r>
        <w:rPr>
          <w:spacing w:val="-11"/>
        </w:rPr>
        <w:t> </w:t>
      </w:r>
      <w:r>
        <w:rPr/>
        <w:t>will</w:t>
      </w:r>
      <w:r>
        <w:rPr>
          <w:spacing w:val="-11"/>
        </w:rPr>
        <w:t> </w:t>
      </w:r>
      <w:r>
        <w:rPr/>
        <w:t>see</w:t>
      </w:r>
      <w:r>
        <w:rPr>
          <w:spacing w:val="-11"/>
        </w:rPr>
        <w:t> </w:t>
      </w:r>
      <w:r>
        <w:rPr/>
        <w:t>much</w:t>
      </w:r>
      <w:r>
        <w:rPr>
          <w:spacing w:val="-11"/>
        </w:rPr>
        <w:t> </w:t>
      </w:r>
      <w:r>
        <w:rPr/>
        <w:t>lower</w:t>
      </w:r>
      <w:r>
        <w:rPr>
          <w:spacing w:val="-11"/>
        </w:rPr>
        <w:t> </w:t>
      </w:r>
      <w:r>
        <w:rPr/>
        <w:t>rates</w:t>
      </w:r>
      <w:r>
        <w:rPr>
          <w:spacing w:val="-11"/>
        </w:rPr>
        <w:t> </w:t>
      </w:r>
      <w:r>
        <w:rPr/>
        <w:t>of</w:t>
      </w:r>
      <w:r>
        <w:rPr>
          <w:spacing w:val="-11"/>
        </w:rPr>
        <w:t> </w:t>
      </w:r>
      <w:r>
        <w:rPr/>
        <w:t>sexually- transmitted infections, diseases, and unwanted pregnancy rates. Despite misconceptions, LGBTQ youth - particularly bisexual girls - are more likely to have an unintended pregnancy, for reasons discussed in- depth below. Lack of education, cost, stigma, and discrimination provide significant barriers to contraceptive</w:t>
      </w:r>
      <w:r>
        <w:rPr>
          <w:spacing w:val="-13"/>
        </w:rPr>
        <w:t> </w:t>
      </w:r>
      <w:r>
        <w:rPr/>
        <w:t>access</w:t>
      </w:r>
      <w:r>
        <w:rPr>
          <w:spacing w:val="-12"/>
        </w:rPr>
        <w:t> </w:t>
      </w:r>
      <w:r>
        <w:rPr/>
        <w:t>for</w:t>
      </w:r>
      <w:r>
        <w:rPr>
          <w:spacing w:val="-13"/>
        </w:rPr>
        <w:t> </w:t>
      </w:r>
      <w:r>
        <w:rPr/>
        <w:t>youth.</w:t>
      </w:r>
      <w:r>
        <w:rPr>
          <w:spacing w:val="-12"/>
        </w:rPr>
        <w:t> </w:t>
      </w:r>
      <w:r>
        <w:rPr/>
        <w:t>The</w:t>
      </w:r>
      <w:r>
        <w:rPr>
          <w:spacing w:val="-13"/>
        </w:rPr>
        <w:t> </w:t>
      </w:r>
      <w:r>
        <w:rPr/>
        <w:t>Commission</w:t>
      </w:r>
      <w:r>
        <w:rPr>
          <w:spacing w:val="-12"/>
        </w:rPr>
        <w:t> </w:t>
      </w:r>
      <w:r>
        <w:rPr/>
        <w:t>supports</w:t>
      </w:r>
      <w:r>
        <w:rPr>
          <w:spacing w:val="-13"/>
        </w:rPr>
        <w:t> </w:t>
      </w:r>
      <w:r>
        <w:rPr>
          <w:i/>
        </w:rPr>
        <w:t>An</w:t>
      </w:r>
      <w:r>
        <w:rPr>
          <w:i/>
          <w:spacing w:val="-12"/>
        </w:rPr>
        <w:t> </w:t>
      </w:r>
      <w:r>
        <w:rPr>
          <w:i/>
        </w:rPr>
        <w:t>Act</w:t>
      </w:r>
      <w:r>
        <w:rPr>
          <w:i/>
          <w:spacing w:val="-12"/>
        </w:rPr>
        <w:t> </w:t>
      </w:r>
      <w:r>
        <w:rPr>
          <w:i/>
        </w:rPr>
        <w:t>Relative</w:t>
      </w:r>
      <w:r>
        <w:rPr>
          <w:i/>
          <w:spacing w:val="-13"/>
        </w:rPr>
        <w:t> </w:t>
      </w:r>
      <w:r>
        <w:rPr>
          <w:i/>
        </w:rPr>
        <w:t>to</w:t>
      </w:r>
      <w:r>
        <w:rPr>
          <w:i/>
          <w:spacing w:val="-12"/>
        </w:rPr>
        <w:t> </w:t>
      </w:r>
      <w:r>
        <w:rPr>
          <w:i/>
        </w:rPr>
        <w:t>Hormonal</w:t>
      </w:r>
      <w:r>
        <w:rPr>
          <w:i/>
          <w:spacing w:val="-13"/>
        </w:rPr>
        <w:t> </w:t>
      </w:r>
      <w:r>
        <w:rPr>
          <w:i/>
        </w:rPr>
        <w:t>Contraceptives</w:t>
      </w:r>
      <w:r>
        <w:rPr/>
        <w:t>,</w:t>
      </w:r>
      <w:r>
        <w:rPr>
          <w:spacing w:val="-12"/>
        </w:rPr>
        <w:t> </w:t>
      </w:r>
      <w:r>
        <w:rPr/>
        <w:t>and advises that the legislature pass the version of the bill filed in the House (</w:t>
      </w:r>
      <w:hyperlink r:id="rId396">
        <w:r>
          <w:rPr>
            <w:b/>
            <w:u w:val="single"/>
          </w:rPr>
          <w:t>H.2133</w:t>
        </w:r>
      </w:hyperlink>
      <w:r>
        <w:rPr>
          <w:u w:val="none"/>
        </w:rPr>
        <w:t>) which would increase access</w:t>
      </w:r>
      <w:r>
        <w:rPr>
          <w:spacing w:val="-11"/>
          <w:u w:val="none"/>
        </w:rPr>
        <w:t> </w:t>
      </w:r>
      <w:r>
        <w:rPr>
          <w:u w:val="none"/>
        </w:rPr>
        <w:t>to</w:t>
      </w:r>
      <w:r>
        <w:rPr>
          <w:spacing w:val="-11"/>
          <w:u w:val="none"/>
        </w:rPr>
        <w:t> </w:t>
      </w:r>
      <w:r>
        <w:rPr>
          <w:u w:val="none"/>
        </w:rPr>
        <w:t>youth</w:t>
      </w:r>
      <w:r>
        <w:rPr>
          <w:spacing w:val="-11"/>
          <w:u w:val="none"/>
        </w:rPr>
        <w:t> </w:t>
      </w:r>
      <w:r>
        <w:rPr>
          <w:u w:val="none"/>
        </w:rPr>
        <w:t>under</w:t>
      </w:r>
      <w:r>
        <w:rPr>
          <w:spacing w:val="-10"/>
          <w:u w:val="none"/>
        </w:rPr>
        <w:t> </w:t>
      </w:r>
      <w:r>
        <w:rPr>
          <w:u w:val="none"/>
        </w:rPr>
        <w:t>18.</w:t>
      </w:r>
      <w:r>
        <w:rPr>
          <w:spacing w:val="-10"/>
          <w:u w:val="none"/>
        </w:rPr>
        <w:t> </w:t>
      </w:r>
      <w:r>
        <w:rPr>
          <w:u w:val="none"/>
        </w:rPr>
        <w:t>Furthermore,</w:t>
      </w:r>
      <w:r>
        <w:rPr>
          <w:spacing w:val="-11"/>
          <w:u w:val="none"/>
        </w:rPr>
        <w:t> </w:t>
      </w:r>
      <w:r>
        <w:rPr>
          <w:u w:val="none"/>
        </w:rPr>
        <w:t>the</w:t>
      </w:r>
      <w:r>
        <w:rPr>
          <w:spacing w:val="-10"/>
          <w:u w:val="none"/>
        </w:rPr>
        <w:t> </w:t>
      </w:r>
      <w:r>
        <w:rPr>
          <w:u w:val="none"/>
        </w:rPr>
        <w:t>state</w:t>
      </w:r>
      <w:r>
        <w:rPr>
          <w:spacing w:val="-10"/>
          <w:u w:val="none"/>
        </w:rPr>
        <w:t> </w:t>
      </w:r>
      <w:r>
        <w:rPr>
          <w:u w:val="none"/>
        </w:rPr>
        <w:t>should</w:t>
      </w:r>
      <w:r>
        <w:rPr>
          <w:spacing w:val="-11"/>
          <w:u w:val="none"/>
        </w:rPr>
        <w:t> </w:t>
      </w:r>
      <w:r>
        <w:rPr>
          <w:u w:val="none"/>
        </w:rPr>
        <w:t>explore</w:t>
      </w:r>
      <w:r>
        <w:rPr>
          <w:spacing w:val="-11"/>
          <w:u w:val="none"/>
        </w:rPr>
        <w:t> </w:t>
      </w:r>
      <w:r>
        <w:rPr>
          <w:u w:val="none"/>
        </w:rPr>
        <w:t>funding</w:t>
      </w:r>
      <w:r>
        <w:rPr>
          <w:spacing w:val="-10"/>
          <w:u w:val="none"/>
        </w:rPr>
        <w:t> </w:t>
      </w:r>
      <w:r>
        <w:rPr>
          <w:u w:val="none"/>
        </w:rPr>
        <w:t>programs</w:t>
      </w:r>
      <w:r>
        <w:rPr>
          <w:spacing w:val="-11"/>
          <w:u w:val="none"/>
        </w:rPr>
        <w:t> </w:t>
      </w:r>
      <w:r>
        <w:rPr>
          <w:u w:val="none"/>
        </w:rPr>
        <w:t>and</w:t>
      </w:r>
      <w:r>
        <w:rPr>
          <w:spacing w:val="-11"/>
          <w:u w:val="none"/>
        </w:rPr>
        <w:t> </w:t>
      </w:r>
      <w:r>
        <w:rPr>
          <w:u w:val="none"/>
        </w:rPr>
        <w:t>services</w:t>
      </w:r>
      <w:r>
        <w:rPr>
          <w:spacing w:val="-11"/>
          <w:u w:val="none"/>
        </w:rPr>
        <w:t> </w:t>
      </w:r>
      <w:r>
        <w:rPr>
          <w:u w:val="none"/>
        </w:rPr>
        <w:t>to</w:t>
      </w:r>
      <w:r>
        <w:rPr>
          <w:spacing w:val="-11"/>
          <w:u w:val="none"/>
        </w:rPr>
        <w:t> </w:t>
      </w:r>
      <w:r>
        <w:rPr>
          <w:u w:val="none"/>
        </w:rPr>
        <w:t>provide free</w:t>
      </w:r>
      <w:r>
        <w:rPr>
          <w:spacing w:val="-3"/>
          <w:u w:val="none"/>
        </w:rPr>
        <w:t> </w:t>
      </w:r>
      <w:r>
        <w:rPr>
          <w:u w:val="none"/>
        </w:rPr>
        <w:t>contraceptives</w:t>
      </w:r>
      <w:r>
        <w:rPr>
          <w:spacing w:val="-3"/>
          <w:u w:val="none"/>
        </w:rPr>
        <w:t> </w:t>
      </w:r>
      <w:r>
        <w:rPr>
          <w:u w:val="none"/>
        </w:rPr>
        <w:t>to</w:t>
      </w:r>
      <w:r>
        <w:rPr>
          <w:spacing w:val="-2"/>
          <w:u w:val="none"/>
        </w:rPr>
        <w:t> </w:t>
      </w:r>
      <w:r>
        <w:rPr>
          <w:u w:val="none"/>
        </w:rPr>
        <w:t>youth</w:t>
      </w:r>
      <w:r>
        <w:rPr>
          <w:spacing w:val="-3"/>
          <w:u w:val="none"/>
        </w:rPr>
        <w:t> </w:t>
      </w:r>
      <w:r>
        <w:rPr>
          <w:u w:val="none"/>
        </w:rPr>
        <w:t>in</w:t>
      </w:r>
      <w:r>
        <w:rPr>
          <w:spacing w:val="-3"/>
          <w:u w:val="none"/>
        </w:rPr>
        <w:t> </w:t>
      </w:r>
      <w:r>
        <w:rPr>
          <w:u w:val="none"/>
        </w:rPr>
        <w:t>public</w:t>
      </w:r>
      <w:r>
        <w:rPr>
          <w:spacing w:val="-3"/>
          <w:u w:val="none"/>
        </w:rPr>
        <w:t> </w:t>
      </w:r>
      <w:r>
        <w:rPr>
          <w:u w:val="none"/>
        </w:rPr>
        <w:t>buildings</w:t>
      </w:r>
      <w:r>
        <w:rPr>
          <w:spacing w:val="-3"/>
          <w:u w:val="none"/>
        </w:rPr>
        <w:t> </w:t>
      </w:r>
      <w:r>
        <w:rPr>
          <w:u w:val="none"/>
        </w:rPr>
        <w:t>and</w:t>
      </w:r>
      <w:r>
        <w:rPr>
          <w:spacing w:val="-2"/>
          <w:u w:val="none"/>
        </w:rPr>
        <w:t> </w:t>
      </w:r>
      <w:r>
        <w:rPr>
          <w:u w:val="none"/>
        </w:rPr>
        <w:t>hospitals,</w:t>
      </w:r>
      <w:r>
        <w:rPr>
          <w:spacing w:val="-3"/>
          <w:u w:val="none"/>
        </w:rPr>
        <w:t> </w:t>
      </w:r>
      <w:r>
        <w:rPr>
          <w:u w:val="none"/>
        </w:rPr>
        <w:t>as</w:t>
      </w:r>
      <w:r>
        <w:rPr>
          <w:spacing w:val="-4"/>
          <w:u w:val="none"/>
        </w:rPr>
        <w:t> </w:t>
      </w:r>
      <w:r>
        <w:rPr>
          <w:u w:val="none"/>
        </w:rPr>
        <w:t>well</w:t>
      </w:r>
      <w:r>
        <w:rPr>
          <w:spacing w:val="-3"/>
          <w:u w:val="none"/>
        </w:rPr>
        <w:t> </w:t>
      </w:r>
      <w:r>
        <w:rPr>
          <w:u w:val="none"/>
        </w:rPr>
        <w:t>as</w:t>
      </w:r>
      <w:r>
        <w:rPr>
          <w:spacing w:val="-3"/>
          <w:u w:val="none"/>
        </w:rPr>
        <w:t> </w:t>
      </w:r>
      <w:r>
        <w:rPr>
          <w:u w:val="none"/>
        </w:rPr>
        <w:t>conduct</w:t>
      </w:r>
      <w:r>
        <w:rPr>
          <w:spacing w:val="-3"/>
          <w:u w:val="none"/>
        </w:rPr>
        <w:t> </w:t>
      </w:r>
      <w:r>
        <w:rPr>
          <w:u w:val="none"/>
        </w:rPr>
        <w:t>awareness</w:t>
      </w:r>
      <w:r>
        <w:rPr>
          <w:spacing w:val="-1"/>
          <w:u w:val="none"/>
        </w:rPr>
        <w:t> </w:t>
      </w:r>
      <w:r>
        <w:rPr>
          <w:u w:val="none"/>
        </w:rPr>
        <w:t>campaigns</w:t>
      </w:r>
      <w:r>
        <w:rPr>
          <w:spacing w:val="-3"/>
          <w:u w:val="none"/>
        </w:rPr>
        <w:t> </w:t>
      </w:r>
      <w:r>
        <w:rPr>
          <w:u w:val="none"/>
        </w:rPr>
        <w:t>to educate the public on types of contraceptives and proper use. Recent decisions by some universities - including Boston University - to establish contraceptive vending machines for students should be replicated, expanded, and funded by the state.</w:t>
      </w:r>
    </w:p>
    <w:p>
      <w:pPr>
        <w:pStyle w:val="BodyText"/>
        <w:spacing w:line="276" w:lineRule="auto" w:before="240"/>
        <w:ind w:left="363" w:right="142"/>
        <w:jc w:val="both"/>
      </w:pPr>
      <w:r>
        <w:rPr/>
        <w:t>Additionally, the Commission continues to recommend the implementation of </w:t>
      </w:r>
      <w:r>
        <w:rPr>
          <w:i/>
        </w:rPr>
        <w:t>An Act to Increase Access</w:t>
      </w:r>
      <w:r>
        <w:rPr>
          <w:i/>
        </w:rPr>
        <w:t> to</w:t>
      </w:r>
      <w:r>
        <w:rPr>
          <w:i/>
          <w:spacing w:val="-2"/>
        </w:rPr>
        <w:t> </w:t>
      </w:r>
      <w:r>
        <w:rPr>
          <w:i/>
        </w:rPr>
        <w:t>Disposable</w:t>
      </w:r>
      <w:r>
        <w:rPr>
          <w:i/>
          <w:spacing w:val="-1"/>
        </w:rPr>
        <w:t> </w:t>
      </w:r>
      <w:r>
        <w:rPr>
          <w:i/>
        </w:rPr>
        <w:t>Menstrual</w:t>
      </w:r>
      <w:r>
        <w:rPr>
          <w:i/>
          <w:spacing w:val="-2"/>
        </w:rPr>
        <w:t> </w:t>
      </w:r>
      <w:r>
        <w:rPr>
          <w:i/>
        </w:rPr>
        <w:t>Products</w:t>
      </w:r>
      <w:r>
        <w:rPr>
          <w:i/>
          <w:spacing w:val="-2"/>
        </w:rPr>
        <w:t> </w:t>
      </w:r>
      <w:r>
        <w:rPr/>
        <w:t>(</w:t>
      </w:r>
      <w:hyperlink r:id="rId322">
        <w:r>
          <w:rPr>
            <w:b/>
            <w:u w:val="single"/>
          </w:rPr>
          <w:t>S.1381</w:t>
        </w:r>
      </w:hyperlink>
      <w:r>
        <w:rPr>
          <w:b/>
          <w:u w:val="none"/>
        </w:rPr>
        <w:t>/</w:t>
      </w:r>
      <w:hyperlink r:id="rId323">
        <w:r>
          <w:rPr>
            <w:b/>
            <w:u w:val="single"/>
          </w:rPr>
          <w:t>H.534</w:t>
        </w:r>
      </w:hyperlink>
      <w:r>
        <w:rPr>
          <w:u w:val="none"/>
        </w:rPr>
        <w:t>),</w:t>
      </w:r>
      <w:r>
        <w:rPr>
          <w:spacing w:val="-1"/>
          <w:u w:val="none"/>
        </w:rPr>
        <w:t> </w:t>
      </w:r>
      <w:r>
        <w:rPr>
          <w:u w:val="none"/>
        </w:rPr>
        <w:t>also</w:t>
      </w:r>
      <w:r>
        <w:rPr>
          <w:spacing w:val="-1"/>
          <w:u w:val="none"/>
        </w:rPr>
        <w:t> </w:t>
      </w:r>
      <w:r>
        <w:rPr>
          <w:u w:val="none"/>
        </w:rPr>
        <w:t>known</w:t>
      </w:r>
      <w:r>
        <w:rPr>
          <w:spacing w:val="-2"/>
          <w:u w:val="none"/>
        </w:rPr>
        <w:t> </w:t>
      </w:r>
      <w:r>
        <w:rPr>
          <w:u w:val="none"/>
        </w:rPr>
        <w:t>as</w:t>
      </w:r>
      <w:r>
        <w:rPr>
          <w:spacing w:val="-1"/>
          <w:u w:val="none"/>
        </w:rPr>
        <w:t> </w:t>
      </w:r>
      <w:r>
        <w:rPr>
          <w:u w:val="none"/>
        </w:rPr>
        <w:t>the</w:t>
      </w:r>
      <w:r>
        <w:rPr>
          <w:spacing w:val="-2"/>
          <w:u w:val="none"/>
        </w:rPr>
        <w:t> </w:t>
      </w:r>
      <w:r>
        <w:rPr>
          <w:u w:val="none"/>
        </w:rPr>
        <w:t>‘I</w:t>
      </w:r>
      <w:r>
        <w:rPr>
          <w:spacing w:val="-2"/>
          <w:u w:val="none"/>
        </w:rPr>
        <w:t> </w:t>
      </w:r>
      <w:r>
        <w:rPr>
          <w:u w:val="none"/>
        </w:rPr>
        <w:t>AM’</w:t>
      </w:r>
      <w:r>
        <w:rPr>
          <w:spacing w:val="-1"/>
          <w:u w:val="none"/>
        </w:rPr>
        <w:t> </w:t>
      </w:r>
      <w:r>
        <w:rPr>
          <w:u w:val="none"/>
        </w:rPr>
        <w:t>bill, which</w:t>
      </w:r>
      <w:r>
        <w:rPr>
          <w:spacing w:val="-1"/>
          <w:u w:val="none"/>
        </w:rPr>
        <w:t> </w:t>
      </w:r>
      <w:r>
        <w:rPr>
          <w:u w:val="none"/>
        </w:rPr>
        <w:t>would</w:t>
      </w:r>
      <w:r>
        <w:rPr>
          <w:spacing w:val="-1"/>
          <w:u w:val="none"/>
        </w:rPr>
        <w:t> </w:t>
      </w:r>
      <w:r>
        <w:rPr>
          <w:u w:val="none"/>
        </w:rPr>
        <w:t>require</w:t>
      </w:r>
      <w:r>
        <w:rPr>
          <w:spacing w:val="-1"/>
          <w:u w:val="none"/>
        </w:rPr>
        <w:t> </w:t>
      </w:r>
      <w:r>
        <w:rPr>
          <w:u w:val="none"/>
        </w:rPr>
        <w:t>that disposable menstrual products be provided to all youth in schools, prisons, and homeless shelters. The Commission further advises that the state explore increasing funding to libraries and community centers to provide similar access.</w:t>
      </w:r>
    </w:p>
    <w:p>
      <w:pPr>
        <w:numPr>
          <w:ilvl w:val="0"/>
          <w:numId w:val="23"/>
        </w:numPr>
        <w:tabs>
          <w:tab w:pos="356" w:val="left" w:leader="none"/>
          <w:tab w:pos="358" w:val="left" w:leader="none"/>
        </w:tabs>
        <w:spacing w:line="276" w:lineRule="auto" w:before="240"/>
        <w:ind w:left="358" w:right="141" w:hanging="249"/>
        <w:jc w:val="left"/>
        <w:rPr>
          <w:b/>
          <w:sz w:val="22"/>
        </w:rPr>
      </w:pPr>
      <w:bookmarkStart w:name="5. Continue to explore paths to increase" w:id="468"/>
      <w:bookmarkEnd w:id="468"/>
      <w:r>
        <w:rPr/>
      </w:r>
      <w:r>
        <w:rPr>
          <w:b/>
          <w:sz w:val="22"/>
        </w:rPr>
        <w:t>Continue to explore paths to increase access to abortion services, and address barriers resulting from the proliferation of anti-abortion centers in the state.</w:t>
      </w:r>
    </w:p>
    <w:p>
      <w:pPr>
        <w:pStyle w:val="BodyText"/>
        <w:spacing w:line="276" w:lineRule="auto" w:before="241"/>
        <w:ind w:left="363" w:right="140"/>
        <w:jc w:val="both"/>
      </w:pPr>
      <w:r>
        <w:rPr/>
        <w:t>With</w:t>
      </w:r>
      <w:r>
        <w:rPr>
          <w:spacing w:val="-10"/>
        </w:rPr>
        <w:t> </w:t>
      </w:r>
      <w:r>
        <w:rPr/>
        <w:t>the</w:t>
      </w:r>
      <w:r>
        <w:rPr>
          <w:spacing w:val="-10"/>
        </w:rPr>
        <w:t> </w:t>
      </w:r>
      <w:r>
        <w:rPr/>
        <w:t>fall</w:t>
      </w:r>
      <w:r>
        <w:rPr>
          <w:spacing w:val="-9"/>
        </w:rPr>
        <w:t> </w:t>
      </w:r>
      <w:r>
        <w:rPr/>
        <w:t>of</w:t>
      </w:r>
      <w:r>
        <w:rPr>
          <w:spacing w:val="-11"/>
        </w:rPr>
        <w:t> </w:t>
      </w:r>
      <w:r>
        <w:rPr/>
        <w:t>the</w:t>
      </w:r>
      <w:r>
        <w:rPr>
          <w:spacing w:val="-10"/>
        </w:rPr>
        <w:t> </w:t>
      </w:r>
      <w:r>
        <w:rPr/>
        <w:t>Supreme</w:t>
      </w:r>
      <w:r>
        <w:rPr>
          <w:spacing w:val="-12"/>
        </w:rPr>
        <w:t> </w:t>
      </w:r>
      <w:r>
        <w:rPr/>
        <w:t>Court</w:t>
      </w:r>
      <w:r>
        <w:rPr>
          <w:spacing w:val="-11"/>
        </w:rPr>
        <w:t> </w:t>
      </w:r>
      <w:r>
        <w:rPr/>
        <w:t>decision</w:t>
      </w:r>
      <w:r>
        <w:rPr>
          <w:spacing w:val="-12"/>
        </w:rPr>
        <w:t> </w:t>
      </w:r>
      <w:r>
        <w:rPr>
          <w:i/>
        </w:rPr>
        <w:t>Roe</w:t>
      </w:r>
      <w:r>
        <w:rPr>
          <w:i/>
          <w:spacing w:val="-12"/>
        </w:rPr>
        <w:t> </w:t>
      </w:r>
      <w:r>
        <w:rPr>
          <w:i/>
        </w:rPr>
        <w:t>v.</w:t>
      </w:r>
      <w:r>
        <w:rPr>
          <w:i/>
          <w:spacing w:val="-9"/>
        </w:rPr>
        <w:t> </w:t>
      </w:r>
      <w:r>
        <w:rPr>
          <w:i/>
        </w:rPr>
        <w:t>Wade</w:t>
      </w:r>
      <w:r>
        <w:rPr>
          <w:i/>
          <w:spacing w:val="-11"/>
        </w:rPr>
        <w:t> </w:t>
      </w:r>
      <w:r>
        <w:rPr/>
        <w:t>in</w:t>
      </w:r>
      <w:r>
        <w:rPr>
          <w:spacing w:val="-10"/>
        </w:rPr>
        <w:t> </w:t>
      </w:r>
      <w:r>
        <w:rPr/>
        <w:t>the</w:t>
      </w:r>
      <w:r>
        <w:rPr>
          <w:spacing w:val="-12"/>
        </w:rPr>
        <w:t> </w:t>
      </w:r>
      <w:r>
        <w:rPr/>
        <w:t>summer</w:t>
      </w:r>
      <w:r>
        <w:rPr>
          <w:spacing w:val="-10"/>
        </w:rPr>
        <w:t> </w:t>
      </w:r>
      <w:r>
        <w:rPr/>
        <w:t>of</w:t>
      </w:r>
      <w:r>
        <w:rPr>
          <w:spacing w:val="-11"/>
        </w:rPr>
        <w:t> </w:t>
      </w:r>
      <w:r>
        <w:rPr/>
        <w:t>2022</w:t>
      </w:r>
      <w:r>
        <w:rPr>
          <w:spacing w:val="-11"/>
        </w:rPr>
        <w:t> </w:t>
      </w:r>
      <w:r>
        <w:rPr/>
        <w:t>and</w:t>
      </w:r>
      <w:r>
        <w:rPr>
          <w:spacing w:val="-10"/>
        </w:rPr>
        <w:t> </w:t>
      </w:r>
      <w:r>
        <w:rPr/>
        <w:t>continued</w:t>
      </w:r>
      <w:r>
        <w:rPr>
          <w:spacing w:val="-12"/>
        </w:rPr>
        <w:t> </w:t>
      </w:r>
      <w:r>
        <w:rPr/>
        <w:t>subsequent attacks against abortion access across the nation, Massachusetts has done well to rapidly implement stronger protections to ensure that residents - and non-residents traveling into the state - continue to receive appropriate medical care and control over their own bodies. The Commission appreciates the recent</w:t>
      </w:r>
      <w:r>
        <w:rPr>
          <w:spacing w:val="18"/>
        </w:rPr>
        <w:t> </w:t>
      </w:r>
      <w:r>
        <w:rPr/>
        <w:t>April</w:t>
      </w:r>
      <w:r>
        <w:rPr>
          <w:spacing w:val="20"/>
        </w:rPr>
        <w:t> </w:t>
      </w:r>
      <w:r>
        <w:rPr/>
        <w:t>2023</w:t>
      </w:r>
      <w:r>
        <w:rPr>
          <w:spacing w:val="19"/>
        </w:rPr>
        <w:t> </w:t>
      </w:r>
      <w:r>
        <w:rPr/>
        <w:t>actions</w:t>
      </w:r>
      <w:r>
        <w:rPr>
          <w:spacing w:val="19"/>
        </w:rPr>
        <w:t> </w:t>
      </w:r>
      <w:r>
        <w:rPr/>
        <w:t>from</w:t>
      </w:r>
      <w:r>
        <w:rPr>
          <w:spacing w:val="19"/>
        </w:rPr>
        <w:t> </w:t>
      </w:r>
      <w:r>
        <w:rPr/>
        <w:t>Governor</w:t>
      </w:r>
      <w:r>
        <w:rPr>
          <w:spacing w:val="19"/>
        </w:rPr>
        <w:t> </w:t>
      </w:r>
      <w:r>
        <w:rPr/>
        <w:t>Healey</w:t>
      </w:r>
      <w:r>
        <w:rPr>
          <w:spacing w:val="19"/>
        </w:rPr>
        <w:t> </w:t>
      </w:r>
      <w:r>
        <w:rPr/>
        <w:t>to</w:t>
      </w:r>
      <w:r>
        <w:rPr>
          <w:spacing w:val="19"/>
        </w:rPr>
        <w:t> </w:t>
      </w:r>
      <w:r>
        <w:rPr/>
        <w:t>protect</w:t>
      </w:r>
      <w:r>
        <w:rPr>
          <w:spacing w:val="18"/>
        </w:rPr>
        <w:t> </w:t>
      </w:r>
      <w:r>
        <w:rPr/>
        <w:t>access</w:t>
      </w:r>
      <w:r>
        <w:rPr>
          <w:spacing w:val="19"/>
        </w:rPr>
        <w:t> </w:t>
      </w:r>
      <w:r>
        <w:rPr/>
        <w:t>to</w:t>
      </w:r>
      <w:r>
        <w:rPr>
          <w:spacing w:val="19"/>
        </w:rPr>
        <w:t> </w:t>
      </w:r>
      <w:r>
        <w:rPr/>
        <w:t>mifepristone</w:t>
      </w:r>
      <w:r>
        <w:rPr>
          <w:spacing w:val="19"/>
        </w:rPr>
        <w:t> </w:t>
      </w:r>
      <w:r>
        <w:rPr/>
        <w:t>and</w:t>
      </w:r>
      <w:r>
        <w:rPr>
          <w:spacing w:val="19"/>
        </w:rPr>
        <w:t> </w:t>
      </w:r>
      <w:r>
        <w:rPr/>
        <w:t>encourages</w:t>
      </w:r>
      <w:r>
        <w:rPr>
          <w:spacing w:val="19"/>
        </w:rPr>
        <w:t> </w:t>
      </w:r>
      <w:r>
        <w:rPr/>
        <w:t>the</w:t>
      </w:r>
    </w:p>
    <w:p>
      <w:pPr>
        <w:spacing w:after="0" w:line="276" w:lineRule="auto"/>
        <w:jc w:val="both"/>
        <w:sectPr>
          <w:pgSz w:w="12240" w:h="15840"/>
          <w:pgMar w:header="763" w:footer="1339" w:top="1180" w:bottom="1560" w:left="1080" w:right="1240"/>
        </w:sectPr>
      </w:pPr>
    </w:p>
    <w:p>
      <w:pPr>
        <w:pStyle w:val="BodyText"/>
        <w:spacing w:line="276" w:lineRule="auto" w:before="69"/>
        <w:ind w:left="363" w:right="77"/>
      </w:pPr>
      <w:r>
        <w:rPr/>
        <w:t>state</w:t>
      </w:r>
      <w:r>
        <w:rPr>
          <w:spacing w:val="-10"/>
        </w:rPr>
        <w:t> </w:t>
      </w:r>
      <w:r>
        <w:rPr/>
        <w:t>to</w:t>
      </w:r>
      <w:r>
        <w:rPr>
          <w:spacing w:val="-9"/>
        </w:rPr>
        <w:t> </w:t>
      </w:r>
      <w:r>
        <w:rPr/>
        <w:t>continue</w:t>
      </w:r>
      <w:r>
        <w:rPr>
          <w:spacing w:val="-10"/>
        </w:rPr>
        <w:t> </w:t>
      </w:r>
      <w:r>
        <w:rPr/>
        <w:t>to</w:t>
      </w:r>
      <w:r>
        <w:rPr>
          <w:spacing w:val="-9"/>
        </w:rPr>
        <w:t> </w:t>
      </w:r>
      <w:r>
        <w:rPr/>
        <w:t>explore</w:t>
      </w:r>
      <w:r>
        <w:rPr>
          <w:spacing w:val="-10"/>
        </w:rPr>
        <w:t> </w:t>
      </w:r>
      <w:r>
        <w:rPr/>
        <w:t>further</w:t>
      </w:r>
      <w:r>
        <w:rPr>
          <w:spacing w:val="-10"/>
        </w:rPr>
        <w:t> </w:t>
      </w:r>
      <w:r>
        <w:rPr/>
        <w:t>actions</w:t>
      </w:r>
      <w:r>
        <w:rPr>
          <w:spacing w:val="-9"/>
        </w:rPr>
        <w:t> </w:t>
      </w:r>
      <w:r>
        <w:rPr/>
        <w:t>that</w:t>
      </w:r>
      <w:r>
        <w:rPr>
          <w:spacing w:val="-10"/>
        </w:rPr>
        <w:t> </w:t>
      </w:r>
      <w:r>
        <w:rPr/>
        <w:t>ensure</w:t>
      </w:r>
      <w:r>
        <w:rPr>
          <w:spacing w:val="-10"/>
        </w:rPr>
        <w:t> </w:t>
      </w:r>
      <w:r>
        <w:rPr/>
        <w:t>that</w:t>
      </w:r>
      <w:r>
        <w:rPr>
          <w:spacing w:val="-10"/>
        </w:rPr>
        <w:t> </w:t>
      </w:r>
      <w:r>
        <w:rPr/>
        <w:t>underserved</w:t>
      </w:r>
      <w:r>
        <w:rPr>
          <w:spacing w:val="-10"/>
        </w:rPr>
        <w:t> </w:t>
      </w:r>
      <w:r>
        <w:rPr/>
        <w:t>communities</w:t>
      </w:r>
      <w:r>
        <w:rPr>
          <w:spacing w:val="-9"/>
        </w:rPr>
        <w:t> </w:t>
      </w:r>
      <w:r>
        <w:rPr/>
        <w:t>-</w:t>
      </w:r>
      <w:r>
        <w:rPr>
          <w:spacing w:val="-9"/>
        </w:rPr>
        <w:t> </w:t>
      </w:r>
      <w:r>
        <w:rPr/>
        <w:t>particularly</w:t>
      </w:r>
      <w:r>
        <w:rPr>
          <w:spacing w:val="-10"/>
        </w:rPr>
        <w:t> </w:t>
      </w:r>
      <w:r>
        <w:rPr/>
        <w:t>youth of color - do not lose access to this critical medication.</w:t>
      </w:r>
    </w:p>
    <w:p>
      <w:pPr>
        <w:pStyle w:val="BodyText"/>
        <w:spacing w:before="130"/>
      </w:pPr>
    </w:p>
    <w:p>
      <w:pPr>
        <w:spacing w:before="0"/>
        <w:ind w:left="363" w:right="0" w:firstLine="0"/>
        <w:jc w:val="left"/>
        <w:rPr>
          <w:sz w:val="28"/>
        </w:rPr>
      </w:pPr>
      <w:r>
        <w:rPr/>
        <mc:AlternateContent>
          <mc:Choice Requires="wps">
            <w:drawing>
              <wp:anchor distT="0" distB="0" distL="0" distR="0" allowOverlap="1" layoutInCell="1" locked="0" behindDoc="1" simplePos="0" relativeHeight="487644672">
                <wp:simplePos x="0" y="0"/>
                <wp:positionH relativeFrom="page">
                  <wp:posOffset>897636</wp:posOffset>
                </wp:positionH>
                <wp:positionV relativeFrom="paragraph">
                  <wp:posOffset>229850</wp:posOffset>
                </wp:positionV>
                <wp:extent cx="6014720" cy="635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6014720" cy="6350"/>
                        </a:xfrm>
                        <a:custGeom>
                          <a:avLst/>
                          <a:gdLst/>
                          <a:ahLst/>
                          <a:cxnLst/>
                          <a:rect l="l" t="t" r="r" b="b"/>
                          <a:pathLst>
                            <a:path w="6014720" h="6350">
                              <a:moveTo>
                                <a:pt x="6014466" y="0"/>
                              </a:moveTo>
                              <a:lnTo>
                                <a:pt x="0" y="0"/>
                              </a:lnTo>
                              <a:lnTo>
                                <a:pt x="0" y="6096"/>
                              </a:lnTo>
                              <a:lnTo>
                                <a:pt x="6014466" y="6096"/>
                              </a:lnTo>
                              <a:lnTo>
                                <a:pt x="60144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098476pt;width:473.58pt;height:.48pt;mso-position-horizontal-relative:page;mso-position-vertical-relative:paragraph;z-index:-15671808;mso-wrap-distance-left:0;mso-wrap-distance-right:0" id="docshape255" filled="true" fillcolor="#4f81bc" stroked="false">
                <v:fill type="solid"/>
                <w10:wrap type="topAndBottom"/>
              </v:rect>
            </w:pict>
          </mc:Fallback>
        </mc:AlternateContent>
      </w:r>
      <w:bookmarkStart w:name="Research: What is Sexual Health?" w:id="469"/>
      <w:bookmarkEnd w:id="469"/>
      <w:r>
        <w:rPr/>
      </w:r>
      <w:r>
        <w:rPr>
          <w:color w:val="365F91"/>
          <w:sz w:val="28"/>
        </w:rPr>
        <w:t>Research:</w:t>
      </w:r>
      <w:r>
        <w:rPr>
          <w:color w:val="365F91"/>
          <w:spacing w:val="-8"/>
          <w:sz w:val="28"/>
        </w:rPr>
        <w:t> </w:t>
      </w:r>
      <w:r>
        <w:rPr>
          <w:color w:val="365F91"/>
          <w:sz w:val="28"/>
        </w:rPr>
        <w:t>What</w:t>
      </w:r>
      <w:r>
        <w:rPr>
          <w:color w:val="365F91"/>
          <w:spacing w:val="-8"/>
          <w:sz w:val="28"/>
        </w:rPr>
        <w:t> </w:t>
      </w:r>
      <w:r>
        <w:rPr>
          <w:color w:val="365F91"/>
          <w:sz w:val="28"/>
        </w:rPr>
        <w:t>is</w:t>
      </w:r>
      <w:r>
        <w:rPr>
          <w:color w:val="365F91"/>
          <w:spacing w:val="-8"/>
          <w:sz w:val="28"/>
        </w:rPr>
        <w:t> </w:t>
      </w:r>
      <w:r>
        <w:rPr>
          <w:color w:val="365F91"/>
          <w:sz w:val="28"/>
        </w:rPr>
        <w:t>Sexual</w:t>
      </w:r>
      <w:r>
        <w:rPr>
          <w:color w:val="365F91"/>
          <w:spacing w:val="-8"/>
          <w:sz w:val="28"/>
        </w:rPr>
        <w:t> </w:t>
      </w:r>
      <w:r>
        <w:rPr>
          <w:color w:val="365F91"/>
          <w:spacing w:val="-2"/>
          <w:sz w:val="28"/>
        </w:rPr>
        <w:t>Health?</w:t>
      </w:r>
    </w:p>
    <w:p>
      <w:pPr>
        <w:pStyle w:val="BodyText"/>
      </w:pPr>
    </w:p>
    <w:p>
      <w:pPr>
        <w:pStyle w:val="BodyText"/>
        <w:spacing w:before="26"/>
      </w:pPr>
    </w:p>
    <w:p>
      <w:pPr>
        <w:pStyle w:val="BodyText"/>
        <w:spacing w:line="276" w:lineRule="auto"/>
        <w:ind w:left="363" w:right="144"/>
        <w:jc w:val="both"/>
      </w:pPr>
      <w:r>
        <w:rPr/>
        <w:t>Sexual health is a fundamental right that includes the right to sexual identity, expression, and activity. Comprehensive sexual health education has received widespread support for the benefits it provides to youth, including from the American Academy of Pediatrics.</w:t>
      </w:r>
      <w:r>
        <w:rPr>
          <w:vertAlign w:val="superscript"/>
        </w:rPr>
        <w:t>4</w:t>
      </w:r>
      <w:r>
        <w:rPr>
          <w:vertAlign w:val="baseline"/>
        </w:rPr>
        <w:t> According to the World Health Organization, the definition of sexual health is expansive:</w:t>
      </w:r>
    </w:p>
    <w:p>
      <w:pPr>
        <w:pStyle w:val="BodyText"/>
        <w:spacing w:line="276" w:lineRule="auto" w:before="241"/>
        <w:ind w:left="651" w:right="427"/>
        <w:jc w:val="both"/>
      </w:pPr>
      <w:r>
        <w:rPr>
          <w:color w:val="0F6DC5"/>
        </w:rPr>
        <w:t>“[Sexual health] is a state of physical, emotional, mental and social well-being in relation to sexuality; it is not merely the absence of disease, dysfunction or infirmity.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w:t>
      </w:r>
      <w:r>
        <w:rPr>
          <w:color w:val="0F6DC5"/>
          <w:vertAlign w:val="superscript"/>
        </w:rPr>
        <w:t>5</w:t>
      </w:r>
    </w:p>
    <w:p>
      <w:pPr>
        <w:pStyle w:val="BodyText"/>
        <w:spacing w:line="276" w:lineRule="auto" w:before="239"/>
        <w:ind w:left="363" w:right="140"/>
        <w:jc w:val="both"/>
      </w:pPr>
      <w:r>
        <w:rPr/>
        <w:t>Unequivocally, frank discussions of sexual activity and health are largely considered to be taboo in U.S. society,</w:t>
      </w:r>
      <w:r>
        <w:rPr>
          <w:spacing w:val="-3"/>
        </w:rPr>
        <w:t> </w:t>
      </w:r>
      <w:r>
        <w:rPr/>
        <w:t>especially</w:t>
      </w:r>
      <w:r>
        <w:rPr>
          <w:spacing w:val="-3"/>
        </w:rPr>
        <w:t> </w:t>
      </w:r>
      <w:r>
        <w:rPr/>
        <w:t>in</w:t>
      </w:r>
      <w:r>
        <w:rPr>
          <w:spacing w:val="-3"/>
        </w:rPr>
        <w:t> </w:t>
      </w:r>
      <w:r>
        <w:rPr/>
        <w:t>regards</w:t>
      </w:r>
      <w:r>
        <w:rPr>
          <w:spacing w:val="-3"/>
        </w:rPr>
        <w:t> </w:t>
      </w:r>
      <w:r>
        <w:rPr/>
        <w:t>to</w:t>
      </w:r>
      <w:r>
        <w:rPr>
          <w:spacing w:val="-4"/>
        </w:rPr>
        <w:t> </w:t>
      </w:r>
      <w:r>
        <w:rPr/>
        <w:t>LGBTQ</w:t>
      </w:r>
      <w:r>
        <w:rPr>
          <w:spacing w:val="-2"/>
        </w:rPr>
        <w:t> </w:t>
      </w:r>
      <w:r>
        <w:rPr/>
        <w:t>youth;</w:t>
      </w:r>
      <w:r>
        <w:rPr>
          <w:spacing w:val="-3"/>
        </w:rPr>
        <w:t> </w:t>
      </w:r>
      <w:r>
        <w:rPr/>
        <w:t>7</w:t>
      </w:r>
      <w:r>
        <w:rPr>
          <w:spacing w:val="-3"/>
        </w:rPr>
        <w:t> </w:t>
      </w:r>
      <w:r>
        <w:rPr/>
        <w:t>states</w:t>
      </w:r>
      <w:r>
        <w:rPr>
          <w:spacing w:val="-4"/>
        </w:rPr>
        <w:t> </w:t>
      </w:r>
      <w:r>
        <w:rPr/>
        <w:t>in</w:t>
      </w:r>
      <w:r>
        <w:rPr>
          <w:spacing w:val="-2"/>
        </w:rPr>
        <w:t> </w:t>
      </w:r>
      <w:r>
        <w:rPr/>
        <w:t>the</w:t>
      </w:r>
      <w:r>
        <w:rPr>
          <w:spacing w:val="-2"/>
        </w:rPr>
        <w:t> </w:t>
      </w:r>
      <w:r>
        <w:rPr/>
        <w:t>U.S.</w:t>
      </w:r>
      <w:r>
        <w:rPr>
          <w:spacing w:val="-2"/>
        </w:rPr>
        <w:t> </w:t>
      </w:r>
      <w:r>
        <w:rPr/>
        <w:t>prohibit</w:t>
      </w:r>
      <w:r>
        <w:rPr>
          <w:spacing w:val="-3"/>
        </w:rPr>
        <w:t> </w:t>
      </w:r>
      <w:r>
        <w:rPr/>
        <w:t>the</w:t>
      </w:r>
      <w:r>
        <w:rPr>
          <w:spacing w:val="-2"/>
        </w:rPr>
        <w:t> </w:t>
      </w:r>
      <w:r>
        <w:rPr/>
        <w:t>mention</w:t>
      </w:r>
      <w:r>
        <w:rPr>
          <w:spacing w:val="-3"/>
        </w:rPr>
        <w:t> </w:t>
      </w:r>
      <w:r>
        <w:rPr/>
        <w:t>of</w:t>
      </w:r>
      <w:r>
        <w:rPr>
          <w:spacing w:val="-3"/>
        </w:rPr>
        <w:t> </w:t>
      </w:r>
      <w:r>
        <w:rPr/>
        <w:t>LGBTQ</w:t>
      </w:r>
      <w:r>
        <w:rPr>
          <w:spacing w:val="-3"/>
        </w:rPr>
        <w:t> </w:t>
      </w:r>
      <w:r>
        <w:rPr/>
        <w:t>sexuality and identities in a positive light in schools through legislation coined as “‘no promo homo’ laws.”</w:t>
      </w:r>
      <w:r>
        <w:rPr>
          <w:vertAlign w:val="superscript"/>
        </w:rPr>
        <w:t>6</w:t>
      </w:r>
      <w:r>
        <w:rPr>
          <w:vertAlign w:val="baseline"/>
        </w:rPr>
        <w:t> As discussed in multiple sections of this annual report, hundreds of anti-LGBTQ bills have swept across the</w:t>
      </w:r>
    </w:p>
    <w:p>
      <w:pPr>
        <w:pStyle w:val="BodyText"/>
        <w:spacing w:line="276" w:lineRule="auto"/>
        <w:ind w:left="6335" w:right="142"/>
        <w:jc w:val="both"/>
      </w:pPr>
      <w:r>
        <w:rPr/>
        <w:drawing>
          <wp:anchor distT="0" distB="0" distL="0" distR="0" allowOverlap="1" layoutInCell="1" locked="0" behindDoc="0" simplePos="0" relativeHeight="15785984">
            <wp:simplePos x="0" y="0"/>
            <wp:positionH relativeFrom="page">
              <wp:posOffset>914400</wp:posOffset>
            </wp:positionH>
            <wp:positionV relativeFrom="paragraph">
              <wp:posOffset>122301</wp:posOffset>
            </wp:positionV>
            <wp:extent cx="3703319" cy="2788913"/>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397" cstate="print"/>
                    <a:stretch>
                      <a:fillRect/>
                    </a:stretch>
                  </pic:blipFill>
                  <pic:spPr>
                    <a:xfrm>
                      <a:off x="0" y="0"/>
                      <a:ext cx="3703319" cy="2788913"/>
                    </a:xfrm>
                    <a:prstGeom prst="rect">
                      <a:avLst/>
                    </a:prstGeom>
                  </pic:spPr>
                </pic:pic>
              </a:graphicData>
            </a:graphic>
          </wp:anchor>
        </w:drawing>
      </w:r>
      <w:r>
        <w:rPr/>
        <w:t>nation to continue to force LGBTQ youth identities into the shadows, increasing fear, anxiety, and stigma.</w:t>
      </w:r>
    </w:p>
    <w:p>
      <w:pPr>
        <w:pStyle w:val="BodyText"/>
        <w:spacing w:line="276" w:lineRule="auto" w:before="239"/>
        <w:ind w:left="6335" w:right="141"/>
        <w:jc w:val="both"/>
      </w:pPr>
      <w:r>
        <w:rPr/>
        <w:t>Regardless</w:t>
      </w:r>
      <w:r>
        <w:rPr>
          <w:spacing w:val="-5"/>
        </w:rPr>
        <w:t> </w:t>
      </w:r>
      <w:r>
        <w:rPr/>
        <w:t>of</w:t>
      </w:r>
      <w:r>
        <w:rPr>
          <w:spacing w:val="-6"/>
        </w:rPr>
        <w:t> </w:t>
      </w:r>
      <w:r>
        <w:rPr/>
        <w:t>the</w:t>
      </w:r>
      <w:r>
        <w:rPr>
          <w:spacing w:val="-5"/>
        </w:rPr>
        <w:t> </w:t>
      </w:r>
      <w:r>
        <w:rPr/>
        <w:t>significant</w:t>
      </w:r>
      <w:r>
        <w:rPr>
          <w:spacing w:val="-6"/>
        </w:rPr>
        <w:t> </w:t>
      </w:r>
      <w:r>
        <w:rPr/>
        <w:t>individual and societal benefits of sexual health education,</w:t>
      </w:r>
      <w:r>
        <w:rPr>
          <w:spacing w:val="-13"/>
        </w:rPr>
        <w:t> </w:t>
      </w:r>
      <w:r>
        <w:rPr/>
        <w:t>the</w:t>
      </w:r>
      <w:r>
        <w:rPr>
          <w:spacing w:val="-12"/>
        </w:rPr>
        <w:t> </w:t>
      </w:r>
      <w:r>
        <w:rPr/>
        <w:t>concept</w:t>
      </w:r>
      <w:r>
        <w:rPr>
          <w:spacing w:val="-13"/>
        </w:rPr>
        <w:t> </w:t>
      </w:r>
      <w:r>
        <w:rPr/>
        <w:t>has</w:t>
      </w:r>
      <w:r>
        <w:rPr>
          <w:spacing w:val="-12"/>
        </w:rPr>
        <w:t> </w:t>
      </w:r>
      <w:r>
        <w:rPr/>
        <w:t>remained</w:t>
      </w:r>
      <w:r>
        <w:rPr>
          <w:spacing w:val="-13"/>
        </w:rPr>
        <w:t> </w:t>
      </w:r>
      <w:r>
        <w:rPr/>
        <w:t>a controversial issue for decades. Massachusetts - despite its already weak requirements for sexual health education - is no exception to challenges to its curriculum, with two bills being filed in the 2023-24 session to require parents to opt-in to sexual health education. Opt-in provisions have</w:t>
      </w:r>
      <w:r>
        <w:rPr>
          <w:spacing w:val="29"/>
        </w:rPr>
        <w:t>  </w:t>
      </w:r>
      <w:r>
        <w:rPr/>
        <w:t>consistently</w:t>
      </w:r>
      <w:r>
        <w:rPr>
          <w:spacing w:val="29"/>
        </w:rPr>
        <w:t>  </w:t>
      </w:r>
      <w:r>
        <w:rPr/>
        <w:t>been</w:t>
      </w:r>
      <w:r>
        <w:rPr>
          <w:spacing w:val="29"/>
        </w:rPr>
        <w:t>  </w:t>
      </w:r>
      <w:r>
        <w:rPr/>
        <w:t>proven</w:t>
      </w:r>
      <w:r>
        <w:rPr>
          <w:spacing w:val="29"/>
        </w:rPr>
        <w:t>  </w:t>
      </w:r>
      <w:r>
        <w:rPr>
          <w:spacing w:val="-5"/>
        </w:rPr>
        <w:t>to</w:t>
      </w:r>
    </w:p>
    <w:p>
      <w:pPr>
        <w:pStyle w:val="BodyText"/>
        <w:spacing w:line="276" w:lineRule="auto" w:before="1"/>
        <w:ind w:left="363" w:right="143" w:hanging="1"/>
        <w:jc w:val="both"/>
      </w:pPr>
      <w:r>
        <w:rPr/>
        <w:t>provide worse educational and societal outcomes for youth, and provide undue burdens for youth, teachers, and parents.</w:t>
      </w:r>
      <w:r>
        <w:rPr>
          <w:vertAlign w:val="superscript"/>
        </w:rPr>
        <w:t>7</w:t>
      </w:r>
    </w:p>
    <w:p>
      <w:pPr>
        <w:spacing w:after="0" w:line="276" w:lineRule="auto"/>
        <w:jc w:val="both"/>
        <w:sectPr>
          <w:pgSz w:w="12240" w:h="15840"/>
          <w:pgMar w:header="763" w:footer="1339" w:top="1180" w:bottom="1560" w:left="1080" w:right="1240"/>
        </w:sectPr>
      </w:pPr>
    </w:p>
    <w:p>
      <w:pPr>
        <w:pStyle w:val="BodyText"/>
        <w:spacing w:line="276" w:lineRule="auto" w:before="69"/>
        <w:ind w:left="363" w:right="142"/>
        <w:jc w:val="both"/>
      </w:pPr>
      <w:r>
        <w:rPr/>
        <w:t>The</w:t>
      </w:r>
      <w:r>
        <w:rPr>
          <w:spacing w:val="-9"/>
        </w:rPr>
        <w:t> </w:t>
      </w:r>
      <w:r>
        <w:rPr/>
        <w:t>Commission</w:t>
      </w:r>
      <w:r>
        <w:rPr>
          <w:spacing w:val="-9"/>
        </w:rPr>
        <w:t> </w:t>
      </w:r>
      <w:r>
        <w:rPr/>
        <w:t>unquestionably</w:t>
      </w:r>
      <w:r>
        <w:rPr>
          <w:spacing w:val="-9"/>
        </w:rPr>
        <w:t> </w:t>
      </w:r>
      <w:r>
        <w:rPr/>
        <w:t>stands</w:t>
      </w:r>
      <w:r>
        <w:rPr>
          <w:spacing w:val="-7"/>
        </w:rPr>
        <w:t> </w:t>
      </w:r>
      <w:r>
        <w:rPr/>
        <w:t>against</w:t>
      </w:r>
      <w:r>
        <w:rPr>
          <w:spacing w:val="-9"/>
        </w:rPr>
        <w:t> </w:t>
      </w:r>
      <w:r>
        <w:rPr>
          <w:i/>
        </w:rPr>
        <w:t>An</w:t>
      </w:r>
      <w:r>
        <w:rPr>
          <w:i/>
          <w:spacing w:val="-9"/>
        </w:rPr>
        <w:t> </w:t>
      </w:r>
      <w:r>
        <w:rPr>
          <w:i/>
        </w:rPr>
        <w:t>Act</w:t>
      </w:r>
      <w:r>
        <w:rPr>
          <w:i/>
          <w:spacing w:val="-9"/>
        </w:rPr>
        <w:t> </w:t>
      </w:r>
      <w:r>
        <w:rPr>
          <w:i/>
        </w:rPr>
        <w:t>Relative</w:t>
      </w:r>
      <w:r>
        <w:rPr>
          <w:i/>
          <w:spacing w:val="-9"/>
        </w:rPr>
        <w:t> </w:t>
      </w:r>
      <w:r>
        <w:rPr>
          <w:i/>
        </w:rPr>
        <w:t>to</w:t>
      </w:r>
      <w:r>
        <w:rPr>
          <w:i/>
          <w:spacing w:val="-8"/>
        </w:rPr>
        <w:t> </w:t>
      </w:r>
      <w:r>
        <w:rPr>
          <w:i/>
        </w:rPr>
        <w:t>Parental</w:t>
      </w:r>
      <w:r>
        <w:rPr>
          <w:i/>
          <w:spacing w:val="-9"/>
        </w:rPr>
        <w:t> </w:t>
      </w:r>
      <w:r>
        <w:rPr>
          <w:i/>
        </w:rPr>
        <w:t>Notification</w:t>
      </w:r>
      <w:r>
        <w:rPr>
          <w:i/>
          <w:spacing w:val="-8"/>
        </w:rPr>
        <w:t> </w:t>
      </w:r>
      <w:r>
        <w:rPr/>
        <w:t>(H.509),</w:t>
      </w:r>
      <w:r>
        <w:rPr>
          <w:spacing w:val="-9"/>
        </w:rPr>
        <w:t> </w:t>
      </w:r>
      <w:r>
        <w:rPr/>
        <w:t>to</w:t>
      </w:r>
      <w:r>
        <w:rPr>
          <w:spacing w:val="-8"/>
        </w:rPr>
        <w:t> </w:t>
      </w:r>
      <w:r>
        <w:rPr/>
        <w:t>require Massachusetts parents to opt-in their children to sexual health education. Sexual health education must be mandated in all schools across the state, for a number of reasons. First, schools often do not receive enough support - financial and/or otherwise - from the state and local communities to offer or prioritize appropriate sexual health education. The Commission understands from its own conversations with advocates and schools that constant challenges and attacks against school curriculum have left Massachusetts schools wary of improving - and even discussing - their sexual health curricula or giving youth the appropriate space to process and understand the information being provided.</w:t>
      </w:r>
    </w:p>
    <w:p>
      <w:pPr>
        <w:pStyle w:val="BodyText"/>
        <w:spacing w:line="276" w:lineRule="auto" w:before="239"/>
        <w:ind w:left="363" w:right="141"/>
        <w:jc w:val="both"/>
      </w:pPr>
      <w:r>
        <w:rPr/>
        <w:t>In the most recent 2020 School Health Profiles released in 2022, only 89.9% of schools require health education, leaving 1 in 10 of Massachusetts’ secondary schools without mandated health courses. Only 19.1% of schools require that students complete at least one health course throughout their secondary school</w:t>
      </w:r>
      <w:r>
        <w:rPr>
          <w:spacing w:val="-1"/>
        </w:rPr>
        <w:t> </w:t>
      </w:r>
      <w:r>
        <w:rPr/>
        <w:t>experience, and</w:t>
      </w:r>
      <w:r>
        <w:rPr>
          <w:spacing w:val="-1"/>
        </w:rPr>
        <w:t> </w:t>
      </w:r>
      <w:r>
        <w:rPr/>
        <w:t>52.8% of schools who mandate</w:t>
      </w:r>
      <w:r>
        <w:rPr>
          <w:spacing w:val="-1"/>
        </w:rPr>
        <w:t> </w:t>
      </w:r>
      <w:r>
        <w:rPr/>
        <w:t>health</w:t>
      </w:r>
      <w:r>
        <w:rPr>
          <w:spacing w:val="-1"/>
        </w:rPr>
        <w:t> </w:t>
      </w:r>
      <w:r>
        <w:rPr/>
        <w:t>education</w:t>
      </w:r>
      <w:r>
        <w:rPr>
          <w:spacing w:val="-1"/>
        </w:rPr>
        <w:t> </w:t>
      </w:r>
      <w:r>
        <w:rPr/>
        <w:t>do not require</w:t>
      </w:r>
      <w:r>
        <w:rPr>
          <w:spacing w:val="-1"/>
        </w:rPr>
        <w:t> </w:t>
      </w:r>
      <w:r>
        <w:rPr/>
        <w:t>students who fail a health course to repeat the course. Of schools that required a health education course, most schools delivered the course between 6th and 9th grade, with only a concerning 37.8% of schools delivering a course in 11th grade and 33.6% in 12th grade.</w:t>
      </w:r>
      <w:r>
        <w:rPr>
          <w:vertAlign w:val="superscript"/>
        </w:rPr>
        <w:t>8</w:t>
      </w:r>
      <w:r>
        <w:rPr>
          <w:vertAlign w:val="baseline"/>
        </w:rPr>
        <w:t> However, even though three-quarters of responding schools taught health education at least once between 6th and 9th grade, only roughly half of Massachusetts schools included information on reducing sexual risk behaviors, the importance of condoms, and methods of contraception other than condoms; only 34.3% reported that they taught students</w:t>
      </w:r>
      <w:r>
        <w:rPr>
          <w:spacing w:val="-7"/>
          <w:vertAlign w:val="baseline"/>
        </w:rPr>
        <w:t> </w:t>
      </w:r>
      <w:r>
        <w:rPr>
          <w:vertAlign w:val="baseline"/>
        </w:rPr>
        <w:t>how</w:t>
      </w:r>
      <w:r>
        <w:rPr>
          <w:spacing w:val="-6"/>
          <w:vertAlign w:val="baseline"/>
        </w:rPr>
        <w:t> </w:t>
      </w:r>
      <w:r>
        <w:rPr>
          <w:vertAlign w:val="baseline"/>
        </w:rPr>
        <w:t>to</w:t>
      </w:r>
      <w:r>
        <w:rPr>
          <w:spacing w:val="-7"/>
          <w:vertAlign w:val="baseline"/>
        </w:rPr>
        <w:t> </w:t>
      </w:r>
      <w:r>
        <w:rPr>
          <w:vertAlign w:val="baseline"/>
        </w:rPr>
        <w:t>appropriately</w:t>
      </w:r>
      <w:r>
        <w:rPr>
          <w:spacing w:val="-7"/>
          <w:vertAlign w:val="baseline"/>
        </w:rPr>
        <w:t> </w:t>
      </w:r>
      <w:r>
        <w:rPr>
          <w:vertAlign w:val="baseline"/>
        </w:rPr>
        <w:t>use</w:t>
      </w:r>
      <w:r>
        <w:rPr>
          <w:spacing w:val="-6"/>
          <w:vertAlign w:val="baseline"/>
        </w:rPr>
        <w:t> </w:t>
      </w:r>
      <w:r>
        <w:rPr>
          <w:vertAlign w:val="baseline"/>
        </w:rPr>
        <w:t>a</w:t>
      </w:r>
      <w:r>
        <w:rPr>
          <w:spacing w:val="-6"/>
          <w:vertAlign w:val="baseline"/>
        </w:rPr>
        <w:t> </w:t>
      </w:r>
      <w:r>
        <w:rPr>
          <w:vertAlign w:val="baseline"/>
        </w:rPr>
        <w:t>condom.</w:t>
      </w:r>
      <w:r>
        <w:rPr>
          <w:spacing w:val="-7"/>
          <w:vertAlign w:val="baseline"/>
        </w:rPr>
        <w:t> </w:t>
      </w:r>
      <w:r>
        <w:rPr>
          <w:vertAlign w:val="baseline"/>
        </w:rPr>
        <w:t>In</w:t>
      </w:r>
      <w:r>
        <w:rPr>
          <w:spacing w:val="-7"/>
          <w:vertAlign w:val="baseline"/>
        </w:rPr>
        <w:t> </w:t>
      </w:r>
      <w:r>
        <w:rPr>
          <w:vertAlign w:val="baseline"/>
        </w:rPr>
        <w:t>Boston</w:t>
      </w:r>
      <w:r>
        <w:rPr>
          <w:spacing w:val="-7"/>
          <w:vertAlign w:val="baseline"/>
        </w:rPr>
        <w:t> </w:t>
      </w:r>
      <w:r>
        <w:rPr>
          <w:vertAlign w:val="baseline"/>
        </w:rPr>
        <w:t>specifically</w:t>
      </w:r>
      <w:r>
        <w:rPr>
          <w:spacing w:val="-7"/>
          <w:vertAlign w:val="baseline"/>
        </w:rPr>
        <w:t> </w:t>
      </w:r>
      <w:r>
        <w:rPr>
          <w:vertAlign w:val="baseline"/>
        </w:rPr>
        <w:t>-</w:t>
      </w:r>
      <w:r>
        <w:rPr>
          <w:spacing w:val="-7"/>
          <w:vertAlign w:val="baseline"/>
        </w:rPr>
        <w:t> </w:t>
      </w:r>
      <w:r>
        <w:rPr>
          <w:vertAlign w:val="baseline"/>
        </w:rPr>
        <w:t>the</w:t>
      </w:r>
      <w:r>
        <w:rPr>
          <w:spacing w:val="-7"/>
          <w:vertAlign w:val="baseline"/>
        </w:rPr>
        <w:t> </w:t>
      </w:r>
      <w:r>
        <w:rPr>
          <w:vertAlign w:val="baseline"/>
        </w:rPr>
        <w:t>only</w:t>
      </w:r>
      <w:r>
        <w:rPr>
          <w:spacing w:val="-6"/>
          <w:vertAlign w:val="baseline"/>
        </w:rPr>
        <w:t> </w:t>
      </w:r>
      <w:r>
        <w:rPr>
          <w:vertAlign w:val="baseline"/>
        </w:rPr>
        <w:t>Massachusetts</w:t>
      </w:r>
      <w:r>
        <w:rPr>
          <w:spacing w:val="-6"/>
          <w:vertAlign w:val="baseline"/>
        </w:rPr>
        <w:t> </w:t>
      </w:r>
      <w:r>
        <w:rPr>
          <w:vertAlign w:val="baseline"/>
        </w:rPr>
        <w:t>city</w:t>
      </w:r>
      <w:r>
        <w:rPr>
          <w:spacing w:val="-7"/>
          <w:vertAlign w:val="baseline"/>
        </w:rPr>
        <w:t> </w:t>
      </w:r>
      <w:r>
        <w:rPr>
          <w:vertAlign w:val="baseline"/>
        </w:rPr>
        <w:t>reported in the public CDC profiles - only 29% of schools covered all 22 of the recommended sexual health topics between 6th and 8th grade, compared to states where comprehensive sexual health education is mandated which had cities with compliance rates as high as 97.1%.</w:t>
      </w:r>
      <w:r>
        <w:rPr>
          <w:vertAlign w:val="superscript"/>
        </w:rPr>
        <w:t>9</w:t>
      </w:r>
    </w:p>
    <w:p>
      <w:pPr>
        <w:pStyle w:val="BodyText"/>
        <w:spacing w:line="276" w:lineRule="auto" w:before="241"/>
        <w:ind w:left="363" w:right="140"/>
        <w:jc w:val="both"/>
      </w:pPr>
      <w:r>
        <w:rPr/>
        <w:t>Comprehensive sexual health education gives youth the tools they need to avoid situations where they might have unprotected sex, subsequently reducing STIs, HIV/AIDS transmission, and unintended pregnancy rates. All youth are entitled to medically-accurate knowledge about their own bodies, how to build healthy relationships, and how to give and ask for consent; all of these areas are core factors of comprehensive sexual health education.</w:t>
      </w:r>
      <w:r>
        <w:rPr>
          <w:vertAlign w:val="superscript"/>
        </w:rPr>
        <w:t>10</w:t>
      </w:r>
      <w:r>
        <w:rPr>
          <w:vertAlign w:val="baseline"/>
        </w:rPr>
        <w:t> Unfortunately, LGBTQ youth are often less likely to receive adequate and accurate education compared to their cisgender and heterosexual peers, with QTBIPOC youth further reporting disparate experiences in seeing appropriate and inclusive information pertaining to race, ethnicity, and culture in sexual health education.</w:t>
      </w:r>
      <w:r>
        <w:rPr>
          <w:vertAlign w:val="superscript"/>
        </w:rPr>
        <w:t>11</w:t>
      </w:r>
    </w:p>
    <w:p>
      <w:pPr>
        <w:pStyle w:val="BodyText"/>
        <w:spacing w:line="276" w:lineRule="auto" w:before="240"/>
        <w:ind w:left="363" w:right="141"/>
        <w:jc w:val="both"/>
      </w:pPr>
      <w:r>
        <w:rPr/>
        <w:t>Many of the opposing arguments around mandating sexual health education in schools center around a parent’s right to have these conversations in the home - or, rather, only in the home. However, it is important to highlight the fact that most parents - in fact the majority of parents - are not opposed to sexual health education in schools, with 93% of parents of high school students reporting that teaching about sexual health in schools is important. Furthermore, 85% of the same parents supported including sexual orientation as a sexual health topic in schools; though given the widespread cultural shifts in the last six years since this 2017 survey was completed, the Commission suspects that this number has continued to rise.</w:t>
      </w:r>
      <w:r>
        <w:rPr>
          <w:vertAlign w:val="superscript"/>
        </w:rPr>
        <w:t>12</w:t>
      </w:r>
    </w:p>
    <w:p>
      <w:pPr>
        <w:spacing w:after="0" w:line="276" w:lineRule="auto"/>
        <w:jc w:val="both"/>
        <w:sectPr>
          <w:pgSz w:w="12240" w:h="15840"/>
          <w:pgMar w:header="763" w:footer="1339" w:top="1180" w:bottom="1560" w:left="1080" w:right="1240"/>
        </w:sectPr>
      </w:pPr>
    </w:p>
    <w:p>
      <w:pPr>
        <w:pStyle w:val="BodyText"/>
        <w:spacing w:line="276" w:lineRule="auto" w:before="69"/>
        <w:ind w:left="363" w:right="140"/>
        <w:jc w:val="both"/>
      </w:pPr>
      <w:r>
        <w:rPr/>
        <w:t>Finally,</w:t>
      </w:r>
      <w:r>
        <w:rPr>
          <w:spacing w:val="-7"/>
        </w:rPr>
        <w:t> </w:t>
      </w:r>
      <w:r>
        <w:rPr/>
        <w:t>the</w:t>
      </w:r>
      <w:r>
        <w:rPr>
          <w:spacing w:val="-7"/>
        </w:rPr>
        <w:t> </w:t>
      </w:r>
      <w:r>
        <w:rPr/>
        <w:t>Commission</w:t>
      </w:r>
      <w:r>
        <w:rPr>
          <w:spacing w:val="-8"/>
        </w:rPr>
        <w:t> </w:t>
      </w:r>
      <w:r>
        <w:rPr/>
        <w:t>understands</w:t>
      </w:r>
      <w:r>
        <w:rPr>
          <w:spacing w:val="-6"/>
        </w:rPr>
        <w:t> </w:t>
      </w:r>
      <w:r>
        <w:rPr/>
        <w:t>that</w:t>
      </w:r>
      <w:r>
        <w:rPr>
          <w:spacing w:val="-7"/>
        </w:rPr>
        <w:t> </w:t>
      </w:r>
      <w:r>
        <w:rPr/>
        <w:t>by</w:t>
      </w:r>
      <w:r>
        <w:rPr>
          <w:spacing w:val="-8"/>
        </w:rPr>
        <w:t> </w:t>
      </w:r>
      <w:r>
        <w:rPr/>
        <w:t>not</w:t>
      </w:r>
      <w:r>
        <w:rPr>
          <w:spacing w:val="-7"/>
        </w:rPr>
        <w:t> </w:t>
      </w:r>
      <w:r>
        <w:rPr/>
        <w:t>passing</w:t>
      </w:r>
      <w:r>
        <w:rPr>
          <w:spacing w:val="-8"/>
        </w:rPr>
        <w:t> </w:t>
      </w:r>
      <w:r>
        <w:rPr/>
        <w:t>a</w:t>
      </w:r>
      <w:r>
        <w:rPr>
          <w:spacing w:val="-6"/>
        </w:rPr>
        <w:t> </w:t>
      </w:r>
      <w:r>
        <w:rPr/>
        <w:t>mandate</w:t>
      </w:r>
      <w:r>
        <w:rPr>
          <w:spacing w:val="-8"/>
        </w:rPr>
        <w:t> </w:t>
      </w:r>
      <w:r>
        <w:rPr/>
        <w:t>for</w:t>
      </w:r>
      <w:r>
        <w:rPr>
          <w:spacing w:val="-8"/>
        </w:rPr>
        <w:t> </w:t>
      </w:r>
      <w:r>
        <w:rPr/>
        <w:t>sexual</w:t>
      </w:r>
      <w:r>
        <w:rPr>
          <w:spacing w:val="-7"/>
        </w:rPr>
        <w:t> </w:t>
      </w:r>
      <w:r>
        <w:rPr/>
        <w:t>health</w:t>
      </w:r>
      <w:r>
        <w:rPr>
          <w:spacing w:val="-7"/>
        </w:rPr>
        <w:t> </w:t>
      </w:r>
      <w:r>
        <w:rPr/>
        <w:t>education</w:t>
      </w:r>
      <w:r>
        <w:rPr>
          <w:spacing w:val="-8"/>
        </w:rPr>
        <w:t> </w:t>
      </w:r>
      <w:r>
        <w:rPr/>
        <w:t>or</w:t>
      </w:r>
      <w:r>
        <w:rPr>
          <w:spacing w:val="-8"/>
        </w:rPr>
        <w:t> </w:t>
      </w:r>
      <w:r>
        <w:rPr/>
        <w:t>specific funding for curriculum updates, many lower-income schools, and areas with limited financial and community</w:t>
      </w:r>
      <w:r>
        <w:rPr>
          <w:spacing w:val="-10"/>
        </w:rPr>
        <w:t> </w:t>
      </w:r>
      <w:r>
        <w:rPr/>
        <w:t>support</w:t>
      </w:r>
      <w:r>
        <w:rPr>
          <w:spacing w:val="-10"/>
        </w:rPr>
        <w:t> </w:t>
      </w:r>
      <w:r>
        <w:rPr/>
        <w:t>may</w:t>
      </w:r>
      <w:r>
        <w:rPr>
          <w:spacing w:val="-11"/>
        </w:rPr>
        <w:t> </w:t>
      </w:r>
      <w:r>
        <w:rPr/>
        <w:t>stop</w:t>
      </w:r>
      <w:r>
        <w:rPr>
          <w:spacing w:val="-11"/>
        </w:rPr>
        <w:t> </w:t>
      </w:r>
      <w:r>
        <w:rPr/>
        <w:t>teaching</w:t>
      </w:r>
      <w:r>
        <w:rPr>
          <w:spacing w:val="-9"/>
        </w:rPr>
        <w:t> </w:t>
      </w:r>
      <w:r>
        <w:rPr/>
        <w:t>sexual</w:t>
      </w:r>
      <w:r>
        <w:rPr>
          <w:spacing w:val="-11"/>
        </w:rPr>
        <w:t> </w:t>
      </w:r>
      <w:r>
        <w:rPr/>
        <w:t>health</w:t>
      </w:r>
      <w:r>
        <w:rPr>
          <w:spacing w:val="-9"/>
        </w:rPr>
        <w:t> </w:t>
      </w:r>
      <w:r>
        <w:rPr/>
        <w:t>topics</w:t>
      </w:r>
      <w:r>
        <w:rPr>
          <w:spacing w:val="-11"/>
        </w:rPr>
        <w:t> </w:t>
      </w:r>
      <w:r>
        <w:rPr/>
        <w:t>altogether.</w:t>
      </w:r>
      <w:r>
        <w:rPr>
          <w:spacing w:val="-10"/>
        </w:rPr>
        <w:t> </w:t>
      </w:r>
      <w:r>
        <w:rPr/>
        <w:t>This</w:t>
      </w:r>
      <w:r>
        <w:rPr>
          <w:spacing w:val="-10"/>
        </w:rPr>
        <w:t> </w:t>
      </w:r>
      <w:r>
        <w:rPr/>
        <w:t>issue</w:t>
      </w:r>
      <w:r>
        <w:rPr>
          <w:spacing w:val="-11"/>
        </w:rPr>
        <w:t> </w:t>
      </w:r>
      <w:r>
        <w:rPr/>
        <w:t>is</w:t>
      </w:r>
      <w:r>
        <w:rPr>
          <w:spacing w:val="-10"/>
        </w:rPr>
        <w:t> </w:t>
      </w:r>
      <w:r>
        <w:rPr/>
        <w:t>particularly</w:t>
      </w:r>
      <w:r>
        <w:rPr>
          <w:spacing w:val="-11"/>
        </w:rPr>
        <w:t> </w:t>
      </w:r>
      <w:r>
        <w:rPr/>
        <w:t>concerning as QTBIPOC youth, who are more likely to face sexual violence than white youth, are also more likely to attend</w:t>
      </w:r>
      <w:r>
        <w:rPr>
          <w:spacing w:val="-7"/>
        </w:rPr>
        <w:t> </w:t>
      </w:r>
      <w:r>
        <w:rPr/>
        <w:t>underfunded</w:t>
      </w:r>
      <w:r>
        <w:rPr>
          <w:spacing w:val="-7"/>
        </w:rPr>
        <w:t> </w:t>
      </w:r>
      <w:r>
        <w:rPr/>
        <w:t>schools</w:t>
      </w:r>
      <w:r>
        <w:rPr>
          <w:spacing w:val="-7"/>
        </w:rPr>
        <w:t> </w:t>
      </w:r>
      <w:r>
        <w:rPr/>
        <w:t>where</w:t>
      </w:r>
      <w:r>
        <w:rPr>
          <w:spacing w:val="-8"/>
        </w:rPr>
        <w:t> </w:t>
      </w:r>
      <w:r>
        <w:rPr/>
        <w:t>sexual</w:t>
      </w:r>
      <w:r>
        <w:rPr>
          <w:spacing w:val="-8"/>
        </w:rPr>
        <w:t> </w:t>
      </w:r>
      <w:r>
        <w:rPr/>
        <w:t>health</w:t>
      </w:r>
      <w:r>
        <w:rPr>
          <w:spacing w:val="-8"/>
        </w:rPr>
        <w:t> </w:t>
      </w:r>
      <w:r>
        <w:rPr/>
        <w:t>education</w:t>
      </w:r>
      <w:r>
        <w:rPr>
          <w:spacing w:val="-8"/>
        </w:rPr>
        <w:t> </w:t>
      </w:r>
      <w:r>
        <w:rPr/>
        <w:t>may</w:t>
      </w:r>
      <w:r>
        <w:rPr>
          <w:spacing w:val="-6"/>
        </w:rPr>
        <w:t> </w:t>
      </w:r>
      <w:r>
        <w:rPr/>
        <w:t>not</w:t>
      </w:r>
      <w:r>
        <w:rPr>
          <w:spacing w:val="-8"/>
        </w:rPr>
        <w:t> </w:t>
      </w:r>
      <w:r>
        <w:rPr/>
        <w:t>be</w:t>
      </w:r>
      <w:r>
        <w:rPr>
          <w:spacing w:val="-8"/>
        </w:rPr>
        <w:t> </w:t>
      </w:r>
      <w:r>
        <w:rPr/>
        <w:t>a</w:t>
      </w:r>
      <w:r>
        <w:rPr>
          <w:spacing w:val="-7"/>
        </w:rPr>
        <w:t> </w:t>
      </w:r>
      <w:r>
        <w:rPr/>
        <w:t>priority.</w:t>
      </w:r>
      <w:r>
        <w:rPr>
          <w:vertAlign w:val="superscript"/>
        </w:rPr>
        <w:t>13</w:t>
      </w:r>
      <w:r>
        <w:rPr>
          <w:spacing w:val="-8"/>
          <w:vertAlign w:val="baseline"/>
        </w:rPr>
        <w:t> </w:t>
      </w:r>
      <w:r>
        <w:rPr>
          <w:vertAlign w:val="baseline"/>
        </w:rPr>
        <w:t>Black</w:t>
      </w:r>
      <w:r>
        <w:rPr>
          <w:spacing w:val="-8"/>
          <w:vertAlign w:val="baseline"/>
        </w:rPr>
        <w:t> </w:t>
      </w:r>
      <w:r>
        <w:rPr>
          <w:vertAlign w:val="baseline"/>
        </w:rPr>
        <w:t>women</w:t>
      </w:r>
      <w:r>
        <w:rPr>
          <w:spacing w:val="-8"/>
          <w:vertAlign w:val="baseline"/>
        </w:rPr>
        <w:t> </w:t>
      </w:r>
      <w:r>
        <w:rPr>
          <w:vertAlign w:val="baseline"/>
        </w:rPr>
        <w:t>and</w:t>
      </w:r>
      <w:r>
        <w:rPr>
          <w:spacing w:val="-8"/>
          <w:vertAlign w:val="baseline"/>
        </w:rPr>
        <w:t> </w:t>
      </w:r>
      <w:r>
        <w:rPr>
          <w:vertAlign w:val="baseline"/>
        </w:rPr>
        <w:t>girls are significantly more likely to face sexual violence or coercion, with 40-60% of Black women reporting being</w:t>
      </w:r>
      <w:r>
        <w:rPr>
          <w:spacing w:val="-9"/>
          <w:vertAlign w:val="baseline"/>
        </w:rPr>
        <w:t> </w:t>
      </w:r>
      <w:r>
        <w:rPr>
          <w:vertAlign w:val="baseline"/>
        </w:rPr>
        <w:t>subjected</w:t>
      </w:r>
      <w:r>
        <w:rPr>
          <w:spacing w:val="-9"/>
          <w:vertAlign w:val="baseline"/>
        </w:rPr>
        <w:t> </w:t>
      </w:r>
      <w:r>
        <w:rPr>
          <w:vertAlign w:val="baseline"/>
        </w:rPr>
        <w:t>to</w:t>
      </w:r>
      <w:r>
        <w:rPr>
          <w:spacing w:val="-8"/>
          <w:vertAlign w:val="baseline"/>
        </w:rPr>
        <w:t> </w:t>
      </w:r>
      <w:r>
        <w:rPr>
          <w:vertAlign w:val="baseline"/>
        </w:rPr>
        <w:t>coercive</w:t>
      </w:r>
      <w:r>
        <w:rPr>
          <w:spacing w:val="-9"/>
          <w:vertAlign w:val="baseline"/>
        </w:rPr>
        <w:t> </w:t>
      </w:r>
      <w:r>
        <w:rPr>
          <w:vertAlign w:val="baseline"/>
        </w:rPr>
        <w:t>sexual</w:t>
      </w:r>
      <w:r>
        <w:rPr>
          <w:spacing w:val="-9"/>
          <w:vertAlign w:val="baseline"/>
        </w:rPr>
        <w:t> </w:t>
      </w:r>
      <w:r>
        <w:rPr>
          <w:vertAlign w:val="baseline"/>
        </w:rPr>
        <w:t>contact</w:t>
      </w:r>
      <w:r>
        <w:rPr>
          <w:spacing w:val="-9"/>
          <w:vertAlign w:val="baseline"/>
        </w:rPr>
        <w:t> </w:t>
      </w:r>
      <w:r>
        <w:rPr>
          <w:vertAlign w:val="baseline"/>
        </w:rPr>
        <w:t>by</w:t>
      </w:r>
      <w:r>
        <w:rPr>
          <w:spacing w:val="-8"/>
          <w:vertAlign w:val="baseline"/>
        </w:rPr>
        <w:t> </w:t>
      </w:r>
      <w:r>
        <w:rPr>
          <w:vertAlign w:val="baseline"/>
        </w:rPr>
        <w:t>the</w:t>
      </w:r>
      <w:r>
        <w:rPr>
          <w:spacing w:val="-9"/>
          <w:vertAlign w:val="baseline"/>
        </w:rPr>
        <w:t> </w:t>
      </w:r>
      <w:r>
        <w:rPr>
          <w:vertAlign w:val="baseline"/>
        </w:rPr>
        <w:t>age</w:t>
      </w:r>
      <w:r>
        <w:rPr>
          <w:spacing w:val="-9"/>
          <w:vertAlign w:val="baseline"/>
        </w:rPr>
        <w:t> </w:t>
      </w:r>
      <w:r>
        <w:rPr>
          <w:vertAlign w:val="baseline"/>
        </w:rPr>
        <w:t>of</w:t>
      </w:r>
      <w:r>
        <w:rPr>
          <w:spacing w:val="-9"/>
          <w:vertAlign w:val="baseline"/>
        </w:rPr>
        <w:t> </w:t>
      </w:r>
      <w:r>
        <w:rPr>
          <w:vertAlign w:val="baseline"/>
        </w:rPr>
        <w:t>18;</w:t>
      </w:r>
      <w:r>
        <w:rPr>
          <w:spacing w:val="-9"/>
          <w:vertAlign w:val="baseline"/>
        </w:rPr>
        <w:t> </w:t>
      </w:r>
      <w:r>
        <w:rPr>
          <w:vertAlign w:val="baseline"/>
        </w:rPr>
        <w:t>1</w:t>
      </w:r>
      <w:r>
        <w:rPr>
          <w:spacing w:val="-9"/>
          <w:vertAlign w:val="baseline"/>
        </w:rPr>
        <w:t> </w:t>
      </w:r>
      <w:r>
        <w:rPr>
          <w:vertAlign w:val="baseline"/>
        </w:rPr>
        <w:t>in</w:t>
      </w:r>
      <w:r>
        <w:rPr>
          <w:spacing w:val="-9"/>
          <w:vertAlign w:val="baseline"/>
        </w:rPr>
        <w:t> </w:t>
      </w:r>
      <w:r>
        <w:rPr>
          <w:vertAlign w:val="baseline"/>
        </w:rPr>
        <w:t>4</w:t>
      </w:r>
      <w:r>
        <w:rPr>
          <w:spacing w:val="-9"/>
          <w:vertAlign w:val="baseline"/>
        </w:rPr>
        <w:t> </w:t>
      </w:r>
      <w:r>
        <w:rPr>
          <w:vertAlign w:val="baseline"/>
        </w:rPr>
        <w:t>Black</w:t>
      </w:r>
      <w:r>
        <w:rPr>
          <w:spacing w:val="-9"/>
          <w:vertAlign w:val="baseline"/>
        </w:rPr>
        <w:t> </w:t>
      </w:r>
      <w:r>
        <w:rPr>
          <w:vertAlign w:val="baseline"/>
        </w:rPr>
        <w:t>girls</w:t>
      </w:r>
      <w:r>
        <w:rPr>
          <w:spacing w:val="-8"/>
          <w:vertAlign w:val="baseline"/>
        </w:rPr>
        <w:t> </w:t>
      </w:r>
      <w:r>
        <w:rPr>
          <w:vertAlign w:val="baseline"/>
        </w:rPr>
        <w:t>will</w:t>
      </w:r>
      <w:r>
        <w:rPr>
          <w:spacing w:val="-9"/>
          <w:vertAlign w:val="baseline"/>
        </w:rPr>
        <w:t> </w:t>
      </w:r>
      <w:r>
        <w:rPr>
          <w:vertAlign w:val="baseline"/>
        </w:rPr>
        <w:t>be</w:t>
      </w:r>
      <w:r>
        <w:rPr>
          <w:spacing w:val="-9"/>
          <w:vertAlign w:val="baseline"/>
        </w:rPr>
        <w:t> </w:t>
      </w:r>
      <w:r>
        <w:rPr>
          <w:vertAlign w:val="baseline"/>
        </w:rPr>
        <w:t>sexually</w:t>
      </w:r>
      <w:r>
        <w:rPr>
          <w:spacing w:val="-9"/>
          <w:vertAlign w:val="baseline"/>
        </w:rPr>
        <w:t> </w:t>
      </w:r>
      <w:r>
        <w:rPr>
          <w:vertAlign w:val="baseline"/>
        </w:rPr>
        <w:t>abused</w:t>
      </w:r>
      <w:r>
        <w:rPr>
          <w:spacing w:val="-9"/>
          <w:vertAlign w:val="baseline"/>
        </w:rPr>
        <w:t> </w:t>
      </w:r>
      <w:r>
        <w:rPr>
          <w:vertAlign w:val="baseline"/>
        </w:rPr>
        <w:t>before the</w:t>
      </w:r>
      <w:r>
        <w:rPr>
          <w:spacing w:val="-4"/>
          <w:vertAlign w:val="baseline"/>
        </w:rPr>
        <w:t> </w:t>
      </w:r>
      <w:r>
        <w:rPr>
          <w:vertAlign w:val="baseline"/>
        </w:rPr>
        <w:t>age</w:t>
      </w:r>
      <w:r>
        <w:rPr>
          <w:spacing w:val="-4"/>
          <w:vertAlign w:val="baseline"/>
        </w:rPr>
        <w:t> </w:t>
      </w:r>
      <w:r>
        <w:rPr>
          <w:vertAlign w:val="baseline"/>
        </w:rPr>
        <w:t>of</w:t>
      </w:r>
      <w:r>
        <w:rPr>
          <w:spacing w:val="-5"/>
          <w:vertAlign w:val="baseline"/>
        </w:rPr>
        <w:t> </w:t>
      </w:r>
      <w:r>
        <w:rPr>
          <w:vertAlign w:val="baseline"/>
        </w:rPr>
        <w:t>18.</w:t>
      </w:r>
      <w:r>
        <w:rPr>
          <w:vertAlign w:val="superscript"/>
        </w:rPr>
        <w:t>14</w:t>
      </w:r>
      <w:r>
        <w:rPr>
          <w:spacing w:val="-6"/>
          <w:vertAlign w:val="baseline"/>
        </w:rPr>
        <w:t> </w:t>
      </w:r>
      <w:r>
        <w:rPr>
          <w:vertAlign w:val="baseline"/>
        </w:rPr>
        <w:t>However,</w:t>
      </w:r>
      <w:r>
        <w:rPr>
          <w:spacing w:val="-5"/>
          <w:vertAlign w:val="baseline"/>
        </w:rPr>
        <w:t> </w:t>
      </w:r>
      <w:r>
        <w:rPr>
          <w:vertAlign w:val="baseline"/>
        </w:rPr>
        <w:t>53%</w:t>
      </w:r>
      <w:r>
        <w:rPr>
          <w:spacing w:val="-5"/>
          <w:vertAlign w:val="baseline"/>
        </w:rPr>
        <w:t> </w:t>
      </w:r>
      <w:r>
        <w:rPr>
          <w:vertAlign w:val="baseline"/>
        </w:rPr>
        <w:t>of</w:t>
      </w:r>
      <w:r>
        <w:rPr>
          <w:spacing w:val="-5"/>
          <w:vertAlign w:val="baseline"/>
        </w:rPr>
        <w:t> </w:t>
      </w:r>
      <w:r>
        <w:rPr>
          <w:vertAlign w:val="baseline"/>
        </w:rPr>
        <w:t>Black</w:t>
      </w:r>
      <w:r>
        <w:rPr>
          <w:spacing w:val="-3"/>
          <w:vertAlign w:val="baseline"/>
        </w:rPr>
        <w:t> </w:t>
      </w:r>
      <w:r>
        <w:rPr>
          <w:vertAlign w:val="baseline"/>
        </w:rPr>
        <w:t>trans</w:t>
      </w:r>
      <w:r>
        <w:rPr>
          <w:spacing w:val="-5"/>
          <w:vertAlign w:val="baseline"/>
        </w:rPr>
        <w:t> </w:t>
      </w:r>
      <w:r>
        <w:rPr>
          <w:vertAlign w:val="baseline"/>
        </w:rPr>
        <w:t>women</w:t>
      </w:r>
      <w:r>
        <w:rPr>
          <w:spacing w:val="-4"/>
          <w:vertAlign w:val="baseline"/>
        </w:rPr>
        <w:t> </w:t>
      </w:r>
      <w:r>
        <w:rPr>
          <w:vertAlign w:val="baseline"/>
        </w:rPr>
        <w:t>report</w:t>
      </w:r>
      <w:r>
        <w:rPr>
          <w:spacing w:val="-6"/>
          <w:vertAlign w:val="baseline"/>
        </w:rPr>
        <w:t> </w:t>
      </w:r>
      <w:r>
        <w:rPr>
          <w:vertAlign w:val="baseline"/>
        </w:rPr>
        <w:t>experiencing</w:t>
      </w:r>
      <w:r>
        <w:rPr>
          <w:spacing w:val="-6"/>
          <w:vertAlign w:val="baseline"/>
        </w:rPr>
        <w:t> </w:t>
      </w:r>
      <w:r>
        <w:rPr>
          <w:vertAlign w:val="baseline"/>
        </w:rPr>
        <w:t>sexual</w:t>
      </w:r>
      <w:r>
        <w:rPr>
          <w:spacing w:val="-4"/>
          <w:vertAlign w:val="baseline"/>
        </w:rPr>
        <w:t> </w:t>
      </w:r>
      <w:r>
        <w:rPr>
          <w:vertAlign w:val="baseline"/>
        </w:rPr>
        <w:t>violence,</w:t>
      </w:r>
      <w:r>
        <w:rPr>
          <w:spacing w:val="-5"/>
          <w:vertAlign w:val="baseline"/>
        </w:rPr>
        <w:t> </w:t>
      </w:r>
      <w:r>
        <w:rPr>
          <w:vertAlign w:val="baseline"/>
        </w:rPr>
        <w:t>and</w:t>
      </w:r>
      <w:r>
        <w:rPr>
          <w:spacing w:val="-4"/>
          <w:vertAlign w:val="baseline"/>
        </w:rPr>
        <w:t> </w:t>
      </w:r>
      <w:r>
        <w:rPr>
          <w:vertAlign w:val="baseline"/>
        </w:rPr>
        <w:t>are</w:t>
      </w:r>
      <w:r>
        <w:rPr>
          <w:spacing w:val="-4"/>
          <w:vertAlign w:val="baseline"/>
        </w:rPr>
        <w:t> </w:t>
      </w:r>
      <w:r>
        <w:rPr>
          <w:vertAlign w:val="baseline"/>
        </w:rPr>
        <w:t>killed</w:t>
      </w:r>
      <w:r>
        <w:rPr>
          <w:spacing w:val="-4"/>
          <w:vertAlign w:val="baseline"/>
        </w:rPr>
        <w:t> </w:t>
      </w:r>
      <w:r>
        <w:rPr>
          <w:vertAlign w:val="baseline"/>
        </w:rPr>
        <w:t>at higher rates than any other population.</w:t>
      </w:r>
      <w:r>
        <w:rPr>
          <w:vertAlign w:val="superscript"/>
        </w:rPr>
        <w:t>15</w:t>
      </w:r>
      <w:r>
        <w:rPr>
          <w:vertAlign w:val="baseline"/>
        </w:rPr>
        <w:t> Ensuring that all schools teach a consent-based curriculum is essential,</w:t>
      </w:r>
      <w:r>
        <w:rPr>
          <w:spacing w:val="-9"/>
          <w:vertAlign w:val="baseline"/>
        </w:rPr>
        <w:t> </w:t>
      </w:r>
      <w:r>
        <w:rPr>
          <w:vertAlign w:val="baseline"/>
        </w:rPr>
        <w:t>but</w:t>
      </w:r>
      <w:r>
        <w:rPr>
          <w:spacing w:val="-8"/>
          <w:vertAlign w:val="baseline"/>
        </w:rPr>
        <w:t> </w:t>
      </w:r>
      <w:r>
        <w:rPr>
          <w:vertAlign w:val="baseline"/>
        </w:rPr>
        <w:t>especially</w:t>
      </w:r>
      <w:r>
        <w:rPr>
          <w:spacing w:val="-9"/>
          <w:vertAlign w:val="baseline"/>
        </w:rPr>
        <w:t> </w:t>
      </w:r>
      <w:r>
        <w:rPr>
          <w:vertAlign w:val="baseline"/>
        </w:rPr>
        <w:t>in</w:t>
      </w:r>
      <w:r>
        <w:rPr>
          <w:spacing w:val="-8"/>
          <w:vertAlign w:val="baseline"/>
        </w:rPr>
        <w:t> </w:t>
      </w:r>
      <w:r>
        <w:rPr>
          <w:vertAlign w:val="baseline"/>
        </w:rPr>
        <w:t>impoverished</w:t>
      </w:r>
      <w:r>
        <w:rPr>
          <w:spacing w:val="-7"/>
          <w:vertAlign w:val="baseline"/>
        </w:rPr>
        <w:t> </w:t>
      </w:r>
      <w:r>
        <w:rPr>
          <w:vertAlign w:val="baseline"/>
        </w:rPr>
        <w:t>areas</w:t>
      </w:r>
      <w:r>
        <w:rPr>
          <w:spacing w:val="-8"/>
          <w:vertAlign w:val="baseline"/>
        </w:rPr>
        <w:t> </w:t>
      </w:r>
      <w:r>
        <w:rPr>
          <w:vertAlign w:val="baseline"/>
        </w:rPr>
        <w:t>that</w:t>
      </w:r>
      <w:r>
        <w:rPr>
          <w:spacing w:val="-9"/>
          <w:vertAlign w:val="baseline"/>
        </w:rPr>
        <w:t> </w:t>
      </w:r>
      <w:r>
        <w:rPr>
          <w:vertAlign w:val="baseline"/>
        </w:rPr>
        <w:t>lack</w:t>
      </w:r>
      <w:r>
        <w:rPr>
          <w:spacing w:val="-9"/>
          <w:vertAlign w:val="baseline"/>
        </w:rPr>
        <w:t> </w:t>
      </w:r>
      <w:r>
        <w:rPr>
          <w:vertAlign w:val="baseline"/>
        </w:rPr>
        <w:t>the</w:t>
      </w:r>
      <w:r>
        <w:rPr>
          <w:spacing w:val="-9"/>
          <w:vertAlign w:val="baseline"/>
        </w:rPr>
        <w:t> </w:t>
      </w:r>
      <w:r>
        <w:rPr>
          <w:vertAlign w:val="baseline"/>
        </w:rPr>
        <w:t>support</w:t>
      </w:r>
      <w:r>
        <w:rPr>
          <w:spacing w:val="-8"/>
          <w:vertAlign w:val="baseline"/>
        </w:rPr>
        <w:t> </w:t>
      </w:r>
      <w:r>
        <w:rPr>
          <w:vertAlign w:val="baseline"/>
        </w:rPr>
        <w:t>to</w:t>
      </w:r>
      <w:r>
        <w:rPr>
          <w:spacing w:val="-8"/>
          <w:vertAlign w:val="baseline"/>
        </w:rPr>
        <w:t> </w:t>
      </w:r>
      <w:r>
        <w:rPr>
          <w:vertAlign w:val="baseline"/>
        </w:rPr>
        <w:t>equip</w:t>
      </w:r>
      <w:r>
        <w:rPr>
          <w:spacing w:val="-8"/>
          <w:vertAlign w:val="baseline"/>
        </w:rPr>
        <w:t> </w:t>
      </w:r>
      <w:r>
        <w:rPr>
          <w:vertAlign w:val="baseline"/>
        </w:rPr>
        <w:t>schools</w:t>
      </w:r>
      <w:r>
        <w:rPr>
          <w:spacing w:val="-8"/>
          <w:vertAlign w:val="baseline"/>
        </w:rPr>
        <w:t> </w:t>
      </w:r>
      <w:r>
        <w:rPr>
          <w:vertAlign w:val="baseline"/>
        </w:rPr>
        <w:t>with</w:t>
      </w:r>
      <w:r>
        <w:rPr>
          <w:spacing w:val="-9"/>
          <w:vertAlign w:val="baseline"/>
        </w:rPr>
        <w:t> </w:t>
      </w:r>
      <w:r>
        <w:rPr>
          <w:vertAlign w:val="baseline"/>
        </w:rPr>
        <w:t>healthy</w:t>
      </w:r>
      <w:r>
        <w:rPr>
          <w:spacing w:val="-9"/>
          <w:vertAlign w:val="baseline"/>
        </w:rPr>
        <w:t> </w:t>
      </w:r>
      <w:r>
        <w:rPr>
          <w:vertAlign w:val="baseline"/>
        </w:rPr>
        <w:t>learning environments. However, as highlighted in multiple areas of this annual report, improving sexual health education only works to make an impact towards these numbers, and must work in tandem with other harm reduction and systemic improvement practices to ensure that all youth are safe and thriving.</w:t>
      </w:r>
    </w:p>
    <w:p>
      <w:pPr>
        <w:pStyle w:val="BodyText"/>
      </w:pPr>
    </w:p>
    <w:p>
      <w:pPr>
        <w:pStyle w:val="BodyText"/>
        <w:spacing w:before="49"/>
      </w:pPr>
    </w:p>
    <w:p>
      <w:pPr>
        <w:spacing w:before="0"/>
        <w:ind w:left="363" w:right="0" w:firstLine="0"/>
        <w:jc w:val="both"/>
        <w:rPr>
          <w:sz w:val="26"/>
        </w:rPr>
      </w:pPr>
      <w:bookmarkStart w:name="Sexual Health Education Beyond Public Sc" w:id="470"/>
      <w:bookmarkEnd w:id="470"/>
      <w:r>
        <w:rPr/>
      </w:r>
      <w:r>
        <w:rPr>
          <w:color w:val="095292"/>
          <w:sz w:val="26"/>
        </w:rPr>
        <w:t>Sexual</w:t>
      </w:r>
      <w:r>
        <w:rPr>
          <w:color w:val="095292"/>
          <w:spacing w:val="-6"/>
          <w:sz w:val="26"/>
        </w:rPr>
        <w:t> </w:t>
      </w:r>
      <w:r>
        <w:rPr>
          <w:color w:val="095292"/>
          <w:sz w:val="26"/>
        </w:rPr>
        <w:t>Health</w:t>
      </w:r>
      <w:r>
        <w:rPr>
          <w:color w:val="095292"/>
          <w:spacing w:val="-5"/>
          <w:sz w:val="26"/>
        </w:rPr>
        <w:t> </w:t>
      </w:r>
      <w:r>
        <w:rPr>
          <w:color w:val="095292"/>
          <w:sz w:val="26"/>
        </w:rPr>
        <w:t>Education</w:t>
      </w:r>
      <w:r>
        <w:rPr>
          <w:color w:val="095292"/>
          <w:spacing w:val="-5"/>
          <w:sz w:val="26"/>
        </w:rPr>
        <w:t> </w:t>
      </w:r>
      <w:r>
        <w:rPr>
          <w:color w:val="095292"/>
          <w:sz w:val="26"/>
        </w:rPr>
        <w:t>Beyond</w:t>
      </w:r>
      <w:r>
        <w:rPr>
          <w:color w:val="095292"/>
          <w:spacing w:val="-5"/>
          <w:sz w:val="26"/>
        </w:rPr>
        <w:t> </w:t>
      </w:r>
      <w:r>
        <w:rPr>
          <w:color w:val="095292"/>
          <w:sz w:val="26"/>
        </w:rPr>
        <w:t>Public</w:t>
      </w:r>
      <w:r>
        <w:rPr>
          <w:color w:val="095292"/>
          <w:spacing w:val="-5"/>
          <w:sz w:val="26"/>
        </w:rPr>
        <w:t> </w:t>
      </w:r>
      <w:r>
        <w:rPr>
          <w:color w:val="095292"/>
          <w:spacing w:val="-2"/>
          <w:sz w:val="26"/>
        </w:rPr>
        <w:t>Schools</w:t>
      </w:r>
    </w:p>
    <w:p>
      <w:pPr>
        <w:pStyle w:val="BodyText"/>
        <w:spacing w:before="140"/>
        <w:rPr>
          <w:sz w:val="26"/>
        </w:rPr>
      </w:pPr>
    </w:p>
    <w:p>
      <w:pPr>
        <w:pStyle w:val="BodyText"/>
        <w:spacing w:line="276" w:lineRule="auto"/>
        <w:ind w:left="363" w:right="141"/>
        <w:jc w:val="both"/>
      </w:pPr>
      <w:r>
        <w:rPr/>
        <w:t>Over the last year, the Commission has broadened its focus on sexual health education to examine disparities faced by youth outside of the public school system. In particular, the Commission, DCF, DYS, and DDS have had initial conversations in FY 2023 around updating sexual health education in the child welfare system, juvenile justice system, and services offered by DDS for youth with disabilities. The Commission</w:t>
      </w:r>
      <w:r>
        <w:rPr>
          <w:spacing w:val="-13"/>
        </w:rPr>
        <w:t> </w:t>
      </w:r>
      <w:r>
        <w:rPr/>
        <w:t>encourages</w:t>
      </w:r>
      <w:r>
        <w:rPr>
          <w:spacing w:val="-12"/>
        </w:rPr>
        <w:t> </w:t>
      </w:r>
      <w:r>
        <w:rPr/>
        <w:t>policymakers,</w:t>
      </w:r>
      <w:r>
        <w:rPr>
          <w:spacing w:val="-13"/>
        </w:rPr>
        <w:t> </w:t>
      </w:r>
      <w:r>
        <w:rPr/>
        <w:t>advocates,</w:t>
      </w:r>
      <w:r>
        <w:rPr>
          <w:spacing w:val="-12"/>
        </w:rPr>
        <w:t> </w:t>
      </w:r>
      <w:r>
        <w:rPr/>
        <w:t>families,</w:t>
      </w:r>
      <w:r>
        <w:rPr>
          <w:spacing w:val="-13"/>
        </w:rPr>
        <w:t> </w:t>
      </w:r>
      <w:r>
        <w:rPr/>
        <w:t>and</w:t>
      </w:r>
      <w:r>
        <w:rPr>
          <w:spacing w:val="-12"/>
        </w:rPr>
        <w:t> </w:t>
      </w:r>
      <w:r>
        <w:rPr/>
        <w:t>educators</w:t>
      </w:r>
      <w:r>
        <w:rPr>
          <w:spacing w:val="-13"/>
        </w:rPr>
        <w:t> </w:t>
      </w:r>
      <w:r>
        <w:rPr/>
        <w:t>to</w:t>
      </w:r>
      <w:r>
        <w:rPr>
          <w:spacing w:val="-12"/>
        </w:rPr>
        <w:t> </w:t>
      </w:r>
      <w:r>
        <w:rPr/>
        <w:t>take</w:t>
      </w:r>
      <w:r>
        <w:rPr>
          <w:spacing w:val="-12"/>
        </w:rPr>
        <w:t> </w:t>
      </w:r>
      <w:r>
        <w:rPr/>
        <w:t>a</w:t>
      </w:r>
      <w:r>
        <w:rPr>
          <w:spacing w:val="-13"/>
        </w:rPr>
        <w:t> </w:t>
      </w:r>
      <w:r>
        <w:rPr/>
        <w:t>wider</w:t>
      </w:r>
      <w:r>
        <w:rPr>
          <w:spacing w:val="-12"/>
        </w:rPr>
        <w:t> </w:t>
      </w:r>
      <w:r>
        <w:rPr/>
        <w:t>look</w:t>
      </w:r>
      <w:r>
        <w:rPr>
          <w:spacing w:val="-13"/>
        </w:rPr>
        <w:t> </w:t>
      </w:r>
      <w:r>
        <w:rPr/>
        <w:t>at</w:t>
      </w:r>
      <w:r>
        <w:rPr>
          <w:spacing w:val="-12"/>
        </w:rPr>
        <w:t> </w:t>
      </w:r>
      <w:r>
        <w:rPr/>
        <w:t>the</w:t>
      </w:r>
      <w:r>
        <w:rPr>
          <w:spacing w:val="-13"/>
        </w:rPr>
        <w:t> </w:t>
      </w:r>
      <w:r>
        <w:rPr/>
        <w:t>needs of youth as it pertains to health and education.</w:t>
      </w:r>
    </w:p>
    <w:p>
      <w:pPr>
        <w:pStyle w:val="BodyText"/>
      </w:pPr>
    </w:p>
    <w:p>
      <w:pPr>
        <w:pStyle w:val="BodyText"/>
        <w:spacing w:before="48"/>
      </w:pPr>
    </w:p>
    <w:p>
      <w:pPr>
        <w:spacing w:before="0"/>
        <w:ind w:left="363" w:right="0" w:firstLine="0"/>
        <w:jc w:val="both"/>
        <w:rPr>
          <w:sz w:val="26"/>
        </w:rPr>
      </w:pPr>
      <w:bookmarkStart w:name="Language and Education that Fully Includ" w:id="471"/>
      <w:bookmarkEnd w:id="471"/>
      <w:r>
        <w:rPr/>
      </w:r>
      <w:r>
        <w:rPr>
          <w:color w:val="095292"/>
          <w:sz w:val="26"/>
        </w:rPr>
        <w:t>Language</w:t>
      </w:r>
      <w:r>
        <w:rPr>
          <w:color w:val="095292"/>
          <w:spacing w:val="-5"/>
          <w:sz w:val="26"/>
        </w:rPr>
        <w:t> </w:t>
      </w:r>
      <w:r>
        <w:rPr>
          <w:color w:val="095292"/>
          <w:sz w:val="26"/>
        </w:rPr>
        <w:t>and</w:t>
      </w:r>
      <w:r>
        <w:rPr>
          <w:color w:val="095292"/>
          <w:spacing w:val="-4"/>
          <w:sz w:val="26"/>
        </w:rPr>
        <w:t> </w:t>
      </w:r>
      <w:r>
        <w:rPr>
          <w:color w:val="095292"/>
          <w:sz w:val="26"/>
        </w:rPr>
        <w:t>Education</w:t>
      </w:r>
      <w:r>
        <w:rPr>
          <w:color w:val="095292"/>
          <w:spacing w:val="-4"/>
          <w:sz w:val="26"/>
        </w:rPr>
        <w:t> </w:t>
      </w:r>
      <w:r>
        <w:rPr>
          <w:color w:val="095292"/>
          <w:sz w:val="26"/>
        </w:rPr>
        <w:t>that</w:t>
      </w:r>
      <w:r>
        <w:rPr>
          <w:color w:val="095292"/>
          <w:spacing w:val="-3"/>
          <w:sz w:val="26"/>
        </w:rPr>
        <w:t> </w:t>
      </w:r>
      <w:r>
        <w:rPr>
          <w:color w:val="095292"/>
          <w:sz w:val="26"/>
        </w:rPr>
        <w:t>Fully</w:t>
      </w:r>
      <w:r>
        <w:rPr>
          <w:color w:val="095292"/>
          <w:spacing w:val="-4"/>
          <w:sz w:val="26"/>
        </w:rPr>
        <w:t> </w:t>
      </w:r>
      <w:r>
        <w:rPr>
          <w:color w:val="095292"/>
          <w:sz w:val="26"/>
        </w:rPr>
        <w:t>Includes</w:t>
      </w:r>
      <w:r>
        <w:rPr>
          <w:color w:val="095292"/>
          <w:spacing w:val="-3"/>
          <w:sz w:val="26"/>
        </w:rPr>
        <w:t> </w:t>
      </w:r>
      <w:r>
        <w:rPr>
          <w:color w:val="095292"/>
          <w:sz w:val="26"/>
        </w:rPr>
        <w:t>LGBTQ</w:t>
      </w:r>
      <w:r>
        <w:rPr>
          <w:color w:val="095292"/>
          <w:spacing w:val="-4"/>
          <w:sz w:val="26"/>
        </w:rPr>
        <w:t> </w:t>
      </w:r>
      <w:r>
        <w:rPr>
          <w:color w:val="095292"/>
          <w:spacing w:val="-2"/>
          <w:sz w:val="26"/>
        </w:rPr>
        <w:t>Youth</w:t>
      </w:r>
    </w:p>
    <w:p>
      <w:pPr>
        <w:pStyle w:val="BodyText"/>
        <w:spacing w:before="262"/>
        <w:rPr>
          <w:sz w:val="26"/>
        </w:rPr>
      </w:pPr>
    </w:p>
    <w:p>
      <w:pPr>
        <w:pStyle w:val="BodyText"/>
        <w:spacing w:line="276" w:lineRule="auto"/>
        <w:ind w:left="363" w:right="141"/>
        <w:jc w:val="both"/>
      </w:pPr>
      <w:r>
        <w:rPr/>
        <w:t>Entire cultural shifts must happen before we achieve a state where LGBTQ youth experience affirmation wherever they go, and the concept of sexual health and affirmation is broader than just looking at education</w:t>
      </w:r>
      <w:r>
        <w:rPr>
          <w:spacing w:val="-7"/>
        </w:rPr>
        <w:t> </w:t>
      </w:r>
      <w:r>
        <w:rPr/>
        <w:t>in</w:t>
      </w:r>
      <w:r>
        <w:rPr>
          <w:spacing w:val="-6"/>
        </w:rPr>
        <w:t> </w:t>
      </w:r>
      <w:r>
        <w:rPr/>
        <w:t>schools.</w:t>
      </w:r>
      <w:r>
        <w:rPr>
          <w:spacing w:val="-7"/>
        </w:rPr>
        <w:t> </w:t>
      </w:r>
      <w:r>
        <w:rPr/>
        <w:t>In</w:t>
      </w:r>
      <w:r>
        <w:rPr>
          <w:spacing w:val="-6"/>
        </w:rPr>
        <w:t> </w:t>
      </w:r>
      <w:r>
        <w:rPr/>
        <w:t>fact,</w:t>
      </w:r>
      <w:r>
        <w:rPr>
          <w:spacing w:val="-6"/>
        </w:rPr>
        <w:t> </w:t>
      </w:r>
      <w:r>
        <w:rPr/>
        <w:t>LGBTQ-</w:t>
      </w:r>
      <w:r>
        <w:rPr>
          <w:spacing w:val="-7"/>
        </w:rPr>
        <w:t> </w:t>
      </w:r>
      <w:r>
        <w:rPr/>
        <w:t>affirming</w:t>
      </w:r>
      <w:r>
        <w:rPr>
          <w:spacing w:val="-6"/>
        </w:rPr>
        <w:t> </w:t>
      </w:r>
      <w:r>
        <w:rPr/>
        <w:t>education</w:t>
      </w:r>
      <w:r>
        <w:rPr>
          <w:spacing w:val="-7"/>
        </w:rPr>
        <w:t> </w:t>
      </w:r>
      <w:r>
        <w:rPr/>
        <w:t>begins</w:t>
      </w:r>
      <w:r>
        <w:rPr>
          <w:spacing w:val="-5"/>
        </w:rPr>
        <w:t> </w:t>
      </w:r>
      <w:r>
        <w:rPr/>
        <w:t>before</w:t>
      </w:r>
      <w:r>
        <w:rPr>
          <w:spacing w:val="-7"/>
        </w:rPr>
        <w:t> </w:t>
      </w:r>
      <w:r>
        <w:rPr/>
        <w:t>a</w:t>
      </w:r>
      <w:r>
        <w:rPr>
          <w:spacing w:val="-5"/>
        </w:rPr>
        <w:t> </w:t>
      </w:r>
      <w:r>
        <w:rPr/>
        <w:t>child’s</w:t>
      </w:r>
      <w:r>
        <w:rPr>
          <w:spacing w:val="-6"/>
        </w:rPr>
        <w:t> </w:t>
      </w:r>
      <w:r>
        <w:rPr/>
        <w:t>first</w:t>
      </w:r>
      <w:r>
        <w:rPr>
          <w:spacing w:val="-7"/>
        </w:rPr>
        <w:t> </w:t>
      </w:r>
      <w:r>
        <w:rPr/>
        <w:t>birthday,</w:t>
      </w:r>
      <w:r>
        <w:rPr>
          <w:spacing w:val="-6"/>
        </w:rPr>
        <w:t> </w:t>
      </w:r>
      <w:r>
        <w:rPr/>
        <w:t>by</w:t>
      </w:r>
      <w:r>
        <w:rPr>
          <w:spacing w:val="-5"/>
        </w:rPr>
        <w:t> </w:t>
      </w:r>
      <w:r>
        <w:rPr/>
        <w:t>teaching children that they have agency over their own bodies; that they should respect others’ bodies; and that adults in their lives respect who they are. Most children, per the American Academy of Pediatrics, have a stable</w:t>
      </w:r>
      <w:r>
        <w:rPr>
          <w:spacing w:val="-8"/>
        </w:rPr>
        <w:t> </w:t>
      </w:r>
      <w:r>
        <w:rPr/>
        <w:t>sense</w:t>
      </w:r>
      <w:r>
        <w:rPr>
          <w:spacing w:val="-7"/>
        </w:rPr>
        <w:t> </w:t>
      </w:r>
      <w:r>
        <w:rPr/>
        <w:t>of</w:t>
      </w:r>
      <w:r>
        <w:rPr>
          <w:spacing w:val="-8"/>
        </w:rPr>
        <w:t> </w:t>
      </w:r>
      <w:r>
        <w:rPr/>
        <w:t>their</w:t>
      </w:r>
      <w:r>
        <w:rPr>
          <w:spacing w:val="-8"/>
        </w:rPr>
        <w:t> </w:t>
      </w:r>
      <w:r>
        <w:rPr/>
        <w:t>gender</w:t>
      </w:r>
      <w:r>
        <w:rPr>
          <w:spacing w:val="-8"/>
        </w:rPr>
        <w:t> </w:t>
      </w:r>
      <w:r>
        <w:rPr/>
        <w:t>identity</w:t>
      </w:r>
      <w:r>
        <w:rPr>
          <w:spacing w:val="-6"/>
        </w:rPr>
        <w:t> </w:t>
      </w:r>
      <w:r>
        <w:rPr/>
        <w:t>by</w:t>
      </w:r>
      <w:r>
        <w:rPr>
          <w:spacing w:val="-6"/>
        </w:rPr>
        <w:t> </w:t>
      </w:r>
      <w:r>
        <w:rPr/>
        <w:t>the</w:t>
      </w:r>
      <w:r>
        <w:rPr>
          <w:spacing w:val="-8"/>
        </w:rPr>
        <w:t> </w:t>
      </w:r>
      <w:r>
        <w:rPr/>
        <w:t>age</w:t>
      </w:r>
      <w:r>
        <w:rPr>
          <w:spacing w:val="-7"/>
        </w:rPr>
        <w:t> </w:t>
      </w:r>
      <w:r>
        <w:rPr/>
        <w:t>of</w:t>
      </w:r>
      <w:r>
        <w:rPr>
          <w:spacing w:val="-8"/>
        </w:rPr>
        <w:t> </w:t>
      </w:r>
      <w:r>
        <w:rPr/>
        <w:t>four,</w:t>
      </w:r>
      <w:r>
        <w:rPr>
          <w:spacing w:val="-7"/>
        </w:rPr>
        <w:t> </w:t>
      </w:r>
      <w:r>
        <w:rPr/>
        <w:t>and</w:t>
      </w:r>
      <w:r>
        <w:rPr>
          <w:spacing w:val="-8"/>
        </w:rPr>
        <w:t> </w:t>
      </w:r>
      <w:r>
        <w:rPr/>
        <w:t>can</w:t>
      </w:r>
      <w:r>
        <w:rPr>
          <w:spacing w:val="-7"/>
        </w:rPr>
        <w:t> </w:t>
      </w:r>
      <w:r>
        <w:rPr/>
        <w:t>easily</w:t>
      </w:r>
      <w:r>
        <w:rPr>
          <w:spacing w:val="-8"/>
        </w:rPr>
        <w:t> </w:t>
      </w:r>
      <w:r>
        <w:rPr/>
        <w:t>label</w:t>
      </w:r>
      <w:r>
        <w:rPr>
          <w:spacing w:val="-8"/>
        </w:rPr>
        <w:t> </w:t>
      </w:r>
      <w:r>
        <w:rPr/>
        <w:t>themselves</w:t>
      </w:r>
      <w:r>
        <w:rPr>
          <w:spacing w:val="-7"/>
        </w:rPr>
        <w:t> </w:t>
      </w:r>
      <w:r>
        <w:rPr/>
        <w:t>to</w:t>
      </w:r>
      <w:r>
        <w:rPr>
          <w:spacing w:val="-7"/>
        </w:rPr>
        <w:t> </w:t>
      </w:r>
      <w:r>
        <w:rPr/>
        <w:t>identify</w:t>
      </w:r>
      <w:r>
        <w:rPr>
          <w:spacing w:val="-8"/>
        </w:rPr>
        <w:t> </w:t>
      </w:r>
      <w:r>
        <w:rPr/>
        <w:t>as</w:t>
      </w:r>
      <w:r>
        <w:rPr>
          <w:spacing w:val="-7"/>
        </w:rPr>
        <w:t> </w:t>
      </w:r>
      <w:r>
        <w:rPr/>
        <w:t>a</w:t>
      </w:r>
      <w:r>
        <w:rPr>
          <w:spacing w:val="-7"/>
        </w:rPr>
        <w:t> </w:t>
      </w:r>
      <w:r>
        <w:rPr/>
        <w:t>boy or a girl, or perhaps somewhere outside of the gender binary.</w:t>
      </w:r>
      <w:r>
        <w:rPr>
          <w:vertAlign w:val="superscript"/>
        </w:rPr>
        <w:t>16</w:t>
      </w:r>
    </w:p>
    <w:p>
      <w:pPr>
        <w:pStyle w:val="BodyText"/>
        <w:spacing w:line="276" w:lineRule="auto" w:before="240"/>
        <w:ind w:left="363" w:right="142"/>
        <w:jc w:val="both"/>
      </w:pPr>
      <w:r>
        <w:rPr/>
        <w:t>Unfortunately, in a 2015 Massachusetts survey, 73% of youth who were out or were perceived as transgender between kindergarten and 12th-grade experience some form of mistreatment, harassment, and physical and/or sexual violence; 11% of youth faced such severe mistreatment in schools as a transgender youth that they withdrew from school.</w:t>
      </w:r>
      <w:r>
        <w:rPr>
          <w:vertAlign w:val="superscript"/>
        </w:rPr>
        <w:t>17</w:t>
      </w:r>
      <w:r>
        <w:rPr>
          <w:vertAlign w:val="baseline"/>
        </w:rPr>
        <w:t> The Massachusetts Youth Risk Behavior Survey shows that, while bullying and harassment rates have gone down in schools, transgender youth are still much more likely than their cisgender peers to experience cyberbullying and physical violence.</w:t>
      </w:r>
    </w:p>
    <w:p>
      <w:pPr>
        <w:spacing w:after="0" w:line="276" w:lineRule="auto"/>
        <w:jc w:val="both"/>
        <w:sectPr>
          <w:pgSz w:w="12240" w:h="15840"/>
          <w:pgMar w:header="763" w:footer="1339" w:top="1180" w:bottom="1560" w:left="1080" w:right="1240"/>
        </w:sectPr>
      </w:pPr>
    </w:p>
    <w:p>
      <w:pPr>
        <w:pStyle w:val="BodyText"/>
        <w:spacing w:line="276" w:lineRule="auto" w:before="69"/>
        <w:ind w:left="363" w:right="142"/>
        <w:jc w:val="both"/>
      </w:pPr>
      <w:r>
        <w:rPr/>
        <w:t>Support</w:t>
      </w:r>
      <w:r>
        <w:rPr>
          <w:spacing w:val="-13"/>
        </w:rPr>
        <w:t> </w:t>
      </w:r>
      <w:r>
        <w:rPr/>
        <w:t>from</w:t>
      </w:r>
      <w:r>
        <w:rPr>
          <w:spacing w:val="-12"/>
        </w:rPr>
        <w:t> </w:t>
      </w:r>
      <w:r>
        <w:rPr/>
        <w:t>caregivers,</w:t>
      </w:r>
      <w:r>
        <w:rPr>
          <w:spacing w:val="-13"/>
        </w:rPr>
        <w:t> </w:t>
      </w:r>
      <w:r>
        <w:rPr/>
        <w:t>providers,</w:t>
      </w:r>
      <w:r>
        <w:rPr>
          <w:spacing w:val="-12"/>
        </w:rPr>
        <w:t> </w:t>
      </w:r>
      <w:r>
        <w:rPr/>
        <w:t>educators,</w:t>
      </w:r>
      <w:r>
        <w:rPr>
          <w:spacing w:val="-13"/>
        </w:rPr>
        <w:t> </w:t>
      </w:r>
      <w:r>
        <w:rPr/>
        <w:t>and</w:t>
      </w:r>
      <w:r>
        <w:rPr>
          <w:spacing w:val="-12"/>
        </w:rPr>
        <w:t> </w:t>
      </w:r>
      <w:r>
        <w:rPr/>
        <w:t>other</w:t>
      </w:r>
      <w:r>
        <w:rPr>
          <w:spacing w:val="-13"/>
        </w:rPr>
        <w:t> </w:t>
      </w:r>
      <w:r>
        <w:rPr/>
        <w:t>adults</w:t>
      </w:r>
      <w:r>
        <w:rPr>
          <w:spacing w:val="-12"/>
        </w:rPr>
        <w:t> </w:t>
      </w:r>
      <w:r>
        <w:rPr/>
        <w:t>in</w:t>
      </w:r>
      <w:r>
        <w:rPr>
          <w:spacing w:val="-12"/>
        </w:rPr>
        <w:t> </w:t>
      </w:r>
      <w:r>
        <w:rPr/>
        <w:t>youths’</w:t>
      </w:r>
      <w:r>
        <w:rPr>
          <w:spacing w:val="-13"/>
        </w:rPr>
        <w:t> </w:t>
      </w:r>
      <w:r>
        <w:rPr/>
        <w:t>lives</w:t>
      </w:r>
      <w:r>
        <w:rPr>
          <w:spacing w:val="-12"/>
        </w:rPr>
        <w:t> </w:t>
      </w:r>
      <w:r>
        <w:rPr/>
        <w:t>can</w:t>
      </w:r>
      <w:r>
        <w:rPr>
          <w:spacing w:val="-13"/>
        </w:rPr>
        <w:t> </w:t>
      </w:r>
      <w:r>
        <w:rPr/>
        <w:t>lay</w:t>
      </w:r>
      <w:r>
        <w:rPr>
          <w:spacing w:val="-12"/>
        </w:rPr>
        <w:t> </w:t>
      </w:r>
      <w:r>
        <w:rPr/>
        <w:t>a</w:t>
      </w:r>
      <w:r>
        <w:rPr>
          <w:spacing w:val="-13"/>
        </w:rPr>
        <w:t> </w:t>
      </w:r>
      <w:r>
        <w:rPr/>
        <w:t>critical</w:t>
      </w:r>
      <w:r>
        <w:rPr>
          <w:spacing w:val="-12"/>
        </w:rPr>
        <w:t> </w:t>
      </w:r>
      <w:r>
        <w:rPr/>
        <w:t>foundation for children forming healthy understandings of gender and sexuality. Encouraged methods beginning in early years include using gender-neutral pronouns in storytelling; highlighting LGBTQ figures and role models in curricula and storybooks; teaching about bodily autonomy and consent; supporting youth by using</w:t>
      </w:r>
      <w:r>
        <w:rPr>
          <w:spacing w:val="-2"/>
        </w:rPr>
        <w:t> </w:t>
      </w:r>
      <w:r>
        <w:rPr/>
        <w:t>their chosen</w:t>
      </w:r>
      <w:r>
        <w:rPr>
          <w:spacing w:val="-2"/>
        </w:rPr>
        <w:t> </w:t>
      </w:r>
      <w:r>
        <w:rPr/>
        <w:t>name</w:t>
      </w:r>
      <w:r>
        <w:rPr>
          <w:spacing w:val="-2"/>
        </w:rPr>
        <w:t> </w:t>
      </w:r>
      <w:r>
        <w:rPr/>
        <w:t>and</w:t>
      </w:r>
      <w:r>
        <w:rPr>
          <w:spacing w:val="-2"/>
        </w:rPr>
        <w:t> </w:t>
      </w:r>
      <w:r>
        <w:rPr/>
        <w:t>pronouns without</w:t>
      </w:r>
      <w:r>
        <w:rPr>
          <w:spacing w:val="-1"/>
        </w:rPr>
        <w:t> </w:t>
      </w:r>
      <w:r>
        <w:rPr/>
        <w:t>hesitation;</w:t>
      </w:r>
      <w:r>
        <w:rPr>
          <w:spacing w:val="-2"/>
        </w:rPr>
        <w:t> </w:t>
      </w:r>
      <w:r>
        <w:rPr/>
        <w:t>and</w:t>
      </w:r>
      <w:r>
        <w:rPr>
          <w:spacing w:val="-1"/>
        </w:rPr>
        <w:t> </w:t>
      </w:r>
      <w:r>
        <w:rPr/>
        <w:t>encouraging</w:t>
      </w:r>
      <w:r>
        <w:rPr>
          <w:spacing w:val="-1"/>
        </w:rPr>
        <w:t> </w:t>
      </w:r>
      <w:r>
        <w:rPr/>
        <w:t>youth</w:t>
      </w:r>
      <w:r>
        <w:rPr>
          <w:spacing w:val="-1"/>
        </w:rPr>
        <w:t> </w:t>
      </w:r>
      <w:r>
        <w:rPr/>
        <w:t>to</w:t>
      </w:r>
      <w:r>
        <w:rPr>
          <w:spacing w:val="-1"/>
        </w:rPr>
        <w:t> </w:t>
      </w:r>
      <w:r>
        <w:rPr/>
        <w:t>express</w:t>
      </w:r>
      <w:r>
        <w:rPr>
          <w:spacing w:val="-1"/>
        </w:rPr>
        <w:t> </w:t>
      </w:r>
      <w:r>
        <w:rPr/>
        <w:t>themselves through choosing their own clothing and hairstyles.</w:t>
      </w:r>
    </w:p>
    <w:p>
      <w:pPr>
        <w:pStyle w:val="BodyText"/>
        <w:spacing w:line="264" w:lineRule="auto" w:before="239"/>
        <w:ind w:left="4459" w:right="140"/>
        <w:jc w:val="both"/>
      </w:pPr>
      <w:r>
        <w:rPr/>
        <w:drawing>
          <wp:anchor distT="0" distB="0" distL="0" distR="0" allowOverlap="1" layoutInCell="1" locked="0" behindDoc="0" simplePos="0" relativeHeight="15786496">
            <wp:simplePos x="0" y="0"/>
            <wp:positionH relativeFrom="page">
              <wp:posOffset>829310</wp:posOffset>
            </wp:positionH>
            <wp:positionV relativeFrom="paragraph">
              <wp:posOffset>76454</wp:posOffset>
            </wp:positionV>
            <wp:extent cx="2596501" cy="2660505"/>
            <wp:effectExtent l="0" t="0" r="0" b="0"/>
            <wp:wrapNone/>
            <wp:docPr id="324" name="Image 324" descr="A group of colorful arrows with text  Description automatically generated "/>
            <wp:cNvGraphicFramePr>
              <a:graphicFrameLocks/>
            </wp:cNvGraphicFramePr>
            <a:graphic>
              <a:graphicData uri="http://schemas.openxmlformats.org/drawingml/2006/picture">
                <pic:pic>
                  <pic:nvPicPr>
                    <pic:cNvPr id="324" name="Image 324" descr="A group of colorful arrows with text  Description automatically generated "/>
                    <pic:cNvPicPr/>
                  </pic:nvPicPr>
                  <pic:blipFill>
                    <a:blip r:embed="rId398" cstate="print"/>
                    <a:stretch>
                      <a:fillRect/>
                    </a:stretch>
                  </pic:blipFill>
                  <pic:spPr>
                    <a:xfrm>
                      <a:off x="0" y="0"/>
                      <a:ext cx="2596501" cy="2660505"/>
                    </a:xfrm>
                    <a:prstGeom prst="rect">
                      <a:avLst/>
                    </a:prstGeom>
                  </pic:spPr>
                </pic:pic>
              </a:graphicData>
            </a:graphic>
          </wp:anchor>
        </w:drawing>
      </w:r>
      <w:r>
        <w:rPr/>
        <w:t>While more formal sexual health education might begin in middle school, it is essential for caregivers to lay down foundations</w:t>
      </w:r>
      <w:r>
        <w:rPr>
          <w:spacing w:val="-8"/>
        </w:rPr>
        <w:t> </w:t>
      </w:r>
      <w:r>
        <w:rPr/>
        <w:t>of</w:t>
      </w:r>
      <w:r>
        <w:rPr>
          <w:spacing w:val="-9"/>
        </w:rPr>
        <w:t> </w:t>
      </w:r>
      <w:r>
        <w:rPr/>
        <w:t>accurate</w:t>
      </w:r>
      <w:r>
        <w:rPr>
          <w:spacing w:val="-8"/>
        </w:rPr>
        <w:t> </w:t>
      </w:r>
      <w:r>
        <w:rPr/>
        <w:t>information,</w:t>
      </w:r>
      <w:r>
        <w:rPr>
          <w:spacing w:val="-9"/>
        </w:rPr>
        <w:t> </w:t>
      </w:r>
      <w:r>
        <w:rPr/>
        <w:t>as</w:t>
      </w:r>
      <w:r>
        <w:rPr>
          <w:spacing w:val="-9"/>
        </w:rPr>
        <w:t> </w:t>
      </w:r>
      <w:r>
        <w:rPr/>
        <w:t>youth</w:t>
      </w:r>
      <w:r>
        <w:rPr>
          <w:spacing w:val="-9"/>
        </w:rPr>
        <w:t> </w:t>
      </w:r>
      <w:r>
        <w:rPr/>
        <w:t>often</w:t>
      </w:r>
      <w:r>
        <w:rPr>
          <w:spacing w:val="-10"/>
        </w:rPr>
        <w:t> </w:t>
      </w:r>
      <w:r>
        <w:rPr/>
        <w:t>receive incorrect and harmful information from peers, family members, and media.</w:t>
      </w:r>
    </w:p>
    <w:p>
      <w:pPr>
        <w:pStyle w:val="BodyText"/>
        <w:spacing w:line="276" w:lineRule="auto" w:before="240"/>
        <w:ind w:left="4459" w:right="141"/>
        <w:jc w:val="both"/>
      </w:pPr>
      <w:r>
        <w:rPr/>
        <w:t>As youth grow up, the creation and provision of safe and brave spaces is essential for youth to find communities where they can learn in structured and unstructured environments.</w:t>
      </w:r>
      <w:r>
        <w:rPr>
          <w:spacing w:val="-10"/>
        </w:rPr>
        <w:t> </w:t>
      </w:r>
      <w:r>
        <w:rPr/>
        <w:t>Local</w:t>
      </w:r>
      <w:r>
        <w:rPr>
          <w:spacing w:val="-8"/>
        </w:rPr>
        <w:t> </w:t>
      </w:r>
      <w:r>
        <w:rPr/>
        <w:t>community</w:t>
      </w:r>
      <w:r>
        <w:rPr>
          <w:spacing w:val="-8"/>
        </w:rPr>
        <w:t> </w:t>
      </w:r>
      <w:r>
        <w:rPr/>
        <w:t>programs</w:t>
      </w:r>
      <w:r>
        <w:rPr>
          <w:spacing w:val="-9"/>
        </w:rPr>
        <w:t> </w:t>
      </w:r>
      <w:r>
        <w:rPr/>
        <w:t>focusing</w:t>
      </w:r>
      <w:r>
        <w:rPr>
          <w:spacing w:val="-8"/>
        </w:rPr>
        <w:t> </w:t>
      </w:r>
      <w:r>
        <w:rPr/>
        <w:t>on</w:t>
      </w:r>
      <w:r>
        <w:rPr>
          <w:spacing w:val="-10"/>
        </w:rPr>
        <w:t> </w:t>
      </w:r>
      <w:r>
        <w:rPr/>
        <w:t>skills building and relationship development both in and out of schools can support youth as they explore their own personal growth.</w:t>
      </w:r>
      <w:r>
        <w:rPr>
          <w:vertAlign w:val="superscript"/>
        </w:rPr>
        <w:t>18</w:t>
      </w:r>
    </w:p>
    <w:p>
      <w:pPr>
        <w:pStyle w:val="BodyText"/>
        <w:spacing w:line="276" w:lineRule="auto" w:before="241"/>
        <w:ind w:left="363" w:right="139" w:firstLine="4095"/>
        <w:jc w:val="both"/>
      </w:pPr>
      <w:r>
        <w:rPr/>
        <w:t>For supporting gender expansive youth in particular, caregivers and educators must ensure that youth are empowered from a young age in their gender identities, but also given room to be playful and flexible in their expressions. There are many options for young gender expansive youth to socially transition with taking any steps to alter their appearance, including haircuts, name changes, and clothing expression. As children get older, the use of makeup and other</w:t>
      </w:r>
      <w:r>
        <w:rPr>
          <w:spacing w:val="-10"/>
        </w:rPr>
        <w:t> </w:t>
      </w:r>
      <w:r>
        <w:rPr/>
        <w:t>gender-affirming</w:t>
      </w:r>
      <w:r>
        <w:rPr>
          <w:spacing w:val="-10"/>
        </w:rPr>
        <w:t> </w:t>
      </w:r>
      <w:r>
        <w:rPr/>
        <w:t>items,</w:t>
      </w:r>
      <w:r>
        <w:rPr>
          <w:spacing w:val="-10"/>
        </w:rPr>
        <w:t> </w:t>
      </w:r>
      <w:r>
        <w:rPr/>
        <w:t>like</w:t>
      </w:r>
      <w:r>
        <w:rPr>
          <w:spacing w:val="-10"/>
        </w:rPr>
        <w:t> </w:t>
      </w:r>
      <w:r>
        <w:rPr/>
        <w:t>wigs,</w:t>
      </w:r>
      <w:r>
        <w:rPr>
          <w:spacing w:val="-10"/>
        </w:rPr>
        <w:t> </w:t>
      </w:r>
      <w:r>
        <w:rPr/>
        <w:t>packers,</w:t>
      </w:r>
      <w:r>
        <w:rPr>
          <w:spacing w:val="-10"/>
        </w:rPr>
        <w:t> </w:t>
      </w:r>
      <w:r>
        <w:rPr/>
        <w:t>and</w:t>
      </w:r>
      <w:r>
        <w:rPr>
          <w:spacing w:val="-9"/>
        </w:rPr>
        <w:t> </w:t>
      </w:r>
      <w:r>
        <w:rPr/>
        <w:t>padded</w:t>
      </w:r>
      <w:r>
        <w:rPr>
          <w:spacing w:val="-10"/>
        </w:rPr>
        <w:t> </w:t>
      </w:r>
      <w:r>
        <w:rPr/>
        <w:t>bras</w:t>
      </w:r>
      <w:r>
        <w:rPr>
          <w:spacing w:val="-10"/>
        </w:rPr>
        <w:t> </w:t>
      </w:r>
      <w:r>
        <w:rPr/>
        <w:t>may</w:t>
      </w:r>
      <w:r>
        <w:rPr>
          <w:spacing w:val="-10"/>
        </w:rPr>
        <w:t> </w:t>
      </w:r>
      <w:r>
        <w:rPr/>
        <w:t>be</w:t>
      </w:r>
      <w:r>
        <w:rPr>
          <w:spacing w:val="-10"/>
        </w:rPr>
        <w:t> </w:t>
      </w:r>
      <w:r>
        <w:rPr/>
        <w:t>other</w:t>
      </w:r>
      <w:r>
        <w:rPr>
          <w:spacing w:val="-9"/>
        </w:rPr>
        <w:t> </w:t>
      </w:r>
      <w:r>
        <w:rPr/>
        <w:t>options</w:t>
      </w:r>
      <w:r>
        <w:rPr>
          <w:spacing w:val="-10"/>
        </w:rPr>
        <w:t> </w:t>
      </w:r>
      <w:r>
        <w:rPr/>
        <w:t>to</w:t>
      </w:r>
      <w:r>
        <w:rPr>
          <w:spacing w:val="-10"/>
        </w:rPr>
        <w:t> </w:t>
      </w:r>
      <w:r>
        <w:rPr/>
        <w:t>support</w:t>
      </w:r>
      <w:r>
        <w:rPr>
          <w:spacing w:val="-11"/>
        </w:rPr>
        <w:t> </w:t>
      </w:r>
      <w:r>
        <w:rPr/>
        <w:t>youth’s gender expression prior to or alongside puberty blockers. Supported by numerous medical organizations and providers, puberty blockers are a safe, temporary, and effective method - lasting only as long as a patient uses the blockers - of delaying the onset of puberty to allow gender expansive youth the time to explore their gender identity and decide what future steps they may want to take in their transition with very little risk.</w:t>
      </w:r>
      <w:r>
        <w:rPr>
          <w:vertAlign w:val="superscript"/>
        </w:rPr>
        <w:t>19</w:t>
      </w:r>
      <w:r>
        <w:rPr>
          <w:vertAlign w:val="baseline"/>
        </w:rPr>
        <w:t> Research has decisively shown that taking puberty blockers has significantly positive mental health effects for gender expansive youth, including reducing rates of suicidal ideation and attempts;</w:t>
      </w:r>
      <w:r>
        <w:rPr>
          <w:vertAlign w:val="superscript"/>
        </w:rPr>
        <w:t>20</w:t>
      </w:r>
      <w:r>
        <w:rPr>
          <w:vertAlign w:val="baseline"/>
        </w:rPr>
        <w:t> and 98% of youth who use puberty blockers continue gender-affirming treatment into </w:t>
      </w:r>
      <w:r>
        <w:rPr>
          <w:spacing w:val="-2"/>
          <w:vertAlign w:val="baseline"/>
        </w:rPr>
        <w:t>adulthood.</w:t>
      </w:r>
      <w:r>
        <w:rPr>
          <w:spacing w:val="-2"/>
          <w:vertAlign w:val="superscript"/>
        </w:rPr>
        <w:t>2</w:t>
      </w:r>
    </w:p>
    <w:p>
      <w:pPr>
        <w:pStyle w:val="BodyText"/>
      </w:pPr>
    </w:p>
    <w:p>
      <w:pPr>
        <w:pStyle w:val="BodyText"/>
        <w:spacing w:before="10"/>
      </w:pPr>
    </w:p>
    <w:p>
      <w:pPr>
        <w:spacing w:before="0"/>
        <w:ind w:left="363" w:right="0" w:firstLine="0"/>
        <w:jc w:val="both"/>
        <w:rPr>
          <w:sz w:val="26"/>
        </w:rPr>
      </w:pPr>
      <w:bookmarkStart w:name="Bodily Autonomy for Intersex Youth" w:id="472"/>
      <w:bookmarkEnd w:id="472"/>
      <w:r>
        <w:rPr/>
      </w:r>
      <w:r>
        <w:rPr>
          <w:color w:val="095292"/>
          <w:sz w:val="26"/>
        </w:rPr>
        <w:t>Bodily</w:t>
      </w:r>
      <w:r>
        <w:rPr>
          <w:color w:val="095292"/>
          <w:spacing w:val="-5"/>
          <w:sz w:val="26"/>
        </w:rPr>
        <w:t> </w:t>
      </w:r>
      <w:r>
        <w:rPr>
          <w:color w:val="095292"/>
          <w:sz w:val="26"/>
        </w:rPr>
        <w:t>Autonomy</w:t>
      </w:r>
      <w:r>
        <w:rPr>
          <w:color w:val="095292"/>
          <w:spacing w:val="-5"/>
          <w:sz w:val="26"/>
        </w:rPr>
        <w:t> </w:t>
      </w:r>
      <w:r>
        <w:rPr>
          <w:color w:val="095292"/>
          <w:sz w:val="26"/>
        </w:rPr>
        <w:t>for</w:t>
      </w:r>
      <w:r>
        <w:rPr>
          <w:color w:val="095292"/>
          <w:spacing w:val="-4"/>
          <w:sz w:val="26"/>
        </w:rPr>
        <w:t> </w:t>
      </w:r>
      <w:r>
        <w:rPr>
          <w:color w:val="095292"/>
          <w:sz w:val="26"/>
        </w:rPr>
        <w:t>Intersex</w:t>
      </w:r>
      <w:r>
        <w:rPr>
          <w:color w:val="095292"/>
          <w:spacing w:val="-3"/>
          <w:sz w:val="26"/>
        </w:rPr>
        <w:t> </w:t>
      </w:r>
      <w:r>
        <w:rPr>
          <w:color w:val="095292"/>
          <w:spacing w:val="-4"/>
          <w:sz w:val="26"/>
        </w:rPr>
        <w:t>Youth</w:t>
      </w:r>
    </w:p>
    <w:p>
      <w:pPr>
        <w:pStyle w:val="BodyText"/>
        <w:spacing w:before="141"/>
        <w:rPr>
          <w:sz w:val="26"/>
        </w:rPr>
      </w:pPr>
    </w:p>
    <w:p>
      <w:pPr>
        <w:pStyle w:val="BodyText"/>
        <w:spacing w:line="276" w:lineRule="auto" w:before="1"/>
        <w:ind w:left="363" w:right="141"/>
        <w:jc w:val="both"/>
      </w:pPr>
      <w:r>
        <w:rPr/>
        <w:t>When having conversations around bodily autonomy, it is essential that caregivers, advocates, and policymakers include the experiences of intersex youth. Though performing medically unnecessary surgeries</w:t>
      </w:r>
      <w:r>
        <w:rPr>
          <w:spacing w:val="40"/>
        </w:rPr>
        <w:t> </w:t>
      </w:r>
      <w:r>
        <w:rPr/>
        <w:t>on</w:t>
      </w:r>
      <w:r>
        <w:rPr>
          <w:spacing w:val="40"/>
        </w:rPr>
        <w:t> </w:t>
      </w:r>
      <w:r>
        <w:rPr/>
        <w:t>intersex</w:t>
      </w:r>
      <w:r>
        <w:rPr>
          <w:spacing w:val="40"/>
        </w:rPr>
        <w:t> </w:t>
      </w:r>
      <w:r>
        <w:rPr/>
        <w:t>infants</w:t>
      </w:r>
      <w:r>
        <w:rPr>
          <w:spacing w:val="40"/>
        </w:rPr>
        <w:t> </w:t>
      </w:r>
      <w:r>
        <w:rPr/>
        <w:t>has</w:t>
      </w:r>
      <w:r>
        <w:rPr>
          <w:spacing w:val="40"/>
        </w:rPr>
        <w:t> </w:t>
      </w:r>
      <w:r>
        <w:rPr/>
        <w:t>been</w:t>
      </w:r>
      <w:r>
        <w:rPr>
          <w:spacing w:val="40"/>
        </w:rPr>
        <w:t> </w:t>
      </w:r>
      <w:r>
        <w:rPr/>
        <w:t>widely</w:t>
      </w:r>
      <w:r>
        <w:rPr>
          <w:spacing w:val="40"/>
        </w:rPr>
        <w:t> </w:t>
      </w:r>
      <w:r>
        <w:rPr/>
        <w:t>condemned</w:t>
      </w:r>
      <w:r>
        <w:rPr>
          <w:spacing w:val="40"/>
        </w:rPr>
        <w:t> </w:t>
      </w:r>
      <w:r>
        <w:rPr/>
        <w:t>by</w:t>
      </w:r>
      <w:r>
        <w:rPr>
          <w:spacing w:val="40"/>
        </w:rPr>
        <w:t> </w:t>
      </w:r>
      <w:r>
        <w:rPr/>
        <w:t>medical</w:t>
      </w:r>
      <w:r>
        <w:rPr>
          <w:spacing w:val="40"/>
        </w:rPr>
        <w:t> </w:t>
      </w:r>
      <w:r>
        <w:rPr/>
        <w:t>professionals</w:t>
      </w:r>
      <w:r>
        <w:rPr>
          <w:spacing w:val="40"/>
        </w:rPr>
        <w:t> </w:t>
      </w:r>
      <w:r>
        <w:rPr/>
        <w:t>and</w:t>
      </w:r>
      <w:r>
        <w:rPr>
          <w:spacing w:val="40"/>
        </w:rPr>
        <w:t> </w:t>
      </w:r>
      <w:r>
        <w:rPr/>
        <w:t>advocates</w:t>
      </w:r>
      <w:r>
        <w:rPr>
          <w:spacing w:val="40"/>
        </w:rPr>
        <w:t> </w:t>
      </w:r>
      <w:r>
        <w:rPr/>
        <w:t>-</w:t>
      </w:r>
    </w:p>
    <w:p>
      <w:pPr>
        <w:spacing w:after="0" w:line="276" w:lineRule="auto"/>
        <w:jc w:val="both"/>
        <w:sectPr>
          <w:pgSz w:w="12240" w:h="15840"/>
          <w:pgMar w:header="763" w:footer="1339" w:top="1180" w:bottom="1560" w:left="1080" w:right="1240"/>
        </w:sectPr>
      </w:pPr>
    </w:p>
    <w:p>
      <w:pPr>
        <w:pStyle w:val="BodyText"/>
        <w:spacing w:line="276" w:lineRule="auto" w:before="69"/>
        <w:ind w:left="363" w:right="140" w:hanging="1"/>
        <w:jc w:val="both"/>
      </w:pPr>
      <w:r>
        <w:rPr/>
        <w:t>including the American Academy of Family Physicians</w:t>
      </w:r>
      <w:r>
        <w:rPr>
          <w:vertAlign w:val="superscript"/>
        </w:rPr>
        <w:t>22</w:t>
      </w:r>
      <w:r>
        <w:rPr>
          <w:vertAlign w:val="baseline"/>
        </w:rPr>
        <w:t> and Amnesty International</w:t>
      </w:r>
      <w:r>
        <w:rPr>
          <w:vertAlign w:val="superscript"/>
        </w:rPr>
        <w:t>23</w:t>
      </w:r>
      <w:r>
        <w:rPr>
          <w:vertAlign w:val="baseline"/>
        </w:rPr>
        <w:t> - as unethical and harmful</w:t>
      </w:r>
      <w:r>
        <w:rPr>
          <w:spacing w:val="-9"/>
          <w:vertAlign w:val="baseline"/>
        </w:rPr>
        <w:t> </w:t>
      </w:r>
      <w:r>
        <w:rPr>
          <w:vertAlign w:val="baseline"/>
        </w:rPr>
        <w:t>to</w:t>
      </w:r>
      <w:r>
        <w:rPr>
          <w:spacing w:val="-10"/>
          <w:vertAlign w:val="baseline"/>
        </w:rPr>
        <w:t> </w:t>
      </w:r>
      <w:r>
        <w:rPr>
          <w:vertAlign w:val="baseline"/>
        </w:rPr>
        <w:t>youth,</w:t>
      </w:r>
      <w:r>
        <w:rPr>
          <w:spacing w:val="-10"/>
          <w:vertAlign w:val="baseline"/>
        </w:rPr>
        <w:t> </w:t>
      </w:r>
      <w:r>
        <w:rPr>
          <w:vertAlign w:val="baseline"/>
        </w:rPr>
        <w:t>surgeries</w:t>
      </w:r>
      <w:r>
        <w:rPr>
          <w:spacing w:val="-9"/>
          <w:vertAlign w:val="baseline"/>
        </w:rPr>
        <w:t> </w:t>
      </w:r>
      <w:r>
        <w:rPr>
          <w:vertAlign w:val="baseline"/>
        </w:rPr>
        <w:t>intended</w:t>
      </w:r>
      <w:r>
        <w:rPr>
          <w:spacing w:val="-9"/>
          <w:vertAlign w:val="baseline"/>
        </w:rPr>
        <w:t> </w:t>
      </w:r>
      <w:r>
        <w:rPr>
          <w:vertAlign w:val="baseline"/>
        </w:rPr>
        <w:t>to</w:t>
      </w:r>
      <w:r>
        <w:rPr>
          <w:spacing w:val="-8"/>
          <w:vertAlign w:val="baseline"/>
        </w:rPr>
        <w:t> </w:t>
      </w:r>
      <w:r>
        <w:rPr>
          <w:vertAlign w:val="baseline"/>
        </w:rPr>
        <w:t>make</w:t>
      </w:r>
      <w:r>
        <w:rPr>
          <w:spacing w:val="-10"/>
          <w:vertAlign w:val="baseline"/>
        </w:rPr>
        <w:t> </w:t>
      </w:r>
      <w:r>
        <w:rPr>
          <w:vertAlign w:val="baseline"/>
        </w:rPr>
        <w:t>intersex</w:t>
      </w:r>
      <w:r>
        <w:rPr>
          <w:spacing w:val="-11"/>
          <w:vertAlign w:val="baseline"/>
        </w:rPr>
        <w:t> </w:t>
      </w:r>
      <w:r>
        <w:rPr>
          <w:vertAlign w:val="baseline"/>
        </w:rPr>
        <w:t>babies’</w:t>
      </w:r>
      <w:r>
        <w:rPr>
          <w:spacing w:val="-10"/>
          <w:vertAlign w:val="baseline"/>
        </w:rPr>
        <w:t> </w:t>
      </w:r>
      <w:r>
        <w:rPr>
          <w:vertAlign w:val="baseline"/>
        </w:rPr>
        <w:t>genitals</w:t>
      </w:r>
      <w:r>
        <w:rPr>
          <w:spacing w:val="-10"/>
          <w:vertAlign w:val="baseline"/>
        </w:rPr>
        <w:t> </w:t>
      </w:r>
      <w:r>
        <w:rPr>
          <w:vertAlign w:val="baseline"/>
        </w:rPr>
        <w:t>more</w:t>
      </w:r>
      <w:r>
        <w:rPr>
          <w:spacing w:val="-9"/>
          <w:vertAlign w:val="baseline"/>
        </w:rPr>
        <w:t> </w:t>
      </w:r>
      <w:r>
        <w:rPr>
          <w:vertAlign w:val="baseline"/>
        </w:rPr>
        <w:t>typical</w:t>
      </w:r>
      <w:r>
        <w:rPr>
          <w:spacing w:val="-10"/>
          <w:vertAlign w:val="baseline"/>
        </w:rPr>
        <w:t> </w:t>
      </w:r>
      <w:r>
        <w:rPr>
          <w:vertAlign w:val="baseline"/>
        </w:rPr>
        <w:t>in</w:t>
      </w:r>
      <w:r>
        <w:rPr>
          <w:spacing w:val="-9"/>
          <w:vertAlign w:val="baseline"/>
        </w:rPr>
        <w:t> </w:t>
      </w:r>
      <w:r>
        <w:rPr>
          <w:vertAlign w:val="baseline"/>
        </w:rPr>
        <w:t>a</w:t>
      </w:r>
      <w:r>
        <w:rPr>
          <w:spacing w:val="-10"/>
          <w:vertAlign w:val="baseline"/>
        </w:rPr>
        <w:t> </w:t>
      </w:r>
      <w:r>
        <w:rPr>
          <w:vertAlign w:val="baseline"/>
        </w:rPr>
        <w:t>binary</w:t>
      </w:r>
      <w:r>
        <w:rPr>
          <w:spacing w:val="-9"/>
          <w:vertAlign w:val="baseline"/>
        </w:rPr>
        <w:t> </w:t>
      </w:r>
      <w:r>
        <w:rPr>
          <w:vertAlign w:val="baseline"/>
        </w:rPr>
        <w:t>appearance still occur across the United States. Such surgeries can result in irreversible lifelong effects including sterilization, scarring, chronic pain and incontinence, as well as loss of sexual sensation, psychological trauma, and gender dysphoria.</w:t>
      </w:r>
      <w:r>
        <w:rPr>
          <w:vertAlign w:val="superscript"/>
        </w:rPr>
        <w:t>24</w:t>
      </w:r>
      <w:r>
        <w:rPr>
          <w:vertAlign w:val="baseline"/>
        </w:rPr>
        <w:t> In 2020, Boston Children’s Hospital announced that it would stop performing genital reconstruction surgeries on intersex patients unable to offer consent, though the Commission is unaware if any other hospitals in Massachusetts have continued or discontinued these surgical practices on intersex infants.</w:t>
      </w:r>
      <w:r>
        <w:rPr>
          <w:vertAlign w:val="superscript"/>
        </w:rPr>
        <w:t>25</w:t>
      </w:r>
    </w:p>
    <w:p>
      <w:pPr>
        <w:pStyle w:val="BodyText"/>
        <w:spacing w:line="276" w:lineRule="auto" w:before="121"/>
        <w:ind w:left="363" w:right="141"/>
        <w:jc w:val="both"/>
      </w:pPr>
      <w:r>
        <w:rPr/>
        <w:t>In</w:t>
      </w:r>
      <w:r>
        <w:rPr>
          <w:spacing w:val="-7"/>
        </w:rPr>
        <w:t> </w:t>
      </w:r>
      <w:r>
        <w:rPr/>
        <w:t>addition</w:t>
      </w:r>
      <w:r>
        <w:rPr>
          <w:spacing w:val="-7"/>
        </w:rPr>
        <w:t> </w:t>
      </w:r>
      <w:r>
        <w:rPr/>
        <w:t>to</w:t>
      </w:r>
      <w:r>
        <w:rPr>
          <w:spacing w:val="-5"/>
        </w:rPr>
        <w:t> </w:t>
      </w:r>
      <w:r>
        <w:rPr/>
        <w:t>surgery,</w:t>
      </w:r>
      <w:r>
        <w:rPr>
          <w:spacing w:val="-6"/>
        </w:rPr>
        <w:t> </w:t>
      </w:r>
      <w:r>
        <w:rPr/>
        <w:t>caregivers</w:t>
      </w:r>
      <w:r>
        <w:rPr>
          <w:spacing w:val="-6"/>
        </w:rPr>
        <w:t> </w:t>
      </w:r>
      <w:r>
        <w:rPr/>
        <w:t>and</w:t>
      </w:r>
      <w:r>
        <w:rPr>
          <w:spacing w:val="-7"/>
        </w:rPr>
        <w:t> </w:t>
      </w:r>
      <w:r>
        <w:rPr/>
        <w:t>providers</w:t>
      </w:r>
      <w:r>
        <w:rPr>
          <w:spacing w:val="-6"/>
        </w:rPr>
        <w:t> </w:t>
      </w:r>
      <w:r>
        <w:rPr/>
        <w:t>may</w:t>
      </w:r>
      <w:r>
        <w:rPr>
          <w:spacing w:val="-6"/>
        </w:rPr>
        <w:t> </w:t>
      </w:r>
      <w:r>
        <w:rPr/>
        <w:t>often</w:t>
      </w:r>
      <w:r>
        <w:rPr>
          <w:spacing w:val="-7"/>
        </w:rPr>
        <w:t> </w:t>
      </w:r>
      <w:r>
        <w:rPr/>
        <w:t>unethically</w:t>
      </w:r>
      <w:r>
        <w:rPr>
          <w:spacing w:val="-6"/>
        </w:rPr>
        <w:t> </w:t>
      </w:r>
      <w:r>
        <w:rPr/>
        <w:t>compromise</w:t>
      </w:r>
      <w:r>
        <w:rPr>
          <w:spacing w:val="-7"/>
        </w:rPr>
        <w:t> </w:t>
      </w:r>
      <w:r>
        <w:rPr/>
        <w:t>intersex</w:t>
      </w:r>
      <w:r>
        <w:rPr>
          <w:spacing w:val="-6"/>
        </w:rPr>
        <w:t> </w:t>
      </w:r>
      <w:r>
        <w:rPr/>
        <w:t>youths’</w:t>
      </w:r>
      <w:r>
        <w:rPr>
          <w:spacing w:val="-6"/>
        </w:rPr>
        <w:t> </w:t>
      </w:r>
      <w:r>
        <w:rPr/>
        <w:t>bodily autonomy</w:t>
      </w:r>
      <w:r>
        <w:rPr>
          <w:spacing w:val="-3"/>
        </w:rPr>
        <w:t> </w:t>
      </w:r>
      <w:r>
        <w:rPr/>
        <w:t>in</w:t>
      </w:r>
      <w:r>
        <w:rPr>
          <w:spacing w:val="-2"/>
        </w:rPr>
        <w:t> </w:t>
      </w:r>
      <w:r>
        <w:rPr/>
        <w:t>other</w:t>
      </w:r>
      <w:r>
        <w:rPr>
          <w:spacing w:val="-3"/>
        </w:rPr>
        <w:t> </w:t>
      </w:r>
      <w:r>
        <w:rPr/>
        <w:t>ways,</w:t>
      </w:r>
      <w:r>
        <w:rPr>
          <w:spacing w:val="-3"/>
        </w:rPr>
        <w:t> </w:t>
      </w:r>
      <w:r>
        <w:rPr/>
        <w:t>such</w:t>
      </w:r>
      <w:r>
        <w:rPr>
          <w:spacing w:val="-3"/>
        </w:rPr>
        <w:t> </w:t>
      </w:r>
      <w:r>
        <w:rPr/>
        <w:t>as</w:t>
      </w:r>
      <w:r>
        <w:rPr>
          <w:spacing w:val="-2"/>
        </w:rPr>
        <w:t> </w:t>
      </w:r>
      <w:r>
        <w:rPr/>
        <w:t>keeping</w:t>
      </w:r>
      <w:r>
        <w:rPr>
          <w:spacing w:val="-3"/>
        </w:rPr>
        <w:t> </w:t>
      </w:r>
      <w:r>
        <w:rPr/>
        <w:t>intersex</w:t>
      </w:r>
      <w:r>
        <w:rPr>
          <w:spacing w:val="-3"/>
        </w:rPr>
        <w:t> </w:t>
      </w:r>
      <w:r>
        <w:rPr/>
        <w:t>identity</w:t>
      </w:r>
      <w:r>
        <w:rPr>
          <w:spacing w:val="-3"/>
        </w:rPr>
        <w:t> </w:t>
      </w:r>
      <w:r>
        <w:rPr/>
        <w:t>from</w:t>
      </w:r>
      <w:r>
        <w:rPr>
          <w:spacing w:val="-2"/>
        </w:rPr>
        <w:t> </w:t>
      </w:r>
      <w:r>
        <w:rPr/>
        <w:t>the</w:t>
      </w:r>
      <w:r>
        <w:rPr>
          <w:spacing w:val="-3"/>
        </w:rPr>
        <w:t> </w:t>
      </w:r>
      <w:r>
        <w:rPr/>
        <w:t>youth,</w:t>
      </w:r>
      <w:r>
        <w:rPr>
          <w:spacing w:val="-2"/>
        </w:rPr>
        <w:t> </w:t>
      </w:r>
      <w:r>
        <w:rPr/>
        <w:t>or</w:t>
      </w:r>
      <w:r>
        <w:rPr>
          <w:spacing w:val="-3"/>
        </w:rPr>
        <w:t> </w:t>
      </w:r>
      <w:r>
        <w:rPr/>
        <w:t>providing</w:t>
      </w:r>
      <w:r>
        <w:rPr>
          <w:spacing w:val="-3"/>
        </w:rPr>
        <w:t> </w:t>
      </w:r>
      <w:r>
        <w:rPr/>
        <w:t>hormone</w:t>
      </w:r>
      <w:r>
        <w:rPr>
          <w:spacing w:val="-3"/>
        </w:rPr>
        <w:t> </w:t>
      </w:r>
      <w:r>
        <w:rPr/>
        <w:t>therapy or</w:t>
      </w:r>
      <w:r>
        <w:rPr>
          <w:spacing w:val="-5"/>
        </w:rPr>
        <w:t> </w:t>
      </w:r>
      <w:r>
        <w:rPr/>
        <w:t>puberty</w:t>
      </w:r>
      <w:r>
        <w:rPr>
          <w:spacing w:val="-5"/>
        </w:rPr>
        <w:t> </w:t>
      </w:r>
      <w:r>
        <w:rPr/>
        <w:t>blockers</w:t>
      </w:r>
      <w:r>
        <w:rPr>
          <w:spacing w:val="-5"/>
        </w:rPr>
        <w:t> </w:t>
      </w:r>
      <w:r>
        <w:rPr/>
        <w:t>to</w:t>
      </w:r>
      <w:r>
        <w:rPr>
          <w:spacing w:val="-5"/>
        </w:rPr>
        <w:t> </w:t>
      </w:r>
      <w:r>
        <w:rPr/>
        <w:t>unaware</w:t>
      </w:r>
      <w:r>
        <w:rPr>
          <w:spacing w:val="-6"/>
        </w:rPr>
        <w:t> </w:t>
      </w:r>
      <w:r>
        <w:rPr/>
        <w:t>youth.</w:t>
      </w:r>
      <w:r>
        <w:rPr>
          <w:spacing w:val="-6"/>
        </w:rPr>
        <w:t> </w:t>
      </w:r>
      <w:r>
        <w:rPr/>
        <w:t>In</w:t>
      </w:r>
      <w:r>
        <w:rPr>
          <w:spacing w:val="-6"/>
        </w:rPr>
        <w:t> </w:t>
      </w:r>
      <w:r>
        <w:rPr/>
        <w:t>a</w:t>
      </w:r>
      <w:r>
        <w:rPr>
          <w:spacing w:val="-5"/>
        </w:rPr>
        <w:t> </w:t>
      </w:r>
      <w:r>
        <w:rPr/>
        <w:t>2021</w:t>
      </w:r>
      <w:r>
        <w:rPr>
          <w:spacing w:val="-5"/>
        </w:rPr>
        <w:t> </w:t>
      </w:r>
      <w:r>
        <w:rPr/>
        <w:t>Trevor</w:t>
      </w:r>
      <w:r>
        <w:rPr>
          <w:spacing w:val="-5"/>
        </w:rPr>
        <w:t> </w:t>
      </w:r>
      <w:r>
        <w:rPr/>
        <w:t>Project</w:t>
      </w:r>
      <w:r>
        <w:rPr>
          <w:spacing w:val="-6"/>
        </w:rPr>
        <w:t> </w:t>
      </w:r>
      <w:r>
        <w:rPr/>
        <w:t>survey</w:t>
      </w:r>
      <w:r>
        <w:rPr>
          <w:spacing w:val="-5"/>
        </w:rPr>
        <w:t> </w:t>
      </w:r>
      <w:r>
        <w:rPr/>
        <w:t>on</w:t>
      </w:r>
      <w:r>
        <w:rPr>
          <w:spacing w:val="-6"/>
        </w:rPr>
        <w:t> </w:t>
      </w:r>
      <w:r>
        <w:rPr/>
        <w:t>youth</w:t>
      </w:r>
      <w:r>
        <w:rPr>
          <w:spacing w:val="-4"/>
        </w:rPr>
        <w:t> </w:t>
      </w:r>
      <w:r>
        <w:rPr/>
        <w:t>mental</w:t>
      </w:r>
      <w:r>
        <w:rPr>
          <w:spacing w:val="-4"/>
        </w:rPr>
        <w:t> </w:t>
      </w:r>
      <w:r>
        <w:rPr/>
        <w:t>health,</w:t>
      </w:r>
      <w:r>
        <w:rPr>
          <w:spacing w:val="-5"/>
        </w:rPr>
        <w:t> </w:t>
      </w:r>
      <w:r>
        <w:rPr/>
        <w:t>nearly</w:t>
      </w:r>
      <w:r>
        <w:rPr>
          <w:spacing w:val="-5"/>
        </w:rPr>
        <w:t> </w:t>
      </w:r>
      <w:r>
        <w:rPr/>
        <w:t>1</w:t>
      </w:r>
      <w:r>
        <w:rPr>
          <w:spacing w:val="-5"/>
        </w:rPr>
        <w:t> </w:t>
      </w:r>
      <w:r>
        <w:rPr/>
        <w:t>in 2 intersex youth seriously considered suicide, compared to 41% of LGBTQ youth who did not identify as intersex;</w:t>
      </w:r>
      <w:r>
        <w:rPr>
          <w:spacing w:val="-12"/>
        </w:rPr>
        <w:t> </w:t>
      </w:r>
      <w:r>
        <w:rPr/>
        <w:t>and</w:t>
      </w:r>
      <w:r>
        <w:rPr>
          <w:spacing w:val="-11"/>
        </w:rPr>
        <w:t> </w:t>
      </w:r>
      <w:r>
        <w:rPr/>
        <w:t>two-thirds</w:t>
      </w:r>
      <w:r>
        <w:rPr>
          <w:spacing w:val="-12"/>
        </w:rPr>
        <w:t> </w:t>
      </w:r>
      <w:r>
        <w:rPr/>
        <w:t>of</w:t>
      </w:r>
      <w:r>
        <w:rPr>
          <w:spacing w:val="-11"/>
        </w:rPr>
        <w:t> </w:t>
      </w:r>
      <w:r>
        <w:rPr/>
        <w:t>responding</w:t>
      </w:r>
      <w:r>
        <w:rPr>
          <w:spacing w:val="-13"/>
        </w:rPr>
        <w:t> </w:t>
      </w:r>
      <w:r>
        <w:rPr/>
        <w:t>intersex</w:t>
      </w:r>
      <w:r>
        <w:rPr>
          <w:spacing w:val="-12"/>
        </w:rPr>
        <w:t> </w:t>
      </w:r>
      <w:r>
        <w:rPr/>
        <w:t>youth</w:t>
      </w:r>
      <w:r>
        <w:rPr>
          <w:spacing w:val="-13"/>
        </w:rPr>
        <w:t> </w:t>
      </w:r>
      <w:r>
        <w:rPr/>
        <w:t>noted</w:t>
      </w:r>
      <w:r>
        <w:rPr>
          <w:spacing w:val="-12"/>
        </w:rPr>
        <w:t> </w:t>
      </w:r>
      <w:r>
        <w:rPr/>
        <w:t>that</w:t>
      </w:r>
      <w:r>
        <w:rPr>
          <w:spacing w:val="-12"/>
        </w:rPr>
        <w:t> </w:t>
      </w:r>
      <w:r>
        <w:rPr/>
        <w:t>they</w:t>
      </w:r>
      <w:r>
        <w:rPr>
          <w:spacing w:val="-12"/>
        </w:rPr>
        <w:t> </w:t>
      </w:r>
      <w:r>
        <w:rPr/>
        <w:t>had</w:t>
      </w:r>
      <w:r>
        <w:rPr>
          <w:spacing w:val="-13"/>
        </w:rPr>
        <w:t> </w:t>
      </w:r>
      <w:r>
        <w:rPr/>
        <w:t>experienced</w:t>
      </w:r>
      <w:r>
        <w:rPr>
          <w:spacing w:val="-12"/>
        </w:rPr>
        <w:t> </w:t>
      </w:r>
      <w:r>
        <w:rPr/>
        <w:t>symptoms</w:t>
      </w:r>
      <w:r>
        <w:rPr>
          <w:spacing w:val="-12"/>
        </w:rPr>
        <w:t> </w:t>
      </w:r>
      <w:r>
        <w:rPr/>
        <w:t>of</w:t>
      </w:r>
      <w:r>
        <w:rPr>
          <w:spacing w:val="-12"/>
        </w:rPr>
        <w:t> </w:t>
      </w:r>
      <w:r>
        <w:rPr/>
        <w:t>major depressive disorder within the two weeks prior.</w:t>
      </w:r>
      <w:r>
        <w:rPr>
          <w:vertAlign w:val="superscript"/>
        </w:rPr>
        <w:t>26</w:t>
      </w:r>
    </w:p>
    <w:p>
      <w:pPr>
        <w:spacing w:before="161"/>
        <w:ind w:left="363" w:right="0" w:firstLine="0"/>
        <w:jc w:val="both"/>
        <w:rPr>
          <w:sz w:val="26"/>
        </w:rPr>
      </w:pPr>
      <w:bookmarkStart w:name="Contraceptive Options and Access" w:id="473"/>
      <w:bookmarkEnd w:id="473"/>
      <w:r>
        <w:rPr/>
      </w:r>
      <w:r>
        <w:rPr>
          <w:color w:val="095292"/>
          <w:sz w:val="26"/>
        </w:rPr>
        <w:t>Contraceptive</w:t>
      </w:r>
      <w:r>
        <w:rPr>
          <w:color w:val="095292"/>
          <w:spacing w:val="-5"/>
          <w:sz w:val="26"/>
        </w:rPr>
        <w:t> </w:t>
      </w:r>
      <w:r>
        <w:rPr>
          <w:color w:val="095292"/>
          <w:sz w:val="26"/>
        </w:rPr>
        <w:t>Options</w:t>
      </w:r>
      <w:r>
        <w:rPr>
          <w:color w:val="095292"/>
          <w:spacing w:val="-5"/>
          <w:sz w:val="26"/>
        </w:rPr>
        <w:t> </w:t>
      </w:r>
      <w:r>
        <w:rPr>
          <w:color w:val="095292"/>
          <w:sz w:val="26"/>
        </w:rPr>
        <w:t>and</w:t>
      </w:r>
      <w:r>
        <w:rPr>
          <w:color w:val="095292"/>
          <w:spacing w:val="-4"/>
          <w:sz w:val="26"/>
        </w:rPr>
        <w:t> </w:t>
      </w:r>
      <w:r>
        <w:rPr>
          <w:color w:val="095292"/>
          <w:spacing w:val="-2"/>
          <w:sz w:val="26"/>
        </w:rPr>
        <w:t>Access</w:t>
      </w:r>
    </w:p>
    <w:p>
      <w:pPr>
        <w:pStyle w:val="BodyText"/>
        <w:spacing w:before="231"/>
        <w:rPr>
          <w:sz w:val="26"/>
        </w:rPr>
      </w:pPr>
    </w:p>
    <w:p>
      <w:pPr>
        <w:pStyle w:val="BodyText"/>
        <w:spacing w:line="276" w:lineRule="auto"/>
        <w:ind w:left="363" w:right="142"/>
        <w:jc w:val="both"/>
      </w:pPr>
      <w:r>
        <w:rPr/>
        <w:t>Far</w:t>
      </w:r>
      <w:r>
        <w:rPr>
          <w:spacing w:val="-1"/>
        </w:rPr>
        <w:t> </w:t>
      </w:r>
      <w:r>
        <w:rPr/>
        <w:t>too</w:t>
      </w:r>
      <w:r>
        <w:rPr>
          <w:spacing w:val="-1"/>
        </w:rPr>
        <w:t> </w:t>
      </w:r>
      <w:r>
        <w:rPr/>
        <w:t>often,</w:t>
      </w:r>
      <w:r>
        <w:rPr>
          <w:spacing w:val="-1"/>
        </w:rPr>
        <w:t> </w:t>
      </w:r>
      <w:r>
        <w:rPr/>
        <w:t>the</w:t>
      </w:r>
      <w:r>
        <w:rPr>
          <w:spacing w:val="-1"/>
        </w:rPr>
        <w:t> </w:t>
      </w:r>
      <w:r>
        <w:rPr/>
        <w:t>conversations</w:t>
      </w:r>
      <w:r>
        <w:rPr>
          <w:spacing w:val="-1"/>
        </w:rPr>
        <w:t> </w:t>
      </w:r>
      <w:r>
        <w:rPr/>
        <w:t>around</w:t>
      </w:r>
      <w:r>
        <w:rPr>
          <w:spacing w:val="-1"/>
        </w:rPr>
        <w:t> </w:t>
      </w:r>
      <w:r>
        <w:rPr/>
        <w:t>contraception</w:t>
      </w:r>
      <w:r>
        <w:rPr>
          <w:spacing w:val="-1"/>
        </w:rPr>
        <w:t> </w:t>
      </w:r>
      <w:r>
        <w:rPr/>
        <w:t>with</w:t>
      </w:r>
      <w:r>
        <w:rPr>
          <w:spacing w:val="-1"/>
        </w:rPr>
        <w:t> </w:t>
      </w:r>
      <w:r>
        <w:rPr/>
        <w:t>youth</w:t>
      </w:r>
      <w:r>
        <w:rPr>
          <w:spacing w:val="-1"/>
        </w:rPr>
        <w:t> </w:t>
      </w:r>
      <w:r>
        <w:rPr/>
        <w:t>are</w:t>
      </w:r>
      <w:r>
        <w:rPr>
          <w:spacing w:val="-1"/>
        </w:rPr>
        <w:t> </w:t>
      </w:r>
      <w:r>
        <w:rPr/>
        <w:t>limited</w:t>
      </w:r>
      <w:r>
        <w:rPr>
          <w:spacing w:val="-1"/>
        </w:rPr>
        <w:t> </w:t>
      </w:r>
      <w:r>
        <w:rPr/>
        <w:t>to</w:t>
      </w:r>
      <w:r>
        <w:rPr>
          <w:spacing w:val="-1"/>
        </w:rPr>
        <w:t> </w:t>
      </w:r>
      <w:r>
        <w:rPr/>
        <w:t>external</w:t>
      </w:r>
      <w:r>
        <w:rPr>
          <w:spacing w:val="-1"/>
        </w:rPr>
        <w:t> </w:t>
      </w:r>
      <w:r>
        <w:rPr/>
        <w:t>condoms</w:t>
      </w:r>
      <w:r>
        <w:rPr>
          <w:spacing w:val="-1"/>
        </w:rPr>
        <w:t> </w:t>
      </w:r>
      <w:r>
        <w:rPr/>
        <w:t>as</w:t>
      </w:r>
      <w:r>
        <w:rPr>
          <w:spacing w:val="-1"/>
        </w:rPr>
        <w:t> </w:t>
      </w:r>
      <w:r>
        <w:rPr/>
        <w:t>the primary option for contraceptive devices - an approach that often ignores alternative, and sometimes more</w:t>
      </w:r>
      <w:r>
        <w:rPr>
          <w:spacing w:val="-2"/>
        </w:rPr>
        <w:t> </w:t>
      </w:r>
      <w:r>
        <w:rPr/>
        <w:t>relevant,</w:t>
      </w:r>
      <w:r>
        <w:rPr>
          <w:spacing w:val="80"/>
          <w:w w:val="150"/>
        </w:rPr>
        <w:t>  </w:t>
      </w:r>
      <w:r>
        <w:rPr/>
        <w:t>LGBTQ-inclusive</w:t>
      </w:r>
      <w:r>
        <w:rPr>
          <w:spacing w:val="33"/>
        </w:rPr>
        <w:t> </w:t>
      </w:r>
      <w:r>
        <w:rPr/>
        <w:t>contraceptive</w:t>
      </w:r>
      <w:r>
        <w:rPr>
          <w:spacing w:val="33"/>
        </w:rPr>
        <w:t> </w:t>
      </w:r>
      <w:r>
        <w:rPr/>
        <w:t>devices.</w:t>
      </w:r>
      <w:r>
        <w:rPr>
          <w:spacing w:val="33"/>
        </w:rPr>
        <w:t> </w:t>
      </w:r>
      <w:r>
        <w:rPr/>
        <w:t>Condoms</w:t>
      </w:r>
      <w:r>
        <w:rPr>
          <w:spacing w:val="34"/>
        </w:rPr>
        <w:t> </w:t>
      </w:r>
      <w:r>
        <w:rPr/>
        <w:t>-</w:t>
      </w:r>
      <w:r>
        <w:rPr>
          <w:spacing w:val="34"/>
        </w:rPr>
        <w:t> </w:t>
      </w:r>
      <w:r>
        <w:rPr/>
        <w:t>both</w:t>
      </w:r>
      <w:r>
        <w:rPr>
          <w:spacing w:val="33"/>
        </w:rPr>
        <w:t> </w:t>
      </w:r>
      <w:r>
        <w:rPr/>
        <w:t>external</w:t>
      </w:r>
      <w:r>
        <w:rPr>
          <w:spacing w:val="33"/>
        </w:rPr>
        <w:t> </w:t>
      </w:r>
      <w:r>
        <w:rPr/>
        <w:t>and</w:t>
      </w:r>
      <w:r>
        <w:rPr>
          <w:spacing w:val="33"/>
        </w:rPr>
        <w:t> </w:t>
      </w:r>
      <w:r>
        <w:rPr/>
        <w:t>internal</w:t>
      </w:r>
      <w:r>
        <w:rPr>
          <w:spacing w:val="33"/>
        </w:rPr>
        <w:t> </w:t>
      </w:r>
      <w:r>
        <w:rPr/>
        <w:t>-</w:t>
      </w:r>
      <w:r>
        <w:rPr>
          <w:spacing w:val="34"/>
        </w:rPr>
        <w:t> </w:t>
      </w:r>
      <w:r>
        <w:rPr/>
        <w:t>are</w:t>
      </w:r>
    </w:p>
    <w:p>
      <w:pPr>
        <w:pStyle w:val="BodyText"/>
        <w:spacing w:line="276" w:lineRule="auto"/>
        <w:ind w:left="6536" w:right="142"/>
        <w:jc w:val="both"/>
      </w:pPr>
      <w:r>
        <w:rPr/>
        <w:drawing>
          <wp:anchor distT="0" distB="0" distL="0" distR="0" allowOverlap="1" layoutInCell="1" locked="0" behindDoc="0" simplePos="0" relativeHeight="15787008">
            <wp:simplePos x="0" y="0"/>
            <wp:positionH relativeFrom="page">
              <wp:posOffset>914400</wp:posOffset>
            </wp:positionH>
            <wp:positionV relativeFrom="paragraph">
              <wp:posOffset>237712</wp:posOffset>
            </wp:positionV>
            <wp:extent cx="3830954" cy="2861779"/>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399" cstate="print"/>
                    <a:stretch>
                      <a:fillRect/>
                    </a:stretch>
                  </pic:blipFill>
                  <pic:spPr>
                    <a:xfrm>
                      <a:off x="0" y="0"/>
                      <a:ext cx="3830954" cy="2861779"/>
                    </a:xfrm>
                    <a:prstGeom prst="rect">
                      <a:avLst/>
                    </a:prstGeom>
                  </pic:spPr>
                </pic:pic>
              </a:graphicData>
            </a:graphic>
          </wp:anchor>
        </w:drawing>
      </w:r>
      <w:r>
        <w:rPr/>
        <w:t>highly effective at reducing infections, HIV transmission, and unintended pregnancies, and are the most accessible as they can often be purchased at convenience stores. However, cost, safety, transportation,</w:t>
      </w:r>
      <w:r>
        <w:rPr>
          <w:spacing w:val="-5"/>
        </w:rPr>
        <w:t> </w:t>
      </w:r>
      <w:r>
        <w:rPr/>
        <w:t>mobility,</w:t>
      </w:r>
      <w:r>
        <w:rPr>
          <w:spacing w:val="-5"/>
        </w:rPr>
        <w:t> </w:t>
      </w:r>
      <w:r>
        <w:rPr/>
        <w:t>and</w:t>
      </w:r>
      <w:r>
        <w:rPr>
          <w:spacing w:val="-5"/>
        </w:rPr>
        <w:t> </w:t>
      </w:r>
      <w:r>
        <w:rPr/>
        <w:t>fear</w:t>
      </w:r>
      <w:r>
        <w:rPr>
          <w:spacing w:val="-5"/>
        </w:rPr>
        <w:t> </w:t>
      </w:r>
      <w:r>
        <w:rPr/>
        <w:t>of stigmatization can often be challenging barriers to overcome, particularly</w:t>
      </w:r>
      <w:r>
        <w:rPr>
          <w:spacing w:val="-3"/>
        </w:rPr>
        <w:t> </w:t>
      </w:r>
      <w:r>
        <w:rPr/>
        <w:t>for</w:t>
      </w:r>
      <w:r>
        <w:rPr>
          <w:spacing w:val="-4"/>
        </w:rPr>
        <w:t> </w:t>
      </w:r>
      <w:r>
        <w:rPr/>
        <w:t>youth</w:t>
      </w:r>
      <w:r>
        <w:rPr>
          <w:spacing w:val="-5"/>
        </w:rPr>
        <w:t> </w:t>
      </w:r>
      <w:r>
        <w:rPr/>
        <w:t>still</w:t>
      </w:r>
      <w:r>
        <w:rPr>
          <w:spacing w:val="-3"/>
        </w:rPr>
        <w:t> </w:t>
      </w:r>
      <w:r>
        <w:rPr/>
        <w:t>living</w:t>
      </w:r>
      <w:r>
        <w:rPr>
          <w:spacing w:val="-5"/>
        </w:rPr>
        <w:t> </w:t>
      </w:r>
      <w:r>
        <w:rPr/>
        <w:t>with their parents, who may opt out of purchasing</w:t>
      </w:r>
      <w:r>
        <w:rPr>
          <w:spacing w:val="-6"/>
        </w:rPr>
        <w:t> </w:t>
      </w:r>
      <w:r>
        <w:rPr/>
        <w:t>condoms</w:t>
      </w:r>
      <w:r>
        <w:rPr>
          <w:spacing w:val="-5"/>
        </w:rPr>
        <w:t> </w:t>
      </w:r>
      <w:r>
        <w:rPr/>
        <w:t>altogether</w:t>
      </w:r>
      <w:r>
        <w:rPr>
          <w:spacing w:val="-5"/>
        </w:rPr>
        <w:t> </w:t>
      </w:r>
      <w:r>
        <w:rPr/>
        <w:t>and participating in unprotected sexual </w:t>
      </w:r>
      <w:r>
        <w:rPr>
          <w:spacing w:val="-2"/>
        </w:rPr>
        <w:t>behaviors.</w:t>
      </w:r>
    </w:p>
    <w:p>
      <w:pPr>
        <w:pStyle w:val="BodyText"/>
        <w:spacing w:line="276" w:lineRule="auto" w:before="239"/>
        <w:ind w:left="6536" w:right="142"/>
        <w:jc w:val="both"/>
      </w:pPr>
      <w:r>
        <w:rPr/>
        <w:t>As recommended above, it is essential</w:t>
      </w:r>
      <w:r>
        <w:rPr>
          <w:spacing w:val="51"/>
        </w:rPr>
        <w:t> </w:t>
      </w:r>
      <w:r>
        <w:rPr/>
        <w:t>to</w:t>
      </w:r>
      <w:r>
        <w:rPr>
          <w:spacing w:val="53"/>
        </w:rPr>
        <w:t> </w:t>
      </w:r>
      <w:r>
        <w:rPr/>
        <w:t>increase</w:t>
      </w:r>
      <w:r>
        <w:rPr>
          <w:spacing w:val="52"/>
        </w:rPr>
        <w:t> </w:t>
      </w:r>
      <w:r>
        <w:rPr/>
        <w:t>access</w:t>
      </w:r>
      <w:r>
        <w:rPr>
          <w:spacing w:val="52"/>
        </w:rPr>
        <w:t> </w:t>
      </w:r>
      <w:r>
        <w:rPr/>
        <w:t>to</w:t>
      </w:r>
      <w:r>
        <w:rPr>
          <w:spacing w:val="53"/>
        </w:rPr>
        <w:t> </w:t>
      </w:r>
      <w:r>
        <w:rPr>
          <w:spacing w:val="-5"/>
        </w:rPr>
        <w:t>all</w:t>
      </w:r>
    </w:p>
    <w:p>
      <w:pPr>
        <w:pStyle w:val="BodyText"/>
        <w:spacing w:line="276" w:lineRule="auto"/>
        <w:ind w:left="363" w:right="142"/>
        <w:jc w:val="both"/>
      </w:pPr>
      <w:r>
        <w:rPr/>
        <w:t>types of contraceptive devices for youth and increase education campaigns around the importance of proper usage. A 2021 national study showed that only 38% of LGBTQ youth used a condom during their last</w:t>
      </w:r>
      <w:r>
        <w:rPr>
          <w:spacing w:val="-9"/>
        </w:rPr>
        <w:t> </w:t>
      </w:r>
      <w:r>
        <w:rPr/>
        <w:t>sexual</w:t>
      </w:r>
      <w:r>
        <w:rPr>
          <w:spacing w:val="-9"/>
        </w:rPr>
        <w:t> </w:t>
      </w:r>
      <w:r>
        <w:rPr/>
        <w:t>intercourse</w:t>
      </w:r>
      <w:r>
        <w:rPr>
          <w:spacing w:val="-9"/>
        </w:rPr>
        <w:t> </w:t>
      </w:r>
      <w:r>
        <w:rPr/>
        <w:t>compared</w:t>
      </w:r>
      <w:r>
        <w:rPr>
          <w:spacing w:val="-9"/>
        </w:rPr>
        <w:t> </w:t>
      </w:r>
      <w:r>
        <w:rPr/>
        <w:t>to</w:t>
      </w:r>
      <w:r>
        <w:rPr>
          <w:spacing w:val="-8"/>
        </w:rPr>
        <w:t> </w:t>
      </w:r>
      <w:r>
        <w:rPr/>
        <w:t>60%</w:t>
      </w:r>
      <w:r>
        <w:rPr>
          <w:spacing w:val="-7"/>
        </w:rPr>
        <w:t> </w:t>
      </w:r>
      <w:r>
        <w:rPr/>
        <w:t>of</w:t>
      </w:r>
      <w:r>
        <w:rPr>
          <w:spacing w:val="-9"/>
        </w:rPr>
        <w:t> </w:t>
      </w:r>
      <w:r>
        <w:rPr/>
        <w:t>heterosexual</w:t>
      </w:r>
      <w:r>
        <w:rPr>
          <w:spacing w:val="-9"/>
        </w:rPr>
        <w:t> </w:t>
      </w:r>
      <w:r>
        <w:rPr/>
        <w:t>and</w:t>
      </w:r>
      <w:r>
        <w:rPr>
          <w:spacing w:val="-8"/>
        </w:rPr>
        <w:t> </w:t>
      </w:r>
      <w:r>
        <w:rPr/>
        <w:t>cisgender</w:t>
      </w:r>
      <w:r>
        <w:rPr>
          <w:spacing w:val="-9"/>
        </w:rPr>
        <w:t> </w:t>
      </w:r>
      <w:r>
        <w:rPr/>
        <w:t>youth.</w:t>
      </w:r>
      <w:r>
        <w:rPr>
          <w:vertAlign w:val="superscript"/>
        </w:rPr>
        <w:t>27</w:t>
      </w:r>
      <w:r>
        <w:rPr>
          <w:spacing w:val="-7"/>
          <w:vertAlign w:val="baseline"/>
        </w:rPr>
        <w:t> </w:t>
      </w:r>
      <w:r>
        <w:rPr>
          <w:vertAlign w:val="baseline"/>
        </w:rPr>
        <w:t>Furthermore,</w:t>
      </w:r>
      <w:r>
        <w:rPr>
          <w:spacing w:val="-9"/>
          <w:vertAlign w:val="baseline"/>
        </w:rPr>
        <w:t> </w:t>
      </w:r>
      <w:r>
        <w:rPr>
          <w:vertAlign w:val="baseline"/>
        </w:rPr>
        <w:t>only</w:t>
      </w:r>
      <w:r>
        <w:rPr>
          <w:spacing w:val="-9"/>
          <w:vertAlign w:val="baseline"/>
        </w:rPr>
        <w:t> </w:t>
      </w:r>
      <w:r>
        <w:rPr>
          <w:vertAlign w:val="baseline"/>
        </w:rPr>
        <w:t>11%</w:t>
      </w:r>
      <w:r>
        <w:rPr>
          <w:spacing w:val="-9"/>
          <w:vertAlign w:val="baseline"/>
        </w:rPr>
        <w:t> </w:t>
      </w:r>
      <w:r>
        <w:rPr>
          <w:vertAlign w:val="baseline"/>
        </w:rPr>
        <w:t>of bisexual</w:t>
      </w:r>
      <w:r>
        <w:rPr>
          <w:spacing w:val="-13"/>
          <w:vertAlign w:val="baseline"/>
        </w:rPr>
        <w:t> </w:t>
      </w:r>
      <w:r>
        <w:rPr>
          <w:vertAlign w:val="baseline"/>
        </w:rPr>
        <w:t>high</w:t>
      </w:r>
      <w:r>
        <w:rPr>
          <w:spacing w:val="-13"/>
          <w:vertAlign w:val="baseline"/>
        </w:rPr>
        <w:t> </w:t>
      </w:r>
      <w:r>
        <w:rPr>
          <w:vertAlign w:val="baseline"/>
        </w:rPr>
        <w:t>school</w:t>
      </w:r>
      <w:r>
        <w:rPr>
          <w:spacing w:val="-13"/>
          <w:vertAlign w:val="baseline"/>
        </w:rPr>
        <w:t> </w:t>
      </w:r>
      <w:r>
        <w:rPr>
          <w:vertAlign w:val="baseline"/>
        </w:rPr>
        <w:t>boys</w:t>
      </w:r>
      <w:r>
        <w:rPr>
          <w:spacing w:val="-13"/>
          <w:vertAlign w:val="baseline"/>
        </w:rPr>
        <w:t> </w:t>
      </w:r>
      <w:r>
        <w:rPr>
          <w:vertAlign w:val="baseline"/>
        </w:rPr>
        <w:t>who</w:t>
      </w:r>
      <w:r>
        <w:rPr>
          <w:spacing w:val="-13"/>
          <w:vertAlign w:val="baseline"/>
        </w:rPr>
        <w:t> </w:t>
      </w:r>
      <w:r>
        <w:rPr>
          <w:vertAlign w:val="baseline"/>
        </w:rPr>
        <w:t>had</w:t>
      </w:r>
      <w:r>
        <w:rPr>
          <w:spacing w:val="-13"/>
          <w:vertAlign w:val="baseline"/>
        </w:rPr>
        <w:t> </w:t>
      </w:r>
      <w:r>
        <w:rPr>
          <w:vertAlign w:val="baseline"/>
        </w:rPr>
        <w:t>a</w:t>
      </w:r>
      <w:r>
        <w:rPr>
          <w:spacing w:val="-13"/>
          <w:vertAlign w:val="baseline"/>
        </w:rPr>
        <w:t> </w:t>
      </w:r>
      <w:r>
        <w:rPr>
          <w:vertAlign w:val="baseline"/>
        </w:rPr>
        <w:t>same-sex</w:t>
      </w:r>
      <w:r>
        <w:rPr>
          <w:spacing w:val="-13"/>
          <w:vertAlign w:val="baseline"/>
        </w:rPr>
        <w:t> </w:t>
      </w:r>
      <w:r>
        <w:rPr>
          <w:vertAlign w:val="baseline"/>
        </w:rPr>
        <w:t>partner</w:t>
      </w:r>
      <w:r>
        <w:rPr>
          <w:spacing w:val="-12"/>
          <w:vertAlign w:val="baseline"/>
        </w:rPr>
        <w:t> </w:t>
      </w:r>
      <w:r>
        <w:rPr>
          <w:vertAlign w:val="baseline"/>
        </w:rPr>
        <w:t>used</w:t>
      </w:r>
      <w:r>
        <w:rPr>
          <w:spacing w:val="-13"/>
          <w:vertAlign w:val="baseline"/>
        </w:rPr>
        <w:t> </w:t>
      </w:r>
      <w:r>
        <w:rPr>
          <w:vertAlign w:val="baseline"/>
        </w:rPr>
        <w:t>a</w:t>
      </w:r>
      <w:r>
        <w:rPr>
          <w:spacing w:val="-13"/>
          <w:vertAlign w:val="baseline"/>
        </w:rPr>
        <w:t> </w:t>
      </w:r>
      <w:r>
        <w:rPr>
          <w:vertAlign w:val="baseline"/>
        </w:rPr>
        <w:t>condom</w:t>
      </w:r>
      <w:r>
        <w:rPr>
          <w:spacing w:val="-13"/>
          <w:vertAlign w:val="baseline"/>
        </w:rPr>
        <w:t> </w:t>
      </w:r>
      <w:r>
        <w:rPr>
          <w:vertAlign w:val="baseline"/>
        </w:rPr>
        <w:t>during</w:t>
      </w:r>
      <w:r>
        <w:rPr>
          <w:spacing w:val="-13"/>
          <w:vertAlign w:val="baseline"/>
        </w:rPr>
        <w:t> </w:t>
      </w:r>
      <w:r>
        <w:rPr>
          <w:vertAlign w:val="baseline"/>
        </w:rPr>
        <w:t>their</w:t>
      </w:r>
      <w:r>
        <w:rPr>
          <w:spacing w:val="-13"/>
          <w:vertAlign w:val="baseline"/>
        </w:rPr>
        <w:t> </w:t>
      </w:r>
      <w:r>
        <w:rPr>
          <w:vertAlign w:val="baseline"/>
        </w:rPr>
        <w:t>last</w:t>
      </w:r>
      <w:r>
        <w:rPr>
          <w:spacing w:val="-13"/>
          <w:vertAlign w:val="baseline"/>
        </w:rPr>
        <w:t> </w:t>
      </w:r>
      <w:r>
        <w:rPr>
          <w:vertAlign w:val="baseline"/>
        </w:rPr>
        <w:t>sexual</w:t>
      </w:r>
      <w:r>
        <w:rPr>
          <w:spacing w:val="-13"/>
          <w:vertAlign w:val="baseline"/>
        </w:rPr>
        <w:t> </w:t>
      </w:r>
      <w:r>
        <w:rPr>
          <w:vertAlign w:val="baseline"/>
        </w:rPr>
        <w:t>intercourse.</w:t>
      </w:r>
      <w:hyperlink w:history="true" w:anchor="_bookmark271">
        <w:r>
          <w:rPr>
            <w:vertAlign w:val="superscript"/>
          </w:rPr>
          <w:t>28</w:t>
        </w:r>
      </w:hyperlink>
    </w:p>
    <w:p>
      <w:pPr>
        <w:spacing w:after="0" w:line="276" w:lineRule="auto"/>
        <w:jc w:val="both"/>
        <w:sectPr>
          <w:pgSz w:w="12240" w:h="15840"/>
          <w:pgMar w:header="763" w:footer="1339" w:top="1180" w:bottom="1560" w:left="1080" w:right="1240"/>
        </w:sectPr>
      </w:pPr>
    </w:p>
    <w:p>
      <w:pPr>
        <w:pStyle w:val="BodyText"/>
        <w:spacing w:line="276" w:lineRule="auto" w:before="69"/>
        <w:ind w:left="363" w:right="143"/>
        <w:jc w:val="both"/>
      </w:pPr>
      <w:r>
        <w:rPr/>
        <w:t>As discussed in the Commission’s previous FY 2023 MYRBS analysis, there has been a concerning decline in condom usage amongst youth in Massachusetts, with only 54.3% of youth in 2019 reporting using a condom during their last sexual intercourse - between 2019 and 2021 there was only a 4% increase in condom usage amongst Massachusetts youth.</w:t>
      </w:r>
    </w:p>
    <w:p>
      <w:pPr>
        <w:pStyle w:val="BodyText"/>
        <w:spacing w:line="276" w:lineRule="auto" w:before="239"/>
        <w:ind w:left="363" w:right="142"/>
        <w:jc w:val="both"/>
      </w:pPr>
      <w:r>
        <w:rPr/>
        <w:t>Besides</w:t>
      </w:r>
      <w:r>
        <w:rPr>
          <w:spacing w:val="-13"/>
        </w:rPr>
        <w:t> </w:t>
      </w:r>
      <w:r>
        <w:rPr/>
        <w:t>distribution,</w:t>
      </w:r>
      <w:r>
        <w:rPr>
          <w:spacing w:val="-12"/>
        </w:rPr>
        <w:t> </w:t>
      </w:r>
      <w:r>
        <w:rPr/>
        <w:t>as</w:t>
      </w:r>
      <w:r>
        <w:rPr>
          <w:spacing w:val="-13"/>
        </w:rPr>
        <w:t> </w:t>
      </w:r>
      <w:r>
        <w:rPr/>
        <w:t>discussed</w:t>
      </w:r>
      <w:r>
        <w:rPr>
          <w:spacing w:val="-12"/>
        </w:rPr>
        <w:t> </w:t>
      </w:r>
      <w:r>
        <w:rPr/>
        <w:t>above,</w:t>
      </w:r>
      <w:r>
        <w:rPr>
          <w:spacing w:val="-13"/>
        </w:rPr>
        <w:t> </w:t>
      </w:r>
      <w:r>
        <w:rPr/>
        <w:t>education</w:t>
      </w:r>
      <w:r>
        <w:rPr>
          <w:spacing w:val="-12"/>
        </w:rPr>
        <w:t> </w:t>
      </w:r>
      <w:r>
        <w:rPr/>
        <w:t>to</w:t>
      </w:r>
      <w:r>
        <w:rPr>
          <w:spacing w:val="-13"/>
        </w:rPr>
        <w:t> </w:t>
      </w:r>
      <w:r>
        <w:rPr/>
        <w:t>reduce</w:t>
      </w:r>
      <w:r>
        <w:rPr>
          <w:spacing w:val="-12"/>
        </w:rPr>
        <w:t> </w:t>
      </w:r>
      <w:r>
        <w:rPr/>
        <w:t>misinformation</w:t>
      </w:r>
      <w:r>
        <w:rPr>
          <w:spacing w:val="-12"/>
        </w:rPr>
        <w:t> </w:t>
      </w:r>
      <w:r>
        <w:rPr/>
        <w:t>about</w:t>
      </w:r>
      <w:r>
        <w:rPr>
          <w:spacing w:val="-13"/>
        </w:rPr>
        <w:t> </w:t>
      </w:r>
      <w:r>
        <w:rPr/>
        <w:t>condom</w:t>
      </w:r>
      <w:r>
        <w:rPr>
          <w:spacing w:val="-12"/>
        </w:rPr>
        <w:t> </w:t>
      </w:r>
      <w:r>
        <w:rPr/>
        <w:t>usage</w:t>
      </w:r>
      <w:r>
        <w:rPr>
          <w:spacing w:val="-13"/>
        </w:rPr>
        <w:t> </w:t>
      </w:r>
      <w:r>
        <w:rPr/>
        <w:t>—</w:t>
      </w:r>
      <w:r>
        <w:rPr>
          <w:spacing w:val="-11"/>
        </w:rPr>
        <w:t> </w:t>
      </w:r>
      <w:r>
        <w:rPr/>
        <w:t>such as loss of pleasurable sensation and misconceptions that someone has an STI if they ask to use one — should</w:t>
      </w:r>
      <w:r>
        <w:rPr>
          <w:spacing w:val="-6"/>
        </w:rPr>
        <w:t> </w:t>
      </w:r>
      <w:r>
        <w:rPr/>
        <w:t>be</w:t>
      </w:r>
      <w:r>
        <w:rPr>
          <w:spacing w:val="-4"/>
        </w:rPr>
        <w:t> </w:t>
      </w:r>
      <w:r>
        <w:rPr/>
        <w:t>provided</w:t>
      </w:r>
      <w:r>
        <w:rPr>
          <w:spacing w:val="-6"/>
        </w:rPr>
        <w:t> </w:t>
      </w:r>
      <w:r>
        <w:rPr/>
        <w:t>as</w:t>
      </w:r>
      <w:r>
        <w:rPr>
          <w:spacing w:val="-4"/>
        </w:rPr>
        <w:t> </w:t>
      </w:r>
      <w:r>
        <w:rPr/>
        <w:t>part</w:t>
      </w:r>
      <w:r>
        <w:rPr>
          <w:spacing w:val="-3"/>
        </w:rPr>
        <w:t> </w:t>
      </w:r>
      <w:r>
        <w:rPr/>
        <w:t>of</w:t>
      </w:r>
      <w:r>
        <w:rPr>
          <w:spacing w:val="-5"/>
        </w:rPr>
        <w:t> </w:t>
      </w:r>
      <w:r>
        <w:rPr/>
        <w:t>sexual</w:t>
      </w:r>
      <w:r>
        <w:rPr>
          <w:spacing w:val="-4"/>
        </w:rPr>
        <w:t> </w:t>
      </w:r>
      <w:r>
        <w:rPr/>
        <w:t>health</w:t>
      </w:r>
      <w:r>
        <w:rPr>
          <w:spacing w:val="-4"/>
        </w:rPr>
        <w:t> </w:t>
      </w:r>
      <w:r>
        <w:rPr/>
        <w:t>education,</w:t>
      </w:r>
      <w:r>
        <w:rPr>
          <w:spacing w:val="-4"/>
        </w:rPr>
        <w:t> </w:t>
      </w:r>
      <w:r>
        <w:rPr/>
        <w:t>as</w:t>
      </w:r>
      <w:r>
        <w:rPr>
          <w:spacing w:val="-5"/>
        </w:rPr>
        <w:t> </w:t>
      </w:r>
      <w:r>
        <w:rPr/>
        <w:t>should</w:t>
      </w:r>
      <w:r>
        <w:rPr>
          <w:spacing w:val="-4"/>
        </w:rPr>
        <w:t> </w:t>
      </w:r>
      <w:r>
        <w:rPr/>
        <w:t>lessons</w:t>
      </w:r>
      <w:r>
        <w:rPr>
          <w:spacing w:val="-5"/>
        </w:rPr>
        <w:t> </w:t>
      </w:r>
      <w:r>
        <w:rPr/>
        <w:t>on</w:t>
      </w:r>
      <w:r>
        <w:rPr>
          <w:spacing w:val="-6"/>
        </w:rPr>
        <w:t> </w:t>
      </w:r>
      <w:r>
        <w:rPr/>
        <w:t>how</w:t>
      </w:r>
      <w:r>
        <w:rPr>
          <w:spacing w:val="-3"/>
        </w:rPr>
        <w:t> </w:t>
      </w:r>
      <w:r>
        <w:rPr/>
        <w:t>to</w:t>
      </w:r>
      <w:r>
        <w:rPr>
          <w:spacing w:val="-5"/>
        </w:rPr>
        <w:t> </w:t>
      </w:r>
      <w:r>
        <w:rPr/>
        <w:t>negotiate</w:t>
      </w:r>
      <w:r>
        <w:rPr>
          <w:spacing w:val="-3"/>
        </w:rPr>
        <w:t> </w:t>
      </w:r>
      <w:r>
        <w:rPr/>
        <w:t>condom</w:t>
      </w:r>
      <w:r>
        <w:rPr>
          <w:spacing w:val="-4"/>
        </w:rPr>
        <w:t> </w:t>
      </w:r>
      <w:r>
        <w:rPr/>
        <w:t>use and risk factors involved; internal condoms are 95% effective at preventing STIs and pregnancy if used correctly, but end up being 75-95% correctly because of tears, spillage, placement, or other issues</w:t>
      </w:r>
      <w:hyperlink w:history="true" w:anchor="_bookmark271">
        <w:r>
          <w:rPr/>
          <w:t>,</w:t>
        </w:r>
        <w:r>
          <w:rPr>
            <w:vertAlign w:val="superscript"/>
          </w:rPr>
          <w:t>29</w:t>
        </w:r>
      </w:hyperlink>
      <w:r>
        <w:rPr>
          <w:vertAlign w:val="baseline"/>
        </w:rPr>
        <w:t> whereas external condoms are often noted as 98% effective at preventing pregnancy but, in reality, are only about 87% effective due to improper use</w:t>
      </w:r>
      <w:hyperlink w:history="true" w:anchor="_bookmark272">
        <w:r>
          <w:rPr>
            <w:vertAlign w:val="baseline"/>
          </w:rPr>
          <w:t>.</w:t>
        </w:r>
        <w:r>
          <w:rPr>
            <w:vertAlign w:val="superscript"/>
          </w:rPr>
          <w:t>30</w:t>
        </w:r>
      </w:hyperlink>
    </w:p>
    <w:p>
      <w:pPr>
        <w:pStyle w:val="BodyText"/>
        <w:spacing w:line="276" w:lineRule="auto" w:before="241"/>
        <w:ind w:left="363" w:right="142"/>
        <w:jc w:val="both"/>
      </w:pPr>
      <w:r>
        <w:rPr/>
        <w:t>Additionally, as discussed in other sections of this report, LGBTQ youth may engage in types of sex work for a variety of different reasons. LGBTQ youth face higher rates of homelessness, poverty, involvement with the criminal legal system, and substance abuse due to societal factors influenced by stigma, discrimination,</w:t>
      </w:r>
      <w:r>
        <w:rPr>
          <w:spacing w:val="-7"/>
        </w:rPr>
        <w:t> </w:t>
      </w:r>
      <w:r>
        <w:rPr/>
        <w:t>and</w:t>
      </w:r>
      <w:r>
        <w:rPr>
          <w:spacing w:val="-8"/>
        </w:rPr>
        <w:t> </w:t>
      </w:r>
      <w:r>
        <w:rPr/>
        <w:t>racism.</w:t>
      </w:r>
      <w:r>
        <w:rPr>
          <w:spacing w:val="-8"/>
        </w:rPr>
        <w:t> </w:t>
      </w:r>
      <w:r>
        <w:rPr/>
        <w:t>However,</w:t>
      </w:r>
      <w:r>
        <w:rPr>
          <w:spacing w:val="-7"/>
        </w:rPr>
        <w:t> </w:t>
      </w:r>
      <w:r>
        <w:rPr/>
        <w:t>as</w:t>
      </w:r>
      <w:r>
        <w:rPr>
          <w:spacing w:val="-7"/>
        </w:rPr>
        <w:t> </w:t>
      </w:r>
      <w:r>
        <w:rPr/>
        <w:t>a</w:t>
      </w:r>
      <w:r>
        <w:rPr>
          <w:spacing w:val="-7"/>
        </w:rPr>
        <w:t> </w:t>
      </w:r>
      <w:r>
        <w:rPr/>
        <w:t>result,</w:t>
      </w:r>
      <w:r>
        <w:rPr>
          <w:spacing w:val="-6"/>
        </w:rPr>
        <w:t> </w:t>
      </w:r>
      <w:r>
        <w:rPr/>
        <w:t>LGBTQ</w:t>
      </w:r>
      <w:r>
        <w:rPr>
          <w:spacing w:val="-8"/>
        </w:rPr>
        <w:t> </w:t>
      </w:r>
      <w:r>
        <w:rPr/>
        <w:t>are</w:t>
      </w:r>
      <w:r>
        <w:rPr>
          <w:spacing w:val="-7"/>
        </w:rPr>
        <w:t> </w:t>
      </w:r>
      <w:r>
        <w:rPr/>
        <w:t>three</w:t>
      </w:r>
      <w:r>
        <w:rPr>
          <w:spacing w:val="-7"/>
        </w:rPr>
        <w:t> </w:t>
      </w:r>
      <w:r>
        <w:rPr/>
        <w:t>times</w:t>
      </w:r>
      <w:r>
        <w:rPr>
          <w:spacing w:val="-6"/>
        </w:rPr>
        <w:t> </w:t>
      </w:r>
      <w:r>
        <w:rPr/>
        <w:t>more</w:t>
      </w:r>
      <w:r>
        <w:rPr>
          <w:spacing w:val="-8"/>
        </w:rPr>
        <w:t> </w:t>
      </w:r>
      <w:r>
        <w:rPr/>
        <w:t>likely</w:t>
      </w:r>
      <w:r>
        <w:rPr>
          <w:spacing w:val="-8"/>
        </w:rPr>
        <w:t> </w:t>
      </w:r>
      <w:r>
        <w:rPr/>
        <w:t>to</w:t>
      </w:r>
      <w:r>
        <w:rPr>
          <w:spacing w:val="-6"/>
        </w:rPr>
        <w:t> </w:t>
      </w:r>
      <w:r>
        <w:rPr/>
        <w:t>engage</w:t>
      </w:r>
      <w:r>
        <w:rPr>
          <w:spacing w:val="-8"/>
        </w:rPr>
        <w:t> </w:t>
      </w:r>
      <w:r>
        <w:rPr/>
        <w:t>in</w:t>
      </w:r>
      <w:r>
        <w:rPr>
          <w:spacing w:val="-8"/>
        </w:rPr>
        <w:t> </w:t>
      </w:r>
      <w:r>
        <w:rPr/>
        <w:t>sex</w:t>
      </w:r>
      <w:r>
        <w:rPr>
          <w:spacing w:val="-8"/>
        </w:rPr>
        <w:t> </w:t>
      </w:r>
      <w:r>
        <w:rPr/>
        <w:t>work, and may exchange sexual acts for food, housing, or other needs.</w:t>
      </w:r>
      <w:r>
        <w:rPr>
          <w:vertAlign w:val="superscript"/>
        </w:rPr>
        <w:t>31</w:t>
      </w:r>
      <w:r>
        <w:rPr>
          <w:vertAlign w:val="baseline"/>
        </w:rPr>
        <w:t> Not all sex work involves sexual intercourse, though, and LGBTQ youth may also engage in online sex work like OnlyFans or selling nude pictures</w:t>
      </w:r>
      <w:r>
        <w:rPr>
          <w:spacing w:val="-6"/>
          <w:vertAlign w:val="baseline"/>
        </w:rPr>
        <w:t> </w:t>
      </w:r>
      <w:r>
        <w:rPr>
          <w:vertAlign w:val="baseline"/>
        </w:rPr>
        <w:t>for</w:t>
      </w:r>
      <w:r>
        <w:rPr>
          <w:spacing w:val="-5"/>
          <w:vertAlign w:val="baseline"/>
        </w:rPr>
        <w:t> </w:t>
      </w:r>
      <w:r>
        <w:rPr>
          <w:vertAlign w:val="baseline"/>
        </w:rPr>
        <w:t>income;</w:t>
      </w:r>
      <w:r>
        <w:rPr>
          <w:spacing w:val="-5"/>
          <w:vertAlign w:val="baseline"/>
        </w:rPr>
        <w:t> </w:t>
      </w:r>
      <w:r>
        <w:rPr>
          <w:vertAlign w:val="baseline"/>
        </w:rPr>
        <w:t>as</w:t>
      </w:r>
      <w:r>
        <w:rPr>
          <w:spacing w:val="-5"/>
          <w:vertAlign w:val="baseline"/>
        </w:rPr>
        <w:t> </w:t>
      </w:r>
      <w:r>
        <w:rPr>
          <w:vertAlign w:val="baseline"/>
        </w:rPr>
        <w:t>such,</w:t>
      </w:r>
      <w:r>
        <w:rPr>
          <w:spacing w:val="-5"/>
          <w:vertAlign w:val="baseline"/>
        </w:rPr>
        <w:t> </w:t>
      </w:r>
      <w:r>
        <w:rPr>
          <w:vertAlign w:val="baseline"/>
        </w:rPr>
        <w:t>sexual</w:t>
      </w:r>
      <w:r>
        <w:rPr>
          <w:spacing w:val="-5"/>
          <w:vertAlign w:val="baseline"/>
        </w:rPr>
        <w:t> </w:t>
      </w:r>
      <w:r>
        <w:rPr>
          <w:vertAlign w:val="baseline"/>
        </w:rPr>
        <w:t>health</w:t>
      </w:r>
      <w:r>
        <w:rPr>
          <w:spacing w:val="-5"/>
          <w:vertAlign w:val="baseline"/>
        </w:rPr>
        <w:t> </w:t>
      </w:r>
      <w:r>
        <w:rPr>
          <w:vertAlign w:val="baseline"/>
        </w:rPr>
        <w:t>education</w:t>
      </w:r>
      <w:r>
        <w:rPr>
          <w:spacing w:val="-5"/>
          <w:vertAlign w:val="baseline"/>
        </w:rPr>
        <w:t> </w:t>
      </w:r>
      <w:r>
        <w:rPr>
          <w:vertAlign w:val="baseline"/>
        </w:rPr>
        <w:t>curriculum</w:t>
      </w:r>
      <w:r>
        <w:rPr>
          <w:spacing w:val="-4"/>
          <w:vertAlign w:val="baseline"/>
        </w:rPr>
        <w:t> </w:t>
      </w:r>
      <w:r>
        <w:rPr>
          <w:vertAlign w:val="baseline"/>
        </w:rPr>
        <w:t>should</w:t>
      </w:r>
      <w:r>
        <w:rPr>
          <w:spacing w:val="-5"/>
          <w:vertAlign w:val="baseline"/>
        </w:rPr>
        <w:t> </w:t>
      </w:r>
      <w:r>
        <w:rPr>
          <w:vertAlign w:val="baseline"/>
        </w:rPr>
        <w:t>be</w:t>
      </w:r>
      <w:r>
        <w:rPr>
          <w:spacing w:val="-5"/>
          <w:vertAlign w:val="baseline"/>
        </w:rPr>
        <w:t> </w:t>
      </w:r>
      <w:r>
        <w:rPr>
          <w:vertAlign w:val="baseline"/>
        </w:rPr>
        <w:t>sure</w:t>
      </w:r>
      <w:r>
        <w:rPr>
          <w:spacing w:val="-5"/>
          <w:vertAlign w:val="baseline"/>
        </w:rPr>
        <w:t> </w:t>
      </w:r>
      <w:r>
        <w:rPr>
          <w:vertAlign w:val="baseline"/>
        </w:rPr>
        <w:t>to</w:t>
      </w:r>
      <w:r>
        <w:rPr>
          <w:spacing w:val="-5"/>
          <w:vertAlign w:val="baseline"/>
        </w:rPr>
        <w:t> </w:t>
      </w:r>
      <w:r>
        <w:rPr>
          <w:vertAlign w:val="baseline"/>
        </w:rPr>
        <w:t>cover</w:t>
      </w:r>
      <w:r>
        <w:rPr>
          <w:spacing w:val="-5"/>
          <w:vertAlign w:val="baseline"/>
        </w:rPr>
        <w:t> </w:t>
      </w:r>
      <w:r>
        <w:rPr>
          <w:vertAlign w:val="baseline"/>
        </w:rPr>
        <w:t>potential</w:t>
      </w:r>
      <w:r>
        <w:rPr>
          <w:spacing w:val="-4"/>
          <w:vertAlign w:val="baseline"/>
        </w:rPr>
        <w:t> </w:t>
      </w:r>
      <w:r>
        <w:rPr>
          <w:vertAlign w:val="baseline"/>
        </w:rPr>
        <w:t>privacy risks and safety concerns that may occur from engaging in online relationships.</w:t>
      </w:r>
      <w:r>
        <w:rPr>
          <w:vertAlign w:val="superscript"/>
        </w:rPr>
        <w:t>32</w:t>
      </w:r>
      <w:r>
        <w:rPr>
          <w:vertAlign w:val="baseline"/>
        </w:rPr>
        <w:t> Unfortunately, LGBTQ youth engaging in sex work are more likely to avoid purchasing contraceptive devices, as possession of condoms</w:t>
      </w:r>
      <w:r>
        <w:rPr>
          <w:spacing w:val="-10"/>
          <w:vertAlign w:val="baseline"/>
        </w:rPr>
        <w:t> </w:t>
      </w:r>
      <w:r>
        <w:rPr>
          <w:vertAlign w:val="baseline"/>
        </w:rPr>
        <w:t>-</w:t>
      </w:r>
      <w:r>
        <w:rPr>
          <w:spacing w:val="-9"/>
          <w:vertAlign w:val="baseline"/>
        </w:rPr>
        <w:t> </w:t>
      </w:r>
      <w:r>
        <w:rPr>
          <w:vertAlign w:val="baseline"/>
        </w:rPr>
        <w:t>regardless</w:t>
      </w:r>
      <w:r>
        <w:rPr>
          <w:spacing w:val="-10"/>
          <w:vertAlign w:val="baseline"/>
        </w:rPr>
        <w:t> </w:t>
      </w:r>
      <w:r>
        <w:rPr>
          <w:vertAlign w:val="baseline"/>
        </w:rPr>
        <w:t>of</w:t>
      </w:r>
      <w:r>
        <w:rPr>
          <w:spacing w:val="-10"/>
          <w:vertAlign w:val="baseline"/>
        </w:rPr>
        <w:t> </w:t>
      </w:r>
      <w:r>
        <w:rPr>
          <w:vertAlign w:val="baseline"/>
        </w:rPr>
        <w:t>whether</w:t>
      </w:r>
      <w:r>
        <w:rPr>
          <w:spacing w:val="-9"/>
          <w:vertAlign w:val="baseline"/>
        </w:rPr>
        <w:t> </w:t>
      </w:r>
      <w:r>
        <w:rPr>
          <w:vertAlign w:val="baseline"/>
        </w:rPr>
        <w:t>an</w:t>
      </w:r>
      <w:r>
        <w:rPr>
          <w:spacing w:val="-9"/>
          <w:vertAlign w:val="baseline"/>
        </w:rPr>
        <w:t> </w:t>
      </w:r>
      <w:r>
        <w:rPr>
          <w:vertAlign w:val="baseline"/>
        </w:rPr>
        <w:t>individual</w:t>
      </w:r>
      <w:r>
        <w:rPr>
          <w:spacing w:val="-10"/>
          <w:vertAlign w:val="baseline"/>
        </w:rPr>
        <w:t> </w:t>
      </w:r>
      <w:r>
        <w:rPr>
          <w:vertAlign w:val="baseline"/>
        </w:rPr>
        <w:t>is</w:t>
      </w:r>
      <w:r>
        <w:rPr>
          <w:spacing w:val="-9"/>
          <w:vertAlign w:val="baseline"/>
        </w:rPr>
        <w:t> </w:t>
      </w:r>
      <w:r>
        <w:rPr>
          <w:vertAlign w:val="baseline"/>
        </w:rPr>
        <w:t>intending</w:t>
      </w:r>
      <w:r>
        <w:rPr>
          <w:spacing w:val="-9"/>
          <w:vertAlign w:val="baseline"/>
        </w:rPr>
        <w:t> </w:t>
      </w:r>
      <w:r>
        <w:rPr>
          <w:vertAlign w:val="baseline"/>
        </w:rPr>
        <w:t>to</w:t>
      </w:r>
      <w:r>
        <w:rPr>
          <w:spacing w:val="-8"/>
          <w:vertAlign w:val="baseline"/>
        </w:rPr>
        <w:t> </w:t>
      </w:r>
      <w:r>
        <w:rPr>
          <w:vertAlign w:val="baseline"/>
        </w:rPr>
        <w:t>engage</w:t>
      </w:r>
      <w:r>
        <w:rPr>
          <w:spacing w:val="-10"/>
          <w:vertAlign w:val="baseline"/>
        </w:rPr>
        <w:t> </w:t>
      </w:r>
      <w:r>
        <w:rPr>
          <w:vertAlign w:val="baseline"/>
        </w:rPr>
        <w:t>in</w:t>
      </w:r>
      <w:r>
        <w:rPr>
          <w:spacing w:val="-10"/>
          <w:vertAlign w:val="baseline"/>
        </w:rPr>
        <w:t> </w:t>
      </w:r>
      <w:r>
        <w:rPr>
          <w:vertAlign w:val="baseline"/>
        </w:rPr>
        <w:t>sex</w:t>
      </w:r>
      <w:r>
        <w:rPr>
          <w:spacing w:val="-11"/>
          <w:vertAlign w:val="baseline"/>
        </w:rPr>
        <w:t> </w:t>
      </w:r>
      <w:r>
        <w:rPr>
          <w:vertAlign w:val="baseline"/>
        </w:rPr>
        <w:t>work</w:t>
      </w:r>
      <w:r>
        <w:rPr>
          <w:spacing w:val="-10"/>
          <w:vertAlign w:val="baseline"/>
        </w:rPr>
        <w:t> </w:t>
      </w:r>
      <w:r>
        <w:rPr>
          <w:vertAlign w:val="baseline"/>
        </w:rPr>
        <w:t>at</w:t>
      </w:r>
      <w:r>
        <w:rPr>
          <w:spacing w:val="-9"/>
          <w:vertAlign w:val="baseline"/>
        </w:rPr>
        <w:t> </w:t>
      </w:r>
      <w:r>
        <w:rPr>
          <w:vertAlign w:val="baseline"/>
        </w:rPr>
        <w:t>that</w:t>
      </w:r>
      <w:r>
        <w:rPr>
          <w:spacing w:val="-9"/>
          <w:vertAlign w:val="baseline"/>
        </w:rPr>
        <w:t> </w:t>
      </w:r>
      <w:r>
        <w:rPr>
          <w:vertAlign w:val="baseline"/>
        </w:rPr>
        <w:t>time</w:t>
      </w:r>
      <w:r>
        <w:rPr>
          <w:spacing w:val="-8"/>
          <w:vertAlign w:val="baseline"/>
        </w:rPr>
        <w:t> </w:t>
      </w:r>
      <w:r>
        <w:rPr>
          <w:vertAlign w:val="baseline"/>
        </w:rPr>
        <w:t>-</w:t>
      </w:r>
      <w:r>
        <w:rPr>
          <w:spacing w:val="-10"/>
          <w:vertAlign w:val="baseline"/>
        </w:rPr>
        <w:t> </w:t>
      </w:r>
      <w:r>
        <w:rPr>
          <w:vertAlign w:val="baseline"/>
        </w:rPr>
        <w:t>can</w:t>
      </w:r>
      <w:r>
        <w:rPr>
          <w:spacing w:val="-9"/>
          <w:vertAlign w:val="baseline"/>
        </w:rPr>
        <w:t> </w:t>
      </w:r>
      <w:r>
        <w:rPr>
          <w:vertAlign w:val="baseline"/>
        </w:rPr>
        <w:t>be</w:t>
      </w:r>
      <w:r>
        <w:rPr>
          <w:spacing w:val="-9"/>
          <w:vertAlign w:val="baseline"/>
        </w:rPr>
        <w:t> </w:t>
      </w:r>
      <w:r>
        <w:rPr>
          <w:vertAlign w:val="baseline"/>
        </w:rPr>
        <w:t>used as proof of sex work, leading to disproportionate arrests of Black and brown LGBTQ youth, particularly trans women of color, undocumented, and homeless youth.</w:t>
      </w:r>
      <w:r>
        <w:rPr>
          <w:vertAlign w:val="superscript"/>
        </w:rPr>
        <w:t>33</w:t>
      </w:r>
    </w:p>
    <w:p>
      <w:pPr>
        <w:pStyle w:val="BodyText"/>
        <w:spacing w:line="276" w:lineRule="auto" w:before="239"/>
        <w:ind w:left="363" w:right="142"/>
        <w:jc w:val="both"/>
      </w:pPr>
      <w:r>
        <w:rPr/>
        <w:t>Overall, transgender and gender expansive youth may also avoid using contraceptive devices that may cause gender dysphoria, though contraception can also be used as a key facet of gender-affirming care.</w:t>
      </w:r>
      <w:r>
        <w:rPr>
          <w:vertAlign w:val="superscript"/>
        </w:rPr>
        <w:t>34</w:t>
      </w:r>
      <w:r>
        <w:rPr>
          <w:vertAlign w:val="baseline"/>
        </w:rPr>
        <w:t> Similarly,</w:t>
      </w:r>
      <w:r>
        <w:rPr>
          <w:spacing w:val="-5"/>
          <w:vertAlign w:val="baseline"/>
        </w:rPr>
        <w:t> </w:t>
      </w:r>
      <w:r>
        <w:rPr>
          <w:vertAlign w:val="baseline"/>
        </w:rPr>
        <w:t>contacting</w:t>
      </w:r>
      <w:r>
        <w:rPr>
          <w:spacing w:val="-6"/>
          <w:vertAlign w:val="baseline"/>
        </w:rPr>
        <w:t> </w:t>
      </w:r>
      <w:r>
        <w:rPr>
          <w:vertAlign w:val="baseline"/>
        </w:rPr>
        <w:t>a</w:t>
      </w:r>
      <w:r>
        <w:rPr>
          <w:spacing w:val="-5"/>
          <w:vertAlign w:val="baseline"/>
        </w:rPr>
        <w:t> </w:t>
      </w:r>
      <w:r>
        <w:rPr>
          <w:vertAlign w:val="baseline"/>
        </w:rPr>
        <w:t>medical</w:t>
      </w:r>
      <w:r>
        <w:rPr>
          <w:spacing w:val="-5"/>
          <w:vertAlign w:val="baseline"/>
        </w:rPr>
        <w:t> </w:t>
      </w:r>
      <w:r>
        <w:rPr>
          <w:vertAlign w:val="baseline"/>
        </w:rPr>
        <w:t>provider</w:t>
      </w:r>
      <w:r>
        <w:rPr>
          <w:spacing w:val="-5"/>
          <w:vertAlign w:val="baseline"/>
        </w:rPr>
        <w:t> </w:t>
      </w:r>
      <w:r>
        <w:rPr>
          <w:vertAlign w:val="baseline"/>
        </w:rPr>
        <w:t>for</w:t>
      </w:r>
      <w:r>
        <w:rPr>
          <w:spacing w:val="-5"/>
          <w:vertAlign w:val="baseline"/>
        </w:rPr>
        <w:t> </w:t>
      </w:r>
      <w:r>
        <w:rPr>
          <w:vertAlign w:val="baseline"/>
        </w:rPr>
        <w:t>an</w:t>
      </w:r>
      <w:r>
        <w:rPr>
          <w:spacing w:val="-6"/>
          <w:vertAlign w:val="baseline"/>
        </w:rPr>
        <w:t> </w:t>
      </w:r>
      <w:r>
        <w:rPr>
          <w:vertAlign w:val="baseline"/>
        </w:rPr>
        <w:t>IUD</w:t>
      </w:r>
      <w:r>
        <w:rPr>
          <w:spacing w:val="-5"/>
          <w:vertAlign w:val="baseline"/>
        </w:rPr>
        <w:t> </w:t>
      </w:r>
      <w:r>
        <w:rPr>
          <w:vertAlign w:val="baseline"/>
        </w:rPr>
        <w:t>insertion</w:t>
      </w:r>
      <w:r>
        <w:rPr>
          <w:spacing w:val="-6"/>
          <w:vertAlign w:val="baseline"/>
        </w:rPr>
        <w:t> </w:t>
      </w:r>
      <w:r>
        <w:rPr>
          <w:vertAlign w:val="baseline"/>
        </w:rPr>
        <w:t>or</w:t>
      </w:r>
      <w:r>
        <w:rPr>
          <w:spacing w:val="-5"/>
          <w:vertAlign w:val="baseline"/>
        </w:rPr>
        <w:t> </w:t>
      </w:r>
      <w:r>
        <w:rPr>
          <w:vertAlign w:val="baseline"/>
        </w:rPr>
        <w:t>a</w:t>
      </w:r>
      <w:r>
        <w:rPr>
          <w:spacing w:val="-5"/>
          <w:vertAlign w:val="baseline"/>
        </w:rPr>
        <w:t> </w:t>
      </w:r>
      <w:r>
        <w:rPr>
          <w:vertAlign w:val="baseline"/>
        </w:rPr>
        <w:t>birth</w:t>
      </w:r>
      <w:r>
        <w:rPr>
          <w:spacing w:val="-6"/>
          <w:vertAlign w:val="baseline"/>
        </w:rPr>
        <w:t> </w:t>
      </w:r>
      <w:r>
        <w:rPr>
          <w:vertAlign w:val="baseline"/>
        </w:rPr>
        <w:t>control</w:t>
      </w:r>
      <w:r>
        <w:rPr>
          <w:spacing w:val="-5"/>
          <w:vertAlign w:val="baseline"/>
        </w:rPr>
        <w:t> </w:t>
      </w:r>
      <w:r>
        <w:rPr>
          <w:vertAlign w:val="baseline"/>
        </w:rPr>
        <w:t>injection,</w:t>
      </w:r>
      <w:r>
        <w:rPr>
          <w:spacing w:val="-5"/>
          <w:vertAlign w:val="baseline"/>
        </w:rPr>
        <w:t> </w:t>
      </w:r>
      <w:r>
        <w:rPr>
          <w:vertAlign w:val="baseline"/>
        </w:rPr>
        <w:t>or</w:t>
      </w:r>
      <w:r>
        <w:rPr>
          <w:spacing w:val="-5"/>
          <w:vertAlign w:val="baseline"/>
        </w:rPr>
        <w:t> </w:t>
      </w:r>
      <w:r>
        <w:rPr>
          <w:vertAlign w:val="baseline"/>
        </w:rPr>
        <w:t>picking</w:t>
      </w:r>
      <w:r>
        <w:rPr>
          <w:spacing w:val="-6"/>
          <w:vertAlign w:val="baseline"/>
        </w:rPr>
        <w:t> </w:t>
      </w:r>
      <w:r>
        <w:rPr>
          <w:vertAlign w:val="baseline"/>
        </w:rPr>
        <w:t>up</w:t>
      </w:r>
      <w:r>
        <w:rPr>
          <w:spacing w:val="-6"/>
          <w:vertAlign w:val="baseline"/>
        </w:rPr>
        <w:t> </w:t>
      </w:r>
      <w:r>
        <w:rPr>
          <w:vertAlign w:val="baseline"/>
        </w:rPr>
        <w:t>birth control</w:t>
      </w:r>
      <w:r>
        <w:rPr>
          <w:spacing w:val="-8"/>
          <w:vertAlign w:val="baseline"/>
        </w:rPr>
        <w:t> </w:t>
      </w:r>
      <w:r>
        <w:rPr>
          <w:vertAlign w:val="baseline"/>
        </w:rPr>
        <w:t>or</w:t>
      </w:r>
      <w:r>
        <w:rPr>
          <w:spacing w:val="-8"/>
          <w:vertAlign w:val="baseline"/>
        </w:rPr>
        <w:t> </w:t>
      </w:r>
      <w:r>
        <w:rPr>
          <w:vertAlign w:val="baseline"/>
        </w:rPr>
        <w:t>Plan</w:t>
      </w:r>
      <w:r>
        <w:rPr>
          <w:spacing w:val="-8"/>
          <w:vertAlign w:val="baseline"/>
        </w:rPr>
        <w:t> </w:t>
      </w:r>
      <w:r>
        <w:rPr>
          <w:vertAlign w:val="baseline"/>
        </w:rPr>
        <w:t>B</w:t>
      </w:r>
      <w:r>
        <w:rPr>
          <w:spacing w:val="-7"/>
          <w:vertAlign w:val="baseline"/>
        </w:rPr>
        <w:t> </w:t>
      </w:r>
      <w:r>
        <w:rPr>
          <w:vertAlign w:val="baseline"/>
        </w:rPr>
        <w:t>at</w:t>
      </w:r>
      <w:r>
        <w:rPr>
          <w:spacing w:val="-7"/>
          <w:vertAlign w:val="baseline"/>
        </w:rPr>
        <w:t> </w:t>
      </w:r>
      <w:r>
        <w:rPr>
          <w:vertAlign w:val="baseline"/>
        </w:rPr>
        <w:t>a</w:t>
      </w:r>
      <w:r>
        <w:rPr>
          <w:spacing w:val="-6"/>
          <w:vertAlign w:val="baseline"/>
        </w:rPr>
        <w:t> </w:t>
      </w:r>
      <w:r>
        <w:rPr>
          <w:vertAlign w:val="baseline"/>
        </w:rPr>
        <w:t>pharmacy,</w:t>
      </w:r>
      <w:r>
        <w:rPr>
          <w:spacing w:val="-6"/>
          <w:vertAlign w:val="baseline"/>
        </w:rPr>
        <w:t> </w:t>
      </w:r>
      <w:r>
        <w:rPr>
          <w:vertAlign w:val="baseline"/>
        </w:rPr>
        <w:t>can</w:t>
      </w:r>
      <w:r>
        <w:rPr>
          <w:spacing w:val="-8"/>
          <w:vertAlign w:val="baseline"/>
        </w:rPr>
        <w:t> </w:t>
      </w:r>
      <w:r>
        <w:rPr>
          <w:vertAlign w:val="baseline"/>
        </w:rPr>
        <w:t>often</w:t>
      </w:r>
      <w:r>
        <w:rPr>
          <w:spacing w:val="-8"/>
          <w:vertAlign w:val="baseline"/>
        </w:rPr>
        <w:t> </w:t>
      </w:r>
      <w:r>
        <w:rPr>
          <w:vertAlign w:val="baseline"/>
        </w:rPr>
        <w:t>be</w:t>
      </w:r>
      <w:r>
        <w:rPr>
          <w:spacing w:val="-7"/>
          <w:vertAlign w:val="baseline"/>
        </w:rPr>
        <w:t> </w:t>
      </w:r>
      <w:r>
        <w:rPr>
          <w:vertAlign w:val="baseline"/>
        </w:rPr>
        <w:t>complicated</w:t>
      </w:r>
      <w:r>
        <w:rPr>
          <w:spacing w:val="-7"/>
          <w:vertAlign w:val="baseline"/>
        </w:rPr>
        <w:t> </w:t>
      </w:r>
      <w:r>
        <w:rPr>
          <w:vertAlign w:val="baseline"/>
        </w:rPr>
        <w:t>and</w:t>
      </w:r>
      <w:r>
        <w:rPr>
          <w:spacing w:val="-7"/>
          <w:vertAlign w:val="baseline"/>
        </w:rPr>
        <w:t> </w:t>
      </w:r>
      <w:r>
        <w:rPr>
          <w:vertAlign w:val="baseline"/>
        </w:rPr>
        <w:t>inaccessible</w:t>
      </w:r>
      <w:r>
        <w:rPr>
          <w:spacing w:val="-7"/>
          <w:vertAlign w:val="baseline"/>
        </w:rPr>
        <w:t> </w:t>
      </w:r>
      <w:r>
        <w:rPr>
          <w:vertAlign w:val="baseline"/>
        </w:rPr>
        <w:t>choices</w:t>
      </w:r>
      <w:r>
        <w:rPr>
          <w:spacing w:val="-7"/>
          <w:vertAlign w:val="baseline"/>
        </w:rPr>
        <w:t> </w:t>
      </w:r>
      <w:r>
        <w:rPr>
          <w:vertAlign w:val="baseline"/>
        </w:rPr>
        <w:t>for</w:t>
      </w:r>
      <w:r>
        <w:rPr>
          <w:spacing w:val="-8"/>
          <w:vertAlign w:val="baseline"/>
        </w:rPr>
        <w:t> </w:t>
      </w:r>
      <w:r>
        <w:rPr>
          <w:vertAlign w:val="baseline"/>
        </w:rPr>
        <w:t>individuals</w:t>
      </w:r>
      <w:r>
        <w:rPr>
          <w:spacing w:val="-7"/>
          <w:vertAlign w:val="baseline"/>
        </w:rPr>
        <w:t> </w:t>
      </w:r>
      <w:r>
        <w:rPr>
          <w:vertAlign w:val="baseline"/>
        </w:rPr>
        <w:t>who</w:t>
      </w:r>
      <w:r>
        <w:rPr>
          <w:spacing w:val="-7"/>
          <w:vertAlign w:val="baseline"/>
        </w:rPr>
        <w:t> </w:t>
      </w:r>
      <w:r>
        <w:rPr>
          <w:vertAlign w:val="baseline"/>
        </w:rPr>
        <w:t>are transgender</w:t>
      </w:r>
      <w:r>
        <w:rPr>
          <w:spacing w:val="-13"/>
          <w:vertAlign w:val="baseline"/>
        </w:rPr>
        <w:t> </w:t>
      </w:r>
      <w:r>
        <w:rPr>
          <w:vertAlign w:val="baseline"/>
        </w:rPr>
        <w:t>or</w:t>
      </w:r>
      <w:r>
        <w:rPr>
          <w:spacing w:val="-12"/>
          <w:vertAlign w:val="baseline"/>
        </w:rPr>
        <w:t> </w:t>
      </w:r>
      <w:r>
        <w:rPr>
          <w:vertAlign w:val="baseline"/>
        </w:rPr>
        <w:t>gender</w:t>
      </w:r>
      <w:r>
        <w:rPr>
          <w:spacing w:val="-13"/>
          <w:vertAlign w:val="baseline"/>
        </w:rPr>
        <w:t> </w:t>
      </w:r>
      <w:r>
        <w:rPr>
          <w:vertAlign w:val="baseline"/>
        </w:rPr>
        <w:t>expansive</w:t>
      </w:r>
      <w:r>
        <w:rPr>
          <w:spacing w:val="-12"/>
          <w:vertAlign w:val="baseline"/>
        </w:rPr>
        <w:t> </w:t>
      </w:r>
      <w:r>
        <w:rPr>
          <w:vertAlign w:val="baseline"/>
        </w:rPr>
        <w:t>due</w:t>
      </w:r>
      <w:r>
        <w:rPr>
          <w:spacing w:val="-12"/>
          <w:vertAlign w:val="baseline"/>
        </w:rPr>
        <w:t> </w:t>
      </w:r>
      <w:r>
        <w:rPr>
          <w:vertAlign w:val="baseline"/>
        </w:rPr>
        <w:t>to</w:t>
      </w:r>
      <w:r>
        <w:rPr>
          <w:spacing w:val="-11"/>
          <w:vertAlign w:val="baseline"/>
        </w:rPr>
        <w:t> </w:t>
      </w:r>
      <w:r>
        <w:rPr>
          <w:vertAlign w:val="baseline"/>
        </w:rPr>
        <w:t>fear</w:t>
      </w:r>
      <w:r>
        <w:rPr>
          <w:spacing w:val="-13"/>
          <w:vertAlign w:val="baseline"/>
        </w:rPr>
        <w:t> </w:t>
      </w:r>
      <w:r>
        <w:rPr>
          <w:vertAlign w:val="baseline"/>
        </w:rPr>
        <w:t>of</w:t>
      </w:r>
      <w:r>
        <w:rPr>
          <w:spacing w:val="-12"/>
          <w:vertAlign w:val="baseline"/>
        </w:rPr>
        <w:t> </w:t>
      </w:r>
      <w:r>
        <w:rPr>
          <w:vertAlign w:val="baseline"/>
        </w:rPr>
        <w:t>stigmatization</w:t>
      </w:r>
      <w:r>
        <w:rPr>
          <w:spacing w:val="-13"/>
          <w:vertAlign w:val="baseline"/>
        </w:rPr>
        <w:t> </w:t>
      </w:r>
      <w:r>
        <w:rPr>
          <w:vertAlign w:val="baseline"/>
        </w:rPr>
        <w:t>or</w:t>
      </w:r>
      <w:r>
        <w:rPr>
          <w:spacing w:val="-12"/>
          <w:vertAlign w:val="baseline"/>
        </w:rPr>
        <w:t> </w:t>
      </w:r>
      <w:r>
        <w:rPr>
          <w:vertAlign w:val="baseline"/>
        </w:rPr>
        <w:t>medical</w:t>
      </w:r>
      <w:r>
        <w:rPr>
          <w:spacing w:val="-13"/>
          <w:vertAlign w:val="baseline"/>
        </w:rPr>
        <w:t> </w:t>
      </w:r>
      <w:r>
        <w:rPr>
          <w:vertAlign w:val="baseline"/>
        </w:rPr>
        <w:t>discrimination.</w:t>
      </w:r>
      <w:r>
        <w:rPr>
          <w:vertAlign w:val="superscript"/>
        </w:rPr>
        <w:t>35</w:t>
      </w:r>
      <w:r>
        <w:rPr>
          <w:spacing w:val="-12"/>
          <w:vertAlign w:val="baseline"/>
        </w:rPr>
        <w:t> </w:t>
      </w:r>
      <w:r>
        <w:rPr>
          <w:vertAlign w:val="baseline"/>
        </w:rPr>
        <w:t>In</w:t>
      </w:r>
      <w:r>
        <w:rPr>
          <w:spacing w:val="-13"/>
          <w:vertAlign w:val="baseline"/>
        </w:rPr>
        <w:t> </w:t>
      </w:r>
      <w:r>
        <w:rPr>
          <w:vertAlign w:val="baseline"/>
        </w:rPr>
        <w:t>a</w:t>
      </w:r>
      <w:r>
        <w:rPr>
          <w:spacing w:val="-10"/>
          <w:vertAlign w:val="baseline"/>
        </w:rPr>
        <w:t> </w:t>
      </w:r>
      <w:r>
        <w:rPr>
          <w:vertAlign w:val="baseline"/>
        </w:rPr>
        <w:t>2015</w:t>
      </w:r>
      <w:r>
        <w:rPr>
          <w:spacing w:val="-13"/>
          <w:vertAlign w:val="baseline"/>
        </w:rPr>
        <w:t> </w:t>
      </w:r>
      <w:r>
        <w:rPr>
          <w:vertAlign w:val="baseline"/>
        </w:rPr>
        <w:t>survey of</w:t>
      </w:r>
      <w:r>
        <w:rPr>
          <w:spacing w:val="-11"/>
          <w:vertAlign w:val="baseline"/>
        </w:rPr>
        <w:t> </w:t>
      </w:r>
      <w:r>
        <w:rPr>
          <w:vertAlign w:val="baseline"/>
        </w:rPr>
        <w:t>Massachusetts,</w:t>
      </w:r>
      <w:r>
        <w:rPr>
          <w:spacing w:val="-11"/>
          <w:vertAlign w:val="baseline"/>
        </w:rPr>
        <w:t> </w:t>
      </w:r>
      <w:r>
        <w:rPr>
          <w:vertAlign w:val="baseline"/>
        </w:rPr>
        <w:t>28%</w:t>
      </w:r>
      <w:r>
        <w:rPr>
          <w:spacing w:val="-11"/>
          <w:vertAlign w:val="baseline"/>
        </w:rPr>
        <w:t> </w:t>
      </w:r>
      <w:r>
        <w:rPr>
          <w:vertAlign w:val="baseline"/>
        </w:rPr>
        <w:t>of</w:t>
      </w:r>
      <w:r>
        <w:rPr>
          <w:spacing w:val="-11"/>
          <w:vertAlign w:val="baseline"/>
        </w:rPr>
        <w:t> </w:t>
      </w:r>
      <w:r>
        <w:rPr>
          <w:vertAlign w:val="baseline"/>
        </w:rPr>
        <w:t>transgender</w:t>
      </w:r>
      <w:r>
        <w:rPr>
          <w:spacing w:val="-10"/>
          <w:vertAlign w:val="baseline"/>
        </w:rPr>
        <w:t> </w:t>
      </w:r>
      <w:r>
        <w:rPr>
          <w:vertAlign w:val="baseline"/>
        </w:rPr>
        <w:t>people</w:t>
      </w:r>
      <w:r>
        <w:rPr>
          <w:spacing w:val="-11"/>
          <w:vertAlign w:val="baseline"/>
        </w:rPr>
        <w:t> </w:t>
      </w:r>
      <w:r>
        <w:rPr>
          <w:vertAlign w:val="baseline"/>
        </w:rPr>
        <w:t>experienced</w:t>
      </w:r>
      <w:r>
        <w:rPr>
          <w:spacing w:val="-10"/>
          <w:vertAlign w:val="baseline"/>
        </w:rPr>
        <w:t> </w:t>
      </w:r>
      <w:r>
        <w:rPr>
          <w:vertAlign w:val="baseline"/>
        </w:rPr>
        <w:t>a</w:t>
      </w:r>
      <w:r>
        <w:rPr>
          <w:spacing w:val="-11"/>
          <w:vertAlign w:val="baseline"/>
        </w:rPr>
        <w:t> </w:t>
      </w:r>
      <w:r>
        <w:rPr>
          <w:vertAlign w:val="baseline"/>
        </w:rPr>
        <w:t>problem</w:t>
      </w:r>
      <w:r>
        <w:rPr>
          <w:spacing w:val="-11"/>
          <w:vertAlign w:val="baseline"/>
        </w:rPr>
        <w:t> </w:t>
      </w:r>
      <w:r>
        <w:rPr>
          <w:vertAlign w:val="baseline"/>
        </w:rPr>
        <w:t>in</w:t>
      </w:r>
      <w:r>
        <w:rPr>
          <w:spacing w:val="-10"/>
          <w:vertAlign w:val="baseline"/>
        </w:rPr>
        <w:t> </w:t>
      </w:r>
      <w:r>
        <w:rPr>
          <w:vertAlign w:val="baseline"/>
        </w:rPr>
        <w:t>the</w:t>
      </w:r>
      <w:r>
        <w:rPr>
          <w:spacing w:val="-10"/>
          <w:vertAlign w:val="baseline"/>
        </w:rPr>
        <w:t> </w:t>
      </w:r>
      <w:r>
        <w:rPr>
          <w:vertAlign w:val="baseline"/>
        </w:rPr>
        <w:t>past</w:t>
      </w:r>
      <w:r>
        <w:rPr>
          <w:spacing w:val="-10"/>
          <w:vertAlign w:val="baseline"/>
        </w:rPr>
        <w:t> </w:t>
      </w:r>
      <w:r>
        <w:rPr>
          <w:vertAlign w:val="baseline"/>
        </w:rPr>
        <w:t>year</w:t>
      </w:r>
      <w:r>
        <w:rPr>
          <w:spacing w:val="-11"/>
          <w:vertAlign w:val="baseline"/>
        </w:rPr>
        <w:t> </w:t>
      </w:r>
      <w:r>
        <w:rPr>
          <w:vertAlign w:val="baseline"/>
        </w:rPr>
        <w:t>with</w:t>
      </w:r>
      <w:r>
        <w:rPr>
          <w:spacing w:val="-10"/>
          <w:vertAlign w:val="baseline"/>
        </w:rPr>
        <w:t> </w:t>
      </w:r>
      <w:r>
        <w:rPr>
          <w:vertAlign w:val="baseline"/>
        </w:rPr>
        <w:t>their</w:t>
      </w:r>
      <w:r>
        <w:rPr>
          <w:spacing w:val="-11"/>
          <w:vertAlign w:val="baseline"/>
        </w:rPr>
        <w:t> </w:t>
      </w:r>
      <w:r>
        <w:rPr>
          <w:vertAlign w:val="baseline"/>
        </w:rPr>
        <w:t>insurance, such</w:t>
      </w:r>
      <w:r>
        <w:rPr>
          <w:spacing w:val="-10"/>
          <w:vertAlign w:val="baseline"/>
        </w:rPr>
        <w:t> </w:t>
      </w:r>
      <w:r>
        <w:rPr>
          <w:vertAlign w:val="baseline"/>
        </w:rPr>
        <w:t>as</w:t>
      </w:r>
      <w:r>
        <w:rPr>
          <w:spacing w:val="-11"/>
          <w:vertAlign w:val="baseline"/>
        </w:rPr>
        <w:t> </w:t>
      </w:r>
      <w:r>
        <w:rPr>
          <w:vertAlign w:val="baseline"/>
        </w:rPr>
        <w:t>being</w:t>
      </w:r>
      <w:r>
        <w:rPr>
          <w:spacing w:val="-9"/>
          <w:vertAlign w:val="baseline"/>
        </w:rPr>
        <w:t> </w:t>
      </w:r>
      <w:r>
        <w:rPr>
          <w:vertAlign w:val="baseline"/>
        </w:rPr>
        <w:t>denied</w:t>
      </w:r>
      <w:r>
        <w:rPr>
          <w:spacing w:val="-9"/>
          <w:vertAlign w:val="baseline"/>
        </w:rPr>
        <w:t> </w:t>
      </w:r>
      <w:r>
        <w:rPr>
          <w:vertAlign w:val="baseline"/>
        </w:rPr>
        <w:t>coverage</w:t>
      </w:r>
      <w:r>
        <w:rPr>
          <w:spacing w:val="-11"/>
          <w:vertAlign w:val="baseline"/>
        </w:rPr>
        <w:t> </w:t>
      </w:r>
      <w:r>
        <w:rPr>
          <w:vertAlign w:val="baseline"/>
        </w:rPr>
        <w:t>for</w:t>
      </w:r>
      <w:r>
        <w:rPr>
          <w:spacing w:val="-11"/>
          <w:vertAlign w:val="baseline"/>
        </w:rPr>
        <w:t> </w:t>
      </w:r>
      <w:r>
        <w:rPr>
          <w:vertAlign w:val="baseline"/>
        </w:rPr>
        <w:t>routine</w:t>
      </w:r>
      <w:r>
        <w:rPr>
          <w:spacing w:val="-11"/>
          <w:vertAlign w:val="baseline"/>
        </w:rPr>
        <w:t> </w:t>
      </w:r>
      <w:r>
        <w:rPr>
          <w:vertAlign w:val="baseline"/>
        </w:rPr>
        <w:t>care</w:t>
      </w:r>
      <w:r>
        <w:rPr>
          <w:spacing w:val="-9"/>
          <w:vertAlign w:val="baseline"/>
        </w:rPr>
        <w:t> </w:t>
      </w:r>
      <w:r>
        <w:rPr>
          <w:vertAlign w:val="baseline"/>
        </w:rPr>
        <w:t>because</w:t>
      </w:r>
      <w:r>
        <w:rPr>
          <w:spacing w:val="-11"/>
          <w:vertAlign w:val="baseline"/>
        </w:rPr>
        <w:t> </w:t>
      </w:r>
      <w:r>
        <w:rPr>
          <w:vertAlign w:val="baseline"/>
        </w:rPr>
        <w:t>they</w:t>
      </w:r>
      <w:r>
        <w:rPr>
          <w:spacing w:val="-10"/>
          <w:vertAlign w:val="baseline"/>
        </w:rPr>
        <w:t> </w:t>
      </w:r>
      <w:r>
        <w:rPr>
          <w:vertAlign w:val="baseline"/>
        </w:rPr>
        <w:t>were</w:t>
      </w:r>
      <w:r>
        <w:rPr>
          <w:spacing w:val="-10"/>
          <w:vertAlign w:val="baseline"/>
        </w:rPr>
        <w:t> </w:t>
      </w:r>
      <w:r>
        <w:rPr>
          <w:vertAlign w:val="baseline"/>
        </w:rPr>
        <w:t>transgender.</w:t>
      </w:r>
      <w:r>
        <w:rPr>
          <w:vertAlign w:val="superscript"/>
        </w:rPr>
        <w:t>36</w:t>
      </w:r>
      <w:r>
        <w:rPr>
          <w:spacing w:val="-11"/>
          <w:vertAlign w:val="baseline"/>
        </w:rPr>
        <w:t> </w:t>
      </w:r>
      <w:r>
        <w:rPr>
          <w:vertAlign w:val="baseline"/>
        </w:rPr>
        <w:t>Lack</w:t>
      </w:r>
      <w:r>
        <w:rPr>
          <w:spacing w:val="-12"/>
          <w:vertAlign w:val="baseline"/>
        </w:rPr>
        <w:t> </w:t>
      </w:r>
      <w:r>
        <w:rPr>
          <w:vertAlign w:val="baseline"/>
        </w:rPr>
        <w:t>of</w:t>
      </w:r>
      <w:r>
        <w:rPr>
          <w:spacing w:val="-10"/>
          <w:vertAlign w:val="baseline"/>
        </w:rPr>
        <w:t> </w:t>
      </w:r>
      <w:r>
        <w:rPr>
          <w:vertAlign w:val="baseline"/>
        </w:rPr>
        <w:t>ID</w:t>
      </w:r>
      <w:r>
        <w:rPr>
          <w:spacing w:val="-10"/>
          <w:vertAlign w:val="baseline"/>
        </w:rPr>
        <w:t> </w:t>
      </w:r>
      <w:r>
        <w:rPr>
          <w:vertAlign w:val="baseline"/>
        </w:rPr>
        <w:t>due</w:t>
      </w:r>
      <w:r>
        <w:rPr>
          <w:spacing w:val="-12"/>
          <w:vertAlign w:val="baseline"/>
        </w:rPr>
        <w:t> </w:t>
      </w:r>
      <w:r>
        <w:rPr>
          <w:vertAlign w:val="baseline"/>
        </w:rPr>
        <w:t>to</w:t>
      </w:r>
      <w:r>
        <w:rPr>
          <w:spacing w:val="-10"/>
          <w:vertAlign w:val="baseline"/>
        </w:rPr>
        <w:t> </w:t>
      </w:r>
      <w:r>
        <w:rPr>
          <w:vertAlign w:val="baseline"/>
        </w:rPr>
        <w:t>the</w:t>
      </w:r>
      <w:r>
        <w:rPr>
          <w:spacing w:val="-10"/>
          <w:vertAlign w:val="baseline"/>
        </w:rPr>
        <w:t> </w:t>
      </w:r>
      <w:r>
        <w:rPr>
          <w:vertAlign w:val="baseline"/>
        </w:rPr>
        <w:t>cost of</w:t>
      </w:r>
      <w:r>
        <w:rPr>
          <w:spacing w:val="-6"/>
          <w:vertAlign w:val="baseline"/>
        </w:rPr>
        <w:t> </w:t>
      </w:r>
      <w:r>
        <w:rPr>
          <w:vertAlign w:val="baseline"/>
        </w:rPr>
        <w:t>updating</w:t>
      </w:r>
      <w:r>
        <w:rPr>
          <w:spacing w:val="-5"/>
          <w:vertAlign w:val="baseline"/>
        </w:rPr>
        <w:t> </w:t>
      </w:r>
      <w:r>
        <w:rPr>
          <w:vertAlign w:val="baseline"/>
        </w:rPr>
        <w:t>identification</w:t>
      </w:r>
      <w:r>
        <w:rPr>
          <w:spacing w:val="-4"/>
          <w:vertAlign w:val="baseline"/>
        </w:rPr>
        <w:t> </w:t>
      </w:r>
      <w:r>
        <w:rPr>
          <w:vertAlign w:val="baseline"/>
        </w:rPr>
        <w:t>documents,</w:t>
      </w:r>
      <w:r>
        <w:rPr>
          <w:spacing w:val="-6"/>
          <w:vertAlign w:val="baseline"/>
        </w:rPr>
        <w:t> </w:t>
      </w:r>
      <w:r>
        <w:rPr>
          <w:vertAlign w:val="baseline"/>
        </w:rPr>
        <w:t>immigration</w:t>
      </w:r>
      <w:r>
        <w:rPr>
          <w:spacing w:val="-5"/>
          <w:vertAlign w:val="baseline"/>
        </w:rPr>
        <w:t> </w:t>
      </w:r>
      <w:r>
        <w:rPr>
          <w:vertAlign w:val="baseline"/>
        </w:rPr>
        <w:t>status,</w:t>
      </w:r>
      <w:r>
        <w:rPr>
          <w:spacing w:val="-6"/>
          <w:vertAlign w:val="baseline"/>
        </w:rPr>
        <w:t> </w:t>
      </w:r>
      <w:r>
        <w:rPr>
          <w:vertAlign w:val="baseline"/>
        </w:rPr>
        <w:t>and</w:t>
      </w:r>
      <w:r>
        <w:rPr>
          <w:spacing w:val="-5"/>
          <w:vertAlign w:val="baseline"/>
        </w:rPr>
        <w:t> </w:t>
      </w:r>
      <w:r>
        <w:rPr>
          <w:vertAlign w:val="baseline"/>
        </w:rPr>
        <w:t>lack</w:t>
      </w:r>
      <w:r>
        <w:rPr>
          <w:spacing w:val="-7"/>
          <w:vertAlign w:val="baseline"/>
        </w:rPr>
        <w:t> </w:t>
      </w:r>
      <w:r>
        <w:rPr>
          <w:vertAlign w:val="baseline"/>
        </w:rPr>
        <w:t>of</w:t>
      </w:r>
      <w:r>
        <w:rPr>
          <w:spacing w:val="-6"/>
          <w:vertAlign w:val="baseline"/>
        </w:rPr>
        <w:t> </w:t>
      </w:r>
      <w:r>
        <w:rPr>
          <w:vertAlign w:val="baseline"/>
        </w:rPr>
        <w:t>address</w:t>
      </w:r>
      <w:r>
        <w:rPr>
          <w:spacing w:val="-6"/>
          <w:vertAlign w:val="baseline"/>
        </w:rPr>
        <w:t> </w:t>
      </w:r>
      <w:r>
        <w:rPr>
          <w:vertAlign w:val="baseline"/>
        </w:rPr>
        <w:t>due</w:t>
      </w:r>
      <w:r>
        <w:rPr>
          <w:spacing w:val="-5"/>
          <w:vertAlign w:val="baseline"/>
        </w:rPr>
        <w:t> </w:t>
      </w:r>
      <w:r>
        <w:rPr>
          <w:vertAlign w:val="baseline"/>
        </w:rPr>
        <w:t>to</w:t>
      </w:r>
      <w:r>
        <w:rPr>
          <w:spacing w:val="-6"/>
          <w:vertAlign w:val="baseline"/>
        </w:rPr>
        <w:t> </w:t>
      </w:r>
      <w:r>
        <w:rPr>
          <w:vertAlign w:val="baseline"/>
        </w:rPr>
        <w:t>homelessness</w:t>
      </w:r>
      <w:r>
        <w:rPr>
          <w:spacing w:val="-6"/>
          <w:vertAlign w:val="baseline"/>
        </w:rPr>
        <w:t> </w:t>
      </w:r>
      <w:r>
        <w:rPr>
          <w:vertAlign w:val="baseline"/>
        </w:rPr>
        <w:t>are</w:t>
      </w:r>
      <w:r>
        <w:rPr>
          <w:spacing w:val="-7"/>
          <w:vertAlign w:val="baseline"/>
        </w:rPr>
        <w:t> </w:t>
      </w:r>
      <w:r>
        <w:rPr>
          <w:vertAlign w:val="baseline"/>
        </w:rPr>
        <w:t>all possible reasons LGBTQ youth may not have health resources.</w:t>
      </w:r>
    </w:p>
    <w:p>
      <w:pPr>
        <w:pStyle w:val="BodyText"/>
        <w:spacing w:line="276" w:lineRule="auto" w:before="241"/>
        <w:ind w:left="363" w:right="140"/>
        <w:jc w:val="both"/>
      </w:pPr>
      <w:r>
        <w:rPr/>
        <w:t>Without health</w:t>
      </w:r>
      <w:r>
        <w:rPr>
          <w:spacing w:val="-1"/>
        </w:rPr>
        <w:t> </w:t>
      </w:r>
      <w:r>
        <w:rPr/>
        <w:t>insurance, the cost</w:t>
      </w:r>
      <w:r>
        <w:rPr>
          <w:spacing w:val="-1"/>
        </w:rPr>
        <w:t> </w:t>
      </w:r>
      <w:r>
        <w:rPr/>
        <w:t>of an IUD, birth control</w:t>
      </w:r>
      <w:r>
        <w:rPr>
          <w:spacing w:val="-1"/>
        </w:rPr>
        <w:t> </w:t>
      </w:r>
      <w:r>
        <w:rPr/>
        <w:t>pills, Plan</w:t>
      </w:r>
      <w:r>
        <w:rPr>
          <w:spacing w:val="-1"/>
        </w:rPr>
        <w:t> </w:t>
      </w:r>
      <w:r>
        <w:rPr/>
        <w:t>B, or a birth</w:t>
      </w:r>
      <w:r>
        <w:rPr>
          <w:spacing w:val="-1"/>
        </w:rPr>
        <w:t> </w:t>
      </w:r>
      <w:r>
        <w:rPr/>
        <w:t>control</w:t>
      </w:r>
      <w:r>
        <w:rPr>
          <w:spacing w:val="-1"/>
        </w:rPr>
        <w:t> </w:t>
      </w:r>
      <w:r>
        <w:rPr/>
        <w:t>injection can be expensive,</w:t>
      </w:r>
      <w:r>
        <w:rPr>
          <w:spacing w:val="-10"/>
        </w:rPr>
        <w:t> </w:t>
      </w:r>
      <w:r>
        <w:rPr/>
        <w:t>and</w:t>
      </w:r>
      <w:r>
        <w:rPr>
          <w:spacing w:val="-10"/>
        </w:rPr>
        <w:t> </w:t>
      </w:r>
      <w:r>
        <w:rPr/>
        <w:t>y</w:t>
      </w:r>
      <w:r>
        <w:rPr>
          <w:spacing w:val="-10"/>
        </w:rPr>
        <w:t> </w:t>
      </w:r>
      <w:r>
        <w:rPr/>
        <w:t>outh</w:t>
      </w:r>
      <w:r>
        <w:rPr>
          <w:spacing w:val="-9"/>
        </w:rPr>
        <w:t> </w:t>
      </w:r>
      <w:r>
        <w:rPr/>
        <w:t>may</w:t>
      </w:r>
      <w:r>
        <w:rPr>
          <w:spacing w:val="-9"/>
        </w:rPr>
        <w:t> </w:t>
      </w:r>
      <w:r>
        <w:rPr/>
        <w:t>not</w:t>
      </w:r>
      <w:r>
        <w:rPr>
          <w:spacing w:val="-11"/>
        </w:rPr>
        <w:t> </w:t>
      </w:r>
      <w:r>
        <w:rPr/>
        <w:t>know</w:t>
      </w:r>
      <w:r>
        <w:rPr>
          <w:spacing w:val="-10"/>
        </w:rPr>
        <w:t> </w:t>
      </w:r>
      <w:r>
        <w:rPr/>
        <w:t>where</w:t>
      </w:r>
      <w:r>
        <w:rPr>
          <w:spacing w:val="-10"/>
        </w:rPr>
        <w:t> </w:t>
      </w:r>
      <w:r>
        <w:rPr/>
        <w:t>else</w:t>
      </w:r>
      <w:r>
        <w:rPr>
          <w:spacing w:val="-10"/>
        </w:rPr>
        <w:t> </w:t>
      </w:r>
      <w:r>
        <w:rPr/>
        <w:t>they</w:t>
      </w:r>
      <w:r>
        <w:rPr>
          <w:spacing w:val="-9"/>
        </w:rPr>
        <w:t> </w:t>
      </w:r>
      <w:r>
        <w:rPr/>
        <w:t>can</w:t>
      </w:r>
      <w:r>
        <w:rPr>
          <w:spacing w:val="-10"/>
        </w:rPr>
        <w:t> </w:t>
      </w:r>
      <w:r>
        <w:rPr/>
        <w:t>go</w:t>
      </w:r>
      <w:r>
        <w:rPr>
          <w:spacing w:val="-10"/>
        </w:rPr>
        <w:t> </w:t>
      </w:r>
      <w:r>
        <w:rPr/>
        <w:t>for</w:t>
      </w:r>
      <w:r>
        <w:rPr>
          <w:spacing w:val="-10"/>
        </w:rPr>
        <w:t> </w:t>
      </w:r>
      <w:r>
        <w:rPr/>
        <w:t>access,</w:t>
      </w:r>
      <w:r>
        <w:rPr>
          <w:spacing w:val="-10"/>
        </w:rPr>
        <w:t> </w:t>
      </w:r>
      <w:r>
        <w:rPr/>
        <w:t>particularly</w:t>
      </w:r>
      <w:r>
        <w:rPr>
          <w:spacing w:val="-10"/>
        </w:rPr>
        <w:t> </w:t>
      </w:r>
      <w:r>
        <w:rPr/>
        <w:t>outside</w:t>
      </w:r>
      <w:r>
        <w:rPr>
          <w:spacing w:val="-10"/>
        </w:rPr>
        <w:t> </w:t>
      </w:r>
      <w:r>
        <w:rPr/>
        <w:t>of</w:t>
      </w:r>
      <w:r>
        <w:rPr>
          <w:spacing w:val="-9"/>
        </w:rPr>
        <w:t> </w:t>
      </w:r>
      <w:r>
        <w:rPr/>
        <w:t>urban</w:t>
      </w:r>
      <w:r>
        <w:rPr>
          <w:spacing w:val="-10"/>
        </w:rPr>
        <w:t> </w:t>
      </w:r>
      <w:r>
        <w:rPr/>
        <w:t>areas. Furthermore, in the same survey, 31% of transgender people who saw a health care provider reported having at least one negative experience (verbal abuse, refusal to be treated, physical assault, sexual assault,</w:t>
      </w:r>
      <w:r>
        <w:rPr>
          <w:spacing w:val="-10"/>
        </w:rPr>
        <w:t> </w:t>
      </w:r>
      <w:r>
        <w:rPr/>
        <w:t>needing</w:t>
      </w:r>
      <w:r>
        <w:rPr>
          <w:spacing w:val="-10"/>
        </w:rPr>
        <w:t> </w:t>
      </w:r>
      <w:r>
        <w:rPr/>
        <w:t>to</w:t>
      </w:r>
      <w:r>
        <w:rPr>
          <w:spacing w:val="-8"/>
        </w:rPr>
        <w:t> </w:t>
      </w:r>
      <w:r>
        <w:rPr/>
        <w:t>teach</w:t>
      </w:r>
      <w:r>
        <w:rPr>
          <w:spacing w:val="-9"/>
        </w:rPr>
        <w:t> </w:t>
      </w:r>
      <w:r>
        <w:rPr/>
        <w:t>the</w:t>
      </w:r>
      <w:r>
        <w:rPr>
          <w:spacing w:val="-10"/>
        </w:rPr>
        <w:t> </w:t>
      </w:r>
      <w:r>
        <w:rPr/>
        <w:t>provider</w:t>
      </w:r>
      <w:r>
        <w:rPr>
          <w:spacing w:val="-10"/>
        </w:rPr>
        <w:t> </w:t>
      </w:r>
      <w:r>
        <w:rPr/>
        <w:t>about</w:t>
      </w:r>
      <w:r>
        <w:rPr>
          <w:spacing w:val="-11"/>
        </w:rPr>
        <w:t> </w:t>
      </w:r>
      <w:r>
        <w:rPr/>
        <w:t>transgender</w:t>
      </w:r>
      <w:r>
        <w:rPr>
          <w:spacing w:val="-10"/>
        </w:rPr>
        <w:t> </w:t>
      </w:r>
      <w:r>
        <w:rPr/>
        <w:t>in</w:t>
      </w:r>
      <w:r>
        <w:rPr>
          <w:spacing w:val="-9"/>
        </w:rPr>
        <w:t> </w:t>
      </w:r>
      <w:r>
        <w:rPr/>
        <w:t>order</w:t>
      </w:r>
      <w:r>
        <w:rPr>
          <w:spacing w:val="-9"/>
        </w:rPr>
        <w:t> </w:t>
      </w:r>
      <w:r>
        <w:rPr/>
        <w:t>to</w:t>
      </w:r>
      <w:r>
        <w:rPr>
          <w:spacing w:val="-10"/>
        </w:rPr>
        <w:t> </w:t>
      </w:r>
      <w:r>
        <w:rPr/>
        <w:t>get</w:t>
      </w:r>
      <w:r>
        <w:rPr>
          <w:spacing w:val="-9"/>
        </w:rPr>
        <w:t> </w:t>
      </w:r>
      <w:r>
        <w:rPr/>
        <w:t>appropriate</w:t>
      </w:r>
      <w:r>
        <w:rPr>
          <w:spacing w:val="-9"/>
        </w:rPr>
        <w:t> </w:t>
      </w:r>
      <w:r>
        <w:rPr/>
        <w:t>care)</w:t>
      </w:r>
      <w:r>
        <w:rPr>
          <w:spacing w:val="-10"/>
        </w:rPr>
        <w:t> </w:t>
      </w:r>
      <w:r>
        <w:rPr/>
        <w:t>related</w:t>
      </w:r>
      <w:r>
        <w:rPr>
          <w:spacing w:val="-9"/>
        </w:rPr>
        <w:t> </w:t>
      </w:r>
      <w:r>
        <w:rPr/>
        <w:t>to</w:t>
      </w:r>
      <w:r>
        <w:rPr>
          <w:spacing w:val="-10"/>
        </w:rPr>
        <w:t> </w:t>
      </w:r>
      <w:r>
        <w:rPr/>
        <w:t>being transgender.</w:t>
      </w:r>
      <w:r>
        <w:rPr>
          <w:vertAlign w:val="superscript"/>
        </w:rPr>
        <w:t>37</w:t>
      </w:r>
      <w:r>
        <w:rPr>
          <w:spacing w:val="-2"/>
          <w:vertAlign w:val="baseline"/>
        </w:rPr>
        <w:t> </w:t>
      </w:r>
      <w:r>
        <w:rPr>
          <w:vertAlign w:val="baseline"/>
        </w:rPr>
        <w:t>While the</w:t>
      </w:r>
      <w:r>
        <w:rPr>
          <w:spacing w:val="-2"/>
          <w:vertAlign w:val="baseline"/>
        </w:rPr>
        <w:t> </w:t>
      </w:r>
      <w:r>
        <w:rPr>
          <w:vertAlign w:val="baseline"/>
        </w:rPr>
        <w:t>Commission</w:t>
      </w:r>
      <w:r>
        <w:rPr>
          <w:spacing w:val="-2"/>
          <w:vertAlign w:val="baseline"/>
        </w:rPr>
        <w:t> </w:t>
      </w:r>
      <w:r>
        <w:rPr>
          <w:vertAlign w:val="baseline"/>
        </w:rPr>
        <w:t>continues to</w:t>
      </w:r>
      <w:r>
        <w:rPr>
          <w:spacing w:val="-1"/>
          <w:vertAlign w:val="baseline"/>
        </w:rPr>
        <w:t> </w:t>
      </w:r>
      <w:r>
        <w:rPr>
          <w:vertAlign w:val="baseline"/>
        </w:rPr>
        <w:t>observe</w:t>
      </w:r>
      <w:r>
        <w:rPr>
          <w:spacing w:val="-2"/>
          <w:vertAlign w:val="baseline"/>
        </w:rPr>
        <w:t> </w:t>
      </w:r>
      <w:r>
        <w:rPr>
          <w:vertAlign w:val="baseline"/>
        </w:rPr>
        <w:t>the</w:t>
      </w:r>
      <w:r>
        <w:rPr>
          <w:spacing w:val="-2"/>
          <w:vertAlign w:val="baseline"/>
        </w:rPr>
        <w:t> </w:t>
      </w:r>
      <w:r>
        <w:rPr>
          <w:vertAlign w:val="baseline"/>
        </w:rPr>
        <w:t>effects</w:t>
      </w:r>
      <w:r>
        <w:rPr>
          <w:spacing w:val="-1"/>
          <w:vertAlign w:val="baseline"/>
        </w:rPr>
        <w:t> </w:t>
      </w:r>
      <w:r>
        <w:rPr>
          <w:vertAlign w:val="baseline"/>
        </w:rPr>
        <w:t>of healthcare provider</w:t>
      </w:r>
      <w:r>
        <w:rPr>
          <w:spacing w:val="-1"/>
          <w:vertAlign w:val="baseline"/>
        </w:rPr>
        <w:t> </w:t>
      </w:r>
      <w:r>
        <w:rPr>
          <w:vertAlign w:val="baseline"/>
        </w:rPr>
        <w:t>support</w:t>
      </w:r>
      <w:r>
        <w:rPr>
          <w:spacing w:val="-1"/>
          <w:vertAlign w:val="baseline"/>
        </w:rPr>
        <w:t> </w:t>
      </w:r>
      <w:r>
        <w:rPr>
          <w:vertAlign w:val="baseline"/>
        </w:rPr>
        <w:t>for transgender</w:t>
      </w:r>
      <w:r>
        <w:rPr>
          <w:spacing w:val="-7"/>
          <w:vertAlign w:val="baseline"/>
        </w:rPr>
        <w:t> </w:t>
      </w:r>
      <w:r>
        <w:rPr>
          <w:vertAlign w:val="baseline"/>
        </w:rPr>
        <w:t>youth,</w:t>
      </w:r>
      <w:r>
        <w:rPr>
          <w:spacing w:val="-7"/>
          <w:vertAlign w:val="baseline"/>
        </w:rPr>
        <w:t> </w:t>
      </w:r>
      <w:r>
        <w:rPr>
          <w:vertAlign w:val="baseline"/>
        </w:rPr>
        <w:t>the</w:t>
      </w:r>
      <w:r>
        <w:rPr>
          <w:spacing w:val="-8"/>
          <w:vertAlign w:val="baseline"/>
        </w:rPr>
        <w:t> </w:t>
      </w:r>
      <w:r>
        <w:rPr>
          <w:vertAlign w:val="baseline"/>
        </w:rPr>
        <w:t>Commission</w:t>
      </w:r>
      <w:r>
        <w:rPr>
          <w:spacing w:val="-8"/>
          <w:vertAlign w:val="baseline"/>
        </w:rPr>
        <w:t> </w:t>
      </w:r>
      <w:r>
        <w:rPr>
          <w:vertAlign w:val="baseline"/>
        </w:rPr>
        <w:t>continues</w:t>
      </w:r>
      <w:r>
        <w:rPr>
          <w:spacing w:val="-7"/>
          <w:vertAlign w:val="baseline"/>
        </w:rPr>
        <w:t> </w:t>
      </w:r>
      <w:r>
        <w:rPr>
          <w:vertAlign w:val="baseline"/>
        </w:rPr>
        <w:t>to</w:t>
      </w:r>
      <w:r>
        <w:rPr>
          <w:spacing w:val="-7"/>
          <w:vertAlign w:val="baseline"/>
        </w:rPr>
        <w:t> </w:t>
      </w:r>
      <w:r>
        <w:rPr>
          <w:vertAlign w:val="baseline"/>
        </w:rPr>
        <w:t>be</w:t>
      </w:r>
      <w:r>
        <w:rPr>
          <w:spacing w:val="-8"/>
          <w:vertAlign w:val="baseline"/>
        </w:rPr>
        <w:t> </w:t>
      </w:r>
      <w:r>
        <w:rPr>
          <w:vertAlign w:val="baseline"/>
        </w:rPr>
        <w:t>notified</w:t>
      </w:r>
      <w:r>
        <w:rPr>
          <w:spacing w:val="-8"/>
          <w:vertAlign w:val="baseline"/>
        </w:rPr>
        <w:t> </w:t>
      </w:r>
      <w:r>
        <w:rPr>
          <w:vertAlign w:val="baseline"/>
        </w:rPr>
        <w:t>by</w:t>
      </w:r>
      <w:r>
        <w:rPr>
          <w:spacing w:val="-7"/>
          <w:vertAlign w:val="baseline"/>
        </w:rPr>
        <w:t> </w:t>
      </w:r>
      <w:r>
        <w:rPr>
          <w:vertAlign w:val="baseline"/>
        </w:rPr>
        <w:t>youth,</w:t>
      </w:r>
      <w:r>
        <w:rPr>
          <w:spacing w:val="-8"/>
          <w:vertAlign w:val="baseline"/>
        </w:rPr>
        <w:t> </w:t>
      </w:r>
      <w:r>
        <w:rPr>
          <w:vertAlign w:val="baseline"/>
        </w:rPr>
        <w:t>families,</w:t>
      </w:r>
      <w:r>
        <w:rPr>
          <w:spacing w:val="-8"/>
          <w:vertAlign w:val="baseline"/>
        </w:rPr>
        <w:t> </w:t>
      </w:r>
      <w:r>
        <w:rPr>
          <w:vertAlign w:val="baseline"/>
        </w:rPr>
        <w:t>and</w:t>
      </w:r>
      <w:r>
        <w:rPr>
          <w:spacing w:val="-8"/>
          <w:vertAlign w:val="baseline"/>
        </w:rPr>
        <w:t> </w:t>
      </w:r>
      <w:r>
        <w:rPr>
          <w:vertAlign w:val="baseline"/>
        </w:rPr>
        <w:t>advocates</w:t>
      </w:r>
      <w:r>
        <w:rPr>
          <w:spacing w:val="-6"/>
          <w:vertAlign w:val="baseline"/>
        </w:rPr>
        <w:t> </w:t>
      </w:r>
      <w:r>
        <w:rPr>
          <w:vertAlign w:val="baseline"/>
        </w:rPr>
        <w:t>that</w:t>
      </w:r>
      <w:r>
        <w:rPr>
          <w:spacing w:val="-8"/>
          <w:vertAlign w:val="baseline"/>
        </w:rPr>
        <w:t> </w:t>
      </w:r>
      <w:r>
        <w:rPr>
          <w:vertAlign w:val="baseline"/>
        </w:rPr>
        <w:t>fear</w:t>
      </w:r>
      <w:r>
        <w:rPr>
          <w:spacing w:val="-8"/>
          <w:vertAlign w:val="baseline"/>
        </w:rPr>
        <w:t> </w:t>
      </w:r>
      <w:r>
        <w:rPr>
          <w:vertAlign w:val="baseline"/>
        </w:rPr>
        <w:t>of</w:t>
      </w:r>
    </w:p>
    <w:p>
      <w:pPr>
        <w:spacing w:after="0" w:line="276" w:lineRule="auto"/>
        <w:jc w:val="both"/>
        <w:sectPr>
          <w:pgSz w:w="12240" w:h="15840"/>
          <w:pgMar w:header="763" w:footer="1339" w:top="1180" w:bottom="1520" w:left="1080" w:right="1240"/>
        </w:sectPr>
      </w:pPr>
    </w:p>
    <w:p>
      <w:pPr>
        <w:pStyle w:val="BodyText"/>
        <w:spacing w:line="276" w:lineRule="auto" w:before="69"/>
        <w:ind w:left="363" w:right="142"/>
        <w:jc w:val="both"/>
      </w:pPr>
      <w:r>
        <w:rPr/>
        <w:t>stigmatization, discrimination, and racism continue to pose barriers for LGBTQ, QTBIPOC, and intersex youth seeking medical care.</w:t>
      </w:r>
    </w:p>
    <w:p>
      <w:pPr>
        <w:pStyle w:val="BodyText"/>
      </w:pPr>
    </w:p>
    <w:p>
      <w:pPr>
        <w:pStyle w:val="BodyText"/>
        <w:spacing w:before="47"/>
      </w:pPr>
    </w:p>
    <w:p>
      <w:pPr>
        <w:spacing w:before="1"/>
        <w:ind w:left="363" w:right="0" w:firstLine="0"/>
        <w:jc w:val="both"/>
        <w:rPr>
          <w:sz w:val="26"/>
        </w:rPr>
      </w:pPr>
      <w:bookmarkStart w:name="Pregnancy in LGBTQ Youth" w:id="474"/>
      <w:bookmarkEnd w:id="474"/>
      <w:r>
        <w:rPr/>
      </w:r>
      <w:r>
        <w:rPr>
          <w:color w:val="095292"/>
          <w:sz w:val="26"/>
        </w:rPr>
        <w:t>Pregnancy</w:t>
      </w:r>
      <w:r>
        <w:rPr>
          <w:color w:val="095292"/>
          <w:spacing w:val="-5"/>
          <w:sz w:val="26"/>
        </w:rPr>
        <w:t> </w:t>
      </w:r>
      <w:r>
        <w:rPr>
          <w:color w:val="095292"/>
          <w:sz w:val="26"/>
        </w:rPr>
        <w:t>in</w:t>
      </w:r>
      <w:r>
        <w:rPr>
          <w:color w:val="095292"/>
          <w:spacing w:val="-4"/>
          <w:sz w:val="26"/>
        </w:rPr>
        <w:t> </w:t>
      </w:r>
      <w:r>
        <w:rPr>
          <w:color w:val="095292"/>
          <w:sz w:val="26"/>
        </w:rPr>
        <w:t>LGBTQ</w:t>
      </w:r>
      <w:r>
        <w:rPr>
          <w:color w:val="095292"/>
          <w:spacing w:val="-5"/>
          <w:sz w:val="26"/>
        </w:rPr>
        <w:t> </w:t>
      </w:r>
      <w:r>
        <w:rPr>
          <w:color w:val="095292"/>
          <w:spacing w:val="-2"/>
          <w:sz w:val="26"/>
        </w:rPr>
        <w:t>Youth</w:t>
      </w:r>
    </w:p>
    <w:p>
      <w:pPr>
        <w:pStyle w:val="BodyText"/>
        <w:spacing w:before="141"/>
        <w:rPr>
          <w:sz w:val="26"/>
        </w:rPr>
      </w:pPr>
    </w:p>
    <w:p>
      <w:pPr>
        <w:pStyle w:val="BodyText"/>
        <w:spacing w:line="276" w:lineRule="auto"/>
        <w:ind w:left="363" w:right="144"/>
        <w:jc w:val="both"/>
      </w:pPr>
      <w:r>
        <w:rPr/>
        <w:t>As</w:t>
      </w:r>
      <w:r>
        <w:rPr>
          <w:spacing w:val="-6"/>
        </w:rPr>
        <w:t> </w:t>
      </w:r>
      <w:r>
        <w:rPr/>
        <w:t>discussed</w:t>
      </w:r>
      <w:r>
        <w:rPr>
          <w:spacing w:val="-4"/>
        </w:rPr>
        <w:t> </w:t>
      </w:r>
      <w:r>
        <w:rPr/>
        <w:t>further</w:t>
      </w:r>
      <w:r>
        <w:rPr>
          <w:spacing w:val="-5"/>
        </w:rPr>
        <w:t> </w:t>
      </w:r>
      <w:r>
        <w:rPr/>
        <w:t>in</w:t>
      </w:r>
      <w:r>
        <w:rPr>
          <w:spacing w:val="-5"/>
        </w:rPr>
        <w:t> </w:t>
      </w:r>
      <w:r>
        <w:rPr/>
        <w:t>the</w:t>
      </w:r>
      <w:r>
        <w:rPr>
          <w:spacing w:val="-5"/>
        </w:rPr>
        <w:t> </w:t>
      </w:r>
      <w:r>
        <w:rPr/>
        <w:t>section</w:t>
      </w:r>
      <w:r>
        <w:rPr>
          <w:spacing w:val="-5"/>
        </w:rPr>
        <w:t> </w:t>
      </w:r>
      <w:r>
        <w:rPr/>
        <w:t>on</w:t>
      </w:r>
      <w:r>
        <w:rPr>
          <w:spacing w:val="-5"/>
        </w:rPr>
        <w:t> </w:t>
      </w:r>
      <w:r>
        <w:rPr/>
        <w:t>pregnancy</w:t>
      </w:r>
      <w:r>
        <w:rPr>
          <w:spacing w:val="-5"/>
        </w:rPr>
        <w:t> </w:t>
      </w:r>
      <w:r>
        <w:rPr/>
        <w:t>in</w:t>
      </w:r>
      <w:r>
        <w:rPr>
          <w:spacing w:val="-5"/>
        </w:rPr>
        <w:t> </w:t>
      </w:r>
      <w:r>
        <w:rPr/>
        <w:t>this</w:t>
      </w:r>
      <w:r>
        <w:rPr>
          <w:spacing w:val="-6"/>
        </w:rPr>
        <w:t> </w:t>
      </w:r>
      <w:r>
        <w:rPr/>
        <w:t>annual</w:t>
      </w:r>
      <w:r>
        <w:rPr>
          <w:spacing w:val="-6"/>
        </w:rPr>
        <w:t> </w:t>
      </w:r>
      <w:r>
        <w:rPr/>
        <w:t>report,</w:t>
      </w:r>
      <w:r>
        <w:rPr>
          <w:spacing w:val="-6"/>
        </w:rPr>
        <w:t> </w:t>
      </w:r>
      <w:r>
        <w:rPr/>
        <w:t>LGBTQ</w:t>
      </w:r>
      <w:r>
        <w:rPr>
          <w:spacing w:val="-5"/>
        </w:rPr>
        <w:t> </w:t>
      </w:r>
      <w:r>
        <w:rPr/>
        <w:t>women,</w:t>
      </w:r>
      <w:r>
        <w:rPr>
          <w:spacing w:val="-6"/>
        </w:rPr>
        <w:t> </w:t>
      </w:r>
      <w:r>
        <w:rPr/>
        <w:t>girls</w:t>
      </w:r>
      <w:r>
        <w:rPr>
          <w:spacing w:val="-6"/>
        </w:rPr>
        <w:t> </w:t>
      </w:r>
      <w:r>
        <w:rPr/>
        <w:t>and</w:t>
      </w:r>
      <w:r>
        <w:rPr>
          <w:spacing w:val="-7"/>
        </w:rPr>
        <w:t> </w:t>
      </w:r>
      <w:r>
        <w:rPr/>
        <w:t>nonbinary youth (as high as 46.6%) are more likely to become pregnant than straight, cisgender youth.</w:t>
      </w:r>
      <w:r>
        <w:rPr>
          <w:vertAlign w:val="superscript"/>
        </w:rPr>
        <w:t>38</w:t>
      </w:r>
      <w:r>
        <w:rPr>
          <w:vertAlign w:val="baseline"/>
        </w:rPr>
        <w:t> Research indicates that unintended teen pregnancy rates have been shown to be higher for youth who are Black, Latinx, Native, Pacific Islander, living in foster care, homeless, or have an intellectual disability.</w:t>
      </w:r>
      <w:r>
        <w:rPr>
          <w:vertAlign w:val="superscript"/>
        </w:rPr>
        <w:t>39,40,41</w:t>
      </w:r>
      <w:r>
        <w:rPr>
          <w:vertAlign w:val="baseline"/>
        </w:rPr>
        <w:t> Further potential disparate factors for unintended pregnancies include childhood abuse, increased rates of</w:t>
      </w:r>
      <w:r>
        <w:rPr>
          <w:spacing w:val="-13"/>
          <w:vertAlign w:val="baseline"/>
        </w:rPr>
        <w:t> </w:t>
      </w:r>
      <w:r>
        <w:rPr>
          <w:vertAlign w:val="baseline"/>
        </w:rPr>
        <w:t>sexual</w:t>
      </w:r>
      <w:r>
        <w:rPr>
          <w:spacing w:val="-12"/>
          <w:vertAlign w:val="baseline"/>
        </w:rPr>
        <w:t> </w:t>
      </w:r>
      <w:r>
        <w:rPr>
          <w:vertAlign w:val="baseline"/>
        </w:rPr>
        <w:t>assault,</w:t>
      </w:r>
      <w:r>
        <w:rPr>
          <w:spacing w:val="-13"/>
          <w:vertAlign w:val="baseline"/>
        </w:rPr>
        <w:t> </w:t>
      </w:r>
      <w:r>
        <w:rPr>
          <w:vertAlign w:val="baseline"/>
        </w:rPr>
        <w:t>bullying,</w:t>
      </w:r>
      <w:r>
        <w:rPr>
          <w:spacing w:val="-12"/>
          <w:vertAlign w:val="baseline"/>
        </w:rPr>
        <w:t> </w:t>
      </w:r>
      <w:r>
        <w:rPr>
          <w:vertAlign w:val="baseline"/>
        </w:rPr>
        <w:t>family’s</w:t>
      </w:r>
      <w:r>
        <w:rPr>
          <w:spacing w:val="-13"/>
          <w:vertAlign w:val="baseline"/>
        </w:rPr>
        <w:t> </w:t>
      </w:r>
      <w:r>
        <w:rPr>
          <w:vertAlign w:val="baseline"/>
        </w:rPr>
        <w:t>low</w:t>
      </w:r>
      <w:r>
        <w:rPr>
          <w:spacing w:val="-12"/>
          <w:vertAlign w:val="baseline"/>
        </w:rPr>
        <w:t> </w:t>
      </w:r>
      <w:r>
        <w:rPr>
          <w:vertAlign w:val="baseline"/>
        </w:rPr>
        <w:t>income,</w:t>
      </w:r>
      <w:r>
        <w:rPr>
          <w:spacing w:val="-13"/>
          <w:vertAlign w:val="baseline"/>
        </w:rPr>
        <w:t> </w:t>
      </w:r>
      <w:r>
        <w:rPr>
          <w:vertAlign w:val="baseline"/>
        </w:rPr>
        <w:t>and</w:t>
      </w:r>
      <w:r>
        <w:rPr>
          <w:spacing w:val="-12"/>
          <w:vertAlign w:val="baseline"/>
        </w:rPr>
        <w:t> </w:t>
      </w:r>
      <w:r>
        <w:rPr>
          <w:vertAlign w:val="baseline"/>
        </w:rPr>
        <w:t>lack</w:t>
      </w:r>
      <w:r>
        <w:rPr>
          <w:spacing w:val="-12"/>
          <w:vertAlign w:val="baseline"/>
        </w:rPr>
        <w:t> </w:t>
      </w:r>
      <w:r>
        <w:rPr>
          <w:vertAlign w:val="baseline"/>
        </w:rPr>
        <w:t>of</w:t>
      </w:r>
      <w:r>
        <w:rPr>
          <w:spacing w:val="-13"/>
          <w:vertAlign w:val="baseline"/>
        </w:rPr>
        <w:t> </w:t>
      </w:r>
      <w:r>
        <w:rPr>
          <w:vertAlign w:val="baseline"/>
        </w:rPr>
        <w:t>access</w:t>
      </w:r>
      <w:r>
        <w:rPr>
          <w:spacing w:val="-12"/>
          <w:vertAlign w:val="baseline"/>
        </w:rPr>
        <w:t> </w:t>
      </w:r>
      <w:r>
        <w:rPr>
          <w:vertAlign w:val="baseline"/>
        </w:rPr>
        <w:t>to</w:t>
      </w:r>
      <w:r>
        <w:rPr>
          <w:spacing w:val="-13"/>
          <w:vertAlign w:val="baseline"/>
        </w:rPr>
        <w:t> </w:t>
      </w:r>
      <w:r>
        <w:rPr>
          <w:vertAlign w:val="baseline"/>
        </w:rPr>
        <w:t>appropriate</w:t>
      </w:r>
      <w:r>
        <w:rPr>
          <w:spacing w:val="-12"/>
          <w:vertAlign w:val="baseline"/>
        </w:rPr>
        <w:t> </w:t>
      </w:r>
      <w:r>
        <w:rPr>
          <w:vertAlign w:val="baseline"/>
        </w:rPr>
        <w:t>sexual</w:t>
      </w:r>
      <w:r>
        <w:rPr>
          <w:spacing w:val="-13"/>
          <w:vertAlign w:val="baseline"/>
        </w:rPr>
        <w:t> </w:t>
      </w:r>
      <w:r>
        <w:rPr>
          <w:vertAlign w:val="baseline"/>
        </w:rPr>
        <w:t>health</w:t>
      </w:r>
      <w:r>
        <w:rPr>
          <w:spacing w:val="-12"/>
          <w:vertAlign w:val="baseline"/>
        </w:rPr>
        <w:t> </w:t>
      </w:r>
      <w:r>
        <w:rPr>
          <w:vertAlign w:val="baseline"/>
        </w:rPr>
        <w:t>education.</w:t>
      </w:r>
      <w:r>
        <w:rPr>
          <w:vertAlign w:val="superscript"/>
        </w:rPr>
        <w:t>42</w:t>
      </w:r>
    </w:p>
    <w:p>
      <w:pPr>
        <w:pStyle w:val="BodyText"/>
        <w:spacing w:line="276" w:lineRule="auto" w:before="122"/>
        <w:ind w:left="363" w:right="141"/>
        <w:jc w:val="both"/>
      </w:pPr>
      <w:r>
        <w:rPr/>
        <w:t>Consequently,</w:t>
      </w:r>
      <w:r>
        <w:rPr>
          <w:spacing w:val="-12"/>
        </w:rPr>
        <w:t> </w:t>
      </w:r>
      <w:r>
        <w:rPr/>
        <w:t>LGBTQ</w:t>
      </w:r>
      <w:r>
        <w:rPr>
          <w:spacing w:val="-13"/>
        </w:rPr>
        <w:t> </w:t>
      </w:r>
      <w:r>
        <w:rPr/>
        <w:t>youth</w:t>
      </w:r>
      <w:r>
        <w:rPr>
          <w:spacing w:val="-12"/>
        </w:rPr>
        <w:t> </w:t>
      </w:r>
      <w:r>
        <w:rPr/>
        <w:t>are</w:t>
      </w:r>
      <w:r>
        <w:rPr>
          <w:spacing w:val="-13"/>
        </w:rPr>
        <w:t> </w:t>
      </w:r>
      <w:r>
        <w:rPr/>
        <w:t>more</w:t>
      </w:r>
      <w:r>
        <w:rPr>
          <w:spacing w:val="-12"/>
        </w:rPr>
        <w:t> </w:t>
      </w:r>
      <w:r>
        <w:rPr/>
        <w:t>likely</w:t>
      </w:r>
      <w:r>
        <w:rPr>
          <w:spacing w:val="-12"/>
        </w:rPr>
        <w:t> </w:t>
      </w:r>
      <w:r>
        <w:rPr/>
        <w:t>than</w:t>
      </w:r>
      <w:r>
        <w:rPr>
          <w:spacing w:val="-11"/>
        </w:rPr>
        <w:t> </w:t>
      </w:r>
      <w:r>
        <w:rPr/>
        <w:t>cisgender,</w:t>
      </w:r>
      <w:r>
        <w:rPr>
          <w:spacing w:val="-12"/>
        </w:rPr>
        <w:t> </w:t>
      </w:r>
      <w:r>
        <w:rPr/>
        <w:t>heterosexual</w:t>
      </w:r>
      <w:r>
        <w:rPr>
          <w:spacing w:val="-12"/>
        </w:rPr>
        <w:t> </w:t>
      </w:r>
      <w:r>
        <w:rPr/>
        <w:t>youth</w:t>
      </w:r>
      <w:r>
        <w:rPr>
          <w:spacing w:val="-11"/>
        </w:rPr>
        <w:t> </w:t>
      </w:r>
      <w:r>
        <w:rPr/>
        <w:t>to</w:t>
      </w:r>
      <w:r>
        <w:rPr>
          <w:spacing w:val="-12"/>
        </w:rPr>
        <w:t> </w:t>
      </w:r>
      <w:r>
        <w:rPr/>
        <w:t>seek</w:t>
      </w:r>
      <w:r>
        <w:rPr>
          <w:spacing w:val="-13"/>
        </w:rPr>
        <w:t> </w:t>
      </w:r>
      <w:r>
        <w:rPr/>
        <w:t>access</w:t>
      </w:r>
      <w:r>
        <w:rPr>
          <w:spacing w:val="-11"/>
        </w:rPr>
        <w:t> </w:t>
      </w:r>
      <w:r>
        <w:rPr/>
        <w:t>for</w:t>
      </w:r>
      <w:r>
        <w:rPr>
          <w:spacing w:val="-12"/>
        </w:rPr>
        <w:t> </w:t>
      </w:r>
      <w:r>
        <w:rPr/>
        <w:t>abortion services;</w:t>
      </w:r>
      <w:r>
        <w:rPr>
          <w:spacing w:val="-2"/>
        </w:rPr>
        <w:t> </w:t>
      </w:r>
      <w:r>
        <w:rPr/>
        <w:t>one</w:t>
      </w:r>
      <w:r>
        <w:rPr>
          <w:spacing w:val="-1"/>
        </w:rPr>
        <w:t> </w:t>
      </w:r>
      <w:r>
        <w:rPr/>
        <w:t>national</w:t>
      </w:r>
      <w:r>
        <w:rPr>
          <w:spacing w:val="-2"/>
        </w:rPr>
        <w:t> </w:t>
      </w:r>
      <w:r>
        <w:rPr/>
        <w:t>study</w:t>
      </w:r>
      <w:r>
        <w:rPr>
          <w:spacing w:val="-2"/>
        </w:rPr>
        <w:t> </w:t>
      </w:r>
      <w:r>
        <w:rPr/>
        <w:t>indicated</w:t>
      </w:r>
      <w:r>
        <w:rPr>
          <w:spacing w:val="-1"/>
        </w:rPr>
        <w:t> </w:t>
      </w:r>
      <w:r>
        <w:rPr/>
        <w:t>that</w:t>
      </w:r>
      <w:r>
        <w:rPr>
          <w:spacing w:val="-2"/>
        </w:rPr>
        <w:t> </w:t>
      </w:r>
      <w:r>
        <w:rPr/>
        <w:t>bisexual</w:t>
      </w:r>
      <w:r>
        <w:rPr>
          <w:spacing w:val="-2"/>
        </w:rPr>
        <w:t> </w:t>
      </w:r>
      <w:r>
        <w:rPr/>
        <w:t>teens</w:t>
      </w:r>
      <w:r>
        <w:rPr>
          <w:spacing w:val="-1"/>
        </w:rPr>
        <w:t> </w:t>
      </w:r>
      <w:r>
        <w:rPr/>
        <w:t>were</w:t>
      </w:r>
      <w:r>
        <w:rPr>
          <w:spacing w:val="-1"/>
        </w:rPr>
        <w:t> </w:t>
      </w:r>
      <w:r>
        <w:rPr/>
        <w:t>three</w:t>
      </w:r>
      <w:r>
        <w:rPr>
          <w:spacing w:val="-2"/>
        </w:rPr>
        <w:t> </w:t>
      </w:r>
      <w:r>
        <w:rPr/>
        <w:t>times</w:t>
      </w:r>
      <w:r>
        <w:rPr>
          <w:spacing w:val="-1"/>
        </w:rPr>
        <w:t> </w:t>
      </w:r>
      <w:r>
        <w:rPr/>
        <w:t>more</w:t>
      </w:r>
      <w:r>
        <w:rPr>
          <w:spacing w:val="-2"/>
        </w:rPr>
        <w:t> </w:t>
      </w:r>
      <w:r>
        <w:rPr/>
        <w:t>likely</w:t>
      </w:r>
      <w:r>
        <w:rPr>
          <w:spacing w:val="-1"/>
        </w:rPr>
        <w:t> </w:t>
      </w:r>
      <w:r>
        <w:rPr/>
        <w:t>than</w:t>
      </w:r>
      <w:r>
        <w:rPr>
          <w:spacing w:val="-1"/>
        </w:rPr>
        <w:t> </w:t>
      </w:r>
      <w:r>
        <w:rPr/>
        <w:t>heterosexual teens to have an abortion.</w:t>
      </w:r>
      <w:r>
        <w:rPr>
          <w:vertAlign w:val="superscript"/>
        </w:rPr>
        <w:t>43</w:t>
      </w:r>
      <w:r>
        <w:rPr>
          <w:vertAlign w:val="baseline"/>
        </w:rPr>
        <w:t> In a 2021 national study of transgender, nonbinary, and gender expansive people assigned-female-at-birth or intersex who were mostly under 30 years old, 21% who had been pregnant</w:t>
      </w:r>
      <w:r>
        <w:rPr>
          <w:spacing w:val="-1"/>
          <w:vertAlign w:val="baseline"/>
        </w:rPr>
        <w:t> </w:t>
      </w:r>
      <w:r>
        <w:rPr>
          <w:vertAlign w:val="baseline"/>
        </w:rPr>
        <w:t>had</w:t>
      </w:r>
      <w:r>
        <w:rPr>
          <w:spacing w:val="-1"/>
          <w:vertAlign w:val="baseline"/>
        </w:rPr>
        <w:t> </w:t>
      </w:r>
      <w:r>
        <w:rPr>
          <w:vertAlign w:val="baseline"/>
        </w:rPr>
        <w:t>gotten</w:t>
      </w:r>
      <w:r>
        <w:rPr>
          <w:spacing w:val="-1"/>
          <w:vertAlign w:val="baseline"/>
        </w:rPr>
        <w:t> </w:t>
      </w:r>
      <w:r>
        <w:rPr>
          <w:vertAlign w:val="baseline"/>
        </w:rPr>
        <w:t>an</w:t>
      </w:r>
      <w:r>
        <w:rPr>
          <w:spacing w:val="-1"/>
          <w:vertAlign w:val="baseline"/>
        </w:rPr>
        <w:t> </w:t>
      </w:r>
      <w:r>
        <w:rPr>
          <w:vertAlign w:val="baseline"/>
        </w:rPr>
        <w:t>abortion.</w:t>
      </w:r>
      <w:r>
        <w:rPr>
          <w:vertAlign w:val="superscript"/>
        </w:rPr>
        <w:t>44</w:t>
      </w:r>
      <w:r>
        <w:rPr>
          <w:spacing w:val="-1"/>
          <w:vertAlign w:val="baseline"/>
        </w:rPr>
        <w:t> </w:t>
      </w:r>
      <w:r>
        <w:rPr>
          <w:vertAlign w:val="baseline"/>
        </w:rPr>
        <w:t>Similar</w:t>
      </w:r>
      <w:r>
        <w:rPr>
          <w:spacing w:val="-1"/>
          <w:vertAlign w:val="baseline"/>
        </w:rPr>
        <w:t> </w:t>
      </w:r>
      <w:r>
        <w:rPr>
          <w:vertAlign w:val="baseline"/>
        </w:rPr>
        <w:t>barriers</w:t>
      </w:r>
      <w:r>
        <w:rPr>
          <w:spacing w:val="-1"/>
          <w:vertAlign w:val="baseline"/>
        </w:rPr>
        <w:t> </w:t>
      </w:r>
      <w:r>
        <w:rPr>
          <w:vertAlign w:val="baseline"/>
        </w:rPr>
        <w:t>to</w:t>
      </w:r>
      <w:r>
        <w:rPr>
          <w:spacing w:val="-1"/>
          <w:vertAlign w:val="baseline"/>
        </w:rPr>
        <w:t> </w:t>
      </w:r>
      <w:r>
        <w:rPr>
          <w:vertAlign w:val="baseline"/>
        </w:rPr>
        <w:t>contraception</w:t>
      </w:r>
      <w:r>
        <w:rPr>
          <w:spacing w:val="-1"/>
          <w:vertAlign w:val="baseline"/>
        </w:rPr>
        <w:t> </w:t>
      </w:r>
      <w:r>
        <w:rPr>
          <w:vertAlign w:val="baseline"/>
        </w:rPr>
        <w:t>access</w:t>
      </w:r>
      <w:r>
        <w:rPr>
          <w:spacing w:val="-1"/>
          <w:vertAlign w:val="baseline"/>
        </w:rPr>
        <w:t> </w:t>
      </w:r>
      <w:r>
        <w:rPr>
          <w:vertAlign w:val="baseline"/>
        </w:rPr>
        <w:t>also</w:t>
      </w:r>
      <w:r>
        <w:rPr>
          <w:spacing w:val="-1"/>
          <w:vertAlign w:val="baseline"/>
        </w:rPr>
        <w:t> </w:t>
      </w:r>
      <w:r>
        <w:rPr>
          <w:vertAlign w:val="baseline"/>
        </w:rPr>
        <w:t>exist</w:t>
      </w:r>
      <w:r>
        <w:rPr>
          <w:spacing w:val="-1"/>
          <w:vertAlign w:val="baseline"/>
        </w:rPr>
        <w:t> </w:t>
      </w:r>
      <w:r>
        <w:rPr>
          <w:vertAlign w:val="baseline"/>
        </w:rPr>
        <w:t>for</w:t>
      </w:r>
      <w:r>
        <w:rPr>
          <w:spacing w:val="-1"/>
          <w:vertAlign w:val="baseline"/>
        </w:rPr>
        <w:t> </w:t>
      </w:r>
      <w:r>
        <w:rPr>
          <w:vertAlign w:val="baseline"/>
        </w:rPr>
        <w:t>abortion</w:t>
      </w:r>
      <w:r>
        <w:rPr>
          <w:spacing w:val="-1"/>
          <w:vertAlign w:val="baseline"/>
        </w:rPr>
        <w:t> </w:t>
      </w:r>
      <w:r>
        <w:rPr>
          <w:vertAlign w:val="baseline"/>
        </w:rPr>
        <w:t>access, including cost, health insurance coverage, transportation, medical discrimination and racism, unsupportive caregivers, and immigration status.</w:t>
      </w:r>
    </w:p>
    <w:p>
      <w:pPr>
        <w:pStyle w:val="BodyText"/>
      </w:pPr>
    </w:p>
    <w:p>
      <w:pPr>
        <w:pStyle w:val="BodyText"/>
        <w:spacing w:before="46"/>
      </w:pPr>
    </w:p>
    <w:p>
      <w:pPr>
        <w:spacing w:before="0"/>
        <w:ind w:left="363" w:right="0" w:firstLine="0"/>
        <w:jc w:val="both"/>
        <w:rPr>
          <w:sz w:val="26"/>
        </w:rPr>
      </w:pPr>
      <w:bookmarkStart w:name="Sexual Victimization" w:id="475"/>
      <w:bookmarkEnd w:id="475"/>
      <w:r>
        <w:rPr/>
      </w:r>
      <w:r>
        <w:rPr>
          <w:color w:val="095292"/>
          <w:sz w:val="26"/>
        </w:rPr>
        <w:t>Sexual</w:t>
      </w:r>
      <w:r>
        <w:rPr>
          <w:color w:val="095292"/>
          <w:spacing w:val="-2"/>
          <w:sz w:val="26"/>
        </w:rPr>
        <w:t> Victimization</w:t>
      </w:r>
    </w:p>
    <w:p>
      <w:pPr>
        <w:pStyle w:val="BodyText"/>
        <w:spacing w:before="142"/>
        <w:rPr>
          <w:sz w:val="26"/>
        </w:rPr>
      </w:pPr>
    </w:p>
    <w:p>
      <w:pPr>
        <w:pStyle w:val="BodyText"/>
        <w:spacing w:line="276" w:lineRule="auto"/>
        <w:ind w:left="363" w:right="140"/>
        <w:jc w:val="both"/>
      </w:pPr>
      <w:r>
        <w:rPr/>
        <w:t>As</w:t>
      </w:r>
      <w:r>
        <w:rPr>
          <w:spacing w:val="-4"/>
        </w:rPr>
        <w:t> </w:t>
      </w:r>
      <w:r>
        <w:rPr/>
        <w:t>discussed</w:t>
      </w:r>
      <w:r>
        <w:rPr>
          <w:spacing w:val="-2"/>
        </w:rPr>
        <w:t> </w:t>
      </w:r>
      <w:r>
        <w:rPr/>
        <w:t>further</w:t>
      </w:r>
      <w:r>
        <w:rPr>
          <w:spacing w:val="-3"/>
        </w:rPr>
        <w:t> </w:t>
      </w:r>
      <w:r>
        <w:rPr/>
        <w:t>in</w:t>
      </w:r>
      <w:r>
        <w:rPr>
          <w:spacing w:val="-3"/>
        </w:rPr>
        <w:t> </w:t>
      </w:r>
      <w:r>
        <w:rPr/>
        <w:t>the</w:t>
      </w:r>
      <w:r>
        <w:rPr>
          <w:spacing w:val="-3"/>
        </w:rPr>
        <w:t> </w:t>
      </w:r>
      <w:r>
        <w:rPr/>
        <w:t>public</w:t>
      </w:r>
      <w:r>
        <w:rPr>
          <w:spacing w:val="-3"/>
        </w:rPr>
        <w:t> </w:t>
      </w:r>
      <w:r>
        <w:rPr/>
        <w:t>health</w:t>
      </w:r>
      <w:r>
        <w:rPr>
          <w:spacing w:val="-3"/>
        </w:rPr>
        <w:t> </w:t>
      </w:r>
      <w:r>
        <w:rPr/>
        <w:t>section,</w:t>
      </w:r>
      <w:r>
        <w:rPr>
          <w:spacing w:val="-3"/>
        </w:rPr>
        <w:t> </w:t>
      </w:r>
      <w:r>
        <w:rPr/>
        <w:t>LGBTQ</w:t>
      </w:r>
      <w:r>
        <w:rPr>
          <w:spacing w:val="-4"/>
        </w:rPr>
        <w:t> </w:t>
      </w:r>
      <w:r>
        <w:rPr/>
        <w:t>youth,</w:t>
      </w:r>
      <w:r>
        <w:rPr>
          <w:spacing w:val="-4"/>
        </w:rPr>
        <w:t> </w:t>
      </w:r>
      <w:r>
        <w:rPr/>
        <w:t>particularly</w:t>
      </w:r>
      <w:r>
        <w:rPr>
          <w:spacing w:val="-3"/>
        </w:rPr>
        <w:t> </w:t>
      </w:r>
      <w:r>
        <w:rPr/>
        <w:t>QTBIPOC</w:t>
      </w:r>
      <w:r>
        <w:rPr>
          <w:spacing w:val="-4"/>
        </w:rPr>
        <w:t> </w:t>
      </w:r>
      <w:r>
        <w:rPr/>
        <w:t>youth,</w:t>
      </w:r>
      <w:r>
        <w:rPr>
          <w:spacing w:val="-4"/>
        </w:rPr>
        <w:t> </w:t>
      </w:r>
      <w:r>
        <w:rPr/>
        <w:t>are</w:t>
      </w:r>
      <w:r>
        <w:rPr>
          <w:spacing w:val="-4"/>
        </w:rPr>
        <w:t> </w:t>
      </w:r>
      <w:r>
        <w:rPr/>
        <w:t>at</w:t>
      </w:r>
      <w:r>
        <w:rPr>
          <w:spacing w:val="-4"/>
        </w:rPr>
        <w:t> </w:t>
      </w:r>
      <w:r>
        <w:rPr/>
        <w:t>a</w:t>
      </w:r>
      <w:r>
        <w:rPr>
          <w:spacing w:val="-3"/>
        </w:rPr>
        <w:t> </w:t>
      </w:r>
      <w:r>
        <w:rPr/>
        <w:t>much higher risk of sexual violence compared to white, cisgender, and heterosexual youth. Stigmatization and hypersexualization of LGBTQ people, racism, sexism, transphobia, homophobia, and other forms of marginalization are some of the factors that lead to these concerning disparities, and also make it less likely that LGBTQ youth will report sexual violence incidents or assaults to law enforcement.</w:t>
      </w:r>
      <w:r>
        <w:rPr>
          <w:vertAlign w:val="superscript"/>
        </w:rPr>
        <w:t>45</w:t>
      </w:r>
    </w:p>
    <w:p>
      <w:pPr>
        <w:pStyle w:val="BodyText"/>
        <w:spacing w:line="276" w:lineRule="auto" w:before="120"/>
        <w:ind w:left="363" w:right="139"/>
        <w:jc w:val="both"/>
      </w:pPr>
      <w:r>
        <w:rPr/>
        <w:t>Furthermore,</w:t>
      </w:r>
      <w:r>
        <w:rPr>
          <w:spacing w:val="-7"/>
        </w:rPr>
        <w:t> </w:t>
      </w:r>
      <w:r>
        <w:rPr/>
        <w:t>LGBTQ</w:t>
      </w:r>
      <w:r>
        <w:rPr>
          <w:spacing w:val="-8"/>
        </w:rPr>
        <w:t> </w:t>
      </w:r>
      <w:r>
        <w:rPr/>
        <w:t>youth</w:t>
      </w:r>
      <w:r>
        <w:rPr>
          <w:spacing w:val="-7"/>
        </w:rPr>
        <w:t> </w:t>
      </w:r>
      <w:r>
        <w:rPr/>
        <w:t>reported</w:t>
      </w:r>
      <w:r>
        <w:rPr>
          <w:spacing w:val="-7"/>
        </w:rPr>
        <w:t> </w:t>
      </w:r>
      <w:r>
        <w:rPr/>
        <w:t>childhood</w:t>
      </w:r>
      <w:r>
        <w:rPr>
          <w:spacing w:val="-8"/>
        </w:rPr>
        <w:t> </w:t>
      </w:r>
      <w:r>
        <w:rPr/>
        <w:t>sexual</w:t>
      </w:r>
      <w:r>
        <w:rPr>
          <w:spacing w:val="-6"/>
        </w:rPr>
        <w:t> </w:t>
      </w:r>
      <w:r>
        <w:rPr/>
        <w:t>abuse</w:t>
      </w:r>
      <w:r>
        <w:rPr>
          <w:spacing w:val="-8"/>
        </w:rPr>
        <w:t> </w:t>
      </w:r>
      <w:r>
        <w:rPr/>
        <w:t>at</w:t>
      </w:r>
      <w:r>
        <w:rPr>
          <w:spacing w:val="-7"/>
        </w:rPr>
        <w:t> </w:t>
      </w:r>
      <w:r>
        <w:rPr/>
        <w:t>a</w:t>
      </w:r>
      <w:r>
        <w:rPr>
          <w:spacing w:val="-7"/>
        </w:rPr>
        <w:t> </w:t>
      </w:r>
      <w:r>
        <w:rPr/>
        <w:t>higher</w:t>
      </w:r>
      <w:r>
        <w:rPr>
          <w:spacing w:val="-7"/>
        </w:rPr>
        <w:t> </w:t>
      </w:r>
      <w:r>
        <w:rPr/>
        <w:t>rate</w:t>
      </w:r>
      <w:r>
        <w:rPr>
          <w:spacing w:val="-6"/>
        </w:rPr>
        <w:t> </w:t>
      </w:r>
      <w:r>
        <w:rPr/>
        <w:t>than</w:t>
      </w:r>
      <w:r>
        <w:rPr>
          <w:spacing w:val="-8"/>
        </w:rPr>
        <w:t> </w:t>
      </w:r>
      <w:r>
        <w:rPr/>
        <w:t>heterosexual,</w:t>
      </w:r>
      <w:r>
        <w:rPr>
          <w:spacing w:val="-7"/>
        </w:rPr>
        <w:t> </w:t>
      </w:r>
      <w:r>
        <w:rPr/>
        <w:t>cisgender teens;</w:t>
      </w:r>
      <w:r>
        <w:rPr>
          <w:vertAlign w:val="superscript"/>
        </w:rPr>
        <w:t>46</w:t>
      </w:r>
      <w:r>
        <w:rPr>
          <w:spacing w:val="-4"/>
          <w:vertAlign w:val="baseline"/>
        </w:rPr>
        <w:t> </w:t>
      </w:r>
      <w:r>
        <w:rPr>
          <w:vertAlign w:val="baseline"/>
        </w:rPr>
        <w:t>19%</w:t>
      </w:r>
      <w:r>
        <w:rPr>
          <w:spacing w:val="-1"/>
          <w:vertAlign w:val="baseline"/>
        </w:rPr>
        <w:t> </w:t>
      </w:r>
      <w:r>
        <w:rPr>
          <w:vertAlign w:val="baseline"/>
        </w:rPr>
        <w:t>of</w:t>
      </w:r>
      <w:r>
        <w:rPr>
          <w:spacing w:val="-4"/>
          <w:vertAlign w:val="baseline"/>
        </w:rPr>
        <w:t> </w:t>
      </w:r>
      <w:r>
        <w:rPr>
          <w:vertAlign w:val="baseline"/>
        </w:rPr>
        <w:t>gender</w:t>
      </w:r>
      <w:r>
        <w:rPr>
          <w:spacing w:val="-3"/>
          <w:vertAlign w:val="baseline"/>
        </w:rPr>
        <w:t> </w:t>
      </w:r>
      <w:r>
        <w:rPr>
          <w:vertAlign w:val="baseline"/>
        </w:rPr>
        <w:t>expansive</w:t>
      </w:r>
      <w:r>
        <w:rPr>
          <w:spacing w:val="-4"/>
          <w:vertAlign w:val="baseline"/>
        </w:rPr>
        <w:t> </w:t>
      </w:r>
      <w:r>
        <w:rPr>
          <w:vertAlign w:val="baseline"/>
        </w:rPr>
        <w:t>teens</w:t>
      </w:r>
      <w:r>
        <w:rPr>
          <w:spacing w:val="-4"/>
          <w:vertAlign w:val="baseline"/>
        </w:rPr>
        <w:t> </w:t>
      </w:r>
      <w:r>
        <w:rPr>
          <w:vertAlign w:val="baseline"/>
        </w:rPr>
        <w:t>reported</w:t>
      </w:r>
      <w:r>
        <w:rPr>
          <w:spacing w:val="-3"/>
          <w:vertAlign w:val="baseline"/>
        </w:rPr>
        <w:t> </w:t>
      </w:r>
      <w:r>
        <w:rPr>
          <w:vertAlign w:val="baseline"/>
        </w:rPr>
        <w:t>childhood</w:t>
      </w:r>
      <w:r>
        <w:rPr>
          <w:spacing w:val="-4"/>
          <w:vertAlign w:val="baseline"/>
        </w:rPr>
        <w:t> </w:t>
      </w:r>
      <w:r>
        <w:rPr>
          <w:vertAlign w:val="baseline"/>
        </w:rPr>
        <w:t>sexual</w:t>
      </w:r>
      <w:r>
        <w:rPr>
          <w:spacing w:val="-3"/>
          <w:vertAlign w:val="baseline"/>
        </w:rPr>
        <w:t> </w:t>
      </w:r>
      <w:r>
        <w:rPr>
          <w:vertAlign w:val="baseline"/>
        </w:rPr>
        <w:t>abuse,</w:t>
      </w:r>
      <w:r>
        <w:rPr>
          <w:spacing w:val="-4"/>
          <w:vertAlign w:val="baseline"/>
        </w:rPr>
        <w:t> </w:t>
      </w:r>
      <w:r>
        <w:rPr>
          <w:vertAlign w:val="baseline"/>
        </w:rPr>
        <w:t>with</w:t>
      </w:r>
      <w:r>
        <w:rPr>
          <w:spacing w:val="-3"/>
          <w:vertAlign w:val="baseline"/>
        </w:rPr>
        <w:t> </w:t>
      </w:r>
      <w:r>
        <w:rPr>
          <w:vertAlign w:val="baseline"/>
        </w:rPr>
        <w:t>nonbinary</w:t>
      </w:r>
      <w:r>
        <w:rPr>
          <w:spacing w:val="-4"/>
          <w:vertAlign w:val="baseline"/>
        </w:rPr>
        <w:t> </w:t>
      </w:r>
      <w:r>
        <w:rPr>
          <w:vertAlign w:val="baseline"/>
        </w:rPr>
        <w:t>youth</w:t>
      </w:r>
      <w:r>
        <w:rPr>
          <w:spacing w:val="-4"/>
          <w:vertAlign w:val="baseline"/>
        </w:rPr>
        <w:t> </w:t>
      </w:r>
      <w:r>
        <w:rPr>
          <w:vertAlign w:val="baseline"/>
        </w:rPr>
        <w:t>assigned- female-at-birth</w:t>
      </w:r>
      <w:r>
        <w:rPr>
          <w:spacing w:val="-10"/>
          <w:vertAlign w:val="baseline"/>
        </w:rPr>
        <w:t> </w:t>
      </w:r>
      <w:r>
        <w:rPr>
          <w:vertAlign w:val="baseline"/>
        </w:rPr>
        <w:t>most</w:t>
      </w:r>
      <w:r>
        <w:rPr>
          <w:spacing w:val="-11"/>
          <w:vertAlign w:val="baseline"/>
        </w:rPr>
        <w:t> </w:t>
      </w:r>
      <w:r>
        <w:rPr>
          <w:vertAlign w:val="baseline"/>
        </w:rPr>
        <w:t>at</w:t>
      </w:r>
      <w:r>
        <w:rPr>
          <w:spacing w:val="-12"/>
          <w:vertAlign w:val="baseline"/>
        </w:rPr>
        <w:t> </w:t>
      </w:r>
      <w:r>
        <w:rPr>
          <w:vertAlign w:val="baseline"/>
        </w:rPr>
        <w:t>risk.</w:t>
      </w:r>
      <w:r>
        <w:rPr>
          <w:vertAlign w:val="superscript"/>
        </w:rPr>
        <w:t>47</w:t>
      </w:r>
      <w:r>
        <w:rPr>
          <w:spacing w:val="-11"/>
          <w:vertAlign w:val="baseline"/>
        </w:rPr>
        <w:t> </w:t>
      </w:r>
      <w:r>
        <w:rPr>
          <w:vertAlign w:val="baseline"/>
        </w:rPr>
        <w:t>In</w:t>
      </w:r>
      <w:r>
        <w:rPr>
          <w:spacing w:val="-10"/>
          <w:vertAlign w:val="baseline"/>
        </w:rPr>
        <w:t> </w:t>
      </w:r>
      <w:r>
        <w:rPr>
          <w:vertAlign w:val="baseline"/>
        </w:rPr>
        <w:t>the</w:t>
      </w:r>
      <w:r>
        <w:rPr>
          <w:spacing w:val="-10"/>
          <w:vertAlign w:val="baseline"/>
        </w:rPr>
        <w:t> </w:t>
      </w:r>
      <w:r>
        <w:rPr>
          <w:vertAlign w:val="baseline"/>
        </w:rPr>
        <w:t>2021</w:t>
      </w:r>
      <w:r>
        <w:rPr>
          <w:spacing w:val="-11"/>
          <w:vertAlign w:val="baseline"/>
        </w:rPr>
        <w:t> </w:t>
      </w:r>
      <w:r>
        <w:rPr>
          <w:vertAlign w:val="baseline"/>
        </w:rPr>
        <w:t>Massachusetts</w:t>
      </w:r>
      <w:r>
        <w:rPr>
          <w:spacing w:val="-10"/>
          <w:vertAlign w:val="baseline"/>
        </w:rPr>
        <w:t> </w:t>
      </w:r>
      <w:r>
        <w:rPr>
          <w:vertAlign w:val="baseline"/>
        </w:rPr>
        <w:t>YRBS</w:t>
      </w:r>
      <w:r>
        <w:rPr>
          <w:spacing w:val="-10"/>
          <w:vertAlign w:val="baseline"/>
        </w:rPr>
        <w:t> </w:t>
      </w:r>
      <w:r>
        <w:rPr>
          <w:vertAlign w:val="baseline"/>
        </w:rPr>
        <w:t>survey,</w:t>
      </w:r>
      <w:r>
        <w:rPr>
          <w:vertAlign w:val="superscript"/>
        </w:rPr>
        <w:t>48</w:t>
      </w:r>
      <w:r>
        <w:rPr>
          <w:spacing w:val="-12"/>
          <w:vertAlign w:val="baseline"/>
        </w:rPr>
        <w:t> </w:t>
      </w:r>
      <w:r>
        <w:rPr>
          <w:vertAlign w:val="baseline"/>
        </w:rPr>
        <w:t>20%</w:t>
      </w:r>
      <w:r>
        <w:rPr>
          <w:spacing w:val="-11"/>
          <w:vertAlign w:val="baseline"/>
        </w:rPr>
        <w:t> </w:t>
      </w:r>
      <w:r>
        <w:rPr>
          <w:vertAlign w:val="baseline"/>
        </w:rPr>
        <w:t>of</w:t>
      </w:r>
      <w:r>
        <w:rPr>
          <w:spacing w:val="-9"/>
          <w:vertAlign w:val="baseline"/>
        </w:rPr>
        <w:t> </w:t>
      </w:r>
      <w:r>
        <w:rPr>
          <w:vertAlign w:val="baseline"/>
        </w:rPr>
        <w:t>LGBQ</w:t>
      </w:r>
      <w:r>
        <w:rPr>
          <w:spacing w:val="-10"/>
          <w:vertAlign w:val="baseline"/>
        </w:rPr>
        <w:t> </w:t>
      </w:r>
      <w:r>
        <w:rPr>
          <w:vertAlign w:val="baseline"/>
        </w:rPr>
        <w:t>youth</w:t>
      </w:r>
      <w:r>
        <w:rPr>
          <w:spacing w:val="-10"/>
          <w:vertAlign w:val="baseline"/>
        </w:rPr>
        <w:t> </w:t>
      </w:r>
      <w:r>
        <w:rPr>
          <w:vertAlign w:val="baseline"/>
        </w:rPr>
        <w:t>indicated</w:t>
      </w:r>
      <w:r>
        <w:rPr>
          <w:spacing w:val="-10"/>
          <w:vertAlign w:val="baseline"/>
        </w:rPr>
        <w:t> </w:t>
      </w:r>
      <w:r>
        <w:rPr>
          <w:vertAlign w:val="baseline"/>
        </w:rPr>
        <w:t>they were</w:t>
      </w:r>
      <w:r>
        <w:rPr>
          <w:spacing w:val="-8"/>
          <w:vertAlign w:val="baseline"/>
        </w:rPr>
        <w:t> </w:t>
      </w:r>
      <w:r>
        <w:rPr>
          <w:vertAlign w:val="baseline"/>
        </w:rPr>
        <w:t>forced</w:t>
      </w:r>
      <w:r>
        <w:rPr>
          <w:spacing w:val="-7"/>
          <w:vertAlign w:val="baseline"/>
        </w:rPr>
        <w:t> </w:t>
      </w:r>
      <w:r>
        <w:rPr>
          <w:vertAlign w:val="baseline"/>
        </w:rPr>
        <w:t>to</w:t>
      </w:r>
      <w:r>
        <w:rPr>
          <w:spacing w:val="-7"/>
          <w:vertAlign w:val="baseline"/>
        </w:rPr>
        <w:t> </w:t>
      </w:r>
      <w:r>
        <w:rPr>
          <w:vertAlign w:val="baseline"/>
        </w:rPr>
        <w:t>have</w:t>
      </w:r>
      <w:r>
        <w:rPr>
          <w:spacing w:val="-8"/>
          <w:vertAlign w:val="baseline"/>
        </w:rPr>
        <w:t> </w:t>
      </w:r>
      <w:r>
        <w:rPr>
          <w:vertAlign w:val="baseline"/>
        </w:rPr>
        <w:t>sex</w:t>
      </w:r>
      <w:r>
        <w:rPr>
          <w:spacing w:val="-8"/>
          <w:vertAlign w:val="baseline"/>
        </w:rPr>
        <w:t> </w:t>
      </w:r>
      <w:r>
        <w:rPr>
          <w:vertAlign w:val="baseline"/>
        </w:rPr>
        <w:t>when</w:t>
      </w:r>
      <w:r>
        <w:rPr>
          <w:spacing w:val="-8"/>
          <w:vertAlign w:val="baseline"/>
        </w:rPr>
        <w:t> </w:t>
      </w:r>
      <w:r>
        <w:rPr>
          <w:vertAlign w:val="baseline"/>
        </w:rPr>
        <w:t>they</w:t>
      </w:r>
      <w:r>
        <w:rPr>
          <w:spacing w:val="-8"/>
          <w:vertAlign w:val="baseline"/>
        </w:rPr>
        <w:t> </w:t>
      </w:r>
      <w:r>
        <w:rPr>
          <w:vertAlign w:val="baseline"/>
        </w:rPr>
        <w:t>did</w:t>
      </w:r>
      <w:r>
        <w:rPr>
          <w:spacing w:val="-7"/>
          <w:vertAlign w:val="baseline"/>
        </w:rPr>
        <w:t> </w:t>
      </w:r>
      <w:r>
        <w:rPr>
          <w:vertAlign w:val="baseline"/>
        </w:rPr>
        <w:t>not</w:t>
      </w:r>
      <w:r>
        <w:rPr>
          <w:spacing w:val="-8"/>
          <w:vertAlign w:val="baseline"/>
        </w:rPr>
        <w:t> </w:t>
      </w:r>
      <w:r>
        <w:rPr>
          <w:vertAlign w:val="baseline"/>
        </w:rPr>
        <w:t>want</w:t>
      </w:r>
      <w:r>
        <w:rPr>
          <w:spacing w:val="-7"/>
          <w:vertAlign w:val="baseline"/>
        </w:rPr>
        <w:t> </w:t>
      </w:r>
      <w:r>
        <w:rPr>
          <w:vertAlign w:val="baseline"/>
        </w:rPr>
        <w:t>to,</w:t>
      </w:r>
      <w:r>
        <w:rPr>
          <w:spacing w:val="-7"/>
          <w:vertAlign w:val="baseline"/>
        </w:rPr>
        <w:t> </w:t>
      </w:r>
      <w:r>
        <w:rPr>
          <w:vertAlign w:val="baseline"/>
        </w:rPr>
        <w:t>compared</w:t>
      </w:r>
      <w:r>
        <w:rPr>
          <w:spacing w:val="-7"/>
          <w:vertAlign w:val="baseline"/>
        </w:rPr>
        <w:t> </w:t>
      </w:r>
      <w:r>
        <w:rPr>
          <w:vertAlign w:val="baseline"/>
        </w:rPr>
        <w:t>to</w:t>
      </w:r>
      <w:r>
        <w:rPr>
          <w:spacing w:val="-6"/>
          <w:vertAlign w:val="baseline"/>
        </w:rPr>
        <w:t> </w:t>
      </w:r>
      <w:r>
        <w:rPr>
          <w:vertAlign w:val="baseline"/>
        </w:rPr>
        <w:t>5%</w:t>
      </w:r>
      <w:r>
        <w:rPr>
          <w:spacing w:val="-8"/>
          <w:vertAlign w:val="baseline"/>
        </w:rPr>
        <w:t> </w:t>
      </w:r>
      <w:r>
        <w:rPr>
          <w:vertAlign w:val="baseline"/>
        </w:rPr>
        <w:t>of</w:t>
      </w:r>
      <w:r>
        <w:rPr>
          <w:spacing w:val="-8"/>
          <w:vertAlign w:val="baseline"/>
        </w:rPr>
        <w:t> </w:t>
      </w:r>
      <w:r>
        <w:rPr>
          <w:vertAlign w:val="baseline"/>
        </w:rPr>
        <w:t>straight</w:t>
      </w:r>
      <w:r>
        <w:rPr>
          <w:spacing w:val="-7"/>
          <w:vertAlign w:val="baseline"/>
        </w:rPr>
        <w:t> </w:t>
      </w:r>
      <w:r>
        <w:rPr>
          <w:vertAlign w:val="baseline"/>
        </w:rPr>
        <w:t>youth.</w:t>
      </w:r>
      <w:r>
        <w:rPr>
          <w:spacing w:val="-7"/>
          <w:vertAlign w:val="baseline"/>
        </w:rPr>
        <w:t> </w:t>
      </w:r>
      <w:r>
        <w:rPr>
          <w:vertAlign w:val="baseline"/>
        </w:rPr>
        <w:t>In</w:t>
      </w:r>
      <w:r>
        <w:rPr>
          <w:spacing w:val="-7"/>
          <w:vertAlign w:val="baseline"/>
        </w:rPr>
        <w:t> </w:t>
      </w:r>
      <w:r>
        <w:rPr>
          <w:vertAlign w:val="baseline"/>
        </w:rPr>
        <w:t>the</w:t>
      </w:r>
      <w:r>
        <w:rPr>
          <w:spacing w:val="-7"/>
          <w:vertAlign w:val="baseline"/>
        </w:rPr>
        <w:t> </w:t>
      </w:r>
      <w:r>
        <w:rPr>
          <w:vertAlign w:val="baseline"/>
        </w:rPr>
        <w:t>same</w:t>
      </w:r>
      <w:r>
        <w:rPr>
          <w:spacing w:val="-8"/>
          <w:vertAlign w:val="baseline"/>
        </w:rPr>
        <w:t> </w:t>
      </w:r>
      <w:r>
        <w:rPr>
          <w:vertAlign w:val="baseline"/>
        </w:rPr>
        <w:t>survey, 22% of LGBQ+ youth reported experiencing sexual violence compared to 8% of heterosexual youth in Massachusetts. As mentioned above, nearly half of transgender people in the U.S. report being sexually abused</w:t>
      </w:r>
      <w:r>
        <w:rPr>
          <w:spacing w:val="-1"/>
          <w:vertAlign w:val="baseline"/>
        </w:rPr>
        <w:t> </w:t>
      </w:r>
      <w:r>
        <w:rPr>
          <w:vertAlign w:val="baseline"/>
        </w:rPr>
        <w:t>or assaulted at</w:t>
      </w:r>
      <w:r>
        <w:rPr>
          <w:spacing w:val="-1"/>
          <w:vertAlign w:val="baseline"/>
        </w:rPr>
        <w:t> </w:t>
      </w:r>
      <w:r>
        <w:rPr>
          <w:vertAlign w:val="baseline"/>
        </w:rPr>
        <w:t>some point in their life;</w:t>
      </w:r>
      <w:r>
        <w:rPr>
          <w:vertAlign w:val="superscript"/>
        </w:rPr>
        <w:t>49</w:t>
      </w:r>
      <w:r>
        <w:rPr>
          <w:spacing w:val="-1"/>
          <w:vertAlign w:val="baseline"/>
        </w:rPr>
        <w:t> </w:t>
      </w:r>
      <w:r>
        <w:rPr>
          <w:vertAlign w:val="baseline"/>
        </w:rPr>
        <w:t>46% of bisexual women</w:t>
      </w:r>
      <w:r>
        <w:rPr>
          <w:spacing w:val="-1"/>
          <w:vertAlign w:val="baseline"/>
        </w:rPr>
        <w:t> </w:t>
      </w:r>
      <w:r>
        <w:rPr>
          <w:vertAlign w:val="baseline"/>
        </w:rPr>
        <w:t>also report</w:t>
      </w:r>
      <w:r>
        <w:rPr>
          <w:spacing w:val="-1"/>
          <w:vertAlign w:val="baseline"/>
        </w:rPr>
        <w:t> </w:t>
      </w:r>
      <w:r>
        <w:rPr>
          <w:vertAlign w:val="baseline"/>
        </w:rPr>
        <w:t>being raped</w:t>
      </w:r>
      <w:r>
        <w:rPr>
          <w:spacing w:val="-1"/>
          <w:vertAlign w:val="baseline"/>
        </w:rPr>
        <w:t> </w:t>
      </w:r>
      <w:r>
        <w:rPr>
          <w:vertAlign w:val="baseline"/>
        </w:rPr>
        <w:t>at some point</w:t>
      </w:r>
      <w:r>
        <w:rPr>
          <w:spacing w:val="-9"/>
          <w:vertAlign w:val="baseline"/>
        </w:rPr>
        <w:t> </w:t>
      </w:r>
      <w:r>
        <w:rPr>
          <w:vertAlign w:val="baseline"/>
        </w:rPr>
        <w:t>in</w:t>
      </w:r>
      <w:r>
        <w:rPr>
          <w:spacing w:val="-8"/>
          <w:vertAlign w:val="baseline"/>
        </w:rPr>
        <w:t> </w:t>
      </w:r>
      <w:r>
        <w:rPr>
          <w:vertAlign w:val="baseline"/>
        </w:rPr>
        <w:t>their</w:t>
      </w:r>
      <w:r>
        <w:rPr>
          <w:spacing w:val="-8"/>
          <w:vertAlign w:val="baseline"/>
        </w:rPr>
        <w:t> </w:t>
      </w:r>
      <w:r>
        <w:rPr>
          <w:vertAlign w:val="baseline"/>
        </w:rPr>
        <w:t>lifetime</w:t>
      </w:r>
      <w:r>
        <w:rPr>
          <w:spacing w:val="-8"/>
          <w:vertAlign w:val="baseline"/>
        </w:rPr>
        <w:t> </w:t>
      </w:r>
      <w:r>
        <w:rPr>
          <w:vertAlign w:val="baseline"/>
        </w:rPr>
        <w:t>(compared</w:t>
      </w:r>
      <w:r>
        <w:rPr>
          <w:spacing w:val="-9"/>
          <w:vertAlign w:val="baseline"/>
        </w:rPr>
        <w:t> </w:t>
      </w:r>
      <w:r>
        <w:rPr>
          <w:vertAlign w:val="baseline"/>
        </w:rPr>
        <w:t>to</w:t>
      </w:r>
      <w:r>
        <w:rPr>
          <w:spacing w:val="-8"/>
          <w:vertAlign w:val="baseline"/>
        </w:rPr>
        <w:t> </w:t>
      </w:r>
      <w:r>
        <w:rPr>
          <w:vertAlign w:val="baseline"/>
        </w:rPr>
        <w:t>17%</w:t>
      </w:r>
      <w:r>
        <w:rPr>
          <w:spacing w:val="-8"/>
          <w:vertAlign w:val="baseline"/>
        </w:rPr>
        <w:t> </w:t>
      </w:r>
      <w:r>
        <w:rPr>
          <w:vertAlign w:val="baseline"/>
        </w:rPr>
        <w:t>of</w:t>
      </w:r>
      <w:r>
        <w:rPr>
          <w:spacing w:val="-9"/>
          <w:vertAlign w:val="baseline"/>
        </w:rPr>
        <w:t> </w:t>
      </w:r>
      <w:r>
        <w:rPr>
          <w:vertAlign w:val="baseline"/>
        </w:rPr>
        <w:t>straight</w:t>
      </w:r>
      <w:r>
        <w:rPr>
          <w:spacing w:val="-9"/>
          <w:vertAlign w:val="baseline"/>
        </w:rPr>
        <w:t> </w:t>
      </w:r>
      <w:r>
        <w:rPr>
          <w:vertAlign w:val="baseline"/>
        </w:rPr>
        <w:t>women)</w:t>
      </w:r>
      <w:r>
        <w:rPr>
          <w:spacing w:val="-8"/>
          <w:vertAlign w:val="baseline"/>
        </w:rPr>
        <w:t> </w:t>
      </w:r>
      <w:r>
        <w:rPr>
          <w:vertAlign w:val="baseline"/>
        </w:rPr>
        <w:t>and</w:t>
      </w:r>
      <w:r>
        <w:rPr>
          <w:spacing w:val="-9"/>
          <w:vertAlign w:val="baseline"/>
        </w:rPr>
        <w:t> </w:t>
      </w:r>
      <w:r>
        <w:rPr>
          <w:vertAlign w:val="baseline"/>
        </w:rPr>
        <w:t>for</w:t>
      </w:r>
      <w:r>
        <w:rPr>
          <w:spacing w:val="-9"/>
          <w:vertAlign w:val="baseline"/>
        </w:rPr>
        <w:t> </w:t>
      </w:r>
      <w:r>
        <w:rPr>
          <w:vertAlign w:val="baseline"/>
        </w:rPr>
        <w:t>nearly</w:t>
      </w:r>
      <w:r>
        <w:rPr>
          <w:spacing w:val="-9"/>
          <w:vertAlign w:val="baseline"/>
        </w:rPr>
        <w:t> </w:t>
      </w:r>
      <w:r>
        <w:rPr>
          <w:vertAlign w:val="baseline"/>
        </w:rPr>
        <w:t>48%</w:t>
      </w:r>
      <w:r>
        <w:rPr>
          <w:spacing w:val="-8"/>
          <w:vertAlign w:val="baseline"/>
        </w:rPr>
        <w:t> </w:t>
      </w:r>
      <w:r>
        <w:rPr>
          <w:vertAlign w:val="baseline"/>
        </w:rPr>
        <w:t>of</w:t>
      </w:r>
      <w:r>
        <w:rPr>
          <w:spacing w:val="-9"/>
          <w:vertAlign w:val="baseline"/>
        </w:rPr>
        <w:t> </w:t>
      </w:r>
      <w:r>
        <w:rPr>
          <w:vertAlign w:val="baseline"/>
        </w:rPr>
        <w:t>those</w:t>
      </w:r>
      <w:r>
        <w:rPr>
          <w:spacing w:val="-9"/>
          <w:vertAlign w:val="baseline"/>
        </w:rPr>
        <w:t> </w:t>
      </w:r>
      <w:r>
        <w:rPr>
          <w:vertAlign w:val="baseline"/>
        </w:rPr>
        <w:t>women,</w:t>
      </w:r>
      <w:r>
        <w:rPr>
          <w:spacing w:val="-9"/>
          <w:vertAlign w:val="baseline"/>
        </w:rPr>
        <w:t> </w:t>
      </w:r>
      <w:r>
        <w:rPr>
          <w:vertAlign w:val="baseline"/>
        </w:rPr>
        <w:t>their</w:t>
      </w:r>
      <w:r>
        <w:rPr>
          <w:spacing w:val="-8"/>
          <w:vertAlign w:val="baseline"/>
        </w:rPr>
        <w:t> </w:t>
      </w:r>
      <w:r>
        <w:rPr>
          <w:vertAlign w:val="baseline"/>
        </w:rPr>
        <w:t>first rape</w:t>
      </w:r>
      <w:r>
        <w:rPr>
          <w:spacing w:val="-9"/>
          <w:vertAlign w:val="baseline"/>
        </w:rPr>
        <w:t> </w:t>
      </w:r>
      <w:r>
        <w:rPr>
          <w:vertAlign w:val="baseline"/>
        </w:rPr>
        <w:t>occurred</w:t>
      </w:r>
      <w:r>
        <w:rPr>
          <w:spacing w:val="-9"/>
          <w:vertAlign w:val="baseline"/>
        </w:rPr>
        <w:t> </w:t>
      </w:r>
      <w:r>
        <w:rPr>
          <w:vertAlign w:val="baseline"/>
        </w:rPr>
        <w:t>between</w:t>
      </w:r>
      <w:r>
        <w:rPr>
          <w:spacing w:val="-8"/>
          <w:vertAlign w:val="baseline"/>
        </w:rPr>
        <w:t> </w:t>
      </w:r>
      <w:r>
        <w:rPr>
          <w:vertAlign w:val="baseline"/>
        </w:rPr>
        <w:t>the</w:t>
      </w:r>
      <w:r>
        <w:rPr>
          <w:spacing w:val="-9"/>
          <w:vertAlign w:val="baseline"/>
        </w:rPr>
        <w:t> </w:t>
      </w:r>
      <w:r>
        <w:rPr>
          <w:vertAlign w:val="baseline"/>
        </w:rPr>
        <w:t>ages</w:t>
      </w:r>
      <w:r>
        <w:rPr>
          <w:spacing w:val="-8"/>
          <w:vertAlign w:val="baseline"/>
        </w:rPr>
        <w:t> </w:t>
      </w:r>
      <w:r>
        <w:rPr>
          <w:vertAlign w:val="baseline"/>
        </w:rPr>
        <w:t>of</w:t>
      </w:r>
      <w:r>
        <w:rPr>
          <w:spacing w:val="-9"/>
          <w:vertAlign w:val="baseline"/>
        </w:rPr>
        <w:t> </w:t>
      </w:r>
      <w:r>
        <w:rPr>
          <w:vertAlign w:val="baseline"/>
        </w:rPr>
        <w:t>11</w:t>
      </w:r>
      <w:r>
        <w:rPr>
          <w:spacing w:val="-9"/>
          <w:vertAlign w:val="baseline"/>
        </w:rPr>
        <w:t> </w:t>
      </w:r>
      <w:r>
        <w:rPr>
          <w:vertAlign w:val="baseline"/>
        </w:rPr>
        <w:t>and</w:t>
      </w:r>
      <w:r>
        <w:rPr>
          <w:spacing w:val="-9"/>
          <w:vertAlign w:val="baseline"/>
        </w:rPr>
        <w:t> </w:t>
      </w:r>
      <w:r>
        <w:rPr>
          <w:vertAlign w:val="baseline"/>
        </w:rPr>
        <w:t>17.</w:t>
      </w:r>
      <w:r>
        <w:rPr>
          <w:vertAlign w:val="superscript"/>
        </w:rPr>
        <w:t>50</w:t>
      </w:r>
      <w:r>
        <w:rPr>
          <w:spacing w:val="-8"/>
          <w:vertAlign w:val="baseline"/>
        </w:rPr>
        <w:t> </w:t>
      </w:r>
      <w:r>
        <w:rPr>
          <w:vertAlign w:val="baseline"/>
        </w:rPr>
        <w:t>Across</w:t>
      </w:r>
      <w:r>
        <w:rPr>
          <w:spacing w:val="-9"/>
          <w:vertAlign w:val="baseline"/>
        </w:rPr>
        <w:t> </w:t>
      </w:r>
      <w:r>
        <w:rPr>
          <w:vertAlign w:val="baseline"/>
        </w:rPr>
        <w:t>college</w:t>
      </w:r>
      <w:r>
        <w:rPr>
          <w:spacing w:val="-8"/>
          <w:vertAlign w:val="baseline"/>
        </w:rPr>
        <w:t> </w:t>
      </w:r>
      <w:r>
        <w:rPr>
          <w:vertAlign w:val="baseline"/>
        </w:rPr>
        <w:t>campuses,</w:t>
      </w:r>
      <w:r>
        <w:rPr>
          <w:spacing w:val="-9"/>
          <w:vertAlign w:val="baseline"/>
        </w:rPr>
        <w:t> </w:t>
      </w:r>
      <w:r>
        <w:rPr>
          <w:vertAlign w:val="baseline"/>
        </w:rPr>
        <w:t>research</w:t>
      </w:r>
      <w:r>
        <w:rPr>
          <w:spacing w:val="-9"/>
          <w:vertAlign w:val="baseline"/>
        </w:rPr>
        <w:t> </w:t>
      </w:r>
      <w:r>
        <w:rPr>
          <w:vertAlign w:val="baseline"/>
        </w:rPr>
        <w:t>has</w:t>
      </w:r>
      <w:r>
        <w:rPr>
          <w:spacing w:val="-9"/>
          <w:vertAlign w:val="baseline"/>
        </w:rPr>
        <w:t> </w:t>
      </w:r>
      <w:r>
        <w:rPr>
          <w:vertAlign w:val="baseline"/>
        </w:rPr>
        <w:t>long</w:t>
      </w:r>
      <w:r>
        <w:rPr>
          <w:spacing w:val="-7"/>
          <w:vertAlign w:val="baseline"/>
        </w:rPr>
        <w:t> </w:t>
      </w:r>
      <w:r>
        <w:rPr>
          <w:vertAlign w:val="baseline"/>
        </w:rPr>
        <w:t>demonstrated that</w:t>
      </w:r>
      <w:r>
        <w:rPr>
          <w:spacing w:val="-1"/>
          <w:vertAlign w:val="baseline"/>
        </w:rPr>
        <w:t> </w:t>
      </w:r>
      <w:r>
        <w:rPr>
          <w:vertAlign w:val="baseline"/>
        </w:rPr>
        <w:t>sexual</w:t>
      </w:r>
      <w:r>
        <w:rPr>
          <w:spacing w:val="-1"/>
          <w:vertAlign w:val="baseline"/>
        </w:rPr>
        <w:t> </w:t>
      </w:r>
      <w:r>
        <w:rPr>
          <w:vertAlign w:val="baseline"/>
        </w:rPr>
        <w:t>violence</w:t>
      </w:r>
      <w:r>
        <w:rPr>
          <w:spacing w:val="-1"/>
          <w:vertAlign w:val="baseline"/>
        </w:rPr>
        <w:t> </w:t>
      </w:r>
      <w:r>
        <w:rPr>
          <w:vertAlign w:val="baseline"/>
        </w:rPr>
        <w:t>is</w:t>
      </w:r>
      <w:r>
        <w:rPr>
          <w:spacing w:val="-1"/>
          <w:vertAlign w:val="baseline"/>
        </w:rPr>
        <w:t> </w:t>
      </w:r>
      <w:r>
        <w:rPr>
          <w:vertAlign w:val="baseline"/>
        </w:rPr>
        <w:t>a pervasive</w:t>
      </w:r>
      <w:r>
        <w:rPr>
          <w:spacing w:val="-2"/>
          <w:vertAlign w:val="baseline"/>
        </w:rPr>
        <w:t> </w:t>
      </w:r>
      <w:r>
        <w:rPr>
          <w:vertAlign w:val="baseline"/>
        </w:rPr>
        <w:t>issue</w:t>
      </w:r>
      <w:r>
        <w:rPr>
          <w:spacing w:val="-1"/>
          <w:vertAlign w:val="baseline"/>
        </w:rPr>
        <w:t> </w:t>
      </w:r>
      <w:r>
        <w:rPr>
          <w:vertAlign w:val="baseline"/>
        </w:rPr>
        <w:t>that</w:t>
      </w:r>
      <w:r>
        <w:rPr>
          <w:spacing w:val="-1"/>
          <w:vertAlign w:val="baseline"/>
        </w:rPr>
        <w:t> </w:t>
      </w:r>
      <w:r>
        <w:rPr>
          <w:vertAlign w:val="baseline"/>
        </w:rPr>
        <w:t>LGBTQ</w:t>
      </w:r>
      <w:r>
        <w:rPr>
          <w:spacing w:val="-1"/>
          <w:vertAlign w:val="baseline"/>
        </w:rPr>
        <w:t> </w:t>
      </w:r>
      <w:r>
        <w:rPr>
          <w:vertAlign w:val="baseline"/>
        </w:rPr>
        <w:t>youth</w:t>
      </w:r>
      <w:r>
        <w:rPr>
          <w:spacing w:val="-1"/>
          <w:vertAlign w:val="baseline"/>
        </w:rPr>
        <w:t> </w:t>
      </w:r>
      <w:r>
        <w:rPr>
          <w:vertAlign w:val="baseline"/>
        </w:rPr>
        <w:t>experience</w:t>
      </w:r>
      <w:r>
        <w:rPr>
          <w:spacing w:val="-1"/>
          <w:vertAlign w:val="baseline"/>
        </w:rPr>
        <w:t> </w:t>
      </w:r>
      <w:r>
        <w:rPr>
          <w:vertAlign w:val="baseline"/>
        </w:rPr>
        <w:t>sexual</w:t>
      </w:r>
      <w:r>
        <w:rPr>
          <w:spacing w:val="-1"/>
          <w:vertAlign w:val="baseline"/>
        </w:rPr>
        <w:t> </w:t>
      </w:r>
      <w:r>
        <w:rPr>
          <w:vertAlign w:val="baseline"/>
        </w:rPr>
        <w:t>violence</w:t>
      </w:r>
      <w:r>
        <w:rPr>
          <w:spacing w:val="-1"/>
          <w:vertAlign w:val="baseline"/>
        </w:rPr>
        <w:t> </w:t>
      </w:r>
      <w:r>
        <w:rPr>
          <w:vertAlign w:val="baseline"/>
        </w:rPr>
        <w:t>at</w:t>
      </w:r>
      <w:r>
        <w:rPr>
          <w:spacing w:val="-1"/>
          <w:vertAlign w:val="baseline"/>
        </w:rPr>
        <w:t> </w:t>
      </w:r>
      <w:r>
        <w:rPr>
          <w:vertAlign w:val="baseline"/>
        </w:rPr>
        <w:t>disproportionate</w:t>
      </w:r>
    </w:p>
    <w:p>
      <w:pPr>
        <w:spacing w:after="0" w:line="276" w:lineRule="auto"/>
        <w:jc w:val="both"/>
        <w:sectPr>
          <w:pgSz w:w="12240" w:h="15840"/>
          <w:pgMar w:header="763" w:footer="1339" w:top="1180" w:bottom="1560" w:left="1080" w:right="1240"/>
        </w:sectPr>
      </w:pPr>
    </w:p>
    <w:p>
      <w:pPr>
        <w:pStyle w:val="BodyText"/>
        <w:spacing w:before="69"/>
        <w:ind w:left="363"/>
        <w:jc w:val="both"/>
      </w:pPr>
      <w:r>
        <w:rPr/>
        <w:t>rates.</w:t>
      </w:r>
      <w:r>
        <w:rPr>
          <w:spacing w:val="40"/>
        </w:rPr>
        <w:t> </w:t>
      </w:r>
      <w:r>
        <w:rPr/>
        <w:t>The</w:t>
      </w:r>
      <w:r>
        <w:rPr>
          <w:spacing w:val="41"/>
        </w:rPr>
        <w:t> </w:t>
      </w:r>
      <w:r>
        <w:rPr/>
        <w:t>Commission</w:t>
      </w:r>
      <w:r>
        <w:rPr>
          <w:spacing w:val="41"/>
        </w:rPr>
        <w:t> </w:t>
      </w:r>
      <w:r>
        <w:rPr/>
        <w:t>commends</w:t>
      </w:r>
      <w:r>
        <w:rPr>
          <w:spacing w:val="41"/>
        </w:rPr>
        <w:t> </w:t>
      </w:r>
      <w:r>
        <w:rPr/>
        <w:t>the</w:t>
      </w:r>
      <w:r>
        <w:rPr>
          <w:spacing w:val="40"/>
        </w:rPr>
        <w:t> </w:t>
      </w:r>
      <w:r>
        <w:rPr/>
        <w:t>actions</w:t>
      </w:r>
      <w:r>
        <w:rPr>
          <w:spacing w:val="41"/>
        </w:rPr>
        <w:t> </w:t>
      </w:r>
      <w:r>
        <w:rPr/>
        <w:t>of</w:t>
      </w:r>
      <w:r>
        <w:rPr>
          <w:spacing w:val="41"/>
        </w:rPr>
        <w:t> </w:t>
      </w:r>
      <w:r>
        <w:rPr/>
        <w:t>Massachusetts</w:t>
      </w:r>
      <w:r>
        <w:rPr>
          <w:spacing w:val="41"/>
        </w:rPr>
        <w:t> </w:t>
      </w:r>
      <w:r>
        <w:rPr/>
        <w:t>advocates,</w:t>
      </w:r>
      <w:r>
        <w:rPr>
          <w:spacing w:val="40"/>
        </w:rPr>
        <w:t> </w:t>
      </w:r>
      <w:r>
        <w:rPr/>
        <w:t>legislators,</w:t>
      </w:r>
      <w:r>
        <w:rPr>
          <w:spacing w:val="40"/>
        </w:rPr>
        <w:t> </w:t>
      </w:r>
      <w:r>
        <w:rPr/>
        <w:t>and</w:t>
      </w:r>
      <w:r>
        <w:rPr>
          <w:spacing w:val="40"/>
        </w:rPr>
        <w:t> </w:t>
      </w:r>
      <w:r>
        <w:rPr>
          <w:spacing w:val="-2"/>
        </w:rPr>
        <w:t>campus</w:t>
      </w:r>
    </w:p>
    <w:p>
      <w:pPr>
        <w:pStyle w:val="BodyText"/>
        <w:spacing w:line="276" w:lineRule="auto" w:before="39"/>
        <w:ind w:left="4654" w:right="142"/>
        <w:jc w:val="both"/>
      </w:pPr>
      <w:r>
        <w:rPr/>
        <w:drawing>
          <wp:anchor distT="0" distB="0" distL="0" distR="0" allowOverlap="1" layoutInCell="1" locked="0" behindDoc="0" simplePos="0" relativeHeight="15788544">
            <wp:simplePos x="0" y="0"/>
            <wp:positionH relativeFrom="page">
              <wp:posOffset>825499</wp:posOffset>
            </wp:positionH>
            <wp:positionV relativeFrom="paragraph">
              <wp:posOffset>210086</wp:posOffset>
            </wp:positionV>
            <wp:extent cx="2724784" cy="2724784"/>
            <wp:effectExtent l="0" t="0" r="0" b="0"/>
            <wp:wrapNone/>
            <wp:docPr id="326" name="Image 326"/>
            <wp:cNvGraphicFramePr>
              <a:graphicFrameLocks/>
            </wp:cNvGraphicFramePr>
            <a:graphic>
              <a:graphicData uri="http://schemas.openxmlformats.org/drawingml/2006/picture">
                <pic:pic>
                  <pic:nvPicPr>
                    <pic:cNvPr id="326" name="Image 326"/>
                    <pic:cNvPicPr/>
                  </pic:nvPicPr>
                  <pic:blipFill>
                    <a:blip r:embed="rId400" cstate="print"/>
                    <a:stretch>
                      <a:fillRect/>
                    </a:stretch>
                  </pic:blipFill>
                  <pic:spPr>
                    <a:xfrm>
                      <a:off x="0" y="0"/>
                      <a:ext cx="2724784" cy="2724784"/>
                    </a:xfrm>
                    <a:prstGeom prst="rect">
                      <a:avLst/>
                    </a:prstGeom>
                  </pic:spPr>
                </pic:pic>
              </a:graphicData>
            </a:graphic>
          </wp:anchor>
        </w:drawing>
      </w:r>
      <w:r>
        <w:rPr/>
        <w:t>officials</w:t>
      </w:r>
      <w:r>
        <w:rPr>
          <w:spacing w:val="-13"/>
        </w:rPr>
        <w:t> </w:t>
      </w:r>
      <w:r>
        <w:rPr/>
        <w:t>for</w:t>
      </w:r>
      <w:r>
        <w:rPr>
          <w:spacing w:val="-12"/>
        </w:rPr>
        <w:t> </w:t>
      </w:r>
      <w:r>
        <w:rPr/>
        <w:t>prioritizing</w:t>
      </w:r>
      <w:r>
        <w:rPr>
          <w:spacing w:val="-13"/>
        </w:rPr>
        <w:t> </w:t>
      </w:r>
      <w:r>
        <w:rPr/>
        <w:t>campus</w:t>
      </w:r>
      <w:r>
        <w:rPr>
          <w:spacing w:val="-12"/>
        </w:rPr>
        <w:t> </w:t>
      </w:r>
      <w:r>
        <w:rPr/>
        <w:t>safety</w:t>
      </w:r>
      <w:r>
        <w:rPr>
          <w:spacing w:val="-13"/>
        </w:rPr>
        <w:t> </w:t>
      </w:r>
      <w:r>
        <w:rPr/>
        <w:t>for</w:t>
      </w:r>
      <w:r>
        <w:rPr>
          <w:spacing w:val="-12"/>
        </w:rPr>
        <w:t> </w:t>
      </w:r>
      <w:r>
        <w:rPr/>
        <w:t>youth</w:t>
      </w:r>
      <w:r>
        <w:rPr>
          <w:spacing w:val="-13"/>
        </w:rPr>
        <w:t> </w:t>
      </w:r>
      <w:r>
        <w:rPr/>
        <w:t>across</w:t>
      </w:r>
      <w:r>
        <w:rPr>
          <w:spacing w:val="-12"/>
        </w:rPr>
        <w:t> </w:t>
      </w:r>
      <w:r>
        <w:rPr/>
        <w:t>the state but urges campuses to continue to explore ways to support LGBTQ youth.</w:t>
      </w:r>
    </w:p>
    <w:p>
      <w:pPr>
        <w:pStyle w:val="BodyText"/>
        <w:spacing w:line="276" w:lineRule="auto" w:before="120"/>
        <w:ind w:left="4654" w:right="140"/>
        <w:jc w:val="both"/>
      </w:pPr>
      <w:r>
        <w:rPr/>
        <w:t>Within carceral and education institutions, as well as shelters and transitional housing units,</w:t>
      </w:r>
      <w:r>
        <w:rPr>
          <w:vertAlign w:val="superscript"/>
        </w:rPr>
        <w:t>51</w:t>
      </w:r>
      <w:r>
        <w:rPr>
          <w:vertAlign w:val="baseline"/>
        </w:rPr>
        <w:t> LGBTQ youth experience disproportionately higher rates of sexual violence. Nationwide, in a 2014 survey 40% of transgender people reported being sexually assaulted or abused in a carceral institution, which is nearly ten times the rate of cisgender incarcerated people.</w:t>
      </w:r>
      <w:r>
        <w:rPr>
          <w:vertAlign w:val="superscript"/>
        </w:rPr>
        <w:t>52</w:t>
      </w:r>
      <w:r>
        <w:rPr>
          <w:vertAlign w:val="baseline"/>
        </w:rPr>
        <w:t> As noted in the criminal justice and homelessness sections of this annual report, transgender youth who are housed in single-sex environments that do not match their gender identity</w:t>
      </w:r>
      <w:r>
        <w:rPr>
          <w:spacing w:val="-9"/>
          <w:vertAlign w:val="baseline"/>
        </w:rPr>
        <w:t> </w:t>
      </w:r>
      <w:r>
        <w:rPr>
          <w:vertAlign w:val="baseline"/>
        </w:rPr>
        <w:t>are</w:t>
      </w:r>
      <w:r>
        <w:rPr>
          <w:spacing w:val="-8"/>
          <w:vertAlign w:val="baseline"/>
        </w:rPr>
        <w:t> </w:t>
      </w:r>
      <w:r>
        <w:rPr>
          <w:vertAlign w:val="baseline"/>
        </w:rPr>
        <w:t>more</w:t>
      </w:r>
      <w:r>
        <w:rPr>
          <w:spacing w:val="-9"/>
          <w:vertAlign w:val="baseline"/>
        </w:rPr>
        <w:t> </w:t>
      </w:r>
      <w:r>
        <w:rPr>
          <w:vertAlign w:val="baseline"/>
        </w:rPr>
        <w:t>likely</w:t>
      </w:r>
      <w:r>
        <w:rPr>
          <w:spacing w:val="-7"/>
          <w:vertAlign w:val="baseline"/>
        </w:rPr>
        <w:t> </w:t>
      </w:r>
      <w:r>
        <w:rPr>
          <w:vertAlign w:val="baseline"/>
        </w:rPr>
        <w:t>to</w:t>
      </w:r>
      <w:r>
        <w:rPr>
          <w:spacing w:val="-7"/>
          <w:vertAlign w:val="baseline"/>
        </w:rPr>
        <w:t> </w:t>
      </w:r>
      <w:r>
        <w:rPr>
          <w:vertAlign w:val="baseline"/>
        </w:rPr>
        <w:t>be</w:t>
      </w:r>
      <w:r>
        <w:rPr>
          <w:spacing w:val="-9"/>
          <w:vertAlign w:val="baseline"/>
        </w:rPr>
        <w:t> </w:t>
      </w:r>
      <w:r>
        <w:rPr>
          <w:vertAlign w:val="baseline"/>
        </w:rPr>
        <w:t>at</w:t>
      </w:r>
      <w:r>
        <w:rPr>
          <w:spacing w:val="-8"/>
          <w:vertAlign w:val="baseline"/>
        </w:rPr>
        <w:t> </w:t>
      </w:r>
      <w:r>
        <w:rPr>
          <w:vertAlign w:val="baseline"/>
        </w:rPr>
        <w:t>risk</w:t>
      </w:r>
      <w:r>
        <w:rPr>
          <w:spacing w:val="-9"/>
          <w:vertAlign w:val="baseline"/>
        </w:rPr>
        <w:t> </w:t>
      </w:r>
      <w:r>
        <w:rPr>
          <w:vertAlign w:val="baseline"/>
        </w:rPr>
        <w:t>of</w:t>
      </w:r>
      <w:r>
        <w:rPr>
          <w:spacing w:val="-9"/>
          <w:vertAlign w:val="baseline"/>
        </w:rPr>
        <w:t> </w:t>
      </w:r>
      <w:r>
        <w:rPr>
          <w:vertAlign w:val="baseline"/>
        </w:rPr>
        <w:t>sexual</w:t>
      </w:r>
      <w:r>
        <w:rPr>
          <w:spacing w:val="-9"/>
          <w:vertAlign w:val="baseline"/>
        </w:rPr>
        <w:t> </w:t>
      </w:r>
      <w:r>
        <w:rPr>
          <w:vertAlign w:val="baseline"/>
        </w:rPr>
        <w:t>assault</w:t>
      </w:r>
      <w:r>
        <w:rPr>
          <w:spacing w:val="-8"/>
          <w:vertAlign w:val="baseline"/>
        </w:rPr>
        <w:t> </w:t>
      </w:r>
      <w:r>
        <w:rPr>
          <w:vertAlign w:val="baseline"/>
        </w:rPr>
        <w:t>from other</w:t>
      </w:r>
      <w:r>
        <w:rPr>
          <w:spacing w:val="68"/>
          <w:vertAlign w:val="baseline"/>
        </w:rPr>
        <w:t>  </w:t>
      </w:r>
      <w:r>
        <w:rPr>
          <w:vertAlign w:val="baseline"/>
        </w:rPr>
        <w:t>residents</w:t>
      </w:r>
      <w:r>
        <w:rPr>
          <w:spacing w:val="68"/>
          <w:vertAlign w:val="baseline"/>
        </w:rPr>
        <w:t>  </w:t>
      </w:r>
      <w:r>
        <w:rPr>
          <w:vertAlign w:val="baseline"/>
        </w:rPr>
        <w:t>and</w:t>
      </w:r>
      <w:r>
        <w:rPr>
          <w:spacing w:val="69"/>
          <w:vertAlign w:val="baseline"/>
        </w:rPr>
        <w:t>  </w:t>
      </w:r>
      <w:r>
        <w:rPr>
          <w:vertAlign w:val="baseline"/>
        </w:rPr>
        <w:t>facility</w:t>
      </w:r>
      <w:r>
        <w:rPr>
          <w:spacing w:val="69"/>
          <w:vertAlign w:val="baseline"/>
        </w:rPr>
        <w:t>  </w:t>
      </w:r>
      <w:r>
        <w:rPr>
          <w:vertAlign w:val="baseline"/>
        </w:rPr>
        <w:t>staff.</w:t>
      </w:r>
      <w:r>
        <w:rPr>
          <w:spacing w:val="68"/>
          <w:vertAlign w:val="baseline"/>
        </w:rPr>
        <w:t>  </w:t>
      </w:r>
      <w:r>
        <w:rPr>
          <w:spacing w:val="-2"/>
          <w:vertAlign w:val="baseline"/>
        </w:rPr>
        <w:t>Furthermore,</w:t>
      </w:r>
    </w:p>
    <w:p>
      <w:pPr>
        <w:pStyle w:val="BodyText"/>
        <w:spacing w:line="276" w:lineRule="auto" w:before="1"/>
        <w:ind w:left="363" w:right="143"/>
        <w:jc w:val="both"/>
      </w:pPr>
      <w:r>
        <w:rPr/>
        <w:t>homelessness, history of abuse, disengagement from family, and substance abuse all increase LGBTQ youth’s risk of being sexually exploited or trafficked.</w:t>
      </w:r>
      <w:r>
        <w:rPr>
          <w:vertAlign w:val="superscript"/>
        </w:rPr>
        <w:t>53</w:t>
      </w:r>
    </w:p>
    <w:p>
      <w:pPr>
        <w:pStyle w:val="BodyText"/>
        <w:spacing w:line="276" w:lineRule="auto" w:before="123"/>
        <w:ind w:left="363" w:right="140"/>
        <w:jc w:val="both"/>
      </w:pPr>
      <w:r>
        <w:rPr/>
        <w:t>When looking at sexual victimization prevention strategies, including in bystander intervention methods training,</w:t>
      </w:r>
      <w:r>
        <w:rPr>
          <w:spacing w:val="-4"/>
        </w:rPr>
        <w:t> </w:t>
      </w:r>
      <w:r>
        <w:rPr/>
        <w:t>it</w:t>
      </w:r>
      <w:r>
        <w:rPr>
          <w:spacing w:val="-5"/>
        </w:rPr>
        <w:t> </w:t>
      </w:r>
      <w:r>
        <w:rPr/>
        <w:t>is</w:t>
      </w:r>
      <w:r>
        <w:rPr>
          <w:spacing w:val="-4"/>
        </w:rPr>
        <w:t> </w:t>
      </w:r>
      <w:r>
        <w:rPr/>
        <w:t>important</w:t>
      </w:r>
      <w:r>
        <w:rPr>
          <w:spacing w:val="-5"/>
        </w:rPr>
        <w:t> </w:t>
      </w:r>
      <w:r>
        <w:rPr/>
        <w:t>to</w:t>
      </w:r>
      <w:r>
        <w:rPr>
          <w:spacing w:val="-4"/>
        </w:rPr>
        <w:t> </w:t>
      </w:r>
      <w:r>
        <w:rPr/>
        <w:t>take</w:t>
      </w:r>
      <w:r>
        <w:rPr>
          <w:spacing w:val="-6"/>
        </w:rPr>
        <w:t> </w:t>
      </w:r>
      <w:r>
        <w:rPr/>
        <w:t>specific</w:t>
      </w:r>
      <w:r>
        <w:rPr>
          <w:spacing w:val="-6"/>
        </w:rPr>
        <w:t> </w:t>
      </w:r>
      <w:r>
        <w:rPr/>
        <w:t>societal</w:t>
      </w:r>
      <w:r>
        <w:rPr>
          <w:spacing w:val="-4"/>
        </w:rPr>
        <w:t> </w:t>
      </w:r>
      <w:r>
        <w:rPr/>
        <w:t>and</w:t>
      </w:r>
      <w:r>
        <w:rPr>
          <w:spacing w:val="-4"/>
        </w:rPr>
        <w:t> </w:t>
      </w:r>
      <w:r>
        <w:rPr/>
        <w:t>cultural</w:t>
      </w:r>
      <w:r>
        <w:rPr>
          <w:spacing w:val="-4"/>
        </w:rPr>
        <w:t> </w:t>
      </w:r>
      <w:r>
        <w:rPr/>
        <w:t>considerations</w:t>
      </w:r>
      <w:r>
        <w:rPr>
          <w:spacing w:val="-5"/>
        </w:rPr>
        <w:t> </w:t>
      </w:r>
      <w:r>
        <w:rPr/>
        <w:t>for</w:t>
      </w:r>
      <w:r>
        <w:rPr>
          <w:spacing w:val="-5"/>
        </w:rPr>
        <w:t> </w:t>
      </w:r>
      <w:r>
        <w:rPr/>
        <w:t>LGBTQ</w:t>
      </w:r>
      <w:r>
        <w:rPr>
          <w:spacing w:val="-4"/>
        </w:rPr>
        <w:t> </w:t>
      </w:r>
      <w:r>
        <w:rPr/>
        <w:t>and</w:t>
      </w:r>
      <w:r>
        <w:rPr>
          <w:spacing w:val="-4"/>
        </w:rPr>
        <w:t> </w:t>
      </w:r>
      <w:r>
        <w:rPr/>
        <w:t>QTBIPOC</w:t>
      </w:r>
      <w:r>
        <w:rPr>
          <w:spacing w:val="-5"/>
        </w:rPr>
        <w:t> </w:t>
      </w:r>
      <w:r>
        <w:rPr/>
        <w:t>youth into</w:t>
      </w:r>
      <w:r>
        <w:rPr>
          <w:spacing w:val="-4"/>
        </w:rPr>
        <w:t> </w:t>
      </w:r>
      <w:r>
        <w:rPr/>
        <w:t>account.</w:t>
      </w:r>
      <w:r>
        <w:rPr>
          <w:spacing w:val="-3"/>
        </w:rPr>
        <w:t> </w:t>
      </w:r>
      <w:r>
        <w:rPr/>
        <w:t>For</w:t>
      </w:r>
      <w:r>
        <w:rPr>
          <w:spacing w:val="-4"/>
        </w:rPr>
        <w:t> </w:t>
      </w:r>
      <w:r>
        <w:rPr/>
        <w:t>example,</w:t>
      </w:r>
      <w:r>
        <w:rPr>
          <w:spacing w:val="-3"/>
        </w:rPr>
        <w:t> </w:t>
      </w:r>
      <w:r>
        <w:rPr/>
        <w:t>one</w:t>
      </w:r>
      <w:r>
        <w:rPr>
          <w:spacing w:val="-4"/>
        </w:rPr>
        <w:t> </w:t>
      </w:r>
      <w:r>
        <w:rPr/>
        <w:t>way</w:t>
      </w:r>
      <w:r>
        <w:rPr>
          <w:spacing w:val="-4"/>
        </w:rPr>
        <w:t> </w:t>
      </w:r>
      <w:r>
        <w:rPr/>
        <w:t>a</w:t>
      </w:r>
      <w:r>
        <w:rPr>
          <w:spacing w:val="-4"/>
        </w:rPr>
        <w:t> </w:t>
      </w:r>
      <w:r>
        <w:rPr/>
        <w:t>well-meaning</w:t>
      </w:r>
      <w:r>
        <w:rPr>
          <w:spacing w:val="-3"/>
        </w:rPr>
        <w:t> </w:t>
      </w:r>
      <w:r>
        <w:rPr/>
        <w:t>bystander</w:t>
      </w:r>
      <w:r>
        <w:rPr>
          <w:spacing w:val="-3"/>
        </w:rPr>
        <w:t> </w:t>
      </w:r>
      <w:r>
        <w:rPr/>
        <w:t>may</w:t>
      </w:r>
      <w:r>
        <w:rPr>
          <w:spacing w:val="-3"/>
        </w:rPr>
        <w:t> </w:t>
      </w:r>
      <w:r>
        <w:rPr/>
        <w:t>try</w:t>
      </w:r>
      <w:r>
        <w:rPr>
          <w:spacing w:val="-4"/>
        </w:rPr>
        <w:t> </w:t>
      </w:r>
      <w:r>
        <w:rPr/>
        <w:t>to</w:t>
      </w:r>
      <w:r>
        <w:rPr>
          <w:spacing w:val="-4"/>
        </w:rPr>
        <w:t> </w:t>
      </w:r>
      <w:r>
        <w:rPr/>
        <w:t>intervene</w:t>
      </w:r>
      <w:r>
        <w:rPr>
          <w:spacing w:val="-4"/>
        </w:rPr>
        <w:t> </w:t>
      </w:r>
      <w:r>
        <w:rPr/>
        <w:t>is</w:t>
      </w:r>
      <w:r>
        <w:rPr>
          <w:spacing w:val="-3"/>
        </w:rPr>
        <w:t> </w:t>
      </w:r>
      <w:r>
        <w:rPr/>
        <w:t>by</w:t>
      </w:r>
      <w:r>
        <w:rPr>
          <w:spacing w:val="-3"/>
        </w:rPr>
        <w:t> </w:t>
      </w:r>
      <w:r>
        <w:rPr/>
        <w:t>calling</w:t>
      </w:r>
      <w:r>
        <w:rPr>
          <w:spacing w:val="-4"/>
        </w:rPr>
        <w:t> </w:t>
      </w:r>
      <w:r>
        <w:rPr/>
        <w:t>the</w:t>
      </w:r>
      <w:r>
        <w:rPr>
          <w:spacing w:val="-3"/>
        </w:rPr>
        <w:t> </w:t>
      </w:r>
      <w:r>
        <w:rPr/>
        <w:t>police to</w:t>
      </w:r>
      <w:r>
        <w:rPr>
          <w:spacing w:val="-2"/>
        </w:rPr>
        <w:t> </w:t>
      </w:r>
      <w:r>
        <w:rPr/>
        <w:t>mediate</w:t>
      </w:r>
      <w:r>
        <w:rPr>
          <w:spacing w:val="-3"/>
        </w:rPr>
        <w:t> </w:t>
      </w:r>
      <w:r>
        <w:rPr/>
        <w:t>an</w:t>
      </w:r>
      <w:r>
        <w:rPr>
          <w:spacing w:val="-3"/>
        </w:rPr>
        <w:t> </w:t>
      </w:r>
      <w:r>
        <w:rPr/>
        <w:t>incident.</w:t>
      </w:r>
      <w:r>
        <w:rPr>
          <w:spacing w:val="-3"/>
        </w:rPr>
        <w:t> </w:t>
      </w:r>
      <w:r>
        <w:rPr/>
        <w:t>However,</w:t>
      </w:r>
      <w:r>
        <w:rPr>
          <w:spacing w:val="-3"/>
        </w:rPr>
        <w:t> </w:t>
      </w:r>
      <w:r>
        <w:rPr/>
        <w:t>as</w:t>
      </w:r>
      <w:r>
        <w:rPr>
          <w:spacing w:val="-3"/>
        </w:rPr>
        <w:t> </w:t>
      </w:r>
      <w:r>
        <w:rPr/>
        <w:t>discussed</w:t>
      </w:r>
      <w:r>
        <w:rPr>
          <w:spacing w:val="-3"/>
        </w:rPr>
        <w:t> </w:t>
      </w:r>
      <w:r>
        <w:rPr/>
        <w:t>further</w:t>
      </w:r>
      <w:r>
        <w:rPr>
          <w:spacing w:val="-3"/>
        </w:rPr>
        <w:t> </w:t>
      </w:r>
      <w:r>
        <w:rPr/>
        <w:t>in</w:t>
      </w:r>
      <w:r>
        <w:rPr>
          <w:spacing w:val="-3"/>
        </w:rPr>
        <w:t> </w:t>
      </w:r>
      <w:r>
        <w:rPr/>
        <w:t>the</w:t>
      </w:r>
      <w:r>
        <w:rPr>
          <w:spacing w:val="-3"/>
        </w:rPr>
        <w:t> </w:t>
      </w:r>
      <w:r>
        <w:rPr/>
        <w:t>criminal</w:t>
      </w:r>
      <w:r>
        <w:rPr>
          <w:spacing w:val="-3"/>
        </w:rPr>
        <w:t> </w:t>
      </w:r>
      <w:r>
        <w:rPr/>
        <w:t>justice</w:t>
      </w:r>
      <w:r>
        <w:rPr>
          <w:spacing w:val="-2"/>
        </w:rPr>
        <w:t> </w:t>
      </w:r>
      <w:r>
        <w:rPr/>
        <w:t>section</w:t>
      </w:r>
      <w:r>
        <w:rPr>
          <w:spacing w:val="-3"/>
        </w:rPr>
        <w:t> </w:t>
      </w:r>
      <w:r>
        <w:rPr/>
        <w:t>of</w:t>
      </w:r>
      <w:r>
        <w:rPr>
          <w:spacing w:val="-3"/>
        </w:rPr>
        <w:t> </w:t>
      </w:r>
      <w:r>
        <w:rPr/>
        <w:t>this</w:t>
      </w:r>
      <w:r>
        <w:rPr>
          <w:spacing w:val="-3"/>
        </w:rPr>
        <w:t> </w:t>
      </w:r>
      <w:r>
        <w:rPr/>
        <w:t>annual</w:t>
      </w:r>
      <w:r>
        <w:rPr>
          <w:spacing w:val="-3"/>
        </w:rPr>
        <w:t> </w:t>
      </w:r>
      <w:r>
        <w:rPr/>
        <w:t>report, police intervention for QTBIPOC youth can sometimes be particularly dangerous, given the disproportionate rates of police hostility, harassment, and violence.</w:t>
      </w:r>
      <w:r>
        <w:rPr>
          <w:vertAlign w:val="superscript"/>
        </w:rPr>
        <w:t>54</w:t>
      </w:r>
    </w:p>
    <w:p>
      <w:pPr>
        <w:pStyle w:val="BodyText"/>
        <w:spacing w:before="129"/>
      </w:pPr>
    </w:p>
    <w:p>
      <w:pPr>
        <w:spacing w:before="0"/>
        <w:ind w:left="363" w:right="0" w:firstLine="0"/>
        <w:jc w:val="left"/>
        <w:rPr>
          <w:sz w:val="28"/>
        </w:rPr>
      </w:pPr>
      <w:r>
        <w:rPr/>
        <mc:AlternateContent>
          <mc:Choice Requires="wps">
            <w:drawing>
              <wp:anchor distT="0" distB="0" distL="0" distR="0" allowOverlap="1" layoutInCell="1" locked="0" behindDoc="1" simplePos="0" relativeHeight="487646720">
                <wp:simplePos x="0" y="0"/>
                <wp:positionH relativeFrom="page">
                  <wp:posOffset>897636</wp:posOffset>
                </wp:positionH>
                <wp:positionV relativeFrom="paragraph">
                  <wp:posOffset>230250</wp:posOffset>
                </wp:positionV>
                <wp:extent cx="6014720" cy="635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6014720" cy="6350"/>
                        </a:xfrm>
                        <a:custGeom>
                          <a:avLst/>
                          <a:gdLst/>
                          <a:ahLst/>
                          <a:cxnLst/>
                          <a:rect l="l" t="t" r="r" b="b"/>
                          <a:pathLst>
                            <a:path w="6014720" h="6350">
                              <a:moveTo>
                                <a:pt x="6014466" y="0"/>
                              </a:moveTo>
                              <a:lnTo>
                                <a:pt x="0" y="0"/>
                              </a:lnTo>
                              <a:lnTo>
                                <a:pt x="0" y="6108"/>
                              </a:lnTo>
                              <a:lnTo>
                                <a:pt x="6014466" y="6108"/>
                              </a:lnTo>
                              <a:lnTo>
                                <a:pt x="60144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29957pt;width:473.58pt;height:.481pt;mso-position-horizontal-relative:page;mso-position-vertical-relative:paragraph;z-index:-15669760;mso-wrap-distance-left:0;mso-wrap-distance-right:0" id="docshape256" filled="true" fillcolor="#4f81bc" stroked="false">
                <v:fill type="solid"/>
                <w10:wrap type="topAndBottom"/>
              </v:rect>
            </w:pict>
          </mc:Fallback>
        </mc:AlternateContent>
      </w:r>
      <w:bookmarkStart w:name="Resources" w:id="476"/>
      <w:bookmarkEnd w:id="476"/>
      <w:r>
        <w:rPr/>
      </w:r>
      <w:r>
        <w:rPr>
          <w:color w:val="365F91"/>
          <w:spacing w:val="-2"/>
          <w:sz w:val="28"/>
        </w:rPr>
        <w:t>Resources</w:t>
      </w:r>
    </w:p>
    <w:p>
      <w:pPr>
        <w:pStyle w:val="BodyText"/>
        <w:rPr>
          <w:sz w:val="28"/>
        </w:rPr>
      </w:pPr>
    </w:p>
    <w:p>
      <w:pPr>
        <w:pStyle w:val="BodyText"/>
        <w:rPr>
          <w:sz w:val="28"/>
        </w:rPr>
      </w:pPr>
    </w:p>
    <w:p>
      <w:pPr>
        <w:pStyle w:val="BodyText"/>
        <w:spacing w:before="98"/>
        <w:rPr>
          <w:sz w:val="28"/>
        </w:rPr>
      </w:pPr>
    </w:p>
    <w:p>
      <w:pPr>
        <w:spacing w:before="1"/>
        <w:ind w:left="363" w:right="0" w:firstLine="0"/>
        <w:jc w:val="left"/>
        <w:rPr>
          <w:sz w:val="28"/>
        </w:rPr>
      </w:pPr>
      <w:r>
        <w:rPr/>
        <mc:AlternateContent>
          <mc:Choice Requires="wps">
            <w:drawing>
              <wp:anchor distT="0" distB="0" distL="0" distR="0" allowOverlap="1" layoutInCell="1" locked="0" behindDoc="1" simplePos="0" relativeHeight="487647232">
                <wp:simplePos x="0" y="0"/>
                <wp:positionH relativeFrom="page">
                  <wp:posOffset>897636</wp:posOffset>
                </wp:positionH>
                <wp:positionV relativeFrom="paragraph">
                  <wp:posOffset>230002</wp:posOffset>
                </wp:positionV>
                <wp:extent cx="6014720" cy="635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6014720" cy="6350"/>
                        </a:xfrm>
                        <a:custGeom>
                          <a:avLst/>
                          <a:gdLst/>
                          <a:ahLst/>
                          <a:cxnLst/>
                          <a:rect l="l" t="t" r="r" b="b"/>
                          <a:pathLst>
                            <a:path w="6014720" h="6350">
                              <a:moveTo>
                                <a:pt x="6014466" y="0"/>
                              </a:moveTo>
                              <a:lnTo>
                                <a:pt x="0" y="0"/>
                              </a:lnTo>
                              <a:lnTo>
                                <a:pt x="0" y="6096"/>
                              </a:lnTo>
                              <a:lnTo>
                                <a:pt x="6014466" y="6096"/>
                              </a:lnTo>
                              <a:lnTo>
                                <a:pt x="60144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10468pt;width:473.58pt;height:.48pt;mso-position-horizontal-relative:page;mso-position-vertical-relative:paragraph;z-index:-15669248;mso-wrap-distance-left:0;mso-wrap-distance-right:0" id="docshape257" filled="true" fillcolor="#4f81bc" stroked="false">
                <v:fill type="solid"/>
                <w10:wrap type="topAndBottom"/>
              </v:rect>
            </w:pict>
          </mc:Fallback>
        </mc:AlternateContent>
      </w:r>
      <w:bookmarkStart w:name="Acknowledgments &amp; Citations" w:id="477"/>
      <w:bookmarkEnd w:id="477"/>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186"/>
        <w:rPr>
          <w:sz w:val="21"/>
        </w:rPr>
      </w:pPr>
    </w:p>
    <w:p>
      <w:pPr>
        <w:spacing w:line="264" w:lineRule="auto" w:before="1"/>
        <w:ind w:left="363" w:right="91" w:firstLine="0"/>
        <w:jc w:val="left"/>
        <w:rPr>
          <w:i/>
          <w:sz w:val="21"/>
        </w:rPr>
      </w:pPr>
      <w:bookmarkStart w:name="_bookmark271" w:id="478"/>
      <w:bookmarkEnd w:id="478"/>
      <w:r>
        <w:rPr/>
      </w:r>
      <w:r>
        <w:rPr>
          <w:i/>
          <w:sz w:val="21"/>
        </w:rPr>
        <w:t>Acknowledgments: Sarah</w:t>
      </w:r>
      <w:r>
        <w:rPr>
          <w:i/>
          <w:spacing w:val="-1"/>
          <w:sz w:val="21"/>
        </w:rPr>
        <w:t> </w:t>
      </w:r>
      <w:r>
        <w:rPr>
          <w:i/>
          <w:sz w:val="21"/>
        </w:rPr>
        <w:t>Prager, lead</w:t>
      </w:r>
      <w:r>
        <w:rPr>
          <w:i/>
          <w:spacing w:val="-1"/>
          <w:sz w:val="21"/>
        </w:rPr>
        <w:t> </w:t>
      </w:r>
      <w:r>
        <w:rPr>
          <w:i/>
          <w:sz w:val="21"/>
        </w:rPr>
        <w:t>researcher</w:t>
      </w:r>
      <w:r>
        <w:rPr>
          <w:i/>
          <w:spacing w:val="-1"/>
          <w:sz w:val="21"/>
        </w:rPr>
        <w:t> </w:t>
      </w:r>
      <w:r>
        <w:rPr>
          <w:i/>
          <w:sz w:val="21"/>
        </w:rPr>
        <w:t>and</w:t>
      </w:r>
      <w:r>
        <w:rPr>
          <w:i/>
          <w:spacing w:val="-1"/>
          <w:sz w:val="21"/>
        </w:rPr>
        <w:t> </w:t>
      </w:r>
      <w:r>
        <w:rPr>
          <w:i/>
          <w:sz w:val="21"/>
        </w:rPr>
        <w:t>author</w:t>
      </w:r>
      <w:r>
        <w:rPr>
          <w:i/>
          <w:spacing w:val="-1"/>
          <w:sz w:val="21"/>
        </w:rPr>
        <w:t> </w:t>
      </w:r>
      <w:r>
        <w:rPr>
          <w:i/>
          <w:sz w:val="21"/>
        </w:rPr>
        <w:t>(2023);</w:t>
      </w:r>
      <w:r>
        <w:rPr>
          <w:i/>
          <w:spacing w:val="-2"/>
          <w:sz w:val="21"/>
        </w:rPr>
        <w:t> </w:t>
      </w:r>
      <w:r>
        <w:rPr>
          <w:i/>
          <w:sz w:val="21"/>
        </w:rPr>
        <w:t>Apollo Correia, secondary</w:t>
      </w:r>
      <w:r>
        <w:rPr>
          <w:i/>
          <w:spacing w:val="-1"/>
          <w:sz w:val="21"/>
        </w:rPr>
        <w:t> </w:t>
      </w:r>
      <w:r>
        <w:rPr>
          <w:i/>
          <w:sz w:val="21"/>
        </w:rPr>
        <w:t>researcher</w:t>
      </w:r>
      <w:r>
        <w:rPr>
          <w:i/>
          <w:spacing w:val="-1"/>
          <w:sz w:val="21"/>
        </w:rPr>
        <w:t> </w:t>
      </w:r>
      <w:r>
        <w:rPr>
          <w:i/>
          <w:sz w:val="21"/>
        </w:rPr>
        <w:t>and</w:t>
      </w:r>
      <w:r>
        <w:rPr>
          <w:i/>
          <w:sz w:val="21"/>
        </w:rPr>
        <w:t> editor (2024)</w:t>
      </w:r>
    </w:p>
    <w:p>
      <w:pPr>
        <w:pStyle w:val="BodyText"/>
        <w:spacing w:before="82"/>
        <w:rPr>
          <w:i/>
          <w:sz w:val="21"/>
        </w:rPr>
      </w:pPr>
    </w:p>
    <w:p>
      <w:pPr>
        <w:spacing w:before="1"/>
        <w:ind w:left="363" w:right="763" w:hanging="1"/>
        <w:jc w:val="left"/>
        <w:rPr>
          <w:sz w:val="18"/>
        </w:rPr>
      </w:pPr>
      <w:bookmarkStart w:name="_bookmark272" w:id="479"/>
      <w:bookmarkEnd w:id="479"/>
      <w:r>
        <w:rPr/>
      </w:r>
      <w:r>
        <w:rPr>
          <w:sz w:val="18"/>
          <w:vertAlign w:val="superscript"/>
        </w:rPr>
        <w:t>1</w:t>
      </w:r>
      <w:r>
        <w:rPr>
          <w:spacing w:val="-13"/>
          <w:sz w:val="18"/>
          <w:vertAlign w:val="baseline"/>
        </w:rPr>
        <w:t> </w:t>
      </w:r>
      <w:r>
        <w:rPr>
          <w:sz w:val="18"/>
          <w:vertAlign w:val="baseline"/>
        </w:rPr>
        <w:t>“The</w:t>
      </w:r>
      <w:r>
        <w:rPr>
          <w:spacing w:val="-4"/>
          <w:sz w:val="18"/>
          <w:vertAlign w:val="baseline"/>
        </w:rPr>
        <w:t> </w:t>
      </w:r>
      <w:r>
        <w:rPr>
          <w:sz w:val="18"/>
          <w:vertAlign w:val="baseline"/>
        </w:rPr>
        <w:t>SIECUS</w:t>
      </w:r>
      <w:r>
        <w:rPr>
          <w:spacing w:val="-2"/>
          <w:sz w:val="18"/>
          <w:vertAlign w:val="baseline"/>
        </w:rPr>
        <w:t> </w:t>
      </w:r>
      <w:r>
        <w:rPr>
          <w:sz w:val="18"/>
          <w:vertAlign w:val="baseline"/>
        </w:rPr>
        <w:t>State</w:t>
      </w:r>
      <w:r>
        <w:rPr>
          <w:spacing w:val="-2"/>
          <w:sz w:val="18"/>
          <w:vertAlign w:val="baseline"/>
        </w:rPr>
        <w:t> </w:t>
      </w:r>
      <w:r>
        <w:rPr>
          <w:sz w:val="18"/>
          <w:vertAlign w:val="baseline"/>
        </w:rPr>
        <w:t>Profiles</w:t>
      </w:r>
      <w:r>
        <w:rPr>
          <w:spacing w:val="-2"/>
          <w:sz w:val="18"/>
          <w:vertAlign w:val="baseline"/>
        </w:rPr>
        <w:t> </w:t>
      </w:r>
      <w:r>
        <w:rPr>
          <w:sz w:val="18"/>
          <w:vertAlign w:val="baseline"/>
        </w:rPr>
        <w:t>2019</w:t>
      </w:r>
      <w:r>
        <w:rPr>
          <w:spacing w:val="-2"/>
          <w:sz w:val="18"/>
          <w:vertAlign w:val="baseline"/>
        </w:rPr>
        <w:t> </w:t>
      </w:r>
      <w:r>
        <w:rPr>
          <w:sz w:val="18"/>
          <w:vertAlign w:val="baseline"/>
        </w:rPr>
        <w:t>/</w:t>
      </w:r>
      <w:r>
        <w:rPr>
          <w:spacing w:val="-2"/>
          <w:sz w:val="18"/>
          <w:vertAlign w:val="baseline"/>
        </w:rPr>
        <w:t> </w:t>
      </w:r>
      <w:r>
        <w:rPr>
          <w:sz w:val="18"/>
          <w:vertAlign w:val="baseline"/>
        </w:rPr>
        <w:t>2020</w:t>
      </w:r>
      <w:r>
        <w:rPr>
          <w:spacing w:val="-2"/>
          <w:sz w:val="18"/>
          <w:vertAlign w:val="baseline"/>
        </w:rPr>
        <w:t> </w:t>
      </w:r>
      <w:r>
        <w:rPr>
          <w:sz w:val="18"/>
          <w:vertAlign w:val="baseline"/>
        </w:rPr>
        <w:t>-</w:t>
      </w:r>
      <w:r>
        <w:rPr>
          <w:spacing w:val="-3"/>
          <w:sz w:val="18"/>
          <w:vertAlign w:val="baseline"/>
        </w:rPr>
        <w:t> </w:t>
      </w:r>
      <w:r>
        <w:rPr>
          <w:sz w:val="18"/>
          <w:vertAlign w:val="baseline"/>
        </w:rPr>
        <w:t>The</w:t>
      </w:r>
      <w:r>
        <w:rPr>
          <w:spacing w:val="-2"/>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Sex</w:t>
      </w:r>
      <w:r>
        <w:rPr>
          <w:spacing w:val="-2"/>
          <w:sz w:val="18"/>
          <w:vertAlign w:val="baseline"/>
        </w:rPr>
        <w:t> </w:t>
      </w:r>
      <w:r>
        <w:rPr>
          <w:sz w:val="18"/>
          <w:vertAlign w:val="baseline"/>
        </w:rPr>
        <w:t>Ed,”</w:t>
      </w:r>
      <w:r>
        <w:rPr>
          <w:spacing w:val="-2"/>
          <w:sz w:val="18"/>
          <w:vertAlign w:val="baseline"/>
        </w:rPr>
        <w:t> </w:t>
      </w:r>
      <w:r>
        <w:rPr>
          <w:sz w:val="18"/>
          <w:vertAlign w:val="baseline"/>
        </w:rPr>
        <w:t>SIECUS,</w:t>
      </w:r>
      <w:r>
        <w:rPr>
          <w:spacing w:val="-3"/>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24,</w:t>
      </w:r>
      <w:r>
        <w:rPr>
          <w:spacing w:val="-3"/>
          <w:sz w:val="18"/>
          <w:vertAlign w:val="baseline"/>
        </w:rPr>
        <w:t> </w:t>
      </w:r>
      <w:r>
        <w:rPr>
          <w:sz w:val="18"/>
          <w:vertAlign w:val="baseline"/>
        </w:rPr>
        <w:t>2023,</w:t>
      </w:r>
      <w:r>
        <w:rPr>
          <w:spacing w:val="-3"/>
          <w:sz w:val="18"/>
          <w:vertAlign w:val="baseline"/>
        </w:rPr>
        <w:t> </w:t>
      </w:r>
      <w:r>
        <w:rPr>
          <w:sz w:val="18"/>
          <w:vertAlign w:val="baseline"/>
        </w:rPr>
        <w:t>https://siecus.org/state- </w:t>
      </w:r>
      <w:r>
        <w:rPr>
          <w:spacing w:val="-2"/>
          <w:sz w:val="18"/>
          <w:vertAlign w:val="baseline"/>
        </w:rPr>
        <w:t>profiles-2019-2020/.</w:t>
      </w:r>
    </w:p>
    <w:p>
      <w:pPr>
        <w:spacing w:before="1"/>
        <w:ind w:left="363" w:right="91" w:hanging="1"/>
        <w:jc w:val="left"/>
        <w:rPr>
          <w:sz w:val="18"/>
        </w:rPr>
      </w:pPr>
      <w:r>
        <w:rPr>
          <w:sz w:val="18"/>
          <w:vertAlign w:val="superscript"/>
        </w:rPr>
        <w:t>2</w:t>
      </w:r>
      <w:r>
        <w:rPr>
          <w:spacing w:val="-13"/>
          <w:sz w:val="18"/>
          <w:vertAlign w:val="baseline"/>
        </w:rPr>
        <w:t> </w:t>
      </w:r>
      <w:r>
        <w:rPr>
          <w:sz w:val="18"/>
          <w:vertAlign w:val="baseline"/>
        </w:rPr>
        <w:t>Samantha</w:t>
      </w:r>
      <w:r>
        <w:rPr>
          <w:spacing w:val="-3"/>
          <w:sz w:val="18"/>
          <w:vertAlign w:val="baseline"/>
        </w:rPr>
        <w:t> </w:t>
      </w:r>
      <w:r>
        <w:rPr>
          <w:sz w:val="18"/>
          <w:vertAlign w:val="baseline"/>
        </w:rPr>
        <w:t>L.</w:t>
      </w:r>
      <w:r>
        <w:rPr>
          <w:spacing w:val="-2"/>
          <w:sz w:val="18"/>
          <w:vertAlign w:val="baseline"/>
        </w:rPr>
        <w:t> </w:t>
      </w:r>
      <w:r>
        <w:rPr>
          <w:sz w:val="18"/>
          <w:vertAlign w:val="baseline"/>
        </w:rPr>
        <w:t>Seybold,</w:t>
      </w:r>
      <w:r>
        <w:rPr>
          <w:spacing w:val="-3"/>
          <w:sz w:val="18"/>
          <w:vertAlign w:val="baseline"/>
        </w:rPr>
        <w:t> </w:t>
      </w:r>
      <w:r>
        <w:rPr>
          <w:sz w:val="18"/>
          <w:vertAlign w:val="baseline"/>
        </w:rPr>
        <w:t>“Not</w:t>
      </w:r>
      <w:r>
        <w:rPr>
          <w:spacing w:val="-3"/>
          <w:sz w:val="18"/>
          <w:vertAlign w:val="baseline"/>
        </w:rPr>
        <w:t> </w:t>
      </w:r>
      <w:r>
        <w:rPr>
          <w:sz w:val="18"/>
          <w:vertAlign w:val="baseline"/>
        </w:rPr>
        <w:t>Just</w:t>
      </w:r>
      <w:r>
        <w:rPr>
          <w:spacing w:val="-3"/>
          <w:sz w:val="18"/>
          <w:vertAlign w:val="baseline"/>
        </w:rPr>
        <w:t> </w:t>
      </w:r>
      <w:r>
        <w:rPr>
          <w:sz w:val="18"/>
          <w:vertAlign w:val="baseline"/>
        </w:rPr>
        <w:t>‘Bodies</w:t>
      </w:r>
      <w:r>
        <w:rPr>
          <w:spacing w:val="-2"/>
          <w:sz w:val="18"/>
          <w:vertAlign w:val="baseline"/>
        </w:rPr>
        <w:t> </w:t>
      </w:r>
      <w:r>
        <w:rPr>
          <w:sz w:val="18"/>
          <w:vertAlign w:val="baseline"/>
        </w:rPr>
        <w:t>with</w:t>
      </w:r>
      <w:r>
        <w:rPr>
          <w:spacing w:val="-2"/>
          <w:sz w:val="18"/>
          <w:vertAlign w:val="baseline"/>
        </w:rPr>
        <w:t> </w:t>
      </w:r>
      <w:r>
        <w:rPr>
          <w:sz w:val="18"/>
          <w:vertAlign w:val="baseline"/>
        </w:rPr>
        <w:t>Vaginas’:</w:t>
      </w:r>
      <w:r>
        <w:rPr>
          <w:spacing w:val="-2"/>
          <w:sz w:val="18"/>
          <w:vertAlign w:val="baseline"/>
        </w:rPr>
        <w:t> </w:t>
      </w:r>
      <w:r>
        <w:rPr>
          <w:sz w:val="18"/>
          <w:vertAlign w:val="baseline"/>
        </w:rPr>
        <w:t>A</w:t>
      </w:r>
      <w:r>
        <w:rPr>
          <w:spacing w:val="-2"/>
          <w:sz w:val="18"/>
          <w:vertAlign w:val="baseline"/>
        </w:rPr>
        <w:t> </w:t>
      </w:r>
      <w:r>
        <w:rPr>
          <w:sz w:val="18"/>
          <w:vertAlign w:val="baseline"/>
        </w:rPr>
        <w:t>Kantian</w:t>
      </w:r>
      <w:r>
        <w:rPr>
          <w:spacing w:val="-2"/>
          <w:sz w:val="18"/>
          <w:vertAlign w:val="baseline"/>
        </w:rPr>
        <w:t> </w:t>
      </w:r>
      <w:r>
        <w:rPr>
          <w:sz w:val="18"/>
          <w:vertAlign w:val="baseline"/>
        </w:rPr>
        <w:t>Defense</w:t>
      </w:r>
      <w:r>
        <w:rPr>
          <w:spacing w:val="-2"/>
          <w:sz w:val="18"/>
          <w:vertAlign w:val="baseline"/>
        </w:rPr>
        <w:t> </w:t>
      </w:r>
      <w:r>
        <w:rPr>
          <w:sz w:val="18"/>
          <w:vertAlign w:val="baseline"/>
        </w:rPr>
        <w:t>of</w:t>
      </w:r>
      <w:r>
        <w:rPr>
          <w:spacing w:val="-2"/>
          <w:sz w:val="18"/>
          <w:vertAlign w:val="baseline"/>
        </w:rPr>
        <w:t> </w:t>
      </w:r>
      <w:r>
        <w:rPr>
          <w:sz w:val="18"/>
          <w:vertAlign w:val="baseline"/>
        </w:rPr>
        <w:t>Pelvic</w:t>
      </w:r>
      <w:r>
        <w:rPr>
          <w:spacing w:val="-3"/>
          <w:sz w:val="18"/>
          <w:vertAlign w:val="baseline"/>
        </w:rPr>
        <w:t> </w:t>
      </w:r>
      <w:r>
        <w:rPr>
          <w:sz w:val="18"/>
          <w:vertAlign w:val="baseline"/>
        </w:rPr>
        <w:t>Exam</w:t>
      </w:r>
      <w:r>
        <w:rPr>
          <w:spacing w:val="-2"/>
          <w:sz w:val="18"/>
          <w:vertAlign w:val="baseline"/>
        </w:rPr>
        <w:t> </w:t>
      </w:r>
      <w:r>
        <w:rPr>
          <w:sz w:val="18"/>
          <w:vertAlign w:val="baseline"/>
        </w:rPr>
        <w:t>Consent</w:t>
      </w:r>
      <w:r>
        <w:rPr>
          <w:spacing w:val="-4"/>
          <w:sz w:val="18"/>
          <w:vertAlign w:val="baseline"/>
        </w:rPr>
        <w:t> </w:t>
      </w:r>
      <w:r>
        <w:rPr>
          <w:sz w:val="18"/>
          <w:vertAlign w:val="baseline"/>
        </w:rPr>
        <w:t>Laws,”</w:t>
      </w:r>
      <w:r>
        <w:rPr>
          <w:spacing w:val="-2"/>
          <w:sz w:val="18"/>
          <w:vertAlign w:val="baseline"/>
        </w:rPr>
        <w:t> </w:t>
      </w:r>
      <w:r>
        <w:rPr>
          <w:i/>
          <w:sz w:val="18"/>
          <w:vertAlign w:val="baseline"/>
        </w:rPr>
        <w:t>Bioethics</w:t>
      </w:r>
      <w:r>
        <w:rPr>
          <w:i/>
          <w:spacing w:val="-2"/>
          <w:sz w:val="18"/>
          <w:vertAlign w:val="baseline"/>
        </w:rPr>
        <w:t> </w:t>
      </w:r>
      <w:r>
        <w:rPr>
          <w:sz w:val="18"/>
          <w:vertAlign w:val="baseline"/>
        </w:rPr>
        <w:t>36,</w:t>
      </w:r>
      <w:r>
        <w:rPr>
          <w:spacing w:val="-3"/>
          <w:sz w:val="18"/>
          <w:vertAlign w:val="baseline"/>
        </w:rPr>
        <w:t> </w:t>
      </w:r>
      <w:r>
        <w:rPr>
          <w:sz w:val="18"/>
          <w:vertAlign w:val="baseline"/>
        </w:rPr>
        <w:t>no.</w:t>
      </w:r>
      <w:r>
        <w:rPr>
          <w:spacing w:val="-2"/>
          <w:sz w:val="18"/>
          <w:vertAlign w:val="baseline"/>
        </w:rPr>
        <w:t> </w:t>
      </w:r>
      <w:r>
        <w:rPr>
          <w:sz w:val="18"/>
          <w:vertAlign w:val="baseline"/>
        </w:rPr>
        <w:t>9 (November 2022): 940–47, https://doi.org/10.1111/bioe.13084.</w:t>
      </w:r>
    </w:p>
    <w:p>
      <w:pPr>
        <w:spacing w:line="219" w:lineRule="exact" w:before="0"/>
        <w:ind w:left="363" w:right="0" w:firstLine="0"/>
        <w:jc w:val="left"/>
        <w:rPr>
          <w:sz w:val="18"/>
        </w:rPr>
      </w:pPr>
      <w:r>
        <w:rPr>
          <w:sz w:val="18"/>
          <w:vertAlign w:val="superscript"/>
        </w:rPr>
        <w:t>3</w:t>
      </w:r>
      <w:r>
        <w:rPr>
          <w:spacing w:val="-15"/>
          <w:sz w:val="18"/>
          <w:vertAlign w:val="baseline"/>
        </w:rPr>
        <w:t> </w:t>
      </w:r>
      <w:r>
        <w:rPr>
          <w:sz w:val="18"/>
          <w:vertAlign w:val="baseline"/>
        </w:rPr>
        <w:t>“Law</w:t>
      </w:r>
      <w:r>
        <w:rPr>
          <w:spacing w:val="-8"/>
          <w:sz w:val="18"/>
          <w:vertAlign w:val="baseline"/>
        </w:rPr>
        <w:t> </w:t>
      </w:r>
      <w:r>
        <w:rPr>
          <w:sz w:val="18"/>
          <w:vertAlign w:val="baseline"/>
        </w:rPr>
        <w:t>and</w:t>
      </w:r>
      <w:r>
        <w:rPr>
          <w:spacing w:val="-4"/>
          <w:sz w:val="18"/>
          <w:vertAlign w:val="baseline"/>
        </w:rPr>
        <w:t> </w:t>
      </w:r>
      <w:r>
        <w:rPr>
          <w:sz w:val="18"/>
          <w:vertAlign w:val="baseline"/>
        </w:rPr>
        <w:t>Policy,”</w:t>
      </w:r>
      <w:r>
        <w:rPr>
          <w:spacing w:val="-4"/>
          <w:sz w:val="18"/>
          <w:vertAlign w:val="baseline"/>
        </w:rPr>
        <w:t> </w:t>
      </w:r>
      <w:r>
        <w:rPr>
          <w:sz w:val="18"/>
          <w:vertAlign w:val="baseline"/>
        </w:rPr>
        <w:t>NJCASA,</w:t>
      </w:r>
      <w:r>
        <w:rPr>
          <w:spacing w:val="-5"/>
          <w:sz w:val="18"/>
          <w:vertAlign w:val="baseline"/>
        </w:rPr>
        <w:t> </w:t>
      </w:r>
      <w:r>
        <w:rPr>
          <w:sz w:val="18"/>
          <w:vertAlign w:val="baseline"/>
        </w:rPr>
        <w:t>accessed</w:t>
      </w:r>
      <w:r>
        <w:rPr>
          <w:spacing w:val="-3"/>
          <w:sz w:val="18"/>
          <w:vertAlign w:val="baseline"/>
        </w:rPr>
        <w:t> </w:t>
      </w:r>
      <w:r>
        <w:rPr>
          <w:sz w:val="18"/>
          <w:vertAlign w:val="baseline"/>
        </w:rPr>
        <w:t>March</w:t>
      </w:r>
      <w:r>
        <w:rPr>
          <w:spacing w:val="-4"/>
          <w:sz w:val="18"/>
          <w:vertAlign w:val="baseline"/>
        </w:rPr>
        <w:t> </w:t>
      </w:r>
      <w:r>
        <w:rPr>
          <w:sz w:val="18"/>
          <w:vertAlign w:val="baseline"/>
        </w:rPr>
        <w:t>17,</w:t>
      </w:r>
      <w:r>
        <w:rPr>
          <w:spacing w:val="-5"/>
          <w:sz w:val="18"/>
          <w:vertAlign w:val="baseline"/>
        </w:rPr>
        <w:t> </w:t>
      </w:r>
      <w:r>
        <w:rPr>
          <w:sz w:val="18"/>
          <w:vertAlign w:val="baseline"/>
        </w:rPr>
        <w:t>2023,</w:t>
      </w:r>
      <w:r>
        <w:rPr>
          <w:spacing w:val="-4"/>
          <w:sz w:val="18"/>
          <w:vertAlign w:val="baseline"/>
        </w:rPr>
        <w:t> </w:t>
      </w:r>
      <w:r>
        <w:rPr>
          <w:sz w:val="18"/>
          <w:vertAlign w:val="baseline"/>
        </w:rPr>
        <w:t>https://njcasa.org/our-work/law-and-</w:t>
      </w:r>
      <w:r>
        <w:rPr>
          <w:spacing w:val="-2"/>
          <w:sz w:val="18"/>
          <w:vertAlign w:val="baseline"/>
        </w:rPr>
        <w:t>policy/.</w:t>
      </w:r>
    </w:p>
    <w:p>
      <w:pPr>
        <w:spacing w:after="0" w:line="219" w:lineRule="exact"/>
        <w:jc w:val="left"/>
        <w:rPr>
          <w:sz w:val="18"/>
        </w:rPr>
        <w:sectPr>
          <w:pgSz w:w="12240" w:h="15840"/>
          <w:pgMar w:header="763" w:footer="1339" w:top="1180" w:bottom="1560" w:left="1080" w:right="1240"/>
        </w:sectPr>
      </w:pPr>
    </w:p>
    <w:p>
      <w:pPr>
        <w:spacing w:before="68"/>
        <w:ind w:left="363" w:right="656" w:hanging="1"/>
        <w:jc w:val="both"/>
        <w:rPr>
          <w:sz w:val="18"/>
        </w:rPr>
      </w:pPr>
      <w:r>
        <w:rPr>
          <w:sz w:val="18"/>
          <w:vertAlign w:val="superscript"/>
        </w:rPr>
        <w:t>4</w:t>
      </w:r>
      <w:r>
        <w:rPr>
          <w:spacing w:val="-11"/>
          <w:sz w:val="18"/>
          <w:vertAlign w:val="baseline"/>
        </w:rPr>
        <w:t> </w:t>
      </w:r>
      <w:r>
        <w:rPr>
          <w:sz w:val="18"/>
          <w:vertAlign w:val="baseline"/>
        </w:rPr>
        <w:t>“The</w:t>
      </w:r>
      <w:r>
        <w:rPr>
          <w:spacing w:val="-8"/>
          <w:sz w:val="18"/>
          <w:vertAlign w:val="baseline"/>
        </w:rPr>
        <w:t> </w:t>
      </w:r>
      <w:r>
        <w:rPr>
          <w:sz w:val="18"/>
          <w:vertAlign w:val="baseline"/>
        </w:rPr>
        <w:t>Importance</w:t>
      </w:r>
      <w:r>
        <w:rPr>
          <w:spacing w:val="-3"/>
          <w:sz w:val="18"/>
          <w:vertAlign w:val="baseline"/>
        </w:rPr>
        <w:t> </w:t>
      </w:r>
      <w:r>
        <w:rPr>
          <w:sz w:val="18"/>
          <w:vertAlign w:val="baseline"/>
        </w:rPr>
        <w:t>of</w:t>
      </w:r>
      <w:r>
        <w:rPr>
          <w:spacing w:val="-3"/>
          <w:sz w:val="18"/>
          <w:vertAlign w:val="baseline"/>
        </w:rPr>
        <w:t> </w:t>
      </w:r>
      <w:r>
        <w:rPr>
          <w:sz w:val="18"/>
          <w:vertAlign w:val="baseline"/>
        </w:rPr>
        <w:t>Access</w:t>
      </w:r>
      <w:r>
        <w:rPr>
          <w:spacing w:val="-3"/>
          <w:sz w:val="18"/>
          <w:vertAlign w:val="baseline"/>
        </w:rPr>
        <w:t> </w:t>
      </w:r>
      <w:r>
        <w:rPr>
          <w:sz w:val="18"/>
          <w:vertAlign w:val="baseline"/>
        </w:rPr>
        <w:t>to</w:t>
      </w:r>
      <w:r>
        <w:rPr>
          <w:spacing w:val="-3"/>
          <w:sz w:val="18"/>
          <w:vertAlign w:val="baseline"/>
        </w:rPr>
        <w:t> </w:t>
      </w:r>
      <w:r>
        <w:rPr>
          <w:sz w:val="18"/>
          <w:vertAlign w:val="baseline"/>
        </w:rPr>
        <w:t>Comprehensive</w:t>
      </w:r>
      <w:r>
        <w:rPr>
          <w:spacing w:val="-3"/>
          <w:sz w:val="18"/>
          <w:vertAlign w:val="baseline"/>
        </w:rPr>
        <w:t> </w:t>
      </w:r>
      <w:r>
        <w:rPr>
          <w:sz w:val="18"/>
          <w:vertAlign w:val="baseline"/>
        </w:rPr>
        <w:t>Sex</w:t>
      </w:r>
      <w:r>
        <w:rPr>
          <w:spacing w:val="-3"/>
          <w:sz w:val="18"/>
          <w:vertAlign w:val="baseline"/>
        </w:rPr>
        <w:t> </w:t>
      </w:r>
      <w:r>
        <w:rPr>
          <w:sz w:val="18"/>
          <w:vertAlign w:val="baseline"/>
        </w:rPr>
        <w:t>Education,”</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24,</w:t>
      </w:r>
      <w:r>
        <w:rPr>
          <w:spacing w:val="-4"/>
          <w:sz w:val="18"/>
          <w:vertAlign w:val="baseline"/>
        </w:rPr>
        <w:t> </w:t>
      </w:r>
      <w:r>
        <w:rPr>
          <w:sz w:val="18"/>
          <w:vertAlign w:val="baseline"/>
        </w:rPr>
        <w:t>2023,</w:t>
      </w:r>
      <w:r>
        <w:rPr>
          <w:spacing w:val="-4"/>
          <w:sz w:val="18"/>
          <w:vertAlign w:val="baseline"/>
        </w:rPr>
        <w:t> </w:t>
      </w:r>
      <w:r>
        <w:rPr>
          <w:sz w:val="18"/>
          <w:vertAlign w:val="baseline"/>
        </w:rPr>
        <w:t>https://</w:t>
      </w:r>
      <w:hyperlink r:id="rId401">
        <w:r>
          <w:rPr>
            <w:sz w:val="18"/>
            <w:vertAlign w:val="baseline"/>
          </w:rPr>
          <w:t>www.aap.org/en/patient-</w:t>
        </w:r>
      </w:hyperlink>
      <w:r>
        <w:rPr>
          <w:sz w:val="18"/>
          <w:vertAlign w:val="baseline"/>
        </w:rPr>
        <w:t> </w:t>
      </w:r>
      <w:r>
        <w:rPr>
          <w:spacing w:val="-2"/>
          <w:sz w:val="18"/>
          <w:vertAlign w:val="baseline"/>
        </w:rPr>
        <w:t>care/adolescent-sexual-health/equitable-access-to-sexual-and-reproductive-health-care-for-all-youth/the-importance-of-</w:t>
      </w:r>
      <w:r>
        <w:rPr>
          <w:sz w:val="18"/>
          <w:vertAlign w:val="baseline"/>
        </w:rPr>
        <w:t> </w:t>
      </w:r>
      <w:r>
        <w:rPr>
          <w:spacing w:val="-2"/>
          <w:sz w:val="18"/>
          <w:vertAlign w:val="baseline"/>
        </w:rPr>
        <w:t>access-to-comprehensive-sex-education/.</w:t>
      </w:r>
    </w:p>
    <w:p>
      <w:pPr>
        <w:spacing w:line="219" w:lineRule="exact" w:before="0"/>
        <w:ind w:left="363" w:right="0" w:firstLine="0"/>
        <w:jc w:val="both"/>
        <w:rPr>
          <w:sz w:val="18"/>
        </w:rPr>
      </w:pPr>
      <w:r>
        <w:rPr>
          <w:sz w:val="18"/>
          <w:vertAlign w:val="superscript"/>
        </w:rPr>
        <w:t>5</w:t>
      </w:r>
      <w:r>
        <w:rPr>
          <w:spacing w:val="-15"/>
          <w:sz w:val="18"/>
          <w:vertAlign w:val="baseline"/>
        </w:rPr>
        <w:t> </w:t>
      </w:r>
      <w:r>
        <w:rPr>
          <w:sz w:val="18"/>
          <w:vertAlign w:val="baseline"/>
        </w:rPr>
        <w:t>“Sexual</w:t>
      </w:r>
      <w:r>
        <w:rPr>
          <w:spacing w:val="-10"/>
          <w:sz w:val="18"/>
          <w:vertAlign w:val="baseline"/>
        </w:rPr>
        <w:t> </w:t>
      </w:r>
      <w:r>
        <w:rPr>
          <w:sz w:val="18"/>
          <w:vertAlign w:val="baseline"/>
        </w:rPr>
        <w:t>Health,”</w:t>
      </w:r>
      <w:r>
        <w:rPr>
          <w:spacing w:val="-5"/>
          <w:sz w:val="18"/>
          <w:vertAlign w:val="baseline"/>
        </w:rPr>
        <w:t> </w:t>
      </w:r>
      <w:r>
        <w:rPr>
          <w:sz w:val="18"/>
          <w:vertAlign w:val="baseline"/>
        </w:rPr>
        <w:t>accessed</w:t>
      </w:r>
      <w:r>
        <w:rPr>
          <w:spacing w:val="-5"/>
          <w:sz w:val="18"/>
          <w:vertAlign w:val="baseline"/>
        </w:rPr>
        <w:t> </w:t>
      </w:r>
      <w:r>
        <w:rPr>
          <w:sz w:val="18"/>
          <w:vertAlign w:val="baseline"/>
        </w:rPr>
        <w:t>February</w:t>
      </w:r>
      <w:r>
        <w:rPr>
          <w:spacing w:val="-5"/>
          <w:sz w:val="18"/>
          <w:vertAlign w:val="baseline"/>
        </w:rPr>
        <w:t> </w:t>
      </w:r>
      <w:r>
        <w:rPr>
          <w:sz w:val="18"/>
          <w:vertAlign w:val="baseline"/>
        </w:rPr>
        <w:t>14,</w:t>
      </w:r>
      <w:r>
        <w:rPr>
          <w:spacing w:val="-6"/>
          <w:sz w:val="18"/>
          <w:vertAlign w:val="baseline"/>
        </w:rPr>
        <w:t> </w:t>
      </w:r>
      <w:r>
        <w:rPr>
          <w:sz w:val="18"/>
          <w:vertAlign w:val="baseline"/>
        </w:rPr>
        <w:t>2023,</w:t>
      </w:r>
      <w:r>
        <w:rPr>
          <w:spacing w:val="-6"/>
          <w:sz w:val="18"/>
          <w:vertAlign w:val="baseline"/>
        </w:rPr>
        <w:t> </w:t>
      </w:r>
      <w:r>
        <w:rPr>
          <w:sz w:val="18"/>
          <w:vertAlign w:val="baseline"/>
        </w:rPr>
        <w:t>https://</w:t>
      </w:r>
      <w:hyperlink r:id="rId402">
        <w:r>
          <w:rPr>
            <w:sz w:val="18"/>
            <w:vertAlign w:val="baseline"/>
          </w:rPr>
          <w:t>www.who.int/health-topics/sexual-</w:t>
        </w:r>
        <w:r>
          <w:rPr>
            <w:spacing w:val="-2"/>
            <w:sz w:val="18"/>
            <w:vertAlign w:val="baseline"/>
          </w:rPr>
          <w:t>health.</w:t>
        </w:r>
      </w:hyperlink>
    </w:p>
    <w:p>
      <w:pPr>
        <w:spacing w:before="0"/>
        <w:ind w:left="363" w:right="2476" w:hanging="1"/>
        <w:jc w:val="left"/>
        <w:rPr>
          <w:sz w:val="18"/>
        </w:rPr>
      </w:pPr>
      <w:r>
        <w:rPr>
          <w:sz w:val="18"/>
          <w:vertAlign w:val="superscript"/>
        </w:rPr>
        <w:t>6</w:t>
      </w:r>
      <w:r>
        <w:rPr>
          <w:spacing w:val="-13"/>
          <w:sz w:val="18"/>
          <w:vertAlign w:val="baseline"/>
        </w:rPr>
        <w:t> </w:t>
      </w:r>
      <w:r>
        <w:rPr>
          <w:sz w:val="18"/>
          <w:vertAlign w:val="baseline"/>
        </w:rPr>
        <w:t>GLSEN,</w:t>
      </w:r>
      <w:r>
        <w:rPr>
          <w:spacing w:val="-6"/>
          <w:sz w:val="18"/>
          <w:vertAlign w:val="baseline"/>
        </w:rPr>
        <w:t> </w:t>
      </w:r>
      <w:r>
        <w:rPr>
          <w:sz w:val="18"/>
          <w:vertAlign w:val="baseline"/>
        </w:rPr>
        <w:t>“Laws</w:t>
      </w:r>
      <w:r>
        <w:rPr>
          <w:spacing w:val="-3"/>
          <w:sz w:val="18"/>
          <w:vertAlign w:val="baseline"/>
        </w:rPr>
        <w:t> </w:t>
      </w:r>
      <w:r>
        <w:rPr>
          <w:sz w:val="18"/>
          <w:vertAlign w:val="baseline"/>
        </w:rPr>
        <w:t>That</w:t>
      </w:r>
      <w:r>
        <w:rPr>
          <w:spacing w:val="-4"/>
          <w:sz w:val="18"/>
          <w:vertAlign w:val="baseline"/>
        </w:rPr>
        <w:t> </w:t>
      </w:r>
      <w:r>
        <w:rPr>
          <w:sz w:val="18"/>
          <w:vertAlign w:val="baseline"/>
        </w:rPr>
        <w:t>Prohibit</w:t>
      </w:r>
      <w:r>
        <w:rPr>
          <w:spacing w:val="-4"/>
          <w:sz w:val="18"/>
          <w:vertAlign w:val="baseline"/>
        </w:rPr>
        <w:t> </w:t>
      </w:r>
      <w:r>
        <w:rPr>
          <w:sz w:val="18"/>
          <w:vertAlign w:val="baseline"/>
        </w:rPr>
        <w:t>the</w:t>
      </w:r>
      <w:r>
        <w:rPr>
          <w:spacing w:val="-3"/>
          <w:sz w:val="18"/>
          <w:vertAlign w:val="baseline"/>
        </w:rPr>
        <w:t> </w:t>
      </w:r>
      <w:r>
        <w:rPr>
          <w:sz w:val="18"/>
          <w:vertAlign w:val="baseline"/>
        </w:rPr>
        <w:t>‘Promotion</w:t>
      </w:r>
      <w:r>
        <w:rPr>
          <w:spacing w:val="-3"/>
          <w:sz w:val="18"/>
          <w:vertAlign w:val="baseline"/>
        </w:rPr>
        <w:t> </w:t>
      </w:r>
      <w:r>
        <w:rPr>
          <w:sz w:val="18"/>
          <w:vertAlign w:val="baseline"/>
        </w:rPr>
        <w:t>of</w:t>
      </w:r>
      <w:r>
        <w:rPr>
          <w:spacing w:val="-3"/>
          <w:sz w:val="18"/>
          <w:vertAlign w:val="baseline"/>
        </w:rPr>
        <w:t> </w:t>
      </w:r>
      <w:r>
        <w:rPr>
          <w:sz w:val="18"/>
          <w:vertAlign w:val="baseline"/>
        </w:rPr>
        <w:t>Homosexuality’:</w:t>
      </w:r>
      <w:r>
        <w:rPr>
          <w:spacing w:val="-3"/>
          <w:sz w:val="18"/>
          <w:vertAlign w:val="baseline"/>
        </w:rPr>
        <w:t> </w:t>
      </w:r>
      <w:r>
        <w:rPr>
          <w:sz w:val="18"/>
          <w:vertAlign w:val="baseline"/>
        </w:rPr>
        <w:t>Impacts</w:t>
      </w:r>
      <w:r>
        <w:rPr>
          <w:spacing w:val="-3"/>
          <w:sz w:val="18"/>
          <w:vertAlign w:val="baseline"/>
        </w:rPr>
        <w:t> </w:t>
      </w:r>
      <w:r>
        <w:rPr>
          <w:sz w:val="18"/>
          <w:vertAlign w:val="baseline"/>
        </w:rPr>
        <w:t>and</w:t>
      </w:r>
      <w:r>
        <w:rPr>
          <w:spacing w:val="-3"/>
          <w:sz w:val="18"/>
          <w:vertAlign w:val="baseline"/>
        </w:rPr>
        <w:t> </w:t>
      </w:r>
      <w:r>
        <w:rPr>
          <w:sz w:val="18"/>
          <w:vertAlign w:val="baseline"/>
        </w:rPr>
        <w:t>Implications,”</w:t>
      </w:r>
      <w:r>
        <w:rPr>
          <w:spacing w:val="-3"/>
          <w:sz w:val="18"/>
          <w:vertAlign w:val="baseline"/>
        </w:rPr>
        <w:t> </w:t>
      </w:r>
      <w:r>
        <w:rPr>
          <w:sz w:val="18"/>
          <w:vertAlign w:val="baseline"/>
        </w:rPr>
        <w:t>2018, </w:t>
      </w:r>
      <w:r>
        <w:rPr>
          <w:spacing w:val="-2"/>
          <w:sz w:val="18"/>
          <w:vertAlign w:val="baseline"/>
        </w:rPr>
        <w:t>https://</w:t>
      </w:r>
      <w:hyperlink r:id="rId403">
        <w:r>
          <w:rPr>
            <w:spacing w:val="-2"/>
            <w:sz w:val="18"/>
            <w:vertAlign w:val="baseline"/>
          </w:rPr>
          <w:t>www.glsen.org/sites/default/files/2019-12/No_Promo_Homo_2018.pdf.</w:t>
        </w:r>
      </w:hyperlink>
    </w:p>
    <w:p>
      <w:pPr>
        <w:spacing w:before="1"/>
        <w:ind w:left="363" w:right="2496" w:hanging="1"/>
        <w:jc w:val="left"/>
        <w:rPr>
          <w:sz w:val="18"/>
        </w:rPr>
      </w:pPr>
      <w:r>
        <w:rPr>
          <w:sz w:val="18"/>
          <w:vertAlign w:val="superscript"/>
        </w:rPr>
        <w:t>7</w:t>
      </w:r>
      <w:r>
        <w:rPr>
          <w:spacing w:val="-13"/>
          <w:sz w:val="18"/>
          <w:vertAlign w:val="baseline"/>
        </w:rPr>
        <w:t> </w:t>
      </w:r>
      <w:r>
        <w:rPr>
          <w:sz w:val="18"/>
          <w:vertAlign w:val="baseline"/>
        </w:rPr>
        <w:t>“Opt-In</w:t>
      </w:r>
      <w:r>
        <w:rPr>
          <w:spacing w:val="-4"/>
          <w:sz w:val="18"/>
          <w:vertAlign w:val="baseline"/>
        </w:rPr>
        <w:t> </w:t>
      </w:r>
      <w:r>
        <w:rPr>
          <w:sz w:val="18"/>
          <w:vertAlign w:val="baseline"/>
        </w:rPr>
        <w:t>vs.</w:t>
      </w:r>
      <w:r>
        <w:rPr>
          <w:spacing w:val="-3"/>
          <w:sz w:val="18"/>
          <w:vertAlign w:val="baseline"/>
        </w:rPr>
        <w:t> </w:t>
      </w:r>
      <w:r>
        <w:rPr>
          <w:sz w:val="18"/>
          <w:vertAlign w:val="baseline"/>
        </w:rPr>
        <w:t>Opt-Out:</w:t>
      </w:r>
      <w:r>
        <w:rPr>
          <w:spacing w:val="-3"/>
          <w:sz w:val="18"/>
          <w:vertAlign w:val="baseline"/>
        </w:rPr>
        <w:t> </w:t>
      </w:r>
      <w:r>
        <w:rPr>
          <w:sz w:val="18"/>
          <w:vertAlign w:val="baseline"/>
        </w:rPr>
        <w:t>State</w:t>
      </w:r>
      <w:r>
        <w:rPr>
          <w:spacing w:val="-3"/>
          <w:sz w:val="18"/>
          <w:vertAlign w:val="baseline"/>
        </w:rPr>
        <w:t> </w:t>
      </w:r>
      <w:r>
        <w:rPr>
          <w:sz w:val="18"/>
          <w:vertAlign w:val="baseline"/>
        </w:rPr>
        <w:t>Sex</w:t>
      </w:r>
      <w:r>
        <w:rPr>
          <w:spacing w:val="-3"/>
          <w:sz w:val="18"/>
          <w:vertAlign w:val="baseline"/>
        </w:rPr>
        <w:t> </w:t>
      </w:r>
      <w:r>
        <w:rPr>
          <w:sz w:val="18"/>
          <w:vertAlign w:val="baseline"/>
        </w:rPr>
        <w:t>Ed</w:t>
      </w:r>
      <w:r>
        <w:rPr>
          <w:spacing w:val="-3"/>
          <w:sz w:val="18"/>
          <w:vertAlign w:val="baseline"/>
        </w:rPr>
        <w:t> </w:t>
      </w:r>
      <w:r>
        <w:rPr>
          <w:sz w:val="18"/>
          <w:vertAlign w:val="baseline"/>
        </w:rPr>
        <w:t>&amp;</w:t>
      </w:r>
      <w:r>
        <w:rPr>
          <w:spacing w:val="-3"/>
          <w:sz w:val="18"/>
          <w:vertAlign w:val="baseline"/>
        </w:rPr>
        <w:t> </w:t>
      </w:r>
      <w:r>
        <w:rPr>
          <w:sz w:val="18"/>
          <w:vertAlign w:val="baseline"/>
        </w:rPr>
        <w:t>Parental</w:t>
      </w:r>
      <w:r>
        <w:rPr>
          <w:spacing w:val="-3"/>
          <w:sz w:val="18"/>
          <w:vertAlign w:val="baseline"/>
        </w:rPr>
        <w:t> </w:t>
      </w:r>
      <w:r>
        <w:rPr>
          <w:sz w:val="18"/>
          <w:vertAlign w:val="baseline"/>
        </w:rPr>
        <w:t>Consent</w:t>
      </w:r>
      <w:r>
        <w:rPr>
          <w:spacing w:val="-3"/>
          <w:sz w:val="18"/>
          <w:vertAlign w:val="baseline"/>
        </w:rPr>
        <w:t> </w:t>
      </w:r>
      <w:r>
        <w:rPr>
          <w:sz w:val="18"/>
          <w:vertAlign w:val="baseline"/>
        </w:rPr>
        <w:t>Policies,”</w:t>
      </w:r>
      <w:r>
        <w:rPr>
          <w:spacing w:val="-3"/>
          <w:sz w:val="18"/>
          <w:vertAlign w:val="baseline"/>
        </w:rPr>
        <w:t> </w:t>
      </w:r>
      <w:r>
        <w:rPr>
          <w:sz w:val="18"/>
          <w:vertAlign w:val="baseline"/>
        </w:rPr>
        <w:t>SIECUS,</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3"/>
          <w:sz w:val="18"/>
          <w:vertAlign w:val="baseline"/>
        </w:rPr>
        <w:t> </w:t>
      </w:r>
      <w:r>
        <w:rPr>
          <w:sz w:val="18"/>
          <w:vertAlign w:val="baseline"/>
        </w:rPr>
        <w:t>24,</w:t>
      </w:r>
      <w:r>
        <w:rPr>
          <w:spacing w:val="-3"/>
          <w:sz w:val="18"/>
          <w:vertAlign w:val="baseline"/>
        </w:rPr>
        <w:t> </w:t>
      </w:r>
      <w:r>
        <w:rPr>
          <w:sz w:val="18"/>
          <w:vertAlign w:val="baseline"/>
        </w:rPr>
        <w:t>2023, </w:t>
      </w:r>
      <w:r>
        <w:rPr>
          <w:spacing w:val="-2"/>
          <w:sz w:val="18"/>
          <w:vertAlign w:val="baseline"/>
        </w:rPr>
        <w:t>https://siecus.org/resources/opt-in-vs-opt-out-state-sex-ed-parental-consent-policies/.</w:t>
      </w:r>
    </w:p>
    <w:p>
      <w:pPr>
        <w:spacing w:line="219" w:lineRule="exact" w:before="0"/>
        <w:ind w:left="363" w:right="0" w:firstLine="0"/>
        <w:jc w:val="left"/>
        <w:rPr>
          <w:sz w:val="18"/>
        </w:rPr>
      </w:pPr>
      <w:r>
        <w:rPr>
          <w:sz w:val="18"/>
          <w:vertAlign w:val="superscript"/>
        </w:rPr>
        <w:t>8</w:t>
      </w:r>
      <w:r>
        <w:rPr>
          <w:spacing w:val="-15"/>
          <w:sz w:val="18"/>
          <w:vertAlign w:val="baseline"/>
        </w:rPr>
        <w:t> </w:t>
      </w:r>
      <w:r>
        <w:rPr>
          <w:sz w:val="18"/>
          <w:vertAlign w:val="baseline"/>
        </w:rPr>
        <w:t>“Adolescent</w:t>
      </w:r>
      <w:r>
        <w:rPr>
          <w:spacing w:val="-5"/>
          <w:sz w:val="18"/>
          <w:vertAlign w:val="baseline"/>
        </w:rPr>
        <w:t> </w:t>
      </w:r>
      <w:r>
        <w:rPr>
          <w:sz w:val="18"/>
          <w:vertAlign w:val="baseline"/>
        </w:rPr>
        <w:t>and</w:t>
      </w:r>
      <w:r>
        <w:rPr>
          <w:spacing w:val="-2"/>
          <w:sz w:val="18"/>
          <w:vertAlign w:val="baseline"/>
        </w:rPr>
        <w:t> </w:t>
      </w:r>
      <w:r>
        <w:rPr>
          <w:sz w:val="18"/>
          <w:vertAlign w:val="baseline"/>
        </w:rPr>
        <w:t>School</w:t>
      </w:r>
      <w:r>
        <w:rPr>
          <w:spacing w:val="-4"/>
          <w:sz w:val="18"/>
          <w:vertAlign w:val="baseline"/>
        </w:rPr>
        <w:t> </w:t>
      </w:r>
      <w:r>
        <w:rPr>
          <w:sz w:val="18"/>
          <w:vertAlign w:val="baseline"/>
        </w:rPr>
        <w:t>Health</w:t>
      </w:r>
      <w:r>
        <w:rPr>
          <w:spacing w:val="-1"/>
          <w:sz w:val="18"/>
          <w:vertAlign w:val="baseline"/>
        </w:rPr>
        <w:t> </w:t>
      </w:r>
      <w:r>
        <w:rPr>
          <w:sz w:val="18"/>
          <w:vertAlign w:val="baseline"/>
        </w:rPr>
        <w:t>(DASH)</w:t>
      </w:r>
      <w:r>
        <w:rPr>
          <w:spacing w:val="-2"/>
          <w:sz w:val="18"/>
          <w:vertAlign w:val="baseline"/>
        </w:rPr>
        <w:t> </w:t>
      </w:r>
      <w:r>
        <w:rPr>
          <w:sz w:val="18"/>
          <w:vertAlign w:val="baseline"/>
        </w:rPr>
        <w:t>|</w:t>
      </w:r>
      <w:r>
        <w:rPr>
          <w:spacing w:val="-3"/>
          <w:sz w:val="18"/>
          <w:vertAlign w:val="baseline"/>
        </w:rPr>
        <w:t> </w:t>
      </w:r>
      <w:r>
        <w:rPr>
          <w:sz w:val="18"/>
          <w:vertAlign w:val="baseline"/>
        </w:rPr>
        <w:t>CDC,”</w:t>
      </w:r>
      <w:r>
        <w:rPr>
          <w:spacing w:val="-2"/>
          <w:sz w:val="18"/>
          <w:vertAlign w:val="baseline"/>
        </w:rPr>
        <w:t> </w:t>
      </w:r>
      <w:r>
        <w:rPr>
          <w:sz w:val="18"/>
          <w:vertAlign w:val="baseline"/>
        </w:rPr>
        <w:t>March</w:t>
      </w:r>
      <w:r>
        <w:rPr>
          <w:spacing w:val="-2"/>
          <w:sz w:val="18"/>
          <w:vertAlign w:val="baseline"/>
        </w:rPr>
        <w:t> </w:t>
      </w:r>
      <w:r>
        <w:rPr>
          <w:sz w:val="18"/>
          <w:vertAlign w:val="baseline"/>
        </w:rPr>
        <w:t>16,</w:t>
      </w:r>
      <w:r>
        <w:rPr>
          <w:spacing w:val="-3"/>
          <w:sz w:val="18"/>
          <w:vertAlign w:val="baseline"/>
        </w:rPr>
        <w:t> </w:t>
      </w:r>
      <w:r>
        <w:rPr>
          <w:sz w:val="18"/>
          <w:vertAlign w:val="baseline"/>
        </w:rPr>
        <w:t>2023,</w:t>
      </w:r>
      <w:r>
        <w:rPr>
          <w:spacing w:val="-2"/>
          <w:sz w:val="18"/>
          <w:vertAlign w:val="baseline"/>
        </w:rPr>
        <w:t> https://</w:t>
      </w:r>
      <w:hyperlink r:id="rId404">
        <w:r>
          <w:rPr>
            <w:spacing w:val="-2"/>
            <w:sz w:val="18"/>
            <w:vertAlign w:val="baseline"/>
          </w:rPr>
          <w:t>www.cdc.gov/healthyyouth/index.htm.</w:t>
        </w:r>
      </w:hyperlink>
    </w:p>
    <w:p>
      <w:pPr>
        <w:spacing w:before="0"/>
        <w:ind w:left="363" w:right="0" w:firstLine="0"/>
        <w:jc w:val="left"/>
        <w:rPr>
          <w:sz w:val="18"/>
        </w:rPr>
      </w:pPr>
      <w:r>
        <w:rPr>
          <w:sz w:val="18"/>
          <w:vertAlign w:val="superscript"/>
        </w:rPr>
        <w:t>9</w:t>
      </w:r>
      <w:r>
        <w:rPr>
          <w:spacing w:val="-13"/>
          <w:sz w:val="18"/>
          <w:vertAlign w:val="baseline"/>
        </w:rPr>
        <w:t> </w:t>
      </w:r>
      <w:r>
        <w:rPr>
          <w:sz w:val="18"/>
          <w:vertAlign w:val="baseline"/>
        </w:rPr>
        <w:t>“Adolescent</w:t>
      </w:r>
      <w:r>
        <w:rPr>
          <w:spacing w:val="-5"/>
          <w:sz w:val="18"/>
          <w:vertAlign w:val="baseline"/>
        </w:rPr>
        <w:t> </w:t>
      </w:r>
      <w:r>
        <w:rPr>
          <w:sz w:val="18"/>
          <w:vertAlign w:val="baseline"/>
        </w:rPr>
        <w:t>and</w:t>
      </w:r>
      <w:r>
        <w:rPr>
          <w:spacing w:val="-2"/>
          <w:sz w:val="18"/>
          <w:vertAlign w:val="baseline"/>
        </w:rPr>
        <w:t> </w:t>
      </w:r>
      <w:r>
        <w:rPr>
          <w:sz w:val="18"/>
          <w:vertAlign w:val="baseline"/>
        </w:rPr>
        <w:t>School</w:t>
      </w:r>
      <w:r>
        <w:rPr>
          <w:spacing w:val="-3"/>
          <w:sz w:val="18"/>
          <w:vertAlign w:val="baseline"/>
        </w:rPr>
        <w:t> </w:t>
      </w:r>
      <w:r>
        <w:rPr>
          <w:sz w:val="18"/>
          <w:vertAlign w:val="baseline"/>
        </w:rPr>
        <w:t>Health</w:t>
      </w:r>
      <w:r>
        <w:rPr>
          <w:spacing w:val="-1"/>
          <w:sz w:val="18"/>
          <w:vertAlign w:val="baseline"/>
        </w:rPr>
        <w:t> </w:t>
      </w:r>
      <w:r>
        <w:rPr>
          <w:sz w:val="18"/>
          <w:vertAlign w:val="baseline"/>
        </w:rPr>
        <w:t>(DASH)</w:t>
      </w:r>
      <w:r>
        <w:rPr>
          <w:spacing w:val="-2"/>
          <w:sz w:val="18"/>
          <w:vertAlign w:val="baseline"/>
        </w:rPr>
        <w:t> </w:t>
      </w:r>
      <w:r>
        <w:rPr>
          <w:sz w:val="18"/>
          <w:vertAlign w:val="baseline"/>
        </w:rPr>
        <w:t>|</w:t>
      </w:r>
      <w:r>
        <w:rPr>
          <w:spacing w:val="-1"/>
          <w:sz w:val="18"/>
          <w:vertAlign w:val="baseline"/>
        </w:rPr>
        <w:t> </w:t>
      </w:r>
      <w:r>
        <w:rPr>
          <w:spacing w:val="-2"/>
          <w:sz w:val="18"/>
          <w:vertAlign w:val="baseline"/>
        </w:rPr>
        <w:t>CDC.”</w:t>
      </w:r>
    </w:p>
    <w:p>
      <w:pPr>
        <w:spacing w:before="0"/>
        <w:ind w:left="363" w:right="91" w:hanging="1"/>
        <w:jc w:val="left"/>
        <w:rPr>
          <w:sz w:val="18"/>
        </w:rPr>
      </w:pPr>
      <w:r>
        <w:rPr>
          <w:sz w:val="18"/>
          <w:vertAlign w:val="superscript"/>
        </w:rPr>
        <w:t>10</w:t>
      </w:r>
      <w:r>
        <w:rPr>
          <w:spacing w:val="-13"/>
          <w:sz w:val="18"/>
          <w:vertAlign w:val="baseline"/>
        </w:rPr>
        <w:t> </w:t>
      </w:r>
      <w:r>
        <w:rPr>
          <w:sz w:val="18"/>
          <w:vertAlign w:val="baseline"/>
        </w:rPr>
        <w:t>Christine</w:t>
      </w:r>
      <w:r>
        <w:rPr>
          <w:spacing w:val="-4"/>
          <w:sz w:val="18"/>
          <w:vertAlign w:val="baseline"/>
        </w:rPr>
        <w:t> </w:t>
      </w:r>
      <w:r>
        <w:rPr>
          <w:sz w:val="18"/>
          <w:vertAlign w:val="baseline"/>
        </w:rPr>
        <w:t>Panchaud</w:t>
      </w:r>
      <w:r>
        <w:rPr>
          <w:spacing w:val="-3"/>
          <w:sz w:val="18"/>
          <w:vertAlign w:val="baseline"/>
        </w:rPr>
        <w:t> </w:t>
      </w:r>
      <w:r>
        <w:rPr>
          <w:sz w:val="18"/>
          <w:vertAlign w:val="baseline"/>
        </w:rPr>
        <w:t>and</w:t>
      </w:r>
      <w:r>
        <w:rPr>
          <w:spacing w:val="-3"/>
          <w:sz w:val="18"/>
          <w:vertAlign w:val="baseline"/>
        </w:rPr>
        <w:t> </w:t>
      </w:r>
      <w:r>
        <w:rPr>
          <w:sz w:val="18"/>
          <w:vertAlign w:val="baseline"/>
        </w:rPr>
        <w:t>Ragnar</w:t>
      </w:r>
      <w:r>
        <w:rPr>
          <w:spacing w:val="-4"/>
          <w:sz w:val="18"/>
          <w:vertAlign w:val="baseline"/>
        </w:rPr>
        <w:t> </w:t>
      </w:r>
      <w:r>
        <w:rPr>
          <w:sz w:val="18"/>
          <w:vertAlign w:val="baseline"/>
        </w:rPr>
        <w:t>Anderson,</w:t>
      </w:r>
      <w:r>
        <w:rPr>
          <w:spacing w:val="-4"/>
          <w:sz w:val="18"/>
          <w:vertAlign w:val="baseline"/>
        </w:rPr>
        <w:t> </w:t>
      </w:r>
      <w:r>
        <w:rPr>
          <w:sz w:val="18"/>
          <w:vertAlign w:val="baseline"/>
        </w:rPr>
        <w:t>“Demystifying</w:t>
      </w:r>
      <w:r>
        <w:rPr>
          <w:spacing w:val="-3"/>
          <w:sz w:val="18"/>
          <w:vertAlign w:val="baseline"/>
        </w:rPr>
        <w:t> </w:t>
      </w:r>
      <w:r>
        <w:rPr>
          <w:sz w:val="18"/>
          <w:vertAlign w:val="baseline"/>
        </w:rPr>
        <w:t>Data:</w:t>
      </w:r>
      <w:r>
        <w:rPr>
          <w:spacing w:val="-3"/>
          <w:sz w:val="18"/>
          <w:vertAlign w:val="baseline"/>
        </w:rPr>
        <w:t> </w:t>
      </w:r>
      <w:r>
        <w:rPr>
          <w:sz w:val="18"/>
          <w:vertAlign w:val="baseline"/>
        </w:rPr>
        <w:t>Using</w:t>
      </w:r>
      <w:r>
        <w:rPr>
          <w:spacing w:val="-3"/>
          <w:sz w:val="18"/>
          <w:vertAlign w:val="baseline"/>
        </w:rPr>
        <w:t> </w:t>
      </w:r>
      <w:r>
        <w:rPr>
          <w:sz w:val="18"/>
          <w:vertAlign w:val="baseline"/>
        </w:rPr>
        <w:t>Evidence</w:t>
      </w:r>
      <w:r>
        <w:rPr>
          <w:spacing w:val="-3"/>
          <w:sz w:val="18"/>
          <w:vertAlign w:val="baseline"/>
        </w:rPr>
        <w:t> </w:t>
      </w:r>
      <w:r>
        <w:rPr>
          <w:sz w:val="18"/>
          <w:vertAlign w:val="baseline"/>
        </w:rPr>
        <w:t>to</w:t>
      </w:r>
      <w:r>
        <w:rPr>
          <w:spacing w:val="-3"/>
          <w:sz w:val="18"/>
          <w:vertAlign w:val="baseline"/>
        </w:rPr>
        <w:t> </w:t>
      </w:r>
      <w:r>
        <w:rPr>
          <w:sz w:val="18"/>
          <w:vertAlign w:val="baseline"/>
        </w:rPr>
        <w:t>Improve</w:t>
      </w:r>
      <w:r>
        <w:rPr>
          <w:spacing w:val="-3"/>
          <w:sz w:val="18"/>
          <w:vertAlign w:val="baseline"/>
        </w:rPr>
        <w:t> </w:t>
      </w:r>
      <w:r>
        <w:rPr>
          <w:sz w:val="18"/>
          <w:vertAlign w:val="baseline"/>
        </w:rPr>
        <w:t>Young</w:t>
      </w:r>
      <w:r>
        <w:rPr>
          <w:spacing w:val="-3"/>
          <w:sz w:val="18"/>
          <w:vertAlign w:val="baseline"/>
        </w:rPr>
        <w:t> </w:t>
      </w:r>
      <w:r>
        <w:rPr>
          <w:sz w:val="18"/>
          <w:vertAlign w:val="baseline"/>
        </w:rPr>
        <w:t>People’s</w:t>
      </w:r>
      <w:r>
        <w:rPr>
          <w:spacing w:val="-3"/>
          <w:sz w:val="18"/>
          <w:vertAlign w:val="baseline"/>
        </w:rPr>
        <w:t> </w:t>
      </w:r>
      <w:r>
        <w:rPr>
          <w:sz w:val="18"/>
          <w:vertAlign w:val="baseline"/>
        </w:rPr>
        <w:t>Sexual</w:t>
      </w:r>
      <w:r>
        <w:rPr>
          <w:spacing w:val="-4"/>
          <w:sz w:val="18"/>
          <w:vertAlign w:val="baseline"/>
        </w:rPr>
        <w:t> </w:t>
      </w:r>
      <w:r>
        <w:rPr>
          <w:sz w:val="18"/>
          <w:vertAlign w:val="baseline"/>
        </w:rPr>
        <w:t>Health</w:t>
      </w:r>
      <w:r>
        <w:rPr>
          <w:spacing w:val="-3"/>
          <w:sz w:val="18"/>
          <w:vertAlign w:val="baseline"/>
        </w:rPr>
        <w:t> </w:t>
      </w:r>
      <w:r>
        <w:rPr>
          <w:sz w:val="18"/>
          <w:vertAlign w:val="baseline"/>
        </w:rPr>
        <w:t>and Rights—Workshop Toolkit,” August 5, 2016, https://</w:t>
      </w:r>
      <w:hyperlink r:id="rId405">
        <w:r>
          <w:rPr>
            <w:sz w:val="18"/>
            <w:vertAlign w:val="baseline"/>
          </w:rPr>
          <w:t>www.guttmacher.org/report/demystifying-data-workshop-toolkit.</w:t>
        </w:r>
      </w:hyperlink>
    </w:p>
    <w:p>
      <w:pPr>
        <w:spacing w:before="0"/>
        <w:ind w:left="363" w:right="523" w:hanging="1"/>
        <w:jc w:val="left"/>
        <w:rPr>
          <w:sz w:val="18"/>
        </w:rPr>
      </w:pPr>
      <w:r>
        <w:rPr>
          <w:sz w:val="18"/>
          <w:vertAlign w:val="superscript"/>
        </w:rPr>
        <w:t>11</w:t>
      </w:r>
      <w:r>
        <w:rPr>
          <w:spacing w:val="-13"/>
          <w:sz w:val="18"/>
          <w:vertAlign w:val="baseline"/>
        </w:rPr>
        <w:t> </w:t>
      </w:r>
      <w:r>
        <w:rPr>
          <w:sz w:val="18"/>
          <w:vertAlign w:val="baseline"/>
        </w:rPr>
        <w:t>SIECUS:</w:t>
      </w:r>
      <w:r>
        <w:rPr>
          <w:spacing w:val="-3"/>
          <w:sz w:val="18"/>
          <w:vertAlign w:val="baseline"/>
        </w:rPr>
        <w:t> </w:t>
      </w:r>
      <w:r>
        <w:rPr>
          <w:sz w:val="18"/>
          <w:vertAlign w:val="baseline"/>
        </w:rPr>
        <w:t>Sex</w:t>
      </w:r>
      <w:r>
        <w:rPr>
          <w:spacing w:val="-2"/>
          <w:sz w:val="18"/>
          <w:vertAlign w:val="baseline"/>
        </w:rPr>
        <w:t> </w:t>
      </w:r>
      <w:r>
        <w:rPr>
          <w:sz w:val="18"/>
          <w:vertAlign w:val="baseline"/>
        </w:rPr>
        <w:t>Ed</w:t>
      </w:r>
      <w:r>
        <w:rPr>
          <w:spacing w:val="-3"/>
          <w:sz w:val="18"/>
          <w:vertAlign w:val="baseline"/>
        </w:rPr>
        <w:t> </w:t>
      </w:r>
      <w:r>
        <w:rPr>
          <w:sz w:val="18"/>
          <w:vertAlign w:val="baseline"/>
        </w:rPr>
        <w:t>for</w:t>
      </w:r>
      <w:r>
        <w:rPr>
          <w:spacing w:val="-3"/>
          <w:sz w:val="18"/>
          <w:vertAlign w:val="baseline"/>
        </w:rPr>
        <w:t> </w:t>
      </w:r>
      <w:r>
        <w:rPr>
          <w:sz w:val="18"/>
          <w:vertAlign w:val="baseline"/>
        </w:rPr>
        <w:t>Social</w:t>
      </w:r>
      <w:r>
        <w:rPr>
          <w:spacing w:val="-3"/>
          <w:sz w:val="18"/>
          <w:vertAlign w:val="baseline"/>
        </w:rPr>
        <w:t> </w:t>
      </w:r>
      <w:r>
        <w:rPr>
          <w:sz w:val="18"/>
          <w:vertAlign w:val="baseline"/>
        </w:rPr>
        <w:t>Change,</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May</w:t>
      </w:r>
      <w:r>
        <w:rPr>
          <w:spacing w:val="-2"/>
          <w:sz w:val="18"/>
          <w:vertAlign w:val="baseline"/>
        </w:rPr>
        <w:t> </w:t>
      </w:r>
      <w:r>
        <w:rPr>
          <w:sz w:val="18"/>
          <w:vertAlign w:val="baseline"/>
        </w:rPr>
        <w:t>2021.</w:t>
      </w:r>
      <w:r>
        <w:rPr>
          <w:spacing w:val="-2"/>
          <w:sz w:val="18"/>
          <w:vertAlign w:val="baseline"/>
        </w:rPr>
        <w:t> </w:t>
      </w:r>
      <w:r>
        <w:rPr>
          <w:sz w:val="18"/>
          <w:vertAlign w:val="baseline"/>
        </w:rPr>
        <w:t>“A</w:t>
      </w:r>
      <w:r>
        <w:rPr>
          <w:spacing w:val="-2"/>
          <w:sz w:val="18"/>
          <w:vertAlign w:val="baseline"/>
        </w:rPr>
        <w:t> </w:t>
      </w:r>
      <w:r>
        <w:rPr>
          <w:sz w:val="18"/>
          <w:vertAlign w:val="baseline"/>
        </w:rPr>
        <w:t>Call</w:t>
      </w:r>
      <w:r>
        <w:rPr>
          <w:spacing w:val="-3"/>
          <w:sz w:val="18"/>
          <w:vertAlign w:val="baseline"/>
        </w:rPr>
        <w:t> </w:t>
      </w:r>
      <w:r>
        <w:rPr>
          <w:sz w:val="18"/>
          <w:vertAlign w:val="baseline"/>
        </w:rPr>
        <w:t>to</w:t>
      </w:r>
      <w:r>
        <w:rPr>
          <w:spacing w:val="-2"/>
          <w:sz w:val="18"/>
          <w:vertAlign w:val="baseline"/>
        </w:rPr>
        <w:t> </w:t>
      </w:r>
      <w:r>
        <w:rPr>
          <w:sz w:val="18"/>
          <w:vertAlign w:val="baseline"/>
        </w:rPr>
        <w:t>Action: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Need</w:t>
      </w:r>
      <w:r>
        <w:rPr>
          <w:spacing w:val="-2"/>
          <w:sz w:val="18"/>
          <w:vertAlign w:val="baseline"/>
        </w:rPr>
        <w:t> </w:t>
      </w:r>
      <w:r>
        <w:rPr>
          <w:sz w:val="18"/>
          <w:vertAlign w:val="baseline"/>
        </w:rPr>
        <w:t>Inclusive</w:t>
      </w:r>
      <w:r>
        <w:rPr>
          <w:spacing w:val="-2"/>
          <w:sz w:val="18"/>
          <w:vertAlign w:val="baseline"/>
        </w:rPr>
        <w:t> </w:t>
      </w:r>
      <w:r>
        <w:rPr>
          <w:sz w:val="18"/>
          <w:vertAlign w:val="baseline"/>
        </w:rPr>
        <w:t>Sex</w:t>
      </w:r>
      <w:r>
        <w:rPr>
          <w:spacing w:val="-2"/>
          <w:sz w:val="18"/>
          <w:vertAlign w:val="baseline"/>
        </w:rPr>
        <w:t> </w:t>
      </w:r>
      <w:r>
        <w:rPr>
          <w:sz w:val="18"/>
          <w:vertAlign w:val="baseline"/>
        </w:rPr>
        <w:t>Education,”</w:t>
      </w:r>
      <w:r>
        <w:rPr>
          <w:spacing w:val="-2"/>
          <w:sz w:val="18"/>
          <w:vertAlign w:val="baseline"/>
        </w:rPr>
        <w:t> </w:t>
      </w:r>
      <w:r>
        <w:rPr>
          <w:sz w:val="18"/>
          <w:vertAlign w:val="baseline"/>
        </w:rPr>
        <w:t>page</w:t>
      </w:r>
      <w:r>
        <w:rPr>
          <w:spacing w:val="-3"/>
          <w:sz w:val="18"/>
          <w:vertAlign w:val="baseline"/>
        </w:rPr>
        <w:t> </w:t>
      </w:r>
      <w:r>
        <w:rPr>
          <w:sz w:val="18"/>
          <w:vertAlign w:val="baseline"/>
        </w:rPr>
        <w:t>2. </w:t>
      </w:r>
      <w:hyperlink r:id="rId406">
        <w:r>
          <w:rPr>
            <w:color w:val="0000FF"/>
            <w:spacing w:val="-2"/>
            <w:sz w:val="18"/>
            <w:u w:val="single" w:color="0000FF"/>
            <w:vertAlign w:val="baseline"/>
          </w:rPr>
          <w:t>https://hrc-prod-requests.s3-us-west-2.amazonaws.com/Call-to-Action-LGBTQ-Sex-Ed-Report-2021.pd</w:t>
        </w:r>
      </w:hyperlink>
      <w:hyperlink r:id="rId406">
        <w:r>
          <w:rPr>
            <w:color w:val="0000FF"/>
            <w:spacing w:val="-2"/>
            <w:sz w:val="18"/>
            <w:u w:val="single" w:color="0000FF"/>
            <w:vertAlign w:val="baseline"/>
          </w:rPr>
          <w:t>f</w:t>
        </w:r>
        <w:r>
          <w:rPr>
            <w:spacing w:val="-2"/>
            <w:sz w:val="18"/>
            <w:u w:val="none"/>
            <w:vertAlign w:val="baseline"/>
          </w:rPr>
          <w:t>.</w:t>
        </w:r>
      </w:hyperlink>
    </w:p>
    <w:p>
      <w:pPr>
        <w:spacing w:before="0"/>
        <w:ind w:left="363" w:right="91" w:hanging="1"/>
        <w:jc w:val="left"/>
        <w:rPr>
          <w:sz w:val="18"/>
        </w:rPr>
      </w:pPr>
      <w:r>
        <w:rPr>
          <w:sz w:val="18"/>
          <w:vertAlign w:val="superscript"/>
        </w:rPr>
        <w:t>12</w:t>
      </w:r>
      <w:r>
        <w:rPr>
          <w:spacing w:val="-13"/>
          <w:sz w:val="18"/>
          <w:vertAlign w:val="baseline"/>
        </w:rPr>
        <w:t> </w:t>
      </w:r>
      <w:r>
        <w:rPr>
          <w:sz w:val="18"/>
          <w:vertAlign w:val="baseline"/>
        </w:rPr>
        <w:t>Kantor,</w:t>
      </w:r>
      <w:r>
        <w:rPr>
          <w:spacing w:val="-4"/>
          <w:sz w:val="18"/>
          <w:vertAlign w:val="baseline"/>
        </w:rPr>
        <w:t> </w:t>
      </w:r>
      <w:r>
        <w:rPr>
          <w:sz w:val="18"/>
          <w:vertAlign w:val="baseline"/>
        </w:rPr>
        <w:t>Leslie,</w:t>
      </w:r>
      <w:r>
        <w:rPr>
          <w:spacing w:val="-3"/>
          <w:sz w:val="18"/>
          <w:vertAlign w:val="baseline"/>
        </w:rPr>
        <w:t> </w:t>
      </w:r>
      <w:r>
        <w:rPr>
          <w:sz w:val="18"/>
          <w:vertAlign w:val="baseline"/>
        </w:rPr>
        <w:t>and</w:t>
      </w:r>
      <w:r>
        <w:rPr>
          <w:spacing w:val="-2"/>
          <w:sz w:val="18"/>
          <w:vertAlign w:val="baseline"/>
        </w:rPr>
        <w:t> </w:t>
      </w:r>
      <w:r>
        <w:rPr>
          <w:sz w:val="18"/>
          <w:vertAlign w:val="baseline"/>
        </w:rPr>
        <w:t>Nicole</w:t>
      </w:r>
      <w:r>
        <w:rPr>
          <w:spacing w:val="-2"/>
          <w:sz w:val="18"/>
          <w:vertAlign w:val="baseline"/>
        </w:rPr>
        <w:t> </w:t>
      </w:r>
      <w:r>
        <w:rPr>
          <w:sz w:val="18"/>
          <w:vertAlign w:val="baseline"/>
        </w:rPr>
        <w:t>Levitz.</w:t>
      </w:r>
      <w:r>
        <w:rPr>
          <w:spacing w:val="-2"/>
          <w:sz w:val="18"/>
          <w:vertAlign w:val="baseline"/>
        </w:rPr>
        <w:t> </w:t>
      </w:r>
      <w:r>
        <w:rPr>
          <w:sz w:val="18"/>
          <w:vertAlign w:val="baseline"/>
        </w:rPr>
        <w:t>2017.</w:t>
      </w:r>
      <w:r>
        <w:rPr>
          <w:spacing w:val="-2"/>
          <w:sz w:val="18"/>
          <w:vertAlign w:val="baseline"/>
        </w:rPr>
        <w:t> </w:t>
      </w:r>
      <w:r>
        <w:rPr>
          <w:sz w:val="18"/>
          <w:vertAlign w:val="baseline"/>
        </w:rPr>
        <w:t>“Parents’</w:t>
      </w:r>
      <w:r>
        <w:rPr>
          <w:spacing w:val="-3"/>
          <w:sz w:val="18"/>
          <w:vertAlign w:val="baseline"/>
        </w:rPr>
        <w:t> </w:t>
      </w:r>
      <w:r>
        <w:rPr>
          <w:sz w:val="18"/>
          <w:vertAlign w:val="baseline"/>
        </w:rPr>
        <w:t>Views</w:t>
      </w:r>
      <w:r>
        <w:rPr>
          <w:spacing w:val="-2"/>
          <w:sz w:val="18"/>
          <w:vertAlign w:val="baseline"/>
        </w:rPr>
        <w:t> </w:t>
      </w:r>
      <w:r>
        <w:rPr>
          <w:sz w:val="18"/>
          <w:vertAlign w:val="baseline"/>
        </w:rPr>
        <w:t>on</w:t>
      </w:r>
      <w:r>
        <w:rPr>
          <w:spacing w:val="-2"/>
          <w:sz w:val="18"/>
          <w:vertAlign w:val="baseline"/>
        </w:rPr>
        <w:t> </w:t>
      </w:r>
      <w:r>
        <w:rPr>
          <w:sz w:val="18"/>
          <w:vertAlign w:val="baseline"/>
        </w:rPr>
        <w:t>Sex</w:t>
      </w:r>
      <w:r>
        <w:rPr>
          <w:spacing w:val="-4"/>
          <w:sz w:val="18"/>
          <w:vertAlign w:val="baseline"/>
        </w:rPr>
        <w:t> </w:t>
      </w:r>
      <w:r>
        <w:rPr>
          <w:sz w:val="18"/>
          <w:vertAlign w:val="baseline"/>
        </w:rPr>
        <w:t>Education</w:t>
      </w:r>
      <w:r>
        <w:rPr>
          <w:spacing w:val="-2"/>
          <w:sz w:val="18"/>
          <w:vertAlign w:val="baseline"/>
        </w:rPr>
        <w:t> </w:t>
      </w:r>
      <w:r>
        <w:rPr>
          <w:sz w:val="18"/>
          <w:vertAlign w:val="baseline"/>
        </w:rPr>
        <w:t>in</w:t>
      </w:r>
      <w:r>
        <w:rPr>
          <w:spacing w:val="-2"/>
          <w:sz w:val="18"/>
          <w:vertAlign w:val="baseline"/>
        </w:rPr>
        <w:t> </w:t>
      </w:r>
      <w:r>
        <w:rPr>
          <w:sz w:val="18"/>
          <w:vertAlign w:val="baseline"/>
        </w:rPr>
        <w:t>Schools:</w:t>
      </w:r>
      <w:r>
        <w:rPr>
          <w:spacing w:val="-2"/>
          <w:sz w:val="18"/>
          <w:vertAlign w:val="baseline"/>
        </w:rPr>
        <w:t> </w:t>
      </w:r>
      <w:r>
        <w:rPr>
          <w:sz w:val="18"/>
          <w:vertAlign w:val="baseline"/>
        </w:rPr>
        <w:t>How</w:t>
      </w:r>
      <w:r>
        <w:rPr>
          <w:spacing w:val="-3"/>
          <w:sz w:val="18"/>
          <w:vertAlign w:val="baseline"/>
        </w:rPr>
        <w:t> </w:t>
      </w:r>
      <w:r>
        <w:rPr>
          <w:sz w:val="18"/>
          <w:vertAlign w:val="baseline"/>
        </w:rPr>
        <w:t>Much</w:t>
      </w:r>
      <w:r>
        <w:rPr>
          <w:spacing w:val="-1"/>
          <w:sz w:val="18"/>
          <w:vertAlign w:val="baseline"/>
        </w:rPr>
        <w:t> </w:t>
      </w:r>
      <w:r>
        <w:rPr>
          <w:sz w:val="18"/>
          <w:vertAlign w:val="baseline"/>
        </w:rPr>
        <w:t>Do</w:t>
      </w:r>
      <w:r>
        <w:rPr>
          <w:spacing w:val="-2"/>
          <w:sz w:val="18"/>
          <w:vertAlign w:val="baseline"/>
        </w:rPr>
        <w:t> </w:t>
      </w:r>
      <w:r>
        <w:rPr>
          <w:sz w:val="18"/>
          <w:vertAlign w:val="baseline"/>
        </w:rPr>
        <w:t>Democrats</w:t>
      </w:r>
      <w:r>
        <w:rPr>
          <w:spacing w:val="-2"/>
          <w:sz w:val="18"/>
          <w:vertAlign w:val="baseline"/>
        </w:rPr>
        <w:t> </w:t>
      </w:r>
      <w:r>
        <w:rPr>
          <w:sz w:val="18"/>
          <w:vertAlign w:val="baseline"/>
        </w:rPr>
        <w:t>and</w:t>
      </w:r>
      <w:r>
        <w:rPr>
          <w:spacing w:val="-2"/>
          <w:sz w:val="18"/>
          <w:vertAlign w:val="baseline"/>
        </w:rPr>
        <w:t> </w:t>
      </w:r>
      <w:r>
        <w:rPr>
          <w:sz w:val="18"/>
          <w:vertAlign w:val="baseline"/>
        </w:rPr>
        <w:t>Republicans Agree?” </w:t>
      </w:r>
      <w:r>
        <w:rPr>
          <w:i/>
          <w:sz w:val="18"/>
          <w:vertAlign w:val="baseline"/>
        </w:rPr>
        <w:t>PLOS ONE </w:t>
      </w:r>
      <w:r>
        <w:rPr>
          <w:sz w:val="18"/>
          <w:vertAlign w:val="baseline"/>
        </w:rPr>
        <w:t>12, no. 7 (July 3, 2017). </w:t>
      </w:r>
      <w:r>
        <w:rPr>
          <w:color w:val="0000FF"/>
          <w:sz w:val="18"/>
          <w:u w:val="single" w:color="0000FF"/>
          <w:vertAlign w:val="baseline"/>
        </w:rPr>
        <w:t>https://10.1371/journal.pone.0180250</w:t>
      </w:r>
      <w:r>
        <w:rPr>
          <w:sz w:val="18"/>
          <w:u w:val="none"/>
          <w:vertAlign w:val="baseline"/>
        </w:rPr>
        <w:t>.</w:t>
      </w:r>
    </w:p>
    <w:p>
      <w:pPr>
        <w:spacing w:before="0"/>
        <w:ind w:left="363" w:right="0" w:firstLine="0"/>
        <w:jc w:val="left"/>
        <w:rPr>
          <w:i/>
          <w:sz w:val="18"/>
        </w:rPr>
      </w:pPr>
      <w:r>
        <w:rPr>
          <w:sz w:val="18"/>
          <w:vertAlign w:val="superscript"/>
        </w:rPr>
        <w:t>13</w:t>
      </w:r>
      <w:r>
        <w:rPr>
          <w:spacing w:val="-15"/>
          <w:sz w:val="18"/>
          <w:vertAlign w:val="baseline"/>
        </w:rPr>
        <w:t> </w:t>
      </w:r>
      <w:r>
        <w:rPr>
          <w:sz w:val="18"/>
          <w:vertAlign w:val="baseline"/>
        </w:rPr>
        <w:t>Robert</w:t>
      </w:r>
      <w:r>
        <w:rPr>
          <w:spacing w:val="-5"/>
          <w:sz w:val="18"/>
          <w:vertAlign w:val="baseline"/>
        </w:rPr>
        <w:t> </w:t>
      </w:r>
      <w:r>
        <w:rPr>
          <w:sz w:val="18"/>
          <w:vertAlign w:val="baseline"/>
        </w:rPr>
        <w:t>Atkins</w:t>
      </w:r>
      <w:r>
        <w:rPr>
          <w:spacing w:val="-3"/>
          <w:sz w:val="18"/>
          <w:vertAlign w:val="baseline"/>
        </w:rPr>
        <w:t> </w:t>
      </w:r>
      <w:r>
        <w:rPr>
          <w:sz w:val="18"/>
          <w:vertAlign w:val="baseline"/>
        </w:rPr>
        <w:t>et</w:t>
      </w:r>
      <w:r>
        <w:rPr>
          <w:spacing w:val="-4"/>
          <w:sz w:val="18"/>
          <w:vertAlign w:val="baseline"/>
        </w:rPr>
        <w:t> </w:t>
      </w:r>
      <w:r>
        <w:rPr>
          <w:sz w:val="18"/>
          <w:vertAlign w:val="baseline"/>
        </w:rPr>
        <w:t>al.,</w:t>
      </w:r>
      <w:r>
        <w:rPr>
          <w:spacing w:val="-3"/>
          <w:sz w:val="18"/>
          <w:vertAlign w:val="baseline"/>
        </w:rPr>
        <w:t> </w:t>
      </w:r>
      <w:r>
        <w:rPr>
          <w:sz w:val="18"/>
          <w:vertAlign w:val="baseline"/>
        </w:rPr>
        <w:t>“The</w:t>
      </w:r>
      <w:r>
        <w:rPr>
          <w:spacing w:val="-2"/>
          <w:sz w:val="18"/>
          <w:vertAlign w:val="baseline"/>
        </w:rPr>
        <w:t> </w:t>
      </w:r>
      <w:r>
        <w:rPr>
          <w:sz w:val="18"/>
          <w:vertAlign w:val="baseline"/>
        </w:rPr>
        <w:t>Effects</w:t>
      </w:r>
      <w:r>
        <w:rPr>
          <w:spacing w:val="-3"/>
          <w:sz w:val="18"/>
          <w:vertAlign w:val="baseline"/>
        </w:rPr>
        <w:t> </w:t>
      </w:r>
      <w:r>
        <w:rPr>
          <w:sz w:val="18"/>
          <w:vertAlign w:val="baseline"/>
        </w:rPr>
        <w:t>of</w:t>
      </w:r>
      <w:r>
        <w:rPr>
          <w:spacing w:val="-2"/>
          <w:sz w:val="18"/>
          <w:vertAlign w:val="baseline"/>
        </w:rPr>
        <w:t> </w:t>
      </w:r>
      <w:r>
        <w:rPr>
          <w:sz w:val="18"/>
          <w:vertAlign w:val="baseline"/>
        </w:rPr>
        <w:t>School</w:t>
      </w:r>
      <w:r>
        <w:rPr>
          <w:spacing w:val="-3"/>
          <w:sz w:val="18"/>
          <w:vertAlign w:val="baseline"/>
        </w:rPr>
        <w:t> </w:t>
      </w:r>
      <w:r>
        <w:rPr>
          <w:sz w:val="18"/>
          <w:vertAlign w:val="baseline"/>
        </w:rPr>
        <w:t>Poverty</w:t>
      </w:r>
      <w:r>
        <w:rPr>
          <w:spacing w:val="-2"/>
          <w:sz w:val="18"/>
          <w:vertAlign w:val="baseline"/>
        </w:rPr>
        <w:t> </w:t>
      </w:r>
      <w:r>
        <w:rPr>
          <w:sz w:val="18"/>
          <w:vertAlign w:val="baseline"/>
        </w:rPr>
        <w:t>on</w:t>
      </w:r>
      <w:r>
        <w:rPr>
          <w:spacing w:val="-3"/>
          <w:sz w:val="18"/>
          <w:vertAlign w:val="baseline"/>
        </w:rPr>
        <w:t> </w:t>
      </w:r>
      <w:r>
        <w:rPr>
          <w:sz w:val="18"/>
          <w:vertAlign w:val="baseline"/>
        </w:rPr>
        <w:t>Adolescents’</w:t>
      </w:r>
      <w:r>
        <w:rPr>
          <w:spacing w:val="-3"/>
          <w:sz w:val="18"/>
          <w:vertAlign w:val="baseline"/>
        </w:rPr>
        <w:t> </w:t>
      </w:r>
      <w:r>
        <w:rPr>
          <w:sz w:val="18"/>
          <w:vertAlign w:val="baseline"/>
        </w:rPr>
        <w:t>Sexual</w:t>
      </w:r>
      <w:r>
        <w:rPr>
          <w:spacing w:val="-3"/>
          <w:sz w:val="18"/>
          <w:vertAlign w:val="baseline"/>
        </w:rPr>
        <w:t> </w:t>
      </w:r>
      <w:r>
        <w:rPr>
          <w:sz w:val="18"/>
          <w:vertAlign w:val="baseline"/>
        </w:rPr>
        <w:t>Health</w:t>
      </w:r>
      <w:r>
        <w:rPr>
          <w:spacing w:val="-2"/>
          <w:sz w:val="18"/>
          <w:vertAlign w:val="baseline"/>
        </w:rPr>
        <w:t> </w:t>
      </w:r>
      <w:r>
        <w:rPr>
          <w:sz w:val="18"/>
          <w:vertAlign w:val="baseline"/>
        </w:rPr>
        <w:t>Knowledge,”</w:t>
      </w:r>
      <w:r>
        <w:rPr>
          <w:spacing w:val="-3"/>
          <w:sz w:val="18"/>
          <w:vertAlign w:val="baseline"/>
        </w:rPr>
        <w:t> </w:t>
      </w:r>
      <w:r>
        <w:rPr>
          <w:i/>
          <w:sz w:val="18"/>
          <w:vertAlign w:val="baseline"/>
        </w:rPr>
        <w:t>Research</w:t>
      </w:r>
      <w:r>
        <w:rPr>
          <w:i/>
          <w:spacing w:val="-3"/>
          <w:sz w:val="18"/>
          <w:vertAlign w:val="baseline"/>
        </w:rPr>
        <w:t> </w:t>
      </w:r>
      <w:r>
        <w:rPr>
          <w:i/>
          <w:sz w:val="18"/>
          <w:vertAlign w:val="baseline"/>
        </w:rPr>
        <w:t>in</w:t>
      </w:r>
      <w:r>
        <w:rPr>
          <w:i/>
          <w:spacing w:val="-3"/>
          <w:sz w:val="18"/>
          <w:vertAlign w:val="baseline"/>
        </w:rPr>
        <w:t> </w:t>
      </w:r>
      <w:r>
        <w:rPr>
          <w:i/>
          <w:sz w:val="18"/>
          <w:vertAlign w:val="baseline"/>
        </w:rPr>
        <w:t>Nursing</w:t>
      </w:r>
      <w:r>
        <w:rPr>
          <w:i/>
          <w:spacing w:val="-3"/>
          <w:sz w:val="18"/>
          <w:vertAlign w:val="baseline"/>
        </w:rPr>
        <w:t> </w:t>
      </w:r>
      <w:r>
        <w:rPr>
          <w:i/>
          <w:sz w:val="18"/>
          <w:vertAlign w:val="baseline"/>
        </w:rPr>
        <w:t>&amp;</w:t>
      </w:r>
      <w:r>
        <w:rPr>
          <w:i/>
          <w:spacing w:val="-3"/>
          <w:sz w:val="18"/>
          <w:vertAlign w:val="baseline"/>
        </w:rPr>
        <w:t> </w:t>
      </w:r>
      <w:r>
        <w:rPr>
          <w:i/>
          <w:spacing w:val="-2"/>
          <w:sz w:val="18"/>
          <w:vertAlign w:val="baseline"/>
        </w:rPr>
        <w:t>Health</w:t>
      </w:r>
    </w:p>
    <w:p>
      <w:pPr>
        <w:spacing w:before="0"/>
        <w:ind w:left="363" w:right="0" w:firstLine="0"/>
        <w:jc w:val="left"/>
        <w:rPr>
          <w:sz w:val="18"/>
        </w:rPr>
      </w:pPr>
      <w:r>
        <w:rPr>
          <w:sz w:val="18"/>
        </w:rPr>
        <w:t>35,</w:t>
      </w:r>
      <w:r>
        <w:rPr>
          <w:spacing w:val="-3"/>
          <w:sz w:val="18"/>
        </w:rPr>
        <w:t> </w:t>
      </w:r>
      <w:r>
        <w:rPr>
          <w:sz w:val="18"/>
        </w:rPr>
        <w:t>no.</w:t>
      </w:r>
      <w:r>
        <w:rPr>
          <w:spacing w:val="-1"/>
          <w:sz w:val="18"/>
        </w:rPr>
        <w:t> </w:t>
      </w:r>
      <w:r>
        <w:rPr>
          <w:sz w:val="18"/>
        </w:rPr>
        <w:t>3</w:t>
      </w:r>
      <w:r>
        <w:rPr>
          <w:spacing w:val="-1"/>
          <w:sz w:val="18"/>
        </w:rPr>
        <w:t> </w:t>
      </w:r>
      <w:r>
        <w:rPr>
          <w:sz w:val="18"/>
        </w:rPr>
        <w:t>(June</w:t>
      </w:r>
      <w:r>
        <w:rPr>
          <w:spacing w:val="-2"/>
          <w:sz w:val="18"/>
        </w:rPr>
        <w:t> </w:t>
      </w:r>
      <w:r>
        <w:rPr>
          <w:sz w:val="18"/>
        </w:rPr>
        <w:t>2012):</w:t>
      </w:r>
      <w:r>
        <w:rPr>
          <w:spacing w:val="-1"/>
          <w:sz w:val="18"/>
        </w:rPr>
        <w:t> </w:t>
      </w:r>
      <w:r>
        <w:rPr>
          <w:sz w:val="18"/>
        </w:rPr>
        <w:t>231–41,</w:t>
      </w:r>
      <w:r>
        <w:rPr>
          <w:spacing w:val="-2"/>
          <w:sz w:val="18"/>
        </w:rPr>
        <w:t> https://doi.org/10.1002/nur.21471.</w:t>
      </w:r>
    </w:p>
    <w:p>
      <w:pPr>
        <w:spacing w:before="0"/>
        <w:ind w:left="363" w:right="1687" w:hanging="1"/>
        <w:jc w:val="left"/>
        <w:rPr>
          <w:sz w:val="18"/>
        </w:rPr>
      </w:pPr>
      <w:r>
        <w:rPr>
          <w:sz w:val="18"/>
          <w:vertAlign w:val="superscript"/>
        </w:rPr>
        <w:t>14</w:t>
      </w:r>
      <w:r>
        <w:rPr>
          <w:spacing w:val="-13"/>
          <w:sz w:val="18"/>
          <w:vertAlign w:val="baseline"/>
        </w:rPr>
        <w:t> </w:t>
      </w:r>
      <w:r>
        <w:rPr>
          <w:sz w:val="18"/>
          <w:vertAlign w:val="baseline"/>
        </w:rPr>
        <w:t>“Black</w:t>
      </w:r>
      <w:r>
        <w:rPr>
          <w:spacing w:val="-6"/>
          <w:sz w:val="18"/>
          <w:vertAlign w:val="baseline"/>
        </w:rPr>
        <w:t> </w:t>
      </w:r>
      <w:r>
        <w:rPr>
          <w:sz w:val="18"/>
          <w:vertAlign w:val="baseline"/>
        </w:rPr>
        <w:t>Women,</w:t>
      </w:r>
      <w:r>
        <w:rPr>
          <w:spacing w:val="-4"/>
          <w:sz w:val="18"/>
          <w:vertAlign w:val="baseline"/>
        </w:rPr>
        <w:t> </w:t>
      </w:r>
      <w:r>
        <w:rPr>
          <w:sz w:val="18"/>
          <w:vertAlign w:val="baseline"/>
        </w:rPr>
        <w:t>the</w:t>
      </w:r>
      <w:r>
        <w:rPr>
          <w:spacing w:val="-3"/>
          <w:sz w:val="18"/>
          <w:vertAlign w:val="baseline"/>
        </w:rPr>
        <w:t> </w:t>
      </w:r>
      <w:r>
        <w:rPr>
          <w:sz w:val="18"/>
          <w:vertAlign w:val="baseline"/>
        </w:rPr>
        <w:t>Forgotten</w:t>
      </w:r>
      <w:r>
        <w:rPr>
          <w:spacing w:val="-3"/>
          <w:sz w:val="18"/>
          <w:vertAlign w:val="baseline"/>
        </w:rPr>
        <w:t> </w:t>
      </w:r>
      <w:r>
        <w:rPr>
          <w:sz w:val="18"/>
          <w:vertAlign w:val="baseline"/>
        </w:rPr>
        <w:t>Survivors</w:t>
      </w:r>
      <w:r>
        <w:rPr>
          <w:spacing w:val="-3"/>
          <w:sz w:val="18"/>
          <w:vertAlign w:val="baseline"/>
        </w:rPr>
        <w:t> </w:t>
      </w:r>
      <w:r>
        <w:rPr>
          <w:sz w:val="18"/>
          <w:vertAlign w:val="baseline"/>
        </w:rPr>
        <w:t>of</w:t>
      </w:r>
      <w:r>
        <w:rPr>
          <w:spacing w:val="-3"/>
          <w:sz w:val="18"/>
          <w:vertAlign w:val="baseline"/>
        </w:rPr>
        <w:t> </w:t>
      </w:r>
      <w:r>
        <w:rPr>
          <w:sz w:val="18"/>
          <w:vertAlign w:val="baseline"/>
        </w:rPr>
        <w:t>Sexual</w:t>
      </w:r>
      <w:r>
        <w:rPr>
          <w:spacing w:val="-4"/>
          <w:sz w:val="18"/>
          <w:vertAlign w:val="baseline"/>
        </w:rPr>
        <w:t> </w:t>
      </w:r>
      <w:r>
        <w:rPr>
          <w:sz w:val="18"/>
          <w:vertAlign w:val="baseline"/>
        </w:rPr>
        <w:t>Assault,”</w:t>
      </w:r>
      <w:r>
        <w:rPr>
          <w:spacing w:val="-3"/>
          <w:sz w:val="18"/>
          <w:vertAlign w:val="baseline"/>
        </w:rPr>
        <w:t> </w:t>
      </w:r>
      <w:r>
        <w:rPr>
          <w:sz w:val="18"/>
          <w:vertAlign w:val="baseline"/>
        </w:rPr>
        <w:t>https://</w:t>
      </w:r>
      <w:hyperlink r:id="rId407">
        <w:r>
          <w:rPr>
            <w:sz w:val="18"/>
            <w:vertAlign w:val="baseline"/>
          </w:rPr>
          <w:t>www.apa.org,</w:t>
        </w:r>
      </w:hyperlink>
      <w:r>
        <w:rPr>
          <w:spacing w:val="-4"/>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24,</w:t>
      </w:r>
      <w:r>
        <w:rPr>
          <w:spacing w:val="-4"/>
          <w:sz w:val="18"/>
          <w:vertAlign w:val="baseline"/>
        </w:rPr>
        <w:t> </w:t>
      </w:r>
      <w:r>
        <w:rPr>
          <w:sz w:val="18"/>
          <w:vertAlign w:val="baseline"/>
        </w:rPr>
        <w:t>2023, </w:t>
      </w:r>
      <w:r>
        <w:rPr>
          <w:spacing w:val="-2"/>
          <w:sz w:val="18"/>
          <w:vertAlign w:val="baseline"/>
        </w:rPr>
        <w:t>https://</w:t>
      </w:r>
      <w:hyperlink r:id="rId408">
        <w:r>
          <w:rPr>
            <w:spacing w:val="-2"/>
            <w:sz w:val="18"/>
            <w:vertAlign w:val="baseline"/>
          </w:rPr>
          <w:t>www.apa.org/pi/about/newsletter/2020/02/black-women-sexual-assault.</w:t>
        </w:r>
      </w:hyperlink>
    </w:p>
    <w:p>
      <w:pPr>
        <w:spacing w:before="0"/>
        <w:ind w:left="363" w:right="395" w:hanging="1"/>
        <w:jc w:val="left"/>
        <w:rPr>
          <w:sz w:val="18"/>
        </w:rPr>
      </w:pPr>
      <w:r>
        <w:rPr>
          <w:sz w:val="18"/>
          <w:vertAlign w:val="superscript"/>
        </w:rPr>
        <w:t>15</w:t>
      </w:r>
      <w:r>
        <w:rPr>
          <w:spacing w:val="-13"/>
          <w:sz w:val="18"/>
          <w:vertAlign w:val="baseline"/>
        </w:rPr>
        <w:t> </w:t>
      </w:r>
      <w:r>
        <w:rPr>
          <w:sz w:val="18"/>
          <w:vertAlign w:val="baseline"/>
        </w:rPr>
        <w:t>Maya</w:t>
      </w:r>
      <w:r>
        <w:rPr>
          <w:spacing w:val="-3"/>
          <w:sz w:val="18"/>
          <w:vertAlign w:val="baseline"/>
        </w:rPr>
        <w:t> </w:t>
      </w:r>
      <w:r>
        <w:rPr>
          <w:sz w:val="18"/>
          <w:vertAlign w:val="baseline"/>
        </w:rPr>
        <w:t>Finoh</w:t>
      </w:r>
      <w:r>
        <w:rPr>
          <w:spacing w:val="-2"/>
          <w:sz w:val="18"/>
          <w:vertAlign w:val="baseline"/>
        </w:rPr>
        <w:t> </w:t>
      </w:r>
      <w:r>
        <w:rPr>
          <w:sz w:val="18"/>
          <w:vertAlign w:val="baseline"/>
        </w:rPr>
        <w:t>and</w:t>
      </w:r>
      <w:r>
        <w:rPr>
          <w:spacing w:val="-2"/>
          <w:sz w:val="18"/>
          <w:vertAlign w:val="baseline"/>
        </w:rPr>
        <w:t> </w:t>
      </w:r>
      <w:r>
        <w:rPr>
          <w:sz w:val="18"/>
          <w:vertAlign w:val="baseline"/>
        </w:rPr>
        <w:t>Jasmine</w:t>
      </w:r>
      <w:r>
        <w:rPr>
          <w:spacing w:val="-2"/>
          <w:sz w:val="18"/>
          <w:vertAlign w:val="baseline"/>
        </w:rPr>
        <w:t> </w:t>
      </w:r>
      <w:r>
        <w:rPr>
          <w:sz w:val="18"/>
          <w:vertAlign w:val="baseline"/>
        </w:rPr>
        <w:t>Sanofka,</w:t>
      </w:r>
      <w:r>
        <w:rPr>
          <w:spacing w:val="-3"/>
          <w:sz w:val="18"/>
          <w:vertAlign w:val="baseline"/>
        </w:rPr>
        <w:t> </w:t>
      </w:r>
      <w:r>
        <w:rPr>
          <w:sz w:val="18"/>
          <w:vertAlign w:val="baseline"/>
        </w:rPr>
        <w:t>“The</w:t>
      </w:r>
      <w:r>
        <w:rPr>
          <w:spacing w:val="-2"/>
          <w:sz w:val="18"/>
          <w:vertAlign w:val="baseline"/>
        </w:rPr>
        <w:t> </w:t>
      </w:r>
      <w:r>
        <w:rPr>
          <w:sz w:val="18"/>
          <w:vertAlign w:val="baseline"/>
        </w:rPr>
        <w:t>Legal</w:t>
      </w:r>
      <w:r>
        <w:rPr>
          <w:spacing w:val="-3"/>
          <w:sz w:val="18"/>
          <w:vertAlign w:val="baseline"/>
        </w:rPr>
        <w:t> </w:t>
      </w:r>
      <w:r>
        <w:rPr>
          <w:sz w:val="18"/>
          <w:vertAlign w:val="baseline"/>
        </w:rPr>
        <w:t>System</w:t>
      </w:r>
      <w:r>
        <w:rPr>
          <w:spacing w:val="-2"/>
          <w:sz w:val="18"/>
          <w:vertAlign w:val="baseline"/>
        </w:rPr>
        <w:t> </w:t>
      </w:r>
      <w:r>
        <w:rPr>
          <w:sz w:val="18"/>
          <w:vertAlign w:val="baseline"/>
        </w:rPr>
        <w:t>Has</w:t>
      </w:r>
      <w:r>
        <w:rPr>
          <w:spacing w:val="-2"/>
          <w:sz w:val="18"/>
          <w:vertAlign w:val="baseline"/>
        </w:rPr>
        <w:t> </w:t>
      </w:r>
      <w:r>
        <w:rPr>
          <w:sz w:val="18"/>
          <w:vertAlign w:val="baseline"/>
        </w:rPr>
        <w:t>Failed</w:t>
      </w:r>
      <w:r>
        <w:rPr>
          <w:spacing w:val="-3"/>
          <w:sz w:val="18"/>
          <w:vertAlign w:val="baseline"/>
        </w:rPr>
        <w:t> </w:t>
      </w:r>
      <w:r>
        <w:rPr>
          <w:sz w:val="18"/>
          <w:vertAlign w:val="baseline"/>
        </w:rPr>
        <w:t>Black</w:t>
      </w:r>
      <w:r>
        <w:rPr>
          <w:spacing w:val="-3"/>
          <w:sz w:val="18"/>
          <w:vertAlign w:val="baseline"/>
        </w:rPr>
        <w:t> </w:t>
      </w:r>
      <w:r>
        <w:rPr>
          <w:sz w:val="18"/>
          <w:vertAlign w:val="baseline"/>
        </w:rPr>
        <w:t>Girls,</w:t>
      </w:r>
      <w:r>
        <w:rPr>
          <w:spacing w:val="-2"/>
          <w:sz w:val="18"/>
          <w:vertAlign w:val="baseline"/>
        </w:rPr>
        <w:t> </w:t>
      </w:r>
      <w:r>
        <w:rPr>
          <w:sz w:val="18"/>
          <w:vertAlign w:val="baseline"/>
        </w:rPr>
        <w:t>Women,</w:t>
      </w:r>
      <w:r>
        <w:rPr>
          <w:spacing w:val="-3"/>
          <w:sz w:val="18"/>
          <w:vertAlign w:val="baseline"/>
        </w:rPr>
        <w:t> </w:t>
      </w:r>
      <w:r>
        <w:rPr>
          <w:sz w:val="18"/>
          <w:vertAlign w:val="baseline"/>
        </w:rPr>
        <w:t>and</w:t>
      </w:r>
      <w:r>
        <w:rPr>
          <w:spacing w:val="-2"/>
          <w:sz w:val="18"/>
          <w:vertAlign w:val="baseline"/>
        </w:rPr>
        <w:t> </w:t>
      </w:r>
      <w:r>
        <w:rPr>
          <w:sz w:val="18"/>
          <w:vertAlign w:val="baseline"/>
        </w:rPr>
        <w:t>Non-Binary</w:t>
      </w:r>
      <w:r>
        <w:rPr>
          <w:spacing w:val="-2"/>
          <w:sz w:val="18"/>
          <w:vertAlign w:val="baseline"/>
        </w:rPr>
        <w:t> </w:t>
      </w:r>
      <w:r>
        <w:rPr>
          <w:sz w:val="18"/>
          <w:vertAlign w:val="baseline"/>
        </w:rPr>
        <w:t>Survivors</w:t>
      </w:r>
      <w:r>
        <w:rPr>
          <w:spacing w:val="-2"/>
          <w:sz w:val="18"/>
          <w:vertAlign w:val="baseline"/>
        </w:rPr>
        <w:t> </w:t>
      </w:r>
      <w:r>
        <w:rPr>
          <w:sz w:val="18"/>
          <w:vertAlign w:val="baseline"/>
        </w:rPr>
        <w:t>of</w:t>
      </w:r>
      <w:r>
        <w:rPr>
          <w:spacing w:val="-2"/>
          <w:sz w:val="18"/>
          <w:vertAlign w:val="baseline"/>
        </w:rPr>
        <w:t> </w:t>
      </w:r>
      <w:r>
        <w:rPr>
          <w:sz w:val="18"/>
          <w:vertAlign w:val="baseline"/>
        </w:rPr>
        <w:t>Violence</w:t>
      </w:r>
      <w:r>
        <w:rPr>
          <w:spacing w:val="-2"/>
          <w:sz w:val="18"/>
          <w:vertAlign w:val="baseline"/>
        </w:rPr>
        <w:t> </w:t>
      </w:r>
      <w:r>
        <w:rPr>
          <w:sz w:val="18"/>
          <w:vertAlign w:val="baseline"/>
        </w:rPr>
        <w:t>| ACLU,” </w:t>
      </w:r>
      <w:r>
        <w:rPr>
          <w:i/>
          <w:sz w:val="18"/>
          <w:vertAlign w:val="baseline"/>
        </w:rPr>
        <w:t>American Civil Liberties Union </w:t>
      </w:r>
      <w:r>
        <w:rPr>
          <w:sz w:val="18"/>
          <w:vertAlign w:val="baseline"/>
        </w:rPr>
        <w:t>(blog), January 28, 2019, https://</w:t>
      </w:r>
      <w:hyperlink r:id="rId409">
        <w:r>
          <w:rPr>
            <w:sz w:val="18"/>
            <w:vertAlign w:val="baseline"/>
          </w:rPr>
          <w:t>www.aclu.org/news/racial-justice/legal-system-has-</w:t>
        </w:r>
      </w:hyperlink>
      <w:r>
        <w:rPr>
          <w:sz w:val="18"/>
          <w:vertAlign w:val="baseline"/>
        </w:rPr>
        <w:t> </w:t>
      </w:r>
      <w:r>
        <w:rPr>
          <w:spacing w:val="-2"/>
          <w:sz w:val="18"/>
          <w:vertAlign w:val="baseline"/>
        </w:rPr>
        <w:t>failed-black-girls-women-and-non.</w:t>
      </w:r>
    </w:p>
    <w:p>
      <w:pPr>
        <w:spacing w:line="219" w:lineRule="exact" w:before="0"/>
        <w:ind w:left="363" w:right="0" w:firstLine="0"/>
        <w:jc w:val="left"/>
        <w:rPr>
          <w:sz w:val="18"/>
        </w:rPr>
      </w:pPr>
      <w:r>
        <w:rPr>
          <w:sz w:val="18"/>
          <w:vertAlign w:val="superscript"/>
        </w:rPr>
        <w:t>16</w:t>
      </w:r>
      <w:r>
        <w:rPr>
          <w:spacing w:val="-13"/>
          <w:sz w:val="18"/>
          <w:vertAlign w:val="baseline"/>
        </w:rPr>
        <w:t> </w:t>
      </w:r>
      <w:r>
        <w:rPr>
          <w:sz w:val="18"/>
          <w:vertAlign w:val="baseline"/>
        </w:rPr>
        <w:t>Rafferty,</w:t>
      </w:r>
      <w:r>
        <w:rPr>
          <w:spacing w:val="-5"/>
          <w:sz w:val="18"/>
          <w:vertAlign w:val="baseline"/>
        </w:rPr>
        <w:t> </w:t>
      </w:r>
      <w:r>
        <w:rPr>
          <w:sz w:val="18"/>
          <w:vertAlign w:val="baseline"/>
        </w:rPr>
        <w:t>Jason.</w:t>
      </w:r>
      <w:r>
        <w:rPr>
          <w:spacing w:val="-2"/>
          <w:sz w:val="18"/>
          <w:vertAlign w:val="baseline"/>
        </w:rPr>
        <w:t> </w:t>
      </w:r>
      <w:r>
        <w:rPr>
          <w:sz w:val="18"/>
          <w:vertAlign w:val="baseline"/>
        </w:rPr>
        <w:t>2022.</w:t>
      </w:r>
      <w:r>
        <w:rPr>
          <w:spacing w:val="-2"/>
          <w:sz w:val="18"/>
          <w:vertAlign w:val="baseline"/>
        </w:rPr>
        <w:t> </w:t>
      </w:r>
      <w:r>
        <w:rPr>
          <w:sz w:val="18"/>
          <w:vertAlign w:val="baseline"/>
        </w:rPr>
        <w:t>“</w:t>
      </w:r>
      <w:r>
        <w:rPr>
          <w:color w:val="1153CC"/>
          <w:sz w:val="18"/>
          <w:u w:val="single" w:color="1153CC"/>
          <w:vertAlign w:val="baseline"/>
        </w:rPr>
        <w:t>Gender</w:t>
      </w:r>
      <w:r>
        <w:rPr>
          <w:color w:val="1153CC"/>
          <w:spacing w:val="-4"/>
          <w:sz w:val="18"/>
          <w:u w:val="single" w:color="1153CC"/>
          <w:vertAlign w:val="baseline"/>
        </w:rPr>
        <w:t> </w:t>
      </w:r>
      <w:r>
        <w:rPr>
          <w:color w:val="1153CC"/>
          <w:sz w:val="18"/>
          <w:u w:val="single" w:color="1153CC"/>
          <w:vertAlign w:val="baseline"/>
        </w:rPr>
        <w:t>Identity</w:t>
      </w:r>
      <w:r>
        <w:rPr>
          <w:color w:val="1153CC"/>
          <w:spacing w:val="-3"/>
          <w:sz w:val="18"/>
          <w:u w:val="single" w:color="1153CC"/>
          <w:vertAlign w:val="baseline"/>
        </w:rPr>
        <w:t> </w:t>
      </w:r>
      <w:r>
        <w:rPr>
          <w:color w:val="1153CC"/>
          <w:sz w:val="18"/>
          <w:u w:val="single" w:color="1153CC"/>
          <w:vertAlign w:val="baseline"/>
        </w:rPr>
        <w:t>in</w:t>
      </w:r>
      <w:r>
        <w:rPr>
          <w:color w:val="1153CC"/>
          <w:spacing w:val="-2"/>
          <w:sz w:val="18"/>
          <w:u w:val="single" w:color="1153CC"/>
          <w:vertAlign w:val="baseline"/>
        </w:rPr>
        <w:t> </w:t>
      </w:r>
      <w:r>
        <w:rPr>
          <w:color w:val="1153CC"/>
          <w:sz w:val="18"/>
          <w:u w:val="single" w:color="1153CC"/>
          <w:vertAlign w:val="baseline"/>
        </w:rPr>
        <w:t>Children.</w:t>
      </w:r>
      <w:r>
        <w:rPr>
          <w:sz w:val="18"/>
          <w:u w:val="none"/>
          <w:vertAlign w:val="baseline"/>
        </w:rPr>
        <w:t>”</w:t>
      </w:r>
      <w:r>
        <w:rPr>
          <w:spacing w:val="-2"/>
          <w:sz w:val="18"/>
          <w:u w:val="none"/>
          <w:vertAlign w:val="baseline"/>
        </w:rPr>
        <w:t> </w:t>
      </w:r>
      <w:r>
        <w:rPr>
          <w:sz w:val="18"/>
          <w:u w:val="none"/>
          <w:vertAlign w:val="baseline"/>
        </w:rPr>
        <w:t>American</w:t>
      </w:r>
      <w:r>
        <w:rPr>
          <w:spacing w:val="-2"/>
          <w:sz w:val="18"/>
          <w:u w:val="none"/>
          <w:vertAlign w:val="baseline"/>
        </w:rPr>
        <w:t> </w:t>
      </w:r>
      <w:r>
        <w:rPr>
          <w:sz w:val="18"/>
          <w:u w:val="none"/>
          <w:vertAlign w:val="baseline"/>
        </w:rPr>
        <w:t>Academy</w:t>
      </w:r>
      <w:r>
        <w:rPr>
          <w:spacing w:val="-2"/>
          <w:sz w:val="18"/>
          <w:u w:val="none"/>
          <w:vertAlign w:val="baseline"/>
        </w:rPr>
        <w:t> </w:t>
      </w:r>
      <w:r>
        <w:rPr>
          <w:sz w:val="18"/>
          <w:u w:val="none"/>
          <w:vertAlign w:val="baseline"/>
        </w:rPr>
        <w:t>of</w:t>
      </w:r>
      <w:r>
        <w:rPr>
          <w:spacing w:val="-2"/>
          <w:sz w:val="18"/>
          <w:u w:val="none"/>
          <w:vertAlign w:val="baseline"/>
        </w:rPr>
        <w:t> Pediatrics.</w:t>
      </w:r>
    </w:p>
    <w:p>
      <w:pPr>
        <w:spacing w:before="1"/>
        <w:ind w:left="363" w:right="0" w:hanging="1"/>
        <w:jc w:val="left"/>
        <w:rPr>
          <w:sz w:val="18"/>
        </w:rPr>
      </w:pPr>
      <w:r>
        <w:rPr>
          <w:sz w:val="18"/>
          <w:vertAlign w:val="superscript"/>
        </w:rPr>
        <w:t>17</w:t>
      </w:r>
      <w:r>
        <w:rPr>
          <w:spacing w:val="-13"/>
          <w:sz w:val="18"/>
          <w:vertAlign w:val="baseline"/>
        </w:rPr>
        <w:t> </w:t>
      </w:r>
      <w:r>
        <w:rPr>
          <w:sz w:val="18"/>
          <w:vertAlign w:val="baseline"/>
        </w:rPr>
        <w:t>National</w:t>
      </w:r>
      <w:r>
        <w:rPr>
          <w:spacing w:val="-6"/>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Transgender</w:t>
      </w:r>
      <w:r>
        <w:rPr>
          <w:spacing w:val="-4"/>
          <w:sz w:val="18"/>
          <w:vertAlign w:val="baseline"/>
        </w:rPr>
        <w:t> </w:t>
      </w:r>
      <w:r>
        <w:rPr>
          <w:sz w:val="18"/>
          <w:vertAlign w:val="baseline"/>
        </w:rPr>
        <w:t>Equality.</w:t>
      </w:r>
      <w:r>
        <w:rPr>
          <w:spacing w:val="-3"/>
          <w:sz w:val="18"/>
          <w:vertAlign w:val="baseline"/>
        </w:rPr>
        <w:t> </w:t>
      </w:r>
      <w:r>
        <w:rPr>
          <w:sz w:val="18"/>
          <w:vertAlign w:val="baseline"/>
        </w:rPr>
        <w:t>2017.</w:t>
      </w:r>
      <w:r>
        <w:rPr>
          <w:spacing w:val="-3"/>
          <w:sz w:val="18"/>
          <w:vertAlign w:val="baseline"/>
        </w:rPr>
        <w:t> </w:t>
      </w:r>
      <w:r>
        <w:rPr>
          <w:sz w:val="18"/>
          <w:vertAlign w:val="baseline"/>
        </w:rPr>
        <w:t>“2015</w:t>
      </w:r>
      <w:r>
        <w:rPr>
          <w:spacing w:val="-3"/>
          <w:sz w:val="18"/>
          <w:vertAlign w:val="baseline"/>
        </w:rPr>
        <w:t> </w:t>
      </w:r>
      <w:r>
        <w:rPr>
          <w:sz w:val="18"/>
          <w:vertAlign w:val="baseline"/>
        </w:rPr>
        <w:t>U.S.</w:t>
      </w:r>
      <w:r>
        <w:rPr>
          <w:spacing w:val="-3"/>
          <w:sz w:val="18"/>
          <w:vertAlign w:val="baseline"/>
        </w:rPr>
        <w:t> </w:t>
      </w:r>
      <w:r>
        <w:rPr>
          <w:sz w:val="18"/>
          <w:vertAlign w:val="baseline"/>
        </w:rPr>
        <w:t>Transgender</w:t>
      </w:r>
      <w:r>
        <w:rPr>
          <w:spacing w:val="-4"/>
          <w:sz w:val="18"/>
          <w:vertAlign w:val="baseline"/>
        </w:rPr>
        <w:t> </w:t>
      </w:r>
      <w:r>
        <w:rPr>
          <w:sz w:val="18"/>
          <w:vertAlign w:val="baseline"/>
        </w:rPr>
        <w:t>Survey:</w:t>
      </w:r>
      <w:r>
        <w:rPr>
          <w:spacing w:val="-3"/>
          <w:sz w:val="18"/>
          <w:vertAlign w:val="baseline"/>
        </w:rPr>
        <w:t> </w:t>
      </w:r>
      <w:r>
        <w:rPr>
          <w:sz w:val="18"/>
          <w:vertAlign w:val="baseline"/>
        </w:rPr>
        <w:t>Massachusetts</w:t>
      </w:r>
      <w:r>
        <w:rPr>
          <w:spacing w:val="-4"/>
          <w:sz w:val="18"/>
          <w:vertAlign w:val="baseline"/>
        </w:rPr>
        <w:t> </w:t>
      </w:r>
      <w:r>
        <w:rPr>
          <w:sz w:val="18"/>
          <w:vertAlign w:val="baseline"/>
        </w:rPr>
        <w:t>State</w:t>
      </w:r>
      <w:r>
        <w:rPr>
          <w:spacing w:val="-3"/>
          <w:sz w:val="18"/>
          <w:vertAlign w:val="baseline"/>
        </w:rPr>
        <w:t> </w:t>
      </w:r>
      <w:r>
        <w:rPr>
          <w:sz w:val="18"/>
          <w:vertAlign w:val="baseline"/>
        </w:rPr>
        <w:t>Report.” </w:t>
      </w:r>
      <w:hyperlink r:id="rId410">
        <w:r>
          <w:rPr>
            <w:color w:val="0000FF"/>
            <w:spacing w:val="-2"/>
            <w:sz w:val="18"/>
            <w:u w:val="single" w:color="0000FF"/>
            <w:vertAlign w:val="baseline"/>
          </w:rPr>
          <w:t>https://transequality.org/sites/default/files/docs/usts/USTSMAStateReport(1017).pdf</w:t>
        </w:r>
      </w:hyperlink>
    </w:p>
    <w:p>
      <w:pPr>
        <w:spacing w:before="0"/>
        <w:ind w:left="363" w:right="0" w:hanging="1"/>
        <w:jc w:val="left"/>
        <w:rPr>
          <w:sz w:val="18"/>
        </w:rPr>
      </w:pPr>
      <w:r>
        <w:rPr>
          <w:sz w:val="18"/>
          <w:vertAlign w:val="superscript"/>
        </w:rPr>
        <w:t>18</w:t>
      </w:r>
      <w:r>
        <w:rPr>
          <w:spacing w:val="-13"/>
          <w:sz w:val="18"/>
          <w:vertAlign w:val="baseline"/>
        </w:rPr>
        <w:t> </w:t>
      </w:r>
      <w:r>
        <w:rPr>
          <w:sz w:val="18"/>
          <w:vertAlign w:val="baseline"/>
        </w:rPr>
        <w:t>“Student</w:t>
      </w:r>
      <w:r>
        <w:rPr>
          <w:spacing w:val="-5"/>
          <w:sz w:val="18"/>
          <w:vertAlign w:val="baseline"/>
        </w:rPr>
        <w:t> </w:t>
      </w:r>
      <w:r>
        <w:rPr>
          <w:sz w:val="18"/>
          <w:vertAlign w:val="baseline"/>
        </w:rPr>
        <w:t>and</w:t>
      </w:r>
      <w:r>
        <w:rPr>
          <w:spacing w:val="-5"/>
          <w:sz w:val="18"/>
          <w:vertAlign w:val="baseline"/>
        </w:rPr>
        <w:t> </w:t>
      </w:r>
      <w:r>
        <w:rPr>
          <w:sz w:val="18"/>
          <w:vertAlign w:val="baseline"/>
        </w:rPr>
        <w:t>Family</w:t>
      </w:r>
      <w:r>
        <w:rPr>
          <w:spacing w:val="-2"/>
          <w:sz w:val="18"/>
          <w:vertAlign w:val="baseline"/>
        </w:rPr>
        <w:t> </w:t>
      </w:r>
      <w:r>
        <w:rPr>
          <w:sz w:val="18"/>
          <w:vertAlign w:val="baseline"/>
        </w:rPr>
        <w:t>Support</w:t>
      </w:r>
      <w:r>
        <w:rPr>
          <w:spacing w:val="-3"/>
          <w:sz w:val="18"/>
          <w:vertAlign w:val="baseline"/>
        </w:rPr>
        <w:t> </w:t>
      </w:r>
      <w:r>
        <w:rPr>
          <w:sz w:val="18"/>
          <w:vertAlign w:val="baseline"/>
        </w:rPr>
        <w:t>(SFS)</w:t>
      </w:r>
      <w:r>
        <w:rPr>
          <w:spacing w:val="-2"/>
          <w:sz w:val="18"/>
          <w:vertAlign w:val="baseline"/>
        </w:rPr>
        <w:t> </w:t>
      </w:r>
      <w:r>
        <w:rPr>
          <w:sz w:val="18"/>
          <w:vertAlign w:val="baseline"/>
        </w:rPr>
        <w:t>-</w:t>
      </w:r>
      <w:r>
        <w:rPr>
          <w:spacing w:val="-2"/>
          <w:sz w:val="18"/>
          <w:vertAlign w:val="baseline"/>
        </w:rPr>
        <w:t> </w:t>
      </w:r>
      <w:r>
        <w:rPr>
          <w:sz w:val="18"/>
          <w:vertAlign w:val="baseline"/>
        </w:rPr>
        <w:t>Massachusetts</w:t>
      </w:r>
      <w:r>
        <w:rPr>
          <w:spacing w:val="-2"/>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Elementary</w:t>
      </w:r>
      <w:r>
        <w:rPr>
          <w:spacing w:val="-2"/>
          <w:sz w:val="18"/>
          <w:vertAlign w:val="baseline"/>
        </w:rPr>
        <w:t> </w:t>
      </w:r>
      <w:r>
        <w:rPr>
          <w:sz w:val="18"/>
          <w:vertAlign w:val="baseline"/>
        </w:rPr>
        <w:t>and</w:t>
      </w:r>
      <w:r>
        <w:rPr>
          <w:spacing w:val="-2"/>
          <w:sz w:val="18"/>
          <w:vertAlign w:val="baseline"/>
        </w:rPr>
        <w:t> </w:t>
      </w:r>
      <w:r>
        <w:rPr>
          <w:sz w:val="18"/>
          <w:vertAlign w:val="baseline"/>
        </w:rPr>
        <w:t>Secondary</w:t>
      </w:r>
      <w:r>
        <w:rPr>
          <w:spacing w:val="-2"/>
          <w:sz w:val="18"/>
          <w:vertAlign w:val="baseline"/>
        </w:rPr>
        <w:t> </w:t>
      </w:r>
      <w:r>
        <w:rPr>
          <w:sz w:val="18"/>
          <w:vertAlign w:val="baseline"/>
        </w:rPr>
        <w:t>Education,”</w:t>
      </w:r>
      <w:r>
        <w:rPr>
          <w:spacing w:val="-2"/>
          <w:sz w:val="18"/>
          <w:vertAlign w:val="baseline"/>
        </w:rPr>
        <w:t> </w:t>
      </w:r>
      <w:r>
        <w:rPr>
          <w:sz w:val="18"/>
          <w:vertAlign w:val="baseline"/>
        </w:rPr>
        <w:t>accessed</w:t>
      </w:r>
      <w:r>
        <w:rPr>
          <w:spacing w:val="-2"/>
          <w:sz w:val="18"/>
          <w:vertAlign w:val="baseline"/>
        </w:rPr>
        <w:t> </w:t>
      </w:r>
      <w:r>
        <w:rPr>
          <w:sz w:val="18"/>
          <w:vertAlign w:val="baseline"/>
        </w:rPr>
        <w:t>March</w:t>
      </w:r>
      <w:r>
        <w:rPr>
          <w:spacing w:val="-2"/>
          <w:sz w:val="18"/>
          <w:vertAlign w:val="baseline"/>
        </w:rPr>
        <w:t> </w:t>
      </w:r>
      <w:r>
        <w:rPr>
          <w:sz w:val="18"/>
          <w:vertAlign w:val="baseline"/>
        </w:rPr>
        <w:t>12, 2023,</w:t>
      </w:r>
      <w:r>
        <w:rPr>
          <w:spacing w:val="-2"/>
          <w:sz w:val="18"/>
          <w:vertAlign w:val="baseline"/>
        </w:rPr>
        <w:t> </w:t>
      </w:r>
      <w:r>
        <w:rPr>
          <w:sz w:val="18"/>
          <w:vertAlign w:val="baseline"/>
        </w:rPr>
        <w:t>https://</w:t>
      </w:r>
      <w:hyperlink r:id="rId411">
        <w:r>
          <w:rPr>
            <w:sz w:val="18"/>
            <w:vertAlign w:val="baseline"/>
          </w:rPr>
          <w:t>www.doe.mass.edu/sfs/?section=family.</w:t>
        </w:r>
      </w:hyperlink>
    </w:p>
    <w:p>
      <w:pPr>
        <w:spacing w:before="0"/>
        <w:ind w:left="363" w:right="0" w:hanging="1"/>
        <w:jc w:val="left"/>
        <w:rPr>
          <w:sz w:val="18"/>
        </w:rPr>
      </w:pPr>
      <w:r>
        <w:rPr>
          <w:sz w:val="18"/>
          <w:vertAlign w:val="superscript"/>
        </w:rPr>
        <w:t>19</w:t>
      </w:r>
      <w:r>
        <w:rPr>
          <w:spacing w:val="-13"/>
          <w:sz w:val="18"/>
          <w:vertAlign w:val="baseline"/>
        </w:rPr>
        <w:t> </w:t>
      </w:r>
      <w:r>
        <w:rPr>
          <w:sz w:val="18"/>
          <w:vertAlign w:val="baseline"/>
        </w:rPr>
        <w:t>“Movement</w:t>
      </w:r>
      <w:r>
        <w:rPr>
          <w:spacing w:val="-5"/>
          <w:sz w:val="18"/>
          <w:vertAlign w:val="baseline"/>
        </w:rPr>
        <w:t> </w:t>
      </w:r>
      <w:r>
        <w:rPr>
          <w:sz w:val="18"/>
          <w:vertAlign w:val="baseline"/>
        </w:rPr>
        <w:t>Advancement</w:t>
      </w:r>
      <w:r>
        <w:rPr>
          <w:spacing w:val="-4"/>
          <w:sz w:val="18"/>
          <w:vertAlign w:val="baseline"/>
        </w:rPr>
        <w:t> </w:t>
      </w:r>
      <w:r>
        <w:rPr>
          <w:sz w:val="18"/>
          <w:vertAlign w:val="baseline"/>
        </w:rPr>
        <w:t>Project</w:t>
      </w:r>
      <w:r>
        <w:rPr>
          <w:spacing w:val="-3"/>
          <w:sz w:val="18"/>
          <w:vertAlign w:val="baseline"/>
        </w:rPr>
        <w:t> </w:t>
      </w:r>
      <w:r>
        <w:rPr>
          <w:sz w:val="18"/>
          <w:vertAlign w:val="baseline"/>
        </w:rPr>
        <w:t>|</w:t>
      </w:r>
      <w:r>
        <w:rPr>
          <w:spacing w:val="-2"/>
          <w:sz w:val="18"/>
          <w:vertAlign w:val="baseline"/>
        </w:rPr>
        <w:t> </w:t>
      </w:r>
      <w:r>
        <w:rPr>
          <w:sz w:val="18"/>
          <w:vertAlign w:val="baseline"/>
        </w:rPr>
        <w:t>LGBTQ</w:t>
      </w:r>
      <w:r>
        <w:rPr>
          <w:spacing w:val="-2"/>
          <w:sz w:val="18"/>
          <w:vertAlign w:val="baseline"/>
        </w:rPr>
        <w:t> </w:t>
      </w:r>
      <w:r>
        <w:rPr>
          <w:sz w:val="18"/>
          <w:vertAlign w:val="baseline"/>
        </w:rPr>
        <w:t>Policy</w:t>
      </w:r>
      <w:r>
        <w:rPr>
          <w:spacing w:val="-2"/>
          <w:sz w:val="18"/>
          <w:vertAlign w:val="baseline"/>
        </w:rPr>
        <w:t> </w:t>
      </w:r>
      <w:r>
        <w:rPr>
          <w:sz w:val="18"/>
          <w:vertAlign w:val="baseline"/>
        </w:rPr>
        <w:t>Spotlight:</w:t>
      </w:r>
      <w:r>
        <w:rPr>
          <w:spacing w:val="-2"/>
          <w:sz w:val="18"/>
          <w:vertAlign w:val="baseline"/>
        </w:rPr>
        <w:t> </w:t>
      </w:r>
      <w:r>
        <w:rPr>
          <w:sz w:val="18"/>
          <w:vertAlign w:val="baseline"/>
        </w:rPr>
        <w:t>Efforts</w:t>
      </w:r>
      <w:r>
        <w:rPr>
          <w:spacing w:val="-2"/>
          <w:sz w:val="18"/>
          <w:vertAlign w:val="baseline"/>
        </w:rPr>
        <w:t> </w:t>
      </w:r>
      <w:r>
        <w:rPr>
          <w:sz w:val="18"/>
          <w:vertAlign w:val="baseline"/>
        </w:rPr>
        <w:t>to</w:t>
      </w:r>
      <w:r>
        <w:rPr>
          <w:spacing w:val="-2"/>
          <w:sz w:val="18"/>
          <w:vertAlign w:val="baseline"/>
        </w:rPr>
        <w:t> </w:t>
      </w:r>
      <w:r>
        <w:rPr>
          <w:sz w:val="18"/>
          <w:vertAlign w:val="baseline"/>
        </w:rPr>
        <w:t>Ban</w:t>
      </w:r>
      <w:r>
        <w:rPr>
          <w:spacing w:val="-2"/>
          <w:sz w:val="18"/>
          <w:vertAlign w:val="baseline"/>
        </w:rPr>
        <w:t> </w:t>
      </w:r>
      <w:r>
        <w:rPr>
          <w:sz w:val="18"/>
          <w:vertAlign w:val="baseline"/>
        </w:rPr>
        <w:t>Health</w:t>
      </w:r>
      <w:r>
        <w:rPr>
          <w:spacing w:val="-2"/>
          <w:sz w:val="18"/>
          <w:vertAlign w:val="baseline"/>
        </w:rPr>
        <w:t> </w:t>
      </w:r>
      <w:r>
        <w:rPr>
          <w:sz w:val="18"/>
          <w:vertAlign w:val="baseline"/>
        </w:rPr>
        <w:t>Care</w:t>
      </w:r>
      <w:r>
        <w:rPr>
          <w:spacing w:val="-2"/>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Infographics,” accessed April 24, 2023, https://</w:t>
      </w:r>
      <w:hyperlink r:id="rId412">
        <w:r>
          <w:rPr>
            <w:sz w:val="18"/>
            <w:vertAlign w:val="baseline"/>
          </w:rPr>
          <w:t>www.lgbtmap.org/2021-spotlight-health-care-bans-infographics.</w:t>
        </w:r>
      </w:hyperlink>
    </w:p>
    <w:p>
      <w:pPr>
        <w:spacing w:before="0"/>
        <w:ind w:left="363" w:right="91" w:hanging="1"/>
        <w:jc w:val="left"/>
        <w:rPr>
          <w:sz w:val="18"/>
        </w:rPr>
      </w:pPr>
      <w:r>
        <w:rPr/>
        <mc:AlternateContent>
          <mc:Choice Requires="wps">
            <w:drawing>
              <wp:anchor distT="0" distB="0" distL="0" distR="0" allowOverlap="1" layoutInCell="1" locked="0" behindDoc="0" simplePos="0" relativeHeight="15789056">
                <wp:simplePos x="0" y="0"/>
                <wp:positionH relativeFrom="page">
                  <wp:posOffset>1642872</wp:posOffset>
                </wp:positionH>
                <wp:positionV relativeFrom="paragraph">
                  <wp:posOffset>253709</wp:posOffset>
                </wp:positionV>
                <wp:extent cx="2754630" cy="1524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2754630" cy="15240"/>
                          <a:chExt cx="2754630" cy="15240"/>
                        </a:xfrm>
                      </wpg:grpSpPr>
                      <wps:wsp>
                        <wps:cNvPr id="330" name="Graphic 330"/>
                        <wps:cNvSpPr/>
                        <wps:spPr>
                          <a:xfrm>
                            <a:off x="0" y="7251"/>
                            <a:ext cx="2740660" cy="7620"/>
                          </a:xfrm>
                          <a:custGeom>
                            <a:avLst/>
                            <a:gdLst/>
                            <a:ahLst/>
                            <a:cxnLst/>
                            <a:rect l="l" t="t" r="r" b="b"/>
                            <a:pathLst>
                              <a:path w="2740660" h="7620">
                                <a:moveTo>
                                  <a:pt x="2740164" y="0"/>
                                </a:moveTo>
                                <a:lnTo>
                                  <a:pt x="0" y="0"/>
                                </a:lnTo>
                                <a:lnTo>
                                  <a:pt x="0" y="7607"/>
                                </a:lnTo>
                                <a:lnTo>
                                  <a:pt x="2740164" y="7607"/>
                                </a:lnTo>
                                <a:lnTo>
                                  <a:pt x="2740164" y="0"/>
                                </a:lnTo>
                                <a:close/>
                              </a:path>
                            </a:pathLst>
                          </a:custGeom>
                          <a:solidFill>
                            <a:srgbClr val="0000FF"/>
                          </a:solidFill>
                        </wps:spPr>
                        <wps:bodyPr wrap="square" lIns="0" tIns="0" rIns="0" bIns="0" rtlCol="0">
                          <a:prstTxWarp prst="textNoShape">
                            <a:avLst/>
                          </a:prstTxWarp>
                          <a:noAutofit/>
                        </wps:bodyPr>
                      </wps:wsp>
                      <wps:wsp>
                        <wps:cNvPr id="331" name="Graphic 331"/>
                        <wps:cNvSpPr/>
                        <wps:spPr>
                          <a:xfrm>
                            <a:off x="2725927" y="0"/>
                            <a:ext cx="28575" cy="12700"/>
                          </a:xfrm>
                          <a:custGeom>
                            <a:avLst/>
                            <a:gdLst/>
                            <a:ahLst/>
                            <a:cxnLst/>
                            <a:rect l="l" t="t" r="r" b="b"/>
                            <a:pathLst>
                              <a:path w="28575" h="12700">
                                <a:moveTo>
                                  <a:pt x="28321" y="0"/>
                                </a:moveTo>
                                <a:lnTo>
                                  <a:pt x="0" y="0"/>
                                </a:lnTo>
                                <a:lnTo>
                                  <a:pt x="0" y="12700"/>
                                </a:lnTo>
                                <a:lnTo>
                                  <a:pt x="28321" y="12700"/>
                                </a:lnTo>
                                <a:lnTo>
                                  <a:pt x="28321" y="0"/>
                                </a:lnTo>
                                <a:close/>
                              </a:path>
                            </a:pathLst>
                          </a:custGeom>
                          <a:solidFill>
                            <a:srgbClr val="1153CC"/>
                          </a:solidFill>
                        </wps:spPr>
                        <wps:bodyPr wrap="square" lIns="0" tIns="0" rIns="0" bIns="0" rtlCol="0">
                          <a:prstTxWarp prst="textNoShape">
                            <a:avLst/>
                          </a:prstTxWarp>
                          <a:noAutofit/>
                        </wps:bodyPr>
                      </wps:wsp>
                    </wpg:wgp>
                  </a:graphicData>
                </a:graphic>
              </wp:anchor>
            </w:drawing>
          </mc:Choice>
          <mc:Fallback>
            <w:pict>
              <v:group style="position:absolute;margin-left:129.360001pt;margin-top:19.977133pt;width:216.9pt;height:1.2pt;mso-position-horizontal-relative:page;mso-position-vertical-relative:paragraph;z-index:15789056" id="docshapegroup258" coordorigin="2587,400" coordsize="4338,24">
                <v:rect style="position:absolute;left:2587;top:410;width:4316;height:12" id="docshape259" filled="true" fillcolor="#0000ff" stroked="false">
                  <v:fill type="solid"/>
                </v:rect>
                <v:rect style="position:absolute;left:6880;top:399;width:45;height:20" id="docshape260" filled="true" fillcolor="#1153cc" stroked="false">
                  <v:fill type="solid"/>
                </v:rect>
                <w10:wrap type="none"/>
              </v:group>
            </w:pict>
          </mc:Fallback>
        </mc:AlternateContent>
      </w:r>
      <w:r>
        <w:rPr>
          <w:sz w:val="18"/>
          <w:vertAlign w:val="superscript"/>
        </w:rPr>
        <w:t>20</w:t>
      </w:r>
      <w:r>
        <w:rPr>
          <w:spacing w:val="-13"/>
          <w:sz w:val="18"/>
          <w:vertAlign w:val="baseline"/>
        </w:rPr>
        <w:t> </w:t>
      </w:r>
      <w:r>
        <w:rPr>
          <w:sz w:val="18"/>
          <w:vertAlign w:val="baseline"/>
        </w:rPr>
        <w:t>Turban,</w:t>
      </w:r>
      <w:r>
        <w:rPr>
          <w:spacing w:val="-5"/>
          <w:sz w:val="18"/>
          <w:vertAlign w:val="baseline"/>
        </w:rPr>
        <w:t> </w:t>
      </w:r>
      <w:r>
        <w:rPr>
          <w:sz w:val="18"/>
          <w:vertAlign w:val="baseline"/>
        </w:rPr>
        <w:t>Jack.</w:t>
      </w:r>
      <w:r>
        <w:rPr>
          <w:spacing w:val="-3"/>
          <w:sz w:val="18"/>
          <w:vertAlign w:val="baseline"/>
        </w:rPr>
        <w:t> </w:t>
      </w:r>
      <w:r>
        <w:rPr>
          <w:sz w:val="18"/>
          <w:vertAlign w:val="baseline"/>
        </w:rPr>
        <w:t>February</w:t>
      </w:r>
      <w:r>
        <w:rPr>
          <w:spacing w:val="-3"/>
          <w:sz w:val="18"/>
          <w:vertAlign w:val="baseline"/>
        </w:rPr>
        <w:t> </w:t>
      </w:r>
      <w:r>
        <w:rPr>
          <w:sz w:val="18"/>
          <w:vertAlign w:val="baseline"/>
        </w:rPr>
        <w:t>2020.</w:t>
      </w:r>
      <w:r>
        <w:rPr>
          <w:spacing w:val="-3"/>
          <w:sz w:val="18"/>
          <w:vertAlign w:val="baseline"/>
        </w:rPr>
        <w:t> </w:t>
      </w:r>
      <w:r>
        <w:rPr>
          <w:sz w:val="18"/>
          <w:vertAlign w:val="baseline"/>
        </w:rPr>
        <w:t>“Pubertal</w:t>
      </w:r>
      <w:r>
        <w:rPr>
          <w:spacing w:val="-3"/>
          <w:sz w:val="18"/>
          <w:vertAlign w:val="baseline"/>
        </w:rPr>
        <w:t> </w:t>
      </w:r>
      <w:r>
        <w:rPr>
          <w:sz w:val="18"/>
          <w:vertAlign w:val="baseline"/>
        </w:rPr>
        <w:t>Suppression</w:t>
      </w:r>
      <w:r>
        <w:rPr>
          <w:spacing w:val="-3"/>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Risk</w:t>
      </w:r>
      <w:r>
        <w:rPr>
          <w:spacing w:val="-3"/>
          <w:sz w:val="18"/>
          <w:vertAlign w:val="baseline"/>
        </w:rPr>
        <w:t> </w:t>
      </w:r>
      <w:r>
        <w:rPr>
          <w:sz w:val="18"/>
          <w:vertAlign w:val="baseline"/>
        </w:rPr>
        <w:t>of</w:t>
      </w:r>
      <w:r>
        <w:rPr>
          <w:spacing w:val="-3"/>
          <w:sz w:val="18"/>
          <w:vertAlign w:val="baseline"/>
        </w:rPr>
        <w:t> </w:t>
      </w:r>
      <w:r>
        <w:rPr>
          <w:sz w:val="18"/>
          <w:vertAlign w:val="baseline"/>
        </w:rPr>
        <w:t>Suicidal</w:t>
      </w:r>
      <w:r>
        <w:rPr>
          <w:spacing w:val="-3"/>
          <w:sz w:val="18"/>
          <w:vertAlign w:val="baseline"/>
        </w:rPr>
        <w:t> </w:t>
      </w:r>
      <w:r>
        <w:rPr>
          <w:sz w:val="18"/>
          <w:vertAlign w:val="baseline"/>
        </w:rPr>
        <w:t>Ideation.”</w:t>
      </w:r>
      <w:r>
        <w:rPr>
          <w:spacing w:val="-3"/>
          <w:sz w:val="18"/>
          <w:vertAlign w:val="baseline"/>
        </w:rPr>
        <w:t> </w:t>
      </w:r>
      <w:r>
        <w:rPr>
          <w:i/>
          <w:sz w:val="18"/>
          <w:vertAlign w:val="baseline"/>
        </w:rPr>
        <w:t>Pediatrics</w:t>
      </w:r>
      <w:r>
        <w:rPr>
          <w:sz w:val="18"/>
          <w:vertAlign w:val="baseline"/>
        </w:rPr>
        <w:t>.</w:t>
      </w:r>
      <w:r>
        <w:rPr>
          <w:spacing w:val="-3"/>
          <w:sz w:val="18"/>
          <w:vertAlign w:val="baseline"/>
        </w:rPr>
        <w:t> </w:t>
      </w:r>
      <w:r>
        <w:rPr>
          <w:sz w:val="18"/>
          <w:vertAlign w:val="baseline"/>
        </w:rPr>
        <w:t>Volume 145, Volume 2. </w:t>
      </w:r>
      <w:hyperlink r:id="rId413">
        <w:r>
          <w:rPr>
            <w:color w:val="0000FF"/>
            <w:sz w:val="18"/>
            <w:vertAlign w:val="baseline"/>
          </w:rPr>
          <w:t>https://www.ncbi.nlm.nih.gov/pmc/articles/PMC7073269/</w:t>
        </w:r>
      </w:hyperlink>
      <w:hyperlink r:id="rId413">
        <w:r>
          <w:rPr>
            <w:color w:val="1153CC"/>
            <w:sz w:val="18"/>
            <w:vertAlign w:val="baseline"/>
          </w:rPr>
          <w:t>.</w:t>
        </w:r>
      </w:hyperlink>
    </w:p>
    <w:p>
      <w:pPr>
        <w:spacing w:before="0"/>
        <w:ind w:left="363" w:right="523" w:hanging="1"/>
        <w:jc w:val="left"/>
        <w:rPr>
          <w:sz w:val="18"/>
        </w:rPr>
      </w:pPr>
      <w:r>
        <w:rPr>
          <w:sz w:val="18"/>
          <w:vertAlign w:val="superscript"/>
        </w:rPr>
        <w:t>21</w:t>
      </w:r>
      <w:r>
        <w:rPr>
          <w:spacing w:val="-9"/>
          <w:sz w:val="18"/>
          <w:vertAlign w:val="baseline"/>
        </w:rPr>
        <w:t> </w:t>
      </w:r>
      <w:r>
        <w:rPr>
          <w:sz w:val="18"/>
          <w:vertAlign w:val="baseline"/>
        </w:rPr>
        <w:t>van der Loos, Maria Anna Theodora Catharina, et al. October 20, 2022. “Continuation of gender-affirming hormones in transgender</w:t>
      </w:r>
      <w:r>
        <w:rPr>
          <w:spacing w:val="-4"/>
          <w:sz w:val="18"/>
          <w:vertAlign w:val="baseline"/>
        </w:rPr>
        <w:t> </w:t>
      </w:r>
      <w:r>
        <w:rPr>
          <w:sz w:val="18"/>
          <w:vertAlign w:val="baseline"/>
        </w:rPr>
        <w:t>people</w:t>
      </w:r>
      <w:r>
        <w:rPr>
          <w:spacing w:val="-3"/>
          <w:sz w:val="18"/>
          <w:vertAlign w:val="baseline"/>
        </w:rPr>
        <w:t> </w:t>
      </w:r>
      <w:r>
        <w:rPr>
          <w:sz w:val="18"/>
          <w:vertAlign w:val="baseline"/>
        </w:rPr>
        <w:t>starting</w:t>
      </w:r>
      <w:r>
        <w:rPr>
          <w:spacing w:val="-3"/>
          <w:sz w:val="18"/>
          <w:vertAlign w:val="baseline"/>
        </w:rPr>
        <w:t> </w:t>
      </w:r>
      <w:r>
        <w:rPr>
          <w:sz w:val="18"/>
          <w:vertAlign w:val="baseline"/>
        </w:rPr>
        <w:t>puberty</w:t>
      </w:r>
      <w:r>
        <w:rPr>
          <w:spacing w:val="-3"/>
          <w:sz w:val="18"/>
          <w:vertAlign w:val="baseline"/>
        </w:rPr>
        <w:t> </w:t>
      </w:r>
      <w:r>
        <w:rPr>
          <w:sz w:val="18"/>
          <w:vertAlign w:val="baseline"/>
        </w:rPr>
        <w:t>suppression</w:t>
      </w:r>
      <w:r>
        <w:rPr>
          <w:spacing w:val="-3"/>
          <w:sz w:val="18"/>
          <w:vertAlign w:val="baseline"/>
        </w:rPr>
        <w:t> </w:t>
      </w:r>
      <w:r>
        <w:rPr>
          <w:sz w:val="18"/>
          <w:vertAlign w:val="baseline"/>
        </w:rPr>
        <w:t>in</w:t>
      </w:r>
      <w:r>
        <w:rPr>
          <w:spacing w:val="-3"/>
          <w:sz w:val="18"/>
          <w:vertAlign w:val="baseline"/>
        </w:rPr>
        <w:t> </w:t>
      </w:r>
      <w:r>
        <w:rPr>
          <w:sz w:val="18"/>
          <w:vertAlign w:val="baseline"/>
        </w:rPr>
        <w:t>adolescence:</w:t>
      </w:r>
      <w:r>
        <w:rPr>
          <w:spacing w:val="-4"/>
          <w:sz w:val="18"/>
          <w:vertAlign w:val="baseline"/>
        </w:rPr>
        <w:t> </w:t>
      </w:r>
      <w:r>
        <w:rPr>
          <w:sz w:val="18"/>
          <w:vertAlign w:val="baseline"/>
        </w:rPr>
        <w:t>a</w:t>
      </w:r>
      <w:r>
        <w:rPr>
          <w:spacing w:val="-3"/>
          <w:sz w:val="18"/>
          <w:vertAlign w:val="baseline"/>
        </w:rPr>
        <w:t> </w:t>
      </w:r>
      <w:r>
        <w:rPr>
          <w:sz w:val="18"/>
          <w:vertAlign w:val="baseline"/>
        </w:rPr>
        <w:t>cohort</w:t>
      </w:r>
      <w:r>
        <w:rPr>
          <w:spacing w:val="-4"/>
          <w:sz w:val="18"/>
          <w:vertAlign w:val="baseline"/>
        </w:rPr>
        <w:t> </w:t>
      </w:r>
      <w:r>
        <w:rPr>
          <w:sz w:val="18"/>
          <w:vertAlign w:val="baseline"/>
        </w:rPr>
        <w:t>study</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Netherlands.”</w:t>
      </w:r>
      <w:r>
        <w:rPr>
          <w:spacing w:val="-3"/>
          <w:sz w:val="18"/>
          <w:vertAlign w:val="baseline"/>
        </w:rPr>
        <w:t> </w:t>
      </w:r>
      <w:r>
        <w:rPr>
          <w:i/>
          <w:sz w:val="18"/>
          <w:vertAlign w:val="baseline"/>
        </w:rPr>
        <w:t>The</w:t>
      </w:r>
      <w:r>
        <w:rPr>
          <w:i/>
          <w:spacing w:val="-3"/>
          <w:sz w:val="18"/>
          <w:vertAlign w:val="baseline"/>
        </w:rPr>
        <w:t> </w:t>
      </w:r>
      <w:r>
        <w:rPr>
          <w:i/>
          <w:sz w:val="18"/>
          <w:vertAlign w:val="baseline"/>
        </w:rPr>
        <w:t>Lancet</w:t>
      </w:r>
      <w:r>
        <w:rPr>
          <w:sz w:val="18"/>
          <w:vertAlign w:val="baseline"/>
        </w:rPr>
        <w:t>.</w:t>
      </w:r>
      <w:r>
        <w:rPr>
          <w:spacing w:val="-4"/>
          <w:sz w:val="18"/>
          <w:vertAlign w:val="baseline"/>
        </w:rPr>
        <w:t> </w:t>
      </w:r>
      <w:r>
        <w:rPr>
          <w:sz w:val="18"/>
          <w:vertAlign w:val="baseline"/>
        </w:rPr>
        <w:t>Volume</w:t>
      </w:r>
      <w:r>
        <w:rPr>
          <w:spacing w:val="-3"/>
          <w:sz w:val="18"/>
          <w:vertAlign w:val="baseline"/>
        </w:rPr>
        <w:t> </w:t>
      </w:r>
      <w:r>
        <w:rPr>
          <w:sz w:val="18"/>
          <w:vertAlign w:val="baseline"/>
        </w:rPr>
        <w:t>6, Issue 12: pp. 869-875. </w:t>
      </w:r>
      <w:hyperlink r:id="rId414">
        <w:r>
          <w:rPr>
            <w:color w:val="0000FF"/>
            <w:sz w:val="18"/>
            <w:u w:val="single" w:color="0000FF"/>
            <w:vertAlign w:val="baseline"/>
          </w:rPr>
          <w:t>https://doi.org/10.1016/S2352-4642(22)00254-1</w:t>
        </w:r>
      </w:hyperlink>
      <w:hyperlink r:id="rId414">
        <w:r>
          <w:rPr>
            <w:sz w:val="18"/>
            <w:u w:val="none"/>
            <w:vertAlign w:val="baseline"/>
          </w:rPr>
          <w:t>.</w:t>
        </w:r>
      </w:hyperlink>
    </w:p>
    <w:p>
      <w:pPr>
        <w:spacing w:before="0"/>
        <w:ind w:left="363" w:right="0" w:firstLine="0"/>
        <w:jc w:val="left"/>
        <w:rPr>
          <w:sz w:val="18"/>
        </w:rPr>
      </w:pPr>
      <w:r>
        <w:rPr>
          <w:sz w:val="18"/>
          <w:vertAlign w:val="superscript"/>
        </w:rPr>
        <w:t>22</w:t>
      </w:r>
      <w:r>
        <w:rPr>
          <w:spacing w:val="-13"/>
          <w:sz w:val="18"/>
          <w:vertAlign w:val="baseline"/>
        </w:rPr>
        <w:t> </w:t>
      </w:r>
      <w:r>
        <w:rPr>
          <w:sz w:val="18"/>
          <w:vertAlign w:val="baseline"/>
        </w:rPr>
        <w:t>“Genital</w:t>
      </w:r>
      <w:r>
        <w:rPr>
          <w:spacing w:val="-6"/>
          <w:sz w:val="18"/>
          <w:vertAlign w:val="baseline"/>
        </w:rPr>
        <w:t> </w:t>
      </w:r>
      <w:r>
        <w:rPr>
          <w:sz w:val="18"/>
          <w:vertAlign w:val="baseline"/>
        </w:rPr>
        <w:t>Surgeries</w:t>
      </w:r>
      <w:r>
        <w:rPr>
          <w:spacing w:val="-3"/>
          <w:sz w:val="18"/>
          <w:vertAlign w:val="baseline"/>
        </w:rPr>
        <w:t> </w:t>
      </w:r>
      <w:r>
        <w:rPr>
          <w:sz w:val="18"/>
          <w:vertAlign w:val="baseline"/>
        </w:rPr>
        <w:t>in</w:t>
      </w:r>
      <w:r>
        <w:rPr>
          <w:spacing w:val="-3"/>
          <w:sz w:val="18"/>
          <w:vertAlign w:val="baseline"/>
        </w:rPr>
        <w:t> </w:t>
      </w:r>
      <w:r>
        <w:rPr>
          <w:sz w:val="18"/>
          <w:vertAlign w:val="baseline"/>
        </w:rPr>
        <w:t>Intersex</w:t>
      </w:r>
      <w:r>
        <w:rPr>
          <w:spacing w:val="-3"/>
          <w:sz w:val="18"/>
          <w:vertAlign w:val="baseline"/>
        </w:rPr>
        <w:t> </w:t>
      </w:r>
      <w:r>
        <w:rPr>
          <w:sz w:val="18"/>
          <w:vertAlign w:val="baseline"/>
        </w:rPr>
        <w:t>Children</w:t>
      </w:r>
      <w:r>
        <w:rPr>
          <w:spacing w:val="-3"/>
          <w:sz w:val="18"/>
          <w:vertAlign w:val="baseline"/>
        </w:rPr>
        <w:t> </w:t>
      </w:r>
      <w:r>
        <w:rPr>
          <w:sz w:val="18"/>
          <w:vertAlign w:val="baseline"/>
        </w:rPr>
        <w:t>|</w:t>
      </w:r>
      <w:r>
        <w:rPr>
          <w:spacing w:val="-3"/>
          <w:sz w:val="18"/>
          <w:vertAlign w:val="baseline"/>
        </w:rPr>
        <w:t> </w:t>
      </w:r>
      <w:r>
        <w:rPr>
          <w:sz w:val="18"/>
          <w:vertAlign w:val="baseline"/>
        </w:rPr>
        <w:t>AAFP,”</w:t>
      </w:r>
      <w:r>
        <w:rPr>
          <w:spacing w:val="-4"/>
          <w:sz w:val="18"/>
          <w:vertAlign w:val="baseline"/>
        </w:rPr>
        <w:t> </w:t>
      </w:r>
      <w:r>
        <w:rPr>
          <w:sz w:val="18"/>
          <w:vertAlign w:val="baseline"/>
        </w:rPr>
        <w:t>accessed</w:t>
      </w:r>
      <w:r>
        <w:rPr>
          <w:spacing w:val="-3"/>
          <w:sz w:val="18"/>
          <w:vertAlign w:val="baseline"/>
        </w:rPr>
        <w:t> </w:t>
      </w:r>
      <w:r>
        <w:rPr>
          <w:sz w:val="18"/>
          <w:vertAlign w:val="baseline"/>
        </w:rPr>
        <w:t>March</w:t>
      </w:r>
      <w:r>
        <w:rPr>
          <w:spacing w:val="-3"/>
          <w:sz w:val="18"/>
          <w:vertAlign w:val="baseline"/>
        </w:rPr>
        <w:t> </w:t>
      </w:r>
      <w:r>
        <w:rPr>
          <w:sz w:val="18"/>
          <w:vertAlign w:val="baseline"/>
        </w:rPr>
        <w:t>2,</w:t>
      </w:r>
      <w:r>
        <w:rPr>
          <w:spacing w:val="-4"/>
          <w:sz w:val="18"/>
          <w:vertAlign w:val="baseline"/>
        </w:rPr>
        <w:t> </w:t>
      </w:r>
      <w:r>
        <w:rPr>
          <w:sz w:val="18"/>
          <w:vertAlign w:val="baseline"/>
        </w:rPr>
        <w:t>2023,</w:t>
      </w:r>
      <w:r>
        <w:rPr>
          <w:spacing w:val="-4"/>
          <w:sz w:val="18"/>
          <w:vertAlign w:val="baseline"/>
        </w:rPr>
        <w:t> </w:t>
      </w:r>
      <w:r>
        <w:rPr>
          <w:sz w:val="18"/>
          <w:vertAlign w:val="baseline"/>
        </w:rPr>
        <w:t>https://</w:t>
      </w:r>
      <w:hyperlink r:id="rId415">
        <w:r>
          <w:rPr>
            <w:sz w:val="18"/>
            <w:vertAlign w:val="baseline"/>
          </w:rPr>
          <w:t>www.aafp.org/about/policies/all/genital-</w:t>
        </w:r>
      </w:hyperlink>
      <w:r>
        <w:rPr>
          <w:sz w:val="18"/>
          <w:vertAlign w:val="baseline"/>
        </w:rPr>
        <w:t> </w:t>
      </w:r>
      <w:r>
        <w:rPr>
          <w:spacing w:val="-2"/>
          <w:sz w:val="18"/>
          <w:vertAlign w:val="baseline"/>
        </w:rPr>
        <w:t>surgeries.html.</w:t>
      </w:r>
    </w:p>
    <w:p>
      <w:pPr>
        <w:spacing w:before="0"/>
        <w:ind w:left="363" w:right="3870" w:hanging="1"/>
        <w:jc w:val="left"/>
        <w:rPr>
          <w:sz w:val="18"/>
        </w:rPr>
      </w:pPr>
      <w:r>
        <w:rPr>
          <w:sz w:val="18"/>
          <w:vertAlign w:val="superscript"/>
        </w:rPr>
        <w:t>23</w:t>
      </w:r>
      <w:r>
        <w:rPr>
          <w:spacing w:val="-13"/>
          <w:sz w:val="18"/>
          <w:vertAlign w:val="baseline"/>
        </w:rPr>
        <w:t> </w:t>
      </w:r>
      <w:r>
        <w:rPr>
          <w:sz w:val="18"/>
          <w:vertAlign w:val="baseline"/>
        </w:rPr>
        <w:t>“The</w:t>
      </w:r>
      <w:r>
        <w:rPr>
          <w:spacing w:val="-6"/>
          <w:sz w:val="18"/>
          <w:vertAlign w:val="baseline"/>
        </w:rPr>
        <w:t> </w:t>
      </w:r>
      <w:r>
        <w:rPr>
          <w:sz w:val="18"/>
          <w:vertAlign w:val="baseline"/>
        </w:rPr>
        <w:t>Rights</w:t>
      </w:r>
      <w:r>
        <w:rPr>
          <w:spacing w:val="-4"/>
          <w:sz w:val="18"/>
          <w:vertAlign w:val="baseline"/>
        </w:rPr>
        <w:t> </w:t>
      </w:r>
      <w:r>
        <w:rPr>
          <w:sz w:val="18"/>
          <w:vertAlign w:val="baseline"/>
        </w:rPr>
        <w:t>of</w:t>
      </w:r>
      <w:r>
        <w:rPr>
          <w:spacing w:val="-5"/>
          <w:sz w:val="18"/>
          <w:vertAlign w:val="baseline"/>
        </w:rPr>
        <w:t> </w:t>
      </w:r>
      <w:r>
        <w:rPr>
          <w:sz w:val="18"/>
          <w:vertAlign w:val="baseline"/>
        </w:rPr>
        <w:t>Children</w:t>
      </w:r>
      <w:r>
        <w:rPr>
          <w:spacing w:val="-4"/>
          <w:sz w:val="18"/>
          <w:vertAlign w:val="baseline"/>
        </w:rPr>
        <w:t> </w:t>
      </w:r>
      <w:r>
        <w:rPr>
          <w:sz w:val="18"/>
          <w:vertAlign w:val="baseline"/>
        </w:rPr>
        <w:t>Born</w:t>
      </w:r>
      <w:r>
        <w:rPr>
          <w:spacing w:val="-4"/>
          <w:sz w:val="18"/>
          <w:vertAlign w:val="baseline"/>
        </w:rPr>
        <w:t> </w:t>
      </w:r>
      <w:r>
        <w:rPr>
          <w:sz w:val="18"/>
          <w:vertAlign w:val="baseline"/>
        </w:rPr>
        <w:t>Intersex,”</w:t>
      </w:r>
      <w:r>
        <w:rPr>
          <w:spacing w:val="-4"/>
          <w:sz w:val="18"/>
          <w:vertAlign w:val="baseline"/>
        </w:rPr>
        <w:t> </w:t>
      </w:r>
      <w:r>
        <w:rPr>
          <w:sz w:val="18"/>
          <w:vertAlign w:val="baseline"/>
        </w:rPr>
        <w:t>Amnesty</w:t>
      </w:r>
      <w:r>
        <w:rPr>
          <w:spacing w:val="-4"/>
          <w:sz w:val="18"/>
          <w:vertAlign w:val="baseline"/>
        </w:rPr>
        <w:t> </w:t>
      </w:r>
      <w:r>
        <w:rPr>
          <w:sz w:val="18"/>
          <w:vertAlign w:val="baseline"/>
        </w:rPr>
        <w:t>International,</w:t>
      </w:r>
      <w:r>
        <w:rPr>
          <w:spacing w:val="-5"/>
          <w:sz w:val="18"/>
          <w:vertAlign w:val="baseline"/>
        </w:rPr>
        <w:t> </w:t>
      </w:r>
      <w:r>
        <w:rPr>
          <w:sz w:val="18"/>
          <w:vertAlign w:val="baseline"/>
        </w:rPr>
        <w:t>May</w:t>
      </w:r>
      <w:r>
        <w:rPr>
          <w:spacing w:val="-4"/>
          <w:sz w:val="18"/>
          <w:vertAlign w:val="baseline"/>
        </w:rPr>
        <w:t> </w:t>
      </w:r>
      <w:r>
        <w:rPr>
          <w:sz w:val="18"/>
          <w:vertAlign w:val="baseline"/>
        </w:rPr>
        <w:t>9,</w:t>
      </w:r>
      <w:r>
        <w:rPr>
          <w:spacing w:val="-5"/>
          <w:sz w:val="18"/>
          <w:vertAlign w:val="baseline"/>
        </w:rPr>
        <w:t> </w:t>
      </w:r>
      <w:r>
        <w:rPr>
          <w:sz w:val="18"/>
          <w:vertAlign w:val="baseline"/>
        </w:rPr>
        <w:t>2017, </w:t>
      </w:r>
      <w:r>
        <w:rPr>
          <w:spacing w:val="-2"/>
          <w:sz w:val="18"/>
          <w:vertAlign w:val="baseline"/>
        </w:rPr>
        <w:t>https://</w:t>
      </w:r>
      <w:hyperlink r:id="rId416">
        <w:r>
          <w:rPr>
            <w:spacing w:val="-2"/>
            <w:sz w:val="18"/>
            <w:vertAlign w:val="baseline"/>
          </w:rPr>
          <w:t>www.amnesty.org/en/latest/campaigns/2017/05/intersex-rights/.</w:t>
        </w:r>
      </w:hyperlink>
    </w:p>
    <w:p>
      <w:pPr>
        <w:spacing w:before="0"/>
        <w:ind w:left="363" w:right="222" w:firstLine="0"/>
        <w:jc w:val="left"/>
        <w:rPr>
          <w:sz w:val="18"/>
        </w:rPr>
      </w:pPr>
      <w:r>
        <w:rPr>
          <w:sz w:val="18"/>
          <w:vertAlign w:val="superscript"/>
        </w:rPr>
        <w:t>24</w:t>
      </w:r>
      <w:r>
        <w:rPr>
          <w:spacing w:val="-8"/>
          <w:sz w:val="18"/>
          <w:vertAlign w:val="baseline"/>
        </w:rPr>
        <w:t> </w:t>
      </w:r>
      <w:r>
        <w:rPr>
          <w:sz w:val="18"/>
          <w:vertAlign w:val="baseline"/>
        </w:rPr>
        <w:t>Kyle Knight, “‘I Want to Be Like Nature Made Me,’” </w:t>
      </w:r>
      <w:r>
        <w:rPr>
          <w:i/>
          <w:sz w:val="18"/>
          <w:vertAlign w:val="baseline"/>
        </w:rPr>
        <w:t>Human Rights Watch</w:t>
      </w:r>
      <w:r>
        <w:rPr>
          <w:sz w:val="18"/>
          <w:vertAlign w:val="baseline"/>
        </w:rPr>
        <w:t>, July 25, 2017, https://</w:t>
      </w:r>
      <w:hyperlink r:id="rId417">
        <w:r>
          <w:rPr>
            <w:sz w:val="18"/>
            <w:vertAlign w:val="baseline"/>
          </w:rPr>
          <w:t>www.hrw.org/report/2017/07/25/i-want-be-nature-made-me/medically-unnecessary-surgeries-intersex-children-us.</w:t>
        </w:r>
      </w:hyperlink>
      <w:r>
        <w:rPr>
          <w:spacing w:val="12"/>
          <w:sz w:val="18"/>
          <w:vertAlign w:val="baseline"/>
        </w:rPr>
        <w:t> </w:t>
      </w:r>
      <w:r>
        <w:rPr>
          <w:sz w:val="18"/>
          <w:vertAlign w:val="superscript"/>
        </w:rPr>
        <w:t>25</w:t>
      </w:r>
      <w:r>
        <w:rPr>
          <w:sz w:val="18"/>
          <w:vertAlign w:val="baseline"/>
        </w:rPr>
        <w:t> Boston Children’s Hospital. “Behavioral Health, Endocrinology, Gynecology, Urology (BEING-U).” </w:t>
      </w:r>
      <w:hyperlink r:id="rId418">
        <w:r>
          <w:rPr>
            <w:color w:val="0000FF"/>
            <w:spacing w:val="-2"/>
            <w:sz w:val="18"/>
            <w:u w:val="single" w:color="0000FF"/>
            <w:vertAlign w:val="baseline"/>
          </w:rPr>
          <w:t>https://www.childrenshospital.org/programs/being-u</w:t>
        </w:r>
      </w:hyperlink>
      <w:hyperlink r:id="rId418">
        <w:r>
          <w:rPr>
            <w:color w:val="1153CC"/>
            <w:spacing w:val="-2"/>
            <w:sz w:val="18"/>
            <w:u w:val="none"/>
            <w:vertAlign w:val="baseline"/>
          </w:rPr>
          <w:t>.</w:t>
        </w:r>
      </w:hyperlink>
    </w:p>
    <w:p>
      <w:pPr>
        <w:spacing w:before="0"/>
        <w:ind w:left="363" w:right="91" w:hanging="1"/>
        <w:jc w:val="left"/>
        <w:rPr>
          <w:sz w:val="18"/>
        </w:rPr>
      </w:pPr>
      <w:r>
        <w:rPr>
          <w:sz w:val="18"/>
          <w:vertAlign w:val="superscript"/>
        </w:rPr>
        <w:t>26</w:t>
      </w:r>
      <w:r>
        <w:rPr>
          <w:spacing w:val="-13"/>
          <w:sz w:val="18"/>
          <w:vertAlign w:val="baseline"/>
        </w:rPr>
        <w:t> </w:t>
      </w:r>
      <w:r>
        <w:rPr>
          <w:sz w:val="18"/>
          <w:vertAlign w:val="baseline"/>
        </w:rPr>
        <w:t>“Intersex:</w:t>
      </w:r>
      <w:r>
        <w:rPr>
          <w:spacing w:val="-6"/>
          <w:sz w:val="18"/>
          <w:vertAlign w:val="baseline"/>
        </w:rPr>
        <w:t> </w:t>
      </w:r>
      <w:r>
        <w:rPr>
          <w:sz w:val="18"/>
          <w:vertAlign w:val="baseline"/>
        </w:rPr>
        <w:t>Not</w:t>
      </w:r>
      <w:r>
        <w:rPr>
          <w:spacing w:val="-5"/>
          <w:sz w:val="18"/>
          <w:vertAlign w:val="baseline"/>
        </w:rPr>
        <w:t> </w:t>
      </w:r>
      <w:r>
        <w:rPr>
          <w:sz w:val="18"/>
          <w:vertAlign w:val="baseline"/>
        </w:rPr>
        <w:t>Invisible,”</w:t>
      </w:r>
      <w:r>
        <w:rPr>
          <w:spacing w:val="-3"/>
          <w:sz w:val="18"/>
          <w:vertAlign w:val="baseline"/>
        </w:rPr>
        <w:t> </w:t>
      </w:r>
      <w:r>
        <w:rPr>
          <w:i/>
          <w:sz w:val="18"/>
          <w:vertAlign w:val="baseline"/>
        </w:rPr>
        <w:t>The</w:t>
      </w:r>
      <w:r>
        <w:rPr>
          <w:i/>
          <w:spacing w:val="-3"/>
          <w:sz w:val="18"/>
          <w:vertAlign w:val="baseline"/>
        </w:rPr>
        <w:t> </w:t>
      </w:r>
      <w:r>
        <w:rPr>
          <w:i/>
          <w:sz w:val="18"/>
          <w:vertAlign w:val="baseline"/>
        </w:rPr>
        <w:t>Trevor</w:t>
      </w:r>
      <w:r>
        <w:rPr>
          <w:i/>
          <w:spacing w:val="-4"/>
          <w:sz w:val="18"/>
          <w:vertAlign w:val="baseline"/>
        </w:rPr>
        <w:t> </w:t>
      </w:r>
      <w:r>
        <w:rPr>
          <w:i/>
          <w:sz w:val="18"/>
          <w:vertAlign w:val="baseline"/>
        </w:rPr>
        <w:t>Project</w:t>
      </w:r>
      <w:r>
        <w:rPr>
          <w:i/>
          <w:spacing w:val="-4"/>
          <w:sz w:val="18"/>
          <w:vertAlign w:val="baseline"/>
        </w:rPr>
        <w:t> </w:t>
      </w:r>
      <w:r>
        <w:rPr>
          <w:sz w:val="18"/>
          <w:vertAlign w:val="baseline"/>
        </w:rPr>
        <w:t>(blog),</w:t>
      </w:r>
      <w:r>
        <w:rPr>
          <w:spacing w:val="-4"/>
          <w:sz w:val="18"/>
          <w:vertAlign w:val="baseline"/>
        </w:rPr>
        <w:t> </w:t>
      </w:r>
      <w:r>
        <w:rPr>
          <w:sz w:val="18"/>
          <w:vertAlign w:val="baseline"/>
        </w:rPr>
        <w:t>October</w:t>
      </w:r>
      <w:r>
        <w:rPr>
          <w:spacing w:val="-4"/>
          <w:sz w:val="18"/>
          <w:vertAlign w:val="baseline"/>
        </w:rPr>
        <w:t> </w:t>
      </w:r>
      <w:r>
        <w:rPr>
          <w:sz w:val="18"/>
          <w:vertAlign w:val="baseline"/>
        </w:rPr>
        <w:t>26,</w:t>
      </w:r>
      <w:r>
        <w:rPr>
          <w:spacing w:val="-4"/>
          <w:sz w:val="18"/>
          <w:vertAlign w:val="baseline"/>
        </w:rPr>
        <w:t> </w:t>
      </w:r>
      <w:r>
        <w:rPr>
          <w:sz w:val="18"/>
          <w:vertAlign w:val="baseline"/>
        </w:rPr>
        <w:t>2022,</w:t>
      </w:r>
      <w:r>
        <w:rPr>
          <w:spacing w:val="-4"/>
          <w:sz w:val="18"/>
          <w:vertAlign w:val="baseline"/>
        </w:rPr>
        <w:t> </w:t>
      </w:r>
      <w:r>
        <w:rPr>
          <w:sz w:val="18"/>
          <w:vertAlign w:val="baseline"/>
        </w:rPr>
        <w:t>https://</w:t>
      </w:r>
      <w:hyperlink r:id="rId419">
        <w:r>
          <w:rPr>
            <w:sz w:val="18"/>
            <w:vertAlign w:val="baseline"/>
          </w:rPr>
          <w:t>www.thetrevorproject.org/blog/intersex-not-</w:t>
        </w:r>
      </w:hyperlink>
      <w:r>
        <w:rPr>
          <w:sz w:val="18"/>
          <w:vertAlign w:val="baseline"/>
        </w:rPr>
        <w:t> </w:t>
      </w:r>
      <w:r>
        <w:rPr>
          <w:spacing w:val="-2"/>
          <w:sz w:val="18"/>
          <w:vertAlign w:val="baseline"/>
        </w:rPr>
        <w:t>invisible/.</w:t>
      </w:r>
    </w:p>
    <w:p>
      <w:pPr>
        <w:spacing w:before="0"/>
        <w:ind w:left="363" w:right="523" w:hanging="1"/>
        <w:jc w:val="left"/>
        <w:rPr>
          <w:sz w:val="18"/>
        </w:rPr>
      </w:pPr>
      <w:r>
        <w:rPr>
          <w:sz w:val="18"/>
          <w:vertAlign w:val="superscript"/>
        </w:rPr>
        <w:t>27</w:t>
      </w:r>
      <w:r>
        <w:rPr>
          <w:spacing w:val="-13"/>
          <w:sz w:val="18"/>
          <w:vertAlign w:val="baseline"/>
        </w:rPr>
        <w:t> </w:t>
      </w:r>
      <w:r>
        <w:rPr>
          <w:sz w:val="18"/>
          <w:vertAlign w:val="baseline"/>
        </w:rPr>
        <w:t>SIECUS:</w:t>
      </w:r>
      <w:r>
        <w:rPr>
          <w:spacing w:val="-3"/>
          <w:sz w:val="18"/>
          <w:vertAlign w:val="baseline"/>
        </w:rPr>
        <w:t> </w:t>
      </w:r>
      <w:r>
        <w:rPr>
          <w:sz w:val="18"/>
          <w:vertAlign w:val="baseline"/>
        </w:rPr>
        <w:t>Sex</w:t>
      </w:r>
      <w:r>
        <w:rPr>
          <w:spacing w:val="-2"/>
          <w:sz w:val="18"/>
          <w:vertAlign w:val="baseline"/>
        </w:rPr>
        <w:t> </w:t>
      </w:r>
      <w:r>
        <w:rPr>
          <w:sz w:val="18"/>
          <w:vertAlign w:val="baseline"/>
        </w:rPr>
        <w:t>Ed</w:t>
      </w:r>
      <w:r>
        <w:rPr>
          <w:spacing w:val="-3"/>
          <w:sz w:val="18"/>
          <w:vertAlign w:val="baseline"/>
        </w:rPr>
        <w:t> </w:t>
      </w:r>
      <w:r>
        <w:rPr>
          <w:sz w:val="18"/>
          <w:vertAlign w:val="baseline"/>
        </w:rPr>
        <w:t>for</w:t>
      </w:r>
      <w:r>
        <w:rPr>
          <w:spacing w:val="-3"/>
          <w:sz w:val="18"/>
          <w:vertAlign w:val="baseline"/>
        </w:rPr>
        <w:t> </w:t>
      </w:r>
      <w:r>
        <w:rPr>
          <w:sz w:val="18"/>
          <w:vertAlign w:val="baseline"/>
        </w:rPr>
        <w:t>Social</w:t>
      </w:r>
      <w:r>
        <w:rPr>
          <w:spacing w:val="-3"/>
          <w:sz w:val="18"/>
          <w:vertAlign w:val="baseline"/>
        </w:rPr>
        <w:t> </w:t>
      </w:r>
      <w:r>
        <w:rPr>
          <w:sz w:val="18"/>
          <w:vertAlign w:val="baseline"/>
        </w:rPr>
        <w:t>Change,</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May</w:t>
      </w:r>
      <w:r>
        <w:rPr>
          <w:spacing w:val="-2"/>
          <w:sz w:val="18"/>
          <w:vertAlign w:val="baseline"/>
        </w:rPr>
        <w:t> </w:t>
      </w:r>
      <w:r>
        <w:rPr>
          <w:sz w:val="18"/>
          <w:vertAlign w:val="baseline"/>
        </w:rPr>
        <w:t>2021.</w:t>
      </w:r>
      <w:r>
        <w:rPr>
          <w:spacing w:val="-2"/>
          <w:sz w:val="18"/>
          <w:vertAlign w:val="baseline"/>
        </w:rPr>
        <w:t> </w:t>
      </w:r>
      <w:r>
        <w:rPr>
          <w:sz w:val="18"/>
          <w:vertAlign w:val="baseline"/>
        </w:rPr>
        <w:t>“A</w:t>
      </w:r>
      <w:r>
        <w:rPr>
          <w:spacing w:val="-2"/>
          <w:sz w:val="18"/>
          <w:vertAlign w:val="baseline"/>
        </w:rPr>
        <w:t> </w:t>
      </w:r>
      <w:r>
        <w:rPr>
          <w:sz w:val="18"/>
          <w:vertAlign w:val="baseline"/>
        </w:rPr>
        <w:t>Call</w:t>
      </w:r>
      <w:r>
        <w:rPr>
          <w:spacing w:val="-3"/>
          <w:sz w:val="18"/>
          <w:vertAlign w:val="baseline"/>
        </w:rPr>
        <w:t> </w:t>
      </w:r>
      <w:r>
        <w:rPr>
          <w:sz w:val="18"/>
          <w:vertAlign w:val="baseline"/>
        </w:rPr>
        <w:t>to</w:t>
      </w:r>
      <w:r>
        <w:rPr>
          <w:spacing w:val="-2"/>
          <w:sz w:val="18"/>
          <w:vertAlign w:val="baseline"/>
        </w:rPr>
        <w:t> </w:t>
      </w:r>
      <w:r>
        <w:rPr>
          <w:sz w:val="18"/>
          <w:vertAlign w:val="baseline"/>
        </w:rPr>
        <w:t>Action: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Need</w:t>
      </w:r>
      <w:r>
        <w:rPr>
          <w:spacing w:val="-2"/>
          <w:sz w:val="18"/>
          <w:vertAlign w:val="baseline"/>
        </w:rPr>
        <w:t> </w:t>
      </w:r>
      <w:r>
        <w:rPr>
          <w:sz w:val="18"/>
          <w:vertAlign w:val="baseline"/>
        </w:rPr>
        <w:t>Inclusive</w:t>
      </w:r>
      <w:r>
        <w:rPr>
          <w:spacing w:val="-2"/>
          <w:sz w:val="18"/>
          <w:vertAlign w:val="baseline"/>
        </w:rPr>
        <w:t> </w:t>
      </w:r>
      <w:r>
        <w:rPr>
          <w:sz w:val="18"/>
          <w:vertAlign w:val="baseline"/>
        </w:rPr>
        <w:t>Sex</w:t>
      </w:r>
      <w:r>
        <w:rPr>
          <w:spacing w:val="-2"/>
          <w:sz w:val="18"/>
          <w:vertAlign w:val="baseline"/>
        </w:rPr>
        <w:t> </w:t>
      </w:r>
      <w:r>
        <w:rPr>
          <w:sz w:val="18"/>
          <w:vertAlign w:val="baseline"/>
        </w:rPr>
        <w:t>Education,”</w:t>
      </w:r>
      <w:r>
        <w:rPr>
          <w:spacing w:val="-2"/>
          <w:sz w:val="18"/>
          <w:vertAlign w:val="baseline"/>
        </w:rPr>
        <w:t> </w:t>
      </w:r>
      <w:r>
        <w:rPr>
          <w:sz w:val="18"/>
          <w:vertAlign w:val="baseline"/>
        </w:rPr>
        <w:t>page</w:t>
      </w:r>
      <w:r>
        <w:rPr>
          <w:spacing w:val="-3"/>
          <w:sz w:val="18"/>
          <w:vertAlign w:val="baseline"/>
        </w:rPr>
        <w:t> </w:t>
      </w:r>
      <w:r>
        <w:rPr>
          <w:sz w:val="18"/>
          <w:vertAlign w:val="baseline"/>
        </w:rPr>
        <w:t>7. </w:t>
      </w:r>
      <w:hyperlink r:id="rId406">
        <w:r>
          <w:rPr>
            <w:color w:val="0000FF"/>
            <w:spacing w:val="-2"/>
            <w:sz w:val="18"/>
            <w:u w:val="single" w:color="0000FF"/>
            <w:vertAlign w:val="baseline"/>
          </w:rPr>
          <w:t>https://hrc-prod-requests.s3-us-west-2.amazonaws.com/Call-to-Action-LGBTQ-Sex-Ed-Report-2021.pd</w:t>
        </w:r>
      </w:hyperlink>
      <w:hyperlink r:id="rId406">
        <w:r>
          <w:rPr>
            <w:color w:val="0000FF"/>
            <w:spacing w:val="-2"/>
            <w:sz w:val="18"/>
            <w:u w:val="single" w:color="0000FF"/>
            <w:vertAlign w:val="baseline"/>
          </w:rPr>
          <w:t>f</w:t>
        </w:r>
        <w:r>
          <w:rPr>
            <w:spacing w:val="-2"/>
            <w:sz w:val="18"/>
            <w:u w:val="none"/>
            <w:vertAlign w:val="baseline"/>
          </w:rPr>
          <w:t>.</w:t>
        </w:r>
      </w:hyperlink>
    </w:p>
    <w:p>
      <w:pPr>
        <w:spacing w:before="0"/>
        <w:ind w:left="363" w:right="523" w:hanging="1"/>
        <w:jc w:val="left"/>
        <w:rPr>
          <w:sz w:val="18"/>
        </w:rPr>
      </w:pPr>
      <w:r>
        <w:rPr>
          <w:sz w:val="18"/>
          <w:vertAlign w:val="superscript"/>
        </w:rPr>
        <w:t>28</w:t>
      </w:r>
      <w:r>
        <w:rPr>
          <w:spacing w:val="-13"/>
          <w:sz w:val="18"/>
          <w:vertAlign w:val="baseline"/>
        </w:rPr>
        <w:t> </w:t>
      </w:r>
      <w:r>
        <w:rPr>
          <w:sz w:val="18"/>
          <w:vertAlign w:val="baseline"/>
        </w:rPr>
        <w:t>SIECUS:</w:t>
      </w:r>
      <w:r>
        <w:rPr>
          <w:spacing w:val="-3"/>
          <w:sz w:val="18"/>
          <w:vertAlign w:val="baseline"/>
        </w:rPr>
        <w:t> </w:t>
      </w:r>
      <w:r>
        <w:rPr>
          <w:sz w:val="18"/>
          <w:vertAlign w:val="baseline"/>
        </w:rPr>
        <w:t>Sex</w:t>
      </w:r>
      <w:r>
        <w:rPr>
          <w:spacing w:val="-2"/>
          <w:sz w:val="18"/>
          <w:vertAlign w:val="baseline"/>
        </w:rPr>
        <w:t> </w:t>
      </w:r>
      <w:r>
        <w:rPr>
          <w:sz w:val="18"/>
          <w:vertAlign w:val="baseline"/>
        </w:rPr>
        <w:t>Ed</w:t>
      </w:r>
      <w:r>
        <w:rPr>
          <w:spacing w:val="-3"/>
          <w:sz w:val="18"/>
          <w:vertAlign w:val="baseline"/>
        </w:rPr>
        <w:t> </w:t>
      </w:r>
      <w:r>
        <w:rPr>
          <w:sz w:val="18"/>
          <w:vertAlign w:val="baseline"/>
        </w:rPr>
        <w:t>for</w:t>
      </w:r>
      <w:r>
        <w:rPr>
          <w:spacing w:val="-3"/>
          <w:sz w:val="18"/>
          <w:vertAlign w:val="baseline"/>
        </w:rPr>
        <w:t> </w:t>
      </w:r>
      <w:r>
        <w:rPr>
          <w:sz w:val="18"/>
          <w:vertAlign w:val="baseline"/>
        </w:rPr>
        <w:t>Social</w:t>
      </w:r>
      <w:r>
        <w:rPr>
          <w:spacing w:val="-3"/>
          <w:sz w:val="18"/>
          <w:vertAlign w:val="baseline"/>
        </w:rPr>
        <w:t> </w:t>
      </w:r>
      <w:r>
        <w:rPr>
          <w:sz w:val="18"/>
          <w:vertAlign w:val="baseline"/>
        </w:rPr>
        <w:t>Change,</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May</w:t>
      </w:r>
      <w:r>
        <w:rPr>
          <w:spacing w:val="-2"/>
          <w:sz w:val="18"/>
          <w:vertAlign w:val="baseline"/>
        </w:rPr>
        <w:t> </w:t>
      </w:r>
      <w:r>
        <w:rPr>
          <w:sz w:val="18"/>
          <w:vertAlign w:val="baseline"/>
        </w:rPr>
        <w:t>2021.</w:t>
      </w:r>
      <w:r>
        <w:rPr>
          <w:spacing w:val="-2"/>
          <w:sz w:val="18"/>
          <w:vertAlign w:val="baseline"/>
        </w:rPr>
        <w:t> </w:t>
      </w:r>
      <w:r>
        <w:rPr>
          <w:sz w:val="18"/>
          <w:vertAlign w:val="baseline"/>
        </w:rPr>
        <w:t>“A</w:t>
      </w:r>
      <w:r>
        <w:rPr>
          <w:spacing w:val="-2"/>
          <w:sz w:val="18"/>
          <w:vertAlign w:val="baseline"/>
        </w:rPr>
        <w:t> </w:t>
      </w:r>
      <w:r>
        <w:rPr>
          <w:sz w:val="18"/>
          <w:vertAlign w:val="baseline"/>
        </w:rPr>
        <w:t>Call</w:t>
      </w:r>
      <w:r>
        <w:rPr>
          <w:spacing w:val="-3"/>
          <w:sz w:val="18"/>
          <w:vertAlign w:val="baseline"/>
        </w:rPr>
        <w:t> </w:t>
      </w:r>
      <w:r>
        <w:rPr>
          <w:sz w:val="18"/>
          <w:vertAlign w:val="baseline"/>
        </w:rPr>
        <w:t>to</w:t>
      </w:r>
      <w:r>
        <w:rPr>
          <w:spacing w:val="-2"/>
          <w:sz w:val="18"/>
          <w:vertAlign w:val="baseline"/>
        </w:rPr>
        <w:t> </w:t>
      </w:r>
      <w:r>
        <w:rPr>
          <w:sz w:val="18"/>
          <w:vertAlign w:val="baseline"/>
        </w:rPr>
        <w:t>Action:</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Need</w:t>
      </w:r>
      <w:r>
        <w:rPr>
          <w:spacing w:val="-2"/>
          <w:sz w:val="18"/>
          <w:vertAlign w:val="baseline"/>
        </w:rPr>
        <w:t> </w:t>
      </w:r>
      <w:r>
        <w:rPr>
          <w:sz w:val="18"/>
          <w:vertAlign w:val="baseline"/>
        </w:rPr>
        <w:t>Inclusive</w:t>
      </w:r>
      <w:r>
        <w:rPr>
          <w:spacing w:val="-2"/>
          <w:sz w:val="18"/>
          <w:vertAlign w:val="baseline"/>
        </w:rPr>
        <w:t> </w:t>
      </w:r>
      <w:r>
        <w:rPr>
          <w:sz w:val="18"/>
          <w:vertAlign w:val="baseline"/>
        </w:rPr>
        <w:t>Sex</w:t>
      </w:r>
      <w:r>
        <w:rPr>
          <w:spacing w:val="-2"/>
          <w:sz w:val="18"/>
          <w:vertAlign w:val="baseline"/>
        </w:rPr>
        <w:t> </w:t>
      </w:r>
      <w:r>
        <w:rPr>
          <w:sz w:val="18"/>
          <w:vertAlign w:val="baseline"/>
        </w:rPr>
        <w:t>Education,”</w:t>
      </w:r>
      <w:r>
        <w:rPr>
          <w:spacing w:val="-2"/>
          <w:sz w:val="18"/>
          <w:vertAlign w:val="baseline"/>
        </w:rPr>
        <w:t> </w:t>
      </w:r>
      <w:r>
        <w:rPr>
          <w:sz w:val="18"/>
          <w:vertAlign w:val="baseline"/>
        </w:rPr>
        <w:t>page</w:t>
      </w:r>
      <w:r>
        <w:rPr>
          <w:spacing w:val="-3"/>
          <w:sz w:val="18"/>
          <w:vertAlign w:val="baseline"/>
        </w:rPr>
        <w:t> </w:t>
      </w:r>
      <w:r>
        <w:rPr>
          <w:sz w:val="18"/>
          <w:vertAlign w:val="baseline"/>
        </w:rPr>
        <w:t>7. </w:t>
      </w:r>
      <w:hyperlink r:id="rId406">
        <w:r>
          <w:rPr>
            <w:color w:val="0000FF"/>
            <w:spacing w:val="-2"/>
            <w:sz w:val="18"/>
            <w:u w:val="single" w:color="0000FF"/>
            <w:vertAlign w:val="baseline"/>
          </w:rPr>
          <w:t>https://hrc-prod-requests.s3-us-west-2.amazonaws.com/Call-to-Action-LGBTQ-Sex-Ed-Report-2021.pd</w:t>
        </w:r>
      </w:hyperlink>
      <w:hyperlink r:id="rId406">
        <w:r>
          <w:rPr>
            <w:color w:val="0000FF"/>
            <w:spacing w:val="-2"/>
            <w:sz w:val="18"/>
            <w:u w:val="single" w:color="0000FF"/>
            <w:vertAlign w:val="baseline"/>
          </w:rPr>
          <w:t>f</w:t>
        </w:r>
        <w:r>
          <w:rPr>
            <w:spacing w:val="-2"/>
            <w:sz w:val="18"/>
            <w:u w:val="none"/>
            <w:vertAlign w:val="baseline"/>
          </w:rPr>
          <w:t>.</w:t>
        </w:r>
      </w:hyperlink>
    </w:p>
    <w:p>
      <w:pPr>
        <w:spacing w:line="219" w:lineRule="exact" w:before="0"/>
        <w:ind w:left="363" w:right="0" w:firstLine="0"/>
        <w:jc w:val="left"/>
        <w:rPr>
          <w:sz w:val="18"/>
        </w:rPr>
      </w:pPr>
      <w:r>
        <w:rPr>
          <w:sz w:val="18"/>
          <w:vertAlign w:val="superscript"/>
        </w:rPr>
        <w:t>29</w:t>
      </w:r>
      <w:r>
        <w:rPr>
          <w:spacing w:val="-15"/>
          <w:sz w:val="18"/>
          <w:vertAlign w:val="baseline"/>
        </w:rPr>
        <w:t> </w:t>
      </w:r>
      <w:r>
        <w:rPr>
          <w:sz w:val="18"/>
          <w:vertAlign w:val="baseline"/>
        </w:rPr>
        <w:t>National</w:t>
      </w:r>
      <w:r>
        <w:rPr>
          <w:spacing w:val="-6"/>
          <w:sz w:val="18"/>
          <w:vertAlign w:val="baseline"/>
        </w:rPr>
        <w:t> </w:t>
      </w:r>
      <w:r>
        <w:rPr>
          <w:sz w:val="18"/>
          <w:vertAlign w:val="baseline"/>
        </w:rPr>
        <w:t>Library</w:t>
      </w:r>
      <w:r>
        <w:rPr>
          <w:spacing w:val="-3"/>
          <w:sz w:val="18"/>
          <w:vertAlign w:val="baseline"/>
        </w:rPr>
        <w:t> </w:t>
      </w:r>
      <w:r>
        <w:rPr>
          <w:sz w:val="18"/>
          <w:vertAlign w:val="baseline"/>
        </w:rPr>
        <w:t>of</w:t>
      </w:r>
      <w:r>
        <w:rPr>
          <w:spacing w:val="-3"/>
          <w:sz w:val="18"/>
          <w:vertAlign w:val="baseline"/>
        </w:rPr>
        <w:t> </w:t>
      </w:r>
      <w:r>
        <w:rPr>
          <w:sz w:val="18"/>
          <w:vertAlign w:val="baseline"/>
        </w:rPr>
        <w:t>Medicine.</w:t>
      </w:r>
      <w:r>
        <w:rPr>
          <w:spacing w:val="-2"/>
          <w:sz w:val="18"/>
          <w:vertAlign w:val="baseline"/>
        </w:rPr>
        <w:t> </w:t>
      </w:r>
      <w:r>
        <w:rPr>
          <w:sz w:val="18"/>
          <w:vertAlign w:val="baseline"/>
        </w:rPr>
        <w:t>2022.</w:t>
      </w:r>
      <w:r>
        <w:rPr>
          <w:spacing w:val="-3"/>
          <w:sz w:val="18"/>
          <w:vertAlign w:val="baseline"/>
        </w:rPr>
        <w:t> </w:t>
      </w:r>
      <w:r>
        <w:rPr>
          <w:sz w:val="18"/>
          <w:vertAlign w:val="baseline"/>
        </w:rPr>
        <w:t>“Female</w:t>
      </w:r>
      <w:r>
        <w:rPr>
          <w:spacing w:val="-3"/>
          <w:sz w:val="18"/>
          <w:vertAlign w:val="baseline"/>
        </w:rPr>
        <w:t> </w:t>
      </w:r>
      <w:r>
        <w:rPr>
          <w:sz w:val="18"/>
          <w:vertAlign w:val="baseline"/>
        </w:rPr>
        <w:t>condoms.”</w:t>
      </w:r>
      <w:r>
        <w:rPr>
          <w:spacing w:val="-2"/>
          <w:sz w:val="18"/>
          <w:vertAlign w:val="baseline"/>
        </w:rPr>
        <w:t> </w:t>
      </w:r>
      <w:hyperlink r:id="rId420">
        <w:r>
          <w:rPr>
            <w:color w:val="0000FF"/>
            <w:spacing w:val="-2"/>
            <w:sz w:val="18"/>
            <w:u w:val="single" w:color="0000FF"/>
            <w:vertAlign w:val="baseline"/>
          </w:rPr>
          <w:t>https://medlineplus.gov/ency/article/004002.htm</w:t>
        </w:r>
      </w:hyperlink>
      <w:hyperlink r:id="rId420">
        <w:r>
          <w:rPr>
            <w:color w:val="1153CC"/>
            <w:spacing w:val="-2"/>
            <w:sz w:val="18"/>
            <w:u w:val="none"/>
            <w:vertAlign w:val="baseline"/>
          </w:rPr>
          <w:t>.</w:t>
        </w:r>
      </w:hyperlink>
    </w:p>
    <w:p>
      <w:pPr>
        <w:spacing w:before="0"/>
        <w:ind w:left="363" w:right="235" w:firstLine="0"/>
        <w:jc w:val="left"/>
        <w:rPr>
          <w:sz w:val="18"/>
        </w:rPr>
      </w:pPr>
      <w:r>
        <w:rPr>
          <w:sz w:val="18"/>
          <w:vertAlign w:val="superscript"/>
        </w:rPr>
        <w:t>30</w:t>
      </w:r>
      <w:r>
        <w:rPr>
          <w:spacing w:val="-14"/>
          <w:sz w:val="18"/>
          <w:vertAlign w:val="baseline"/>
        </w:rPr>
        <w:t> </w:t>
      </w:r>
      <w:r>
        <w:rPr>
          <w:sz w:val="18"/>
          <w:vertAlign w:val="baseline"/>
        </w:rPr>
        <w:t>Planned</w:t>
      </w:r>
      <w:r>
        <w:rPr>
          <w:spacing w:val="-10"/>
          <w:sz w:val="18"/>
          <w:vertAlign w:val="baseline"/>
        </w:rPr>
        <w:t> </w:t>
      </w:r>
      <w:r>
        <w:rPr>
          <w:sz w:val="18"/>
          <w:vertAlign w:val="baseline"/>
        </w:rPr>
        <w:t>Parenthood.</w:t>
      </w:r>
      <w:r>
        <w:rPr>
          <w:spacing w:val="-5"/>
          <w:sz w:val="18"/>
          <w:vertAlign w:val="baseline"/>
        </w:rPr>
        <w:t> </w:t>
      </w:r>
      <w:r>
        <w:rPr>
          <w:sz w:val="18"/>
          <w:vertAlign w:val="baseline"/>
        </w:rPr>
        <w:t>“How</w:t>
      </w:r>
      <w:r>
        <w:rPr>
          <w:spacing w:val="-7"/>
          <w:sz w:val="18"/>
          <w:vertAlign w:val="baseline"/>
        </w:rPr>
        <w:t> </w:t>
      </w:r>
      <w:r>
        <w:rPr>
          <w:sz w:val="18"/>
          <w:vertAlign w:val="baseline"/>
        </w:rPr>
        <w:t>effective</w:t>
      </w:r>
      <w:r>
        <w:rPr>
          <w:spacing w:val="-6"/>
          <w:sz w:val="18"/>
          <w:vertAlign w:val="baseline"/>
        </w:rPr>
        <w:t> </w:t>
      </w:r>
      <w:r>
        <w:rPr>
          <w:sz w:val="18"/>
          <w:vertAlign w:val="baseline"/>
        </w:rPr>
        <w:t>are</w:t>
      </w:r>
      <w:r>
        <w:rPr>
          <w:spacing w:val="-6"/>
          <w:sz w:val="18"/>
          <w:vertAlign w:val="baseline"/>
        </w:rPr>
        <w:t> </w:t>
      </w:r>
      <w:r>
        <w:rPr>
          <w:sz w:val="18"/>
          <w:vertAlign w:val="baseline"/>
        </w:rPr>
        <w:t>condoms?”</w:t>
      </w:r>
      <w:r>
        <w:rPr>
          <w:spacing w:val="-7"/>
          <w:sz w:val="18"/>
          <w:vertAlign w:val="baseline"/>
        </w:rPr>
        <w:t> </w:t>
      </w:r>
      <w:hyperlink r:id="rId421">
        <w:r>
          <w:rPr>
            <w:color w:val="0000FF"/>
            <w:sz w:val="18"/>
            <w:u w:val="single" w:color="0000FF"/>
            <w:vertAlign w:val="baseline"/>
          </w:rPr>
          <w:t>https://www.plannedparenthood.org/learn/birth-control/condom/how-</w:t>
        </w:r>
      </w:hyperlink>
      <w:r>
        <w:rPr>
          <w:color w:val="0000FF"/>
          <w:sz w:val="18"/>
          <w:u w:val="none"/>
          <w:vertAlign w:val="baseline"/>
        </w:rPr>
        <w:t> </w:t>
      </w:r>
      <w:hyperlink r:id="rId421">
        <w:r>
          <w:rPr>
            <w:color w:val="0000FF"/>
            <w:spacing w:val="-2"/>
            <w:sz w:val="18"/>
            <w:u w:val="single" w:color="0000FF"/>
            <w:vertAlign w:val="baseline"/>
          </w:rPr>
          <w:t>effective-are-condoms</w:t>
        </w:r>
      </w:hyperlink>
      <w:hyperlink r:id="rId421">
        <w:r>
          <w:rPr>
            <w:color w:val="1153CC"/>
            <w:spacing w:val="-2"/>
            <w:sz w:val="18"/>
            <w:u w:val="none"/>
            <w:vertAlign w:val="baseline"/>
          </w:rPr>
          <w:t>.</w:t>
        </w:r>
      </w:hyperlink>
    </w:p>
    <w:p>
      <w:pPr>
        <w:spacing w:before="0"/>
        <w:ind w:left="363" w:right="0" w:firstLine="0"/>
        <w:jc w:val="left"/>
        <w:rPr>
          <w:sz w:val="18"/>
        </w:rPr>
      </w:pPr>
      <w:r>
        <w:rPr>
          <w:sz w:val="18"/>
          <w:vertAlign w:val="superscript"/>
        </w:rPr>
        <w:t>31</w:t>
      </w:r>
      <w:r>
        <w:rPr>
          <w:spacing w:val="-13"/>
          <w:sz w:val="18"/>
          <w:vertAlign w:val="baseline"/>
        </w:rPr>
        <w:t> </w:t>
      </w:r>
      <w:r>
        <w:rPr>
          <w:sz w:val="18"/>
          <w:vertAlign w:val="baseline"/>
        </w:rPr>
        <w:t>Bauer,</w:t>
      </w:r>
      <w:r>
        <w:rPr>
          <w:spacing w:val="-5"/>
          <w:sz w:val="18"/>
          <w:vertAlign w:val="baseline"/>
        </w:rPr>
        <w:t> </w:t>
      </w:r>
      <w:r>
        <w:rPr>
          <w:sz w:val="18"/>
          <w:vertAlign w:val="baseline"/>
        </w:rPr>
        <w:t>Elizabeth</w:t>
      </w:r>
      <w:r>
        <w:rPr>
          <w:spacing w:val="-2"/>
          <w:sz w:val="18"/>
          <w:vertAlign w:val="baseline"/>
        </w:rPr>
        <w:t> </w:t>
      </w:r>
      <w:r>
        <w:rPr>
          <w:sz w:val="18"/>
          <w:vertAlign w:val="baseline"/>
        </w:rPr>
        <w:t>Edmondson,</w:t>
      </w:r>
      <w:r>
        <w:rPr>
          <w:spacing w:val="-4"/>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“College-Aged</w:t>
      </w:r>
      <w:r>
        <w:rPr>
          <w:spacing w:val="-2"/>
          <w:sz w:val="18"/>
          <w:vertAlign w:val="baseline"/>
        </w:rPr>
        <w:t> </w:t>
      </w:r>
      <w:r>
        <w:rPr>
          <w:sz w:val="18"/>
          <w:vertAlign w:val="baseline"/>
        </w:rPr>
        <w:t>but</w:t>
      </w:r>
      <w:r>
        <w:rPr>
          <w:spacing w:val="-3"/>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Streets:</w:t>
      </w:r>
      <w:r>
        <w:rPr>
          <w:spacing w:val="-2"/>
          <w:sz w:val="18"/>
          <w:vertAlign w:val="baseline"/>
        </w:rPr>
        <w:t> </w:t>
      </w:r>
      <w:r>
        <w:rPr>
          <w:sz w:val="18"/>
          <w:vertAlign w:val="baseline"/>
        </w:rPr>
        <w:t>Young</w:t>
      </w:r>
      <w:r>
        <w:rPr>
          <w:spacing w:val="-2"/>
          <w:sz w:val="18"/>
          <w:vertAlign w:val="baseline"/>
        </w:rPr>
        <w:t> </w:t>
      </w:r>
      <w:r>
        <w:rPr>
          <w:sz w:val="18"/>
          <w:vertAlign w:val="baseline"/>
        </w:rPr>
        <w:t>Adults</w:t>
      </w:r>
      <w:r>
        <w:rPr>
          <w:spacing w:val="-2"/>
          <w:sz w:val="18"/>
          <w:vertAlign w:val="baseline"/>
        </w:rPr>
        <w:t> </w:t>
      </w:r>
      <w:r>
        <w:rPr>
          <w:sz w:val="18"/>
          <w:vertAlign w:val="baseline"/>
        </w:rPr>
        <w:t>Who</w:t>
      </w:r>
      <w:r>
        <w:rPr>
          <w:spacing w:val="-2"/>
          <w:sz w:val="18"/>
          <w:vertAlign w:val="baseline"/>
        </w:rPr>
        <w:t> </w:t>
      </w:r>
      <w:r>
        <w:rPr>
          <w:sz w:val="18"/>
          <w:vertAlign w:val="baseline"/>
        </w:rPr>
        <w:t>Experience</w:t>
      </w:r>
      <w:r>
        <w:rPr>
          <w:spacing w:val="-2"/>
          <w:sz w:val="18"/>
          <w:vertAlign w:val="baseline"/>
        </w:rPr>
        <w:t> </w:t>
      </w:r>
      <w:r>
        <w:rPr>
          <w:sz w:val="18"/>
          <w:vertAlign w:val="baseline"/>
        </w:rPr>
        <w:t>Homelessness</w:t>
      </w:r>
      <w:r>
        <w:rPr>
          <w:spacing w:val="-2"/>
          <w:sz w:val="18"/>
          <w:vertAlign w:val="baseline"/>
        </w:rPr>
        <w:t> </w:t>
      </w:r>
      <w:r>
        <w:rPr>
          <w:sz w:val="18"/>
          <w:vertAlign w:val="baseline"/>
        </w:rPr>
        <w:t>and</w:t>
      </w:r>
      <w:r>
        <w:rPr>
          <w:spacing w:val="-2"/>
          <w:sz w:val="18"/>
          <w:vertAlign w:val="baseline"/>
        </w:rPr>
        <w:t> </w:t>
      </w:r>
      <w:r>
        <w:rPr>
          <w:sz w:val="18"/>
          <w:vertAlign w:val="baseline"/>
        </w:rPr>
        <w:t>Sexual Violence,” page 5. National Sexual Assault Coalition Resource Sharing Project. </w:t>
      </w:r>
      <w:hyperlink r:id="rId422">
        <w:r>
          <w:rPr>
            <w:color w:val="0000FF"/>
            <w:sz w:val="18"/>
            <w:u w:val="single" w:color="0000FF"/>
            <w:vertAlign w:val="baseline"/>
          </w:rPr>
          <w:t>https://evawintl.org/wp-</w:t>
        </w:r>
      </w:hyperlink>
      <w:r>
        <w:rPr>
          <w:color w:val="0000FF"/>
          <w:sz w:val="18"/>
          <w:u w:val="none"/>
          <w:vertAlign w:val="baseline"/>
        </w:rPr>
        <w:t> </w:t>
      </w:r>
      <w:hyperlink r:id="rId422">
        <w:r>
          <w:rPr>
            <w:color w:val="0000FF"/>
            <w:spacing w:val="-2"/>
            <w:sz w:val="18"/>
            <w:u w:val="single" w:color="0000FF"/>
            <w:vertAlign w:val="baseline"/>
          </w:rPr>
          <w:t>content/uploads/YoungAdultsWhoExperienceHomelessnessandSexualViolenceMay2017.pd</w:t>
        </w:r>
      </w:hyperlink>
      <w:hyperlink r:id="rId422">
        <w:r>
          <w:rPr>
            <w:color w:val="0000FF"/>
            <w:spacing w:val="-2"/>
            <w:sz w:val="18"/>
            <w:u w:val="single" w:color="0000FF"/>
            <w:vertAlign w:val="baseline"/>
          </w:rPr>
          <w:t>f</w:t>
        </w:r>
        <w:r>
          <w:rPr>
            <w:spacing w:val="-2"/>
            <w:sz w:val="18"/>
            <w:u w:val="none"/>
            <w:vertAlign w:val="baseline"/>
          </w:rPr>
          <w:t>.</w:t>
        </w:r>
      </w:hyperlink>
    </w:p>
    <w:p>
      <w:pPr>
        <w:spacing w:before="0"/>
        <w:ind w:left="363" w:right="91" w:hanging="1"/>
        <w:jc w:val="left"/>
        <w:rPr>
          <w:sz w:val="18"/>
        </w:rPr>
      </w:pPr>
      <w:r>
        <w:rPr>
          <w:sz w:val="18"/>
          <w:vertAlign w:val="superscript"/>
        </w:rPr>
        <w:t>32</w:t>
      </w:r>
      <w:r>
        <w:rPr>
          <w:spacing w:val="-13"/>
          <w:sz w:val="18"/>
          <w:vertAlign w:val="baseline"/>
        </w:rPr>
        <w:t> </w:t>
      </w:r>
      <w:r>
        <w:rPr>
          <w:sz w:val="18"/>
          <w:vertAlign w:val="baseline"/>
        </w:rPr>
        <w:t>Marie</w:t>
      </w:r>
      <w:r>
        <w:rPr>
          <w:spacing w:val="-4"/>
          <w:sz w:val="18"/>
          <w:vertAlign w:val="baseline"/>
        </w:rPr>
        <w:t> </w:t>
      </w:r>
      <w:r>
        <w:rPr>
          <w:sz w:val="18"/>
          <w:vertAlign w:val="baseline"/>
        </w:rPr>
        <w:t>Lippmann,</w:t>
      </w:r>
      <w:r>
        <w:rPr>
          <w:spacing w:val="-3"/>
          <w:sz w:val="18"/>
          <w:vertAlign w:val="baseline"/>
        </w:rPr>
        <w:t> </w:t>
      </w:r>
      <w:r>
        <w:rPr>
          <w:sz w:val="18"/>
          <w:vertAlign w:val="baseline"/>
        </w:rPr>
        <w:t>Natalie</w:t>
      </w:r>
      <w:r>
        <w:rPr>
          <w:spacing w:val="-3"/>
          <w:sz w:val="18"/>
          <w:vertAlign w:val="baseline"/>
        </w:rPr>
        <w:t> </w:t>
      </w:r>
      <w:r>
        <w:rPr>
          <w:sz w:val="18"/>
          <w:vertAlign w:val="baseline"/>
        </w:rPr>
        <w:t>Lawlor,</w:t>
      </w:r>
      <w:r>
        <w:rPr>
          <w:spacing w:val="-3"/>
          <w:sz w:val="18"/>
          <w:vertAlign w:val="baseline"/>
        </w:rPr>
        <w:t> </w:t>
      </w:r>
      <w:r>
        <w:rPr>
          <w:sz w:val="18"/>
          <w:vertAlign w:val="baseline"/>
        </w:rPr>
        <w:t>and</w:t>
      </w:r>
      <w:r>
        <w:rPr>
          <w:spacing w:val="-3"/>
          <w:sz w:val="18"/>
          <w:vertAlign w:val="baseline"/>
        </w:rPr>
        <w:t> </w:t>
      </w:r>
      <w:r>
        <w:rPr>
          <w:sz w:val="18"/>
          <w:vertAlign w:val="baseline"/>
        </w:rPr>
        <w:t>Christine</w:t>
      </w:r>
      <w:r>
        <w:rPr>
          <w:spacing w:val="-3"/>
          <w:sz w:val="18"/>
          <w:vertAlign w:val="baseline"/>
        </w:rPr>
        <w:t> </w:t>
      </w:r>
      <w:r>
        <w:rPr>
          <w:sz w:val="18"/>
          <w:vertAlign w:val="baseline"/>
        </w:rPr>
        <w:t>E.</w:t>
      </w:r>
      <w:r>
        <w:rPr>
          <w:spacing w:val="-3"/>
          <w:sz w:val="18"/>
          <w:vertAlign w:val="baseline"/>
        </w:rPr>
        <w:t> </w:t>
      </w:r>
      <w:r>
        <w:rPr>
          <w:sz w:val="18"/>
          <w:vertAlign w:val="baseline"/>
        </w:rPr>
        <w:t>Leistner,</w:t>
      </w:r>
      <w:r>
        <w:rPr>
          <w:spacing w:val="-3"/>
          <w:sz w:val="18"/>
          <w:vertAlign w:val="baseline"/>
        </w:rPr>
        <w:t> </w:t>
      </w:r>
      <w:r>
        <w:rPr>
          <w:sz w:val="18"/>
          <w:vertAlign w:val="baseline"/>
        </w:rPr>
        <w:t>“Learning</w:t>
      </w:r>
      <w:r>
        <w:rPr>
          <w:spacing w:val="-3"/>
          <w:sz w:val="18"/>
          <w:vertAlign w:val="baseline"/>
        </w:rPr>
        <w:t> </w:t>
      </w:r>
      <w:r>
        <w:rPr>
          <w:sz w:val="18"/>
          <w:vertAlign w:val="baseline"/>
        </w:rPr>
        <w:t>on</w:t>
      </w:r>
      <w:r>
        <w:rPr>
          <w:spacing w:val="-3"/>
          <w:sz w:val="18"/>
          <w:vertAlign w:val="baseline"/>
        </w:rPr>
        <w:t> </w:t>
      </w:r>
      <w:r>
        <w:rPr>
          <w:sz w:val="18"/>
          <w:vertAlign w:val="baseline"/>
        </w:rPr>
        <w:t>OnlyFans:</w:t>
      </w:r>
      <w:r>
        <w:rPr>
          <w:spacing w:val="-3"/>
          <w:sz w:val="18"/>
          <w:vertAlign w:val="baseline"/>
        </w:rPr>
        <w:t> </w:t>
      </w:r>
      <w:r>
        <w:rPr>
          <w:sz w:val="18"/>
          <w:vertAlign w:val="baseline"/>
        </w:rPr>
        <w:t>User</w:t>
      </w:r>
      <w:r>
        <w:rPr>
          <w:spacing w:val="-3"/>
          <w:sz w:val="18"/>
          <w:vertAlign w:val="baseline"/>
        </w:rPr>
        <w:t> </w:t>
      </w:r>
      <w:r>
        <w:rPr>
          <w:sz w:val="18"/>
          <w:vertAlign w:val="baseline"/>
        </w:rPr>
        <w:t>Perspectives</w:t>
      </w:r>
      <w:r>
        <w:rPr>
          <w:spacing w:val="-3"/>
          <w:sz w:val="18"/>
          <w:vertAlign w:val="baseline"/>
        </w:rPr>
        <w:t> </w:t>
      </w:r>
      <w:r>
        <w:rPr>
          <w:sz w:val="18"/>
          <w:vertAlign w:val="baseline"/>
        </w:rPr>
        <w:t>on</w:t>
      </w:r>
      <w:r>
        <w:rPr>
          <w:spacing w:val="-3"/>
          <w:sz w:val="18"/>
          <w:vertAlign w:val="baseline"/>
        </w:rPr>
        <w:t> </w:t>
      </w:r>
      <w:r>
        <w:rPr>
          <w:sz w:val="18"/>
          <w:vertAlign w:val="baseline"/>
        </w:rPr>
        <w:t>Knowledge</w:t>
      </w:r>
      <w:r>
        <w:rPr>
          <w:spacing w:val="-3"/>
          <w:sz w:val="18"/>
          <w:vertAlign w:val="baseline"/>
        </w:rPr>
        <w:t> </w:t>
      </w:r>
      <w:r>
        <w:rPr>
          <w:sz w:val="18"/>
          <w:vertAlign w:val="baseline"/>
        </w:rPr>
        <w:t>and</w:t>
      </w:r>
      <w:r>
        <w:rPr>
          <w:spacing w:val="-3"/>
          <w:sz w:val="18"/>
          <w:vertAlign w:val="baseline"/>
        </w:rPr>
        <w:t> </w:t>
      </w:r>
      <w:r>
        <w:rPr>
          <w:sz w:val="18"/>
          <w:vertAlign w:val="baseline"/>
        </w:rPr>
        <w:t>Skills Acquired on the Platform,” </w:t>
      </w:r>
      <w:r>
        <w:rPr>
          <w:i/>
          <w:sz w:val="18"/>
          <w:vertAlign w:val="baseline"/>
        </w:rPr>
        <w:t>Sexuality &amp; Culture</w:t>
      </w:r>
      <w:r>
        <w:rPr>
          <w:sz w:val="18"/>
          <w:vertAlign w:val="baseline"/>
        </w:rPr>
        <w:t>, January 9, 2023, https://doi.org/10.1007/s12119-022-10060-0.</w:t>
      </w:r>
    </w:p>
    <w:p>
      <w:pPr>
        <w:spacing w:after="0"/>
        <w:jc w:val="left"/>
        <w:rPr>
          <w:sz w:val="18"/>
        </w:rPr>
        <w:sectPr>
          <w:pgSz w:w="12240" w:h="15840"/>
          <w:pgMar w:header="763" w:footer="1339" w:top="1180" w:bottom="1560" w:left="1080" w:right="1240"/>
        </w:sectPr>
      </w:pPr>
    </w:p>
    <w:p>
      <w:pPr>
        <w:spacing w:before="68"/>
        <w:ind w:left="363" w:right="77" w:hanging="1"/>
        <w:jc w:val="left"/>
        <w:rPr>
          <w:sz w:val="18"/>
        </w:rPr>
      </w:pPr>
      <w:r>
        <w:rPr>
          <w:sz w:val="18"/>
          <w:vertAlign w:val="superscript"/>
        </w:rPr>
        <w:t>33</w:t>
      </w:r>
      <w:r>
        <w:rPr>
          <w:spacing w:val="-13"/>
          <w:sz w:val="18"/>
          <w:vertAlign w:val="baseline"/>
        </w:rPr>
        <w:t> </w:t>
      </w:r>
      <w:r>
        <w:rPr>
          <w:sz w:val="18"/>
          <w:vertAlign w:val="baseline"/>
        </w:rPr>
        <w:t>Margaret</w:t>
      </w:r>
      <w:r>
        <w:rPr>
          <w:spacing w:val="-4"/>
          <w:sz w:val="18"/>
          <w:vertAlign w:val="baseline"/>
        </w:rPr>
        <w:t> </w:t>
      </w:r>
      <w:r>
        <w:rPr>
          <w:sz w:val="18"/>
          <w:vertAlign w:val="baseline"/>
        </w:rPr>
        <w:t>H</w:t>
      </w:r>
      <w:r>
        <w:rPr>
          <w:spacing w:val="-3"/>
          <w:sz w:val="18"/>
          <w:vertAlign w:val="baseline"/>
        </w:rPr>
        <w:t> </w:t>
      </w:r>
      <w:r>
        <w:rPr>
          <w:sz w:val="18"/>
          <w:vertAlign w:val="baseline"/>
        </w:rPr>
        <w:t>Wurth</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“Condoms</w:t>
      </w:r>
      <w:r>
        <w:rPr>
          <w:spacing w:val="-2"/>
          <w:sz w:val="18"/>
          <w:vertAlign w:val="baseline"/>
        </w:rPr>
        <w:t> </w:t>
      </w:r>
      <w:r>
        <w:rPr>
          <w:sz w:val="18"/>
          <w:vertAlign w:val="baseline"/>
        </w:rPr>
        <w:t>as</w:t>
      </w:r>
      <w:r>
        <w:rPr>
          <w:spacing w:val="-2"/>
          <w:sz w:val="18"/>
          <w:vertAlign w:val="baseline"/>
        </w:rPr>
        <w:t> </w:t>
      </w:r>
      <w:r>
        <w:rPr>
          <w:sz w:val="18"/>
          <w:vertAlign w:val="baseline"/>
        </w:rPr>
        <w:t>Evidence</w:t>
      </w:r>
      <w:r>
        <w:rPr>
          <w:spacing w:val="-2"/>
          <w:sz w:val="18"/>
          <w:vertAlign w:val="baseline"/>
        </w:rPr>
        <w:t> </w:t>
      </w:r>
      <w:r>
        <w:rPr>
          <w:sz w:val="18"/>
          <w:vertAlign w:val="baseline"/>
        </w:rPr>
        <w:t>of</w:t>
      </w:r>
      <w:r>
        <w:rPr>
          <w:spacing w:val="-2"/>
          <w:sz w:val="18"/>
          <w:vertAlign w:val="baseline"/>
        </w:rPr>
        <w:t> </w:t>
      </w:r>
      <w:r>
        <w:rPr>
          <w:sz w:val="18"/>
          <w:vertAlign w:val="baseline"/>
        </w:rPr>
        <w:t>Prostitution</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2"/>
          <w:sz w:val="18"/>
          <w:vertAlign w:val="baseline"/>
        </w:rPr>
        <w:t> </w:t>
      </w:r>
      <w:r>
        <w:rPr>
          <w:sz w:val="18"/>
          <w:vertAlign w:val="baseline"/>
        </w:rPr>
        <w:t>Criminalization</w:t>
      </w:r>
      <w:r>
        <w:rPr>
          <w:spacing w:val="-2"/>
          <w:sz w:val="18"/>
          <w:vertAlign w:val="baseline"/>
        </w:rPr>
        <w:t> </w:t>
      </w:r>
      <w:r>
        <w:rPr>
          <w:sz w:val="18"/>
          <w:vertAlign w:val="baseline"/>
        </w:rPr>
        <w:t>of</w:t>
      </w:r>
      <w:r>
        <w:rPr>
          <w:spacing w:val="-2"/>
          <w:sz w:val="18"/>
          <w:vertAlign w:val="baseline"/>
        </w:rPr>
        <w:t> </w:t>
      </w:r>
      <w:r>
        <w:rPr>
          <w:sz w:val="18"/>
          <w:vertAlign w:val="baseline"/>
        </w:rPr>
        <w:t>Sex</w:t>
      </w:r>
      <w:r>
        <w:rPr>
          <w:spacing w:val="-2"/>
          <w:sz w:val="18"/>
          <w:vertAlign w:val="baseline"/>
        </w:rPr>
        <w:t> </w:t>
      </w:r>
      <w:r>
        <w:rPr>
          <w:sz w:val="18"/>
          <w:vertAlign w:val="baseline"/>
        </w:rPr>
        <w:t>Work,” </w:t>
      </w:r>
      <w:r>
        <w:rPr>
          <w:i/>
          <w:sz w:val="18"/>
          <w:vertAlign w:val="baseline"/>
        </w:rPr>
        <w:t>Journal of the International AIDS Society </w:t>
      </w:r>
      <w:r>
        <w:rPr>
          <w:sz w:val="18"/>
          <w:vertAlign w:val="baseline"/>
        </w:rPr>
        <w:t>16, no. 1 (May 24, 2013): 10.7448/IAS.16.1.18626, </w:t>
      </w:r>
      <w:r>
        <w:rPr>
          <w:spacing w:val="-2"/>
          <w:sz w:val="18"/>
          <w:vertAlign w:val="baseline"/>
        </w:rPr>
        <w:t>https://doi.org/10.7448/IAS.16.1.18626.</w:t>
      </w:r>
    </w:p>
    <w:p>
      <w:pPr>
        <w:spacing w:before="0"/>
        <w:ind w:left="363" w:right="222" w:firstLine="0"/>
        <w:jc w:val="left"/>
        <w:rPr>
          <w:sz w:val="18"/>
        </w:rPr>
      </w:pPr>
      <w:r>
        <w:rPr>
          <w:sz w:val="18"/>
          <w:vertAlign w:val="superscript"/>
        </w:rPr>
        <w:t>34</w:t>
      </w:r>
      <w:r>
        <w:rPr>
          <w:spacing w:val="-10"/>
          <w:sz w:val="18"/>
          <w:vertAlign w:val="baseline"/>
        </w:rPr>
        <w:t> </w:t>
      </w:r>
      <w:r>
        <w:rPr>
          <w:sz w:val="18"/>
          <w:vertAlign w:val="baseline"/>
        </w:rPr>
        <w:t>Rula V. Kanj et al., “Hormonal Contraceptive Choices in a Clinic-Based Series of Transgender Adolescents and Young Adults,” </w:t>
      </w:r>
      <w:r>
        <w:rPr>
          <w:i/>
          <w:sz w:val="18"/>
          <w:vertAlign w:val="baseline"/>
        </w:rPr>
        <w:t>The</w:t>
      </w:r>
      <w:r>
        <w:rPr>
          <w:i/>
          <w:spacing w:val="-3"/>
          <w:sz w:val="18"/>
          <w:vertAlign w:val="baseline"/>
        </w:rPr>
        <w:t> </w:t>
      </w:r>
      <w:r>
        <w:rPr>
          <w:i/>
          <w:sz w:val="18"/>
          <w:vertAlign w:val="baseline"/>
        </w:rPr>
        <w:t>International</w:t>
      </w:r>
      <w:r>
        <w:rPr>
          <w:i/>
          <w:spacing w:val="-4"/>
          <w:sz w:val="18"/>
          <w:vertAlign w:val="baseline"/>
        </w:rPr>
        <w:t> </w:t>
      </w:r>
      <w:r>
        <w:rPr>
          <w:i/>
          <w:sz w:val="18"/>
          <w:vertAlign w:val="baseline"/>
        </w:rPr>
        <w:t>Journal</w:t>
      </w:r>
      <w:r>
        <w:rPr>
          <w:i/>
          <w:spacing w:val="-4"/>
          <w:sz w:val="18"/>
          <w:vertAlign w:val="baseline"/>
        </w:rPr>
        <w:t> </w:t>
      </w:r>
      <w:r>
        <w:rPr>
          <w:i/>
          <w:sz w:val="18"/>
          <w:vertAlign w:val="baseline"/>
        </w:rPr>
        <w:t>of</w:t>
      </w:r>
      <w:r>
        <w:rPr>
          <w:i/>
          <w:spacing w:val="-3"/>
          <w:sz w:val="18"/>
          <w:vertAlign w:val="baseline"/>
        </w:rPr>
        <w:t> </w:t>
      </w:r>
      <w:r>
        <w:rPr>
          <w:i/>
          <w:sz w:val="18"/>
          <w:vertAlign w:val="baseline"/>
        </w:rPr>
        <w:t>Transgenderism</w:t>
      </w:r>
      <w:r>
        <w:rPr>
          <w:i/>
          <w:spacing w:val="-3"/>
          <w:sz w:val="18"/>
          <w:vertAlign w:val="baseline"/>
        </w:rPr>
        <w:t> </w:t>
      </w:r>
      <w:r>
        <w:rPr>
          <w:sz w:val="18"/>
          <w:vertAlign w:val="baseline"/>
        </w:rPr>
        <w:t>20,</w:t>
      </w:r>
      <w:r>
        <w:rPr>
          <w:spacing w:val="-3"/>
          <w:sz w:val="18"/>
          <w:vertAlign w:val="baseline"/>
        </w:rPr>
        <w:t> </w:t>
      </w:r>
      <w:r>
        <w:rPr>
          <w:sz w:val="18"/>
          <w:vertAlign w:val="baseline"/>
        </w:rPr>
        <w:t>no.</w:t>
      </w:r>
      <w:r>
        <w:rPr>
          <w:spacing w:val="-3"/>
          <w:sz w:val="18"/>
          <w:vertAlign w:val="baseline"/>
        </w:rPr>
        <w:t> </w:t>
      </w:r>
      <w:r>
        <w:rPr>
          <w:sz w:val="18"/>
          <w:vertAlign w:val="baseline"/>
        </w:rPr>
        <w:t>4</w:t>
      </w:r>
      <w:r>
        <w:rPr>
          <w:spacing w:val="-3"/>
          <w:sz w:val="18"/>
          <w:vertAlign w:val="baseline"/>
        </w:rPr>
        <w:t> </w:t>
      </w:r>
      <w:r>
        <w:rPr>
          <w:sz w:val="18"/>
          <w:vertAlign w:val="baseline"/>
        </w:rPr>
        <w:t>(July</w:t>
      </w:r>
      <w:r>
        <w:rPr>
          <w:spacing w:val="-3"/>
          <w:sz w:val="18"/>
          <w:vertAlign w:val="baseline"/>
        </w:rPr>
        <w:t> </w:t>
      </w:r>
      <w:r>
        <w:rPr>
          <w:sz w:val="18"/>
          <w:vertAlign w:val="baseline"/>
        </w:rPr>
        <w:t>1,</w:t>
      </w:r>
      <w:r>
        <w:rPr>
          <w:spacing w:val="-4"/>
          <w:sz w:val="18"/>
          <w:vertAlign w:val="baseline"/>
        </w:rPr>
        <w:t> </w:t>
      </w:r>
      <w:r>
        <w:rPr>
          <w:sz w:val="18"/>
          <w:vertAlign w:val="baseline"/>
        </w:rPr>
        <w:t>2019):</w:t>
      </w:r>
      <w:r>
        <w:rPr>
          <w:spacing w:val="-3"/>
          <w:sz w:val="18"/>
          <w:vertAlign w:val="baseline"/>
        </w:rPr>
        <w:t> </w:t>
      </w:r>
      <w:r>
        <w:rPr>
          <w:sz w:val="18"/>
          <w:vertAlign w:val="baseline"/>
        </w:rPr>
        <w:t>413–20,</w:t>
      </w:r>
      <w:r>
        <w:rPr>
          <w:spacing w:val="-4"/>
          <w:sz w:val="18"/>
          <w:vertAlign w:val="baseline"/>
        </w:rPr>
        <w:t> </w:t>
      </w:r>
      <w:r>
        <w:rPr>
          <w:sz w:val="18"/>
          <w:vertAlign w:val="baseline"/>
        </w:rPr>
        <w:t>https://doi.org/10.1080/15532739.2019.1631929. </w:t>
      </w:r>
      <w:r>
        <w:rPr>
          <w:sz w:val="18"/>
          <w:vertAlign w:val="superscript"/>
        </w:rPr>
        <w:t>35</w:t>
      </w:r>
      <w:r>
        <w:rPr>
          <w:spacing w:val="-13"/>
          <w:sz w:val="18"/>
          <w:vertAlign w:val="baseline"/>
        </w:rPr>
        <w:t> </w:t>
      </w:r>
      <w:r>
        <w:rPr>
          <w:sz w:val="18"/>
          <w:vertAlign w:val="baseline"/>
        </w:rPr>
        <w:t>A.</w:t>
      </w:r>
      <w:r>
        <w:rPr>
          <w:spacing w:val="-4"/>
          <w:sz w:val="18"/>
          <w:vertAlign w:val="baseline"/>
        </w:rPr>
        <w:t> </w:t>
      </w:r>
      <w:r>
        <w:rPr>
          <w:sz w:val="18"/>
          <w:vertAlign w:val="baseline"/>
        </w:rPr>
        <w:t>Francis,</w:t>
      </w:r>
      <w:r>
        <w:rPr>
          <w:spacing w:val="-3"/>
          <w:sz w:val="18"/>
          <w:vertAlign w:val="baseline"/>
        </w:rPr>
        <w:t> </w:t>
      </w:r>
      <w:r>
        <w:rPr>
          <w:sz w:val="18"/>
          <w:vertAlign w:val="baseline"/>
        </w:rPr>
        <w:t>S.</w:t>
      </w:r>
      <w:r>
        <w:rPr>
          <w:spacing w:val="-2"/>
          <w:sz w:val="18"/>
          <w:vertAlign w:val="baseline"/>
        </w:rPr>
        <w:t> </w:t>
      </w:r>
      <w:r>
        <w:rPr>
          <w:sz w:val="18"/>
          <w:vertAlign w:val="baseline"/>
        </w:rPr>
        <w:t>Jasani,</w:t>
      </w:r>
      <w:r>
        <w:rPr>
          <w:spacing w:val="-3"/>
          <w:sz w:val="18"/>
          <w:vertAlign w:val="baseline"/>
        </w:rPr>
        <w:t> </w:t>
      </w:r>
      <w:r>
        <w:rPr>
          <w:sz w:val="18"/>
          <w:vertAlign w:val="baseline"/>
        </w:rPr>
        <w:t>and</w:t>
      </w:r>
      <w:r>
        <w:rPr>
          <w:spacing w:val="-2"/>
          <w:sz w:val="18"/>
          <w:vertAlign w:val="baseline"/>
        </w:rPr>
        <w:t> </w:t>
      </w:r>
      <w:r>
        <w:rPr>
          <w:sz w:val="18"/>
          <w:vertAlign w:val="baseline"/>
        </w:rPr>
        <w:t>G.</w:t>
      </w:r>
      <w:r>
        <w:rPr>
          <w:spacing w:val="-3"/>
          <w:sz w:val="18"/>
          <w:vertAlign w:val="baseline"/>
        </w:rPr>
        <w:t> </w:t>
      </w:r>
      <w:r>
        <w:rPr>
          <w:sz w:val="18"/>
          <w:vertAlign w:val="baseline"/>
        </w:rPr>
        <w:t>Bachmann,</w:t>
      </w:r>
      <w:r>
        <w:rPr>
          <w:spacing w:val="-3"/>
          <w:sz w:val="18"/>
          <w:vertAlign w:val="baseline"/>
        </w:rPr>
        <w:t> </w:t>
      </w:r>
      <w:r>
        <w:rPr>
          <w:sz w:val="18"/>
          <w:vertAlign w:val="baseline"/>
        </w:rPr>
        <w:t>“Contraceptive</w:t>
      </w:r>
      <w:r>
        <w:rPr>
          <w:spacing w:val="-2"/>
          <w:sz w:val="18"/>
          <w:vertAlign w:val="baseline"/>
        </w:rPr>
        <w:t> </w:t>
      </w:r>
      <w:r>
        <w:rPr>
          <w:sz w:val="18"/>
          <w:vertAlign w:val="baseline"/>
        </w:rPr>
        <w:t>Challenges</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2"/>
          <w:sz w:val="18"/>
          <w:vertAlign w:val="baseline"/>
        </w:rPr>
        <w:t> </w:t>
      </w:r>
      <w:r>
        <w:rPr>
          <w:sz w:val="18"/>
          <w:vertAlign w:val="baseline"/>
        </w:rPr>
        <w:t>Transgender</w:t>
      </w:r>
      <w:r>
        <w:rPr>
          <w:spacing w:val="-3"/>
          <w:sz w:val="18"/>
          <w:vertAlign w:val="baseline"/>
        </w:rPr>
        <w:t> </w:t>
      </w:r>
      <w:r>
        <w:rPr>
          <w:sz w:val="18"/>
          <w:vertAlign w:val="baseline"/>
        </w:rPr>
        <w:t>Individual,”</w:t>
      </w:r>
      <w:r>
        <w:rPr>
          <w:spacing w:val="-2"/>
          <w:sz w:val="18"/>
          <w:vertAlign w:val="baseline"/>
        </w:rPr>
        <w:t> </w:t>
      </w:r>
      <w:r>
        <w:rPr>
          <w:i/>
          <w:sz w:val="18"/>
          <w:vertAlign w:val="baseline"/>
        </w:rPr>
        <w:t>Women’s</w:t>
      </w:r>
      <w:r>
        <w:rPr>
          <w:i/>
          <w:spacing w:val="-3"/>
          <w:sz w:val="18"/>
          <w:vertAlign w:val="baseline"/>
        </w:rPr>
        <w:t> </w:t>
      </w:r>
      <w:r>
        <w:rPr>
          <w:i/>
          <w:sz w:val="18"/>
          <w:vertAlign w:val="baseline"/>
        </w:rPr>
        <w:t>Midlife</w:t>
      </w:r>
      <w:r>
        <w:rPr>
          <w:i/>
          <w:spacing w:val="-2"/>
          <w:sz w:val="18"/>
          <w:vertAlign w:val="baseline"/>
        </w:rPr>
        <w:t> </w:t>
      </w:r>
      <w:r>
        <w:rPr>
          <w:i/>
          <w:sz w:val="18"/>
          <w:vertAlign w:val="baseline"/>
        </w:rPr>
        <w:t>Health</w:t>
      </w:r>
      <w:r>
        <w:rPr>
          <w:i/>
          <w:spacing w:val="-2"/>
          <w:sz w:val="18"/>
          <w:vertAlign w:val="baseline"/>
        </w:rPr>
        <w:t> </w:t>
      </w:r>
      <w:r>
        <w:rPr>
          <w:sz w:val="18"/>
          <w:vertAlign w:val="baseline"/>
        </w:rPr>
        <w:t>4 (July 13, 2018): 12, https://doi.org/10.1186/s40695-018-0042-1.</w:t>
      </w:r>
    </w:p>
    <w:p>
      <w:pPr>
        <w:spacing w:before="1"/>
        <w:ind w:left="363" w:right="91" w:hanging="1"/>
        <w:jc w:val="left"/>
        <w:rPr>
          <w:sz w:val="18"/>
        </w:rPr>
      </w:pPr>
      <w:r>
        <w:rPr>
          <w:sz w:val="18"/>
          <w:vertAlign w:val="superscript"/>
        </w:rPr>
        <w:t>36</w:t>
      </w:r>
      <w:r>
        <w:rPr>
          <w:spacing w:val="-13"/>
          <w:sz w:val="18"/>
          <w:vertAlign w:val="baseline"/>
        </w:rPr>
        <w:t> </w:t>
      </w:r>
      <w:r>
        <w:rPr>
          <w:sz w:val="18"/>
          <w:vertAlign w:val="baseline"/>
        </w:rPr>
        <w:t>National</w:t>
      </w:r>
      <w:r>
        <w:rPr>
          <w:spacing w:val="-5"/>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Transgender</w:t>
      </w:r>
      <w:r>
        <w:rPr>
          <w:spacing w:val="-4"/>
          <w:sz w:val="18"/>
          <w:vertAlign w:val="baseline"/>
        </w:rPr>
        <w:t> </w:t>
      </w:r>
      <w:r>
        <w:rPr>
          <w:sz w:val="18"/>
          <w:vertAlign w:val="baseline"/>
        </w:rPr>
        <w:t>Equality.</w:t>
      </w:r>
      <w:r>
        <w:rPr>
          <w:spacing w:val="-3"/>
          <w:sz w:val="18"/>
          <w:vertAlign w:val="baseline"/>
        </w:rPr>
        <w:t> </w:t>
      </w:r>
      <w:r>
        <w:rPr>
          <w:sz w:val="18"/>
          <w:vertAlign w:val="baseline"/>
        </w:rPr>
        <w:t>2017.</w:t>
      </w:r>
      <w:r>
        <w:rPr>
          <w:spacing w:val="-3"/>
          <w:sz w:val="18"/>
          <w:vertAlign w:val="baseline"/>
        </w:rPr>
        <w:t> </w:t>
      </w:r>
      <w:r>
        <w:rPr>
          <w:sz w:val="18"/>
          <w:vertAlign w:val="baseline"/>
        </w:rPr>
        <w:t>“2015</w:t>
      </w:r>
      <w:r>
        <w:rPr>
          <w:spacing w:val="-3"/>
          <w:sz w:val="18"/>
          <w:vertAlign w:val="baseline"/>
        </w:rPr>
        <w:t> </w:t>
      </w:r>
      <w:r>
        <w:rPr>
          <w:sz w:val="18"/>
          <w:vertAlign w:val="baseline"/>
        </w:rPr>
        <w:t>U.S.</w:t>
      </w:r>
      <w:r>
        <w:rPr>
          <w:spacing w:val="-3"/>
          <w:sz w:val="18"/>
          <w:vertAlign w:val="baseline"/>
        </w:rPr>
        <w:t> </w:t>
      </w:r>
      <w:r>
        <w:rPr>
          <w:sz w:val="18"/>
          <w:vertAlign w:val="baseline"/>
        </w:rPr>
        <w:t>Transgender</w:t>
      </w:r>
      <w:r>
        <w:rPr>
          <w:spacing w:val="-4"/>
          <w:sz w:val="18"/>
          <w:vertAlign w:val="baseline"/>
        </w:rPr>
        <w:t> </w:t>
      </w:r>
      <w:r>
        <w:rPr>
          <w:sz w:val="18"/>
          <w:vertAlign w:val="baseline"/>
        </w:rPr>
        <w:t>Survey:</w:t>
      </w:r>
      <w:r>
        <w:rPr>
          <w:spacing w:val="-3"/>
          <w:sz w:val="18"/>
          <w:vertAlign w:val="baseline"/>
        </w:rPr>
        <w:t> </w:t>
      </w:r>
      <w:r>
        <w:rPr>
          <w:sz w:val="18"/>
          <w:vertAlign w:val="baseline"/>
        </w:rPr>
        <w:t>Massachusetts</w:t>
      </w:r>
      <w:r>
        <w:rPr>
          <w:spacing w:val="-4"/>
          <w:sz w:val="18"/>
          <w:vertAlign w:val="baseline"/>
        </w:rPr>
        <w:t> </w:t>
      </w:r>
      <w:r>
        <w:rPr>
          <w:sz w:val="18"/>
          <w:vertAlign w:val="baseline"/>
        </w:rPr>
        <w:t>State</w:t>
      </w:r>
      <w:r>
        <w:rPr>
          <w:spacing w:val="-3"/>
          <w:sz w:val="18"/>
          <w:vertAlign w:val="baseline"/>
        </w:rPr>
        <w:t> </w:t>
      </w:r>
      <w:r>
        <w:rPr>
          <w:sz w:val="18"/>
          <w:vertAlign w:val="baseline"/>
        </w:rPr>
        <w:t>Report,”</w:t>
      </w:r>
      <w:r>
        <w:rPr>
          <w:spacing w:val="-3"/>
          <w:sz w:val="18"/>
          <w:vertAlign w:val="baseline"/>
        </w:rPr>
        <w:t> </w:t>
      </w:r>
      <w:r>
        <w:rPr>
          <w:sz w:val="18"/>
          <w:vertAlign w:val="baseline"/>
        </w:rPr>
        <w:t>page</w:t>
      </w:r>
      <w:r>
        <w:rPr>
          <w:spacing w:val="-3"/>
          <w:sz w:val="18"/>
          <w:vertAlign w:val="baseline"/>
        </w:rPr>
        <w:t> </w:t>
      </w:r>
      <w:r>
        <w:rPr>
          <w:sz w:val="18"/>
          <w:vertAlign w:val="baseline"/>
        </w:rPr>
        <w:t>3. </w:t>
      </w:r>
      <w:hyperlink r:id="rId410">
        <w:r>
          <w:rPr>
            <w:color w:val="0000FF"/>
            <w:spacing w:val="-2"/>
            <w:sz w:val="18"/>
            <w:u w:val="single" w:color="0000FF"/>
            <w:vertAlign w:val="baseline"/>
          </w:rPr>
          <w:t>https://transequality.org/sites/default/files/docs/usts/USTSMAStateReport(1017).pd</w:t>
        </w:r>
      </w:hyperlink>
      <w:hyperlink r:id="rId410">
        <w:r>
          <w:rPr>
            <w:color w:val="0000FF"/>
            <w:spacing w:val="-2"/>
            <w:sz w:val="18"/>
            <w:u w:val="single" w:color="0000FF"/>
            <w:vertAlign w:val="baseline"/>
          </w:rPr>
          <w:t>f</w:t>
        </w:r>
        <w:r>
          <w:rPr>
            <w:spacing w:val="-2"/>
            <w:sz w:val="18"/>
            <w:u w:val="none"/>
            <w:vertAlign w:val="baseline"/>
          </w:rPr>
          <w:t>.</w:t>
        </w:r>
      </w:hyperlink>
    </w:p>
    <w:p>
      <w:pPr>
        <w:spacing w:before="0"/>
        <w:ind w:left="363" w:right="91" w:hanging="1"/>
        <w:jc w:val="left"/>
        <w:rPr>
          <w:sz w:val="18"/>
        </w:rPr>
      </w:pPr>
      <w:r>
        <w:rPr>
          <w:sz w:val="18"/>
          <w:vertAlign w:val="superscript"/>
        </w:rPr>
        <w:t>37</w:t>
      </w:r>
      <w:r>
        <w:rPr>
          <w:spacing w:val="-13"/>
          <w:sz w:val="18"/>
          <w:vertAlign w:val="baseline"/>
        </w:rPr>
        <w:t> </w:t>
      </w:r>
      <w:r>
        <w:rPr>
          <w:sz w:val="18"/>
          <w:vertAlign w:val="baseline"/>
        </w:rPr>
        <w:t>National</w:t>
      </w:r>
      <w:r>
        <w:rPr>
          <w:spacing w:val="-5"/>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Transgender</w:t>
      </w:r>
      <w:r>
        <w:rPr>
          <w:spacing w:val="-4"/>
          <w:sz w:val="18"/>
          <w:vertAlign w:val="baseline"/>
        </w:rPr>
        <w:t> </w:t>
      </w:r>
      <w:r>
        <w:rPr>
          <w:sz w:val="18"/>
          <w:vertAlign w:val="baseline"/>
        </w:rPr>
        <w:t>Equality.</w:t>
      </w:r>
      <w:r>
        <w:rPr>
          <w:spacing w:val="-3"/>
          <w:sz w:val="18"/>
          <w:vertAlign w:val="baseline"/>
        </w:rPr>
        <w:t> </w:t>
      </w:r>
      <w:r>
        <w:rPr>
          <w:sz w:val="18"/>
          <w:vertAlign w:val="baseline"/>
        </w:rPr>
        <w:t>2017.</w:t>
      </w:r>
      <w:r>
        <w:rPr>
          <w:spacing w:val="-3"/>
          <w:sz w:val="18"/>
          <w:vertAlign w:val="baseline"/>
        </w:rPr>
        <w:t> </w:t>
      </w:r>
      <w:r>
        <w:rPr>
          <w:sz w:val="18"/>
          <w:vertAlign w:val="baseline"/>
        </w:rPr>
        <w:t>“2015</w:t>
      </w:r>
      <w:r>
        <w:rPr>
          <w:spacing w:val="-3"/>
          <w:sz w:val="18"/>
          <w:vertAlign w:val="baseline"/>
        </w:rPr>
        <w:t> </w:t>
      </w:r>
      <w:r>
        <w:rPr>
          <w:sz w:val="18"/>
          <w:vertAlign w:val="baseline"/>
        </w:rPr>
        <w:t>U.S.</w:t>
      </w:r>
      <w:r>
        <w:rPr>
          <w:spacing w:val="-3"/>
          <w:sz w:val="18"/>
          <w:vertAlign w:val="baseline"/>
        </w:rPr>
        <w:t> </w:t>
      </w:r>
      <w:r>
        <w:rPr>
          <w:sz w:val="18"/>
          <w:vertAlign w:val="baseline"/>
        </w:rPr>
        <w:t>Transgender</w:t>
      </w:r>
      <w:r>
        <w:rPr>
          <w:spacing w:val="-4"/>
          <w:sz w:val="18"/>
          <w:vertAlign w:val="baseline"/>
        </w:rPr>
        <w:t> </w:t>
      </w:r>
      <w:r>
        <w:rPr>
          <w:sz w:val="18"/>
          <w:vertAlign w:val="baseline"/>
        </w:rPr>
        <w:t>Survey:</w:t>
      </w:r>
      <w:r>
        <w:rPr>
          <w:spacing w:val="-3"/>
          <w:sz w:val="18"/>
          <w:vertAlign w:val="baseline"/>
        </w:rPr>
        <w:t> </w:t>
      </w:r>
      <w:r>
        <w:rPr>
          <w:sz w:val="18"/>
          <w:vertAlign w:val="baseline"/>
        </w:rPr>
        <w:t>Massachusetts</w:t>
      </w:r>
      <w:r>
        <w:rPr>
          <w:spacing w:val="-4"/>
          <w:sz w:val="18"/>
          <w:vertAlign w:val="baseline"/>
        </w:rPr>
        <w:t> </w:t>
      </w:r>
      <w:r>
        <w:rPr>
          <w:sz w:val="18"/>
          <w:vertAlign w:val="baseline"/>
        </w:rPr>
        <w:t>State</w:t>
      </w:r>
      <w:r>
        <w:rPr>
          <w:spacing w:val="-3"/>
          <w:sz w:val="18"/>
          <w:vertAlign w:val="baseline"/>
        </w:rPr>
        <w:t> </w:t>
      </w:r>
      <w:r>
        <w:rPr>
          <w:sz w:val="18"/>
          <w:vertAlign w:val="baseline"/>
        </w:rPr>
        <w:t>Report,”</w:t>
      </w:r>
      <w:r>
        <w:rPr>
          <w:spacing w:val="-3"/>
          <w:sz w:val="18"/>
          <w:vertAlign w:val="baseline"/>
        </w:rPr>
        <w:t> </w:t>
      </w:r>
      <w:r>
        <w:rPr>
          <w:sz w:val="18"/>
          <w:vertAlign w:val="baseline"/>
        </w:rPr>
        <w:t>page</w:t>
      </w:r>
      <w:r>
        <w:rPr>
          <w:spacing w:val="-3"/>
          <w:sz w:val="18"/>
          <w:vertAlign w:val="baseline"/>
        </w:rPr>
        <w:t> </w:t>
      </w:r>
      <w:r>
        <w:rPr>
          <w:sz w:val="18"/>
          <w:vertAlign w:val="baseline"/>
        </w:rPr>
        <w:t>3. </w:t>
      </w:r>
      <w:hyperlink r:id="rId410">
        <w:r>
          <w:rPr>
            <w:color w:val="0000FF"/>
            <w:spacing w:val="-2"/>
            <w:sz w:val="18"/>
            <w:u w:val="single" w:color="0000FF"/>
            <w:vertAlign w:val="baseline"/>
          </w:rPr>
          <w:t>https://transequality.org/sites/default/files/docs/usts/USTSMAStateReport(1017).pd</w:t>
        </w:r>
      </w:hyperlink>
      <w:hyperlink r:id="rId410">
        <w:r>
          <w:rPr>
            <w:color w:val="0000FF"/>
            <w:spacing w:val="-2"/>
            <w:sz w:val="18"/>
            <w:u w:val="single" w:color="0000FF"/>
            <w:vertAlign w:val="baseline"/>
          </w:rPr>
          <w:t>f</w:t>
        </w:r>
        <w:r>
          <w:rPr>
            <w:spacing w:val="-2"/>
            <w:sz w:val="18"/>
            <w:u w:val="none"/>
            <w:vertAlign w:val="baseline"/>
          </w:rPr>
          <w:t>.</w:t>
        </w:r>
      </w:hyperlink>
    </w:p>
    <w:p>
      <w:pPr>
        <w:spacing w:before="0"/>
        <w:ind w:left="363" w:right="272" w:hanging="1"/>
        <w:jc w:val="left"/>
        <w:rPr>
          <w:sz w:val="18"/>
        </w:rPr>
      </w:pPr>
      <w:r>
        <w:rPr>
          <w:sz w:val="18"/>
          <w:vertAlign w:val="superscript"/>
        </w:rPr>
        <w:t>38</w:t>
      </w:r>
      <w:r>
        <w:rPr>
          <w:spacing w:val="-13"/>
          <w:sz w:val="18"/>
          <w:vertAlign w:val="baseline"/>
        </w:rPr>
        <w:t> </w:t>
      </w:r>
      <w:r>
        <w:rPr>
          <w:sz w:val="18"/>
          <w:vertAlign w:val="baseline"/>
        </w:rPr>
        <w:t>Charlton,</w:t>
      </w:r>
      <w:r>
        <w:rPr>
          <w:spacing w:val="-4"/>
          <w:sz w:val="18"/>
          <w:vertAlign w:val="baseline"/>
        </w:rPr>
        <w:t> </w:t>
      </w:r>
      <w:r>
        <w:rPr>
          <w:sz w:val="18"/>
          <w:vertAlign w:val="baseline"/>
        </w:rPr>
        <w:t>Brittany,</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March</w:t>
      </w:r>
      <w:r>
        <w:rPr>
          <w:spacing w:val="-2"/>
          <w:sz w:val="18"/>
          <w:vertAlign w:val="baseline"/>
        </w:rPr>
        <w:t> </w:t>
      </w:r>
      <w:r>
        <w:rPr>
          <w:sz w:val="18"/>
          <w:vertAlign w:val="baseline"/>
        </w:rPr>
        <w:t>2021.</w:t>
      </w:r>
      <w:r>
        <w:rPr>
          <w:spacing w:val="-2"/>
          <w:sz w:val="18"/>
          <w:vertAlign w:val="baseline"/>
        </w:rPr>
        <w:t> </w:t>
      </w:r>
      <w:r>
        <w:rPr>
          <w:sz w:val="18"/>
          <w:vertAlign w:val="baseline"/>
        </w:rPr>
        <w:t>“Teen</w:t>
      </w:r>
      <w:r>
        <w:rPr>
          <w:spacing w:val="-3"/>
          <w:sz w:val="18"/>
          <w:vertAlign w:val="baseline"/>
        </w:rPr>
        <w:t> </w:t>
      </w:r>
      <w:r>
        <w:rPr>
          <w:sz w:val="18"/>
          <w:vertAlign w:val="baseline"/>
        </w:rPr>
        <w:t>Pregnancy</w:t>
      </w:r>
      <w:r>
        <w:rPr>
          <w:spacing w:val="-2"/>
          <w:sz w:val="18"/>
          <w:vertAlign w:val="baseline"/>
        </w:rPr>
        <w:t> </w:t>
      </w:r>
      <w:r>
        <w:rPr>
          <w:sz w:val="18"/>
          <w:vertAlign w:val="baseline"/>
        </w:rPr>
        <w:t>Risk</w:t>
      </w:r>
      <w:r>
        <w:rPr>
          <w:spacing w:val="-3"/>
          <w:sz w:val="18"/>
          <w:vertAlign w:val="baseline"/>
        </w:rPr>
        <w:t> </w:t>
      </w:r>
      <w:r>
        <w:rPr>
          <w:sz w:val="18"/>
          <w:vertAlign w:val="baseline"/>
        </w:rPr>
        <w:t>Factors</w:t>
      </w:r>
      <w:r>
        <w:rPr>
          <w:spacing w:val="-2"/>
          <w:sz w:val="18"/>
          <w:vertAlign w:val="baseline"/>
        </w:rPr>
        <w:t> </w:t>
      </w:r>
      <w:r>
        <w:rPr>
          <w:sz w:val="18"/>
          <w:vertAlign w:val="baseline"/>
        </w:rPr>
        <w:t>Among</w:t>
      </w:r>
      <w:r>
        <w:rPr>
          <w:spacing w:val="-2"/>
          <w:sz w:val="18"/>
          <w:vertAlign w:val="baseline"/>
        </w:rPr>
        <w:t> </w:t>
      </w:r>
      <w:r>
        <w:rPr>
          <w:sz w:val="18"/>
          <w:vertAlign w:val="baseline"/>
        </w:rPr>
        <w:t>Young</w:t>
      </w:r>
      <w:r>
        <w:rPr>
          <w:spacing w:val="-2"/>
          <w:sz w:val="18"/>
          <w:vertAlign w:val="baseline"/>
        </w:rPr>
        <w:t> </w:t>
      </w:r>
      <w:r>
        <w:rPr>
          <w:sz w:val="18"/>
          <w:vertAlign w:val="baseline"/>
        </w:rPr>
        <w:t>Women</w:t>
      </w:r>
      <w:r>
        <w:rPr>
          <w:spacing w:val="-2"/>
          <w:sz w:val="18"/>
          <w:vertAlign w:val="baseline"/>
        </w:rPr>
        <w:t> </w:t>
      </w:r>
      <w:r>
        <w:rPr>
          <w:sz w:val="18"/>
          <w:vertAlign w:val="baseline"/>
        </w:rPr>
        <w:t>of</w:t>
      </w:r>
      <w:r>
        <w:rPr>
          <w:spacing w:val="-2"/>
          <w:sz w:val="18"/>
          <w:vertAlign w:val="baseline"/>
        </w:rPr>
        <w:t> </w:t>
      </w:r>
      <w:r>
        <w:rPr>
          <w:sz w:val="18"/>
          <w:vertAlign w:val="baseline"/>
        </w:rPr>
        <w:t>Diverse</w:t>
      </w:r>
      <w:r>
        <w:rPr>
          <w:spacing w:val="-2"/>
          <w:sz w:val="18"/>
          <w:vertAlign w:val="baseline"/>
        </w:rPr>
        <w:t> </w:t>
      </w:r>
      <w:r>
        <w:rPr>
          <w:sz w:val="18"/>
          <w:vertAlign w:val="baseline"/>
        </w:rPr>
        <w:t>Sexual</w:t>
      </w:r>
      <w:r>
        <w:rPr>
          <w:spacing w:val="-3"/>
          <w:sz w:val="18"/>
          <w:vertAlign w:val="baseline"/>
        </w:rPr>
        <w:t> </w:t>
      </w:r>
      <w:r>
        <w:rPr>
          <w:sz w:val="18"/>
          <w:vertAlign w:val="baseline"/>
        </w:rPr>
        <w:t>Orientations.”</w:t>
      </w:r>
      <w:r>
        <w:rPr>
          <w:spacing w:val="-2"/>
          <w:sz w:val="18"/>
          <w:vertAlign w:val="baseline"/>
        </w:rPr>
        <w:t> </w:t>
      </w:r>
      <w:r>
        <w:rPr>
          <w:sz w:val="18"/>
          <w:vertAlign w:val="baseline"/>
        </w:rPr>
        <w:t>In </w:t>
      </w:r>
      <w:r>
        <w:rPr>
          <w:i/>
          <w:sz w:val="18"/>
          <w:vertAlign w:val="baseline"/>
        </w:rPr>
        <w:t>Pediatric Collections: LGBTQ+: Support and Care (Part 2: Health Concerns and Disparities)</w:t>
      </w:r>
      <w:r>
        <w:rPr>
          <w:sz w:val="18"/>
          <w:vertAlign w:val="baseline"/>
        </w:rPr>
        <w:t>. American Academy of Pediatrics. </w:t>
      </w:r>
      <w:hyperlink r:id="rId423">
        <w:r>
          <w:rPr>
            <w:color w:val="0000FF"/>
            <w:spacing w:val="-2"/>
            <w:sz w:val="18"/>
            <w:u w:val="single" w:color="0000FF"/>
            <w:vertAlign w:val="baseline"/>
          </w:rPr>
          <w:t>https://doi.org/10.1542/9781610025409-teen</w:t>
        </w:r>
      </w:hyperlink>
      <w:hyperlink r:id="rId423">
        <w:r>
          <w:rPr>
            <w:spacing w:val="-2"/>
            <w:sz w:val="18"/>
            <w:u w:val="none"/>
            <w:vertAlign w:val="baseline"/>
          </w:rPr>
          <w:t>.</w:t>
        </w:r>
      </w:hyperlink>
    </w:p>
    <w:p>
      <w:pPr>
        <w:spacing w:before="0"/>
        <w:ind w:left="363" w:right="91" w:hanging="1"/>
        <w:jc w:val="left"/>
        <w:rPr>
          <w:sz w:val="18"/>
        </w:rPr>
      </w:pPr>
      <w:r>
        <w:rPr/>
        <mc:AlternateContent>
          <mc:Choice Requires="wps">
            <w:drawing>
              <wp:anchor distT="0" distB="0" distL="0" distR="0" allowOverlap="1" layoutInCell="1" locked="0" behindDoc="1" simplePos="0" relativeHeight="482612736">
                <wp:simplePos x="0" y="0"/>
                <wp:positionH relativeFrom="page">
                  <wp:posOffset>3467100</wp:posOffset>
                </wp:positionH>
                <wp:positionV relativeFrom="paragraph">
                  <wp:posOffset>240924</wp:posOffset>
                </wp:positionV>
                <wp:extent cx="28575" cy="1270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28575" cy="12700"/>
                        </a:xfrm>
                        <a:custGeom>
                          <a:avLst/>
                          <a:gdLst/>
                          <a:ahLst/>
                          <a:cxnLst/>
                          <a:rect l="l" t="t" r="r" b="b"/>
                          <a:pathLst>
                            <a:path w="28575" h="12700">
                              <a:moveTo>
                                <a:pt x="28333" y="0"/>
                              </a:moveTo>
                              <a:lnTo>
                                <a:pt x="0" y="0"/>
                              </a:lnTo>
                              <a:lnTo>
                                <a:pt x="0" y="12700"/>
                              </a:lnTo>
                              <a:lnTo>
                                <a:pt x="28333" y="12700"/>
                              </a:lnTo>
                              <a:lnTo>
                                <a:pt x="28333" y="0"/>
                              </a:lnTo>
                              <a:close/>
                            </a:path>
                          </a:pathLst>
                        </a:custGeom>
                        <a:solidFill>
                          <a:srgbClr val="1153CC"/>
                        </a:solidFill>
                      </wps:spPr>
                      <wps:bodyPr wrap="square" lIns="0" tIns="0" rIns="0" bIns="0" rtlCol="0">
                        <a:prstTxWarp prst="textNoShape">
                          <a:avLst/>
                        </a:prstTxWarp>
                        <a:noAutofit/>
                      </wps:bodyPr>
                    </wps:wsp>
                  </a:graphicData>
                </a:graphic>
              </wp:anchor>
            </w:drawing>
          </mc:Choice>
          <mc:Fallback>
            <w:pict>
              <v:rect style="position:absolute;margin-left:273pt;margin-top:18.970406pt;width:2.231pt;height:1pt;mso-position-horizontal-relative:page;mso-position-vertical-relative:paragraph;z-index:-20703744" id="docshape261" filled="true" fillcolor="#1153cc" stroked="false">
                <v:fill type="solid"/>
                <w10:wrap type="none"/>
              </v:rect>
            </w:pict>
          </mc:Fallback>
        </mc:AlternateContent>
      </w:r>
      <w:r>
        <w:rPr>
          <w:sz w:val="18"/>
          <w:vertAlign w:val="superscript"/>
        </w:rPr>
        <w:t>39</w:t>
      </w:r>
      <w:r>
        <w:rPr>
          <w:spacing w:val="-13"/>
          <w:sz w:val="18"/>
          <w:vertAlign w:val="baseline"/>
        </w:rPr>
        <w:t> </w:t>
      </w:r>
      <w:r>
        <w:rPr>
          <w:sz w:val="18"/>
          <w:vertAlign w:val="baseline"/>
        </w:rPr>
        <w:t>Centers</w:t>
      </w:r>
      <w:r>
        <w:rPr>
          <w:spacing w:val="-6"/>
          <w:sz w:val="18"/>
          <w:vertAlign w:val="baseline"/>
        </w:rPr>
        <w:t> </w:t>
      </w:r>
      <w:r>
        <w:rPr>
          <w:sz w:val="18"/>
          <w:vertAlign w:val="baseline"/>
        </w:rPr>
        <w:t>for</w:t>
      </w:r>
      <w:r>
        <w:rPr>
          <w:spacing w:val="-5"/>
          <w:sz w:val="18"/>
          <w:vertAlign w:val="baseline"/>
        </w:rPr>
        <w:t> </w:t>
      </w:r>
      <w:r>
        <w:rPr>
          <w:sz w:val="18"/>
          <w:vertAlign w:val="baseline"/>
        </w:rPr>
        <w:t>Disease</w:t>
      </w:r>
      <w:r>
        <w:rPr>
          <w:spacing w:val="-4"/>
          <w:sz w:val="18"/>
          <w:vertAlign w:val="baseline"/>
        </w:rPr>
        <w:t> </w:t>
      </w:r>
      <w:r>
        <w:rPr>
          <w:sz w:val="18"/>
          <w:vertAlign w:val="baseline"/>
        </w:rPr>
        <w:t>Control</w:t>
      </w:r>
      <w:r>
        <w:rPr>
          <w:spacing w:val="-5"/>
          <w:sz w:val="18"/>
          <w:vertAlign w:val="baseline"/>
        </w:rPr>
        <w:t> </w:t>
      </w:r>
      <w:r>
        <w:rPr>
          <w:sz w:val="18"/>
          <w:vertAlign w:val="baseline"/>
        </w:rPr>
        <w:t>and</w:t>
      </w:r>
      <w:r>
        <w:rPr>
          <w:spacing w:val="-4"/>
          <w:sz w:val="18"/>
          <w:vertAlign w:val="baseline"/>
        </w:rPr>
        <w:t> </w:t>
      </w:r>
      <w:r>
        <w:rPr>
          <w:sz w:val="18"/>
          <w:vertAlign w:val="baseline"/>
        </w:rPr>
        <w:t>Prevention.</w:t>
      </w:r>
      <w:r>
        <w:rPr>
          <w:spacing w:val="-4"/>
          <w:sz w:val="18"/>
          <w:vertAlign w:val="baseline"/>
        </w:rPr>
        <w:t> </w:t>
      </w:r>
      <w:r>
        <w:rPr>
          <w:sz w:val="18"/>
          <w:vertAlign w:val="baseline"/>
        </w:rPr>
        <w:t>2021.</w:t>
      </w:r>
      <w:r>
        <w:rPr>
          <w:spacing w:val="-4"/>
          <w:sz w:val="18"/>
          <w:vertAlign w:val="baseline"/>
        </w:rPr>
        <w:t> </w:t>
      </w:r>
      <w:r>
        <w:rPr>
          <w:sz w:val="18"/>
          <w:vertAlign w:val="baseline"/>
        </w:rPr>
        <w:t>“About</w:t>
      </w:r>
      <w:r>
        <w:rPr>
          <w:spacing w:val="-5"/>
          <w:sz w:val="18"/>
          <w:vertAlign w:val="baseline"/>
        </w:rPr>
        <w:t> </w:t>
      </w:r>
      <w:r>
        <w:rPr>
          <w:sz w:val="18"/>
          <w:vertAlign w:val="baseline"/>
        </w:rPr>
        <w:t>Teen</w:t>
      </w:r>
      <w:r>
        <w:rPr>
          <w:spacing w:val="-5"/>
          <w:sz w:val="18"/>
          <w:vertAlign w:val="baseline"/>
        </w:rPr>
        <w:t> </w:t>
      </w:r>
      <w:r>
        <w:rPr>
          <w:sz w:val="18"/>
          <w:vertAlign w:val="baseline"/>
        </w:rPr>
        <w:t>Pregnancy.” </w:t>
      </w:r>
      <w:hyperlink r:id="rId424">
        <w:r>
          <w:rPr>
            <w:color w:val="0000FF"/>
            <w:spacing w:val="-2"/>
            <w:sz w:val="18"/>
            <w:u w:val="single" w:color="0000FF"/>
            <w:vertAlign w:val="baseline"/>
          </w:rPr>
          <w:t>https://www.cdc.gov/teenpregnancy/about/index.htm</w:t>
        </w:r>
      </w:hyperlink>
      <w:hyperlink r:id="rId424">
        <w:r>
          <w:rPr>
            <w:color w:val="1153CC"/>
            <w:spacing w:val="-2"/>
            <w:sz w:val="18"/>
            <w:u w:val="none"/>
            <w:vertAlign w:val="baseline"/>
          </w:rPr>
          <w:t>.</w:t>
        </w:r>
      </w:hyperlink>
    </w:p>
    <w:p>
      <w:pPr>
        <w:spacing w:before="0"/>
        <w:ind w:left="363" w:right="160" w:hanging="1"/>
        <w:jc w:val="left"/>
        <w:rPr>
          <w:sz w:val="18"/>
        </w:rPr>
      </w:pPr>
      <w:r>
        <w:rPr>
          <w:sz w:val="18"/>
          <w:vertAlign w:val="superscript"/>
        </w:rPr>
        <w:t>40</w:t>
      </w:r>
      <w:r>
        <w:rPr>
          <w:spacing w:val="-13"/>
          <w:sz w:val="18"/>
          <w:vertAlign w:val="baseline"/>
        </w:rPr>
        <w:t> </w:t>
      </w:r>
      <w:r>
        <w:rPr>
          <w:sz w:val="18"/>
          <w:vertAlign w:val="baseline"/>
        </w:rPr>
        <w:t>Thompson,</w:t>
      </w:r>
      <w:r>
        <w:rPr>
          <w:spacing w:val="-4"/>
          <w:sz w:val="18"/>
          <w:vertAlign w:val="baseline"/>
        </w:rPr>
        <w:t> </w:t>
      </w:r>
      <w:r>
        <w:rPr>
          <w:sz w:val="18"/>
          <w:vertAlign w:val="baseline"/>
        </w:rPr>
        <w:t>Sanna,</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April</w:t>
      </w:r>
      <w:r>
        <w:rPr>
          <w:spacing w:val="-3"/>
          <w:sz w:val="18"/>
          <w:vertAlign w:val="baseline"/>
        </w:rPr>
        <w:t> </w:t>
      </w:r>
      <w:r>
        <w:rPr>
          <w:sz w:val="18"/>
          <w:vertAlign w:val="baseline"/>
        </w:rPr>
        <w:t>11,</w:t>
      </w:r>
      <w:r>
        <w:rPr>
          <w:spacing w:val="-3"/>
          <w:sz w:val="18"/>
          <w:vertAlign w:val="baseline"/>
        </w:rPr>
        <w:t> </w:t>
      </w:r>
      <w:r>
        <w:rPr>
          <w:sz w:val="18"/>
          <w:vertAlign w:val="baseline"/>
        </w:rPr>
        <w:t>2008.</w:t>
      </w:r>
      <w:r>
        <w:rPr>
          <w:spacing w:val="-2"/>
          <w:sz w:val="18"/>
          <w:vertAlign w:val="baseline"/>
        </w:rPr>
        <w:t> </w:t>
      </w:r>
      <w:r>
        <w:rPr>
          <w:sz w:val="18"/>
          <w:vertAlign w:val="baseline"/>
        </w:rPr>
        <w:t>“Runaway</w:t>
      </w:r>
      <w:r>
        <w:rPr>
          <w:spacing w:val="-2"/>
          <w:sz w:val="18"/>
          <w:vertAlign w:val="baseline"/>
        </w:rPr>
        <w:t> </w:t>
      </w:r>
      <w:r>
        <w:rPr>
          <w:sz w:val="18"/>
          <w:vertAlign w:val="baseline"/>
        </w:rPr>
        <w:t>and</w:t>
      </w:r>
      <w:r>
        <w:rPr>
          <w:spacing w:val="-2"/>
          <w:sz w:val="18"/>
          <w:vertAlign w:val="baseline"/>
        </w:rPr>
        <w:t> </w:t>
      </w:r>
      <w:r>
        <w:rPr>
          <w:sz w:val="18"/>
          <w:vertAlign w:val="baseline"/>
        </w:rPr>
        <w:t>Pregnant:</w:t>
      </w:r>
      <w:r>
        <w:rPr>
          <w:spacing w:val="-2"/>
          <w:sz w:val="18"/>
          <w:vertAlign w:val="baseline"/>
        </w:rPr>
        <w:t> </w:t>
      </w:r>
      <w:r>
        <w:rPr>
          <w:sz w:val="18"/>
          <w:vertAlign w:val="baseline"/>
        </w:rPr>
        <w:t>Risk</w:t>
      </w:r>
      <w:r>
        <w:rPr>
          <w:spacing w:val="-3"/>
          <w:sz w:val="18"/>
          <w:vertAlign w:val="baseline"/>
        </w:rPr>
        <w:t> </w:t>
      </w:r>
      <w:r>
        <w:rPr>
          <w:sz w:val="18"/>
          <w:vertAlign w:val="baseline"/>
        </w:rPr>
        <w:t>Factors</w:t>
      </w:r>
      <w:r>
        <w:rPr>
          <w:spacing w:val="-2"/>
          <w:sz w:val="18"/>
          <w:vertAlign w:val="baseline"/>
        </w:rPr>
        <w:t> </w:t>
      </w:r>
      <w:r>
        <w:rPr>
          <w:sz w:val="18"/>
          <w:vertAlign w:val="baseline"/>
        </w:rPr>
        <w:t>Associated</w:t>
      </w:r>
      <w:r>
        <w:rPr>
          <w:spacing w:val="-2"/>
          <w:sz w:val="18"/>
          <w:vertAlign w:val="baseline"/>
        </w:rPr>
        <w:t> </w:t>
      </w:r>
      <w:r>
        <w:rPr>
          <w:sz w:val="18"/>
          <w:vertAlign w:val="baseline"/>
        </w:rPr>
        <w:t>with</w:t>
      </w:r>
      <w:r>
        <w:rPr>
          <w:spacing w:val="-2"/>
          <w:sz w:val="18"/>
          <w:vertAlign w:val="baseline"/>
        </w:rPr>
        <w:t> </w:t>
      </w:r>
      <w:r>
        <w:rPr>
          <w:sz w:val="18"/>
          <w:vertAlign w:val="baseline"/>
        </w:rPr>
        <w:t>Pregnancy</w:t>
      </w:r>
      <w:r>
        <w:rPr>
          <w:spacing w:val="-2"/>
          <w:sz w:val="18"/>
          <w:vertAlign w:val="baseline"/>
        </w:rPr>
        <w:t> </w:t>
      </w:r>
      <w:r>
        <w:rPr>
          <w:sz w:val="18"/>
          <w:vertAlign w:val="baseline"/>
        </w:rPr>
        <w:t>in</w:t>
      </w:r>
      <w:r>
        <w:rPr>
          <w:spacing w:val="-2"/>
          <w:sz w:val="18"/>
          <w:vertAlign w:val="baseline"/>
        </w:rPr>
        <w:t> </w:t>
      </w:r>
      <w:r>
        <w:rPr>
          <w:sz w:val="18"/>
          <w:vertAlign w:val="baseline"/>
        </w:rPr>
        <w:t>a</w:t>
      </w:r>
      <w:r>
        <w:rPr>
          <w:spacing w:val="-2"/>
          <w:sz w:val="18"/>
          <w:vertAlign w:val="baseline"/>
        </w:rPr>
        <w:t> </w:t>
      </w:r>
      <w:r>
        <w:rPr>
          <w:sz w:val="18"/>
          <w:vertAlign w:val="baseline"/>
        </w:rPr>
        <w:t>National</w:t>
      </w:r>
      <w:r>
        <w:rPr>
          <w:spacing w:val="-3"/>
          <w:sz w:val="18"/>
          <w:vertAlign w:val="baseline"/>
        </w:rPr>
        <w:t> </w:t>
      </w:r>
      <w:r>
        <w:rPr>
          <w:sz w:val="18"/>
          <w:vertAlign w:val="baseline"/>
        </w:rPr>
        <w:t>Sample of Runaway/Homeless Female Adolescents.” </w:t>
      </w:r>
      <w:r>
        <w:rPr>
          <w:i/>
          <w:sz w:val="18"/>
          <w:vertAlign w:val="baseline"/>
        </w:rPr>
        <w:t>The Journal of Adolescent Health</w:t>
      </w:r>
      <w:r>
        <w:rPr>
          <w:sz w:val="18"/>
          <w:vertAlign w:val="baseline"/>
        </w:rPr>
        <w:t>, Volume 43, Issue 2, 125–132. </w:t>
      </w:r>
      <w:hyperlink r:id="rId425">
        <w:r>
          <w:rPr>
            <w:color w:val="1153CC"/>
            <w:spacing w:val="-2"/>
            <w:sz w:val="18"/>
            <w:u w:val="single" w:color="1153CC"/>
            <w:vertAlign w:val="baseline"/>
          </w:rPr>
          <w:t>https://www.ncbi.nlm.nih.gov/pmc/articles/PMC2742657/.</w:t>
        </w:r>
      </w:hyperlink>
    </w:p>
    <w:p>
      <w:pPr>
        <w:spacing w:before="0"/>
        <w:ind w:left="363" w:right="91" w:hanging="1"/>
        <w:jc w:val="left"/>
        <w:rPr>
          <w:sz w:val="18"/>
        </w:rPr>
      </w:pPr>
      <w:r>
        <w:rPr/>
        <mc:AlternateContent>
          <mc:Choice Requires="wps">
            <w:drawing>
              <wp:anchor distT="0" distB="0" distL="0" distR="0" allowOverlap="1" layoutInCell="1" locked="0" behindDoc="0" simplePos="0" relativeHeight="15789568">
                <wp:simplePos x="0" y="0"/>
                <wp:positionH relativeFrom="page">
                  <wp:posOffset>2067305</wp:posOffset>
                </wp:positionH>
                <wp:positionV relativeFrom="paragraph">
                  <wp:posOffset>253616</wp:posOffset>
                </wp:positionV>
                <wp:extent cx="4222115" cy="1524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4222115" cy="15240"/>
                          <a:chExt cx="4222115" cy="15240"/>
                        </a:xfrm>
                      </wpg:grpSpPr>
                      <wps:wsp>
                        <wps:cNvPr id="334" name="Graphic 334"/>
                        <wps:cNvSpPr/>
                        <wps:spPr>
                          <a:xfrm>
                            <a:off x="0" y="7365"/>
                            <a:ext cx="4205605" cy="7620"/>
                          </a:xfrm>
                          <a:custGeom>
                            <a:avLst/>
                            <a:gdLst/>
                            <a:ahLst/>
                            <a:cxnLst/>
                            <a:rect l="l" t="t" r="r" b="b"/>
                            <a:pathLst>
                              <a:path w="4205605" h="7620">
                                <a:moveTo>
                                  <a:pt x="4205478" y="0"/>
                                </a:moveTo>
                                <a:lnTo>
                                  <a:pt x="0" y="0"/>
                                </a:lnTo>
                                <a:lnTo>
                                  <a:pt x="0" y="7620"/>
                                </a:lnTo>
                                <a:lnTo>
                                  <a:pt x="4205478" y="7620"/>
                                </a:lnTo>
                                <a:lnTo>
                                  <a:pt x="4205478" y="0"/>
                                </a:lnTo>
                                <a:close/>
                              </a:path>
                            </a:pathLst>
                          </a:custGeom>
                          <a:solidFill>
                            <a:srgbClr val="0000FF"/>
                          </a:solidFill>
                        </wps:spPr>
                        <wps:bodyPr wrap="square" lIns="0" tIns="0" rIns="0" bIns="0" rtlCol="0">
                          <a:prstTxWarp prst="textNoShape">
                            <a:avLst/>
                          </a:prstTxWarp>
                          <a:noAutofit/>
                        </wps:bodyPr>
                      </wps:wsp>
                      <wps:wsp>
                        <wps:cNvPr id="335" name="Graphic 335"/>
                        <wps:cNvSpPr/>
                        <wps:spPr>
                          <a:xfrm>
                            <a:off x="4193794" y="0"/>
                            <a:ext cx="28575" cy="12700"/>
                          </a:xfrm>
                          <a:custGeom>
                            <a:avLst/>
                            <a:gdLst/>
                            <a:ahLst/>
                            <a:cxnLst/>
                            <a:rect l="l" t="t" r="r" b="b"/>
                            <a:pathLst>
                              <a:path w="28575" h="12700">
                                <a:moveTo>
                                  <a:pt x="28321" y="0"/>
                                </a:moveTo>
                                <a:lnTo>
                                  <a:pt x="0" y="0"/>
                                </a:lnTo>
                                <a:lnTo>
                                  <a:pt x="0" y="12674"/>
                                </a:lnTo>
                                <a:lnTo>
                                  <a:pt x="28321" y="12674"/>
                                </a:lnTo>
                                <a:lnTo>
                                  <a:pt x="28321" y="0"/>
                                </a:lnTo>
                                <a:close/>
                              </a:path>
                            </a:pathLst>
                          </a:custGeom>
                          <a:solidFill>
                            <a:srgbClr val="1153CC"/>
                          </a:solidFill>
                        </wps:spPr>
                        <wps:bodyPr wrap="square" lIns="0" tIns="0" rIns="0" bIns="0" rtlCol="0">
                          <a:prstTxWarp prst="textNoShape">
                            <a:avLst/>
                          </a:prstTxWarp>
                          <a:noAutofit/>
                        </wps:bodyPr>
                      </wps:wsp>
                    </wpg:wgp>
                  </a:graphicData>
                </a:graphic>
              </wp:anchor>
            </w:drawing>
          </mc:Choice>
          <mc:Fallback>
            <w:pict>
              <v:group style="position:absolute;margin-left:162.779999pt;margin-top:19.969765pt;width:332.45pt;height:1.2pt;mso-position-horizontal-relative:page;mso-position-vertical-relative:paragraph;z-index:15789568" id="docshapegroup262" coordorigin="3256,399" coordsize="6649,24">
                <v:rect style="position:absolute;left:3255;top:411;width:6623;height:12" id="docshape263" filled="true" fillcolor="#0000ff" stroked="false">
                  <v:fill type="solid"/>
                </v:rect>
                <v:rect style="position:absolute;left:9860;top:399;width:45;height:20" id="docshape264" filled="true" fillcolor="#1153cc" stroked="false">
                  <v:fill type="solid"/>
                </v:rect>
                <w10:wrap type="none"/>
              </v:group>
            </w:pict>
          </mc:Fallback>
        </mc:AlternateContent>
      </w:r>
      <w:r>
        <w:rPr>
          <w:sz w:val="18"/>
          <w:vertAlign w:val="superscript"/>
        </w:rPr>
        <w:t>41</w:t>
      </w:r>
      <w:r>
        <w:rPr>
          <w:spacing w:val="-13"/>
          <w:sz w:val="18"/>
          <w:vertAlign w:val="baseline"/>
        </w:rPr>
        <w:t> </w:t>
      </w:r>
      <w:r>
        <w:rPr>
          <w:sz w:val="18"/>
          <w:vertAlign w:val="baseline"/>
        </w:rPr>
        <w:t>Center</w:t>
      </w:r>
      <w:r>
        <w:rPr>
          <w:spacing w:val="-4"/>
          <w:sz w:val="18"/>
          <w:vertAlign w:val="baseline"/>
        </w:rPr>
        <w:t> </w:t>
      </w:r>
      <w:r>
        <w:rPr>
          <w:sz w:val="18"/>
          <w:vertAlign w:val="baseline"/>
        </w:rPr>
        <w:t>for</w:t>
      </w:r>
      <w:r>
        <w:rPr>
          <w:spacing w:val="-3"/>
          <w:sz w:val="18"/>
          <w:vertAlign w:val="baseline"/>
        </w:rPr>
        <w:t> </w:t>
      </w:r>
      <w:r>
        <w:rPr>
          <w:sz w:val="18"/>
          <w:vertAlign w:val="baseline"/>
        </w:rPr>
        <w:t>Youth</w:t>
      </w:r>
      <w:r>
        <w:rPr>
          <w:spacing w:val="-2"/>
          <w:sz w:val="18"/>
          <w:vertAlign w:val="baseline"/>
        </w:rPr>
        <w:t> </w:t>
      </w:r>
      <w:r>
        <w:rPr>
          <w:sz w:val="18"/>
          <w:vertAlign w:val="baseline"/>
        </w:rPr>
        <w:t>and</w:t>
      </w:r>
      <w:r>
        <w:rPr>
          <w:spacing w:val="-2"/>
          <w:sz w:val="18"/>
          <w:vertAlign w:val="baseline"/>
        </w:rPr>
        <w:t> </w:t>
      </w:r>
      <w:r>
        <w:rPr>
          <w:sz w:val="18"/>
          <w:vertAlign w:val="baseline"/>
        </w:rPr>
        <w:t>Adults</w:t>
      </w:r>
      <w:r>
        <w:rPr>
          <w:spacing w:val="-2"/>
          <w:sz w:val="18"/>
          <w:vertAlign w:val="baseline"/>
        </w:rPr>
        <w:t> </w:t>
      </w:r>
      <w:r>
        <w:rPr>
          <w:sz w:val="18"/>
          <w:vertAlign w:val="baseline"/>
        </w:rPr>
        <w:t>with</w:t>
      </w:r>
      <w:r>
        <w:rPr>
          <w:spacing w:val="-2"/>
          <w:sz w:val="18"/>
          <w:vertAlign w:val="baseline"/>
        </w:rPr>
        <w:t> </w:t>
      </w:r>
      <w:r>
        <w:rPr>
          <w:sz w:val="18"/>
          <w:vertAlign w:val="baseline"/>
        </w:rPr>
        <w:t>Conditions</w:t>
      </w:r>
      <w:r>
        <w:rPr>
          <w:spacing w:val="-2"/>
          <w:sz w:val="18"/>
          <w:vertAlign w:val="baseline"/>
        </w:rPr>
        <w:t> </w:t>
      </w:r>
      <w:r>
        <w:rPr>
          <w:sz w:val="18"/>
          <w:vertAlign w:val="baseline"/>
        </w:rPr>
        <w:t>of</w:t>
      </w:r>
      <w:r>
        <w:rPr>
          <w:spacing w:val="-2"/>
          <w:sz w:val="18"/>
          <w:vertAlign w:val="baseline"/>
        </w:rPr>
        <w:t> </w:t>
      </w:r>
      <w:r>
        <w:rPr>
          <w:sz w:val="18"/>
          <w:vertAlign w:val="baseline"/>
        </w:rPr>
        <w:t>Childhood,</w:t>
      </w:r>
      <w:r>
        <w:rPr>
          <w:spacing w:val="-3"/>
          <w:sz w:val="18"/>
          <w:vertAlign w:val="baseline"/>
        </w:rPr>
        <w:t> </w:t>
      </w:r>
      <w:r>
        <w:rPr>
          <w:sz w:val="18"/>
          <w:vertAlign w:val="baseline"/>
        </w:rPr>
        <w:t>Indiana</w:t>
      </w:r>
      <w:r>
        <w:rPr>
          <w:spacing w:val="-2"/>
          <w:sz w:val="18"/>
          <w:vertAlign w:val="baseline"/>
        </w:rPr>
        <w:t> </w:t>
      </w:r>
      <w:r>
        <w:rPr>
          <w:sz w:val="18"/>
          <w:vertAlign w:val="baseline"/>
        </w:rPr>
        <w:t>School</w:t>
      </w:r>
      <w:r>
        <w:rPr>
          <w:spacing w:val="-3"/>
          <w:sz w:val="18"/>
          <w:vertAlign w:val="baseline"/>
        </w:rPr>
        <w:t> </w:t>
      </w:r>
      <w:r>
        <w:rPr>
          <w:sz w:val="18"/>
          <w:vertAlign w:val="baseline"/>
        </w:rPr>
        <w:t>of</w:t>
      </w:r>
      <w:r>
        <w:rPr>
          <w:spacing w:val="-2"/>
          <w:sz w:val="18"/>
          <w:vertAlign w:val="baseline"/>
        </w:rPr>
        <w:t> </w:t>
      </w:r>
      <w:r>
        <w:rPr>
          <w:sz w:val="18"/>
          <w:vertAlign w:val="baseline"/>
        </w:rPr>
        <w:t>Medicine.</w:t>
      </w:r>
      <w:r>
        <w:rPr>
          <w:spacing w:val="-2"/>
          <w:sz w:val="18"/>
          <w:vertAlign w:val="baseline"/>
        </w:rPr>
        <w:t> </w:t>
      </w:r>
      <w:r>
        <w:rPr>
          <w:sz w:val="18"/>
          <w:vertAlign w:val="baseline"/>
        </w:rPr>
        <w:t>“Teenage</w:t>
      </w:r>
      <w:r>
        <w:rPr>
          <w:spacing w:val="-3"/>
          <w:sz w:val="18"/>
          <w:vertAlign w:val="baseline"/>
        </w:rPr>
        <w:t> </w:t>
      </w:r>
      <w:r>
        <w:rPr>
          <w:sz w:val="18"/>
          <w:vertAlign w:val="baseline"/>
        </w:rPr>
        <w:t>Pregnancy</w:t>
      </w:r>
      <w:r>
        <w:rPr>
          <w:spacing w:val="-2"/>
          <w:sz w:val="18"/>
          <w:vertAlign w:val="baseline"/>
        </w:rPr>
        <w:t> </w:t>
      </w:r>
      <w:r>
        <w:rPr>
          <w:sz w:val="18"/>
          <w:vertAlign w:val="baseline"/>
        </w:rPr>
        <w:t>and</w:t>
      </w:r>
      <w:r>
        <w:rPr>
          <w:spacing w:val="-3"/>
          <w:sz w:val="18"/>
          <w:vertAlign w:val="baseline"/>
        </w:rPr>
        <w:t> </w:t>
      </w:r>
      <w:r>
        <w:rPr>
          <w:sz w:val="18"/>
          <w:vertAlign w:val="baseline"/>
        </w:rPr>
        <w:t>Youth</w:t>
      </w:r>
      <w:r>
        <w:rPr>
          <w:spacing w:val="-2"/>
          <w:sz w:val="18"/>
          <w:vertAlign w:val="baseline"/>
        </w:rPr>
        <w:t> </w:t>
      </w:r>
      <w:r>
        <w:rPr>
          <w:sz w:val="18"/>
          <w:vertAlign w:val="baseline"/>
        </w:rPr>
        <w:t>with Intellectual Disabilities.” </w:t>
      </w:r>
      <w:hyperlink r:id="rId426">
        <w:r>
          <w:rPr>
            <w:color w:val="0000FF"/>
            <w:sz w:val="18"/>
            <w:vertAlign w:val="baseline"/>
          </w:rPr>
          <w:t>https://instrc.indiana.edu/pdf/resources/Fact_Sheet_Teen_Pregnancy_with_Disability.pd</w:t>
        </w:r>
      </w:hyperlink>
      <w:hyperlink r:id="rId426">
        <w:r>
          <w:rPr>
            <w:color w:val="0000FF"/>
            <w:sz w:val="18"/>
            <w:vertAlign w:val="baseline"/>
          </w:rPr>
          <w:t>f</w:t>
        </w:r>
        <w:r>
          <w:rPr>
            <w:color w:val="1153CC"/>
            <w:sz w:val="18"/>
            <w:vertAlign w:val="baseline"/>
          </w:rPr>
          <w:t>.</w:t>
        </w:r>
      </w:hyperlink>
    </w:p>
    <w:p>
      <w:pPr>
        <w:spacing w:before="0"/>
        <w:ind w:left="363" w:right="272" w:hanging="1"/>
        <w:jc w:val="left"/>
        <w:rPr>
          <w:sz w:val="18"/>
        </w:rPr>
      </w:pPr>
      <w:r>
        <w:rPr>
          <w:sz w:val="18"/>
          <w:vertAlign w:val="superscript"/>
        </w:rPr>
        <w:t>42</w:t>
      </w:r>
      <w:r>
        <w:rPr>
          <w:spacing w:val="-13"/>
          <w:sz w:val="18"/>
          <w:vertAlign w:val="baseline"/>
        </w:rPr>
        <w:t> </w:t>
      </w:r>
      <w:r>
        <w:rPr>
          <w:sz w:val="18"/>
          <w:vertAlign w:val="baseline"/>
        </w:rPr>
        <w:t>Charlton,</w:t>
      </w:r>
      <w:r>
        <w:rPr>
          <w:spacing w:val="-4"/>
          <w:sz w:val="18"/>
          <w:vertAlign w:val="baseline"/>
        </w:rPr>
        <w:t> </w:t>
      </w:r>
      <w:r>
        <w:rPr>
          <w:sz w:val="18"/>
          <w:vertAlign w:val="baseline"/>
        </w:rPr>
        <w:t>Brittany,</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March</w:t>
      </w:r>
      <w:r>
        <w:rPr>
          <w:spacing w:val="-2"/>
          <w:sz w:val="18"/>
          <w:vertAlign w:val="baseline"/>
        </w:rPr>
        <w:t> </w:t>
      </w:r>
      <w:r>
        <w:rPr>
          <w:sz w:val="18"/>
          <w:vertAlign w:val="baseline"/>
        </w:rPr>
        <w:t>2021.</w:t>
      </w:r>
      <w:r>
        <w:rPr>
          <w:spacing w:val="-2"/>
          <w:sz w:val="18"/>
          <w:vertAlign w:val="baseline"/>
        </w:rPr>
        <w:t> </w:t>
      </w:r>
      <w:r>
        <w:rPr>
          <w:sz w:val="18"/>
          <w:vertAlign w:val="baseline"/>
        </w:rPr>
        <w:t>“Teen</w:t>
      </w:r>
      <w:r>
        <w:rPr>
          <w:spacing w:val="-3"/>
          <w:sz w:val="18"/>
          <w:vertAlign w:val="baseline"/>
        </w:rPr>
        <w:t> </w:t>
      </w:r>
      <w:r>
        <w:rPr>
          <w:sz w:val="18"/>
          <w:vertAlign w:val="baseline"/>
        </w:rPr>
        <w:t>Pregnancy</w:t>
      </w:r>
      <w:r>
        <w:rPr>
          <w:spacing w:val="-2"/>
          <w:sz w:val="18"/>
          <w:vertAlign w:val="baseline"/>
        </w:rPr>
        <w:t> </w:t>
      </w:r>
      <w:r>
        <w:rPr>
          <w:sz w:val="18"/>
          <w:vertAlign w:val="baseline"/>
        </w:rPr>
        <w:t>Risk</w:t>
      </w:r>
      <w:r>
        <w:rPr>
          <w:spacing w:val="-3"/>
          <w:sz w:val="18"/>
          <w:vertAlign w:val="baseline"/>
        </w:rPr>
        <w:t> </w:t>
      </w:r>
      <w:r>
        <w:rPr>
          <w:sz w:val="18"/>
          <w:vertAlign w:val="baseline"/>
        </w:rPr>
        <w:t>Factors</w:t>
      </w:r>
      <w:r>
        <w:rPr>
          <w:spacing w:val="-2"/>
          <w:sz w:val="18"/>
          <w:vertAlign w:val="baseline"/>
        </w:rPr>
        <w:t> </w:t>
      </w:r>
      <w:r>
        <w:rPr>
          <w:sz w:val="18"/>
          <w:vertAlign w:val="baseline"/>
        </w:rPr>
        <w:t>Among</w:t>
      </w:r>
      <w:r>
        <w:rPr>
          <w:spacing w:val="-2"/>
          <w:sz w:val="18"/>
          <w:vertAlign w:val="baseline"/>
        </w:rPr>
        <w:t> </w:t>
      </w:r>
      <w:r>
        <w:rPr>
          <w:sz w:val="18"/>
          <w:vertAlign w:val="baseline"/>
        </w:rPr>
        <w:t>Young</w:t>
      </w:r>
      <w:r>
        <w:rPr>
          <w:spacing w:val="-2"/>
          <w:sz w:val="18"/>
          <w:vertAlign w:val="baseline"/>
        </w:rPr>
        <w:t> </w:t>
      </w:r>
      <w:r>
        <w:rPr>
          <w:sz w:val="18"/>
          <w:vertAlign w:val="baseline"/>
        </w:rPr>
        <w:t>Women</w:t>
      </w:r>
      <w:r>
        <w:rPr>
          <w:spacing w:val="-2"/>
          <w:sz w:val="18"/>
          <w:vertAlign w:val="baseline"/>
        </w:rPr>
        <w:t> </w:t>
      </w:r>
      <w:r>
        <w:rPr>
          <w:sz w:val="18"/>
          <w:vertAlign w:val="baseline"/>
        </w:rPr>
        <w:t>of</w:t>
      </w:r>
      <w:r>
        <w:rPr>
          <w:spacing w:val="-2"/>
          <w:sz w:val="18"/>
          <w:vertAlign w:val="baseline"/>
        </w:rPr>
        <w:t> </w:t>
      </w:r>
      <w:r>
        <w:rPr>
          <w:sz w:val="18"/>
          <w:vertAlign w:val="baseline"/>
        </w:rPr>
        <w:t>Diverse</w:t>
      </w:r>
      <w:r>
        <w:rPr>
          <w:spacing w:val="-2"/>
          <w:sz w:val="18"/>
          <w:vertAlign w:val="baseline"/>
        </w:rPr>
        <w:t> </w:t>
      </w:r>
      <w:r>
        <w:rPr>
          <w:sz w:val="18"/>
          <w:vertAlign w:val="baseline"/>
        </w:rPr>
        <w:t>Sexual</w:t>
      </w:r>
      <w:r>
        <w:rPr>
          <w:spacing w:val="-3"/>
          <w:sz w:val="18"/>
          <w:vertAlign w:val="baseline"/>
        </w:rPr>
        <w:t> </w:t>
      </w:r>
      <w:r>
        <w:rPr>
          <w:sz w:val="18"/>
          <w:vertAlign w:val="baseline"/>
        </w:rPr>
        <w:t>Orientations.”</w:t>
      </w:r>
      <w:r>
        <w:rPr>
          <w:spacing w:val="-2"/>
          <w:sz w:val="18"/>
          <w:vertAlign w:val="baseline"/>
        </w:rPr>
        <w:t> </w:t>
      </w:r>
      <w:r>
        <w:rPr>
          <w:sz w:val="18"/>
          <w:vertAlign w:val="baseline"/>
        </w:rPr>
        <w:t>In </w:t>
      </w:r>
      <w:r>
        <w:rPr>
          <w:i/>
          <w:sz w:val="18"/>
          <w:vertAlign w:val="baseline"/>
        </w:rPr>
        <w:t>Pediatric Collections: LGBTQ+: Support and Care (Part 2: Health Concerns and Disparities)</w:t>
      </w:r>
      <w:r>
        <w:rPr>
          <w:sz w:val="18"/>
          <w:vertAlign w:val="baseline"/>
        </w:rPr>
        <w:t>. American Academy of Pediatrics. </w:t>
      </w:r>
      <w:hyperlink r:id="rId423">
        <w:r>
          <w:rPr>
            <w:color w:val="0000FF"/>
            <w:spacing w:val="-2"/>
            <w:sz w:val="18"/>
            <w:u w:val="single" w:color="0000FF"/>
            <w:vertAlign w:val="baseline"/>
          </w:rPr>
          <w:t>https://doi.org/10.1542/9781610025409-teen</w:t>
        </w:r>
      </w:hyperlink>
      <w:hyperlink r:id="rId423">
        <w:r>
          <w:rPr>
            <w:spacing w:val="-2"/>
            <w:sz w:val="18"/>
            <w:u w:val="none"/>
            <w:vertAlign w:val="baseline"/>
          </w:rPr>
          <w:t>.</w:t>
        </w:r>
      </w:hyperlink>
    </w:p>
    <w:p>
      <w:pPr>
        <w:spacing w:before="0"/>
        <w:ind w:left="363" w:right="355" w:firstLine="0"/>
        <w:jc w:val="both"/>
        <w:rPr>
          <w:sz w:val="18"/>
        </w:rPr>
      </w:pPr>
      <w:r>
        <w:rPr/>
        <mc:AlternateContent>
          <mc:Choice Requires="wps">
            <w:drawing>
              <wp:anchor distT="0" distB="0" distL="0" distR="0" allowOverlap="1" layoutInCell="1" locked="0" behindDoc="1" simplePos="0" relativeHeight="482613248">
                <wp:simplePos x="0" y="0"/>
                <wp:positionH relativeFrom="page">
                  <wp:posOffset>1689100</wp:posOffset>
                </wp:positionH>
                <wp:positionV relativeFrom="paragraph">
                  <wp:posOffset>380620</wp:posOffset>
                </wp:positionV>
                <wp:extent cx="28575" cy="1270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28575" cy="12700"/>
                        </a:xfrm>
                        <a:custGeom>
                          <a:avLst/>
                          <a:gdLst/>
                          <a:ahLst/>
                          <a:cxnLst/>
                          <a:rect l="l" t="t" r="r" b="b"/>
                          <a:pathLst>
                            <a:path w="28575" h="12700">
                              <a:moveTo>
                                <a:pt x="28320" y="0"/>
                              </a:moveTo>
                              <a:lnTo>
                                <a:pt x="0" y="0"/>
                              </a:lnTo>
                              <a:lnTo>
                                <a:pt x="0" y="12674"/>
                              </a:lnTo>
                              <a:lnTo>
                                <a:pt x="28320" y="12674"/>
                              </a:lnTo>
                              <a:lnTo>
                                <a:pt x="28320" y="0"/>
                              </a:lnTo>
                              <a:close/>
                            </a:path>
                          </a:pathLst>
                        </a:custGeom>
                        <a:solidFill>
                          <a:srgbClr val="1153CC"/>
                        </a:solidFill>
                      </wps:spPr>
                      <wps:bodyPr wrap="square" lIns="0" tIns="0" rIns="0" bIns="0" rtlCol="0">
                        <a:prstTxWarp prst="textNoShape">
                          <a:avLst/>
                        </a:prstTxWarp>
                        <a:noAutofit/>
                      </wps:bodyPr>
                    </wps:wsp>
                  </a:graphicData>
                </a:graphic>
              </wp:anchor>
            </w:drawing>
          </mc:Choice>
          <mc:Fallback>
            <w:pict>
              <v:rect style="position:absolute;margin-left:133pt;margin-top:29.970125pt;width:2.23pt;height:.998pt;mso-position-horizontal-relative:page;mso-position-vertical-relative:paragraph;z-index:-20703232" id="docshape265" filled="true" fillcolor="#1153cc" stroked="false">
                <v:fill type="solid"/>
                <w10:wrap type="none"/>
              </v:rect>
            </w:pict>
          </mc:Fallback>
        </mc:AlternateContent>
      </w:r>
      <w:r>
        <w:rPr>
          <w:sz w:val="18"/>
          <w:vertAlign w:val="superscript"/>
        </w:rPr>
        <w:t>43</w:t>
      </w:r>
      <w:r>
        <w:rPr>
          <w:spacing w:val="-11"/>
          <w:sz w:val="18"/>
          <w:vertAlign w:val="baseline"/>
        </w:rPr>
        <w:t> </w:t>
      </w:r>
      <w:r>
        <w:rPr>
          <w:sz w:val="18"/>
          <w:vertAlign w:val="baseline"/>
        </w:rPr>
        <w:t>Charlton,</w:t>
      </w:r>
      <w:r>
        <w:rPr>
          <w:spacing w:val="-7"/>
          <w:sz w:val="18"/>
          <w:vertAlign w:val="baseline"/>
        </w:rPr>
        <w:t> </w:t>
      </w:r>
      <w:r>
        <w:rPr>
          <w:sz w:val="18"/>
          <w:vertAlign w:val="baseline"/>
        </w:rPr>
        <w:t>Brittany,</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December</w:t>
      </w:r>
      <w:r>
        <w:rPr>
          <w:spacing w:val="-3"/>
          <w:sz w:val="18"/>
          <w:vertAlign w:val="baseline"/>
        </w:rPr>
        <w:t> </w:t>
      </w:r>
      <w:r>
        <w:rPr>
          <w:sz w:val="18"/>
          <w:vertAlign w:val="baseline"/>
        </w:rPr>
        <w:t>2019.</w:t>
      </w:r>
      <w:r>
        <w:rPr>
          <w:spacing w:val="-3"/>
          <w:sz w:val="18"/>
          <w:vertAlign w:val="baseline"/>
        </w:rPr>
        <w:t> </w:t>
      </w:r>
      <w:r>
        <w:rPr>
          <w:sz w:val="18"/>
          <w:vertAlign w:val="baseline"/>
        </w:rPr>
        <w:t>“Sexual</w:t>
      </w:r>
      <w:r>
        <w:rPr>
          <w:spacing w:val="-3"/>
          <w:sz w:val="18"/>
          <w:vertAlign w:val="baseline"/>
        </w:rPr>
        <w:t> </w:t>
      </w:r>
      <w:r>
        <w:rPr>
          <w:sz w:val="18"/>
          <w:vertAlign w:val="baseline"/>
        </w:rPr>
        <w:t>Orientation</w:t>
      </w:r>
      <w:r>
        <w:rPr>
          <w:spacing w:val="-2"/>
          <w:sz w:val="18"/>
          <w:vertAlign w:val="baseline"/>
        </w:rPr>
        <w:t> </w:t>
      </w:r>
      <w:r>
        <w:rPr>
          <w:sz w:val="18"/>
          <w:vertAlign w:val="baseline"/>
        </w:rPr>
        <w:t>Differences</w:t>
      </w:r>
      <w:r>
        <w:rPr>
          <w:spacing w:val="-3"/>
          <w:sz w:val="18"/>
          <w:vertAlign w:val="baseline"/>
        </w:rPr>
        <w:t> </w:t>
      </w:r>
      <w:r>
        <w:rPr>
          <w:sz w:val="18"/>
          <w:vertAlign w:val="baseline"/>
        </w:rPr>
        <w:t>in</w:t>
      </w:r>
      <w:r>
        <w:rPr>
          <w:spacing w:val="-3"/>
          <w:sz w:val="18"/>
          <w:vertAlign w:val="baseline"/>
        </w:rPr>
        <w:t> </w:t>
      </w:r>
      <w:r>
        <w:rPr>
          <w:sz w:val="18"/>
          <w:vertAlign w:val="baseline"/>
        </w:rPr>
        <w:t>Pregnancy</w:t>
      </w:r>
      <w:r>
        <w:rPr>
          <w:spacing w:val="-3"/>
          <w:sz w:val="18"/>
          <w:vertAlign w:val="baseline"/>
        </w:rPr>
        <w:t> </w:t>
      </w:r>
      <w:r>
        <w:rPr>
          <w:sz w:val="18"/>
          <w:vertAlign w:val="baseline"/>
        </w:rPr>
        <w:t>and</w:t>
      </w:r>
      <w:r>
        <w:rPr>
          <w:spacing w:val="-3"/>
          <w:sz w:val="18"/>
          <w:vertAlign w:val="baseline"/>
        </w:rPr>
        <w:t> </w:t>
      </w:r>
      <w:r>
        <w:rPr>
          <w:sz w:val="18"/>
          <w:vertAlign w:val="baseline"/>
        </w:rPr>
        <w:t>Abortion</w:t>
      </w:r>
      <w:r>
        <w:rPr>
          <w:spacing w:val="-3"/>
          <w:sz w:val="18"/>
          <w:vertAlign w:val="baseline"/>
        </w:rPr>
        <w:t> </w:t>
      </w:r>
      <w:r>
        <w:rPr>
          <w:sz w:val="18"/>
          <w:vertAlign w:val="baseline"/>
        </w:rPr>
        <w:t>Across</w:t>
      </w:r>
      <w:r>
        <w:rPr>
          <w:spacing w:val="-3"/>
          <w:sz w:val="18"/>
          <w:vertAlign w:val="baseline"/>
        </w:rPr>
        <w:t> </w:t>
      </w:r>
      <w:r>
        <w:rPr>
          <w:sz w:val="18"/>
          <w:vertAlign w:val="baseline"/>
        </w:rPr>
        <w:t>the</w:t>
      </w:r>
      <w:r>
        <w:rPr>
          <w:spacing w:val="-3"/>
          <w:sz w:val="18"/>
          <w:vertAlign w:val="baseline"/>
        </w:rPr>
        <w:t> </w:t>
      </w:r>
      <w:r>
        <w:rPr>
          <w:sz w:val="18"/>
          <w:vertAlign w:val="baseline"/>
        </w:rPr>
        <w:t>Lifecourse.” Guttmacher Institute. </w:t>
      </w:r>
      <w:hyperlink r:id="rId427">
        <w:r>
          <w:rPr>
            <w:color w:val="0000FF"/>
            <w:sz w:val="18"/>
            <w:u w:val="single" w:color="0000FF"/>
            <w:vertAlign w:val="baseline"/>
          </w:rPr>
          <w:t>https://www.guttmacher.org/article/2019/12/sexual-orientation-differences-pregnancy-and-abortion-</w:t>
        </w:r>
      </w:hyperlink>
      <w:r>
        <w:rPr>
          <w:color w:val="0000FF"/>
          <w:sz w:val="18"/>
          <w:u w:val="none"/>
          <w:vertAlign w:val="baseline"/>
        </w:rPr>
        <w:t> </w:t>
      </w:r>
      <w:hyperlink r:id="rId427">
        <w:r>
          <w:rPr>
            <w:color w:val="0000FF"/>
            <w:spacing w:val="-2"/>
            <w:sz w:val="18"/>
            <w:u w:val="single" w:color="0000FF"/>
            <w:vertAlign w:val="baseline"/>
          </w:rPr>
          <w:t>across-lifecourse</w:t>
        </w:r>
      </w:hyperlink>
      <w:hyperlink r:id="rId427">
        <w:r>
          <w:rPr>
            <w:color w:val="1153CC"/>
            <w:spacing w:val="-2"/>
            <w:sz w:val="18"/>
            <w:u w:val="none"/>
            <w:vertAlign w:val="baseline"/>
          </w:rPr>
          <w:t>.</w:t>
        </w:r>
      </w:hyperlink>
    </w:p>
    <w:p>
      <w:pPr>
        <w:spacing w:before="0"/>
        <w:ind w:left="363" w:right="420" w:hanging="1"/>
        <w:jc w:val="both"/>
        <w:rPr>
          <w:sz w:val="18"/>
        </w:rPr>
      </w:pPr>
      <w:r>
        <w:rPr>
          <w:sz w:val="18"/>
          <w:vertAlign w:val="superscript"/>
        </w:rPr>
        <w:t>44</w:t>
      </w:r>
      <w:r>
        <w:rPr>
          <w:spacing w:val="-11"/>
          <w:sz w:val="18"/>
          <w:vertAlign w:val="baseline"/>
        </w:rPr>
        <w:t> </w:t>
      </w:r>
      <w:r>
        <w:rPr>
          <w:sz w:val="18"/>
          <w:vertAlign w:val="baseline"/>
        </w:rPr>
        <w:t>Moseson,</w:t>
      </w:r>
      <w:r>
        <w:rPr>
          <w:spacing w:val="-7"/>
          <w:sz w:val="18"/>
          <w:vertAlign w:val="baseline"/>
        </w:rPr>
        <w:t> </w:t>
      </w:r>
      <w:r>
        <w:rPr>
          <w:sz w:val="18"/>
          <w:vertAlign w:val="baseline"/>
        </w:rPr>
        <w:t>Heidi</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September,</w:t>
      </w:r>
      <w:r>
        <w:rPr>
          <w:spacing w:val="-3"/>
          <w:sz w:val="18"/>
          <w:vertAlign w:val="baseline"/>
        </w:rPr>
        <w:t> </w:t>
      </w:r>
      <w:r>
        <w:rPr>
          <w:sz w:val="18"/>
          <w:vertAlign w:val="baseline"/>
        </w:rPr>
        <w:t>24,</w:t>
      </w:r>
      <w:r>
        <w:rPr>
          <w:spacing w:val="-3"/>
          <w:sz w:val="18"/>
          <w:vertAlign w:val="baseline"/>
        </w:rPr>
        <w:t> </w:t>
      </w:r>
      <w:r>
        <w:rPr>
          <w:sz w:val="18"/>
          <w:vertAlign w:val="baseline"/>
        </w:rPr>
        <w:t>2020.</w:t>
      </w:r>
      <w:r>
        <w:rPr>
          <w:spacing w:val="-2"/>
          <w:sz w:val="18"/>
          <w:vertAlign w:val="baseline"/>
        </w:rPr>
        <w:t> </w:t>
      </w:r>
      <w:r>
        <w:rPr>
          <w:sz w:val="18"/>
          <w:vertAlign w:val="baseline"/>
        </w:rPr>
        <w:t>“Abortion</w:t>
      </w:r>
      <w:r>
        <w:rPr>
          <w:spacing w:val="-2"/>
          <w:sz w:val="18"/>
          <w:vertAlign w:val="baseline"/>
        </w:rPr>
        <w:t> </w:t>
      </w:r>
      <w:r>
        <w:rPr>
          <w:sz w:val="18"/>
          <w:vertAlign w:val="baseline"/>
        </w:rPr>
        <w:t>experiences</w:t>
      </w:r>
      <w:r>
        <w:rPr>
          <w:spacing w:val="-2"/>
          <w:sz w:val="18"/>
          <w:vertAlign w:val="baseline"/>
        </w:rPr>
        <w:t> </w:t>
      </w:r>
      <w:r>
        <w:rPr>
          <w:sz w:val="18"/>
          <w:vertAlign w:val="baseline"/>
        </w:rPr>
        <w:t>and</w:t>
      </w:r>
      <w:r>
        <w:rPr>
          <w:spacing w:val="-3"/>
          <w:sz w:val="18"/>
          <w:vertAlign w:val="baseline"/>
        </w:rPr>
        <w:t> </w:t>
      </w:r>
      <w:r>
        <w:rPr>
          <w:sz w:val="18"/>
          <w:vertAlign w:val="baseline"/>
        </w:rPr>
        <w:t>preferences</w:t>
      </w:r>
      <w:r>
        <w:rPr>
          <w:spacing w:val="-2"/>
          <w:sz w:val="18"/>
          <w:vertAlign w:val="baseline"/>
        </w:rPr>
        <w:t> </w:t>
      </w:r>
      <w:r>
        <w:rPr>
          <w:sz w:val="18"/>
          <w:vertAlign w:val="baseline"/>
        </w:rPr>
        <w:t>of</w:t>
      </w:r>
      <w:r>
        <w:rPr>
          <w:spacing w:val="-2"/>
          <w:sz w:val="18"/>
          <w:vertAlign w:val="baseline"/>
        </w:rPr>
        <w:t> </w:t>
      </w:r>
      <w:r>
        <w:rPr>
          <w:sz w:val="18"/>
          <w:vertAlign w:val="baseline"/>
        </w:rPr>
        <w:t>transgender,</w:t>
      </w:r>
      <w:r>
        <w:rPr>
          <w:spacing w:val="-3"/>
          <w:sz w:val="18"/>
          <w:vertAlign w:val="baseline"/>
        </w:rPr>
        <w:t> </w:t>
      </w:r>
      <w:r>
        <w:rPr>
          <w:sz w:val="18"/>
          <w:vertAlign w:val="baseline"/>
        </w:rPr>
        <w:t>nonbinary,</w:t>
      </w:r>
      <w:r>
        <w:rPr>
          <w:spacing w:val="-3"/>
          <w:sz w:val="18"/>
          <w:vertAlign w:val="baseline"/>
        </w:rPr>
        <w:t> </w:t>
      </w:r>
      <w:r>
        <w:rPr>
          <w:sz w:val="18"/>
          <w:vertAlign w:val="baseline"/>
        </w:rPr>
        <w:t>and</w:t>
      </w:r>
      <w:r>
        <w:rPr>
          <w:spacing w:val="-2"/>
          <w:sz w:val="18"/>
          <w:vertAlign w:val="baseline"/>
        </w:rPr>
        <w:t> </w:t>
      </w:r>
      <w:r>
        <w:rPr>
          <w:sz w:val="18"/>
          <w:vertAlign w:val="baseline"/>
        </w:rPr>
        <w:t>gender- expansive</w:t>
      </w:r>
      <w:r>
        <w:rPr>
          <w:spacing w:val="-2"/>
          <w:sz w:val="18"/>
          <w:vertAlign w:val="baseline"/>
        </w:rPr>
        <w:t> </w:t>
      </w:r>
      <w:r>
        <w:rPr>
          <w:sz w:val="18"/>
          <w:vertAlign w:val="baseline"/>
        </w:rPr>
        <w:t>people</w:t>
      </w:r>
      <w:r>
        <w:rPr>
          <w:spacing w:val="-1"/>
          <w:sz w:val="18"/>
          <w:vertAlign w:val="baseline"/>
        </w:rPr>
        <w:t> </w:t>
      </w:r>
      <w:r>
        <w:rPr>
          <w:sz w:val="18"/>
          <w:vertAlign w:val="baseline"/>
        </w:rPr>
        <w:t>in</w:t>
      </w:r>
      <w:r>
        <w:rPr>
          <w:spacing w:val="-1"/>
          <w:sz w:val="18"/>
          <w:vertAlign w:val="baseline"/>
        </w:rPr>
        <w:t> </w:t>
      </w:r>
      <w:r>
        <w:rPr>
          <w:sz w:val="18"/>
          <w:vertAlign w:val="baseline"/>
        </w:rPr>
        <w:t>the</w:t>
      </w:r>
      <w:r>
        <w:rPr>
          <w:spacing w:val="-1"/>
          <w:sz w:val="18"/>
          <w:vertAlign w:val="baseline"/>
        </w:rPr>
        <w:t> </w:t>
      </w:r>
      <w:r>
        <w:rPr>
          <w:sz w:val="18"/>
          <w:vertAlign w:val="baseline"/>
        </w:rPr>
        <w:t>United</w:t>
      </w:r>
      <w:r>
        <w:rPr>
          <w:spacing w:val="-1"/>
          <w:sz w:val="18"/>
          <w:vertAlign w:val="baseline"/>
        </w:rPr>
        <w:t> </w:t>
      </w:r>
      <w:r>
        <w:rPr>
          <w:sz w:val="18"/>
          <w:vertAlign w:val="baseline"/>
        </w:rPr>
        <w:t>States.”</w:t>
      </w:r>
      <w:r>
        <w:rPr>
          <w:spacing w:val="-1"/>
          <w:sz w:val="18"/>
          <w:vertAlign w:val="baseline"/>
        </w:rPr>
        <w:t> </w:t>
      </w:r>
      <w:r>
        <w:rPr>
          <w:i/>
          <w:sz w:val="18"/>
          <w:vertAlign w:val="baseline"/>
        </w:rPr>
        <w:t>American Journal</w:t>
      </w:r>
      <w:r>
        <w:rPr>
          <w:i/>
          <w:spacing w:val="-2"/>
          <w:sz w:val="18"/>
          <w:vertAlign w:val="baseline"/>
        </w:rPr>
        <w:t> </w:t>
      </w:r>
      <w:r>
        <w:rPr>
          <w:i/>
          <w:sz w:val="18"/>
          <w:vertAlign w:val="baseline"/>
        </w:rPr>
        <w:t>of</w:t>
      </w:r>
      <w:r>
        <w:rPr>
          <w:i/>
          <w:spacing w:val="-1"/>
          <w:sz w:val="18"/>
          <w:vertAlign w:val="baseline"/>
        </w:rPr>
        <w:t> </w:t>
      </w:r>
      <w:r>
        <w:rPr>
          <w:i/>
          <w:sz w:val="18"/>
          <w:vertAlign w:val="baseline"/>
        </w:rPr>
        <w:t>Obstetrics</w:t>
      </w:r>
      <w:r>
        <w:rPr>
          <w:i/>
          <w:spacing w:val="-2"/>
          <w:sz w:val="18"/>
          <w:vertAlign w:val="baseline"/>
        </w:rPr>
        <w:t> </w:t>
      </w:r>
      <w:r>
        <w:rPr>
          <w:i/>
          <w:sz w:val="18"/>
          <w:vertAlign w:val="baseline"/>
        </w:rPr>
        <w:t>&amp;</w:t>
      </w:r>
      <w:r>
        <w:rPr>
          <w:i/>
          <w:spacing w:val="-2"/>
          <w:sz w:val="18"/>
          <w:vertAlign w:val="baseline"/>
        </w:rPr>
        <w:t> </w:t>
      </w:r>
      <w:r>
        <w:rPr>
          <w:i/>
          <w:sz w:val="18"/>
          <w:vertAlign w:val="baseline"/>
        </w:rPr>
        <w:t>Gynecology</w:t>
      </w:r>
      <w:r>
        <w:rPr>
          <w:sz w:val="18"/>
          <w:vertAlign w:val="baseline"/>
        </w:rPr>
        <w:t>,</w:t>
      </w:r>
      <w:r>
        <w:rPr>
          <w:spacing w:val="-2"/>
          <w:sz w:val="18"/>
          <w:vertAlign w:val="baseline"/>
        </w:rPr>
        <w:t> </w:t>
      </w:r>
      <w:r>
        <w:rPr>
          <w:sz w:val="18"/>
          <w:vertAlign w:val="baseline"/>
        </w:rPr>
        <w:t>Volume</w:t>
      </w:r>
      <w:r>
        <w:rPr>
          <w:spacing w:val="-1"/>
          <w:sz w:val="18"/>
          <w:vertAlign w:val="baseline"/>
        </w:rPr>
        <w:t> </w:t>
      </w:r>
      <w:r>
        <w:rPr>
          <w:sz w:val="18"/>
          <w:vertAlign w:val="baseline"/>
        </w:rPr>
        <w:t>224,</w:t>
      </w:r>
      <w:r>
        <w:rPr>
          <w:spacing w:val="-1"/>
          <w:sz w:val="18"/>
          <w:vertAlign w:val="baseline"/>
        </w:rPr>
        <w:t> </w:t>
      </w:r>
      <w:r>
        <w:rPr>
          <w:sz w:val="18"/>
          <w:vertAlign w:val="baseline"/>
        </w:rPr>
        <w:t>Issue</w:t>
      </w:r>
      <w:r>
        <w:rPr>
          <w:spacing w:val="-2"/>
          <w:sz w:val="18"/>
          <w:vertAlign w:val="baseline"/>
        </w:rPr>
        <w:t> </w:t>
      </w:r>
      <w:r>
        <w:rPr>
          <w:sz w:val="18"/>
          <w:vertAlign w:val="baseline"/>
        </w:rPr>
        <w:t>4,</w:t>
      </w:r>
      <w:r>
        <w:rPr>
          <w:spacing w:val="-2"/>
          <w:sz w:val="18"/>
          <w:vertAlign w:val="baseline"/>
        </w:rPr>
        <w:t> </w:t>
      </w:r>
      <w:r>
        <w:rPr>
          <w:sz w:val="18"/>
          <w:vertAlign w:val="baseline"/>
        </w:rPr>
        <w:t>376.e1</w:t>
      </w:r>
      <w:r>
        <w:rPr>
          <w:spacing w:val="-1"/>
          <w:sz w:val="18"/>
          <w:vertAlign w:val="baseline"/>
        </w:rPr>
        <w:t> </w:t>
      </w:r>
      <w:r>
        <w:rPr>
          <w:sz w:val="18"/>
          <w:vertAlign w:val="baseline"/>
        </w:rPr>
        <w:t>-</w:t>
      </w:r>
      <w:r>
        <w:rPr>
          <w:spacing w:val="-3"/>
          <w:sz w:val="18"/>
          <w:vertAlign w:val="baseline"/>
        </w:rPr>
        <w:t> </w:t>
      </w:r>
      <w:r>
        <w:rPr>
          <w:sz w:val="18"/>
          <w:vertAlign w:val="baseline"/>
        </w:rPr>
        <w:t>376.e11. </w:t>
      </w:r>
      <w:hyperlink r:id="rId428">
        <w:r>
          <w:rPr>
            <w:color w:val="0000FF"/>
            <w:spacing w:val="-2"/>
            <w:sz w:val="18"/>
            <w:u w:val="single" w:color="0000FF"/>
            <w:vertAlign w:val="baseline"/>
          </w:rPr>
          <w:t>https://doi.org/10.1016/j.ajog.2020.09.035</w:t>
        </w:r>
      </w:hyperlink>
      <w:hyperlink r:id="rId428">
        <w:r>
          <w:rPr>
            <w:spacing w:val="-2"/>
            <w:sz w:val="18"/>
            <w:u w:val="none"/>
            <w:vertAlign w:val="baseline"/>
          </w:rPr>
          <w:t>.</w:t>
        </w:r>
      </w:hyperlink>
    </w:p>
    <w:p>
      <w:pPr>
        <w:spacing w:before="0"/>
        <w:ind w:left="363" w:right="91" w:hanging="1"/>
        <w:jc w:val="left"/>
        <w:rPr>
          <w:sz w:val="18"/>
        </w:rPr>
      </w:pPr>
      <w:r>
        <w:rPr>
          <w:sz w:val="18"/>
          <w:vertAlign w:val="superscript"/>
        </w:rPr>
        <w:t>45</w:t>
      </w:r>
      <w:r>
        <w:rPr>
          <w:spacing w:val="-13"/>
          <w:sz w:val="18"/>
          <w:vertAlign w:val="baseline"/>
        </w:rPr>
        <w:t> </w:t>
      </w:r>
      <w:r>
        <w:rPr>
          <w:sz w:val="18"/>
          <w:vertAlign w:val="baseline"/>
        </w:rPr>
        <w:t>Heather</w:t>
      </w:r>
      <w:r>
        <w:rPr>
          <w:spacing w:val="-4"/>
          <w:sz w:val="18"/>
          <w:vertAlign w:val="baseline"/>
        </w:rPr>
        <w:t> </w:t>
      </w:r>
      <w:r>
        <w:rPr>
          <w:sz w:val="18"/>
          <w:vertAlign w:val="baseline"/>
        </w:rPr>
        <w:t>Tillewein</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“Silencing</w:t>
      </w:r>
      <w:r>
        <w:rPr>
          <w:spacing w:val="-2"/>
          <w:sz w:val="18"/>
          <w:vertAlign w:val="baseline"/>
        </w:rPr>
        <w:t> </w:t>
      </w:r>
      <w:r>
        <w:rPr>
          <w:sz w:val="18"/>
          <w:vertAlign w:val="baseline"/>
        </w:rPr>
        <w:t>the</w:t>
      </w:r>
      <w:r>
        <w:rPr>
          <w:spacing w:val="-2"/>
          <w:sz w:val="18"/>
          <w:vertAlign w:val="baseline"/>
        </w:rPr>
        <w:t> </w:t>
      </w:r>
      <w:r>
        <w:rPr>
          <w:sz w:val="18"/>
          <w:vertAlign w:val="baseline"/>
        </w:rPr>
        <w:t>Rainbow:</w:t>
      </w:r>
      <w:r>
        <w:rPr>
          <w:spacing w:val="-2"/>
          <w:sz w:val="18"/>
          <w:vertAlign w:val="baseline"/>
        </w:rPr>
        <w:t> </w:t>
      </w:r>
      <w:r>
        <w:rPr>
          <w:sz w:val="18"/>
          <w:vertAlign w:val="baseline"/>
        </w:rPr>
        <w:t>Prevalence</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Students</w:t>
      </w:r>
      <w:r>
        <w:rPr>
          <w:spacing w:val="-3"/>
          <w:sz w:val="18"/>
          <w:vertAlign w:val="baseline"/>
        </w:rPr>
        <w:t> </w:t>
      </w:r>
      <w:r>
        <w:rPr>
          <w:sz w:val="18"/>
          <w:vertAlign w:val="baseline"/>
        </w:rPr>
        <w:t>Who</w:t>
      </w:r>
      <w:r>
        <w:rPr>
          <w:spacing w:val="-2"/>
          <w:sz w:val="18"/>
          <w:vertAlign w:val="baseline"/>
        </w:rPr>
        <w:t> </w:t>
      </w:r>
      <w:r>
        <w:rPr>
          <w:sz w:val="18"/>
          <w:vertAlign w:val="baseline"/>
        </w:rPr>
        <w:t>Do</w:t>
      </w:r>
      <w:r>
        <w:rPr>
          <w:spacing w:val="-2"/>
          <w:sz w:val="18"/>
          <w:vertAlign w:val="baseline"/>
        </w:rPr>
        <w:t> </w:t>
      </w:r>
      <w:r>
        <w:rPr>
          <w:sz w:val="18"/>
          <w:vertAlign w:val="baseline"/>
        </w:rPr>
        <w:t>Not</w:t>
      </w:r>
      <w:r>
        <w:rPr>
          <w:spacing w:val="-3"/>
          <w:sz w:val="18"/>
          <w:vertAlign w:val="baseline"/>
        </w:rPr>
        <w:t> </w:t>
      </w:r>
      <w:r>
        <w:rPr>
          <w:sz w:val="18"/>
          <w:vertAlign w:val="baseline"/>
        </w:rPr>
        <w:t>Report</w:t>
      </w:r>
      <w:r>
        <w:rPr>
          <w:spacing w:val="-3"/>
          <w:sz w:val="18"/>
          <w:vertAlign w:val="baseline"/>
        </w:rPr>
        <w:t> </w:t>
      </w:r>
      <w:r>
        <w:rPr>
          <w:sz w:val="18"/>
          <w:vertAlign w:val="baseline"/>
        </w:rPr>
        <w:t>Sexual</w:t>
      </w:r>
      <w:r>
        <w:rPr>
          <w:spacing w:val="-3"/>
          <w:sz w:val="18"/>
          <w:vertAlign w:val="baseline"/>
        </w:rPr>
        <w:t> </w:t>
      </w:r>
      <w:r>
        <w:rPr>
          <w:sz w:val="18"/>
          <w:vertAlign w:val="baseline"/>
        </w:rPr>
        <w:t>Violence,” </w:t>
      </w:r>
      <w:r>
        <w:rPr>
          <w:i/>
          <w:sz w:val="18"/>
          <w:vertAlign w:val="baseline"/>
        </w:rPr>
        <w:t>International Journal of Environmental Research and Public Health </w:t>
      </w:r>
      <w:r>
        <w:rPr>
          <w:sz w:val="18"/>
          <w:vertAlign w:val="baseline"/>
        </w:rPr>
        <w:t>20, no. 3 (January 22, 2023): 2020, </w:t>
      </w:r>
      <w:r>
        <w:rPr>
          <w:spacing w:val="-2"/>
          <w:sz w:val="18"/>
          <w:vertAlign w:val="baseline"/>
        </w:rPr>
        <w:t>https://doi.org/10.3390/ijerph20032020.</w:t>
      </w:r>
    </w:p>
    <w:p>
      <w:pPr>
        <w:spacing w:line="219" w:lineRule="exact" w:before="0"/>
        <w:ind w:left="363" w:right="0" w:firstLine="0"/>
        <w:jc w:val="left"/>
        <w:rPr>
          <w:sz w:val="18"/>
        </w:rPr>
      </w:pPr>
      <w:r>
        <w:rPr>
          <w:sz w:val="18"/>
          <w:vertAlign w:val="superscript"/>
        </w:rPr>
        <w:t>46</w:t>
      </w:r>
      <w:r>
        <w:rPr>
          <w:spacing w:val="-15"/>
          <w:sz w:val="18"/>
          <w:vertAlign w:val="baseline"/>
        </w:rPr>
        <w:t> </w:t>
      </w:r>
      <w:r>
        <w:rPr>
          <w:sz w:val="18"/>
          <w:vertAlign w:val="baseline"/>
        </w:rPr>
        <w:t>Thoma,</w:t>
      </w:r>
      <w:r>
        <w:rPr>
          <w:spacing w:val="-5"/>
          <w:sz w:val="18"/>
          <w:vertAlign w:val="baseline"/>
        </w:rPr>
        <w:t> </w:t>
      </w:r>
      <w:r>
        <w:rPr>
          <w:sz w:val="18"/>
          <w:vertAlign w:val="baseline"/>
        </w:rPr>
        <w:t>Brian,</w:t>
      </w:r>
      <w:r>
        <w:rPr>
          <w:spacing w:val="-4"/>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August</w:t>
      </w:r>
      <w:r>
        <w:rPr>
          <w:spacing w:val="-3"/>
          <w:sz w:val="18"/>
          <w:vertAlign w:val="baseline"/>
        </w:rPr>
        <w:t> </w:t>
      </w:r>
      <w:r>
        <w:rPr>
          <w:sz w:val="18"/>
          <w:vertAlign w:val="baseline"/>
        </w:rPr>
        <w:t>2021.</w:t>
      </w:r>
      <w:r>
        <w:rPr>
          <w:spacing w:val="-3"/>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Childhood</w:t>
      </w:r>
      <w:r>
        <w:rPr>
          <w:spacing w:val="-2"/>
          <w:sz w:val="18"/>
          <w:vertAlign w:val="baseline"/>
        </w:rPr>
        <w:t> </w:t>
      </w:r>
      <w:r>
        <w:rPr>
          <w:sz w:val="18"/>
          <w:vertAlign w:val="baseline"/>
        </w:rPr>
        <w:t>Abuse</w:t>
      </w:r>
      <w:r>
        <w:rPr>
          <w:spacing w:val="-2"/>
          <w:sz w:val="18"/>
          <w:vertAlign w:val="baseline"/>
        </w:rPr>
        <w:t> </w:t>
      </w:r>
      <w:r>
        <w:rPr>
          <w:sz w:val="18"/>
          <w:vertAlign w:val="baseline"/>
        </w:rPr>
        <w:t>Between</w:t>
      </w:r>
      <w:r>
        <w:rPr>
          <w:spacing w:val="-2"/>
          <w:sz w:val="18"/>
          <w:vertAlign w:val="baseline"/>
        </w:rPr>
        <w:t> </w:t>
      </w:r>
      <w:r>
        <w:rPr>
          <w:sz w:val="18"/>
          <w:vertAlign w:val="baseline"/>
        </w:rPr>
        <w:t>Transgender</w:t>
      </w:r>
      <w:r>
        <w:rPr>
          <w:spacing w:val="-3"/>
          <w:sz w:val="18"/>
          <w:vertAlign w:val="baseline"/>
        </w:rPr>
        <w:t> </w:t>
      </w:r>
      <w:r>
        <w:rPr>
          <w:sz w:val="18"/>
          <w:vertAlign w:val="baseline"/>
        </w:rPr>
        <w:t>and</w:t>
      </w:r>
      <w:r>
        <w:rPr>
          <w:spacing w:val="-2"/>
          <w:sz w:val="18"/>
          <w:vertAlign w:val="baseline"/>
        </w:rPr>
        <w:t> </w:t>
      </w:r>
      <w:r>
        <w:rPr>
          <w:sz w:val="18"/>
          <w:vertAlign w:val="baseline"/>
        </w:rPr>
        <w:t>Cisgender</w:t>
      </w:r>
      <w:r>
        <w:rPr>
          <w:spacing w:val="-3"/>
          <w:sz w:val="18"/>
          <w:vertAlign w:val="baseline"/>
        </w:rPr>
        <w:t> </w:t>
      </w:r>
      <w:r>
        <w:rPr>
          <w:spacing w:val="-2"/>
          <w:sz w:val="18"/>
          <w:vertAlign w:val="baseline"/>
        </w:rPr>
        <w:t>Adolescents.”</w:t>
      </w:r>
    </w:p>
    <w:p>
      <w:pPr>
        <w:spacing w:before="0"/>
        <w:ind w:left="363" w:right="0" w:firstLine="0"/>
        <w:jc w:val="left"/>
        <w:rPr>
          <w:sz w:val="18"/>
        </w:rPr>
      </w:pPr>
      <w:r>
        <w:rPr>
          <w:i/>
          <w:sz w:val="18"/>
        </w:rPr>
        <w:t>Pediatrics</w:t>
      </w:r>
      <w:r>
        <w:rPr>
          <w:sz w:val="18"/>
        </w:rPr>
        <w:t>:</w:t>
      </w:r>
      <w:r>
        <w:rPr>
          <w:spacing w:val="-3"/>
          <w:sz w:val="18"/>
        </w:rPr>
        <w:t> </w:t>
      </w:r>
      <w:r>
        <w:rPr>
          <w:sz w:val="18"/>
        </w:rPr>
        <w:t>Volume</w:t>
      </w:r>
      <w:r>
        <w:rPr>
          <w:spacing w:val="-2"/>
          <w:sz w:val="18"/>
        </w:rPr>
        <w:t> </w:t>
      </w:r>
      <w:r>
        <w:rPr>
          <w:sz w:val="18"/>
        </w:rPr>
        <w:t>148,</w:t>
      </w:r>
      <w:r>
        <w:rPr>
          <w:spacing w:val="-3"/>
          <w:sz w:val="18"/>
        </w:rPr>
        <w:t> </w:t>
      </w:r>
      <w:r>
        <w:rPr>
          <w:sz w:val="18"/>
        </w:rPr>
        <w:t>Issue</w:t>
      </w:r>
      <w:r>
        <w:rPr>
          <w:spacing w:val="-2"/>
          <w:sz w:val="18"/>
        </w:rPr>
        <w:t> </w:t>
      </w:r>
      <w:r>
        <w:rPr>
          <w:sz w:val="18"/>
        </w:rPr>
        <w:t>2.</w:t>
      </w:r>
      <w:r>
        <w:rPr>
          <w:spacing w:val="-4"/>
          <w:sz w:val="18"/>
        </w:rPr>
        <w:t> </w:t>
      </w:r>
      <w:hyperlink r:id="rId429">
        <w:r>
          <w:rPr>
            <w:color w:val="0000FF"/>
            <w:spacing w:val="-2"/>
            <w:sz w:val="18"/>
            <w:u w:val="single" w:color="0000FF"/>
          </w:rPr>
          <w:t>https://pubmed.ncbi.nlm.nih.gov/34226247/</w:t>
        </w:r>
      </w:hyperlink>
      <w:hyperlink r:id="rId429">
        <w:r>
          <w:rPr>
            <w:spacing w:val="-2"/>
            <w:sz w:val="18"/>
            <w:u w:val="none"/>
          </w:rPr>
          <w:t>.</w:t>
        </w:r>
      </w:hyperlink>
    </w:p>
    <w:p>
      <w:pPr>
        <w:spacing w:before="0"/>
        <w:ind w:left="363" w:right="0" w:firstLine="0"/>
        <w:jc w:val="left"/>
        <w:rPr>
          <w:sz w:val="18"/>
        </w:rPr>
      </w:pPr>
      <w:r>
        <w:rPr>
          <w:sz w:val="18"/>
          <w:vertAlign w:val="superscript"/>
        </w:rPr>
        <w:t>47</w:t>
      </w:r>
      <w:r>
        <w:rPr>
          <w:spacing w:val="-15"/>
          <w:sz w:val="18"/>
          <w:vertAlign w:val="baseline"/>
        </w:rPr>
        <w:t> </w:t>
      </w:r>
      <w:r>
        <w:rPr>
          <w:sz w:val="18"/>
          <w:vertAlign w:val="baseline"/>
        </w:rPr>
        <w:t>Thoma,</w:t>
      </w:r>
      <w:r>
        <w:rPr>
          <w:spacing w:val="-5"/>
          <w:sz w:val="18"/>
          <w:vertAlign w:val="baseline"/>
        </w:rPr>
        <w:t> </w:t>
      </w:r>
      <w:r>
        <w:rPr>
          <w:sz w:val="18"/>
          <w:vertAlign w:val="baseline"/>
        </w:rPr>
        <w:t>Brian,</w:t>
      </w:r>
      <w:r>
        <w:rPr>
          <w:spacing w:val="-4"/>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August</w:t>
      </w:r>
      <w:r>
        <w:rPr>
          <w:spacing w:val="-3"/>
          <w:sz w:val="18"/>
          <w:vertAlign w:val="baseline"/>
        </w:rPr>
        <w:t> </w:t>
      </w:r>
      <w:r>
        <w:rPr>
          <w:sz w:val="18"/>
          <w:vertAlign w:val="baseline"/>
        </w:rPr>
        <w:t>2021.</w:t>
      </w:r>
      <w:r>
        <w:rPr>
          <w:spacing w:val="-3"/>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Childhood</w:t>
      </w:r>
      <w:r>
        <w:rPr>
          <w:spacing w:val="-2"/>
          <w:sz w:val="18"/>
          <w:vertAlign w:val="baseline"/>
        </w:rPr>
        <w:t> </w:t>
      </w:r>
      <w:r>
        <w:rPr>
          <w:sz w:val="18"/>
          <w:vertAlign w:val="baseline"/>
        </w:rPr>
        <w:t>Abuse</w:t>
      </w:r>
      <w:r>
        <w:rPr>
          <w:spacing w:val="-2"/>
          <w:sz w:val="18"/>
          <w:vertAlign w:val="baseline"/>
        </w:rPr>
        <w:t> </w:t>
      </w:r>
      <w:r>
        <w:rPr>
          <w:sz w:val="18"/>
          <w:vertAlign w:val="baseline"/>
        </w:rPr>
        <w:t>Between</w:t>
      </w:r>
      <w:r>
        <w:rPr>
          <w:spacing w:val="-2"/>
          <w:sz w:val="18"/>
          <w:vertAlign w:val="baseline"/>
        </w:rPr>
        <w:t> </w:t>
      </w:r>
      <w:r>
        <w:rPr>
          <w:sz w:val="18"/>
          <w:vertAlign w:val="baseline"/>
        </w:rPr>
        <w:t>Transgender</w:t>
      </w:r>
      <w:r>
        <w:rPr>
          <w:spacing w:val="-3"/>
          <w:sz w:val="18"/>
          <w:vertAlign w:val="baseline"/>
        </w:rPr>
        <w:t> </w:t>
      </w:r>
      <w:r>
        <w:rPr>
          <w:sz w:val="18"/>
          <w:vertAlign w:val="baseline"/>
        </w:rPr>
        <w:t>and</w:t>
      </w:r>
      <w:r>
        <w:rPr>
          <w:spacing w:val="-2"/>
          <w:sz w:val="18"/>
          <w:vertAlign w:val="baseline"/>
        </w:rPr>
        <w:t> </w:t>
      </w:r>
      <w:r>
        <w:rPr>
          <w:sz w:val="18"/>
          <w:vertAlign w:val="baseline"/>
        </w:rPr>
        <w:t>Cisgender</w:t>
      </w:r>
      <w:r>
        <w:rPr>
          <w:spacing w:val="-3"/>
          <w:sz w:val="18"/>
          <w:vertAlign w:val="baseline"/>
        </w:rPr>
        <w:t> </w:t>
      </w:r>
      <w:r>
        <w:rPr>
          <w:spacing w:val="-2"/>
          <w:sz w:val="18"/>
          <w:vertAlign w:val="baseline"/>
        </w:rPr>
        <w:t>Adolescents.”</w:t>
      </w:r>
    </w:p>
    <w:p>
      <w:pPr>
        <w:spacing w:before="0"/>
        <w:ind w:left="363" w:right="0" w:firstLine="0"/>
        <w:jc w:val="left"/>
        <w:rPr>
          <w:sz w:val="18"/>
        </w:rPr>
      </w:pPr>
      <w:r>
        <w:rPr>
          <w:i/>
          <w:sz w:val="18"/>
        </w:rPr>
        <w:t>Pediatrics</w:t>
      </w:r>
      <w:r>
        <w:rPr>
          <w:sz w:val="18"/>
        </w:rPr>
        <w:t>:</w:t>
      </w:r>
      <w:r>
        <w:rPr>
          <w:spacing w:val="-3"/>
          <w:sz w:val="18"/>
        </w:rPr>
        <w:t> </w:t>
      </w:r>
      <w:r>
        <w:rPr>
          <w:sz w:val="18"/>
        </w:rPr>
        <w:t>Volume</w:t>
      </w:r>
      <w:r>
        <w:rPr>
          <w:spacing w:val="-2"/>
          <w:sz w:val="18"/>
        </w:rPr>
        <w:t> </w:t>
      </w:r>
      <w:r>
        <w:rPr>
          <w:sz w:val="18"/>
        </w:rPr>
        <w:t>148,</w:t>
      </w:r>
      <w:r>
        <w:rPr>
          <w:spacing w:val="-3"/>
          <w:sz w:val="18"/>
        </w:rPr>
        <w:t> </w:t>
      </w:r>
      <w:r>
        <w:rPr>
          <w:sz w:val="18"/>
        </w:rPr>
        <w:t>Issue</w:t>
      </w:r>
      <w:r>
        <w:rPr>
          <w:spacing w:val="-2"/>
          <w:sz w:val="18"/>
        </w:rPr>
        <w:t> </w:t>
      </w:r>
      <w:r>
        <w:rPr>
          <w:sz w:val="18"/>
        </w:rPr>
        <w:t>2.</w:t>
      </w:r>
      <w:r>
        <w:rPr>
          <w:spacing w:val="-4"/>
          <w:sz w:val="18"/>
        </w:rPr>
        <w:t> </w:t>
      </w:r>
      <w:hyperlink r:id="rId429">
        <w:r>
          <w:rPr>
            <w:color w:val="0000FF"/>
            <w:spacing w:val="-2"/>
            <w:sz w:val="18"/>
            <w:u w:val="single" w:color="0000FF"/>
          </w:rPr>
          <w:t>https://pubmed.ncbi.nlm.nih.gov/34226247/</w:t>
        </w:r>
      </w:hyperlink>
      <w:hyperlink r:id="rId429">
        <w:r>
          <w:rPr>
            <w:spacing w:val="-2"/>
            <w:sz w:val="18"/>
            <w:u w:val="none"/>
          </w:rPr>
          <w:t>.</w:t>
        </w:r>
      </w:hyperlink>
    </w:p>
    <w:p>
      <w:pPr>
        <w:spacing w:before="0"/>
        <w:ind w:left="363" w:right="0" w:firstLine="0"/>
        <w:jc w:val="left"/>
        <w:rPr>
          <w:sz w:val="18"/>
        </w:rPr>
      </w:pPr>
      <w:r>
        <w:rPr>
          <w:sz w:val="18"/>
          <w:vertAlign w:val="superscript"/>
        </w:rPr>
        <w:t>48</w:t>
      </w:r>
      <w:r>
        <w:rPr>
          <w:spacing w:val="-13"/>
          <w:sz w:val="18"/>
          <w:vertAlign w:val="baseline"/>
        </w:rPr>
        <w:t> </w:t>
      </w:r>
      <w:r>
        <w:rPr>
          <w:sz w:val="18"/>
          <w:vertAlign w:val="baseline"/>
        </w:rPr>
        <w:t>2021</w:t>
      </w:r>
      <w:r>
        <w:rPr>
          <w:spacing w:val="-3"/>
          <w:sz w:val="18"/>
          <w:vertAlign w:val="baseline"/>
        </w:rPr>
        <w:t> </w:t>
      </w:r>
      <w:r>
        <w:rPr>
          <w:sz w:val="18"/>
          <w:vertAlign w:val="baseline"/>
        </w:rPr>
        <w:t>MYRBS</w:t>
      </w:r>
      <w:r>
        <w:rPr>
          <w:spacing w:val="-2"/>
          <w:sz w:val="18"/>
          <w:vertAlign w:val="baseline"/>
        </w:rPr>
        <w:t> </w:t>
      </w:r>
      <w:r>
        <w:rPr>
          <w:sz w:val="18"/>
          <w:vertAlign w:val="baseline"/>
        </w:rPr>
        <w:t>Analysis</w:t>
      </w:r>
      <w:r>
        <w:rPr>
          <w:spacing w:val="-1"/>
          <w:sz w:val="18"/>
          <w:vertAlign w:val="baseline"/>
        </w:rPr>
        <w:t> </w:t>
      </w:r>
      <w:r>
        <w:rPr>
          <w:sz w:val="18"/>
          <w:vertAlign w:val="baseline"/>
        </w:rPr>
        <w:t>–</w:t>
      </w:r>
      <w:r>
        <w:rPr>
          <w:spacing w:val="-2"/>
          <w:sz w:val="18"/>
          <w:vertAlign w:val="baseline"/>
        </w:rPr>
        <w:t> </w:t>
      </w:r>
      <w:r>
        <w:rPr>
          <w:sz w:val="18"/>
          <w:vertAlign w:val="baseline"/>
        </w:rPr>
        <w:t>data</w:t>
      </w:r>
      <w:r>
        <w:rPr>
          <w:spacing w:val="-1"/>
          <w:sz w:val="18"/>
          <w:vertAlign w:val="baseline"/>
        </w:rPr>
        <w:t> </w:t>
      </w:r>
      <w:r>
        <w:rPr>
          <w:sz w:val="18"/>
          <w:vertAlign w:val="baseline"/>
        </w:rPr>
        <w:t>on</w:t>
      </w:r>
      <w:r>
        <w:rPr>
          <w:spacing w:val="-2"/>
          <w:sz w:val="18"/>
          <w:vertAlign w:val="baseline"/>
        </w:rPr>
        <w:t> </w:t>
      </w:r>
      <w:r>
        <w:rPr>
          <w:sz w:val="18"/>
          <w:vertAlign w:val="baseline"/>
        </w:rPr>
        <w:t>file</w:t>
      </w:r>
      <w:r>
        <w:rPr>
          <w:spacing w:val="-2"/>
          <w:sz w:val="18"/>
          <w:vertAlign w:val="baseline"/>
        </w:rPr>
        <w:t> </w:t>
      </w:r>
      <w:r>
        <w:rPr>
          <w:sz w:val="18"/>
          <w:vertAlign w:val="baseline"/>
        </w:rPr>
        <w:t>with</w:t>
      </w:r>
      <w:r>
        <w:rPr>
          <w:spacing w:val="-1"/>
          <w:sz w:val="18"/>
          <w:vertAlign w:val="baseline"/>
        </w:rPr>
        <w:t> </w:t>
      </w:r>
      <w:r>
        <w:rPr>
          <w:spacing w:val="-2"/>
          <w:sz w:val="18"/>
          <w:vertAlign w:val="baseline"/>
        </w:rPr>
        <w:t>Commission.</w:t>
      </w:r>
    </w:p>
    <w:p>
      <w:pPr>
        <w:spacing w:before="0"/>
        <w:ind w:left="363" w:right="0" w:hanging="1"/>
        <w:jc w:val="left"/>
        <w:rPr>
          <w:sz w:val="18"/>
        </w:rPr>
      </w:pPr>
      <w:r>
        <w:rPr/>
        <mc:AlternateContent>
          <mc:Choice Requires="wps">
            <w:drawing>
              <wp:anchor distT="0" distB="0" distL="0" distR="0" allowOverlap="1" layoutInCell="1" locked="0" behindDoc="0" simplePos="0" relativeHeight="15790080">
                <wp:simplePos x="0" y="0"/>
                <wp:positionH relativeFrom="page">
                  <wp:posOffset>916686</wp:posOffset>
                </wp:positionH>
                <wp:positionV relativeFrom="paragraph">
                  <wp:posOffset>253854</wp:posOffset>
                </wp:positionV>
                <wp:extent cx="3874135" cy="1524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3874135" cy="15240"/>
                          <a:chExt cx="3874135" cy="15240"/>
                        </a:xfrm>
                      </wpg:grpSpPr>
                      <wps:wsp>
                        <wps:cNvPr id="338" name="Graphic 338"/>
                        <wps:cNvSpPr/>
                        <wps:spPr>
                          <a:xfrm>
                            <a:off x="0" y="7365"/>
                            <a:ext cx="3859529" cy="7620"/>
                          </a:xfrm>
                          <a:custGeom>
                            <a:avLst/>
                            <a:gdLst/>
                            <a:ahLst/>
                            <a:cxnLst/>
                            <a:rect l="l" t="t" r="r" b="b"/>
                            <a:pathLst>
                              <a:path w="3859529" h="7620">
                                <a:moveTo>
                                  <a:pt x="3859529" y="0"/>
                                </a:moveTo>
                                <a:lnTo>
                                  <a:pt x="0" y="0"/>
                                </a:lnTo>
                                <a:lnTo>
                                  <a:pt x="0" y="7620"/>
                                </a:lnTo>
                                <a:lnTo>
                                  <a:pt x="3859529" y="7620"/>
                                </a:lnTo>
                                <a:lnTo>
                                  <a:pt x="3859529" y="0"/>
                                </a:lnTo>
                                <a:close/>
                              </a:path>
                            </a:pathLst>
                          </a:custGeom>
                          <a:solidFill>
                            <a:srgbClr val="0000FF"/>
                          </a:solidFill>
                        </wps:spPr>
                        <wps:bodyPr wrap="square" lIns="0" tIns="0" rIns="0" bIns="0" rtlCol="0">
                          <a:prstTxWarp prst="textNoShape">
                            <a:avLst/>
                          </a:prstTxWarp>
                          <a:noAutofit/>
                        </wps:bodyPr>
                      </wps:wsp>
                      <wps:wsp>
                        <wps:cNvPr id="339" name="Graphic 339"/>
                        <wps:cNvSpPr/>
                        <wps:spPr>
                          <a:xfrm>
                            <a:off x="3845814" y="0"/>
                            <a:ext cx="28575" cy="12700"/>
                          </a:xfrm>
                          <a:custGeom>
                            <a:avLst/>
                            <a:gdLst/>
                            <a:ahLst/>
                            <a:cxnLst/>
                            <a:rect l="l" t="t" r="r" b="b"/>
                            <a:pathLst>
                              <a:path w="28575" h="12700">
                                <a:moveTo>
                                  <a:pt x="28321" y="0"/>
                                </a:moveTo>
                                <a:lnTo>
                                  <a:pt x="0" y="0"/>
                                </a:lnTo>
                                <a:lnTo>
                                  <a:pt x="0" y="12700"/>
                                </a:lnTo>
                                <a:lnTo>
                                  <a:pt x="28321" y="12700"/>
                                </a:lnTo>
                                <a:lnTo>
                                  <a:pt x="28321" y="0"/>
                                </a:lnTo>
                                <a:close/>
                              </a:path>
                            </a:pathLst>
                          </a:custGeom>
                          <a:solidFill>
                            <a:srgbClr val="1153CC"/>
                          </a:solidFill>
                        </wps:spPr>
                        <wps:bodyPr wrap="square" lIns="0" tIns="0" rIns="0" bIns="0" rtlCol="0">
                          <a:prstTxWarp prst="textNoShape">
                            <a:avLst/>
                          </a:prstTxWarp>
                          <a:noAutofit/>
                        </wps:bodyPr>
                      </wps:wsp>
                    </wpg:wgp>
                  </a:graphicData>
                </a:graphic>
              </wp:anchor>
            </w:drawing>
          </mc:Choice>
          <mc:Fallback>
            <w:pict>
              <v:group style="position:absolute;margin-left:72.180pt;margin-top:19.988514pt;width:305.05pt;height:1.2pt;mso-position-horizontal-relative:page;mso-position-vertical-relative:paragraph;z-index:15790080" id="docshapegroup266" coordorigin="1444,400" coordsize="6101,24">
                <v:rect style="position:absolute;left:1443;top:411;width:6078;height:12" id="docshape267" filled="true" fillcolor="#0000ff" stroked="false">
                  <v:fill type="solid"/>
                </v:rect>
                <v:rect style="position:absolute;left:7500;top:399;width:45;height:20" id="docshape268" filled="true" fillcolor="#1153cc" stroked="false">
                  <v:fill type="solid"/>
                </v:rect>
                <w10:wrap type="none"/>
              </v:group>
            </w:pict>
          </mc:Fallback>
        </mc:AlternateContent>
      </w:r>
      <w:r>
        <w:rPr>
          <w:sz w:val="18"/>
          <w:vertAlign w:val="superscript"/>
        </w:rPr>
        <w:t>49</w:t>
      </w:r>
      <w:r>
        <w:rPr>
          <w:spacing w:val="-13"/>
          <w:sz w:val="18"/>
          <w:vertAlign w:val="baseline"/>
        </w:rPr>
        <w:t> </w:t>
      </w:r>
      <w:r>
        <w:rPr>
          <w:sz w:val="18"/>
          <w:vertAlign w:val="baseline"/>
        </w:rPr>
        <w:t>Office</w:t>
      </w:r>
      <w:r>
        <w:rPr>
          <w:spacing w:val="-4"/>
          <w:sz w:val="18"/>
          <w:vertAlign w:val="baseline"/>
        </w:rPr>
        <w:t> </w:t>
      </w:r>
      <w:r>
        <w:rPr>
          <w:sz w:val="18"/>
          <w:vertAlign w:val="baseline"/>
        </w:rPr>
        <w:t>for</w:t>
      </w:r>
      <w:r>
        <w:rPr>
          <w:spacing w:val="-4"/>
          <w:sz w:val="18"/>
          <w:vertAlign w:val="baseline"/>
        </w:rPr>
        <w:t> </w:t>
      </w:r>
      <w:r>
        <w:rPr>
          <w:sz w:val="18"/>
          <w:vertAlign w:val="baseline"/>
        </w:rPr>
        <w:t>Victims</w:t>
      </w:r>
      <w:r>
        <w:rPr>
          <w:spacing w:val="-3"/>
          <w:sz w:val="18"/>
          <w:vertAlign w:val="baseline"/>
        </w:rPr>
        <w:t> </w:t>
      </w:r>
      <w:r>
        <w:rPr>
          <w:sz w:val="18"/>
          <w:vertAlign w:val="baseline"/>
        </w:rPr>
        <w:t>of</w:t>
      </w:r>
      <w:r>
        <w:rPr>
          <w:spacing w:val="-3"/>
          <w:sz w:val="18"/>
          <w:vertAlign w:val="baseline"/>
        </w:rPr>
        <w:t> </w:t>
      </w:r>
      <w:r>
        <w:rPr>
          <w:sz w:val="18"/>
          <w:vertAlign w:val="baseline"/>
        </w:rPr>
        <w:t>Crime.</w:t>
      </w:r>
      <w:r>
        <w:rPr>
          <w:spacing w:val="-3"/>
          <w:sz w:val="18"/>
          <w:vertAlign w:val="baseline"/>
        </w:rPr>
        <w:t> </w:t>
      </w:r>
      <w:r>
        <w:rPr>
          <w:sz w:val="18"/>
          <w:vertAlign w:val="baseline"/>
        </w:rPr>
        <w:t>June</w:t>
      </w:r>
      <w:r>
        <w:rPr>
          <w:spacing w:val="-3"/>
          <w:sz w:val="18"/>
          <w:vertAlign w:val="baseline"/>
        </w:rPr>
        <w:t> </w:t>
      </w:r>
      <w:r>
        <w:rPr>
          <w:sz w:val="18"/>
          <w:vertAlign w:val="baseline"/>
        </w:rPr>
        <w:t>2014.</w:t>
      </w:r>
      <w:r>
        <w:rPr>
          <w:spacing w:val="-3"/>
          <w:sz w:val="18"/>
          <w:vertAlign w:val="baseline"/>
        </w:rPr>
        <w:t> </w:t>
      </w:r>
      <w:r>
        <w:rPr>
          <w:sz w:val="18"/>
          <w:vertAlign w:val="baseline"/>
        </w:rPr>
        <w:t>“Sexual</w:t>
      </w:r>
      <w:r>
        <w:rPr>
          <w:spacing w:val="-4"/>
          <w:sz w:val="18"/>
          <w:vertAlign w:val="baseline"/>
        </w:rPr>
        <w:t> </w:t>
      </w:r>
      <w:r>
        <w:rPr>
          <w:sz w:val="18"/>
          <w:vertAlign w:val="baseline"/>
        </w:rPr>
        <w:t>Assault</w:t>
      </w:r>
      <w:r>
        <w:rPr>
          <w:spacing w:val="-4"/>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Transgender</w:t>
      </w:r>
      <w:r>
        <w:rPr>
          <w:spacing w:val="-4"/>
          <w:sz w:val="18"/>
          <w:vertAlign w:val="baseline"/>
        </w:rPr>
        <w:t> </w:t>
      </w:r>
      <w:r>
        <w:rPr>
          <w:sz w:val="18"/>
          <w:vertAlign w:val="baseline"/>
        </w:rPr>
        <w:t>Community:</w:t>
      </w:r>
      <w:r>
        <w:rPr>
          <w:spacing w:val="-3"/>
          <w:sz w:val="18"/>
          <w:vertAlign w:val="baseline"/>
        </w:rPr>
        <w:t> </w:t>
      </w:r>
      <w:r>
        <w:rPr>
          <w:sz w:val="18"/>
          <w:vertAlign w:val="baseline"/>
        </w:rPr>
        <w:t>The</w:t>
      </w:r>
      <w:r>
        <w:rPr>
          <w:spacing w:val="-3"/>
          <w:sz w:val="18"/>
          <w:vertAlign w:val="baseline"/>
        </w:rPr>
        <w:t> </w:t>
      </w:r>
      <w:r>
        <w:rPr>
          <w:sz w:val="18"/>
          <w:vertAlign w:val="baseline"/>
        </w:rPr>
        <w:t>Numbers.” </w:t>
      </w:r>
      <w:hyperlink r:id="rId430">
        <w:r>
          <w:rPr>
            <w:color w:val="0000FF"/>
            <w:spacing w:val="-2"/>
            <w:sz w:val="18"/>
            <w:vertAlign w:val="baseline"/>
          </w:rPr>
          <w:t>https://ovc.ojp.gov/sites/g/files/xyckuh226/files/pubs/forge/sexual_numbers.htm</w:t>
        </w:r>
      </w:hyperlink>
      <w:hyperlink r:id="rId430">
        <w:r>
          <w:rPr>
            <w:color w:val="0000FF"/>
            <w:spacing w:val="-2"/>
            <w:sz w:val="18"/>
            <w:vertAlign w:val="baseline"/>
          </w:rPr>
          <w:t>l</w:t>
        </w:r>
        <w:r>
          <w:rPr>
            <w:color w:val="1153CC"/>
            <w:spacing w:val="-2"/>
            <w:sz w:val="18"/>
            <w:vertAlign w:val="baseline"/>
          </w:rPr>
          <w:t>.</w:t>
        </w:r>
      </w:hyperlink>
    </w:p>
    <w:p>
      <w:pPr>
        <w:spacing w:before="0"/>
        <w:ind w:left="363" w:right="77" w:hanging="1"/>
        <w:jc w:val="left"/>
        <w:rPr>
          <w:sz w:val="18"/>
        </w:rPr>
      </w:pPr>
      <w:r>
        <w:rPr/>
        <mc:AlternateContent>
          <mc:Choice Requires="wps">
            <w:drawing>
              <wp:anchor distT="0" distB="0" distL="0" distR="0" allowOverlap="1" layoutInCell="1" locked="0" behindDoc="0" simplePos="0" relativeHeight="15790592">
                <wp:simplePos x="0" y="0"/>
                <wp:positionH relativeFrom="page">
                  <wp:posOffset>1555241</wp:posOffset>
                </wp:positionH>
                <wp:positionV relativeFrom="paragraph">
                  <wp:posOffset>253858</wp:posOffset>
                </wp:positionV>
                <wp:extent cx="3807460" cy="1524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3807460" cy="15240"/>
                          <a:chExt cx="3807460" cy="15240"/>
                        </a:xfrm>
                      </wpg:grpSpPr>
                      <wps:wsp>
                        <wps:cNvPr id="341" name="Graphic 341"/>
                        <wps:cNvSpPr/>
                        <wps:spPr>
                          <a:xfrm>
                            <a:off x="0" y="7200"/>
                            <a:ext cx="3794125" cy="7620"/>
                          </a:xfrm>
                          <a:custGeom>
                            <a:avLst/>
                            <a:gdLst/>
                            <a:ahLst/>
                            <a:cxnLst/>
                            <a:rect l="l" t="t" r="r" b="b"/>
                            <a:pathLst>
                              <a:path w="3794125" h="7620">
                                <a:moveTo>
                                  <a:pt x="3793998" y="0"/>
                                </a:moveTo>
                                <a:lnTo>
                                  <a:pt x="0" y="0"/>
                                </a:lnTo>
                                <a:lnTo>
                                  <a:pt x="0" y="7620"/>
                                </a:lnTo>
                                <a:lnTo>
                                  <a:pt x="3793998" y="7620"/>
                                </a:lnTo>
                                <a:lnTo>
                                  <a:pt x="3793998" y="0"/>
                                </a:lnTo>
                                <a:close/>
                              </a:path>
                            </a:pathLst>
                          </a:custGeom>
                          <a:solidFill>
                            <a:srgbClr val="0000FF"/>
                          </a:solidFill>
                        </wps:spPr>
                        <wps:bodyPr wrap="square" lIns="0" tIns="0" rIns="0" bIns="0" rtlCol="0">
                          <a:prstTxWarp prst="textNoShape">
                            <a:avLst/>
                          </a:prstTxWarp>
                          <a:noAutofit/>
                        </wps:bodyPr>
                      </wps:wsp>
                      <wps:wsp>
                        <wps:cNvPr id="342" name="Graphic 342"/>
                        <wps:cNvSpPr/>
                        <wps:spPr>
                          <a:xfrm>
                            <a:off x="3778758" y="0"/>
                            <a:ext cx="28575" cy="12700"/>
                          </a:xfrm>
                          <a:custGeom>
                            <a:avLst/>
                            <a:gdLst/>
                            <a:ahLst/>
                            <a:cxnLst/>
                            <a:rect l="l" t="t" r="r" b="b"/>
                            <a:pathLst>
                              <a:path w="28575" h="12700">
                                <a:moveTo>
                                  <a:pt x="28333" y="0"/>
                                </a:moveTo>
                                <a:lnTo>
                                  <a:pt x="0" y="0"/>
                                </a:lnTo>
                                <a:lnTo>
                                  <a:pt x="0" y="12687"/>
                                </a:lnTo>
                                <a:lnTo>
                                  <a:pt x="28333" y="12687"/>
                                </a:lnTo>
                                <a:lnTo>
                                  <a:pt x="28333" y="0"/>
                                </a:lnTo>
                                <a:close/>
                              </a:path>
                            </a:pathLst>
                          </a:custGeom>
                          <a:solidFill>
                            <a:srgbClr val="1153CC"/>
                          </a:solidFill>
                        </wps:spPr>
                        <wps:bodyPr wrap="square" lIns="0" tIns="0" rIns="0" bIns="0" rtlCol="0">
                          <a:prstTxWarp prst="textNoShape">
                            <a:avLst/>
                          </a:prstTxWarp>
                          <a:noAutofit/>
                        </wps:bodyPr>
                      </wps:wsp>
                    </wpg:wgp>
                  </a:graphicData>
                </a:graphic>
              </wp:anchor>
            </w:drawing>
          </mc:Choice>
          <mc:Fallback>
            <w:pict>
              <v:group style="position:absolute;margin-left:122.459999pt;margin-top:19.988857pt;width:299.8pt;height:1.2pt;mso-position-horizontal-relative:page;mso-position-vertical-relative:paragraph;z-index:15790592" id="docshapegroup269" coordorigin="2449,400" coordsize="5996,24">
                <v:rect style="position:absolute;left:2449;top:411;width:5975;height:12" id="docshape270" filled="true" fillcolor="#0000ff" stroked="false">
                  <v:fill type="solid"/>
                </v:rect>
                <v:rect style="position:absolute;left:8400;top:399;width:45;height:20" id="docshape271" filled="true" fillcolor="#1153cc" stroked="false">
                  <v:fill type="solid"/>
                </v:rect>
                <w10:wrap type="none"/>
              </v:group>
            </w:pict>
          </mc:Fallback>
        </mc:AlternateContent>
      </w:r>
      <w:r>
        <w:rPr>
          <w:sz w:val="18"/>
          <w:vertAlign w:val="superscript"/>
        </w:rPr>
        <w:t>50</w:t>
      </w:r>
      <w:r>
        <w:rPr>
          <w:spacing w:val="-13"/>
          <w:sz w:val="18"/>
          <w:vertAlign w:val="baseline"/>
        </w:rPr>
        <w:t> </w:t>
      </w:r>
      <w:r>
        <w:rPr>
          <w:sz w:val="18"/>
          <w:vertAlign w:val="baseline"/>
        </w:rPr>
        <w:t>National</w:t>
      </w:r>
      <w:r>
        <w:rPr>
          <w:spacing w:val="-5"/>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Injury</w:t>
      </w:r>
      <w:r>
        <w:rPr>
          <w:spacing w:val="-2"/>
          <w:sz w:val="18"/>
          <w:vertAlign w:val="baseline"/>
        </w:rPr>
        <w:t> </w:t>
      </w:r>
      <w:r>
        <w:rPr>
          <w:sz w:val="18"/>
          <w:vertAlign w:val="baseline"/>
        </w:rPr>
        <w:t>Prevention</w:t>
      </w:r>
      <w:r>
        <w:rPr>
          <w:spacing w:val="-2"/>
          <w:sz w:val="18"/>
          <w:vertAlign w:val="baseline"/>
        </w:rPr>
        <w:t> </w:t>
      </w:r>
      <w:r>
        <w:rPr>
          <w:sz w:val="18"/>
          <w:vertAlign w:val="baseline"/>
        </w:rPr>
        <w:t>and</w:t>
      </w:r>
      <w:r>
        <w:rPr>
          <w:spacing w:val="-2"/>
          <w:sz w:val="18"/>
          <w:vertAlign w:val="baseline"/>
        </w:rPr>
        <w:t> </w:t>
      </w:r>
      <w:r>
        <w:rPr>
          <w:sz w:val="18"/>
          <w:vertAlign w:val="baseline"/>
        </w:rPr>
        <w:t>Control.</w:t>
      </w:r>
      <w:r>
        <w:rPr>
          <w:spacing w:val="-2"/>
          <w:sz w:val="18"/>
          <w:vertAlign w:val="baseline"/>
        </w:rPr>
        <w:t> </w:t>
      </w:r>
      <w:r>
        <w:rPr>
          <w:sz w:val="18"/>
          <w:vertAlign w:val="baseline"/>
        </w:rPr>
        <w:t>“NISVS:</w:t>
      </w:r>
      <w:r>
        <w:rPr>
          <w:spacing w:val="-2"/>
          <w:sz w:val="18"/>
          <w:vertAlign w:val="baseline"/>
        </w:rPr>
        <w:t> </w:t>
      </w:r>
      <w:r>
        <w:rPr>
          <w:sz w:val="18"/>
          <w:vertAlign w:val="baseline"/>
        </w:rPr>
        <w:t>An</w:t>
      </w:r>
      <w:r>
        <w:rPr>
          <w:spacing w:val="-2"/>
          <w:sz w:val="18"/>
          <w:vertAlign w:val="baseline"/>
        </w:rPr>
        <w:t> </w:t>
      </w:r>
      <w:r>
        <w:rPr>
          <w:sz w:val="18"/>
          <w:vertAlign w:val="baseline"/>
        </w:rPr>
        <w:t>Overview</w:t>
      </w:r>
      <w:r>
        <w:rPr>
          <w:spacing w:val="-3"/>
          <w:sz w:val="18"/>
          <w:vertAlign w:val="baseline"/>
        </w:rPr>
        <w:t> </w:t>
      </w:r>
      <w:r>
        <w:rPr>
          <w:sz w:val="18"/>
          <w:vertAlign w:val="baseline"/>
        </w:rPr>
        <w:t>of</w:t>
      </w:r>
      <w:r>
        <w:rPr>
          <w:spacing w:val="-2"/>
          <w:sz w:val="18"/>
          <w:vertAlign w:val="baseline"/>
        </w:rPr>
        <w:t> </w:t>
      </w:r>
      <w:r>
        <w:rPr>
          <w:sz w:val="18"/>
          <w:vertAlign w:val="baseline"/>
        </w:rPr>
        <w:t>2010</w:t>
      </w:r>
      <w:r>
        <w:rPr>
          <w:spacing w:val="-2"/>
          <w:sz w:val="18"/>
          <w:vertAlign w:val="baseline"/>
        </w:rPr>
        <w:t> </w:t>
      </w:r>
      <w:r>
        <w:rPr>
          <w:sz w:val="18"/>
          <w:vertAlign w:val="baseline"/>
        </w:rPr>
        <w:t>Findings</w:t>
      </w:r>
      <w:r>
        <w:rPr>
          <w:spacing w:val="-2"/>
          <w:sz w:val="18"/>
          <w:vertAlign w:val="baseline"/>
        </w:rPr>
        <w:t> </w:t>
      </w:r>
      <w:r>
        <w:rPr>
          <w:sz w:val="18"/>
          <w:vertAlign w:val="baseline"/>
        </w:rPr>
        <w:t>on</w:t>
      </w:r>
      <w:r>
        <w:rPr>
          <w:spacing w:val="-2"/>
          <w:sz w:val="18"/>
          <w:vertAlign w:val="baseline"/>
        </w:rPr>
        <w:t> </w:t>
      </w:r>
      <w:r>
        <w:rPr>
          <w:sz w:val="18"/>
          <w:vertAlign w:val="baseline"/>
        </w:rPr>
        <w:t>Victimization</w:t>
      </w:r>
      <w:r>
        <w:rPr>
          <w:spacing w:val="-2"/>
          <w:sz w:val="18"/>
          <w:vertAlign w:val="baseline"/>
        </w:rPr>
        <w:t> </w:t>
      </w:r>
      <w:r>
        <w:rPr>
          <w:sz w:val="18"/>
          <w:vertAlign w:val="baseline"/>
        </w:rPr>
        <w:t>by</w:t>
      </w:r>
      <w:r>
        <w:rPr>
          <w:spacing w:val="-2"/>
          <w:sz w:val="18"/>
          <w:vertAlign w:val="baseline"/>
        </w:rPr>
        <w:t> </w:t>
      </w:r>
      <w:r>
        <w:rPr>
          <w:sz w:val="18"/>
          <w:vertAlign w:val="baseline"/>
        </w:rPr>
        <w:t>Sexual Orientation.” </w:t>
      </w:r>
      <w:hyperlink r:id="rId431">
        <w:r>
          <w:rPr>
            <w:color w:val="0000FF"/>
            <w:sz w:val="18"/>
            <w:vertAlign w:val="baseline"/>
          </w:rPr>
          <w:t>https://www.cdc.gov/violenceprevention/pdf/cdc_nisvs_victimization_final-a.pd</w:t>
        </w:r>
      </w:hyperlink>
      <w:hyperlink r:id="rId431">
        <w:r>
          <w:rPr>
            <w:color w:val="0000FF"/>
            <w:sz w:val="18"/>
            <w:vertAlign w:val="baseline"/>
          </w:rPr>
          <w:t>f</w:t>
        </w:r>
        <w:r>
          <w:rPr>
            <w:color w:val="1153CC"/>
            <w:sz w:val="18"/>
            <w:vertAlign w:val="baseline"/>
          </w:rPr>
          <w:t>.</w:t>
        </w:r>
      </w:hyperlink>
    </w:p>
    <w:p>
      <w:pPr>
        <w:spacing w:before="0"/>
        <w:ind w:left="363" w:right="0" w:firstLine="0"/>
        <w:jc w:val="left"/>
        <w:rPr>
          <w:sz w:val="18"/>
        </w:rPr>
      </w:pPr>
      <w:r>
        <w:rPr>
          <w:sz w:val="18"/>
          <w:vertAlign w:val="superscript"/>
        </w:rPr>
        <w:t>51</w:t>
      </w:r>
      <w:r>
        <w:rPr>
          <w:spacing w:val="-13"/>
          <w:sz w:val="18"/>
          <w:vertAlign w:val="baseline"/>
        </w:rPr>
        <w:t> </w:t>
      </w:r>
      <w:r>
        <w:rPr>
          <w:sz w:val="18"/>
          <w:vertAlign w:val="baseline"/>
        </w:rPr>
        <w:t>Bauer,</w:t>
      </w:r>
      <w:r>
        <w:rPr>
          <w:spacing w:val="-5"/>
          <w:sz w:val="18"/>
          <w:vertAlign w:val="baseline"/>
        </w:rPr>
        <w:t> </w:t>
      </w:r>
      <w:r>
        <w:rPr>
          <w:sz w:val="18"/>
          <w:vertAlign w:val="baseline"/>
        </w:rPr>
        <w:t>Elizabeth</w:t>
      </w:r>
      <w:r>
        <w:rPr>
          <w:spacing w:val="-2"/>
          <w:sz w:val="18"/>
          <w:vertAlign w:val="baseline"/>
        </w:rPr>
        <w:t> </w:t>
      </w:r>
      <w:r>
        <w:rPr>
          <w:sz w:val="18"/>
          <w:vertAlign w:val="baseline"/>
        </w:rPr>
        <w:t>Edmondson,</w:t>
      </w:r>
      <w:r>
        <w:rPr>
          <w:spacing w:val="-4"/>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“College-Aged</w:t>
      </w:r>
      <w:r>
        <w:rPr>
          <w:spacing w:val="-2"/>
          <w:sz w:val="18"/>
          <w:vertAlign w:val="baseline"/>
        </w:rPr>
        <w:t> </w:t>
      </w:r>
      <w:r>
        <w:rPr>
          <w:sz w:val="18"/>
          <w:vertAlign w:val="baseline"/>
        </w:rPr>
        <w:t>but</w:t>
      </w:r>
      <w:r>
        <w:rPr>
          <w:spacing w:val="-3"/>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Streets:</w:t>
      </w:r>
      <w:r>
        <w:rPr>
          <w:spacing w:val="-2"/>
          <w:sz w:val="18"/>
          <w:vertAlign w:val="baseline"/>
        </w:rPr>
        <w:t> </w:t>
      </w:r>
      <w:r>
        <w:rPr>
          <w:sz w:val="18"/>
          <w:vertAlign w:val="baseline"/>
        </w:rPr>
        <w:t>Young</w:t>
      </w:r>
      <w:r>
        <w:rPr>
          <w:spacing w:val="-2"/>
          <w:sz w:val="18"/>
          <w:vertAlign w:val="baseline"/>
        </w:rPr>
        <w:t> </w:t>
      </w:r>
      <w:r>
        <w:rPr>
          <w:sz w:val="18"/>
          <w:vertAlign w:val="baseline"/>
        </w:rPr>
        <w:t>Adults</w:t>
      </w:r>
      <w:r>
        <w:rPr>
          <w:spacing w:val="-2"/>
          <w:sz w:val="18"/>
          <w:vertAlign w:val="baseline"/>
        </w:rPr>
        <w:t> </w:t>
      </w:r>
      <w:r>
        <w:rPr>
          <w:sz w:val="18"/>
          <w:vertAlign w:val="baseline"/>
        </w:rPr>
        <w:t>Who</w:t>
      </w:r>
      <w:r>
        <w:rPr>
          <w:spacing w:val="-2"/>
          <w:sz w:val="18"/>
          <w:vertAlign w:val="baseline"/>
        </w:rPr>
        <w:t> </w:t>
      </w:r>
      <w:r>
        <w:rPr>
          <w:sz w:val="18"/>
          <w:vertAlign w:val="baseline"/>
        </w:rPr>
        <w:t>Experience</w:t>
      </w:r>
      <w:r>
        <w:rPr>
          <w:spacing w:val="-2"/>
          <w:sz w:val="18"/>
          <w:vertAlign w:val="baseline"/>
        </w:rPr>
        <w:t> </w:t>
      </w:r>
      <w:r>
        <w:rPr>
          <w:sz w:val="18"/>
          <w:vertAlign w:val="baseline"/>
        </w:rPr>
        <w:t>Homelessness</w:t>
      </w:r>
      <w:r>
        <w:rPr>
          <w:spacing w:val="-2"/>
          <w:sz w:val="18"/>
          <w:vertAlign w:val="baseline"/>
        </w:rPr>
        <w:t> </w:t>
      </w:r>
      <w:r>
        <w:rPr>
          <w:sz w:val="18"/>
          <w:vertAlign w:val="baseline"/>
        </w:rPr>
        <w:t>and</w:t>
      </w:r>
      <w:r>
        <w:rPr>
          <w:spacing w:val="-2"/>
          <w:sz w:val="18"/>
          <w:vertAlign w:val="baseline"/>
        </w:rPr>
        <w:t> </w:t>
      </w:r>
      <w:r>
        <w:rPr>
          <w:sz w:val="18"/>
          <w:vertAlign w:val="baseline"/>
        </w:rPr>
        <w:t>Sexual Violence,” page 4. National Sexual Assault Coalition Resource Sharing Project. </w:t>
      </w:r>
      <w:hyperlink r:id="rId422">
        <w:r>
          <w:rPr>
            <w:color w:val="0000FF"/>
            <w:sz w:val="18"/>
            <w:u w:val="single" w:color="0000FF"/>
            <w:vertAlign w:val="baseline"/>
          </w:rPr>
          <w:t>https://evawintl.org/wp-</w:t>
        </w:r>
      </w:hyperlink>
      <w:r>
        <w:rPr>
          <w:color w:val="0000FF"/>
          <w:sz w:val="18"/>
          <w:u w:val="none"/>
          <w:vertAlign w:val="baseline"/>
        </w:rPr>
        <w:t> </w:t>
      </w:r>
      <w:hyperlink r:id="rId422">
        <w:r>
          <w:rPr>
            <w:color w:val="0000FF"/>
            <w:spacing w:val="-2"/>
            <w:sz w:val="18"/>
            <w:u w:val="single" w:color="0000FF"/>
            <w:vertAlign w:val="baseline"/>
          </w:rPr>
          <w:t>content/uploads/YoungAdultsWhoExperienceHomelessnessandSexualViolenceMay2017.pd</w:t>
        </w:r>
      </w:hyperlink>
      <w:hyperlink r:id="rId422">
        <w:r>
          <w:rPr>
            <w:color w:val="0000FF"/>
            <w:spacing w:val="-2"/>
            <w:sz w:val="18"/>
            <w:u w:val="single" w:color="0000FF"/>
            <w:vertAlign w:val="baseline"/>
          </w:rPr>
          <w:t>f</w:t>
        </w:r>
        <w:r>
          <w:rPr>
            <w:spacing w:val="-2"/>
            <w:sz w:val="18"/>
            <w:u w:val="none"/>
            <w:vertAlign w:val="baseline"/>
          </w:rPr>
          <w:t>.</w:t>
        </w:r>
      </w:hyperlink>
    </w:p>
    <w:p>
      <w:pPr>
        <w:spacing w:before="0"/>
        <w:ind w:left="363" w:right="235" w:firstLine="0"/>
        <w:jc w:val="left"/>
        <w:rPr>
          <w:sz w:val="18"/>
        </w:rPr>
      </w:pPr>
      <w:r>
        <w:rPr/>
        <mc:AlternateContent>
          <mc:Choice Requires="wps">
            <w:drawing>
              <wp:anchor distT="0" distB="0" distL="0" distR="0" allowOverlap="1" layoutInCell="1" locked="0" behindDoc="0" simplePos="0" relativeHeight="15792128">
                <wp:simplePos x="0" y="0"/>
                <wp:positionH relativeFrom="page">
                  <wp:posOffset>6756400</wp:posOffset>
                </wp:positionH>
                <wp:positionV relativeFrom="paragraph">
                  <wp:posOffset>241163</wp:posOffset>
                </wp:positionV>
                <wp:extent cx="28575" cy="12700"/>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28575" cy="12700"/>
                        </a:xfrm>
                        <a:custGeom>
                          <a:avLst/>
                          <a:gdLst/>
                          <a:ahLst/>
                          <a:cxnLst/>
                          <a:rect l="l" t="t" r="r" b="b"/>
                          <a:pathLst>
                            <a:path w="28575" h="12700">
                              <a:moveTo>
                                <a:pt x="28321" y="0"/>
                              </a:moveTo>
                              <a:lnTo>
                                <a:pt x="0" y="0"/>
                              </a:lnTo>
                              <a:lnTo>
                                <a:pt x="0" y="12687"/>
                              </a:lnTo>
                              <a:lnTo>
                                <a:pt x="28321" y="12687"/>
                              </a:lnTo>
                              <a:lnTo>
                                <a:pt x="28321" y="0"/>
                              </a:lnTo>
                              <a:close/>
                            </a:path>
                          </a:pathLst>
                        </a:custGeom>
                        <a:solidFill>
                          <a:srgbClr val="1153CC"/>
                        </a:solidFill>
                      </wps:spPr>
                      <wps:bodyPr wrap="square" lIns="0" tIns="0" rIns="0" bIns="0" rtlCol="0">
                        <a:prstTxWarp prst="textNoShape">
                          <a:avLst/>
                        </a:prstTxWarp>
                        <a:noAutofit/>
                      </wps:bodyPr>
                    </wps:wsp>
                  </a:graphicData>
                </a:graphic>
              </wp:anchor>
            </w:drawing>
          </mc:Choice>
          <mc:Fallback>
            <w:pict>
              <v:rect style="position:absolute;margin-left:532pt;margin-top:18.989216pt;width:2.23pt;height:.999pt;mso-position-horizontal-relative:page;mso-position-vertical-relative:paragraph;z-index:15792128" id="docshape272" filled="true" fillcolor="#1153cc" stroked="false">
                <v:fill type="solid"/>
                <w10:wrap type="none"/>
              </v:rect>
            </w:pict>
          </mc:Fallback>
        </mc:AlternateContent>
      </w:r>
      <w:r>
        <w:rPr/>
        <mc:AlternateContent>
          <mc:Choice Requires="wps">
            <w:drawing>
              <wp:anchor distT="0" distB="0" distL="0" distR="0" allowOverlap="1" layoutInCell="1" locked="0" behindDoc="0" simplePos="0" relativeHeight="15792640">
                <wp:simplePos x="0" y="0"/>
                <wp:positionH relativeFrom="page">
                  <wp:posOffset>3594100</wp:posOffset>
                </wp:positionH>
                <wp:positionV relativeFrom="paragraph">
                  <wp:posOffset>520563</wp:posOffset>
                </wp:positionV>
                <wp:extent cx="28575" cy="1270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28575" cy="12700"/>
                        </a:xfrm>
                        <a:custGeom>
                          <a:avLst/>
                          <a:gdLst/>
                          <a:ahLst/>
                          <a:cxnLst/>
                          <a:rect l="l" t="t" r="r" b="b"/>
                          <a:pathLst>
                            <a:path w="28575" h="12700">
                              <a:moveTo>
                                <a:pt x="28333" y="0"/>
                              </a:moveTo>
                              <a:lnTo>
                                <a:pt x="0" y="0"/>
                              </a:lnTo>
                              <a:lnTo>
                                <a:pt x="0" y="12700"/>
                              </a:lnTo>
                              <a:lnTo>
                                <a:pt x="28333" y="12700"/>
                              </a:lnTo>
                              <a:lnTo>
                                <a:pt x="28333" y="0"/>
                              </a:lnTo>
                              <a:close/>
                            </a:path>
                          </a:pathLst>
                        </a:custGeom>
                        <a:solidFill>
                          <a:srgbClr val="1153CC"/>
                        </a:solidFill>
                      </wps:spPr>
                      <wps:bodyPr wrap="square" lIns="0" tIns="0" rIns="0" bIns="0" rtlCol="0">
                        <a:prstTxWarp prst="textNoShape">
                          <a:avLst/>
                        </a:prstTxWarp>
                        <a:noAutofit/>
                      </wps:bodyPr>
                    </wps:wsp>
                  </a:graphicData>
                </a:graphic>
              </wp:anchor>
            </w:drawing>
          </mc:Choice>
          <mc:Fallback>
            <w:pict>
              <v:rect style="position:absolute;margin-left:283pt;margin-top:40.989216pt;width:2.231pt;height:1pt;mso-position-horizontal-relative:page;mso-position-vertical-relative:paragraph;z-index:15792640" id="docshape273" filled="true" fillcolor="#1153cc" stroked="false">
                <v:fill type="solid"/>
                <w10:wrap type="none"/>
              </v:rect>
            </w:pict>
          </mc:Fallback>
        </mc:AlternateContent>
      </w:r>
      <w:r>
        <w:rPr>
          <w:sz w:val="18"/>
          <w:vertAlign w:val="superscript"/>
        </w:rPr>
        <w:t>52</w:t>
      </w:r>
      <w:r>
        <w:rPr>
          <w:spacing w:val="-8"/>
          <w:sz w:val="18"/>
          <w:vertAlign w:val="baseline"/>
        </w:rPr>
        <w:t> </w:t>
      </w:r>
      <w:r>
        <w:rPr>
          <w:sz w:val="18"/>
          <w:vertAlign w:val="baseline"/>
        </w:rPr>
        <w:t>National Center for Transgender Equality. December 18, 2014. “Federal Survey: 40% of Transgender Prisoners Are Sexually Abused</w:t>
      </w:r>
      <w:r>
        <w:rPr>
          <w:spacing w:val="-11"/>
          <w:sz w:val="18"/>
          <w:vertAlign w:val="baseline"/>
        </w:rPr>
        <w:t> </w:t>
      </w:r>
      <w:r>
        <w:rPr>
          <w:sz w:val="18"/>
          <w:vertAlign w:val="baseline"/>
        </w:rPr>
        <w:t>Each</w:t>
      </w:r>
      <w:r>
        <w:rPr>
          <w:spacing w:val="-10"/>
          <w:sz w:val="18"/>
          <w:vertAlign w:val="baseline"/>
        </w:rPr>
        <w:t> </w:t>
      </w:r>
      <w:r>
        <w:rPr>
          <w:sz w:val="18"/>
          <w:vertAlign w:val="baseline"/>
        </w:rPr>
        <w:t>Year.”</w:t>
      </w:r>
      <w:r>
        <w:rPr>
          <w:spacing w:val="-10"/>
          <w:sz w:val="18"/>
          <w:vertAlign w:val="baseline"/>
        </w:rPr>
        <w:t> </w:t>
      </w:r>
      <w:hyperlink r:id="rId432">
        <w:r>
          <w:rPr>
            <w:color w:val="0000FF"/>
            <w:sz w:val="18"/>
            <w:u w:val="single" w:color="0000FF"/>
            <w:vertAlign w:val="baseline"/>
          </w:rPr>
          <w:t>https://transequality.org/blog/federal-survey-40-of-transgender-prisoners-are-sexually-abused-each-year</w:t>
        </w:r>
      </w:hyperlink>
      <w:hyperlink r:id="rId432">
        <w:r>
          <w:rPr>
            <w:color w:val="1153CC"/>
            <w:sz w:val="18"/>
            <w:u w:val="none"/>
            <w:vertAlign w:val="baseline"/>
          </w:rPr>
          <w:t>.</w:t>
        </w:r>
      </w:hyperlink>
      <w:r>
        <w:rPr>
          <w:color w:val="1153CC"/>
          <w:sz w:val="18"/>
          <w:u w:val="none"/>
          <w:vertAlign w:val="baseline"/>
        </w:rPr>
        <w:t> </w:t>
      </w:r>
      <w:r>
        <w:rPr>
          <w:sz w:val="18"/>
          <w:u w:val="none"/>
          <w:vertAlign w:val="superscript"/>
        </w:rPr>
        <w:t>53</w:t>
      </w:r>
      <w:r>
        <w:rPr>
          <w:spacing w:val="-13"/>
          <w:sz w:val="18"/>
          <w:u w:val="none"/>
          <w:vertAlign w:val="baseline"/>
        </w:rPr>
        <w:t> </w:t>
      </w:r>
      <w:r>
        <w:rPr>
          <w:sz w:val="18"/>
          <w:u w:val="none"/>
          <w:vertAlign w:val="baseline"/>
        </w:rPr>
        <w:t>Hernandez,</w:t>
      </w:r>
      <w:r>
        <w:rPr>
          <w:spacing w:val="-5"/>
          <w:sz w:val="18"/>
          <w:u w:val="none"/>
          <w:vertAlign w:val="baseline"/>
        </w:rPr>
        <w:t> </w:t>
      </w:r>
      <w:r>
        <w:rPr>
          <w:sz w:val="18"/>
          <w:u w:val="none"/>
          <w:vertAlign w:val="baseline"/>
        </w:rPr>
        <w:t>Rebecca.</w:t>
      </w:r>
      <w:r>
        <w:rPr>
          <w:spacing w:val="-2"/>
          <w:sz w:val="18"/>
          <w:u w:val="none"/>
          <w:vertAlign w:val="baseline"/>
        </w:rPr>
        <w:t> </w:t>
      </w:r>
      <w:r>
        <w:rPr>
          <w:sz w:val="18"/>
          <w:u w:val="none"/>
          <w:vertAlign w:val="baseline"/>
        </w:rPr>
        <w:t>July</w:t>
      </w:r>
      <w:r>
        <w:rPr>
          <w:spacing w:val="-2"/>
          <w:sz w:val="18"/>
          <w:u w:val="none"/>
          <w:vertAlign w:val="baseline"/>
        </w:rPr>
        <w:t> </w:t>
      </w:r>
      <w:r>
        <w:rPr>
          <w:sz w:val="18"/>
          <w:u w:val="none"/>
          <w:vertAlign w:val="baseline"/>
        </w:rPr>
        <w:t>27,</w:t>
      </w:r>
      <w:r>
        <w:rPr>
          <w:spacing w:val="-3"/>
          <w:sz w:val="18"/>
          <w:u w:val="none"/>
          <w:vertAlign w:val="baseline"/>
        </w:rPr>
        <w:t> </w:t>
      </w:r>
      <w:r>
        <w:rPr>
          <w:sz w:val="18"/>
          <w:u w:val="none"/>
          <w:vertAlign w:val="baseline"/>
        </w:rPr>
        <w:t>2021.</w:t>
      </w:r>
      <w:r>
        <w:rPr>
          <w:spacing w:val="-2"/>
          <w:sz w:val="18"/>
          <w:u w:val="none"/>
          <w:vertAlign w:val="baseline"/>
        </w:rPr>
        <w:t> </w:t>
      </w:r>
      <w:r>
        <w:rPr>
          <w:sz w:val="18"/>
          <w:u w:val="none"/>
          <w:vertAlign w:val="baseline"/>
        </w:rPr>
        <w:t>“The</w:t>
      </w:r>
      <w:r>
        <w:rPr>
          <w:spacing w:val="-2"/>
          <w:sz w:val="18"/>
          <w:u w:val="none"/>
          <w:vertAlign w:val="baseline"/>
        </w:rPr>
        <w:t> </w:t>
      </w:r>
      <w:r>
        <w:rPr>
          <w:sz w:val="18"/>
          <w:u w:val="none"/>
          <w:vertAlign w:val="baseline"/>
        </w:rPr>
        <w:t>Commercial</w:t>
      </w:r>
      <w:r>
        <w:rPr>
          <w:spacing w:val="-3"/>
          <w:sz w:val="18"/>
          <w:u w:val="none"/>
          <w:vertAlign w:val="baseline"/>
        </w:rPr>
        <w:t> </w:t>
      </w:r>
      <w:r>
        <w:rPr>
          <w:sz w:val="18"/>
          <w:u w:val="none"/>
          <w:vertAlign w:val="baseline"/>
        </w:rPr>
        <w:t>Exploitation</w:t>
      </w:r>
      <w:r>
        <w:rPr>
          <w:spacing w:val="-2"/>
          <w:sz w:val="18"/>
          <w:u w:val="none"/>
          <w:vertAlign w:val="baseline"/>
        </w:rPr>
        <w:t> </w:t>
      </w:r>
      <w:r>
        <w:rPr>
          <w:sz w:val="18"/>
          <w:u w:val="none"/>
          <w:vertAlign w:val="baseline"/>
        </w:rPr>
        <w:t>of</w:t>
      </w:r>
      <w:r>
        <w:rPr>
          <w:spacing w:val="-2"/>
          <w:sz w:val="18"/>
          <w:u w:val="none"/>
          <w:vertAlign w:val="baseline"/>
        </w:rPr>
        <w:t> </w:t>
      </w:r>
      <w:r>
        <w:rPr>
          <w:sz w:val="18"/>
          <w:u w:val="none"/>
          <w:vertAlign w:val="baseline"/>
        </w:rPr>
        <w:t>Boys</w:t>
      </w:r>
      <w:r>
        <w:rPr>
          <w:spacing w:val="-2"/>
          <w:sz w:val="18"/>
          <w:u w:val="none"/>
          <w:vertAlign w:val="baseline"/>
        </w:rPr>
        <w:t> </w:t>
      </w:r>
      <w:r>
        <w:rPr>
          <w:sz w:val="18"/>
          <w:u w:val="none"/>
          <w:vertAlign w:val="baseline"/>
        </w:rPr>
        <w:t>&amp;</w:t>
      </w:r>
      <w:r>
        <w:rPr>
          <w:spacing w:val="-3"/>
          <w:sz w:val="18"/>
          <w:u w:val="none"/>
          <w:vertAlign w:val="baseline"/>
        </w:rPr>
        <w:t> </w:t>
      </w:r>
      <w:r>
        <w:rPr>
          <w:sz w:val="18"/>
          <w:u w:val="none"/>
          <w:vertAlign w:val="baseline"/>
        </w:rPr>
        <w:t>LGBTQ+</w:t>
      </w:r>
      <w:r>
        <w:rPr>
          <w:spacing w:val="-2"/>
          <w:sz w:val="18"/>
          <w:u w:val="none"/>
          <w:vertAlign w:val="baseline"/>
        </w:rPr>
        <w:t> </w:t>
      </w:r>
      <w:r>
        <w:rPr>
          <w:sz w:val="18"/>
          <w:u w:val="none"/>
          <w:vertAlign w:val="baseline"/>
        </w:rPr>
        <w:t>Youth:</w:t>
      </w:r>
      <w:r>
        <w:rPr>
          <w:spacing w:val="-2"/>
          <w:sz w:val="18"/>
          <w:u w:val="none"/>
          <w:vertAlign w:val="baseline"/>
        </w:rPr>
        <w:t> </w:t>
      </w:r>
      <w:r>
        <w:rPr>
          <w:sz w:val="18"/>
          <w:u w:val="none"/>
          <w:vertAlign w:val="baseline"/>
        </w:rPr>
        <w:t>A</w:t>
      </w:r>
      <w:r>
        <w:rPr>
          <w:spacing w:val="-2"/>
          <w:sz w:val="18"/>
          <w:u w:val="none"/>
          <w:vertAlign w:val="baseline"/>
        </w:rPr>
        <w:t> </w:t>
      </w:r>
      <w:r>
        <w:rPr>
          <w:sz w:val="18"/>
          <w:u w:val="none"/>
          <w:vertAlign w:val="baseline"/>
        </w:rPr>
        <w:t>Systematic</w:t>
      </w:r>
      <w:r>
        <w:rPr>
          <w:spacing w:val="-3"/>
          <w:sz w:val="18"/>
          <w:u w:val="none"/>
          <w:vertAlign w:val="baseline"/>
        </w:rPr>
        <w:t> </w:t>
      </w:r>
      <w:r>
        <w:rPr>
          <w:sz w:val="18"/>
          <w:u w:val="none"/>
          <w:vertAlign w:val="baseline"/>
        </w:rPr>
        <w:t>Literature</w:t>
      </w:r>
      <w:r>
        <w:rPr>
          <w:spacing w:val="-2"/>
          <w:sz w:val="18"/>
          <w:u w:val="none"/>
          <w:vertAlign w:val="baseline"/>
        </w:rPr>
        <w:t> </w:t>
      </w:r>
      <w:r>
        <w:rPr>
          <w:sz w:val="18"/>
          <w:u w:val="none"/>
          <w:vertAlign w:val="baseline"/>
        </w:rPr>
        <w:t>Review.” </w:t>
      </w:r>
      <w:hyperlink r:id="rId433">
        <w:r>
          <w:rPr>
            <w:color w:val="0000FF"/>
            <w:spacing w:val="-2"/>
            <w:sz w:val="18"/>
            <w:u w:val="single" w:color="0000FF"/>
            <w:vertAlign w:val="baseline"/>
          </w:rPr>
          <w:t>https://scholarworks.calstate.edu/downloads/2v23w095</w:t>
        </w:r>
      </w:hyperlink>
      <w:hyperlink r:id="rId433">
        <w:r>
          <w:rPr>
            <w:color w:val="0000FF"/>
            <w:spacing w:val="-2"/>
            <w:sz w:val="18"/>
            <w:u w:val="single" w:color="0000FF"/>
            <w:vertAlign w:val="baseline"/>
          </w:rPr>
          <w:t>f</w:t>
        </w:r>
        <w:r>
          <w:rPr>
            <w:color w:val="1153CC"/>
            <w:spacing w:val="-2"/>
            <w:sz w:val="18"/>
            <w:u w:val="none"/>
            <w:vertAlign w:val="baseline"/>
          </w:rPr>
          <w:t>.</w:t>
        </w:r>
      </w:hyperlink>
    </w:p>
    <w:p>
      <w:pPr>
        <w:spacing w:before="0"/>
        <w:ind w:left="363" w:right="523" w:hanging="1"/>
        <w:jc w:val="left"/>
        <w:rPr>
          <w:sz w:val="18"/>
        </w:rPr>
      </w:pPr>
      <w:r>
        <w:rPr>
          <w:sz w:val="18"/>
          <w:vertAlign w:val="superscript"/>
        </w:rPr>
        <w:t>54</w:t>
      </w:r>
      <w:r>
        <w:rPr>
          <w:spacing w:val="-10"/>
          <w:sz w:val="18"/>
          <w:vertAlign w:val="baseline"/>
        </w:rPr>
        <w:t> </w:t>
      </w:r>
      <w:r>
        <w:rPr>
          <w:sz w:val="18"/>
          <w:vertAlign w:val="baseline"/>
        </w:rPr>
        <w:t>Gabriel L. Schwartz, Jaquelyn L. Jahn, and Amanda Geller, “Policing Sexuality: Sexual Minority Youth, Police Contact, and Health</w:t>
      </w:r>
      <w:r>
        <w:rPr>
          <w:spacing w:val="-4"/>
          <w:sz w:val="18"/>
          <w:vertAlign w:val="baseline"/>
        </w:rPr>
        <w:t> </w:t>
      </w:r>
      <w:r>
        <w:rPr>
          <w:sz w:val="18"/>
          <w:vertAlign w:val="baseline"/>
        </w:rPr>
        <w:t>Inequity,”</w:t>
      </w:r>
      <w:r>
        <w:rPr>
          <w:spacing w:val="-4"/>
          <w:sz w:val="18"/>
          <w:vertAlign w:val="baseline"/>
        </w:rPr>
        <w:t> </w:t>
      </w:r>
      <w:r>
        <w:rPr>
          <w:i/>
          <w:sz w:val="18"/>
          <w:vertAlign w:val="baseline"/>
        </w:rPr>
        <w:t>SSM</w:t>
      </w:r>
      <w:r>
        <w:rPr>
          <w:i/>
          <w:spacing w:val="-4"/>
          <w:sz w:val="18"/>
          <w:vertAlign w:val="baseline"/>
        </w:rPr>
        <w:t> </w:t>
      </w:r>
      <w:r>
        <w:rPr>
          <w:i/>
          <w:sz w:val="18"/>
          <w:vertAlign w:val="baseline"/>
        </w:rPr>
        <w:t>-</w:t>
      </w:r>
      <w:r>
        <w:rPr>
          <w:i/>
          <w:spacing w:val="-4"/>
          <w:sz w:val="18"/>
          <w:vertAlign w:val="baseline"/>
        </w:rPr>
        <w:t> </w:t>
      </w:r>
      <w:r>
        <w:rPr>
          <w:i/>
          <w:sz w:val="18"/>
          <w:vertAlign w:val="baseline"/>
        </w:rPr>
        <w:t>Population</w:t>
      </w:r>
      <w:r>
        <w:rPr>
          <w:i/>
          <w:spacing w:val="-5"/>
          <w:sz w:val="18"/>
          <w:vertAlign w:val="baseline"/>
        </w:rPr>
        <w:t> </w:t>
      </w:r>
      <w:r>
        <w:rPr>
          <w:i/>
          <w:sz w:val="18"/>
          <w:vertAlign w:val="baseline"/>
        </w:rPr>
        <w:t>Health</w:t>
      </w:r>
      <w:r>
        <w:rPr>
          <w:i/>
          <w:spacing w:val="-5"/>
          <w:sz w:val="18"/>
          <w:vertAlign w:val="baseline"/>
        </w:rPr>
        <w:t> </w:t>
      </w:r>
      <w:r>
        <w:rPr>
          <w:sz w:val="18"/>
          <w:vertAlign w:val="baseline"/>
        </w:rPr>
        <w:t>20</w:t>
      </w:r>
      <w:r>
        <w:rPr>
          <w:spacing w:val="-4"/>
          <w:sz w:val="18"/>
          <w:vertAlign w:val="baseline"/>
        </w:rPr>
        <w:t> </w:t>
      </w:r>
      <w:r>
        <w:rPr>
          <w:sz w:val="18"/>
          <w:vertAlign w:val="baseline"/>
        </w:rPr>
        <w:t>(November</w:t>
      </w:r>
      <w:r>
        <w:rPr>
          <w:spacing w:val="-5"/>
          <w:sz w:val="18"/>
          <w:vertAlign w:val="baseline"/>
        </w:rPr>
        <w:t> </w:t>
      </w:r>
      <w:r>
        <w:rPr>
          <w:sz w:val="18"/>
          <w:vertAlign w:val="baseline"/>
        </w:rPr>
        <w:t>17,</w:t>
      </w:r>
      <w:r>
        <w:rPr>
          <w:spacing w:val="-5"/>
          <w:sz w:val="18"/>
          <w:vertAlign w:val="baseline"/>
        </w:rPr>
        <w:t> </w:t>
      </w:r>
      <w:r>
        <w:rPr>
          <w:sz w:val="18"/>
          <w:vertAlign w:val="baseline"/>
        </w:rPr>
        <w:t>2022):</w:t>
      </w:r>
      <w:r>
        <w:rPr>
          <w:spacing w:val="-4"/>
          <w:sz w:val="18"/>
          <w:vertAlign w:val="baseline"/>
        </w:rPr>
        <w:t> </w:t>
      </w:r>
      <w:r>
        <w:rPr>
          <w:sz w:val="18"/>
          <w:vertAlign w:val="baseline"/>
        </w:rPr>
        <w:t>101292,</w:t>
      </w:r>
      <w:r>
        <w:rPr>
          <w:spacing w:val="-5"/>
          <w:sz w:val="18"/>
          <w:vertAlign w:val="baseline"/>
        </w:rPr>
        <w:t> </w:t>
      </w:r>
      <w:r>
        <w:rPr>
          <w:sz w:val="18"/>
          <w:vertAlign w:val="baseline"/>
        </w:rPr>
        <w:t>https://doi.org/10.1016/j.ssmph.2022.101292.</w:t>
      </w:r>
    </w:p>
    <w:p>
      <w:pPr>
        <w:spacing w:after="0"/>
        <w:jc w:val="left"/>
        <w:rPr>
          <w:sz w:val="18"/>
        </w:rPr>
        <w:sectPr>
          <w:pgSz w:w="12240" w:h="15840"/>
          <w:pgMar w:header="763" w:footer="1339" w:top="1180" w:bottom="1560" w:left="1080" w:right="1240"/>
        </w:sectPr>
      </w:pPr>
    </w:p>
    <w:p>
      <w:pPr>
        <w:pStyle w:val="BodyText"/>
        <w:rPr>
          <w:sz w:val="34"/>
        </w:rPr>
      </w:pPr>
    </w:p>
    <w:p>
      <w:pPr>
        <w:pStyle w:val="BodyText"/>
        <w:spacing w:before="243"/>
        <w:rPr>
          <w:sz w:val="34"/>
        </w:rPr>
      </w:pPr>
    </w:p>
    <w:p>
      <w:pPr>
        <w:spacing w:before="1"/>
        <w:ind w:left="674" w:right="0" w:firstLine="0"/>
        <w:jc w:val="left"/>
        <w:rPr>
          <w:sz w:val="34"/>
        </w:rPr>
      </w:pP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spacing w:line="216" w:lineRule="auto" w:before="220"/>
        <w:ind w:left="674" w:right="4736" w:firstLine="0"/>
        <w:jc w:val="left"/>
        <w:rPr>
          <w:rFonts w:ascii="Verdana"/>
          <w:b/>
          <w:sz w:val="62"/>
        </w:rPr>
      </w:pPr>
      <w:r>
        <w:rPr>
          <w:rFonts w:ascii="Verdana"/>
          <w:b/>
          <w:color w:val="FFFFFF"/>
          <w:w w:val="90"/>
          <w:sz w:val="62"/>
        </w:rPr>
        <w:t>SEXUAL HEALTH </w:t>
      </w:r>
      <w:r>
        <w:rPr>
          <w:rFonts w:ascii="Verdana"/>
          <w:b/>
          <w:color w:val="FFFFFF"/>
          <w:spacing w:val="-26"/>
          <w:sz w:val="62"/>
        </w:rPr>
        <w:t>&amp;</w:t>
      </w:r>
      <w:r>
        <w:rPr>
          <w:rFonts w:ascii="Verdana"/>
          <w:b/>
          <w:color w:val="FFFFFF"/>
          <w:spacing w:val="-81"/>
          <w:sz w:val="62"/>
        </w:rPr>
        <w:t> </w:t>
      </w:r>
      <w:r>
        <w:rPr>
          <w:rFonts w:ascii="Verdana"/>
          <w:b/>
          <w:color w:val="FFFFFF"/>
          <w:spacing w:val="-26"/>
          <w:sz w:val="62"/>
        </w:rPr>
        <w:t>WELLNESS</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7"/>
        <w:rPr>
          <w:rFonts w:ascii="Verdana"/>
          <w:b/>
          <w:sz w:val="20"/>
        </w:rPr>
      </w:pPr>
    </w:p>
    <w:p>
      <w:pPr>
        <w:spacing w:after="0"/>
        <w:rPr>
          <w:rFonts w:ascii="Verdana"/>
          <w:sz w:val="20"/>
        </w:rPr>
        <w:sectPr>
          <w:headerReference w:type="default" r:id="rId434"/>
          <w:footerReference w:type="default" r:id="rId435"/>
          <w:pgSz w:w="12240" w:h="15840"/>
          <w:pgMar w:header="0" w:footer="0" w:top="0" w:bottom="280" w:left="920" w:right="300"/>
        </w:sectPr>
      </w:pPr>
    </w:p>
    <w:p>
      <w:pPr>
        <w:spacing w:before="99"/>
        <w:ind w:left="323" w:right="0" w:firstLine="0"/>
        <w:jc w:val="left"/>
        <w:rPr>
          <w:b/>
          <w:i/>
          <w:sz w:val="33"/>
        </w:rPr>
      </w:pPr>
      <w:r>
        <w:rPr>
          <w:b/>
          <w:i/>
          <w:spacing w:val="10"/>
          <w:w w:val="120"/>
          <w:sz w:val="33"/>
        </w:rPr>
        <w:t>ABOUT</w:t>
      </w:r>
    </w:p>
    <w:p>
      <w:pPr>
        <w:spacing w:line="264" w:lineRule="auto" w:before="78"/>
        <w:ind w:left="275" w:right="38" w:firstLine="0"/>
        <w:jc w:val="both"/>
        <w:rPr>
          <w:rFonts w:ascii="Georgia"/>
          <w:sz w:val="21"/>
        </w:rPr>
      </w:pPr>
      <w:r>
        <w:rPr>
          <w:rFonts w:ascii="Georgia"/>
          <w:w w:val="105"/>
          <w:sz w:val="21"/>
        </w:rPr>
        <w:t>LGBTQ</w:t>
      </w:r>
      <w:r>
        <w:rPr>
          <w:rFonts w:ascii="Georgia"/>
          <w:w w:val="105"/>
          <w:sz w:val="21"/>
        </w:rPr>
        <w:t> youth</w:t>
      </w:r>
      <w:r>
        <w:rPr>
          <w:rFonts w:ascii="Georgia"/>
          <w:w w:val="105"/>
          <w:sz w:val="21"/>
        </w:rPr>
        <w:t> remain</w:t>
      </w:r>
      <w:r>
        <w:rPr>
          <w:rFonts w:ascii="Georgia"/>
          <w:w w:val="105"/>
          <w:sz w:val="21"/>
        </w:rPr>
        <w:t> at</w:t>
      </w:r>
      <w:r>
        <w:rPr>
          <w:rFonts w:ascii="Georgia"/>
          <w:w w:val="105"/>
          <w:sz w:val="21"/>
        </w:rPr>
        <w:t> a</w:t>
      </w:r>
      <w:r>
        <w:rPr>
          <w:rFonts w:ascii="Georgia"/>
          <w:w w:val="105"/>
          <w:sz w:val="21"/>
        </w:rPr>
        <w:t> higher</w:t>
      </w:r>
      <w:r>
        <w:rPr>
          <w:rFonts w:ascii="Georgia"/>
          <w:w w:val="105"/>
          <w:sz w:val="21"/>
        </w:rPr>
        <w:t> risk</w:t>
      </w:r>
      <w:r>
        <w:rPr>
          <w:rFonts w:ascii="Georgia"/>
          <w:w w:val="105"/>
          <w:sz w:val="21"/>
        </w:rPr>
        <w:t> for</w:t>
      </w:r>
      <w:r>
        <w:rPr>
          <w:rFonts w:ascii="Georgia"/>
          <w:w w:val="105"/>
          <w:sz w:val="21"/>
        </w:rPr>
        <w:t> STIs,</w:t>
      </w:r>
      <w:r>
        <w:rPr>
          <w:rFonts w:ascii="Georgia"/>
          <w:w w:val="105"/>
          <w:sz w:val="21"/>
        </w:rPr>
        <w:t> HIV, and</w:t>
      </w:r>
      <w:r>
        <w:rPr>
          <w:rFonts w:ascii="Georgia"/>
          <w:spacing w:val="-8"/>
          <w:w w:val="105"/>
          <w:sz w:val="21"/>
        </w:rPr>
        <w:t> </w:t>
      </w:r>
      <w:r>
        <w:rPr>
          <w:rFonts w:ascii="Georgia"/>
          <w:w w:val="105"/>
          <w:sz w:val="21"/>
        </w:rPr>
        <w:t>sexual</w:t>
      </w:r>
      <w:r>
        <w:rPr>
          <w:rFonts w:ascii="Georgia"/>
          <w:spacing w:val="-8"/>
          <w:w w:val="105"/>
          <w:sz w:val="21"/>
        </w:rPr>
        <w:t> </w:t>
      </w:r>
      <w:r>
        <w:rPr>
          <w:rFonts w:ascii="Georgia"/>
          <w:w w:val="105"/>
          <w:sz w:val="21"/>
        </w:rPr>
        <w:t>violence.</w:t>
      </w:r>
      <w:r>
        <w:rPr>
          <w:rFonts w:ascii="Georgia"/>
          <w:spacing w:val="-8"/>
          <w:w w:val="105"/>
          <w:sz w:val="21"/>
        </w:rPr>
        <w:t> </w:t>
      </w:r>
      <w:r>
        <w:rPr>
          <w:rFonts w:ascii="Georgia"/>
          <w:w w:val="105"/>
          <w:sz w:val="21"/>
        </w:rPr>
        <w:t>Furthermore,</w:t>
      </w:r>
      <w:r>
        <w:rPr>
          <w:rFonts w:ascii="Georgia"/>
          <w:spacing w:val="-8"/>
          <w:w w:val="105"/>
          <w:sz w:val="21"/>
        </w:rPr>
        <w:t> </w:t>
      </w:r>
      <w:r>
        <w:rPr>
          <w:rFonts w:ascii="Georgia"/>
          <w:w w:val="105"/>
          <w:sz w:val="21"/>
        </w:rPr>
        <w:t>as</w:t>
      </w:r>
      <w:r>
        <w:rPr>
          <w:rFonts w:ascii="Georgia"/>
          <w:spacing w:val="-8"/>
          <w:w w:val="105"/>
          <w:sz w:val="21"/>
        </w:rPr>
        <w:t> </w:t>
      </w:r>
      <w:r>
        <w:rPr>
          <w:rFonts w:ascii="Georgia"/>
          <w:w w:val="105"/>
          <w:sz w:val="21"/>
        </w:rPr>
        <w:t>discussed</w:t>
      </w:r>
      <w:r>
        <w:rPr>
          <w:rFonts w:ascii="Georgia"/>
          <w:spacing w:val="-8"/>
          <w:w w:val="105"/>
          <w:sz w:val="21"/>
        </w:rPr>
        <w:t> </w:t>
      </w:r>
      <w:r>
        <w:rPr>
          <w:rFonts w:ascii="Georgia"/>
          <w:w w:val="105"/>
          <w:sz w:val="21"/>
        </w:rPr>
        <w:t>in</w:t>
      </w:r>
      <w:r>
        <w:rPr>
          <w:rFonts w:ascii="Georgia"/>
          <w:spacing w:val="-8"/>
          <w:w w:val="105"/>
          <w:sz w:val="21"/>
        </w:rPr>
        <w:t> </w:t>
      </w:r>
      <w:r>
        <w:rPr>
          <w:rFonts w:ascii="Georgia"/>
          <w:w w:val="105"/>
          <w:sz w:val="21"/>
        </w:rPr>
        <w:t>the above</w:t>
      </w:r>
      <w:r>
        <w:rPr>
          <w:rFonts w:ascii="Georgia"/>
          <w:w w:val="105"/>
          <w:sz w:val="21"/>
        </w:rPr>
        <w:t> section,</w:t>
      </w:r>
      <w:r>
        <w:rPr>
          <w:rFonts w:ascii="Georgia"/>
          <w:w w:val="105"/>
          <w:sz w:val="21"/>
        </w:rPr>
        <w:t> LGBTQ</w:t>
      </w:r>
      <w:r>
        <w:rPr>
          <w:rFonts w:ascii="Georgia"/>
          <w:w w:val="105"/>
          <w:sz w:val="21"/>
        </w:rPr>
        <w:t> youth</w:t>
      </w:r>
      <w:r>
        <w:rPr>
          <w:rFonts w:ascii="Georgia"/>
          <w:w w:val="105"/>
          <w:sz w:val="21"/>
        </w:rPr>
        <w:t> are</w:t>
      </w:r>
      <w:r>
        <w:rPr>
          <w:rFonts w:ascii="Georgia"/>
          <w:w w:val="105"/>
          <w:sz w:val="21"/>
        </w:rPr>
        <w:t> often</w:t>
      </w:r>
      <w:r>
        <w:rPr>
          <w:rFonts w:ascii="Georgia"/>
          <w:w w:val="105"/>
          <w:sz w:val="21"/>
        </w:rPr>
        <w:t> left</w:t>
      </w:r>
      <w:r>
        <w:rPr>
          <w:rFonts w:ascii="Georgia"/>
          <w:w w:val="105"/>
          <w:sz w:val="21"/>
        </w:rPr>
        <w:t> out</w:t>
      </w:r>
      <w:r>
        <w:rPr>
          <w:rFonts w:ascii="Georgia"/>
          <w:w w:val="105"/>
          <w:sz w:val="21"/>
        </w:rPr>
        <w:t> of conversations</w:t>
      </w:r>
      <w:r>
        <w:rPr>
          <w:rFonts w:ascii="Georgia"/>
          <w:w w:val="105"/>
          <w:sz w:val="21"/>
        </w:rPr>
        <w:t> around</w:t>
      </w:r>
      <w:r>
        <w:rPr>
          <w:rFonts w:ascii="Georgia"/>
          <w:w w:val="105"/>
          <w:sz w:val="21"/>
        </w:rPr>
        <w:t> national</w:t>
      </w:r>
      <w:r>
        <w:rPr>
          <w:rFonts w:ascii="Georgia"/>
          <w:w w:val="105"/>
          <w:sz w:val="21"/>
        </w:rPr>
        <w:t> and</w:t>
      </w:r>
      <w:r>
        <w:rPr>
          <w:rFonts w:ascii="Georgia"/>
          <w:w w:val="105"/>
          <w:sz w:val="21"/>
        </w:rPr>
        <w:t> statewide conversations</w:t>
      </w:r>
      <w:r>
        <w:rPr>
          <w:rFonts w:ascii="Georgia"/>
          <w:w w:val="105"/>
          <w:sz w:val="21"/>
        </w:rPr>
        <w:t> involving</w:t>
      </w:r>
      <w:r>
        <w:rPr>
          <w:rFonts w:ascii="Georgia"/>
          <w:w w:val="105"/>
          <w:sz w:val="21"/>
        </w:rPr>
        <w:t> pregnancy,</w:t>
      </w:r>
      <w:r>
        <w:rPr>
          <w:rFonts w:ascii="Georgia"/>
          <w:w w:val="105"/>
          <w:sz w:val="21"/>
        </w:rPr>
        <w:t> abortion</w:t>
      </w:r>
      <w:r>
        <w:rPr>
          <w:rFonts w:ascii="Georgia"/>
          <w:w w:val="105"/>
          <w:sz w:val="21"/>
        </w:rPr>
        <w:t> access, and</w:t>
      </w:r>
      <w:r>
        <w:rPr>
          <w:rFonts w:ascii="Georgia"/>
          <w:spacing w:val="36"/>
          <w:w w:val="105"/>
          <w:sz w:val="21"/>
        </w:rPr>
        <w:t> </w:t>
      </w:r>
      <w:r>
        <w:rPr>
          <w:rFonts w:ascii="Georgia"/>
          <w:w w:val="105"/>
          <w:sz w:val="21"/>
        </w:rPr>
        <w:t>gynecological</w:t>
      </w:r>
      <w:r>
        <w:rPr>
          <w:rFonts w:ascii="Georgia"/>
          <w:spacing w:val="37"/>
          <w:w w:val="105"/>
          <w:sz w:val="21"/>
        </w:rPr>
        <w:t> </w:t>
      </w:r>
      <w:r>
        <w:rPr>
          <w:rFonts w:ascii="Georgia"/>
          <w:w w:val="105"/>
          <w:sz w:val="21"/>
        </w:rPr>
        <w:t>health,</w:t>
      </w:r>
      <w:r>
        <w:rPr>
          <w:rFonts w:ascii="Georgia"/>
          <w:spacing w:val="37"/>
          <w:w w:val="105"/>
          <w:sz w:val="21"/>
        </w:rPr>
        <w:t> </w:t>
      </w:r>
      <w:r>
        <w:rPr>
          <w:rFonts w:ascii="Georgia"/>
          <w:w w:val="105"/>
          <w:sz w:val="21"/>
        </w:rPr>
        <w:t>but</w:t>
      </w:r>
      <w:r>
        <w:rPr>
          <w:rFonts w:ascii="Georgia"/>
          <w:spacing w:val="37"/>
          <w:w w:val="105"/>
          <w:sz w:val="21"/>
        </w:rPr>
        <w:t> </w:t>
      </w:r>
      <w:r>
        <w:rPr>
          <w:rFonts w:ascii="Georgia"/>
          <w:w w:val="105"/>
          <w:sz w:val="21"/>
        </w:rPr>
        <w:t>often</w:t>
      </w:r>
      <w:r>
        <w:rPr>
          <w:rFonts w:ascii="Georgia"/>
          <w:spacing w:val="37"/>
          <w:w w:val="105"/>
          <w:sz w:val="21"/>
        </w:rPr>
        <w:t> </w:t>
      </w:r>
      <w:r>
        <w:rPr>
          <w:rFonts w:ascii="Georgia"/>
          <w:w w:val="105"/>
          <w:sz w:val="21"/>
        </w:rPr>
        <w:t>face</w:t>
      </w:r>
      <w:r>
        <w:rPr>
          <w:rFonts w:ascii="Georgia"/>
          <w:spacing w:val="37"/>
          <w:w w:val="105"/>
          <w:sz w:val="21"/>
        </w:rPr>
        <w:t> </w:t>
      </w:r>
      <w:r>
        <w:rPr>
          <w:rFonts w:ascii="Georgia"/>
          <w:spacing w:val="-2"/>
          <w:w w:val="105"/>
          <w:sz w:val="21"/>
        </w:rPr>
        <w:t>significant</w:t>
      </w:r>
    </w:p>
    <w:p>
      <w:pPr>
        <w:spacing w:before="423"/>
        <w:ind w:left="0" w:right="980" w:firstLine="0"/>
        <w:jc w:val="center"/>
        <w:rPr>
          <w:rFonts w:ascii="Verdana"/>
          <w:b/>
          <w:sz w:val="77"/>
        </w:rPr>
      </w:pPr>
      <w:r>
        <w:rPr/>
        <w:br w:type="column"/>
      </w:r>
      <w:r>
        <w:rPr>
          <w:rFonts w:ascii="Verdana"/>
          <w:b/>
          <w:emboss/>
          <w:color w:val="001389"/>
          <w:spacing w:val="20"/>
          <w:w w:val="80"/>
          <w:sz w:val="77"/>
        </w:rPr>
        <w:t>34%</w:t>
      </w:r>
    </w:p>
    <w:p>
      <w:pPr>
        <w:spacing w:line="278" w:lineRule="auto" w:before="24"/>
        <w:ind w:left="275" w:right="1256" w:hanging="1"/>
        <w:jc w:val="center"/>
        <w:rPr>
          <w:rFonts w:ascii="Georgia"/>
          <w:sz w:val="20"/>
        </w:rPr>
      </w:pPr>
      <w:r>
        <w:rPr>
          <w:rFonts w:ascii="Georgia"/>
          <w:w w:val="105"/>
          <w:sz w:val="20"/>
        </w:rPr>
        <w:t>of</w:t>
      </w:r>
      <w:r>
        <w:rPr>
          <w:rFonts w:ascii="Georgia"/>
          <w:spacing w:val="-13"/>
          <w:w w:val="105"/>
          <w:sz w:val="20"/>
        </w:rPr>
        <w:t> </w:t>
      </w:r>
      <w:r>
        <w:rPr>
          <w:rFonts w:ascii="Georgia"/>
          <w:w w:val="105"/>
          <w:sz w:val="20"/>
        </w:rPr>
        <w:t>schools</w:t>
      </w:r>
      <w:r>
        <w:rPr>
          <w:rFonts w:ascii="Georgia"/>
          <w:spacing w:val="-13"/>
          <w:w w:val="105"/>
          <w:sz w:val="20"/>
        </w:rPr>
        <w:t> </w:t>
      </w:r>
      <w:r>
        <w:rPr>
          <w:rFonts w:ascii="Georgia"/>
          <w:w w:val="105"/>
          <w:sz w:val="20"/>
        </w:rPr>
        <w:t>in</w:t>
      </w:r>
      <w:r>
        <w:rPr>
          <w:rFonts w:ascii="Georgia"/>
          <w:spacing w:val="-12"/>
          <w:w w:val="105"/>
          <w:sz w:val="20"/>
        </w:rPr>
        <w:t> </w:t>
      </w:r>
      <w:r>
        <w:rPr>
          <w:rFonts w:ascii="Georgia"/>
          <w:w w:val="105"/>
          <w:sz w:val="20"/>
        </w:rPr>
        <w:t>Massachusettes</w:t>
      </w:r>
      <w:r>
        <w:rPr>
          <w:rFonts w:ascii="Georgia"/>
          <w:spacing w:val="-13"/>
          <w:w w:val="105"/>
          <w:sz w:val="20"/>
        </w:rPr>
        <w:t> </w:t>
      </w:r>
      <w:r>
        <w:rPr>
          <w:rFonts w:ascii="Georgia"/>
          <w:w w:val="105"/>
          <w:sz w:val="20"/>
        </w:rPr>
        <w:t>taught students</w:t>
      </w:r>
      <w:r>
        <w:rPr>
          <w:rFonts w:ascii="Georgia"/>
          <w:spacing w:val="-13"/>
          <w:w w:val="105"/>
          <w:sz w:val="20"/>
        </w:rPr>
        <w:t> </w:t>
      </w:r>
      <w:r>
        <w:rPr>
          <w:rFonts w:ascii="Georgia"/>
          <w:w w:val="105"/>
          <w:sz w:val="20"/>
        </w:rPr>
        <w:t>how</w:t>
      </w:r>
      <w:r>
        <w:rPr>
          <w:rFonts w:ascii="Georgia"/>
          <w:spacing w:val="-12"/>
          <w:w w:val="105"/>
          <w:sz w:val="20"/>
        </w:rPr>
        <w:t> </w:t>
      </w:r>
      <w:r>
        <w:rPr>
          <w:rFonts w:ascii="Georgia"/>
          <w:w w:val="105"/>
          <w:sz w:val="20"/>
        </w:rPr>
        <w:t>to</w:t>
      </w:r>
      <w:r>
        <w:rPr>
          <w:rFonts w:ascii="Georgia"/>
          <w:spacing w:val="-13"/>
          <w:w w:val="105"/>
          <w:sz w:val="20"/>
        </w:rPr>
        <w:t> </w:t>
      </w:r>
      <w:r>
        <w:rPr>
          <w:rFonts w:ascii="Georgia"/>
          <w:w w:val="105"/>
          <w:sz w:val="20"/>
        </w:rPr>
        <w:t>appropriately</w:t>
      </w:r>
      <w:r>
        <w:rPr>
          <w:rFonts w:ascii="Georgia"/>
          <w:spacing w:val="-12"/>
          <w:w w:val="105"/>
          <w:sz w:val="20"/>
        </w:rPr>
        <w:t> </w:t>
      </w:r>
      <w:r>
        <w:rPr>
          <w:rFonts w:ascii="Georgia"/>
          <w:w w:val="105"/>
          <w:sz w:val="20"/>
        </w:rPr>
        <w:t>use</w:t>
      </w:r>
      <w:r>
        <w:rPr>
          <w:rFonts w:ascii="Georgia"/>
          <w:spacing w:val="-13"/>
          <w:w w:val="105"/>
          <w:sz w:val="20"/>
        </w:rPr>
        <w:t> </w:t>
      </w:r>
      <w:r>
        <w:rPr>
          <w:rFonts w:ascii="Georgia"/>
          <w:w w:val="105"/>
          <w:sz w:val="20"/>
        </w:rPr>
        <w:t>a </w:t>
      </w:r>
      <w:r>
        <w:rPr>
          <w:rFonts w:ascii="Georgia"/>
          <w:spacing w:val="-2"/>
          <w:w w:val="105"/>
          <w:sz w:val="20"/>
        </w:rPr>
        <w:t>condom</w:t>
      </w:r>
    </w:p>
    <w:p>
      <w:pPr>
        <w:spacing w:after="0" w:line="278" w:lineRule="auto"/>
        <w:jc w:val="center"/>
        <w:rPr>
          <w:rFonts w:ascii="Georgia"/>
          <w:sz w:val="20"/>
        </w:rPr>
        <w:sectPr>
          <w:type w:val="continuous"/>
          <w:pgSz w:w="12240" w:h="15840"/>
          <w:pgMar w:header="0" w:footer="0" w:top="1420" w:bottom="280" w:left="920" w:right="300"/>
          <w:cols w:num="2" w:equalWidth="0">
            <w:col w:w="5481" w:space="731"/>
            <w:col w:w="4808"/>
          </w:cols>
        </w:sectPr>
      </w:pPr>
    </w:p>
    <w:p>
      <w:pPr>
        <w:tabs>
          <w:tab w:pos="5941" w:val="left" w:leader="none"/>
          <w:tab w:pos="10358" w:val="left" w:leader="none"/>
        </w:tabs>
        <w:spacing w:line="226" w:lineRule="exact" w:before="0"/>
        <w:ind w:left="275" w:right="0" w:firstLine="0"/>
        <w:jc w:val="left"/>
        <w:rPr>
          <w:rFonts w:ascii="Times New Roman"/>
          <w:sz w:val="21"/>
        </w:rPr>
      </w:pPr>
      <w:r>
        <w:rPr>
          <w:rFonts w:ascii="Georgia"/>
          <w:sz w:val="21"/>
        </w:rPr>
        <w:t>disparities</w:t>
      </w:r>
      <w:r>
        <w:rPr>
          <w:rFonts w:ascii="Georgia"/>
          <w:spacing w:val="72"/>
          <w:sz w:val="21"/>
        </w:rPr>
        <w:t> </w:t>
      </w:r>
      <w:r>
        <w:rPr>
          <w:rFonts w:ascii="Georgia"/>
          <w:sz w:val="21"/>
        </w:rPr>
        <w:t>in</w:t>
      </w:r>
      <w:r>
        <w:rPr>
          <w:rFonts w:ascii="Georgia"/>
          <w:spacing w:val="72"/>
          <w:sz w:val="21"/>
        </w:rPr>
        <w:t> </w:t>
      </w:r>
      <w:r>
        <w:rPr>
          <w:rFonts w:ascii="Georgia"/>
          <w:sz w:val="21"/>
        </w:rPr>
        <w:t>access</w:t>
      </w:r>
      <w:r>
        <w:rPr>
          <w:rFonts w:ascii="Georgia"/>
          <w:spacing w:val="73"/>
          <w:sz w:val="21"/>
        </w:rPr>
        <w:t> </w:t>
      </w:r>
      <w:r>
        <w:rPr>
          <w:rFonts w:ascii="Georgia"/>
          <w:sz w:val="21"/>
        </w:rPr>
        <w:t>and</w:t>
      </w:r>
      <w:r>
        <w:rPr>
          <w:rFonts w:ascii="Georgia"/>
          <w:spacing w:val="72"/>
          <w:sz w:val="21"/>
        </w:rPr>
        <w:t> </w:t>
      </w:r>
      <w:r>
        <w:rPr>
          <w:rFonts w:ascii="Georgia"/>
          <w:sz w:val="21"/>
        </w:rPr>
        <w:t>care.</w:t>
      </w:r>
      <w:r>
        <w:rPr>
          <w:rFonts w:ascii="Georgia"/>
          <w:spacing w:val="72"/>
          <w:sz w:val="21"/>
        </w:rPr>
        <w:t> </w:t>
      </w:r>
      <w:r>
        <w:rPr>
          <w:rFonts w:ascii="Georgia"/>
          <w:sz w:val="21"/>
        </w:rPr>
        <w:t>Compounding</w:t>
      </w:r>
      <w:r>
        <w:rPr>
          <w:rFonts w:ascii="Georgia"/>
          <w:spacing w:val="73"/>
          <w:sz w:val="21"/>
        </w:rPr>
        <w:t> </w:t>
      </w:r>
      <w:r>
        <w:rPr>
          <w:rFonts w:ascii="Georgia"/>
          <w:spacing w:val="-4"/>
          <w:sz w:val="21"/>
        </w:rPr>
        <w:t>these</w:t>
      </w:r>
      <w:r>
        <w:rPr>
          <w:rFonts w:ascii="Georgia"/>
          <w:sz w:val="21"/>
        </w:rPr>
        <w:tab/>
      </w:r>
      <w:r>
        <w:rPr>
          <w:rFonts w:ascii="Times New Roman"/>
          <w:sz w:val="21"/>
          <w:u w:val="thick" w:color="001389"/>
        </w:rPr>
        <w:tab/>
      </w:r>
    </w:p>
    <w:p>
      <w:pPr>
        <w:spacing w:line="260" w:lineRule="atLeast" w:before="0"/>
        <w:ind w:left="275" w:right="4736" w:firstLine="0"/>
        <w:jc w:val="left"/>
        <w:rPr>
          <w:rFonts w:ascii="Georgia"/>
          <w:sz w:val="21"/>
        </w:rPr>
      </w:pPr>
      <w:r>
        <w:rPr>
          <w:rFonts w:ascii="Georgia"/>
          <w:w w:val="105"/>
          <w:sz w:val="21"/>
        </w:rPr>
        <w:t>issues,</w:t>
      </w:r>
      <w:r>
        <w:rPr>
          <w:rFonts w:ascii="Georgia"/>
          <w:spacing w:val="-14"/>
          <w:w w:val="105"/>
          <w:sz w:val="21"/>
        </w:rPr>
        <w:t> </w:t>
      </w:r>
      <w:r>
        <w:rPr>
          <w:rFonts w:ascii="Georgia"/>
          <w:w w:val="105"/>
          <w:sz w:val="21"/>
        </w:rPr>
        <w:t>LGBTQ</w:t>
      </w:r>
      <w:r>
        <w:rPr>
          <w:rFonts w:ascii="Georgia"/>
          <w:spacing w:val="-13"/>
          <w:w w:val="105"/>
          <w:sz w:val="21"/>
        </w:rPr>
        <w:t> </w:t>
      </w:r>
      <w:r>
        <w:rPr>
          <w:rFonts w:ascii="Georgia"/>
          <w:w w:val="105"/>
          <w:sz w:val="21"/>
        </w:rPr>
        <w:t>youth</w:t>
      </w:r>
      <w:r>
        <w:rPr>
          <w:rFonts w:ascii="Georgia"/>
          <w:spacing w:val="-13"/>
          <w:w w:val="105"/>
          <w:sz w:val="21"/>
        </w:rPr>
        <w:t> </w:t>
      </w:r>
      <w:r>
        <w:rPr>
          <w:rFonts w:ascii="Georgia"/>
          <w:w w:val="105"/>
          <w:sz w:val="21"/>
        </w:rPr>
        <w:t>frequently</w:t>
      </w:r>
      <w:r>
        <w:rPr>
          <w:rFonts w:ascii="Georgia"/>
          <w:spacing w:val="-14"/>
          <w:w w:val="105"/>
          <w:sz w:val="21"/>
        </w:rPr>
        <w:t> </w:t>
      </w:r>
      <w:r>
        <w:rPr>
          <w:rFonts w:ascii="Georgia"/>
          <w:w w:val="105"/>
          <w:sz w:val="21"/>
        </w:rPr>
        <w:t>encounter</w:t>
      </w:r>
      <w:r>
        <w:rPr>
          <w:rFonts w:ascii="Georgia"/>
          <w:spacing w:val="-13"/>
          <w:w w:val="105"/>
          <w:sz w:val="21"/>
        </w:rPr>
        <w:t> </w:t>
      </w:r>
      <w:r>
        <w:rPr>
          <w:rFonts w:ascii="Georgia"/>
          <w:w w:val="105"/>
          <w:sz w:val="21"/>
        </w:rPr>
        <w:t>barriers</w:t>
      </w:r>
      <w:r>
        <w:rPr>
          <w:rFonts w:ascii="Georgia"/>
          <w:spacing w:val="-13"/>
          <w:w w:val="105"/>
          <w:sz w:val="21"/>
        </w:rPr>
        <w:t> </w:t>
      </w:r>
      <w:r>
        <w:rPr>
          <w:rFonts w:ascii="Georgia"/>
          <w:w w:val="105"/>
          <w:sz w:val="21"/>
        </w:rPr>
        <w:t>to accessing</w:t>
      </w:r>
      <w:r>
        <w:rPr>
          <w:rFonts w:ascii="Georgia"/>
          <w:spacing w:val="-9"/>
          <w:w w:val="105"/>
          <w:sz w:val="21"/>
        </w:rPr>
        <w:t> </w:t>
      </w:r>
      <w:r>
        <w:rPr>
          <w:rFonts w:ascii="Georgia"/>
          <w:w w:val="105"/>
          <w:sz w:val="21"/>
        </w:rPr>
        <w:t>contraceptives,</w:t>
      </w:r>
      <w:r>
        <w:rPr>
          <w:rFonts w:ascii="Georgia"/>
          <w:spacing w:val="-9"/>
          <w:w w:val="105"/>
          <w:sz w:val="21"/>
        </w:rPr>
        <w:t> </w:t>
      </w:r>
      <w:r>
        <w:rPr>
          <w:rFonts w:ascii="Georgia"/>
          <w:w w:val="105"/>
          <w:sz w:val="21"/>
        </w:rPr>
        <w:t>affirming</w:t>
      </w:r>
      <w:r>
        <w:rPr>
          <w:rFonts w:ascii="Georgia"/>
          <w:spacing w:val="-9"/>
          <w:w w:val="105"/>
          <w:sz w:val="21"/>
        </w:rPr>
        <w:t> </w:t>
      </w:r>
      <w:r>
        <w:rPr>
          <w:rFonts w:ascii="Georgia"/>
          <w:w w:val="105"/>
          <w:sz w:val="21"/>
        </w:rPr>
        <w:t>medical</w:t>
      </w:r>
      <w:r>
        <w:rPr>
          <w:rFonts w:ascii="Georgia"/>
          <w:spacing w:val="-9"/>
          <w:w w:val="105"/>
          <w:sz w:val="21"/>
        </w:rPr>
        <w:t> </w:t>
      </w:r>
      <w:r>
        <w:rPr>
          <w:rFonts w:ascii="Georgia"/>
          <w:w w:val="105"/>
          <w:sz w:val="21"/>
        </w:rPr>
        <w:t>care,</w:t>
      </w:r>
      <w:r>
        <w:rPr>
          <w:rFonts w:ascii="Georgia"/>
          <w:spacing w:val="-8"/>
          <w:w w:val="105"/>
          <w:sz w:val="21"/>
        </w:rPr>
        <w:t> </w:t>
      </w:r>
      <w:r>
        <w:rPr>
          <w:rFonts w:ascii="Georgia"/>
          <w:spacing w:val="-5"/>
          <w:w w:val="105"/>
          <w:sz w:val="21"/>
        </w:rPr>
        <w:t>and</w:t>
      </w:r>
    </w:p>
    <w:p>
      <w:pPr>
        <w:spacing w:after="0" w:line="260" w:lineRule="atLeast"/>
        <w:jc w:val="left"/>
        <w:rPr>
          <w:rFonts w:ascii="Georgia"/>
          <w:sz w:val="21"/>
        </w:rPr>
        <w:sectPr>
          <w:type w:val="continuous"/>
          <w:pgSz w:w="12240" w:h="15840"/>
          <w:pgMar w:header="0" w:footer="0" w:top="1420" w:bottom="280" w:left="920" w:right="300"/>
        </w:sectPr>
      </w:pPr>
    </w:p>
    <w:p>
      <w:pPr>
        <w:spacing w:before="31"/>
        <w:ind w:left="275" w:right="0" w:firstLine="0"/>
        <w:jc w:val="left"/>
        <w:rPr>
          <w:rFonts w:ascii="Georgia"/>
          <w:sz w:val="21"/>
        </w:rPr>
      </w:pPr>
      <w:r>
        <w:rPr/>
        <mc:AlternateContent>
          <mc:Choice Requires="wps">
            <w:drawing>
              <wp:anchor distT="0" distB="0" distL="0" distR="0" allowOverlap="1" layoutInCell="1" locked="0" behindDoc="1" simplePos="0" relativeHeight="482616320">
                <wp:simplePos x="0" y="0"/>
                <wp:positionH relativeFrom="page">
                  <wp:posOffset>661416</wp:posOffset>
                </wp:positionH>
                <wp:positionV relativeFrom="paragraph">
                  <wp:posOffset>488742</wp:posOffset>
                </wp:positionV>
                <wp:extent cx="3475990" cy="2969895"/>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3475990" cy="2969895"/>
                          <a:chExt cx="3475990" cy="2969895"/>
                        </a:xfrm>
                      </wpg:grpSpPr>
                      <pic:pic>
                        <pic:nvPicPr>
                          <pic:cNvPr id="346" name="Image 346"/>
                          <pic:cNvPicPr/>
                        </pic:nvPicPr>
                        <pic:blipFill>
                          <a:blip r:embed="rId436" cstate="print"/>
                          <a:stretch>
                            <a:fillRect/>
                          </a:stretch>
                        </pic:blipFill>
                        <pic:spPr>
                          <a:xfrm>
                            <a:off x="0" y="0"/>
                            <a:ext cx="3475728" cy="2969629"/>
                          </a:xfrm>
                          <a:prstGeom prst="rect">
                            <a:avLst/>
                          </a:prstGeom>
                        </pic:spPr>
                      </pic:pic>
                      <wps:wsp>
                        <wps:cNvPr id="347" name="Textbox 347"/>
                        <wps:cNvSpPr txBox="1"/>
                        <wps:spPr>
                          <a:xfrm>
                            <a:off x="0" y="0"/>
                            <a:ext cx="3475990" cy="2969895"/>
                          </a:xfrm>
                          <a:prstGeom prst="rect">
                            <a:avLst/>
                          </a:prstGeom>
                        </wps:spPr>
                        <wps:txbx>
                          <w:txbxContent>
                            <w:p>
                              <w:pPr>
                                <w:spacing w:before="126"/>
                                <w:ind w:left="204" w:right="0" w:firstLine="0"/>
                                <w:jc w:val="left"/>
                                <w:rPr>
                                  <w:b/>
                                  <w:i/>
                                  <w:sz w:val="33"/>
                                </w:rPr>
                              </w:pPr>
                              <w:r>
                                <w:rPr>
                                  <w:b/>
                                  <w:i/>
                                  <w:spacing w:val="12"/>
                                  <w:w w:val="125"/>
                                  <w:sz w:val="33"/>
                                </w:rPr>
                                <w:t>RECOMMENDATIONS</w:t>
                              </w:r>
                            </w:p>
                            <w:p>
                              <w:pPr>
                                <w:spacing w:line="276" w:lineRule="auto" w:before="268"/>
                                <w:ind w:left="661" w:right="160" w:firstLine="0"/>
                                <w:jc w:val="left"/>
                                <w:rPr>
                                  <w:rFonts w:ascii="Georgia"/>
                                  <w:sz w:val="18"/>
                                </w:rPr>
                              </w:pPr>
                              <w:r>
                                <w:rPr>
                                  <w:rFonts w:ascii="Georgia"/>
                                  <w:w w:val="105"/>
                                  <w:sz w:val="18"/>
                                </w:rPr>
                                <w:t>Ensure that all youth have access to age-appropriate, LGBTQ-inclusive,</w:t>
                              </w:r>
                              <w:r>
                                <w:rPr>
                                  <w:rFonts w:ascii="Georgia"/>
                                  <w:spacing w:val="-12"/>
                                  <w:w w:val="105"/>
                                  <w:sz w:val="18"/>
                                </w:rPr>
                                <w:t> </w:t>
                              </w:r>
                              <w:r>
                                <w:rPr>
                                  <w:rFonts w:ascii="Georgia"/>
                                  <w:w w:val="105"/>
                                  <w:sz w:val="18"/>
                                </w:rPr>
                                <w:t>and</w:t>
                              </w:r>
                              <w:r>
                                <w:rPr>
                                  <w:rFonts w:ascii="Georgia"/>
                                  <w:spacing w:val="-11"/>
                                  <w:w w:val="105"/>
                                  <w:sz w:val="18"/>
                                </w:rPr>
                                <w:t> </w:t>
                              </w:r>
                              <w:r>
                                <w:rPr>
                                  <w:rFonts w:ascii="Georgia"/>
                                  <w:w w:val="105"/>
                                  <w:sz w:val="18"/>
                                </w:rPr>
                                <w:t>consent-based</w:t>
                              </w:r>
                              <w:r>
                                <w:rPr>
                                  <w:rFonts w:ascii="Georgia"/>
                                  <w:spacing w:val="-12"/>
                                  <w:w w:val="105"/>
                                  <w:sz w:val="18"/>
                                </w:rPr>
                                <w:t> </w:t>
                              </w:r>
                              <w:r>
                                <w:rPr>
                                  <w:rFonts w:ascii="Georgia"/>
                                  <w:w w:val="105"/>
                                  <w:sz w:val="18"/>
                                </w:rPr>
                                <w:t>sex</w:t>
                              </w:r>
                              <w:r>
                                <w:rPr>
                                  <w:rFonts w:ascii="Georgia"/>
                                  <w:spacing w:val="-11"/>
                                  <w:w w:val="105"/>
                                  <w:sz w:val="18"/>
                                </w:rPr>
                                <w:t> </w:t>
                              </w:r>
                              <w:r>
                                <w:rPr>
                                  <w:rFonts w:ascii="Georgia"/>
                                  <w:w w:val="105"/>
                                  <w:sz w:val="18"/>
                                </w:rPr>
                                <w:t>ed</w:t>
                              </w:r>
                              <w:r>
                                <w:rPr>
                                  <w:rFonts w:ascii="Georgia"/>
                                  <w:spacing w:val="-11"/>
                                  <w:w w:val="105"/>
                                  <w:sz w:val="18"/>
                                </w:rPr>
                                <w:t> </w:t>
                              </w:r>
                              <w:r>
                                <w:rPr>
                                  <w:rFonts w:ascii="Georgia"/>
                                  <w:w w:val="105"/>
                                  <w:sz w:val="18"/>
                                </w:rPr>
                                <w:t>and</w:t>
                              </w:r>
                              <w:r>
                                <w:rPr>
                                  <w:rFonts w:ascii="Georgia"/>
                                  <w:spacing w:val="-12"/>
                                  <w:w w:val="105"/>
                                  <w:sz w:val="18"/>
                                </w:rPr>
                                <w:t> </w:t>
                              </w:r>
                              <w:r>
                                <w:rPr>
                                  <w:rFonts w:ascii="Georgia"/>
                                  <w:w w:val="105"/>
                                  <w:sz w:val="18"/>
                                </w:rPr>
                                <w:t>provide educators with implementation support.</w:t>
                              </w:r>
                            </w:p>
                            <w:p>
                              <w:pPr>
                                <w:spacing w:line="240" w:lineRule="auto" w:before="148"/>
                                <w:rPr>
                                  <w:rFonts w:ascii="Georgia"/>
                                  <w:sz w:val="18"/>
                                </w:rPr>
                              </w:pPr>
                            </w:p>
                            <w:p>
                              <w:pPr>
                                <w:spacing w:line="276" w:lineRule="auto" w:before="0"/>
                                <w:ind w:left="661" w:right="0" w:firstLine="0"/>
                                <w:jc w:val="left"/>
                                <w:rPr>
                                  <w:rFonts w:ascii="Georgia"/>
                                  <w:sz w:val="18"/>
                                </w:rPr>
                              </w:pPr>
                              <w:r>
                                <w:rPr>
                                  <w:rFonts w:ascii="Georgia"/>
                                  <w:w w:val="105"/>
                                  <w:sz w:val="18"/>
                                </w:rPr>
                                <w:t>Support and increase HIV &amp; STI prevention and treatment</w:t>
                              </w:r>
                              <w:r>
                                <w:rPr>
                                  <w:rFonts w:ascii="Georgia"/>
                                  <w:spacing w:val="-11"/>
                                  <w:w w:val="105"/>
                                  <w:sz w:val="18"/>
                                </w:rPr>
                                <w:t> </w:t>
                              </w:r>
                              <w:r>
                                <w:rPr>
                                  <w:rFonts w:ascii="Georgia"/>
                                  <w:w w:val="105"/>
                                  <w:sz w:val="18"/>
                                </w:rPr>
                                <w:t>services</w:t>
                              </w:r>
                              <w:r>
                                <w:rPr>
                                  <w:rFonts w:ascii="Georgia"/>
                                  <w:spacing w:val="-11"/>
                                  <w:w w:val="105"/>
                                  <w:sz w:val="18"/>
                                </w:rPr>
                                <w:t> </w:t>
                              </w:r>
                              <w:r>
                                <w:rPr>
                                  <w:rFonts w:ascii="Georgia"/>
                                  <w:w w:val="105"/>
                                  <w:sz w:val="18"/>
                                </w:rPr>
                                <w:t>for</w:t>
                              </w:r>
                              <w:r>
                                <w:rPr>
                                  <w:rFonts w:ascii="Georgia"/>
                                  <w:spacing w:val="-11"/>
                                  <w:w w:val="105"/>
                                  <w:sz w:val="18"/>
                                </w:rPr>
                                <w:t> </w:t>
                              </w:r>
                              <w:r>
                                <w:rPr>
                                  <w:rFonts w:ascii="Georgia"/>
                                  <w:w w:val="105"/>
                                  <w:sz w:val="18"/>
                                </w:rPr>
                                <w:t>LGBTQ</w:t>
                              </w:r>
                              <w:r>
                                <w:rPr>
                                  <w:rFonts w:ascii="Georgia"/>
                                  <w:spacing w:val="-11"/>
                                  <w:w w:val="105"/>
                                  <w:sz w:val="18"/>
                                </w:rPr>
                                <w:t> </w:t>
                              </w:r>
                              <w:r>
                                <w:rPr>
                                  <w:rFonts w:ascii="Georgia"/>
                                  <w:w w:val="105"/>
                                  <w:sz w:val="18"/>
                                </w:rPr>
                                <w:t>youth,</w:t>
                              </w:r>
                              <w:r>
                                <w:rPr>
                                  <w:rFonts w:ascii="Georgia"/>
                                  <w:spacing w:val="-11"/>
                                  <w:w w:val="105"/>
                                  <w:sz w:val="18"/>
                                </w:rPr>
                                <w:t> </w:t>
                              </w:r>
                              <w:r>
                                <w:rPr>
                                  <w:rFonts w:ascii="Georgia"/>
                                  <w:w w:val="105"/>
                                  <w:sz w:val="18"/>
                                </w:rPr>
                                <w:t>and</w:t>
                              </w:r>
                              <w:r>
                                <w:rPr>
                                  <w:rFonts w:ascii="Georgia"/>
                                  <w:spacing w:val="-11"/>
                                  <w:w w:val="105"/>
                                  <w:sz w:val="18"/>
                                </w:rPr>
                                <w:t> </w:t>
                              </w:r>
                              <w:r>
                                <w:rPr>
                                  <w:rFonts w:ascii="Georgia"/>
                                  <w:w w:val="105"/>
                                  <w:sz w:val="18"/>
                                </w:rPr>
                                <w:t>awareness campaigns across the state.</w:t>
                              </w:r>
                            </w:p>
                            <w:p>
                              <w:pPr>
                                <w:spacing w:line="240" w:lineRule="auto" w:before="115"/>
                                <w:rPr>
                                  <w:rFonts w:ascii="Georgia"/>
                                  <w:sz w:val="18"/>
                                </w:rPr>
                              </w:pPr>
                            </w:p>
                            <w:p>
                              <w:pPr>
                                <w:spacing w:line="264" w:lineRule="auto" w:before="0"/>
                                <w:ind w:left="661" w:right="160" w:firstLine="0"/>
                                <w:jc w:val="left"/>
                                <w:rPr>
                                  <w:rFonts w:ascii="Georgia"/>
                                  <w:sz w:val="18"/>
                                </w:rPr>
                              </w:pPr>
                              <w:r>
                                <w:rPr>
                                  <w:rFonts w:ascii="Georgia"/>
                                  <w:sz w:val="18"/>
                                </w:rPr>
                                <w:t>Prohibit medical providers from performing non- consensual examinations on unconscious </w:t>
                              </w:r>
                              <w:r>
                                <w:rPr>
                                  <w:rFonts w:ascii="Georgia"/>
                                  <w:sz w:val="18"/>
                                </w:rPr>
                                <w:t>patients.</w:t>
                              </w:r>
                            </w:p>
                            <w:p>
                              <w:pPr>
                                <w:spacing w:line="240" w:lineRule="auto" w:before="191"/>
                                <w:rPr>
                                  <w:rFonts w:ascii="Georgia"/>
                                  <w:sz w:val="18"/>
                                </w:rPr>
                              </w:pPr>
                            </w:p>
                            <w:p>
                              <w:pPr>
                                <w:spacing w:line="264" w:lineRule="auto" w:before="0"/>
                                <w:ind w:left="723" w:right="160" w:firstLine="0"/>
                                <w:jc w:val="left"/>
                                <w:rPr>
                                  <w:rFonts w:ascii="Georgia"/>
                                  <w:sz w:val="18"/>
                                </w:rPr>
                              </w:pPr>
                              <w:r>
                                <w:rPr>
                                  <w:rFonts w:ascii="Georgia"/>
                                  <w:sz w:val="18"/>
                                </w:rPr>
                                <w:t>Support and increase HIV &amp; STI prevention </w:t>
                              </w:r>
                              <w:r>
                                <w:rPr>
                                  <w:rFonts w:ascii="Georgia"/>
                                  <w:sz w:val="18"/>
                                </w:rPr>
                                <w:t>and </w:t>
                              </w:r>
                              <w:r>
                                <w:rPr>
                                  <w:rFonts w:ascii="Georgia"/>
                                  <w:w w:val="105"/>
                                  <w:sz w:val="18"/>
                                </w:rPr>
                                <w:t>treatment services and awareness campaigns.</w:t>
                              </w:r>
                            </w:p>
                          </w:txbxContent>
                        </wps:txbx>
                        <wps:bodyPr wrap="square" lIns="0" tIns="0" rIns="0" bIns="0" rtlCol="0">
                          <a:noAutofit/>
                        </wps:bodyPr>
                      </wps:wsp>
                    </wpg:wgp>
                  </a:graphicData>
                </a:graphic>
              </wp:anchor>
            </w:drawing>
          </mc:Choice>
          <mc:Fallback>
            <w:pict>
              <v:group style="position:absolute;margin-left:52.080006pt;margin-top:38.483665pt;width:273.7pt;height:233.85pt;mso-position-horizontal-relative:page;mso-position-vertical-relative:paragraph;z-index:-20700160" id="docshapegroup274" coordorigin="1042,770" coordsize="5474,4677">
                <v:shape style="position:absolute;left:1041;top:769;width:5474;height:4677" type="#_x0000_t75" id="docshape275" stroked="false">
                  <v:imagedata r:id="rId436" o:title=""/>
                </v:shape>
                <v:shape style="position:absolute;left:1041;top:769;width:5474;height:4677" type="#_x0000_t202" id="docshape276" filled="false" stroked="false">
                  <v:textbox inset="0,0,0,0">
                    <w:txbxContent>
                      <w:p>
                        <w:pPr>
                          <w:spacing w:before="126"/>
                          <w:ind w:left="204" w:right="0" w:firstLine="0"/>
                          <w:jc w:val="left"/>
                          <w:rPr>
                            <w:b/>
                            <w:i/>
                            <w:sz w:val="33"/>
                          </w:rPr>
                        </w:pPr>
                        <w:r>
                          <w:rPr>
                            <w:b/>
                            <w:i/>
                            <w:spacing w:val="12"/>
                            <w:w w:val="125"/>
                            <w:sz w:val="33"/>
                          </w:rPr>
                          <w:t>RECOMMENDATIONS</w:t>
                        </w:r>
                      </w:p>
                      <w:p>
                        <w:pPr>
                          <w:spacing w:line="276" w:lineRule="auto" w:before="268"/>
                          <w:ind w:left="661" w:right="160" w:firstLine="0"/>
                          <w:jc w:val="left"/>
                          <w:rPr>
                            <w:rFonts w:ascii="Georgia"/>
                            <w:sz w:val="18"/>
                          </w:rPr>
                        </w:pPr>
                        <w:r>
                          <w:rPr>
                            <w:rFonts w:ascii="Georgia"/>
                            <w:w w:val="105"/>
                            <w:sz w:val="18"/>
                          </w:rPr>
                          <w:t>Ensure that all youth have access to age-appropriate, LGBTQ-inclusive,</w:t>
                        </w:r>
                        <w:r>
                          <w:rPr>
                            <w:rFonts w:ascii="Georgia"/>
                            <w:spacing w:val="-12"/>
                            <w:w w:val="105"/>
                            <w:sz w:val="18"/>
                          </w:rPr>
                          <w:t> </w:t>
                        </w:r>
                        <w:r>
                          <w:rPr>
                            <w:rFonts w:ascii="Georgia"/>
                            <w:w w:val="105"/>
                            <w:sz w:val="18"/>
                          </w:rPr>
                          <w:t>and</w:t>
                        </w:r>
                        <w:r>
                          <w:rPr>
                            <w:rFonts w:ascii="Georgia"/>
                            <w:spacing w:val="-11"/>
                            <w:w w:val="105"/>
                            <w:sz w:val="18"/>
                          </w:rPr>
                          <w:t> </w:t>
                        </w:r>
                        <w:r>
                          <w:rPr>
                            <w:rFonts w:ascii="Georgia"/>
                            <w:w w:val="105"/>
                            <w:sz w:val="18"/>
                          </w:rPr>
                          <w:t>consent-based</w:t>
                        </w:r>
                        <w:r>
                          <w:rPr>
                            <w:rFonts w:ascii="Georgia"/>
                            <w:spacing w:val="-12"/>
                            <w:w w:val="105"/>
                            <w:sz w:val="18"/>
                          </w:rPr>
                          <w:t> </w:t>
                        </w:r>
                        <w:r>
                          <w:rPr>
                            <w:rFonts w:ascii="Georgia"/>
                            <w:w w:val="105"/>
                            <w:sz w:val="18"/>
                          </w:rPr>
                          <w:t>sex</w:t>
                        </w:r>
                        <w:r>
                          <w:rPr>
                            <w:rFonts w:ascii="Georgia"/>
                            <w:spacing w:val="-11"/>
                            <w:w w:val="105"/>
                            <w:sz w:val="18"/>
                          </w:rPr>
                          <w:t> </w:t>
                        </w:r>
                        <w:r>
                          <w:rPr>
                            <w:rFonts w:ascii="Georgia"/>
                            <w:w w:val="105"/>
                            <w:sz w:val="18"/>
                          </w:rPr>
                          <w:t>ed</w:t>
                        </w:r>
                        <w:r>
                          <w:rPr>
                            <w:rFonts w:ascii="Georgia"/>
                            <w:spacing w:val="-11"/>
                            <w:w w:val="105"/>
                            <w:sz w:val="18"/>
                          </w:rPr>
                          <w:t> </w:t>
                        </w:r>
                        <w:r>
                          <w:rPr>
                            <w:rFonts w:ascii="Georgia"/>
                            <w:w w:val="105"/>
                            <w:sz w:val="18"/>
                          </w:rPr>
                          <w:t>and</w:t>
                        </w:r>
                        <w:r>
                          <w:rPr>
                            <w:rFonts w:ascii="Georgia"/>
                            <w:spacing w:val="-12"/>
                            <w:w w:val="105"/>
                            <w:sz w:val="18"/>
                          </w:rPr>
                          <w:t> </w:t>
                        </w:r>
                        <w:r>
                          <w:rPr>
                            <w:rFonts w:ascii="Georgia"/>
                            <w:w w:val="105"/>
                            <w:sz w:val="18"/>
                          </w:rPr>
                          <w:t>provide educators with implementation support.</w:t>
                        </w:r>
                      </w:p>
                      <w:p>
                        <w:pPr>
                          <w:spacing w:line="240" w:lineRule="auto" w:before="148"/>
                          <w:rPr>
                            <w:rFonts w:ascii="Georgia"/>
                            <w:sz w:val="18"/>
                          </w:rPr>
                        </w:pPr>
                      </w:p>
                      <w:p>
                        <w:pPr>
                          <w:spacing w:line="276" w:lineRule="auto" w:before="0"/>
                          <w:ind w:left="661" w:right="0" w:firstLine="0"/>
                          <w:jc w:val="left"/>
                          <w:rPr>
                            <w:rFonts w:ascii="Georgia"/>
                            <w:sz w:val="18"/>
                          </w:rPr>
                        </w:pPr>
                        <w:r>
                          <w:rPr>
                            <w:rFonts w:ascii="Georgia"/>
                            <w:w w:val="105"/>
                            <w:sz w:val="18"/>
                          </w:rPr>
                          <w:t>Support and increase HIV &amp; STI prevention and treatment</w:t>
                        </w:r>
                        <w:r>
                          <w:rPr>
                            <w:rFonts w:ascii="Georgia"/>
                            <w:spacing w:val="-11"/>
                            <w:w w:val="105"/>
                            <w:sz w:val="18"/>
                          </w:rPr>
                          <w:t> </w:t>
                        </w:r>
                        <w:r>
                          <w:rPr>
                            <w:rFonts w:ascii="Georgia"/>
                            <w:w w:val="105"/>
                            <w:sz w:val="18"/>
                          </w:rPr>
                          <w:t>services</w:t>
                        </w:r>
                        <w:r>
                          <w:rPr>
                            <w:rFonts w:ascii="Georgia"/>
                            <w:spacing w:val="-11"/>
                            <w:w w:val="105"/>
                            <w:sz w:val="18"/>
                          </w:rPr>
                          <w:t> </w:t>
                        </w:r>
                        <w:r>
                          <w:rPr>
                            <w:rFonts w:ascii="Georgia"/>
                            <w:w w:val="105"/>
                            <w:sz w:val="18"/>
                          </w:rPr>
                          <w:t>for</w:t>
                        </w:r>
                        <w:r>
                          <w:rPr>
                            <w:rFonts w:ascii="Georgia"/>
                            <w:spacing w:val="-11"/>
                            <w:w w:val="105"/>
                            <w:sz w:val="18"/>
                          </w:rPr>
                          <w:t> </w:t>
                        </w:r>
                        <w:r>
                          <w:rPr>
                            <w:rFonts w:ascii="Georgia"/>
                            <w:w w:val="105"/>
                            <w:sz w:val="18"/>
                          </w:rPr>
                          <w:t>LGBTQ</w:t>
                        </w:r>
                        <w:r>
                          <w:rPr>
                            <w:rFonts w:ascii="Georgia"/>
                            <w:spacing w:val="-11"/>
                            <w:w w:val="105"/>
                            <w:sz w:val="18"/>
                          </w:rPr>
                          <w:t> </w:t>
                        </w:r>
                        <w:r>
                          <w:rPr>
                            <w:rFonts w:ascii="Georgia"/>
                            <w:w w:val="105"/>
                            <w:sz w:val="18"/>
                          </w:rPr>
                          <w:t>youth,</w:t>
                        </w:r>
                        <w:r>
                          <w:rPr>
                            <w:rFonts w:ascii="Georgia"/>
                            <w:spacing w:val="-11"/>
                            <w:w w:val="105"/>
                            <w:sz w:val="18"/>
                          </w:rPr>
                          <w:t> </w:t>
                        </w:r>
                        <w:r>
                          <w:rPr>
                            <w:rFonts w:ascii="Georgia"/>
                            <w:w w:val="105"/>
                            <w:sz w:val="18"/>
                          </w:rPr>
                          <w:t>and</w:t>
                        </w:r>
                        <w:r>
                          <w:rPr>
                            <w:rFonts w:ascii="Georgia"/>
                            <w:spacing w:val="-11"/>
                            <w:w w:val="105"/>
                            <w:sz w:val="18"/>
                          </w:rPr>
                          <w:t> </w:t>
                        </w:r>
                        <w:r>
                          <w:rPr>
                            <w:rFonts w:ascii="Georgia"/>
                            <w:w w:val="105"/>
                            <w:sz w:val="18"/>
                          </w:rPr>
                          <w:t>awareness campaigns across the state.</w:t>
                        </w:r>
                      </w:p>
                      <w:p>
                        <w:pPr>
                          <w:spacing w:line="240" w:lineRule="auto" w:before="115"/>
                          <w:rPr>
                            <w:rFonts w:ascii="Georgia"/>
                            <w:sz w:val="18"/>
                          </w:rPr>
                        </w:pPr>
                      </w:p>
                      <w:p>
                        <w:pPr>
                          <w:spacing w:line="264" w:lineRule="auto" w:before="0"/>
                          <w:ind w:left="661" w:right="160" w:firstLine="0"/>
                          <w:jc w:val="left"/>
                          <w:rPr>
                            <w:rFonts w:ascii="Georgia"/>
                            <w:sz w:val="18"/>
                          </w:rPr>
                        </w:pPr>
                        <w:r>
                          <w:rPr>
                            <w:rFonts w:ascii="Georgia"/>
                            <w:sz w:val="18"/>
                          </w:rPr>
                          <w:t>Prohibit medical providers from performing non- consensual examinations on unconscious </w:t>
                        </w:r>
                        <w:r>
                          <w:rPr>
                            <w:rFonts w:ascii="Georgia"/>
                            <w:sz w:val="18"/>
                          </w:rPr>
                          <w:t>patients.</w:t>
                        </w:r>
                      </w:p>
                      <w:p>
                        <w:pPr>
                          <w:spacing w:line="240" w:lineRule="auto" w:before="191"/>
                          <w:rPr>
                            <w:rFonts w:ascii="Georgia"/>
                            <w:sz w:val="18"/>
                          </w:rPr>
                        </w:pPr>
                      </w:p>
                      <w:p>
                        <w:pPr>
                          <w:spacing w:line="264" w:lineRule="auto" w:before="0"/>
                          <w:ind w:left="723" w:right="160" w:firstLine="0"/>
                          <w:jc w:val="left"/>
                          <w:rPr>
                            <w:rFonts w:ascii="Georgia"/>
                            <w:sz w:val="18"/>
                          </w:rPr>
                        </w:pPr>
                        <w:r>
                          <w:rPr>
                            <w:rFonts w:ascii="Georgia"/>
                            <w:sz w:val="18"/>
                          </w:rPr>
                          <w:t>Support and increase HIV &amp; STI prevention </w:t>
                        </w:r>
                        <w:r>
                          <w:rPr>
                            <w:rFonts w:ascii="Georgia"/>
                            <w:sz w:val="18"/>
                          </w:rPr>
                          <w:t>and </w:t>
                        </w:r>
                        <w:r>
                          <w:rPr>
                            <w:rFonts w:ascii="Georgia"/>
                            <w:w w:val="105"/>
                            <w:sz w:val="18"/>
                          </w:rPr>
                          <w:t>treatment services and awareness campaigns.</w:t>
                        </w:r>
                      </w:p>
                    </w:txbxContent>
                  </v:textbox>
                  <w10:wrap type="none"/>
                </v:shape>
                <w10:wrap type="none"/>
              </v:group>
            </w:pict>
          </mc:Fallback>
        </mc:AlternateContent>
      </w:r>
      <w:r>
        <w:rPr>
          <w:rFonts w:ascii="Georgia"/>
          <w:sz w:val="21"/>
        </w:rPr>
        <w:t>inclusive</w:t>
      </w:r>
      <w:r>
        <w:rPr>
          <w:rFonts w:ascii="Georgia"/>
          <w:spacing w:val="16"/>
          <w:sz w:val="21"/>
        </w:rPr>
        <w:t> </w:t>
      </w:r>
      <w:r>
        <w:rPr>
          <w:rFonts w:ascii="Georgia"/>
          <w:sz w:val="21"/>
        </w:rPr>
        <w:t>sexual</w:t>
      </w:r>
      <w:r>
        <w:rPr>
          <w:rFonts w:ascii="Georgia"/>
          <w:spacing w:val="17"/>
          <w:sz w:val="21"/>
        </w:rPr>
        <w:t> </w:t>
      </w:r>
      <w:r>
        <w:rPr>
          <w:rFonts w:ascii="Georgia"/>
          <w:sz w:val="21"/>
        </w:rPr>
        <w:t>health</w:t>
      </w:r>
      <w:r>
        <w:rPr>
          <w:rFonts w:ascii="Georgia"/>
          <w:spacing w:val="17"/>
          <w:sz w:val="21"/>
        </w:rPr>
        <w:t> </w:t>
      </w:r>
      <w:r>
        <w:rPr>
          <w:rFonts w:ascii="Georgia"/>
          <w:spacing w:val="-2"/>
          <w:sz w:val="21"/>
        </w:rPr>
        <w:t>education.</w:t>
      </w:r>
    </w:p>
    <w:p>
      <w:pPr>
        <w:pStyle w:val="Heading3"/>
        <w:spacing w:line="681" w:lineRule="exact"/>
        <w:ind w:left="77" w:right="819"/>
        <w:jc w:val="center"/>
      </w:pPr>
      <w:r>
        <w:rPr>
          <w:b w:val="0"/>
        </w:rPr>
        <w:br w:type="column"/>
      </w:r>
      <w:r>
        <w:rPr>
          <w:emboss/>
          <w:color w:val="001389"/>
          <w:spacing w:val="37"/>
          <w:w w:val="90"/>
        </w:rPr>
        <w:t>40-</w:t>
      </w:r>
      <w:r>
        <w:rPr>
          <w:emboss/>
          <w:color w:val="001389"/>
          <w:spacing w:val="19"/>
          <w:w w:val="90"/>
        </w:rPr>
        <w:t>60%</w:t>
      </w:r>
    </w:p>
    <w:p>
      <w:pPr>
        <w:spacing w:line="278" w:lineRule="auto" w:before="13"/>
        <w:ind w:left="479" w:right="1286" w:firstLine="0"/>
        <w:jc w:val="center"/>
        <w:rPr>
          <w:rFonts w:ascii="Georgia"/>
          <w:sz w:val="20"/>
        </w:rPr>
      </w:pPr>
      <w:r>
        <w:rPr>
          <w:rFonts w:ascii="Georgia"/>
          <w:w w:val="105"/>
          <w:sz w:val="20"/>
        </w:rPr>
        <w:t>of</w:t>
      </w:r>
      <w:r>
        <w:rPr>
          <w:rFonts w:ascii="Georgia"/>
          <w:spacing w:val="-13"/>
          <w:w w:val="105"/>
          <w:sz w:val="20"/>
        </w:rPr>
        <w:t> </w:t>
      </w:r>
      <w:r>
        <w:rPr>
          <w:rFonts w:ascii="Georgia"/>
          <w:w w:val="105"/>
          <w:sz w:val="20"/>
        </w:rPr>
        <w:t>Black</w:t>
      </w:r>
      <w:r>
        <w:rPr>
          <w:rFonts w:ascii="Georgia"/>
          <w:spacing w:val="-13"/>
          <w:w w:val="105"/>
          <w:sz w:val="20"/>
        </w:rPr>
        <w:t> </w:t>
      </w:r>
      <w:r>
        <w:rPr>
          <w:rFonts w:ascii="Georgia"/>
          <w:w w:val="105"/>
          <w:sz w:val="20"/>
        </w:rPr>
        <w:t>women</w:t>
      </w:r>
      <w:r>
        <w:rPr>
          <w:rFonts w:ascii="Georgia"/>
          <w:spacing w:val="-12"/>
          <w:w w:val="105"/>
          <w:sz w:val="20"/>
        </w:rPr>
        <w:t> </w:t>
      </w:r>
      <w:r>
        <w:rPr>
          <w:rFonts w:ascii="Georgia"/>
          <w:w w:val="105"/>
          <w:sz w:val="20"/>
        </w:rPr>
        <w:t>reporting</w:t>
      </w:r>
      <w:r>
        <w:rPr>
          <w:rFonts w:ascii="Georgia"/>
          <w:spacing w:val="-13"/>
          <w:w w:val="105"/>
          <w:sz w:val="20"/>
        </w:rPr>
        <w:t> </w:t>
      </w:r>
      <w:r>
        <w:rPr>
          <w:rFonts w:ascii="Georgia"/>
          <w:w w:val="105"/>
          <w:sz w:val="20"/>
        </w:rPr>
        <w:t>being subjected to coercive sexual contact by the age of 18</w:t>
      </w:r>
    </w:p>
    <w:p>
      <w:pPr>
        <w:pStyle w:val="BodyText"/>
        <w:rPr>
          <w:rFonts w:ascii="Georgia"/>
          <w:sz w:val="20"/>
        </w:rPr>
      </w:pPr>
    </w:p>
    <w:p>
      <w:pPr>
        <w:pStyle w:val="BodyText"/>
        <w:rPr>
          <w:rFonts w:ascii="Georgia"/>
          <w:sz w:val="20"/>
        </w:rPr>
      </w:pPr>
    </w:p>
    <w:p>
      <w:pPr>
        <w:pStyle w:val="BodyText"/>
        <w:spacing w:line="20" w:lineRule="exact"/>
        <w:ind w:left="-111"/>
        <w:rPr>
          <w:rFonts w:ascii="Georgia"/>
          <w:sz w:val="2"/>
        </w:rPr>
      </w:pPr>
      <w:r>
        <w:rPr>
          <w:rFonts w:ascii="Georgia"/>
          <w:sz w:val="2"/>
        </w:rPr>
        <mc:AlternateContent>
          <mc:Choice Requires="wps">
            <w:drawing>
              <wp:inline distT="0" distB="0" distL="0" distR="0">
                <wp:extent cx="2773680" cy="28575"/>
                <wp:effectExtent l="19050" t="0" r="7619" b="0"/>
                <wp:docPr id="348" name="Group 348"/>
                <wp:cNvGraphicFramePr>
                  <a:graphicFrameLocks/>
                </wp:cNvGraphicFramePr>
                <a:graphic>
                  <a:graphicData uri="http://schemas.microsoft.com/office/word/2010/wordprocessingGroup">
                    <wpg:wgp>
                      <wpg:cNvPr id="348" name="Group 348"/>
                      <wpg:cNvGrpSpPr/>
                      <wpg:grpSpPr>
                        <a:xfrm>
                          <a:off x="0" y="0"/>
                          <a:ext cx="2773680" cy="28575"/>
                          <a:chExt cx="2773680" cy="28575"/>
                        </a:xfrm>
                      </wpg:grpSpPr>
                      <wps:wsp>
                        <wps:cNvPr id="349" name="Graphic 349"/>
                        <wps:cNvSpPr/>
                        <wps:spPr>
                          <a:xfrm>
                            <a:off x="0" y="14287"/>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g:wgp>
                  </a:graphicData>
                </a:graphic>
              </wp:inline>
            </w:drawing>
          </mc:Choice>
          <mc:Fallback>
            <w:pict>
              <v:group style="width:218.4pt;height:2.25pt;mso-position-horizontal-relative:char;mso-position-vertical-relative:line" id="docshapegroup277" coordorigin="0,0" coordsize="4368,45">
                <v:line style="position:absolute" from="0,23" to="4368,23" stroked="true" strokeweight="2.25pt" strokecolor="#001389">
                  <v:stroke dashstyle="shortdash"/>
                </v:line>
              </v:group>
            </w:pict>
          </mc:Fallback>
        </mc:AlternateContent>
      </w:r>
      <w:r>
        <w:rPr>
          <w:rFonts w:ascii="Georgia"/>
          <w:sz w:val="2"/>
        </w:rPr>
      </w:r>
    </w:p>
    <w:p>
      <w:pPr>
        <w:pStyle w:val="Heading3"/>
        <w:spacing w:before="11"/>
        <w:ind w:right="819"/>
        <w:jc w:val="center"/>
      </w:pPr>
      <w:r>
        <w:rPr>
          <w:emboss/>
          <w:color w:val="001389"/>
          <w:spacing w:val="19"/>
          <w:w w:val="80"/>
        </w:rPr>
        <w:t>38%</w:t>
      </w:r>
    </w:p>
    <w:p>
      <w:pPr>
        <w:spacing w:line="278" w:lineRule="auto" w:before="60"/>
        <w:ind w:left="275" w:right="948" w:hanging="1"/>
        <w:jc w:val="center"/>
        <w:rPr>
          <w:rFonts w:ascii="Georgia"/>
          <w:sz w:val="20"/>
        </w:rPr>
      </w:pPr>
      <w:r>
        <w:rPr>
          <w:rFonts w:ascii="Georgia"/>
          <w:w w:val="105"/>
          <w:sz w:val="20"/>
        </w:rPr>
        <w:t>of</w:t>
      </w:r>
      <w:r>
        <w:rPr>
          <w:rFonts w:ascii="Georgia"/>
          <w:spacing w:val="40"/>
          <w:w w:val="105"/>
          <w:sz w:val="20"/>
        </w:rPr>
        <w:t> </w:t>
      </w:r>
      <w:r>
        <w:rPr>
          <w:rFonts w:ascii="Georgia"/>
          <w:w w:val="105"/>
          <w:sz w:val="20"/>
        </w:rPr>
        <w:t>LGBTQ youth used a condom during their</w:t>
      </w:r>
      <w:r>
        <w:rPr>
          <w:rFonts w:ascii="Georgia"/>
          <w:spacing w:val="-13"/>
          <w:w w:val="105"/>
          <w:sz w:val="20"/>
        </w:rPr>
        <w:t> </w:t>
      </w:r>
      <w:r>
        <w:rPr>
          <w:rFonts w:ascii="Georgia"/>
          <w:w w:val="105"/>
          <w:sz w:val="20"/>
        </w:rPr>
        <w:t>last</w:t>
      </w:r>
      <w:r>
        <w:rPr>
          <w:rFonts w:ascii="Georgia"/>
          <w:spacing w:val="-13"/>
          <w:w w:val="105"/>
          <w:sz w:val="20"/>
        </w:rPr>
        <w:t> </w:t>
      </w:r>
      <w:r>
        <w:rPr>
          <w:rFonts w:ascii="Georgia"/>
          <w:w w:val="105"/>
          <w:sz w:val="20"/>
        </w:rPr>
        <w:t>sexual</w:t>
      </w:r>
      <w:r>
        <w:rPr>
          <w:rFonts w:ascii="Georgia"/>
          <w:spacing w:val="-12"/>
          <w:w w:val="105"/>
          <w:sz w:val="20"/>
        </w:rPr>
        <w:t> </w:t>
      </w:r>
      <w:r>
        <w:rPr>
          <w:rFonts w:ascii="Georgia"/>
          <w:w w:val="105"/>
          <w:sz w:val="20"/>
        </w:rPr>
        <w:t>intercourse</w:t>
      </w:r>
      <w:r>
        <w:rPr>
          <w:rFonts w:ascii="Georgia"/>
          <w:spacing w:val="-13"/>
          <w:w w:val="105"/>
          <w:sz w:val="20"/>
        </w:rPr>
        <w:t> </w:t>
      </w:r>
      <w:r>
        <w:rPr>
          <w:rFonts w:ascii="Georgia"/>
          <w:w w:val="105"/>
          <w:sz w:val="20"/>
        </w:rPr>
        <w:t>compared</w:t>
      </w:r>
      <w:r>
        <w:rPr>
          <w:rFonts w:ascii="Georgia"/>
          <w:spacing w:val="-13"/>
          <w:w w:val="105"/>
          <w:sz w:val="20"/>
        </w:rPr>
        <w:t> </w:t>
      </w:r>
      <w:r>
        <w:rPr>
          <w:rFonts w:ascii="Georgia"/>
          <w:w w:val="105"/>
          <w:sz w:val="20"/>
        </w:rPr>
        <w:t>to </w:t>
      </w:r>
      <w:r>
        <w:rPr>
          <w:rFonts w:ascii="Georgia"/>
          <w:sz w:val="20"/>
        </w:rPr>
        <w:t>60%</w:t>
      </w:r>
      <w:r>
        <w:rPr>
          <w:rFonts w:ascii="Georgia"/>
          <w:spacing w:val="8"/>
          <w:sz w:val="20"/>
        </w:rPr>
        <w:t> </w:t>
      </w:r>
      <w:r>
        <w:rPr>
          <w:rFonts w:ascii="Georgia"/>
          <w:sz w:val="20"/>
        </w:rPr>
        <w:t>of</w:t>
      </w:r>
      <w:r>
        <w:rPr>
          <w:rFonts w:ascii="Georgia"/>
          <w:spacing w:val="9"/>
          <w:sz w:val="20"/>
        </w:rPr>
        <w:t> </w:t>
      </w:r>
      <w:r>
        <w:rPr>
          <w:rFonts w:ascii="Georgia"/>
          <w:sz w:val="20"/>
        </w:rPr>
        <w:t>heterosexual</w:t>
      </w:r>
      <w:r>
        <w:rPr>
          <w:rFonts w:ascii="Georgia"/>
          <w:spacing w:val="9"/>
          <w:sz w:val="20"/>
        </w:rPr>
        <w:t> </w:t>
      </w:r>
      <w:r>
        <w:rPr>
          <w:rFonts w:ascii="Georgia"/>
          <w:sz w:val="20"/>
        </w:rPr>
        <w:t>and</w:t>
      </w:r>
      <w:r>
        <w:rPr>
          <w:rFonts w:ascii="Georgia"/>
          <w:spacing w:val="9"/>
          <w:sz w:val="20"/>
        </w:rPr>
        <w:t> </w:t>
      </w:r>
      <w:r>
        <w:rPr>
          <w:rFonts w:ascii="Georgia"/>
          <w:sz w:val="20"/>
        </w:rPr>
        <w:t>cisgender</w:t>
      </w:r>
      <w:r>
        <w:rPr>
          <w:rFonts w:ascii="Georgia"/>
          <w:spacing w:val="9"/>
          <w:sz w:val="20"/>
        </w:rPr>
        <w:t> </w:t>
      </w:r>
      <w:r>
        <w:rPr>
          <w:rFonts w:ascii="Georgia"/>
          <w:spacing w:val="-4"/>
          <w:sz w:val="20"/>
        </w:rPr>
        <w:t>youth</w:t>
      </w:r>
    </w:p>
    <w:p>
      <w:pPr>
        <w:spacing w:after="0" w:line="278" w:lineRule="auto"/>
        <w:jc w:val="center"/>
        <w:rPr>
          <w:rFonts w:ascii="Georgia"/>
          <w:sz w:val="20"/>
        </w:rPr>
        <w:sectPr>
          <w:type w:val="continuous"/>
          <w:pgSz w:w="12240" w:h="15840"/>
          <w:pgMar w:header="0" w:footer="0" w:top="1420" w:bottom="280" w:left="920" w:right="300"/>
          <w:cols w:num="2" w:equalWidth="0">
            <w:col w:w="3531" w:space="2521"/>
            <w:col w:w="4968"/>
          </w:cols>
        </w:sectPr>
      </w:pPr>
    </w:p>
    <w:p>
      <w:pPr>
        <w:pStyle w:val="BodyText"/>
        <w:spacing w:before="210"/>
        <w:rPr>
          <w:rFonts w:ascii="Georgia"/>
          <w:sz w:val="20"/>
        </w:rPr>
      </w:pPr>
      <w:r>
        <w:rPr/>
        <mc:AlternateContent>
          <mc:Choice Requires="wps">
            <w:drawing>
              <wp:anchor distT="0" distB="0" distL="0" distR="0" allowOverlap="1" layoutInCell="1" locked="0" behindDoc="1" simplePos="0" relativeHeight="482615808">
                <wp:simplePos x="0" y="0"/>
                <wp:positionH relativeFrom="page">
                  <wp:posOffset>0</wp:posOffset>
                </wp:positionH>
                <wp:positionV relativeFrom="page">
                  <wp:posOffset>0</wp:posOffset>
                </wp:positionV>
                <wp:extent cx="7772400" cy="517398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7772400" cy="5173980"/>
                          <a:chExt cx="7772400" cy="5173980"/>
                        </a:xfrm>
                      </wpg:grpSpPr>
                      <pic:pic>
                        <pic:nvPicPr>
                          <pic:cNvPr id="351" name="Image 351"/>
                          <pic:cNvPicPr/>
                        </pic:nvPicPr>
                        <pic:blipFill>
                          <a:blip r:embed="rId437" cstate="print"/>
                          <a:stretch>
                            <a:fillRect/>
                          </a:stretch>
                        </pic:blipFill>
                        <pic:spPr>
                          <a:xfrm>
                            <a:off x="0" y="0"/>
                            <a:ext cx="7772399" cy="3089111"/>
                          </a:xfrm>
                          <a:prstGeom prst="rect">
                            <a:avLst/>
                          </a:prstGeom>
                        </pic:spPr>
                      </pic:pic>
                      <pic:pic>
                        <pic:nvPicPr>
                          <pic:cNvPr id="352" name="Image 352"/>
                          <pic:cNvPicPr/>
                        </pic:nvPicPr>
                        <pic:blipFill>
                          <a:blip r:embed="rId98" cstate="print"/>
                          <a:stretch>
                            <a:fillRect/>
                          </a:stretch>
                        </pic:blipFill>
                        <pic:spPr>
                          <a:xfrm>
                            <a:off x="4978374" y="735420"/>
                            <a:ext cx="1480888" cy="1480632"/>
                          </a:xfrm>
                          <a:prstGeom prst="rect">
                            <a:avLst/>
                          </a:prstGeom>
                        </pic:spPr>
                      </pic:pic>
                      <wps:wsp>
                        <wps:cNvPr id="353" name="Graphic 353"/>
                        <wps:cNvSpPr/>
                        <wps:spPr>
                          <a:xfrm>
                            <a:off x="4964629" y="721666"/>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pic:pic>
                        <pic:nvPicPr>
                          <pic:cNvPr id="354" name="Image 354"/>
                          <pic:cNvPicPr/>
                        </pic:nvPicPr>
                        <pic:blipFill>
                          <a:blip r:embed="rId438" cstate="print"/>
                          <a:stretch>
                            <a:fillRect/>
                          </a:stretch>
                        </pic:blipFill>
                        <pic:spPr>
                          <a:xfrm>
                            <a:off x="655211" y="2413049"/>
                            <a:ext cx="4291687" cy="2760834"/>
                          </a:xfrm>
                          <a:prstGeom prst="rect">
                            <a:avLst/>
                          </a:prstGeom>
                        </pic:spPr>
                      </pic:pic>
                    </wpg:wgp>
                  </a:graphicData>
                </a:graphic>
              </wp:anchor>
            </w:drawing>
          </mc:Choice>
          <mc:Fallback>
            <w:pict>
              <v:group style="position:absolute;margin-left:-.000013pt;margin-top:.000017pt;width:612pt;height:407.4pt;mso-position-horizontal-relative:page;mso-position-vertical-relative:page;z-index:-20700672" id="docshapegroup278" coordorigin="0,0" coordsize="12240,8148">
                <v:shape style="position:absolute;left:0;top:0;width:12240;height:4865" type="#_x0000_t75" id="docshape279" stroked="false">
                  <v:imagedata r:id="rId437" o:title=""/>
                </v:shape>
                <v:shape style="position:absolute;left:7839;top:1158;width:2333;height:2332" type="#_x0000_t75" id="docshape280" stroked="false">
                  <v:imagedata r:id="rId98" o:title=""/>
                </v:shape>
                <v:shape style="position:absolute;left:7818;top:1136;width:2375;height:2375" id="docshape281"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3800;width:6759;height:4348" type="#_x0000_t75" id="docshape282" stroked="false">
                  <v:imagedata r:id="rId438" o:title=""/>
                </v:shape>
                <w10:wrap type="none"/>
              </v:group>
            </w:pict>
          </mc:Fallback>
        </mc:AlternateContent>
      </w:r>
    </w:p>
    <w:p>
      <w:pPr>
        <w:tabs>
          <w:tab w:pos="6329" w:val="left" w:leader="none"/>
        </w:tabs>
        <w:spacing w:line="240" w:lineRule="auto"/>
        <w:ind w:left="111" w:right="0" w:firstLine="0"/>
        <w:rPr>
          <w:rFonts w:ascii="Georgia"/>
          <w:sz w:val="20"/>
        </w:rPr>
      </w:pPr>
      <w:r>
        <w:rPr>
          <w:rFonts w:ascii="Georgia"/>
          <w:position w:val="20"/>
          <w:sz w:val="20"/>
        </w:rPr>
        <mc:AlternateContent>
          <mc:Choice Requires="wps">
            <w:drawing>
              <wp:inline distT="0" distB="0" distL="0" distR="0">
                <wp:extent cx="3491229" cy="1220470"/>
                <wp:effectExtent l="0" t="0" r="0" b="8255"/>
                <wp:docPr id="355" name="Group 355"/>
                <wp:cNvGraphicFramePr>
                  <a:graphicFrameLocks/>
                </wp:cNvGraphicFramePr>
                <a:graphic>
                  <a:graphicData uri="http://schemas.microsoft.com/office/word/2010/wordprocessingGroup">
                    <wpg:wgp>
                      <wpg:cNvPr id="355" name="Group 355"/>
                      <wpg:cNvGrpSpPr/>
                      <wpg:grpSpPr>
                        <a:xfrm>
                          <a:off x="0" y="0"/>
                          <a:ext cx="3491229" cy="1220470"/>
                          <a:chExt cx="3491229" cy="1220470"/>
                        </a:xfrm>
                      </wpg:grpSpPr>
                      <wps:wsp>
                        <wps:cNvPr id="356" name="Graphic 356"/>
                        <wps:cNvSpPr/>
                        <wps:spPr>
                          <a:xfrm>
                            <a:off x="0" y="0"/>
                            <a:ext cx="3491229" cy="1220470"/>
                          </a:xfrm>
                          <a:custGeom>
                            <a:avLst/>
                            <a:gdLst/>
                            <a:ahLst/>
                            <a:cxnLst/>
                            <a:rect l="l" t="t" r="r" b="b"/>
                            <a:pathLst>
                              <a:path w="3491229" h="1220470">
                                <a:moveTo>
                                  <a:pt x="3129268" y="1220023"/>
                                </a:moveTo>
                                <a:lnTo>
                                  <a:pt x="361949" y="1220023"/>
                                </a:lnTo>
                                <a:lnTo>
                                  <a:pt x="312835" y="1216719"/>
                                </a:lnTo>
                                <a:lnTo>
                                  <a:pt x="265729" y="1207094"/>
                                </a:lnTo>
                                <a:lnTo>
                                  <a:pt x="221062" y="1191579"/>
                                </a:lnTo>
                                <a:lnTo>
                                  <a:pt x="179266" y="1170606"/>
                                </a:lnTo>
                                <a:lnTo>
                                  <a:pt x="140773" y="1144606"/>
                                </a:lnTo>
                                <a:lnTo>
                                  <a:pt x="106012" y="1114010"/>
                                </a:lnTo>
                                <a:lnTo>
                                  <a:pt x="75416" y="1079250"/>
                                </a:lnTo>
                                <a:lnTo>
                                  <a:pt x="49416" y="1040756"/>
                                </a:lnTo>
                                <a:lnTo>
                                  <a:pt x="28443" y="998960"/>
                                </a:lnTo>
                                <a:lnTo>
                                  <a:pt x="12929" y="954294"/>
                                </a:lnTo>
                                <a:lnTo>
                                  <a:pt x="3304" y="907188"/>
                                </a:lnTo>
                                <a:lnTo>
                                  <a:pt x="0" y="858073"/>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29268" y="0"/>
                                </a:lnTo>
                                <a:lnTo>
                                  <a:pt x="3178382" y="3304"/>
                                </a:lnTo>
                                <a:lnTo>
                                  <a:pt x="3225488" y="12929"/>
                                </a:lnTo>
                                <a:lnTo>
                                  <a:pt x="3270155" y="28443"/>
                                </a:lnTo>
                                <a:lnTo>
                                  <a:pt x="3311951" y="49416"/>
                                </a:lnTo>
                                <a:lnTo>
                                  <a:pt x="3350445" y="75416"/>
                                </a:lnTo>
                                <a:lnTo>
                                  <a:pt x="3385205" y="106012"/>
                                </a:lnTo>
                                <a:lnTo>
                                  <a:pt x="3415801" y="140773"/>
                                </a:lnTo>
                                <a:lnTo>
                                  <a:pt x="3441801" y="179266"/>
                                </a:lnTo>
                                <a:lnTo>
                                  <a:pt x="3462774" y="221062"/>
                                </a:lnTo>
                                <a:lnTo>
                                  <a:pt x="3478289" y="265729"/>
                                </a:lnTo>
                                <a:lnTo>
                                  <a:pt x="3487914" y="312835"/>
                                </a:lnTo>
                                <a:lnTo>
                                  <a:pt x="3491218" y="361949"/>
                                </a:lnTo>
                                <a:lnTo>
                                  <a:pt x="3491218" y="858073"/>
                                </a:lnTo>
                                <a:lnTo>
                                  <a:pt x="3487914" y="907188"/>
                                </a:lnTo>
                                <a:lnTo>
                                  <a:pt x="3478289" y="954294"/>
                                </a:lnTo>
                                <a:lnTo>
                                  <a:pt x="3462774" y="998960"/>
                                </a:lnTo>
                                <a:lnTo>
                                  <a:pt x="3441801" y="1040756"/>
                                </a:lnTo>
                                <a:lnTo>
                                  <a:pt x="3415801" y="1079250"/>
                                </a:lnTo>
                                <a:lnTo>
                                  <a:pt x="3385205" y="1114010"/>
                                </a:lnTo>
                                <a:lnTo>
                                  <a:pt x="3350445" y="1144606"/>
                                </a:lnTo>
                                <a:lnTo>
                                  <a:pt x="3311951" y="1170606"/>
                                </a:lnTo>
                                <a:lnTo>
                                  <a:pt x="3270155" y="1191579"/>
                                </a:lnTo>
                                <a:lnTo>
                                  <a:pt x="3225488" y="1207094"/>
                                </a:lnTo>
                                <a:lnTo>
                                  <a:pt x="3178382" y="1216719"/>
                                </a:lnTo>
                                <a:lnTo>
                                  <a:pt x="3129268" y="1220023"/>
                                </a:lnTo>
                                <a:close/>
                              </a:path>
                            </a:pathLst>
                          </a:custGeom>
                          <a:solidFill>
                            <a:srgbClr val="DEC7EB">
                              <a:alpha val="55999"/>
                            </a:srgbClr>
                          </a:solidFill>
                        </wps:spPr>
                        <wps:bodyPr wrap="square" lIns="0" tIns="0" rIns="0" bIns="0" rtlCol="0">
                          <a:prstTxWarp prst="textNoShape">
                            <a:avLst/>
                          </a:prstTxWarp>
                          <a:noAutofit/>
                        </wps:bodyPr>
                      </wps:wsp>
                      <wps:wsp>
                        <wps:cNvPr id="357" name="Textbox 357"/>
                        <wps:cNvSpPr txBox="1"/>
                        <wps:spPr>
                          <a:xfrm>
                            <a:off x="0" y="0"/>
                            <a:ext cx="3491229" cy="1220470"/>
                          </a:xfrm>
                          <a:prstGeom prst="rect">
                            <a:avLst/>
                          </a:prstGeom>
                        </wps:spPr>
                        <wps:txbx>
                          <w:txbxContent>
                            <w:p>
                              <w:pPr>
                                <w:spacing w:before="80"/>
                                <w:ind w:left="279" w:right="0" w:firstLine="0"/>
                                <w:jc w:val="left"/>
                                <w:rPr>
                                  <w:b/>
                                  <w:i/>
                                  <w:sz w:val="33"/>
                                </w:rPr>
                              </w:pPr>
                              <w:r>
                                <w:rPr>
                                  <w:b/>
                                  <w:i/>
                                  <w:spacing w:val="10"/>
                                  <w:w w:val="125"/>
                                  <w:sz w:val="33"/>
                                </w:rPr>
                                <w:t>LEGISLATION</w:t>
                              </w:r>
                            </w:p>
                            <w:p>
                              <w:pPr>
                                <w:spacing w:line="547" w:lineRule="auto" w:before="101"/>
                                <w:ind w:left="279" w:right="1137" w:firstLine="0"/>
                                <w:jc w:val="left"/>
                                <w:rPr>
                                  <w:rFonts w:ascii="Georgia"/>
                                  <w:sz w:val="18"/>
                                </w:rPr>
                              </w:pPr>
                              <w:r>
                                <w:rPr>
                                  <w:rFonts w:ascii="Georgia"/>
                                  <w:sz w:val="18"/>
                                </w:rPr>
                                <w:t>S.268/H.544: The Healthy Youth Act S.619/H.1085:</w:t>
                              </w:r>
                              <w:r>
                                <w:rPr>
                                  <w:rFonts w:ascii="Georgia"/>
                                  <w:spacing w:val="-4"/>
                                  <w:sz w:val="18"/>
                                </w:rPr>
                                <w:t> </w:t>
                              </w:r>
                              <w:r>
                                <w:rPr>
                                  <w:rFonts w:ascii="Georgia"/>
                                  <w:sz w:val="18"/>
                                </w:rPr>
                                <w:t>HIV</w:t>
                              </w:r>
                              <w:r>
                                <w:rPr>
                                  <w:rFonts w:ascii="Georgia"/>
                                  <w:spacing w:val="-4"/>
                                  <w:sz w:val="18"/>
                                </w:rPr>
                                <w:t> </w:t>
                              </w:r>
                              <w:r>
                                <w:rPr>
                                  <w:rFonts w:ascii="Georgia"/>
                                  <w:sz w:val="18"/>
                                </w:rPr>
                                <w:t>Prevention</w:t>
                              </w:r>
                              <w:r>
                                <w:rPr>
                                  <w:rFonts w:ascii="Georgia"/>
                                  <w:spacing w:val="-4"/>
                                  <w:sz w:val="18"/>
                                </w:rPr>
                                <w:t> </w:t>
                              </w:r>
                              <w:r>
                                <w:rPr>
                                  <w:rFonts w:ascii="Georgia"/>
                                  <w:sz w:val="18"/>
                                </w:rPr>
                                <w:t>Medication</w:t>
                              </w:r>
                              <w:r>
                                <w:rPr>
                                  <w:rFonts w:ascii="Georgia"/>
                                  <w:spacing w:val="-4"/>
                                  <w:sz w:val="18"/>
                                </w:rPr>
                                <w:t> </w:t>
                              </w:r>
                              <w:r>
                                <w:rPr>
                                  <w:rFonts w:ascii="Georgia"/>
                                  <w:sz w:val="18"/>
                                </w:rPr>
                                <w:t>Access</w:t>
                              </w:r>
                            </w:p>
                            <w:p>
                              <w:pPr>
                                <w:spacing w:line="179" w:lineRule="exact" w:before="0"/>
                                <w:ind w:left="279" w:right="0" w:firstLine="0"/>
                                <w:jc w:val="left"/>
                                <w:rPr>
                                  <w:rFonts w:ascii="Georgia"/>
                                  <w:sz w:val="18"/>
                                </w:rPr>
                              </w:pPr>
                              <w:r>
                                <w:rPr>
                                  <w:rFonts w:ascii="Georgia"/>
                                  <w:spacing w:val="-2"/>
                                  <w:sz w:val="18"/>
                                </w:rPr>
                                <w:t>S.1333/H.2146:</w:t>
                              </w:r>
                              <w:r>
                                <w:rPr>
                                  <w:rFonts w:ascii="Georgia"/>
                                  <w:spacing w:val="9"/>
                                  <w:sz w:val="18"/>
                                </w:rPr>
                                <w:t> </w:t>
                              </w:r>
                              <w:r>
                                <w:rPr>
                                  <w:rFonts w:ascii="Georgia"/>
                                  <w:spacing w:val="-2"/>
                                  <w:sz w:val="18"/>
                                </w:rPr>
                                <w:t>Prohibit</w:t>
                              </w:r>
                              <w:r>
                                <w:rPr>
                                  <w:rFonts w:ascii="Georgia"/>
                                  <w:spacing w:val="9"/>
                                  <w:sz w:val="18"/>
                                </w:rPr>
                                <w:t> </w:t>
                              </w:r>
                              <w:r>
                                <w:rPr>
                                  <w:rFonts w:ascii="Georgia"/>
                                  <w:spacing w:val="-2"/>
                                  <w:sz w:val="18"/>
                                </w:rPr>
                                <w:t>Nonconsensual</w:t>
                              </w:r>
                              <w:r>
                                <w:rPr>
                                  <w:rFonts w:ascii="Georgia"/>
                                  <w:spacing w:val="10"/>
                                  <w:sz w:val="18"/>
                                </w:rPr>
                                <w:t> </w:t>
                              </w:r>
                              <w:r>
                                <w:rPr>
                                  <w:rFonts w:ascii="Georgia"/>
                                  <w:spacing w:val="-2"/>
                                  <w:sz w:val="18"/>
                                </w:rPr>
                                <w:t>Intimate</w:t>
                              </w:r>
                              <w:r>
                                <w:rPr>
                                  <w:rFonts w:ascii="Georgia"/>
                                  <w:spacing w:val="9"/>
                                  <w:sz w:val="18"/>
                                </w:rPr>
                                <w:t> </w:t>
                              </w:r>
                              <w:r>
                                <w:rPr>
                                  <w:rFonts w:ascii="Georgia"/>
                                  <w:spacing w:val="-2"/>
                                  <w:sz w:val="18"/>
                                </w:rPr>
                                <w:t>Examinations</w:t>
                              </w:r>
                            </w:p>
                          </w:txbxContent>
                        </wps:txbx>
                        <wps:bodyPr wrap="square" lIns="0" tIns="0" rIns="0" bIns="0" rtlCol="0">
                          <a:noAutofit/>
                        </wps:bodyPr>
                      </wps:wsp>
                    </wpg:wgp>
                  </a:graphicData>
                </a:graphic>
              </wp:inline>
            </w:drawing>
          </mc:Choice>
          <mc:Fallback>
            <w:pict>
              <v:group style="width:274.9pt;height:96.1pt;mso-position-horizontal-relative:char;mso-position-vertical-relative:line" id="docshapegroup283" coordorigin="0,0" coordsize="5498,1922">
                <v:shape style="position:absolute;left:0;top:0;width:5498;height:1922" id="docshape284" coordorigin="0,0" coordsize="5498,1922" path="m4928,1921l570,1921,493,1916,418,1901,348,1877,282,1843,222,1803,167,1754,119,1700,78,1639,45,1573,20,1503,5,1429,0,1351,0,570,5,493,20,418,45,348,78,282,119,222,167,167,222,119,282,78,348,45,418,20,493,5,570,0,4928,0,5005,5,5080,20,5150,45,5216,78,5276,119,5331,167,5379,222,5420,282,5453,348,5478,418,5493,493,5498,570,5498,1351,5493,1429,5478,1503,5453,1573,5420,1639,5379,1700,5331,1754,5276,1803,5216,1843,5150,1877,5080,1901,5005,1916,4928,1921xe" filled="true" fillcolor="#dec7eb" stroked="false">
                  <v:path arrowok="t"/>
                  <v:fill opacity="36700f" type="solid"/>
                </v:shape>
                <v:shape style="position:absolute;left:0;top:0;width:5498;height:1922" type="#_x0000_t202" id="docshape285" filled="false" stroked="false">
                  <v:textbox inset="0,0,0,0">
                    <w:txbxContent>
                      <w:p>
                        <w:pPr>
                          <w:spacing w:before="80"/>
                          <w:ind w:left="279" w:right="0" w:firstLine="0"/>
                          <w:jc w:val="left"/>
                          <w:rPr>
                            <w:b/>
                            <w:i/>
                            <w:sz w:val="33"/>
                          </w:rPr>
                        </w:pPr>
                        <w:r>
                          <w:rPr>
                            <w:b/>
                            <w:i/>
                            <w:spacing w:val="10"/>
                            <w:w w:val="125"/>
                            <w:sz w:val="33"/>
                          </w:rPr>
                          <w:t>LEGISLATION</w:t>
                        </w:r>
                      </w:p>
                      <w:p>
                        <w:pPr>
                          <w:spacing w:line="547" w:lineRule="auto" w:before="101"/>
                          <w:ind w:left="279" w:right="1137" w:firstLine="0"/>
                          <w:jc w:val="left"/>
                          <w:rPr>
                            <w:rFonts w:ascii="Georgia"/>
                            <w:sz w:val="18"/>
                          </w:rPr>
                        </w:pPr>
                        <w:r>
                          <w:rPr>
                            <w:rFonts w:ascii="Georgia"/>
                            <w:sz w:val="18"/>
                          </w:rPr>
                          <w:t>S.268/H.544: The Healthy Youth Act S.619/H.1085:</w:t>
                        </w:r>
                        <w:r>
                          <w:rPr>
                            <w:rFonts w:ascii="Georgia"/>
                            <w:spacing w:val="-4"/>
                            <w:sz w:val="18"/>
                          </w:rPr>
                          <w:t> </w:t>
                        </w:r>
                        <w:r>
                          <w:rPr>
                            <w:rFonts w:ascii="Georgia"/>
                            <w:sz w:val="18"/>
                          </w:rPr>
                          <w:t>HIV</w:t>
                        </w:r>
                        <w:r>
                          <w:rPr>
                            <w:rFonts w:ascii="Georgia"/>
                            <w:spacing w:val="-4"/>
                            <w:sz w:val="18"/>
                          </w:rPr>
                          <w:t> </w:t>
                        </w:r>
                        <w:r>
                          <w:rPr>
                            <w:rFonts w:ascii="Georgia"/>
                            <w:sz w:val="18"/>
                          </w:rPr>
                          <w:t>Prevention</w:t>
                        </w:r>
                        <w:r>
                          <w:rPr>
                            <w:rFonts w:ascii="Georgia"/>
                            <w:spacing w:val="-4"/>
                            <w:sz w:val="18"/>
                          </w:rPr>
                          <w:t> </w:t>
                        </w:r>
                        <w:r>
                          <w:rPr>
                            <w:rFonts w:ascii="Georgia"/>
                            <w:sz w:val="18"/>
                          </w:rPr>
                          <w:t>Medication</w:t>
                        </w:r>
                        <w:r>
                          <w:rPr>
                            <w:rFonts w:ascii="Georgia"/>
                            <w:spacing w:val="-4"/>
                            <w:sz w:val="18"/>
                          </w:rPr>
                          <w:t> </w:t>
                        </w:r>
                        <w:r>
                          <w:rPr>
                            <w:rFonts w:ascii="Georgia"/>
                            <w:sz w:val="18"/>
                          </w:rPr>
                          <w:t>Access</w:t>
                        </w:r>
                      </w:p>
                      <w:p>
                        <w:pPr>
                          <w:spacing w:line="179" w:lineRule="exact" w:before="0"/>
                          <w:ind w:left="279" w:right="0" w:firstLine="0"/>
                          <w:jc w:val="left"/>
                          <w:rPr>
                            <w:rFonts w:ascii="Georgia"/>
                            <w:sz w:val="18"/>
                          </w:rPr>
                        </w:pPr>
                        <w:r>
                          <w:rPr>
                            <w:rFonts w:ascii="Georgia"/>
                            <w:spacing w:val="-2"/>
                            <w:sz w:val="18"/>
                          </w:rPr>
                          <w:t>S.1333/H.2146:</w:t>
                        </w:r>
                        <w:r>
                          <w:rPr>
                            <w:rFonts w:ascii="Georgia"/>
                            <w:spacing w:val="9"/>
                            <w:sz w:val="18"/>
                          </w:rPr>
                          <w:t> </w:t>
                        </w:r>
                        <w:r>
                          <w:rPr>
                            <w:rFonts w:ascii="Georgia"/>
                            <w:spacing w:val="-2"/>
                            <w:sz w:val="18"/>
                          </w:rPr>
                          <w:t>Prohibit</w:t>
                        </w:r>
                        <w:r>
                          <w:rPr>
                            <w:rFonts w:ascii="Georgia"/>
                            <w:spacing w:val="9"/>
                            <w:sz w:val="18"/>
                          </w:rPr>
                          <w:t> </w:t>
                        </w:r>
                        <w:r>
                          <w:rPr>
                            <w:rFonts w:ascii="Georgia"/>
                            <w:spacing w:val="-2"/>
                            <w:sz w:val="18"/>
                          </w:rPr>
                          <w:t>Nonconsensual</w:t>
                        </w:r>
                        <w:r>
                          <w:rPr>
                            <w:rFonts w:ascii="Georgia"/>
                            <w:spacing w:val="10"/>
                            <w:sz w:val="18"/>
                          </w:rPr>
                          <w:t> </w:t>
                        </w:r>
                        <w:r>
                          <w:rPr>
                            <w:rFonts w:ascii="Georgia"/>
                            <w:spacing w:val="-2"/>
                            <w:sz w:val="18"/>
                          </w:rPr>
                          <w:t>Intimate</w:t>
                        </w:r>
                        <w:r>
                          <w:rPr>
                            <w:rFonts w:ascii="Georgia"/>
                            <w:spacing w:val="9"/>
                            <w:sz w:val="18"/>
                          </w:rPr>
                          <w:t> </w:t>
                        </w:r>
                        <w:r>
                          <w:rPr>
                            <w:rFonts w:ascii="Georgia"/>
                            <w:spacing w:val="-2"/>
                            <w:sz w:val="18"/>
                          </w:rPr>
                          <w:t>Examinations</w:t>
                        </w:r>
                      </w:p>
                    </w:txbxContent>
                  </v:textbox>
                  <w10:wrap type="none"/>
                </v:shape>
              </v:group>
            </w:pict>
          </mc:Fallback>
        </mc:AlternateContent>
      </w:r>
      <w:r>
        <w:rPr>
          <w:rFonts w:ascii="Georgia"/>
          <w:position w:val="20"/>
          <w:sz w:val="20"/>
        </w:rPr>
      </w:r>
      <w:r>
        <w:rPr>
          <w:rFonts w:ascii="Georgia"/>
          <w:position w:val="20"/>
          <w:sz w:val="20"/>
        </w:rPr>
        <w:tab/>
      </w:r>
      <w:r>
        <w:rPr>
          <w:rFonts w:ascii="Georgia"/>
          <w:sz w:val="20"/>
        </w:rPr>
        <w:drawing>
          <wp:inline distT="0" distB="0" distL="0" distR="0">
            <wp:extent cx="2860861" cy="2230945"/>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439" cstate="print"/>
                    <a:stretch>
                      <a:fillRect/>
                    </a:stretch>
                  </pic:blipFill>
                  <pic:spPr>
                    <a:xfrm>
                      <a:off x="0" y="0"/>
                      <a:ext cx="2860861" cy="2230945"/>
                    </a:xfrm>
                    <a:prstGeom prst="rect">
                      <a:avLst/>
                    </a:prstGeom>
                  </pic:spPr>
                </pic:pic>
              </a:graphicData>
            </a:graphic>
          </wp:inline>
        </w:drawing>
      </w:r>
      <w:r>
        <w:rPr>
          <w:rFonts w:ascii="Georgia"/>
          <w:sz w:val="20"/>
        </w:rPr>
      </w:r>
    </w:p>
    <w:p>
      <w:pPr>
        <w:spacing w:after="0" w:line="240" w:lineRule="auto"/>
        <w:rPr>
          <w:rFonts w:ascii="Georgia"/>
          <w:sz w:val="20"/>
        </w:rPr>
        <w:sectPr>
          <w:type w:val="continuous"/>
          <w:pgSz w:w="12240" w:h="15840"/>
          <w:pgMar w:header="0" w:footer="0" w:top="1420" w:bottom="280" w:left="920" w:right="300"/>
        </w:sectPr>
      </w:pPr>
    </w:p>
    <w:p>
      <w:pPr>
        <w:pStyle w:val="Heading7"/>
        <w:spacing w:before="330"/>
        <w:ind w:left="464"/>
      </w:pPr>
      <w:bookmarkStart w:name="FY 2025 - Homelessness - Review.docx.pdf" w:id="480"/>
      <w:bookmarkEnd w:id="480"/>
      <w:r>
        <w:rPr/>
      </w:r>
      <w:bookmarkStart w:name="_bookmark273" w:id="481"/>
      <w:bookmarkEnd w:id="481"/>
      <w:r>
        <w:rPr/>
      </w:r>
      <w:r>
        <w:rPr>
          <w:color w:val="365F91"/>
          <w:spacing w:val="-8"/>
        </w:rPr>
        <w:t>FY</w:t>
      </w:r>
      <w:r>
        <w:rPr>
          <w:color w:val="365F91"/>
          <w:spacing w:val="-14"/>
        </w:rPr>
        <w:t> </w:t>
      </w:r>
      <w:r>
        <w:rPr>
          <w:color w:val="365F91"/>
          <w:spacing w:val="-8"/>
        </w:rPr>
        <w:t>2025</w:t>
      </w:r>
      <w:r>
        <w:rPr>
          <w:color w:val="365F91"/>
          <w:spacing w:val="-14"/>
        </w:rPr>
        <w:t> </w:t>
      </w:r>
      <w:r>
        <w:rPr>
          <w:color w:val="365F91"/>
          <w:spacing w:val="-8"/>
        </w:rPr>
        <w:t>Homelessness</w:t>
      </w:r>
      <w:r>
        <w:rPr>
          <w:color w:val="365F91"/>
          <w:spacing w:val="-13"/>
        </w:rPr>
        <w:t> </w:t>
      </w:r>
      <w:r>
        <w:rPr>
          <w:color w:val="365F91"/>
          <w:spacing w:val="-8"/>
        </w:rPr>
        <w:t>and</w:t>
      </w:r>
      <w:r>
        <w:rPr>
          <w:color w:val="365F91"/>
          <w:spacing w:val="-12"/>
        </w:rPr>
        <w:t> </w:t>
      </w:r>
      <w:r>
        <w:rPr>
          <w:color w:val="365F91"/>
          <w:spacing w:val="-8"/>
        </w:rPr>
        <w:t>Housing</w:t>
      </w:r>
      <w:r>
        <w:rPr>
          <w:color w:val="365F91"/>
          <w:spacing w:val="-14"/>
        </w:rPr>
        <w:t> </w:t>
      </w:r>
      <w:r>
        <w:rPr>
          <w:color w:val="365F91"/>
          <w:spacing w:val="-8"/>
        </w:rPr>
        <w:t>Instability</w:t>
      </w:r>
    </w:p>
    <w:p>
      <w:pPr>
        <w:spacing w:before="313"/>
        <w:ind w:left="464" w:right="0" w:firstLine="0"/>
        <w:jc w:val="left"/>
        <w:rPr>
          <w:sz w:val="28"/>
        </w:rPr>
      </w:pPr>
      <w:bookmarkStart w:name="Introduction" w:id="482"/>
      <w:bookmarkEnd w:id="482"/>
      <w:r>
        <w:rPr/>
      </w: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654400">
                <wp:simplePos x="0" y="0"/>
                <wp:positionH relativeFrom="page">
                  <wp:posOffset>986789</wp:posOffset>
                </wp:positionH>
                <wp:positionV relativeFrom="paragraph">
                  <wp:posOffset>45505</wp:posOffset>
                </wp:positionV>
                <wp:extent cx="5799455" cy="635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83144pt;width:456.601pt;height:.48pt;mso-position-horizontal-relative:page;mso-position-vertical-relative:paragraph;z-index:-15662080;mso-wrap-distance-left:0;mso-wrap-distance-right:0" id="docshape289" filled="true" fillcolor="#4f81bc" stroked="false">
                <v:fill type="solid"/>
                <w10:wrap type="topAndBottom"/>
              </v:rect>
            </w:pict>
          </mc:Fallback>
        </mc:AlternateContent>
      </w:r>
    </w:p>
    <w:p>
      <w:pPr>
        <w:pStyle w:val="BodyText"/>
        <w:spacing w:line="276" w:lineRule="auto" w:before="241"/>
        <w:ind w:left="464" w:right="405"/>
        <w:jc w:val="both"/>
      </w:pPr>
      <w:r>
        <w:rPr/>
        <w:t>In the United States, rates of homelessness and housing insecurity reached a record high in 2023, making</w:t>
      </w:r>
      <w:r>
        <w:rPr>
          <w:spacing w:val="-2"/>
        </w:rPr>
        <w:t> </w:t>
      </w:r>
      <w:r>
        <w:rPr/>
        <w:t>homelessness</w:t>
      </w:r>
      <w:r>
        <w:rPr>
          <w:spacing w:val="-2"/>
        </w:rPr>
        <w:t> </w:t>
      </w:r>
      <w:r>
        <w:rPr/>
        <w:t>and</w:t>
      </w:r>
      <w:r>
        <w:rPr>
          <w:spacing w:val="-1"/>
        </w:rPr>
        <w:t> </w:t>
      </w:r>
      <w:r>
        <w:rPr/>
        <w:t>housing</w:t>
      </w:r>
      <w:r>
        <w:rPr>
          <w:spacing w:val="-2"/>
        </w:rPr>
        <w:t> </w:t>
      </w:r>
      <w:r>
        <w:rPr/>
        <w:t>insecurity</w:t>
      </w:r>
      <w:r>
        <w:rPr>
          <w:spacing w:val="-3"/>
        </w:rPr>
        <w:t> </w:t>
      </w:r>
      <w:r>
        <w:rPr/>
        <w:t>a</w:t>
      </w:r>
      <w:r>
        <w:rPr>
          <w:spacing w:val="-1"/>
        </w:rPr>
        <w:t> </w:t>
      </w:r>
      <w:r>
        <w:rPr/>
        <w:t>major</w:t>
      </w:r>
      <w:r>
        <w:rPr>
          <w:spacing w:val="-1"/>
        </w:rPr>
        <w:t> </w:t>
      </w:r>
      <w:r>
        <w:rPr/>
        <w:t>public</w:t>
      </w:r>
      <w:r>
        <w:rPr>
          <w:spacing w:val="-2"/>
        </w:rPr>
        <w:t> </w:t>
      </w:r>
      <w:r>
        <w:rPr/>
        <w:t>health</w:t>
      </w:r>
      <w:r>
        <w:rPr>
          <w:spacing w:val="-2"/>
        </w:rPr>
        <w:t> </w:t>
      </w:r>
      <w:r>
        <w:rPr/>
        <w:t>crisis</w:t>
      </w:r>
      <w:r>
        <w:rPr>
          <w:spacing w:val="-2"/>
        </w:rPr>
        <w:t> </w:t>
      </w:r>
      <w:r>
        <w:rPr/>
        <w:t>that</w:t>
      </w:r>
      <w:r>
        <w:rPr>
          <w:spacing w:val="-3"/>
        </w:rPr>
        <w:t> </w:t>
      </w:r>
      <w:r>
        <w:rPr/>
        <w:t>requires</w:t>
      </w:r>
      <w:r>
        <w:rPr>
          <w:spacing w:val="-2"/>
        </w:rPr>
        <w:t> </w:t>
      </w:r>
      <w:r>
        <w:rPr/>
        <w:t>effective</w:t>
      </w:r>
      <w:r>
        <w:rPr>
          <w:spacing w:val="-3"/>
        </w:rPr>
        <w:t> </w:t>
      </w:r>
      <w:r>
        <w:rPr/>
        <w:t>policy and</w:t>
      </w:r>
      <w:r>
        <w:rPr>
          <w:spacing w:val="-1"/>
        </w:rPr>
        <w:t> </w:t>
      </w:r>
      <w:r>
        <w:rPr/>
        <w:t>program interventions.</w:t>
      </w:r>
      <w:r>
        <w:rPr>
          <w:spacing w:val="-1"/>
        </w:rPr>
        <w:t> </w:t>
      </w:r>
      <w:r>
        <w:rPr/>
        <w:t>The</w:t>
      </w:r>
      <w:r>
        <w:rPr>
          <w:spacing w:val="-1"/>
        </w:rPr>
        <w:t> </w:t>
      </w:r>
      <w:r>
        <w:rPr/>
        <w:t>Annual Homeless Assessment Report</w:t>
      </w:r>
      <w:r>
        <w:rPr>
          <w:spacing w:val="-1"/>
        </w:rPr>
        <w:t> </w:t>
      </w:r>
      <w:r>
        <w:rPr/>
        <w:t>(AHAR) released</w:t>
      </w:r>
      <w:r>
        <w:rPr>
          <w:spacing w:val="-1"/>
        </w:rPr>
        <w:t> </w:t>
      </w:r>
      <w:r>
        <w:rPr/>
        <w:t>in</w:t>
      </w:r>
      <w:r>
        <w:rPr>
          <w:spacing w:val="-1"/>
        </w:rPr>
        <w:t> </w:t>
      </w:r>
      <w:r>
        <w:rPr/>
        <w:t>2023 by the</w:t>
      </w:r>
    </w:p>
    <w:p>
      <w:pPr>
        <w:pStyle w:val="BodyText"/>
        <w:spacing w:line="276" w:lineRule="auto"/>
        <w:ind w:left="464" w:right="401"/>
        <w:jc w:val="both"/>
      </w:pPr>
      <w:r>
        <w:rPr/>
        <w:t>U.S. Department of Housing and Urban Development reported that at a single point in time, roughly 651,000 people were reported to be experiencing homelessness. This represents a 12% increase in homelessness from 2022 to 2023 nationally. Of this increase in homelessness, the report found that Massachusetts</w:t>
      </w:r>
      <w:r>
        <w:rPr>
          <w:spacing w:val="-5"/>
        </w:rPr>
        <w:t> </w:t>
      </w:r>
      <w:r>
        <w:rPr/>
        <w:t>was</w:t>
      </w:r>
      <w:r>
        <w:rPr>
          <w:spacing w:val="-5"/>
        </w:rPr>
        <w:t> </w:t>
      </w:r>
      <w:r>
        <w:rPr/>
        <w:t>ranked</w:t>
      </w:r>
      <w:r>
        <w:rPr>
          <w:spacing w:val="-4"/>
        </w:rPr>
        <w:t> </w:t>
      </w:r>
      <w:r>
        <w:rPr/>
        <w:t>one</w:t>
      </w:r>
      <w:r>
        <w:rPr>
          <w:spacing w:val="-6"/>
        </w:rPr>
        <w:t> </w:t>
      </w:r>
      <w:r>
        <w:rPr/>
        <w:t>of</w:t>
      </w:r>
      <w:r>
        <w:rPr>
          <w:spacing w:val="-4"/>
        </w:rPr>
        <w:t> </w:t>
      </w:r>
      <w:r>
        <w:rPr/>
        <w:t>the</w:t>
      </w:r>
      <w:r>
        <w:rPr>
          <w:spacing w:val="-4"/>
        </w:rPr>
        <w:t> </w:t>
      </w:r>
      <w:r>
        <w:rPr/>
        <w:t>top</w:t>
      </w:r>
      <w:r>
        <w:rPr>
          <w:spacing w:val="-6"/>
        </w:rPr>
        <w:t> </w:t>
      </w:r>
      <w:r>
        <w:rPr/>
        <w:t>4</w:t>
      </w:r>
      <w:r>
        <w:rPr>
          <w:spacing w:val="-5"/>
        </w:rPr>
        <w:t> </w:t>
      </w:r>
      <w:r>
        <w:rPr/>
        <w:t>states</w:t>
      </w:r>
      <w:r>
        <w:rPr>
          <w:spacing w:val="-5"/>
        </w:rPr>
        <w:t> </w:t>
      </w:r>
      <w:r>
        <w:rPr/>
        <w:t>with</w:t>
      </w:r>
      <w:r>
        <w:rPr>
          <w:spacing w:val="-6"/>
        </w:rPr>
        <w:t> </w:t>
      </w:r>
      <w:r>
        <w:rPr/>
        <w:t>the</w:t>
      </w:r>
      <w:r>
        <w:rPr>
          <w:spacing w:val="-6"/>
        </w:rPr>
        <w:t> </w:t>
      </w:r>
      <w:r>
        <w:rPr/>
        <w:t>largest</w:t>
      </w:r>
      <w:r>
        <w:rPr>
          <w:spacing w:val="-5"/>
        </w:rPr>
        <w:t> </w:t>
      </w:r>
      <w:r>
        <w:rPr/>
        <w:t>absolute</w:t>
      </w:r>
      <w:r>
        <w:rPr>
          <w:spacing w:val="-6"/>
        </w:rPr>
        <w:t> </w:t>
      </w:r>
      <w:r>
        <w:rPr/>
        <w:t>increase</w:t>
      </w:r>
      <w:r>
        <w:rPr>
          <w:spacing w:val="-6"/>
        </w:rPr>
        <w:t> </w:t>
      </w:r>
      <w:r>
        <w:rPr/>
        <w:t>(23%</w:t>
      </w:r>
      <w:r>
        <w:rPr>
          <w:spacing w:val="-5"/>
        </w:rPr>
        <w:t> </w:t>
      </w:r>
      <w:r>
        <w:rPr/>
        <w:t>increase)</w:t>
      </w:r>
      <w:r>
        <w:rPr>
          <w:spacing w:val="-5"/>
        </w:rPr>
        <w:t> </w:t>
      </w:r>
      <w:r>
        <w:rPr/>
        <w:t>in homelessness between 2022 and 2023, with the vast majority due to the increase in family homelessness, highlighting the critical need for Massachusetts legislators and policymakers to continue efforts in strengthening the Commonwealth’s infrastructure in combatting the family homelessness epidemic. Additionally, efforts to combat youth homelessness are also critical. From 2017(n=469) to 2023 (n=485) there was a 3% increase in unaccompanied youth homelessness in Massachusetts reported in the AHAR report.</w:t>
      </w:r>
      <w:hyperlink w:history="true" w:anchor="_bookmark274">
        <w:r>
          <w:rPr>
            <w:vertAlign w:val="superscript"/>
          </w:rPr>
          <w:t>1</w:t>
        </w:r>
      </w:hyperlink>
    </w:p>
    <w:p>
      <w:pPr>
        <w:pStyle w:val="BodyText"/>
        <w:spacing w:line="276" w:lineRule="auto" w:before="241"/>
        <w:ind w:left="463" w:right="400"/>
        <w:jc w:val="both"/>
      </w:pPr>
      <w:r>
        <w:rPr/>
        <w:t>Among</w:t>
      </w:r>
      <w:r>
        <w:rPr>
          <w:spacing w:val="-10"/>
        </w:rPr>
        <w:t> </w:t>
      </w:r>
      <w:r>
        <w:rPr/>
        <w:t>youth</w:t>
      </w:r>
      <w:r>
        <w:rPr>
          <w:spacing w:val="-10"/>
        </w:rPr>
        <w:t> </w:t>
      </w:r>
      <w:r>
        <w:rPr/>
        <w:t>demographics,</w:t>
      </w:r>
      <w:r>
        <w:rPr>
          <w:spacing w:val="-11"/>
        </w:rPr>
        <w:t> </w:t>
      </w:r>
      <w:r>
        <w:rPr/>
        <w:t>LGBTQ</w:t>
      </w:r>
      <w:r>
        <w:rPr>
          <w:spacing w:val="-11"/>
        </w:rPr>
        <w:t> </w:t>
      </w:r>
      <w:r>
        <w:rPr/>
        <w:t>youth</w:t>
      </w:r>
      <w:r>
        <w:rPr>
          <w:spacing w:val="-10"/>
        </w:rPr>
        <w:t> </w:t>
      </w:r>
      <w:r>
        <w:rPr/>
        <w:t>and</w:t>
      </w:r>
      <w:r>
        <w:rPr>
          <w:spacing w:val="-10"/>
        </w:rPr>
        <w:t> </w:t>
      </w:r>
      <w:r>
        <w:rPr/>
        <w:t>nonbinary</w:t>
      </w:r>
      <w:r>
        <w:rPr>
          <w:spacing w:val="-11"/>
        </w:rPr>
        <w:t> </w:t>
      </w:r>
      <w:r>
        <w:rPr/>
        <w:t>populations</w:t>
      </w:r>
      <w:r>
        <w:rPr>
          <w:spacing w:val="-11"/>
        </w:rPr>
        <w:t> </w:t>
      </w:r>
      <w:r>
        <w:rPr/>
        <w:t>face</w:t>
      </w:r>
      <w:r>
        <w:rPr>
          <w:spacing w:val="-10"/>
        </w:rPr>
        <w:t> </w:t>
      </w:r>
      <w:r>
        <w:rPr/>
        <w:t>high</w:t>
      </w:r>
      <w:r>
        <w:rPr>
          <w:spacing w:val="-9"/>
        </w:rPr>
        <w:t> </w:t>
      </w:r>
      <w:r>
        <w:rPr/>
        <w:t>risks</w:t>
      </w:r>
      <w:r>
        <w:rPr>
          <w:spacing w:val="-11"/>
        </w:rPr>
        <w:t> </w:t>
      </w:r>
      <w:r>
        <w:rPr/>
        <w:t>of</w:t>
      </w:r>
      <w:r>
        <w:rPr>
          <w:spacing w:val="-10"/>
        </w:rPr>
        <w:t> </w:t>
      </w:r>
      <w:r>
        <w:rPr/>
        <w:t>homelessness, with roughly 3.5 million young adults ages 18 to 25 experiencing homelessness in the United States annually.</w:t>
      </w:r>
      <w:hyperlink w:history="true" w:anchor="_bookmark275">
        <w:r>
          <w:rPr>
            <w:vertAlign w:val="superscript"/>
          </w:rPr>
          <w:t>2</w:t>
        </w:r>
      </w:hyperlink>
      <w:r>
        <w:rPr>
          <w:spacing w:val="-3"/>
          <w:vertAlign w:val="baseline"/>
        </w:rPr>
        <w:t> </w:t>
      </w:r>
      <w:r>
        <w:rPr>
          <w:vertAlign w:val="baseline"/>
        </w:rPr>
        <w:t>Notably, LGBTQ youth have intersecting challenges that contribute to the increased risk of experiencing homelessness, including discrimination, family rejection, lack of social support, and inadequate</w:t>
      </w:r>
      <w:r>
        <w:rPr>
          <w:spacing w:val="-10"/>
          <w:vertAlign w:val="baseline"/>
        </w:rPr>
        <w:t> </w:t>
      </w:r>
      <w:r>
        <w:rPr>
          <w:vertAlign w:val="baseline"/>
        </w:rPr>
        <w:t>community</w:t>
      </w:r>
      <w:r>
        <w:rPr>
          <w:spacing w:val="-11"/>
          <w:vertAlign w:val="baseline"/>
        </w:rPr>
        <w:t> </w:t>
      </w:r>
      <w:r>
        <w:rPr>
          <w:vertAlign w:val="baseline"/>
        </w:rPr>
        <w:t>services</w:t>
      </w:r>
      <w:r>
        <w:rPr>
          <w:spacing w:val="-11"/>
          <w:vertAlign w:val="baseline"/>
        </w:rPr>
        <w:t> </w:t>
      </w:r>
      <w:r>
        <w:rPr>
          <w:vertAlign w:val="baseline"/>
        </w:rPr>
        <w:t>that</w:t>
      </w:r>
      <w:r>
        <w:rPr>
          <w:spacing w:val="-11"/>
          <w:vertAlign w:val="baseline"/>
        </w:rPr>
        <w:t> </w:t>
      </w:r>
      <w:r>
        <w:rPr>
          <w:vertAlign w:val="baseline"/>
        </w:rPr>
        <w:t>often</w:t>
      </w:r>
      <w:r>
        <w:rPr>
          <w:spacing w:val="-12"/>
          <w:vertAlign w:val="baseline"/>
        </w:rPr>
        <w:t> </w:t>
      </w:r>
      <w:r>
        <w:rPr>
          <w:vertAlign w:val="baseline"/>
        </w:rPr>
        <w:t>fail</w:t>
      </w:r>
      <w:r>
        <w:rPr>
          <w:spacing w:val="-10"/>
          <w:vertAlign w:val="baseline"/>
        </w:rPr>
        <w:t> </w:t>
      </w:r>
      <w:r>
        <w:rPr>
          <w:vertAlign w:val="baseline"/>
        </w:rPr>
        <w:t>to</w:t>
      </w:r>
      <w:r>
        <w:rPr>
          <w:spacing w:val="-10"/>
          <w:vertAlign w:val="baseline"/>
        </w:rPr>
        <w:t> </w:t>
      </w:r>
      <w:r>
        <w:rPr>
          <w:vertAlign w:val="baseline"/>
        </w:rPr>
        <w:t>meet</w:t>
      </w:r>
      <w:r>
        <w:rPr>
          <w:spacing w:val="-11"/>
          <w:vertAlign w:val="baseline"/>
        </w:rPr>
        <w:t> </w:t>
      </w:r>
      <w:r>
        <w:rPr>
          <w:vertAlign w:val="baseline"/>
        </w:rPr>
        <w:t>the</w:t>
      </w:r>
      <w:r>
        <w:rPr>
          <w:spacing w:val="-10"/>
          <w:vertAlign w:val="baseline"/>
        </w:rPr>
        <w:t> </w:t>
      </w:r>
      <w:r>
        <w:rPr>
          <w:vertAlign w:val="baseline"/>
        </w:rPr>
        <w:t>unique</w:t>
      </w:r>
      <w:r>
        <w:rPr>
          <w:spacing w:val="-9"/>
          <w:vertAlign w:val="baseline"/>
        </w:rPr>
        <w:t> </w:t>
      </w:r>
      <w:r>
        <w:rPr>
          <w:vertAlign w:val="baseline"/>
        </w:rPr>
        <w:t>needs</w:t>
      </w:r>
      <w:r>
        <w:rPr>
          <w:spacing w:val="-10"/>
          <w:vertAlign w:val="baseline"/>
        </w:rPr>
        <w:t> </w:t>
      </w:r>
      <w:r>
        <w:rPr>
          <w:vertAlign w:val="baseline"/>
        </w:rPr>
        <w:t>of</w:t>
      </w:r>
      <w:r>
        <w:rPr>
          <w:spacing w:val="-11"/>
          <w:vertAlign w:val="baseline"/>
        </w:rPr>
        <w:t> </w:t>
      </w:r>
      <w:r>
        <w:rPr>
          <w:vertAlign w:val="baseline"/>
        </w:rPr>
        <w:t>LGBTQ</w:t>
      </w:r>
      <w:r>
        <w:rPr>
          <w:spacing w:val="-12"/>
          <w:vertAlign w:val="baseline"/>
        </w:rPr>
        <w:t> </w:t>
      </w:r>
      <w:r>
        <w:rPr>
          <w:vertAlign w:val="baseline"/>
        </w:rPr>
        <w:t>youth</w:t>
      </w:r>
      <w:r>
        <w:rPr>
          <w:spacing w:val="-10"/>
          <w:vertAlign w:val="baseline"/>
        </w:rPr>
        <w:t> </w:t>
      </w:r>
      <w:r>
        <w:rPr>
          <w:vertAlign w:val="baseline"/>
        </w:rPr>
        <w:t>populations.</w:t>
      </w:r>
      <w:hyperlink w:history="true" w:anchor="_bookmark276">
        <w:r>
          <w:rPr>
            <w:vertAlign w:val="superscript"/>
          </w:rPr>
          <w:t>3</w:t>
        </w:r>
      </w:hyperlink>
    </w:p>
    <w:p>
      <w:pPr>
        <w:pStyle w:val="BodyText"/>
        <w:spacing w:line="276" w:lineRule="auto" w:before="240"/>
        <w:ind w:left="464" w:right="399"/>
        <w:jc w:val="both"/>
      </w:pPr>
      <w:r>
        <w:rPr/>
        <w:t>Currently, there is no single definition of youth homelessness defined federally, making it difficult to assess the extent of youth homelessness and develop appropriate responses and resources.</w:t>
      </w:r>
      <w:hyperlink w:history="true" w:anchor="_bookmark277">
        <w:r>
          <w:rPr>
            <w:vertAlign w:val="superscript"/>
          </w:rPr>
          <w:t>4</w:t>
        </w:r>
      </w:hyperlink>
      <w:r>
        <w:rPr>
          <w:spacing w:val="-3"/>
          <w:vertAlign w:val="baseline"/>
        </w:rPr>
        <w:t> </w:t>
      </w:r>
      <w:r>
        <w:rPr>
          <w:vertAlign w:val="baseline"/>
        </w:rPr>
        <w:t>For this report, the Commission has defined LGBTQ youth as individuals under the age of 25 who identify as lesbian, gay, bisexual, transgender, queer, questioning, and nonbinary. Additionally, the Commission has utilized the Massachusetts Unaccompanied Homeless Youth Commission’s definition of youth homelessness.</w:t>
      </w:r>
      <w:r>
        <w:rPr>
          <w:spacing w:val="-13"/>
          <w:vertAlign w:val="baseline"/>
        </w:rPr>
        <w:t> </w:t>
      </w:r>
      <w:r>
        <w:rPr>
          <w:vertAlign w:val="baseline"/>
        </w:rPr>
        <w:t>This</w:t>
      </w:r>
      <w:r>
        <w:rPr>
          <w:spacing w:val="-10"/>
          <w:vertAlign w:val="baseline"/>
        </w:rPr>
        <w:t> </w:t>
      </w:r>
      <w:r>
        <w:rPr>
          <w:vertAlign w:val="baseline"/>
        </w:rPr>
        <w:t>definition</w:t>
      </w:r>
      <w:r>
        <w:rPr>
          <w:spacing w:val="-13"/>
          <w:vertAlign w:val="baseline"/>
        </w:rPr>
        <w:t> </w:t>
      </w:r>
      <w:r>
        <w:rPr>
          <w:vertAlign w:val="baseline"/>
        </w:rPr>
        <w:t>states</w:t>
      </w:r>
      <w:r>
        <w:rPr>
          <w:spacing w:val="-10"/>
          <w:vertAlign w:val="baseline"/>
        </w:rPr>
        <w:t> </w:t>
      </w:r>
      <w:r>
        <w:rPr>
          <w:vertAlign w:val="baseline"/>
        </w:rPr>
        <w:t>that</w:t>
      </w:r>
      <w:r>
        <w:rPr>
          <w:spacing w:val="-12"/>
          <w:vertAlign w:val="baseline"/>
        </w:rPr>
        <w:t> </w:t>
      </w:r>
      <w:r>
        <w:rPr>
          <w:vertAlign w:val="baseline"/>
        </w:rPr>
        <w:t>youth</w:t>
      </w:r>
      <w:r>
        <w:rPr>
          <w:spacing w:val="-11"/>
          <w:vertAlign w:val="baseline"/>
        </w:rPr>
        <w:t> </w:t>
      </w:r>
      <w:r>
        <w:rPr>
          <w:vertAlign w:val="baseline"/>
        </w:rPr>
        <w:t>experiencing</w:t>
      </w:r>
      <w:r>
        <w:rPr>
          <w:spacing w:val="-11"/>
          <w:vertAlign w:val="baseline"/>
        </w:rPr>
        <w:t> </w:t>
      </w:r>
      <w:r>
        <w:rPr>
          <w:vertAlign w:val="baseline"/>
        </w:rPr>
        <w:t>homelessness</w:t>
      </w:r>
      <w:r>
        <w:rPr>
          <w:spacing w:val="-12"/>
          <w:vertAlign w:val="baseline"/>
        </w:rPr>
        <w:t> </w:t>
      </w:r>
      <w:r>
        <w:rPr>
          <w:vertAlign w:val="baseline"/>
        </w:rPr>
        <w:t>are</w:t>
      </w:r>
      <w:r>
        <w:rPr>
          <w:spacing w:val="-13"/>
          <w:vertAlign w:val="baseline"/>
        </w:rPr>
        <w:t> </w:t>
      </w:r>
      <w:r>
        <w:rPr>
          <w:vertAlign w:val="baseline"/>
        </w:rPr>
        <w:t>individuals</w:t>
      </w:r>
      <w:r>
        <w:rPr>
          <w:spacing w:val="-11"/>
          <w:vertAlign w:val="baseline"/>
        </w:rPr>
        <w:t> </w:t>
      </w:r>
      <w:r>
        <w:rPr>
          <w:vertAlign w:val="baseline"/>
        </w:rPr>
        <w:t>who</w:t>
      </w:r>
      <w:r>
        <w:rPr>
          <w:spacing w:val="-12"/>
          <w:vertAlign w:val="baseline"/>
        </w:rPr>
        <w:t> </w:t>
      </w:r>
      <w:r>
        <w:rPr>
          <w:vertAlign w:val="baseline"/>
        </w:rPr>
        <w:t>are</w:t>
      </w:r>
      <w:r>
        <w:rPr>
          <w:spacing w:val="-11"/>
          <w:vertAlign w:val="baseline"/>
        </w:rPr>
        <w:t> </w:t>
      </w:r>
      <w:r>
        <w:rPr>
          <w:vertAlign w:val="baseline"/>
        </w:rPr>
        <w:t>not in the physical custody of a parent or legal guardian, and who lack a fixed, regular, and adequate nighttime residence.</w:t>
      </w:r>
      <w:hyperlink w:history="true" w:anchor="_bookmark278">
        <w:r>
          <w:rPr>
            <w:vertAlign w:val="superscript"/>
          </w:rPr>
          <w:t>5</w:t>
        </w:r>
      </w:hyperlink>
    </w:p>
    <w:p>
      <w:pPr>
        <w:pStyle w:val="BodyText"/>
        <w:spacing w:line="276" w:lineRule="auto" w:before="239"/>
        <w:ind w:left="464" w:right="401"/>
        <w:jc w:val="both"/>
      </w:pPr>
      <w:r>
        <w:rPr/>
        <w:t>This section provides an understanding of LGBTQ youth homelessness in the Commonwealth of Massachusetts</w:t>
      </w:r>
      <w:r>
        <w:rPr>
          <w:spacing w:val="-9"/>
        </w:rPr>
        <w:t> </w:t>
      </w:r>
      <w:r>
        <w:rPr/>
        <w:t>and</w:t>
      </w:r>
      <w:r>
        <w:rPr>
          <w:spacing w:val="-9"/>
        </w:rPr>
        <w:t> </w:t>
      </w:r>
      <w:r>
        <w:rPr/>
        <w:t>includes</w:t>
      </w:r>
      <w:r>
        <w:rPr>
          <w:spacing w:val="-9"/>
        </w:rPr>
        <w:t> </w:t>
      </w:r>
      <w:r>
        <w:rPr/>
        <w:t>legislative</w:t>
      </w:r>
      <w:r>
        <w:rPr>
          <w:spacing w:val="-9"/>
        </w:rPr>
        <w:t> </w:t>
      </w:r>
      <w:r>
        <w:rPr/>
        <w:t>priorities</w:t>
      </w:r>
      <w:r>
        <w:rPr>
          <w:spacing w:val="-9"/>
        </w:rPr>
        <w:t> </w:t>
      </w:r>
      <w:r>
        <w:rPr/>
        <w:t>and</w:t>
      </w:r>
      <w:r>
        <w:rPr>
          <w:spacing w:val="-9"/>
        </w:rPr>
        <w:t> </w:t>
      </w:r>
      <w:r>
        <w:rPr/>
        <w:t>recommendations</w:t>
      </w:r>
      <w:r>
        <w:rPr>
          <w:spacing w:val="-9"/>
        </w:rPr>
        <w:t> </w:t>
      </w:r>
      <w:r>
        <w:rPr/>
        <w:t>defined</w:t>
      </w:r>
      <w:r>
        <w:rPr>
          <w:spacing w:val="-9"/>
        </w:rPr>
        <w:t> </w:t>
      </w:r>
      <w:r>
        <w:rPr/>
        <w:t>by</w:t>
      </w:r>
      <w:r>
        <w:rPr>
          <w:spacing w:val="-9"/>
        </w:rPr>
        <w:t> </w:t>
      </w:r>
      <w:r>
        <w:rPr/>
        <w:t>the</w:t>
      </w:r>
      <w:r>
        <w:rPr>
          <w:spacing w:val="-9"/>
        </w:rPr>
        <w:t> </w:t>
      </w:r>
      <w:r>
        <w:rPr/>
        <w:t>Commission</w:t>
      </w:r>
      <w:r>
        <w:rPr>
          <w:spacing w:val="-9"/>
        </w:rPr>
        <w:t> </w:t>
      </w:r>
      <w:r>
        <w:rPr/>
        <w:t>on LGBTQ Youth to support the goal of eradicating youth homelessness in the Commonwealth.</w:t>
      </w:r>
    </w:p>
    <w:p>
      <w:pPr>
        <w:spacing w:before="240"/>
        <w:ind w:left="464" w:right="0" w:firstLine="0"/>
        <w:jc w:val="both"/>
        <w:rPr>
          <w:sz w:val="28"/>
        </w:rPr>
      </w:pPr>
      <w:bookmarkStart w:name="Recommendations for Addressing Youth Hom" w:id="483"/>
      <w:bookmarkEnd w:id="483"/>
      <w:r>
        <w:rPr/>
      </w:r>
      <w:r>
        <w:rPr>
          <w:color w:val="365F91"/>
          <w:sz w:val="28"/>
        </w:rPr>
        <w:t>Recommendations</w:t>
      </w:r>
      <w:r>
        <w:rPr>
          <w:color w:val="365F91"/>
          <w:spacing w:val="-15"/>
          <w:sz w:val="28"/>
        </w:rPr>
        <w:t> </w:t>
      </w:r>
      <w:r>
        <w:rPr>
          <w:color w:val="365F91"/>
          <w:sz w:val="28"/>
        </w:rPr>
        <w:t>for</w:t>
      </w:r>
      <w:r>
        <w:rPr>
          <w:color w:val="365F91"/>
          <w:spacing w:val="-14"/>
          <w:sz w:val="28"/>
        </w:rPr>
        <w:t> </w:t>
      </w:r>
      <w:r>
        <w:rPr>
          <w:color w:val="365F91"/>
          <w:sz w:val="28"/>
        </w:rPr>
        <w:t>Addressing</w:t>
      </w:r>
      <w:r>
        <w:rPr>
          <w:color w:val="365F91"/>
          <w:spacing w:val="-15"/>
          <w:sz w:val="28"/>
        </w:rPr>
        <w:t> </w:t>
      </w:r>
      <w:r>
        <w:rPr>
          <w:color w:val="365F91"/>
          <w:sz w:val="28"/>
        </w:rPr>
        <w:t>Youth</w:t>
      </w:r>
      <w:r>
        <w:rPr>
          <w:color w:val="365F91"/>
          <w:spacing w:val="-14"/>
          <w:sz w:val="28"/>
        </w:rPr>
        <w:t> </w:t>
      </w:r>
      <w:r>
        <w:rPr>
          <w:color w:val="365F91"/>
          <w:sz w:val="28"/>
        </w:rPr>
        <w:t>Homelessness</w:t>
      </w:r>
      <w:r>
        <w:rPr>
          <w:color w:val="365F91"/>
          <w:spacing w:val="-14"/>
          <w:sz w:val="28"/>
        </w:rPr>
        <w:t> </w:t>
      </w:r>
      <w:r>
        <w:rPr>
          <w:color w:val="365F91"/>
          <w:sz w:val="28"/>
        </w:rPr>
        <w:t>and</w:t>
      </w:r>
      <w:r>
        <w:rPr>
          <w:color w:val="365F91"/>
          <w:spacing w:val="-13"/>
          <w:sz w:val="28"/>
        </w:rPr>
        <w:t> </w:t>
      </w:r>
      <w:r>
        <w:rPr>
          <w:color w:val="365F91"/>
          <w:sz w:val="28"/>
        </w:rPr>
        <w:t>Housing</w:t>
      </w:r>
      <w:r>
        <w:rPr>
          <w:color w:val="365F91"/>
          <w:spacing w:val="-14"/>
          <w:sz w:val="28"/>
        </w:rPr>
        <w:t> </w:t>
      </w:r>
      <w:r>
        <w:rPr>
          <w:color w:val="365F91"/>
          <w:spacing w:val="-2"/>
          <w:sz w:val="28"/>
        </w:rPr>
        <w:t>Insecurity</w:t>
      </w:r>
    </w:p>
    <w:p>
      <w:pPr>
        <w:pStyle w:val="BodyText"/>
        <w:spacing w:before="9"/>
        <w:rPr>
          <w:sz w:val="3"/>
        </w:rPr>
      </w:pPr>
      <w:r>
        <w:rPr/>
        <mc:AlternateContent>
          <mc:Choice Requires="wps">
            <w:drawing>
              <wp:anchor distT="0" distB="0" distL="0" distR="0" allowOverlap="1" layoutInCell="1" locked="0" behindDoc="1" simplePos="0" relativeHeight="487654912">
                <wp:simplePos x="0" y="0"/>
                <wp:positionH relativeFrom="page">
                  <wp:posOffset>986789</wp:posOffset>
                </wp:positionH>
                <wp:positionV relativeFrom="paragraph">
                  <wp:posOffset>44757</wp:posOffset>
                </wp:positionV>
                <wp:extent cx="5799455" cy="635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24215pt;width:456.601pt;height:.481pt;mso-position-horizontal-relative:page;mso-position-vertical-relative:paragraph;z-index:-15661568;mso-wrap-distance-left:0;mso-wrap-distance-right:0" id="docshape290" filled="true" fillcolor="#4f81bc" stroked="false">
                <v:fill type="solid"/>
                <w10:wrap type="topAndBottom"/>
              </v:rect>
            </w:pict>
          </mc:Fallback>
        </mc:AlternateContent>
      </w:r>
    </w:p>
    <w:p>
      <w:pPr>
        <w:pStyle w:val="BodyText"/>
        <w:spacing w:line="276" w:lineRule="auto" w:before="241"/>
        <w:ind w:left="464"/>
      </w:pPr>
      <w:r>
        <w:rPr/>
        <w:t>The</w:t>
      </w:r>
      <w:r>
        <w:rPr>
          <w:spacing w:val="-9"/>
        </w:rPr>
        <w:t> </w:t>
      </w:r>
      <w:r>
        <w:rPr/>
        <w:t>Commission</w:t>
      </w:r>
      <w:r>
        <w:rPr>
          <w:spacing w:val="-9"/>
        </w:rPr>
        <w:t> </w:t>
      </w:r>
      <w:r>
        <w:rPr/>
        <w:t>has</w:t>
      </w:r>
      <w:r>
        <w:rPr>
          <w:spacing w:val="-9"/>
        </w:rPr>
        <w:t> </w:t>
      </w:r>
      <w:r>
        <w:rPr/>
        <w:t>proposed</w:t>
      </w:r>
      <w:r>
        <w:rPr>
          <w:spacing w:val="-9"/>
        </w:rPr>
        <w:t> </w:t>
      </w:r>
      <w:r>
        <w:rPr/>
        <w:t>the</w:t>
      </w:r>
      <w:r>
        <w:rPr>
          <w:spacing w:val="-9"/>
        </w:rPr>
        <w:t> </w:t>
      </w:r>
      <w:r>
        <w:rPr/>
        <w:t>following</w:t>
      </w:r>
      <w:r>
        <w:rPr>
          <w:spacing w:val="-9"/>
        </w:rPr>
        <w:t> </w:t>
      </w:r>
      <w:r>
        <w:rPr/>
        <w:t>recommendations</w:t>
      </w:r>
      <w:r>
        <w:rPr>
          <w:spacing w:val="-8"/>
        </w:rPr>
        <w:t> </w:t>
      </w:r>
      <w:r>
        <w:rPr/>
        <w:t>based</w:t>
      </w:r>
      <w:r>
        <w:rPr>
          <w:spacing w:val="-9"/>
        </w:rPr>
        <w:t> </w:t>
      </w:r>
      <w:r>
        <w:rPr/>
        <w:t>on</w:t>
      </w:r>
      <w:r>
        <w:rPr>
          <w:spacing w:val="-9"/>
        </w:rPr>
        <w:t> </w:t>
      </w:r>
      <w:r>
        <w:rPr/>
        <w:t>the</w:t>
      </w:r>
      <w:r>
        <w:rPr>
          <w:spacing w:val="-9"/>
        </w:rPr>
        <w:t> </w:t>
      </w:r>
      <w:r>
        <w:rPr/>
        <w:t>evidence-based</w:t>
      </w:r>
      <w:r>
        <w:rPr>
          <w:spacing w:val="-9"/>
        </w:rPr>
        <w:t> </w:t>
      </w:r>
      <w:r>
        <w:rPr/>
        <w:t>research conducted</w:t>
      </w:r>
      <w:r>
        <w:rPr>
          <w:spacing w:val="-3"/>
        </w:rPr>
        <w:t> </w:t>
      </w:r>
      <w:r>
        <w:rPr/>
        <w:t>to</w:t>
      </w:r>
      <w:r>
        <w:rPr>
          <w:spacing w:val="-4"/>
        </w:rPr>
        <w:t> </w:t>
      </w:r>
      <w:r>
        <w:rPr/>
        <w:t>better</w:t>
      </w:r>
      <w:r>
        <w:rPr>
          <w:spacing w:val="-3"/>
        </w:rPr>
        <w:t> </w:t>
      </w:r>
      <w:r>
        <w:rPr/>
        <w:t>meet</w:t>
      </w:r>
      <w:r>
        <w:rPr>
          <w:spacing w:val="-2"/>
        </w:rPr>
        <w:t> </w:t>
      </w:r>
      <w:r>
        <w:rPr/>
        <w:t>the</w:t>
      </w:r>
      <w:r>
        <w:rPr>
          <w:spacing w:val="-3"/>
        </w:rPr>
        <w:t> </w:t>
      </w:r>
      <w:r>
        <w:rPr/>
        <w:t>needs</w:t>
      </w:r>
      <w:r>
        <w:rPr>
          <w:spacing w:val="-4"/>
        </w:rPr>
        <w:t> </w:t>
      </w:r>
      <w:r>
        <w:rPr/>
        <w:t>of</w:t>
      </w:r>
      <w:r>
        <w:rPr>
          <w:spacing w:val="-3"/>
        </w:rPr>
        <w:t> </w:t>
      </w:r>
      <w:r>
        <w:rPr/>
        <w:t>the</w:t>
      </w:r>
      <w:r>
        <w:rPr>
          <w:spacing w:val="-3"/>
        </w:rPr>
        <w:t> </w:t>
      </w:r>
      <w:r>
        <w:rPr/>
        <w:t>LGBTQ</w:t>
      </w:r>
      <w:r>
        <w:rPr>
          <w:spacing w:val="-5"/>
        </w:rPr>
        <w:t> </w:t>
      </w:r>
      <w:r>
        <w:rPr/>
        <w:t>youth</w:t>
      </w:r>
      <w:r>
        <w:rPr>
          <w:spacing w:val="-4"/>
        </w:rPr>
        <w:t> </w:t>
      </w:r>
      <w:r>
        <w:rPr/>
        <w:t>homelessness</w:t>
      </w:r>
      <w:r>
        <w:rPr>
          <w:spacing w:val="-4"/>
        </w:rPr>
        <w:t> </w:t>
      </w:r>
      <w:r>
        <w:rPr/>
        <w:t>population.</w:t>
      </w:r>
      <w:r>
        <w:rPr>
          <w:spacing w:val="-4"/>
        </w:rPr>
        <w:t> </w:t>
      </w:r>
      <w:r>
        <w:rPr/>
        <w:t>The</w:t>
      </w:r>
      <w:r>
        <w:rPr>
          <w:spacing w:val="-3"/>
        </w:rPr>
        <w:t> </w:t>
      </w:r>
      <w:r>
        <w:rPr/>
        <w:t>goal</w:t>
      </w:r>
      <w:r>
        <w:rPr>
          <w:spacing w:val="-3"/>
        </w:rPr>
        <w:t> </w:t>
      </w:r>
      <w:r>
        <w:rPr/>
        <w:t>of</w:t>
      </w:r>
      <w:r>
        <w:rPr>
          <w:spacing w:val="-4"/>
        </w:rPr>
        <w:t> </w:t>
      </w:r>
      <w:r>
        <w:rPr>
          <w:spacing w:val="-2"/>
        </w:rPr>
        <w:t>these</w:t>
      </w:r>
    </w:p>
    <w:p>
      <w:pPr>
        <w:spacing w:after="0" w:line="276" w:lineRule="auto"/>
        <w:sectPr>
          <w:headerReference w:type="default" r:id="rId440"/>
          <w:footerReference w:type="default" r:id="rId441"/>
          <w:pgSz w:w="12240" w:h="15840"/>
          <w:pgMar w:header="765" w:footer="1127" w:top="1280" w:bottom="1320" w:left="1120" w:right="1180"/>
          <w:pgNumType w:start="145"/>
        </w:sectPr>
      </w:pPr>
    </w:p>
    <w:p>
      <w:pPr>
        <w:pStyle w:val="BodyText"/>
        <w:spacing w:line="276" w:lineRule="auto" w:before="91"/>
        <w:ind w:left="464" w:right="402"/>
        <w:jc w:val="both"/>
      </w:pPr>
      <w:r>
        <w:rPr/>
        <w:t>recommendations is to integrate strategic measures and approaches for individuals, families, communities, and institutions while being aware of the intersectionality of vulnerable population identities including race, ethnicity, sexual orientation, gender identity, and gender expression.</w:t>
      </w:r>
    </w:p>
    <w:p>
      <w:pPr>
        <w:pStyle w:val="BodyText"/>
        <w:spacing w:line="276" w:lineRule="auto" w:before="241"/>
        <w:ind w:left="464" w:right="402"/>
        <w:jc w:val="both"/>
      </w:pPr>
      <w:r>
        <w:rPr/>
        <w:t>The</w:t>
      </w:r>
      <w:r>
        <w:rPr>
          <w:spacing w:val="-8"/>
        </w:rPr>
        <w:t> </w:t>
      </w:r>
      <w:r>
        <w:rPr/>
        <w:t>Commission</w:t>
      </w:r>
      <w:r>
        <w:rPr>
          <w:spacing w:val="-8"/>
        </w:rPr>
        <w:t> </w:t>
      </w:r>
      <w:r>
        <w:rPr/>
        <w:t>understands</w:t>
      </w:r>
      <w:r>
        <w:rPr>
          <w:spacing w:val="-7"/>
        </w:rPr>
        <w:t> </w:t>
      </w:r>
      <w:r>
        <w:rPr/>
        <w:t>that</w:t>
      </w:r>
      <w:r>
        <w:rPr>
          <w:spacing w:val="-7"/>
        </w:rPr>
        <w:t> </w:t>
      </w:r>
      <w:r>
        <w:rPr/>
        <w:t>the</w:t>
      </w:r>
      <w:r>
        <w:rPr>
          <w:spacing w:val="-5"/>
        </w:rPr>
        <w:t> </w:t>
      </w:r>
      <w:r>
        <w:rPr/>
        <w:t>partnership</w:t>
      </w:r>
      <w:r>
        <w:rPr>
          <w:spacing w:val="-7"/>
        </w:rPr>
        <w:t> </w:t>
      </w:r>
      <w:r>
        <w:rPr/>
        <w:t>and</w:t>
      </w:r>
      <w:r>
        <w:rPr>
          <w:spacing w:val="-8"/>
        </w:rPr>
        <w:t> </w:t>
      </w:r>
      <w:r>
        <w:rPr/>
        <w:t>support</w:t>
      </w:r>
      <w:r>
        <w:rPr>
          <w:spacing w:val="-8"/>
        </w:rPr>
        <w:t> </w:t>
      </w:r>
      <w:r>
        <w:rPr/>
        <w:t>from</w:t>
      </w:r>
      <w:r>
        <w:rPr>
          <w:spacing w:val="-8"/>
        </w:rPr>
        <w:t> </w:t>
      </w:r>
      <w:r>
        <w:rPr/>
        <w:t>Governor</w:t>
      </w:r>
      <w:r>
        <w:rPr>
          <w:spacing w:val="-6"/>
        </w:rPr>
        <w:t> </w:t>
      </w:r>
      <w:r>
        <w:rPr/>
        <w:t>Healey,</w:t>
      </w:r>
      <w:r>
        <w:rPr>
          <w:spacing w:val="-6"/>
        </w:rPr>
        <w:t> </w:t>
      </w:r>
      <w:r>
        <w:rPr/>
        <w:t>the</w:t>
      </w:r>
      <w:r>
        <w:rPr>
          <w:spacing w:val="-6"/>
        </w:rPr>
        <w:t> </w:t>
      </w:r>
      <w:r>
        <w:rPr/>
        <w:t>legislature, and other policymakers in the Commonwealth are key to implementing programs and initiatives that work to improve the resources and services offered to LGBTQ youth experiencing homelessness. The recommendations from the Commission include:</w:t>
      </w:r>
    </w:p>
    <w:p>
      <w:pPr>
        <w:numPr>
          <w:ilvl w:val="0"/>
          <w:numId w:val="24"/>
        </w:numPr>
        <w:tabs>
          <w:tab w:pos="461" w:val="left" w:leader="none"/>
        </w:tabs>
        <w:spacing w:before="239"/>
        <w:ind w:left="461" w:right="0" w:hanging="358"/>
        <w:jc w:val="left"/>
        <w:rPr>
          <w:b/>
          <w:sz w:val="22"/>
        </w:rPr>
      </w:pPr>
      <w:r>
        <w:rPr>
          <w:b/>
          <w:sz w:val="22"/>
        </w:rPr>
        <w:t>Improving</w:t>
      </w:r>
      <w:r>
        <w:rPr>
          <w:b/>
          <w:spacing w:val="-10"/>
          <w:sz w:val="22"/>
        </w:rPr>
        <w:t> </w:t>
      </w:r>
      <w:r>
        <w:rPr>
          <w:b/>
          <w:sz w:val="22"/>
        </w:rPr>
        <w:t>access</w:t>
      </w:r>
      <w:r>
        <w:rPr>
          <w:b/>
          <w:spacing w:val="-9"/>
          <w:sz w:val="22"/>
        </w:rPr>
        <w:t> </w:t>
      </w:r>
      <w:r>
        <w:rPr>
          <w:b/>
          <w:sz w:val="22"/>
        </w:rPr>
        <w:t>to</w:t>
      </w:r>
      <w:r>
        <w:rPr>
          <w:b/>
          <w:spacing w:val="-10"/>
          <w:sz w:val="22"/>
        </w:rPr>
        <w:t> </w:t>
      </w:r>
      <w:r>
        <w:rPr>
          <w:b/>
          <w:sz w:val="22"/>
        </w:rPr>
        <w:t>state</w:t>
      </w:r>
      <w:r>
        <w:rPr>
          <w:b/>
          <w:spacing w:val="-8"/>
          <w:sz w:val="22"/>
        </w:rPr>
        <w:t> </w:t>
      </w:r>
      <w:r>
        <w:rPr>
          <w:b/>
          <w:sz w:val="22"/>
        </w:rPr>
        <w:t>IDs</w:t>
      </w:r>
      <w:r>
        <w:rPr>
          <w:b/>
          <w:spacing w:val="-10"/>
          <w:sz w:val="22"/>
        </w:rPr>
        <w:t> </w:t>
      </w:r>
      <w:r>
        <w:rPr>
          <w:b/>
          <w:sz w:val="22"/>
        </w:rPr>
        <w:t>for</w:t>
      </w:r>
      <w:r>
        <w:rPr>
          <w:b/>
          <w:spacing w:val="-10"/>
          <w:sz w:val="22"/>
        </w:rPr>
        <w:t> </w:t>
      </w:r>
      <w:r>
        <w:rPr>
          <w:b/>
          <w:sz w:val="22"/>
        </w:rPr>
        <w:t>youth</w:t>
      </w:r>
      <w:r>
        <w:rPr>
          <w:b/>
          <w:spacing w:val="-9"/>
          <w:sz w:val="22"/>
        </w:rPr>
        <w:t> </w:t>
      </w:r>
      <w:r>
        <w:rPr>
          <w:b/>
          <w:sz w:val="22"/>
        </w:rPr>
        <w:t>experiencing</w:t>
      </w:r>
      <w:r>
        <w:rPr>
          <w:b/>
          <w:spacing w:val="-9"/>
          <w:sz w:val="22"/>
        </w:rPr>
        <w:t> </w:t>
      </w:r>
      <w:r>
        <w:rPr>
          <w:b/>
          <w:sz w:val="22"/>
        </w:rPr>
        <w:t>homelessness</w:t>
      </w:r>
      <w:r>
        <w:rPr>
          <w:b/>
          <w:spacing w:val="-10"/>
          <w:sz w:val="22"/>
        </w:rPr>
        <w:t> </w:t>
      </w:r>
      <w:r>
        <w:rPr>
          <w:b/>
          <w:sz w:val="22"/>
        </w:rPr>
        <w:t>and</w:t>
      </w:r>
      <w:r>
        <w:rPr>
          <w:b/>
          <w:spacing w:val="-10"/>
          <w:sz w:val="22"/>
        </w:rPr>
        <w:t> </w:t>
      </w:r>
      <w:r>
        <w:rPr>
          <w:b/>
          <w:sz w:val="22"/>
        </w:rPr>
        <w:t>gender-expansive</w:t>
      </w:r>
      <w:r>
        <w:rPr>
          <w:b/>
          <w:spacing w:val="-9"/>
          <w:sz w:val="22"/>
        </w:rPr>
        <w:t> </w:t>
      </w:r>
      <w:r>
        <w:rPr>
          <w:b/>
          <w:spacing w:val="-2"/>
          <w:sz w:val="22"/>
        </w:rPr>
        <w:t>youth.</w:t>
      </w:r>
    </w:p>
    <w:p>
      <w:pPr>
        <w:pStyle w:val="BodyText"/>
        <w:spacing w:before="11"/>
        <w:rPr>
          <w:b/>
        </w:rPr>
      </w:pPr>
    </w:p>
    <w:p>
      <w:pPr>
        <w:pStyle w:val="BodyText"/>
        <w:spacing w:line="276" w:lineRule="auto"/>
        <w:ind w:left="463" w:right="401"/>
        <w:jc w:val="both"/>
      </w:pPr>
      <w:r>
        <w:rPr/>
        <w:t>Analysis</w:t>
      </w:r>
      <w:r>
        <w:rPr>
          <w:spacing w:val="-13"/>
        </w:rPr>
        <w:t> </w:t>
      </w:r>
      <w:r>
        <w:rPr/>
        <w:t>conducted</w:t>
      </w:r>
      <w:r>
        <w:rPr>
          <w:spacing w:val="-12"/>
        </w:rPr>
        <w:t> </w:t>
      </w:r>
      <w:r>
        <w:rPr/>
        <w:t>by</w:t>
      </w:r>
      <w:r>
        <w:rPr>
          <w:spacing w:val="-13"/>
        </w:rPr>
        <w:t> </w:t>
      </w:r>
      <w:r>
        <w:rPr/>
        <w:t>the</w:t>
      </w:r>
      <w:r>
        <w:rPr>
          <w:spacing w:val="-12"/>
        </w:rPr>
        <w:t> </w:t>
      </w:r>
      <w:r>
        <w:rPr/>
        <w:t>Massachusetts</w:t>
      </w:r>
      <w:r>
        <w:rPr>
          <w:spacing w:val="-13"/>
        </w:rPr>
        <w:t> </w:t>
      </w:r>
      <w:r>
        <w:rPr/>
        <w:t>Coalition</w:t>
      </w:r>
      <w:r>
        <w:rPr>
          <w:spacing w:val="-12"/>
        </w:rPr>
        <w:t> </w:t>
      </w:r>
      <w:r>
        <w:rPr/>
        <w:t>for</w:t>
      </w:r>
      <w:r>
        <w:rPr>
          <w:spacing w:val="-13"/>
        </w:rPr>
        <w:t> </w:t>
      </w:r>
      <w:r>
        <w:rPr/>
        <w:t>the</w:t>
      </w:r>
      <w:r>
        <w:rPr>
          <w:spacing w:val="-12"/>
        </w:rPr>
        <w:t> </w:t>
      </w:r>
      <w:r>
        <w:rPr/>
        <w:t>Homeless</w:t>
      </w:r>
      <w:r>
        <w:rPr>
          <w:spacing w:val="-12"/>
        </w:rPr>
        <w:t> </w:t>
      </w:r>
      <w:r>
        <w:rPr/>
        <w:t>has</w:t>
      </w:r>
      <w:r>
        <w:rPr>
          <w:spacing w:val="-13"/>
        </w:rPr>
        <w:t> </w:t>
      </w:r>
      <w:r>
        <w:rPr/>
        <w:t>confirmed</w:t>
      </w:r>
      <w:r>
        <w:rPr>
          <w:spacing w:val="-12"/>
        </w:rPr>
        <w:t> </w:t>
      </w:r>
      <w:r>
        <w:rPr/>
        <w:t>that</w:t>
      </w:r>
      <w:r>
        <w:rPr>
          <w:spacing w:val="-13"/>
        </w:rPr>
        <w:t> </w:t>
      </w:r>
      <w:r>
        <w:rPr/>
        <w:t>access</w:t>
      </w:r>
      <w:r>
        <w:rPr>
          <w:spacing w:val="-12"/>
        </w:rPr>
        <w:t> </w:t>
      </w:r>
      <w:r>
        <w:rPr/>
        <w:t>to</w:t>
      </w:r>
      <w:r>
        <w:rPr>
          <w:spacing w:val="-13"/>
        </w:rPr>
        <w:t> </w:t>
      </w:r>
      <w:r>
        <w:rPr/>
        <w:t>state </w:t>
      </w:r>
      <w:r>
        <w:rPr>
          <w:spacing w:val="-2"/>
        </w:rPr>
        <w:t>identification continues</w:t>
      </w:r>
      <w:r>
        <w:rPr>
          <w:spacing w:val="-3"/>
        </w:rPr>
        <w:t> </w:t>
      </w:r>
      <w:r>
        <w:rPr>
          <w:spacing w:val="-2"/>
        </w:rPr>
        <w:t>to be</w:t>
      </w:r>
      <w:r>
        <w:rPr>
          <w:spacing w:val="-3"/>
        </w:rPr>
        <w:t> </w:t>
      </w:r>
      <w:r>
        <w:rPr>
          <w:spacing w:val="-2"/>
        </w:rPr>
        <w:t>a</w:t>
      </w:r>
      <w:r>
        <w:rPr>
          <w:spacing w:val="-3"/>
        </w:rPr>
        <w:t> </w:t>
      </w:r>
      <w:r>
        <w:rPr>
          <w:spacing w:val="-2"/>
        </w:rPr>
        <w:t>significant</w:t>
      </w:r>
      <w:r>
        <w:rPr>
          <w:spacing w:val="-3"/>
        </w:rPr>
        <w:t> </w:t>
      </w:r>
      <w:r>
        <w:rPr>
          <w:spacing w:val="-2"/>
        </w:rPr>
        <w:t>barrier</w:t>
      </w:r>
      <w:r>
        <w:rPr>
          <w:spacing w:val="-3"/>
        </w:rPr>
        <w:t> </w:t>
      </w:r>
      <w:r>
        <w:rPr>
          <w:spacing w:val="-2"/>
        </w:rPr>
        <w:t>in the</w:t>
      </w:r>
      <w:r>
        <w:rPr>
          <w:spacing w:val="-3"/>
        </w:rPr>
        <w:t> </w:t>
      </w:r>
      <w:r>
        <w:rPr>
          <w:spacing w:val="-2"/>
        </w:rPr>
        <w:t>Commonwealth</w:t>
      </w:r>
      <w:r>
        <w:rPr>
          <w:spacing w:val="-3"/>
        </w:rPr>
        <w:t> </w:t>
      </w:r>
      <w:r>
        <w:rPr>
          <w:spacing w:val="-2"/>
        </w:rPr>
        <w:t>and denies</w:t>
      </w:r>
      <w:r>
        <w:rPr>
          <w:spacing w:val="-3"/>
        </w:rPr>
        <w:t> </w:t>
      </w:r>
      <w:r>
        <w:rPr>
          <w:spacing w:val="-2"/>
        </w:rPr>
        <w:t>youth experiencing </w:t>
      </w:r>
      <w:r>
        <w:rPr/>
        <w:t>homelessness and housing instability the access that they need to basic services and programs that end</w:t>
      </w:r>
      <w:r>
        <w:rPr>
          <w:spacing w:val="-1"/>
        </w:rPr>
        <w:t> </w:t>
      </w:r>
      <w:r>
        <w:rPr/>
        <w:t>the</w:t>
      </w:r>
      <w:r>
        <w:rPr>
          <w:spacing w:val="-1"/>
        </w:rPr>
        <w:t> </w:t>
      </w:r>
      <w:r>
        <w:rPr/>
        <w:t>cycle of poverty that</w:t>
      </w:r>
      <w:r>
        <w:rPr>
          <w:spacing w:val="-2"/>
        </w:rPr>
        <w:t> </w:t>
      </w:r>
      <w:r>
        <w:rPr/>
        <w:t>they are</w:t>
      </w:r>
      <w:r>
        <w:rPr>
          <w:spacing w:val="-1"/>
        </w:rPr>
        <w:t> </w:t>
      </w:r>
      <w:r>
        <w:rPr/>
        <w:t>experiencing. The 2021</w:t>
      </w:r>
      <w:r>
        <w:rPr>
          <w:spacing w:val="-1"/>
        </w:rPr>
        <w:t> </w:t>
      </w:r>
      <w:r>
        <w:rPr/>
        <w:t>Massachusetts Youth</w:t>
      </w:r>
      <w:r>
        <w:rPr>
          <w:spacing w:val="-1"/>
        </w:rPr>
        <w:t> </w:t>
      </w:r>
      <w:r>
        <w:rPr/>
        <w:t>Count</w:t>
      </w:r>
      <w:r>
        <w:rPr>
          <w:spacing w:val="-1"/>
        </w:rPr>
        <w:t> </w:t>
      </w:r>
      <w:r>
        <w:rPr/>
        <w:t>found</w:t>
      </w:r>
      <w:r>
        <w:rPr>
          <w:spacing w:val="-1"/>
        </w:rPr>
        <w:t> </w:t>
      </w:r>
      <w:r>
        <w:rPr/>
        <w:t>that 35%</w:t>
      </w:r>
      <w:r>
        <w:rPr>
          <w:spacing w:val="-11"/>
        </w:rPr>
        <w:t> </w:t>
      </w:r>
      <w:r>
        <w:rPr/>
        <w:t>of</w:t>
      </w:r>
      <w:r>
        <w:rPr>
          <w:spacing w:val="-11"/>
        </w:rPr>
        <w:t> </w:t>
      </w:r>
      <w:r>
        <w:rPr/>
        <w:t>unaccompanied</w:t>
      </w:r>
      <w:r>
        <w:rPr>
          <w:spacing w:val="-10"/>
        </w:rPr>
        <w:t> </w:t>
      </w:r>
      <w:r>
        <w:rPr/>
        <w:t>youth</w:t>
      </w:r>
      <w:r>
        <w:rPr>
          <w:spacing w:val="-10"/>
        </w:rPr>
        <w:t> </w:t>
      </w:r>
      <w:r>
        <w:rPr/>
        <w:t>experiencing</w:t>
      </w:r>
      <w:r>
        <w:rPr>
          <w:spacing w:val="-10"/>
        </w:rPr>
        <w:t> </w:t>
      </w:r>
      <w:r>
        <w:rPr/>
        <w:t>homelessness</w:t>
      </w:r>
      <w:r>
        <w:rPr>
          <w:spacing w:val="-11"/>
        </w:rPr>
        <w:t> </w:t>
      </w:r>
      <w:r>
        <w:rPr/>
        <w:t>had</w:t>
      </w:r>
      <w:r>
        <w:rPr>
          <w:spacing w:val="-10"/>
        </w:rPr>
        <w:t> </w:t>
      </w:r>
      <w:r>
        <w:rPr/>
        <w:t>issues</w:t>
      </w:r>
      <w:r>
        <w:rPr>
          <w:spacing w:val="-11"/>
        </w:rPr>
        <w:t> </w:t>
      </w:r>
      <w:r>
        <w:rPr/>
        <w:t>accessing</w:t>
      </w:r>
      <w:r>
        <w:rPr>
          <w:spacing w:val="-9"/>
        </w:rPr>
        <w:t> </w:t>
      </w:r>
      <w:r>
        <w:rPr/>
        <w:t>housing</w:t>
      </w:r>
      <w:r>
        <w:rPr>
          <w:spacing w:val="-11"/>
        </w:rPr>
        <w:t> </w:t>
      </w:r>
      <w:r>
        <w:rPr/>
        <w:t>services</w:t>
      </w:r>
      <w:r>
        <w:rPr>
          <w:spacing w:val="-11"/>
        </w:rPr>
        <w:t> </w:t>
      </w:r>
      <w:r>
        <w:rPr/>
        <w:t>due</w:t>
      </w:r>
      <w:r>
        <w:rPr>
          <w:spacing w:val="-10"/>
        </w:rPr>
        <w:t> </w:t>
      </w:r>
      <w:r>
        <w:rPr/>
        <w:t>to not having proper identification or documentation to access services.</w:t>
      </w:r>
    </w:p>
    <w:p>
      <w:pPr>
        <w:pStyle w:val="BodyText"/>
        <w:spacing w:line="276" w:lineRule="auto" w:before="241"/>
        <w:ind w:left="463" w:right="401"/>
        <w:jc w:val="both"/>
      </w:pPr>
      <w:r>
        <w:rPr/>
        <w:t>In July 2023, the Massachusetts State Senate unanimously passed a bill, S.2251/H.3360, </w:t>
      </w:r>
      <w:r>
        <w:rPr>
          <w:i/>
        </w:rPr>
        <w:t>An Act to</w:t>
      </w:r>
      <w:r>
        <w:rPr>
          <w:i/>
        </w:rPr>
        <w:t> provide identification to youth and adults experiencing homelessness</w:t>
      </w:r>
      <w:r>
        <w:rPr/>
        <w:t>, to provide free identification cards to those experiencing homelessness. However, there has yet to be movement or advancement of the bill after it was sent to the House Ways and Means Committee, despite strong support and co- </w:t>
      </w:r>
      <w:r>
        <w:rPr>
          <w:spacing w:val="-2"/>
        </w:rPr>
        <w:t>sponsorship.</w:t>
      </w:r>
    </w:p>
    <w:p>
      <w:pPr>
        <w:pStyle w:val="BodyText"/>
        <w:spacing w:line="276" w:lineRule="auto" w:before="239"/>
        <w:ind w:left="463" w:right="399"/>
        <w:jc w:val="both"/>
      </w:pPr>
      <w:r>
        <w:rPr/>
        <w:t>Currently, 16 states have successfully implemented services that offer free or reduced-fee cards for individuals experiencing homelessness, making the Commonwealth of Massachusetts lag on advancements and protective measures for youth experiencing homelessness and housing instability (“Massachusetts</w:t>
      </w:r>
      <w:r>
        <w:rPr>
          <w:spacing w:val="-1"/>
        </w:rPr>
        <w:t> </w:t>
      </w:r>
      <w:r>
        <w:rPr/>
        <w:t>Coalition</w:t>
      </w:r>
      <w:r>
        <w:rPr>
          <w:spacing w:val="-1"/>
        </w:rPr>
        <w:t> </w:t>
      </w:r>
      <w:r>
        <w:rPr/>
        <w:t>for</w:t>
      </w:r>
      <w:r>
        <w:rPr>
          <w:spacing w:val="-1"/>
        </w:rPr>
        <w:t> </w:t>
      </w:r>
      <w:r>
        <w:rPr/>
        <w:t>the Homeless</w:t>
      </w:r>
      <w:r>
        <w:rPr>
          <w:spacing w:val="-1"/>
        </w:rPr>
        <w:t> </w:t>
      </w:r>
      <w:r>
        <w:rPr/>
        <w:t>-</w:t>
      </w:r>
      <w:r>
        <w:rPr>
          <w:spacing w:val="-1"/>
        </w:rPr>
        <w:t> </w:t>
      </w:r>
      <w:r>
        <w:rPr/>
        <w:t>Fact</w:t>
      </w:r>
      <w:r>
        <w:rPr>
          <w:spacing w:val="-1"/>
        </w:rPr>
        <w:t> </w:t>
      </w:r>
      <w:r>
        <w:rPr/>
        <w:t>Sheet,</w:t>
      </w:r>
      <w:r>
        <w:rPr>
          <w:spacing w:val="-1"/>
        </w:rPr>
        <w:t> </w:t>
      </w:r>
      <w:r>
        <w:rPr/>
        <w:t>‘Everyone</w:t>
      </w:r>
      <w:r>
        <w:rPr>
          <w:spacing w:val="-2"/>
        </w:rPr>
        <w:t> </w:t>
      </w:r>
      <w:r>
        <w:rPr/>
        <w:t>Needs</w:t>
      </w:r>
      <w:r>
        <w:rPr>
          <w:spacing w:val="-1"/>
        </w:rPr>
        <w:t> </w:t>
      </w:r>
      <w:r>
        <w:rPr/>
        <w:t>ID: Providing</w:t>
      </w:r>
      <w:r>
        <w:rPr>
          <w:spacing w:val="-2"/>
        </w:rPr>
        <w:t> </w:t>
      </w:r>
      <w:r>
        <w:rPr/>
        <w:t>Identification to</w:t>
      </w:r>
      <w:r>
        <w:rPr>
          <w:spacing w:val="-9"/>
        </w:rPr>
        <w:t> </w:t>
      </w:r>
      <w:r>
        <w:rPr/>
        <w:t>Youth</w:t>
      </w:r>
      <w:r>
        <w:rPr>
          <w:spacing w:val="-10"/>
        </w:rPr>
        <w:t> </w:t>
      </w:r>
      <w:r>
        <w:rPr/>
        <w:t>and</w:t>
      </w:r>
      <w:r>
        <w:rPr>
          <w:spacing w:val="-8"/>
        </w:rPr>
        <w:t> </w:t>
      </w:r>
      <w:r>
        <w:rPr/>
        <w:t>Adults</w:t>
      </w:r>
      <w:r>
        <w:rPr>
          <w:spacing w:val="-8"/>
        </w:rPr>
        <w:t> </w:t>
      </w:r>
      <w:r>
        <w:rPr/>
        <w:t>Experiencing</w:t>
      </w:r>
      <w:r>
        <w:rPr>
          <w:spacing w:val="-9"/>
        </w:rPr>
        <w:t> </w:t>
      </w:r>
      <w:r>
        <w:rPr/>
        <w:t>Homelessness,’”</w:t>
      </w:r>
      <w:r>
        <w:rPr>
          <w:spacing w:val="-9"/>
        </w:rPr>
        <w:t> </w:t>
      </w:r>
      <w:r>
        <w:rPr/>
        <w:t>2023).</w:t>
      </w:r>
      <w:r>
        <w:rPr>
          <w:spacing w:val="-10"/>
        </w:rPr>
        <w:t> </w:t>
      </w:r>
      <w:r>
        <w:rPr/>
        <w:t>Additionally,</w:t>
      </w:r>
      <w:r>
        <w:rPr>
          <w:spacing w:val="-10"/>
        </w:rPr>
        <w:t> </w:t>
      </w:r>
      <w:r>
        <w:rPr/>
        <w:t>with</w:t>
      </w:r>
      <w:r>
        <w:rPr>
          <w:spacing w:val="-9"/>
        </w:rPr>
        <w:t> </w:t>
      </w:r>
      <w:r>
        <w:rPr/>
        <w:t>the</w:t>
      </w:r>
      <w:r>
        <w:rPr>
          <w:spacing w:val="-9"/>
        </w:rPr>
        <w:t> </w:t>
      </w:r>
      <w:r>
        <w:rPr/>
        <w:t>implementation</w:t>
      </w:r>
      <w:r>
        <w:rPr>
          <w:spacing w:val="-10"/>
        </w:rPr>
        <w:t> </w:t>
      </w:r>
      <w:r>
        <w:rPr/>
        <w:t>of</w:t>
      </w:r>
      <w:r>
        <w:rPr>
          <w:spacing w:val="-10"/>
        </w:rPr>
        <w:t> </w:t>
      </w:r>
      <w:r>
        <w:rPr/>
        <w:t>the REAL ID Act across the country beginning May 7, 2025, there is an urgent need for an alternative identification card for people experiencing homelessness who lack the documentation needed for a REAL ID card.</w:t>
      </w:r>
    </w:p>
    <w:p>
      <w:pPr>
        <w:numPr>
          <w:ilvl w:val="0"/>
          <w:numId w:val="24"/>
        </w:numPr>
        <w:tabs>
          <w:tab w:pos="461" w:val="left" w:leader="none"/>
          <w:tab w:pos="463" w:val="left" w:leader="none"/>
        </w:tabs>
        <w:spacing w:line="276" w:lineRule="auto" w:before="240"/>
        <w:ind w:left="463" w:right="403" w:hanging="360"/>
        <w:jc w:val="both"/>
        <w:rPr>
          <w:b/>
          <w:sz w:val="22"/>
        </w:rPr>
      </w:pPr>
      <w:r>
        <w:rPr>
          <w:b/>
          <w:sz w:val="22"/>
        </w:rPr>
        <w:t>Increasing funding for services to expand inclusive drop-in centers, shelter spaces, and living programs for transition-aged youth to better support LGBTQ youth experiencing homelessness or housing instability.</w:t>
      </w:r>
    </w:p>
    <w:p>
      <w:pPr>
        <w:pStyle w:val="BodyText"/>
        <w:spacing w:line="276" w:lineRule="auto" w:before="239"/>
        <w:ind w:left="463" w:right="404"/>
        <w:jc w:val="both"/>
      </w:pPr>
      <w:r>
        <w:rPr/>
        <w:t>Research</w:t>
      </w:r>
      <w:r>
        <w:rPr>
          <w:spacing w:val="-10"/>
        </w:rPr>
        <w:t> </w:t>
      </w:r>
      <w:r>
        <w:rPr/>
        <w:t>has</w:t>
      </w:r>
      <w:r>
        <w:rPr>
          <w:spacing w:val="-10"/>
        </w:rPr>
        <w:t> </w:t>
      </w:r>
      <w:r>
        <w:rPr/>
        <w:t>indicated</w:t>
      </w:r>
      <w:r>
        <w:rPr>
          <w:spacing w:val="-10"/>
        </w:rPr>
        <w:t> </w:t>
      </w:r>
      <w:r>
        <w:rPr/>
        <w:t>that</w:t>
      </w:r>
      <w:r>
        <w:rPr>
          <w:spacing w:val="-12"/>
        </w:rPr>
        <w:t> </w:t>
      </w:r>
      <w:r>
        <w:rPr/>
        <w:t>lack</w:t>
      </w:r>
      <w:r>
        <w:rPr>
          <w:spacing w:val="-10"/>
        </w:rPr>
        <w:t> </w:t>
      </w:r>
      <w:r>
        <w:rPr/>
        <w:t>of</w:t>
      </w:r>
      <w:r>
        <w:rPr>
          <w:spacing w:val="-11"/>
        </w:rPr>
        <w:t> </w:t>
      </w:r>
      <w:r>
        <w:rPr/>
        <w:t>funding</w:t>
      </w:r>
      <w:r>
        <w:rPr>
          <w:spacing w:val="-12"/>
        </w:rPr>
        <w:t> </w:t>
      </w:r>
      <w:r>
        <w:rPr/>
        <w:t>was</w:t>
      </w:r>
      <w:r>
        <w:rPr>
          <w:spacing w:val="-10"/>
        </w:rPr>
        <w:t> </w:t>
      </w:r>
      <w:r>
        <w:rPr/>
        <w:t>identified</w:t>
      </w:r>
      <w:r>
        <w:rPr>
          <w:spacing w:val="-12"/>
        </w:rPr>
        <w:t> </w:t>
      </w:r>
      <w:r>
        <w:rPr/>
        <w:t>as</w:t>
      </w:r>
      <w:r>
        <w:rPr>
          <w:spacing w:val="-10"/>
        </w:rPr>
        <w:t> </w:t>
      </w:r>
      <w:r>
        <w:rPr/>
        <w:t>the</w:t>
      </w:r>
      <w:r>
        <w:rPr>
          <w:spacing w:val="-10"/>
        </w:rPr>
        <w:t> </w:t>
      </w:r>
      <w:r>
        <w:rPr/>
        <w:t>largest</w:t>
      </w:r>
      <w:r>
        <w:rPr>
          <w:spacing w:val="-11"/>
        </w:rPr>
        <w:t> </w:t>
      </w:r>
      <w:r>
        <w:rPr/>
        <w:t>barrier</w:t>
      </w:r>
      <w:r>
        <w:rPr>
          <w:spacing w:val="-10"/>
        </w:rPr>
        <w:t> </w:t>
      </w:r>
      <w:r>
        <w:rPr/>
        <w:t>to</w:t>
      </w:r>
      <w:r>
        <w:rPr>
          <w:spacing w:val="-11"/>
        </w:rPr>
        <w:t> </w:t>
      </w:r>
      <w:r>
        <w:rPr/>
        <w:t>serving</w:t>
      </w:r>
      <w:r>
        <w:rPr>
          <w:spacing w:val="-12"/>
        </w:rPr>
        <w:t> </w:t>
      </w:r>
      <w:r>
        <w:rPr/>
        <w:t>LGBTQ</w:t>
      </w:r>
      <w:r>
        <w:rPr>
          <w:spacing w:val="-12"/>
        </w:rPr>
        <w:t> </w:t>
      </w:r>
      <w:r>
        <w:rPr/>
        <w:t>youth experiencing</w:t>
      </w:r>
      <w:r>
        <w:rPr>
          <w:spacing w:val="-7"/>
        </w:rPr>
        <w:t> </w:t>
      </w:r>
      <w:r>
        <w:rPr/>
        <w:t>homelessness</w:t>
      </w:r>
      <w:r>
        <w:rPr>
          <w:spacing w:val="-7"/>
        </w:rPr>
        <w:t> </w:t>
      </w:r>
      <w:r>
        <w:rPr/>
        <w:t>(Choi</w:t>
      </w:r>
      <w:r>
        <w:rPr>
          <w:spacing w:val="-8"/>
        </w:rPr>
        <w:t> </w:t>
      </w:r>
      <w:r>
        <w:rPr/>
        <w:t>et</w:t>
      </w:r>
      <w:r>
        <w:rPr>
          <w:spacing w:val="-8"/>
        </w:rPr>
        <w:t> </w:t>
      </w:r>
      <w:r>
        <w:rPr/>
        <w:t>al.</w:t>
      </w:r>
      <w:r>
        <w:rPr>
          <w:spacing w:val="-5"/>
        </w:rPr>
        <w:t> </w:t>
      </w:r>
      <w:r>
        <w:rPr/>
        <w:t>2015).</w:t>
      </w:r>
      <w:r>
        <w:rPr>
          <w:spacing w:val="-8"/>
        </w:rPr>
        <w:t> </w:t>
      </w:r>
      <w:r>
        <w:rPr/>
        <w:t>The</w:t>
      </w:r>
      <w:r>
        <w:rPr>
          <w:spacing w:val="-8"/>
        </w:rPr>
        <w:t> </w:t>
      </w:r>
      <w:r>
        <w:rPr/>
        <w:t>Commission</w:t>
      </w:r>
      <w:r>
        <w:rPr>
          <w:spacing w:val="-8"/>
        </w:rPr>
        <w:t> </w:t>
      </w:r>
      <w:r>
        <w:rPr/>
        <w:t>urges</w:t>
      </w:r>
      <w:r>
        <w:rPr>
          <w:spacing w:val="-7"/>
        </w:rPr>
        <w:t> </w:t>
      </w:r>
      <w:r>
        <w:rPr/>
        <w:t>the</w:t>
      </w:r>
      <w:r>
        <w:rPr>
          <w:spacing w:val="-6"/>
        </w:rPr>
        <w:t> </w:t>
      </w:r>
      <w:r>
        <w:rPr/>
        <w:t>Massachusetts</w:t>
      </w:r>
      <w:r>
        <w:rPr>
          <w:spacing w:val="-7"/>
        </w:rPr>
        <w:t> </w:t>
      </w:r>
      <w:r>
        <w:rPr/>
        <w:t>Legislature</w:t>
      </w:r>
      <w:r>
        <w:rPr>
          <w:spacing w:val="-8"/>
        </w:rPr>
        <w:t> </w:t>
      </w:r>
      <w:r>
        <w:rPr/>
        <w:t>to continue to expand funding underline items for services that target LGBTQ youth experiencing homelessness and housing insecurity. Funding efforts should continue to focus on the inclusion of QTBIPOC</w:t>
      </w:r>
      <w:r>
        <w:rPr>
          <w:spacing w:val="-7"/>
        </w:rPr>
        <w:t> </w:t>
      </w:r>
      <w:r>
        <w:rPr/>
        <w:t>and</w:t>
      </w:r>
      <w:r>
        <w:rPr>
          <w:spacing w:val="-6"/>
        </w:rPr>
        <w:t> </w:t>
      </w:r>
      <w:r>
        <w:rPr/>
        <w:t>migrant</w:t>
      </w:r>
      <w:r>
        <w:rPr>
          <w:spacing w:val="-7"/>
        </w:rPr>
        <w:t> </w:t>
      </w:r>
      <w:r>
        <w:rPr/>
        <w:t>communities</w:t>
      </w:r>
      <w:r>
        <w:rPr>
          <w:spacing w:val="-7"/>
        </w:rPr>
        <w:t> </w:t>
      </w:r>
      <w:r>
        <w:rPr/>
        <w:t>that</w:t>
      </w:r>
      <w:r>
        <w:rPr>
          <w:spacing w:val="-7"/>
        </w:rPr>
        <w:t> </w:t>
      </w:r>
      <w:r>
        <w:rPr/>
        <w:t>disproportionately</w:t>
      </w:r>
      <w:r>
        <w:rPr>
          <w:spacing w:val="-7"/>
        </w:rPr>
        <w:t> </w:t>
      </w:r>
      <w:r>
        <w:rPr/>
        <w:t>face</w:t>
      </w:r>
      <w:r>
        <w:rPr>
          <w:spacing w:val="-6"/>
        </w:rPr>
        <w:t> </w:t>
      </w:r>
      <w:r>
        <w:rPr/>
        <w:t>barriers</w:t>
      </w:r>
      <w:r>
        <w:rPr>
          <w:spacing w:val="-7"/>
        </w:rPr>
        <w:t> </w:t>
      </w:r>
      <w:r>
        <w:rPr/>
        <w:t>to</w:t>
      </w:r>
      <w:r>
        <w:rPr>
          <w:spacing w:val="-7"/>
        </w:rPr>
        <w:t> </w:t>
      </w:r>
      <w:r>
        <w:rPr/>
        <w:t>accessing</w:t>
      </w:r>
      <w:r>
        <w:rPr>
          <w:spacing w:val="-8"/>
        </w:rPr>
        <w:t> </w:t>
      </w:r>
      <w:r>
        <w:rPr/>
        <w:t>housing</w:t>
      </w:r>
      <w:r>
        <w:rPr>
          <w:spacing w:val="-8"/>
        </w:rPr>
        <w:t> </w:t>
      </w:r>
      <w:r>
        <w:rPr/>
        <w:t>services and other resources.</w:t>
      </w:r>
    </w:p>
    <w:p>
      <w:pPr>
        <w:spacing w:after="0" w:line="276" w:lineRule="auto"/>
        <w:jc w:val="both"/>
        <w:sectPr>
          <w:pgSz w:w="12240" w:h="15840"/>
          <w:pgMar w:header="765" w:footer="1127" w:top="1280" w:bottom="1380" w:left="1120" w:right="1180"/>
        </w:sectPr>
      </w:pPr>
    </w:p>
    <w:p>
      <w:pPr>
        <w:pStyle w:val="BodyText"/>
        <w:spacing w:line="276" w:lineRule="auto" w:before="91"/>
        <w:ind w:left="463" w:right="401"/>
        <w:jc w:val="both"/>
      </w:pPr>
      <w:r>
        <w:rPr/>
        <w:t>Additionally, the Commission strongly recommends that drop-in centers, shelter spaces, and living programs for transition-aged youth are developed utilizing clear LGBTQ-affirming policies, materials, and</w:t>
      </w:r>
      <w:r>
        <w:rPr>
          <w:spacing w:val="-9"/>
        </w:rPr>
        <w:t> </w:t>
      </w:r>
      <w:r>
        <w:rPr/>
        <w:t>procedures</w:t>
      </w:r>
      <w:r>
        <w:rPr>
          <w:spacing w:val="-8"/>
        </w:rPr>
        <w:t> </w:t>
      </w:r>
      <w:r>
        <w:rPr/>
        <w:t>to</w:t>
      </w:r>
      <w:r>
        <w:rPr>
          <w:spacing w:val="-8"/>
        </w:rPr>
        <w:t> </w:t>
      </w:r>
      <w:r>
        <w:rPr/>
        <w:t>ensure</w:t>
      </w:r>
      <w:r>
        <w:rPr>
          <w:spacing w:val="-8"/>
        </w:rPr>
        <w:t> </w:t>
      </w:r>
      <w:r>
        <w:rPr/>
        <w:t>that</w:t>
      </w:r>
      <w:r>
        <w:rPr>
          <w:spacing w:val="-9"/>
        </w:rPr>
        <w:t> </w:t>
      </w:r>
      <w:r>
        <w:rPr/>
        <w:t>all</w:t>
      </w:r>
      <w:r>
        <w:rPr>
          <w:spacing w:val="-9"/>
        </w:rPr>
        <w:t> </w:t>
      </w:r>
      <w:r>
        <w:rPr/>
        <w:t>LGBTQ</w:t>
      </w:r>
      <w:r>
        <w:rPr>
          <w:spacing w:val="-8"/>
        </w:rPr>
        <w:t> </w:t>
      </w:r>
      <w:r>
        <w:rPr/>
        <w:t>youth</w:t>
      </w:r>
      <w:r>
        <w:rPr>
          <w:spacing w:val="-9"/>
        </w:rPr>
        <w:t> </w:t>
      </w:r>
      <w:r>
        <w:rPr/>
        <w:t>experiencing</w:t>
      </w:r>
      <w:r>
        <w:rPr>
          <w:spacing w:val="-9"/>
        </w:rPr>
        <w:t> </w:t>
      </w:r>
      <w:r>
        <w:rPr/>
        <w:t>homelessness</w:t>
      </w:r>
      <w:r>
        <w:rPr>
          <w:spacing w:val="-8"/>
        </w:rPr>
        <w:t> </w:t>
      </w:r>
      <w:r>
        <w:rPr/>
        <w:t>and</w:t>
      </w:r>
      <w:r>
        <w:rPr>
          <w:spacing w:val="-9"/>
        </w:rPr>
        <w:t> </w:t>
      </w:r>
      <w:r>
        <w:rPr/>
        <w:t>housing</w:t>
      </w:r>
      <w:r>
        <w:rPr>
          <w:spacing w:val="-9"/>
        </w:rPr>
        <w:t> </w:t>
      </w:r>
      <w:r>
        <w:rPr/>
        <w:t>insecurity</w:t>
      </w:r>
      <w:r>
        <w:rPr>
          <w:spacing w:val="-9"/>
        </w:rPr>
        <w:t> </w:t>
      </w:r>
      <w:r>
        <w:rPr/>
        <w:t>feel welcomed and supported.</w:t>
      </w:r>
    </w:p>
    <w:p>
      <w:pPr>
        <w:pStyle w:val="BodyText"/>
        <w:spacing w:line="276" w:lineRule="auto" w:before="240"/>
        <w:ind w:left="463" w:right="403"/>
        <w:jc w:val="both"/>
      </w:pPr>
      <w:r>
        <w:rPr/>
        <w:t>The Commission urges the Commonwealth to develop shelter and drop-in centers with particular attention on rural communities in the Commonwealth. This effort is in line with recent data from the federal Annual Homeless Assessment Report that shows that 29.7% of unaccompanied youth under 25 experiencing homelessness at a single point in time in 2023 were located in Central and Western </w:t>
      </w:r>
      <w:r>
        <w:rPr>
          <w:spacing w:val="-2"/>
        </w:rPr>
        <w:t>Massachusetts.</w:t>
      </w:r>
    </w:p>
    <w:p>
      <w:pPr>
        <w:numPr>
          <w:ilvl w:val="0"/>
          <w:numId w:val="24"/>
        </w:numPr>
        <w:tabs>
          <w:tab w:pos="461" w:val="left" w:leader="none"/>
        </w:tabs>
        <w:spacing w:before="240"/>
        <w:ind w:left="461" w:right="0" w:hanging="358"/>
        <w:jc w:val="left"/>
        <w:rPr>
          <w:b/>
          <w:sz w:val="22"/>
        </w:rPr>
      </w:pPr>
      <w:r>
        <w:rPr>
          <w:b/>
          <w:sz w:val="22"/>
        </w:rPr>
        <w:t>Codifying</w:t>
      </w:r>
      <w:r>
        <w:rPr>
          <w:b/>
          <w:spacing w:val="-7"/>
          <w:sz w:val="22"/>
        </w:rPr>
        <w:t> </w:t>
      </w:r>
      <w:r>
        <w:rPr>
          <w:b/>
          <w:sz w:val="22"/>
        </w:rPr>
        <w:t>a</w:t>
      </w:r>
      <w:r>
        <w:rPr>
          <w:b/>
          <w:spacing w:val="-6"/>
          <w:sz w:val="22"/>
        </w:rPr>
        <w:t> </w:t>
      </w:r>
      <w:r>
        <w:rPr>
          <w:b/>
          <w:sz w:val="22"/>
        </w:rPr>
        <w:t>bill</w:t>
      </w:r>
      <w:r>
        <w:rPr>
          <w:b/>
          <w:spacing w:val="-7"/>
          <w:sz w:val="22"/>
        </w:rPr>
        <w:t> </w:t>
      </w:r>
      <w:r>
        <w:rPr>
          <w:b/>
          <w:sz w:val="22"/>
        </w:rPr>
        <w:t>of</w:t>
      </w:r>
      <w:r>
        <w:rPr>
          <w:b/>
          <w:spacing w:val="-7"/>
          <w:sz w:val="22"/>
        </w:rPr>
        <w:t> </w:t>
      </w:r>
      <w:r>
        <w:rPr>
          <w:b/>
          <w:sz w:val="22"/>
        </w:rPr>
        <w:t>rights</w:t>
      </w:r>
      <w:r>
        <w:rPr>
          <w:b/>
          <w:spacing w:val="-7"/>
          <w:sz w:val="22"/>
        </w:rPr>
        <w:t> </w:t>
      </w:r>
      <w:r>
        <w:rPr>
          <w:b/>
          <w:sz w:val="22"/>
        </w:rPr>
        <w:t>for</w:t>
      </w:r>
      <w:r>
        <w:rPr>
          <w:b/>
          <w:spacing w:val="-7"/>
          <w:sz w:val="22"/>
        </w:rPr>
        <w:t> </w:t>
      </w:r>
      <w:r>
        <w:rPr>
          <w:b/>
          <w:sz w:val="22"/>
        </w:rPr>
        <w:t>youth</w:t>
      </w:r>
      <w:r>
        <w:rPr>
          <w:b/>
          <w:spacing w:val="-6"/>
          <w:sz w:val="22"/>
        </w:rPr>
        <w:t> </w:t>
      </w:r>
      <w:r>
        <w:rPr>
          <w:b/>
          <w:sz w:val="22"/>
        </w:rPr>
        <w:t>experiencing</w:t>
      </w:r>
      <w:r>
        <w:rPr>
          <w:b/>
          <w:spacing w:val="-7"/>
          <w:sz w:val="22"/>
        </w:rPr>
        <w:t> </w:t>
      </w:r>
      <w:r>
        <w:rPr>
          <w:b/>
          <w:spacing w:val="-2"/>
          <w:sz w:val="22"/>
        </w:rPr>
        <w:t>homelessness.</w:t>
      </w:r>
    </w:p>
    <w:p>
      <w:pPr>
        <w:pStyle w:val="BodyText"/>
        <w:spacing w:before="11"/>
        <w:rPr>
          <w:b/>
        </w:rPr>
      </w:pPr>
    </w:p>
    <w:p>
      <w:pPr>
        <w:pStyle w:val="BodyText"/>
        <w:spacing w:line="276" w:lineRule="auto"/>
        <w:ind w:left="463" w:right="402"/>
        <w:jc w:val="both"/>
      </w:pPr>
      <w:r>
        <w:rPr/>
        <w:t>LGBTQ youth are at a higher risk of experiencing homelessness than their peers and face higher rates of discrimination and victimization when attempting to access services while experiencing homelessness. This vulnerability is amplified for QTBIPOC identities among LGBTQ youth and those identified as transgender or gender expansive. Examples of this discrimination include LGBTQ youth being turned away from shelters or experiencing homophobia while in shelters and other assistance programs. As it has for many years, the Commission expresses its support for S.1112, </w:t>
      </w:r>
      <w:r>
        <w:rPr>
          <w:i/>
        </w:rPr>
        <w:t>An Act</w:t>
      </w:r>
      <w:r>
        <w:rPr>
          <w:i/>
        </w:rPr>
        <w:t> establishing a bill of rights for people experiencing homelessnes</w:t>
      </w:r>
      <w:r>
        <w:rPr/>
        <w:t>s, presented by Senator Rausch.</w:t>
      </w:r>
    </w:p>
    <w:p>
      <w:pPr>
        <w:numPr>
          <w:ilvl w:val="0"/>
          <w:numId w:val="24"/>
        </w:numPr>
        <w:tabs>
          <w:tab w:pos="461" w:val="left" w:leader="none"/>
        </w:tabs>
        <w:spacing w:before="241"/>
        <w:ind w:left="461" w:right="0" w:hanging="358"/>
        <w:jc w:val="left"/>
        <w:rPr>
          <w:b/>
          <w:sz w:val="22"/>
        </w:rPr>
      </w:pPr>
      <w:r>
        <w:rPr>
          <w:b/>
          <w:sz w:val="22"/>
        </w:rPr>
        <w:t>Improve</w:t>
      </w:r>
      <w:r>
        <w:rPr>
          <w:b/>
          <w:spacing w:val="-7"/>
          <w:sz w:val="22"/>
        </w:rPr>
        <w:t> </w:t>
      </w:r>
      <w:r>
        <w:rPr>
          <w:b/>
          <w:sz w:val="22"/>
        </w:rPr>
        <w:t>access</w:t>
      </w:r>
      <w:r>
        <w:rPr>
          <w:b/>
          <w:spacing w:val="-8"/>
          <w:sz w:val="22"/>
        </w:rPr>
        <w:t> </w:t>
      </w:r>
      <w:r>
        <w:rPr>
          <w:b/>
          <w:sz w:val="22"/>
        </w:rPr>
        <w:t>to</w:t>
      </w:r>
      <w:r>
        <w:rPr>
          <w:b/>
          <w:spacing w:val="-7"/>
          <w:sz w:val="22"/>
        </w:rPr>
        <w:t> </w:t>
      </w:r>
      <w:r>
        <w:rPr>
          <w:b/>
          <w:sz w:val="22"/>
        </w:rPr>
        <w:t>rental</w:t>
      </w:r>
      <w:r>
        <w:rPr>
          <w:b/>
          <w:spacing w:val="-7"/>
          <w:sz w:val="22"/>
        </w:rPr>
        <w:t> </w:t>
      </w:r>
      <w:r>
        <w:rPr>
          <w:b/>
          <w:sz w:val="22"/>
        </w:rPr>
        <w:t>assistance</w:t>
      </w:r>
      <w:r>
        <w:rPr>
          <w:b/>
          <w:spacing w:val="-6"/>
          <w:sz w:val="22"/>
        </w:rPr>
        <w:t> </w:t>
      </w:r>
      <w:r>
        <w:rPr>
          <w:b/>
          <w:sz w:val="22"/>
        </w:rPr>
        <w:t>and</w:t>
      </w:r>
      <w:r>
        <w:rPr>
          <w:b/>
          <w:spacing w:val="-7"/>
          <w:sz w:val="22"/>
        </w:rPr>
        <w:t> </w:t>
      </w:r>
      <w:r>
        <w:rPr>
          <w:b/>
          <w:spacing w:val="-2"/>
          <w:sz w:val="22"/>
        </w:rPr>
        <w:t>stabilization.</w:t>
      </w:r>
    </w:p>
    <w:p>
      <w:pPr>
        <w:pStyle w:val="BodyText"/>
        <w:spacing w:before="11"/>
        <w:rPr>
          <w:b/>
        </w:rPr>
      </w:pPr>
    </w:p>
    <w:p>
      <w:pPr>
        <w:pStyle w:val="BodyText"/>
        <w:spacing w:line="276" w:lineRule="auto"/>
        <w:ind w:left="463" w:right="400"/>
        <w:jc w:val="both"/>
      </w:pPr>
      <w:r>
        <w:rPr/>
        <w:t>The housing crisis continues to be a critical issue contributing to housing insecurity in the Commonwealth of Massachusetts. The Commission commends the urgency and prioritization that Governor Healey has placed on addressing this issue. In October 2023, the Healey Administration announced </w:t>
      </w:r>
      <w:hyperlink r:id="rId442">
        <w:r>
          <w:rPr>
            <w:i/>
            <w:color w:val="1154CC"/>
            <w:u w:val="single" w:color="1154CC"/>
          </w:rPr>
          <w:t>The Affordable Homes Act</w:t>
        </w:r>
        <w:r>
          <w:rPr>
            <w:u w:val="none"/>
          </w:rPr>
          <w:t>,</w:t>
        </w:r>
      </w:hyperlink>
      <w:r>
        <w:rPr>
          <w:u w:val="none"/>
        </w:rPr>
        <w:t> the largest housing investment in state history.</w:t>
      </w:r>
      <w:hyperlink w:history="true" w:anchor="_bookmark279">
        <w:r>
          <w:rPr>
            <w:u w:val="none"/>
            <w:vertAlign w:val="superscript"/>
          </w:rPr>
          <w:t>6</w:t>
        </w:r>
      </w:hyperlink>
      <w:r>
        <w:rPr>
          <w:spacing w:val="-3"/>
          <w:u w:val="none"/>
          <w:vertAlign w:val="baseline"/>
        </w:rPr>
        <w:t> </w:t>
      </w:r>
      <w:r>
        <w:rPr>
          <w:u w:val="none"/>
          <w:vertAlign w:val="baseline"/>
        </w:rPr>
        <w:t>Notably, this bill</w:t>
      </w:r>
      <w:r>
        <w:rPr>
          <w:spacing w:val="-13"/>
          <w:u w:val="none"/>
          <w:vertAlign w:val="baseline"/>
        </w:rPr>
        <w:t> </w:t>
      </w:r>
      <w:r>
        <w:rPr>
          <w:u w:val="none"/>
          <w:vertAlign w:val="baseline"/>
        </w:rPr>
        <w:t>proposed</w:t>
      </w:r>
      <w:r>
        <w:rPr>
          <w:spacing w:val="-12"/>
          <w:u w:val="none"/>
          <w:vertAlign w:val="baseline"/>
        </w:rPr>
        <w:t> </w:t>
      </w:r>
      <w:r>
        <w:rPr>
          <w:u w:val="none"/>
          <w:vertAlign w:val="baseline"/>
        </w:rPr>
        <w:t>by</w:t>
      </w:r>
      <w:r>
        <w:rPr>
          <w:spacing w:val="-13"/>
          <w:u w:val="none"/>
          <w:vertAlign w:val="baseline"/>
        </w:rPr>
        <w:t> </w:t>
      </w:r>
      <w:r>
        <w:rPr>
          <w:u w:val="none"/>
          <w:vertAlign w:val="baseline"/>
        </w:rPr>
        <w:t>the</w:t>
      </w:r>
      <w:r>
        <w:rPr>
          <w:spacing w:val="-12"/>
          <w:u w:val="none"/>
          <w:vertAlign w:val="baseline"/>
        </w:rPr>
        <w:t> </w:t>
      </w:r>
      <w:r>
        <w:rPr>
          <w:u w:val="none"/>
          <w:vertAlign w:val="baseline"/>
        </w:rPr>
        <w:t>Governor</w:t>
      </w:r>
      <w:r>
        <w:rPr>
          <w:spacing w:val="-13"/>
          <w:u w:val="none"/>
          <w:vertAlign w:val="baseline"/>
        </w:rPr>
        <w:t> </w:t>
      </w:r>
      <w:r>
        <w:rPr>
          <w:u w:val="none"/>
          <w:vertAlign w:val="baseline"/>
        </w:rPr>
        <w:t>does</w:t>
      </w:r>
      <w:r>
        <w:rPr>
          <w:spacing w:val="-12"/>
          <w:u w:val="none"/>
          <w:vertAlign w:val="baseline"/>
        </w:rPr>
        <w:t> </w:t>
      </w:r>
      <w:r>
        <w:rPr>
          <w:u w:val="none"/>
          <w:vertAlign w:val="baseline"/>
        </w:rPr>
        <w:t>not</w:t>
      </w:r>
      <w:r>
        <w:rPr>
          <w:spacing w:val="-13"/>
          <w:u w:val="none"/>
          <w:vertAlign w:val="baseline"/>
        </w:rPr>
        <w:t> </w:t>
      </w:r>
      <w:r>
        <w:rPr>
          <w:u w:val="none"/>
          <w:vertAlign w:val="baseline"/>
        </w:rPr>
        <w:t>repeal</w:t>
      </w:r>
      <w:r>
        <w:rPr>
          <w:spacing w:val="-12"/>
          <w:u w:val="none"/>
          <w:vertAlign w:val="baseline"/>
        </w:rPr>
        <w:t> </w:t>
      </w:r>
      <w:r>
        <w:rPr>
          <w:u w:val="none"/>
          <w:vertAlign w:val="baseline"/>
        </w:rPr>
        <w:t>the</w:t>
      </w:r>
      <w:r>
        <w:rPr>
          <w:spacing w:val="-12"/>
          <w:u w:val="none"/>
          <w:vertAlign w:val="baseline"/>
        </w:rPr>
        <w:t> </w:t>
      </w:r>
      <w:r>
        <w:rPr>
          <w:u w:val="none"/>
          <w:vertAlign w:val="baseline"/>
        </w:rPr>
        <w:t>ban</w:t>
      </w:r>
      <w:r>
        <w:rPr>
          <w:spacing w:val="-13"/>
          <w:u w:val="none"/>
          <w:vertAlign w:val="baseline"/>
        </w:rPr>
        <w:t> </w:t>
      </w:r>
      <w:r>
        <w:rPr>
          <w:u w:val="none"/>
          <w:vertAlign w:val="baseline"/>
        </w:rPr>
        <w:t>on</w:t>
      </w:r>
      <w:r>
        <w:rPr>
          <w:spacing w:val="-12"/>
          <w:u w:val="none"/>
          <w:vertAlign w:val="baseline"/>
        </w:rPr>
        <w:t> </w:t>
      </w:r>
      <w:r>
        <w:rPr>
          <w:u w:val="none"/>
          <w:vertAlign w:val="baseline"/>
        </w:rPr>
        <w:t>rent</w:t>
      </w:r>
      <w:r>
        <w:rPr>
          <w:spacing w:val="-13"/>
          <w:u w:val="none"/>
          <w:vertAlign w:val="baseline"/>
        </w:rPr>
        <w:t> </w:t>
      </w:r>
      <w:r>
        <w:rPr>
          <w:u w:val="none"/>
          <w:vertAlign w:val="baseline"/>
        </w:rPr>
        <w:t>control</w:t>
      </w:r>
      <w:r>
        <w:rPr>
          <w:spacing w:val="-12"/>
          <w:u w:val="none"/>
          <w:vertAlign w:val="baseline"/>
        </w:rPr>
        <w:t> </w:t>
      </w:r>
      <w:r>
        <w:rPr>
          <w:u w:val="none"/>
          <w:vertAlign w:val="baseline"/>
        </w:rPr>
        <w:t>in</w:t>
      </w:r>
      <w:r>
        <w:rPr>
          <w:spacing w:val="-13"/>
          <w:u w:val="none"/>
          <w:vertAlign w:val="baseline"/>
        </w:rPr>
        <w:t> </w:t>
      </w:r>
      <w:r>
        <w:rPr>
          <w:u w:val="none"/>
          <w:vertAlign w:val="baseline"/>
        </w:rPr>
        <w:t>the</w:t>
      </w:r>
      <w:r>
        <w:rPr>
          <w:spacing w:val="-12"/>
          <w:u w:val="none"/>
          <w:vertAlign w:val="baseline"/>
        </w:rPr>
        <w:t> </w:t>
      </w:r>
      <w:r>
        <w:rPr>
          <w:u w:val="none"/>
          <w:vertAlign w:val="baseline"/>
        </w:rPr>
        <w:t>Commonwealth,</w:t>
      </w:r>
      <w:r>
        <w:rPr>
          <w:spacing w:val="-12"/>
          <w:u w:val="none"/>
          <w:vertAlign w:val="baseline"/>
        </w:rPr>
        <w:t> </w:t>
      </w:r>
      <w:r>
        <w:rPr>
          <w:u w:val="none"/>
          <w:vertAlign w:val="baseline"/>
        </w:rPr>
        <w:t>therefore not</w:t>
      </w:r>
      <w:r>
        <w:rPr>
          <w:spacing w:val="-6"/>
          <w:u w:val="none"/>
          <w:vertAlign w:val="baseline"/>
        </w:rPr>
        <w:t> </w:t>
      </w:r>
      <w:r>
        <w:rPr>
          <w:u w:val="none"/>
          <w:vertAlign w:val="baseline"/>
        </w:rPr>
        <w:t>directly</w:t>
      </w:r>
      <w:r>
        <w:rPr>
          <w:spacing w:val="-5"/>
          <w:u w:val="none"/>
          <w:vertAlign w:val="baseline"/>
        </w:rPr>
        <w:t> </w:t>
      </w:r>
      <w:r>
        <w:rPr>
          <w:u w:val="none"/>
          <w:vertAlign w:val="baseline"/>
        </w:rPr>
        <w:t>addressing</w:t>
      </w:r>
      <w:r>
        <w:rPr>
          <w:spacing w:val="-6"/>
          <w:u w:val="none"/>
          <w:vertAlign w:val="baseline"/>
        </w:rPr>
        <w:t> </w:t>
      </w:r>
      <w:r>
        <w:rPr>
          <w:u w:val="none"/>
          <w:vertAlign w:val="baseline"/>
        </w:rPr>
        <w:t>a</w:t>
      </w:r>
      <w:r>
        <w:rPr>
          <w:spacing w:val="-4"/>
          <w:u w:val="none"/>
          <w:vertAlign w:val="baseline"/>
        </w:rPr>
        <w:t> </w:t>
      </w:r>
      <w:r>
        <w:rPr>
          <w:u w:val="none"/>
          <w:vertAlign w:val="baseline"/>
        </w:rPr>
        <w:t>major</w:t>
      </w:r>
      <w:r>
        <w:rPr>
          <w:spacing w:val="-6"/>
          <w:u w:val="none"/>
          <w:vertAlign w:val="baseline"/>
        </w:rPr>
        <w:t> </w:t>
      </w:r>
      <w:r>
        <w:rPr>
          <w:u w:val="none"/>
          <w:vertAlign w:val="baseline"/>
        </w:rPr>
        <w:t>issue</w:t>
      </w:r>
      <w:r>
        <w:rPr>
          <w:spacing w:val="-5"/>
          <w:u w:val="none"/>
          <w:vertAlign w:val="baseline"/>
        </w:rPr>
        <w:t> </w:t>
      </w:r>
      <w:r>
        <w:rPr>
          <w:u w:val="none"/>
          <w:vertAlign w:val="baseline"/>
        </w:rPr>
        <w:t>that</w:t>
      </w:r>
      <w:r>
        <w:rPr>
          <w:spacing w:val="-6"/>
          <w:u w:val="none"/>
          <w:vertAlign w:val="baseline"/>
        </w:rPr>
        <w:t> </w:t>
      </w:r>
      <w:r>
        <w:rPr>
          <w:u w:val="none"/>
          <w:vertAlign w:val="baseline"/>
        </w:rPr>
        <w:t>contributes</w:t>
      </w:r>
      <w:r>
        <w:rPr>
          <w:spacing w:val="-6"/>
          <w:u w:val="none"/>
          <w:vertAlign w:val="baseline"/>
        </w:rPr>
        <w:t> </w:t>
      </w:r>
      <w:r>
        <w:rPr>
          <w:u w:val="none"/>
          <w:vertAlign w:val="baseline"/>
        </w:rPr>
        <w:t>to</w:t>
      </w:r>
      <w:r>
        <w:rPr>
          <w:spacing w:val="-5"/>
          <w:u w:val="none"/>
          <w:vertAlign w:val="baseline"/>
        </w:rPr>
        <w:t> </w:t>
      </w:r>
      <w:r>
        <w:rPr>
          <w:u w:val="none"/>
          <w:vertAlign w:val="baseline"/>
        </w:rPr>
        <w:t>housing</w:t>
      </w:r>
      <w:r>
        <w:rPr>
          <w:spacing w:val="-6"/>
          <w:u w:val="none"/>
          <w:vertAlign w:val="baseline"/>
        </w:rPr>
        <w:t> </w:t>
      </w:r>
      <w:r>
        <w:rPr>
          <w:u w:val="none"/>
          <w:vertAlign w:val="baseline"/>
        </w:rPr>
        <w:t>insecurity</w:t>
      </w:r>
      <w:r>
        <w:rPr>
          <w:spacing w:val="-5"/>
          <w:u w:val="none"/>
          <w:vertAlign w:val="baseline"/>
        </w:rPr>
        <w:t> </w:t>
      </w:r>
      <w:r>
        <w:rPr>
          <w:u w:val="none"/>
          <w:vertAlign w:val="baseline"/>
        </w:rPr>
        <w:t>in</w:t>
      </w:r>
      <w:r>
        <w:rPr>
          <w:spacing w:val="-6"/>
          <w:u w:val="none"/>
          <w:vertAlign w:val="baseline"/>
        </w:rPr>
        <w:t> </w:t>
      </w:r>
      <w:r>
        <w:rPr>
          <w:u w:val="none"/>
          <w:vertAlign w:val="baseline"/>
        </w:rPr>
        <w:t>the</w:t>
      </w:r>
      <w:r>
        <w:rPr>
          <w:spacing w:val="-7"/>
          <w:u w:val="none"/>
          <w:vertAlign w:val="baseline"/>
        </w:rPr>
        <w:t> </w:t>
      </w:r>
      <w:r>
        <w:rPr>
          <w:u w:val="none"/>
          <w:vertAlign w:val="baseline"/>
        </w:rPr>
        <w:t>Commonwealth.</w:t>
      </w:r>
      <w:r>
        <w:rPr>
          <w:spacing w:val="-6"/>
          <w:u w:val="none"/>
          <w:vertAlign w:val="baseline"/>
        </w:rPr>
        <w:t> </w:t>
      </w:r>
      <w:r>
        <w:rPr>
          <w:u w:val="none"/>
          <w:vertAlign w:val="baseline"/>
        </w:rPr>
        <w:t>For this reason, the Commission urges legislators to support the passage of two bills that support rent stabilization</w:t>
      </w:r>
      <w:r>
        <w:rPr>
          <w:spacing w:val="-3"/>
          <w:u w:val="none"/>
          <w:vertAlign w:val="baseline"/>
        </w:rPr>
        <w:t> </w:t>
      </w:r>
      <w:r>
        <w:rPr>
          <w:u w:val="none"/>
          <w:vertAlign w:val="baseline"/>
        </w:rPr>
        <w:t>and</w:t>
      </w:r>
      <w:r>
        <w:rPr>
          <w:spacing w:val="-5"/>
          <w:u w:val="none"/>
          <w:vertAlign w:val="baseline"/>
        </w:rPr>
        <w:t> </w:t>
      </w:r>
      <w:r>
        <w:rPr>
          <w:u w:val="none"/>
          <w:vertAlign w:val="baseline"/>
        </w:rPr>
        <w:t>an</w:t>
      </w:r>
      <w:r>
        <w:rPr>
          <w:spacing w:val="-4"/>
          <w:u w:val="none"/>
          <w:vertAlign w:val="baseline"/>
        </w:rPr>
        <w:t> </w:t>
      </w:r>
      <w:r>
        <w:rPr>
          <w:u w:val="none"/>
          <w:vertAlign w:val="baseline"/>
        </w:rPr>
        <w:t>upstream</w:t>
      </w:r>
      <w:r>
        <w:rPr>
          <w:spacing w:val="-5"/>
          <w:u w:val="none"/>
          <w:vertAlign w:val="baseline"/>
        </w:rPr>
        <w:t> </w:t>
      </w:r>
      <w:r>
        <w:rPr>
          <w:u w:val="none"/>
          <w:vertAlign w:val="baseline"/>
        </w:rPr>
        <w:t>approach</w:t>
      </w:r>
      <w:r>
        <w:rPr>
          <w:spacing w:val="-5"/>
          <w:u w:val="none"/>
          <w:vertAlign w:val="baseline"/>
        </w:rPr>
        <w:t> </w:t>
      </w:r>
      <w:r>
        <w:rPr>
          <w:u w:val="none"/>
          <w:vertAlign w:val="baseline"/>
        </w:rPr>
        <w:t>to</w:t>
      </w:r>
      <w:r>
        <w:rPr>
          <w:spacing w:val="-5"/>
          <w:u w:val="none"/>
          <w:vertAlign w:val="baseline"/>
        </w:rPr>
        <w:t> </w:t>
      </w:r>
      <w:r>
        <w:rPr>
          <w:u w:val="none"/>
          <w:vertAlign w:val="baseline"/>
        </w:rPr>
        <w:t>addressing</w:t>
      </w:r>
      <w:r>
        <w:rPr>
          <w:spacing w:val="-5"/>
          <w:u w:val="none"/>
          <w:vertAlign w:val="baseline"/>
        </w:rPr>
        <w:t> </w:t>
      </w:r>
      <w:r>
        <w:rPr>
          <w:u w:val="none"/>
          <w:vertAlign w:val="baseline"/>
        </w:rPr>
        <w:t>homelessness:</w:t>
      </w:r>
      <w:r>
        <w:rPr>
          <w:spacing w:val="-5"/>
          <w:u w:val="none"/>
          <w:vertAlign w:val="baseline"/>
        </w:rPr>
        <w:t> </w:t>
      </w:r>
      <w:r>
        <w:rPr>
          <w:i/>
          <w:u w:val="none"/>
          <w:vertAlign w:val="baseline"/>
        </w:rPr>
        <w:t>An</w:t>
      </w:r>
      <w:r>
        <w:rPr>
          <w:i/>
          <w:spacing w:val="-5"/>
          <w:u w:val="none"/>
          <w:vertAlign w:val="baseline"/>
        </w:rPr>
        <w:t> </w:t>
      </w:r>
      <w:r>
        <w:rPr>
          <w:i/>
          <w:u w:val="none"/>
          <w:vertAlign w:val="baseline"/>
        </w:rPr>
        <w:t>Act</w:t>
      </w:r>
      <w:r>
        <w:rPr>
          <w:i/>
          <w:spacing w:val="-4"/>
          <w:u w:val="none"/>
          <w:vertAlign w:val="baseline"/>
        </w:rPr>
        <w:t> </w:t>
      </w:r>
      <w:r>
        <w:rPr>
          <w:i/>
          <w:u w:val="none"/>
          <w:vertAlign w:val="baseline"/>
        </w:rPr>
        <w:t>enabling</w:t>
      </w:r>
      <w:r>
        <w:rPr>
          <w:i/>
          <w:spacing w:val="-4"/>
          <w:u w:val="none"/>
          <w:vertAlign w:val="baseline"/>
        </w:rPr>
        <w:t> </w:t>
      </w:r>
      <w:r>
        <w:rPr>
          <w:i/>
          <w:u w:val="none"/>
          <w:vertAlign w:val="baseline"/>
        </w:rPr>
        <w:t>cities</w:t>
      </w:r>
      <w:r>
        <w:rPr>
          <w:i/>
          <w:spacing w:val="-5"/>
          <w:u w:val="none"/>
          <w:vertAlign w:val="baseline"/>
        </w:rPr>
        <w:t> </w:t>
      </w:r>
      <w:r>
        <w:rPr>
          <w:i/>
          <w:u w:val="none"/>
          <w:vertAlign w:val="baseline"/>
        </w:rPr>
        <w:t>and</w:t>
      </w:r>
      <w:r>
        <w:rPr>
          <w:i/>
          <w:spacing w:val="-5"/>
          <w:u w:val="none"/>
          <w:vertAlign w:val="baseline"/>
        </w:rPr>
        <w:t> </w:t>
      </w:r>
      <w:r>
        <w:rPr>
          <w:i/>
          <w:u w:val="none"/>
          <w:vertAlign w:val="baseline"/>
        </w:rPr>
        <w:t>towns</w:t>
      </w:r>
      <w:r>
        <w:rPr>
          <w:i/>
          <w:u w:val="none"/>
          <w:vertAlign w:val="baseline"/>
        </w:rPr>
        <w:t> to stabilize rents and protect tenants</w:t>
      </w:r>
      <w:r>
        <w:rPr>
          <w:u w:val="none"/>
          <w:vertAlign w:val="baseline"/>
        </w:rPr>
        <w:t>, presented by Senator Jehlen, Senator Gomez, Representative Rogers, and Representative Montaño; and S.856/H.1312, </w:t>
      </w:r>
      <w:r>
        <w:rPr>
          <w:i/>
          <w:u w:val="none"/>
          <w:vertAlign w:val="baseline"/>
        </w:rPr>
        <w:t>An Act providing upstream homelessness</w:t>
      </w:r>
      <w:r>
        <w:rPr>
          <w:i/>
          <w:u w:val="none"/>
          <w:vertAlign w:val="baseline"/>
        </w:rPr>
        <w:t> prevention assistance to families, youth, and adults</w:t>
      </w:r>
      <w:r>
        <w:rPr>
          <w:u w:val="none"/>
          <w:vertAlign w:val="baseline"/>
        </w:rPr>
        <w:t>, presented by</w:t>
      </w:r>
      <w:r>
        <w:rPr>
          <w:spacing w:val="40"/>
          <w:u w:val="none"/>
          <w:vertAlign w:val="baseline"/>
        </w:rPr>
        <w:t> </w:t>
      </w:r>
      <w:r>
        <w:rPr>
          <w:u w:val="none"/>
          <w:vertAlign w:val="baseline"/>
        </w:rPr>
        <w:t>Senator Crighton and Representative Decker.</w:t>
      </w:r>
    </w:p>
    <w:p>
      <w:pPr>
        <w:pStyle w:val="BodyText"/>
        <w:spacing w:line="276" w:lineRule="auto" w:before="240"/>
        <w:ind w:left="464" w:right="400"/>
        <w:jc w:val="both"/>
      </w:pPr>
      <w:r>
        <w:rPr/>
        <w:t>However, the Commission notes that none of this legislation addresses some of the more critical housing resources noted by QTBIPOC young people, such as assistance with brokers fees, increased support for parenting youth, or appropriate employment resources.</w:t>
      </w:r>
    </w:p>
    <w:p>
      <w:pPr>
        <w:numPr>
          <w:ilvl w:val="0"/>
          <w:numId w:val="24"/>
        </w:numPr>
        <w:tabs>
          <w:tab w:pos="461" w:val="left" w:leader="none"/>
          <w:tab w:pos="463" w:val="left" w:leader="none"/>
        </w:tabs>
        <w:spacing w:line="276" w:lineRule="auto" w:before="241"/>
        <w:ind w:left="463" w:right="404" w:hanging="360"/>
        <w:jc w:val="left"/>
        <w:rPr>
          <w:b/>
          <w:sz w:val="22"/>
        </w:rPr>
      </w:pPr>
      <w:r>
        <w:rPr>
          <w:b/>
          <w:sz w:val="22"/>
        </w:rPr>
        <w:t>Mandate</w:t>
      </w:r>
      <w:r>
        <w:rPr>
          <w:b/>
          <w:spacing w:val="-3"/>
          <w:sz w:val="22"/>
        </w:rPr>
        <w:t> </w:t>
      </w:r>
      <w:r>
        <w:rPr>
          <w:b/>
          <w:sz w:val="22"/>
        </w:rPr>
        <w:t>LGBTQ</w:t>
      </w:r>
      <w:r>
        <w:rPr>
          <w:b/>
          <w:spacing w:val="-3"/>
          <w:sz w:val="22"/>
        </w:rPr>
        <w:t> </w:t>
      </w:r>
      <w:r>
        <w:rPr>
          <w:b/>
          <w:sz w:val="22"/>
        </w:rPr>
        <w:t>cultural</w:t>
      </w:r>
      <w:r>
        <w:rPr>
          <w:b/>
          <w:spacing w:val="-1"/>
          <w:sz w:val="22"/>
        </w:rPr>
        <w:t> </w:t>
      </w:r>
      <w:r>
        <w:rPr>
          <w:b/>
          <w:sz w:val="22"/>
        </w:rPr>
        <w:t>engagement</w:t>
      </w:r>
      <w:r>
        <w:rPr>
          <w:b/>
          <w:spacing w:val="-2"/>
          <w:sz w:val="22"/>
        </w:rPr>
        <w:t> </w:t>
      </w:r>
      <w:r>
        <w:rPr>
          <w:b/>
          <w:sz w:val="22"/>
        </w:rPr>
        <w:t>trainings</w:t>
      </w:r>
      <w:r>
        <w:rPr>
          <w:b/>
          <w:spacing w:val="-1"/>
          <w:sz w:val="22"/>
        </w:rPr>
        <w:t> </w:t>
      </w:r>
      <w:r>
        <w:rPr>
          <w:b/>
          <w:sz w:val="22"/>
        </w:rPr>
        <w:t>and</w:t>
      </w:r>
      <w:r>
        <w:rPr>
          <w:b/>
          <w:spacing w:val="-3"/>
          <w:sz w:val="22"/>
        </w:rPr>
        <w:t> </w:t>
      </w:r>
      <w:r>
        <w:rPr>
          <w:b/>
          <w:sz w:val="22"/>
        </w:rPr>
        <w:t>LGBTQ-inclusive</w:t>
      </w:r>
      <w:r>
        <w:rPr>
          <w:b/>
          <w:spacing w:val="-4"/>
          <w:sz w:val="22"/>
        </w:rPr>
        <w:t> </w:t>
      </w:r>
      <w:r>
        <w:rPr>
          <w:b/>
          <w:sz w:val="22"/>
        </w:rPr>
        <w:t>nondiscrimination</w:t>
      </w:r>
      <w:r>
        <w:rPr>
          <w:b/>
          <w:spacing w:val="-3"/>
          <w:sz w:val="22"/>
        </w:rPr>
        <w:t> </w:t>
      </w:r>
      <w:r>
        <w:rPr>
          <w:b/>
          <w:sz w:val="22"/>
        </w:rPr>
        <w:t>policies</w:t>
      </w:r>
      <w:r>
        <w:rPr>
          <w:b/>
          <w:spacing w:val="-3"/>
          <w:sz w:val="22"/>
        </w:rPr>
        <w:t> </w:t>
      </w:r>
      <w:r>
        <w:rPr>
          <w:b/>
          <w:sz w:val="22"/>
        </w:rPr>
        <w:t>and procedures in shelters.</w:t>
      </w:r>
    </w:p>
    <w:p>
      <w:pPr>
        <w:pStyle w:val="BodyText"/>
        <w:spacing w:before="239"/>
        <w:ind w:left="463"/>
        <w:jc w:val="both"/>
      </w:pPr>
      <w:r>
        <w:rPr/>
        <w:t>For</w:t>
      </w:r>
      <w:r>
        <w:rPr>
          <w:spacing w:val="-2"/>
        </w:rPr>
        <w:t> </w:t>
      </w:r>
      <w:r>
        <w:rPr/>
        <w:t>years,</w:t>
      </w:r>
      <w:r>
        <w:rPr>
          <w:spacing w:val="-1"/>
        </w:rPr>
        <w:t> </w:t>
      </w:r>
      <w:r>
        <w:rPr/>
        <w:t>LGBTQ</w:t>
      </w:r>
      <w:r>
        <w:rPr>
          <w:spacing w:val="-1"/>
        </w:rPr>
        <w:t> </w:t>
      </w:r>
      <w:r>
        <w:rPr/>
        <w:t>community</w:t>
      </w:r>
      <w:r>
        <w:rPr>
          <w:spacing w:val="-2"/>
        </w:rPr>
        <w:t> </w:t>
      </w:r>
      <w:r>
        <w:rPr/>
        <w:t>advocates</w:t>
      </w:r>
      <w:r>
        <w:rPr>
          <w:spacing w:val="-1"/>
        </w:rPr>
        <w:t> </w:t>
      </w:r>
      <w:r>
        <w:rPr/>
        <w:t>and</w:t>
      </w:r>
      <w:r>
        <w:rPr>
          <w:spacing w:val="-1"/>
        </w:rPr>
        <w:t> </w:t>
      </w:r>
      <w:r>
        <w:rPr/>
        <w:t>youth</w:t>
      </w:r>
      <w:r>
        <w:rPr>
          <w:spacing w:val="-2"/>
        </w:rPr>
        <w:t> </w:t>
      </w:r>
      <w:r>
        <w:rPr/>
        <w:t>experiencing</w:t>
      </w:r>
      <w:r>
        <w:rPr>
          <w:spacing w:val="-1"/>
        </w:rPr>
        <w:t> </w:t>
      </w:r>
      <w:r>
        <w:rPr/>
        <w:t>homelessness have</w:t>
      </w:r>
      <w:r>
        <w:rPr>
          <w:spacing w:val="-2"/>
        </w:rPr>
        <w:t> </w:t>
      </w:r>
      <w:r>
        <w:rPr/>
        <w:t>raised</w:t>
      </w:r>
      <w:r>
        <w:rPr>
          <w:spacing w:val="-1"/>
        </w:rPr>
        <w:t> </w:t>
      </w:r>
      <w:r>
        <w:rPr/>
        <w:t>the</w:t>
      </w:r>
      <w:r>
        <w:rPr>
          <w:spacing w:val="-2"/>
        </w:rPr>
        <w:t> alarm</w:t>
      </w:r>
    </w:p>
    <w:p>
      <w:pPr>
        <w:spacing w:after="0"/>
        <w:jc w:val="both"/>
        <w:sectPr>
          <w:pgSz w:w="12240" w:h="15840"/>
          <w:pgMar w:header="765" w:footer="1127" w:top="1280" w:bottom="1380" w:left="1120" w:right="1180"/>
        </w:sectPr>
      </w:pPr>
    </w:p>
    <w:p>
      <w:pPr>
        <w:pStyle w:val="BodyText"/>
        <w:spacing w:line="276" w:lineRule="auto" w:before="91"/>
        <w:ind w:left="464" w:right="403"/>
        <w:jc w:val="both"/>
      </w:pPr>
      <w:r>
        <w:rPr/>
        <w:t>that there are little to no safe and affirming shelter spaces in Massachusetts. As the Commission continues</w:t>
      </w:r>
      <w:r>
        <w:rPr>
          <w:spacing w:val="-4"/>
        </w:rPr>
        <w:t> </w:t>
      </w:r>
      <w:r>
        <w:rPr/>
        <w:t>to</w:t>
      </w:r>
      <w:r>
        <w:rPr>
          <w:spacing w:val="-2"/>
        </w:rPr>
        <w:t> </w:t>
      </w:r>
      <w:r>
        <w:rPr/>
        <w:t>solicit</w:t>
      </w:r>
      <w:r>
        <w:rPr>
          <w:spacing w:val="-4"/>
        </w:rPr>
        <w:t> </w:t>
      </w:r>
      <w:r>
        <w:rPr/>
        <w:t>feedback</w:t>
      </w:r>
      <w:r>
        <w:rPr>
          <w:spacing w:val="-4"/>
        </w:rPr>
        <w:t> </w:t>
      </w:r>
      <w:r>
        <w:rPr/>
        <w:t>from</w:t>
      </w:r>
      <w:r>
        <w:rPr>
          <w:spacing w:val="-3"/>
        </w:rPr>
        <w:t> </w:t>
      </w:r>
      <w:r>
        <w:rPr/>
        <w:t>community</w:t>
      </w:r>
      <w:r>
        <w:rPr>
          <w:spacing w:val="-4"/>
        </w:rPr>
        <w:t> </w:t>
      </w:r>
      <w:r>
        <w:rPr/>
        <w:t>members</w:t>
      </w:r>
      <w:r>
        <w:rPr>
          <w:spacing w:val="-4"/>
        </w:rPr>
        <w:t> </w:t>
      </w:r>
      <w:r>
        <w:rPr/>
        <w:t>over</w:t>
      </w:r>
      <w:r>
        <w:rPr>
          <w:spacing w:val="-4"/>
        </w:rPr>
        <w:t> </w:t>
      </w:r>
      <w:r>
        <w:rPr/>
        <w:t>FY</w:t>
      </w:r>
      <w:r>
        <w:rPr>
          <w:spacing w:val="-3"/>
        </w:rPr>
        <w:t> </w:t>
      </w:r>
      <w:r>
        <w:rPr/>
        <w:t>2025</w:t>
      </w:r>
      <w:r>
        <w:rPr>
          <w:spacing w:val="-4"/>
        </w:rPr>
        <w:t> </w:t>
      </w:r>
      <w:r>
        <w:rPr/>
        <w:t>in</w:t>
      </w:r>
      <w:r>
        <w:rPr>
          <w:spacing w:val="-4"/>
        </w:rPr>
        <w:t> </w:t>
      </w:r>
      <w:r>
        <w:rPr/>
        <w:t>the</w:t>
      </w:r>
      <w:r>
        <w:rPr>
          <w:spacing w:val="-4"/>
        </w:rPr>
        <w:t> </w:t>
      </w:r>
      <w:r>
        <w:rPr/>
        <w:t>form</w:t>
      </w:r>
      <w:r>
        <w:rPr>
          <w:spacing w:val="-4"/>
        </w:rPr>
        <w:t> </w:t>
      </w:r>
      <w:r>
        <w:rPr/>
        <w:t>of</w:t>
      </w:r>
      <w:r>
        <w:rPr>
          <w:spacing w:val="-4"/>
        </w:rPr>
        <w:t> </w:t>
      </w:r>
      <w:r>
        <w:rPr/>
        <w:t>listening</w:t>
      </w:r>
      <w:r>
        <w:rPr>
          <w:spacing w:val="-4"/>
        </w:rPr>
        <w:t> </w:t>
      </w:r>
      <w:r>
        <w:rPr/>
        <w:t>sessions and one-on-one connections, initial conversations with LGBTQ community members experiencing homelessness continue to emphasize this concern.</w:t>
      </w:r>
    </w:p>
    <w:p>
      <w:pPr>
        <w:pStyle w:val="BodyText"/>
        <w:spacing w:line="276" w:lineRule="auto" w:before="240"/>
        <w:ind w:left="464" w:right="399"/>
        <w:jc w:val="both"/>
      </w:pPr>
      <w:r>
        <w:rPr/>
        <w:t>The Commission strongly recommends that the State work to create a strategic plan to ensure that every shelter participates in and creates a plan to provide recurring trainings on creating affirming spaces</w:t>
      </w:r>
      <w:r>
        <w:rPr>
          <w:spacing w:val="-2"/>
        </w:rPr>
        <w:t> </w:t>
      </w:r>
      <w:r>
        <w:rPr/>
        <w:t>for</w:t>
      </w:r>
      <w:r>
        <w:rPr>
          <w:spacing w:val="-2"/>
        </w:rPr>
        <w:t> </w:t>
      </w:r>
      <w:r>
        <w:rPr/>
        <w:t>LGBTQ</w:t>
      </w:r>
      <w:r>
        <w:rPr>
          <w:spacing w:val="-3"/>
        </w:rPr>
        <w:t> </w:t>
      </w:r>
      <w:r>
        <w:rPr/>
        <w:t>individuals</w:t>
      </w:r>
      <w:r>
        <w:rPr>
          <w:spacing w:val="-2"/>
        </w:rPr>
        <w:t> </w:t>
      </w:r>
      <w:r>
        <w:rPr/>
        <w:t>experiencing</w:t>
      </w:r>
      <w:r>
        <w:rPr>
          <w:spacing w:val="-3"/>
        </w:rPr>
        <w:t> </w:t>
      </w:r>
      <w:r>
        <w:rPr/>
        <w:t>homelessness.</w:t>
      </w:r>
      <w:r>
        <w:rPr>
          <w:spacing w:val="-3"/>
        </w:rPr>
        <w:t> </w:t>
      </w:r>
      <w:r>
        <w:rPr/>
        <w:t>Furthermore,</w:t>
      </w:r>
      <w:r>
        <w:rPr>
          <w:spacing w:val="-2"/>
        </w:rPr>
        <w:t> </w:t>
      </w:r>
      <w:r>
        <w:rPr/>
        <w:t>shelters</w:t>
      </w:r>
      <w:r>
        <w:rPr>
          <w:spacing w:val="-2"/>
        </w:rPr>
        <w:t> </w:t>
      </w:r>
      <w:r>
        <w:rPr/>
        <w:t>should</w:t>
      </w:r>
      <w:r>
        <w:rPr>
          <w:spacing w:val="-3"/>
        </w:rPr>
        <w:t> </w:t>
      </w:r>
      <w:r>
        <w:rPr/>
        <w:t>publicly</w:t>
      </w:r>
      <w:r>
        <w:rPr>
          <w:spacing w:val="-3"/>
        </w:rPr>
        <w:t> </w:t>
      </w:r>
      <w:r>
        <w:rPr/>
        <w:t>share their nondiscrimination policies and transparent procedures for how shelter users can report </w:t>
      </w:r>
      <w:r>
        <w:rPr>
          <w:spacing w:val="-2"/>
        </w:rPr>
        <w:t>discrimination.</w:t>
      </w:r>
    </w:p>
    <w:p>
      <w:pPr>
        <w:numPr>
          <w:ilvl w:val="0"/>
          <w:numId w:val="24"/>
        </w:numPr>
        <w:tabs>
          <w:tab w:pos="462" w:val="left" w:leader="none"/>
          <w:tab w:pos="464" w:val="left" w:leader="none"/>
        </w:tabs>
        <w:spacing w:line="276" w:lineRule="auto" w:before="240"/>
        <w:ind w:left="464" w:right="402" w:hanging="360"/>
        <w:jc w:val="left"/>
        <w:rPr>
          <w:b/>
          <w:sz w:val="22"/>
        </w:rPr>
      </w:pPr>
      <w:r>
        <w:rPr>
          <w:b/>
          <w:sz w:val="22"/>
        </w:rPr>
        <w:t>Evaluate</w:t>
      </w:r>
      <w:r>
        <w:rPr>
          <w:b/>
          <w:spacing w:val="-5"/>
          <w:sz w:val="22"/>
        </w:rPr>
        <w:t> </w:t>
      </w:r>
      <w:r>
        <w:rPr>
          <w:b/>
          <w:sz w:val="22"/>
        </w:rPr>
        <w:t>and</w:t>
      </w:r>
      <w:r>
        <w:rPr>
          <w:b/>
          <w:spacing w:val="-5"/>
          <w:sz w:val="22"/>
        </w:rPr>
        <w:t> </w:t>
      </w:r>
      <w:r>
        <w:rPr>
          <w:b/>
          <w:sz w:val="22"/>
        </w:rPr>
        <w:t>improve</w:t>
      </w:r>
      <w:r>
        <w:rPr>
          <w:b/>
          <w:spacing w:val="-5"/>
          <w:sz w:val="22"/>
        </w:rPr>
        <w:t> </w:t>
      </w:r>
      <w:r>
        <w:rPr>
          <w:b/>
          <w:sz w:val="22"/>
        </w:rPr>
        <w:t>coordinated</w:t>
      </w:r>
      <w:r>
        <w:rPr>
          <w:b/>
          <w:spacing w:val="-7"/>
          <w:sz w:val="22"/>
        </w:rPr>
        <w:t> </w:t>
      </w:r>
      <w:r>
        <w:rPr>
          <w:b/>
          <w:sz w:val="22"/>
        </w:rPr>
        <w:t>entry</w:t>
      </w:r>
      <w:r>
        <w:rPr>
          <w:b/>
          <w:spacing w:val="-6"/>
          <w:sz w:val="22"/>
        </w:rPr>
        <w:t> </w:t>
      </w:r>
      <w:r>
        <w:rPr>
          <w:b/>
          <w:sz w:val="22"/>
        </w:rPr>
        <w:t>tools</w:t>
      </w:r>
      <w:r>
        <w:rPr>
          <w:b/>
          <w:spacing w:val="-5"/>
          <w:sz w:val="22"/>
        </w:rPr>
        <w:t> </w:t>
      </w:r>
      <w:r>
        <w:rPr>
          <w:b/>
          <w:sz w:val="22"/>
        </w:rPr>
        <w:t>to</w:t>
      </w:r>
      <w:r>
        <w:rPr>
          <w:b/>
          <w:spacing w:val="-6"/>
          <w:sz w:val="22"/>
        </w:rPr>
        <w:t> </w:t>
      </w:r>
      <w:r>
        <w:rPr>
          <w:b/>
          <w:sz w:val="22"/>
        </w:rPr>
        <w:t>center</w:t>
      </w:r>
      <w:r>
        <w:rPr>
          <w:b/>
          <w:spacing w:val="-5"/>
          <w:sz w:val="22"/>
        </w:rPr>
        <w:t> </w:t>
      </w:r>
      <w:r>
        <w:rPr>
          <w:b/>
          <w:sz w:val="22"/>
        </w:rPr>
        <w:t>an</w:t>
      </w:r>
      <w:r>
        <w:rPr>
          <w:b/>
          <w:spacing w:val="-5"/>
          <w:sz w:val="22"/>
        </w:rPr>
        <w:t> </w:t>
      </w:r>
      <w:r>
        <w:rPr>
          <w:b/>
          <w:sz w:val="22"/>
        </w:rPr>
        <w:t>equitable</w:t>
      </w:r>
      <w:r>
        <w:rPr>
          <w:b/>
          <w:spacing w:val="-7"/>
          <w:sz w:val="22"/>
        </w:rPr>
        <w:t> </w:t>
      </w:r>
      <w:r>
        <w:rPr>
          <w:b/>
          <w:sz w:val="22"/>
        </w:rPr>
        <w:t>approach</w:t>
      </w:r>
      <w:r>
        <w:rPr>
          <w:b/>
          <w:spacing w:val="-5"/>
          <w:sz w:val="22"/>
        </w:rPr>
        <w:t> </w:t>
      </w:r>
      <w:r>
        <w:rPr>
          <w:b/>
          <w:sz w:val="22"/>
        </w:rPr>
        <w:t>to</w:t>
      </w:r>
      <w:r>
        <w:rPr>
          <w:b/>
          <w:spacing w:val="-6"/>
          <w:sz w:val="22"/>
        </w:rPr>
        <w:t> </w:t>
      </w:r>
      <w:r>
        <w:rPr>
          <w:b/>
          <w:sz w:val="22"/>
        </w:rPr>
        <w:t>increase</w:t>
      </w:r>
      <w:r>
        <w:rPr>
          <w:b/>
          <w:spacing w:val="-5"/>
          <w:sz w:val="22"/>
        </w:rPr>
        <w:t> </w:t>
      </w:r>
      <w:r>
        <w:rPr>
          <w:b/>
          <w:sz w:val="22"/>
        </w:rPr>
        <w:t>access</w:t>
      </w:r>
      <w:r>
        <w:rPr>
          <w:b/>
          <w:spacing w:val="-6"/>
          <w:sz w:val="22"/>
        </w:rPr>
        <w:t> </w:t>
      </w:r>
      <w:r>
        <w:rPr>
          <w:b/>
          <w:sz w:val="22"/>
        </w:rPr>
        <w:t>to housing opportunities for QTBIPOC youth in the Commonwealth.</w:t>
      </w:r>
    </w:p>
    <w:p>
      <w:pPr>
        <w:pStyle w:val="BodyText"/>
        <w:spacing w:line="276" w:lineRule="auto" w:before="239"/>
        <w:ind w:left="464" w:right="403"/>
        <w:jc w:val="both"/>
      </w:pPr>
      <w:r>
        <w:rPr/>
        <w:t>The Commission recommends that the state evaluates the coordinated entry tools currently being utilized by each Massachusetts Continuum of Care and works to improve or develop a new tool that centers youth, with particular attention to the diverse needs of QTBIPOC young people. Such evaluations and updates should be sure to include contributions from young people with lived experience with the homelessness systems.</w:t>
      </w:r>
    </w:p>
    <w:p>
      <w:pPr>
        <w:numPr>
          <w:ilvl w:val="0"/>
          <w:numId w:val="24"/>
        </w:numPr>
        <w:tabs>
          <w:tab w:pos="462" w:val="left" w:leader="none"/>
        </w:tabs>
        <w:spacing w:before="240"/>
        <w:ind w:left="462" w:right="0" w:hanging="358"/>
        <w:jc w:val="left"/>
        <w:rPr>
          <w:b/>
          <w:sz w:val="22"/>
        </w:rPr>
      </w:pPr>
      <w:r>
        <w:rPr>
          <w:b/>
          <w:sz w:val="22"/>
        </w:rPr>
        <w:t>Address</w:t>
      </w:r>
      <w:r>
        <w:rPr>
          <w:b/>
          <w:spacing w:val="-9"/>
          <w:sz w:val="22"/>
        </w:rPr>
        <w:t> </w:t>
      </w:r>
      <w:r>
        <w:rPr>
          <w:b/>
          <w:sz w:val="22"/>
        </w:rPr>
        <w:t>issues</w:t>
      </w:r>
      <w:r>
        <w:rPr>
          <w:b/>
          <w:spacing w:val="-9"/>
          <w:sz w:val="22"/>
        </w:rPr>
        <w:t> </w:t>
      </w:r>
      <w:r>
        <w:rPr>
          <w:b/>
          <w:sz w:val="22"/>
        </w:rPr>
        <w:t>occurring</w:t>
      </w:r>
      <w:r>
        <w:rPr>
          <w:b/>
          <w:spacing w:val="-9"/>
          <w:sz w:val="22"/>
        </w:rPr>
        <w:t> </w:t>
      </w:r>
      <w:r>
        <w:rPr>
          <w:b/>
          <w:sz w:val="22"/>
        </w:rPr>
        <w:t>from</w:t>
      </w:r>
      <w:r>
        <w:rPr>
          <w:b/>
          <w:spacing w:val="-9"/>
          <w:sz w:val="22"/>
        </w:rPr>
        <w:t> </w:t>
      </w:r>
      <w:r>
        <w:rPr>
          <w:b/>
          <w:sz w:val="22"/>
        </w:rPr>
        <w:t>youth</w:t>
      </w:r>
      <w:r>
        <w:rPr>
          <w:b/>
          <w:spacing w:val="-8"/>
          <w:sz w:val="22"/>
        </w:rPr>
        <w:t> </w:t>
      </w:r>
      <w:r>
        <w:rPr>
          <w:b/>
          <w:sz w:val="22"/>
        </w:rPr>
        <w:t>shifting</w:t>
      </w:r>
      <w:r>
        <w:rPr>
          <w:b/>
          <w:spacing w:val="-8"/>
          <w:sz w:val="22"/>
        </w:rPr>
        <w:t> </w:t>
      </w:r>
      <w:r>
        <w:rPr>
          <w:b/>
          <w:sz w:val="22"/>
        </w:rPr>
        <w:t>between</w:t>
      </w:r>
      <w:r>
        <w:rPr>
          <w:b/>
          <w:spacing w:val="-9"/>
          <w:sz w:val="22"/>
        </w:rPr>
        <w:t> </w:t>
      </w:r>
      <w:r>
        <w:rPr>
          <w:b/>
          <w:sz w:val="22"/>
        </w:rPr>
        <w:t>Continuums</w:t>
      </w:r>
      <w:r>
        <w:rPr>
          <w:b/>
          <w:spacing w:val="-9"/>
          <w:sz w:val="22"/>
        </w:rPr>
        <w:t> </w:t>
      </w:r>
      <w:r>
        <w:rPr>
          <w:b/>
          <w:sz w:val="22"/>
        </w:rPr>
        <w:t>of</w:t>
      </w:r>
      <w:r>
        <w:rPr>
          <w:b/>
          <w:spacing w:val="-8"/>
          <w:sz w:val="22"/>
        </w:rPr>
        <w:t> </w:t>
      </w:r>
      <w:r>
        <w:rPr>
          <w:b/>
          <w:spacing w:val="-2"/>
          <w:sz w:val="22"/>
        </w:rPr>
        <w:t>Care.</w:t>
      </w:r>
    </w:p>
    <w:p>
      <w:pPr>
        <w:pStyle w:val="BodyText"/>
        <w:spacing w:before="13"/>
        <w:rPr>
          <w:b/>
        </w:rPr>
      </w:pPr>
    </w:p>
    <w:p>
      <w:pPr>
        <w:pStyle w:val="BodyText"/>
        <w:spacing w:line="276" w:lineRule="auto"/>
        <w:ind w:left="464" w:right="401"/>
        <w:jc w:val="both"/>
      </w:pPr>
      <w:r>
        <w:rPr/>
        <w:t>Over the last two years, the Commission has engaged in conversations with EOHLC and providers to help address systemic barriers that can prolong experiences of homelessness for young people. One particular issue that has been noted is the penalties that some young people, oft unknowingly, face when moving between Continuums of Care (CoCs). As highlighted in the EOHLC recommendations since</w:t>
      </w:r>
      <w:r>
        <w:rPr>
          <w:spacing w:val="-4"/>
        </w:rPr>
        <w:t> </w:t>
      </w:r>
      <w:r>
        <w:rPr/>
        <w:t>FY</w:t>
      </w:r>
      <w:r>
        <w:rPr>
          <w:spacing w:val="-4"/>
        </w:rPr>
        <w:t> </w:t>
      </w:r>
      <w:r>
        <w:rPr/>
        <w:t>2024,</w:t>
      </w:r>
      <w:r>
        <w:rPr>
          <w:spacing w:val="-4"/>
        </w:rPr>
        <w:t> </w:t>
      </w:r>
      <w:r>
        <w:rPr/>
        <w:t>youth</w:t>
      </w:r>
      <w:r>
        <w:rPr>
          <w:spacing w:val="-4"/>
        </w:rPr>
        <w:t> </w:t>
      </w:r>
      <w:r>
        <w:rPr/>
        <w:t>who</w:t>
      </w:r>
      <w:r>
        <w:rPr>
          <w:spacing w:val="-4"/>
        </w:rPr>
        <w:t> </w:t>
      </w:r>
      <w:r>
        <w:rPr/>
        <w:t>travel</w:t>
      </w:r>
      <w:r>
        <w:rPr>
          <w:spacing w:val="-4"/>
        </w:rPr>
        <w:t> </w:t>
      </w:r>
      <w:r>
        <w:rPr/>
        <w:t>within</w:t>
      </w:r>
      <w:r>
        <w:rPr>
          <w:spacing w:val="-4"/>
        </w:rPr>
        <w:t> </w:t>
      </w:r>
      <w:r>
        <w:rPr/>
        <w:t>shelters</w:t>
      </w:r>
      <w:r>
        <w:rPr>
          <w:spacing w:val="-4"/>
        </w:rPr>
        <w:t> </w:t>
      </w:r>
      <w:r>
        <w:rPr/>
        <w:t>between</w:t>
      </w:r>
      <w:r>
        <w:rPr>
          <w:spacing w:val="-4"/>
        </w:rPr>
        <w:t> </w:t>
      </w:r>
      <w:r>
        <w:rPr/>
        <w:t>CoCs</w:t>
      </w:r>
      <w:r>
        <w:rPr>
          <w:spacing w:val="-4"/>
        </w:rPr>
        <w:t> </w:t>
      </w:r>
      <w:r>
        <w:rPr/>
        <w:t>-</w:t>
      </w:r>
      <w:r>
        <w:rPr>
          <w:spacing w:val="-5"/>
        </w:rPr>
        <w:t> </w:t>
      </w:r>
      <w:r>
        <w:rPr/>
        <w:t>such</w:t>
      </w:r>
      <w:r>
        <w:rPr>
          <w:spacing w:val="-4"/>
        </w:rPr>
        <w:t> </w:t>
      </w:r>
      <w:r>
        <w:rPr/>
        <w:t>as</w:t>
      </w:r>
      <w:r>
        <w:rPr>
          <w:spacing w:val="-4"/>
        </w:rPr>
        <w:t> </w:t>
      </w:r>
      <w:r>
        <w:rPr/>
        <w:t>from</w:t>
      </w:r>
      <w:r>
        <w:rPr>
          <w:spacing w:val="-4"/>
        </w:rPr>
        <w:t> </w:t>
      </w:r>
      <w:r>
        <w:rPr/>
        <w:t>Boston</w:t>
      </w:r>
      <w:r>
        <w:rPr>
          <w:spacing w:val="-4"/>
        </w:rPr>
        <w:t> </w:t>
      </w:r>
      <w:r>
        <w:rPr/>
        <w:t>to</w:t>
      </w:r>
      <w:r>
        <w:rPr>
          <w:spacing w:val="-4"/>
        </w:rPr>
        <w:t> </w:t>
      </w:r>
      <w:r>
        <w:rPr/>
        <w:t>Salem</w:t>
      </w:r>
      <w:r>
        <w:rPr>
          <w:spacing w:val="-3"/>
        </w:rPr>
        <w:t> </w:t>
      </w:r>
      <w:r>
        <w:rPr/>
        <w:t>-</w:t>
      </w:r>
      <w:r>
        <w:rPr>
          <w:spacing w:val="-4"/>
        </w:rPr>
        <w:t> </w:t>
      </w:r>
      <w:r>
        <w:rPr/>
        <w:t>can</w:t>
      </w:r>
      <w:r>
        <w:rPr>
          <w:spacing w:val="-2"/>
        </w:rPr>
        <w:t> </w:t>
      </w:r>
      <w:r>
        <w:rPr/>
        <w:t>be subject</w:t>
      </w:r>
      <w:r>
        <w:rPr>
          <w:spacing w:val="-8"/>
        </w:rPr>
        <w:t> </w:t>
      </w:r>
      <w:r>
        <w:rPr/>
        <w:t>to</w:t>
      </w:r>
      <w:r>
        <w:rPr>
          <w:spacing w:val="-7"/>
        </w:rPr>
        <w:t> </w:t>
      </w:r>
      <w:r>
        <w:rPr/>
        <w:t>a</w:t>
      </w:r>
      <w:r>
        <w:rPr>
          <w:spacing w:val="-8"/>
        </w:rPr>
        <w:t> </w:t>
      </w:r>
      <w:r>
        <w:rPr/>
        <w:t>systemic</w:t>
      </w:r>
      <w:r>
        <w:rPr>
          <w:spacing w:val="-8"/>
        </w:rPr>
        <w:t> </w:t>
      </w:r>
      <w:r>
        <w:rPr/>
        <w:t>error</w:t>
      </w:r>
      <w:r>
        <w:rPr>
          <w:spacing w:val="-7"/>
        </w:rPr>
        <w:t> </w:t>
      </w:r>
      <w:r>
        <w:rPr/>
        <w:t>that</w:t>
      </w:r>
      <w:r>
        <w:rPr>
          <w:spacing w:val="-8"/>
        </w:rPr>
        <w:t> </w:t>
      </w:r>
      <w:r>
        <w:rPr/>
        <w:t>disrupts</w:t>
      </w:r>
      <w:r>
        <w:rPr>
          <w:spacing w:val="-6"/>
        </w:rPr>
        <w:t> </w:t>
      </w:r>
      <w:r>
        <w:rPr/>
        <w:t>their</w:t>
      </w:r>
      <w:r>
        <w:rPr>
          <w:spacing w:val="-7"/>
        </w:rPr>
        <w:t> </w:t>
      </w:r>
      <w:r>
        <w:rPr/>
        <w:t>count</w:t>
      </w:r>
      <w:r>
        <w:rPr>
          <w:spacing w:val="-9"/>
        </w:rPr>
        <w:t> </w:t>
      </w:r>
      <w:r>
        <w:rPr/>
        <w:t>of</w:t>
      </w:r>
      <w:r>
        <w:rPr>
          <w:spacing w:val="-7"/>
        </w:rPr>
        <w:t> </w:t>
      </w:r>
      <w:r>
        <w:rPr/>
        <w:t>‘days</w:t>
      </w:r>
      <w:r>
        <w:rPr>
          <w:spacing w:val="-8"/>
        </w:rPr>
        <w:t> </w:t>
      </w:r>
      <w:r>
        <w:rPr/>
        <w:t>of</w:t>
      </w:r>
      <w:r>
        <w:rPr>
          <w:spacing w:val="-9"/>
        </w:rPr>
        <w:t> </w:t>
      </w:r>
      <w:r>
        <w:rPr/>
        <w:t>homelessness’,</w:t>
      </w:r>
      <w:r>
        <w:rPr>
          <w:spacing w:val="-8"/>
        </w:rPr>
        <w:t> </w:t>
      </w:r>
      <w:r>
        <w:rPr/>
        <w:t>thus</w:t>
      </w:r>
      <w:r>
        <w:rPr>
          <w:spacing w:val="-8"/>
        </w:rPr>
        <w:t> </w:t>
      </w:r>
      <w:r>
        <w:rPr/>
        <w:t>potentially</w:t>
      </w:r>
      <w:r>
        <w:rPr>
          <w:spacing w:val="-7"/>
        </w:rPr>
        <w:t> </w:t>
      </w:r>
      <w:r>
        <w:rPr/>
        <w:t>moving them down on the priority list for a housing voucher.</w:t>
      </w:r>
    </w:p>
    <w:p>
      <w:pPr>
        <w:pStyle w:val="BodyText"/>
        <w:spacing w:line="276" w:lineRule="auto" w:before="239"/>
        <w:ind w:left="463" w:right="400"/>
        <w:jc w:val="both"/>
      </w:pPr>
      <w:r>
        <w:rPr/>
        <w:t>While</w:t>
      </w:r>
      <w:r>
        <w:rPr>
          <w:spacing w:val="-8"/>
        </w:rPr>
        <w:t> </w:t>
      </w:r>
      <w:r>
        <w:rPr/>
        <w:t>EOHLC</w:t>
      </w:r>
      <w:r>
        <w:rPr>
          <w:spacing w:val="-6"/>
        </w:rPr>
        <w:t> </w:t>
      </w:r>
      <w:r>
        <w:rPr/>
        <w:t>has</w:t>
      </w:r>
      <w:r>
        <w:rPr>
          <w:spacing w:val="-8"/>
        </w:rPr>
        <w:t> </w:t>
      </w:r>
      <w:r>
        <w:rPr/>
        <w:t>informed</w:t>
      </w:r>
      <w:r>
        <w:rPr>
          <w:spacing w:val="-7"/>
        </w:rPr>
        <w:t> </w:t>
      </w:r>
      <w:r>
        <w:rPr/>
        <w:t>the</w:t>
      </w:r>
      <w:r>
        <w:rPr>
          <w:spacing w:val="-9"/>
        </w:rPr>
        <w:t> </w:t>
      </w:r>
      <w:r>
        <w:rPr/>
        <w:t>Commission</w:t>
      </w:r>
      <w:r>
        <w:rPr>
          <w:spacing w:val="-9"/>
        </w:rPr>
        <w:t> </w:t>
      </w:r>
      <w:r>
        <w:rPr/>
        <w:t>that</w:t>
      </w:r>
      <w:r>
        <w:rPr>
          <w:spacing w:val="-8"/>
        </w:rPr>
        <w:t> </w:t>
      </w:r>
      <w:r>
        <w:rPr/>
        <w:t>a</w:t>
      </w:r>
      <w:r>
        <w:rPr>
          <w:spacing w:val="-8"/>
        </w:rPr>
        <w:t> </w:t>
      </w:r>
      <w:r>
        <w:rPr/>
        <w:t>new</w:t>
      </w:r>
      <w:r>
        <w:rPr>
          <w:spacing w:val="-7"/>
        </w:rPr>
        <w:t> </w:t>
      </w:r>
      <w:r>
        <w:rPr/>
        <w:t>coordinated</w:t>
      </w:r>
      <w:r>
        <w:rPr>
          <w:spacing w:val="-8"/>
        </w:rPr>
        <w:t> </w:t>
      </w:r>
      <w:r>
        <w:rPr/>
        <w:t>care</w:t>
      </w:r>
      <w:r>
        <w:rPr>
          <w:spacing w:val="-9"/>
        </w:rPr>
        <w:t> </w:t>
      </w:r>
      <w:r>
        <w:rPr/>
        <w:t>component</w:t>
      </w:r>
      <w:r>
        <w:rPr>
          <w:spacing w:val="-8"/>
        </w:rPr>
        <w:t> </w:t>
      </w:r>
      <w:r>
        <w:rPr/>
        <w:t>has</w:t>
      </w:r>
      <w:r>
        <w:rPr>
          <w:spacing w:val="-8"/>
        </w:rPr>
        <w:t> </w:t>
      </w:r>
      <w:r>
        <w:rPr/>
        <w:t>been</w:t>
      </w:r>
      <w:r>
        <w:rPr>
          <w:spacing w:val="-8"/>
        </w:rPr>
        <w:t> </w:t>
      </w:r>
      <w:r>
        <w:rPr/>
        <w:t>created to better track</w:t>
      </w:r>
      <w:r>
        <w:rPr>
          <w:spacing w:val="-1"/>
        </w:rPr>
        <w:t> </w:t>
      </w:r>
      <w:r>
        <w:rPr/>
        <w:t>the comings and goings of individuals, it</w:t>
      </w:r>
      <w:r>
        <w:rPr>
          <w:spacing w:val="-1"/>
        </w:rPr>
        <w:t> </w:t>
      </w:r>
      <w:r>
        <w:rPr/>
        <w:t>also notes that</w:t>
      </w:r>
      <w:r>
        <w:rPr>
          <w:spacing w:val="-1"/>
        </w:rPr>
        <w:t> </w:t>
      </w:r>
      <w:r>
        <w:rPr/>
        <w:t>this component</w:t>
      </w:r>
      <w:r>
        <w:rPr>
          <w:spacing w:val="-1"/>
        </w:rPr>
        <w:t> </w:t>
      </w:r>
      <w:r>
        <w:rPr/>
        <w:t>is note</w:t>
      </w:r>
      <w:r>
        <w:rPr>
          <w:spacing w:val="-1"/>
        </w:rPr>
        <w:t> </w:t>
      </w:r>
      <w:r>
        <w:rPr/>
        <w:t>widely utilized</w:t>
      </w:r>
      <w:r>
        <w:rPr>
          <w:spacing w:val="-12"/>
        </w:rPr>
        <w:t> </w:t>
      </w:r>
      <w:r>
        <w:rPr/>
        <w:t>-</w:t>
      </w:r>
      <w:r>
        <w:rPr>
          <w:spacing w:val="-11"/>
        </w:rPr>
        <w:t> </w:t>
      </w:r>
      <w:r>
        <w:rPr/>
        <w:t>nor</w:t>
      </w:r>
      <w:r>
        <w:rPr>
          <w:spacing w:val="-11"/>
        </w:rPr>
        <w:t> </w:t>
      </w:r>
      <w:r>
        <w:rPr/>
        <w:t>does</w:t>
      </w:r>
      <w:r>
        <w:rPr>
          <w:spacing w:val="-12"/>
        </w:rPr>
        <w:t> </w:t>
      </w:r>
      <w:r>
        <w:rPr/>
        <w:t>EOHLC</w:t>
      </w:r>
      <w:r>
        <w:rPr>
          <w:spacing w:val="-11"/>
        </w:rPr>
        <w:t> </w:t>
      </w:r>
      <w:r>
        <w:rPr/>
        <w:t>have</w:t>
      </w:r>
      <w:r>
        <w:rPr>
          <w:spacing w:val="-13"/>
        </w:rPr>
        <w:t> </w:t>
      </w:r>
      <w:r>
        <w:rPr/>
        <w:t>the</w:t>
      </w:r>
      <w:r>
        <w:rPr>
          <w:spacing w:val="-12"/>
        </w:rPr>
        <w:t> </w:t>
      </w:r>
      <w:r>
        <w:rPr/>
        <w:t>authority</w:t>
      </w:r>
      <w:r>
        <w:rPr>
          <w:spacing w:val="-12"/>
        </w:rPr>
        <w:t> </w:t>
      </w:r>
      <w:r>
        <w:rPr/>
        <w:t>to</w:t>
      </w:r>
      <w:r>
        <w:rPr>
          <w:spacing w:val="-11"/>
        </w:rPr>
        <w:t> </w:t>
      </w:r>
      <w:r>
        <w:rPr/>
        <w:t>require</w:t>
      </w:r>
      <w:r>
        <w:rPr>
          <w:spacing w:val="-12"/>
        </w:rPr>
        <w:t> </w:t>
      </w:r>
      <w:r>
        <w:rPr/>
        <w:t>CoCs</w:t>
      </w:r>
      <w:r>
        <w:rPr>
          <w:spacing w:val="-12"/>
        </w:rPr>
        <w:t> </w:t>
      </w:r>
      <w:r>
        <w:rPr/>
        <w:t>to</w:t>
      </w:r>
      <w:r>
        <w:rPr>
          <w:spacing w:val="-12"/>
        </w:rPr>
        <w:t> </w:t>
      </w:r>
      <w:r>
        <w:rPr/>
        <w:t>utilize</w:t>
      </w:r>
      <w:r>
        <w:rPr>
          <w:spacing w:val="-13"/>
        </w:rPr>
        <w:t> </w:t>
      </w:r>
      <w:r>
        <w:rPr/>
        <w:t>the</w:t>
      </w:r>
      <w:r>
        <w:rPr>
          <w:spacing w:val="-12"/>
        </w:rPr>
        <w:t> </w:t>
      </w:r>
      <w:r>
        <w:rPr/>
        <w:t>component.</w:t>
      </w:r>
      <w:r>
        <w:rPr>
          <w:spacing w:val="-12"/>
        </w:rPr>
        <w:t> </w:t>
      </w:r>
      <w:r>
        <w:rPr/>
        <w:t>The</w:t>
      </w:r>
      <w:r>
        <w:rPr>
          <w:spacing w:val="-12"/>
        </w:rPr>
        <w:t> </w:t>
      </w:r>
      <w:r>
        <w:rPr/>
        <w:t>Commission emphasizes its concerns that this problem continues to unfairly penalize youth and expresses the necessity of state to commit to its responsibility to ensure that young people and providers have the needed tools and information to reduce instances of homelessness.</w:t>
      </w:r>
    </w:p>
    <w:p>
      <w:pPr>
        <w:numPr>
          <w:ilvl w:val="0"/>
          <w:numId w:val="24"/>
        </w:numPr>
        <w:tabs>
          <w:tab w:pos="462" w:val="left" w:leader="none"/>
        </w:tabs>
        <w:spacing w:before="239"/>
        <w:ind w:left="462" w:right="0" w:hanging="358"/>
        <w:jc w:val="left"/>
        <w:rPr>
          <w:b/>
          <w:sz w:val="22"/>
        </w:rPr>
      </w:pPr>
      <w:r>
        <w:rPr>
          <w:b/>
          <w:sz w:val="22"/>
        </w:rPr>
        <w:t>Improve</w:t>
      </w:r>
      <w:r>
        <w:rPr>
          <w:b/>
          <w:spacing w:val="-12"/>
          <w:sz w:val="22"/>
        </w:rPr>
        <w:t> </w:t>
      </w:r>
      <w:r>
        <w:rPr>
          <w:b/>
          <w:sz w:val="22"/>
        </w:rPr>
        <w:t>multicultural,</w:t>
      </w:r>
      <w:r>
        <w:rPr>
          <w:b/>
          <w:spacing w:val="-11"/>
          <w:sz w:val="22"/>
        </w:rPr>
        <w:t> </w:t>
      </w:r>
      <w:r>
        <w:rPr>
          <w:b/>
          <w:sz w:val="22"/>
        </w:rPr>
        <w:t>LGBTQ-affirming</w:t>
      </w:r>
      <w:r>
        <w:rPr>
          <w:b/>
          <w:spacing w:val="-12"/>
          <w:sz w:val="22"/>
        </w:rPr>
        <w:t> </w:t>
      </w:r>
      <w:r>
        <w:rPr>
          <w:b/>
          <w:sz w:val="22"/>
        </w:rPr>
        <w:t>housing</w:t>
      </w:r>
      <w:r>
        <w:rPr>
          <w:b/>
          <w:spacing w:val="-11"/>
          <w:sz w:val="22"/>
        </w:rPr>
        <w:t> </w:t>
      </w:r>
      <w:r>
        <w:rPr>
          <w:b/>
          <w:sz w:val="22"/>
        </w:rPr>
        <w:t>resources</w:t>
      </w:r>
      <w:r>
        <w:rPr>
          <w:b/>
          <w:spacing w:val="-11"/>
          <w:sz w:val="22"/>
        </w:rPr>
        <w:t> </w:t>
      </w:r>
      <w:r>
        <w:rPr>
          <w:b/>
          <w:sz w:val="22"/>
        </w:rPr>
        <w:t>for</w:t>
      </w:r>
      <w:r>
        <w:rPr>
          <w:b/>
          <w:spacing w:val="-12"/>
          <w:sz w:val="22"/>
        </w:rPr>
        <w:t> </w:t>
      </w:r>
      <w:r>
        <w:rPr>
          <w:b/>
          <w:sz w:val="22"/>
        </w:rPr>
        <w:t>immigrants</w:t>
      </w:r>
      <w:r>
        <w:rPr>
          <w:b/>
          <w:spacing w:val="-11"/>
          <w:sz w:val="22"/>
        </w:rPr>
        <w:t> </w:t>
      </w:r>
      <w:r>
        <w:rPr>
          <w:b/>
          <w:sz w:val="22"/>
        </w:rPr>
        <w:t>and</w:t>
      </w:r>
      <w:r>
        <w:rPr>
          <w:b/>
          <w:spacing w:val="-11"/>
          <w:sz w:val="22"/>
        </w:rPr>
        <w:t> </w:t>
      </w:r>
      <w:r>
        <w:rPr>
          <w:b/>
          <w:spacing w:val="-2"/>
          <w:sz w:val="22"/>
        </w:rPr>
        <w:t>refugees.</w:t>
      </w:r>
    </w:p>
    <w:p>
      <w:pPr>
        <w:pStyle w:val="BodyText"/>
        <w:spacing w:before="13"/>
        <w:rPr>
          <w:b/>
        </w:rPr>
      </w:pPr>
    </w:p>
    <w:p>
      <w:pPr>
        <w:pStyle w:val="BodyText"/>
        <w:spacing w:line="276" w:lineRule="auto"/>
        <w:ind w:left="463" w:right="401"/>
        <w:jc w:val="both"/>
      </w:pPr>
      <w:r>
        <w:rPr/>
        <w:t>Over the last year, Massachusetts has noted a significant uptick in new arrivals to the state; in its conversations</w:t>
      </w:r>
      <w:r>
        <w:rPr>
          <w:spacing w:val="-1"/>
        </w:rPr>
        <w:t> </w:t>
      </w:r>
      <w:r>
        <w:rPr/>
        <w:t>with</w:t>
      </w:r>
      <w:r>
        <w:rPr>
          <w:spacing w:val="-2"/>
        </w:rPr>
        <w:t> </w:t>
      </w:r>
      <w:r>
        <w:rPr/>
        <w:t>refugee</w:t>
      </w:r>
      <w:r>
        <w:rPr>
          <w:spacing w:val="-2"/>
        </w:rPr>
        <w:t> </w:t>
      </w:r>
      <w:r>
        <w:rPr/>
        <w:t>service</w:t>
      </w:r>
      <w:r>
        <w:rPr>
          <w:spacing w:val="-2"/>
        </w:rPr>
        <w:t> </w:t>
      </w:r>
      <w:r>
        <w:rPr/>
        <w:t>providers</w:t>
      </w:r>
      <w:r>
        <w:rPr>
          <w:spacing w:val="-1"/>
        </w:rPr>
        <w:t> </w:t>
      </w:r>
      <w:r>
        <w:rPr/>
        <w:t>across</w:t>
      </w:r>
      <w:r>
        <w:rPr>
          <w:spacing w:val="-1"/>
        </w:rPr>
        <w:t> </w:t>
      </w:r>
      <w:r>
        <w:rPr/>
        <w:t>the</w:t>
      </w:r>
      <w:r>
        <w:rPr>
          <w:spacing w:val="-2"/>
        </w:rPr>
        <w:t> </w:t>
      </w:r>
      <w:r>
        <w:rPr/>
        <w:t>state,</w:t>
      </w:r>
      <w:r>
        <w:rPr>
          <w:spacing w:val="-1"/>
        </w:rPr>
        <w:t> </w:t>
      </w:r>
      <w:r>
        <w:rPr/>
        <w:t>the Commission</w:t>
      </w:r>
      <w:r>
        <w:rPr>
          <w:spacing w:val="-2"/>
        </w:rPr>
        <w:t> </w:t>
      </w:r>
      <w:r>
        <w:rPr/>
        <w:t>been</w:t>
      </w:r>
      <w:r>
        <w:rPr>
          <w:spacing w:val="-1"/>
        </w:rPr>
        <w:t> </w:t>
      </w:r>
      <w:r>
        <w:rPr/>
        <w:t>notified</w:t>
      </w:r>
      <w:r>
        <w:rPr>
          <w:spacing w:val="-1"/>
        </w:rPr>
        <w:t> </w:t>
      </w:r>
      <w:r>
        <w:rPr/>
        <w:t>that</w:t>
      </w:r>
      <w:r>
        <w:rPr>
          <w:spacing w:val="-1"/>
        </w:rPr>
        <w:t> </w:t>
      </w:r>
      <w:r>
        <w:rPr/>
        <w:t>this uptick</w:t>
      </w:r>
      <w:r>
        <w:rPr>
          <w:spacing w:val="-7"/>
        </w:rPr>
        <w:t> </w:t>
      </w:r>
      <w:r>
        <w:rPr/>
        <w:t>has</w:t>
      </w:r>
      <w:r>
        <w:rPr>
          <w:spacing w:val="-7"/>
        </w:rPr>
        <w:t> </w:t>
      </w:r>
      <w:r>
        <w:rPr/>
        <w:t>also</w:t>
      </w:r>
      <w:r>
        <w:rPr>
          <w:spacing w:val="-7"/>
        </w:rPr>
        <w:t> </w:t>
      </w:r>
      <w:r>
        <w:rPr/>
        <w:t>been</w:t>
      </w:r>
      <w:r>
        <w:rPr>
          <w:spacing w:val="-7"/>
        </w:rPr>
        <w:t> </w:t>
      </w:r>
      <w:r>
        <w:rPr/>
        <w:t>seen</w:t>
      </w:r>
      <w:r>
        <w:rPr>
          <w:spacing w:val="-6"/>
        </w:rPr>
        <w:t> </w:t>
      </w:r>
      <w:r>
        <w:rPr/>
        <w:t>with</w:t>
      </w:r>
      <w:r>
        <w:rPr>
          <w:spacing w:val="-7"/>
        </w:rPr>
        <w:t> </w:t>
      </w:r>
      <w:r>
        <w:rPr/>
        <w:t>LGBTQ</w:t>
      </w:r>
      <w:r>
        <w:rPr>
          <w:spacing w:val="-8"/>
        </w:rPr>
        <w:t> </w:t>
      </w:r>
      <w:r>
        <w:rPr/>
        <w:t>-</w:t>
      </w:r>
      <w:r>
        <w:rPr>
          <w:spacing w:val="-6"/>
        </w:rPr>
        <w:t> </w:t>
      </w:r>
      <w:r>
        <w:rPr/>
        <w:t>particularly</w:t>
      </w:r>
      <w:r>
        <w:rPr>
          <w:spacing w:val="-7"/>
        </w:rPr>
        <w:t> </w:t>
      </w:r>
      <w:r>
        <w:rPr/>
        <w:t>transgender</w:t>
      </w:r>
      <w:r>
        <w:rPr>
          <w:spacing w:val="-6"/>
        </w:rPr>
        <w:t> </w:t>
      </w:r>
      <w:r>
        <w:rPr/>
        <w:t>-</w:t>
      </w:r>
      <w:r>
        <w:rPr>
          <w:spacing w:val="-8"/>
        </w:rPr>
        <w:t> </w:t>
      </w:r>
      <w:r>
        <w:rPr/>
        <w:t>arrivals.</w:t>
      </w:r>
      <w:r>
        <w:rPr>
          <w:spacing w:val="-8"/>
        </w:rPr>
        <w:t> </w:t>
      </w:r>
      <w:r>
        <w:rPr/>
        <w:t>As</w:t>
      </w:r>
      <w:r>
        <w:rPr>
          <w:spacing w:val="-7"/>
        </w:rPr>
        <w:t> </w:t>
      </w:r>
      <w:r>
        <w:rPr/>
        <w:t>more</w:t>
      </w:r>
      <w:r>
        <w:rPr>
          <w:spacing w:val="-8"/>
        </w:rPr>
        <w:t> </w:t>
      </w:r>
      <w:r>
        <w:rPr/>
        <w:t>LGBTQ</w:t>
      </w:r>
      <w:r>
        <w:rPr>
          <w:spacing w:val="-7"/>
        </w:rPr>
        <w:t> </w:t>
      </w:r>
      <w:r>
        <w:rPr/>
        <w:t>immigrants, refugees, and asylee seekers arrive in Massachusetts, it is critical that the state examine its existing services and the clear gaps in resources and programming, particularly around affordable housing.</w:t>
      </w:r>
    </w:p>
    <w:p>
      <w:pPr>
        <w:spacing w:after="0" w:line="276" w:lineRule="auto"/>
        <w:jc w:val="both"/>
        <w:sectPr>
          <w:pgSz w:w="12240" w:h="15840"/>
          <w:pgMar w:header="765" w:footer="1127" w:top="1280" w:bottom="1380" w:left="1120" w:right="1180"/>
        </w:sectPr>
      </w:pPr>
    </w:p>
    <w:p>
      <w:pPr>
        <w:spacing w:before="90"/>
        <w:ind w:left="464" w:right="0" w:firstLine="0"/>
        <w:jc w:val="left"/>
        <w:rPr>
          <w:sz w:val="28"/>
        </w:rPr>
      </w:pPr>
      <w:bookmarkStart w:name="Understanding LGBTQ Youth Homelessness" w:id="484"/>
      <w:bookmarkEnd w:id="484"/>
      <w:r>
        <w:rPr/>
      </w:r>
      <w:r>
        <w:rPr>
          <w:color w:val="365F91"/>
          <w:sz w:val="28"/>
        </w:rPr>
        <w:t>Understanding</w:t>
      </w:r>
      <w:r>
        <w:rPr>
          <w:color w:val="365F91"/>
          <w:spacing w:val="-13"/>
          <w:sz w:val="28"/>
        </w:rPr>
        <w:t> </w:t>
      </w:r>
      <w:r>
        <w:rPr>
          <w:color w:val="365F91"/>
          <w:sz w:val="28"/>
        </w:rPr>
        <w:t>LGBTQ</w:t>
      </w:r>
      <w:r>
        <w:rPr>
          <w:color w:val="365F91"/>
          <w:spacing w:val="-13"/>
          <w:sz w:val="28"/>
        </w:rPr>
        <w:t> </w:t>
      </w:r>
      <w:r>
        <w:rPr>
          <w:color w:val="365F91"/>
          <w:sz w:val="28"/>
        </w:rPr>
        <w:t>Youth</w:t>
      </w:r>
      <w:r>
        <w:rPr>
          <w:color w:val="365F91"/>
          <w:spacing w:val="-14"/>
          <w:sz w:val="28"/>
        </w:rPr>
        <w:t> </w:t>
      </w:r>
      <w:r>
        <w:rPr>
          <w:color w:val="365F91"/>
          <w:spacing w:val="-2"/>
          <w:sz w:val="28"/>
        </w:rPr>
        <w:t>Homelessness</w:t>
      </w:r>
    </w:p>
    <w:p>
      <w:pPr>
        <w:pStyle w:val="BodyText"/>
        <w:spacing w:before="10"/>
        <w:rPr>
          <w:sz w:val="3"/>
        </w:rPr>
      </w:pPr>
      <w:r>
        <w:rPr/>
        <mc:AlternateContent>
          <mc:Choice Requires="wps">
            <w:drawing>
              <wp:anchor distT="0" distB="0" distL="0" distR="0" allowOverlap="1" layoutInCell="1" locked="0" behindDoc="1" simplePos="0" relativeHeight="487655424">
                <wp:simplePos x="0" y="0"/>
                <wp:positionH relativeFrom="page">
                  <wp:posOffset>986789</wp:posOffset>
                </wp:positionH>
                <wp:positionV relativeFrom="paragraph">
                  <wp:posOffset>45290</wp:posOffset>
                </wp:positionV>
                <wp:extent cx="5799455" cy="635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66207pt;width:456.601pt;height:.481pt;mso-position-horizontal-relative:page;mso-position-vertical-relative:paragraph;z-index:-15661056;mso-wrap-distance-left:0;mso-wrap-distance-right:0" id="docshape291" filled="true" fillcolor="#4f81bc" stroked="false">
                <v:fill type="solid"/>
                <w10:wrap type="topAndBottom"/>
              </v:rect>
            </w:pict>
          </mc:Fallback>
        </mc:AlternateContent>
      </w:r>
    </w:p>
    <w:p>
      <w:pPr>
        <w:pStyle w:val="BodyText"/>
        <w:spacing w:line="276" w:lineRule="auto" w:before="241"/>
        <w:ind w:left="463" w:right="399"/>
        <w:jc w:val="both"/>
      </w:pPr>
      <w:r>
        <w:rPr/>
        <w:t>Youth homelessness is a complex public health issue that is further complicated by the overrepresentation</w:t>
      </w:r>
      <w:r>
        <w:rPr>
          <w:spacing w:val="-11"/>
        </w:rPr>
        <w:t> </w:t>
      </w:r>
      <w:r>
        <w:rPr/>
        <w:t>of</w:t>
      </w:r>
      <w:r>
        <w:rPr>
          <w:spacing w:val="-12"/>
        </w:rPr>
        <w:t> </w:t>
      </w:r>
      <w:r>
        <w:rPr/>
        <w:t>LGBTQ</w:t>
      </w:r>
      <w:r>
        <w:rPr>
          <w:spacing w:val="-11"/>
        </w:rPr>
        <w:t> </w:t>
      </w:r>
      <w:r>
        <w:rPr/>
        <w:t>youth</w:t>
      </w:r>
      <w:r>
        <w:rPr>
          <w:spacing w:val="-11"/>
        </w:rPr>
        <w:t> </w:t>
      </w:r>
      <w:r>
        <w:rPr/>
        <w:t>among</w:t>
      </w:r>
      <w:r>
        <w:rPr>
          <w:spacing w:val="-11"/>
        </w:rPr>
        <w:t> </w:t>
      </w:r>
      <w:r>
        <w:rPr/>
        <w:t>the</w:t>
      </w:r>
      <w:r>
        <w:rPr>
          <w:spacing w:val="-11"/>
        </w:rPr>
        <w:t> </w:t>
      </w:r>
      <w:r>
        <w:rPr/>
        <w:t>general</w:t>
      </w:r>
      <w:r>
        <w:rPr>
          <w:spacing w:val="-12"/>
        </w:rPr>
        <w:t> </w:t>
      </w:r>
      <w:r>
        <w:rPr/>
        <w:t>youth</w:t>
      </w:r>
      <w:r>
        <w:rPr>
          <w:spacing w:val="-10"/>
        </w:rPr>
        <w:t> </w:t>
      </w:r>
      <w:r>
        <w:rPr/>
        <w:t>population</w:t>
      </w:r>
      <w:r>
        <w:rPr>
          <w:spacing w:val="-11"/>
        </w:rPr>
        <w:t> </w:t>
      </w:r>
      <w:r>
        <w:rPr/>
        <w:t>experiencing</w:t>
      </w:r>
      <w:r>
        <w:rPr>
          <w:spacing w:val="-11"/>
        </w:rPr>
        <w:t> </w:t>
      </w:r>
      <w:r>
        <w:rPr/>
        <w:t>homelessness.</w:t>
      </w:r>
      <w:hyperlink w:history="true" w:anchor="_bookmark280">
        <w:r>
          <w:rPr>
            <w:vertAlign w:val="superscript"/>
          </w:rPr>
          <w:t>7</w:t>
        </w:r>
      </w:hyperlink>
      <w:r>
        <w:rPr>
          <w:vertAlign w:val="baseline"/>
        </w:rPr>
        <w:t> According to data collected by True Colors United, LGBTQ youth are nationally 120% more likely to experience homelessness than their peers with 40% of youth experiencing homelessness identifying as LGBTQ.</w:t>
      </w:r>
      <w:hyperlink w:history="true" w:anchor="_bookmark281">
        <w:r>
          <w:rPr>
            <w:vertAlign w:val="superscript"/>
          </w:rPr>
          <w:t>8</w:t>
        </w:r>
      </w:hyperlink>
      <w:r>
        <w:rPr>
          <w:vertAlign w:val="baseline"/>
        </w:rPr>
        <w:t> In the most recent Massachusetts Youth Count, 30% of the youth surveyed identify as LGBTQ. Across the nation, LGBTQ youth are at an increased risk of experiencing homelessness and housing insecurity for being disproportionately impacted by multiple risk factors that lead to homelessness including mental health challenges, family rejection, bullying, discrimination, poverty, and racism. Although the Commonwealth has made tremendous strides in combatting the youth homelessness</w:t>
      </w:r>
      <w:r>
        <w:rPr>
          <w:spacing w:val="-8"/>
          <w:vertAlign w:val="baseline"/>
        </w:rPr>
        <w:t> </w:t>
      </w:r>
      <w:r>
        <w:rPr>
          <w:vertAlign w:val="baseline"/>
        </w:rPr>
        <w:t>crisis,</w:t>
      </w:r>
      <w:r>
        <w:rPr>
          <w:spacing w:val="-8"/>
          <w:vertAlign w:val="baseline"/>
        </w:rPr>
        <w:t> </w:t>
      </w:r>
      <w:r>
        <w:rPr>
          <w:vertAlign w:val="baseline"/>
        </w:rPr>
        <w:t>LGBTQ</w:t>
      </w:r>
      <w:r>
        <w:rPr>
          <w:spacing w:val="-9"/>
          <w:vertAlign w:val="baseline"/>
        </w:rPr>
        <w:t> </w:t>
      </w:r>
      <w:r>
        <w:rPr>
          <w:vertAlign w:val="baseline"/>
        </w:rPr>
        <w:t>youth</w:t>
      </w:r>
      <w:r>
        <w:rPr>
          <w:spacing w:val="-8"/>
          <w:vertAlign w:val="baseline"/>
        </w:rPr>
        <w:t> </w:t>
      </w:r>
      <w:r>
        <w:rPr>
          <w:vertAlign w:val="baseline"/>
        </w:rPr>
        <w:t>populations</w:t>
      </w:r>
      <w:r>
        <w:rPr>
          <w:spacing w:val="-8"/>
          <w:vertAlign w:val="baseline"/>
        </w:rPr>
        <w:t> </w:t>
      </w:r>
      <w:r>
        <w:rPr>
          <w:vertAlign w:val="baseline"/>
        </w:rPr>
        <w:t>continue</w:t>
      </w:r>
      <w:r>
        <w:rPr>
          <w:spacing w:val="-9"/>
          <w:vertAlign w:val="baseline"/>
        </w:rPr>
        <w:t> </w:t>
      </w:r>
      <w:r>
        <w:rPr>
          <w:vertAlign w:val="baseline"/>
        </w:rPr>
        <w:t>to</w:t>
      </w:r>
      <w:r>
        <w:rPr>
          <w:spacing w:val="-8"/>
          <w:vertAlign w:val="baseline"/>
        </w:rPr>
        <w:t> </w:t>
      </w:r>
      <w:r>
        <w:rPr>
          <w:vertAlign w:val="baseline"/>
        </w:rPr>
        <w:t>need</w:t>
      </w:r>
      <w:r>
        <w:rPr>
          <w:spacing w:val="-9"/>
          <w:vertAlign w:val="baseline"/>
        </w:rPr>
        <w:t> </w:t>
      </w:r>
      <w:r>
        <w:rPr>
          <w:vertAlign w:val="baseline"/>
        </w:rPr>
        <w:t>additional</w:t>
      </w:r>
      <w:r>
        <w:rPr>
          <w:spacing w:val="-9"/>
          <w:vertAlign w:val="baseline"/>
        </w:rPr>
        <w:t> </w:t>
      </w:r>
      <w:r>
        <w:rPr>
          <w:vertAlign w:val="baseline"/>
        </w:rPr>
        <w:t>support</w:t>
      </w:r>
      <w:r>
        <w:rPr>
          <w:spacing w:val="-9"/>
          <w:vertAlign w:val="baseline"/>
        </w:rPr>
        <w:t> </w:t>
      </w:r>
      <w:r>
        <w:rPr>
          <w:vertAlign w:val="baseline"/>
        </w:rPr>
        <w:t>and</w:t>
      </w:r>
      <w:r>
        <w:rPr>
          <w:spacing w:val="-9"/>
          <w:vertAlign w:val="baseline"/>
        </w:rPr>
        <w:t> </w:t>
      </w:r>
      <w:r>
        <w:rPr>
          <w:vertAlign w:val="baseline"/>
        </w:rPr>
        <w:t>services</w:t>
      </w:r>
      <w:r>
        <w:rPr>
          <w:spacing w:val="-8"/>
          <w:vertAlign w:val="baseline"/>
        </w:rPr>
        <w:t> </w:t>
      </w:r>
      <w:r>
        <w:rPr>
          <w:vertAlign w:val="baseline"/>
        </w:rPr>
        <w:t>based on state-level data and national research findings.</w:t>
      </w:r>
    </w:p>
    <w:p>
      <w:pPr>
        <w:spacing w:before="239"/>
        <w:ind w:left="464" w:right="0" w:firstLine="0"/>
        <w:jc w:val="both"/>
        <w:rPr>
          <w:sz w:val="24"/>
        </w:rPr>
      </w:pPr>
      <w:bookmarkStart w:name="Intersecting Identities and Priority Pop" w:id="485"/>
      <w:bookmarkEnd w:id="485"/>
      <w:r>
        <w:rPr/>
      </w:r>
      <w:r>
        <w:rPr>
          <w:color w:val="365F91"/>
          <w:sz w:val="24"/>
        </w:rPr>
        <w:t>Intersecting</w:t>
      </w:r>
      <w:r>
        <w:rPr>
          <w:color w:val="365F91"/>
          <w:spacing w:val="-7"/>
          <w:sz w:val="24"/>
        </w:rPr>
        <w:t> </w:t>
      </w:r>
      <w:r>
        <w:rPr>
          <w:color w:val="365F91"/>
          <w:sz w:val="24"/>
        </w:rPr>
        <w:t>Identities</w:t>
      </w:r>
      <w:r>
        <w:rPr>
          <w:color w:val="365F91"/>
          <w:spacing w:val="-4"/>
          <w:sz w:val="24"/>
        </w:rPr>
        <w:t> </w:t>
      </w:r>
      <w:r>
        <w:rPr>
          <w:color w:val="365F91"/>
          <w:sz w:val="24"/>
        </w:rPr>
        <w:t>and</w:t>
      </w:r>
      <w:r>
        <w:rPr>
          <w:color w:val="365F91"/>
          <w:spacing w:val="-3"/>
          <w:sz w:val="24"/>
        </w:rPr>
        <w:t> </w:t>
      </w:r>
      <w:r>
        <w:rPr>
          <w:color w:val="365F91"/>
          <w:sz w:val="24"/>
        </w:rPr>
        <w:t>Priority</w:t>
      </w:r>
      <w:r>
        <w:rPr>
          <w:color w:val="365F91"/>
          <w:spacing w:val="-3"/>
          <w:sz w:val="24"/>
        </w:rPr>
        <w:t> </w:t>
      </w:r>
      <w:r>
        <w:rPr>
          <w:color w:val="365F91"/>
          <w:sz w:val="24"/>
        </w:rPr>
        <w:t>Populations</w:t>
      </w:r>
      <w:r>
        <w:rPr>
          <w:color w:val="365F91"/>
          <w:spacing w:val="-3"/>
          <w:sz w:val="24"/>
        </w:rPr>
        <w:t> </w:t>
      </w:r>
      <w:r>
        <w:rPr>
          <w:color w:val="365F91"/>
          <w:sz w:val="24"/>
        </w:rPr>
        <w:t>for</w:t>
      </w:r>
      <w:r>
        <w:rPr>
          <w:color w:val="365F91"/>
          <w:spacing w:val="-3"/>
          <w:sz w:val="24"/>
        </w:rPr>
        <w:t> </w:t>
      </w:r>
      <w:r>
        <w:rPr>
          <w:color w:val="365F91"/>
          <w:sz w:val="24"/>
        </w:rPr>
        <w:t>Addressing</w:t>
      </w:r>
      <w:r>
        <w:rPr>
          <w:color w:val="365F91"/>
          <w:spacing w:val="-3"/>
          <w:sz w:val="24"/>
        </w:rPr>
        <w:t> </w:t>
      </w:r>
      <w:r>
        <w:rPr>
          <w:color w:val="365F91"/>
          <w:sz w:val="24"/>
        </w:rPr>
        <w:t>LGBTQ</w:t>
      </w:r>
      <w:r>
        <w:rPr>
          <w:color w:val="365F91"/>
          <w:spacing w:val="-3"/>
          <w:sz w:val="24"/>
        </w:rPr>
        <w:t> </w:t>
      </w:r>
      <w:r>
        <w:rPr>
          <w:color w:val="365F91"/>
          <w:sz w:val="24"/>
        </w:rPr>
        <w:t>Youth</w:t>
      </w:r>
      <w:r>
        <w:rPr>
          <w:color w:val="365F91"/>
          <w:spacing w:val="-3"/>
          <w:sz w:val="24"/>
        </w:rPr>
        <w:t> </w:t>
      </w:r>
      <w:r>
        <w:rPr>
          <w:color w:val="365F91"/>
          <w:spacing w:val="-2"/>
          <w:sz w:val="24"/>
        </w:rPr>
        <w:t>Homelessness</w:t>
      </w:r>
    </w:p>
    <w:p>
      <w:pPr>
        <w:pStyle w:val="BodyText"/>
        <w:spacing w:line="276" w:lineRule="auto" w:before="286"/>
        <w:ind w:left="463" w:right="401"/>
        <w:jc w:val="both"/>
      </w:pPr>
      <w:r>
        <w:rPr/>
        <w:t>LGBTQ youth not only face challenges of their sexual orientation and gender identity, but also often carry additional marginalized identities, amplifying their vulnerability to discrimination and victimization.</w:t>
      </w:r>
      <w:r>
        <w:rPr>
          <w:spacing w:val="-13"/>
        </w:rPr>
        <w:t> </w:t>
      </w:r>
      <w:r>
        <w:rPr/>
        <w:t>This</w:t>
      </w:r>
      <w:r>
        <w:rPr>
          <w:spacing w:val="-12"/>
        </w:rPr>
        <w:t> </w:t>
      </w:r>
      <w:r>
        <w:rPr/>
        <w:t>intersectionality,</w:t>
      </w:r>
      <w:r>
        <w:rPr>
          <w:spacing w:val="-13"/>
        </w:rPr>
        <w:t> </w:t>
      </w:r>
      <w:r>
        <w:rPr/>
        <w:t>especially</w:t>
      </w:r>
      <w:r>
        <w:rPr>
          <w:spacing w:val="-12"/>
        </w:rPr>
        <w:t> </w:t>
      </w:r>
      <w:r>
        <w:rPr/>
        <w:t>for</w:t>
      </w:r>
      <w:r>
        <w:rPr>
          <w:spacing w:val="-13"/>
        </w:rPr>
        <w:t> </w:t>
      </w:r>
      <w:r>
        <w:rPr/>
        <w:t>QTBIPOC</w:t>
      </w:r>
      <w:r>
        <w:rPr>
          <w:spacing w:val="-12"/>
        </w:rPr>
        <w:t> </w:t>
      </w:r>
      <w:r>
        <w:rPr/>
        <w:t>(queer,</w:t>
      </w:r>
      <w:r>
        <w:rPr>
          <w:spacing w:val="-13"/>
        </w:rPr>
        <w:t> </w:t>
      </w:r>
      <w:r>
        <w:rPr/>
        <w:t>transgender,</w:t>
      </w:r>
      <w:r>
        <w:rPr>
          <w:spacing w:val="-12"/>
        </w:rPr>
        <w:t> </w:t>
      </w:r>
      <w:r>
        <w:rPr/>
        <w:t>Black,</w:t>
      </w:r>
      <w:r>
        <w:rPr>
          <w:spacing w:val="-12"/>
        </w:rPr>
        <w:t> </w:t>
      </w:r>
      <w:r>
        <w:rPr/>
        <w:t>Indigenous,</w:t>
      </w:r>
      <w:r>
        <w:rPr>
          <w:spacing w:val="-13"/>
        </w:rPr>
        <w:t> </w:t>
      </w:r>
      <w:r>
        <w:rPr/>
        <w:t>and people of color) individuals, exposes them to heightened risks of experiencing racism, transphobia, and homophobia simultaneously.</w:t>
      </w:r>
      <w:hyperlink w:history="true" w:anchor="_bookmark282">
        <w:r>
          <w:rPr>
            <w:vertAlign w:val="superscript"/>
          </w:rPr>
          <w:t>9</w:t>
        </w:r>
      </w:hyperlink>
      <w:r>
        <w:rPr>
          <w:spacing w:val="-3"/>
          <w:vertAlign w:val="baseline"/>
        </w:rPr>
        <w:t> </w:t>
      </w:r>
      <w:r>
        <w:rPr>
          <w:vertAlign w:val="baseline"/>
        </w:rPr>
        <w:t>The Commission is particularly alarmed by the obstacles faced by QTBIPOC youth when trying to access essential services and support for youth homelessness.</w:t>
      </w:r>
    </w:p>
    <w:p>
      <w:pPr>
        <w:spacing w:line="252" w:lineRule="auto" w:before="239"/>
        <w:ind w:left="1235" w:right="1176" w:firstLine="4"/>
        <w:jc w:val="center"/>
        <w:rPr>
          <w:rFonts w:ascii="Cambria" w:hAnsi="Cambria"/>
          <w:i/>
          <w:sz w:val="21"/>
        </w:rPr>
      </w:pPr>
      <w:r>
        <w:rPr>
          <w:rFonts w:ascii="Cambria" w:hAnsi="Cambria"/>
          <w:i/>
          <w:color w:val="4F81BC"/>
          <w:sz w:val="21"/>
        </w:rPr>
        <w:t>“When it comes to Black and brown people in my LGBTQ community, I just feel like</w:t>
      </w:r>
      <w:r>
        <w:rPr>
          <w:rFonts w:ascii="Cambria" w:hAnsi="Cambria"/>
          <w:i/>
          <w:color w:val="4F81BC"/>
          <w:sz w:val="21"/>
        </w:rPr>
        <w:t> there is a lack of urgency for my people. And when I say that, I mean for my transgender</w:t>
      </w:r>
      <w:r>
        <w:rPr>
          <w:rFonts w:ascii="Cambria" w:hAnsi="Cambria"/>
          <w:i/>
          <w:color w:val="4F81BC"/>
          <w:spacing w:val="-4"/>
          <w:sz w:val="21"/>
        </w:rPr>
        <w:t> </w:t>
      </w:r>
      <w:r>
        <w:rPr>
          <w:rFonts w:ascii="Cambria" w:hAnsi="Cambria"/>
          <w:i/>
          <w:color w:val="4F81BC"/>
          <w:sz w:val="21"/>
        </w:rPr>
        <w:t>siblings.”</w:t>
      </w:r>
      <w:r>
        <w:rPr>
          <w:rFonts w:ascii="Cambria" w:hAnsi="Cambria"/>
          <w:i/>
          <w:color w:val="4F81BC"/>
          <w:spacing w:val="-4"/>
          <w:sz w:val="21"/>
        </w:rPr>
        <w:t> </w:t>
      </w:r>
      <w:r>
        <w:rPr>
          <w:rFonts w:ascii="Cambria" w:hAnsi="Cambria"/>
          <w:i/>
          <w:color w:val="4F81BC"/>
          <w:sz w:val="21"/>
        </w:rPr>
        <w:t>–</w:t>
      </w:r>
      <w:r>
        <w:rPr>
          <w:rFonts w:ascii="Cambria" w:hAnsi="Cambria"/>
          <w:i/>
          <w:color w:val="4F81BC"/>
          <w:spacing w:val="-4"/>
          <w:sz w:val="21"/>
        </w:rPr>
        <w:t> </w:t>
      </w:r>
      <w:r>
        <w:rPr>
          <w:rFonts w:ascii="Cambria" w:hAnsi="Cambria"/>
          <w:i/>
          <w:color w:val="4F81BC"/>
          <w:sz w:val="21"/>
        </w:rPr>
        <w:t>E,</w:t>
      </w:r>
      <w:r>
        <w:rPr>
          <w:rFonts w:ascii="Cambria" w:hAnsi="Cambria"/>
          <w:i/>
          <w:color w:val="4F81BC"/>
          <w:spacing w:val="-4"/>
          <w:sz w:val="21"/>
        </w:rPr>
        <w:t> </w:t>
      </w:r>
      <w:r>
        <w:rPr>
          <w:rFonts w:ascii="Cambria" w:hAnsi="Cambria"/>
          <w:i/>
          <w:color w:val="4F81BC"/>
          <w:sz w:val="21"/>
        </w:rPr>
        <w:t>experienced</w:t>
      </w:r>
      <w:r>
        <w:rPr>
          <w:rFonts w:ascii="Cambria" w:hAnsi="Cambria"/>
          <w:i/>
          <w:color w:val="4F81BC"/>
          <w:spacing w:val="-4"/>
          <w:sz w:val="21"/>
        </w:rPr>
        <w:t> </w:t>
      </w:r>
      <w:r>
        <w:rPr>
          <w:rFonts w:ascii="Cambria" w:hAnsi="Cambria"/>
          <w:i/>
          <w:color w:val="4F81BC"/>
          <w:sz w:val="21"/>
        </w:rPr>
        <w:t>homelessness</w:t>
      </w:r>
      <w:r>
        <w:rPr>
          <w:rFonts w:ascii="Cambria" w:hAnsi="Cambria"/>
          <w:i/>
          <w:color w:val="4F81BC"/>
          <w:spacing w:val="-4"/>
          <w:sz w:val="21"/>
        </w:rPr>
        <w:t> </w:t>
      </w:r>
      <w:r>
        <w:rPr>
          <w:rFonts w:ascii="Cambria" w:hAnsi="Cambria"/>
          <w:i/>
          <w:color w:val="4F81BC"/>
          <w:sz w:val="21"/>
        </w:rPr>
        <w:t>as</w:t>
      </w:r>
      <w:r>
        <w:rPr>
          <w:rFonts w:ascii="Cambria" w:hAnsi="Cambria"/>
          <w:i/>
          <w:color w:val="4F81BC"/>
          <w:spacing w:val="-6"/>
          <w:sz w:val="21"/>
        </w:rPr>
        <w:t> </w:t>
      </w:r>
      <w:r>
        <w:rPr>
          <w:rFonts w:ascii="Cambria" w:hAnsi="Cambria"/>
          <w:i/>
          <w:color w:val="4F81BC"/>
          <w:sz w:val="21"/>
        </w:rPr>
        <w:t>a</w:t>
      </w:r>
      <w:r>
        <w:rPr>
          <w:rFonts w:ascii="Cambria" w:hAnsi="Cambria"/>
          <w:i/>
          <w:color w:val="4F81BC"/>
          <w:spacing w:val="-4"/>
          <w:sz w:val="21"/>
        </w:rPr>
        <w:t> </w:t>
      </w:r>
      <w:r>
        <w:rPr>
          <w:rFonts w:ascii="Cambria" w:hAnsi="Cambria"/>
          <w:i/>
          <w:color w:val="4F81BC"/>
          <w:sz w:val="21"/>
        </w:rPr>
        <w:t>trans</w:t>
      </w:r>
      <w:r>
        <w:rPr>
          <w:rFonts w:ascii="Cambria" w:hAnsi="Cambria"/>
          <w:i/>
          <w:color w:val="4F81BC"/>
          <w:spacing w:val="-4"/>
          <w:sz w:val="21"/>
        </w:rPr>
        <w:t> </w:t>
      </w:r>
      <w:r>
        <w:rPr>
          <w:rFonts w:ascii="Cambria" w:hAnsi="Cambria"/>
          <w:i/>
          <w:color w:val="4F81BC"/>
          <w:sz w:val="21"/>
        </w:rPr>
        <w:t>youth</w:t>
      </w:r>
      <w:r>
        <w:rPr>
          <w:rFonts w:ascii="Cambria" w:hAnsi="Cambria"/>
          <w:i/>
          <w:color w:val="4F81BC"/>
          <w:spacing w:val="-5"/>
          <w:sz w:val="21"/>
        </w:rPr>
        <w:t> </w:t>
      </w:r>
      <w:r>
        <w:rPr>
          <w:rFonts w:ascii="Cambria" w:hAnsi="Cambria"/>
          <w:i/>
          <w:color w:val="4F81BC"/>
          <w:sz w:val="21"/>
        </w:rPr>
        <w:t>in</w:t>
      </w:r>
      <w:r>
        <w:rPr>
          <w:rFonts w:ascii="Cambria" w:hAnsi="Cambria"/>
          <w:i/>
          <w:color w:val="4F81BC"/>
          <w:spacing w:val="-3"/>
          <w:sz w:val="21"/>
        </w:rPr>
        <w:t> </w:t>
      </w:r>
      <w:r>
        <w:rPr>
          <w:rFonts w:ascii="Cambria" w:hAnsi="Cambria"/>
          <w:i/>
          <w:color w:val="4F81BC"/>
          <w:sz w:val="21"/>
        </w:rPr>
        <w:t>Massachusetts</w:t>
      </w:r>
    </w:p>
    <w:p>
      <w:pPr>
        <w:pStyle w:val="BodyText"/>
        <w:spacing w:line="276" w:lineRule="auto" w:before="240"/>
        <w:ind w:left="463" w:right="401"/>
        <w:jc w:val="both"/>
      </w:pPr>
      <w:r>
        <w:rPr/>
        <w:t>The Commission urges the Commonwealth to keep young people, particularly Black, Two-Spirit, transgender, and immigrant youth, at the forefront of policymaking decisions and developing future programs and initiatives that combat youth homelessness.</w:t>
      </w:r>
    </w:p>
    <w:p>
      <w:pPr>
        <w:pStyle w:val="BodyText"/>
        <w:spacing w:before="42"/>
        <w:rPr>
          <w:sz w:val="20"/>
        </w:rPr>
      </w:pPr>
      <w:r>
        <w:rPr/>
        <w:drawing>
          <wp:anchor distT="0" distB="0" distL="0" distR="0" allowOverlap="1" layoutInCell="1" locked="0" behindDoc="1" simplePos="0" relativeHeight="487655936">
            <wp:simplePos x="0" y="0"/>
            <wp:positionH relativeFrom="page">
              <wp:posOffset>1069338</wp:posOffset>
            </wp:positionH>
            <wp:positionV relativeFrom="paragraph">
              <wp:posOffset>196963</wp:posOffset>
            </wp:positionV>
            <wp:extent cx="5826537" cy="1601819"/>
            <wp:effectExtent l="0" t="0" r="0" b="0"/>
            <wp:wrapTopAndBottom/>
            <wp:docPr id="365" name="Image 365" descr="A purple and black sign  Description automatically generated "/>
            <wp:cNvGraphicFramePr>
              <a:graphicFrameLocks/>
            </wp:cNvGraphicFramePr>
            <a:graphic>
              <a:graphicData uri="http://schemas.openxmlformats.org/drawingml/2006/picture">
                <pic:pic>
                  <pic:nvPicPr>
                    <pic:cNvPr id="365" name="Image 365" descr="A purple and black sign  Description automatically generated "/>
                    <pic:cNvPicPr/>
                  </pic:nvPicPr>
                  <pic:blipFill>
                    <a:blip r:embed="rId443" cstate="print"/>
                    <a:stretch>
                      <a:fillRect/>
                    </a:stretch>
                  </pic:blipFill>
                  <pic:spPr>
                    <a:xfrm>
                      <a:off x="0" y="0"/>
                      <a:ext cx="5826537" cy="1601819"/>
                    </a:xfrm>
                    <a:prstGeom prst="rect">
                      <a:avLst/>
                    </a:prstGeom>
                  </pic:spPr>
                </pic:pic>
              </a:graphicData>
            </a:graphic>
          </wp:anchor>
        </w:drawing>
      </w:r>
    </w:p>
    <w:p>
      <w:pPr>
        <w:pStyle w:val="BodyText"/>
        <w:spacing w:line="276" w:lineRule="auto" w:before="118"/>
        <w:ind w:left="463" w:right="400"/>
        <w:jc w:val="both"/>
      </w:pPr>
      <w:r>
        <w:rPr/>
        <w:t>Transgender youth report the highest prevalence of homelessness and the highest levels of discrimination within the shelter system compared to cisgender heterosexual and cisgender LGBTQ youth(Deal,</w:t>
      </w:r>
      <w:r>
        <w:rPr>
          <w:spacing w:val="-5"/>
        </w:rPr>
        <w:t> </w:t>
      </w:r>
      <w:r>
        <w:rPr/>
        <w:t>Doshi,</w:t>
      </w:r>
      <w:r>
        <w:rPr>
          <w:spacing w:val="-5"/>
        </w:rPr>
        <w:t> </w:t>
      </w:r>
      <w:r>
        <w:rPr/>
        <w:t>and</w:t>
      </w:r>
      <w:r>
        <w:rPr>
          <w:spacing w:val="-4"/>
        </w:rPr>
        <w:t> </w:t>
      </w:r>
      <w:r>
        <w:rPr/>
        <w:t>Gonzales</w:t>
      </w:r>
      <w:r>
        <w:rPr>
          <w:spacing w:val="-5"/>
        </w:rPr>
        <w:t> </w:t>
      </w:r>
      <w:r>
        <w:rPr/>
        <w:t>2023).</w:t>
      </w:r>
      <w:r>
        <w:rPr>
          <w:spacing w:val="-4"/>
        </w:rPr>
        <w:t> </w:t>
      </w:r>
      <w:r>
        <w:rPr/>
        <w:t>With</w:t>
      </w:r>
      <w:r>
        <w:rPr>
          <w:spacing w:val="-4"/>
        </w:rPr>
        <w:t> </w:t>
      </w:r>
      <w:r>
        <w:rPr/>
        <w:t>anti-transgender</w:t>
      </w:r>
      <w:r>
        <w:rPr>
          <w:spacing w:val="-4"/>
        </w:rPr>
        <w:t> </w:t>
      </w:r>
      <w:r>
        <w:rPr/>
        <w:t>legislation</w:t>
      </w:r>
      <w:r>
        <w:rPr>
          <w:spacing w:val="-5"/>
        </w:rPr>
        <w:t> </w:t>
      </w:r>
      <w:r>
        <w:rPr/>
        <w:t>continuing</w:t>
      </w:r>
      <w:r>
        <w:rPr>
          <w:spacing w:val="-4"/>
        </w:rPr>
        <w:t> </w:t>
      </w:r>
      <w:r>
        <w:rPr/>
        <w:t>to</w:t>
      </w:r>
      <w:r>
        <w:rPr>
          <w:spacing w:val="-3"/>
        </w:rPr>
        <w:t> </w:t>
      </w:r>
      <w:r>
        <w:rPr/>
        <w:t>be</w:t>
      </w:r>
      <w:r>
        <w:rPr>
          <w:spacing w:val="-4"/>
        </w:rPr>
        <w:t> </w:t>
      </w:r>
      <w:r>
        <w:rPr/>
        <w:t>a</w:t>
      </w:r>
      <w:r>
        <w:rPr>
          <w:spacing w:val="-4"/>
        </w:rPr>
        <w:t> </w:t>
      </w:r>
      <w:r>
        <w:rPr/>
        <w:t>pervasive issue across the country, it is critical that the Commonwealth prioritizes safely housing transgender</w:t>
      </w:r>
    </w:p>
    <w:p>
      <w:pPr>
        <w:spacing w:after="0" w:line="276" w:lineRule="auto"/>
        <w:jc w:val="both"/>
        <w:sectPr>
          <w:pgSz w:w="12240" w:h="15840"/>
          <w:pgMar w:header="765" w:footer="1127" w:top="1280" w:bottom="1320" w:left="1120" w:right="1180"/>
        </w:sectPr>
      </w:pPr>
    </w:p>
    <w:p>
      <w:pPr>
        <w:pStyle w:val="BodyText"/>
        <w:spacing w:line="276" w:lineRule="auto" w:before="91"/>
        <w:ind w:left="463" w:right="402"/>
        <w:jc w:val="both"/>
      </w:pPr>
      <w:r>
        <w:rPr/>
        <w:t>youth residents. Similar to transgender youth, nonbinary youth face unique challenges when faced with homelessness due to the binary male and female procedures utilized in homeless shelters, ultimately putting nonbinary youth at an increased risk for discrimination and victimization. </w:t>
      </w:r>
      <w:hyperlink w:history="true" w:anchor="_bookmark283">
        <w:r>
          <w:rPr>
            <w:vertAlign w:val="superscript"/>
          </w:rPr>
          <w:t>10</w:t>
        </w:r>
      </w:hyperlink>
      <w:r>
        <w:rPr>
          <w:vertAlign w:val="baseline"/>
        </w:rPr>
        <w:t> Furthermore, structural racism continues to contribute to high rates of homelessness for Black, Indigenous, people of color (BIPOC) individuals across the United States. </w:t>
      </w:r>
      <w:hyperlink w:history="true" w:anchor="_bookmark284">
        <w:r>
          <w:rPr>
            <w:vertAlign w:val="superscript"/>
          </w:rPr>
          <w:t>11</w:t>
        </w:r>
      </w:hyperlink>
      <w:r>
        <w:rPr>
          <w:vertAlign w:val="baseline"/>
        </w:rPr>
        <w:t> For example, the Massachusetts</w:t>
      </w:r>
      <w:r>
        <w:rPr>
          <w:spacing w:val="-4"/>
          <w:vertAlign w:val="baseline"/>
        </w:rPr>
        <w:t> </w:t>
      </w:r>
      <w:r>
        <w:rPr>
          <w:vertAlign w:val="baseline"/>
        </w:rPr>
        <w:t>Youth</w:t>
      </w:r>
      <w:r>
        <w:rPr>
          <w:spacing w:val="-3"/>
          <w:vertAlign w:val="baseline"/>
        </w:rPr>
        <w:t> </w:t>
      </w:r>
      <w:r>
        <w:rPr>
          <w:vertAlign w:val="baseline"/>
        </w:rPr>
        <w:t>Count</w:t>
      </w:r>
      <w:r>
        <w:rPr>
          <w:spacing w:val="-4"/>
          <w:vertAlign w:val="baseline"/>
        </w:rPr>
        <w:t> </w:t>
      </w:r>
      <w:r>
        <w:rPr>
          <w:vertAlign w:val="baseline"/>
        </w:rPr>
        <w:t>conducted</w:t>
      </w:r>
      <w:r>
        <w:rPr>
          <w:spacing w:val="-3"/>
          <w:vertAlign w:val="baseline"/>
        </w:rPr>
        <w:t> </w:t>
      </w:r>
      <w:r>
        <w:rPr>
          <w:vertAlign w:val="baseline"/>
        </w:rPr>
        <w:t>in</w:t>
      </w:r>
      <w:r>
        <w:rPr>
          <w:spacing w:val="-4"/>
          <w:vertAlign w:val="baseline"/>
        </w:rPr>
        <w:t> </w:t>
      </w:r>
      <w:r>
        <w:rPr>
          <w:vertAlign w:val="baseline"/>
        </w:rPr>
        <w:t>2022</w:t>
      </w:r>
      <w:r>
        <w:rPr>
          <w:spacing w:val="-4"/>
          <w:vertAlign w:val="baseline"/>
        </w:rPr>
        <w:t> </w:t>
      </w:r>
      <w:r>
        <w:rPr>
          <w:vertAlign w:val="baseline"/>
        </w:rPr>
        <w:t>noted</w:t>
      </w:r>
      <w:r>
        <w:rPr>
          <w:spacing w:val="-4"/>
          <w:vertAlign w:val="baseline"/>
        </w:rPr>
        <w:t> </w:t>
      </w:r>
      <w:r>
        <w:rPr>
          <w:vertAlign w:val="baseline"/>
        </w:rPr>
        <w:t>that</w:t>
      </w:r>
      <w:r>
        <w:rPr>
          <w:spacing w:val="-3"/>
          <w:vertAlign w:val="baseline"/>
        </w:rPr>
        <w:t> </w:t>
      </w:r>
      <w:r>
        <w:rPr>
          <w:vertAlign w:val="baseline"/>
        </w:rPr>
        <w:t>60%</w:t>
      </w:r>
      <w:r>
        <w:rPr>
          <w:spacing w:val="-4"/>
          <w:vertAlign w:val="baseline"/>
        </w:rPr>
        <w:t> </w:t>
      </w:r>
      <w:r>
        <w:rPr>
          <w:vertAlign w:val="baseline"/>
        </w:rPr>
        <w:t>of</w:t>
      </w:r>
      <w:r>
        <w:rPr>
          <w:spacing w:val="-4"/>
          <w:vertAlign w:val="baseline"/>
        </w:rPr>
        <w:t> </w:t>
      </w:r>
      <w:r>
        <w:rPr>
          <w:vertAlign w:val="baseline"/>
        </w:rPr>
        <w:t>unaccompanied</w:t>
      </w:r>
      <w:r>
        <w:rPr>
          <w:spacing w:val="-4"/>
          <w:vertAlign w:val="baseline"/>
        </w:rPr>
        <w:t> </w:t>
      </w:r>
      <w:r>
        <w:rPr>
          <w:vertAlign w:val="baseline"/>
        </w:rPr>
        <w:t>youth</w:t>
      </w:r>
      <w:r>
        <w:rPr>
          <w:spacing w:val="-3"/>
          <w:vertAlign w:val="baseline"/>
        </w:rPr>
        <w:t> </w:t>
      </w:r>
      <w:r>
        <w:rPr>
          <w:vertAlign w:val="baseline"/>
        </w:rPr>
        <w:t>respondents identified</w:t>
      </w:r>
      <w:r>
        <w:rPr>
          <w:spacing w:val="-2"/>
          <w:vertAlign w:val="baseline"/>
        </w:rPr>
        <w:t> </w:t>
      </w:r>
      <w:r>
        <w:rPr>
          <w:vertAlign w:val="baseline"/>
        </w:rPr>
        <w:t>as</w:t>
      </w:r>
      <w:r>
        <w:rPr>
          <w:spacing w:val="-1"/>
          <w:vertAlign w:val="baseline"/>
        </w:rPr>
        <w:t> </w:t>
      </w:r>
      <w:r>
        <w:rPr>
          <w:vertAlign w:val="baseline"/>
        </w:rPr>
        <w:t>BIPOC</w:t>
      </w:r>
      <w:r>
        <w:rPr>
          <w:spacing w:val="-1"/>
          <w:vertAlign w:val="baseline"/>
        </w:rPr>
        <w:t> </w:t>
      </w:r>
      <w:r>
        <w:rPr>
          <w:vertAlign w:val="baseline"/>
        </w:rPr>
        <w:t>in</w:t>
      </w:r>
      <w:r>
        <w:rPr>
          <w:spacing w:val="-2"/>
          <w:vertAlign w:val="baseline"/>
        </w:rPr>
        <w:t> </w:t>
      </w:r>
      <w:r>
        <w:rPr>
          <w:vertAlign w:val="baseline"/>
        </w:rPr>
        <w:t>the</w:t>
      </w:r>
      <w:r>
        <w:rPr>
          <w:spacing w:val="-1"/>
          <w:vertAlign w:val="baseline"/>
        </w:rPr>
        <w:t> </w:t>
      </w:r>
      <w:r>
        <w:rPr>
          <w:vertAlign w:val="baseline"/>
        </w:rPr>
        <w:t>Commonwealth;</w:t>
      </w:r>
      <w:r>
        <w:rPr>
          <w:spacing w:val="-2"/>
          <w:vertAlign w:val="baseline"/>
        </w:rPr>
        <w:t> </w:t>
      </w:r>
      <w:r>
        <w:rPr>
          <w:vertAlign w:val="baseline"/>
        </w:rPr>
        <w:t>making</w:t>
      </w:r>
      <w:r>
        <w:rPr>
          <w:spacing w:val="-2"/>
          <w:vertAlign w:val="baseline"/>
        </w:rPr>
        <w:t> </w:t>
      </w:r>
      <w:r>
        <w:rPr>
          <w:vertAlign w:val="baseline"/>
        </w:rPr>
        <w:t>it</w:t>
      </w:r>
      <w:r>
        <w:rPr>
          <w:spacing w:val="-1"/>
          <w:vertAlign w:val="baseline"/>
        </w:rPr>
        <w:t> </w:t>
      </w:r>
      <w:r>
        <w:rPr>
          <w:vertAlign w:val="baseline"/>
        </w:rPr>
        <w:t>vital</w:t>
      </w:r>
      <w:r>
        <w:rPr>
          <w:spacing w:val="-2"/>
          <w:vertAlign w:val="baseline"/>
        </w:rPr>
        <w:t> </w:t>
      </w:r>
      <w:r>
        <w:rPr>
          <w:vertAlign w:val="baseline"/>
        </w:rPr>
        <w:t>for</w:t>
      </w:r>
      <w:r>
        <w:rPr>
          <w:spacing w:val="-1"/>
          <w:vertAlign w:val="baseline"/>
        </w:rPr>
        <w:t> </w:t>
      </w:r>
      <w:r>
        <w:rPr>
          <w:vertAlign w:val="baseline"/>
        </w:rPr>
        <w:t>the</w:t>
      </w:r>
      <w:r>
        <w:rPr>
          <w:spacing w:val="-1"/>
          <w:vertAlign w:val="baseline"/>
        </w:rPr>
        <w:t> </w:t>
      </w:r>
      <w:r>
        <w:rPr>
          <w:vertAlign w:val="baseline"/>
        </w:rPr>
        <w:t>Commonwealth</w:t>
      </w:r>
      <w:r>
        <w:rPr>
          <w:spacing w:val="-2"/>
          <w:vertAlign w:val="baseline"/>
        </w:rPr>
        <w:t> </w:t>
      </w:r>
      <w:r>
        <w:rPr>
          <w:vertAlign w:val="baseline"/>
        </w:rPr>
        <w:t>to</w:t>
      </w:r>
      <w:r>
        <w:rPr>
          <w:spacing w:val="-1"/>
          <w:vertAlign w:val="baseline"/>
        </w:rPr>
        <w:t> </w:t>
      </w:r>
      <w:r>
        <w:rPr>
          <w:vertAlign w:val="baseline"/>
        </w:rPr>
        <w:t>consider</w:t>
      </w:r>
      <w:r>
        <w:rPr>
          <w:spacing w:val="-1"/>
          <w:vertAlign w:val="baseline"/>
        </w:rPr>
        <w:t> </w:t>
      </w:r>
      <w:r>
        <w:rPr>
          <w:vertAlign w:val="baseline"/>
        </w:rPr>
        <w:t>the</w:t>
      </w:r>
      <w:r>
        <w:rPr>
          <w:spacing w:val="-2"/>
          <w:vertAlign w:val="baseline"/>
        </w:rPr>
        <w:t> </w:t>
      </w:r>
      <w:r>
        <w:rPr>
          <w:vertAlign w:val="baseline"/>
        </w:rPr>
        <w:t>role that racism plays in driving BIPOC youth homelessness.</w:t>
      </w:r>
      <w:hyperlink w:history="true" w:anchor="_bookmark285">
        <w:r>
          <w:rPr>
            <w:vertAlign w:val="superscript"/>
          </w:rPr>
          <w:t>12</w:t>
        </w:r>
      </w:hyperlink>
      <w:r>
        <w:rPr>
          <w:spacing w:val="-3"/>
          <w:vertAlign w:val="baseline"/>
        </w:rPr>
        <w:t> </w:t>
      </w:r>
      <w:r>
        <w:rPr>
          <w:vertAlign w:val="baseline"/>
        </w:rPr>
        <w:t>Keeping attentive to the intersecting needs of QTBIPOC young people is essential to address some of the most startling disparities faced by Massachusetts young people.</w:t>
      </w:r>
    </w:p>
    <w:p>
      <w:pPr>
        <w:pStyle w:val="BodyText"/>
        <w:spacing w:line="276" w:lineRule="auto" w:before="240"/>
        <w:ind w:left="463" w:right="403"/>
        <w:jc w:val="both"/>
      </w:pPr>
      <w:r>
        <w:rPr/>
        <w:t>Additionally,</w:t>
      </w:r>
      <w:r>
        <w:rPr>
          <w:spacing w:val="-11"/>
        </w:rPr>
        <w:t> </w:t>
      </w:r>
      <w:r>
        <w:rPr/>
        <w:t>given</w:t>
      </w:r>
      <w:r>
        <w:rPr>
          <w:spacing w:val="-12"/>
        </w:rPr>
        <w:t> </w:t>
      </w:r>
      <w:r>
        <w:rPr/>
        <w:t>the</w:t>
      </w:r>
      <w:r>
        <w:rPr>
          <w:spacing w:val="-12"/>
        </w:rPr>
        <w:t> </w:t>
      </w:r>
      <w:r>
        <w:rPr/>
        <w:t>ongoing</w:t>
      </w:r>
      <w:r>
        <w:rPr>
          <w:spacing w:val="-12"/>
        </w:rPr>
        <w:t> </w:t>
      </w:r>
      <w:r>
        <w:rPr/>
        <w:t>migrant</w:t>
      </w:r>
      <w:r>
        <w:rPr>
          <w:spacing w:val="-11"/>
        </w:rPr>
        <w:t> </w:t>
      </w:r>
      <w:r>
        <w:rPr/>
        <w:t>crisis</w:t>
      </w:r>
      <w:r>
        <w:rPr>
          <w:spacing w:val="-12"/>
        </w:rPr>
        <w:t> </w:t>
      </w:r>
      <w:r>
        <w:rPr/>
        <w:t>Massachusetts</w:t>
      </w:r>
      <w:r>
        <w:rPr>
          <w:spacing w:val="-12"/>
        </w:rPr>
        <w:t> </w:t>
      </w:r>
      <w:r>
        <w:rPr/>
        <w:t>has</w:t>
      </w:r>
      <w:r>
        <w:rPr>
          <w:spacing w:val="-12"/>
        </w:rPr>
        <w:t> </w:t>
      </w:r>
      <w:r>
        <w:rPr/>
        <w:t>been</w:t>
      </w:r>
      <w:r>
        <w:rPr>
          <w:spacing w:val="-12"/>
        </w:rPr>
        <w:t> </w:t>
      </w:r>
      <w:r>
        <w:rPr/>
        <w:t>supporting,</w:t>
      </w:r>
      <w:r>
        <w:rPr>
          <w:spacing w:val="-12"/>
        </w:rPr>
        <w:t> </w:t>
      </w:r>
      <w:r>
        <w:rPr/>
        <w:t>the</w:t>
      </w:r>
      <w:r>
        <w:rPr>
          <w:spacing w:val="-12"/>
        </w:rPr>
        <w:t> </w:t>
      </w:r>
      <w:r>
        <w:rPr/>
        <w:t>Commission</w:t>
      </w:r>
      <w:r>
        <w:rPr>
          <w:spacing w:val="-12"/>
        </w:rPr>
        <w:t> </w:t>
      </w:r>
      <w:r>
        <w:rPr/>
        <w:t>has developed</w:t>
      </w:r>
      <w:r>
        <w:rPr>
          <w:spacing w:val="-13"/>
        </w:rPr>
        <w:t> </w:t>
      </w:r>
      <w:r>
        <w:rPr/>
        <w:t>a</w:t>
      </w:r>
      <w:r>
        <w:rPr>
          <w:spacing w:val="-12"/>
        </w:rPr>
        <w:t> </w:t>
      </w:r>
      <w:r>
        <w:rPr/>
        <w:t>number</w:t>
      </w:r>
      <w:r>
        <w:rPr>
          <w:spacing w:val="-13"/>
        </w:rPr>
        <w:t> </w:t>
      </w:r>
      <w:r>
        <w:rPr/>
        <w:t>of</w:t>
      </w:r>
      <w:r>
        <w:rPr>
          <w:spacing w:val="-12"/>
        </w:rPr>
        <w:t> </w:t>
      </w:r>
      <w:r>
        <w:rPr/>
        <w:t>recommendations</w:t>
      </w:r>
      <w:r>
        <w:rPr>
          <w:spacing w:val="-13"/>
        </w:rPr>
        <w:t> </w:t>
      </w:r>
      <w:r>
        <w:rPr/>
        <w:t>for</w:t>
      </w:r>
      <w:r>
        <w:rPr>
          <w:spacing w:val="-12"/>
        </w:rPr>
        <w:t> </w:t>
      </w:r>
      <w:r>
        <w:rPr/>
        <w:t>addressing</w:t>
      </w:r>
      <w:r>
        <w:rPr>
          <w:spacing w:val="-13"/>
        </w:rPr>
        <w:t> </w:t>
      </w:r>
      <w:r>
        <w:rPr/>
        <w:t>the</w:t>
      </w:r>
      <w:r>
        <w:rPr>
          <w:spacing w:val="-12"/>
        </w:rPr>
        <w:t> </w:t>
      </w:r>
      <w:r>
        <w:rPr/>
        <w:t>challenges</w:t>
      </w:r>
      <w:r>
        <w:rPr>
          <w:spacing w:val="-12"/>
        </w:rPr>
        <w:t> </w:t>
      </w:r>
      <w:r>
        <w:rPr/>
        <w:t>of</w:t>
      </w:r>
      <w:r>
        <w:rPr>
          <w:spacing w:val="-13"/>
        </w:rPr>
        <w:t> </w:t>
      </w:r>
      <w:r>
        <w:rPr/>
        <w:t>LGBTQ</w:t>
      </w:r>
      <w:r>
        <w:rPr>
          <w:spacing w:val="-12"/>
        </w:rPr>
        <w:t> </w:t>
      </w:r>
      <w:r>
        <w:rPr/>
        <w:t>youth</w:t>
      </w:r>
      <w:r>
        <w:rPr>
          <w:spacing w:val="-13"/>
        </w:rPr>
        <w:t> </w:t>
      </w:r>
      <w:r>
        <w:rPr/>
        <w:t>homelessness that intersect with the disparate needs of arriving youth. Governor Healey announced a state of emergency in August 2023 with exhausted emergency assistance efforts as a result of barriers to affordable housing and work authorization. Shelter programs in the Commonwealth have reported that migrant families arriving in Massachusetts continue to have no place to go, ultimately overwhelming emergency shelters that have reached capacity.</w:t>
      </w:r>
      <w:hyperlink w:history="true" w:anchor="_bookmark286">
        <w:r>
          <w:rPr>
            <w:vertAlign w:val="superscript"/>
          </w:rPr>
          <w:t>13</w:t>
        </w:r>
      </w:hyperlink>
    </w:p>
    <w:p>
      <w:pPr>
        <w:pStyle w:val="BodyText"/>
        <w:spacing w:line="276" w:lineRule="auto" w:before="241"/>
        <w:ind w:left="464" w:right="401"/>
        <w:jc w:val="both"/>
      </w:pPr>
      <w:r>
        <w:rPr/>
        <w:t>The</w:t>
      </w:r>
      <w:r>
        <w:rPr>
          <w:spacing w:val="-5"/>
        </w:rPr>
        <w:t> </w:t>
      </w:r>
      <w:r>
        <w:rPr/>
        <w:t>Commission</w:t>
      </w:r>
      <w:r>
        <w:rPr>
          <w:spacing w:val="-5"/>
        </w:rPr>
        <w:t> </w:t>
      </w:r>
      <w:r>
        <w:rPr/>
        <w:t>commends</w:t>
      </w:r>
      <w:r>
        <w:rPr>
          <w:spacing w:val="-5"/>
        </w:rPr>
        <w:t> </w:t>
      </w:r>
      <w:r>
        <w:rPr/>
        <w:t>the</w:t>
      </w:r>
      <w:r>
        <w:rPr>
          <w:spacing w:val="-5"/>
        </w:rPr>
        <w:t> </w:t>
      </w:r>
      <w:r>
        <w:rPr/>
        <w:t>Massachusetts</w:t>
      </w:r>
      <w:r>
        <w:rPr>
          <w:spacing w:val="-5"/>
        </w:rPr>
        <w:t> </w:t>
      </w:r>
      <w:r>
        <w:rPr/>
        <w:t>Senate's</w:t>
      </w:r>
      <w:r>
        <w:rPr>
          <w:spacing w:val="-5"/>
        </w:rPr>
        <w:t> </w:t>
      </w:r>
      <w:r>
        <w:rPr/>
        <w:t>recent</w:t>
      </w:r>
      <w:r>
        <w:rPr>
          <w:spacing w:val="-4"/>
        </w:rPr>
        <w:t> </w:t>
      </w:r>
      <w:r>
        <w:rPr/>
        <w:t>passage</w:t>
      </w:r>
      <w:r>
        <w:rPr>
          <w:spacing w:val="-5"/>
        </w:rPr>
        <w:t> </w:t>
      </w:r>
      <w:r>
        <w:rPr/>
        <w:t>of</w:t>
      </w:r>
      <w:r>
        <w:rPr>
          <w:spacing w:val="-5"/>
        </w:rPr>
        <w:t> </w:t>
      </w:r>
      <w:r>
        <w:rPr/>
        <w:t>S.2708</w:t>
      </w:r>
      <w:r>
        <w:rPr>
          <w:spacing w:val="-5"/>
        </w:rPr>
        <w:t> </w:t>
      </w:r>
      <w:r>
        <w:rPr/>
        <w:t>on</w:t>
      </w:r>
      <w:r>
        <w:rPr>
          <w:spacing w:val="-5"/>
        </w:rPr>
        <w:t> </w:t>
      </w:r>
      <w:r>
        <w:rPr/>
        <w:t>March</w:t>
      </w:r>
      <w:r>
        <w:rPr>
          <w:spacing w:val="-5"/>
        </w:rPr>
        <w:t> </w:t>
      </w:r>
      <w:r>
        <w:rPr/>
        <w:t>22,</w:t>
      </w:r>
      <w:r>
        <w:rPr>
          <w:spacing w:val="-5"/>
        </w:rPr>
        <w:t> </w:t>
      </w:r>
      <w:r>
        <w:rPr/>
        <w:t>2024. This</w:t>
      </w:r>
      <w:r>
        <w:rPr>
          <w:spacing w:val="-9"/>
        </w:rPr>
        <w:t> </w:t>
      </w:r>
      <w:r>
        <w:rPr/>
        <w:t>bill</w:t>
      </w:r>
      <w:r>
        <w:rPr>
          <w:spacing w:val="-9"/>
        </w:rPr>
        <w:t> </w:t>
      </w:r>
      <w:r>
        <w:rPr/>
        <w:t>is</w:t>
      </w:r>
      <w:r>
        <w:rPr>
          <w:spacing w:val="-9"/>
        </w:rPr>
        <w:t> </w:t>
      </w:r>
      <w:r>
        <w:rPr/>
        <w:t>a</w:t>
      </w:r>
      <w:r>
        <w:rPr>
          <w:spacing w:val="-10"/>
        </w:rPr>
        <w:t> </w:t>
      </w:r>
      <w:r>
        <w:rPr/>
        <w:t>supplemental</w:t>
      </w:r>
      <w:r>
        <w:rPr>
          <w:spacing w:val="-9"/>
        </w:rPr>
        <w:t> </w:t>
      </w:r>
      <w:r>
        <w:rPr/>
        <w:t>budget</w:t>
      </w:r>
      <w:r>
        <w:rPr>
          <w:spacing w:val="-9"/>
        </w:rPr>
        <w:t> </w:t>
      </w:r>
      <w:r>
        <w:rPr/>
        <w:t>that</w:t>
      </w:r>
      <w:r>
        <w:rPr>
          <w:spacing w:val="-8"/>
        </w:rPr>
        <w:t> </w:t>
      </w:r>
      <w:r>
        <w:rPr/>
        <w:t>would</w:t>
      </w:r>
      <w:r>
        <w:rPr>
          <w:spacing w:val="-10"/>
        </w:rPr>
        <w:t> </w:t>
      </w:r>
      <w:r>
        <w:rPr/>
        <w:t>make</w:t>
      </w:r>
      <w:r>
        <w:rPr>
          <w:spacing w:val="-9"/>
        </w:rPr>
        <w:t> </w:t>
      </w:r>
      <w:r>
        <w:rPr/>
        <w:t>additional</w:t>
      </w:r>
      <w:r>
        <w:rPr>
          <w:spacing w:val="-10"/>
        </w:rPr>
        <w:t> </w:t>
      </w:r>
      <w:r>
        <w:rPr/>
        <w:t>appropriations</w:t>
      </w:r>
      <w:r>
        <w:rPr>
          <w:spacing w:val="-9"/>
        </w:rPr>
        <w:t> </w:t>
      </w:r>
      <w:r>
        <w:rPr/>
        <w:t>to</w:t>
      </w:r>
      <w:r>
        <w:rPr>
          <w:spacing w:val="-9"/>
        </w:rPr>
        <w:t> </w:t>
      </w:r>
      <w:r>
        <w:rPr/>
        <w:t>the</w:t>
      </w:r>
      <w:r>
        <w:rPr>
          <w:spacing w:val="-9"/>
        </w:rPr>
        <w:t> </w:t>
      </w:r>
      <w:r>
        <w:rPr/>
        <w:t>emergency</w:t>
      </w:r>
      <w:r>
        <w:rPr>
          <w:spacing w:val="-10"/>
        </w:rPr>
        <w:t> </w:t>
      </w:r>
      <w:r>
        <w:rPr/>
        <w:t>shelter system while taking steps to ensure its long-term effectiveness. The bill also supports workforce training programs for families who have recently migrated to Massachusetts and creates a special commission to make recommendations on the effectiveness of the emergency housing assistance </w:t>
      </w:r>
      <w:r>
        <w:rPr>
          <w:spacing w:val="-2"/>
        </w:rPr>
        <w:t>program.</w:t>
      </w:r>
      <w:hyperlink w:history="true" w:anchor="_bookmark287">
        <w:r>
          <w:rPr>
            <w:spacing w:val="-2"/>
            <w:vertAlign w:val="superscript"/>
          </w:rPr>
          <w:t>14</w:t>
        </w:r>
      </w:hyperlink>
    </w:p>
    <w:p>
      <w:pPr>
        <w:spacing w:before="238"/>
        <w:ind w:left="464" w:right="0" w:firstLine="0"/>
        <w:jc w:val="both"/>
        <w:rPr>
          <w:sz w:val="24"/>
        </w:rPr>
      </w:pPr>
      <w:bookmarkStart w:name="Individual Risk Factors for LGBTQ Youth " w:id="486"/>
      <w:bookmarkEnd w:id="486"/>
      <w:r>
        <w:rPr/>
      </w:r>
      <w:r>
        <w:rPr>
          <w:color w:val="365F91"/>
          <w:sz w:val="24"/>
        </w:rPr>
        <w:t>Individual</w:t>
      </w:r>
      <w:r>
        <w:rPr>
          <w:color w:val="365F91"/>
          <w:spacing w:val="-6"/>
          <w:sz w:val="24"/>
        </w:rPr>
        <w:t> </w:t>
      </w:r>
      <w:r>
        <w:rPr>
          <w:color w:val="365F91"/>
          <w:sz w:val="24"/>
        </w:rPr>
        <w:t>Risk</w:t>
      </w:r>
      <w:r>
        <w:rPr>
          <w:color w:val="365F91"/>
          <w:spacing w:val="-4"/>
          <w:sz w:val="24"/>
        </w:rPr>
        <w:t> </w:t>
      </w:r>
      <w:r>
        <w:rPr>
          <w:color w:val="365F91"/>
          <w:sz w:val="24"/>
        </w:rPr>
        <w:t>Factors</w:t>
      </w:r>
      <w:r>
        <w:rPr>
          <w:color w:val="365F91"/>
          <w:spacing w:val="-3"/>
          <w:sz w:val="24"/>
        </w:rPr>
        <w:t> </w:t>
      </w:r>
      <w:r>
        <w:rPr>
          <w:color w:val="365F91"/>
          <w:sz w:val="24"/>
        </w:rPr>
        <w:t>for</w:t>
      </w:r>
      <w:r>
        <w:rPr>
          <w:color w:val="365F91"/>
          <w:spacing w:val="-3"/>
          <w:sz w:val="24"/>
        </w:rPr>
        <w:t> </w:t>
      </w:r>
      <w:r>
        <w:rPr>
          <w:color w:val="365F91"/>
          <w:sz w:val="24"/>
        </w:rPr>
        <w:t>LGBTQ</w:t>
      </w:r>
      <w:r>
        <w:rPr>
          <w:color w:val="365F91"/>
          <w:spacing w:val="-2"/>
          <w:sz w:val="24"/>
        </w:rPr>
        <w:t> </w:t>
      </w:r>
      <w:r>
        <w:rPr>
          <w:color w:val="365F91"/>
          <w:sz w:val="24"/>
        </w:rPr>
        <w:t>Youth</w:t>
      </w:r>
      <w:r>
        <w:rPr>
          <w:color w:val="365F91"/>
          <w:spacing w:val="-4"/>
          <w:sz w:val="24"/>
        </w:rPr>
        <w:t> </w:t>
      </w:r>
      <w:r>
        <w:rPr>
          <w:color w:val="365F91"/>
          <w:sz w:val="24"/>
        </w:rPr>
        <w:t>Homelessness</w:t>
      </w:r>
      <w:r>
        <w:rPr>
          <w:color w:val="365F91"/>
          <w:spacing w:val="-3"/>
          <w:sz w:val="24"/>
        </w:rPr>
        <w:t> </w:t>
      </w:r>
      <w:r>
        <w:rPr>
          <w:color w:val="365F91"/>
          <w:sz w:val="24"/>
        </w:rPr>
        <w:t>and</w:t>
      </w:r>
      <w:r>
        <w:rPr>
          <w:color w:val="365F91"/>
          <w:spacing w:val="-4"/>
          <w:sz w:val="24"/>
        </w:rPr>
        <w:t> </w:t>
      </w:r>
      <w:r>
        <w:rPr>
          <w:color w:val="365F91"/>
          <w:sz w:val="24"/>
        </w:rPr>
        <w:t>Housing</w:t>
      </w:r>
      <w:r>
        <w:rPr>
          <w:color w:val="365F91"/>
          <w:spacing w:val="-3"/>
          <w:sz w:val="24"/>
        </w:rPr>
        <w:t> </w:t>
      </w:r>
      <w:r>
        <w:rPr>
          <w:color w:val="365F91"/>
          <w:spacing w:val="-2"/>
          <w:sz w:val="24"/>
        </w:rPr>
        <w:t>Insecurity</w:t>
      </w:r>
    </w:p>
    <w:p>
      <w:pPr>
        <w:pStyle w:val="BodyText"/>
        <w:spacing w:line="276" w:lineRule="auto" w:before="286"/>
        <w:ind w:left="463" w:right="398"/>
        <w:jc w:val="both"/>
      </w:pPr>
      <w:r>
        <w:rPr/>
        <w:t>The</w:t>
      </w:r>
      <w:r>
        <w:rPr>
          <w:spacing w:val="-5"/>
        </w:rPr>
        <w:t> </w:t>
      </w:r>
      <w:r>
        <w:rPr/>
        <w:t>lived</w:t>
      </w:r>
      <w:r>
        <w:rPr>
          <w:spacing w:val="-6"/>
        </w:rPr>
        <w:t> </w:t>
      </w:r>
      <w:r>
        <w:rPr/>
        <w:t>experiences</w:t>
      </w:r>
      <w:r>
        <w:rPr>
          <w:spacing w:val="-5"/>
        </w:rPr>
        <w:t> </w:t>
      </w:r>
      <w:r>
        <w:rPr/>
        <w:t>that</w:t>
      </w:r>
      <w:r>
        <w:rPr>
          <w:spacing w:val="-5"/>
        </w:rPr>
        <w:t> </w:t>
      </w:r>
      <w:r>
        <w:rPr/>
        <w:t>LGBTQ</w:t>
      </w:r>
      <w:r>
        <w:rPr>
          <w:spacing w:val="-6"/>
        </w:rPr>
        <w:t> </w:t>
      </w:r>
      <w:r>
        <w:rPr/>
        <w:t>youth</w:t>
      </w:r>
      <w:r>
        <w:rPr>
          <w:spacing w:val="-4"/>
        </w:rPr>
        <w:t> </w:t>
      </w:r>
      <w:r>
        <w:rPr/>
        <w:t>face</w:t>
      </w:r>
      <w:r>
        <w:rPr>
          <w:spacing w:val="-6"/>
        </w:rPr>
        <w:t> </w:t>
      </w:r>
      <w:r>
        <w:rPr/>
        <w:t>have</w:t>
      </w:r>
      <w:r>
        <w:rPr>
          <w:spacing w:val="-7"/>
        </w:rPr>
        <w:t> </w:t>
      </w:r>
      <w:r>
        <w:rPr/>
        <w:t>an</w:t>
      </w:r>
      <w:r>
        <w:rPr>
          <w:spacing w:val="-6"/>
        </w:rPr>
        <w:t> </w:t>
      </w:r>
      <w:r>
        <w:rPr/>
        <w:t>impact</w:t>
      </w:r>
      <w:r>
        <w:rPr>
          <w:spacing w:val="-7"/>
        </w:rPr>
        <w:t> </w:t>
      </w:r>
      <w:r>
        <w:rPr/>
        <w:t>on</w:t>
      </w:r>
      <w:r>
        <w:rPr>
          <w:spacing w:val="-6"/>
        </w:rPr>
        <w:t> </w:t>
      </w:r>
      <w:r>
        <w:rPr/>
        <w:t>individual</w:t>
      </w:r>
      <w:r>
        <w:rPr>
          <w:spacing w:val="-5"/>
        </w:rPr>
        <w:t> </w:t>
      </w:r>
      <w:r>
        <w:rPr/>
        <w:t>mental</w:t>
      </w:r>
      <w:r>
        <w:rPr>
          <w:spacing w:val="-5"/>
        </w:rPr>
        <w:t> </w:t>
      </w:r>
      <w:r>
        <w:rPr/>
        <w:t>and</w:t>
      </w:r>
      <w:r>
        <w:rPr>
          <w:spacing w:val="-4"/>
        </w:rPr>
        <w:t> </w:t>
      </w:r>
      <w:r>
        <w:rPr/>
        <w:t>physical</w:t>
      </w:r>
      <w:r>
        <w:rPr>
          <w:spacing w:val="-4"/>
        </w:rPr>
        <w:t> </w:t>
      </w:r>
      <w:r>
        <w:rPr/>
        <w:t>health, especially</w:t>
      </w:r>
      <w:r>
        <w:rPr>
          <w:spacing w:val="-4"/>
        </w:rPr>
        <w:t> </w:t>
      </w:r>
      <w:r>
        <w:rPr/>
        <w:t>for</w:t>
      </w:r>
      <w:r>
        <w:rPr>
          <w:spacing w:val="-4"/>
        </w:rPr>
        <w:t> </w:t>
      </w:r>
      <w:r>
        <w:rPr/>
        <w:t>LGBTQ</w:t>
      </w:r>
      <w:r>
        <w:rPr>
          <w:spacing w:val="-4"/>
        </w:rPr>
        <w:t> </w:t>
      </w:r>
      <w:r>
        <w:rPr/>
        <w:t>youth</w:t>
      </w:r>
      <w:r>
        <w:rPr>
          <w:spacing w:val="-3"/>
        </w:rPr>
        <w:t> </w:t>
      </w:r>
      <w:r>
        <w:rPr/>
        <w:t>experiencing</w:t>
      </w:r>
      <w:r>
        <w:rPr>
          <w:spacing w:val="-3"/>
        </w:rPr>
        <w:t> </w:t>
      </w:r>
      <w:r>
        <w:rPr/>
        <w:t>homelessness.</w:t>
      </w:r>
      <w:r>
        <w:rPr>
          <w:spacing w:val="-5"/>
        </w:rPr>
        <w:t> </w:t>
      </w:r>
      <w:r>
        <w:rPr/>
        <w:t>Studies</w:t>
      </w:r>
      <w:r>
        <w:rPr>
          <w:spacing w:val="-3"/>
        </w:rPr>
        <w:t> </w:t>
      </w:r>
      <w:r>
        <w:rPr/>
        <w:t>have</w:t>
      </w:r>
      <w:r>
        <w:rPr>
          <w:spacing w:val="-5"/>
        </w:rPr>
        <w:t> </w:t>
      </w:r>
      <w:r>
        <w:rPr/>
        <w:t>found</w:t>
      </w:r>
      <w:r>
        <w:rPr>
          <w:spacing w:val="-4"/>
        </w:rPr>
        <w:t> </w:t>
      </w:r>
      <w:r>
        <w:rPr/>
        <w:t>that</w:t>
      </w:r>
      <w:r>
        <w:rPr>
          <w:spacing w:val="-3"/>
        </w:rPr>
        <w:t> </w:t>
      </w:r>
      <w:r>
        <w:rPr/>
        <w:t>LGBTQ</w:t>
      </w:r>
      <w:r>
        <w:rPr>
          <w:spacing w:val="-4"/>
        </w:rPr>
        <w:t> </w:t>
      </w:r>
      <w:r>
        <w:rPr/>
        <w:t>youth</w:t>
      </w:r>
      <w:r>
        <w:rPr>
          <w:spacing w:val="-3"/>
        </w:rPr>
        <w:t> </w:t>
      </w:r>
      <w:r>
        <w:rPr/>
        <w:t>are</w:t>
      </w:r>
      <w:r>
        <w:rPr>
          <w:spacing w:val="-5"/>
        </w:rPr>
        <w:t> </w:t>
      </w:r>
      <w:r>
        <w:rPr/>
        <w:t>at</w:t>
      </w:r>
      <w:r>
        <w:rPr>
          <w:spacing w:val="-4"/>
        </w:rPr>
        <w:t> </w:t>
      </w:r>
      <w:r>
        <w:rPr/>
        <w:t>a greater risk of experiencing “turning points,” or negative life experiences such as stigma and victimization that place LGBTQ youth on a pathway to homelessness.</w:t>
      </w:r>
      <w:hyperlink w:history="true" w:anchor="_bookmark288">
        <w:r>
          <w:rPr>
            <w:vertAlign w:val="superscript"/>
          </w:rPr>
          <w:t>15</w:t>
        </w:r>
      </w:hyperlink>
      <w:r>
        <w:rPr>
          <w:spacing w:val="-3"/>
          <w:vertAlign w:val="baseline"/>
        </w:rPr>
        <w:t> </w:t>
      </w:r>
      <w:r>
        <w:rPr>
          <w:vertAlign w:val="baseline"/>
        </w:rPr>
        <w:t>This is often linked to adverse experiences</w:t>
      </w:r>
      <w:r>
        <w:rPr>
          <w:spacing w:val="-10"/>
          <w:vertAlign w:val="baseline"/>
        </w:rPr>
        <w:t> </w:t>
      </w:r>
      <w:r>
        <w:rPr>
          <w:vertAlign w:val="baseline"/>
        </w:rPr>
        <w:t>with</w:t>
      </w:r>
      <w:r>
        <w:rPr>
          <w:spacing w:val="-10"/>
          <w:vertAlign w:val="baseline"/>
        </w:rPr>
        <w:t> </w:t>
      </w:r>
      <w:r>
        <w:rPr>
          <w:vertAlign w:val="baseline"/>
        </w:rPr>
        <w:t>peers</w:t>
      </w:r>
      <w:r>
        <w:rPr>
          <w:spacing w:val="-11"/>
          <w:vertAlign w:val="baseline"/>
        </w:rPr>
        <w:t> </w:t>
      </w:r>
      <w:r>
        <w:rPr>
          <w:vertAlign w:val="baseline"/>
        </w:rPr>
        <w:t>and</w:t>
      </w:r>
      <w:r>
        <w:rPr>
          <w:spacing w:val="-11"/>
          <w:vertAlign w:val="baseline"/>
        </w:rPr>
        <w:t> </w:t>
      </w:r>
      <w:r>
        <w:rPr>
          <w:vertAlign w:val="baseline"/>
        </w:rPr>
        <w:t>family</w:t>
      </w:r>
      <w:r>
        <w:rPr>
          <w:spacing w:val="-10"/>
          <w:vertAlign w:val="baseline"/>
        </w:rPr>
        <w:t> </w:t>
      </w:r>
      <w:r>
        <w:rPr>
          <w:vertAlign w:val="baseline"/>
        </w:rPr>
        <w:t>members</w:t>
      </w:r>
      <w:r>
        <w:rPr>
          <w:spacing w:val="-11"/>
          <w:vertAlign w:val="baseline"/>
        </w:rPr>
        <w:t> </w:t>
      </w:r>
      <w:r>
        <w:rPr>
          <w:vertAlign w:val="baseline"/>
        </w:rPr>
        <w:t>that</w:t>
      </w:r>
      <w:r>
        <w:rPr>
          <w:spacing w:val="-11"/>
          <w:vertAlign w:val="baseline"/>
        </w:rPr>
        <w:t> </w:t>
      </w:r>
      <w:r>
        <w:rPr>
          <w:vertAlign w:val="baseline"/>
        </w:rPr>
        <w:t>impact</w:t>
      </w:r>
      <w:r>
        <w:rPr>
          <w:spacing w:val="-11"/>
          <w:vertAlign w:val="baseline"/>
        </w:rPr>
        <w:t> </w:t>
      </w:r>
      <w:r>
        <w:rPr>
          <w:vertAlign w:val="baseline"/>
        </w:rPr>
        <w:t>mental</w:t>
      </w:r>
      <w:r>
        <w:rPr>
          <w:spacing w:val="-10"/>
          <w:vertAlign w:val="baseline"/>
        </w:rPr>
        <w:t> </w:t>
      </w:r>
      <w:r>
        <w:rPr>
          <w:vertAlign w:val="baseline"/>
        </w:rPr>
        <w:t>health</w:t>
      </w:r>
      <w:r>
        <w:rPr>
          <w:spacing w:val="-11"/>
          <w:vertAlign w:val="baseline"/>
        </w:rPr>
        <w:t> </w:t>
      </w:r>
      <w:r>
        <w:rPr>
          <w:vertAlign w:val="baseline"/>
        </w:rPr>
        <w:t>and</w:t>
      </w:r>
      <w:r>
        <w:rPr>
          <w:spacing w:val="-10"/>
          <w:vertAlign w:val="baseline"/>
        </w:rPr>
        <w:t> </w:t>
      </w:r>
      <w:r>
        <w:rPr>
          <w:vertAlign w:val="baseline"/>
        </w:rPr>
        <w:t>well-being.</w:t>
      </w:r>
      <w:hyperlink w:history="true" w:anchor="_bookmark289">
        <w:r>
          <w:rPr>
            <w:vertAlign w:val="superscript"/>
          </w:rPr>
          <w:t>16</w:t>
        </w:r>
      </w:hyperlink>
      <w:r>
        <w:rPr>
          <w:spacing w:val="-3"/>
          <w:vertAlign w:val="baseline"/>
        </w:rPr>
        <w:t> </w:t>
      </w:r>
      <w:r>
        <w:rPr>
          <w:vertAlign w:val="baseline"/>
        </w:rPr>
        <w:t>This</w:t>
      </w:r>
      <w:r>
        <w:rPr>
          <w:spacing w:val="-11"/>
          <w:vertAlign w:val="baseline"/>
        </w:rPr>
        <w:t> </w:t>
      </w:r>
      <w:r>
        <w:rPr>
          <w:vertAlign w:val="baseline"/>
        </w:rPr>
        <w:t>is</w:t>
      </w:r>
      <w:r>
        <w:rPr>
          <w:spacing w:val="-10"/>
          <w:vertAlign w:val="baseline"/>
        </w:rPr>
        <w:t> </w:t>
      </w:r>
      <w:r>
        <w:rPr>
          <w:vertAlign w:val="baseline"/>
        </w:rPr>
        <w:t>further evidenced</w:t>
      </w:r>
      <w:r>
        <w:rPr>
          <w:spacing w:val="-7"/>
          <w:vertAlign w:val="baseline"/>
        </w:rPr>
        <w:t> </w:t>
      </w:r>
      <w:r>
        <w:rPr>
          <w:vertAlign w:val="baseline"/>
        </w:rPr>
        <w:t>by</w:t>
      </w:r>
      <w:r>
        <w:rPr>
          <w:spacing w:val="-5"/>
          <w:vertAlign w:val="baseline"/>
        </w:rPr>
        <w:t> </w:t>
      </w:r>
      <w:r>
        <w:rPr>
          <w:vertAlign w:val="baseline"/>
        </w:rPr>
        <w:t>the</w:t>
      </w:r>
      <w:r>
        <w:rPr>
          <w:spacing w:val="-6"/>
          <w:vertAlign w:val="baseline"/>
        </w:rPr>
        <w:t> </w:t>
      </w:r>
      <w:r>
        <w:rPr>
          <w:vertAlign w:val="baseline"/>
        </w:rPr>
        <w:t>Minority</w:t>
      </w:r>
      <w:r>
        <w:rPr>
          <w:spacing w:val="-5"/>
          <w:vertAlign w:val="baseline"/>
        </w:rPr>
        <w:t> </w:t>
      </w:r>
      <w:r>
        <w:rPr>
          <w:vertAlign w:val="baseline"/>
        </w:rPr>
        <w:t>Stress</w:t>
      </w:r>
      <w:r>
        <w:rPr>
          <w:spacing w:val="-7"/>
          <w:vertAlign w:val="baseline"/>
        </w:rPr>
        <w:t> </w:t>
      </w:r>
      <w:r>
        <w:rPr>
          <w:vertAlign w:val="baseline"/>
        </w:rPr>
        <w:t>Theory,</w:t>
      </w:r>
      <w:r>
        <w:rPr>
          <w:spacing w:val="-7"/>
          <w:vertAlign w:val="baseline"/>
        </w:rPr>
        <w:t> </w:t>
      </w:r>
      <w:r>
        <w:rPr>
          <w:vertAlign w:val="baseline"/>
        </w:rPr>
        <w:t>which</w:t>
      </w:r>
      <w:r>
        <w:rPr>
          <w:spacing w:val="-7"/>
          <w:vertAlign w:val="baseline"/>
        </w:rPr>
        <w:t> </w:t>
      </w:r>
      <w:r>
        <w:rPr>
          <w:vertAlign w:val="baseline"/>
        </w:rPr>
        <w:t>suggests</w:t>
      </w:r>
      <w:r>
        <w:rPr>
          <w:spacing w:val="-7"/>
          <w:vertAlign w:val="baseline"/>
        </w:rPr>
        <w:t> </w:t>
      </w:r>
      <w:r>
        <w:rPr>
          <w:vertAlign w:val="baseline"/>
        </w:rPr>
        <w:t>that</w:t>
      </w:r>
      <w:r>
        <w:rPr>
          <w:spacing w:val="-8"/>
          <w:vertAlign w:val="baseline"/>
        </w:rPr>
        <w:t> </w:t>
      </w:r>
      <w:r>
        <w:rPr>
          <w:vertAlign w:val="baseline"/>
        </w:rPr>
        <w:t>sexual</w:t>
      </w:r>
      <w:r>
        <w:rPr>
          <w:spacing w:val="-8"/>
          <w:vertAlign w:val="baseline"/>
        </w:rPr>
        <w:t> </w:t>
      </w:r>
      <w:r>
        <w:rPr>
          <w:vertAlign w:val="baseline"/>
        </w:rPr>
        <w:t>minorities</w:t>
      </w:r>
      <w:r>
        <w:rPr>
          <w:spacing w:val="-6"/>
          <w:vertAlign w:val="baseline"/>
        </w:rPr>
        <w:t> </w:t>
      </w:r>
      <w:r>
        <w:rPr>
          <w:vertAlign w:val="baseline"/>
        </w:rPr>
        <w:t>and</w:t>
      </w:r>
      <w:r>
        <w:rPr>
          <w:spacing w:val="-7"/>
          <w:vertAlign w:val="baseline"/>
        </w:rPr>
        <w:t> </w:t>
      </w:r>
      <w:r>
        <w:rPr>
          <w:vertAlign w:val="baseline"/>
        </w:rPr>
        <w:t>underrepresented gender identities commonly experience chronic stressors related to their sexual orientation and gender identity.</w:t>
      </w:r>
      <w:hyperlink w:history="true" w:anchor="_bookmark290">
        <w:r>
          <w:rPr>
            <w:vertAlign w:val="superscript"/>
          </w:rPr>
          <w:t>17</w:t>
        </w:r>
      </w:hyperlink>
    </w:p>
    <w:p>
      <w:pPr>
        <w:pStyle w:val="BodyText"/>
        <w:spacing w:line="276" w:lineRule="auto" w:before="240"/>
        <w:ind w:left="464" w:right="401"/>
        <w:jc w:val="both"/>
      </w:pPr>
      <w:r>
        <w:rPr/>
        <w:t>Once homeless, LGBTQ youth are at a heightened risk of experiencing negative physical, mental, and behavioral</w:t>
      </w:r>
      <w:r>
        <w:rPr>
          <w:spacing w:val="-2"/>
        </w:rPr>
        <w:t> </w:t>
      </w:r>
      <w:r>
        <w:rPr/>
        <w:t>health</w:t>
      </w:r>
      <w:r>
        <w:rPr>
          <w:spacing w:val="-2"/>
        </w:rPr>
        <w:t> </w:t>
      </w:r>
      <w:r>
        <w:rPr/>
        <w:t>outcomes.</w:t>
      </w:r>
      <w:r>
        <w:rPr>
          <w:spacing w:val="-2"/>
        </w:rPr>
        <w:t> </w:t>
      </w:r>
      <w:r>
        <w:rPr/>
        <w:t>The</w:t>
      </w:r>
      <w:r>
        <w:rPr>
          <w:spacing w:val="-2"/>
        </w:rPr>
        <w:t> </w:t>
      </w:r>
      <w:r>
        <w:rPr/>
        <w:t>increased</w:t>
      </w:r>
      <w:r>
        <w:rPr>
          <w:spacing w:val="-2"/>
        </w:rPr>
        <w:t> </w:t>
      </w:r>
      <w:r>
        <w:rPr/>
        <w:t>risk</w:t>
      </w:r>
      <w:r>
        <w:rPr>
          <w:spacing w:val="-2"/>
        </w:rPr>
        <w:t> </w:t>
      </w:r>
      <w:r>
        <w:rPr/>
        <w:t>of</w:t>
      </w:r>
      <w:r>
        <w:rPr>
          <w:spacing w:val="-1"/>
        </w:rPr>
        <w:t> </w:t>
      </w:r>
      <w:r>
        <w:rPr/>
        <w:t>poor</w:t>
      </w:r>
      <w:r>
        <w:rPr>
          <w:spacing w:val="-1"/>
        </w:rPr>
        <w:t> </w:t>
      </w:r>
      <w:r>
        <w:rPr/>
        <w:t>mental health</w:t>
      </w:r>
      <w:r>
        <w:rPr>
          <w:spacing w:val="-2"/>
        </w:rPr>
        <w:t> </w:t>
      </w:r>
      <w:r>
        <w:rPr/>
        <w:t>outcomes among</w:t>
      </w:r>
      <w:r>
        <w:rPr>
          <w:spacing w:val="-2"/>
        </w:rPr>
        <w:t> </w:t>
      </w:r>
      <w:r>
        <w:rPr/>
        <w:t>LGBTQ</w:t>
      </w:r>
      <w:r>
        <w:rPr>
          <w:spacing w:val="-2"/>
        </w:rPr>
        <w:t> </w:t>
      </w:r>
      <w:r>
        <w:rPr/>
        <w:t>youth has been linked to chronic stress rooted in being marginalized and discriminated against at a young age.</w:t>
      </w:r>
      <w:r>
        <w:rPr>
          <w:spacing w:val="-10"/>
        </w:rPr>
        <w:t> </w:t>
      </w:r>
      <w:r>
        <w:rPr/>
        <w:t>In</w:t>
      </w:r>
      <w:r>
        <w:rPr>
          <w:spacing w:val="-10"/>
        </w:rPr>
        <w:t> </w:t>
      </w:r>
      <w:r>
        <w:rPr/>
        <w:t>particular,</w:t>
      </w:r>
      <w:r>
        <w:rPr>
          <w:spacing w:val="-10"/>
        </w:rPr>
        <w:t> </w:t>
      </w:r>
      <w:r>
        <w:rPr/>
        <w:t>transgender</w:t>
      </w:r>
      <w:r>
        <w:rPr>
          <w:spacing w:val="-10"/>
        </w:rPr>
        <w:t> </w:t>
      </w:r>
      <w:r>
        <w:rPr/>
        <w:t>and</w:t>
      </w:r>
      <w:r>
        <w:rPr>
          <w:spacing w:val="-9"/>
        </w:rPr>
        <w:t> </w:t>
      </w:r>
      <w:r>
        <w:rPr/>
        <w:t>nonbinary</w:t>
      </w:r>
      <w:r>
        <w:rPr>
          <w:spacing w:val="-10"/>
        </w:rPr>
        <w:t> </w:t>
      </w:r>
      <w:r>
        <w:rPr/>
        <w:t>youth</w:t>
      </w:r>
      <w:r>
        <w:rPr>
          <w:spacing w:val="-9"/>
        </w:rPr>
        <w:t> </w:t>
      </w:r>
      <w:r>
        <w:rPr/>
        <w:t>face</w:t>
      </w:r>
      <w:r>
        <w:rPr>
          <w:spacing w:val="-10"/>
        </w:rPr>
        <w:t> </w:t>
      </w:r>
      <w:r>
        <w:rPr/>
        <w:t>an</w:t>
      </w:r>
      <w:r>
        <w:rPr>
          <w:spacing w:val="-10"/>
        </w:rPr>
        <w:t> </w:t>
      </w:r>
      <w:r>
        <w:rPr/>
        <w:t>increased</w:t>
      </w:r>
      <w:r>
        <w:rPr>
          <w:spacing w:val="-10"/>
        </w:rPr>
        <w:t> </w:t>
      </w:r>
      <w:r>
        <w:rPr/>
        <w:t>risk</w:t>
      </w:r>
      <w:r>
        <w:rPr>
          <w:spacing w:val="-10"/>
        </w:rPr>
        <w:t> </w:t>
      </w:r>
      <w:r>
        <w:rPr/>
        <w:t>of</w:t>
      </w:r>
      <w:r>
        <w:rPr>
          <w:spacing w:val="-10"/>
        </w:rPr>
        <w:t> </w:t>
      </w:r>
      <w:r>
        <w:rPr/>
        <w:t>mental</w:t>
      </w:r>
      <w:r>
        <w:rPr>
          <w:spacing w:val="-10"/>
        </w:rPr>
        <w:t> </w:t>
      </w:r>
      <w:r>
        <w:rPr/>
        <w:t>health</w:t>
      </w:r>
      <w:r>
        <w:rPr>
          <w:spacing w:val="-9"/>
        </w:rPr>
        <w:t> </w:t>
      </w:r>
      <w:r>
        <w:rPr/>
        <w:t>challenges, including depressive moods, suicidal ideation, and suicide attempts.</w:t>
      </w:r>
      <w:hyperlink w:history="true" w:anchor="_bookmark291">
        <w:r>
          <w:rPr>
            <w:vertAlign w:val="superscript"/>
          </w:rPr>
          <w:t>18</w:t>
        </w:r>
      </w:hyperlink>
    </w:p>
    <w:p>
      <w:pPr>
        <w:spacing w:after="0" w:line="276" w:lineRule="auto"/>
        <w:jc w:val="both"/>
        <w:sectPr>
          <w:pgSz w:w="12240" w:h="15840"/>
          <w:pgMar w:header="765" w:footer="1127" w:top="1280" w:bottom="1380" w:left="1120" w:right="1180"/>
        </w:sectPr>
      </w:pPr>
    </w:p>
    <w:p>
      <w:pPr>
        <w:pStyle w:val="BodyText"/>
        <w:spacing w:line="276" w:lineRule="auto" w:before="91"/>
        <w:ind w:left="3477" w:right="401"/>
        <w:jc w:val="both"/>
      </w:pPr>
      <w:r>
        <w:rPr/>
        <w:drawing>
          <wp:anchor distT="0" distB="0" distL="0" distR="0" allowOverlap="1" layoutInCell="1" locked="0" behindDoc="0" simplePos="0" relativeHeight="15797248">
            <wp:simplePos x="0" y="0"/>
            <wp:positionH relativeFrom="page">
              <wp:posOffset>975996</wp:posOffset>
            </wp:positionH>
            <wp:positionV relativeFrom="paragraph">
              <wp:posOffset>72966</wp:posOffset>
            </wp:positionV>
            <wp:extent cx="1795548" cy="1846575"/>
            <wp:effectExtent l="0" t="0" r="0" b="0"/>
            <wp:wrapNone/>
            <wp:docPr id="366" name="Image 366" descr="A blue and pink circle with black text  Description automatically generated "/>
            <wp:cNvGraphicFramePr>
              <a:graphicFrameLocks/>
            </wp:cNvGraphicFramePr>
            <a:graphic>
              <a:graphicData uri="http://schemas.openxmlformats.org/drawingml/2006/picture">
                <pic:pic>
                  <pic:nvPicPr>
                    <pic:cNvPr id="366" name="Image 366" descr="A blue and pink circle with black text  Description automatically generated "/>
                    <pic:cNvPicPr/>
                  </pic:nvPicPr>
                  <pic:blipFill>
                    <a:blip r:embed="rId444" cstate="print"/>
                    <a:stretch>
                      <a:fillRect/>
                    </a:stretch>
                  </pic:blipFill>
                  <pic:spPr>
                    <a:xfrm>
                      <a:off x="0" y="0"/>
                      <a:ext cx="1795548" cy="1846575"/>
                    </a:xfrm>
                    <a:prstGeom prst="rect">
                      <a:avLst/>
                    </a:prstGeom>
                  </pic:spPr>
                </pic:pic>
              </a:graphicData>
            </a:graphic>
          </wp:anchor>
        </w:drawing>
      </w:r>
      <w:r>
        <w:rPr/>
        <w:t>In 2024, The Trevor Project's national report revealed that 39% of LGBTQ youth seriously contemplated attempting suicide within the last</w:t>
      </w:r>
      <w:r>
        <w:rPr>
          <w:spacing w:val="-8"/>
        </w:rPr>
        <w:t> </w:t>
      </w:r>
      <w:r>
        <w:rPr/>
        <w:t>year.</w:t>
      </w:r>
      <w:hyperlink w:history="true" w:anchor="_bookmark292">
        <w:r>
          <w:rPr>
            <w:vertAlign w:val="superscript"/>
          </w:rPr>
          <w:t>19</w:t>
        </w:r>
      </w:hyperlink>
      <w:r>
        <w:rPr>
          <w:spacing w:val="-4"/>
          <w:vertAlign w:val="baseline"/>
        </w:rPr>
        <w:t> </w:t>
      </w:r>
      <w:r>
        <w:rPr>
          <w:vertAlign w:val="baseline"/>
        </w:rPr>
        <w:t>This</w:t>
      </w:r>
      <w:r>
        <w:rPr>
          <w:spacing w:val="-7"/>
          <w:vertAlign w:val="baseline"/>
        </w:rPr>
        <w:t> </w:t>
      </w:r>
      <w:r>
        <w:rPr>
          <w:vertAlign w:val="baseline"/>
        </w:rPr>
        <w:t>concerning</w:t>
      </w:r>
      <w:r>
        <w:rPr>
          <w:spacing w:val="-7"/>
          <w:vertAlign w:val="baseline"/>
        </w:rPr>
        <w:t> </w:t>
      </w:r>
      <w:r>
        <w:rPr>
          <w:vertAlign w:val="baseline"/>
        </w:rPr>
        <w:t>statistic</w:t>
      </w:r>
      <w:r>
        <w:rPr>
          <w:spacing w:val="-7"/>
          <w:vertAlign w:val="baseline"/>
        </w:rPr>
        <w:t> </w:t>
      </w:r>
      <w:r>
        <w:rPr>
          <w:vertAlign w:val="baseline"/>
        </w:rPr>
        <w:t>aligns</w:t>
      </w:r>
      <w:r>
        <w:rPr>
          <w:spacing w:val="-6"/>
          <w:vertAlign w:val="baseline"/>
        </w:rPr>
        <w:t> </w:t>
      </w:r>
      <w:r>
        <w:rPr>
          <w:vertAlign w:val="baseline"/>
        </w:rPr>
        <w:t>with</w:t>
      </w:r>
      <w:r>
        <w:rPr>
          <w:spacing w:val="-7"/>
          <w:vertAlign w:val="baseline"/>
        </w:rPr>
        <w:t> </w:t>
      </w:r>
      <w:r>
        <w:rPr>
          <w:vertAlign w:val="baseline"/>
        </w:rPr>
        <w:t>the</w:t>
      </w:r>
      <w:r>
        <w:rPr>
          <w:spacing w:val="-8"/>
          <w:vertAlign w:val="baseline"/>
        </w:rPr>
        <w:t> </w:t>
      </w:r>
      <w:r>
        <w:rPr>
          <w:vertAlign w:val="baseline"/>
        </w:rPr>
        <w:t>findings</w:t>
      </w:r>
      <w:r>
        <w:rPr>
          <w:spacing w:val="-7"/>
          <w:vertAlign w:val="baseline"/>
        </w:rPr>
        <w:t> </w:t>
      </w:r>
      <w:r>
        <w:rPr>
          <w:vertAlign w:val="baseline"/>
        </w:rPr>
        <w:t>from</w:t>
      </w:r>
      <w:r>
        <w:rPr>
          <w:spacing w:val="-7"/>
          <w:vertAlign w:val="baseline"/>
        </w:rPr>
        <w:t> </w:t>
      </w:r>
      <w:r>
        <w:rPr>
          <w:vertAlign w:val="baseline"/>
        </w:rPr>
        <w:t>the 2022 Massachusetts Youth Count, where 71% of LGBTQ individuals expressed a need for mental health assistance; only 36% of these respondents received the support they required, highlighting the critical need for mental health services in shelters and drop-in centers across the Commonwealth to provide better support for LGBTQ youth facing homelessness.</w:t>
      </w:r>
    </w:p>
    <w:p>
      <w:pPr>
        <w:spacing w:before="239"/>
        <w:ind w:left="464" w:right="0" w:firstLine="0"/>
        <w:jc w:val="both"/>
        <w:rPr>
          <w:sz w:val="24"/>
        </w:rPr>
      </w:pPr>
      <w:bookmarkStart w:name="Pathways to Homelessness and Housing Ins" w:id="487"/>
      <w:bookmarkEnd w:id="487"/>
      <w:r>
        <w:rPr/>
      </w:r>
      <w:r>
        <w:rPr>
          <w:color w:val="365F91"/>
          <w:sz w:val="24"/>
        </w:rPr>
        <w:t>Pathways</w:t>
      </w:r>
      <w:r>
        <w:rPr>
          <w:color w:val="365F91"/>
          <w:spacing w:val="-6"/>
          <w:sz w:val="24"/>
        </w:rPr>
        <w:t> </w:t>
      </w:r>
      <w:r>
        <w:rPr>
          <w:color w:val="365F91"/>
          <w:sz w:val="24"/>
        </w:rPr>
        <w:t>to</w:t>
      </w:r>
      <w:r>
        <w:rPr>
          <w:color w:val="365F91"/>
          <w:spacing w:val="-3"/>
          <w:sz w:val="24"/>
        </w:rPr>
        <w:t> </w:t>
      </w:r>
      <w:r>
        <w:rPr>
          <w:color w:val="365F91"/>
          <w:sz w:val="24"/>
        </w:rPr>
        <w:t>Homelessness</w:t>
      </w:r>
      <w:r>
        <w:rPr>
          <w:color w:val="365F91"/>
          <w:spacing w:val="-3"/>
          <w:sz w:val="24"/>
        </w:rPr>
        <w:t> </w:t>
      </w:r>
      <w:r>
        <w:rPr>
          <w:color w:val="365F91"/>
          <w:sz w:val="24"/>
        </w:rPr>
        <w:t>and</w:t>
      </w:r>
      <w:r>
        <w:rPr>
          <w:color w:val="365F91"/>
          <w:spacing w:val="-3"/>
          <w:sz w:val="24"/>
        </w:rPr>
        <w:t> </w:t>
      </w:r>
      <w:r>
        <w:rPr>
          <w:color w:val="365F91"/>
          <w:sz w:val="24"/>
        </w:rPr>
        <w:t>Housing</w:t>
      </w:r>
      <w:r>
        <w:rPr>
          <w:color w:val="365F91"/>
          <w:spacing w:val="-4"/>
          <w:sz w:val="24"/>
        </w:rPr>
        <w:t> </w:t>
      </w:r>
      <w:r>
        <w:rPr>
          <w:color w:val="365F91"/>
          <w:sz w:val="24"/>
        </w:rPr>
        <w:t>Insecurity</w:t>
      </w:r>
      <w:r>
        <w:rPr>
          <w:color w:val="365F91"/>
          <w:spacing w:val="-2"/>
          <w:sz w:val="24"/>
        </w:rPr>
        <w:t> </w:t>
      </w:r>
      <w:r>
        <w:rPr>
          <w:color w:val="365F91"/>
          <w:sz w:val="24"/>
        </w:rPr>
        <w:t>for</w:t>
      </w:r>
      <w:r>
        <w:rPr>
          <w:color w:val="365F91"/>
          <w:spacing w:val="-2"/>
          <w:sz w:val="24"/>
        </w:rPr>
        <w:t> </w:t>
      </w:r>
      <w:r>
        <w:rPr>
          <w:color w:val="365F91"/>
          <w:sz w:val="24"/>
        </w:rPr>
        <w:t>LGBTQ</w:t>
      </w:r>
      <w:r>
        <w:rPr>
          <w:color w:val="365F91"/>
          <w:spacing w:val="-2"/>
          <w:sz w:val="24"/>
        </w:rPr>
        <w:t> Youth</w:t>
      </w:r>
    </w:p>
    <w:p>
      <w:pPr>
        <w:pStyle w:val="BodyText"/>
        <w:spacing w:line="276" w:lineRule="auto" w:before="286"/>
        <w:ind w:left="463" w:right="401"/>
        <w:jc w:val="both"/>
      </w:pPr>
      <w:r>
        <w:rPr/>
        <w:t>LGBTQ youth are uniquely influenced by social and interpersonal relationships that are often negatively affected by their LGBTQ identity. The most cited reason why LGBTQ youth enter into homelessness is due to negative familial and peer relationships. Research has indicated that issues with family life and peer relationships in school systems can place LGBTQ youth on a pathway to homelessness.</w:t>
      </w:r>
      <w:hyperlink w:history="true" w:anchor="_bookmark293">
        <w:r>
          <w:rPr>
            <w:vertAlign w:val="superscript"/>
          </w:rPr>
          <w:t>20</w:t>
        </w:r>
      </w:hyperlink>
      <w:r>
        <w:rPr>
          <w:vertAlign w:val="baseline"/>
        </w:rPr>
        <w:t> LGBTQ youth most commonly experience homelessness after being kicked out or asked</w:t>
      </w:r>
      <w:r>
        <w:rPr>
          <w:spacing w:val="-1"/>
          <w:vertAlign w:val="baseline"/>
        </w:rPr>
        <w:t> </w:t>
      </w:r>
      <w:r>
        <w:rPr>
          <w:vertAlign w:val="baseline"/>
        </w:rPr>
        <w:t>to leave</w:t>
      </w:r>
      <w:r>
        <w:rPr>
          <w:spacing w:val="-1"/>
          <w:vertAlign w:val="baseline"/>
        </w:rPr>
        <w:t> </w:t>
      </w:r>
      <w:r>
        <w:rPr>
          <w:vertAlign w:val="baseline"/>
        </w:rPr>
        <w:t>the</w:t>
      </w:r>
      <w:r>
        <w:rPr>
          <w:spacing w:val="-1"/>
          <w:vertAlign w:val="baseline"/>
        </w:rPr>
        <w:t> </w:t>
      </w:r>
      <w:r>
        <w:rPr>
          <w:vertAlign w:val="baseline"/>
        </w:rPr>
        <w:t>home</w:t>
      </w:r>
      <w:r>
        <w:rPr>
          <w:spacing w:val="-1"/>
          <w:vertAlign w:val="baseline"/>
        </w:rPr>
        <w:t> </w:t>
      </w:r>
      <w:r>
        <w:rPr>
          <w:vertAlign w:val="baseline"/>
        </w:rPr>
        <w:t>of their parents.</w:t>
      </w:r>
      <w:hyperlink w:history="true" w:anchor="_bookmark294">
        <w:r>
          <w:rPr>
            <w:vertAlign w:val="superscript"/>
          </w:rPr>
          <w:t>21</w:t>
        </w:r>
      </w:hyperlink>
      <w:r>
        <w:rPr>
          <w:spacing w:val="-3"/>
          <w:vertAlign w:val="baseline"/>
        </w:rPr>
        <w:t> </w:t>
      </w:r>
      <w:r>
        <w:rPr>
          <w:vertAlign w:val="baseline"/>
        </w:rPr>
        <w:t>Specifically, transgender youth</w:t>
      </w:r>
      <w:r>
        <w:rPr>
          <w:spacing w:val="-1"/>
          <w:vertAlign w:val="baseline"/>
        </w:rPr>
        <w:t> </w:t>
      </w:r>
      <w:r>
        <w:rPr>
          <w:vertAlign w:val="baseline"/>
        </w:rPr>
        <w:t>were more</w:t>
      </w:r>
      <w:r>
        <w:rPr>
          <w:spacing w:val="-1"/>
          <w:vertAlign w:val="baseline"/>
        </w:rPr>
        <w:t> </w:t>
      </w:r>
      <w:r>
        <w:rPr>
          <w:vertAlign w:val="baseline"/>
        </w:rPr>
        <w:t>likely to report being kicked out or asked to leave their homes.</w:t>
      </w:r>
      <w:hyperlink w:history="true" w:anchor="_bookmark295">
        <w:r>
          <w:rPr>
            <w:vertAlign w:val="superscript"/>
          </w:rPr>
          <w:t>22</w:t>
        </w:r>
      </w:hyperlink>
    </w:p>
    <w:p>
      <w:pPr>
        <w:spacing w:line="252" w:lineRule="auto" w:before="238"/>
        <w:ind w:left="1161" w:right="1100" w:firstLine="0"/>
        <w:jc w:val="center"/>
        <w:rPr>
          <w:rFonts w:ascii="Cambria" w:hAnsi="Cambria"/>
          <w:i/>
          <w:sz w:val="21"/>
        </w:rPr>
      </w:pPr>
      <w:r>
        <w:rPr>
          <w:rFonts w:ascii="Cambria" w:hAnsi="Cambria"/>
          <w:i/>
          <w:color w:val="4F81BC"/>
          <w:sz w:val="21"/>
        </w:rPr>
        <w:t>“I</w:t>
      </w:r>
      <w:r>
        <w:rPr>
          <w:rFonts w:ascii="Cambria" w:hAnsi="Cambria"/>
          <w:i/>
          <w:color w:val="4F81BC"/>
          <w:spacing w:val="-3"/>
          <w:sz w:val="21"/>
        </w:rPr>
        <w:t> </w:t>
      </w:r>
      <w:r>
        <w:rPr>
          <w:rFonts w:ascii="Cambria" w:hAnsi="Cambria"/>
          <w:i/>
          <w:color w:val="4F81BC"/>
          <w:sz w:val="21"/>
        </w:rPr>
        <w:t>grew</w:t>
      </w:r>
      <w:r>
        <w:rPr>
          <w:rFonts w:ascii="Cambria" w:hAnsi="Cambria"/>
          <w:i/>
          <w:color w:val="4F81BC"/>
          <w:spacing w:val="-3"/>
          <w:sz w:val="21"/>
        </w:rPr>
        <w:t> </w:t>
      </w:r>
      <w:r>
        <w:rPr>
          <w:rFonts w:ascii="Cambria" w:hAnsi="Cambria"/>
          <w:i/>
          <w:color w:val="4F81BC"/>
          <w:sz w:val="21"/>
        </w:rPr>
        <w:t>up</w:t>
      </w:r>
      <w:r>
        <w:rPr>
          <w:rFonts w:ascii="Cambria" w:hAnsi="Cambria"/>
          <w:i/>
          <w:color w:val="4F81BC"/>
          <w:spacing w:val="-3"/>
          <w:sz w:val="21"/>
        </w:rPr>
        <w:t> </w:t>
      </w:r>
      <w:r>
        <w:rPr>
          <w:rFonts w:ascii="Cambria" w:hAnsi="Cambria"/>
          <w:i/>
          <w:color w:val="4F81BC"/>
          <w:sz w:val="21"/>
        </w:rPr>
        <w:t>in</w:t>
      </w:r>
      <w:r>
        <w:rPr>
          <w:rFonts w:ascii="Cambria" w:hAnsi="Cambria"/>
          <w:i/>
          <w:color w:val="4F81BC"/>
          <w:spacing w:val="-4"/>
          <w:sz w:val="21"/>
        </w:rPr>
        <w:t> </w:t>
      </w:r>
      <w:r>
        <w:rPr>
          <w:rFonts w:ascii="Cambria" w:hAnsi="Cambria"/>
          <w:i/>
          <w:color w:val="4F81BC"/>
          <w:sz w:val="21"/>
        </w:rPr>
        <w:t>urban</w:t>
      </w:r>
      <w:r>
        <w:rPr>
          <w:rFonts w:ascii="Cambria" w:hAnsi="Cambria"/>
          <w:i/>
          <w:color w:val="4F81BC"/>
          <w:spacing w:val="-2"/>
          <w:sz w:val="21"/>
        </w:rPr>
        <w:t> </w:t>
      </w:r>
      <w:r>
        <w:rPr>
          <w:rFonts w:ascii="Cambria" w:hAnsi="Cambria"/>
          <w:i/>
          <w:color w:val="4F81BC"/>
          <w:sz w:val="21"/>
        </w:rPr>
        <w:t>Boston</w:t>
      </w:r>
      <w:r>
        <w:rPr>
          <w:rFonts w:ascii="Cambria" w:hAnsi="Cambria"/>
          <w:i/>
          <w:color w:val="4F81BC"/>
          <w:spacing w:val="-5"/>
          <w:sz w:val="21"/>
        </w:rPr>
        <w:t> </w:t>
      </w:r>
      <w:r>
        <w:rPr>
          <w:rFonts w:ascii="Cambria" w:hAnsi="Cambria"/>
          <w:i/>
          <w:color w:val="4F81BC"/>
          <w:sz w:val="21"/>
        </w:rPr>
        <w:t>in</w:t>
      </w:r>
      <w:r>
        <w:rPr>
          <w:rFonts w:ascii="Cambria" w:hAnsi="Cambria"/>
          <w:i/>
          <w:color w:val="4F81BC"/>
          <w:spacing w:val="-2"/>
          <w:sz w:val="21"/>
        </w:rPr>
        <w:t> </w:t>
      </w:r>
      <w:r>
        <w:rPr>
          <w:rFonts w:ascii="Cambria" w:hAnsi="Cambria"/>
          <w:i/>
          <w:color w:val="4F81BC"/>
          <w:sz w:val="21"/>
        </w:rPr>
        <w:t>a</w:t>
      </w:r>
      <w:r>
        <w:rPr>
          <w:rFonts w:ascii="Cambria" w:hAnsi="Cambria"/>
          <w:i/>
          <w:color w:val="4F81BC"/>
          <w:spacing w:val="-3"/>
          <w:sz w:val="21"/>
        </w:rPr>
        <w:t> </w:t>
      </w:r>
      <w:r>
        <w:rPr>
          <w:rFonts w:ascii="Cambria" w:hAnsi="Cambria"/>
          <w:i/>
          <w:color w:val="4F81BC"/>
          <w:sz w:val="21"/>
        </w:rPr>
        <w:t>strong</w:t>
      </w:r>
      <w:r>
        <w:rPr>
          <w:rFonts w:ascii="Cambria" w:hAnsi="Cambria"/>
          <w:i/>
          <w:color w:val="4F81BC"/>
          <w:spacing w:val="-3"/>
          <w:sz w:val="21"/>
        </w:rPr>
        <w:t> </w:t>
      </w:r>
      <w:r>
        <w:rPr>
          <w:rFonts w:ascii="Cambria" w:hAnsi="Cambria"/>
          <w:i/>
          <w:color w:val="4F81BC"/>
          <w:sz w:val="21"/>
        </w:rPr>
        <w:t>Caribbean,</w:t>
      </w:r>
      <w:r>
        <w:rPr>
          <w:rFonts w:ascii="Cambria" w:hAnsi="Cambria"/>
          <w:i/>
          <w:color w:val="4F81BC"/>
          <w:spacing w:val="-3"/>
          <w:sz w:val="21"/>
        </w:rPr>
        <w:t> </w:t>
      </w:r>
      <w:r>
        <w:rPr>
          <w:rFonts w:ascii="Cambria" w:hAnsi="Cambria"/>
          <w:i/>
          <w:color w:val="4F81BC"/>
          <w:sz w:val="21"/>
        </w:rPr>
        <w:t>faith-based</w:t>
      </w:r>
      <w:r>
        <w:rPr>
          <w:rFonts w:ascii="Cambria" w:hAnsi="Cambria"/>
          <w:i/>
          <w:color w:val="4F81BC"/>
          <w:spacing w:val="-3"/>
          <w:sz w:val="21"/>
        </w:rPr>
        <w:t> </w:t>
      </w:r>
      <w:r>
        <w:rPr>
          <w:rFonts w:ascii="Cambria" w:hAnsi="Cambria"/>
          <w:i/>
          <w:color w:val="4F81BC"/>
          <w:sz w:val="21"/>
        </w:rPr>
        <w:t>household</w:t>
      </w:r>
      <w:r>
        <w:rPr>
          <w:rFonts w:ascii="Cambria" w:hAnsi="Cambria"/>
          <w:i/>
          <w:color w:val="4F81BC"/>
          <w:spacing w:val="-4"/>
          <w:sz w:val="21"/>
        </w:rPr>
        <w:t> </w:t>
      </w:r>
      <w:r>
        <w:rPr>
          <w:rFonts w:ascii="Cambria" w:hAnsi="Cambria"/>
          <w:i/>
          <w:color w:val="4F81BC"/>
          <w:sz w:val="21"/>
        </w:rPr>
        <w:t>where</w:t>
      </w:r>
      <w:r>
        <w:rPr>
          <w:rFonts w:ascii="Cambria" w:hAnsi="Cambria"/>
          <w:i/>
          <w:color w:val="4F81BC"/>
          <w:spacing w:val="-3"/>
          <w:sz w:val="21"/>
        </w:rPr>
        <w:t> </w:t>
      </w:r>
      <w:r>
        <w:rPr>
          <w:rFonts w:ascii="Cambria" w:hAnsi="Cambria"/>
          <w:i/>
          <w:color w:val="4F81BC"/>
          <w:sz w:val="21"/>
        </w:rPr>
        <w:t>I</w:t>
      </w:r>
      <w:r>
        <w:rPr>
          <w:rFonts w:ascii="Cambria" w:hAnsi="Cambria"/>
          <w:i/>
          <w:color w:val="4F81BC"/>
          <w:spacing w:val="-4"/>
          <w:sz w:val="21"/>
        </w:rPr>
        <w:t> </w:t>
      </w:r>
      <w:r>
        <w:rPr>
          <w:rFonts w:ascii="Cambria" w:hAnsi="Cambria"/>
          <w:i/>
          <w:color w:val="4F81BC"/>
          <w:sz w:val="21"/>
        </w:rPr>
        <w:t>wasn’t</w:t>
      </w:r>
      <w:r>
        <w:rPr>
          <w:rFonts w:ascii="Cambria" w:hAnsi="Cambria"/>
          <w:i/>
          <w:color w:val="4F81BC"/>
          <w:sz w:val="21"/>
        </w:rPr>
        <w:t> able to live my authentic truth. When I finally did decide that I was going to live my truth, I experienced homelessness.“ - E</w:t>
      </w:r>
    </w:p>
    <w:p>
      <w:pPr>
        <w:pStyle w:val="BodyText"/>
        <w:spacing w:line="276" w:lineRule="auto" w:before="241"/>
        <w:ind w:left="463" w:right="402"/>
        <w:jc w:val="both"/>
      </w:pPr>
      <w:r>
        <w:rPr/>
        <w:t>LGBTQ youth experiencing homelessness and housing insecurity require interventions and services that</w:t>
      </w:r>
      <w:r>
        <w:rPr>
          <w:spacing w:val="-1"/>
        </w:rPr>
        <w:t> </w:t>
      </w:r>
      <w:r>
        <w:rPr/>
        <w:t>promote supportive</w:t>
      </w:r>
      <w:r>
        <w:rPr>
          <w:spacing w:val="-2"/>
        </w:rPr>
        <w:t> </w:t>
      </w:r>
      <w:r>
        <w:rPr/>
        <w:t>social</w:t>
      </w:r>
      <w:r>
        <w:rPr>
          <w:spacing w:val="-2"/>
        </w:rPr>
        <w:t> </w:t>
      </w:r>
      <w:r>
        <w:rPr/>
        <w:t>networks</w:t>
      </w:r>
      <w:r>
        <w:rPr>
          <w:spacing w:val="-1"/>
        </w:rPr>
        <w:t> </w:t>
      </w:r>
      <w:r>
        <w:rPr/>
        <w:t>to combat</w:t>
      </w:r>
      <w:r>
        <w:rPr>
          <w:spacing w:val="-2"/>
        </w:rPr>
        <w:t> </w:t>
      </w:r>
      <w:r>
        <w:rPr/>
        <w:t>stigma and</w:t>
      </w:r>
      <w:r>
        <w:rPr>
          <w:spacing w:val="-1"/>
        </w:rPr>
        <w:t> </w:t>
      </w:r>
      <w:r>
        <w:rPr/>
        <w:t>discrimination</w:t>
      </w:r>
      <w:r>
        <w:rPr>
          <w:spacing w:val="-2"/>
        </w:rPr>
        <w:t> </w:t>
      </w:r>
      <w:r>
        <w:rPr/>
        <w:t>and</w:t>
      </w:r>
      <w:r>
        <w:rPr>
          <w:spacing w:val="-1"/>
        </w:rPr>
        <w:t> </w:t>
      </w:r>
      <w:r>
        <w:rPr/>
        <w:t>provide accessible housing</w:t>
      </w:r>
      <w:r>
        <w:rPr>
          <w:spacing w:val="-1"/>
        </w:rPr>
        <w:t> </w:t>
      </w:r>
      <w:r>
        <w:rPr/>
        <w:t>services that meet</w:t>
      </w:r>
      <w:r>
        <w:rPr>
          <w:spacing w:val="-1"/>
        </w:rPr>
        <w:t> </w:t>
      </w:r>
      <w:r>
        <w:rPr/>
        <w:t>the needs of the</w:t>
      </w:r>
      <w:r>
        <w:rPr>
          <w:spacing w:val="-1"/>
        </w:rPr>
        <w:t> </w:t>
      </w:r>
      <w:r>
        <w:rPr/>
        <w:t>LGBTQ youth</w:t>
      </w:r>
      <w:r>
        <w:rPr>
          <w:spacing w:val="-1"/>
        </w:rPr>
        <w:t> </w:t>
      </w:r>
      <w:r>
        <w:rPr/>
        <w:t>population.</w:t>
      </w:r>
      <w:r>
        <w:rPr>
          <w:spacing w:val="-1"/>
        </w:rPr>
        <w:t> </w:t>
      </w:r>
      <w:r>
        <w:rPr/>
        <w:t>The</w:t>
      </w:r>
      <w:r>
        <w:rPr>
          <w:spacing w:val="-1"/>
        </w:rPr>
        <w:t> </w:t>
      </w:r>
      <w:r>
        <w:rPr/>
        <w:t>importance</w:t>
      </w:r>
      <w:r>
        <w:rPr>
          <w:spacing w:val="-1"/>
        </w:rPr>
        <w:t> </w:t>
      </w:r>
      <w:r>
        <w:rPr/>
        <w:t>of maintaining a</w:t>
      </w:r>
      <w:r>
        <w:rPr>
          <w:spacing w:val="-3"/>
        </w:rPr>
        <w:t> </w:t>
      </w:r>
      <w:r>
        <w:rPr/>
        <w:t>social</w:t>
      </w:r>
      <w:r>
        <w:rPr>
          <w:spacing w:val="-3"/>
        </w:rPr>
        <w:t> </w:t>
      </w:r>
      <w:r>
        <w:rPr/>
        <w:t>support</w:t>
      </w:r>
      <w:r>
        <w:rPr>
          <w:spacing w:val="-3"/>
        </w:rPr>
        <w:t> </w:t>
      </w:r>
      <w:r>
        <w:rPr/>
        <w:t>network</w:t>
      </w:r>
      <w:r>
        <w:rPr>
          <w:spacing w:val="-3"/>
        </w:rPr>
        <w:t> </w:t>
      </w:r>
      <w:r>
        <w:rPr/>
        <w:t>that</w:t>
      </w:r>
      <w:r>
        <w:rPr>
          <w:spacing w:val="-3"/>
        </w:rPr>
        <w:t> </w:t>
      </w:r>
      <w:r>
        <w:rPr/>
        <w:t>is</w:t>
      </w:r>
      <w:r>
        <w:rPr>
          <w:spacing w:val="-2"/>
        </w:rPr>
        <w:t> </w:t>
      </w:r>
      <w:r>
        <w:rPr/>
        <w:t>positive</w:t>
      </w:r>
      <w:r>
        <w:rPr>
          <w:spacing w:val="-3"/>
        </w:rPr>
        <w:t> </w:t>
      </w:r>
      <w:r>
        <w:rPr/>
        <w:t>and</w:t>
      </w:r>
      <w:r>
        <w:rPr>
          <w:spacing w:val="-3"/>
        </w:rPr>
        <w:t> </w:t>
      </w:r>
      <w:r>
        <w:rPr/>
        <w:t>supportive</w:t>
      </w:r>
      <w:r>
        <w:rPr>
          <w:spacing w:val="-3"/>
        </w:rPr>
        <w:t> </w:t>
      </w:r>
      <w:r>
        <w:rPr/>
        <w:t>is</w:t>
      </w:r>
      <w:r>
        <w:rPr>
          <w:spacing w:val="-2"/>
        </w:rPr>
        <w:t> </w:t>
      </w:r>
      <w:r>
        <w:rPr/>
        <w:t>well-researched</w:t>
      </w:r>
      <w:r>
        <w:rPr>
          <w:spacing w:val="-3"/>
        </w:rPr>
        <w:t> </w:t>
      </w:r>
      <w:r>
        <w:rPr/>
        <w:t>in</w:t>
      </w:r>
      <w:r>
        <w:rPr>
          <w:spacing w:val="-2"/>
        </w:rPr>
        <w:t> </w:t>
      </w:r>
      <w:r>
        <w:rPr/>
        <w:t>the</w:t>
      </w:r>
      <w:r>
        <w:rPr>
          <w:spacing w:val="-3"/>
        </w:rPr>
        <w:t> </w:t>
      </w:r>
      <w:r>
        <w:rPr/>
        <w:t>literature.</w:t>
      </w:r>
      <w:r>
        <w:rPr>
          <w:spacing w:val="-2"/>
        </w:rPr>
        <w:t> </w:t>
      </w:r>
      <w:r>
        <w:rPr/>
        <w:t>A</w:t>
      </w:r>
      <w:r>
        <w:rPr>
          <w:spacing w:val="-3"/>
        </w:rPr>
        <w:t> </w:t>
      </w:r>
      <w:r>
        <w:rPr/>
        <w:t>positive social</w:t>
      </w:r>
      <w:r>
        <w:rPr>
          <w:spacing w:val="-1"/>
        </w:rPr>
        <w:t> </w:t>
      </w:r>
      <w:r>
        <w:rPr/>
        <w:t>support</w:t>
      </w:r>
      <w:r>
        <w:rPr>
          <w:spacing w:val="-1"/>
        </w:rPr>
        <w:t> </w:t>
      </w:r>
      <w:r>
        <w:rPr/>
        <w:t>network is a protective factor since relationship breakdowns for LGBTQ youth and loss of a sense of belonging are some of the most common drivers of homelessness.</w:t>
      </w:r>
      <w:hyperlink w:history="true" w:anchor="_bookmark296">
        <w:r>
          <w:rPr>
            <w:vertAlign w:val="superscript"/>
          </w:rPr>
          <w:t>23</w:t>
        </w:r>
      </w:hyperlink>
      <w:r>
        <w:rPr>
          <w:spacing w:val="-2"/>
          <w:vertAlign w:val="baseline"/>
        </w:rPr>
        <w:t> </w:t>
      </w:r>
      <w:r>
        <w:rPr>
          <w:vertAlign w:val="baseline"/>
        </w:rPr>
        <w:t>Efforts to combat discrimination and promote inclusive environments are crucial for fostering resilience and ensuring the well-being of LGBTQ+ youth, highlighting the need for policies and initiatives that target families of LGBTQ youth related to the acceptance of LGBTQ youth identities.</w:t>
      </w:r>
      <w:hyperlink w:history="true" w:anchor="_bookmark297">
        <w:r>
          <w:rPr>
            <w:vertAlign w:val="superscript"/>
          </w:rPr>
          <w:t>24</w:t>
        </w:r>
      </w:hyperlink>
    </w:p>
    <w:p>
      <w:pPr>
        <w:spacing w:line="252" w:lineRule="auto" w:before="240"/>
        <w:ind w:left="1247" w:right="1185" w:firstLine="1"/>
        <w:jc w:val="center"/>
        <w:rPr>
          <w:rFonts w:ascii="Cambria" w:hAnsi="Cambria"/>
          <w:i/>
          <w:sz w:val="21"/>
        </w:rPr>
      </w:pPr>
      <w:r>
        <w:rPr>
          <w:rFonts w:ascii="Cambria" w:hAnsi="Cambria"/>
          <w:i/>
          <w:color w:val="4F81BC"/>
          <w:sz w:val="21"/>
        </w:rPr>
        <w:t>“I’ve been going through this since I was 15… I was on my own and I made dumb</w:t>
      </w:r>
      <w:r>
        <w:rPr>
          <w:rFonts w:ascii="Cambria" w:hAnsi="Cambria"/>
          <w:i/>
          <w:color w:val="4F81BC"/>
          <w:sz w:val="21"/>
        </w:rPr>
        <w:t> decisions that are affecting me as an adult. Getting in trouble shouldn’t mean that I don’t</w:t>
      </w:r>
      <w:r>
        <w:rPr>
          <w:rFonts w:ascii="Cambria" w:hAnsi="Cambria"/>
          <w:i/>
          <w:color w:val="4F81BC"/>
          <w:spacing w:val="-3"/>
          <w:sz w:val="21"/>
        </w:rPr>
        <w:t> </w:t>
      </w:r>
      <w:r>
        <w:rPr>
          <w:rFonts w:ascii="Cambria" w:hAnsi="Cambria"/>
          <w:i/>
          <w:color w:val="4F81BC"/>
          <w:sz w:val="21"/>
        </w:rPr>
        <w:t>have</w:t>
      </w:r>
      <w:r>
        <w:rPr>
          <w:rFonts w:ascii="Cambria" w:hAnsi="Cambria"/>
          <w:i/>
          <w:color w:val="4F81BC"/>
          <w:spacing w:val="-4"/>
          <w:sz w:val="21"/>
        </w:rPr>
        <w:t> </w:t>
      </w:r>
      <w:r>
        <w:rPr>
          <w:rFonts w:ascii="Cambria" w:hAnsi="Cambria"/>
          <w:i/>
          <w:color w:val="4F81BC"/>
          <w:sz w:val="21"/>
        </w:rPr>
        <w:t>the</w:t>
      </w:r>
      <w:r>
        <w:rPr>
          <w:rFonts w:ascii="Cambria" w:hAnsi="Cambria"/>
          <w:i/>
          <w:color w:val="4F81BC"/>
          <w:spacing w:val="-3"/>
          <w:sz w:val="21"/>
        </w:rPr>
        <w:t> </w:t>
      </w:r>
      <w:r>
        <w:rPr>
          <w:rFonts w:ascii="Cambria" w:hAnsi="Cambria"/>
          <w:i/>
          <w:color w:val="4F81BC"/>
          <w:sz w:val="21"/>
        </w:rPr>
        <w:t>ability</w:t>
      </w:r>
      <w:r>
        <w:rPr>
          <w:rFonts w:ascii="Cambria" w:hAnsi="Cambria"/>
          <w:i/>
          <w:color w:val="4F81BC"/>
          <w:spacing w:val="-2"/>
          <w:sz w:val="21"/>
        </w:rPr>
        <w:t> </w:t>
      </w:r>
      <w:r>
        <w:rPr>
          <w:rFonts w:ascii="Cambria" w:hAnsi="Cambria"/>
          <w:i/>
          <w:color w:val="4F81BC"/>
          <w:sz w:val="21"/>
        </w:rPr>
        <w:t>to</w:t>
      </w:r>
      <w:r>
        <w:rPr>
          <w:rFonts w:ascii="Cambria" w:hAnsi="Cambria"/>
          <w:i/>
          <w:color w:val="4F81BC"/>
          <w:spacing w:val="-3"/>
          <w:sz w:val="21"/>
        </w:rPr>
        <w:t> </w:t>
      </w:r>
      <w:r>
        <w:rPr>
          <w:rFonts w:ascii="Cambria" w:hAnsi="Cambria"/>
          <w:i/>
          <w:color w:val="4F81BC"/>
          <w:sz w:val="21"/>
        </w:rPr>
        <w:t>live</w:t>
      </w:r>
      <w:r>
        <w:rPr>
          <w:rFonts w:ascii="Cambria" w:hAnsi="Cambria"/>
          <w:i/>
          <w:color w:val="4F81BC"/>
          <w:spacing w:val="-3"/>
          <w:sz w:val="21"/>
        </w:rPr>
        <w:t> </w:t>
      </w:r>
      <w:r>
        <w:rPr>
          <w:rFonts w:ascii="Cambria" w:hAnsi="Cambria"/>
          <w:i/>
          <w:color w:val="4F81BC"/>
          <w:sz w:val="21"/>
        </w:rPr>
        <w:t>somewhere.”</w:t>
      </w:r>
      <w:r>
        <w:rPr>
          <w:rFonts w:ascii="Cambria" w:hAnsi="Cambria"/>
          <w:i/>
          <w:color w:val="4F81BC"/>
          <w:spacing w:val="-3"/>
          <w:sz w:val="21"/>
        </w:rPr>
        <w:t> </w:t>
      </w:r>
      <w:r>
        <w:rPr>
          <w:rFonts w:ascii="Cambria" w:hAnsi="Cambria"/>
          <w:i/>
          <w:color w:val="4F81BC"/>
          <w:sz w:val="21"/>
        </w:rPr>
        <w:t>–</w:t>
      </w:r>
      <w:r>
        <w:rPr>
          <w:rFonts w:ascii="Cambria" w:hAnsi="Cambria"/>
          <w:i/>
          <w:color w:val="4F81BC"/>
          <w:spacing w:val="-3"/>
          <w:sz w:val="21"/>
        </w:rPr>
        <w:t> </w:t>
      </w:r>
      <w:r>
        <w:rPr>
          <w:rFonts w:ascii="Cambria" w:hAnsi="Cambria"/>
          <w:i/>
          <w:color w:val="4F81BC"/>
          <w:sz w:val="21"/>
        </w:rPr>
        <w:t>B.Q,</w:t>
      </w:r>
      <w:r>
        <w:rPr>
          <w:rFonts w:ascii="Cambria" w:hAnsi="Cambria"/>
          <w:i/>
          <w:color w:val="4F81BC"/>
          <w:spacing w:val="-4"/>
          <w:sz w:val="21"/>
        </w:rPr>
        <w:t> </w:t>
      </w:r>
      <w:r>
        <w:rPr>
          <w:rFonts w:ascii="Cambria" w:hAnsi="Cambria"/>
          <w:i/>
          <w:color w:val="4F81BC"/>
          <w:sz w:val="21"/>
        </w:rPr>
        <w:t>trans</w:t>
      </w:r>
      <w:r>
        <w:rPr>
          <w:rFonts w:ascii="Cambria" w:hAnsi="Cambria"/>
          <w:i/>
          <w:color w:val="4F81BC"/>
          <w:spacing w:val="-4"/>
          <w:sz w:val="21"/>
        </w:rPr>
        <w:t> </w:t>
      </w:r>
      <w:r>
        <w:rPr>
          <w:rFonts w:ascii="Cambria" w:hAnsi="Cambria"/>
          <w:i/>
          <w:color w:val="4F81BC"/>
          <w:sz w:val="21"/>
        </w:rPr>
        <w:t>person</w:t>
      </w:r>
      <w:r>
        <w:rPr>
          <w:rFonts w:ascii="Cambria" w:hAnsi="Cambria"/>
          <w:i/>
          <w:color w:val="4F81BC"/>
          <w:spacing w:val="40"/>
          <w:sz w:val="21"/>
        </w:rPr>
        <w:t> </w:t>
      </w:r>
      <w:r>
        <w:rPr>
          <w:rFonts w:ascii="Cambria" w:hAnsi="Cambria"/>
          <w:i/>
          <w:color w:val="4F81BC"/>
          <w:sz w:val="21"/>
        </w:rPr>
        <w:t>formerly</w:t>
      </w:r>
      <w:r>
        <w:rPr>
          <w:rFonts w:ascii="Cambria" w:hAnsi="Cambria"/>
          <w:i/>
          <w:color w:val="4F81BC"/>
          <w:spacing w:val="-2"/>
          <w:sz w:val="21"/>
        </w:rPr>
        <w:t> </w:t>
      </w:r>
      <w:r>
        <w:rPr>
          <w:rFonts w:ascii="Cambria" w:hAnsi="Cambria"/>
          <w:i/>
          <w:color w:val="4F81BC"/>
          <w:sz w:val="21"/>
        </w:rPr>
        <w:t>incarcerated</w:t>
      </w:r>
      <w:r>
        <w:rPr>
          <w:rFonts w:ascii="Cambria" w:hAnsi="Cambria"/>
          <w:i/>
          <w:color w:val="4F81BC"/>
          <w:spacing w:val="-3"/>
          <w:sz w:val="21"/>
        </w:rPr>
        <w:t> </w:t>
      </w:r>
      <w:r>
        <w:rPr>
          <w:rFonts w:ascii="Cambria" w:hAnsi="Cambria"/>
          <w:i/>
          <w:color w:val="4F81BC"/>
          <w:sz w:val="21"/>
        </w:rPr>
        <w:t>as a youth</w:t>
      </w:r>
    </w:p>
    <w:p>
      <w:pPr>
        <w:spacing w:before="239"/>
        <w:ind w:left="464" w:right="0" w:firstLine="0"/>
        <w:jc w:val="both"/>
        <w:rPr>
          <w:sz w:val="24"/>
        </w:rPr>
      </w:pPr>
      <w:bookmarkStart w:name="Influence of Community Programs and Serv" w:id="488"/>
      <w:bookmarkEnd w:id="488"/>
      <w:r>
        <w:rPr/>
      </w:r>
      <w:r>
        <w:rPr>
          <w:color w:val="365F91"/>
          <w:sz w:val="24"/>
        </w:rPr>
        <w:t>Influence</w:t>
      </w:r>
      <w:r>
        <w:rPr>
          <w:color w:val="365F91"/>
          <w:spacing w:val="-5"/>
          <w:sz w:val="24"/>
        </w:rPr>
        <w:t> </w:t>
      </w:r>
      <w:r>
        <w:rPr>
          <w:color w:val="365F91"/>
          <w:sz w:val="24"/>
        </w:rPr>
        <w:t>of</w:t>
      </w:r>
      <w:r>
        <w:rPr>
          <w:color w:val="365F91"/>
          <w:spacing w:val="-4"/>
          <w:sz w:val="24"/>
        </w:rPr>
        <w:t> </w:t>
      </w:r>
      <w:r>
        <w:rPr>
          <w:color w:val="365F91"/>
          <w:sz w:val="24"/>
        </w:rPr>
        <w:t>Community</w:t>
      </w:r>
      <w:r>
        <w:rPr>
          <w:color w:val="365F91"/>
          <w:spacing w:val="-3"/>
          <w:sz w:val="24"/>
        </w:rPr>
        <w:t> </w:t>
      </w:r>
      <w:r>
        <w:rPr>
          <w:color w:val="365F91"/>
          <w:sz w:val="24"/>
        </w:rPr>
        <w:t>Programs</w:t>
      </w:r>
      <w:r>
        <w:rPr>
          <w:color w:val="365F91"/>
          <w:spacing w:val="-3"/>
          <w:sz w:val="24"/>
        </w:rPr>
        <w:t> </w:t>
      </w:r>
      <w:r>
        <w:rPr>
          <w:color w:val="365F91"/>
          <w:sz w:val="24"/>
        </w:rPr>
        <w:t>and</w:t>
      </w:r>
      <w:r>
        <w:rPr>
          <w:color w:val="365F91"/>
          <w:spacing w:val="-3"/>
          <w:sz w:val="24"/>
        </w:rPr>
        <w:t> </w:t>
      </w:r>
      <w:r>
        <w:rPr>
          <w:color w:val="365F91"/>
          <w:sz w:val="24"/>
        </w:rPr>
        <w:t>Services</w:t>
      </w:r>
      <w:r>
        <w:rPr>
          <w:color w:val="365F91"/>
          <w:spacing w:val="-4"/>
          <w:sz w:val="24"/>
        </w:rPr>
        <w:t> </w:t>
      </w:r>
      <w:r>
        <w:rPr>
          <w:color w:val="365F91"/>
          <w:sz w:val="24"/>
        </w:rPr>
        <w:t>to</w:t>
      </w:r>
      <w:r>
        <w:rPr>
          <w:color w:val="365F91"/>
          <w:spacing w:val="-2"/>
          <w:sz w:val="24"/>
        </w:rPr>
        <w:t> </w:t>
      </w:r>
      <w:r>
        <w:rPr>
          <w:color w:val="365F91"/>
          <w:sz w:val="24"/>
        </w:rPr>
        <w:t>Combat</w:t>
      </w:r>
      <w:r>
        <w:rPr>
          <w:color w:val="365F91"/>
          <w:spacing w:val="-3"/>
          <w:sz w:val="24"/>
        </w:rPr>
        <w:t> </w:t>
      </w:r>
      <w:r>
        <w:rPr>
          <w:color w:val="365F91"/>
          <w:sz w:val="24"/>
        </w:rPr>
        <w:t>LGBTQ</w:t>
      </w:r>
      <w:r>
        <w:rPr>
          <w:color w:val="365F91"/>
          <w:spacing w:val="-2"/>
          <w:sz w:val="24"/>
        </w:rPr>
        <w:t> </w:t>
      </w:r>
      <w:r>
        <w:rPr>
          <w:color w:val="365F91"/>
          <w:sz w:val="24"/>
        </w:rPr>
        <w:t>Youth</w:t>
      </w:r>
      <w:r>
        <w:rPr>
          <w:color w:val="365F91"/>
          <w:spacing w:val="-4"/>
          <w:sz w:val="24"/>
        </w:rPr>
        <w:t> </w:t>
      </w:r>
      <w:r>
        <w:rPr>
          <w:color w:val="365F91"/>
          <w:spacing w:val="-2"/>
          <w:sz w:val="24"/>
        </w:rPr>
        <w:t>Homelessness</w:t>
      </w:r>
    </w:p>
    <w:p>
      <w:pPr>
        <w:pStyle w:val="BodyText"/>
        <w:spacing w:line="276" w:lineRule="auto" w:before="285"/>
        <w:ind w:left="463" w:right="403"/>
        <w:jc w:val="both"/>
      </w:pPr>
      <w:r>
        <w:rPr/>
        <w:t>LGBTQ youth experiencing homelessness and housing insecurity rely on community programs and services for short-term shelter services and long-term housing support. Housing</w:t>
      </w:r>
      <w:r>
        <w:rPr>
          <w:spacing w:val="-1"/>
        </w:rPr>
        <w:t> </w:t>
      </w:r>
      <w:r>
        <w:rPr/>
        <w:t>support and</w:t>
      </w:r>
      <w:r>
        <w:rPr>
          <w:spacing w:val="-1"/>
        </w:rPr>
        <w:t> </w:t>
      </w:r>
      <w:r>
        <w:rPr/>
        <w:t>services are</w:t>
      </w:r>
      <w:r>
        <w:rPr>
          <w:spacing w:val="40"/>
        </w:rPr>
        <w:t> </w:t>
      </w:r>
      <w:r>
        <w:rPr/>
        <w:t>one</w:t>
      </w:r>
      <w:r>
        <w:rPr>
          <w:spacing w:val="40"/>
        </w:rPr>
        <w:t> </w:t>
      </w:r>
      <w:r>
        <w:rPr/>
        <w:t>of</w:t>
      </w:r>
      <w:r>
        <w:rPr>
          <w:spacing w:val="40"/>
        </w:rPr>
        <w:t> </w:t>
      </w:r>
      <w:r>
        <w:rPr/>
        <w:t>the</w:t>
      </w:r>
      <w:r>
        <w:rPr>
          <w:spacing w:val="40"/>
        </w:rPr>
        <w:t> </w:t>
      </w:r>
      <w:r>
        <w:rPr/>
        <w:t>highest</w:t>
      </w:r>
      <w:r>
        <w:rPr>
          <w:spacing w:val="40"/>
        </w:rPr>
        <w:t> </w:t>
      </w:r>
      <w:r>
        <w:rPr/>
        <w:t>priority</w:t>
      </w:r>
      <w:r>
        <w:rPr>
          <w:spacing w:val="40"/>
        </w:rPr>
        <w:t> </w:t>
      </w:r>
      <w:r>
        <w:rPr/>
        <w:t>needs</w:t>
      </w:r>
      <w:r>
        <w:rPr>
          <w:spacing w:val="40"/>
        </w:rPr>
        <w:t> </w:t>
      </w:r>
      <w:r>
        <w:rPr/>
        <w:t>for</w:t>
      </w:r>
      <w:r>
        <w:rPr>
          <w:spacing w:val="40"/>
        </w:rPr>
        <w:t> </w:t>
      </w:r>
      <w:r>
        <w:rPr/>
        <w:t>LGBTQ</w:t>
      </w:r>
      <w:r>
        <w:rPr>
          <w:spacing w:val="40"/>
        </w:rPr>
        <w:t> </w:t>
      </w:r>
      <w:r>
        <w:rPr/>
        <w:t>youth</w:t>
      </w:r>
      <w:r>
        <w:rPr>
          <w:spacing w:val="40"/>
        </w:rPr>
        <w:t> </w:t>
      </w:r>
      <w:r>
        <w:rPr/>
        <w:t>experiencing</w:t>
      </w:r>
      <w:r>
        <w:rPr>
          <w:spacing w:val="40"/>
        </w:rPr>
        <w:t> </w:t>
      </w:r>
      <w:r>
        <w:rPr/>
        <w:t>homelessness.</w:t>
      </w:r>
      <w:r>
        <w:rPr>
          <w:spacing w:val="40"/>
        </w:rPr>
        <w:t> </w:t>
      </w:r>
      <w:r>
        <w:rPr/>
        <w:t>In</w:t>
      </w:r>
      <w:r>
        <w:rPr>
          <w:spacing w:val="40"/>
        </w:rPr>
        <w:t> </w:t>
      </w:r>
      <w:r>
        <w:rPr/>
        <w:t>the</w:t>
      </w:r>
      <w:r>
        <w:rPr>
          <w:spacing w:val="40"/>
        </w:rPr>
        <w:t> </w:t>
      </w:r>
      <w:r>
        <w:rPr/>
        <w:t>2022</w:t>
      </w:r>
    </w:p>
    <w:p>
      <w:pPr>
        <w:spacing w:after="0" w:line="276" w:lineRule="auto"/>
        <w:jc w:val="both"/>
        <w:sectPr>
          <w:pgSz w:w="12240" w:h="15840"/>
          <w:pgMar w:header="765" w:footer="1127" w:top="1280" w:bottom="1380" w:left="1120" w:right="1180"/>
        </w:sectPr>
      </w:pPr>
    </w:p>
    <w:p>
      <w:pPr>
        <w:pStyle w:val="BodyText"/>
        <w:spacing w:line="276" w:lineRule="auto" w:before="91"/>
        <w:ind w:left="464" w:right="402"/>
        <w:jc w:val="both"/>
      </w:pPr>
      <w:r>
        <w:rPr/>
        <w:t>Massachusetts Youth</w:t>
      </w:r>
      <w:r>
        <w:rPr>
          <w:spacing w:val="-1"/>
        </w:rPr>
        <w:t> </w:t>
      </w:r>
      <w:r>
        <w:rPr/>
        <w:t>Count, the top</w:t>
      </w:r>
      <w:r>
        <w:rPr>
          <w:spacing w:val="-1"/>
        </w:rPr>
        <w:t> </w:t>
      </w:r>
      <w:r>
        <w:rPr/>
        <w:t>two services sought</w:t>
      </w:r>
      <w:r>
        <w:rPr>
          <w:spacing w:val="-1"/>
        </w:rPr>
        <w:t> </w:t>
      </w:r>
      <w:r>
        <w:rPr/>
        <w:t>out by respondents included</w:t>
      </w:r>
      <w:r>
        <w:rPr>
          <w:spacing w:val="-1"/>
        </w:rPr>
        <w:t> </w:t>
      </w:r>
      <w:r>
        <w:rPr/>
        <w:t>(1) shelter and transitional housing, and (2) long-term housing support.</w:t>
      </w:r>
      <w:hyperlink w:history="true" w:anchor="_bookmark298">
        <w:r>
          <w:rPr>
            <w:vertAlign w:val="superscript"/>
          </w:rPr>
          <w:t>25</w:t>
        </w:r>
      </w:hyperlink>
      <w:r>
        <w:rPr>
          <w:spacing w:val="-3"/>
          <w:vertAlign w:val="baseline"/>
        </w:rPr>
        <w:t> </w:t>
      </w:r>
      <w:r>
        <w:rPr>
          <w:vertAlign w:val="baseline"/>
        </w:rPr>
        <w:t>Housing needs are frequently identified as the</w:t>
      </w:r>
      <w:r>
        <w:rPr>
          <w:spacing w:val="-5"/>
          <w:vertAlign w:val="baseline"/>
        </w:rPr>
        <w:t> </w:t>
      </w:r>
      <w:r>
        <w:rPr>
          <w:vertAlign w:val="baseline"/>
        </w:rPr>
        <w:t>primary</w:t>
      </w:r>
      <w:r>
        <w:rPr>
          <w:spacing w:val="-5"/>
          <w:vertAlign w:val="baseline"/>
        </w:rPr>
        <w:t> </w:t>
      </w:r>
      <w:r>
        <w:rPr>
          <w:vertAlign w:val="baseline"/>
        </w:rPr>
        <w:t>concern</w:t>
      </w:r>
      <w:r>
        <w:rPr>
          <w:spacing w:val="-5"/>
          <w:vertAlign w:val="baseline"/>
        </w:rPr>
        <w:t> </w:t>
      </w:r>
      <w:r>
        <w:rPr>
          <w:vertAlign w:val="baseline"/>
        </w:rPr>
        <w:t>among</w:t>
      </w:r>
      <w:r>
        <w:rPr>
          <w:spacing w:val="-5"/>
          <w:vertAlign w:val="baseline"/>
        </w:rPr>
        <w:t> </w:t>
      </w:r>
      <w:r>
        <w:rPr>
          <w:vertAlign w:val="baseline"/>
        </w:rPr>
        <w:t>transgender</w:t>
      </w:r>
      <w:r>
        <w:rPr>
          <w:spacing w:val="-6"/>
          <w:vertAlign w:val="baseline"/>
        </w:rPr>
        <w:t> </w:t>
      </w:r>
      <w:r>
        <w:rPr>
          <w:vertAlign w:val="baseline"/>
        </w:rPr>
        <w:t>youth,</w:t>
      </w:r>
      <w:r>
        <w:rPr>
          <w:spacing w:val="-5"/>
          <w:vertAlign w:val="baseline"/>
        </w:rPr>
        <w:t> </w:t>
      </w:r>
      <w:r>
        <w:rPr>
          <w:vertAlign w:val="baseline"/>
        </w:rPr>
        <w:t>largely</w:t>
      </w:r>
      <w:r>
        <w:rPr>
          <w:spacing w:val="-6"/>
          <w:vertAlign w:val="baseline"/>
        </w:rPr>
        <w:t> </w:t>
      </w:r>
      <w:r>
        <w:rPr>
          <w:vertAlign w:val="baseline"/>
        </w:rPr>
        <w:t>due</w:t>
      </w:r>
      <w:r>
        <w:rPr>
          <w:spacing w:val="-5"/>
          <w:vertAlign w:val="baseline"/>
        </w:rPr>
        <w:t> </w:t>
      </w:r>
      <w:r>
        <w:rPr>
          <w:vertAlign w:val="baseline"/>
        </w:rPr>
        <w:t>to</w:t>
      </w:r>
      <w:r>
        <w:rPr>
          <w:spacing w:val="-5"/>
          <w:vertAlign w:val="baseline"/>
        </w:rPr>
        <w:t> </w:t>
      </w:r>
      <w:r>
        <w:rPr>
          <w:vertAlign w:val="baseline"/>
        </w:rPr>
        <w:t>the</w:t>
      </w:r>
      <w:r>
        <w:rPr>
          <w:spacing w:val="-4"/>
          <w:vertAlign w:val="baseline"/>
        </w:rPr>
        <w:t> </w:t>
      </w:r>
      <w:r>
        <w:rPr>
          <w:vertAlign w:val="baseline"/>
        </w:rPr>
        <w:t>stigma</w:t>
      </w:r>
      <w:r>
        <w:rPr>
          <w:spacing w:val="-5"/>
          <w:vertAlign w:val="baseline"/>
        </w:rPr>
        <w:t> </w:t>
      </w:r>
      <w:r>
        <w:rPr>
          <w:vertAlign w:val="baseline"/>
        </w:rPr>
        <w:t>and</w:t>
      </w:r>
      <w:r>
        <w:rPr>
          <w:spacing w:val="-5"/>
          <w:vertAlign w:val="baseline"/>
        </w:rPr>
        <w:t> </w:t>
      </w:r>
      <w:r>
        <w:rPr>
          <w:vertAlign w:val="baseline"/>
        </w:rPr>
        <w:t>discrimination</w:t>
      </w:r>
      <w:r>
        <w:rPr>
          <w:spacing w:val="-4"/>
          <w:vertAlign w:val="baseline"/>
        </w:rPr>
        <w:t> </w:t>
      </w:r>
      <w:r>
        <w:rPr>
          <w:vertAlign w:val="baseline"/>
        </w:rPr>
        <w:t>they</w:t>
      </w:r>
      <w:r>
        <w:rPr>
          <w:spacing w:val="-5"/>
          <w:vertAlign w:val="baseline"/>
        </w:rPr>
        <w:t> </w:t>
      </w:r>
      <w:r>
        <w:rPr>
          <w:vertAlign w:val="baseline"/>
        </w:rPr>
        <w:t>face when accessing essential services.</w:t>
      </w:r>
      <w:hyperlink w:history="true" w:anchor="_bookmark299">
        <w:r>
          <w:rPr>
            <w:vertAlign w:val="superscript"/>
          </w:rPr>
          <w:t>26</w:t>
        </w:r>
      </w:hyperlink>
    </w:p>
    <w:p>
      <w:pPr>
        <w:pStyle w:val="BodyText"/>
        <w:spacing w:line="276" w:lineRule="auto" w:before="240"/>
        <w:ind w:left="464" w:right="401"/>
        <w:jc w:val="both"/>
      </w:pPr>
      <w:r>
        <w:rPr/>
        <w:t>Many LGBTQ youths have cited barriers to access to these resources and services due to fear of judgment from heterosexual peers in shelters, staff-related competency issues, and program-level policy</w:t>
      </w:r>
      <w:r>
        <w:rPr>
          <w:spacing w:val="-10"/>
        </w:rPr>
        <w:t> </w:t>
      </w:r>
      <w:r>
        <w:rPr/>
        <w:t>issues.</w:t>
      </w:r>
      <w:hyperlink w:history="true" w:anchor="_bookmark300">
        <w:r>
          <w:rPr>
            <w:vertAlign w:val="superscript"/>
          </w:rPr>
          <w:t>27</w:t>
        </w:r>
      </w:hyperlink>
      <w:r>
        <w:rPr>
          <w:spacing w:val="-3"/>
          <w:vertAlign w:val="baseline"/>
        </w:rPr>
        <w:t> </w:t>
      </w:r>
      <w:r>
        <w:rPr>
          <w:vertAlign w:val="baseline"/>
        </w:rPr>
        <w:t>In</w:t>
      </w:r>
      <w:r>
        <w:rPr>
          <w:spacing w:val="-11"/>
          <w:vertAlign w:val="baseline"/>
        </w:rPr>
        <w:t> </w:t>
      </w:r>
      <w:r>
        <w:rPr>
          <w:vertAlign w:val="baseline"/>
        </w:rPr>
        <w:t>a</w:t>
      </w:r>
      <w:r>
        <w:rPr>
          <w:spacing w:val="-10"/>
          <w:vertAlign w:val="baseline"/>
        </w:rPr>
        <w:t> </w:t>
      </w:r>
      <w:r>
        <w:rPr>
          <w:vertAlign w:val="baseline"/>
        </w:rPr>
        <w:t>study</w:t>
      </w:r>
      <w:r>
        <w:rPr>
          <w:spacing w:val="-9"/>
          <w:vertAlign w:val="baseline"/>
        </w:rPr>
        <w:t> </w:t>
      </w:r>
      <w:r>
        <w:rPr>
          <w:vertAlign w:val="baseline"/>
        </w:rPr>
        <w:t>conducted</w:t>
      </w:r>
      <w:r>
        <w:rPr>
          <w:spacing w:val="-11"/>
          <w:vertAlign w:val="baseline"/>
        </w:rPr>
        <w:t> </w:t>
      </w:r>
      <w:r>
        <w:rPr>
          <w:vertAlign w:val="baseline"/>
        </w:rPr>
        <w:t>at</w:t>
      </w:r>
      <w:r>
        <w:rPr>
          <w:spacing w:val="-11"/>
          <w:vertAlign w:val="baseline"/>
        </w:rPr>
        <w:t> </w:t>
      </w:r>
      <w:r>
        <w:rPr>
          <w:vertAlign w:val="baseline"/>
        </w:rPr>
        <w:t>Youth</w:t>
      </w:r>
      <w:r>
        <w:rPr>
          <w:spacing w:val="-11"/>
          <w:vertAlign w:val="baseline"/>
        </w:rPr>
        <w:t> </w:t>
      </w:r>
      <w:r>
        <w:rPr>
          <w:vertAlign w:val="baseline"/>
        </w:rPr>
        <w:t>on</w:t>
      </w:r>
      <w:r>
        <w:rPr>
          <w:spacing w:val="-9"/>
          <w:vertAlign w:val="baseline"/>
        </w:rPr>
        <w:t> </w:t>
      </w:r>
      <w:r>
        <w:rPr>
          <w:vertAlign w:val="baseline"/>
        </w:rPr>
        <w:t>Fire</w:t>
      </w:r>
      <w:r>
        <w:rPr>
          <w:spacing w:val="-11"/>
          <w:vertAlign w:val="baseline"/>
        </w:rPr>
        <w:t> </w:t>
      </w:r>
      <w:r>
        <w:rPr>
          <w:vertAlign w:val="baseline"/>
        </w:rPr>
        <w:t>in</w:t>
      </w:r>
      <w:r>
        <w:rPr>
          <w:spacing w:val="-11"/>
          <w:vertAlign w:val="baseline"/>
        </w:rPr>
        <w:t> </w:t>
      </w:r>
      <w:r>
        <w:rPr>
          <w:vertAlign w:val="baseline"/>
        </w:rPr>
        <w:t>Boston,</w:t>
      </w:r>
      <w:r>
        <w:rPr>
          <w:spacing w:val="-10"/>
          <w:vertAlign w:val="baseline"/>
        </w:rPr>
        <w:t> </w:t>
      </w:r>
      <w:r>
        <w:rPr>
          <w:vertAlign w:val="baseline"/>
        </w:rPr>
        <w:t>Massachusetts,</w:t>
      </w:r>
      <w:r>
        <w:rPr>
          <w:spacing w:val="-10"/>
          <w:vertAlign w:val="baseline"/>
        </w:rPr>
        <w:t> </w:t>
      </w:r>
      <w:r>
        <w:rPr>
          <w:vertAlign w:val="baseline"/>
        </w:rPr>
        <w:t>participants</w:t>
      </w:r>
      <w:r>
        <w:rPr>
          <w:spacing w:val="-10"/>
          <w:vertAlign w:val="baseline"/>
        </w:rPr>
        <w:t> </w:t>
      </w:r>
      <w:r>
        <w:rPr>
          <w:vertAlign w:val="baseline"/>
        </w:rPr>
        <w:t>noted</w:t>
      </w:r>
      <w:r>
        <w:rPr>
          <w:spacing w:val="-11"/>
          <w:vertAlign w:val="baseline"/>
        </w:rPr>
        <w:t> </w:t>
      </w:r>
      <w:r>
        <w:rPr>
          <w:vertAlign w:val="baseline"/>
        </w:rPr>
        <w:t>that when they first began experiencing homelessness, they had issues navigating the drop-in and shelter resources</w:t>
      </w:r>
      <w:r>
        <w:rPr>
          <w:spacing w:val="-1"/>
          <w:vertAlign w:val="baseline"/>
        </w:rPr>
        <w:t> </w:t>
      </w:r>
      <w:r>
        <w:rPr>
          <w:vertAlign w:val="baseline"/>
        </w:rPr>
        <w:t>that</w:t>
      </w:r>
      <w:r>
        <w:rPr>
          <w:spacing w:val="-2"/>
          <w:vertAlign w:val="baseline"/>
        </w:rPr>
        <w:t> </w:t>
      </w:r>
      <w:r>
        <w:rPr>
          <w:vertAlign w:val="baseline"/>
        </w:rPr>
        <w:t>were</w:t>
      </w:r>
      <w:r>
        <w:rPr>
          <w:spacing w:val="-2"/>
          <w:vertAlign w:val="baseline"/>
        </w:rPr>
        <w:t> </w:t>
      </w:r>
      <w:r>
        <w:rPr>
          <w:vertAlign w:val="baseline"/>
        </w:rPr>
        <w:t>available</w:t>
      </w:r>
      <w:r>
        <w:rPr>
          <w:spacing w:val="-2"/>
          <w:vertAlign w:val="baseline"/>
        </w:rPr>
        <w:t> </w:t>
      </w:r>
      <w:r>
        <w:rPr>
          <w:vertAlign w:val="baseline"/>
        </w:rPr>
        <w:t>to</w:t>
      </w:r>
      <w:r>
        <w:rPr>
          <w:spacing w:val="-1"/>
          <w:vertAlign w:val="baseline"/>
        </w:rPr>
        <w:t> </w:t>
      </w:r>
      <w:r>
        <w:rPr>
          <w:vertAlign w:val="baseline"/>
        </w:rPr>
        <w:t>them,</w:t>
      </w:r>
      <w:r>
        <w:rPr>
          <w:spacing w:val="-1"/>
          <w:vertAlign w:val="baseline"/>
        </w:rPr>
        <w:t> </w:t>
      </w:r>
      <w:r>
        <w:rPr>
          <w:vertAlign w:val="baseline"/>
        </w:rPr>
        <w:t>especially</w:t>
      </w:r>
      <w:r>
        <w:rPr>
          <w:spacing w:val="-2"/>
          <w:vertAlign w:val="baseline"/>
        </w:rPr>
        <w:t> </w:t>
      </w:r>
      <w:r>
        <w:rPr>
          <w:vertAlign w:val="baseline"/>
        </w:rPr>
        <w:t>if</w:t>
      </w:r>
      <w:r>
        <w:rPr>
          <w:spacing w:val="-2"/>
          <w:vertAlign w:val="baseline"/>
        </w:rPr>
        <w:t> </w:t>
      </w:r>
      <w:r>
        <w:rPr>
          <w:vertAlign w:val="baseline"/>
        </w:rPr>
        <w:t>a</w:t>
      </w:r>
      <w:r>
        <w:rPr>
          <w:spacing w:val="-1"/>
          <w:vertAlign w:val="baseline"/>
        </w:rPr>
        <w:t> </w:t>
      </w:r>
      <w:r>
        <w:rPr>
          <w:vertAlign w:val="baseline"/>
        </w:rPr>
        <w:t>social</w:t>
      </w:r>
      <w:r>
        <w:rPr>
          <w:spacing w:val="-2"/>
          <w:vertAlign w:val="baseline"/>
        </w:rPr>
        <w:t> </w:t>
      </w:r>
      <w:r>
        <w:rPr>
          <w:vertAlign w:val="baseline"/>
        </w:rPr>
        <w:t>worker</w:t>
      </w:r>
      <w:r>
        <w:rPr>
          <w:spacing w:val="-2"/>
          <w:vertAlign w:val="baseline"/>
        </w:rPr>
        <w:t> </w:t>
      </w:r>
      <w:r>
        <w:rPr>
          <w:vertAlign w:val="baseline"/>
        </w:rPr>
        <w:t>or</w:t>
      </w:r>
      <w:r>
        <w:rPr>
          <w:spacing w:val="-2"/>
          <w:vertAlign w:val="baseline"/>
        </w:rPr>
        <w:t> </w:t>
      </w:r>
      <w:r>
        <w:rPr>
          <w:vertAlign w:val="baseline"/>
        </w:rPr>
        <w:t>case</w:t>
      </w:r>
      <w:r>
        <w:rPr>
          <w:spacing w:val="-2"/>
          <w:vertAlign w:val="baseline"/>
        </w:rPr>
        <w:t> </w:t>
      </w:r>
      <w:r>
        <w:rPr>
          <w:vertAlign w:val="baseline"/>
        </w:rPr>
        <w:t>manager</w:t>
      </w:r>
      <w:r>
        <w:rPr>
          <w:spacing w:val="-2"/>
          <w:vertAlign w:val="baseline"/>
        </w:rPr>
        <w:t> </w:t>
      </w:r>
      <w:r>
        <w:rPr>
          <w:vertAlign w:val="baseline"/>
        </w:rPr>
        <w:t>was</w:t>
      </w:r>
      <w:r>
        <w:rPr>
          <w:spacing w:val="-2"/>
          <w:vertAlign w:val="baseline"/>
        </w:rPr>
        <w:t> </w:t>
      </w:r>
      <w:r>
        <w:rPr>
          <w:vertAlign w:val="baseline"/>
        </w:rPr>
        <w:t>not</w:t>
      </w:r>
      <w:r>
        <w:rPr>
          <w:spacing w:val="-1"/>
          <w:vertAlign w:val="baseline"/>
        </w:rPr>
        <w:t> </w:t>
      </w:r>
      <w:r>
        <w:rPr>
          <w:vertAlign w:val="baseline"/>
        </w:rPr>
        <w:t>provided to them. Instead, LGBTQ youth experiencing homelessness would often utilize their peer support network</w:t>
      </w:r>
      <w:r>
        <w:rPr>
          <w:spacing w:val="-10"/>
          <w:vertAlign w:val="baseline"/>
        </w:rPr>
        <w:t> </w:t>
      </w:r>
      <w:r>
        <w:rPr>
          <w:vertAlign w:val="baseline"/>
        </w:rPr>
        <w:t>to</w:t>
      </w:r>
      <w:r>
        <w:rPr>
          <w:spacing w:val="-11"/>
          <w:vertAlign w:val="baseline"/>
        </w:rPr>
        <w:t> </w:t>
      </w:r>
      <w:r>
        <w:rPr>
          <w:vertAlign w:val="baseline"/>
        </w:rPr>
        <w:t>learn</w:t>
      </w:r>
      <w:r>
        <w:rPr>
          <w:spacing w:val="-12"/>
          <w:vertAlign w:val="baseline"/>
        </w:rPr>
        <w:t> </w:t>
      </w:r>
      <w:r>
        <w:rPr>
          <w:vertAlign w:val="baseline"/>
        </w:rPr>
        <w:t>about</w:t>
      </w:r>
      <w:r>
        <w:rPr>
          <w:spacing w:val="-12"/>
          <w:vertAlign w:val="baseline"/>
        </w:rPr>
        <w:t> </w:t>
      </w:r>
      <w:r>
        <w:rPr>
          <w:vertAlign w:val="baseline"/>
        </w:rPr>
        <w:t>where</w:t>
      </w:r>
      <w:r>
        <w:rPr>
          <w:spacing w:val="-12"/>
          <w:vertAlign w:val="baseline"/>
        </w:rPr>
        <w:t> </w:t>
      </w:r>
      <w:r>
        <w:rPr>
          <w:vertAlign w:val="baseline"/>
        </w:rPr>
        <w:t>drop-in</w:t>
      </w:r>
      <w:r>
        <w:rPr>
          <w:spacing w:val="-10"/>
          <w:vertAlign w:val="baseline"/>
        </w:rPr>
        <w:t> </w:t>
      </w:r>
      <w:r>
        <w:rPr>
          <w:vertAlign w:val="baseline"/>
        </w:rPr>
        <w:t>centers</w:t>
      </w:r>
      <w:r>
        <w:rPr>
          <w:spacing w:val="-11"/>
          <w:vertAlign w:val="baseline"/>
        </w:rPr>
        <w:t> </w:t>
      </w:r>
      <w:r>
        <w:rPr>
          <w:vertAlign w:val="baseline"/>
        </w:rPr>
        <w:t>were</w:t>
      </w:r>
      <w:r>
        <w:rPr>
          <w:spacing w:val="-11"/>
          <w:vertAlign w:val="baseline"/>
        </w:rPr>
        <w:t> </w:t>
      </w:r>
      <w:r>
        <w:rPr>
          <w:vertAlign w:val="baseline"/>
        </w:rPr>
        <w:t>located</w:t>
      </w:r>
      <w:r>
        <w:rPr>
          <w:spacing w:val="-11"/>
          <w:vertAlign w:val="baseline"/>
        </w:rPr>
        <w:t> </w:t>
      </w:r>
      <w:r>
        <w:rPr>
          <w:vertAlign w:val="baseline"/>
        </w:rPr>
        <w:t>and</w:t>
      </w:r>
      <w:r>
        <w:rPr>
          <w:spacing w:val="-11"/>
          <w:vertAlign w:val="baseline"/>
        </w:rPr>
        <w:t> </w:t>
      </w:r>
      <w:r>
        <w:rPr>
          <w:vertAlign w:val="baseline"/>
        </w:rPr>
        <w:t>which</w:t>
      </w:r>
      <w:r>
        <w:rPr>
          <w:spacing w:val="-10"/>
          <w:vertAlign w:val="baseline"/>
        </w:rPr>
        <w:t> </w:t>
      </w:r>
      <w:r>
        <w:rPr>
          <w:vertAlign w:val="baseline"/>
        </w:rPr>
        <w:t>shelters</w:t>
      </w:r>
      <w:r>
        <w:rPr>
          <w:spacing w:val="-10"/>
          <w:vertAlign w:val="baseline"/>
        </w:rPr>
        <w:t> </w:t>
      </w:r>
      <w:r>
        <w:rPr>
          <w:vertAlign w:val="baseline"/>
        </w:rPr>
        <w:t>in</w:t>
      </w:r>
      <w:r>
        <w:rPr>
          <w:spacing w:val="-11"/>
          <w:vertAlign w:val="baseline"/>
        </w:rPr>
        <w:t> </w:t>
      </w:r>
      <w:r>
        <w:rPr>
          <w:vertAlign w:val="baseline"/>
        </w:rPr>
        <w:t>the</w:t>
      </w:r>
      <w:r>
        <w:rPr>
          <w:spacing w:val="-11"/>
          <w:vertAlign w:val="baseline"/>
        </w:rPr>
        <w:t> </w:t>
      </w:r>
      <w:r>
        <w:rPr>
          <w:vertAlign w:val="baseline"/>
        </w:rPr>
        <w:t>city</w:t>
      </w:r>
      <w:r>
        <w:rPr>
          <w:spacing w:val="-11"/>
          <w:vertAlign w:val="baseline"/>
        </w:rPr>
        <w:t> </w:t>
      </w:r>
      <w:r>
        <w:rPr>
          <w:vertAlign w:val="baseline"/>
        </w:rPr>
        <w:t>were</w:t>
      </w:r>
      <w:r>
        <w:rPr>
          <w:spacing w:val="-11"/>
          <w:vertAlign w:val="baseline"/>
        </w:rPr>
        <w:t> </w:t>
      </w:r>
      <w:r>
        <w:rPr>
          <w:vertAlign w:val="baseline"/>
        </w:rPr>
        <w:t>LGBTQ- friendly. Other participants shared that they were discriminated against in shelters or were turned away because there were not enough shelter beds available.</w:t>
      </w:r>
      <w:hyperlink w:history="true" w:anchor="_bookmark301">
        <w:r>
          <w:rPr>
            <w:vertAlign w:val="superscript"/>
          </w:rPr>
          <w:t>28</w:t>
        </w:r>
      </w:hyperlink>
    </w:p>
    <w:p>
      <w:pPr>
        <w:spacing w:line="252" w:lineRule="auto" w:before="239"/>
        <w:ind w:left="1203" w:right="1141" w:hanging="1"/>
        <w:jc w:val="center"/>
        <w:rPr>
          <w:rFonts w:ascii="Cambria" w:hAnsi="Cambria"/>
          <w:i/>
          <w:sz w:val="21"/>
        </w:rPr>
      </w:pPr>
      <w:r>
        <w:rPr>
          <w:rFonts w:ascii="Cambria" w:hAnsi="Cambria"/>
          <w:i/>
          <w:color w:val="4F81BC"/>
          <w:sz w:val="21"/>
        </w:rPr>
        <w:t>“I’m mentally-ill with PTSD. It’s been hard trying to find a shelter that will accept a</w:t>
      </w:r>
      <w:r>
        <w:rPr>
          <w:rFonts w:ascii="Cambria" w:hAnsi="Cambria"/>
          <w:i/>
          <w:color w:val="4F81BC"/>
          <w:sz w:val="21"/>
        </w:rPr>
        <w:t> couple, and we don’t feel comfortable being separated… I’ve occasionally thought of masking</w:t>
      </w:r>
      <w:r>
        <w:rPr>
          <w:rFonts w:ascii="Cambria" w:hAnsi="Cambria"/>
          <w:i/>
          <w:color w:val="4F81BC"/>
          <w:spacing w:val="-2"/>
          <w:sz w:val="21"/>
        </w:rPr>
        <w:t> </w:t>
      </w:r>
      <w:r>
        <w:rPr>
          <w:rFonts w:ascii="Cambria" w:hAnsi="Cambria"/>
          <w:i/>
          <w:color w:val="4F81BC"/>
          <w:sz w:val="21"/>
        </w:rPr>
        <w:t>my</w:t>
      </w:r>
      <w:r>
        <w:rPr>
          <w:rFonts w:ascii="Cambria" w:hAnsi="Cambria"/>
          <w:i/>
          <w:color w:val="4F81BC"/>
          <w:spacing w:val="-3"/>
          <w:sz w:val="21"/>
        </w:rPr>
        <w:t> </w:t>
      </w:r>
      <w:r>
        <w:rPr>
          <w:rFonts w:ascii="Cambria" w:hAnsi="Cambria"/>
          <w:i/>
          <w:color w:val="4F81BC"/>
          <w:sz w:val="21"/>
        </w:rPr>
        <w:t>identity</w:t>
      </w:r>
      <w:r>
        <w:rPr>
          <w:rFonts w:ascii="Cambria" w:hAnsi="Cambria"/>
          <w:i/>
          <w:color w:val="4F81BC"/>
          <w:spacing w:val="-1"/>
          <w:sz w:val="21"/>
        </w:rPr>
        <w:t> </w:t>
      </w:r>
      <w:r>
        <w:rPr>
          <w:rFonts w:ascii="Cambria" w:hAnsi="Cambria"/>
          <w:i/>
          <w:color w:val="4F81BC"/>
          <w:sz w:val="21"/>
        </w:rPr>
        <w:t>just</w:t>
      </w:r>
      <w:r>
        <w:rPr>
          <w:rFonts w:ascii="Cambria" w:hAnsi="Cambria"/>
          <w:i/>
          <w:color w:val="4F81BC"/>
          <w:spacing w:val="-4"/>
          <w:sz w:val="21"/>
        </w:rPr>
        <w:t> </w:t>
      </w:r>
      <w:r>
        <w:rPr>
          <w:rFonts w:ascii="Cambria" w:hAnsi="Cambria"/>
          <w:i/>
          <w:color w:val="4F81BC"/>
          <w:sz w:val="21"/>
        </w:rPr>
        <w:t>so</w:t>
      </w:r>
      <w:r>
        <w:rPr>
          <w:rFonts w:ascii="Cambria" w:hAnsi="Cambria"/>
          <w:i/>
          <w:color w:val="4F81BC"/>
          <w:spacing w:val="-3"/>
          <w:sz w:val="21"/>
        </w:rPr>
        <w:t> </w:t>
      </w:r>
      <w:r>
        <w:rPr>
          <w:rFonts w:ascii="Cambria" w:hAnsi="Cambria"/>
          <w:i/>
          <w:color w:val="4F81BC"/>
          <w:sz w:val="21"/>
        </w:rPr>
        <w:t>I</w:t>
      </w:r>
      <w:r>
        <w:rPr>
          <w:rFonts w:ascii="Cambria" w:hAnsi="Cambria"/>
          <w:i/>
          <w:color w:val="4F81BC"/>
          <w:spacing w:val="-2"/>
          <w:sz w:val="21"/>
        </w:rPr>
        <w:t> </w:t>
      </w:r>
      <w:r>
        <w:rPr>
          <w:rFonts w:ascii="Cambria" w:hAnsi="Cambria"/>
          <w:i/>
          <w:color w:val="4F81BC"/>
          <w:sz w:val="21"/>
        </w:rPr>
        <w:t>can</w:t>
      </w:r>
      <w:r>
        <w:rPr>
          <w:rFonts w:ascii="Cambria" w:hAnsi="Cambria"/>
          <w:i/>
          <w:color w:val="4F81BC"/>
          <w:spacing w:val="-3"/>
          <w:sz w:val="21"/>
        </w:rPr>
        <w:t> </w:t>
      </w:r>
      <w:r>
        <w:rPr>
          <w:rFonts w:ascii="Cambria" w:hAnsi="Cambria"/>
          <w:i/>
          <w:color w:val="4F81BC"/>
          <w:sz w:val="21"/>
        </w:rPr>
        <w:t>join</w:t>
      </w:r>
      <w:r>
        <w:rPr>
          <w:rFonts w:ascii="Cambria" w:hAnsi="Cambria"/>
          <w:i/>
          <w:color w:val="4F81BC"/>
          <w:spacing w:val="-1"/>
          <w:sz w:val="21"/>
        </w:rPr>
        <w:t> </w:t>
      </w:r>
      <w:r>
        <w:rPr>
          <w:rFonts w:ascii="Cambria" w:hAnsi="Cambria"/>
          <w:i/>
          <w:color w:val="4F81BC"/>
          <w:sz w:val="21"/>
        </w:rPr>
        <w:t>the</w:t>
      </w:r>
      <w:r>
        <w:rPr>
          <w:rFonts w:ascii="Cambria" w:hAnsi="Cambria"/>
          <w:i/>
          <w:color w:val="4F81BC"/>
          <w:spacing w:val="-3"/>
          <w:sz w:val="21"/>
        </w:rPr>
        <w:t> </w:t>
      </w:r>
      <w:r>
        <w:rPr>
          <w:rFonts w:ascii="Cambria" w:hAnsi="Cambria"/>
          <w:i/>
          <w:color w:val="4F81BC"/>
          <w:sz w:val="21"/>
        </w:rPr>
        <w:t>men’s</w:t>
      </w:r>
      <w:r>
        <w:rPr>
          <w:rFonts w:ascii="Cambria" w:hAnsi="Cambria"/>
          <w:i/>
          <w:color w:val="4F81BC"/>
          <w:spacing w:val="-2"/>
          <w:sz w:val="21"/>
        </w:rPr>
        <w:t> </w:t>
      </w:r>
      <w:r>
        <w:rPr>
          <w:rFonts w:ascii="Cambria" w:hAnsi="Cambria"/>
          <w:i/>
          <w:color w:val="4F81BC"/>
          <w:sz w:val="21"/>
        </w:rPr>
        <w:t>shelter</w:t>
      </w:r>
      <w:r>
        <w:rPr>
          <w:rFonts w:ascii="Cambria" w:hAnsi="Cambria"/>
          <w:i/>
          <w:color w:val="4F81BC"/>
          <w:spacing w:val="-2"/>
          <w:sz w:val="21"/>
        </w:rPr>
        <w:t> </w:t>
      </w:r>
      <w:r>
        <w:rPr>
          <w:rFonts w:ascii="Cambria" w:hAnsi="Cambria"/>
          <w:i/>
          <w:color w:val="4F81BC"/>
          <w:sz w:val="21"/>
        </w:rPr>
        <w:t>to</w:t>
      </w:r>
      <w:r>
        <w:rPr>
          <w:rFonts w:ascii="Cambria" w:hAnsi="Cambria"/>
          <w:i/>
          <w:color w:val="4F81BC"/>
          <w:spacing w:val="-2"/>
          <w:sz w:val="21"/>
        </w:rPr>
        <w:t> </w:t>
      </w:r>
      <w:r>
        <w:rPr>
          <w:rFonts w:ascii="Cambria" w:hAnsi="Cambria"/>
          <w:i/>
          <w:color w:val="4F81BC"/>
          <w:sz w:val="21"/>
        </w:rPr>
        <w:t>stay</w:t>
      </w:r>
      <w:r>
        <w:rPr>
          <w:rFonts w:ascii="Cambria" w:hAnsi="Cambria"/>
          <w:i/>
          <w:color w:val="4F81BC"/>
          <w:spacing w:val="-1"/>
          <w:sz w:val="21"/>
        </w:rPr>
        <w:t> </w:t>
      </w:r>
      <w:r>
        <w:rPr>
          <w:rFonts w:ascii="Cambria" w:hAnsi="Cambria"/>
          <w:i/>
          <w:color w:val="4F81BC"/>
          <w:sz w:val="21"/>
        </w:rPr>
        <w:t>close</w:t>
      </w:r>
      <w:r>
        <w:rPr>
          <w:rFonts w:ascii="Cambria" w:hAnsi="Cambria"/>
          <w:i/>
          <w:color w:val="4F81BC"/>
          <w:spacing w:val="-3"/>
          <w:sz w:val="21"/>
        </w:rPr>
        <w:t> </w:t>
      </w:r>
      <w:r>
        <w:rPr>
          <w:rFonts w:ascii="Cambria" w:hAnsi="Cambria"/>
          <w:i/>
          <w:color w:val="4F81BC"/>
          <w:sz w:val="21"/>
        </w:rPr>
        <w:t>to</w:t>
      </w:r>
      <w:r>
        <w:rPr>
          <w:rFonts w:ascii="Cambria" w:hAnsi="Cambria"/>
          <w:i/>
          <w:color w:val="4F81BC"/>
          <w:spacing w:val="-2"/>
          <w:sz w:val="21"/>
        </w:rPr>
        <w:t> </w:t>
      </w:r>
      <w:r>
        <w:rPr>
          <w:rFonts w:ascii="Cambria" w:hAnsi="Cambria"/>
          <w:i/>
          <w:color w:val="4F81BC"/>
          <w:sz w:val="21"/>
        </w:rPr>
        <w:t>my</w:t>
      </w:r>
      <w:r>
        <w:rPr>
          <w:rFonts w:ascii="Cambria" w:hAnsi="Cambria"/>
          <w:i/>
          <w:color w:val="4F81BC"/>
          <w:spacing w:val="-2"/>
          <w:sz w:val="21"/>
        </w:rPr>
        <w:t> </w:t>
      </w:r>
      <w:r>
        <w:rPr>
          <w:rFonts w:ascii="Cambria" w:hAnsi="Cambria"/>
          <w:i/>
          <w:color w:val="4F81BC"/>
          <w:sz w:val="21"/>
        </w:rPr>
        <w:t>partner.”</w:t>
      </w:r>
      <w:r>
        <w:rPr>
          <w:rFonts w:ascii="Cambria" w:hAnsi="Cambria"/>
          <w:i/>
          <w:color w:val="4F81BC"/>
          <w:spacing w:val="-2"/>
          <w:sz w:val="21"/>
        </w:rPr>
        <w:t> </w:t>
      </w:r>
      <w:r>
        <w:rPr>
          <w:rFonts w:ascii="Cambria" w:hAnsi="Cambria"/>
          <w:i/>
          <w:color w:val="4F81BC"/>
          <w:sz w:val="21"/>
        </w:rPr>
        <w:t>–</w:t>
      </w:r>
      <w:r>
        <w:rPr>
          <w:rFonts w:ascii="Cambria" w:hAnsi="Cambria"/>
          <w:i/>
          <w:color w:val="4F81BC"/>
          <w:spacing w:val="-1"/>
          <w:sz w:val="21"/>
        </w:rPr>
        <w:t> </w:t>
      </w:r>
      <w:r>
        <w:rPr>
          <w:rFonts w:ascii="Cambria" w:hAnsi="Cambria"/>
          <w:i/>
          <w:color w:val="4F81BC"/>
          <w:sz w:val="21"/>
        </w:rPr>
        <w:t>O, Boston trans youth currently experiencing homelessness</w:t>
      </w:r>
    </w:p>
    <w:p>
      <w:pPr>
        <w:pStyle w:val="BodyText"/>
        <w:spacing w:line="276" w:lineRule="auto" w:before="241"/>
        <w:ind w:left="464" w:right="399"/>
        <w:jc w:val="both"/>
      </w:pPr>
      <w:r>
        <w:rPr/>
        <w:t>Additionally, a lack of funding and training to address LGBTQ-specific needs in shelters and drop-in centers is an issue that leads to ineffective services and mistreatment of LGBTQ youth experiencing homelessness.</w:t>
      </w:r>
      <w:r>
        <w:rPr>
          <w:spacing w:val="-10"/>
        </w:rPr>
        <w:t> </w:t>
      </w:r>
      <w:r>
        <w:rPr/>
        <w:t>As</w:t>
      </w:r>
      <w:r>
        <w:rPr>
          <w:spacing w:val="-9"/>
        </w:rPr>
        <w:t> </w:t>
      </w:r>
      <w:r>
        <w:rPr/>
        <w:t>a</w:t>
      </w:r>
      <w:r>
        <w:rPr>
          <w:spacing w:val="-10"/>
        </w:rPr>
        <w:t> </w:t>
      </w:r>
      <w:r>
        <w:rPr/>
        <w:t>result,</w:t>
      </w:r>
      <w:r>
        <w:rPr>
          <w:spacing w:val="-8"/>
        </w:rPr>
        <w:t> </w:t>
      </w:r>
      <w:r>
        <w:rPr/>
        <w:t>LGBTQ</w:t>
      </w:r>
      <w:r>
        <w:rPr>
          <w:spacing w:val="-9"/>
        </w:rPr>
        <w:t> </w:t>
      </w:r>
      <w:r>
        <w:rPr/>
        <w:t>youth</w:t>
      </w:r>
      <w:r>
        <w:rPr>
          <w:spacing w:val="-8"/>
        </w:rPr>
        <w:t> </w:t>
      </w:r>
      <w:r>
        <w:rPr/>
        <w:t>experiencing</w:t>
      </w:r>
      <w:r>
        <w:rPr>
          <w:spacing w:val="-9"/>
        </w:rPr>
        <w:t> </w:t>
      </w:r>
      <w:r>
        <w:rPr/>
        <w:t>homelessness</w:t>
      </w:r>
      <w:r>
        <w:rPr>
          <w:spacing w:val="-9"/>
        </w:rPr>
        <w:t> </w:t>
      </w:r>
      <w:r>
        <w:rPr/>
        <w:t>are</w:t>
      </w:r>
      <w:r>
        <w:rPr>
          <w:spacing w:val="-10"/>
        </w:rPr>
        <w:t> </w:t>
      </w:r>
      <w:r>
        <w:rPr/>
        <w:t>likely</w:t>
      </w:r>
      <w:r>
        <w:rPr>
          <w:spacing w:val="-9"/>
        </w:rPr>
        <w:t> </w:t>
      </w:r>
      <w:r>
        <w:rPr/>
        <w:t>to</w:t>
      </w:r>
      <w:r>
        <w:rPr>
          <w:spacing w:val="-8"/>
        </w:rPr>
        <w:t> </w:t>
      </w:r>
      <w:r>
        <w:rPr/>
        <w:t>experience</w:t>
      </w:r>
      <w:r>
        <w:rPr>
          <w:spacing w:val="-9"/>
        </w:rPr>
        <w:t> </w:t>
      </w:r>
      <w:r>
        <w:rPr/>
        <w:t>disrespect and discrimination and have safety concerns at shelters and service organizations. </w:t>
      </w:r>
      <w:hyperlink w:history="true" w:anchor="_bookmark302">
        <w:r>
          <w:rPr>
            <w:vertAlign w:val="superscript"/>
          </w:rPr>
          <w:t>29</w:t>
        </w:r>
      </w:hyperlink>
      <w:r>
        <w:rPr>
          <w:vertAlign w:val="baseline"/>
        </w:rPr>
        <w:t> The Commonwealth urges the implementation of training for staff members at all shelters and drop-in centers in the Commonwealth to ensure that LGBTQ youth feel welcomed and supported when accessing youth homelessness services.</w:t>
      </w:r>
      <w:r>
        <w:rPr>
          <w:spacing w:val="-13"/>
          <w:vertAlign w:val="baseline"/>
        </w:rPr>
        <w:t> </w:t>
      </w:r>
      <w:hyperlink w:history="true" w:anchor="_bookmark303">
        <w:r>
          <w:rPr>
            <w:vertAlign w:val="superscript"/>
          </w:rPr>
          <w:t>30</w:t>
        </w:r>
      </w:hyperlink>
      <w:r>
        <w:rPr>
          <w:vertAlign w:val="baseline"/>
        </w:rPr>
        <w:t> However, it is critical that the state not only focus its attention on ensuring shelters are affirming spaces, but also that they provide appropriate resources and</w:t>
      </w:r>
      <w:r>
        <w:rPr>
          <w:spacing w:val="-13"/>
          <w:vertAlign w:val="baseline"/>
        </w:rPr>
        <w:t> </w:t>
      </w:r>
      <w:r>
        <w:rPr>
          <w:vertAlign w:val="baseline"/>
        </w:rPr>
        <w:t>implement</w:t>
      </w:r>
      <w:r>
        <w:rPr>
          <w:spacing w:val="-12"/>
          <w:vertAlign w:val="baseline"/>
        </w:rPr>
        <w:t> </w:t>
      </w:r>
      <w:r>
        <w:rPr>
          <w:vertAlign w:val="baseline"/>
        </w:rPr>
        <w:t>policies</w:t>
      </w:r>
      <w:r>
        <w:rPr>
          <w:spacing w:val="-13"/>
          <w:vertAlign w:val="baseline"/>
        </w:rPr>
        <w:t> </w:t>
      </w:r>
      <w:r>
        <w:rPr>
          <w:vertAlign w:val="baseline"/>
        </w:rPr>
        <w:t>to</w:t>
      </w:r>
      <w:r>
        <w:rPr>
          <w:spacing w:val="-12"/>
          <w:vertAlign w:val="baseline"/>
        </w:rPr>
        <w:t> </w:t>
      </w:r>
      <w:r>
        <w:rPr>
          <w:vertAlign w:val="baseline"/>
        </w:rPr>
        <w:t>support</w:t>
      </w:r>
      <w:r>
        <w:rPr>
          <w:spacing w:val="-13"/>
          <w:vertAlign w:val="baseline"/>
        </w:rPr>
        <w:t> </w:t>
      </w:r>
      <w:r>
        <w:rPr>
          <w:vertAlign w:val="baseline"/>
        </w:rPr>
        <w:t>individuals</w:t>
      </w:r>
      <w:r>
        <w:rPr>
          <w:spacing w:val="-12"/>
          <w:vertAlign w:val="baseline"/>
        </w:rPr>
        <w:t> </w:t>
      </w:r>
      <w:r>
        <w:rPr>
          <w:vertAlign w:val="baseline"/>
        </w:rPr>
        <w:t>at</w:t>
      </w:r>
      <w:r>
        <w:rPr>
          <w:spacing w:val="-13"/>
          <w:vertAlign w:val="baseline"/>
        </w:rPr>
        <w:t> </w:t>
      </w:r>
      <w:r>
        <w:rPr>
          <w:vertAlign w:val="baseline"/>
        </w:rPr>
        <w:t>an</w:t>
      </w:r>
      <w:r>
        <w:rPr>
          <w:spacing w:val="-12"/>
          <w:vertAlign w:val="baseline"/>
        </w:rPr>
        <w:t> </w:t>
      </w:r>
      <w:r>
        <w:rPr>
          <w:vertAlign w:val="baseline"/>
        </w:rPr>
        <w:t>increased</w:t>
      </w:r>
      <w:r>
        <w:rPr>
          <w:spacing w:val="-12"/>
          <w:vertAlign w:val="baseline"/>
        </w:rPr>
        <w:t> </w:t>
      </w:r>
      <w:r>
        <w:rPr>
          <w:vertAlign w:val="baseline"/>
        </w:rPr>
        <w:t>risk</w:t>
      </w:r>
      <w:r>
        <w:rPr>
          <w:spacing w:val="-13"/>
          <w:vertAlign w:val="baseline"/>
        </w:rPr>
        <w:t> </w:t>
      </w:r>
      <w:r>
        <w:rPr>
          <w:vertAlign w:val="baseline"/>
        </w:rPr>
        <w:t>of</w:t>
      </w:r>
      <w:r>
        <w:rPr>
          <w:spacing w:val="-12"/>
          <w:vertAlign w:val="baseline"/>
        </w:rPr>
        <w:t> </w:t>
      </w:r>
      <w:r>
        <w:rPr>
          <w:vertAlign w:val="baseline"/>
        </w:rPr>
        <w:t>trafficking</w:t>
      </w:r>
      <w:r>
        <w:rPr>
          <w:spacing w:val="-13"/>
          <w:vertAlign w:val="baseline"/>
        </w:rPr>
        <w:t> </w:t>
      </w:r>
      <w:r>
        <w:rPr>
          <w:vertAlign w:val="baseline"/>
        </w:rPr>
        <w:t>and</w:t>
      </w:r>
      <w:r>
        <w:rPr>
          <w:spacing w:val="-12"/>
          <w:vertAlign w:val="baseline"/>
        </w:rPr>
        <w:t> </w:t>
      </w:r>
      <w:r>
        <w:rPr>
          <w:vertAlign w:val="baseline"/>
        </w:rPr>
        <w:t>sexual</w:t>
      </w:r>
      <w:r>
        <w:rPr>
          <w:spacing w:val="-13"/>
          <w:vertAlign w:val="baseline"/>
        </w:rPr>
        <w:t> </w:t>
      </w:r>
      <w:r>
        <w:rPr>
          <w:vertAlign w:val="baseline"/>
        </w:rPr>
        <w:t>exploitation.</w:t>
      </w:r>
    </w:p>
    <w:p>
      <w:pPr>
        <w:pStyle w:val="BodyText"/>
        <w:ind w:left="464"/>
        <w:rPr>
          <w:sz w:val="20"/>
        </w:rPr>
      </w:pPr>
      <w:r>
        <w:rPr>
          <w:sz w:val="20"/>
        </w:rPr>
        <w:drawing>
          <wp:inline distT="0" distB="0" distL="0" distR="0">
            <wp:extent cx="5963480" cy="932688"/>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445" cstate="print"/>
                    <a:stretch>
                      <a:fillRect/>
                    </a:stretch>
                  </pic:blipFill>
                  <pic:spPr>
                    <a:xfrm>
                      <a:off x="0" y="0"/>
                      <a:ext cx="5963480" cy="932688"/>
                    </a:xfrm>
                    <a:prstGeom prst="rect">
                      <a:avLst/>
                    </a:prstGeom>
                  </pic:spPr>
                </pic:pic>
              </a:graphicData>
            </a:graphic>
          </wp:inline>
        </w:drawing>
      </w:r>
      <w:r>
        <w:rPr>
          <w:sz w:val="20"/>
        </w:rPr>
      </w:r>
    </w:p>
    <w:p>
      <w:pPr>
        <w:pStyle w:val="BodyText"/>
        <w:spacing w:before="13"/>
      </w:pPr>
    </w:p>
    <w:p>
      <w:pPr>
        <w:pStyle w:val="BodyText"/>
        <w:spacing w:line="276" w:lineRule="auto"/>
        <w:ind w:left="464" w:right="403"/>
        <w:jc w:val="both"/>
      </w:pPr>
      <w:r>
        <w:rPr/>
        <w:t>As</w:t>
      </w:r>
      <w:r>
        <w:rPr>
          <w:spacing w:val="-11"/>
        </w:rPr>
        <w:t> </w:t>
      </w:r>
      <w:r>
        <w:rPr/>
        <w:t>highlighted</w:t>
      </w:r>
      <w:r>
        <w:rPr>
          <w:spacing w:val="-11"/>
        </w:rPr>
        <w:t> </w:t>
      </w:r>
      <w:r>
        <w:rPr/>
        <w:t>in</w:t>
      </w:r>
      <w:r>
        <w:rPr>
          <w:spacing w:val="-11"/>
        </w:rPr>
        <w:t> </w:t>
      </w:r>
      <w:r>
        <w:rPr/>
        <w:t>other</w:t>
      </w:r>
      <w:r>
        <w:rPr>
          <w:spacing w:val="-11"/>
        </w:rPr>
        <w:t> </w:t>
      </w:r>
      <w:r>
        <w:rPr/>
        <w:t>sections</w:t>
      </w:r>
      <w:r>
        <w:rPr>
          <w:spacing w:val="-11"/>
        </w:rPr>
        <w:t> </w:t>
      </w:r>
      <w:r>
        <w:rPr/>
        <w:t>of</w:t>
      </w:r>
      <w:r>
        <w:rPr>
          <w:spacing w:val="-11"/>
        </w:rPr>
        <w:t> </w:t>
      </w:r>
      <w:r>
        <w:rPr/>
        <w:t>this</w:t>
      </w:r>
      <w:r>
        <w:rPr>
          <w:spacing w:val="-11"/>
        </w:rPr>
        <w:t> </w:t>
      </w:r>
      <w:r>
        <w:rPr/>
        <w:t>report,</w:t>
      </w:r>
      <w:r>
        <w:rPr>
          <w:spacing w:val="-11"/>
        </w:rPr>
        <w:t> </w:t>
      </w:r>
      <w:r>
        <w:rPr/>
        <w:t>LGBTQ</w:t>
      </w:r>
      <w:r>
        <w:rPr>
          <w:spacing w:val="-10"/>
        </w:rPr>
        <w:t> </w:t>
      </w:r>
      <w:r>
        <w:rPr/>
        <w:t>youth</w:t>
      </w:r>
      <w:r>
        <w:rPr>
          <w:spacing w:val="-11"/>
        </w:rPr>
        <w:t> </w:t>
      </w:r>
      <w:r>
        <w:rPr/>
        <w:t>experiencing</w:t>
      </w:r>
      <w:r>
        <w:rPr>
          <w:spacing w:val="-11"/>
        </w:rPr>
        <w:t> </w:t>
      </w:r>
      <w:r>
        <w:rPr/>
        <w:t>homelessness</w:t>
      </w:r>
      <w:r>
        <w:rPr>
          <w:spacing w:val="-11"/>
        </w:rPr>
        <w:t> </w:t>
      </w:r>
      <w:r>
        <w:rPr/>
        <w:t>are</w:t>
      </w:r>
      <w:r>
        <w:rPr>
          <w:spacing w:val="-13"/>
        </w:rPr>
        <w:t> </w:t>
      </w:r>
      <w:r>
        <w:rPr/>
        <w:t>more</w:t>
      </w:r>
      <w:r>
        <w:rPr>
          <w:spacing w:val="-10"/>
        </w:rPr>
        <w:t> </w:t>
      </w:r>
      <w:r>
        <w:rPr/>
        <w:t>likely to engage in survival sex work, or experience exploitation and trafficking. Shelters must be equipped with the appropriate resources to better identify and support youth who are victims of exploitation.</w:t>
      </w:r>
    </w:p>
    <w:p>
      <w:pPr>
        <w:spacing w:before="239"/>
        <w:ind w:left="464" w:right="0" w:firstLine="0"/>
        <w:jc w:val="both"/>
        <w:rPr>
          <w:sz w:val="24"/>
        </w:rPr>
      </w:pPr>
      <w:bookmarkStart w:name="Youth Homelessness and Housing Insecurit" w:id="489"/>
      <w:bookmarkEnd w:id="489"/>
      <w:r>
        <w:rPr/>
      </w:r>
      <w:r>
        <w:rPr>
          <w:color w:val="365F91"/>
          <w:sz w:val="24"/>
        </w:rPr>
        <w:t>Youth</w:t>
      </w:r>
      <w:r>
        <w:rPr>
          <w:color w:val="365F91"/>
          <w:spacing w:val="-3"/>
          <w:sz w:val="24"/>
        </w:rPr>
        <w:t> </w:t>
      </w:r>
      <w:r>
        <w:rPr>
          <w:color w:val="365F91"/>
          <w:sz w:val="24"/>
        </w:rPr>
        <w:t>Homelessness</w:t>
      </w:r>
      <w:r>
        <w:rPr>
          <w:color w:val="365F91"/>
          <w:spacing w:val="-3"/>
          <w:sz w:val="24"/>
        </w:rPr>
        <w:t> </w:t>
      </w:r>
      <w:r>
        <w:rPr>
          <w:color w:val="365F91"/>
          <w:sz w:val="24"/>
        </w:rPr>
        <w:t>and</w:t>
      </w:r>
      <w:r>
        <w:rPr>
          <w:color w:val="365F91"/>
          <w:spacing w:val="-3"/>
          <w:sz w:val="24"/>
        </w:rPr>
        <w:t> </w:t>
      </w:r>
      <w:r>
        <w:rPr>
          <w:color w:val="365F91"/>
          <w:sz w:val="24"/>
        </w:rPr>
        <w:t>Housing</w:t>
      </w:r>
      <w:r>
        <w:rPr>
          <w:color w:val="365F91"/>
          <w:spacing w:val="-3"/>
          <w:sz w:val="24"/>
        </w:rPr>
        <w:t> </w:t>
      </w:r>
      <w:r>
        <w:rPr>
          <w:color w:val="365F91"/>
          <w:sz w:val="24"/>
        </w:rPr>
        <w:t>Insecurity</w:t>
      </w:r>
      <w:r>
        <w:rPr>
          <w:color w:val="365F91"/>
          <w:spacing w:val="-2"/>
          <w:sz w:val="24"/>
        </w:rPr>
        <w:t> </w:t>
      </w:r>
      <w:r>
        <w:rPr>
          <w:color w:val="365F91"/>
          <w:sz w:val="24"/>
        </w:rPr>
        <w:t>in</w:t>
      </w:r>
      <w:r>
        <w:rPr>
          <w:color w:val="365F91"/>
          <w:spacing w:val="-3"/>
          <w:sz w:val="24"/>
        </w:rPr>
        <w:t> </w:t>
      </w:r>
      <w:r>
        <w:rPr>
          <w:color w:val="365F91"/>
          <w:sz w:val="24"/>
        </w:rPr>
        <w:t>the</w:t>
      </w:r>
      <w:r>
        <w:rPr>
          <w:color w:val="365F91"/>
          <w:spacing w:val="-2"/>
          <w:sz w:val="24"/>
        </w:rPr>
        <w:t> Commonwealth</w:t>
      </w:r>
    </w:p>
    <w:p>
      <w:pPr>
        <w:pStyle w:val="BodyText"/>
        <w:spacing w:line="276" w:lineRule="auto" w:before="285"/>
        <w:ind w:left="464" w:right="403"/>
        <w:jc w:val="both"/>
      </w:pPr>
      <w:r>
        <w:rPr/>
        <w:t>Youth homelessness and housing insecurity continues to be a pressing issue in the Commonwealth that requires continued support and funding, especially for vulnerable populations. In 2023, the U.S. Department</w:t>
      </w:r>
      <w:r>
        <w:rPr>
          <w:spacing w:val="40"/>
        </w:rPr>
        <w:t> </w:t>
      </w:r>
      <w:r>
        <w:rPr/>
        <w:t>of</w:t>
      </w:r>
      <w:r>
        <w:rPr>
          <w:spacing w:val="40"/>
        </w:rPr>
        <w:t> </w:t>
      </w:r>
      <w:r>
        <w:rPr/>
        <w:t>Housing</w:t>
      </w:r>
      <w:r>
        <w:rPr>
          <w:spacing w:val="40"/>
        </w:rPr>
        <w:t> </w:t>
      </w:r>
      <w:r>
        <w:rPr/>
        <w:t>and</w:t>
      </w:r>
      <w:r>
        <w:rPr>
          <w:spacing w:val="40"/>
        </w:rPr>
        <w:t> </w:t>
      </w:r>
      <w:r>
        <w:rPr/>
        <w:t>Urban</w:t>
      </w:r>
      <w:r>
        <w:rPr>
          <w:spacing w:val="40"/>
        </w:rPr>
        <w:t> </w:t>
      </w:r>
      <w:r>
        <w:rPr/>
        <w:t>Development</w:t>
      </w:r>
      <w:r>
        <w:rPr>
          <w:spacing w:val="40"/>
        </w:rPr>
        <w:t> </w:t>
      </w:r>
      <w:r>
        <w:rPr/>
        <w:t>(HUD)</w:t>
      </w:r>
      <w:r>
        <w:rPr>
          <w:spacing w:val="40"/>
        </w:rPr>
        <w:t> </w:t>
      </w:r>
      <w:r>
        <w:rPr/>
        <w:t>noted</w:t>
      </w:r>
      <w:r>
        <w:rPr>
          <w:spacing w:val="40"/>
        </w:rPr>
        <w:t> </w:t>
      </w:r>
      <w:r>
        <w:rPr/>
        <w:t>that</w:t>
      </w:r>
      <w:r>
        <w:rPr>
          <w:spacing w:val="40"/>
        </w:rPr>
        <w:t> </w:t>
      </w:r>
      <w:r>
        <w:rPr/>
        <w:t>8,748</w:t>
      </w:r>
      <w:r>
        <w:rPr>
          <w:spacing w:val="40"/>
        </w:rPr>
        <w:t> </w:t>
      </w:r>
      <w:r>
        <w:rPr/>
        <w:t>individuals</w:t>
      </w:r>
      <w:r>
        <w:rPr>
          <w:spacing w:val="57"/>
        </w:rPr>
        <w:t> </w:t>
      </w:r>
      <w:r>
        <w:rPr/>
        <w:t>under</w:t>
      </w:r>
      <w:r>
        <w:rPr>
          <w:spacing w:val="40"/>
        </w:rPr>
        <w:t> </w:t>
      </w:r>
      <w:r>
        <w:rPr/>
        <w:t>25</w:t>
      </w:r>
    </w:p>
    <w:p>
      <w:pPr>
        <w:spacing w:after="0" w:line="276" w:lineRule="auto"/>
        <w:jc w:val="both"/>
        <w:sectPr>
          <w:pgSz w:w="12240" w:h="15840"/>
          <w:pgMar w:header="765" w:footer="1127" w:top="1280" w:bottom="1380" w:left="1120" w:right="1180"/>
        </w:sectPr>
      </w:pPr>
    </w:p>
    <w:p>
      <w:pPr>
        <w:pStyle w:val="BodyText"/>
        <w:spacing w:line="276" w:lineRule="auto" w:before="91"/>
        <w:ind w:left="464" w:right="402"/>
        <w:jc w:val="both"/>
      </w:pPr>
      <w:r>
        <w:rPr/>
        <w:t>experienced homelessness on a single night in Massachusetts, with 485 classified as unaccompanied homeless youth.</w:t>
      </w:r>
      <w:hyperlink w:history="true" w:anchor="_bookmark304">
        <w:r>
          <w:rPr>
            <w:vertAlign w:val="superscript"/>
          </w:rPr>
          <w:t>31</w:t>
        </w:r>
      </w:hyperlink>
      <w:r>
        <w:rPr>
          <w:spacing w:val="-3"/>
          <w:vertAlign w:val="baseline"/>
        </w:rPr>
        <w:t> </w:t>
      </w:r>
      <w:r>
        <w:rPr>
          <w:vertAlign w:val="baseline"/>
        </w:rPr>
        <w:t>However, data from the Massachusetts Department of Elementary and Secondary Education (DESE) based on the number of homeless children and youth enrolled in Massachusetts's public schools for the 2022-2023 school year recorded 1,790 unaccompanied youth in the Commonwealth.</w:t>
      </w:r>
      <w:hyperlink w:history="true" w:anchor="_bookmark305">
        <w:r>
          <w:rPr>
            <w:vertAlign w:val="superscript"/>
          </w:rPr>
          <w:t>32</w:t>
        </w:r>
      </w:hyperlink>
      <w:r>
        <w:rPr>
          <w:spacing w:val="-3"/>
          <w:vertAlign w:val="baseline"/>
        </w:rPr>
        <w:t> </w:t>
      </w:r>
      <w:r>
        <w:rPr>
          <w:vertAlign w:val="baseline"/>
        </w:rPr>
        <w:t>This</w:t>
      </w:r>
      <w:r>
        <w:rPr>
          <w:spacing w:val="-4"/>
          <w:vertAlign w:val="baseline"/>
        </w:rPr>
        <w:t> </w:t>
      </w:r>
      <w:r>
        <w:rPr>
          <w:vertAlign w:val="baseline"/>
        </w:rPr>
        <w:t>underscores</w:t>
      </w:r>
      <w:r>
        <w:rPr>
          <w:spacing w:val="-4"/>
          <w:vertAlign w:val="baseline"/>
        </w:rPr>
        <w:t> </w:t>
      </w:r>
      <w:r>
        <w:rPr>
          <w:vertAlign w:val="baseline"/>
        </w:rPr>
        <w:t>how</w:t>
      </w:r>
      <w:r>
        <w:rPr>
          <w:spacing w:val="-3"/>
          <w:vertAlign w:val="baseline"/>
        </w:rPr>
        <w:t> </w:t>
      </w:r>
      <w:r>
        <w:rPr>
          <w:vertAlign w:val="baseline"/>
        </w:rPr>
        <w:t>differences</w:t>
      </w:r>
      <w:r>
        <w:rPr>
          <w:spacing w:val="-4"/>
          <w:vertAlign w:val="baseline"/>
        </w:rPr>
        <w:t> </w:t>
      </w:r>
      <w:r>
        <w:rPr>
          <w:vertAlign w:val="baseline"/>
        </w:rPr>
        <w:t>in</w:t>
      </w:r>
      <w:r>
        <w:rPr>
          <w:spacing w:val="-3"/>
          <w:vertAlign w:val="baseline"/>
        </w:rPr>
        <w:t> </w:t>
      </w:r>
      <w:r>
        <w:rPr>
          <w:vertAlign w:val="baseline"/>
        </w:rPr>
        <w:t>data</w:t>
      </w:r>
      <w:r>
        <w:rPr>
          <w:spacing w:val="-3"/>
          <w:vertAlign w:val="baseline"/>
        </w:rPr>
        <w:t> </w:t>
      </w:r>
      <w:r>
        <w:rPr>
          <w:vertAlign w:val="baseline"/>
        </w:rPr>
        <w:t>can</w:t>
      </w:r>
      <w:r>
        <w:rPr>
          <w:spacing w:val="-4"/>
          <w:vertAlign w:val="baseline"/>
        </w:rPr>
        <w:t> </w:t>
      </w:r>
      <w:r>
        <w:rPr>
          <w:vertAlign w:val="baseline"/>
        </w:rPr>
        <w:t>impact</w:t>
      </w:r>
      <w:r>
        <w:rPr>
          <w:spacing w:val="-3"/>
          <w:vertAlign w:val="baseline"/>
        </w:rPr>
        <w:t> </w:t>
      </w:r>
      <w:r>
        <w:rPr>
          <w:vertAlign w:val="baseline"/>
        </w:rPr>
        <w:t>policy</w:t>
      </w:r>
      <w:r>
        <w:rPr>
          <w:spacing w:val="-4"/>
          <w:vertAlign w:val="baseline"/>
        </w:rPr>
        <w:t> </w:t>
      </w:r>
      <w:r>
        <w:rPr>
          <w:vertAlign w:val="baseline"/>
        </w:rPr>
        <w:t>and</w:t>
      </w:r>
      <w:r>
        <w:rPr>
          <w:spacing w:val="-4"/>
          <w:vertAlign w:val="baseline"/>
        </w:rPr>
        <w:t> </w:t>
      </w:r>
      <w:r>
        <w:rPr>
          <w:vertAlign w:val="baseline"/>
        </w:rPr>
        <w:t>program</w:t>
      </w:r>
      <w:r>
        <w:rPr>
          <w:spacing w:val="-3"/>
          <w:vertAlign w:val="baseline"/>
        </w:rPr>
        <w:t> </w:t>
      </w:r>
      <w:r>
        <w:rPr>
          <w:vertAlign w:val="baseline"/>
        </w:rPr>
        <w:t>decisions. State-level</w:t>
      </w:r>
      <w:r>
        <w:rPr>
          <w:spacing w:val="-3"/>
          <w:vertAlign w:val="baseline"/>
        </w:rPr>
        <w:t> </w:t>
      </w:r>
      <w:r>
        <w:rPr>
          <w:vertAlign w:val="baseline"/>
        </w:rPr>
        <w:t>statistics</w:t>
      </w:r>
      <w:r>
        <w:rPr>
          <w:spacing w:val="-1"/>
          <w:vertAlign w:val="baseline"/>
        </w:rPr>
        <w:t> </w:t>
      </w:r>
      <w:r>
        <w:rPr>
          <w:vertAlign w:val="baseline"/>
        </w:rPr>
        <w:t>highlight</w:t>
      </w:r>
      <w:r>
        <w:rPr>
          <w:spacing w:val="-2"/>
          <w:vertAlign w:val="baseline"/>
        </w:rPr>
        <w:t> </w:t>
      </w:r>
      <w:r>
        <w:rPr>
          <w:vertAlign w:val="baseline"/>
        </w:rPr>
        <w:t>a</w:t>
      </w:r>
      <w:r>
        <w:rPr>
          <w:spacing w:val="-2"/>
          <w:vertAlign w:val="baseline"/>
        </w:rPr>
        <w:t> </w:t>
      </w:r>
      <w:r>
        <w:rPr>
          <w:vertAlign w:val="baseline"/>
        </w:rPr>
        <w:t>significant</w:t>
      </w:r>
      <w:r>
        <w:rPr>
          <w:spacing w:val="-2"/>
          <w:vertAlign w:val="baseline"/>
        </w:rPr>
        <w:t> </w:t>
      </w:r>
      <w:r>
        <w:rPr>
          <w:vertAlign w:val="baseline"/>
        </w:rPr>
        <w:t>number</w:t>
      </w:r>
      <w:r>
        <w:rPr>
          <w:spacing w:val="-3"/>
          <w:vertAlign w:val="baseline"/>
        </w:rPr>
        <w:t> </w:t>
      </w:r>
      <w:r>
        <w:rPr>
          <w:vertAlign w:val="baseline"/>
        </w:rPr>
        <w:t>of</w:t>
      </w:r>
      <w:r>
        <w:rPr>
          <w:spacing w:val="-2"/>
          <w:vertAlign w:val="baseline"/>
        </w:rPr>
        <w:t> </w:t>
      </w:r>
      <w:r>
        <w:rPr>
          <w:vertAlign w:val="baseline"/>
        </w:rPr>
        <w:t>unaccompanied</w:t>
      </w:r>
      <w:r>
        <w:rPr>
          <w:spacing w:val="-3"/>
          <w:vertAlign w:val="baseline"/>
        </w:rPr>
        <w:t> </w:t>
      </w:r>
      <w:r>
        <w:rPr>
          <w:vertAlign w:val="baseline"/>
        </w:rPr>
        <w:t>youth</w:t>
      </w:r>
      <w:r>
        <w:rPr>
          <w:spacing w:val="-3"/>
          <w:vertAlign w:val="baseline"/>
        </w:rPr>
        <w:t> </w:t>
      </w:r>
      <w:r>
        <w:rPr>
          <w:vertAlign w:val="baseline"/>
        </w:rPr>
        <w:t>still</w:t>
      </w:r>
      <w:r>
        <w:rPr>
          <w:spacing w:val="-2"/>
          <w:vertAlign w:val="baseline"/>
        </w:rPr>
        <w:t> </w:t>
      </w:r>
      <w:r>
        <w:rPr>
          <w:vertAlign w:val="baseline"/>
        </w:rPr>
        <w:t>facing</w:t>
      </w:r>
      <w:r>
        <w:rPr>
          <w:spacing w:val="-3"/>
          <w:vertAlign w:val="baseline"/>
        </w:rPr>
        <w:t> </w:t>
      </w:r>
      <w:r>
        <w:rPr>
          <w:vertAlign w:val="baseline"/>
        </w:rPr>
        <w:t>homelessness, emphasizing the need for ongoing prioritization of state-level initiatives to address this issue.</w:t>
      </w:r>
    </w:p>
    <w:p>
      <w:pPr>
        <w:pStyle w:val="BodyText"/>
        <w:spacing w:line="276" w:lineRule="auto" w:before="240"/>
        <w:ind w:left="463" w:right="402"/>
        <w:jc w:val="both"/>
      </w:pPr>
      <w:r>
        <w:rPr/>
        <w:t>Additionally, youth homelessness is a prevalent issue across the Commonwealth in both urban and rural settings. Research has indicated that services and programs are often tailored to urban settings and neglect to provide a strategic response to better target youth homelessness in rural settings as well.</w:t>
      </w:r>
      <w:hyperlink w:history="true" w:anchor="_bookmark306">
        <w:r>
          <w:rPr>
            <w:vertAlign w:val="superscript"/>
          </w:rPr>
          <w:t>33</w:t>
        </w:r>
      </w:hyperlink>
      <w:r>
        <w:rPr>
          <w:vertAlign w:val="baseline"/>
        </w:rPr>
        <w:t> In the Commonwealth, the rates of youth homelessness of unaccompanied youth under 25 indicate</w:t>
      </w:r>
      <w:r>
        <w:rPr>
          <w:spacing w:val="-10"/>
          <w:vertAlign w:val="baseline"/>
        </w:rPr>
        <w:t> </w:t>
      </w:r>
      <w:r>
        <w:rPr>
          <w:vertAlign w:val="baseline"/>
        </w:rPr>
        <w:t>that</w:t>
      </w:r>
      <w:r>
        <w:rPr>
          <w:spacing w:val="-9"/>
          <w:vertAlign w:val="baseline"/>
        </w:rPr>
        <w:t> </w:t>
      </w:r>
      <w:r>
        <w:rPr>
          <w:vertAlign w:val="baseline"/>
        </w:rPr>
        <w:t>youth</w:t>
      </w:r>
      <w:r>
        <w:rPr>
          <w:spacing w:val="-12"/>
          <w:vertAlign w:val="baseline"/>
        </w:rPr>
        <w:t> </w:t>
      </w:r>
      <w:r>
        <w:rPr>
          <w:vertAlign w:val="baseline"/>
        </w:rPr>
        <w:t>homelessness</w:t>
      </w:r>
      <w:r>
        <w:rPr>
          <w:spacing w:val="-11"/>
          <w:vertAlign w:val="baseline"/>
        </w:rPr>
        <w:t> </w:t>
      </w:r>
      <w:r>
        <w:rPr>
          <w:vertAlign w:val="baseline"/>
        </w:rPr>
        <w:t>is</w:t>
      </w:r>
      <w:r>
        <w:rPr>
          <w:spacing w:val="-11"/>
          <w:vertAlign w:val="baseline"/>
        </w:rPr>
        <w:t> </w:t>
      </w:r>
      <w:r>
        <w:rPr>
          <w:vertAlign w:val="baseline"/>
        </w:rPr>
        <w:t>prevalent</w:t>
      </w:r>
      <w:r>
        <w:rPr>
          <w:spacing w:val="-12"/>
          <w:vertAlign w:val="baseline"/>
        </w:rPr>
        <w:t> </w:t>
      </w:r>
      <w:r>
        <w:rPr>
          <w:vertAlign w:val="baseline"/>
        </w:rPr>
        <w:t>in</w:t>
      </w:r>
      <w:r>
        <w:rPr>
          <w:spacing w:val="-10"/>
          <w:vertAlign w:val="baseline"/>
        </w:rPr>
        <w:t> </w:t>
      </w:r>
      <w:r>
        <w:rPr>
          <w:vertAlign w:val="baseline"/>
        </w:rPr>
        <w:t>both</w:t>
      </w:r>
      <w:r>
        <w:rPr>
          <w:spacing w:val="-10"/>
          <w:vertAlign w:val="baseline"/>
        </w:rPr>
        <w:t> </w:t>
      </w:r>
      <w:r>
        <w:rPr>
          <w:vertAlign w:val="baseline"/>
        </w:rPr>
        <w:t>urban</w:t>
      </w:r>
      <w:r>
        <w:rPr>
          <w:spacing w:val="-10"/>
          <w:vertAlign w:val="baseline"/>
        </w:rPr>
        <w:t> </w:t>
      </w:r>
      <w:r>
        <w:rPr>
          <w:vertAlign w:val="baseline"/>
        </w:rPr>
        <w:t>and</w:t>
      </w:r>
      <w:r>
        <w:rPr>
          <w:spacing w:val="-12"/>
          <w:vertAlign w:val="baseline"/>
        </w:rPr>
        <w:t> </w:t>
      </w:r>
      <w:r>
        <w:rPr>
          <w:vertAlign w:val="baseline"/>
        </w:rPr>
        <w:t>rural</w:t>
      </w:r>
      <w:r>
        <w:rPr>
          <w:spacing w:val="-11"/>
          <w:vertAlign w:val="baseline"/>
        </w:rPr>
        <w:t> </w:t>
      </w:r>
      <w:r>
        <w:rPr>
          <w:vertAlign w:val="baseline"/>
        </w:rPr>
        <w:t>settings</w:t>
      </w:r>
      <w:r>
        <w:rPr>
          <w:spacing w:val="-11"/>
          <w:vertAlign w:val="baseline"/>
        </w:rPr>
        <w:t> </w:t>
      </w:r>
      <w:r>
        <w:rPr>
          <w:vertAlign w:val="baseline"/>
        </w:rPr>
        <w:t>as</w:t>
      </w:r>
      <w:r>
        <w:rPr>
          <w:spacing w:val="-11"/>
          <w:vertAlign w:val="baseline"/>
        </w:rPr>
        <w:t> </w:t>
      </w:r>
      <w:r>
        <w:rPr>
          <w:vertAlign w:val="baseline"/>
        </w:rPr>
        <w:t>seen</w:t>
      </w:r>
      <w:r>
        <w:rPr>
          <w:spacing w:val="-12"/>
          <w:vertAlign w:val="baseline"/>
        </w:rPr>
        <w:t> </w:t>
      </w:r>
      <w:r>
        <w:rPr>
          <w:vertAlign w:val="baseline"/>
        </w:rPr>
        <w:t>in</w:t>
      </w:r>
      <w:r>
        <w:rPr>
          <w:spacing w:val="-12"/>
          <w:vertAlign w:val="baseline"/>
        </w:rPr>
        <w:t> </w:t>
      </w:r>
      <w:r>
        <w:rPr>
          <w:vertAlign w:val="baseline"/>
        </w:rPr>
        <w:t>Table</w:t>
      </w:r>
      <w:r>
        <w:rPr>
          <w:spacing w:val="-10"/>
          <w:vertAlign w:val="baseline"/>
        </w:rPr>
        <w:t> </w:t>
      </w:r>
      <w:r>
        <w:rPr>
          <w:vertAlign w:val="baseline"/>
        </w:rPr>
        <w:t>1.</w:t>
      </w:r>
      <w:hyperlink w:history="true" w:anchor="_bookmark307">
        <w:r>
          <w:rPr>
            <w:vertAlign w:val="superscript"/>
          </w:rPr>
          <w:t>34</w:t>
        </w:r>
      </w:hyperlink>
      <w:r>
        <w:rPr>
          <w:spacing w:val="-3"/>
          <w:vertAlign w:val="baseline"/>
        </w:rPr>
        <w:t> </w:t>
      </w:r>
      <w:r>
        <w:rPr>
          <w:vertAlign w:val="baseline"/>
        </w:rPr>
        <w:t>This table represents the 12 Continuum of Care (CoC) programs in Massachusetts that serve the purpose of a planning body that coordinates housing and services funding for homeless families and individuals.</w:t>
      </w:r>
      <w:r>
        <w:rPr>
          <w:spacing w:val="-8"/>
          <w:vertAlign w:val="baseline"/>
        </w:rPr>
        <w:t> </w:t>
      </w:r>
      <w:hyperlink w:history="true" w:anchor="_bookmark308">
        <w:r>
          <w:rPr>
            <w:vertAlign w:val="superscript"/>
          </w:rPr>
          <w:t>35</w:t>
        </w:r>
      </w:hyperlink>
      <w:r>
        <w:rPr>
          <w:vertAlign w:val="baseline"/>
        </w:rPr>
        <w:t> As the Commonwealth develops programs and initiatives for youth homelessness prevention, it is also critical to plan strategically for rural settings.</w:t>
      </w:r>
    </w:p>
    <w:p>
      <w:pPr>
        <w:pStyle w:val="BodyText"/>
        <w:spacing w:before="7"/>
        <w:rPr>
          <w:sz w:val="19"/>
        </w:rPr>
      </w:pPr>
    </w:p>
    <w:tbl>
      <w:tblPr>
        <w:tblW w:w="0" w:type="auto"/>
        <w:jc w:val="left"/>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0"/>
        <w:gridCol w:w="2720"/>
        <w:gridCol w:w="899"/>
        <w:gridCol w:w="810"/>
        <w:gridCol w:w="2519"/>
        <w:gridCol w:w="989"/>
      </w:tblGrid>
      <w:tr>
        <w:trPr>
          <w:trHeight w:val="440" w:hRule="atLeast"/>
        </w:trPr>
        <w:tc>
          <w:tcPr>
            <w:tcW w:w="510" w:type="dxa"/>
            <w:shd w:val="clear" w:color="auto" w:fill="CFE1F3"/>
          </w:tcPr>
          <w:p>
            <w:pPr>
              <w:pStyle w:val="TableParagraph"/>
              <w:rPr>
                <w:rFonts w:ascii="Times New Roman"/>
                <w:sz w:val="20"/>
              </w:rPr>
            </w:pPr>
          </w:p>
        </w:tc>
        <w:tc>
          <w:tcPr>
            <w:tcW w:w="2720" w:type="dxa"/>
            <w:tcBorders>
              <w:bottom w:val="single" w:sz="6" w:space="0" w:color="000000"/>
            </w:tcBorders>
            <w:shd w:val="clear" w:color="auto" w:fill="CFE1F3"/>
          </w:tcPr>
          <w:p>
            <w:pPr>
              <w:pStyle w:val="TableParagraph"/>
              <w:spacing w:before="99"/>
              <w:ind w:left="244"/>
              <w:rPr>
                <w:b/>
                <w:sz w:val="20"/>
              </w:rPr>
            </w:pPr>
            <w:r>
              <w:rPr>
                <w:b/>
                <w:sz w:val="20"/>
              </w:rPr>
              <w:t>CoC</w:t>
            </w:r>
            <w:r>
              <w:rPr>
                <w:b/>
                <w:spacing w:val="-1"/>
                <w:sz w:val="20"/>
              </w:rPr>
              <w:t> </w:t>
            </w:r>
            <w:r>
              <w:rPr>
                <w:b/>
                <w:spacing w:val="-2"/>
                <w:sz w:val="20"/>
              </w:rPr>
              <w:t>Region</w:t>
            </w:r>
          </w:p>
        </w:tc>
        <w:tc>
          <w:tcPr>
            <w:tcW w:w="899" w:type="dxa"/>
            <w:tcBorders>
              <w:bottom w:val="single" w:sz="6" w:space="0" w:color="000000"/>
              <w:right w:val="single" w:sz="12" w:space="0" w:color="000000"/>
            </w:tcBorders>
            <w:shd w:val="clear" w:color="auto" w:fill="CFE1F3"/>
          </w:tcPr>
          <w:p>
            <w:pPr>
              <w:pStyle w:val="TableParagraph"/>
              <w:spacing w:before="99"/>
              <w:ind w:left="243"/>
              <w:rPr>
                <w:b/>
                <w:sz w:val="20"/>
              </w:rPr>
            </w:pPr>
            <w:r>
              <w:rPr>
                <w:b/>
                <w:spacing w:val="-10"/>
                <w:sz w:val="20"/>
              </w:rPr>
              <w:t>%</w:t>
            </w:r>
          </w:p>
        </w:tc>
        <w:tc>
          <w:tcPr>
            <w:tcW w:w="810" w:type="dxa"/>
            <w:tcBorders>
              <w:left w:val="single" w:sz="12" w:space="0" w:color="000000"/>
            </w:tcBorders>
            <w:shd w:val="clear" w:color="auto" w:fill="CFE1F3"/>
          </w:tcPr>
          <w:p>
            <w:pPr>
              <w:pStyle w:val="TableParagraph"/>
              <w:rPr>
                <w:rFonts w:ascii="Times New Roman"/>
                <w:sz w:val="20"/>
              </w:rPr>
            </w:pPr>
          </w:p>
        </w:tc>
        <w:tc>
          <w:tcPr>
            <w:tcW w:w="2519" w:type="dxa"/>
            <w:tcBorders>
              <w:bottom w:val="single" w:sz="6" w:space="0" w:color="000000"/>
            </w:tcBorders>
            <w:shd w:val="clear" w:color="auto" w:fill="CFE1F3"/>
          </w:tcPr>
          <w:p>
            <w:pPr>
              <w:pStyle w:val="TableParagraph"/>
              <w:spacing w:before="99"/>
              <w:ind w:left="244"/>
              <w:rPr>
                <w:b/>
                <w:sz w:val="20"/>
              </w:rPr>
            </w:pPr>
            <w:r>
              <w:rPr>
                <w:b/>
                <w:sz w:val="20"/>
              </w:rPr>
              <w:t>CoC</w:t>
            </w:r>
            <w:r>
              <w:rPr>
                <w:b/>
                <w:spacing w:val="-1"/>
                <w:sz w:val="20"/>
              </w:rPr>
              <w:t> </w:t>
            </w:r>
            <w:r>
              <w:rPr>
                <w:b/>
                <w:spacing w:val="-2"/>
                <w:sz w:val="20"/>
              </w:rPr>
              <w:t>Region</w:t>
            </w:r>
          </w:p>
        </w:tc>
        <w:tc>
          <w:tcPr>
            <w:tcW w:w="989" w:type="dxa"/>
            <w:tcBorders>
              <w:bottom w:val="single" w:sz="6" w:space="0" w:color="000000"/>
            </w:tcBorders>
            <w:shd w:val="clear" w:color="auto" w:fill="CFE1F3"/>
          </w:tcPr>
          <w:p>
            <w:pPr>
              <w:pStyle w:val="TableParagraph"/>
              <w:spacing w:before="99"/>
              <w:ind w:left="245"/>
              <w:rPr>
                <w:b/>
                <w:sz w:val="20"/>
              </w:rPr>
            </w:pPr>
            <w:r>
              <w:rPr>
                <w:b/>
                <w:spacing w:val="-10"/>
                <w:sz w:val="20"/>
              </w:rPr>
              <w:t>%</w:t>
            </w:r>
          </w:p>
        </w:tc>
      </w:tr>
      <w:tr>
        <w:trPr>
          <w:trHeight w:val="932"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1</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rPr>
                <w:sz w:val="20"/>
              </w:rPr>
            </w:pPr>
          </w:p>
          <w:p>
            <w:pPr>
              <w:pStyle w:val="TableParagraph"/>
              <w:spacing w:before="103"/>
              <w:rPr>
                <w:sz w:val="20"/>
              </w:rPr>
            </w:pPr>
          </w:p>
          <w:p>
            <w:pPr>
              <w:pStyle w:val="TableParagraph"/>
              <w:ind w:left="186"/>
              <w:rPr>
                <w:sz w:val="20"/>
              </w:rPr>
            </w:pPr>
            <w:r>
              <w:rPr>
                <w:sz w:val="20"/>
              </w:rPr>
              <w:t>Balance</w:t>
            </w:r>
            <w:r>
              <w:rPr>
                <w:spacing w:val="-3"/>
                <w:sz w:val="20"/>
              </w:rPr>
              <w:t> </w:t>
            </w:r>
            <w:r>
              <w:rPr>
                <w:sz w:val="20"/>
              </w:rPr>
              <w:t>of</w:t>
            </w:r>
            <w:r>
              <w:rPr>
                <w:spacing w:val="-3"/>
                <w:sz w:val="20"/>
              </w:rPr>
              <w:t> </w:t>
            </w:r>
            <w:r>
              <w:rPr>
                <w:spacing w:val="-2"/>
                <w:sz w:val="20"/>
              </w:rPr>
              <w:t>State</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rPr>
                <w:sz w:val="20"/>
              </w:rPr>
            </w:pPr>
          </w:p>
          <w:p>
            <w:pPr>
              <w:pStyle w:val="TableParagraph"/>
              <w:spacing w:before="103"/>
              <w:rPr>
                <w:sz w:val="20"/>
              </w:rPr>
            </w:pPr>
          </w:p>
          <w:p>
            <w:pPr>
              <w:pStyle w:val="TableParagraph"/>
              <w:ind w:left="186"/>
              <w:rPr>
                <w:sz w:val="20"/>
              </w:rPr>
            </w:pPr>
            <w:r>
              <w:rPr>
                <w:spacing w:val="-2"/>
                <w:sz w:val="20"/>
              </w:rPr>
              <w:t>27.0%</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10"/>
                <w:sz w:val="20"/>
              </w:rPr>
              <w:t>7</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tabs>
                <w:tab w:pos="1552" w:val="left" w:leader="none"/>
              </w:tabs>
              <w:spacing w:before="103"/>
              <w:ind w:left="187" w:right="162"/>
              <w:jc w:val="both"/>
              <w:rPr>
                <w:sz w:val="20"/>
              </w:rPr>
            </w:pPr>
            <w:r>
              <w:rPr>
                <w:spacing w:val="-2"/>
                <w:sz w:val="20"/>
              </w:rPr>
              <w:t>Quincy,</w:t>
            </w:r>
            <w:r>
              <w:rPr>
                <w:sz w:val="20"/>
              </w:rPr>
              <w:tab/>
            </w:r>
            <w:r>
              <w:rPr>
                <w:spacing w:val="-2"/>
                <w:sz w:val="20"/>
              </w:rPr>
              <w:t>Brockton, </w:t>
            </w:r>
            <w:r>
              <w:rPr>
                <w:sz w:val="20"/>
              </w:rPr>
              <w:t>Weymouth, Plymouth</w:t>
            </w:r>
            <w:r>
              <w:rPr>
                <w:spacing w:val="40"/>
                <w:sz w:val="20"/>
              </w:rPr>
              <w:t> </w:t>
            </w:r>
            <w:r>
              <w:rPr>
                <w:sz w:val="20"/>
              </w:rPr>
              <w:t>City, and County</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rPr>
                <w:sz w:val="20"/>
              </w:rPr>
            </w:pPr>
          </w:p>
          <w:p>
            <w:pPr>
              <w:pStyle w:val="TableParagraph"/>
              <w:spacing w:before="103"/>
              <w:rPr>
                <w:sz w:val="20"/>
              </w:rPr>
            </w:pPr>
          </w:p>
          <w:p>
            <w:pPr>
              <w:pStyle w:val="TableParagraph"/>
              <w:ind w:left="188"/>
              <w:rPr>
                <w:sz w:val="20"/>
              </w:rPr>
            </w:pPr>
            <w:r>
              <w:rPr>
                <w:spacing w:val="-4"/>
                <w:sz w:val="20"/>
              </w:rPr>
              <w:t>3.7%</w:t>
            </w:r>
          </w:p>
        </w:tc>
      </w:tr>
      <w:tr>
        <w:trPr>
          <w:trHeight w:val="444"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2</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103"/>
              <w:ind w:left="186"/>
              <w:rPr>
                <w:sz w:val="20"/>
              </w:rPr>
            </w:pPr>
            <w:r>
              <w:rPr>
                <w:spacing w:val="-2"/>
                <w:sz w:val="20"/>
              </w:rPr>
              <w:t>Boston</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spacing w:before="103"/>
              <w:ind w:left="186"/>
              <w:rPr>
                <w:sz w:val="20"/>
              </w:rPr>
            </w:pPr>
            <w:r>
              <w:rPr>
                <w:spacing w:val="-2"/>
                <w:sz w:val="20"/>
              </w:rPr>
              <w:t>23.1%</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10"/>
                <w:sz w:val="20"/>
              </w:rPr>
              <w:t>8</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spacing w:before="103"/>
              <w:ind w:left="187"/>
              <w:rPr>
                <w:sz w:val="20"/>
              </w:rPr>
            </w:pPr>
            <w:r>
              <w:rPr>
                <w:sz w:val="20"/>
              </w:rPr>
              <w:t>New</w:t>
            </w:r>
            <w:r>
              <w:rPr>
                <w:spacing w:val="-4"/>
                <w:sz w:val="20"/>
              </w:rPr>
              <w:t> </w:t>
            </w:r>
            <w:r>
              <w:rPr>
                <w:spacing w:val="-2"/>
                <w:sz w:val="20"/>
              </w:rPr>
              <w:t>Bedford</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103"/>
              <w:ind w:left="188"/>
              <w:rPr>
                <w:sz w:val="20"/>
              </w:rPr>
            </w:pPr>
            <w:r>
              <w:rPr>
                <w:spacing w:val="-4"/>
                <w:sz w:val="20"/>
              </w:rPr>
              <w:t>3.7%</w:t>
            </w:r>
          </w:p>
        </w:tc>
      </w:tr>
      <w:tr>
        <w:trPr>
          <w:trHeight w:val="688"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3</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103"/>
              <w:ind w:left="186" w:right="267"/>
              <w:rPr>
                <w:sz w:val="20"/>
              </w:rPr>
            </w:pPr>
            <w:r>
              <w:rPr>
                <w:spacing w:val="-2"/>
                <w:sz w:val="20"/>
              </w:rPr>
              <w:t>Springfield/Hampden County</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spacing w:before="102"/>
              <w:rPr>
                <w:sz w:val="20"/>
              </w:rPr>
            </w:pPr>
          </w:p>
          <w:p>
            <w:pPr>
              <w:pStyle w:val="TableParagraph"/>
              <w:ind w:left="186"/>
              <w:rPr>
                <w:sz w:val="20"/>
              </w:rPr>
            </w:pPr>
            <w:r>
              <w:rPr>
                <w:spacing w:val="-2"/>
                <w:sz w:val="20"/>
              </w:rPr>
              <w:t>12.8%</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10"/>
                <w:sz w:val="20"/>
              </w:rPr>
              <w:t>9</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7"/>
              <w:rPr>
                <w:sz w:val="20"/>
              </w:rPr>
            </w:pPr>
            <w:r>
              <w:rPr>
                <w:sz w:val="20"/>
              </w:rPr>
              <w:t>Cape</w:t>
            </w:r>
            <w:r>
              <w:rPr>
                <w:spacing w:val="-3"/>
                <w:sz w:val="20"/>
              </w:rPr>
              <w:t> </w:t>
            </w:r>
            <w:r>
              <w:rPr>
                <w:sz w:val="20"/>
              </w:rPr>
              <w:t>Cod</w:t>
            </w:r>
            <w:r>
              <w:rPr>
                <w:spacing w:val="-2"/>
                <w:sz w:val="20"/>
              </w:rPr>
              <w:t> Islands</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8"/>
              <w:rPr>
                <w:sz w:val="20"/>
              </w:rPr>
            </w:pPr>
            <w:r>
              <w:rPr>
                <w:spacing w:val="-4"/>
                <w:sz w:val="20"/>
              </w:rPr>
              <w:t>2.7%</w:t>
            </w:r>
          </w:p>
        </w:tc>
      </w:tr>
      <w:tr>
        <w:trPr>
          <w:trHeight w:val="687"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4</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6"/>
              <w:rPr>
                <w:sz w:val="20"/>
              </w:rPr>
            </w:pPr>
            <w:r>
              <w:rPr>
                <w:sz w:val="20"/>
              </w:rPr>
              <w:t>Worcester</w:t>
            </w:r>
            <w:r>
              <w:rPr>
                <w:spacing w:val="-4"/>
                <w:sz w:val="20"/>
              </w:rPr>
              <w:t> </w:t>
            </w:r>
            <w:r>
              <w:rPr>
                <w:sz w:val="20"/>
              </w:rPr>
              <w:t>City</w:t>
            </w:r>
            <w:r>
              <w:rPr>
                <w:spacing w:val="-3"/>
                <w:sz w:val="20"/>
              </w:rPr>
              <w:t> </w:t>
            </w:r>
            <w:r>
              <w:rPr>
                <w:sz w:val="20"/>
              </w:rPr>
              <w:t>&amp;</w:t>
            </w:r>
            <w:r>
              <w:rPr>
                <w:spacing w:val="-2"/>
                <w:sz w:val="20"/>
              </w:rPr>
              <w:t> County</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spacing w:before="102"/>
              <w:rPr>
                <w:sz w:val="20"/>
              </w:rPr>
            </w:pPr>
          </w:p>
          <w:p>
            <w:pPr>
              <w:pStyle w:val="TableParagraph"/>
              <w:ind w:left="186"/>
              <w:rPr>
                <w:sz w:val="20"/>
              </w:rPr>
            </w:pPr>
            <w:r>
              <w:rPr>
                <w:spacing w:val="-4"/>
                <w:sz w:val="20"/>
              </w:rPr>
              <w:t>9.9%</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5"/>
                <w:sz w:val="20"/>
              </w:rPr>
              <w:t>10</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spacing w:before="103"/>
              <w:ind w:left="187" w:right="153"/>
              <w:rPr>
                <w:sz w:val="20"/>
              </w:rPr>
            </w:pPr>
            <w:r>
              <w:rPr>
                <w:sz w:val="20"/>
              </w:rPr>
              <w:t>Attleboro,</w:t>
            </w:r>
            <w:r>
              <w:rPr>
                <w:spacing w:val="-12"/>
                <w:sz w:val="20"/>
              </w:rPr>
              <w:t> </w:t>
            </w:r>
            <w:r>
              <w:rPr>
                <w:sz w:val="20"/>
              </w:rPr>
              <w:t>Taunton/Bristol </w:t>
            </w:r>
            <w:r>
              <w:rPr>
                <w:spacing w:val="-2"/>
                <w:sz w:val="20"/>
              </w:rPr>
              <w:t>County</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8"/>
              <w:rPr>
                <w:sz w:val="20"/>
              </w:rPr>
            </w:pPr>
            <w:r>
              <w:rPr>
                <w:spacing w:val="-4"/>
                <w:sz w:val="20"/>
              </w:rPr>
              <w:t>2.3%</w:t>
            </w:r>
          </w:p>
        </w:tc>
      </w:tr>
      <w:tr>
        <w:trPr>
          <w:trHeight w:val="688"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5</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103"/>
              <w:ind w:left="186"/>
              <w:rPr>
                <w:sz w:val="20"/>
              </w:rPr>
            </w:pPr>
            <w:r>
              <w:rPr>
                <w:spacing w:val="-2"/>
                <w:sz w:val="20"/>
              </w:rPr>
              <w:t>Pittsfield/Berkshire,</w:t>
            </w:r>
            <w:r>
              <w:rPr>
                <w:spacing w:val="-9"/>
                <w:sz w:val="20"/>
              </w:rPr>
              <w:t> </w:t>
            </w:r>
            <w:r>
              <w:rPr>
                <w:spacing w:val="-2"/>
                <w:sz w:val="20"/>
              </w:rPr>
              <w:t>Franklin, </w:t>
            </w:r>
            <w:r>
              <w:rPr>
                <w:sz w:val="20"/>
              </w:rPr>
              <w:t>Hampshire Counties</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spacing w:before="102"/>
              <w:rPr>
                <w:sz w:val="20"/>
              </w:rPr>
            </w:pPr>
          </w:p>
          <w:p>
            <w:pPr>
              <w:pStyle w:val="TableParagraph"/>
              <w:ind w:left="186"/>
              <w:rPr>
                <w:sz w:val="20"/>
              </w:rPr>
            </w:pPr>
            <w:r>
              <w:rPr>
                <w:spacing w:val="-4"/>
                <w:sz w:val="20"/>
              </w:rPr>
              <w:t>7.0%</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5"/>
                <w:sz w:val="20"/>
              </w:rPr>
              <w:t>11</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7"/>
              <w:rPr>
                <w:sz w:val="20"/>
              </w:rPr>
            </w:pPr>
            <w:r>
              <w:rPr>
                <w:spacing w:val="-4"/>
                <w:sz w:val="20"/>
              </w:rPr>
              <w:t>Lynn</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102"/>
              <w:rPr>
                <w:sz w:val="20"/>
              </w:rPr>
            </w:pPr>
          </w:p>
          <w:p>
            <w:pPr>
              <w:pStyle w:val="TableParagraph"/>
              <w:ind w:left="188"/>
              <w:rPr>
                <w:sz w:val="20"/>
              </w:rPr>
            </w:pPr>
            <w:r>
              <w:rPr>
                <w:spacing w:val="-4"/>
                <w:sz w:val="20"/>
              </w:rPr>
              <w:t>1.4%</w:t>
            </w:r>
          </w:p>
        </w:tc>
      </w:tr>
      <w:tr>
        <w:trPr>
          <w:trHeight w:val="445" w:hRule="atLeast"/>
        </w:trPr>
        <w:tc>
          <w:tcPr>
            <w:tcW w:w="510" w:type="dxa"/>
            <w:tcBorders>
              <w:right w:val="single" w:sz="6" w:space="0" w:color="000000"/>
            </w:tcBorders>
          </w:tcPr>
          <w:p>
            <w:pPr>
              <w:pStyle w:val="TableParagraph"/>
              <w:spacing w:before="103"/>
              <w:ind w:left="97"/>
              <w:jc w:val="center"/>
              <w:rPr>
                <w:b/>
                <w:sz w:val="20"/>
              </w:rPr>
            </w:pPr>
            <w:r>
              <w:rPr>
                <w:b/>
                <w:spacing w:val="-10"/>
                <w:sz w:val="20"/>
              </w:rPr>
              <w:t>6</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103"/>
              <w:ind w:left="186"/>
              <w:rPr>
                <w:sz w:val="20"/>
              </w:rPr>
            </w:pPr>
            <w:r>
              <w:rPr>
                <w:spacing w:val="-2"/>
                <w:sz w:val="20"/>
              </w:rPr>
              <w:t>Cambridge</w:t>
            </w:r>
          </w:p>
        </w:tc>
        <w:tc>
          <w:tcPr>
            <w:tcW w:w="899" w:type="dxa"/>
            <w:tcBorders>
              <w:top w:val="single" w:sz="6" w:space="0" w:color="000000"/>
              <w:left w:val="single" w:sz="6" w:space="0" w:color="000000"/>
              <w:bottom w:val="single" w:sz="6" w:space="0" w:color="000000"/>
              <w:right w:val="single" w:sz="12" w:space="0" w:color="000000"/>
            </w:tcBorders>
          </w:tcPr>
          <w:p>
            <w:pPr>
              <w:pStyle w:val="TableParagraph"/>
              <w:spacing w:before="103"/>
              <w:ind w:left="186"/>
              <w:rPr>
                <w:sz w:val="20"/>
              </w:rPr>
            </w:pPr>
            <w:r>
              <w:rPr>
                <w:spacing w:val="-4"/>
                <w:sz w:val="20"/>
              </w:rPr>
              <w:t>5.2%</w:t>
            </w:r>
          </w:p>
        </w:tc>
        <w:tc>
          <w:tcPr>
            <w:tcW w:w="810" w:type="dxa"/>
            <w:tcBorders>
              <w:left w:val="single" w:sz="12" w:space="0" w:color="000000"/>
              <w:right w:val="single" w:sz="6" w:space="0" w:color="000000"/>
            </w:tcBorders>
          </w:tcPr>
          <w:p>
            <w:pPr>
              <w:pStyle w:val="TableParagraph"/>
              <w:spacing w:before="103"/>
              <w:ind w:left="239"/>
              <w:rPr>
                <w:b/>
                <w:sz w:val="20"/>
              </w:rPr>
            </w:pPr>
            <w:r>
              <w:rPr>
                <w:b/>
                <w:spacing w:val="-5"/>
                <w:sz w:val="20"/>
              </w:rPr>
              <w:t>12</w:t>
            </w:r>
          </w:p>
        </w:tc>
        <w:tc>
          <w:tcPr>
            <w:tcW w:w="2519" w:type="dxa"/>
            <w:tcBorders>
              <w:top w:val="single" w:sz="6" w:space="0" w:color="000000"/>
              <w:left w:val="single" w:sz="6" w:space="0" w:color="000000"/>
              <w:bottom w:val="single" w:sz="6" w:space="0" w:color="000000"/>
              <w:right w:val="single" w:sz="6" w:space="0" w:color="000000"/>
            </w:tcBorders>
          </w:tcPr>
          <w:p>
            <w:pPr>
              <w:pStyle w:val="TableParagraph"/>
              <w:spacing w:before="103"/>
              <w:ind w:left="187"/>
              <w:rPr>
                <w:sz w:val="20"/>
              </w:rPr>
            </w:pPr>
            <w:r>
              <w:rPr>
                <w:sz w:val="20"/>
              </w:rPr>
              <w:t>Fall</w:t>
            </w:r>
            <w:r>
              <w:rPr>
                <w:spacing w:val="-2"/>
                <w:sz w:val="20"/>
              </w:rPr>
              <w:t> River</w:t>
            </w:r>
          </w:p>
        </w:tc>
        <w:tc>
          <w:tcPr>
            <w:tcW w:w="989" w:type="dxa"/>
            <w:tcBorders>
              <w:top w:val="single" w:sz="6" w:space="0" w:color="000000"/>
              <w:left w:val="single" w:sz="6" w:space="0" w:color="000000"/>
              <w:bottom w:val="single" w:sz="6" w:space="0" w:color="000000"/>
              <w:right w:val="single" w:sz="6" w:space="0" w:color="000000"/>
            </w:tcBorders>
          </w:tcPr>
          <w:p>
            <w:pPr>
              <w:pStyle w:val="TableParagraph"/>
              <w:spacing w:before="103"/>
              <w:ind w:left="188"/>
              <w:rPr>
                <w:sz w:val="20"/>
              </w:rPr>
            </w:pPr>
            <w:r>
              <w:rPr>
                <w:spacing w:val="-4"/>
                <w:sz w:val="20"/>
              </w:rPr>
              <w:t>1.2%</w:t>
            </w:r>
          </w:p>
        </w:tc>
      </w:tr>
    </w:tbl>
    <w:p>
      <w:pPr>
        <w:spacing w:line="276" w:lineRule="auto" w:before="248"/>
        <w:ind w:left="464" w:right="402" w:firstLine="0"/>
        <w:jc w:val="both"/>
        <w:rPr>
          <w:i/>
          <w:sz w:val="18"/>
        </w:rPr>
      </w:pPr>
      <w:r>
        <w:rPr>
          <w:i/>
          <w:sz w:val="18"/>
        </w:rPr>
        <w:t>Table 1: CoC Data of Unaccompanied Youth (under 25) from the 2023 Annual Homelessness Assessment Report; organized</w:t>
      </w:r>
      <w:r>
        <w:rPr>
          <w:i/>
          <w:sz w:val="18"/>
        </w:rPr>
        <w:t> from highest to lowest percentage.</w:t>
      </w:r>
    </w:p>
    <w:p>
      <w:pPr>
        <w:pStyle w:val="BodyText"/>
        <w:spacing w:before="18"/>
        <w:rPr>
          <w:i/>
          <w:sz w:val="18"/>
        </w:rPr>
      </w:pPr>
    </w:p>
    <w:p>
      <w:pPr>
        <w:spacing w:before="0"/>
        <w:ind w:left="464" w:right="0" w:firstLine="0"/>
        <w:jc w:val="both"/>
        <w:rPr>
          <w:sz w:val="28"/>
        </w:rPr>
      </w:pPr>
      <w:bookmarkStart w:name="Resources and Funding" w:id="490"/>
      <w:bookmarkEnd w:id="490"/>
      <w:r>
        <w:rPr/>
      </w:r>
      <w:r>
        <w:rPr>
          <w:color w:val="365F91"/>
          <w:sz w:val="28"/>
        </w:rPr>
        <w:t>Resources</w:t>
      </w:r>
      <w:r>
        <w:rPr>
          <w:color w:val="365F91"/>
          <w:spacing w:val="-10"/>
          <w:sz w:val="28"/>
        </w:rPr>
        <w:t> </w:t>
      </w:r>
      <w:r>
        <w:rPr>
          <w:color w:val="365F91"/>
          <w:sz w:val="28"/>
        </w:rPr>
        <w:t>and</w:t>
      </w:r>
      <w:r>
        <w:rPr>
          <w:color w:val="365F91"/>
          <w:spacing w:val="-10"/>
          <w:sz w:val="28"/>
        </w:rPr>
        <w:t> </w:t>
      </w:r>
      <w:r>
        <w:rPr>
          <w:color w:val="365F91"/>
          <w:spacing w:val="-2"/>
          <w:sz w:val="28"/>
        </w:rPr>
        <w:t>Funding</w:t>
      </w:r>
    </w:p>
    <w:p>
      <w:pPr>
        <w:pStyle w:val="BodyText"/>
        <w:spacing w:line="276" w:lineRule="auto" w:before="291"/>
        <w:ind w:left="463" w:right="400"/>
        <w:jc w:val="both"/>
      </w:pPr>
      <w:r>
        <w:rPr/>
        <w:t>The Commission commends the Commonwealth’s efforts to improve homelessness and housing insecurity</w:t>
      </w:r>
      <w:r>
        <w:rPr>
          <w:spacing w:val="-13"/>
        </w:rPr>
        <w:t> </w:t>
      </w:r>
      <w:r>
        <w:rPr/>
        <w:t>resources</w:t>
      </w:r>
      <w:r>
        <w:rPr>
          <w:spacing w:val="-11"/>
        </w:rPr>
        <w:t> </w:t>
      </w:r>
      <w:r>
        <w:rPr/>
        <w:t>that</w:t>
      </w:r>
      <w:r>
        <w:rPr>
          <w:spacing w:val="-13"/>
        </w:rPr>
        <w:t> </w:t>
      </w:r>
      <w:r>
        <w:rPr/>
        <w:t>support</w:t>
      </w:r>
      <w:r>
        <w:rPr>
          <w:spacing w:val="-12"/>
        </w:rPr>
        <w:t> </w:t>
      </w:r>
      <w:r>
        <w:rPr/>
        <w:t>youth</w:t>
      </w:r>
      <w:r>
        <w:rPr>
          <w:spacing w:val="-11"/>
        </w:rPr>
        <w:t> </w:t>
      </w:r>
      <w:r>
        <w:rPr/>
        <w:t>experiencing</w:t>
      </w:r>
      <w:r>
        <w:rPr>
          <w:spacing w:val="-11"/>
        </w:rPr>
        <w:t> </w:t>
      </w:r>
      <w:r>
        <w:rPr/>
        <w:t>homelessness</w:t>
      </w:r>
      <w:r>
        <w:rPr>
          <w:spacing w:val="-13"/>
        </w:rPr>
        <w:t> </w:t>
      </w:r>
      <w:r>
        <w:rPr/>
        <w:t>and</w:t>
      </w:r>
      <w:r>
        <w:rPr>
          <w:spacing w:val="-11"/>
        </w:rPr>
        <w:t> </w:t>
      </w:r>
      <w:r>
        <w:rPr/>
        <w:t>housing</w:t>
      </w:r>
      <w:r>
        <w:rPr>
          <w:spacing w:val="-12"/>
        </w:rPr>
        <w:t> </w:t>
      </w:r>
      <w:r>
        <w:rPr/>
        <w:t>insecurity,</w:t>
      </w:r>
      <w:r>
        <w:rPr>
          <w:spacing w:val="-12"/>
        </w:rPr>
        <w:t> </w:t>
      </w:r>
      <w:r>
        <w:rPr/>
        <w:t>specifically for funding that meets the needs of LGBTQ youth. Over the last fiscal year, the Commonwealth of Massachusetts was awarded funding by the state and federal government for programming that combats youth homelessness and works to improve resources for homelessness prevention.</w:t>
      </w:r>
    </w:p>
    <w:p>
      <w:pPr>
        <w:spacing w:after="0" w:line="276" w:lineRule="auto"/>
        <w:jc w:val="both"/>
        <w:sectPr>
          <w:pgSz w:w="12240" w:h="15840"/>
          <w:pgMar w:header="765" w:footer="1127" w:top="1280" w:bottom="1340" w:left="1120" w:right="1180"/>
        </w:sectPr>
      </w:pPr>
    </w:p>
    <w:p>
      <w:pPr>
        <w:spacing w:line="252" w:lineRule="auto" w:before="90"/>
        <w:ind w:left="1269" w:right="1207" w:hanging="1"/>
        <w:jc w:val="center"/>
        <w:rPr>
          <w:rFonts w:ascii="Cambria" w:hAnsi="Cambria"/>
          <w:i/>
          <w:sz w:val="21"/>
        </w:rPr>
      </w:pPr>
      <w:r>
        <w:rPr>
          <w:rFonts w:ascii="Cambria" w:hAnsi="Cambria"/>
          <w:i/>
          <w:color w:val="4F81BC"/>
          <w:sz w:val="21"/>
        </w:rPr>
        <w:t>“We need more housing stability. I’m HIV-positive and that brings challenges too. The</w:t>
      </w:r>
      <w:r>
        <w:rPr>
          <w:rFonts w:ascii="Cambria" w:hAnsi="Cambria"/>
          <w:i/>
          <w:color w:val="4F81BC"/>
          <w:sz w:val="21"/>
        </w:rPr>
        <w:t> last thing people want to worry about is where they are sleeping at</w:t>
      </w:r>
      <w:r>
        <w:rPr>
          <w:rFonts w:ascii="Cambria" w:hAnsi="Cambria"/>
          <w:i/>
          <w:color w:val="4F81BC"/>
          <w:spacing w:val="-1"/>
          <w:sz w:val="21"/>
        </w:rPr>
        <w:t> </w:t>
      </w:r>
      <w:r>
        <w:rPr>
          <w:rFonts w:ascii="Cambria" w:hAnsi="Cambria"/>
          <w:i/>
          <w:color w:val="4F81BC"/>
          <w:sz w:val="21"/>
        </w:rPr>
        <w:t>night, and a lot of homelessness</w:t>
      </w:r>
      <w:r>
        <w:rPr>
          <w:rFonts w:ascii="Cambria" w:hAnsi="Cambria"/>
          <w:i/>
          <w:color w:val="4F81BC"/>
          <w:spacing w:val="-5"/>
          <w:sz w:val="21"/>
        </w:rPr>
        <w:t> </w:t>
      </w:r>
      <w:r>
        <w:rPr>
          <w:rFonts w:ascii="Cambria" w:hAnsi="Cambria"/>
          <w:i/>
          <w:color w:val="4F81BC"/>
          <w:sz w:val="21"/>
        </w:rPr>
        <w:t>leads</w:t>
      </w:r>
      <w:r>
        <w:rPr>
          <w:rFonts w:ascii="Cambria" w:hAnsi="Cambria"/>
          <w:i/>
          <w:color w:val="4F81BC"/>
          <w:spacing w:val="-3"/>
          <w:sz w:val="21"/>
        </w:rPr>
        <w:t> </w:t>
      </w:r>
      <w:r>
        <w:rPr>
          <w:rFonts w:ascii="Cambria" w:hAnsi="Cambria"/>
          <w:i/>
          <w:color w:val="4F81BC"/>
          <w:sz w:val="21"/>
        </w:rPr>
        <w:t>to</w:t>
      </w:r>
      <w:r>
        <w:rPr>
          <w:rFonts w:ascii="Cambria" w:hAnsi="Cambria"/>
          <w:i/>
          <w:color w:val="4F81BC"/>
          <w:spacing w:val="-4"/>
          <w:sz w:val="21"/>
        </w:rPr>
        <w:t> </w:t>
      </w:r>
      <w:r>
        <w:rPr>
          <w:rFonts w:ascii="Cambria" w:hAnsi="Cambria"/>
          <w:i/>
          <w:color w:val="4F81BC"/>
          <w:sz w:val="21"/>
        </w:rPr>
        <w:t>a</w:t>
      </w:r>
      <w:r>
        <w:rPr>
          <w:rFonts w:ascii="Cambria" w:hAnsi="Cambria"/>
          <w:i/>
          <w:color w:val="4F81BC"/>
          <w:spacing w:val="-3"/>
          <w:sz w:val="21"/>
        </w:rPr>
        <w:t> </w:t>
      </w:r>
      <w:r>
        <w:rPr>
          <w:rFonts w:ascii="Cambria" w:hAnsi="Cambria"/>
          <w:i/>
          <w:color w:val="4F81BC"/>
          <w:sz w:val="21"/>
        </w:rPr>
        <w:t>lot</w:t>
      </w:r>
      <w:r>
        <w:rPr>
          <w:rFonts w:ascii="Cambria" w:hAnsi="Cambria"/>
          <w:i/>
          <w:color w:val="4F81BC"/>
          <w:spacing w:val="-5"/>
          <w:sz w:val="21"/>
        </w:rPr>
        <w:t> </w:t>
      </w:r>
      <w:r>
        <w:rPr>
          <w:rFonts w:ascii="Cambria" w:hAnsi="Cambria"/>
          <w:i/>
          <w:color w:val="4F81BC"/>
          <w:sz w:val="21"/>
        </w:rPr>
        <w:t>of</w:t>
      </w:r>
      <w:r>
        <w:rPr>
          <w:rFonts w:ascii="Cambria" w:hAnsi="Cambria"/>
          <w:i/>
          <w:color w:val="4F81BC"/>
          <w:spacing w:val="-3"/>
          <w:sz w:val="21"/>
        </w:rPr>
        <w:t> </w:t>
      </w:r>
      <w:r>
        <w:rPr>
          <w:rFonts w:ascii="Cambria" w:hAnsi="Cambria"/>
          <w:i/>
          <w:color w:val="4F81BC"/>
          <w:sz w:val="21"/>
        </w:rPr>
        <w:t>damaging</w:t>
      </w:r>
      <w:r>
        <w:rPr>
          <w:rFonts w:ascii="Cambria" w:hAnsi="Cambria"/>
          <w:i/>
          <w:color w:val="4F81BC"/>
          <w:spacing w:val="-3"/>
          <w:sz w:val="21"/>
        </w:rPr>
        <w:t> </w:t>
      </w:r>
      <w:r>
        <w:rPr>
          <w:rFonts w:ascii="Cambria" w:hAnsi="Cambria"/>
          <w:i/>
          <w:color w:val="4F81BC"/>
          <w:sz w:val="21"/>
        </w:rPr>
        <w:t>things.</w:t>
      </w:r>
      <w:r>
        <w:rPr>
          <w:rFonts w:ascii="Cambria" w:hAnsi="Cambria"/>
          <w:i/>
          <w:color w:val="4F81BC"/>
          <w:spacing w:val="-3"/>
          <w:sz w:val="21"/>
        </w:rPr>
        <w:t> </w:t>
      </w:r>
      <w:r>
        <w:rPr>
          <w:rFonts w:ascii="Cambria" w:hAnsi="Cambria"/>
          <w:i/>
          <w:color w:val="4F81BC"/>
          <w:sz w:val="21"/>
        </w:rPr>
        <w:t>Survival</w:t>
      </w:r>
      <w:r>
        <w:rPr>
          <w:rFonts w:ascii="Cambria" w:hAnsi="Cambria"/>
          <w:i/>
          <w:color w:val="4F81BC"/>
          <w:spacing w:val="-2"/>
          <w:sz w:val="21"/>
        </w:rPr>
        <w:t> </w:t>
      </w:r>
      <w:r>
        <w:rPr>
          <w:rFonts w:ascii="Cambria" w:hAnsi="Cambria"/>
          <w:i/>
          <w:color w:val="4F81BC"/>
          <w:sz w:val="21"/>
        </w:rPr>
        <w:t>sex</w:t>
      </w:r>
      <w:r>
        <w:rPr>
          <w:rFonts w:ascii="Cambria" w:hAnsi="Cambria"/>
          <w:i/>
          <w:color w:val="4F81BC"/>
          <w:spacing w:val="-4"/>
          <w:sz w:val="21"/>
        </w:rPr>
        <w:t> </w:t>
      </w:r>
      <w:r>
        <w:rPr>
          <w:rFonts w:ascii="Cambria" w:hAnsi="Cambria"/>
          <w:i/>
          <w:color w:val="4F81BC"/>
          <w:sz w:val="21"/>
        </w:rPr>
        <w:t>work</w:t>
      </w:r>
      <w:r>
        <w:rPr>
          <w:rFonts w:ascii="Cambria" w:hAnsi="Cambria"/>
          <w:i/>
          <w:color w:val="4F81BC"/>
          <w:spacing w:val="-3"/>
          <w:sz w:val="21"/>
        </w:rPr>
        <w:t> </w:t>
      </w:r>
      <w:r>
        <w:rPr>
          <w:rFonts w:ascii="Cambria" w:hAnsi="Cambria"/>
          <w:i/>
          <w:color w:val="4F81BC"/>
          <w:sz w:val="21"/>
        </w:rPr>
        <w:t>was</w:t>
      </w:r>
      <w:r>
        <w:rPr>
          <w:rFonts w:ascii="Cambria" w:hAnsi="Cambria"/>
          <w:i/>
          <w:color w:val="4F81BC"/>
          <w:spacing w:val="-3"/>
          <w:sz w:val="21"/>
        </w:rPr>
        <w:t> </w:t>
      </w:r>
      <w:r>
        <w:rPr>
          <w:rFonts w:ascii="Cambria" w:hAnsi="Cambria"/>
          <w:i/>
          <w:color w:val="4F81BC"/>
          <w:sz w:val="21"/>
        </w:rPr>
        <w:t>the</w:t>
      </w:r>
      <w:r>
        <w:rPr>
          <w:rFonts w:ascii="Cambria" w:hAnsi="Cambria"/>
          <w:i/>
          <w:color w:val="4F81BC"/>
          <w:spacing w:val="-3"/>
          <w:sz w:val="21"/>
        </w:rPr>
        <w:t> </w:t>
      </w:r>
      <w:r>
        <w:rPr>
          <w:rFonts w:ascii="Cambria" w:hAnsi="Cambria"/>
          <w:i/>
          <w:color w:val="4F81BC"/>
          <w:sz w:val="21"/>
        </w:rPr>
        <w:t>only</w:t>
      </w:r>
      <w:r>
        <w:rPr>
          <w:rFonts w:ascii="Cambria" w:hAnsi="Cambria"/>
          <w:i/>
          <w:color w:val="4F81BC"/>
          <w:spacing w:val="-3"/>
          <w:sz w:val="21"/>
        </w:rPr>
        <w:t> </w:t>
      </w:r>
      <w:r>
        <w:rPr>
          <w:rFonts w:ascii="Cambria" w:hAnsi="Cambria"/>
          <w:i/>
          <w:color w:val="4F81BC"/>
          <w:sz w:val="21"/>
        </w:rPr>
        <w:t>work</w:t>
      </w:r>
      <w:r>
        <w:rPr>
          <w:rFonts w:ascii="Cambria" w:hAnsi="Cambria"/>
          <w:i/>
          <w:color w:val="4F81BC"/>
          <w:spacing w:val="-3"/>
          <w:sz w:val="21"/>
        </w:rPr>
        <w:t> </w:t>
      </w:r>
      <w:r>
        <w:rPr>
          <w:rFonts w:ascii="Cambria" w:hAnsi="Cambria"/>
          <w:i/>
          <w:color w:val="4F81BC"/>
          <w:sz w:val="21"/>
        </w:rPr>
        <w:t>a lot of BIPOC people knew.” - E</w:t>
      </w:r>
    </w:p>
    <w:p>
      <w:pPr>
        <w:spacing w:before="240"/>
        <w:ind w:left="464" w:right="0" w:firstLine="0"/>
        <w:jc w:val="both"/>
        <w:rPr>
          <w:sz w:val="26"/>
        </w:rPr>
      </w:pPr>
      <w:bookmarkStart w:name="State Funding" w:id="491"/>
      <w:bookmarkEnd w:id="491"/>
      <w:r>
        <w:rPr/>
      </w:r>
      <w:r>
        <w:rPr>
          <w:color w:val="404040"/>
          <w:sz w:val="26"/>
        </w:rPr>
        <w:t>State</w:t>
      </w:r>
      <w:r>
        <w:rPr>
          <w:color w:val="404040"/>
          <w:spacing w:val="-2"/>
          <w:sz w:val="26"/>
        </w:rPr>
        <w:t> Funding</w:t>
      </w:r>
    </w:p>
    <w:p>
      <w:pPr>
        <w:pStyle w:val="BodyText"/>
        <w:spacing w:line="276" w:lineRule="auto" w:before="288"/>
        <w:ind w:left="464" w:right="403"/>
        <w:jc w:val="both"/>
      </w:pPr>
      <w:r>
        <w:rPr/>
        <w:t>In the last year, the Commonwealth has made great strides in unveiling programs and initiatives that support the eradication of LGBTQ youth homelessness in the Commonwealth. In FY24, the Commonwealth</w:t>
      </w:r>
      <w:r>
        <w:rPr>
          <w:spacing w:val="-4"/>
        </w:rPr>
        <w:t> </w:t>
      </w:r>
      <w:r>
        <w:rPr/>
        <w:t>awarded</w:t>
      </w:r>
      <w:r>
        <w:rPr>
          <w:spacing w:val="-3"/>
        </w:rPr>
        <w:t> </w:t>
      </w:r>
      <w:r>
        <w:rPr/>
        <w:t>$11</w:t>
      </w:r>
      <w:r>
        <w:rPr>
          <w:spacing w:val="-4"/>
        </w:rPr>
        <w:t> </w:t>
      </w:r>
      <w:r>
        <w:rPr/>
        <w:t>million</w:t>
      </w:r>
      <w:r>
        <w:rPr>
          <w:spacing w:val="-4"/>
        </w:rPr>
        <w:t> </w:t>
      </w:r>
      <w:r>
        <w:rPr/>
        <w:t>in</w:t>
      </w:r>
      <w:r>
        <w:rPr>
          <w:spacing w:val="-3"/>
        </w:rPr>
        <w:t> </w:t>
      </w:r>
      <w:r>
        <w:rPr/>
        <w:t>funding</w:t>
      </w:r>
      <w:r>
        <w:rPr>
          <w:spacing w:val="-3"/>
        </w:rPr>
        <w:t> </w:t>
      </w:r>
      <w:r>
        <w:rPr/>
        <w:t>to</w:t>
      </w:r>
      <w:r>
        <w:rPr>
          <w:spacing w:val="-3"/>
        </w:rPr>
        <w:t> </w:t>
      </w:r>
      <w:r>
        <w:rPr/>
        <w:t>support</w:t>
      </w:r>
      <w:r>
        <w:rPr>
          <w:spacing w:val="-4"/>
        </w:rPr>
        <w:t> </w:t>
      </w:r>
      <w:r>
        <w:rPr/>
        <w:t>providers</w:t>
      </w:r>
      <w:r>
        <w:rPr>
          <w:spacing w:val="-4"/>
        </w:rPr>
        <w:t> </w:t>
      </w:r>
      <w:r>
        <w:rPr/>
        <w:t>to</w:t>
      </w:r>
      <w:r>
        <w:rPr>
          <w:spacing w:val="-3"/>
        </w:rPr>
        <w:t> </w:t>
      </w:r>
      <w:r>
        <w:rPr/>
        <w:t>offer</w:t>
      </w:r>
      <w:r>
        <w:rPr>
          <w:spacing w:val="-4"/>
        </w:rPr>
        <w:t> </w:t>
      </w:r>
      <w:r>
        <w:rPr/>
        <w:t>housing</w:t>
      </w:r>
      <w:r>
        <w:rPr>
          <w:spacing w:val="-4"/>
        </w:rPr>
        <w:t> </w:t>
      </w:r>
      <w:r>
        <w:rPr/>
        <w:t>and</w:t>
      </w:r>
      <w:r>
        <w:rPr>
          <w:spacing w:val="-4"/>
        </w:rPr>
        <w:t> </w:t>
      </w:r>
      <w:r>
        <w:rPr/>
        <w:t>services</w:t>
      </w:r>
      <w:r>
        <w:rPr>
          <w:spacing w:val="-4"/>
        </w:rPr>
        <w:t> </w:t>
      </w:r>
      <w:r>
        <w:rPr/>
        <w:t>for </w:t>
      </w:r>
      <w:r>
        <w:rPr>
          <w:spacing w:val="-2"/>
        </w:rPr>
        <w:t>youth</w:t>
      </w:r>
      <w:r>
        <w:rPr>
          <w:spacing w:val="-5"/>
        </w:rPr>
        <w:t> </w:t>
      </w:r>
      <w:r>
        <w:rPr>
          <w:spacing w:val="-2"/>
        </w:rPr>
        <w:t>and</w:t>
      </w:r>
      <w:r>
        <w:rPr>
          <w:spacing w:val="-5"/>
        </w:rPr>
        <w:t> </w:t>
      </w:r>
      <w:r>
        <w:rPr>
          <w:spacing w:val="-2"/>
        </w:rPr>
        <w:t>young</w:t>
      </w:r>
      <w:r>
        <w:rPr>
          <w:spacing w:val="-5"/>
        </w:rPr>
        <w:t> </w:t>
      </w:r>
      <w:r>
        <w:rPr>
          <w:spacing w:val="-2"/>
        </w:rPr>
        <w:t>adults</w:t>
      </w:r>
      <w:r>
        <w:rPr>
          <w:spacing w:val="-5"/>
        </w:rPr>
        <w:t> </w:t>
      </w:r>
      <w:r>
        <w:rPr>
          <w:spacing w:val="-2"/>
        </w:rPr>
        <w:t>who</w:t>
      </w:r>
      <w:r>
        <w:rPr>
          <w:spacing w:val="-5"/>
        </w:rPr>
        <w:t> </w:t>
      </w:r>
      <w:r>
        <w:rPr>
          <w:spacing w:val="-2"/>
        </w:rPr>
        <w:t>are</w:t>
      </w:r>
      <w:r>
        <w:rPr>
          <w:spacing w:val="-5"/>
        </w:rPr>
        <w:t> </w:t>
      </w:r>
      <w:r>
        <w:rPr>
          <w:spacing w:val="-2"/>
        </w:rPr>
        <w:t>homeless</w:t>
      </w:r>
      <w:r>
        <w:rPr>
          <w:spacing w:val="-5"/>
        </w:rPr>
        <w:t> </w:t>
      </w:r>
      <w:r>
        <w:rPr>
          <w:spacing w:val="-2"/>
        </w:rPr>
        <w:t>or</w:t>
      </w:r>
      <w:r>
        <w:rPr>
          <w:spacing w:val="-5"/>
        </w:rPr>
        <w:t> </w:t>
      </w:r>
      <w:r>
        <w:rPr>
          <w:spacing w:val="-2"/>
        </w:rPr>
        <w:t>at</w:t>
      </w:r>
      <w:r>
        <w:rPr>
          <w:spacing w:val="-5"/>
        </w:rPr>
        <w:t> </w:t>
      </w:r>
      <w:r>
        <w:rPr>
          <w:spacing w:val="-2"/>
        </w:rPr>
        <w:t>risk</w:t>
      </w:r>
      <w:r>
        <w:rPr>
          <w:spacing w:val="-5"/>
        </w:rPr>
        <w:t> </w:t>
      </w:r>
      <w:r>
        <w:rPr>
          <w:spacing w:val="-2"/>
        </w:rPr>
        <w:t>of</w:t>
      </w:r>
      <w:r>
        <w:rPr>
          <w:spacing w:val="-5"/>
        </w:rPr>
        <w:t> </w:t>
      </w:r>
      <w:r>
        <w:rPr>
          <w:spacing w:val="-2"/>
        </w:rPr>
        <w:t>homelessness.</w:t>
      </w:r>
      <w:r>
        <w:rPr>
          <w:spacing w:val="-5"/>
        </w:rPr>
        <w:t> </w:t>
      </w:r>
      <w:r>
        <w:rPr>
          <w:spacing w:val="-2"/>
        </w:rPr>
        <w:t>Funding</w:t>
      </w:r>
      <w:r>
        <w:rPr>
          <w:spacing w:val="-4"/>
        </w:rPr>
        <w:t> </w:t>
      </w:r>
      <w:r>
        <w:rPr>
          <w:spacing w:val="-2"/>
        </w:rPr>
        <w:t>was</w:t>
      </w:r>
      <w:r>
        <w:rPr>
          <w:spacing w:val="-5"/>
        </w:rPr>
        <w:t> </w:t>
      </w:r>
      <w:r>
        <w:rPr>
          <w:spacing w:val="-2"/>
        </w:rPr>
        <w:t>awarded</w:t>
      </w:r>
      <w:r>
        <w:rPr>
          <w:spacing w:val="-5"/>
        </w:rPr>
        <w:t> </w:t>
      </w:r>
      <w:r>
        <w:rPr>
          <w:spacing w:val="-2"/>
        </w:rPr>
        <w:t>for</w:t>
      </w:r>
      <w:r>
        <w:rPr>
          <w:spacing w:val="-5"/>
        </w:rPr>
        <w:t> </w:t>
      </w:r>
      <w:r>
        <w:rPr>
          <w:spacing w:val="-2"/>
        </w:rPr>
        <w:t>services </w:t>
      </w:r>
      <w:r>
        <w:rPr/>
        <w:t>to support youth experiencing homelessness by providing housing search assistance, outreach and support, and transitional living programs for minors. For a complete list of the youth homelessness services funded in FY24, please see the List of Services for </w:t>
      </w:r>
      <w:hyperlink r:id="rId446">
        <w:r>
          <w:rPr>
            <w:color w:val="1154CC"/>
            <w:u w:val="single" w:color="1154CC"/>
          </w:rPr>
          <w:t>Contracted Youth Service Providers</w:t>
        </w:r>
        <w:r>
          <w:rPr>
            <w:u w:val="none"/>
          </w:rPr>
          <w:t>.</w:t>
        </w:r>
      </w:hyperlink>
    </w:p>
    <w:p>
      <w:pPr>
        <w:pStyle w:val="BodyText"/>
        <w:spacing w:line="276" w:lineRule="auto" w:before="241"/>
        <w:ind w:left="464" w:right="400"/>
        <w:jc w:val="both"/>
      </w:pPr>
      <w:r>
        <w:rPr/>
        <w:t>The</w:t>
      </w:r>
      <w:r>
        <w:rPr>
          <w:spacing w:val="-4"/>
        </w:rPr>
        <w:t> </w:t>
      </w:r>
      <w:r>
        <w:rPr/>
        <w:t>lead</w:t>
      </w:r>
      <w:r>
        <w:rPr>
          <w:spacing w:val="-3"/>
        </w:rPr>
        <w:t> </w:t>
      </w:r>
      <w:r>
        <w:rPr/>
        <w:t>regional</w:t>
      </w:r>
      <w:r>
        <w:rPr>
          <w:spacing w:val="-4"/>
        </w:rPr>
        <w:t> </w:t>
      </w:r>
      <w:r>
        <w:rPr/>
        <w:t>agencies</w:t>
      </w:r>
      <w:r>
        <w:rPr>
          <w:spacing w:val="-2"/>
        </w:rPr>
        <w:t> </w:t>
      </w:r>
      <w:r>
        <w:rPr/>
        <w:t>across</w:t>
      </w:r>
      <w:r>
        <w:rPr>
          <w:spacing w:val="-4"/>
        </w:rPr>
        <w:t> </w:t>
      </w:r>
      <w:r>
        <w:rPr/>
        <w:t>the</w:t>
      </w:r>
      <w:r>
        <w:rPr>
          <w:spacing w:val="-4"/>
        </w:rPr>
        <w:t> </w:t>
      </w:r>
      <w:r>
        <w:rPr/>
        <w:t>Commonwealth</w:t>
      </w:r>
      <w:r>
        <w:rPr>
          <w:spacing w:val="-4"/>
        </w:rPr>
        <w:t> </w:t>
      </w:r>
      <w:r>
        <w:rPr/>
        <w:t>for</w:t>
      </w:r>
      <w:r>
        <w:rPr>
          <w:spacing w:val="-4"/>
        </w:rPr>
        <w:t> </w:t>
      </w:r>
      <w:r>
        <w:rPr/>
        <w:t>youth</w:t>
      </w:r>
      <w:r>
        <w:rPr>
          <w:spacing w:val="-4"/>
        </w:rPr>
        <w:t> </w:t>
      </w:r>
      <w:r>
        <w:rPr/>
        <w:t>homelessness</w:t>
      </w:r>
      <w:r>
        <w:rPr>
          <w:spacing w:val="-4"/>
        </w:rPr>
        <w:t> </w:t>
      </w:r>
      <w:r>
        <w:rPr/>
        <w:t>support</w:t>
      </w:r>
      <w:r>
        <w:rPr>
          <w:spacing w:val="-4"/>
        </w:rPr>
        <w:t> </w:t>
      </w:r>
      <w:r>
        <w:rPr/>
        <w:t>are</w:t>
      </w:r>
      <w:r>
        <w:rPr>
          <w:spacing w:val="-4"/>
        </w:rPr>
        <w:t> </w:t>
      </w:r>
      <w:r>
        <w:rPr/>
        <w:t>Barnstable County</w:t>
      </w:r>
      <w:r>
        <w:rPr>
          <w:spacing w:val="-2"/>
        </w:rPr>
        <w:t> </w:t>
      </w:r>
      <w:r>
        <w:rPr/>
        <w:t>Department</w:t>
      </w:r>
      <w:r>
        <w:rPr>
          <w:spacing w:val="-2"/>
        </w:rPr>
        <w:t> </w:t>
      </w:r>
      <w:r>
        <w:rPr/>
        <w:t>of</w:t>
      </w:r>
      <w:r>
        <w:rPr>
          <w:spacing w:val="-1"/>
        </w:rPr>
        <w:t> </w:t>
      </w:r>
      <w:r>
        <w:rPr/>
        <w:t>Human</w:t>
      </w:r>
      <w:r>
        <w:rPr>
          <w:spacing w:val="-2"/>
        </w:rPr>
        <w:t> </w:t>
      </w:r>
      <w:r>
        <w:rPr/>
        <w:t>Services,</w:t>
      </w:r>
      <w:r>
        <w:rPr>
          <w:spacing w:val="-1"/>
        </w:rPr>
        <w:t> </w:t>
      </w:r>
      <w:r>
        <w:rPr/>
        <w:t>Bridge</w:t>
      </w:r>
      <w:r>
        <w:rPr>
          <w:spacing w:val="-2"/>
        </w:rPr>
        <w:t> </w:t>
      </w:r>
      <w:r>
        <w:rPr/>
        <w:t>Over Troubled</w:t>
      </w:r>
      <w:r>
        <w:rPr>
          <w:spacing w:val="-2"/>
        </w:rPr>
        <w:t> </w:t>
      </w:r>
      <w:r>
        <w:rPr/>
        <w:t>Waters,</w:t>
      </w:r>
      <w:r>
        <w:rPr>
          <w:spacing w:val="-1"/>
        </w:rPr>
        <w:t> </w:t>
      </w:r>
      <w:r>
        <w:rPr/>
        <w:t>Catholic</w:t>
      </w:r>
      <w:r>
        <w:rPr>
          <w:spacing w:val="-1"/>
        </w:rPr>
        <w:t> </w:t>
      </w:r>
      <w:r>
        <w:rPr/>
        <w:t>Social</w:t>
      </w:r>
      <w:r>
        <w:rPr>
          <w:spacing w:val="-2"/>
        </w:rPr>
        <w:t> </w:t>
      </w:r>
      <w:r>
        <w:rPr/>
        <w:t>Services,</w:t>
      </w:r>
      <w:r>
        <w:rPr>
          <w:spacing w:val="-1"/>
        </w:rPr>
        <w:t> </w:t>
      </w:r>
      <w:r>
        <w:rPr/>
        <w:t>City</w:t>
      </w:r>
      <w:r>
        <w:rPr>
          <w:spacing w:val="-2"/>
        </w:rPr>
        <w:t> </w:t>
      </w:r>
      <w:r>
        <w:rPr/>
        <w:t>of Springfield,</w:t>
      </w:r>
      <w:r>
        <w:rPr>
          <w:spacing w:val="35"/>
        </w:rPr>
        <w:t> </w:t>
      </w:r>
      <w:r>
        <w:rPr/>
        <w:t>Community</w:t>
      </w:r>
      <w:r>
        <w:rPr>
          <w:spacing w:val="35"/>
        </w:rPr>
        <w:t> </w:t>
      </w:r>
      <w:r>
        <w:rPr/>
        <w:t>Action</w:t>
      </w:r>
      <w:r>
        <w:rPr>
          <w:spacing w:val="36"/>
        </w:rPr>
        <w:t> </w:t>
      </w:r>
      <w:r>
        <w:rPr/>
        <w:t>Pioneer</w:t>
      </w:r>
      <w:r>
        <w:rPr>
          <w:spacing w:val="35"/>
        </w:rPr>
        <w:t> </w:t>
      </w:r>
      <w:r>
        <w:rPr/>
        <w:t>Valley,</w:t>
      </w:r>
      <w:r>
        <w:rPr>
          <w:spacing w:val="35"/>
        </w:rPr>
        <w:t> </w:t>
      </w:r>
      <w:r>
        <w:rPr/>
        <w:t>Community</w:t>
      </w:r>
      <w:r>
        <w:rPr>
          <w:spacing w:val="36"/>
        </w:rPr>
        <w:t> </w:t>
      </w:r>
      <w:r>
        <w:rPr/>
        <w:t>Teamwork,</w:t>
      </w:r>
      <w:r>
        <w:rPr>
          <w:spacing w:val="35"/>
        </w:rPr>
        <w:t> </w:t>
      </w:r>
      <w:r>
        <w:rPr/>
        <w:t>Father</w:t>
      </w:r>
      <w:r>
        <w:rPr>
          <w:spacing w:val="35"/>
        </w:rPr>
        <w:t> </w:t>
      </w:r>
      <w:r>
        <w:rPr/>
        <w:t>Bill’s</w:t>
      </w:r>
      <w:r>
        <w:rPr>
          <w:spacing w:val="35"/>
        </w:rPr>
        <w:t> </w:t>
      </w:r>
      <w:r>
        <w:rPr/>
        <w:t>&amp;</w:t>
      </w:r>
      <w:r>
        <w:rPr>
          <w:spacing w:val="35"/>
        </w:rPr>
        <w:t> </w:t>
      </w:r>
      <w:r>
        <w:rPr/>
        <w:t>MainSpring,</w:t>
      </w:r>
    </w:p>
    <w:p>
      <w:pPr>
        <w:pStyle w:val="BodyText"/>
        <w:spacing w:line="276" w:lineRule="auto"/>
        <w:ind w:left="463" w:right="401"/>
        <w:jc w:val="both"/>
      </w:pPr>
      <w:r>
        <w:rPr/>
        <w:t>L.U.K.</w:t>
      </w:r>
      <w:r>
        <w:rPr>
          <w:spacing w:val="-5"/>
        </w:rPr>
        <w:t> </w:t>
      </w:r>
      <w:r>
        <w:rPr/>
        <w:t>Crisis</w:t>
      </w:r>
      <w:r>
        <w:rPr>
          <w:spacing w:val="-5"/>
        </w:rPr>
        <w:t> </w:t>
      </w:r>
      <w:r>
        <w:rPr/>
        <w:t>Center,</w:t>
      </w:r>
      <w:r>
        <w:rPr>
          <w:spacing w:val="-5"/>
        </w:rPr>
        <w:t> </w:t>
      </w:r>
      <w:r>
        <w:rPr/>
        <w:t>Inc.,</w:t>
      </w:r>
      <w:r>
        <w:rPr>
          <w:spacing w:val="-5"/>
        </w:rPr>
        <w:t> </w:t>
      </w:r>
      <w:r>
        <w:rPr/>
        <w:t>Lynn</w:t>
      </w:r>
      <w:r>
        <w:rPr>
          <w:spacing w:val="-5"/>
        </w:rPr>
        <w:t> </w:t>
      </w:r>
      <w:r>
        <w:rPr/>
        <w:t>Housing</w:t>
      </w:r>
      <w:r>
        <w:rPr>
          <w:spacing w:val="-5"/>
        </w:rPr>
        <w:t> </w:t>
      </w:r>
      <w:r>
        <w:rPr/>
        <w:t>Authority</w:t>
      </w:r>
      <w:r>
        <w:rPr>
          <w:spacing w:val="-5"/>
        </w:rPr>
        <w:t> </w:t>
      </w:r>
      <w:r>
        <w:rPr/>
        <w:t>&amp;</w:t>
      </w:r>
      <w:r>
        <w:rPr>
          <w:spacing w:val="-5"/>
        </w:rPr>
        <w:t> </w:t>
      </w:r>
      <w:r>
        <w:rPr/>
        <w:t>Neighborhood</w:t>
      </w:r>
      <w:r>
        <w:rPr>
          <w:spacing w:val="-5"/>
        </w:rPr>
        <w:t> </w:t>
      </w:r>
      <w:r>
        <w:rPr/>
        <w:t>Development,</w:t>
      </w:r>
      <w:r>
        <w:rPr>
          <w:spacing w:val="-5"/>
        </w:rPr>
        <w:t> </w:t>
      </w:r>
      <w:r>
        <w:rPr/>
        <w:t>and</w:t>
      </w:r>
      <w:r>
        <w:rPr>
          <w:spacing w:val="-5"/>
        </w:rPr>
        <w:t> </w:t>
      </w:r>
      <w:r>
        <w:rPr/>
        <w:t>South</w:t>
      </w:r>
      <w:r>
        <w:rPr>
          <w:spacing w:val="-5"/>
        </w:rPr>
        <w:t> </w:t>
      </w:r>
      <w:r>
        <w:rPr/>
        <w:t>Middlesex Opportunity Council. It is recommended that these services are analyzed when developing LGBTQ- affirming</w:t>
      </w:r>
      <w:r>
        <w:rPr>
          <w:spacing w:val="-9"/>
        </w:rPr>
        <w:t> </w:t>
      </w:r>
      <w:r>
        <w:rPr/>
        <w:t>standards</w:t>
      </w:r>
      <w:r>
        <w:rPr>
          <w:spacing w:val="-8"/>
        </w:rPr>
        <w:t> </w:t>
      </w:r>
      <w:r>
        <w:rPr/>
        <w:t>of</w:t>
      </w:r>
      <w:r>
        <w:rPr>
          <w:spacing w:val="-9"/>
        </w:rPr>
        <w:t> </w:t>
      </w:r>
      <w:r>
        <w:rPr/>
        <w:t>practice</w:t>
      </w:r>
      <w:r>
        <w:rPr>
          <w:spacing w:val="-9"/>
        </w:rPr>
        <w:t> </w:t>
      </w:r>
      <w:r>
        <w:rPr/>
        <w:t>for</w:t>
      </w:r>
      <w:r>
        <w:rPr>
          <w:spacing w:val="-9"/>
        </w:rPr>
        <w:t> </w:t>
      </w:r>
      <w:r>
        <w:rPr/>
        <w:t>shelter</w:t>
      </w:r>
      <w:r>
        <w:rPr>
          <w:spacing w:val="-9"/>
        </w:rPr>
        <w:t> </w:t>
      </w:r>
      <w:r>
        <w:rPr/>
        <w:t>and</w:t>
      </w:r>
      <w:r>
        <w:rPr>
          <w:spacing w:val="-8"/>
        </w:rPr>
        <w:t> </w:t>
      </w:r>
      <w:r>
        <w:rPr/>
        <w:t>drop-in</w:t>
      </w:r>
      <w:r>
        <w:rPr>
          <w:spacing w:val="-9"/>
        </w:rPr>
        <w:t> </w:t>
      </w:r>
      <w:r>
        <w:rPr/>
        <w:t>centers</w:t>
      </w:r>
      <w:r>
        <w:rPr>
          <w:spacing w:val="-8"/>
        </w:rPr>
        <w:t> </w:t>
      </w:r>
      <w:r>
        <w:rPr/>
        <w:t>across</w:t>
      </w:r>
      <w:r>
        <w:rPr>
          <w:spacing w:val="-8"/>
        </w:rPr>
        <w:t> </w:t>
      </w:r>
      <w:r>
        <w:rPr/>
        <w:t>the</w:t>
      </w:r>
      <w:r>
        <w:rPr>
          <w:spacing w:val="-9"/>
        </w:rPr>
        <w:t> </w:t>
      </w:r>
      <w:r>
        <w:rPr/>
        <w:t>Commonwealth</w:t>
      </w:r>
      <w:r>
        <w:rPr>
          <w:spacing w:val="-8"/>
        </w:rPr>
        <w:t> </w:t>
      </w:r>
      <w:r>
        <w:rPr/>
        <w:t>that</w:t>
      </w:r>
      <w:r>
        <w:rPr>
          <w:spacing w:val="-9"/>
        </w:rPr>
        <w:t> </w:t>
      </w:r>
      <w:r>
        <w:rPr/>
        <w:t>support youth homelessness and housing insecurity.</w:t>
      </w:r>
    </w:p>
    <w:p>
      <w:pPr>
        <w:pStyle w:val="BodyText"/>
        <w:spacing w:line="276" w:lineRule="auto" w:before="239"/>
        <w:ind w:left="463" w:right="402"/>
        <w:jc w:val="both"/>
      </w:pPr>
      <w:r>
        <w:rPr/>
        <w:t>The Commission applauds Mayor Wu’s recent announcement of a grant that seeks to empower transgender and nonbinary communities in the City of Boston and aims to improve transgender and nonbinary</w:t>
      </w:r>
      <w:r>
        <w:rPr>
          <w:spacing w:val="-13"/>
        </w:rPr>
        <w:t> </w:t>
      </w:r>
      <w:r>
        <w:rPr/>
        <w:t>residents’</w:t>
      </w:r>
      <w:r>
        <w:rPr>
          <w:spacing w:val="-12"/>
        </w:rPr>
        <w:t> </w:t>
      </w:r>
      <w:r>
        <w:rPr/>
        <w:t>access</w:t>
      </w:r>
      <w:r>
        <w:rPr>
          <w:spacing w:val="-13"/>
        </w:rPr>
        <w:t> </w:t>
      </w:r>
      <w:r>
        <w:rPr/>
        <w:t>to</w:t>
      </w:r>
      <w:r>
        <w:rPr>
          <w:spacing w:val="-12"/>
        </w:rPr>
        <w:t> </w:t>
      </w:r>
      <w:r>
        <w:rPr/>
        <w:t>affordable</w:t>
      </w:r>
      <w:r>
        <w:rPr>
          <w:spacing w:val="-13"/>
        </w:rPr>
        <w:t> </w:t>
      </w:r>
      <w:r>
        <w:rPr/>
        <w:t>housing,</w:t>
      </w:r>
      <w:r>
        <w:rPr>
          <w:spacing w:val="-12"/>
        </w:rPr>
        <w:t> </w:t>
      </w:r>
      <w:r>
        <w:rPr/>
        <w:t>public</w:t>
      </w:r>
      <w:r>
        <w:rPr>
          <w:spacing w:val="-13"/>
        </w:rPr>
        <w:t> </w:t>
      </w:r>
      <w:r>
        <w:rPr/>
        <w:t>health</w:t>
      </w:r>
      <w:r>
        <w:rPr>
          <w:spacing w:val="-12"/>
        </w:rPr>
        <w:t> </w:t>
      </w:r>
      <w:r>
        <w:rPr/>
        <w:t>and</w:t>
      </w:r>
      <w:r>
        <w:rPr>
          <w:spacing w:val="-12"/>
        </w:rPr>
        <w:t> </w:t>
      </w:r>
      <w:r>
        <w:rPr/>
        <w:t>mental</w:t>
      </w:r>
      <w:r>
        <w:rPr>
          <w:spacing w:val="-13"/>
        </w:rPr>
        <w:t> </w:t>
      </w:r>
      <w:r>
        <w:rPr/>
        <w:t>health</w:t>
      </w:r>
      <w:r>
        <w:rPr>
          <w:spacing w:val="-12"/>
        </w:rPr>
        <w:t> </w:t>
      </w:r>
      <w:r>
        <w:rPr/>
        <w:t>resources,</w:t>
      </w:r>
      <w:r>
        <w:rPr>
          <w:spacing w:val="-13"/>
        </w:rPr>
        <w:t> </w:t>
      </w:r>
      <w:r>
        <w:rPr/>
        <w:t>and</w:t>
      </w:r>
      <w:r>
        <w:rPr>
          <w:spacing w:val="-12"/>
        </w:rPr>
        <w:t> </w:t>
      </w:r>
      <w:r>
        <w:rPr/>
        <w:t>legal support. The Transgender Emergency Fund was awarded funding totaling $700,000 to support the Transgender Transitional Housing</w:t>
      </w:r>
      <w:r>
        <w:rPr>
          <w:spacing w:val="-1"/>
        </w:rPr>
        <w:t> </w:t>
      </w:r>
      <w:r>
        <w:rPr/>
        <w:t>Program, which was established</w:t>
      </w:r>
      <w:r>
        <w:rPr>
          <w:spacing w:val="-1"/>
        </w:rPr>
        <w:t> </w:t>
      </w:r>
      <w:r>
        <w:rPr/>
        <w:t>in</w:t>
      </w:r>
      <w:r>
        <w:rPr>
          <w:spacing w:val="-1"/>
        </w:rPr>
        <w:t> </w:t>
      </w:r>
      <w:r>
        <w:rPr/>
        <w:t>May 2022 and</w:t>
      </w:r>
      <w:r>
        <w:rPr>
          <w:spacing w:val="-1"/>
        </w:rPr>
        <w:t> </w:t>
      </w:r>
      <w:r>
        <w:rPr/>
        <w:t>has since</w:t>
      </w:r>
      <w:r>
        <w:rPr>
          <w:spacing w:val="-1"/>
        </w:rPr>
        <w:t> </w:t>
      </w:r>
      <w:r>
        <w:rPr/>
        <w:t>housed 21 people to date. This partnership will help in the goal of reducing homelessness and supporting housing stability for transgender and nonbinary individuals; an issue that disproportionately impacts transgender and nonbinary individuals as stated throughout this report.</w:t>
      </w:r>
    </w:p>
    <w:p>
      <w:pPr>
        <w:pStyle w:val="BodyText"/>
        <w:spacing w:line="276" w:lineRule="auto" w:before="240"/>
        <w:ind w:left="463" w:right="402"/>
        <w:jc w:val="both"/>
      </w:pPr>
      <w:r>
        <w:rPr/>
        <w:t>The city of Boston has been highlighted by the Massachusetts Transgender Political Coalition for enforcing nondiscrimination policies for transgender, nonbinary, and gender non-conforming guests who have utilized services.</w:t>
      </w:r>
      <w:r>
        <w:rPr>
          <w:spacing w:val="40"/>
        </w:rPr>
        <w:t> </w:t>
      </w:r>
      <w:r>
        <w:rPr/>
        <w:t>The Coalition released </w:t>
      </w:r>
      <w:hyperlink r:id="rId447">
        <w:r>
          <w:rPr>
            <w:i/>
            <w:color w:val="1154CC"/>
            <w:u w:val="single" w:color="1154CC"/>
          </w:rPr>
          <w:t>Shelter for All Genders</w:t>
        </w:r>
        <w:r>
          <w:rPr>
            <w:u w:val="none"/>
          </w:rPr>
          <w:t>,</w:t>
        </w:r>
      </w:hyperlink>
      <w:r>
        <w:rPr>
          <w:u w:val="none"/>
        </w:rPr>
        <w:t> a report that details best practices for homeless shelters, services, and programs in Massachusetts that serve transgender, nonbinary, and gender non-conforming guests to support this goal.</w:t>
      </w:r>
      <w:hyperlink w:history="true" w:anchor="_bookmark309">
        <w:r>
          <w:rPr>
            <w:u w:val="none"/>
            <w:vertAlign w:val="superscript"/>
          </w:rPr>
          <w:t>36</w:t>
        </w:r>
      </w:hyperlink>
      <w:r>
        <w:rPr>
          <w:u w:val="none"/>
          <w:vertAlign w:val="baseline"/>
        </w:rPr>
        <w:t> Referencing these guidelines across</w:t>
      </w:r>
      <w:r>
        <w:rPr>
          <w:spacing w:val="-13"/>
          <w:u w:val="none"/>
          <w:vertAlign w:val="baseline"/>
        </w:rPr>
        <w:t> </w:t>
      </w:r>
      <w:r>
        <w:rPr>
          <w:u w:val="none"/>
          <w:vertAlign w:val="baseline"/>
        </w:rPr>
        <w:t>the</w:t>
      </w:r>
      <w:r>
        <w:rPr>
          <w:spacing w:val="-12"/>
          <w:u w:val="none"/>
          <w:vertAlign w:val="baseline"/>
        </w:rPr>
        <w:t> </w:t>
      </w:r>
      <w:r>
        <w:rPr>
          <w:u w:val="none"/>
          <w:vertAlign w:val="baseline"/>
        </w:rPr>
        <w:t>Commonwealth</w:t>
      </w:r>
      <w:r>
        <w:rPr>
          <w:spacing w:val="-13"/>
          <w:u w:val="none"/>
          <w:vertAlign w:val="baseline"/>
        </w:rPr>
        <w:t> </w:t>
      </w:r>
      <w:r>
        <w:rPr>
          <w:u w:val="none"/>
          <w:vertAlign w:val="baseline"/>
        </w:rPr>
        <w:t>and</w:t>
      </w:r>
      <w:r>
        <w:rPr>
          <w:spacing w:val="-12"/>
          <w:u w:val="none"/>
          <w:vertAlign w:val="baseline"/>
        </w:rPr>
        <w:t> </w:t>
      </w:r>
      <w:r>
        <w:rPr>
          <w:u w:val="none"/>
          <w:vertAlign w:val="baseline"/>
        </w:rPr>
        <w:t>using</w:t>
      </w:r>
      <w:r>
        <w:rPr>
          <w:spacing w:val="-13"/>
          <w:u w:val="none"/>
          <w:vertAlign w:val="baseline"/>
        </w:rPr>
        <w:t> </w:t>
      </w:r>
      <w:r>
        <w:rPr>
          <w:u w:val="none"/>
          <w:vertAlign w:val="baseline"/>
        </w:rPr>
        <w:t>this</w:t>
      </w:r>
      <w:r>
        <w:rPr>
          <w:spacing w:val="-12"/>
          <w:u w:val="none"/>
          <w:vertAlign w:val="baseline"/>
        </w:rPr>
        <w:t> </w:t>
      </w:r>
      <w:r>
        <w:rPr>
          <w:u w:val="none"/>
          <w:vertAlign w:val="baseline"/>
        </w:rPr>
        <w:t>information</w:t>
      </w:r>
      <w:r>
        <w:rPr>
          <w:spacing w:val="-13"/>
          <w:u w:val="none"/>
          <w:vertAlign w:val="baseline"/>
        </w:rPr>
        <w:t> </w:t>
      </w:r>
      <w:r>
        <w:rPr>
          <w:u w:val="none"/>
          <w:vertAlign w:val="baseline"/>
        </w:rPr>
        <w:t>to</w:t>
      </w:r>
      <w:r>
        <w:rPr>
          <w:spacing w:val="-12"/>
          <w:u w:val="none"/>
          <w:vertAlign w:val="baseline"/>
        </w:rPr>
        <w:t> </w:t>
      </w:r>
      <w:r>
        <w:rPr>
          <w:u w:val="none"/>
          <w:vertAlign w:val="baseline"/>
        </w:rPr>
        <w:t>develop</w:t>
      </w:r>
      <w:r>
        <w:rPr>
          <w:spacing w:val="-12"/>
          <w:u w:val="none"/>
          <w:vertAlign w:val="baseline"/>
        </w:rPr>
        <w:t> </w:t>
      </w:r>
      <w:r>
        <w:rPr>
          <w:u w:val="none"/>
          <w:vertAlign w:val="baseline"/>
        </w:rPr>
        <w:t>training</w:t>
      </w:r>
      <w:r>
        <w:rPr>
          <w:spacing w:val="-13"/>
          <w:u w:val="none"/>
          <w:vertAlign w:val="baseline"/>
        </w:rPr>
        <w:t> </w:t>
      </w:r>
      <w:r>
        <w:rPr>
          <w:u w:val="none"/>
          <w:vertAlign w:val="baseline"/>
        </w:rPr>
        <w:t>for</w:t>
      </w:r>
      <w:r>
        <w:rPr>
          <w:spacing w:val="-12"/>
          <w:u w:val="none"/>
          <w:vertAlign w:val="baseline"/>
        </w:rPr>
        <w:t> </w:t>
      </w:r>
      <w:r>
        <w:rPr>
          <w:u w:val="none"/>
          <w:vertAlign w:val="baseline"/>
        </w:rPr>
        <w:t>shelter</w:t>
      </w:r>
      <w:r>
        <w:rPr>
          <w:spacing w:val="-13"/>
          <w:u w:val="none"/>
          <w:vertAlign w:val="baseline"/>
        </w:rPr>
        <w:t> </w:t>
      </w:r>
      <w:r>
        <w:rPr>
          <w:u w:val="none"/>
          <w:vertAlign w:val="baseline"/>
        </w:rPr>
        <w:t>and</w:t>
      </w:r>
      <w:r>
        <w:rPr>
          <w:spacing w:val="-12"/>
          <w:u w:val="none"/>
          <w:vertAlign w:val="baseline"/>
        </w:rPr>
        <w:t> </w:t>
      </w:r>
      <w:r>
        <w:rPr>
          <w:u w:val="none"/>
          <w:vertAlign w:val="baseline"/>
        </w:rPr>
        <w:t>drop-in</w:t>
      </w:r>
      <w:r>
        <w:rPr>
          <w:spacing w:val="-13"/>
          <w:u w:val="none"/>
          <w:vertAlign w:val="baseline"/>
        </w:rPr>
        <w:t> </w:t>
      </w:r>
      <w:r>
        <w:rPr>
          <w:u w:val="none"/>
          <w:vertAlign w:val="baseline"/>
        </w:rPr>
        <w:t>center staff, particularly in rural areas, is important to standardize this inclusive practice.</w:t>
      </w:r>
    </w:p>
    <w:p>
      <w:pPr>
        <w:spacing w:before="240"/>
        <w:ind w:left="464" w:right="0" w:firstLine="0"/>
        <w:jc w:val="both"/>
        <w:rPr>
          <w:sz w:val="26"/>
        </w:rPr>
      </w:pPr>
      <w:bookmarkStart w:name="Federal Funding" w:id="492"/>
      <w:bookmarkEnd w:id="492"/>
      <w:r>
        <w:rPr/>
      </w:r>
      <w:r>
        <w:rPr>
          <w:color w:val="404040"/>
          <w:sz w:val="26"/>
        </w:rPr>
        <w:t>Federal</w:t>
      </w:r>
      <w:r>
        <w:rPr>
          <w:color w:val="404040"/>
          <w:spacing w:val="-4"/>
          <w:sz w:val="26"/>
        </w:rPr>
        <w:t> </w:t>
      </w:r>
      <w:r>
        <w:rPr>
          <w:color w:val="404040"/>
          <w:spacing w:val="-2"/>
          <w:sz w:val="26"/>
        </w:rPr>
        <w:t>Funding</w:t>
      </w:r>
    </w:p>
    <w:p>
      <w:pPr>
        <w:pStyle w:val="BodyText"/>
        <w:spacing w:line="276" w:lineRule="auto" w:before="288"/>
        <w:ind w:left="464" w:right="404"/>
        <w:jc w:val="both"/>
      </w:pPr>
      <w:r>
        <w:rPr/>
        <w:t>Federally, the U.S. Department of Housing and Urban Development (HUD) supported the Commonwealth</w:t>
      </w:r>
      <w:r>
        <w:rPr>
          <w:spacing w:val="40"/>
        </w:rPr>
        <w:t> </w:t>
      </w:r>
      <w:r>
        <w:rPr/>
        <w:t>of</w:t>
      </w:r>
      <w:r>
        <w:rPr>
          <w:spacing w:val="40"/>
        </w:rPr>
        <w:t> </w:t>
      </w:r>
      <w:r>
        <w:rPr/>
        <w:t>Massachusetts</w:t>
      </w:r>
      <w:r>
        <w:rPr>
          <w:spacing w:val="40"/>
        </w:rPr>
        <w:t> </w:t>
      </w:r>
      <w:r>
        <w:rPr/>
        <w:t>through</w:t>
      </w:r>
      <w:r>
        <w:rPr>
          <w:spacing w:val="40"/>
        </w:rPr>
        <w:t> </w:t>
      </w:r>
      <w:r>
        <w:rPr/>
        <w:t>homeless</w:t>
      </w:r>
      <w:r>
        <w:rPr>
          <w:spacing w:val="40"/>
        </w:rPr>
        <w:t> </w:t>
      </w:r>
      <w:r>
        <w:rPr/>
        <w:t>assistance</w:t>
      </w:r>
      <w:r>
        <w:rPr>
          <w:spacing w:val="40"/>
        </w:rPr>
        <w:t> </w:t>
      </w:r>
      <w:r>
        <w:rPr/>
        <w:t>grant</w:t>
      </w:r>
      <w:r>
        <w:rPr>
          <w:spacing w:val="40"/>
        </w:rPr>
        <w:t> </w:t>
      </w:r>
      <w:r>
        <w:rPr/>
        <w:t>funding</w:t>
      </w:r>
      <w:r>
        <w:rPr>
          <w:spacing w:val="40"/>
        </w:rPr>
        <w:t> </w:t>
      </w:r>
      <w:r>
        <w:rPr/>
        <w:t>to</w:t>
      </w:r>
      <w:r>
        <w:rPr>
          <w:spacing w:val="40"/>
        </w:rPr>
        <w:t> </w:t>
      </w:r>
      <w:r>
        <w:rPr/>
        <w:t>each</w:t>
      </w:r>
      <w:r>
        <w:rPr>
          <w:spacing w:val="40"/>
        </w:rPr>
        <w:t> </w:t>
      </w:r>
      <w:r>
        <w:rPr/>
        <w:t>of</w:t>
      </w:r>
      <w:r>
        <w:rPr>
          <w:spacing w:val="40"/>
        </w:rPr>
        <w:t> </w:t>
      </w:r>
      <w:r>
        <w:rPr/>
        <w:t>the</w:t>
      </w:r>
      <w:r>
        <w:rPr>
          <w:spacing w:val="40"/>
        </w:rPr>
        <w:t> </w:t>
      </w:r>
      <w:r>
        <w:rPr/>
        <w:t>12</w:t>
      </w:r>
    </w:p>
    <w:p>
      <w:pPr>
        <w:spacing w:after="0" w:line="276" w:lineRule="auto"/>
        <w:jc w:val="both"/>
        <w:sectPr>
          <w:pgSz w:w="12240" w:h="15840"/>
          <w:pgMar w:header="765" w:footer="1127" w:top="1280" w:bottom="1380" w:left="1120" w:right="1180"/>
        </w:sectPr>
      </w:pPr>
    </w:p>
    <w:p>
      <w:pPr>
        <w:pStyle w:val="BodyText"/>
        <w:spacing w:line="276" w:lineRule="auto" w:before="91"/>
        <w:ind w:left="464" w:right="402"/>
        <w:jc w:val="both"/>
      </w:pPr>
      <w:r>
        <w:rPr/>
        <w:t>Continuum of Care (CoC) regions. This funding totaled roughly $125 million in 2023, an increase of roughly $15 million from HUD's 2022 homelessness assistance funding.</w:t>
      </w:r>
      <w:hyperlink w:history="true" w:anchor="_bookmark310">
        <w:r>
          <w:rPr>
            <w:vertAlign w:val="superscript"/>
          </w:rPr>
          <w:t>37</w:t>
        </w:r>
      </w:hyperlink>
      <w:r>
        <w:rPr>
          <w:spacing w:val="-3"/>
          <w:vertAlign w:val="baseline"/>
        </w:rPr>
        <w:t> </w:t>
      </w:r>
      <w:r>
        <w:rPr>
          <w:vertAlign w:val="baseline"/>
        </w:rPr>
        <w:t>For an overview of funding allocation by CoC region, refer to Table 2.</w:t>
      </w:r>
    </w:p>
    <w:p>
      <w:pPr>
        <w:pStyle w:val="BodyText"/>
        <w:spacing w:line="276" w:lineRule="auto" w:before="241"/>
        <w:ind w:left="464" w:right="402"/>
        <w:jc w:val="both"/>
      </w:pPr>
      <w:r>
        <w:rPr/>
        <w:t>The Commission acknowledges and applauds the federal grant support that enables non-profits and organizations across the Commonwealth to provide effective resources for youth experiencing homelessness and housing insecurity. For example, In February 2024, $2.4 million was awarded to Cape</w:t>
      </w:r>
      <w:r>
        <w:rPr>
          <w:spacing w:val="-12"/>
        </w:rPr>
        <w:t> </w:t>
      </w:r>
      <w:r>
        <w:rPr/>
        <w:t>and</w:t>
      </w:r>
      <w:r>
        <w:rPr>
          <w:spacing w:val="-11"/>
        </w:rPr>
        <w:t> </w:t>
      </w:r>
      <w:r>
        <w:rPr/>
        <w:t>Islands</w:t>
      </w:r>
      <w:r>
        <w:rPr>
          <w:spacing w:val="-12"/>
        </w:rPr>
        <w:t> </w:t>
      </w:r>
      <w:r>
        <w:rPr/>
        <w:t>homelessness</w:t>
      </w:r>
      <w:r>
        <w:rPr>
          <w:spacing w:val="-12"/>
        </w:rPr>
        <w:t> </w:t>
      </w:r>
      <w:r>
        <w:rPr/>
        <w:t>programs</w:t>
      </w:r>
      <w:r>
        <w:rPr>
          <w:spacing w:val="-12"/>
        </w:rPr>
        <w:t> </w:t>
      </w:r>
      <w:r>
        <w:rPr/>
        <w:t>as</w:t>
      </w:r>
      <w:r>
        <w:rPr>
          <w:spacing w:val="-12"/>
        </w:rPr>
        <w:t> </w:t>
      </w:r>
      <w:r>
        <w:rPr/>
        <w:t>part</w:t>
      </w:r>
      <w:r>
        <w:rPr>
          <w:spacing w:val="-12"/>
        </w:rPr>
        <w:t> </w:t>
      </w:r>
      <w:r>
        <w:rPr/>
        <w:t>of</w:t>
      </w:r>
      <w:r>
        <w:rPr>
          <w:spacing w:val="-12"/>
        </w:rPr>
        <w:t> </w:t>
      </w:r>
      <w:r>
        <w:rPr/>
        <w:t>its</w:t>
      </w:r>
      <w:r>
        <w:rPr>
          <w:spacing w:val="-11"/>
        </w:rPr>
        <w:t> </w:t>
      </w:r>
      <w:r>
        <w:rPr/>
        <w:t>annual</w:t>
      </w:r>
      <w:r>
        <w:rPr>
          <w:spacing w:val="-11"/>
        </w:rPr>
        <w:t> </w:t>
      </w:r>
      <w:r>
        <w:rPr/>
        <w:t>Continuum</w:t>
      </w:r>
      <w:r>
        <w:rPr>
          <w:spacing w:val="-11"/>
        </w:rPr>
        <w:t> </w:t>
      </w:r>
      <w:r>
        <w:rPr/>
        <w:t>of</w:t>
      </w:r>
      <w:r>
        <w:rPr>
          <w:spacing w:val="-12"/>
        </w:rPr>
        <w:t> </w:t>
      </w:r>
      <w:r>
        <w:rPr/>
        <w:t>Care</w:t>
      </w:r>
      <w:r>
        <w:rPr>
          <w:spacing w:val="-11"/>
        </w:rPr>
        <w:t> </w:t>
      </w:r>
      <w:r>
        <w:rPr/>
        <w:t>Competition</w:t>
      </w:r>
      <w:r>
        <w:rPr>
          <w:spacing w:val="-10"/>
        </w:rPr>
        <w:t> </w:t>
      </w:r>
      <w:r>
        <w:rPr/>
        <w:t>Awards. This funding will allow for the Cape Cod and Islands CoC Region to deliver services and resources needed to alleviate youth and young adult housing insecurity. Additionally, this funding was instrumental in the continued development of Hopeful Homes, a continuum of care plan that was compiled</w:t>
      </w:r>
      <w:r>
        <w:rPr>
          <w:spacing w:val="-9"/>
        </w:rPr>
        <w:t> </w:t>
      </w:r>
      <w:r>
        <w:rPr/>
        <w:t>by</w:t>
      </w:r>
      <w:r>
        <w:rPr>
          <w:spacing w:val="-6"/>
        </w:rPr>
        <w:t> </w:t>
      </w:r>
      <w:r>
        <w:rPr/>
        <w:t>80</w:t>
      </w:r>
      <w:r>
        <w:rPr>
          <w:spacing w:val="-9"/>
        </w:rPr>
        <w:t> </w:t>
      </w:r>
      <w:r>
        <w:rPr/>
        <w:t>homeless</w:t>
      </w:r>
      <w:r>
        <w:rPr>
          <w:spacing w:val="-7"/>
        </w:rPr>
        <w:t> </w:t>
      </w:r>
      <w:r>
        <w:rPr/>
        <w:t>prevention</w:t>
      </w:r>
      <w:r>
        <w:rPr>
          <w:spacing w:val="-8"/>
        </w:rPr>
        <w:t> </w:t>
      </w:r>
      <w:r>
        <w:rPr/>
        <w:t>stakeholders</w:t>
      </w:r>
      <w:r>
        <w:rPr>
          <w:spacing w:val="-8"/>
        </w:rPr>
        <w:t> </w:t>
      </w:r>
      <w:r>
        <w:rPr/>
        <w:t>from</w:t>
      </w:r>
      <w:r>
        <w:rPr>
          <w:spacing w:val="-9"/>
        </w:rPr>
        <w:t> </w:t>
      </w:r>
      <w:r>
        <w:rPr/>
        <w:t>across</w:t>
      </w:r>
      <w:r>
        <w:rPr>
          <w:spacing w:val="-8"/>
        </w:rPr>
        <w:t> </w:t>
      </w:r>
      <w:r>
        <w:rPr/>
        <w:t>Cape</w:t>
      </w:r>
      <w:r>
        <w:rPr>
          <w:spacing w:val="-9"/>
        </w:rPr>
        <w:t> </w:t>
      </w:r>
      <w:r>
        <w:rPr/>
        <w:t>Cod</w:t>
      </w:r>
      <w:r>
        <w:rPr>
          <w:spacing w:val="-9"/>
        </w:rPr>
        <w:t> </w:t>
      </w:r>
      <w:r>
        <w:rPr/>
        <w:t>and</w:t>
      </w:r>
      <w:r>
        <w:rPr>
          <w:spacing w:val="-8"/>
        </w:rPr>
        <w:t> </w:t>
      </w:r>
      <w:r>
        <w:rPr/>
        <w:t>Islands</w:t>
      </w:r>
      <w:r>
        <w:rPr>
          <w:spacing w:val="-8"/>
        </w:rPr>
        <w:t> </w:t>
      </w:r>
      <w:r>
        <w:rPr/>
        <w:t>and</w:t>
      </w:r>
      <w:r>
        <w:rPr>
          <w:spacing w:val="-8"/>
        </w:rPr>
        <w:t> </w:t>
      </w:r>
      <w:r>
        <w:rPr/>
        <w:t>comprised</w:t>
      </w:r>
      <w:r>
        <w:rPr>
          <w:spacing w:val="-9"/>
        </w:rPr>
        <w:t> </w:t>
      </w:r>
      <w:r>
        <w:rPr/>
        <w:t>of a Youth Action Board of young adults who have experienced homelessness and housing insecurity.</w:t>
      </w:r>
      <w:hyperlink w:history="true" w:anchor="_bookmark311">
        <w:r>
          <w:rPr>
            <w:vertAlign w:val="superscript"/>
          </w:rPr>
          <w:t>38</w:t>
        </w:r>
      </w:hyperlink>
    </w:p>
    <w:p>
      <w:pPr>
        <w:pStyle w:val="BodyText"/>
        <w:spacing w:line="276" w:lineRule="auto" w:before="239"/>
        <w:ind w:left="463" w:right="401"/>
        <w:jc w:val="both"/>
        <w:rPr>
          <w:sz w:val="21"/>
        </w:rPr>
      </w:pPr>
      <w:r>
        <w:rPr/>
        <w:t>Specific</w:t>
      </w:r>
      <w:r>
        <w:rPr>
          <w:spacing w:val="-6"/>
        </w:rPr>
        <w:t> </w:t>
      </w:r>
      <w:r>
        <w:rPr/>
        <w:t>funding</w:t>
      </w:r>
      <w:r>
        <w:rPr>
          <w:spacing w:val="-6"/>
        </w:rPr>
        <w:t> </w:t>
      </w:r>
      <w:r>
        <w:rPr/>
        <w:t>for</w:t>
      </w:r>
      <w:r>
        <w:rPr>
          <w:spacing w:val="-5"/>
        </w:rPr>
        <w:t> </w:t>
      </w:r>
      <w:r>
        <w:rPr/>
        <w:t>LGBTQ</w:t>
      </w:r>
      <w:r>
        <w:rPr>
          <w:spacing w:val="-4"/>
        </w:rPr>
        <w:t> </w:t>
      </w:r>
      <w:r>
        <w:rPr/>
        <w:t>youth</w:t>
      </w:r>
      <w:r>
        <w:rPr>
          <w:spacing w:val="-6"/>
        </w:rPr>
        <w:t> </w:t>
      </w:r>
      <w:r>
        <w:rPr/>
        <w:t>and</w:t>
      </w:r>
      <w:r>
        <w:rPr>
          <w:spacing w:val="-6"/>
        </w:rPr>
        <w:t> </w:t>
      </w:r>
      <w:r>
        <w:rPr/>
        <w:t>young</w:t>
      </w:r>
      <w:r>
        <w:rPr>
          <w:spacing w:val="-6"/>
        </w:rPr>
        <w:t> </w:t>
      </w:r>
      <w:r>
        <w:rPr/>
        <w:t>adults</w:t>
      </w:r>
      <w:r>
        <w:rPr>
          <w:spacing w:val="-5"/>
        </w:rPr>
        <w:t> </w:t>
      </w:r>
      <w:r>
        <w:rPr/>
        <w:t>was</w:t>
      </w:r>
      <w:r>
        <w:rPr>
          <w:spacing w:val="-5"/>
        </w:rPr>
        <w:t> </w:t>
      </w:r>
      <w:r>
        <w:rPr/>
        <w:t>awarded</w:t>
      </w:r>
      <w:r>
        <w:rPr>
          <w:spacing w:val="-6"/>
        </w:rPr>
        <w:t> </w:t>
      </w:r>
      <w:r>
        <w:rPr/>
        <w:t>to</w:t>
      </w:r>
      <w:r>
        <w:rPr>
          <w:spacing w:val="-5"/>
        </w:rPr>
        <w:t> </w:t>
      </w:r>
      <w:r>
        <w:rPr/>
        <w:t>the</w:t>
      </w:r>
      <w:r>
        <w:rPr>
          <w:spacing w:val="-6"/>
        </w:rPr>
        <w:t> </w:t>
      </w:r>
      <w:r>
        <w:rPr/>
        <w:t>Victory</w:t>
      </w:r>
      <w:r>
        <w:rPr>
          <w:spacing w:val="-5"/>
        </w:rPr>
        <w:t> </w:t>
      </w:r>
      <w:r>
        <w:rPr/>
        <w:t>Programs,</w:t>
      </w:r>
      <w:r>
        <w:rPr>
          <w:spacing w:val="-5"/>
        </w:rPr>
        <w:t> </w:t>
      </w:r>
      <w:r>
        <w:rPr/>
        <w:t>a</w:t>
      </w:r>
      <w:r>
        <w:rPr>
          <w:spacing w:val="-5"/>
        </w:rPr>
        <w:t> </w:t>
      </w:r>
      <w:r>
        <w:rPr/>
        <w:t>non-profit that</w:t>
      </w:r>
      <w:r>
        <w:rPr>
          <w:spacing w:val="-8"/>
        </w:rPr>
        <w:t> </w:t>
      </w:r>
      <w:r>
        <w:rPr/>
        <w:t>provides</w:t>
      </w:r>
      <w:r>
        <w:rPr>
          <w:spacing w:val="-7"/>
        </w:rPr>
        <w:t> </w:t>
      </w:r>
      <w:r>
        <w:rPr/>
        <w:t>programs</w:t>
      </w:r>
      <w:r>
        <w:rPr>
          <w:spacing w:val="-8"/>
        </w:rPr>
        <w:t> </w:t>
      </w:r>
      <w:r>
        <w:rPr/>
        <w:t>for</w:t>
      </w:r>
      <w:r>
        <w:rPr>
          <w:spacing w:val="-7"/>
        </w:rPr>
        <w:t> </w:t>
      </w:r>
      <w:r>
        <w:rPr/>
        <w:t>housing,</w:t>
      </w:r>
      <w:r>
        <w:rPr>
          <w:spacing w:val="-8"/>
        </w:rPr>
        <w:t> </w:t>
      </w:r>
      <w:r>
        <w:rPr/>
        <w:t>recovery,</w:t>
      </w:r>
      <w:r>
        <w:rPr>
          <w:spacing w:val="-8"/>
        </w:rPr>
        <w:t> </w:t>
      </w:r>
      <w:r>
        <w:rPr/>
        <w:t>and</w:t>
      </w:r>
      <w:r>
        <w:rPr>
          <w:spacing w:val="-9"/>
        </w:rPr>
        <w:t> </w:t>
      </w:r>
      <w:r>
        <w:rPr/>
        <w:t>prevention</w:t>
      </w:r>
      <w:r>
        <w:rPr>
          <w:spacing w:val="-9"/>
        </w:rPr>
        <w:t> </w:t>
      </w:r>
      <w:r>
        <w:rPr/>
        <w:t>services</w:t>
      </w:r>
      <w:r>
        <w:rPr>
          <w:spacing w:val="-8"/>
        </w:rPr>
        <w:t> </w:t>
      </w:r>
      <w:r>
        <w:rPr/>
        <w:t>for</w:t>
      </w:r>
      <w:r>
        <w:rPr>
          <w:spacing w:val="-9"/>
        </w:rPr>
        <w:t> </w:t>
      </w:r>
      <w:r>
        <w:rPr/>
        <w:t>vulnerable</w:t>
      </w:r>
      <w:r>
        <w:rPr>
          <w:spacing w:val="-9"/>
        </w:rPr>
        <w:t> </w:t>
      </w:r>
      <w:r>
        <w:rPr/>
        <w:t>populations.</w:t>
      </w:r>
      <w:r>
        <w:rPr>
          <w:spacing w:val="-9"/>
        </w:rPr>
        <w:t> </w:t>
      </w:r>
      <w:r>
        <w:rPr/>
        <w:t>The Victory Programs, located in the Boston Continuum of Care Region, was awarded $767,287 for transitional</w:t>
      </w:r>
      <w:r>
        <w:rPr>
          <w:spacing w:val="-13"/>
        </w:rPr>
        <w:t> </w:t>
      </w:r>
      <w:r>
        <w:rPr/>
        <w:t>housing</w:t>
      </w:r>
      <w:r>
        <w:rPr>
          <w:spacing w:val="-12"/>
        </w:rPr>
        <w:t> </w:t>
      </w:r>
      <w:r>
        <w:rPr/>
        <w:t>and</w:t>
      </w:r>
      <w:r>
        <w:rPr>
          <w:spacing w:val="-13"/>
        </w:rPr>
        <w:t> </w:t>
      </w:r>
      <w:r>
        <w:rPr/>
        <w:t>rapid</w:t>
      </w:r>
      <w:r>
        <w:rPr>
          <w:spacing w:val="-12"/>
        </w:rPr>
        <w:t> </w:t>
      </w:r>
      <w:r>
        <w:rPr/>
        <w:t>re-housing</w:t>
      </w:r>
      <w:r>
        <w:rPr>
          <w:spacing w:val="-13"/>
        </w:rPr>
        <w:t> </w:t>
      </w:r>
      <w:r>
        <w:rPr/>
        <w:t>support</w:t>
      </w:r>
      <w:r>
        <w:rPr>
          <w:spacing w:val="-12"/>
        </w:rPr>
        <w:t> </w:t>
      </w:r>
      <w:r>
        <w:rPr/>
        <w:t>for</w:t>
      </w:r>
      <w:r>
        <w:rPr>
          <w:spacing w:val="-13"/>
        </w:rPr>
        <w:t> </w:t>
      </w:r>
      <w:r>
        <w:rPr/>
        <w:t>LGBTQ</w:t>
      </w:r>
      <w:r>
        <w:rPr>
          <w:spacing w:val="-12"/>
        </w:rPr>
        <w:t> </w:t>
      </w:r>
      <w:r>
        <w:rPr/>
        <w:t>youth.</w:t>
      </w:r>
      <w:r>
        <w:rPr>
          <w:spacing w:val="-12"/>
        </w:rPr>
        <w:t> </w:t>
      </w:r>
      <w:r>
        <w:rPr/>
        <w:t>The</w:t>
      </w:r>
      <w:r>
        <w:rPr>
          <w:spacing w:val="-13"/>
        </w:rPr>
        <w:t> </w:t>
      </w:r>
      <w:r>
        <w:rPr/>
        <w:t>program</w:t>
      </w:r>
      <w:r>
        <w:rPr>
          <w:spacing w:val="-12"/>
        </w:rPr>
        <w:t> </w:t>
      </w:r>
      <w:r>
        <w:rPr/>
        <w:t>objectives,</w:t>
      </w:r>
      <w:r>
        <w:rPr>
          <w:spacing w:val="-13"/>
        </w:rPr>
        <w:t> </w:t>
      </w:r>
      <w:r>
        <w:rPr/>
        <w:t>as</w:t>
      </w:r>
      <w:r>
        <w:rPr>
          <w:spacing w:val="-12"/>
        </w:rPr>
        <w:t> </w:t>
      </w:r>
      <w:r>
        <w:rPr/>
        <w:t>defined by HUD, would</w:t>
      </w:r>
      <w:r>
        <w:rPr>
          <w:spacing w:val="-1"/>
        </w:rPr>
        <w:t> </w:t>
      </w:r>
      <w:r>
        <w:rPr/>
        <w:t>be to provide</w:t>
      </w:r>
      <w:r>
        <w:rPr>
          <w:spacing w:val="-1"/>
        </w:rPr>
        <w:t> </w:t>
      </w:r>
      <w:r>
        <w:rPr/>
        <w:t>a safe space</w:t>
      </w:r>
      <w:r>
        <w:rPr>
          <w:spacing w:val="-1"/>
        </w:rPr>
        <w:t> </w:t>
      </w:r>
      <w:r>
        <w:rPr/>
        <w:t>for participants, quickly house participants and</w:t>
      </w:r>
      <w:r>
        <w:rPr>
          <w:spacing w:val="-1"/>
        </w:rPr>
        <w:t> </w:t>
      </w:r>
      <w:r>
        <w:rPr/>
        <w:t>move</w:t>
      </w:r>
      <w:r>
        <w:rPr>
          <w:spacing w:val="-1"/>
        </w:rPr>
        <w:t> </w:t>
      </w:r>
      <w:r>
        <w:rPr/>
        <w:t>them into permanent housing, and to provide financial assistance and wrap-around supportive services.</w:t>
      </w:r>
      <w:hyperlink w:history="true" w:anchor="_bookmark312">
        <w:r>
          <w:rPr>
            <w:vertAlign w:val="superscript"/>
          </w:rPr>
          <w:t>39</w:t>
        </w:r>
      </w:hyperlink>
      <w:r>
        <w:rPr>
          <w:vertAlign w:val="baseline"/>
        </w:rPr>
        <w:t> The full funding report can be found in the </w:t>
      </w:r>
      <w:hyperlink r:id="rId448">
        <w:r>
          <w:rPr>
            <w:color w:val="1154CC"/>
            <w:u w:val="single" w:color="1154CC"/>
            <w:vertAlign w:val="baseline"/>
          </w:rPr>
          <w:t>Massachusetts Summary Report</w:t>
        </w:r>
      </w:hyperlink>
      <w:r>
        <w:rPr>
          <w:color w:val="1154CC"/>
          <w:u w:val="none"/>
          <w:vertAlign w:val="baseline"/>
        </w:rPr>
        <w:t> </w:t>
      </w:r>
      <w:r>
        <w:rPr>
          <w:u w:val="none"/>
          <w:vertAlign w:val="baseline"/>
        </w:rPr>
        <w:t>released by HUD</w:t>
      </w:r>
      <w:r>
        <w:rPr>
          <w:sz w:val="21"/>
          <w:u w:val="none"/>
          <w:vertAlign w:val="baseline"/>
        </w:rPr>
        <w:t>.</w:t>
      </w:r>
    </w:p>
    <w:p>
      <w:pPr>
        <w:pStyle w:val="BodyText"/>
        <w:spacing w:before="7"/>
        <w:rPr>
          <w:sz w:val="19"/>
        </w:rPr>
      </w:pPr>
    </w:p>
    <w:tbl>
      <w:tblPr>
        <w:tblW w:w="0" w:type="auto"/>
        <w:jc w:val="left"/>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30"/>
        <w:gridCol w:w="1679"/>
        <w:gridCol w:w="3141"/>
        <w:gridCol w:w="1750"/>
      </w:tblGrid>
      <w:tr>
        <w:trPr>
          <w:trHeight w:val="443" w:hRule="atLeast"/>
        </w:trPr>
        <w:tc>
          <w:tcPr>
            <w:tcW w:w="2730" w:type="dxa"/>
            <w:tcBorders>
              <w:bottom w:val="single" w:sz="6" w:space="0" w:color="000000"/>
            </w:tcBorders>
            <w:shd w:val="clear" w:color="auto" w:fill="CFE1F3"/>
          </w:tcPr>
          <w:p>
            <w:pPr>
              <w:pStyle w:val="TableParagraph"/>
              <w:spacing w:before="99"/>
              <w:ind w:left="243"/>
              <w:rPr>
                <w:b/>
                <w:sz w:val="20"/>
              </w:rPr>
            </w:pPr>
            <w:r>
              <w:rPr>
                <w:b/>
                <w:sz w:val="20"/>
              </w:rPr>
              <w:t>CoC</w:t>
            </w:r>
            <w:r>
              <w:rPr>
                <w:b/>
                <w:spacing w:val="-1"/>
                <w:sz w:val="20"/>
              </w:rPr>
              <w:t> </w:t>
            </w:r>
            <w:r>
              <w:rPr>
                <w:b/>
                <w:spacing w:val="-2"/>
                <w:sz w:val="20"/>
              </w:rPr>
              <w:t>Region</w:t>
            </w:r>
          </w:p>
        </w:tc>
        <w:tc>
          <w:tcPr>
            <w:tcW w:w="1679" w:type="dxa"/>
            <w:tcBorders>
              <w:bottom w:val="single" w:sz="6" w:space="0" w:color="000000"/>
              <w:right w:val="single" w:sz="12" w:space="0" w:color="000000"/>
            </w:tcBorders>
            <w:shd w:val="clear" w:color="auto" w:fill="CFE1F3"/>
          </w:tcPr>
          <w:p>
            <w:pPr>
              <w:pStyle w:val="TableParagraph"/>
              <w:spacing w:before="99"/>
              <w:ind w:left="243"/>
              <w:rPr>
                <w:b/>
                <w:sz w:val="20"/>
              </w:rPr>
            </w:pPr>
            <w:r>
              <w:rPr>
                <w:b/>
                <w:spacing w:val="-2"/>
                <w:sz w:val="20"/>
              </w:rPr>
              <w:t>Amount</w:t>
            </w:r>
          </w:p>
        </w:tc>
        <w:tc>
          <w:tcPr>
            <w:tcW w:w="3141" w:type="dxa"/>
            <w:tcBorders>
              <w:left w:val="single" w:sz="12" w:space="0" w:color="000000"/>
              <w:bottom w:val="single" w:sz="6" w:space="0" w:color="000000"/>
            </w:tcBorders>
            <w:shd w:val="clear" w:color="auto" w:fill="CFE1F3"/>
          </w:tcPr>
          <w:p>
            <w:pPr>
              <w:pStyle w:val="TableParagraph"/>
              <w:spacing w:before="99"/>
              <w:ind w:left="239"/>
              <w:rPr>
                <w:b/>
                <w:sz w:val="20"/>
              </w:rPr>
            </w:pPr>
            <w:r>
              <w:rPr>
                <w:b/>
                <w:sz w:val="20"/>
              </w:rPr>
              <w:t>CoC</w:t>
            </w:r>
            <w:r>
              <w:rPr>
                <w:b/>
                <w:spacing w:val="-1"/>
                <w:sz w:val="20"/>
              </w:rPr>
              <w:t> </w:t>
            </w:r>
            <w:r>
              <w:rPr>
                <w:b/>
                <w:spacing w:val="-2"/>
                <w:sz w:val="20"/>
              </w:rPr>
              <w:t>Region</w:t>
            </w:r>
          </w:p>
        </w:tc>
        <w:tc>
          <w:tcPr>
            <w:tcW w:w="1750" w:type="dxa"/>
            <w:tcBorders>
              <w:bottom w:val="single" w:sz="6" w:space="0" w:color="000000"/>
            </w:tcBorders>
            <w:shd w:val="clear" w:color="auto" w:fill="CFE1F3"/>
          </w:tcPr>
          <w:p>
            <w:pPr>
              <w:pStyle w:val="TableParagraph"/>
              <w:spacing w:before="99"/>
              <w:ind w:left="243"/>
              <w:rPr>
                <w:b/>
                <w:sz w:val="20"/>
              </w:rPr>
            </w:pPr>
            <w:r>
              <w:rPr>
                <w:b/>
                <w:spacing w:val="-2"/>
                <w:sz w:val="20"/>
              </w:rPr>
              <w:t>Amount</w:t>
            </w:r>
          </w:p>
        </w:tc>
      </w:tr>
      <w:tr>
        <w:trPr>
          <w:trHeight w:val="565" w:hRule="atLeast"/>
        </w:trPr>
        <w:tc>
          <w:tcPr>
            <w:tcW w:w="2730" w:type="dxa"/>
            <w:tcBorders>
              <w:top w:val="single" w:sz="6" w:space="0" w:color="000000"/>
              <w:left w:val="single" w:sz="6" w:space="0" w:color="000000"/>
              <w:bottom w:val="single" w:sz="6" w:space="0" w:color="000000"/>
              <w:right w:val="single" w:sz="6" w:space="0" w:color="000000"/>
            </w:tcBorders>
          </w:tcPr>
          <w:p>
            <w:pPr>
              <w:pStyle w:val="TableParagraph"/>
              <w:spacing w:before="37"/>
              <w:rPr>
                <w:sz w:val="20"/>
              </w:rPr>
            </w:pPr>
          </w:p>
          <w:p>
            <w:pPr>
              <w:pStyle w:val="TableParagraph"/>
              <w:spacing w:before="1"/>
              <w:ind w:left="185"/>
              <w:rPr>
                <w:sz w:val="20"/>
              </w:rPr>
            </w:pPr>
            <w:r>
              <w:rPr>
                <w:sz w:val="20"/>
              </w:rPr>
              <w:t>Balance</w:t>
            </w:r>
            <w:r>
              <w:rPr>
                <w:spacing w:val="-3"/>
                <w:sz w:val="20"/>
              </w:rPr>
              <w:t> </w:t>
            </w:r>
            <w:r>
              <w:rPr>
                <w:sz w:val="20"/>
              </w:rPr>
              <w:t>of</w:t>
            </w:r>
            <w:r>
              <w:rPr>
                <w:spacing w:val="-3"/>
                <w:sz w:val="20"/>
              </w:rPr>
              <w:t> </w:t>
            </w:r>
            <w:r>
              <w:rPr>
                <w:spacing w:val="-2"/>
                <w:sz w:val="20"/>
              </w:rPr>
              <w:t>State</w:t>
            </w:r>
          </w:p>
        </w:tc>
        <w:tc>
          <w:tcPr>
            <w:tcW w:w="1679" w:type="dxa"/>
            <w:tcBorders>
              <w:top w:val="single" w:sz="6" w:space="0" w:color="000000"/>
              <w:left w:val="single" w:sz="6" w:space="0" w:color="000000"/>
              <w:bottom w:val="single" w:sz="6" w:space="0" w:color="000000"/>
              <w:right w:val="single" w:sz="12" w:space="0" w:color="000000"/>
            </w:tcBorders>
          </w:tcPr>
          <w:p>
            <w:pPr>
              <w:pStyle w:val="TableParagraph"/>
              <w:spacing w:before="37"/>
              <w:rPr>
                <w:sz w:val="20"/>
              </w:rPr>
            </w:pPr>
          </w:p>
          <w:p>
            <w:pPr>
              <w:pStyle w:val="TableParagraph"/>
              <w:spacing w:before="1"/>
              <w:ind w:left="185"/>
              <w:rPr>
                <w:sz w:val="20"/>
              </w:rPr>
            </w:pPr>
            <w:r>
              <w:rPr>
                <w:spacing w:val="-2"/>
                <w:sz w:val="20"/>
              </w:rPr>
              <w:t>$31,762,597</w:t>
            </w:r>
          </w:p>
        </w:tc>
        <w:tc>
          <w:tcPr>
            <w:tcW w:w="3141" w:type="dxa"/>
            <w:tcBorders>
              <w:top w:val="single" w:sz="6" w:space="0" w:color="000000"/>
              <w:left w:val="single" w:sz="12" w:space="0" w:color="000000"/>
              <w:bottom w:val="single" w:sz="6" w:space="0" w:color="000000"/>
              <w:right w:val="single" w:sz="6" w:space="0" w:color="000000"/>
            </w:tcBorders>
          </w:tcPr>
          <w:p>
            <w:pPr>
              <w:pStyle w:val="TableParagraph"/>
              <w:tabs>
                <w:tab w:pos="999" w:val="left" w:leader="none"/>
                <w:tab w:pos="1991" w:val="left" w:leader="none"/>
              </w:tabs>
              <w:spacing w:before="38"/>
              <w:ind w:left="179" w:right="165"/>
              <w:rPr>
                <w:sz w:val="20"/>
              </w:rPr>
            </w:pPr>
            <w:r>
              <w:rPr>
                <w:spacing w:val="-2"/>
                <w:sz w:val="20"/>
              </w:rPr>
              <w:t>Quincy,</w:t>
            </w:r>
            <w:r>
              <w:rPr>
                <w:sz w:val="20"/>
              </w:rPr>
              <w:tab/>
            </w:r>
            <w:r>
              <w:rPr>
                <w:spacing w:val="-2"/>
                <w:sz w:val="20"/>
              </w:rPr>
              <w:t>Brockton,</w:t>
            </w:r>
            <w:r>
              <w:rPr>
                <w:sz w:val="20"/>
              </w:rPr>
              <w:tab/>
            </w:r>
            <w:r>
              <w:rPr>
                <w:spacing w:val="-2"/>
                <w:sz w:val="20"/>
              </w:rPr>
              <w:t>Weymouth, </w:t>
            </w:r>
            <w:r>
              <w:rPr>
                <w:sz w:val="20"/>
              </w:rPr>
              <w:t>Plymouth City, and County</w:t>
            </w:r>
          </w:p>
        </w:tc>
        <w:tc>
          <w:tcPr>
            <w:tcW w:w="1750" w:type="dxa"/>
            <w:tcBorders>
              <w:top w:val="single" w:sz="6" w:space="0" w:color="000000"/>
              <w:left w:val="single" w:sz="6" w:space="0" w:color="000000"/>
              <w:bottom w:val="single" w:sz="6" w:space="0" w:color="000000"/>
              <w:right w:val="single" w:sz="6" w:space="0" w:color="000000"/>
            </w:tcBorders>
          </w:tcPr>
          <w:p>
            <w:pPr>
              <w:pStyle w:val="TableParagraph"/>
              <w:spacing w:before="37"/>
              <w:rPr>
                <w:sz w:val="20"/>
              </w:rPr>
            </w:pPr>
          </w:p>
          <w:p>
            <w:pPr>
              <w:pStyle w:val="TableParagraph"/>
              <w:spacing w:before="1"/>
              <w:ind w:left="186"/>
              <w:rPr>
                <w:sz w:val="20"/>
              </w:rPr>
            </w:pPr>
            <w:r>
              <w:rPr>
                <w:spacing w:val="-2"/>
                <w:sz w:val="20"/>
              </w:rPr>
              <w:t>$10,838,488</w:t>
            </w:r>
          </w:p>
        </w:tc>
      </w:tr>
      <w:tr>
        <w:trPr>
          <w:trHeight w:val="320" w:hRule="atLeast"/>
        </w:trPr>
        <w:tc>
          <w:tcPr>
            <w:tcW w:w="2730" w:type="dxa"/>
            <w:tcBorders>
              <w:top w:val="single" w:sz="6" w:space="0" w:color="000000"/>
              <w:left w:val="single" w:sz="6" w:space="0" w:color="000000"/>
              <w:bottom w:val="single" w:sz="6" w:space="0" w:color="000000"/>
              <w:right w:val="single" w:sz="6" w:space="0" w:color="000000"/>
            </w:tcBorders>
          </w:tcPr>
          <w:p>
            <w:pPr>
              <w:pStyle w:val="TableParagraph"/>
              <w:spacing w:before="37"/>
              <w:ind w:left="185"/>
              <w:rPr>
                <w:sz w:val="20"/>
              </w:rPr>
            </w:pPr>
            <w:r>
              <w:rPr>
                <w:spacing w:val="-2"/>
                <w:sz w:val="20"/>
              </w:rPr>
              <w:t>Boston</w:t>
            </w:r>
          </w:p>
        </w:tc>
        <w:tc>
          <w:tcPr>
            <w:tcW w:w="1679" w:type="dxa"/>
            <w:tcBorders>
              <w:top w:val="single" w:sz="6" w:space="0" w:color="000000"/>
              <w:left w:val="single" w:sz="6" w:space="0" w:color="000000"/>
              <w:bottom w:val="single" w:sz="6" w:space="0" w:color="000000"/>
              <w:right w:val="single" w:sz="12" w:space="0" w:color="000000"/>
            </w:tcBorders>
          </w:tcPr>
          <w:p>
            <w:pPr>
              <w:pStyle w:val="TableParagraph"/>
              <w:spacing w:before="37"/>
              <w:ind w:left="185"/>
              <w:rPr>
                <w:sz w:val="20"/>
              </w:rPr>
            </w:pPr>
            <w:r>
              <w:rPr>
                <w:spacing w:val="-2"/>
                <w:sz w:val="20"/>
              </w:rPr>
              <w:t>$47,706,835</w:t>
            </w:r>
          </w:p>
        </w:tc>
        <w:tc>
          <w:tcPr>
            <w:tcW w:w="3141" w:type="dxa"/>
            <w:tcBorders>
              <w:top w:val="single" w:sz="6" w:space="0" w:color="000000"/>
              <w:left w:val="single" w:sz="12" w:space="0" w:color="000000"/>
              <w:bottom w:val="single" w:sz="6" w:space="0" w:color="000000"/>
              <w:right w:val="single" w:sz="6" w:space="0" w:color="000000"/>
            </w:tcBorders>
          </w:tcPr>
          <w:p>
            <w:pPr>
              <w:pStyle w:val="TableParagraph"/>
              <w:spacing w:before="37"/>
              <w:ind w:left="179"/>
              <w:rPr>
                <w:sz w:val="20"/>
              </w:rPr>
            </w:pPr>
            <w:r>
              <w:rPr>
                <w:sz w:val="20"/>
              </w:rPr>
              <w:t>New</w:t>
            </w:r>
            <w:r>
              <w:rPr>
                <w:spacing w:val="-4"/>
                <w:sz w:val="20"/>
              </w:rPr>
              <w:t> </w:t>
            </w:r>
            <w:r>
              <w:rPr>
                <w:spacing w:val="-2"/>
                <w:sz w:val="20"/>
              </w:rPr>
              <w:t>Bedford</w:t>
            </w:r>
          </w:p>
        </w:tc>
        <w:tc>
          <w:tcPr>
            <w:tcW w:w="1750" w:type="dxa"/>
            <w:tcBorders>
              <w:top w:val="single" w:sz="6" w:space="0" w:color="000000"/>
              <w:left w:val="single" w:sz="6" w:space="0" w:color="000000"/>
              <w:bottom w:val="single" w:sz="6" w:space="0" w:color="000000"/>
              <w:right w:val="single" w:sz="6" w:space="0" w:color="000000"/>
            </w:tcBorders>
          </w:tcPr>
          <w:p>
            <w:pPr>
              <w:pStyle w:val="TableParagraph"/>
              <w:spacing w:before="37"/>
              <w:ind w:left="186"/>
              <w:rPr>
                <w:sz w:val="20"/>
              </w:rPr>
            </w:pPr>
            <w:r>
              <w:rPr>
                <w:spacing w:val="-2"/>
                <w:sz w:val="20"/>
              </w:rPr>
              <w:t>$2,293,066</w:t>
            </w:r>
          </w:p>
        </w:tc>
      </w:tr>
      <w:tr>
        <w:trPr>
          <w:trHeight w:val="321" w:hRule="atLeast"/>
        </w:trPr>
        <w:tc>
          <w:tcPr>
            <w:tcW w:w="2730" w:type="dxa"/>
            <w:tcBorders>
              <w:top w:val="single" w:sz="6" w:space="0" w:color="000000"/>
              <w:left w:val="single" w:sz="6" w:space="0" w:color="000000"/>
              <w:bottom w:val="single" w:sz="6" w:space="0" w:color="000000"/>
              <w:right w:val="single" w:sz="6" w:space="0" w:color="000000"/>
            </w:tcBorders>
          </w:tcPr>
          <w:p>
            <w:pPr>
              <w:pStyle w:val="TableParagraph"/>
              <w:spacing w:before="37"/>
              <w:ind w:left="185"/>
              <w:rPr>
                <w:sz w:val="20"/>
              </w:rPr>
            </w:pPr>
            <w:r>
              <w:rPr>
                <w:spacing w:val="-2"/>
                <w:sz w:val="20"/>
              </w:rPr>
              <w:t>Springfield/Hampden</w:t>
            </w:r>
            <w:r>
              <w:rPr>
                <w:spacing w:val="21"/>
                <w:sz w:val="20"/>
              </w:rPr>
              <w:t> </w:t>
            </w:r>
            <w:r>
              <w:rPr>
                <w:spacing w:val="-2"/>
                <w:sz w:val="20"/>
              </w:rPr>
              <w:t>County</w:t>
            </w:r>
          </w:p>
        </w:tc>
        <w:tc>
          <w:tcPr>
            <w:tcW w:w="1679" w:type="dxa"/>
            <w:tcBorders>
              <w:top w:val="single" w:sz="6" w:space="0" w:color="000000"/>
              <w:left w:val="single" w:sz="6" w:space="0" w:color="000000"/>
              <w:bottom w:val="single" w:sz="6" w:space="0" w:color="000000"/>
              <w:right w:val="single" w:sz="12" w:space="0" w:color="000000"/>
            </w:tcBorders>
          </w:tcPr>
          <w:p>
            <w:pPr>
              <w:pStyle w:val="TableParagraph"/>
              <w:spacing w:before="37"/>
              <w:ind w:left="185"/>
              <w:rPr>
                <w:sz w:val="20"/>
              </w:rPr>
            </w:pPr>
            <w:r>
              <w:rPr>
                <w:spacing w:val="-2"/>
                <w:sz w:val="20"/>
              </w:rPr>
              <w:t>$7,534,592</w:t>
            </w:r>
          </w:p>
        </w:tc>
        <w:tc>
          <w:tcPr>
            <w:tcW w:w="3141" w:type="dxa"/>
            <w:tcBorders>
              <w:top w:val="single" w:sz="6" w:space="0" w:color="000000"/>
              <w:left w:val="single" w:sz="12" w:space="0" w:color="000000"/>
              <w:bottom w:val="single" w:sz="6" w:space="0" w:color="000000"/>
              <w:right w:val="single" w:sz="6" w:space="0" w:color="000000"/>
            </w:tcBorders>
          </w:tcPr>
          <w:p>
            <w:pPr>
              <w:pStyle w:val="TableParagraph"/>
              <w:spacing w:before="37"/>
              <w:ind w:left="179"/>
              <w:rPr>
                <w:sz w:val="20"/>
              </w:rPr>
            </w:pPr>
            <w:r>
              <w:rPr>
                <w:sz w:val="20"/>
              </w:rPr>
              <w:t>Cape</w:t>
            </w:r>
            <w:r>
              <w:rPr>
                <w:spacing w:val="-3"/>
                <w:sz w:val="20"/>
              </w:rPr>
              <w:t> </w:t>
            </w:r>
            <w:r>
              <w:rPr>
                <w:sz w:val="20"/>
              </w:rPr>
              <w:t>Cod</w:t>
            </w:r>
            <w:r>
              <w:rPr>
                <w:spacing w:val="-2"/>
                <w:sz w:val="20"/>
              </w:rPr>
              <w:t> Islands</w:t>
            </w:r>
          </w:p>
        </w:tc>
        <w:tc>
          <w:tcPr>
            <w:tcW w:w="1750" w:type="dxa"/>
            <w:tcBorders>
              <w:top w:val="single" w:sz="6" w:space="0" w:color="000000"/>
              <w:left w:val="single" w:sz="6" w:space="0" w:color="000000"/>
              <w:bottom w:val="single" w:sz="6" w:space="0" w:color="000000"/>
              <w:right w:val="single" w:sz="6" w:space="0" w:color="000000"/>
            </w:tcBorders>
          </w:tcPr>
          <w:p>
            <w:pPr>
              <w:pStyle w:val="TableParagraph"/>
              <w:spacing w:before="37"/>
              <w:ind w:left="186"/>
              <w:rPr>
                <w:sz w:val="20"/>
              </w:rPr>
            </w:pPr>
            <w:r>
              <w:rPr>
                <w:spacing w:val="-2"/>
                <w:sz w:val="20"/>
              </w:rPr>
              <w:t>$2,445,777</w:t>
            </w:r>
          </w:p>
        </w:tc>
      </w:tr>
      <w:tr>
        <w:trPr>
          <w:trHeight w:val="321" w:hRule="atLeast"/>
        </w:trPr>
        <w:tc>
          <w:tcPr>
            <w:tcW w:w="2730" w:type="dxa"/>
            <w:tcBorders>
              <w:top w:val="single" w:sz="6" w:space="0" w:color="000000"/>
              <w:left w:val="single" w:sz="6" w:space="0" w:color="000000"/>
              <w:bottom w:val="single" w:sz="6" w:space="0" w:color="000000"/>
              <w:right w:val="single" w:sz="6" w:space="0" w:color="000000"/>
            </w:tcBorders>
          </w:tcPr>
          <w:p>
            <w:pPr>
              <w:pStyle w:val="TableParagraph"/>
              <w:spacing w:before="37"/>
              <w:ind w:left="185"/>
              <w:rPr>
                <w:sz w:val="20"/>
              </w:rPr>
            </w:pPr>
            <w:r>
              <w:rPr>
                <w:sz w:val="20"/>
              </w:rPr>
              <w:t>Worcester</w:t>
            </w:r>
            <w:r>
              <w:rPr>
                <w:spacing w:val="-4"/>
                <w:sz w:val="20"/>
              </w:rPr>
              <w:t> </w:t>
            </w:r>
            <w:r>
              <w:rPr>
                <w:sz w:val="20"/>
              </w:rPr>
              <w:t>City</w:t>
            </w:r>
            <w:r>
              <w:rPr>
                <w:spacing w:val="-3"/>
                <w:sz w:val="20"/>
              </w:rPr>
              <w:t> </w:t>
            </w:r>
            <w:r>
              <w:rPr>
                <w:sz w:val="20"/>
              </w:rPr>
              <w:t>&amp;</w:t>
            </w:r>
            <w:r>
              <w:rPr>
                <w:spacing w:val="-2"/>
                <w:sz w:val="20"/>
              </w:rPr>
              <w:t> County</w:t>
            </w:r>
          </w:p>
        </w:tc>
        <w:tc>
          <w:tcPr>
            <w:tcW w:w="1679" w:type="dxa"/>
            <w:tcBorders>
              <w:top w:val="single" w:sz="6" w:space="0" w:color="000000"/>
              <w:left w:val="single" w:sz="6" w:space="0" w:color="000000"/>
              <w:bottom w:val="single" w:sz="6" w:space="0" w:color="000000"/>
              <w:right w:val="single" w:sz="12" w:space="0" w:color="000000"/>
            </w:tcBorders>
          </w:tcPr>
          <w:p>
            <w:pPr>
              <w:pStyle w:val="TableParagraph"/>
              <w:spacing w:before="37"/>
              <w:ind w:left="185"/>
              <w:rPr>
                <w:sz w:val="20"/>
              </w:rPr>
            </w:pPr>
            <w:r>
              <w:rPr>
                <w:spacing w:val="-2"/>
                <w:sz w:val="20"/>
              </w:rPr>
              <w:t>$9,632,887</w:t>
            </w:r>
          </w:p>
        </w:tc>
        <w:tc>
          <w:tcPr>
            <w:tcW w:w="3141" w:type="dxa"/>
            <w:tcBorders>
              <w:top w:val="single" w:sz="6" w:space="0" w:color="000000"/>
              <w:left w:val="single" w:sz="12" w:space="0" w:color="000000"/>
              <w:bottom w:val="single" w:sz="6" w:space="0" w:color="000000"/>
              <w:right w:val="single" w:sz="6" w:space="0" w:color="000000"/>
            </w:tcBorders>
          </w:tcPr>
          <w:p>
            <w:pPr>
              <w:pStyle w:val="TableParagraph"/>
              <w:spacing w:before="37"/>
              <w:ind w:left="179"/>
              <w:rPr>
                <w:sz w:val="20"/>
              </w:rPr>
            </w:pPr>
            <w:r>
              <w:rPr>
                <w:spacing w:val="-2"/>
                <w:sz w:val="20"/>
              </w:rPr>
              <w:t>Attleboro,</w:t>
            </w:r>
            <w:r>
              <w:rPr>
                <w:spacing w:val="12"/>
                <w:sz w:val="20"/>
              </w:rPr>
              <w:t> </w:t>
            </w:r>
            <w:r>
              <w:rPr>
                <w:spacing w:val="-2"/>
                <w:sz w:val="20"/>
              </w:rPr>
              <w:t>Taunton/Bristol</w:t>
            </w:r>
            <w:r>
              <w:rPr>
                <w:spacing w:val="11"/>
                <w:sz w:val="20"/>
              </w:rPr>
              <w:t> </w:t>
            </w:r>
            <w:r>
              <w:rPr>
                <w:spacing w:val="-2"/>
                <w:sz w:val="20"/>
              </w:rPr>
              <w:t>County</w:t>
            </w:r>
          </w:p>
        </w:tc>
        <w:tc>
          <w:tcPr>
            <w:tcW w:w="1750" w:type="dxa"/>
            <w:tcBorders>
              <w:top w:val="single" w:sz="6" w:space="0" w:color="000000"/>
              <w:left w:val="single" w:sz="6" w:space="0" w:color="000000"/>
              <w:bottom w:val="single" w:sz="6" w:space="0" w:color="000000"/>
              <w:right w:val="single" w:sz="6" w:space="0" w:color="000000"/>
            </w:tcBorders>
          </w:tcPr>
          <w:p>
            <w:pPr>
              <w:pStyle w:val="TableParagraph"/>
              <w:spacing w:before="37"/>
              <w:ind w:left="186"/>
              <w:rPr>
                <w:sz w:val="20"/>
              </w:rPr>
            </w:pPr>
            <w:r>
              <w:rPr>
                <w:spacing w:val="-2"/>
                <w:sz w:val="20"/>
              </w:rPr>
              <w:t>$1,017,524</w:t>
            </w:r>
          </w:p>
        </w:tc>
      </w:tr>
      <w:tr>
        <w:trPr>
          <w:trHeight w:val="565" w:hRule="atLeast"/>
        </w:trPr>
        <w:tc>
          <w:tcPr>
            <w:tcW w:w="2730" w:type="dxa"/>
            <w:tcBorders>
              <w:top w:val="single" w:sz="6" w:space="0" w:color="000000"/>
              <w:left w:val="single" w:sz="6" w:space="0" w:color="000000"/>
              <w:bottom w:val="single" w:sz="6" w:space="0" w:color="000000"/>
              <w:right w:val="single" w:sz="6" w:space="0" w:color="000000"/>
            </w:tcBorders>
          </w:tcPr>
          <w:p>
            <w:pPr>
              <w:pStyle w:val="TableParagraph"/>
              <w:spacing w:before="37"/>
              <w:ind w:left="185" w:right="163"/>
              <w:rPr>
                <w:sz w:val="20"/>
              </w:rPr>
            </w:pPr>
            <w:r>
              <w:rPr>
                <w:sz w:val="20"/>
              </w:rPr>
              <w:t>Pittsfield/Berkshire,</w:t>
            </w:r>
            <w:r>
              <w:rPr>
                <w:spacing w:val="-12"/>
                <w:sz w:val="20"/>
              </w:rPr>
              <w:t> </w:t>
            </w:r>
            <w:r>
              <w:rPr>
                <w:sz w:val="20"/>
              </w:rPr>
              <w:t>Franklin, Hampshire Counties</w:t>
            </w:r>
          </w:p>
        </w:tc>
        <w:tc>
          <w:tcPr>
            <w:tcW w:w="1679" w:type="dxa"/>
            <w:tcBorders>
              <w:top w:val="single" w:sz="6" w:space="0" w:color="000000"/>
              <w:left w:val="single" w:sz="6" w:space="0" w:color="000000"/>
              <w:bottom w:val="single" w:sz="6" w:space="0" w:color="000000"/>
              <w:right w:val="single" w:sz="12" w:space="0" w:color="000000"/>
            </w:tcBorders>
          </w:tcPr>
          <w:p>
            <w:pPr>
              <w:pStyle w:val="TableParagraph"/>
              <w:spacing w:before="37"/>
              <w:rPr>
                <w:sz w:val="20"/>
              </w:rPr>
            </w:pPr>
          </w:p>
          <w:p>
            <w:pPr>
              <w:pStyle w:val="TableParagraph"/>
              <w:spacing w:before="1"/>
              <w:ind w:left="185"/>
              <w:rPr>
                <w:sz w:val="20"/>
              </w:rPr>
            </w:pPr>
            <w:r>
              <w:rPr>
                <w:spacing w:val="-5"/>
                <w:sz w:val="20"/>
              </w:rPr>
              <w:t>$0</w:t>
            </w:r>
          </w:p>
        </w:tc>
        <w:tc>
          <w:tcPr>
            <w:tcW w:w="3141" w:type="dxa"/>
            <w:tcBorders>
              <w:top w:val="single" w:sz="6" w:space="0" w:color="000000"/>
              <w:left w:val="single" w:sz="12" w:space="0" w:color="000000"/>
              <w:bottom w:val="single" w:sz="6" w:space="0" w:color="000000"/>
              <w:right w:val="single" w:sz="6" w:space="0" w:color="000000"/>
            </w:tcBorders>
          </w:tcPr>
          <w:p>
            <w:pPr>
              <w:pStyle w:val="TableParagraph"/>
              <w:spacing w:before="37"/>
              <w:rPr>
                <w:sz w:val="20"/>
              </w:rPr>
            </w:pPr>
          </w:p>
          <w:p>
            <w:pPr>
              <w:pStyle w:val="TableParagraph"/>
              <w:spacing w:before="1"/>
              <w:ind w:left="179"/>
              <w:rPr>
                <w:sz w:val="20"/>
              </w:rPr>
            </w:pPr>
            <w:r>
              <w:rPr>
                <w:spacing w:val="-4"/>
                <w:sz w:val="20"/>
              </w:rPr>
              <w:t>Lynn</w:t>
            </w:r>
          </w:p>
        </w:tc>
        <w:tc>
          <w:tcPr>
            <w:tcW w:w="1750" w:type="dxa"/>
            <w:tcBorders>
              <w:top w:val="single" w:sz="6" w:space="0" w:color="000000"/>
              <w:left w:val="single" w:sz="6" w:space="0" w:color="000000"/>
              <w:bottom w:val="single" w:sz="6" w:space="0" w:color="000000"/>
              <w:right w:val="single" w:sz="6" w:space="0" w:color="000000"/>
            </w:tcBorders>
          </w:tcPr>
          <w:p>
            <w:pPr>
              <w:pStyle w:val="TableParagraph"/>
              <w:spacing w:before="37"/>
              <w:rPr>
                <w:sz w:val="20"/>
              </w:rPr>
            </w:pPr>
          </w:p>
          <w:p>
            <w:pPr>
              <w:pStyle w:val="TableParagraph"/>
              <w:spacing w:before="1"/>
              <w:ind w:left="186"/>
              <w:rPr>
                <w:sz w:val="20"/>
              </w:rPr>
            </w:pPr>
            <w:r>
              <w:rPr>
                <w:spacing w:val="-2"/>
                <w:sz w:val="20"/>
              </w:rPr>
              <w:t>$3,026,164</w:t>
            </w:r>
          </w:p>
        </w:tc>
      </w:tr>
      <w:tr>
        <w:trPr>
          <w:trHeight w:val="322" w:hRule="atLeast"/>
        </w:trPr>
        <w:tc>
          <w:tcPr>
            <w:tcW w:w="2730" w:type="dxa"/>
            <w:tcBorders>
              <w:top w:val="single" w:sz="6" w:space="0" w:color="000000"/>
              <w:left w:val="single" w:sz="6" w:space="0" w:color="000000"/>
              <w:right w:val="single" w:sz="6" w:space="0" w:color="000000"/>
            </w:tcBorders>
          </w:tcPr>
          <w:p>
            <w:pPr>
              <w:pStyle w:val="TableParagraph"/>
              <w:spacing w:before="37"/>
              <w:ind w:left="185"/>
              <w:rPr>
                <w:sz w:val="20"/>
              </w:rPr>
            </w:pPr>
            <w:r>
              <w:rPr>
                <w:spacing w:val="-2"/>
                <w:sz w:val="20"/>
              </w:rPr>
              <w:t>Cambridge</w:t>
            </w:r>
          </w:p>
        </w:tc>
        <w:tc>
          <w:tcPr>
            <w:tcW w:w="1679" w:type="dxa"/>
            <w:tcBorders>
              <w:top w:val="single" w:sz="6" w:space="0" w:color="000000"/>
              <w:left w:val="single" w:sz="6" w:space="0" w:color="000000"/>
              <w:right w:val="single" w:sz="12" w:space="0" w:color="000000"/>
            </w:tcBorders>
          </w:tcPr>
          <w:p>
            <w:pPr>
              <w:pStyle w:val="TableParagraph"/>
              <w:spacing w:before="37"/>
              <w:ind w:left="185"/>
              <w:rPr>
                <w:sz w:val="20"/>
              </w:rPr>
            </w:pPr>
            <w:r>
              <w:rPr>
                <w:spacing w:val="-2"/>
                <w:sz w:val="20"/>
              </w:rPr>
              <w:t>$6,404,386</w:t>
            </w:r>
          </w:p>
        </w:tc>
        <w:tc>
          <w:tcPr>
            <w:tcW w:w="3141" w:type="dxa"/>
            <w:tcBorders>
              <w:top w:val="single" w:sz="6" w:space="0" w:color="000000"/>
              <w:left w:val="single" w:sz="12" w:space="0" w:color="000000"/>
              <w:right w:val="single" w:sz="6" w:space="0" w:color="000000"/>
            </w:tcBorders>
          </w:tcPr>
          <w:p>
            <w:pPr>
              <w:pStyle w:val="TableParagraph"/>
              <w:spacing w:before="37"/>
              <w:ind w:left="179"/>
              <w:rPr>
                <w:sz w:val="20"/>
              </w:rPr>
            </w:pPr>
            <w:r>
              <w:rPr>
                <w:sz w:val="20"/>
              </w:rPr>
              <w:t>Fall</w:t>
            </w:r>
            <w:r>
              <w:rPr>
                <w:spacing w:val="-2"/>
                <w:sz w:val="20"/>
              </w:rPr>
              <w:t> River</w:t>
            </w:r>
          </w:p>
        </w:tc>
        <w:tc>
          <w:tcPr>
            <w:tcW w:w="1750" w:type="dxa"/>
            <w:tcBorders>
              <w:top w:val="single" w:sz="6" w:space="0" w:color="000000"/>
              <w:left w:val="single" w:sz="6" w:space="0" w:color="000000"/>
              <w:right w:val="single" w:sz="6" w:space="0" w:color="000000"/>
            </w:tcBorders>
          </w:tcPr>
          <w:p>
            <w:pPr>
              <w:pStyle w:val="TableParagraph"/>
              <w:spacing w:before="37"/>
              <w:ind w:left="186"/>
              <w:rPr>
                <w:sz w:val="20"/>
              </w:rPr>
            </w:pPr>
            <w:r>
              <w:rPr>
                <w:spacing w:val="-2"/>
                <w:sz w:val="20"/>
              </w:rPr>
              <w:t>$2,251,028</w:t>
            </w:r>
          </w:p>
        </w:tc>
      </w:tr>
      <w:tr>
        <w:trPr>
          <w:trHeight w:val="620" w:hRule="atLeast"/>
        </w:trPr>
        <w:tc>
          <w:tcPr>
            <w:tcW w:w="9300" w:type="dxa"/>
            <w:gridSpan w:val="4"/>
            <w:tcBorders>
              <w:right w:val="single" w:sz="6" w:space="0" w:color="000000"/>
            </w:tcBorders>
          </w:tcPr>
          <w:p>
            <w:pPr>
              <w:pStyle w:val="TableParagraph"/>
              <w:spacing w:before="99"/>
              <w:ind w:left="243"/>
              <w:rPr>
                <w:b/>
                <w:sz w:val="20"/>
              </w:rPr>
            </w:pPr>
            <w:r>
              <w:rPr>
                <w:b/>
                <w:sz w:val="20"/>
              </w:rPr>
              <w:t>TOTAL</w:t>
            </w:r>
            <w:r>
              <w:rPr>
                <w:b/>
                <w:spacing w:val="-4"/>
                <w:sz w:val="20"/>
              </w:rPr>
              <w:t> </w:t>
            </w:r>
            <w:r>
              <w:rPr>
                <w:b/>
                <w:sz w:val="20"/>
              </w:rPr>
              <w:t>FUNDING</w:t>
            </w:r>
            <w:r>
              <w:rPr>
                <w:b/>
                <w:spacing w:val="-4"/>
                <w:sz w:val="20"/>
              </w:rPr>
              <w:t> </w:t>
            </w:r>
            <w:r>
              <w:rPr>
                <w:b/>
                <w:sz w:val="20"/>
              </w:rPr>
              <w:t>AMOUNT:</w:t>
            </w:r>
            <w:r>
              <w:rPr>
                <w:b/>
                <w:spacing w:val="39"/>
                <w:sz w:val="20"/>
              </w:rPr>
              <w:t> </w:t>
            </w:r>
            <w:r>
              <w:rPr>
                <w:b/>
                <w:spacing w:val="-2"/>
                <w:sz w:val="20"/>
              </w:rPr>
              <w:t>$124,913,344</w:t>
            </w:r>
          </w:p>
        </w:tc>
      </w:tr>
    </w:tbl>
    <w:p>
      <w:pPr>
        <w:spacing w:before="243"/>
        <w:ind w:left="464" w:right="0" w:firstLine="0"/>
        <w:jc w:val="both"/>
        <w:rPr>
          <w:i/>
          <w:sz w:val="16"/>
        </w:rPr>
      </w:pPr>
      <w:r>
        <w:rPr>
          <w:i/>
          <w:sz w:val="16"/>
        </w:rPr>
        <w:t>Table</w:t>
      </w:r>
      <w:r>
        <w:rPr>
          <w:i/>
          <w:spacing w:val="-6"/>
          <w:sz w:val="16"/>
        </w:rPr>
        <w:t> </w:t>
      </w:r>
      <w:r>
        <w:rPr>
          <w:i/>
          <w:sz w:val="16"/>
        </w:rPr>
        <w:t>2:</w:t>
      </w:r>
      <w:r>
        <w:rPr>
          <w:i/>
          <w:spacing w:val="-6"/>
          <w:sz w:val="16"/>
        </w:rPr>
        <w:t> </w:t>
      </w:r>
      <w:r>
        <w:rPr>
          <w:i/>
          <w:sz w:val="16"/>
        </w:rPr>
        <w:t>U.S.</w:t>
      </w:r>
      <w:r>
        <w:rPr>
          <w:i/>
          <w:spacing w:val="-6"/>
          <w:sz w:val="16"/>
        </w:rPr>
        <w:t> </w:t>
      </w:r>
      <w:r>
        <w:rPr>
          <w:i/>
          <w:sz w:val="16"/>
        </w:rPr>
        <w:t>HUD</w:t>
      </w:r>
      <w:r>
        <w:rPr>
          <w:i/>
          <w:spacing w:val="-5"/>
          <w:sz w:val="16"/>
        </w:rPr>
        <w:t> </w:t>
      </w:r>
      <w:r>
        <w:rPr>
          <w:i/>
          <w:sz w:val="16"/>
        </w:rPr>
        <w:t>Data</w:t>
      </w:r>
      <w:r>
        <w:rPr>
          <w:i/>
          <w:spacing w:val="-6"/>
          <w:sz w:val="16"/>
        </w:rPr>
        <w:t> </w:t>
      </w:r>
      <w:r>
        <w:rPr>
          <w:i/>
          <w:sz w:val="16"/>
        </w:rPr>
        <w:t>of</w:t>
      </w:r>
      <w:r>
        <w:rPr>
          <w:i/>
          <w:spacing w:val="-6"/>
          <w:sz w:val="16"/>
        </w:rPr>
        <w:t> </w:t>
      </w:r>
      <w:r>
        <w:rPr>
          <w:i/>
          <w:sz w:val="16"/>
        </w:rPr>
        <w:t>FY2023</w:t>
      </w:r>
      <w:r>
        <w:rPr>
          <w:i/>
          <w:spacing w:val="-6"/>
          <w:sz w:val="16"/>
        </w:rPr>
        <w:t> </w:t>
      </w:r>
      <w:r>
        <w:rPr>
          <w:i/>
          <w:sz w:val="16"/>
        </w:rPr>
        <w:t>Funding</w:t>
      </w:r>
      <w:r>
        <w:rPr>
          <w:i/>
          <w:spacing w:val="-7"/>
          <w:sz w:val="16"/>
        </w:rPr>
        <w:t> </w:t>
      </w:r>
      <w:r>
        <w:rPr>
          <w:i/>
          <w:sz w:val="16"/>
        </w:rPr>
        <w:t>for</w:t>
      </w:r>
      <w:r>
        <w:rPr>
          <w:i/>
          <w:spacing w:val="-6"/>
          <w:sz w:val="16"/>
        </w:rPr>
        <w:t> </w:t>
      </w:r>
      <w:r>
        <w:rPr>
          <w:i/>
          <w:sz w:val="16"/>
        </w:rPr>
        <w:t>Homelessness</w:t>
      </w:r>
      <w:r>
        <w:rPr>
          <w:i/>
          <w:spacing w:val="-5"/>
          <w:sz w:val="16"/>
        </w:rPr>
        <w:t> </w:t>
      </w:r>
      <w:r>
        <w:rPr>
          <w:i/>
          <w:sz w:val="16"/>
        </w:rPr>
        <w:t>Assistance</w:t>
      </w:r>
      <w:r>
        <w:rPr>
          <w:i/>
          <w:spacing w:val="-6"/>
          <w:sz w:val="16"/>
        </w:rPr>
        <w:t> </w:t>
      </w:r>
      <w:r>
        <w:rPr>
          <w:i/>
          <w:sz w:val="16"/>
        </w:rPr>
        <w:t>Programs</w:t>
      </w:r>
      <w:r>
        <w:rPr>
          <w:i/>
          <w:spacing w:val="-6"/>
          <w:sz w:val="16"/>
        </w:rPr>
        <w:t> </w:t>
      </w:r>
      <w:r>
        <w:rPr>
          <w:i/>
          <w:sz w:val="16"/>
        </w:rPr>
        <w:t>in</w:t>
      </w:r>
      <w:r>
        <w:rPr>
          <w:i/>
          <w:spacing w:val="-6"/>
          <w:sz w:val="16"/>
        </w:rPr>
        <w:t> </w:t>
      </w:r>
      <w:r>
        <w:rPr>
          <w:i/>
          <w:sz w:val="16"/>
        </w:rPr>
        <w:t>Massachusetts</w:t>
      </w:r>
      <w:r>
        <w:rPr>
          <w:i/>
          <w:spacing w:val="-6"/>
          <w:sz w:val="16"/>
        </w:rPr>
        <w:t> </w:t>
      </w:r>
      <w:r>
        <w:rPr>
          <w:i/>
          <w:spacing w:val="-4"/>
          <w:sz w:val="16"/>
        </w:rPr>
        <w:t>CoCs</w:t>
      </w:r>
    </w:p>
    <w:p>
      <w:pPr>
        <w:pStyle w:val="BodyText"/>
        <w:spacing w:before="73"/>
        <w:rPr>
          <w:i/>
          <w:sz w:val="16"/>
        </w:rPr>
      </w:pPr>
    </w:p>
    <w:p>
      <w:pPr>
        <w:spacing w:before="0"/>
        <w:ind w:left="464" w:right="0" w:firstLine="0"/>
        <w:jc w:val="both"/>
        <w:rPr>
          <w:sz w:val="24"/>
        </w:rPr>
      </w:pPr>
      <w:bookmarkStart w:name="Addressing Gaps in LGBTQ Youth Homelessn" w:id="493"/>
      <w:bookmarkEnd w:id="493"/>
      <w:r>
        <w:rPr/>
      </w:r>
      <w:r>
        <w:rPr>
          <w:color w:val="365F91"/>
          <w:sz w:val="24"/>
        </w:rPr>
        <w:t>Addressing</w:t>
      </w:r>
      <w:r>
        <w:rPr>
          <w:color w:val="365F91"/>
          <w:spacing w:val="-3"/>
          <w:sz w:val="24"/>
        </w:rPr>
        <w:t> </w:t>
      </w:r>
      <w:r>
        <w:rPr>
          <w:color w:val="365F91"/>
          <w:sz w:val="24"/>
        </w:rPr>
        <w:t>Gaps</w:t>
      </w:r>
      <w:r>
        <w:rPr>
          <w:color w:val="365F91"/>
          <w:spacing w:val="-3"/>
          <w:sz w:val="24"/>
        </w:rPr>
        <w:t> </w:t>
      </w:r>
      <w:r>
        <w:rPr>
          <w:color w:val="365F91"/>
          <w:sz w:val="24"/>
        </w:rPr>
        <w:t>in</w:t>
      </w:r>
      <w:r>
        <w:rPr>
          <w:color w:val="365F91"/>
          <w:spacing w:val="-3"/>
          <w:sz w:val="24"/>
        </w:rPr>
        <w:t> </w:t>
      </w:r>
      <w:r>
        <w:rPr>
          <w:color w:val="365F91"/>
          <w:sz w:val="24"/>
        </w:rPr>
        <w:t>LGBTQ</w:t>
      </w:r>
      <w:r>
        <w:rPr>
          <w:color w:val="365F91"/>
          <w:spacing w:val="-1"/>
          <w:sz w:val="24"/>
        </w:rPr>
        <w:t> </w:t>
      </w:r>
      <w:r>
        <w:rPr>
          <w:color w:val="365F91"/>
          <w:sz w:val="24"/>
        </w:rPr>
        <w:t>Youth</w:t>
      </w:r>
      <w:r>
        <w:rPr>
          <w:color w:val="365F91"/>
          <w:spacing w:val="-3"/>
          <w:sz w:val="24"/>
        </w:rPr>
        <w:t> </w:t>
      </w:r>
      <w:r>
        <w:rPr>
          <w:color w:val="365F91"/>
          <w:sz w:val="24"/>
        </w:rPr>
        <w:t>Homelessness</w:t>
      </w:r>
      <w:r>
        <w:rPr>
          <w:color w:val="365F91"/>
          <w:spacing w:val="-3"/>
          <w:sz w:val="24"/>
        </w:rPr>
        <w:t> </w:t>
      </w:r>
      <w:r>
        <w:rPr>
          <w:color w:val="365F91"/>
          <w:sz w:val="24"/>
        </w:rPr>
        <w:t>in</w:t>
      </w:r>
      <w:r>
        <w:rPr>
          <w:color w:val="365F91"/>
          <w:spacing w:val="-3"/>
          <w:sz w:val="24"/>
        </w:rPr>
        <w:t> </w:t>
      </w:r>
      <w:r>
        <w:rPr>
          <w:color w:val="365F91"/>
          <w:sz w:val="24"/>
        </w:rPr>
        <w:t>the</w:t>
      </w:r>
      <w:r>
        <w:rPr>
          <w:color w:val="365F91"/>
          <w:spacing w:val="-1"/>
          <w:sz w:val="24"/>
        </w:rPr>
        <w:t> </w:t>
      </w:r>
      <w:r>
        <w:rPr>
          <w:color w:val="365F91"/>
          <w:spacing w:val="-2"/>
          <w:sz w:val="24"/>
        </w:rPr>
        <w:t>Commonwealth</w:t>
      </w:r>
    </w:p>
    <w:p>
      <w:pPr>
        <w:spacing w:line="252" w:lineRule="auto" w:before="284"/>
        <w:ind w:left="1215" w:right="1152" w:hanging="2"/>
        <w:jc w:val="center"/>
        <w:rPr>
          <w:rFonts w:ascii="Cambria" w:hAnsi="Cambria"/>
          <w:i/>
          <w:sz w:val="21"/>
        </w:rPr>
      </w:pPr>
      <w:r>
        <w:rPr>
          <w:rFonts w:ascii="Cambria" w:hAnsi="Cambria"/>
          <w:i/>
          <w:color w:val="4F81BC"/>
          <w:sz w:val="21"/>
        </w:rPr>
        <w:t>“I’ve been homeless on and off since 2019. Recently, I became homeless because I was</w:t>
      </w:r>
      <w:r>
        <w:rPr>
          <w:rFonts w:ascii="Cambria" w:hAnsi="Cambria"/>
          <w:i/>
          <w:color w:val="4F81BC"/>
          <w:sz w:val="21"/>
        </w:rPr>
        <w:t> evicted – my previous roommates abandoned the lease without notice and the rent piled up. Before that, I was homeless because the landlord evicted us because repairs were needed… appliances weren’t working, the roof leaked, the power kept tripping, and</w:t>
      </w:r>
      <w:r>
        <w:rPr>
          <w:rFonts w:ascii="Cambria" w:hAnsi="Cambria"/>
          <w:i/>
          <w:color w:val="4F81BC"/>
          <w:spacing w:val="-3"/>
          <w:sz w:val="21"/>
        </w:rPr>
        <w:t> </w:t>
      </w:r>
      <w:r>
        <w:rPr>
          <w:rFonts w:ascii="Cambria" w:hAnsi="Cambria"/>
          <w:i/>
          <w:color w:val="4F81BC"/>
          <w:sz w:val="21"/>
        </w:rPr>
        <w:t>there</w:t>
      </w:r>
      <w:r>
        <w:rPr>
          <w:rFonts w:ascii="Cambria" w:hAnsi="Cambria"/>
          <w:i/>
          <w:color w:val="4F81BC"/>
          <w:spacing w:val="-3"/>
          <w:sz w:val="21"/>
        </w:rPr>
        <w:t> </w:t>
      </w:r>
      <w:r>
        <w:rPr>
          <w:rFonts w:ascii="Cambria" w:hAnsi="Cambria"/>
          <w:i/>
          <w:color w:val="4F81BC"/>
          <w:sz w:val="21"/>
        </w:rPr>
        <w:t>was</w:t>
      </w:r>
      <w:r>
        <w:rPr>
          <w:rFonts w:ascii="Cambria" w:hAnsi="Cambria"/>
          <w:i/>
          <w:color w:val="4F81BC"/>
          <w:spacing w:val="-3"/>
          <w:sz w:val="21"/>
        </w:rPr>
        <w:t> </w:t>
      </w:r>
      <w:r>
        <w:rPr>
          <w:rFonts w:ascii="Cambria" w:hAnsi="Cambria"/>
          <w:i/>
          <w:color w:val="4F81BC"/>
          <w:sz w:val="21"/>
        </w:rPr>
        <w:t>a</w:t>
      </w:r>
      <w:r>
        <w:rPr>
          <w:rFonts w:ascii="Cambria" w:hAnsi="Cambria"/>
          <w:i/>
          <w:color w:val="4F81BC"/>
          <w:spacing w:val="-3"/>
          <w:sz w:val="21"/>
        </w:rPr>
        <w:t> </w:t>
      </w:r>
      <w:r>
        <w:rPr>
          <w:rFonts w:ascii="Cambria" w:hAnsi="Cambria"/>
          <w:i/>
          <w:color w:val="4F81BC"/>
          <w:sz w:val="21"/>
        </w:rPr>
        <w:t>mouse</w:t>
      </w:r>
      <w:r>
        <w:rPr>
          <w:rFonts w:ascii="Cambria" w:hAnsi="Cambria"/>
          <w:i/>
          <w:color w:val="4F81BC"/>
          <w:spacing w:val="-3"/>
          <w:sz w:val="21"/>
        </w:rPr>
        <w:t> </w:t>
      </w:r>
      <w:r>
        <w:rPr>
          <w:rFonts w:ascii="Cambria" w:hAnsi="Cambria"/>
          <w:i/>
          <w:color w:val="4F81BC"/>
          <w:sz w:val="21"/>
        </w:rPr>
        <w:t>infestation.</w:t>
      </w:r>
      <w:r>
        <w:rPr>
          <w:rFonts w:ascii="Cambria" w:hAnsi="Cambria"/>
          <w:i/>
          <w:color w:val="4F81BC"/>
          <w:spacing w:val="-3"/>
          <w:sz w:val="21"/>
        </w:rPr>
        <w:t> </w:t>
      </w:r>
      <w:r>
        <w:rPr>
          <w:rFonts w:ascii="Cambria" w:hAnsi="Cambria"/>
          <w:i/>
          <w:color w:val="4F81BC"/>
          <w:sz w:val="21"/>
        </w:rPr>
        <w:t>We</w:t>
      </w:r>
      <w:r>
        <w:rPr>
          <w:rFonts w:ascii="Cambria" w:hAnsi="Cambria"/>
          <w:i/>
          <w:color w:val="4F81BC"/>
          <w:spacing w:val="-3"/>
          <w:sz w:val="21"/>
        </w:rPr>
        <w:t> </w:t>
      </w:r>
      <w:r>
        <w:rPr>
          <w:rFonts w:ascii="Cambria" w:hAnsi="Cambria"/>
          <w:i/>
          <w:color w:val="4F81BC"/>
          <w:sz w:val="21"/>
        </w:rPr>
        <w:t>tried</w:t>
      </w:r>
      <w:r>
        <w:rPr>
          <w:rFonts w:ascii="Cambria" w:hAnsi="Cambria"/>
          <w:i/>
          <w:color w:val="4F81BC"/>
          <w:spacing w:val="-3"/>
          <w:sz w:val="21"/>
        </w:rPr>
        <w:t> </w:t>
      </w:r>
      <w:r>
        <w:rPr>
          <w:rFonts w:ascii="Cambria" w:hAnsi="Cambria"/>
          <w:i/>
          <w:color w:val="4F81BC"/>
          <w:sz w:val="21"/>
        </w:rPr>
        <w:t>to</w:t>
      </w:r>
      <w:r>
        <w:rPr>
          <w:rFonts w:ascii="Cambria" w:hAnsi="Cambria"/>
          <w:i/>
          <w:color w:val="4F81BC"/>
          <w:spacing w:val="-3"/>
          <w:sz w:val="21"/>
        </w:rPr>
        <w:t> </w:t>
      </w:r>
      <w:r>
        <w:rPr>
          <w:rFonts w:ascii="Cambria" w:hAnsi="Cambria"/>
          <w:i/>
          <w:color w:val="4F81BC"/>
          <w:sz w:val="21"/>
        </w:rPr>
        <w:t>call</w:t>
      </w:r>
      <w:r>
        <w:rPr>
          <w:rFonts w:ascii="Cambria" w:hAnsi="Cambria"/>
          <w:i/>
          <w:color w:val="4F81BC"/>
          <w:spacing w:val="-3"/>
          <w:sz w:val="21"/>
        </w:rPr>
        <w:t> </w:t>
      </w:r>
      <w:r>
        <w:rPr>
          <w:rFonts w:ascii="Cambria" w:hAnsi="Cambria"/>
          <w:i/>
          <w:color w:val="4F81BC"/>
          <w:sz w:val="21"/>
        </w:rPr>
        <w:t>the</w:t>
      </w:r>
      <w:r>
        <w:rPr>
          <w:rFonts w:ascii="Cambria" w:hAnsi="Cambria"/>
          <w:i/>
          <w:color w:val="4F81BC"/>
          <w:spacing w:val="-3"/>
          <w:sz w:val="21"/>
        </w:rPr>
        <w:t> </w:t>
      </w:r>
      <w:r>
        <w:rPr>
          <w:rFonts w:ascii="Cambria" w:hAnsi="Cambria"/>
          <w:i/>
          <w:color w:val="4F81BC"/>
          <w:sz w:val="21"/>
        </w:rPr>
        <w:t>city</w:t>
      </w:r>
      <w:r>
        <w:rPr>
          <w:rFonts w:ascii="Cambria" w:hAnsi="Cambria"/>
          <w:i/>
          <w:color w:val="4F81BC"/>
          <w:spacing w:val="-2"/>
          <w:sz w:val="21"/>
        </w:rPr>
        <w:t> </w:t>
      </w:r>
      <w:r>
        <w:rPr>
          <w:rFonts w:ascii="Cambria" w:hAnsi="Cambria"/>
          <w:i/>
          <w:color w:val="4F81BC"/>
          <w:sz w:val="21"/>
        </w:rPr>
        <w:t>but</w:t>
      </w:r>
      <w:r>
        <w:rPr>
          <w:rFonts w:ascii="Cambria" w:hAnsi="Cambria"/>
          <w:i/>
          <w:color w:val="4F81BC"/>
          <w:spacing w:val="-3"/>
          <w:sz w:val="21"/>
        </w:rPr>
        <w:t> </w:t>
      </w:r>
      <w:r>
        <w:rPr>
          <w:rFonts w:ascii="Cambria" w:hAnsi="Cambria"/>
          <w:i/>
          <w:color w:val="4F81BC"/>
          <w:sz w:val="21"/>
        </w:rPr>
        <w:t>they</w:t>
      </w:r>
      <w:r>
        <w:rPr>
          <w:rFonts w:ascii="Cambria" w:hAnsi="Cambria"/>
          <w:i/>
          <w:color w:val="4F81BC"/>
          <w:spacing w:val="-3"/>
          <w:sz w:val="21"/>
        </w:rPr>
        <w:t> </w:t>
      </w:r>
      <w:r>
        <w:rPr>
          <w:rFonts w:ascii="Cambria" w:hAnsi="Cambria"/>
          <w:i/>
          <w:color w:val="4F81BC"/>
          <w:sz w:val="21"/>
        </w:rPr>
        <w:t>wouldn’t</w:t>
      </w:r>
      <w:r>
        <w:rPr>
          <w:rFonts w:ascii="Cambria" w:hAnsi="Cambria"/>
          <w:i/>
          <w:color w:val="4F81BC"/>
          <w:spacing w:val="-3"/>
          <w:sz w:val="21"/>
        </w:rPr>
        <w:t> </w:t>
      </w:r>
      <w:r>
        <w:rPr>
          <w:rFonts w:ascii="Cambria" w:hAnsi="Cambria"/>
          <w:i/>
          <w:color w:val="4F81BC"/>
          <w:sz w:val="21"/>
        </w:rPr>
        <w:t>help…</w:t>
      </w:r>
      <w:r>
        <w:rPr>
          <w:rFonts w:ascii="Cambria" w:hAnsi="Cambria"/>
          <w:i/>
          <w:color w:val="4F81BC"/>
          <w:spacing w:val="-3"/>
          <w:sz w:val="21"/>
        </w:rPr>
        <w:t> </w:t>
      </w:r>
      <w:r>
        <w:rPr>
          <w:rFonts w:ascii="Cambria" w:hAnsi="Cambria"/>
          <w:i/>
          <w:color w:val="4F81BC"/>
          <w:sz w:val="21"/>
        </w:rPr>
        <w:t>the</w:t>
      </w:r>
    </w:p>
    <w:p>
      <w:pPr>
        <w:spacing w:after="0" w:line="252" w:lineRule="auto"/>
        <w:jc w:val="center"/>
        <w:rPr>
          <w:rFonts w:ascii="Cambria" w:hAnsi="Cambria"/>
          <w:sz w:val="21"/>
        </w:rPr>
        <w:sectPr>
          <w:pgSz w:w="12240" w:h="15840"/>
          <w:pgMar w:header="765" w:footer="1127" w:top="1280" w:bottom="1380" w:left="1120" w:right="1180"/>
        </w:sectPr>
      </w:pPr>
    </w:p>
    <w:p>
      <w:pPr>
        <w:spacing w:line="252" w:lineRule="auto" w:before="90"/>
        <w:ind w:left="1220" w:right="1158" w:firstLine="0"/>
        <w:jc w:val="center"/>
        <w:rPr>
          <w:rFonts w:ascii="Cambria" w:hAnsi="Cambria"/>
          <w:i/>
          <w:sz w:val="21"/>
        </w:rPr>
      </w:pPr>
      <w:r>
        <w:rPr>
          <w:rFonts w:ascii="Cambria" w:hAnsi="Cambria"/>
          <w:i/>
          <w:color w:val="4F81BC"/>
          <w:sz w:val="21"/>
        </w:rPr>
        <w:t>city</w:t>
      </w:r>
      <w:r>
        <w:rPr>
          <w:rFonts w:ascii="Cambria" w:hAnsi="Cambria"/>
          <w:i/>
          <w:color w:val="4F81BC"/>
          <w:spacing w:val="-2"/>
          <w:sz w:val="21"/>
        </w:rPr>
        <w:t> </w:t>
      </w:r>
      <w:r>
        <w:rPr>
          <w:rFonts w:ascii="Cambria" w:hAnsi="Cambria"/>
          <w:i/>
          <w:color w:val="4F81BC"/>
          <w:sz w:val="21"/>
        </w:rPr>
        <w:t>needs</w:t>
      </w:r>
      <w:r>
        <w:rPr>
          <w:rFonts w:ascii="Cambria" w:hAnsi="Cambria"/>
          <w:i/>
          <w:color w:val="4F81BC"/>
          <w:spacing w:val="-4"/>
          <w:sz w:val="21"/>
        </w:rPr>
        <w:t> </w:t>
      </w:r>
      <w:r>
        <w:rPr>
          <w:rFonts w:ascii="Cambria" w:hAnsi="Cambria"/>
          <w:i/>
          <w:color w:val="4F81BC"/>
          <w:sz w:val="21"/>
        </w:rPr>
        <w:t>to</w:t>
      </w:r>
      <w:r>
        <w:rPr>
          <w:rFonts w:ascii="Cambria" w:hAnsi="Cambria"/>
          <w:i/>
          <w:color w:val="4F81BC"/>
          <w:spacing w:val="-4"/>
          <w:sz w:val="21"/>
        </w:rPr>
        <w:t> </w:t>
      </w:r>
      <w:r>
        <w:rPr>
          <w:rFonts w:ascii="Cambria" w:hAnsi="Cambria"/>
          <w:i/>
          <w:color w:val="4F81BC"/>
          <w:sz w:val="21"/>
        </w:rPr>
        <w:t>update</w:t>
      </w:r>
      <w:r>
        <w:rPr>
          <w:rFonts w:ascii="Cambria" w:hAnsi="Cambria"/>
          <w:i/>
          <w:color w:val="4F81BC"/>
          <w:spacing w:val="-3"/>
          <w:sz w:val="21"/>
        </w:rPr>
        <w:t> </w:t>
      </w:r>
      <w:r>
        <w:rPr>
          <w:rFonts w:ascii="Cambria" w:hAnsi="Cambria"/>
          <w:i/>
          <w:color w:val="4F81BC"/>
          <w:sz w:val="21"/>
        </w:rPr>
        <w:t>its</w:t>
      </w:r>
      <w:r>
        <w:rPr>
          <w:rFonts w:ascii="Cambria" w:hAnsi="Cambria"/>
          <w:i/>
          <w:color w:val="4F81BC"/>
          <w:spacing w:val="-3"/>
          <w:sz w:val="21"/>
        </w:rPr>
        <w:t> </w:t>
      </w:r>
      <w:r>
        <w:rPr>
          <w:rFonts w:ascii="Cambria" w:hAnsi="Cambria"/>
          <w:i/>
          <w:color w:val="4F81BC"/>
          <w:sz w:val="21"/>
        </w:rPr>
        <w:t>qualifications</w:t>
      </w:r>
      <w:r>
        <w:rPr>
          <w:rFonts w:ascii="Cambria" w:hAnsi="Cambria"/>
          <w:i/>
          <w:color w:val="4F81BC"/>
          <w:spacing w:val="-3"/>
          <w:sz w:val="21"/>
        </w:rPr>
        <w:t> </w:t>
      </w:r>
      <w:r>
        <w:rPr>
          <w:rFonts w:ascii="Cambria" w:hAnsi="Cambria"/>
          <w:i/>
          <w:color w:val="4F81BC"/>
          <w:sz w:val="21"/>
        </w:rPr>
        <w:t>for</w:t>
      </w:r>
      <w:r>
        <w:rPr>
          <w:rFonts w:ascii="Cambria" w:hAnsi="Cambria"/>
          <w:i/>
          <w:color w:val="4F81BC"/>
          <w:spacing w:val="-3"/>
          <w:sz w:val="21"/>
        </w:rPr>
        <w:t> </w:t>
      </w:r>
      <w:r>
        <w:rPr>
          <w:rFonts w:ascii="Cambria" w:hAnsi="Cambria"/>
          <w:i/>
          <w:color w:val="4F81BC"/>
          <w:sz w:val="21"/>
        </w:rPr>
        <w:t>what</w:t>
      </w:r>
      <w:r>
        <w:rPr>
          <w:rFonts w:ascii="Cambria" w:hAnsi="Cambria"/>
          <w:i/>
          <w:color w:val="4F81BC"/>
          <w:spacing w:val="-3"/>
          <w:sz w:val="21"/>
        </w:rPr>
        <w:t> </w:t>
      </w:r>
      <w:r>
        <w:rPr>
          <w:rFonts w:ascii="Cambria" w:hAnsi="Cambria"/>
          <w:i/>
          <w:color w:val="4F81BC"/>
          <w:sz w:val="21"/>
        </w:rPr>
        <w:t>counts</w:t>
      </w:r>
      <w:r>
        <w:rPr>
          <w:rFonts w:ascii="Cambria" w:hAnsi="Cambria"/>
          <w:i/>
          <w:color w:val="4F81BC"/>
          <w:spacing w:val="-4"/>
          <w:sz w:val="21"/>
        </w:rPr>
        <w:t> </w:t>
      </w:r>
      <w:r>
        <w:rPr>
          <w:rFonts w:ascii="Cambria" w:hAnsi="Cambria"/>
          <w:i/>
          <w:color w:val="4F81BC"/>
          <w:sz w:val="21"/>
        </w:rPr>
        <w:t>as</w:t>
      </w:r>
      <w:r>
        <w:rPr>
          <w:rFonts w:ascii="Cambria" w:hAnsi="Cambria"/>
          <w:i/>
          <w:color w:val="4F81BC"/>
          <w:spacing w:val="-3"/>
          <w:sz w:val="21"/>
        </w:rPr>
        <w:t> </w:t>
      </w:r>
      <w:r>
        <w:rPr>
          <w:rFonts w:ascii="Cambria" w:hAnsi="Cambria"/>
          <w:i/>
          <w:color w:val="4F81BC"/>
          <w:sz w:val="21"/>
        </w:rPr>
        <w:t>an</w:t>
      </w:r>
      <w:r>
        <w:rPr>
          <w:rFonts w:ascii="Cambria" w:hAnsi="Cambria"/>
          <w:i/>
          <w:color w:val="4F81BC"/>
          <w:spacing w:val="-4"/>
          <w:sz w:val="21"/>
        </w:rPr>
        <w:t> </w:t>
      </w:r>
      <w:r>
        <w:rPr>
          <w:rFonts w:ascii="Cambria" w:hAnsi="Cambria"/>
          <w:i/>
          <w:color w:val="4F81BC"/>
          <w:sz w:val="21"/>
        </w:rPr>
        <w:t>up-to-date</w:t>
      </w:r>
      <w:r>
        <w:rPr>
          <w:rFonts w:ascii="Cambria" w:hAnsi="Cambria"/>
          <w:i/>
          <w:color w:val="4F81BC"/>
          <w:spacing w:val="-3"/>
          <w:sz w:val="21"/>
        </w:rPr>
        <w:t> </w:t>
      </w:r>
      <w:r>
        <w:rPr>
          <w:rFonts w:ascii="Cambria" w:hAnsi="Cambria"/>
          <w:i/>
          <w:color w:val="4F81BC"/>
          <w:sz w:val="21"/>
        </w:rPr>
        <w:t>or</w:t>
      </w:r>
      <w:r>
        <w:rPr>
          <w:rFonts w:ascii="Cambria" w:hAnsi="Cambria"/>
          <w:i/>
          <w:color w:val="4F81BC"/>
          <w:spacing w:val="-3"/>
          <w:sz w:val="21"/>
        </w:rPr>
        <w:t> </w:t>
      </w:r>
      <w:r>
        <w:rPr>
          <w:rFonts w:ascii="Cambria" w:hAnsi="Cambria"/>
          <w:i/>
          <w:color w:val="4F81BC"/>
          <w:sz w:val="21"/>
        </w:rPr>
        <w:t>safe</w:t>
      </w:r>
      <w:r>
        <w:rPr>
          <w:rFonts w:ascii="Cambria" w:hAnsi="Cambria"/>
          <w:i/>
          <w:color w:val="4F81BC"/>
          <w:spacing w:val="-3"/>
          <w:sz w:val="21"/>
        </w:rPr>
        <w:t> </w:t>
      </w:r>
      <w:r>
        <w:rPr>
          <w:rFonts w:ascii="Cambria" w:hAnsi="Cambria"/>
          <w:i/>
          <w:color w:val="4F81BC"/>
          <w:sz w:val="21"/>
        </w:rPr>
        <w:t>house</w:t>
      </w:r>
      <w:r>
        <w:rPr>
          <w:rFonts w:ascii="Cambria" w:hAnsi="Cambria"/>
          <w:i/>
          <w:color w:val="4F81BC"/>
          <w:sz w:val="21"/>
        </w:rPr>
        <w:t> and there’s a lack of accountability for landlords.” - O</w:t>
      </w:r>
    </w:p>
    <w:p>
      <w:pPr>
        <w:pStyle w:val="BodyText"/>
        <w:spacing w:line="276" w:lineRule="auto" w:before="241"/>
        <w:ind w:left="463" w:right="401"/>
        <w:jc w:val="both"/>
      </w:pPr>
      <w:r>
        <w:rPr/>
        <w:t>Holistically</w:t>
      </w:r>
      <w:r>
        <w:rPr>
          <w:spacing w:val="-12"/>
        </w:rPr>
        <w:t> </w:t>
      </w:r>
      <w:r>
        <w:rPr/>
        <w:t>addressing</w:t>
      </w:r>
      <w:r>
        <w:rPr>
          <w:spacing w:val="-12"/>
        </w:rPr>
        <w:t> </w:t>
      </w:r>
      <w:r>
        <w:rPr/>
        <w:t>the</w:t>
      </w:r>
      <w:r>
        <w:rPr>
          <w:spacing w:val="-11"/>
        </w:rPr>
        <w:t> </w:t>
      </w:r>
      <w:r>
        <w:rPr/>
        <w:t>needs</w:t>
      </w:r>
      <w:r>
        <w:rPr>
          <w:spacing w:val="-12"/>
        </w:rPr>
        <w:t> </w:t>
      </w:r>
      <w:r>
        <w:rPr/>
        <w:t>of</w:t>
      </w:r>
      <w:r>
        <w:rPr>
          <w:spacing w:val="-12"/>
        </w:rPr>
        <w:t> </w:t>
      </w:r>
      <w:r>
        <w:rPr/>
        <w:t>LGTBQ</w:t>
      </w:r>
      <w:r>
        <w:rPr>
          <w:spacing w:val="-12"/>
        </w:rPr>
        <w:t> </w:t>
      </w:r>
      <w:r>
        <w:rPr/>
        <w:t>youth</w:t>
      </w:r>
      <w:r>
        <w:rPr>
          <w:spacing w:val="-12"/>
        </w:rPr>
        <w:t> </w:t>
      </w:r>
      <w:r>
        <w:rPr/>
        <w:t>experiencing</w:t>
      </w:r>
      <w:r>
        <w:rPr>
          <w:spacing w:val="-12"/>
        </w:rPr>
        <w:t> </w:t>
      </w:r>
      <w:r>
        <w:rPr/>
        <w:t>homelessness</w:t>
      </w:r>
      <w:r>
        <w:rPr>
          <w:spacing w:val="-12"/>
        </w:rPr>
        <w:t> </w:t>
      </w:r>
      <w:r>
        <w:rPr/>
        <w:t>requires</w:t>
      </w:r>
      <w:r>
        <w:rPr>
          <w:spacing w:val="-12"/>
        </w:rPr>
        <w:t> </w:t>
      </w:r>
      <w:r>
        <w:rPr/>
        <w:t>approaches</w:t>
      </w:r>
      <w:r>
        <w:rPr>
          <w:spacing w:val="-12"/>
        </w:rPr>
        <w:t> </w:t>
      </w:r>
      <w:r>
        <w:rPr/>
        <w:t>that address</w:t>
      </w:r>
      <w:r>
        <w:rPr>
          <w:spacing w:val="-13"/>
        </w:rPr>
        <w:t> </w:t>
      </w:r>
      <w:r>
        <w:rPr/>
        <w:t>both</w:t>
      </w:r>
      <w:r>
        <w:rPr>
          <w:spacing w:val="-11"/>
        </w:rPr>
        <w:t> </w:t>
      </w:r>
      <w:r>
        <w:rPr/>
        <w:t>systemic</w:t>
      </w:r>
      <w:r>
        <w:rPr>
          <w:spacing w:val="-11"/>
        </w:rPr>
        <w:t> </w:t>
      </w:r>
      <w:r>
        <w:rPr/>
        <w:t>factors</w:t>
      </w:r>
      <w:r>
        <w:rPr>
          <w:spacing w:val="-12"/>
        </w:rPr>
        <w:t> </w:t>
      </w:r>
      <w:r>
        <w:rPr/>
        <w:t>and</w:t>
      </w:r>
      <w:r>
        <w:rPr>
          <w:spacing w:val="-13"/>
        </w:rPr>
        <w:t> </w:t>
      </w:r>
      <w:r>
        <w:rPr/>
        <w:t>unique</w:t>
      </w:r>
      <w:r>
        <w:rPr>
          <w:spacing w:val="-12"/>
        </w:rPr>
        <w:t> </w:t>
      </w:r>
      <w:r>
        <w:rPr/>
        <w:t>challenges</w:t>
      </w:r>
      <w:r>
        <w:rPr>
          <w:spacing w:val="-12"/>
        </w:rPr>
        <w:t> </w:t>
      </w:r>
      <w:r>
        <w:rPr/>
        <w:t>that</w:t>
      </w:r>
      <w:r>
        <w:rPr>
          <w:spacing w:val="-13"/>
        </w:rPr>
        <w:t> </w:t>
      </w:r>
      <w:r>
        <w:rPr/>
        <w:t>LGBTQ</w:t>
      </w:r>
      <w:r>
        <w:rPr>
          <w:spacing w:val="-12"/>
        </w:rPr>
        <w:t> </w:t>
      </w:r>
      <w:r>
        <w:rPr/>
        <w:t>youth</w:t>
      </w:r>
      <w:r>
        <w:rPr>
          <w:spacing w:val="-12"/>
        </w:rPr>
        <w:t> </w:t>
      </w:r>
      <w:r>
        <w:rPr/>
        <w:t>face</w:t>
      </w:r>
      <w:r>
        <w:rPr>
          <w:spacing w:val="-12"/>
        </w:rPr>
        <w:t> </w:t>
      </w:r>
      <w:r>
        <w:rPr/>
        <w:t>within</w:t>
      </w:r>
      <w:r>
        <w:rPr>
          <w:spacing w:val="-13"/>
        </w:rPr>
        <w:t> </w:t>
      </w:r>
      <w:r>
        <w:rPr/>
        <w:t>the</w:t>
      </w:r>
      <w:r>
        <w:rPr>
          <w:spacing w:val="-12"/>
        </w:rPr>
        <w:t> </w:t>
      </w:r>
      <w:r>
        <w:rPr/>
        <w:t>homeless</w:t>
      </w:r>
      <w:r>
        <w:rPr>
          <w:spacing w:val="-12"/>
        </w:rPr>
        <w:t> </w:t>
      </w:r>
      <w:r>
        <w:rPr/>
        <w:t>youth population. Systematic changes are key to targeting the intersectionality between LGBTQ youth homelessness</w:t>
      </w:r>
      <w:r>
        <w:rPr>
          <w:spacing w:val="-2"/>
        </w:rPr>
        <w:t> </w:t>
      </w:r>
      <w:r>
        <w:rPr/>
        <w:t>and</w:t>
      </w:r>
      <w:r>
        <w:rPr>
          <w:spacing w:val="-3"/>
        </w:rPr>
        <w:t> </w:t>
      </w:r>
      <w:r>
        <w:rPr/>
        <w:t>the</w:t>
      </w:r>
      <w:r>
        <w:rPr>
          <w:spacing w:val="-3"/>
        </w:rPr>
        <w:t> </w:t>
      </w:r>
      <w:r>
        <w:rPr/>
        <w:t>social</w:t>
      </w:r>
      <w:r>
        <w:rPr>
          <w:spacing w:val="-3"/>
        </w:rPr>
        <w:t> </w:t>
      </w:r>
      <w:r>
        <w:rPr/>
        <w:t>determinants</w:t>
      </w:r>
      <w:r>
        <w:rPr>
          <w:spacing w:val="-2"/>
        </w:rPr>
        <w:t> </w:t>
      </w:r>
      <w:r>
        <w:rPr/>
        <w:t>of</w:t>
      </w:r>
      <w:r>
        <w:rPr>
          <w:spacing w:val="-3"/>
        </w:rPr>
        <w:t> </w:t>
      </w:r>
      <w:r>
        <w:rPr/>
        <w:t>health</w:t>
      </w:r>
      <w:r>
        <w:rPr>
          <w:spacing w:val="-2"/>
        </w:rPr>
        <w:t> </w:t>
      </w:r>
      <w:r>
        <w:rPr/>
        <w:t>that</w:t>
      </w:r>
      <w:r>
        <w:rPr>
          <w:spacing w:val="-3"/>
        </w:rPr>
        <w:t> </w:t>
      </w:r>
      <w:r>
        <w:rPr/>
        <w:t>lead</w:t>
      </w:r>
      <w:r>
        <w:rPr>
          <w:spacing w:val="-2"/>
        </w:rPr>
        <w:t> </w:t>
      </w:r>
      <w:r>
        <w:rPr/>
        <w:t>to</w:t>
      </w:r>
      <w:r>
        <w:rPr>
          <w:spacing w:val="-2"/>
        </w:rPr>
        <w:t> </w:t>
      </w:r>
      <w:r>
        <w:rPr/>
        <w:t>homelessness.</w:t>
      </w:r>
      <w:r>
        <w:rPr>
          <w:spacing w:val="-3"/>
        </w:rPr>
        <w:t> </w:t>
      </w:r>
      <w:r>
        <w:rPr/>
        <w:t>For</w:t>
      </w:r>
      <w:r>
        <w:rPr>
          <w:spacing w:val="-3"/>
        </w:rPr>
        <w:t> </w:t>
      </w:r>
      <w:r>
        <w:rPr/>
        <w:t>example,</w:t>
      </w:r>
      <w:r>
        <w:rPr>
          <w:spacing w:val="-1"/>
        </w:rPr>
        <w:t> </w:t>
      </w:r>
      <w:r>
        <w:rPr/>
        <w:t>systems and sectors that serve youth experiencing homelessness such as healthcare services, public health programs, and housing shelters are often siloed and independent of one another. As stated, LGBTQ youth</w:t>
      </w:r>
      <w:r>
        <w:rPr>
          <w:spacing w:val="-2"/>
        </w:rPr>
        <w:t> </w:t>
      </w:r>
      <w:r>
        <w:rPr/>
        <w:t>in</w:t>
      </w:r>
      <w:r>
        <w:rPr>
          <w:spacing w:val="-1"/>
        </w:rPr>
        <w:t> </w:t>
      </w:r>
      <w:r>
        <w:rPr/>
        <w:t>these</w:t>
      </w:r>
      <w:r>
        <w:rPr>
          <w:spacing w:val="-2"/>
        </w:rPr>
        <w:t> </w:t>
      </w:r>
      <w:r>
        <w:rPr/>
        <w:t>situations have</w:t>
      </w:r>
      <w:r>
        <w:rPr>
          <w:spacing w:val="-2"/>
        </w:rPr>
        <w:t> </w:t>
      </w:r>
      <w:r>
        <w:rPr/>
        <w:t>issues</w:t>
      </w:r>
      <w:r>
        <w:rPr>
          <w:spacing w:val="-1"/>
        </w:rPr>
        <w:t> </w:t>
      </w:r>
      <w:r>
        <w:rPr/>
        <w:t>navigating</w:t>
      </w:r>
      <w:r>
        <w:rPr>
          <w:spacing w:val="-1"/>
        </w:rPr>
        <w:t> </w:t>
      </w:r>
      <w:r>
        <w:rPr/>
        <w:t>the services</w:t>
      </w:r>
      <w:r>
        <w:rPr>
          <w:spacing w:val="-1"/>
        </w:rPr>
        <w:t> </w:t>
      </w:r>
      <w:r>
        <w:rPr/>
        <w:t>available</w:t>
      </w:r>
      <w:r>
        <w:rPr>
          <w:spacing w:val="-2"/>
        </w:rPr>
        <w:t> </w:t>
      </w:r>
      <w:r>
        <w:rPr/>
        <w:t>to them. Considerations</w:t>
      </w:r>
      <w:r>
        <w:rPr>
          <w:spacing w:val="-1"/>
        </w:rPr>
        <w:t> </w:t>
      </w:r>
      <w:r>
        <w:rPr/>
        <w:t>should be made on how services can collaborate to better meet the needs of LGBTQ youth experiencing </w:t>
      </w:r>
      <w:r>
        <w:rPr>
          <w:spacing w:val="-2"/>
        </w:rPr>
        <w:t>homelessness.</w:t>
      </w:r>
      <w:hyperlink w:history="true" w:anchor="_bookmark313">
        <w:r>
          <w:rPr>
            <w:spacing w:val="-2"/>
            <w:vertAlign w:val="superscript"/>
          </w:rPr>
          <w:t>40</w:t>
        </w:r>
      </w:hyperlink>
    </w:p>
    <w:p>
      <w:pPr>
        <w:spacing w:line="252" w:lineRule="auto" w:before="240"/>
        <w:ind w:left="1330" w:right="1269" w:firstLine="2"/>
        <w:jc w:val="center"/>
        <w:rPr>
          <w:rFonts w:ascii="Cambria" w:hAnsi="Cambria"/>
          <w:i/>
          <w:sz w:val="21"/>
        </w:rPr>
      </w:pPr>
      <w:r>
        <w:rPr>
          <w:rFonts w:ascii="Cambria" w:hAnsi="Cambria"/>
          <w:i/>
          <w:color w:val="4F81BC"/>
          <w:sz w:val="21"/>
        </w:rPr>
        <w:t>“I was signed up for my back rent to be helped from and organization in Quincy, but</w:t>
      </w:r>
      <w:r>
        <w:rPr>
          <w:rFonts w:ascii="Cambria" w:hAnsi="Cambria"/>
          <w:i/>
          <w:color w:val="4F81BC"/>
          <w:sz w:val="21"/>
        </w:rPr>
        <w:t> they</w:t>
      </w:r>
      <w:r>
        <w:rPr>
          <w:rFonts w:ascii="Cambria" w:hAnsi="Cambria"/>
          <w:i/>
          <w:color w:val="4F81BC"/>
          <w:spacing w:val="-2"/>
          <w:sz w:val="21"/>
        </w:rPr>
        <w:t> </w:t>
      </w:r>
      <w:r>
        <w:rPr>
          <w:rFonts w:ascii="Cambria" w:hAnsi="Cambria"/>
          <w:i/>
          <w:color w:val="4F81BC"/>
          <w:sz w:val="21"/>
        </w:rPr>
        <w:t>had</w:t>
      </w:r>
      <w:r>
        <w:rPr>
          <w:rFonts w:ascii="Cambria" w:hAnsi="Cambria"/>
          <w:i/>
          <w:color w:val="4F81BC"/>
          <w:spacing w:val="-4"/>
          <w:sz w:val="21"/>
        </w:rPr>
        <w:t> </w:t>
      </w:r>
      <w:r>
        <w:rPr>
          <w:rFonts w:ascii="Cambria" w:hAnsi="Cambria"/>
          <w:i/>
          <w:color w:val="4F81BC"/>
          <w:sz w:val="21"/>
        </w:rPr>
        <w:t>so</w:t>
      </w:r>
      <w:r>
        <w:rPr>
          <w:rFonts w:ascii="Cambria" w:hAnsi="Cambria"/>
          <w:i/>
          <w:color w:val="4F81BC"/>
          <w:spacing w:val="-4"/>
          <w:sz w:val="21"/>
        </w:rPr>
        <w:t> </w:t>
      </w:r>
      <w:r>
        <w:rPr>
          <w:rFonts w:ascii="Cambria" w:hAnsi="Cambria"/>
          <w:i/>
          <w:color w:val="4F81BC"/>
          <w:sz w:val="21"/>
        </w:rPr>
        <w:t>much</w:t>
      </w:r>
      <w:r>
        <w:rPr>
          <w:rFonts w:ascii="Cambria" w:hAnsi="Cambria"/>
          <w:i/>
          <w:color w:val="4F81BC"/>
          <w:spacing w:val="-3"/>
          <w:sz w:val="21"/>
        </w:rPr>
        <w:t> </w:t>
      </w:r>
      <w:r>
        <w:rPr>
          <w:rFonts w:ascii="Cambria" w:hAnsi="Cambria"/>
          <w:i/>
          <w:color w:val="4F81BC"/>
          <w:sz w:val="21"/>
        </w:rPr>
        <w:t>red-tape</w:t>
      </w:r>
      <w:r>
        <w:rPr>
          <w:rFonts w:ascii="Cambria" w:hAnsi="Cambria"/>
          <w:i/>
          <w:color w:val="4F81BC"/>
          <w:spacing w:val="-3"/>
          <w:sz w:val="21"/>
        </w:rPr>
        <w:t> </w:t>
      </w:r>
      <w:r>
        <w:rPr>
          <w:rFonts w:ascii="Cambria" w:hAnsi="Cambria"/>
          <w:i/>
          <w:color w:val="4F81BC"/>
          <w:sz w:val="21"/>
        </w:rPr>
        <w:t>that</w:t>
      </w:r>
      <w:r>
        <w:rPr>
          <w:rFonts w:ascii="Cambria" w:hAnsi="Cambria"/>
          <w:i/>
          <w:color w:val="4F81BC"/>
          <w:spacing w:val="-3"/>
          <w:sz w:val="21"/>
        </w:rPr>
        <w:t> </w:t>
      </w:r>
      <w:r>
        <w:rPr>
          <w:rFonts w:ascii="Cambria" w:hAnsi="Cambria"/>
          <w:i/>
          <w:color w:val="4F81BC"/>
          <w:sz w:val="21"/>
        </w:rPr>
        <w:t>I</w:t>
      </w:r>
      <w:r>
        <w:rPr>
          <w:rFonts w:ascii="Cambria" w:hAnsi="Cambria"/>
          <w:i/>
          <w:color w:val="4F81BC"/>
          <w:spacing w:val="-3"/>
          <w:sz w:val="21"/>
        </w:rPr>
        <w:t> </w:t>
      </w:r>
      <w:r>
        <w:rPr>
          <w:rFonts w:ascii="Cambria" w:hAnsi="Cambria"/>
          <w:i/>
          <w:color w:val="4F81BC"/>
          <w:sz w:val="21"/>
        </w:rPr>
        <w:t>never</w:t>
      </w:r>
      <w:r>
        <w:rPr>
          <w:rFonts w:ascii="Cambria" w:hAnsi="Cambria"/>
          <w:i/>
          <w:color w:val="4F81BC"/>
          <w:spacing w:val="-3"/>
          <w:sz w:val="21"/>
        </w:rPr>
        <w:t> </w:t>
      </w:r>
      <w:r>
        <w:rPr>
          <w:rFonts w:ascii="Cambria" w:hAnsi="Cambria"/>
          <w:i/>
          <w:color w:val="4F81BC"/>
          <w:sz w:val="21"/>
        </w:rPr>
        <w:t>got</w:t>
      </w:r>
      <w:r>
        <w:rPr>
          <w:rFonts w:ascii="Cambria" w:hAnsi="Cambria"/>
          <w:i/>
          <w:color w:val="4F81BC"/>
          <w:spacing w:val="-3"/>
          <w:sz w:val="21"/>
        </w:rPr>
        <w:t> </w:t>
      </w:r>
      <w:r>
        <w:rPr>
          <w:rFonts w:ascii="Cambria" w:hAnsi="Cambria"/>
          <w:i/>
          <w:color w:val="4F81BC"/>
          <w:sz w:val="21"/>
        </w:rPr>
        <w:t>back</w:t>
      </w:r>
      <w:r>
        <w:rPr>
          <w:rFonts w:ascii="Cambria" w:hAnsi="Cambria"/>
          <w:i/>
          <w:color w:val="4F81BC"/>
          <w:spacing w:val="-3"/>
          <w:sz w:val="21"/>
        </w:rPr>
        <w:t> </w:t>
      </w:r>
      <w:r>
        <w:rPr>
          <w:rFonts w:ascii="Cambria" w:hAnsi="Cambria"/>
          <w:i/>
          <w:color w:val="4F81BC"/>
          <w:sz w:val="21"/>
        </w:rPr>
        <w:t>to</w:t>
      </w:r>
      <w:r>
        <w:rPr>
          <w:rFonts w:ascii="Cambria" w:hAnsi="Cambria"/>
          <w:i/>
          <w:color w:val="4F81BC"/>
          <w:spacing w:val="-3"/>
          <w:sz w:val="21"/>
        </w:rPr>
        <w:t> </w:t>
      </w:r>
      <w:r>
        <w:rPr>
          <w:rFonts w:ascii="Cambria" w:hAnsi="Cambria"/>
          <w:i/>
          <w:color w:val="4F81BC"/>
          <w:sz w:val="21"/>
        </w:rPr>
        <w:t>them.</w:t>
      </w:r>
      <w:r>
        <w:rPr>
          <w:rFonts w:ascii="Cambria" w:hAnsi="Cambria"/>
          <w:i/>
          <w:color w:val="4F81BC"/>
          <w:spacing w:val="-3"/>
          <w:sz w:val="21"/>
        </w:rPr>
        <w:t> </w:t>
      </w:r>
      <w:r>
        <w:rPr>
          <w:rFonts w:ascii="Cambria" w:hAnsi="Cambria"/>
          <w:i/>
          <w:color w:val="4F81BC"/>
          <w:sz w:val="21"/>
        </w:rPr>
        <w:t>There</w:t>
      </w:r>
      <w:r>
        <w:rPr>
          <w:rFonts w:ascii="Cambria" w:hAnsi="Cambria"/>
          <w:i/>
          <w:color w:val="4F81BC"/>
          <w:spacing w:val="-3"/>
          <w:sz w:val="21"/>
        </w:rPr>
        <w:t> </w:t>
      </w:r>
      <w:r>
        <w:rPr>
          <w:rFonts w:ascii="Cambria" w:hAnsi="Cambria"/>
          <w:i/>
          <w:color w:val="4F81BC"/>
          <w:sz w:val="21"/>
        </w:rPr>
        <w:t>needs</w:t>
      </w:r>
      <w:r>
        <w:rPr>
          <w:rFonts w:ascii="Cambria" w:hAnsi="Cambria"/>
          <w:i/>
          <w:color w:val="4F81BC"/>
          <w:spacing w:val="-3"/>
          <w:sz w:val="21"/>
        </w:rPr>
        <w:t> </w:t>
      </w:r>
      <w:r>
        <w:rPr>
          <w:rFonts w:ascii="Cambria" w:hAnsi="Cambria"/>
          <w:i/>
          <w:color w:val="4F81BC"/>
          <w:sz w:val="21"/>
        </w:rPr>
        <w:t>to</w:t>
      </w:r>
      <w:r>
        <w:rPr>
          <w:rFonts w:ascii="Cambria" w:hAnsi="Cambria"/>
          <w:i/>
          <w:color w:val="4F81BC"/>
          <w:spacing w:val="-3"/>
          <w:sz w:val="21"/>
        </w:rPr>
        <w:t> </w:t>
      </w:r>
      <w:r>
        <w:rPr>
          <w:rFonts w:ascii="Cambria" w:hAnsi="Cambria"/>
          <w:i/>
          <w:color w:val="4F81BC"/>
          <w:sz w:val="21"/>
        </w:rPr>
        <w:t>be</w:t>
      </w:r>
      <w:r>
        <w:rPr>
          <w:rFonts w:ascii="Cambria" w:hAnsi="Cambria"/>
          <w:i/>
          <w:color w:val="4F81BC"/>
          <w:spacing w:val="-3"/>
          <w:sz w:val="21"/>
        </w:rPr>
        <w:t> </w:t>
      </w:r>
      <w:r>
        <w:rPr>
          <w:rFonts w:ascii="Cambria" w:hAnsi="Cambria"/>
          <w:i/>
          <w:color w:val="4F81BC"/>
          <w:sz w:val="21"/>
        </w:rPr>
        <w:t>an</w:t>
      </w:r>
      <w:r>
        <w:rPr>
          <w:rFonts w:ascii="Cambria" w:hAnsi="Cambria"/>
          <w:i/>
          <w:color w:val="4F81BC"/>
          <w:spacing w:val="-2"/>
          <w:sz w:val="21"/>
        </w:rPr>
        <w:t> </w:t>
      </w:r>
      <w:r>
        <w:rPr>
          <w:rFonts w:ascii="Cambria" w:hAnsi="Cambria"/>
          <w:i/>
          <w:color w:val="4F81BC"/>
          <w:sz w:val="21"/>
        </w:rPr>
        <w:t>easier process for rental support that is more transparent.” – B, trans person currently experiencing housing instability in the Greater Boston area</w:t>
      </w:r>
    </w:p>
    <w:p>
      <w:pPr>
        <w:pStyle w:val="BodyText"/>
        <w:spacing w:line="276" w:lineRule="auto" w:before="240"/>
        <w:ind w:left="463" w:right="400"/>
        <w:jc w:val="both"/>
      </w:pPr>
      <w:r>
        <w:rPr/>
        <w:t>The Commission has proposed six (6) key improvement areas to focus on when developing initiatives and</w:t>
      </w:r>
      <w:r>
        <w:rPr>
          <w:spacing w:val="-13"/>
        </w:rPr>
        <w:t> </w:t>
      </w:r>
      <w:r>
        <w:rPr/>
        <w:t>programming</w:t>
      </w:r>
      <w:r>
        <w:rPr>
          <w:spacing w:val="-12"/>
        </w:rPr>
        <w:t> </w:t>
      </w:r>
      <w:r>
        <w:rPr/>
        <w:t>for</w:t>
      </w:r>
      <w:r>
        <w:rPr>
          <w:spacing w:val="-13"/>
        </w:rPr>
        <w:t> </w:t>
      </w:r>
      <w:r>
        <w:rPr/>
        <w:t>LGBTQ</w:t>
      </w:r>
      <w:r>
        <w:rPr>
          <w:spacing w:val="-12"/>
        </w:rPr>
        <w:t> </w:t>
      </w:r>
      <w:r>
        <w:rPr/>
        <w:t>youth</w:t>
      </w:r>
      <w:r>
        <w:rPr>
          <w:spacing w:val="-13"/>
        </w:rPr>
        <w:t> </w:t>
      </w:r>
      <w:r>
        <w:rPr/>
        <w:t>experiencing</w:t>
      </w:r>
      <w:r>
        <w:rPr>
          <w:spacing w:val="-12"/>
        </w:rPr>
        <w:t> </w:t>
      </w:r>
      <w:r>
        <w:rPr/>
        <w:t>homelessness</w:t>
      </w:r>
      <w:r>
        <w:rPr>
          <w:spacing w:val="-13"/>
        </w:rPr>
        <w:t> </w:t>
      </w:r>
      <w:r>
        <w:rPr/>
        <w:t>and</w:t>
      </w:r>
      <w:r>
        <w:rPr>
          <w:spacing w:val="-12"/>
        </w:rPr>
        <w:t> </w:t>
      </w:r>
      <w:r>
        <w:rPr/>
        <w:t>housing</w:t>
      </w:r>
      <w:r>
        <w:rPr>
          <w:spacing w:val="-12"/>
        </w:rPr>
        <w:t> </w:t>
      </w:r>
      <w:r>
        <w:rPr/>
        <w:t>insecurity.</w:t>
      </w:r>
      <w:hyperlink w:history="true" w:anchor="_bookmark314">
        <w:r>
          <w:rPr>
            <w:vertAlign w:val="superscript"/>
          </w:rPr>
          <w:t>41</w:t>
        </w:r>
      </w:hyperlink>
      <w:r>
        <w:rPr>
          <w:spacing w:val="-7"/>
          <w:vertAlign w:val="baseline"/>
        </w:rPr>
        <w:t> </w:t>
      </w:r>
      <w:r>
        <w:rPr>
          <w:vertAlign w:val="baseline"/>
        </w:rPr>
        <w:t>The</w:t>
      </w:r>
      <w:r>
        <w:rPr>
          <w:spacing w:val="-11"/>
          <w:vertAlign w:val="baseline"/>
        </w:rPr>
        <w:t> </w:t>
      </w:r>
      <w:r>
        <w:rPr>
          <w:vertAlign w:val="baseline"/>
        </w:rPr>
        <w:t>proposed improvement areas summarize the need for improved services for LGBTQ youth experiencing homelessness and housing insecurity in the Commonwealth. By developing initiatives and designing programs that address each service area, the Commonwealth of Massachusetts can successfully address LGBTQ youth homelessness and housing insecurity.</w:t>
      </w:r>
    </w:p>
    <w:p>
      <w:pPr>
        <w:pStyle w:val="BodyText"/>
        <w:spacing w:before="51"/>
        <w:rPr>
          <w:sz w:val="20"/>
        </w:rPr>
      </w:pPr>
    </w:p>
    <w:p>
      <w:pPr>
        <w:spacing w:after="0"/>
        <w:rPr>
          <w:sz w:val="20"/>
        </w:rPr>
        <w:sectPr>
          <w:pgSz w:w="12240" w:h="15840"/>
          <w:pgMar w:header="765" w:footer="1127" w:top="1280" w:bottom="1380" w:left="1120" w:right="1180"/>
        </w:sectPr>
      </w:pPr>
    </w:p>
    <w:p>
      <w:pPr>
        <w:spacing w:before="64"/>
        <w:ind w:left="1943" w:right="0" w:firstLine="0"/>
        <w:jc w:val="left"/>
        <w:rPr>
          <w:b/>
          <w:sz w:val="18"/>
        </w:rPr>
      </w:pPr>
      <w:r>
        <w:rPr>
          <w:b/>
          <w:sz w:val="18"/>
        </w:rPr>
        <w:t>Housing</w:t>
      </w:r>
      <w:r>
        <w:rPr>
          <w:b/>
          <w:spacing w:val="-4"/>
          <w:sz w:val="18"/>
        </w:rPr>
        <w:t> </w:t>
      </w:r>
      <w:r>
        <w:rPr>
          <w:b/>
          <w:spacing w:val="-2"/>
          <w:sz w:val="18"/>
        </w:rPr>
        <w:t>Services</w:t>
      </w:r>
    </w:p>
    <w:p>
      <w:pPr>
        <w:pStyle w:val="ListParagraph"/>
        <w:numPr>
          <w:ilvl w:val="0"/>
          <w:numId w:val="25"/>
        </w:numPr>
        <w:tabs>
          <w:tab w:pos="610" w:val="left" w:leader="none"/>
        </w:tabs>
        <w:spacing w:line="240" w:lineRule="auto" w:before="1" w:after="0"/>
        <w:ind w:left="610" w:right="0" w:hanging="360"/>
        <w:jc w:val="left"/>
        <w:rPr>
          <w:sz w:val="18"/>
        </w:rPr>
      </w:pPr>
      <w:r>
        <w:rPr>
          <w:sz w:val="18"/>
        </w:rPr>
        <w:t>Improve</w:t>
      </w:r>
      <w:r>
        <w:rPr>
          <w:spacing w:val="-5"/>
          <w:sz w:val="18"/>
        </w:rPr>
        <w:t> </w:t>
      </w:r>
      <w:r>
        <w:rPr>
          <w:sz w:val="18"/>
        </w:rPr>
        <w:t>the</w:t>
      </w:r>
      <w:r>
        <w:rPr>
          <w:spacing w:val="-3"/>
          <w:sz w:val="18"/>
        </w:rPr>
        <w:t> </w:t>
      </w:r>
      <w:r>
        <w:rPr>
          <w:sz w:val="18"/>
        </w:rPr>
        <w:t>emergency</w:t>
      </w:r>
      <w:r>
        <w:rPr>
          <w:spacing w:val="-2"/>
          <w:sz w:val="18"/>
        </w:rPr>
        <w:t> </w:t>
      </w:r>
      <w:r>
        <w:rPr>
          <w:sz w:val="18"/>
        </w:rPr>
        <w:t>shelter</w:t>
      </w:r>
      <w:r>
        <w:rPr>
          <w:spacing w:val="-4"/>
          <w:sz w:val="18"/>
        </w:rPr>
        <w:t> </w:t>
      </w:r>
      <w:r>
        <w:rPr>
          <w:sz w:val="18"/>
        </w:rPr>
        <w:t>crisis</w:t>
      </w:r>
      <w:r>
        <w:rPr>
          <w:spacing w:val="-2"/>
          <w:sz w:val="18"/>
        </w:rPr>
        <w:t> </w:t>
      </w:r>
      <w:r>
        <w:rPr>
          <w:sz w:val="18"/>
        </w:rPr>
        <w:t>bed</w:t>
      </w:r>
      <w:r>
        <w:rPr>
          <w:spacing w:val="-2"/>
          <w:sz w:val="18"/>
        </w:rPr>
        <w:t> </w:t>
      </w:r>
      <w:r>
        <w:rPr>
          <w:sz w:val="18"/>
        </w:rPr>
        <w:t>capacity</w:t>
      </w:r>
      <w:r>
        <w:rPr>
          <w:spacing w:val="-2"/>
          <w:sz w:val="18"/>
        </w:rPr>
        <w:t> </w:t>
      </w:r>
      <w:r>
        <w:rPr>
          <w:spacing w:val="-5"/>
          <w:sz w:val="18"/>
        </w:rPr>
        <w:t>for</w:t>
      </w:r>
    </w:p>
    <w:p>
      <w:pPr>
        <w:spacing w:before="0"/>
        <w:ind w:left="2066" w:right="0" w:firstLine="0"/>
        <w:jc w:val="left"/>
        <w:rPr>
          <w:sz w:val="18"/>
        </w:rPr>
      </w:pPr>
      <w:r>
        <w:rPr>
          <w:sz w:val="18"/>
        </w:rPr>
        <w:t>LGBTQ</w:t>
      </w:r>
      <w:r>
        <w:rPr>
          <w:spacing w:val="-4"/>
          <w:sz w:val="18"/>
        </w:rPr>
        <w:t> </w:t>
      </w:r>
      <w:r>
        <w:rPr>
          <w:spacing w:val="-2"/>
          <w:sz w:val="18"/>
        </w:rPr>
        <w:t>youth.</w:t>
      </w:r>
    </w:p>
    <w:p>
      <w:pPr>
        <w:pStyle w:val="ListParagraph"/>
        <w:numPr>
          <w:ilvl w:val="0"/>
          <w:numId w:val="25"/>
        </w:numPr>
        <w:tabs>
          <w:tab w:pos="577" w:val="left" w:leader="none"/>
          <w:tab w:pos="1482" w:val="left" w:leader="none"/>
        </w:tabs>
        <w:spacing w:line="240" w:lineRule="auto" w:before="0" w:after="0"/>
        <w:ind w:left="1482" w:right="38" w:hanging="1265"/>
        <w:jc w:val="left"/>
        <w:rPr>
          <w:sz w:val="18"/>
        </w:rPr>
      </w:pPr>
      <w:r>
        <w:rPr>
          <w:sz w:val="18"/>
        </w:rPr>
        <w:t>Support</w:t>
      </w:r>
      <w:r>
        <w:rPr>
          <w:spacing w:val="-7"/>
          <w:sz w:val="18"/>
        </w:rPr>
        <w:t> </w:t>
      </w:r>
      <w:r>
        <w:rPr>
          <w:sz w:val="18"/>
        </w:rPr>
        <w:t>LGBTQ</w:t>
      </w:r>
      <w:r>
        <w:rPr>
          <w:spacing w:val="-8"/>
          <w:sz w:val="18"/>
        </w:rPr>
        <w:t> </w:t>
      </w:r>
      <w:r>
        <w:rPr>
          <w:sz w:val="18"/>
        </w:rPr>
        <w:t>youth</w:t>
      </w:r>
      <w:r>
        <w:rPr>
          <w:spacing w:val="-6"/>
          <w:sz w:val="18"/>
        </w:rPr>
        <w:t> </w:t>
      </w:r>
      <w:r>
        <w:rPr>
          <w:sz w:val="18"/>
        </w:rPr>
        <w:t>transitioning</w:t>
      </w:r>
      <w:r>
        <w:rPr>
          <w:spacing w:val="-6"/>
          <w:sz w:val="18"/>
        </w:rPr>
        <w:t> </w:t>
      </w:r>
      <w:r>
        <w:rPr>
          <w:sz w:val="18"/>
        </w:rPr>
        <w:t>from</w:t>
      </w:r>
      <w:r>
        <w:rPr>
          <w:spacing w:val="-6"/>
          <w:sz w:val="18"/>
        </w:rPr>
        <w:t> </w:t>
      </w:r>
      <w:r>
        <w:rPr>
          <w:sz w:val="18"/>
        </w:rPr>
        <w:t>short-term</w:t>
      </w:r>
      <w:r>
        <w:rPr>
          <w:spacing w:val="-6"/>
          <w:sz w:val="18"/>
        </w:rPr>
        <w:t> </w:t>
      </w:r>
      <w:r>
        <w:rPr>
          <w:sz w:val="18"/>
        </w:rPr>
        <w:t>to long-term housing assistance.</w:t>
      </w:r>
    </w:p>
    <w:p>
      <w:pPr>
        <w:spacing w:before="64"/>
        <w:ind w:left="1458" w:right="0" w:firstLine="0"/>
        <w:jc w:val="left"/>
        <w:rPr>
          <w:b/>
          <w:sz w:val="18"/>
        </w:rPr>
      </w:pPr>
      <w:r>
        <w:rPr/>
        <w:br w:type="column"/>
      </w:r>
      <w:r>
        <w:rPr>
          <w:b/>
          <w:sz w:val="18"/>
        </w:rPr>
        <w:t>Advocacy</w:t>
      </w:r>
      <w:r>
        <w:rPr>
          <w:b/>
          <w:spacing w:val="-3"/>
          <w:sz w:val="18"/>
        </w:rPr>
        <w:t> </w:t>
      </w:r>
      <w:r>
        <w:rPr>
          <w:b/>
          <w:sz w:val="18"/>
        </w:rPr>
        <w:t>and</w:t>
      </w:r>
      <w:r>
        <w:rPr>
          <w:b/>
          <w:spacing w:val="-2"/>
          <w:sz w:val="18"/>
        </w:rPr>
        <w:t> </w:t>
      </w:r>
      <w:r>
        <w:rPr>
          <w:b/>
          <w:sz w:val="18"/>
        </w:rPr>
        <w:t>Coalition</w:t>
      </w:r>
      <w:r>
        <w:rPr>
          <w:b/>
          <w:spacing w:val="-2"/>
          <w:sz w:val="18"/>
        </w:rPr>
        <w:t> Building</w:t>
      </w:r>
    </w:p>
    <w:p>
      <w:pPr>
        <w:pStyle w:val="ListParagraph"/>
        <w:numPr>
          <w:ilvl w:val="0"/>
          <w:numId w:val="25"/>
        </w:numPr>
        <w:tabs>
          <w:tab w:pos="577" w:val="left" w:leader="none"/>
          <w:tab w:pos="666" w:val="left" w:leader="none"/>
        </w:tabs>
        <w:spacing w:line="240" w:lineRule="auto" w:before="1" w:after="0"/>
        <w:ind w:left="666" w:right="423" w:hanging="449"/>
        <w:jc w:val="left"/>
        <w:rPr>
          <w:sz w:val="18"/>
        </w:rPr>
      </w:pPr>
      <w:r>
        <w:rPr>
          <w:sz w:val="18"/>
        </w:rPr>
        <w:t>Amplify</w:t>
      </w:r>
      <w:r>
        <w:rPr>
          <w:spacing w:val="-5"/>
          <w:sz w:val="18"/>
        </w:rPr>
        <w:t> </w:t>
      </w:r>
      <w:r>
        <w:rPr>
          <w:sz w:val="18"/>
        </w:rPr>
        <w:t>advocacy</w:t>
      </w:r>
      <w:r>
        <w:rPr>
          <w:spacing w:val="-5"/>
          <w:sz w:val="18"/>
        </w:rPr>
        <w:t> </w:t>
      </w:r>
      <w:r>
        <w:rPr>
          <w:sz w:val="18"/>
        </w:rPr>
        <w:t>and</w:t>
      </w:r>
      <w:r>
        <w:rPr>
          <w:spacing w:val="-5"/>
          <w:sz w:val="18"/>
        </w:rPr>
        <w:t> </w:t>
      </w:r>
      <w:r>
        <w:rPr>
          <w:sz w:val="18"/>
        </w:rPr>
        <w:t>public</w:t>
      </w:r>
      <w:r>
        <w:rPr>
          <w:spacing w:val="-6"/>
          <w:sz w:val="18"/>
        </w:rPr>
        <w:t> </w:t>
      </w:r>
      <w:r>
        <w:rPr>
          <w:sz w:val="18"/>
        </w:rPr>
        <w:t>awareness</w:t>
      </w:r>
      <w:r>
        <w:rPr>
          <w:spacing w:val="-6"/>
          <w:sz w:val="18"/>
        </w:rPr>
        <w:t> </w:t>
      </w:r>
      <w:r>
        <w:rPr>
          <w:sz w:val="18"/>
        </w:rPr>
        <w:t>for</w:t>
      </w:r>
      <w:r>
        <w:rPr>
          <w:spacing w:val="-6"/>
          <w:sz w:val="18"/>
        </w:rPr>
        <w:t> </w:t>
      </w:r>
      <w:r>
        <w:rPr>
          <w:sz w:val="18"/>
        </w:rPr>
        <w:t>LGBTQ</w:t>
      </w:r>
      <w:r>
        <w:rPr>
          <w:spacing w:val="-5"/>
          <w:sz w:val="18"/>
        </w:rPr>
        <w:t> </w:t>
      </w:r>
      <w:r>
        <w:rPr>
          <w:sz w:val="18"/>
        </w:rPr>
        <w:t>youth homelessness, particularly in rural areas where LGBTQ</w:t>
      </w:r>
    </w:p>
    <w:p>
      <w:pPr>
        <w:spacing w:line="219" w:lineRule="exact" w:before="0"/>
        <w:ind w:left="1254" w:right="0" w:firstLine="0"/>
        <w:jc w:val="left"/>
        <w:rPr>
          <w:sz w:val="18"/>
        </w:rPr>
      </w:pPr>
      <w:r>
        <w:rPr>
          <w:sz w:val="18"/>
        </w:rPr>
        <w:t>acceptance</w:t>
      </w:r>
      <w:r>
        <w:rPr>
          <w:spacing w:val="-2"/>
          <w:sz w:val="18"/>
        </w:rPr>
        <w:t> </w:t>
      </w:r>
      <w:r>
        <w:rPr>
          <w:sz w:val="18"/>
        </w:rPr>
        <w:t>is</w:t>
      </w:r>
      <w:r>
        <w:rPr>
          <w:spacing w:val="-1"/>
          <w:sz w:val="18"/>
        </w:rPr>
        <w:t> </w:t>
      </w:r>
      <w:r>
        <w:rPr>
          <w:sz w:val="18"/>
        </w:rPr>
        <w:t>less</w:t>
      </w:r>
      <w:r>
        <w:rPr>
          <w:spacing w:val="-2"/>
          <w:sz w:val="18"/>
        </w:rPr>
        <w:t> </w:t>
      </w:r>
      <w:r>
        <w:rPr>
          <w:sz w:val="18"/>
        </w:rPr>
        <w:t>than</w:t>
      </w:r>
      <w:r>
        <w:rPr>
          <w:spacing w:val="-1"/>
          <w:sz w:val="18"/>
        </w:rPr>
        <w:t> </w:t>
      </w:r>
      <w:r>
        <w:rPr>
          <w:sz w:val="18"/>
        </w:rPr>
        <w:t>in</w:t>
      </w:r>
      <w:r>
        <w:rPr>
          <w:spacing w:val="-2"/>
          <w:sz w:val="18"/>
        </w:rPr>
        <w:t> </w:t>
      </w:r>
      <w:r>
        <w:rPr>
          <w:sz w:val="18"/>
        </w:rPr>
        <w:t>urban</w:t>
      </w:r>
      <w:r>
        <w:rPr>
          <w:spacing w:val="-1"/>
          <w:sz w:val="18"/>
        </w:rPr>
        <w:t> </w:t>
      </w:r>
      <w:r>
        <w:rPr>
          <w:spacing w:val="-2"/>
          <w:sz w:val="18"/>
        </w:rPr>
        <w:t>areas.</w:t>
      </w:r>
    </w:p>
    <w:p>
      <w:pPr>
        <w:pStyle w:val="ListParagraph"/>
        <w:numPr>
          <w:ilvl w:val="1"/>
          <w:numId w:val="25"/>
        </w:numPr>
        <w:tabs>
          <w:tab w:pos="556" w:val="left" w:leader="none"/>
          <w:tab w:pos="696" w:val="left" w:leader="none"/>
        </w:tabs>
        <w:spacing w:line="240" w:lineRule="auto" w:before="0" w:after="0"/>
        <w:ind w:left="556" w:right="399" w:hanging="220"/>
        <w:jc w:val="left"/>
        <w:rPr>
          <w:sz w:val="18"/>
        </w:rPr>
      </w:pPr>
      <w:r>
        <w:rPr>
          <w:sz w:val="18"/>
        </w:rPr>
        <w:tab/>
        <w:t>Promote information sharing to develop a network of housing</w:t>
      </w:r>
      <w:r>
        <w:rPr>
          <w:spacing w:val="-4"/>
          <w:sz w:val="18"/>
        </w:rPr>
        <w:t> </w:t>
      </w:r>
      <w:r>
        <w:rPr>
          <w:sz w:val="18"/>
        </w:rPr>
        <w:t>and</w:t>
      </w:r>
      <w:r>
        <w:rPr>
          <w:spacing w:val="-5"/>
          <w:sz w:val="18"/>
        </w:rPr>
        <w:t> </w:t>
      </w:r>
      <w:r>
        <w:rPr>
          <w:sz w:val="18"/>
        </w:rPr>
        <w:t>shelter</w:t>
      </w:r>
      <w:r>
        <w:rPr>
          <w:spacing w:val="-5"/>
          <w:sz w:val="18"/>
        </w:rPr>
        <w:t> </w:t>
      </w:r>
      <w:r>
        <w:rPr>
          <w:sz w:val="18"/>
        </w:rPr>
        <w:t>resources</w:t>
      </w:r>
      <w:r>
        <w:rPr>
          <w:spacing w:val="-4"/>
          <w:sz w:val="18"/>
        </w:rPr>
        <w:t> </w:t>
      </w:r>
      <w:r>
        <w:rPr>
          <w:sz w:val="18"/>
        </w:rPr>
        <w:t>for</w:t>
      </w:r>
      <w:r>
        <w:rPr>
          <w:spacing w:val="-5"/>
          <w:sz w:val="18"/>
        </w:rPr>
        <w:t> </w:t>
      </w:r>
      <w:r>
        <w:rPr>
          <w:sz w:val="18"/>
        </w:rPr>
        <w:t>LGBTQ</w:t>
      </w:r>
      <w:r>
        <w:rPr>
          <w:spacing w:val="-4"/>
          <w:sz w:val="18"/>
        </w:rPr>
        <w:t> </w:t>
      </w:r>
      <w:r>
        <w:rPr>
          <w:sz w:val="18"/>
        </w:rPr>
        <w:t>youth</w:t>
      </w:r>
      <w:r>
        <w:rPr>
          <w:spacing w:val="-4"/>
          <w:sz w:val="18"/>
        </w:rPr>
        <w:t> </w:t>
      </w:r>
      <w:r>
        <w:rPr>
          <w:sz w:val="18"/>
        </w:rPr>
        <w:t>to</w:t>
      </w:r>
      <w:r>
        <w:rPr>
          <w:spacing w:val="-6"/>
          <w:sz w:val="18"/>
        </w:rPr>
        <w:t> </w:t>
      </w:r>
      <w:r>
        <w:rPr>
          <w:sz w:val="18"/>
        </w:rPr>
        <w:t>access.</w:t>
      </w:r>
    </w:p>
    <w:p>
      <w:pPr>
        <w:spacing w:after="0" w:line="240" w:lineRule="auto"/>
        <w:jc w:val="left"/>
        <w:rPr>
          <w:sz w:val="18"/>
        </w:rPr>
        <w:sectPr>
          <w:type w:val="continuous"/>
          <w:pgSz w:w="12240" w:h="15840"/>
          <w:pgMar w:header="765" w:footer="1127" w:top="1420" w:bottom="280" w:left="1120" w:right="1180"/>
          <w:cols w:num="2" w:equalWidth="0">
            <w:col w:w="4601" w:space="181"/>
            <w:col w:w="5158"/>
          </w:cols>
        </w:sectPr>
      </w:pPr>
    </w:p>
    <w:p>
      <w:pPr>
        <w:pStyle w:val="BodyText"/>
        <w:spacing w:before="9"/>
        <w:rPr>
          <w:sz w:val="12"/>
        </w:rPr>
      </w:pPr>
    </w:p>
    <w:p>
      <w:pPr>
        <w:spacing w:after="0"/>
        <w:rPr>
          <w:sz w:val="12"/>
        </w:rPr>
        <w:sectPr>
          <w:type w:val="continuous"/>
          <w:pgSz w:w="12240" w:h="15840"/>
          <w:pgMar w:header="765" w:footer="1127" w:top="1420" w:bottom="280" w:left="1120" w:right="1180"/>
        </w:sectPr>
      </w:pPr>
    </w:p>
    <w:p>
      <w:pPr>
        <w:spacing w:before="64"/>
        <w:ind w:left="387" w:right="0" w:firstLine="0"/>
        <w:jc w:val="center"/>
        <w:rPr>
          <w:b/>
          <w:sz w:val="18"/>
        </w:rPr>
      </w:pPr>
      <w:r>
        <w:rPr>
          <w:b/>
          <w:sz w:val="18"/>
        </w:rPr>
        <w:t>Employment</w:t>
      </w:r>
      <w:r>
        <w:rPr>
          <w:b/>
          <w:spacing w:val="-4"/>
          <w:sz w:val="18"/>
        </w:rPr>
        <w:t> </w:t>
      </w:r>
      <w:r>
        <w:rPr>
          <w:b/>
          <w:spacing w:val="-2"/>
          <w:sz w:val="18"/>
        </w:rPr>
        <w:t>Services</w:t>
      </w:r>
    </w:p>
    <w:p>
      <w:pPr>
        <w:spacing w:before="1"/>
        <w:ind w:left="384" w:right="0" w:firstLine="0"/>
        <w:jc w:val="center"/>
        <w:rPr>
          <w:sz w:val="18"/>
        </w:rPr>
      </w:pPr>
      <w:r>
        <w:rPr>
          <w:sz w:val="18"/>
        </w:rPr>
        <w:t>Connect</w:t>
      </w:r>
      <w:r>
        <w:rPr>
          <w:spacing w:val="-8"/>
          <w:sz w:val="18"/>
        </w:rPr>
        <w:t> </w:t>
      </w:r>
      <w:r>
        <w:rPr>
          <w:sz w:val="18"/>
        </w:rPr>
        <w:t>LGBTQ</w:t>
      </w:r>
      <w:r>
        <w:rPr>
          <w:spacing w:val="-8"/>
          <w:sz w:val="18"/>
        </w:rPr>
        <w:t> </w:t>
      </w:r>
      <w:r>
        <w:rPr>
          <w:sz w:val="18"/>
        </w:rPr>
        <w:t>youth</w:t>
      </w:r>
      <w:r>
        <w:rPr>
          <w:spacing w:val="-7"/>
          <w:sz w:val="18"/>
        </w:rPr>
        <w:t> </w:t>
      </w:r>
      <w:r>
        <w:rPr>
          <w:sz w:val="18"/>
        </w:rPr>
        <w:t>experiencing</w:t>
      </w:r>
      <w:r>
        <w:rPr>
          <w:spacing w:val="-7"/>
          <w:sz w:val="18"/>
        </w:rPr>
        <w:t> </w:t>
      </w:r>
      <w:r>
        <w:rPr>
          <w:sz w:val="18"/>
        </w:rPr>
        <w:t>homelessness</w:t>
      </w:r>
      <w:r>
        <w:rPr>
          <w:spacing w:val="-7"/>
          <w:sz w:val="18"/>
        </w:rPr>
        <w:t> </w:t>
      </w:r>
      <w:r>
        <w:rPr>
          <w:sz w:val="18"/>
        </w:rPr>
        <w:t>with</w:t>
      </w:r>
      <w:r>
        <w:rPr>
          <w:spacing w:val="-7"/>
          <w:sz w:val="18"/>
        </w:rPr>
        <w:t> </w:t>
      </w:r>
      <w:r>
        <w:rPr>
          <w:sz w:val="18"/>
        </w:rPr>
        <w:t>paid opportunities at local organizations and non-profits as a form of transitional employment across the </w:t>
      </w:r>
      <w:r>
        <w:rPr>
          <w:spacing w:val="-2"/>
          <w:sz w:val="18"/>
        </w:rPr>
        <w:t>Commonwealth.</w:t>
      </w:r>
    </w:p>
    <w:p>
      <w:pPr>
        <w:pStyle w:val="ListParagraph"/>
        <w:numPr>
          <w:ilvl w:val="1"/>
          <w:numId w:val="25"/>
        </w:numPr>
        <w:tabs>
          <w:tab w:pos="671" w:val="left" w:leader="none"/>
          <w:tab w:pos="1474" w:val="left" w:leader="none"/>
        </w:tabs>
        <w:spacing w:line="240" w:lineRule="auto" w:before="0" w:after="0"/>
        <w:ind w:left="1474" w:right="284" w:hanging="1163"/>
        <w:jc w:val="left"/>
        <w:rPr>
          <w:sz w:val="18"/>
        </w:rPr>
      </w:pPr>
      <w:r>
        <w:rPr>
          <w:sz w:val="18"/>
        </w:rPr>
        <w:t>Create</w:t>
      </w:r>
      <w:r>
        <w:rPr>
          <w:spacing w:val="-5"/>
          <w:sz w:val="18"/>
        </w:rPr>
        <w:t> </w:t>
      </w:r>
      <w:r>
        <w:rPr>
          <w:sz w:val="18"/>
        </w:rPr>
        <w:t>career</w:t>
      </w:r>
      <w:r>
        <w:rPr>
          <w:spacing w:val="-6"/>
          <w:sz w:val="18"/>
        </w:rPr>
        <w:t> </w:t>
      </w:r>
      <w:r>
        <w:rPr>
          <w:sz w:val="18"/>
        </w:rPr>
        <w:t>planning</w:t>
      </w:r>
      <w:r>
        <w:rPr>
          <w:spacing w:val="-5"/>
          <w:sz w:val="18"/>
        </w:rPr>
        <w:t> </w:t>
      </w:r>
      <w:r>
        <w:rPr>
          <w:sz w:val="18"/>
        </w:rPr>
        <w:t>services</w:t>
      </w:r>
      <w:r>
        <w:rPr>
          <w:spacing w:val="-5"/>
          <w:sz w:val="18"/>
        </w:rPr>
        <w:t> </w:t>
      </w:r>
      <w:r>
        <w:rPr>
          <w:sz w:val="18"/>
        </w:rPr>
        <w:t>for</w:t>
      </w:r>
      <w:r>
        <w:rPr>
          <w:spacing w:val="-6"/>
          <w:sz w:val="18"/>
        </w:rPr>
        <w:t> </w:t>
      </w:r>
      <w:r>
        <w:rPr>
          <w:sz w:val="18"/>
        </w:rPr>
        <w:t>LGBTQ</w:t>
      </w:r>
      <w:r>
        <w:rPr>
          <w:spacing w:val="-5"/>
          <w:sz w:val="18"/>
        </w:rPr>
        <w:t> </w:t>
      </w:r>
      <w:r>
        <w:rPr>
          <w:sz w:val="18"/>
        </w:rPr>
        <w:t>youth</w:t>
      </w:r>
      <w:r>
        <w:rPr>
          <w:spacing w:val="-6"/>
          <w:sz w:val="18"/>
        </w:rPr>
        <w:t> </w:t>
      </w:r>
      <w:r>
        <w:rPr>
          <w:sz w:val="18"/>
        </w:rPr>
        <w:t>for resilience and empowerment.</w:t>
      </w:r>
    </w:p>
    <w:p>
      <w:pPr>
        <w:spacing w:before="64"/>
        <w:ind w:left="1881" w:right="0" w:firstLine="0"/>
        <w:jc w:val="left"/>
        <w:rPr>
          <w:b/>
          <w:sz w:val="18"/>
        </w:rPr>
      </w:pPr>
      <w:r>
        <w:rPr/>
        <w:br w:type="column"/>
      </w:r>
      <w:r>
        <w:rPr>
          <w:b/>
          <w:sz w:val="18"/>
        </w:rPr>
        <w:t>Educational</w:t>
      </w:r>
      <w:r>
        <w:rPr>
          <w:b/>
          <w:spacing w:val="-7"/>
          <w:sz w:val="18"/>
        </w:rPr>
        <w:t> </w:t>
      </w:r>
      <w:r>
        <w:rPr>
          <w:b/>
          <w:spacing w:val="-2"/>
          <w:sz w:val="18"/>
        </w:rPr>
        <w:t>Services</w:t>
      </w:r>
    </w:p>
    <w:p>
      <w:pPr>
        <w:pStyle w:val="ListParagraph"/>
        <w:numPr>
          <w:ilvl w:val="0"/>
          <w:numId w:val="25"/>
        </w:numPr>
        <w:tabs>
          <w:tab w:pos="534" w:val="left" w:leader="none"/>
        </w:tabs>
        <w:spacing w:line="240" w:lineRule="auto" w:before="1" w:after="0"/>
        <w:ind w:left="534" w:right="0" w:hanging="360"/>
        <w:jc w:val="left"/>
        <w:rPr>
          <w:sz w:val="18"/>
        </w:rPr>
      </w:pPr>
      <w:r>
        <w:rPr/>
        <mc:AlternateContent>
          <mc:Choice Requires="wps">
            <w:drawing>
              <wp:anchor distT="0" distB="0" distL="0" distR="0" allowOverlap="1" layoutInCell="1" locked="0" behindDoc="1" simplePos="0" relativeHeight="482619392">
                <wp:simplePos x="0" y="0"/>
                <wp:positionH relativeFrom="page">
                  <wp:posOffset>3884676</wp:posOffset>
                </wp:positionH>
                <wp:positionV relativeFrom="paragraph">
                  <wp:posOffset>-139483</wp:posOffset>
                </wp:positionV>
                <wp:extent cx="12700" cy="118046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12700" cy="1180465"/>
                        </a:xfrm>
                        <a:custGeom>
                          <a:avLst/>
                          <a:gdLst/>
                          <a:ahLst/>
                          <a:cxnLst/>
                          <a:rect l="l" t="t" r="r" b="b"/>
                          <a:pathLst>
                            <a:path w="12700" h="1180465">
                              <a:moveTo>
                                <a:pt x="12179" y="0"/>
                              </a:moveTo>
                              <a:lnTo>
                                <a:pt x="0" y="0"/>
                              </a:lnTo>
                              <a:lnTo>
                                <a:pt x="0" y="1180338"/>
                              </a:lnTo>
                              <a:lnTo>
                                <a:pt x="12179" y="1180338"/>
                              </a:lnTo>
                              <a:lnTo>
                                <a:pt x="12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5.880005pt;margin-top:-10.982937pt;width:.959pt;height:92.94pt;mso-position-horizontal-relative:page;mso-position-vertical-relative:paragraph;z-index:-20697088" id="docshape292" filled="true" fillcolor="#ffffff" stroked="false">
                <v:fill type="solid"/>
                <w10:wrap type="none"/>
              </v:rect>
            </w:pict>
          </mc:Fallback>
        </mc:AlternateContent>
      </w:r>
      <w:r>
        <w:rPr>
          <w:sz w:val="18"/>
        </w:rPr>
        <w:t>Re-connect</w:t>
      </w:r>
      <w:r>
        <w:rPr>
          <w:spacing w:val="-4"/>
          <w:sz w:val="18"/>
        </w:rPr>
        <w:t> </w:t>
      </w:r>
      <w:r>
        <w:rPr>
          <w:sz w:val="18"/>
        </w:rPr>
        <w:t>LGBTQ</w:t>
      </w:r>
      <w:r>
        <w:rPr>
          <w:spacing w:val="-3"/>
          <w:sz w:val="18"/>
        </w:rPr>
        <w:t> </w:t>
      </w:r>
      <w:r>
        <w:rPr>
          <w:sz w:val="18"/>
        </w:rPr>
        <w:t>youth</w:t>
      </w:r>
      <w:r>
        <w:rPr>
          <w:spacing w:val="-2"/>
          <w:sz w:val="18"/>
        </w:rPr>
        <w:t> </w:t>
      </w:r>
      <w:r>
        <w:rPr>
          <w:sz w:val="18"/>
        </w:rPr>
        <w:t>with</w:t>
      </w:r>
      <w:r>
        <w:rPr>
          <w:spacing w:val="-3"/>
          <w:sz w:val="18"/>
        </w:rPr>
        <w:t> </w:t>
      </w:r>
      <w:r>
        <w:rPr>
          <w:sz w:val="18"/>
        </w:rPr>
        <w:t>local</w:t>
      </w:r>
      <w:r>
        <w:rPr>
          <w:spacing w:val="-4"/>
          <w:sz w:val="18"/>
        </w:rPr>
        <w:t> </w:t>
      </w:r>
      <w:r>
        <w:rPr>
          <w:sz w:val="18"/>
        </w:rPr>
        <w:t>public-school</w:t>
      </w:r>
      <w:r>
        <w:rPr>
          <w:spacing w:val="-2"/>
          <w:sz w:val="18"/>
        </w:rPr>
        <w:t> systems</w:t>
      </w:r>
    </w:p>
    <w:p>
      <w:pPr>
        <w:spacing w:before="0"/>
        <w:ind w:left="481" w:right="340" w:firstLine="0"/>
        <w:jc w:val="center"/>
        <w:rPr>
          <w:sz w:val="18"/>
        </w:rPr>
      </w:pPr>
      <w:r>
        <w:rPr>
          <w:sz w:val="18"/>
        </w:rPr>
        <w:t>or</w:t>
      </w:r>
      <w:r>
        <w:rPr>
          <w:spacing w:val="-2"/>
          <w:sz w:val="18"/>
        </w:rPr>
        <w:t> </w:t>
      </w:r>
      <w:r>
        <w:rPr>
          <w:sz w:val="18"/>
        </w:rPr>
        <w:t>GED</w:t>
      </w:r>
      <w:r>
        <w:rPr>
          <w:spacing w:val="-2"/>
          <w:sz w:val="18"/>
        </w:rPr>
        <w:t> programs.</w:t>
      </w:r>
    </w:p>
    <w:p>
      <w:pPr>
        <w:spacing w:before="0"/>
        <w:ind w:left="481" w:right="337" w:firstLine="0"/>
        <w:jc w:val="center"/>
        <w:rPr>
          <w:sz w:val="18"/>
        </w:rPr>
      </w:pPr>
      <w:r>
        <w:rPr>
          <w:sz w:val="18"/>
        </w:rPr>
        <w:t>Provide</w:t>
      </w:r>
      <w:r>
        <w:rPr>
          <w:spacing w:val="-6"/>
          <w:sz w:val="18"/>
        </w:rPr>
        <w:t> </w:t>
      </w:r>
      <w:r>
        <w:rPr>
          <w:sz w:val="18"/>
        </w:rPr>
        <w:t>peer</w:t>
      </w:r>
      <w:r>
        <w:rPr>
          <w:spacing w:val="-6"/>
          <w:sz w:val="18"/>
        </w:rPr>
        <w:t> </w:t>
      </w:r>
      <w:r>
        <w:rPr>
          <w:sz w:val="18"/>
        </w:rPr>
        <w:t>education</w:t>
      </w:r>
      <w:r>
        <w:rPr>
          <w:spacing w:val="-6"/>
          <w:sz w:val="18"/>
        </w:rPr>
        <w:t> </w:t>
      </w:r>
      <w:r>
        <w:rPr>
          <w:sz w:val="18"/>
        </w:rPr>
        <w:t>services</w:t>
      </w:r>
      <w:r>
        <w:rPr>
          <w:spacing w:val="-6"/>
          <w:sz w:val="18"/>
        </w:rPr>
        <w:t> </w:t>
      </w:r>
      <w:r>
        <w:rPr>
          <w:sz w:val="18"/>
        </w:rPr>
        <w:t>to</w:t>
      </w:r>
      <w:r>
        <w:rPr>
          <w:spacing w:val="-6"/>
          <w:sz w:val="18"/>
        </w:rPr>
        <w:t> </w:t>
      </w:r>
      <w:r>
        <w:rPr>
          <w:sz w:val="18"/>
        </w:rPr>
        <w:t>empower</w:t>
      </w:r>
      <w:r>
        <w:rPr>
          <w:spacing w:val="-6"/>
          <w:sz w:val="18"/>
        </w:rPr>
        <w:t> </w:t>
      </w:r>
      <w:r>
        <w:rPr>
          <w:sz w:val="18"/>
        </w:rPr>
        <w:t>LGBTQ</w:t>
      </w:r>
      <w:r>
        <w:rPr>
          <w:spacing w:val="-6"/>
          <w:sz w:val="18"/>
        </w:rPr>
        <w:t> </w:t>
      </w:r>
      <w:r>
        <w:rPr>
          <w:sz w:val="18"/>
        </w:rPr>
        <w:t>youth in their identity.</w:t>
      </w:r>
    </w:p>
    <w:p>
      <w:pPr>
        <w:pStyle w:val="ListParagraph"/>
        <w:numPr>
          <w:ilvl w:val="0"/>
          <w:numId w:val="25"/>
        </w:numPr>
        <w:tabs>
          <w:tab w:pos="597" w:val="left" w:leader="none"/>
          <w:tab w:pos="729" w:val="left" w:leader="none"/>
        </w:tabs>
        <w:spacing w:line="240" w:lineRule="auto" w:before="0" w:after="0"/>
        <w:ind w:left="729" w:right="454" w:hanging="492"/>
        <w:jc w:val="left"/>
        <w:rPr>
          <w:sz w:val="18"/>
        </w:rPr>
      </w:pPr>
      <w:r>
        <w:rPr>
          <w:sz w:val="18"/>
        </w:rPr>
        <w:t>Develop</w:t>
      </w:r>
      <w:r>
        <w:rPr>
          <w:spacing w:val="-6"/>
          <w:sz w:val="18"/>
        </w:rPr>
        <w:t> </w:t>
      </w:r>
      <w:r>
        <w:rPr>
          <w:sz w:val="18"/>
        </w:rPr>
        <w:t>programming</w:t>
      </w:r>
      <w:r>
        <w:rPr>
          <w:spacing w:val="-6"/>
          <w:sz w:val="18"/>
        </w:rPr>
        <w:t> </w:t>
      </w:r>
      <w:r>
        <w:rPr>
          <w:sz w:val="18"/>
        </w:rPr>
        <w:t>for</w:t>
      </w:r>
      <w:r>
        <w:rPr>
          <w:spacing w:val="-7"/>
          <w:sz w:val="18"/>
        </w:rPr>
        <w:t> </w:t>
      </w:r>
      <w:r>
        <w:rPr>
          <w:sz w:val="18"/>
        </w:rPr>
        <w:t>LGBTQ</w:t>
      </w:r>
      <w:r>
        <w:rPr>
          <w:spacing w:val="-6"/>
          <w:sz w:val="18"/>
        </w:rPr>
        <w:t> </w:t>
      </w:r>
      <w:r>
        <w:rPr>
          <w:sz w:val="18"/>
        </w:rPr>
        <w:t>youth</w:t>
      </w:r>
      <w:r>
        <w:rPr>
          <w:spacing w:val="-6"/>
          <w:sz w:val="18"/>
        </w:rPr>
        <w:t> </w:t>
      </w:r>
      <w:r>
        <w:rPr>
          <w:sz w:val="18"/>
        </w:rPr>
        <w:t>to</w:t>
      </w:r>
      <w:r>
        <w:rPr>
          <w:spacing w:val="-6"/>
          <w:sz w:val="18"/>
        </w:rPr>
        <w:t> </w:t>
      </w:r>
      <w:r>
        <w:rPr>
          <w:sz w:val="18"/>
        </w:rPr>
        <w:t>gain</w:t>
      </w:r>
      <w:r>
        <w:rPr>
          <w:spacing w:val="-6"/>
          <w:sz w:val="18"/>
        </w:rPr>
        <w:t> </w:t>
      </w:r>
      <w:r>
        <w:rPr>
          <w:sz w:val="18"/>
        </w:rPr>
        <w:t>financial empowerment and steps to securing stable housing.</w:t>
      </w:r>
    </w:p>
    <w:p>
      <w:pPr>
        <w:spacing w:after="0" w:line="240" w:lineRule="auto"/>
        <w:jc w:val="left"/>
        <w:rPr>
          <w:sz w:val="18"/>
        </w:rPr>
        <w:sectPr>
          <w:type w:val="continuous"/>
          <w:pgSz w:w="12240" w:h="15840"/>
          <w:pgMar w:header="765" w:footer="1127" w:top="1420" w:bottom="280" w:left="1120" w:right="1180"/>
          <w:cols w:num="2" w:equalWidth="0">
            <w:col w:w="4754" w:space="40"/>
            <w:col w:w="5146"/>
          </w:cols>
        </w:sectPr>
      </w:pPr>
    </w:p>
    <w:p>
      <w:pPr>
        <w:pStyle w:val="BodyText"/>
        <w:spacing w:before="132"/>
        <w:rPr>
          <w:sz w:val="20"/>
        </w:rPr>
      </w:pPr>
    </w:p>
    <w:p>
      <w:pPr>
        <w:spacing w:after="0"/>
        <w:rPr>
          <w:sz w:val="20"/>
        </w:rPr>
        <w:sectPr>
          <w:type w:val="continuous"/>
          <w:pgSz w:w="12240" w:h="15840"/>
          <w:pgMar w:header="765" w:footer="1127" w:top="1420" w:bottom="280" w:left="1120" w:right="1180"/>
        </w:sectPr>
      </w:pPr>
    </w:p>
    <w:p>
      <w:pPr>
        <w:spacing w:before="64"/>
        <w:ind w:left="1646" w:right="0" w:firstLine="0"/>
        <w:jc w:val="left"/>
        <w:rPr>
          <w:b/>
          <w:sz w:val="18"/>
        </w:rPr>
      </w:pPr>
      <w:r>
        <w:rPr>
          <w:b/>
          <w:sz w:val="18"/>
        </w:rPr>
        <w:t>LGBTQ</w:t>
      </w:r>
      <w:r>
        <w:rPr>
          <w:b/>
          <w:spacing w:val="-3"/>
          <w:sz w:val="18"/>
        </w:rPr>
        <w:t> </w:t>
      </w:r>
      <w:r>
        <w:rPr>
          <w:b/>
          <w:sz w:val="18"/>
        </w:rPr>
        <w:t>Inclusive</w:t>
      </w:r>
      <w:r>
        <w:rPr>
          <w:b/>
          <w:spacing w:val="-3"/>
          <w:sz w:val="18"/>
        </w:rPr>
        <w:t> </w:t>
      </w:r>
      <w:r>
        <w:rPr>
          <w:b/>
          <w:spacing w:val="-2"/>
          <w:sz w:val="18"/>
        </w:rPr>
        <w:t>Training</w:t>
      </w:r>
    </w:p>
    <w:p>
      <w:pPr>
        <w:pStyle w:val="ListParagraph"/>
        <w:numPr>
          <w:ilvl w:val="0"/>
          <w:numId w:val="25"/>
        </w:numPr>
        <w:tabs>
          <w:tab w:pos="528" w:val="left" w:leader="none"/>
          <w:tab w:pos="591" w:val="left" w:leader="none"/>
        </w:tabs>
        <w:spacing w:line="240" w:lineRule="auto" w:before="0" w:after="0"/>
        <w:ind w:left="591" w:right="172" w:hanging="423"/>
        <w:jc w:val="left"/>
        <w:rPr>
          <w:sz w:val="18"/>
        </w:rPr>
      </w:pPr>
      <w:r>
        <w:rPr>
          <w:sz w:val="18"/>
        </w:rPr>
        <w:t>Develop</w:t>
      </w:r>
      <w:r>
        <w:rPr>
          <w:spacing w:val="-6"/>
          <w:sz w:val="18"/>
        </w:rPr>
        <w:t> </w:t>
      </w:r>
      <w:r>
        <w:rPr>
          <w:sz w:val="18"/>
        </w:rPr>
        <w:t>LGBTQ</w:t>
      </w:r>
      <w:r>
        <w:rPr>
          <w:spacing w:val="-8"/>
          <w:sz w:val="18"/>
        </w:rPr>
        <w:t> </w:t>
      </w:r>
      <w:r>
        <w:rPr>
          <w:sz w:val="18"/>
        </w:rPr>
        <w:t>cultural</w:t>
      </w:r>
      <w:r>
        <w:rPr>
          <w:spacing w:val="-6"/>
          <w:sz w:val="18"/>
        </w:rPr>
        <w:t> </w:t>
      </w:r>
      <w:r>
        <w:rPr>
          <w:sz w:val="18"/>
        </w:rPr>
        <w:t>competency</w:t>
      </w:r>
      <w:r>
        <w:rPr>
          <w:spacing w:val="-6"/>
          <w:sz w:val="18"/>
        </w:rPr>
        <w:t> </w:t>
      </w:r>
      <w:r>
        <w:rPr>
          <w:sz w:val="18"/>
        </w:rPr>
        <w:t>training</w:t>
      </w:r>
      <w:r>
        <w:rPr>
          <w:spacing w:val="-6"/>
          <w:sz w:val="18"/>
        </w:rPr>
        <w:t> </w:t>
      </w:r>
      <w:r>
        <w:rPr>
          <w:sz w:val="18"/>
        </w:rPr>
        <w:t>in</w:t>
      </w:r>
      <w:r>
        <w:rPr>
          <w:spacing w:val="-6"/>
          <w:sz w:val="18"/>
        </w:rPr>
        <w:t> </w:t>
      </w:r>
      <w:r>
        <w:rPr>
          <w:sz w:val="18"/>
        </w:rPr>
        <w:t>shelters and drop-in centers to provide safer spaces for LGBTQ</w:t>
      </w:r>
    </w:p>
    <w:p>
      <w:pPr>
        <w:spacing w:before="0"/>
        <w:ind w:left="2333" w:right="0" w:hanging="1916"/>
        <w:jc w:val="left"/>
        <w:rPr>
          <w:sz w:val="18"/>
        </w:rPr>
      </w:pPr>
      <w:r>
        <w:rPr>
          <w:sz w:val="18"/>
        </w:rPr>
        <w:t>youth</w:t>
      </w:r>
      <w:r>
        <w:rPr>
          <w:spacing w:val="-7"/>
          <w:sz w:val="18"/>
        </w:rPr>
        <w:t> </w:t>
      </w:r>
      <w:r>
        <w:rPr>
          <w:sz w:val="18"/>
        </w:rPr>
        <w:t>experiencing</w:t>
      </w:r>
      <w:r>
        <w:rPr>
          <w:spacing w:val="-7"/>
          <w:sz w:val="18"/>
        </w:rPr>
        <w:t> </w:t>
      </w:r>
      <w:r>
        <w:rPr>
          <w:sz w:val="18"/>
        </w:rPr>
        <w:t>homelessness;</w:t>
      </w:r>
      <w:r>
        <w:rPr>
          <w:spacing w:val="-7"/>
          <w:sz w:val="18"/>
        </w:rPr>
        <w:t> </w:t>
      </w:r>
      <w:r>
        <w:rPr>
          <w:sz w:val="18"/>
        </w:rPr>
        <w:t>specifically</w:t>
      </w:r>
      <w:r>
        <w:rPr>
          <w:spacing w:val="-7"/>
          <w:sz w:val="18"/>
        </w:rPr>
        <w:t> </w:t>
      </w:r>
      <w:r>
        <w:rPr>
          <w:sz w:val="18"/>
        </w:rPr>
        <w:t>for</w:t>
      </w:r>
      <w:r>
        <w:rPr>
          <w:spacing w:val="-7"/>
          <w:sz w:val="18"/>
        </w:rPr>
        <w:t> </w:t>
      </w:r>
      <w:r>
        <w:rPr>
          <w:sz w:val="18"/>
        </w:rPr>
        <w:t>QTBIPOC </w:t>
      </w:r>
      <w:r>
        <w:rPr>
          <w:spacing w:val="-2"/>
          <w:sz w:val="18"/>
        </w:rPr>
        <w:t>youth.</w:t>
      </w:r>
    </w:p>
    <w:p>
      <w:pPr>
        <w:spacing w:before="0"/>
        <w:ind w:left="2264" w:right="0" w:hanging="1869"/>
        <w:jc w:val="left"/>
        <w:rPr>
          <w:sz w:val="18"/>
        </w:rPr>
      </w:pPr>
      <w:r>
        <w:rPr>
          <w:sz w:val="18"/>
        </w:rPr>
        <w:t>Require</w:t>
      </w:r>
      <w:r>
        <w:rPr>
          <w:spacing w:val="-4"/>
          <w:sz w:val="18"/>
        </w:rPr>
        <w:t> </w:t>
      </w:r>
      <w:r>
        <w:rPr>
          <w:sz w:val="18"/>
        </w:rPr>
        <w:t>all</w:t>
      </w:r>
      <w:r>
        <w:rPr>
          <w:spacing w:val="-5"/>
          <w:sz w:val="18"/>
        </w:rPr>
        <w:t> </w:t>
      </w:r>
      <w:r>
        <w:rPr>
          <w:sz w:val="18"/>
        </w:rPr>
        <w:t>staff</w:t>
      </w:r>
      <w:r>
        <w:rPr>
          <w:spacing w:val="-4"/>
          <w:sz w:val="18"/>
        </w:rPr>
        <w:t> </w:t>
      </w:r>
      <w:r>
        <w:rPr>
          <w:sz w:val="18"/>
        </w:rPr>
        <w:t>in</w:t>
      </w:r>
      <w:r>
        <w:rPr>
          <w:spacing w:val="-4"/>
          <w:sz w:val="18"/>
        </w:rPr>
        <w:t> </w:t>
      </w:r>
      <w:r>
        <w:rPr>
          <w:sz w:val="18"/>
        </w:rPr>
        <w:t>shelters</w:t>
      </w:r>
      <w:r>
        <w:rPr>
          <w:spacing w:val="-4"/>
          <w:sz w:val="18"/>
        </w:rPr>
        <w:t> </w:t>
      </w:r>
      <w:r>
        <w:rPr>
          <w:sz w:val="18"/>
        </w:rPr>
        <w:t>and</w:t>
      </w:r>
      <w:r>
        <w:rPr>
          <w:spacing w:val="-4"/>
          <w:sz w:val="18"/>
        </w:rPr>
        <w:t> </w:t>
      </w:r>
      <w:r>
        <w:rPr>
          <w:sz w:val="18"/>
        </w:rPr>
        <w:t>drop-in</w:t>
      </w:r>
      <w:r>
        <w:rPr>
          <w:spacing w:val="-4"/>
          <w:sz w:val="18"/>
        </w:rPr>
        <w:t> </w:t>
      </w:r>
      <w:r>
        <w:rPr>
          <w:sz w:val="18"/>
        </w:rPr>
        <w:t>centers</w:t>
      </w:r>
      <w:r>
        <w:rPr>
          <w:spacing w:val="-4"/>
          <w:sz w:val="18"/>
        </w:rPr>
        <w:t> </w:t>
      </w:r>
      <w:r>
        <w:rPr>
          <w:sz w:val="18"/>
        </w:rPr>
        <w:t>to</w:t>
      </w:r>
      <w:r>
        <w:rPr>
          <w:spacing w:val="-4"/>
          <w:sz w:val="18"/>
        </w:rPr>
        <w:t> </w:t>
      </w:r>
      <w:r>
        <w:rPr>
          <w:sz w:val="18"/>
        </w:rPr>
        <w:t>complete </w:t>
      </w:r>
      <w:r>
        <w:rPr>
          <w:spacing w:val="-2"/>
          <w:sz w:val="18"/>
        </w:rPr>
        <w:t>training.</w:t>
      </w:r>
    </w:p>
    <w:p>
      <w:pPr>
        <w:spacing w:before="64"/>
        <w:ind w:left="1642" w:right="0" w:firstLine="0"/>
        <w:jc w:val="left"/>
        <w:rPr>
          <w:b/>
          <w:sz w:val="18"/>
        </w:rPr>
      </w:pPr>
      <w:r>
        <w:rPr/>
        <w:br w:type="column"/>
      </w:r>
      <w:r>
        <w:rPr>
          <w:b/>
          <w:sz w:val="18"/>
        </w:rPr>
        <w:t>Family</w:t>
      </w:r>
      <w:r>
        <w:rPr>
          <w:b/>
          <w:spacing w:val="-3"/>
          <w:sz w:val="18"/>
        </w:rPr>
        <w:t> </w:t>
      </w:r>
      <w:r>
        <w:rPr>
          <w:b/>
          <w:sz w:val="18"/>
        </w:rPr>
        <w:t>Support</w:t>
      </w:r>
      <w:r>
        <w:rPr>
          <w:b/>
          <w:spacing w:val="-3"/>
          <w:sz w:val="18"/>
        </w:rPr>
        <w:t> </w:t>
      </w:r>
      <w:r>
        <w:rPr>
          <w:b/>
          <w:spacing w:val="-2"/>
          <w:sz w:val="18"/>
        </w:rPr>
        <w:t>Services</w:t>
      </w:r>
    </w:p>
    <w:p>
      <w:pPr>
        <w:pStyle w:val="ListParagraph"/>
        <w:numPr>
          <w:ilvl w:val="0"/>
          <w:numId w:val="25"/>
        </w:numPr>
        <w:tabs>
          <w:tab w:pos="441" w:val="left" w:leader="none"/>
          <w:tab w:pos="564" w:val="left" w:leader="none"/>
        </w:tabs>
        <w:spacing w:line="240" w:lineRule="auto" w:before="0" w:after="0"/>
        <w:ind w:left="441" w:right="410" w:hanging="237"/>
        <w:jc w:val="left"/>
        <w:rPr>
          <w:sz w:val="18"/>
        </w:rPr>
      </w:pPr>
      <w:r>
        <w:rPr>
          <w:sz w:val="18"/>
        </w:rPr>
        <w:tab/>
        <w:t>Promote interventions of family acceptance of LGBTQ youth</w:t>
      </w:r>
      <w:r>
        <w:rPr>
          <w:spacing w:val="-5"/>
          <w:sz w:val="18"/>
        </w:rPr>
        <w:t> </w:t>
      </w:r>
      <w:r>
        <w:rPr>
          <w:sz w:val="18"/>
        </w:rPr>
        <w:t>identity</w:t>
      </w:r>
      <w:r>
        <w:rPr>
          <w:spacing w:val="-5"/>
          <w:sz w:val="18"/>
        </w:rPr>
        <w:t> </w:t>
      </w:r>
      <w:r>
        <w:rPr>
          <w:sz w:val="18"/>
        </w:rPr>
        <w:t>to</w:t>
      </w:r>
      <w:r>
        <w:rPr>
          <w:spacing w:val="-5"/>
          <w:sz w:val="18"/>
        </w:rPr>
        <w:t> </w:t>
      </w:r>
      <w:r>
        <w:rPr>
          <w:sz w:val="18"/>
        </w:rPr>
        <w:t>combat</w:t>
      </w:r>
      <w:r>
        <w:rPr>
          <w:spacing w:val="-5"/>
          <w:sz w:val="18"/>
        </w:rPr>
        <w:t> </w:t>
      </w:r>
      <w:r>
        <w:rPr>
          <w:sz w:val="18"/>
        </w:rPr>
        <w:t>the</w:t>
      </w:r>
      <w:r>
        <w:rPr>
          <w:spacing w:val="-5"/>
          <w:sz w:val="18"/>
        </w:rPr>
        <w:t> </w:t>
      </w:r>
      <w:r>
        <w:rPr>
          <w:sz w:val="18"/>
        </w:rPr>
        <w:t>main</w:t>
      </w:r>
      <w:r>
        <w:rPr>
          <w:spacing w:val="-5"/>
          <w:sz w:val="18"/>
        </w:rPr>
        <w:t> </w:t>
      </w:r>
      <w:r>
        <w:rPr>
          <w:sz w:val="18"/>
        </w:rPr>
        <w:t>driver</w:t>
      </w:r>
      <w:r>
        <w:rPr>
          <w:spacing w:val="-5"/>
          <w:sz w:val="18"/>
        </w:rPr>
        <w:t> </w:t>
      </w:r>
      <w:r>
        <w:rPr>
          <w:sz w:val="18"/>
        </w:rPr>
        <w:t>of</w:t>
      </w:r>
      <w:r>
        <w:rPr>
          <w:spacing w:val="-5"/>
          <w:sz w:val="18"/>
        </w:rPr>
        <w:t> </w:t>
      </w:r>
      <w:r>
        <w:rPr>
          <w:sz w:val="18"/>
        </w:rPr>
        <w:t>LGBTQ</w:t>
      </w:r>
      <w:r>
        <w:rPr>
          <w:spacing w:val="-5"/>
          <w:sz w:val="18"/>
        </w:rPr>
        <w:t> </w:t>
      </w:r>
      <w:r>
        <w:rPr>
          <w:sz w:val="18"/>
        </w:rPr>
        <w:t>youth</w:t>
      </w:r>
    </w:p>
    <w:p>
      <w:pPr>
        <w:spacing w:line="219" w:lineRule="exact" w:before="0"/>
        <w:ind w:left="2000" w:right="0" w:firstLine="0"/>
        <w:jc w:val="left"/>
        <w:rPr>
          <w:sz w:val="18"/>
        </w:rPr>
      </w:pPr>
      <w:r>
        <w:rPr>
          <w:spacing w:val="-2"/>
          <w:sz w:val="18"/>
        </w:rPr>
        <w:t>homelessness.</w:t>
      </w:r>
    </w:p>
    <w:p>
      <w:pPr>
        <w:pStyle w:val="ListParagraph"/>
        <w:numPr>
          <w:ilvl w:val="0"/>
          <w:numId w:val="25"/>
        </w:numPr>
        <w:tabs>
          <w:tab w:pos="383" w:val="left" w:leader="none"/>
          <w:tab w:pos="528" w:val="left" w:leader="none"/>
        </w:tabs>
        <w:spacing w:line="240" w:lineRule="auto" w:before="0" w:after="0"/>
        <w:ind w:left="383" w:right="353" w:hanging="215"/>
        <w:jc w:val="left"/>
        <w:rPr>
          <w:sz w:val="18"/>
        </w:rPr>
      </w:pPr>
      <w:r>
        <w:rPr>
          <w:sz w:val="18"/>
        </w:rPr>
        <w:tab/>
        <w:t>Urge the Department of Children and Families (DCF) to support</w:t>
      </w:r>
      <w:r>
        <w:rPr>
          <w:spacing w:val="-5"/>
          <w:sz w:val="18"/>
        </w:rPr>
        <w:t> </w:t>
      </w:r>
      <w:r>
        <w:rPr>
          <w:sz w:val="18"/>
        </w:rPr>
        <w:t>and</w:t>
      </w:r>
      <w:r>
        <w:rPr>
          <w:spacing w:val="-4"/>
          <w:sz w:val="18"/>
        </w:rPr>
        <w:t> </w:t>
      </w:r>
      <w:r>
        <w:rPr>
          <w:sz w:val="18"/>
        </w:rPr>
        <w:t>train</w:t>
      </w:r>
      <w:r>
        <w:rPr>
          <w:spacing w:val="-4"/>
          <w:sz w:val="18"/>
        </w:rPr>
        <w:t> </w:t>
      </w:r>
      <w:r>
        <w:rPr>
          <w:sz w:val="18"/>
        </w:rPr>
        <w:t>DCF</w:t>
      </w:r>
      <w:r>
        <w:rPr>
          <w:spacing w:val="-4"/>
          <w:sz w:val="18"/>
        </w:rPr>
        <w:t> </w:t>
      </w:r>
      <w:r>
        <w:rPr>
          <w:sz w:val="18"/>
        </w:rPr>
        <w:t>staff</w:t>
      </w:r>
      <w:r>
        <w:rPr>
          <w:spacing w:val="-4"/>
          <w:sz w:val="18"/>
        </w:rPr>
        <w:t> </w:t>
      </w:r>
      <w:r>
        <w:rPr>
          <w:sz w:val="18"/>
        </w:rPr>
        <w:t>and</w:t>
      </w:r>
      <w:r>
        <w:rPr>
          <w:spacing w:val="-4"/>
          <w:sz w:val="18"/>
        </w:rPr>
        <w:t> </w:t>
      </w:r>
      <w:r>
        <w:rPr>
          <w:sz w:val="18"/>
        </w:rPr>
        <w:t>foster</w:t>
      </w:r>
      <w:r>
        <w:rPr>
          <w:spacing w:val="-5"/>
          <w:sz w:val="18"/>
        </w:rPr>
        <w:t> </w:t>
      </w:r>
      <w:r>
        <w:rPr>
          <w:sz w:val="18"/>
        </w:rPr>
        <w:t>parents</w:t>
      </w:r>
      <w:r>
        <w:rPr>
          <w:spacing w:val="-4"/>
          <w:sz w:val="18"/>
        </w:rPr>
        <w:t> </w:t>
      </w:r>
      <w:r>
        <w:rPr>
          <w:sz w:val="18"/>
        </w:rPr>
        <w:t>on</w:t>
      </w:r>
      <w:r>
        <w:rPr>
          <w:spacing w:val="-5"/>
          <w:sz w:val="18"/>
        </w:rPr>
        <w:t> </w:t>
      </w:r>
      <w:r>
        <w:rPr>
          <w:sz w:val="18"/>
        </w:rPr>
        <w:t>affirming</w:t>
      </w:r>
    </w:p>
    <w:p>
      <w:pPr>
        <w:spacing w:line="219" w:lineRule="exact" w:before="0"/>
        <w:ind w:left="599" w:right="0" w:firstLine="0"/>
        <w:jc w:val="left"/>
        <w:rPr>
          <w:sz w:val="18"/>
        </w:rPr>
      </w:pPr>
      <w:r>
        <w:rPr>
          <w:sz w:val="18"/>
        </w:rPr>
        <w:t>behaviors</w:t>
      </w:r>
      <w:r>
        <w:rPr>
          <w:spacing w:val="-5"/>
          <w:sz w:val="18"/>
        </w:rPr>
        <w:t> </w:t>
      </w:r>
      <w:r>
        <w:rPr>
          <w:sz w:val="18"/>
        </w:rPr>
        <w:t>for</w:t>
      </w:r>
      <w:r>
        <w:rPr>
          <w:spacing w:val="-2"/>
          <w:sz w:val="18"/>
        </w:rPr>
        <w:t> </w:t>
      </w:r>
      <w:r>
        <w:rPr>
          <w:sz w:val="18"/>
        </w:rPr>
        <w:t>LGBTQ</w:t>
      </w:r>
      <w:r>
        <w:rPr>
          <w:spacing w:val="-2"/>
          <w:sz w:val="18"/>
        </w:rPr>
        <w:t> </w:t>
      </w:r>
      <w:r>
        <w:rPr>
          <w:sz w:val="18"/>
        </w:rPr>
        <w:t>youth</w:t>
      </w:r>
      <w:r>
        <w:rPr>
          <w:spacing w:val="-2"/>
          <w:sz w:val="18"/>
        </w:rPr>
        <w:t> </w:t>
      </w:r>
      <w:r>
        <w:rPr>
          <w:sz w:val="18"/>
        </w:rPr>
        <w:t>in</w:t>
      </w:r>
      <w:r>
        <w:rPr>
          <w:spacing w:val="-3"/>
          <w:sz w:val="18"/>
        </w:rPr>
        <w:t> </w:t>
      </w:r>
      <w:r>
        <w:rPr>
          <w:sz w:val="18"/>
        </w:rPr>
        <w:t>the</w:t>
      </w:r>
      <w:r>
        <w:rPr>
          <w:spacing w:val="-2"/>
          <w:sz w:val="18"/>
        </w:rPr>
        <w:t> </w:t>
      </w:r>
      <w:r>
        <w:rPr>
          <w:sz w:val="18"/>
        </w:rPr>
        <w:t>foster</w:t>
      </w:r>
      <w:r>
        <w:rPr>
          <w:spacing w:val="-2"/>
          <w:sz w:val="18"/>
        </w:rPr>
        <w:t> </w:t>
      </w:r>
      <w:r>
        <w:rPr>
          <w:sz w:val="18"/>
        </w:rPr>
        <w:t>care</w:t>
      </w:r>
      <w:r>
        <w:rPr>
          <w:spacing w:val="-2"/>
          <w:sz w:val="18"/>
        </w:rPr>
        <w:t> system.</w:t>
      </w:r>
    </w:p>
    <w:p>
      <w:pPr>
        <w:spacing w:after="0" w:line="219" w:lineRule="exact"/>
        <w:jc w:val="left"/>
        <w:rPr>
          <w:sz w:val="18"/>
        </w:rPr>
        <w:sectPr>
          <w:type w:val="continuous"/>
          <w:pgSz w:w="12240" w:h="15840"/>
          <w:pgMar w:header="765" w:footer="1127" w:top="1420" w:bottom="280" w:left="1120" w:right="1180"/>
          <w:cols w:num="2" w:equalWidth="0">
            <w:col w:w="4785" w:space="121"/>
            <w:col w:w="5034"/>
          </w:cols>
        </w:sectPr>
      </w:pPr>
    </w:p>
    <w:p>
      <w:pPr>
        <w:spacing w:before="90"/>
        <w:ind w:left="464" w:right="0" w:firstLine="0"/>
        <w:jc w:val="both"/>
        <w:rPr>
          <w:sz w:val="24"/>
        </w:rPr>
      </w:pPr>
      <w:bookmarkStart w:name="Limitations in Homelessness and Housing " w:id="494"/>
      <w:bookmarkEnd w:id="494"/>
      <w:r>
        <w:rPr/>
      </w:r>
      <w:r>
        <w:rPr>
          <w:color w:val="365F91"/>
          <w:sz w:val="24"/>
        </w:rPr>
        <w:t>Limitations</w:t>
      </w:r>
      <w:r>
        <w:rPr>
          <w:color w:val="365F91"/>
          <w:spacing w:val="-6"/>
          <w:sz w:val="24"/>
        </w:rPr>
        <w:t> </w:t>
      </w:r>
      <w:r>
        <w:rPr>
          <w:color w:val="365F91"/>
          <w:sz w:val="24"/>
        </w:rPr>
        <w:t>in</w:t>
      </w:r>
      <w:r>
        <w:rPr>
          <w:color w:val="365F91"/>
          <w:spacing w:val="-4"/>
          <w:sz w:val="24"/>
        </w:rPr>
        <w:t> </w:t>
      </w:r>
      <w:r>
        <w:rPr>
          <w:color w:val="365F91"/>
          <w:sz w:val="24"/>
        </w:rPr>
        <w:t>Homelessness</w:t>
      </w:r>
      <w:r>
        <w:rPr>
          <w:color w:val="365F91"/>
          <w:spacing w:val="-4"/>
          <w:sz w:val="24"/>
        </w:rPr>
        <w:t> </w:t>
      </w:r>
      <w:r>
        <w:rPr>
          <w:color w:val="365F91"/>
          <w:sz w:val="24"/>
        </w:rPr>
        <w:t>and</w:t>
      </w:r>
      <w:r>
        <w:rPr>
          <w:color w:val="365F91"/>
          <w:spacing w:val="-4"/>
          <w:sz w:val="24"/>
        </w:rPr>
        <w:t> </w:t>
      </w:r>
      <w:r>
        <w:rPr>
          <w:color w:val="365F91"/>
          <w:sz w:val="24"/>
        </w:rPr>
        <w:t>Housing</w:t>
      </w:r>
      <w:r>
        <w:rPr>
          <w:color w:val="365F91"/>
          <w:spacing w:val="-4"/>
          <w:sz w:val="24"/>
        </w:rPr>
        <w:t> </w:t>
      </w:r>
      <w:r>
        <w:rPr>
          <w:color w:val="365F91"/>
          <w:sz w:val="24"/>
        </w:rPr>
        <w:t>Insecurity</w:t>
      </w:r>
      <w:r>
        <w:rPr>
          <w:color w:val="365F91"/>
          <w:spacing w:val="-3"/>
          <w:sz w:val="24"/>
        </w:rPr>
        <w:t> </w:t>
      </w:r>
      <w:r>
        <w:rPr>
          <w:color w:val="365F91"/>
          <w:spacing w:val="-4"/>
          <w:sz w:val="24"/>
        </w:rPr>
        <w:t>Data</w:t>
      </w:r>
    </w:p>
    <w:p>
      <w:pPr>
        <w:spacing w:line="276" w:lineRule="auto" w:before="285"/>
        <w:ind w:left="463" w:right="400" w:firstLine="0"/>
        <w:jc w:val="both"/>
        <w:rPr>
          <w:sz w:val="21"/>
        </w:rPr>
      </w:pPr>
      <w:r>
        <w:rPr>
          <w:sz w:val="21"/>
        </w:rPr>
        <w:t>There are several limitations in data reporting addressed in this report. Specifically, data collection and reporting on LGBTQ youth homelessness and housing insecurity tend to underestimate the actual prevalence of homelessness. One major issue is the lack of a nationally standardized definition for unaccompanied youth homelessness, leading to inconsistencies in reporting. Additionally, common data collection</w:t>
      </w:r>
      <w:r>
        <w:rPr>
          <w:spacing w:val="-11"/>
          <w:sz w:val="21"/>
        </w:rPr>
        <w:t> </w:t>
      </w:r>
      <w:r>
        <w:rPr>
          <w:sz w:val="21"/>
        </w:rPr>
        <w:t>methods</w:t>
      </w:r>
      <w:r>
        <w:rPr>
          <w:spacing w:val="-12"/>
          <w:sz w:val="21"/>
        </w:rPr>
        <w:t> </w:t>
      </w:r>
      <w:r>
        <w:rPr>
          <w:sz w:val="21"/>
        </w:rPr>
        <w:t>often</w:t>
      </w:r>
      <w:r>
        <w:rPr>
          <w:spacing w:val="-11"/>
          <w:sz w:val="21"/>
        </w:rPr>
        <w:t> </w:t>
      </w:r>
      <w:r>
        <w:rPr>
          <w:sz w:val="21"/>
        </w:rPr>
        <w:t>overlook</w:t>
      </w:r>
      <w:r>
        <w:rPr>
          <w:spacing w:val="-11"/>
          <w:sz w:val="21"/>
        </w:rPr>
        <w:t> </w:t>
      </w:r>
      <w:r>
        <w:rPr>
          <w:sz w:val="21"/>
        </w:rPr>
        <w:t>individuals</w:t>
      </w:r>
      <w:r>
        <w:rPr>
          <w:spacing w:val="-12"/>
          <w:sz w:val="21"/>
        </w:rPr>
        <w:t> </w:t>
      </w:r>
      <w:r>
        <w:rPr>
          <w:sz w:val="21"/>
        </w:rPr>
        <w:t>temporarily</w:t>
      </w:r>
      <w:r>
        <w:rPr>
          <w:spacing w:val="-11"/>
          <w:sz w:val="21"/>
        </w:rPr>
        <w:t> </w:t>
      </w:r>
      <w:r>
        <w:rPr>
          <w:sz w:val="21"/>
        </w:rPr>
        <w:t>staying</w:t>
      </w:r>
      <w:r>
        <w:rPr>
          <w:spacing w:val="-12"/>
          <w:sz w:val="21"/>
        </w:rPr>
        <w:t> </w:t>
      </w:r>
      <w:r>
        <w:rPr>
          <w:sz w:val="21"/>
        </w:rPr>
        <w:t>with</w:t>
      </w:r>
      <w:r>
        <w:rPr>
          <w:spacing w:val="-11"/>
          <w:sz w:val="21"/>
        </w:rPr>
        <w:t> </w:t>
      </w:r>
      <w:r>
        <w:rPr>
          <w:sz w:val="21"/>
        </w:rPr>
        <w:t>friends</w:t>
      </w:r>
      <w:r>
        <w:rPr>
          <w:spacing w:val="-12"/>
          <w:sz w:val="21"/>
        </w:rPr>
        <w:t> </w:t>
      </w:r>
      <w:r>
        <w:rPr>
          <w:sz w:val="21"/>
        </w:rPr>
        <w:t>("couch-surfing")</w:t>
      </w:r>
      <w:r>
        <w:rPr>
          <w:spacing w:val="-11"/>
          <w:sz w:val="21"/>
        </w:rPr>
        <w:t> </w:t>
      </w:r>
      <w:r>
        <w:rPr>
          <w:sz w:val="21"/>
        </w:rPr>
        <w:t>or</w:t>
      </w:r>
      <w:r>
        <w:rPr>
          <w:spacing w:val="-11"/>
          <w:sz w:val="21"/>
        </w:rPr>
        <w:t> </w:t>
      </w:r>
      <w:r>
        <w:rPr>
          <w:sz w:val="21"/>
        </w:rPr>
        <w:t>sleeping in cars, which results in these experiences being underrepresented in reports. For instance, the Annual Homelessness Assessment Report (AHAR) by the U.S. Department of Housing and Urban Development exemplifies</w:t>
      </w:r>
      <w:r>
        <w:rPr>
          <w:spacing w:val="-12"/>
          <w:sz w:val="21"/>
        </w:rPr>
        <w:t> </w:t>
      </w:r>
      <w:r>
        <w:rPr>
          <w:sz w:val="21"/>
        </w:rPr>
        <w:t>how</w:t>
      </w:r>
      <w:r>
        <w:rPr>
          <w:spacing w:val="-12"/>
          <w:sz w:val="21"/>
        </w:rPr>
        <w:t> </w:t>
      </w:r>
      <w:r>
        <w:rPr>
          <w:sz w:val="21"/>
        </w:rPr>
        <w:t>data</w:t>
      </w:r>
      <w:r>
        <w:rPr>
          <w:spacing w:val="-12"/>
          <w:sz w:val="21"/>
        </w:rPr>
        <w:t> </w:t>
      </w:r>
      <w:r>
        <w:rPr>
          <w:sz w:val="21"/>
        </w:rPr>
        <w:t>can</w:t>
      </w:r>
      <w:r>
        <w:rPr>
          <w:spacing w:val="-12"/>
          <w:sz w:val="21"/>
        </w:rPr>
        <w:t> </w:t>
      </w:r>
      <w:r>
        <w:rPr>
          <w:sz w:val="21"/>
        </w:rPr>
        <w:t>be</w:t>
      </w:r>
      <w:r>
        <w:rPr>
          <w:spacing w:val="-12"/>
          <w:sz w:val="21"/>
        </w:rPr>
        <w:t> </w:t>
      </w:r>
      <w:r>
        <w:rPr>
          <w:sz w:val="21"/>
        </w:rPr>
        <w:t>underreported.</w:t>
      </w:r>
      <w:hyperlink w:history="true" w:anchor="_bookmark315">
        <w:r>
          <w:rPr>
            <w:sz w:val="21"/>
            <w:vertAlign w:val="superscript"/>
          </w:rPr>
          <w:t>42</w:t>
        </w:r>
      </w:hyperlink>
      <w:r>
        <w:rPr>
          <w:spacing w:val="-12"/>
          <w:sz w:val="21"/>
          <w:vertAlign w:val="baseline"/>
        </w:rPr>
        <w:t> </w:t>
      </w:r>
      <w:r>
        <w:rPr>
          <w:sz w:val="21"/>
          <w:vertAlign w:val="baseline"/>
        </w:rPr>
        <w:t>Furthermore,</w:t>
      </w:r>
      <w:r>
        <w:rPr>
          <w:spacing w:val="-12"/>
          <w:sz w:val="21"/>
          <w:vertAlign w:val="baseline"/>
        </w:rPr>
        <w:t> </w:t>
      </w:r>
      <w:r>
        <w:rPr>
          <w:sz w:val="21"/>
          <w:vertAlign w:val="baseline"/>
        </w:rPr>
        <w:t>data</w:t>
      </w:r>
      <w:r>
        <w:rPr>
          <w:spacing w:val="-11"/>
          <w:sz w:val="21"/>
          <w:vertAlign w:val="baseline"/>
        </w:rPr>
        <w:t> </w:t>
      </w:r>
      <w:r>
        <w:rPr>
          <w:sz w:val="21"/>
          <w:vertAlign w:val="baseline"/>
        </w:rPr>
        <w:t>collection</w:t>
      </w:r>
      <w:r>
        <w:rPr>
          <w:spacing w:val="-12"/>
          <w:sz w:val="21"/>
          <w:vertAlign w:val="baseline"/>
        </w:rPr>
        <w:t> </w:t>
      </w:r>
      <w:r>
        <w:rPr>
          <w:sz w:val="21"/>
          <w:vertAlign w:val="baseline"/>
        </w:rPr>
        <w:t>efforts</w:t>
      </w:r>
      <w:r>
        <w:rPr>
          <w:spacing w:val="-12"/>
          <w:sz w:val="21"/>
          <w:vertAlign w:val="baseline"/>
        </w:rPr>
        <w:t> </w:t>
      </w:r>
      <w:r>
        <w:rPr>
          <w:sz w:val="21"/>
          <w:vertAlign w:val="baseline"/>
        </w:rPr>
        <w:t>frequently</w:t>
      </w:r>
      <w:r>
        <w:rPr>
          <w:spacing w:val="-12"/>
          <w:sz w:val="21"/>
          <w:vertAlign w:val="baseline"/>
        </w:rPr>
        <w:t> </w:t>
      </w:r>
      <w:r>
        <w:rPr>
          <w:sz w:val="21"/>
          <w:vertAlign w:val="baseline"/>
        </w:rPr>
        <w:t>fail</w:t>
      </w:r>
      <w:r>
        <w:rPr>
          <w:spacing w:val="-12"/>
          <w:sz w:val="21"/>
          <w:vertAlign w:val="baseline"/>
        </w:rPr>
        <w:t> </w:t>
      </w:r>
      <w:r>
        <w:rPr>
          <w:sz w:val="21"/>
          <w:vertAlign w:val="baseline"/>
        </w:rPr>
        <w:t>to</w:t>
      </w:r>
      <w:r>
        <w:rPr>
          <w:spacing w:val="-12"/>
          <w:sz w:val="21"/>
          <w:vertAlign w:val="baseline"/>
        </w:rPr>
        <w:t> </w:t>
      </w:r>
      <w:r>
        <w:rPr>
          <w:sz w:val="21"/>
          <w:vertAlign w:val="baseline"/>
        </w:rPr>
        <w:t>include LGBTQ youth respondents, and even when they do, these respondents may choose not to disclose their identity due to fear or denial. This omission contributes to inaccurate reporting and incomplete data collection regarding LGBTQ youth homelessness and housing insecurity.</w:t>
      </w:r>
    </w:p>
    <w:p>
      <w:pPr>
        <w:spacing w:before="240"/>
        <w:ind w:left="464" w:right="0" w:firstLine="0"/>
        <w:jc w:val="both"/>
        <w:rPr>
          <w:sz w:val="28"/>
        </w:rPr>
      </w:pPr>
      <w:bookmarkStart w:name="Acknowledgments &amp; Citations" w:id="495"/>
      <w:bookmarkEnd w:id="495"/>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9"/>
        <w:rPr>
          <w:sz w:val="3"/>
        </w:rPr>
      </w:pPr>
      <w:r>
        <w:rPr/>
        <mc:AlternateContent>
          <mc:Choice Requires="wps">
            <w:drawing>
              <wp:anchor distT="0" distB="0" distL="0" distR="0" allowOverlap="1" layoutInCell="1" locked="0" behindDoc="1" simplePos="0" relativeHeight="487657472">
                <wp:simplePos x="0" y="0"/>
                <wp:positionH relativeFrom="page">
                  <wp:posOffset>986789</wp:posOffset>
                </wp:positionH>
                <wp:positionV relativeFrom="paragraph">
                  <wp:posOffset>44562</wp:posOffset>
                </wp:positionV>
                <wp:extent cx="5799455" cy="635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08877pt;width:456.601pt;height:.48pt;mso-position-horizontal-relative:page;mso-position-vertical-relative:paragraph;z-index:-15659008;mso-wrap-distance-left:0;mso-wrap-distance-right:0" id="docshape293" filled="true" fillcolor="#4f81bc" stroked="false">
                <v:fill type="solid"/>
                <w10:wrap type="topAndBottom"/>
              </v:rect>
            </w:pict>
          </mc:Fallback>
        </mc:AlternateContent>
      </w:r>
    </w:p>
    <w:p>
      <w:pPr>
        <w:spacing w:before="241"/>
        <w:ind w:left="464" w:right="0" w:firstLine="0"/>
        <w:jc w:val="left"/>
        <w:rPr>
          <w:i/>
          <w:sz w:val="21"/>
        </w:rPr>
      </w:pPr>
      <w:r>
        <w:rPr>
          <w:i/>
          <w:sz w:val="21"/>
        </w:rPr>
        <w:t>Acknowledgments:</w:t>
      </w:r>
      <w:r>
        <w:rPr>
          <w:i/>
          <w:spacing w:val="-3"/>
          <w:sz w:val="21"/>
        </w:rPr>
        <w:t> </w:t>
      </w:r>
      <w:r>
        <w:rPr>
          <w:i/>
          <w:sz w:val="21"/>
        </w:rPr>
        <w:t>Sean</w:t>
      </w:r>
      <w:r>
        <w:rPr>
          <w:i/>
          <w:spacing w:val="-3"/>
          <w:sz w:val="21"/>
        </w:rPr>
        <w:t> </w:t>
      </w:r>
      <w:r>
        <w:rPr>
          <w:i/>
          <w:sz w:val="21"/>
        </w:rPr>
        <w:t>Hanwell,</w:t>
      </w:r>
      <w:r>
        <w:rPr>
          <w:i/>
          <w:spacing w:val="-3"/>
          <w:sz w:val="21"/>
        </w:rPr>
        <w:t> </w:t>
      </w:r>
      <w:r>
        <w:rPr>
          <w:i/>
          <w:sz w:val="21"/>
        </w:rPr>
        <w:t>lead</w:t>
      </w:r>
      <w:r>
        <w:rPr>
          <w:i/>
          <w:spacing w:val="-3"/>
          <w:sz w:val="21"/>
        </w:rPr>
        <w:t> </w:t>
      </w:r>
      <w:r>
        <w:rPr>
          <w:i/>
          <w:sz w:val="21"/>
        </w:rPr>
        <w:t>researcher</w:t>
      </w:r>
      <w:r>
        <w:rPr>
          <w:i/>
          <w:spacing w:val="-4"/>
          <w:sz w:val="21"/>
        </w:rPr>
        <w:t> </w:t>
      </w:r>
      <w:r>
        <w:rPr>
          <w:i/>
          <w:sz w:val="21"/>
        </w:rPr>
        <w:t>&amp;</w:t>
      </w:r>
      <w:r>
        <w:rPr>
          <w:i/>
          <w:spacing w:val="-2"/>
          <w:sz w:val="21"/>
        </w:rPr>
        <w:t> author</w:t>
      </w:r>
    </w:p>
    <w:p>
      <w:pPr>
        <w:pStyle w:val="BodyText"/>
        <w:spacing w:before="247"/>
        <w:rPr>
          <w:i/>
          <w:sz w:val="21"/>
        </w:rPr>
      </w:pPr>
    </w:p>
    <w:p>
      <w:pPr>
        <w:spacing w:before="0"/>
        <w:ind w:left="464" w:right="688" w:hanging="1"/>
        <w:jc w:val="left"/>
        <w:rPr>
          <w:sz w:val="18"/>
        </w:rPr>
      </w:pPr>
      <w:bookmarkStart w:name="_bookmark274" w:id="496"/>
      <w:bookmarkEnd w:id="496"/>
      <w:r>
        <w:rPr/>
      </w:r>
      <w:r>
        <w:rPr>
          <w:sz w:val="18"/>
          <w:vertAlign w:val="superscript"/>
        </w:rPr>
        <w:t>1</w:t>
      </w:r>
      <w:r>
        <w:rPr>
          <w:spacing w:val="-2"/>
          <w:sz w:val="18"/>
          <w:vertAlign w:val="baseline"/>
        </w:rPr>
        <w:t> </w:t>
      </w:r>
      <w:r>
        <w:rPr>
          <w:sz w:val="18"/>
          <w:vertAlign w:val="baseline"/>
        </w:rPr>
        <w:t>“2023</w:t>
      </w:r>
      <w:r>
        <w:rPr>
          <w:spacing w:val="-2"/>
          <w:sz w:val="18"/>
          <w:vertAlign w:val="baseline"/>
        </w:rPr>
        <w:t> </w:t>
      </w:r>
      <w:r>
        <w:rPr>
          <w:sz w:val="18"/>
          <w:vertAlign w:val="baseline"/>
        </w:rPr>
        <w:t>Annual</w:t>
      </w:r>
      <w:r>
        <w:rPr>
          <w:spacing w:val="-3"/>
          <w:sz w:val="18"/>
          <w:vertAlign w:val="baseline"/>
        </w:rPr>
        <w:t> </w:t>
      </w:r>
      <w:r>
        <w:rPr>
          <w:sz w:val="18"/>
          <w:vertAlign w:val="baseline"/>
        </w:rPr>
        <w:t>Homeless</w:t>
      </w:r>
      <w:r>
        <w:rPr>
          <w:spacing w:val="-2"/>
          <w:sz w:val="18"/>
          <w:vertAlign w:val="baseline"/>
        </w:rPr>
        <w:t> </w:t>
      </w:r>
      <w:r>
        <w:rPr>
          <w:sz w:val="18"/>
          <w:vertAlign w:val="baseline"/>
        </w:rPr>
        <w:t>Assessment</w:t>
      </w:r>
      <w:r>
        <w:rPr>
          <w:spacing w:val="-3"/>
          <w:sz w:val="18"/>
          <w:vertAlign w:val="baseline"/>
        </w:rPr>
        <w:t> </w:t>
      </w:r>
      <w:r>
        <w:rPr>
          <w:sz w:val="18"/>
          <w:vertAlign w:val="baseline"/>
        </w:rPr>
        <w:t>Report-</w:t>
      </w:r>
      <w:r>
        <w:rPr>
          <w:spacing w:val="-2"/>
          <w:sz w:val="18"/>
          <w:vertAlign w:val="baseline"/>
        </w:rPr>
        <w:t> </w:t>
      </w:r>
      <w:r>
        <w:rPr>
          <w:sz w:val="18"/>
          <w:vertAlign w:val="baseline"/>
        </w:rPr>
        <w:t>Estimates</w:t>
      </w:r>
      <w:r>
        <w:rPr>
          <w:spacing w:val="-2"/>
          <w:sz w:val="18"/>
          <w:vertAlign w:val="baseline"/>
        </w:rPr>
        <w:t> </w:t>
      </w:r>
      <w:r>
        <w:rPr>
          <w:sz w:val="18"/>
          <w:vertAlign w:val="baseline"/>
        </w:rPr>
        <w:t>of</w:t>
      </w:r>
      <w:r>
        <w:rPr>
          <w:spacing w:val="-2"/>
          <w:sz w:val="18"/>
          <w:vertAlign w:val="baseline"/>
        </w:rPr>
        <w:t> </w:t>
      </w:r>
      <w:r>
        <w:rPr>
          <w:sz w:val="18"/>
          <w:vertAlign w:val="baseline"/>
        </w:rPr>
        <w:t>Homelessness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U.S.”</w:t>
      </w:r>
      <w:r>
        <w:rPr>
          <w:spacing w:val="-2"/>
          <w:sz w:val="18"/>
          <w:vertAlign w:val="baseline"/>
        </w:rPr>
        <w:t> </w:t>
      </w:r>
      <w:r>
        <w:rPr>
          <w:sz w:val="18"/>
          <w:vertAlign w:val="baseline"/>
        </w:rPr>
        <w:t>2023.</w:t>
      </w:r>
      <w:r>
        <w:rPr>
          <w:spacing w:val="-2"/>
          <w:sz w:val="18"/>
          <w:vertAlign w:val="baseline"/>
        </w:rPr>
        <w:t> </w:t>
      </w:r>
      <w:r>
        <w:rPr>
          <w:sz w:val="18"/>
          <w:vertAlign w:val="baseline"/>
        </w:rPr>
        <w:t>Office</w:t>
      </w:r>
      <w:r>
        <w:rPr>
          <w:spacing w:val="-3"/>
          <w:sz w:val="18"/>
          <w:vertAlign w:val="baseline"/>
        </w:rPr>
        <w:t> </w:t>
      </w:r>
      <w:r>
        <w:rPr>
          <w:sz w:val="18"/>
          <w:vertAlign w:val="baseline"/>
        </w:rPr>
        <w:t>of</w:t>
      </w:r>
      <w:r>
        <w:rPr>
          <w:spacing w:val="-2"/>
          <w:sz w:val="18"/>
          <w:vertAlign w:val="baseline"/>
        </w:rPr>
        <w:t> </w:t>
      </w:r>
      <w:r>
        <w:rPr>
          <w:sz w:val="18"/>
          <w:vertAlign w:val="baseline"/>
        </w:rPr>
        <w:t>Policy</w:t>
      </w:r>
      <w:r>
        <w:rPr>
          <w:spacing w:val="-2"/>
          <w:sz w:val="18"/>
          <w:vertAlign w:val="baseline"/>
        </w:rPr>
        <w:t> </w:t>
      </w:r>
      <w:r>
        <w:rPr>
          <w:sz w:val="18"/>
          <w:vertAlign w:val="baseline"/>
        </w:rPr>
        <w:t>Develop</w:t>
      </w:r>
      <w:r>
        <w:rPr>
          <w:spacing w:val="-2"/>
          <w:sz w:val="18"/>
          <w:vertAlign w:val="baseline"/>
        </w:rPr>
        <w:t> </w:t>
      </w:r>
      <w:r>
        <w:rPr>
          <w:sz w:val="18"/>
          <w:vertAlign w:val="baseline"/>
        </w:rPr>
        <w:t>and Research. December 2023. https:</w:t>
      </w:r>
      <w:hyperlink r:id="rId449">
        <w:r>
          <w:rPr>
            <w:sz w:val="18"/>
            <w:vertAlign w:val="baseline"/>
          </w:rPr>
          <w:t>//www.huduser.gov/portal/datasets/ahar/2023-ahar-part-1-pit-estimates-of-</w:t>
        </w:r>
      </w:hyperlink>
      <w:r>
        <w:rPr>
          <w:sz w:val="18"/>
          <w:vertAlign w:val="baseline"/>
        </w:rPr>
        <w:t> </w:t>
      </w:r>
      <w:r>
        <w:rPr>
          <w:spacing w:val="-2"/>
          <w:sz w:val="18"/>
          <w:vertAlign w:val="baseline"/>
        </w:rPr>
        <w:t>homelessness-in-the-us.html.</w:t>
      </w:r>
    </w:p>
    <w:p>
      <w:pPr>
        <w:spacing w:before="120"/>
        <w:ind w:left="463" w:right="1677" w:firstLine="0"/>
        <w:jc w:val="left"/>
        <w:rPr>
          <w:sz w:val="18"/>
        </w:rPr>
      </w:pPr>
      <w:bookmarkStart w:name="_bookmark275" w:id="497"/>
      <w:bookmarkEnd w:id="497"/>
      <w:r>
        <w:rPr/>
      </w:r>
      <w:r>
        <w:rPr>
          <w:sz w:val="18"/>
          <w:vertAlign w:val="superscript"/>
        </w:rPr>
        <w:t>2</w:t>
      </w:r>
      <w:r>
        <w:rPr>
          <w:spacing w:val="-3"/>
          <w:sz w:val="18"/>
          <w:vertAlign w:val="baseline"/>
        </w:rPr>
        <w:t> </w:t>
      </w:r>
      <w:r>
        <w:rPr>
          <w:sz w:val="18"/>
          <w:vertAlign w:val="baseline"/>
        </w:rPr>
        <w:t>Kovalick,</w:t>
      </w:r>
      <w:r>
        <w:rPr>
          <w:spacing w:val="-4"/>
          <w:sz w:val="18"/>
          <w:vertAlign w:val="baseline"/>
        </w:rPr>
        <w:t> </w:t>
      </w:r>
      <w:r>
        <w:rPr>
          <w:sz w:val="18"/>
          <w:vertAlign w:val="baseline"/>
        </w:rPr>
        <w:t>Carrie.</w:t>
      </w:r>
      <w:r>
        <w:rPr>
          <w:spacing w:val="-2"/>
          <w:sz w:val="18"/>
          <w:vertAlign w:val="baseline"/>
        </w:rPr>
        <w:t> </w:t>
      </w:r>
      <w:r>
        <w:rPr>
          <w:sz w:val="18"/>
          <w:vertAlign w:val="baseline"/>
        </w:rPr>
        <w:t>2024.</w:t>
      </w:r>
      <w:r>
        <w:rPr>
          <w:spacing w:val="-3"/>
          <w:sz w:val="18"/>
          <w:vertAlign w:val="baseline"/>
        </w:rPr>
        <w:t> </w:t>
      </w:r>
      <w:r>
        <w:rPr>
          <w:sz w:val="18"/>
          <w:vertAlign w:val="baseline"/>
        </w:rPr>
        <w:t>“LGBTQ+</w:t>
      </w:r>
      <w:r>
        <w:rPr>
          <w:spacing w:val="-5"/>
          <w:sz w:val="18"/>
          <w:vertAlign w:val="baseline"/>
        </w:rPr>
        <w:t> </w:t>
      </w:r>
      <w:r>
        <w:rPr>
          <w:sz w:val="18"/>
          <w:vertAlign w:val="baseline"/>
        </w:rPr>
        <w:t>Youth</w:t>
      </w:r>
      <w:r>
        <w:rPr>
          <w:spacing w:val="-3"/>
          <w:sz w:val="18"/>
          <w:vertAlign w:val="baseline"/>
        </w:rPr>
        <w:t> </w:t>
      </w:r>
      <w:r>
        <w:rPr>
          <w:sz w:val="18"/>
          <w:vertAlign w:val="baseline"/>
        </w:rPr>
        <w:t>Homelessness.”</w:t>
      </w:r>
      <w:r>
        <w:rPr>
          <w:spacing w:val="-3"/>
          <w:sz w:val="18"/>
          <w:vertAlign w:val="baseline"/>
        </w:rPr>
        <w:t> </w:t>
      </w:r>
      <w:r>
        <w:rPr>
          <w:i/>
          <w:sz w:val="18"/>
          <w:vertAlign w:val="baseline"/>
        </w:rPr>
        <w:t>National</w:t>
      </w:r>
      <w:r>
        <w:rPr>
          <w:i/>
          <w:spacing w:val="-4"/>
          <w:sz w:val="18"/>
          <w:vertAlign w:val="baseline"/>
        </w:rPr>
        <w:t> </w:t>
      </w:r>
      <w:r>
        <w:rPr>
          <w:i/>
          <w:sz w:val="18"/>
          <w:vertAlign w:val="baseline"/>
        </w:rPr>
        <w:t>Network</w:t>
      </w:r>
      <w:r>
        <w:rPr>
          <w:i/>
          <w:spacing w:val="-4"/>
          <w:sz w:val="18"/>
          <w:vertAlign w:val="baseline"/>
        </w:rPr>
        <w:t> </w:t>
      </w:r>
      <w:r>
        <w:rPr>
          <w:i/>
          <w:sz w:val="18"/>
          <w:vertAlign w:val="baseline"/>
        </w:rPr>
        <w:t>for</w:t>
      </w:r>
      <w:r>
        <w:rPr>
          <w:i/>
          <w:spacing w:val="-4"/>
          <w:sz w:val="18"/>
          <w:vertAlign w:val="baseline"/>
        </w:rPr>
        <w:t> </w:t>
      </w:r>
      <w:r>
        <w:rPr>
          <w:i/>
          <w:sz w:val="18"/>
          <w:vertAlign w:val="baseline"/>
        </w:rPr>
        <w:t>Youth</w:t>
      </w:r>
      <w:r>
        <w:rPr>
          <w:i/>
          <w:spacing w:val="-3"/>
          <w:sz w:val="18"/>
          <w:vertAlign w:val="baseline"/>
        </w:rPr>
        <w:t> </w:t>
      </w:r>
      <w:r>
        <w:rPr>
          <w:sz w:val="18"/>
          <w:vertAlign w:val="baseline"/>
        </w:rPr>
        <w:t>(blog).</w:t>
      </w:r>
      <w:r>
        <w:rPr>
          <w:spacing w:val="-3"/>
          <w:sz w:val="18"/>
          <w:vertAlign w:val="baseline"/>
        </w:rPr>
        <w:t> </w:t>
      </w:r>
      <w:r>
        <w:rPr>
          <w:sz w:val="18"/>
          <w:vertAlign w:val="baseline"/>
        </w:rPr>
        <w:t>March</w:t>
      </w:r>
      <w:r>
        <w:rPr>
          <w:spacing w:val="-4"/>
          <w:sz w:val="18"/>
          <w:vertAlign w:val="baseline"/>
        </w:rPr>
        <w:t> </w:t>
      </w:r>
      <w:r>
        <w:rPr>
          <w:sz w:val="18"/>
          <w:vertAlign w:val="baseline"/>
        </w:rPr>
        <w:t>5,</w:t>
      </w:r>
      <w:r>
        <w:rPr>
          <w:spacing w:val="-4"/>
          <w:sz w:val="18"/>
          <w:vertAlign w:val="baseline"/>
        </w:rPr>
        <w:t> </w:t>
      </w:r>
      <w:r>
        <w:rPr>
          <w:sz w:val="18"/>
          <w:vertAlign w:val="baseline"/>
        </w:rPr>
        <w:t>2024. </w:t>
      </w:r>
      <w:r>
        <w:rPr>
          <w:spacing w:val="-2"/>
          <w:sz w:val="18"/>
          <w:vertAlign w:val="baseline"/>
        </w:rPr>
        <w:t>https://nn4youth.org/lgbtq-homeless-youth/.</w:t>
      </w:r>
    </w:p>
    <w:p>
      <w:pPr>
        <w:spacing w:before="119"/>
        <w:ind w:left="464" w:right="0" w:firstLine="0"/>
        <w:jc w:val="left"/>
        <w:rPr>
          <w:sz w:val="18"/>
        </w:rPr>
      </w:pPr>
      <w:bookmarkStart w:name="_bookmark276" w:id="498"/>
      <w:bookmarkEnd w:id="498"/>
      <w:r>
        <w:rPr/>
      </w:r>
      <w:r>
        <w:rPr>
          <w:sz w:val="18"/>
          <w:vertAlign w:val="superscript"/>
        </w:rPr>
        <w:t>3</w:t>
      </w:r>
      <w:r>
        <w:rPr>
          <w:spacing w:val="-5"/>
          <w:sz w:val="18"/>
          <w:vertAlign w:val="baseline"/>
        </w:rPr>
        <w:t> </w:t>
      </w:r>
      <w:r>
        <w:rPr>
          <w:sz w:val="18"/>
          <w:vertAlign w:val="baseline"/>
        </w:rPr>
        <w:t>Fraser,</w:t>
      </w:r>
      <w:r>
        <w:rPr>
          <w:spacing w:val="-3"/>
          <w:sz w:val="18"/>
          <w:vertAlign w:val="baseline"/>
        </w:rPr>
        <w:t> </w:t>
      </w:r>
      <w:r>
        <w:rPr>
          <w:sz w:val="18"/>
          <w:vertAlign w:val="baseline"/>
        </w:rPr>
        <w:t>Brodie,</w:t>
      </w:r>
      <w:r>
        <w:rPr>
          <w:spacing w:val="-3"/>
          <w:sz w:val="18"/>
          <w:vertAlign w:val="baseline"/>
        </w:rPr>
        <w:t> </w:t>
      </w:r>
      <w:r>
        <w:rPr>
          <w:sz w:val="18"/>
          <w:vertAlign w:val="baseline"/>
        </w:rPr>
        <w:t>Nevil</w:t>
      </w:r>
      <w:r>
        <w:rPr>
          <w:spacing w:val="-3"/>
          <w:sz w:val="18"/>
          <w:vertAlign w:val="baseline"/>
        </w:rPr>
        <w:t> </w:t>
      </w:r>
      <w:r>
        <w:rPr>
          <w:sz w:val="18"/>
          <w:vertAlign w:val="baseline"/>
        </w:rPr>
        <w:t>Pierse,</w:t>
      </w:r>
      <w:r>
        <w:rPr>
          <w:spacing w:val="-3"/>
          <w:sz w:val="18"/>
          <w:vertAlign w:val="baseline"/>
        </w:rPr>
        <w:t> </w:t>
      </w:r>
      <w:r>
        <w:rPr>
          <w:sz w:val="18"/>
          <w:vertAlign w:val="baseline"/>
        </w:rPr>
        <w:t>Elinor</w:t>
      </w:r>
      <w:r>
        <w:rPr>
          <w:spacing w:val="-3"/>
          <w:sz w:val="18"/>
          <w:vertAlign w:val="baseline"/>
        </w:rPr>
        <w:t> </w:t>
      </w:r>
      <w:r>
        <w:rPr>
          <w:sz w:val="18"/>
          <w:vertAlign w:val="baseline"/>
        </w:rPr>
        <w:t>Chisholm,</w:t>
      </w:r>
      <w:r>
        <w:rPr>
          <w:spacing w:val="-3"/>
          <w:sz w:val="18"/>
          <w:vertAlign w:val="baseline"/>
        </w:rPr>
        <w:t> </w:t>
      </w:r>
      <w:r>
        <w:rPr>
          <w:sz w:val="18"/>
          <w:vertAlign w:val="baseline"/>
        </w:rPr>
        <w:t>and</w:t>
      </w:r>
      <w:r>
        <w:rPr>
          <w:spacing w:val="-2"/>
          <w:sz w:val="18"/>
          <w:vertAlign w:val="baseline"/>
        </w:rPr>
        <w:t> </w:t>
      </w:r>
      <w:r>
        <w:rPr>
          <w:sz w:val="18"/>
          <w:vertAlign w:val="baseline"/>
        </w:rPr>
        <w:t>Hera</w:t>
      </w:r>
      <w:r>
        <w:rPr>
          <w:spacing w:val="-2"/>
          <w:sz w:val="18"/>
          <w:vertAlign w:val="baseline"/>
        </w:rPr>
        <w:t> </w:t>
      </w:r>
      <w:r>
        <w:rPr>
          <w:sz w:val="18"/>
          <w:vertAlign w:val="baseline"/>
        </w:rPr>
        <w:t>Cook.</w:t>
      </w:r>
      <w:r>
        <w:rPr>
          <w:spacing w:val="-3"/>
          <w:sz w:val="18"/>
          <w:vertAlign w:val="baseline"/>
        </w:rPr>
        <w:t> </w:t>
      </w:r>
      <w:r>
        <w:rPr>
          <w:sz w:val="18"/>
          <w:vertAlign w:val="baseline"/>
        </w:rPr>
        <w:t>2019.</w:t>
      </w:r>
      <w:r>
        <w:rPr>
          <w:spacing w:val="-2"/>
          <w:sz w:val="18"/>
          <w:vertAlign w:val="baseline"/>
        </w:rPr>
        <w:t> </w:t>
      </w:r>
      <w:r>
        <w:rPr>
          <w:sz w:val="18"/>
          <w:vertAlign w:val="baseline"/>
        </w:rPr>
        <w:t>“LGBTIQ+</w:t>
      </w:r>
      <w:r>
        <w:rPr>
          <w:spacing w:val="-2"/>
          <w:sz w:val="18"/>
          <w:vertAlign w:val="baseline"/>
        </w:rPr>
        <w:t> </w:t>
      </w:r>
      <w:r>
        <w:rPr>
          <w:sz w:val="18"/>
          <w:vertAlign w:val="baseline"/>
        </w:rPr>
        <w:t>Homelessness:</w:t>
      </w:r>
      <w:r>
        <w:rPr>
          <w:spacing w:val="-4"/>
          <w:sz w:val="18"/>
          <w:vertAlign w:val="baseline"/>
        </w:rPr>
        <w:t> </w:t>
      </w:r>
      <w:r>
        <w:rPr>
          <w:sz w:val="18"/>
          <w:vertAlign w:val="baseline"/>
        </w:rPr>
        <w:t>A</w:t>
      </w:r>
      <w:r>
        <w:rPr>
          <w:spacing w:val="-2"/>
          <w:sz w:val="18"/>
          <w:vertAlign w:val="baseline"/>
        </w:rPr>
        <w:t> </w:t>
      </w:r>
      <w:r>
        <w:rPr>
          <w:sz w:val="18"/>
          <w:vertAlign w:val="baseline"/>
        </w:rPr>
        <w:t>Review</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Literature.”</w:t>
      </w:r>
    </w:p>
    <w:p>
      <w:pPr>
        <w:spacing w:before="0"/>
        <w:ind w:left="464" w:right="0" w:firstLine="0"/>
        <w:jc w:val="left"/>
        <w:rPr>
          <w:sz w:val="18"/>
        </w:rPr>
      </w:pPr>
      <w:r>
        <w:rPr>
          <w:i/>
          <w:sz w:val="18"/>
        </w:rPr>
        <w:t>International</w:t>
      </w:r>
      <w:r>
        <w:rPr>
          <w:i/>
          <w:spacing w:val="-7"/>
          <w:sz w:val="18"/>
        </w:rPr>
        <w:t> </w:t>
      </w:r>
      <w:r>
        <w:rPr>
          <w:i/>
          <w:sz w:val="18"/>
        </w:rPr>
        <w:t>Journal</w:t>
      </w:r>
      <w:r>
        <w:rPr>
          <w:i/>
          <w:spacing w:val="-4"/>
          <w:sz w:val="18"/>
        </w:rPr>
        <w:t> </w:t>
      </w:r>
      <w:r>
        <w:rPr>
          <w:i/>
          <w:sz w:val="18"/>
        </w:rPr>
        <w:t>of</w:t>
      </w:r>
      <w:r>
        <w:rPr>
          <w:i/>
          <w:spacing w:val="-3"/>
          <w:sz w:val="18"/>
        </w:rPr>
        <w:t> </w:t>
      </w:r>
      <w:r>
        <w:rPr>
          <w:i/>
          <w:sz w:val="18"/>
        </w:rPr>
        <w:t>Environmental</w:t>
      </w:r>
      <w:r>
        <w:rPr>
          <w:i/>
          <w:spacing w:val="-4"/>
          <w:sz w:val="18"/>
        </w:rPr>
        <w:t> </w:t>
      </w:r>
      <w:r>
        <w:rPr>
          <w:i/>
          <w:sz w:val="18"/>
        </w:rPr>
        <w:t>Research</w:t>
      </w:r>
      <w:r>
        <w:rPr>
          <w:i/>
          <w:spacing w:val="-2"/>
          <w:sz w:val="18"/>
        </w:rPr>
        <w:t> </w:t>
      </w:r>
      <w:r>
        <w:rPr>
          <w:i/>
          <w:sz w:val="18"/>
        </w:rPr>
        <w:t>and</w:t>
      </w:r>
      <w:r>
        <w:rPr>
          <w:i/>
          <w:spacing w:val="-4"/>
          <w:sz w:val="18"/>
        </w:rPr>
        <w:t> </w:t>
      </w:r>
      <w:r>
        <w:rPr>
          <w:i/>
          <w:sz w:val="18"/>
        </w:rPr>
        <w:t>Public</w:t>
      </w:r>
      <w:r>
        <w:rPr>
          <w:i/>
          <w:spacing w:val="-3"/>
          <w:sz w:val="18"/>
        </w:rPr>
        <w:t> </w:t>
      </w:r>
      <w:r>
        <w:rPr>
          <w:i/>
          <w:sz w:val="18"/>
        </w:rPr>
        <w:t>Health</w:t>
      </w:r>
      <w:r>
        <w:rPr>
          <w:i/>
          <w:spacing w:val="-3"/>
          <w:sz w:val="18"/>
        </w:rPr>
        <w:t> </w:t>
      </w:r>
      <w:r>
        <w:rPr>
          <w:sz w:val="18"/>
        </w:rPr>
        <w:t>16</w:t>
      </w:r>
      <w:r>
        <w:rPr>
          <w:spacing w:val="-3"/>
          <w:sz w:val="18"/>
        </w:rPr>
        <w:t> </w:t>
      </w:r>
      <w:r>
        <w:rPr>
          <w:sz w:val="18"/>
        </w:rPr>
        <w:t>(July):</w:t>
      </w:r>
      <w:r>
        <w:rPr>
          <w:spacing w:val="-3"/>
          <w:sz w:val="18"/>
        </w:rPr>
        <w:t> </w:t>
      </w:r>
      <w:r>
        <w:rPr>
          <w:sz w:val="18"/>
        </w:rPr>
        <w:t>2677.</w:t>
      </w:r>
      <w:r>
        <w:rPr>
          <w:spacing w:val="-3"/>
          <w:sz w:val="18"/>
        </w:rPr>
        <w:t> </w:t>
      </w:r>
      <w:r>
        <w:rPr>
          <w:spacing w:val="-2"/>
          <w:sz w:val="18"/>
        </w:rPr>
        <w:t>https://doi.org/10.3390/ijerph16152677.</w:t>
      </w:r>
    </w:p>
    <w:p>
      <w:pPr>
        <w:spacing w:before="120"/>
        <w:ind w:left="464" w:right="1625" w:hanging="1"/>
        <w:jc w:val="left"/>
        <w:rPr>
          <w:sz w:val="18"/>
        </w:rPr>
      </w:pPr>
      <w:bookmarkStart w:name="_bookmark277" w:id="499"/>
      <w:bookmarkEnd w:id="499"/>
      <w:r>
        <w:rPr/>
      </w:r>
      <w:r>
        <w:rPr>
          <w:sz w:val="18"/>
          <w:vertAlign w:val="superscript"/>
        </w:rPr>
        <w:t>4</w:t>
      </w:r>
      <w:r>
        <w:rPr>
          <w:spacing w:val="-4"/>
          <w:sz w:val="18"/>
          <w:vertAlign w:val="baseline"/>
        </w:rPr>
        <w:t> </w:t>
      </w:r>
      <w:r>
        <w:rPr>
          <w:sz w:val="18"/>
          <w:vertAlign w:val="baseline"/>
        </w:rPr>
        <w:t>“Policy</w:t>
      </w:r>
      <w:r>
        <w:rPr>
          <w:spacing w:val="-4"/>
          <w:sz w:val="18"/>
          <w:vertAlign w:val="baseline"/>
        </w:rPr>
        <w:t> </w:t>
      </w:r>
      <w:r>
        <w:rPr>
          <w:sz w:val="18"/>
          <w:vertAlign w:val="baseline"/>
        </w:rPr>
        <w:t>Brief:</w:t>
      </w:r>
      <w:r>
        <w:rPr>
          <w:spacing w:val="-4"/>
          <w:sz w:val="18"/>
          <w:vertAlign w:val="baseline"/>
        </w:rPr>
        <w:t> </w:t>
      </w:r>
      <w:r>
        <w:rPr>
          <w:sz w:val="18"/>
          <w:vertAlign w:val="baseline"/>
        </w:rPr>
        <w:t>LGBTQ+</w:t>
      </w:r>
      <w:r>
        <w:rPr>
          <w:spacing w:val="-4"/>
          <w:sz w:val="18"/>
          <w:vertAlign w:val="baseline"/>
        </w:rPr>
        <w:t> </w:t>
      </w:r>
      <w:r>
        <w:rPr>
          <w:sz w:val="18"/>
          <w:vertAlign w:val="baseline"/>
        </w:rPr>
        <w:t>Youth</w:t>
      </w:r>
      <w:r>
        <w:rPr>
          <w:spacing w:val="-4"/>
          <w:sz w:val="18"/>
          <w:vertAlign w:val="baseline"/>
        </w:rPr>
        <w:t> </w:t>
      </w:r>
      <w:r>
        <w:rPr>
          <w:sz w:val="18"/>
          <w:vertAlign w:val="baseline"/>
        </w:rPr>
        <w:t>Homelessness.”</w:t>
      </w:r>
      <w:r>
        <w:rPr>
          <w:spacing w:val="-4"/>
          <w:sz w:val="18"/>
          <w:vertAlign w:val="baseline"/>
        </w:rPr>
        <w:t> </w:t>
      </w:r>
      <w:r>
        <w:rPr>
          <w:sz w:val="18"/>
          <w:vertAlign w:val="baseline"/>
        </w:rPr>
        <w:t>2023.</w:t>
      </w:r>
      <w:r>
        <w:rPr>
          <w:spacing w:val="-4"/>
          <w:sz w:val="18"/>
          <w:vertAlign w:val="baseline"/>
        </w:rPr>
        <w:t> </w:t>
      </w:r>
      <w:r>
        <w:rPr>
          <w:sz w:val="18"/>
          <w:vertAlign w:val="baseline"/>
        </w:rPr>
        <w:t>National</w:t>
      </w:r>
      <w:r>
        <w:rPr>
          <w:spacing w:val="-4"/>
          <w:sz w:val="18"/>
          <w:vertAlign w:val="baseline"/>
        </w:rPr>
        <w:t> </w:t>
      </w:r>
      <w:r>
        <w:rPr>
          <w:sz w:val="18"/>
          <w:vertAlign w:val="baseline"/>
        </w:rPr>
        <w:t>Network</w:t>
      </w:r>
      <w:r>
        <w:rPr>
          <w:spacing w:val="-4"/>
          <w:sz w:val="18"/>
          <w:vertAlign w:val="baseline"/>
        </w:rPr>
        <w:t> </w:t>
      </w:r>
      <w:r>
        <w:rPr>
          <w:sz w:val="18"/>
          <w:vertAlign w:val="baseline"/>
        </w:rPr>
        <w:t>for</w:t>
      </w:r>
      <w:r>
        <w:rPr>
          <w:spacing w:val="-4"/>
          <w:sz w:val="18"/>
          <w:vertAlign w:val="baseline"/>
        </w:rPr>
        <w:t> </w:t>
      </w:r>
      <w:r>
        <w:rPr>
          <w:sz w:val="18"/>
          <w:vertAlign w:val="baseline"/>
        </w:rPr>
        <w:t>Youth.</w:t>
      </w:r>
      <w:r>
        <w:rPr>
          <w:spacing w:val="-3"/>
          <w:sz w:val="18"/>
          <w:vertAlign w:val="baseline"/>
        </w:rPr>
        <w:t> </w:t>
      </w:r>
      <w:r>
        <w:rPr>
          <w:sz w:val="18"/>
          <w:vertAlign w:val="baseline"/>
        </w:rPr>
        <w:t>https://nn4youth.org/wp- </w:t>
      </w:r>
      <w:r>
        <w:rPr>
          <w:spacing w:val="-2"/>
          <w:sz w:val="18"/>
          <w:vertAlign w:val="baseline"/>
        </w:rPr>
        <w:t>content/uploads/23-LGBTQ-Policy-Brief.pdf.</w:t>
      </w:r>
    </w:p>
    <w:p>
      <w:pPr>
        <w:spacing w:before="120"/>
        <w:ind w:left="464" w:right="565" w:firstLine="0"/>
        <w:jc w:val="left"/>
        <w:rPr>
          <w:sz w:val="18"/>
        </w:rPr>
      </w:pPr>
      <w:bookmarkStart w:name="_bookmark278" w:id="500"/>
      <w:bookmarkEnd w:id="500"/>
      <w:r>
        <w:rPr/>
      </w:r>
      <w:r>
        <w:rPr>
          <w:sz w:val="18"/>
          <w:vertAlign w:val="superscript"/>
        </w:rPr>
        <w:t>5</w:t>
      </w:r>
      <w:r>
        <w:rPr>
          <w:spacing w:val="-3"/>
          <w:sz w:val="18"/>
          <w:vertAlign w:val="baseline"/>
        </w:rPr>
        <w:t> </w:t>
      </w:r>
      <w:r>
        <w:rPr>
          <w:sz w:val="18"/>
          <w:vertAlign w:val="baseline"/>
        </w:rPr>
        <w:t>“Massachusetts</w:t>
      </w:r>
      <w:r>
        <w:rPr>
          <w:spacing w:val="-4"/>
          <w:sz w:val="18"/>
          <w:vertAlign w:val="baseline"/>
        </w:rPr>
        <w:t> </w:t>
      </w:r>
      <w:r>
        <w:rPr>
          <w:sz w:val="18"/>
          <w:vertAlign w:val="baseline"/>
        </w:rPr>
        <w:t>State</w:t>
      </w:r>
      <w:r>
        <w:rPr>
          <w:spacing w:val="-3"/>
          <w:sz w:val="18"/>
          <w:vertAlign w:val="baseline"/>
        </w:rPr>
        <w:t> </w:t>
      </w:r>
      <w:r>
        <w:rPr>
          <w:sz w:val="18"/>
          <w:vertAlign w:val="baseline"/>
        </w:rPr>
        <w:t>Plan</w:t>
      </w:r>
      <w:r>
        <w:rPr>
          <w:spacing w:val="-3"/>
          <w:sz w:val="18"/>
          <w:vertAlign w:val="baseline"/>
        </w:rPr>
        <w:t> </w:t>
      </w:r>
      <w:r>
        <w:rPr>
          <w:sz w:val="18"/>
          <w:vertAlign w:val="baseline"/>
        </w:rPr>
        <w:t>To</w:t>
      </w:r>
      <w:r>
        <w:rPr>
          <w:spacing w:val="-3"/>
          <w:sz w:val="18"/>
          <w:vertAlign w:val="baseline"/>
        </w:rPr>
        <w:t> </w:t>
      </w:r>
      <w:r>
        <w:rPr>
          <w:sz w:val="18"/>
          <w:vertAlign w:val="baseline"/>
        </w:rPr>
        <w:t>End</w:t>
      </w:r>
      <w:r>
        <w:rPr>
          <w:spacing w:val="-3"/>
          <w:sz w:val="18"/>
          <w:vertAlign w:val="baseline"/>
        </w:rPr>
        <w:t> </w:t>
      </w:r>
      <w:r>
        <w:rPr>
          <w:sz w:val="18"/>
          <w:vertAlign w:val="baseline"/>
        </w:rPr>
        <w:t>Youth</w:t>
      </w:r>
      <w:r>
        <w:rPr>
          <w:spacing w:val="-3"/>
          <w:sz w:val="18"/>
          <w:vertAlign w:val="baseline"/>
        </w:rPr>
        <w:t> </w:t>
      </w:r>
      <w:r>
        <w:rPr>
          <w:sz w:val="18"/>
          <w:vertAlign w:val="baseline"/>
        </w:rPr>
        <w:t>Homelessness.”</w:t>
      </w:r>
      <w:r>
        <w:rPr>
          <w:spacing w:val="-3"/>
          <w:sz w:val="18"/>
          <w:vertAlign w:val="baseline"/>
        </w:rPr>
        <w:t> </w:t>
      </w:r>
      <w:r>
        <w:rPr>
          <w:sz w:val="18"/>
          <w:vertAlign w:val="baseline"/>
        </w:rPr>
        <w:t>2018.</w:t>
      </w:r>
      <w:r>
        <w:rPr>
          <w:spacing w:val="-4"/>
          <w:sz w:val="18"/>
          <w:vertAlign w:val="baseline"/>
        </w:rPr>
        <w:t> </w:t>
      </w:r>
      <w:r>
        <w:rPr>
          <w:sz w:val="18"/>
          <w:vertAlign w:val="baseline"/>
        </w:rPr>
        <w:t>Massachusetts</w:t>
      </w:r>
      <w:r>
        <w:rPr>
          <w:spacing w:val="-3"/>
          <w:sz w:val="18"/>
          <w:vertAlign w:val="baseline"/>
        </w:rPr>
        <w:t> </w:t>
      </w:r>
      <w:r>
        <w:rPr>
          <w:sz w:val="18"/>
          <w:vertAlign w:val="baseline"/>
        </w:rPr>
        <w:t>Executive</w:t>
      </w:r>
      <w:r>
        <w:rPr>
          <w:spacing w:val="-3"/>
          <w:sz w:val="18"/>
          <w:vertAlign w:val="baseline"/>
        </w:rPr>
        <w:t> </w:t>
      </w:r>
      <w:r>
        <w:rPr>
          <w:sz w:val="18"/>
          <w:vertAlign w:val="baseline"/>
        </w:rPr>
        <w:t>Office</w:t>
      </w:r>
      <w:r>
        <w:rPr>
          <w:spacing w:val="-3"/>
          <w:sz w:val="18"/>
          <w:vertAlign w:val="baseline"/>
        </w:rPr>
        <w:t> </w:t>
      </w:r>
      <w:r>
        <w:rPr>
          <w:sz w:val="18"/>
          <w:vertAlign w:val="baseline"/>
        </w:rPr>
        <w:t>of</w:t>
      </w:r>
      <w:r>
        <w:rPr>
          <w:spacing w:val="-3"/>
          <w:sz w:val="18"/>
          <w:vertAlign w:val="baseline"/>
        </w:rPr>
        <w:t> </w:t>
      </w:r>
      <w:r>
        <w:rPr>
          <w:sz w:val="18"/>
          <w:vertAlign w:val="baseline"/>
        </w:rPr>
        <w:t>Health</w:t>
      </w:r>
      <w:r>
        <w:rPr>
          <w:spacing w:val="-3"/>
          <w:sz w:val="18"/>
          <w:vertAlign w:val="baseline"/>
        </w:rPr>
        <w:t> </w:t>
      </w:r>
      <w:r>
        <w:rPr>
          <w:sz w:val="18"/>
          <w:vertAlign w:val="baseline"/>
        </w:rPr>
        <w:t>and</w:t>
      </w:r>
      <w:r>
        <w:rPr>
          <w:spacing w:val="-3"/>
          <w:sz w:val="18"/>
          <w:vertAlign w:val="baseline"/>
        </w:rPr>
        <w:t> </w:t>
      </w:r>
      <w:r>
        <w:rPr>
          <w:sz w:val="18"/>
          <w:vertAlign w:val="baseline"/>
        </w:rPr>
        <w:t>Human Services. https:/</w:t>
      </w:r>
      <w:hyperlink r:id="rId450">
        <w:r>
          <w:rPr>
            <w:sz w:val="18"/>
            <w:vertAlign w:val="baseline"/>
          </w:rPr>
          <w:t>/www.mass.gov/doc/massachusetts-state-plan-to-end-youth-homelessness/download.</w:t>
        </w:r>
      </w:hyperlink>
    </w:p>
    <w:p>
      <w:pPr>
        <w:spacing w:before="121"/>
        <w:ind w:left="464" w:right="670" w:hanging="1"/>
        <w:jc w:val="left"/>
        <w:rPr>
          <w:sz w:val="18"/>
        </w:rPr>
      </w:pPr>
      <w:bookmarkStart w:name="_bookmark279" w:id="501"/>
      <w:bookmarkEnd w:id="501"/>
      <w:r>
        <w:rPr/>
      </w:r>
      <w:r>
        <w:rPr>
          <w:sz w:val="18"/>
          <w:vertAlign w:val="superscript"/>
        </w:rPr>
        <w:t>6</w:t>
      </w:r>
      <w:r>
        <w:rPr>
          <w:sz w:val="18"/>
          <w:vertAlign w:val="baseline"/>
        </w:rPr>
        <w:t> “Healey-Driscoll Administration Unveils $4 Billion Affordable Homes Act to Increase Production and Lower Costs | Mass.Gov.”</w:t>
      </w:r>
      <w:r>
        <w:rPr>
          <w:spacing w:val="-11"/>
          <w:sz w:val="18"/>
          <w:vertAlign w:val="baseline"/>
        </w:rPr>
        <w:t> </w:t>
      </w:r>
      <w:r>
        <w:rPr>
          <w:sz w:val="18"/>
          <w:vertAlign w:val="baseline"/>
        </w:rPr>
        <w:t>2024.</w:t>
      </w:r>
      <w:r>
        <w:rPr>
          <w:spacing w:val="-10"/>
          <w:sz w:val="18"/>
          <w:vertAlign w:val="baseline"/>
        </w:rPr>
        <w:t> </w:t>
      </w:r>
      <w:r>
        <w:rPr>
          <w:sz w:val="18"/>
          <w:vertAlign w:val="baseline"/>
        </w:rPr>
        <w:t>2024.</w:t>
      </w:r>
      <w:r>
        <w:rPr>
          <w:spacing w:val="-10"/>
          <w:sz w:val="18"/>
          <w:vertAlign w:val="baseline"/>
        </w:rPr>
        <w:t> </w:t>
      </w:r>
      <w:r>
        <w:rPr>
          <w:sz w:val="18"/>
          <w:vertAlign w:val="baseline"/>
        </w:rPr>
        <w:t>https://</w:t>
      </w:r>
      <w:hyperlink r:id="rId451">
        <w:r>
          <w:rPr>
            <w:sz w:val="18"/>
            <w:vertAlign w:val="baseline"/>
          </w:rPr>
          <w:t>www.mass.gov/news/healey-driscoll-administration-unveils-4-billion-affordable-homes-</w:t>
        </w:r>
      </w:hyperlink>
      <w:r>
        <w:rPr>
          <w:sz w:val="18"/>
          <w:vertAlign w:val="baseline"/>
        </w:rPr>
        <w:t> </w:t>
      </w:r>
      <w:r>
        <w:rPr>
          <w:spacing w:val="-2"/>
          <w:sz w:val="18"/>
          <w:vertAlign w:val="baseline"/>
        </w:rPr>
        <w:t>act-to-increase-production-and-lower-costs.</w:t>
      </w:r>
    </w:p>
    <w:p>
      <w:pPr>
        <w:spacing w:before="119"/>
        <w:ind w:left="464" w:right="565" w:firstLine="0"/>
        <w:jc w:val="left"/>
        <w:rPr>
          <w:sz w:val="18"/>
        </w:rPr>
      </w:pPr>
      <w:bookmarkStart w:name="_bookmark280" w:id="502"/>
      <w:bookmarkEnd w:id="502"/>
      <w:r>
        <w:rPr/>
      </w:r>
      <w:r>
        <w:rPr>
          <w:sz w:val="18"/>
          <w:vertAlign w:val="superscript"/>
        </w:rPr>
        <w:t>7</w:t>
      </w:r>
      <w:r>
        <w:rPr>
          <w:sz w:val="18"/>
          <w:vertAlign w:val="baseline"/>
        </w:rPr>
        <w:t> Goodyear, Trevor, Koharu Loulou Chayama, John L. Oliffe, Hannah Kia, Danya Fast, Caroline Mniszak, Rod Knight, and Emily</w:t>
      </w:r>
      <w:r>
        <w:rPr>
          <w:spacing w:val="-4"/>
          <w:sz w:val="18"/>
          <w:vertAlign w:val="baseline"/>
        </w:rPr>
        <w:t> </w:t>
      </w:r>
      <w:r>
        <w:rPr>
          <w:sz w:val="18"/>
          <w:vertAlign w:val="baseline"/>
        </w:rPr>
        <w:t>Jenkins.</w:t>
      </w:r>
      <w:r>
        <w:rPr>
          <w:spacing w:val="-4"/>
          <w:sz w:val="18"/>
          <w:vertAlign w:val="baseline"/>
        </w:rPr>
        <w:t> </w:t>
      </w:r>
      <w:r>
        <w:rPr>
          <w:sz w:val="18"/>
          <w:vertAlign w:val="baseline"/>
        </w:rPr>
        <w:t>2024.</w:t>
      </w:r>
      <w:r>
        <w:rPr>
          <w:spacing w:val="-4"/>
          <w:sz w:val="18"/>
          <w:vertAlign w:val="baseline"/>
        </w:rPr>
        <w:t> </w:t>
      </w:r>
      <w:r>
        <w:rPr>
          <w:sz w:val="18"/>
          <w:vertAlign w:val="baseline"/>
        </w:rPr>
        <w:t>“Intersecting</w:t>
      </w:r>
      <w:r>
        <w:rPr>
          <w:spacing w:val="-4"/>
          <w:sz w:val="18"/>
          <w:vertAlign w:val="baseline"/>
        </w:rPr>
        <w:t> </w:t>
      </w:r>
      <w:r>
        <w:rPr>
          <w:sz w:val="18"/>
          <w:vertAlign w:val="baseline"/>
        </w:rPr>
        <w:t>Transitions</w:t>
      </w:r>
      <w:r>
        <w:rPr>
          <w:spacing w:val="-4"/>
          <w:sz w:val="18"/>
          <w:vertAlign w:val="baseline"/>
        </w:rPr>
        <w:t> </w:t>
      </w:r>
      <w:r>
        <w:rPr>
          <w:sz w:val="18"/>
          <w:vertAlign w:val="baseline"/>
        </w:rPr>
        <w:t>among</w:t>
      </w:r>
      <w:r>
        <w:rPr>
          <w:spacing w:val="-4"/>
          <w:sz w:val="18"/>
          <w:vertAlign w:val="baseline"/>
        </w:rPr>
        <w:t> </w:t>
      </w:r>
      <w:r>
        <w:rPr>
          <w:sz w:val="18"/>
          <w:vertAlign w:val="baseline"/>
        </w:rPr>
        <w:t>2S/LGBTQ+</w:t>
      </w:r>
      <w:r>
        <w:rPr>
          <w:spacing w:val="-4"/>
          <w:sz w:val="18"/>
          <w:vertAlign w:val="baseline"/>
        </w:rPr>
        <w:t> </w:t>
      </w:r>
      <w:r>
        <w:rPr>
          <w:sz w:val="18"/>
          <w:vertAlign w:val="baseline"/>
        </w:rPr>
        <w:t>Youth</w:t>
      </w:r>
      <w:r>
        <w:rPr>
          <w:spacing w:val="-4"/>
          <w:sz w:val="18"/>
          <w:vertAlign w:val="baseline"/>
        </w:rPr>
        <w:t> </w:t>
      </w:r>
      <w:r>
        <w:rPr>
          <w:sz w:val="18"/>
          <w:vertAlign w:val="baseline"/>
        </w:rPr>
        <w:t>Experiencing</w:t>
      </w:r>
      <w:r>
        <w:rPr>
          <w:spacing w:val="-4"/>
          <w:sz w:val="18"/>
          <w:vertAlign w:val="baseline"/>
        </w:rPr>
        <w:t> </w:t>
      </w:r>
      <w:r>
        <w:rPr>
          <w:sz w:val="18"/>
          <w:vertAlign w:val="baseline"/>
        </w:rPr>
        <w:t>Homelessness:</w:t>
      </w:r>
      <w:r>
        <w:rPr>
          <w:spacing w:val="-4"/>
          <w:sz w:val="18"/>
          <w:vertAlign w:val="baseline"/>
        </w:rPr>
        <w:t> </w:t>
      </w:r>
      <w:r>
        <w:rPr>
          <w:sz w:val="18"/>
          <w:vertAlign w:val="baseline"/>
        </w:rPr>
        <w:t>A</w:t>
      </w:r>
      <w:r>
        <w:rPr>
          <w:spacing w:val="-4"/>
          <w:sz w:val="18"/>
          <w:vertAlign w:val="baseline"/>
        </w:rPr>
        <w:t> </w:t>
      </w:r>
      <w:r>
        <w:rPr>
          <w:sz w:val="18"/>
          <w:vertAlign w:val="baseline"/>
        </w:rPr>
        <w:t>Scoping</w:t>
      </w:r>
      <w:r>
        <w:rPr>
          <w:spacing w:val="-4"/>
          <w:sz w:val="18"/>
          <w:vertAlign w:val="baseline"/>
        </w:rPr>
        <w:t> </w:t>
      </w:r>
      <w:r>
        <w:rPr>
          <w:sz w:val="18"/>
          <w:vertAlign w:val="baseline"/>
        </w:rPr>
        <w:t>Review.” </w:t>
      </w:r>
      <w:r>
        <w:rPr>
          <w:i/>
          <w:sz w:val="18"/>
          <w:vertAlign w:val="baseline"/>
        </w:rPr>
        <w:t>Children and Youth Services Review </w:t>
      </w:r>
      <w:r>
        <w:rPr>
          <w:sz w:val="18"/>
          <w:vertAlign w:val="baseline"/>
        </w:rPr>
        <w:t>156 (January): 107355. https://doi.org/10.1016/j.childyouth.2023.107355.</w:t>
      </w:r>
    </w:p>
    <w:p>
      <w:pPr>
        <w:spacing w:before="120"/>
        <w:ind w:left="464" w:right="0" w:firstLine="0"/>
        <w:jc w:val="left"/>
        <w:rPr>
          <w:sz w:val="18"/>
        </w:rPr>
      </w:pPr>
      <w:bookmarkStart w:name="_bookmark281" w:id="503"/>
      <w:bookmarkEnd w:id="503"/>
      <w:r>
        <w:rPr/>
      </w:r>
      <w:r>
        <w:rPr>
          <w:sz w:val="18"/>
          <w:vertAlign w:val="superscript"/>
        </w:rPr>
        <w:t>8</w:t>
      </w:r>
      <w:r>
        <w:rPr>
          <w:spacing w:val="-7"/>
          <w:sz w:val="18"/>
          <w:vertAlign w:val="baseline"/>
        </w:rPr>
        <w:t> </w:t>
      </w:r>
      <w:r>
        <w:rPr>
          <w:sz w:val="18"/>
          <w:vertAlign w:val="baseline"/>
        </w:rPr>
        <w:t>“True</w:t>
      </w:r>
      <w:r>
        <w:rPr>
          <w:spacing w:val="-4"/>
          <w:sz w:val="18"/>
          <w:vertAlign w:val="baseline"/>
        </w:rPr>
        <w:t> </w:t>
      </w:r>
      <w:r>
        <w:rPr>
          <w:sz w:val="18"/>
          <w:vertAlign w:val="baseline"/>
        </w:rPr>
        <w:t>Colors</w:t>
      </w:r>
      <w:r>
        <w:rPr>
          <w:spacing w:val="-4"/>
          <w:sz w:val="18"/>
          <w:vertAlign w:val="baseline"/>
        </w:rPr>
        <w:t> </w:t>
      </w:r>
      <w:r>
        <w:rPr>
          <w:sz w:val="18"/>
          <w:vertAlign w:val="baseline"/>
        </w:rPr>
        <w:t>United.”</w:t>
      </w:r>
      <w:r>
        <w:rPr>
          <w:spacing w:val="-4"/>
          <w:sz w:val="18"/>
          <w:vertAlign w:val="baseline"/>
        </w:rPr>
        <w:t> </w:t>
      </w:r>
      <w:r>
        <w:rPr>
          <w:sz w:val="18"/>
          <w:vertAlign w:val="baseline"/>
        </w:rPr>
        <w:t>2024.</w:t>
      </w:r>
      <w:r>
        <w:rPr>
          <w:spacing w:val="-4"/>
          <w:sz w:val="18"/>
          <w:vertAlign w:val="baseline"/>
        </w:rPr>
        <w:t> </w:t>
      </w:r>
      <w:r>
        <w:rPr>
          <w:sz w:val="18"/>
          <w:vertAlign w:val="baseline"/>
        </w:rPr>
        <w:t>True</w:t>
      </w:r>
      <w:r>
        <w:rPr>
          <w:spacing w:val="-5"/>
          <w:sz w:val="18"/>
          <w:vertAlign w:val="baseline"/>
        </w:rPr>
        <w:t> </w:t>
      </w:r>
      <w:r>
        <w:rPr>
          <w:sz w:val="18"/>
          <w:vertAlign w:val="baseline"/>
        </w:rPr>
        <w:t>Colors</w:t>
      </w:r>
      <w:r>
        <w:rPr>
          <w:spacing w:val="-4"/>
          <w:sz w:val="18"/>
          <w:vertAlign w:val="baseline"/>
        </w:rPr>
        <w:t> </w:t>
      </w:r>
      <w:r>
        <w:rPr>
          <w:sz w:val="18"/>
          <w:vertAlign w:val="baseline"/>
        </w:rPr>
        <w:t>United.</w:t>
      </w:r>
      <w:r>
        <w:rPr>
          <w:spacing w:val="-4"/>
          <w:sz w:val="18"/>
          <w:vertAlign w:val="baseline"/>
        </w:rPr>
        <w:t> </w:t>
      </w:r>
      <w:r>
        <w:rPr>
          <w:sz w:val="18"/>
          <w:vertAlign w:val="baseline"/>
        </w:rPr>
        <w:t>March</w:t>
      </w:r>
      <w:r>
        <w:rPr>
          <w:spacing w:val="-4"/>
          <w:sz w:val="18"/>
          <w:vertAlign w:val="baseline"/>
        </w:rPr>
        <w:t> </w:t>
      </w:r>
      <w:r>
        <w:rPr>
          <w:sz w:val="18"/>
          <w:vertAlign w:val="baseline"/>
        </w:rPr>
        <w:t>16,</w:t>
      </w:r>
      <w:r>
        <w:rPr>
          <w:spacing w:val="-5"/>
          <w:sz w:val="18"/>
          <w:vertAlign w:val="baseline"/>
        </w:rPr>
        <w:t> </w:t>
      </w:r>
      <w:r>
        <w:rPr>
          <w:sz w:val="18"/>
          <w:vertAlign w:val="baseline"/>
        </w:rPr>
        <w:t>2024.</w:t>
      </w:r>
      <w:r>
        <w:rPr>
          <w:spacing w:val="-3"/>
          <w:sz w:val="18"/>
          <w:vertAlign w:val="baseline"/>
        </w:rPr>
        <w:t> </w:t>
      </w:r>
      <w:r>
        <w:rPr>
          <w:sz w:val="18"/>
          <w:vertAlign w:val="baseline"/>
        </w:rPr>
        <w:t>https://truecolorsunited.org/our-</w:t>
      </w:r>
      <w:r>
        <w:rPr>
          <w:spacing w:val="-2"/>
          <w:sz w:val="18"/>
          <w:vertAlign w:val="baseline"/>
        </w:rPr>
        <w:t>issue/.</w:t>
      </w:r>
    </w:p>
    <w:p>
      <w:pPr>
        <w:spacing w:before="120"/>
        <w:ind w:left="464" w:right="401" w:firstLine="0"/>
        <w:jc w:val="left"/>
        <w:rPr>
          <w:sz w:val="18"/>
        </w:rPr>
      </w:pPr>
      <w:bookmarkStart w:name="_bookmark282" w:id="504"/>
      <w:bookmarkEnd w:id="504"/>
      <w:r>
        <w:rPr/>
      </w:r>
      <w:r>
        <w:rPr>
          <w:sz w:val="18"/>
          <w:vertAlign w:val="superscript"/>
        </w:rPr>
        <w:t>9</w:t>
      </w:r>
      <w:r>
        <w:rPr>
          <w:sz w:val="18"/>
          <w:vertAlign w:val="baseline"/>
        </w:rPr>
        <w:t> Rivers, Malik. 2023. “Intersectionality and Homelessness: We Need to Take a Deeper Dive.” National Alliance to End Homelessness.</w:t>
      </w:r>
      <w:r>
        <w:rPr>
          <w:spacing w:val="-10"/>
          <w:sz w:val="18"/>
          <w:vertAlign w:val="baseline"/>
        </w:rPr>
        <w:t> </w:t>
      </w:r>
      <w:r>
        <w:rPr>
          <w:sz w:val="18"/>
          <w:vertAlign w:val="baseline"/>
        </w:rPr>
        <w:t>February</w:t>
      </w:r>
      <w:r>
        <w:rPr>
          <w:spacing w:val="-10"/>
          <w:sz w:val="18"/>
          <w:vertAlign w:val="baseline"/>
        </w:rPr>
        <w:t> </w:t>
      </w:r>
      <w:r>
        <w:rPr>
          <w:sz w:val="18"/>
          <w:vertAlign w:val="baseline"/>
        </w:rPr>
        <w:t>23,</w:t>
      </w:r>
      <w:r>
        <w:rPr>
          <w:spacing w:val="-10"/>
          <w:sz w:val="18"/>
          <w:vertAlign w:val="baseline"/>
        </w:rPr>
        <w:t> </w:t>
      </w:r>
      <w:r>
        <w:rPr>
          <w:sz w:val="18"/>
          <w:vertAlign w:val="baseline"/>
        </w:rPr>
        <w:t>2023.</w:t>
      </w:r>
      <w:r>
        <w:rPr>
          <w:spacing w:val="-10"/>
          <w:sz w:val="18"/>
          <w:vertAlign w:val="baseline"/>
        </w:rPr>
        <w:t> </w:t>
      </w:r>
      <w:r>
        <w:rPr>
          <w:sz w:val="18"/>
          <w:vertAlign w:val="baseline"/>
        </w:rPr>
        <w:t>https://endhomelessness.org/blog/intersectionality-and-homelessness-we-need-to-take- </w:t>
      </w:r>
      <w:r>
        <w:rPr>
          <w:spacing w:val="-2"/>
          <w:sz w:val="18"/>
          <w:vertAlign w:val="baseline"/>
        </w:rPr>
        <w:t>a-deeper-dive/.</w:t>
      </w:r>
    </w:p>
    <w:p>
      <w:pPr>
        <w:spacing w:before="121"/>
        <w:ind w:left="464" w:right="565" w:firstLine="0"/>
        <w:jc w:val="left"/>
        <w:rPr>
          <w:sz w:val="18"/>
        </w:rPr>
      </w:pPr>
      <w:bookmarkStart w:name="_bookmark283" w:id="505"/>
      <w:bookmarkEnd w:id="505"/>
      <w:r>
        <w:rPr/>
      </w:r>
      <w:r>
        <w:rPr>
          <w:sz w:val="18"/>
          <w:vertAlign w:val="superscript"/>
        </w:rPr>
        <w:t>10</w:t>
      </w:r>
      <w:r>
        <w:rPr>
          <w:spacing w:val="-3"/>
          <w:sz w:val="18"/>
          <w:vertAlign w:val="baseline"/>
        </w:rPr>
        <w:t> </w:t>
      </w:r>
      <w:r>
        <w:rPr>
          <w:sz w:val="18"/>
          <w:vertAlign w:val="baseline"/>
        </w:rPr>
        <w:t>Deal,</w:t>
      </w:r>
      <w:r>
        <w:rPr>
          <w:spacing w:val="-4"/>
          <w:sz w:val="18"/>
          <w:vertAlign w:val="baseline"/>
        </w:rPr>
        <w:t> </w:t>
      </w:r>
      <w:r>
        <w:rPr>
          <w:sz w:val="18"/>
          <w:vertAlign w:val="baseline"/>
        </w:rPr>
        <w:t>Cameron,</w:t>
      </w:r>
      <w:r>
        <w:rPr>
          <w:spacing w:val="-4"/>
          <w:sz w:val="18"/>
          <w:vertAlign w:val="baseline"/>
        </w:rPr>
        <w:t> </w:t>
      </w:r>
      <w:r>
        <w:rPr>
          <w:sz w:val="18"/>
          <w:vertAlign w:val="baseline"/>
        </w:rPr>
        <w:t>Riya</w:t>
      </w:r>
      <w:r>
        <w:rPr>
          <w:spacing w:val="-3"/>
          <w:sz w:val="18"/>
          <w:vertAlign w:val="baseline"/>
        </w:rPr>
        <w:t> </w:t>
      </w:r>
      <w:r>
        <w:rPr>
          <w:sz w:val="18"/>
          <w:vertAlign w:val="baseline"/>
        </w:rPr>
        <w:t>D.</w:t>
      </w:r>
      <w:r>
        <w:rPr>
          <w:spacing w:val="-3"/>
          <w:sz w:val="18"/>
          <w:vertAlign w:val="baseline"/>
        </w:rPr>
        <w:t> </w:t>
      </w:r>
      <w:r>
        <w:rPr>
          <w:sz w:val="18"/>
          <w:vertAlign w:val="baseline"/>
        </w:rPr>
        <w:t>Doshi,</w:t>
      </w:r>
      <w:r>
        <w:rPr>
          <w:spacing w:val="-4"/>
          <w:sz w:val="18"/>
          <w:vertAlign w:val="baseline"/>
        </w:rPr>
        <w:t> </w:t>
      </w:r>
      <w:r>
        <w:rPr>
          <w:sz w:val="18"/>
          <w:vertAlign w:val="baseline"/>
        </w:rPr>
        <w:t>and</w:t>
      </w:r>
      <w:r>
        <w:rPr>
          <w:spacing w:val="-3"/>
          <w:sz w:val="18"/>
          <w:vertAlign w:val="baseline"/>
        </w:rPr>
        <w:t> </w:t>
      </w:r>
      <w:r>
        <w:rPr>
          <w:sz w:val="18"/>
          <w:vertAlign w:val="baseline"/>
        </w:rPr>
        <w:t>Gilbert</w:t>
      </w:r>
      <w:r>
        <w:rPr>
          <w:spacing w:val="-4"/>
          <w:sz w:val="18"/>
          <w:vertAlign w:val="baseline"/>
        </w:rPr>
        <w:t> </w:t>
      </w:r>
      <w:r>
        <w:rPr>
          <w:sz w:val="18"/>
          <w:vertAlign w:val="baseline"/>
        </w:rPr>
        <w:t>Gonzales.</w:t>
      </w:r>
      <w:r>
        <w:rPr>
          <w:spacing w:val="-3"/>
          <w:sz w:val="18"/>
          <w:vertAlign w:val="baseline"/>
        </w:rPr>
        <w:t> </w:t>
      </w:r>
      <w:r>
        <w:rPr>
          <w:sz w:val="18"/>
          <w:vertAlign w:val="baseline"/>
        </w:rPr>
        <w:t>2023.</w:t>
      </w:r>
      <w:r>
        <w:rPr>
          <w:spacing w:val="-3"/>
          <w:sz w:val="18"/>
          <w:vertAlign w:val="baseline"/>
        </w:rPr>
        <w:t> </w:t>
      </w:r>
      <w:r>
        <w:rPr>
          <w:sz w:val="18"/>
          <w:vertAlign w:val="baseline"/>
        </w:rPr>
        <w:t>“Gender</w:t>
      </w:r>
      <w:r>
        <w:rPr>
          <w:spacing w:val="-4"/>
          <w:sz w:val="18"/>
          <w:vertAlign w:val="baseline"/>
        </w:rPr>
        <w:t> </w:t>
      </w:r>
      <w:r>
        <w:rPr>
          <w:sz w:val="18"/>
          <w:vertAlign w:val="baseline"/>
        </w:rPr>
        <w:t>Minority</w:t>
      </w:r>
      <w:r>
        <w:rPr>
          <w:spacing w:val="-3"/>
          <w:sz w:val="18"/>
          <w:vertAlign w:val="baseline"/>
        </w:rPr>
        <w:t> </w:t>
      </w:r>
      <w:r>
        <w:rPr>
          <w:sz w:val="18"/>
          <w:vertAlign w:val="baseline"/>
        </w:rPr>
        <w:t>Youth</w:t>
      </w:r>
      <w:r>
        <w:rPr>
          <w:spacing w:val="-3"/>
          <w:sz w:val="18"/>
          <w:vertAlign w:val="baseline"/>
        </w:rPr>
        <w:t> </w:t>
      </w:r>
      <w:r>
        <w:rPr>
          <w:sz w:val="18"/>
          <w:vertAlign w:val="baseline"/>
        </w:rPr>
        <w:t>Experiencing</w:t>
      </w:r>
      <w:r>
        <w:rPr>
          <w:spacing w:val="-3"/>
          <w:sz w:val="18"/>
          <w:vertAlign w:val="baseline"/>
        </w:rPr>
        <w:t> </w:t>
      </w:r>
      <w:r>
        <w:rPr>
          <w:sz w:val="18"/>
          <w:vertAlign w:val="baseline"/>
        </w:rPr>
        <w:t>Homelessness</w:t>
      </w:r>
      <w:r>
        <w:rPr>
          <w:spacing w:val="-4"/>
          <w:sz w:val="18"/>
          <w:vertAlign w:val="baseline"/>
        </w:rPr>
        <w:t> </w:t>
      </w:r>
      <w:r>
        <w:rPr>
          <w:sz w:val="18"/>
          <w:vertAlign w:val="baseline"/>
        </w:rPr>
        <w:t>and Corresponding Health Disparities.” </w:t>
      </w:r>
      <w:r>
        <w:rPr>
          <w:i/>
          <w:sz w:val="18"/>
          <w:vertAlign w:val="baseline"/>
        </w:rPr>
        <w:t>Journal of Adolescent Health </w:t>
      </w:r>
      <w:r>
        <w:rPr>
          <w:sz w:val="18"/>
          <w:vertAlign w:val="baseline"/>
        </w:rPr>
        <w:t>72 (5): 763–69. </w:t>
      </w:r>
      <w:r>
        <w:rPr>
          <w:spacing w:val="-2"/>
          <w:sz w:val="18"/>
          <w:vertAlign w:val="baseline"/>
        </w:rPr>
        <w:t>https://doi.org/10.1016/j.jadohealth.2022.11.229.</w:t>
      </w:r>
    </w:p>
    <w:p>
      <w:pPr>
        <w:spacing w:before="119"/>
        <w:ind w:left="464" w:right="0" w:firstLine="0"/>
        <w:jc w:val="left"/>
        <w:rPr>
          <w:sz w:val="18"/>
        </w:rPr>
      </w:pPr>
      <w:bookmarkStart w:name="_bookmark284" w:id="506"/>
      <w:bookmarkEnd w:id="506"/>
      <w:r>
        <w:rPr/>
      </w:r>
      <w:r>
        <w:rPr>
          <w:sz w:val="18"/>
          <w:vertAlign w:val="superscript"/>
        </w:rPr>
        <w:t>11</w:t>
      </w:r>
      <w:r>
        <w:rPr>
          <w:spacing w:val="-5"/>
          <w:sz w:val="18"/>
          <w:vertAlign w:val="baseline"/>
        </w:rPr>
        <w:t> </w:t>
      </w:r>
      <w:r>
        <w:rPr>
          <w:sz w:val="18"/>
          <w:vertAlign w:val="baseline"/>
        </w:rPr>
        <w:t>Richard,</w:t>
      </w:r>
      <w:r>
        <w:rPr>
          <w:spacing w:val="-2"/>
          <w:sz w:val="18"/>
          <w:vertAlign w:val="baseline"/>
        </w:rPr>
        <w:t> </w:t>
      </w:r>
      <w:r>
        <w:rPr>
          <w:sz w:val="18"/>
          <w:vertAlign w:val="baseline"/>
        </w:rPr>
        <w:t>Molly</w:t>
      </w:r>
      <w:r>
        <w:rPr>
          <w:spacing w:val="-2"/>
          <w:sz w:val="18"/>
          <w:vertAlign w:val="baseline"/>
        </w:rPr>
        <w:t> </w:t>
      </w:r>
      <w:r>
        <w:rPr>
          <w:sz w:val="18"/>
          <w:vertAlign w:val="baseline"/>
        </w:rPr>
        <w:t>K.</w:t>
      </w:r>
      <w:r>
        <w:rPr>
          <w:spacing w:val="-2"/>
          <w:sz w:val="18"/>
          <w:vertAlign w:val="baseline"/>
        </w:rPr>
        <w:t> </w:t>
      </w:r>
      <w:r>
        <w:rPr>
          <w:sz w:val="18"/>
          <w:vertAlign w:val="baseline"/>
        </w:rPr>
        <w:t>2023.</w:t>
      </w:r>
      <w:r>
        <w:rPr>
          <w:spacing w:val="-3"/>
          <w:sz w:val="18"/>
          <w:vertAlign w:val="baseline"/>
        </w:rPr>
        <w:t> </w:t>
      </w:r>
      <w:r>
        <w:rPr>
          <w:sz w:val="18"/>
          <w:vertAlign w:val="baseline"/>
        </w:rPr>
        <w:t>“Race</w:t>
      </w:r>
      <w:r>
        <w:rPr>
          <w:spacing w:val="-2"/>
          <w:sz w:val="18"/>
          <w:vertAlign w:val="baseline"/>
        </w:rPr>
        <w:t> </w:t>
      </w:r>
      <w:r>
        <w:rPr>
          <w:sz w:val="18"/>
          <w:vertAlign w:val="baseline"/>
        </w:rPr>
        <w:t>Matters</w:t>
      </w:r>
      <w:r>
        <w:rPr>
          <w:spacing w:val="-2"/>
          <w:sz w:val="18"/>
          <w:vertAlign w:val="baseline"/>
        </w:rPr>
        <w:t> </w:t>
      </w:r>
      <w:r>
        <w:rPr>
          <w:sz w:val="18"/>
          <w:vertAlign w:val="baseline"/>
        </w:rPr>
        <w:t>in</w:t>
      </w:r>
      <w:r>
        <w:rPr>
          <w:spacing w:val="-2"/>
          <w:sz w:val="18"/>
          <w:vertAlign w:val="baseline"/>
        </w:rPr>
        <w:t> </w:t>
      </w:r>
      <w:r>
        <w:rPr>
          <w:sz w:val="18"/>
          <w:vertAlign w:val="baseline"/>
        </w:rPr>
        <w:t>Addressing</w:t>
      </w:r>
      <w:r>
        <w:rPr>
          <w:spacing w:val="-3"/>
          <w:sz w:val="18"/>
          <w:vertAlign w:val="baseline"/>
        </w:rPr>
        <w:t> </w:t>
      </w:r>
      <w:r>
        <w:rPr>
          <w:sz w:val="18"/>
          <w:vertAlign w:val="baseline"/>
        </w:rPr>
        <w:t>Homelessness:</w:t>
      </w:r>
      <w:r>
        <w:rPr>
          <w:spacing w:val="-2"/>
          <w:sz w:val="18"/>
          <w:vertAlign w:val="baseline"/>
        </w:rPr>
        <w:t> </w:t>
      </w:r>
      <w:r>
        <w:rPr>
          <w:sz w:val="18"/>
          <w:vertAlign w:val="baseline"/>
        </w:rPr>
        <w:t>A</w:t>
      </w:r>
      <w:r>
        <w:rPr>
          <w:spacing w:val="-2"/>
          <w:sz w:val="18"/>
          <w:vertAlign w:val="baseline"/>
        </w:rPr>
        <w:t> </w:t>
      </w:r>
      <w:r>
        <w:rPr>
          <w:sz w:val="18"/>
          <w:vertAlign w:val="baseline"/>
        </w:rPr>
        <w:t>Scoping</w:t>
      </w:r>
      <w:r>
        <w:rPr>
          <w:spacing w:val="-2"/>
          <w:sz w:val="18"/>
          <w:vertAlign w:val="baseline"/>
        </w:rPr>
        <w:t> </w:t>
      </w:r>
      <w:r>
        <w:rPr>
          <w:sz w:val="18"/>
          <w:vertAlign w:val="baseline"/>
        </w:rPr>
        <w:t>Review</w:t>
      </w:r>
      <w:r>
        <w:rPr>
          <w:spacing w:val="-4"/>
          <w:sz w:val="18"/>
          <w:vertAlign w:val="baseline"/>
        </w:rPr>
        <w:t> </w:t>
      </w:r>
      <w:r>
        <w:rPr>
          <w:sz w:val="18"/>
          <w:vertAlign w:val="baseline"/>
        </w:rPr>
        <w:t>and</w:t>
      </w:r>
      <w:r>
        <w:rPr>
          <w:spacing w:val="-2"/>
          <w:sz w:val="18"/>
          <w:vertAlign w:val="baseline"/>
        </w:rPr>
        <w:t> </w:t>
      </w:r>
      <w:r>
        <w:rPr>
          <w:sz w:val="18"/>
          <w:vertAlign w:val="baseline"/>
        </w:rPr>
        <w:t>Call</w:t>
      </w:r>
      <w:r>
        <w:rPr>
          <w:spacing w:val="-3"/>
          <w:sz w:val="18"/>
          <w:vertAlign w:val="baseline"/>
        </w:rPr>
        <w:t> </w:t>
      </w:r>
      <w:r>
        <w:rPr>
          <w:sz w:val="18"/>
          <w:vertAlign w:val="baseline"/>
        </w:rPr>
        <w:t>for</w:t>
      </w:r>
      <w:r>
        <w:rPr>
          <w:spacing w:val="-3"/>
          <w:sz w:val="18"/>
          <w:vertAlign w:val="baseline"/>
        </w:rPr>
        <w:t> </w:t>
      </w:r>
      <w:r>
        <w:rPr>
          <w:sz w:val="18"/>
          <w:vertAlign w:val="baseline"/>
        </w:rPr>
        <w:t>Critical</w:t>
      </w:r>
      <w:r>
        <w:rPr>
          <w:spacing w:val="-3"/>
          <w:sz w:val="18"/>
          <w:vertAlign w:val="baseline"/>
        </w:rPr>
        <w:t> </w:t>
      </w:r>
      <w:r>
        <w:rPr>
          <w:spacing w:val="-2"/>
          <w:sz w:val="18"/>
          <w:vertAlign w:val="baseline"/>
        </w:rPr>
        <w:t>Research.”</w:t>
      </w:r>
    </w:p>
    <w:p>
      <w:pPr>
        <w:spacing w:before="0"/>
        <w:ind w:left="464" w:right="0" w:firstLine="0"/>
        <w:jc w:val="left"/>
        <w:rPr>
          <w:sz w:val="18"/>
        </w:rPr>
      </w:pPr>
      <w:r>
        <w:rPr>
          <w:i/>
          <w:sz w:val="18"/>
        </w:rPr>
        <w:t>American</w:t>
      </w:r>
      <w:r>
        <w:rPr>
          <w:i/>
          <w:spacing w:val="-6"/>
          <w:sz w:val="18"/>
        </w:rPr>
        <w:t> </w:t>
      </w:r>
      <w:r>
        <w:rPr>
          <w:i/>
          <w:sz w:val="18"/>
        </w:rPr>
        <w:t>Journal</w:t>
      </w:r>
      <w:r>
        <w:rPr>
          <w:i/>
          <w:spacing w:val="-3"/>
          <w:sz w:val="18"/>
        </w:rPr>
        <w:t> </w:t>
      </w:r>
      <w:r>
        <w:rPr>
          <w:i/>
          <w:sz w:val="18"/>
        </w:rPr>
        <w:t>of</w:t>
      </w:r>
      <w:r>
        <w:rPr>
          <w:i/>
          <w:spacing w:val="-3"/>
          <w:sz w:val="18"/>
        </w:rPr>
        <w:t> </w:t>
      </w:r>
      <w:r>
        <w:rPr>
          <w:i/>
          <w:sz w:val="18"/>
        </w:rPr>
        <w:t>Community</w:t>
      </w:r>
      <w:r>
        <w:rPr>
          <w:i/>
          <w:spacing w:val="-1"/>
          <w:sz w:val="18"/>
        </w:rPr>
        <w:t> </w:t>
      </w:r>
      <w:r>
        <w:rPr>
          <w:i/>
          <w:sz w:val="18"/>
        </w:rPr>
        <w:t>Psychology</w:t>
      </w:r>
      <w:r>
        <w:rPr>
          <w:i/>
          <w:spacing w:val="-3"/>
          <w:sz w:val="18"/>
        </w:rPr>
        <w:t> </w:t>
      </w:r>
      <w:r>
        <w:rPr>
          <w:sz w:val="18"/>
        </w:rPr>
        <w:t>72</w:t>
      </w:r>
      <w:r>
        <w:rPr>
          <w:spacing w:val="-2"/>
          <w:sz w:val="18"/>
        </w:rPr>
        <w:t> </w:t>
      </w:r>
      <w:r>
        <w:rPr>
          <w:sz w:val="18"/>
        </w:rPr>
        <w:t>(3–4):</w:t>
      </w:r>
      <w:r>
        <w:rPr>
          <w:spacing w:val="-3"/>
          <w:sz w:val="18"/>
        </w:rPr>
        <w:t> </w:t>
      </w:r>
      <w:r>
        <w:rPr>
          <w:sz w:val="18"/>
        </w:rPr>
        <w:t>464–85.</w:t>
      </w:r>
      <w:r>
        <w:rPr>
          <w:spacing w:val="-2"/>
          <w:sz w:val="18"/>
        </w:rPr>
        <w:t> https://doi.org/10.1002/ajcp.12700.</w:t>
      </w:r>
    </w:p>
    <w:p>
      <w:pPr>
        <w:spacing w:before="120"/>
        <w:ind w:left="464" w:right="0" w:firstLine="0"/>
        <w:jc w:val="left"/>
        <w:rPr>
          <w:sz w:val="18"/>
        </w:rPr>
      </w:pPr>
      <w:bookmarkStart w:name="_bookmark285" w:id="507"/>
      <w:bookmarkEnd w:id="507"/>
      <w:r>
        <w:rPr/>
      </w:r>
      <w:r>
        <w:rPr>
          <w:sz w:val="18"/>
          <w:vertAlign w:val="superscript"/>
        </w:rPr>
        <w:t>12</w:t>
      </w:r>
      <w:r>
        <w:rPr>
          <w:spacing w:val="-3"/>
          <w:sz w:val="18"/>
          <w:vertAlign w:val="baseline"/>
        </w:rPr>
        <w:t> </w:t>
      </w:r>
      <w:r>
        <w:rPr>
          <w:sz w:val="18"/>
          <w:vertAlign w:val="baseline"/>
        </w:rPr>
        <w:t>Laurie</w:t>
      </w:r>
      <w:r>
        <w:rPr>
          <w:spacing w:val="-3"/>
          <w:sz w:val="18"/>
          <w:vertAlign w:val="baseline"/>
        </w:rPr>
        <w:t> </w:t>
      </w:r>
      <w:r>
        <w:rPr>
          <w:sz w:val="18"/>
          <w:vertAlign w:val="baseline"/>
        </w:rPr>
        <w:t>Ross,</w:t>
      </w:r>
      <w:r>
        <w:rPr>
          <w:spacing w:val="-4"/>
          <w:sz w:val="18"/>
          <w:vertAlign w:val="baseline"/>
        </w:rPr>
        <w:t> </w:t>
      </w:r>
      <w:r>
        <w:rPr>
          <w:sz w:val="18"/>
          <w:vertAlign w:val="baseline"/>
        </w:rPr>
        <w:t>PhD.</w:t>
      </w:r>
      <w:r>
        <w:rPr>
          <w:spacing w:val="-3"/>
          <w:sz w:val="18"/>
          <w:vertAlign w:val="baseline"/>
        </w:rPr>
        <w:t> </w:t>
      </w:r>
      <w:r>
        <w:rPr>
          <w:sz w:val="18"/>
          <w:vertAlign w:val="baseline"/>
        </w:rPr>
        <w:t>2022.</w:t>
      </w:r>
      <w:r>
        <w:rPr>
          <w:spacing w:val="-3"/>
          <w:sz w:val="18"/>
          <w:vertAlign w:val="baseline"/>
        </w:rPr>
        <w:t> </w:t>
      </w:r>
      <w:r>
        <w:rPr>
          <w:sz w:val="18"/>
          <w:vertAlign w:val="baseline"/>
        </w:rPr>
        <w:t>“Massachusetts</w:t>
      </w:r>
      <w:r>
        <w:rPr>
          <w:spacing w:val="-3"/>
          <w:sz w:val="18"/>
          <w:vertAlign w:val="baseline"/>
        </w:rPr>
        <w:t> </w:t>
      </w:r>
      <w:r>
        <w:rPr>
          <w:sz w:val="18"/>
          <w:vertAlign w:val="baseline"/>
        </w:rPr>
        <w:t>Youth</w:t>
      </w:r>
      <w:r>
        <w:rPr>
          <w:spacing w:val="-3"/>
          <w:sz w:val="18"/>
          <w:vertAlign w:val="baseline"/>
        </w:rPr>
        <w:t> </w:t>
      </w:r>
      <w:r>
        <w:rPr>
          <w:sz w:val="18"/>
          <w:vertAlign w:val="baseline"/>
        </w:rPr>
        <w:t>Count</w:t>
      </w:r>
      <w:r>
        <w:rPr>
          <w:spacing w:val="-3"/>
          <w:sz w:val="18"/>
          <w:vertAlign w:val="baseline"/>
        </w:rPr>
        <w:t> </w:t>
      </w:r>
      <w:r>
        <w:rPr>
          <w:spacing w:val="-2"/>
          <w:sz w:val="18"/>
          <w:vertAlign w:val="baseline"/>
        </w:rPr>
        <w:t>2022.”</w:t>
      </w:r>
    </w:p>
    <w:p>
      <w:pPr>
        <w:spacing w:after="0"/>
        <w:jc w:val="left"/>
        <w:rPr>
          <w:sz w:val="18"/>
        </w:rPr>
        <w:sectPr>
          <w:pgSz w:w="12240" w:h="15840"/>
          <w:pgMar w:header="765" w:footer="1127" w:top="1280" w:bottom="1380" w:left="1120" w:right="1180"/>
        </w:sectPr>
      </w:pPr>
    </w:p>
    <w:p>
      <w:pPr>
        <w:pStyle w:val="BodyText"/>
        <w:spacing w:before="118"/>
        <w:rPr>
          <w:sz w:val="18"/>
        </w:rPr>
      </w:pPr>
    </w:p>
    <w:p>
      <w:pPr>
        <w:spacing w:before="0"/>
        <w:ind w:left="464" w:right="621" w:firstLine="0"/>
        <w:jc w:val="both"/>
        <w:rPr>
          <w:sz w:val="18"/>
        </w:rPr>
      </w:pPr>
      <w:bookmarkStart w:name="_bookmark286" w:id="508"/>
      <w:bookmarkEnd w:id="508"/>
      <w:r>
        <w:rPr/>
      </w:r>
      <w:r>
        <w:rPr>
          <w:sz w:val="18"/>
          <w:vertAlign w:val="superscript"/>
        </w:rPr>
        <w:t>13</w:t>
      </w:r>
      <w:r>
        <w:rPr>
          <w:spacing w:val="-2"/>
          <w:sz w:val="18"/>
          <w:vertAlign w:val="baseline"/>
        </w:rPr>
        <w:t> </w:t>
      </w:r>
      <w:r>
        <w:rPr>
          <w:sz w:val="18"/>
          <w:vertAlign w:val="baseline"/>
        </w:rPr>
        <w:t>“Governor</w:t>
      </w:r>
      <w:r>
        <w:rPr>
          <w:spacing w:val="-3"/>
          <w:sz w:val="18"/>
          <w:vertAlign w:val="baseline"/>
        </w:rPr>
        <w:t> </w:t>
      </w:r>
      <w:r>
        <w:rPr>
          <w:sz w:val="18"/>
          <w:vertAlign w:val="baseline"/>
        </w:rPr>
        <w:t>Healey</w:t>
      </w:r>
      <w:r>
        <w:rPr>
          <w:spacing w:val="-2"/>
          <w:sz w:val="18"/>
          <w:vertAlign w:val="baseline"/>
        </w:rPr>
        <w:t> </w:t>
      </w:r>
      <w:r>
        <w:rPr>
          <w:sz w:val="18"/>
          <w:vertAlign w:val="baseline"/>
        </w:rPr>
        <w:t>Declares</w:t>
      </w:r>
      <w:r>
        <w:rPr>
          <w:spacing w:val="-2"/>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Emergency,</w:t>
      </w:r>
      <w:r>
        <w:rPr>
          <w:spacing w:val="-3"/>
          <w:sz w:val="18"/>
          <w:vertAlign w:val="baseline"/>
        </w:rPr>
        <w:t> </w:t>
      </w:r>
      <w:r>
        <w:rPr>
          <w:sz w:val="18"/>
          <w:vertAlign w:val="baseline"/>
        </w:rPr>
        <w:t>Calls</w:t>
      </w:r>
      <w:r>
        <w:rPr>
          <w:spacing w:val="-2"/>
          <w:sz w:val="18"/>
          <w:vertAlign w:val="baseline"/>
        </w:rPr>
        <w:t> </w:t>
      </w:r>
      <w:r>
        <w:rPr>
          <w:sz w:val="18"/>
          <w:vertAlign w:val="baseline"/>
        </w:rPr>
        <w:t>for</w:t>
      </w:r>
      <w:r>
        <w:rPr>
          <w:spacing w:val="-3"/>
          <w:sz w:val="18"/>
          <w:vertAlign w:val="baseline"/>
        </w:rPr>
        <w:t> </w:t>
      </w:r>
      <w:r>
        <w:rPr>
          <w:sz w:val="18"/>
          <w:vertAlign w:val="baseline"/>
        </w:rPr>
        <w:t>Support</w:t>
      </w:r>
      <w:r>
        <w:rPr>
          <w:spacing w:val="-3"/>
          <w:sz w:val="18"/>
          <w:vertAlign w:val="baseline"/>
        </w:rPr>
        <w:t> </w:t>
      </w:r>
      <w:r>
        <w:rPr>
          <w:sz w:val="18"/>
          <w:vertAlign w:val="baseline"/>
        </w:rPr>
        <w:t>for</w:t>
      </w:r>
      <w:r>
        <w:rPr>
          <w:spacing w:val="-3"/>
          <w:sz w:val="18"/>
          <w:vertAlign w:val="baseline"/>
        </w:rPr>
        <w:t> </w:t>
      </w:r>
      <w:r>
        <w:rPr>
          <w:sz w:val="18"/>
          <w:vertAlign w:val="baseline"/>
        </w:rPr>
        <w:t>Newly</w:t>
      </w:r>
      <w:r>
        <w:rPr>
          <w:spacing w:val="-2"/>
          <w:sz w:val="18"/>
          <w:vertAlign w:val="baseline"/>
        </w:rPr>
        <w:t> </w:t>
      </w:r>
      <w:r>
        <w:rPr>
          <w:sz w:val="18"/>
          <w:vertAlign w:val="baseline"/>
        </w:rPr>
        <w:t>Arriving</w:t>
      </w:r>
      <w:r>
        <w:rPr>
          <w:spacing w:val="-2"/>
          <w:sz w:val="18"/>
          <w:vertAlign w:val="baseline"/>
        </w:rPr>
        <w:t> </w:t>
      </w:r>
      <w:r>
        <w:rPr>
          <w:sz w:val="18"/>
          <w:vertAlign w:val="baseline"/>
        </w:rPr>
        <w:t>Migrant</w:t>
      </w:r>
      <w:r>
        <w:rPr>
          <w:spacing w:val="-3"/>
          <w:sz w:val="18"/>
          <w:vertAlign w:val="baseline"/>
        </w:rPr>
        <w:t> </w:t>
      </w:r>
      <w:r>
        <w:rPr>
          <w:sz w:val="18"/>
          <w:vertAlign w:val="baseline"/>
        </w:rPr>
        <w:t>Families</w:t>
      </w:r>
      <w:r>
        <w:rPr>
          <w:spacing w:val="-2"/>
          <w:sz w:val="18"/>
          <w:vertAlign w:val="baseline"/>
        </w:rPr>
        <w:t> </w:t>
      </w:r>
      <w:r>
        <w:rPr>
          <w:sz w:val="18"/>
          <w:vertAlign w:val="baseline"/>
        </w:rPr>
        <w:t>|</w:t>
      </w:r>
      <w:r>
        <w:rPr>
          <w:spacing w:val="-2"/>
          <w:sz w:val="18"/>
          <w:vertAlign w:val="baseline"/>
        </w:rPr>
        <w:t> </w:t>
      </w:r>
      <w:r>
        <w:rPr>
          <w:sz w:val="18"/>
          <w:vertAlign w:val="baseline"/>
        </w:rPr>
        <w:t>Mass.Gov.”</w:t>
      </w:r>
      <w:r>
        <w:rPr>
          <w:spacing w:val="-2"/>
          <w:sz w:val="18"/>
          <w:vertAlign w:val="baseline"/>
        </w:rPr>
        <w:t> </w:t>
      </w:r>
      <w:r>
        <w:rPr>
          <w:sz w:val="18"/>
          <w:vertAlign w:val="baseline"/>
        </w:rPr>
        <w:t>n.d. Accessed</w:t>
      </w:r>
      <w:r>
        <w:rPr>
          <w:spacing w:val="-3"/>
          <w:sz w:val="18"/>
          <w:vertAlign w:val="baseline"/>
        </w:rPr>
        <w:t> </w:t>
      </w:r>
      <w:r>
        <w:rPr>
          <w:sz w:val="18"/>
          <w:vertAlign w:val="baseline"/>
        </w:rPr>
        <w:t>March</w:t>
      </w:r>
      <w:r>
        <w:rPr>
          <w:spacing w:val="-4"/>
          <w:sz w:val="18"/>
          <w:vertAlign w:val="baseline"/>
        </w:rPr>
        <w:t> </w:t>
      </w:r>
      <w:r>
        <w:rPr>
          <w:sz w:val="18"/>
          <w:vertAlign w:val="baseline"/>
        </w:rPr>
        <w:t>21,</w:t>
      </w:r>
      <w:r>
        <w:rPr>
          <w:spacing w:val="-4"/>
          <w:sz w:val="18"/>
          <w:vertAlign w:val="baseline"/>
        </w:rPr>
        <w:t> </w:t>
      </w:r>
      <w:r>
        <w:rPr>
          <w:sz w:val="18"/>
          <w:vertAlign w:val="baseline"/>
        </w:rPr>
        <w:t>2024.</w:t>
      </w:r>
      <w:r>
        <w:rPr>
          <w:spacing w:val="-3"/>
          <w:sz w:val="18"/>
          <w:vertAlign w:val="baseline"/>
        </w:rPr>
        <w:t> </w:t>
      </w:r>
      <w:r>
        <w:rPr>
          <w:sz w:val="18"/>
          <w:vertAlign w:val="baseline"/>
        </w:rPr>
        <w:t>https:</w:t>
      </w:r>
      <w:hyperlink r:id="rId454">
        <w:r>
          <w:rPr>
            <w:sz w:val="18"/>
            <w:vertAlign w:val="baseline"/>
          </w:rPr>
          <w:t>//www.mass.gov/news/governor-healey-declares-state-of-emergency-calls-for-support-</w:t>
        </w:r>
      </w:hyperlink>
      <w:r>
        <w:rPr>
          <w:sz w:val="18"/>
          <w:vertAlign w:val="baseline"/>
        </w:rPr>
        <w:t> </w:t>
      </w:r>
      <w:r>
        <w:rPr>
          <w:spacing w:val="-2"/>
          <w:sz w:val="18"/>
          <w:vertAlign w:val="baseline"/>
        </w:rPr>
        <w:t>for-newly-arriving-migrant-families.</w:t>
      </w:r>
    </w:p>
    <w:p>
      <w:pPr>
        <w:spacing w:before="119"/>
        <w:ind w:left="464" w:right="0" w:firstLine="0"/>
        <w:jc w:val="both"/>
        <w:rPr>
          <w:sz w:val="18"/>
        </w:rPr>
      </w:pPr>
      <w:bookmarkStart w:name="_bookmark287" w:id="509"/>
      <w:bookmarkEnd w:id="509"/>
      <w:r>
        <w:rPr/>
      </w:r>
      <w:r>
        <w:rPr>
          <w:sz w:val="18"/>
          <w:vertAlign w:val="superscript"/>
        </w:rPr>
        <w:t>14</w:t>
      </w:r>
      <w:r>
        <w:rPr>
          <w:spacing w:val="-5"/>
          <w:sz w:val="18"/>
          <w:vertAlign w:val="baseline"/>
        </w:rPr>
        <w:t> </w:t>
      </w:r>
      <w:r>
        <w:rPr>
          <w:sz w:val="18"/>
          <w:vertAlign w:val="baseline"/>
        </w:rPr>
        <w:t>“Amendment</w:t>
      </w:r>
      <w:r>
        <w:rPr>
          <w:spacing w:val="-3"/>
          <w:sz w:val="18"/>
          <w:vertAlign w:val="baseline"/>
        </w:rPr>
        <w:t> </w:t>
      </w:r>
      <w:r>
        <w:rPr>
          <w:sz w:val="18"/>
          <w:vertAlign w:val="baseline"/>
        </w:rPr>
        <w:t>S.2708.”</w:t>
      </w:r>
      <w:r>
        <w:rPr>
          <w:spacing w:val="-3"/>
          <w:sz w:val="18"/>
          <w:vertAlign w:val="baseline"/>
        </w:rPr>
        <w:t> </w:t>
      </w:r>
      <w:r>
        <w:rPr>
          <w:sz w:val="18"/>
          <w:vertAlign w:val="baseline"/>
        </w:rPr>
        <w:t>n.d.</w:t>
      </w:r>
      <w:r>
        <w:rPr>
          <w:spacing w:val="-2"/>
          <w:sz w:val="18"/>
          <w:vertAlign w:val="baseline"/>
        </w:rPr>
        <w:t> </w:t>
      </w:r>
      <w:r>
        <w:rPr>
          <w:sz w:val="18"/>
          <w:vertAlign w:val="baseline"/>
        </w:rPr>
        <w:t>Accessed</w:t>
      </w:r>
      <w:r>
        <w:rPr>
          <w:spacing w:val="-2"/>
          <w:sz w:val="18"/>
          <w:vertAlign w:val="baseline"/>
        </w:rPr>
        <w:t> </w:t>
      </w:r>
      <w:r>
        <w:rPr>
          <w:sz w:val="18"/>
          <w:vertAlign w:val="baseline"/>
        </w:rPr>
        <w:t>March</w:t>
      </w:r>
      <w:r>
        <w:rPr>
          <w:spacing w:val="-3"/>
          <w:sz w:val="18"/>
          <w:vertAlign w:val="baseline"/>
        </w:rPr>
        <w:t> </w:t>
      </w:r>
      <w:r>
        <w:rPr>
          <w:sz w:val="18"/>
          <w:vertAlign w:val="baseline"/>
        </w:rPr>
        <w:t>23,</w:t>
      </w:r>
      <w:r>
        <w:rPr>
          <w:spacing w:val="-3"/>
          <w:sz w:val="18"/>
          <w:vertAlign w:val="baseline"/>
        </w:rPr>
        <w:t> </w:t>
      </w:r>
      <w:r>
        <w:rPr>
          <w:sz w:val="18"/>
          <w:vertAlign w:val="baseline"/>
        </w:rPr>
        <w:t>2024.</w:t>
      </w:r>
      <w:r>
        <w:rPr>
          <w:spacing w:val="-2"/>
          <w:sz w:val="18"/>
          <w:vertAlign w:val="baseline"/>
        </w:rPr>
        <w:t> https://malegislature.gov/Bills/193/S2708.</w:t>
      </w:r>
    </w:p>
    <w:p>
      <w:pPr>
        <w:spacing w:before="120"/>
        <w:ind w:left="464" w:right="565" w:firstLine="0"/>
        <w:jc w:val="left"/>
        <w:rPr>
          <w:sz w:val="18"/>
        </w:rPr>
      </w:pPr>
      <w:bookmarkStart w:name="_bookmark288" w:id="510"/>
      <w:bookmarkEnd w:id="510"/>
      <w:r>
        <w:rPr/>
      </w:r>
      <w:r>
        <w:rPr>
          <w:sz w:val="18"/>
          <w:vertAlign w:val="superscript"/>
        </w:rPr>
        <w:t>15</w:t>
      </w:r>
      <w:r>
        <w:rPr>
          <w:spacing w:val="-3"/>
          <w:sz w:val="18"/>
          <w:vertAlign w:val="baseline"/>
        </w:rPr>
        <w:t> </w:t>
      </w:r>
      <w:r>
        <w:rPr>
          <w:sz w:val="18"/>
          <w:vertAlign w:val="baseline"/>
        </w:rPr>
        <w:t>Robinson,</w:t>
      </w:r>
      <w:r>
        <w:rPr>
          <w:spacing w:val="-4"/>
          <w:sz w:val="18"/>
          <w:vertAlign w:val="baseline"/>
        </w:rPr>
        <w:t> </w:t>
      </w:r>
      <w:r>
        <w:rPr>
          <w:sz w:val="18"/>
          <w:vertAlign w:val="baseline"/>
        </w:rPr>
        <w:t>Brandon</w:t>
      </w:r>
      <w:r>
        <w:rPr>
          <w:spacing w:val="-3"/>
          <w:sz w:val="18"/>
          <w:vertAlign w:val="baseline"/>
        </w:rPr>
        <w:t> </w:t>
      </w:r>
      <w:r>
        <w:rPr>
          <w:sz w:val="18"/>
          <w:vertAlign w:val="baseline"/>
        </w:rPr>
        <w:t>Andrew.</w:t>
      </w:r>
      <w:r>
        <w:rPr>
          <w:spacing w:val="-3"/>
          <w:sz w:val="18"/>
          <w:vertAlign w:val="baseline"/>
        </w:rPr>
        <w:t> </w:t>
      </w:r>
      <w:r>
        <w:rPr>
          <w:sz w:val="18"/>
          <w:vertAlign w:val="baseline"/>
        </w:rPr>
        <w:t>2023.</w:t>
      </w:r>
      <w:r>
        <w:rPr>
          <w:spacing w:val="-3"/>
          <w:sz w:val="18"/>
          <w:vertAlign w:val="baseline"/>
        </w:rPr>
        <w:t> </w:t>
      </w:r>
      <w:r>
        <w:rPr>
          <w:sz w:val="18"/>
          <w:vertAlign w:val="baseline"/>
        </w:rPr>
        <w:t>“‘They</w:t>
      </w:r>
      <w:r>
        <w:rPr>
          <w:spacing w:val="-3"/>
          <w:sz w:val="18"/>
          <w:vertAlign w:val="baseline"/>
        </w:rPr>
        <w:t> </w:t>
      </w:r>
      <w:r>
        <w:rPr>
          <w:sz w:val="18"/>
          <w:vertAlign w:val="baseline"/>
        </w:rPr>
        <w:t>Peed</w:t>
      </w:r>
      <w:r>
        <w:rPr>
          <w:spacing w:val="-4"/>
          <w:sz w:val="18"/>
          <w:vertAlign w:val="baseline"/>
        </w:rPr>
        <w:t> </w:t>
      </w:r>
      <w:r>
        <w:rPr>
          <w:sz w:val="18"/>
          <w:vertAlign w:val="baseline"/>
        </w:rPr>
        <w:t>on</w:t>
      </w:r>
      <w:r>
        <w:rPr>
          <w:spacing w:val="-3"/>
          <w:sz w:val="18"/>
          <w:vertAlign w:val="baseline"/>
        </w:rPr>
        <w:t> </w:t>
      </w:r>
      <w:r>
        <w:rPr>
          <w:sz w:val="18"/>
          <w:vertAlign w:val="baseline"/>
        </w:rPr>
        <w:t>My</w:t>
      </w:r>
      <w:r>
        <w:rPr>
          <w:spacing w:val="-3"/>
          <w:sz w:val="18"/>
          <w:vertAlign w:val="baseline"/>
        </w:rPr>
        <w:t> </w:t>
      </w:r>
      <w:r>
        <w:rPr>
          <w:sz w:val="18"/>
          <w:vertAlign w:val="baseline"/>
        </w:rPr>
        <w:t>Shoes’:</w:t>
      </w:r>
      <w:r>
        <w:rPr>
          <w:spacing w:val="-3"/>
          <w:sz w:val="18"/>
          <w:vertAlign w:val="baseline"/>
        </w:rPr>
        <w:t> </w:t>
      </w:r>
      <w:r>
        <w:rPr>
          <w:sz w:val="18"/>
          <w:vertAlign w:val="baseline"/>
        </w:rPr>
        <w:t>Foregrounding</w:t>
      </w:r>
      <w:r>
        <w:rPr>
          <w:spacing w:val="-3"/>
          <w:sz w:val="18"/>
          <w:vertAlign w:val="baseline"/>
        </w:rPr>
        <w:t> </w:t>
      </w:r>
      <w:r>
        <w:rPr>
          <w:sz w:val="18"/>
          <w:vertAlign w:val="baseline"/>
        </w:rPr>
        <w:t>Intersectional</w:t>
      </w:r>
      <w:r>
        <w:rPr>
          <w:spacing w:val="-4"/>
          <w:sz w:val="18"/>
          <w:vertAlign w:val="baseline"/>
        </w:rPr>
        <w:t> </w:t>
      </w:r>
      <w:r>
        <w:rPr>
          <w:sz w:val="18"/>
          <w:vertAlign w:val="baseline"/>
        </w:rPr>
        <w:t>Minority</w:t>
      </w:r>
      <w:r>
        <w:rPr>
          <w:spacing w:val="-3"/>
          <w:sz w:val="18"/>
          <w:vertAlign w:val="baseline"/>
        </w:rPr>
        <w:t> </w:t>
      </w:r>
      <w:r>
        <w:rPr>
          <w:sz w:val="18"/>
          <w:vertAlign w:val="baseline"/>
        </w:rPr>
        <w:t>Stress</w:t>
      </w:r>
      <w:r>
        <w:rPr>
          <w:spacing w:val="-3"/>
          <w:sz w:val="18"/>
          <w:vertAlign w:val="baseline"/>
        </w:rPr>
        <w:t> </w:t>
      </w:r>
      <w:r>
        <w:rPr>
          <w:sz w:val="18"/>
          <w:vertAlign w:val="baseline"/>
        </w:rPr>
        <w:t>in Understanding LGBTQ Youth Homelessness.” </w:t>
      </w:r>
      <w:r>
        <w:rPr>
          <w:i/>
          <w:sz w:val="18"/>
          <w:vertAlign w:val="baseline"/>
        </w:rPr>
        <w:t>Journal of LGBT Youth </w:t>
      </w:r>
      <w:r>
        <w:rPr>
          <w:sz w:val="18"/>
          <w:vertAlign w:val="baseline"/>
        </w:rPr>
        <w:t>20 (4): 783–99. </w:t>
      </w:r>
      <w:r>
        <w:rPr>
          <w:spacing w:val="-2"/>
          <w:sz w:val="18"/>
          <w:vertAlign w:val="baseline"/>
        </w:rPr>
        <w:t>https://doi.org/10.1080/19361653.2021.1925196.</w:t>
      </w:r>
    </w:p>
    <w:p>
      <w:pPr>
        <w:spacing w:before="120"/>
        <w:ind w:left="464" w:right="434" w:firstLine="0"/>
        <w:jc w:val="left"/>
        <w:rPr>
          <w:sz w:val="18"/>
        </w:rPr>
      </w:pPr>
      <w:bookmarkStart w:name="_bookmark289" w:id="511"/>
      <w:bookmarkEnd w:id="511"/>
      <w:r>
        <w:rPr/>
      </w:r>
      <w:r>
        <w:rPr>
          <w:sz w:val="18"/>
          <w:vertAlign w:val="superscript"/>
        </w:rPr>
        <w:t>16</w:t>
      </w:r>
      <w:r>
        <w:rPr>
          <w:spacing w:val="-2"/>
          <w:sz w:val="18"/>
          <w:vertAlign w:val="baseline"/>
        </w:rPr>
        <w:t> </w:t>
      </w:r>
      <w:r>
        <w:rPr>
          <w:sz w:val="18"/>
          <w:vertAlign w:val="baseline"/>
        </w:rPr>
        <w:t>Alessi,</w:t>
      </w:r>
      <w:r>
        <w:rPr>
          <w:spacing w:val="-3"/>
          <w:sz w:val="18"/>
          <w:vertAlign w:val="baseline"/>
        </w:rPr>
        <w:t> </w:t>
      </w:r>
      <w:r>
        <w:rPr>
          <w:sz w:val="18"/>
          <w:vertAlign w:val="baseline"/>
        </w:rPr>
        <w:t>Edward,</w:t>
      </w:r>
      <w:r>
        <w:rPr>
          <w:spacing w:val="-3"/>
          <w:sz w:val="18"/>
          <w:vertAlign w:val="baseline"/>
        </w:rPr>
        <w:t> </w:t>
      </w:r>
      <w:r>
        <w:rPr>
          <w:sz w:val="18"/>
          <w:vertAlign w:val="baseline"/>
        </w:rPr>
        <w:t>Brett</w:t>
      </w:r>
      <w:r>
        <w:rPr>
          <w:spacing w:val="-3"/>
          <w:sz w:val="18"/>
          <w:vertAlign w:val="baseline"/>
        </w:rPr>
        <w:t> </w:t>
      </w:r>
      <w:r>
        <w:rPr>
          <w:sz w:val="18"/>
          <w:vertAlign w:val="baseline"/>
        </w:rPr>
        <w:t>Greenfield,</w:t>
      </w:r>
      <w:r>
        <w:rPr>
          <w:spacing w:val="-4"/>
          <w:sz w:val="18"/>
          <w:vertAlign w:val="baseline"/>
        </w:rPr>
        <w:t> </w:t>
      </w:r>
      <w:r>
        <w:rPr>
          <w:sz w:val="18"/>
          <w:vertAlign w:val="baseline"/>
        </w:rPr>
        <w:t>Dean</w:t>
      </w:r>
      <w:r>
        <w:rPr>
          <w:spacing w:val="-2"/>
          <w:sz w:val="18"/>
          <w:vertAlign w:val="baseline"/>
        </w:rPr>
        <w:t> </w:t>
      </w:r>
      <w:r>
        <w:rPr>
          <w:sz w:val="18"/>
          <w:vertAlign w:val="baseline"/>
        </w:rPr>
        <w:t>Manning,</w:t>
      </w:r>
      <w:r>
        <w:rPr>
          <w:spacing w:val="-4"/>
          <w:sz w:val="18"/>
          <w:vertAlign w:val="baseline"/>
        </w:rPr>
        <w:t> </w:t>
      </w:r>
      <w:r>
        <w:rPr>
          <w:sz w:val="18"/>
          <w:vertAlign w:val="baseline"/>
        </w:rPr>
        <w:t>and</w:t>
      </w:r>
      <w:r>
        <w:rPr>
          <w:spacing w:val="-2"/>
          <w:sz w:val="18"/>
          <w:vertAlign w:val="baseline"/>
        </w:rPr>
        <w:t> </w:t>
      </w:r>
      <w:r>
        <w:rPr>
          <w:sz w:val="18"/>
          <w:vertAlign w:val="baseline"/>
        </w:rPr>
        <w:t>Meredith</w:t>
      </w:r>
      <w:r>
        <w:rPr>
          <w:spacing w:val="-2"/>
          <w:sz w:val="18"/>
          <w:vertAlign w:val="baseline"/>
        </w:rPr>
        <w:t> </w:t>
      </w:r>
      <w:r>
        <w:rPr>
          <w:sz w:val="18"/>
          <w:vertAlign w:val="baseline"/>
        </w:rPr>
        <w:t>Dank.</w:t>
      </w:r>
      <w:r>
        <w:rPr>
          <w:spacing w:val="-2"/>
          <w:sz w:val="18"/>
          <w:vertAlign w:val="baseline"/>
        </w:rPr>
        <w:t> </w:t>
      </w:r>
      <w:r>
        <w:rPr>
          <w:sz w:val="18"/>
          <w:vertAlign w:val="baseline"/>
        </w:rPr>
        <w:t>2020.</w:t>
      </w:r>
      <w:r>
        <w:rPr>
          <w:spacing w:val="-2"/>
          <w:sz w:val="18"/>
          <w:vertAlign w:val="baseline"/>
        </w:rPr>
        <w:t> </w:t>
      </w:r>
      <w:r>
        <w:rPr>
          <w:sz w:val="18"/>
          <w:vertAlign w:val="baseline"/>
        </w:rPr>
        <w:t>“Victimization</w:t>
      </w:r>
      <w:r>
        <w:rPr>
          <w:spacing w:val="-2"/>
          <w:sz w:val="18"/>
          <w:vertAlign w:val="baseline"/>
        </w:rPr>
        <w:t> </w:t>
      </w:r>
      <w:r>
        <w:rPr>
          <w:sz w:val="18"/>
          <w:vertAlign w:val="baseline"/>
        </w:rPr>
        <w:t>and</w:t>
      </w:r>
      <w:r>
        <w:rPr>
          <w:spacing w:val="-2"/>
          <w:sz w:val="18"/>
          <w:vertAlign w:val="baseline"/>
        </w:rPr>
        <w:t> </w:t>
      </w:r>
      <w:r>
        <w:rPr>
          <w:sz w:val="18"/>
          <w:vertAlign w:val="baseline"/>
        </w:rPr>
        <w:t>Resilience</w:t>
      </w:r>
      <w:r>
        <w:rPr>
          <w:spacing w:val="-2"/>
          <w:sz w:val="18"/>
          <w:vertAlign w:val="baseline"/>
        </w:rPr>
        <w:t> </w:t>
      </w:r>
      <w:r>
        <w:rPr>
          <w:sz w:val="18"/>
          <w:vertAlign w:val="baseline"/>
        </w:rPr>
        <w:t>Among</w:t>
      </w:r>
      <w:r>
        <w:rPr>
          <w:spacing w:val="-3"/>
          <w:sz w:val="18"/>
          <w:vertAlign w:val="baseline"/>
        </w:rPr>
        <w:t> </w:t>
      </w:r>
      <w:r>
        <w:rPr>
          <w:sz w:val="18"/>
          <w:vertAlign w:val="baseline"/>
        </w:rPr>
        <w:t>Sexual and Gender Minority Homeless Youth Engaging in Survival Sex.” </w:t>
      </w:r>
      <w:r>
        <w:rPr>
          <w:i/>
          <w:sz w:val="18"/>
          <w:vertAlign w:val="baseline"/>
        </w:rPr>
        <w:t>Journal of Interpersonal Violence </w:t>
      </w:r>
      <w:r>
        <w:rPr>
          <w:sz w:val="18"/>
          <w:vertAlign w:val="baseline"/>
        </w:rPr>
        <w:t>36 (January): 088626051989843. https://doi.org/10.1177/0886260519898434.</w:t>
      </w:r>
    </w:p>
    <w:p>
      <w:pPr>
        <w:spacing w:before="121"/>
        <w:ind w:left="463" w:right="432" w:firstLine="0"/>
        <w:jc w:val="left"/>
        <w:rPr>
          <w:sz w:val="18"/>
        </w:rPr>
      </w:pPr>
      <w:bookmarkStart w:name="_bookmark290" w:id="512"/>
      <w:bookmarkEnd w:id="512"/>
      <w:r>
        <w:rPr/>
      </w:r>
      <w:r>
        <w:rPr>
          <w:sz w:val="18"/>
          <w:vertAlign w:val="superscript"/>
        </w:rPr>
        <w:t>17</w:t>
      </w:r>
      <w:r>
        <w:rPr>
          <w:spacing w:val="-2"/>
          <w:sz w:val="18"/>
          <w:vertAlign w:val="baseline"/>
        </w:rPr>
        <w:t> </w:t>
      </w:r>
      <w:r>
        <w:rPr>
          <w:sz w:val="18"/>
          <w:vertAlign w:val="baseline"/>
        </w:rPr>
        <w:t>Price-Feeney,</w:t>
      </w:r>
      <w:r>
        <w:rPr>
          <w:spacing w:val="-3"/>
          <w:sz w:val="18"/>
          <w:vertAlign w:val="baseline"/>
        </w:rPr>
        <w:t> </w:t>
      </w:r>
      <w:r>
        <w:rPr>
          <w:sz w:val="18"/>
          <w:vertAlign w:val="baseline"/>
        </w:rPr>
        <w:t>Myeshia,</w:t>
      </w:r>
      <w:r>
        <w:rPr>
          <w:spacing w:val="-3"/>
          <w:sz w:val="18"/>
          <w:vertAlign w:val="baseline"/>
        </w:rPr>
        <w:t> </w:t>
      </w:r>
      <w:r>
        <w:rPr>
          <w:sz w:val="18"/>
          <w:vertAlign w:val="baseline"/>
        </w:rPr>
        <w:t>Amy</w:t>
      </w:r>
      <w:r>
        <w:rPr>
          <w:spacing w:val="-2"/>
          <w:sz w:val="18"/>
          <w:vertAlign w:val="baseline"/>
        </w:rPr>
        <w:t> </w:t>
      </w:r>
      <w:r>
        <w:rPr>
          <w:sz w:val="18"/>
          <w:vertAlign w:val="baseline"/>
        </w:rPr>
        <w:t>E.</w:t>
      </w:r>
      <w:r>
        <w:rPr>
          <w:spacing w:val="-2"/>
          <w:sz w:val="18"/>
          <w:vertAlign w:val="baseline"/>
        </w:rPr>
        <w:t> </w:t>
      </w:r>
      <w:r>
        <w:rPr>
          <w:sz w:val="18"/>
          <w:vertAlign w:val="baseline"/>
        </w:rPr>
        <w:t>Green,</w:t>
      </w:r>
      <w:r>
        <w:rPr>
          <w:spacing w:val="-3"/>
          <w:sz w:val="18"/>
          <w:vertAlign w:val="baseline"/>
        </w:rPr>
        <w:t> </w:t>
      </w:r>
      <w:r>
        <w:rPr>
          <w:sz w:val="18"/>
          <w:vertAlign w:val="baseline"/>
        </w:rPr>
        <w:t>and</w:t>
      </w:r>
      <w:r>
        <w:rPr>
          <w:spacing w:val="-2"/>
          <w:sz w:val="18"/>
          <w:vertAlign w:val="baseline"/>
        </w:rPr>
        <w:t> </w:t>
      </w:r>
      <w:r>
        <w:rPr>
          <w:sz w:val="18"/>
          <w:vertAlign w:val="baseline"/>
        </w:rPr>
        <w:t>Samuel</w:t>
      </w:r>
      <w:r>
        <w:rPr>
          <w:spacing w:val="-3"/>
          <w:sz w:val="18"/>
          <w:vertAlign w:val="baseline"/>
        </w:rPr>
        <w:t> </w:t>
      </w:r>
      <w:r>
        <w:rPr>
          <w:sz w:val="18"/>
          <w:vertAlign w:val="baseline"/>
        </w:rPr>
        <w:t>Dorison.</w:t>
      </w:r>
      <w:r>
        <w:rPr>
          <w:spacing w:val="-2"/>
          <w:sz w:val="18"/>
          <w:vertAlign w:val="baseline"/>
        </w:rPr>
        <w:t> </w:t>
      </w:r>
      <w:r>
        <w:rPr>
          <w:sz w:val="18"/>
          <w:vertAlign w:val="baseline"/>
        </w:rPr>
        <w:t>2020.</w:t>
      </w:r>
      <w:r>
        <w:rPr>
          <w:spacing w:val="-2"/>
          <w:sz w:val="18"/>
          <w:vertAlign w:val="baseline"/>
        </w:rPr>
        <w:t> </w:t>
      </w:r>
      <w:r>
        <w:rPr>
          <w:sz w:val="18"/>
          <w:vertAlign w:val="baseline"/>
        </w:rPr>
        <w:t>“Understanding</w:t>
      </w:r>
      <w:r>
        <w:rPr>
          <w:spacing w:val="-2"/>
          <w:sz w:val="18"/>
          <w:vertAlign w:val="baseline"/>
        </w:rPr>
        <w:t> </w:t>
      </w:r>
      <w:r>
        <w:rPr>
          <w:sz w:val="18"/>
          <w:vertAlign w:val="baseline"/>
        </w:rPr>
        <w:t>the</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of</w:t>
      </w:r>
      <w:r>
        <w:rPr>
          <w:spacing w:val="-2"/>
          <w:sz w:val="18"/>
          <w:vertAlign w:val="baseline"/>
        </w:rPr>
        <w:t> </w:t>
      </w:r>
      <w:r>
        <w:rPr>
          <w:sz w:val="18"/>
          <w:vertAlign w:val="baseline"/>
        </w:rPr>
        <w:t>Transgender</w:t>
      </w:r>
      <w:r>
        <w:rPr>
          <w:spacing w:val="-3"/>
          <w:sz w:val="18"/>
          <w:vertAlign w:val="baseline"/>
        </w:rPr>
        <w:t> </w:t>
      </w:r>
      <w:r>
        <w:rPr>
          <w:sz w:val="18"/>
          <w:vertAlign w:val="baseline"/>
        </w:rPr>
        <w:t>and Nonbinary Youth.” </w:t>
      </w:r>
      <w:r>
        <w:rPr>
          <w:i/>
          <w:sz w:val="18"/>
          <w:vertAlign w:val="baseline"/>
        </w:rPr>
        <w:t>Journal of Adolescent Health </w:t>
      </w:r>
      <w:r>
        <w:rPr>
          <w:sz w:val="18"/>
          <w:vertAlign w:val="baseline"/>
        </w:rPr>
        <w:t>66 (6): 684–90. </w:t>
      </w:r>
      <w:hyperlink r:id="rId455">
        <w:r>
          <w:rPr>
            <w:color w:val="0000FF"/>
            <w:sz w:val="18"/>
            <w:u w:val="single" w:color="0000FF"/>
            <w:vertAlign w:val="baseline"/>
          </w:rPr>
          <w:t>https://doi.org/10.1016/j.jadohealth.2019.11.314</w:t>
        </w:r>
        <w:r>
          <w:rPr>
            <w:sz w:val="18"/>
            <w:u w:val="none"/>
            <w:vertAlign w:val="baseline"/>
          </w:rPr>
          <w:t>.</w:t>
        </w:r>
      </w:hyperlink>
      <w:r>
        <w:rPr>
          <w:sz w:val="18"/>
          <w:u w:val="none"/>
          <w:vertAlign w:val="baseline"/>
        </w:rPr>
        <w:t>; Robinson, Brandon Andrew. 2023. “‘They Peed on My Shoes’: Foregrounding Intersectional Minority Stress in Understanding LGBTQ Youth Homelessness.” </w:t>
      </w:r>
      <w:r>
        <w:rPr>
          <w:i/>
          <w:sz w:val="18"/>
          <w:u w:val="none"/>
          <w:vertAlign w:val="baseline"/>
        </w:rPr>
        <w:t>Journal of LGBT Youth </w:t>
      </w:r>
      <w:r>
        <w:rPr>
          <w:sz w:val="18"/>
          <w:u w:val="none"/>
          <w:vertAlign w:val="baseline"/>
        </w:rPr>
        <w:t>20 (4): 783–99. </w:t>
      </w:r>
      <w:r>
        <w:rPr>
          <w:spacing w:val="-2"/>
          <w:sz w:val="18"/>
          <w:u w:val="none"/>
          <w:vertAlign w:val="baseline"/>
        </w:rPr>
        <w:t>https://doi.org/10.1080/19361653.2021.1925196.</w:t>
      </w:r>
    </w:p>
    <w:p>
      <w:pPr>
        <w:spacing w:before="119"/>
        <w:ind w:left="463" w:right="0" w:firstLine="0"/>
        <w:jc w:val="left"/>
        <w:rPr>
          <w:sz w:val="18"/>
        </w:rPr>
      </w:pPr>
      <w:bookmarkStart w:name="_bookmark291" w:id="513"/>
      <w:bookmarkEnd w:id="513"/>
      <w:r>
        <w:rPr/>
      </w:r>
      <w:r>
        <w:rPr>
          <w:sz w:val="18"/>
          <w:vertAlign w:val="superscript"/>
        </w:rPr>
        <w:t>18</w:t>
      </w:r>
      <w:r>
        <w:rPr>
          <w:spacing w:val="-2"/>
          <w:sz w:val="18"/>
          <w:vertAlign w:val="baseline"/>
        </w:rPr>
        <w:t> </w:t>
      </w:r>
      <w:r>
        <w:rPr>
          <w:sz w:val="18"/>
          <w:vertAlign w:val="baseline"/>
        </w:rPr>
        <w:t>Price-Feeney,</w:t>
      </w:r>
      <w:r>
        <w:rPr>
          <w:spacing w:val="-3"/>
          <w:sz w:val="18"/>
          <w:vertAlign w:val="baseline"/>
        </w:rPr>
        <w:t> </w:t>
      </w:r>
      <w:r>
        <w:rPr>
          <w:sz w:val="18"/>
          <w:vertAlign w:val="baseline"/>
        </w:rPr>
        <w:t>Myeshia,</w:t>
      </w:r>
      <w:r>
        <w:rPr>
          <w:spacing w:val="-3"/>
          <w:sz w:val="18"/>
          <w:vertAlign w:val="baseline"/>
        </w:rPr>
        <w:t> </w:t>
      </w:r>
      <w:r>
        <w:rPr>
          <w:sz w:val="18"/>
          <w:vertAlign w:val="baseline"/>
        </w:rPr>
        <w:t>Amy</w:t>
      </w:r>
      <w:r>
        <w:rPr>
          <w:spacing w:val="-2"/>
          <w:sz w:val="18"/>
          <w:vertAlign w:val="baseline"/>
        </w:rPr>
        <w:t> </w:t>
      </w:r>
      <w:r>
        <w:rPr>
          <w:sz w:val="18"/>
          <w:vertAlign w:val="baseline"/>
        </w:rPr>
        <w:t>E.</w:t>
      </w:r>
      <w:r>
        <w:rPr>
          <w:spacing w:val="-2"/>
          <w:sz w:val="18"/>
          <w:vertAlign w:val="baseline"/>
        </w:rPr>
        <w:t> </w:t>
      </w:r>
      <w:r>
        <w:rPr>
          <w:sz w:val="18"/>
          <w:vertAlign w:val="baseline"/>
        </w:rPr>
        <w:t>Green,</w:t>
      </w:r>
      <w:r>
        <w:rPr>
          <w:spacing w:val="-3"/>
          <w:sz w:val="18"/>
          <w:vertAlign w:val="baseline"/>
        </w:rPr>
        <w:t> </w:t>
      </w:r>
      <w:r>
        <w:rPr>
          <w:sz w:val="18"/>
          <w:vertAlign w:val="baseline"/>
        </w:rPr>
        <w:t>and</w:t>
      </w:r>
      <w:r>
        <w:rPr>
          <w:spacing w:val="-2"/>
          <w:sz w:val="18"/>
          <w:vertAlign w:val="baseline"/>
        </w:rPr>
        <w:t> </w:t>
      </w:r>
      <w:r>
        <w:rPr>
          <w:sz w:val="18"/>
          <w:vertAlign w:val="baseline"/>
        </w:rPr>
        <w:t>Samuel</w:t>
      </w:r>
      <w:r>
        <w:rPr>
          <w:spacing w:val="-3"/>
          <w:sz w:val="18"/>
          <w:vertAlign w:val="baseline"/>
        </w:rPr>
        <w:t> </w:t>
      </w:r>
      <w:r>
        <w:rPr>
          <w:sz w:val="18"/>
          <w:vertAlign w:val="baseline"/>
        </w:rPr>
        <w:t>Dorison.</w:t>
      </w:r>
      <w:r>
        <w:rPr>
          <w:spacing w:val="-2"/>
          <w:sz w:val="18"/>
          <w:vertAlign w:val="baseline"/>
        </w:rPr>
        <w:t> </w:t>
      </w:r>
      <w:r>
        <w:rPr>
          <w:sz w:val="18"/>
          <w:vertAlign w:val="baseline"/>
        </w:rPr>
        <w:t>2020.</w:t>
      </w:r>
      <w:r>
        <w:rPr>
          <w:spacing w:val="-2"/>
          <w:sz w:val="18"/>
          <w:vertAlign w:val="baseline"/>
        </w:rPr>
        <w:t> </w:t>
      </w:r>
      <w:r>
        <w:rPr>
          <w:sz w:val="18"/>
          <w:vertAlign w:val="baseline"/>
        </w:rPr>
        <w:t>“Understanding</w:t>
      </w:r>
      <w:r>
        <w:rPr>
          <w:spacing w:val="-2"/>
          <w:sz w:val="18"/>
          <w:vertAlign w:val="baseline"/>
        </w:rPr>
        <w:t> </w:t>
      </w:r>
      <w:r>
        <w:rPr>
          <w:sz w:val="18"/>
          <w:vertAlign w:val="baseline"/>
        </w:rPr>
        <w:t>the</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of</w:t>
      </w:r>
      <w:r>
        <w:rPr>
          <w:spacing w:val="-2"/>
          <w:sz w:val="18"/>
          <w:vertAlign w:val="baseline"/>
        </w:rPr>
        <w:t> </w:t>
      </w:r>
      <w:r>
        <w:rPr>
          <w:sz w:val="18"/>
          <w:vertAlign w:val="baseline"/>
        </w:rPr>
        <w:t>Transgender</w:t>
      </w:r>
      <w:r>
        <w:rPr>
          <w:spacing w:val="-3"/>
          <w:sz w:val="18"/>
          <w:vertAlign w:val="baseline"/>
        </w:rPr>
        <w:t> </w:t>
      </w:r>
      <w:r>
        <w:rPr>
          <w:sz w:val="18"/>
          <w:vertAlign w:val="baseline"/>
        </w:rPr>
        <w:t>and Nonbinary Youth.” </w:t>
      </w:r>
      <w:r>
        <w:rPr>
          <w:i/>
          <w:sz w:val="18"/>
          <w:vertAlign w:val="baseline"/>
        </w:rPr>
        <w:t>Journal of Adolescent Health </w:t>
      </w:r>
      <w:r>
        <w:rPr>
          <w:sz w:val="18"/>
          <w:vertAlign w:val="baseline"/>
        </w:rPr>
        <w:t>66 (6): 684–90. https://doi.org/10.1016/j.jadohealth.2019.11.314.</w:t>
      </w:r>
    </w:p>
    <w:p>
      <w:pPr>
        <w:spacing w:before="120"/>
        <w:ind w:left="463" w:right="434" w:firstLine="0"/>
        <w:jc w:val="left"/>
        <w:rPr>
          <w:sz w:val="18"/>
        </w:rPr>
      </w:pPr>
      <w:bookmarkStart w:name="_bookmark292" w:id="514"/>
      <w:bookmarkEnd w:id="514"/>
      <w:r>
        <w:rPr/>
      </w:r>
      <w:r>
        <w:rPr>
          <w:sz w:val="18"/>
          <w:vertAlign w:val="superscript"/>
        </w:rPr>
        <w:t>19</w:t>
      </w:r>
      <w:r>
        <w:rPr>
          <w:spacing w:val="-2"/>
          <w:sz w:val="18"/>
          <w:vertAlign w:val="baseline"/>
        </w:rPr>
        <w:t> </w:t>
      </w:r>
      <w:r>
        <w:rPr>
          <w:sz w:val="18"/>
          <w:vertAlign w:val="baseline"/>
        </w:rPr>
        <w:t>“2024</w:t>
      </w:r>
      <w:r>
        <w:rPr>
          <w:spacing w:val="-3"/>
          <w:sz w:val="18"/>
          <w:vertAlign w:val="baseline"/>
        </w:rPr>
        <w:t> </w:t>
      </w:r>
      <w:r>
        <w:rPr>
          <w:sz w:val="18"/>
          <w:vertAlign w:val="baseline"/>
        </w:rPr>
        <w:t>U.S.</w:t>
      </w:r>
      <w:r>
        <w:rPr>
          <w:spacing w:val="-2"/>
          <w:sz w:val="18"/>
          <w:vertAlign w:val="baseline"/>
        </w:rPr>
        <w:t> </w:t>
      </w:r>
      <w:r>
        <w:rPr>
          <w:sz w:val="18"/>
          <w:vertAlign w:val="baseline"/>
        </w:rPr>
        <w:t>National</w:t>
      </w:r>
      <w:r>
        <w:rPr>
          <w:spacing w:val="-3"/>
          <w:sz w:val="18"/>
          <w:vertAlign w:val="baseline"/>
        </w:rPr>
        <w:t> </w:t>
      </w:r>
      <w:r>
        <w:rPr>
          <w:sz w:val="18"/>
          <w:vertAlign w:val="baseline"/>
        </w:rPr>
        <w:t>Survey</w:t>
      </w:r>
      <w:r>
        <w:rPr>
          <w:spacing w:val="-2"/>
          <w:sz w:val="18"/>
          <w:vertAlign w:val="baseline"/>
        </w:rPr>
        <w:t> </w:t>
      </w:r>
      <w:r>
        <w:rPr>
          <w:sz w:val="18"/>
          <w:vertAlign w:val="baseline"/>
        </w:rPr>
        <w:t>on</w:t>
      </w:r>
      <w:r>
        <w:rPr>
          <w:spacing w:val="-2"/>
          <w:sz w:val="18"/>
          <w:vertAlign w:val="baseline"/>
        </w:rPr>
        <w:t> </w:t>
      </w:r>
      <w:r>
        <w:rPr>
          <w:sz w:val="18"/>
          <w:vertAlign w:val="baseline"/>
        </w:rPr>
        <w:t>the</w:t>
      </w:r>
      <w:r>
        <w:rPr>
          <w:spacing w:val="-3"/>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of</w:t>
      </w:r>
      <w:r>
        <w:rPr>
          <w:spacing w:val="-2"/>
          <w:sz w:val="18"/>
          <w:vertAlign w:val="baseline"/>
        </w:rPr>
        <w:t> </w:t>
      </w:r>
      <w:r>
        <w:rPr>
          <w:sz w:val="18"/>
          <w:vertAlign w:val="baseline"/>
        </w:rPr>
        <w:t>LGBTQ</w:t>
      </w:r>
      <w:r>
        <w:rPr>
          <w:spacing w:val="-3"/>
          <w:sz w:val="18"/>
          <w:vertAlign w:val="baseline"/>
        </w:rPr>
        <w:t> </w:t>
      </w:r>
      <w:r>
        <w:rPr>
          <w:sz w:val="18"/>
          <w:vertAlign w:val="baseline"/>
        </w:rPr>
        <w:t>Young</w:t>
      </w:r>
      <w:r>
        <w:rPr>
          <w:spacing w:val="-2"/>
          <w:sz w:val="18"/>
          <w:vertAlign w:val="baseline"/>
        </w:rPr>
        <w:t> </w:t>
      </w:r>
      <w:r>
        <w:rPr>
          <w:sz w:val="18"/>
          <w:vertAlign w:val="baseline"/>
        </w:rPr>
        <w:t>People.”</w:t>
      </w:r>
      <w:r>
        <w:rPr>
          <w:spacing w:val="-2"/>
          <w:sz w:val="18"/>
          <w:vertAlign w:val="baseline"/>
        </w:rPr>
        <w:t> </w:t>
      </w:r>
      <w:r>
        <w:rPr>
          <w:sz w:val="18"/>
          <w:vertAlign w:val="baseline"/>
        </w:rPr>
        <w:t>2024.</w:t>
      </w:r>
      <w:r>
        <w:rPr>
          <w:spacing w:val="-3"/>
          <w:sz w:val="18"/>
          <w:vertAlign w:val="baseline"/>
        </w:rPr>
        <w:t> </w:t>
      </w:r>
      <w:r>
        <w:rPr>
          <w:sz w:val="18"/>
          <w:vertAlign w:val="baseline"/>
        </w:rPr>
        <w:t>The</w:t>
      </w:r>
      <w:r>
        <w:rPr>
          <w:spacing w:val="-2"/>
          <w:sz w:val="18"/>
          <w:vertAlign w:val="baseline"/>
        </w:rPr>
        <w:t> </w:t>
      </w:r>
      <w:r>
        <w:rPr>
          <w:sz w:val="18"/>
          <w:vertAlign w:val="baseline"/>
        </w:rPr>
        <w:t>Trevor</w:t>
      </w:r>
      <w:r>
        <w:rPr>
          <w:spacing w:val="-3"/>
          <w:sz w:val="18"/>
          <w:vertAlign w:val="baseline"/>
        </w:rPr>
        <w:t> </w:t>
      </w:r>
      <w:r>
        <w:rPr>
          <w:sz w:val="18"/>
          <w:vertAlign w:val="baseline"/>
        </w:rPr>
        <w:t>Project. </w:t>
      </w:r>
      <w:r>
        <w:rPr>
          <w:spacing w:val="-2"/>
          <w:sz w:val="18"/>
          <w:vertAlign w:val="baseline"/>
        </w:rPr>
        <w:t>https://</w:t>
      </w:r>
      <w:hyperlink r:id="rId456">
        <w:r>
          <w:rPr>
            <w:spacing w:val="-2"/>
            <w:sz w:val="18"/>
            <w:vertAlign w:val="baseline"/>
          </w:rPr>
          <w:t>www.thetrevorproject.org/.</w:t>
        </w:r>
      </w:hyperlink>
    </w:p>
    <w:p>
      <w:pPr>
        <w:spacing w:before="121"/>
        <w:ind w:left="464" w:right="434" w:hanging="1"/>
        <w:jc w:val="left"/>
        <w:rPr>
          <w:sz w:val="18"/>
        </w:rPr>
      </w:pPr>
      <w:bookmarkStart w:name="_bookmark293" w:id="515"/>
      <w:bookmarkEnd w:id="515"/>
      <w:r>
        <w:rPr/>
      </w:r>
      <w:r>
        <w:rPr>
          <w:sz w:val="18"/>
          <w:vertAlign w:val="superscript"/>
        </w:rPr>
        <w:t>20</w:t>
      </w:r>
      <w:r>
        <w:rPr>
          <w:spacing w:val="-2"/>
          <w:sz w:val="18"/>
          <w:vertAlign w:val="baseline"/>
        </w:rPr>
        <w:t> </w:t>
      </w:r>
      <w:r>
        <w:rPr>
          <w:sz w:val="18"/>
          <w:vertAlign w:val="baseline"/>
        </w:rPr>
        <w:t>Côté,</w:t>
      </w:r>
      <w:r>
        <w:rPr>
          <w:spacing w:val="-3"/>
          <w:sz w:val="18"/>
          <w:vertAlign w:val="baseline"/>
        </w:rPr>
        <w:t> </w:t>
      </w:r>
      <w:r>
        <w:rPr>
          <w:sz w:val="18"/>
          <w:vertAlign w:val="baseline"/>
        </w:rPr>
        <w:t>Philippe-Benoit,</w:t>
      </w:r>
      <w:r>
        <w:rPr>
          <w:spacing w:val="-3"/>
          <w:sz w:val="18"/>
          <w:vertAlign w:val="baseline"/>
        </w:rPr>
        <w:t> </w:t>
      </w:r>
      <w:r>
        <w:rPr>
          <w:sz w:val="18"/>
          <w:vertAlign w:val="baseline"/>
        </w:rPr>
        <w:t>Lolita</w:t>
      </w:r>
      <w:r>
        <w:rPr>
          <w:spacing w:val="-2"/>
          <w:sz w:val="18"/>
          <w:vertAlign w:val="baseline"/>
        </w:rPr>
        <w:t> </w:t>
      </w:r>
      <w:r>
        <w:rPr>
          <w:sz w:val="18"/>
          <w:vertAlign w:val="baseline"/>
        </w:rPr>
        <w:t>Frésard,</w:t>
      </w:r>
      <w:r>
        <w:rPr>
          <w:spacing w:val="-3"/>
          <w:sz w:val="18"/>
          <w:vertAlign w:val="baseline"/>
        </w:rPr>
        <w:t> </w:t>
      </w:r>
      <w:r>
        <w:rPr>
          <w:sz w:val="18"/>
          <w:vertAlign w:val="baseline"/>
        </w:rPr>
        <w:t>and</w:t>
      </w:r>
      <w:r>
        <w:rPr>
          <w:spacing w:val="-2"/>
          <w:sz w:val="18"/>
          <w:vertAlign w:val="baseline"/>
        </w:rPr>
        <w:t> </w:t>
      </w:r>
      <w:r>
        <w:rPr>
          <w:sz w:val="18"/>
          <w:vertAlign w:val="baseline"/>
        </w:rPr>
        <w:t>Martin</w:t>
      </w:r>
      <w:r>
        <w:rPr>
          <w:spacing w:val="-2"/>
          <w:sz w:val="18"/>
          <w:vertAlign w:val="baseline"/>
        </w:rPr>
        <w:t> </w:t>
      </w:r>
      <w:r>
        <w:rPr>
          <w:sz w:val="18"/>
          <w:vertAlign w:val="baseline"/>
        </w:rPr>
        <w:t>Blais.</w:t>
      </w:r>
      <w:r>
        <w:rPr>
          <w:spacing w:val="-2"/>
          <w:sz w:val="18"/>
          <w:vertAlign w:val="baseline"/>
        </w:rPr>
        <w:t> </w:t>
      </w:r>
      <w:r>
        <w:rPr>
          <w:sz w:val="18"/>
          <w:vertAlign w:val="baseline"/>
        </w:rPr>
        <w:t>2023.</w:t>
      </w:r>
      <w:r>
        <w:rPr>
          <w:spacing w:val="-2"/>
          <w:sz w:val="18"/>
          <w:vertAlign w:val="baseline"/>
        </w:rPr>
        <w:t> </w:t>
      </w:r>
      <w:r>
        <w:rPr>
          <w:sz w:val="18"/>
          <w:vertAlign w:val="baseline"/>
        </w:rPr>
        <w:t>“‘I</w:t>
      </w:r>
      <w:r>
        <w:rPr>
          <w:spacing w:val="-2"/>
          <w:sz w:val="18"/>
          <w:vertAlign w:val="baseline"/>
        </w:rPr>
        <w:t> </w:t>
      </w:r>
      <w:r>
        <w:rPr>
          <w:sz w:val="18"/>
          <w:vertAlign w:val="baseline"/>
        </w:rPr>
        <w:t>Didn’t</w:t>
      </w:r>
      <w:r>
        <w:rPr>
          <w:spacing w:val="-3"/>
          <w:sz w:val="18"/>
          <w:vertAlign w:val="baseline"/>
        </w:rPr>
        <w:t> </w:t>
      </w:r>
      <w:r>
        <w:rPr>
          <w:sz w:val="18"/>
          <w:vertAlign w:val="baseline"/>
        </w:rPr>
        <w:t>Want</w:t>
      </w:r>
      <w:r>
        <w:rPr>
          <w:spacing w:val="-3"/>
          <w:sz w:val="18"/>
          <w:vertAlign w:val="baseline"/>
        </w:rPr>
        <w:t> </w:t>
      </w:r>
      <w:r>
        <w:rPr>
          <w:sz w:val="18"/>
          <w:vertAlign w:val="baseline"/>
        </w:rPr>
        <w:t>to</w:t>
      </w:r>
      <w:r>
        <w:rPr>
          <w:spacing w:val="-2"/>
          <w:sz w:val="18"/>
          <w:vertAlign w:val="baseline"/>
        </w:rPr>
        <w:t> </w:t>
      </w:r>
      <w:r>
        <w:rPr>
          <w:sz w:val="18"/>
          <w:vertAlign w:val="baseline"/>
        </w:rPr>
        <w:t>Be</w:t>
      </w:r>
      <w:r>
        <w:rPr>
          <w:spacing w:val="-2"/>
          <w:sz w:val="18"/>
          <w:vertAlign w:val="baseline"/>
        </w:rPr>
        <w:t> </w:t>
      </w:r>
      <w:r>
        <w:rPr>
          <w:sz w:val="18"/>
          <w:vertAlign w:val="baseline"/>
        </w:rPr>
        <w:t>Noticed’:</w:t>
      </w:r>
      <w:r>
        <w:rPr>
          <w:spacing w:val="-2"/>
          <w:sz w:val="18"/>
          <w:vertAlign w:val="baseline"/>
        </w:rPr>
        <w:t> </w:t>
      </w:r>
      <w:r>
        <w:rPr>
          <w:sz w:val="18"/>
          <w:vertAlign w:val="baseline"/>
        </w:rPr>
        <w:t>Discrimination</w:t>
      </w:r>
      <w:r>
        <w:rPr>
          <w:spacing w:val="-2"/>
          <w:sz w:val="18"/>
          <w:vertAlign w:val="baseline"/>
        </w:rPr>
        <w:t> </w:t>
      </w:r>
      <w:r>
        <w:rPr>
          <w:sz w:val="18"/>
          <w:vertAlign w:val="baseline"/>
        </w:rPr>
        <w:t>and</w:t>
      </w:r>
      <w:r>
        <w:rPr>
          <w:spacing w:val="-2"/>
          <w:sz w:val="18"/>
          <w:vertAlign w:val="baseline"/>
        </w:rPr>
        <w:t> </w:t>
      </w:r>
      <w:r>
        <w:rPr>
          <w:sz w:val="18"/>
          <w:vertAlign w:val="baseline"/>
        </w:rPr>
        <w:t>Violence among LGBTQ + Youth Experiencing Homelessness,” March. https://doi.org/10.1080/19361653.2023.2185337.</w:t>
      </w:r>
    </w:p>
    <w:p>
      <w:pPr>
        <w:spacing w:before="119"/>
        <w:ind w:left="463" w:right="0" w:firstLine="0"/>
        <w:jc w:val="left"/>
        <w:rPr>
          <w:sz w:val="18"/>
        </w:rPr>
      </w:pPr>
      <w:bookmarkStart w:name="_bookmark294" w:id="516"/>
      <w:bookmarkEnd w:id="516"/>
      <w:r>
        <w:rPr/>
      </w:r>
      <w:r>
        <w:rPr>
          <w:sz w:val="18"/>
          <w:vertAlign w:val="superscript"/>
        </w:rPr>
        <w:t>21</w:t>
      </w:r>
      <w:r>
        <w:rPr>
          <w:spacing w:val="-3"/>
          <w:sz w:val="18"/>
          <w:vertAlign w:val="baseline"/>
        </w:rPr>
        <w:t> </w:t>
      </w:r>
      <w:r>
        <w:rPr>
          <w:sz w:val="18"/>
          <w:vertAlign w:val="baseline"/>
        </w:rPr>
        <w:t>Hail-Jares,</w:t>
      </w:r>
      <w:r>
        <w:rPr>
          <w:spacing w:val="-3"/>
          <w:sz w:val="18"/>
          <w:vertAlign w:val="baseline"/>
        </w:rPr>
        <w:t> </w:t>
      </w:r>
      <w:r>
        <w:rPr>
          <w:sz w:val="18"/>
          <w:vertAlign w:val="baseline"/>
        </w:rPr>
        <w:t>Katie,</w:t>
      </w:r>
      <w:r>
        <w:rPr>
          <w:spacing w:val="-4"/>
          <w:sz w:val="18"/>
          <w:vertAlign w:val="baseline"/>
        </w:rPr>
        <w:t> </w:t>
      </w:r>
      <w:r>
        <w:rPr>
          <w:sz w:val="18"/>
          <w:vertAlign w:val="baseline"/>
        </w:rPr>
        <w:t>Rhianon</w:t>
      </w:r>
      <w:r>
        <w:rPr>
          <w:spacing w:val="-3"/>
          <w:sz w:val="18"/>
          <w:vertAlign w:val="baseline"/>
        </w:rPr>
        <w:t> </w:t>
      </w:r>
      <w:r>
        <w:rPr>
          <w:sz w:val="18"/>
          <w:vertAlign w:val="baseline"/>
        </w:rPr>
        <w:t>Vichta-Ohlsen,</w:t>
      </w:r>
      <w:r>
        <w:rPr>
          <w:spacing w:val="-3"/>
          <w:sz w:val="18"/>
          <w:vertAlign w:val="baseline"/>
        </w:rPr>
        <w:t> </w:t>
      </w:r>
      <w:r>
        <w:rPr>
          <w:sz w:val="18"/>
          <w:vertAlign w:val="baseline"/>
        </w:rPr>
        <w:t>Theo</w:t>
      </w:r>
      <w:r>
        <w:rPr>
          <w:spacing w:val="-3"/>
          <w:sz w:val="18"/>
          <w:vertAlign w:val="baseline"/>
        </w:rPr>
        <w:t> </w:t>
      </w:r>
      <w:r>
        <w:rPr>
          <w:sz w:val="18"/>
          <w:vertAlign w:val="baseline"/>
        </w:rPr>
        <w:t>M.</w:t>
      </w:r>
      <w:r>
        <w:rPr>
          <w:spacing w:val="-3"/>
          <w:sz w:val="18"/>
          <w:vertAlign w:val="baseline"/>
        </w:rPr>
        <w:t> </w:t>
      </w:r>
      <w:r>
        <w:rPr>
          <w:sz w:val="18"/>
          <w:vertAlign w:val="baseline"/>
        </w:rPr>
        <w:t>Butler,</w:t>
      </w:r>
      <w:r>
        <w:rPr>
          <w:spacing w:val="-3"/>
          <w:sz w:val="18"/>
          <w:vertAlign w:val="baseline"/>
        </w:rPr>
        <w:t> </w:t>
      </w:r>
      <w:r>
        <w:rPr>
          <w:sz w:val="18"/>
          <w:vertAlign w:val="baseline"/>
        </w:rPr>
        <w:t>and</w:t>
      </w:r>
      <w:r>
        <w:rPr>
          <w:spacing w:val="-3"/>
          <w:sz w:val="18"/>
          <w:vertAlign w:val="baseline"/>
        </w:rPr>
        <w:t> </w:t>
      </w:r>
      <w:r>
        <w:rPr>
          <w:sz w:val="18"/>
          <w:vertAlign w:val="baseline"/>
        </w:rPr>
        <w:t>Jacqueline</w:t>
      </w:r>
      <w:r>
        <w:rPr>
          <w:spacing w:val="-3"/>
          <w:sz w:val="18"/>
          <w:vertAlign w:val="baseline"/>
        </w:rPr>
        <w:t> </w:t>
      </w:r>
      <w:r>
        <w:rPr>
          <w:sz w:val="18"/>
          <w:vertAlign w:val="baseline"/>
        </w:rPr>
        <w:t>Byrne.</w:t>
      </w:r>
      <w:r>
        <w:rPr>
          <w:spacing w:val="-3"/>
          <w:sz w:val="18"/>
          <w:vertAlign w:val="baseline"/>
        </w:rPr>
        <w:t> </w:t>
      </w:r>
      <w:r>
        <w:rPr>
          <w:sz w:val="18"/>
          <w:vertAlign w:val="baseline"/>
        </w:rPr>
        <w:t>2023.</w:t>
      </w:r>
      <w:r>
        <w:rPr>
          <w:spacing w:val="-3"/>
          <w:sz w:val="18"/>
          <w:vertAlign w:val="baseline"/>
        </w:rPr>
        <w:t> </w:t>
      </w:r>
      <w:r>
        <w:rPr>
          <w:sz w:val="18"/>
          <w:vertAlign w:val="baseline"/>
        </w:rPr>
        <w:t>“Queer</w:t>
      </w:r>
      <w:r>
        <w:rPr>
          <w:spacing w:val="-3"/>
          <w:sz w:val="18"/>
          <w:vertAlign w:val="baseline"/>
        </w:rPr>
        <w:t> </w:t>
      </w:r>
      <w:r>
        <w:rPr>
          <w:sz w:val="18"/>
          <w:vertAlign w:val="baseline"/>
        </w:rPr>
        <w:t>Homelessness:</w:t>
      </w:r>
      <w:r>
        <w:rPr>
          <w:spacing w:val="-3"/>
          <w:sz w:val="18"/>
          <w:vertAlign w:val="baseline"/>
        </w:rPr>
        <w:t> </w:t>
      </w:r>
      <w:r>
        <w:rPr>
          <w:sz w:val="18"/>
          <w:vertAlign w:val="baseline"/>
        </w:rPr>
        <w:t>The</w:t>
      </w:r>
      <w:r>
        <w:rPr>
          <w:spacing w:val="-3"/>
          <w:sz w:val="18"/>
          <w:vertAlign w:val="baseline"/>
        </w:rPr>
        <w:t> </w:t>
      </w:r>
      <w:r>
        <w:rPr>
          <w:sz w:val="18"/>
          <w:vertAlign w:val="baseline"/>
        </w:rPr>
        <w:t>Distinct Experiences of Sexuality and Trans-Gender Diverse Youth.” </w:t>
      </w:r>
      <w:r>
        <w:rPr>
          <w:i/>
          <w:sz w:val="18"/>
          <w:vertAlign w:val="baseline"/>
        </w:rPr>
        <w:t>Journal of LGBT Youth </w:t>
      </w:r>
      <w:r>
        <w:rPr>
          <w:sz w:val="18"/>
          <w:vertAlign w:val="baseline"/>
        </w:rPr>
        <w:t>20 (4): 757–82. </w:t>
      </w:r>
      <w:r>
        <w:rPr>
          <w:spacing w:val="-2"/>
          <w:sz w:val="18"/>
          <w:vertAlign w:val="baseline"/>
        </w:rPr>
        <w:t>https://doi.org/10.1080/19361653.2021.1990817.</w:t>
      </w:r>
    </w:p>
    <w:p>
      <w:pPr>
        <w:spacing w:before="120"/>
        <w:ind w:left="464" w:right="565" w:firstLine="0"/>
        <w:jc w:val="left"/>
        <w:rPr>
          <w:sz w:val="18"/>
        </w:rPr>
      </w:pPr>
      <w:bookmarkStart w:name="_bookmark295" w:id="517"/>
      <w:bookmarkEnd w:id="517"/>
      <w:r>
        <w:rPr/>
      </w:r>
      <w:r>
        <w:rPr>
          <w:sz w:val="18"/>
          <w:vertAlign w:val="superscript"/>
        </w:rPr>
        <w:t>22</w:t>
      </w:r>
      <w:r>
        <w:rPr>
          <w:spacing w:val="-3"/>
          <w:sz w:val="18"/>
          <w:vertAlign w:val="baseline"/>
        </w:rPr>
        <w:t> </w:t>
      </w:r>
      <w:r>
        <w:rPr>
          <w:sz w:val="18"/>
          <w:vertAlign w:val="baseline"/>
        </w:rPr>
        <w:t>Shelton,</w:t>
      </w:r>
      <w:r>
        <w:rPr>
          <w:spacing w:val="-4"/>
          <w:sz w:val="18"/>
          <w:vertAlign w:val="baseline"/>
        </w:rPr>
        <w:t> </w:t>
      </w:r>
      <w:r>
        <w:rPr>
          <w:sz w:val="18"/>
          <w:vertAlign w:val="baseline"/>
        </w:rPr>
        <w:t>Jama,</w:t>
      </w:r>
      <w:r>
        <w:rPr>
          <w:spacing w:val="-4"/>
          <w:sz w:val="18"/>
          <w:vertAlign w:val="baseline"/>
        </w:rPr>
        <w:t> </w:t>
      </w:r>
      <w:r>
        <w:rPr>
          <w:sz w:val="18"/>
          <w:vertAlign w:val="baseline"/>
        </w:rPr>
        <w:t>Christa</w:t>
      </w:r>
      <w:r>
        <w:rPr>
          <w:spacing w:val="-3"/>
          <w:sz w:val="18"/>
          <w:vertAlign w:val="baseline"/>
        </w:rPr>
        <w:t> </w:t>
      </w:r>
      <w:r>
        <w:rPr>
          <w:sz w:val="18"/>
          <w:vertAlign w:val="baseline"/>
        </w:rPr>
        <w:t>Price,</w:t>
      </w:r>
      <w:r>
        <w:rPr>
          <w:spacing w:val="-4"/>
          <w:sz w:val="18"/>
          <w:vertAlign w:val="baseline"/>
        </w:rPr>
        <w:t> </w:t>
      </w:r>
      <w:r>
        <w:rPr>
          <w:sz w:val="18"/>
          <w:vertAlign w:val="baseline"/>
        </w:rPr>
        <w:t>and</w:t>
      </w:r>
      <w:r>
        <w:rPr>
          <w:spacing w:val="-3"/>
          <w:sz w:val="18"/>
          <w:vertAlign w:val="baseline"/>
        </w:rPr>
        <w:t> </w:t>
      </w:r>
      <w:r>
        <w:rPr>
          <w:sz w:val="18"/>
          <w:vertAlign w:val="baseline"/>
        </w:rPr>
        <w:t>Phoebe</w:t>
      </w:r>
      <w:r>
        <w:rPr>
          <w:spacing w:val="-3"/>
          <w:sz w:val="18"/>
          <w:vertAlign w:val="baseline"/>
        </w:rPr>
        <w:t> </w:t>
      </w:r>
      <w:r>
        <w:rPr>
          <w:sz w:val="18"/>
          <w:vertAlign w:val="baseline"/>
        </w:rPr>
        <w:t>VanCleefe.</w:t>
      </w:r>
      <w:r>
        <w:rPr>
          <w:spacing w:val="-4"/>
          <w:sz w:val="18"/>
          <w:vertAlign w:val="baseline"/>
        </w:rPr>
        <w:t> </w:t>
      </w:r>
      <w:r>
        <w:rPr>
          <w:sz w:val="18"/>
          <w:vertAlign w:val="baseline"/>
        </w:rPr>
        <w:t>2017.</w:t>
      </w:r>
      <w:r>
        <w:rPr>
          <w:spacing w:val="-3"/>
          <w:sz w:val="18"/>
          <w:vertAlign w:val="baseline"/>
        </w:rPr>
        <w:t> </w:t>
      </w:r>
      <w:r>
        <w:rPr>
          <w:sz w:val="18"/>
          <w:vertAlign w:val="baseline"/>
        </w:rPr>
        <w:t>“Authentic</w:t>
      </w:r>
      <w:r>
        <w:rPr>
          <w:spacing w:val="-4"/>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Young</w:t>
      </w:r>
      <w:r>
        <w:rPr>
          <w:spacing w:val="-3"/>
          <w:sz w:val="18"/>
          <w:vertAlign w:val="baseline"/>
        </w:rPr>
        <w:t> </w:t>
      </w:r>
      <w:r>
        <w:rPr>
          <w:sz w:val="18"/>
          <w:vertAlign w:val="baseline"/>
        </w:rPr>
        <w:t>Adult</w:t>
      </w:r>
      <w:r>
        <w:rPr>
          <w:spacing w:val="-4"/>
          <w:sz w:val="18"/>
          <w:vertAlign w:val="baseline"/>
        </w:rPr>
        <w:t> </w:t>
      </w:r>
      <w:r>
        <w:rPr>
          <w:sz w:val="18"/>
          <w:vertAlign w:val="baseline"/>
        </w:rPr>
        <w:t>Partnerships:</w:t>
      </w:r>
      <w:r>
        <w:rPr>
          <w:spacing w:val="-3"/>
          <w:sz w:val="18"/>
          <w:vertAlign w:val="baseline"/>
        </w:rPr>
        <w:t> </w:t>
      </w:r>
      <w:r>
        <w:rPr>
          <w:sz w:val="18"/>
          <w:vertAlign w:val="baseline"/>
        </w:rPr>
        <w:t>Broadening the Narrative of LGBTQ Youth Homelessness.” </w:t>
      </w:r>
      <w:r>
        <w:rPr>
          <w:i/>
          <w:sz w:val="18"/>
          <w:vertAlign w:val="baseline"/>
        </w:rPr>
        <w:t>Journal of Family Strengths </w:t>
      </w:r>
      <w:r>
        <w:rPr>
          <w:sz w:val="18"/>
          <w:vertAlign w:val="baseline"/>
        </w:rPr>
        <w:t>17 (2). https://doi.org/10.58464/2168- </w:t>
      </w:r>
      <w:r>
        <w:rPr>
          <w:spacing w:val="-2"/>
          <w:sz w:val="18"/>
          <w:vertAlign w:val="baseline"/>
        </w:rPr>
        <w:t>670X.1354.</w:t>
      </w:r>
    </w:p>
    <w:p>
      <w:pPr>
        <w:spacing w:before="120"/>
        <w:ind w:left="464" w:right="413" w:firstLine="0"/>
        <w:jc w:val="left"/>
        <w:rPr>
          <w:sz w:val="18"/>
        </w:rPr>
      </w:pPr>
      <w:bookmarkStart w:name="_bookmark296" w:id="518"/>
      <w:bookmarkEnd w:id="518"/>
      <w:r>
        <w:rPr/>
      </w:r>
      <w:r>
        <w:rPr>
          <w:sz w:val="18"/>
          <w:vertAlign w:val="superscript"/>
        </w:rPr>
        <w:t>23</w:t>
      </w:r>
      <w:r>
        <w:rPr>
          <w:spacing w:val="-3"/>
          <w:sz w:val="18"/>
          <w:vertAlign w:val="baseline"/>
        </w:rPr>
        <w:t> </w:t>
      </w:r>
      <w:r>
        <w:rPr>
          <w:sz w:val="18"/>
          <w:vertAlign w:val="baseline"/>
        </w:rPr>
        <w:t>Semborski,</w:t>
      </w:r>
      <w:r>
        <w:rPr>
          <w:spacing w:val="-3"/>
          <w:sz w:val="18"/>
          <w:vertAlign w:val="baseline"/>
        </w:rPr>
        <w:t> </w:t>
      </w:r>
      <w:r>
        <w:rPr>
          <w:sz w:val="18"/>
          <w:vertAlign w:val="baseline"/>
        </w:rPr>
        <w:t>Sara,</w:t>
      </w:r>
      <w:r>
        <w:rPr>
          <w:spacing w:val="-3"/>
          <w:sz w:val="18"/>
          <w:vertAlign w:val="baseline"/>
        </w:rPr>
        <w:t> </w:t>
      </w:r>
      <w:r>
        <w:rPr>
          <w:sz w:val="18"/>
          <w:vertAlign w:val="baseline"/>
        </w:rPr>
        <w:t>Ankur</w:t>
      </w:r>
      <w:r>
        <w:rPr>
          <w:spacing w:val="-3"/>
          <w:sz w:val="18"/>
          <w:vertAlign w:val="baseline"/>
        </w:rPr>
        <w:t> </w:t>
      </w:r>
      <w:r>
        <w:rPr>
          <w:sz w:val="18"/>
          <w:vertAlign w:val="baseline"/>
        </w:rPr>
        <w:t>Srivastava,</w:t>
      </w:r>
      <w:r>
        <w:rPr>
          <w:spacing w:val="-3"/>
          <w:sz w:val="18"/>
          <w:vertAlign w:val="baseline"/>
        </w:rPr>
        <w:t> </w:t>
      </w:r>
      <w:r>
        <w:rPr>
          <w:sz w:val="18"/>
          <w:vertAlign w:val="baseline"/>
        </w:rPr>
        <w:t>Harmony</w:t>
      </w:r>
      <w:r>
        <w:rPr>
          <w:spacing w:val="-3"/>
          <w:sz w:val="18"/>
          <w:vertAlign w:val="baseline"/>
        </w:rPr>
        <w:t> </w:t>
      </w:r>
      <w:r>
        <w:rPr>
          <w:sz w:val="18"/>
          <w:vertAlign w:val="baseline"/>
        </w:rPr>
        <w:t>Rhoades,</w:t>
      </w:r>
      <w:r>
        <w:rPr>
          <w:spacing w:val="-3"/>
          <w:sz w:val="18"/>
          <w:vertAlign w:val="baseline"/>
        </w:rPr>
        <w:t> </w:t>
      </w:r>
      <w:r>
        <w:rPr>
          <w:sz w:val="18"/>
          <w:vertAlign w:val="baseline"/>
        </w:rPr>
        <w:t>Anthony</w:t>
      </w:r>
      <w:r>
        <w:rPr>
          <w:spacing w:val="-3"/>
          <w:sz w:val="18"/>
          <w:vertAlign w:val="baseline"/>
        </w:rPr>
        <w:t> </w:t>
      </w:r>
      <w:r>
        <w:rPr>
          <w:sz w:val="18"/>
          <w:vertAlign w:val="baseline"/>
        </w:rPr>
        <w:t>Fulginiti,</w:t>
      </w:r>
      <w:r>
        <w:rPr>
          <w:spacing w:val="-3"/>
          <w:sz w:val="18"/>
          <w:vertAlign w:val="baseline"/>
        </w:rPr>
        <w:t> </w:t>
      </w:r>
      <w:r>
        <w:rPr>
          <w:sz w:val="18"/>
          <w:vertAlign w:val="baseline"/>
        </w:rPr>
        <w:t>and</w:t>
      </w:r>
      <w:r>
        <w:rPr>
          <w:spacing w:val="-3"/>
          <w:sz w:val="18"/>
          <w:vertAlign w:val="baseline"/>
        </w:rPr>
        <w:t> </w:t>
      </w:r>
      <w:r>
        <w:rPr>
          <w:sz w:val="18"/>
          <w:vertAlign w:val="baseline"/>
        </w:rPr>
        <w:t>Jeremy</w:t>
      </w:r>
      <w:r>
        <w:rPr>
          <w:spacing w:val="-3"/>
          <w:sz w:val="18"/>
          <w:vertAlign w:val="baseline"/>
        </w:rPr>
        <w:t> </w:t>
      </w:r>
      <w:r>
        <w:rPr>
          <w:sz w:val="18"/>
          <w:vertAlign w:val="baseline"/>
        </w:rPr>
        <w:t>Goldbach.</w:t>
      </w:r>
      <w:r>
        <w:rPr>
          <w:spacing w:val="-3"/>
          <w:sz w:val="18"/>
          <w:vertAlign w:val="baseline"/>
        </w:rPr>
        <w:t> </w:t>
      </w:r>
      <w:r>
        <w:rPr>
          <w:sz w:val="18"/>
          <w:vertAlign w:val="baseline"/>
        </w:rPr>
        <w:t>2021.</w:t>
      </w:r>
      <w:r>
        <w:rPr>
          <w:spacing w:val="-3"/>
          <w:sz w:val="18"/>
          <w:vertAlign w:val="baseline"/>
        </w:rPr>
        <w:t> </w:t>
      </w:r>
      <w:r>
        <w:rPr>
          <w:sz w:val="18"/>
          <w:vertAlign w:val="baseline"/>
        </w:rPr>
        <w:t>“Burden,</w:t>
      </w:r>
      <w:r>
        <w:rPr>
          <w:spacing w:val="-4"/>
          <w:sz w:val="18"/>
          <w:vertAlign w:val="baseline"/>
        </w:rPr>
        <w:t> </w:t>
      </w:r>
      <w:r>
        <w:rPr>
          <w:sz w:val="18"/>
          <w:vertAlign w:val="baseline"/>
        </w:rPr>
        <w:t>Belonging, and Homelessness: Disclosure and Social Network Differences among LGBTQ Youth Recruited from a Suicide Crisis Service Provider.” </w:t>
      </w:r>
      <w:r>
        <w:rPr>
          <w:i/>
          <w:sz w:val="18"/>
          <w:vertAlign w:val="baseline"/>
        </w:rPr>
        <w:t>Journal of Homosexuality </w:t>
      </w:r>
      <w:r>
        <w:rPr>
          <w:sz w:val="18"/>
          <w:vertAlign w:val="baseline"/>
        </w:rPr>
        <w:t>69 (April): 1–18. https://doi.org/10.1080/00918369.2021.1898801.</w:t>
      </w:r>
    </w:p>
    <w:p>
      <w:pPr>
        <w:spacing w:before="121"/>
        <w:ind w:left="464" w:right="565" w:firstLine="0"/>
        <w:jc w:val="left"/>
        <w:rPr>
          <w:sz w:val="18"/>
        </w:rPr>
      </w:pPr>
      <w:bookmarkStart w:name="_bookmark297" w:id="519"/>
      <w:bookmarkEnd w:id="519"/>
      <w:r>
        <w:rPr/>
      </w:r>
      <w:r>
        <w:rPr>
          <w:sz w:val="18"/>
          <w:vertAlign w:val="superscript"/>
        </w:rPr>
        <w:t>24</w:t>
      </w:r>
      <w:r>
        <w:rPr>
          <w:spacing w:val="-3"/>
          <w:sz w:val="18"/>
          <w:vertAlign w:val="baseline"/>
        </w:rPr>
        <w:t> </w:t>
      </w:r>
      <w:r>
        <w:rPr>
          <w:sz w:val="18"/>
          <w:vertAlign w:val="baseline"/>
        </w:rPr>
        <w:t>Shelton,</w:t>
      </w:r>
      <w:r>
        <w:rPr>
          <w:spacing w:val="-4"/>
          <w:sz w:val="18"/>
          <w:vertAlign w:val="baseline"/>
        </w:rPr>
        <w:t> </w:t>
      </w:r>
      <w:r>
        <w:rPr>
          <w:sz w:val="18"/>
          <w:vertAlign w:val="baseline"/>
        </w:rPr>
        <w:t>Jama,</w:t>
      </w:r>
      <w:r>
        <w:rPr>
          <w:spacing w:val="-4"/>
          <w:sz w:val="18"/>
          <w:vertAlign w:val="baseline"/>
        </w:rPr>
        <w:t> </w:t>
      </w:r>
      <w:r>
        <w:rPr>
          <w:sz w:val="18"/>
          <w:vertAlign w:val="baseline"/>
        </w:rPr>
        <w:t>Christa</w:t>
      </w:r>
      <w:r>
        <w:rPr>
          <w:spacing w:val="-3"/>
          <w:sz w:val="18"/>
          <w:vertAlign w:val="baseline"/>
        </w:rPr>
        <w:t> </w:t>
      </w:r>
      <w:r>
        <w:rPr>
          <w:sz w:val="18"/>
          <w:vertAlign w:val="baseline"/>
        </w:rPr>
        <w:t>Price,</w:t>
      </w:r>
      <w:r>
        <w:rPr>
          <w:spacing w:val="-4"/>
          <w:sz w:val="18"/>
          <w:vertAlign w:val="baseline"/>
        </w:rPr>
        <w:t> </w:t>
      </w:r>
      <w:r>
        <w:rPr>
          <w:sz w:val="18"/>
          <w:vertAlign w:val="baseline"/>
        </w:rPr>
        <w:t>and</w:t>
      </w:r>
      <w:r>
        <w:rPr>
          <w:spacing w:val="-3"/>
          <w:sz w:val="18"/>
          <w:vertAlign w:val="baseline"/>
        </w:rPr>
        <w:t> </w:t>
      </w:r>
      <w:r>
        <w:rPr>
          <w:sz w:val="18"/>
          <w:vertAlign w:val="baseline"/>
        </w:rPr>
        <w:t>Phoebe</w:t>
      </w:r>
      <w:r>
        <w:rPr>
          <w:spacing w:val="-3"/>
          <w:sz w:val="18"/>
          <w:vertAlign w:val="baseline"/>
        </w:rPr>
        <w:t> </w:t>
      </w:r>
      <w:r>
        <w:rPr>
          <w:sz w:val="18"/>
          <w:vertAlign w:val="baseline"/>
        </w:rPr>
        <w:t>VanCleefe.</w:t>
      </w:r>
      <w:r>
        <w:rPr>
          <w:spacing w:val="-4"/>
          <w:sz w:val="18"/>
          <w:vertAlign w:val="baseline"/>
        </w:rPr>
        <w:t> </w:t>
      </w:r>
      <w:r>
        <w:rPr>
          <w:sz w:val="18"/>
          <w:vertAlign w:val="baseline"/>
        </w:rPr>
        <w:t>2017.</w:t>
      </w:r>
      <w:r>
        <w:rPr>
          <w:spacing w:val="-3"/>
          <w:sz w:val="18"/>
          <w:vertAlign w:val="baseline"/>
        </w:rPr>
        <w:t> </w:t>
      </w:r>
      <w:r>
        <w:rPr>
          <w:sz w:val="18"/>
          <w:vertAlign w:val="baseline"/>
        </w:rPr>
        <w:t>“Authentic</w:t>
      </w:r>
      <w:r>
        <w:rPr>
          <w:spacing w:val="-4"/>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Young</w:t>
      </w:r>
      <w:r>
        <w:rPr>
          <w:spacing w:val="-3"/>
          <w:sz w:val="18"/>
          <w:vertAlign w:val="baseline"/>
        </w:rPr>
        <w:t> </w:t>
      </w:r>
      <w:r>
        <w:rPr>
          <w:sz w:val="18"/>
          <w:vertAlign w:val="baseline"/>
        </w:rPr>
        <w:t>Adult</w:t>
      </w:r>
      <w:r>
        <w:rPr>
          <w:spacing w:val="-4"/>
          <w:sz w:val="18"/>
          <w:vertAlign w:val="baseline"/>
        </w:rPr>
        <w:t> </w:t>
      </w:r>
      <w:r>
        <w:rPr>
          <w:sz w:val="18"/>
          <w:vertAlign w:val="baseline"/>
        </w:rPr>
        <w:t>Partnerships:</w:t>
      </w:r>
      <w:r>
        <w:rPr>
          <w:spacing w:val="-3"/>
          <w:sz w:val="18"/>
          <w:vertAlign w:val="baseline"/>
        </w:rPr>
        <w:t> </w:t>
      </w:r>
      <w:r>
        <w:rPr>
          <w:sz w:val="18"/>
          <w:vertAlign w:val="baseline"/>
        </w:rPr>
        <w:t>Broadening the Narrative of LGBTQ Youth Homelessness.” </w:t>
      </w:r>
      <w:r>
        <w:rPr>
          <w:i/>
          <w:sz w:val="18"/>
          <w:vertAlign w:val="baseline"/>
        </w:rPr>
        <w:t>Journal of Family Strengths </w:t>
      </w:r>
      <w:r>
        <w:rPr>
          <w:sz w:val="18"/>
          <w:vertAlign w:val="baseline"/>
        </w:rPr>
        <w:t>17 (2). https://doi.org/10.58464/2168- </w:t>
      </w:r>
      <w:r>
        <w:rPr>
          <w:spacing w:val="-2"/>
          <w:sz w:val="18"/>
          <w:vertAlign w:val="baseline"/>
        </w:rPr>
        <w:t>670X.1354.</w:t>
      </w:r>
    </w:p>
    <w:p>
      <w:pPr>
        <w:spacing w:before="119"/>
        <w:ind w:left="464" w:right="0" w:firstLine="0"/>
        <w:jc w:val="left"/>
        <w:rPr>
          <w:sz w:val="18"/>
        </w:rPr>
      </w:pPr>
      <w:bookmarkStart w:name="_bookmark298" w:id="520"/>
      <w:bookmarkEnd w:id="520"/>
      <w:r>
        <w:rPr/>
      </w:r>
      <w:r>
        <w:rPr>
          <w:sz w:val="18"/>
          <w:vertAlign w:val="superscript"/>
        </w:rPr>
        <w:t>25</w:t>
      </w:r>
      <w:r>
        <w:rPr>
          <w:spacing w:val="-3"/>
          <w:sz w:val="18"/>
          <w:vertAlign w:val="baseline"/>
        </w:rPr>
        <w:t> </w:t>
      </w:r>
      <w:r>
        <w:rPr>
          <w:sz w:val="18"/>
          <w:vertAlign w:val="baseline"/>
        </w:rPr>
        <w:t>Laurie</w:t>
      </w:r>
      <w:r>
        <w:rPr>
          <w:spacing w:val="-3"/>
          <w:sz w:val="18"/>
          <w:vertAlign w:val="baseline"/>
        </w:rPr>
        <w:t> </w:t>
      </w:r>
      <w:r>
        <w:rPr>
          <w:sz w:val="18"/>
          <w:vertAlign w:val="baseline"/>
        </w:rPr>
        <w:t>Ross,</w:t>
      </w:r>
      <w:r>
        <w:rPr>
          <w:spacing w:val="-4"/>
          <w:sz w:val="18"/>
          <w:vertAlign w:val="baseline"/>
        </w:rPr>
        <w:t> </w:t>
      </w:r>
      <w:r>
        <w:rPr>
          <w:sz w:val="18"/>
          <w:vertAlign w:val="baseline"/>
        </w:rPr>
        <w:t>PhD.</w:t>
      </w:r>
      <w:r>
        <w:rPr>
          <w:spacing w:val="-3"/>
          <w:sz w:val="18"/>
          <w:vertAlign w:val="baseline"/>
        </w:rPr>
        <w:t> </w:t>
      </w:r>
      <w:r>
        <w:rPr>
          <w:sz w:val="18"/>
          <w:vertAlign w:val="baseline"/>
        </w:rPr>
        <w:t>2022.</w:t>
      </w:r>
      <w:r>
        <w:rPr>
          <w:spacing w:val="-3"/>
          <w:sz w:val="18"/>
          <w:vertAlign w:val="baseline"/>
        </w:rPr>
        <w:t> </w:t>
      </w:r>
      <w:r>
        <w:rPr>
          <w:sz w:val="18"/>
          <w:vertAlign w:val="baseline"/>
        </w:rPr>
        <w:t>“Massachusetts</w:t>
      </w:r>
      <w:r>
        <w:rPr>
          <w:spacing w:val="-3"/>
          <w:sz w:val="18"/>
          <w:vertAlign w:val="baseline"/>
        </w:rPr>
        <w:t> </w:t>
      </w:r>
      <w:r>
        <w:rPr>
          <w:sz w:val="18"/>
          <w:vertAlign w:val="baseline"/>
        </w:rPr>
        <w:t>Youth</w:t>
      </w:r>
      <w:r>
        <w:rPr>
          <w:spacing w:val="-3"/>
          <w:sz w:val="18"/>
          <w:vertAlign w:val="baseline"/>
        </w:rPr>
        <w:t> </w:t>
      </w:r>
      <w:r>
        <w:rPr>
          <w:sz w:val="18"/>
          <w:vertAlign w:val="baseline"/>
        </w:rPr>
        <w:t>Count</w:t>
      </w:r>
      <w:r>
        <w:rPr>
          <w:spacing w:val="-3"/>
          <w:sz w:val="18"/>
          <w:vertAlign w:val="baseline"/>
        </w:rPr>
        <w:t> </w:t>
      </w:r>
      <w:r>
        <w:rPr>
          <w:spacing w:val="-2"/>
          <w:sz w:val="18"/>
          <w:vertAlign w:val="baseline"/>
        </w:rPr>
        <w:t>2022.”</w:t>
      </w:r>
    </w:p>
    <w:p>
      <w:pPr>
        <w:spacing w:before="120"/>
        <w:ind w:left="464" w:right="565" w:firstLine="0"/>
        <w:jc w:val="left"/>
        <w:rPr>
          <w:sz w:val="18"/>
        </w:rPr>
      </w:pPr>
      <w:bookmarkStart w:name="_bookmark299" w:id="521"/>
      <w:bookmarkEnd w:id="521"/>
      <w:r>
        <w:rPr/>
      </w:r>
      <w:r>
        <w:rPr>
          <w:sz w:val="18"/>
          <w:vertAlign w:val="superscript"/>
        </w:rPr>
        <w:t>26</w:t>
      </w:r>
      <w:r>
        <w:rPr>
          <w:spacing w:val="-2"/>
          <w:sz w:val="18"/>
          <w:vertAlign w:val="baseline"/>
        </w:rPr>
        <w:t> </w:t>
      </w:r>
      <w:r>
        <w:rPr>
          <w:sz w:val="18"/>
          <w:vertAlign w:val="baseline"/>
        </w:rPr>
        <w:t>Choi,</w:t>
      </w:r>
      <w:r>
        <w:rPr>
          <w:spacing w:val="-3"/>
          <w:sz w:val="18"/>
          <w:vertAlign w:val="baseline"/>
        </w:rPr>
        <w:t> </w:t>
      </w:r>
      <w:r>
        <w:rPr>
          <w:sz w:val="18"/>
          <w:vertAlign w:val="baseline"/>
        </w:rPr>
        <w:t>Soon</w:t>
      </w:r>
      <w:r>
        <w:rPr>
          <w:spacing w:val="-2"/>
          <w:sz w:val="18"/>
          <w:vertAlign w:val="baseline"/>
        </w:rPr>
        <w:t> </w:t>
      </w:r>
      <w:r>
        <w:rPr>
          <w:sz w:val="18"/>
          <w:vertAlign w:val="baseline"/>
        </w:rPr>
        <w:t>Kyu,</w:t>
      </w:r>
      <w:r>
        <w:rPr>
          <w:spacing w:val="-3"/>
          <w:sz w:val="18"/>
          <w:vertAlign w:val="baseline"/>
        </w:rPr>
        <w:t> </w:t>
      </w:r>
      <w:r>
        <w:rPr>
          <w:sz w:val="18"/>
          <w:vertAlign w:val="baseline"/>
        </w:rPr>
        <w:t>Bianca</w:t>
      </w:r>
      <w:r>
        <w:rPr>
          <w:spacing w:val="-2"/>
          <w:sz w:val="18"/>
          <w:vertAlign w:val="baseline"/>
        </w:rPr>
        <w:t> </w:t>
      </w:r>
      <w:r>
        <w:rPr>
          <w:sz w:val="18"/>
          <w:vertAlign w:val="baseline"/>
        </w:rPr>
        <w:t>DM</w:t>
      </w:r>
      <w:r>
        <w:rPr>
          <w:spacing w:val="-3"/>
          <w:sz w:val="18"/>
          <w:vertAlign w:val="baseline"/>
        </w:rPr>
        <w:t> </w:t>
      </w:r>
      <w:r>
        <w:rPr>
          <w:sz w:val="18"/>
          <w:vertAlign w:val="baseline"/>
        </w:rPr>
        <w:t>Wilson,</w:t>
      </w:r>
      <w:r>
        <w:rPr>
          <w:spacing w:val="-3"/>
          <w:sz w:val="18"/>
          <w:vertAlign w:val="baseline"/>
        </w:rPr>
        <w:t> </w:t>
      </w:r>
      <w:r>
        <w:rPr>
          <w:sz w:val="18"/>
          <w:vertAlign w:val="baseline"/>
        </w:rPr>
        <w:t>Jama</w:t>
      </w:r>
      <w:r>
        <w:rPr>
          <w:spacing w:val="-2"/>
          <w:sz w:val="18"/>
          <w:vertAlign w:val="baseline"/>
        </w:rPr>
        <w:t> </w:t>
      </w:r>
      <w:r>
        <w:rPr>
          <w:sz w:val="18"/>
          <w:vertAlign w:val="baseline"/>
        </w:rPr>
        <w:t>Shelton,</w:t>
      </w:r>
      <w:r>
        <w:rPr>
          <w:spacing w:val="-3"/>
          <w:sz w:val="18"/>
          <w:vertAlign w:val="baseline"/>
        </w:rPr>
        <w:t> </w:t>
      </w:r>
      <w:r>
        <w:rPr>
          <w:sz w:val="18"/>
          <w:vertAlign w:val="baseline"/>
        </w:rPr>
        <w:t>and</w:t>
      </w:r>
      <w:r>
        <w:rPr>
          <w:spacing w:val="-2"/>
          <w:sz w:val="18"/>
          <w:vertAlign w:val="baseline"/>
        </w:rPr>
        <w:t> </w:t>
      </w:r>
      <w:r>
        <w:rPr>
          <w:sz w:val="18"/>
          <w:vertAlign w:val="baseline"/>
        </w:rPr>
        <w:t>Gary</w:t>
      </w:r>
      <w:r>
        <w:rPr>
          <w:spacing w:val="-2"/>
          <w:sz w:val="18"/>
          <w:vertAlign w:val="baseline"/>
        </w:rPr>
        <w:t> </w:t>
      </w:r>
      <w:r>
        <w:rPr>
          <w:sz w:val="18"/>
          <w:vertAlign w:val="baseline"/>
        </w:rPr>
        <w:t>J.</w:t>
      </w:r>
      <w:r>
        <w:rPr>
          <w:spacing w:val="-3"/>
          <w:sz w:val="18"/>
          <w:vertAlign w:val="baseline"/>
        </w:rPr>
        <w:t> </w:t>
      </w:r>
      <w:r>
        <w:rPr>
          <w:sz w:val="18"/>
          <w:vertAlign w:val="baseline"/>
        </w:rPr>
        <w:t>Gates.</w:t>
      </w:r>
      <w:r>
        <w:rPr>
          <w:spacing w:val="-2"/>
          <w:sz w:val="18"/>
          <w:vertAlign w:val="baseline"/>
        </w:rPr>
        <w:t> </w:t>
      </w:r>
      <w:r>
        <w:rPr>
          <w:sz w:val="18"/>
          <w:vertAlign w:val="baseline"/>
        </w:rPr>
        <w:t>2015.</w:t>
      </w:r>
      <w:r>
        <w:rPr>
          <w:spacing w:val="-2"/>
          <w:sz w:val="18"/>
          <w:vertAlign w:val="baseline"/>
        </w:rPr>
        <w:t> </w:t>
      </w:r>
      <w:r>
        <w:rPr>
          <w:sz w:val="18"/>
          <w:vertAlign w:val="baseline"/>
        </w:rPr>
        <w:t>“Serving</w:t>
      </w:r>
      <w:r>
        <w:rPr>
          <w:spacing w:val="-2"/>
          <w:sz w:val="18"/>
          <w:vertAlign w:val="baseline"/>
        </w:rPr>
        <w:t> </w:t>
      </w:r>
      <w:r>
        <w:rPr>
          <w:sz w:val="18"/>
          <w:vertAlign w:val="baseline"/>
        </w:rPr>
        <w:t>Our</w:t>
      </w:r>
      <w:r>
        <w:rPr>
          <w:spacing w:val="-3"/>
          <w:sz w:val="18"/>
          <w:vertAlign w:val="baseline"/>
        </w:rPr>
        <w:t> </w:t>
      </w:r>
      <w:r>
        <w:rPr>
          <w:sz w:val="18"/>
          <w:vertAlign w:val="baseline"/>
        </w:rPr>
        <w:t>Youth</w:t>
      </w:r>
      <w:r>
        <w:rPr>
          <w:spacing w:val="-2"/>
          <w:sz w:val="18"/>
          <w:vertAlign w:val="baseline"/>
        </w:rPr>
        <w:t> </w:t>
      </w:r>
      <w:r>
        <w:rPr>
          <w:sz w:val="18"/>
          <w:vertAlign w:val="baseline"/>
        </w:rPr>
        <w:t>2015:</w:t>
      </w:r>
      <w:r>
        <w:rPr>
          <w:spacing w:val="-2"/>
          <w:sz w:val="18"/>
          <w:vertAlign w:val="baseline"/>
        </w:rPr>
        <w:t> </w:t>
      </w:r>
      <w:r>
        <w:rPr>
          <w:sz w:val="18"/>
          <w:vertAlign w:val="baseline"/>
        </w:rPr>
        <w:t>The</w:t>
      </w:r>
      <w:r>
        <w:rPr>
          <w:spacing w:val="-2"/>
          <w:sz w:val="18"/>
          <w:vertAlign w:val="baseline"/>
        </w:rPr>
        <w:t> </w:t>
      </w:r>
      <w:r>
        <w:rPr>
          <w:sz w:val="18"/>
          <w:vertAlign w:val="baseline"/>
        </w:rPr>
        <w:t>Needs</w:t>
      </w:r>
      <w:r>
        <w:rPr>
          <w:spacing w:val="-2"/>
          <w:sz w:val="18"/>
          <w:vertAlign w:val="baseline"/>
        </w:rPr>
        <w:t> </w:t>
      </w:r>
      <w:r>
        <w:rPr>
          <w:sz w:val="18"/>
          <w:vertAlign w:val="baseline"/>
        </w:rPr>
        <w:t>and Experiences of Lesbian, Gay, Bisexual, Transgender, and Questioning Youth Experiencing Homelessness,” June. </w:t>
      </w:r>
      <w:r>
        <w:rPr>
          <w:spacing w:val="-2"/>
          <w:sz w:val="18"/>
          <w:vertAlign w:val="baseline"/>
        </w:rPr>
        <w:t>https://escholarship.org/uc/item/1pd9886n.</w:t>
      </w:r>
    </w:p>
    <w:p>
      <w:pPr>
        <w:spacing w:before="121"/>
        <w:ind w:left="464" w:right="434" w:firstLine="0"/>
        <w:jc w:val="left"/>
        <w:rPr>
          <w:sz w:val="18"/>
        </w:rPr>
      </w:pPr>
      <w:bookmarkStart w:name="_bookmark300" w:id="522"/>
      <w:bookmarkEnd w:id="522"/>
      <w:r>
        <w:rPr/>
      </w:r>
      <w:r>
        <w:rPr>
          <w:sz w:val="18"/>
          <w:vertAlign w:val="superscript"/>
        </w:rPr>
        <w:t>27</w:t>
      </w:r>
      <w:r>
        <w:rPr>
          <w:sz w:val="18"/>
          <w:vertAlign w:val="baseline"/>
        </w:rPr>
        <w:t> Coolhart, Deborah, and Maria Brown. 2017. “The Need for Safe Spaces: Exploring the Experiences of Homeless LGBTQ Youth</w:t>
      </w:r>
      <w:r>
        <w:rPr>
          <w:spacing w:val="-4"/>
          <w:sz w:val="18"/>
          <w:vertAlign w:val="baseline"/>
        </w:rPr>
        <w:t> </w:t>
      </w:r>
      <w:r>
        <w:rPr>
          <w:sz w:val="18"/>
          <w:vertAlign w:val="baseline"/>
        </w:rPr>
        <w:t>in</w:t>
      </w:r>
      <w:r>
        <w:rPr>
          <w:spacing w:val="-4"/>
          <w:sz w:val="18"/>
          <w:vertAlign w:val="baseline"/>
        </w:rPr>
        <w:t> </w:t>
      </w:r>
      <w:r>
        <w:rPr>
          <w:sz w:val="18"/>
          <w:vertAlign w:val="baseline"/>
        </w:rPr>
        <w:t>Shelters.”</w:t>
      </w:r>
      <w:r>
        <w:rPr>
          <w:spacing w:val="-4"/>
          <w:sz w:val="18"/>
          <w:vertAlign w:val="baseline"/>
        </w:rPr>
        <w:t> </w:t>
      </w:r>
      <w:r>
        <w:rPr>
          <w:i/>
          <w:sz w:val="18"/>
          <w:vertAlign w:val="baseline"/>
        </w:rPr>
        <w:t>Children</w:t>
      </w:r>
      <w:r>
        <w:rPr>
          <w:i/>
          <w:spacing w:val="-5"/>
          <w:sz w:val="18"/>
          <w:vertAlign w:val="baseline"/>
        </w:rPr>
        <w:t> </w:t>
      </w:r>
      <w:r>
        <w:rPr>
          <w:i/>
          <w:sz w:val="18"/>
          <w:vertAlign w:val="baseline"/>
        </w:rPr>
        <w:t>and</w:t>
      </w:r>
      <w:r>
        <w:rPr>
          <w:i/>
          <w:spacing w:val="-3"/>
          <w:sz w:val="18"/>
          <w:vertAlign w:val="baseline"/>
        </w:rPr>
        <w:t> </w:t>
      </w:r>
      <w:r>
        <w:rPr>
          <w:i/>
          <w:sz w:val="18"/>
          <w:vertAlign w:val="baseline"/>
        </w:rPr>
        <w:t>Youth</w:t>
      </w:r>
      <w:r>
        <w:rPr>
          <w:i/>
          <w:spacing w:val="-5"/>
          <w:sz w:val="18"/>
          <w:vertAlign w:val="baseline"/>
        </w:rPr>
        <w:t> </w:t>
      </w:r>
      <w:r>
        <w:rPr>
          <w:i/>
          <w:sz w:val="18"/>
          <w:vertAlign w:val="baseline"/>
        </w:rPr>
        <w:t>Services</w:t>
      </w:r>
      <w:r>
        <w:rPr>
          <w:i/>
          <w:spacing w:val="-5"/>
          <w:sz w:val="18"/>
          <w:vertAlign w:val="baseline"/>
        </w:rPr>
        <w:t> </w:t>
      </w:r>
      <w:r>
        <w:rPr>
          <w:i/>
          <w:sz w:val="18"/>
          <w:vertAlign w:val="baseline"/>
        </w:rPr>
        <w:t>Review</w:t>
      </w:r>
      <w:r>
        <w:rPr>
          <w:i/>
          <w:spacing w:val="-4"/>
          <w:sz w:val="18"/>
          <w:vertAlign w:val="baseline"/>
        </w:rPr>
        <w:t> </w:t>
      </w:r>
      <w:r>
        <w:rPr>
          <w:sz w:val="18"/>
          <w:vertAlign w:val="baseline"/>
        </w:rPr>
        <w:t>82</w:t>
      </w:r>
      <w:r>
        <w:rPr>
          <w:spacing w:val="-4"/>
          <w:sz w:val="18"/>
          <w:vertAlign w:val="baseline"/>
        </w:rPr>
        <w:t> </w:t>
      </w:r>
      <w:r>
        <w:rPr>
          <w:sz w:val="18"/>
          <w:vertAlign w:val="baseline"/>
        </w:rPr>
        <w:t>(September).</w:t>
      </w:r>
      <w:r>
        <w:rPr>
          <w:spacing w:val="-4"/>
          <w:sz w:val="18"/>
          <w:vertAlign w:val="baseline"/>
        </w:rPr>
        <w:t> </w:t>
      </w:r>
      <w:r>
        <w:rPr>
          <w:sz w:val="18"/>
          <w:vertAlign w:val="baseline"/>
        </w:rPr>
        <w:t>https://doi.org/10.1016/j.childyouth.2017.09.021.</w:t>
      </w:r>
    </w:p>
    <w:p>
      <w:pPr>
        <w:spacing w:before="120"/>
        <w:ind w:left="464" w:right="0" w:firstLine="0"/>
        <w:jc w:val="left"/>
        <w:rPr>
          <w:sz w:val="18"/>
        </w:rPr>
      </w:pPr>
      <w:bookmarkStart w:name="_bookmark301" w:id="523"/>
      <w:bookmarkEnd w:id="523"/>
      <w:r>
        <w:rPr/>
      </w:r>
      <w:r>
        <w:rPr>
          <w:sz w:val="18"/>
          <w:vertAlign w:val="superscript"/>
        </w:rPr>
        <w:t>28</w:t>
      </w:r>
      <w:r>
        <w:rPr>
          <w:spacing w:val="-5"/>
          <w:sz w:val="18"/>
          <w:vertAlign w:val="baseline"/>
        </w:rPr>
        <w:t> </w:t>
      </w:r>
      <w:r>
        <w:rPr>
          <w:sz w:val="18"/>
          <w:vertAlign w:val="baseline"/>
        </w:rPr>
        <w:t>Connery,</w:t>
      </w:r>
      <w:r>
        <w:rPr>
          <w:spacing w:val="-4"/>
          <w:sz w:val="18"/>
          <w:vertAlign w:val="baseline"/>
        </w:rPr>
        <w:t> </w:t>
      </w:r>
      <w:r>
        <w:rPr>
          <w:sz w:val="18"/>
          <w:vertAlign w:val="baseline"/>
        </w:rPr>
        <w:t>Brittney.</w:t>
      </w:r>
      <w:r>
        <w:rPr>
          <w:spacing w:val="-3"/>
          <w:sz w:val="18"/>
          <w:vertAlign w:val="baseline"/>
        </w:rPr>
        <w:t> </w:t>
      </w:r>
      <w:r>
        <w:rPr>
          <w:sz w:val="18"/>
          <w:vertAlign w:val="baseline"/>
        </w:rPr>
        <w:t>2014.</w:t>
      </w:r>
      <w:r>
        <w:rPr>
          <w:spacing w:val="-2"/>
          <w:sz w:val="18"/>
          <w:vertAlign w:val="baseline"/>
        </w:rPr>
        <w:t> </w:t>
      </w:r>
      <w:r>
        <w:rPr>
          <w:sz w:val="18"/>
          <w:vertAlign w:val="baseline"/>
        </w:rPr>
        <w:t>“LGBT</w:t>
      </w:r>
      <w:r>
        <w:rPr>
          <w:spacing w:val="-5"/>
          <w:sz w:val="18"/>
          <w:vertAlign w:val="baseline"/>
        </w:rPr>
        <w:t> </w:t>
      </w:r>
      <w:r>
        <w:rPr>
          <w:sz w:val="18"/>
          <w:vertAlign w:val="baseline"/>
        </w:rPr>
        <w:t>Homeless</w:t>
      </w:r>
      <w:r>
        <w:rPr>
          <w:spacing w:val="-2"/>
          <w:sz w:val="18"/>
          <w:vertAlign w:val="baseline"/>
        </w:rPr>
        <w:t> </w:t>
      </w:r>
      <w:r>
        <w:rPr>
          <w:sz w:val="18"/>
          <w:vertAlign w:val="baseline"/>
        </w:rPr>
        <w:t>Youth</w:t>
      </w:r>
      <w:r>
        <w:rPr>
          <w:spacing w:val="-4"/>
          <w:sz w:val="18"/>
          <w:vertAlign w:val="baseline"/>
        </w:rPr>
        <w:t> </w:t>
      </w:r>
      <w:r>
        <w:rPr>
          <w:sz w:val="18"/>
          <w:vertAlign w:val="baseline"/>
        </w:rPr>
        <w:t>in</w:t>
      </w:r>
      <w:r>
        <w:rPr>
          <w:spacing w:val="-3"/>
          <w:sz w:val="18"/>
          <w:vertAlign w:val="baseline"/>
        </w:rPr>
        <w:t> </w:t>
      </w:r>
      <w:r>
        <w:rPr>
          <w:sz w:val="18"/>
          <w:vertAlign w:val="baseline"/>
        </w:rPr>
        <w:t>Boston</w:t>
      </w:r>
      <w:r>
        <w:rPr>
          <w:spacing w:val="-2"/>
          <w:sz w:val="18"/>
          <w:vertAlign w:val="baseline"/>
        </w:rPr>
        <w:t> </w:t>
      </w:r>
      <w:r>
        <w:rPr>
          <w:sz w:val="18"/>
          <w:vertAlign w:val="baseline"/>
        </w:rPr>
        <w:t>MA:</w:t>
      </w:r>
      <w:r>
        <w:rPr>
          <w:spacing w:val="-3"/>
          <w:sz w:val="18"/>
          <w:vertAlign w:val="baseline"/>
        </w:rPr>
        <w:t> </w:t>
      </w:r>
      <w:r>
        <w:rPr>
          <w:sz w:val="18"/>
          <w:vertAlign w:val="baseline"/>
        </w:rPr>
        <w:t>Experiences</w:t>
      </w:r>
      <w:r>
        <w:rPr>
          <w:spacing w:val="-3"/>
          <w:sz w:val="18"/>
          <w:vertAlign w:val="baseline"/>
        </w:rPr>
        <w:t> </w:t>
      </w:r>
      <w:r>
        <w:rPr>
          <w:sz w:val="18"/>
          <w:vertAlign w:val="baseline"/>
        </w:rPr>
        <w:t>Regarding</w:t>
      </w:r>
      <w:r>
        <w:rPr>
          <w:spacing w:val="-3"/>
          <w:sz w:val="18"/>
          <w:vertAlign w:val="baseline"/>
        </w:rPr>
        <w:t> </w:t>
      </w:r>
      <w:r>
        <w:rPr>
          <w:sz w:val="18"/>
          <w:vertAlign w:val="baseline"/>
        </w:rPr>
        <w:t>Resources</w:t>
      </w:r>
      <w:r>
        <w:rPr>
          <w:spacing w:val="-3"/>
          <w:sz w:val="18"/>
          <w:vertAlign w:val="baseline"/>
        </w:rPr>
        <w:t> </w:t>
      </w:r>
      <w:r>
        <w:rPr>
          <w:sz w:val="18"/>
          <w:vertAlign w:val="baseline"/>
        </w:rPr>
        <w:t>and</w:t>
      </w:r>
      <w:r>
        <w:rPr>
          <w:spacing w:val="-3"/>
          <w:sz w:val="18"/>
          <w:vertAlign w:val="baseline"/>
        </w:rPr>
        <w:t> </w:t>
      </w:r>
      <w:r>
        <w:rPr>
          <w:sz w:val="18"/>
          <w:vertAlign w:val="baseline"/>
        </w:rPr>
        <w:t>Potential</w:t>
      </w:r>
      <w:r>
        <w:rPr>
          <w:spacing w:val="-3"/>
          <w:sz w:val="18"/>
          <w:vertAlign w:val="baseline"/>
        </w:rPr>
        <w:t> </w:t>
      </w:r>
      <w:r>
        <w:rPr>
          <w:spacing w:val="-2"/>
          <w:sz w:val="18"/>
          <w:vertAlign w:val="baseline"/>
        </w:rPr>
        <w:t>Barriers.”</w:t>
      </w:r>
    </w:p>
    <w:p>
      <w:pPr>
        <w:spacing w:before="119"/>
        <w:ind w:left="464" w:right="565" w:firstLine="0"/>
        <w:jc w:val="left"/>
        <w:rPr>
          <w:sz w:val="18"/>
        </w:rPr>
      </w:pPr>
      <w:bookmarkStart w:name="_bookmark302" w:id="524"/>
      <w:bookmarkEnd w:id="524"/>
      <w:r>
        <w:rPr/>
      </w:r>
      <w:r>
        <w:rPr>
          <w:sz w:val="18"/>
          <w:vertAlign w:val="superscript"/>
        </w:rPr>
        <w:t>29</w:t>
      </w:r>
      <w:r>
        <w:rPr>
          <w:spacing w:val="-3"/>
          <w:sz w:val="18"/>
          <w:vertAlign w:val="baseline"/>
        </w:rPr>
        <w:t> </w:t>
      </w:r>
      <w:r>
        <w:rPr>
          <w:sz w:val="18"/>
          <w:vertAlign w:val="baseline"/>
        </w:rPr>
        <w:t>Robinson,</w:t>
      </w:r>
      <w:r>
        <w:rPr>
          <w:spacing w:val="-4"/>
          <w:sz w:val="18"/>
          <w:vertAlign w:val="baseline"/>
        </w:rPr>
        <w:t> </w:t>
      </w:r>
      <w:r>
        <w:rPr>
          <w:sz w:val="18"/>
          <w:vertAlign w:val="baseline"/>
        </w:rPr>
        <w:t>Brandon</w:t>
      </w:r>
      <w:r>
        <w:rPr>
          <w:spacing w:val="-3"/>
          <w:sz w:val="18"/>
          <w:vertAlign w:val="baseline"/>
        </w:rPr>
        <w:t> </w:t>
      </w:r>
      <w:r>
        <w:rPr>
          <w:sz w:val="18"/>
          <w:vertAlign w:val="baseline"/>
        </w:rPr>
        <w:t>Andrew.</w:t>
      </w:r>
      <w:r>
        <w:rPr>
          <w:spacing w:val="-3"/>
          <w:sz w:val="18"/>
          <w:vertAlign w:val="baseline"/>
        </w:rPr>
        <w:t> </w:t>
      </w:r>
      <w:r>
        <w:rPr>
          <w:sz w:val="18"/>
          <w:vertAlign w:val="baseline"/>
        </w:rPr>
        <w:t>2023.</w:t>
      </w:r>
      <w:r>
        <w:rPr>
          <w:spacing w:val="-3"/>
          <w:sz w:val="18"/>
          <w:vertAlign w:val="baseline"/>
        </w:rPr>
        <w:t> </w:t>
      </w:r>
      <w:r>
        <w:rPr>
          <w:sz w:val="18"/>
          <w:vertAlign w:val="baseline"/>
        </w:rPr>
        <w:t>“‘They</w:t>
      </w:r>
      <w:r>
        <w:rPr>
          <w:spacing w:val="-3"/>
          <w:sz w:val="18"/>
          <w:vertAlign w:val="baseline"/>
        </w:rPr>
        <w:t> </w:t>
      </w:r>
      <w:r>
        <w:rPr>
          <w:sz w:val="18"/>
          <w:vertAlign w:val="baseline"/>
        </w:rPr>
        <w:t>Peed</w:t>
      </w:r>
      <w:r>
        <w:rPr>
          <w:spacing w:val="-4"/>
          <w:sz w:val="18"/>
          <w:vertAlign w:val="baseline"/>
        </w:rPr>
        <w:t> </w:t>
      </w:r>
      <w:r>
        <w:rPr>
          <w:sz w:val="18"/>
          <w:vertAlign w:val="baseline"/>
        </w:rPr>
        <w:t>on</w:t>
      </w:r>
      <w:r>
        <w:rPr>
          <w:spacing w:val="-3"/>
          <w:sz w:val="18"/>
          <w:vertAlign w:val="baseline"/>
        </w:rPr>
        <w:t> </w:t>
      </w:r>
      <w:r>
        <w:rPr>
          <w:sz w:val="18"/>
          <w:vertAlign w:val="baseline"/>
        </w:rPr>
        <w:t>My</w:t>
      </w:r>
      <w:r>
        <w:rPr>
          <w:spacing w:val="-3"/>
          <w:sz w:val="18"/>
          <w:vertAlign w:val="baseline"/>
        </w:rPr>
        <w:t> </w:t>
      </w:r>
      <w:r>
        <w:rPr>
          <w:sz w:val="18"/>
          <w:vertAlign w:val="baseline"/>
        </w:rPr>
        <w:t>Shoes’:</w:t>
      </w:r>
      <w:r>
        <w:rPr>
          <w:spacing w:val="-3"/>
          <w:sz w:val="18"/>
          <w:vertAlign w:val="baseline"/>
        </w:rPr>
        <w:t> </w:t>
      </w:r>
      <w:r>
        <w:rPr>
          <w:sz w:val="18"/>
          <w:vertAlign w:val="baseline"/>
        </w:rPr>
        <w:t>Foregrounding</w:t>
      </w:r>
      <w:r>
        <w:rPr>
          <w:spacing w:val="-3"/>
          <w:sz w:val="18"/>
          <w:vertAlign w:val="baseline"/>
        </w:rPr>
        <w:t> </w:t>
      </w:r>
      <w:r>
        <w:rPr>
          <w:sz w:val="18"/>
          <w:vertAlign w:val="baseline"/>
        </w:rPr>
        <w:t>Intersectional</w:t>
      </w:r>
      <w:r>
        <w:rPr>
          <w:spacing w:val="-4"/>
          <w:sz w:val="18"/>
          <w:vertAlign w:val="baseline"/>
        </w:rPr>
        <w:t> </w:t>
      </w:r>
      <w:r>
        <w:rPr>
          <w:sz w:val="18"/>
          <w:vertAlign w:val="baseline"/>
        </w:rPr>
        <w:t>Minority</w:t>
      </w:r>
      <w:r>
        <w:rPr>
          <w:spacing w:val="-3"/>
          <w:sz w:val="18"/>
          <w:vertAlign w:val="baseline"/>
        </w:rPr>
        <w:t> </w:t>
      </w:r>
      <w:r>
        <w:rPr>
          <w:sz w:val="18"/>
          <w:vertAlign w:val="baseline"/>
        </w:rPr>
        <w:t>Stress</w:t>
      </w:r>
      <w:r>
        <w:rPr>
          <w:spacing w:val="-3"/>
          <w:sz w:val="18"/>
          <w:vertAlign w:val="baseline"/>
        </w:rPr>
        <w:t> </w:t>
      </w:r>
      <w:r>
        <w:rPr>
          <w:sz w:val="18"/>
          <w:vertAlign w:val="baseline"/>
        </w:rPr>
        <w:t>in Understanding LGBTQ Youth Homelessness.” </w:t>
      </w:r>
      <w:r>
        <w:rPr>
          <w:i/>
          <w:sz w:val="18"/>
          <w:vertAlign w:val="baseline"/>
        </w:rPr>
        <w:t>Journal of LGBT Youth </w:t>
      </w:r>
      <w:r>
        <w:rPr>
          <w:sz w:val="18"/>
          <w:vertAlign w:val="baseline"/>
        </w:rPr>
        <w:t>20 (4): 783–99. </w:t>
      </w:r>
      <w:r>
        <w:rPr>
          <w:spacing w:val="-2"/>
          <w:sz w:val="18"/>
          <w:vertAlign w:val="baseline"/>
        </w:rPr>
        <w:t>https://doi.org/10.1080/19361653.2021.1925196.</w:t>
      </w:r>
    </w:p>
    <w:p>
      <w:pPr>
        <w:spacing w:before="120"/>
        <w:ind w:left="464" w:right="565" w:firstLine="0"/>
        <w:jc w:val="left"/>
        <w:rPr>
          <w:sz w:val="18"/>
        </w:rPr>
      </w:pPr>
      <w:bookmarkStart w:name="_bookmark303" w:id="525"/>
      <w:bookmarkEnd w:id="525"/>
      <w:r>
        <w:rPr/>
      </w:r>
      <w:r>
        <w:rPr>
          <w:sz w:val="18"/>
          <w:vertAlign w:val="superscript"/>
        </w:rPr>
        <w:t>30</w:t>
      </w:r>
      <w:r>
        <w:rPr>
          <w:spacing w:val="-2"/>
          <w:sz w:val="18"/>
          <w:vertAlign w:val="baseline"/>
        </w:rPr>
        <w:t> </w:t>
      </w:r>
      <w:r>
        <w:rPr>
          <w:sz w:val="18"/>
          <w:vertAlign w:val="baseline"/>
        </w:rPr>
        <w:t>Choi,</w:t>
      </w:r>
      <w:r>
        <w:rPr>
          <w:spacing w:val="-3"/>
          <w:sz w:val="18"/>
          <w:vertAlign w:val="baseline"/>
        </w:rPr>
        <w:t> </w:t>
      </w:r>
      <w:r>
        <w:rPr>
          <w:sz w:val="18"/>
          <w:vertAlign w:val="baseline"/>
        </w:rPr>
        <w:t>Soon</w:t>
      </w:r>
      <w:r>
        <w:rPr>
          <w:spacing w:val="-2"/>
          <w:sz w:val="18"/>
          <w:vertAlign w:val="baseline"/>
        </w:rPr>
        <w:t> </w:t>
      </w:r>
      <w:r>
        <w:rPr>
          <w:sz w:val="18"/>
          <w:vertAlign w:val="baseline"/>
        </w:rPr>
        <w:t>Kyu,</w:t>
      </w:r>
      <w:r>
        <w:rPr>
          <w:spacing w:val="-3"/>
          <w:sz w:val="18"/>
          <w:vertAlign w:val="baseline"/>
        </w:rPr>
        <w:t> </w:t>
      </w:r>
      <w:r>
        <w:rPr>
          <w:sz w:val="18"/>
          <w:vertAlign w:val="baseline"/>
        </w:rPr>
        <w:t>Bianca</w:t>
      </w:r>
      <w:r>
        <w:rPr>
          <w:spacing w:val="-2"/>
          <w:sz w:val="18"/>
          <w:vertAlign w:val="baseline"/>
        </w:rPr>
        <w:t> </w:t>
      </w:r>
      <w:r>
        <w:rPr>
          <w:sz w:val="18"/>
          <w:vertAlign w:val="baseline"/>
        </w:rPr>
        <w:t>DM</w:t>
      </w:r>
      <w:r>
        <w:rPr>
          <w:spacing w:val="-3"/>
          <w:sz w:val="18"/>
          <w:vertAlign w:val="baseline"/>
        </w:rPr>
        <w:t> </w:t>
      </w:r>
      <w:r>
        <w:rPr>
          <w:sz w:val="18"/>
          <w:vertAlign w:val="baseline"/>
        </w:rPr>
        <w:t>Wilson,</w:t>
      </w:r>
      <w:r>
        <w:rPr>
          <w:spacing w:val="-3"/>
          <w:sz w:val="18"/>
          <w:vertAlign w:val="baseline"/>
        </w:rPr>
        <w:t> </w:t>
      </w:r>
      <w:r>
        <w:rPr>
          <w:sz w:val="18"/>
          <w:vertAlign w:val="baseline"/>
        </w:rPr>
        <w:t>Jama</w:t>
      </w:r>
      <w:r>
        <w:rPr>
          <w:spacing w:val="-2"/>
          <w:sz w:val="18"/>
          <w:vertAlign w:val="baseline"/>
        </w:rPr>
        <w:t> </w:t>
      </w:r>
      <w:r>
        <w:rPr>
          <w:sz w:val="18"/>
          <w:vertAlign w:val="baseline"/>
        </w:rPr>
        <w:t>Shelton,</w:t>
      </w:r>
      <w:r>
        <w:rPr>
          <w:spacing w:val="-3"/>
          <w:sz w:val="18"/>
          <w:vertAlign w:val="baseline"/>
        </w:rPr>
        <w:t> </w:t>
      </w:r>
      <w:r>
        <w:rPr>
          <w:sz w:val="18"/>
          <w:vertAlign w:val="baseline"/>
        </w:rPr>
        <w:t>and</w:t>
      </w:r>
      <w:r>
        <w:rPr>
          <w:spacing w:val="-2"/>
          <w:sz w:val="18"/>
          <w:vertAlign w:val="baseline"/>
        </w:rPr>
        <w:t> </w:t>
      </w:r>
      <w:r>
        <w:rPr>
          <w:sz w:val="18"/>
          <w:vertAlign w:val="baseline"/>
        </w:rPr>
        <w:t>Gary</w:t>
      </w:r>
      <w:r>
        <w:rPr>
          <w:spacing w:val="-2"/>
          <w:sz w:val="18"/>
          <w:vertAlign w:val="baseline"/>
        </w:rPr>
        <w:t> </w:t>
      </w:r>
      <w:r>
        <w:rPr>
          <w:sz w:val="18"/>
          <w:vertAlign w:val="baseline"/>
        </w:rPr>
        <w:t>J.</w:t>
      </w:r>
      <w:r>
        <w:rPr>
          <w:spacing w:val="-3"/>
          <w:sz w:val="18"/>
          <w:vertAlign w:val="baseline"/>
        </w:rPr>
        <w:t> </w:t>
      </w:r>
      <w:r>
        <w:rPr>
          <w:sz w:val="18"/>
          <w:vertAlign w:val="baseline"/>
        </w:rPr>
        <w:t>Gates.</w:t>
      </w:r>
      <w:r>
        <w:rPr>
          <w:spacing w:val="-2"/>
          <w:sz w:val="18"/>
          <w:vertAlign w:val="baseline"/>
        </w:rPr>
        <w:t> </w:t>
      </w:r>
      <w:r>
        <w:rPr>
          <w:sz w:val="18"/>
          <w:vertAlign w:val="baseline"/>
        </w:rPr>
        <w:t>2015.</w:t>
      </w:r>
      <w:r>
        <w:rPr>
          <w:spacing w:val="-2"/>
          <w:sz w:val="18"/>
          <w:vertAlign w:val="baseline"/>
        </w:rPr>
        <w:t> </w:t>
      </w:r>
      <w:r>
        <w:rPr>
          <w:sz w:val="18"/>
          <w:vertAlign w:val="baseline"/>
        </w:rPr>
        <w:t>“Serving</w:t>
      </w:r>
      <w:r>
        <w:rPr>
          <w:spacing w:val="-2"/>
          <w:sz w:val="18"/>
          <w:vertAlign w:val="baseline"/>
        </w:rPr>
        <w:t> </w:t>
      </w:r>
      <w:r>
        <w:rPr>
          <w:sz w:val="18"/>
          <w:vertAlign w:val="baseline"/>
        </w:rPr>
        <w:t>Our</w:t>
      </w:r>
      <w:r>
        <w:rPr>
          <w:spacing w:val="-3"/>
          <w:sz w:val="18"/>
          <w:vertAlign w:val="baseline"/>
        </w:rPr>
        <w:t> </w:t>
      </w:r>
      <w:r>
        <w:rPr>
          <w:sz w:val="18"/>
          <w:vertAlign w:val="baseline"/>
        </w:rPr>
        <w:t>Youth</w:t>
      </w:r>
      <w:r>
        <w:rPr>
          <w:spacing w:val="-2"/>
          <w:sz w:val="18"/>
          <w:vertAlign w:val="baseline"/>
        </w:rPr>
        <w:t> </w:t>
      </w:r>
      <w:r>
        <w:rPr>
          <w:sz w:val="18"/>
          <w:vertAlign w:val="baseline"/>
        </w:rPr>
        <w:t>2015:</w:t>
      </w:r>
      <w:r>
        <w:rPr>
          <w:spacing w:val="-2"/>
          <w:sz w:val="18"/>
          <w:vertAlign w:val="baseline"/>
        </w:rPr>
        <w:t> </w:t>
      </w:r>
      <w:r>
        <w:rPr>
          <w:sz w:val="18"/>
          <w:vertAlign w:val="baseline"/>
        </w:rPr>
        <w:t>The</w:t>
      </w:r>
      <w:r>
        <w:rPr>
          <w:spacing w:val="-2"/>
          <w:sz w:val="18"/>
          <w:vertAlign w:val="baseline"/>
        </w:rPr>
        <w:t> </w:t>
      </w:r>
      <w:r>
        <w:rPr>
          <w:sz w:val="18"/>
          <w:vertAlign w:val="baseline"/>
        </w:rPr>
        <w:t>Needs</w:t>
      </w:r>
      <w:r>
        <w:rPr>
          <w:spacing w:val="-2"/>
          <w:sz w:val="18"/>
          <w:vertAlign w:val="baseline"/>
        </w:rPr>
        <w:t> </w:t>
      </w:r>
      <w:r>
        <w:rPr>
          <w:sz w:val="18"/>
          <w:vertAlign w:val="baseline"/>
        </w:rPr>
        <w:t>and Experiences of Lesbian, Gay, Bisexual, Transgender, and Questioning Youth Experiencing Homelessness,” June. </w:t>
      </w:r>
      <w:r>
        <w:rPr>
          <w:spacing w:val="-2"/>
          <w:sz w:val="18"/>
          <w:vertAlign w:val="baseline"/>
        </w:rPr>
        <w:t>https://escholarship.org/uc/item/1pd9886n.</w:t>
      </w:r>
    </w:p>
    <w:p>
      <w:pPr>
        <w:spacing w:before="120"/>
        <w:ind w:left="464" w:right="627" w:hanging="1"/>
        <w:jc w:val="left"/>
        <w:rPr>
          <w:sz w:val="18"/>
        </w:rPr>
      </w:pPr>
      <w:r>
        <w:rPr/>
        <mc:AlternateContent>
          <mc:Choice Requires="wps">
            <w:drawing>
              <wp:anchor distT="0" distB="0" distL="0" distR="0" allowOverlap="1" layoutInCell="1" locked="0" behindDoc="0" simplePos="0" relativeHeight="15798784">
                <wp:simplePos x="0" y="0"/>
                <wp:positionH relativeFrom="page">
                  <wp:posOffset>895350</wp:posOffset>
                </wp:positionH>
                <wp:positionV relativeFrom="paragraph">
                  <wp:posOffset>425826</wp:posOffset>
                </wp:positionV>
                <wp:extent cx="5982335" cy="6350"/>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33.529629pt;width:471.001pt;height:.48pt;mso-position-horizontal-relative:page;mso-position-vertical-relative:paragraph;z-index:15798784" id="docshape296" filled="true" fillcolor="#d9d9d9" stroked="false">
                <v:fill type="solid"/>
                <w10:wrap type="none"/>
              </v:rect>
            </w:pict>
          </mc:Fallback>
        </mc:AlternateContent>
      </w:r>
      <w:bookmarkStart w:name="_bookmark304" w:id="526"/>
      <w:bookmarkEnd w:id="526"/>
      <w:r>
        <w:rPr/>
      </w:r>
      <w:r>
        <w:rPr>
          <w:sz w:val="18"/>
          <w:vertAlign w:val="superscript"/>
        </w:rPr>
        <w:t>31</w:t>
      </w:r>
      <w:r>
        <w:rPr>
          <w:spacing w:val="-2"/>
          <w:sz w:val="18"/>
          <w:vertAlign w:val="baseline"/>
        </w:rPr>
        <w:t> </w:t>
      </w:r>
      <w:r>
        <w:rPr>
          <w:sz w:val="18"/>
          <w:vertAlign w:val="baseline"/>
        </w:rPr>
        <w:t>“2023</w:t>
      </w:r>
      <w:r>
        <w:rPr>
          <w:spacing w:val="-2"/>
          <w:sz w:val="18"/>
          <w:vertAlign w:val="baseline"/>
        </w:rPr>
        <w:t> </w:t>
      </w:r>
      <w:r>
        <w:rPr>
          <w:sz w:val="18"/>
          <w:vertAlign w:val="baseline"/>
        </w:rPr>
        <w:t>Annual</w:t>
      </w:r>
      <w:r>
        <w:rPr>
          <w:spacing w:val="-3"/>
          <w:sz w:val="18"/>
          <w:vertAlign w:val="baseline"/>
        </w:rPr>
        <w:t> </w:t>
      </w:r>
      <w:r>
        <w:rPr>
          <w:sz w:val="18"/>
          <w:vertAlign w:val="baseline"/>
        </w:rPr>
        <w:t>Homeless</w:t>
      </w:r>
      <w:r>
        <w:rPr>
          <w:spacing w:val="-2"/>
          <w:sz w:val="18"/>
          <w:vertAlign w:val="baseline"/>
        </w:rPr>
        <w:t> </w:t>
      </w:r>
      <w:r>
        <w:rPr>
          <w:sz w:val="18"/>
          <w:vertAlign w:val="baseline"/>
        </w:rPr>
        <w:t>Assessment</w:t>
      </w:r>
      <w:r>
        <w:rPr>
          <w:spacing w:val="-3"/>
          <w:sz w:val="18"/>
          <w:vertAlign w:val="baseline"/>
        </w:rPr>
        <w:t> </w:t>
      </w:r>
      <w:r>
        <w:rPr>
          <w:sz w:val="18"/>
          <w:vertAlign w:val="baseline"/>
        </w:rPr>
        <w:t>Report-</w:t>
      </w:r>
      <w:r>
        <w:rPr>
          <w:spacing w:val="-2"/>
          <w:sz w:val="18"/>
          <w:vertAlign w:val="baseline"/>
        </w:rPr>
        <w:t> </w:t>
      </w:r>
      <w:r>
        <w:rPr>
          <w:sz w:val="18"/>
          <w:vertAlign w:val="baseline"/>
        </w:rPr>
        <w:t>Estimates</w:t>
      </w:r>
      <w:r>
        <w:rPr>
          <w:spacing w:val="-2"/>
          <w:sz w:val="18"/>
          <w:vertAlign w:val="baseline"/>
        </w:rPr>
        <w:t> </w:t>
      </w:r>
      <w:r>
        <w:rPr>
          <w:sz w:val="18"/>
          <w:vertAlign w:val="baseline"/>
        </w:rPr>
        <w:t>of</w:t>
      </w:r>
      <w:r>
        <w:rPr>
          <w:spacing w:val="-2"/>
          <w:sz w:val="18"/>
          <w:vertAlign w:val="baseline"/>
        </w:rPr>
        <w:t> </w:t>
      </w:r>
      <w:r>
        <w:rPr>
          <w:sz w:val="18"/>
          <w:vertAlign w:val="baseline"/>
        </w:rPr>
        <w:t>Homelessness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U.S.”</w:t>
      </w:r>
      <w:r>
        <w:rPr>
          <w:spacing w:val="-2"/>
          <w:sz w:val="18"/>
          <w:vertAlign w:val="baseline"/>
        </w:rPr>
        <w:t> </w:t>
      </w:r>
      <w:r>
        <w:rPr>
          <w:sz w:val="18"/>
          <w:vertAlign w:val="baseline"/>
        </w:rPr>
        <w:t>2023.</w:t>
      </w:r>
      <w:r>
        <w:rPr>
          <w:spacing w:val="-2"/>
          <w:sz w:val="18"/>
          <w:vertAlign w:val="baseline"/>
        </w:rPr>
        <w:t> </w:t>
      </w:r>
      <w:r>
        <w:rPr>
          <w:sz w:val="18"/>
          <w:vertAlign w:val="baseline"/>
        </w:rPr>
        <w:t>Office</w:t>
      </w:r>
      <w:r>
        <w:rPr>
          <w:spacing w:val="-3"/>
          <w:sz w:val="18"/>
          <w:vertAlign w:val="baseline"/>
        </w:rPr>
        <w:t> </w:t>
      </w:r>
      <w:r>
        <w:rPr>
          <w:sz w:val="18"/>
          <w:vertAlign w:val="baseline"/>
        </w:rPr>
        <w:t>of</w:t>
      </w:r>
      <w:r>
        <w:rPr>
          <w:spacing w:val="-2"/>
          <w:sz w:val="18"/>
          <w:vertAlign w:val="baseline"/>
        </w:rPr>
        <w:t> </w:t>
      </w:r>
      <w:r>
        <w:rPr>
          <w:sz w:val="18"/>
          <w:vertAlign w:val="baseline"/>
        </w:rPr>
        <w:t>Policy</w:t>
      </w:r>
      <w:r>
        <w:rPr>
          <w:spacing w:val="-2"/>
          <w:sz w:val="18"/>
          <w:vertAlign w:val="baseline"/>
        </w:rPr>
        <w:t> </w:t>
      </w:r>
      <w:r>
        <w:rPr>
          <w:sz w:val="18"/>
          <w:vertAlign w:val="baseline"/>
        </w:rPr>
        <w:t>Develop</w:t>
      </w:r>
      <w:r>
        <w:rPr>
          <w:spacing w:val="-2"/>
          <w:sz w:val="18"/>
          <w:vertAlign w:val="baseline"/>
        </w:rPr>
        <w:t> </w:t>
      </w:r>
      <w:r>
        <w:rPr>
          <w:sz w:val="18"/>
          <w:vertAlign w:val="baseline"/>
        </w:rPr>
        <w:t>and Research. December 2023. https:</w:t>
      </w:r>
      <w:hyperlink r:id="rId449">
        <w:r>
          <w:rPr>
            <w:sz w:val="18"/>
            <w:vertAlign w:val="baseline"/>
          </w:rPr>
          <w:t>//www.huduser.gov/portal/datasets/ahar/2023-ahar-part-1-pit-estimates-of-</w:t>
        </w:r>
      </w:hyperlink>
      <w:r>
        <w:rPr>
          <w:sz w:val="18"/>
          <w:vertAlign w:val="baseline"/>
        </w:rPr>
        <w:t> </w:t>
      </w:r>
      <w:r>
        <w:rPr>
          <w:spacing w:val="-2"/>
          <w:sz w:val="18"/>
          <w:vertAlign w:val="baseline"/>
        </w:rPr>
        <w:t>homelessness-in-the-us.html.</w:t>
      </w:r>
    </w:p>
    <w:p>
      <w:pPr>
        <w:spacing w:after="0"/>
        <w:jc w:val="left"/>
        <w:rPr>
          <w:sz w:val="18"/>
        </w:rPr>
        <w:sectPr>
          <w:headerReference w:type="default" r:id="rId452"/>
          <w:footerReference w:type="default" r:id="rId453"/>
          <w:pgSz w:w="12240" w:h="15840"/>
          <w:pgMar w:header="765" w:footer="1011" w:top="1280" w:bottom="1200" w:left="1120" w:right="1180"/>
        </w:sectPr>
      </w:pPr>
    </w:p>
    <w:p>
      <w:pPr>
        <w:pStyle w:val="BodyText"/>
        <w:spacing w:before="118"/>
        <w:rPr>
          <w:sz w:val="18"/>
        </w:rPr>
      </w:pPr>
    </w:p>
    <w:p>
      <w:pPr>
        <w:spacing w:before="0"/>
        <w:ind w:left="464" w:right="1493" w:hanging="1"/>
        <w:jc w:val="left"/>
        <w:rPr>
          <w:sz w:val="18"/>
        </w:rPr>
      </w:pPr>
      <w:bookmarkStart w:name="_bookmark305" w:id="527"/>
      <w:bookmarkEnd w:id="527"/>
      <w:r>
        <w:rPr/>
      </w:r>
      <w:r>
        <w:rPr>
          <w:sz w:val="18"/>
          <w:vertAlign w:val="superscript"/>
        </w:rPr>
        <w:t>32</w:t>
      </w:r>
      <w:r>
        <w:rPr>
          <w:spacing w:val="-3"/>
          <w:sz w:val="18"/>
          <w:vertAlign w:val="baseline"/>
        </w:rPr>
        <w:t> </w:t>
      </w:r>
      <w:r>
        <w:rPr>
          <w:sz w:val="18"/>
          <w:vertAlign w:val="baseline"/>
        </w:rPr>
        <w:t>“Massachusetts</w:t>
      </w:r>
      <w:r>
        <w:rPr>
          <w:spacing w:val="-4"/>
          <w:sz w:val="18"/>
          <w:vertAlign w:val="baseline"/>
        </w:rPr>
        <w:t> </w:t>
      </w:r>
      <w:r>
        <w:rPr>
          <w:sz w:val="18"/>
          <w:vertAlign w:val="baseline"/>
        </w:rPr>
        <w:t>Homeless</w:t>
      </w:r>
      <w:r>
        <w:rPr>
          <w:spacing w:val="-3"/>
          <w:sz w:val="18"/>
          <w:vertAlign w:val="baseline"/>
        </w:rPr>
        <w:t> </w:t>
      </w:r>
      <w:r>
        <w:rPr>
          <w:sz w:val="18"/>
          <w:vertAlign w:val="baseline"/>
        </w:rPr>
        <w:t>Student</w:t>
      </w:r>
      <w:r>
        <w:rPr>
          <w:spacing w:val="-4"/>
          <w:sz w:val="18"/>
          <w:vertAlign w:val="baseline"/>
        </w:rPr>
        <w:t> </w:t>
      </w:r>
      <w:r>
        <w:rPr>
          <w:sz w:val="18"/>
          <w:vertAlign w:val="baseline"/>
        </w:rPr>
        <w:t>Program</w:t>
      </w:r>
      <w:r>
        <w:rPr>
          <w:spacing w:val="-3"/>
          <w:sz w:val="18"/>
          <w:vertAlign w:val="baseline"/>
        </w:rPr>
        <w:t> </w:t>
      </w:r>
      <w:r>
        <w:rPr>
          <w:sz w:val="18"/>
          <w:vertAlign w:val="baseline"/>
        </w:rPr>
        <w:t>Data</w:t>
      </w:r>
      <w:r>
        <w:rPr>
          <w:spacing w:val="-3"/>
          <w:sz w:val="18"/>
          <w:vertAlign w:val="baseline"/>
        </w:rPr>
        <w:t> </w:t>
      </w:r>
      <w:r>
        <w:rPr>
          <w:sz w:val="18"/>
          <w:vertAlign w:val="baseline"/>
        </w:rPr>
        <w:t>2022-23</w:t>
      </w:r>
      <w:r>
        <w:rPr>
          <w:spacing w:val="-3"/>
          <w:sz w:val="18"/>
          <w:vertAlign w:val="baseline"/>
        </w:rPr>
        <w:t> </w:t>
      </w:r>
      <w:r>
        <w:rPr>
          <w:sz w:val="18"/>
          <w:vertAlign w:val="baseline"/>
        </w:rPr>
        <w:t>-</w:t>
      </w:r>
      <w:r>
        <w:rPr>
          <w:spacing w:val="-3"/>
          <w:sz w:val="18"/>
          <w:vertAlign w:val="baseline"/>
        </w:rPr>
        <w:t> </w:t>
      </w:r>
      <w:r>
        <w:rPr>
          <w:sz w:val="18"/>
          <w:vertAlign w:val="baseline"/>
        </w:rPr>
        <w:t>Student</w:t>
      </w:r>
      <w:r>
        <w:rPr>
          <w:spacing w:val="-4"/>
          <w:sz w:val="18"/>
          <w:vertAlign w:val="baseline"/>
        </w:rPr>
        <w:t> </w:t>
      </w:r>
      <w:r>
        <w:rPr>
          <w:sz w:val="18"/>
          <w:vertAlign w:val="baseline"/>
        </w:rPr>
        <w:t>and</w:t>
      </w:r>
      <w:r>
        <w:rPr>
          <w:spacing w:val="-3"/>
          <w:sz w:val="18"/>
          <w:vertAlign w:val="baseline"/>
        </w:rPr>
        <w:t> </w:t>
      </w:r>
      <w:r>
        <w:rPr>
          <w:sz w:val="18"/>
          <w:vertAlign w:val="baseline"/>
        </w:rPr>
        <w:t>Family</w:t>
      </w:r>
      <w:r>
        <w:rPr>
          <w:spacing w:val="-3"/>
          <w:sz w:val="18"/>
          <w:vertAlign w:val="baseline"/>
        </w:rPr>
        <w:t> </w:t>
      </w:r>
      <w:r>
        <w:rPr>
          <w:sz w:val="18"/>
          <w:vertAlign w:val="baseline"/>
        </w:rPr>
        <w:t>Support</w:t>
      </w:r>
      <w:r>
        <w:rPr>
          <w:spacing w:val="-4"/>
          <w:sz w:val="18"/>
          <w:vertAlign w:val="baseline"/>
        </w:rPr>
        <w:t> </w:t>
      </w:r>
      <w:r>
        <w:rPr>
          <w:sz w:val="18"/>
          <w:vertAlign w:val="baseline"/>
        </w:rPr>
        <w:t>(SFS).”</w:t>
      </w:r>
      <w:r>
        <w:rPr>
          <w:spacing w:val="-4"/>
          <w:sz w:val="18"/>
          <w:vertAlign w:val="baseline"/>
        </w:rPr>
        <w:t> </w:t>
      </w:r>
      <w:r>
        <w:rPr>
          <w:sz w:val="18"/>
          <w:vertAlign w:val="baseline"/>
        </w:rPr>
        <w:t>2023.</w:t>
      </w:r>
      <w:r>
        <w:rPr>
          <w:spacing w:val="-3"/>
          <w:sz w:val="18"/>
          <w:vertAlign w:val="baseline"/>
        </w:rPr>
        <w:t> </w:t>
      </w:r>
      <w:r>
        <w:rPr>
          <w:sz w:val="18"/>
          <w:vertAlign w:val="baseline"/>
        </w:rPr>
        <w:t>2023. </w:t>
      </w:r>
      <w:r>
        <w:rPr>
          <w:spacing w:val="-2"/>
          <w:sz w:val="18"/>
          <w:vertAlign w:val="baseline"/>
        </w:rPr>
        <w:t>https:</w:t>
      </w:r>
      <w:hyperlink r:id="rId459">
        <w:r>
          <w:rPr>
            <w:spacing w:val="-2"/>
            <w:sz w:val="18"/>
            <w:vertAlign w:val="baseline"/>
          </w:rPr>
          <w:t>//www.doe.mass.edu/sfs/mv/2022-23data.html.</w:t>
        </w:r>
      </w:hyperlink>
    </w:p>
    <w:p>
      <w:pPr>
        <w:spacing w:before="119"/>
        <w:ind w:left="464" w:right="0" w:firstLine="0"/>
        <w:jc w:val="left"/>
        <w:rPr>
          <w:sz w:val="18"/>
        </w:rPr>
      </w:pPr>
      <w:bookmarkStart w:name="_bookmark306" w:id="528"/>
      <w:bookmarkEnd w:id="528"/>
      <w:r>
        <w:rPr/>
      </w:r>
      <w:r>
        <w:rPr>
          <w:sz w:val="18"/>
          <w:vertAlign w:val="superscript"/>
        </w:rPr>
        <w:t>33</w:t>
      </w:r>
      <w:r>
        <w:rPr>
          <w:spacing w:val="-5"/>
          <w:sz w:val="18"/>
          <w:vertAlign w:val="baseline"/>
        </w:rPr>
        <w:t> </w:t>
      </w:r>
      <w:r>
        <w:rPr>
          <w:sz w:val="18"/>
          <w:vertAlign w:val="baseline"/>
        </w:rPr>
        <w:t>Gonzalez,</w:t>
      </w:r>
      <w:r>
        <w:rPr>
          <w:spacing w:val="-3"/>
          <w:sz w:val="18"/>
          <w:vertAlign w:val="baseline"/>
        </w:rPr>
        <w:t> </w:t>
      </w:r>
      <w:r>
        <w:rPr>
          <w:sz w:val="18"/>
          <w:vertAlign w:val="baseline"/>
        </w:rPr>
        <w:t>Sarah</w:t>
      </w:r>
      <w:r>
        <w:rPr>
          <w:spacing w:val="-3"/>
          <w:sz w:val="18"/>
          <w:vertAlign w:val="baseline"/>
        </w:rPr>
        <w:t> </w:t>
      </w:r>
      <w:r>
        <w:rPr>
          <w:sz w:val="18"/>
          <w:vertAlign w:val="baseline"/>
        </w:rPr>
        <w:t>Berger,</w:t>
      </w:r>
      <w:r>
        <w:rPr>
          <w:spacing w:val="-3"/>
          <w:sz w:val="18"/>
          <w:vertAlign w:val="baseline"/>
        </w:rPr>
        <w:t> </w:t>
      </w:r>
      <w:r>
        <w:rPr>
          <w:sz w:val="18"/>
          <w:vertAlign w:val="baseline"/>
        </w:rPr>
        <w:t>Matt</w:t>
      </w:r>
      <w:r>
        <w:rPr>
          <w:spacing w:val="-3"/>
          <w:sz w:val="18"/>
          <w:vertAlign w:val="baseline"/>
        </w:rPr>
        <w:t> </w:t>
      </w:r>
      <w:r>
        <w:rPr>
          <w:sz w:val="18"/>
          <w:vertAlign w:val="baseline"/>
        </w:rPr>
        <w:t>Aronson,</w:t>
      </w:r>
      <w:r>
        <w:rPr>
          <w:spacing w:val="-3"/>
          <w:sz w:val="18"/>
          <w:vertAlign w:val="baseline"/>
        </w:rPr>
        <w:t> </w:t>
      </w:r>
      <w:r>
        <w:rPr>
          <w:sz w:val="18"/>
          <w:vertAlign w:val="baseline"/>
        </w:rPr>
        <w:t>and</w:t>
      </w:r>
      <w:r>
        <w:rPr>
          <w:spacing w:val="-3"/>
          <w:sz w:val="18"/>
          <w:vertAlign w:val="baseline"/>
        </w:rPr>
        <w:t> </w:t>
      </w:r>
      <w:r>
        <w:rPr>
          <w:sz w:val="18"/>
          <w:vertAlign w:val="baseline"/>
        </w:rPr>
        <w:t>Bryan</w:t>
      </w:r>
      <w:r>
        <w:rPr>
          <w:spacing w:val="-2"/>
          <w:sz w:val="18"/>
          <w:vertAlign w:val="baseline"/>
        </w:rPr>
        <w:t> </w:t>
      </w:r>
      <w:r>
        <w:rPr>
          <w:sz w:val="18"/>
          <w:vertAlign w:val="baseline"/>
        </w:rPr>
        <w:t>Samuels.</w:t>
      </w:r>
      <w:r>
        <w:rPr>
          <w:spacing w:val="-3"/>
          <w:sz w:val="18"/>
          <w:vertAlign w:val="baseline"/>
        </w:rPr>
        <w:t> </w:t>
      </w:r>
      <w:r>
        <w:rPr>
          <w:sz w:val="18"/>
          <w:vertAlign w:val="baseline"/>
        </w:rPr>
        <w:t>2024.</w:t>
      </w:r>
      <w:r>
        <w:rPr>
          <w:spacing w:val="-2"/>
          <w:sz w:val="18"/>
          <w:vertAlign w:val="baseline"/>
        </w:rPr>
        <w:t> </w:t>
      </w:r>
      <w:r>
        <w:rPr>
          <w:sz w:val="18"/>
          <w:vertAlign w:val="baseline"/>
        </w:rPr>
        <w:t>“The</w:t>
      </w:r>
      <w:r>
        <w:rPr>
          <w:spacing w:val="-2"/>
          <w:sz w:val="18"/>
          <w:vertAlign w:val="baseline"/>
        </w:rPr>
        <w:t> </w:t>
      </w:r>
      <w:r>
        <w:rPr>
          <w:sz w:val="18"/>
          <w:vertAlign w:val="baseline"/>
        </w:rPr>
        <w:t>Count:</w:t>
      </w:r>
      <w:r>
        <w:rPr>
          <w:spacing w:val="-3"/>
          <w:sz w:val="18"/>
          <w:vertAlign w:val="baseline"/>
        </w:rPr>
        <w:t> </w:t>
      </w:r>
      <w:r>
        <w:rPr>
          <w:sz w:val="18"/>
          <w:vertAlign w:val="baseline"/>
        </w:rPr>
        <w:t>Youth</w:t>
      </w:r>
      <w:r>
        <w:rPr>
          <w:spacing w:val="-2"/>
          <w:sz w:val="18"/>
          <w:vertAlign w:val="baseline"/>
        </w:rPr>
        <w:t> </w:t>
      </w:r>
      <w:r>
        <w:rPr>
          <w:sz w:val="18"/>
          <w:vertAlign w:val="baseline"/>
        </w:rPr>
        <w:t>Homelessness,”</w:t>
      </w:r>
      <w:r>
        <w:rPr>
          <w:spacing w:val="-2"/>
          <w:sz w:val="18"/>
          <w:vertAlign w:val="baseline"/>
        </w:rPr>
        <w:t> February.</w:t>
      </w:r>
    </w:p>
    <w:p>
      <w:pPr>
        <w:spacing w:before="120"/>
        <w:ind w:left="464" w:right="627" w:hanging="1"/>
        <w:jc w:val="left"/>
        <w:rPr>
          <w:sz w:val="18"/>
        </w:rPr>
      </w:pPr>
      <w:bookmarkStart w:name="_bookmark307" w:id="529"/>
      <w:bookmarkEnd w:id="529"/>
      <w:r>
        <w:rPr/>
      </w:r>
      <w:r>
        <w:rPr>
          <w:sz w:val="18"/>
          <w:vertAlign w:val="superscript"/>
        </w:rPr>
        <w:t>34</w:t>
      </w:r>
      <w:r>
        <w:rPr>
          <w:spacing w:val="-2"/>
          <w:sz w:val="18"/>
          <w:vertAlign w:val="baseline"/>
        </w:rPr>
        <w:t> </w:t>
      </w:r>
      <w:r>
        <w:rPr>
          <w:sz w:val="18"/>
          <w:vertAlign w:val="baseline"/>
        </w:rPr>
        <w:t>“2023</w:t>
      </w:r>
      <w:r>
        <w:rPr>
          <w:spacing w:val="-2"/>
          <w:sz w:val="18"/>
          <w:vertAlign w:val="baseline"/>
        </w:rPr>
        <w:t> </w:t>
      </w:r>
      <w:r>
        <w:rPr>
          <w:sz w:val="18"/>
          <w:vertAlign w:val="baseline"/>
        </w:rPr>
        <w:t>Annual</w:t>
      </w:r>
      <w:r>
        <w:rPr>
          <w:spacing w:val="-3"/>
          <w:sz w:val="18"/>
          <w:vertAlign w:val="baseline"/>
        </w:rPr>
        <w:t> </w:t>
      </w:r>
      <w:r>
        <w:rPr>
          <w:sz w:val="18"/>
          <w:vertAlign w:val="baseline"/>
        </w:rPr>
        <w:t>Homeless</w:t>
      </w:r>
      <w:r>
        <w:rPr>
          <w:spacing w:val="-2"/>
          <w:sz w:val="18"/>
          <w:vertAlign w:val="baseline"/>
        </w:rPr>
        <w:t> </w:t>
      </w:r>
      <w:r>
        <w:rPr>
          <w:sz w:val="18"/>
          <w:vertAlign w:val="baseline"/>
        </w:rPr>
        <w:t>Assessment</w:t>
      </w:r>
      <w:r>
        <w:rPr>
          <w:spacing w:val="-3"/>
          <w:sz w:val="18"/>
          <w:vertAlign w:val="baseline"/>
        </w:rPr>
        <w:t> </w:t>
      </w:r>
      <w:r>
        <w:rPr>
          <w:sz w:val="18"/>
          <w:vertAlign w:val="baseline"/>
        </w:rPr>
        <w:t>Report-</w:t>
      </w:r>
      <w:r>
        <w:rPr>
          <w:spacing w:val="-2"/>
          <w:sz w:val="18"/>
          <w:vertAlign w:val="baseline"/>
        </w:rPr>
        <w:t> </w:t>
      </w:r>
      <w:r>
        <w:rPr>
          <w:sz w:val="18"/>
          <w:vertAlign w:val="baseline"/>
        </w:rPr>
        <w:t>Estimates</w:t>
      </w:r>
      <w:r>
        <w:rPr>
          <w:spacing w:val="-2"/>
          <w:sz w:val="18"/>
          <w:vertAlign w:val="baseline"/>
        </w:rPr>
        <w:t> </w:t>
      </w:r>
      <w:r>
        <w:rPr>
          <w:sz w:val="18"/>
          <w:vertAlign w:val="baseline"/>
        </w:rPr>
        <w:t>of</w:t>
      </w:r>
      <w:r>
        <w:rPr>
          <w:spacing w:val="-2"/>
          <w:sz w:val="18"/>
          <w:vertAlign w:val="baseline"/>
        </w:rPr>
        <w:t> </w:t>
      </w:r>
      <w:r>
        <w:rPr>
          <w:sz w:val="18"/>
          <w:vertAlign w:val="baseline"/>
        </w:rPr>
        <w:t>Homelessness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U.S.”</w:t>
      </w:r>
      <w:r>
        <w:rPr>
          <w:spacing w:val="-2"/>
          <w:sz w:val="18"/>
          <w:vertAlign w:val="baseline"/>
        </w:rPr>
        <w:t> </w:t>
      </w:r>
      <w:r>
        <w:rPr>
          <w:sz w:val="18"/>
          <w:vertAlign w:val="baseline"/>
        </w:rPr>
        <w:t>2023.</w:t>
      </w:r>
      <w:r>
        <w:rPr>
          <w:spacing w:val="-2"/>
          <w:sz w:val="18"/>
          <w:vertAlign w:val="baseline"/>
        </w:rPr>
        <w:t> </w:t>
      </w:r>
      <w:r>
        <w:rPr>
          <w:sz w:val="18"/>
          <w:vertAlign w:val="baseline"/>
        </w:rPr>
        <w:t>Office</w:t>
      </w:r>
      <w:r>
        <w:rPr>
          <w:spacing w:val="-3"/>
          <w:sz w:val="18"/>
          <w:vertAlign w:val="baseline"/>
        </w:rPr>
        <w:t> </w:t>
      </w:r>
      <w:r>
        <w:rPr>
          <w:sz w:val="18"/>
          <w:vertAlign w:val="baseline"/>
        </w:rPr>
        <w:t>of</w:t>
      </w:r>
      <w:r>
        <w:rPr>
          <w:spacing w:val="-2"/>
          <w:sz w:val="18"/>
          <w:vertAlign w:val="baseline"/>
        </w:rPr>
        <w:t> </w:t>
      </w:r>
      <w:r>
        <w:rPr>
          <w:sz w:val="18"/>
          <w:vertAlign w:val="baseline"/>
        </w:rPr>
        <w:t>Policy</w:t>
      </w:r>
      <w:r>
        <w:rPr>
          <w:spacing w:val="-2"/>
          <w:sz w:val="18"/>
          <w:vertAlign w:val="baseline"/>
        </w:rPr>
        <w:t> </w:t>
      </w:r>
      <w:r>
        <w:rPr>
          <w:sz w:val="18"/>
          <w:vertAlign w:val="baseline"/>
        </w:rPr>
        <w:t>Develop</w:t>
      </w:r>
      <w:r>
        <w:rPr>
          <w:spacing w:val="-2"/>
          <w:sz w:val="18"/>
          <w:vertAlign w:val="baseline"/>
        </w:rPr>
        <w:t> </w:t>
      </w:r>
      <w:r>
        <w:rPr>
          <w:sz w:val="18"/>
          <w:vertAlign w:val="baseline"/>
        </w:rPr>
        <w:t>and Research. December 2023. https:</w:t>
      </w:r>
      <w:hyperlink r:id="rId449">
        <w:r>
          <w:rPr>
            <w:sz w:val="18"/>
            <w:vertAlign w:val="baseline"/>
          </w:rPr>
          <w:t>//www.huduser.gov/portal/datasets/ahar/2023-ahar-part-1-pit-estimates-of-</w:t>
        </w:r>
      </w:hyperlink>
      <w:r>
        <w:rPr>
          <w:sz w:val="18"/>
          <w:vertAlign w:val="baseline"/>
        </w:rPr>
        <w:t> </w:t>
      </w:r>
      <w:r>
        <w:rPr>
          <w:spacing w:val="-2"/>
          <w:sz w:val="18"/>
          <w:vertAlign w:val="baseline"/>
        </w:rPr>
        <w:t>homelessness-in-the-us.html.</w:t>
      </w:r>
    </w:p>
    <w:p>
      <w:pPr>
        <w:spacing w:before="120"/>
        <w:ind w:left="464" w:right="1260" w:firstLine="0"/>
        <w:jc w:val="left"/>
        <w:rPr>
          <w:sz w:val="18"/>
        </w:rPr>
      </w:pPr>
      <w:bookmarkStart w:name="_bookmark308" w:id="530"/>
      <w:bookmarkEnd w:id="530"/>
      <w:r>
        <w:rPr/>
      </w:r>
      <w:r>
        <w:rPr>
          <w:sz w:val="18"/>
          <w:vertAlign w:val="superscript"/>
        </w:rPr>
        <w:t>35</w:t>
      </w:r>
      <w:r>
        <w:rPr>
          <w:spacing w:val="-3"/>
          <w:sz w:val="18"/>
          <w:vertAlign w:val="baseline"/>
        </w:rPr>
        <w:t> </w:t>
      </w:r>
      <w:r>
        <w:rPr>
          <w:sz w:val="18"/>
          <w:vertAlign w:val="baseline"/>
        </w:rPr>
        <w:t>“Continuum</w:t>
      </w:r>
      <w:r>
        <w:rPr>
          <w:spacing w:val="-3"/>
          <w:sz w:val="18"/>
          <w:vertAlign w:val="baseline"/>
        </w:rPr>
        <w:t> </w:t>
      </w:r>
      <w:r>
        <w:rPr>
          <w:sz w:val="18"/>
          <w:vertAlign w:val="baseline"/>
        </w:rPr>
        <w:t>of</w:t>
      </w:r>
      <w:r>
        <w:rPr>
          <w:spacing w:val="-4"/>
          <w:sz w:val="18"/>
          <w:vertAlign w:val="baseline"/>
        </w:rPr>
        <w:t> </w:t>
      </w:r>
      <w:r>
        <w:rPr>
          <w:sz w:val="18"/>
          <w:vertAlign w:val="baseline"/>
        </w:rPr>
        <w:t>Care</w:t>
      </w:r>
      <w:r>
        <w:rPr>
          <w:spacing w:val="-3"/>
          <w:sz w:val="18"/>
          <w:vertAlign w:val="baseline"/>
        </w:rPr>
        <w:t> </w:t>
      </w:r>
      <w:r>
        <w:rPr>
          <w:sz w:val="18"/>
          <w:vertAlign w:val="baseline"/>
        </w:rPr>
        <w:t>Programs</w:t>
      </w:r>
      <w:r>
        <w:rPr>
          <w:spacing w:val="-4"/>
          <w:sz w:val="18"/>
          <w:vertAlign w:val="baseline"/>
        </w:rPr>
        <w:t> </w:t>
      </w:r>
      <w:r>
        <w:rPr>
          <w:sz w:val="18"/>
          <w:vertAlign w:val="baseline"/>
        </w:rPr>
        <w:t>(COC)</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n.d.</w:t>
      </w:r>
      <w:r>
        <w:rPr>
          <w:spacing w:val="-4"/>
          <w:sz w:val="18"/>
          <w:vertAlign w:val="baseline"/>
        </w:rPr>
        <w:t> </w:t>
      </w:r>
      <w:r>
        <w:rPr>
          <w:sz w:val="18"/>
          <w:vertAlign w:val="baseline"/>
        </w:rPr>
        <w:t>Accessed</w:t>
      </w:r>
      <w:r>
        <w:rPr>
          <w:spacing w:val="-3"/>
          <w:sz w:val="18"/>
          <w:vertAlign w:val="baseline"/>
        </w:rPr>
        <w:t> </w:t>
      </w:r>
      <w:r>
        <w:rPr>
          <w:sz w:val="18"/>
          <w:vertAlign w:val="baseline"/>
        </w:rPr>
        <w:t>March</w:t>
      </w:r>
      <w:r>
        <w:rPr>
          <w:spacing w:val="-3"/>
          <w:sz w:val="18"/>
          <w:vertAlign w:val="baseline"/>
        </w:rPr>
        <w:t> </w:t>
      </w:r>
      <w:r>
        <w:rPr>
          <w:sz w:val="18"/>
          <w:vertAlign w:val="baseline"/>
        </w:rPr>
        <w:t>14,</w:t>
      </w:r>
      <w:r>
        <w:rPr>
          <w:spacing w:val="-4"/>
          <w:sz w:val="18"/>
          <w:vertAlign w:val="baseline"/>
        </w:rPr>
        <w:t> </w:t>
      </w:r>
      <w:r>
        <w:rPr>
          <w:sz w:val="18"/>
          <w:vertAlign w:val="baseline"/>
        </w:rPr>
        <w:t>2024.</w:t>
      </w:r>
      <w:r>
        <w:rPr>
          <w:spacing w:val="-3"/>
          <w:sz w:val="18"/>
          <w:vertAlign w:val="baseline"/>
        </w:rPr>
        <w:t> </w:t>
      </w:r>
      <w:r>
        <w:rPr>
          <w:sz w:val="18"/>
          <w:vertAlign w:val="baseline"/>
        </w:rPr>
        <w:t>https:</w:t>
      </w:r>
      <w:hyperlink r:id="rId163">
        <w:r>
          <w:rPr>
            <w:sz w:val="18"/>
            <w:vertAlign w:val="baseline"/>
          </w:rPr>
          <w:t>//www.mass.gov/info-</w:t>
        </w:r>
      </w:hyperlink>
      <w:r>
        <w:rPr>
          <w:sz w:val="18"/>
          <w:vertAlign w:val="baseline"/>
        </w:rPr>
        <w:t> </w:t>
      </w:r>
      <w:r>
        <w:rPr>
          <w:spacing w:val="-2"/>
          <w:sz w:val="18"/>
          <w:vertAlign w:val="baseline"/>
        </w:rPr>
        <w:t>details/continuum-of-care-programs-coc.</w:t>
      </w:r>
    </w:p>
    <w:p>
      <w:pPr>
        <w:spacing w:before="120"/>
        <w:ind w:left="463" w:right="947" w:firstLine="0"/>
        <w:jc w:val="left"/>
        <w:rPr>
          <w:sz w:val="18"/>
        </w:rPr>
      </w:pPr>
      <w:bookmarkStart w:name="_bookmark309" w:id="531"/>
      <w:bookmarkEnd w:id="531"/>
      <w:r>
        <w:rPr/>
      </w:r>
      <w:r>
        <w:rPr>
          <w:sz w:val="18"/>
          <w:vertAlign w:val="superscript"/>
        </w:rPr>
        <w:t>36</w:t>
      </w:r>
      <w:r>
        <w:rPr>
          <w:sz w:val="18"/>
          <w:vertAlign w:val="baseline"/>
        </w:rPr>
        <w:t> “Shelter for All Genders: Best Practices for Homeless Shelters, Services, and Programs in Massachusetts in Serving Transgender,</w:t>
      </w:r>
      <w:r>
        <w:rPr>
          <w:spacing w:val="-5"/>
          <w:sz w:val="18"/>
          <w:vertAlign w:val="baseline"/>
        </w:rPr>
        <w:t> </w:t>
      </w:r>
      <w:r>
        <w:rPr>
          <w:sz w:val="18"/>
          <w:vertAlign w:val="baseline"/>
        </w:rPr>
        <w:t>Nonbinary,</w:t>
      </w:r>
      <w:r>
        <w:rPr>
          <w:spacing w:val="-5"/>
          <w:sz w:val="18"/>
          <w:vertAlign w:val="baseline"/>
        </w:rPr>
        <w:t> </w:t>
      </w:r>
      <w:r>
        <w:rPr>
          <w:sz w:val="18"/>
          <w:vertAlign w:val="baseline"/>
        </w:rPr>
        <w:t>and</w:t>
      </w:r>
      <w:r>
        <w:rPr>
          <w:spacing w:val="-4"/>
          <w:sz w:val="18"/>
          <w:vertAlign w:val="baseline"/>
        </w:rPr>
        <w:t> </w:t>
      </w:r>
      <w:r>
        <w:rPr>
          <w:sz w:val="18"/>
          <w:vertAlign w:val="baseline"/>
        </w:rPr>
        <w:t>Gender</w:t>
      </w:r>
      <w:r>
        <w:rPr>
          <w:spacing w:val="-5"/>
          <w:sz w:val="18"/>
          <w:vertAlign w:val="baseline"/>
        </w:rPr>
        <w:t> </w:t>
      </w:r>
      <w:r>
        <w:rPr>
          <w:sz w:val="18"/>
          <w:vertAlign w:val="baseline"/>
        </w:rPr>
        <w:t>Non-Conforming</w:t>
      </w:r>
      <w:r>
        <w:rPr>
          <w:spacing w:val="-4"/>
          <w:sz w:val="18"/>
          <w:vertAlign w:val="baseline"/>
        </w:rPr>
        <w:t> </w:t>
      </w:r>
      <w:r>
        <w:rPr>
          <w:sz w:val="18"/>
          <w:vertAlign w:val="baseline"/>
        </w:rPr>
        <w:t>Guests.”</w:t>
      </w:r>
      <w:r>
        <w:rPr>
          <w:spacing w:val="-4"/>
          <w:sz w:val="18"/>
          <w:vertAlign w:val="baseline"/>
        </w:rPr>
        <w:t> </w:t>
      </w:r>
      <w:r>
        <w:rPr>
          <w:sz w:val="18"/>
          <w:vertAlign w:val="baseline"/>
        </w:rPr>
        <w:t>2023.</w:t>
      </w:r>
      <w:r>
        <w:rPr>
          <w:spacing w:val="-4"/>
          <w:sz w:val="18"/>
          <w:vertAlign w:val="baseline"/>
        </w:rPr>
        <w:t> </w:t>
      </w:r>
      <w:r>
        <w:rPr>
          <w:sz w:val="18"/>
          <w:vertAlign w:val="baseline"/>
        </w:rPr>
        <w:t>Massachusetts</w:t>
      </w:r>
      <w:r>
        <w:rPr>
          <w:spacing w:val="-4"/>
          <w:sz w:val="18"/>
          <w:vertAlign w:val="baseline"/>
        </w:rPr>
        <w:t> </w:t>
      </w:r>
      <w:r>
        <w:rPr>
          <w:sz w:val="18"/>
          <w:vertAlign w:val="baseline"/>
        </w:rPr>
        <w:t>Transgender</w:t>
      </w:r>
      <w:r>
        <w:rPr>
          <w:spacing w:val="-5"/>
          <w:sz w:val="18"/>
          <w:vertAlign w:val="baseline"/>
        </w:rPr>
        <w:t> </w:t>
      </w:r>
      <w:r>
        <w:rPr>
          <w:sz w:val="18"/>
          <w:vertAlign w:val="baseline"/>
        </w:rPr>
        <w:t>Political</w:t>
      </w:r>
      <w:r>
        <w:rPr>
          <w:spacing w:val="-5"/>
          <w:sz w:val="18"/>
          <w:vertAlign w:val="baseline"/>
        </w:rPr>
        <w:t> </w:t>
      </w:r>
      <w:r>
        <w:rPr>
          <w:sz w:val="18"/>
          <w:vertAlign w:val="baseline"/>
        </w:rPr>
        <w:t>Coalition. </w:t>
      </w:r>
      <w:r>
        <w:rPr>
          <w:spacing w:val="-2"/>
          <w:sz w:val="18"/>
          <w:vertAlign w:val="baseline"/>
        </w:rPr>
        <w:t>https:</w:t>
      </w:r>
      <w:hyperlink r:id="rId460">
        <w:r>
          <w:rPr>
            <w:spacing w:val="-2"/>
            <w:sz w:val="18"/>
            <w:vertAlign w:val="baseline"/>
          </w:rPr>
          <w:t>//www.masstpc.org/wp-content/uploads/Shelter-for-All-Genders-Revised-2023-FINAL.pdf.</w:t>
        </w:r>
      </w:hyperlink>
    </w:p>
    <w:p>
      <w:pPr>
        <w:spacing w:before="121"/>
        <w:ind w:left="464" w:right="565" w:firstLine="0"/>
        <w:jc w:val="left"/>
        <w:rPr>
          <w:sz w:val="18"/>
        </w:rPr>
      </w:pPr>
      <w:bookmarkStart w:name="_bookmark310" w:id="532"/>
      <w:bookmarkEnd w:id="532"/>
      <w:r>
        <w:rPr/>
      </w:r>
      <w:r>
        <w:rPr>
          <w:sz w:val="18"/>
          <w:vertAlign w:val="superscript"/>
        </w:rPr>
        <w:t>37</w:t>
      </w:r>
      <w:r>
        <w:rPr>
          <w:spacing w:val="-2"/>
          <w:sz w:val="18"/>
          <w:vertAlign w:val="baseline"/>
        </w:rPr>
        <w:t> </w:t>
      </w:r>
      <w:r>
        <w:rPr>
          <w:sz w:val="18"/>
          <w:vertAlign w:val="baseline"/>
        </w:rPr>
        <w:t>“FY</w:t>
      </w:r>
      <w:r>
        <w:rPr>
          <w:spacing w:val="-2"/>
          <w:sz w:val="18"/>
          <w:vertAlign w:val="baseline"/>
        </w:rPr>
        <w:t> </w:t>
      </w:r>
      <w:r>
        <w:rPr>
          <w:sz w:val="18"/>
          <w:vertAlign w:val="baseline"/>
        </w:rPr>
        <w:t>2023</w:t>
      </w:r>
      <w:r>
        <w:rPr>
          <w:spacing w:val="-2"/>
          <w:sz w:val="18"/>
          <w:vertAlign w:val="baseline"/>
        </w:rPr>
        <w:t> </w:t>
      </w:r>
      <w:r>
        <w:rPr>
          <w:sz w:val="18"/>
          <w:vertAlign w:val="baseline"/>
        </w:rPr>
        <w:t>CoC</w:t>
      </w:r>
      <w:r>
        <w:rPr>
          <w:spacing w:val="-2"/>
          <w:sz w:val="18"/>
          <w:vertAlign w:val="baseline"/>
        </w:rPr>
        <w:t> </w:t>
      </w:r>
      <w:r>
        <w:rPr>
          <w:sz w:val="18"/>
          <w:vertAlign w:val="baseline"/>
        </w:rPr>
        <w:t>Program</w:t>
      </w:r>
      <w:r>
        <w:rPr>
          <w:spacing w:val="-2"/>
          <w:sz w:val="18"/>
          <w:vertAlign w:val="baseline"/>
        </w:rPr>
        <w:t> </w:t>
      </w:r>
      <w:r>
        <w:rPr>
          <w:sz w:val="18"/>
          <w:vertAlign w:val="baseline"/>
        </w:rPr>
        <w:t>Competition</w:t>
      </w:r>
      <w:r>
        <w:rPr>
          <w:spacing w:val="-2"/>
          <w:sz w:val="18"/>
          <w:vertAlign w:val="baseline"/>
        </w:rPr>
        <w:t> </w:t>
      </w:r>
      <w:r>
        <w:rPr>
          <w:sz w:val="18"/>
          <w:vertAlign w:val="baseline"/>
        </w:rPr>
        <w:t>and</w:t>
      </w:r>
      <w:r>
        <w:rPr>
          <w:spacing w:val="-2"/>
          <w:sz w:val="18"/>
          <w:vertAlign w:val="baseline"/>
        </w:rPr>
        <w:t> </w:t>
      </w:r>
      <w:r>
        <w:rPr>
          <w:sz w:val="18"/>
          <w:vertAlign w:val="baseline"/>
        </w:rPr>
        <w:t>Funding</w:t>
      </w:r>
      <w:r>
        <w:rPr>
          <w:spacing w:val="-3"/>
          <w:sz w:val="18"/>
          <w:vertAlign w:val="baseline"/>
        </w:rPr>
        <w:t> </w:t>
      </w:r>
      <w:r>
        <w:rPr>
          <w:sz w:val="18"/>
          <w:vertAlign w:val="baseline"/>
        </w:rPr>
        <w:t>Report.”</w:t>
      </w:r>
      <w:r>
        <w:rPr>
          <w:spacing w:val="-2"/>
          <w:sz w:val="18"/>
          <w:vertAlign w:val="baseline"/>
        </w:rPr>
        <w:t> </w:t>
      </w:r>
      <w:r>
        <w:rPr>
          <w:sz w:val="18"/>
          <w:vertAlign w:val="baseline"/>
        </w:rPr>
        <w:t>n.d.</w:t>
      </w:r>
      <w:r>
        <w:rPr>
          <w:spacing w:val="-2"/>
          <w:sz w:val="18"/>
          <w:vertAlign w:val="baseline"/>
        </w:rPr>
        <w:t> </w:t>
      </w:r>
      <w:r>
        <w:rPr>
          <w:sz w:val="18"/>
          <w:vertAlign w:val="baseline"/>
        </w:rPr>
        <w:t>HUD.Gov</w:t>
      </w:r>
      <w:r>
        <w:rPr>
          <w:spacing w:val="-2"/>
          <w:sz w:val="18"/>
          <w:vertAlign w:val="baseline"/>
        </w:rPr>
        <w:t> </w:t>
      </w:r>
      <w:r>
        <w:rPr>
          <w:sz w:val="18"/>
          <w:vertAlign w:val="baseline"/>
        </w:rPr>
        <w:t>/</w:t>
      </w:r>
      <w:r>
        <w:rPr>
          <w:spacing w:val="-2"/>
          <w:sz w:val="18"/>
          <w:vertAlign w:val="baseline"/>
        </w:rPr>
        <w:t> </w:t>
      </w:r>
      <w:r>
        <w:rPr>
          <w:sz w:val="18"/>
          <w:vertAlign w:val="baseline"/>
        </w:rPr>
        <w:t>U.S.</w:t>
      </w:r>
      <w:r>
        <w:rPr>
          <w:spacing w:val="-2"/>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Housing</w:t>
      </w:r>
      <w:r>
        <w:rPr>
          <w:spacing w:val="-2"/>
          <w:sz w:val="18"/>
          <w:vertAlign w:val="baseline"/>
        </w:rPr>
        <w:t> </w:t>
      </w:r>
      <w:r>
        <w:rPr>
          <w:sz w:val="18"/>
          <w:vertAlign w:val="baseline"/>
        </w:rPr>
        <w:t>and</w:t>
      </w:r>
      <w:r>
        <w:rPr>
          <w:spacing w:val="-2"/>
          <w:sz w:val="18"/>
          <w:vertAlign w:val="baseline"/>
        </w:rPr>
        <w:t> </w:t>
      </w:r>
      <w:r>
        <w:rPr>
          <w:sz w:val="18"/>
          <w:vertAlign w:val="baseline"/>
        </w:rPr>
        <w:t>Urban Development (HUD). Accessed April 14, 2024. </w:t>
      </w:r>
      <w:r>
        <w:rPr>
          <w:spacing w:val="-2"/>
          <w:sz w:val="18"/>
          <w:vertAlign w:val="baseline"/>
        </w:rPr>
        <w:t>https:</w:t>
      </w:r>
      <w:hyperlink r:id="rId461">
        <w:r>
          <w:rPr>
            <w:spacing w:val="-2"/>
            <w:sz w:val="18"/>
            <w:vertAlign w:val="baseline"/>
          </w:rPr>
          <w:t>//www.hud.gov/program_offices/comm_planning/coc/fy_2023_coc_competition.</w:t>
        </w:r>
      </w:hyperlink>
    </w:p>
    <w:p>
      <w:pPr>
        <w:spacing w:before="119"/>
        <w:ind w:left="464" w:right="1268" w:firstLine="0"/>
        <w:jc w:val="left"/>
        <w:rPr>
          <w:sz w:val="18"/>
        </w:rPr>
      </w:pPr>
      <w:bookmarkStart w:name="_bookmark311" w:id="533"/>
      <w:bookmarkEnd w:id="533"/>
      <w:r>
        <w:rPr/>
      </w:r>
      <w:r>
        <w:rPr>
          <w:sz w:val="18"/>
          <w:vertAlign w:val="superscript"/>
        </w:rPr>
        <w:t>38</w:t>
      </w:r>
      <w:r>
        <w:rPr>
          <w:sz w:val="18"/>
          <w:vertAlign w:val="baseline"/>
        </w:rPr>
        <w:t> “Continuum of Care | Barnstable County, Cape Cod.” 2024. Barnstable County. February 2024. </w:t>
      </w:r>
      <w:r>
        <w:rPr>
          <w:spacing w:val="-2"/>
          <w:sz w:val="18"/>
          <w:vertAlign w:val="baseline"/>
        </w:rPr>
        <w:t>https:</w:t>
      </w:r>
      <w:hyperlink r:id="rId462">
        <w:r>
          <w:rPr>
            <w:spacing w:val="-2"/>
            <w:sz w:val="18"/>
            <w:vertAlign w:val="baseline"/>
          </w:rPr>
          <w:t>//www.capecod.gov/departments/human-services/initiatives/housing-homelessness/continuum-of-care/.</w:t>
        </w:r>
      </w:hyperlink>
    </w:p>
    <w:p>
      <w:pPr>
        <w:spacing w:before="120"/>
        <w:ind w:left="464" w:right="1581" w:hanging="1"/>
        <w:jc w:val="left"/>
        <w:rPr>
          <w:sz w:val="18"/>
        </w:rPr>
      </w:pPr>
      <w:bookmarkStart w:name="_bookmark312" w:id="534"/>
      <w:bookmarkEnd w:id="534"/>
      <w:r>
        <w:rPr/>
      </w:r>
      <w:r>
        <w:rPr>
          <w:sz w:val="18"/>
          <w:vertAlign w:val="superscript"/>
        </w:rPr>
        <w:t>39</w:t>
      </w:r>
      <w:r>
        <w:rPr>
          <w:sz w:val="18"/>
          <w:vertAlign w:val="baseline"/>
        </w:rPr>
        <w:t> “Joint TH-RRH Program Component Presentation.Pdf.” n.d. Accessed May 1, 2024. </w:t>
      </w:r>
      <w:r>
        <w:rPr>
          <w:spacing w:val="-2"/>
          <w:sz w:val="18"/>
          <w:vertAlign w:val="baseline"/>
        </w:rPr>
        <w:t>https:</w:t>
      </w:r>
      <w:hyperlink r:id="rId463">
        <w:r>
          <w:rPr>
            <w:spacing w:val="-2"/>
            <w:sz w:val="18"/>
            <w:vertAlign w:val="baseline"/>
          </w:rPr>
          <w:t>//www.hud.gov/sites/dfiles/State/documents/Joint_TH-RRH_Program_Component_Presentation.pdf.</w:t>
        </w:r>
      </w:hyperlink>
    </w:p>
    <w:p>
      <w:pPr>
        <w:spacing w:before="121"/>
        <w:ind w:left="464" w:right="528" w:hanging="1"/>
        <w:jc w:val="left"/>
        <w:rPr>
          <w:sz w:val="18"/>
        </w:rPr>
      </w:pPr>
      <w:bookmarkStart w:name="_bookmark313" w:id="535"/>
      <w:bookmarkEnd w:id="535"/>
      <w:r>
        <w:rPr/>
      </w:r>
      <w:r>
        <w:rPr>
          <w:sz w:val="18"/>
          <w:vertAlign w:val="superscript"/>
        </w:rPr>
        <w:t>40</w:t>
      </w:r>
      <w:r>
        <w:rPr>
          <w:sz w:val="18"/>
          <w:vertAlign w:val="baseline"/>
        </w:rPr>
        <w:t> Gewirtz OBrien, Janna R., Annie Lemieux, Emma McGrew, Zeinab Mohamud, and Meghan Ford. 2024. “Youth-Driven Systems</w:t>
      </w:r>
      <w:r>
        <w:rPr>
          <w:spacing w:val="-3"/>
          <w:sz w:val="18"/>
          <w:vertAlign w:val="baseline"/>
        </w:rPr>
        <w:t> </w:t>
      </w:r>
      <w:r>
        <w:rPr>
          <w:sz w:val="18"/>
          <w:vertAlign w:val="baseline"/>
        </w:rPr>
        <w:t>Alignment</w:t>
      </w:r>
      <w:r>
        <w:rPr>
          <w:spacing w:val="-4"/>
          <w:sz w:val="18"/>
          <w:vertAlign w:val="baseline"/>
        </w:rPr>
        <w:t> </w:t>
      </w:r>
      <w:r>
        <w:rPr>
          <w:sz w:val="18"/>
          <w:vertAlign w:val="baseline"/>
        </w:rPr>
        <w:t>Strategies</w:t>
      </w:r>
      <w:r>
        <w:rPr>
          <w:spacing w:val="-3"/>
          <w:sz w:val="18"/>
          <w:vertAlign w:val="baseline"/>
        </w:rPr>
        <w:t> </w:t>
      </w:r>
      <w:r>
        <w:rPr>
          <w:sz w:val="18"/>
          <w:vertAlign w:val="baseline"/>
        </w:rPr>
        <w:t>to</w:t>
      </w:r>
      <w:r>
        <w:rPr>
          <w:spacing w:val="-5"/>
          <w:sz w:val="18"/>
          <w:vertAlign w:val="baseline"/>
        </w:rPr>
        <w:t> </w:t>
      </w:r>
      <w:r>
        <w:rPr>
          <w:sz w:val="18"/>
          <w:vertAlign w:val="baseline"/>
        </w:rPr>
        <w:t>Optimize</w:t>
      </w:r>
      <w:r>
        <w:rPr>
          <w:spacing w:val="-3"/>
          <w:sz w:val="18"/>
          <w:vertAlign w:val="baseline"/>
        </w:rPr>
        <w:t> </w:t>
      </w:r>
      <w:r>
        <w:rPr>
          <w:sz w:val="18"/>
          <w:vertAlign w:val="baseline"/>
        </w:rPr>
        <w:t>Health</w:t>
      </w:r>
      <w:r>
        <w:rPr>
          <w:spacing w:val="-2"/>
          <w:sz w:val="18"/>
          <w:vertAlign w:val="baseline"/>
        </w:rPr>
        <w:t> </w:t>
      </w:r>
      <w:r>
        <w:rPr>
          <w:sz w:val="18"/>
          <w:vertAlign w:val="baseline"/>
        </w:rPr>
        <w:t>Among</w:t>
      </w:r>
      <w:r>
        <w:rPr>
          <w:spacing w:val="-3"/>
          <w:sz w:val="18"/>
          <w:vertAlign w:val="baseline"/>
        </w:rPr>
        <w:t> </w:t>
      </w:r>
      <w:r>
        <w:rPr>
          <w:sz w:val="18"/>
          <w:vertAlign w:val="baseline"/>
        </w:rPr>
        <w:t>Youth</w:t>
      </w:r>
      <w:r>
        <w:rPr>
          <w:spacing w:val="-3"/>
          <w:sz w:val="18"/>
          <w:vertAlign w:val="baseline"/>
        </w:rPr>
        <w:t> </w:t>
      </w:r>
      <w:r>
        <w:rPr>
          <w:sz w:val="18"/>
          <w:vertAlign w:val="baseline"/>
        </w:rPr>
        <w:t>Experiencing</w:t>
      </w:r>
      <w:r>
        <w:rPr>
          <w:spacing w:val="-3"/>
          <w:sz w:val="18"/>
          <w:vertAlign w:val="baseline"/>
        </w:rPr>
        <w:t> </w:t>
      </w:r>
      <w:r>
        <w:rPr>
          <w:sz w:val="18"/>
          <w:vertAlign w:val="baseline"/>
        </w:rPr>
        <w:t>Homelessness.”</w:t>
      </w:r>
      <w:r>
        <w:rPr>
          <w:spacing w:val="-3"/>
          <w:sz w:val="18"/>
          <w:vertAlign w:val="baseline"/>
        </w:rPr>
        <w:t> </w:t>
      </w:r>
      <w:r>
        <w:rPr>
          <w:i/>
          <w:sz w:val="18"/>
          <w:vertAlign w:val="baseline"/>
        </w:rPr>
        <w:t>Journal</w:t>
      </w:r>
      <w:r>
        <w:rPr>
          <w:i/>
          <w:spacing w:val="-4"/>
          <w:sz w:val="18"/>
          <w:vertAlign w:val="baseline"/>
        </w:rPr>
        <w:t> </w:t>
      </w:r>
      <w:r>
        <w:rPr>
          <w:i/>
          <w:sz w:val="18"/>
          <w:vertAlign w:val="baseline"/>
        </w:rPr>
        <w:t>of</w:t>
      </w:r>
      <w:r>
        <w:rPr>
          <w:i/>
          <w:spacing w:val="-3"/>
          <w:sz w:val="18"/>
          <w:vertAlign w:val="baseline"/>
        </w:rPr>
        <w:t> </w:t>
      </w:r>
      <w:r>
        <w:rPr>
          <w:i/>
          <w:sz w:val="18"/>
          <w:vertAlign w:val="baseline"/>
        </w:rPr>
        <w:t>Adolescent</w:t>
      </w:r>
      <w:r>
        <w:rPr>
          <w:i/>
          <w:spacing w:val="-4"/>
          <w:sz w:val="18"/>
          <w:vertAlign w:val="baseline"/>
        </w:rPr>
        <w:t> </w:t>
      </w:r>
      <w:r>
        <w:rPr>
          <w:i/>
          <w:sz w:val="18"/>
          <w:vertAlign w:val="baseline"/>
        </w:rPr>
        <w:t>Health</w:t>
      </w:r>
      <w:r>
        <w:rPr>
          <w:i/>
          <w:sz w:val="18"/>
          <w:vertAlign w:val="baseline"/>
        </w:rPr>
        <w:t> </w:t>
      </w:r>
      <w:r>
        <w:rPr>
          <w:sz w:val="18"/>
          <w:vertAlign w:val="baseline"/>
        </w:rPr>
        <w:t>74 (3): S15–16. https://doi.org/10.1016/j.jadohealth.2023.11.223.</w:t>
      </w:r>
    </w:p>
    <w:p>
      <w:pPr>
        <w:spacing w:before="119"/>
        <w:ind w:left="464" w:right="565" w:firstLine="0"/>
        <w:jc w:val="left"/>
        <w:rPr>
          <w:sz w:val="18"/>
        </w:rPr>
      </w:pPr>
      <w:bookmarkStart w:name="_bookmark314" w:id="536"/>
      <w:bookmarkEnd w:id="536"/>
      <w:r>
        <w:rPr/>
      </w:r>
      <w:r>
        <w:rPr>
          <w:sz w:val="18"/>
          <w:vertAlign w:val="superscript"/>
        </w:rPr>
        <w:t>41</w:t>
      </w:r>
      <w:r>
        <w:rPr>
          <w:spacing w:val="-2"/>
          <w:sz w:val="18"/>
          <w:vertAlign w:val="baseline"/>
        </w:rPr>
        <w:t> </w:t>
      </w:r>
      <w:r>
        <w:rPr>
          <w:sz w:val="18"/>
          <w:vertAlign w:val="baseline"/>
        </w:rPr>
        <w:t>Maccio,</w:t>
      </w:r>
      <w:r>
        <w:rPr>
          <w:spacing w:val="-3"/>
          <w:sz w:val="18"/>
          <w:vertAlign w:val="baseline"/>
        </w:rPr>
        <w:t> </w:t>
      </w:r>
      <w:r>
        <w:rPr>
          <w:sz w:val="18"/>
          <w:vertAlign w:val="baseline"/>
        </w:rPr>
        <w:t>Elaine</w:t>
      </w:r>
      <w:r>
        <w:rPr>
          <w:spacing w:val="-2"/>
          <w:sz w:val="18"/>
          <w:vertAlign w:val="baseline"/>
        </w:rPr>
        <w:t> </w:t>
      </w:r>
      <w:r>
        <w:rPr>
          <w:sz w:val="18"/>
          <w:vertAlign w:val="baseline"/>
        </w:rPr>
        <w:t>M.,</w:t>
      </w:r>
      <w:r>
        <w:rPr>
          <w:spacing w:val="-3"/>
          <w:sz w:val="18"/>
          <w:vertAlign w:val="baseline"/>
        </w:rPr>
        <w:t> </w:t>
      </w:r>
      <w:r>
        <w:rPr>
          <w:sz w:val="18"/>
          <w:vertAlign w:val="baseline"/>
        </w:rPr>
        <w:t>and</w:t>
      </w:r>
      <w:r>
        <w:rPr>
          <w:spacing w:val="-2"/>
          <w:sz w:val="18"/>
          <w:vertAlign w:val="baseline"/>
        </w:rPr>
        <w:t> </w:t>
      </w:r>
      <w:r>
        <w:rPr>
          <w:sz w:val="18"/>
          <w:vertAlign w:val="baseline"/>
        </w:rPr>
        <w:t>Kristin</w:t>
      </w:r>
      <w:r>
        <w:rPr>
          <w:spacing w:val="-2"/>
          <w:sz w:val="18"/>
          <w:vertAlign w:val="baseline"/>
        </w:rPr>
        <w:t> </w:t>
      </w:r>
      <w:r>
        <w:rPr>
          <w:sz w:val="18"/>
          <w:vertAlign w:val="baseline"/>
        </w:rPr>
        <w:t>M.</w:t>
      </w:r>
      <w:r>
        <w:rPr>
          <w:spacing w:val="-2"/>
          <w:sz w:val="18"/>
          <w:vertAlign w:val="baseline"/>
        </w:rPr>
        <w:t> </w:t>
      </w:r>
      <w:r>
        <w:rPr>
          <w:sz w:val="18"/>
          <w:vertAlign w:val="baseline"/>
        </w:rPr>
        <w:t>Ferguson.</w:t>
      </w:r>
      <w:r>
        <w:rPr>
          <w:spacing w:val="-2"/>
          <w:sz w:val="18"/>
          <w:vertAlign w:val="baseline"/>
        </w:rPr>
        <w:t> </w:t>
      </w:r>
      <w:r>
        <w:rPr>
          <w:sz w:val="18"/>
          <w:vertAlign w:val="baseline"/>
        </w:rPr>
        <w:t>2016.</w:t>
      </w:r>
      <w:r>
        <w:rPr>
          <w:spacing w:val="-2"/>
          <w:sz w:val="18"/>
          <w:vertAlign w:val="baseline"/>
        </w:rPr>
        <w:t> </w:t>
      </w:r>
      <w:r>
        <w:rPr>
          <w:sz w:val="18"/>
          <w:vertAlign w:val="baseline"/>
        </w:rPr>
        <w:t>“Services</w:t>
      </w:r>
      <w:r>
        <w:rPr>
          <w:spacing w:val="-2"/>
          <w:sz w:val="18"/>
          <w:vertAlign w:val="baseline"/>
        </w:rPr>
        <w:t> </w:t>
      </w:r>
      <w:r>
        <w:rPr>
          <w:sz w:val="18"/>
          <w:vertAlign w:val="baseline"/>
        </w:rPr>
        <w:t>to</w:t>
      </w:r>
      <w:r>
        <w:rPr>
          <w:spacing w:val="-4"/>
          <w:sz w:val="18"/>
          <w:vertAlign w:val="baseline"/>
        </w:rPr>
        <w:t> </w:t>
      </w:r>
      <w:r>
        <w:rPr>
          <w:sz w:val="18"/>
          <w:vertAlign w:val="baseline"/>
        </w:rPr>
        <w:t>LGBTQ</w:t>
      </w:r>
      <w:r>
        <w:rPr>
          <w:spacing w:val="-2"/>
          <w:sz w:val="18"/>
          <w:vertAlign w:val="baseline"/>
        </w:rPr>
        <w:t> </w:t>
      </w:r>
      <w:r>
        <w:rPr>
          <w:sz w:val="18"/>
          <w:vertAlign w:val="baseline"/>
        </w:rPr>
        <w:t>Runaway</w:t>
      </w:r>
      <w:r>
        <w:rPr>
          <w:spacing w:val="-3"/>
          <w:sz w:val="18"/>
          <w:vertAlign w:val="baseline"/>
        </w:rPr>
        <w:t> </w:t>
      </w:r>
      <w:r>
        <w:rPr>
          <w:sz w:val="18"/>
          <w:vertAlign w:val="baseline"/>
        </w:rPr>
        <w:t>and</w:t>
      </w:r>
      <w:r>
        <w:rPr>
          <w:spacing w:val="-2"/>
          <w:sz w:val="18"/>
          <w:vertAlign w:val="baseline"/>
        </w:rPr>
        <w:t> </w:t>
      </w:r>
      <w:r>
        <w:rPr>
          <w:sz w:val="18"/>
          <w:vertAlign w:val="baseline"/>
        </w:rPr>
        <w:t>Homeless</w:t>
      </w:r>
      <w:r>
        <w:rPr>
          <w:spacing w:val="-2"/>
          <w:sz w:val="18"/>
          <w:vertAlign w:val="baseline"/>
        </w:rPr>
        <w:t> </w:t>
      </w:r>
      <w:r>
        <w:rPr>
          <w:sz w:val="18"/>
          <w:vertAlign w:val="baseline"/>
        </w:rPr>
        <w:t>Youth:</w:t>
      </w:r>
      <w:r>
        <w:rPr>
          <w:spacing w:val="-2"/>
          <w:sz w:val="18"/>
          <w:vertAlign w:val="baseline"/>
        </w:rPr>
        <w:t> </w:t>
      </w:r>
      <w:r>
        <w:rPr>
          <w:sz w:val="18"/>
          <w:vertAlign w:val="baseline"/>
        </w:rPr>
        <w:t>Gaps</w:t>
      </w:r>
      <w:r>
        <w:rPr>
          <w:spacing w:val="-2"/>
          <w:sz w:val="18"/>
          <w:vertAlign w:val="baseline"/>
        </w:rPr>
        <w:t> </w:t>
      </w:r>
      <w:r>
        <w:rPr>
          <w:sz w:val="18"/>
          <w:vertAlign w:val="baseline"/>
        </w:rPr>
        <w:t>and Recommendations.” </w:t>
      </w:r>
      <w:r>
        <w:rPr>
          <w:i/>
          <w:sz w:val="18"/>
          <w:vertAlign w:val="baseline"/>
        </w:rPr>
        <w:t>Children and Youth Services Review </w:t>
      </w:r>
      <w:r>
        <w:rPr>
          <w:sz w:val="18"/>
          <w:vertAlign w:val="baseline"/>
        </w:rPr>
        <w:t>63 (April): 47–57. </w:t>
      </w:r>
      <w:r>
        <w:rPr>
          <w:spacing w:val="-2"/>
          <w:sz w:val="18"/>
          <w:vertAlign w:val="baseline"/>
        </w:rPr>
        <w:t>https://doi.org/10.1016/j.childyouth.2016.02.008.</w:t>
      </w:r>
    </w:p>
    <w:p>
      <w:pPr>
        <w:spacing w:before="120"/>
        <w:ind w:left="464" w:right="0" w:firstLine="0"/>
        <w:jc w:val="left"/>
        <w:rPr>
          <w:i/>
          <w:sz w:val="18"/>
        </w:rPr>
      </w:pPr>
      <w:bookmarkStart w:name="_bookmark315" w:id="537"/>
      <w:bookmarkEnd w:id="537"/>
      <w:r>
        <w:rPr/>
      </w:r>
      <w:r>
        <w:rPr>
          <w:sz w:val="18"/>
          <w:vertAlign w:val="superscript"/>
        </w:rPr>
        <w:t>42</w:t>
      </w:r>
      <w:r>
        <w:rPr>
          <w:spacing w:val="-5"/>
          <w:sz w:val="18"/>
          <w:vertAlign w:val="baseline"/>
        </w:rPr>
        <w:t> </w:t>
      </w:r>
      <w:r>
        <w:rPr>
          <w:sz w:val="18"/>
          <w:vertAlign w:val="baseline"/>
        </w:rPr>
        <w:t>Lee,</w:t>
      </w:r>
      <w:r>
        <w:rPr>
          <w:spacing w:val="-4"/>
          <w:sz w:val="18"/>
          <w:vertAlign w:val="baseline"/>
        </w:rPr>
        <w:t> </w:t>
      </w:r>
      <w:r>
        <w:rPr>
          <w:sz w:val="18"/>
          <w:vertAlign w:val="baseline"/>
        </w:rPr>
        <w:t>Leconte.</w:t>
      </w:r>
      <w:r>
        <w:rPr>
          <w:spacing w:val="-3"/>
          <w:sz w:val="18"/>
          <w:vertAlign w:val="baseline"/>
        </w:rPr>
        <w:t> </w:t>
      </w:r>
      <w:r>
        <w:rPr>
          <w:sz w:val="18"/>
          <w:vertAlign w:val="baseline"/>
        </w:rPr>
        <w:t>2023.</w:t>
      </w:r>
      <w:r>
        <w:rPr>
          <w:spacing w:val="-2"/>
          <w:sz w:val="18"/>
          <w:vertAlign w:val="baseline"/>
        </w:rPr>
        <w:t> </w:t>
      </w:r>
      <w:r>
        <w:rPr>
          <w:sz w:val="18"/>
          <w:vertAlign w:val="baseline"/>
        </w:rPr>
        <w:t>“The</w:t>
      </w:r>
      <w:r>
        <w:rPr>
          <w:spacing w:val="-3"/>
          <w:sz w:val="18"/>
          <w:vertAlign w:val="baseline"/>
        </w:rPr>
        <w:t> </w:t>
      </w:r>
      <w:r>
        <w:rPr>
          <w:sz w:val="18"/>
          <w:vertAlign w:val="baseline"/>
        </w:rPr>
        <w:t>Pitfalls</w:t>
      </w:r>
      <w:r>
        <w:rPr>
          <w:spacing w:val="-3"/>
          <w:sz w:val="18"/>
          <w:vertAlign w:val="baseline"/>
        </w:rPr>
        <w:t> </w:t>
      </w:r>
      <w:r>
        <w:rPr>
          <w:sz w:val="18"/>
          <w:vertAlign w:val="baseline"/>
        </w:rPr>
        <w:t>of</w:t>
      </w:r>
      <w:r>
        <w:rPr>
          <w:spacing w:val="-2"/>
          <w:sz w:val="18"/>
          <w:vertAlign w:val="baseline"/>
        </w:rPr>
        <w:t> </w:t>
      </w:r>
      <w:r>
        <w:rPr>
          <w:sz w:val="18"/>
          <w:vertAlign w:val="baseline"/>
        </w:rPr>
        <w:t>HUD’s</w:t>
      </w:r>
      <w:r>
        <w:rPr>
          <w:spacing w:val="-3"/>
          <w:sz w:val="18"/>
          <w:vertAlign w:val="baseline"/>
        </w:rPr>
        <w:t> </w:t>
      </w:r>
      <w:r>
        <w:rPr>
          <w:sz w:val="18"/>
          <w:vertAlign w:val="baseline"/>
        </w:rPr>
        <w:t>Point-in-Time</w:t>
      </w:r>
      <w:r>
        <w:rPr>
          <w:spacing w:val="-3"/>
          <w:sz w:val="18"/>
          <w:vertAlign w:val="baseline"/>
        </w:rPr>
        <w:t> </w:t>
      </w:r>
      <w:r>
        <w:rPr>
          <w:sz w:val="18"/>
          <w:vertAlign w:val="baseline"/>
        </w:rPr>
        <w:t>Count</w:t>
      </w:r>
      <w:r>
        <w:rPr>
          <w:spacing w:val="-3"/>
          <w:sz w:val="18"/>
          <w:vertAlign w:val="baseline"/>
        </w:rPr>
        <w:t> </w:t>
      </w:r>
      <w:r>
        <w:rPr>
          <w:sz w:val="18"/>
          <w:vertAlign w:val="baseline"/>
        </w:rPr>
        <w:t>for</w:t>
      </w:r>
      <w:r>
        <w:rPr>
          <w:spacing w:val="-4"/>
          <w:sz w:val="18"/>
          <w:vertAlign w:val="baseline"/>
        </w:rPr>
        <w:t> </w:t>
      </w:r>
      <w:r>
        <w:rPr>
          <w:sz w:val="18"/>
          <w:vertAlign w:val="baseline"/>
        </w:rPr>
        <w:t>Children,</w:t>
      </w:r>
      <w:r>
        <w:rPr>
          <w:spacing w:val="-4"/>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Families.”</w:t>
      </w:r>
      <w:r>
        <w:rPr>
          <w:spacing w:val="-3"/>
          <w:sz w:val="18"/>
          <w:vertAlign w:val="baseline"/>
        </w:rPr>
        <w:t> </w:t>
      </w:r>
      <w:r>
        <w:rPr>
          <w:i/>
          <w:sz w:val="18"/>
          <w:vertAlign w:val="baseline"/>
        </w:rPr>
        <w:t>SchoolHouse</w:t>
      </w:r>
      <w:r>
        <w:rPr>
          <w:i/>
          <w:spacing w:val="-2"/>
          <w:sz w:val="18"/>
          <w:vertAlign w:val="baseline"/>
        </w:rPr>
        <w:t> Connection</w:t>
      </w:r>
    </w:p>
    <w:p>
      <w:pPr>
        <w:spacing w:before="0"/>
        <w:ind w:left="463" w:right="0" w:firstLine="0"/>
        <w:jc w:val="left"/>
        <w:rPr>
          <w:sz w:val="18"/>
        </w:rPr>
      </w:pPr>
      <w:r>
        <w:rPr>
          <w:spacing w:val="-2"/>
          <w:sz w:val="18"/>
        </w:rPr>
        <w:t>(blog).</w:t>
      </w:r>
      <w:r>
        <w:rPr>
          <w:spacing w:val="34"/>
          <w:sz w:val="18"/>
        </w:rPr>
        <w:t> </w:t>
      </w:r>
      <w:r>
        <w:rPr>
          <w:spacing w:val="-2"/>
          <w:sz w:val="18"/>
        </w:rPr>
        <w:t>December</w:t>
      </w:r>
      <w:r>
        <w:rPr>
          <w:spacing w:val="34"/>
          <w:sz w:val="18"/>
        </w:rPr>
        <w:t> </w:t>
      </w:r>
      <w:r>
        <w:rPr>
          <w:spacing w:val="-2"/>
          <w:sz w:val="18"/>
        </w:rPr>
        <w:t>19,</w:t>
      </w:r>
      <w:r>
        <w:rPr>
          <w:spacing w:val="34"/>
          <w:sz w:val="18"/>
        </w:rPr>
        <w:t> </w:t>
      </w:r>
      <w:r>
        <w:rPr>
          <w:spacing w:val="-2"/>
          <w:sz w:val="18"/>
        </w:rPr>
        <w:t>2023.</w:t>
      </w:r>
      <w:r>
        <w:rPr>
          <w:spacing w:val="37"/>
          <w:sz w:val="18"/>
        </w:rPr>
        <w:t> </w:t>
      </w:r>
      <w:r>
        <w:rPr>
          <w:spacing w:val="-2"/>
          <w:sz w:val="18"/>
        </w:rPr>
        <w:t>https://schoolhouseconnection.org/the-pitfalls-of-huds-point-in-time-count/.</w:t>
      </w:r>
    </w:p>
    <w:p>
      <w:pPr>
        <w:spacing w:after="0"/>
        <w:jc w:val="left"/>
        <w:rPr>
          <w:sz w:val="18"/>
        </w:rPr>
        <w:sectPr>
          <w:headerReference w:type="default" r:id="rId457"/>
          <w:footerReference w:type="default" r:id="rId458"/>
          <w:pgSz w:w="12240" w:h="15840"/>
          <w:pgMar w:header="765" w:footer="1197" w:top="1280" w:bottom="1380" w:left="1120" w:right="1180"/>
        </w:sectPr>
      </w:pPr>
    </w:p>
    <w:p>
      <w:pPr>
        <w:pStyle w:val="BodyText"/>
        <w:rPr>
          <w:sz w:val="34"/>
        </w:rPr>
      </w:pPr>
    </w:p>
    <w:p>
      <w:pPr>
        <w:pStyle w:val="BodyText"/>
        <w:spacing w:before="243"/>
        <w:rPr>
          <w:sz w:val="34"/>
        </w:rPr>
      </w:pPr>
    </w:p>
    <w:p>
      <w:pPr>
        <w:spacing w:line="361" w:lineRule="exact" w:before="1"/>
        <w:ind w:left="674" w:right="0" w:firstLine="0"/>
        <w:jc w:val="left"/>
        <w:rPr>
          <w:sz w:val="34"/>
        </w:rPr>
      </w:pPr>
      <w:bookmarkStart w:name="Flyer Template for Reports Gianna, Theo " w:id="538"/>
      <w:bookmarkEnd w:id="538"/>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spacing w:line="187" w:lineRule="auto" w:before="120"/>
        <w:ind w:left="674" w:right="1403" w:firstLine="0"/>
        <w:jc w:val="left"/>
        <w:rPr>
          <w:rFonts w:ascii="Arial Black"/>
          <w:sz w:val="72"/>
        </w:rPr>
      </w:pPr>
      <w:r>
        <w:rPr>
          <w:rFonts w:ascii="Arial Black"/>
          <w:color w:val="FFFFFF"/>
          <w:spacing w:val="-2"/>
          <w:sz w:val="72"/>
        </w:rPr>
        <w:t>ENDING </w:t>
      </w:r>
      <w:r>
        <w:rPr>
          <w:rFonts w:ascii="Arial Black"/>
          <w:color w:val="FFFFFF"/>
          <w:spacing w:val="-2"/>
          <w:w w:val="90"/>
          <w:sz w:val="72"/>
        </w:rPr>
        <w:t>HOMELESSNESS</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97"/>
        <w:rPr>
          <w:rFonts w:ascii="Arial Black"/>
          <w:sz w:val="20"/>
        </w:rPr>
      </w:pPr>
    </w:p>
    <w:p>
      <w:pPr>
        <w:spacing w:after="0"/>
        <w:rPr>
          <w:rFonts w:ascii="Arial Black"/>
          <w:sz w:val="20"/>
        </w:rPr>
        <w:sectPr>
          <w:headerReference w:type="default" r:id="rId464"/>
          <w:footerReference w:type="default" r:id="rId465"/>
          <w:pgSz w:w="12240" w:h="15840"/>
          <w:pgMar w:header="0" w:footer="0" w:top="0" w:bottom="280" w:left="920" w:right="200"/>
        </w:sectPr>
      </w:pPr>
    </w:p>
    <w:p>
      <w:pPr>
        <w:pStyle w:val="Heading9"/>
        <w:rPr>
          <w:i/>
        </w:rPr>
      </w:pPr>
      <w:r>
        <w:rPr>
          <w:i/>
          <w:spacing w:val="11"/>
          <w:w w:val="125"/>
        </w:rPr>
        <w:t>ABOUT</w:t>
      </w:r>
    </w:p>
    <w:p>
      <w:pPr>
        <w:pStyle w:val="BodyText"/>
        <w:spacing w:line="273" w:lineRule="auto" w:before="212"/>
        <w:ind w:left="323" w:right="38"/>
        <w:jc w:val="both"/>
        <w:rPr>
          <w:rFonts w:ascii="Georgia" w:hAnsi="Georgia"/>
        </w:rPr>
      </w:pPr>
      <w:r>
        <w:rPr>
          <w:rFonts w:ascii="Georgia" w:hAnsi="Georgia"/>
          <w:w w:val="105"/>
        </w:rPr>
        <w:t>LGBTQ</w:t>
      </w:r>
      <w:r>
        <w:rPr>
          <w:rFonts w:ascii="Georgia" w:hAnsi="Georgia"/>
          <w:w w:val="105"/>
        </w:rPr>
        <w:t> youth</w:t>
      </w:r>
      <w:r>
        <w:rPr>
          <w:rFonts w:ascii="Georgia" w:hAnsi="Georgia"/>
          <w:w w:val="105"/>
        </w:rPr>
        <w:t> are</w:t>
      </w:r>
      <w:r>
        <w:rPr>
          <w:rFonts w:ascii="Georgia" w:hAnsi="Georgia"/>
          <w:w w:val="105"/>
        </w:rPr>
        <w:t> disproportionately</w:t>
      </w:r>
      <w:r>
        <w:rPr>
          <w:rFonts w:ascii="Georgia" w:hAnsi="Georgia"/>
          <w:w w:val="105"/>
        </w:rPr>
        <w:t> represented within</w:t>
      </w:r>
      <w:r>
        <w:rPr>
          <w:rFonts w:ascii="Georgia" w:hAnsi="Georgia"/>
          <w:w w:val="105"/>
        </w:rPr>
        <w:t> rates</w:t>
      </w:r>
      <w:r>
        <w:rPr>
          <w:rFonts w:ascii="Georgia" w:hAnsi="Georgia"/>
          <w:w w:val="105"/>
        </w:rPr>
        <w:t> of</w:t>
      </w:r>
      <w:r>
        <w:rPr>
          <w:rFonts w:ascii="Georgia" w:hAnsi="Georgia"/>
          <w:w w:val="105"/>
        </w:rPr>
        <w:t> youth</w:t>
      </w:r>
      <w:r>
        <w:rPr>
          <w:rFonts w:ascii="Georgia" w:hAnsi="Georgia"/>
          <w:w w:val="105"/>
        </w:rPr>
        <w:t> experiencing</w:t>
      </w:r>
      <w:r>
        <w:rPr>
          <w:rFonts w:ascii="Georgia" w:hAnsi="Georgia"/>
          <w:w w:val="105"/>
        </w:rPr>
        <w:t> homelessness. Multiple</w:t>
      </w:r>
      <w:r>
        <w:rPr>
          <w:rFonts w:ascii="Georgia" w:hAnsi="Georgia"/>
          <w:spacing w:val="-5"/>
          <w:w w:val="105"/>
        </w:rPr>
        <w:t> </w:t>
      </w:r>
      <w:r>
        <w:rPr>
          <w:rFonts w:ascii="Georgia" w:hAnsi="Georgia"/>
          <w:w w:val="105"/>
        </w:rPr>
        <w:t>risk</w:t>
      </w:r>
      <w:r>
        <w:rPr>
          <w:rFonts w:ascii="Georgia" w:hAnsi="Georgia"/>
          <w:spacing w:val="-5"/>
          <w:w w:val="105"/>
        </w:rPr>
        <w:t> </w:t>
      </w:r>
      <w:r>
        <w:rPr>
          <w:rFonts w:ascii="Georgia" w:hAnsi="Georgia"/>
          <w:w w:val="105"/>
        </w:rPr>
        <w:t>factors</w:t>
      </w:r>
      <w:r>
        <w:rPr>
          <w:rFonts w:ascii="Georgia" w:hAnsi="Georgia"/>
          <w:spacing w:val="-5"/>
          <w:w w:val="105"/>
        </w:rPr>
        <w:t> </w:t>
      </w:r>
      <w:r>
        <w:rPr>
          <w:rFonts w:ascii="Georgia" w:hAnsi="Georgia"/>
          <w:w w:val="105"/>
        </w:rPr>
        <w:t>contribute</w:t>
      </w:r>
      <w:r>
        <w:rPr>
          <w:rFonts w:ascii="Georgia" w:hAnsi="Georgia"/>
          <w:spacing w:val="-5"/>
          <w:w w:val="105"/>
        </w:rPr>
        <w:t> </w:t>
      </w:r>
      <w:r>
        <w:rPr>
          <w:rFonts w:ascii="Georgia" w:hAnsi="Georgia"/>
          <w:w w:val="105"/>
        </w:rPr>
        <w:t>to</w:t>
      </w:r>
      <w:r>
        <w:rPr>
          <w:rFonts w:ascii="Georgia" w:hAnsi="Georgia"/>
          <w:spacing w:val="-5"/>
          <w:w w:val="105"/>
        </w:rPr>
        <w:t> </w:t>
      </w:r>
      <w:r>
        <w:rPr>
          <w:rFonts w:ascii="Georgia" w:hAnsi="Georgia"/>
          <w:w w:val="105"/>
        </w:rPr>
        <w:t>LGBTQ</w:t>
      </w:r>
      <w:r>
        <w:rPr>
          <w:rFonts w:ascii="Georgia" w:hAnsi="Georgia"/>
          <w:spacing w:val="-5"/>
          <w:w w:val="105"/>
        </w:rPr>
        <w:t> </w:t>
      </w:r>
      <w:r>
        <w:rPr>
          <w:rFonts w:ascii="Georgia" w:hAnsi="Georgia"/>
          <w:w w:val="105"/>
        </w:rPr>
        <w:t>youth’s experience</w:t>
      </w:r>
      <w:r>
        <w:rPr>
          <w:rFonts w:ascii="Georgia" w:hAnsi="Georgia"/>
          <w:w w:val="105"/>
        </w:rPr>
        <w:t> of</w:t>
      </w:r>
      <w:r>
        <w:rPr>
          <w:rFonts w:ascii="Georgia" w:hAnsi="Georgia"/>
          <w:w w:val="105"/>
        </w:rPr>
        <w:t> higher</w:t>
      </w:r>
      <w:r>
        <w:rPr>
          <w:rFonts w:ascii="Georgia" w:hAnsi="Georgia"/>
          <w:w w:val="105"/>
        </w:rPr>
        <w:t> rates</w:t>
      </w:r>
      <w:r>
        <w:rPr>
          <w:rFonts w:ascii="Georgia" w:hAnsi="Georgia"/>
          <w:w w:val="105"/>
        </w:rPr>
        <w:t> of</w:t>
      </w:r>
      <w:r>
        <w:rPr>
          <w:rFonts w:ascii="Georgia" w:hAnsi="Georgia"/>
          <w:w w:val="105"/>
        </w:rPr>
        <w:t> homelessness,</w:t>
      </w:r>
      <w:r>
        <w:rPr>
          <w:rFonts w:ascii="Georgia" w:hAnsi="Georgia"/>
          <w:w w:val="105"/>
        </w:rPr>
        <w:t> such as</w:t>
      </w:r>
      <w:r>
        <w:rPr>
          <w:rFonts w:ascii="Georgia" w:hAnsi="Georgia"/>
          <w:w w:val="105"/>
        </w:rPr>
        <w:t> family</w:t>
      </w:r>
      <w:r>
        <w:rPr>
          <w:rFonts w:ascii="Georgia" w:hAnsi="Georgia"/>
          <w:w w:val="105"/>
        </w:rPr>
        <w:t> rejection,</w:t>
      </w:r>
      <w:r>
        <w:rPr>
          <w:rFonts w:ascii="Georgia" w:hAnsi="Georgia"/>
          <w:w w:val="105"/>
        </w:rPr>
        <w:t> abandonment</w:t>
      </w:r>
      <w:r>
        <w:rPr>
          <w:rFonts w:ascii="Georgia" w:hAnsi="Georgia"/>
          <w:w w:val="105"/>
        </w:rPr>
        <w:t> and</w:t>
      </w:r>
      <w:r>
        <w:rPr>
          <w:rFonts w:ascii="Georgia" w:hAnsi="Georgia"/>
          <w:w w:val="105"/>
        </w:rPr>
        <w:t> conflict, poverty,</w:t>
      </w:r>
      <w:r>
        <w:rPr>
          <w:rFonts w:ascii="Georgia" w:hAnsi="Georgia"/>
          <w:w w:val="105"/>
        </w:rPr>
        <w:t> medical</w:t>
      </w:r>
      <w:r>
        <w:rPr>
          <w:rFonts w:ascii="Georgia" w:hAnsi="Georgia"/>
          <w:w w:val="105"/>
        </w:rPr>
        <w:t> and</w:t>
      </w:r>
      <w:r>
        <w:rPr>
          <w:rFonts w:ascii="Georgia" w:hAnsi="Georgia"/>
          <w:w w:val="105"/>
        </w:rPr>
        <w:t> mental</w:t>
      </w:r>
      <w:r>
        <w:rPr>
          <w:rFonts w:ascii="Georgia" w:hAnsi="Georgia"/>
          <w:w w:val="105"/>
        </w:rPr>
        <w:t> health</w:t>
      </w:r>
      <w:r>
        <w:rPr>
          <w:rFonts w:ascii="Georgia" w:hAnsi="Georgia"/>
          <w:w w:val="105"/>
        </w:rPr>
        <w:t> difficulties, discrimination, and racism.</w:t>
      </w:r>
    </w:p>
    <w:p>
      <w:pPr>
        <w:spacing w:before="90"/>
        <w:ind w:left="1650" w:right="0" w:firstLine="0"/>
        <w:jc w:val="left"/>
        <w:rPr>
          <w:rFonts w:ascii="Arial Black"/>
          <w:sz w:val="75"/>
        </w:rPr>
      </w:pPr>
      <w:r>
        <w:rPr/>
        <w:br w:type="column"/>
      </w:r>
      <w:r>
        <w:rPr>
          <w:rFonts w:ascii="Arial Black"/>
          <w:emboss/>
          <w:color w:val="F4B648"/>
          <w:spacing w:val="19"/>
          <w:sz w:val="75"/>
        </w:rPr>
        <w:t>30%</w:t>
      </w:r>
    </w:p>
    <w:p>
      <w:pPr>
        <w:spacing w:line="271" w:lineRule="auto" w:before="11"/>
        <w:ind w:left="511" w:right="852" w:hanging="1"/>
        <w:jc w:val="center"/>
        <w:rPr>
          <w:rFonts w:ascii="Georgia"/>
          <w:sz w:val="26"/>
        </w:rPr>
      </w:pPr>
      <w:r>
        <w:rPr>
          <w:rFonts w:ascii="Georgia"/>
          <w:sz w:val="26"/>
        </w:rPr>
        <w:t>of Massachusetts youth experiencing homelessness identify as LGBTQ+</w:t>
      </w:r>
    </w:p>
    <w:p>
      <w:pPr>
        <w:pStyle w:val="Heading4"/>
        <w:spacing w:before="274"/>
        <w:ind w:left="1768"/>
      </w:pPr>
      <w:r>
        <w:rPr>
          <w:emboss/>
          <w:color w:val="F4B648"/>
          <w:spacing w:val="19"/>
          <w:w w:val="85"/>
        </w:rPr>
        <w:t>12%</w:t>
      </w:r>
    </w:p>
    <w:p>
      <w:pPr>
        <w:spacing w:line="271" w:lineRule="auto" w:before="94"/>
        <w:ind w:left="0" w:right="551" w:firstLine="0"/>
        <w:jc w:val="center"/>
        <w:rPr>
          <w:rFonts w:ascii="Georgia"/>
          <w:sz w:val="26"/>
        </w:rPr>
      </w:pPr>
      <w:r>
        <w:rPr/>
        <mc:AlternateContent>
          <mc:Choice Requires="wps">
            <w:drawing>
              <wp:anchor distT="0" distB="0" distL="0" distR="0" allowOverlap="1" layoutInCell="1" locked="0" behindDoc="1" simplePos="0" relativeHeight="482622464">
                <wp:simplePos x="0" y="0"/>
                <wp:positionH relativeFrom="page">
                  <wp:posOffset>655211</wp:posOffset>
                </wp:positionH>
                <wp:positionV relativeFrom="paragraph">
                  <wp:posOffset>126716</wp:posOffset>
                </wp:positionV>
                <wp:extent cx="3475990" cy="2472690"/>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3475990" cy="2472690"/>
                          <a:chExt cx="3475990" cy="2472690"/>
                        </a:xfrm>
                      </wpg:grpSpPr>
                      <pic:pic>
                        <pic:nvPicPr>
                          <pic:cNvPr id="377" name="Image 377"/>
                          <pic:cNvPicPr/>
                        </pic:nvPicPr>
                        <pic:blipFill>
                          <a:blip r:embed="rId466" cstate="print"/>
                          <a:stretch>
                            <a:fillRect/>
                          </a:stretch>
                        </pic:blipFill>
                        <pic:spPr>
                          <a:xfrm>
                            <a:off x="0" y="0"/>
                            <a:ext cx="3475728" cy="2472295"/>
                          </a:xfrm>
                          <a:prstGeom prst="rect">
                            <a:avLst/>
                          </a:prstGeom>
                        </pic:spPr>
                      </pic:pic>
                      <wps:wsp>
                        <wps:cNvPr id="378" name="Textbox 378"/>
                        <wps:cNvSpPr txBox="1"/>
                        <wps:spPr>
                          <a:xfrm>
                            <a:off x="121801" y="77509"/>
                            <a:ext cx="3283585" cy="1450975"/>
                          </a:xfrm>
                          <a:prstGeom prst="rect">
                            <a:avLst/>
                          </a:prstGeom>
                        </wps:spPr>
                        <wps:txbx>
                          <w:txbxContent>
                            <w:p>
                              <w:pPr>
                                <w:spacing w:before="26"/>
                                <w:ind w:left="20" w:right="0" w:firstLine="0"/>
                                <w:jc w:val="left"/>
                                <w:rPr>
                                  <w:b/>
                                  <w:i/>
                                  <w:sz w:val="34"/>
                                </w:rPr>
                              </w:pPr>
                              <w:r>
                                <w:rPr>
                                  <w:b/>
                                  <w:i/>
                                  <w:spacing w:val="13"/>
                                  <w:w w:val="125"/>
                                  <w:sz w:val="34"/>
                                </w:rPr>
                                <w:t>RECOMMENDATIONS</w:t>
                              </w:r>
                            </w:p>
                            <w:p>
                              <w:pPr>
                                <w:spacing w:line="264" w:lineRule="auto" w:before="119"/>
                                <w:ind w:left="866" w:right="0" w:firstLine="0"/>
                                <w:jc w:val="left"/>
                                <w:rPr>
                                  <w:rFonts w:ascii="Georgia"/>
                                  <w:sz w:val="21"/>
                                </w:rPr>
                              </w:pPr>
                              <w:r>
                                <w:rPr>
                                  <w:rFonts w:ascii="Georgia"/>
                                  <w:sz w:val="21"/>
                                </w:rPr>
                                <w:t>Improve access to state IDs for youth experiencing homelessness and gender expansive youth.</w:t>
                              </w:r>
                            </w:p>
                            <w:p>
                              <w:pPr>
                                <w:spacing w:line="240" w:lineRule="auto" w:before="173"/>
                                <w:rPr>
                                  <w:rFonts w:ascii="Georgia"/>
                                  <w:sz w:val="21"/>
                                </w:rPr>
                              </w:pPr>
                            </w:p>
                            <w:p>
                              <w:pPr>
                                <w:spacing w:line="264" w:lineRule="auto" w:before="1"/>
                                <w:ind w:left="866" w:right="0" w:firstLine="0"/>
                                <w:jc w:val="left"/>
                                <w:rPr>
                                  <w:rFonts w:ascii="Georgia"/>
                                  <w:sz w:val="21"/>
                                </w:rPr>
                              </w:pPr>
                              <w:r>
                                <w:rPr>
                                  <w:rFonts w:ascii="Georgia"/>
                                  <w:sz w:val="21"/>
                                </w:rPr>
                                <w:t>Increase safe places and community centers for LGBTQ youth experiencing homelessness.</w:t>
                              </w:r>
                            </w:p>
                          </w:txbxContent>
                        </wps:txbx>
                        <wps:bodyPr wrap="square" lIns="0" tIns="0" rIns="0" bIns="0" rtlCol="0">
                          <a:noAutofit/>
                        </wps:bodyPr>
                      </wps:wsp>
                      <wps:wsp>
                        <wps:cNvPr id="379" name="Textbox 379"/>
                        <wps:cNvSpPr txBox="1"/>
                        <wps:spPr>
                          <a:xfrm>
                            <a:off x="659324" y="1864598"/>
                            <a:ext cx="2720340" cy="345440"/>
                          </a:xfrm>
                          <a:prstGeom prst="rect">
                            <a:avLst/>
                          </a:prstGeom>
                        </wps:spPr>
                        <wps:txbx>
                          <w:txbxContent>
                            <w:p>
                              <w:pPr>
                                <w:spacing w:line="264" w:lineRule="auto" w:before="18"/>
                                <w:ind w:left="20" w:right="38" w:firstLine="0"/>
                                <w:jc w:val="left"/>
                                <w:rPr>
                                  <w:rFonts w:ascii="Georgia"/>
                                  <w:sz w:val="21"/>
                                </w:rPr>
                              </w:pPr>
                              <w:r>
                                <w:rPr>
                                  <w:rFonts w:ascii="Georgia"/>
                                  <w:sz w:val="21"/>
                                </w:rPr>
                                <w:t>Codify a bill of rights for people experiencing </w:t>
                              </w:r>
                              <w:r>
                                <w:rPr>
                                  <w:rFonts w:ascii="Georgia"/>
                                  <w:spacing w:val="-2"/>
                                  <w:sz w:val="21"/>
                                </w:rPr>
                                <w:t>homelessness.</w:t>
                              </w:r>
                            </w:p>
                          </w:txbxContent>
                        </wps:txbx>
                        <wps:bodyPr wrap="square" lIns="0" tIns="0" rIns="0" bIns="0" rtlCol="0">
                          <a:noAutofit/>
                        </wps:bodyPr>
                      </wps:wsp>
                    </wpg:wgp>
                  </a:graphicData>
                </a:graphic>
              </wp:anchor>
            </w:drawing>
          </mc:Choice>
          <mc:Fallback>
            <w:pict>
              <v:group style="position:absolute;margin-left:51.591454pt;margin-top:9.977638pt;width:273.7pt;height:194.7pt;mso-position-horizontal-relative:page;mso-position-vertical-relative:paragraph;z-index:-20694016" id="docshapegroup300" coordorigin="1032,200" coordsize="5474,3894">
                <v:shape style="position:absolute;left:1031;top:199;width:5474;height:3894" type="#_x0000_t75" id="docshape301" stroked="false">
                  <v:imagedata r:id="rId466" o:title=""/>
                </v:shape>
                <v:shape style="position:absolute;left:1223;top:321;width:5171;height:2285" type="#_x0000_t202" id="docshape302" filled="false" stroked="false">
                  <v:textbox inset="0,0,0,0">
                    <w:txbxContent>
                      <w:p>
                        <w:pPr>
                          <w:spacing w:before="26"/>
                          <w:ind w:left="20" w:right="0" w:firstLine="0"/>
                          <w:jc w:val="left"/>
                          <w:rPr>
                            <w:b/>
                            <w:i/>
                            <w:sz w:val="34"/>
                          </w:rPr>
                        </w:pPr>
                        <w:r>
                          <w:rPr>
                            <w:b/>
                            <w:i/>
                            <w:spacing w:val="13"/>
                            <w:w w:val="125"/>
                            <w:sz w:val="34"/>
                          </w:rPr>
                          <w:t>RECOMMENDATIONS</w:t>
                        </w:r>
                      </w:p>
                      <w:p>
                        <w:pPr>
                          <w:spacing w:line="264" w:lineRule="auto" w:before="119"/>
                          <w:ind w:left="866" w:right="0" w:firstLine="0"/>
                          <w:jc w:val="left"/>
                          <w:rPr>
                            <w:rFonts w:ascii="Georgia"/>
                            <w:sz w:val="21"/>
                          </w:rPr>
                        </w:pPr>
                        <w:r>
                          <w:rPr>
                            <w:rFonts w:ascii="Georgia"/>
                            <w:sz w:val="21"/>
                          </w:rPr>
                          <w:t>Improve access to state IDs for youth experiencing homelessness and gender expansive youth.</w:t>
                        </w:r>
                      </w:p>
                      <w:p>
                        <w:pPr>
                          <w:spacing w:line="240" w:lineRule="auto" w:before="173"/>
                          <w:rPr>
                            <w:rFonts w:ascii="Georgia"/>
                            <w:sz w:val="21"/>
                          </w:rPr>
                        </w:pPr>
                      </w:p>
                      <w:p>
                        <w:pPr>
                          <w:spacing w:line="264" w:lineRule="auto" w:before="1"/>
                          <w:ind w:left="866" w:right="0" w:firstLine="0"/>
                          <w:jc w:val="left"/>
                          <w:rPr>
                            <w:rFonts w:ascii="Georgia"/>
                            <w:sz w:val="21"/>
                          </w:rPr>
                        </w:pPr>
                        <w:r>
                          <w:rPr>
                            <w:rFonts w:ascii="Georgia"/>
                            <w:sz w:val="21"/>
                          </w:rPr>
                          <w:t>Increase safe places and community centers for LGBTQ youth experiencing homelessness.</w:t>
                        </w:r>
                      </w:p>
                    </w:txbxContent>
                  </v:textbox>
                  <w10:wrap type="none"/>
                </v:shape>
                <v:shape style="position:absolute;left:2070;top:3135;width:4284;height:544" type="#_x0000_t202" id="docshape303" filled="false" stroked="false">
                  <v:textbox inset="0,0,0,0">
                    <w:txbxContent>
                      <w:p>
                        <w:pPr>
                          <w:spacing w:line="264" w:lineRule="auto" w:before="18"/>
                          <w:ind w:left="20" w:right="38" w:firstLine="0"/>
                          <w:jc w:val="left"/>
                          <w:rPr>
                            <w:rFonts w:ascii="Georgia"/>
                            <w:sz w:val="21"/>
                          </w:rPr>
                        </w:pPr>
                        <w:r>
                          <w:rPr>
                            <w:rFonts w:ascii="Georgia"/>
                            <w:sz w:val="21"/>
                          </w:rPr>
                          <w:t>Codify a bill of rights for people experiencing </w:t>
                        </w:r>
                        <w:r>
                          <w:rPr>
                            <w:rFonts w:ascii="Georgia"/>
                            <w:spacing w:val="-2"/>
                            <w:sz w:val="21"/>
                          </w:rPr>
                          <w:t>homelessness.</w:t>
                        </w:r>
                      </w:p>
                    </w:txbxContent>
                  </v:textbox>
                  <w10:wrap type="none"/>
                </v:shape>
                <w10:wrap type="none"/>
              </v:group>
            </w:pict>
          </mc:Fallback>
        </mc:AlternateContent>
      </w:r>
      <w:r>
        <w:rPr>
          <w:rFonts w:ascii="Georgia"/>
          <w:sz w:val="26"/>
        </w:rPr>
        <w:t>LGBTQ</w:t>
      </w:r>
      <w:r>
        <w:rPr>
          <w:rFonts w:ascii="Georgia"/>
          <w:spacing w:val="-5"/>
          <w:sz w:val="26"/>
        </w:rPr>
        <w:t> </w:t>
      </w:r>
      <w:r>
        <w:rPr>
          <w:rFonts w:ascii="Georgia"/>
          <w:sz w:val="26"/>
        </w:rPr>
        <w:t>youth</w:t>
      </w:r>
      <w:r>
        <w:rPr>
          <w:rFonts w:ascii="Georgia"/>
          <w:spacing w:val="-5"/>
          <w:sz w:val="26"/>
        </w:rPr>
        <w:t> </w:t>
      </w:r>
      <w:r>
        <w:rPr>
          <w:rFonts w:ascii="Georgia"/>
          <w:sz w:val="26"/>
        </w:rPr>
        <w:t>reported</w:t>
      </w:r>
      <w:r>
        <w:rPr>
          <w:rFonts w:ascii="Georgia"/>
          <w:spacing w:val="-5"/>
          <w:sz w:val="26"/>
        </w:rPr>
        <w:t> </w:t>
      </w:r>
      <w:r>
        <w:rPr>
          <w:rFonts w:ascii="Georgia"/>
          <w:sz w:val="26"/>
        </w:rPr>
        <w:t>sleeping</w:t>
      </w:r>
      <w:r>
        <w:rPr>
          <w:rFonts w:ascii="Georgia"/>
          <w:spacing w:val="-5"/>
          <w:sz w:val="26"/>
        </w:rPr>
        <w:t> </w:t>
      </w:r>
      <w:r>
        <w:rPr>
          <w:rFonts w:ascii="Georgia"/>
          <w:sz w:val="26"/>
        </w:rPr>
        <w:t>in</w:t>
      </w:r>
      <w:r>
        <w:rPr>
          <w:rFonts w:ascii="Georgia"/>
          <w:spacing w:val="-5"/>
          <w:sz w:val="26"/>
        </w:rPr>
        <w:t> </w:t>
      </w:r>
      <w:r>
        <w:rPr>
          <w:rFonts w:ascii="Georgia"/>
          <w:sz w:val="26"/>
        </w:rPr>
        <w:t>an unsheltered location</w:t>
      </w:r>
    </w:p>
    <w:p>
      <w:pPr>
        <w:pStyle w:val="BodyText"/>
        <w:rPr>
          <w:rFonts w:ascii="Georgia"/>
          <w:sz w:val="20"/>
        </w:rPr>
      </w:pPr>
    </w:p>
    <w:p>
      <w:pPr>
        <w:pStyle w:val="BodyText"/>
        <w:rPr>
          <w:rFonts w:ascii="Georgia"/>
          <w:sz w:val="20"/>
        </w:rPr>
      </w:pPr>
      <w:r>
        <w:rPr/>
        <mc:AlternateContent>
          <mc:Choice Requires="wps">
            <w:drawing>
              <wp:anchor distT="0" distB="0" distL="0" distR="0" allowOverlap="1" layoutInCell="1" locked="0" behindDoc="1" simplePos="0" relativeHeight="487658496">
                <wp:simplePos x="0" y="0"/>
                <wp:positionH relativeFrom="page">
                  <wp:posOffset>4332640</wp:posOffset>
                </wp:positionH>
                <wp:positionV relativeFrom="paragraph">
                  <wp:posOffset>159613</wp:posOffset>
                </wp:positionV>
                <wp:extent cx="2773680" cy="127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2773680" cy="1270"/>
                        </a:xfrm>
                        <a:custGeom>
                          <a:avLst/>
                          <a:gdLst/>
                          <a:ahLst/>
                          <a:cxnLst/>
                          <a:rect l="l" t="t" r="r" b="b"/>
                          <a:pathLst>
                            <a:path w="2773680" h="0">
                              <a:moveTo>
                                <a:pt x="0" y="0"/>
                              </a:moveTo>
                              <a:lnTo>
                                <a:pt x="2773600" y="0"/>
                              </a:lnTo>
                            </a:path>
                          </a:pathLst>
                        </a:custGeom>
                        <a:ln w="28574">
                          <a:solidFill>
                            <a:srgbClr val="F4B648"/>
                          </a:solidFill>
                          <a:prstDash val="sysDash"/>
                        </a:ln>
                      </wps:spPr>
                      <wps:bodyPr wrap="square" lIns="0" tIns="0" rIns="0" bIns="0" rtlCol="0">
                        <a:prstTxWarp prst="textNoShape">
                          <a:avLst/>
                        </a:prstTxWarp>
                        <a:noAutofit/>
                      </wps:bodyPr>
                    </wps:wsp>
                  </a:graphicData>
                </a:graphic>
              </wp:anchor>
            </w:drawing>
          </mc:Choice>
          <mc:Fallback>
            <w:pict>
              <v:shape style="position:absolute;margin-left:341.152832pt;margin-top:12.568025pt;width:218.4pt;height:.1pt;mso-position-horizontal-relative:page;mso-position-vertical-relative:paragraph;z-index:-15657984;mso-wrap-distance-left:0;mso-wrap-distance-right:0" id="docshape304" coordorigin="6823,251" coordsize="4368,0" path="m6823,251l11191,251e" filled="false" stroked="true" strokeweight="2.25pt" strokecolor="#f4b648">
                <v:path arrowok="t"/>
                <v:stroke dashstyle="shortdash"/>
                <w10:wrap type="topAndBottom"/>
              </v:shape>
            </w:pict>
          </mc:Fallback>
        </mc:AlternateContent>
      </w:r>
    </w:p>
    <w:p>
      <w:pPr>
        <w:pStyle w:val="Heading4"/>
        <w:spacing w:before="24"/>
        <w:ind w:left="1637"/>
      </w:pPr>
      <w:r>
        <w:rPr>
          <w:emboss/>
          <w:color w:val="F4B648"/>
          <w:spacing w:val="19"/>
        </w:rPr>
        <w:t>60%</w:t>
      </w:r>
    </w:p>
    <w:p>
      <w:pPr>
        <w:spacing w:line="271" w:lineRule="auto" w:before="11"/>
        <w:ind w:left="0" w:right="551" w:firstLine="0"/>
        <w:jc w:val="center"/>
        <w:rPr>
          <w:rFonts w:ascii="Georgia"/>
          <w:sz w:val="26"/>
        </w:rPr>
      </w:pPr>
      <w:r>
        <w:rPr>
          <w:rFonts w:ascii="Georgia"/>
          <w:sz w:val="26"/>
        </w:rPr>
        <w:t>of Massachusetts youth experiencing homelessness identify as BIPOC</w:t>
      </w:r>
    </w:p>
    <w:p>
      <w:pPr>
        <w:spacing w:after="0" w:line="271" w:lineRule="auto"/>
        <w:jc w:val="center"/>
        <w:rPr>
          <w:rFonts w:ascii="Georgia"/>
          <w:sz w:val="26"/>
        </w:rPr>
        <w:sectPr>
          <w:type w:val="continuous"/>
          <w:pgSz w:w="12240" w:h="15840"/>
          <w:pgMar w:header="0" w:footer="0" w:top="1420" w:bottom="280" w:left="920" w:right="200"/>
          <w:cols w:num="2" w:equalWidth="0">
            <w:col w:w="5433" w:space="173"/>
            <w:col w:w="5514"/>
          </w:cols>
        </w:sectPr>
      </w:pPr>
    </w:p>
    <w:p>
      <w:pPr>
        <w:pStyle w:val="BodyText"/>
        <w:rPr>
          <w:rFonts w:ascii="Georgia"/>
          <w:sz w:val="20"/>
        </w:rPr>
      </w:pPr>
      <w:r>
        <w:rPr/>
        <mc:AlternateContent>
          <mc:Choice Requires="wps">
            <w:drawing>
              <wp:anchor distT="0" distB="0" distL="0" distR="0" allowOverlap="1" layoutInCell="1" locked="0" behindDoc="1" simplePos="0" relativeHeight="482621952">
                <wp:simplePos x="0" y="0"/>
                <wp:positionH relativeFrom="page">
                  <wp:posOffset>0</wp:posOffset>
                </wp:positionH>
                <wp:positionV relativeFrom="page">
                  <wp:posOffset>0</wp:posOffset>
                </wp:positionV>
                <wp:extent cx="7772400" cy="5227320"/>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7772400" cy="5227320"/>
                          <a:chExt cx="7772400" cy="5227320"/>
                        </a:xfrm>
                      </wpg:grpSpPr>
                      <pic:pic>
                        <pic:nvPicPr>
                          <pic:cNvPr id="382" name="Image 382"/>
                          <pic:cNvPicPr/>
                        </pic:nvPicPr>
                        <pic:blipFill>
                          <a:blip r:embed="rId467" cstate="print"/>
                          <a:stretch>
                            <a:fillRect/>
                          </a:stretch>
                        </pic:blipFill>
                        <pic:spPr>
                          <a:xfrm>
                            <a:off x="0" y="0"/>
                            <a:ext cx="7772400" cy="3082917"/>
                          </a:xfrm>
                          <a:prstGeom prst="rect">
                            <a:avLst/>
                          </a:prstGeom>
                        </pic:spPr>
                      </pic:pic>
                      <pic:pic>
                        <pic:nvPicPr>
                          <pic:cNvPr id="383" name="Image 383"/>
                          <pic:cNvPicPr/>
                        </pic:nvPicPr>
                        <pic:blipFill>
                          <a:blip r:embed="rId98" cstate="print"/>
                          <a:stretch>
                            <a:fillRect/>
                          </a:stretch>
                        </pic:blipFill>
                        <pic:spPr>
                          <a:xfrm>
                            <a:off x="4978373" y="735420"/>
                            <a:ext cx="1480888" cy="1480632"/>
                          </a:xfrm>
                          <a:prstGeom prst="rect">
                            <a:avLst/>
                          </a:prstGeom>
                        </pic:spPr>
                      </pic:pic>
                      <wps:wsp>
                        <wps:cNvPr id="384" name="Graphic 384"/>
                        <wps:cNvSpPr/>
                        <wps:spPr>
                          <a:xfrm>
                            <a:off x="4964628" y="721666"/>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pic:pic>
                        <pic:nvPicPr>
                          <pic:cNvPr id="385" name="Image 385"/>
                          <pic:cNvPicPr/>
                        </pic:nvPicPr>
                        <pic:blipFill>
                          <a:blip r:embed="rId468" cstate="print"/>
                          <a:stretch>
                            <a:fillRect/>
                          </a:stretch>
                        </pic:blipFill>
                        <pic:spPr>
                          <a:xfrm>
                            <a:off x="655211" y="2933568"/>
                            <a:ext cx="3475544" cy="2293142"/>
                          </a:xfrm>
                          <a:prstGeom prst="rect">
                            <a:avLst/>
                          </a:prstGeom>
                        </pic:spPr>
                      </pic:pic>
                      <wps:wsp>
                        <wps:cNvPr id="386" name="Graphic 386"/>
                        <wps:cNvSpPr/>
                        <wps:spPr>
                          <a:xfrm>
                            <a:off x="4332640" y="4377995"/>
                            <a:ext cx="2773680" cy="1270"/>
                          </a:xfrm>
                          <a:custGeom>
                            <a:avLst/>
                            <a:gdLst/>
                            <a:ahLst/>
                            <a:cxnLst/>
                            <a:rect l="l" t="t" r="r" b="b"/>
                            <a:pathLst>
                              <a:path w="2773680" h="0">
                                <a:moveTo>
                                  <a:pt x="0" y="0"/>
                                </a:moveTo>
                                <a:lnTo>
                                  <a:pt x="2773600" y="0"/>
                                </a:lnTo>
                              </a:path>
                            </a:pathLst>
                          </a:custGeom>
                          <a:ln w="28574">
                            <a:solidFill>
                              <a:srgbClr val="F4B648"/>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000003pt;margin-top:.000017pt;width:612pt;height:411.6pt;mso-position-horizontal-relative:page;mso-position-vertical-relative:page;z-index:-20694528" id="docshapegroup305" coordorigin="0,0" coordsize="12240,8232">
                <v:shape style="position:absolute;left:0;top:0;width:12240;height:4855" type="#_x0000_t75" id="docshape306" stroked="false">
                  <v:imagedata r:id="rId467" o:title=""/>
                </v:shape>
                <v:shape style="position:absolute;left:7839;top:1158;width:2333;height:2332" type="#_x0000_t75" id="docshape307" stroked="false">
                  <v:imagedata r:id="rId98" o:title=""/>
                </v:shape>
                <v:shape style="position:absolute;left:7818;top:1136;width:2375;height:2375" id="docshape308"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74;height:3612" type="#_x0000_t75" id="docshape309" stroked="false">
                  <v:imagedata r:id="rId468" o:title=""/>
                </v:shape>
                <v:line style="position:absolute" from="6823,6894" to="11191,6894" stroked="true" strokeweight="2.25pt" strokecolor="#f4b648">
                  <v:stroke dashstyle="shortdash"/>
                </v:line>
                <w10:wrap type="none"/>
              </v:group>
            </w:pict>
          </mc:Fallback>
        </mc:AlternateContent>
      </w:r>
    </w:p>
    <w:p>
      <w:pPr>
        <w:pStyle w:val="BodyText"/>
        <w:rPr>
          <w:rFonts w:ascii="Georgia"/>
          <w:sz w:val="20"/>
        </w:rPr>
      </w:pPr>
    </w:p>
    <w:p>
      <w:pPr>
        <w:pStyle w:val="BodyText"/>
        <w:spacing w:before="131"/>
        <w:rPr>
          <w:rFonts w:ascii="Georgia"/>
          <w:sz w:val="20"/>
        </w:rPr>
      </w:pPr>
    </w:p>
    <w:p>
      <w:pPr>
        <w:tabs>
          <w:tab w:pos="6845" w:val="left" w:leader="none"/>
        </w:tabs>
        <w:spacing w:line="240" w:lineRule="auto"/>
        <w:ind w:left="121" w:right="0" w:firstLine="0"/>
        <w:rPr>
          <w:rFonts w:ascii="Georgia"/>
          <w:sz w:val="20"/>
        </w:rPr>
      </w:pPr>
      <w:r>
        <w:rPr>
          <w:rFonts w:ascii="Georgia"/>
          <w:position w:val="64"/>
          <w:sz w:val="20"/>
        </w:rPr>
        <mc:AlternateContent>
          <mc:Choice Requires="wps">
            <w:drawing>
              <wp:inline distT="0" distB="0" distL="0" distR="0">
                <wp:extent cx="3469640" cy="1466215"/>
                <wp:effectExtent l="0" t="0" r="0" b="634"/>
                <wp:docPr id="387" name="Group 387"/>
                <wp:cNvGraphicFramePr>
                  <a:graphicFrameLocks/>
                </wp:cNvGraphicFramePr>
                <a:graphic>
                  <a:graphicData uri="http://schemas.microsoft.com/office/word/2010/wordprocessingGroup">
                    <wpg:wgp>
                      <wpg:cNvPr id="387" name="Group 387"/>
                      <wpg:cNvGrpSpPr/>
                      <wpg:grpSpPr>
                        <a:xfrm>
                          <a:off x="0" y="0"/>
                          <a:ext cx="3469640" cy="1466215"/>
                          <a:chExt cx="3469640" cy="1466215"/>
                        </a:xfrm>
                      </wpg:grpSpPr>
                      <wps:wsp>
                        <wps:cNvPr id="388" name="Graphic 388"/>
                        <wps:cNvSpPr/>
                        <wps:spPr>
                          <a:xfrm>
                            <a:off x="0" y="0"/>
                            <a:ext cx="3469640" cy="1466215"/>
                          </a:xfrm>
                          <a:custGeom>
                            <a:avLst/>
                            <a:gdLst/>
                            <a:ahLst/>
                            <a:cxnLst/>
                            <a:rect l="l" t="t" r="r" b="b"/>
                            <a:pathLst>
                              <a:path w="3469640" h="1466215">
                                <a:moveTo>
                                  <a:pt x="3107574" y="1465971"/>
                                </a:moveTo>
                                <a:lnTo>
                                  <a:pt x="361949" y="1465971"/>
                                </a:lnTo>
                                <a:lnTo>
                                  <a:pt x="312835" y="1462667"/>
                                </a:lnTo>
                                <a:lnTo>
                                  <a:pt x="265729" y="1453042"/>
                                </a:lnTo>
                                <a:lnTo>
                                  <a:pt x="221062" y="1437528"/>
                                </a:lnTo>
                                <a:lnTo>
                                  <a:pt x="179266" y="1416555"/>
                                </a:lnTo>
                                <a:lnTo>
                                  <a:pt x="140773" y="1390555"/>
                                </a:lnTo>
                                <a:lnTo>
                                  <a:pt x="106012" y="1359959"/>
                                </a:lnTo>
                                <a:lnTo>
                                  <a:pt x="75416" y="1325198"/>
                                </a:lnTo>
                                <a:lnTo>
                                  <a:pt x="49416" y="1286704"/>
                                </a:lnTo>
                                <a:lnTo>
                                  <a:pt x="28443" y="1244909"/>
                                </a:lnTo>
                                <a:lnTo>
                                  <a:pt x="12929" y="1200242"/>
                                </a:lnTo>
                                <a:lnTo>
                                  <a:pt x="3304" y="1153136"/>
                                </a:lnTo>
                                <a:lnTo>
                                  <a:pt x="0" y="1104021"/>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07574" y="0"/>
                                </a:lnTo>
                                <a:lnTo>
                                  <a:pt x="3156688" y="3304"/>
                                </a:lnTo>
                                <a:lnTo>
                                  <a:pt x="3203795" y="12929"/>
                                </a:lnTo>
                                <a:lnTo>
                                  <a:pt x="3248461" y="28443"/>
                                </a:lnTo>
                                <a:lnTo>
                                  <a:pt x="3290257" y="49416"/>
                                </a:lnTo>
                                <a:lnTo>
                                  <a:pt x="3328751" y="75416"/>
                                </a:lnTo>
                                <a:lnTo>
                                  <a:pt x="3363511" y="106012"/>
                                </a:lnTo>
                                <a:lnTo>
                                  <a:pt x="3394107" y="140773"/>
                                </a:lnTo>
                                <a:lnTo>
                                  <a:pt x="3420107" y="179266"/>
                                </a:lnTo>
                                <a:lnTo>
                                  <a:pt x="3441080" y="221062"/>
                                </a:lnTo>
                                <a:lnTo>
                                  <a:pt x="3456594" y="265729"/>
                                </a:lnTo>
                                <a:lnTo>
                                  <a:pt x="3466219" y="312835"/>
                                </a:lnTo>
                                <a:lnTo>
                                  <a:pt x="3469524" y="361949"/>
                                </a:lnTo>
                                <a:lnTo>
                                  <a:pt x="3469524" y="1104021"/>
                                </a:lnTo>
                                <a:lnTo>
                                  <a:pt x="3466219" y="1153136"/>
                                </a:lnTo>
                                <a:lnTo>
                                  <a:pt x="3456594" y="1200242"/>
                                </a:lnTo>
                                <a:lnTo>
                                  <a:pt x="3441080" y="1244909"/>
                                </a:lnTo>
                                <a:lnTo>
                                  <a:pt x="3420107" y="1286704"/>
                                </a:lnTo>
                                <a:lnTo>
                                  <a:pt x="3394107" y="1325198"/>
                                </a:lnTo>
                                <a:lnTo>
                                  <a:pt x="3363511" y="1359959"/>
                                </a:lnTo>
                                <a:lnTo>
                                  <a:pt x="3328751" y="1390555"/>
                                </a:lnTo>
                                <a:lnTo>
                                  <a:pt x="3290257" y="1416555"/>
                                </a:lnTo>
                                <a:lnTo>
                                  <a:pt x="3248461" y="1437528"/>
                                </a:lnTo>
                                <a:lnTo>
                                  <a:pt x="3203795" y="1453042"/>
                                </a:lnTo>
                                <a:lnTo>
                                  <a:pt x="3156688" y="1462667"/>
                                </a:lnTo>
                                <a:lnTo>
                                  <a:pt x="3107574" y="1465971"/>
                                </a:lnTo>
                                <a:close/>
                              </a:path>
                            </a:pathLst>
                          </a:custGeom>
                          <a:solidFill>
                            <a:srgbClr val="29BED0">
                              <a:alpha val="55999"/>
                            </a:srgbClr>
                          </a:solidFill>
                        </wps:spPr>
                        <wps:bodyPr wrap="square" lIns="0" tIns="0" rIns="0" bIns="0" rtlCol="0">
                          <a:prstTxWarp prst="textNoShape">
                            <a:avLst/>
                          </a:prstTxWarp>
                          <a:noAutofit/>
                        </wps:bodyPr>
                      </wps:wsp>
                      <wps:wsp>
                        <wps:cNvPr id="389" name="Textbox 389"/>
                        <wps:cNvSpPr txBox="1"/>
                        <wps:spPr>
                          <a:xfrm>
                            <a:off x="0" y="0"/>
                            <a:ext cx="3469640" cy="1466215"/>
                          </a:xfrm>
                          <a:prstGeom prst="rect">
                            <a:avLst/>
                          </a:prstGeom>
                        </wps:spPr>
                        <wps:txbx>
                          <w:txbxContent>
                            <w:p>
                              <w:pPr>
                                <w:spacing w:before="136"/>
                                <w:ind w:left="202" w:right="0" w:firstLine="0"/>
                                <w:jc w:val="left"/>
                                <w:rPr>
                                  <w:b/>
                                  <w:i/>
                                  <w:sz w:val="34"/>
                                </w:rPr>
                              </w:pPr>
                              <w:r>
                                <w:rPr>
                                  <w:b/>
                                  <w:i/>
                                  <w:spacing w:val="11"/>
                                  <w:w w:val="130"/>
                                  <w:sz w:val="34"/>
                                </w:rPr>
                                <w:t>LEGISLATION</w:t>
                              </w:r>
                            </w:p>
                            <w:p>
                              <w:pPr>
                                <w:spacing w:line="271" w:lineRule="auto" w:before="277"/>
                                <w:ind w:left="204" w:right="0" w:firstLine="0"/>
                                <w:jc w:val="left"/>
                                <w:rPr>
                                  <w:rFonts w:ascii="Georgia"/>
                                  <w:sz w:val="21"/>
                                </w:rPr>
                              </w:pPr>
                              <w:r>
                                <w:rPr>
                                  <w:rFonts w:ascii="Georgia"/>
                                  <w:sz w:val="21"/>
                                </w:rPr>
                                <w:t>S.1112/H.211:</w:t>
                              </w:r>
                              <w:r>
                                <w:rPr>
                                  <w:rFonts w:ascii="Georgia"/>
                                  <w:spacing w:val="-3"/>
                                  <w:sz w:val="21"/>
                                </w:rPr>
                                <w:t> </w:t>
                              </w:r>
                              <w:r>
                                <w:rPr>
                                  <w:rFonts w:ascii="Georgia"/>
                                  <w:sz w:val="21"/>
                                </w:rPr>
                                <w:t>Bill</w:t>
                              </w:r>
                              <w:r>
                                <w:rPr>
                                  <w:rFonts w:ascii="Georgia"/>
                                  <w:spacing w:val="-3"/>
                                  <w:sz w:val="21"/>
                                </w:rPr>
                                <w:t> </w:t>
                              </w:r>
                              <w:r>
                                <w:rPr>
                                  <w:rFonts w:ascii="Georgia"/>
                                  <w:sz w:val="21"/>
                                </w:rPr>
                                <w:t>of</w:t>
                              </w:r>
                              <w:r>
                                <w:rPr>
                                  <w:rFonts w:ascii="Georgia"/>
                                  <w:spacing w:val="-3"/>
                                  <w:sz w:val="21"/>
                                </w:rPr>
                                <w:t> </w:t>
                              </w:r>
                              <w:r>
                                <w:rPr>
                                  <w:rFonts w:ascii="Georgia"/>
                                  <w:sz w:val="21"/>
                                </w:rPr>
                                <w:t>Rights</w:t>
                              </w:r>
                              <w:r>
                                <w:rPr>
                                  <w:rFonts w:ascii="Georgia"/>
                                  <w:spacing w:val="-3"/>
                                  <w:sz w:val="21"/>
                                </w:rPr>
                                <w:t> </w:t>
                              </w:r>
                              <w:r>
                                <w:rPr>
                                  <w:rFonts w:ascii="Georgia"/>
                                  <w:sz w:val="21"/>
                                </w:rPr>
                                <w:t>for</w:t>
                              </w:r>
                              <w:r>
                                <w:rPr>
                                  <w:rFonts w:ascii="Georgia"/>
                                  <w:spacing w:val="-3"/>
                                  <w:sz w:val="21"/>
                                </w:rPr>
                                <w:t> </w:t>
                              </w:r>
                              <w:r>
                                <w:rPr>
                                  <w:rFonts w:ascii="Georgia"/>
                                  <w:sz w:val="21"/>
                                </w:rPr>
                                <w:t>People</w:t>
                              </w:r>
                              <w:r>
                                <w:rPr>
                                  <w:rFonts w:ascii="Georgia"/>
                                  <w:spacing w:val="-3"/>
                                  <w:sz w:val="21"/>
                                </w:rPr>
                                <w:t> </w:t>
                              </w:r>
                              <w:r>
                                <w:rPr>
                                  <w:rFonts w:ascii="Georgia"/>
                                  <w:sz w:val="21"/>
                                </w:rPr>
                                <w:t>Experiencing </w:t>
                              </w:r>
                              <w:r>
                                <w:rPr>
                                  <w:rFonts w:ascii="Georgia"/>
                                  <w:spacing w:val="-2"/>
                                  <w:sz w:val="21"/>
                                </w:rPr>
                                <w:t>Homelessness</w:t>
                              </w:r>
                            </w:p>
                            <w:p>
                              <w:pPr>
                                <w:spacing w:line="240" w:lineRule="auto" w:before="32"/>
                                <w:rPr>
                                  <w:rFonts w:ascii="Georgia"/>
                                  <w:sz w:val="21"/>
                                </w:rPr>
                              </w:pPr>
                            </w:p>
                            <w:p>
                              <w:pPr>
                                <w:spacing w:before="1"/>
                                <w:ind w:left="204" w:right="0" w:firstLine="0"/>
                                <w:jc w:val="left"/>
                                <w:rPr>
                                  <w:rFonts w:ascii="Georgia"/>
                                  <w:sz w:val="21"/>
                                </w:rPr>
                              </w:pPr>
                              <w:r>
                                <w:rPr>
                                  <w:rFonts w:ascii="Georgia"/>
                                  <w:spacing w:val="-2"/>
                                  <w:sz w:val="21"/>
                                </w:rPr>
                                <w:t>S.856/H.1312:</w:t>
                              </w:r>
                              <w:r>
                                <w:rPr>
                                  <w:rFonts w:ascii="Georgia"/>
                                  <w:spacing w:val="-7"/>
                                  <w:sz w:val="21"/>
                                </w:rPr>
                                <w:t> </w:t>
                              </w:r>
                              <w:r>
                                <w:rPr>
                                  <w:rFonts w:ascii="Georgia"/>
                                  <w:spacing w:val="-2"/>
                                  <w:sz w:val="21"/>
                                </w:rPr>
                                <w:t>Upstream</w:t>
                              </w:r>
                              <w:r>
                                <w:rPr>
                                  <w:rFonts w:ascii="Georgia"/>
                                  <w:spacing w:val="-7"/>
                                  <w:sz w:val="21"/>
                                </w:rPr>
                                <w:t> </w:t>
                              </w:r>
                              <w:r>
                                <w:rPr>
                                  <w:rFonts w:ascii="Georgia"/>
                                  <w:spacing w:val="-2"/>
                                  <w:sz w:val="21"/>
                                </w:rPr>
                                <w:t>Homelessness</w:t>
                              </w:r>
                              <w:r>
                                <w:rPr>
                                  <w:rFonts w:ascii="Georgia"/>
                                  <w:spacing w:val="-6"/>
                                  <w:sz w:val="21"/>
                                </w:rPr>
                                <w:t> </w:t>
                              </w:r>
                              <w:r>
                                <w:rPr>
                                  <w:rFonts w:ascii="Georgia"/>
                                  <w:spacing w:val="-2"/>
                                  <w:sz w:val="21"/>
                                </w:rPr>
                                <w:t>Assistance</w:t>
                              </w:r>
                            </w:p>
                          </w:txbxContent>
                        </wps:txbx>
                        <wps:bodyPr wrap="square" lIns="0" tIns="0" rIns="0" bIns="0" rtlCol="0">
                          <a:noAutofit/>
                        </wps:bodyPr>
                      </wps:wsp>
                    </wpg:wgp>
                  </a:graphicData>
                </a:graphic>
              </wp:inline>
            </w:drawing>
          </mc:Choice>
          <mc:Fallback>
            <w:pict>
              <v:group style="width:273.2pt;height:115.45pt;mso-position-horizontal-relative:char;mso-position-vertical-relative:line" id="docshapegroup310" coordorigin="0,0" coordsize="5464,2309">
                <v:shape style="position:absolute;left:0;top:0;width:5464;height:2309" id="docshape311" coordorigin="0,0" coordsize="5464,2309" path="m4894,2309l570,2309,493,2303,418,2288,348,2264,282,2231,222,2190,167,2142,119,2087,78,2026,45,1960,20,1890,5,1816,0,1739,0,570,5,493,20,418,45,348,78,282,119,222,167,167,222,119,282,78,348,45,418,20,493,5,570,0,4894,0,4971,5,5045,20,5116,45,5182,78,5242,119,5297,167,5345,222,5386,282,5419,348,5443,418,5459,493,5464,570,5464,1739,5459,1816,5443,1890,5419,1960,5386,2026,5345,2087,5297,2142,5242,2190,5182,2231,5116,2264,5045,2288,4971,2303,4894,2309xe" filled="true" fillcolor="#29bed0" stroked="false">
                  <v:path arrowok="t"/>
                  <v:fill opacity="36700f" type="solid"/>
                </v:shape>
                <v:shape style="position:absolute;left:0;top:0;width:5464;height:2309" type="#_x0000_t202" id="docshape312" filled="false" stroked="false">
                  <v:textbox inset="0,0,0,0">
                    <w:txbxContent>
                      <w:p>
                        <w:pPr>
                          <w:spacing w:before="136"/>
                          <w:ind w:left="202" w:right="0" w:firstLine="0"/>
                          <w:jc w:val="left"/>
                          <w:rPr>
                            <w:b/>
                            <w:i/>
                            <w:sz w:val="34"/>
                          </w:rPr>
                        </w:pPr>
                        <w:r>
                          <w:rPr>
                            <w:b/>
                            <w:i/>
                            <w:spacing w:val="11"/>
                            <w:w w:val="130"/>
                            <w:sz w:val="34"/>
                          </w:rPr>
                          <w:t>LEGISLATION</w:t>
                        </w:r>
                      </w:p>
                      <w:p>
                        <w:pPr>
                          <w:spacing w:line="271" w:lineRule="auto" w:before="277"/>
                          <w:ind w:left="204" w:right="0" w:firstLine="0"/>
                          <w:jc w:val="left"/>
                          <w:rPr>
                            <w:rFonts w:ascii="Georgia"/>
                            <w:sz w:val="21"/>
                          </w:rPr>
                        </w:pPr>
                        <w:r>
                          <w:rPr>
                            <w:rFonts w:ascii="Georgia"/>
                            <w:sz w:val="21"/>
                          </w:rPr>
                          <w:t>S.1112/H.211:</w:t>
                        </w:r>
                        <w:r>
                          <w:rPr>
                            <w:rFonts w:ascii="Georgia"/>
                            <w:spacing w:val="-3"/>
                            <w:sz w:val="21"/>
                          </w:rPr>
                          <w:t> </w:t>
                        </w:r>
                        <w:r>
                          <w:rPr>
                            <w:rFonts w:ascii="Georgia"/>
                            <w:sz w:val="21"/>
                          </w:rPr>
                          <w:t>Bill</w:t>
                        </w:r>
                        <w:r>
                          <w:rPr>
                            <w:rFonts w:ascii="Georgia"/>
                            <w:spacing w:val="-3"/>
                            <w:sz w:val="21"/>
                          </w:rPr>
                          <w:t> </w:t>
                        </w:r>
                        <w:r>
                          <w:rPr>
                            <w:rFonts w:ascii="Georgia"/>
                            <w:sz w:val="21"/>
                          </w:rPr>
                          <w:t>of</w:t>
                        </w:r>
                        <w:r>
                          <w:rPr>
                            <w:rFonts w:ascii="Georgia"/>
                            <w:spacing w:val="-3"/>
                            <w:sz w:val="21"/>
                          </w:rPr>
                          <w:t> </w:t>
                        </w:r>
                        <w:r>
                          <w:rPr>
                            <w:rFonts w:ascii="Georgia"/>
                            <w:sz w:val="21"/>
                          </w:rPr>
                          <w:t>Rights</w:t>
                        </w:r>
                        <w:r>
                          <w:rPr>
                            <w:rFonts w:ascii="Georgia"/>
                            <w:spacing w:val="-3"/>
                            <w:sz w:val="21"/>
                          </w:rPr>
                          <w:t> </w:t>
                        </w:r>
                        <w:r>
                          <w:rPr>
                            <w:rFonts w:ascii="Georgia"/>
                            <w:sz w:val="21"/>
                          </w:rPr>
                          <w:t>for</w:t>
                        </w:r>
                        <w:r>
                          <w:rPr>
                            <w:rFonts w:ascii="Georgia"/>
                            <w:spacing w:val="-3"/>
                            <w:sz w:val="21"/>
                          </w:rPr>
                          <w:t> </w:t>
                        </w:r>
                        <w:r>
                          <w:rPr>
                            <w:rFonts w:ascii="Georgia"/>
                            <w:sz w:val="21"/>
                          </w:rPr>
                          <w:t>People</w:t>
                        </w:r>
                        <w:r>
                          <w:rPr>
                            <w:rFonts w:ascii="Georgia"/>
                            <w:spacing w:val="-3"/>
                            <w:sz w:val="21"/>
                          </w:rPr>
                          <w:t> </w:t>
                        </w:r>
                        <w:r>
                          <w:rPr>
                            <w:rFonts w:ascii="Georgia"/>
                            <w:sz w:val="21"/>
                          </w:rPr>
                          <w:t>Experiencing </w:t>
                        </w:r>
                        <w:r>
                          <w:rPr>
                            <w:rFonts w:ascii="Georgia"/>
                            <w:spacing w:val="-2"/>
                            <w:sz w:val="21"/>
                          </w:rPr>
                          <w:t>Homelessness</w:t>
                        </w:r>
                      </w:p>
                      <w:p>
                        <w:pPr>
                          <w:spacing w:line="240" w:lineRule="auto" w:before="32"/>
                          <w:rPr>
                            <w:rFonts w:ascii="Georgia"/>
                            <w:sz w:val="21"/>
                          </w:rPr>
                        </w:pPr>
                      </w:p>
                      <w:p>
                        <w:pPr>
                          <w:spacing w:before="1"/>
                          <w:ind w:left="204" w:right="0" w:firstLine="0"/>
                          <w:jc w:val="left"/>
                          <w:rPr>
                            <w:rFonts w:ascii="Georgia"/>
                            <w:sz w:val="21"/>
                          </w:rPr>
                        </w:pPr>
                        <w:r>
                          <w:rPr>
                            <w:rFonts w:ascii="Georgia"/>
                            <w:spacing w:val="-2"/>
                            <w:sz w:val="21"/>
                          </w:rPr>
                          <w:t>S.856/H.1312:</w:t>
                        </w:r>
                        <w:r>
                          <w:rPr>
                            <w:rFonts w:ascii="Georgia"/>
                            <w:spacing w:val="-7"/>
                            <w:sz w:val="21"/>
                          </w:rPr>
                          <w:t> </w:t>
                        </w:r>
                        <w:r>
                          <w:rPr>
                            <w:rFonts w:ascii="Georgia"/>
                            <w:spacing w:val="-2"/>
                            <w:sz w:val="21"/>
                          </w:rPr>
                          <w:t>Upstream</w:t>
                        </w:r>
                        <w:r>
                          <w:rPr>
                            <w:rFonts w:ascii="Georgia"/>
                            <w:spacing w:val="-7"/>
                            <w:sz w:val="21"/>
                          </w:rPr>
                          <w:t> </w:t>
                        </w:r>
                        <w:r>
                          <w:rPr>
                            <w:rFonts w:ascii="Georgia"/>
                            <w:spacing w:val="-2"/>
                            <w:sz w:val="21"/>
                          </w:rPr>
                          <w:t>Homelessness</w:t>
                        </w:r>
                        <w:r>
                          <w:rPr>
                            <w:rFonts w:ascii="Georgia"/>
                            <w:spacing w:val="-6"/>
                            <w:sz w:val="21"/>
                          </w:rPr>
                          <w:t> </w:t>
                        </w:r>
                        <w:r>
                          <w:rPr>
                            <w:rFonts w:ascii="Georgia"/>
                            <w:spacing w:val="-2"/>
                            <w:sz w:val="21"/>
                          </w:rPr>
                          <w:t>Assistance</w:t>
                        </w:r>
                      </w:p>
                    </w:txbxContent>
                  </v:textbox>
                  <w10:wrap type="none"/>
                </v:shape>
              </v:group>
            </w:pict>
          </mc:Fallback>
        </mc:AlternateContent>
      </w:r>
      <w:r>
        <w:rPr>
          <w:rFonts w:ascii="Georgia"/>
          <w:position w:val="64"/>
          <w:sz w:val="20"/>
        </w:rPr>
      </w:r>
      <w:r>
        <w:rPr>
          <w:rFonts w:ascii="Georgia"/>
          <w:position w:val="64"/>
          <w:sz w:val="20"/>
        </w:rPr>
        <w:tab/>
      </w:r>
      <w:r>
        <w:rPr>
          <w:rFonts w:ascii="Georgia"/>
          <w:sz w:val="20"/>
        </w:rPr>
        <w:drawing>
          <wp:inline distT="0" distB="0" distL="0" distR="0">
            <wp:extent cx="2648643" cy="2105025"/>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469" cstate="print"/>
                    <a:stretch>
                      <a:fillRect/>
                    </a:stretch>
                  </pic:blipFill>
                  <pic:spPr>
                    <a:xfrm>
                      <a:off x="0" y="0"/>
                      <a:ext cx="2648643" cy="2105025"/>
                    </a:xfrm>
                    <a:prstGeom prst="rect">
                      <a:avLst/>
                    </a:prstGeom>
                  </pic:spPr>
                </pic:pic>
              </a:graphicData>
            </a:graphic>
          </wp:inline>
        </w:drawing>
      </w:r>
      <w:r>
        <w:rPr>
          <w:rFonts w:ascii="Georgia"/>
          <w:sz w:val="20"/>
        </w:rPr>
      </w:r>
    </w:p>
    <w:p>
      <w:pPr>
        <w:spacing w:after="0" w:line="240" w:lineRule="auto"/>
        <w:rPr>
          <w:rFonts w:ascii="Georgia"/>
          <w:sz w:val="20"/>
        </w:rPr>
        <w:sectPr>
          <w:type w:val="continuous"/>
          <w:pgSz w:w="12240" w:h="15840"/>
          <w:pgMar w:header="0" w:footer="0" w:top="1420" w:bottom="280" w:left="920" w:right="200"/>
        </w:sectPr>
      </w:pPr>
    </w:p>
    <w:p>
      <w:pPr>
        <w:pStyle w:val="Heading7"/>
        <w:spacing w:before="304"/>
        <w:ind w:left="464"/>
      </w:pPr>
      <w:bookmarkStart w:name="FY 2025 - Criminal Justice - Final.pdf" w:id="539"/>
      <w:bookmarkEnd w:id="539"/>
      <w:r>
        <w:rPr/>
      </w:r>
      <w:bookmarkStart w:name="_bookmark316" w:id="540"/>
      <w:bookmarkEnd w:id="540"/>
      <w:r>
        <w:rPr/>
      </w:r>
      <w:hyperlink w:history="true" w:anchor="_bookmark3">
        <w:r>
          <w:rPr>
            <w:color w:val="365F91"/>
            <w:spacing w:val="-8"/>
          </w:rPr>
          <w:t>Advancing</w:t>
        </w:r>
        <w:r>
          <w:rPr>
            <w:color w:val="365F91"/>
            <w:spacing w:val="-12"/>
          </w:rPr>
          <w:t> </w:t>
        </w:r>
        <w:r>
          <w:rPr>
            <w:color w:val="365F91"/>
            <w:spacing w:val="-8"/>
          </w:rPr>
          <w:t>Justice</w:t>
        </w:r>
        <w:r>
          <w:rPr>
            <w:color w:val="365F91"/>
            <w:spacing w:val="-12"/>
          </w:rPr>
          <w:t> </w:t>
        </w:r>
        <w:r>
          <w:rPr>
            <w:color w:val="365F91"/>
            <w:spacing w:val="-8"/>
          </w:rPr>
          <w:t>in</w:t>
        </w:r>
        <w:r>
          <w:rPr>
            <w:color w:val="365F91"/>
            <w:spacing w:val="-12"/>
          </w:rPr>
          <w:t> </w:t>
        </w:r>
        <w:r>
          <w:rPr>
            <w:color w:val="365F91"/>
            <w:spacing w:val="-8"/>
          </w:rPr>
          <w:t>the</w:t>
        </w:r>
        <w:r>
          <w:rPr>
            <w:color w:val="365F91"/>
            <w:spacing w:val="-13"/>
          </w:rPr>
          <w:t> </w:t>
        </w:r>
        <w:r>
          <w:rPr>
            <w:color w:val="365F91"/>
            <w:spacing w:val="-8"/>
          </w:rPr>
          <w:t>Criminal</w:t>
        </w:r>
        <w:r>
          <w:rPr>
            <w:color w:val="365F91"/>
            <w:spacing w:val="-13"/>
          </w:rPr>
          <w:t> </w:t>
        </w:r>
        <w:r>
          <w:rPr>
            <w:color w:val="365F91"/>
            <w:spacing w:val="-8"/>
          </w:rPr>
          <w:t>Legal</w:t>
        </w:r>
        <w:r>
          <w:rPr>
            <w:color w:val="365F91"/>
            <w:spacing w:val="-15"/>
          </w:rPr>
          <w:t> </w:t>
        </w:r>
        <w:r>
          <w:rPr>
            <w:color w:val="365F91"/>
            <w:spacing w:val="-8"/>
          </w:rPr>
          <w:t>System</w:t>
        </w:r>
      </w:hyperlink>
    </w:p>
    <w:p>
      <w:pPr>
        <w:spacing w:before="313"/>
        <w:ind w:left="464" w:right="0" w:firstLine="0"/>
        <w:jc w:val="left"/>
        <w:rPr>
          <w:sz w:val="28"/>
        </w:rPr>
      </w:pPr>
      <w:bookmarkStart w:name="Introduction" w:id="541"/>
      <w:bookmarkEnd w:id="541"/>
      <w:r>
        <w:rPr/>
      </w: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660544">
                <wp:simplePos x="0" y="0"/>
                <wp:positionH relativeFrom="page">
                  <wp:posOffset>986789</wp:posOffset>
                </wp:positionH>
                <wp:positionV relativeFrom="paragraph">
                  <wp:posOffset>44832</wp:posOffset>
                </wp:positionV>
                <wp:extent cx="5799455" cy="6350"/>
                <wp:effectExtent l="0" t="0" r="0" b="0"/>
                <wp:wrapTopAndBottom/>
                <wp:docPr id="394" name="Graphic 394"/>
                <wp:cNvGraphicFramePr>
                  <a:graphicFrameLocks/>
                </wp:cNvGraphicFramePr>
                <a:graphic>
                  <a:graphicData uri="http://schemas.microsoft.com/office/word/2010/wordprocessingShape">
                    <wps:wsp>
                      <wps:cNvPr id="394" name="Graphic 394"/>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30094pt;width:456.601pt;height:.481pt;mso-position-horizontal-relative:page;mso-position-vertical-relative:paragraph;z-index:-15655936;mso-wrap-distance-left:0;mso-wrap-distance-right:0" id="docshape316" filled="true" fillcolor="#4f81bc" stroked="false">
                <v:fill type="solid"/>
                <w10:wrap type="topAndBottom"/>
              </v:rect>
            </w:pict>
          </mc:Fallback>
        </mc:AlternateContent>
      </w:r>
    </w:p>
    <w:p>
      <w:pPr>
        <w:spacing w:line="276" w:lineRule="auto" w:before="241"/>
        <w:ind w:left="464" w:right="238" w:firstLine="0"/>
        <w:jc w:val="both"/>
        <w:rPr>
          <w:sz w:val="21"/>
        </w:rPr>
      </w:pPr>
      <w:r>
        <w:rPr>
          <w:sz w:val="21"/>
        </w:rPr>
        <w:t>The Commission on LGBTQ Youth defines 'youth' as individuals younger than 25 years old. In formulating recommendations regarding LGBTQ youth within Massachusetts' criminal legal system, it is important to note that the Commission's report covers both juvenile and adult legal systems. Further, this section will rely on the phrase “criminal legal system” instead of “criminal justice system” throughout to more accurately</w:t>
      </w:r>
      <w:r>
        <w:rPr>
          <w:spacing w:val="-6"/>
          <w:sz w:val="21"/>
        </w:rPr>
        <w:t> </w:t>
      </w:r>
      <w:r>
        <w:rPr>
          <w:sz w:val="21"/>
        </w:rPr>
        <w:t>describe</w:t>
      </w:r>
      <w:r>
        <w:rPr>
          <w:spacing w:val="-5"/>
          <w:sz w:val="21"/>
        </w:rPr>
        <w:t> </w:t>
      </w:r>
      <w:r>
        <w:rPr>
          <w:sz w:val="21"/>
        </w:rPr>
        <w:t>the</w:t>
      </w:r>
      <w:r>
        <w:rPr>
          <w:spacing w:val="-5"/>
          <w:sz w:val="21"/>
        </w:rPr>
        <w:t> </w:t>
      </w:r>
      <w:r>
        <w:rPr>
          <w:sz w:val="21"/>
        </w:rPr>
        <w:t>inequitable</w:t>
      </w:r>
      <w:r>
        <w:rPr>
          <w:spacing w:val="-5"/>
          <w:sz w:val="21"/>
        </w:rPr>
        <w:t> </w:t>
      </w:r>
      <w:r>
        <w:rPr>
          <w:sz w:val="21"/>
        </w:rPr>
        <w:t>and</w:t>
      </w:r>
      <w:r>
        <w:rPr>
          <w:spacing w:val="-5"/>
          <w:sz w:val="21"/>
        </w:rPr>
        <w:t> </w:t>
      </w:r>
      <w:r>
        <w:rPr>
          <w:sz w:val="21"/>
        </w:rPr>
        <w:t>often</w:t>
      </w:r>
      <w:r>
        <w:rPr>
          <w:spacing w:val="-5"/>
          <w:sz w:val="21"/>
        </w:rPr>
        <w:t> </w:t>
      </w:r>
      <w:r>
        <w:rPr>
          <w:sz w:val="21"/>
        </w:rPr>
        <w:t>harmful</w:t>
      </w:r>
      <w:r>
        <w:rPr>
          <w:spacing w:val="-6"/>
          <w:sz w:val="21"/>
        </w:rPr>
        <w:t> </w:t>
      </w:r>
      <w:r>
        <w:rPr>
          <w:sz w:val="21"/>
        </w:rPr>
        <w:t>U.S.</w:t>
      </w:r>
      <w:r>
        <w:rPr>
          <w:spacing w:val="-6"/>
          <w:sz w:val="21"/>
        </w:rPr>
        <w:t> </w:t>
      </w:r>
      <w:r>
        <w:rPr>
          <w:sz w:val="21"/>
        </w:rPr>
        <w:t>institutions</w:t>
      </w:r>
      <w:r>
        <w:rPr>
          <w:spacing w:val="-5"/>
          <w:sz w:val="21"/>
        </w:rPr>
        <w:t> </w:t>
      </w:r>
      <w:r>
        <w:rPr>
          <w:sz w:val="21"/>
        </w:rPr>
        <w:t>of</w:t>
      </w:r>
      <w:r>
        <w:rPr>
          <w:spacing w:val="-6"/>
          <w:sz w:val="21"/>
        </w:rPr>
        <w:t> </w:t>
      </w:r>
      <w:r>
        <w:rPr>
          <w:sz w:val="21"/>
        </w:rPr>
        <w:t>policing,</w:t>
      </w:r>
      <w:r>
        <w:rPr>
          <w:spacing w:val="-5"/>
          <w:sz w:val="21"/>
        </w:rPr>
        <w:t> </w:t>
      </w:r>
      <w:r>
        <w:rPr>
          <w:sz w:val="21"/>
        </w:rPr>
        <w:t>prosecution,</w:t>
      </w:r>
      <w:r>
        <w:rPr>
          <w:spacing w:val="-5"/>
          <w:sz w:val="21"/>
        </w:rPr>
        <w:t> </w:t>
      </w:r>
      <w:r>
        <w:rPr>
          <w:sz w:val="21"/>
        </w:rPr>
        <w:t>courts,</w:t>
      </w:r>
      <w:r>
        <w:rPr>
          <w:spacing w:val="-5"/>
          <w:sz w:val="21"/>
        </w:rPr>
        <w:t> </w:t>
      </w:r>
      <w:r>
        <w:rPr>
          <w:sz w:val="21"/>
        </w:rPr>
        <w:t>and corrections. This preference stems from a critical examination of the criminal legal system's historical, discriminatory roots and its ongoing disproportionate impact on marginalized communities, particularly people</w:t>
      </w:r>
      <w:r>
        <w:rPr>
          <w:spacing w:val="-12"/>
          <w:sz w:val="21"/>
        </w:rPr>
        <w:t> </w:t>
      </w:r>
      <w:r>
        <w:rPr>
          <w:sz w:val="21"/>
        </w:rPr>
        <w:t>of</w:t>
      </w:r>
      <w:r>
        <w:rPr>
          <w:spacing w:val="-12"/>
          <w:sz w:val="21"/>
        </w:rPr>
        <w:t> </w:t>
      </w:r>
      <w:r>
        <w:rPr>
          <w:sz w:val="21"/>
        </w:rPr>
        <w:t>color</w:t>
      </w:r>
      <w:r>
        <w:rPr>
          <w:spacing w:val="-12"/>
          <w:sz w:val="21"/>
        </w:rPr>
        <w:t> </w:t>
      </w:r>
      <w:r>
        <w:rPr>
          <w:sz w:val="21"/>
        </w:rPr>
        <w:t>as</w:t>
      </w:r>
      <w:r>
        <w:rPr>
          <w:spacing w:val="-12"/>
          <w:sz w:val="21"/>
        </w:rPr>
        <w:t> </w:t>
      </w:r>
      <w:r>
        <w:rPr>
          <w:sz w:val="21"/>
        </w:rPr>
        <w:t>well</w:t>
      </w:r>
      <w:r>
        <w:rPr>
          <w:spacing w:val="-12"/>
          <w:sz w:val="21"/>
        </w:rPr>
        <w:t> </w:t>
      </w:r>
      <w:r>
        <w:rPr>
          <w:sz w:val="21"/>
        </w:rPr>
        <w:t>as</w:t>
      </w:r>
      <w:r>
        <w:rPr>
          <w:spacing w:val="-12"/>
          <w:sz w:val="21"/>
        </w:rPr>
        <w:t> </w:t>
      </w:r>
      <w:r>
        <w:rPr>
          <w:sz w:val="21"/>
        </w:rPr>
        <w:t>individuals</w:t>
      </w:r>
      <w:r>
        <w:rPr>
          <w:spacing w:val="-12"/>
          <w:sz w:val="21"/>
        </w:rPr>
        <w:t> </w:t>
      </w:r>
      <w:r>
        <w:rPr>
          <w:sz w:val="21"/>
        </w:rPr>
        <w:t>experiencing</w:t>
      </w:r>
      <w:r>
        <w:rPr>
          <w:spacing w:val="-11"/>
          <w:sz w:val="21"/>
        </w:rPr>
        <w:t> </w:t>
      </w:r>
      <w:r>
        <w:rPr>
          <w:sz w:val="21"/>
        </w:rPr>
        <w:t>poverty.</w:t>
      </w:r>
      <w:hyperlink w:history="true" w:anchor="_bookmark317">
        <w:r>
          <w:rPr>
            <w:sz w:val="21"/>
            <w:vertAlign w:val="superscript"/>
          </w:rPr>
          <w:t>1</w:t>
        </w:r>
      </w:hyperlink>
      <w:r>
        <w:rPr>
          <w:spacing w:val="-12"/>
          <w:sz w:val="21"/>
          <w:vertAlign w:val="baseline"/>
        </w:rPr>
        <w:t> </w:t>
      </w:r>
      <w:r>
        <w:rPr>
          <w:sz w:val="21"/>
          <w:vertAlign w:val="baseline"/>
        </w:rPr>
        <w:t>The</w:t>
      </w:r>
      <w:r>
        <w:rPr>
          <w:spacing w:val="-12"/>
          <w:sz w:val="21"/>
          <w:vertAlign w:val="baseline"/>
        </w:rPr>
        <w:t> </w:t>
      </w:r>
      <w:r>
        <w:rPr>
          <w:sz w:val="21"/>
          <w:vertAlign w:val="baseline"/>
        </w:rPr>
        <w:t>U.S.</w:t>
      </w:r>
      <w:r>
        <w:rPr>
          <w:spacing w:val="-12"/>
          <w:sz w:val="21"/>
          <w:vertAlign w:val="baseline"/>
        </w:rPr>
        <w:t> </w:t>
      </w:r>
      <w:r>
        <w:rPr>
          <w:sz w:val="21"/>
          <w:vertAlign w:val="baseline"/>
        </w:rPr>
        <w:t>criminal</w:t>
      </w:r>
      <w:r>
        <w:rPr>
          <w:spacing w:val="-12"/>
          <w:sz w:val="21"/>
          <w:vertAlign w:val="baseline"/>
        </w:rPr>
        <w:t> </w:t>
      </w:r>
      <w:r>
        <w:rPr>
          <w:sz w:val="21"/>
          <w:vertAlign w:val="baseline"/>
        </w:rPr>
        <w:t>legal</w:t>
      </w:r>
      <w:r>
        <w:rPr>
          <w:spacing w:val="-12"/>
          <w:sz w:val="21"/>
          <w:vertAlign w:val="baseline"/>
        </w:rPr>
        <w:t> </w:t>
      </w:r>
      <w:r>
        <w:rPr>
          <w:sz w:val="21"/>
          <w:vertAlign w:val="baseline"/>
        </w:rPr>
        <w:t>system</w:t>
      </w:r>
      <w:r>
        <w:rPr>
          <w:spacing w:val="-12"/>
          <w:sz w:val="21"/>
          <w:vertAlign w:val="baseline"/>
        </w:rPr>
        <w:t> </w:t>
      </w:r>
      <w:r>
        <w:rPr>
          <w:sz w:val="21"/>
          <w:vertAlign w:val="baseline"/>
        </w:rPr>
        <w:t>since</w:t>
      </w:r>
      <w:r>
        <w:rPr>
          <w:spacing w:val="-12"/>
          <w:sz w:val="21"/>
          <w:vertAlign w:val="baseline"/>
        </w:rPr>
        <w:t> </w:t>
      </w:r>
      <w:r>
        <w:rPr>
          <w:sz w:val="21"/>
          <w:vertAlign w:val="baseline"/>
        </w:rPr>
        <w:t>its</w:t>
      </w:r>
      <w:r>
        <w:rPr>
          <w:spacing w:val="-11"/>
          <w:sz w:val="21"/>
          <w:vertAlign w:val="baseline"/>
        </w:rPr>
        <w:t> </w:t>
      </w:r>
      <w:r>
        <w:rPr>
          <w:sz w:val="21"/>
          <w:vertAlign w:val="baseline"/>
        </w:rPr>
        <w:t>inception has been and continues to be deeply intertwined with racism and perpetuates inequality and injustice, evident</w:t>
      </w:r>
      <w:r>
        <w:rPr>
          <w:spacing w:val="-1"/>
          <w:sz w:val="21"/>
          <w:vertAlign w:val="baseline"/>
        </w:rPr>
        <w:t> </w:t>
      </w:r>
      <w:r>
        <w:rPr>
          <w:sz w:val="21"/>
          <w:vertAlign w:val="baseline"/>
        </w:rPr>
        <w:t>in</w:t>
      </w:r>
      <w:r>
        <w:rPr>
          <w:spacing w:val="-3"/>
          <w:sz w:val="21"/>
          <w:vertAlign w:val="baseline"/>
        </w:rPr>
        <w:t> </w:t>
      </w:r>
      <w:r>
        <w:rPr>
          <w:sz w:val="21"/>
          <w:vertAlign w:val="baseline"/>
        </w:rPr>
        <w:t>practices</w:t>
      </w:r>
      <w:r>
        <w:rPr>
          <w:spacing w:val="-2"/>
          <w:sz w:val="21"/>
          <w:vertAlign w:val="baseline"/>
        </w:rPr>
        <w:t> </w:t>
      </w:r>
      <w:r>
        <w:rPr>
          <w:sz w:val="21"/>
          <w:vertAlign w:val="baseline"/>
        </w:rPr>
        <w:t>like</w:t>
      </w:r>
      <w:r>
        <w:rPr>
          <w:spacing w:val="-2"/>
          <w:sz w:val="21"/>
          <w:vertAlign w:val="baseline"/>
        </w:rPr>
        <w:t> </w:t>
      </w:r>
      <w:r>
        <w:rPr>
          <w:sz w:val="21"/>
          <w:vertAlign w:val="baseline"/>
        </w:rPr>
        <w:t>racial</w:t>
      </w:r>
      <w:r>
        <w:rPr>
          <w:spacing w:val="-2"/>
          <w:sz w:val="21"/>
          <w:vertAlign w:val="baseline"/>
        </w:rPr>
        <w:t> </w:t>
      </w:r>
      <w:r>
        <w:rPr>
          <w:sz w:val="21"/>
          <w:vertAlign w:val="baseline"/>
        </w:rPr>
        <w:t>profiling,</w:t>
      </w:r>
      <w:r>
        <w:rPr>
          <w:spacing w:val="-1"/>
          <w:sz w:val="21"/>
          <w:vertAlign w:val="baseline"/>
        </w:rPr>
        <w:t> </w:t>
      </w:r>
      <w:r>
        <w:rPr>
          <w:sz w:val="21"/>
          <w:vertAlign w:val="baseline"/>
        </w:rPr>
        <w:t>disparities</w:t>
      </w:r>
      <w:r>
        <w:rPr>
          <w:spacing w:val="-2"/>
          <w:sz w:val="21"/>
          <w:vertAlign w:val="baseline"/>
        </w:rPr>
        <w:t> </w:t>
      </w:r>
      <w:r>
        <w:rPr>
          <w:sz w:val="21"/>
          <w:vertAlign w:val="baseline"/>
        </w:rPr>
        <w:t>in</w:t>
      </w:r>
      <w:r>
        <w:rPr>
          <w:spacing w:val="-2"/>
          <w:sz w:val="21"/>
          <w:vertAlign w:val="baseline"/>
        </w:rPr>
        <w:t> </w:t>
      </w:r>
      <w:r>
        <w:rPr>
          <w:sz w:val="21"/>
          <w:vertAlign w:val="baseline"/>
        </w:rPr>
        <w:t>bail</w:t>
      </w:r>
      <w:r>
        <w:rPr>
          <w:spacing w:val="-2"/>
          <w:sz w:val="21"/>
          <w:vertAlign w:val="baseline"/>
        </w:rPr>
        <w:t> </w:t>
      </w:r>
      <w:r>
        <w:rPr>
          <w:sz w:val="21"/>
          <w:vertAlign w:val="baseline"/>
        </w:rPr>
        <w:t>accessibility,</w:t>
      </w:r>
      <w:r>
        <w:rPr>
          <w:spacing w:val="-1"/>
          <w:sz w:val="21"/>
          <w:vertAlign w:val="baseline"/>
        </w:rPr>
        <w:t> </w:t>
      </w:r>
      <w:r>
        <w:rPr>
          <w:sz w:val="21"/>
          <w:vertAlign w:val="baseline"/>
        </w:rPr>
        <w:t>and</w:t>
      </w:r>
      <w:r>
        <w:rPr>
          <w:spacing w:val="-3"/>
          <w:sz w:val="21"/>
          <w:vertAlign w:val="baseline"/>
        </w:rPr>
        <w:t> </w:t>
      </w:r>
      <w:r>
        <w:rPr>
          <w:sz w:val="21"/>
          <w:vertAlign w:val="baseline"/>
        </w:rPr>
        <w:t>harsher</w:t>
      </w:r>
      <w:r>
        <w:rPr>
          <w:spacing w:val="-2"/>
          <w:sz w:val="21"/>
          <w:vertAlign w:val="baseline"/>
        </w:rPr>
        <w:t> </w:t>
      </w:r>
      <w:r>
        <w:rPr>
          <w:sz w:val="21"/>
          <w:vertAlign w:val="baseline"/>
        </w:rPr>
        <w:t>sentencing</w:t>
      </w:r>
      <w:r>
        <w:rPr>
          <w:spacing w:val="-2"/>
          <w:sz w:val="21"/>
          <w:vertAlign w:val="baseline"/>
        </w:rPr>
        <w:t> </w:t>
      </w:r>
      <w:r>
        <w:rPr>
          <w:sz w:val="21"/>
          <w:vertAlign w:val="baseline"/>
        </w:rPr>
        <w:t>of</w:t>
      </w:r>
      <w:r>
        <w:rPr>
          <w:spacing w:val="-3"/>
          <w:sz w:val="21"/>
          <w:vertAlign w:val="baseline"/>
        </w:rPr>
        <w:t> </w:t>
      </w:r>
      <w:r>
        <w:rPr>
          <w:sz w:val="21"/>
          <w:vertAlign w:val="baseline"/>
        </w:rPr>
        <w:t>Black</w:t>
      </w:r>
      <w:r>
        <w:rPr>
          <w:spacing w:val="-1"/>
          <w:sz w:val="21"/>
          <w:vertAlign w:val="baseline"/>
        </w:rPr>
        <w:t> </w:t>
      </w:r>
      <w:r>
        <w:rPr>
          <w:sz w:val="21"/>
          <w:vertAlign w:val="baseline"/>
        </w:rPr>
        <w:t>and Latinx individuals compared to their white counterparts.</w:t>
      </w:r>
      <w:hyperlink w:history="true" w:anchor="_bookmark318">
        <w:r>
          <w:rPr>
            <w:sz w:val="21"/>
            <w:vertAlign w:val="superscript"/>
          </w:rPr>
          <w:t>2</w:t>
        </w:r>
      </w:hyperlink>
      <w:r>
        <w:rPr>
          <w:spacing w:val="-2"/>
          <w:sz w:val="21"/>
          <w:vertAlign w:val="baseline"/>
        </w:rPr>
        <w:t> </w:t>
      </w:r>
      <w:r>
        <w:rPr>
          <w:sz w:val="21"/>
          <w:vertAlign w:val="baseline"/>
        </w:rPr>
        <w:t>Furthermore, the criminal legal system's failure to address or mitigate crimes of poverty, alongside the imposition of fines and long-lasting financial consequences post-incarceration, highlights its inefficacy in promoting fairness.</w:t>
      </w:r>
      <w:hyperlink w:history="true" w:anchor="_bookmark319">
        <w:r>
          <w:rPr>
            <w:sz w:val="21"/>
            <w:vertAlign w:val="superscript"/>
          </w:rPr>
          <w:t>3</w:t>
        </w:r>
      </w:hyperlink>
      <w:r>
        <w:rPr>
          <w:spacing w:val="-2"/>
          <w:sz w:val="21"/>
          <w:vertAlign w:val="baseline"/>
        </w:rPr>
        <w:t> </w:t>
      </w:r>
      <w:r>
        <w:rPr>
          <w:sz w:val="21"/>
          <w:vertAlign w:val="baseline"/>
        </w:rPr>
        <w:t>By referring to it as the "criminal</w:t>
      </w:r>
      <w:r>
        <w:rPr>
          <w:spacing w:val="-1"/>
          <w:sz w:val="21"/>
          <w:vertAlign w:val="baseline"/>
        </w:rPr>
        <w:t> </w:t>
      </w:r>
      <w:r>
        <w:rPr>
          <w:sz w:val="21"/>
          <w:vertAlign w:val="baseline"/>
        </w:rPr>
        <w:t>legal</w:t>
      </w:r>
      <w:r>
        <w:rPr>
          <w:spacing w:val="-1"/>
          <w:sz w:val="21"/>
          <w:vertAlign w:val="baseline"/>
        </w:rPr>
        <w:t> </w:t>
      </w:r>
      <w:r>
        <w:rPr>
          <w:sz w:val="21"/>
          <w:vertAlign w:val="baseline"/>
        </w:rPr>
        <w:t>system,"</w:t>
      </w:r>
      <w:r>
        <w:rPr>
          <w:spacing w:val="-1"/>
          <w:sz w:val="21"/>
          <w:vertAlign w:val="baseline"/>
        </w:rPr>
        <w:t> </w:t>
      </w:r>
      <w:r>
        <w:rPr>
          <w:sz w:val="21"/>
          <w:vertAlign w:val="baseline"/>
        </w:rPr>
        <w:t>we</w:t>
      </w:r>
      <w:r>
        <w:rPr>
          <w:spacing w:val="-2"/>
          <w:sz w:val="21"/>
          <w:vertAlign w:val="baseline"/>
        </w:rPr>
        <w:t> </w:t>
      </w:r>
      <w:r>
        <w:rPr>
          <w:sz w:val="21"/>
          <w:vertAlign w:val="baseline"/>
        </w:rPr>
        <w:t>acknowledge</w:t>
      </w:r>
      <w:r>
        <w:rPr>
          <w:spacing w:val="-1"/>
          <w:sz w:val="21"/>
          <w:vertAlign w:val="baseline"/>
        </w:rPr>
        <w:t> </w:t>
      </w:r>
      <w:r>
        <w:rPr>
          <w:sz w:val="21"/>
          <w:vertAlign w:val="baseline"/>
        </w:rPr>
        <w:t>its</w:t>
      </w:r>
      <w:r>
        <w:rPr>
          <w:spacing w:val="-1"/>
          <w:sz w:val="21"/>
          <w:vertAlign w:val="baseline"/>
        </w:rPr>
        <w:t> </w:t>
      </w:r>
      <w:r>
        <w:rPr>
          <w:sz w:val="21"/>
          <w:vertAlign w:val="baseline"/>
        </w:rPr>
        <w:t>fundamental</w:t>
      </w:r>
      <w:r>
        <w:rPr>
          <w:spacing w:val="-1"/>
          <w:sz w:val="21"/>
          <w:vertAlign w:val="baseline"/>
        </w:rPr>
        <w:t> </w:t>
      </w:r>
      <w:r>
        <w:rPr>
          <w:sz w:val="21"/>
          <w:vertAlign w:val="baseline"/>
        </w:rPr>
        <w:t>flaws</w:t>
      </w:r>
      <w:r>
        <w:rPr>
          <w:spacing w:val="-1"/>
          <w:sz w:val="21"/>
          <w:vertAlign w:val="baseline"/>
        </w:rPr>
        <w:t> </w:t>
      </w:r>
      <w:r>
        <w:rPr>
          <w:sz w:val="21"/>
          <w:vertAlign w:val="baseline"/>
        </w:rPr>
        <w:t>and</w:t>
      </w:r>
      <w:r>
        <w:rPr>
          <w:spacing w:val="-1"/>
          <w:sz w:val="21"/>
          <w:vertAlign w:val="baseline"/>
        </w:rPr>
        <w:t> </w:t>
      </w:r>
      <w:r>
        <w:rPr>
          <w:sz w:val="21"/>
          <w:vertAlign w:val="baseline"/>
        </w:rPr>
        <w:t>the</w:t>
      </w:r>
      <w:r>
        <w:rPr>
          <w:spacing w:val="-1"/>
          <w:sz w:val="21"/>
          <w:vertAlign w:val="baseline"/>
        </w:rPr>
        <w:t> </w:t>
      </w:r>
      <w:r>
        <w:rPr>
          <w:sz w:val="21"/>
          <w:vertAlign w:val="baseline"/>
        </w:rPr>
        <w:t>need for reform, emphasizing</w:t>
      </w:r>
      <w:r>
        <w:rPr>
          <w:spacing w:val="-1"/>
          <w:sz w:val="21"/>
          <w:vertAlign w:val="baseline"/>
        </w:rPr>
        <w:t> </w:t>
      </w:r>
      <w:r>
        <w:rPr>
          <w:sz w:val="21"/>
          <w:vertAlign w:val="baseline"/>
        </w:rPr>
        <w:t>that justice, in its truest sense, remains elusive for many </w:t>
      </w:r>
      <w:r>
        <w:rPr>
          <w:i/>
          <w:sz w:val="21"/>
          <w:vertAlign w:val="baseline"/>
        </w:rPr>
        <w:t>caught up </w:t>
      </w:r>
      <w:r>
        <w:rPr>
          <w:sz w:val="21"/>
          <w:vertAlign w:val="baseline"/>
        </w:rPr>
        <w:t>within this system.</w:t>
      </w:r>
    </w:p>
    <w:p>
      <w:pPr>
        <w:spacing w:line="276" w:lineRule="auto" w:before="241"/>
        <w:ind w:left="464" w:right="240" w:firstLine="0"/>
        <w:jc w:val="both"/>
        <w:rPr>
          <w:sz w:val="21"/>
        </w:rPr>
      </w:pPr>
      <w:r>
        <w:rPr>
          <w:sz w:val="21"/>
        </w:rPr>
        <w:t>Nationally, LGBTQ youth are twice as likely to enter the juvenile legal system as their non-LGBTQ counterparts, with LGBTQ youth of color and transgender individuals facing even more profound disparities.</w:t>
      </w:r>
      <w:r>
        <w:rPr>
          <w:spacing w:val="-12"/>
          <w:sz w:val="21"/>
        </w:rPr>
        <w:t> </w:t>
      </w:r>
      <w:hyperlink w:history="true" w:anchor="_bookmark320">
        <w:r>
          <w:rPr>
            <w:sz w:val="21"/>
            <w:vertAlign w:val="superscript"/>
          </w:rPr>
          <w:t>4</w:t>
        </w:r>
      </w:hyperlink>
      <w:r>
        <w:rPr>
          <w:spacing w:val="-6"/>
          <w:sz w:val="21"/>
          <w:vertAlign w:val="baseline"/>
        </w:rPr>
        <w:t> </w:t>
      </w:r>
      <w:r>
        <w:rPr>
          <w:sz w:val="21"/>
          <w:vertAlign w:val="baseline"/>
        </w:rPr>
        <w:t>Specifically, transgender youth of color are four times more likely to be incarcerated.</w:t>
      </w:r>
      <w:r>
        <w:rPr>
          <w:spacing w:val="-12"/>
          <w:sz w:val="21"/>
          <w:vertAlign w:val="baseline"/>
        </w:rPr>
        <w:t> </w:t>
      </w:r>
      <w:hyperlink w:history="true" w:anchor="_bookmark321">
        <w:r>
          <w:rPr>
            <w:sz w:val="21"/>
            <w:vertAlign w:val="superscript"/>
          </w:rPr>
          <w:t>5</w:t>
        </w:r>
      </w:hyperlink>
      <w:r>
        <w:rPr>
          <w:sz w:val="21"/>
          <w:vertAlign w:val="baseline"/>
        </w:rPr>
        <w:t> A staggering 85% of LGBTQ youth in the legal system are youth of color, which not only highlights the overrepresentation</w:t>
      </w:r>
      <w:r>
        <w:rPr>
          <w:spacing w:val="-10"/>
          <w:sz w:val="21"/>
          <w:vertAlign w:val="baseline"/>
        </w:rPr>
        <w:t> </w:t>
      </w:r>
      <w:r>
        <w:rPr>
          <w:sz w:val="21"/>
          <w:vertAlign w:val="baseline"/>
        </w:rPr>
        <w:t>of</w:t>
      </w:r>
      <w:r>
        <w:rPr>
          <w:spacing w:val="-11"/>
          <w:sz w:val="21"/>
          <w:vertAlign w:val="baseline"/>
        </w:rPr>
        <w:t> </w:t>
      </w:r>
      <w:r>
        <w:rPr>
          <w:sz w:val="21"/>
          <w:vertAlign w:val="baseline"/>
        </w:rPr>
        <w:t>these</w:t>
      </w:r>
      <w:r>
        <w:rPr>
          <w:spacing w:val="-12"/>
          <w:sz w:val="21"/>
          <w:vertAlign w:val="baseline"/>
        </w:rPr>
        <w:t> </w:t>
      </w:r>
      <w:r>
        <w:rPr>
          <w:sz w:val="21"/>
          <w:vertAlign w:val="baseline"/>
        </w:rPr>
        <w:t>groups</w:t>
      </w:r>
      <w:r>
        <w:rPr>
          <w:spacing w:val="-11"/>
          <w:sz w:val="21"/>
          <w:vertAlign w:val="baseline"/>
        </w:rPr>
        <w:t> </w:t>
      </w:r>
      <w:r>
        <w:rPr>
          <w:sz w:val="21"/>
          <w:vertAlign w:val="baseline"/>
        </w:rPr>
        <w:t>but</w:t>
      </w:r>
      <w:r>
        <w:rPr>
          <w:spacing w:val="-10"/>
          <w:sz w:val="21"/>
          <w:vertAlign w:val="baseline"/>
        </w:rPr>
        <w:t> </w:t>
      </w:r>
      <w:r>
        <w:rPr>
          <w:sz w:val="21"/>
          <w:vertAlign w:val="baseline"/>
        </w:rPr>
        <w:t>also</w:t>
      </w:r>
      <w:r>
        <w:rPr>
          <w:spacing w:val="-11"/>
          <w:sz w:val="21"/>
          <w:vertAlign w:val="baseline"/>
        </w:rPr>
        <w:t> </w:t>
      </w:r>
      <w:r>
        <w:rPr>
          <w:sz w:val="21"/>
          <w:vertAlign w:val="baseline"/>
        </w:rPr>
        <w:t>reflects</w:t>
      </w:r>
      <w:r>
        <w:rPr>
          <w:spacing w:val="-11"/>
          <w:sz w:val="21"/>
          <w:vertAlign w:val="baseline"/>
        </w:rPr>
        <w:t> </w:t>
      </w:r>
      <w:r>
        <w:rPr>
          <w:sz w:val="21"/>
          <w:vertAlign w:val="baseline"/>
        </w:rPr>
        <w:t>broader</w:t>
      </w:r>
      <w:r>
        <w:rPr>
          <w:spacing w:val="-10"/>
          <w:sz w:val="21"/>
          <w:vertAlign w:val="baseline"/>
        </w:rPr>
        <w:t> </w:t>
      </w:r>
      <w:r>
        <w:rPr>
          <w:sz w:val="21"/>
          <w:vertAlign w:val="baseline"/>
        </w:rPr>
        <w:t>racial</w:t>
      </w:r>
      <w:r>
        <w:rPr>
          <w:spacing w:val="-10"/>
          <w:sz w:val="21"/>
          <w:vertAlign w:val="baseline"/>
        </w:rPr>
        <w:t> </w:t>
      </w:r>
      <w:r>
        <w:rPr>
          <w:sz w:val="21"/>
          <w:vertAlign w:val="baseline"/>
        </w:rPr>
        <w:t>disparities.</w:t>
      </w:r>
      <w:hyperlink w:history="true" w:anchor="_bookmark322">
        <w:r>
          <w:rPr>
            <w:sz w:val="21"/>
            <w:vertAlign w:val="superscript"/>
          </w:rPr>
          <w:t>6</w:t>
        </w:r>
      </w:hyperlink>
      <w:r>
        <w:rPr>
          <w:spacing w:val="-3"/>
          <w:sz w:val="21"/>
          <w:vertAlign w:val="baseline"/>
        </w:rPr>
        <w:t> </w:t>
      </w:r>
      <w:r>
        <w:rPr>
          <w:sz w:val="21"/>
          <w:vertAlign w:val="baseline"/>
        </w:rPr>
        <w:t>Risk</w:t>
      </w:r>
      <w:r>
        <w:rPr>
          <w:spacing w:val="-10"/>
          <w:sz w:val="21"/>
          <w:vertAlign w:val="baseline"/>
        </w:rPr>
        <w:t> </w:t>
      </w:r>
      <w:r>
        <w:rPr>
          <w:sz w:val="21"/>
          <w:vertAlign w:val="baseline"/>
        </w:rPr>
        <w:t>factors</w:t>
      </w:r>
      <w:r>
        <w:rPr>
          <w:spacing w:val="-11"/>
          <w:sz w:val="21"/>
          <w:vertAlign w:val="baseline"/>
        </w:rPr>
        <w:t> </w:t>
      </w:r>
      <w:r>
        <w:rPr>
          <w:sz w:val="21"/>
          <w:vertAlign w:val="baseline"/>
        </w:rPr>
        <w:t>such</w:t>
      </w:r>
      <w:r>
        <w:rPr>
          <w:spacing w:val="-10"/>
          <w:sz w:val="21"/>
          <w:vertAlign w:val="baseline"/>
        </w:rPr>
        <w:t> </w:t>
      </w:r>
      <w:r>
        <w:rPr>
          <w:sz w:val="21"/>
          <w:vertAlign w:val="baseline"/>
        </w:rPr>
        <w:t>as</w:t>
      </w:r>
      <w:r>
        <w:rPr>
          <w:spacing w:val="-11"/>
          <w:sz w:val="21"/>
          <w:vertAlign w:val="baseline"/>
        </w:rPr>
        <w:t> </w:t>
      </w:r>
      <w:r>
        <w:rPr>
          <w:sz w:val="21"/>
          <w:vertAlign w:val="baseline"/>
        </w:rPr>
        <w:t>truancy, bullying,</w:t>
      </w:r>
      <w:r>
        <w:rPr>
          <w:spacing w:val="-2"/>
          <w:sz w:val="21"/>
          <w:vertAlign w:val="baseline"/>
        </w:rPr>
        <w:t> </w:t>
      </w:r>
      <w:r>
        <w:rPr>
          <w:sz w:val="21"/>
          <w:vertAlign w:val="baseline"/>
        </w:rPr>
        <w:t>and</w:t>
      </w:r>
      <w:r>
        <w:rPr>
          <w:spacing w:val="-4"/>
          <w:sz w:val="21"/>
          <w:vertAlign w:val="baseline"/>
        </w:rPr>
        <w:t> </w:t>
      </w:r>
      <w:r>
        <w:rPr>
          <w:sz w:val="21"/>
          <w:vertAlign w:val="baseline"/>
        </w:rPr>
        <w:t>homelessness,</w:t>
      </w:r>
      <w:r>
        <w:rPr>
          <w:spacing w:val="-2"/>
          <w:sz w:val="21"/>
          <w:vertAlign w:val="baseline"/>
        </w:rPr>
        <w:t> </w:t>
      </w:r>
      <w:r>
        <w:rPr>
          <w:sz w:val="21"/>
          <w:vertAlign w:val="baseline"/>
        </w:rPr>
        <w:t>often</w:t>
      </w:r>
      <w:r>
        <w:rPr>
          <w:spacing w:val="-3"/>
          <w:sz w:val="21"/>
          <w:vertAlign w:val="baseline"/>
        </w:rPr>
        <w:t> </w:t>
      </w:r>
      <w:r>
        <w:rPr>
          <w:sz w:val="21"/>
          <w:vertAlign w:val="baseline"/>
        </w:rPr>
        <w:t>exacerbated</w:t>
      </w:r>
      <w:r>
        <w:rPr>
          <w:spacing w:val="-3"/>
          <w:sz w:val="21"/>
          <w:vertAlign w:val="baseline"/>
        </w:rPr>
        <w:t> </w:t>
      </w:r>
      <w:r>
        <w:rPr>
          <w:sz w:val="21"/>
          <w:vertAlign w:val="baseline"/>
        </w:rPr>
        <w:t>by</w:t>
      </w:r>
      <w:r>
        <w:rPr>
          <w:spacing w:val="-3"/>
          <w:sz w:val="21"/>
          <w:vertAlign w:val="baseline"/>
        </w:rPr>
        <w:t> </w:t>
      </w:r>
      <w:r>
        <w:rPr>
          <w:sz w:val="21"/>
          <w:vertAlign w:val="baseline"/>
        </w:rPr>
        <w:t>discrimination,</w:t>
      </w:r>
      <w:r>
        <w:rPr>
          <w:spacing w:val="-2"/>
          <w:sz w:val="21"/>
          <w:vertAlign w:val="baseline"/>
        </w:rPr>
        <w:t> </w:t>
      </w:r>
      <w:r>
        <w:rPr>
          <w:sz w:val="21"/>
          <w:vertAlign w:val="baseline"/>
        </w:rPr>
        <w:t>further</w:t>
      </w:r>
      <w:r>
        <w:rPr>
          <w:spacing w:val="-3"/>
          <w:sz w:val="21"/>
          <w:vertAlign w:val="baseline"/>
        </w:rPr>
        <w:t> </w:t>
      </w:r>
      <w:r>
        <w:rPr>
          <w:sz w:val="21"/>
          <w:vertAlign w:val="baseline"/>
        </w:rPr>
        <w:t>propel</w:t>
      </w:r>
      <w:r>
        <w:rPr>
          <w:spacing w:val="-3"/>
          <w:sz w:val="21"/>
          <w:vertAlign w:val="baseline"/>
        </w:rPr>
        <w:t> </w:t>
      </w:r>
      <w:r>
        <w:rPr>
          <w:sz w:val="21"/>
          <w:vertAlign w:val="baseline"/>
        </w:rPr>
        <w:t>LGBTQ</w:t>
      </w:r>
      <w:r>
        <w:rPr>
          <w:spacing w:val="-3"/>
          <w:sz w:val="21"/>
          <w:vertAlign w:val="baseline"/>
        </w:rPr>
        <w:t> </w:t>
      </w:r>
      <w:r>
        <w:rPr>
          <w:sz w:val="21"/>
          <w:vertAlign w:val="baseline"/>
        </w:rPr>
        <w:t>youth,</w:t>
      </w:r>
      <w:r>
        <w:rPr>
          <w:spacing w:val="-4"/>
          <w:sz w:val="21"/>
          <w:vertAlign w:val="baseline"/>
        </w:rPr>
        <w:t> </w:t>
      </w:r>
      <w:r>
        <w:rPr>
          <w:sz w:val="21"/>
          <w:vertAlign w:val="baseline"/>
        </w:rPr>
        <w:t>particularly transgender youth and youth of color, towards the criminal legal system.</w:t>
      </w:r>
      <w:hyperlink w:history="true" w:anchor="_bookmark323">
        <w:r>
          <w:rPr>
            <w:sz w:val="21"/>
            <w:vertAlign w:val="superscript"/>
          </w:rPr>
          <w:t>7</w:t>
        </w:r>
      </w:hyperlink>
    </w:p>
    <w:p>
      <w:pPr>
        <w:spacing w:line="276" w:lineRule="auto" w:before="240"/>
        <w:ind w:left="5573" w:right="240" w:firstLine="0"/>
        <w:jc w:val="both"/>
        <w:rPr>
          <w:sz w:val="21"/>
        </w:rPr>
      </w:pPr>
      <w:r>
        <w:rPr/>
        <w:drawing>
          <wp:anchor distT="0" distB="0" distL="0" distR="0" allowOverlap="1" layoutInCell="1" locked="0" behindDoc="0" simplePos="0" relativeHeight="15801856">
            <wp:simplePos x="0" y="0"/>
            <wp:positionH relativeFrom="page">
              <wp:posOffset>922725</wp:posOffset>
            </wp:positionH>
            <wp:positionV relativeFrom="paragraph">
              <wp:posOffset>159251</wp:posOffset>
            </wp:positionV>
            <wp:extent cx="3201175" cy="1621151"/>
            <wp:effectExtent l="0" t="0" r="0" b="0"/>
            <wp:wrapNone/>
            <wp:docPr id="395" name="Image 395" descr="A close-up of a text  Description automatically generated "/>
            <wp:cNvGraphicFramePr>
              <a:graphicFrameLocks/>
            </wp:cNvGraphicFramePr>
            <a:graphic>
              <a:graphicData uri="http://schemas.openxmlformats.org/drawingml/2006/picture">
                <pic:pic>
                  <pic:nvPicPr>
                    <pic:cNvPr id="395" name="Image 395" descr="A close-up of a text  Description automatically generated "/>
                    <pic:cNvPicPr/>
                  </pic:nvPicPr>
                  <pic:blipFill>
                    <a:blip r:embed="rId472" cstate="print"/>
                    <a:stretch>
                      <a:fillRect/>
                    </a:stretch>
                  </pic:blipFill>
                  <pic:spPr>
                    <a:xfrm>
                      <a:off x="0" y="0"/>
                      <a:ext cx="3201175" cy="1621151"/>
                    </a:xfrm>
                    <a:prstGeom prst="rect">
                      <a:avLst/>
                    </a:prstGeom>
                  </pic:spPr>
                </pic:pic>
              </a:graphicData>
            </a:graphic>
          </wp:anchor>
        </w:drawing>
      </w:r>
      <w:r>
        <w:rPr>
          <w:sz w:val="21"/>
        </w:rPr>
        <w:t>These issues are deeply intertwined with systemic racial disparities, with studies showing that compared to White youth, Black youth are four times, Native American youth are</w:t>
      </w:r>
      <w:r>
        <w:rPr>
          <w:spacing w:val="-12"/>
          <w:sz w:val="21"/>
        </w:rPr>
        <w:t> </w:t>
      </w:r>
      <w:r>
        <w:rPr>
          <w:sz w:val="21"/>
        </w:rPr>
        <w:t>nearly</w:t>
      </w:r>
      <w:r>
        <w:rPr>
          <w:spacing w:val="-12"/>
          <w:sz w:val="21"/>
        </w:rPr>
        <w:t> </w:t>
      </w:r>
      <w:r>
        <w:rPr>
          <w:sz w:val="21"/>
        </w:rPr>
        <w:t>three</w:t>
      </w:r>
      <w:r>
        <w:rPr>
          <w:spacing w:val="-12"/>
          <w:sz w:val="21"/>
        </w:rPr>
        <w:t> </w:t>
      </w:r>
      <w:r>
        <w:rPr>
          <w:sz w:val="21"/>
        </w:rPr>
        <w:t>times,</w:t>
      </w:r>
      <w:r>
        <w:rPr>
          <w:spacing w:val="-12"/>
          <w:sz w:val="21"/>
        </w:rPr>
        <w:t> </w:t>
      </w:r>
      <w:r>
        <w:rPr>
          <w:sz w:val="21"/>
        </w:rPr>
        <w:t>and</w:t>
      </w:r>
      <w:r>
        <w:rPr>
          <w:spacing w:val="-12"/>
          <w:sz w:val="21"/>
        </w:rPr>
        <w:t> </w:t>
      </w:r>
      <w:r>
        <w:rPr>
          <w:sz w:val="21"/>
        </w:rPr>
        <w:t>Latinx</w:t>
      </w:r>
      <w:r>
        <w:rPr>
          <w:spacing w:val="-12"/>
          <w:sz w:val="21"/>
        </w:rPr>
        <w:t> </w:t>
      </w:r>
      <w:r>
        <w:rPr>
          <w:sz w:val="21"/>
        </w:rPr>
        <w:t>youth</w:t>
      </w:r>
      <w:r>
        <w:rPr>
          <w:spacing w:val="-12"/>
          <w:sz w:val="21"/>
        </w:rPr>
        <w:t> </w:t>
      </w:r>
      <w:r>
        <w:rPr>
          <w:sz w:val="21"/>
        </w:rPr>
        <w:t>are</w:t>
      </w:r>
      <w:r>
        <w:rPr>
          <w:spacing w:val="-11"/>
          <w:sz w:val="21"/>
        </w:rPr>
        <w:t> </w:t>
      </w:r>
      <w:r>
        <w:rPr>
          <w:sz w:val="21"/>
        </w:rPr>
        <w:t>1.5 times more likely to be incarcerated.</w:t>
      </w:r>
      <w:r>
        <w:rPr>
          <w:spacing w:val="-12"/>
          <w:sz w:val="21"/>
        </w:rPr>
        <w:t> </w:t>
      </w:r>
      <w:hyperlink w:history="true" w:anchor="_bookmark324">
        <w:r>
          <w:rPr>
            <w:sz w:val="21"/>
            <w:vertAlign w:val="superscript"/>
          </w:rPr>
          <w:t>8</w:t>
        </w:r>
      </w:hyperlink>
      <w:r>
        <w:rPr>
          <w:sz w:val="21"/>
          <w:vertAlign w:val="baseline"/>
        </w:rPr>
        <w:t> Such statistics</w:t>
      </w:r>
      <w:r>
        <w:rPr>
          <w:spacing w:val="-8"/>
          <w:sz w:val="21"/>
          <w:vertAlign w:val="baseline"/>
        </w:rPr>
        <w:t> </w:t>
      </w:r>
      <w:r>
        <w:rPr>
          <w:sz w:val="21"/>
          <w:vertAlign w:val="baseline"/>
        </w:rPr>
        <w:t>are</w:t>
      </w:r>
      <w:r>
        <w:rPr>
          <w:spacing w:val="-8"/>
          <w:sz w:val="21"/>
          <w:vertAlign w:val="baseline"/>
        </w:rPr>
        <w:t> </w:t>
      </w:r>
      <w:r>
        <w:rPr>
          <w:sz w:val="21"/>
          <w:vertAlign w:val="baseline"/>
        </w:rPr>
        <w:t>alarming</w:t>
      </w:r>
      <w:r>
        <w:rPr>
          <w:spacing w:val="-8"/>
          <w:sz w:val="21"/>
          <w:vertAlign w:val="baseline"/>
        </w:rPr>
        <w:t> </w:t>
      </w:r>
      <w:r>
        <w:rPr>
          <w:sz w:val="21"/>
          <w:vertAlign w:val="baseline"/>
        </w:rPr>
        <w:t>and</w:t>
      </w:r>
      <w:r>
        <w:rPr>
          <w:spacing w:val="-8"/>
          <w:sz w:val="21"/>
          <w:vertAlign w:val="baseline"/>
        </w:rPr>
        <w:t> </w:t>
      </w:r>
      <w:r>
        <w:rPr>
          <w:sz w:val="21"/>
          <w:vertAlign w:val="baseline"/>
        </w:rPr>
        <w:t>highlight</w:t>
      </w:r>
      <w:r>
        <w:rPr>
          <w:spacing w:val="-7"/>
          <w:sz w:val="21"/>
          <w:vertAlign w:val="baseline"/>
        </w:rPr>
        <w:t> </w:t>
      </w:r>
      <w:r>
        <w:rPr>
          <w:sz w:val="21"/>
          <w:vertAlign w:val="baseline"/>
        </w:rPr>
        <w:t>the</w:t>
      </w:r>
      <w:r>
        <w:rPr>
          <w:spacing w:val="-7"/>
          <w:sz w:val="21"/>
          <w:vertAlign w:val="baseline"/>
        </w:rPr>
        <w:t> </w:t>
      </w:r>
      <w:r>
        <w:rPr>
          <w:sz w:val="21"/>
          <w:vertAlign w:val="baseline"/>
        </w:rPr>
        <w:t>urgent need for targeted, equitable reforms. The Commission's</w:t>
      </w:r>
      <w:r>
        <w:rPr>
          <w:spacing w:val="66"/>
          <w:sz w:val="21"/>
          <w:vertAlign w:val="baseline"/>
        </w:rPr>
        <w:t>  </w:t>
      </w:r>
      <w:r>
        <w:rPr>
          <w:sz w:val="21"/>
          <w:vertAlign w:val="baseline"/>
        </w:rPr>
        <w:t>efforts</w:t>
      </w:r>
      <w:r>
        <w:rPr>
          <w:spacing w:val="66"/>
          <w:sz w:val="21"/>
          <w:vertAlign w:val="baseline"/>
        </w:rPr>
        <w:t>  </w:t>
      </w:r>
      <w:r>
        <w:rPr>
          <w:sz w:val="21"/>
          <w:vertAlign w:val="baseline"/>
        </w:rPr>
        <w:t>to</w:t>
      </w:r>
      <w:r>
        <w:rPr>
          <w:spacing w:val="66"/>
          <w:sz w:val="21"/>
          <w:vertAlign w:val="baseline"/>
        </w:rPr>
        <w:t>  </w:t>
      </w:r>
      <w:r>
        <w:rPr>
          <w:sz w:val="21"/>
          <w:vertAlign w:val="baseline"/>
        </w:rPr>
        <w:t>combat</w:t>
      </w:r>
      <w:r>
        <w:rPr>
          <w:spacing w:val="66"/>
          <w:sz w:val="21"/>
          <w:vertAlign w:val="baseline"/>
        </w:rPr>
        <w:t>  </w:t>
      </w:r>
      <w:r>
        <w:rPr>
          <w:spacing w:val="-2"/>
          <w:sz w:val="21"/>
          <w:vertAlign w:val="baseline"/>
        </w:rPr>
        <w:t>these</w:t>
      </w:r>
    </w:p>
    <w:p>
      <w:pPr>
        <w:spacing w:line="276" w:lineRule="auto" w:before="0"/>
        <w:ind w:left="464" w:right="241" w:firstLine="0"/>
        <w:jc w:val="both"/>
        <w:rPr>
          <w:sz w:val="21"/>
        </w:rPr>
      </w:pPr>
      <w:r>
        <w:rPr>
          <w:sz w:val="21"/>
        </w:rPr>
        <w:t>disparities involve close collaboration with various state agencies and community organizations, including Citizens for Juvenile Justice and the statewide Juvenile Justice Coalition. By advancing legislation and promoting</w:t>
      </w:r>
      <w:r>
        <w:rPr>
          <w:spacing w:val="-7"/>
          <w:sz w:val="21"/>
        </w:rPr>
        <w:t> </w:t>
      </w:r>
      <w:r>
        <w:rPr>
          <w:sz w:val="21"/>
        </w:rPr>
        <w:t>equitable</w:t>
      </w:r>
      <w:r>
        <w:rPr>
          <w:spacing w:val="-7"/>
          <w:sz w:val="21"/>
        </w:rPr>
        <w:t> </w:t>
      </w:r>
      <w:r>
        <w:rPr>
          <w:sz w:val="21"/>
        </w:rPr>
        <w:t>state</w:t>
      </w:r>
      <w:r>
        <w:rPr>
          <w:spacing w:val="-7"/>
          <w:sz w:val="21"/>
        </w:rPr>
        <w:t> </w:t>
      </w:r>
      <w:r>
        <w:rPr>
          <w:sz w:val="21"/>
        </w:rPr>
        <w:t>policies,</w:t>
      </w:r>
      <w:r>
        <w:rPr>
          <w:spacing w:val="-6"/>
          <w:sz w:val="21"/>
        </w:rPr>
        <w:t> </w:t>
      </w:r>
      <w:r>
        <w:rPr>
          <w:sz w:val="21"/>
        </w:rPr>
        <w:t>significant</w:t>
      </w:r>
      <w:r>
        <w:rPr>
          <w:spacing w:val="-6"/>
          <w:sz w:val="21"/>
        </w:rPr>
        <w:t> </w:t>
      </w:r>
      <w:r>
        <w:rPr>
          <w:sz w:val="21"/>
        </w:rPr>
        <w:t>strides</w:t>
      </w:r>
      <w:r>
        <w:rPr>
          <w:spacing w:val="-7"/>
          <w:sz w:val="21"/>
        </w:rPr>
        <w:t> </w:t>
      </w:r>
      <w:r>
        <w:rPr>
          <w:sz w:val="21"/>
        </w:rPr>
        <w:t>have</w:t>
      </w:r>
      <w:r>
        <w:rPr>
          <w:spacing w:val="-7"/>
          <w:sz w:val="21"/>
        </w:rPr>
        <w:t> </w:t>
      </w:r>
      <w:r>
        <w:rPr>
          <w:sz w:val="21"/>
        </w:rPr>
        <w:t>been</w:t>
      </w:r>
      <w:r>
        <w:rPr>
          <w:spacing w:val="-7"/>
          <w:sz w:val="21"/>
        </w:rPr>
        <w:t> </w:t>
      </w:r>
      <w:r>
        <w:rPr>
          <w:sz w:val="21"/>
        </w:rPr>
        <w:t>made</w:t>
      </w:r>
      <w:r>
        <w:rPr>
          <w:spacing w:val="-8"/>
          <w:sz w:val="21"/>
        </w:rPr>
        <w:t> </w:t>
      </w:r>
      <w:r>
        <w:rPr>
          <w:sz w:val="21"/>
        </w:rPr>
        <w:t>towards</w:t>
      </w:r>
      <w:r>
        <w:rPr>
          <w:spacing w:val="-7"/>
          <w:sz w:val="21"/>
        </w:rPr>
        <w:t> </w:t>
      </w:r>
      <w:r>
        <w:rPr>
          <w:sz w:val="21"/>
        </w:rPr>
        <w:t>reforming</w:t>
      </w:r>
      <w:r>
        <w:rPr>
          <w:spacing w:val="-7"/>
          <w:sz w:val="21"/>
        </w:rPr>
        <w:t> </w:t>
      </w:r>
      <w:r>
        <w:rPr>
          <w:sz w:val="21"/>
        </w:rPr>
        <w:t>the</w:t>
      </w:r>
      <w:r>
        <w:rPr>
          <w:spacing w:val="-7"/>
          <w:sz w:val="21"/>
        </w:rPr>
        <w:t> </w:t>
      </w:r>
      <w:r>
        <w:rPr>
          <w:sz w:val="21"/>
        </w:rPr>
        <w:t>juvenile</w:t>
      </w:r>
      <w:r>
        <w:rPr>
          <w:spacing w:val="-7"/>
          <w:sz w:val="21"/>
        </w:rPr>
        <w:t> </w:t>
      </w:r>
      <w:r>
        <w:rPr>
          <w:sz w:val="21"/>
        </w:rPr>
        <w:t>legal system to be more inclusive and supportive of LGBTQ youth.</w:t>
      </w:r>
    </w:p>
    <w:p>
      <w:pPr>
        <w:spacing w:after="0" w:line="276" w:lineRule="auto"/>
        <w:jc w:val="both"/>
        <w:rPr>
          <w:sz w:val="21"/>
        </w:rPr>
        <w:sectPr>
          <w:headerReference w:type="default" r:id="rId470"/>
          <w:footerReference w:type="default" r:id="rId471"/>
          <w:pgSz w:w="12240" w:h="15840"/>
          <w:pgMar w:header="763" w:footer="1041" w:top="1360" w:bottom="1240" w:left="1120" w:right="1340"/>
          <w:pgNumType w:start="161"/>
        </w:sectPr>
      </w:pPr>
    </w:p>
    <w:p>
      <w:pPr>
        <w:spacing w:line="276" w:lineRule="auto" w:before="65"/>
        <w:ind w:left="464" w:right="238" w:firstLine="0"/>
        <w:jc w:val="both"/>
        <w:rPr>
          <w:sz w:val="21"/>
        </w:rPr>
      </w:pPr>
      <w:r>
        <w:rPr>
          <w:sz w:val="21"/>
        </w:rPr>
        <w:t>Despite</w:t>
      </w:r>
      <w:r>
        <w:rPr>
          <w:spacing w:val="-5"/>
          <w:sz w:val="21"/>
        </w:rPr>
        <w:t> </w:t>
      </w:r>
      <w:r>
        <w:rPr>
          <w:sz w:val="21"/>
        </w:rPr>
        <w:t>progress</w:t>
      </w:r>
      <w:r>
        <w:rPr>
          <w:spacing w:val="-6"/>
          <w:sz w:val="21"/>
        </w:rPr>
        <w:t> </w:t>
      </w:r>
      <w:r>
        <w:rPr>
          <w:sz w:val="21"/>
        </w:rPr>
        <w:t>towards</w:t>
      </w:r>
      <w:r>
        <w:rPr>
          <w:spacing w:val="-6"/>
          <w:sz w:val="21"/>
        </w:rPr>
        <w:t> </w:t>
      </w:r>
      <w:r>
        <w:rPr>
          <w:sz w:val="21"/>
        </w:rPr>
        <w:t>creating</w:t>
      </w:r>
      <w:r>
        <w:rPr>
          <w:spacing w:val="-6"/>
          <w:sz w:val="21"/>
        </w:rPr>
        <w:t> </w:t>
      </w:r>
      <w:r>
        <w:rPr>
          <w:sz w:val="21"/>
        </w:rPr>
        <w:t>safer</w:t>
      </w:r>
      <w:r>
        <w:rPr>
          <w:spacing w:val="-5"/>
          <w:sz w:val="21"/>
        </w:rPr>
        <w:t> </w:t>
      </w:r>
      <w:r>
        <w:rPr>
          <w:sz w:val="21"/>
        </w:rPr>
        <w:t>and</w:t>
      </w:r>
      <w:r>
        <w:rPr>
          <w:spacing w:val="-5"/>
          <w:sz w:val="21"/>
        </w:rPr>
        <w:t> </w:t>
      </w:r>
      <w:r>
        <w:rPr>
          <w:sz w:val="21"/>
        </w:rPr>
        <w:t>more</w:t>
      </w:r>
      <w:r>
        <w:rPr>
          <w:spacing w:val="-5"/>
          <w:sz w:val="21"/>
        </w:rPr>
        <w:t> </w:t>
      </w:r>
      <w:r>
        <w:rPr>
          <w:sz w:val="21"/>
        </w:rPr>
        <w:t>affirming</w:t>
      </w:r>
      <w:r>
        <w:rPr>
          <w:spacing w:val="-6"/>
          <w:sz w:val="21"/>
        </w:rPr>
        <w:t> </w:t>
      </w:r>
      <w:r>
        <w:rPr>
          <w:sz w:val="21"/>
        </w:rPr>
        <w:t>environments</w:t>
      </w:r>
      <w:r>
        <w:rPr>
          <w:spacing w:val="-6"/>
          <w:sz w:val="21"/>
        </w:rPr>
        <w:t> </w:t>
      </w:r>
      <w:r>
        <w:rPr>
          <w:sz w:val="21"/>
        </w:rPr>
        <w:t>within</w:t>
      </w:r>
      <w:r>
        <w:rPr>
          <w:spacing w:val="-7"/>
          <w:sz w:val="21"/>
        </w:rPr>
        <w:t> </w:t>
      </w:r>
      <w:r>
        <w:rPr>
          <w:sz w:val="21"/>
        </w:rPr>
        <w:t>the</w:t>
      </w:r>
      <w:r>
        <w:rPr>
          <w:spacing w:val="-5"/>
          <w:sz w:val="21"/>
        </w:rPr>
        <w:t> </w:t>
      </w:r>
      <w:r>
        <w:rPr>
          <w:sz w:val="21"/>
        </w:rPr>
        <w:t>Department</w:t>
      </w:r>
      <w:r>
        <w:rPr>
          <w:spacing w:val="-5"/>
          <w:sz w:val="21"/>
        </w:rPr>
        <w:t> </w:t>
      </w:r>
      <w:r>
        <w:rPr>
          <w:sz w:val="21"/>
        </w:rPr>
        <w:t>of</w:t>
      </w:r>
      <w:r>
        <w:rPr>
          <w:spacing w:val="-6"/>
          <w:sz w:val="21"/>
        </w:rPr>
        <w:t> </w:t>
      </w:r>
      <w:r>
        <w:rPr>
          <w:sz w:val="21"/>
        </w:rPr>
        <w:t>Youth Services</w:t>
      </w:r>
      <w:r>
        <w:rPr>
          <w:spacing w:val="-11"/>
          <w:sz w:val="21"/>
        </w:rPr>
        <w:t> </w:t>
      </w:r>
      <w:r>
        <w:rPr>
          <w:sz w:val="21"/>
        </w:rPr>
        <w:t>(DYS),</w:t>
      </w:r>
      <w:r>
        <w:rPr>
          <w:spacing w:val="-10"/>
          <w:sz w:val="21"/>
        </w:rPr>
        <w:t> </w:t>
      </w:r>
      <w:r>
        <w:rPr>
          <w:sz w:val="21"/>
        </w:rPr>
        <w:t>much</w:t>
      </w:r>
      <w:r>
        <w:rPr>
          <w:spacing w:val="-10"/>
          <w:sz w:val="21"/>
        </w:rPr>
        <w:t> </w:t>
      </w:r>
      <w:r>
        <w:rPr>
          <w:sz w:val="21"/>
        </w:rPr>
        <w:t>remains</w:t>
      </w:r>
      <w:r>
        <w:rPr>
          <w:spacing w:val="-11"/>
          <w:sz w:val="21"/>
        </w:rPr>
        <w:t> </w:t>
      </w:r>
      <w:r>
        <w:rPr>
          <w:sz w:val="21"/>
        </w:rPr>
        <w:t>to</w:t>
      </w:r>
      <w:r>
        <w:rPr>
          <w:spacing w:val="-11"/>
          <w:sz w:val="21"/>
        </w:rPr>
        <w:t> </w:t>
      </w:r>
      <w:r>
        <w:rPr>
          <w:sz w:val="21"/>
        </w:rPr>
        <w:t>be</w:t>
      </w:r>
      <w:r>
        <w:rPr>
          <w:spacing w:val="-10"/>
          <w:sz w:val="21"/>
        </w:rPr>
        <w:t> </w:t>
      </w:r>
      <w:r>
        <w:rPr>
          <w:sz w:val="21"/>
        </w:rPr>
        <w:t>done.</w:t>
      </w:r>
      <w:r>
        <w:rPr>
          <w:spacing w:val="-10"/>
          <w:sz w:val="21"/>
        </w:rPr>
        <w:t> </w:t>
      </w:r>
      <w:r>
        <w:rPr>
          <w:sz w:val="21"/>
        </w:rPr>
        <w:t>The</w:t>
      </w:r>
      <w:r>
        <w:rPr>
          <w:spacing w:val="-10"/>
          <w:sz w:val="21"/>
        </w:rPr>
        <w:t> </w:t>
      </w:r>
      <w:r>
        <w:rPr>
          <w:sz w:val="21"/>
        </w:rPr>
        <w:t>overarching</w:t>
      </w:r>
      <w:r>
        <w:rPr>
          <w:spacing w:val="-11"/>
          <w:sz w:val="21"/>
        </w:rPr>
        <w:t> </w:t>
      </w:r>
      <w:r>
        <w:rPr>
          <w:sz w:val="21"/>
        </w:rPr>
        <w:t>challenge</w:t>
      </w:r>
      <w:r>
        <w:rPr>
          <w:spacing w:val="-10"/>
          <w:sz w:val="21"/>
        </w:rPr>
        <w:t> </w:t>
      </w:r>
      <w:r>
        <w:rPr>
          <w:sz w:val="21"/>
        </w:rPr>
        <w:t>is</w:t>
      </w:r>
      <w:r>
        <w:rPr>
          <w:spacing w:val="-10"/>
          <w:sz w:val="21"/>
        </w:rPr>
        <w:t> </w:t>
      </w:r>
      <w:r>
        <w:rPr>
          <w:sz w:val="21"/>
        </w:rPr>
        <w:t>preventing</w:t>
      </w:r>
      <w:r>
        <w:rPr>
          <w:spacing w:val="-11"/>
          <w:sz w:val="21"/>
        </w:rPr>
        <w:t> </w:t>
      </w:r>
      <w:r>
        <w:rPr>
          <w:sz w:val="21"/>
        </w:rPr>
        <w:t>the</w:t>
      </w:r>
      <w:r>
        <w:rPr>
          <w:spacing w:val="-10"/>
          <w:sz w:val="21"/>
        </w:rPr>
        <w:t> </w:t>
      </w:r>
      <w:r>
        <w:rPr>
          <w:sz w:val="21"/>
        </w:rPr>
        <w:t>entry</w:t>
      </w:r>
      <w:r>
        <w:rPr>
          <w:spacing w:val="-11"/>
          <w:sz w:val="21"/>
        </w:rPr>
        <w:t> </w:t>
      </w:r>
      <w:r>
        <w:rPr>
          <w:sz w:val="21"/>
        </w:rPr>
        <w:t>of</w:t>
      </w:r>
      <w:r>
        <w:rPr>
          <w:spacing w:val="-11"/>
          <w:sz w:val="21"/>
        </w:rPr>
        <w:t> </w:t>
      </w:r>
      <w:r>
        <w:rPr>
          <w:sz w:val="21"/>
        </w:rPr>
        <w:t>LGBTQ</w:t>
      </w:r>
      <w:r>
        <w:rPr>
          <w:spacing w:val="-10"/>
          <w:sz w:val="21"/>
        </w:rPr>
        <w:t> </w:t>
      </w:r>
      <w:r>
        <w:rPr>
          <w:sz w:val="21"/>
        </w:rPr>
        <w:t>youth into</w:t>
      </w:r>
      <w:r>
        <w:rPr>
          <w:spacing w:val="-10"/>
          <w:sz w:val="21"/>
        </w:rPr>
        <w:t> </w:t>
      </w:r>
      <w:r>
        <w:rPr>
          <w:sz w:val="21"/>
        </w:rPr>
        <w:t>these</w:t>
      </w:r>
      <w:r>
        <w:rPr>
          <w:spacing w:val="-9"/>
          <w:sz w:val="21"/>
        </w:rPr>
        <w:t> </w:t>
      </w:r>
      <w:r>
        <w:rPr>
          <w:sz w:val="21"/>
        </w:rPr>
        <w:t>systems</w:t>
      </w:r>
      <w:r>
        <w:rPr>
          <w:spacing w:val="-10"/>
          <w:sz w:val="21"/>
        </w:rPr>
        <w:t> </w:t>
      </w:r>
      <w:r>
        <w:rPr>
          <w:sz w:val="21"/>
        </w:rPr>
        <w:t>in</w:t>
      </w:r>
      <w:r>
        <w:rPr>
          <w:spacing w:val="-9"/>
          <w:sz w:val="21"/>
        </w:rPr>
        <w:t> </w:t>
      </w:r>
      <w:r>
        <w:rPr>
          <w:sz w:val="21"/>
        </w:rPr>
        <w:t>the</w:t>
      </w:r>
      <w:r>
        <w:rPr>
          <w:spacing w:val="-9"/>
          <w:sz w:val="21"/>
        </w:rPr>
        <w:t> </w:t>
      </w:r>
      <w:r>
        <w:rPr>
          <w:sz w:val="21"/>
        </w:rPr>
        <w:t>first</w:t>
      </w:r>
      <w:r>
        <w:rPr>
          <w:spacing w:val="-9"/>
          <w:sz w:val="21"/>
        </w:rPr>
        <w:t> </w:t>
      </w:r>
      <w:r>
        <w:rPr>
          <w:sz w:val="21"/>
        </w:rPr>
        <w:t>place,</w:t>
      </w:r>
      <w:r>
        <w:rPr>
          <w:spacing w:val="-9"/>
          <w:sz w:val="21"/>
        </w:rPr>
        <w:t> </w:t>
      </w:r>
      <w:r>
        <w:rPr>
          <w:sz w:val="21"/>
        </w:rPr>
        <w:t>which</w:t>
      </w:r>
      <w:r>
        <w:rPr>
          <w:spacing w:val="-10"/>
          <w:sz w:val="21"/>
        </w:rPr>
        <w:t> </w:t>
      </w:r>
      <w:r>
        <w:rPr>
          <w:sz w:val="21"/>
        </w:rPr>
        <w:t>would</w:t>
      </w:r>
      <w:r>
        <w:rPr>
          <w:spacing w:val="-9"/>
          <w:sz w:val="21"/>
        </w:rPr>
        <w:t> </w:t>
      </w:r>
      <w:r>
        <w:rPr>
          <w:sz w:val="21"/>
        </w:rPr>
        <w:t>require</w:t>
      </w:r>
      <w:r>
        <w:rPr>
          <w:spacing w:val="-9"/>
          <w:sz w:val="21"/>
        </w:rPr>
        <w:t> </w:t>
      </w:r>
      <w:r>
        <w:rPr>
          <w:sz w:val="21"/>
        </w:rPr>
        <w:t>a</w:t>
      </w:r>
      <w:r>
        <w:rPr>
          <w:spacing w:val="-9"/>
          <w:sz w:val="21"/>
        </w:rPr>
        <w:t> </w:t>
      </w:r>
      <w:r>
        <w:rPr>
          <w:sz w:val="21"/>
        </w:rPr>
        <w:t>holistic</w:t>
      </w:r>
      <w:r>
        <w:rPr>
          <w:spacing w:val="-9"/>
          <w:sz w:val="21"/>
        </w:rPr>
        <w:t> </w:t>
      </w:r>
      <w:r>
        <w:rPr>
          <w:sz w:val="21"/>
        </w:rPr>
        <w:t>approach</w:t>
      </w:r>
      <w:r>
        <w:rPr>
          <w:spacing w:val="-9"/>
          <w:sz w:val="21"/>
        </w:rPr>
        <w:t> </w:t>
      </w:r>
      <w:r>
        <w:rPr>
          <w:sz w:val="21"/>
        </w:rPr>
        <w:t>focused</w:t>
      </w:r>
      <w:r>
        <w:rPr>
          <w:spacing w:val="-8"/>
          <w:sz w:val="21"/>
        </w:rPr>
        <w:t> </w:t>
      </w:r>
      <w:r>
        <w:rPr>
          <w:sz w:val="21"/>
        </w:rPr>
        <w:t>on</w:t>
      </w:r>
      <w:r>
        <w:rPr>
          <w:spacing w:val="-9"/>
          <w:sz w:val="21"/>
        </w:rPr>
        <w:t> </w:t>
      </w:r>
      <w:r>
        <w:rPr>
          <w:sz w:val="21"/>
        </w:rPr>
        <w:t>law</w:t>
      </w:r>
      <w:r>
        <w:rPr>
          <w:spacing w:val="-9"/>
          <w:sz w:val="21"/>
        </w:rPr>
        <w:t> </w:t>
      </w:r>
      <w:r>
        <w:rPr>
          <w:sz w:val="21"/>
        </w:rPr>
        <w:t>reform,</w:t>
      </w:r>
      <w:r>
        <w:rPr>
          <w:spacing w:val="-9"/>
          <w:sz w:val="21"/>
        </w:rPr>
        <w:t> </w:t>
      </w:r>
      <w:r>
        <w:rPr>
          <w:sz w:val="21"/>
        </w:rPr>
        <w:t>equity, anti-racism, and dismantling the socio-structural factors that lead to incarceration. Furthermore, reforms face</w:t>
      </w:r>
      <w:r>
        <w:rPr>
          <w:spacing w:val="-12"/>
          <w:sz w:val="21"/>
        </w:rPr>
        <w:t> </w:t>
      </w:r>
      <w:r>
        <w:rPr>
          <w:sz w:val="21"/>
        </w:rPr>
        <w:t>a</w:t>
      </w:r>
      <w:r>
        <w:rPr>
          <w:spacing w:val="-10"/>
          <w:sz w:val="21"/>
        </w:rPr>
        <w:t> </w:t>
      </w:r>
      <w:r>
        <w:rPr>
          <w:sz w:val="21"/>
        </w:rPr>
        <w:t>critical</w:t>
      </w:r>
      <w:r>
        <w:rPr>
          <w:spacing w:val="-12"/>
          <w:sz w:val="21"/>
        </w:rPr>
        <w:t> </w:t>
      </w:r>
      <w:r>
        <w:rPr>
          <w:sz w:val="21"/>
        </w:rPr>
        <w:t>barrier</w:t>
      </w:r>
      <w:r>
        <w:rPr>
          <w:spacing w:val="-10"/>
          <w:sz w:val="21"/>
        </w:rPr>
        <w:t> </w:t>
      </w:r>
      <w:r>
        <w:rPr>
          <w:sz w:val="21"/>
        </w:rPr>
        <w:t>to</w:t>
      </w:r>
      <w:r>
        <w:rPr>
          <w:spacing w:val="-12"/>
          <w:sz w:val="21"/>
        </w:rPr>
        <w:t> </w:t>
      </w:r>
      <w:r>
        <w:rPr>
          <w:sz w:val="21"/>
        </w:rPr>
        <w:t>informed</w:t>
      </w:r>
      <w:r>
        <w:rPr>
          <w:spacing w:val="-10"/>
          <w:sz w:val="21"/>
        </w:rPr>
        <w:t> </w:t>
      </w:r>
      <w:r>
        <w:rPr>
          <w:sz w:val="21"/>
        </w:rPr>
        <w:t>impact</w:t>
      </w:r>
      <w:r>
        <w:rPr>
          <w:spacing w:val="-12"/>
          <w:sz w:val="21"/>
        </w:rPr>
        <w:t> </w:t>
      </w:r>
      <w:r>
        <w:rPr>
          <w:sz w:val="21"/>
        </w:rPr>
        <w:t>as</w:t>
      </w:r>
      <w:r>
        <w:rPr>
          <w:spacing w:val="-11"/>
          <w:sz w:val="21"/>
        </w:rPr>
        <w:t> </w:t>
      </w:r>
      <w:r>
        <w:rPr>
          <w:sz w:val="21"/>
        </w:rPr>
        <w:t>we</w:t>
      </w:r>
      <w:r>
        <w:rPr>
          <w:spacing w:val="-11"/>
          <w:sz w:val="21"/>
        </w:rPr>
        <w:t> </w:t>
      </w:r>
      <w:r>
        <w:rPr>
          <w:sz w:val="21"/>
        </w:rPr>
        <w:t>currently</w:t>
      </w:r>
      <w:r>
        <w:rPr>
          <w:spacing w:val="-12"/>
          <w:sz w:val="21"/>
        </w:rPr>
        <w:t> </w:t>
      </w:r>
      <w:r>
        <w:rPr>
          <w:sz w:val="21"/>
        </w:rPr>
        <w:t>lack</w:t>
      </w:r>
      <w:r>
        <w:rPr>
          <w:spacing w:val="-10"/>
          <w:sz w:val="21"/>
        </w:rPr>
        <w:t> </w:t>
      </w:r>
      <w:r>
        <w:rPr>
          <w:sz w:val="21"/>
        </w:rPr>
        <w:t>comprehensive</w:t>
      </w:r>
      <w:r>
        <w:rPr>
          <w:spacing w:val="-11"/>
          <w:sz w:val="21"/>
        </w:rPr>
        <w:t> </w:t>
      </w:r>
      <w:r>
        <w:rPr>
          <w:sz w:val="21"/>
        </w:rPr>
        <w:t>data</w:t>
      </w:r>
      <w:r>
        <w:rPr>
          <w:spacing w:val="-12"/>
          <w:sz w:val="21"/>
        </w:rPr>
        <w:t> </w:t>
      </w:r>
      <w:r>
        <w:rPr>
          <w:sz w:val="21"/>
        </w:rPr>
        <w:t>on</w:t>
      </w:r>
      <w:r>
        <w:rPr>
          <w:spacing w:val="-10"/>
          <w:sz w:val="21"/>
        </w:rPr>
        <w:t> </w:t>
      </w:r>
      <w:r>
        <w:rPr>
          <w:sz w:val="21"/>
        </w:rPr>
        <w:t>the</w:t>
      </w:r>
      <w:r>
        <w:rPr>
          <w:spacing w:val="-12"/>
          <w:sz w:val="21"/>
        </w:rPr>
        <w:t> </w:t>
      </w:r>
      <w:r>
        <w:rPr>
          <w:sz w:val="21"/>
        </w:rPr>
        <w:t>sexual</w:t>
      </w:r>
      <w:r>
        <w:rPr>
          <w:spacing w:val="-12"/>
          <w:sz w:val="21"/>
        </w:rPr>
        <w:t> </w:t>
      </w:r>
      <w:r>
        <w:rPr>
          <w:sz w:val="21"/>
        </w:rPr>
        <w:t>orientation, gender</w:t>
      </w:r>
      <w:r>
        <w:rPr>
          <w:spacing w:val="-10"/>
          <w:sz w:val="21"/>
        </w:rPr>
        <w:t> </w:t>
      </w:r>
      <w:r>
        <w:rPr>
          <w:sz w:val="21"/>
        </w:rPr>
        <w:t>identity,</w:t>
      </w:r>
      <w:r>
        <w:rPr>
          <w:spacing w:val="-10"/>
          <w:sz w:val="21"/>
        </w:rPr>
        <w:t> </w:t>
      </w:r>
      <w:r>
        <w:rPr>
          <w:sz w:val="21"/>
        </w:rPr>
        <w:t>and</w:t>
      </w:r>
      <w:r>
        <w:rPr>
          <w:spacing w:val="-10"/>
          <w:sz w:val="21"/>
        </w:rPr>
        <w:t> </w:t>
      </w:r>
      <w:r>
        <w:rPr>
          <w:sz w:val="21"/>
        </w:rPr>
        <w:t>expression</w:t>
      </w:r>
      <w:r>
        <w:rPr>
          <w:spacing w:val="-10"/>
          <w:sz w:val="21"/>
        </w:rPr>
        <w:t> </w:t>
      </w:r>
      <w:r>
        <w:rPr>
          <w:sz w:val="21"/>
        </w:rPr>
        <w:t>(SOGIE)</w:t>
      </w:r>
      <w:r>
        <w:rPr>
          <w:spacing w:val="-10"/>
          <w:sz w:val="21"/>
        </w:rPr>
        <w:t> </w:t>
      </w:r>
      <w:r>
        <w:rPr>
          <w:sz w:val="21"/>
        </w:rPr>
        <w:t>of</w:t>
      </w:r>
      <w:r>
        <w:rPr>
          <w:spacing w:val="-11"/>
          <w:sz w:val="21"/>
        </w:rPr>
        <w:t> </w:t>
      </w:r>
      <w:r>
        <w:rPr>
          <w:sz w:val="21"/>
        </w:rPr>
        <w:t>incarcerated</w:t>
      </w:r>
      <w:r>
        <w:rPr>
          <w:spacing w:val="-10"/>
          <w:sz w:val="21"/>
        </w:rPr>
        <w:t> </w:t>
      </w:r>
      <w:r>
        <w:rPr>
          <w:sz w:val="21"/>
        </w:rPr>
        <w:t>individuals.</w:t>
      </w:r>
      <w:r>
        <w:rPr>
          <w:spacing w:val="-10"/>
          <w:sz w:val="21"/>
        </w:rPr>
        <w:t> </w:t>
      </w:r>
      <w:r>
        <w:rPr>
          <w:sz w:val="21"/>
        </w:rPr>
        <w:t>The</w:t>
      </w:r>
      <w:r>
        <w:rPr>
          <w:spacing w:val="-10"/>
          <w:sz w:val="21"/>
        </w:rPr>
        <w:t> </w:t>
      </w:r>
      <w:r>
        <w:rPr>
          <w:sz w:val="21"/>
        </w:rPr>
        <w:t>Department</w:t>
      </w:r>
      <w:r>
        <w:rPr>
          <w:spacing w:val="-11"/>
          <w:sz w:val="21"/>
        </w:rPr>
        <w:t> </w:t>
      </w:r>
      <w:r>
        <w:rPr>
          <w:sz w:val="21"/>
        </w:rPr>
        <w:t>of</w:t>
      </w:r>
      <w:r>
        <w:rPr>
          <w:spacing w:val="-11"/>
          <w:sz w:val="21"/>
        </w:rPr>
        <w:t> </w:t>
      </w:r>
      <w:r>
        <w:rPr>
          <w:sz w:val="21"/>
        </w:rPr>
        <w:t>Correction</w:t>
      </w:r>
      <w:r>
        <w:rPr>
          <w:spacing w:val="-9"/>
          <w:sz w:val="21"/>
        </w:rPr>
        <w:t> </w:t>
      </w:r>
      <w:r>
        <w:rPr>
          <w:sz w:val="21"/>
        </w:rPr>
        <w:t>does</w:t>
      </w:r>
      <w:r>
        <w:rPr>
          <w:spacing w:val="-11"/>
          <w:sz w:val="21"/>
        </w:rPr>
        <w:t> </w:t>
      </w:r>
      <w:r>
        <w:rPr>
          <w:sz w:val="21"/>
        </w:rPr>
        <w:t>not currently collect or publicize sufficient sexual orientation, gender identity, and gender expression (SOGIE) data on incarcerated people in Massachusetts. This data gap severely limits the understanding of the disparities faced by LGBTQ youth and hinders the development of targeted interventions. As such, the Commission recommends that SOGIE data be recorded and analyzed for LGBTQ populations within the criminal legal system. By addressing these gaps in data and fostering an environment of inclusivity and support, the Commission aims to significantly reduce disparities and improve the lives of LGBTQ youth involved in Massachusetts' juvenile and adult criminal legal systems.</w:t>
      </w:r>
    </w:p>
    <w:p>
      <w:pPr>
        <w:pStyle w:val="BodyText"/>
        <w:spacing w:before="142"/>
        <w:rPr>
          <w:sz w:val="21"/>
        </w:rPr>
      </w:pPr>
    </w:p>
    <w:p>
      <w:pPr>
        <w:spacing w:before="1"/>
        <w:ind w:left="464" w:right="0" w:firstLine="0"/>
        <w:jc w:val="both"/>
        <w:rPr>
          <w:sz w:val="28"/>
        </w:rPr>
      </w:pPr>
      <w:r>
        <w:rPr/>
        <mc:AlternateContent>
          <mc:Choice Requires="wps">
            <w:drawing>
              <wp:anchor distT="0" distB="0" distL="0" distR="0" allowOverlap="1" layoutInCell="1" locked="0" behindDoc="1" simplePos="0" relativeHeight="487661568">
                <wp:simplePos x="0" y="0"/>
                <wp:positionH relativeFrom="page">
                  <wp:posOffset>986789</wp:posOffset>
                </wp:positionH>
                <wp:positionV relativeFrom="paragraph">
                  <wp:posOffset>230095</wp:posOffset>
                </wp:positionV>
                <wp:extent cx="5799455" cy="6350"/>
                <wp:effectExtent l="0" t="0" r="0" b="0"/>
                <wp:wrapTopAndBottom/>
                <wp:docPr id="396" name="Graphic 396"/>
                <wp:cNvGraphicFramePr>
                  <a:graphicFrameLocks/>
                </wp:cNvGraphicFramePr>
                <a:graphic>
                  <a:graphicData uri="http://schemas.microsoft.com/office/word/2010/wordprocessingShape">
                    <wps:wsp>
                      <wps:cNvPr id="396" name="Graphic 396"/>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18.117744pt;width:456.601pt;height:.48pt;mso-position-horizontal-relative:page;mso-position-vertical-relative:paragraph;z-index:-15654912;mso-wrap-distance-left:0;mso-wrap-distance-right:0" id="docshape317" filled="true" fillcolor="#4f81bc" stroked="false">
                <v:fill type="solid"/>
                <w10:wrap type="topAndBottom"/>
              </v:rect>
            </w:pict>
          </mc:Fallback>
        </mc:AlternateContent>
      </w:r>
      <w:bookmarkStart w:name="Recommendations to the Governor and Legi" w:id="542"/>
      <w:bookmarkEnd w:id="542"/>
      <w:r>
        <w:rPr/>
      </w:r>
      <w:r>
        <w:rPr>
          <w:color w:val="365F91"/>
          <w:sz w:val="28"/>
        </w:rPr>
        <w:t>Recommendations</w:t>
      </w:r>
      <w:r>
        <w:rPr>
          <w:color w:val="365F91"/>
          <w:spacing w:val="-12"/>
          <w:sz w:val="28"/>
        </w:rPr>
        <w:t> </w:t>
      </w:r>
      <w:r>
        <w:rPr>
          <w:color w:val="365F91"/>
          <w:sz w:val="28"/>
        </w:rPr>
        <w:t>to</w:t>
      </w:r>
      <w:r>
        <w:rPr>
          <w:color w:val="365F91"/>
          <w:spacing w:val="-11"/>
          <w:sz w:val="28"/>
        </w:rPr>
        <w:t> </w:t>
      </w:r>
      <w:r>
        <w:rPr>
          <w:color w:val="365F91"/>
          <w:sz w:val="28"/>
        </w:rPr>
        <w:t>the</w:t>
      </w:r>
      <w:r>
        <w:rPr>
          <w:color w:val="365F91"/>
          <w:spacing w:val="-11"/>
          <w:sz w:val="28"/>
        </w:rPr>
        <w:t> </w:t>
      </w:r>
      <w:r>
        <w:rPr>
          <w:color w:val="365F91"/>
          <w:sz w:val="28"/>
        </w:rPr>
        <w:t>Governor</w:t>
      </w:r>
      <w:r>
        <w:rPr>
          <w:color w:val="365F91"/>
          <w:spacing w:val="-12"/>
          <w:sz w:val="28"/>
        </w:rPr>
        <w:t> </w:t>
      </w:r>
      <w:r>
        <w:rPr>
          <w:color w:val="365F91"/>
          <w:sz w:val="28"/>
        </w:rPr>
        <w:t>and</w:t>
      </w:r>
      <w:r>
        <w:rPr>
          <w:color w:val="365F91"/>
          <w:spacing w:val="-12"/>
          <w:sz w:val="28"/>
        </w:rPr>
        <w:t> </w:t>
      </w:r>
      <w:r>
        <w:rPr>
          <w:color w:val="365F91"/>
          <w:sz w:val="28"/>
        </w:rPr>
        <w:t>Legislature</w:t>
      </w:r>
      <w:r>
        <w:rPr>
          <w:color w:val="365F91"/>
          <w:spacing w:val="-11"/>
          <w:sz w:val="28"/>
        </w:rPr>
        <w:t> </w:t>
      </w:r>
      <w:r>
        <w:rPr>
          <w:color w:val="365F91"/>
          <w:sz w:val="28"/>
        </w:rPr>
        <w:t>on</w:t>
      </w:r>
      <w:r>
        <w:rPr>
          <w:color w:val="365F91"/>
          <w:spacing w:val="-12"/>
          <w:sz w:val="28"/>
        </w:rPr>
        <w:t> </w:t>
      </w:r>
      <w:r>
        <w:rPr>
          <w:color w:val="365F91"/>
          <w:sz w:val="28"/>
        </w:rPr>
        <w:t>Advancing</w:t>
      </w:r>
      <w:r>
        <w:rPr>
          <w:color w:val="365F91"/>
          <w:spacing w:val="-11"/>
          <w:sz w:val="28"/>
        </w:rPr>
        <w:t> </w:t>
      </w:r>
      <w:r>
        <w:rPr>
          <w:color w:val="365F91"/>
          <w:spacing w:val="-2"/>
          <w:sz w:val="28"/>
        </w:rPr>
        <w:t>Justice</w:t>
      </w:r>
    </w:p>
    <w:p>
      <w:pPr>
        <w:pStyle w:val="ListParagraph"/>
        <w:numPr>
          <w:ilvl w:val="0"/>
          <w:numId w:val="26"/>
        </w:numPr>
        <w:tabs>
          <w:tab w:pos="463" w:val="left" w:leader="none"/>
        </w:tabs>
        <w:spacing w:line="276" w:lineRule="auto" w:before="241" w:after="0"/>
        <w:ind w:left="463" w:right="245" w:hanging="360"/>
        <w:jc w:val="left"/>
        <w:rPr>
          <w:b/>
          <w:sz w:val="21"/>
        </w:rPr>
      </w:pPr>
      <w:r>
        <w:rPr>
          <w:b/>
          <w:sz w:val="21"/>
        </w:rPr>
        <w:t>Increase collection of data on sexual orientation and gender identity to identify and reduce disparities throughout the juvenile and criminal legal systems.</w:t>
      </w:r>
    </w:p>
    <w:p>
      <w:pPr>
        <w:spacing w:line="276" w:lineRule="auto" w:before="240"/>
        <w:ind w:left="463" w:right="238" w:firstLine="0"/>
        <w:jc w:val="both"/>
        <w:rPr>
          <w:sz w:val="21"/>
        </w:rPr>
      </w:pPr>
      <w:r>
        <w:rPr>
          <w:sz w:val="21"/>
        </w:rPr>
        <w:t>Without comprehensive data, the state has little insight to the widespread disparities experienced by LGBTQ youth in the Commonwealth. In 2018, the legislature created the Juvenile Justice Policy and Data Board</w:t>
      </w:r>
      <w:r>
        <w:rPr>
          <w:spacing w:val="-2"/>
          <w:sz w:val="21"/>
        </w:rPr>
        <w:t> </w:t>
      </w:r>
      <w:r>
        <w:rPr>
          <w:sz w:val="21"/>
        </w:rPr>
        <w:t>(JJPAD)</w:t>
      </w:r>
      <w:r>
        <w:rPr>
          <w:spacing w:val="-2"/>
          <w:sz w:val="21"/>
        </w:rPr>
        <w:t> </w:t>
      </w:r>
      <w:r>
        <w:rPr>
          <w:sz w:val="21"/>
        </w:rPr>
        <w:t>which</w:t>
      </w:r>
      <w:r>
        <w:rPr>
          <w:spacing w:val="-2"/>
          <w:sz w:val="21"/>
        </w:rPr>
        <w:t> </w:t>
      </w:r>
      <w:r>
        <w:rPr>
          <w:sz w:val="21"/>
        </w:rPr>
        <w:t>was</w:t>
      </w:r>
      <w:r>
        <w:rPr>
          <w:spacing w:val="-2"/>
          <w:sz w:val="21"/>
        </w:rPr>
        <w:t> </w:t>
      </w:r>
      <w:r>
        <w:rPr>
          <w:sz w:val="21"/>
        </w:rPr>
        <w:t>tasked</w:t>
      </w:r>
      <w:r>
        <w:rPr>
          <w:spacing w:val="-2"/>
          <w:sz w:val="21"/>
        </w:rPr>
        <w:t> </w:t>
      </w:r>
      <w:r>
        <w:rPr>
          <w:sz w:val="21"/>
        </w:rPr>
        <w:t>with</w:t>
      </w:r>
      <w:r>
        <w:rPr>
          <w:spacing w:val="-2"/>
          <w:sz w:val="21"/>
        </w:rPr>
        <w:t> </w:t>
      </w:r>
      <w:r>
        <w:rPr>
          <w:sz w:val="21"/>
        </w:rPr>
        <w:t>collecting</w:t>
      </w:r>
      <w:r>
        <w:rPr>
          <w:spacing w:val="-2"/>
          <w:sz w:val="21"/>
        </w:rPr>
        <w:t> </w:t>
      </w:r>
      <w:r>
        <w:rPr>
          <w:sz w:val="21"/>
        </w:rPr>
        <w:t>data</w:t>
      </w:r>
      <w:r>
        <w:rPr>
          <w:spacing w:val="-2"/>
          <w:sz w:val="21"/>
        </w:rPr>
        <w:t> </w:t>
      </w:r>
      <w:r>
        <w:rPr>
          <w:sz w:val="21"/>
        </w:rPr>
        <w:t>to</w:t>
      </w:r>
      <w:r>
        <w:rPr>
          <w:spacing w:val="-2"/>
          <w:sz w:val="21"/>
        </w:rPr>
        <w:t> </w:t>
      </w:r>
      <w:r>
        <w:rPr>
          <w:sz w:val="21"/>
        </w:rPr>
        <w:t>identify</w:t>
      </w:r>
      <w:r>
        <w:rPr>
          <w:spacing w:val="-2"/>
          <w:sz w:val="21"/>
        </w:rPr>
        <w:t> </w:t>
      </w:r>
      <w:r>
        <w:rPr>
          <w:sz w:val="21"/>
        </w:rPr>
        <w:t>disparities</w:t>
      </w:r>
      <w:r>
        <w:rPr>
          <w:spacing w:val="-2"/>
          <w:sz w:val="21"/>
        </w:rPr>
        <w:t> </w:t>
      </w:r>
      <w:r>
        <w:rPr>
          <w:sz w:val="21"/>
        </w:rPr>
        <w:t>and</w:t>
      </w:r>
      <w:r>
        <w:rPr>
          <w:spacing w:val="-2"/>
          <w:sz w:val="21"/>
        </w:rPr>
        <w:t> </w:t>
      </w:r>
      <w:r>
        <w:rPr>
          <w:sz w:val="21"/>
        </w:rPr>
        <w:t>make</w:t>
      </w:r>
      <w:r>
        <w:rPr>
          <w:spacing w:val="-2"/>
          <w:sz w:val="21"/>
        </w:rPr>
        <w:t> </w:t>
      </w:r>
      <w:r>
        <w:rPr>
          <w:sz w:val="21"/>
        </w:rPr>
        <w:t>recommendations</w:t>
      </w:r>
      <w:r>
        <w:rPr>
          <w:spacing w:val="-2"/>
          <w:sz w:val="21"/>
        </w:rPr>
        <w:t> </w:t>
      </w:r>
      <w:r>
        <w:rPr>
          <w:sz w:val="21"/>
        </w:rPr>
        <w:t>on how to improve the experience of youth in the juvenile legal system. However, there are still further improvements to be made in the collection of SOGIE data in the criminal legal systems, including by mandating the collection of SOGIE data in the adult legal system. One such path forward would be for the legislature to pass An Act to Promote Rehabilitation Including Guaranteed Health, Treatment, and Safety for</w:t>
      </w:r>
      <w:r>
        <w:rPr>
          <w:spacing w:val="-4"/>
          <w:sz w:val="21"/>
        </w:rPr>
        <w:t> </w:t>
      </w:r>
      <w:r>
        <w:rPr>
          <w:sz w:val="21"/>
        </w:rPr>
        <w:t>Incarcerated</w:t>
      </w:r>
      <w:r>
        <w:rPr>
          <w:spacing w:val="-4"/>
          <w:sz w:val="21"/>
        </w:rPr>
        <w:t> </w:t>
      </w:r>
      <w:r>
        <w:rPr>
          <w:sz w:val="21"/>
        </w:rPr>
        <w:t>LGBTQI+</w:t>
      </w:r>
      <w:r>
        <w:rPr>
          <w:spacing w:val="-4"/>
          <w:sz w:val="21"/>
        </w:rPr>
        <w:t> </w:t>
      </w:r>
      <w:r>
        <w:rPr>
          <w:sz w:val="21"/>
        </w:rPr>
        <w:t>People,</w:t>
      </w:r>
      <w:r>
        <w:rPr>
          <w:spacing w:val="-4"/>
          <w:sz w:val="21"/>
        </w:rPr>
        <w:t> </w:t>
      </w:r>
      <w:r>
        <w:rPr>
          <w:sz w:val="21"/>
        </w:rPr>
        <w:t>also</w:t>
      </w:r>
      <w:r>
        <w:rPr>
          <w:spacing w:val="-4"/>
          <w:sz w:val="21"/>
        </w:rPr>
        <w:t> </w:t>
      </w:r>
      <w:r>
        <w:rPr>
          <w:sz w:val="21"/>
        </w:rPr>
        <w:t>known</w:t>
      </w:r>
      <w:r>
        <w:rPr>
          <w:spacing w:val="-4"/>
          <w:sz w:val="21"/>
        </w:rPr>
        <w:t> </w:t>
      </w:r>
      <w:r>
        <w:rPr>
          <w:sz w:val="21"/>
        </w:rPr>
        <w:t>as</w:t>
      </w:r>
      <w:r>
        <w:rPr>
          <w:spacing w:val="-5"/>
          <w:sz w:val="21"/>
        </w:rPr>
        <w:t> </w:t>
      </w:r>
      <w:r>
        <w:rPr>
          <w:sz w:val="21"/>
        </w:rPr>
        <w:t>the</w:t>
      </w:r>
      <w:r>
        <w:rPr>
          <w:spacing w:val="-4"/>
          <w:sz w:val="21"/>
        </w:rPr>
        <w:t> </w:t>
      </w:r>
      <w:r>
        <w:rPr>
          <w:sz w:val="21"/>
        </w:rPr>
        <w:t>RIGHTS</w:t>
      </w:r>
      <w:r>
        <w:rPr>
          <w:spacing w:val="-5"/>
          <w:sz w:val="21"/>
        </w:rPr>
        <w:t> </w:t>
      </w:r>
      <w:r>
        <w:rPr>
          <w:sz w:val="21"/>
        </w:rPr>
        <w:t>Act</w:t>
      </w:r>
      <w:r>
        <w:rPr>
          <w:spacing w:val="-4"/>
          <w:sz w:val="21"/>
        </w:rPr>
        <w:t> </w:t>
      </w:r>
      <w:r>
        <w:rPr>
          <w:sz w:val="21"/>
        </w:rPr>
        <w:t>(S.1499/H.2357),</w:t>
      </w:r>
      <w:r>
        <w:rPr>
          <w:spacing w:val="-5"/>
          <w:sz w:val="21"/>
        </w:rPr>
        <w:t> </w:t>
      </w:r>
      <w:r>
        <w:rPr>
          <w:sz w:val="21"/>
        </w:rPr>
        <w:t>which</w:t>
      </w:r>
      <w:r>
        <w:rPr>
          <w:spacing w:val="-4"/>
          <w:sz w:val="21"/>
        </w:rPr>
        <w:t> </w:t>
      </w:r>
      <w:r>
        <w:rPr>
          <w:sz w:val="21"/>
        </w:rPr>
        <w:t>would</w:t>
      </w:r>
      <w:r>
        <w:rPr>
          <w:spacing w:val="-4"/>
          <w:sz w:val="21"/>
        </w:rPr>
        <w:t> </w:t>
      </w:r>
      <w:r>
        <w:rPr>
          <w:sz w:val="21"/>
        </w:rPr>
        <w:t>collect</w:t>
      </w:r>
      <w:r>
        <w:rPr>
          <w:spacing w:val="-4"/>
          <w:sz w:val="21"/>
        </w:rPr>
        <w:t> </w:t>
      </w:r>
      <w:r>
        <w:rPr>
          <w:sz w:val="21"/>
        </w:rPr>
        <w:t>data on LGBTQI prisoners held in restrictive housing.</w:t>
      </w:r>
    </w:p>
    <w:p>
      <w:pPr>
        <w:spacing w:line="276" w:lineRule="auto" w:before="240"/>
        <w:ind w:left="463" w:right="237" w:firstLine="0"/>
        <w:jc w:val="both"/>
        <w:rPr>
          <w:sz w:val="21"/>
        </w:rPr>
      </w:pPr>
      <w:r>
        <w:rPr>
          <w:sz w:val="21"/>
        </w:rPr>
        <w:t>Additionally,</w:t>
      </w:r>
      <w:r>
        <w:rPr>
          <w:spacing w:val="-11"/>
          <w:sz w:val="21"/>
        </w:rPr>
        <w:t> </w:t>
      </w:r>
      <w:r>
        <w:rPr>
          <w:sz w:val="21"/>
        </w:rPr>
        <w:t>the</w:t>
      </w:r>
      <w:r>
        <w:rPr>
          <w:spacing w:val="-12"/>
          <w:sz w:val="21"/>
        </w:rPr>
        <w:t> </w:t>
      </w:r>
      <w:r>
        <w:rPr>
          <w:sz w:val="21"/>
        </w:rPr>
        <w:t>Commission</w:t>
      </w:r>
      <w:r>
        <w:rPr>
          <w:spacing w:val="-11"/>
          <w:sz w:val="21"/>
        </w:rPr>
        <w:t> </w:t>
      </w:r>
      <w:r>
        <w:rPr>
          <w:sz w:val="21"/>
        </w:rPr>
        <w:t>advises</w:t>
      </w:r>
      <w:r>
        <w:rPr>
          <w:spacing w:val="-12"/>
          <w:sz w:val="21"/>
        </w:rPr>
        <w:t> </w:t>
      </w:r>
      <w:r>
        <w:rPr>
          <w:sz w:val="21"/>
        </w:rPr>
        <w:t>that</w:t>
      </w:r>
      <w:r>
        <w:rPr>
          <w:spacing w:val="-11"/>
          <w:sz w:val="21"/>
        </w:rPr>
        <w:t> </w:t>
      </w:r>
      <w:r>
        <w:rPr>
          <w:sz w:val="21"/>
        </w:rPr>
        <w:t>the</w:t>
      </w:r>
      <w:r>
        <w:rPr>
          <w:spacing w:val="-12"/>
          <w:sz w:val="21"/>
        </w:rPr>
        <w:t> </w:t>
      </w:r>
      <w:r>
        <w:rPr>
          <w:sz w:val="21"/>
        </w:rPr>
        <w:t>legislature</w:t>
      </w:r>
      <w:r>
        <w:rPr>
          <w:spacing w:val="-12"/>
          <w:sz w:val="21"/>
        </w:rPr>
        <w:t> </w:t>
      </w:r>
      <w:r>
        <w:rPr>
          <w:sz w:val="21"/>
        </w:rPr>
        <w:t>should</w:t>
      </w:r>
      <w:r>
        <w:rPr>
          <w:spacing w:val="-11"/>
          <w:sz w:val="21"/>
        </w:rPr>
        <w:t> </w:t>
      </w:r>
      <w:r>
        <w:rPr>
          <w:sz w:val="21"/>
        </w:rPr>
        <w:t>pass</w:t>
      </w:r>
      <w:r>
        <w:rPr>
          <w:spacing w:val="-11"/>
          <w:sz w:val="21"/>
        </w:rPr>
        <w:t> </w:t>
      </w:r>
      <w:r>
        <w:rPr>
          <w:sz w:val="21"/>
        </w:rPr>
        <w:t>An</w:t>
      </w:r>
      <w:r>
        <w:rPr>
          <w:spacing w:val="-11"/>
          <w:sz w:val="21"/>
        </w:rPr>
        <w:t> </w:t>
      </w:r>
      <w:r>
        <w:rPr>
          <w:sz w:val="21"/>
        </w:rPr>
        <w:t>Act</w:t>
      </w:r>
      <w:r>
        <w:rPr>
          <w:spacing w:val="-11"/>
          <w:sz w:val="21"/>
        </w:rPr>
        <w:t> </w:t>
      </w:r>
      <w:r>
        <w:rPr>
          <w:sz w:val="21"/>
        </w:rPr>
        <w:t>Improving</w:t>
      </w:r>
      <w:r>
        <w:rPr>
          <w:spacing w:val="-12"/>
          <w:sz w:val="21"/>
        </w:rPr>
        <w:t> </w:t>
      </w:r>
      <w:r>
        <w:rPr>
          <w:sz w:val="21"/>
        </w:rPr>
        <w:t>Juvenile</w:t>
      </w:r>
      <w:r>
        <w:rPr>
          <w:spacing w:val="-12"/>
          <w:sz w:val="21"/>
        </w:rPr>
        <w:t> </w:t>
      </w:r>
      <w:r>
        <w:rPr>
          <w:sz w:val="21"/>
        </w:rPr>
        <w:t>Justice</w:t>
      </w:r>
      <w:r>
        <w:rPr>
          <w:spacing w:val="-12"/>
          <w:sz w:val="21"/>
        </w:rPr>
        <w:t> </w:t>
      </w:r>
      <w:r>
        <w:rPr>
          <w:sz w:val="21"/>
        </w:rPr>
        <w:t>Data Collection</w:t>
      </w:r>
      <w:r>
        <w:rPr>
          <w:spacing w:val="-8"/>
          <w:sz w:val="21"/>
        </w:rPr>
        <w:t> </w:t>
      </w:r>
      <w:r>
        <w:rPr>
          <w:sz w:val="21"/>
        </w:rPr>
        <w:t>(S.931/H.1802),</w:t>
      </w:r>
      <w:r>
        <w:rPr>
          <w:spacing w:val="-9"/>
          <w:sz w:val="21"/>
        </w:rPr>
        <w:t> </w:t>
      </w:r>
      <w:r>
        <w:rPr>
          <w:sz w:val="21"/>
        </w:rPr>
        <w:t>which</w:t>
      </w:r>
      <w:r>
        <w:rPr>
          <w:spacing w:val="-8"/>
          <w:sz w:val="21"/>
        </w:rPr>
        <w:t> </w:t>
      </w:r>
      <w:r>
        <w:rPr>
          <w:sz w:val="21"/>
        </w:rPr>
        <w:t>would</w:t>
      </w:r>
      <w:r>
        <w:rPr>
          <w:spacing w:val="-8"/>
          <w:sz w:val="21"/>
        </w:rPr>
        <w:t> </w:t>
      </w:r>
      <w:r>
        <w:rPr>
          <w:sz w:val="21"/>
        </w:rPr>
        <w:t>include</w:t>
      </w:r>
      <w:r>
        <w:rPr>
          <w:spacing w:val="-8"/>
          <w:sz w:val="21"/>
        </w:rPr>
        <w:t> </w:t>
      </w:r>
      <w:r>
        <w:rPr>
          <w:sz w:val="21"/>
        </w:rPr>
        <w:t>sexual</w:t>
      </w:r>
      <w:r>
        <w:rPr>
          <w:spacing w:val="-8"/>
          <w:sz w:val="21"/>
        </w:rPr>
        <w:t> </w:t>
      </w:r>
      <w:r>
        <w:rPr>
          <w:sz w:val="21"/>
        </w:rPr>
        <w:t>orientation</w:t>
      </w:r>
      <w:r>
        <w:rPr>
          <w:spacing w:val="-8"/>
          <w:sz w:val="21"/>
        </w:rPr>
        <w:t> </w:t>
      </w:r>
      <w:r>
        <w:rPr>
          <w:sz w:val="21"/>
        </w:rPr>
        <w:t>and</w:t>
      </w:r>
      <w:r>
        <w:rPr>
          <w:spacing w:val="-9"/>
          <w:sz w:val="21"/>
        </w:rPr>
        <w:t> </w:t>
      </w:r>
      <w:r>
        <w:rPr>
          <w:sz w:val="21"/>
        </w:rPr>
        <w:t>gender</w:t>
      </w:r>
      <w:r>
        <w:rPr>
          <w:spacing w:val="-8"/>
          <w:sz w:val="21"/>
        </w:rPr>
        <w:t> </w:t>
      </w:r>
      <w:r>
        <w:rPr>
          <w:sz w:val="21"/>
        </w:rPr>
        <w:t>identity</w:t>
      </w:r>
      <w:r>
        <w:rPr>
          <w:spacing w:val="-8"/>
          <w:sz w:val="21"/>
        </w:rPr>
        <w:t> </w:t>
      </w:r>
      <w:r>
        <w:rPr>
          <w:sz w:val="21"/>
        </w:rPr>
        <w:t>in</w:t>
      </w:r>
      <w:r>
        <w:rPr>
          <w:spacing w:val="-8"/>
          <w:sz w:val="21"/>
        </w:rPr>
        <w:t> </w:t>
      </w:r>
      <w:r>
        <w:rPr>
          <w:sz w:val="21"/>
        </w:rPr>
        <w:t>the</w:t>
      </w:r>
      <w:r>
        <w:rPr>
          <w:spacing w:val="-8"/>
          <w:sz w:val="21"/>
        </w:rPr>
        <w:t> </w:t>
      </w:r>
      <w:r>
        <w:rPr>
          <w:sz w:val="21"/>
        </w:rPr>
        <w:t>collection</w:t>
      </w:r>
      <w:r>
        <w:rPr>
          <w:spacing w:val="-8"/>
          <w:sz w:val="21"/>
        </w:rPr>
        <w:t> </w:t>
      </w:r>
      <w:r>
        <w:rPr>
          <w:sz w:val="21"/>
        </w:rPr>
        <w:t>and reporting</w:t>
      </w:r>
      <w:r>
        <w:rPr>
          <w:spacing w:val="-4"/>
          <w:sz w:val="21"/>
        </w:rPr>
        <w:t> </w:t>
      </w:r>
      <w:r>
        <w:rPr>
          <w:sz w:val="21"/>
        </w:rPr>
        <w:t>of</w:t>
      </w:r>
      <w:r>
        <w:rPr>
          <w:spacing w:val="-4"/>
          <w:sz w:val="21"/>
        </w:rPr>
        <w:t> </w:t>
      </w:r>
      <w:r>
        <w:rPr>
          <w:sz w:val="21"/>
        </w:rPr>
        <w:t>juvenile</w:t>
      </w:r>
      <w:r>
        <w:rPr>
          <w:spacing w:val="-3"/>
          <w:sz w:val="21"/>
        </w:rPr>
        <w:t> </w:t>
      </w:r>
      <w:r>
        <w:rPr>
          <w:sz w:val="21"/>
        </w:rPr>
        <w:t>data</w:t>
      </w:r>
      <w:r>
        <w:rPr>
          <w:spacing w:val="-4"/>
          <w:sz w:val="21"/>
        </w:rPr>
        <w:t> </w:t>
      </w:r>
      <w:r>
        <w:rPr>
          <w:sz w:val="21"/>
        </w:rPr>
        <w:t>to</w:t>
      </w:r>
      <w:r>
        <w:rPr>
          <w:spacing w:val="-5"/>
          <w:sz w:val="21"/>
        </w:rPr>
        <w:t> </w:t>
      </w:r>
      <w:r>
        <w:rPr>
          <w:sz w:val="21"/>
        </w:rPr>
        <w:t>identify</w:t>
      </w:r>
      <w:r>
        <w:rPr>
          <w:spacing w:val="-3"/>
          <w:sz w:val="21"/>
        </w:rPr>
        <w:t> </w:t>
      </w:r>
      <w:r>
        <w:rPr>
          <w:sz w:val="21"/>
        </w:rPr>
        <w:t>and</w:t>
      </w:r>
      <w:r>
        <w:rPr>
          <w:spacing w:val="-3"/>
          <w:sz w:val="21"/>
        </w:rPr>
        <w:t> </w:t>
      </w:r>
      <w:r>
        <w:rPr>
          <w:sz w:val="21"/>
        </w:rPr>
        <w:t>evaluate</w:t>
      </w:r>
      <w:r>
        <w:rPr>
          <w:spacing w:val="-3"/>
          <w:sz w:val="21"/>
        </w:rPr>
        <w:t> </w:t>
      </w:r>
      <w:r>
        <w:rPr>
          <w:sz w:val="21"/>
        </w:rPr>
        <w:t>policies</w:t>
      </w:r>
      <w:r>
        <w:rPr>
          <w:spacing w:val="-4"/>
          <w:sz w:val="21"/>
        </w:rPr>
        <w:t> </w:t>
      </w:r>
      <w:r>
        <w:rPr>
          <w:sz w:val="21"/>
        </w:rPr>
        <w:t>to</w:t>
      </w:r>
      <w:r>
        <w:rPr>
          <w:spacing w:val="-3"/>
          <w:sz w:val="21"/>
        </w:rPr>
        <w:t> </w:t>
      </w:r>
      <w:r>
        <w:rPr>
          <w:sz w:val="21"/>
        </w:rPr>
        <w:t>reduce</w:t>
      </w:r>
      <w:r>
        <w:rPr>
          <w:spacing w:val="-4"/>
          <w:sz w:val="21"/>
        </w:rPr>
        <w:t> </w:t>
      </w:r>
      <w:r>
        <w:rPr>
          <w:sz w:val="21"/>
        </w:rPr>
        <w:t>racial</w:t>
      </w:r>
      <w:r>
        <w:rPr>
          <w:spacing w:val="-3"/>
          <w:sz w:val="21"/>
        </w:rPr>
        <w:t> </w:t>
      </w:r>
      <w:r>
        <w:rPr>
          <w:sz w:val="21"/>
        </w:rPr>
        <w:t>disparities</w:t>
      </w:r>
      <w:r>
        <w:rPr>
          <w:spacing w:val="-4"/>
          <w:sz w:val="21"/>
        </w:rPr>
        <w:t> </w:t>
      </w:r>
      <w:r>
        <w:rPr>
          <w:sz w:val="21"/>
        </w:rPr>
        <w:t>in</w:t>
      </w:r>
      <w:r>
        <w:rPr>
          <w:spacing w:val="-3"/>
          <w:sz w:val="21"/>
        </w:rPr>
        <w:t> </w:t>
      </w:r>
      <w:r>
        <w:rPr>
          <w:sz w:val="21"/>
        </w:rPr>
        <w:t>the</w:t>
      </w:r>
      <w:r>
        <w:rPr>
          <w:spacing w:val="-4"/>
          <w:sz w:val="21"/>
        </w:rPr>
        <w:t> </w:t>
      </w:r>
      <w:r>
        <w:rPr>
          <w:sz w:val="21"/>
        </w:rPr>
        <w:t>juvenile</w:t>
      </w:r>
      <w:r>
        <w:rPr>
          <w:spacing w:val="-3"/>
          <w:sz w:val="21"/>
        </w:rPr>
        <w:t> </w:t>
      </w:r>
      <w:r>
        <w:rPr>
          <w:sz w:val="21"/>
        </w:rPr>
        <w:t>justice </w:t>
      </w:r>
      <w:r>
        <w:rPr>
          <w:spacing w:val="-2"/>
          <w:sz w:val="21"/>
        </w:rPr>
        <w:t>system.</w:t>
      </w:r>
    </w:p>
    <w:p>
      <w:pPr>
        <w:spacing w:line="276" w:lineRule="auto" w:before="241"/>
        <w:ind w:left="463" w:right="241" w:firstLine="0"/>
        <w:jc w:val="both"/>
        <w:rPr>
          <w:sz w:val="21"/>
        </w:rPr>
      </w:pPr>
      <w:r>
        <w:rPr>
          <w:sz w:val="21"/>
        </w:rPr>
        <w:t>As noted in the above Child Welfare section of this annual report, the Commission further recommends that the legislature amend the appointed members of the JJPAD to add dedicated representatives for LGBTQ</w:t>
      </w:r>
      <w:r>
        <w:rPr>
          <w:spacing w:val="-4"/>
          <w:sz w:val="21"/>
        </w:rPr>
        <w:t> </w:t>
      </w:r>
      <w:r>
        <w:rPr>
          <w:sz w:val="21"/>
        </w:rPr>
        <w:t>youth</w:t>
      </w:r>
      <w:r>
        <w:rPr>
          <w:spacing w:val="-5"/>
          <w:sz w:val="21"/>
        </w:rPr>
        <w:t> </w:t>
      </w:r>
      <w:r>
        <w:rPr>
          <w:sz w:val="21"/>
        </w:rPr>
        <w:t>and</w:t>
      </w:r>
      <w:r>
        <w:rPr>
          <w:spacing w:val="-4"/>
          <w:sz w:val="21"/>
        </w:rPr>
        <w:t> </w:t>
      </w:r>
      <w:r>
        <w:rPr>
          <w:sz w:val="21"/>
        </w:rPr>
        <w:t>youth</w:t>
      </w:r>
      <w:r>
        <w:rPr>
          <w:spacing w:val="-5"/>
          <w:sz w:val="21"/>
        </w:rPr>
        <w:t> </w:t>
      </w:r>
      <w:r>
        <w:rPr>
          <w:sz w:val="21"/>
        </w:rPr>
        <w:t>with</w:t>
      </w:r>
      <w:r>
        <w:rPr>
          <w:spacing w:val="-4"/>
          <w:sz w:val="21"/>
        </w:rPr>
        <w:t> </w:t>
      </w:r>
      <w:r>
        <w:rPr>
          <w:sz w:val="21"/>
        </w:rPr>
        <w:t>disabilities.</w:t>
      </w:r>
      <w:r>
        <w:rPr>
          <w:spacing w:val="-4"/>
          <w:sz w:val="21"/>
        </w:rPr>
        <w:t> </w:t>
      </w:r>
      <w:r>
        <w:rPr>
          <w:sz w:val="21"/>
        </w:rPr>
        <w:t>Since</w:t>
      </w:r>
      <w:r>
        <w:rPr>
          <w:spacing w:val="-4"/>
          <w:sz w:val="21"/>
        </w:rPr>
        <w:t> </w:t>
      </w:r>
      <w:r>
        <w:rPr>
          <w:sz w:val="21"/>
        </w:rPr>
        <w:t>December</w:t>
      </w:r>
      <w:r>
        <w:rPr>
          <w:spacing w:val="-4"/>
          <w:sz w:val="21"/>
        </w:rPr>
        <w:t> </w:t>
      </w:r>
      <w:r>
        <w:rPr>
          <w:sz w:val="21"/>
        </w:rPr>
        <w:t>2022,</w:t>
      </w:r>
      <w:r>
        <w:rPr>
          <w:spacing w:val="-5"/>
          <w:sz w:val="21"/>
        </w:rPr>
        <w:t> </w:t>
      </w:r>
      <w:r>
        <w:rPr>
          <w:sz w:val="21"/>
        </w:rPr>
        <w:t>the</w:t>
      </w:r>
      <w:r>
        <w:rPr>
          <w:spacing w:val="-5"/>
          <w:sz w:val="21"/>
        </w:rPr>
        <w:t> </w:t>
      </w:r>
      <w:r>
        <w:rPr>
          <w:sz w:val="21"/>
        </w:rPr>
        <w:t>Commission</w:t>
      </w:r>
      <w:r>
        <w:rPr>
          <w:spacing w:val="-4"/>
          <w:sz w:val="21"/>
        </w:rPr>
        <w:t> </w:t>
      </w:r>
      <w:r>
        <w:rPr>
          <w:sz w:val="21"/>
        </w:rPr>
        <w:t>has</w:t>
      </w:r>
      <w:r>
        <w:rPr>
          <w:spacing w:val="-5"/>
          <w:sz w:val="21"/>
        </w:rPr>
        <w:t> </w:t>
      </w:r>
      <w:r>
        <w:rPr>
          <w:sz w:val="21"/>
        </w:rPr>
        <w:t>been</w:t>
      </w:r>
      <w:r>
        <w:rPr>
          <w:spacing w:val="-4"/>
          <w:sz w:val="21"/>
        </w:rPr>
        <w:t> </w:t>
      </w:r>
      <w:r>
        <w:rPr>
          <w:sz w:val="21"/>
        </w:rPr>
        <w:t>in</w:t>
      </w:r>
      <w:r>
        <w:rPr>
          <w:spacing w:val="-5"/>
          <w:sz w:val="21"/>
        </w:rPr>
        <w:t> </w:t>
      </w:r>
      <w:r>
        <w:rPr>
          <w:sz w:val="21"/>
        </w:rPr>
        <w:t>conversations with the legislature on the best path forward for this endeavor.</w:t>
      </w:r>
    </w:p>
    <w:p>
      <w:pPr>
        <w:pStyle w:val="ListParagraph"/>
        <w:numPr>
          <w:ilvl w:val="0"/>
          <w:numId w:val="26"/>
        </w:numPr>
        <w:tabs>
          <w:tab w:pos="462" w:val="left" w:leader="none"/>
        </w:tabs>
        <w:spacing w:line="240" w:lineRule="auto" w:before="239" w:after="0"/>
        <w:ind w:left="462" w:right="0" w:hanging="359"/>
        <w:jc w:val="left"/>
        <w:rPr>
          <w:b/>
          <w:sz w:val="21"/>
        </w:rPr>
      </w:pPr>
      <w:r>
        <w:rPr>
          <w:b/>
          <w:sz w:val="21"/>
        </w:rPr>
        <w:t>Disrupt</w:t>
      </w:r>
      <w:r>
        <w:rPr>
          <w:b/>
          <w:spacing w:val="-6"/>
          <w:sz w:val="21"/>
        </w:rPr>
        <w:t> </w:t>
      </w:r>
      <w:r>
        <w:rPr>
          <w:b/>
          <w:sz w:val="21"/>
        </w:rPr>
        <w:t>the</w:t>
      </w:r>
      <w:r>
        <w:rPr>
          <w:b/>
          <w:spacing w:val="-5"/>
          <w:sz w:val="21"/>
        </w:rPr>
        <w:t> </w:t>
      </w:r>
      <w:r>
        <w:rPr>
          <w:b/>
          <w:sz w:val="21"/>
        </w:rPr>
        <w:t>school-to-prison</w:t>
      </w:r>
      <w:r>
        <w:rPr>
          <w:b/>
          <w:spacing w:val="-4"/>
          <w:sz w:val="21"/>
        </w:rPr>
        <w:t> </w:t>
      </w:r>
      <w:r>
        <w:rPr>
          <w:b/>
          <w:sz w:val="21"/>
        </w:rPr>
        <w:t>pipeline</w:t>
      </w:r>
      <w:r>
        <w:rPr>
          <w:b/>
          <w:spacing w:val="-4"/>
          <w:sz w:val="21"/>
        </w:rPr>
        <w:t> </w:t>
      </w:r>
      <w:r>
        <w:rPr>
          <w:b/>
          <w:sz w:val="21"/>
        </w:rPr>
        <w:t>by</w:t>
      </w:r>
      <w:r>
        <w:rPr>
          <w:b/>
          <w:spacing w:val="-5"/>
          <w:sz w:val="21"/>
        </w:rPr>
        <w:t> </w:t>
      </w:r>
      <w:r>
        <w:rPr>
          <w:b/>
          <w:sz w:val="21"/>
        </w:rPr>
        <w:t>removing</w:t>
      </w:r>
      <w:r>
        <w:rPr>
          <w:b/>
          <w:spacing w:val="-4"/>
          <w:sz w:val="21"/>
        </w:rPr>
        <w:t> </w:t>
      </w:r>
      <w:r>
        <w:rPr>
          <w:b/>
          <w:sz w:val="21"/>
        </w:rPr>
        <w:t>police</w:t>
      </w:r>
      <w:r>
        <w:rPr>
          <w:b/>
          <w:spacing w:val="-4"/>
          <w:sz w:val="21"/>
        </w:rPr>
        <w:t> </w:t>
      </w:r>
      <w:r>
        <w:rPr>
          <w:b/>
          <w:sz w:val="21"/>
        </w:rPr>
        <w:t>from</w:t>
      </w:r>
      <w:r>
        <w:rPr>
          <w:b/>
          <w:spacing w:val="-3"/>
          <w:sz w:val="21"/>
        </w:rPr>
        <w:t> </w:t>
      </w:r>
      <w:r>
        <w:rPr>
          <w:b/>
          <w:spacing w:val="-2"/>
          <w:sz w:val="21"/>
        </w:rPr>
        <w:t>schools.</w:t>
      </w:r>
    </w:p>
    <w:p>
      <w:pPr>
        <w:pStyle w:val="BodyText"/>
        <w:spacing w:before="23"/>
        <w:rPr>
          <w:b/>
          <w:sz w:val="21"/>
        </w:rPr>
      </w:pPr>
    </w:p>
    <w:p>
      <w:pPr>
        <w:spacing w:line="276" w:lineRule="auto" w:before="0"/>
        <w:ind w:left="463" w:right="236" w:firstLine="0"/>
        <w:jc w:val="both"/>
        <w:rPr>
          <w:sz w:val="21"/>
        </w:rPr>
      </w:pPr>
      <w:r>
        <w:rPr>
          <w:sz w:val="21"/>
        </w:rPr>
        <w:t>The</w:t>
      </w:r>
      <w:r>
        <w:rPr>
          <w:spacing w:val="-9"/>
          <w:sz w:val="21"/>
        </w:rPr>
        <w:t> </w:t>
      </w:r>
      <w:r>
        <w:rPr>
          <w:sz w:val="21"/>
        </w:rPr>
        <w:t>Commission</w:t>
      </w:r>
      <w:r>
        <w:rPr>
          <w:spacing w:val="-9"/>
          <w:sz w:val="21"/>
        </w:rPr>
        <w:t> </w:t>
      </w:r>
      <w:r>
        <w:rPr>
          <w:sz w:val="21"/>
        </w:rPr>
        <w:t>continues</w:t>
      </w:r>
      <w:r>
        <w:rPr>
          <w:spacing w:val="-10"/>
          <w:sz w:val="21"/>
        </w:rPr>
        <w:t> </w:t>
      </w:r>
      <w:r>
        <w:rPr>
          <w:sz w:val="21"/>
        </w:rPr>
        <w:t>to</w:t>
      </w:r>
      <w:r>
        <w:rPr>
          <w:spacing w:val="-10"/>
          <w:sz w:val="21"/>
        </w:rPr>
        <w:t> </w:t>
      </w:r>
      <w:r>
        <w:rPr>
          <w:sz w:val="21"/>
        </w:rPr>
        <w:t>support</w:t>
      </w:r>
      <w:r>
        <w:rPr>
          <w:spacing w:val="-10"/>
          <w:sz w:val="21"/>
        </w:rPr>
        <w:t> </w:t>
      </w:r>
      <w:r>
        <w:rPr>
          <w:sz w:val="21"/>
        </w:rPr>
        <w:t>the</w:t>
      </w:r>
      <w:r>
        <w:rPr>
          <w:spacing w:val="-10"/>
          <w:sz w:val="21"/>
        </w:rPr>
        <w:t> </w:t>
      </w:r>
      <w:r>
        <w:rPr>
          <w:sz w:val="21"/>
        </w:rPr>
        <w:t>removal</w:t>
      </w:r>
      <w:r>
        <w:rPr>
          <w:spacing w:val="-9"/>
          <w:sz w:val="21"/>
        </w:rPr>
        <w:t> </w:t>
      </w:r>
      <w:r>
        <w:rPr>
          <w:sz w:val="21"/>
        </w:rPr>
        <w:t>of</w:t>
      </w:r>
      <w:r>
        <w:rPr>
          <w:spacing w:val="-10"/>
          <w:sz w:val="21"/>
        </w:rPr>
        <w:t> </w:t>
      </w:r>
      <w:r>
        <w:rPr>
          <w:sz w:val="21"/>
        </w:rPr>
        <w:t>police</w:t>
      </w:r>
      <w:r>
        <w:rPr>
          <w:spacing w:val="-9"/>
          <w:sz w:val="21"/>
        </w:rPr>
        <w:t> </w:t>
      </w:r>
      <w:r>
        <w:rPr>
          <w:sz w:val="21"/>
        </w:rPr>
        <w:t>officers</w:t>
      </w:r>
      <w:r>
        <w:rPr>
          <w:spacing w:val="-10"/>
          <w:sz w:val="21"/>
        </w:rPr>
        <w:t> </w:t>
      </w:r>
      <w:r>
        <w:rPr>
          <w:sz w:val="21"/>
        </w:rPr>
        <w:t>from</w:t>
      </w:r>
      <w:r>
        <w:rPr>
          <w:spacing w:val="-9"/>
          <w:sz w:val="21"/>
        </w:rPr>
        <w:t> </w:t>
      </w:r>
      <w:r>
        <w:rPr>
          <w:sz w:val="21"/>
        </w:rPr>
        <w:t>schools</w:t>
      </w:r>
      <w:r>
        <w:rPr>
          <w:spacing w:val="-10"/>
          <w:sz w:val="21"/>
        </w:rPr>
        <w:t> </w:t>
      </w:r>
      <w:r>
        <w:rPr>
          <w:sz w:val="21"/>
        </w:rPr>
        <w:t>and</w:t>
      </w:r>
      <w:r>
        <w:rPr>
          <w:spacing w:val="-11"/>
          <w:sz w:val="21"/>
        </w:rPr>
        <w:t> </w:t>
      </w:r>
      <w:r>
        <w:rPr>
          <w:sz w:val="21"/>
        </w:rPr>
        <w:t>recommends</w:t>
      </w:r>
      <w:r>
        <w:rPr>
          <w:spacing w:val="-11"/>
          <w:sz w:val="21"/>
        </w:rPr>
        <w:t> </w:t>
      </w:r>
      <w:r>
        <w:rPr>
          <w:sz w:val="21"/>
        </w:rPr>
        <w:t>that</w:t>
      </w:r>
      <w:r>
        <w:rPr>
          <w:spacing w:val="-10"/>
          <w:sz w:val="21"/>
        </w:rPr>
        <w:t> </w:t>
      </w:r>
      <w:r>
        <w:rPr>
          <w:sz w:val="21"/>
        </w:rPr>
        <w:t>the legislature pass the newly refiled bill, An Act Relative to the Location of School Resource Officers (H.565), which</w:t>
      </w:r>
      <w:r>
        <w:rPr>
          <w:spacing w:val="-1"/>
          <w:sz w:val="21"/>
        </w:rPr>
        <w:t> </w:t>
      </w:r>
      <w:r>
        <w:rPr>
          <w:sz w:val="21"/>
        </w:rPr>
        <w:t>would</w:t>
      </w:r>
      <w:r>
        <w:rPr>
          <w:spacing w:val="-1"/>
          <w:sz w:val="21"/>
        </w:rPr>
        <w:t> </w:t>
      </w:r>
      <w:r>
        <w:rPr>
          <w:sz w:val="21"/>
        </w:rPr>
        <w:t>require</w:t>
      </w:r>
      <w:r>
        <w:rPr>
          <w:spacing w:val="-1"/>
          <w:sz w:val="21"/>
        </w:rPr>
        <w:t> </w:t>
      </w:r>
      <w:r>
        <w:rPr>
          <w:sz w:val="21"/>
        </w:rPr>
        <w:t>that school</w:t>
      </w:r>
      <w:r>
        <w:rPr>
          <w:spacing w:val="-1"/>
          <w:sz w:val="21"/>
        </w:rPr>
        <w:t> </w:t>
      </w:r>
      <w:r>
        <w:rPr>
          <w:sz w:val="21"/>
        </w:rPr>
        <w:t>resource officers</w:t>
      </w:r>
      <w:r>
        <w:rPr>
          <w:spacing w:val="-1"/>
          <w:sz w:val="21"/>
        </w:rPr>
        <w:t> </w:t>
      </w:r>
      <w:r>
        <w:rPr>
          <w:sz w:val="21"/>
        </w:rPr>
        <w:t>be</w:t>
      </w:r>
      <w:r>
        <w:rPr>
          <w:spacing w:val="-1"/>
          <w:sz w:val="21"/>
        </w:rPr>
        <w:t> </w:t>
      </w:r>
      <w:r>
        <w:rPr>
          <w:sz w:val="21"/>
        </w:rPr>
        <w:t>located</w:t>
      </w:r>
      <w:r>
        <w:rPr>
          <w:spacing w:val="-1"/>
          <w:sz w:val="21"/>
        </w:rPr>
        <w:t> </w:t>
      </w:r>
      <w:r>
        <w:rPr>
          <w:sz w:val="21"/>
        </w:rPr>
        <w:t>at police</w:t>
      </w:r>
      <w:r>
        <w:rPr>
          <w:spacing w:val="-2"/>
          <w:sz w:val="21"/>
        </w:rPr>
        <w:t> </w:t>
      </w:r>
      <w:r>
        <w:rPr>
          <w:sz w:val="21"/>
        </w:rPr>
        <w:t>stations</w:t>
      </w:r>
      <w:r>
        <w:rPr>
          <w:spacing w:val="-1"/>
          <w:sz w:val="21"/>
        </w:rPr>
        <w:t> </w:t>
      </w:r>
      <w:r>
        <w:rPr>
          <w:sz w:val="21"/>
        </w:rPr>
        <w:t>and</w:t>
      </w:r>
      <w:r>
        <w:rPr>
          <w:spacing w:val="-1"/>
          <w:sz w:val="21"/>
        </w:rPr>
        <w:t> </w:t>
      </w:r>
      <w:r>
        <w:rPr>
          <w:sz w:val="21"/>
        </w:rPr>
        <w:t>not on</w:t>
      </w:r>
      <w:r>
        <w:rPr>
          <w:spacing w:val="-1"/>
          <w:sz w:val="21"/>
        </w:rPr>
        <w:t> </w:t>
      </w:r>
      <w:r>
        <w:rPr>
          <w:sz w:val="21"/>
        </w:rPr>
        <w:t>school</w:t>
      </w:r>
      <w:r>
        <w:rPr>
          <w:spacing w:val="-1"/>
          <w:sz w:val="21"/>
        </w:rPr>
        <w:t> </w:t>
      </w:r>
      <w:r>
        <w:rPr>
          <w:sz w:val="21"/>
        </w:rPr>
        <w:t>grounds.</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firstLine="0"/>
        <w:jc w:val="both"/>
        <w:rPr>
          <w:sz w:val="21"/>
        </w:rPr>
      </w:pPr>
      <w:r>
        <w:rPr>
          <w:sz w:val="21"/>
        </w:rPr>
        <w:t>Furthermore, the Commission recommends that schools be mandated to collect SOGIE demographic information</w:t>
      </w:r>
      <w:r>
        <w:rPr>
          <w:spacing w:val="-9"/>
          <w:sz w:val="21"/>
        </w:rPr>
        <w:t> </w:t>
      </w:r>
      <w:r>
        <w:rPr>
          <w:sz w:val="21"/>
        </w:rPr>
        <w:t>on</w:t>
      </w:r>
      <w:r>
        <w:rPr>
          <w:spacing w:val="-9"/>
          <w:sz w:val="21"/>
        </w:rPr>
        <w:t> </w:t>
      </w:r>
      <w:r>
        <w:rPr>
          <w:sz w:val="21"/>
        </w:rPr>
        <w:t>students</w:t>
      </w:r>
      <w:r>
        <w:rPr>
          <w:spacing w:val="-9"/>
          <w:sz w:val="21"/>
        </w:rPr>
        <w:t> </w:t>
      </w:r>
      <w:r>
        <w:rPr>
          <w:sz w:val="21"/>
        </w:rPr>
        <w:t>involved</w:t>
      </w:r>
      <w:r>
        <w:rPr>
          <w:spacing w:val="-9"/>
          <w:sz w:val="21"/>
        </w:rPr>
        <w:t> </w:t>
      </w:r>
      <w:r>
        <w:rPr>
          <w:sz w:val="21"/>
        </w:rPr>
        <w:t>in</w:t>
      </w:r>
      <w:r>
        <w:rPr>
          <w:spacing w:val="-9"/>
          <w:sz w:val="21"/>
        </w:rPr>
        <w:t> </w:t>
      </w:r>
      <w:r>
        <w:rPr>
          <w:sz w:val="21"/>
        </w:rPr>
        <w:t>disciplinary</w:t>
      </w:r>
      <w:r>
        <w:rPr>
          <w:spacing w:val="-9"/>
          <w:sz w:val="21"/>
        </w:rPr>
        <w:t> </w:t>
      </w:r>
      <w:r>
        <w:rPr>
          <w:sz w:val="21"/>
        </w:rPr>
        <w:t>cases.</w:t>
      </w:r>
      <w:r>
        <w:rPr>
          <w:spacing w:val="-9"/>
          <w:sz w:val="21"/>
        </w:rPr>
        <w:t> </w:t>
      </w:r>
      <w:r>
        <w:rPr>
          <w:sz w:val="21"/>
        </w:rPr>
        <w:t>As</w:t>
      </w:r>
      <w:r>
        <w:rPr>
          <w:spacing w:val="-10"/>
          <w:sz w:val="21"/>
        </w:rPr>
        <w:t> </w:t>
      </w:r>
      <w:r>
        <w:rPr>
          <w:sz w:val="21"/>
        </w:rPr>
        <w:t>highlighted</w:t>
      </w:r>
      <w:r>
        <w:rPr>
          <w:spacing w:val="-9"/>
          <w:sz w:val="21"/>
        </w:rPr>
        <w:t> </w:t>
      </w:r>
      <w:r>
        <w:rPr>
          <w:sz w:val="21"/>
        </w:rPr>
        <w:t>throughout</w:t>
      </w:r>
      <w:r>
        <w:rPr>
          <w:spacing w:val="-8"/>
          <w:sz w:val="21"/>
        </w:rPr>
        <w:t> </w:t>
      </w:r>
      <w:r>
        <w:rPr>
          <w:sz w:val="21"/>
        </w:rPr>
        <w:t>this</w:t>
      </w:r>
      <w:r>
        <w:rPr>
          <w:spacing w:val="-10"/>
          <w:sz w:val="21"/>
        </w:rPr>
        <w:t> </w:t>
      </w:r>
      <w:r>
        <w:rPr>
          <w:sz w:val="21"/>
        </w:rPr>
        <w:t>annual</w:t>
      </w:r>
      <w:r>
        <w:rPr>
          <w:spacing w:val="-9"/>
          <w:sz w:val="21"/>
        </w:rPr>
        <w:t> </w:t>
      </w:r>
      <w:r>
        <w:rPr>
          <w:sz w:val="21"/>
        </w:rPr>
        <w:t>report,</w:t>
      </w:r>
      <w:r>
        <w:rPr>
          <w:spacing w:val="-10"/>
          <w:sz w:val="21"/>
        </w:rPr>
        <w:t> </w:t>
      </w:r>
      <w:r>
        <w:rPr>
          <w:sz w:val="21"/>
        </w:rPr>
        <w:t>LGBTQ youth</w:t>
      </w:r>
      <w:r>
        <w:rPr>
          <w:spacing w:val="-1"/>
          <w:sz w:val="21"/>
        </w:rPr>
        <w:t> </w:t>
      </w:r>
      <w:r>
        <w:rPr>
          <w:sz w:val="21"/>
        </w:rPr>
        <w:t>are</w:t>
      </w:r>
      <w:r>
        <w:rPr>
          <w:spacing w:val="-1"/>
          <w:sz w:val="21"/>
        </w:rPr>
        <w:t> </w:t>
      </w:r>
      <w:r>
        <w:rPr>
          <w:sz w:val="21"/>
        </w:rPr>
        <w:t>more</w:t>
      </w:r>
      <w:r>
        <w:rPr>
          <w:spacing w:val="-1"/>
          <w:sz w:val="21"/>
        </w:rPr>
        <w:t> </w:t>
      </w:r>
      <w:r>
        <w:rPr>
          <w:sz w:val="21"/>
        </w:rPr>
        <w:t>likely</w:t>
      </w:r>
      <w:r>
        <w:rPr>
          <w:spacing w:val="-1"/>
          <w:sz w:val="21"/>
        </w:rPr>
        <w:t> </w:t>
      </w:r>
      <w:r>
        <w:rPr>
          <w:sz w:val="21"/>
        </w:rPr>
        <w:t>to</w:t>
      </w:r>
      <w:r>
        <w:rPr>
          <w:spacing w:val="-1"/>
          <w:sz w:val="21"/>
        </w:rPr>
        <w:t> </w:t>
      </w:r>
      <w:r>
        <w:rPr>
          <w:sz w:val="21"/>
        </w:rPr>
        <w:t>be</w:t>
      </w:r>
      <w:r>
        <w:rPr>
          <w:spacing w:val="-2"/>
          <w:sz w:val="21"/>
        </w:rPr>
        <w:t> </w:t>
      </w:r>
      <w:r>
        <w:rPr>
          <w:sz w:val="21"/>
        </w:rPr>
        <w:t>victims</w:t>
      </w:r>
      <w:r>
        <w:rPr>
          <w:spacing w:val="-1"/>
          <w:sz w:val="21"/>
        </w:rPr>
        <w:t> </w:t>
      </w:r>
      <w:r>
        <w:rPr>
          <w:sz w:val="21"/>
        </w:rPr>
        <w:t>of</w:t>
      </w:r>
      <w:r>
        <w:rPr>
          <w:spacing w:val="-1"/>
          <w:sz w:val="21"/>
        </w:rPr>
        <w:t> </w:t>
      </w:r>
      <w:r>
        <w:rPr>
          <w:sz w:val="21"/>
        </w:rPr>
        <w:t>bullying, and</w:t>
      </w:r>
      <w:r>
        <w:rPr>
          <w:spacing w:val="-1"/>
          <w:sz w:val="21"/>
        </w:rPr>
        <w:t> </w:t>
      </w:r>
      <w:r>
        <w:rPr>
          <w:sz w:val="21"/>
        </w:rPr>
        <w:t>thus</w:t>
      </w:r>
      <w:r>
        <w:rPr>
          <w:spacing w:val="-3"/>
          <w:sz w:val="21"/>
        </w:rPr>
        <w:t> </w:t>
      </w:r>
      <w:r>
        <w:rPr>
          <w:sz w:val="21"/>
        </w:rPr>
        <w:t>more</w:t>
      </w:r>
      <w:r>
        <w:rPr>
          <w:spacing w:val="-1"/>
          <w:sz w:val="21"/>
        </w:rPr>
        <w:t> </w:t>
      </w:r>
      <w:r>
        <w:rPr>
          <w:sz w:val="21"/>
        </w:rPr>
        <w:t>likely</w:t>
      </w:r>
      <w:r>
        <w:rPr>
          <w:spacing w:val="-1"/>
          <w:sz w:val="21"/>
        </w:rPr>
        <w:t> </w:t>
      </w:r>
      <w:r>
        <w:rPr>
          <w:sz w:val="21"/>
        </w:rPr>
        <w:t>to</w:t>
      </w:r>
      <w:r>
        <w:rPr>
          <w:spacing w:val="-2"/>
          <w:sz w:val="21"/>
        </w:rPr>
        <w:t> </w:t>
      </w:r>
      <w:r>
        <w:rPr>
          <w:sz w:val="21"/>
        </w:rPr>
        <w:t>be</w:t>
      </w:r>
      <w:r>
        <w:rPr>
          <w:spacing w:val="-1"/>
          <w:sz w:val="21"/>
        </w:rPr>
        <w:t> </w:t>
      </w:r>
      <w:r>
        <w:rPr>
          <w:sz w:val="21"/>
        </w:rPr>
        <w:t>involved</w:t>
      </w:r>
      <w:r>
        <w:rPr>
          <w:spacing w:val="-1"/>
          <w:sz w:val="21"/>
        </w:rPr>
        <w:t> </w:t>
      </w:r>
      <w:r>
        <w:rPr>
          <w:sz w:val="21"/>
        </w:rPr>
        <w:t>in</w:t>
      </w:r>
      <w:r>
        <w:rPr>
          <w:spacing w:val="-1"/>
          <w:sz w:val="21"/>
        </w:rPr>
        <w:t> </w:t>
      </w:r>
      <w:r>
        <w:rPr>
          <w:sz w:val="21"/>
        </w:rPr>
        <w:t>a</w:t>
      </w:r>
      <w:r>
        <w:rPr>
          <w:spacing w:val="-1"/>
          <w:sz w:val="21"/>
        </w:rPr>
        <w:t> </w:t>
      </w:r>
      <w:r>
        <w:rPr>
          <w:sz w:val="21"/>
        </w:rPr>
        <w:t>disciplinary</w:t>
      </w:r>
      <w:r>
        <w:rPr>
          <w:spacing w:val="-1"/>
          <w:sz w:val="21"/>
        </w:rPr>
        <w:t> </w:t>
      </w:r>
      <w:r>
        <w:rPr>
          <w:sz w:val="21"/>
        </w:rPr>
        <w:t>process that can sometimes lead to the victims being punished more than the perpetrator.</w:t>
      </w:r>
    </w:p>
    <w:p>
      <w:pPr>
        <w:pStyle w:val="ListParagraph"/>
        <w:numPr>
          <w:ilvl w:val="0"/>
          <w:numId w:val="26"/>
        </w:numPr>
        <w:tabs>
          <w:tab w:pos="463" w:val="left" w:leader="none"/>
        </w:tabs>
        <w:spacing w:line="276" w:lineRule="auto" w:before="240" w:after="0"/>
        <w:ind w:left="463" w:right="240" w:hanging="360"/>
        <w:jc w:val="left"/>
        <w:rPr>
          <w:b/>
          <w:sz w:val="21"/>
        </w:rPr>
      </w:pPr>
      <w:r>
        <w:rPr>
          <w:b/>
          <w:sz w:val="21"/>
        </w:rPr>
        <w:t>Limit</w:t>
      </w:r>
      <w:r>
        <w:rPr>
          <w:b/>
          <w:spacing w:val="31"/>
          <w:sz w:val="21"/>
        </w:rPr>
        <w:t> </w:t>
      </w:r>
      <w:r>
        <w:rPr>
          <w:b/>
          <w:sz w:val="21"/>
        </w:rPr>
        <w:t>the</w:t>
      </w:r>
      <w:r>
        <w:rPr>
          <w:b/>
          <w:spacing w:val="30"/>
          <w:sz w:val="21"/>
        </w:rPr>
        <w:t> </w:t>
      </w:r>
      <w:r>
        <w:rPr>
          <w:b/>
          <w:sz w:val="21"/>
        </w:rPr>
        <w:t>use</w:t>
      </w:r>
      <w:r>
        <w:rPr>
          <w:b/>
          <w:spacing w:val="29"/>
          <w:sz w:val="21"/>
        </w:rPr>
        <w:t> </w:t>
      </w:r>
      <w:r>
        <w:rPr>
          <w:b/>
          <w:sz w:val="21"/>
        </w:rPr>
        <w:t>of</w:t>
      </w:r>
      <w:r>
        <w:rPr>
          <w:b/>
          <w:spacing w:val="30"/>
          <w:sz w:val="21"/>
        </w:rPr>
        <w:t> </w:t>
      </w:r>
      <w:r>
        <w:rPr>
          <w:b/>
          <w:sz w:val="21"/>
        </w:rPr>
        <w:t>force</w:t>
      </w:r>
      <w:r>
        <w:rPr>
          <w:b/>
          <w:spacing w:val="30"/>
          <w:sz w:val="21"/>
        </w:rPr>
        <w:t> </w:t>
      </w:r>
      <w:r>
        <w:rPr>
          <w:b/>
          <w:sz w:val="21"/>
        </w:rPr>
        <w:t>by</w:t>
      </w:r>
      <w:r>
        <w:rPr>
          <w:b/>
          <w:spacing w:val="30"/>
          <w:sz w:val="21"/>
        </w:rPr>
        <w:t> </w:t>
      </w:r>
      <w:r>
        <w:rPr>
          <w:b/>
          <w:sz w:val="21"/>
        </w:rPr>
        <w:t>law</w:t>
      </w:r>
      <w:r>
        <w:rPr>
          <w:b/>
          <w:spacing w:val="30"/>
          <w:sz w:val="21"/>
        </w:rPr>
        <w:t> </w:t>
      </w:r>
      <w:r>
        <w:rPr>
          <w:b/>
          <w:sz w:val="21"/>
        </w:rPr>
        <w:t>enforcement</w:t>
      </w:r>
      <w:r>
        <w:rPr>
          <w:b/>
          <w:spacing w:val="31"/>
          <w:sz w:val="21"/>
        </w:rPr>
        <w:t> </w:t>
      </w:r>
      <w:r>
        <w:rPr>
          <w:b/>
          <w:sz w:val="21"/>
        </w:rPr>
        <w:t>and</w:t>
      </w:r>
      <w:r>
        <w:rPr>
          <w:b/>
          <w:spacing w:val="30"/>
          <w:sz w:val="21"/>
        </w:rPr>
        <w:t> </w:t>
      </w:r>
      <w:r>
        <w:rPr>
          <w:b/>
          <w:sz w:val="21"/>
        </w:rPr>
        <w:t>correctional</w:t>
      </w:r>
      <w:r>
        <w:rPr>
          <w:b/>
          <w:spacing w:val="30"/>
          <w:sz w:val="21"/>
        </w:rPr>
        <w:t> </w:t>
      </w:r>
      <w:r>
        <w:rPr>
          <w:b/>
          <w:sz w:val="21"/>
        </w:rPr>
        <w:t>officers</w:t>
      </w:r>
      <w:r>
        <w:rPr>
          <w:b/>
          <w:spacing w:val="30"/>
          <w:sz w:val="21"/>
        </w:rPr>
        <w:t> </w:t>
      </w:r>
      <w:r>
        <w:rPr>
          <w:b/>
          <w:sz w:val="21"/>
        </w:rPr>
        <w:t>and</w:t>
      </w:r>
      <w:r>
        <w:rPr>
          <w:b/>
          <w:spacing w:val="30"/>
          <w:sz w:val="21"/>
        </w:rPr>
        <w:t> </w:t>
      </w:r>
      <w:r>
        <w:rPr>
          <w:b/>
          <w:sz w:val="21"/>
        </w:rPr>
        <w:t>establish</w:t>
      </w:r>
      <w:r>
        <w:rPr>
          <w:b/>
          <w:spacing w:val="30"/>
          <w:sz w:val="21"/>
        </w:rPr>
        <w:t> </w:t>
      </w:r>
      <w:r>
        <w:rPr>
          <w:b/>
          <w:sz w:val="21"/>
        </w:rPr>
        <w:t>community-based response systems to reduce police intervention.</w:t>
      </w:r>
    </w:p>
    <w:p>
      <w:pPr>
        <w:spacing w:line="276" w:lineRule="auto" w:before="240"/>
        <w:ind w:left="464" w:right="238" w:firstLine="0"/>
        <w:jc w:val="both"/>
        <w:rPr>
          <w:sz w:val="21"/>
        </w:rPr>
      </w:pPr>
      <w:r>
        <w:rPr>
          <w:sz w:val="21"/>
        </w:rPr>
        <w:t>In 2020, Massachusetts passed several police reform bills following the murders of George Floyd and Breonna Taylor at the hands of police, as well as countless other instances of police brutality. Since 2020, there</w:t>
      </w:r>
      <w:r>
        <w:rPr>
          <w:spacing w:val="-8"/>
          <w:sz w:val="21"/>
        </w:rPr>
        <w:t> </w:t>
      </w:r>
      <w:r>
        <w:rPr>
          <w:sz w:val="21"/>
        </w:rPr>
        <w:t>has</w:t>
      </w:r>
      <w:r>
        <w:rPr>
          <w:spacing w:val="-8"/>
          <w:sz w:val="21"/>
        </w:rPr>
        <w:t> </w:t>
      </w:r>
      <w:r>
        <w:rPr>
          <w:sz w:val="21"/>
        </w:rPr>
        <w:t>been</w:t>
      </w:r>
      <w:r>
        <w:rPr>
          <w:spacing w:val="-8"/>
          <w:sz w:val="21"/>
        </w:rPr>
        <w:t> </w:t>
      </w:r>
      <w:r>
        <w:rPr>
          <w:sz w:val="21"/>
        </w:rPr>
        <w:t>no</w:t>
      </w:r>
      <w:r>
        <w:rPr>
          <w:spacing w:val="-8"/>
          <w:sz w:val="21"/>
        </w:rPr>
        <w:t> </w:t>
      </w:r>
      <w:r>
        <w:rPr>
          <w:sz w:val="21"/>
        </w:rPr>
        <w:t>further</w:t>
      </w:r>
      <w:r>
        <w:rPr>
          <w:spacing w:val="-9"/>
          <w:sz w:val="21"/>
        </w:rPr>
        <w:t> </w:t>
      </w:r>
      <w:r>
        <w:rPr>
          <w:sz w:val="21"/>
        </w:rPr>
        <w:t>major</w:t>
      </w:r>
      <w:r>
        <w:rPr>
          <w:spacing w:val="-8"/>
          <w:sz w:val="21"/>
        </w:rPr>
        <w:t> </w:t>
      </w:r>
      <w:r>
        <w:rPr>
          <w:sz w:val="21"/>
        </w:rPr>
        <w:t>evolutions</w:t>
      </w:r>
      <w:r>
        <w:rPr>
          <w:spacing w:val="-8"/>
          <w:sz w:val="21"/>
        </w:rPr>
        <w:t> </w:t>
      </w:r>
      <w:r>
        <w:rPr>
          <w:sz w:val="21"/>
        </w:rPr>
        <w:t>in</w:t>
      </w:r>
      <w:r>
        <w:rPr>
          <w:spacing w:val="-8"/>
          <w:sz w:val="21"/>
        </w:rPr>
        <w:t> </w:t>
      </w:r>
      <w:r>
        <w:rPr>
          <w:sz w:val="21"/>
        </w:rPr>
        <w:t>Massachusetts</w:t>
      </w:r>
      <w:r>
        <w:rPr>
          <w:spacing w:val="-8"/>
          <w:sz w:val="21"/>
        </w:rPr>
        <w:t> </w:t>
      </w:r>
      <w:r>
        <w:rPr>
          <w:sz w:val="21"/>
        </w:rPr>
        <w:t>law,</w:t>
      </w:r>
      <w:r>
        <w:rPr>
          <w:spacing w:val="-8"/>
          <w:sz w:val="21"/>
        </w:rPr>
        <w:t> </w:t>
      </w:r>
      <w:r>
        <w:rPr>
          <w:sz w:val="21"/>
        </w:rPr>
        <w:t>and</w:t>
      </w:r>
      <w:r>
        <w:rPr>
          <w:spacing w:val="-8"/>
          <w:sz w:val="21"/>
        </w:rPr>
        <w:t> </w:t>
      </w:r>
      <w:r>
        <w:rPr>
          <w:sz w:val="21"/>
        </w:rPr>
        <w:t>the</w:t>
      </w:r>
      <w:r>
        <w:rPr>
          <w:spacing w:val="-9"/>
          <w:sz w:val="21"/>
        </w:rPr>
        <w:t> </w:t>
      </w:r>
      <w:r>
        <w:rPr>
          <w:sz w:val="21"/>
        </w:rPr>
        <w:t>2020</w:t>
      </w:r>
      <w:r>
        <w:rPr>
          <w:spacing w:val="-9"/>
          <w:sz w:val="21"/>
        </w:rPr>
        <w:t> </w:t>
      </w:r>
      <w:r>
        <w:rPr>
          <w:sz w:val="21"/>
        </w:rPr>
        <w:t>reforms</w:t>
      </w:r>
      <w:r>
        <w:rPr>
          <w:spacing w:val="-8"/>
          <w:sz w:val="21"/>
        </w:rPr>
        <w:t> </w:t>
      </w:r>
      <w:r>
        <w:rPr>
          <w:sz w:val="21"/>
        </w:rPr>
        <w:t>fell</w:t>
      </w:r>
      <w:r>
        <w:rPr>
          <w:spacing w:val="-7"/>
          <w:sz w:val="21"/>
        </w:rPr>
        <w:t> </w:t>
      </w:r>
      <w:r>
        <w:rPr>
          <w:sz w:val="21"/>
        </w:rPr>
        <w:t>short</w:t>
      </w:r>
      <w:r>
        <w:rPr>
          <w:spacing w:val="-7"/>
          <w:sz w:val="21"/>
        </w:rPr>
        <w:t> </w:t>
      </w:r>
      <w:r>
        <w:rPr>
          <w:sz w:val="21"/>
        </w:rPr>
        <w:t>in</w:t>
      </w:r>
      <w:r>
        <w:rPr>
          <w:spacing w:val="-8"/>
          <w:sz w:val="21"/>
        </w:rPr>
        <w:t> </w:t>
      </w:r>
      <w:r>
        <w:rPr>
          <w:sz w:val="21"/>
        </w:rPr>
        <w:t>several areas, including: failing to (1) restrict the government’s use of dangerous, racially-biased and transphobic facial surveillance technology; (2) abolish or meaningfully roll back qualified immunity for police officers, which shields police from liability for violating the rights of an individual; (3) establish clear definitions of police</w:t>
      </w:r>
      <w:r>
        <w:rPr>
          <w:spacing w:val="-11"/>
          <w:sz w:val="21"/>
        </w:rPr>
        <w:t> </w:t>
      </w:r>
      <w:r>
        <w:rPr>
          <w:sz w:val="21"/>
        </w:rPr>
        <w:t>use</w:t>
      </w:r>
      <w:r>
        <w:rPr>
          <w:spacing w:val="-11"/>
          <w:sz w:val="21"/>
        </w:rPr>
        <w:t> </w:t>
      </w:r>
      <w:r>
        <w:rPr>
          <w:sz w:val="21"/>
        </w:rPr>
        <w:t>of</w:t>
      </w:r>
      <w:r>
        <w:rPr>
          <w:spacing w:val="-12"/>
          <w:sz w:val="21"/>
        </w:rPr>
        <w:t> </w:t>
      </w:r>
      <w:r>
        <w:rPr>
          <w:sz w:val="21"/>
        </w:rPr>
        <w:t>force,</w:t>
      </w:r>
      <w:r>
        <w:rPr>
          <w:spacing w:val="-10"/>
          <w:sz w:val="21"/>
        </w:rPr>
        <w:t> </w:t>
      </w:r>
      <w:r>
        <w:rPr>
          <w:sz w:val="21"/>
        </w:rPr>
        <w:t>the</w:t>
      </w:r>
      <w:r>
        <w:rPr>
          <w:spacing w:val="-12"/>
          <w:sz w:val="21"/>
        </w:rPr>
        <w:t> </w:t>
      </w:r>
      <w:r>
        <w:rPr>
          <w:sz w:val="21"/>
        </w:rPr>
        <w:t>failure</w:t>
      </w:r>
      <w:r>
        <w:rPr>
          <w:spacing w:val="-10"/>
          <w:sz w:val="21"/>
        </w:rPr>
        <w:t> </w:t>
      </w:r>
      <w:r>
        <w:rPr>
          <w:sz w:val="21"/>
        </w:rPr>
        <w:t>of</w:t>
      </w:r>
      <w:r>
        <w:rPr>
          <w:spacing w:val="-12"/>
          <w:sz w:val="21"/>
        </w:rPr>
        <w:t> </w:t>
      </w:r>
      <w:r>
        <w:rPr>
          <w:sz w:val="21"/>
        </w:rPr>
        <w:t>which</w:t>
      </w:r>
      <w:r>
        <w:rPr>
          <w:spacing w:val="-10"/>
          <w:sz w:val="21"/>
        </w:rPr>
        <w:t> </w:t>
      </w:r>
      <w:r>
        <w:rPr>
          <w:sz w:val="21"/>
        </w:rPr>
        <w:t>leaves</w:t>
      </w:r>
      <w:r>
        <w:rPr>
          <w:spacing w:val="-12"/>
          <w:sz w:val="21"/>
        </w:rPr>
        <w:t> </w:t>
      </w:r>
      <w:r>
        <w:rPr>
          <w:sz w:val="21"/>
        </w:rPr>
        <w:t>the</w:t>
      </w:r>
      <w:r>
        <w:rPr>
          <w:spacing w:val="-12"/>
          <w:sz w:val="21"/>
        </w:rPr>
        <w:t> </w:t>
      </w:r>
      <w:r>
        <w:rPr>
          <w:sz w:val="21"/>
        </w:rPr>
        <w:t>appropriate</w:t>
      </w:r>
      <w:r>
        <w:rPr>
          <w:spacing w:val="-10"/>
          <w:sz w:val="21"/>
        </w:rPr>
        <w:t> </w:t>
      </w:r>
      <w:r>
        <w:rPr>
          <w:sz w:val="21"/>
        </w:rPr>
        <w:t>standard</w:t>
      </w:r>
      <w:r>
        <w:rPr>
          <w:spacing w:val="-11"/>
          <w:sz w:val="21"/>
        </w:rPr>
        <w:t> </w:t>
      </w:r>
      <w:r>
        <w:rPr>
          <w:sz w:val="21"/>
        </w:rPr>
        <w:t>for</w:t>
      </w:r>
      <w:r>
        <w:rPr>
          <w:spacing w:val="-11"/>
          <w:sz w:val="21"/>
        </w:rPr>
        <w:t> </w:t>
      </w:r>
      <w:r>
        <w:rPr>
          <w:sz w:val="21"/>
        </w:rPr>
        <w:t>police</w:t>
      </w:r>
      <w:r>
        <w:rPr>
          <w:spacing w:val="-12"/>
          <w:sz w:val="21"/>
        </w:rPr>
        <w:t> </w:t>
      </w:r>
      <w:r>
        <w:rPr>
          <w:sz w:val="21"/>
        </w:rPr>
        <w:t>use</w:t>
      </w:r>
      <w:r>
        <w:rPr>
          <w:spacing w:val="-10"/>
          <w:sz w:val="21"/>
        </w:rPr>
        <w:t> </w:t>
      </w:r>
      <w:r>
        <w:rPr>
          <w:sz w:val="21"/>
        </w:rPr>
        <w:t>of</w:t>
      </w:r>
      <w:r>
        <w:rPr>
          <w:spacing w:val="-12"/>
          <w:sz w:val="21"/>
        </w:rPr>
        <w:t> </w:t>
      </w:r>
      <w:r>
        <w:rPr>
          <w:sz w:val="21"/>
        </w:rPr>
        <w:t>physical</w:t>
      </w:r>
      <w:r>
        <w:rPr>
          <w:spacing w:val="-10"/>
          <w:sz w:val="21"/>
        </w:rPr>
        <w:t> </w:t>
      </w:r>
      <w:r>
        <w:rPr>
          <w:sz w:val="21"/>
        </w:rPr>
        <w:t>force</w:t>
      </w:r>
      <w:r>
        <w:rPr>
          <w:spacing w:val="-11"/>
          <w:sz w:val="21"/>
        </w:rPr>
        <w:t> </w:t>
      </w:r>
      <w:r>
        <w:rPr>
          <w:sz w:val="21"/>
        </w:rPr>
        <w:t>open to</w:t>
      </w:r>
      <w:r>
        <w:rPr>
          <w:spacing w:val="-3"/>
          <w:sz w:val="21"/>
        </w:rPr>
        <w:t> </w:t>
      </w:r>
      <w:r>
        <w:rPr>
          <w:sz w:val="21"/>
        </w:rPr>
        <w:t>subjective</w:t>
      </w:r>
      <w:r>
        <w:rPr>
          <w:spacing w:val="-3"/>
          <w:sz w:val="21"/>
        </w:rPr>
        <w:t> </w:t>
      </w:r>
      <w:r>
        <w:rPr>
          <w:sz w:val="21"/>
        </w:rPr>
        <w:t>interpretation;</w:t>
      </w:r>
      <w:r>
        <w:rPr>
          <w:spacing w:val="-3"/>
          <w:sz w:val="21"/>
        </w:rPr>
        <w:t> </w:t>
      </w:r>
      <w:r>
        <w:rPr>
          <w:sz w:val="21"/>
        </w:rPr>
        <w:t>and</w:t>
      </w:r>
      <w:r>
        <w:rPr>
          <w:spacing w:val="-3"/>
          <w:sz w:val="21"/>
        </w:rPr>
        <w:t> </w:t>
      </w:r>
      <w:r>
        <w:rPr>
          <w:sz w:val="21"/>
        </w:rPr>
        <w:t>(4)</w:t>
      </w:r>
      <w:r>
        <w:rPr>
          <w:spacing w:val="-3"/>
          <w:sz w:val="21"/>
        </w:rPr>
        <w:t> </w:t>
      </w:r>
      <w:r>
        <w:rPr>
          <w:sz w:val="21"/>
        </w:rPr>
        <w:t>require</w:t>
      </w:r>
      <w:r>
        <w:rPr>
          <w:spacing w:val="-3"/>
          <w:sz w:val="21"/>
        </w:rPr>
        <w:t> </w:t>
      </w:r>
      <w:r>
        <w:rPr>
          <w:sz w:val="21"/>
        </w:rPr>
        <w:t>local</w:t>
      </w:r>
      <w:r>
        <w:rPr>
          <w:spacing w:val="-3"/>
          <w:sz w:val="21"/>
        </w:rPr>
        <w:t> </w:t>
      </w:r>
      <w:r>
        <w:rPr>
          <w:sz w:val="21"/>
        </w:rPr>
        <w:t>elected</w:t>
      </w:r>
      <w:r>
        <w:rPr>
          <w:spacing w:val="-3"/>
          <w:sz w:val="21"/>
        </w:rPr>
        <w:t> </w:t>
      </w:r>
      <w:r>
        <w:rPr>
          <w:sz w:val="21"/>
        </w:rPr>
        <w:t>government</w:t>
      </w:r>
      <w:r>
        <w:rPr>
          <w:spacing w:val="-3"/>
          <w:sz w:val="21"/>
        </w:rPr>
        <w:t> </w:t>
      </w:r>
      <w:r>
        <w:rPr>
          <w:sz w:val="21"/>
        </w:rPr>
        <w:t>bodies,</w:t>
      </w:r>
      <w:r>
        <w:rPr>
          <w:spacing w:val="-3"/>
          <w:sz w:val="21"/>
        </w:rPr>
        <w:t> </w:t>
      </w:r>
      <w:r>
        <w:rPr>
          <w:sz w:val="21"/>
        </w:rPr>
        <w:t>like</w:t>
      </w:r>
      <w:r>
        <w:rPr>
          <w:spacing w:val="-3"/>
          <w:sz w:val="21"/>
        </w:rPr>
        <w:t> </w:t>
      </w:r>
      <w:r>
        <w:rPr>
          <w:sz w:val="21"/>
        </w:rPr>
        <w:t>city</w:t>
      </w:r>
      <w:r>
        <w:rPr>
          <w:spacing w:val="-3"/>
          <w:sz w:val="21"/>
        </w:rPr>
        <w:t> </w:t>
      </w:r>
      <w:r>
        <w:rPr>
          <w:sz w:val="21"/>
        </w:rPr>
        <w:t>councils,</w:t>
      </w:r>
      <w:r>
        <w:rPr>
          <w:spacing w:val="-2"/>
          <w:sz w:val="21"/>
        </w:rPr>
        <w:t> </w:t>
      </w:r>
      <w:r>
        <w:rPr>
          <w:sz w:val="21"/>
        </w:rPr>
        <w:t>to</w:t>
      </w:r>
      <w:r>
        <w:rPr>
          <w:spacing w:val="-3"/>
          <w:sz w:val="21"/>
        </w:rPr>
        <w:t> </w:t>
      </w:r>
      <w:r>
        <w:rPr>
          <w:sz w:val="21"/>
        </w:rPr>
        <w:t>approve any</w:t>
      </w:r>
      <w:r>
        <w:rPr>
          <w:spacing w:val="-6"/>
          <w:sz w:val="21"/>
        </w:rPr>
        <w:t> </w:t>
      </w:r>
      <w:r>
        <w:rPr>
          <w:sz w:val="21"/>
        </w:rPr>
        <w:t>transfers</w:t>
      </w:r>
      <w:r>
        <w:rPr>
          <w:spacing w:val="-6"/>
          <w:sz w:val="21"/>
        </w:rPr>
        <w:t> </w:t>
      </w:r>
      <w:r>
        <w:rPr>
          <w:sz w:val="21"/>
        </w:rPr>
        <w:t>to</w:t>
      </w:r>
      <w:r>
        <w:rPr>
          <w:spacing w:val="-6"/>
          <w:sz w:val="21"/>
        </w:rPr>
        <w:t> </w:t>
      </w:r>
      <w:r>
        <w:rPr>
          <w:sz w:val="21"/>
        </w:rPr>
        <w:t>military</w:t>
      </w:r>
      <w:r>
        <w:rPr>
          <w:spacing w:val="-6"/>
          <w:sz w:val="21"/>
        </w:rPr>
        <w:t> </w:t>
      </w:r>
      <w:r>
        <w:rPr>
          <w:sz w:val="21"/>
        </w:rPr>
        <w:t>equipment</w:t>
      </w:r>
      <w:r>
        <w:rPr>
          <w:spacing w:val="-6"/>
          <w:sz w:val="21"/>
        </w:rPr>
        <w:t> </w:t>
      </w:r>
      <w:r>
        <w:rPr>
          <w:sz w:val="21"/>
        </w:rPr>
        <w:t>to</w:t>
      </w:r>
      <w:r>
        <w:rPr>
          <w:spacing w:val="-6"/>
          <w:sz w:val="21"/>
        </w:rPr>
        <w:t> </w:t>
      </w:r>
      <w:r>
        <w:rPr>
          <w:sz w:val="21"/>
        </w:rPr>
        <w:t>their</w:t>
      </w:r>
      <w:r>
        <w:rPr>
          <w:spacing w:val="-6"/>
          <w:sz w:val="21"/>
        </w:rPr>
        <w:t> </w:t>
      </w:r>
      <w:r>
        <w:rPr>
          <w:sz w:val="21"/>
        </w:rPr>
        <w:t>local</w:t>
      </w:r>
      <w:r>
        <w:rPr>
          <w:spacing w:val="-6"/>
          <w:sz w:val="21"/>
        </w:rPr>
        <w:t> </w:t>
      </w:r>
      <w:r>
        <w:rPr>
          <w:sz w:val="21"/>
        </w:rPr>
        <w:t>police</w:t>
      </w:r>
      <w:r>
        <w:rPr>
          <w:spacing w:val="-6"/>
          <w:sz w:val="21"/>
        </w:rPr>
        <w:t> </w:t>
      </w:r>
      <w:r>
        <w:rPr>
          <w:sz w:val="21"/>
        </w:rPr>
        <w:t>department.</w:t>
      </w:r>
      <w:r>
        <w:rPr>
          <w:spacing w:val="-6"/>
          <w:sz w:val="21"/>
        </w:rPr>
        <w:t> </w:t>
      </w:r>
      <w:r>
        <w:rPr>
          <w:sz w:val="21"/>
        </w:rPr>
        <w:t>In</w:t>
      </w:r>
      <w:r>
        <w:rPr>
          <w:spacing w:val="-8"/>
          <w:sz w:val="21"/>
        </w:rPr>
        <w:t> </w:t>
      </w:r>
      <w:r>
        <w:rPr>
          <w:sz w:val="21"/>
        </w:rPr>
        <w:t>particular,</w:t>
      </w:r>
      <w:r>
        <w:rPr>
          <w:spacing w:val="-6"/>
          <w:sz w:val="21"/>
        </w:rPr>
        <w:t> </w:t>
      </w:r>
      <w:r>
        <w:rPr>
          <w:sz w:val="21"/>
        </w:rPr>
        <w:t>the</w:t>
      </w:r>
      <w:r>
        <w:rPr>
          <w:spacing w:val="-7"/>
          <w:sz w:val="21"/>
        </w:rPr>
        <w:t> </w:t>
      </w:r>
      <w:r>
        <w:rPr>
          <w:sz w:val="21"/>
        </w:rPr>
        <w:t>Commission</w:t>
      </w:r>
      <w:r>
        <w:rPr>
          <w:spacing w:val="-6"/>
          <w:sz w:val="21"/>
        </w:rPr>
        <w:t> </w:t>
      </w:r>
      <w:r>
        <w:rPr>
          <w:sz w:val="21"/>
        </w:rPr>
        <w:t>strongly recommends that the State examine all local practices and policies as it relates to police responses to emergency calls to ensure that youth are protected from violence and discrimination when in crisis.</w:t>
      </w:r>
    </w:p>
    <w:p>
      <w:pPr>
        <w:spacing w:line="276" w:lineRule="auto" w:before="240"/>
        <w:ind w:left="464" w:right="242" w:firstLine="0"/>
        <w:jc w:val="both"/>
        <w:rPr>
          <w:sz w:val="21"/>
        </w:rPr>
      </w:pPr>
      <w:r>
        <w:rPr>
          <w:sz w:val="21"/>
        </w:rPr>
        <w:t>The Commission further recommends that Massachusetts ban the use of facial surveillance technology, such as suggested in An Act to Implement the Recommendations of the Special Commission on Facial Recognition</w:t>
      </w:r>
      <w:r>
        <w:rPr>
          <w:spacing w:val="-12"/>
          <w:sz w:val="21"/>
        </w:rPr>
        <w:t> </w:t>
      </w:r>
      <w:r>
        <w:rPr>
          <w:sz w:val="21"/>
        </w:rPr>
        <w:t>Technology</w:t>
      </w:r>
      <w:r>
        <w:rPr>
          <w:spacing w:val="-11"/>
          <w:sz w:val="21"/>
        </w:rPr>
        <w:t> </w:t>
      </w:r>
      <w:r>
        <w:rPr>
          <w:sz w:val="21"/>
        </w:rPr>
        <w:t>(S.927/H.1728).</w:t>
      </w:r>
      <w:r>
        <w:rPr>
          <w:spacing w:val="-12"/>
          <w:sz w:val="21"/>
        </w:rPr>
        <w:t> </w:t>
      </w:r>
      <w:r>
        <w:rPr>
          <w:sz w:val="21"/>
        </w:rPr>
        <w:t>As</w:t>
      </w:r>
      <w:r>
        <w:rPr>
          <w:spacing w:val="-12"/>
          <w:sz w:val="21"/>
        </w:rPr>
        <w:t> </w:t>
      </w:r>
      <w:r>
        <w:rPr>
          <w:sz w:val="21"/>
        </w:rPr>
        <w:t>discussed</w:t>
      </w:r>
      <w:r>
        <w:rPr>
          <w:spacing w:val="-11"/>
          <w:sz w:val="21"/>
        </w:rPr>
        <w:t> </w:t>
      </w:r>
      <w:r>
        <w:rPr>
          <w:sz w:val="21"/>
        </w:rPr>
        <w:t>below,</w:t>
      </w:r>
      <w:r>
        <w:rPr>
          <w:spacing w:val="-11"/>
          <w:sz w:val="21"/>
        </w:rPr>
        <w:t> </w:t>
      </w:r>
      <w:r>
        <w:rPr>
          <w:sz w:val="21"/>
        </w:rPr>
        <w:t>facial</w:t>
      </w:r>
      <w:r>
        <w:rPr>
          <w:spacing w:val="-11"/>
          <w:sz w:val="21"/>
        </w:rPr>
        <w:t> </w:t>
      </w:r>
      <w:r>
        <w:rPr>
          <w:sz w:val="21"/>
        </w:rPr>
        <w:t>surveillance</w:t>
      </w:r>
      <w:r>
        <w:rPr>
          <w:spacing w:val="-11"/>
          <w:sz w:val="21"/>
        </w:rPr>
        <w:t> </w:t>
      </w:r>
      <w:r>
        <w:rPr>
          <w:sz w:val="21"/>
        </w:rPr>
        <w:t>technology</w:t>
      </w:r>
      <w:r>
        <w:rPr>
          <w:spacing w:val="-11"/>
          <w:sz w:val="21"/>
        </w:rPr>
        <w:t> </w:t>
      </w:r>
      <w:r>
        <w:rPr>
          <w:sz w:val="21"/>
        </w:rPr>
        <w:t>has</w:t>
      </w:r>
      <w:r>
        <w:rPr>
          <w:spacing w:val="-12"/>
          <w:sz w:val="21"/>
        </w:rPr>
        <w:t> </w:t>
      </w:r>
      <w:r>
        <w:rPr>
          <w:sz w:val="21"/>
        </w:rPr>
        <w:t>been</w:t>
      </w:r>
      <w:r>
        <w:rPr>
          <w:spacing w:val="-11"/>
          <w:sz w:val="21"/>
        </w:rPr>
        <w:t> </w:t>
      </w:r>
      <w:r>
        <w:rPr>
          <w:sz w:val="21"/>
        </w:rPr>
        <w:t>shown to increase the likelihood of false arrests and criminal charges against QTBIPOC individuals.</w:t>
      </w:r>
    </w:p>
    <w:p>
      <w:pPr>
        <w:pStyle w:val="ListParagraph"/>
        <w:numPr>
          <w:ilvl w:val="0"/>
          <w:numId w:val="26"/>
        </w:numPr>
        <w:tabs>
          <w:tab w:pos="464" w:val="left" w:leader="none"/>
        </w:tabs>
        <w:spacing w:line="276" w:lineRule="auto" w:before="241" w:after="0"/>
        <w:ind w:left="464" w:right="241" w:hanging="360"/>
        <w:jc w:val="left"/>
        <w:rPr>
          <w:b/>
          <w:sz w:val="21"/>
        </w:rPr>
      </w:pPr>
      <w:r>
        <w:rPr>
          <w:b/>
          <w:sz w:val="21"/>
        </w:rPr>
        <w:t>Decriminalize consensual</w:t>
      </w:r>
      <w:r>
        <w:rPr>
          <w:b/>
          <w:spacing w:val="-1"/>
          <w:sz w:val="21"/>
        </w:rPr>
        <w:t> </w:t>
      </w:r>
      <w:r>
        <w:rPr>
          <w:b/>
          <w:sz w:val="21"/>
        </w:rPr>
        <w:t>sexual</w:t>
      </w:r>
      <w:r>
        <w:rPr>
          <w:b/>
          <w:spacing w:val="-1"/>
          <w:sz w:val="21"/>
        </w:rPr>
        <w:t> </w:t>
      </w:r>
      <w:r>
        <w:rPr>
          <w:b/>
          <w:sz w:val="21"/>
        </w:rPr>
        <w:t>relations among</w:t>
      </w:r>
      <w:r>
        <w:rPr>
          <w:b/>
          <w:spacing w:val="-1"/>
          <w:sz w:val="21"/>
        </w:rPr>
        <w:t> </w:t>
      </w:r>
      <w:r>
        <w:rPr>
          <w:b/>
          <w:sz w:val="21"/>
        </w:rPr>
        <w:t>parties close</w:t>
      </w:r>
      <w:r>
        <w:rPr>
          <w:b/>
          <w:spacing w:val="-1"/>
          <w:sz w:val="21"/>
        </w:rPr>
        <w:t> </w:t>
      </w:r>
      <w:r>
        <w:rPr>
          <w:b/>
          <w:sz w:val="21"/>
        </w:rPr>
        <w:t>in age</w:t>
      </w:r>
      <w:r>
        <w:rPr>
          <w:b/>
          <w:spacing w:val="-1"/>
          <w:sz w:val="21"/>
        </w:rPr>
        <w:t> </w:t>
      </w:r>
      <w:r>
        <w:rPr>
          <w:b/>
          <w:sz w:val="21"/>
        </w:rPr>
        <w:t>and support</w:t>
      </w:r>
      <w:r>
        <w:rPr>
          <w:b/>
          <w:spacing w:val="-1"/>
          <w:sz w:val="21"/>
        </w:rPr>
        <w:t> </w:t>
      </w:r>
      <w:r>
        <w:rPr>
          <w:b/>
          <w:sz w:val="21"/>
        </w:rPr>
        <w:t>education rather</w:t>
      </w:r>
      <w:r>
        <w:rPr>
          <w:b/>
          <w:spacing w:val="-1"/>
          <w:sz w:val="21"/>
        </w:rPr>
        <w:t> </w:t>
      </w:r>
      <w:r>
        <w:rPr>
          <w:b/>
          <w:sz w:val="21"/>
        </w:rPr>
        <w:t>than criminal discipline.</w:t>
      </w:r>
    </w:p>
    <w:p>
      <w:pPr>
        <w:spacing w:line="276" w:lineRule="auto" w:before="239"/>
        <w:ind w:left="464" w:right="238" w:firstLine="0"/>
        <w:jc w:val="both"/>
        <w:rPr>
          <w:sz w:val="21"/>
        </w:rPr>
      </w:pPr>
      <w:r>
        <w:rPr>
          <w:sz w:val="21"/>
        </w:rPr>
        <w:t>The Commission recommends that the state decriminalize the consensual sexual relations among parties close in age, such as relationships between 14 and 15-year-olds. LGBTQ youth are often the victims of discriminatory use of these laws as a means of punishing stigmatized relationships between LGBTQ young people,</w:t>
      </w:r>
      <w:r>
        <w:rPr>
          <w:spacing w:val="-12"/>
          <w:sz w:val="21"/>
        </w:rPr>
        <w:t> </w:t>
      </w:r>
      <w:r>
        <w:rPr>
          <w:sz w:val="21"/>
        </w:rPr>
        <w:t>which</w:t>
      </w:r>
      <w:r>
        <w:rPr>
          <w:spacing w:val="-12"/>
          <w:sz w:val="21"/>
        </w:rPr>
        <w:t> </w:t>
      </w:r>
      <w:r>
        <w:rPr>
          <w:sz w:val="21"/>
        </w:rPr>
        <w:t>more</w:t>
      </w:r>
      <w:r>
        <w:rPr>
          <w:spacing w:val="-11"/>
          <w:sz w:val="21"/>
        </w:rPr>
        <w:t> </w:t>
      </w:r>
      <w:r>
        <w:rPr>
          <w:sz w:val="21"/>
        </w:rPr>
        <w:t>typically</w:t>
      </w:r>
      <w:r>
        <w:rPr>
          <w:spacing w:val="-12"/>
          <w:sz w:val="21"/>
        </w:rPr>
        <w:t> </w:t>
      </w:r>
      <w:r>
        <w:rPr>
          <w:sz w:val="21"/>
        </w:rPr>
        <w:t>more</w:t>
      </w:r>
      <w:r>
        <w:rPr>
          <w:spacing w:val="-11"/>
          <w:sz w:val="21"/>
        </w:rPr>
        <w:t> </w:t>
      </w:r>
      <w:r>
        <w:rPr>
          <w:sz w:val="21"/>
        </w:rPr>
        <w:t>affects</w:t>
      </w:r>
      <w:r>
        <w:rPr>
          <w:spacing w:val="-12"/>
          <w:sz w:val="21"/>
        </w:rPr>
        <w:t> </w:t>
      </w:r>
      <w:r>
        <w:rPr>
          <w:sz w:val="21"/>
        </w:rPr>
        <w:t>young</w:t>
      </w:r>
      <w:r>
        <w:rPr>
          <w:spacing w:val="-12"/>
          <w:sz w:val="21"/>
        </w:rPr>
        <w:t> </w:t>
      </w:r>
      <w:r>
        <w:rPr>
          <w:sz w:val="21"/>
        </w:rPr>
        <w:t>boys.</w:t>
      </w:r>
      <w:r>
        <w:rPr>
          <w:spacing w:val="-11"/>
          <w:sz w:val="21"/>
        </w:rPr>
        <w:t> </w:t>
      </w:r>
      <w:r>
        <w:rPr>
          <w:sz w:val="21"/>
        </w:rPr>
        <w:t>Relatedly,</w:t>
      </w:r>
      <w:r>
        <w:rPr>
          <w:spacing w:val="-11"/>
          <w:sz w:val="21"/>
        </w:rPr>
        <w:t> </w:t>
      </w:r>
      <w:r>
        <w:rPr>
          <w:sz w:val="21"/>
        </w:rPr>
        <w:t>the</w:t>
      </w:r>
      <w:r>
        <w:rPr>
          <w:spacing w:val="-12"/>
          <w:sz w:val="21"/>
        </w:rPr>
        <w:t> </w:t>
      </w:r>
      <w:r>
        <w:rPr>
          <w:sz w:val="21"/>
        </w:rPr>
        <w:t>Commission</w:t>
      </w:r>
      <w:r>
        <w:rPr>
          <w:spacing w:val="-11"/>
          <w:sz w:val="21"/>
        </w:rPr>
        <w:t> </w:t>
      </w:r>
      <w:r>
        <w:rPr>
          <w:sz w:val="21"/>
        </w:rPr>
        <w:t>further</w:t>
      </w:r>
      <w:r>
        <w:rPr>
          <w:spacing w:val="-11"/>
          <w:sz w:val="21"/>
        </w:rPr>
        <w:t> </w:t>
      </w:r>
      <w:r>
        <w:rPr>
          <w:sz w:val="21"/>
        </w:rPr>
        <w:t>recommends</w:t>
      </w:r>
      <w:r>
        <w:rPr>
          <w:spacing w:val="-12"/>
          <w:sz w:val="21"/>
        </w:rPr>
        <w:t> </w:t>
      </w:r>
      <w:r>
        <w:rPr>
          <w:sz w:val="21"/>
        </w:rPr>
        <w:t>that legislators</w:t>
      </w:r>
      <w:r>
        <w:rPr>
          <w:spacing w:val="-12"/>
          <w:sz w:val="21"/>
        </w:rPr>
        <w:t> </w:t>
      </w:r>
      <w:r>
        <w:rPr>
          <w:sz w:val="21"/>
        </w:rPr>
        <w:t>decriminalize</w:t>
      </w:r>
      <w:r>
        <w:rPr>
          <w:spacing w:val="-11"/>
          <w:sz w:val="21"/>
        </w:rPr>
        <w:t> </w:t>
      </w:r>
      <w:r>
        <w:rPr>
          <w:sz w:val="21"/>
        </w:rPr>
        <w:t>the</w:t>
      </w:r>
      <w:r>
        <w:rPr>
          <w:spacing w:val="-12"/>
          <w:sz w:val="21"/>
        </w:rPr>
        <w:t> </w:t>
      </w:r>
      <w:r>
        <w:rPr>
          <w:sz w:val="21"/>
        </w:rPr>
        <w:t>engaging</w:t>
      </w:r>
      <w:r>
        <w:rPr>
          <w:spacing w:val="-12"/>
          <w:sz w:val="21"/>
        </w:rPr>
        <w:t> </w:t>
      </w:r>
      <w:r>
        <w:rPr>
          <w:sz w:val="21"/>
        </w:rPr>
        <w:t>of</w:t>
      </w:r>
      <w:r>
        <w:rPr>
          <w:spacing w:val="-12"/>
          <w:sz w:val="21"/>
        </w:rPr>
        <w:t> </w:t>
      </w:r>
      <w:r>
        <w:rPr>
          <w:sz w:val="21"/>
        </w:rPr>
        <w:t>minors</w:t>
      </w:r>
      <w:r>
        <w:rPr>
          <w:spacing w:val="-11"/>
          <w:sz w:val="21"/>
        </w:rPr>
        <w:t> </w:t>
      </w:r>
      <w:r>
        <w:rPr>
          <w:sz w:val="21"/>
        </w:rPr>
        <w:t>in</w:t>
      </w:r>
      <w:r>
        <w:rPr>
          <w:spacing w:val="-11"/>
          <w:sz w:val="21"/>
        </w:rPr>
        <w:t> </w:t>
      </w:r>
      <w:r>
        <w:rPr>
          <w:sz w:val="21"/>
        </w:rPr>
        <w:t>disseminating</w:t>
      </w:r>
      <w:r>
        <w:rPr>
          <w:spacing w:val="-12"/>
          <w:sz w:val="21"/>
        </w:rPr>
        <w:t> </w:t>
      </w:r>
      <w:r>
        <w:rPr>
          <w:sz w:val="21"/>
        </w:rPr>
        <w:t>explicit</w:t>
      </w:r>
      <w:r>
        <w:rPr>
          <w:spacing w:val="-11"/>
          <w:sz w:val="21"/>
        </w:rPr>
        <w:t> </w:t>
      </w:r>
      <w:r>
        <w:rPr>
          <w:sz w:val="21"/>
        </w:rPr>
        <w:t>visual</w:t>
      </w:r>
      <w:r>
        <w:rPr>
          <w:spacing w:val="-11"/>
          <w:sz w:val="21"/>
        </w:rPr>
        <w:t> </w:t>
      </w:r>
      <w:r>
        <w:rPr>
          <w:sz w:val="21"/>
        </w:rPr>
        <w:t>material</w:t>
      </w:r>
      <w:r>
        <w:rPr>
          <w:spacing w:val="-11"/>
          <w:sz w:val="21"/>
        </w:rPr>
        <w:t> </w:t>
      </w:r>
      <w:r>
        <w:rPr>
          <w:sz w:val="21"/>
        </w:rPr>
        <w:t>amongst</w:t>
      </w:r>
      <w:r>
        <w:rPr>
          <w:spacing w:val="-11"/>
          <w:sz w:val="21"/>
        </w:rPr>
        <w:t> </w:t>
      </w:r>
      <w:r>
        <w:rPr>
          <w:sz w:val="21"/>
        </w:rPr>
        <w:t>peers,</w:t>
      </w:r>
      <w:r>
        <w:rPr>
          <w:spacing w:val="-11"/>
          <w:sz w:val="21"/>
        </w:rPr>
        <w:t> </w:t>
      </w:r>
      <w:r>
        <w:rPr>
          <w:sz w:val="21"/>
        </w:rPr>
        <w:t>and stress the need for education in this area instead of criminal punishment. Furthermore, given the harmful effects of the criminalization of consensual sexual relationships between minors as noted above, state entities can play a role in clarifying when such reporting should occur and in helping to clarify for youth when</w:t>
      </w:r>
      <w:r>
        <w:rPr>
          <w:spacing w:val="-2"/>
          <w:sz w:val="21"/>
        </w:rPr>
        <w:t> </w:t>
      </w:r>
      <w:r>
        <w:rPr>
          <w:sz w:val="21"/>
        </w:rPr>
        <w:t>they</w:t>
      </w:r>
      <w:r>
        <w:rPr>
          <w:spacing w:val="-2"/>
          <w:sz w:val="21"/>
        </w:rPr>
        <w:t> </w:t>
      </w:r>
      <w:r>
        <w:rPr>
          <w:sz w:val="21"/>
        </w:rPr>
        <w:t>are</w:t>
      </w:r>
      <w:r>
        <w:rPr>
          <w:spacing w:val="-2"/>
          <w:sz w:val="21"/>
        </w:rPr>
        <w:t> </w:t>
      </w:r>
      <w:r>
        <w:rPr>
          <w:sz w:val="21"/>
        </w:rPr>
        <w:t>able</w:t>
      </w:r>
      <w:r>
        <w:rPr>
          <w:spacing w:val="-2"/>
          <w:sz w:val="21"/>
        </w:rPr>
        <w:t> </w:t>
      </w:r>
      <w:r>
        <w:rPr>
          <w:sz w:val="21"/>
        </w:rPr>
        <w:t>to</w:t>
      </w:r>
      <w:r>
        <w:rPr>
          <w:spacing w:val="-2"/>
          <w:sz w:val="21"/>
        </w:rPr>
        <w:t> </w:t>
      </w:r>
      <w:r>
        <w:rPr>
          <w:sz w:val="21"/>
        </w:rPr>
        <w:t>seek</w:t>
      </w:r>
      <w:r>
        <w:rPr>
          <w:spacing w:val="-1"/>
          <w:sz w:val="21"/>
        </w:rPr>
        <w:t> </w:t>
      </w:r>
      <w:r>
        <w:rPr>
          <w:sz w:val="21"/>
        </w:rPr>
        <w:t>services</w:t>
      </w:r>
      <w:r>
        <w:rPr>
          <w:spacing w:val="-2"/>
          <w:sz w:val="21"/>
        </w:rPr>
        <w:t> </w:t>
      </w:r>
      <w:r>
        <w:rPr>
          <w:sz w:val="21"/>
        </w:rPr>
        <w:t>without</w:t>
      </w:r>
      <w:r>
        <w:rPr>
          <w:spacing w:val="-1"/>
          <w:sz w:val="21"/>
        </w:rPr>
        <w:t> </w:t>
      </w:r>
      <w:r>
        <w:rPr>
          <w:sz w:val="21"/>
        </w:rPr>
        <w:t>fear</w:t>
      </w:r>
      <w:r>
        <w:rPr>
          <w:spacing w:val="-2"/>
          <w:sz w:val="21"/>
        </w:rPr>
        <w:t> </w:t>
      </w:r>
      <w:r>
        <w:rPr>
          <w:sz w:val="21"/>
        </w:rPr>
        <w:t>of</w:t>
      </w:r>
      <w:r>
        <w:rPr>
          <w:spacing w:val="-2"/>
          <w:sz w:val="21"/>
        </w:rPr>
        <w:t> </w:t>
      </w:r>
      <w:r>
        <w:rPr>
          <w:sz w:val="21"/>
        </w:rPr>
        <w:t>punishment.</w:t>
      </w:r>
      <w:r>
        <w:rPr>
          <w:spacing w:val="-2"/>
          <w:sz w:val="21"/>
        </w:rPr>
        <w:t> </w:t>
      </w:r>
      <w:r>
        <w:rPr>
          <w:sz w:val="21"/>
        </w:rPr>
        <w:t>The</w:t>
      </w:r>
      <w:r>
        <w:rPr>
          <w:spacing w:val="-2"/>
          <w:sz w:val="21"/>
        </w:rPr>
        <w:t> </w:t>
      </w:r>
      <w:r>
        <w:rPr>
          <w:sz w:val="21"/>
        </w:rPr>
        <w:t>Commission</w:t>
      </w:r>
      <w:r>
        <w:rPr>
          <w:spacing w:val="-2"/>
          <w:sz w:val="21"/>
        </w:rPr>
        <w:t> </w:t>
      </w:r>
      <w:r>
        <w:rPr>
          <w:sz w:val="21"/>
        </w:rPr>
        <w:t>has</w:t>
      </w:r>
      <w:r>
        <w:rPr>
          <w:spacing w:val="-2"/>
          <w:sz w:val="21"/>
        </w:rPr>
        <w:t> </w:t>
      </w:r>
      <w:r>
        <w:rPr>
          <w:sz w:val="21"/>
        </w:rPr>
        <w:t>heard</w:t>
      </w:r>
      <w:r>
        <w:rPr>
          <w:spacing w:val="-2"/>
          <w:sz w:val="21"/>
        </w:rPr>
        <w:t> </w:t>
      </w:r>
      <w:r>
        <w:rPr>
          <w:sz w:val="21"/>
        </w:rPr>
        <w:t>from</w:t>
      </w:r>
      <w:r>
        <w:rPr>
          <w:spacing w:val="-2"/>
          <w:sz w:val="21"/>
        </w:rPr>
        <w:t> </w:t>
      </w:r>
      <w:r>
        <w:rPr>
          <w:sz w:val="21"/>
        </w:rPr>
        <w:t>actors</w:t>
      </w:r>
      <w:r>
        <w:rPr>
          <w:spacing w:val="-2"/>
          <w:sz w:val="21"/>
        </w:rPr>
        <w:t> </w:t>
      </w:r>
      <w:r>
        <w:rPr>
          <w:sz w:val="21"/>
        </w:rPr>
        <w:t>in fields</w:t>
      </w:r>
      <w:r>
        <w:rPr>
          <w:spacing w:val="-2"/>
          <w:sz w:val="21"/>
        </w:rPr>
        <w:t> </w:t>
      </w:r>
      <w:r>
        <w:rPr>
          <w:sz w:val="21"/>
        </w:rPr>
        <w:t>such</w:t>
      </w:r>
      <w:r>
        <w:rPr>
          <w:spacing w:val="-2"/>
          <w:sz w:val="21"/>
        </w:rPr>
        <w:t> </w:t>
      </w:r>
      <w:r>
        <w:rPr>
          <w:sz w:val="21"/>
        </w:rPr>
        <w:t>as</w:t>
      </w:r>
      <w:r>
        <w:rPr>
          <w:spacing w:val="-1"/>
          <w:sz w:val="21"/>
        </w:rPr>
        <w:t> </w:t>
      </w:r>
      <w:r>
        <w:rPr>
          <w:sz w:val="21"/>
        </w:rPr>
        <w:t>education,</w:t>
      </w:r>
      <w:r>
        <w:rPr>
          <w:spacing w:val="-2"/>
          <w:sz w:val="21"/>
        </w:rPr>
        <w:t> </w:t>
      </w:r>
      <w:r>
        <w:rPr>
          <w:sz w:val="21"/>
        </w:rPr>
        <w:t>health,</w:t>
      </w:r>
      <w:r>
        <w:rPr>
          <w:spacing w:val="-1"/>
          <w:sz w:val="21"/>
        </w:rPr>
        <w:t> </w:t>
      </w:r>
      <w:r>
        <w:rPr>
          <w:sz w:val="21"/>
        </w:rPr>
        <w:t>and</w:t>
      </w:r>
      <w:r>
        <w:rPr>
          <w:spacing w:val="-3"/>
          <w:sz w:val="21"/>
        </w:rPr>
        <w:t> </w:t>
      </w:r>
      <w:r>
        <w:rPr>
          <w:sz w:val="21"/>
        </w:rPr>
        <w:t>congregate</w:t>
      </w:r>
      <w:r>
        <w:rPr>
          <w:spacing w:val="-2"/>
          <w:sz w:val="21"/>
        </w:rPr>
        <w:t> </w:t>
      </w:r>
      <w:r>
        <w:rPr>
          <w:sz w:val="21"/>
        </w:rPr>
        <w:t>care</w:t>
      </w:r>
      <w:r>
        <w:rPr>
          <w:spacing w:val="-2"/>
          <w:sz w:val="21"/>
        </w:rPr>
        <w:t> </w:t>
      </w:r>
      <w:r>
        <w:rPr>
          <w:sz w:val="21"/>
        </w:rPr>
        <w:t>that</w:t>
      </w:r>
      <w:r>
        <w:rPr>
          <w:spacing w:val="-1"/>
          <w:sz w:val="21"/>
        </w:rPr>
        <w:t> </w:t>
      </w:r>
      <w:r>
        <w:rPr>
          <w:sz w:val="21"/>
        </w:rPr>
        <w:t>the</w:t>
      </w:r>
      <w:r>
        <w:rPr>
          <w:spacing w:val="-2"/>
          <w:sz w:val="21"/>
        </w:rPr>
        <w:t> </w:t>
      </w:r>
      <w:r>
        <w:rPr>
          <w:sz w:val="21"/>
        </w:rPr>
        <w:t>current</w:t>
      </w:r>
      <w:r>
        <w:rPr>
          <w:spacing w:val="-3"/>
          <w:sz w:val="21"/>
        </w:rPr>
        <w:t> </w:t>
      </w:r>
      <w:r>
        <w:rPr>
          <w:sz w:val="21"/>
        </w:rPr>
        <w:t>lack</w:t>
      </w:r>
      <w:r>
        <w:rPr>
          <w:spacing w:val="-1"/>
          <w:sz w:val="21"/>
        </w:rPr>
        <w:t> </w:t>
      </w:r>
      <w:r>
        <w:rPr>
          <w:sz w:val="21"/>
        </w:rPr>
        <w:t>of</w:t>
      </w:r>
      <w:r>
        <w:rPr>
          <w:spacing w:val="-2"/>
          <w:sz w:val="21"/>
        </w:rPr>
        <w:t> </w:t>
      </w:r>
      <w:r>
        <w:rPr>
          <w:sz w:val="21"/>
        </w:rPr>
        <w:t>clarity</w:t>
      </w:r>
      <w:r>
        <w:rPr>
          <w:spacing w:val="-3"/>
          <w:sz w:val="21"/>
        </w:rPr>
        <w:t> </w:t>
      </w:r>
      <w:r>
        <w:rPr>
          <w:sz w:val="21"/>
        </w:rPr>
        <w:t>and</w:t>
      </w:r>
      <w:r>
        <w:rPr>
          <w:spacing w:val="-2"/>
          <w:sz w:val="21"/>
        </w:rPr>
        <w:t> </w:t>
      </w:r>
      <w:r>
        <w:rPr>
          <w:sz w:val="21"/>
        </w:rPr>
        <w:t>fairness</w:t>
      </w:r>
      <w:r>
        <w:rPr>
          <w:spacing w:val="-3"/>
          <w:sz w:val="21"/>
        </w:rPr>
        <w:t> </w:t>
      </w:r>
      <w:r>
        <w:rPr>
          <w:sz w:val="21"/>
        </w:rPr>
        <w:t>in</w:t>
      </w:r>
      <w:r>
        <w:rPr>
          <w:spacing w:val="-2"/>
          <w:sz w:val="21"/>
        </w:rPr>
        <w:t> </w:t>
      </w:r>
      <w:r>
        <w:rPr>
          <w:sz w:val="21"/>
        </w:rPr>
        <w:t>the</w:t>
      </w:r>
      <w:r>
        <w:rPr>
          <w:spacing w:val="-2"/>
          <w:sz w:val="21"/>
        </w:rPr>
        <w:t> </w:t>
      </w:r>
      <w:r>
        <w:rPr>
          <w:sz w:val="21"/>
        </w:rPr>
        <w:t>law presents</w:t>
      </w:r>
      <w:r>
        <w:rPr>
          <w:spacing w:val="-8"/>
          <w:sz w:val="21"/>
        </w:rPr>
        <w:t> </w:t>
      </w:r>
      <w:r>
        <w:rPr>
          <w:sz w:val="21"/>
        </w:rPr>
        <w:t>a</w:t>
      </w:r>
      <w:r>
        <w:rPr>
          <w:spacing w:val="-7"/>
          <w:sz w:val="21"/>
        </w:rPr>
        <w:t> </w:t>
      </w:r>
      <w:r>
        <w:rPr>
          <w:sz w:val="21"/>
        </w:rPr>
        <w:t>major</w:t>
      </w:r>
      <w:r>
        <w:rPr>
          <w:spacing w:val="-8"/>
          <w:sz w:val="21"/>
        </w:rPr>
        <w:t> </w:t>
      </w:r>
      <w:r>
        <w:rPr>
          <w:sz w:val="21"/>
        </w:rPr>
        <w:t>problem</w:t>
      </w:r>
      <w:r>
        <w:rPr>
          <w:spacing w:val="-7"/>
          <w:sz w:val="21"/>
        </w:rPr>
        <w:t> </w:t>
      </w:r>
      <w:r>
        <w:rPr>
          <w:sz w:val="21"/>
        </w:rPr>
        <w:t>for</w:t>
      </w:r>
      <w:r>
        <w:rPr>
          <w:spacing w:val="-8"/>
          <w:sz w:val="21"/>
        </w:rPr>
        <w:t> </w:t>
      </w:r>
      <w:r>
        <w:rPr>
          <w:sz w:val="21"/>
        </w:rPr>
        <w:t>delivering</w:t>
      </w:r>
      <w:r>
        <w:rPr>
          <w:spacing w:val="-8"/>
          <w:sz w:val="21"/>
        </w:rPr>
        <w:t> </w:t>
      </w:r>
      <w:r>
        <w:rPr>
          <w:sz w:val="21"/>
        </w:rPr>
        <w:t>services,</w:t>
      </w:r>
      <w:r>
        <w:rPr>
          <w:spacing w:val="-7"/>
          <w:sz w:val="21"/>
        </w:rPr>
        <w:t> </w:t>
      </w:r>
      <w:r>
        <w:rPr>
          <w:sz w:val="21"/>
        </w:rPr>
        <w:t>and</w:t>
      </w:r>
      <w:r>
        <w:rPr>
          <w:spacing w:val="-9"/>
          <w:sz w:val="21"/>
        </w:rPr>
        <w:t> </w:t>
      </w:r>
      <w:r>
        <w:rPr>
          <w:sz w:val="21"/>
        </w:rPr>
        <w:t>the</w:t>
      </w:r>
      <w:r>
        <w:rPr>
          <w:spacing w:val="-8"/>
          <w:sz w:val="21"/>
        </w:rPr>
        <w:t> </w:t>
      </w:r>
      <w:r>
        <w:rPr>
          <w:sz w:val="21"/>
        </w:rPr>
        <w:t>state</w:t>
      </w:r>
      <w:r>
        <w:rPr>
          <w:spacing w:val="-9"/>
          <w:sz w:val="21"/>
        </w:rPr>
        <w:t> </w:t>
      </w:r>
      <w:r>
        <w:rPr>
          <w:sz w:val="21"/>
        </w:rPr>
        <w:t>can</w:t>
      </w:r>
      <w:r>
        <w:rPr>
          <w:spacing w:val="-9"/>
          <w:sz w:val="21"/>
        </w:rPr>
        <w:t> </w:t>
      </w:r>
      <w:r>
        <w:rPr>
          <w:sz w:val="21"/>
        </w:rPr>
        <w:t>easily</w:t>
      </w:r>
      <w:r>
        <w:rPr>
          <w:spacing w:val="-8"/>
          <w:sz w:val="21"/>
        </w:rPr>
        <w:t> </w:t>
      </w:r>
      <w:r>
        <w:rPr>
          <w:sz w:val="21"/>
        </w:rPr>
        <w:t>remedy</w:t>
      </w:r>
      <w:r>
        <w:rPr>
          <w:spacing w:val="-8"/>
          <w:sz w:val="21"/>
        </w:rPr>
        <w:t> </w:t>
      </w:r>
      <w:r>
        <w:rPr>
          <w:sz w:val="21"/>
        </w:rPr>
        <w:t>this</w:t>
      </w:r>
      <w:r>
        <w:rPr>
          <w:spacing w:val="-8"/>
          <w:sz w:val="21"/>
        </w:rPr>
        <w:t> </w:t>
      </w:r>
      <w:r>
        <w:rPr>
          <w:sz w:val="21"/>
        </w:rPr>
        <w:t>challenging</w:t>
      </w:r>
      <w:r>
        <w:rPr>
          <w:spacing w:val="-8"/>
          <w:sz w:val="21"/>
        </w:rPr>
        <w:t> </w:t>
      </w:r>
      <w:r>
        <w:rPr>
          <w:sz w:val="21"/>
        </w:rPr>
        <w:t>situation.</w:t>
      </w:r>
    </w:p>
    <w:p>
      <w:pPr>
        <w:pStyle w:val="ListParagraph"/>
        <w:numPr>
          <w:ilvl w:val="0"/>
          <w:numId w:val="26"/>
        </w:numPr>
        <w:tabs>
          <w:tab w:pos="464" w:val="left" w:leader="none"/>
        </w:tabs>
        <w:spacing w:line="276" w:lineRule="auto" w:before="242" w:after="0"/>
        <w:ind w:left="464" w:right="241" w:hanging="360"/>
        <w:jc w:val="left"/>
        <w:rPr>
          <w:b/>
          <w:sz w:val="21"/>
        </w:rPr>
      </w:pPr>
      <w:r>
        <w:rPr>
          <w:b/>
          <w:sz w:val="21"/>
        </w:rPr>
        <w:t>Eliminate</w:t>
      </w:r>
      <w:r>
        <w:rPr>
          <w:b/>
          <w:spacing w:val="-2"/>
          <w:sz w:val="21"/>
        </w:rPr>
        <w:t> </w:t>
      </w:r>
      <w:r>
        <w:rPr>
          <w:b/>
          <w:sz w:val="21"/>
        </w:rPr>
        <w:t>common</w:t>
      </w:r>
      <w:r>
        <w:rPr>
          <w:b/>
          <w:spacing w:val="-2"/>
          <w:sz w:val="21"/>
        </w:rPr>
        <w:t> </w:t>
      </w:r>
      <w:r>
        <w:rPr>
          <w:b/>
          <w:sz w:val="21"/>
        </w:rPr>
        <w:t>night-walking</w:t>
      </w:r>
      <w:r>
        <w:rPr>
          <w:b/>
          <w:spacing w:val="-2"/>
          <w:sz w:val="21"/>
        </w:rPr>
        <w:t> </w:t>
      </w:r>
      <w:r>
        <w:rPr>
          <w:b/>
          <w:sz w:val="21"/>
        </w:rPr>
        <w:t>laws</w:t>
      </w:r>
      <w:r>
        <w:rPr>
          <w:b/>
          <w:spacing w:val="-2"/>
          <w:sz w:val="21"/>
        </w:rPr>
        <w:t> </w:t>
      </w:r>
      <w:r>
        <w:rPr>
          <w:b/>
          <w:sz w:val="21"/>
        </w:rPr>
        <w:t>and</w:t>
      </w:r>
      <w:r>
        <w:rPr>
          <w:b/>
          <w:spacing w:val="-2"/>
          <w:sz w:val="21"/>
        </w:rPr>
        <w:t> </w:t>
      </w:r>
      <w:r>
        <w:rPr>
          <w:b/>
          <w:sz w:val="21"/>
        </w:rPr>
        <w:t>increase</w:t>
      </w:r>
      <w:r>
        <w:rPr>
          <w:b/>
          <w:spacing w:val="-2"/>
          <w:sz w:val="21"/>
        </w:rPr>
        <w:t> </w:t>
      </w:r>
      <w:r>
        <w:rPr>
          <w:b/>
          <w:sz w:val="21"/>
        </w:rPr>
        <w:t>funding</w:t>
      </w:r>
      <w:r>
        <w:rPr>
          <w:b/>
          <w:spacing w:val="-2"/>
          <w:sz w:val="21"/>
        </w:rPr>
        <w:t> </w:t>
      </w:r>
      <w:r>
        <w:rPr>
          <w:b/>
          <w:sz w:val="21"/>
        </w:rPr>
        <w:t>for</w:t>
      </w:r>
      <w:r>
        <w:rPr>
          <w:b/>
          <w:spacing w:val="-2"/>
          <w:sz w:val="21"/>
        </w:rPr>
        <w:t> </w:t>
      </w:r>
      <w:r>
        <w:rPr>
          <w:b/>
          <w:sz w:val="21"/>
        </w:rPr>
        <w:t>programs</w:t>
      </w:r>
      <w:r>
        <w:rPr>
          <w:b/>
          <w:spacing w:val="-2"/>
          <w:sz w:val="21"/>
        </w:rPr>
        <w:t> </w:t>
      </w:r>
      <w:r>
        <w:rPr>
          <w:b/>
          <w:sz w:val="21"/>
        </w:rPr>
        <w:t>serving</w:t>
      </w:r>
      <w:r>
        <w:rPr>
          <w:b/>
          <w:spacing w:val="-2"/>
          <w:sz w:val="21"/>
        </w:rPr>
        <w:t> </w:t>
      </w:r>
      <w:r>
        <w:rPr>
          <w:b/>
          <w:sz w:val="21"/>
        </w:rPr>
        <w:t>LGBTQ</w:t>
      </w:r>
      <w:r>
        <w:rPr>
          <w:b/>
          <w:spacing w:val="-3"/>
          <w:sz w:val="21"/>
        </w:rPr>
        <w:t> </w:t>
      </w:r>
      <w:r>
        <w:rPr>
          <w:b/>
          <w:sz w:val="21"/>
        </w:rPr>
        <w:t>youth</w:t>
      </w:r>
      <w:r>
        <w:rPr>
          <w:b/>
          <w:spacing w:val="-2"/>
          <w:sz w:val="21"/>
        </w:rPr>
        <w:t> </w:t>
      </w:r>
      <w:r>
        <w:rPr>
          <w:b/>
          <w:sz w:val="21"/>
        </w:rPr>
        <w:t>at-risk</w:t>
      </w:r>
      <w:r>
        <w:rPr>
          <w:b/>
          <w:spacing w:val="-3"/>
          <w:sz w:val="21"/>
        </w:rPr>
        <w:t> </w:t>
      </w:r>
      <w:r>
        <w:rPr>
          <w:b/>
          <w:sz w:val="21"/>
        </w:rPr>
        <w:t>of sexual exploitation.</w:t>
      </w:r>
    </w:p>
    <w:p>
      <w:pPr>
        <w:spacing w:line="276" w:lineRule="auto" w:before="239"/>
        <w:ind w:left="464" w:right="238" w:firstLine="0"/>
        <w:jc w:val="both"/>
        <w:rPr>
          <w:sz w:val="21"/>
        </w:rPr>
      </w:pPr>
      <w:r>
        <w:rPr>
          <w:sz w:val="21"/>
        </w:rPr>
        <w:t>The</w:t>
      </w:r>
      <w:r>
        <w:rPr>
          <w:spacing w:val="-4"/>
          <w:sz w:val="21"/>
        </w:rPr>
        <w:t> </w:t>
      </w:r>
      <w:r>
        <w:rPr>
          <w:sz w:val="21"/>
        </w:rPr>
        <w:t>Commission</w:t>
      </w:r>
      <w:r>
        <w:rPr>
          <w:spacing w:val="-4"/>
          <w:sz w:val="21"/>
        </w:rPr>
        <w:t> </w:t>
      </w:r>
      <w:r>
        <w:rPr>
          <w:sz w:val="21"/>
        </w:rPr>
        <w:t>recommends</w:t>
      </w:r>
      <w:r>
        <w:rPr>
          <w:spacing w:val="-5"/>
          <w:sz w:val="21"/>
        </w:rPr>
        <w:t> </w:t>
      </w:r>
      <w:r>
        <w:rPr>
          <w:sz w:val="21"/>
        </w:rPr>
        <w:t>that</w:t>
      </w:r>
      <w:r>
        <w:rPr>
          <w:spacing w:val="-6"/>
          <w:sz w:val="21"/>
        </w:rPr>
        <w:t> </w:t>
      </w:r>
      <w:r>
        <w:rPr>
          <w:sz w:val="21"/>
        </w:rPr>
        <w:t>the</w:t>
      </w:r>
      <w:r>
        <w:rPr>
          <w:spacing w:val="-5"/>
          <w:sz w:val="21"/>
        </w:rPr>
        <w:t> </w:t>
      </w:r>
      <w:r>
        <w:rPr>
          <w:sz w:val="21"/>
        </w:rPr>
        <w:t>Commonwealth</w:t>
      </w:r>
      <w:r>
        <w:rPr>
          <w:spacing w:val="-5"/>
          <w:sz w:val="21"/>
        </w:rPr>
        <w:t> </w:t>
      </w:r>
      <w:r>
        <w:rPr>
          <w:sz w:val="21"/>
        </w:rPr>
        <w:t>explore</w:t>
      </w:r>
      <w:r>
        <w:rPr>
          <w:spacing w:val="-4"/>
          <w:sz w:val="21"/>
        </w:rPr>
        <w:t> </w:t>
      </w:r>
      <w:r>
        <w:rPr>
          <w:sz w:val="21"/>
        </w:rPr>
        <w:t>a</w:t>
      </w:r>
      <w:r>
        <w:rPr>
          <w:spacing w:val="-5"/>
          <w:sz w:val="21"/>
        </w:rPr>
        <w:t> </w:t>
      </w:r>
      <w:r>
        <w:rPr>
          <w:sz w:val="21"/>
        </w:rPr>
        <w:t>path</w:t>
      </w:r>
      <w:r>
        <w:rPr>
          <w:spacing w:val="-5"/>
          <w:sz w:val="21"/>
        </w:rPr>
        <w:t> </w:t>
      </w:r>
      <w:r>
        <w:rPr>
          <w:sz w:val="21"/>
        </w:rPr>
        <w:t>to</w:t>
      </w:r>
      <w:r>
        <w:rPr>
          <w:spacing w:val="-6"/>
          <w:sz w:val="21"/>
        </w:rPr>
        <w:t> </w:t>
      </w:r>
      <w:r>
        <w:rPr>
          <w:sz w:val="21"/>
        </w:rPr>
        <w:t>the</w:t>
      </w:r>
      <w:r>
        <w:rPr>
          <w:spacing w:val="-5"/>
          <w:sz w:val="21"/>
        </w:rPr>
        <w:t> </w:t>
      </w:r>
      <w:r>
        <w:rPr>
          <w:sz w:val="21"/>
        </w:rPr>
        <w:t>decriminalization</w:t>
      </w:r>
      <w:r>
        <w:rPr>
          <w:spacing w:val="-4"/>
          <w:sz w:val="21"/>
        </w:rPr>
        <w:t> </w:t>
      </w:r>
      <w:r>
        <w:rPr>
          <w:sz w:val="21"/>
        </w:rPr>
        <w:t>of</w:t>
      </w:r>
      <w:r>
        <w:rPr>
          <w:spacing w:val="-5"/>
          <w:sz w:val="21"/>
        </w:rPr>
        <w:t> </w:t>
      </w:r>
      <w:r>
        <w:rPr>
          <w:sz w:val="21"/>
        </w:rPr>
        <w:t>sex</w:t>
      </w:r>
      <w:r>
        <w:rPr>
          <w:spacing w:val="-4"/>
          <w:sz w:val="21"/>
        </w:rPr>
        <w:t> </w:t>
      </w:r>
      <w:r>
        <w:rPr>
          <w:sz w:val="21"/>
        </w:rPr>
        <w:t>work for</w:t>
      </w:r>
      <w:r>
        <w:rPr>
          <w:spacing w:val="-7"/>
          <w:sz w:val="21"/>
        </w:rPr>
        <w:t> </w:t>
      </w:r>
      <w:r>
        <w:rPr>
          <w:sz w:val="21"/>
        </w:rPr>
        <w:t>youth</w:t>
      </w:r>
      <w:r>
        <w:rPr>
          <w:spacing w:val="-7"/>
          <w:sz w:val="21"/>
        </w:rPr>
        <w:t> </w:t>
      </w:r>
      <w:r>
        <w:rPr>
          <w:sz w:val="21"/>
        </w:rPr>
        <w:t>over</w:t>
      </w:r>
      <w:r>
        <w:rPr>
          <w:spacing w:val="-7"/>
          <w:sz w:val="21"/>
        </w:rPr>
        <w:t> </w:t>
      </w:r>
      <w:r>
        <w:rPr>
          <w:sz w:val="21"/>
        </w:rPr>
        <w:t>the</w:t>
      </w:r>
      <w:r>
        <w:rPr>
          <w:spacing w:val="-8"/>
          <w:sz w:val="21"/>
        </w:rPr>
        <w:t> </w:t>
      </w:r>
      <w:r>
        <w:rPr>
          <w:sz w:val="21"/>
        </w:rPr>
        <w:t>age</w:t>
      </w:r>
      <w:r>
        <w:rPr>
          <w:spacing w:val="-7"/>
          <w:sz w:val="21"/>
        </w:rPr>
        <w:t> </w:t>
      </w:r>
      <w:r>
        <w:rPr>
          <w:sz w:val="21"/>
        </w:rPr>
        <w:t>of</w:t>
      </w:r>
      <w:r>
        <w:rPr>
          <w:spacing w:val="-7"/>
          <w:sz w:val="21"/>
        </w:rPr>
        <w:t> </w:t>
      </w:r>
      <w:r>
        <w:rPr>
          <w:sz w:val="21"/>
        </w:rPr>
        <w:t>18,</w:t>
      </w:r>
      <w:r>
        <w:rPr>
          <w:spacing w:val="-8"/>
          <w:sz w:val="21"/>
        </w:rPr>
        <w:t> </w:t>
      </w:r>
      <w:r>
        <w:rPr>
          <w:sz w:val="21"/>
        </w:rPr>
        <w:t>through</w:t>
      </w:r>
      <w:r>
        <w:rPr>
          <w:spacing w:val="-7"/>
          <w:sz w:val="21"/>
        </w:rPr>
        <w:t> </w:t>
      </w:r>
      <w:r>
        <w:rPr>
          <w:sz w:val="21"/>
        </w:rPr>
        <w:t>bills</w:t>
      </w:r>
      <w:r>
        <w:rPr>
          <w:spacing w:val="-8"/>
          <w:sz w:val="21"/>
        </w:rPr>
        <w:t> </w:t>
      </w:r>
      <w:r>
        <w:rPr>
          <w:sz w:val="21"/>
        </w:rPr>
        <w:t>such</w:t>
      </w:r>
      <w:r>
        <w:rPr>
          <w:spacing w:val="-7"/>
          <w:sz w:val="21"/>
        </w:rPr>
        <w:t> </w:t>
      </w:r>
      <w:r>
        <w:rPr>
          <w:sz w:val="21"/>
        </w:rPr>
        <w:t>as</w:t>
      </w:r>
      <w:r>
        <w:rPr>
          <w:spacing w:val="-7"/>
          <w:sz w:val="21"/>
        </w:rPr>
        <w:t> </w:t>
      </w:r>
      <w:r>
        <w:rPr>
          <w:sz w:val="21"/>
        </w:rPr>
        <w:t>An</w:t>
      </w:r>
      <w:r>
        <w:rPr>
          <w:spacing w:val="-7"/>
          <w:sz w:val="21"/>
        </w:rPr>
        <w:t> </w:t>
      </w:r>
      <w:r>
        <w:rPr>
          <w:sz w:val="21"/>
        </w:rPr>
        <w:t>Act</w:t>
      </w:r>
      <w:r>
        <w:rPr>
          <w:spacing w:val="-7"/>
          <w:sz w:val="21"/>
        </w:rPr>
        <w:t> </w:t>
      </w:r>
      <w:r>
        <w:rPr>
          <w:sz w:val="21"/>
        </w:rPr>
        <w:t>Relative</w:t>
      </w:r>
      <w:r>
        <w:rPr>
          <w:spacing w:val="-8"/>
          <w:sz w:val="21"/>
        </w:rPr>
        <w:t> </w:t>
      </w:r>
      <w:r>
        <w:rPr>
          <w:sz w:val="21"/>
        </w:rPr>
        <w:t>to</w:t>
      </w:r>
      <w:r>
        <w:rPr>
          <w:spacing w:val="-7"/>
          <w:sz w:val="21"/>
        </w:rPr>
        <w:t> </w:t>
      </w:r>
      <w:r>
        <w:rPr>
          <w:sz w:val="21"/>
        </w:rPr>
        <w:t>the</w:t>
      </w:r>
      <w:r>
        <w:rPr>
          <w:spacing w:val="-7"/>
          <w:sz w:val="21"/>
        </w:rPr>
        <w:t> </w:t>
      </w:r>
      <w:r>
        <w:rPr>
          <w:sz w:val="21"/>
        </w:rPr>
        <w:t>Expungement</w:t>
      </w:r>
      <w:r>
        <w:rPr>
          <w:spacing w:val="-6"/>
          <w:sz w:val="21"/>
        </w:rPr>
        <w:t> </w:t>
      </w:r>
      <w:r>
        <w:rPr>
          <w:sz w:val="21"/>
        </w:rPr>
        <w:t>of</w:t>
      </w:r>
      <w:r>
        <w:rPr>
          <w:spacing w:val="-7"/>
          <w:sz w:val="21"/>
        </w:rPr>
        <w:t> </w:t>
      </w:r>
      <w:r>
        <w:rPr>
          <w:sz w:val="21"/>
        </w:rPr>
        <w:t>Certain</w:t>
      </w:r>
      <w:r>
        <w:rPr>
          <w:spacing w:val="-9"/>
          <w:sz w:val="21"/>
        </w:rPr>
        <w:t> </w:t>
      </w:r>
      <w:r>
        <w:rPr>
          <w:sz w:val="21"/>
        </w:rPr>
        <w:t>Marijuana</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38" w:hanging="1"/>
        <w:jc w:val="both"/>
        <w:rPr>
          <w:sz w:val="21"/>
        </w:rPr>
      </w:pPr>
      <w:r>
        <w:rPr>
          <w:sz w:val="21"/>
        </w:rPr>
        <w:t>and Prostitution-Related Records (H.1757), which would eliminate common night-walking laws and expunge</w:t>
      </w:r>
      <w:r>
        <w:rPr>
          <w:spacing w:val="-9"/>
          <w:sz w:val="21"/>
        </w:rPr>
        <w:t> </w:t>
      </w:r>
      <w:r>
        <w:rPr>
          <w:sz w:val="21"/>
        </w:rPr>
        <w:t>records</w:t>
      </w:r>
      <w:r>
        <w:rPr>
          <w:spacing w:val="-10"/>
          <w:sz w:val="21"/>
        </w:rPr>
        <w:t> </w:t>
      </w:r>
      <w:r>
        <w:rPr>
          <w:sz w:val="21"/>
        </w:rPr>
        <w:t>for</w:t>
      </w:r>
      <w:r>
        <w:rPr>
          <w:spacing w:val="-9"/>
          <w:sz w:val="21"/>
        </w:rPr>
        <w:t> </w:t>
      </w:r>
      <w:r>
        <w:rPr>
          <w:sz w:val="21"/>
        </w:rPr>
        <w:t>those</w:t>
      </w:r>
      <w:r>
        <w:rPr>
          <w:spacing w:val="-9"/>
          <w:sz w:val="21"/>
        </w:rPr>
        <w:t> </w:t>
      </w:r>
      <w:r>
        <w:rPr>
          <w:sz w:val="21"/>
        </w:rPr>
        <w:t>convicted</w:t>
      </w:r>
      <w:r>
        <w:rPr>
          <w:spacing w:val="-9"/>
          <w:sz w:val="21"/>
        </w:rPr>
        <w:t> </w:t>
      </w:r>
      <w:r>
        <w:rPr>
          <w:sz w:val="21"/>
        </w:rPr>
        <w:t>of</w:t>
      </w:r>
      <w:r>
        <w:rPr>
          <w:spacing w:val="-10"/>
          <w:sz w:val="21"/>
        </w:rPr>
        <w:t> </w:t>
      </w:r>
      <w:r>
        <w:rPr>
          <w:sz w:val="21"/>
        </w:rPr>
        <w:t>sex</w:t>
      </w:r>
      <w:r>
        <w:rPr>
          <w:spacing w:val="-9"/>
          <w:sz w:val="21"/>
        </w:rPr>
        <w:t> </w:t>
      </w:r>
      <w:r>
        <w:rPr>
          <w:sz w:val="21"/>
        </w:rPr>
        <w:t>work;</w:t>
      </w:r>
      <w:r>
        <w:rPr>
          <w:spacing w:val="-9"/>
          <w:sz w:val="21"/>
        </w:rPr>
        <w:t> </w:t>
      </w:r>
      <w:r>
        <w:rPr>
          <w:sz w:val="21"/>
        </w:rPr>
        <w:t>and</w:t>
      </w:r>
      <w:r>
        <w:rPr>
          <w:spacing w:val="-9"/>
          <w:sz w:val="21"/>
        </w:rPr>
        <w:t> </w:t>
      </w:r>
      <w:r>
        <w:rPr>
          <w:sz w:val="21"/>
        </w:rPr>
        <w:t>An</w:t>
      </w:r>
      <w:r>
        <w:rPr>
          <w:spacing w:val="-9"/>
          <w:sz w:val="21"/>
        </w:rPr>
        <w:t> </w:t>
      </w:r>
      <w:r>
        <w:rPr>
          <w:sz w:val="21"/>
        </w:rPr>
        <w:t>Act</w:t>
      </w:r>
      <w:r>
        <w:rPr>
          <w:spacing w:val="-9"/>
          <w:sz w:val="21"/>
        </w:rPr>
        <w:t> </w:t>
      </w:r>
      <w:r>
        <w:rPr>
          <w:sz w:val="21"/>
        </w:rPr>
        <w:t>to</w:t>
      </w:r>
      <w:r>
        <w:rPr>
          <w:spacing w:val="-10"/>
          <w:sz w:val="21"/>
        </w:rPr>
        <w:t> </w:t>
      </w:r>
      <w:r>
        <w:rPr>
          <w:sz w:val="21"/>
        </w:rPr>
        <w:t>Prevent</w:t>
      </w:r>
      <w:r>
        <w:rPr>
          <w:spacing w:val="-9"/>
          <w:sz w:val="21"/>
        </w:rPr>
        <w:t> </w:t>
      </w:r>
      <w:r>
        <w:rPr>
          <w:sz w:val="21"/>
        </w:rPr>
        <w:t>Human</w:t>
      </w:r>
      <w:r>
        <w:rPr>
          <w:spacing w:val="-9"/>
          <w:sz w:val="21"/>
        </w:rPr>
        <w:t> </w:t>
      </w:r>
      <w:r>
        <w:rPr>
          <w:sz w:val="21"/>
        </w:rPr>
        <w:t>Trafficking</w:t>
      </w:r>
      <w:r>
        <w:rPr>
          <w:spacing w:val="-10"/>
          <w:sz w:val="21"/>
        </w:rPr>
        <w:t> </w:t>
      </w:r>
      <w:r>
        <w:rPr>
          <w:sz w:val="21"/>
        </w:rPr>
        <w:t>and</w:t>
      </w:r>
      <w:r>
        <w:rPr>
          <w:spacing w:val="-9"/>
          <w:sz w:val="21"/>
        </w:rPr>
        <w:t> </w:t>
      </w:r>
      <w:r>
        <w:rPr>
          <w:sz w:val="21"/>
        </w:rPr>
        <w:t>Improve</w:t>
      </w:r>
      <w:r>
        <w:rPr>
          <w:spacing w:val="-9"/>
          <w:sz w:val="21"/>
        </w:rPr>
        <w:t> </w:t>
      </w:r>
      <w:r>
        <w:rPr>
          <w:sz w:val="21"/>
        </w:rPr>
        <w:t>the Health</w:t>
      </w:r>
      <w:r>
        <w:rPr>
          <w:spacing w:val="-7"/>
          <w:sz w:val="21"/>
        </w:rPr>
        <w:t> </w:t>
      </w:r>
      <w:r>
        <w:rPr>
          <w:sz w:val="21"/>
        </w:rPr>
        <w:t>and</w:t>
      </w:r>
      <w:r>
        <w:rPr>
          <w:spacing w:val="-8"/>
          <w:sz w:val="21"/>
        </w:rPr>
        <w:t> </w:t>
      </w:r>
      <w:r>
        <w:rPr>
          <w:sz w:val="21"/>
        </w:rPr>
        <w:t>Safety</w:t>
      </w:r>
      <w:r>
        <w:rPr>
          <w:spacing w:val="-7"/>
          <w:sz w:val="21"/>
        </w:rPr>
        <w:t> </w:t>
      </w:r>
      <w:r>
        <w:rPr>
          <w:sz w:val="21"/>
        </w:rPr>
        <w:t>of</w:t>
      </w:r>
      <w:r>
        <w:rPr>
          <w:spacing w:val="-8"/>
          <w:sz w:val="21"/>
        </w:rPr>
        <w:t> </w:t>
      </w:r>
      <w:r>
        <w:rPr>
          <w:sz w:val="21"/>
        </w:rPr>
        <w:t>Sex</w:t>
      </w:r>
      <w:r>
        <w:rPr>
          <w:spacing w:val="-7"/>
          <w:sz w:val="21"/>
        </w:rPr>
        <w:t> </w:t>
      </w:r>
      <w:r>
        <w:rPr>
          <w:sz w:val="21"/>
        </w:rPr>
        <w:t>Workers</w:t>
      </w:r>
      <w:r>
        <w:rPr>
          <w:spacing w:val="-7"/>
          <w:sz w:val="21"/>
        </w:rPr>
        <w:t> </w:t>
      </w:r>
      <w:r>
        <w:rPr>
          <w:sz w:val="21"/>
        </w:rPr>
        <w:t>(S.1046/H.1758),</w:t>
      </w:r>
      <w:r>
        <w:rPr>
          <w:spacing w:val="-8"/>
          <w:sz w:val="21"/>
        </w:rPr>
        <w:t> </w:t>
      </w:r>
      <w:r>
        <w:rPr>
          <w:sz w:val="21"/>
        </w:rPr>
        <w:t>which</w:t>
      </w:r>
      <w:r>
        <w:rPr>
          <w:spacing w:val="-7"/>
          <w:sz w:val="21"/>
        </w:rPr>
        <w:t> </w:t>
      </w:r>
      <w:r>
        <w:rPr>
          <w:sz w:val="21"/>
        </w:rPr>
        <w:t>would</w:t>
      </w:r>
      <w:r>
        <w:rPr>
          <w:spacing w:val="-8"/>
          <w:sz w:val="21"/>
        </w:rPr>
        <w:t> </w:t>
      </w:r>
      <w:r>
        <w:rPr>
          <w:sz w:val="21"/>
        </w:rPr>
        <w:t>further</w:t>
      </w:r>
      <w:r>
        <w:rPr>
          <w:spacing w:val="-7"/>
          <w:sz w:val="21"/>
        </w:rPr>
        <w:t> </w:t>
      </w:r>
      <w:r>
        <w:rPr>
          <w:sz w:val="21"/>
        </w:rPr>
        <w:t>support</w:t>
      </w:r>
      <w:r>
        <w:rPr>
          <w:spacing w:val="-7"/>
          <w:sz w:val="21"/>
        </w:rPr>
        <w:t> </w:t>
      </w:r>
      <w:r>
        <w:rPr>
          <w:sz w:val="21"/>
        </w:rPr>
        <w:t>sex</w:t>
      </w:r>
      <w:r>
        <w:rPr>
          <w:spacing w:val="-7"/>
          <w:sz w:val="21"/>
        </w:rPr>
        <w:t> </w:t>
      </w:r>
      <w:r>
        <w:rPr>
          <w:sz w:val="21"/>
        </w:rPr>
        <w:t>workers</w:t>
      </w:r>
      <w:r>
        <w:rPr>
          <w:spacing w:val="-7"/>
          <w:sz w:val="21"/>
        </w:rPr>
        <w:t> </w:t>
      </w:r>
      <w:r>
        <w:rPr>
          <w:sz w:val="21"/>
        </w:rPr>
        <w:t>and</w:t>
      </w:r>
      <w:r>
        <w:rPr>
          <w:spacing w:val="-8"/>
          <w:sz w:val="21"/>
        </w:rPr>
        <w:t> </w:t>
      </w:r>
      <w:r>
        <w:rPr>
          <w:sz w:val="21"/>
        </w:rPr>
        <w:t>victims</w:t>
      </w:r>
      <w:r>
        <w:rPr>
          <w:spacing w:val="-7"/>
          <w:sz w:val="21"/>
        </w:rPr>
        <w:t> </w:t>
      </w:r>
      <w:r>
        <w:rPr>
          <w:sz w:val="21"/>
        </w:rPr>
        <w:t>of trafficking or exploitation by developing a Human Trafficking Prevention and Sex Worker Project, and establish an interagency committee to study more effectively a path for the full decriminalization of sex work in the Commonwealth. For years, research has shown that the criminalization of sex work has made sex workers</w:t>
      </w:r>
      <w:r>
        <w:rPr>
          <w:spacing w:val="-2"/>
          <w:sz w:val="21"/>
        </w:rPr>
        <w:t> </w:t>
      </w:r>
      <w:r>
        <w:rPr>
          <w:sz w:val="21"/>
        </w:rPr>
        <w:t>more</w:t>
      </w:r>
      <w:r>
        <w:rPr>
          <w:spacing w:val="-1"/>
          <w:sz w:val="21"/>
        </w:rPr>
        <w:t> </w:t>
      </w:r>
      <w:r>
        <w:rPr>
          <w:sz w:val="21"/>
        </w:rPr>
        <w:t>vulnerable</w:t>
      </w:r>
      <w:r>
        <w:rPr>
          <w:spacing w:val="-1"/>
          <w:sz w:val="21"/>
        </w:rPr>
        <w:t> </w:t>
      </w:r>
      <w:r>
        <w:rPr>
          <w:sz w:val="21"/>
        </w:rPr>
        <w:t>to</w:t>
      </w:r>
      <w:r>
        <w:rPr>
          <w:spacing w:val="-1"/>
          <w:sz w:val="21"/>
        </w:rPr>
        <w:t> </w:t>
      </w:r>
      <w:r>
        <w:rPr>
          <w:sz w:val="21"/>
        </w:rPr>
        <w:t>violence</w:t>
      </w:r>
      <w:r>
        <w:rPr>
          <w:spacing w:val="-1"/>
          <w:sz w:val="21"/>
        </w:rPr>
        <w:t> </w:t>
      </w:r>
      <w:r>
        <w:rPr>
          <w:sz w:val="21"/>
        </w:rPr>
        <w:t>and</w:t>
      </w:r>
      <w:r>
        <w:rPr>
          <w:spacing w:val="-2"/>
          <w:sz w:val="21"/>
        </w:rPr>
        <w:t> </w:t>
      </w:r>
      <w:r>
        <w:rPr>
          <w:sz w:val="21"/>
        </w:rPr>
        <w:t>discrimination</w:t>
      </w:r>
      <w:r>
        <w:rPr>
          <w:spacing w:val="-1"/>
          <w:sz w:val="21"/>
        </w:rPr>
        <w:t> </w:t>
      </w:r>
      <w:r>
        <w:rPr>
          <w:sz w:val="21"/>
        </w:rPr>
        <w:t>from police, and</w:t>
      </w:r>
      <w:r>
        <w:rPr>
          <w:spacing w:val="-1"/>
          <w:sz w:val="21"/>
        </w:rPr>
        <w:t> </w:t>
      </w:r>
      <w:r>
        <w:rPr>
          <w:sz w:val="21"/>
        </w:rPr>
        <w:t>leads</w:t>
      </w:r>
      <w:r>
        <w:rPr>
          <w:spacing w:val="-1"/>
          <w:sz w:val="21"/>
        </w:rPr>
        <w:t> </w:t>
      </w:r>
      <w:r>
        <w:rPr>
          <w:sz w:val="21"/>
        </w:rPr>
        <w:t>to</w:t>
      </w:r>
      <w:r>
        <w:rPr>
          <w:spacing w:val="-1"/>
          <w:sz w:val="21"/>
        </w:rPr>
        <w:t> </w:t>
      </w:r>
      <w:r>
        <w:rPr>
          <w:sz w:val="21"/>
        </w:rPr>
        <w:t>poorer public</w:t>
      </w:r>
      <w:r>
        <w:rPr>
          <w:spacing w:val="-1"/>
          <w:sz w:val="21"/>
        </w:rPr>
        <w:t> </w:t>
      </w:r>
      <w:r>
        <w:rPr>
          <w:sz w:val="21"/>
        </w:rPr>
        <w:t>health outcomes.</w:t>
      </w:r>
      <w:r>
        <w:rPr>
          <w:spacing w:val="-7"/>
          <w:sz w:val="21"/>
        </w:rPr>
        <w:t> </w:t>
      </w:r>
      <w:r>
        <w:rPr>
          <w:sz w:val="21"/>
        </w:rPr>
        <w:t>Furthermore,</w:t>
      </w:r>
      <w:r>
        <w:rPr>
          <w:spacing w:val="-6"/>
          <w:sz w:val="21"/>
        </w:rPr>
        <w:t> </w:t>
      </w:r>
      <w:r>
        <w:rPr>
          <w:sz w:val="21"/>
        </w:rPr>
        <w:t>due</w:t>
      </w:r>
      <w:r>
        <w:rPr>
          <w:spacing w:val="-7"/>
          <w:sz w:val="21"/>
        </w:rPr>
        <w:t> </w:t>
      </w:r>
      <w:r>
        <w:rPr>
          <w:sz w:val="21"/>
        </w:rPr>
        <w:t>to</w:t>
      </w:r>
      <w:r>
        <w:rPr>
          <w:spacing w:val="-7"/>
          <w:sz w:val="21"/>
        </w:rPr>
        <w:t> </w:t>
      </w:r>
      <w:r>
        <w:rPr>
          <w:sz w:val="21"/>
        </w:rPr>
        <w:t>increased</w:t>
      </w:r>
      <w:r>
        <w:rPr>
          <w:spacing w:val="-8"/>
          <w:sz w:val="21"/>
        </w:rPr>
        <w:t> </w:t>
      </w:r>
      <w:r>
        <w:rPr>
          <w:sz w:val="21"/>
        </w:rPr>
        <w:t>likelihood</w:t>
      </w:r>
      <w:r>
        <w:rPr>
          <w:spacing w:val="-7"/>
          <w:sz w:val="21"/>
        </w:rPr>
        <w:t> </w:t>
      </w:r>
      <w:r>
        <w:rPr>
          <w:sz w:val="21"/>
        </w:rPr>
        <w:t>of</w:t>
      </w:r>
      <w:r>
        <w:rPr>
          <w:spacing w:val="-7"/>
          <w:sz w:val="21"/>
        </w:rPr>
        <w:t> </w:t>
      </w:r>
      <w:r>
        <w:rPr>
          <w:sz w:val="21"/>
        </w:rPr>
        <w:t>experiencing</w:t>
      </w:r>
      <w:r>
        <w:rPr>
          <w:spacing w:val="-7"/>
          <w:sz w:val="21"/>
        </w:rPr>
        <w:t> </w:t>
      </w:r>
      <w:r>
        <w:rPr>
          <w:sz w:val="21"/>
        </w:rPr>
        <w:t>homelessness</w:t>
      </w:r>
      <w:r>
        <w:rPr>
          <w:spacing w:val="-6"/>
          <w:sz w:val="21"/>
        </w:rPr>
        <w:t> </w:t>
      </w:r>
      <w:r>
        <w:rPr>
          <w:sz w:val="21"/>
        </w:rPr>
        <w:t>and</w:t>
      </w:r>
      <w:r>
        <w:rPr>
          <w:spacing w:val="-7"/>
          <w:sz w:val="21"/>
        </w:rPr>
        <w:t> </w:t>
      </w:r>
      <w:r>
        <w:rPr>
          <w:sz w:val="21"/>
        </w:rPr>
        <w:t>financial</w:t>
      </w:r>
      <w:r>
        <w:rPr>
          <w:spacing w:val="-7"/>
          <w:sz w:val="21"/>
        </w:rPr>
        <w:t> </w:t>
      </w:r>
      <w:r>
        <w:rPr>
          <w:sz w:val="21"/>
        </w:rPr>
        <w:t>insecurity, LGBTQ youth are more likely to exchange sex to meet their financial and material needs, than their heterosexual, cisgender peers, as well as more at-risk of sexual exploitation and trafficking. As discussed thoroughly in the public health section of this annual report, too often, law enforcement officers and policymakers conflate ‘sex work’ with ‘sex trafficking’ which leads to ineffective policy implementations, and increased criminalization of LGBTQ youth.</w:t>
      </w:r>
    </w:p>
    <w:p>
      <w:pPr>
        <w:pStyle w:val="ListParagraph"/>
        <w:numPr>
          <w:ilvl w:val="0"/>
          <w:numId w:val="26"/>
        </w:numPr>
        <w:tabs>
          <w:tab w:pos="463" w:val="left" w:leader="none"/>
        </w:tabs>
        <w:spacing w:line="240" w:lineRule="auto" w:before="241" w:after="0"/>
        <w:ind w:left="463" w:right="0" w:hanging="359"/>
        <w:jc w:val="left"/>
        <w:rPr>
          <w:b/>
          <w:sz w:val="21"/>
        </w:rPr>
      </w:pPr>
      <w:r>
        <w:rPr>
          <w:b/>
          <w:sz w:val="21"/>
        </w:rPr>
        <w:t>Improve</w:t>
      </w:r>
      <w:r>
        <w:rPr>
          <w:b/>
          <w:spacing w:val="-6"/>
          <w:sz w:val="21"/>
        </w:rPr>
        <w:t> </w:t>
      </w:r>
      <w:r>
        <w:rPr>
          <w:b/>
          <w:sz w:val="21"/>
        </w:rPr>
        <w:t>conditions</w:t>
      </w:r>
      <w:r>
        <w:rPr>
          <w:b/>
          <w:spacing w:val="-3"/>
          <w:sz w:val="21"/>
        </w:rPr>
        <w:t> </w:t>
      </w:r>
      <w:r>
        <w:rPr>
          <w:b/>
          <w:sz w:val="21"/>
        </w:rPr>
        <w:t>of</w:t>
      </w:r>
      <w:r>
        <w:rPr>
          <w:b/>
          <w:spacing w:val="-3"/>
          <w:sz w:val="21"/>
        </w:rPr>
        <w:t> </w:t>
      </w:r>
      <w:r>
        <w:rPr>
          <w:b/>
          <w:sz w:val="21"/>
        </w:rPr>
        <w:t>confinement</w:t>
      </w:r>
      <w:r>
        <w:rPr>
          <w:b/>
          <w:spacing w:val="-3"/>
          <w:sz w:val="21"/>
        </w:rPr>
        <w:t> </w:t>
      </w:r>
      <w:r>
        <w:rPr>
          <w:b/>
          <w:sz w:val="21"/>
        </w:rPr>
        <w:t>for</w:t>
      </w:r>
      <w:r>
        <w:rPr>
          <w:b/>
          <w:spacing w:val="-4"/>
          <w:sz w:val="21"/>
        </w:rPr>
        <w:t> </w:t>
      </w:r>
      <w:r>
        <w:rPr>
          <w:b/>
          <w:sz w:val="21"/>
        </w:rPr>
        <w:t>incarcerated</w:t>
      </w:r>
      <w:r>
        <w:rPr>
          <w:b/>
          <w:spacing w:val="-3"/>
          <w:sz w:val="21"/>
        </w:rPr>
        <w:t> </w:t>
      </w:r>
      <w:r>
        <w:rPr>
          <w:b/>
          <w:sz w:val="21"/>
        </w:rPr>
        <w:t>LGBTQ</w:t>
      </w:r>
      <w:r>
        <w:rPr>
          <w:b/>
          <w:spacing w:val="-3"/>
          <w:sz w:val="21"/>
        </w:rPr>
        <w:t> </w:t>
      </w:r>
      <w:r>
        <w:rPr>
          <w:b/>
          <w:sz w:val="21"/>
        </w:rPr>
        <w:t>and</w:t>
      </w:r>
      <w:r>
        <w:rPr>
          <w:b/>
          <w:spacing w:val="-3"/>
          <w:sz w:val="21"/>
        </w:rPr>
        <w:t> </w:t>
      </w:r>
      <w:r>
        <w:rPr>
          <w:b/>
          <w:sz w:val="21"/>
        </w:rPr>
        <w:t>intersex</w:t>
      </w:r>
      <w:r>
        <w:rPr>
          <w:b/>
          <w:spacing w:val="-3"/>
          <w:sz w:val="21"/>
        </w:rPr>
        <w:t> </w:t>
      </w:r>
      <w:r>
        <w:rPr>
          <w:b/>
          <w:spacing w:val="-2"/>
          <w:sz w:val="21"/>
        </w:rPr>
        <w:t>individuals.</w:t>
      </w:r>
    </w:p>
    <w:p>
      <w:pPr>
        <w:pStyle w:val="BodyText"/>
        <w:spacing w:before="21"/>
        <w:rPr>
          <w:b/>
          <w:sz w:val="21"/>
        </w:rPr>
      </w:pPr>
    </w:p>
    <w:p>
      <w:pPr>
        <w:spacing w:line="276" w:lineRule="auto" w:before="0"/>
        <w:ind w:left="464" w:right="240" w:firstLine="0"/>
        <w:jc w:val="both"/>
        <w:rPr>
          <w:sz w:val="21"/>
        </w:rPr>
      </w:pPr>
      <w:r>
        <w:rPr>
          <w:sz w:val="21"/>
        </w:rPr>
        <w:t>Nationally, LGBTQ and intersex individuals are overrepresented among prison inmates in the adult legal system, and face higher rates of abuse and physical and sexual assault than their non-LGBTQ peers. While little</w:t>
      </w:r>
      <w:r>
        <w:rPr>
          <w:spacing w:val="-2"/>
          <w:sz w:val="21"/>
        </w:rPr>
        <w:t> </w:t>
      </w:r>
      <w:r>
        <w:rPr>
          <w:sz w:val="21"/>
        </w:rPr>
        <w:t>research</w:t>
      </w:r>
      <w:r>
        <w:rPr>
          <w:spacing w:val="-2"/>
          <w:sz w:val="21"/>
        </w:rPr>
        <w:t> </w:t>
      </w:r>
      <w:r>
        <w:rPr>
          <w:sz w:val="21"/>
        </w:rPr>
        <w:t>exists</w:t>
      </w:r>
      <w:r>
        <w:rPr>
          <w:spacing w:val="-2"/>
          <w:sz w:val="21"/>
        </w:rPr>
        <w:t> </w:t>
      </w:r>
      <w:r>
        <w:rPr>
          <w:sz w:val="21"/>
        </w:rPr>
        <w:t>on</w:t>
      </w:r>
      <w:r>
        <w:rPr>
          <w:spacing w:val="-2"/>
          <w:sz w:val="21"/>
        </w:rPr>
        <w:t> </w:t>
      </w:r>
      <w:r>
        <w:rPr>
          <w:sz w:val="21"/>
        </w:rPr>
        <w:t>current</w:t>
      </w:r>
      <w:r>
        <w:rPr>
          <w:spacing w:val="-1"/>
          <w:sz w:val="21"/>
        </w:rPr>
        <w:t> </w:t>
      </w:r>
      <w:r>
        <w:rPr>
          <w:sz w:val="21"/>
        </w:rPr>
        <w:t>prison</w:t>
      </w:r>
      <w:r>
        <w:rPr>
          <w:spacing w:val="-2"/>
          <w:sz w:val="21"/>
        </w:rPr>
        <w:t> </w:t>
      </w:r>
      <w:r>
        <w:rPr>
          <w:sz w:val="21"/>
        </w:rPr>
        <w:t>conditions</w:t>
      </w:r>
      <w:r>
        <w:rPr>
          <w:spacing w:val="-2"/>
          <w:sz w:val="21"/>
        </w:rPr>
        <w:t> </w:t>
      </w:r>
      <w:r>
        <w:rPr>
          <w:sz w:val="21"/>
        </w:rPr>
        <w:t>for</w:t>
      </w:r>
      <w:r>
        <w:rPr>
          <w:spacing w:val="-2"/>
          <w:sz w:val="21"/>
        </w:rPr>
        <w:t> </w:t>
      </w:r>
      <w:r>
        <w:rPr>
          <w:sz w:val="21"/>
        </w:rPr>
        <w:t>incarcerated</w:t>
      </w:r>
      <w:r>
        <w:rPr>
          <w:spacing w:val="-2"/>
          <w:sz w:val="21"/>
        </w:rPr>
        <w:t> </w:t>
      </w:r>
      <w:r>
        <w:rPr>
          <w:sz w:val="21"/>
        </w:rPr>
        <w:t>intersex</w:t>
      </w:r>
      <w:r>
        <w:rPr>
          <w:spacing w:val="-2"/>
          <w:sz w:val="21"/>
        </w:rPr>
        <w:t> </w:t>
      </w:r>
      <w:r>
        <w:rPr>
          <w:sz w:val="21"/>
        </w:rPr>
        <w:t>individuals,</w:t>
      </w:r>
      <w:r>
        <w:rPr>
          <w:spacing w:val="-1"/>
          <w:sz w:val="21"/>
        </w:rPr>
        <w:t> </w:t>
      </w:r>
      <w:r>
        <w:rPr>
          <w:sz w:val="21"/>
        </w:rPr>
        <w:t>studies</w:t>
      </w:r>
      <w:r>
        <w:rPr>
          <w:spacing w:val="-2"/>
          <w:sz w:val="21"/>
        </w:rPr>
        <w:t> </w:t>
      </w:r>
      <w:r>
        <w:rPr>
          <w:sz w:val="21"/>
        </w:rPr>
        <w:t>have</w:t>
      </w:r>
      <w:r>
        <w:rPr>
          <w:spacing w:val="-2"/>
          <w:sz w:val="21"/>
        </w:rPr>
        <w:t> </w:t>
      </w:r>
      <w:r>
        <w:rPr>
          <w:sz w:val="21"/>
        </w:rPr>
        <w:t>shown this</w:t>
      </w:r>
      <w:r>
        <w:rPr>
          <w:spacing w:val="-9"/>
          <w:sz w:val="21"/>
        </w:rPr>
        <w:t> </w:t>
      </w:r>
      <w:r>
        <w:rPr>
          <w:sz w:val="21"/>
        </w:rPr>
        <w:t>group</w:t>
      </w:r>
      <w:r>
        <w:rPr>
          <w:spacing w:val="-9"/>
          <w:sz w:val="21"/>
        </w:rPr>
        <w:t> </w:t>
      </w:r>
      <w:r>
        <w:rPr>
          <w:sz w:val="21"/>
        </w:rPr>
        <w:t>to</w:t>
      </w:r>
      <w:r>
        <w:rPr>
          <w:spacing w:val="-10"/>
          <w:sz w:val="21"/>
        </w:rPr>
        <w:t> </w:t>
      </w:r>
      <w:r>
        <w:rPr>
          <w:sz w:val="21"/>
        </w:rPr>
        <w:t>be</w:t>
      </w:r>
      <w:r>
        <w:rPr>
          <w:spacing w:val="-9"/>
          <w:sz w:val="21"/>
        </w:rPr>
        <w:t> </w:t>
      </w:r>
      <w:r>
        <w:rPr>
          <w:sz w:val="21"/>
        </w:rPr>
        <w:t>particularly</w:t>
      </w:r>
      <w:r>
        <w:rPr>
          <w:spacing w:val="-10"/>
          <w:sz w:val="21"/>
        </w:rPr>
        <w:t> </w:t>
      </w:r>
      <w:r>
        <w:rPr>
          <w:sz w:val="21"/>
        </w:rPr>
        <w:t>vulnerable</w:t>
      </w:r>
      <w:r>
        <w:rPr>
          <w:spacing w:val="-10"/>
          <w:sz w:val="21"/>
        </w:rPr>
        <w:t> </w:t>
      </w:r>
      <w:r>
        <w:rPr>
          <w:sz w:val="21"/>
        </w:rPr>
        <w:t>to</w:t>
      </w:r>
      <w:r>
        <w:rPr>
          <w:spacing w:val="-10"/>
          <w:sz w:val="21"/>
        </w:rPr>
        <w:t> </w:t>
      </w:r>
      <w:r>
        <w:rPr>
          <w:sz w:val="21"/>
        </w:rPr>
        <w:t>sexual</w:t>
      </w:r>
      <w:r>
        <w:rPr>
          <w:spacing w:val="-9"/>
          <w:sz w:val="21"/>
        </w:rPr>
        <w:t> </w:t>
      </w:r>
      <w:r>
        <w:rPr>
          <w:sz w:val="21"/>
        </w:rPr>
        <w:t>abuse.</w:t>
      </w:r>
      <w:r>
        <w:rPr>
          <w:spacing w:val="-10"/>
          <w:sz w:val="21"/>
        </w:rPr>
        <w:t> </w:t>
      </w:r>
      <w:r>
        <w:rPr>
          <w:sz w:val="21"/>
        </w:rPr>
        <w:t>As</w:t>
      </w:r>
      <w:r>
        <w:rPr>
          <w:spacing w:val="-9"/>
          <w:sz w:val="21"/>
        </w:rPr>
        <w:t> </w:t>
      </w:r>
      <w:r>
        <w:rPr>
          <w:sz w:val="21"/>
        </w:rPr>
        <w:t>noted</w:t>
      </w:r>
      <w:r>
        <w:rPr>
          <w:spacing w:val="-9"/>
          <w:sz w:val="21"/>
        </w:rPr>
        <w:t> </w:t>
      </w:r>
      <w:r>
        <w:rPr>
          <w:sz w:val="21"/>
        </w:rPr>
        <w:t>above,</w:t>
      </w:r>
      <w:r>
        <w:rPr>
          <w:spacing w:val="-9"/>
          <w:sz w:val="21"/>
        </w:rPr>
        <w:t> </w:t>
      </w:r>
      <w:r>
        <w:rPr>
          <w:sz w:val="21"/>
        </w:rPr>
        <w:t>the</w:t>
      </w:r>
      <w:r>
        <w:rPr>
          <w:spacing w:val="-10"/>
          <w:sz w:val="21"/>
        </w:rPr>
        <w:t> </w:t>
      </w:r>
      <w:r>
        <w:rPr>
          <w:sz w:val="21"/>
        </w:rPr>
        <w:t>Commission</w:t>
      </w:r>
      <w:r>
        <w:rPr>
          <w:spacing w:val="-9"/>
          <w:sz w:val="21"/>
        </w:rPr>
        <w:t> </w:t>
      </w:r>
      <w:r>
        <w:rPr>
          <w:sz w:val="21"/>
        </w:rPr>
        <w:t>strongly</w:t>
      </w:r>
      <w:r>
        <w:rPr>
          <w:spacing w:val="-8"/>
          <w:sz w:val="21"/>
        </w:rPr>
        <w:t> </w:t>
      </w:r>
      <w:r>
        <w:rPr>
          <w:sz w:val="21"/>
        </w:rPr>
        <w:t>urges</w:t>
      </w:r>
      <w:r>
        <w:rPr>
          <w:spacing w:val="-9"/>
          <w:sz w:val="21"/>
        </w:rPr>
        <w:t> </w:t>
      </w:r>
      <w:r>
        <w:rPr>
          <w:sz w:val="21"/>
        </w:rPr>
        <w:t>the state to pass and enact the RIGHTS Act (S.1499/H.2357) to ensure stronger protections of LGBTQI incarcerated youth in the adult criminal legal system, as well as conduct research studies to better understand the experiences of LGBTQ individuals being detained across the state.</w:t>
      </w:r>
    </w:p>
    <w:p>
      <w:pPr>
        <w:pStyle w:val="ListParagraph"/>
        <w:numPr>
          <w:ilvl w:val="0"/>
          <w:numId w:val="26"/>
        </w:numPr>
        <w:tabs>
          <w:tab w:pos="463" w:val="left" w:leader="none"/>
        </w:tabs>
        <w:spacing w:line="240" w:lineRule="auto" w:before="241" w:after="0"/>
        <w:ind w:left="463" w:right="0" w:hanging="359"/>
        <w:jc w:val="left"/>
        <w:rPr>
          <w:b/>
          <w:sz w:val="21"/>
        </w:rPr>
      </w:pPr>
      <w:r>
        <w:rPr>
          <w:b/>
          <w:sz w:val="21"/>
        </w:rPr>
        <w:t>Provide</w:t>
      </w:r>
      <w:r>
        <w:rPr>
          <w:b/>
          <w:spacing w:val="-4"/>
          <w:sz w:val="21"/>
        </w:rPr>
        <w:t> </w:t>
      </w:r>
      <w:r>
        <w:rPr>
          <w:b/>
          <w:sz w:val="21"/>
        </w:rPr>
        <w:t>increased</w:t>
      </w:r>
      <w:r>
        <w:rPr>
          <w:b/>
          <w:spacing w:val="-3"/>
          <w:sz w:val="21"/>
        </w:rPr>
        <w:t> </w:t>
      </w:r>
      <w:r>
        <w:rPr>
          <w:b/>
          <w:sz w:val="21"/>
        </w:rPr>
        <w:t>legal</w:t>
      </w:r>
      <w:r>
        <w:rPr>
          <w:b/>
          <w:spacing w:val="-4"/>
          <w:sz w:val="21"/>
        </w:rPr>
        <w:t> </w:t>
      </w:r>
      <w:r>
        <w:rPr>
          <w:b/>
          <w:sz w:val="21"/>
        </w:rPr>
        <w:t>support</w:t>
      </w:r>
      <w:r>
        <w:rPr>
          <w:b/>
          <w:spacing w:val="-3"/>
          <w:sz w:val="21"/>
        </w:rPr>
        <w:t> </w:t>
      </w:r>
      <w:r>
        <w:rPr>
          <w:b/>
          <w:sz w:val="21"/>
        </w:rPr>
        <w:t>for</w:t>
      </w:r>
      <w:r>
        <w:rPr>
          <w:b/>
          <w:spacing w:val="-4"/>
          <w:sz w:val="21"/>
        </w:rPr>
        <w:t> </w:t>
      </w:r>
      <w:r>
        <w:rPr>
          <w:b/>
          <w:sz w:val="21"/>
        </w:rPr>
        <w:t>undocumented</w:t>
      </w:r>
      <w:r>
        <w:rPr>
          <w:b/>
          <w:spacing w:val="-3"/>
          <w:sz w:val="21"/>
        </w:rPr>
        <w:t> </w:t>
      </w:r>
      <w:r>
        <w:rPr>
          <w:b/>
          <w:spacing w:val="-2"/>
          <w:sz w:val="21"/>
        </w:rPr>
        <w:t>youth.</w:t>
      </w:r>
    </w:p>
    <w:p>
      <w:pPr>
        <w:pStyle w:val="BodyText"/>
        <w:spacing w:before="22"/>
        <w:rPr>
          <w:b/>
          <w:sz w:val="21"/>
        </w:rPr>
      </w:pPr>
    </w:p>
    <w:p>
      <w:pPr>
        <w:spacing w:line="276" w:lineRule="auto" w:before="0"/>
        <w:ind w:left="464" w:right="239" w:firstLine="0"/>
        <w:jc w:val="both"/>
        <w:rPr>
          <w:sz w:val="21"/>
        </w:rPr>
      </w:pPr>
      <w:r>
        <w:rPr>
          <w:sz w:val="21"/>
        </w:rPr>
        <w:t>At a time when the federal government is increasingly targeting undocumented communities and Massachusetts is seeing a significant increase in new arrivals to the state, it is imperative that the state takes steps to ensure that local police do not work hand in hand with the federal government to carry out the work of Immigration and Customs Enforcement (ICE). It is well documented that LGBTQ youth— particularly</w:t>
      </w:r>
      <w:r>
        <w:rPr>
          <w:spacing w:val="-12"/>
          <w:sz w:val="21"/>
        </w:rPr>
        <w:t> </w:t>
      </w:r>
      <w:r>
        <w:rPr>
          <w:sz w:val="21"/>
        </w:rPr>
        <w:t>LGBTQ</w:t>
      </w:r>
      <w:r>
        <w:rPr>
          <w:spacing w:val="-12"/>
          <w:sz w:val="21"/>
        </w:rPr>
        <w:t> </w:t>
      </w:r>
      <w:r>
        <w:rPr>
          <w:sz w:val="21"/>
        </w:rPr>
        <w:t>youth</w:t>
      </w:r>
      <w:r>
        <w:rPr>
          <w:spacing w:val="-12"/>
          <w:sz w:val="21"/>
        </w:rPr>
        <w:t> </w:t>
      </w:r>
      <w:r>
        <w:rPr>
          <w:sz w:val="21"/>
        </w:rPr>
        <w:t>of</w:t>
      </w:r>
      <w:r>
        <w:rPr>
          <w:spacing w:val="-12"/>
          <w:sz w:val="21"/>
        </w:rPr>
        <w:t> </w:t>
      </w:r>
      <w:r>
        <w:rPr>
          <w:sz w:val="21"/>
        </w:rPr>
        <w:t>color—are</w:t>
      </w:r>
      <w:r>
        <w:rPr>
          <w:spacing w:val="-12"/>
          <w:sz w:val="21"/>
        </w:rPr>
        <w:t> </w:t>
      </w:r>
      <w:r>
        <w:rPr>
          <w:sz w:val="21"/>
        </w:rPr>
        <w:t>overrepresented</w:t>
      </w:r>
      <w:r>
        <w:rPr>
          <w:spacing w:val="-12"/>
          <w:sz w:val="21"/>
        </w:rPr>
        <w:t> </w:t>
      </w:r>
      <w:r>
        <w:rPr>
          <w:sz w:val="21"/>
        </w:rPr>
        <w:t>in</w:t>
      </w:r>
      <w:r>
        <w:rPr>
          <w:spacing w:val="-12"/>
          <w:sz w:val="21"/>
        </w:rPr>
        <w:t> </w:t>
      </w:r>
      <w:r>
        <w:rPr>
          <w:sz w:val="21"/>
        </w:rPr>
        <w:t>the</w:t>
      </w:r>
      <w:r>
        <w:rPr>
          <w:spacing w:val="-11"/>
          <w:sz w:val="21"/>
        </w:rPr>
        <w:t> </w:t>
      </w:r>
      <w:r>
        <w:rPr>
          <w:sz w:val="21"/>
        </w:rPr>
        <w:t>justice</w:t>
      </w:r>
      <w:r>
        <w:rPr>
          <w:spacing w:val="-12"/>
          <w:sz w:val="21"/>
        </w:rPr>
        <w:t> </w:t>
      </w:r>
      <w:r>
        <w:rPr>
          <w:sz w:val="21"/>
        </w:rPr>
        <w:t>system.</w:t>
      </w:r>
      <w:r>
        <w:rPr>
          <w:spacing w:val="-12"/>
          <w:sz w:val="21"/>
        </w:rPr>
        <w:t> </w:t>
      </w:r>
      <w:r>
        <w:rPr>
          <w:sz w:val="21"/>
        </w:rPr>
        <w:t>Undocumented</w:t>
      </w:r>
      <w:r>
        <w:rPr>
          <w:spacing w:val="-12"/>
          <w:sz w:val="21"/>
        </w:rPr>
        <w:t> </w:t>
      </w:r>
      <w:r>
        <w:rPr>
          <w:sz w:val="21"/>
        </w:rPr>
        <w:t>LGBTQ</w:t>
      </w:r>
      <w:r>
        <w:rPr>
          <w:spacing w:val="-12"/>
          <w:sz w:val="21"/>
        </w:rPr>
        <w:t> </w:t>
      </w:r>
      <w:r>
        <w:rPr>
          <w:sz w:val="21"/>
        </w:rPr>
        <w:t>youth face additional vulnerabilities due to documentation status. Massachusetts should take steps to protect undocumented immigrants, such as passing An Act to Protect the Civil Rights and Safety of All Massachusetts Residents (H.2288/S.1510), also known as the Safe Communities Act, which would ensure that local police do not share information with ICE.</w:t>
      </w:r>
    </w:p>
    <w:p>
      <w:pPr>
        <w:pStyle w:val="ListParagraph"/>
        <w:numPr>
          <w:ilvl w:val="0"/>
          <w:numId w:val="26"/>
        </w:numPr>
        <w:tabs>
          <w:tab w:pos="463" w:val="left" w:leader="none"/>
        </w:tabs>
        <w:spacing w:line="240" w:lineRule="auto" w:before="241" w:after="0"/>
        <w:ind w:left="463" w:right="0" w:hanging="359"/>
        <w:jc w:val="left"/>
        <w:rPr>
          <w:b/>
          <w:sz w:val="21"/>
        </w:rPr>
      </w:pPr>
      <w:r>
        <w:rPr>
          <w:b/>
          <w:sz w:val="21"/>
        </w:rPr>
        <w:t>Raise</w:t>
      </w:r>
      <w:r>
        <w:rPr>
          <w:b/>
          <w:spacing w:val="-4"/>
          <w:sz w:val="21"/>
        </w:rPr>
        <w:t> </w:t>
      </w:r>
      <w:r>
        <w:rPr>
          <w:b/>
          <w:sz w:val="21"/>
        </w:rPr>
        <w:t>the</w:t>
      </w:r>
      <w:r>
        <w:rPr>
          <w:b/>
          <w:spacing w:val="-1"/>
          <w:sz w:val="21"/>
        </w:rPr>
        <w:t> </w:t>
      </w:r>
      <w:r>
        <w:rPr>
          <w:b/>
          <w:sz w:val="21"/>
        </w:rPr>
        <w:t>age</w:t>
      </w:r>
      <w:r>
        <w:rPr>
          <w:b/>
          <w:spacing w:val="-3"/>
          <w:sz w:val="21"/>
        </w:rPr>
        <w:t> </w:t>
      </w:r>
      <w:r>
        <w:rPr>
          <w:b/>
          <w:sz w:val="21"/>
        </w:rPr>
        <w:t>of</w:t>
      </w:r>
      <w:r>
        <w:rPr>
          <w:b/>
          <w:spacing w:val="-1"/>
          <w:sz w:val="21"/>
        </w:rPr>
        <w:t> </w:t>
      </w:r>
      <w:r>
        <w:rPr>
          <w:b/>
          <w:sz w:val="21"/>
        </w:rPr>
        <w:t>the</w:t>
      </w:r>
      <w:r>
        <w:rPr>
          <w:b/>
          <w:spacing w:val="-2"/>
          <w:sz w:val="21"/>
        </w:rPr>
        <w:t> </w:t>
      </w:r>
      <w:r>
        <w:rPr>
          <w:b/>
          <w:sz w:val="21"/>
        </w:rPr>
        <w:t>juvenile</w:t>
      </w:r>
      <w:r>
        <w:rPr>
          <w:b/>
          <w:spacing w:val="-1"/>
          <w:sz w:val="21"/>
        </w:rPr>
        <w:t> </w:t>
      </w:r>
      <w:r>
        <w:rPr>
          <w:b/>
          <w:sz w:val="21"/>
        </w:rPr>
        <w:t>legal</w:t>
      </w:r>
      <w:r>
        <w:rPr>
          <w:b/>
          <w:spacing w:val="-2"/>
          <w:sz w:val="21"/>
        </w:rPr>
        <w:t> </w:t>
      </w:r>
      <w:r>
        <w:rPr>
          <w:b/>
          <w:sz w:val="21"/>
        </w:rPr>
        <w:t>system</w:t>
      </w:r>
      <w:r>
        <w:rPr>
          <w:b/>
          <w:spacing w:val="-1"/>
          <w:sz w:val="21"/>
        </w:rPr>
        <w:t> </w:t>
      </w:r>
      <w:r>
        <w:rPr>
          <w:b/>
          <w:sz w:val="21"/>
        </w:rPr>
        <w:t>to</w:t>
      </w:r>
      <w:r>
        <w:rPr>
          <w:b/>
          <w:spacing w:val="-2"/>
          <w:sz w:val="21"/>
        </w:rPr>
        <w:t> </w:t>
      </w:r>
      <w:r>
        <w:rPr>
          <w:b/>
          <w:sz w:val="21"/>
        </w:rPr>
        <w:t>include</w:t>
      </w:r>
      <w:r>
        <w:rPr>
          <w:b/>
          <w:spacing w:val="-2"/>
          <w:sz w:val="21"/>
        </w:rPr>
        <w:t> </w:t>
      </w:r>
      <w:r>
        <w:rPr>
          <w:b/>
          <w:sz w:val="21"/>
        </w:rPr>
        <w:t>18-to</w:t>
      </w:r>
      <w:r>
        <w:rPr>
          <w:b/>
          <w:spacing w:val="-2"/>
          <w:sz w:val="21"/>
        </w:rPr>
        <w:t> </w:t>
      </w:r>
      <w:r>
        <w:rPr>
          <w:b/>
          <w:sz w:val="21"/>
        </w:rPr>
        <w:t>20-year-</w:t>
      </w:r>
      <w:r>
        <w:rPr>
          <w:b/>
          <w:spacing w:val="-2"/>
          <w:sz w:val="21"/>
        </w:rPr>
        <w:t>olds.</w:t>
      </w:r>
    </w:p>
    <w:p>
      <w:pPr>
        <w:pStyle w:val="BodyText"/>
        <w:spacing w:before="21"/>
        <w:rPr>
          <w:b/>
          <w:sz w:val="21"/>
        </w:rPr>
      </w:pPr>
    </w:p>
    <w:p>
      <w:pPr>
        <w:spacing w:line="276" w:lineRule="auto" w:before="0"/>
        <w:ind w:left="464" w:right="240" w:firstLine="0"/>
        <w:jc w:val="both"/>
        <w:rPr>
          <w:sz w:val="21"/>
        </w:rPr>
      </w:pPr>
      <w:r>
        <w:rPr>
          <w:sz w:val="21"/>
        </w:rPr>
        <w:t>The Commission recommends that the legislature raise the age of the juvenile justice system to gradually include</w:t>
      </w:r>
      <w:r>
        <w:rPr>
          <w:spacing w:val="-6"/>
          <w:sz w:val="21"/>
        </w:rPr>
        <w:t> </w:t>
      </w:r>
      <w:r>
        <w:rPr>
          <w:sz w:val="21"/>
        </w:rPr>
        <w:t>18-</w:t>
      </w:r>
      <w:r>
        <w:rPr>
          <w:spacing w:val="-6"/>
          <w:sz w:val="21"/>
        </w:rPr>
        <w:t> </w:t>
      </w:r>
      <w:r>
        <w:rPr>
          <w:sz w:val="21"/>
        </w:rPr>
        <w:t>to</w:t>
      </w:r>
      <w:r>
        <w:rPr>
          <w:spacing w:val="-8"/>
          <w:sz w:val="21"/>
        </w:rPr>
        <w:t> </w:t>
      </w:r>
      <w:r>
        <w:rPr>
          <w:sz w:val="21"/>
        </w:rPr>
        <w:t>20-year-olds</w:t>
      </w:r>
      <w:r>
        <w:rPr>
          <w:spacing w:val="-7"/>
          <w:sz w:val="21"/>
        </w:rPr>
        <w:t> </w:t>
      </w:r>
      <w:r>
        <w:rPr>
          <w:sz w:val="21"/>
        </w:rPr>
        <w:t>to</w:t>
      </w:r>
      <w:r>
        <w:rPr>
          <w:spacing w:val="-6"/>
          <w:sz w:val="21"/>
        </w:rPr>
        <w:t> </w:t>
      </w:r>
      <w:r>
        <w:rPr>
          <w:sz w:val="21"/>
        </w:rPr>
        <w:t>improve</w:t>
      </w:r>
      <w:r>
        <w:rPr>
          <w:spacing w:val="-6"/>
          <w:sz w:val="21"/>
        </w:rPr>
        <w:t> </w:t>
      </w:r>
      <w:r>
        <w:rPr>
          <w:sz w:val="21"/>
        </w:rPr>
        <w:t>public</w:t>
      </w:r>
      <w:r>
        <w:rPr>
          <w:spacing w:val="-6"/>
          <w:sz w:val="21"/>
        </w:rPr>
        <w:t> </w:t>
      </w:r>
      <w:r>
        <w:rPr>
          <w:sz w:val="21"/>
        </w:rPr>
        <w:t>safety</w:t>
      </w:r>
      <w:r>
        <w:rPr>
          <w:spacing w:val="-6"/>
          <w:sz w:val="21"/>
        </w:rPr>
        <w:t> </w:t>
      </w:r>
      <w:r>
        <w:rPr>
          <w:sz w:val="21"/>
        </w:rPr>
        <w:t>and</w:t>
      </w:r>
      <w:r>
        <w:rPr>
          <w:spacing w:val="-7"/>
          <w:sz w:val="21"/>
        </w:rPr>
        <w:t> </w:t>
      </w:r>
      <w:r>
        <w:rPr>
          <w:sz w:val="21"/>
        </w:rPr>
        <w:t>improve</w:t>
      </w:r>
      <w:r>
        <w:rPr>
          <w:spacing w:val="-6"/>
          <w:sz w:val="21"/>
        </w:rPr>
        <w:t> </w:t>
      </w:r>
      <w:r>
        <w:rPr>
          <w:sz w:val="21"/>
        </w:rPr>
        <w:t>outcomes</w:t>
      </w:r>
      <w:r>
        <w:rPr>
          <w:spacing w:val="-6"/>
          <w:sz w:val="21"/>
        </w:rPr>
        <w:t> </w:t>
      </w:r>
      <w:r>
        <w:rPr>
          <w:sz w:val="21"/>
        </w:rPr>
        <w:t>for</w:t>
      </w:r>
      <w:r>
        <w:rPr>
          <w:spacing w:val="-6"/>
          <w:sz w:val="21"/>
        </w:rPr>
        <w:t> </w:t>
      </w:r>
      <w:r>
        <w:rPr>
          <w:sz w:val="21"/>
        </w:rPr>
        <w:t>the</w:t>
      </w:r>
      <w:r>
        <w:rPr>
          <w:spacing w:val="-7"/>
          <w:sz w:val="21"/>
        </w:rPr>
        <w:t> </w:t>
      </w:r>
      <w:r>
        <w:rPr>
          <w:sz w:val="21"/>
        </w:rPr>
        <w:t>teens</w:t>
      </w:r>
      <w:r>
        <w:rPr>
          <w:spacing w:val="-6"/>
          <w:sz w:val="21"/>
        </w:rPr>
        <w:t> </w:t>
      </w:r>
      <w:r>
        <w:rPr>
          <w:sz w:val="21"/>
        </w:rPr>
        <w:t>as</w:t>
      </w:r>
      <w:r>
        <w:rPr>
          <w:spacing w:val="-6"/>
          <w:sz w:val="21"/>
        </w:rPr>
        <w:t> </w:t>
      </w:r>
      <w:r>
        <w:rPr>
          <w:sz w:val="21"/>
        </w:rPr>
        <w:t>proposed</w:t>
      </w:r>
      <w:r>
        <w:rPr>
          <w:spacing w:val="-6"/>
          <w:sz w:val="21"/>
        </w:rPr>
        <w:t> </w:t>
      </w:r>
      <w:r>
        <w:rPr>
          <w:sz w:val="21"/>
        </w:rPr>
        <w:t>in</w:t>
      </w:r>
      <w:r>
        <w:rPr>
          <w:spacing w:val="-6"/>
          <w:sz w:val="21"/>
        </w:rPr>
        <w:t> </w:t>
      </w:r>
      <w:r>
        <w:rPr>
          <w:sz w:val="21"/>
        </w:rPr>
        <w:t>An Act to Promote Public Safety and Better Outcomes for Young Adults (S.942/H.1710), also known as ‘Raise the Age.’ Massachusetts is well-known to have better outcomes for youth in the juvenile justice system through the Department of Youth Services and for youth over the age of 18, these formative years are particularly important for LGBTQ youth who often struggle with mental health issues.</w:t>
      </w:r>
    </w:p>
    <w:p>
      <w:pPr>
        <w:spacing w:after="0" w:line="276" w:lineRule="auto"/>
        <w:jc w:val="both"/>
        <w:rPr>
          <w:sz w:val="21"/>
        </w:rPr>
        <w:sectPr>
          <w:pgSz w:w="12240" w:h="15840"/>
          <w:pgMar w:header="763" w:footer="1041" w:top="1360" w:bottom="1240" w:left="1120" w:right="1340"/>
        </w:sectPr>
      </w:pPr>
    </w:p>
    <w:p>
      <w:pPr>
        <w:pStyle w:val="ListParagraph"/>
        <w:numPr>
          <w:ilvl w:val="0"/>
          <w:numId w:val="26"/>
        </w:numPr>
        <w:tabs>
          <w:tab w:pos="463" w:val="left" w:leader="none"/>
        </w:tabs>
        <w:spacing w:line="240" w:lineRule="auto" w:before="65" w:after="0"/>
        <w:ind w:left="463" w:right="0" w:hanging="359"/>
        <w:jc w:val="left"/>
        <w:rPr>
          <w:b/>
          <w:sz w:val="21"/>
        </w:rPr>
      </w:pPr>
      <w:r>
        <w:rPr>
          <w:b/>
          <w:sz w:val="21"/>
        </w:rPr>
        <w:t>Increase</w:t>
      </w:r>
      <w:r>
        <w:rPr>
          <w:b/>
          <w:spacing w:val="-6"/>
          <w:sz w:val="21"/>
        </w:rPr>
        <w:t> </w:t>
      </w:r>
      <w:r>
        <w:rPr>
          <w:b/>
          <w:sz w:val="21"/>
        </w:rPr>
        <w:t>transitional</w:t>
      </w:r>
      <w:r>
        <w:rPr>
          <w:b/>
          <w:spacing w:val="-4"/>
          <w:sz w:val="21"/>
        </w:rPr>
        <w:t> </w:t>
      </w:r>
      <w:r>
        <w:rPr>
          <w:b/>
          <w:sz w:val="21"/>
        </w:rPr>
        <w:t>and</w:t>
      </w:r>
      <w:r>
        <w:rPr>
          <w:b/>
          <w:spacing w:val="-4"/>
          <w:sz w:val="21"/>
        </w:rPr>
        <w:t> </w:t>
      </w:r>
      <w:r>
        <w:rPr>
          <w:b/>
          <w:sz w:val="21"/>
        </w:rPr>
        <w:t>permanent</w:t>
      </w:r>
      <w:r>
        <w:rPr>
          <w:b/>
          <w:spacing w:val="-3"/>
          <w:sz w:val="21"/>
        </w:rPr>
        <w:t> </w:t>
      </w:r>
      <w:r>
        <w:rPr>
          <w:b/>
          <w:sz w:val="21"/>
        </w:rPr>
        <w:t>housing</w:t>
      </w:r>
      <w:r>
        <w:rPr>
          <w:b/>
          <w:spacing w:val="-4"/>
          <w:sz w:val="21"/>
        </w:rPr>
        <w:t> </w:t>
      </w:r>
      <w:r>
        <w:rPr>
          <w:b/>
          <w:sz w:val="21"/>
        </w:rPr>
        <w:t>resources</w:t>
      </w:r>
      <w:r>
        <w:rPr>
          <w:b/>
          <w:spacing w:val="-5"/>
          <w:sz w:val="21"/>
        </w:rPr>
        <w:t> </w:t>
      </w:r>
      <w:r>
        <w:rPr>
          <w:b/>
          <w:sz w:val="21"/>
        </w:rPr>
        <w:t>for</w:t>
      </w:r>
      <w:r>
        <w:rPr>
          <w:b/>
          <w:spacing w:val="-3"/>
          <w:sz w:val="21"/>
        </w:rPr>
        <w:t> </w:t>
      </w:r>
      <w:r>
        <w:rPr>
          <w:b/>
          <w:sz w:val="21"/>
        </w:rPr>
        <w:t>formerly</w:t>
      </w:r>
      <w:r>
        <w:rPr>
          <w:b/>
          <w:spacing w:val="-4"/>
          <w:sz w:val="21"/>
        </w:rPr>
        <w:t> </w:t>
      </w:r>
      <w:r>
        <w:rPr>
          <w:b/>
          <w:sz w:val="21"/>
        </w:rPr>
        <w:t>incarcerated</w:t>
      </w:r>
      <w:r>
        <w:rPr>
          <w:b/>
          <w:spacing w:val="-4"/>
          <w:sz w:val="21"/>
        </w:rPr>
        <w:t> </w:t>
      </w:r>
      <w:r>
        <w:rPr>
          <w:b/>
          <w:sz w:val="21"/>
        </w:rPr>
        <w:t>LGBTQ</w:t>
      </w:r>
      <w:r>
        <w:rPr>
          <w:b/>
          <w:spacing w:val="-3"/>
          <w:sz w:val="21"/>
        </w:rPr>
        <w:t> </w:t>
      </w:r>
      <w:r>
        <w:rPr>
          <w:b/>
          <w:spacing w:val="-2"/>
          <w:sz w:val="21"/>
        </w:rPr>
        <w:t>youth.</w:t>
      </w:r>
    </w:p>
    <w:p>
      <w:pPr>
        <w:pStyle w:val="BodyText"/>
        <w:spacing w:before="22"/>
        <w:rPr>
          <w:b/>
          <w:sz w:val="21"/>
        </w:rPr>
      </w:pPr>
    </w:p>
    <w:p>
      <w:pPr>
        <w:spacing w:line="276" w:lineRule="auto" w:before="0"/>
        <w:ind w:left="463" w:right="241" w:firstLine="0"/>
        <w:jc w:val="both"/>
        <w:rPr>
          <w:sz w:val="21"/>
        </w:rPr>
      </w:pPr>
      <w:r>
        <w:rPr>
          <w:sz w:val="21"/>
        </w:rPr>
        <w:t>The Commission strongly recommends that the Commonwealth allocate funding to the development of and expansion of transitional housing resources for formerly incarcerated LGBTQ youth, particularly for those</w:t>
      </w:r>
      <w:r>
        <w:rPr>
          <w:spacing w:val="-9"/>
          <w:sz w:val="21"/>
        </w:rPr>
        <w:t> </w:t>
      </w:r>
      <w:r>
        <w:rPr>
          <w:sz w:val="21"/>
        </w:rPr>
        <w:t>aged</w:t>
      </w:r>
      <w:r>
        <w:rPr>
          <w:spacing w:val="-9"/>
          <w:sz w:val="21"/>
        </w:rPr>
        <w:t> </w:t>
      </w:r>
      <w:r>
        <w:rPr>
          <w:sz w:val="21"/>
        </w:rPr>
        <w:t>22</w:t>
      </w:r>
      <w:r>
        <w:rPr>
          <w:spacing w:val="-11"/>
          <w:sz w:val="21"/>
        </w:rPr>
        <w:t> </w:t>
      </w:r>
      <w:r>
        <w:rPr>
          <w:sz w:val="21"/>
        </w:rPr>
        <w:t>to</w:t>
      </w:r>
      <w:r>
        <w:rPr>
          <w:spacing w:val="-10"/>
          <w:sz w:val="21"/>
        </w:rPr>
        <w:t> </w:t>
      </w:r>
      <w:r>
        <w:rPr>
          <w:sz w:val="21"/>
        </w:rPr>
        <w:t>24</w:t>
      </w:r>
      <w:r>
        <w:rPr>
          <w:spacing w:val="-9"/>
          <w:sz w:val="21"/>
        </w:rPr>
        <w:t> </w:t>
      </w:r>
      <w:r>
        <w:rPr>
          <w:sz w:val="21"/>
        </w:rPr>
        <w:t>who</w:t>
      </w:r>
      <w:r>
        <w:rPr>
          <w:spacing w:val="-11"/>
          <w:sz w:val="21"/>
        </w:rPr>
        <w:t> </w:t>
      </w:r>
      <w:r>
        <w:rPr>
          <w:sz w:val="21"/>
        </w:rPr>
        <w:t>may</w:t>
      </w:r>
      <w:r>
        <w:rPr>
          <w:spacing w:val="-9"/>
          <w:sz w:val="21"/>
        </w:rPr>
        <w:t> </w:t>
      </w:r>
      <w:r>
        <w:rPr>
          <w:sz w:val="21"/>
        </w:rPr>
        <w:t>not</w:t>
      </w:r>
      <w:r>
        <w:rPr>
          <w:spacing w:val="-10"/>
          <w:sz w:val="21"/>
        </w:rPr>
        <w:t> </w:t>
      </w:r>
      <w:r>
        <w:rPr>
          <w:sz w:val="21"/>
        </w:rPr>
        <w:t>be</w:t>
      </w:r>
      <w:r>
        <w:rPr>
          <w:spacing w:val="-9"/>
          <w:sz w:val="21"/>
        </w:rPr>
        <w:t> </w:t>
      </w:r>
      <w:r>
        <w:rPr>
          <w:sz w:val="21"/>
        </w:rPr>
        <w:t>eligible</w:t>
      </w:r>
      <w:r>
        <w:rPr>
          <w:spacing w:val="-9"/>
          <w:sz w:val="21"/>
        </w:rPr>
        <w:t> </w:t>
      </w:r>
      <w:r>
        <w:rPr>
          <w:sz w:val="21"/>
        </w:rPr>
        <w:t>for</w:t>
      </w:r>
      <w:r>
        <w:rPr>
          <w:spacing w:val="-9"/>
          <w:sz w:val="21"/>
        </w:rPr>
        <w:t> </w:t>
      </w:r>
      <w:r>
        <w:rPr>
          <w:sz w:val="21"/>
        </w:rPr>
        <w:t>other</w:t>
      </w:r>
      <w:r>
        <w:rPr>
          <w:spacing w:val="-10"/>
          <w:sz w:val="21"/>
        </w:rPr>
        <w:t> </w:t>
      </w:r>
      <w:r>
        <w:rPr>
          <w:sz w:val="21"/>
        </w:rPr>
        <w:t>state</w:t>
      </w:r>
      <w:r>
        <w:rPr>
          <w:spacing w:val="-9"/>
          <w:sz w:val="21"/>
        </w:rPr>
        <w:t> </w:t>
      </w:r>
      <w:r>
        <w:rPr>
          <w:sz w:val="21"/>
        </w:rPr>
        <w:t>services.</w:t>
      </w:r>
      <w:r>
        <w:rPr>
          <w:spacing w:val="-9"/>
          <w:sz w:val="21"/>
        </w:rPr>
        <w:t> </w:t>
      </w:r>
      <w:r>
        <w:rPr>
          <w:sz w:val="21"/>
        </w:rPr>
        <w:t>An</w:t>
      </w:r>
      <w:r>
        <w:rPr>
          <w:spacing w:val="-9"/>
          <w:sz w:val="21"/>
        </w:rPr>
        <w:t> </w:t>
      </w:r>
      <w:r>
        <w:rPr>
          <w:sz w:val="21"/>
        </w:rPr>
        <w:t>example</w:t>
      </w:r>
      <w:r>
        <w:rPr>
          <w:spacing w:val="-11"/>
          <w:sz w:val="21"/>
        </w:rPr>
        <w:t> </w:t>
      </w:r>
      <w:r>
        <w:rPr>
          <w:sz w:val="21"/>
        </w:rPr>
        <w:t>of</w:t>
      </w:r>
      <w:r>
        <w:rPr>
          <w:spacing w:val="-11"/>
          <w:sz w:val="21"/>
        </w:rPr>
        <w:t> </w:t>
      </w:r>
      <w:r>
        <w:rPr>
          <w:sz w:val="21"/>
        </w:rPr>
        <w:t>this</w:t>
      </w:r>
      <w:r>
        <w:rPr>
          <w:spacing w:val="-10"/>
          <w:sz w:val="21"/>
        </w:rPr>
        <w:t> </w:t>
      </w:r>
      <w:r>
        <w:rPr>
          <w:sz w:val="21"/>
        </w:rPr>
        <w:t>transitional</w:t>
      </w:r>
      <w:r>
        <w:rPr>
          <w:spacing w:val="-10"/>
          <w:sz w:val="21"/>
        </w:rPr>
        <w:t> </w:t>
      </w:r>
      <w:r>
        <w:rPr>
          <w:sz w:val="21"/>
        </w:rPr>
        <w:t>housing program</w:t>
      </w:r>
      <w:r>
        <w:rPr>
          <w:spacing w:val="-4"/>
          <w:sz w:val="21"/>
        </w:rPr>
        <w:t> </w:t>
      </w:r>
      <w:r>
        <w:rPr>
          <w:sz w:val="21"/>
        </w:rPr>
        <w:t>is</w:t>
      </w:r>
      <w:r>
        <w:rPr>
          <w:spacing w:val="-5"/>
          <w:sz w:val="21"/>
        </w:rPr>
        <w:t> </w:t>
      </w:r>
      <w:r>
        <w:rPr>
          <w:sz w:val="21"/>
        </w:rPr>
        <w:t>offered</w:t>
      </w:r>
      <w:r>
        <w:rPr>
          <w:spacing w:val="-4"/>
          <w:sz w:val="21"/>
        </w:rPr>
        <w:t> </w:t>
      </w:r>
      <w:r>
        <w:rPr>
          <w:sz w:val="21"/>
        </w:rPr>
        <w:t>by</w:t>
      </w:r>
      <w:r>
        <w:rPr>
          <w:spacing w:val="-4"/>
          <w:sz w:val="21"/>
        </w:rPr>
        <w:t> </w:t>
      </w:r>
      <w:r>
        <w:rPr>
          <w:sz w:val="21"/>
        </w:rPr>
        <w:t>the</w:t>
      </w:r>
      <w:r>
        <w:rPr>
          <w:spacing w:val="-4"/>
          <w:sz w:val="21"/>
        </w:rPr>
        <w:t> </w:t>
      </w:r>
      <w:r>
        <w:rPr>
          <w:sz w:val="21"/>
        </w:rPr>
        <w:t>Transgender</w:t>
      </w:r>
      <w:r>
        <w:rPr>
          <w:spacing w:val="-4"/>
          <w:sz w:val="21"/>
        </w:rPr>
        <w:t> </w:t>
      </w:r>
      <w:r>
        <w:rPr>
          <w:sz w:val="21"/>
        </w:rPr>
        <w:t>Emergency</w:t>
      </w:r>
      <w:r>
        <w:rPr>
          <w:spacing w:val="-4"/>
          <w:sz w:val="21"/>
        </w:rPr>
        <w:t> </w:t>
      </w:r>
      <w:r>
        <w:rPr>
          <w:sz w:val="21"/>
        </w:rPr>
        <w:t>Fund</w:t>
      </w:r>
      <w:r>
        <w:rPr>
          <w:spacing w:val="-4"/>
          <w:sz w:val="21"/>
        </w:rPr>
        <w:t> </w:t>
      </w:r>
      <w:r>
        <w:rPr>
          <w:sz w:val="21"/>
        </w:rPr>
        <w:t>Transitional</w:t>
      </w:r>
      <w:r>
        <w:rPr>
          <w:spacing w:val="-4"/>
          <w:sz w:val="21"/>
        </w:rPr>
        <w:t> </w:t>
      </w:r>
      <w:r>
        <w:rPr>
          <w:sz w:val="21"/>
        </w:rPr>
        <w:t>Housing</w:t>
      </w:r>
      <w:r>
        <w:rPr>
          <w:spacing w:val="-5"/>
          <w:sz w:val="21"/>
        </w:rPr>
        <w:t> </w:t>
      </w:r>
      <w:r>
        <w:rPr>
          <w:sz w:val="21"/>
        </w:rPr>
        <w:t>Program,</w:t>
      </w:r>
      <w:r>
        <w:rPr>
          <w:spacing w:val="-4"/>
          <w:sz w:val="21"/>
        </w:rPr>
        <w:t> </w:t>
      </w:r>
      <w:r>
        <w:rPr>
          <w:sz w:val="21"/>
        </w:rPr>
        <w:t>which</w:t>
      </w:r>
      <w:r>
        <w:rPr>
          <w:spacing w:val="-4"/>
          <w:sz w:val="21"/>
        </w:rPr>
        <w:t> </w:t>
      </w:r>
      <w:r>
        <w:rPr>
          <w:sz w:val="21"/>
        </w:rPr>
        <w:t>houses</w:t>
      </w:r>
      <w:r>
        <w:rPr>
          <w:spacing w:val="-5"/>
          <w:sz w:val="21"/>
        </w:rPr>
        <w:t> </w:t>
      </w:r>
      <w:r>
        <w:rPr>
          <w:sz w:val="21"/>
        </w:rPr>
        <w:t>up</w:t>
      </w:r>
      <w:r>
        <w:rPr>
          <w:spacing w:val="-4"/>
          <w:sz w:val="21"/>
        </w:rPr>
        <w:t> </w:t>
      </w:r>
      <w:r>
        <w:rPr>
          <w:sz w:val="21"/>
        </w:rPr>
        <w:t>to eight transgender and gender expansive individuals currently experiencing homelessness.</w:t>
      </w:r>
    </w:p>
    <w:p>
      <w:pPr>
        <w:pStyle w:val="ListParagraph"/>
        <w:numPr>
          <w:ilvl w:val="0"/>
          <w:numId w:val="26"/>
        </w:numPr>
        <w:tabs>
          <w:tab w:pos="461" w:val="left" w:leader="none"/>
        </w:tabs>
        <w:spacing w:line="240" w:lineRule="auto" w:before="240" w:after="0"/>
        <w:ind w:left="461" w:right="0" w:hanging="358"/>
        <w:jc w:val="left"/>
        <w:rPr>
          <w:sz w:val="21"/>
        </w:rPr>
      </w:pPr>
      <w:r>
        <w:rPr>
          <w:b/>
          <w:sz w:val="21"/>
        </w:rPr>
        <w:t>Support</w:t>
      </w:r>
      <w:r>
        <w:rPr>
          <w:b/>
          <w:spacing w:val="-14"/>
          <w:sz w:val="21"/>
        </w:rPr>
        <w:t> </w:t>
      </w:r>
      <w:r>
        <w:rPr>
          <w:b/>
          <w:sz w:val="21"/>
        </w:rPr>
        <w:t>legislative</w:t>
      </w:r>
      <w:r>
        <w:rPr>
          <w:b/>
          <w:spacing w:val="-12"/>
          <w:sz w:val="21"/>
        </w:rPr>
        <w:t> </w:t>
      </w:r>
      <w:r>
        <w:rPr>
          <w:b/>
          <w:sz w:val="21"/>
        </w:rPr>
        <w:t>initiatives</w:t>
      </w:r>
      <w:r>
        <w:rPr>
          <w:b/>
          <w:spacing w:val="-11"/>
          <w:sz w:val="21"/>
        </w:rPr>
        <w:t> </w:t>
      </w:r>
      <w:r>
        <w:rPr>
          <w:b/>
          <w:sz w:val="21"/>
        </w:rPr>
        <w:t>to</w:t>
      </w:r>
      <w:r>
        <w:rPr>
          <w:b/>
          <w:spacing w:val="-11"/>
          <w:sz w:val="21"/>
        </w:rPr>
        <w:t> </w:t>
      </w:r>
      <w:r>
        <w:rPr>
          <w:b/>
          <w:sz w:val="21"/>
        </w:rPr>
        <w:t>improve</w:t>
      </w:r>
      <w:r>
        <w:rPr>
          <w:b/>
          <w:spacing w:val="-12"/>
          <w:sz w:val="21"/>
        </w:rPr>
        <w:t> </w:t>
      </w:r>
      <w:r>
        <w:rPr>
          <w:b/>
          <w:sz w:val="21"/>
        </w:rPr>
        <w:t>the</w:t>
      </w:r>
      <w:r>
        <w:rPr>
          <w:b/>
          <w:spacing w:val="-11"/>
          <w:sz w:val="21"/>
        </w:rPr>
        <w:t> </w:t>
      </w:r>
      <w:r>
        <w:rPr>
          <w:b/>
          <w:sz w:val="21"/>
        </w:rPr>
        <w:t>Massachusetts</w:t>
      </w:r>
      <w:r>
        <w:rPr>
          <w:b/>
          <w:spacing w:val="-12"/>
          <w:sz w:val="21"/>
        </w:rPr>
        <w:t> </w:t>
      </w:r>
      <w:r>
        <w:rPr>
          <w:b/>
          <w:sz w:val="21"/>
        </w:rPr>
        <w:t>legal</w:t>
      </w:r>
      <w:r>
        <w:rPr>
          <w:b/>
          <w:spacing w:val="-11"/>
          <w:sz w:val="21"/>
        </w:rPr>
        <w:t> </w:t>
      </w:r>
      <w:r>
        <w:rPr>
          <w:b/>
          <w:sz w:val="21"/>
        </w:rPr>
        <w:t>system,</w:t>
      </w:r>
      <w:r>
        <w:rPr>
          <w:b/>
          <w:spacing w:val="-10"/>
          <w:sz w:val="21"/>
        </w:rPr>
        <w:t> </w:t>
      </w:r>
      <w:r>
        <w:rPr>
          <w:b/>
          <w:sz w:val="21"/>
        </w:rPr>
        <w:t>and</w:t>
      </w:r>
      <w:r>
        <w:rPr>
          <w:b/>
          <w:spacing w:val="-11"/>
          <w:sz w:val="21"/>
        </w:rPr>
        <w:t> </w:t>
      </w:r>
      <w:r>
        <w:rPr>
          <w:b/>
          <w:sz w:val="21"/>
        </w:rPr>
        <w:t>support</w:t>
      </w:r>
      <w:r>
        <w:rPr>
          <w:b/>
          <w:spacing w:val="-11"/>
          <w:sz w:val="21"/>
        </w:rPr>
        <w:t> </w:t>
      </w:r>
      <w:r>
        <w:rPr>
          <w:b/>
          <w:sz w:val="21"/>
        </w:rPr>
        <w:t>diversion</w:t>
      </w:r>
      <w:r>
        <w:rPr>
          <w:b/>
          <w:spacing w:val="-12"/>
          <w:sz w:val="21"/>
        </w:rPr>
        <w:t> </w:t>
      </w:r>
      <w:r>
        <w:rPr>
          <w:b/>
          <w:sz w:val="21"/>
        </w:rPr>
        <w:t>of</w:t>
      </w:r>
      <w:r>
        <w:rPr>
          <w:b/>
          <w:spacing w:val="-11"/>
          <w:sz w:val="21"/>
        </w:rPr>
        <w:t> </w:t>
      </w:r>
      <w:r>
        <w:rPr>
          <w:b/>
          <w:spacing w:val="-2"/>
          <w:sz w:val="21"/>
        </w:rPr>
        <w:t>youth</w:t>
      </w:r>
      <w:r>
        <w:rPr>
          <w:spacing w:val="-2"/>
          <w:sz w:val="21"/>
        </w:rPr>
        <w:t>.</w:t>
      </w:r>
    </w:p>
    <w:p>
      <w:pPr>
        <w:pStyle w:val="BodyText"/>
        <w:spacing w:before="22"/>
        <w:rPr>
          <w:sz w:val="21"/>
        </w:rPr>
      </w:pPr>
    </w:p>
    <w:p>
      <w:pPr>
        <w:spacing w:line="276" w:lineRule="auto" w:before="1"/>
        <w:ind w:left="464" w:right="237" w:firstLine="0"/>
        <w:jc w:val="both"/>
        <w:rPr>
          <w:sz w:val="21"/>
        </w:rPr>
      </w:pPr>
      <w:r>
        <w:rPr>
          <w:sz w:val="21"/>
        </w:rPr>
        <w:t>The Commission supports the expansion of access to record sealing, and the automatic sealing of eligible juvenile and adult records within 90 days, as proposed in an </w:t>
      </w:r>
      <w:r>
        <w:rPr>
          <w:i/>
          <w:sz w:val="21"/>
        </w:rPr>
        <w:t>Act Providing Easier and Greater Access to</w:t>
      </w:r>
      <w:r>
        <w:rPr>
          <w:i/>
          <w:sz w:val="21"/>
        </w:rPr>
        <w:t> Record Sealing </w:t>
      </w:r>
      <w:r>
        <w:rPr>
          <w:sz w:val="21"/>
        </w:rPr>
        <w:t>(S.979/H.1598), as the process of sealing records can be difficult and lengthy given the current backlogs. Furthermore, the Commission supports the expansion of access to judicial diversion for youth who commit low-level offenses in order to better support diverting youth away from the juvenile system, as proposed in </w:t>
      </w:r>
      <w:r>
        <w:rPr>
          <w:i/>
          <w:sz w:val="21"/>
        </w:rPr>
        <w:t>An Act Promoting Diversion of Juveniles to Community Supervision and Services</w:t>
      </w:r>
      <w:r>
        <w:rPr>
          <w:i/>
          <w:sz w:val="21"/>
        </w:rPr>
        <w:t> </w:t>
      </w:r>
      <w:r>
        <w:rPr>
          <w:sz w:val="21"/>
        </w:rPr>
        <w:t>(S.940/H.1495). Furthermore, the Commission recommends that the state eliminate bail administrative fees for youth, and transfers authority over detention decisions from police to bail magistrates.</w:t>
      </w:r>
    </w:p>
    <w:p>
      <w:pPr>
        <w:pStyle w:val="ListParagraph"/>
        <w:numPr>
          <w:ilvl w:val="0"/>
          <w:numId w:val="26"/>
        </w:numPr>
        <w:tabs>
          <w:tab w:pos="461" w:val="left" w:leader="none"/>
          <w:tab w:pos="464" w:val="left" w:leader="none"/>
        </w:tabs>
        <w:spacing w:line="276" w:lineRule="auto" w:before="240" w:after="0"/>
        <w:ind w:left="464" w:right="243" w:hanging="361"/>
        <w:jc w:val="left"/>
        <w:rPr>
          <w:b/>
          <w:sz w:val="21"/>
        </w:rPr>
      </w:pPr>
      <w:r>
        <w:rPr>
          <w:b/>
          <w:sz w:val="21"/>
        </w:rPr>
        <w:t>Actively</w:t>
      </w:r>
      <w:r>
        <w:rPr>
          <w:b/>
          <w:spacing w:val="-12"/>
          <w:sz w:val="21"/>
        </w:rPr>
        <w:t> </w:t>
      </w:r>
      <w:r>
        <w:rPr>
          <w:b/>
          <w:sz w:val="21"/>
        </w:rPr>
        <w:t>involve</w:t>
      </w:r>
      <w:r>
        <w:rPr>
          <w:b/>
          <w:spacing w:val="-12"/>
          <w:sz w:val="21"/>
        </w:rPr>
        <w:t> </w:t>
      </w:r>
      <w:r>
        <w:rPr>
          <w:b/>
          <w:sz w:val="21"/>
        </w:rPr>
        <w:t>justice-involved</w:t>
      </w:r>
      <w:r>
        <w:rPr>
          <w:b/>
          <w:spacing w:val="-12"/>
          <w:sz w:val="21"/>
        </w:rPr>
        <w:t> </w:t>
      </w:r>
      <w:r>
        <w:rPr>
          <w:b/>
          <w:sz w:val="21"/>
        </w:rPr>
        <w:t>youth</w:t>
      </w:r>
      <w:r>
        <w:rPr>
          <w:b/>
          <w:spacing w:val="-12"/>
          <w:sz w:val="21"/>
        </w:rPr>
        <w:t> </w:t>
      </w:r>
      <w:r>
        <w:rPr>
          <w:b/>
          <w:sz w:val="21"/>
        </w:rPr>
        <w:t>in</w:t>
      </w:r>
      <w:r>
        <w:rPr>
          <w:b/>
          <w:spacing w:val="-12"/>
          <w:sz w:val="21"/>
        </w:rPr>
        <w:t> </w:t>
      </w:r>
      <w:r>
        <w:rPr>
          <w:b/>
          <w:sz w:val="21"/>
        </w:rPr>
        <w:t>government</w:t>
      </w:r>
      <w:r>
        <w:rPr>
          <w:b/>
          <w:spacing w:val="-12"/>
          <w:sz w:val="21"/>
        </w:rPr>
        <w:t> </w:t>
      </w:r>
      <w:r>
        <w:rPr>
          <w:b/>
          <w:sz w:val="21"/>
        </w:rPr>
        <w:t>decision</w:t>
      </w:r>
      <w:r>
        <w:rPr>
          <w:b/>
          <w:spacing w:val="-12"/>
          <w:sz w:val="21"/>
        </w:rPr>
        <w:t> </w:t>
      </w:r>
      <w:r>
        <w:rPr>
          <w:b/>
          <w:sz w:val="21"/>
        </w:rPr>
        <w:t>affecting</w:t>
      </w:r>
      <w:r>
        <w:rPr>
          <w:b/>
          <w:spacing w:val="-11"/>
          <w:sz w:val="21"/>
        </w:rPr>
        <w:t> </w:t>
      </w:r>
      <w:r>
        <w:rPr>
          <w:b/>
          <w:sz w:val="21"/>
        </w:rPr>
        <w:t>them,</w:t>
      </w:r>
      <w:r>
        <w:rPr>
          <w:b/>
          <w:spacing w:val="-12"/>
          <w:sz w:val="21"/>
        </w:rPr>
        <w:t> </w:t>
      </w:r>
      <w:r>
        <w:rPr>
          <w:b/>
          <w:sz w:val="21"/>
        </w:rPr>
        <w:t>ensuring</w:t>
      </w:r>
      <w:r>
        <w:rPr>
          <w:b/>
          <w:spacing w:val="-12"/>
          <w:sz w:val="21"/>
        </w:rPr>
        <w:t> </w:t>
      </w:r>
      <w:r>
        <w:rPr>
          <w:b/>
          <w:sz w:val="21"/>
        </w:rPr>
        <w:t>their</w:t>
      </w:r>
      <w:r>
        <w:rPr>
          <w:b/>
          <w:spacing w:val="-12"/>
          <w:sz w:val="21"/>
        </w:rPr>
        <w:t> </w:t>
      </w:r>
      <w:r>
        <w:rPr>
          <w:b/>
          <w:sz w:val="21"/>
        </w:rPr>
        <w:t>experiences directly inform policies and programs designed to serve their needs.</w:t>
      </w:r>
    </w:p>
    <w:p>
      <w:pPr>
        <w:spacing w:line="276" w:lineRule="auto" w:before="239"/>
        <w:ind w:left="464" w:right="239" w:firstLine="0"/>
        <w:jc w:val="both"/>
        <w:rPr>
          <w:sz w:val="21"/>
        </w:rPr>
      </w:pPr>
      <w:r>
        <w:rPr>
          <w:sz w:val="21"/>
        </w:rPr>
        <w:t>The</w:t>
      </w:r>
      <w:r>
        <w:rPr>
          <w:spacing w:val="-9"/>
          <w:sz w:val="21"/>
        </w:rPr>
        <w:t> </w:t>
      </w:r>
      <w:r>
        <w:rPr>
          <w:sz w:val="21"/>
        </w:rPr>
        <w:t>inclusion</w:t>
      </w:r>
      <w:r>
        <w:rPr>
          <w:spacing w:val="-8"/>
          <w:sz w:val="21"/>
        </w:rPr>
        <w:t> </w:t>
      </w:r>
      <w:r>
        <w:rPr>
          <w:sz w:val="21"/>
        </w:rPr>
        <w:t>of</w:t>
      </w:r>
      <w:r>
        <w:rPr>
          <w:spacing w:val="-9"/>
          <w:sz w:val="21"/>
        </w:rPr>
        <w:t> </w:t>
      </w:r>
      <w:r>
        <w:rPr>
          <w:sz w:val="21"/>
        </w:rPr>
        <w:t>young</w:t>
      </w:r>
      <w:r>
        <w:rPr>
          <w:spacing w:val="-9"/>
          <w:sz w:val="21"/>
        </w:rPr>
        <w:t> </w:t>
      </w:r>
      <w:r>
        <w:rPr>
          <w:sz w:val="21"/>
        </w:rPr>
        <w:t>people</w:t>
      </w:r>
      <w:r>
        <w:rPr>
          <w:spacing w:val="-9"/>
          <w:sz w:val="21"/>
        </w:rPr>
        <w:t> </w:t>
      </w:r>
      <w:r>
        <w:rPr>
          <w:sz w:val="21"/>
        </w:rPr>
        <w:t>with</w:t>
      </w:r>
      <w:r>
        <w:rPr>
          <w:spacing w:val="-9"/>
          <w:sz w:val="21"/>
        </w:rPr>
        <w:t> </w:t>
      </w:r>
      <w:r>
        <w:rPr>
          <w:sz w:val="21"/>
        </w:rPr>
        <w:t>lived</w:t>
      </w:r>
      <w:r>
        <w:rPr>
          <w:spacing w:val="-9"/>
          <w:sz w:val="21"/>
        </w:rPr>
        <w:t> </w:t>
      </w:r>
      <w:r>
        <w:rPr>
          <w:sz w:val="21"/>
        </w:rPr>
        <w:t>experience</w:t>
      </w:r>
      <w:r>
        <w:rPr>
          <w:spacing w:val="-9"/>
          <w:sz w:val="21"/>
        </w:rPr>
        <w:t> </w:t>
      </w:r>
      <w:r>
        <w:rPr>
          <w:sz w:val="21"/>
        </w:rPr>
        <w:t>in</w:t>
      </w:r>
      <w:r>
        <w:rPr>
          <w:spacing w:val="-9"/>
          <w:sz w:val="21"/>
        </w:rPr>
        <w:t> </w:t>
      </w:r>
      <w:r>
        <w:rPr>
          <w:sz w:val="21"/>
        </w:rPr>
        <w:t>state</w:t>
      </w:r>
      <w:r>
        <w:rPr>
          <w:spacing w:val="-9"/>
          <w:sz w:val="21"/>
        </w:rPr>
        <w:t> </w:t>
      </w:r>
      <w:r>
        <w:rPr>
          <w:sz w:val="21"/>
        </w:rPr>
        <w:t>systems</w:t>
      </w:r>
      <w:r>
        <w:rPr>
          <w:spacing w:val="-9"/>
          <w:sz w:val="21"/>
        </w:rPr>
        <w:t> </w:t>
      </w:r>
      <w:r>
        <w:rPr>
          <w:sz w:val="21"/>
        </w:rPr>
        <w:t>is</w:t>
      </w:r>
      <w:r>
        <w:rPr>
          <w:spacing w:val="-9"/>
          <w:sz w:val="21"/>
        </w:rPr>
        <w:t> </w:t>
      </w:r>
      <w:r>
        <w:rPr>
          <w:sz w:val="21"/>
        </w:rPr>
        <w:t>critical</w:t>
      </w:r>
      <w:r>
        <w:rPr>
          <w:spacing w:val="-9"/>
          <w:sz w:val="21"/>
        </w:rPr>
        <w:t> </w:t>
      </w:r>
      <w:r>
        <w:rPr>
          <w:sz w:val="21"/>
        </w:rPr>
        <w:t>to</w:t>
      </w:r>
      <w:r>
        <w:rPr>
          <w:spacing w:val="-9"/>
          <w:sz w:val="21"/>
        </w:rPr>
        <w:t> </w:t>
      </w:r>
      <w:r>
        <w:rPr>
          <w:sz w:val="21"/>
        </w:rPr>
        <w:t>ensuring</w:t>
      </w:r>
      <w:r>
        <w:rPr>
          <w:spacing w:val="-9"/>
          <w:sz w:val="21"/>
        </w:rPr>
        <w:t> </w:t>
      </w:r>
      <w:r>
        <w:rPr>
          <w:sz w:val="21"/>
        </w:rPr>
        <w:t>real</w:t>
      </w:r>
      <w:r>
        <w:rPr>
          <w:spacing w:val="-9"/>
          <w:sz w:val="21"/>
        </w:rPr>
        <w:t> </w:t>
      </w:r>
      <w:r>
        <w:rPr>
          <w:sz w:val="21"/>
        </w:rPr>
        <w:t>and</w:t>
      </w:r>
      <w:r>
        <w:rPr>
          <w:spacing w:val="-9"/>
          <w:sz w:val="21"/>
        </w:rPr>
        <w:t> </w:t>
      </w:r>
      <w:r>
        <w:rPr>
          <w:sz w:val="21"/>
        </w:rPr>
        <w:t>effective change in initiatives to improve the criminal legal system. The Commission strongly recommends that policymakers, agencies, and community stakeholders actively work to provide paid, meaningful opportunities</w:t>
      </w:r>
      <w:r>
        <w:rPr>
          <w:spacing w:val="-12"/>
          <w:sz w:val="21"/>
        </w:rPr>
        <w:t> </w:t>
      </w:r>
      <w:r>
        <w:rPr>
          <w:sz w:val="21"/>
        </w:rPr>
        <w:t>for</w:t>
      </w:r>
      <w:r>
        <w:rPr>
          <w:spacing w:val="-12"/>
          <w:sz w:val="21"/>
        </w:rPr>
        <w:t> </w:t>
      </w:r>
      <w:r>
        <w:rPr>
          <w:sz w:val="21"/>
        </w:rPr>
        <w:t>justice-involved</w:t>
      </w:r>
      <w:r>
        <w:rPr>
          <w:spacing w:val="-12"/>
          <w:sz w:val="21"/>
        </w:rPr>
        <w:t> </w:t>
      </w:r>
      <w:r>
        <w:rPr>
          <w:sz w:val="21"/>
        </w:rPr>
        <w:t>youth</w:t>
      </w:r>
      <w:r>
        <w:rPr>
          <w:spacing w:val="-12"/>
          <w:sz w:val="21"/>
        </w:rPr>
        <w:t> </w:t>
      </w:r>
      <w:r>
        <w:rPr>
          <w:sz w:val="21"/>
        </w:rPr>
        <w:t>to</w:t>
      </w:r>
      <w:r>
        <w:rPr>
          <w:spacing w:val="-12"/>
          <w:sz w:val="21"/>
        </w:rPr>
        <w:t> </w:t>
      </w:r>
      <w:r>
        <w:rPr>
          <w:sz w:val="21"/>
        </w:rPr>
        <w:t>participate</w:t>
      </w:r>
      <w:r>
        <w:rPr>
          <w:spacing w:val="-12"/>
          <w:sz w:val="21"/>
        </w:rPr>
        <w:t> </w:t>
      </w:r>
      <w:r>
        <w:rPr>
          <w:sz w:val="21"/>
        </w:rPr>
        <w:t>in</w:t>
      </w:r>
      <w:r>
        <w:rPr>
          <w:spacing w:val="-13"/>
          <w:sz w:val="21"/>
        </w:rPr>
        <w:t> </w:t>
      </w:r>
      <w:r>
        <w:rPr>
          <w:sz w:val="21"/>
        </w:rPr>
        <w:t>new</w:t>
      </w:r>
      <w:r>
        <w:rPr>
          <w:spacing w:val="-12"/>
          <w:sz w:val="21"/>
        </w:rPr>
        <w:t> </w:t>
      </w:r>
      <w:r>
        <w:rPr>
          <w:sz w:val="21"/>
        </w:rPr>
        <w:t>initiatives,</w:t>
      </w:r>
      <w:r>
        <w:rPr>
          <w:spacing w:val="-12"/>
          <w:sz w:val="21"/>
        </w:rPr>
        <w:t> </w:t>
      </w:r>
      <w:r>
        <w:rPr>
          <w:sz w:val="21"/>
        </w:rPr>
        <w:t>programs,</w:t>
      </w:r>
      <w:r>
        <w:rPr>
          <w:spacing w:val="-11"/>
          <w:sz w:val="21"/>
        </w:rPr>
        <w:t> </w:t>
      </w:r>
      <w:r>
        <w:rPr>
          <w:sz w:val="21"/>
        </w:rPr>
        <w:t>and</w:t>
      </w:r>
      <w:r>
        <w:rPr>
          <w:spacing w:val="-12"/>
          <w:sz w:val="21"/>
        </w:rPr>
        <w:t> </w:t>
      </w:r>
      <w:r>
        <w:rPr>
          <w:sz w:val="21"/>
        </w:rPr>
        <w:t>policy</w:t>
      </w:r>
      <w:r>
        <w:rPr>
          <w:spacing w:val="-12"/>
          <w:sz w:val="21"/>
        </w:rPr>
        <w:t> </w:t>
      </w:r>
      <w:r>
        <w:rPr>
          <w:sz w:val="21"/>
        </w:rPr>
        <w:t>development.</w:t>
      </w:r>
    </w:p>
    <w:p>
      <w:pPr>
        <w:pStyle w:val="BodyText"/>
        <w:spacing w:before="142"/>
        <w:rPr>
          <w:sz w:val="21"/>
        </w:rPr>
      </w:pPr>
    </w:p>
    <w:p>
      <w:pPr>
        <w:spacing w:before="0"/>
        <w:ind w:left="464" w:right="0" w:firstLine="0"/>
        <w:jc w:val="both"/>
        <w:rPr>
          <w:sz w:val="28"/>
        </w:rPr>
      </w:pPr>
      <w:r>
        <w:rPr/>
        <mc:AlternateContent>
          <mc:Choice Requires="wps">
            <w:drawing>
              <wp:anchor distT="0" distB="0" distL="0" distR="0" allowOverlap="1" layoutInCell="1" locked="0" behindDoc="1" simplePos="0" relativeHeight="487662080">
                <wp:simplePos x="0" y="0"/>
                <wp:positionH relativeFrom="page">
                  <wp:posOffset>986789</wp:posOffset>
                </wp:positionH>
                <wp:positionV relativeFrom="paragraph">
                  <wp:posOffset>229975</wp:posOffset>
                </wp:positionV>
                <wp:extent cx="5799455" cy="6350"/>
                <wp:effectExtent l="0" t="0" r="0" b="0"/>
                <wp:wrapTopAndBottom/>
                <wp:docPr id="397" name="Graphic 397"/>
                <wp:cNvGraphicFramePr>
                  <a:graphicFrameLocks/>
                </wp:cNvGraphicFramePr>
                <a:graphic>
                  <a:graphicData uri="http://schemas.microsoft.com/office/word/2010/wordprocessingShape">
                    <wps:wsp>
                      <wps:cNvPr id="397" name="Graphic 397"/>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18.108271pt;width:456.601pt;height:.48pt;mso-position-horizontal-relative:page;mso-position-vertical-relative:paragraph;z-index:-15654400;mso-wrap-distance-left:0;mso-wrap-distance-right:0" id="docshape318" filled="true" fillcolor="#4f81bc" stroked="false">
                <v:fill type="solid"/>
                <w10:wrap type="topAndBottom"/>
              </v:rect>
            </w:pict>
          </mc:Fallback>
        </mc:AlternateContent>
      </w:r>
      <w:bookmarkStart w:name="Research on Juvenile Detainment and Inca" w:id="543"/>
      <w:bookmarkEnd w:id="543"/>
      <w:r>
        <w:rPr/>
      </w:r>
      <w:r>
        <w:rPr>
          <w:color w:val="365F91"/>
          <w:sz w:val="28"/>
        </w:rPr>
        <w:t>Research</w:t>
      </w:r>
      <w:r>
        <w:rPr>
          <w:color w:val="365F91"/>
          <w:spacing w:val="-11"/>
          <w:sz w:val="28"/>
        </w:rPr>
        <w:t> </w:t>
      </w:r>
      <w:r>
        <w:rPr>
          <w:color w:val="365F91"/>
          <w:sz w:val="28"/>
        </w:rPr>
        <w:t>on</w:t>
      </w:r>
      <w:r>
        <w:rPr>
          <w:color w:val="365F91"/>
          <w:spacing w:val="-10"/>
          <w:sz w:val="28"/>
        </w:rPr>
        <w:t> </w:t>
      </w:r>
      <w:r>
        <w:rPr>
          <w:color w:val="365F91"/>
          <w:sz w:val="28"/>
        </w:rPr>
        <w:t>Juvenile</w:t>
      </w:r>
      <w:r>
        <w:rPr>
          <w:color w:val="365F91"/>
          <w:spacing w:val="-10"/>
          <w:sz w:val="28"/>
        </w:rPr>
        <w:t> </w:t>
      </w:r>
      <w:r>
        <w:rPr>
          <w:color w:val="365F91"/>
          <w:sz w:val="28"/>
        </w:rPr>
        <w:t>Detainment</w:t>
      </w:r>
      <w:r>
        <w:rPr>
          <w:color w:val="365F91"/>
          <w:spacing w:val="-9"/>
          <w:sz w:val="28"/>
        </w:rPr>
        <w:t> </w:t>
      </w:r>
      <w:r>
        <w:rPr>
          <w:color w:val="365F91"/>
          <w:sz w:val="28"/>
        </w:rPr>
        <w:t>and</w:t>
      </w:r>
      <w:r>
        <w:rPr>
          <w:color w:val="365F91"/>
          <w:spacing w:val="-11"/>
          <w:sz w:val="28"/>
        </w:rPr>
        <w:t> </w:t>
      </w:r>
      <w:r>
        <w:rPr>
          <w:color w:val="365F91"/>
          <w:spacing w:val="-2"/>
          <w:sz w:val="28"/>
        </w:rPr>
        <w:t>Incarceration</w:t>
      </w:r>
    </w:p>
    <w:p>
      <w:pPr>
        <w:spacing w:line="276" w:lineRule="auto" w:before="241"/>
        <w:ind w:left="464" w:right="238" w:firstLine="0"/>
        <w:jc w:val="both"/>
        <w:rPr>
          <w:sz w:val="21"/>
        </w:rPr>
      </w:pPr>
      <w:r>
        <w:rPr>
          <w:sz w:val="21"/>
        </w:rPr>
        <w:t>This annual report highlights the unique challenges faced by LGBTQ youth, which increase their susceptibility to involvement in the juvenile and criminal legal systems. These challenges include homelessness, engagement in the child welfare system, the criminalization of survival sex work, drug use and/or sales, and employment discrimination. Data on the experiences of Massachusetts youth under 25 within the criminal legal systems remain limited. Anecdotal evidence from conversations with youth, providers, and advocates suggests a pressing need for further work, especially for youth over 18.</w:t>
      </w:r>
    </w:p>
    <w:p>
      <w:pPr>
        <w:spacing w:line="276" w:lineRule="auto" w:before="241"/>
        <w:ind w:left="463" w:right="240" w:firstLine="0"/>
        <w:jc w:val="both"/>
        <w:rPr>
          <w:sz w:val="21"/>
        </w:rPr>
      </w:pPr>
      <w:r>
        <w:rPr>
          <w:sz w:val="21"/>
        </w:rPr>
        <w:t>Nationally, lesbian, gay, and bisexual youth are twice as likely to be involved in the juvenile system compared</w:t>
      </w:r>
      <w:r>
        <w:rPr>
          <w:spacing w:val="-5"/>
          <w:sz w:val="21"/>
        </w:rPr>
        <w:t> </w:t>
      </w:r>
      <w:r>
        <w:rPr>
          <w:sz w:val="21"/>
        </w:rPr>
        <w:t>to</w:t>
      </w:r>
      <w:r>
        <w:rPr>
          <w:spacing w:val="-7"/>
          <w:sz w:val="21"/>
        </w:rPr>
        <w:t> </w:t>
      </w:r>
      <w:r>
        <w:rPr>
          <w:sz w:val="21"/>
        </w:rPr>
        <w:t>their</w:t>
      </w:r>
      <w:r>
        <w:rPr>
          <w:spacing w:val="-5"/>
          <w:sz w:val="21"/>
        </w:rPr>
        <w:t> </w:t>
      </w:r>
      <w:r>
        <w:rPr>
          <w:sz w:val="21"/>
        </w:rPr>
        <w:t>heterosexual</w:t>
      </w:r>
      <w:r>
        <w:rPr>
          <w:spacing w:val="-6"/>
          <w:sz w:val="21"/>
        </w:rPr>
        <w:t> </w:t>
      </w:r>
      <w:r>
        <w:rPr>
          <w:sz w:val="21"/>
        </w:rPr>
        <w:t>peers,</w:t>
      </w:r>
      <w:r>
        <w:rPr>
          <w:spacing w:val="-5"/>
          <w:sz w:val="21"/>
        </w:rPr>
        <w:t> </w:t>
      </w:r>
      <w:r>
        <w:rPr>
          <w:sz w:val="21"/>
        </w:rPr>
        <w:t>while</w:t>
      </w:r>
      <w:r>
        <w:rPr>
          <w:spacing w:val="-5"/>
          <w:sz w:val="21"/>
        </w:rPr>
        <w:t> </w:t>
      </w:r>
      <w:r>
        <w:rPr>
          <w:sz w:val="21"/>
        </w:rPr>
        <w:t>transgender</w:t>
      </w:r>
      <w:r>
        <w:rPr>
          <w:spacing w:val="-5"/>
          <w:sz w:val="21"/>
        </w:rPr>
        <w:t> </w:t>
      </w:r>
      <w:r>
        <w:rPr>
          <w:sz w:val="21"/>
        </w:rPr>
        <w:t>and</w:t>
      </w:r>
      <w:r>
        <w:rPr>
          <w:spacing w:val="-5"/>
          <w:sz w:val="21"/>
        </w:rPr>
        <w:t> </w:t>
      </w:r>
      <w:r>
        <w:rPr>
          <w:sz w:val="21"/>
        </w:rPr>
        <w:t>gender-expansive</w:t>
      </w:r>
      <w:r>
        <w:rPr>
          <w:spacing w:val="-5"/>
          <w:sz w:val="21"/>
        </w:rPr>
        <w:t> </w:t>
      </w:r>
      <w:r>
        <w:rPr>
          <w:sz w:val="21"/>
        </w:rPr>
        <w:t>youth</w:t>
      </w:r>
      <w:r>
        <w:rPr>
          <w:spacing w:val="-5"/>
          <w:sz w:val="21"/>
        </w:rPr>
        <w:t> </w:t>
      </w:r>
      <w:r>
        <w:rPr>
          <w:sz w:val="21"/>
        </w:rPr>
        <w:t>are</w:t>
      </w:r>
      <w:r>
        <w:rPr>
          <w:spacing w:val="-7"/>
          <w:sz w:val="21"/>
        </w:rPr>
        <w:t> </w:t>
      </w:r>
      <w:r>
        <w:rPr>
          <w:sz w:val="21"/>
        </w:rPr>
        <w:t>four</w:t>
      </w:r>
      <w:r>
        <w:rPr>
          <w:spacing w:val="-5"/>
          <w:sz w:val="21"/>
        </w:rPr>
        <w:t> </w:t>
      </w:r>
      <w:r>
        <w:rPr>
          <w:sz w:val="21"/>
        </w:rPr>
        <w:t>times</w:t>
      </w:r>
      <w:r>
        <w:rPr>
          <w:spacing w:val="-6"/>
          <w:sz w:val="21"/>
        </w:rPr>
        <w:t> </w:t>
      </w:r>
      <w:r>
        <w:rPr>
          <w:sz w:val="21"/>
        </w:rPr>
        <w:t>more likely to encounter the criminal legal system than cisgender youth.</w:t>
      </w:r>
      <w:r>
        <w:rPr>
          <w:spacing w:val="-6"/>
          <w:sz w:val="21"/>
        </w:rPr>
        <w:t> </w:t>
      </w:r>
      <w:hyperlink w:history="true" w:anchor="_bookmark325">
        <w:r>
          <w:rPr>
            <w:sz w:val="21"/>
            <w:vertAlign w:val="superscript"/>
          </w:rPr>
          <w:t>9</w:t>
        </w:r>
      </w:hyperlink>
      <w:r>
        <w:rPr>
          <w:sz w:val="21"/>
          <w:vertAlign w:val="baseline"/>
        </w:rPr>
        <w:t> Youths of color report higher engagement</w:t>
      </w:r>
      <w:r>
        <w:rPr>
          <w:spacing w:val="-4"/>
          <w:sz w:val="21"/>
          <w:vertAlign w:val="baseline"/>
        </w:rPr>
        <w:t> </w:t>
      </w:r>
      <w:r>
        <w:rPr>
          <w:sz w:val="21"/>
          <w:vertAlign w:val="baseline"/>
        </w:rPr>
        <w:t>with</w:t>
      </w:r>
      <w:r>
        <w:rPr>
          <w:spacing w:val="-3"/>
          <w:sz w:val="21"/>
          <w:vertAlign w:val="baseline"/>
        </w:rPr>
        <w:t> </w:t>
      </w:r>
      <w:r>
        <w:rPr>
          <w:sz w:val="21"/>
          <w:vertAlign w:val="baseline"/>
        </w:rPr>
        <w:t>the</w:t>
      </w:r>
      <w:r>
        <w:rPr>
          <w:spacing w:val="-4"/>
          <w:sz w:val="21"/>
          <w:vertAlign w:val="baseline"/>
        </w:rPr>
        <w:t> </w:t>
      </w:r>
      <w:r>
        <w:rPr>
          <w:sz w:val="21"/>
          <w:vertAlign w:val="baseline"/>
        </w:rPr>
        <w:t>legal</w:t>
      </w:r>
      <w:r>
        <w:rPr>
          <w:spacing w:val="-4"/>
          <w:sz w:val="21"/>
          <w:vertAlign w:val="baseline"/>
        </w:rPr>
        <w:t> </w:t>
      </w:r>
      <w:r>
        <w:rPr>
          <w:sz w:val="21"/>
          <w:vertAlign w:val="baseline"/>
        </w:rPr>
        <w:t>system</w:t>
      </w:r>
      <w:r>
        <w:rPr>
          <w:spacing w:val="-3"/>
          <w:sz w:val="21"/>
          <w:vertAlign w:val="baseline"/>
        </w:rPr>
        <w:t> </w:t>
      </w:r>
      <w:r>
        <w:rPr>
          <w:sz w:val="21"/>
          <w:vertAlign w:val="baseline"/>
        </w:rPr>
        <w:t>and</w:t>
      </w:r>
      <w:r>
        <w:rPr>
          <w:spacing w:val="-3"/>
          <w:sz w:val="21"/>
          <w:vertAlign w:val="baseline"/>
        </w:rPr>
        <w:t> </w:t>
      </w:r>
      <w:r>
        <w:rPr>
          <w:sz w:val="21"/>
          <w:vertAlign w:val="baseline"/>
        </w:rPr>
        <w:t>are</w:t>
      </w:r>
      <w:r>
        <w:rPr>
          <w:spacing w:val="-3"/>
          <w:sz w:val="21"/>
          <w:vertAlign w:val="baseline"/>
        </w:rPr>
        <w:t> </w:t>
      </w:r>
      <w:r>
        <w:rPr>
          <w:sz w:val="21"/>
          <w:vertAlign w:val="baseline"/>
        </w:rPr>
        <w:t>more</w:t>
      </w:r>
      <w:r>
        <w:rPr>
          <w:spacing w:val="-3"/>
          <w:sz w:val="21"/>
          <w:vertAlign w:val="baseline"/>
        </w:rPr>
        <w:t> </w:t>
      </w:r>
      <w:r>
        <w:rPr>
          <w:sz w:val="21"/>
          <w:vertAlign w:val="baseline"/>
        </w:rPr>
        <w:t>frequently</w:t>
      </w:r>
      <w:r>
        <w:rPr>
          <w:spacing w:val="-3"/>
          <w:sz w:val="21"/>
          <w:vertAlign w:val="baseline"/>
        </w:rPr>
        <w:t> </w:t>
      </w:r>
      <w:r>
        <w:rPr>
          <w:sz w:val="21"/>
          <w:vertAlign w:val="baseline"/>
        </w:rPr>
        <w:t>victims</w:t>
      </w:r>
      <w:r>
        <w:rPr>
          <w:spacing w:val="-4"/>
          <w:sz w:val="21"/>
          <w:vertAlign w:val="baseline"/>
        </w:rPr>
        <w:t> </w:t>
      </w:r>
      <w:r>
        <w:rPr>
          <w:sz w:val="21"/>
          <w:vertAlign w:val="baseline"/>
        </w:rPr>
        <w:t>of</w:t>
      </w:r>
      <w:r>
        <w:rPr>
          <w:spacing w:val="-4"/>
          <w:sz w:val="21"/>
          <w:vertAlign w:val="baseline"/>
        </w:rPr>
        <w:t> </w:t>
      </w:r>
      <w:r>
        <w:rPr>
          <w:sz w:val="21"/>
          <w:vertAlign w:val="baseline"/>
        </w:rPr>
        <w:t>police</w:t>
      </w:r>
      <w:r>
        <w:rPr>
          <w:spacing w:val="-3"/>
          <w:sz w:val="21"/>
          <w:vertAlign w:val="baseline"/>
        </w:rPr>
        <w:t> </w:t>
      </w:r>
      <w:r>
        <w:rPr>
          <w:sz w:val="21"/>
          <w:vertAlign w:val="baseline"/>
        </w:rPr>
        <w:t>violence.</w:t>
      </w:r>
      <w:hyperlink w:history="true" w:anchor="_bookmark326">
        <w:r>
          <w:rPr>
            <w:sz w:val="21"/>
            <w:vertAlign w:val="superscript"/>
          </w:rPr>
          <w:t>10</w:t>
        </w:r>
      </w:hyperlink>
      <w:r>
        <w:rPr>
          <w:spacing w:val="-2"/>
          <w:sz w:val="21"/>
          <w:vertAlign w:val="baseline"/>
        </w:rPr>
        <w:t> </w:t>
      </w:r>
      <w:r>
        <w:rPr>
          <w:sz w:val="21"/>
          <w:vertAlign w:val="baseline"/>
        </w:rPr>
        <w:t>Research</w:t>
      </w:r>
      <w:r>
        <w:rPr>
          <w:spacing w:val="-3"/>
          <w:sz w:val="21"/>
          <w:vertAlign w:val="baseline"/>
        </w:rPr>
        <w:t> </w:t>
      </w:r>
      <w:r>
        <w:rPr>
          <w:sz w:val="21"/>
          <w:vertAlign w:val="baseline"/>
        </w:rPr>
        <w:t>indicates that Black youth are four times more likely to be incarcerated, Native/Indigenous youth are nearly three times as likely, and Latinx/Latine youth are 1.5 times more likely than White youth.</w:t>
      </w:r>
      <w:hyperlink w:history="true" w:anchor="_bookmark327">
        <w:r>
          <w:rPr>
            <w:sz w:val="21"/>
            <w:vertAlign w:val="superscript"/>
          </w:rPr>
          <w:t>11</w:t>
        </w:r>
      </w:hyperlink>
      <w:r>
        <w:rPr>
          <w:spacing w:val="-1"/>
          <w:sz w:val="21"/>
          <w:vertAlign w:val="baseline"/>
        </w:rPr>
        <w:t> </w:t>
      </w:r>
      <w:r>
        <w:rPr>
          <w:sz w:val="21"/>
          <w:vertAlign w:val="baseline"/>
        </w:rPr>
        <w:t>It is estimated that 85-90% of LGBTQ youth in the juvenile legal system are youths of color.</w:t>
      </w:r>
      <w:r>
        <w:rPr>
          <w:spacing w:val="-12"/>
          <w:sz w:val="21"/>
          <w:vertAlign w:val="baseline"/>
        </w:rPr>
        <w:t> </w:t>
      </w:r>
      <w:hyperlink w:history="true" w:anchor="_bookmark328">
        <w:r>
          <w:rPr>
            <w:sz w:val="21"/>
            <w:vertAlign w:val="superscript"/>
          </w:rPr>
          <w:t>12</w:t>
        </w:r>
      </w:hyperlink>
      <w:r>
        <w:rPr>
          <w:sz w:val="21"/>
          <w:vertAlign w:val="baseline"/>
        </w:rPr>
        <w:t> Transgender and gender- nonconforming individuals face particularly high rates of incarceration, with transgender people of color</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39" w:hanging="1"/>
        <w:jc w:val="both"/>
        <w:rPr>
          <w:sz w:val="21"/>
        </w:rPr>
      </w:pPr>
      <w:r>
        <w:rPr>
          <w:sz w:val="21"/>
        </w:rPr>
        <w:t>experiencing past incarceration rates four times higher than other LGBTQ people.</w:t>
      </w:r>
      <w:hyperlink w:history="true" w:anchor="_bookmark329">
        <w:r>
          <w:rPr>
            <w:sz w:val="21"/>
            <w:vertAlign w:val="superscript"/>
          </w:rPr>
          <w:t>13</w:t>
        </w:r>
      </w:hyperlink>
      <w:r>
        <w:rPr>
          <w:spacing w:val="-2"/>
          <w:sz w:val="21"/>
          <w:vertAlign w:val="baseline"/>
        </w:rPr>
        <w:t> </w:t>
      </w:r>
      <w:r>
        <w:rPr>
          <w:sz w:val="21"/>
          <w:vertAlign w:val="baseline"/>
        </w:rPr>
        <w:t>Up to 40% of persons assigned female at birth in the juvenile legal system identify as lesbian, bisexual, queer, and/or gender- nonconforming.</w:t>
      </w:r>
      <w:hyperlink w:history="true" w:anchor="_bookmark330">
        <w:r>
          <w:rPr>
            <w:sz w:val="21"/>
            <w:vertAlign w:val="superscript"/>
          </w:rPr>
          <w:t>14</w:t>
        </w:r>
      </w:hyperlink>
      <w:r>
        <w:rPr>
          <w:spacing w:val="-2"/>
          <w:sz w:val="21"/>
          <w:vertAlign w:val="baseline"/>
        </w:rPr>
        <w:t> </w:t>
      </w:r>
      <w:r>
        <w:rPr>
          <w:sz w:val="21"/>
          <w:vertAlign w:val="baseline"/>
        </w:rPr>
        <w:t>Additionally,</w:t>
      </w:r>
      <w:r>
        <w:rPr>
          <w:spacing w:val="-10"/>
          <w:sz w:val="21"/>
          <w:vertAlign w:val="baseline"/>
        </w:rPr>
        <w:t> </w:t>
      </w:r>
      <w:r>
        <w:rPr>
          <w:sz w:val="21"/>
          <w:vertAlign w:val="baseline"/>
        </w:rPr>
        <w:t>5%</w:t>
      </w:r>
      <w:r>
        <w:rPr>
          <w:spacing w:val="-10"/>
          <w:sz w:val="21"/>
          <w:vertAlign w:val="baseline"/>
        </w:rPr>
        <w:t> </w:t>
      </w:r>
      <w:r>
        <w:rPr>
          <w:sz w:val="21"/>
          <w:vertAlign w:val="baseline"/>
        </w:rPr>
        <w:t>of</w:t>
      </w:r>
      <w:r>
        <w:rPr>
          <w:spacing w:val="-11"/>
          <w:sz w:val="21"/>
          <w:vertAlign w:val="baseline"/>
        </w:rPr>
        <w:t> </w:t>
      </w:r>
      <w:r>
        <w:rPr>
          <w:sz w:val="21"/>
          <w:vertAlign w:val="baseline"/>
        </w:rPr>
        <w:t>LGBTQ</w:t>
      </w:r>
      <w:r>
        <w:rPr>
          <w:spacing w:val="-10"/>
          <w:sz w:val="21"/>
          <w:vertAlign w:val="baseline"/>
        </w:rPr>
        <w:t> </w:t>
      </w:r>
      <w:r>
        <w:rPr>
          <w:sz w:val="21"/>
          <w:vertAlign w:val="baseline"/>
        </w:rPr>
        <w:t>youth</w:t>
      </w:r>
      <w:r>
        <w:rPr>
          <w:spacing w:val="-10"/>
          <w:sz w:val="21"/>
          <w:vertAlign w:val="baseline"/>
        </w:rPr>
        <w:t> </w:t>
      </w:r>
      <w:r>
        <w:rPr>
          <w:sz w:val="21"/>
          <w:vertAlign w:val="baseline"/>
        </w:rPr>
        <w:t>report</w:t>
      </w:r>
      <w:r>
        <w:rPr>
          <w:spacing w:val="-10"/>
          <w:sz w:val="21"/>
          <w:vertAlign w:val="baseline"/>
        </w:rPr>
        <w:t> </w:t>
      </w:r>
      <w:r>
        <w:rPr>
          <w:sz w:val="21"/>
          <w:vertAlign w:val="baseline"/>
        </w:rPr>
        <w:t>having</w:t>
      </w:r>
      <w:r>
        <w:rPr>
          <w:spacing w:val="-11"/>
          <w:sz w:val="21"/>
          <w:vertAlign w:val="baseline"/>
        </w:rPr>
        <w:t> </w:t>
      </w:r>
      <w:r>
        <w:rPr>
          <w:sz w:val="21"/>
          <w:vertAlign w:val="baseline"/>
        </w:rPr>
        <w:t>been</w:t>
      </w:r>
      <w:r>
        <w:rPr>
          <w:spacing w:val="-11"/>
          <w:sz w:val="21"/>
          <w:vertAlign w:val="baseline"/>
        </w:rPr>
        <w:t> </w:t>
      </w:r>
      <w:r>
        <w:rPr>
          <w:sz w:val="21"/>
          <w:vertAlign w:val="baseline"/>
        </w:rPr>
        <w:t>incarcerated,</w:t>
      </w:r>
      <w:r>
        <w:rPr>
          <w:spacing w:val="-11"/>
          <w:sz w:val="21"/>
          <w:vertAlign w:val="baseline"/>
        </w:rPr>
        <w:t> </w:t>
      </w:r>
      <w:r>
        <w:rPr>
          <w:sz w:val="21"/>
          <w:vertAlign w:val="baseline"/>
        </w:rPr>
        <w:t>and</w:t>
      </w:r>
      <w:r>
        <w:rPr>
          <w:spacing w:val="-10"/>
          <w:sz w:val="21"/>
          <w:vertAlign w:val="baseline"/>
        </w:rPr>
        <w:t> </w:t>
      </w:r>
      <w:r>
        <w:rPr>
          <w:sz w:val="21"/>
          <w:vertAlign w:val="baseline"/>
        </w:rPr>
        <w:t>73%</w:t>
      </w:r>
      <w:r>
        <w:rPr>
          <w:spacing w:val="-10"/>
          <w:sz w:val="21"/>
          <w:vertAlign w:val="baseline"/>
        </w:rPr>
        <w:t> </w:t>
      </w:r>
      <w:r>
        <w:rPr>
          <w:sz w:val="21"/>
          <w:vertAlign w:val="baseline"/>
        </w:rPr>
        <w:t>report</w:t>
      </w:r>
      <w:r>
        <w:rPr>
          <w:spacing w:val="-10"/>
          <w:sz w:val="21"/>
          <w:vertAlign w:val="baseline"/>
        </w:rPr>
        <w:t> </w:t>
      </w:r>
      <w:r>
        <w:rPr>
          <w:sz w:val="21"/>
          <w:vertAlign w:val="baseline"/>
        </w:rPr>
        <w:t>having had personal interactions with law enforcement in the previous five years.</w:t>
      </w:r>
      <w:hyperlink w:history="true" w:anchor="_bookmark331">
        <w:r>
          <w:rPr>
            <w:sz w:val="21"/>
            <w:vertAlign w:val="superscript"/>
          </w:rPr>
          <w:t>15</w:t>
        </w:r>
      </w:hyperlink>
      <w:r>
        <w:rPr>
          <w:sz w:val="21"/>
          <w:vertAlign w:val="baseline"/>
        </w:rPr>
        <w:t> The Department of Youth Services (DYS) has committed to providing a more detailed breakdown of race/ethnicity and SOGI data in its next annual report. In 2018, the Department of Youth Services released a report on recidivism that included</w:t>
      </w:r>
      <w:r>
        <w:rPr>
          <w:spacing w:val="-5"/>
          <w:sz w:val="21"/>
          <w:vertAlign w:val="baseline"/>
        </w:rPr>
        <w:t> </w:t>
      </w:r>
      <w:r>
        <w:rPr>
          <w:sz w:val="21"/>
          <w:vertAlign w:val="baseline"/>
        </w:rPr>
        <w:t>a</w:t>
      </w:r>
      <w:r>
        <w:rPr>
          <w:spacing w:val="-5"/>
          <w:sz w:val="21"/>
          <w:vertAlign w:val="baseline"/>
        </w:rPr>
        <w:t> </w:t>
      </w:r>
      <w:r>
        <w:rPr>
          <w:sz w:val="21"/>
          <w:vertAlign w:val="baseline"/>
        </w:rPr>
        <w:t>demographic</w:t>
      </w:r>
      <w:r>
        <w:rPr>
          <w:spacing w:val="-5"/>
          <w:sz w:val="21"/>
          <w:vertAlign w:val="baseline"/>
        </w:rPr>
        <w:t> </w:t>
      </w:r>
      <w:r>
        <w:rPr>
          <w:sz w:val="21"/>
          <w:vertAlign w:val="baseline"/>
        </w:rPr>
        <w:t>breakdown</w:t>
      </w:r>
      <w:r>
        <w:rPr>
          <w:spacing w:val="-5"/>
          <w:sz w:val="21"/>
          <w:vertAlign w:val="baseline"/>
        </w:rPr>
        <w:t> </w:t>
      </w:r>
      <w:r>
        <w:rPr>
          <w:sz w:val="21"/>
          <w:vertAlign w:val="baseline"/>
        </w:rPr>
        <w:t>for</w:t>
      </w:r>
      <w:r>
        <w:rPr>
          <w:spacing w:val="-5"/>
          <w:sz w:val="21"/>
          <w:vertAlign w:val="baseline"/>
        </w:rPr>
        <w:t> </w:t>
      </w:r>
      <w:r>
        <w:rPr>
          <w:sz w:val="21"/>
          <w:vertAlign w:val="baseline"/>
        </w:rPr>
        <w:t>LGBTQ</w:t>
      </w:r>
      <w:r>
        <w:rPr>
          <w:spacing w:val="-5"/>
          <w:sz w:val="21"/>
          <w:vertAlign w:val="baseline"/>
        </w:rPr>
        <w:t> </w:t>
      </w:r>
      <w:r>
        <w:rPr>
          <w:sz w:val="21"/>
          <w:vertAlign w:val="baseline"/>
        </w:rPr>
        <w:t>youth,</w:t>
      </w:r>
      <w:r>
        <w:rPr>
          <w:spacing w:val="-6"/>
          <w:sz w:val="21"/>
          <w:vertAlign w:val="baseline"/>
        </w:rPr>
        <w:t> </w:t>
      </w:r>
      <w:r>
        <w:rPr>
          <w:sz w:val="21"/>
          <w:vertAlign w:val="baseline"/>
        </w:rPr>
        <w:t>and</w:t>
      </w:r>
      <w:r>
        <w:rPr>
          <w:spacing w:val="-5"/>
          <w:sz w:val="21"/>
          <w:vertAlign w:val="baseline"/>
        </w:rPr>
        <w:t> </w:t>
      </w:r>
      <w:r>
        <w:rPr>
          <w:sz w:val="21"/>
          <w:vertAlign w:val="baseline"/>
        </w:rPr>
        <w:t>unfortunately</w:t>
      </w:r>
      <w:r>
        <w:rPr>
          <w:spacing w:val="-6"/>
          <w:sz w:val="21"/>
          <w:vertAlign w:val="baseline"/>
        </w:rPr>
        <w:t> </w:t>
      </w:r>
      <w:r>
        <w:rPr>
          <w:sz w:val="21"/>
          <w:vertAlign w:val="baseline"/>
        </w:rPr>
        <w:t>finding</w:t>
      </w:r>
      <w:r>
        <w:rPr>
          <w:spacing w:val="-6"/>
          <w:sz w:val="21"/>
          <w:vertAlign w:val="baseline"/>
        </w:rPr>
        <w:t> </w:t>
      </w:r>
      <w:r>
        <w:rPr>
          <w:sz w:val="21"/>
          <w:vertAlign w:val="baseline"/>
        </w:rPr>
        <w:t>that</w:t>
      </w:r>
      <w:r>
        <w:rPr>
          <w:spacing w:val="-5"/>
          <w:sz w:val="21"/>
          <w:vertAlign w:val="baseline"/>
        </w:rPr>
        <w:t> </w:t>
      </w:r>
      <w:r>
        <w:rPr>
          <w:sz w:val="21"/>
          <w:vertAlign w:val="baseline"/>
        </w:rPr>
        <w:t>youth</w:t>
      </w:r>
      <w:r>
        <w:rPr>
          <w:spacing w:val="-5"/>
          <w:sz w:val="21"/>
          <w:vertAlign w:val="baseline"/>
        </w:rPr>
        <w:t> </w:t>
      </w:r>
      <w:r>
        <w:rPr>
          <w:sz w:val="21"/>
          <w:vertAlign w:val="baseline"/>
        </w:rPr>
        <w:t>who</w:t>
      </w:r>
      <w:r>
        <w:rPr>
          <w:spacing w:val="-6"/>
          <w:sz w:val="21"/>
          <w:vertAlign w:val="baseline"/>
        </w:rPr>
        <w:t> </w:t>
      </w:r>
      <w:r>
        <w:rPr>
          <w:sz w:val="21"/>
          <w:vertAlign w:val="baseline"/>
        </w:rPr>
        <w:t>identify</w:t>
      </w:r>
      <w:r>
        <w:rPr>
          <w:spacing w:val="-6"/>
          <w:sz w:val="21"/>
          <w:vertAlign w:val="baseline"/>
        </w:rPr>
        <w:t> </w:t>
      </w:r>
      <w:r>
        <w:rPr>
          <w:sz w:val="21"/>
          <w:vertAlign w:val="baseline"/>
        </w:rPr>
        <w:t>as LGBTQ+ had a higher recidivism rate of 27.8% compared to a recidivism rate of 19.9% for youth who did not identify as LGBTQ+.</w:t>
      </w:r>
      <w:hyperlink w:history="true" w:anchor="_bookmark332">
        <w:r>
          <w:rPr>
            <w:sz w:val="21"/>
            <w:vertAlign w:val="superscript"/>
          </w:rPr>
          <w:t>16</w:t>
        </w:r>
      </w:hyperlink>
    </w:p>
    <w:p>
      <w:pPr>
        <w:spacing w:line="276" w:lineRule="auto" w:before="240"/>
        <w:ind w:left="463" w:right="240" w:firstLine="0"/>
        <w:jc w:val="both"/>
        <w:rPr>
          <w:sz w:val="21"/>
        </w:rPr>
      </w:pPr>
      <w:r>
        <w:rPr>
          <w:sz w:val="21"/>
        </w:rPr>
        <w:t>Over two-thirds of justice-involved youth have histories of interpersonal trauma, and most face discrimination based on race, ethnicity, gender identity, sexual orientation, and disability status.</w:t>
      </w:r>
      <w:hyperlink w:history="true" w:anchor="_bookmark333">
        <w:r>
          <w:rPr>
            <w:sz w:val="21"/>
            <w:vertAlign w:val="superscript"/>
          </w:rPr>
          <w:t>17</w:t>
        </w:r>
      </w:hyperlink>
      <w:r>
        <w:rPr>
          <w:spacing w:val="-2"/>
          <w:sz w:val="21"/>
          <w:vertAlign w:val="baseline"/>
        </w:rPr>
        <w:t> </w:t>
      </w:r>
      <w:r>
        <w:rPr>
          <w:sz w:val="21"/>
          <w:vertAlign w:val="baseline"/>
        </w:rPr>
        <w:t>Factors such as homelessness, overrepresentation in the foster care system, and the criminalization of sex work further increase their risk of incarceration. Given these complexities, there's a critical need for more research on the impact of sexual orientation, gender identity, race, and other social identities on incarceration and detention rates.</w:t>
      </w:r>
    </w:p>
    <w:p>
      <w:pPr>
        <w:spacing w:before="239"/>
        <w:ind w:left="464" w:right="0" w:firstLine="0"/>
        <w:jc w:val="both"/>
        <w:rPr>
          <w:sz w:val="28"/>
        </w:rPr>
      </w:pPr>
      <w:bookmarkStart w:name="Pathways to Involvement in the Juvenile " w:id="544"/>
      <w:bookmarkEnd w:id="544"/>
      <w:r>
        <w:rPr/>
      </w:r>
      <w:r>
        <w:rPr>
          <w:color w:val="365F91"/>
          <w:sz w:val="28"/>
        </w:rPr>
        <w:t>Pathways</w:t>
      </w:r>
      <w:r>
        <w:rPr>
          <w:color w:val="365F91"/>
          <w:spacing w:val="-9"/>
          <w:sz w:val="28"/>
        </w:rPr>
        <w:t> </w:t>
      </w:r>
      <w:r>
        <w:rPr>
          <w:color w:val="365F91"/>
          <w:sz w:val="28"/>
        </w:rPr>
        <w:t>to</w:t>
      </w:r>
      <w:r>
        <w:rPr>
          <w:color w:val="365F91"/>
          <w:spacing w:val="-8"/>
          <w:sz w:val="28"/>
        </w:rPr>
        <w:t> </w:t>
      </w:r>
      <w:r>
        <w:rPr>
          <w:color w:val="365F91"/>
          <w:sz w:val="28"/>
        </w:rPr>
        <w:t>Involvement</w:t>
      </w:r>
      <w:r>
        <w:rPr>
          <w:color w:val="365F91"/>
          <w:spacing w:val="-9"/>
          <w:sz w:val="28"/>
        </w:rPr>
        <w:t> </w:t>
      </w:r>
      <w:r>
        <w:rPr>
          <w:color w:val="365F91"/>
          <w:sz w:val="28"/>
        </w:rPr>
        <w:t>in</w:t>
      </w:r>
      <w:r>
        <w:rPr>
          <w:color w:val="365F91"/>
          <w:spacing w:val="-9"/>
          <w:sz w:val="28"/>
        </w:rPr>
        <w:t> </w:t>
      </w:r>
      <w:r>
        <w:rPr>
          <w:color w:val="365F91"/>
          <w:sz w:val="28"/>
        </w:rPr>
        <w:t>the</w:t>
      </w:r>
      <w:r>
        <w:rPr>
          <w:color w:val="365F91"/>
          <w:spacing w:val="-9"/>
          <w:sz w:val="28"/>
        </w:rPr>
        <w:t> </w:t>
      </w:r>
      <w:r>
        <w:rPr>
          <w:color w:val="365F91"/>
          <w:sz w:val="28"/>
        </w:rPr>
        <w:t>Juvenile</w:t>
      </w:r>
      <w:r>
        <w:rPr>
          <w:color w:val="365F91"/>
          <w:spacing w:val="-8"/>
          <w:sz w:val="28"/>
        </w:rPr>
        <w:t> </w:t>
      </w:r>
      <w:r>
        <w:rPr>
          <w:color w:val="365F91"/>
          <w:sz w:val="28"/>
        </w:rPr>
        <w:t>and</w:t>
      </w:r>
      <w:r>
        <w:rPr>
          <w:color w:val="365F91"/>
          <w:spacing w:val="-10"/>
          <w:sz w:val="28"/>
        </w:rPr>
        <w:t> </w:t>
      </w:r>
      <w:r>
        <w:rPr>
          <w:color w:val="365F91"/>
          <w:sz w:val="28"/>
        </w:rPr>
        <w:t>Criminal</w:t>
      </w:r>
      <w:r>
        <w:rPr>
          <w:color w:val="365F91"/>
          <w:spacing w:val="-8"/>
          <w:sz w:val="28"/>
        </w:rPr>
        <w:t> </w:t>
      </w:r>
      <w:r>
        <w:rPr>
          <w:color w:val="365F91"/>
          <w:sz w:val="28"/>
        </w:rPr>
        <w:t>Legal</w:t>
      </w:r>
      <w:r>
        <w:rPr>
          <w:color w:val="365F91"/>
          <w:spacing w:val="-9"/>
          <w:sz w:val="28"/>
        </w:rPr>
        <w:t> </w:t>
      </w:r>
      <w:r>
        <w:rPr>
          <w:color w:val="365F91"/>
          <w:spacing w:val="-2"/>
          <w:sz w:val="28"/>
        </w:rPr>
        <w:t>Systems</w:t>
      </w:r>
    </w:p>
    <w:p>
      <w:pPr>
        <w:spacing w:line="276" w:lineRule="auto" w:before="241"/>
        <w:ind w:left="463" w:right="238" w:firstLine="0"/>
        <w:jc w:val="both"/>
        <w:rPr>
          <w:sz w:val="21"/>
        </w:rPr>
      </w:pPr>
      <w:r>
        <w:rPr>
          <w:sz w:val="21"/>
        </w:rPr>
        <w:t>LGBTQ youth face systemic challenges and societal discrimination that significantly contribute to their overrepresentation</w:t>
      </w:r>
      <w:r>
        <w:rPr>
          <w:spacing w:val="-1"/>
          <w:sz w:val="21"/>
        </w:rPr>
        <w:t> </w:t>
      </w:r>
      <w:r>
        <w:rPr>
          <w:sz w:val="21"/>
        </w:rPr>
        <w:t>in</w:t>
      </w:r>
      <w:r>
        <w:rPr>
          <w:spacing w:val="-2"/>
          <w:sz w:val="21"/>
        </w:rPr>
        <w:t> </w:t>
      </w:r>
      <w:r>
        <w:rPr>
          <w:sz w:val="21"/>
        </w:rPr>
        <w:t>the</w:t>
      </w:r>
      <w:r>
        <w:rPr>
          <w:spacing w:val="-1"/>
          <w:sz w:val="21"/>
        </w:rPr>
        <w:t> </w:t>
      </w:r>
      <w:r>
        <w:rPr>
          <w:sz w:val="21"/>
        </w:rPr>
        <w:t>juvenile</w:t>
      </w:r>
      <w:r>
        <w:rPr>
          <w:spacing w:val="-1"/>
          <w:sz w:val="21"/>
        </w:rPr>
        <w:t> </w:t>
      </w:r>
      <w:r>
        <w:rPr>
          <w:sz w:val="21"/>
        </w:rPr>
        <w:t>and</w:t>
      </w:r>
      <w:r>
        <w:rPr>
          <w:spacing w:val="-1"/>
          <w:sz w:val="21"/>
        </w:rPr>
        <w:t> </w:t>
      </w:r>
      <w:r>
        <w:rPr>
          <w:sz w:val="21"/>
        </w:rPr>
        <w:t>criminal</w:t>
      </w:r>
      <w:r>
        <w:rPr>
          <w:spacing w:val="-1"/>
          <w:sz w:val="21"/>
        </w:rPr>
        <w:t> </w:t>
      </w:r>
      <w:r>
        <w:rPr>
          <w:sz w:val="21"/>
        </w:rPr>
        <w:t>legal</w:t>
      </w:r>
      <w:r>
        <w:rPr>
          <w:spacing w:val="-1"/>
          <w:sz w:val="21"/>
        </w:rPr>
        <w:t> </w:t>
      </w:r>
      <w:r>
        <w:rPr>
          <w:sz w:val="21"/>
        </w:rPr>
        <w:t>systems.</w:t>
      </w:r>
      <w:r>
        <w:rPr>
          <w:spacing w:val="-1"/>
          <w:sz w:val="21"/>
        </w:rPr>
        <w:t> </w:t>
      </w:r>
      <w:r>
        <w:rPr>
          <w:sz w:val="21"/>
        </w:rPr>
        <w:t>These</w:t>
      </w:r>
      <w:r>
        <w:rPr>
          <w:spacing w:val="-1"/>
          <w:sz w:val="21"/>
        </w:rPr>
        <w:t> </w:t>
      </w:r>
      <w:r>
        <w:rPr>
          <w:sz w:val="21"/>
        </w:rPr>
        <w:t>young</w:t>
      </w:r>
      <w:r>
        <w:rPr>
          <w:spacing w:val="-1"/>
          <w:sz w:val="21"/>
        </w:rPr>
        <w:t> </w:t>
      </w:r>
      <w:r>
        <w:rPr>
          <w:sz w:val="21"/>
        </w:rPr>
        <w:t>individuals</w:t>
      </w:r>
      <w:r>
        <w:rPr>
          <w:spacing w:val="-1"/>
          <w:sz w:val="21"/>
        </w:rPr>
        <w:t> </w:t>
      </w:r>
      <w:r>
        <w:rPr>
          <w:sz w:val="21"/>
        </w:rPr>
        <w:t>are</w:t>
      </w:r>
      <w:r>
        <w:rPr>
          <w:spacing w:val="-1"/>
          <w:sz w:val="21"/>
        </w:rPr>
        <w:t> </w:t>
      </w:r>
      <w:r>
        <w:rPr>
          <w:sz w:val="21"/>
        </w:rPr>
        <w:t>often</w:t>
      </w:r>
      <w:r>
        <w:rPr>
          <w:spacing w:val="-2"/>
          <w:sz w:val="21"/>
        </w:rPr>
        <w:t> </w:t>
      </w:r>
      <w:r>
        <w:rPr>
          <w:sz w:val="21"/>
        </w:rPr>
        <w:t>subjected to harassment, bullying, and violence, which can lead them to engage in criminalized compensatory behaviors and survival economies, including sex work and selling drugs. Moreover, discriminatory policies and policing strategies disproportionately target LGBTQ youth, particularly those of color and those experiencing homelessness.</w:t>
      </w:r>
      <w:r>
        <w:rPr>
          <w:spacing w:val="-12"/>
          <w:sz w:val="21"/>
        </w:rPr>
        <w:t> </w:t>
      </w:r>
      <w:hyperlink w:history="true" w:anchor="_bookmark334">
        <w:r>
          <w:rPr>
            <w:sz w:val="21"/>
            <w:vertAlign w:val="superscript"/>
          </w:rPr>
          <w:t>18</w:t>
        </w:r>
      </w:hyperlink>
      <w:r>
        <w:rPr>
          <w:sz w:val="21"/>
          <w:vertAlign w:val="baseline"/>
        </w:rPr>
        <w:t> Such interactions with the criminal legal system during adolescence—a critical</w:t>
      </w:r>
      <w:r>
        <w:rPr>
          <w:spacing w:val="-12"/>
          <w:sz w:val="21"/>
          <w:vertAlign w:val="baseline"/>
        </w:rPr>
        <w:t> </w:t>
      </w:r>
      <w:r>
        <w:rPr>
          <w:sz w:val="21"/>
          <w:vertAlign w:val="baseline"/>
        </w:rPr>
        <w:t>period</w:t>
      </w:r>
      <w:r>
        <w:rPr>
          <w:spacing w:val="-12"/>
          <w:sz w:val="21"/>
          <w:vertAlign w:val="baseline"/>
        </w:rPr>
        <w:t> </w:t>
      </w:r>
      <w:r>
        <w:rPr>
          <w:sz w:val="21"/>
          <w:vertAlign w:val="baseline"/>
        </w:rPr>
        <w:t>of</w:t>
      </w:r>
      <w:r>
        <w:rPr>
          <w:spacing w:val="-12"/>
          <w:sz w:val="21"/>
          <w:vertAlign w:val="baseline"/>
        </w:rPr>
        <w:t> </w:t>
      </w:r>
      <w:r>
        <w:rPr>
          <w:sz w:val="21"/>
          <w:vertAlign w:val="baseline"/>
        </w:rPr>
        <w:t>brain</w:t>
      </w:r>
      <w:r>
        <w:rPr>
          <w:spacing w:val="-12"/>
          <w:sz w:val="21"/>
          <w:vertAlign w:val="baseline"/>
        </w:rPr>
        <w:t> </w:t>
      </w:r>
      <w:r>
        <w:rPr>
          <w:sz w:val="21"/>
          <w:vertAlign w:val="baseline"/>
        </w:rPr>
        <w:t>development—can</w:t>
      </w:r>
      <w:r>
        <w:rPr>
          <w:spacing w:val="-12"/>
          <w:sz w:val="21"/>
          <w:vertAlign w:val="baseline"/>
        </w:rPr>
        <w:t> </w:t>
      </w:r>
      <w:r>
        <w:rPr>
          <w:sz w:val="21"/>
          <w:vertAlign w:val="baseline"/>
        </w:rPr>
        <w:t>have</w:t>
      </w:r>
      <w:r>
        <w:rPr>
          <w:spacing w:val="-12"/>
          <w:sz w:val="21"/>
          <w:vertAlign w:val="baseline"/>
        </w:rPr>
        <w:t> </w:t>
      </w:r>
      <w:r>
        <w:rPr>
          <w:sz w:val="21"/>
          <w:vertAlign w:val="baseline"/>
        </w:rPr>
        <w:t>lifelong</w:t>
      </w:r>
      <w:r>
        <w:rPr>
          <w:spacing w:val="-12"/>
          <w:sz w:val="21"/>
          <w:vertAlign w:val="baseline"/>
        </w:rPr>
        <w:t> </w:t>
      </w:r>
      <w:r>
        <w:rPr>
          <w:sz w:val="21"/>
          <w:vertAlign w:val="baseline"/>
        </w:rPr>
        <w:t>repercussions.</w:t>
      </w:r>
      <w:hyperlink w:history="true" w:anchor="_bookmark335">
        <w:r>
          <w:rPr>
            <w:sz w:val="21"/>
            <w:vertAlign w:val="superscript"/>
          </w:rPr>
          <w:t>19</w:t>
        </w:r>
      </w:hyperlink>
      <w:r>
        <w:rPr>
          <w:spacing w:val="-11"/>
          <w:sz w:val="21"/>
          <w:vertAlign w:val="baseline"/>
        </w:rPr>
        <w:t> </w:t>
      </w:r>
      <w:r>
        <w:rPr>
          <w:sz w:val="21"/>
          <w:vertAlign w:val="baseline"/>
        </w:rPr>
        <w:t>There</w:t>
      </w:r>
      <w:r>
        <w:rPr>
          <w:spacing w:val="-12"/>
          <w:sz w:val="21"/>
          <w:vertAlign w:val="baseline"/>
        </w:rPr>
        <w:t> </w:t>
      </w:r>
      <w:r>
        <w:rPr>
          <w:sz w:val="21"/>
          <w:vertAlign w:val="baseline"/>
        </w:rPr>
        <w:t>is</w:t>
      </w:r>
      <w:r>
        <w:rPr>
          <w:spacing w:val="-12"/>
          <w:sz w:val="21"/>
          <w:vertAlign w:val="baseline"/>
        </w:rPr>
        <w:t> </w:t>
      </w:r>
      <w:r>
        <w:rPr>
          <w:sz w:val="21"/>
          <w:vertAlign w:val="baseline"/>
        </w:rPr>
        <w:t>an</w:t>
      </w:r>
      <w:r>
        <w:rPr>
          <w:spacing w:val="-12"/>
          <w:sz w:val="21"/>
          <w:vertAlign w:val="baseline"/>
        </w:rPr>
        <w:t> </w:t>
      </w:r>
      <w:r>
        <w:rPr>
          <w:sz w:val="21"/>
          <w:vertAlign w:val="baseline"/>
        </w:rPr>
        <w:t>urgent</w:t>
      </w:r>
      <w:r>
        <w:rPr>
          <w:spacing w:val="-12"/>
          <w:sz w:val="21"/>
          <w:vertAlign w:val="baseline"/>
        </w:rPr>
        <w:t> </w:t>
      </w:r>
      <w:r>
        <w:rPr>
          <w:sz w:val="21"/>
          <w:vertAlign w:val="baseline"/>
        </w:rPr>
        <w:t>need</w:t>
      </w:r>
      <w:r>
        <w:rPr>
          <w:spacing w:val="-12"/>
          <w:sz w:val="21"/>
          <w:vertAlign w:val="baseline"/>
        </w:rPr>
        <w:t> </w:t>
      </w:r>
      <w:r>
        <w:rPr>
          <w:sz w:val="21"/>
          <w:vertAlign w:val="baseline"/>
        </w:rPr>
        <w:t>for</w:t>
      </w:r>
      <w:r>
        <w:rPr>
          <w:spacing w:val="-12"/>
          <w:sz w:val="21"/>
          <w:vertAlign w:val="baseline"/>
        </w:rPr>
        <w:t> </w:t>
      </w:r>
      <w:r>
        <w:rPr>
          <w:sz w:val="21"/>
          <w:vertAlign w:val="baseline"/>
        </w:rPr>
        <w:t>reforms that</w:t>
      </w:r>
      <w:r>
        <w:rPr>
          <w:spacing w:val="-7"/>
          <w:sz w:val="21"/>
          <w:vertAlign w:val="baseline"/>
        </w:rPr>
        <w:t> </w:t>
      </w:r>
      <w:r>
        <w:rPr>
          <w:sz w:val="21"/>
          <w:vertAlign w:val="baseline"/>
        </w:rPr>
        <w:t>address</w:t>
      </w:r>
      <w:r>
        <w:rPr>
          <w:spacing w:val="-7"/>
          <w:sz w:val="21"/>
          <w:vertAlign w:val="baseline"/>
        </w:rPr>
        <w:t> </w:t>
      </w:r>
      <w:r>
        <w:rPr>
          <w:sz w:val="21"/>
          <w:vertAlign w:val="baseline"/>
        </w:rPr>
        <w:t>the</w:t>
      </w:r>
      <w:r>
        <w:rPr>
          <w:spacing w:val="-7"/>
          <w:sz w:val="21"/>
          <w:vertAlign w:val="baseline"/>
        </w:rPr>
        <w:t> </w:t>
      </w:r>
      <w:r>
        <w:rPr>
          <w:sz w:val="21"/>
          <w:vertAlign w:val="baseline"/>
        </w:rPr>
        <w:t>root</w:t>
      </w:r>
      <w:r>
        <w:rPr>
          <w:spacing w:val="-6"/>
          <w:sz w:val="21"/>
          <w:vertAlign w:val="baseline"/>
        </w:rPr>
        <w:t> </w:t>
      </w:r>
      <w:r>
        <w:rPr>
          <w:sz w:val="21"/>
          <w:vertAlign w:val="baseline"/>
        </w:rPr>
        <w:t>causes</w:t>
      </w:r>
      <w:r>
        <w:rPr>
          <w:spacing w:val="-7"/>
          <w:sz w:val="21"/>
          <w:vertAlign w:val="baseline"/>
        </w:rPr>
        <w:t> </w:t>
      </w:r>
      <w:r>
        <w:rPr>
          <w:sz w:val="21"/>
          <w:vertAlign w:val="baseline"/>
        </w:rPr>
        <w:t>of</w:t>
      </w:r>
      <w:r>
        <w:rPr>
          <w:spacing w:val="-7"/>
          <w:sz w:val="21"/>
          <w:vertAlign w:val="baseline"/>
        </w:rPr>
        <w:t> </w:t>
      </w:r>
      <w:r>
        <w:rPr>
          <w:sz w:val="21"/>
          <w:vertAlign w:val="baseline"/>
        </w:rPr>
        <w:t>discrimination</w:t>
      </w:r>
      <w:r>
        <w:rPr>
          <w:spacing w:val="-7"/>
          <w:sz w:val="21"/>
          <w:vertAlign w:val="baseline"/>
        </w:rPr>
        <w:t> </w:t>
      </w:r>
      <w:r>
        <w:rPr>
          <w:sz w:val="21"/>
          <w:vertAlign w:val="baseline"/>
        </w:rPr>
        <w:t>and</w:t>
      </w:r>
      <w:r>
        <w:rPr>
          <w:spacing w:val="-8"/>
          <w:sz w:val="21"/>
          <w:vertAlign w:val="baseline"/>
        </w:rPr>
        <w:t> </w:t>
      </w:r>
      <w:r>
        <w:rPr>
          <w:sz w:val="21"/>
          <w:vertAlign w:val="baseline"/>
        </w:rPr>
        <w:t>stigmatization</w:t>
      </w:r>
      <w:r>
        <w:rPr>
          <w:spacing w:val="-7"/>
          <w:sz w:val="21"/>
          <w:vertAlign w:val="baseline"/>
        </w:rPr>
        <w:t> </w:t>
      </w:r>
      <w:r>
        <w:rPr>
          <w:sz w:val="21"/>
          <w:vertAlign w:val="baseline"/>
        </w:rPr>
        <w:t>against</w:t>
      </w:r>
      <w:r>
        <w:rPr>
          <w:spacing w:val="-6"/>
          <w:sz w:val="21"/>
          <w:vertAlign w:val="baseline"/>
        </w:rPr>
        <w:t> </w:t>
      </w:r>
      <w:r>
        <w:rPr>
          <w:sz w:val="21"/>
          <w:vertAlign w:val="baseline"/>
        </w:rPr>
        <w:t>LGBTQ</w:t>
      </w:r>
      <w:r>
        <w:rPr>
          <w:spacing w:val="-6"/>
          <w:sz w:val="21"/>
          <w:vertAlign w:val="baseline"/>
        </w:rPr>
        <w:t> </w:t>
      </w:r>
      <w:r>
        <w:rPr>
          <w:sz w:val="21"/>
          <w:vertAlign w:val="baseline"/>
        </w:rPr>
        <w:t>youth,</w:t>
      </w:r>
      <w:r>
        <w:rPr>
          <w:spacing w:val="-7"/>
          <w:sz w:val="21"/>
          <w:vertAlign w:val="baseline"/>
        </w:rPr>
        <w:t> </w:t>
      </w:r>
      <w:r>
        <w:rPr>
          <w:sz w:val="21"/>
          <w:vertAlign w:val="baseline"/>
        </w:rPr>
        <w:t>ensuring</w:t>
      </w:r>
      <w:r>
        <w:rPr>
          <w:spacing w:val="-8"/>
          <w:sz w:val="21"/>
          <w:vertAlign w:val="baseline"/>
        </w:rPr>
        <w:t> </w:t>
      </w:r>
      <w:r>
        <w:rPr>
          <w:sz w:val="21"/>
          <w:vertAlign w:val="baseline"/>
        </w:rPr>
        <w:t>disruption in pathways to involvement in the juvenile and criminal legal systems.</w:t>
      </w:r>
    </w:p>
    <w:p>
      <w:pPr>
        <w:spacing w:line="276" w:lineRule="auto" w:before="240"/>
        <w:ind w:left="464" w:right="239" w:firstLine="0"/>
        <w:jc w:val="both"/>
        <w:rPr>
          <w:sz w:val="21"/>
        </w:rPr>
      </w:pPr>
      <w:r>
        <w:rPr>
          <w:sz w:val="21"/>
        </w:rPr>
        <w:t>LGBTQ youth face a disproportionate risk of entering the juvenile and criminal legal systems, stemming from</w:t>
      </w:r>
      <w:r>
        <w:rPr>
          <w:spacing w:val="-6"/>
          <w:sz w:val="21"/>
        </w:rPr>
        <w:t> </w:t>
      </w:r>
      <w:r>
        <w:rPr>
          <w:sz w:val="21"/>
        </w:rPr>
        <w:t>systemic</w:t>
      </w:r>
      <w:r>
        <w:rPr>
          <w:spacing w:val="-6"/>
          <w:sz w:val="21"/>
        </w:rPr>
        <w:t> </w:t>
      </w:r>
      <w:r>
        <w:rPr>
          <w:sz w:val="21"/>
        </w:rPr>
        <w:t>issues</w:t>
      </w:r>
      <w:r>
        <w:rPr>
          <w:spacing w:val="-7"/>
          <w:sz w:val="21"/>
        </w:rPr>
        <w:t> </w:t>
      </w:r>
      <w:r>
        <w:rPr>
          <w:sz w:val="21"/>
        </w:rPr>
        <w:t>such</w:t>
      </w:r>
      <w:r>
        <w:rPr>
          <w:spacing w:val="-6"/>
          <w:sz w:val="21"/>
        </w:rPr>
        <w:t> </w:t>
      </w:r>
      <w:r>
        <w:rPr>
          <w:sz w:val="21"/>
        </w:rPr>
        <w:t>as</w:t>
      </w:r>
      <w:r>
        <w:rPr>
          <w:spacing w:val="-7"/>
          <w:sz w:val="21"/>
        </w:rPr>
        <w:t> </w:t>
      </w:r>
      <w:r>
        <w:rPr>
          <w:sz w:val="21"/>
        </w:rPr>
        <w:t>poverty,</w:t>
      </w:r>
      <w:r>
        <w:rPr>
          <w:spacing w:val="-7"/>
          <w:sz w:val="21"/>
        </w:rPr>
        <w:t> </w:t>
      </w:r>
      <w:r>
        <w:rPr>
          <w:sz w:val="21"/>
        </w:rPr>
        <w:t>homelessness,</w:t>
      </w:r>
      <w:r>
        <w:rPr>
          <w:spacing w:val="-6"/>
          <w:sz w:val="21"/>
        </w:rPr>
        <w:t> </w:t>
      </w:r>
      <w:r>
        <w:rPr>
          <w:sz w:val="21"/>
        </w:rPr>
        <w:t>and</w:t>
      </w:r>
      <w:r>
        <w:rPr>
          <w:spacing w:val="-6"/>
          <w:sz w:val="21"/>
        </w:rPr>
        <w:t> </w:t>
      </w:r>
      <w:r>
        <w:rPr>
          <w:sz w:val="21"/>
        </w:rPr>
        <w:t>engagement</w:t>
      </w:r>
      <w:r>
        <w:rPr>
          <w:spacing w:val="-6"/>
          <w:sz w:val="21"/>
        </w:rPr>
        <w:t> </w:t>
      </w:r>
      <w:r>
        <w:rPr>
          <w:sz w:val="21"/>
        </w:rPr>
        <w:t>in</w:t>
      </w:r>
      <w:r>
        <w:rPr>
          <w:spacing w:val="-6"/>
          <w:sz w:val="21"/>
        </w:rPr>
        <w:t> </w:t>
      </w:r>
      <w:r>
        <w:rPr>
          <w:sz w:val="21"/>
        </w:rPr>
        <w:t>compensatory</w:t>
      </w:r>
      <w:r>
        <w:rPr>
          <w:spacing w:val="-7"/>
          <w:sz w:val="21"/>
        </w:rPr>
        <w:t> </w:t>
      </w:r>
      <w:r>
        <w:rPr>
          <w:sz w:val="21"/>
        </w:rPr>
        <w:t>behaviors</w:t>
      </w:r>
      <w:r>
        <w:rPr>
          <w:spacing w:val="-7"/>
          <w:sz w:val="21"/>
        </w:rPr>
        <w:t> </w:t>
      </w:r>
      <w:r>
        <w:rPr>
          <w:sz w:val="21"/>
        </w:rPr>
        <w:t>like</w:t>
      </w:r>
      <w:r>
        <w:rPr>
          <w:spacing w:val="-6"/>
          <w:sz w:val="21"/>
        </w:rPr>
        <w:t> </w:t>
      </w:r>
      <w:r>
        <w:rPr>
          <w:sz w:val="21"/>
        </w:rPr>
        <w:t>drug use.</w:t>
      </w:r>
      <w:r>
        <w:rPr>
          <w:spacing w:val="-3"/>
          <w:sz w:val="21"/>
        </w:rPr>
        <w:t> </w:t>
      </w:r>
      <w:r>
        <w:rPr>
          <w:sz w:val="21"/>
        </w:rPr>
        <w:t>This</w:t>
      </w:r>
      <w:r>
        <w:rPr>
          <w:spacing w:val="-4"/>
          <w:sz w:val="21"/>
        </w:rPr>
        <w:t> </w:t>
      </w:r>
      <w:r>
        <w:rPr>
          <w:sz w:val="21"/>
        </w:rPr>
        <w:t>vulnerability</w:t>
      </w:r>
      <w:r>
        <w:rPr>
          <w:spacing w:val="-3"/>
          <w:sz w:val="21"/>
        </w:rPr>
        <w:t> </w:t>
      </w:r>
      <w:r>
        <w:rPr>
          <w:sz w:val="21"/>
        </w:rPr>
        <w:t>is</w:t>
      </w:r>
      <w:r>
        <w:rPr>
          <w:spacing w:val="-4"/>
          <w:sz w:val="21"/>
        </w:rPr>
        <w:t> </w:t>
      </w:r>
      <w:r>
        <w:rPr>
          <w:sz w:val="21"/>
        </w:rPr>
        <w:t>exacerbated</w:t>
      </w:r>
      <w:r>
        <w:rPr>
          <w:spacing w:val="-3"/>
          <w:sz w:val="21"/>
        </w:rPr>
        <w:t> </w:t>
      </w:r>
      <w:r>
        <w:rPr>
          <w:sz w:val="21"/>
        </w:rPr>
        <w:t>by</w:t>
      </w:r>
      <w:r>
        <w:rPr>
          <w:spacing w:val="-3"/>
          <w:sz w:val="21"/>
        </w:rPr>
        <w:t> </w:t>
      </w:r>
      <w:r>
        <w:rPr>
          <w:sz w:val="21"/>
        </w:rPr>
        <w:t>the</w:t>
      </w:r>
      <w:r>
        <w:rPr>
          <w:spacing w:val="-3"/>
          <w:sz w:val="21"/>
        </w:rPr>
        <w:t> </w:t>
      </w:r>
      <w:r>
        <w:rPr>
          <w:sz w:val="21"/>
        </w:rPr>
        <w:t>higher</w:t>
      </w:r>
      <w:r>
        <w:rPr>
          <w:spacing w:val="-3"/>
          <w:sz w:val="21"/>
        </w:rPr>
        <w:t> </w:t>
      </w:r>
      <w:r>
        <w:rPr>
          <w:sz w:val="21"/>
        </w:rPr>
        <w:t>rates</w:t>
      </w:r>
      <w:r>
        <w:rPr>
          <w:spacing w:val="-4"/>
          <w:sz w:val="21"/>
        </w:rPr>
        <w:t> </w:t>
      </w:r>
      <w:r>
        <w:rPr>
          <w:sz w:val="21"/>
        </w:rPr>
        <w:t>of</w:t>
      </w:r>
      <w:r>
        <w:rPr>
          <w:spacing w:val="-4"/>
          <w:sz w:val="21"/>
        </w:rPr>
        <w:t> </w:t>
      </w:r>
      <w:r>
        <w:rPr>
          <w:sz w:val="21"/>
        </w:rPr>
        <w:t>poverty</w:t>
      </w:r>
      <w:r>
        <w:rPr>
          <w:spacing w:val="-3"/>
          <w:sz w:val="21"/>
        </w:rPr>
        <w:t> </w:t>
      </w:r>
      <w:r>
        <w:rPr>
          <w:sz w:val="21"/>
        </w:rPr>
        <w:t>among</w:t>
      </w:r>
      <w:r>
        <w:rPr>
          <w:spacing w:val="-4"/>
          <w:sz w:val="21"/>
        </w:rPr>
        <w:t> </w:t>
      </w:r>
      <w:r>
        <w:rPr>
          <w:sz w:val="21"/>
        </w:rPr>
        <w:t>LGBTQ</w:t>
      </w:r>
      <w:r>
        <w:rPr>
          <w:spacing w:val="-3"/>
          <w:sz w:val="21"/>
        </w:rPr>
        <w:t> </w:t>
      </w:r>
      <w:r>
        <w:rPr>
          <w:sz w:val="21"/>
        </w:rPr>
        <w:t>individuals</w:t>
      </w:r>
      <w:r>
        <w:rPr>
          <w:spacing w:val="-4"/>
          <w:sz w:val="21"/>
        </w:rPr>
        <w:t> </w:t>
      </w:r>
      <w:r>
        <w:rPr>
          <w:sz w:val="21"/>
        </w:rPr>
        <w:t>compared</w:t>
      </w:r>
      <w:r>
        <w:rPr>
          <w:spacing w:val="-3"/>
          <w:sz w:val="21"/>
        </w:rPr>
        <w:t> </w:t>
      </w:r>
      <w:r>
        <w:rPr>
          <w:sz w:val="21"/>
        </w:rPr>
        <w:t>to the general population, with transgender youth experiencing even higher rates of poverty than other LGB populations.</w:t>
      </w:r>
      <w:hyperlink w:history="true" w:anchor="_bookmark336">
        <w:r>
          <w:rPr>
            <w:sz w:val="21"/>
            <w:vertAlign w:val="superscript"/>
          </w:rPr>
          <w:t>20</w:t>
        </w:r>
      </w:hyperlink>
      <w:r>
        <w:rPr>
          <w:spacing w:val="-2"/>
          <w:sz w:val="21"/>
          <w:vertAlign w:val="baseline"/>
        </w:rPr>
        <w:t> </w:t>
      </w:r>
      <w:r>
        <w:rPr>
          <w:sz w:val="21"/>
          <w:vertAlign w:val="baseline"/>
        </w:rPr>
        <w:t>The struggles with poverty and joblessness often push LGBTQ people towards criminalized economies, such as sex work or drug sales, as a means of survival.</w:t>
      </w:r>
      <w:hyperlink w:history="true" w:anchor="_bookmark337">
        <w:r>
          <w:rPr>
            <w:sz w:val="21"/>
            <w:vertAlign w:val="superscript"/>
          </w:rPr>
          <w:t>21</w:t>
        </w:r>
      </w:hyperlink>
      <w:r>
        <w:rPr>
          <w:sz w:val="21"/>
          <w:vertAlign w:val="baseline"/>
        </w:rPr>
        <w:t> These actions, while attempts to navigate through dire circumstances, frequently lead to incarceration or other forms of criminal legal system involvement.</w:t>
      </w:r>
    </w:p>
    <w:p>
      <w:pPr>
        <w:spacing w:line="276" w:lineRule="auto" w:before="240"/>
        <w:ind w:left="464" w:right="240" w:firstLine="0"/>
        <w:jc w:val="both"/>
        <w:rPr>
          <w:sz w:val="21"/>
        </w:rPr>
      </w:pPr>
      <w:r>
        <w:rPr>
          <w:sz w:val="21"/>
        </w:rPr>
        <w:t>The intersection of homelessness and the criminal legal system further complicates the lives of LGBTQ youth.</w:t>
      </w:r>
      <w:r>
        <w:rPr>
          <w:spacing w:val="15"/>
          <w:sz w:val="21"/>
        </w:rPr>
        <w:t> </w:t>
      </w:r>
      <w:r>
        <w:rPr>
          <w:sz w:val="21"/>
        </w:rPr>
        <w:t>Being</w:t>
      </w:r>
      <w:r>
        <w:rPr>
          <w:spacing w:val="16"/>
          <w:sz w:val="21"/>
        </w:rPr>
        <w:t> </w:t>
      </w:r>
      <w:r>
        <w:rPr>
          <w:sz w:val="21"/>
        </w:rPr>
        <w:t>unhoused</w:t>
      </w:r>
      <w:r>
        <w:rPr>
          <w:spacing w:val="15"/>
          <w:sz w:val="21"/>
        </w:rPr>
        <w:t> </w:t>
      </w:r>
      <w:r>
        <w:rPr>
          <w:sz w:val="21"/>
        </w:rPr>
        <w:t>or</w:t>
      </w:r>
      <w:r>
        <w:rPr>
          <w:spacing w:val="16"/>
          <w:sz w:val="21"/>
        </w:rPr>
        <w:t> </w:t>
      </w:r>
      <w:r>
        <w:rPr>
          <w:sz w:val="21"/>
        </w:rPr>
        <w:t>under-housed</w:t>
      </w:r>
      <w:r>
        <w:rPr>
          <w:spacing w:val="16"/>
          <w:sz w:val="21"/>
        </w:rPr>
        <w:t> </w:t>
      </w:r>
      <w:r>
        <w:rPr>
          <w:sz w:val="21"/>
        </w:rPr>
        <w:t>not</w:t>
      </w:r>
      <w:r>
        <w:rPr>
          <w:spacing w:val="15"/>
          <w:sz w:val="21"/>
        </w:rPr>
        <w:t> </w:t>
      </w:r>
      <w:r>
        <w:rPr>
          <w:sz w:val="21"/>
        </w:rPr>
        <w:t>only</w:t>
      </w:r>
      <w:r>
        <w:rPr>
          <w:spacing w:val="15"/>
          <w:sz w:val="21"/>
        </w:rPr>
        <w:t> </w:t>
      </w:r>
      <w:r>
        <w:rPr>
          <w:sz w:val="21"/>
        </w:rPr>
        <w:t>exposes</w:t>
      </w:r>
      <w:r>
        <w:rPr>
          <w:spacing w:val="14"/>
          <w:sz w:val="21"/>
        </w:rPr>
        <w:t> </w:t>
      </w:r>
      <w:r>
        <w:rPr>
          <w:sz w:val="21"/>
        </w:rPr>
        <w:t>LGBTQ</w:t>
      </w:r>
      <w:r>
        <w:rPr>
          <w:spacing w:val="16"/>
          <w:sz w:val="21"/>
        </w:rPr>
        <w:t> </w:t>
      </w:r>
      <w:r>
        <w:rPr>
          <w:sz w:val="21"/>
        </w:rPr>
        <w:t>youth</w:t>
      </w:r>
      <w:r>
        <w:rPr>
          <w:spacing w:val="15"/>
          <w:sz w:val="21"/>
        </w:rPr>
        <w:t> </w:t>
      </w:r>
      <w:r>
        <w:rPr>
          <w:sz w:val="21"/>
        </w:rPr>
        <w:t>to</w:t>
      </w:r>
      <w:r>
        <w:rPr>
          <w:spacing w:val="14"/>
          <w:sz w:val="21"/>
        </w:rPr>
        <w:t> </w:t>
      </w:r>
      <w:r>
        <w:rPr>
          <w:sz w:val="21"/>
        </w:rPr>
        <w:t>the</w:t>
      </w:r>
      <w:r>
        <w:rPr>
          <w:spacing w:val="15"/>
          <w:sz w:val="21"/>
        </w:rPr>
        <w:t> </w:t>
      </w:r>
      <w:r>
        <w:rPr>
          <w:sz w:val="21"/>
        </w:rPr>
        <w:t>elements</w:t>
      </w:r>
      <w:r>
        <w:rPr>
          <w:spacing w:val="15"/>
          <w:sz w:val="21"/>
        </w:rPr>
        <w:t> </w:t>
      </w:r>
      <w:r>
        <w:rPr>
          <w:sz w:val="21"/>
        </w:rPr>
        <w:t>but</w:t>
      </w:r>
      <w:r>
        <w:rPr>
          <w:spacing w:val="15"/>
          <w:sz w:val="21"/>
        </w:rPr>
        <w:t> </w:t>
      </w:r>
      <w:r>
        <w:rPr>
          <w:sz w:val="21"/>
        </w:rPr>
        <w:t>also</w:t>
      </w:r>
      <w:r>
        <w:rPr>
          <w:spacing w:val="15"/>
          <w:sz w:val="21"/>
        </w:rPr>
        <w:t> </w:t>
      </w:r>
      <w:r>
        <w:rPr>
          <w:sz w:val="21"/>
        </w:rPr>
        <w:t>to</w:t>
      </w:r>
      <w:r>
        <w:rPr>
          <w:spacing w:val="16"/>
          <w:sz w:val="21"/>
        </w:rPr>
        <w:t> </w:t>
      </w:r>
      <w:r>
        <w:rPr>
          <w:spacing w:val="-5"/>
          <w:sz w:val="21"/>
        </w:rPr>
        <w:t>the</w:t>
      </w:r>
    </w:p>
    <w:p>
      <w:pPr>
        <w:spacing w:after="0" w:line="276" w:lineRule="auto"/>
        <w:jc w:val="both"/>
        <w:rPr>
          <w:sz w:val="21"/>
        </w:rPr>
        <w:sectPr>
          <w:pgSz w:w="12240" w:h="15840"/>
          <w:pgMar w:header="763" w:footer="1041" w:top="1360" w:bottom="1240" w:left="1120" w:right="1340"/>
        </w:sectPr>
      </w:pPr>
    </w:p>
    <w:p>
      <w:pPr>
        <w:spacing w:line="276" w:lineRule="auto" w:before="65"/>
        <w:ind w:left="464" w:right="5016" w:firstLine="0"/>
        <w:jc w:val="both"/>
        <w:rPr>
          <w:sz w:val="21"/>
        </w:rPr>
      </w:pPr>
      <w:r>
        <w:rPr/>
        <w:drawing>
          <wp:anchor distT="0" distB="0" distL="0" distR="0" allowOverlap="1" layoutInCell="1" locked="0" behindDoc="0" simplePos="0" relativeHeight="15803392">
            <wp:simplePos x="0" y="0"/>
            <wp:positionH relativeFrom="page">
              <wp:posOffset>3910434</wp:posOffset>
            </wp:positionH>
            <wp:positionV relativeFrom="paragraph">
              <wp:posOffset>82504</wp:posOffset>
            </wp:positionV>
            <wp:extent cx="2879861" cy="1312854"/>
            <wp:effectExtent l="0" t="0" r="0" b="0"/>
            <wp:wrapNone/>
            <wp:docPr id="398" name="Image 398" descr="A group of people with text  Description automatically generated "/>
            <wp:cNvGraphicFramePr>
              <a:graphicFrameLocks/>
            </wp:cNvGraphicFramePr>
            <a:graphic>
              <a:graphicData uri="http://schemas.openxmlformats.org/drawingml/2006/picture">
                <pic:pic>
                  <pic:nvPicPr>
                    <pic:cNvPr id="398" name="Image 398" descr="A group of people with text  Description automatically generated "/>
                    <pic:cNvPicPr/>
                  </pic:nvPicPr>
                  <pic:blipFill>
                    <a:blip r:embed="rId473" cstate="print"/>
                    <a:stretch>
                      <a:fillRect/>
                    </a:stretch>
                  </pic:blipFill>
                  <pic:spPr>
                    <a:xfrm>
                      <a:off x="0" y="0"/>
                      <a:ext cx="2879861" cy="1312854"/>
                    </a:xfrm>
                    <a:prstGeom prst="rect">
                      <a:avLst/>
                    </a:prstGeom>
                  </pic:spPr>
                </pic:pic>
              </a:graphicData>
            </a:graphic>
          </wp:anchor>
        </w:drawing>
      </w:r>
      <w:r>
        <w:rPr>
          <w:sz w:val="21"/>
        </w:rPr>
        <w:t>punitive mechanisms of law enforcement, including arrests for loitering or sleeping in public spaces.</w:t>
      </w:r>
      <w:hyperlink w:history="true" w:anchor="_bookmark338">
        <w:r>
          <w:rPr>
            <w:sz w:val="21"/>
            <w:vertAlign w:val="superscript"/>
          </w:rPr>
          <w:t>22</w:t>
        </w:r>
      </w:hyperlink>
      <w:r>
        <w:rPr>
          <w:spacing w:val="-5"/>
          <w:sz w:val="21"/>
          <w:vertAlign w:val="baseline"/>
        </w:rPr>
        <w:t> </w:t>
      </w:r>
      <w:r>
        <w:rPr>
          <w:sz w:val="21"/>
          <w:vertAlign w:val="baseline"/>
        </w:rPr>
        <w:t>In</w:t>
      </w:r>
      <w:r>
        <w:rPr>
          <w:spacing w:val="-6"/>
          <w:sz w:val="21"/>
          <w:vertAlign w:val="baseline"/>
        </w:rPr>
        <w:t> </w:t>
      </w:r>
      <w:r>
        <w:rPr>
          <w:sz w:val="21"/>
          <w:vertAlign w:val="baseline"/>
        </w:rPr>
        <w:t>Massachusetts,</w:t>
      </w:r>
      <w:r>
        <w:rPr>
          <w:spacing w:val="-6"/>
          <w:sz w:val="21"/>
          <w:vertAlign w:val="baseline"/>
        </w:rPr>
        <w:t> </w:t>
      </w:r>
      <w:r>
        <w:rPr>
          <w:sz w:val="21"/>
          <w:vertAlign w:val="baseline"/>
        </w:rPr>
        <w:t>one</w:t>
      </w:r>
      <w:r>
        <w:rPr>
          <w:spacing w:val="-6"/>
          <w:sz w:val="21"/>
          <w:vertAlign w:val="baseline"/>
        </w:rPr>
        <w:t> </w:t>
      </w:r>
      <w:r>
        <w:rPr>
          <w:sz w:val="21"/>
          <w:vertAlign w:val="baseline"/>
        </w:rPr>
        <w:t>out</w:t>
      </w:r>
      <w:r>
        <w:rPr>
          <w:spacing w:val="-7"/>
          <w:sz w:val="21"/>
          <w:vertAlign w:val="baseline"/>
        </w:rPr>
        <w:t> </w:t>
      </w:r>
      <w:r>
        <w:rPr>
          <w:sz w:val="21"/>
          <w:vertAlign w:val="baseline"/>
        </w:rPr>
        <w:t>of</w:t>
      </w:r>
      <w:r>
        <w:rPr>
          <w:spacing w:val="-7"/>
          <w:sz w:val="21"/>
          <w:vertAlign w:val="baseline"/>
        </w:rPr>
        <w:t> </w:t>
      </w:r>
      <w:r>
        <w:rPr>
          <w:sz w:val="21"/>
          <w:vertAlign w:val="baseline"/>
        </w:rPr>
        <w:t>every</w:t>
      </w:r>
      <w:r>
        <w:rPr>
          <w:spacing w:val="-7"/>
          <w:sz w:val="21"/>
          <w:vertAlign w:val="baseline"/>
        </w:rPr>
        <w:t> </w:t>
      </w:r>
      <w:r>
        <w:rPr>
          <w:sz w:val="21"/>
          <w:vertAlign w:val="baseline"/>
        </w:rPr>
        <w:t>three youths experiencing homelessness identifies as LGBTQ.</w:t>
      </w:r>
      <w:hyperlink w:history="true" w:anchor="_bookmark339">
        <w:r>
          <w:rPr>
            <w:sz w:val="21"/>
            <w:vertAlign w:val="superscript"/>
          </w:rPr>
          <w:t>23</w:t>
        </w:r>
      </w:hyperlink>
      <w:r>
        <w:rPr>
          <w:spacing w:val="-3"/>
          <w:sz w:val="21"/>
          <w:vertAlign w:val="baseline"/>
        </w:rPr>
        <w:t> </w:t>
      </w:r>
      <w:r>
        <w:rPr>
          <w:sz w:val="21"/>
          <w:vertAlign w:val="baseline"/>
        </w:rPr>
        <w:t>As a result of these experiences, LGBTQ youth may turn to sex work or selling drugs to survive, which can often lead to some type of involvement</w:t>
      </w:r>
      <w:r>
        <w:rPr>
          <w:spacing w:val="33"/>
          <w:sz w:val="21"/>
          <w:vertAlign w:val="baseline"/>
        </w:rPr>
        <w:t>  </w:t>
      </w:r>
      <w:r>
        <w:rPr>
          <w:sz w:val="21"/>
          <w:vertAlign w:val="baseline"/>
        </w:rPr>
        <w:t>with</w:t>
      </w:r>
      <w:r>
        <w:rPr>
          <w:spacing w:val="34"/>
          <w:sz w:val="21"/>
          <w:vertAlign w:val="baseline"/>
        </w:rPr>
        <w:t>  </w:t>
      </w:r>
      <w:r>
        <w:rPr>
          <w:sz w:val="21"/>
          <w:vertAlign w:val="baseline"/>
        </w:rPr>
        <w:t>the</w:t>
      </w:r>
      <w:r>
        <w:rPr>
          <w:spacing w:val="33"/>
          <w:sz w:val="21"/>
          <w:vertAlign w:val="baseline"/>
        </w:rPr>
        <w:t>  </w:t>
      </w:r>
      <w:r>
        <w:rPr>
          <w:sz w:val="21"/>
          <w:vertAlign w:val="baseline"/>
        </w:rPr>
        <w:t>criminal</w:t>
      </w:r>
      <w:r>
        <w:rPr>
          <w:spacing w:val="34"/>
          <w:sz w:val="21"/>
          <w:vertAlign w:val="baseline"/>
        </w:rPr>
        <w:t>  </w:t>
      </w:r>
      <w:r>
        <w:rPr>
          <w:sz w:val="21"/>
          <w:vertAlign w:val="baseline"/>
        </w:rPr>
        <w:t>legal</w:t>
      </w:r>
      <w:r>
        <w:rPr>
          <w:spacing w:val="33"/>
          <w:sz w:val="21"/>
          <w:vertAlign w:val="baseline"/>
        </w:rPr>
        <w:t>  </w:t>
      </w:r>
      <w:r>
        <w:rPr>
          <w:spacing w:val="-2"/>
          <w:sz w:val="21"/>
          <w:vertAlign w:val="baseline"/>
        </w:rPr>
        <w:t>system,</w:t>
      </w:r>
    </w:p>
    <w:p>
      <w:pPr>
        <w:spacing w:line="276" w:lineRule="auto" w:before="0"/>
        <w:ind w:left="463" w:right="237" w:firstLine="0"/>
        <w:jc w:val="both"/>
        <w:rPr>
          <w:sz w:val="21"/>
        </w:rPr>
      </w:pPr>
      <w:r>
        <w:rPr>
          <w:sz w:val="21"/>
        </w:rPr>
        <w:t>including incarceration. The state's shelter system, especially for LGBTQ youth, is under-resourced and often</w:t>
      </w:r>
      <w:r>
        <w:rPr>
          <w:spacing w:val="-8"/>
          <w:sz w:val="21"/>
        </w:rPr>
        <w:t> </w:t>
      </w:r>
      <w:r>
        <w:rPr>
          <w:sz w:val="21"/>
        </w:rPr>
        <w:t>unsafe,</w:t>
      </w:r>
      <w:r>
        <w:rPr>
          <w:spacing w:val="-9"/>
          <w:sz w:val="21"/>
        </w:rPr>
        <w:t> </w:t>
      </w:r>
      <w:r>
        <w:rPr>
          <w:sz w:val="21"/>
        </w:rPr>
        <w:t>forcing</w:t>
      </w:r>
      <w:r>
        <w:rPr>
          <w:spacing w:val="-8"/>
          <w:sz w:val="21"/>
        </w:rPr>
        <w:t> </w:t>
      </w:r>
      <w:r>
        <w:rPr>
          <w:sz w:val="21"/>
        </w:rPr>
        <w:t>youth</w:t>
      </w:r>
      <w:r>
        <w:rPr>
          <w:spacing w:val="-8"/>
          <w:sz w:val="21"/>
        </w:rPr>
        <w:t> </w:t>
      </w:r>
      <w:r>
        <w:rPr>
          <w:sz w:val="21"/>
        </w:rPr>
        <w:t>out</w:t>
      </w:r>
      <w:r>
        <w:rPr>
          <w:spacing w:val="-8"/>
          <w:sz w:val="21"/>
        </w:rPr>
        <w:t> </w:t>
      </w:r>
      <w:r>
        <w:rPr>
          <w:sz w:val="21"/>
        </w:rPr>
        <w:t>into</w:t>
      </w:r>
      <w:r>
        <w:rPr>
          <w:spacing w:val="-8"/>
          <w:sz w:val="21"/>
        </w:rPr>
        <w:t> </w:t>
      </w:r>
      <w:r>
        <w:rPr>
          <w:sz w:val="21"/>
        </w:rPr>
        <w:t>public</w:t>
      </w:r>
      <w:r>
        <w:rPr>
          <w:spacing w:val="-8"/>
          <w:sz w:val="21"/>
        </w:rPr>
        <w:t> </w:t>
      </w:r>
      <w:r>
        <w:rPr>
          <w:sz w:val="21"/>
        </w:rPr>
        <w:t>spaces</w:t>
      </w:r>
      <w:r>
        <w:rPr>
          <w:spacing w:val="-8"/>
          <w:sz w:val="21"/>
        </w:rPr>
        <w:t> </w:t>
      </w:r>
      <w:r>
        <w:rPr>
          <w:sz w:val="21"/>
        </w:rPr>
        <w:t>and</w:t>
      </w:r>
      <w:r>
        <w:rPr>
          <w:spacing w:val="-8"/>
          <w:sz w:val="21"/>
        </w:rPr>
        <w:t> </w:t>
      </w:r>
      <w:r>
        <w:rPr>
          <w:sz w:val="21"/>
        </w:rPr>
        <w:t>increasing</w:t>
      </w:r>
      <w:r>
        <w:rPr>
          <w:spacing w:val="-8"/>
          <w:sz w:val="21"/>
        </w:rPr>
        <w:t> </w:t>
      </w:r>
      <w:r>
        <w:rPr>
          <w:sz w:val="21"/>
        </w:rPr>
        <w:t>their</w:t>
      </w:r>
      <w:r>
        <w:rPr>
          <w:spacing w:val="-8"/>
          <w:sz w:val="21"/>
        </w:rPr>
        <w:t> </w:t>
      </w:r>
      <w:r>
        <w:rPr>
          <w:sz w:val="21"/>
        </w:rPr>
        <w:t>interactions</w:t>
      </w:r>
      <w:r>
        <w:rPr>
          <w:spacing w:val="-10"/>
          <w:sz w:val="21"/>
        </w:rPr>
        <w:t> </w:t>
      </w:r>
      <w:r>
        <w:rPr>
          <w:sz w:val="21"/>
        </w:rPr>
        <w:t>with</w:t>
      </w:r>
      <w:r>
        <w:rPr>
          <w:spacing w:val="-8"/>
          <w:sz w:val="21"/>
        </w:rPr>
        <w:t> </w:t>
      </w:r>
      <w:r>
        <w:rPr>
          <w:sz w:val="21"/>
        </w:rPr>
        <w:t>law</w:t>
      </w:r>
      <w:r>
        <w:rPr>
          <w:spacing w:val="-8"/>
          <w:sz w:val="21"/>
        </w:rPr>
        <w:t> </w:t>
      </w:r>
      <w:r>
        <w:rPr>
          <w:sz w:val="21"/>
        </w:rPr>
        <w:t>enforcement.</w:t>
      </w:r>
      <w:hyperlink w:history="true" w:anchor="_bookmark340">
        <w:r>
          <w:rPr>
            <w:sz w:val="21"/>
            <w:vertAlign w:val="superscript"/>
          </w:rPr>
          <w:t>24</w:t>
        </w:r>
      </w:hyperlink>
      <w:r>
        <w:rPr>
          <w:sz w:val="21"/>
          <w:vertAlign w:val="baseline"/>
        </w:rPr>
        <w:t> Traditional emergency homeless shelters can be dangerous environments for LGBTQ youth due to several intertwined</w:t>
      </w:r>
      <w:r>
        <w:rPr>
          <w:spacing w:val="-12"/>
          <w:sz w:val="21"/>
          <w:vertAlign w:val="baseline"/>
        </w:rPr>
        <w:t> </w:t>
      </w:r>
      <w:r>
        <w:rPr>
          <w:sz w:val="21"/>
          <w:vertAlign w:val="baseline"/>
        </w:rPr>
        <w:t>factors.</w:t>
      </w:r>
      <w:hyperlink w:history="true" w:anchor="_bookmark341">
        <w:r>
          <w:rPr>
            <w:sz w:val="21"/>
            <w:vertAlign w:val="superscript"/>
          </w:rPr>
          <w:t>25</w:t>
        </w:r>
      </w:hyperlink>
      <w:r>
        <w:rPr>
          <w:spacing w:val="-12"/>
          <w:sz w:val="21"/>
          <w:vertAlign w:val="baseline"/>
        </w:rPr>
        <w:t> </w:t>
      </w:r>
      <w:r>
        <w:rPr>
          <w:sz w:val="21"/>
          <w:vertAlign w:val="baseline"/>
        </w:rPr>
        <w:t>These</w:t>
      </w:r>
      <w:r>
        <w:rPr>
          <w:spacing w:val="-12"/>
          <w:sz w:val="21"/>
          <w:vertAlign w:val="baseline"/>
        </w:rPr>
        <w:t> </w:t>
      </w:r>
      <w:r>
        <w:rPr>
          <w:sz w:val="21"/>
          <w:vertAlign w:val="baseline"/>
        </w:rPr>
        <w:t>facilities</w:t>
      </w:r>
      <w:r>
        <w:rPr>
          <w:spacing w:val="-12"/>
          <w:sz w:val="21"/>
          <w:vertAlign w:val="baseline"/>
        </w:rPr>
        <w:t> </w:t>
      </w:r>
      <w:r>
        <w:rPr>
          <w:sz w:val="21"/>
          <w:vertAlign w:val="baseline"/>
        </w:rPr>
        <w:t>may</w:t>
      </w:r>
      <w:r>
        <w:rPr>
          <w:spacing w:val="-12"/>
          <w:sz w:val="21"/>
          <w:vertAlign w:val="baseline"/>
        </w:rPr>
        <w:t> </w:t>
      </w:r>
      <w:r>
        <w:rPr>
          <w:sz w:val="21"/>
          <w:vertAlign w:val="baseline"/>
        </w:rPr>
        <w:t>lack</w:t>
      </w:r>
      <w:r>
        <w:rPr>
          <w:spacing w:val="-11"/>
          <w:sz w:val="21"/>
          <w:vertAlign w:val="baseline"/>
        </w:rPr>
        <w:t> </w:t>
      </w:r>
      <w:r>
        <w:rPr>
          <w:sz w:val="21"/>
          <w:vertAlign w:val="baseline"/>
        </w:rPr>
        <w:t>staff</w:t>
      </w:r>
      <w:r>
        <w:rPr>
          <w:spacing w:val="-12"/>
          <w:sz w:val="21"/>
          <w:vertAlign w:val="baseline"/>
        </w:rPr>
        <w:t> </w:t>
      </w:r>
      <w:r>
        <w:rPr>
          <w:sz w:val="21"/>
          <w:vertAlign w:val="baseline"/>
        </w:rPr>
        <w:t>trained</w:t>
      </w:r>
      <w:r>
        <w:rPr>
          <w:spacing w:val="-12"/>
          <w:sz w:val="21"/>
          <w:vertAlign w:val="baseline"/>
        </w:rPr>
        <w:t> </w:t>
      </w:r>
      <w:r>
        <w:rPr>
          <w:sz w:val="21"/>
          <w:vertAlign w:val="baseline"/>
        </w:rPr>
        <w:t>in</w:t>
      </w:r>
      <w:r>
        <w:rPr>
          <w:spacing w:val="-12"/>
          <w:sz w:val="21"/>
          <w:vertAlign w:val="baseline"/>
        </w:rPr>
        <w:t> </w:t>
      </w:r>
      <w:r>
        <w:rPr>
          <w:sz w:val="21"/>
          <w:vertAlign w:val="baseline"/>
        </w:rPr>
        <w:t>LGBTQ</w:t>
      </w:r>
      <w:r>
        <w:rPr>
          <w:spacing w:val="-12"/>
          <w:sz w:val="21"/>
          <w:vertAlign w:val="baseline"/>
        </w:rPr>
        <w:t> </w:t>
      </w:r>
      <w:r>
        <w:rPr>
          <w:sz w:val="21"/>
          <w:vertAlign w:val="baseline"/>
        </w:rPr>
        <w:t>care,</w:t>
      </w:r>
      <w:r>
        <w:rPr>
          <w:spacing w:val="-11"/>
          <w:sz w:val="21"/>
          <w:vertAlign w:val="baseline"/>
        </w:rPr>
        <w:t> </w:t>
      </w:r>
      <w:r>
        <w:rPr>
          <w:sz w:val="21"/>
          <w:vertAlign w:val="baseline"/>
        </w:rPr>
        <w:t>leading</w:t>
      </w:r>
      <w:r>
        <w:rPr>
          <w:spacing w:val="-12"/>
          <w:sz w:val="21"/>
          <w:vertAlign w:val="baseline"/>
        </w:rPr>
        <w:t> </w:t>
      </w:r>
      <w:r>
        <w:rPr>
          <w:sz w:val="21"/>
          <w:vertAlign w:val="baseline"/>
        </w:rPr>
        <w:t>to</w:t>
      </w:r>
      <w:r>
        <w:rPr>
          <w:spacing w:val="-12"/>
          <w:sz w:val="21"/>
          <w:vertAlign w:val="baseline"/>
        </w:rPr>
        <w:t> </w:t>
      </w:r>
      <w:r>
        <w:rPr>
          <w:sz w:val="21"/>
          <w:vertAlign w:val="baseline"/>
        </w:rPr>
        <w:t>an</w:t>
      </w:r>
      <w:r>
        <w:rPr>
          <w:spacing w:val="-12"/>
          <w:sz w:val="21"/>
          <w:vertAlign w:val="baseline"/>
        </w:rPr>
        <w:t> </w:t>
      </w:r>
      <w:r>
        <w:rPr>
          <w:sz w:val="21"/>
          <w:vertAlign w:val="baseline"/>
        </w:rPr>
        <w:t>environment</w:t>
      </w:r>
      <w:r>
        <w:rPr>
          <w:spacing w:val="-12"/>
          <w:sz w:val="21"/>
          <w:vertAlign w:val="baseline"/>
        </w:rPr>
        <w:t> </w:t>
      </w:r>
      <w:r>
        <w:rPr>
          <w:sz w:val="21"/>
          <w:vertAlign w:val="baseline"/>
        </w:rPr>
        <w:t>where discrimination, harassment, and even violence against LGBTQ youth can occur unchecked.</w:t>
      </w:r>
      <w:hyperlink w:history="true" w:anchor="_bookmark342">
        <w:r>
          <w:rPr>
            <w:sz w:val="21"/>
            <w:vertAlign w:val="superscript"/>
          </w:rPr>
          <w:t>26</w:t>
        </w:r>
      </w:hyperlink>
      <w:r>
        <w:rPr>
          <w:spacing w:val="-2"/>
          <w:sz w:val="21"/>
          <w:vertAlign w:val="baseline"/>
        </w:rPr>
        <w:t> </w:t>
      </w:r>
      <w:r>
        <w:rPr>
          <w:sz w:val="21"/>
          <w:vertAlign w:val="baseline"/>
        </w:rPr>
        <w:t>Additionally, shelter policies and practices may not respect the gender identities of transgender and nonbinary youth, forcing them into accommodations that do not align with their gender identity and exposing them to heightened risks of abuse and trauma.</w:t>
      </w:r>
      <w:r>
        <w:rPr>
          <w:spacing w:val="-10"/>
          <w:sz w:val="21"/>
          <w:vertAlign w:val="baseline"/>
        </w:rPr>
        <w:t> </w:t>
      </w:r>
      <w:hyperlink w:history="true" w:anchor="_bookmark343">
        <w:r>
          <w:rPr>
            <w:sz w:val="21"/>
            <w:vertAlign w:val="superscript"/>
          </w:rPr>
          <w:t>27</w:t>
        </w:r>
      </w:hyperlink>
      <w:r>
        <w:rPr>
          <w:sz w:val="21"/>
          <w:vertAlign w:val="baseline"/>
        </w:rPr>
        <w:t> This situation creates a vicious cycle where homelessness contributes to criminalization, which in turn, exacerbates the challenges faced by these youths. After release from incarceration, many returning youth struggle to find stability and often face homelessness.</w:t>
      </w:r>
    </w:p>
    <w:p>
      <w:pPr>
        <w:spacing w:line="276" w:lineRule="auto" w:before="240"/>
        <w:ind w:left="463" w:right="239" w:firstLine="0"/>
        <w:jc w:val="both"/>
        <w:rPr>
          <w:sz w:val="21"/>
        </w:rPr>
      </w:pPr>
      <w:r>
        <w:rPr>
          <w:sz w:val="21"/>
        </w:rPr>
        <w:t>The communal living situations typical of emergency shelters can further exacerbate vulnerabilities for LGBTQ</w:t>
      </w:r>
      <w:r>
        <w:rPr>
          <w:spacing w:val="-10"/>
          <w:sz w:val="21"/>
        </w:rPr>
        <w:t> </w:t>
      </w:r>
      <w:r>
        <w:rPr>
          <w:sz w:val="21"/>
        </w:rPr>
        <w:t>youth,</w:t>
      </w:r>
      <w:r>
        <w:rPr>
          <w:spacing w:val="-10"/>
          <w:sz w:val="21"/>
        </w:rPr>
        <w:t> </w:t>
      </w:r>
      <w:r>
        <w:rPr>
          <w:sz w:val="21"/>
        </w:rPr>
        <w:t>who</w:t>
      </w:r>
      <w:r>
        <w:rPr>
          <w:spacing w:val="-11"/>
          <w:sz w:val="21"/>
        </w:rPr>
        <w:t> </w:t>
      </w:r>
      <w:r>
        <w:rPr>
          <w:sz w:val="21"/>
        </w:rPr>
        <w:t>may</w:t>
      </w:r>
      <w:r>
        <w:rPr>
          <w:spacing w:val="-11"/>
          <w:sz w:val="21"/>
        </w:rPr>
        <w:t> </w:t>
      </w:r>
      <w:r>
        <w:rPr>
          <w:sz w:val="21"/>
        </w:rPr>
        <w:t>face</w:t>
      </w:r>
      <w:r>
        <w:rPr>
          <w:spacing w:val="-9"/>
          <w:sz w:val="21"/>
        </w:rPr>
        <w:t> </w:t>
      </w:r>
      <w:r>
        <w:rPr>
          <w:sz w:val="21"/>
        </w:rPr>
        <w:t>bullying</w:t>
      </w:r>
      <w:r>
        <w:rPr>
          <w:spacing w:val="-11"/>
          <w:sz w:val="21"/>
        </w:rPr>
        <w:t> </w:t>
      </w:r>
      <w:r>
        <w:rPr>
          <w:sz w:val="21"/>
        </w:rPr>
        <w:t>and</w:t>
      </w:r>
      <w:r>
        <w:rPr>
          <w:spacing w:val="-10"/>
          <w:sz w:val="21"/>
        </w:rPr>
        <w:t> </w:t>
      </w:r>
      <w:r>
        <w:rPr>
          <w:sz w:val="21"/>
        </w:rPr>
        <w:t>isolation</w:t>
      </w:r>
      <w:r>
        <w:rPr>
          <w:spacing w:val="-10"/>
          <w:sz w:val="21"/>
        </w:rPr>
        <w:t> </w:t>
      </w:r>
      <w:r>
        <w:rPr>
          <w:sz w:val="21"/>
        </w:rPr>
        <w:t>from</w:t>
      </w:r>
      <w:r>
        <w:rPr>
          <w:spacing w:val="-10"/>
          <w:sz w:val="21"/>
        </w:rPr>
        <w:t> </w:t>
      </w:r>
      <w:r>
        <w:rPr>
          <w:sz w:val="21"/>
        </w:rPr>
        <w:t>their</w:t>
      </w:r>
      <w:r>
        <w:rPr>
          <w:spacing w:val="-10"/>
          <w:sz w:val="21"/>
        </w:rPr>
        <w:t> </w:t>
      </w:r>
      <w:r>
        <w:rPr>
          <w:sz w:val="21"/>
        </w:rPr>
        <w:t>peers.</w:t>
      </w:r>
      <w:hyperlink w:history="true" w:anchor="_bookmark344">
        <w:r>
          <w:rPr>
            <w:sz w:val="21"/>
            <w:vertAlign w:val="superscript"/>
          </w:rPr>
          <w:t>28</w:t>
        </w:r>
      </w:hyperlink>
      <w:r>
        <w:rPr>
          <w:spacing w:val="-2"/>
          <w:sz w:val="21"/>
          <w:vertAlign w:val="baseline"/>
        </w:rPr>
        <w:t> </w:t>
      </w:r>
      <w:r>
        <w:rPr>
          <w:sz w:val="21"/>
          <w:vertAlign w:val="baseline"/>
        </w:rPr>
        <w:t>Studies</w:t>
      </w:r>
      <w:r>
        <w:rPr>
          <w:spacing w:val="-11"/>
          <w:sz w:val="21"/>
          <w:vertAlign w:val="baseline"/>
        </w:rPr>
        <w:t> </w:t>
      </w:r>
      <w:r>
        <w:rPr>
          <w:sz w:val="21"/>
          <w:vertAlign w:val="baseline"/>
        </w:rPr>
        <w:t>consistently</w:t>
      </w:r>
      <w:r>
        <w:rPr>
          <w:spacing w:val="-11"/>
          <w:sz w:val="21"/>
          <w:vertAlign w:val="baseline"/>
        </w:rPr>
        <w:t> </w:t>
      </w:r>
      <w:r>
        <w:rPr>
          <w:sz w:val="21"/>
          <w:vertAlign w:val="baseline"/>
        </w:rPr>
        <w:t>show</w:t>
      </w:r>
      <w:r>
        <w:rPr>
          <w:spacing w:val="-10"/>
          <w:sz w:val="21"/>
          <w:vertAlign w:val="baseline"/>
        </w:rPr>
        <w:t> </w:t>
      </w:r>
      <w:r>
        <w:rPr>
          <w:sz w:val="21"/>
          <w:vertAlign w:val="baseline"/>
        </w:rPr>
        <w:t>that</w:t>
      </w:r>
      <w:r>
        <w:rPr>
          <w:spacing w:val="-10"/>
          <w:sz w:val="21"/>
          <w:vertAlign w:val="baseline"/>
        </w:rPr>
        <w:t> </w:t>
      </w:r>
      <w:r>
        <w:rPr>
          <w:sz w:val="21"/>
          <w:vertAlign w:val="baseline"/>
        </w:rPr>
        <w:t>LGBTQ young people who face anti-LGBTQ victimization, such as physical threats or harm, discrimination, or bullying, report higher instances of attempting suicide.</w:t>
      </w:r>
      <w:hyperlink w:history="true" w:anchor="_bookmark345">
        <w:r>
          <w:rPr>
            <w:sz w:val="21"/>
            <w:vertAlign w:val="superscript"/>
          </w:rPr>
          <w:t>29</w:t>
        </w:r>
      </w:hyperlink>
      <w:r>
        <w:rPr>
          <w:spacing w:val="-2"/>
          <w:sz w:val="21"/>
          <w:vertAlign w:val="baseline"/>
        </w:rPr>
        <w:t> </w:t>
      </w:r>
      <w:r>
        <w:rPr>
          <w:sz w:val="21"/>
          <w:vertAlign w:val="baseline"/>
        </w:rPr>
        <w:t>The combination of these elements creates an atmosphere where LGBTQ youth may not only feel unsafe but can also experience detrimental effects on their physical, mental, and emotional well-being, driving them away from seeking help or accessing the supportive services they desperately need. Improving LGBTQ-friendly shelter availability and the safety of emergency shelters, particularly for those under 18, are crucial steps toward addressing the systemic failures that funnel LGBTQ youth into the criminal legal system.</w:t>
      </w:r>
    </w:p>
    <w:p>
      <w:pPr>
        <w:spacing w:line="276" w:lineRule="auto" w:before="240"/>
        <w:ind w:left="463" w:right="239" w:firstLine="0"/>
        <w:jc w:val="both"/>
        <w:rPr>
          <w:sz w:val="21"/>
        </w:rPr>
      </w:pPr>
      <w:r>
        <w:rPr>
          <w:sz w:val="21"/>
        </w:rPr>
        <w:t>LGBTQ immigrant and asylum seeker - youth have received little consideration in policy development, research efforts, and institutionally funded opportunities. LGBTQ individuals seeking asylum encounter dehumanization,</w:t>
      </w:r>
      <w:r>
        <w:rPr>
          <w:spacing w:val="-9"/>
          <w:sz w:val="21"/>
        </w:rPr>
        <w:t> </w:t>
      </w:r>
      <w:r>
        <w:rPr>
          <w:sz w:val="21"/>
        </w:rPr>
        <w:t>abuse,</w:t>
      </w:r>
      <w:r>
        <w:rPr>
          <w:spacing w:val="-9"/>
          <w:sz w:val="21"/>
        </w:rPr>
        <w:t> </w:t>
      </w:r>
      <w:r>
        <w:rPr>
          <w:sz w:val="21"/>
        </w:rPr>
        <w:t>and</w:t>
      </w:r>
      <w:r>
        <w:rPr>
          <w:spacing w:val="-9"/>
          <w:sz w:val="21"/>
        </w:rPr>
        <w:t> </w:t>
      </w:r>
      <w:r>
        <w:rPr>
          <w:sz w:val="21"/>
        </w:rPr>
        <w:t>transphobia</w:t>
      </w:r>
      <w:r>
        <w:rPr>
          <w:spacing w:val="-10"/>
          <w:sz w:val="21"/>
        </w:rPr>
        <w:t> </w:t>
      </w:r>
      <w:r>
        <w:rPr>
          <w:sz w:val="21"/>
        </w:rPr>
        <w:t>in</w:t>
      </w:r>
      <w:r>
        <w:rPr>
          <w:spacing w:val="-9"/>
          <w:sz w:val="21"/>
        </w:rPr>
        <w:t> </w:t>
      </w:r>
      <w:r>
        <w:rPr>
          <w:sz w:val="21"/>
        </w:rPr>
        <w:t>detention</w:t>
      </w:r>
      <w:r>
        <w:rPr>
          <w:spacing w:val="-9"/>
          <w:sz w:val="21"/>
        </w:rPr>
        <w:t> </w:t>
      </w:r>
      <w:r>
        <w:rPr>
          <w:sz w:val="21"/>
        </w:rPr>
        <w:t>settings,</w:t>
      </w:r>
      <w:r>
        <w:rPr>
          <w:spacing w:val="-9"/>
          <w:sz w:val="21"/>
        </w:rPr>
        <w:t> </w:t>
      </w:r>
      <w:r>
        <w:rPr>
          <w:sz w:val="21"/>
        </w:rPr>
        <w:t>including</w:t>
      </w:r>
      <w:r>
        <w:rPr>
          <w:spacing w:val="-9"/>
          <w:sz w:val="21"/>
        </w:rPr>
        <w:t> </w:t>
      </w:r>
      <w:r>
        <w:rPr>
          <w:sz w:val="21"/>
        </w:rPr>
        <w:t>the</w:t>
      </w:r>
      <w:r>
        <w:rPr>
          <w:spacing w:val="-9"/>
          <w:sz w:val="21"/>
        </w:rPr>
        <w:t> </w:t>
      </w:r>
      <w:r>
        <w:rPr>
          <w:sz w:val="21"/>
        </w:rPr>
        <w:t>denial</w:t>
      </w:r>
      <w:r>
        <w:rPr>
          <w:spacing w:val="-10"/>
          <w:sz w:val="21"/>
        </w:rPr>
        <w:t> </w:t>
      </w:r>
      <w:r>
        <w:rPr>
          <w:sz w:val="21"/>
        </w:rPr>
        <w:t>of</w:t>
      </w:r>
      <w:r>
        <w:rPr>
          <w:spacing w:val="-9"/>
          <w:sz w:val="21"/>
        </w:rPr>
        <w:t> </w:t>
      </w:r>
      <w:r>
        <w:rPr>
          <w:sz w:val="21"/>
        </w:rPr>
        <w:t>access</w:t>
      </w:r>
      <w:r>
        <w:rPr>
          <w:spacing w:val="-10"/>
          <w:sz w:val="21"/>
        </w:rPr>
        <w:t> </w:t>
      </w:r>
      <w:r>
        <w:rPr>
          <w:sz w:val="21"/>
        </w:rPr>
        <w:t>to</w:t>
      </w:r>
      <w:r>
        <w:rPr>
          <w:spacing w:val="-9"/>
          <w:sz w:val="21"/>
        </w:rPr>
        <w:t> </w:t>
      </w:r>
      <w:r>
        <w:rPr>
          <w:sz w:val="21"/>
        </w:rPr>
        <w:t>basic</w:t>
      </w:r>
      <w:r>
        <w:rPr>
          <w:spacing w:val="-9"/>
          <w:sz w:val="21"/>
        </w:rPr>
        <w:t> </w:t>
      </w:r>
      <w:r>
        <w:rPr>
          <w:sz w:val="21"/>
        </w:rPr>
        <w:t>needs and medical care.</w:t>
      </w:r>
      <w:r>
        <w:rPr>
          <w:spacing w:val="-12"/>
          <w:sz w:val="21"/>
        </w:rPr>
        <w:t> </w:t>
      </w:r>
      <w:hyperlink w:history="true" w:anchor="_bookmark346">
        <w:r>
          <w:rPr>
            <w:sz w:val="21"/>
            <w:vertAlign w:val="superscript"/>
          </w:rPr>
          <w:t>30</w:t>
        </w:r>
      </w:hyperlink>
      <w:r>
        <w:rPr>
          <w:sz w:val="21"/>
          <w:vertAlign w:val="baseline"/>
        </w:rPr>
        <w:t> Overall, LGBTQ immigrant youth face unique pressures related to their immigrant status, which heightens their risk of homelessness.</w:t>
      </w:r>
      <w:hyperlink w:history="true" w:anchor="_bookmark347">
        <w:r>
          <w:rPr>
            <w:sz w:val="21"/>
            <w:vertAlign w:val="superscript"/>
          </w:rPr>
          <w:t>31</w:t>
        </w:r>
      </w:hyperlink>
      <w:r>
        <w:rPr>
          <w:spacing w:val="-2"/>
          <w:sz w:val="21"/>
          <w:vertAlign w:val="baseline"/>
        </w:rPr>
        <w:t> </w:t>
      </w:r>
      <w:r>
        <w:rPr>
          <w:sz w:val="21"/>
          <w:vertAlign w:val="baseline"/>
        </w:rPr>
        <w:t>These pressures include the fear of deportation and worsened mental health conditions stemming from discrimination and the stress of cultural adaptation.</w:t>
      </w:r>
      <w:hyperlink w:history="true" w:anchor="_bookmark348">
        <w:r>
          <w:rPr>
            <w:sz w:val="21"/>
            <w:vertAlign w:val="superscript"/>
          </w:rPr>
          <w:t>32</w:t>
        </w:r>
      </w:hyperlink>
      <w:r>
        <w:rPr>
          <w:sz w:val="21"/>
          <w:vertAlign w:val="baseline"/>
        </w:rPr>
        <w:t> There</w:t>
      </w:r>
      <w:r>
        <w:rPr>
          <w:spacing w:val="-8"/>
          <w:sz w:val="21"/>
          <w:vertAlign w:val="baseline"/>
        </w:rPr>
        <w:t> </w:t>
      </w:r>
      <w:r>
        <w:rPr>
          <w:sz w:val="21"/>
          <w:vertAlign w:val="baseline"/>
        </w:rPr>
        <w:t>is</w:t>
      </w:r>
      <w:r>
        <w:rPr>
          <w:spacing w:val="-8"/>
          <w:sz w:val="21"/>
          <w:vertAlign w:val="baseline"/>
        </w:rPr>
        <w:t> </w:t>
      </w:r>
      <w:r>
        <w:rPr>
          <w:sz w:val="21"/>
          <w:vertAlign w:val="baseline"/>
        </w:rPr>
        <w:t>a</w:t>
      </w:r>
      <w:r>
        <w:rPr>
          <w:spacing w:val="-7"/>
          <w:sz w:val="21"/>
          <w:vertAlign w:val="baseline"/>
        </w:rPr>
        <w:t> </w:t>
      </w:r>
      <w:r>
        <w:rPr>
          <w:sz w:val="21"/>
          <w:vertAlign w:val="baseline"/>
        </w:rPr>
        <w:t>significant</w:t>
      </w:r>
      <w:r>
        <w:rPr>
          <w:spacing w:val="-7"/>
          <w:sz w:val="21"/>
          <w:vertAlign w:val="baseline"/>
        </w:rPr>
        <w:t> </w:t>
      </w:r>
      <w:r>
        <w:rPr>
          <w:sz w:val="21"/>
          <w:vertAlign w:val="baseline"/>
        </w:rPr>
        <w:t>gap</w:t>
      </w:r>
      <w:r>
        <w:rPr>
          <w:spacing w:val="-8"/>
          <w:sz w:val="21"/>
          <w:vertAlign w:val="baseline"/>
        </w:rPr>
        <w:t> </w:t>
      </w:r>
      <w:r>
        <w:rPr>
          <w:sz w:val="21"/>
          <w:vertAlign w:val="baseline"/>
        </w:rPr>
        <w:t>in</w:t>
      </w:r>
      <w:r>
        <w:rPr>
          <w:spacing w:val="-8"/>
          <w:sz w:val="21"/>
          <w:vertAlign w:val="baseline"/>
        </w:rPr>
        <w:t> </w:t>
      </w:r>
      <w:r>
        <w:rPr>
          <w:sz w:val="21"/>
          <w:vertAlign w:val="baseline"/>
        </w:rPr>
        <w:t>research</w:t>
      </w:r>
      <w:r>
        <w:rPr>
          <w:spacing w:val="-8"/>
          <w:sz w:val="21"/>
          <w:vertAlign w:val="baseline"/>
        </w:rPr>
        <w:t> </w:t>
      </w:r>
      <w:r>
        <w:rPr>
          <w:sz w:val="21"/>
          <w:vertAlign w:val="baseline"/>
        </w:rPr>
        <w:t>focused</w:t>
      </w:r>
      <w:r>
        <w:rPr>
          <w:spacing w:val="-8"/>
          <w:sz w:val="21"/>
          <w:vertAlign w:val="baseline"/>
        </w:rPr>
        <w:t> </w:t>
      </w:r>
      <w:r>
        <w:rPr>
          <w:sz w:val="21"/>
          <w:vertAlign w:val="baseline"/>
        </w:rPr>
        <w:t>on</w:t>
      </w:r>
      <w:r>
        <w:rPr>
          <w:spacing w:val="-8"/>
          <w:sz w:val="21"/>
          <w:vertAlign w:val="baseline"/>
        </w:rPr>
        <w:t> </w:t>
      </w:r>
      <w:r>
        <w:rPr>
          <w:sz w:val="21"/>
          <w:vertAlign w:val="baseline"/>
        </w:rPr>
        <w:t>understanding</w:t>
      </w:r>
      <w:r>
        <w:rPr>
          <w:spacing w:val="-8"/>
          <w:sz w:val="21"/>
          <w:vertAlign w:val="baseline"/>
        </w:rPr>
        <w:t> </w:t>
      </w:r>
      <w:r>
        <w:rPr>
          <w:sz w:val="21"/>
          <w:vertAlign w:val="baseline"/>
        </w:rPr>
        <w:t>the</w:t>
      </w:r>
      <w:r>
        <w:rPr>
          <w:spacing w:val="-8"/>
          <w:sz w:val="21"/>
          <w:vertAlign w:val="baseline"/>
        </w:rPr>
        <w:t> </w:t>
      </w:r>
      <w:r>
        <w:rPr>
          <w:sz w:val="21"/>
          <w:vertAlign w:val="baseline"/>
        </w:rPr>
        <w:t>experiences</w:t>
      </w:r>
      <w:r>
        <w:rPr>
          <w:spacing w:val="-8"/>
          <w:sz w:val="21"/>
          <w:vertAlign w:val="baseline"/>
        </w:rPr>
        <w:t> </w:t>
      </w:r>
      <w:r>
        <w:rPr>
          <w:sz w:val="21"/>
          <w:vertAlign w:val="baseline"/>
        </w:rPr>
        <w:t>of</w:t>
      </w:r>
      <w:r>
        <w:rPr>
          <w:spacing w:val="-8"/>
          <w:sz w:val="21"/>
          <w:vertAlign w:val="baseline"/>
        </w:rPr>
        <w:t> </w:t>
      </w:r>
      <w:r>
        <w:rPr>
          <w:sz w:val="21"/>
          <w:vertAlign w:val="baseline"/>
        </w:rPr>
        <w:t>LGBTQ</w:t>
      </w:r>
      <w:r>
        <w:rPr>
          <w:spacing w:val="-7"/>
          <w:sz w:val="21"/>
          <w:vertAlign w:val="baseline"/>
        </w:rPr>
        <w:t> </w:t>
      </w:r>
      <w:r>
        <w:rPr>
          <w:sz w:val="21"/>
          <w:vertAlign w:val="baseline"/>
        </w:rPr>
        <w:t>immigrant</w:t>
      </w:r>
      <w:r>
        <w:rPr>
          <w:spacing w:val="-7"/>
          <w:sz w:val="21"/>
          <w:vertAlign w:val="baseline"/>
        </w:rPr>
        <w:t> </w:t>
      </w:r>
      <w:r>
        <w:rPr>
          <w:sz w:val="21"/>
          <w:vertAlign w:val="baseline"/>
        </w:rPr>
        <w:t>youth, and without more data we cannot adequately support this population.</w:t>
      </w:r>
    </w:p>
    <w:p>
      <w:pPr>
        <w:spacing w:line="276" w:lineRule="auto" w:before="239"/>
        <w:ind w:left="463" w:right="238" w:firstLine="0"/>
        <w:jc w:val="both"/>
        <w:rPr>
          <w:sz w:val="21"/>
        </w:rPr>
      </w:pPr>
      <w:r>
        <w:rPr>
          <w:sz w:val="21"/>
        </w:rPr>
        <w:t>Further, the conditions within immigration detention facilities are particularly harmful for LGBTQ immigrants, both</w:t>
      </w:r>
      <w:r>
        <w:rPr>
          <w:spacing w:val="-1"/>
          <w:sz w:val="21"/>
        </w:rPr>
        <w:t> </w:t>
      </w:r>
      <w:r>
        <w:rPr>
          <w:sz w:val="21"/>
        </w:rPr>
        <w:t>for</w:t>
      </w:r>
      <w:r>
        <w:rPr>
          <w:spacing w:val="-1"/>
          <w:sz w:val="21"/>
        </w:rPr>
        <w:t> </w:t>
      </w:r>
      <w:r>
        <w:rPr>
          <w:sz w:val="21"/>
        </w:rPr>
        <w:t>adults</w:t>
      </w:r>
      <w:r>
        <w:rPr>
          <w:spacing w:val="-2"/>
          <w:sz w:val="21"/>
        </w:rPr>
        <w:t> </w:t>
      </w:r>
      <w:r>
        <w:rPr>
          <w:sz w:val="21"/>
        </w:rPr>
        <w:t>and</w:t>
      </w:r>
      <w:r>
        <w:rPr>
          <w:spacing w:val="-1"/>
          <w:sz w:val="21"/>
        </w:rPr>
        <w:t> </w:t>
      </w:r>
      <w:r>
        <w:rPr>
          <w:sz w:val="21"/>
        </w:rPr>
        <w:t>for youth.</w:t>
      </w:r>
      <w:r>
        <w:rPr>
          <w:spacing w:val="-2"/>
          <w:sz w:val="21"/>
        </w:rPr>
        <w:t> </w:t>
      </w:r>
      <w:r>
        <w:rPr>
          <w:sz w:val="21"/>
        </w:rPr>
        <w:t>Massachusetts</w:t>
      </w:r>
      <w:r>
        <w:rPr>
          <w:spacing w:val="-1"/>
          <w:sz w:val="21"/>
        </w:rPr>
        <w:t> </w:t>
      </w:r>
      <w:r>
        <w:rPr>
          <w:sz w:val="21"/>
        </w:rPr>
        <w:t>hosts</w:t>
      </w:r>
      <w:r>
        <w:rPr>
          <w:spacing w:val="-1"/>
          <w:sz w:val="21"/>
        </w:rPr>
        <w:t> </w:t>
      </w:r>
      <w:r>
        <w:rPr>
          <w:sz w:val="21"/>
        </w:rPr>
        <w:t>nine</w:t>
      </w:r>
      <w:r>
        <w:rPr>
          <w:spacing w:val="-2"/>
          <w:sz w:val="21"/>
        </w:rPr>
        <w:t> </w:t>
      </w:r>
      <w:r>
        <w:rPr>
          <w:sz w:val="21"/>
        </w:rPr>
        <w:t>immigration</w:t>
      </w:r>
      <w:r>
        <w:rPr>
          <w:spacing w:val="-1"/>
          <w:sz w:val="21"/>
        </w:rPr>
        <w:t> </w:t>
      </w:r>
      <w:r>
        <w:rPr>
          <w:sz w:val="21"/>
        </w:rPr>
        <w:t>detention</w:t>
      </w:r>
      <w:r>
        <w:rPr>
          <w:spacing w:val="-1"/>
          <w:sz w:val="21"/>
        </w:rPr>
        <w:t> </w:t>
      </w:r>
      <w:r>
        <w:rPr>
          <w:sz w:val="21"/>
        </w:rPr>
        <w:t>centers</w:t>
      </w:r>
      <w:r>
        <w:rPr>
          <w:spacing w:val="-1"/>
          <w:sz w:val="21"/>
        </w:rPr>
        <w:t> </w:t>
      </w:r>
      <w:r>
        <w:rPr>
          <w:sz w:val="21"/>
        </w:rPr>
        <w:t>under the</w:t>
      </w:r>
      <w:r>
        <w:rPr>
          <w:spacing w:val="-6"/>
          <w:sz w:val="21"/>
        </w:rPr>
        <w:t> </w:t>
      </w:r>
      <w:r>
        <w:rPr>
          <w:sz w:val="21"/>
        </w:rPr>
        <w:t>supervision</w:t>
      </w:r>
      <w:r>
        <w:rPr>
          <w:spacing w:val="-6"/>
          <w:sz w:val="21"/>
        </w:rPr>
        <w:t> </w:t>
      </w:r>
      <w:r>
        <w:rPr>
          <w:sz w:val="21"/>
        </w:rPr>
        <w:t>of</w:t>
      </w:r>
      <w:r>
        <w:rPr>
          <w:spacing w:val="-6"/>
          <w:sz w:val="21"/>
        </w:rPr>
        <w:t> </w:t>
      </w:r>
      <w:r>
        <w:rPr>
          <w:sz w:val="21"/>
        </w:rPr>
        <w:t>U.S.</w:t>
      </w:r>
      <w:r>
        <w:rPr>
          <w:spacing w:val="-6"/>
          <w:sz w:val="21"/>
        </w:rPr>
        <w:t> </w:t>
      </w:r>
      <w:r>
        <w:rPr>
          <w:sz w:val="21"/>
        </w:rPr>
        <w:t>Immigration</w:t>
      </w:r>
      <w:r>
        <w:rPr>
          <w:spacing w:val="-6"/>
          <w:sz w:val="21"/>
        </w:rPr>
        <w:t> </w:t>
      </w:r>
      <w:r>
        <w:rPr>
          <w:sz w:val="21"/>
        </w:rPr>
        <w:t>and</w:t>
      </w:r>
      <w:r>
        <w:rPr>
          <w:spacing w:val="-6"/>
          <w:sz w:val="21"/>
        </w:rPr>
        <w:t> </w:t>
      </w:r>
      <w:r>
        <w:rPr>
          <w:sz w:val="21"/>
        </w:rPr>
        <w:t>Customs</w:t>
      </w:r>
      <w:r>
        <w:rPr>
          <w:spacing w:val="-6"/>
          <w:sz w:val="21"/>
        </w:rPr>
        <w:t> </w:t>
      </w:r>
      <w:r>
        <w:rPr>
          <w:sz w:val="21"/>
        </w:rPr>
        <w:t>Enforcement</w:t>
      </w:r>
      <w:r>
        <w:rPr>
          <w:spacing w:val="-5"/>
          <w:sz w:val="21"/>
        </w:rPr>
        <w:t> </w:t>
      </w:r>
      <w:r>
        <w:rPr>
          <w:sz w:val="21"/>
        </w:rPr>
        <w:t>(“ICE”).</w:t>
      </w:r>
      <w:hyperlink w:history="true" w:anchor="_bookmark349">
        <w:r>
          <w:rPr>
            <w:sz w:val="21"/>
            <w:vertAlign w:val="superscript"/>
          </w:rPr>
          <w:t>33</w:t>
        </w:r>
      </w:hyperlink>
      <w:r>
        <w:rPr>
          <w:spacing w:val="-2"/>
          <w:sz w:val="21"/>
          <w:vertAlign w:val="baseline"/>
        </w:rPr>
        <w:t> </w:t>
      </w:r>
      <w:r>
        <w:rPr>
          <w:sz w:val="21"/>
          <w:vertAlign w:val="baseline"/>
        </w:rPr>
        <w:t>Physical</w:t>
      </w:r>
      <w:r>
        <w:rPr>
          <w:spacing w:val="-6"/>
          <w:sz w:val="21"/>
          <w:vertAlign w:val="baseline"/>
        </w:rPr>
        <w:t> </w:t>
      </w:r>
      <w:r>
        <w:rPr>
          <w:sz w:val="21"/>
          <w:vertAlign w:val="baseline"/>
        </w:rPr>
        <w:t>and</w:t>
      </w:r>
      <w:r>
        <w:rPr>
          <w:spacing w:val="-7"/>
          <w:sz w:val="21"/>
          <w:vertAlign w:val="baseline"/>
        </w:rPr>
        <w:t> </w:t>
      </w:r>
      <w:r>
        <w:rPr>
          <w:sz w:val="21"/>
          <w:vertAlign w:val="baseline"/>
        </w:rPr>
        <w:t>sexual</w:t>
      </w:r>
      <w:r>
        <w:rPr>
          <w:spacing w:val="-6"/>
          <w:sz w:val="21"/>
          <w:vertAlign w:val="baseline"/>
        </w:rPr>
        <w:t> </w:t>
      </w:r>
      <w:r>
        <w:rPr>
          <w:sz w:val="21"/>
          <w:vertAlign w:val="baseline"/>
        </w:rPr>
        <w:t>abuse</w:t>
      </w:r>
      <w:r>
        <w:rPr>
          <w:spacing w:val="-6"/>
          <w:sz w:val="21"/>
          <w:vertAlign w:val="baseline"/>
        </w:rPr>
        <w:t> </w:t>
      </w:r>
      <w:r>
        <w:rPr>
          <w:sz w:val="21"/>
          <w:vertAlign w:val="baseline"/>
        </w:rPr>
        <w:t>remains a</w:t>
      </w:r>
      <w:r>
        <w:rPr>
          <w:spacing w:val="-6"/>
          <w:sz w:val="21"/>
          <w:vertAlign w:val="baseline"/>
        </w:rPr>
        <w:t> </w:t>
      </w:r>
      <w:r>
        <w:rPr>
          <w:sz w:val="21"/>
          <w:vertAlign w:val="baseline"/>
        </w:rPr>
        <w:t>widespread</w:t>
      </w:r>
      <w:r>
        <w:rPr>
          <w:spacing w:val="-7"/>
          <w:sz w:val="21"/>
          <w:vertAlign w:val="baseline"/>
        </w:rPr>
        <w:t> </w:t>
      </w:r>
      <w:r>
        <w:rPr>
          <w:sz w:val="21"/>
          <w:vertAlign w:val="baseline"/>
        </w:rPr>
        <w:t>issue</w:t>
      </w:r>
      <w:r>
        <w:rPr>
          <w:spacing w:val="-7"/>
          <w:sz w:val="21"/>
          <w:vertAlign w:val="baseline"/>
        </w:rPr>
        <w:t> </w:t>
      </w:r>
      <w:r>
        <w:rPr>
          <w:sz w:val="21"/>
          <w:vertAlign w:val="baseline"/>
        </w:rPr>
        <w:t>in</w:t>
      </w:r>
      <w:r>
        <w:rPr>
          <w:spacing w:val="-7"/>
          <w:sz w:val="21"/>
          <w:vertAlign w:val="baseline"/>
        </w:rPr>
        <w:t> </w:t>
      </w:r>
      <w:r>
        <w:rPr>
          <w:sz w:val="21"/>
          <w:vertAlign w:val="baseline"/>
        </w:rPr>
        <w:t>these</w:t>
      </w:r>
      <w:r>
        <w:rPr>
          <w:spacing w:val="-7"/>
          <w:sz w:val="21"/>
          <w:vertAlign w:val="baseline"/>
        </w:rPr>
        <w:t> </w:t>
      </w:r>
      <w:r>
        <w:rPr>
          <w:sz w:val="21"/>
          <w:vertAlign w:val="baseline"/>
        </w:rPr>
        <w:t>adult</w:t>
      </w:r>
      <w:r>
        <w:rPr>
          <w:spacing w:val="-6"/>
          <w:sz w:val="21"/>
          <w:vertAlign w:val="baseline"/>
        </w:rPr>
        <w:t> </w:t>
      </w:r>
      <w:r>
        <w:rPr>
          <w:sz w:val="21"/>
          <w:vertAlign w:val="baseline"/>
        </w:rPr>
        <w:t>detention</w:t>
      </w:r>
      <w:r>
        <w:rPr>
          <w:spacing w:val="-7"/>
          <w:sz w:val="21"/>
          <w:vertAlign w:val="baseline"/>
        </w:rPr>
        <w:t> </w:t>
      </w:r>
      <w:r>
        <w:rPr>
          <w:sz w:val="21"/>
          <w:vertAlign w:val="baseline"/>
        </w:rPr>
        <w:t>centers,</w:t>
      </w:r>
      <w:r>
        <w:rPr>
          <w:spacing w:val="-6"/>
          <w:sz w:val="21"/>
          <w:vertAlign w:val="baseline"/>
        </w:rPr>
        <w:t> </w:t>
      </w:r>
      <w:r>
        <w:rPr>
          <w:sz w:val="21"/>
          <w:vertAlign w:val="baseline"/>
        </w:rPr>
        <w:t>where</w:t>
      </w:r>
      <w:r>
        <w:rPr>
          <w:spacing w:val="-7"/>
          <w:sz w:val="21"/>
          <w:vertAlign w:val="baseline"/>
        </w:rPr>
        <w:t> </w:t>
      </w:r>
      <w:r>
        <w:rPr>
          <w:sz w:val="21"/>
          <w:vertAlign w:val="baseline"/>
        </w:rPr>
        <w:t>the</w:t>
      </w:r>
      <w:r>
        <w:rPr>
          <w:spacing w:val="-7"/>
          <w:sz w:val="21"/>
          <w:vertAlign w:val="baseline"/>
        </w:rPr>
        <w:t> </w:t>
      </w:r>
      <w:r>
        <w:rPr>
          <w:sz w:val="21"/>
          <w:vertAlign w:val="baseline"/>
        </w:rPr>
        <w:t>prevalence</w:t>
      </w:r>
      <w:r>
        <w:rPr>
          <w:spacing w:val="-7"/>
          <w:sz w:val="21"/>
          <w:vertAlign w:val="baseline"/>
        </w:rPr>
        <w:t> </w:t>
      </w:r>
      <w:r>
        <w:rPr>
          <w:sz w:val="21"/>
          <w:vertAlign w:val="baseline"/>
        </w:rPr>
        <w:t>of</w:t>
      </w:r>
      <w:r>
        <w:rPr>
          <w:spacing w:val="-7"/>
          <w:sz w:val="21"/>
          <w:vertAlign w:val="baseline"/>
        </w:rPr>
        <w:t> </w:t>
      </w:r>
      <w:r>
        <w:rPr>
          <w:sz w:val="21"/>
          <w:vertAlign w:val="baseline"/>
        </w:rPr>
        <w:t>sexual</w:t>
      </w:r>
      <w:r>
        <w:rPr>
          <w:spacing w:val="-7"/>
          <w:sz w:val="21"/>
          <w:vertAlign w:val="baseline"/>
        </w:rPr>
        <w:t> </w:t>
      </w:r>
      <w:r>
        <w:rPr>
          <w:sz w:val="21"/>
          <w:vertAlign w:val="baseline"/>
        </w:rPr>
        <w:t>abuse</w:t>
      </w:r>
      <w:r>
        <w:rPr>
          <w:spacing w:val="-7"/>
          <w:sz w:val="21"/>
          <w:vertAlign w:val="baseline"/>
        </w:rPr>
        <w:t> </w:t>
      </w:r>
      <w:r>
        <w:rPr>
          <w:sz w:val="21"/>
          <w:vertAlign w:val="baseline"/>
        </w:rPr>
        <w:t>mirrors</w:t>
      </w:r>
      <w:r>
        <w:rPr>
          <w:spacing w:val="-7"/>
          <w:sz w:val="21"/>
          <w:vertAlign w:val="baseline"/>
        </w:rPr>
        <w:t> </w:t>
      </w:r>
      <w:r>
        <w:rPr>
          <w:sz w:val="21"/>
          <w:vertAlign w:val="baseline"/>
        </w:rPr>
        <w:t>the</w:t>
      </w:r>
      <w:r>
        <w:rPr>
          <w:spacing w:val="-7"/>
          <w:sz w:val="21"/>
          <w:vertAlign w:val="baseline"/>
        </w:rPr>
        <w:t> </w:t>
      </w:r>
      <w:r>
        <w:rPr>
          <w:sz w:val="21"/>
          <w:vertAlign w:val="baseline"/>
        </w:rPr>
        <w:t>high rates found in prisons at large.</w:t>
      </w:r>
      <w:r>
        <w:rPr>
          <w:spacing w:val="-12"/>
          <w:sz w:val="21"/>
          <w:vertAlign w:val="baseline"/>
        </w:rPr>
        <w:t> </w:t>
      </w:r>
      <w:hyperlink w:history="true" w:anchor="_bookmark350">
        <w:r>
          <w:rPr>
            <w:sz w:val="21"/>
            <w:vertAlign w:val="superscript"/>
          </w:rPr>
          <w:t>34</w:t>
        </w:r>
      </w:hyperlink>
      <w:r>
        <w:rPr>
          <w:sz w:val="21"/>
          <w:vertAlign w:val="baseline"/>
        </w:rPr>
        <w:t> Transgender immigrants face even greater dangers, as the common practice</w:t>
      </w:r>
      <w:r>
        <w:rPr>
          <w:spacing w:val="-5"/>
          <w:sz w:val="21"/>
          <w:vertAlign w:val="baseline"/>
        </w:rPr>
        <w:t> </w:t>
      </w:r>
      <w:r>
        <w:rPr>
          <w:sz w:val="21"/>
          <w:vertAlign w:val="baseline"/>
        </w:rPr>
        <w:t>of</w:t>
      </w:r>
      <w:r>
        <w:rPr>
          <w:spacing w:val="-7"/>
          <w:sz w:val="21"/>
          <w:vertAlign w:val="baseline"/>
        </w:rPr>
        <w:t> </w:t>
      </w:r>
      <w:r>
        <w:rPr>
          <w:sz w:val="21"/>
          <w:vertAlign w:val="baseline"/>
        </w:rPr>
        <w:t>assigning</w:t>
      </w:r>
      <w:r>
        <w:rPr>
          <w:spacing w:val="-6"/>
          <w:sz w:val="21"/>
          <w:vertAlign w:val="baseline"/>
        </w:rPr>
        <w:t> </w:t>
      </w:r>
      <w:r>
        <w:rPr>
          <w:sz w:val="21"/>
          <w:vertAlign w:val="baseline"/>
        </w:rPr>
        <w:t>them</w:t>
      </w:r>
      <w:r>
        <w:rPr>
          <w:spacing w:val="-6"/>
          <w:sz w:val="21"/>
          <w:vertAlign w:val="baseline"/>
        </w:rPr>
        <w:t> </w:t>
      </w:r>
      <w:r>
        <w:rPr>
          <w:sz w:val="21"/>
          <w:vertAlign w:val="baseline"/>
        </w:rPr>
        <w:t>to</w:t>
      </w:r>
      <w:r>
        <w:rPr>
          <w:spacing w:val="-6"/>
          <w:sz w:val="21"/>
          <w:vertAlign w:val="baseline"/>
        </w:rPr>
        <w:t> </w:t>
      </w:r>
      <w:r>
        <w:rPr>
          <w:sz w:val="21"/>
          <w:vertAlign w:val="baseline"/>
        </w:rPr>
        <w:t>facilities</w:t>
      </w:r>
      <w:r>
        <w:rPr>
          <w:spacing w:val="-6"/>
          <w:sz w:val="21"/>
          <w:vertAlign w:val="baseline"/>
        </w:rPr>
        <w:t> </w:t>
      </w:r>
      <w:r>
        <w:rPr>
          <w:sz w:val="21"/>
          <w:vertAlign w:val="baseline"/>
        </w:rPr>
        <w:t>based</w:t>
      </w:r>
      <w:r>
        <w:rPr>
          <w:spacing w:val="-5"/>
          <w:sz w:val="21"/>
          <w:vertAlign w:val="baseline"/>
        </w:rPr>
        <w:t> </w:t>
      </w:r>
      <w:r>
        <w:rPr>
          <w:sz w:val="21"/>
          <w:vertAlign w:val="baseline"/>
        </w:rPr>
        <w:t>on</w:t>
      </w:r>
      <w:r>
        <w:rPr>
          <w:spacing w:val="-6"/>
          <w:sz w:val="21"/>
          <w:vertAlign w:val="baseline"/>
        </w:rPr>
        <w:t> </w:t>
      </w:r>
      <w:r>
        <w:rPr>
          <w:sz w:val="21"/>
          <w:vertAlign w:val="baseline"/>
        </w:rPr>
        <w:t>their</w:t>
      </w:r>
      <w:r>
        <w:rPr>
          <w:spacing w:val="-5"/>
          <w:sz w:val="21"/>
          <w:vertAlign w:val="baseline"/>
        </w:rPr>
        <w:t> </w:t>
      </w:r>
      <w:r>
        <w:rPr>
          <w:sz w:val="21"/>
          <w:vertAlign w:val="baseline"/>
        </w:rPr>
        <w:t>sex</w:t>
      </w:r>
      <w:r>
        <w:rPr>
          <w:spacing w:val="-5"/>
          <w:sz w:val="21"/>
          <w:vertAlign w:val="baseline"/>
        </w:rPr>
        <w:t> </w:t>
      </w:r>
      <w:r>
        <w:rPr>
          <w:sz w:val="21"/>
          <w:vertAlign w:val="baseline"/>
        </w:rPr>
        <w:t>assigned</w:t>
      </w:r>
      <w:r>
        <w:rPr>
          <w:spacing w:val="-5"/>
          <w:sz w:val="21"/>
          <w:vertAlign w:val="baseline"/>
        </w:rPr>
        <w:t> </w:t>
      </w:r>
      <w:r>
        <w:rPr>
          <w:sz w:val="21"/>
          <w:vertAlign w:val="baseline"/>
        </w:rPr>
        <w:t>at</w:t>
      </w:r>
      <w:r>
        <w:rPr>
          <w:spacing w:val="-7"/>
          <w:sz w:val="21"/>
          <w:vertAlign w:val="baseline"/>
        </w:rPr>
        <w:t> </w:t>
      </w:r>
      <w:r>
        <w:rPr>
          <w:sz w:val="21"/>
          <w:vertAlign w:val="baseline"/>
        </w:rPr>
        <w:t>birth</w:t>
      </w:r>
      <w:r>
        <w:rPr>
          <w:spacing w:val="-5"/>
          <w:sz w:val="21"/>
          <w:vertAlign w:val="baseline"/>
        </w:rPr>
        <w:t> </w:t>
      </w:r>
      <w:r>
        <w:rPr>
          <w:sz w:val="21"/>
          <w:vertAlign w:val="baseline"/>
        </w:rPr>
        <w:t>(and</w:t>
      </w:r>
      <w:r>
        <w:rPr>
          <w:spacing w:val="-7"/>
          <w:sz w:val="21"/>
          <w:vertAlign w:val="baseline"/>
        </w:rPr>
        <w:t> </w:t>
      </w:r>
      <w:r>
        <w:rPr>
          <w:sz w:val="21"/>
          <w:vertAlign w:val="baseline"/>
        </w:rPr>
        <w:t>not</w:t>
      </w:r>
      <w:r>
        <w:rPr>
          <w:spacing w:val="-7"/>
          <w:sz w:val="21"/>
          <w:vertAlign w:val="baseline"/>
        </w:rPr>
        <w:t> </w:t>
      </w:r>
      <w:r>
        <w:rPr>
          <w:sz w:val="21"/>
          <w:vertAlign w:val="baseline"/>
        </w:rPr>
        <w:t>their</w:t>
      </w:r>
      <w:r>
        <w:rPr>
          <w:spacing w:val="-5"/>
          <w:sz w:val="21"/>
          <w:vertAlign w:val="baseline"/>
        </w:rPr>
        <w:t> </w:t>
      </w:r>
      <w:r>
        <w:rPr>
          <w:sz w:val="21"/>
          <w:vertAlign w:val="baseline"/>
        </w:rPr>
        <w:t>contemporaneous</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hanging="1"/>
        <w:jc w:val="both"/>
        <w:rPr>
          <w:sz w:val="21"/>
        </w:rPr>
      </w:pPr>
      <w:r>
        <w:rPr>
          <w:sz w:val="21"/>
        </w:rPr>
        <w:t>gender) not only inflicts psychological damage but also significantly heightens their risk of abuse.</w:t>
      </w:r>
      <w:hyperlink w:history="true" w:anchor="_bookmark351">
        <w:r>
          <w:rPr>
            <w:sz w:val="21"/>
            <w:vertAlign w:val="superscript"/>
          </w:rPr>
          <w:t>35</w:t>
        </w:r>
      </w:hyperlink>
      <w:r>
        <w:rPr>
          <w:sz w:val="21"/>
          <w:vertAlign w:val="baseline"/>
        </w:rPr>
        <w:t> For instance, a comprehensive survey in California revealed that transgender women placed in male prisons</w:t>
      </w:r>
    </w:p>
    <w:p>
      <w:pPr>
        <w:spacing w:line="276" w:lineRule="auto" w:before="0"/>
        <w:ind w:left="3687" w:right="237" w:firstLine="0"/>
        <w:jc w:val="both"/>
        <w:rPr>
          <w:sz w:val="21"/>
        </w:rPr>
      </w:pPr>
      <w:r>
        <w:rPr/>
        <w:drawing>
          <wp:anchor distT="0" distB="0" distL="0" distR="0" allowOverlap="1" layoutInCell="1" locked="0" behindDoc="0" simplePos="0" relativeHeight="15803904">
            <wp:simplePos x="0" y="0"/>
            <wp:positionH relativeFrom="page">
              <wp:posOffset>972577</wp:posOffset>
            </wp:positionH>
            <wp:positionV relativeFrom="paragraph">
              <wp:posOffset>67938</wp:posOffset>
            </wp:positionV>
            <wp:extent cx="1874145" cy="2077895"/>
            <wp:effectExtent l="0" t="0" r="0" b="0"/>
            <wp:wrapNone/>
            <wp:docPr id="399" name="Image 399"/>
            <wp:cNvGraphicFramePr>
              <a:graphicFrameLocks/>
            </wp:cNvGraphicFramePr>
            <a:graphic>
              <a:graphicData uri="http://schemas.openxmlformats.org/drawingml/2006/picture">
                <pic:pic>
                  <pic:nvPicPr>
                    <pic:cNvPr id="399" name="Image 399"/>
                    <pic:cNvPicPr/>
                  </pic:nvPicPr>
                  <pic:blipFill>
                    <a:blip r:embed="rId474" cstate="print"/>
                    <a:stretch>
                      <a:fillRect/>
                    </a:stretch>
                  </pic:blipFill>
                  <pic:spPr>
                    <a:xfrm>
                      <a:off x="0" y="0"/>
                      <a:ext cx="1874145" cy="2077895"/>
                    </a:xfrm>
                    <a:prstGeom prst="rect">
                      <a:avLst/>
                    </a:prstGeom>
                  </pic:spPr>
                </pic:pic>
              </a:graphicData>
            </a:graphic>
          </wp:anchor>
        </w:drawing>
      </w:r>
      <w:r>
        <w:rPr>
          <w:sz w:val="21"/>
        </w:rPr>
        <w:t>were 13 times more likely to experience sexual abuse compared to their fellow inmates.</w:t>
      </w:r>
      <w:hyperlink w:history="true" w:anchor="_bookmark352">
        <w:r>
          <w:rPr>
            <w:sz w:val="21"/>
            <w:vertAlign w:val="superscript"/>
          </w:rPr>
          <w:t>36</w:t>
        </w:r>
      </w:hyperlink>
      <w:r>
        <w:rPr>
          <w:spacing w:val="-3"/>
          <w:sz w:val="21"/>
          <w:vertAlign w:val="baseline"/>
        </w:rPr>
        <w:t> </w:t>
      </w:r>
      <w:r>
        <w:rPr>
          <w:sz w:val="21"/>
          <w:vertAlign w:val="baseline"/>
        </w:rPr>
        <w:t>Rather than accommodating trans-detainees according to their gender identity, officials frequently resort to placing</w:t>
      </w:r>
      <w:r>
        <w:rPr>
          <w:spacing w:val="-8"/>
          <w:sz w:val="21"/>
          <w:vertAlign w:val="baseline"/>
        </w:rPr>
        <w:t> </w:t>
      </w:r>
      <w:r>
        <w:rPr>
          <w:sz w:val="21"/>
          <w:vertAlign w:val="baseline"/>
        </w:rPr>
        <w:t>them</w:t>
      </w:r>
      <w:r>
        <w:rPr>
          <w:spacing w:val="-7"/>
          <w:sz w:val="21"/>
          <w:vertAlign w:val="baseline"/>
        </w:rPr>
        <w:t> </w:t>
      </w:r>
      <w:r>
        <w:rPr>
          <w:sz w:val="21"/>
          <w:vertAlign w:val="baseline"/>
        </w:rPr>
        <w:t>in</w:t>
      </w:r>
      <w:r>
        <w:rPr>
          <w:spacing w:val="-8"/>
          <w:sz w:val="21"/>
          <w:vertAlign w:val="baseline"/>
        </w:rPr>
        <w:t> </w:t>
      </w:r>
      <w:r>
        <w:rPr>
          <w:sz w:val="21"/>
          <w:vertAlign w:val="baseline"/>
        </w:rPr>
        <w:t>protective</w:t>
      </w:r>
      <w:r>
        <w:rPr>
          <w:spacing w:val="-9"/>
          <w:sz w:val="21"/>
          <w:vertAlign w:val="baseline"/>
        </w:rPr>
        <w:t> </w:t>
      </w:r>
      <w:r>
        <w:rPr>
          <w:sz w:val="21"/>
          <w:vertAlign w:val="baseline"/>
        </w:rPr>
        <w:t>custody</w:t>
      </w:r>
      <w:r>
        <w:rPr>
          <w:spacing w:val="-8"/>
          <w:sz w:val="21"/>
          <w:vertAlign w:val="baseline"/>
        </w:rPr>
        <w:t> </w:t>
      </w:r>
      <w:r>
        <w:rPr>
          <w:sz w:val="21"/>
          <w:vertAlign w:val="baseline"/>
        </w:rPr>
        <w:t>or</w:t>
      </w:r>
      <w:r>
        <w:rPr>
          <w:spacing w:val="-8"/>
          <w:sz w:val="21"/>
          <w:vertAlign w:val="baseline"/>
        </w:rPr>
        <w:t> </w:t>
      </w:r>
      <w:r>
        <w:rPr>
          <w:sz w:val="21"/>
          <w:vertAlign w:val="baseline"/>
        </w:rPr>
        <w:t>solitary</w:t>
      </w:r>
      <w:r>
        <w:rPr>
          <w:spacing w:val="-8"/>
          <w:sz w:val="21"/>
          <w:vertAlign w:val="baseline"/>
        </w:rPr>
        <w:t> </w:t>
      </w:r>
      <w:r>
        <w:rPr>
          <w:sz w:val="21"/>
          <w:vertAlign w:val="baseline"/>
        </w:rPr>
        <w:t>confinement</w:t>
      </w:r>
      <w:r>
        <w:rPr>
          <w:spacing w:val="-7"/>
          <w:sz w:val="21"/>
          <w:vertAlign w:val="baseline"/>
        </w:rPr>
        <w:t> </w:t>
      </w:r>
      <w:r>
        <w:rPr>
          <w:sz w:val="21"/>
          <w:vertAlign w:val="baseline"/>
        </w:rPr>
        <w:t>under</w:t>
      </w:r>
      <w:r>
        <w:rPr>
          <w:spacing w:val="-9"/>
          <w:sz w:val="21"/>
          <w:vertAlign w:val="baseline"/>
        </w:rPr>
        <w:t> </w:t>
      </w:r>
      <w:r>
        <w:rPr>
          <w:sz w:val="21"/>
          <w:vertAlign w:val="baseline"/>
        </w:rPr>
        <w:t>the mistaken belief that such segregation will protect them.</w:t>
      </w:r>
      <w:r>
        <w:rPr>
          <w:spacing w:val="-12"/>
          <w:sz w:val="21"/>
          <w:vertAlign w:val="baseline"/>
        </w:rPr>
        <w:t> </w:t>
      </w:r>
      <w:hyperlink w:history="true" w:anchor="_bookmark353">
        <w:r>
          <w:rPr>
            <w:sz w:val="21"/>
            <w:vertAlign w:val="superscript"/>
          </w:rPr>
          <w:t>37</w:t>
        </w:r>
      </w:hyperlink>
      <w:r>
        <w:rPr>
          <w:sz w:val="21"/>
          <w:vertAlign w:val="baseline"/>
        </w:rPr>
        <w:t> LGBTQ detainees</w:t>
      </w:r>
      <w:r>
        <w:rPr>
          <w:spacing w:val="-12"/>
          <w:sz w:val="21"/>
          <w:vertAlign w:val="baseline"/>
        </w:rPr>
        <w:t> </w:t>
      </w:r>
      <w:r>
        <w:rPr>
          <w:sz w:val="21"/>
          <w:vertAlign w:val="baseline"/>
        </w:rPr>
        <w:t>confined</w:t>
      </w:r>
      <w:r>
        <w:rPr>
          <w:spacing w:val="-12"/>
          <w:sz w:val="21"/>
          <w:vertAlign w:val="baseline"/>
        </w:rPr>
        <w:t> </w:t>
      </w:r>
      <w:r>
        <w:rPr>
          <w:sz w:val="21"/>
          <w:vertAlign w:val="baseline"/>
        </w:rPr>
        <w:t>for</w:t>
      </w:r>
      <w:r>
        <w:rPr>
          <w:spacing w:val="-12"/>
          <w:sz w:val="21"/>
          <w:vertAlign w:val="baseline"/>
        </w:rPr>
        <w:t> </w:t>
      </w:r>
      <w:r>
        <w:rPr>
          <w:sz w:val="21"/>
          <w:vertAlign w:val="baseline"/>
        </w:rPr>
        <w:t>protection</w:t>
      </w:r>
      <w:r>
        <w:rPr>
          <w:spacing w:val="-12"/>
          <w:sz w:val="21"/>
          <w:vertAlign w:val="baseline"/>
        </w:rPr>
        <w:t> </w:t>
      </w:r>
      <w:r>
        <w:rPr>
          <w:sz w:val="21"/>
          <w:vertAlign w:val="baseline"/>
        </w:rPr>
        <w:t>have</w:t>
      </w:r>
      <w:r>
        <w:rPr>
          <w:spacing w:val="-12"/>
          <w:sz w:val="21"/>
          <w:vertAlign w:val="baseline"/>
        </w:rPr>
        <w:t> </w:t>
      </w:r>
      <w:r>
        <w:rPr>
          <w:sz w:val="21"/>
          <w:vertAlign w:val="baseline"/>
        </w:rPr>
        <w:t>reported</w:t>
      </w:r>
      <w:r>
        <w:rPr>
          <w:spacing w:val="-12"/>
          <w:sz w:val="21"/>
          <w:vertAlign w:val="baseline"/>
        </w:rPr>
        <w:t> </w:t>
      </w:r>
      <w:r>
        <w:rPr>
          <w:sz w:val="21"/>
          <w:vertAlign w:val="baseline"/>
        </w:rPr>
        <w:t>being</w:t>
      </w:r>
      <w:r>
        <w:rPr>
          <w:spacing w:val="-12"/>
          <w:sz w:val="21"/>
          <w:vertAlign w:val="baseline"/>
        </w:rPr>
        <w:t> </w:t>
      </w:r>
      <w:r>
        <w:rPr>
          <w:sz w:val="21"/>
          <w:vertAlign w:val="baseline"/>
        </w:rPr>
        <w:t>isolated</w:t>
      </w:r>
      <w:r>
        <w:rPr>
          <w:spacing w:val="-11"/>
          <w:sz w:val="21"/>
          <w:vertAlign w:val="baseline"/>
        </w:rPr>
        <w:t> </w:t>
      </w:r>
      <w:r>
        <w:rPr>
          <w:sz w:val="21"/>
          <w:vertAlign w:val="baseline"/>
        </w:rPr>
        <w:t>for</w:t>
      </w:r>
      <w:r>
        <w:rPr>
          <w:spacing w:val="-12"/>
          <w:sz w:val="21"/>
          <w:vertAlign w:val="baseline"/>
        </w:rPr>
        <w:t> </w:t>
      </w:r>
      <w:r>
        <w:rPr>
          <w:sz w:val="21"/>
          <w:vertAlign w:val="baseline"/>
        </w:rPr>
        <w:t>up to , deprived of access to libraries, phones, outdoor activities, religious,</w:t>
      </w:r>
      <w:r>
        <w:rPr>
          <w:spacing w:val="-8"/>
          <w:sz w:val="21"/>
          <w:vertAlign w:val="baseline"/>
        </w:rPr>
        <w:t> </w:t>
      </w:r>
      <w:r>
        <w:rPr>
          <w:sz w:val="21"/>
          <w:vertAlign w:val="baseline"/>
        </w:rPr>
        <w:t>and</w:t>
      </w:r>
      <w:r>
        <w:rPr>
          <w:spacing w:val="-10"/>
          <w:sz w:val="21"/>
          <w:vertAlign w:val="baseline"/>
        </w:rPr>
        <w:t> </w:t>
      </w:r>
      <w:r>
        <w:rPr>
          <w:sz w:val="21"/>
          <w:vertAlign w:val="baseline"/>
        </w:rPr>
        <w:t>legal</w:t>
      </w:r>
      <w:r>
        <w:rPr>
          <w:spacing w:val="-9"/>
          <w:sz w:val="21"/>
          <w:vertAlign w:val="baseline"/>
        </w:rPr>
        <w:t> </w:t>
      </w:r>
      <w:r>
        <w:rPr>
          <w:sz w:val="21"/>
          <w:vertAlign w:val="baseline"/>
        </w:rPr>
        <w:t>services</w:t>
      </w:r>
      <w:r>
        <w:rPr>
          <w:spacing w:val="-8"/>
          <w:sz w:val="21"/>
          <w:vertAlign w:val="baseline"/>
        </w:rPr>
        <w:t> </w:t>
      </w:r>
      <w:r>
        <w:rPr>
          <w:sz w:val="21"/>
          <w:vertAlign w:val="baseline"/>
        </w:rPr>
        <w:t>that</w:t>
      </w:r>
      <w:r>
        <w:rPr>
          <w:spacing w:val="-9"/>
          <w:sz w:val="21"/>
          <w:vertAlign w:val="baseline"/>
        </w:rPr>
        <w:t> </w:t>
      </w:r>
      <w:r>
        <w:rPr>
          <w:sz w:val="21"/>
          <w:vertAlign w:val="baseline"/>
        </w:rPr>
        <w:t>are</w:t>
      </w:r>
      <w:r>
        <w:rPr>
          <w:spacing w:val="-9"/>
          <w:sz w:val="21"/>
          <w:vertAlign w:val="baseline"/>
        </w:rPr>
        <w:t> </w:t>
      </w:r>
      <w:r>
        <w:rPr>
          <w:sz w:val="21"/>
          <w:vertAlign w:val="baseline"/>
        </w:rPr>
        <w:t>available</w:t>
      </w:r>
      <w:r>
        <w:rPr>
          <w:spacing w:val="-9"/>
          <w:sz w:val="21"/>
          <w:vertAlign w:val="baseline"/>
        </w:rPr>
        <w:t> </w:t>
      </w:r>
      <w:r>
        <w:rPr>
          <w:sz w:val="21"/>
          <w:vertAlign w:val="baseline"/>
        </w:rPr>
        <w:t>to</w:t>
      </w:r>
      <w:r>
        <w:rPr>
          <w:spacing w:val="-9"/>
          <w:sz w:val="21"/>
          <w:vertAlign w:val="baseline"/>
        </w:rPr>
        <w:t> </w:t>
      </w:r>
      <w:r>
        <w:rPr>
          <w:sz w:val="21"/>
          <w:vertAlign w:val="baseline"/>
        </w:rPr>
        <w:t>the</w:t>
      </w:r>
      <w:r>
        <w:rPr>
          <w:spacing w:val="-10"/>
          <w:sz w:val="21"/>
          <w:vertAlign w:val="baseline"/>
        </w:rPr>
        <w:t> </w:t>
      </w:r>
      <w:r>
        <w:rPr>
          <w:sz w:val="21"/>
          <w:vertAlign w:val="baseline"/>
        </w:rPr>
        <w:t>general</w:t>
      </w:r>
      <w:r>
        <w:rPr>
          <w:spacing w:val="-9"/>
          <w:sz w:val="21"/>
          <w:vertAlign w:val="baseline"/>
        </w:rPr>
        <w:t> </w:t>
      </w:r>
      <w:r>
        <w:rPr>
          <w:sz w:val="21"/>
          <w:vertAlign w:val="baseline"/>
        </w:rPr>
        <w:t>detainee population.</w:t>
      </w:r>
      <w:hyperlink w:history="true" w:anchor="_bookmark354">
        <w:r>
          <w:rPr>
            <w:sz w:val="21"/>
            <w:vertAlign w:val="superscript"/>
          </w:rPr>
          <w:t>38</w:t>
        </w:r>
      </w:hyperlink>
      <w:r>
        <w:rPr>
          <w:spacing w:val="-3"/>
          <w:sz w:val="21"/>
          <w:vertAlign w:val="baseline"/>
        </w:rPr>
        <w:t> </w:t>
      </w:r>
      <w:r>
        <w:rPr>
          <w:sz w:val="21"/>
          <w:vertAlign w:val="baseline"/>
        </w:rPr>
        <w:t>The</w:t>
      </w:r>
      <w:r>
        <w:rPr>
          <w:spacing w:val="-5"/>
          <w:sz w:val="21"/>
          <w:vertAlign w:val="baseline"/>
        </w:rPr>
        <w:t> </w:t>
      </w:r>
      <w:r>
        <w:rPr>
          <w:sz w:val="21"/>
          <w:vertAlign w:val="baseline"/>
        </w:rPr>
        <w:t>psychological</w:t>
      </w:r>
      <w:r>
        <w:rPr>
          <w:spacing w:val="-5"/>
          <w:sz w:val="21"/>
          <w:vertAlign w:val="baseline"/>
        </w:rPr>
        <w:t> </w:t>
      </w:r>
      <w:r>
        <w:rPr>
          <w:sz w:val="21"/>
          <w:vertAlign w:val="baseline"/>
        </w:rPr>
        <w:t>toll</w:t>
      </w:r>
      <w:r>
        <w:rPr>
          <w:spacing w:val="-6"/>
          <w:sz w:val="21"/>
          <w:vertAlign w:val="baseline"/>
        </w:rPr>
        <w:t> </w:t>
      </w:r>
      <w:r>
        <w:rPr>
          <w:sz w:val="21"/>
          <w:vertAlign w:val="baseline"/>
        </w:rPr>
        <w:t>of</w:t>
      </w:r>
      <w:r>
        <w:rPr>
          <w:spacing w:val="-6"/>
          <w:sz w:val="21"/>
          <w:vertAlign w:val="baseline"/>
        </w:rPr>
        <w:t> </w:t>
      </w:r>
      <w:r>
        <w:rPr>
          <w:sz w:val="21"/>
          <w:vertAlign w:val="baseline"/>
        </w:rPr>
        <w:t>solitary</w:t>
      </w:r>
      <w:r>
        <w:rPr>
          <w:spacing w:val="-6"/>
          <w:sz w:val="21"/>
          <w:vertAlign w:val="baseline"/>
        </w:rPr>
        <w:t> </w:t>
      </w:r>
      <w:r>
        <w:rPr>
          <w:sz w:val="21"/>
          <w:vertAlign w:val="baseline"/>
        </w:rPr>
        <w:t>confinement</w:t>
      </w:r>
      <w:r>
        <w:rPr>
          <w:spacing w:val="-5"/>
          <w:sz w:val="21"/>
          <w:vertAlign w:val="baseline"/>
        </w:rPr>
        <w:t> </w:t>
      </w:r>
      <w:r>
        <w:rPr>
          <w:sz w:val="21"/>
          <w:vertAlign w:val="baseline"/>
        </w:rPr>
        <w:t>has</w:t>
      </w:r>
      <w:r>
        <w:rPr>
          <w:spacing w:val="-6"/>
          <w:sz w:val="21"/>
          <w:vertAlign w:val="baseline"/>
        </w:rPr>
        <w:t> </w:t>
      </w:r>
      <w:r>
        <w:rPr>
          <w:sz w:val="21"/>
          <w:vertAlign w:val="baseline"/>
        </w:rPr>
        <w:t>been well-documented by psychologists, and its impacts include severe anxiety, depression, paranoia, hallucinations, and a propensity for impulsive,</w:t>
      </w:r>
      <w:r>
        <w:rPr>
          <w:spacing w:val="29"/>
          <w:sz w:val="21"/>
          <w:vertAlign w:val="baseline"/>
        </w:rPr>
        <w:t>  </w:t>
      </w:r>
      <w:r>
        <w:rPr>
          <w:sz w:val="21"/>
          <w:vertAlign w:val="baseline"/>
        </w:rPr>
        <w:t>self-harmful</w:t>
      </w:r>
      <w:r>
        <w:rPr>
          <w:spacing w:val="29"/>
          <w:sz w:val="21"/>
          <w:vertAlign w:val="baseline"/>
        </w:rPr>
        <w:t>  </w:t>
      </w:r>
      <w:r>
        <w:rPr>
          <w:sz w:val="21"/>
          <w:vertAlign w:val="baseline"/>
        </w:rPr>
        <w:t>behaviors.</w:t>
      </w:r>
      <w:r>
        <w:rPr>
          <w:spacing w:val="46"/>
          <w:sz w:val="21"/>
          <w:vertAlign w:val="baseline"/>
        </w:rPr>
        <w:t> </w:t>
      </w:r>
      <w:hyperlink w:history="true" w:anchor="_bookmark355">
        <w:r>
          <w:rPr>
            <w:sz w:val="21"/>
            <w:vertAlign w:val="superscript"/>
          </w:rPr>
          <w:t>39</w:t>
        </w:r>
      </w:hyperlink>
      <w:r>
        <w:rPr>
          <w:spacing w:val="62"/>
          <w:w w:val="150"/>
          <w:sz w:val="21"/>
          <w:vertAlign w:val="baseline"/>
        </w:rPr>
        <w:t> </w:t>
      </w:r>
      <w:r>
        <w:rPr>
          <w:sz w:val="21"/>
          <w:vertAlign w:val="baseline"/>
        </w:rPr>
        <w:t>The</w:t>
      </w:r>
      <w:r>
        <w:rPr>
          <w:spacing w:val="28"/>
          <w:sz w:val="21"/>
          <w:vertAlign w:val="baseline"/>
        </w:rPr>
        <w:t>  </w:t>
      </w:r>
      <w:r>
        <w:rPr>
          <w:sz w:val="21"/>
          <w:vertAlign w:val="baseline"/>
        </w:rPr>
        <w:t>Commission</w:t>
      </w:r>
      <w:r>
        <w:rPr>
          <w:spacing w:val="30"/>
          <w:sz w:val="21"/>
          <w:vertAlign w:val="baseline"/>
        </w:rPr>
        <w:t>  </w:t>
      </w:r>
      <w:r>
        <w:rPr>
          <w:spacing w:val="-2"/>
          <w:sz w:val="21"/>
          <w:vertAlign w:val="baseline"/>
        </w:rPr>
        <w:t>strongly</w:t>
      </w:r>
    </w:p>
    <w:p>
      <w:pPr>
        <w:spacing w:line="276" w:lineRule="auto" w:before="0"/>
        <w:ind w:left="463" w:right="241" w:firstLine="0"/>
        <w:jc w:val="both"/>
        <w:rPr>
          <w:sz w:val="21"/>
        </w:rPr>
      </w:pPr>
      <w:r>
        <w:rPr>
          <w:sz w:val="21"/>
        </w:rPr>
        <w:t>recommends that Massachusetts undertake additional research to gain a deeper understanding of the experiences faced by LGBTQ youth detained in the state's immigration facilities.</w:t>
      </w:r>
    </w:p>
    <w:p>
      <w:pPr>
        <w:spacing w:line="276" w:lineRule="auto" w:before="240"/>
        <w:ind w:left="463" w:right="240" w:firstLine="0"/>
        <w:jc w:val="both"/>
        <w:rPr>
          <w:sz w:val="21"/>
        </w:rPr>
      </w:pPr>
      <w:r>
        <w:rPr>
          <w:sz w:val="21"/>
        </w:rPr>
        <w:t>LGBTQ youth disproportionately engage in drug use and sales, which places them at higher risk of arrest and</w:t>
      </w:r>
      <w:r>
        <w:rPr>
          <w:spacing w:val="-4"/>
          <w:sz w:val="21"/>
        </w:rPr>
        <w:t> </w:t>
      </w:r>
      <w:r>
        <w:rPr>
          <w:sz w:val="21"/>
        </w:rPr>
        <w:t>conviction</w:t>
      </w:r>
      <w:r>
        <w:rPr>
          <w:spacing w:val="-4"/>
          <w:sz w:val="21"/>
        </w:rPr>
        <w:t> </w:t>
      </w:r>
      <w:r>
        <w:rPr>
          <w:sz w:val="21"/>
        </w:rPr>
        <w:t>for</w:t>
      </w:r>
      <w:r>
        <w:rPr>
          <w:spacing w:val="-4"/>
          <w:sz w:val="21"/>
        </w:rPr>
        <w:t> </w:t>
      </w:r>
      <w:r>
        <w:rPr>
          <w:sz w:val="21"/>
        </w:rPr>
        <w:t>drug</w:t>
      </w:r>
      <w:r>
        <w:rPr>
          <w:spacing w:val="-5"/>
          <w:sz w:val="21"/>
        </w:rPr>
        <w:t> </w:t>
      </w:r>
      <w:r>
        <w:rPr>
          <w:sz w:val="21"/>
        </w:rPr>
        <w:t>offenses.</w:t>
      </w:r>
      <w:hyperlink w:history="true" w:anchor="_bookmark356">
        <w:r>
          <w:rPr>
            <w:sz w:val="21"/>
            <w:vertAlign w:val="superscript"/>
          </w:rPr>
          <w:t>40</w:t>
        </w:r>
      </w:hyperlink>
      <w:r>
        <w:rPr>
          <w:spacing w:val="-2"/>
          <w:sz w:val="21"/>
          <w:vertAlign w:val="baseline"/>
        </w:rPr>
        <w:t> </w:t>
      </w:r>
      <w:r>
        <w:rPr>
          <w:sz w:val="21"/>
          <w:vertAlign w:val="baseline"/>
        </w:rPr>
        <w:t>Drug</w:t>
      </w:r>
      <w:r>
        <w:rPr>
          <w:spacing w:val="-6"/>
          <w:sz w:val="21"/>
          <w:vertAlign w:val="baseline"/>
        </w:rPr>
        <w:t> </w:t>
      </w:r>
      <w:r>
        <w:rPr>
          <w:sz w:val="21"/>
          <w:vertAlign w:val="baseline"/>
        </w:rPr>
        <w:t>use</w:t>
      </w:r>
      <w:r>
        <w:rPr>
          <w:spacing w:val="-4"/>
          <w:sz w:val="21"/>
          <w:vertAlign w:val="baseline"/>
        </w:rPr>
        <w:t> </w:t>
      </w:r>
      <w:r>
        <w:rPr>
          <w:sz w:val="21"/>
          <w:vertAlign w:val="baseline"/>
        </w:rPr>
        <w:t>can</w:t>
      </w:r>
      <w:r>
        <w:rPr>
          <w:spacing w:val="-4"/>
          <w:sz w:val="21"/>
          <w:vertAlign w:val="baseline"/>
        </w:rPr>
        <w:t> </w:t>
      </w:r>
      <w:r>
        <w:rPr>
          <w:sz w:val="21"/>
          <w:vertAlign w:val="baseline"/>
        </w:rPr>
        <w:t>be</w:t>
      </w:r>
      <w:r>
        <w:rPr>
          <w:spacing w:val="-6"/>
          <w:sz w:val="21"/>
          <w:vertAlign w:val="baseline"/>
        </w:rPr>
        <w:t> </w:t>
      </w:r>
      <w:r>
        <w:rPr>
          <w:sz w:val="21"/>
          <w:vertAlign w:val="baseline"/>
        </w:rPr>
        <w:t>a</w:t>
      </w:r>
      <w:r>
        <w:rPr>
          <w:spacing w:val="-5"/>
          <w:sz w:val="21"/>
          <w:vertAlign w:val="baseline"/>
        </w:rPr>
        <w:t> </w:t>
      </w:r>
      <w:r>
        <w:rPr>
          <w:sz w:val="21"/>
          <w:vertAlign w:val="baseline"/>
        </w:rPr>
        <w:t>coping</w:t>
      </w:r>
      <w:r>
        <w:rPr>
          <w:spacing w:val="-5"/>
          <w:sz w:val="21"/>
          <w:vertAlign w:val="baseline"/>
        </w:rPr>
        <w:t> </w:t>
      </w:r>
      <w:r>
        <w:rPr>
          <w:sz w:val="21"/>
          <w:vertAlign w:val="baseline"/>
        </w:rPr>
        <w:t>mechanism</w:t>
      </w:r>
      <w:r>
        <w:rPr>
          <w:spacing w:val="-4"/>
          <w:sz w:val="21"/>
          <w:vertAlign w:val="baseline"/>
        </w:rPr>
        <w:t> </w:t>
      </w:r>
      <w:r>
        <w:rPr>
          <w:sz w:val="21"/>
          <w:vertAlign w:val="baseline"/>
        </w:rPr>
        <w:t>for</w:t>
      </w:r>
      <w:r>
        <w:rPr>
          <w:spacing w:val="-4"/>
          <w:sz w:val="21"/>
          <w:vertAlign w:val="baseline"/>
        </w:rPr>
        <w:t> </w:t>
      </w:r>
      <w:r>
        <w:rPr>
          <w:sz w:val="21"/>
          <w:vertAlign w:val="baseline"/>
        </w:rPr>
        <w:t>many</w:t>
      </w:r>
      <w:r>
        <w:rPr>
          <w:spacing w:val="-6"/>
          <w:sz w:val="21"/>
          <w:vertAlign w:val="baseline"/>
        </w:rPr>
        <w:t> </w:t>
      </w:r>
      <w:r>
        <w:rPr>
          <w:sz w:val="21"/>
          <w:vertAlign w:val="baseline"/>
        </w:rPr>
        <w:t>LGBTQ</w:t>
      </w:r>
      <w:r>
        <w:rPr>
          <w:spacing w:val="-4"/>
          <w:sz w:val="21"/>
          <w:vertAlign w:val="baseline"/>
        </w:rPr>
        <w:t> </w:t>
      </w:r>
      <w:r>
        <w:rPr>
          <w:sz w:val="21"/>
          <w:vertAlign w:val="baseline"/>
        </w:rPr>
        <w:t>youths</w:t>
      </w:r>
      <w:r>
        <w:rPr>
          <w:spacing w:val="-5"/>
          <w:sz w:val="21"/>
          <w:vertAlign w:val="baseline"/>
        </w:rPr>
        <w:t> </w:t>
      </w:r>
      <w:r>
        <w:rPr>
          <w:sz w:val="21"/>
          <w:vertAlign w:val="baseline"/>
        </w:rPr>
        <w:t>subjected to sexual-prejudice stigma and discrimination.</w:t>
      </w:r>
      <w:r>
        <w:rPr>
          <w:spacing w:val="-12"/>
          <w:sz w:val="21"/>
          <w:vertAlign w:val="baseline"/>
        </w:rPr>
        <w:t> </w:t>
      </w:r>
      <w:hyperlink w:history="true" w:anchor="_bookmark357">
        <w:r>
          <w:rPr>
            <w:sz w:val="21"/>
            <w:vertAlign w:val="superscript"/>
          </w:rPr>
          <w:t>41</w:t>
        </w:r>
      </w:hyperlink>
      <w:r>
        <w:rPr>
          <w:sz w:val="21"/>
          <w:vertAlign w:val="baseline"/>
        </w:rPr>
        <w:t> A recent study discovered a notably higher rate of marijuana use among sexual minority youth in neighborhoods experiencing a greater number of LGBT assault hate crimes.</w:t>
      </w:r>
      <w:r>
        <w:rPr>
          <w:spacing w:val="-12"/>
          <w:sz w:val="21"/>
          <w:vertAlign w:val="baseline"/>
        </w:rPr>
        <w:t> </w:t>
      </w:r>
      <w:hyperlink w:history="true" w:anchor="_bookmark358">
        <w:r>
          <w:rPr>
            <w:sz w:val="21"/>
            <w:vertAlign w:val="superscript"/>
          </w:rPr>
          <w:t>42</w:t>
        </w:r>
      </w:hyperlink>
      <w:r>
        <w:rPr>
          <w:sz w:val="21"/>
          <w:vertAlign w:val="baseline"/>
        </w:rPr>
        <w:t> These findings indicate that the context of the neighborhood, specifically the prevalence of LGBT hate crimes, might play a role in the differences observed in marijuana use based on sexual orientation. LGBTQ youth start using substances at an earlier age and have higher rates of use and misuse than their heterosexual and cisgender peers.</w:t>
      </w:r>
      <w:r>
        <w:rPr>
          <w:spacing w:val="-12"/>
          <w:sz w:val="21"/>
          <w:vertAlign w:val="baseline"/>
        </w:rPr>
        <w:t> </w:t>
      </w:r>
      <w:hyperlink w:history="true" w:anchor="_bookmark359">
        <w:r>
          <w:rPr>
            <w:sz w:val="21"/>
            <w:vertAlign w:val="superscript"/>
          </w:rPr>
          <w:t>43</w:t>
        </w:r>
      </w:hyperlink>
      <w:r>
        <w:rPr>
          <w:sz w:val="21"/>
          <w:vertAlign w:val="baseline"/>
        </w:rPr>
        <w:t> This pattern persists despite overall declines in substance use among the general youth population. National research indicates that 80% of young individuals in state juvenile legal systems were either under the influence drugs or alcohol at the time of their</w:t>
      </w:r>
      <w:r>
        <w:rPr>
          <w:spacing w:val="-10"/>
          <w:sz w:val="21"/>
          <w:vertAlign w:val="baseline"/>
        </w:rPr>
        <w:t> </w:t>
      </w:r>
      <w:r>
        <w:rPr>
          <w:sz w:val="21"/>
          <w:vertAlign w:val="baseline"/>
        </w:rPr>
        <w:t>offense(s),</w:t>
      </w:r>
      <w:r>
        <w:rPr>
          <w:spacing w:val="-10"/>
          <w:sz w:val="21"/>
          <w:vertAlign w:val="baseline"/>
        </w:rPr>
        <w:t> </w:t>
      </w:r>
      <w:r>
        <w:rPr>
          <w:sz w:val="21"/>
          <w:vertAlign w:val="baseline"/>
        </w:rPr>
        <w:t>tested</w:t>
      </w:r>
      <w:r>
        <w:rPr>
          <w:spacing w:val="-10"/>
          <w:sz w:val="21"/>
          <w:vertAlign w:val="baseline"/>
        </w:rPr>
        <w:t> </w:t>
      </w:r>
      <w:r>
        <w:rPr>
          <w:sz w:val="21"/>
          <w:vertAlign w:val="baseline"/>
        </w:rPr>
        <w:t>positive</w:t>
      </w:r>
      <w:r>
        <w:rPr>
          <w:spacing w:val="-10"/>
          <w:sz w:val="21"/>
          <w:vertAlign w:val="baseline"/>
        </w:rPr>
        <w:t> </w:t>
      </w:r>
      <w:r>
        <w:rPr>
          <w:sz w:val="21"/>
          <w:vertAlign w:val="baseline"/>
        </w:rPr>
        <w:t>for</w:t>
      </w:r>
      <w:r>
        <w:rPr>
          <w:spacing w:val="-10"/>
          <w:sz w:val="21"/>
          <w:vertAlign w:val="baseline"/>
        </w:rPr>
        <w:t> </w:t>
      </w:r>
      <w:r>
        <w:rPr>
          <w:sz w:val="21"/>
          <w:vertAlign w:val="baseline"/>
        </w:rPr>
        <w:t>substances,</w:t>
      </w:r>
      <w:r>
        <w:rPr>
          <w:spacing w:val="-10"/>
          <w:sz w:val="21"/>
          <w:vertAlign w:val="baseline"/>
        </w:rPr>
        <w:t> </w:t>
      </w:r>
      <w:r>
        <w:rPr>
          <w:sz w:val="21"/>
          <w:vertAlign w:val="baseline"/>
        </w:rPr>
        <w:t>were</w:t>
      </w:r>
      <w:r>
        <w:rPr>
          <w:spacing w:val="-10"/>
          <w:sz w:val="21"/>
          <w:vertAlign w:val="baseline"/>
        </w:rPr>
        <w:t> </w:t>
      </w:r>
      <w:r>
        <w:rPr>
          <w:sz w:val="21"/>
          <w:vertAlign w:val="baseline"/>
        </w:rPr>
        <w:t>detained</w:t>
      </w:r>
      <w:r>
        <w:rPr>
          <w:spacing w:val="-10"/>
          <w:sz w:val="21"/>
          <w:vertAlign w:val="baseline"/>
        </w:rPr>
        <w:t> </w:t>
      </w:r>
      <w:r>
        <w:rPr>
          <w:sz w:val="21"/>
          <w:vertAlign w:val="baseline"/>
        </w:rPr>
        <w:t>for</w:t>
      </w:r>
      <w:r>
        <w:rPr>
          <w:spacing w:val="-10"/>
          <w:sz w:val="21"/>
          <w:vertAlign w:val="baseline"/>
        </w:rPr>
        <w:t> </w:t>
      </w:r>
      <w:r>
        <w:rPr>
          <w:sz w:val="21"/>
          <w:vertAlign w:val="baseline"/>
        </w:rPr>
        <w:t>alcohol</w:t>
      </w:r>
      <w:r>
        <w:rPr>
          <w:spacing w:val="-10"/>
          <w:sz w:val="21"/>
          <w:vertAlign w:val="baseline"/>
        </w:rPr>
        <w:t> </w:t>
      </w:r>
      <w:r>
        <w:rPr>
          <w:sz w:val="21"/>
          <w:vertAlign w:val="baseline"/>
        </w:rPr>
        <w:t>or</w:t>
      </w:r>
      <w:r>
        <w:rPr>
          <w:spacing w:val="-10"/>
          <w:sz w:val="21"/>
          <w:vertAlign w:val="baseline"/>
        </w:rPr>
        <w:t> </w:t>
      </w:r>
      <w:r>
        <w:rPr>
          <w:sz w:val="21"/>
          <w:vertAlign w:val="baseline"/>
        </w:rPr>
        <w:t>drug-related</w:t>
      </w:r>
      <w:r>
        <w:rPr>
          <w:spacing w:val="-10"/>
          <w:sz w:val="21"/>
          <w:vertAlign w:val="baseline"/>
        </w:rPr>
        <w:t> </w:t>
      </w:r>
      <w:r>
        <w:rPr>
          <w:sz w:val="21"/>
          <w:vertAlign w:val="baseline"/>
        </w:rPr>
        <w:t>crimes,</w:t>
      </w:r>
      <w:r>
        <w:rPr>
          <w:spacing w:val="-10"/>
          <w:sz w:val="21"/>
          <w:vertAlign w:val="baseline"/>
        </w:rPr>
        <w:t> </w:t>
      </w:r>
      <w:r>
        <w:rPr>
          <w:sz w:val="21"/>
          <w:vertAlign w:val="baseline"/>
        </w:rPr>
        <w:t>confessed to struggling with substance abuse or addiction, or exhibited a mix of these factors.</w:t>
      </w:r>
      <w:hyperlink w:history="true" w:anchor="_bookmark360">
        <w:r>
          <w:rPr>
            <w:sz w:val="21"/>
            <w:vertAlign w:val="superscript"/>
          </w:rPr>
          <w:t>44</w:t>
        </w:r>
      </w:hyperlink>
      <w:r>
        <w:rPr>
          <w:spacing w:val="-2"/>
          <w:sz w:val="21"/>
          <w:vertAlign w:val="baseline"/>
        </w:rPr>
        <w:t> </w:t>
      </w:r>
      <w:r>
        <w:rPr>
          <w:sz w:val="21"/>
          <w:vertAlign w:val="baseline"/>
        </w:rPr>
        <w:t>Approximately 10% of</w:t>
      </w:r>
      <w:r>
        <w:rPr>
          <w:spacing w:val="-11"/>
          <w:sz w:val="21"/>
          <w:vertAlign w:val="baseline"/>
        </w:rPr>
        <w:t> </w:t>
      </w:r>
      <w:r>
        <w:rPr>
          <w:sz w:val="21"/>
          <w:vertAlign w:val="baseline"/>
        </w:rPr>
        <w:t>all</w:t>
      </w:r>
      <w:r>
        <w:rPr>
          <w:spacing w:val="-10"/>
          <w:sz w:val="21"/>
          <w:vertAlign w:val="baseline"/>
        </w:rPr>
        <w:t> </w:t>
      </w:r>
      <w:r>
        <w:rPr>
          <w:sz w:val="21"/>
          <w:vertAlign w:val="baseline"/>
        </w:rPr>
        <w:t>juvenile</w:t>
      </w:r>
      <w:r>
        <w:rPr>
          <w:spacing w:val="-10"/>
          <w:sz w:val="21"/>
          <w:vertAlign w:val="baseline"/>
        </w:rPr>
        <w:t> </w:t>
      </w:r>
      <w:r>
        <w:rPr>
          <w:sz w:val="21"/>
          <w:vertAlign w:val="baseline"/>
        </w:rPr>
        <w:t>arrests</w:t>
      </w:r>
      <w:r>
        <w:rPr>
          <w:spacing w:val="-11"/>
          <w:sz w:val="21"/>
          <w:vertAlign w:val="baseline"/>
        </w:rPr>
        <w:t> </w:t>
      </w:r>
      <w:r>
        <w:rPr>
          <w:sz w:val="21"/>
          <w:vertAlign w:val="baseline"/>
        </w:rPr>
        <w:t>in</w:t>
      </w:r>
      <w:r>
        <w:rPr>
          <w:spacing w:val="-10"/>
          <w:sz w:val="21"/>
          <w:vertAlign w:val="baseline"/>
        </w:rPr>
        <w:t> </w:t>
      </w:r>
      <w:r>
        <w:rPr>
          <w:sz w:val="21"/>
          <w:vertAlign w:val="baseline"/>
        </w:rPr>
        <w:t>the</w:t>
      </w:r>
      <w:r>
        <w:rPr>
          <w:spacing w:val="-12"/>
          <w:sz w:val="21"/>
          <w:vertAlign w:val="baseline"/>
        </w:rPr>
        <w:t> </w:t>
      </w:r>
      <w:r>
        <w:rPr>
          <w:sz w:val="21"/>
          <w:vertAlign w:val="baseline"/>
        </w:rPr>
        <w:t>United</w:t>
      </w:r>
      <w:r>
        <w:rPr>
          <w:spacing w:val="-9"/>
          <w:sz w:val="21"/>
          <w:vertAlign w:val="baseline"/>
        </w:rPr>
        <w:t> </w:t>
      </w:r>
      <w:r>
        <w:rPr>
          <w:sz w:val="21"/>
          <w:vertAlign w:val="baseline"/>
        </w:rPr>
        <w:t>States</w:t>
      </w:r>
      <w:r>
        <w:rPr>
          <w:spacing w:val="-12"/>
          <w:sz w:val="21"/>
          <w:vertAlign w:val="baseline"/>
        </w:rPr>
        <w:t> </w:t>
      </w:r>
      <w:r>
        <w:rPr>
          <w:sz w:val="21"/>
          <w:vertAlign w:val="baseline"/>
        </w:rPr>
        <w:t>in</w:t>
      </w:r>
      <w:r>
        <w:rPr>
          <w:spacing w:val="-10"/>
          <w:sz w:val="21"/>
          <w:vertAlign w:val="baseline"/>
        </w:rPr>
        <w:t> </w:t>
      </w:r>
      <w:r>
        <w:rPr>
          <w:sz w:val="21"/>
          <w:vertAlign w:val="baseline"/>
        </w:rPr>
        <w:t>2020</w:t>
      </w:r>
      <w:r>
        <w:rPr>
          <w:spacing w:val="-11"/>
          <w:sz w:val="21"/>
          <w:vertAlign w:val="baseline"/>
        </w:rPr>
        <w:t> </w:t>
      </w:r>
      <w:r>
        <w:rPr>
          <w:sz w:val="21"/>
          <w:vertAlign w:val="baseline"/>
        </w:rPr>
        <w:t>were</w:t>
      </w:r>
      <w:r>
        <w:rPr>
          <w:spacing w:val="-10"/>
          <w:sz w:val="21"/>
          <w:vertAlign w:val="baseline"/>
        </w:rPr>
        <w:t> </w:t>
      </w:r>
      <w:r>
        <w:rPr>
          <w:sz w:val="21"/>
          <w:vertAlign w:val="baseline"/>
        </w:rPr>
        <w:t>related</w:t>
      </w:r>
      <w:r>
        <w:rPr>
          <w:spacing w:val="-10"/>
          <w:sz w:val="21"/>
          <w:vertAlign w:val="baseline"/>
        </w:rPr>
        <w:t> </w:t>
      </w:r>
      <w:r>
        <w:rPr>
          <w:sz w:val="21"/>
          <w:vertAlign w:val="baseline"/>
        </w:rPr>
        <w:t>to</w:t>
      </w:r>
      <w:r>
        <w:rPr>
          <w:spacing w:val="-11"/>
          <w:sz w:val="21"/>
          <w:vertAlign w:val="baseline"/>
        </w:rPr>
        <w:t> </w:t>
      </w:r>
      <w:r>
        <w:rPr>
          <w:sz w:val="21"/>
          <w:vertAlign w:val="baseline"/>
        </w:rPr>
        <w:t>drug</w:t>
      </w:r>
      <w:r>
        <w:rPr>
          <w:spacing w:val="-12"/>
          <w:sz w:val="21"/>
          <w:vertAlign w:val="baseline"/>
        </w:rPr>
        <w:t> </w:t>
      </w:r>
      <w:r>
        <w:rPr>
          <w:sz w:val="21"/>
          <w:vertAlign w:val="baseline"/>
        </w:rPr>
        <w:t>abuse</w:t>
      </w:r>
      <w:r>
        <w:rPr>
          <w:spacing w:val="-9"/>
          <w:sz w:val="21"/>
          <w:vertAlign w:val="baseline"/>
        </w:rPr>
        <w:t> </w:t>
      </w:r>
      <w:r>
        <w:rPr>
          <w:sz w:val="21"/>
          <w:vertAlign w:val="baseline"/>
        </w:rPr>
        <w:t>violations.</w:t>
      </w:r>
      <w:hyperlink w:history="true" w:anchor="_bookmark361">
        <w:r>
          <w:rPr>
            <w:sz w:val="21"/>
            <w:vertAlign w:val="superscript"/>
          </w:rPr>
          <w:t>45</w:t>
        </w:r>
      </w:hyperlink>
      <w:r>
        <w:rPr>
          <w:spacing w:val="-2"/>
          <w:sz w:val="21"/>
          <w:vertAlign w:val="baseline"/>
        </w:rPr>
        <w:t> </w:t>
      </w:r>
      <w:r>
        <w:rPr>
          <w:sz w:val="21"/>
          <w:vertAlign w:val="baseline"/>
        </w:rPr>
        <w:t>Moreover,</w:t>
      </w:r>
      <w:r>
        <w:rPr>
          <w:spacing w:val="-10"/>
          <w:sz w:val="21"/>
          <w:vertAlign w:val="baseline"/>
        </w:rPr>
        <w:t> </w:t>
      </w:r>
      <w:r>
        <w:rPr>
          <w:sz w:val="21"/>
          <w:vertAlign w:val="baseline"/>
        </w:rPr>
        <w:t>LGBTQ communities</w:t>
      </w:r>
      <w:r>
        <w:rPr>
          <w:spacing w:val="-7"/>
          <w:sz w:val="21"/>
          <w:vertAlign w:val="baseline"/>
        </w:rPr>
        <w:t> </w:t>
      </w:r>
      <w:r>
        <w:rPr>
          <w:sz w:val="21"/>
          <w:vertAlign w:val="baseline"/>
        </w:rPr>
        <w:t>have</w:t>
      </w:r>
      <w:r>
        <w:rPr>
          <w:spacing w:val="-7"/>
          <w:sz w:val="21"/>
          <w:vertAlign w:val="baseline"/>
        </w:rPr>
        <w:t> </w:t>
      </w:r>
      <w:r>
        <w:rPr>
          <w:sz w:val="21"/>
          <w:vertAlign w:val="baseline"/>
        </w:rPr>
        <w:t>historically</w:t>
      </w:r>
      <w:r>
        <w:rPr>
          <w:spacing w:val="-7"/>
          <w:sz w:val="21"/>
          <w:vertAlign w:val="baseline"/>
        </w:rPr>
        <w:t> </w:t>
      </w:r>
      <w:r>
        <w:rPr>
          <w:sz w:val="21"/>
          <w:vertAlign w:val="baseline"/>
        </w:rPr>
        <w:t>faced</w:t>
      </w:r>
      <w:r>
        <w:rPr>
          <w:spacing w:val="-7"/>
          <w:sz w:val="21"/>
          <w:vertAlign w:val="baseline"/>
        </w:rPr>
        <w:t> </w:t>
      </w:r>
      <w:r>
        <w:rPr>
          <w:sz w:val="21"/>
          <w:vertAlign w:val="baseline"/>
        </w:rPr>
        <w:t>hyper-policing</w:t>
      </w:r>
      <w:r>
        <w:rPr>
          <w:spacing w:val="-7"/>
          <w:sz w:val="21"/>
          <w:vertAlign w:val="baseline"/>
        </w:rPr>
        <w:t> </w:t>
      </w:r>
      <w:r>
        <w:rPr>
          <w:sz w:val="21"/>
          <w:vertAlign w:val="baseline"/>
        </w:rPr>
        <w:t>intended</w:t>
      </w:r>
      <w:r>
        <w:rPr>
          <w:spacing w:val="-7"/>
          <w:sz w:val="21"/>
          <w:vertAlign w:val="baseline"/>
        </w:rPr>
        <w:t> </w:t>
      </w:r>
      <w:r>
        <w:rPr>
          <w:sz w:val="21"/>
          <w:vertAlign w:val="baseline"/>
        </w:rPr>
        <w:t>to</w:t>
      </w:r>
      <w:r>
        <w:rPr>
          <w:spacing w:val="-7"/>
          <w:sz w:val="21"/>
          <w:vertAlign w:val="baseline"/>
        </w:rPr>
        <w:t> </w:t>
      </w:r>
      <w:r>
        <w:rPr>
          <w:sz w:val="21"/>
          <w:vertAlign w:val="baseline"/>
        </w:rPr>
        <w:t>enforce</w:t>
      </w:r>
      <w:r>
        <w:rPr>
          <w:spacing w:val="-7"/>
          <w:sz w:val="21"/>
          <w:vertAlign w:val="baseline"/>
        </w:rPr>
        <w:t> </w:t>
      </w:r>
      <w:r>
        <w:rPr>
          <w:sz w:val="21"/>
          <w:vertAlign w:val="baseline"/>
        </w:rPr>
        <w:t>cisgender</w:t>
      </w:r>
      <w:r>
        <w:rPr>
          <w:spacing w:val="-7"/>
          <w:sz w:val="21"/>
          <w:vertAlign w:val="baseline"/>
        </w:rPr>
        <w:t> </w:t>
      </w:r>
      <w:r>
        <w:rPr>
          <w:sz w:val="21"/>
          <w:vertAlign w:val="baseline"/>
        </w:rPr>
        <w:t>and</w:t>
      </w:r>
      <w:r>
        <w:rPr>
          <w:spacing w:val="-7"/>
          <w:sz w:val="21"/>
          <w:vertAlign w:val="baseline"/>
        </w:rPr>
        <w:t> </w:t>
      </w:r>
      <w:r>
        <w:rPr>
          <w:sz w:val="21"/>
          <w:vertAlign w:val="baseline"/>
        </w:rPr>
        <w:t>heterosexual</w:t>
      </w:r>
      <w:r>
        <w:rPr>
          <w:spacing w:val="-7"/>
          <w:sz w:val="21"/>
          <w:vertAlign w:val="baseline"/>
        </w:rPr>
        <w:t> </w:t>
      </w:r>
      <w:r>
        <w:rPr>
          <w:sz w:val="21"/>
          <w:vertAlign w:val="baseline"/>
        </w:rPr>
        <w:t>norms, further increasing their risk of being arrested for their use or misuse of drugs.</w:t>
      </w:r>
    </w:p>
    <w:p>
      <w:pPr>
        <w:spacing w:before="239"/>
        <w:ind w:left="464" w:right="0" w:firstLine="0"/>
        <w:jc w:val="both"/>
        <w:rPr>
          <w:sz w:val="26"/>
        </w:rPr>
      </w:pPr>
      <w:bookmarkStart w:name="The Foster Care-to-Prison Pipeline" w:id="545"/>
      <w:bookmarkEnd w:id="545"/>
      <w:r>
        <w:rPr/>
      </w:r>
      <w:r>
        <w:rPr>
          <w:color w:val="404040"/>
          <w:sz w:val="26"/>
        </w:rPr>
        <w:t>The</w:t>
      </w:r>
      <w:r>
        <w:rPr>
          <w:color w:val="404040"/>
          <w:spacing w:val="-4"/>
          <w:sz w:val="26"/>
        </w:rPr>
        <w:t> </w:t>
      </w:r>
      <w:r>
        <w:rPr>
          <w:color w:val="404040"/>
          <w:sz w:val="26"/>
        </w:rPr>
        <w:t>Foster</w:t>
      </w:r>
      <w:r>
        <w:rPr>
          <w:color w:val="404040"/>
          <w:spacing w:val="-4"/>
          <w:sz w:val="26"/>
        </w:rPr>
        <w:t> </w:t>
      </w:r>
      <w:r>
        <w:rPr>
          <w:color w:val="404040"/>
          <w:sz w:val="26"/>
        </w:rPr>
        <w:t>Care-to-Prison</w:t>
      </w:r>
      <w:r>
        <w:rPr>
          <w:color w:val="404040"/>
          <w:spacing w:val="-4"/>
          <w:sz w:val="26"/>
        </w:rPr>
        <w:t> </w:t>
      </w:r>
      <w:r>
        <w:rPr>
          <w:color w:val="404040"/>
          <w:spacing w:val="-2"/>
          <w:sz w:val="26"/>
        </w:rPr>
        <w:t>Pipeline</w:t>
      </w:r>
    </w:p>
    <w:p>
      <w:pPr>
        <w:spacing w:line="276" w:lineRule="auto" w:before="240"/>
        <w:ind w:left="463" w:right="238" w:firstLine="0"/>
        <w:jc w:val="both"/>
        <w:rPr>
          <w:sz w:val="21"/>
        </w:rPr>
      </w:pPr>
      <w:r>
        <w:rPr>
          <w:sz w:val="21"/>
        </w:rPr>
        <w:t>Massachusetts is celebrated for its leadership in LGBTQ rights, being the first state to legalize same-sex marriage</w:t>
      </w:r>
      <w:r>
        <w:rPr>
          <w:spacing w:val="-11"/>
          <w:sz w:val="21"/>
        </w:rPr>
        <w:t> </w:t>
      </w:r>
      <w:r>
        <w:rPr>
          <w:sz w:val="21"/>
        </w:rPr>
        <w:t>in</w:t>
      </w:r>
      <w:r>
        <w:rPr>
          <w:spacing w:val="-11"/>
          <w:sz w:val="21"/>
        </w:rPr>
        <w:t> </w:t>
      </w:r>
      <w:r>
        <w:rPr>
          <w:sz w:val="21"/>
        </w:rPr>
        <w:t>2004</w:t>
      </w:r>
      <w:r>
        <w:rPr>
          <w:spacing w:val="-11"/>
          <w:sz w:val="21"/>
        </w:rPr>
        <w:t> </w:t>
      </w:r>
      <w:r>
        <w:rPr>
          <w:sz w:val="21"/>
        </w:rPr>
        <w:t>and</w:t>
      </w:r>
      <w:r>
        <w:rPr>
          <w:spacing w:val="-12"/>
          <w:sz w:val="21"/>
        </w:rPr>
        <w:t> </w:t>
      </w:r>
      <w:r>
        <w:rPr>
          <w:sz w:val="21"/>
        </w:rPr>
        <w:t>home</w:t>
      </w:r>
      <w:r>
        <w:rPr>
          <w:spacing w:val="-11"/>
          <w:sz w:val="21"/>
        </w:rPr>
        <w:t> </w:t>
      </w:r>
      <w:r>
        <w:rPr>
          <w:sz w:val="21"/>
        </w:rPr>
        <w:t>to</w:t>
      </w:r>
      <w:r>
        <w:rPr>
          <w:spacing w:val="-12"/>
          <w:sz w:val="21"/>
        </w:rPr>
        <w:t> </w:t>
      </w:r>
      <w:r>
        <w:rPr>
          <w:sz w:val="21"/>
        </w:rPr>
        <w:t>the</w:t>
      </w:r>
      <w:r>
        <w:rPr>
          <w:spacing w:val="-11"/>
          <w:sz w:val="21"/>
        </w:rPr>
        <w:t> </w:t>
      </w:r>
      <w:r>
        <w:rPr>
          <w:sz w:val="21"/>
        </w:rPr>
        <w:t>nation's</w:t>
      </w:r>
      <w:r>
        <w:rPr>
          <w:spacing w:val="-12"/>
          <w:sz w:val="21"/>
        </w:rPr>
        <w:t> </w:t>
      </w:r>
      <w:r>
        <w:rPr>
          <w:sz w:val="21"/>
        </w:rPr>
        <w:t>only</w:t>
      </w:r>
      <w:r>
        <w:rPr>
          <w:spacing w:val="-12"/>
          <w:sz w:val="21"/>
        </w:rPr>
        <w:t> </w:t>
      </w:r>
      <w:r>
        <w:rPr>
          <w:sz w:val="21"/>
        </w:rPr>
        <w:t>state</w:t>
      </w:r>
      <w:r>
        <w:rPr>
          <w:spacing w:val="-11"/>
          <w:sz w:val="21"/>
        </w:rPr>
        <w:t> </w:t>
      </w:r>
      <w:r>
        <w:rPr>
          <w:sz w:val="21"/>
        </w:rPr>
        <w:t>LGBTQ</w:t>
      </w:r>
      <w:r>
        <w:rPr>
          <w:spacing w:val="-11"/>
          <w:sz w:val="21"/>
        </w:rPr>
        <w:t> </w:t>
      </w:r>
      <w:r>
        <w:rPr>
          <w:sz w:val="21"/>
        </w:rPr>
        <w:t>youth</w:t>
      </w:r>
      <w:r>
        <w:rPr>
          <w:spacing w:val="-11"/>
          <w:sz w:val="21"/>
        </w:rPr>
        <w:t> </w:t>
      </w:r>
      <w:r>
        <w:rPr>
          <w:sz w:val="21"/>
        </w:rPr>
        <w:t>commission.</w:t>
      </w:r>
      <w:r>
        <w:rPr>
          <w:spacing w:val="-11"/>
          <w:sz w:val="21"/>
        </w:rPr>
        <w:t> </w:t>
      </w:r>
      <w:r>
        <w:rPr>
          <w:sz w:val="21"/>
        </w:rPr>
        <w:t>The</w:t>
      </w:r>
      <w:r>
        <w:rPr>
          <w:spacing w:val="-11"/>
          <w:sz w:val="21"/>
        </w:rPr>
        <w:t> </w:t>
      </w:r>
      <w:r>
        <w:rPr>
          <w:sz w:val="21"/>
        </w:rPr>
        <w:t>Commonwealth</w:t>
      </w:r>
      <w:r>
        <w:rPr>
          <w:spacing w:val="-11"/>
          <w:sz w:val="21"/>
        </w:rPr>
        <w:t> </w:t>
      </w:r>
      <w:r>
        <w:rPr>
          <w:sz w:val="21"/>
        </w:rPr>
        <w:t>boasts legal protections against discrimination based on sexual orientation and gender identity in several areas, such as public accommodations, housing, employment, and state services. Despite these advancements, the Massachusetts child welfare system lags behind. Notably, LGBTQ youth are disproportionately represented in these systems. In Massachusetts, according to the Department of Children and Families' (DCF) Quarter 1 report for FY 2024, 9% of youth in DCF services identify as LGBTQ.</w:t>
      </w:r>
      <w:r>
        <w:rPr>
          <w:spacing w:val="-12"/>
          <w:sz w:val="21"/>
        </w:rPr>
        <w:t> </w:t>
      </w:r>
      <w:hyperlink w:history="true" w:anchor="_bookmark362">
        <w:r>
          <w:rPr>
            <w:sz w:val="21"/>
            <w:vertAlign w:val="superscript"/>
          </w:rPr>
          <w:t>46</w:t>
        </w:r>
      </w:hyperlink>
      <w:r>
        <w:rPr>
          <w:sz w:val="21"/>
          <w:vertAlign w:val="baseline"/>
        </w:rPr>
        <w:t> However, this percentage may actually be much higher, as many youths and workers have previously reported to the Commission</w:t>
      </w:r>
      <w:r>
        <w:rPr>
          <w:spacing w:val="-6"/>
          <w:sz w:val="21"/>
          <w:vertAlign w:val="baseline"/>
        </w:rPr>
        <w:t> </w:t>
      </w:r>
      <w:r>
        <w:rPr>
          <w:sz w:val="21"/>
          <w:vertAlign w:val="baseline"/>
        </w:rPr>
        <w:t>that</w:t>
      </w:r>
      <w:r>
        <w:rPr>
          <w:spacing w:val="-5"/>
          <w:sz w:val="21"/>
          <w:vertAlign w:val="baseline"/>
        </w:rPr>
        <w:t> </w:t>
      </w:r>
      <w:r>
        <w:rPr>
          <w:sz w:val="21"/>
          <w:vertAlign w:val="baseline"/>
        </w:rPr>
        <w:t>they</w:t>
      </w:r>
      <w:r>
        <w:rPr>
          <w:spacing w:val="-7"/>
          <w:sz w:val="21"/>
          <w:vertAlign w:val="baseline"/>
        </w:rPr>
        <w:t> </w:t>
      </w:r>
      <w:r>
        <w:rPr>
          <w:sz w:val="21"/>
          <w:vertAlign w:val="baseline"/>
        </w:rPr>
        <w:t>do</w:t>
      </w:r>
      <w:r>
        <w:rPr>
          <w:spacing w:val="-6"/>
          <w:sz w:val="21"/>
          <w:vertAlign w:val="baseline"/>
        </w:rPr>
        <w:t> </w:t>
      </w:r>
      <w:r>
        <w:rPr>
          <w:sz w:val="21"/>
          <w:vertAlign w:val="baseline"/>
        </w:rPr>
        <w:t>not</w:t>
      </w:r>
      <w:r>
        <w:rPr>
          <w:spacing w:val="-5"/>
          <w:sz w:val="21"/>
          <w:vertAlign w:val="baseline"/>
        </w:rPr>
        <w:t> </w:t>
      </w:r>
      <w:r>
        <w:rPr>
          <w:sz w:val="21"/>
          <w:vertAlign w:val="baseline"/>
        </w:rPr>
        <w:t>feel</w:t>
      </w:r>
      <w:r>
        <w:rPr>
          <w:spacing w:val="-6"/>
          <w:sz w:val="21"/>
          <w:vertAlign w:val="baseline"/>
        </w:rPr>
        <w:t> </w:t>
      </w:r>
      <w:r>
        <w:rPr>
          <w:sz w:val="21"/>
          <w:vertAlign w:val="baseline"/>
        </w:rPr>
        <w:t>comfortable</w:t>
      </w:r>
      <w:r>
        <w:rPr>
          <w:spacing w:val="-6"/>
          <w:sz w:val="21"/>
          <w:vertAlign w:val="baseline"/>
        </w:rPr>
        <w:t> </w:t>
      </w:r>
      <w:r>
        <w:rPr>
          <w:sz w:val="21"/>
          <w:vertAlign w:val="baseline"/>
        </w:rPr>
        <w:t>or</w:t>
      </w:r>
      <w:r>
        <w:rPr>
          <w:spacing w:val="-6"/>
          <w:sz w:val="21"/>
          <w:vertAlign w:val="baseline"/>
        </w:rPr>
        <w:t> </w:t>
      </w:r>
      <w:r>
        <w:rPr>
          <w:sz w:val="21"/>
          <w:vertAlign w:val="baseline"/>
        </w:rPr>
        <w:t>safe</w:t>
      </w:r>
      <w:r>
        <w:rPr>
          <w:spacing w:val="-6"/>
          <w:sz w:val="21"/>
          <w:vertAlign w:val="baseline"/>
        </w:rPr>
        <w:t> </w:t>
      </w:r>
      <w:r>
        <w:rPr>
          <w:sz w:val="21"/>
          <w:vertAlign w:val="baseline"/>
        </w:rPr>
        <w:t>enough</w:t>
      </w:r>
      <w:r>
        <w:rPr>
          <w:spacing w:val="-6"/>
          <w:sz w:val="21"/>
          <w:vertAlign w:val="baseline"/>
        </w:rPr>
        <w:t> </w:t>
      </w:r>
      <w:r>
        <w:rPr>
          <w:sz w:val="21"/>
          <w:vertAlign w:val="baseline"/>
        </w:rPr>
        <w:t>to</w:t>
      </w:r>
      <w:r>
        <w:rPr>
          <w:spacing w:val="-6"/>
          <w:sz w:val="21"/>
          <w:vertAlign w:val="baseline"/>
        </w:rPr>
        <w:t> </w:t>
      </w:r>
      <w:r>
        <w:rPr>
          <w:sz w:val="21"/>
          <w:vertAlign w:val="baseline"/>
        </w:rPr>
        <w:t>disclose</w:t>
      </w:r>
      <w:r>
        <w:rPr>
          <w:spacing w:val="-6"/>
          <w:sz w:val="21"/>
          <w:vertAlign w:val="baseline"/>
        </w:rPr>
        <w:t> </w:t>
      </w:r>
      <w:r>
        <w:rPr>
          <w:sz w:val="21"/>
          <w:vertAlign w:val="baseline"/>
        </w:rPr>
        <w:t>their</w:t>
      </w:r>
      <w:r>
        <w:rPr>
          <w:spacing w:val="-6"/>
          <w:sz w:val="21"/>
          <w:vertAlign w:val="baseline"/>
        </w:rPr>
        <w:t> </w:t>
      </w:r>
      <w:r>
        <w:rPr>
          <w:sz w:val="21"/>
          <w:vertAlign w:val="baseline"/>
        </w:rPr>
        <w:t>identity</w:t>
      </w:r>
      <w:r>
        <w:rPr>
          <w:spacing w:val="-6"/>
          <w:sz w:val="21"/>
          <w:vertAlign w:val="baseline"/>
        </w:rPr>
        <w:t> </w:t>
      </w:r>
      <w:r>
        <w:rPr>
          <w:sz w:val="21"/>
          <w:vertAlign w:val="baseline"/>
        </w:rPr>
        <w:t>to</w:t>
      </w:r>
      <w:r>
        <w:rPr>
          <w:spacing w:val="-7"/>
          <w:sz w:val="21"/>
          <w:vertAlign w:val="baseline"/>
        </w:rPr>
        <w:t> </w:t>
      </w:r>
      <w:r>
        <w:rPr>
          <w:sz w:val="21"/>
          <w:vertAlign w:val="baseline"/>
        </w:rPr>
        <w:t>DCF.</w:t>
      </w:r>
      <w:r>
        <w:rPr>
          <w:spacing w:val="-6"/>
          <w:sz w:val="21"/>
          <w:vertAlign w:val="baseline"/>
        </w:rPr>
        <w:t> </w:t>
      </w:r>
      <w:r>
        <w:rPr>
          <w:sz w:val="21"/>
          <w:vertAlign w:val="baseline"/>
        </w:rPr>
        <w:t>Regrettably,</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9" w:firstLine="0"/>
        <w:jc w:val="both"/>
        <w:rPr>
          <w:sz w:val="21"/>
        </w:rPr>
      </w:pPr>
      <w:r>
        <w:rPr>
          <w:sz w:val="21"/>
        </w:rPr>
        <w:t>the child welfare system serves as a pathway for what is known as the “foster care-to-prison pipeline,” a process</w:t>
      </w:r>
      <w:r>
        <w:rPr>
          <w:spacing w:val="-11"/>
          <w:sz w:val="21"/>
        </w:rPr>
        <w:t> </w:t>
      </w:r>
      <w:r>
        <w:rPr>
          <w:sz w:val="21"/>
        </w:rPr>
        <w:t>that</w:t>
      </w:r>
      <w:r>
        <w:rPr>
          <w:spacing w:val="-10"/>
          <w:sz w:val="21"/>
        </w:rPr>
        <w:t> </w:t>
      </w:r>
      <w:r>
        <w:rPr>
          <w:sz w:val="21"/>
        </w:rPr>
        <w:t>funnels</w:t>
      </w:r>
      <w:r>
        <w:rPr>
          <w:spacing w:val="-11"/>
          <w:sz w:val="21"/>
        </w:rPr>
        <w:t> </w:t>
      </w:r>
      <w:r>
        <w:rPr>
          <w:sz w:val="21"/>
        </w:rPr>
        <w:t>children</w:t>
      </w:r>
      <w:r>
        <w:rPr>
          <w:spacing w:val="-10"/>
          <w:sz w:val="21"/>
        </w:rPr>
        <w:t> </w:t>
      </w:r>
      <w:r>
        <w:rPr>
          <w:sz w:val="21"/>
        </w:rPr>
        <w:t>from</w:t>
      </w:r>
      <w:r>
        <w:rPr>
          <w:spacing w:val="-10"/>
          <w:sz w:val="21"/>
        </w:rPr>
        <w:t> </w:t>
      </w:r>
      <w:r>
        <w:rPr>
          <w:sz w:val="21"/>
        </w:rPr>
        <w:t>foster</w:t>
      </w:r>
      <w:r>
        <w:rPr>
          <w:spacing w:val="-11"/>
          <w:sz w:val="21"/>
        </w:rPr>
        <w:t> </w:t>
      </w:r>
      <w:r>
        <w:rPr>
          <w:sz w:val="21"/>
        </w:rPr>
        <w:t>care</w:t>
      </w:r>
      <w:r>
        <w:rPr>
          <w:spacing w:val="-10"/>
          <w:sz w:val="21"/>
        </w:rPr>
        <w:t> </w:t>
      </w:r>
      <w:r>
        <w:rPr>
          <w:sz w:val="21"/>
        </w:rPr>
        <w:t>directly</w:t>
      </w:r>
      <w:r>
        <w:rPr>
          <w:spacing w:val="-10"/>
          <w:sz w:val="21"/>
        </w:rPr>
        <w:t> </w:t>
      </w:r>
      <w:r>
        <w:rPr>
          <w:sz w:val="21"/>
        </w:rPr>
        <w:t>into</w:t>
      </w:r>
      <w:r>
        <w:rPr>
          <w:spacing w:val="-11"/>
          <w:sz w:val="21"/>
        </w:rPr>
        <w:t> </w:t>
      </w:r>
      <w:r>
        <w:rPr>
          <w:sz w:val="21"/>
        </w:rPr>
        <w:t>juvenile</w:t>
      </w:r>
      <w:r>
        <w:rPr>
          <w:spacing w:val="-10"/>
          <w:sz w:val="21"/>
        </w:rPr>
        <w:t> </w:t>
      </w:r>
      <w:r>
        <w:rPr>
          <w:sz w:val="21"/>
        </w:rPr>
        <w:t>detention</w:t>
      </w:r>
      <w:r>
        <w:rPr>
          <w:spacing w:val="-10"/>
          <w:sz w:val="21"/>
        </w:rPr>
        <w:t> </w:t>
      </w:r>
      <w:r>
        <w:rPr>
          <w:sz w:val="21"/>
        </w:rPr>
        <w:t>or</w:t>
      </w:r>
      <w:r>
        <w:rPr>
          <w:spacing w:val="-10"/>
          <w:sz w:val="21"/>
        </w:rPr>
        <w:t> </w:t>
      </w:r>
      <w:r>
        <w:rPr>
          <w:sz w:val="21"/>
        </w:rPr>
        <w:t>adult</w:t>
      </w:r>
      <w:r>
        <w:rPr>
          <w:spacing w:val="-10"/>
          <w:sz w:val="21"/>
        </w:rPr>
        <w:t> </w:t>
      </w:r>
      <w:r>
        <w:rPr>
          <w:sz w:val="21"/>
        </w:rPr>
        <w:t>correctional</w:t>
      </w:r>
      <w:r>
        <w:rPr>
          <w:spacing w:val="-10"/>
          <w:sz w:val="21"/>
        </w:rPr>
        <w:t> </w:t>
      </w:r>
      <w:r>
        <w:rPr>
          <w:sz w:val="21"/>
        </w:rPr>
        <w:t>facilities. </w:t>
      </w:r>
      <w:hyperlink w:history="true" w:anchor="_bookmark363">
        <w:r>
          <w:rPr>
            <w:sz w:val="21"/>
            <w:vertAlign w:val="superscript"/>
          </w:rPr>
          <w:t>47</w:t>
        </w:r>
      </w:hyperlink>
      <w:r>
        <w:rPr>
          <w:sz w:val="21"/>
          <w:vertAlign w:val="baseline"/>
        </w:rPr>
        <w:t>At the national level, by age 17, more than half of all children in foster care have had an encounter with the juvenile legal system, whether through arrest, conviction, or detention.</w:t>
      </w:r>
      <w:hyperlink w:history="true" w:anchor="_bookmark364">
        <w:r>
          <w:rPr>
            <w:sz w:val="21"/>
            <w:vertAlign w:val="superscript"/>
          </w:rPr>
          <w:t>48</w:t>
        </w:r>
      </w:hyperlink>
      <w:r>
        <w:rPr>
          <w:spacing w:val="-2"/>
          <w:sz w:val="21"/>
          <w:vertAlign w:val="baseline"/>
        </w:rPr>
        <w:t> </w:t>
      </w:r>
      <w:r>
        <w:rPr>
          <w:sz w:val="21"/>
          <w:vertAlign w:val="baseline"/>
        </w:rPr>
        <w:t>For those children who have experienced five or more foster placements, there is a 90% chance of involvement with the criminal legal system.</w:t>
      </w:r>
      <w:hyperlink w:history="true" w:anchor="_bookmark365">
        <w:r>
          <w:rPr>
            <w:sz w:val="21"/>
            <w:vertAlign w:val="superscript"/>
          </w:rPr>
          <w:t>49</w:t>
        </w:r>
      </w:hyperlink>
      <w:r>
        <w:rPr>
          <w:spacing w:val="-2"/>
          <w:sz w:val="21"/>
          <w:vertAlign w:val="baseline"/>
        </w:rPr>
        <w:t> </w:t>
      </w:r>
      <w:r>
        <w:rPr>
          <w:sz w:val="21"/>
          <w:vertAlign w:val="baseline"/>
        </w:rPr>
        <w:t>This</w:t>
      </w:r>
      <w:r>
        <w:rPr>
          <w:spacing w:val="-8"/>
          <w:sz w:val="21"/>
          <w:vertAlign w:val="baseline"/>
        </w:rPr>
        <w:t> </w:t>
      </w:r>
      <w:r>
        <w:rPr>
          <w:sz w:val="21"/>
          <w:vertAlign w:val="baseline"/>
        </w:rPr>
        <w:t>phenomenon</w:t>
      </w:r>
      <w:r>
        <w:rPr>
          <w:spacing w:val="-8"/>
          <w:sz w:val="21"/>
          <w:vertAlign w:val="baseline"/>
        </w:rPr>
        <w:t> </w:t>
      </w:r>
      <w:r>
        <w:rPr>
          <w:sz w:val="21"/>
          <w:vertAlign w:val="baseline"/>
        </w:rPr>
        <w:t>impacts</w:t>
      </w:r>
      <w:r>
        <w:rPr>
          <w:spacing w:val="-8"/>
          <w:sz w:val="21"/>
          <w:vertAlign w:val="baseline"/>
        </w:rPr>
        <w:t> </w:t>
      </w:r>
      <w:r>
        <w:rPr>
          <w:sz w:val="21"/>
          <w:vertAlign w:val="baseline"/>
        </w:rPr>
        <w:t>LGBTQ</w:t>
      </w:r>
      <w:r>
        <w:rPr>
          <w:spacing w:val="-8"/>
          <w:sz w:val="21"/>
          <w:vertAlign w:val="baseline"/>
        </w:rPr>
        <w:t> </w:t>
      </w:r>
      <w:r>
        <w:rPr>
          <w:sz w:val="21"/>
          <w:vertAlign w:val="baseline"/>
        </w:rPr>
        <w:t>youth;</w:t>
      </w:r>
      <w:r>
        <w:rPr>
          <w:spacing w:val="-9"/>
          <w:sz w:val="21"/>
          <w:vertAlign w:val="baseline"/>
        </w:rPr>
        <w:t> </w:t>
      </w:r>
      <w:r>
        <w:rPr>
          <w:sz w:val="21"/>
          <w:vertAlign w:val="baseline"/>
        </w:rPr>
        <w:t>specifically,</w:t>
      </w:r>
      <w:r>
        <w:rPr>
          <w:spacing w:val="-8"/>
          <w:sz w:val="21"/>
          <w:vertAlign w:val="baseline"/>
        </w:rPr>
        <w:t> </w:t>
      </w:r>
      <w:r>
        <w:rPr>
          <w:sz w:val="21"/>
          <w:vertAlign w:val="baseline"/>
        </w:rPr>
        <w:t>23%</w:t>
      </w:r>
      <w:r>
        <w:rPr>
          <w:spacing w:val="-8"/>
          <w:sz w:val="21"/>
          <w:vertAlign w:val="baseline"/>
        </w:rPr>
        <w:t> </w:t>
      </w:r>
      <w:r>
        <w:rPr>
          <w:sz w:val="21"/>
          <w:vertAlign w:val="baseline"/>
        </w:rPr>
        <w:t>of</w:t>
      </w:r>
      <w:r>
        <w:rPr>
          <w:spacing w:val="-10"/>
          <w:sz w:val="21"/>
          <w:vertAlign w:val="baseline"/>
        </w:rPr>
        <w:t> </w:t>
      </w:r>
      <w:r>
        <w:rPr>
          <w:sz w:val="21"/>
          <w:vertAlign w:val="baseline"/>
        </w:rPr>
        <w:t>LGBQ</w:t>
      </w:r>
      <w:r>
        <w:rPr>
          <w:spacing w:val="-8"/>
          <w:sz w:val="21"/>
          <w:vertAlign w:val="baseline"/>
        </w:rPr>
        <w:t> </w:t>
      </w:r>
      <w:r>
        <w:rPr>
          <w:sz w:val="21"/>
          <w:vertAlign w:val="baseline"/>
        </w:rPr>
        <w:t>youth</w:t>
      </w:r>
      <w:r>
        <w:rPr>
          <w:spacing w:val="-8"/>
          <w:sz w:val="21"/>
          <w:vertAlign w:val="baseline"/>
        </w:rPr>
        <w:t> </w:t>
      </w:r>
      <w:r>
        <w:rPr>
          <w:sz w:val="21"/>
          <w:vertAlign w:val="baseline"/>
        </w:rPr>
        <w:t>and</w:t>
      </w:r>
      <w:r>
        <w:rPr>
          <w:spacing w:val="-8"/>
          <w:sz w:val="21"/>
          <w:vertAlign w:val="baseline"/>
        </w:rPr>
        <w:t> </w:t>
      </w:r>
      <w:r>
        <w:rPr>
          <w:sz w:val="21"/>
          <w:vertAlign w:val="baseline"/>
        </w:rPr>
        <w:t>20%</w:t>
      </w:r>
      <w:r>
        <w:rPr>
          <w:spacing w:val="-9"/>
          <w:sz w:val="21"/>
          <w:vertAlign w:val="baseline"/>
        </w:rPr>
        <w:t> </w:t>
      </w:r>
      <w:r>
        <w:rPr>
          <w:sz w:val="21"/>
          <w:vertAlign w:val="baseline"/>
        </w:rPr>
        <w:t>of</w:t>
      </w:r>
      <w:r>
        <w:rPr>
          <w:spacing w:val="-8"/>
          <w:sz w:val="21"/>
          <w:vertAlign w:val="baseline"/>
        </w:rPr>
        <w:t> </w:t>
      </w:r>
      <w:r>
        <w:rPr>
          <w:sz w:val="21"/>
          <w:vertAlign w:val="baseline"/>
        </w:rPr>
        <w:t>transgender and gender-nonconforming youth in juvenile detention have reported prior placements in foster or group homes.</w:t>
      </w:r>
      <w:hyperlink w:history="true" w:anchor="_bookmark366">
        <w:r>
          <w:rPr>
            <w:sz w:val="21"/>
            <w:vertAlign w:val="superscript"/>
          </w:rPr>
          <w:t>50</w:t>
        </w:r>
      </w:hyperlink>
      <w:r>
        <w:rPr>
          <w:sz w:val="21"/>
          <w:vertAlign w:val="baseline"/>
        </w:rPr>
        <w:t> Furthermore, the foster care-to-prison pipeline disproportionately affects youth of color, and those with mental health issues.</w:t>
      </w:r>
      <w:hyperlink w:history="true" w:anchor="_bookmark367">
        <w:r>
          <w:rPr>
            <w:sz w:val="21"/>
            <w:vertAlign w:val="superscript"/>
          </w:rPr>
          <w:t>51</w:t>
        </w:r>
      </w:hyperlink>
    </w:p>
    <w:p>
      <w:pPr>
        <w:spacing w:line="276" w:lineRule="auto" w:before="240"/>
        <w:ind w:left="463" w:right="238" w:firstLine="0"/>
        <w:jc w:val="both"/>
        <w:rPr>
          <w:sz w:val="21"/>
        </w:rPr>
      </w:pPr>
      <w:r>
        <w:rPr>
          <w:sz w:val="21"/>
        </w:rPr>
        <w:t>Over the last</w:t>
      </w:r>
      <w:r>
        <w:rPr>
          <w:spacing w:val="-2"/>
          <w:sz w:val="21"/>
        </w:rPr>
        <w:t> </w:t>
      </w:r>
      <w:r>
        <w:rPr>
          <w:sz w:val="21"/>
        </w:rPr>
        <w:t>several years, the Commission has taken</w:t>
      </w:r>
      <w:r>
        <w:rPr>
          <w:spacing w:val="-2"/>
          <w:sz w:val="21"/>
        </w:rPr>
        <w:t> </w:t>
      </w:r>
      <w:r>
        <w:rPr>
          <w:sz w:val="21"/>
        </w:rPr>
        <w:t>a deeper look at the</w:t>
      </w:r>
      <w:r>
        <w:rPr>
          <w:spacing w:val="-1"/>
          <w:sz w:val="21"/>
        </w:rPr>
        <w:t> </w:t>
      </w:r>
      <w:r>
        <w:rPr>
          <w:sz w:val="21"/>
        </w:rPr>
        <w:t>experiences of LGBTQ youth in intersecting</w:t>
      </w:r>
      <w:r>
        <w:rPr>
          <w:spacing w:val="-8"/>
          <w:sz w:val="21"/>
        </w:rPr>
        <w:t> </w:t>
      </w:r>
      <w:r>
        <w:rPr>
          <w:sz w:val="21"/>
        </w:rPr>
        <w:t>systems,</w:t>
      </w:r>
      <w:r>
        <w:rPr>
          <w:spacing w:val="-8"/>
          <w:sz w:val="21"/>
        </w:rPr>
        <w:t> </w:t>
      </w:r>
      <w:r>
        <w:rPr>
          <w:sz w:val="21"/>
        </w:rPr>
        <w:t>including</w:t>
      </w:r>
      <w:r>
        <w:rPr>
          <w:spacing w:val="-8"/>
          <w:sz w:val="21"/>
        </w:rPr>
        <w:t> </w:t>
      </w:r>
      <w:r>
        <w:rPr>
          <w:sz w:val="21"/>
        </w:rPr>
        <w:t>the</w:t>
      </w:r>
      <w:r>
        <w:rPr>
          <w:spacing w:val="-8"/>
          <w:sz w:val="21"/>
        </w:rPr>
        <w:t> </w:t>
      </w:r>
      <w:r>
        <w:rPr>
          <w:sz w:val="21"/>
        </w:rPr>
        <w:t>child</w:t>
      </w:r>
      <w:r>
        <w:rPr>
          <w:spacing w:val="-8"/>
          <w:sz w:val="21"/>
        </w:rPr>
        <w:t> </w:t>
      </w:r>
      <w:r>
        <w:rPr>
          <w:sz w:val="21"/>
        </w:rPr>
        <w:t>welfare</w:t>
      </w:r>
      <w:r>
        <w:rPr>
          <w:spacing w:val="-8"/>
          <w:sz w:val="21"/>
        </w:rPr>
        <w:t> </w:t>
      </w:r>
      <w:r>
        <w:rPr>
          <w:sz w:val="21"/>
        </w:rPr>
        <w:t>system</w:t>
      </w:r>
      <w:r>
        <w:rPr>
          <w:spacing w:val="-8"/>
          <w:sz w:val="21"/>
        </w:rPr>
        <w:t> </w:t>
      </w:r>
      <w:r>
        <w:rPr>
          <w:sz w:val="21"/>
        </w:rPr>
        <w:t>and</w:t>
      </w:r>
      <w:r>
        <w:rPr>
          <w:spacing w:val="-8"/>
          <w:sz w:val="21"/>
        </w:rPr>
        <w:t> </w:t>
      </w:r>
      <w:r>
        <w:rPr>
          <w:sz w:val="21"/>
        </w:rPr>
        <w:t>criminal</w:t>
      </w:r>
      <w:r>
        <w:rPr>
          <w:spacing w:val="-8"/>
          <w:sz w:val="21"/>
        </w:rPr>
        <w:t> </w:t>
      </w:r>
      <w:r>
        <w:rPr>
          <w:sz w:val="21"/>
        </w:rPr>
        <w:t>legal</w:t>
      </w:r>
      <w:r>
        <w:rPr>
          <w:spacing w:val="-8"/>
          <w:sz w:val="21"/>
        </w:rPr>
        <w:t> </w:t>
      </w:r>
      <w:r>
        <w:rPr>
          <w:sz w:val="21"/>
        </w:rPr>
        <w:t>system.</w:t>
      </w:r>
      <w:r>
        <w:rPr>
          <w:spacing w:val="-8"/>
          <w:sz w:val="21"/>
        </w:rPr>
        <w:t> </w:t>
      </w:r>
      <w:r>
        <w:rPr>
          <w:sz w:val="21"/>
        </w:rPr>
        <w:t>In</w:t>
      </w:r>
      <w:r>
        <w:rPr>
          <w:spacing w:val="-8"/>
          <w:sz w:val="21"/>
        </w:rPr>
        <w:t> </w:t>
      </w:r>
      <w:r>
        <w:rPr>
          <w:sz w:val="21"/>
        </w:rPr>
        <w:t>2021,</w:t>
      </w:r>
      <w:r>
        <w:rPr>
          <w:spacing w:val="-8"/>
          <w:sz w:val="21"/>
        </w:rPr>
        <w:t> </w:t>
      </w:r>
      <w:r>
        <w:rPr>
          <w:sz w:val="21"/>
        </w:rPr>
        <w:t>the</w:t>
      </w:r>
      <w:r>
        <w:rPr>
          <w:spacing w:val="-8"/>
          <w:sz w:val="21"/>
        </w:rPr>
        <w:t> </w:t>
      </w:r>
      <w:r>
        <w:rPr>
          <w:sz w:val="21"/>
        </w:rPr>
        <w:t>Commission published a report entitled, “LGBTQ Youth in the Massachusetts Child Welfare System: A Report on Pervasive Threats to</w:t>
      </w:r>
      <w:r>
        <w:rPr>
          <w:spacing w:val="-1"/>
          <w:sz w:val="21"/>
        </w:rPr>
        <w:t> </w:t>
      </w:r>
      <w:r>
        <w:rPr>
          <w:sz w:val="21"/>
        </w:rPr>
        <w:t>Safety, Wellbeing, and Permanency,”</w:t>
      </w:r>
      <w:hyperlink w:history="true" w:anchor="_bookmark368">
        <w:r>
          <w:rPr>
            <w:sz w:val="21"/>
            <w:vertAlign w:val="superscript"/>
          </w:rPr>
          <w:t>52</w:t>
        </w:r>
      </w:hyperlink>
      <w:r>
        <w:rPr>
          <w:spacing w:val="-2"/>
          <w:sz w:val="21"/>
          <w:vertAlign w:val="baseline"/>
        </w:rPr>
        <w:t> </w:t>
      </w:r>
      <w:r>
        <w:rPr>
          <w:sz w:val="21"/>
          <w:vertAlign w:val="baseline"/>
        </w:rPr>
        <w:t>which shed</w:t>
      </w:r>
      <w:r>
        <w:rPr>
          <w:spacing w:val="-1"/>
          <w:sz w:val="21"/>
          <w:vertAlign w:val="baseline"/>
        </w:rPr>
        <w:t> </w:t>
      </w:r>
      <w:r>
        <w:rPr>
          <w:sz w:val="21"/>
          <w:vertAlign w:val="baseline"/>
        </w:rPr>
        <w:t>light on the experiences of LGBTQ youth and their families involved with the Department of Children and Families (DCF). Though approximately</w:t>
      </w:r>
      <w:r>
        <w:rPr>
          <w:spacing w:val="-3"/>
          <w:sz w:val="21"/>
          <w:vertAlign w:val="baseline"/>
        </w:rPr>
        <w:t> </w:t>
      </w:r>
      <w:r>
        <w:rPr>
          <w:sz w:val="21"/>
          <w:vertAlign w:val="baseline"/>
        </w:rPr>
        <w:t>20%</w:t>
      </w:r>
      <w:r>
        <w:rPr>
          <w:spacing w:val="-4"/>
          <w:sz w:val="21"/>
          <w:vertAlign w:val="baseline"/>
        </w:rPr>
        <w:t> </w:t>
      </w:r>
      <w:r>
        <w:rPr>
          <w:sz w:val="21"/>
          <w:vertAlign w:val="baseline"/>
        </w:rPr>
        <w:t>of</w:t>
      </w:r>
      <w:r>
        <w:rPr>
          <w:spacing w:val="-3"/>
          <w:sz w:val="21"/>
          <w:vertAlign w:val="baseline"/>
        </w:rPr>
        <w:t> </w:t>
      </w:r>
      <w:r>
        <w:rPr>
          <w:sz w:val="21"/>
          <w:vertAlign w:val="baseline"/>
        </w:rPr>
        <w:t>the</w:t>
      </w:r>
      <w:r>
        <w:rPr>
          <w:spacing w:val="-4"/>
          <w:sz w:val="21"/>
          <w:vertAlign w:val="baseline"/>
        </w:rPr>
        <w:t> </w:t>
      </w:r>
      <w:r>
        <w:rPr>
          <w:sz w:val="21"/>
          <w:vertAlign w:val="baseline"/>
        </w:rPr>
        <w:t>state's</w:t>
      </w:r>
      <w:r>
        <w:rPr>
          <w:spacing w:val="-3"/>
          <w:sz w:val="21"/>
          <w:vertAlign w:val="baseline"/>
        </w:rPr>
        <w:t> </w:t>
      </w:r>
      <w:r>
        <w:rPr>
          <w:sz w:val="21"/>
          <w:vertAlign w:val="baseline"/>
        </w:rPr>
        <w:t>students</w:t>
      </w:r>
      <w:r>
        <w:rPr>
          <w:spacing w:val="-4"/>
          <w:sz w:val="21"/>
          <w:vertAlign w:val="baseline"/>
        </w:rPr>
        <w:t> </w:t>
      </w:r>
      <w:r>
        <w:rPr>
          <w:sz w:val="21"/>
          <w:vertAlign w:val="baseline"/>
        </w:rPr>
        <w:t>identify</w:t>
      </w:r>
      <w:r>
        <w:rPr>
          <w:spacing w:val="-3"/>
          <w:sz w:val="21"/>
          <w:vertAlign w:val="baseline"/>
        </w:rPr>
        <w:t> </w:t>
      </w:r>
      <w:r>
        <w:rPr>
          <w:sz w:val="21"/>
          <w:vertAlign w:val="baseline"/>
        </w:rPr>
        <w:t>as</w:t>
      </w:r>
      <w:r>
        <w:rPr>
          <w:spacing w:val="-3"/>
          <w:sz w:val="21"/>
          <w:vertAlign w:val="baseline"/>
        </w:rPr>
        <w:t> </w:t>
      </w:r>
      <w:r>
        <w:rPr>
          <w:sz w:val="21"/>
          <w:vertAlign w:val="baseline"/>
        </w:rPr>
        <w:t>LGBTQ,</w:t>
      </w:r>
      <w:r>
        <w:rPr>
          <w:spacing w:val="-3"/>
          <w:sz w:val="21"/>
          <w:vertAlign w:val="baseline"/>
        </w:rPr>
        <w:t> </w:t>
      </w:r>
      <w:r>
        <w:rPr>
          <w:sz w:val="21"/>
          <w:vertAlign w:val="baseline"/>
        </w:rPr>
        <w:t>the</w:t>
      </w:r>
      <w:r>
        <w:rPr>
          <w:spacing w:val="-3"/>
          <w:sz w:val="21"/>
          <w:vertAlign w:val="baseline"/>
        </w:rPr>
        <w:t> </w:t>
      </w:r>
      <w:r>
        <w:rPr>
          <w:sz w:val="21"/>
          <w:vertAlign w:val="baseline"/>
        </w:rPr>
        <w:t>report</w:t>
      </w:r>
      <w:r>
        <w:rPr>
          <w:spacing w:val="-2"/>
          <w:sz w:val="21"/>
          <w:vertAlign w:val="baseline"/>
        </w:rPr>
        <w:t> </w:t>
      </w:r>
      <w:r>
        <w:rPr>
          <w:sz w:val="21"/>
          <w:vertAlign w:val="baseline"/>
        </w:rPr>
        <w:t>found</w:t>
      </w:r>
      <w:r>
        <w:rPr>
          <w:spacing w:val="-3"/>
          <w:sz w:val="21"/>
          <w:vertAlign w:val="baseline"/>
        </w:rPr>
        <w:t> </w:t>
      </w:r>
      <w:r>
        <w:rPr>
          <w:sz w:val="21"/>
          <w:vertAlign w:val="baseline"/>
        </w:rPr>
        <w:t>that</w:t>
      </w:r>
      <w:r>
        <w:rPr>
          <w:spacing w:val="-4"/>
          <w:sz w:val="21"/>
          <w:vertAlign w:val="baseline"/>
        </w:rPr>
        <w:t> </w:t>
      </w:r>
      <w:r>
        <w:rPr>
          <w:sz w:val="21"/>
          <w:vertAlign w:val="baseline"/>
        </w:rPr>
        <w:t>specific</w:t>
      </w:r>
      <w:r>
        <w:rPr>
          <w:spacing w:val="-3"/>
          <w:sz w:val="21"/>
          <w:vertAlign w:val="baseline"/>
        </w:rPr>
        <w:t> </w:t>
      </w:r>
      <w:r>
        <w:rPr>
          <w:sz w:val="21"/>
          <w:vertAlign w:val="baseline"/>
        </w:rPr>
        <w:t>data</w:t>
      </w:r>
      <w:r>
        <w:rPr>
          <w:spacing w:val="-4"/>
          <w:sz w:val="21"/>
          <w:vertAlign w:val="baseline"/>
        </w:rPr>
        <w:t> </w:t>
      </w:r>
      <w:r>
        <w:rPr>
          <w:sz w:val="21"/>
          <w:vertAlign w:val="baseline"/>
        </w:rPr>
        <w:t>on</w:t>
      </w:r>
      <w:r>
        <w:rPr>
          <w:spacing w:val="-3"/>
          <w:sz w:val="21"/>
          <w:vertAlign w:val="baseline"/>
        </w:rPr>
        <w:t> </w:t>
      </w:r>
      <w:r>
        <w:rPr>
          <w:sz w:val="21"/>
          <w:vertAlign w:val="baseline"/>
        </w:rPr>
        <w:t>LGBTQ youth in the</w:t>
      </w:r>
      <w:r>
        <w:rPr>
          <w:spacing w:val="-1"/>
          <w:sz w:val="21"/>
          <w:vertAlign w:val="baseline"/>
        </w:rPr>
        <w:t> </w:t>
      </w:r>
      <w:r>
        <w:rPr>
          <w:sz w:val="21"/>
          <w:vertAlign w:val="baseline"/>
        </w:rPr>
        <w:t>Massachusetts DCF system was scarce.</w:t>
      </w:r>
      <w:hyperlink w:history="true" w:anchor="_bookmark369">
        <w:r>
          <w:rPr>
            <w:sz w:val="21"/>
            <w:vertAlign w:val="superscript"/>
          </w:rPr>
          <w:t>53</w:t>
        </w:r>
      </w:hyperlink>
      <w:r>
        <w:rPr>
          <w:spacing w:val="-2"/>
          <w:sz w:val="21"/>
          <w:vertAlign w:val="baseline"/>
        </w:rPr>
        <w:t> </w:t>
      </w:r>
      <w:r>
        <w:rPr>
          <w:sz w:val="21"/>
          <w:vertAlign w:val="baseline"/>
        </w:rPr>
        <w:t>The report analyzes national studies, public records, the Commission's findings from working with DCF, and anonymous interviews with DCF-involved youth, service providers, foster parents, and advocates.</w:t>
      </w:r>
      <w:hyperlink w:history="true" w:anchor="_bookmark370">
        <w:r>
          <w:rPr>
            <w:sz w:val="21"/>
            <w:vertAlign w:val="superscript"/>
          </w:rPr>
          <w:t>54</w:t>
        </w:r>
      </w:hyperlink>
      <w:r>
        <w:rPr>
          <w:spacing w:val="-2"/>
          <w:sz w:val="21"/>
          <w:vertAlign w:val="baseline"/>
        </w:rPr>
        <w:t> </w:t>
      </w:r>
      <w:r>
        <w:rPr>
          <w:sz w:val="21"/>
          <w:vertAlign w:val="baseline"/>
        </w:rPr>
        <w:t>The report found severe issues within the foster care system, including unsafe environments for LGBTQ youth, barriers</w:t>
      </w:r>
      <w:r>
        <w:rPr>
          <w:spacing w:val="-1"/>
          <w:sz w:val="21"/>
          <w:vertAlign w:val="baseline"/>
        </w:rPr>
        <w:t> </w:t>
      </w:r>
      <w:r>
        <w:rPr>
          <w:sz w:val="21"/>
          <w:vertAlign w:val="baseline"/>
        </w:rPr>
        <w:t>to</w:t>
      </w:r>
      <w:r>
        <w:rPr>
          <w:spacing w:val="-1"/>
          <w:sz w:val="21"/>
          <w:vertAlign w:val="baseline"/>
        </w:rPr>
        <w:t> </w:t>
      </w:r>
      <w:r>
        <w:rPr>
          <w:sz w:val="21"/>
          <w:vertAlign w:val="baseline"/>
        </w:rPr>
        <w:t>accessing necessary medical care and education,</w:t>
      </w:r>
      <w:r>
        <w:rPr>
          <w:spacing w:val="-2"/>
          <w:sz w:val="21"/>
          <w:vertAlign w:val="baseline"/>
        </w:rPr>
        <w:t> </w:t>
      </w:r>
      <w:r>
        <w:rPr>
          <w:sz w:val="21"/>
          <w:vertAlign w:val="baseline"/>
        </w:rPr>
        <w:t>and</w:t>
      </w:r>
      <w:r>
        <w:rPr>
          <w:spacing w:val="-3"/>
          <w:sz w:val="21"/>
          <w:vertAlign w:val="baseline"/>
        </w:rPr>
        <w:t> </w:t>
      </w:r>
      <w:r>
        <w:rPr>
          <w:sz w:val="21"/>
          <w:vertAlign w:val="baseline"/>
        </w:rPr>
        <w:t>challenges</w:t>
      </w:r>
      <w:r>
        <w:rPr>
          <w:spacing w:val="-3"/>
          <w:sz w:val="21"/>
          <w:vertAlign w:val="baseline"/>
        </w:rPr>
        <w:t> </w:t>
      </w:r>
      <w:r>
        <w:rPr>
          <w:sz w:val="21"/>
          <w:vertAlign w:val="baseline"/>
        </w:rPr>
        <w:t>in</w:t>
      </w:r>
      <w:r>
        <w:rPr>
          <w:spacing w:val="-3"/>
          <w:sz w:val="21"/>
          <w:vertAlign w:val="baseline"/>
        </w:rPr>
        <w:t> </w:t>
      </w:r>
      <w:r>
        <w:rPr>
          <w:sz w:val="21"/>
          <w:vertAlign w:val="baseline"/>
        </w:rPr>
        <w:t>achieving</w:t>
      </w:r>
      <w:r>
        <w:rPr>
          <w:spacing w:val="-3"/>
          <w:sz w:val="21"/>
          <w:vertAlign w:val="baseline"/>
        </w:rPr>
        <w:t> </w:t>
      </w:r>
      <w:r>
        <w:rPr>
          <w:sz w:val="21"/>
          <w:vertAlign w:val="baseline"/>
        </w:rPr>
        <w:t>stable,</w:t>
      </w:r>
      <w:r>
        <w:rPr>
          <w:spacing w:val="-2"/>
          <w:sz w:val="21"/>
          <w:vertAlign w:val="baseline"/>
        </w:rPr>
        <w:t> </w:t>
      </w:r>
      <w:r>
        <w:rPr>
          <w:sz w:val="21"/>
          <w:vertAlign w:val="baseline"/>
        </w:rPr>
        <w:t>permanent</w:t>
      </w:r>
      <w:r>
        <w:rPr>
          <w:spacing w:val="-2"/>
          <w:sz w:val="21"/>
          <w:vertAlign w:val="baseline"/>
        </w:rPr>
        <w:t> </w:t>
      </w:r>
      <w:r>
        <w:rPr>
          <w:sz w:val="21"/>
          <w:vertAlign w:val="baseline"/>
        </w:rPr>
        <w:t>living</w:t>
      </w:r>
      <w:r>
        <w:rPr>
          <w:spacing w:val="-3"/>
          <w:sz w:val="21"/>
          <w:vertAlign w:val="baseline"/>
        </w:rPr>
        <w:t> </w:t>
      </w:r>
      <w:r>
        <w:rPr>
          <w:sz w:val="21"/>
          <w:vertAlign w:val="baseline"/>
        </w:rPr>
        <w:t>situations.</w:t>
      </w:r>
      <w:hyperlink w:history="true" w:anchor="_bookmark371">
        <w:r>
          <w:rPr>
            <w:sz w:val="21"/>
            <w:vertAlign w:val="superscript"/>
          </w:rPr>
          <w:t>55</w:t>
        </w:r>
      </w:hyperlink>
      <w:r>
        <w:rPr>
          <w:spacing w:val="-3"/>
          <w:sz w:val="21"/>
          <w:vertAlign w:val="baseline"/>
        </w:rPr>
        <w:t> </w:t>
      </w:r>
      <w:r>
        <w:rPr>
          <w:sz w:val="21"/>
          <w:vertAlign w:val="baseline"/>
        </w:rPr>
        <w:t>Notably,</w:t>
      </w:r>
      <w:r>
        <w:rPr>
          <w:spacing w:val="-2"/>
          <w:sz w:val="21"/>
          <w:vertAlign w:val="baseline"/>
        </w:rPr>
        <w:t> </w:t>
      </w:r>
      <w:r>
        <w:rPr>
          <w:sz w:val="21"/>
          <w:vertAlign w:val="baseline"/>
        </w:rPr>
        <w:t>the</w:t>
      </w:r>
      <w:r>
        <w:rPr>
          <w:spacing w:val="-3"/>
          <w:sz w:val="21"/>
          <w:vertAlign w:val="baseline"/>
        </w:rPr>
        <w:t> </w:t>
      </w:r>
      <w:r>
        <w:rPr>
          <w:sz w:val="21"/>
          <w:vertAlign w:val="baseline"/>
        </w:rPr>
        <w:t>report</w:t>
      </w:r>
      <w:r>
        <w:rPr>
          <w:spacing w:val="-3"/>
          <w:sz w:val="21"/>
          <w:vertAlign w:val="baseline"/>
        </w:rPr>
        <w:t> </w:t>
      </w:r>
      <w:r>
        <w:rPr>
          <w:sz w:val="21"/>
          <w:vertAlign w:val="baseline"/>
        </w:rPr>
        <w:t>concludes that</w:t>
      </w:r>
      <w:r>
        <w:rPr>
          <w:spacing w:val="40"/>
          <w:sz w:val="21"/>
          <w:vertAlign w:val="baseline"/>
        </w:rPr>
        <w:t> </w:t>
      </w:r>
      <w:r>
        <w:rPr>
          <w:sz w:val="21"/>
          <w:vertAlign w:val="baseline"/>
        </w:rPr>
        <w:t>the system has failed to ensure the safety and protection of LGBTQ youth from violence, abuse, and exploitation,</w:t>
      </w:r>
      <w:r>
        <w:rPr>
          <w:spacing w:val="-10"/>
          <w:sz w:val="21"/>
          <w:vertAlign w:val="baseline"/>
        </w:rPr>
        <w:t> </w:t>
      </w:r>
      <w:r>
        <w:rPr>
          <w:sz w:val="21"/>
          <w:vertAlign w:val="baseline"/>
        </w:rPr>
        <w:t>particularly</w:t>
      </w:r>
      <w:r>
        <w:rPr>
          <w:spacing w:val="-10"/>
          <w:sz w:val="21"/>
          <w:vertAlign w:val="baseline"/>
        </w:rPr>
        <w:t> </w:t>
      </w:r>
      <w:r>
        <w:rPr>
          <w:sz w:val="21"/>
          <w:vertAlign w:val="baseline"/>
        </w:rPr>
        <w:t>those</w:t>
      </w:r>
      <w:r>
        <w:rPr>
          <w:spacing w:val="-10"/>
          <w:sz w:val="21"/>
          <w:vertAlign w:val="baseline"/>
        </w:rPr>
        <w:t> </w:t>
      </w:r>
      <w:r>
        <w:rPr>
          <w:sz w:val="21"/>
          <w:vertAlign w:val="baseline"/>
        </w:rPr>
        <w:t>in</w:t>
      </w:r>
      <w:r>
        <w:rPr>
          <w:spacing w:val="-10"/>
          <w:sz w:val="21"/>
          <w:vertAlign w:val="baseline"/>
        </w:rPr>
        <w:t> </w:t>
      </w:r>
      <w:r>
        <w:rPr>
          <w:sz w:val="21"/>
          <w:vertAlign w:val="baseline"/>
        </w:rPr>
        <w:t>congregate</w:t>
      </w:r>
      <w:r>
        <w:rPr>
          <w:spacing w:val="-10"/>
          <w:sz w:val="21"/>
          <w:vertAlign w:val="baseline"/>
        </w:rPr>
        <w:t> </w:t>
      </w:r>
      <w:r>
        <w:rPr>
          <w:sz w:val="21"/>
          <w:vertAlign w:val="baseline"/>
        </w:rPr>
        <w:t>care</w:t>
      </w:r>
      <w:r>
        <w:rPr>
          <w:spacing w:val="-11"/>
          <w:sz w:val="21"/>
          <w:vertAlign w:val="baseline"/>
        </w:rPr>
        <w:t> </w:t>
      </w:r>
      <w:r>
        <w:rPr>
          <w:sz w:val="21"/>
          <w:vertAlign w:val="baseline"/>
        </w:rPr>
        <w:t>settings.</w:t>
      </w:r>
      <w:hyperlink w:history="true" w:anchor="_bookmark372">
        <w:r>
          <w:rPr>
            <w:sz w:val="21"/>
            <w:vertAlign w:val="superscript"/>
          </w:rPr>
          <w:t>56</w:t>
        </w:r>
      </w:hyperlink>
      <w:r>
        <w:rPr>
          <w:spacing w:val="-3"/>
          <w:sz w:val="21"/>
          <w:vertAlign w:val="baseline"/>
        </w:rPr>
        <w:t> </w:t>
      </w:r>
      <w:r>
        <w:rPr>
          <w:sz w:val="21"/>
          <w:vertAlign w:val="baseline"/>
        </w:rPr>
        <w:t>The</w:t>
      </w:r>
      <w:r>
        <w:rPr>
          <w:spacing w:val="-10"/>
          <w:sz w:val="21"/>
          <w:vertAlign w:val="baseline"/>
        </w:rPr>
        <w:t> </w:t>
      </w:r>
      <w:r>
        <w:rPr>
          <w:sz w:val="21"/>
          <w:vertAlign w:val="baseline"/>
        </w:rPr>
        <w:t>Commission</w:t>
      </w:r>
      <w:r>
        <w:rPr>
          <w:spacing w:val="-10"/>
          <w:sz w:val="21"/>
          <w:vertAlign w:val="baseline"/>
        </w:rPr>
        <w:t> </w:t>
      </w:r>
      <w:r>
        <w:rPr>
          <w:sz w:val="21"/>
          <w:vertAlign w:val="baseline"/>
        </w:rPr>
        <w:t>uncovered</w:t>
      </w:r>
      <w:r>
        <w:rPr>
          <w:spacing w:val="-10"/>
          <w:sz w:val="21"/>
          <w:vertAlign w:val="baseline"/>
        </w:rPr>
        <w:t> </w:t>
      </w:r>
      <w:r>
        <w:rPr>
          <w:sz w:val="21"/>
          <w:vertAlign w:val="baseline"/>
        </w:rPr>
        <w:t>significant</w:t>
      </w:r>
      <w:r>
        <w:rPr>
          <w:spacing w:val="-10"/>
          <w:sz w:val="21"/>
          <w:vertAlign w:val="baseline"/>
        </w:rPr>
        <w:t> </w:t>
      </w:r>
      <w:r>
        <w:rPr>
          <w:sz w:val="21"/>
          <w:vertAlign w:val="baseline"/>
        </w:rPr>
        <w:t>threats to</w:t>
      </w:r>
      <w:r>
        <w:rPr>
          <w:spacing w:val="-2"/>
          <w:sz w:val="21"/>
          <w:vertAlign w:val="baseline"/>
        </w:rPr>
        <w:t> </w:t>
      </w:r>
      <w:r>
        <w:rPr>
          <w:sz w:val="21"/>
          <w:vertAlign w:val="baseline"/>
        </w:rPr>
        <w:t>the</w:t>
      </w:r>
      <w:r>
        <w:rPr>
          <w:spacing w:val="-3"/>
          <w:sz w:val="21"/>
          <w:vertAlign w:val="baseline"/>
        </w:rPr>
        <w:t> </w:t>
      </w:r>
      <w:r>
        <w:rPr>
          <w:sz w:val="21"/>
          <w:vertAlign w:val="baseline"/>
        </w:rPr>
        <w:t>wellbeing</w:t>
      </w:r>
      <w:r>
        <w:rPr>
          <w:spacing w:val="-2"/>
          <w:sz w:val="21"/>
          <w:vertAlign w:val="baseline"/>
        </w:rPr>
        <w:t> </w:t>
      </w:r>
      <w:r>
        <w:rPr>
          <w:sz w:val="21"/>
          <w:vertAlign w:val="baseline"/>
        </w:rPr>
        <w:t>of</w:t>
      </w:r>
      <w:r>
        <w:rPr>
          <w:spacing w:val="-2"/>
          <w:sz w:val="21"/>
          <w:vertAlign w:val="baseline"/>
        </w:rPr>
        <w:t> </w:t>
      </w:r>
      <w:r>
        <w:rPr>
          <w:sz w:val="21"/>
          <w:vertAlign w:val="baseline"/>
        </w:rPr>
        <w:t>these</w:t>
      </w:r>
      <w:r>
        <w:rPr>
          <w:spacing w:val="-2"/>
          <w:sz w:val="21"/>
          <w:vertAlign w:val="baseline"/>
        </w:rPr>
        <w:t> </w:t>
      </w:r>
      <w:r>
        <w:rPr>
          <w:sz w:val="21"/>
          <w:vertAlign w:val="baseline"/>
        </w:rPr>
        <w:t>youths,</w:t>
      </w:r>
      <w:r>
        <w:rPr>
          <w:spacing w:val="-1"/>
          <w:sz w:val="21"/>
          <w:vertAlign w:val="baseline"/>
        </w:rPr>
        <w:t> </w:t>
      </w:r>
      <w:r>
        <w:rPr>
          <w:sz w:val="21"/>
          <w:vertAlign w:val="baseline"/>
        </w:rPr>
        <w:t>including</w:t>
      </w:r>
      <w:r>
        <w:rPr>
          <w:spacing w:val="-2"/>
          <w:sz w:val="21"/>
          <w:vertAlign w:val="baseline"/>
        </w:rPr>
        <w:t> </w:t>
      </w:r>
      <w:r>
        <w:rPr>
          <w:sz w:val="21"/>
          <w:vertAlign w:val="baseline"/>
        </w:rPr>
        <w:t>extensive</w:t>
      </w:r>
      <w:r>
        <w:rPr>
          <w:spacing w:val="-2"/>
          <w:sz w:val="21"/>
          <w:vertAlign w:val="baseline"/>
        </w:rPr>
        <w:t> </w:t>
      </w:r>
      <w:r>
        <w:rPr>
          <w:sz w:val="21"/>
          <w:vertAlign w:val="baseline"/>
        </w:rPr>
        <w:t>delays</w:t>
      </w:r>
      <w:r>
        <w:rPr>
          <w:spacing w:val="-2"/>
          <w:sz w:val="21"/>
          <w:vertAlign w:val="baseline"/>
        </w:rPr>
        <w:t> </w:t>
      </w:r>
      <w:r>
        <w:rPr>
          <w:sz w:val="21"/>
          <w:vertAlign w:val="baseline"/>
        </w:rPr>
        <w:t>in</w:t>
      </w:r>
      <w:r>
        <w:rPr>
          <w:spacing w:val="-2"/>
          <w:sz w:val="21"/>
          <w:vertAlign w:val="baseline"/>
        </w:rPr>
        <w:t> </w:t>
      </w:r>
      <w:r>
        <w:rPr>
          <w:sz w:val="21"/>
          <w:vertAlign w:val="baseline"/>
        </w:rPr>
        <w:t>obtaining</w:t>
      </w:r>
      <w:r>
        <w:rPr>
          <w:spacing w:val="-2"/>
          <w:sz w:val="21"/>
          <w:vertAlign w:val="baseline"/>
        </w:rPr>
        <w:t> </w:t>
      </w:r>
      <w:r>
        <w:rPr>
          <w:sz w:val="21"/>
          <w:vertAlign w:val="baseline"/>
        </w:rPr>
        <w:t>medically</w:t>
      </w:r>
      <w:r>
        <w:rPr>
          <w:spacing w:val="-2"/>
          <w:sz w:val="21"/>
          <w:vertAlign w:val="baseline"/>
        </w:rPr>
        <w:t> </w:t>
      </w:r>
      <w:r>
        <w:rPr>
          <w:sz w:val="21"/>
          <w:vertAlign w:val="baseline"/>
        </w:rPr>
        <w:t>necessary</w:t>
      </w:r>
      <w:r>
        <w:rPr>
          <w:spacing w:val="-2"/>
          <w:sz w:val="21"/>
          <w:vertAlign w:val="baseline"/>
        </w:rPr>
        <w:t> </w:t>
      </w:r>
      <w:r>
        <w:rPr>
          <w:sz w:val="21"/>
          <w:vertAlign w:val="baseline"/>
        </w:rPr>
        <w:t>care,</w:t>
      </w:r>
      <w:r>
        <w:rPr>
          <w:spacing w:val="-1"/>
          <w:sz w:val="21"/>
          <w:vertAlign w:val="baseline"/>
        </w:rPr>
        <w:t> </w:t>
      </w:r>
      <w:r>
        <w:rPr>
          <w:sz w:val="21"/>
          <w:vertAlign w:val="baseline"/>
        </w:rPr>
        <w:t>barriers to</w:t>
      </w:r>
      <w:r>
        <w:rPr>
          <w:spacing w:val="-2"/>
          <w:sz w:val="21"/>
          <w:vertAlign w:val="baseline"/>
        </w:rPr>
        <w:t> </w:t>
      </w:r>
      <w:r>
        <w:rPr>
          <w:sz w:val="21"/>
          <w:vertAlign w:val="baseline"/>
        </w:rPr>
        <w:t>education,</w:t>
      </w:r>
      <w:r>
        <w:rPr>
          <w:spacing w:val="-3"/>
          <w:sz w:val="21"/>
          <w:vertAlign w:val="baseline"/>
        </w:rPr>
        <w:t> </w:t>
      </w:r>
      <w:r>
        <w:rPr>
          <w:sz w:val="21"/>
          <w:vertAlign w:val="baseline"/>
        </w:rPr>
        <w:t>and</w:t>
      </w:r>
      <w:r>
        <w:rPr>
          <w:spacing w:val="-2"/>
          <w:sz w:val="21"/>
          <w:vertAlign w:val="baseline"/>
        </w:rPr>
        <w:t> </w:t>
      </w:r>
      <w:r>
        <w:rPr>
          <w:sz w:val="21"/>
          <w:vertAlign w:val="baseline"/>
        </w:rPr>
        <w:t>a</w:t>
      </w:r>
      <w:r>
        <w:rPr>
          <w:spacing w:val="-3"/>
          <w:sz w:val="21"/>
          <w:vertAlign w:val="baseline"/>
        </w:rPr>
        <w:t> </w:t>
      </w:r>
      <w:r>
        <w:rPr>
          <w:sz w:val="21"/>
          <w:vertAlign w:val="baseline"/>
        </w:rPr>
        <w:t>widespread</w:t>
      </w:r>
      <w:r>
        <w:rPr>
          <w:spacing w:val="-2"/>
          <w:sz w:val="21"/>
          <w:vertAlign w:val="baseline"/>
        </w:rPr>
        <w:t> </w:t>
      </w:r>
      <w:r>
        <w:rPr>
          <w:sz w:val="21"/>
          <w:vertAlign w:val="baseline"/>
        </w:rPr>
        <w:t>invalidation</w:t>
      </w:r>
      <w:r>
        <w:rPr>
          <w:spacing w:val="-2"/>
          <w:sz w:val="21"/>
          <w:vertAlign w:val="baseline"/>
        </w:rPr>
        <w:t> </w:t>
      </w:r>
      <w:r>
        <w:rPr>
          <w:sz w:val="21"/>
          <w:vertAlign w:val="baseline"/>
        </w:rPr>
        <w:t>of</w:t>
      </w:r>
      <w:r>
        <w:rPr>
          <w:spacing w:val="-2"/>
          <w:sz w:val="21"/>
          <w:vertAlign w:val="baseline"/>
        </w:rPr>
        <w:t> </w:t>
      </w:r>
      <w:r>
        <w:rPr>
          <w:sz w:val="21"/>
          <w:vertAlign w:val="baseline"/>
        </w:rPr>
        <w:t>LGBTQ</w:t>
      </w:r>
      <w:r>
        <w:rPr>
          <w:spacing w:val="-2"/>
          <w:sz w:val="21"/>
          <w:vertAlign w:val="baseline"/>
        </w:rPr>
        <w:t> </w:t>
      </w:r>
      <w:r>
        <w:rPr>
          <w:sz w:val="21"/>
          <w:vertAlign w:val="baseline"/>
        </w:rPr>
        <w:t>identities.</w:t>
      </w:r>
      <w:r>
        <w:rPr>
          <w:spacing w:val="-2"/>
          <w:sz w:val="21"/>
          <w:vertAlign w:val="baseline"/>
        </w:rPr>
        <w:t> </w:t>
      </w:r>
      <w:r>
        <w:rPr>
          <w:sz w:val="21"/>
          <w:vertAlign w:val="baseline"/>
        </w:rPr>
        <w:t>It</w:t>
      </w:r>
      <w:r>
        <w:rPr>
          <w:spacing w:val="-3"/>
          <w:sz w:val="21"/>
          <w:vertAlign w:val="baseline"/>
        </w:rPr>
        <w:t> </w:t>
      </w:r>
      <w:r>
        <w:rPr>
          <w:sz w:val="21"/>
          <w:vertAlign w:val="baseline"/>
        </w:rPr>
        <w:t>also</w:t>
      </w:r>
      <w:r>
        <w:rPr>
          <w:spacing w:val="-2"/>
          <w:sz w:val="21"/>
          <w:vertAlign w:val="baseline"/>
        </w:rPr>
        <w:t> </w:t>
      </w:r>
      <w:r>
        <w:rPr>
          <w:sz w:val="21"/>
          <w:vertAlign w:val="baseline"/>
        </w:rPr>
        <w:t>noted</w:t>
      </w:r>
      <w:r>
        <w:rPr>
          <w:spacing w:val="-2"/>
          <w:sz w:val="21"/>
          <w:vertAlign w:val="baseline"/>
        </w:rPr>
        <w:t> </w:t>
      </w:r>
      <w:r>
        <w:rPr>
          <w:sz w:val="21"/>
          <w:vertAlign w:val="baseline"/>
        </w:rPr>
        <w:t>poor</w:t>
      </w:r>
      <w:r>
        <w:rPr>
          <w:spacing w:val="-2"/>
          <w:sz w:val="21"/>
          <w:vertAlign w:val="baseline"/>
        </w:rPr>
        <w:t> </w:t>
      </w:r>
      <w:r>
        <w:rPr>
          <w:sz w:val="21"/>
          <w:vertAlign w:val="baseline"/>
        </w:rPr>
        <w:t>permanency</w:t>
      </w:r>
      <w:r>
        <w:rPr>
          <w:spacing w:val="-3"/>
          <w:sz w:val="21"/>
          <w:vertAlign w:val="baseline"/>
        </w:rPr>
        <w:t> </w:t>
      </w:r>
      <w:r>
        <w:rPr>
          <w:sz w:val="21"/>
          <w:vertAlign w:val="baseline"/>
        </w:rPr>
        <w:t>outcomes for LGBTQ foster youth, characterized by inappropriate placements, frequent moves, and difficult transitions into adulthood. The damage resulting from these failures is profound and, in some cases, irreversible, disproportionately affecting Black and Brown youth as well as transgender youth due to disparate access to resources and ongoing biases within the child welfare system.</w:t>
      </w:r>
    </w:p>
    <w:p>
      <w:pPr>
        <w:spacing w:line="276" w:lineRule="auto" w:before="240"/>
        <w:ind w:left="464" w:right="239" w:firstLine="0"/>
        <w:jc w:val="both"/>
        <w:rPr>
          <w:sz w:val="21"/>
        </w:rPr>
      </w:pPr>
      <w:r>
        <w:rPr>
          <w:sz w:val="21"/>
        </w:rPr>
        <w:t>Fortunately,</w:t>
      </w:r>
      <w:r>
        <w:rPr>
          <w:spacing w:val="-4"/>
          <w:sz w:val="21"/>
        </w:rPr>
        <w:t> </w:t>
      </w:r>
      <w:r>
        <w:rPr>
          <w:sz w:val="21"/>
        </w:rPr>
        <w:t>DCF</w:t>
      </w:r>
      <w:r>
        <w:rPr>
          <w:spacing w:val="-5"/>
          <w:sz w:val="21"/>
        </w:rPr>
        <w:t> </w:t>
      </w:r>
      <w:r>
        <w:rPr>
          <w:sz w:val="21"/>
        </w:rPr>
        <w:t>has</w:t>
      </w:r>
      <w:r>
        <w:rPr>
          <w:spacing w:val="-5"/>
          <w:sz w:val="21"/>
        </w:rPr>
        <w:t> </w:t>
      </w:r>
      <w:r>
        <w:rPr>
          <w:sz w:val="21"/>
        </w:rPr>
        <w:t>made</w:t>
      </w:r>
      <w:r>
        <w:rPr>
          <w:spacing w:val="-4"/>
          <w:sz w:val="21"/>
        </w:rPr>
        <w:t> </w:t>
      </w:r>
      <w:r>
        <w:rPr>
          <w:sz w:val="21"/>
        </w:rPr>
        <w:t>significant</w:t>
      </w:r>
      <w:r>
        <w:rPr>
          <w:spacing w:val="-4"/>
          <w:sz w:val="21"/>
        </w:rPr>
        <w:t> </w:t>
      </w:r>
      <w:r>
        <w:rPr>
          <w:sz w:val="21"/>
        </w:rPr>
        <w:t>progress</w:t>
      </w:r>
      <w:r>
        <w:rPr>
          <w:spacing w:val="-5"/>
          <w:sz w:val="21"/>
        </w:rPr>
        <w:t> </w:t>
      </w:r>
      <w:r>
        <w:rPr>
          <w:sz w:val="21"/>
        </w:rPr>
        <w:t>since</w:t>
      </w:r>
      <w:r>
        <w:rPr>
          <w:spacing w:val="-4"/>
          <w:sz w:val="21"/>
        </w:rPr>
        <w:t> </w:t>
      </w:r>
      <w:r>
        <w:rPr>
          <w:sz w:val="21"/>
        </w:rPr>
        <w:t>the</w:t>
      </w:r>
      <w:r>
        <w:rPr>
          <w:spacing w:val="-4"/>
          <w:sz w:val="21"/>
        </w:rPr>
        <w:t> </w:t>
      </w:r>
      <w:r>
        <w:rPr>
          <w:sz w:val="21"/>
        </w:rPr>
        <w:t>release</w:t>
      </w:r>
      <w:r>
        <w:rPr>
          <w:spacing w:val="-4"/>
          <w:sz w:val="21"/>
        </w:rPr>
        <w:t> </w:t>
      </w:r>
      <w:r>
        <w:rPr>
          <w:sz w:val="21"/>
        </w:rPr>
        <w:t>of</w:t>
      </w:r>
      <w:r>
        <w:rPr>
          <w:spacing w:val="-5"/>
          <w:sz w:val="21"/>
        </w:rPr>
        <w:t> </w:t>
      </w:r>
      <w:r>
        <w:rPr>
          <w:sz w:val="21"/>
        </w:rPr>
        <w:t>the</w:t>
      </w:r>
      <w:r>
        <w:rPr>
          <w:spacing w:val="-4"/>
          <w:sz w:val="21"/>
        </w:rPr>
        <w:t> </w:t>
      </w:r>
      <w:r>
        <w:rPr>
          <w:sz w:val="21"/>
        </w:rPr>
        <w:t>Commission’s</w:t>
      </w:r>
      <w:r>
        <w:rPr>
          <w:spacing w:val="-4"/>
          <w:sz w:val="21"/>
        </w:rPr>
        <w:t> </w:t>
      </w:r>
      <w:r>
        <w:rPr>
          <w:sz w:val="21"/>
        </w:rPr>
        <w:t>report.</w:t>
      </w:r>
      <w:r>
        <w:rPr>
          <w:spacing w:val="-5"/>
          <w:sz w:val="21"/>
        </w:rPr>
        <w:t> </w:t>
      </w:r>
      <w:r>
        <w:rPr>
          <w:sz w:val="21"/>
        </w:rPr>
        <w:t>Over</w:t>
      </w:r>
      <w:r>
        <w:rPr>
          <w:spacing w:val="-4"/>
          <w:sz w:val="21"/>
        </w:rPr>
        <w:t> </w:t>
      </w:r>
      <w:r>
        <w:rPr>
          <w:sz w:val="21"/>
        </w:rPr>
        <w:t>the</w:t>
      </w:r>
      <w:r>
        <w:rPr>
          <w:spacing w:val="-4"/>
          <w:sz w:val="21"/>
        </w:rPr>
        <w:t> </w:t>
      </w:r>
      <w:r>
        <w:rPr>
          <w:sz w:val="21"/>
        </w:rPr>
        <w:t>past three years, the Department of Children and Families (DCF) has significantly improved its practices for collecting Sexual Orientation and Gender Identity (SOGI) data, with much of this data being included in its quarterly reports since early fiscal year 2023. During a</w:t>
      </w:r>
      <w:r>
        <w:rPr>
          <w:spacing w:val="-1"/>
          <w:sz w:val="21"/>
        </w:rPr>
        <w:t> </w:t>
      </w:r>
      <w:r>
        <w:rPr>
          <w:sz w:val="21"/>
        </w:rPr>
        <w:t>meeting in February 2024, the Commission learned that DCF is developing an LGBTQ training program to be hosted on MassAchieve, the state employee training</w:t>
      </w:r>
      <w:r>
        <w:rPr>
          <w:spacing w:val="-11"/>
          <w:sz w:val="21"/>
        </w:rPr>
        <w:t> </w:t>
      </w:r>
      <w:r>
        <w:rPr>
          <w:sz w:val="21"/>
        </w:rPr>
        <w:t>platform.</w:t>
      </w:r>
      <w:r>
        <w:rPr>
          <w:spacing w:val="-10"/>
          <w:sz w:val="21"/>
        </w:rPr>
        <w:t> </w:t>
      </w:r>
      <w:r>
        <w:rPr>
          <w:sz w:val="21"/>
        </w:rPr>
        <w:t>This</w:t>
      </w:r>
      <w:r>
        <w:rPr>
          <w:spacing w:val="-11"/>
          <w:sz w:val="21"/>
        </w:rPr>
        <w:t> </w:t>
      </w:r>
      <w:r>
        <w:rPr>
          <w:sz w:val="21"/>
        </w:rPr>
        <w:t>program</w:t>
      </w:r>
      <w:r>
        <w:rPr>
          <w:spacing w:val="-10"/>
          <w:sz w:val="21"/>
        </w:rPr>
        <w:t> </w:t>
      </w:r>
      <w:r>
        <w:rPr>
          <w:sz w:val="21"/>
        </w:rPr>
        <w:t>will</w:t>
      </w:r>
      <w:r>
        <w:rPr>
          <w:spacing w:val="-10"/>
          <w:sz w:val="21"/>
        </w:rPr>
        <w:t> </w:t>
      </w:r>
      <w:r>
        <w:rPr>
          <w:sz w:val="21"/>
        </w:rPr>
        <w:t>include</w:t>
      </w:r>
      <w:r>
        <w:rPr>
          <w:spacing w:val="-10"/>
          <w:sz w:val="21"/>
        </w:rPr>
        <w:t> </w:t>
      </w:r>
      <w:r>
        <w:rPr>
          <w:sz w:val="21"/>
        </w:rPr>
        <w:t>discussions</w:t>
      </w:r>
      <w:r>
        <w:rPr>
          <w:spacing w:val="-11"/>
          <w:sz w:val="21"/>
        </w:rPr>
        <w:t> </w:t>
      </w:r>
      <w:r>
        <w:rPr>
          <w:sz w:val="21"/>
        </w:rPr>
        <w:t>at</w:t>
      </w:r>
      <w:r>
        <w:rPr>
          <w:spacing w:val="-10"/>
          <w:sz w:val="21"/>
        </w:rPr>
        <w:t> </w:t>
      </w:r>
      <w:r>
        <w:rPr>
          <w:sz w:val="21"/>
        </w:rPr>
        <w:t>all</w:t>
      </w:r>
      <w:r>
        <w:rPr>
          <w:spacing w:val="-12"/>
          <w:sz w:val="21"/>
        </w:rPr>
        <w:t> </w:t>
      </w:r>
      <w:r>
        <w:rPr>
          <w:sz w:val="21"/>
        </w:rPr>
        <w:t>area</w:t>
      </w:r>
      <w:r>
        <w:rPr>
          <w:spacing w:val="-11"/>
          <w:sz w:val="21"/>
        </w:rPr>
        <w:t> </w:t>
      </w:r>
      <w:r>
        <w:rPr>
          <w:sz w:val="21"/>
        </w:rPr>
        <w:t>offices</w:t>
      </w:r>
      <w:r>
        <w:rPr>
          <w:spacing w:val="-11"/>
          <w:sz w:val="21"/>
        </w:rPr>
        <w:t> </w:t>
      </w:r>
      <w:r>
        <w:rPr>
          <w:sz w:val="21"/>
        </w:rPr>
        <w:t>to</w:t>
      </w:r>
      <w:r>
        <w:rPr>
          <w:spacing w:val="-11"/>
          <w:sz w:val="21"/>
        </w:rPr>
        <w:t> </w:t>
      </w:r>
      <w:r>
        <w:rPr>
          <w:sz w:val="21"/>
        </w:rPr>
        <w:t>guarantee</w:t>
      </w:r>
      <w:r>
        <w:rPr>
          <w:spacing w:val="-10"/>
          <w:sz w:val="21"/>
        </w:rPr>
        <w:t> </w:t>
      </w:r>
      <w:r>
        <w:rPr>
          <w:sz w:val="21"/>
        </w:rPr>
        <w:t>both</w:t>
      </w:r>
      <w:r>
        <w:rPr>
          <w:spacing w:val="-10"/>
          <w:sz w:val="21"/>
        </w:rPr>
        <w:t> </w:t>
      </w:r>
      <w:r>
        <w:rPr>
          <w:sz w:val="21"/>
        </w:rPr>
        <w:t>compliance</w:t>
      </w:r>
      <w:r>
        <w:rPr>
          <w:spacing w:val="-10"/>
          <w:sz w:val="21"/>
        </w:rPr>
        <w:t> </w:t>
      </w:r>
      <w:r>
        <w:rPr>
          <w:sz w:val="21"/>
        </w:rPr>
        <w:t>and understanding. The newly established LGBTQIA+ Office at DCF will lead these discussions in collaboration with</w:t>
      </w:r>
      <w:r>
        <w:rPr>
          <w:spacing w:val="-6"/>
          <w:sz w:val="21"/>
        </w:rPr>
        <w:t> </w:t>
      </w:r>
      <w:r>
        <w:rPr>
          <w:sz w:val="21"/>
        </w:rPr>
        <w:t>the</w:t>
      </w:r>
      <w:r>
        <w:rPr>
          <w:spacing w:val="-6"/>
          <w:sz w:val="21"/>
        </w:rPr>
        <w:t> </w:t>
      </w:r>
      <w:r>
        <w:rPr>
          <w:sz w:val="21"/>
        </w:rPr>
        <w:t>leadership</w:t>
      </w:r>
      <w:r>
        <w:rPr>
          <w:spacing w:val="-6"/>
          <w:sz w:val="21"/>
        </w:rPr>
        <w:t> </w:t>
      </w:r>
      <w:r>
        <w:rPr>
          <w:sz w:val="21"/>
        </w:rPr>
        <w:t>and</w:t>
      </w:r>
      <w:r>
        <w:rPr>
          <w:spacing w:val="-6"/>
          <w:sz w:val="21"/>
        </w:rPr>
        <w:t> </w:t>
      </w:r>
      <w:r>
        <w:rPr>
          <w:sz w:val="21"/>
        </w:rPr>
        <w:t>training</w:t>
      </w:r>
      <w:r>
        <w:rPr>
          <w:spacing w:val="-6"/>
          <w:sz w:val="21"/>
        </w:rPr>
        <w:t> </w:t>
      </w:r>
      <w:r>
        <w:rPr>
          <w:sz w:val="21"/>
        </w:rPr>
        <w:t>teams</w:t>
      </w:r>
      <w:r>
        <w:rPr>
          <w:spacing w:val="-6"/>
          <w:sz w:val="21"/>
        </w:rPr>
        <w:t> </w:t>
      </w:r>
      <w:r>
        <w:rPr>
          <w:sz w:val="21"/>
        </w:rPr>
        <w:t>of</w:t>
      </w:r>
      <w:r>
        <w:rPr>
          <w:spacing w:val="-6"/>
          <w:sz w:val="21"/>
        </w:rPr>
        <w:t> </w:t>
      </w:r>
      <w:r>
        <w:rPr>
          <w:sz w:val="21"/>
        </w:rPr>
        <w:t>the</w:t>
      </w:r>
      <w:r>
        <w:rPr>
          <w:spacing w:val="-6"/>
          <w:sz w:val="21"/>
        </w:rPr>
        <w:t> </w:t>
      </w:r>
      <w:r>
        <w:rPr>
          <w:sz w:val="21"/>
        </w:rPr>
        <w:t>area</w:t>
      </w:r>
      <w:r>
        <w:rPr>
          <w:spacing w:val="-5"/>
          <w:sz w:val="21"/>
        </w:rPr>
        <w:t> </w:t>
      </w:r>
      <w:r>
        <w:rPr>
          <w:sz w:val="21"/>
        </w:rPr>
        <w:t>offices.</w:t>
      </w:r>
      <w:r>
        <w:rPr>
          <w:spacing w:val="-6"/>
          <w:sz w:val="21"/>
        </w:rPr>
        <w:t> </w:t>
      </w:r>
      <w:r>
        <w:rPr>
          <w:sz w:val="21"/>
        </w:rPr>
        <w:t>In</w:t>
      </w:r>
      <w:r>
        <w:rPr>
          <w:spacing w:val="-6"/>
          <w:sz w:val="21"/>
        </w:rPr>
        <w:t> </w:t>
      </w:r>
      <w:r>
        <w:rPr>
          <w:sz w:val="21"/>
        </w:rPr>
        <w:t>addition,</w:t>
      </w:r>
      <w:r>
        <w:rPr>
          <w:spacing w:val="-5"/>
          <w:sz w:val="21"/>
        </w:rPr>
        <w:t> </w:t>
      </w:r>
      <w:r>
        <w:rPr>
          <w:sz w:val="21"/>
        </w:rPr>
        <w:t>DCF</w:t>
      </w:r>
      <w:r>
        <w:rPr>
          <w:spacing w:val="-6"/>
          <w:sz w:val="21"/>
        </w:rPr>
        <w:t> </w:t>
      </w:r>
      <w:r>
        <w:rPr>
          <w:sz w:val="21"/>
        </w:rPr>
        <w:t>has</w:t>
      </w:r>
      <w:r>
        <w:rPr>
          <w:spacing w:val="-6"/>
          <w:sz w:val="21"/>
        </w:rPr>
        <w:t> </w:t>
      </w:r>
      <w:r>
        <w:rPr>
          <w:sz w:val="21"/>
        </w:rPr>
        <w:t>made</w:t>
      </w:r>
      <w:r>
        <w:rPr>
          <w:spacing w:val="-6"/>
          <w:sz w:val="21"/>
        </w:rPr>
        <w:t> </w:t>
      </w:r>
      <w:r>
        <w:rPr>
          <w:sz w:val="21"/>
        </w:rPr>
        <w:t>significant</w:t>
      </w:r>
      <w:r>
        <w:rPr>
          <w:spacing w:val="-5"/>
          <w:sz w:val="21"/>
        </w:rPr>
        <w:t> </w:t>
      </w:r>
      <w:r>
        <w:rPr>
          <w:sz w:val="21"/>
        </w:rPr>
        <w:t>progress</w:t>
      </w:r>
      <w:r>
        <w:rPr>
          <w:spacing w:val="-6"/>
          <w:sz w:val="21"/>
        </w:rPr>
        <w:t> </w:t>
      </w:r>
      <w:r>
        <w:rPr>
          <w:sz w:val="21"/>
        </w:rPr>
        <w:t>in implementing LGBTQ-inclusive policies over the last four years and remains committed to continually assessing the effectiveness of these policies. Currently, DCF is reviewing its Gender-Affirming Medication Consent Policy, introduced in 2021, to update and clarify its language to address some ongoing issues and </w:t>
      </w:r>
      <w:r>
        <w:rPr>
          <w:spacing w:val="-2"/>
          <w:sz w:val="21"/>
        </w:rPr>
        <w:t>obstacles.</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9" w:firstLine="0"/>
        <w:jc w:val="both"/>
        <w:rPr>
          <w:sz w:val="21"/>
        </w:rPr>
      </w:pPr>
      <w:r>
        <w:rPr>
          <w:sz w:val="21"/>
        </w:rPr>
        <w:t>Despite</w:t>
      </w:r>
      <w:r>
        <w:rPr>
          <w:spacing w:val="-4"/>
          <w:sz w:val="21"/>
        </w:rPr>
        <w:t> </w:t>
      </w:r>
      <w:r>
        <w:rPr>
          <w:sz w:val="21"/>
        </w:rPr>
        <w:t>the</w:t>
      </w:r>
      <w:r>
        <w:rPr>
          <w:spacing w:val="-5"/>
          <w:sz w:val="21"/>
        </w:rPr>
        <w:t> </w:t>
      </w:r>
      <w:r>
        <w:rPr>
          <w:sz w:val="21"/>
        </w:rPr>
        <w:t>significant</w:t>
      </w:r>
      <w:r>
        <w:rPr>
          <w:spacing w:val="-4"/>
          <w:sz w:val="21"/>
        </w:rPr>
        <w:t> </w:t>
      </w:r>
      <w:r>
        <w:rPr>
          <w:sz w:val="21"/>
        </w:rPr>
        <w:t>strides</w:t>
      </w:r>
      <w:r>
        <w:rPr>
          <w:spacing w:val="-5"/>
          <w:sz w:val="21"/>
        </w:rPr>
        <w:t> </w:t>
      </w:r>
      <w:r>
        <w:rPr>
          <w:sz w:val="21"/>
        </w:rPr>
        <w:t>made</w:t>
      </w:r>
      <w:r>
        <w:rPr>
          <w:spacing w:val="-5"/>
          <w:sz w:val="21"/>
        </w:rPr>
        <w:t> </w:t>
      </w:r>
      <w:r>
        <w:rPr>
          <w:sz w:val="21"/>
        </w:rPr>
        <w:t>by</w:t>
      </w:r>
      <w:r>
        <w:rPr>
          <w:spacing w:val="-6"/>
          <w:sz w:val="21"/>
        </w:rPr>
        <w:t> </w:t>
      </w:r>
      <w:r>
        <w:rPr>
          <w:sz w:val="21"/>
        </w:rPr>
        <w:t>DCF,</w:t>
      </w:r>
      <w:r>
        <w:rPr>
          <w:spacing w:val="-4"/>
          <w:sz w:val="21"/>
        </w:rPr>
        <w:t> </w:t>
      </w:r>
      <w:r>
        <w:rPr>
          <w:sz w:val="21"/>
        </w:rPr>
        <w:t>the</w:t>
      </w:r>
      <w:r>
        <w:rPr>
          <w:spacing w:val="-5"/>
          <w:sz w:val="21"/>
        </w:rPr>
        <w:t> </w:t>
      </w:r>
      <w:r>
        <w:rPr>
          <w:sz w:val="21"/>
        </w:rPr>
        <w:t>Commission’s</w:t>
      </w:r>
      <w:r>
        <w:rPr>
          <w:spacing w:val="-5"/>
          <w:sz w:val="21"/>
        </w:rPr>
        <w:t> </w:t>
      </w:r>
      <w:r>
        <w:rPr>
          <w:sz w:val="21"/>
        </w:rPr>
        <w:t>report's</w:t>
      </w:r>
      <w:r>
        <w:rPr>
          <w:spacing w:val="-5"/>
          <w:sz w:val="21"/>
        </w:rPr>
        <w:t> </w:t>
      </w:r>
      <w:r>
        <w:rPr>
          <w:sz w:val="21"/>
        </w:rPr>
        <w:t>findings,</w:t>
      </w:r>
      <w:r>
        <w:rPr>
          <w:spacing w:val="-4"/>
          <w:sz w:val="21"/>
        </w:rPr>
        <w:t> </w:t>
      </w:r>
      <w:r>
        <w:rPr>
          <w:sz w:val="21"/>
        </w:rPr>
        <w:t>nevertheless,</w:t>
      </w:r>
      <w:r>
        <w:rPr>
          <w:spacing w:val="-4"/>
          <w:sz w:val="21"/>
        </w:rPr>
        <w:t> </w:t>
      </w:r>
      <w:r>
        <w:rPr>
          <w:sz w:val="21"/>
        </w:rPr>
        <w:t>are</w:t>
      </w:r>
      <w:r>
        <w:rPr>
          <w:spacing w:val="-4"/>
          <w:sz w:val="21"/>
        </w:rPr>
        <w:t> </w:t>
      </w:r>
      <w:r>
        <w:rPr>
          <w:sz w:val="21"/>
        </w:rPr>
        <w:t>alarming considering</w:t>
      </w:r>
      <w:r>
        <w:rPr>
          <w:spacing w:val="-8"/>
          <w:sz w:val="21"/>
        </w:rPr>
        <w:t> </w:t>
      </w:r>
      <w:r>
        <w:rPr>
          <w:sz w:val="21"/>
        </w:rPr>
        <w:t>research</w:t>
      </w:r>
      <w:r>
        <w:rPr>
          <w:spacing w:val="-8"/>
          <w:sz w:val="21"/>
        </w:rPr>
        <w:t> </w:t>
      </w:r>
      <w:r>
        <w:rPr>
          <w:sz w:val="21"/>
        </w:rPr>
        <w:t>on</w:t>
      </w:r>
      <w:r>
        <w:rPr>
          <w:spacing w:val="-8"/>
          <w:sz w:val="21"/>
        </w:rPr>
        <w:t> </w:t>
      </w:r>
      <w:r>
        <w:rPr>
          <w:sz w:val="21"/>
        </w:rPr>
        <w:t>suicidality</w:t>
      </w:r>
      <w:r>
        <w:rPr>
          <w:spacing w:val="-8"/>
          <w:sz w:val="21"/>
        </w:rPr>
        <w:t> </w:t>
      </w:r>
      <w:r>
        <w:rPr>
          <w:sz w:val="21"/>
        </w:rPr>
        <w:t>among</w:t>
      </w:r>
      <w:r>
        <w:rPr>
          <w:spacing w:val="-9"/>
          <w:sz w:val="21"/>
        </w:rPr>
        <w:t> </w:t>
      </w:r>
      <w:r>
        <w:rPr>
          <w:sz w:val="21"/>
        </w:rPr>
        <w:t>LGBTQ</w:t>
      </w:r>
      <w:r>
        <w:rPr>
          <w:spacing w:val="-7"/>
          <w:sz w:val="21"/>
        </w:rPr>
        <w:t> </w:t>
      </w:r>
      <w:r>
        <w:rPr>
          <w:sz w:val="21"/>
        </w:rPr>
        <w:t>youth</w:t>
      </w:r>
      <w:r>
        <w:rPr>
          <w:spacing w:val="-9"/>
          <w:sz w:val="21"/>
        </w:rPr>
        <w:t> </w:t>
      </w:r>
      <w:r>
        <w:rPr>
          <w:sz w:val="21"/>
        </w:rPr>
        <w:t>with</w:t>
      </w:r>
      <w:r>
        <w:rPr>
          <w:spacing w:val="-8"/>
          <w:sz w:val="21"/>
        </w:rPr>
        <w:t> </w:t>
      </w:r>
      <w:r>
        <w:rPr>
          <w:sz w:val="21"/>
        </w:rPr>
        <w:t>a</w:t>
      </w:r>
      <w:r>
        <w:rPr>
          <w:spacing w:val="-9"/>
          <w:sz w:val="21"/>
        </w:rPr>
        <w:t> </w:t>
      </w:r>
      <w:r>
        <w:rPr>
          <w:sz w:val="21"/>
        </w:rPr>
        <w:t>history</w:t>
      </w:r>
      <w:r>
        <w:rPr>
          <w:spacing w:val="-9"/>
          <w:sz w:val="21"/>
        </w:rPr>
        <w:t> </w:t>
      </w:r>
      <w:r>
        <w:rPr>
          <w:sz w:val="21"/>
        </w:rPr>
        <w:t>of</w:t>
      </w:r>
      <w:r>
        <w:rPr>
          <w:spacing w:val="-8"/>
          <w:sz w:val="21"/>
        </w:rPr>
        <w:t> </w:t>
      </w:r>
      <w:r>
        <w:rPr>
          <w:sz w:val="21"/>
        </w:rPr>
        <w:t>foster</w:t>
      </w:r>
      <w:r>
        <w:rPr>
          <w:spacing w:val="-8"/>
          <w:sz w:val="21"/>
        </w:rPr>
        <w:t> </w:t>
      </w:r>
      <w:r>
        <w:rPr>
          <w:sz w:val="21"/>
        </w:rPr>
        <w:t>care.</w:t>
      </w:r>
      <w:r>
        <w:rPr>
          <w:spacing w:val="-9"/>
          <w:sz w:val="21"/>
        </w:rPr>
        <w:t> </w:t>
      </w:r>
      <w:r>
        <w:rPr>
          <w:sz w:val="21"/>
        </w:rPr>
        <w:t>LGBTQ</w:t>
      </w:r>
      <w:r>
        <w:rPr>
          <w:spacing w:val="-7"/>
          <w:sz w:val="21"/>
        </w:rPr>
        <w:t> </w:t>
      </w:r>
      <w:r>
        <w:rPr>
          <w:sz w:val="21"/>
        </w:rPr>
        <w:t>youth</w:t>
      </w:r>
      <w:r>
        <w:rPr>
          <w:spacing w:val="-9"/>
          <w:sz w:val="21"/>
        </w:rPr>
        <w:t> </w:t>
      </w:r>
      <w:r>
        <w:rPr>
          <w:sz w:val="21"/>
        </w:rPr>
        <w:t>who</w:t>
      </w:r>
      <w:r>
        <w:rPr>
          <w:spacing w:val="-8"/>
          <w:sz w:val="21"/>
        </w:rPr>
        <w:t> </w:t>
      </w:r>
      <w:r>
        <w:rPr>
          <w:sz w:val="21"/>
        </w:rPr>
        <w:t>had been</w:t>
      </w:r>
      <w:r>
        <w:rPr>
          <w:spacing w:val="-4"/>
          <w:sz w:val="21"/>
        </w:rPr>
        <w:t> </w:t>
      </w:r>
      <w:r>
        <w:rPr>
          <w:sz w:val="21"/>
        </w:rPr>
        <w:t>in</w:t>
      </w:r>
      <w:r>
        <w:rPr>
          <w:spacing w:val="-4"/>
          <w:sz w:val="21"/>
        </w:rPr>
        <w:t> </w:t>
      </w:r>
      <w:r>
        <w:rPr>
          <w:sz w:val="21"/>
        </w:rPr>
        <w:t>foster</w:t>
      </w:r>
      <w:r>
        <w:rPr>
          <w:spacing w:val="-5"/>
          <w:sz w:val="21"/>
        </w:rPr>
        <w:t> </w:t>
      </w:r>
      <w:r>
        <w:rPr>
          <w:sz w:val="21"/>
        </w:rPr>
        <w:t>care</w:t>
      </w:r>
      <w:r>
        <w:rPr>
          <w:spacing w:val="-4"/>
          <w:sz w:val="21"/>
        </w:rPr>
        <w:t> </w:t>
      </w:r>
      <w:r>
        <w:rPr>
          <w:sz w:val="21"/>
        </w:rPr>
        <w:t>are</w:t>
      </w:r>
      <w:r>
        <w:rPr>
          <w:spacing w:val="-6"/>
          <w:sz w:val="21"/>
        </w:rPr>
        <w:t> </w:t>
      </w:r>
      <w:r>
        <w:rPr>
          <w:sz w:val="21"/>
        </w:rPr>
        <w:t>three</w:t>
      </w:r>
      <w:r>
        <w:rPr>
          <w:spacing w:val="-4"/>
          <w:sz w:val="21"/>
        </w:rPr>
        <w:t> </w:t>
      </w:r>
      <w:r>
        <w:rPr>
          <w:sz w:val="21"/>
        </w:rPr>
        <w:t>times</w:t>
      </w:r>
      <w:r>
        <w:rPr>
          <w:spacing w:val="-5"/>
          <w:sz w:val="21"/>
        </w:rPr>
        <w:t> </w:t>
      </w:r>
      <w:r>
        <w:rPr>
          <w:sz w:val="21"/>
        </w:rPr>
        <w:t>more</w:t>
      </w:r>
      <w:r>
        <w:rPr>
          <w:spacing w:val="-4"/>
          <w:sz w:val="21"/>
        </w:rPr>
        <w:t> </w:t>
      </w:r>
      <w:r>
        <w:rPr>
          <w:sz w:val="21"/>
        </w:rPr>
        <w:t>likely</w:t>
      </w:r>
      <w:r>
        <w:rPr>
          <w:spacing w:val="-5"/>
          <w:sz w:val="21"/>
        </w:rPr>
        <w:t> </w:t>
      </w:r>
      <w:r>
        <w:rPr>
          <w:sz w:val="21"/>
        </w:rPr>
        <w:t>to</w:t>
      </w:r>
      <w:r>
        <w:rPr>
          <w:spacing w:val="-5"/>
          <w:sz w:val="21"/>
        </w:rPr>
        <w:t> </w:t>
      </w:r>
      <w:r>
        <w:rPr>
          <w:sz w:val="21"/>
        </w:rPr>
        <w:t>have</w:t>
      </w:r>
      <w:r>
        <w:rPr>
          <w:spacing w:val="-6"/>
          <w:sz w:val="21"/>
        </w:rPr>
        <w:t> </w:t>
      </w:r>
      <w:r>
        <w:rPr>
          <w:sz w:val="21"/>
        </w:rPr>
        <w:t>attempted</w:t>
      </w:r>
      <w:r>
        <w:rPr>
          <w:spacing w:val="-6"/>
          <w:sz w:val="21"/>
        </w:rPr>
        <w:t> </w:t>
      </w:r>
      <w:r>
        <w:rPr>
          <w:sz w:val="21"/>
        </w:rPr>
        <w:t>suicide</w:t>
      </w:r>
      <w:r>
        <w:rPr>
          <w:spacing w:val="-4"/>
          <w:sz w:val="21"/>
        </w:rPr>
        <w:t> </w:t>
      </w:r>
      <w:r>
        <w:rPr>
          <w:sz w:val="21"/>
        </w:rPr>
        <w:t>in</w:t>
      </w:r>
      <w:r>
        <w:rPr>
          <w:spacing w:val="-4"/>
          <w:sz w:val="21"/>
        </w:rPr>
        <w:t> </w:t>
      </w:r>
      <w:r>
        <w:rPr>
          <w:sz w:val="21"/>
        </w:rPr>
        <w:t>the</w:t>
      </w:r>
      <w:r>
        <w:rPr>
          <w:spacing w:val="-6"/>
          <w:sz w:val="21"/>
        </w:rPr>
        <w:t> </w:t>
      </w:r>
      <w:r>
        <w:rPr>
          <w:sz w:val="21"/>
        </w:rPr>
        <w:t>previous</w:t>
      </w:r>
      <w:r>
        <w:rPr>
          <w:spacing w:val="-5"/>
          <w:sz w:val="21"/>
        </w:rPr>
        <w:t> </w:t>
      </w:r>
      <w:r>
        <w:rPr>
          <w:sz w:val="21"/>
        </w:rPr>
        <w:t>year</w:t>
      </w:r>
      <w:r>
        <w:rPr>
          <w:spacing w:val="-4"/>
          <w:sz w:val="21"/>
        </w:rPr>
        <w:t> </w:t>
      </w:r>
      <w:r>
        <w:rPr>
          <w:sz w:val="21"/>
        </w:rPr>
        <w:t>compared</w:t>
      </w:r>
      <w:r>
        <w:rPr>
          <w:spacing w:val="-4"/>
          <w:sz w:val="21"/>
        </w:rPr>
        <w:t> </w:t>
      </w:r>
      <w:r>
        <w:rPr>
          <w:sz w:val="21"/>
        </w:rPr>
        <w:t>to other</w:t>
      </w:r>
      <w:r>
        <w:rPr>
          <w:spacing w:val="-4"/>
          <w:sz w:val="21"/>
        </w:rPr>
        <w:t> </w:t>
      </w:r>
      <w:r>
        <w:rPr>
          <w:sz w:val="21"/>
        </w:rPr>
        <w:t>LGBTQ</w:t>
      </w:r>
      <w:r>
        <w:rPr>
          <w:spacing w:val="-5"/>
          <w:sz w:val="21"/>
        </w:rPr>
        <w:t> </w:t>
      </w:r>
      <w:r>
        <w:rPr>
          <w:sz w:val="21"/>
        </w:rPr>
        <w:t>youth.</w:t>
      </w:r>
      <w:hyperlink w:history="true" w:anchor="_bookmark373">
        <w:r>
          <w:rPr>
            <w:sz w:val="21"/>
            <w:vertAlign w:val="superscript"/>
          </w:rPr>
          <w:t>57</w:t>
        </w:r>
      </w:hyperlink>
      <w:r>
        <w:rPr>
          <w:spacing w:val="-2"/>
          <w:sz w:val="21"/>
          <w:vertAlign w:val="baseline"/>
        </w:rPr>
        <w:t> </w:t>
      </w:r>
      <w:r>
        <w:rPr>
          <w:sz w:val="21"/>
          <w:vertAlign w:val="baseline"/>
        </w:rPr>
        <w:t>Specifically,</w:t>
      </w:r>
      <w:r>
        <w:rPr>
          <w:spacing w:val="-4"/>
          <w:sz w:val="21"/>
          <w:vertAlign w:val="baseline"/>
        </w:rPr>
        <w:t> </w:t>
      </w:r>
      <w:r>
        <w:rPr>
          <w:sz w:val="21"/>
          <w:vertAlign w:val="baseline"/>
        </w:rPr>
        <w:t>45%</w:t>
      </w:r>
      <w:r>
        <w:rPr>
          <w:spacing w:val="-5"/>
          <w:sz w:val="21"/>
          <w:vertAlign w:val="baseline"/>
        </w:rPr>
        <w:t> </w:t>
      </w:r>
      <w:r>
        <w:rPr>
          <w:sz w:val="21"/>
          <w:vertAlign w:val="baseline"/>
        </w:rPr>
        <w:t>of</w:t>
      </w:r>
      <w:r>
        <w:rPr>
          <w:spacing w:val="-5"/>
          <w:sz w:val="21"/>
          <w:vertAlign w:val="baseline"/>
        </w:rPr>
        <w:t> </w:t>
      </w:r>
      <w:r>
        <w:rPr>
          <w:sz w:val="21"/>
          <w:vertAlign w:val="baseline"/>
        </w:rPr>
        <w:t>transgender</w:t>
      </w:r>
      <w:r>
        <w:rPr>
          <w:spacing w:val="-4"/>
          <w:sz w:val="21"/>
          <w:vertAlign w:val="baseline"/>
        </w:rPr>
        <w:t> </w:t>
      </w:r>
      <w:r>
        <w:rPr>
          <w:sz w:val="21"/>
          <w:vertAlign w:val="baseline"/>
        </w:rPr>
        <w:t>and</w:t>
      </w:r>
      <w:r>
        <w:rPr>
          <w:spacing w:val="-4"/>
          <w:sz w:val="21"/>
          <w:vertAlign w:val="baseline"/>
        </w:rPr>
        <w:t> </w:t>
      </w:r>
      <w:r>
        <w:rPr>
          <w:sz w:val="21"/>
          <w:vertAlign w:val="baseline"/>
        </w:rPr>
        <w:t>nonbinary</w:t>
      </w:r>
      <w:r>
        <w:rPr>
          <w:spacing w:val="-5"/>
          <w:sz w:val="21"/>
          <w:vertAlign w:val="baseline"/>
        </w:rPr>
        <w:t> </w:t>
      </w:r>
      <w:r>
        <w:rPr>
          <w:sz w:val="21"/>
          <w:vertAlign w:val="baseline"/>
        </w:rPr>
        <w:t>youth</w:t>
      </w:r>
      <w:r>
        <w:rPr>
          <w:spacing w:val="-4"/>
          <w:sz w:val="21"/>
          <w:vertAlign w:val="baseline"/>
        </w:rPr>
        <w:t> </w:t>
      </w:r>
      <w:r>
        <w:rPr>
          <w:sz w:val="21"/>
          <w:vertAlign w:val="baseline"/>
        </w:rPr>
        <w:t>and</w:t>
      </w:r>
      <w:r>
        <w:rPr>
          <w:spacing w:val="-6"/>
          <w:sz w:val="21"/>
          <w:vertAlign w:val="baseline"/>
        </w:rPr>
        <w:t> </w:t>
      </w:r>
      <w:r>
        <w:rPr>
          <w:sz w:val="21"/>
          <w:vertAlign w:val="baseline"/>
        </w:rPr>
        <w:t>38%</w:t>
      </w:r>
      <w:r>
        <w:rPr>
          <w:spacing w:val="-6"/>
          <w:sz w:val="21"/>
          <w:vertAlign w:val="baseline"/>
        </w:rPr>
        <w:t> </w:t>
      </w:r>
      <w:r>
        <w:rPr>
          <w:sz w:val="21"/>
          <w:vertAlign w:val="baseline"/>
        </w:rPr>
        <w:t>of</w:t>
      </w:r>
      <w:r>
        <w:rPr>
          <w:spacing w:val="-5"/>
          <w:sz w:val="21"/>
          <w:vertAlign w:val="baseline"/>
        </w:rPr>
        <w:t> </w:t>
      </w:r>
      <w:r>
        <w:rPr>
          <w:sz w:val="21"/>
          <w:vertAlign w:val="baseline"/>
        </w:rPr>
        <w:t>youth</w:t>
      </w:r>
      <w:r>
        <w:rPr>
          <w:spacing w:val="-4"/>
          <w:sz w:val="21"/>
          <w:vertAlign w:val="baseline"/>
        </w:rPr>
        <w:t> </w:t>
      </w:r>
      <w:r>
        <w:rPr>
          <w:sz w:val="21"/>
          <w:vertAlign w:val="baseline"/>
        </w:rPr>
        <w:t>of</w:t>
      </w:r>
      <w:r>
        <w:rPr>
          <w:spacing w:val="-5"/>
          <w:sz w:val="21"/>
          <w:vertAlign w:val="baseline"/>
        </w:rPr>
        <w:t> </w:t>
      </w:r>
      <w:r>
        <w:rPr>
          <w:sz w:val="21"/>
          <w:vertAlign w:val="baseline"/>
        </w:rPr>
        <w:t>color</w:t>
      </w:r>
      <w:r>
        <w:rPr>
          <w:spacing w:val="-4"/>
          <w:sz w:val="21"/>
          <w:vertAlign w:val="baseline"/>
        </w:rPr>
        <w:t> </w:t>
      </w:r>
      <w:r>
        <w:rPr>
          <w:sz w:val="21"/>
          <w:vertAlign w:val="baseline"/>
        </w:rPr>
        <w:t>with a</w:t>
      </w:r>
      <w:r>
        <w:rPr>
          <w:spacing w:val="-4"/>
          <w:sz w:val="21"/>
          <w:vertAlign w:val="baseline"/>
        </w:rPr>
        <w:t> </w:t>
      </w:r>
      <w:r>
        <w:rPr>
          <w:sz w:val="21"/>
          <w:vertAlign w:val="baseline"/>
        </w:rPr>
        <w:t>history</w:t>
      </w:r>
      <w:r>
        <w:rPr>
          <w:spacing w:val="-5"/>
          <w:sz w:val="21"/>
          <w:vertAlign w:val="baseline"/>
        </w:rPr>
        <w:t> </w:t>
      </w:r>
      <w:r>
        <w:rPr>
          <w:sz w:val="21"/>
          <w:vertAlign w:val="baseline"/>
        </w:rPr>
        <w:t>of</w:t>
      </w:r>
      <w:r>
        <w:rPr>
          <w:spacing w:val="-5"/>
          <w:sz w:val="21"/>
          <w:vertAlign w:val="baseline"/>
        </w:rPr>
        <w:t> </w:t>
      </w:r>
      <w:r>
        <w:rPr>
          <w:sz w:val="21"/>
          <w:vertAlign w:val="baseline"/>
        </w:rPr>
        <w:t>foster</w:t>
      </w:r>
      <w:r>
        <w:rPr>
          <w:spacing w:val="-4"/>
          <w:sz w:val="21"/>
          <w:vertAlign w:val="baseline"/>
        </w:rPr>
        <w:t> </w:t>
      </w:r>
      <w:r>
        <w:rPr>
          <w:sz w:val="21"/>
          <w:vertAlign w:val="baseline"/>
        </w:rPr>
        <w:t>care</w:t>
      </w:r>
      <w:r>
        <w:rPr>
          <w:spacing w:val="-4"/>
          <w:sz w:val="21"/>
          <w:vertAlign w:val="baseline"/>
        </w:rPr>
        <w:t> </w:t>
      </w:r>
      <w:r>
        <w:rPr>
          <w:sz w:val="21"/>
          <w:vertAlign w:val="baseline"/>
        </w:rPr>
        <w:t>involvement</w:t>
      </w:r>
      <w:r>
        <w:rPr>
          <w:spacing w:val="-4"/>
          <w:sz w:val="21"/>
          <w:vertAlign w:val="baseline"/>
        </w:rPr>
        <w:t> </w:t>
      </w:r>
      <w:r>
        <w:rPr>
          <w:sz w:val="21"/>
          <w:vertAlign w:val="baseline"/>
        </w:rPr>
        <w:t>had</w:t>
      </w:r>
      <w:r>
        <w:rPr>
          <w:spacing w:val="-5"/>
          <w:sz w:val="21"/>
          <w:vertAlign w:val="baseline"/>
        </w:rPr>
        <w:t> </w:t>
      </w:r>
      <w:r>
        <w:rPr>
          <w:sz w:val="21"/>
          <w:vertAlign w:val="baseline"/>
        </w:rPr>
        <w:t>attempted</w:t>
      </w:r>
      <w:r>
        <w:rPr>
          <w:spacing w:val="-6"/>
          <w:sz w:val="21"/>
          <w:vertAlign w:val="baseline"/>
        </w:rPr>
        <w:t> </w:t>
      </w:r>
      <w:r>
        <w:rPr>
          <w:sz w:val="21"/>
          <w:vertAlign w:val="baseline"/>
        </w:rPr>
        <w:t>suicide</w:t>
      </w:r>
      <w:r>
        <w:rPr>
          <w:spacing w:val="-4"/>
          <w:sz w:val="21"/>
          <w:vertAlign w:val="baseline"/>
        </w:rPr>
        <w:t> </w:t>
      </w:r>
      <w:r>
        <w:rPr>
          <w:sz w:val="21"/>
          <w:vertAlign w:val="baseline"/>
        </w:rPr>
        <w:t>in</w:t>
      </w:r>
      <w:r>
        <w:rPr>
          <w:spacing w:val="-4"/>
          <w:sz w:val="21"/>
          <w:vertAlign w:val="baseline"/>
        </w:rPr>
        <w:t> </w:t>
      </w:r>
      <w:r>
        <w:rPr>
          <w:sz w:val="21"/>
          <w:vertAlign w:val="baseline"/>
        </w:rPr>
        <w:t>the</w:t>
      </w:r>
      <w:r>
        <w:rPr>
          <w:spacing w:val="-6"/>
          <w:sz w:val="21"/>
          <w:vertAlign w:val="baseline"/>
        </w:rPr>
        <w:t> </w:t>
      </w:r>
      <w:r>
        <w:rPr>
          <w:sz w:val="21"/>
          <w:vertAlign w:val="baseline"/>
        </w:rPr>
        <w:t>twelve</w:t>
      </w:r>
      <w:r>
        <w:rPr>
          <w:spacing w:val="-4"/>
          <w:sz w:val="21"/>
          <w:vertAlign w:val="baseline"/>
        </w:rPr>
        <w:t> </w:t>
      </w:r>
      <w:r>
        <w:rPr>
          <w:sz w:val="21"/>
          <w:vertAlign w:val="baseline"/>
        </w:rPr>
        <w:t>months</w:t>
      </w:r>
      <w:r>
        <w:rPr>
          <w:spacing w:val="-5"/>
          <w:sz w:val="21"/>
          <w:vertAlign w:val="baseline"/>
        </w:rPr>
        <w:t> </w:t>
      </w:r>
      <w:r>
        <w:rPr>
          <w:sz w:val="21"/>
          <w:vertAlign w:val="baseline"/>
        </w:rPr>
        <w:t>prior</w:t>
      </w:r>
      <w:r>
        <w:rPr>
          <w:spacing w:val="-4"/>
          <w:sz w:val="21"/>
          <w:vertAlign w:val="baseline"/>
        </w:rPr>
        <w:t> </w:t>
      </w:r>
      <w:r>
        <w:rPr>
          <w:sz w:val="21"/>
          <w:vertAlign w:val="baseline"/>
        </w:rPr>
        <w:t>to</w:t>
      </w:r>
      <w:r>
        <w:rPr>
          <w:spacing w:val="-5"/>
          <w:sz w:val="21"/>
          <w:vertAlign w:val="baseline"/>
        </w:rPr>
        <w:t> </w:t>
      </w:r>
      <w:r>
        <w:rPr>
          <w:sz w:val="21"/>
          <w:vertAlign w:val="baseline"/>
        </w:rPr>
        <w:t>the</w:t>
      </w:r>
      <w:r>
        <w:rPr>
          <w:spacing w:val="-4"/>
          <w:sz w:val="21"/>
          <w:vertAlign w:val="baseline"/>
        </w:rPr>
        <w:t> </w:t>
      </w:r>
      <w:r>
        <w:rPr>
          <w:sz w:val="21"/>
          <w:vertAlign w:val="baseline"/>
        </w:rPr>
        <w:t>Commission’s 2021 survey.</w:t>
      </w:r>
      <w:r>
        <w:rPr>
          <w:spacing w:val="-12"/>
          <w:sz w:val="21"/>
          <w:vertAlign w:val="baseline"/>
        </w:rPr>
        <w:t> </w:t>
      </w:r>
      <w:hyperlink w:history="true" w:anchor="_bookmark374">
        <w:r>
          <w:rPr>
            <w:sz w:val="21"/>
            <w:vertAlign w:val="superscript"/>
          </w:rPr>
          <w:t>58</w:t>
        </w:r>
      </w:hyperlink>
      <w:r>
        <w:rPr>
          <w:sz w:val="21"/>
          <w:vertAlign w:val="baseline"/>
        </w:rPr>
        <w:t> It is imperative that systemic changes to better support and protect LGBTQ youth be undertaken within the foster care system.</w:t>
      </w:r>
    </w:p>
    <w:p>
      <w:pPr>
        <w:spacing w:line="276" w:lineRule="auto" w:before="240"/>
        <w:ind w:left="464" w:right="239" w:firstLine="0"/>
        <w:jc w:val="both"/>
        <w:rPr>
          <w:sz w:val="21"/>
        </w:rPr>
      </w:pPr>
      <w:r>
        <w:rPr>
          <w:sz w:val="21"/>
        </w:rPr>
        <w:t>To</w:t>
      </w:r>
      <w:r>
        <w:rPr>
          <w:spacing w:val="-1"/>
          <w:sz w:val="21"/>
        </w:rPr>
        <w:t> </w:t>
      </w:r>
      <w:r>
        <w:rPr>
          <w:sz w:val="21"/>
        </w:rPr>
        <w:t>address</w:t>
      </w:r>
      <w:r>
        <w:rPr>
          <w:spacing w:val="-1"/>
          <w:sz w:val="21"/>
        </w:rPr>
        <w:t> </w:t>
      </w:r>
      <w:r>
        <w:rPr>
          <w:sz w:val="21"/>
        </w:rPr>
        <w:t>the foster care crisis</w:t>
      </w:r>
      <w:r>
        <w:rPr>
          <w:spacing w:val="-1"/>
          <w:sz w:val="21"/>
        </w:rPr>
        <w:t> </w:t>
      </w:r>
      <w:r>
        <w:rPr>
          <w:sz w:val="21"/>
        </w:rPr>
        <w:t>comprehensively, the</w:t>
      </w:r>
      <w:r>
        <w:rPr>
          <w:spacing w:val="-2"/>
          <w:sz w:val="21"/>
        </w:rPr>
        <w:t> </w:t>
      </w:r>
      <w:r>
        <w:rPr>
          <w:sz w:val="21"/>
        </w:rPr>
        <w:t>Commission has</w:t>
      </w:r>
      <w:r>
        <w:rPr>
          <w:spacing w:val="-1"/>
          <w:sz w:val="21"/>
        </w:rPr>
        <w:t> </w:t>
      </w:r>
      <w:r>
        <w:rPr>
          <w:sz w:val="21"/>
        </w:rPr>
        <w:t>recommended coordination across state agencies to tackle systemic biases and reallocate resources to address root causes like poverty and violence. Furthermore, as discussed at greater length in the FY 25 DCF recommendations included in this annual report, the Commission recommends that DCF and other stakeholders: collect and report data on sexual orientation and gender identity, develop and implement policies to ensure equitable services, train and provide resources for DCF providers and caregivers, and create structural changes that increase capacity</w:t>
      </w:r>
      <w:r>
        <w:rPr>
          <w:spacing w:val="-8"/>
          <w:sz w:val="21"/>
        </w:rPr>
        <w:t> </w:t>
      </w:r>
      <w:r>
        <w:rPr>
          <w:sz w:val="21"/>
        </w:rPr>
        <w:t>to</w:t>
      </w:r>
      <w:r>
        <w:rPr>
          <w:spacing w:val="-7"/>
          <w:sz w:val="21"/>
        </w:rPr>
        <w:t> </w:t>
      </w:r>
      <w:r>
        <w:rPr>
          <w:sz w:val="21"/>
        </w:rPr>
        <w:t>serve</w:t>
      </w:r>
      <w:r>
        <w:rPr>
          <w:spacing w:val="-7"/>
          <w:sz w:val="21"/>
        </w:rPr>
        <w:t> </w:t>
      </w:r>
      <w:r>
        <w:rPr>
          <w:sz w:val="21"/>
        </w:rPr>
        <w:t>LGBTQ,</w:t>
      </w:r>
      <w:r>
        <w:rPr>
          <w:spacing w:val="-7"/>
          <w:sz w:val="21"/>
        </w:rPr>
        <w:t> </w:t>
      </w:r>
      <w:r>
        <w:rPr>
          <w:sz w:val="21"/>
        </w:rPr>
        <w:t>including</w:t>
      </w:r>
      <w:r>
        <w:rPr>
          <w:spacing w:val="-7"/>
          <w:sz w:val="21"/>
        </w:rPr>
        <w:t> </w:t>
      </w:r>
      <w:r>
        <w:rPr>
          <w:sz w:val="21"/>
        </w:rPr>
        <w:t>expanding</w:t>
      </w:r>
      <w:r>
        <w:rPr>
          <w:spacing w:val="-7"/>
          <w:sz w:val="21"/>
        </w:rPr>
        <w:t> </w:t>
      </w:r>
      <w:r>
        <w:rPr>
          <w:sz w:val="21"/>
        </w:rPr>
        <w:t>the</w:t>
      </w:r>
      <w:r>
        <w:rPr>
          <w:spacing w:val="-8"/>
          <w:sz w:val="21"/>
        </w:rPr>
        <w:t> </w:t>
      </w:r>
      <w:r>
        <w:rPr>
          <w:sz w:val="21"/>
        </w:rPr>
        <w:t>number</w:t>
      </w:r>
      <w:r>
        <w:rPr>
          <w:spacing w:val="-7"/>
          <w:sz w:val="21"/>
        </w:rPr>
        <w:t> </w:t>
      </w:r>
      <w:r>
        <w:rPr>
          <w:sz w:val="21"/>
        </w:rPr>
        <w:t>of</w:t>
      </w:r>
      <w:r>
        <w:rPr>
          <w:spacing w:val="-7"/>
          <w:sz w:val="21"/>
        </w:rPr>
        <w:t> </w:t>
      </w:r>
      <w:r>
        <w:rPr>
          <w:sz w:val="21"/>
        </w:rPr>
        <w:t>affirming</w:t>
      </w:r>
      <w:r>
        <w:rPr>
          <w:spacing w:val="-7"/>
          <w:sz w:val="21"/>
        </w:rPr>
        <w:t> </w:t>
      </w:r>
      <w:r>
        <w:rPr>
          <w:sz w:val="21"/>
        </w:rPr>
        <w:t>homes.</w:t>
      </w:r>
      <w:r>
        <w:rPr>
          <w:spacing w:val="-7"/>
          <w:sz w:val="21"/>
        </w:rPr>
        <w:t> </w:t>
      </w:r>
      <w:r>
        <w:rPr>
          <w:sz w:val="21"/>
        </w:rPr>
        <w:t>DCF</w:t>
      </w:r>
      <w:r>
        <w:rPr>
          <w:spacing w:val="-8"/>
          <w:sz w:val="21"/>
        </w:rPr>
        <w:t> </w:t>
      </w:r>
      <w:r>
        <w:rPr>
          <w:sz w:val="21"/>
        </w:rPr>
        <w:t>has</w:t>
      </w:r>
      <w:r>
        <w:rPr>
          <w:spacing w:val="-7"/>
          <w:sz w:val="21"/>
        </w:rPr>
        <w:t> </w:t>
      </w:r>
      <w:r>
        <w:rPr>
          <w:sz w:val="21"/>
        </w:rPr>
        <w:t>begun</w:t>
      </w:r>
      <w:r>
        <w:rPr>
          <w:spacing w:val="-7"/>
          <w:sz w:val="21"/>
        </w:rPr>
        <w:t> </w:t>
      </w:r>
      <w:r>
        <w:rPr>
          <w:sz w:val="21"/>
        </w:rPr>
        <w:t>evaluation</w:t>
      </w:r>
      <w:r>
        <w:rPr>
          <w:spacing w:val="-7"/>
          <w:sz w:val="21"/>
        </w:rPr>
        <w:t> </w:t>
      </w:r>
      <w:r>
        <w:rPr>
          <w:sz w:val="21"/>
        </w:rPr>
        <w:t>or implementation already for many of these recommendations, however, more work is needed. The Commission’s</w:t>
      </w:r>
      <w:r>
        <w:rPr>
          <w:spacing w:val="-2"/>
          <w:sz w:val="21"/>
        </w:rPr>
        <w:t> </w:t>
      </w:r>
      <w:r>
        <w:rPr>
          <w:sz w:val="21"/>
        </w:rPr>
        <w:t>FY</w:t>
      </w:r>
      <w:r>
        <w:rPr>
          <w:spacing w:val="-2"/>
          <w:sz w:val="21"/>
        </w:rPr>
        <w:t> </w:t>
      </w:r>
      <w:r>
        <w:rPr>
          <w:sz w:val="21"/>
        </w:rPr>
        <w:t>25</w:t>
      </w:r>
      <w:r>
        <w:rPr>
          <w:spacing w:val="-1"/>
          <w:sz w:val="21"/>
        </w:rPr>
        <w:t> </w:t>
      </w:r>
      <w:r>
        <w:rPr>
          <w:sz w:val="21"/>
        </w:rPr>
        <w:t>recommendations</w:t>
      </w:r>
      <w:r>
        <w:rPr>
          <w:spacing w:val="-2"/>
          <w:sz w:val="21"/>
        </w:rPr>
        <w:t> </w:t>
      </w:r>
      <w:r>
        <w:rPr>
          <w:sz w:val="21"/>
        </w:rPr>
        <w:t>for</w:t>
      </w:r>
      <w:r>
        <w:rPr>
          <w:spacing w:val="-3"/>
          <w:sz w:val="21"/>
        </w:rPr>
        <w:t> </w:t>
      </w:r>
      <w:r>
        <w:rPr>
          <w:sz w:val="21"/>
        </w:rPr>
        <w:t>the</w:t>
      </w:r>
      <w:r>
        <w:rPr>
          <w:spacing w:val="-2"/>
          <w:sz w:val="21"/>
        </w:rPr>
        <w:t> </w:t>
      </w:r>
      <w:r>
        <w:rPr>
          <w:sz w:val="21"/>
        </w:rPr>
        <w:t>Department</w:t>
      </w:r>
      <w:r>
        <w:rPr>
          <w:spacing w:val="-1"/>
          <w:sz w:val="21"/>
        </w:rPr>
        <w:t> </w:t>
      </w:r>
      <w:r>
        <w:rPr>
          <w:sz w:val="21"/>
        </w:rPr>
        <w:t>of</w:t>
      </w:r>
      <w:r>
        <w:rPr>
          <w:spacing w:val="-2"/>
          <w:sz w:val="21"/>
        </w:rPr>
        <w:t> </w:t>
      </w:r>
      <w:r>
        <w:rPr>
          <w:sz w:val="21"/>
        </w:rPr>
        <w:t>Children</w:t>
      </w:r>
      <w:r>
        <w:rPr>
          <w:spacing w:val="-3"/>
          <w:sz w:val="21"/>
        </w:rPr>
        <w:t> </w:t>
      </w:r>
      <w:r>
        <w:rPr>
          <w:sz w:val="21"/>
        </w:rPr>
        <w:t>&amp;</w:t>
      </w:r>
      <w:r>
        <w:rPr>
          <w:spacing w:val="-2"/>
          <w:sz w:val="21"/>
        </w:rPr>
        <w:t> </w:t>
      </w:r>
      <w:r>
        <w:rPr>
          <w:sz w:val="21"/>
        </w:rPr>
        <w:t>Families</w:t>
      </w:r>
      <w:r>
        <w:rPr>
          <w:spacing w:val="-2"/>
          <w:sz w:val="21"/>
        </w:rPr>
        <w:t> </w:t>
      </w:r>
      <w:r>
        <w:rPr>
          <w:sz w:val="21"/>
        </w:rPr>
        <w:t>(DCF)</w:t>
      </w:r>
      <w:r>
        <w:rPr>
          <w:spacing w:val="-2"/>
          <w:sz w:val="21"/>
        </w:rPr>
        <w:t> </w:t>
      </w:r>
      <w:r>
        <w:rPr>
          <w:sz w:val="21"/>
        </w:rPr>
        <w:t>include</w:t>
      </w:r>
      <w:r>
        <w:rPr>
          <w:spacing w:val="-2"/>
          <w:sz w:val="21"/>
        </w:rPr>
        <w:t> </w:t>
      </w:r>
      <w:r>
        <w:rPr>
          <w:sz w:val="21"/>
        </w:rPr>
        <w:t>continuing thorough and accurate SOGI data collection with new mandatory data elements and staff training, maintaining and reviewing LGBTQ-inclusive policies, and considering the creation of an internal coding system for greater case transparency. DCF is advised to update the LGBTQ Guide to ensure it is accessible to all relevant parties and to implement the updated MAPP training curriculum with a system for regular reviews to ensure its relevance. Further, there's a need to improve the recruitment of LGBTQ-affirming foster parents and to create a statewide database of such homes. Further, the Commission recommends that DCF collaborate with LGBTQ youth and organizations to develop resources, address service gaps for LGBTQ immigrant youth, expand training on LGBTQ cultural engagement and other inclusivity topics.</w:t>
      </w:r>
    </w:p>
    <w:p>
      <w:pPr>
        <w:spacing w:line="276" w:lineRule="auto" w:before="240"/>
        <w:ind w:left="464" w:right="236" w:firstLine="0"/>
        <w:jc w:val="both"/>
        <w:rPr>
          <w:sz w:val="21"/>
        </w:rPr>
      </w:pPr>
      <w:r>
        <w:rPr>
          <w:sz w:val="21"/>
        </w:rPr>
        <w:t>Furthermore, the Commission, as discussed in greater detail the FY 25 CPCS recommendations included in this annual report, has made a series of recommendations to the Committee for Public Counsel Services (CPCS) aimed at enhancing the legal support provided to LGBTQ youth within the child welfare system, specifically</w:t>
      </w:r>
      <w:r>
        <w:rPr>
          <w:spacing w:val="-8"/>
          <w:sz w:val="21"/>
        </w:rPr>
        <w:t> </w:t>
      </w:r>
      <w:r>
        <w:rPr>
          <w:sz w:val="21"/>
        </w:rPr>
        <w:t>through</w:t>
      </w:r>
      <w:r>
        <w:rPr>
          <w:spacing w:val="-8"/>
          <w:sz w:val="21"/>
        </w:rPr>
        <w:t> </w:t>
      </w:r>
      <w:r>
        <w:rPr>
          <w:sz w:val="21"/>
        </w:rPr>
        <w:t>the</w:t>
      </w:r>
      <w:r>
        <w:rPr>
          <w:spacing w:val="-8"/>
          <w:sz w:val="21"/>
        </w:rPr>
        <w:t> </w:t>
      </w:r>
      <w:r>
        <w:rPr>
          <w:sz w:val="21"/>
        </w:rPr>
        <w:t>Children</w:t>
      </w:r>
      <w:r>
        <w:rPr>
          <w:spacing w:val="-8"/>
          <w:sz w:val="21"/>
        </w:rPr>
        <w:t> </w:t>
      </w:r>
      <w:r>
        <w:rPr>
          <w:sz w:val="21"/>
        </w:rPr>
        <w:t>and</w:t>
      </w:r>
      <w:r>
        <w:rPr>
          <w:spacing w:val="-8"/>
          <w:sz w:val="21"/>
        </w:rPr>
        <w:t> </w:t>
      </w:r>
      <w:r>
        <w:rPr>
          <w:sz w:val="21"/>
        </w:rPr>
        <w:t>Family</w:t>
      </w:r>
      <w:r>
        <w:rPr>
          <w:spacing w:val="-8"/>
          <w:sz w:val="21"/>
        </w:rPr>
        <w:t> </w:t>
      </w:r>
      <w:r>
        <w:rPr>
          <w:sz w:val="21"/>
        </w:rPr>
        <w:t>Law</w:t>
      </w:r>
      <w:r>
        <w:rPr>
          <w:spacing w:val="-8"/>
          <w:sz w:val="21"/>
        </w:rPr>
        <w:t> </w:t>
      </w:r>
      <w:r>
        <w:rPr>
          <w:sz w:val="21"/>
        </w:rPr>
        <w:t>Division</w:t>
      </w:r>
      <w:r>
        <w:rPr>
          <w:spacing w:val="-8"/>
          <w:sz w:val="21"/>
        </w:rPr>
        <w:t> </w:t>
      </w:r>
      <w:r>
        <w:rPr>
          <w:sz w:val="21"/>
        </w:rPr>
        <w:t>(CAFL).</w:t>
      </w:r>
      <w:r>
        <w:rPr>
          <w:spacing w:val="-8"/>
          <w:sz w:val="21"/>
        </w:rPr>
        <w:t> </w:t>
      </w:r>
      <w:r>
        <w:rPr>
          <w:sz w:val="21"/>
        </w:rPr>
        <w:t>These</w:t>
      </w:r>
      <w:r>
        <w:rPr>
          <w:spacing w:val="-8"/>
          <w:sz w:val="21"/>
        </w:rPr>
        <w:t> </w:t>
      </w:r>
      <w:r>
        <w:rPr>
          <w:sz w:val="21"/>
        </w:rPr>
        <w:t>recommendations</w:t>
      </w:r>
      <w:r>
        <w:rPr>
          <w:spacing w:val="-8"/>
          <w:sz w:val="21"/>
        </w:rPr>
        <w:t> </w:t>
      </w:r>
      <w:r>
        <w:rPr>
          <w:sz w:val="21"/>
        </w:rPr>
        <w:t>are</w:t>
      </w:r>
      <w:r>
        <w:rPr>
          <w:spacing w:val="-8"/>
          <w:sz w:val="21"/>
        </w:rPr>
        <w:t> </w:t>
      </w:r>
      <w:r>
        <w:rPr>
          <w:sz w:val="21"/>
        </w:rPr>
        <w:t>driven</w:t>
      </w:r>
      <w:r>
        <w:rPr>
          <w:spacing w:val="-8"/>
          <w:sz w:val="21"/>
        </w:rPr>
        <w:t> </w:t>
      </w:r>
      <w:r>
        <w:rPr>
          <w:sz w:val="21"/>
        </w:rPr>
        <w:t>by</w:t>
      </w:r>
      <w:r>
        <w:rPr>
          <w:spacing w:val="-8"/>
          <w:sz w:val="21"/>
        </w:rPr>
        <w:t> </w:t>
      </w:r>
      <w:r>
        <w:rPr>
          <w:sz w:val="21"/>
        </w:rPr>
        <w:t>the unique</w:t>
      </w:r>
      <w:r>
        <w:rPr>
          <w:spacing w:val="-3"/>
          <w:sz w:val="21"/>
        </w:rPr>
        <w:t> </w:t>
      </w:r>
      <w:r>
        <w:rPr>
          <w:sz w:val="21"/>
        </w:rPr>
        <w:t>challenges</w:t>
      </w:r>
      <w:r>
        <w:rPr>
          <w:spacing w:val="-3"/>
          <w:sz w:val="21"/>
        </w:rPr>
        <w:t> </w:t>
      </w:r>
      <w:r>
        <w:rPr>
          <w:sz w:val="21"/>
        </w:rPr>
        <w:t>and</w:t>
      </w:r>
      <w:r>
        <w:rPr>
          <w:spacing w:val="-3"/>
          <w:sz w:val="21"/>
        </w:rPr>
        <w:t> </w:t>
      </w:r>
      <w:r>
        <w:rPr>
          <w:sz w:val="21"/>
        </w:rPr>
        <w:t>discrimination</w:t>
      </w:r>
      <w:r>
        <w:rPr>
          <w:spacing w:val="-3"/>
          <w:sz w:val="21"/>
        </w:rPr>
        <w:t> </w:t>
      </w:r>
      <w:r>
        <w:rPr>
          <w:sz w:val="21"/>
        </w:rPr>
        <w:t>faced</w:t>
      </w:r>
      <w:r>
        <w:rPr>
          <w:spacing w:val="-3"/>
          <w:sz w:val="21"/>
        </w:rPr>
        <w:t> </w:t>
      </w:r>
      <w:r>
        <w:rPr>
          <w:sz w:val="21"/>
        </w:rPr>
        <w:t>by</w:t>
      </w:r>
      <w:r>
        <w:rPr>
          <w:spacing w:val="-3"/>
          <w:sz w:val="21"/>
        </w:rPr>
        <w:t> </w:t>
      </w:r>
      <w:r>
        <w:rPr>
          <w:sz w:val="21"/>
        </w:rPr>
        <w:t>LGBTQ</w:t>
      </w:r>
      <w:r>
        <w:rPr>
          <w:spacing w:val="-3"/>
          <w:sz w:val="21"/>
        </w:rPr>
        <w:t> </w:t>
      </w:r>
      <w:r>
        <w:rPr>
          <w:sz w:val="21"/>
        </w:rPr>
        <w:t>youth</w:t>
      </w:r>
      <w:r>
        <w:rPr>
          <w:spacing w:val="-3"/>
          <w:sz w:val="21"/>
        </w:rPr>
        <w:t> </w:t>
      </w:r>
      <w:r>
        <w:rPr>
          <w:sz w:val="21"/>
        </w:rPr>
        <w:t>in</w:t>
      </w:r>
      <w:r>
        <w:rPr>
          <w:spacing w:val="-3"/>
          <w:sz w:val="21"/>
        </w:rPr>
        <w:t> </w:t>
      </w:r>
      <w:r>
        <w:rPr>
          <w:sz w:val="21"/>
        </w:rPr>
        <w:t>foster</w:t>
      </w:r>
      <w:r>
        <w:rPr>
          <w:spacing w:val="-3"/>
          <w:sz w:val="21"/>
        </w:rPr>
        <w:t> </w:t>
      </w:r>
      <w:r>
        <w:rPr>
          <w:sz w:val="21"/>
        </w:rPr>
        <w:t>care,</w:t>
      </w:r>
      <w:r>
        <w:rPr>
          <w:spacing w:val="-2"/>
          <w:sz w:val="21"/>
        </w:rPr>
        <w:t> </w:t>
      </w:r>
      <w:r>
        <w:rPr>
          <w:sz w:val="21"/>
        </w:rPr>
        <w:t>including</w:t>
      </w:r>
      <w:r>
        <w:rPr>
          <w:spacing w:val="-3"/>
          <w:sz w:val="21"/>
        </w:rPr>
        <w:t> </w:t>
      </w:r>
      <w:r>
        <w:rPr>
          <w:sz w:val="21"/>
        </w:rPr>
        <w:t>violence,</w:t>
      </w:r>
      <w:r>
        <w:rPr>
          <w:spacing w:val="-2"/>
          <w:sz w:val="21"/>
        </w:rPr>
        <w:t> </w:t>
      </w:r>
      <w:r>
        <w:rPr>
          <w:sz w:val="21"/>
        </w:rPr>
        <w:t>harassment, and issues with misgendering and bullying. CAFL lawyers play a critical role in ensuring that the rights of these</w:t>
      </w:r>
      <w:r>
        <w:rPr>
          <w:spacing w:val="-8"/>
          <w:sz w:val="21"/>
        </w:rPr>
        <w:t> </w:t>
      </w:r>
      <w:r>
        <w:rPr>
          <w:sz w:val="21"/>
        </w:rPr>
        <w:t>youth</w:t>
      </w:r>
      <w:r>
        <w:rPr>
          <w:spacing w:val="-8"/>
          <w:sz w:val="21"/>
        </w:rPr>
        <w:t> </w:t>
      </w:r>
      <w:r>
        <w:rPr>
          <w:sz w:val="21"/>
        </w:rPr>
        <w:t>are</w:t>
      </w:r>
      <w:r>
        <w:rPr>
          <w:spacing w:val="-8"/>
          <w:sz w:val="21"/>
        </w:rPr>
        <w:t> </w:t>
      </w:r>
      <w:r>
        <w:rPr>
          <w:sz w:val="21"/>
        </w:rPr>
        <w:t>protected,</w:t>
      </w:r>
      <w:r>
        <w:rPr>
          <w:spacing w:val="-8"/>
          <w:sz w:val="21"/>
        </w:rPr>
        <w:t> </w:t>
      </w:r>
      <w:r>
        <w:rPr>
          <w:sz w:val="21"/>
        </w:rPr>
        <w:t>and</w:t>
      </w:r>
      <w:r>
        <w:rPr>
          <w:spacing w:val="-8"/>
          <w:sz w:val="21"/>
        </w:rPr>
        <w:t> </w:t>
      </w:r>
      <w:r>
        <w:rPr>
          <w:sz w:val="21"/>
        </w:rPr>
        <w:t>that</w:t>
      </w:r>
      <w:r>
        <w:rPr>
          <w:spacing w:val="-9"/>
          <w:sz w:val="21"/>
        </w:rPr>
        <w:t> </w:t>
      </w:r>
      <w:r>
        <w:rPr>
          <w:sz w:val="21"/>
        </w:rPr>
        <w:t>they</w:t>
      </w:r>
      <w:r>
        <w:rPr>
          <w:spacing w:val="-8"/>
          <w:sz w:val="21"/>
        </w:rPr>
        <w:t> </w:t>
      </w:r>
      <w:r>
        <w:rPr>
          <w:sz w:val="21"/>
        </w:rPr>
        <w:t>receive</w:t>
      </w:r>
      <w:r>
        <w:rPr>
          <w:spacing w:val="-8"/>
          <w:sz w:val="21"/>
        </w:rPr>
        <w:t> </w:t>
      </w:r>
      <w:r>
        <w:rPr>
          <w:sz w:val="21"/>
        </w:rPr>
        <w:t>the</w:t>
      </w:r>
      <w:r>
        <w:rPr>
          <w:spacing w:val="-8"/>
          <w:sz w:val="21"/>
        </w:rPr>
        <w:t> </w:t>
      </w:r>
      <w:r>
        <w:rPr>
          <w:sz w:val="21"/>
        </w:rPr>
        <w:t>necessary</w:t>
      </w:r>
      <w:r>
        <w:rPr>
          <w:spacing w:val="-8"/>
          <w:sz w:val="21"/>
        </w:rPr>
        <w:t> </w:t>
      </w:r>
      <w:r>
        <w:rPr>
          <w:sz w:val="21"/>
        </w:rPr>
        <w:t>support</w:t>
      </w:r>
      <w:r>
        <w:rPr>
          <w:spacing w:val="-7"/>
          <w:sz w:val="21"/>
        </w:rPr>
        <w:t> </w:t>
      </w:r>
      <w:r>
        <w:rPr>
          <w:sz w:val="21"/>
        </w:rPr>
        <w:t>for</w:t>
      </w:r>
      <w:r>
        <w:rPr>
          <w:spacing w:val="-8"/>
          <w:sz w:val="21"/>
        </w:rPr>
        <w:t> </w:t>
      </w:r>
      <w:r>
        <w:rPr>
          <w:sz w:val="21"/>
        </w:rPr>
        <w:t>reunification</w:t>
      </w:r>
      <w:r>
        <w:rPr>
          <w:spacing w:val="-8"/>
          <w:sz w:val="21"/>
        </w:rPr>
        <w:t> </w:t>
      </w:r>
      <w:r>
        <w:rPr>
          <w:sz w:val="21"/>
        </w:rPr>
        <w:t>with</w:t>
      </w:r>
      <w:r>
        <w:rPr>
          <w:spacing w:val="-8"/>
          <w:sz w:val="21"/>
        </w:rPr>
        <w:t> </w:t>
      </w:r>
      <w:r>
        <w:rPr>
          <w:sz w:val="21"/>
        </w:rPr>
        <w:t>their</w:t>
      </w:r>
      <w:r>
        <w:rPr>
          <w:spacing w:val="-9"/>
          <w:sz w:val="21"/>
        </w:rPr>
        <w:t> </w:t>
      </w:r>
      <w:r>
        <w:rPr>
          <w:sz w:val="21"/>
        </w:rPr>
        <w:t>families, transition</w:t>
      </w:r>
      <w:r>
        <w:rPr>
          <w:spacing w:val="-6"/>
          <w:sz w:val="21"/>
        </w:rPr>
        <w:t> </w:t>
      </w:r>
      <w:r>
        <w:rPr>
          <w:sz w:val="21"/>
        </w:rPr>
        <w:t>to</w:t>
      </w:r>
      <w:r>
        <w:rPr>
          <w:spacing w:val="-6"/>
          <w:sz w:val="21"/>
        </w:rPr>
        <w:t> </w:t>
      </w:r>
      <w:r>
        <w:rPr>
          <w:sz w:val="21"/>
        </w:rPr>
        <w:t>new</w:t>
      </w:r>
      <w:r>
        <w:rPr>
          <w:spacing w:val="-6"/>
          <w:sz w:val="21"/>
        </w:rPr>
        <w:t> </w:t>
      </w:r>
      <w:r>
        <w:rPr>
          <w:sz w:val="21"/>
        </w:rPr>
        <w:t>homes,</w:t>
      </w:r>
      <w:r>
        <w:rPr>
          <w:spacing w:val="-5"/>
          <w:sz w:val="21"/>
        </w:rPr>
        <w:t> </w:t>
      </w:r>
      <w:r>
        <w:rPr>
          <w:sz w:val="21"/>
        </w:rPr>
        <w:t>or</w:t>
      </w:r>
      <w:r>
        <w:rPr>
          <w:spacing w:val="-7"/>
          <w:sz w:val="21"/>
        </w:rPr>
        <w:t> </w:t>
      </w:r>
      <w:r>
        <w:rPr>
          <w:sz w:val="21"/>
        </w:rPr>
        <w:t>aging</w:t>
      </w:r>
      <w:r>
        <w:rPr>
          <w:spacing w:val="-6"/>
          <w:sz w:val="21"/>
        </w:rPr>
        <w:t> </w:t>
      </w:r>
      <w:r>
        <w:rPr>
          <w:sz w:val="21"/>
        </w:rPr>
        <w:t>out</w:t>
      </w:r>
      <w:r>
        <w:rPr>
          <w:spacing w:val="-5"/>
          <w:sz w:val="21"/>
        </w:rPr>
        <w:t> </w:t>
      </w:r>
      <w:r>
        <w:rPr>
          <w:sz w:val="21"/>
        </w:rPr>
        <w:t>of</w:t>
      </w:r>
      <w:r>
        <w:rPr>
          <w:spacing w:val="-6"/>
          <w:sz w:val="21"/>
        </w:rPr>
        <w:t> </w:t>
      </w:r>
      <w:r>
        <w:rPr>
          <w:sz w:val="21"/>
        </w:rPr>
        <w:t>the</w:t>
      </w:r>
      <w:r>
        <w:rPr>
          <w:spacing w:val="-6"/>
          <w:sz w:val="21"/>
        </w:rPr>
        <w:t> </w:t>
      </w:r>
      <w:r>
        <w:rPr>
          <w:sz w:val="21"/>
        </w:rPr>
        <w:t>system</w:t>
      </w:r>
      <w:r>
        <w:rPr>
          <w:spacing w:val="-5"/>
          <w:sz w:val="21"/>
        </w:rPr>
        <w:t> </w:t>
      </w:r>
      <w:r>
        <w:rPr>
          <w:sz w:val="21"/>
        </w:rPr>
        <w:t>with</w:t>
      </w:r>
      <w:r>
        <w:rPr>
          <w:spacing w:val="-6"/>
          <w:sz w:val="21"/>
        </w:rPr>
        <w:t> </w:t>
      </w:r>
      <w:r>
        <w:rPr>
          <w:sz w:val="21"/>
        </w:rPr>
        <w:t>dignity.</w:t>
      </w:r>
      <w:r>
        <w:rPr>
          <w:spacing w:val="-6"/>
          <w:sz w:val="21"/>
        </w:rPr>
        <w:t> </w:t>
      </w:r>
      <w:r>
        <w:rPr>
          <w:sz w:val="21"/>
        </w:rPr>
        <w:t>The</w:t>
      </w:r>
      <w:r>
        <w:rPr>
          <w:spacing w:val="-7"/>
          <w:sz w:val="21"/>
        </w:rPr>
        <w:t> </w:t>
      </w:r>
      <w:r>
        <w:rPr>
          <w:sz w:val="21"/>
        </w:rPr>
        <w:t>Commission</w:t>
      </w:r>
      <w:r>
        <w:rPr>
          <w:spacing w:val="-6"/>
          <w:sz w:val="21"/>
        </w:rPr>
        <w:t> </w:t>
      </w:r>
      <w:r>
        <w:rPr>
          <w:sz w:val="21"/>
        </w:rPr>
        <w:t>recognizes</w:t>
      </w:r>
      <w:r>
        <w:rPr>
          <w:spacing w:val="-6"/>
          <w:sz w:val="21"/>
        </w:rPr>
        <w:t> </w:t>
      </w:r>
      <w:r>
        <w:rPr>
          <w:sz w:val="21"/>
        </w:rPr>
        <w:t>that</w:t>
      </w:r>
      <w:r>
        <w:rPr>
          <w:spacing w:val="-5"/>
          <w:sz w:val="21"/>
        </w:rPr>
        <w:t> </w:t>
      </w:r>
      <w:r>
        <w:rPr>
          <w:sz w:val="21"/>
        </w:rPr>
        <w:t>CAFL</w:t>
      </w:r>
      <w:r>
        <w:rPr>
          <w:spacing w:val="-5"/>
          <w:sz w:val="21"/>
        </w:rPr>
        <w:t> </w:t>
      </w:r>
      <w:r>
        <w:rPr>
          <w:sz w:val="21"/>
        </w:rPr>
        <w:t>has been exploring ways to deliver more consistent and affirming services to LGBTQ clients. To address these concerns, the Commission suggests that the CAFL Performance Standards explicitly include guidelines for representing LGBTQ clients; this would include important culturally competent interventions including using appropriate names and pronouns, facilitating name and gender marker changes, and pursuing continuous education to improve LGBTQ competency among lawyers. Moreover, the Commission recommends</w:t>
      </w:r>
      <w:r>
        <w:rPr>
          <w:spacing w:val="-10"/>
          <w:sz w:val="21"/>
        </w:rPr>
        <w:t> </w:t>
      </w:r>
      <w:r>
        <w:rPr>
          <w:sz w:val="21"/>
        </w:rPr>
        <w:t>that</w:t>
      </w:r>
      <w:r>
        <w:rPr>
          <w:spacing w:val="-10"/>
          <w:sz w:val="21"/>
        </w:rPr>
        <w:t> </w:t>
      </w:r>
      <w:r>
        <w:rPr>
          <w:sz w:val="21"/>
        </w:rPr>
        <w:t>there</w:t>
      </w:r>
      <w:r>
        <w:rPr>
          <w:spacing w:val="-9"/>
          <w:sz w:val="21"/>
        </w:rPr>
        <w:t> </w:t>
      </w:r>
      <w:r>
        <w:rPr>
          <w:sz w:val="21"/>
        </w:rPr>
        <w:t>be</w:t>
      </w:r>
      <w:r>
        <w:rPr>
          <w:spacing w:val="-10"/>
          <w:sz w:val="21"/>
        </w:rPr>
        <w:t> </w:t>
      </w:r>
      <w:r>
        <w:rPr>
          <w:sz w:val="21"/>
        </w:rPr>
        <w:t>a</w:t>
      </w:r>
      <w:r>
        <w:rPr>
          <w:spacing w:val="-9"/>
          <w:sz w:val="21"/>
        </w:rPr>
        <w:t> </w:t>
      </w:r>
      <w:r>
        <w:rPr>
          <w:sz w:val="21"/>
        </w:rPr>
        <w:t>clear</w:t>
      </w:r>
      <w:r>
        <w:rPr>
          <w:spacing w:val="-9"/>
          <w:sz w:val="21"/>
        </w:rPr>
        <w:t> </w:t>
      </w:r>
      <w:r>
        <w:rPr>
          <w:sz w:val="21"/>
        </w:rPr>
        <w:t>and</w:t>
      </w:r>
      <w:r>
        <w:rPr>
          <w:spacing w:val="-9"/>
          <w:sz w:val="21"/>
        </w:rPr>
        <w:t> </w:t>
      </w:r>
      <w:r>
        <w:rPr>
          <w:sz w:val="21"/>
        </w:rPr>
        <w:t>efficient</w:t>
      </w:r>
      <w:r>
        <w:rPr>
          <w:spacing w:val="-9"/>
          <w:sz w:val="21"/>
        </w:rPr>
        <w:t> </w:t>
      </w:r>
      <w:r>
        <w:rPr>
          <w:sz w:val="21"/>
        </w:rPr>
        <w:t>process</w:t>
      </w:r>
      <w:r>
        <w:rPr>
          <w:spacing w:val="-8"/>
          <w:sz w:val="21"/>
        </w:rPr>
        <w:t> </w:t>
      </w:r>
      <w:r>
        <w:rPr>
          <w:sz w:val="21"/>
        </w:rPr>
        <w:t>for</w:t>
      </w:r>
      <w:r>
        <w:rPr>
          <w:spacing w:val="-9"/>
          <w:sz w:val="21"/>
        </w:rPr>
        <w:t> </w:t>
      </w:r>
      <w:r>
        <w:rPr>
          <w:sz w:val="21"/>
        </w:rPr>
        <w:t>evaluating</w:t>
      </w:r>
      <w:r>
        <w:rPr>
          <w:spacing w:val="-10"/>
          <w:sz w:val="21"/>
        </w:rPr>
        <w:t> </w:t>
      </w:r>
      <w:r>
        <w:rPr>
          <w:sz w:val="21"/>
        </w:rPr>
        <w:t>attorney</w:t>
      </w:r>
      <w:r>
        <w:rPr>
          <w:spacing w:val="-9"/>
          <w:sz w:val="21"/>
        </w:rPr>
        <w:t> </w:t>
      </w:r>
      <w:r>
        <w:rPr>
          <w:sz w:val="21"/>
        </w:rPr>
        <w:t>performance</w:t>
      </w:r>
      <w:r>
        <w:rPr>
          <w:spacing w:val="-9"/>
          <w:sz w:val="21"/>
        </w:rPr>
        <w:t> </w:t>
      </w:r>
      <w:r>
        <w:rPr>
          <w:sz w:val="21"/>
        </w:rPr>
        <w:t>in</w:t>
      </w:r>
      <w:r>
        <w:rPr>
          <w:spacing w:val="-9"/>
          <w:sz w:val="21"/>
        </w:rPr>
        <w:t> </w:t>
      </w:r>
      <w:r>
        <w:rPr>
          <w:sz w:val="21"/>
        </w:rPr>
        <w:t>these</w:t>
      </w:r>
      <w:r>
        <w:rPr>
          <w:spacing w:val="-9"/>
          <w:sz w:val="21"/>
        </w:rPr>
        <w:t> </w:t>
      </w:r>
      <w:r>
        <w:rPr>
          <w:sz w:val="21"/>
        </w:rPr>
        <w:t>areas, alongside accessible avenues for clients to report instances of bias or discrimination.</w:t>
      </w:r>
    </w:p>
    <w:p>
      <w:pPr>
        <w:spacing w:line="276" w:lineRule="auto" w:before="241"/>
        <w:ind w:left="464" w:right="239" w:firstLine="0"/>
        <w:jc w:val="both"/>
        <w:rPr>
          <w:sz w:val="21"/>
        </w:rPr>
      </w:pPr>
      <w:r>
        <w:rPr>
          <w:sz w:val="21"/>
        </w:rPr>
        <w:t>Further,</w:t>
      </w:r>
      <w:r>
        <w:rPr>
          <w:spacing w:val="-9"/>
          <w:sz w:val="21"/>
        </w:rPr>
        <w:t> </w:t>
      </w:r>
      <w:r>
        <w:rPr>
          <w:sz w:val="21"/>
        </w:rPr>
        <w:t>the</w:t>
      </w:r>
      <w:r>
        <w:rPr>
          <w:spacing w:val="-9"/>
          <w:sz w:val="21"/>
        </w:rPr>
        <w:t> </w:t>
      </w:r>
      <w:r>
        <w:rPr>
          <w:sz w:val="21"/>
        </w:rPr>
        <w:t>Commission</w:t>
      </w:r>
      <w:r>
        <w:rPr>
          <w:spacing w:val="-9"/>
          <w:sz w:val="21"/>
        </w:rPr>
        <w:t> </w:t>
      </w:r>
      <w:r>
        <w:rPr>
          <w:sz w:val="21"/>
        </w:rPr>
        <w:t>recommends</w:t>
      </w:r>
      <w:r>
        <w:rPr>
          <w:spacing w:val="-9"/>
          <w:sz w:val="21"/>
        </w:rPr>
        <w:t> </w:t>
      </w:r>
      <w:r>
        <w:rPr>
          <w:sz w:val="21"/>
        </w:rPr>
        <w:t>that</w:t>
      </w:r>
      <w:r>
        <w:rPr>
          <w:spacing w:val="-10"/>
          <w:sz w:val="21"/>
        </w:rPr>
        <w:t> </w:t>
      </w:r>
      <w:r>
        <w:rPr>
          <w:sz w:val="21"/>
        </w:rPr>
        <w:t>there</w:t>
      </w:r>
      <w:r>
        <w:rPr>
          <w:spacing w:val="-9"/>
          <w:sz w:val="21"/>
        </w:rPr>
        <w:t> </w:t>
      </w:r>
      <w:r>
        <w:rPr>
          <w:sz w:val="21"/>
        </w:rPr>
        <w:t>be</w:t>
      </w:r>
      <w:r>
        <w:rPr>
          <w:spacing w:val="-10"/>
          <w:sz w:val="21"/>
        </w:rPr>
        <w:t> </w:t>
      </w:r>
      <w:r>
        <w:rPr>
          <w:sz w:val="21"/>
        </w:rPr>
        <w:t>consistent</w:t>
      </w:r>
      <w:r>
        <w:rPr>
          <w:spacing w:val="-9"/>
          <w:sz w:val="21"/>
        </w:rPr>
        <w:t> </w:t>
      </w:r>
      <w:r>
        <w:rPr>
          <w:sz w:val="21"/>
        </w:rPr>
        <w:t>and</w:t>
      </w:r>
      <w:r>
        <w:rPr>
          <w:spacing w:val="-10"/>
          <w:sz w:val="21"/>
        </w:rPr>
        <w:t> </w:t>
      </w:r>
      <w:r>
        <w:rPr>
          <w:sz w:val="21"/>
        </w:rPr>
        <w:t>high-quality</w:t>
      </w:r>
      <w:r>
        <w:rPr>
          <w:spacing w:val="-9"/>
          <w:sz w:val="21"/>
        </w:rPr>
        <w:t> </w:t>
      </w:r>
      <w:r>
        <w:rPr>
          <w:sz w:val="21"/>
        </w:rPr>
        <w:t>training</w:t>
      </w:r>
      <w:r>
        <w:rPr>
          <w:spacing w:val="-9"/>
          <w:sz w:val="21"/>
        </w:rPr>
        <w:t> </w:t>
      </w:r>
      <w:r>
        <w:rPr>
          <w:sz w:val="21"/>
        </w:rPr>
        <w:t>on</w:t>
      </w:r>
      <w:r>
        <w:rPr>
          <w:spacing w:val="-9"/>
          <w:sz w:val="21"/>
        </w:rPr>
        <w:t> </w:t>
      </w:r>
      <w:r>
        <w:rPr>
          <w:sz w:val="21"/>
        </w:rPr>
        <w:t>LGBTQ</w:t>
      </w:r>
      <w:r>
        <w:rPr>
          <w:spacing w:val="-9"/>
          <w:sz w:val="21"/>
        </w:rPr>
        <w:t> </w:t>
      </w:r>
      <w:r>
        <w:rPr>
          <w:sz w:val="21"/>
        </w:rPr>
        <w:t>subjects for</w:t>
      </w:r>
      <w:r>
        <w:rPr>
          <w:spacing w:val="-9"/>
          <w:sz w:val="21"/>
        </w:rPr>
        <w:t> </w:t>
      </w:r>
      <w:r>
        <w:rPr>
          <w:sz w:val="21"/>
        </w:rPr>
        <w:t>CAFL</w:t>
      </w:r>
      <w:r>
        <w:rPr>
          <w:spacing w:val="-8"/>
          <w:sz w:val="21"/>
        </w:rPr>
        <w:t> </w:t>
      </w:r>
      <w:r>
        <w:rPr>
          <w:sz w:val="21"/>
        </w:rPr>
        <w:t>staff</w:t>
      </w:r>
      <w:r>
        <w:rPr>
          <w:spacing w:val="-8"/>
          <w:sz w:val="21"/>
        </w:rPr>
        <w:t> </w:t>
      </w:r>
      <w:r>
        <w:rPr>
          <w:sz w:val="21"/>
        </w:rPr>
        <w:t>and</w:t>
      </w:r>
      <w:r>
        <w:rPr>
          <w:spacing w:val="-9"/>
          <w:sz w:val="21"/>
        </w:rPr>
        <w:t> </w:t>
      </w:r>
      <w:r>
        <w:rPr>
          <w:sz w:val="21"/>
        </w:rPr>
        <w:t>private</w:t>
      </w:r>
      <w:r>
        <w:rPr>
          <w:spacing w:val="-9"/>
          <w:sz w:val="21"/>
        </w:rPr>
        <w:t> </w:t>
      </w:r>
      <w:r>
        <w:rPr>
          <w:sz w:val="21"/>
        </w:rPr>
        <w:t>attorneys.</w:t>
      </w:r>
      <w:r>
        <w:rPr>
          <w:spacing w:val="-9"/>
          <w:sz w:val="21"/>
        </w:rPr>
        <w:t> </w:t>
      </w:r>
      <w:r>
        <w:rPr>
          <w:sz w:val="21"/>
        </w:rPr>
        <w:t>It</w:t>
      </w:r>
      <w:r>
        <w:rPr>
          <w:spacing w:val="-8"/>
          <w:sz w:val="21"/>
        </w:rPr>
        <w:t> </w:t>
      </w:r>
      <w:r>
        <w:rPr>
          <w:sz w:val="21"/>
        </w:rPr>
        <w:t>is</w:t>
      </w:r>
      <w:r>
        <w:rPr>
          <w:spacing w:val="-9"/>
          <w:sz w:val="21"/>
        </w:rPr>
        <w:t> </w:t>
      </w:r>
      <w:r>
        <w:rPr>
          <w:sz w:val="21"/>
        </w:rPr>
        <w:t>of</w:t>
      </w:r>
      <w:r>
        <w:rPr>
          <w:spacing w:val="-9"/>
          <w:sz w:val="21"/>
        </w:rPr>
        <w:t> </w:t>
      </w:r>
      <w:r>
        <w:rPr>
          <w:sz w:val="21"/>
        </w:rPr>
        <w:t>critical</w:t>
      </w:r>
      <w:r>
        <w:rPr>
          <w:spacing w:val="-9"/>
          <w:sz w:val="21"/>
        </w:rPr>
        <w:t> </w:t>
      </w:r>
      <w:r>
        <w:rPr>
          <w:sz w:val="21"/>
        </w:rPr>
        <w:t>importance</w:t>
      </w:r>
      <w:r>
        <w:rPr>
          <w:spacing w:val="-9"/>
          <w:sz w:val="21"/>
        </w:rPr>
        <w:t> </w:t>
      </w:r>
      <w:r>
        <w:rPr>
          <w:sz w:val="21"/>
        </w:rPr>
        <w:t>that</w:t>
      </w:r>
      <w:r>
        <w:rPr>
          <w:spacing w:val="-8"/>
          <w:sz w:val="21"/>
        </w:rPr>
        <w:t> </w:t>
      </w:r>
      <w:r>
        <w:rPr>
          <w:sz w:val="21"/>
        </w:rPr>
        <w:t>attorneys</w:t>
      </w:r>
      <w:r>
        <w:rPr>
          <w:spacing w:val="-9"/>
          <w:sz w:val="21"/>
        </w:rPr>
        <w:t> </w:t>
      </w:r>
      <w:r>
        <w:rPr>
          <w:sz w:val="21"/>
        </w:rPr>
        <w:t>receive</w:t>
      </w:r>
      <w:r>
        <w:rPr>
          <w:spacing w:val="-9"/>
          <w:sz w:val="21"/>
        </w:rPr>
        <w:t> </w:t>
      </w:r>
      <w:r>
        <w:rPr>
          <w:sz w:val="21"/>
        </w:rPr>
        <w:t>both</w:t>
      </w:r>
      <w:r>
        <w:rPr>
          <w:spacing w:val="-9"/>
          <w:sz w:val="21"/>
        </w:rPr>
        <w:t> </w:t>
      </w:r>
      <w:r>
        <w:rPr>
          <w:sz w:val="21"/>
        </w:rPr>
        <w:t>introductory</w:t>
      </w:r>
      <w:r>
        <w:rPr>
          <w:spacing w:val="-9"/>
          <w:sz w:val="21"/>
        </w:rPr>
        <w:t> </w:t>
      </w:r>
      <w:r>
        <w:rPr>
          <w:sz w:val="21"/>
        </w:rPr>
        <w:t>and</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8" w:firstLine="0"/>
        <w:jc w:val="both"/>
        <w:rPr>
          <w:sz w:val="21"/>
        </w:rPr>
      </w:pPr>
      <w:r>
        <w:rPr>
          <w:sz w:val="21"/>
        </w:rPr>
        <w:t>specialized training covering various LGBTQ topics, such as gender-affirming healthcare and advocacy in educational settings. Attorneys, especially those with long-standing practices, might not proactively seek out new training opportunities relevant to LGBTQ clients, thus necessitating a mandatory training requirement</w:t>
      </w:r>
      <w:r>
        <w:rPr>
          <w:spacing w:val="-11"/>
          <w:sz w:val="21"/>
        </w:rPr>
        <w:t> </w:t>
      </w:r>
      <w:r>
        <w:rPr>
          <w:sz w:val="21"/>
        </w:rPr>
        <w:t>to</w:t>
      </w:r>
      <w:r>
        <w:rPr>
          <w:spacing w:val="-11"/>
          <w:sz w:val="21"/>
        </w:rPr>
        <w:t> </w:t>
      </w:r>
      <w:r>
        <w:rPr>
          <w:sz w:val="21"/>
        </w:rPr>
        <w:t>ensure</w:t>
      </w:r>
      <w:r>
        <w:rPr>
          <w:spacing w:val="-10"/>
          <w:sz w:val="21"/>
        </w:rPr>
        <w:t> </w:t>
      </w:r>
      <w:r>
        <w:rPr>
          <w:sz w:val="21"/>
        </w:rPr>
        <w:t>that</w:t>
      </w:r>
      <w:r>
        <w:rPr>
          <w:spacing w:val="-12"/>
          <w:sz w:val="21"/>
        </w:rPr>
        <w:t> </w:t>
      </w:r>
      <w:r>
        <w:rPr>
          <w:sz w:val="21"/>
        </w:rPr>
        <w:t>all</w:t>
      </w:r>
      <w:r>
        <w:rPr>
          <w:spacing w:val="-10"/>
          <w:sz w:val="21"/>
        </w:rPr>
        <w:t> </w:t>
      </w:r>
      <w:r>
        <w:rPr>
          <w:sz w:val="21"/>
        </w:rPr>
        <w:t>attorneys</w:t>
      </w:r>
      <w:r>
        <w:rPr>
          <w:spacing w:val="-11"/>
          <w:sz w:val="21"/>
        </w:rPr>
        <w:t> </w:t>
      </w:r>
      <w:r>
        <w:rPr>
          <w:sz w:val="21"/>
        </w:rPr>
        <w:t>are</w:t>
      </w:r>
      <w:r>
        <w:rPr>
          <w:spacing w:val="-10"/>
          <w:sz w:val="21"/>
        </w:rPr>
        <w:t> </w:t>
      </w:r>
      <w:r>
        <w:rPr>
          <w:sz w:val="21"/>
        </w:rPr>
        <w:t>equipped</w:t>
      </w:r>
      <w:r>
        <w:rPr>
          <w:spacing w:val="-11"/>
          <w:sz w:val="21"/>
        </w:rPr>
        <w:t> </w:t>
      </w:r>
      <w:r>
        <w:rPr>
          <w:sz w:val="21"/>
        </w:rPr>
        <w:t>to</w:t>
      </w:r>
      <w:r>
        <w:rPr>
          <w:spacing w:val="-11"/>
          <w:sz w:val="21"/>
        </w:rPr>
        <w:t> </w:t>
      </w:r>
      <w:r>
        <w:rPr>
          <w:sz w:val="21"/>
        </w:rPr>
        <w:t>serve</w:t>
      </w:r>
      <w:r>
        <w:rPr>
          <w:spacing w:val="-10"/>
          <w:sz w:val="21"/>
        </w:rPr>
        <w:t> </w:t>
      </w:r>
      <w:r>
        <w:rPr>
          <w:sz w:val="21"/>
        </w:rPr>
        <w:t>this</w:t>
      </w:r>
      <w:r>
        <w:rPr>
          <w:spacing w:val="-11"/>
          <w:sz w:val="21"/>
        </w:rPr>
        <w:t> </w:t>
      </w:r>
      <w:r>
        <w:rPr>
          <w:sz w:val="21"/>
        </w:rPr>
        <w:t>community</w:t>
      </w:r>
      <w:r>
        <w:rPr>
          <w:spacing w:val="-10"/>
          <w:sz w:val="21"/>
        </w:rPr>
        <w:t> </w:t>
      </w:r>
      <w:r>
        <w:rPr>
          <w:sz w:val="21"/>
        </w:rPr>
        <w:t>effectively.</w:t>
      </w:r>
      <w:r>
        <w:rPr>
          <w:spacing w:val="-10"/>
          <w:sz w:val="21"/>
        </w:rPr>
        <w:t> </w:t>
      </w:r>
      <w:r>
        <w:rPr>
          <w:sz w:val="21"/>
        </w:rPr>
        <w:t>The</w:t>
      </w:r>
      <w:r>
        <w:rPr>
          <w:spacing w:val="-10"/>
          <w:sz w:val="21"/>
        </w:rPr>
        <w:t> </w:t>
      </w:r>
      <w:r>
        <w:rPr>
          <w:sz w:val="21"/>
        </w:rPr>
        <w:t>Commission advocates</w:t>
      </w:r>
      <w:r>
        <w:rPr>
          <w:spacing w:val="-9"/>
          <w:sz w:val="21"/>
        </w:rPr>
        <w:t> </w:t>
      </w:r>
      <w:r>
        <w:rPr>
          <w:sz w:val="21"/>
        </w:rPr>
        <w:t>for</w:t>
      </w:r>
      <w:r>
        <w:rPr>
          <w:spacing w:val="-9"/>
          <w:sz w:val="21"/>
        </w:rPr>
        <w:t> </w:t>
      </w:r>
      <w:r>
        <w:rPr>
          <w:sz w:val="21"/>
        </w:rPr>
        <w:t>the</w:t>
      </w:r>
      <w:r>
        <w:rPr>
          <w:spacing w:val="-9"/>
          <w:sz w:val="21"/>
        </w:rPr>
        <w:t> </w:t>
      </w:r>
      <w:r>
        <w:rPr>
          <w:sz w:val="21"/>
        </w:rPr>
        <w:t>designation</w:t>
      </w:r>
      <w:r>
        <w:rPr>
          <w:spacing w:val="-9"/>
          <w:sz w:val="21"/>
        </w:rPr>
        <w:t> </w:t>
      </w:r>
      <w:r>
        <w:rPr>
          <w:sz w:val="21"/>
        </w:rPr>
        <w:t>of</w:t>
      </w:r>
      <w:r>
        <w:rPr>
          <w:spacing w:val="-9"/>
          <w:sz w:val="21"/>
        </w:rPr>
        <w:t> </w:t>
      </w:r>
      <w:r>
        <w:rPr>
          <w:sz w:val="21"/>
        </w:rPr>
        <w:t>one</w:t>
      </w:r>
      <w:r>
        <w:rPr>
          <w:spacing w:val="-9"/>
          <w:sz w:val="21"/>
        </w:rPr>
        <w:t> </w:t>
      </w:r>
      <w:r>
        <w:rPr>
          <w:sz w:val="21"/>
        </w:rPr>
        <w:t>or</w:t>
      </w:r>
      <w:r>
        <w:rPr>
          <w:spacing w:val="-9"/>
          <w:sz w:val="21"/>
        </w:rPr>
        <w:t> </w:t>
      </w:r>
      <w:r>
        <w:rPr>
          <w:sz w:val="21"/>
        </w:rPr>
        <w:t>more</w:t>
      </w:r>
      <w:r>
        <w:rPr>
          <w:spacing w:val="-9"/>
          <w:sz w:val="21"/>
        </w:rPr>
        <w:t> </w:t>
      </w:r>
      <w:r>
        <w:rPr>
          <w:sz w:val="21"/>
        </w:rPr>
        <w:t>point</w:t>
      </w:r>
      <w:r>
        <w:rPr>
          <w:spacing w:val="-8"/>
          <w:sz w:val="21"/>
        </w:rPr>
        <w:t> </w:t>
      </w:r>
      <w:r>
        <w:rPr>
          <w:sz w:val="21"/>
        </w:rPr>
        <w:t>people</w:t>
      </w:r>
      <w:r>
        <w:rPr>
          <w:spacing w:val="-9"/>
          <w:sz w:val="21"/>
        </w:rPr>
        <w:t> </w:t>
      </w:r>
      <w:r>
        <w:rPr>
          <w:sz w:val="21"/>
        </w:rPr>
        <w:t>within</w:t>
      </w:r>
      <w:r>
        <w:rPr>
          <w:spacing w:val="-9"/>
          <w:sz w:val="21"/>
        </w:rPr>
        <w:t> </w:t>
      </w:r>
      <w:r>
        <w:rPr>
          <w:sz w:val="21"/>
        </w:rPr>
        <w:t>CAFL</w:t>
      </w:r>
      <w:r>
        <w:rPr>
          <w:spacing w:val="-8"/>
          <w:sz w:val="21"/>
        </w:rPr>
        <w:t> </w:t>
      </w:r>
      <w:r>
        <w:rPr>
          <w:sz w:val="21"/>
        </w:rPr>
        <w:t>as</w:t>
      </w:r>
      <w:r>
        <w:rPr>
          <w:spacing w:val="-9"/>
          <w:sz w:val="21"/>
        </w:rPr>
        <w:t> </w:t>
      </w:r>
      <w:r>
        <w:rPr>
          <w:sz w:val="21"/>
        </w:rPr>
        <w:t>subject-matter</w:t>
      </w:r>
      <w:r>
        <w:rPr>
          <w:spacing w:val="-9"/>
          <w:sz w:val="21"/>
        </w:rPr>
        <w:t> </w:t>
      </w:r>
      <w:r>
        <w:rPr>
          <w:sz w:val="21"/>
        </w:rPr>
        <w:t>experts</w:t>
      </w:r>
      <w:r>
        <w:rPr>
          <w:spacing w:val="-11"/>
          <w:sz w:val="21"/>
        </w:rPr>
        <w:t> </w:t>
      </w:r>
      <w:r>
        <w:rPr>
          <w:sz w:val="21"/>
        </w:rPr>
        <w:t>on</w:t>
      </w:r>
      <w:r>
        <w:rPr>
          <w:spacing w:val="-9"/>
          <w:sz w:val="21"/>
        </w:rPr>
        <w:t> </w:t>
      </w:r>
      <w:r>
        <w:rPr>
          <w:sz w:val="21"/>
        </w:rPr>
        <w:t>LGBTQ issues.</w:t>
      </w:r>
      <w:r>
        <w:rPr>
          <w:spacing w:val="-8"/>
          <w:sz w:val="21"/>
        </w:rPr>
        <w:t> </w:t>
      </w:r>
      <w:r>
        <w:rPr>
          <w:sz w:val="21"/>
        </w:rPr>
        <w:t>This</w:t>
      </w:r>
      <w:r>
        <w:rPr>
          <w:spacing w:val="-8"/>
          <w:sz w:val="21"/>
        </w:rPr>
        <w:t> </w:t>
      </w:r>
      <w:r>
        <w:rPr>
          <w:sz w:val="21"/>
        </w:rPr>
        <w:t>would</w:t>
      </w:r>
      <w:r>
        <w:rPr>
          <w:spacing w:val="-8"/>
          <w:sz w:val="21"/>
        </w:rPr>
        <w:t> </w:t>
      </w:r>
      <w:r>
        <w:rPr>
          <w:sz w:val="21"/>
        </w:rPr>
        <w:t>provide</w:t>
      </w:r>
      <w:r>
        <w:rPr>
          <w:spacing w:val="-8"/>
          <w:sz w:val="21"/>
        </w:rPr>
        <w:t> </w:t>
      </w:r>
      <w:r>
        <w:rPr>
          <w:sz w:val="21"/>
        </w:rPr>
        <w:t>a</w:t>
      </w:r>
      <w:r>
        <w:rPr>
          <w:spacing w:val="-8"/>
          <w:sz w:val="21"/>
        </w:rPr>
        <w:t> </w:t>
      </w:r>
      <w:r>
        <w:rPr>
          <w:sz w:val="21"/>
        </w:rPr>
        <w:t>reliable</w:t>
      </w:r>
      <w:r>
        <w:rPr>
          <w:spacing w:val="-8"/>
          <w:sz w:val="21"/>
        </w:rPr>
        <w:t> </w:t>
      </w:r>
      <w:r>
        <w:rPr>
          <w:sz w:val="21"/>
        </w:rPr>
        <w:t>resource</w:t>
      </w:r>
      <w:r>
        <w:rPr>
          <w:spacing w:val="-8"/>
          <w:sz w:val="21"/>
        </w:rPr>
        <w:t> </w:t>
      </w:r>
      <w:r>
        <w:rPr>
          <w:sz w:val="21"/>
        </w:rPr>
        <w:t>for</w:t>
      </w:r>
      <w:r>
        <w:rPr>
          <w:spacing w:val="-8"/>
          <w:sz w:val="21"/>
        </w:rPr>
        <w:t> </w:t>
      </w:r>
      <w:r>
        <w:rPr>
          <w:sz w:val="21"/>
        </w:rPr>
        <w:t>colleagues</w:t>
      </w:r>
      <w:r>
        <w:rPr>
          <w:spacing w:val="-9"/>
          <w:sz w:val="21"/>
        </w:rPr>
        <w:t> </w:t>
      </w:r>
      <w:r>
        <w:rPr>
          <w:sz w:val="21"/>
        </w:rPr>
        <w:t>seeking</w:t>
      </w:r>
      <w:r>
        <w:rPr>
          <w:spacing w:val="-8"/>
          <w:sz w:val="21"/>
        </w:rPr>
        <w:t> </w:t>
      </w:r>
      <w:r>
        <w:rPr>
          <w:sz w:val="21"/>
        </w:rPr>
        <w:t>advice</w:t>
      </w:r>
      <w:r>
        <w:rPr>
          <w:spacing w:val="-8"/>
          <w:sz w:val="21"/>
        </w:rPr>
        <w:t> </w:t>
      </w:r>
      <w:r>
        <w:rPr>
          <w:sz w:val="21"/>
        </w:rPr>
        <w:t>on</w:t>
      </w:r>
      <w:r>
        <w:rPr>
          <w:spacing w:val="-8"/>
          <w:sz w:val="21"/>
        </w:rPr>
        <w:t> </w:t>
      </w:r>
      <w:r>
        <w:rPr>
          <w:sz w:val="21"/>
        </w:rPr>
        <w:t>best</w:t>
      </w:r>
      <w:r>
        <w:rPr>
          <w:spacing w:val="-8"/>
          <w:sz w:val="21"/>
        </w:rPr>
        <w:t> </w:t>
      </w:r>
      <w:r>
        <w:rPr>
          <w:sz w:val="21"/>
        </w:rPr>
        <w:t>practices</w:t>
      </w:r>
      <w:r>
        <w:rPr>
          <w:spacing w:val="-9"/>
          <w:sz w:val="21"/>
        </w:rPr>
        <w:t> </w:t>
      </w:r>
      <w:r>
        <w:rPr>
          <w:sz w:val="21"/>
        </w:rPr>
        <w:t>for</w:t>
      </w:r>
      <w:r>
        <w:rPr>
          <w:spacing w:val="-8"/>
          <w:sz w:val="21"/>
        </w:rPr>
        <w:t> </w:t>
      </w:r>
      <w:r>
        <w:rPr>
          <w:sz w:val="21"/>
        </w:rPr>
        <w:t>advocating for</w:t>
      </w:r>
      <w:r>
        <w:rPr>
          <w:spacing w:val="-12"/>
          <w:sz w:val="21"/>
        </w:rPr>
        <w:t> </w:t>
      </w:r>
      <w:r>
        <w:rPr>
          <w:sz w:val="21"/>
        </w:rPr>
        <w:t>LGBTQ</w:t>
      </w:r>
      <w:r>
        <w:rPr>
          <w:spacing w:val="-12"/>
          <w:sz w:val="21"/>
        </w:rPr>
        <w:t> </w:t>
      </w:r>
      <w:r>
        <w:rPr>
          <w:sz w:val="21"/>
        </w:rPr>
        <w:t>clients.</w:t>
      </w:r>
      <w:r>
        <w:rPr>
          <w:spacing w:val="-12"/>
          <w:sz w:val="21"/>
        </w:rPr>
        <w:t> </w:t>
      </w:r>
      <w:r>
        <w:rPr>
          <w:sz w:val="21"/>
        </w:rPr>
        <w:t>The</w:t>
      </w:r>
      <w:r>
        <w:rPr>
          <w:spacing w:val="-12"/>
          <w:sz w:val="21"/>
        </w:rPr>
        <w:t> </w:t>
      </w:r>
      <w:r>
        <w:rPr>
          <w:sz w:val="21"/>
        </w:rPr>
        <w:t>establishment</w:t>
      </w:r>
      <w:r>
        <w:rPr>
          <w:spacing w:val="-12"/>
          <w:sz w:val="21"/>
        </w:rPr>
        <w:t> </w:t>
      </w:r>
      <w:r>
        <w:rPr>
          <w:sz w:val="21"/>
        </w:rPr>
        <w:t>of</w:t>
      </w:r>
      <w:r>
        <w:rPr>
          <w:spacing w:val="-12"/>
          <w:sz w:val="21"/>
        </w:rPr>
        <w:t> </w:t>
      </w:r>
      <w:r>
        <w:rPr>
          <w:sz w:val="21"/>
        </w:rPr>
        <w:t>such</w:t>
      </w:r>
      <w:r>
        <w:rPr>
          <w:spacing w:val="-12"/>
          <w:sz w:val="21"/>
        </w:rPr>
        <w:t> </w:t>
      </w:r>
      <w:r>
        <w:rPr>
          <w:sz w:val="21"/>
        </w:rPr>
        <w:t>positions,</w:t>
      </w:r>
      <w:r>
        <w:rPr>
          <w:spacing w:val="-11"/>
          <w:sz w:val="21"/>
        </w:rPr>
        <w:t> </w:t>
      </w:r>
      <w:r>
        <w:rPr>
          <w:sz w:val="21"/>
        </w:rPr>
        <w:t>potentially</w:t>
      </w:r>
      <w:r>
        <w:rPr>
          <w:spacing w:val="-12"/>
          <w:sz w:val="21"/>
        </w:rPr>
        <w:t> </w:t>
      </w:r>
      <w:r>
        <w:rPr>
          <w:sz w:val="21"/>
        </w:rPr>
        <w:t>initiated</w:t>
      </w:r>
      <w:r>
        <w:rPr>
          <w:spacing w:val="-12"/>
          <w:sz w:val="21"/>
        </w:rPr>
        <w:t> </w:t>
      </w:r>
      <w:r>
        <w:rPr>
          <w:sz w:val="21"/>
        </w:rPr>
        <w:t>through</w:t>
      </w:r>
      <w:r>
        <w:rPr>
          <w:spacing w:val="-12"/>
          <w:sz w:val="21"/>
        </w:rPr>
        <w:t> </w:t>
      </w:r>
      <w:r>
        <w:rPr>
          <w:sz w:val="21"/>
        </w:rPr>
        <w:t>legal</w:t>
      </w:r>
      <w:r>
        <w:rPr>
          <w:spacing w:val="-12"/>
          <w:sz w:val="21"/>
        </w:rPr>
        <w:t> </w:t>
      </w:r>
      <w:r>
        <w:rPr>
          <w:sz w:val="21"/>
        </w:rPr>
        <w:t>fellowships,</w:t>
      </w:r>
      <w:r>
        <w:rPr>
          <w:spacing w:val="-12"/>
          <w:sz w:val="21"/>
        </w:rPr>
        <w:t> </w:t>
      </w:r>
      <w:r>
        <w:rPr>
          <w:sz w:val="21"/>
        </w:rPr>
        <w:t>would be a critical step toward embedding LGBTQ cultural competency within CAFL's operations. Further, it is recommended that CAFL collect and report data on sexual orientation, gender identity, and other demographics</w:t>
      </w:r>
      <w:r>
        <w:rPr>
          <w:spacing w:val="-2"/>
          <w:sz w:val="21"/>
        </w:rPr>
        <w:t> </w:t>
      </w:r>
      <w:r>
        <w:rPr>
          <w:sz w:val="21"/>
        </w:rPr>
        <w:t>to</w:t>
      </w:r>
      <w:r>
        <w:rPr>
          <w:spacing w:val="-3"/>
          <w:sz w:val="21"/>
        </w:rPr>
        <w:t> </w:t>
      </w:r>
      <w:r>
        <w:rPr>
          <w:sz w:val="21"/>
        </w:rPr>
        <w:t>better</w:t>
      </w:r>
      <w:r>
        <w:rPr>
          <w:spacing w:val="-4"/>
          <w:sz w:val="21"/>
        </w:rPr>
        <w:t> </w:t>
      </w:r>
      <w:r>
        <w:rPr>
          <w:sz w:val="21"/>
        </w:rPr>
        <w:t>understand</w:t>
      </w:r>
      <w:r>
        <w:rPr>
          <w:spacing w:val="-3"/>
          <w:sz w:val="21"/>
        </w:rPr>
        <w:t> </w:t>
      </w:r>
      <w:r>
        <w:rPr>
          <w:sz w:val="21"/>
        </w:rPr>
        <w:t>and</w:t>
      </w:r>
      <w:r>
        <w:rPr>
          <w:spacing w:val="-4"/>
          <w:sz w:val="21"/>
        </w:rPr>
        <w:t> </w:t>
      </w:r>
      <w:r>
        <w:rPr>
          <w:sz w:val="21"/>
        </w:rPr>
        <w:t>meet</w:t>
      </w:r>
      <w:r>
        <w:rPr>
          <w:spacing w:val="-3"/>
          <w:sz w:val="21"/>
        </w:rPr>
        <w:t> </w:t>
      </w:r>
      <w:r>
        <w:rPr>
          <w:sz w:val="21"/>
        </w:rPr>
        <w:t>the</w:t>
      </w:r>
      <w:r>
        <w:rPr>
          <w:spacing w:val="-3"/>
          <w:sz w:val="21"/>
        </w:rPr>
        <w:t> </w:t>
      </w:r>
      <w:r>
        <w:rPr>
          <w:sz w:val="21"/>
        </w:rPr>
        <w:t>needs</w:t>
      </w:r>
      <w:r>
        <w:rPr>
          <w:spacing w:val="-4"/>
          <w:sz w:val="21"/>
        </w:rPr>
        <w:t> </w:t>
      </w:r>
      <w:r>
        <w:rPr>
          <w:sz w:val="21"/>
        </w:rPr>
        <w:t>of</w:t>
      </w:r>
      <w:r>
        <w:rPr>
          <w:spacing w:val="-4"/>
          <w:sz w:val="21"/>
        </w:rPr>
        <w:t> </w:t>
      </w:r>
      <w:r>
        <w:rPr>
          <w:sz w:val="21"/>
        </w:rPr>
        <w:t>LGBTQ</w:t>
      </w:r>
      <w:r>
        <w:rPr>
          <w:spacing w:val="-3"/>
          <w:sz w:val="21"/>
        </w:rPr>
        <w:t> </w:t>
      </w:r>
      <w:r>
        <w:rPr>
          <w:sz w:val="21"/>
        </w:rPr>
        <w:t>youth,</w:t>
      </w:r>
      <w:r>
        <w:rPr>
          <w:spacing w:val="-3"/>
          <w:sz w:val="21"/>
        </w:rPr>
        <w:t> </w:t>
      </w:r>
      <w:r>
        <w:rPr>
          <w:sz w:val="21"/>
        </w:rPr>
        <w:t>including</w:t>
      </w:r>
      <w:r>
        <w:rPr>
          <w:spacing w:val="-4"/>
          <w:sz w:val="21"/>
        </w:rPr>
        <w:t> </w:t>
      </w:r>
      <w:r>
        <w:rPr>
          <w:sz w:val="21"/>
        </w:rPr>
        <w:t>those</w:t>
      </w:r>
      <w:r>
        <w:rPr>
          <w:spacing w:val="-4"/>
          <w:sz w:val="21"/>
        </w:rPr>
        <w:t> </w:t>
      </w:r>
      <w:r>
        <w:rPr>
          <w:sz w:val="21"/>
        </w:rPr>
        <w:t>of</w:t>
      </w:r>
      <w:r>
        <w:rPr>
          <w:spacing w:val="-4"/>
          <w:sz w:val="21"/>
        </w:rPr>
        <w:t> </w:t>
      </w:r>
      <w:r>
        <w:rPr>
          <w:sz w:val="21"/>
        </w:rPr>
        <w:t>color</w:t>
      </w:r>
      <w:r>
        <w:rPr>
          <w:spacing w:val="-3"/>
          <w:sz w:val="21"/>
        </w:rPr>
        <w:t> </w:t>
      </w:r>
      <w:r>
        <w:rPr>
          <w:sz w:val="21"/>
        </w:rPr>
        <w:t>and</w:t>
      </w:r>
      <w:r>
        <w:rPr>
          <w:spacing w:val="-3"/>
          <w:sz w:val="21"/>
        </w:rPr>
        <w:t> </w:t>
      </w:r>
      <w:r>
        <w:rPr>
          <w:sz w:val="21"/>
        </w:rPr>
        <w:t>with disabilities. Finally, the recommendations, included in more detail elsewhere in this report, call for an investigation into and addressing of service provision gaps for immigrant youth, ensuring that these vulnerable groups receive appropriate and effective legal representation.</w:t>
      </w:r>
    </w:p>
    <w:p>
      <w:pPr>
        <w:spacing w:line="276" w:lineRule="auto" w:before="241"/>
        <w:ind w:left="464" w:right="240" w:firstLine="0"/>
        <w:jc w:val="both"/>
        <w:rPr>
          <w:sz w:val="21"/>
        </w:rPr>
      </w:pPr>
      <w:r>
        <w:rPr>
          <w:sz w:val="21"/>
        </w:rPr>
        <w:t>Within the foster care system, LGBTQ youth frequently face intolerance, mistreatment, and neglect from caregivers and peers.</w:t>
      </w:r>
      <w:r>
        <w:rPr>
          <w:spacing w:val="-12"/>
          <w:sz w:val="21"/>
        </w:rPr>
        <w:t> </w:t>
      </w:r>
      <w:hyperlink w:history="true" w:anchor="_bookmark375">
        <w:r>
          <w:rPr>
            <w:sz w:val="21"/>
            <w:vertAlign w:val="superscript"/>
          </w:rPr>
          <w:t>59</w:t>
        </w:r>
      </w:hyperlink>
      <w:r>
        <w:rPr>
          <w:sz w:val="21"/>
          <w:vertAlign w:val="baseline"/>
        </w:rPr>
        <w:t> The Commission has repeatedly advised DCF to improve the recruitment and training of LGBTQ-affirming foster parents and to develop a system for tracking such homes. The scarcity of affirming foster homes across the country and the state exacerbates the risks for LGBTQ youth, making them more likely to be placed in non-affirming group homes or foster homes, thereby increasing their vulnerability to violence and discrimination.</w:t>
      </w:r>
      <w:hyperlink w:history="true" w:anchor="_bookmark376">
        <w:r>
          <w:rPr>
            <w:sz w:val="21"/>
            <w:vertAlign w:val="superscript"/>
          </w:rPr>
          <w:t>60</w:t>
        </w:r>
      </w:hyperlink>
      <w:r>
        <w:rPr>
          <w:sz w:val="21"/>
          <w:vertAlign w:val="baseline"/>
        </w:rPr>
        <w:t> The trauma of being placed in the child welfare system, coupled</w:t>
      </w:r>
      <w:r>
        <w:rPr>
          <w:spacing w:val="-4"/>
          <w:sz w:val="21"/>
          <w:vertAlign w:val="baseline"/>
        </w:rPr>
        <w:t> </w:t>
      </w:r>
      <w:r>
        <w:rPr>
          <w:sz w:val="21"/>
          <w:vertAlign w:val="baseline"/>
        </w:rPr>
        <w:t>with</w:t>
      </w:r>
      <w:r>
        <w:rPr>
          <w:spacing w:val="-4"/>
          <w:sz w:val="21"/>
          <w:vertAlign w:val="baseline"/>
        </w:rPr>
        <w:t> </w:t>
      </w:r>
      <w:r>
        <w:rPr>
          <w:sz w:val="21"/>
          <w:vertAlign w:val="baseline"/>
        </w:rPr>
        <w:t>this</w:t>
      </w:r>
      <w:r>
        <w:rPr>
          <w:spacing w:val="-5"/>
          <w:sz w:val="21"/>
          <w:vertAlign w:val="baseline"/>
        </w:rPr>
        <w:t> </w:t>
      </w:r>
      <w:r>
        <w:rPr>
          <w:sz w:val="21"/>
          <w:vertAlign w:val="baseline"/>
        </w:rPr>
        <w:t>rejection,</w:t>
      </w:r>
      <w:r>
        <w:rPr>
          <w:spacing w:val="-4"/>
          <w:sz w:val="21"/>
          <w:vertAlign w:val="baseline"/>
        </w:rPr>
        <w:t> </w:t>
      </w:r>
      <w:r>
        <w:rPr>
          <w:sz w:val="21"/>
          <w:vertAlign w:val="baseline"/>
        </w:rPr>
        <w:t>can</w:t>
      </w:r>
      <w:r>
        <w:rPr>
          <w:spacing w:val="-4"/>
          <w:sz w:val="21"/>
          <w:vertAlign w:val="baseline"/>
        </w:rPr>
        <w:t> </w:t>
      </w:r>
      <w:r>
        <w:rPr>
          <w:sz w:val="21"/>
          <w:vertAlign w:val="baseline"/>
        </w:rPr>
        <w:t>have</w:t>
      </w:r>
      <w:r>
        <w:rPr>
          <w:spacing w:val="-4"/>
          <w:sz w:val="21"/>
          <w:vertAlign w:val="baseline"/>
        </w:rPr>
        <w:t> </w:t>
      </w:r>
      <w:r>
        <w:rPr>
          <w:sz w:val="21"/>
          <w:vertAlign w:val="baseline"/>
        </w:rPr>
        <w:t>severe</w:t>
      </w:r>
      <w:r>
        <w:rPr>
          <w:spacing w:val="-4"/>
          <w:sz w:val="21"/>
          <w:vertAlign w:val="baseline"/>
        </w:rPr>
        <w:t> </w:t>
      </w:r>
      <w:r>
        <w:rPr>
          <w:sz w:val="21"/>
          <w:vertAlign w:val="baseline"/>
        </w:rPr>
        <w:t>effects</w:t>
      </w:r>
      <w:r>
        <w:rPr>
          <w:spacing w:val="-5"/>
          <w:sz w:val="21"/>
          <w:vertAlign w:val="baseline"/>
        </w:rPr>
        <w:t> </w:t>
      </w:r>
      <w:r>
        <w:rPr>
          <w:sz w:val="21"/>
          <w:vertAlign w:val="baseline"/>
        </w:rPr>
        <w:t>on</w:t>
      </w:r>
      <w:r>
        <w:rPr>
          <w:spacing w:val="-4"/>
          <w:sz w:val="21"/>
          <w:vertAlign w:val="baseline"/>
        </w:rPr>
        <w:t> </w:t>
      </w:r>
      <w:r>
        <w:rPr>
          <w:sz w:val="21"/>
          <w:vertAlign w:val="baseline"/>
        </w:rPr>
        <w:t>their</w:t>
      </w:r>
      <w:r>
        <w:rPr>
          <w:spacing w:val="-4"/>
          <w:sz w:val="21"/>
          <w:vertAlign w:val="baseline"/>
        </w:rPr>
        <w:t> </w:t>
      </w:r>
      <w:r>
        <w:rPr>
          <w:sz w:val="21"/>
          <w:vertAlign w:val="baseline"/>
        </w:rPr>
        <w:t>mental</w:t>
      </w:r>
      <w:r>
        <w:rPr>
          <w:spacing w:val="-4"/>
          <w:sz w:val="21"/>
          <w:vertAlign w:val="baseline"/>
        </w:rPr>
        <w:t> </w:t>
      </w:r>
      <w:r>
        <w:rPr>
          <w:sz w:val="21"/>
          <w:vertAlign w:val="baseline"/>
        </w:rPr>
        <w:t>and</w:t>
      </w:r>
      <w:r>
        <w:rPr>
          <w:spacing w:val="-4"/>
          <w:sz w:val="21"/>
          <w:vertAlign w:val="baseline"/>
        </w:rPr>
        <w:t> </w:t>
      </w:r>
      <w:r>
        <w:rPr>
          <w:sz w:val="21"/>
          <w:vertAlign w:val="baseline"/>
        </w:rPr>
        <w:t>emotional</w:t>
      </w:r>
      <w:r>
        <w:rPr>
          <w:spacing w:val="-5"/>
          <w:sz w:val="21"/>
          <w:vertAlign w:val="baseline"/>
        </w:rPr>
        <w:t> </w:t>
      </w:r>
      <w:r>
        <w:rPr>
          <w:sz w:val="21"/>
          <w:vertAlign w:val="baseline"/>
        </w:rPr>
        <w:t>health.</w:t>
      </w:r>
      <w:hyperlink w:history="true" w:anchor="_bookmark377">
        <w:r>
          <w:rPr>
            <w:sz w:val="21"/>
            <w:vertAlign w:val="superscript"/>
          </w:rPr>
          <w:t>61</w:t>
        </w:r>
      </w:hyperlink>
      <w:r>
        <w:rPr>
          <w:spacing w:val="-2"/>
          <w:sz w:val="21"/>
          <w:vertAlign w:val="baseline"/>
        </w:rPr>
        <w:t> </w:t>
      </w:r>
      <w:r>
        <w:rPr>
          <w:sz w:val="21"/>
          <w:vertAlign w:val="baseline"/>
        </w:rPr>
        <w:t>Many</w:t>
      </w:r>
      <w:r>
        <w:rPr>
          <w:spacing w:val="-6"/>
          <w:sz w:val="21"/>
          <w:vertAlign w:val="baseline"/>
        </w:rPr>
        <w:t> </w:t>
      </w:r>
      <w:r>
        <w:rPr>
          <w:sz w:val="21"/>
          <w:vertAlign w:val="baseline"/>
        </w:rPr>
        <w:t>of</w:t>
      </w:r>
      <w:r>
        <w:rPr>
          <w:spacing w:val="-5"/>
          <w:sz w:val="21"/>
          <w:vertAlign w:val="baseline"/>
        </w:rPr>
        <w:t> </w:t>
      </w:r>
      <w:r>
        <w:rPr>
          <w:sz w:val="21"/>
          <w:vertAlign w:val="baseline"/>
        </w:rPr>
        <w:t>these youth encounter untreated mental health issues or are over-medicated with psychotropic drugs.</w:t>
      </w:r>
    </w:p>
    <w:p>
      <w:pPr>
        <w:spacing w:line="276" w:lineRule="auto" w:before="239"/>
        <w:ind w:left="463" w:right="238" w:firstLine="0"/>
        <w:jc w:val="both"/>
        <w:rPr>
          <w:sz w:val="21"/>
        </w:rPr>
      </w:pPr>
      <w:r>
        <w:rPr>
          <w:sz w:val="21"/>
        </w:rPr>
        <w:t>In</w:t>
      </w:r>
      <w:r>
        <w:rPr>
          <w:spacing w:val="-7"/>
          <w:sz w:val="21"/>
        </w:rPr>
        <w:t> </w:t>
      </w:r>
      <w:r>
        <w:rPr>
          <w:sz w:val="21"/>
        </w:rPr>
        <w:t>addition</w:t>
      </w:r>
      <w:r>
        <w:rPr>
          <w:spacing w:val="-7"/>
          <w:sz w:val="21"/>
        </w:rPr>
        <w:t> </w:t>
      </w:r>
      <w:r>
        <w:rPr>
          <w:sz w:val="21"/>
        </w:rPr>
        <w:t>to</w:t>
      </w:r>
      <w:r>
        <w:rPr>
          <w:spacing w:val="-10"/>
          <w:sz w:val="21"/>
        </w:rPr>
        <w:t> </w:t>
      </w:r>
      <w:r>
        <w:rPr>
          <w:sz w:val="21"/>
        </w:rPr>
        <w:t>the</w:t>
      </w:r>
      <w:r>
        <w:rPr>
          <w:spacing w:val="-7"/>
          <w:sz w:val="21"/>
        </w:rPr>
        <w:t> </w:t>
      </w:r>
      <w:r>
        <w:rPr>
          <w:sz w:val="21"/>
        </w:rPr>
        <w:t>systemic</w:t>
      </w:r>
      <w:r>
        <w:rPr>
          <w:spacing w:val="-7"/>
          <w:sz w:val="21"/>
        </w:rPr>
        <w:t> </w:t>
      </w:r>
      <w:r>
        <w:rPr>
          <w:sz w:val="21"/>
        </w:rPr>
        <w:t>failings</w:t>
      </w:r>
      <w:r>
        <w:rPr>
          <w:spacing w:val="-7"/>
          <w:sz w:val="21"/>
        </w:rPr>
        <w:t> </w:t>
      </w:r>
      <w:r>
        <w:rPr>
          <w:sz w:val="21"/>
        </w:rPr>
        <w:t>in</w:t>
      </w:r>
      <w:r>
        <w:rPr>
          <w:spacing w:val="-7"/>
          <w:sz w:val="21"/>
        </w:rPr>
        <w:t> </w:t>
      </w:r>
      <w:r>
        <w:rPr>
          <w:sz w:val="21"/>
        </w:rPr>
        <w:t>foster</w:t>
      </w:r>
      <w:r>
        <w:rPr>
          <w:spacing w:val="-7"/>
          <w:sz w:val="21"/>
        </w:rPr>
        <w:t> </w:t>
      </w:r>
      <w:r>
        <w:rPr>
          <w:sz w:val="21"/>
        </w:rPr>
        <w:t>care,</w:t>
      </w:r>
      <w:r>
        <w:rPr>
          <w:spacing w:val="-8"/>
          <w:sz w:val="21"/>
        </w:rPr>
        <w:t> </w:t>
      </w:r>
      <w:r>
        <w:rPr>
          <w:sz w:val="21"/>
        </w:rPr>
        <w:t>the</w:t>
      </w:r>
      <w:r>
        <w:rPr>
          <w:spacing w:val="-7"/>
          <w:sz w:val="21"/>
        </w:rPr>
        <w:t> </w:t>
      </w:r>
      <w:r>
        <w:rPr>
          <w:sz w:val="21"/>
        </w:rPr>
        <w:t>criminalization</w:t>
      </w:r>
      <w:r>
        <w:rPr>
          <w:spacing w:val="-7"/>
          <w:sz w:val="21"/>
        </w:rPr>
        <w:t> </w:t>
      </w:r>
      <w:r>
        <w:rPr>
          <w:sz w:val="21"/>
        </w:rPr>
        <w:t>of</w:t>
      </w:r>
      <w:r>
        <w:rPr>
          <w:spacing w:val="-7"/>
          <w:sz w:val="21"/>
        </w:rPr>
        <w:t> </w:t>
      </w:r>
      <w:r>
        <w:rPr>
          <w:sz w:val="21"/>
        </w:rPr>
        <w:t>mental</w:t>
      </w:r>
      <w:r>
        <w:rPr>
          <w:spacing w:val="-7"/>
          <w:sz w:val="21"/>
        </w:rPr>
        <w:t> </w:t>
      </w:r>
      <w:r>
        <w:rPr>
          <w:sz w:val="21"/>
        </w:rPr>
        <w:t>illness</w:t>
      </w:r>
      <w:r>
        <w:rPr>
          <w:spacing w:val="-7"/>
          <w:sz w:val="21"/>
        </w:rPr>
        <w:t> </w:t>
      </w:r>
      <w:r>
        <w:rPr>
          <w:sz w:val="21"/>
        </w:rPr>
        <w:t>plays</w:t>
      </w:r>
      <w:r>
        <w:rPr>
          <w:spacing w:val="-7"/>
          <w:sz w:val="21"/>
        </w:rPr>
        <w:t> </w:t>
      </w:r>
      <w:r>
        <w:rPr>
          <w:sz w:val="21"/>
        </w:rPr>
        <w:t>a</w:t>
      </w:r>
      <w:r>
        <w:rPr>
          <w:spacing w:val="-6"/>
          <w:sz w:val="21"/>
        </w:rPr>
        <w:t> </w:t>
      </w:r>
      <w:r>
        <w:rPr>
          <w:sz w:val="21"/>
        </w:rPr>
        <w:t>significant</w:t>
      </w:r>
      <w:r>
        <w:rPr>
          <w:spacing w:val="-6"/>
          <w:sz w:val="21"/>
        </w:rPr>
        <w:t> </w:t>
      </w:r>
      <w:r>
        <w:rPr>
          <w:sz w:val="21"/>
        </w:rPr>
        <w:t>role in propelling LGBTQ youth from foster care into the prison system.</w:t>
      </w:r>
      <w:r>
        <w:rPr>
          <w:spacing w:val="-12"/>
          <w:sz w:val="21"/>
        </w:rPr>
        <w:t> </w:t>
      </w:r>
      <w:hyperlink w:history="true" w:anchor="_bookmark378">
        <w:r>
          <w:rPr>
            <w:sz w:val="21"/>
            <w:vertAlign w:val="superscript"/>
          </w:rPr>
          <w:t>62</w:t>
        </w:r>
      </w:hyperlink>
      <w:r>
        <w:rPr>
          <w:sz w:val="21"/>
          <w:vertAlign w:val="baseline"/>
        </w:rPr>
        <w:t> Rather than receiving trauma- informed and identity-affirming care, many foster youth are incarcerated during mental health crises.</w:t>
      </w:r>
      <w:hyperlink w:history="true" w:anchor="_bookmark379">
        <w:r>
          <w:rPr>
            <w:sz w:val="21"/>
            <w:vertAlign w:val="superscript"/>
          </w:rPr>
          <w:t>63</w:t>
        </w:r>
      </w:hyperlink>
      <w:r>
        <w:rPr>
          <w:sz w:val="21"/>
          <w:vertAlign w:val="baseline"/>
        </w:rPr>
        <w:t> And,</w:t>
      </w:r>
      <w:r>
        <w:rPr>
          <w:spacing w:val="-8"/>
          <w:sz w:val="21"/>
          <w:vertAlign w:val="baseline"/>
        </w:rPr>
        <w:t> </w:t>
      </w:r>
      <w:r>
        <w:rPr>
          <w:sz w:val="21"/>
          <w:vertAlign w:val="baseline"/>
        </w:rPr>
        <w:t>the</w:t>
      </w:r>
      <w:r>
        <w:rPr>
          <w:spacing w:val="-9"/>
          <w:sz w:val="21"/>
          <w:vertAlign w:val="baseline"/>
        </w:rPr>
        <w:t> </w:t>
      </w:r>
      <w:r>
        <w:rPr>
          <w:sz w:val="21"/>
          <w:vertAlign w:val="baseline"/>
        </w:rPr>
        <w:t>transition</w:t>
      </w:r>
      <w:r>
        <w:rPr>
          <w:spacing w:val="-8"/>
          <w:sz w:val="21"/>
          <w:vertAlign w:val="baseline"/>
        </w:rPr>
        <w:t> </w:t>
      </w:r>
      <w:r>
        <w:rPr>
          <w:sz w:val="21"/>
          <w:vertAlign w:val="baseline"/>
        </w:rPr>
        <w:t>out</w:t>
      </w:r>
      <w:r>
        <w:rPr>
          <w:spacing w:val="-7"/>
          <w:sz w:val="21"/>
          <w:vertAlign w:val="baseline"/>
        </w:rPr>
        <w:t> </w:t>
      </w:r>
      <w:r>
        <w:rPr>
          <w:sz w:val="21"/>
          <w:vertAlign w:val="baseline"/>
        </w:rPr>
        <w:t>of</w:t>
      </w:r>
      <w:r>
        <w:rPr>
          <w:spacing w:val="-8"/>
          <w:sz w:val="21"/>
          <w:vertAlign w:val="baseline"/>
        </w:rPr>
        <w:t> </w:t>
      </w:r>
      <w:r>
        <w:rPr>
          <w:sz w:val="21"/>
          <w:vertAlign w:val="baseline"/>
        </w:rPr>
        <w:t>foster</w:t>
      </w:r>
      <w:r>
        <w:rPr>
          <w:spacing w:val="-8"/>
          <w:sz w:val="21"/>
          <w:vertAlign w:val="baseline"/>
        </w:rPr>
        <w:t> </w:t>
      </w:r>
      <w:r>
        <w:rPr>
          <w:sz w:val="21"/>
          <w:vertAlign w:val="baseline"/>
        </w:rPr>
        <w:t>care</w:t>
      </w:r>
      <w:r>
        <w:rPr>
          <w:spacing w:val="-8"/>
          <w:sz w:val="21"/>
          <w:vertAlign w:val="baseline"/>
        </w:rPr>
        <w:t> </w:t>
      </w:r>
      <w:r>
        <w:rPr>
          <w:sz w:val="21"/>
          <w:vertAlign w:val="baseline"/>
        </w:rPr>
        <w:t>presents</w:t>
      </w:r>
      <w:r>
        <w:rPr>
          <w:spacing w:val="-8"/>
          <w:sz w:val="21"/>
          <w:vertAlign w:val="baseline"/>
        </w:rPr>
        <w:t> </w:t>
      </w:r>
      <w:r>
        <w:rPr>
          <w:sz w:val="21"/>
          <w:vertAlign w:val="baseline"/>
        </w:rPr>
        <w:t>its</w:t>
      </w:r>
      <w:r>
        <w:rPr>
          <w:spacing w:val="-8"/>
          <w:sz w:val="21"/>
          <w:vertAlign w:val="baseline"/>
        </w:rPr>
        <w:t> </w:t>
      </w:r>
      <w:r>
        <w:rPr>
          <w:sz w:val="21"/>
          <w:vertAlign w:val="baseline"/>
        </w:rPr>
        <w:t>own</w:t>
      </w:r>
      <w:r>
        <w:rPr>
          <w:spacing w:val="-8"/>
          <w:sz w:val="21"/>
          <w:vertAlign w:val="baseline"/>
        </w:rPr>
        <w:t> </w:t>
      </w:r>
      <w:r>
        <w:rPr>
          <w:sz w:val="21"/>
          <w:vertAlign w:val="baseline"/>
        </w:rPr>
        <w:t>set</w:t>
      </w:r>
      <w:r>
        <w:rPr>
          <w:spacing w:val="-8"/>
          <w:sz w:val="21"/>
          <w:vertAlign w:val="baseline"/>
        </w:rPr>
        <w:t> </w:t>
      </w:r>
      <w:r>
        <w:rPr>
          <w:sz w:val="21"/>
          <w:vertAlign w:val="baseline"/>
        </w:rPr>
        <w:t>of</w:t>
      </w:r>
      <w:r>
        <w:rPr>
          <w:spacing w:val="-8"/>
          <w:sz w:val="21"/>
          <w:vertAlign w:val="baseline"/>
        </w:rPr>
        <w:t> </w:t>
      </w:r>
      <w:r>
        <w:rPr>
          <w:sz w:val="21"/>
          <w:vertAlign w:val="baseline"/>
        </w:rPr>
        <w:t>challenges</w:t>
      </w:r>
      <w:r>
        <w:rPr>
          <w:spacing w:val="-8"/>
          <w:sz w:val="21"/>
          <w:vertAlign w:val="baseline"/>
        </w:rPr>
        <w:t> </w:t>
      </w:r>
      <w:r>
        <w:rPr>
          <w:sz w:val="21"/>
          <w:vertAlign w:val="baseline"/>
        </w:rPr>
        <w:t>for</w:t>
      </w:r>
      <w:r>
        <w:rPr>
          <w:spacing w:val="-8"/>
          <w:sz w:val="21"/>
          <w:vertAlign w:val="baseline"/>
        </w:rPr>
        <w:t> </w:t>
      </w:r>
      <w:r>
        <w:rPr>
          <w:sz w:val="21"/>
          <w:vertAlign w:val="baseline"/>
        </w:rPr>
        <w:t>LGBTQ</w:t>
      </w:r>
      <w:r>
        <w:rPr>
          <w:spacing w:val="-8"/>
          <w:sz w:val="21"/>
          <w:vertAlign w:val="baseline"/>
        </w:rPr>
        <w:t> </w:t>
      </w:r>
      <w:r>
        <w:rPr>
          <w:sz w:val="21"/>
          <w:vertAlign w:val="baseline"/>
        </w:rPr>
        <w:t>youth,</w:t>
      </w:r>
      <w:r>
        <w:rPr>
          <w:spacing w:val="-8"/>
          <w:sz w:val="21"/>
          <w:vertAlign w:val="baseline"/>
        </w:rPr>
        <w:t> </w:t>
      </w:r>
      <w:r>
        <w:rPr>
          <w:sz w:val="21"/>
          <w:vertAlign w:val="baseline"/>
        </w:rPr>
        <w:t>including</w:t>
      </w:r>
      <w:r>
        <w:rPr>
          <w:spacing w:val="-8"/>
          <w:sz w:val="21"/>
          <w:vertAlign w:val="baseline"/>
        </w:rPr>
        <w:t> </w:t>
      </w:r>
      <w:r>
        <w:rPr>
          <w:sz w:val="21"/>
          <w:vertAlign w:val="baseline"/>
        </w:rPr>
        <w:t>unstable housing, insufficient educational opportunities, unemployment, and physical and mental health issues, all of which heighten their risk of entanglement with the criminal legal system.</w:t>
      </w:r>
      <w:hyperlink w:history="true" w:anchor="_bookmark380">
        <w:r>
          <w:rPr>
            <w:sz w:val="21"/>
            <w:vertAlign w:val="superscript"/>
          </w:rPr>
          <w:t>64</w:t>
        </w:r>
      </w:hyperlink>
    </w:p>
    <w:p>
      <w:pPr>
        <w:spacing w:line="276" w:lineRule="auto" w:before="240"/>
        <w:ind w:left="463" w:right="237" w:firstLine="0"/>
        <w:jc w:val="both"/>
        <w:rPr>
          <w:sz w:val="21"/>
        </w:rPr>
      </w:pPr>
      <w:r>
        <w:rPr>
          <w:sz w:val="21"/>
        </w:rPr>
        <w:t>For</w:t>
      </w:r>
      <w:r>
        <w:rPr>
          <w:spacing w:val="-10"/>
          <w:sz w:val="21"/>
        </w:rPr>
        <w:t> </w:t>
      </w:r>
      <w:r>
        <w:rPr>
          <w:sz w:val="21"/>
        </w:rPr>
        <w:t>LGBTQ</w:t>
      </w:r>
      <w:r>
        <w:rPr>
          <w:spacing w:val="-10"/>
          <w:sz w:val="21"/>
        </w:rPr>
        <w:t> </w:t>
      </w:r>
      <w:r>
        <w:rPr>
          <w:sz w:val="21"/>
        </w:rPr>
        <w:t>youth,</w:t>
      </w:r>
      <w:r>
        <w:rPr>
          <w:spacing w:val="-10"/>
          <w:sz w:val="21"/>
        </w:rPr>
        <w:t> </w:t>
      </w:r>
      <w:r>
        <w:rPr>
          <w:sz w:val="21"/>
        </w:rPr>
        <w:t>the</w:t>
      </w:r>
      <w:r>
        <w:rPr>
          <w:spacing w:val="-10"/>
          <w:sz w:val="21"/>
        </w:rPr>
        <w:t> </w:t>
      </w:r>
      <w:r>
        <w:rPr>
          <w:sz w:val="21"/>
        </w:rPr>
        <w:t>inadequacies</w:t>
      </w:r>
      <w:r>
        <w:rPr>
          <w:spacing w:val="-10"/>
          <w:sz w:val="21"/>
        </w:rPr>
        <w:t> </w:t>
      </w:r>
      <w:r>
        <w:rPr>
          <w:sz w:val="21"/>
        </w:rPr>
        <w:t>of</w:t>
      </w:r>
      <w:r>
        <w:rPr>
          <w:spacing w:val="-10"/>
          <w:sz w:val="21"/>
        </w:rPr>
        <w:t> </w:t>
      </w:r>
      <w:r>
        <w:rPr>
          <w:sz w:val="21"/>
        </w:rPr>
        <w:t>the</w:t>
      </w:r>
      <w:r>
        <w:rPr>
          <w:spacing w:val="-10"/>
          <w:sz w:val="21"/>
        </w:rPr>
        <w:t> </w:t>
      </w:r>
      <w:r>
        <w:rPr>
          <w:sz w:val="21"/>
        </w:rPr>
        <w:t>child</w:t>
      </w:r>
      <w:r>
        <w:rPr>
          <w:spacing w:val="-10"/>
          <w:sz w:val="21"/>
        </w:rPr>
        <w:t> </w:t>
      </w:r>
      <w:r>
        <w:rPr>
          <w:sz w:val="21"/>
        </w:rPr>
        <w:t>welfare</w:t>
      </w:r>
      <w:r>
        <w:rPr>
          <w:spacing w:val="-10"/>
          <w:sz w:val="21"/>
        </w:rPr>
        <w:t> </w:t>
      </w:r>
      <w:r>
        <w:rPr>
          <w:sz w:val="21"/>
        </w:rPr>
        <w:t>system</w:t>
      </w:r>
      <w:r>
        <w:rPr>
          <w:spacing w:val="-10"/>
          <w:sz w:val="21"/>
        </w:rPr>
        <w:t> </w:t>
      </w:r>
      <w:r>
        <w:rPr>
          <w:sz w:val="21"/>
        </w:rPr>
        <w:t>often</w:t>
      </w:r>
      <w:r>
        <w:rPr>
          <w:spacing w:val="-10"/>
          <w:sz w:val="21"/>
        </w:rPr>
        <w:t> </w:t>
      </w:r>
      <w:r>
        <w:rPr>
          <w:sz w:val="21"/>
        </w:rPr>
        <w:t>force</w:t>
      </w:r>
      <w:r>
        <w:rPr>
          <w:spacing w:val="-10"/>
          <w:sz w:val="21"/>
        </w:rPr>
        <w:t> </w:t>
      </w:r>
      <w:r>
        <w:rPr>
          <w:sz w:val="21"/>
        </w:rPr>
        <w:t>a</w:t>
      </w:r>
      <w:r>
        <w:rPr>
          <w:spacing w:val="-10"/>
          <w:sz w:val="21"/>
        </w:rPr>
        <w:t> </w:t>
      </w:r>
      <w:r>
        <w:rPr>
          <w:sz w:val="21"/>
        </w:rPr>
        <w:t>dire</w:t>
      </w:r>
      <w:r>
        <w:rPr>
          <w:spacing w:val="-11"/>
          <w:sz w:val="21"/>
        </w:rPr>
        <w:t> </w:t>
      </w:r>
      <w:r>
        <w:rPr>
          <w:sz w:val="21"/>
        </w:rPr>
        <w:t>choice</w:t>
      </w:r>
      <w:r>
        <w:rPr>
          <w:spacing w:val="-10"/>
          <w:sz w:val="21"/>
        </w:rPr>
        <w:t> </w:t>
      </w:r>
      <w:r>
        <w:rPr>
          <w:sz w:val="21"/>
        </w:rPr>
        <w:t>between</w:t>
      </w:r>
      <w:r>
        <w:rPr>
          <w:spacing w:val="-10"/>
          <w:sz w:val="21"/>
        </w:rPr>
        <w:t> </w:t>
      </w:r>
      <w:r>
        <w:rPr>
          <w:sz w:val="21"/>
        </w:rPr>
        <w:t>remaining in an abusive environment or fleeing which can lead to homelessness, engaging in survival sex work, or becoming victims of trafficking. Even those who age out of the system encounter minimal support, facing unstable</w:t>
      </w:r>
      <w:r>
        <w:rPr>
          <w:spacing w:val="-4"/>
          <w:sz w:val="21"/>
        </w:rPr>
        <w:t> </w:t>
      </w:r>
      <w:r>
        <w:rPr>
          <w:sz w:val="21"/>
        </w:rPr>
        <w:t>housing,</w:t>
      </w:r>
      <w:r>
        <w:rPr>
          <w:spacing w:val="-4"/>
          <w:sz w:val="21"/>
        </w:rPr>
        <w:t> </w:t>
      </w:r>
      <w:r>
        <w:rPr>
          <w:sz w:val="21"/>
        </w:rPr>
        <w:t>inadequate</w:t>
      </w:r>
      <w:r>
        <w:rPr>
          <w:spacing w:val="-4"/>
          <w:sz w:val="21"/>
        </w:rPr>
        <w:t> </w:t>
      </w:r>
      <w:r>
        <w:rPr>
          <w:sz w:val="21"/>
        </w:rPr>
        <w:t>access</w:t>
      </w:r>
      <w:r>
        <w:rPr>
          <w:spacing w:val="-5"/>
          <w:sz w:val="21"/>
        </w:rPr>
        <w:t> </w:t>
      </w:r>
      <w:r>
        <w:rPr>
          <w:sz w:val="21"/>
        </w:rPr>
        <w:t>to</w:t>
      </w:r>
      <w:r>
        <w:rPr>
          <w:spacing w:val="-4"/>
          <w:sz w:val="21"/>
        </w:rPr>
        <w:t> </w:t>
      </w:r>
      <w:r>
        <w:rPr>
          <w:sz w:val="21"/>
        </w:rPr>
        <w:t>education,</w:t>
      </w:r>
      <w:r>
        <w:rPr>
          <w:spacing w:val="-4"/>
          <w:sz w:val="21"/>
        </w:rPr>
        <w:t> </w:t>
      </w:r>
      <w:r>
        <w:rPr>
          <w:sz w:val="21"/>
        </w:rPr>
        <w:t>unemployment,</w:t>
      </w:r>
      <w:r>
        <w:rPr>
          <w:spacing w:val="-4"/>
          <w:sz w:val="21"/>
        </w:rPr>
        <w:t> </w:t>
      </w:r>
      <w:r>
        <w:rPr>
          <w:sz w:val="21"/>
        </w:rPr>
        <w:t>and</w:t>
      </w:r>
      <w:r>
        <w:rPr>
          <w:spacing w:val="-4"/>
          <w:sz w:val="21"/>
        </w:rPr>
        <w:t> </w:t>
      </w:r>
      <w:r>
        <w:rPr>
          <w:sz w:val="21"/>
        </w:rPr>
        <w:t>health</w:t>
      </w:r>
      <w:r>
        <w:rPr>
          <w:spacing w:val="-4"/>
          <w:sz w:val="21"/>
        </w:rPr>
        <w:t> </w:t>
      </w:r>
      <w:r>
        <w:rPr>
          <w:sz w:val="21"/>
        </w:rPr>
        <w:t>issues,</w:t>
      </w:r>
      <w:r>
        <w:rPr>
          <w:spacing w:val="-4"/>
          <w:sz w:val="21"/>
        </w:rPr>
        <w:t> </w:t>
      </w:r>
      <w:r>
        <w:rPr>
          <w:sz w:val="21"/>
        </w:rPr>
        <w:t>which</w:t>
      </w:r>
      <w:r>
        <w:rPr>
          <w:spacing w:val="-4"/>
          <w:sz w:val="21"/>
        </w:rPr>
        <w:t> </w:t>
      </w:r>
      <w:r>
        <w:rPr>
          <w:sz w:val="21"/>
        </w:rPr>
        <w:t>can</w:t>
      </w:r>
      <w:r>
        <w:rPr>
          <w:spacing w:val="-4"/>
          <w:sz w:val="21"/>
        </w:rPr>
        <w:t> </w:t>
      </w:r>
      <w:r>
        <w:rPr>
          <w:sz w:val="21"/>
        </w:rPr>
        <w:t>spiral</w:t>
      </w:r>
      <w:r>
        <w:rPr>
          <w:spacing w:val="-4"/>
          <w:sz w:val="21"/>
        </w:rPr>
        <w:t> </w:t>
      </w:r>
      <w:r>
        <w:rPr>
          <w:sz w:val="21"/>
        </w:rPr>
        <w:t>into interactions with the juvenile legal system.</w:t>
      </w:r>
    </w:p>
    <w:p>
      <w:pPr>
        <w:spacing w:before="238"/>
        <w:ind w:left="464" w:right="0" w:firstLine="0"/>
        <w:jc w:val="both"/>
        <w:rPr>
          <w:sz w:val="26"/>
        </w:rPr>
      </w:pPr>
      <w:bookmarkStart w:name="The School-to-Prison Pipeline" w:id="546"/>
      <w:bookmarkEnd w:id="546"/>
      <w:r>
        <w:rPr/>
      </w:r>
      <w:r>
        <w:rPr>
          <w:color w:val="404040"/>
          <w:sz w:val="26"/>
        </w:rPr>
        <w:t>The</w:t>
      </w:r>
      <w:r>
        <w:rPr>
          <w:color w:val="404040"/>
          <w:spacing w:val="-6"/>
          <w:sz w:val="26"/>
        </w:rPr>
        <w:t> </w:t>
      </w:r>
      <w:r>
        <w:rPr>
          <w:color w:val="404040"/>
          <w:sz w:val="26"/>
        </w:rPr>
        <w:t>School-to-Prison</w:t>
      </w:r>
      <w:r>
        <w:rPr>
          <w:color w:val="404040"/>
          <w:spacing w:val="-7"/>
          <w:sz w:val="26"/>
        </w:rPr>
        <w:t> </w:t>
      </w:r>
      <w:r>
        <w:rPr>
          <w:color w:val="404040"/>
          <w:spacing w:val="-2"/>
          <w:sz w:val="26"/>
        </w:rPr>
        <w:t>Pipeline</w:t>
      </w:r>
    </w:p>
    <w:p>
      <w:pPr>
        <w:spacing w:line="276" w:lineRule="auto" w:before="242"/>
        <w:ind w:left="463" w:right="238" w:firstLine="0"/>
        <w:jc w:val="both"/>
        <w:rPr>
          <w:sz w:val="21"/>
        </w:rPr>
      </w:pPr>
      <w:r>
        <w:rPr>
          <w:sz w:val="21"/>
        </w:rPr>
        <w:t>According to recent data, a significant number of LGBTQ students going to school in Massachusetts have faced</w:t>
      </w:r>
      <w:r>
        <w:rPr>
          <w:spacing w:val="-12"/>
          <w:sz w:val="21"/>
        </w:rPr>
        <w:t> </w:t>
      </w:r>
      <w:r>
        <w:rPr>
          <w:sz w:val="21"/>
        </w:rPr>
        <w:t>discriminatory</w:t>
      </w:r>
      <w:r>
        <w:rPr>
          <w:spacing w:val="-12"/>
          <w:sz w:val="21"/>
        </w:rPr>
        <w:t> </w:t>
      </w:r>
      <w:r>
        <w:rPr>
          <w:sz w:val="21"/>
        </w:rPr>
        <w:t>policies</w:t>
      </w:r>
      <w:r>
        <w:rPr>
          <w:spacing w:val="-12"/>
          <w:sz w:val="21"/>
        </w:rPr>
        <w:t> </w:t>
      </w:r>
      <w:r>
        <w:rPr>
          <w:sz w:val="21"/>
        </w:rPr>
        <w:t>or</w:t>
      </w:r>
      <w:r>
        <w:rPr>
          <w:spacing w:val="-12"/>
          <w:sz w:val="21"/>
        </w:rPr>
        <w:t> </w:t>
      </w:r>
      <w:r>
        <w:rPr>
          <w:sz w:val="21"/>
        </w:rPr>
        <w:t>practices</w:t>
      </w:r>
      <w:r>
        <w:rPr>
          <w:spacing w:val="-12"/>
          <w:sz w:val="21"/>
        </w:rPr>
        <w:t> </w:t>
      </w:r>
      <w:r>
        <w:rPr>
          <w:sz w:val="21"/>
        </w:rPr>
        <w:t>within</w:t>
      </w:r>
      <w:r>
        <w:rPr>
          <w:spacing w:val="-12"/>
          <w:sz w:val="21"/>
        </w:rPr>
        <w:t> </w:t>
      </w:r>
      <w:r>
        <w:rPr>
          <w:sz w:val="21"/>
        </w:rPr>
        <w:t>their</w:t>
      </w:r>
      <w:r>
        <w:rPr>
          <w:spacing w:val="-11"/>
          <w:sz w:val="21"/>
        </w:rPr>
        <w:t> </w:t>
      </w:r>
      <w:r>
        <w:rPr>
          <w:sz w:val="21"/>
        </w:rPr>
        <w:t>schools.</w:t>
      </w:r>
      <w:r>
        <w:rPr>
          <w:spacing w:val="-12"/>
          <w:sz w:val="21"/>
        </w:rPr>
        <w:t> </w:t>
      </w:r>
      <w:r>
        <w:rPr>
          <w:sz w:val="21"/>
        </w:rPr>
        <w:t>Over</w:t>
      </w:r>
      <w:r>
        <w:rPr>
          <w:spacing w:val="-12"/>
          <w:sz w:val="21"/>
        </w:rPr>
        <w:t> </w:t>
      </w:r>
      <w:r>
        <w:rPr>
          <w:sz w:val="21"/>
        </w:rPr>
        <w:t>40%</w:t>
      </w:r>
      <w:r>
        <w:rPr>
          <w:spacing w:val="-11"/>
          <w:sz w:val="21"/>
        </w:rPr>
        <w:t> </w:t>
      </w:r>
      <w:r>
        <w:rPr>
          <w:sz w:val="21"/>
        </w:rPr>
        <w:t>of</w:t>
      </w:r>
      <w:r>
        <w:rPr>
          <w:spacing w:val="-12"/>
          <w:sz w:val="21"/>
        </w:rPr>
        <w:t> </w:t>
      </w:r>
      <w:r>
        <w:rPr>
          <w:sz w:val="21"/>
        </w:rPr>
        <w:t>these</w:t>
      </w:r>
      <w:r>
        <w:rPr>
          <w:spacing w:val="-12"/>
          <w:sz w:val="21"/>
        </w:rPr>
        <w:t> </w:t>
      </w:r>
      <w:r>
        <w:rPr>
          <w:sz w:val="21"/>
        </w:rPr>
        <w:t>students</w:t>
      </w:r>
      <w:r>
        <w:rPr>
          <w:spacing w:val="-12"/>
          <w:sz w:val="21"/>
        </w:rPr>
        <w:t> </w:t>
      </w:r>
      <w:r>
        <w:rPr>
          <w:sz w:val="21"/>
        </w:rPr>
        <w:t>have</w:t>
      </w:r>
      <w:r>
        <w:rPr>
          <w:spacing w:val="-12"/>
          <w:sz w:val="21"/>
        </w:rPr>
        <w:t> </w:t>
      </w:r>
      <w:r>
        <w:rPr>
          <w:sz w:val="21"/>
        </w:rPr>
        <w:t>experienced some form of anti-LGBTQ discrimination. </w:t>
      </w:r>
      <w:hyperlink w:history="true" w:anchor="_bookmark381">
        <w:r>
          <w:rPr>
            <w:sz w:val="21"/>
            <w:vertAlign w:val="superscript"/>
          </w:rPr>
          <w:t>65</w:t>
        </w:r>
      </w:hyperlink>
      <w:r>
        <w:rPr>
          <w:sz w:val="21"/>
          <w:vertAlign w:val="baseline"/>
        </w:rPr>
        <w:t> This includes being barred from using chosen names or pronouns (14%), using gender-aligned bathrooms (16%), and accessing appropriate locker rooms (12%).</w:t>
      </w:r>
      <w:hyperlink w:history="true" w:anchor="_bookmark382">
        <w:r>
          <w:rPr>
            <w:sz w:val="21"/>
            <w:vertAlign w:val="superscript"/>
          </w:rPr>
          <w:t>66</w:t>
        </w:r>
      </w:hyperlink>
      <w:r>
        <w:rPr>
          <w:sz w:val="21"/>
          <w:vertAlign w:val="baseline"/>
        </w:rPr>
        <w:t> And, 14% of LGBTQ youth have faced disciplinary action for public displays of affection, not similarly enforced against non-LGBTQ students.</w:t>
      </w:r>
      <w:hyperlink w:history="true" w:anchor="_bookmark383">
        <w:r>
          <w:rPr>
            <w:sz w:val="21"/>
            <w:vertAlign w:val="superscript"/>
          </w:rPr>
          <w:t>67</w:t>
        </w:r>
      </w:hyperlink>
      <w:r>
        <w:rPr>
          <w:spacing w:val="-2"/>
          <w:sz w:val="21"/>
          <w:vertAlign w:val="baseline"/>
        </w:rPr>
        <w:t> </w:t>
      </w:r>
      <w:r>
        <w:rPr>
          <w:sz w:val="21"/>
          <w:vertAlign w:val="baseline"/>
        </w:rPr>
        <w:t>Some students have also reported being restricted from wearing</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1" w:firstLine="0"/>
        <w:jc w:val="both"/>
        <w:rPr>
          <w:sz w:val="21"/>
        </w:rPr>
      </w:pPr>
      <w:r>
        <w:rPr>
          <w:sz w:val="21"/>
        </w:rPr>
        <w:t>clothing</w:t>
      </w:r>
      <w:r>
        <w:rPr>
          <w:spacing w:val="-12"/>
          <w:sz w:val="21"/>
        </w:rPr>
        <w:t> </w:t>
      </w:r>
      <w:r>
        <w:rPr>
          <w:sz w:val="21"/>
        </w:rPr>
        <w:t>considered</w:t>
      </w:r>
      <w:r>
        <w:rPr>
          <w:spacing w:val="-11"/>
          <w:sz w:val="21"/>
        </w:rPr>
        <w:t> </w:t>
      </w:r>
      <w:r>
        <w:rPr>
          <w:sz w:val="21"/>
        </w:rPr>
        <w:t>"inappropriate"</w:t>
      </w:r>
      <w:r>
        <w:rPr>
          <w:spacing w:val="-12"/>
          <w:sz w:val="21"/>
        </w:rPr>
        <w:t> </w:t>
      </w:r>
      <w:r>
        <w:rPr>
          <w:sz w:val="21"/>
        </w:rPr>
        <w:t>based</w:t>
      </w:r>
      <w:r>
        <w:rPr>
          <w:spacing w:val="-11"/>
          <w:sz w:val="21"/>
        </w:rPr>
        <w:t> </w:t>
      </w:r>
      <w:r>
        <w:rPr>
          <w:sz w:val="21"/>
        </w:rPr>
        <w:t>on</w:t>
      </w:r>
      <w:r>
        <w:rPr>
          <w:spacing w:val="-11"/>
          <w:sz w:val="21"/>
        </w:rPr>
        <w:t> </w:t>
      </w:r>
      <w:r>
        <w:rPr>
          <w:sz w:val="21"/>
        </w:rPr>
        <w:t>gender</w:t>
      </w:r>
      <w:r>
        <w:rPr>
          <w:spacing w:val="-11"/>
          <w:sz w:val="21"/>
        </w:rPr>
        <w:t> </w:t>
      </w:r>
      <w:r>
        <w:rPr>
          <w:sz w:val="21"/>
        </w:rPr>
        <w:t>(11%)</w:t>
      </w:r>
      <w:r>
        <w:rPr>
          <w:spacing w:val="-11"/>
          <w:sz w:val="21"/>
        </w:rPr>
        <w:t> </w:t>
      </w:r>
      <w:r>
        <w:rPr>
          <w:sz w:val="21"/>
        </w:rPr>
        <w:t>or</w:t>
      </w:r>
      <w:r>
        <w:rPr>
          <w:spacing w:val="-11"/>
          <w:sz w:val="21"/>
        </w:rPr>
        <w:t> </w:t>
      </w:r>
      <w:r>
        <w:rPr>
          <w:sz w:val="21"/>
        </w:rPr>
        <w:t>from</w:t>
      </w:r>
      <w:r>
        <w:rPr>
          <w:spacing w:val="-11"/>
          <w:sz w:val="21"/>
        </w:rPr>
        <w:t> </w:t>
      </w:r>
      <w:r>
        <w:rPr>
          <w:sz w:val="21"/>
        </w:rPr>
        <w:t>participating</w:t>
      </w:r>
      <w:r>
        <w:rPr>
          <w:spacing w:val="-12"/>
          <w:sz w:val="21"/>
        </w:rPr>
        <w:t> </w:t>
      </w:r>
      <w:r>
        <w:rPr>
          <w:sz w:val="21"/>
        </w:rPr>
        <w:t>in</w:t>
      </w:r>
      <w:r>
        <w:rPr>
          <w:spacing w:val="-11"/>
          <w:sz w:val="21"/>
        </w:rPr>
        <w:t> </w:t>
      </w:r>
      <w:r>
        <w:rPr>
          <w:sz w:val="21"/>
        </w:rPr>
        <w:t>sports</w:t>
      </w:r>
      <w:r>
        <w:rPr>
          <w:spacing w:val="-12"/>
          <w:sz w:val="21"/>
        </w:rPr>
        <w:t> </w:t>
      </w:r>
      <w:r>
        <w:rPr>
          <w:sz w:val="21"/>
        </w:rPr>
        <w:t>teams</w:t>
      </w:r>
      <w:r>
        <w:rPr>
          <w:spacing w:val="-12"/>
          <w:sz w:val="21"/>
        </w:rPr>
        <w:t> </w:t>
      </w:r>
      <w:r>
        <w:rPr>
          <w:sz w:val="21"/>
        </w:rPr>
        <w:t>consistent with their gender identity (7%).</w:t>
      </w:r>
      <w:hyperlink w:history="true" w:anchor="_bookmark384">
        <w:r>
          <w:rPr>
            <w:sz w:val="21"/>
            <w:vertAlign w:val="superscript"/>
          </w:rPr>
          <w:t>68</w:t>
        </w:r>
      </w:hyperlink>
      <w:r>
        <w:rPr>
          <w:spacing w:val="-2"/>
          <w:sz w:val="21"/>
          <w:vertAlign w:val="baseline"/>
        </w:rPr>
        <w:t> </w:t>
      </w:r>
      <w:r>
        <w:rPr>
          <w:sz w:val="21"/>
          <w:vertAlign w:val="baseline"/>
        </w:rPr>
        <w:t>Transgender and nonbinary students have disproportionately high rates of gender discrimination in schools,</w:t>
      </w:r>
      <w:hyperlink w:history="true" w:anchor="_bookmark385">
        <w:r>
          <w:rPr>
            <w:sz w:val="21"/>
            <w:vertAlign w:val="superscript"/>
          </w:rPr>
          <w:t>69</w:t>
        </w:r>
      </w:hyperlink>
      <w:r>
        <w:rPr>
          <w:spacing w:val="-2"/>
          <w:sz w:val="21"/>
          <w:vertAlign w:val="baseline"/>
        </w:rPr>
        <w:t> </w:t>
      </w:r>
      <w:r>
        <w:rPr>
          <w:sz w:val="21"/>
          <w:vertAlign w:val="baseline"/>
        </w:rPr>
        <w:t>with data showing that transgender students have reported being prevented</w:t>
      </w:r>
      <w:r>
        <w:rPr>
          <w:spacing w:val="-3"/>
          <w:sz w:val="21"/>
          <w:vertAlign w:val="baseline"/>
        </w:rPr>
        <w:t> </w:t>
      </w:r>
      <w:r>
        <w:rPr>
          <w:sz w:val="21"/>
          <w:vertAlign w:val="baseline"/>
        </w:rPr>
        <w:t>from</w:t>
      </w:r>
      <w:r>
        <w:rPr>
          <w:spacing w:val="-3"/>
          <w:sz w:val="21"/>
          <w:vertAlign w:val="baseline"/>
        </w:rPr>
        <w:t> </w:t>
      </w:r>
      <w:r>
        <w:rPr>
          <w:sz w:val="21"/>
          <w:vertAlign w:val="baseline"/>
        </w:rPr>
        <w:t>using</w:t>
      </w:r>
      <w:r>
        <w:rPr>
          <w:spacing w:val="-3"/>
          <w:sz w:val="21"/>
          <w:vertAlign w:val="baseline"/>
        </w:rPr>
        <w:t> </w:t>
      </w:r>
      <w:r>
        <w:rPr>
          <w:sz w:val="21"/>
          <w:vertAlign w:val="baseline"/>
        </w:rPr>
        <w:t>their</w:t>
      </w:r>
      <w:r>
        <w:rPr>
          <w:spacing w:val="-4"/>
          <w:sz w:val="21"/>
          <w:vertAlign w:val="baseline"/>
        </w:rPr>
        <w:t> </w:t>
      </w:r>
      <w:r>
        <w:rPr>
          <w:sz w:val="21"/>
          <w:vertAlign w:val="baseline"/>
        </w:rPr>
        <w:t>chosen</w:t>
      </w:r>
      <w:r>
        <w:rPr>
          <w:spacing w:val="-3"/>
          <w:sz w:val="21"/>
          <w:vertAlign w:val="baseline"/>
        </w:rPr>
        <w:t> </w:t>
      </w:r>
      <w:r>
        <w:rPr>
          <w:sz w:val="21"/>
          <w:vertAlign w:val="baseline"/>
        </w:rPr>
        <w:t>name</w:t>
      </w:r>
      <w:r>
        <w:rPr>
          <w:spacing w:val="-4"/>
          <w:sz w:val="21"/>
          <w:vertAlign w:val="baseline"/>
        </w:rPr>
        <w:t> </w:t>
      </w:r>
      <w:r>
        <w:rPr>
          <w:sz w:val="21"/>
          <w:vertAlign w:val="baseline"/>
        </w:rPr>
        <w:t>or</w:t>
      </w:r>
      <w:r>
        <w:rPr>
          <w:spacing w:val="-3"/>
          <w:sz w:val="21"/>
          <w:vertAlign w:val="baseline"/>
        </w:rPr>
        <w:t> </w:t>
      </w:r>
      <w:r>
        <w:rPr>
          <w:sz w:val="21"/>
          <w:vertAlign w:val="baseline"/>
        </w:rPr>
        <w:t>pronouns</w:t>
      </w:r>
      <w:r>
        <w:rPr>
          <w:spacing w:val="-4"/>
          <w:sz w:val="21"/>
          <w:vertAlign w:val="baseline"/>
        </w:rPr>
        <w:t> </w:t>
      </w:r>
      <w:r>
        <w:rPr>
          <w:sz w:val="21"/>
          <w:vertAlign w:val="baseline"/>
        </w:rPr>
        <w:t>(23%),</w:t>
      </w:r>
      <w:r>
        <w:rPr>
          <w:spacing w:val="-2"/>
          <w:sz w:val="21"/>
          <w:vertAlign w:val="baseline"/>
        </w:rPr>
        <w:t> </w:t>
      </w:r>
      <w:r>
        <w:rPr>
          <w:sz w:val="21"/>
          <w:vertAlign w:val="baseline"/>
        </w:rPr>
        <w:t>accessing</w:t>
      </w:r>
      <w:r>
        <w:rPr>
          <w:spacing w:val="-3"/>
          <w:sz w:val="21"/>
          <w:vertAlign w:val="baseline"/>
        </w:rPr>
        <w:t> </w:t>
      </w:r>
      <w:r>
        <w:rPr>
          <w:sz w:val="21"/>
          <w:vertAlign w:val="baseline"/>
        </w:rPr>
        <w:t>bathrooms</w:t>
      </w:r>
      <w:r>
        <w:rPr>
          <w:spacing w:val="-3"/>
          <w:sz w:val="21"/>
          <w:vertAlign w:val="baseline"/>
        </w:rPr>
        <w:t> </w:t>
      </w:r>
      <w:r>
        <w:rPr>
          <w:sz w:val="21"/>
          <w:vertAlign w:val="baseline"/>
        </w:rPr>
        <w:t>(26%)</w:t>
      </w:r>
      <w:r>
        <w:rPr>
          <w:spacing w:val="-3"/>
          <w:sz w:val="21"/>
          <w:vertAlign w:val="baseline"/>
        </w:rPr>
        <w:t> </w:t>
      </w:r>
      <w:r>
        <w:rPr>
          <w:sz w:val="21"/>
          <w:vertAlign w:val="baseline"/>
        </w:rPr>
        <w:t>and</w:t>
      </w:r>
      <w:r>
        <w:rPr>
          <w:spacing w:val="-3"/>
          <w:sz w:val="21"/>
          <w:vertAlign w:val="baseline"/>
        </w:rPr>
        <w:t> </w:t>
      </w:r>
      <w:r>
        <w:rPr>
          <w:sz w:val="21"/>
          <w:vertAlign w:val="baseline"/>
        </w:rPr>
        <w:t>locker</w:t>
      </w:r>
      <w:r>
        <w:rPr>
          <w:spacing w:val="-3"/>
          <w:sz w:val="21"/>
          <w:vertAlign w:val="baseline"/>
        </w:rPr>
        <w:t> </w:t>
      </w:r>
      <w:r>
        <w:rPr>
          <w:sz w:val="21"/>
          <w:vertAlign w:val="baseline"/>
        </w:rPr>
        <w:t>rooms (19%) matching their gender, wearing certain clothing (13%), and playing on sports teams that align with their gender (11%).</w:t>
      </w:r>
      <w:hyperlink w:history="true" w:anchor="_bookmark386">
        <w:r>
          <w:rPr>
            <w:sz w:val="21"/>
            <w:vertAlign w:val="superscript"/>
          </w:rPr>
          <w:t>70</w:t>
        </w:r>
      </w:hyperlink>
    </w:p>
    <w:p>
      <w:pPr>
        <w:spacing w:line="276" w:lineRule="auto" w:before="240"/>
        <w:ind w:left="464" w:right="239" w:firstLine="0"/>
        <w:jc w:val="both"/>
        <w:rPr>
          <w:sz w:val="21"/>
        </w:rPr>
      </w:pPr>
      <w:r>
        <w:rPr>
          <w:sz w:val="21"/>
        </w:rPr>
        <w:t>LGBTQ students face high rates of bullying and harassment in Massachusetts, including at school and at home.</w:t>
      </w:r>
      <w:r>
        <w:rPr>
          <w:spacing w:val="-12"/>
          <w:sz w:val="21"/>
        </w:rPr>
        <w:t> </w:t>
      </w:r>
      <w:r>
        <w:rPr>
          <w:sz w:val="21"/>
        </w:rPr>
        <w:t>Recent</w:t>
      </w:r>
      <w:r>
        <w:rPr>
          <w:spacing w:val="-12"/>
          <w:sz w:val="21"/>
        </w:rPr>
        <w:t> </w:t>
      </w:r>
      <w:r>
        <w:rPr>
          <w:sz w:val="21"/>
        </w:rPr>
        <w:t>data</w:t>
      </w:r>
      <w:r>
        <w:rPr>
          <w:spacing w:val="-10"/>
          <w:sz w:val="21"/>
        </w:rPr>
        <w:t> </w:t>
      </w:r>
      <w:r>
        <w:rPr>
          <w:sz w:val="21"/>
        </w:rPr>
        <w:t>indicates</w:t>
      </w:r>
      <w:r>
        <w:rPr>
          <w:spacing w:val="-12"/>
          <w:sz w:val="21"/>
        </w:rPr>
        <w:t> </w:t>
      </w:r>
      <w:r>
        <w:rPr>
          <w:sz w:val="21"/>
        </w:rPr>
        <w:t>that</w:t>
      </w:r>
      <w:r>
        <w:rPr>
          <w:spacing w:val="-11"/>
          <w:sz w:val="21"/>
        </w:rPr>
        <w:t> </w:t>
      </w:r>
      <w:r>
        <w:rPr>
          <w:sz w:val="21"/>
        </w:rPr>
        <w:t>1</w:t>
      </w:r>
      <w:r>
        <w:rPr>
          <w:spacing w:val="-11"/>
          <w:sz w:val="21"/>
        </w:rPr>
        <w:t> </w:t>
      </w:r>
      <w:r>
        <w:rPr>
          <w:sz w:val="21"/>
        </w:rPr>
        <w:t>in</w:t>
      </w:r>
      <w:r>
        <w:rPr>
          <w:spacing w:val="-11"/>
          <w:sz w:val="21"/>
        </w:rPr>
        <w:t> </w:t>
      </w:r>
      <w:r>
        <w:rPr>
          <w:sz w:val="21"/>
        </w:rPr>
        <w:t>3</w:t>
      </w:r>
      <w:r>
        <w:rPr>
          <w:spacing w:val="-12"/>
          <w:sz w:val="21"/>
        </w:rPr>
        <w:t> </w:t>
      </w:r>
      <w:r>
        <w:rPr>
          <w:sz w:val="21"/>
        </w:rPr>
        <w:t>LGBTQ</w:t>
      </w:r>
      <w:r>
        <w:rPr>
          <w:spacing w:val="-11"/>
          <w:sz w:val="21"/>
        </w:rPr>
        <w:t> </w:t>
      </w:r>
      <w:r>
        <w:rPr>
          <w:sz w:val="21"/>
        </w:rPr>
        <w:t>youth</w:t>
      </w:r>
      <w:r>
        <w:rPr>
          <w:spacing w:val="-11"/>
          <w:sz w:val="21"/>
        </w:rPr>
        <w:t> </w:t>
      </w:r>
      <w:r>
        <w:rPr>
          <w:sz w:val="21"/>
        </w:rPr>
        <w:t>have</w:t>
      </w:r>
      <w:r>
        <w:rPr>
          <w:spacing w:val="-12"/>
          <w:sz w:val="21"/>
        </w:rPr>
        <w:t> </w:t>
      </w:r>
      <w:r>
        <w:rPr>
          <w:sz w:val="21"/>
        </w:rPr>
        <w:t>experienced</w:t>
      </w:r>
      <w:r>
        <w:rPr>
          <w:spacing w:val="-11"/>
          <w:sz w:val="21"/>
        </w:rPr>
        <w:t> </w:t>
      </w:r>
      <w:r>
        <w:rPr>
          <w:sz w:val="21"/>
        </w:rPr>
        <w:t>threat</w:t>
      </w:r>
      <w:r>
        <w:rPr>
          <w:spacing w:val="-11"/>
          <w:sz w:val="21"/>
        </w:rPr>
        <w:t> </w:t>
      </w:r>
      <w:r>
        <w:rPr>
          <w:sz w:val="21"/>
        </w:rPr>
        <w:t>or</w:t>
      </w:r>
      <w:r>
        <w:rPr>
          <w:spacing w:val="-11"/>
          <w:sz w:val="21"/>
        </w:rPr>
        <w:t> </w:t>
      </w:r>
      <w:r>
        <w:rPr>
          <w:sz w:val="21"/>
        </w:rPr>
        <w:t>harm</w:t>
      </w:r>
      <w:r>
        <w:rPr>
          <w:spacing w:val="-12"/>
          <w:sz w:val="21"/>
        </w:rPr>
        <w:t> </w:t>
      </w:r>
      <w:r>
        <w:rPr>
          <w:sz w:val="21"/>
        </w:rPr>
        <w:t>based</w:t>
      </w:r>
      <w:r>
        <w:rPr>
          <w:spacing w:val="-11"/>
          <w:sz w:val="21"/>
        </w:rPr>
        <w:t> </w:t>
      </w:r>
      <w:r>
        <w:rPr>
          <w:sz w:val="21"/>
        </w:rPr>
        <w:t>on</w:t>
      </w:r>
      <w:r>
        <w:rPr>
          <w:spacing w:val="-11"/>
          <w:sz w:val="21"/>
        </w:rPr>
        <w:t> </w:t>
      </w:r>
      <w:r>
        <w:rPr>
          <w:sz w:val="21"/>
        </w:rPr>
        <w:t>their</w:t>
      </w:r>
      <w:r>
        <w:rPr>
          <w:spacing w:val="-12"/>
          <w:sz w:val="21"/>
        </w:rPr>
        <w:t> </w:t>
      </w:r>
      <w:r>
        <w:rPr>
          <w:sz w:val="21"/>
        </w:rPr>
        <w:t>sexual orientation or gender identity, and nearly 70% have experienced discrimination on this basis.</w:t>
      </w:r>
      <w:hyperlink w:history="true" w:anchor="_bookmark387">
        <w:r>
          <w:rPr>
            <w:sz w:val="21"/>
            <w:vertAlign w:val="superscript"/>
          </w:rPr>
          <w:t>71</w:t>
        </w:r>
      </w:hyperlink>
      <w:r>
        <w:rPr>
          <w:spacing w:val="-2"/>
          <w:sz w:val="21"/>
          <w:vertAlign w:val="baseline"/>
        </w:rPr>
        <w:t> </w:t>
      </w:r>
      <w:r>
        <w:rPr>
          <w:sz w:val="21"/>
          <w:vertAlign w:val="baseline"/>
        </w:rPr>
        <w:t>Only 29% of LGBTQ youth have identified home as an LGBTQ affirming space, indicating an overall lack of familial support that can impact their wellbeing.</w:t>
      </w:r>
      <w:hyperlink w:history="true" w:anchor="_bookmark388">
        <w:r>
          <w:rPr>
            <w:sz w:val="21"/>
            <w:vertAlign w:val="superscript"/>
          </w:rPr>
          <w:t>72</w:t>
        </w:r>
      </w:hyperlink>
      <w:r>
        <w:rPr>
          <w:spacing w:val="-2"/>
          <w:sz w:val="21"/>
          <w:vertAlign w:val="baseline"/>
        </w:rPr>
        <w:t> </w:t>
      </w:r>
      <w:r>
        <w:rPr>
          <w:sz w:val="21"/>
          <w:vertAlign w:val="baseline"/>
        </w:rPr>
        <w:t>A significant portion of LGBTQ students feel unsupported in the face of harassment.</w:t>
      </w:r>
      <w:hyperlink w:history="true" w:anchor="_bookmark389">
        <w:r>
          <w:rPr>
            <w:sz w:val="21"/>
            <w:vertAlign w:val="superscript"/>
          </w:rPr>
          <w:t>73</w:t>
        </w:r>
      </w:hyperlink>
      <w:r>
        <w:rPr>
          <w:spacing w:val="-1"/>
          <w:sz w:val="21"/>
          <w:vertAlign w:val="baseline"/>
        </w:rPr>
        <w:t> </w:t>
      </w:r>
      <w:r>
        <w:rPr>
          <w:sz w:val="21"/>
          <w:vertAlign w:val="baseline"/>
        </w:rPr>
        <w:t>And 61% of LGBTQ youth who experienced harassment did not report it to school authorities,</w:t>
      </w:r>
      <w:r>
        <w:rPr>
          <w:spacing w:val="-5"/>
          <w:sz w:val="21"/>
          <w:vertAlign w:val="baseline"/>
        </w:rPr>
        <w:t> </w:t>
      </w:r>
      <w:r>
        <w:rPr>
          <w:sz w:val="21"/>
          <w:vertAlign w:val="baseline"/>
        </w:rPr>
        <w:t>citing</w:t>
      </w:r>
      <w:r>
        <w:rPr>
          <w:spacing w:val="-6"/>
          <w:sz w:val="21"/>
          <w:vertAlign w:val="baseline"/>
        </w:rPr>
        <w:t> </w:t>
      </w:r>
      <w:r>
        <w:rPr>
          <w:sz w:val="21"/>
          <w:vertAlign w:val="baseline"/>
        </w:rPr>
        <w:t>fears</w:t>
      </w:r>
      <w:r>
        <w:rPr>
          <w:spacing w:val="-6"/>
          <w:sz w:val="21"/>
          <w:vertAlign w:val="baseline"/>
        </w:rPr>
        <w:t> </w:t>
      </w:r>
      <w:r>
        <w:rPr>
          <w:sz w:val="21"/>
          <w:vertAlign w:val="baseline"/>
        </w:rPr>
        <w:t>of</w:t>
      </w:r>
      <w:r>
        <w:rPr>
          <w:spacing w:val="-6"/>
          <w:sz w:val="21"/>
          <w:vertAlign w:val="baseline"/>
        </w:rPr>
        <w:t> </w:t>
      </w:r>
      <w:r>
        <w:rPr>
          <w:sz w:val="21"/>
          <w:vertAlign w:val="baseline"/>
        </w:rPr>
        <w:t>repercussions</w:t>
      </w:r>
      <w:r>
        <w:rPr>
          <w:spacing w:val="-6"/>
          <w:sz w:val="21"/>
          <w:vertAlign w:val="baseline"/>
        </w:rPr>
        <w:t> </w:t>
      </w:r>
      <w:r>
        <w:rPr>
          <w:sz w:val="21"/>
          <w:vertAlign w:val="baseline"/>
        </w:rPr>
        <w:t>or</w:t>
      </w:r>
      <w:r>
        <w:rPr>
          <w:spacing w:val="-5"/>
          <w:sz w:val="21"/>
          <w:vertAlign w:val="baseline"/>
        </w:rPr>
        <w:t> </w:t>
      </w:r>
      <w:r>
        <w:rPr>
          <w:sz w:val="21"/>
          <w:vertAlign w:val="baseline"/>
        </w:rPr>
        <w:t>doubts</w:t>
      </w:r>
      <w:r>
        <w:rPr>
          <w:spacing w:val="-6"/>
          <w:sz w:val="21"/>
          <w:vertAlign w:val="baseline"/>
        </w:rPr>
        <w:t> </w:t>
      </w:r>
      <w:r>
        <w:rPr>
          <w:sz w:val="21"/>
          <w:vertAlign w:val="baseline"/>
        </w:rPr>
        <w:t>about</w:t>
      </w:r>
      <w:r>
        <w:rPr>
          <w:spacing w:val="-5"/>
          <w:sz w:val="21"/>
          <w:vertAlign w:val="baseline"/>
        </w:rPr>
        <w:t> </w:t>
      </w:r>
      <w:r>
        <w:rPr>
          <w:sz w:val="21"/>
          <w:vertAlign w:val="baseline"/>
        </w:rPr>
        <w:t>receiving</w:t>
      </w:r>
      <w:r>
        <w:rPr>
          <w:spacing w:val="-6"/>
          <w:sz w:val="21"/>
          <w:vertAlign w:val="baseline"/>
        </w:rPr>
        <w:t> </w:t>
      </w:r>
      <w:r>
        <w:rPr>
          <w:sz w:val="21"/>
          <w:vertAlign w:val="baseline"/>
        </w:rPr>
        <w:t>adequate</w:t>
      </w:r>
      <w:r>
        <w:rPr>
          <w:spacing w:val="-5"/>
          <w:sz w:val="21"/>
          <w:vertAlign w:val="baseline"/>
        </w:rPr>
        <w:t> </w:t>
      </w:r>
      <w:r>
        <w:rPr>
          <w:sz w:val="21"/>
          <w:vertAlign w:val="baseline"/>
        </w:rPr>
        <w:t>assistance.</w:t>
      </w:r>
      <w:r>
        <w:rPr>
          <w:spacing w:val="-6"/>
          <w:sz w:val="21"/>
          <w:vertAlign w:val="baseline"/>
        </w:rPr>
        <w:t> </w:t>
      </w:r>
      <w:r>
        <w:rPr>
          <w:sz w:val="21"/>
          <w:vertAlign w:val="baseline"/>
        </w:rPr>
        <w:t>This</w:t>
      </w:r>
      <w:r>
        <w:rPr>
          <w:spacing w:val="-6"/>
          <w:sz w:val="21"/>
          <w:vertAlign w:val="baseline"/>
        </w:rPr>
        <w:t> </w:t>
      </w:r>
      <w:r>
        <w:rPr>
          <w:sz w:val="21"/>
          <w:vertAlign w:val="baseline"/>
        </w:rPr>
        <w:t>lack</w:t>
      </w:r>
      <w:r>
        <w:rPr>
          <w:spacing w:val="-6"/>
          <w:sz w:val="21"/>
          <w:vertAlign w:val="baseline"/>
        </w:rPr>
        <w:t> </w:t>
      </w:r>
      <w:r>
        <w:rPr>
          <w:sz w:val="21"/>
          <w:vertAlign w:val="baseline"/>
        </w:rPr>
        <w:t>of</w:t>
      </w:r>
      <w:r>
        <w:rPr>
          <w:spacing w:val="-6"/>
          <w:sz w:val="21"/>
          <w:vertAlign w:val="baseline"/>
        </w:rPr>
        <w:t> </w:t>
      </w:r>
      <w:r>
        <w:rPr>
          <w:sz w:val="21"/>
          <w:vertAlign w:val="baseline"/>
        </w:rPr>
        <w:t>trust</w:t>
      </w:r>
      <w:r>
        <w:rPr>
          <w:spacing w:val="-6"/>
          <w:sz w:val="21"/>
          <w:vertAlign w:val="baseline"/>
        </w:rPr>
        <w:t> </w:t>
      </w:r>
      <w:r>
        <w:rPr>
          <w:sz w:val="21"/>
          <w:vertAlign w:val="baseline"/>
        </w:rPr>
        <w:t>is further</w:t>
      </w:r>
      <w:r>
        <w:rPr>
          <w:spacing w:val="-2"/>
          <w:sz w:val="21"/>
          <w:vertAlign w:val="baseline"/>
        </w:rPr>
        <w:t> </w:t>
      </w:r>
      <w:r>
        <w:rPr>
          <w:sz w:val="21"/>
          <w:vertAlign w:val="baseline"/>
        </w:rPr>
        <w:t>exacerbated</w:t>
      </w:r>
      <w:r>
        <w:rPr>
          <w:spacing w:val="-2"/>
          <w:sz w:val="21"/>
          <w:vertAlign w:val="baseline"/>
        </w:rPr>
        <w:t> </w:t>
      </w:r>
      <w:r>
        <w:rPr>
          <w:sz w:val="21"/>
          <w:vertAlign w:val="baseline"/>
        </w:rPr>
        <w:t>by</w:t>
      </w:r>
      <w:r>
        <w:rPr>
          <w:spacing w:val="-3"/>
          <w:sz w:val="21"/>
          <w:vertAlign w:val="baseline"/>
        </w:rPr>
        <w:t> </w:t>
      </w:r>
      <w:r>
        <w:rPr>
          <w:sz w:val="21"/>
          <w:vertAlign w:val="baseline"/>
        </w:rPr>
        <w:t>the</w:t>
      </w:r>
      <w:r>
        <w:rPr>
          <w:spacing w:val="-3"/>
          <w:sz w:val="21"/>
          <w:vertAlign w:val="baseline"/>
        </w:rPr>
        <w:t> </w:t>
      </w:r>
      <w:r>
        <w:rPr>
          <w:sz w:val="21"/>
          <w:vertAlign w:val="baseline"/>
        </w:rPr>
        <w:t>patterned,</w:t>
      </w:r>
      <w:r>
        <w:rPr>
          <w:spacing w:val="-3"/>
          <w:sz w:val="21"/>
          <w:vertAlign w:val="baseline"/>
        </w:rPr>
        <w:t> </w:t>
      </w:r>
      <w:r>
        <w:rPr>
          <w:sz w:val="21"/>
          <w:vertAlign w:val="baseline"/>
        </w:rPr>
        <w:t>negative</w:t>
      </w:r>
      <w:r>
        <w:rPr>
          <w:spacing w:val="-2"/>
          <w:sz w:val="21"/>
          <w:vertAlign w:val="baseline"/>
        </w:rPr>
        <w:t> </w:t>
      </w:r>
      <w:r>
        <w:rPr>
          <w:sz w:val="21"/>
          <w:vertAlign w:val="baseline"/>
        </w:rPr>
        <w:t>treatment</w:t>
      </w:r>
      <w:r>
        <w:rPr>
          <w:spacing w:val="-1"/>
          <w:sz w:val="21"/>
          <w:vertAlign w:val="baseline"/>
        </w:rPr>
        <w:t> </w:t>
      </w:r>
      <w:r>
        <w:rPr>
          <w:sz w:val="21"/>
          <w:vertAlign w:val="baseline"/>
        </w:rPr>
        <w:t>of</w:t>
      </w:r>
      <w:r>
        <w:rPr>
          <w:spacing w:val="-2"/>
          <w:sz w:val="21"/>
          <w:vertAlign w:val="baseline"/>
        </w:rPr>
        <w:t> </w:t>
      </w:r>
      <w:r>
        <w:rPr>
          <w:sz w:val="21"/>
          <w:vertAlign w:val="baseline"/>
        </w:rPr>
        <w:t>LGBTQ</w:t>
      </w:r>
      <w:r>
        <w:rPr>
          <w:spacing w:val="-3"/>
          <w:sz w:val="21"/>
          <w:vertAlign w:val="baseline"/>
        </w:rPr>
        <w:t> </w:t>
      </w:r>
      <w:r>
        <w:rPr>
          <w:sz w:val="21"/>
          <w:vertAlign w:val="baseline"/>
        </w:rPr>
        <w:t>youth</w:t>
      </w:r>
      <w:r>
        <w:rPr>
          <w:spacing w:val="-2"/>
          <w:sz w:val="21"/>
          <w:vertAlign w:val="baseline"/>
        </w:rPr>
        <w:t> </w:t>
      </w:r>
      <w:r>
        <w:rPr>
          <w:sz w:val="21"/>
          <w:vertAlign w:val="baseline"/>
        </w:rPr>
        <w:t>who</w:t>
      </w:r>
      <w:r>
        <w:rPr>
          <w:spacing w:val="-2"/>
          <w:sz w:val="21"/>
          <w:vertAlign w:val="baseline"/>
        </w:rPr>
        <w:t> </w:t>
      </w:r>
      <w:r>
        <w:rPr>
          <w:sz w:val="21"/>
          <w:vertAlign w:val="baseline"/>
        </w:rPr>
        <w:t>do</w:t>
      </w:r>
      <w:r>
        <w:rPr>
          <w:spacing w:val="-2"/>
          <w:sz w:val="21"/>
          <w:vertAlign w:val="baseline"/>
        </w:rPr>
        <w:t> </w:t>
      </w:r>
      <w:r>
        <w:rPr>
          <w:sz w:val="21"/>
          <w:vertAlign w:val="baseline"/>
        </w:rPr>
        <w:t>report</w:t>
      </w:r>
      <w:r>
        <w:rPr>
          <w:spacing w:val="-1"/>
          <w:sz w:val="21"/>
          <w:vertAlign w:val="baseline"/>
        </w:rPr>
        <w:t> </w:t>
      </w:r>
      <w:r>
        <w:rPr>
          <w:sz w:val="21"/>
          <w:vertAlign w:val="baseline"/>
        </w:rPr>
        <w:t>the</w:t>
      </w:r>
      <w:r>
        <w:rPr>
          <w:spacing w:val="-3"/>
          <w:sz w:val="21"/>
          <w:vertAlign w:val="baseline"/>
        </w:rPr>
        <w:t> </w:t>
      </w:r>
      <w:r>
        <w:rPr>
          <w:sz w:val="21"/>
          <w:vertAlign w:val="baseline"/>
        </w:rPr>
        <w:t>harassment. Frequently, LGBTQ youth who endure bullying or harassment find themselves facing more severe disciplinary actions than the perpetrators themselves.</w:t>
      </w:r>
      <w:r>
        <w:rPr>
          <w:spacing w:val="-12"/>
          <w:sz w:val="21"/>
          <w:vertAlign w:val="baseline"/>
        </w:rPr>
        <w:t> </w:t>
      </w:r>
      <w:hyperlink w:history="true" w:anchor="_bookmark390">
        <w:r>
          <w:rPr>
            <w:sz w:val="21"/>
            <w:vertAlign w:val="superscript"/>
          </w:rPr>
          <w:t>74</w:t>
        </w:r>
      </w:hyperlink>
      <w:r>
        <w:rPr>
          <w:sz w:val="21"/>
          <w:vertAlign w:val="baseline"/>
        </w:rPr>
        <w:t> In some cases, LGBTQ youth have even been suspended after reporting incidents of bullying.</w:t>
      </w:r>
    </w:p>
    <w:p>
      <w:pPr>
        <w:pStyle w:val="BodyText"/>
        <w:spacing w:before="11"/>
        <w:rPr>
          <w:sz w:val="10"/>
        </w:rPr>
      </w:pPr>
      <w:r>
        <w:rPr/>
        <w:drawing>
          <wp:anchor distT="0" distB="0" distL="0" distR="0" allowOverlap="1" layoutInCell="1" locked="0" behindDoc="1" simplePos="0" relativeHeight="487663616">
            <wp:simplePos x="0" y="0"/>
            <wp:positionH relativeFrom="page">
              <wp:posOffset>1047750</wp:posOffset>
            </wp:positionH>
            <wp:positionV relativeFrom="paragraph">
              <wp:posOffset>100141</wp:posOffset>
            </wp:positionV>
            <wp:extent cx="5656062" cy="1359027"/>
            <wp:effectExtent l="0" t="0" r="0" b="0"/>
            <wp:wrapTopAndBottom/>
            <wp:docPr id="400" name="Image 400"/>
            <wp:cNvGraphicFramePr>
              <a:graphicFrameLocks/>
            </wp:cNvGraphicFramePr>
            <a:graphic>
              <a:graphicData uri="http://schemas.openxmlformats.org/drawingml/2006/picture">
                <pic:pic>
                  <pic:nvPicPr>
                    <pic:cNvPr id="400" name="Image 400"/>
                    <pic:cNvPicPr/>
                  </pic:nvPicPr>
                  <pic:blipFill>
                    <a:blip r:embed="rId475" cstate="print"/>
                    <a:stretch>
                      <a:fillRect/>
                    </a:stretch>
                  </pic:blipFill>
                  <pic:spPr>
                    <a:xfrm>
                      <a:off x="0" y="0"/>
                      <a:ext cx="5656062" cy="1359027"/>
                    </a:xfrm>
                    <a:prstGeom prst="rect">
                      <a:avLst/>
                    </a:prstGeom>
                  </pic:spPr>
                </pic:pic>
              </a:graphicData>
            </a:graphic>
          </wp:anchor>
        </w:drawing>
      </w:r>
    </w:p>
    <w:p>
      <w:pPr>
        <w:pStyle w:val="BodyText"/>
        <w:rPr>
          <w:sz w:val="21"/>
        </w:rPr>
      </w:pPr>
    </w:p>
    <w:p>
      <w:pPr>
        <w:pStyle w:val="BodyText"/>
        <w:spacing w:before="15"/>
        <w:rPr>
          <w:sz w:val="21"/>
        </w:rPr>
      </w:pPr>
    </w:p>
    <w:p>
      <w:pPr>
        <w:spacing w:line="276" w:lineRule="auto" w:before="0"/>
        <w:ind w:left="464" w:right="238" w:firstLine="0"/>
        <w:jc w:val="both"/>
        <w:rPr>
          <w:sz w:val="21"/>
        </w:rPr>
      </w:pPr>
      <w:r>
        <w:rPr>
          <w:sz w:val="21"/>
        </w:rPr>
        <w:t>The alarming rates of abuse and harassment experienced by LGBTQ students in Massachusetts reflect broader national trends. Across the country, LGBTQ youth are disproportionately suspended and</w:t>
      </w:r>
      <w:r>
        <w:rPr>
          <w:spacing w:val="-1"/>
          <w:sz w:val="21"/>
        </w:rPr>
        <w:t> </w:t>
      </w:r>
      <w:r>
        <w:rPr>
          <w:sz w:val="21"/>
        </w:rPr>
        <w:t>expelled from school, often paving the way for their involvement in the juvenile legal system. A recent national survey,</w:t>
      </w:r>
      <w:r>
        <w:rPr>
          <w:spacing w:val="-5"/>
          <w:sz w:val="21"/>
        </w:rPr>
        <w:t> </w:t>
      </w:r>
      <w:r>
        <w:rPr>
          <w:sz w:val="21"/>
        </w:rPr>
        <w:t>the</w:t>
      </w:r>
      <w:r>
        <w:rPr>
          <w:spacing w:val="-6"/>
          <w:sz w:val="21"/>
        </w:rPr>
        <w:t> </w:t>
      </w:r>
      <w:r>
        <w:rPr>
          <w:sz w:val="21"/>
        </w:rPr>
        <w:t>U.S.</w:t>
      </w:r>
      <w:r>
        <w:rPr>
          <w:spacing w:val="-6"/>
          <w:sz w:val="21"/>
        </w:rPr>
        <w:t> </w:t>
      </w:r>
      <w:r>
        <w:rPr>
          <w:sz w:val="21"/>
        </w:rPr>
        <w:t>Trans</w:t>
      </w:r>
      <w:r>
        <w:rPr>
          <w:spacing w:val="-6"/>
          <w:sz w:val="21"/>
        </w:rPr>
        <w:t> </w:t>
      </w:r>
      <w:r>
        <w:rPr>
          <w:sz w:val="21"/>
        </w:rPr>
        <w:t>Survey,</w:t>
      </w:r>
      <w:r>
        <w:rPr>
          <w:spacing w:val="-5"/>
          <w:sz w:val="21"/>
        </w:rPr>
        <w:t> </w:t>
      </w:r>
      <w:r>
        <w:rPr>
          <w:sz w:val="21"/>
        </w:rPr>
        <w:t>found</w:t>
      </w:r>
      <w:r>
        <w:rPr>
          <w:spacing w:val="-6"/>
          <w:sz w:val="21"/>
        </w:rPr>
        <w:t> </w:t>
      </w:r>
      <w:r>
        <w:rPr>
          <w:sz w:val="21"/>
        </w:rPr>
        <w:t>that</w:t>
      </w:r>
      <w:r>
        <w:rPr>
          <w:spacing w:val="-8"/>
          <w:sz w:val="21"/>
        </w:rPr>
        <w:t> </w:t>
      </w:r>
      <w:r>
        <w:rPr>
          <w:sz w:val="21"/>
        </w:rPr>
        <w:t>eighty</w:t>
      </w:r>
      <w:r>
        <w:rPr>
          <w:spacing w:val="-6"/>
          <w:sz w:val="21"/>
        </w:rPr>
        <w:t> </w:t>
      </w:r>
      <w:r>
        <w:rPr>
          <w:sz w:val="21"/>
        </w:rPr>
        <w:t>percent</w:t>
      </w:r>
      <w:r>
        <w:rPr>
          <w:spacing w:val="-5"/>
          <w:sz w:val="21"/>
        </w:rPr>
        <w:t> </w:t>
      </w:r>
      <w:r>
        <w:rPr>
          <w:sz w:val="21"/>
        </w:rPr>
        <w:t>of</w:t>
      </w:r>
      <w:r>
        <w:rPr>
          <w:spacing w:val="-6"/>
          <w:sz w:val="21"/>
        </w:rPr>
        <w:t> </w:t>
      </w:r>
      <w:r>
        <w:rPr>
          <w:sz w:val="21"/>
        </w:rPr>
        <w:t>adult</w:t>
      </w:r>
      <w:r>
        <w:rPr>
          <w:spacing w:val="-6"/>
          <w:sz w:val="21"/>
        </w:rPr>
        <w:t> </w:t>
      </w:r>
      <w:r>
        <w:rPr>
          <w:sz w:val="21"/>
        </w:rPr>
        <w:t>transgender</w:t>
      </w:r>
      <w:r>
        <w:rPr>
          <w:spacing w:val="-6"/>
          <w:sz w:val="21"/>
        </w:rPr>
        <w:t> </w:t>
      </w:r>
      <w:r>
        <w:rPr>
          <w:sz w:val="21"/>
        </w:rPr>
        <w:t>participants</w:t>
      </w:r>
      <w:r>
        <w:rPr>
          <w:spacing w:val="-6"/>
          <w:sz w:val="21"/>
        </w:rPr>
        <w:t> </w:t>
      </w:r>
      <w:r>
        <w:rPr>
          <w:sz w:val="21"/>
        </w:rPr>
        <w:t>and</w:t>
      </w:r>
      <w:r>
        <w:rPr>
          <w:spacing w:val="-6"/>
          <w:sz w:val="21"/>
        </w:rPr>
        <w:t> </w:t>
      </w:r>
      <w:r>
        <w:rPr>
          <w:sz w:val="21"/>
        </w:rPr>
        <w:t>sixty</w:t>
      </w:r>
      <w:r>
        <w:rPr>
          <w:spacing w:val="-6"/>
          <w:sz w:val="21"/>
        </w:rPr>
        <w:t> </w:t>
      </w:r>
      <w:r>
        <w:rPr>
          <w:sz w:val="21"/>
        </w:rPr>
        <w:t>percent of transgender respondents aged 16 and</w:t>
      </w:r>
      <w:r>
        <w:rPr>
          <w:spacing w:val="-2"/>
          <w:sz w:val="21"/>
        </w:rPr>
        <w:t> </w:t>
      </w:r>
      <w:r>
        <w:rPr>
          <w:sz w:val="21"/>
        </w:rPr>
        <w:t>17, who were</w:t>
      </w:r>
      <w:r>
        <w:rPr>
          <w:spacing w:val="-1"/>
          <w:sz w:val="21"/>
        </w:rPr>
        <w:t> </w:t>
      </w:r>
      <w:r>
        <w:rPr>
          <w:sz w:val="21"/>
        </w:rPr>
        <w:t>identified or perceived as transgender during their K-12 education, reported facing at least one type of negative experience or mistreatment at school.</w:t>
      </w:r>
      <w:hyperlink w:history="true" w:anchor="_bookmark391">
        <w:r>
          <w:rPr>
            <w:sz w:val="21"/>
            <w:vertAlign w:val="superscript"/>
          </w:rPr>
          <w:t>75</w:t>
        </w:r>
      </w:hyperlink>
      <w:r>
        <w:rPr>
          <w:spacing w:val="-2"/>
          <w:sz w:val="21"/>
          <w:vertAlign w:val="baseline"/>
        </w:rPr>
        <w:t> </w:t>
      </w:r>
      <w:r>
        <w:rPr>
          <w:sz w:val="21"/>
          <w:vertAlign w:val="baseline"/>
        </w:rPr>
        <w:t>This included verbal harassment, physical assaults, cyberbullying, restrictions on dressing according to their gender</w:t>
      </w:r>
      <w:r>
        <w:rPr>
          <w:spacing w:val="-6"/>
          <w:sz w:val="21"/>
          <w:vertAlign w:val="baseline"/>
        </w:rPr>
        <w:t> </w:t>
      </w:r>
      <w:r>
        <w:rPr>
          <w:sz w:val="21"/>
          <w:vertAlign w:val="baseline"/>
        </w:rPr>
        <w:t>identity</w:t>
      </w:r>
      <w:r>
        <w:rPr>
          <w:spacing w:val="-6"/>
          <w:sz w:val="21"/>
          <w:vertAlign w:val="baseline"/>
        </w:rPr>
        <w:t> </w:t>
      </w:r>
      <w:r>
        <w:rPr>
          <w:sz w:val="21"/>
          <w:vertAlign w:val="baseline"/>
        </w:rPr>
        <w:t>or</w:t>
      </w:r>
      <w:r>
        <w:rPr>
          <w:spacing w:val="-6"/>
          <w:sz w:val="21"/>
          <w:vertAlign w:val="baseline"/>
        </w:rPr>
        <w:t> </w:t>
      </w:r>
      <w:r>
        <w:rPr>
          <w:sz w:val="21"/>
          <w:vertAlign w:val="baseline"/>
        </w:rPr>
        <w:t>expression,</w:t>
      </w:r>
      <w:r>
        <w:rPr>
          <w:spacing w:val="-5"/>
          <w:sz w:val="21"/>
          <w:vertAlign w:val="baseline"/>
        </w:rPr>
        <w:t> </w:t>
      </w:r>
      <w:r>
        <w:rPr>
          <w:sz w:val="21"/>
          <w:vertAlign w:val="baseline"/>
        </w:rPr>
        <w:t>refusal</w:t>
      </w:r>
      <w:r>
        <w:rPr>
          <w:spacing w:val="-6"/>
          <w:sz w:val="21"/>
          <w:vertAlign w:val="baseline"/>
        </w:rPr>
        <w:t> </w:t>
      </w:r>
      <w:r>
        <w:rPr>
          <w:sz w:val="21"/>
          <w:vertAlign w:val="baseline"/>
        </w:rPr>
        <w:t>by</w:t>
      </w:r>
      <w:r>
        <w:rPr>
          <w:spacing w:val="-6"/>
          <w:sz w:val="21"/>
          <w:vertAlign w:val="baseline"/>
        </w:rPr>
        <w:t> </w:t>
      </w:r>
      <w:r>
        <w:rPr>
          <w:sz w:val="21"/>
          <w:vertAlign w:val="baseline"/>
        </w:rPr>
        <w:t>teachers</w:t>
      </w:r>
      <w:r>
        <w:rPr>
          <w:spacing w:val="-6"/>
          <w:sz w:val="21"/>
          <w:vertAlign w:val="baseline"/>
        </w:rPr>
        <w:t> </w:t>
      </w:r>
      <w:r>
        <w:rPr>
          <w:sz w:val="21"/>
          <w:vertAlign w:val="baseline"/>
        </w:rPr>
        <w:t>or</w:t>
      </w:r>
      <w:r>
        <w:rPr>
          <w:spacing w:val="-6"/>
          <w:sz w:val="21"/>
          <w:vertAlign w:val="baseline"/>
        </w:rPr>
        <w:t> </w:t>
      </w:r>
      <w:r>
        <w:rPr>
          <w:sz w:val="21"/>
          <w:vertAlign w:val="baseline"/>
        </w:rPr>
        <w:t>staff</w:t>
      </w:r>
      <w:r>
        <w:rPr>
          <w:spacing w:val="-6"/>
          <w:sz w:val="21"/>
          <w:vertAlign w:val="baseline"/>
        </w:rPr>
        <w:t> </w:t>
      </w:r>
      <w:r>
        <w:rPr>
          <w:sz w:val="21"/>
          <w:vertAlign w:val="baseline"/>
        </w:rPr>
        <w:t>to</w:t>
      </w:r>
      <w:r>
        <w:rPr>
          <w:spacing w:val="-6"/>
          <w:sz w:val="21"/>
          <w:vertAlign w:val="baseline"/>
        </w:rPr>
        <w:t> </w:t>
      </w:r>
      <w:r>
        <w:rPr>
          <w:sz w:val="21"/>
          <w:vertAlign w:val="baseline"/>
        </w:rPr>
        <w:t>use</w:t>
      </w:r>
      <w:r>
        <w:rPr>
          <w:spacing w:val="-6"/>
          <w:sz w:val="21"/>
          <w:vertAlign w:val="baseline"/>
        </w:rPr>
        <w:t> </w:t>
      </w:r>
      <w:r>
        <w:rPr>
          <w:sz w:val="21"/>
          <w:vertAlign w:val="baseline"/>
        </w:rPr>
        <w:t>their</w:t>
      </w:r>
      <w:r>
        <w:rPr>
          <w:spacing w:val="-4"/>
          <w:sz w:val="21"/>
          <w:vertAlign w:val="baseline"/>
        </w:rPr>
        <w:t> </w:t>
      </w:r>
      <w:r>
        <w:rPr>
          <w:sz w:val="21"/>
          <w:vertAlign w:val="baseline"/>
        </w:rPr>
        <w:t>chosen</w:t>
      </w:r>
      <w:r>
        <w:rPr>
          <w:spacing w:val="-6"/>
          <w:sz w:val="21"/>
          <w:vertAlign w:val="baseline"/>
        </w:rPr>
        <w:t> </w:t>
      </w:r>
      <w:r>
        <w:rPr>
          <w:sz w:val="21"/>
          <w:vertAlign w:val="baseline"/>
        </w:rPr>
        <w:t>names</w:t>
      </w:r>
      <w:r>
        <w:rPr>
          <w:spacing w:val="-5"/>
          <w:sz w:val="21"/>
          <w:vertAlign w:val="baseline"/>
        </w:rPr>
        <w:t> </w:t>
      </w:r>
      <w:r>
        <w:rPr>
          <w:sz w:val="21"/>
          <w:vertAlign w:val="baseline"/>
        </w:rPr>
        <w:t>or</w:t>
      </w:r>
      <w:r>
        <w:rPr>
          <w:spacing w:val="-6"/>
          <w:sz w:val="21"/>
          <w:vertAlign w:val="baseline"/>
        </w:rPr>
        <w:t> </w:t>
      </w:r>
      <w:r>
        <w:rPr>
          <w:sz w:val="21"/>
          <w:vertAlign w:val="baseline"/>
        </w:rPr>
        <w:t>pronouns,</w:t>
      </w:r>
      <w:r>
        <w:rPr>
          <w:spacing w:val="-4"/>
          <w:sz w:val="21"/>
          <w:vertAlign w:val="baseline"/>
        </w:rPr>
        <w:t> </w:t>
      </w:r>
      <w:r>
        <w:rPr>
          <w:sz w:val="21"/>
          <w:vertAlign w:val="baseline"/>
        </w:rPr>
        <w:t>or</w:t>
      </w:r>
      <w:r>
        <w:rPr>
          <w:spacing w:val="-6"/>
          <w:sz w:val="21"/>
          <w:vertAlign w:val="baseline"/>
        </w:rPr>
        <w:t> </w:t>
      </w:r>
      <w:r>
        <w:rPr>
          <w:sz w:val="21"/>
          <w:vertAlign w:val="baseline"/>
        </w:rPr>
        <w:t>denial of</w:t>
      </w:r>
      <w:r>
        <w:rPr>
          <w:spacing w:val="-1"/>
          <w:sz w:val="21"/>
          <w:vertAlign w:val="baseline"/>
        </w:rPr>
        <w:t> </w:t>
      </w:r>
      <w:r>
        <w:rPr>
          <w:sz w:val="21"/>
          <w:vertAlign w:val="baseline"/>
        </w:rPr>
        <w:t>access</w:t>
      </w:r>
      <w:r>
        <w:rPr>
          <w:spacing w:val="-1"/>
          <w:sz w:val="21"/>
          <w:vertAlign w:val="baseline"/>
        </w:rPr>
        <w:t> </w:t>
      </w:r>
      <w:r>
        <w:rPr>
          <w:sz w:val="21"/>
          <w:vertAlign w:val="baseline"/>
        </w:rPr>
        <w:t>to</w:t>
      </w:r>
      <w:r>
        <w:rPr>
          <w:spacing w:val="-1"/>
          <w:sz w:val="21"/>
          <w:vertAlign w:val="baseline"/>
        </w:rPr>
        <w:t> </w:t>
      </w:r>
      <w:r>
        <w:rPr>
          <w:sz w:val="21"/>
          <w:vertAlign w:val="baseline"/>
        </w:rPr>
        <w:t>bathrooms</w:t>
      </w:r>
      <w:r>
        <w:rPr>
          <w:spacing w:val="-1"/>
          <w:sz w:val="21"/>
          <w:vertAlign w:val="baseline"/>
        </w:rPr>
        <w:t> </w:t>
      </w:r>
      <w:r>
        <w:rPr>
          <w:sz w:val="21"/>
          <w:vertAlign w:val="baseline"/>
        </w:rPr>
        <w:t>or</w:t>
      </w:r>
      <w:r>
        <w:rPr>
          <w:spacing w:val="-1"/>
          <w:sz w:val="21"/>
          <w:vertAlign w:val="baseline"/>
        </w:rPr>
        <w:t> </w:t>
      </w:r>
      <w:r>
        <w:rPr>
          <w:sz w:val="21"/>
          <w:vertAlign w:val="baseline"/>
        </w:rPr>
        <w:t>locker</w:t>
      </w:r>
      <w:r>
        <w:rPr>
          <w:spacing w:val="-1"/>
          <w:sz w:val="21"/>
          <w:vertAlign w:val="baseline"/>
        </w:rPr>
        <w:t> </w:t>
      </w:r>
      <w:r>
        <w:rPr>
          <w:sz w:val="21"/>
          <w:vertAlign w:val="baseline"/>
        </w:rPr>
        <w:t>rooms</w:t>
      </w:r>
      <w:r>
        <w:rPr>
          <w:spacing w:val="-1"/>
          <w:sz w:val="21"/>
          <w:vertAlign w:val="baseline"/>
        </w:rPr>
        <w:t> </w:t>
      </w:r>
      <w:r>
        <w:rPr>
          <w:sz w:val="21"/>
          <w:vertAlign w:val="baseline"/>
        </w:rPr>
        <w:t>that aligned</w:t>
      </w:r>
      <w:r>
        <w:rPr>
          <w:spacing w:val="-1"/>
          <w:sz w:val="21"/>
          <w:vertAlign w:val="baseline"/>
        </w:rPr>
        <w:t> </w:t>
      </w:r>
      <w:r>
        <w:rPr>
          <w:sz w:val="21"/>
          <w:vertAlign w:val="baseline"/>
        </w:rPr>
        <w:t>with</w:t>
      </w:r>
      <w:r>
        <w:rPr>
          <w:spacing w:val="-1"/>
          <w:sz w:val="21"/>
          <w:vertAlign w:val="baseline"/>
        </w:rPr>
        <w:t> </w:t>
      </w:r>
      <w:r>
        <w:rPr>
          <w:sz w:val="21"/>
          <w:vertAlign w:val="baseline"/>
        </w:rPr>
        <w:t>their</w:t>
      </w:r>
      <w:r>
        <w:rPr>
          <w:spacing w:val="-2"/>
          <w:sz w:val="21"/>
          <w:vertAlign w:val="baseline"/>
        </w:rPr>
        <w:t> </w:t>
      </w:r>
      <w:r>
        <w:rPr>
          <w:sz w:val="21"/>
          <w:vertAlign w:val="baseline"/>
        </w:rPr>
        <w:t>gender</w:t>
      </w:r>
      <w:r>
        <w:rPr>
          <w:spacing w:val="-1"/>
          <w:sz w:val="21"/>
          <w:vertAlign w:val="baseline"/>
        </w:rPr>
        <w:t> </w:t>
      </w:r>
      <w:r>
        <w:rPr>
          <w:sz w:val="21"/>
          <w:vertAlign w:val="baseline"/>
        </w:rPr>
        <w:t>identity.</w:t>
      </w:r>
      <w:hyperlink w:history="true" w:anchor="_bookmark392">
        <w:r>
          <w:rPr>
            <w:sz w:val="21"/>
            <w:vertAlign w:val="superscript"/>
          </w:rPr>
          <w:t>76</w:t>
        </w:r>
      </w:hyperlink>
      <w:r>
        <w:rPr>
          <w:spacing w:val="-2"/>
          <w:sz w:val="21"/>
          <w:vertAlign w:val="baseline"/>
        </w:rPr>
        <w:t> </w:t>
      </w:r>
      <w:r>
        <w:rPr>
          <w:sz w:val="21"/>
          <w:vertAlign w:val="baseline"/>
        </w:rPr>
        <w:t>This</w:t>
      </w:r>
      <w:r>
        <w:rPr>
          <w:spacing w:val="-1"/>
          <w:sz w:val="21"/>
          <w:vertAlign w:val="baseline"/>
        </w:rPr>
        <w:t> </w:t>
      </w:r>
      <w:r>
        <w:rPr>
          <w:sz w:val="21"/>
          <w:vertAlign w:val="baseline"/>
        </w:rPr>
        <w:t>harm</w:t>
      </w:r>
      <w:r>
        <w:rPr>
          <w:spacing w:val="-1"/>
          <w:sz w:val="21"/>
          <w:vertAlign w:val="baseline"/>
        </w:rPr>
        <w:t> </w:t>
      </w:r>
      <w:r>
        <w:rPr>
          <w:sz w:val="21"/>
          <w:vertAlign w:val="baseline"/>
        </w:rPr>
        <w:t>is</w:t>
      </w:r>
      <w:r>
        <w:rPr>
          <w:spacing w:val="-1"/>
          <w:sz w:val="21"/>
          <w:vertAlign w:val="baseline"/>
        </w:rPr>
        <w:t> </w:t>
      </w:r>
      <w:r>
        <w:rPr>
          <w:sz w:val="21"/>
          <w:vertAlign w:val="baseline"/>
        </w:rPr>
        <w:t>exacerbated in schools with the</w:t>
      </w:r>
      <w:r>
        <w:rPr>
          <w:spacing w:val="-1"/>
          <w:sz w:val="21"/>
          <w:vertAlign w:val="baseline"/>
        </w:rPr>
        <w:t> </w:t>
      </w:r>
      <w:r>
        <w:rPr>
          <w:sz w:val="21"/>
          <w:vertAlign w:val="baseline"/>
        </w:rPr>
        <w:t>presence of School Resource Officers (SROs), where LGBTQ youth are</w:t>
      </w:r>
      <w:r>
        <w:rPr>
          <w:spacing w:val="-1"/>
          <w:sz w:val="21"/>
          <w:vertAlign w:val="baseline"/>
        </w:rPr>
        <w:t> </w:t>
      </w:r>
      <w:r>
        <w:rPr>
          <w:sz w:val="21"/>
          <w:vertAlign w:val="baseline"/>
        </w:rPr>
        <w:t>more likely to be referred to law enforcement for disciplinary infractions.</w:t>
      </w:r>
      <w:r>
        <w:rPr>
          <w:spacing w:val="-12"/>
          <w:sz w:val="21"/>
          <w:vertAlign w:val="baseline"/>
        </w:rPr>
        <w:t> </w:t>
      </w:r>
      <w:hyperlink w:history="true" w:anchor="_bookmark393">
        <w:r>
          <w:rPr>
            <w:sz w:val="21"/>
            <w:vertAlign w:val="superscript"/>
          </w:rPr>
          <w:t>77</w:t>
        </w:r>
      </w:hyperlink>
      <w:r>
        <w:rPr>
          <w:sz w:val="21"/>
          <w:vertAlign w:val="baseline"/>
        </w:rPr>
        <w:t> As a result, these interactions perpetuate a phenomenon</w:t>
      </w:r>
      <w:r>
        <w:rPr>
          <w:spacing w:val="-12"/>
          <w:sz w:val="21"/>
          <w:vertAlign w:val="baseline"/>
        </w:rPr>
        <w:t> </w:t>
      </w:r>
      <w:r>
        <w:rPr>
          <w:sz w:val="21"/>
          <w:vertAlign w:val="baseline"/>
        </w:rPr>
        <w:t>referred</w:t>
      </w:r>
      <w:r>
        <w:rPr>
          <w:spacing w:val="-12"/>
          <w:sz w:val="21"/>
          <w:vertAlign w:val="baseline"/>
        </w:rPr>
        <w:t> </w:t>
      </w:r>
      <w:r>
        <w:rPr>
          <w:sz w:val="21"/>
          <w:vertAlign w:val="baseline"/>
        </w:rPr>
        <w:t>to</w:t>
      </w:r>
      <w:r>
        <w:rPr>
          <w:spacing w:val="-12"/>
          <w:sz w:val="21"/>
          <w:vertAlign w:val="baseline"/>
        </w:rPr>
        <w:t> </w:t>
      </w:r>
      <w:r>
        <w:rPr>
          <w:sz w:val="21"/>
          <w:vertAlign w:val="baseline"/>
        </w:rPr>
        <w:t>as</w:t>
      </w:r>
      <w:r>
        <w:rPr>
          <w:spacing w:val="-12"/>
          <w:sz w:val="21"/>
          <w:vertAlign w:val="baseline"/>
        </w:rPr>
        <w:t> </w:t>
      </w:r>
      <w:r>
        <w:rPr>
          <w:sz w:val="21"/>
          <w:vertAlign w:val="baseline"/>
        </w:rPr>
        <w:t>the</w:t>
      </w:r>
      <w:r>
        <w:rPr>
          <w:spacing w:val="-12"/>
          <w:sz w:val="21"/>
          <w:vertAlign w:val="baseline"/>
        </w:rPr>
        <w:t> </w:t>
      </w:r>
      <w:r>
        <w:rPr>
          <w:sz w:val="21"/>
          <w:vertAlign w:val="baseline"/>
        </w:rPr>
        <w:t>school-to-prison</w:t>
      </w:r>
      <w:r>
        <w:rPr>
          <w:spacing w:val="-12"/>
          <w:sz w:val="21"/>
          <w:vertAlign w:val="baseline"/>
        </w:rPr>
        <w:t> </w:t>
      </w:r>
      <w:r>
        <w:rPr>
          <w:sz w:val="21"/>
          <w:vertAlign w:val="baseline"/>
        </w:rPr>
        <w:t>pipeline,</w:t>
      </w:r>
      <w:r>
        <w:rPr>
          <w:spacing w:val="-12"/>
          <w:sz w:val="21"/>
          <w:vertAlign w:val="baseline"/>
        </w:rPr>
        <w:t> </w:t>
      </w:r>
      <w:r>
        <w:rPr>
          <w:sz w:val="21"/>
          <w:vertAlign w:val="baseline"/>
        </w:rPr>
        <w:t>in</w:t>
      </w:r>
      <w:r>
        <w:rPr>
          <w:spacing w:val="-11"/>
          <w:sz w:val="21"/>
          <w:vertAlign w:val="baseline"/>
        </w:rPr>
        <w:t> </w:t>
      </w:r>
      <w:r>
        <w:rPr>
          <w:sz w:val="21"/>
          <w:vertAlign w:val="baseline"/>
        </w:rPr>
        <w:t>which</w:t>
      </w:r>
      <w:r>
        <w:rPr>
          <w:spacing w:val="-11"/>
          <w:sz w:val="21"/>
          <w:vertAlign w:val="baseline"/>
        </w:rPr>
        <w:t> </w:t>
      </w:r>
      <w:r>
        <w:rPr>
          <w:sz w:val="21"/>
          <w:vertAlign w:val="baseline"/>
        </w:rPr>
        <w:t>a</w:t>
      </w:r>
      <w:r>
        <w:rPr>
          <w:spacing w:val="-12"/>
          <w:sz w:val="21"/>
          <w:vertAlign w:val="baseline"/>
        </w:rPr>
        <w:t> </w:t>
      </w:r>
      <w:r>
        <w:rPr>
          <w:sz w:val="21"/>
          <w:vertAlign w:val="baseline"/>
        </w:rPr>
        <w:t>series</w:t>
      </w:r>
      <w:r>
        <w:rPr>
          <w:spacing w:val="-12"/>
          <w:sz w:val="21"/>
          <w:vertAlign w:val="baseline"/>
        </w:rPr>
        <w:t> </w:t>
      </w:r>
      <w:r>
        <w:rPr>
          <w:sz w:val="21"/>
          <w:vertAlign w:val="baseline"/>
        </w:rPr>
        <w:t>of</w:t>
      </w:r>
      <w:r>
        <w:rPr>
          <w:spacing w:val="-12"/>
          <w:sz w:val="21"/>
          <w:vertAlign w:val="baseline"/>
        </w:rPr>
        <w:t> </w:t>
      </w:r>
      <w:r>
        <w:rPr>
          <w:sz w:val="21"/>
          <w:vertAlign w:val="baseline"/>
        </w:rPr>
        <w:t>punitive</w:t>
      </w:r>
      <w:r>
        <w:rPr>
          <w:spacing w:val="-11"/>
          <w:sz w:val="21"/>
          <w:vertAlign w:val="baseline"/>
        </w:rPr>
        <w:t> </w:t>
      </w:r>
      <w:r>
        <w:rPr>
          <w:sz w:val="21"/>
          <w:vertAlign w:val="baseline"/>
        </w:rPr>
        <w:t>policies</w:t>
      </w:r>
      <w:r>
        <w:rPr>
          <w:spacing w:val="-12"/>
          <w:sz w:val="21"/>
          <w:vertAlign w:val="baseline"/>
        </w:rPr>
        <w:t> </w:t>
      </w:r>
      <w:r>
        <w:rPr>
          <w:sz w:val="21"/>
          <w:vertAlign w:val="baseline"/>
        </w:rPr>
        <w:t>and</w:t>
      </w:r>
      <w:r>
        <w:rPr>
          <w:spacing w:val="-12"/>
          <w:sz w:val="21"/>
          <w:vertAlign w:val="baseline"/>
        </w:rPr>
        <w:t> </w:t>
      </w:r>
      <w:r>
        <w:rPr>
          <w:sz w:val="21"/>
          <w:vertAlign w:val="baseline"/>
        </w:rPr>
        <w:t>practices within the education system disproportionately funnel students, particularly those already at risk, out of classrooms and into the juvenile and criminal legal systems.</w:t>
      </w:r>
      <w:r>
        <w:rPr>
          <w:spacing w:val="-12"/>
          <w:sz w:val="21"/>
          <w:vertAlign w:val="baseline"/>
        </w:rPr>
        <w:t> </w:t>
      </w:r>
      <w:hyperlink w:history="true" w:anchor="_bookmark394">
        <w:r>
          <w:rPr>
            <w:sz w:val="21"/>
            <w:vertAlign w:val="superscript"/>
          </w:rPr>
          <w:t>78</w:t>
        </w:r>
      </w:hyperlink>
      <w:r>
        <w:rPr>
          <w:sz w:val="21"/>
          <w:vertAlign w:val="baseline"/>
        </w:rPr>
        <w:t> The school-to-prison pipeline reflects a prioritization</w:t>
      </w:r>
      <w:r>
        <w:rPr>
          <w:spacing w:val="-11"/>
          <w:sz w:val="21"/>
          <w:vertAlign w:val="baseline"/>
        </w:rPr>
        <w:t> </w:t>
      </w:r>
      <w:r>
        <w:rPr>
          <w:sz w:val="21"/>
          <w:vertAlign w:val="baseline"/>
        </w:rPr>
        <w:t>of</w:t>
      </w:r>
      <w:r>
        <w:rPr>
          <w:spacing w:val="-11"/>
          <w:sz w:val="21"/>
          <w:vertAlign w:val="baseline"/>
        </w:rPr>
        <w:t> </w:t>
      </w:r>
      <w:r>
        <w:rPr>
          <w:sz w:val="21"/>
          <w:vertAlign w:val="baseline"/>
        </w:rPr>
        <w:t>punishment</w:t>
      </w:r>
      <w:r>
        <w:rPr>
          <w:spacing w:val="-10"/>
          <w:sz w:val="21"/>
          <w:vertAlign w:val="baseline"/>
        </w:rPr>
        <w:t> </w:t>
      </w:r>
      <w:r>
        <w:rPr>
          <w:sz w:val="21"/>
          <w:vertAlign w:val="baseline"/>
        </w:rPr>
        <w:t>over</w:t>
      </w:r>
      <w:r>
        <w:rPr>
          <w:spacing w:val="-11"/>
          <w:sz w:val="21"/>
          <w:vertAlign w:val="baseline"/>
        </w:rPr>
        <w:t> </w:t>
      </w:r>
      <w:r>
        <w:rPr>
          <w:sz w:val="21"/>
          <w:vertAlign w:val="baseline"/>
        </w:rPr>
        <w:t>education,</w:t>
      </w:r>
      <w:r>
        <w:rPr>
          <w:spacing w:val="-10"/>
          <w:sz w:val="21"/>
          <w:vertAlign w:val="baseline"/>
        </w:rPr>
        <w:t> </w:t>
      </w:r>
      <w:r>
        <w:rPr>
          <w:sz w:val="21"/>
          <w:vertAlign w:val="baseline"/>
        </w:rPr>
        <w:t>contributing</w:t>
      </w:r>
      <w:r>
        <w:rPr>
          <w:spacing w:val="-11"/>
          <w:sz w:val="21"/>
          <w:vertAlign w:val="baseline"/>
        </w:rPr>
        <w:t> </w:t>
      </w:r>
      <w:r>
        <w:rPr>
          <w:sz w:val="21"/>
          <w:vertAlign w:val="baseline"/>
        </w:rPr>
        <w:t>to</w:t>
      </w:r>
      <w:r>
        <w:rPr>
          <w:spacing w:val="-12"/>
          <w:sz w:val="21"/>
          <w:vertAlign w:val="baseline"/>
        </w:rPr>
        <w:t> </w:t>
      </w:r>
      <w:r>
        <w:rPr>
          <w:sz w:val="21"/>
          <w:vertAlign w:val="baseline"/>
        </w:rPr>
        <w:t>a</w:t>
      </w:r>
      <w:r>
        <w:rPr>
          <w:spacing w:val="-10"/>
          <w:sz w:val="21"/>
          <w:vertAlign w:val="baseline"/>
        </w:rPr>
        <w:t> </w:t>
      </w:r>
      <w:r>
        <w:rPr>
          <w:sz w:val="21"/>
          <w:vertAlign w:val="baseline"/>
        </w:rPr>
        <w:t>cycle</w:t>
      </w:r>
      <w:r>
        <w:rPr>
          <w:spacing w:val="-11"/>
          <w:sz w:val="21"/>
          <w:vertAlign w:val="baseline"/>
        </w:rPr>
        <w:t> </w:t>
      </w:r>
      <w:r>
        <w:rPr>
          <w:sz w:val="21"/>
          <w:vertAlign w:val="baseline"/>
        </w:rPr>
        <w:t>of</w:t>
      </w:r>
      <w:r>
        <w:rPr>
          <w:spacing w:val="-11"/>
          <w:sz w:val="21"/>
          <w:vertAlign w:val="baseline"/>
        </w:rPr>
        <w:t> </w:t>
      </w:r>
      <w:r>
        <w:rPr>
          <w:sz w:val="21"/>
          <w:vertAlign w:val="baseline"/>
        </w:rPr>
        <w:t>incarceration</w:t>
      </w:r>
      <w:r>
        <w:rPr>
          <w:spacing w:val="-10"/>
          <w:sz w:val="21"/>
          <w:vertAlign w:val="baseline"/>
        </w:rPr>
        <w:t> </w:t>
      </w:r>
      <w:r>
        <w:rPr>
          <w:sz w:val="21"/>
          <w:vertAlign w:val="baseline"/>
        </w:rPr>
        <w:t>that</w:t>
      </w:r>
      <w:r>
        <w:rPr>
          <w:spacing w:val="-11"/>
          <w:sz w:val="21"/>
          <w:vertAlign w:val="baseline"/>
        </w:rPr>
        <w:t> </w:t>
      </w:r>
      <w:r>
        <w:rPr>
          <w:sz w:val="21"/>
          <w:vertAlign w:val="baseline"/>
        </w:rPr>
        <w:t>disproportionately affects</w:t>
      </w:r>
      <w:r>
        <w:rPr>
          <w:spacing w:val="22"/>
          <w:sz w:val="21"/>
          <w:vertAlign w:val="baseline"/>
        </w:rPr>
        <w:t> </w:t>
      </w:r>
      <w:r>
        <w:rPr>
          <w:sz w:val="21"/>
          <w:vertAlign w:val="baseline"/>
        </w:rPr>
        <w:t>marginalized</w:t>
      </w:r>
      <w:r>
        <w:rPr>
          <w:spacing w:val="23"/>
          <w:sz w:val="21"/>
          <w:vertAlign w:val="baseline"/>
        </w:rPr>
        <w:t> </w:t>
      </w:r>
      <w:r>
        <w:rPr>
          <w:sz w:val="21"/>
          <w:vertAlign w:val="baseline"/>
        </w:rPr>
        <w:t>communities,</w:t>
      </w:r>
      <w:r>
        <w:rPr>
          <w:spacing w:val="23"/>
          <w:sz w:val="21"/>
          <w:vertAlign w:val="baseline"/>
        </w:rPr>
        <w:t> </w:t>
      </w:r>
      <w:r>
        <w:rPr>
          <w:sz w:val="21"/>
          <w:vertAlign w:val="baseline"/>
        </w:rPr>
        <w:t>including</w:t>
      </w:r>
      <w:r>
        <w:rPr>
          <w:spacing w:val="22"/>
          <w:sz w:val="21"/>
          <w:vertAlign w:val="baseline"/>
        </w:rPr>
        <w:t> </w:t>
      </w:r>
      <w:r>
        <w:rPr>
          <w:sz w:val="21"/>
          <w:vertAlign w:val="baseline"/>
        </w:rPr>
        <w:t>LGBTQ</w:t>
      </w:r>
      <w:r>
        <w:rPr>
          <w:spacing w:val="23"/>
          <w:sz w:val="21"/>
          <w:vertAlign w:val="baseline"/>
        </w:rPr>
        <w:t> </w:t>
      </w:r>
      <w:r>
        <w:rPr>
          <w:sz w:val="21"/>
          <w:vertAlign w:val="baseline"/>
        </w:rPr>
        <w:t>youth.</w:t>
      </w:r>
      <w:hyperlink w:history="true" w:anchor="_bookmark395">
        <w:r>
          <w:rPr>
            <w:sz w:val="21"/>
            <w:vertAlign w:val="superscript"/>
          </w:rPr>
          <w:t>79</w:t>
        </w:r>
      </w:hyperlink>
      <w:r>
        <w:rPr>
          <w:sz w:val="21"/>
          <w:vertAlign w:val="baseline"/>
        </w:rPr>
        <w:t> Once</w:t>
      </w:r>
      <w:r>
        <w:rPr>
          <w:spacing w:val="23"/>
          <w:sz w:val="21"/>
          <w:vertAlign w:val="baseline"/>
        </w:rPr>
        <w:t> </w:t>
      </w:r>
      <w:r>
        <w:rPr>
          <w:sz w:val="21"/>
          <w:vertAlign w:val="baseline"/>
        </w:rPr>
        <w:t>involved</w:t>
      </w:r>
      <w:r>
        <w:rPr>
          <w:spacing w:val="23"/>
          <w:sz w:val="21"/>
          <w:vertAlign w:val="baseline"/>
        </w:rPr>
        <w:t> </w:t>
      </w:r>
      <w:r>
        <w:rPr>
          <w:sz w:val="21"/>
          <w:vertAlign w:val="baseline"/>
        </w:rPr>
        <w:t>in</w:t>
      </w:r>
      <w:r>
        <w:rPr>
          <w:spacing w:val="23"/>
          <w:sz w:val="21"/>
          <w:vertAlign w:val="baseline"/>
        </w:rPr>
        <w:t> </w:t>
      </w:r>
      <w:r>
        <w:rPr>
          <w:sz w:val="21"/>
          <w:vertAlign w:val="baseline"/>
        </w:rPr>
        <w:t>the</w:t>
      </w:r>
      <w:r>
        <w:rPr>
          <w:spacing w:val="23"/>
          <w:sz w:val="21"/>
          <w:vertAlign w:val="baseline"/>
        </w:rPr>
        <w:t> </w:t>
      </w:r>
      <w:r>
        <w:rPr>
          <w:sz w:val="21"/>
          <w:vertAlign w:val="baseline"/>
        </w:rPr>
        <w:t>juvenile</w:t>
      </w:r>
      <w:r>
        <w:rPr>
          <w:spacing w:val="23"/>
          <w:sz w:val="21"/>
          <w:vertAlign w:val="baseline"/>
        </w:rPr>
        <w:t> </w:t>
      </w:r>
      <w:r>
        <w:rPr>
          <w:sz w:val="21"/>
          <w:vertAlign w:val="baseline"/>
        </w:rPr>
        <w:t>legal</w:t>
      </w:r>
      <w:r>
        <w:rPr>
          <w:spacing w:val="23"/>
          <w:sz w:val="21"/>
          <w:vertAlign w:val="baseline"/>
        </w:rPr>
        <w:t> </w:t>
      </w:r>
      <w:r>
        <w:rPr>
          <w:sz w:val="21"/>
          <w:vertAlign w:val="baseline"/>
        </w:rPr>
        <w:t>system,</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1" w:firstLine="0"/>
        <w:jc w:val="both"/>
        <w:rPr>
          <w:sz w:val="21"/>
        </w:rPr>
      </w:pPr>
      <w:r>
        <w:rPr>
          <w:sz w:val="21"/>
        </w:rPr>
        <w:t>students face numerous barriers to re-entering traditional schooling. Many of these students never graduate from high school, further limiting their opportunities for future success and increasing their likelihood of incarceration or re-incarceration.</w:t>
      </w:r>
    </w:p>
    <w:p>
      <w:pPr>
        <w:spacing w:line="276" w:lineRule="auto" w:before="240"/>
        <w:ind w:left="464" w:right="240" w:firstLine="0"/>
        <w:jc w:val="both"/>
        <w:rPr>
          <w:sz w:val="21"/>
        </w:rPr>
      </w:pPr>
      <w:r>
        <w:rPr>
          <w:sz w:val="21"/>
        </w:rPr>
        <w:t>The</w:t>
      </w:r>
      <w:r>
        <w:rPr>
          <w:spacing w:val="-4"/>
          <w:sz w:val="21"/>
        </w:rPr>
        <w:t> </w:t>
      </w:r>
      <w:r>
        <w:rPr>
          <w:sz w:val="21"/>
        </w:rPr>
        <w:t>repercussions</w:t>
      </w:r>
      <w:r>
        <w:rPr>
          <w:spacing w:val="-5"/>
          <w:sz w:val="21"/>
        </w:rPr>
        <w:t> </w:t>
      </w:r>
      <w:r>
        <w:rPr>
          <w:sz w:val="21"/>
        </w:rPr>
        <w:t>of</w:t>
      </w:r>
      <w:r>
        <w:rPr>
          <w:spacing w:val="-5"/>
          <w:sz w:val="21"/>
        </w:rPr>
        <w:t> </w:t>
      </w:r>
      <w:r>
        <w:rPr>
          <w:sz w:val="21"/>
        </w:rPr>
        <w:t>discrimination</w:t>
      </w:r>
      <w:r>
        <w:rPr>
          <w:spacing w:val="-4"/>
          <w:sz w:val="21"/>
        </w:rPr>
        <w:t> </w:t>
      </w:r>
      <w:r>
        <w:rPr>
          <w:sz w:val="21"/>
        </w:rPr>
        <w:t>and</w:t>
      </w:r>
      <w:r>
        <w:rPr>
          <w:spacing w:val="-5"/>
          <w:sz w:val="21"/>
        </w:rPr>
        <w:t> </w:t>
      </w:r>
      <w:r>
        <w:rPr>
          <w:sz w:val="21"/>
        </w:rPr>
        <w:t>harassment</w:t>
      </w:r>
      <w:r>
        <w:rPr>
          <w:spacing w:val="-4"/>
          <w:sz w:val="21"/>
        </w:rPr>
        <w:t> </w:t>
      </w:r>
      <w:r>
        <w:rPr>
          <w:sz w:val="21"/>
        </w:rPr>
        <w:t>extend</w:t>
      </w:r>
      <w:r>
        <w:rPr>
          <w:spacing w:val="-4"/>
          <w:sz w:val="21"/>
        </w:rPr>
        <w:t> </w:t>
      </w:r>
      <w:r>
        <w:rPr>
          <w:sz w:val="21"/>
        </w:rPr>
        <w:t>beyond</w:t>
      </w:r>
      <w:r>
        <w:rPr>
          <w:spacing w:val="-5"/>
          <w:sz w:val="21"/>
        </w:rPr>
        <w:t> </w:t>
      </w:r>
      <w:r>
        <w:rPr>
          <w:sz w:val="21"/>
        </w:rPr>
        <w:t>the</w:t>
      </w:r>
      <w:r>
        <w:rPr>
          <w:spacing w:val="-4"/>
          <w:sz w:val="21"/>
        </w:rPr>
        <w:t> </w:t>
      </w:r>
      <w:r>
        <w:rPr>
          <w:sz w:val="21"/>
        </w:rPr>
        <w:t>school</w:t>
      </w:r>
      <w:r>
        <w:rPr>
          <w:spacing w:val="-4"/>
          <w:sz w:val="21"/>
        </w:rPr>
        <w:t> </w:t>
      </w:r>
      <w:r>
        <w:rPr>
          <w:sz w:val="21"/>
        </w:rPr>
        <w:t>environment.</w:t>
      </w:r>
      <w:r>
        <w:rPr>
          <w:spacing w:val="-4"/>
          <w:sz w:val="21"/>
        </w:rPr>
        <w:t> </w:t>
      </w:r>
      <w:r>
        <w:rPr>
          <w:sz w:val="21"/>
        </w:rPr>
        <w:t>LGBTQ</w:t>
      </w:r>
      <w:r>
        <w:rPr>
          <w:spacing w:val="-4"/>
          <w:sz w:val="21"/>
        </w:rPr>
        <w:t> </w:t>
      </w:r>
      <w:r>
        <w:rPr>
          <w:sz w:val="21"/>
        </w:rPr>
        <w:t>youth in Massachusetts are statistically more prone to engaging in physical altercations and carrying weapons, likely to protect themselves, compared to their heterosexual and cisgender peers, leading to arrest and potential incarceration. Moreover, the disparities are particularly stark for LGBTQ youth of color, with a higher</w:t>
      </w:r>
      <w:r>
        <w:rPr>
          <w:spacing w:val="-10"/>
          <w:sz w:val="21"/>
        </w:rPr>
        <w:t> </w:t>
      </w:r>
      <w:r>
        <w:rPr>
          <w:sz w:val="21"/>
        </w:rPr>
        <w:t>likelihood</w:t>
      </w:r>
      <w:r>
        <w:rPr>
          <w:spacing w:val="-10"/>
          <w:sz w:val="21"/>
        </w:rPr>
        <w:t> </w:t>
      </w:r>
      <w:r>
        <w:rPr>
          <w:sz w:val="21"/>
        </w:rPr>
        <w:t>of</w:t>
      </w:r>
      <w:r>
        <w:rPr>
          <w:spacing w:val="-11"/>
          <w:sz w:val="21"/>
        </w:rPr>
        <w:t> </w:t>
      </w:r>
      <w:r>
        <w:rPr>
          <w:sz w:val="21"/>
        </w:rPr>
        <w:t>police</w:t>
      </w:r>
      <w:r>
        <w:rPr>
          <w:spacing w:val="-10"/>
          <w:sz w:val="21"/>
        </w:rPr>
        <w:t> </w:t>
      </w:r>
      <w:r>
        <w:rPr>
          <w:sz w:val="21"/>
        </w:rPr>
        <w:t>involvement</w:t>
      </w:r>
      <w:r>
        <w:rPr>
          <w:spacing w:val="-10"/>
          <w:sz w:val="21"/>
        </w:rPr>
        <w:t> </w:t>
      </w:r>
      <w:r>
        <w:rPr>
          <w:sz w:val="21"/>
        </w:rPr>
        <w:t>during</w:t>
      </w:r>
      <w:r>
        <w:rPr>
          <w:spacing w:val="-11"/>
          <w:sz w:val="21"/>
        </w:rPr>
        <w:t> </w:t>
      </w:r>
      <w:r>
        <w:rPr>
          <w:sz w:val="21"/>
        </w:rPr>
        <w:t>their</w:t>
      </w:r>
      <w:r>
        <w:rPr>
          <w:spacing w:val="-10"/>
          <w:sz w:val="21"/>
        </w:rPr>
        <w:t> </w:t>
      </w:r>
      <w:r>
        <w:rPr>
          <w:sz w:val="21"/>
        </w:rPr>
        <w:t>middle</w:t>
      </w:r>
      <w:r>
        <w:rPr>
          <w:spacing w:val="-10"/>
          <w:sz w:val="21"/>
        </w:rPr>
        <w:t> </w:t>
      </w:r>
      <w:r>
        <w:rPr>
          <w:sz w:val="21"/>
        </w:rPr>
        <w:t>and</w:t>
      </w:r>
      <w:r>
        <w:rPr>
          <w:spacing w:val="-10"/>
          <w:sz w:val="21"/>
        </w:rPr>
        <w:t> </w:t>
      </w:r>
      <w:r>
        <w:rPr>
          <w:sz w:val="21"/>
        </w:rPr>
        <w:t>high</w:t>
      </w:r>
      <w:r>
        <w:rPr>
          <w:spacing w:val="-10"/>
          <w:sz w:val="21"/>
        </w:rPr>
        <w:t> </w:t>
      </w:r>
      <w:r>
        <w:rPr>
          <w:sz w:val="21"/>
        </w:rPr>
        <w:t>school</w:t>
      </w:r>
      <w:r>
        <w:rPr>
          <w:spacing w:val="-10"/>
          <w:sz w:val="21"/>
        </w:rPr>
        <w:t> </w:t>
      </w:r>
      <w:r>
        <w:rPr>
          <w:sz w:val="21"/>
        </w:rPr>
        <w:t>years.</w:t>
      </w:r>
      <w:r>
        <w:rPr>
          <w:spacing w:val="-10"/>
          <w:sz w:val="21"/>
        </w:rPr>
        <w:t> </w:t>
      </w:r>
      <w:r>
        <w:rPr>
          <w:sz w:val="21"/>
        </w:rPr>
        <w:t>These</w:t>
      </w:r>
      <w:r>
        <w:rPr>
          <w:spacing w:val="-10"/>
          <w:sz w:val="21"/>
        </w:rPr>
        <w:t> </w:t>
      </w:r>
      <w:r>
        <w:rPr>
          <w:sz w:val="21"/>
        </w:rPr>
        <w:t>disciplinary</w:t>
      </w:r>
      <w:r>
        <w:rPr>
          <w:spacing w:val="-10"/>
          <w:sz w:val="21"/>
        </w:rPr>
        <w:t> </w:t>
      </w:r>
      <w:r>
        <w:rPr>
          <w:sz w:val="21"/>
        </w:rPr>
        <w:t>actions </w:t>
      </w:r>
      <w:r>
        <w:rPr>
          <w:spacing w:val="-2"/>
          <w:sz w:val="21"/>
        </w:rPr>
        <w:t>can have long-lasting consequences, potentially leading to a criminal record that detrimentally impacts their </w:t>
      </w:r>
      <w:r>
        <w:rPr>
          <w:sz w:val="21"/>
        </w:rPr>
        <w:t>prospects in terms of employment and housing.</w:t>
      </w:r>
    </w:p>
    <w:p>
      <w:pPr>
        <w:spacing w:before="239"/>
        <w:ind w:left="464" w:right="0" w:firstLine="0"/>
        <w:jc w:val="both"/>
        <w:rPr>
          <w:sz w:val="26"/>
        </w:rPr>
      </w:pPr>
      <w:bookmarkStart w:name="Criminalization of Consensual Sexual Rel" w:id="547"/>
      <w:bookmarkEnd w:id="547"/>
      <w:r>
        <w:rPr/>
      </w:r>
      <w:r>
        <w:rPr>
          <w:color w:val="404040"/>
          <w:sz w:val="26"/>
        </w:rPr>
        <w:t>Criminalization</w:t>
      </w:r>
      <w:r>
        <w:rPr>
          <w:color w:val="404040"/>
          <w:spacing w:val="-6"/>
          <w:sz w:val="26"/>
        </w:rPr>
        <w:t> </w:t>
      </w:r>
      <w:r>
        <w:rPr>
          <w:color w:val="404040"/>
          <w:sz w:val="26"/>
        </w:rPr>
        <w:t>of</w:t>
      </w:r>
      <w:r>
        <w:rPr>
          <w:color w:val="404040"/>
          <w:spacing w:val="-4"/>
          <w:sz w:val="26"/>
        </w:rPr>
        <w:t> </w:t>
      </w:r>
      <w:r>
        <w:rPr>
          <w:color w:val="404040"/>
          <w:sz w:val="26"/>
        </w:rPr>
        <w:t>Consensual</w:t>
      </w:r>
      <w:r>
        <w:rPr>
          <w:color w:val="404040"/>
          <w:spacing w:val="-4"/>
          <w:sz w:val="26"/>
        </w:rPr>
        <w:t> </w:t>
      </w:r>
      <w:r>
        <w:rPr>
          <w:color w:val="404040"/>
          <w:sz w:val="26"/>
        </w:rPr>
        <w:t>Sexual</w:t>
      </w:r>
      <w:r>
        <w:rPr>
          <w:color w:val="404040"/>
          <w:spacing w:val="-3"/>
          <w:sz w:val="26"/>
        </w:rPr>
        <w:t> </w:t>
      </w:r>
      <w:r>
        <w:rPr>
          <w:color w:val="404040"/>
          <w:sz w:val="26"/>
        </w:rPr>
        <w:t>Relationships</w:t>
      </w:r>
      <w:r>
        <w:rPr>
          <w:color w:val="404040"/>
          <w:spacing w:val="-5"/>
          <w:sz w:val="26"/>
        </w:rPr>
        <w:t> </w:t>
      </w:r>
      <w:r>
        <w:rPr>
          <w:color w:val="404040"/>
          <w:sz w:val="26"/>
        </w:rPr>
        <w:t>and</w:t>
      </w:r>
      <w:r>
        <w:rPr>
          <w:color w:val="404040"/>
          <w:spacing w:val="-5"/>
          <w:sz w:val="26"/>
        </w:rPr>
        <w:t> </w:t>
      </w:r>
      <w:r>
        <w:rPr>
          <w:color w:val="404040"/>
          <w:sz w:val="26"/>
        </w:rPr>
        <w:t>Sex</w:t>
      </w:r>
      <w:r>
        <w:rPr>
          <w:color w:val="404040"/>
          <w:spacing w:val="-3"/>
          <w:sz w:val="26"/>
        </w:rPr>
        <w:t> </w:t>
      </w:r>
      <w:r>
        <w:rPr>
          <w:color w:val="404040"/>
          <w:spacing w:val="-4"/>
          <w:sz w:val="26"/>
        </w:rPr>
        <w:t>Work</w:t>
      </w:r>
    </w:p>
    <w:p>
      <w:pPr>
        <w:spacing w:line="276" w:lineRule="auto" w:before="240"/>
        <w:ind w:left="464" w:right="237" w:firstLine="0"/>
        <w:jc w:val="both"/>
        <w:rPr>
          <w:sz w:val="21"/>
        </w:rPr>
      </w:pPr>
      <w:r>
        <w:rPr>
          <w:sz w:val="21"/>
        </w:rPr>
        <w:t>As</w:t>
      </w:r>
      <w:r>
        <w:rPr>
          <w:spacing w:val="-9"/>
          <w:sz w:val="21"/>
        </w:rPr>
        <w:t> </w:t>
      </w:r>
      <w:r>
        <w:rPr>
          <w:sz w:val="21"/>
        </w:rPr>
        <w:t>reiterated</w:t>
      </w:r>
      <w:r>
        <w:rPr>
          <w:spacing w:val="-10"/>
          <w:sz w:val="21"/>
        </w:rPr>
        <w:t> </w:t>
      </w:r>
      <w:r>
        <w:rPr>
          <w:sz w:val="21"/>
        </w:rPr>
        <w:t>throughout</w:t>
      </w:r>
      <w:r>
        <w:rPr>
          <w:spacing w:val="-9"/>
          <w:sz w:val="21"/>
        </w:rPr>
        <w:t> </w:t>
      </w:r>
      <w:r>
        <w:rPr>
          <w:sz w:val="21"/>
        </w:rPr>
        <w:t>other</w:t>
      </w:r>
      <w:r>
        <w:rPr>
          <w:spacing w:val="-9"/>
          <w:sz w:val="21"/>
        </w:rPr>
        <w:t> </w:t>
      </w:r>
      <w:r>
        <w:rPr>
          <w:sz w:val="21"/>
        </w:rPr>
        <w:t>sections</w:t>
      </w:r>
      <w:r>
        <w:rPr>
          <w:spacing w:val="-9"/>
          <w:sz w:val="21"/>
        </w:rPr>
        <w:t> </w:t>
      </w:r>
      <w:r>
        <w:rPr>
          <w:sz w:val="21"/>
        </w:rPr>
        <w:t>in</w:t>
      </w:r>
      <w:r>
        <w:rPr>
          <w:spacing w:val="-10"/>
          <w:sz w:val="21"/>
        </w:rPr>
        <w:t> </w:t>
      </w:r>
      <w:r>
        <w:rPr>
          <w:sz w:val="21"/>
        </w:rPr>
        <w:t>this</w:t>
      </w:r>
      <w:r>
        <w:rPr>
          <w:spacing w:val="-11"/>
          <w:sz w:val="21"/>
        </w:rPr>
        <w:t> </w:t>
      </w:r>
      <w:r>
        <w:rPr>
          <w:sz w:val="21"/>
        </w:rPr>
        <w:t>annual</w:t>
      </w:r>
      <w:r>
        <w:rPr>
          <w:spacing w:val="-10"/>
          <w:sz w:val="21"/>
        </w:rPr>
        <w:t> </w:t>
      </w:r>
      <w:r>
        <w:rPr>
          <w:sz w:val="21"/>
        </w:rPr>
        <w:t>report,</w:t>
      </w:r>
      <w:r>
        <w:rPr>
          <w:spacing w:val="-10"/>
          <w:sz w:val="21"/>
        </w:rPr>
        <w:t> </w:t>
      </w:r>
      <w:r>
        <w:rPr>
          <w:sz w:val="21"/>
        </w:rPr>
        <w:t>the</w:t>
      </w:r>
      <w:r>
        <w:rPr>
          <w:spacing w:val="-10"/>
          <w:sz w:val="21"/>
        </w:rPr>
        <w:t> </w:t>
      </w:r>
      <w:r>
        <w:rPr>
          <w:sz w:val="21"/>
        </w:rPr>
        <w:t>Commission</w:t>
      </w:r>
      <w:r>
        <w:rPr>
          <w:spacing w:val="-9"/>
          <w:sz w:val="21"/>
        </w:rPr>
        <w:t> </w:t>
      </w:r>
      <w:r>
        <w:rPr>
          <w:sz w:val="21"/>
        </w:rPr>
        <w:t>steadfastly</w:t>
      </w:r>
      <w:r>
        <w:rPr>
          <w:spacing w:val="-9"/>
          <w:sz w:val="21"/>
        </w:rPr>
        <w:t> </w:t>
      </w:r>
      <w:r>
        <w:rPr>
          <w:sz w:val="21"/>
        </w:rPr>
        <w:t>advocates</w:t>
      </w:r>
      <w:r>
        <w:rPr>
          <w:spacing w:val="-9"/>
          <w:sz w:val="21"/>
        </w:rPr>
        <w:t> </w:t>
      </w:r>
      <w:r>
        <w:rPr>
          <w:sz w:val="21"/>
        </w:rPr>
        <w:t>for</w:t>
      </w:r>
      <w:r>
        <w:rPr>
          <w:spacing w:val="-9"/>
          <w:sz w:val="21"/>
        </w:rPr>
        <w:t> </w:t>
      </w:r>
      <w:r>
        <w:rPr>
          <w:sz w:val="21"/>
        </w:rPr>
        <w:t>the decriminalization of sex work for individuals over 18, as decriminalization would alleviate public health disparities, enhance housing accessibility, and diminish the entanglement of LGBTQ youth in the criminal legal system. Furthermore, decriminalization enables a more strategic allocation of resources towards effectively safeguarding vulnerable youth from commercial sexual exploitation and trafficking. This strategic</w:t>
      </w:r>
      <w:r>
        <w:rPr>
          <w:spacing w:val="-9"/>
          <w:sz w:val="21"/>
        </w:rPr>
        <w:t> </w:t>
      </w:r>
      <w:r>
        <w:rPr>
          <w:sz w:val="21"/>
        </w:rPr>
        <w:t>redirection</w:t>
      </w:r>
      <w:r>
        <w:rPr>
          <w:spacing w:val="-9"/>
          <w:sz w:val="21"/>
        </w:rPr>
        <w:t> </w:t>
      </w:r>
      <w:r>
        <w:rPr>
          <w:sz w:val="21"/>
        </w:rPr>
        <w:t>of</w:t>
      </w:r>
      <w:r>
        <w:rPr>
          <w:spacing w:val="-10"/>
          <w:sz w:val="21"/>
        </w:rPr>
        <w:t> </w:t>
      </w:r>
      <w:r>
        <w:rPr>
          <w:sz w:val="21"/>
        </w:rPr>
        <w:t>resources</w:t>
      </w:r>
      <w:r>
        <w:rPr>
          <w:spacing w:val="-10"/>
          <w:sz w:val="21"/>
        </w:rPr>
        <w:t> </w:t>
      </w:r>
      <w:r>
        <w:rPr>
          <w:sz w:val="21"/>
        </w:rPr>
        <w:t>is</w:t>
      </w:r>
      <w:r>
        <w:rPr>
          <w:spacing w:val="-10"/>
          <w:sz w:val="21"/>
        </w:rPr>
        <w:t> </w:t>
      </w:r>
      <w:r>
        <w:rPr>
          <w:sz w:val="21"/>
        </w:rPr>
        <w:t>imperative,</w:t>
      </w:r>
      <w:r>
        <w:rPr>
          <w:spacing w:val="-9"/>
          <w:sz w:val="21"/>
        </w:rPr>
        <w:t> </w:t>
      </w:r>
      <w:r>
        <w:rPr>
          <w:sz w:val="21"/>
        </w:rPr>
        <w:t>as</w:t>
      </w:r>
      <w:r>
        <w:rPr>
          <w:spacing w:val="-10"/>
          <w:sz w:val="21"/>
        </w:rPr>
        <w:t> </w:t>
      </w:r>
      <w:r>
        <w:rPr>
          <w:sz w:val="21"/>
        </w:rPr>
        <w:t>the</w:t>
      </w:r>
      <w:r>
        <w:rPr>
          <w:spacing w:val="-11"/>
          <w:sz w:val="21"/>
        </w:rPr>
        <w:t> </w:t>
      </w:r>
      <w:r>
        <w:rPr>
          <w:sz w:val="21"/>
        </w:rPr>
        <w:t>conflation</w:t>
      </w:r>
      <w:r>
        <w:rPr>
          <w:spacing w:val="-9"/>
          <w:sz w:val="21"/>
        </w:rPr>
        <w:t> </w:t>
      </w:r>
      <w:r>
        <w:rPr>
          <w:sz w:val="21"/>
        </w:rPr>
        <w:t>of</w:t>
      </w:r>
      <w:r>
        <w:rPr>
          <w:spacing w:val="-10"/>
          <w:sz w:val="21"/>
        </w:rPr>
        <w:t> </w:t>
      </w:r>
      <w:r>
        <w:rPr>
          <w:sz w:val="21"/>
        </w:rPr>
        <w:t>sex</w:t>
      </w:r>
      <w:r>
        <w:rPr>
          <w:spacing w:val="-9"/>
          <w:sz w:val="21"/>
        </w:rPr>
        <w:t> </w:t>
      </w:r>
      <w:r>
        <w:rPr>
          <w:sz w:val="21"/>
        </w:rPr>
        <w:t>work</w:t>
      </w:r>
      <w:r>
        <w:rPr>
          <w:spacing w:val="-9"/>
          <w:sz w:val="21"/>
        </w:rPr>
        <w:t> </w:t>
      </w:r>
      <w:r>
        <w:rPr>
          <w:sz w:val="21"/>
        </w:rPr>
        <w:t>with</w:t>
      </w:r>
      <w:r>
        <w:rPr>
          <w:spacing w:val="-9"/>
          <w:sz w:val="21"/>
        </w:rPr>
        <w:t> </w:t>
      </w:r>
      <w:r>
        <w:rPr>
          <w:sz w:val="21"/>
        </w:rPr>
        <w:t>sex</w:t>
      </w:r>
      <w:r>
        <w:rPr>
          <w:spacing w:val="-9"/>
          <w:sz w:val="21"/>
        </w:rPr>
        <w:t> </w:t>
      </w:r>
      <w:r>
        <w:rPr>
          <w:sz w:val="21"/>
        </w:rPr>
        <w:t>trafficking</w:t>
      </w:r>
      <w:r>
        <w:rPr>
          <w:spacing w:val="-10"/>
          <w:sz w:val="21"/>
        </w:rPr>
        <w:t> </w:t>
      </w:r>
      <w:r>
        <w:rPr>
          <w:sz w:val="21"/>
        </w:rPr>
        <w:t>often</w:t>
      </w:r>
      <w:r>
        <w:rPr>
          <w:spacing w:val="-9"/>
          <w:sz w:val="21"/>
        </w:rPr>
        <w:t> </w:t>
      </w:r>
      <w:r>
        <w:rPr>
          <w:sz w:val="21"/>
        </w:rPr>
        <w:t>leads to</w:t>
      </w:r>
      <w:r>
        <w:rPr>
          <w:spacing w:val="-1"/>
          <w:sz w:val="21"/>
        </w:rPr>
        <w:t> </w:t>
      </w:r>
      <w:r>
        <w:rPr>
          <w:sz w:val="21"/>
        </w:rPr>
        <w:t>ineffective</w:t>
      </w:r>
      <w:r>
        <w:rPr>
          <w:spacing w:val="-2"/>
          <w:sz w:val="21"/>
        </w:rPr>
        <w:t> </w:t>
      </w:r>
      <w:r>
        <w:rPr>
          <w:sz w:val="21"/>
        </w:rPr>
        <w:t>and</w:t>
      </w:r>
      <w:r>
        <w:rPr>
          <w:spacing w:val="-1"/>
          <w:sz w:val="21"/>
        </w:rPr>
        <w:t> </w:t>
      </w:r>
      <w:r>
        <w:rPr>
          <w:sz w:val="21"/>
        </w:rPr>
        <w:t>inefficient programs,</w:t>
      </w:r>
      <w:r>
        <w:rPr>
          <w:spacing w:val="-1"/>
          <w:sz w:val="21"/>
        </w:rPr>
        <w:t> </w:t>
      </w:r>
      <w:r>
        <w:rPr>
          <w:sz w:val="21"/>
        </w:rPr>
        <w:t>further</w:t>
      </w:r>
      <w:r>
        <w:rPr>
          <w:spacing w:val="-1"/>
          <w:sz w:val="21"/>
        </w:rPr>
        <w:t> </w:t>
      </w:r>
      <w:r>
        <w:rPr>
          <w:sz w:val="21"/>
        </w:rPr>
        <w:t>stigmatizing</w:t>
      </w:r>
      <w:r>
        <w:rPr>
          <w:spacing w:val="-1"/>
          <w:sz w:val="21"/>
        </w:rPr>
        <w:t> </w:t>
      </w:r>
      <w:r>
        <w:rPr>
          <w:sz w:val="21"/>
        </w:rPr>
        <w:t>and</w:t>
      </w:r>
      <w:r>
        <w:rPr>
          <w:spacing w:val="-1"/>
          <w:sz w:val="21"/>
        </w:rPr>
        <w:t> </w:t>
      </w:r>
      <w:r>
        <w:rPr>
          <w:sz w:val="21"/>
        </w:rPr>
        <w:t>criminalizing</w:t>
      </w:r>
      <w:r>
        <w:rPr>
          <w:spacing w:val="-1"/>
          <w:sz w:val="21"/>
        </w:rPr>
        <w:t> </w:t>
      </w:r>
      <w:r>
        <w:rPr>
          <w:sz w:val="21"/>
        </w:rPr>
        <w:t>both</w:t>
      </w:r>
      <w:r>
        <w:rPr>
          <w:spacing w:val="-2"/>
          <w:sz w:val="21"/>
        </w:rPr>
        <w:t> </w:t>
      </w:r>
      <w:r>
        <w:rPr>
          <w:sz w:val="21"/>
        </w:rPr>
        <w:t>consensual</w:t>
      </w:r>
      <w:r>
        <w:rPr>
          <w:spacing w:val="-1"/>
          <w:sz w:val="21"/>
        </w:rPr>
        <w:t> </w:t>
      </w:r>
      <w:r>
        <w:rPr>
          <w:sz w:val="21"/>
        </w:rPr>
        <w:t>sex workers and sexually exploited victims alike.</w:t>
      </w:r>
      <w:hyperlink w:history="true" w:anchor="_bookmark396">
        <w:r>
          <w:rPr>
            <w:sz w:val="21"/>
            <w:vertAlign w:val="superscript"/>
          </w:rPr>
          <w:t>80</w:t>
        </w:r>
      </w:hyperlink>
    </w:p>
    <w:p>
      <w:pPr>
        <w:spacing w:line="276" w:lineRule="auto" w:before="240"/>
        <w:ind w:left="464" w:right="238" w:firstLine="0"/>
        <w:jc w:val="both"/>
        <w:rPr>
          <w:sz w:val="21"/>
        </w:rPr>
      </w:pPr>
      <w:r>
        <w:rPr>
          <w:sz w:val="21"/>
        </w:rPr>
        <w:t>Furthermore, the Commission recommends a substantial investment in programs tailored to address the vulnerabilities</w:t>
      </w:r>
      <w:r>
        <w:rPr>
          <w:spacing w:val="-8"/>
          <w:sz w:val="21"/>
        </w:rPr>
        <w:t> </w:t>
      </w:r>
      <w:r>
        <w:rPr>
          <w:sz w:val="21"/>
        </w:rPr>
        <w:t>of</w:t>
      </w:r>
      <w:r>
        <w:rPr>
          <w:spacing w:val="-9"/>
          <w:sz w:val="21"/>
        </w:rPr>
        <w:t> </w:t>
      </w:r>
      <w:r>
        <w:rPr>
          <w:sz w:val="21"/>
        </w:rPr>
        <w:t>youth</w:t>
      </w:r>
      <w:r>
        <w:rPr>
          <w:spacing w:val="-9"/>
          <w:sz w:val="21"/>
        </w:rPr>
        <w:t> </w:t>
      </w:r>
      <w:r>
        <w:rPr>
          <w:sz w:val="21"/>
        </w:rPr>
        <w:t>susceptible</w:t>
      </w:r>
      <w:r>
        <w:rPr>
          <w:spacing w:val="-9"/>
          <w:sz w:val="21"/>
        </w:rPr>
        <w:t> </w:t>
      </w:r>
      <w:r>
        <w:rPr>
          <w:sz w:val="21"/>
        </w:rPr>
        <w:t>to</w:t>
      </w:r>
      <w:r>
        <w:rPr>
          <w:spacing w:val="-9"/>
          <w:sz w:val="21"/>
        </w:rPr>
        <w:t> </w:t>
      </w:r>
      <w:r>
        <w:rPr>
          <w:sz w:val="21"/>
        </w:rPr>
        <w:t>commercial</w:t>
      </w:r>
      <w:r>
        <w:rPr>
          <w:spacing w:val="-9"/>
          <w:sz w:val="21"/>
        </w:rPr>
        <w:t> </w:t>
      </w:r>
      <w:r>
        <w:rPr>
          <w:sz w:val="21"/>
        </w:rPr>
        <w:t>sexual</w:t>
      </w:r>
      <w:r>
        <w:rPr>
          <w:spacing w:val="-9"/>
          <w:sz w:val="21"/>
        </w:rPr>
        <w:t> </w:t>
      </w:r>
      <w:r>
        <w:rPr>
          <w:sz w:val="21"/>
        </w:rPr>
        <w:t>exploitation,</w:t>
      </w:r>
      <w:r>
        <w:rPr>
          <w:spacing w:val="-11"/>
          <w:sz w:val="21"/>
        </w:rPr>
        <w:t> </w:t>
      </w:r>
      <w:r>
        <w:rPr>
          <w:sz w:val="21"/>
        </w:rPr>
        <w:t>with</w:t>
      </w:r>
      <w:r>
        <w:rPr>
          <w:spacing w:val="-9"/>
          <w:sz w:val="21"/>
        </w:rPr>
        <w:t> </w:t>
      </w:r>
      <w:r>
        <w:rPr>
          <w:sz w:val="21"/>
        </w:rPr>
        <w:t>a</w:t>
      </w:r>
      <w:r>
        <w:rPr>
          <w:spacing w:val="-9"/>
          <w:sz w:val="21"/>
        </w:rPr>
        <w:t> </w:t>
      </w:r>
      <w:r>
        <w:rPr>
          <w:sz w:val="21"/>
        </w:rPr>
        <w:t>specific</w:t>
      </w:r>
      <w:r>
        <w:rPr>
          <w:spacing w:val="-9"/>
          <w:sz w:val="21"/>
        </w:rPr>
        <w:t> </w:t>
      </w:r>
      <w:r>
        <w:rPr>
          <w:sz w:val="21"/>
        </w:rPr>
        <w:t>focus</w:t>
      </w:r>
      <w:r>
        <w:rPr>
          <w:spacing w:val="-9"/>
          <w:sz w:val="21"/>
        </w:rPr>
        <w:t> </w:t>
      </w:r>
      <w:r>
        <w:rPr>
          <w:sz w:val="21"/>
        </w:rPr>
        <w:t>on</w:t>
      </w:r>
      <w:r>
        <w:rPr>
          <w:spacing w:val="-9"/>
          <w:sz w:val="21"/>
        </w:rPr>
        <w:t> </w:t>
      </w:r>
      <w:r>
        <w:rPr>
          <w:sz w:val="21"/>
        </w:rPr>
        <w:t>LGBTQ</w:t>
      </w:r>
      <w:r>
        <w:rPr>
          <w:spacing w:val="-9"/>
          <w:sz w:val="21"/>
        </w:rPr>
        <w:t> </w:t>
      </w:r>
      <w:r>
        <w:rPr>
          <w:sz w:val="21"/>
        </w:rPr>
        <w:t>youth and cisgender boys, who are frequently overlooked in discussions concerning sexual exploitation and trafficking.</w:t>
      </w:r>
      <w:r>
        <w:rPr>
          <w:spacing w:val="-12"/>
          <w:sz w:val="21"/>
        </w:rPr>
        <w:t> </w:t>
      </w:r>
      <w:r>
        <w:rPr>
          <w:sz w:val="21"/>
        </w:rPr>
        <w:t>Additionally,</w:t>
      </w:r>
      <w:r>
        <w:rPr>
          <w:spacing w:val="-12"/>
          <w:sz w:val="21"/>
        </w:rPr>
        <w:t> </w:t>
      </w:r>
      <w:r>
        <w:rPr>
          <w:sz w:val="21"/>
        </w:rPr>
        <w:t>the</w:t>
      </w:r>
      <w:r>
        <w:rPr>
          <w:spacing w:val="-12"/>
          <w:sz w:val="21"/>
        </w:rPr>
        <w:t> </w:t>
      </w:r>
      <w:r>
        <w:rPr>
          <w:sz w:val="21"/>
        </w:rPr>
        <w:t>state</w:t>
      </w:r>
      <w:r>
        <w:rPr>
          <w:spacing w:val="-12"/>
          <w:sz w:val="21"/>
        </w:rPr>
        <w:t> </w:t>
      </w:r>
      <w:r>
        <w:rPr>
          <w:sz w:val="21"/>
        </w:rPr>
        <w:t>is</w:t>
      </w:r>
      <w:r>
        <w:rPr>
          <w:spacing w:val="-12"/>
          <w:sz w:val="21"/>
        </w:rPr>
        <w:t> </w:t>
      </w:r>
      <w:r>
        <w:rPr>
          <w:sz w:val="21"/>
        </w:rPr>
        <w:t>urged</w:t>
      </w:r>
      <w:r>
        <w:rPr>
          <w:spacing w:val="-12"/>
          <w:sz w:val="21"/>
        </w:rPr>
        <w:t> </w:t>
      </w:r>
      <w:r>
        <w:rPr>
          <w:sz w:val="21"/>
        </w:rPr>
        <w:t>to</w:t>
      </w:r>
      <w:r>
        <w:rPr>
          <w:spacing w:val="-12"/>
          <w:sz w:val="21"/>
        </w:rPr>
        <w:t> </w:t>
      </w:r>
      <w:r>
        <w:rPr>
          <w:sz w:val="21"/>
        </w:rPr>
        <w:t>broaden</w:t>
      </w:r>
      <w:r>
        <w:rPr>
          <w:spacing w:val="-11"/>
          <w:sz w:val="21"/>
        </w:rPr>
        <w:t> </w:t>
      </w:r>
      <w:r>
        <w:rPr>
          <w:sz w:val="21"/>
        </w:rPr>
        <w:t>its</w:t>
      </w:r>
      <w:r>
        <w:rPr>
          <w:spacing w:val="-12"/>
          <w:sz w:val="21"/>
        </w:rPr>
        <w:t> </w:t>
      </w:r>
      <w:r>
        <w:rPr>
          <w:sz w:val="21"/>
        </w:rPr>
        <w:t>approach</w:t>
      </w:r>
      <w:r>
        <w:rPr>
          <w:spacing w:val="-12"/>
          <w:sz w:val="21"/>
        </w:rPr>
        <w:t> </w:t>
      </w:r>
      <w:r>
        <w:rPr>
          <w:sz w:val="21"/>
        </w:rPr>
        <w:t>to</w:t>
      </w:r>
      <w:r>
        <w:rPr>
          <w:spacing w:val="-12"/>
          <w:sz w:val="21"/>
        </w:rPr>
        <w:t> </w:t>
      </w:r>
      <w:r>
        <w:rPr>
          <w:sz w:val="21"/>
        </w:rPr>
        <w:t>youth</w:t>
      </w:r>
      <w:r>
        <w:rPr>
          <w:spacing w:val="-12"/>
          <w:sz w:val="21"/>
        </w:rPr>
        <w:t> </w:t>
      </w:r>
      <w:r>
        <w:rPr>
          <w:sz w:val="21"/>
        </w:rPr>
        <w:t>sex</w:t>
      </w:r>
      <w:r>
        <w:rPr>
          <w:spacing w:val="-12"/>
          <w:sz w:val="21"/>
        </w:rPr>
        <w:t> </w:t>
      </w:r>
      <w:r>
        <w:rPr>
          <w:sz w:val="21"/>
        </w:rPr>
        <w:t>work</w:t>
      </w:r>
      <w:r>
        <w:rPr>
          <w:spacing w:val="-12"/>
          <w:sz w:val="21"/>
        </w:rPr>
        <w:t> </w:t>
      </w:r>
      <w:r>
        <w:rPr>
          <w:sz w:val="21"/>
        </w:rPr>
        <w:t>away</w:t>
      </w:r>
      <w:r>
        <w:rPr>
          <w:spacing w:val="-12"/>
          <w:sz w:val="21"/>
        </w:rPr>
        <w:t> </w:t>
      </w:r>
      <w:r>
        <w:rPr>
          <w:sz w:val="21"/>
        </w:rPr>
        <w:t>from</w:t>
      </w:r>
      <w:r>
        <w:rPr>
          <w:spacing w:val="-11"/>
          <w:sz w:val="21"/>
        </w:rPr>
        <w:t> </w:t>
      </w:r>
      <w:r>
        <w:rPr>
          <w:sz w:val="21"/>
        </w:rPr>
        <w:t>the</w:t>
      </w:r>
      <w:r>
        <w:rPr>
          <w:spacing w:val="-12"/>
          <w:sz w:val="21"/>
        </w:rPr>
        <w:t> </w:t>
      </w:r>
      <w:r>
        <w:rPr>
          <w:sz w:val="21"/>
        </w:rPr>
        <w:t>criminal legal</w:t>
      </w:r>
      <w:r>
        <w:rPr>
          <w:spacing w:val="-8"/>
          <w:sz w:val="21"/>
        </w:rPr>
        <w:t> </w:t>
      </w:r>
      <w:r>
        <w:rPr>
          <w:sz w:val="21"/>
        </w:rPr>
        <w:t>system</w:t>
      </w:r>
      <w:r>
        <w:rPr>
          <w:spacing w:val="-7"/>
          <w:sz w:val="21"/>
        </w:rPr>
        <w:t> </w:t>
      </w:r>
      <w:r>
        <w:rPr>
          <w:sz w:val="21"/>
        </w:rPr>
        <w:t>and</w:t>
      </w:r>
      <w:r>
        <w:rPr>
          <w:spacing w:val="-8"/>
          <w:sz w:val="21"/>
        </w:rPr>
        <w:t> </w:t>
      </w:r>
      <w:r>
        <w:rPr>
          <w:sz w:val="21"/>
        </w:rPr>
        <w:t>instead</w:t>
      </w:r>
      <w:r>
        <w:rPr>
          <w:spacing w:val="-9"/>
          <w:sz w:val="21"/>
        </w:rPr>
        <w:t> </w:t>
      </w:r>
      <w:r>
        <w:rPr>
          <w:sz w:val="21"/>
        </w:rPr>
        <w:t>towards</w:t>
      </w:r>
      <w:r>
        <w:rPr>
          <w:spacing w:val="-8"/>
          <w:sz w:val="21"/>
        </w:rPr>
        <w:t> </w:t>
      </w:r>
      <w:r>
        <w:rPr>
          <w:sz w:val="21"/>
        </w:rPr>
        <w:t>assisting</w:t>
      </w:r>
      <w:r>
        <w:rPr>
          <w:spacing w:val="-8"/>
          <w:sz w:val="21"/>
        </w:rPr>
        <w:t> </w:t>
      </w:r>
      <w:r>
        <w:rPr>
          <w:sz w:val="21"/>
        </w:rPr>
        <w:t>youth</w:t>
      </w:r>
      <w:r>
        <w:rPr>
          <w:spacing w:val="-9"/>
          <w:sz w:val="21"/>
        </w:rPr>
        <w:t> </w:t>
      </w:r>
      <w:r>
        <w:rPr>
          <w:sz w:val="21"/>
        </w:rPr>
        <w:t>that</w:t>
      </w:r>
      <w:r>
        <w:rPr>
          <w:spacing w:val="-8"/>
          <w:sz w:val="21"/>
        </w:rPr>
        <w:t> </w:t>
      </w:r>
      <w:r>
        <w:rPr>
          <w:sz w:val="21"/>
        </w:rPr>
        <w:t>engage</w:t>
      </w:r>
      <w:r>
        <w:rPr>
          <w:spacing w:val="-8"/>
          <w:sz w:val="21"/>
        </w:rPr>
        <w:t> </w:t>
      </w:r>
      <w:r>
        <w:rPr>
          <w:sz w:val="21"/>
        </w:rPr>
        <w:t>in</w:t>
      </w:r>
      <w:r>
        <w:rPr>
          <w:spacing w:val="-8"/>
          <w:sz w:val="21"/>
        </w:rPr>
        <w:t> </w:t>
      </w:r>
      <w:r>
        <w:rPr>
          <w:sz w:val="21"/>
        </w:rPr>
        <w:t>sex</w:t>
      </w:r>
      <w:r>
        <w:rPr>
          <w:spacing w:val="-7"/>
          <w:sz w:val="21"/>
        </w:rPr>
        <w:t> </w:t>
      </w:r>
      <w:r>
        <w:rPr>
          <w:sz w:val="21"/>
        </w:rPr>
        <w:t>work</w:t>
      </w:r>
      <w:r>
        <w:rPr>
          <w:spacing w:val="-7"/>
          <w:sz w:val="21"/>
        </w:rPr>
        <w:t> </w:t>
      </w:r>
      <w:r>
        <w:rPr>
          <w:sz w:val="21"/>
        </w:rPr>
        <w:t>to</w:t>
      </w:r>
      <w:r>
        <w:rPr>
          <w:spacing w:val="-9"/>
          <w:sz w:val="21"/>
        </w:rPr>
        <w:t> </w:t>
      </w:r>
      <w:r>
        <w:rPr>
          <w:sz w:val="21"/>
        </w:rPr>
        <w:t>meet</w:t>
      </w:r>
      <w:r>
        <w:rPr>
          <w:spacing w:val="-8"/>
          <w:sz w:val="21"/>
        </w:rPr>
        <w:t> </w:t>
      </w:r>
      <w:r>
        <w:rPr>
          <w:sz w:val="21"/>
        </w:rPr>
        <w:t>their</w:t>
      </w:r>
      <w:r>
        <w:rPr>
          <w:spacing w:val="-8"/>
          <w:sz w:val="21"/>
        </w:rPr>
        <w:t> </w:t>
      </w:r>
      <w:r>
        <w:rPr>
          <w:sz w:val="21"/>
        </w:rPr>
        <w:t>financial</w:t>
      </w:r>
      <w:r>
        <w:rPr>
          <w:spacing w:val="-8"/>
          <w:sz w:val="21"/>
        </w:rPr>
        <w:t> </w:t>
      </w:r>
      <w:r>
        <w:rPr>
          <w:sz w:val="21"/>
        </w:rPr>
        <w:t>or</w:t>
      </w:r>
      <w:r>
        <w:rPr>
          <w:spacing w:val="-9"/>
          <w:sz w:val="21"/>
        </w:rPr>
        <w:t> </w:t>
      </w:r>
      <w:r>
        <w:rPr>
          <w:sz w:val="21"/>
        </w:rPr>
        <w:t>material needs. For instance, initiatives providing gender-affirming care products could significantly mitigate the risks</w:t>
      </w:r>
      <w:r>
        <w:rPr>
          <w:spacing w:val="-10"/>
          <w:sz w:val="21"/>
        </w:rPr>
        <w:t> </w:t>
      </w:r>
      <w:r>
        <w:rPr>
          <w:sz w:val="21"/>
        </w:rPr>
        <w:t>associated</w:t>
      </w:r>
      <w:r>
        <w:rPr>
          <w:spacing w:val="-9"/>
          <w:sz w:val="21"/>
        </w:rPr>
        <w:t> </w:t>
      </w:r>
      <w:r>
        <w:rPr>
          <w:sz w:val="21"/>
        </w:rPr>
        <w:t>with</w:t>
      </w:r>
      <w:r>
        <w:rPr>
          <w:spacing w:val="-9"/>
          <w:sz w:val="21"/>
        </w:rPr>
        <w:t> </w:t>
      </w:r>
      <w:r>
        <w:rPr>
          <w:sz w:val="21"/>
        </w:rPr>
        <w:t>engaging</w:t>
      </w:r>
      <w:r>
        <w:rPr>
          <w:spacing w:val="-10"/>
          <w:sz w:val="21"/>
        </w:rPr>
        <w:t> </w:t>
      </w:r>
      <w:r>
        <w:rPr>
          <w:sz w:val="21"/>
        </w:rPr>
        <w:t>in</w:t>
      </w:r>
      <w:r>
        <w:rPr>
          <w:spacing w:val="-9"/>
          <w:sz w:val="21"/>
        </w:rPr>
        <w:t> </w:t>
      </w:r>
      <w:r>
        <w:rPr>
          <w:sz w:val="21"/>
        </w:rPr>
        <w:t>sex</w:t>
      </w:r>
      <w:r>
        <w:rPr>
          <w:spacing w:val="-9"/>
          <w:sz w:val="21"/>
        </w:rPr>
        <w:t> </w:t>
      </w:r>
      <w:r>
        <w:rPr>
          <w:sz w:val="21"/>
        </w:rPr>
        <w:t>work</w:t>
      </w:r>
      <w:r>
        <w:rPr>
          <w:spacing w:val="-9"/>
          <w:sz w:val="21"/>
        </w:rPr>
        <w:t> </w:t>
      </w:r>
      <w:r>
        <w:rPr>
          <w:sz w:val="21"/>
        </w:rPr>
        <w:t>by</w:t>
      </w:r>
      <w:r>
        <w:rPr>
          <w:spacing w:val="-9"/>
          <w:sz w:val="21"/>
        </w:rPr>
        <w:t> </w:t>
      </w:r>
      <w:r>
        <w:rPr>
          <w:sz w:val="21"/>
        </w:rPr>
        <w:t>supporting</w:t>
      </w:r>
      <w:r>
        <w:rPr>
          <w:spacing w:val="-10"/>
          <w:sz w:val="21"/>
        </w:rPr>
        <w:t> </w:t>
      </w:r>
      <w:r>
        <w:rPr>
          <w:sz w:val="21"/>
        </w:rPr>
        <w:t>transgender</w:t>
      </w:r>
      <w:r>
        <w:rPr>
          <w:spacing w:val="-9"/>
          <w:sz w:val="21"/>
        </w:rPr>
        <w:t> </w:t>
      </w:r>
      <w:r>
        <w:rPr>
          <w:sz w:val="21"/>
        </w:rPr>
        <w:t>and</w:t>
      </w:r>
      <w:r>
        <w:rPr>
          <w:spacing w:val="-9"/>
          <w:sz w:val="21"/>
        </w:rPr>
        <w:t> </w:t>
      </w:r>
      <w:r>
        <w:rPr>
          <w:sz w:val="21"/>
        </w:rPr>
        <w:t>gender</w:t>
      </w:r>
      <w:r>
        <w:rPr>
          <w:spacing w:val="-9"/>
          <w:sz w:val="21"/>
        </w:rPr>
        <w:t> </w:t>
      </w:r>
      <w:r>
        <w:rPr>
          <w:sz w:val="21"/>
        </w:rPr>
        <w:t>expansive</w:t>
      </w:r>
      <w:r>
        <w:rPr>
          <w:spacing w:val="-9"/>
          <w:sz w:val="21"/>
        </w:rPr>
        <w:t> </w:t>
      </w:r>
      <w:r>
        <w:rPr>
          <w:sz w:val="21"/>
        </w:rPr>
        <w:t>youth</w:t>
      </w:r>
      <w:r>
        <w:rPr>
          <w:spacing w:val="-9"/>
          <w:sz w:val="21"/>
        </w:rPr>
        <w:t> </w:t>
      </w:r>
      <w:r>
        <w:rPr>
          <w:sz w:val="21"/>
        </w:rPr>
        <w:t>who</w:t>
      </w:r>
      <w:r>
        <w:rPr>
          <w:spacing w:val="-10"/>
          <w:sz w:val="21"/>
        </w:rPr>
        <w:t> </w:t>
      </w:r>
      <w:r>
        <w:rPr>
          <w:sz w:val="21"/>
        </w:rPr>
        <w:t>may turn to sex work to afford essential items such as wigs, binders, packers, and makeup.</w:t>
      </w:r>
    </w:p>
    <w:p>
      <w:pPr>
        <w:spacing w:line="276" w:lineRule="auto" w:before="241"/>
        <w:ind w:left="463" w:right="238" w:firstLine="0"/>
        <w:jc w:val="both"/>
        <w:rPr>
          <w:sz w:val="21"/>
        </w:rPr>
      </w:pPr>
      <w:bookmarkStart w:name="_bookmark317" w:id="548"/>
      <w:bookmarkEnd w:id="548"/>
      <w:r>
        <w:rPr/>
      </w:r>
      <w:r>
        <w:rPr>
          <w:sz w:val="21"/>
        </w:rPr>
        <w:t>Despite the U.S. Supreme Court ruling anti-sodomy laws unconstitutional in 2003 and Massachusetts </w:t>
      </w:r>
      <w:bookmarkStart w:name="_bookmark318" w:id="549"/>
      <w:bookmarkEnd w:id="549"/>
      <w:r>
        <w:rPr>
          <w:sz w:val="21"/>
        </w:rPr>
        <w:t>r</w:t>
      </w:r>
      <w:r>
        <w:rPr>
          <w:sz w:val="21"/>
        </w:rPr>
        <w:t>ecognizing</w:t>
      </w:r>
      <w:r>
        <w:rPr>
          <w:spacing w:val="-12"/>
          <w:sz w:val="21"/>
        </w:rPr>
        <w:t> </w:t>
      </w:r>
      <w:r>
        <w:rPr>
          <w:sz w:val="21"/>
        </w:rPr>
        <w:t>same-sex</w:t>
      </w:r>
      <w:r>
        <w:rPr>
          <w:spacing w:val="-11"/>
          <w:sz w:val="21"/>
        </w:rPr>
        <w:t> </w:t>
      </w:r>
      <w:r>
        <w:rPr>
          <w:sz w:val="21"/>
        </w:rPr>
        <w:t>marriage</w:t>
      </w:r>
      <w:r>
        <w:rPr>
          <w:spacing w:val="-11"/>
          <w:sz w:val="21"/>
        </w:rPr>
        <w:t> </w:t>
      </w:r>
      <w:r>
        <w:rPr>
          <w:sz w:val="21"/>
        </w:rPr>
        <w:t>since</w:t>
      </w:r>
      <w:r>
        <w:rPr>
          <w:spacing w:val="-11"/>
          <w:sz w:val="21"/>
        </w:rPr>
        <w:t> </w:t>
      </w:r>
      <w:r>
        <w:rPr>
          <w:sz w:val="21"/>
        </w:rPr>
        <w:t>2004,</w:t>
      </w:r>
      <w:r>
        <w:rPr>
          <w:spacing w:val="-12"/>
          <w:sz w:val="21"/>
        </w:rPr>
        <w:t> </w:t>
      </w:r>
      <w:r>
        <w:rPr>
          <w:sz w:val="21"/>
        </w:rPr>
        <w:t>laws</w:t>
      </w:r>
      <w:r>
        <w:rPr>
          <w:spacing w:val="-12"/>
          <w:sz w:val="21"/>
        </w:rPr>
        <w:t> </w:t>
      </w:r>
      <w:r>
        <w:rPr>
          <w:sz w:val="21"/>
        </w:rPr>
        <w:t>that</w:t>
      </w:r>
      <w:r>
        <w:rPr>
          <w:spacing w:val="-11"/>
          <w:sz w:val="21"/>
        </w:rPr>
        <w:t> </w:t>
      </w:r>
      <w:r>
        <w:rPr>
          <w:sz w:val="21"/>
        </w:rPr>
        <w:t>penalize</w:t>
      </w:r>
      <w:r>
        <w:rPr>
          <w:spacing w:val="-11"/>
          <w:sz w:val="21"/>
        </w:rPr>
        <w:t> </w:t>
      </w:r>
      <w:r>
        <w:rPr>
          <w:sz w:val="21"/>
        </w:rPr>
        <w:t>sodomy,</w:t>
      </w:r>
      <w:r>
        <w:rPr>
          <w:spacing w:val="-11"/>
          <w:sz w:val="21"/>
        </w:rPr>
        <w:t> </w:t>
      </w:r>
      <w:r>
        <w:rPr>
          <w:sz w:val="21"/>
        </w:rPr>
        <w:t>"unnatural</w:t>
      </w:r>
      <w:r>
        <w:rPr>
          <w:spacing w:val="-11"/>
          <w:sz w:val="21"/>
        </w:rPr>
        <w:t> </w:t>
      </w:r>
      <w:r>
        <w:rPr>
          <w:sz w:val="21"/>
        </w:rPr>
        <w:t>acts,"</w:t>
      </w:r>
      <w:r>
        <w:rPr>
          <w:spacing w:val="-12"/>
          <w:sz w:val="21"/>
        </w:rPr>
        <w:t> </w:t>
      </w:r>
      <w:r>
        <w:rPr>
          <w:sz w:val="21"/>
        </w:rPr>
        <w:t>and</w:t>
      </w:r>
      <w:r>
        <w:rPr>
          <w:spacing w:val="-11"/>
          <w:sz w:val="21"/>
        </w:rPr>
        <w:t> </w:t>
      </w:r>
      <w:r>
        <w:rPr>
          <w:sz w:val="21"/>
        </w:rPr>
        <w:t>blasphemy</w:t>
      </w:r>
      <w:r>
        <w:rPr>
          <w:spacing w:val="-12"/>
          <w:sz w:val="21"/>
        </w:rPr>
        <w:t> </w:t>
      </w:r>
      <w:r>
        <w:rPr>
          <w:sz w:val="21"/>
        </w:rPr>
        <w:t>still exist on the Commonwealth’s books.</w:t>
      </w:r>
      <w:hyperlink w:history="true" w:anchor="_bookmark397">
        <w:r>
          <w:rPr>
            <w:sz w:val="21"/>
            <w:vertAlign w:val="superscript"/>
          </w:rPr>
          <w:t>81</w:t>
        </w:r>
      </w:hyperlink>
      <w:r>
        <w:rPr>
          <w:spacing w:val="-1"/>
          <w:sz w:val="21"/>
          <w:vertAlign w:val="baseline"/>
        </w:rPr>
        <w:t> </w:t>
      </w:r>
      <w:r>
        <w:rPr>
          <w:sz w:val="21"/>
          <w:vertAlign w:val="baseline"/>
        </w:rPr>
        <w:t>These laws, though not actively enforced, have been criticized for </w:t>
      </w:r>
      <w:bookmarkStart w:name="_bookmark319" w:id="550"/>
      <w:bookmarkEnd w:id="550"/>
      <w:r>
        <w:rPr>
          <w:sz w:val="21"/>
          <w:vertAlign w:val="baseline"/>
        </w:rPr>
        <w:t>th</w:t>
      </w:r>
      <w:r>
        <w:rPr>
          <w:sz w:val="21"/>
          <w:vertAlign w:val="baseline"/>
        </w:rPr>
        <w:t>eir potential threat to the LGBTQ+ community and others.</w:t>
      </w:r>
      <w:r>
        <w:rPr>
          <w:spacing w:val="40"/>
          <w:sz w:val="21"/>
          <w:vertAlign w:val="baseline"/>
        </w:rPr>
        <w:t> </w:t>
      </w:r>
      <w:r>
        <w:rPr>
          <w:sz w:val="21"/>
          <w:vertAlign w:val="baseline"/>
        </w:rPr>
        <w:t>In January 2024, the Massachusetts State Senate passed Senate Bill 2551 aimed at removing outdated and discriminatory laws from the state's </w:t>
      </w:r>
      <w:bookmarkStart w:name="_bookmark320" w:id="551"/>
      <w:bookmarkEnd w:id="551"/>
      <w:r>
        <w:rPr>
          <w:sz w:val="21"/>
          <w:vertAlign w:val="baseline"/>
        </w:rPr>
        <w:t>s</w:t>
      </w:r>
      <w:r>
        <w:rPr>
          <w:sz w:val="21"/>
          <w:vertAlign w:val="baseline"/>
        </w:rPr>
        <w:t>tatutes.</w:t>
      </w:r>
      <w:r>
        <w:rPr>
          <w:spacing w:val="-12"/>
          <w:sz w:val="21"/>
          <w:vertAlign w:val="baseline"/>
        </w:rPr>
        <w:t> </w:t>
      </w:r>
      <w:hyperlink w:history="true" w:anchor="_bookmark398">
        <w:r>
          <w:rPr>
            <w:sz w:val="21"/>
            <w:vertAlign w:val="superscript"/>
          </w:rPr>
          <w:t>82</w:t>
        </w:r>
      </w:hyperlink>
      <w:r>
        <w:rPr>
          <w:sz w:val="21"/>
          <w:vertAlign w:val="baseline"/>
        </w:rPr>
        <w:t> The bill also seeks to repeal laws related to "common night-walking," which refers to an </w:t>
      </w:r>
      <w:bookmarkStart w:name="_bookmark321" w:id="552"/>
      <w:bookmarkEnd w:id="552"/>
      <w:r>
        <w:rPr>
          <w:sz w:val="21"/>
          <w:vertAlign w:val="baseline"/>
        </w:rPr>
        <w:t>i</w:t>
      </w:r>
      <w:r>
        <w:rPr>
          <w:sz w:val="21"/>
          <w:vertAlign w:val="baseline"/>
        </w:rPr>
        <w:t>ndividual who is out at night, inviting others to participate in illegal sexual activities.</w:t>
      </w:r>
      <w:hyperlink w:history="true" w:anchor="_bookmark399">
        <w:r>
          <w:rPr>
            <w:sz w:val="21"/>
            <w:vertAlign w:val="superscript"/>
          </w:rPr>
          <w:t>83</w:t>
        </w:r>
      </w:hyperlink>
      <w:r>
        <w:rPr>
          <w:spacing w:val="-1"/>
          <w:sz w:val="21"/>
          <w:vertAlign w:val="baseline"/>
        </w:rPr>
        <w:t> </w:t>
      </w:r>
      <w:r>
        <w:rPr>
          <w:sz w:val="21"/>
          <w:vertAlign w:val="baseline"/>
        </w:rPr>
        <w:t>Typically, this term is</w:t>
      </w:r>
      <w:r>
        <w:rPr>
          <w:spacing w:val="-1"/>
          <w:sz w:val="21"/>
          <w:vertAlign w:val="baseline"/>
        </w:rPr>
        <w:t> </w:t>
      </w:r>
      <w:r>
        <w:rPr>
          <w:sz w:val="21"/>
          <w:vertAlign w:val="baseline"/>
        </w:rPr>
        <w:t>used</w:t>
      </w:r>
      <w:r>
        <w:rPr>
          <w:spacing w:val="-1"/>
          <w:sz w:val="21"/>
          <w:vertAlign w:val="baseline"/>
        </w:rPr>
        <w:t> </w:t>
      </w:r>
      <w:r>
        <w:rPr>
          <w:sz w:val="21"/>
          <w:vertAlign w:val="baseline"/>
        </w:rPr>
        <w:t>to</w:t>
      </w:r>
      <w:r>
        <w:rPr>
          <w:spacing w:val="-1"/>
          <w:sz w:val="21"/>
          <w:vertAlign w:val="baseline"/>
        </w:rPr>
        <w:t> </w:t>
      </w:r>
      <w:r>
        <w:rPr>
          <w:sz w:val="21"/>
          <w:vertAlign w:val="baseline"/>
        </w:rPr>
        <w:t>describe</w:t>
      </w:r>
      <w:r>
        <w:rPr>
          <w:spacing w:val="-1"/>
          <w:sz w:val="21"/>
          <w:vertAlign w:val="baseline"/>
        </w:rPr>
        <w:t> </w:t>
      </w:r>
      <w:r>
        <w:rPr>
          <w:sz w:val="21"/>
          <w:vertAlign w:val="baseline"/>
        </w:rPr>
        <w:t>a</w:t>
      </w:r>
      <w:r>
        <w:rPr>
          <w:spacing w:val="-1"/>
          <w:sz w:val="21"/>
          <w:vertAlign w:val="baseline"/>
        </w:rPr>
        <w:t> </w:t>
      </w:r>
      <w:r>
        <w:rPr>
          <w:sz w:val="21"/>
          <w:vertAlign w:val="baseline"/>
        </w:rPr>
        <w:t>sex</w:t>
      </w:r>
      <w:r>
        <w:rPr>
          <w:spacing w:val="-1"/>
          <w:sz w:val="21"/>
          <w:vertAlign w:val="baseline"/>
        </w:rPr>
        <w:t> </w:t>
      </w:r>
      <w:r>
        <w:rPr>
          <w:sz w:val="21"/>
          <w:vertAlign w:val="baseline"/>
        </w:rPr>
        <w:t>worker</w:t>
      </w:r>
      <w:r>
        <w:rPr>
          <w:spacing w:val="-1"/>
          <w:sz w:val="21"/>
          <w:vertAlign w:val="baseline"/>
        </w:rPr>
        <w:t> </w:t>
      </w:r>
      <w:r>
        <w:rPr>
          <w:sz w:val="21"/>
          <w:vertAlign w:val="baseline"/>
        </w:rPr>
        <w:t>who</w:t>
      </w:r>
      <w:r>
        <w:rPr>
          <w:spacing w:val="-1"/>
          <w:sz w:val="21"/>
          <w:vertAlign w:val="baseline"/>
        </w:rPr>
        <w:t> </w:t>
      </w:r>
      <w:r>
        <w:rPr>
          <w:sz w:val="21"/>
          <w:vertAlign w:val="baseline"/>
        </w:rPr>
        <w:t>seeks</w:t>
      </w:r>
      <w:r>
        <w:rPr>
          <w:spacing w:val="-1"/>
          <w:sz w:val="21"/>
          <w:vertAlign w:val="baseline"/>
        </w:rPr>
        <w:t> </w:t>
      </w:r>
      <w:r>
        <w:rPr>
          <w:sz w:val="21"/>
          <w:vertAlign w:val="baseline"/>
        </w:rPr>
        <w:t>out clients</w:t>
      </w:r>
      <w:r>
        <w:rPr>
          <w:spacing w:val="-1"/>
          <w:sz w:val="21"/>
          <w:vertAlign w:val="baseline"/>
        </w:rPr>
        <w:t> </w:t>
      </w:r>
      <w:r>
        <w:rPr>
          <w:sz w:val="21"/>
          <w:vertAlign w:val="baseline"/>
        </w:rPr>
        <w:t>in</w:t>
      </w:r>
      <w:r>
        <w:rPr>
          <w:spacing w:val="-1"/>
          <w:sz w:val="21"/>
          <w:vertAlign w:val="baseline"/>
        </w:rPr>
        <w:t> </w:t>
      </w:r>
      <w:r>
        <w:rPr>
          <w:sz w:val="21"/>
          <w:vertAlign w:val="baseline"/>
        </w:rPr>
        <w:t>public</w:t>
      </w:r>
      <w:r>
        <w:rPr>
          <w:spacing w:val="-1"/>
          <w:sz w:val="21"/>
          <w:vertAlign w:val="baseline"/>
        </w:rPr>
        <w:t> </w:t>
      </w:r>
      <w:r>
        <w:rPr>
          <w:sz w:val="21"/>
          <w:vertAlign w:val="baseline"/>
        </w:rPr>
        <w:t>spaces.</w:t>
      </w:r>
      <w:r>
        <w:rPr>
          <w:spacing w:val="-1"/>
          <w:sz w:val="21"/>
          <w:vertAlign w:val="baseline"/>
        </w:rPr>
        <w:t> </w:t>
      </w:r>
      <w:r>
        <w:rPr>
          <w:sz w:val="21"/>
          <w:vertAlign w:val="baseline"/>
        </w:rPr>
        <w:t>This</w:t>
      </w:r>
      <w:r>
        <w:rPr>
          <w:spacing w:val="-1"/>
          <w:sz w:val="21"/>
          <w:vertAlign w:val="baseline"/>
        </w:rPr>
        <w:t> </w:t>
      </w:r>
      <w:r>
        <w:rPr>
          <w:sz w:val="21"/>
          <w:vertAlign w:val="baseline"/>
        </w:rPr>
        <w:t>archaic</w:t>
      </w:r>
      <w:r>
        <w:rPr>
          <w:spacing w:val="-1"/>
          <w:sz w:val="21"/>
          <w:vertAlign w:val="baseline"/>
        </w:rPr>
        <w:t> </w:t>
      </w:r>
      <w:r>
        <w:rPr>
          <w:sz w:val="21"/>
          <w:vertAlign w:val="baseline"/>
        </w:rPr>
        <w:t>law</w:t>
      </w:r>
      <w:r>
        <w:rPr>
          <w:spacing w:val="-1"/>
          <w:sz w:val="21"/>
          <w:vertAlign w:val="baseline"/>
        </w:rPr>
        <w:t> </w:t>
      </w:r>
      <w:r>
        <w:rPr>
          <w:sz w:val="21"/>
          <w:vertAlign w:val="baseline"/>
        </w:rPr>
        <w:t>disproportionately </w:t>
      </w:r>
      <w:bookmarkStart w:name="_bookmark322" w:id="553"/>
      <w:bookmarkEnd w:id="553"/>
      <w:r>
        <w:rPr>
          <w:sz w:val="21"/>
          <w:vertAlign w:val="baseline"/>
        </w:rPr>
        <w:t>harms</w:t>
      </w:r>
      <w:r>
        <w:rPr>
          <w:spacing w:val="-8"/>
          <w:sz w:val="21"/>
          <w:vertAlign w:val="baseline"/>
        </w:rPr>
        <w:t> </w:t>
      </w:r>
      <w:r>
        <w:rPr>
          <w:sz w:val="21"/>
          <w:vertAlign w:val="baseline"/>
        </w:rPr>
        <w:t>women,</w:t>
      </w:r>
      <w:r>
        <w:rPr>
          <w:spacing w:val="-7"/>
          <w:sz w:val="21"/>
          <w:vertAlign w:val="baseline"/>
        </w:rPr>
        <w:t> </w:t>
      </w:r>
      <w:r>
        <w:rPr>
          <w:sz w:val="21"/>
          <w:vertAlign w:val="baseline"/>
        </w:rPr>
        <w:t>particularly</w:t>
      </w:r>
      <w:r>
        <w:rPr>
          <w:spacing w:val="-8"/>
          <w:sz w:val="21"/>
          <w:vertAlign w:val="baseline"/>
        </w:rPr>
        <w:t> </w:t>
      </w:r>
      <w:r>
        <w:rPr>
          <w:sz w:val="21"/>
          <w:vertAlign w:val="baseline"/>
        </w:rPr>
        <w:t>Black</w:t>
      </w:r>
      <w:r>
        <w:rPr>
          <w:spacing w:val="-8"/>
          <w:sz w:val="21"/>
          <w:vertAlign w:val="baseline"/>
        </w:rPr>
        <w:t> </w:t>
      </w:r>
      <w:r>
        <w:rPr>
          <w:sz w:val="21"/>
          <w:vertAlign w:val="baseline"/>
        </w:rPr>
        <w:t>and</w:t>
      </w:r>
      <w:r>
        <w:rPr>
          <w:spacing w:val="-9"/>
          <w:sz w:val="21"/>
          <w:vertAlign w:val="baseline"/>
        </w:rPr>
        <w:t> </w:t>
      </w:r>
      <w:r>
        <w:rPr>
          <w:sz w:val="21"/>
          <w:vertAlign w:val="baseline"/>
        </w:rPr>
        <w:t>Latino</w:t>
      </w:r>
      <w:r>
        <w:rPr>
          <w:spacing w:val="-8"/>
          <w:sz w:val="21"/>
          <w:vertAlign w:val="baseline"/>
        </w:rPr>
        <w:t> </w:t>
      </w:r>
      <w:r>
        <w:rPr>
          <w:sz w:val="21"/>
          <w:vertAlign w:val="baseline"/>
        </w:rPr>
        <w:t>women</w:t>
      </w:r>
      <w:r>
        <w:rPr>
          <w:spacing w:val="-8"/>
          <w:sz w:val="21"/>
          <w:vertAlign w:val="baseline"/>
        </w:rPr>
        <w:t> </w:t>
      </w:r>
      <w:r>
        <w:rPr>
          <w:sz w:val="21"/>
          <w:vertAlign w:val="baseline"/>
        </w:rPr>
        <w:t>in</w:t>
      </w:r>
      <w:r>
        <w:rPr>
          <w:spacing w:val="-9"/>
          <w:sz w:val="21"/>
          <w:vertAlign w:val="baseline"/>
        </w:rPr>
        <w:t> </w:t>
      </w:r>
      <w:r>
        <w:rPr>
          <w:sz w:val="21"/>
          <w:vertAlign w:val="baseline"/>
        </w:rPr>
        <w:t>low-income</w:t>
      </w:r>
      <w:r>
        <w:rPr>
          <w:spacing w:val="-8"/>
          <w:sz w:val="21"/>
          <w:vertAlign w:val="baseline"/>
        </w:rPr>
        <w:t> </w:t>
      </w:r>
      <w:r>
        <w:rPr>
          <w:sz w:val="21"/>
          <w:vertAlign w:val="baseline"/>
        </w:rPr>
        <w:t>neighborhoods.</w:t>
      </w:r>
      <w:r>
        <w:rPr>
          <w:spacing w:val="-8"/>
          <w:sz w:val="21"/>
          <w:vertAlign w:val="baseline"/>
        </w:rPr>
        <w:t> </w:t>
      </w:r>
      <w:r>
        <w:rPr>
          <w:sz w:val="21"/>
          <w:vertAlign w:val="baseline"/>
        </w:rPr>
        <w:t>The</w:t>
      </w:r>
      <w:r>
        <w:rPr>
          <w:spacing w:val="-8"/>
          <w:sz w:val="21"/>
          <w:vertAlign w:val="baseline"/>
        </w:rPr>
        <w:t> </w:t>
      </w:r>
      <w:r>
        <w:rPr>
          <w:sz w:val="21"/>
          <w:vertAlign w:val="baseline"/>
        </w:rPr>
        <w:t>bill</w:t>
      </w:r>
      <w:r>
        <w:rPr>
          <w:spacing w:val="-8"/>
          <w:sz w:val="21"/>
          <w:vertAlign w:val="baseline"/>
        </w:rPr>
        <w:t> </w:t>
      </w:r>
      <w:r>
        <w:rPr>
          <w:sz w:val="21"/>
          <w:vertAlign w:val="baseline"/>
        </w:rPr>
        <w:t>is</w:t>
      </w:r>
      <w:r>
        <w:rPr>
          <w:spacing w:val="-9"/>
          <w:sz w:val="21"/>
          <w:vertAlign w:val="baseline"/>
        </w:rPr>
        <w:t> </w:t>
      </w:r>
      <w:r>
        <w:rPr>
          <w:sz w:val="21"/>
          <w:vertAlign w:val="baseline"/>
        </w:rPr>
        <w:t>seen</w:t>
      </w:r>
      <w:r>
        <w:rPr>
          <w:spacing w:val="-9"/>
          <w:sz w:val="21"/>
          <w:vertAlign w:val="baseline"/>
        </w:rPr>
        <w:t> </w:t>
      </w:r>
      <w:r>
        <w:rPr>
          <w:sz w:val="21"/>
          <w:vertAlign w:val="baseline"/>
        </w:rPr>
        <w:t>as</w:t>
      </w:r>
      <w:r>
        <w:rPr>
          <w:spacing w:val="-8"/>
          <w:sz w:val="21"/>
          <w:vertAlign w:val="baseline"/>
        </w:rPr>
        <w:t> </w:t>
      </w:r>
      <w:r>
        <w:rPr>
          <w:sz w:val="21"/>
          <w:vertAlign w:val="baseline"/>
        </w:rPr>
        <w:t>a</w:t>
      </w:r>
      <w:r>
        <w:rPr>
          <w:spacing w:val="-9"/>
          <w:sz w:val="21"/>
          <w:vertAlign w:val="baseline"/>
        </w:rPr>
        <w:t> </w:t>
      </w:r>
      <w:r>
        <w:rPr>
          <w:sz w:val="21"/>
          <w:vertAlign w:val="baseline"/>
        </w:rPr>
        <w:t>step </w:t>
      </w:r>
      <w:bookmarkStart w:name="_bookmark323" w:id="554"/>
      <w:bookmarkEnd w:id="554"/>
      <w:r>
        <w:rPr>
          <w:sz w:val="21"/>
          <w:vertAlign w:val="baseline"/>
        </w:rPr>
        <w:t>t</w:t>
      </w:r>
      <w:r>
        <w:rPr>
          <w:sz w:val="21"/>
          <w:vertAlign w:val="baseline"/>
        </w:rPr>
        <w:t>oward respecting individual rights and eliminating laws based on outdated notions of morality and social norms.</w:t>
      </w:r>
      <w:r>
        <w:rPr>
          <w:spacing w:val="-7"/>
          <w:sz w:val="21"/>
          <w:vertAlign w:val="baseline"/>
        </w:rPr>
        <w:t> </w:t>
      </w:r>
      <w:r>
        <w:rPr>
          <w:sz w:val="21"/>
          <w:vertAlign w:val="baseline"/>
        </w:rPr>
        <w:t>As</w:t>
      </w:r>
      <w:r>
        <w:rPr>
          <w:spacing w:val="-7"/>
          <w:sz w:val="21"/>
          <w:vertAlign w:val="baseline"/>
        </w:rPr>
        <w:t> </w:t>
      </w:r>
      <w:r>
        <w:rPr>
          <w:sz w:val="21"/>
          <w:vertAlign w:val="baseline"/>
        </w:rPr>
        <w:t>of</w:t>
      </w:r>
      <w:r>
        <w:rPr>
          <w:spacing w:val="-7"/>
          <w:sz w:val="21"/>
          <w:vertAlign w:val="baseline"/>
        </w:rPr>
        <w:t> </w:t>
      </w:r>
      <w:r>
        <w:rPr>
          <w:sz w:val="21"/>
          <w:vertAlign w:val="baseline"/>
        </w:rPr>
        <w:t>the</w:t>
      </w:r>
      <w:r>
        <w:rPr>
          <w:spacing w:val="-7"/>
          <w:sz w:val="21"/>
          <w:vertAlign w:val="baseline"/>
        </w:rPr>
        <w:t> </w:t>
      </w:r>
      <w:r>
        <w:rPr>
          <w:sz w:val="21"/>
          <w:vertAlign w:val="baseline"/>
        </w:rPr>
        <w:t>drafting</w:t>
      </w:r>
      <w:r>
        <w:rPr>
          <w:spacing w:val="-7"/>
          <w:sz w:val="21"/>
          <w:vertAlign w:val="baseline"/>
        </w:rPr>
        <w:t> </w:t>
      </w:r>
      <w:r>
        <w:rPr>
          <w:sz w:val="21"/>
          <w:vertAlign w:val="baseline"/>
        </w:rPr>
        <w:t>of</w:t>
      </w:r>
      <w:r>
        <w:rPr>
          <w:spacing w:val="-8"/>
          <w:sz w:val="21"/>
          <w:vertAlign w:val="baseline"/>
        </w:rPr>
        <w:t> </w:t>
      </w:r>
      <w:r>
        <w:rPr>
          <w:sz w:val="21"/>
          <w:vertAlign w:val="baseline"/>
        </w:rPr>
        <w:t>the</w:t>
      </w:r>
      <w:r>
        <w:rPr>
          <w:spacing w:val="-7"/>
          <w:sz w:val="21"/>
          <w:vertAlign w:val="baseline"/>
        </w:rPr>
        <w:t> </w:t>
      </w:r>
      <w:r>
        <w:rPr>
          <w:sz w:val="21"/>
          <w:vertAlign w:val="baseline"/>
        </w:rPr>
        <w:t>report,</w:t>
      </w:r>
      <w:r>
        <w:rPr>
          <w:spacing w:val="-8"/>
          <w:sz w:val="21"/>
          <w:vertAlign w:val="baseline"/>
        </w:rPr>
        <w:t> </w:t>
      </w:r>
      <w:r>
        <w:rPr>
          <w:sz w:val="21"/>
          <w:vertAlign w:val="baseline"/>
        </w:rPr>
        <w:t>the</w:t>
      </w:r>
      <w:r>
        <w:rPr>
          <w:spacing w:val="-7"/>
          <w:sz w:val="21"/>
          <w:vertAlign w:val="baseline"/>
        </w:rPr>
        <w:t> </w:t>
      </w:r>
      <w:r>
        <w:rPr>
          <w:sz w:val="21"/>
          <w:vertAlign w:val="baseline"/>
        </w:rPr>
        <w:t>bill</w:t>
      </w:r>
      <w:r>
        <w:rPr>
          <w:spacing w:val="-7"/>
          <w:sz w:val="21"/>
          <w:vertAlign w:val="baseline"/>
        </w:rPr>
        <w:t> </w:t>
      </w:r>
      <w:r>
        <w:rPr>
          <w:sz w:val="21"/>
          <w:vertAlign w:val="baseline"/>
        </w:rPr>
        <w:t>is</w:t>
      </w:r>
      <w:r>
        <w:rPr>
          <w:spacing w:val="-7"/>
          <w:sz w:val="21"/>
          <w:vertAlign w:val="baseline"/>
        </w:rPr>
        <w:t> </w:t>
      </w:r>
      <w:r>
        <w:rPr>
          <w:sz w:val="21"/>
          <w:vertAlign w:val="baseline"/>
        </w:rPr>
        <w:t>still</w:t>
      </w:r>
      <w:r>
        <w:rPr>
          <w:spacing w:val="-8"/>
          <w:sz w:val="21"/>
          <w:vertAlign w:val="baseline"/>
        </w:rPr>
        <w:t> </w:t>
      </w:r>
      <w:r>
        <w:rPr>
          <w:sz w:val="21"/>
          <w:vertAlign w:val="baseline"/>
        </w:rPr>
        <w:t>pending</w:t>
      </w:r>
      <w:r>
        <w:rPr>
          <w:spacing w:val="-7"/>
          <w:sz w:val="21"/>
          <w:vertAlign w:val="baseline"/>
        </w:rPr>
        <w:t> </w:t>
      </w:r>
      <w:r>
        <w:rPr>
          <w:sz w:val="21"/>
          <w:vertAlign w:val="baseline"/>
        </w:rPr>
        <w:t>in</w:t>
      </w:r>
      <w:r>
        <w:rPr>
          <w:spacing w:val="-8"/>
          <w:sz w:val="21"/>
          <w:vertAlign w:val="baseline"/>
        </w:rPr>
        <w:t> </w:t>
      </w:r>
      <w:r>
        <w:rPr>
          <w:sz w:val="21"/>
          <w:vertAlign w:val="baseline"/>
        </w:rPr>
        <w:t>the</w:t>
      </w:r>
      <w:r>
        <w:rPr>
          <w:spacing w:val="-7"/>
          <w:sz w:val="21"/>
          <w:vertAlign w:val="baseline"/>
        </w:rPr>
        <w:t> </w:t>
      </w:r>
      <w:r>
        <w:rPr>
          <w:sz w:val="21"/>
          <w:vertAlign w:val="baseline"/>
        </w:rPr>
        <w:t>House</w:t>
      </w:r>
      <w:r>
        <w:rPr>
          <w:spacing w:val="-7"/>
          <w:sz w:val="21"/>
          <w:vertAlign w:val="baseline"/>
        </w:rPr>
        <w:t> </w:t>
      </w:r>
      <w:r>
        <w:rPr>
          <w:sz w:val="21"/>
          <w:vertAlign w:val="baseline"/>
        </w:rPr>
        <w:t>Committee</w:t>
      </w:r>
      <w:r>
        <w:rPr>
          <w:spacing w:val="-7"/>
          <w:sz w:val="21"/>
          <w:vertAlign w:val="baseline"/>
        </w:rPr>
        <w:t> </w:t>
      </w:r>
      <w:r>
        <w:rPr>
          <w:sz w:val="21"/>
          <w:vertAlign w:val="baseline"/>
        </w:rPr>
        <w:t>on</w:t>
      </w:r>
      <w:r>
        <w:rPr>
          <w:spacing w:val="-8"/>
          <w:sz w:val="21"/>
          <w:vertAlign w:val="baseline"/>
        </w:rPr>
        <w:t> </w:t>
      </w:r>
      <w:r>
        <w:rPr>
          <w:sz w:val="21"/>
          <w:vertAlign w:val="baseline"/>
        </w:rPr>
        <w:t>Ways</w:t>
      </w:r>
      <w:r>
        <w:rPr>
          <w:spacing w:val="-7"/>
          <w:sz w:val="21"/>
          <w:vertAlign w:val="baseline"/>
        </w:rPr>
        <w:t> </w:t>
      </w:r>
      <w:r>
        <w:rPr>
          <w:sz w:val="21"/>
          <w:vertAlign w:val="baseline"/>
        </w:rPr>
        <w:t>and</w:t>
      </w:r>
      <w:r>
        <w:rPr>
          <w:spacing w:val="-7"/>
          <w:sz w:val="21"/>
          <w:vertAlign w:val="baseline"/>
        </w:rPr>
        <w:t> </w:t>
      </w:r>
      <w:r>
        <w:rPr>
          <w:sz w:val="21"/>
          <w:vertAlign w:val="baseline"/>
        </w:rPr>
        <w:t>Means. The Commission supports this bill, and others like it, aimed to decriminalize adult sex work, as its impact</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firstLine="0"/>
        <w:jc w:val="both"/>
        <w:rPr>
          <w:sz w:val="21"/>
        </w:rPr>
      </w:pPr>
      <w:r>
        <w:rPr>
          <w:sz w:val="21"/>
        </w:rPr>
        <w:t>would be far-reaching for many LGBTQ youths over 18. Decriminalizing sex work is a crucial step towards </w:t>
      </w:r>
      <w:bookmarkStart w:name="_bookmark324" w:id="555"/>
      <w:bookmarkEnd w:id="555"/>
      <w:r>
        <w:rPr>
          <w:sz w:val="21"/>
        </w:rPr>
        <w:t>e</w:t>
      </w:r>
      <w:r>
        <w:rPr>
          <w:sz w:val="21"/>
        </w:rPr>
        <w:t>nhancing legal protections, improving access to justice and healthcare, and combatting violence against sex workers, thereby fostering healthier and more equitable communities.</w:t>
      </w:r>
    </w:p>
    <w:p>
      <w:pPr>
        <w:spacing w:line="276" w:lineRule="auto" w:before="240"/>
        <w:ind w:left="464" w:right="241" w:firstLine="0"/>
        <w:jc w:val="both"/>
        <w:rPr>
          <w:sz w:val="21"/>
        </w:rPr>
      </w:pPr>
      <w:bookmarkStart w:name="_bookmark325" w:id="556"/>
      <w:bookmarkEnd w:id="556"/>
      <w:r>
        <w:rPr/>
      </w:r>
      <w:bookmarkStart w:name="_bookmark326" w:id="557"/>
      <w:bookmarkEnd w:id="557"/>
      <w:r>
        <w:rPr/>
      </w:r>
      <w:r>
        <w:rPr>
          <w:sz w:val="21"/>
        </w:rPr>
        <w:t>In addition, the Commission advocates for the decriminalization of consensual teen sex and sexting, proposing adjustments to the current age of consent laws for minors involved in consensual sexual activities.</w:t>
      </w:r>
      <w:hyperlink w:history="true" w:anchor="_bookmark400">
        <w:r>
          <w:rPr>
            <w:sz w:val="21"/>
            <w:vertAlign w:val="superscript"/>
          </w:rPr>
          <w:t>84</w:t>
        </w:r>
      </w:hyperlink>
      <w:r>
        <w:rPr>
          <w:spacing w:val="-2"/>
          <w:sz w:val="21"/>
          <w:vertAlign w:val="baseline"/>
        </w:rPr>
        <w:t> </w:t>
      </w:r>
      <w:r>
        <w:rPr>
          <w:sz w:val="21"/>
          <w:vertAlign w:val="baseline"/>
        </w:rPr>
        <w:t>Despite</w:t>
      </w:r>
      <w:r>
        <w:rPr>
          <w:spacing w:val="-2"/>
          <w:sz w:val="21"/>
          <w:vertAlign w:val="baseline"/>
        </w:rPr>
        <w:t> </w:t>
      </w:r>
      <w:r>
        <w:rPr>
          <w:sz w:val="21"/>
          <w:vertAlign w:val="baseline"/>
        </w:rPr>
        <w:t>the</w:t>
      </w:r>
      <w:r>
        <w:rPr>
          <w:spacing w:val="-2"/>
          <w:sz w:val="21"/>
          <w:vertAlign w:val="baseline"/>
        </w:rPr>
        <w:t> </w:t>
      </w:r>
      <w:r>
        <w:rPr>
          <w:sz w:val="21"/>
          <w:vertAlign w:val="baseline"/>
        </w:rPr>
        <w:t>absence</w:t>
      </w:r>
      <w:r>
        <w:rPr>
          <w:spacing w:val="-2"/>
          <w:sz w:val="21"/>
          <w:vertAlign w:val="baseline"/>
        </w:rPr>
        <w:t> </w:t>
      </w:r>
      <w:r>
        <w:rPr>
          <w:sz w:val="21"/>
          <w:vertAlign w:val="baseline"/>
        </w:rPr>
        <w:t>of</w:t>
      </w:r>
      <w:r>
        <w:rPr>
          <w:spacing w:val="-2"/>
          <w:sz w:val="21"/>
          <w:vertAlign w:val="baseline"/>
        </w:rPr>
        <w:t> </w:t>
      </w:r>
      <w:r>
        <w:rPr>
          <w:sz w:val="21"/>
          <w:vertAlign w:val="baseline"/>
        </w:rPr>
        <w:t>explicit</w:t>
      </w:r>
      <w:r>
        <w:rPr>
          <w:spacing w:val="-2"/>
          <w:sz w:val="21"/>
          <w:vertAlign w:val="baseline"/>
        </w:rPr>
        <w:t> </w:t>
      </w:r>
      <w:r>
        <w:rPr>
          <w:sz w:val="21"/>
          <w:vertAlign w:val="baseline"/>
        </w:rPr>
        <w:t>sexting</w:t>
      </w:r>
      <w:r>
        <w:rPr>
          <w:spacing w:val="-2"/>
          <w:sz w:val="21"/>
          <w:vertAlign w:val="baseline"/>
        </w:rPr>
        <w:t> </w:t>
      </w:r>
      <w:r>
        <w:rPr>
          <w:sz w:val="21"/>
          <w:vertAlign w:val="baseline"/>
        </w:rPr>
        <w:t>laws</w:t>
      </w:r>
      <w:r>
        <w:rPr>
          <w:spacing w:val="-2"/>
          <w:sz w:val="21"/>
          <w:vertAlign w:val="baseline"/>
        </w:rPr>
        <w:t> </w:t>
      </w:r>
      <w:r>
        <w:rPr>
          <w:sz w:val="21"/>
          <w:vertAlign w:val="baseline"/>
        </w:rPr>
        <w:t>in</w:t>
      </w:r>
      <w:r>
        <w:rPr>
          <w:spacing w:val="-2"/>
          <w:sz w:val="21"/>
          <w:vertAlign w:val="baseline"/>
        </w:rPr>
        <w:t> </w:t>
      </w:r>
      <w:r>
        <w:rPr>
          <w:sz w:val="21"/>
          <w:vertAlign w:val="baseline"/>
        </w:rPr>
        <w:t>Massachusetts,</w:t>
      </w:r>
      <w:r>
        <w:rPr>
          <w:spacing w:val="-1"/>
          <w:sz w:val="21"/>
          <w:vertAlign w:val="baseline"/>
        </w:rPr>
        <w:t> </w:t>
      </w:r>
      <w:r>
        <w:rPr>
          <w:sz w:val="21"/>
          <w:vertAlign w:val="baseline"/>
        </w:rPr>
        <w:t>child</w:t>
      </w:r>
      <w:r>
        <w:rPr>
          <w:spacing w:val="-2"/>
          <w:sz w:val="21"/>
          <w:vertAlign w:val="baseline"/>
        </w:rPr>
        <w:t> </w:t>
      </w:r>
      <w:r>
        <w:rPr>
          <w:sz w:val="21"/>
          <w:vertAlign w:val="baseline"/>
        </w:rPr>
        <w:t>pornography</w:t>
      </w:r>
      <w:r>
        <w:rPr>
          <w:spacing w:val="-2"/>
          <w:sz w:val="21"/>
          <w:vertAlign w:val="baseline"/>
        </w:rPr>
        <w:t> </w:t>
      </w:r>
      <w:r>
        <w:rPr>
          <w:sz w:val="21"/>
          <w:vertAlign w:val="baseline"/>
        </w:rPr>
        <w:t>statutes</w:t>
      </w:r>
      <w:r>
        <w:rPr>
          <w:spacing w:val="-2"/>
          <w:sz w:val="21"/>
          <w:vertAlign w:val="baseline"/>
        </w:rPr>
        <w:t> </w:t>
      </w:r>
      <w:r>
        <w:rPr>
          <w:sz w:val="21"/>
          <w:vertAlign w:val="baseline"/>
        </w:rPr>
        <w:t>pose </w:t>
      </w:r>
      <w:bookmarkStart w:name="_bookmark327" w:id="558"/>
      <w:bookmarkEnd w:id="558"/>
      <w:r>
        <w:rPr>
          <w:sz w:val="21"/>
          <w:vertAlign w:val="baseline"/>
        </w:rPr>
        <w:t>p</w:t>
      </w:r>
      <w:r>
        <w:rPr>
          <w:sz w:val="21"/>
          <w:vertAlign w:val="baseline"/>
        </w:rPr>
        <w:t>otential</w:t>
      </w:r>
      <w:r>
        <w:rPr>
          <w:spacing w:val="-7"/>
          <w:sz w:val="21"/>
          <w:vertAlign w:val="baseline"/>
        </w:rPr>
        <w:t> </w:t>
      </w:r>
      <w:r>
        <w:rPr>
          <w:sz w:val="21"/>
          <w:vertAlign w:val="baseline"/>
        </w:rPr>
        <w:t>legal</w:t>
      </w:r>
      <w:r>
        <w:rPr>
          <w:spacing w:val="-8"/>
          <w:sz w:val="21"/>
          <w:vertAlign w:val="baseline"/>
        </w:rPr>
        <w:t> </w:t>
      </w:r>
      <w:r>
        <w:rPr>
          <w:sz w:val="21"/>
          <w:vertAlign w:val="baseline"/>
        </w:rPr>
        <w:t>ramifications</w:t>
      </w:r>
      <w:r>
        <w:rPr>
          <w:spacing w:val="-8"/>
          <w:sz w:val="21"/>
          <w:vertAlign w:val="baseline"/>
        </w:rPr>
        <w:t> </w:t>
      </w:r>
      <w:r>
        <w:rPr>
          <w:sz w:val="21"/>
          <w:vertAlign w:val="baseline"/>
        </w:rPr>
        <w:t>for</w:t>
      </w:r>
      <w:r>
        <w:rPr>
          <w:spacing w:val="-7"/>
          <w:sz w:val="21"/>
          <w:vertAlign w:val="baseline"/>
        </w:rPr>
        <w:t> </w:t>
      </w:r>
      <w:r>
        <w:rPr>
          <w:sz w:val="21"/>
          <w:vertAlign w:val="baseline"/>
        </w:rPr>
        <w:t>minors</w:t>
      </w:r>
      <w:r>
        <w:rPr>
          <w:spacing w:val="-7"/>
          <w:sz w:val="21"/>
          <w:vertAlign w:val="baseline"/>
        </w:rPr>
        <w:t> </w:t>
      </w:r>
      <w:r>
        <w:rPr>
          <w:sz w:val="21"/>
          <w:vertAlign w:val="baseline"/>
        </w:rPr>
        <w:t>under</w:t>
      </w:r>
      <w:r>
        <w:rPr>
          <w:spacing w:val="-7"/>
          <w:sz w:val="21"/>
          <w:vertAlign w:val="baseline"/>
        </w:rPr>
        <w:t> </w:t>
      </w:r>
      <w:r>
        <w:rPr>
          <w:sz w:val="21"/>
          <w:vertAlign w:val="baseline"/>
        </w:rPr>
        <w:t>16</w:t>
      </w:r>
      <w:r>
        <w:rPr>
          <w:spacing w:val="-8"/>
          <w:sz w:val="21"/>
          <w:vertAlign w:val="baseline"/>
        </w:rPr>
        <w:t> </w:t>
      </w:r>
      <w:r>
        <w:rPr>
          <w:sz w:val="21"/>
          <w:vertAlign w:val="baseline"/>
        </w:rPr>
        <w:t>engaging</w:t>
      </w:r>
      <w:r>
        <w:rPr>
          <w:spacing w:val="-7"/>
          <w:sz w:val="21"/>
          <w:vertAlign w:val="baseline"/>
        </w:rPr>
        <w:t> </w:t>
      </w:r>
      <w:r>
        <w:rPr>
          <w:sz w:val="21"/>
          <w:vertAlign w:val="baseline"/>
        </w:rPr>
        <w:t>in</w:t>
      </w:r>
      <w:r>
        <w:rPr>
          <w:spacing w:val="-7"/>
          <w:sz w:val="21"/>
          <w:vertAlign w:val="baseline"/>
        </w:rPr>
        <w:t> </w:t>
      </w:r>
      <w:r>
        <w:rPr>
          <w:sz w:val="21"/>
          <w:vertAlign w:val="baseline"/>
        </w:rPr>
        <w:t>consensual</w:t>
      </w:r>
      <w:r>
        <w:rPr>
          <w:spacing w:val="-7"/>
          <w:sz w:val="21"/>
          <w:vertAlign w:val="baseline"/>
        </w:rPr>
        <w:t> </w:t>
      </w:r>
      <w:r>
        <w:rPr>
          <w:sz w:val="21"/>
          <w:vertAlign w:val="baseline"/>
        </w:rPr>
        <w:t>sexting,</w:t>
      </w:r>
      <w:r>
        <w:rPr>
          <w:spacing w:val="-7"/>
          <w:sz w:val="21"/>
          <w:vertAlign w:val="baseline"/>
        </w:rPr>
        <w:t> </w:t>
      </w:r>
      <w:r>
        <w:rPr>
          <w:sz w:val="21"/>
          <w:vertAlign w:val="baseline"/>
        </w:rPr>
        <w:t>which</w:t>
      </w:r>
      <w:r>
        <w:rPr>
          <w:spacing w:val="-7"/>
          <w:sz w:val="21"/>
          <w:vertAlign w:val="baseline"/>
        </w:rPr>
        <w:t> </w:t>
      </w:r>
      <w:r>
        <w:rPr>
          <w:sz w:val="21"/>
          <w:vertAlign w:val="baseline"/>
        </w:rPr>
        <w:t>can</w:t>
      </w:r>
      <w:r>
        <w:rPr>
          <w:spacing w:val="-8"/>
          <w:sz w:val="21"/>
          <w:vertAlign w:val="baseline"/>
        </w:rPr>
        <w:t> </w:t>
      </w:r>
      <w:r>
        <w:rPr>
          <w:sz w:val="21"/>
          <w:vertAlign w:val="baseline"/>
        </w:rPr>
        <w:t>lead</w:t>
      </w:r>
      <w:r>
        <w:rPr>
          <w:spacing w:val="-8"/>
          <w:sz w:val="21"/>
          <w:vertAlign w:val="baseline"/>
        </w:rPr>
        <w:t> </w:t>
      </w:r>
      <w:r>
        <w:rPr>
          <w:sz w:val="21"/>
          <w:vertAlign w:val="baseline"/>
        </w:rPr>
        <w:t>to</w:t>
      </w:r>
      <w:r>
        <w:rPr>
          <w:spacing w:val="-7"/>
          <w:sz w:val="21"/>
          <w:vertAlign w:val="baseline"/>
        </w:rPr>
        <w:t> </w:t>
      </w:r>
      <w:r>
        <w:rPr>
          <w:sz w:val="21"/>
          <w:vertAlign w:val="baseline"/>
        </w:rPr>
        <w:t>criminal convictions.</w:t>
      </w:r>
      <w:hyperlink w:history="true" w:anchor="_bookmark401">
        <w:r>
          <w:rPr>
            <w:sz w:val="21"/>
            <w:vertAlign w:val="superscript"/>
          </w:rPr>
          <w:t>85</w:t>
        </w:r>
      </w:hyperlink>
      <w:r>
        <w:rPr>
          <w:spacing w:val="-2"/>
          <w:sz w:val="21"/>
          <w:vertAlign w:val="baseline"/>
        </w:rPr>
        <w:t> </w:t>
      </w:r>
      <w:r>
        <w:rPr>
          <w:sz w:val="21"/>
          <w:vertAlign w:val="baseline"/>
        </w:rPr>
        <w:t>It</w:t>
      </w:r>
      <w:r>
        <w:rPr>
          <w:spacing w:val="-5"/>
          <w:sz w:val="21"/>
          <w:vertAlign w:val="baseline"/>
        </w:rPr>
        <w:t> </w:t>
      </w:r>
      <w:r>
        <w:rPr>
          <w:sz w:val="21"/>
          <w:vertAlign w:val="baseline"/>
        </w:rPr>
        <w:t>is</w:t>
      </w:r>
      <w:r>
        <w:rPr>
          <w:spacing w:val="-5"/>
          <w:sz w:val="21"/>
          <w:vertAlign w:val="baseline"/>
        </w:rPr>
        <w:t> </w:t>
      </w:r>
      <w:r>
        <w:rPr>
          <w:sz w:val="21"/>
          <w:vertAlign w:val="baseline"/>
        </w:rPr>
        <w:t>recommended</w:t>
      </w:r>
      <w:r>
        <w:rPr>
          <w:spacing w:val="-4"/>
          <w:sz w:val="21"/>
          <w:vertAlign w:val="baseline"/>
        </w:rPr>
        <w:t> </w:t>
      </w:r>
      <w:r>
        <w:rPr>
          <w:sz w:val="21"/>
          <w:vertAlign w:val="baseline"/>
        </w:rPr>
        <w:t>that</w:t>
      </w:r>
      <w:r>
        <w:rPr>
          <w:spacing w:val="-5"/>
          <w:sz w:val="21"/>
          <w:vertAlign w:val="baseline"/>
        </w:rPr>
        <w:t> </w:t>
      </w:r>
      <w:r>
        <w:rPr>
          <w:sz w:val="21"/>
          <w:vertAlign w:val="baseline"/>
        </w:rPr>
        <w:t>legislative</w:t>
      </w:r>
      <w:r>
        <w:rPr>
          <w:spacing w:val="-4"/>
          <w:sz w:val="21"/>
          <w:vertAlign w:val="baseline"/>
        </w:rPr>
        <w:t> </w:t>
      </w:r>
      <w:r>
        <w:rPr>
          <w:sz w:val="21"/>
          <w:vertAlign w:val="baseline"/>
        </w:rPr>
        <w:t>reforms</w:t>
      </w:r>
      <w:r>
        <w:rPr>
          <w:spacing w:val="-5"/>
          <w:sz w:val="21"/>
          <w:vertAlign w:val="baseline"/>
        </w:rPr>
        <w:t> </w:t>
      </w:r>
      <w:r>
        <w:rPr>
          <w:sz w:val="21"/>
          <w:vertAlign w:val="baseline"/>
        </w:rPr>
        <w:t>be</w:t>
      </w:r>
      <w:r>
        <w:rPr>
          <w:spacing w:val="-4"/>
          <w:sz w:val="21"/>
          <w:vertAlign w:val="baseline"/>
        </w:rPr>
        <w:t> </w:t>
      </w:r>
      <w:r>
        <w:rPr>
          <w:sz w:val="21"/>
          <w:vertAlign w:val="baseline"/>
        </w:rPr>
        <w:t>taken</w:t>
      </w:r>
      <w:r>
        <w:rPr>
          <w:spacing w:val="-6"/>
          <w:sz w:val="21"/>
          <w:vertAlign w:val="baseline"/>
        </w:rPr>
        <w:t> </w:t>
      </w:r>
      <w:r>
        <w:rPr>
          <w:sz w:val="21"/>
          <w:vertAlign w:val="baseline"/>
        </w:rPr>
        <w:t>to</w:t>
      </w:r>
      <w:r>
        <w:rPr>
          <w:spacing w:val="-5"/>
          <w:sz w:val="21"/>
          <w:vertAlign w:val="baseline"/>
        </w:rPr>
        <w:t> </w:t>
      </w:r>
      <w:r>
        <w:rPr>
          <w:sz w:val="21"/>
          <w:vertAlign w:val="baseline"/>
        </w:rPr>
        <w:t>support</w:t>
      </w:r>
      <w:r>
        <w:rPr>
          <w:spacing w:val="-4"/>
          <w:sz w:val="21"/>
          <w:vertAlign w:val="baseline"/>
        </w:rPr>
        <w:t> </w:t>
      </w:r>
      <w:r>
        <w:rPr>
          <w:sz w:val="21"/>
          <w:vertAlign w:val="baseline"/>
        </w:rPr>
        <w:t>minors</w:t>
      </w:r>
      <w:r>
        <w:rPr>
          <w:spacing w:val="-5"/>
          <w:sz w:val="21"/>
          <w:vertAlign w:val="baseline"/>
        </w:rPr>
        <w:t> </w:t>
      </w:r>
      <w:r>
        <w:rPr>
          <w:sz w:val="21"/>
          <w:vertAlign w:val="baseline"/>
        </w:rPr>
        <w:t>in</w:t>
      </w:r>
      <w:r>
        <w:rPr>
          <w:spacing w:val="-4"/>
          <w:sz w:val="21"/>
          <w:vertAlign w:val="baseline"/>
        </w:rPr>
        <w:t> </w:t>
      </w:r>
      <w:r>
        <w:rPr>
          <w:sz w:val="21"/>
          <w:vertAlign w:val="baseline"/>
        </w:rPr>
        <w:t>navigating</w:t>
      </w:r>
      <w:r>
        <w:rPr>
          <w:spacing w:val="-5"/>
          <w:sz w:val="21"/>
          <w:vertAlign w:val="baseline"/>
        </w:rPr>
        <w:t> </w:t>
      </w:r>
      <w:r>
        <w:rPr>
          <w:sz w:val="21"/>
          <w:vertAlign w:val="baseline"/>
        </w:rPr>
        <w:t>evolving </w:t>
      </w:r>
      <w:bookmarkStart w:name="_bookmark328" w:id="559"/>
      <w:bookmarkEnd w:id="559"/>
      <w:r>
        <w:rPr>
          <w:sz w:val="21"/>
          <w:vertAlign w:val="baseline"/>
        </w:rPr>
        <w:t>t</w:t>
      </w:r>
      <w:r>
        <w:rPr>
          <w:sz w:val="21"/>
          <w:vertAlign w:val="baseline"/>
        </w:rPr>
        <w:t>echnology and dating culture without subjecting them to criminal penalties.</w:t>
      </w:r>
    </w:p>
    <w:p>
      <w:pPr>
        <w:spacing w:line="276" w:lineRule="auto" w:before="240"/>
        <w:ind w:left="464" w:right="239" w:firstLine="0"/>
        <w:jc w:val="both"/>
        <w:rPr>
          <w:sz w:val="21"/>
        </w:rPr>
      </w:pPr>
      <w:bookmarkStart w:name="_bookmark329" w:id="560"/>
      <w:bookmarkEnd w:id="560"/>
      <w:r>
        <w:rPr/>
      </w:r>
      <w:r>
        <w:rPr>
          <w:sz w:val="21"/>
        </w:rPr>
        <w:t>Moreover, evidence shows discriminatory policing of consensual teen sexual relationships, particularly </w:t>
      </w:r>
      <w:bookmarkStart w:name="_bookmark330" w:id="561"/>
      <w:bookmarkEnd w:id="561"/>
      <w:r>
        <w:rPr>
          <w:sz w:val="21"/>
        </w:rPr>
        <w:t>impact</w:t>
      </w:r>
      <w:r>
        <w:rPr>
          <w:sz w:val="21"/>
        </w:rPr>
        <w:t>ing</w:t>
      </w:r>
      <w:r>
        <w:rPr>
          <w:spacing w:val="-12"/>
          <w:sz w:val="21"/>
        </w:rPr>
        <w:t> </w:t>
      </w:r>
      <w:r>
        <w:rPr>
          <w:sz w:val="21"/>
        </w:rPr>
        <w:t>LGBTQ</w:t>
      </w:r>
      <w:r>
        <w:rPr>
          <w:spacing w:val="-12"/>
          <w:sz w:val="21"/>
        </w:rPr>
        <w:t> </w:t>
      </w:r>
      <w:r>
        <w:rPr>
          <w:sz w:val="21"/>
        </w:rPr>
        <w:t>youth,</w:t>
      </w:r>
      <w:r>
        <w:rPr>
          <w:spacing w:val="-12"/>
          <w:sz w:val="21"/>
        </w:rPr>
        <w:t> </w:t>
      </w:r>
      <w:r>
        <w:rPr>
          <w:sz w:val="21"/>
        </w:rPr>
        <w:t>who</w:t>
      </w:r>
      <w:r>
        <w:rPr>
          <w:spacing w:val="-12"/>
          <w:sz w:val="21"/>
        </w:rPr>
        <w:t> </w:t>
      </w:r>
      <w:r>
        <w:rPr>
          <w:sz w:val="21"/>
        </w:rPr>
        <w:t>are</w:t>
      </w:r>
      <w:r>
        <w:rPr>
          <w:spacing w:val="-12"/>
          <w:sz w:val="21"/>
        </w:rPr>
        <w:t> </w:t>
      </w:r>
      <w:r>
        <w:rPr>
          <w:sz w:val="21"/>
        </w:rPr>
        <w:t>unfairly</w:t>
      </w:r>
      <w:r>
        <w:rPr>
          <w:spacing w:val="-12"/>
          <w:sz w:val="21"/>
        </w:rPr>
        <w:t> </w:t>
      </w:r>
      <w:r>
        <w:rPr>
          <w:sz w:val="21"/>
        </w:rPr>
        <w:t>labeled</w:t>
      </w:r>
      <w:r>
        <w:rPr>
          <w:spacing w:val="-12"/>
          <w:sz w:val="21"/>
        </w:rPr>
        <w:t> </w:t>
      </w:r>
      <w:r>
        <w:rPr>
          <w:sz w:val="21"/>
        </w:rPr>
        <w:t>as</w:t>
      </w:r>
      <w:r>
        <w:rPr>
          <w:spacing w:val="-11"/>
          <w:sz w:val="21"/>
        </w:rPr>
        <w:t> </w:t>
      </w:r>
      <w:r>
        <w:rPr>
          <w:sz w:val="21"/>
        </w:rPr>
        <w:t>sex</w:t>
      </w:r>
      <w:r>
        <w:rPr>
          <w:spacing w:val="-12"/>
          <w:sz w:val="21"/>
        </w:rPr>
        <w:t> </w:t>
      </w:r>
      <w:r>
        <w:rPr>
          <w:sz w:val="21"/>
        </w:rPr>
        <w:t>offenders.</w:t>
      </w:r>
      <w:hyperlink w:history="true" w:anchor="_bookmark402">
        <w:r>
          <w:rPr>
            <w:sz w:val="21"/>
            <w:vertAlign w:val="superscript"/>
          </w:rPr>
          <w:t>86</w:t>
        </w:r>
      </w:hyperlink>
      <w:r>
        <w:rPr>
          <w:spacing w:val="-12"/>
          <w:sz w:val="21"/>
          <w:vertAlign w:val="baseline"/>
        </w:rPr>
        <w:t> </w:t>
      </w:r>
      <w:r>
        <w:rPr>
          <w:sz w:val="21"/>
          <w:vertAlign w:val="baseline"/>
        </w:rPr>
        <w:t>These</w:t>
      </w:r>
      <w:r>
        <w:rPr>
          <w:spacing w:val="-12"/>
          <w:sz w:val="21"/>
          <w:vertAlign w:val="baseline"/>
        </w:rPr>
        <w:t> </w:t>
      </w:r>
      <w:r>
        <w:rPr>
          <w:sz w:val="21"/>
          <w:vertAlign w:val="baseline"/>
        </w:rPr>
        <w:t>unjust</w:t>
      </w:r>
      <w:r>
        <w:rPr>
          <w:spacing w:val="-12"/>
          <w:sz w:val="21"/>
          <w:vertAlign w:val="baseline"/>
        </w:rPr>
        <w:t> </w:t>
      </w:r>
      <w:r>
        <w:rPr>
          <w:sz w:val="21"/>
          <w:vertAlign w:val="baseline"/>
        </w:rPr>
        <w:t>legal</w:t>
      </w:r>
      <w:r>
        <w:rPr>
          <w:spacing w:val="-12"/>
          <w:sz w:val="21"/>
          <w:vertAlign w:val="baseline"/>
        </w:rPr>
        <w:t> </w:t>
      </w:r>
      <w:r>
        <w:rPr>
          <w:sz w:val="21"/>
          <w:vertAlign w:val="baseline"/>
        </w:rPr>
        <w:t>practices</w:t>
      </w:r>
      <w:r>
        <w:rPr>
          <w:spacing w:val="-12"/>
          <w:sz w:val="21"/>
          <w:vertAlign w:val="baseline"/>
        </w:rPr>
        <w:t> </w:t>
      </w:r>
      <w:r>
        <w:rPr>
          <w:sz w:val="21"/>
          <w:vertAlign w:val="baseline"/>
        </w:rPr>
        <w:t>perpetuate </w:t>
      </w:r>
      <w:bookmarkStart w:name="_bookmark331" w:id="562"/>
      <w:bookmarkEnd w:id="562"/>
      <w:r>
        <w:rPr>
          <w:sz w:val="21"/>
          <w:vertAlign w:val="baseline"/>
        </w:rPr>
        <w:t>c</w:t>
      </w:r>
      <w:r>
        <w:rPr>
          <w:sz w:val="21"/>
          <w:vertAlign w:val="baseline"/>
        </w:rPr>
        <w:t>ycles of poverty, instability, and criminalization, emphasizing the necessity of decriminalizing consensual </w:t>
      </w:r>
      <w:bookmarkStart w:name="_bookmark332" w:id="563"/>
      <w:bookmarkEnd w:id="563"/>
      <w:r>
        <w:rPr>
          <w:sz w:val="21"/>
          <w:vertAlign w:val="baseline"/>
        </w:rPr>
        <w:t>s</w:t>
      </w:r>
      <w:r>
        <w:rPr>
          <w:sz w:val="21"/>
          <w:vertAlign w:val="baseline"/>
        </w:rPr>
        <w:t>exual</w:t>
      </w:r>
      <w:r>
        <w:rPr>
          <w:spacing w:val="-12"/>
          <w:sz w:val="21"/>
          <w:vertAlign w:val="baseline"/>
        </w:rPr>
        <w:t> </w:t>
      </w:r>
      <w:r>
        <w:rPr>
          <w:sz w:val="21"/>
          <w:vertAlign w:val="baseline"/>
        </w:rPr>
        <w:t>relations</w:t>
      </w:r>
      <w:r>
        <w:rPr>
          <w:spacing w:val="-12"/>
          <w:sz w:val="21"/>
          <w:vertAlign w:val="baseline"/>
        </w:rPr>
        <w:t> </w:t>
      </w:r>
      <w:r>
        <w:rPr>
          <w:sz w:val="21"/>
          <w:vertAlign w:val="baseline"/>
        </w:rPr>
        <w:t>among</w:t>
      </w:r>
      <w:r>
        <w:rPr>
          <w:spacing w:val="-12"/>
          <w:sz w:val="21"/>
          <w:vertAlign w:val="baseline"/>
        </w:rPr>
        <w:t> </w:t>
      </w:r>
      <w:r>
        <w:rPr>
          <w:sz w:val="21"/>
          <w:vertAlign w:val="baseline"/>
        </w:rPr>
        <w:t>close-in-age</w:t>
      </w:r>
      <w:r>
        <w:rPr>
          <w:spacing w:val="-12"/>
          <w:sz w:val="21"/>
          <w:vertAlign w:val="baseline"/>
        </w:rPr>
        <w:t> </w:t>
      </w:r>
      <w:r>
        <w:rPr>
          <w:sz w:val="21"/>
          <w:vertAlign w:val="baseline"/>
        </w:rPr>
        <w:t>parties.</w:t>
      </w:r>
      <w:r>
        <w:rPr>
          <w:spacing w:val="-12"/>
          <w:sz w:val="21"/>
          <w:vertAlign w:val="baseline"/>
        </w:rPr>
        <w:t> </w:t>
      </w:r>
      <w:r>
        <w:rPr>
          <w:sz w:val="21"/>
          <w:vertAlign w:val="baseline"/>
        </w:rPr>
        <w:t>Further,</w:t>
      </w:r>
      <w:r>
        <w:rPr>
          <w:spacing w:val="-12"/>
          <w:sz w:val="21"/>
          <w:vertAlign w:val="baseline"/>
        </w:rPr>
        <w:t> </w:t>
      </w:r>
      <w:r>
        <w:rPr>
          <w:sz w:val="21"/>
          <w:vertAlign w:val="baseline"/>
        </w:rPr>
        <w:t>discriminatory</w:t>
      </w:r>
      <w:r>
        <w:rPr>
          <w:spacing w:val="-12"/>
          <w:sz w:val="21"/>
          <w:vertAlign w:val="baseline"/>
        </w:rPr>
        <w:t> </w:t>
      </w:r>
      <w:r>
        <w:rPr>
          <w:sz w:val="21"/>
          <w:vertAlign w:val="baseline"/>
        </w:rPr>
        <w:t>criminal</w:t>
      </w:r>
      <w:r>
        <w:rPr>
          <w:spacing w:val="-11"/>
          <w:sz w:val="21"/>
          <w:vertAlign w:val="baseline"/>
        </w:rPr>
        <w:t> </w:t>
      </w:r>
      <w:r>
        <w:rPr>
          <w:sz w:val="21"/>
          <w:vertAlign w:val="baseline"/>
        </w:rPr>
        <w:t>penalties</w:t>
      </w:r>
      <w:r>
        <w:rPr>
          <w:spacing w:val="-12"/>
          <w:sz w:val="21"/>
          <w:vertAlign w:val="baseline"/>
        </w:rPr>
        <w:t> </w:t>
      </w:r>
      <w:r>
        <w:rPr>
          <w:sz w:val="21"/>
          <w:vertAlign w:val="baseline"/>
        </w:rPr>
        <w:t>are</w:t>
      </w:r>
      <w:r>
        <w:rPr>
          <w:spacing w:val="-12"/>
          <w:sz w:val="21"/>
          <w:vertAlign w:val="baseline"/>
        </w:rPr>
        <w:t> </w:t>
      </w:r>
      <w:r>
        <w:rPr>
          <w:sz w:val="21"/>
          <w:vertAlign w:val="baseline"/>
        </w:rPr>
        <w:t>sometimes</w:t>
      </w:r>
      <w:r>
        <w:rPr>
          <w:spacing w:val="-12"/>
          <w:sz w:val="21"/>
          <w:vertAlign w:val="baseline"/>
        </w:rPr>
        <w:t> </w:t>
      </w:r>
      <w:r>
        <w:rPr>
          <w:sz w:val="21"/>
          <w:vertAlign w:val="baseline"/>
        </w:rPr>
        <w:t>levied on</w:t>
      </w:r>
      <w:r>
        <w:rPr>
          <w:spacing w:val="-12"/>
          <w:sz w:val="21"/>
          <w:vertAlign w:val="baseline"/>
        </w:rPr>
        <w:t> </w:t>
      </w:r>
      <w:r>
        <w:rPr>
          <w:sz w:val="21"/>
          <w:vertAlign w:val="baseline"/>
        </w:rPr>
        <w:t>individuals</w:t>
      </w:r>
      <w:r>
        <w:rPr>
          <w:spacing w:val="-12"/>
          <w:sz w:val="21"/>
          <w:vertAlign w:val="baseline"/>
        </w:rPr>
        <w:t> </w:t>
      </w:r>
      <w:r>
        <w:rPr>
          <w:sz w:val="21"/>
          <w:vertAlign w:val="baseline"/>
        </w:rPr>
        <w:t>living</w:t>
      </w:r>
      <w:r>
        <w:rPr>
          <w:spacing w:val="-12"/>
          <w:sz w:val="21"/>
          <w:vertAlign w:val="baseline"/>
        </w:rPr>
        <w:t> </w:t>
      </w:r>
      <w:r>
        <w:rPr>
          <w:sz w:val="21"/>
          <w:vertAlign w:val="baseline"/>
        </w:rPr>
        <w:t>with</w:t>
      </w:r>
      <w:r>
        <w:rPr>
          <w:spacing w:val="-12"/>
          <w:sz w:val="21"/>
          <w:vertAlign w:val="baseline"/>
        </w:rPr>
        <w:t> </w:t>
      </w:r>
      <w:r>
        <w:rPr>
          <w:sz w:val="21"/>
          <w:vertAlign w:val="baseline"/>
        </w:rPr>
        <w:t>HIV,</w:t>
      </w:r>
      <w:r>
        <w:rPr>
          <w:spacing w:val="-12"/>
          <w:sz w:val="21"/>
          <w:vertAlign w:val="baseline"/>
        </w:rPr>
        <w:t> </w:t>
      </w:r>
      <w:r>
        <w:rPr>
          <w:sz w:val="21"/>
          <w:vertAlign w:val="baseline"/>
        </w:rPr>
        <w:t>particularly</w:t>
      </w:r>
      <w:r>
        <w:rPr>
          <w:spacing w:val="-12"/>
          <w:sz w:val="21"/>
          <w:vertAlign w:val="baseline"/>
        </w:rPr>
        <w:t> </w:t>
      </w:r>
      <w:r>
        <w:rPr>
          <w:sz w:val="21"/>
          <w:vertAlign w:val="baseline"/>
        </w:rPr>
        <w:t>among</w:t>
      </w:r>
      <w:r>
        <w:rPr>
          <w:spacing w:val="-12"/>
          <w:sz w:val="21"/>
          <w:vertAlign w:val="baseline"/>
        </w:rPr>
        <w:t> </w:t>
      </w:r>
      <w:r>
        <w:rPr>
          <w:sz w:val="21"/>
          <w:vertAlign w:val="baseline"/>
        </w:rPr>
        <w:t>LGBTQ</w:t>
      </w:r>
      <w:r>
        <w:rPr>
          <w:spacing w:val="-11"/>
          <w:sz w:val="21"/>
          <w:vertAlign w:val="baseline"/>
        </w:rPr>
        <w:t> </w:t>
      </w:r>
      <w:r>
        <w:rPr>
          <w:sz w:val="21"/>
          <w:vertAlign w:val="baseline"/>
        </w:rPr>
        <w:t>youth</w:t>
      </w:r>
      <w:r>
        <w:rPr>
          <w:spacing w:val="-12"/>
          <w:sz w:val="21"/>
          <w:vertAlign w:val="baseline"/>
        </w:rPr>
        <w:t> </w:t>
      </w:r>
      <w:r>
        <w:rPr>
          <w:sz w:val="21"/>
          <w:vertAlign w:val="baseline"/>
        </w:rPr>
        <w:t>and</w:t>
      </w:r>
      <w:r>
        <w:rPr>
          <w:spacing w:val="-12"/>
          <w:sz w:val="21"/>
          <w:vertAlign w:val="baseline"/>
        </w:rPr>
        <w:t> </w:t>
      </w:r>
      <w:r>
        <w:rPr>
          <w:sz w:val="21"/>
          <w:vertAlign w:val="baseline"/>
        </w:rPr>
        <w:t>youth</w:t>
      </w:r>
      <w:r>
        <w:rPr>
          <w:spacing w:val="-12"/>
          <w:sz w:val="21"/>
          <w:vertAlign w:val="baseline"/>
        </w:rPr>
        <w:t> </w:t>
      </w:r>
      <w:r>
        <w:rPr>
          <w:sz w:val="21"/>
          <w:vertAlign w:val="baseline"/>
        </w:rPr>
        <w:t>of</w:t>
      </w:r>
      <w:r>
        <w:rPr>
          <w:spacing w:val="-12"/>
          <w:sz w:val="21"/>
          <w:vertAlign w:val="baseline"/>
        </w:rPr>
        <w:t> </w:t>
      </w:r>
      <w:r>
        <w:rPr>
          <w:sz w:val="21"/>
          <w:vertAlign w:val="baseline"/>
        </w:rPr>
        <w:t>color,</w:t>
      </w:r>
      <w:r>
        <w:rPr>
          <w:spacing w:val="-12"/>
          <w:sz w:val="21"/>
          <w:vertAlign w:val="baseline"/>
        </w:rPr>
        <w:t> </w:t>
      </w:r>
      <w:r>
        <w:rPr>
          <w:sz w:val="21"/>
          <w:vertAlign w:val="baseline"/>
        </w:rPr>
        <w:t>underscoring</w:t>
      </w:r>
      <w:r>
        <w:rPr>
          <w:spacing w:val="-12"/>
          <w:sz w:val="21"/>
          <w:vertAlign w:val="baseline"/>
        </w:rPr>
        <w:t> </w:t>
      </w:r>
      <w:r>
        <w:rPr>
          <w:sz w:val="21"/>
          <w:vertAlign w:val="baseline"/>
        </w:rPr>
        <w:t>the</w:t>
      </w:r>
      <w:r>
        <w:rPr>
          <w:spacing w:val="-12"/>
          <w:sz w:val="21"/>
          <w:vertAlign w:val="baseline"/>
        </w:rPr>
        <w:t> </w:t>
      </w:r>
      <w:r>
        <w:rPr>
          <w:sz w:val="21"/>
          <w:vertAlign w:val="baseline"/>
        </w:rPr>
        <w:t>urgency for legal reforms to prevent further marginalization and discrimination.</w:t>
      </w:r>
      <w:hyperlink w:history="true" w:anchor="_bookmark403">
        <w:r>
          <w:rPr>
            <w:sz w:val="21"/>
            <w:vertAlign w:val="superscript"/>
          </w:rPr>
          <w:t>87</w:t>
        </w:r>
      </w:hyperlink>
    </w:p>
    <w:p>
      <w:pPr>
        <w:spacing w:line="276" w:lineRule="auto" w:before="240"/>
        <w:ind w:left="463" w:right="241" w:firstLine="0"/>
        <w:jc w:val="both"/>
        <w:rPr>
          <w:sz w:val="21"/>
        </w:rPr>
      </w:pPr>
      <w:r>
        <w:rPr>
          <w:sz w:val="21"/>
        </w:rPr>
        <w:t>Recognizing</w:t>
      </w:r>
      <w:r>
        <w:rPr>
          <w:spacing w:val="-7"/>
          <w:sz w:val="21"/>
        </w:rPr>
        <w:t> </w:t>
      </w:r>
      <w:r>
        <w:rPr>
          <w:sz w:val="21"/>
        </w:rPr>
        <w:t>the</w:t>
      </w:r>
      <w:r>
        <w:rPr>
          <w:spacing w:val="-7"/>
          <w:sz w:val="21"/>
        </w:rPr>
        <w:t> </w:t>
      </w:r>
      <w:r>
        <w:rPr>
          <w:sz w:val="21"/>
        </w:rPr>
        <w:t>disproportionate</w:t>
      </w:r>
      <w:r>
        <w:rPr>
          <w:spacing w:val="-7"/>
          <w:sz w:val="21"/>
        </w:rPr>
        <w:t> </w:t>
      </w:r>
      <w:r>
        <w:rPr>
          <w:sz w:val="21"/>
        </w:rPr>
        <w:t>harm</w:t>
      </w:r>
      <w:r>
        <w:rPr>
          <w:spacing w:val="-8"/>
          <w:sz w:val="21"/>
        </w:rPr>
        <w:t> </w:t>
      </w:r>
      <w:r>
        <w:rPr>
          <w:sz w:val="21"/>
        </w:rPr>
        <w:t>inflicted</w:t>
      </w:r>
      <w:r>
        <w:rPr>
          <w:spacing w:val="-7"/>
          <w:sz w:val="21"/>
        </w:rPr>
        <w:t> </w:t>
      </w:r>
      <w:r>
        <w:rPr>
          <w:sz w:val="21"/>
        </w:rPr>
        <w:t>by</w:t>
      </w:r>
      <w:r>
        <w:rPr>
          <w:spacing w:val="-7"/>
          <w:sz w:val="21"/>
        </w:rPr>
        <w:t> </w:t>
      </w:r>
      <w:r>
        <w:rPr>
          <w:sz w:val="21"/>
        </w:rPr>
        <w:t>laws</w:t>
      </w:r>
      <w:r>
        <w:rPr>
          <w:spacing w:val="-7"/>
          <w:sz w:val="21"/>
        </w:rPr>
        <w:t> </w:t>
      </w:r>
      <w:r>
        <w:rPr>
          <w:sz w:val="21"/>
        </w:rPr>
        <w:t>criminalizing</w:t>
      </w:r>
      <w:r>
        <w:rPr>
          <w:spacing w:val="-7"/>
          <w:sz w:val="21"/>
        </w:rPr>
        <w:t> </w:t>
      </w:r>
      <w:r>
        <w:rPr>
          <w:sz w:val="21"/>
        </w:rPr>
        <w:t>adult</w:t>
      </w:r>
      <w:r>
        <w:rPr>
          <w:spacing w:val="-6"/>
          <w:sz w:val="21"/>
        </w:rPr>
        <w:t> </w:t>
      </w:r>
      <w:r>
        <w:rPr>
          <w:sz w:val="21"/>
        </w:rPr>
        <w:t>sex</w:t>
      </w:r>
      <w:r>
        <w:rPr>
          <w:spacing w:val="-6"/>
          <w:sz w:val="21"/>
        </w:rPr>
        <w:t> </w:t>
      </w:r>
      <w:r>
        <w:rPr>
          <w:sz w:val="21"/>
        </w:rPr>
        <w:t>work</w:t>
      </w:r>
      <w:r>
        <w:rPr>
          <w:spacing w:val="-6"/>
          <w:sz w:val="21"/>
        </w:rPr>
        <w:t> </w:t>
      </w:r>
      <w:r>
        <w:rPr>
          <w:sz w:val="21"/>
        </w:rPr>
        <w:t>and</w:t>
      </w:r>
      <w:r>
        <w:rPr>
          <w:spacing w:val="-8"/>
          <w:sz w:val="21"/>
        </w:rPr>
        <w:t> </w:t>
      </w:r>
      <w:r>
        <w:rPr>
          <w:sz w:val="21"/>
        </w:rPr>
        <w:t>consensual</w:t>
      </w:r>
      <w:r>
        <w:rPr>
          <w:spacing w:val="-7"/>
          <w:sz w:val="21"/>
        </w:rPr>
        <w:t> </w:t>
      </w:r>
      <w:r>
        <w:rPr>
          <w:sz w:val="21"/>
        </w:rPr>
        <w:t>sexual </w:t>
      </w:r>
      <w:bookmarkStart w:name="_bookmark333" w:id="564"/>
      <w:bookmarkEnd w:id="564"/>
      <w:r>
        <w:rPr>
          <w:sz w:val="21"/>
        </w:rPr>
        <w:t>r</w:t>
      </w:r>
      <w:r>
        <w:rPr>
          <w:sz w:val="21"/>
        </w:rPr>
        <w:t>elationships for youth, especially on LGBTQ youth, immigrants, and people of color, the Commission advocates for the passage of legislation aimed at promoting the health and safety of individuals in the sex </w:t>
      </w:r>
      <w:bookmarkStart w:name="_bookmark334" w:id="565"/>
      <w:bookmarkEnd w:id="565"/>
      <w:r>
        <w:rPr>
          <w:sz w:val="21"/>
        </w:rPr>
        <w:t>trade</w:t>
      </w:r>
      <w:r>
        <w:rPr>
          <w:sz w:val="21"/>
        </w:rPr>
        <w:t> and consensual sexual relationships.</w:t>
      </w:r>
    </w:p>
    <w:p>
      <w:pPr>
        <w:spacing w:before="239"/>
        <w:ind w:left="464" w:right="0" w:firstLine="0"/>
        <w:jc w:val="both"/>
        <w:rPr>
          <w:sz w:val="26"/>
        </w:rPr>
      </w:pPr>
      <w:bookmarkStart w:name="Discriminatory Law Enforcement Strategie" w:id="566"/>
      <w:bookmarkEnd w:id="566"/>
      <w:r>
        <w:rPr/>
      </w:r>
      <w:bookmarkStart w:name="_bookmark335" w:id="567"/>
      <w:bookmarkEnd w:id="567"/>
      <w:r>
        <w:rPr/>
      </w:r>
      <w:bookmarkStart w:name="_bookmark336" w:id="568"/>
      <w:bookmarkEnd w:id="568"/>
      <w:r>
        <w:rPr/>
      </w:r>
      <w:r>
        <w:rPr>
          <w:color w:val="404040"/>
          <w:sz w:val="26"/>
        </w:rPr>
        <w:t>Discriminatory</w:t>
      </w:r>
      <w:r>
        <w:rPr>
          <w:color w:val="404040"/>
          <w:spacing w:val="-6"/>
          <w:sz w:val="26"/>
        </w:rPr>
        <w:t> </w:t>
      </w:r>
      <w:r>
        <w:rPr>
          <w:color w:val="404040"/>
          <w:sz w:val="26"/>
        </w:rPr>
        <w:t>Law</w:t>
      </w:r>
      <w:r>
        <w:rPr>
          <w:color w:val="404040"/>
          <w:spacing w:val="-5"/>
          <w:sz w:val="26"/>
        </w:rPr>
        <w:t> </w:t>
      </w:r>
      <w:r>
        <w:rPr>
          <w:color w:val="404040"/>
          <w:sz w:val="26"/>
        </w:rPr>
        <w:t>Enforcement</w:t>
      </w:r>
      <w:r>
        <w:rPr>
          <w:color w:val="404040"/>
          <w:spacing w:val="-4"/>
          <w:sz w:val="26"/>
        </w:rPr>
        <w:t> </w:t>
      </w:r>
      <w:r>
        <w:rPr>
          <w:color w:val="404040"/>
          <w:spacing w:val="-2"/>
          <w:sz w:val="26"/>
        </w:rPr>
        <w:t>Strategies</w:t>
      </w:r>
    </w:p>
    <w:p>
      <w:pPr>
        <w:spacing w:line="276" w:lineRule="auto" w:before="240"/>
        <w:ind w:left="463" w:right="238" w:firstLine="0"/>
        <w:jc w:val="both"/>
        <w:rPr>
          <w:sz w:val="21"/>
        </w:rPr>
      </w:pPr>
      <w:r>
        <w:rPr>
          <w:sz w:val="21"/>
        </w:rPr>
        <w:t>Studies</w:t>
      </w:r>
      <w:r>
        <w:rPr>
          <w:spacing w:val="-8"/>
          <w:sz w:val="21"/>
        </w:rPr>
        <w:t> </w:t>
      </w:r>
      <w:r>
        <w:rPr>
          <w:sz w:val="21"/>
        </w:rPr>
        <w:t>show</w:t>
      </w:r>
      <w:r>
        <w:rPr>
          <w:spacing w:val="-8"/>
          <w:sz w:val="21"/>
        </w:rPr>
        <w:t> </w:t>
      </w:r>
      <w:r>
        <w:rPr>
          <w:sz w:val="21"/>
        </w:rPr>
        <w:t>that</w:t>
      </w:r>
      <w:r>
        <w:rPr>
          <w:spacing w:val="-9"/>
          <w:sz w:val="21"/>
        </w:rPr>
        <w:t> </w:t>
      </w:r>
      <w:r>
        <w:rPr>
          <w:sz w:val="21"/>
        </w:rPr>
        <w:t>prejudice</w:t>
      </w:r>
      <w:r>
        <w:rPr>
          <w:spacing w:val="-8"/>
          <w:sz w:val="21"/>
        </w:rPr>
        <w:t> </w:t>
      </w:r>
      <w:r>
        <w:rPr>
          <w:sz w:val="21"/>
        </w:rPr>
        <w:t>and</w:t>
      </w:r>
      <w:r>
        <w:rPr>
          <w:spacing w:val="-8"/>
          <w:sz w:val="21"/>
        </w:rPr>
        <w:t> </w:t>
      </w:r>
      <w:r>
        <w:rPr>
          <w:sz w:val="21"/>
        </w:rPr>
        <w:t>discrimination</w:t>
      </w:r>
      <w:r>
        <w:rPr>
          <w:spacing w:val="-8"/>
          <w:sz w:val="21"/>
        </w:rPr>
        <w:t> </w:t>
      </w:r>
      <w:r>
        <w:rPr>
          <w:sz w:val="21"/>
        </w:rPr>
        <w:t>can</w:t>
      </w:r>
      <w:r>
        <w:rPr>
          <w:spacing w:val="-8"/>
          <w:sz w:val="21"/>
        </w:rPr>
        <w:t> </w:t>
      </w:r>
      <w:r>
        <w:rPr>
          <w:sz w:val="21"/>
        </w:rPr>
        <w:t>guide</w:t>
      </w:r>
      <w:r>
        <w:rPr>
          <w:spacing w:val="-8"/>
          <w:sz w:val="21"/>
        </w:rPr>
        <w:t> </w:t>
      </w:r>
      <w:r>
        <w:rPr>
          <w:sz w:val="21"/>
        </w:rPr>
        <w:t>the</w:t>
      </w:r>
      <w:r>
        <w:rPr>
          <w:spacing w:val="-8"/>
          <w:sz w:val="21"/>
        </w:rPr>
        <w:t> </w:t>
      </w:r>
      <w:r>
        <w:rPr>
          <w:sz w:val="21"/>
        </w:rPr>
        <w:t>actions</w:t>
      </w:r>
      <w:r>
        <w:rPr>
          <w:spacing w:val="-9"/>
          <w:sz w:val="21"/>
        </w:rPr>
        <w:t> </w:t>
      </w:r>
      <w:r>
        <w:rPr>
          <w:sz w:val="21"/>
        </w:rPr>
        <w:t>of</w:t>
      </w:r>
      <w:r>
        <w:rPr>
          <w:spacing w:val="-8"/>
          <w:sz w:val="21"/>
        </w:rPr>
        <w:t> </w:t>
      </w:r>
      <w:r>
        <w:rPr>
          <w:sz w:val="21"/>
        </w:rPr>
        <w:t>law</w:t>
      </w:r>
      <w:r>
        <w:rPr>
          <w:spacing w:val="-8"/>
          <w:sz w:val="21"/>
        </w:rPr>
        <w:t> </w:t>
      </w:r>
      <w:r>
        <w:rPr>
          <w:sz w:val="21"/>
        </w:rPr>
        <w:t>enforcement,</w:t>
      </w:r>
      <w:r>
        <w:rPr>
          <w:spacing w:val="-8"/>
          <w:sz w:val="21"/>
        </w:rPr>
        <w:t> </w:t>
      </w:r>
      <w:r>
        <w:rPr>
          <w:sz w:val="21"/>
        </w:rPr>
        <w:t>leading</w:t>
      </w:r>
      <w:r>
        <w:rPr>
          <w:spacing w:val="-10"/>
          <w:sz w:val="21"/>
        </w:rPr>
        <w:t> </w:t>
      </w:r>
      <w:r>
        <w:rPr>
          <w:sz w:val="21"/>
        </w:rPr>
        <w:t>to</w:t>
      </w:r>
      <w:r>
        <w:rPr>
          <w:spacing w:val="-8"/>
          <w:sz w:val="21"/>
        </w:rPr>
        <w:t> </w:t>
      </w:r>
      <w:r>
        <w:rPr>
          <w:sz w:val="21"/>
        </w:rPr>
        <w:t>LGBTQ </w:t>
      </w:r>
      <w:bookmarkStart w:name="_bookmark337" w:id="569"/>
      <w:bookmarkEnd w:id="569"/>
      <w:r>
        <w:rPr>
          <w:sz w:val="21"/>
        </w:rPr>
        <w:t>y</w:t>
      </w:r>
      <w:r>
        <w:rPr>
          <w:sz w:val="21"/>
        </w:rPr>
        <w:t>ouths, especially girls and those of color, being disproportionately targeted. </w:t>
      </w:r>
      <w:hyperlink w:history="true" w:anchor="_bookmark404">
        <w:r>
          <w:rPr>
            <w:sz w:val="21"/>
            <w:vertAlign w:val="superscript"/>
          </w:rPr>
          <w:t>88</w:t>
        </w:r>
      </w:hyperlink>
      <w:r>
        <w:rPr>
          <w:sz w:val="21"/>
          <w:vertAlign w:val="baseline"/>
        </w:rPr>
        <w:t> LGBTQ individuals, </w:t>
      </w:r>
      <w:bookmarkStart w:name="_bookmark338" w:id="570"/>
      <w:bookmarkEnd w:id="570"/>
      <w:r>
        <w:rPr>
          <w:sz w:val="21"/>
          <w:vertAlign w:val="baseline"/>
        </w:rPr>
        <w:t>e</w:t>
      </w:r>
      <w:r>
        <w:rPr>
          <w:sz w:val="21"/>
          <w:vertAlign w:val="baseline"/>
        </w:rPr>
        <w:t>specially those from minority backgrounds, often encounter adverse reactions from police. A national survey discovered that 31% of LGBTQ victims of hate-driven violence experienced hostile responses from </w:t>
      </w:r>
      <w:bookmarkStart w:name="_bookmark339" w:id="571"/>
      <w:bookmarkEnd w:id="571"/>
      <w:r>
        <w:rPr>
          <w:sz w:val="21"/>
          <w:vertAlign w:val="baseline"/>
        </w:rPr>
        <w:t>the</w:t>
      </w:r>
      <w:r>
        <w:rPr>
          <w:sz w:val="21"/>
          <w:vertAlign w:val="baseline"/>
        </w:rPr>
        <w:t> police officers they approached, and 35% reported police indifference towards their victimization.</w:t>
      </w:r>
      <w:hyperlink w:history="true" w:anchor="_bookmark405">
        <w:r>
          <w:rPr>
            <w:sz w:val="21"/>
            <w:vertAlign w:val="superscript"/>
          </w:rPr>
          <w:t>89</w:t>
        </w:r>
      </w:hyperlink>
      <w:r>
        <w:rPr>
          <w:sz w:val="21"/>
          <w:vertAlign w:val="baseline"/>
        </w:rPr>
        <w:t> </w:t>
      </w:r>
      <w:bookmarkStart w:name="_bookmark340" w:id="572"/>
      <w:bookmarkEnd w:id="572"/>
      <w:r>
        <w:rPr>
          <w:sz w:val="21"/>
          <w:vertAlign w:val="baseline"/>
        </w:rPr>
        <w:t>T</w:t>
      </w:r>
      <w:r>
        <w:rPr>
          <w:sz w:val="21"/>
          <w:vertAlign w:val="baseline"/>
        </w:rPr>
        <w:t>ransgender victims of hate crimes notably faced higher instances of violence from police compared to </w:t>
      </w:r>
      <w:bookmarkStart w:name="_bookmark341" w:id="573"/>
      <w:bookmarkEnd w:id="573"/>
      <w:r>
        <w:rPr>
          <w:sz w:val="21"/>
          <w:vertAlign w:val="baseline"/>
        </w:rPr>
        <w:t>o</w:t>
      </w:r>
      <w:r>
        <w:rPr>
          <w:sz w:val="21"/>
          <w:vertAlign w:val="baseline"/>
        </w:rPr>
        <w:t>thers, with Black LGBTQ individuals experiencing police use of force nearly three times more frequently than other victims.</w:t>
      </w:r>
      <w:hyperlink w:history="true" w:anchor="_bookmark406">
        <w:r>
          <w:rPr>
            <w:sz w:val="21"/>
            <w:vertAlign w:val="superscript"/>
          </w:rPr>
          <w:t>90</w:t>
        </w:r>
      </w:hyperlink>
    </w:p>
    <w:p>
      <w:pPr>
        <w:spacing w:line="276" w:lineRule="auto" w:before="240"/>
        <w:ind w:left="463" w:right="240" w:firstLine="0"/>
        <w:jc w:val="both"/>
        <w:rPr>
          <w:sz w:val="21"/>
        </w:rPr>
      </w:pPr>
      <w:bookmarkStart w:name="_bookmark342" w:id="574"/>
      <w:bookmarkEnd w:id="574"/>
      <w:r>
        <w:rPr/>
      </w:r>
      <w:bookmarkStart w:name="_bookmark343" w:id="575"/>
      <w:bookmarkEnd w:id="575"/>
      <w:r>
        <w:rPr/>
      </w:r>
      <w:bookmarkStart w:name="_bookmark344" w:id="576"/>
      <w:bookmarkEnd w:id="576"/>
      <w:r>
        <w:rPr/>
      </w:r>
      <w:r>
        <w:rPr>
          <w:sz w:val="21"/>
        </w:rPr>
        <w:t>In addition, it</w:t>
      </w:r>
      <w:r>
        <w:rPr>
          <w:spacing w:val="-2"/>
          <w:sz w:val="21"/>
        </w:rPr>
        <w:t> </w:t>
      </w:r>
      <w:r>
        <w:rPr>
          <w:sz w:val="21"/>
        </w:rPr>
        <w:t>is likely that many hate crimes go unreported as</w:t>
      </w:r>
      <w:r>
        <w:rPr>
          <w:spacing w:val="-1"/>
          <w:sz w:val="21"/>
        </w:rPr>
        <w:t> </w:t>
      </w:r>
      <w:r>
        <w:rPr>
          <w:sz w:val="21"/>
        </w:rPr>
        <w:t>there</w:t>
      </w:r>
      <w:r>
        <w:rPr>
          <w:spacing w:val="-1"/>
          <w:sz w:val="21"/>
        </w:rPr>
        <w:t> </w:t>
      </w:r>
      <w:r>
        <w:rPr>
          <w:sz w:val="21"/>
        </w:rPr>
        <w:t>exists significant differences between recorded hate crime statistics and reports from victims.</w:t>
      </w:r>
      <w:hyperlink w:history="true" w:anchor="_bookmark407">
        <w:r>
          <w:rPr>
            <w:sz w:val="21"/>
            <w:vertAlign w:val="superscript"/>
          </w:rPr>
          <w:t>91</w:t>
        </w:r>
      </w:hyperlink>
      <w:r>
        <w:rPr>
          <w:spacing w:val="-2"/>
          <w:sz w:val="21"/>
          <w:vertAlign w:val="baseline"/>
        </w:rPr>
        <w:t> </w:t>
      </w:r>
      <w:r>
        <w:rPr>
          <w:sz w:val="21"/>
          <w:vertAlign w:val="baseline"/>
        </w:rPr>
        <w:t>LGBTQ individuals often hesitate to report hate </w:t>
      </w:r>
      <w:bookmarkStart w:name="_bookmark345" w:id="577"/>
      <w:bookmarkEnd w:id="577"/>
      <w:r>
        <w:rPr>
          <w:sz w:val="21"/>
          <w:vertAlign w:val="baseline"/>
        </w:rPr>
        <w:t>c</w:t>
      </w:r>
      <w:r>
        <w:rPr>
          <w:sz w:val="21"/>
          <w:vertAlign w:val="baseline"/>
        </w:rPr>
        <w:t>rimes due to fears for their safety and the anticipated negative response from law enforcement.</w:t>
      </w:r>
      <w:hyperlink w:history="true" w:anchor="_bookmark408">
        <w:r>
          <w:rPr>
            <w:sz w:val="21"/>
            <w:vertAlign w:val="superscript"/>
          </w:rPr>
          <w:t>92</w:t>
        </w:r>
      </w:hyperlink>
      <w:r>
        <w:rPr>
          <w:spacing w:val="-2"/>
          <w:sz w:val="21"/>
          <w:vertAlign w:val="baseline"/>
        </w:rPr>
        <w:t> </w:t>
      </w:r>
      <w:r>
        <w:rPr>
          <w:sz w:val="21"/>
          <w:vertAlign w:val="baseline"/>
        </w:rPr>
        <w:t>Law enforcement officers may be hesitant to investigate these crimes due to unease in dealing with LGBTQ </w:t>
      </w:r>
      <w:bookmarkStart w:name="_bookmark346" w:id="578"/>
      <w:bookmarkEnd w:id="578"/>
      <w:r>
        <w:rPr>
          <w:sz w:val="21"/>
          <w:vertAlign w:val="baseline"/>
        </w:rPr>
        <w:t>i</w:t>
      </w:r>
      <w:r>
        <w:rPr>
          <w:sz w:val="21"/>
          <w:vertAlign w:val="baseline"/>
        </w:rPr>
        <w:t>ndividuals and a lack of definitive instructions on hate crime case protocol.</w:t>
      </w:r>
    </w:p>
    <w:p>
      <w:pPr>
        <w:spacing w:before="240"/>
        <w:ind w:left="464" w:right="0" w:firstLine="0"/>
        <w:jc w:val="both"/>
        <w:rPr>
          <w:sz w:val="28"/>
        </w:rPr>
      </w:pPr>
      <w:bookmarkStart w:name="Experiences of LGBTQ Youth in the Crimin" w:id="579"/>
      <w:bookmarkEnd w:id="579"/>
      <w:r>
        <w:rPr/>
      </w:r>
      <w:bookmarkStart w:name="_bookmark347" w:id="580"/>
      <w:bookmarkEnd w:id="580"/>
      <w:r>
        <w:rPr/>
      </w:r>
      <w:bookmarkStart w:name="_bookmark348" w:id="581"/>
      <w:bookmarkEnd w:id="581"/>
      <w:r>
        <w:rPr/>
      </w:r>
      <w:r>
        <w:rPr>
          <w:color w:val="365F91"/>
          <w:sz w:val="28"/>
        </w:rPr>
        <w:t>Experiences</w:t>
      </w:r>
      <w:r>
        <w:rPr>
          <w:color w:val="365F91"/>
          <w:spacing w:val="-8"/>
          <w:sz w:val="28"/>
        </w:rPr>
        <w:t> </w:t>
      </w:r>
      <w:r>
        <w:rPr>
          <w:color w:val="365F91"/>
          <w:sz w:val="28"/>
        </w:rPr>
        <w:t>of</w:t>
      </w:r>
      <w:r>
        <w:rPr>
          <w:color w:val="365F91"/>
          <w:spacing w:val="-8"/>
          <w:sz w:val="28"/>
        </w:rPr>
        <w:t> </w:t>
      </w:r>
      <w:r>
        <w:rPr>
          <w:color w:val="365F91"/>
          <w:sz w:val="28"/>
        </w:rPr>
        <w:t>LGBTQ</w:t>
      </w:r>
      <w:r>
        <w:rPr>
          <w:color w:val="365F91"/>
          <w:spacing w:val="-8"/>
          <w:sz w:val="28"/>
        </w:rPr>
        <w:t> </w:t>
      </w:r>
      <w:r>
        <w:rPr>
          <w:color w:val="365F91"/>
          <w:sz w:val="28"/>
        </w:rPr>
        <w:t>Youth</w:t>
      </w:r>
      <w:r>
        <w:rPr>
          <w:color w:val="365F91"/>
          <w:spacing w:val="-9"/>
          <w:sz w:val="28"/>
        </w:rPr>
        <w:t> </w:t>
      </w:r>
      <w:r>
        <w:rPr>
          <w:color w:val="365F91"/>
          <w:sz w:val="28"/>
        </w:rPr>
        <w:t>in</w:t>
      </w:r>
      <w:r>
        <w:rPr>
          <w:color w:val="365F91"/>
          <w:spacing w:val="-8"/>
          <w:sz w:val="28"/>
        </w:rPr>
        <w:t> </w:t>
      </w:r>
      <w:r>
        <w:rPr>
          <w:color w:val="365F91"/>
          <w:sz w:val="28"/>
        </w:rPr>
        <w:t>the</w:t>
      </w:r>
      <w:r>
        <w:rPr>
          <w:color w:val="365F91"/>
          <w:spacing w:val="-8"/>
          <w:sz w:val="28"/>
        </w:rPr>
        <w:t> </w:t>
      </w:r>
      <w:r>
        <w:rPr>
          <w:color w:val="365F91"/>
          <w:sz w:val="28"/>
        </w:rPr>
        <w:t>Criminal</w:t>
      </w:r>
      <w:r>
        <w:rPr>
          <w:color w:val="365F91"/>
          <w:spacing w:val="-8"/>
          <w:sz w:val="28"/>
        </w:rPr>
        <w:t> </w:t>
      </w:r>
      <w:r>
        <w:rPr>
          <w:color w:val="365F91"/>
          <w:sz w:val="28"/>
        </w:rPr>
        <w:t>Legal</w:t>
      </w:r>
      <w:r>
        <w:rPr>
          <w:color w:val="365F91"/>
          <w:spacing w:val="-8"/>
          <w:sz w:val="28"/>
        </w:rPr>
        <w:t> </w:t>
      </w:r>
      <w:r>
        <w:rPr>
          <w:color w:val="365F91"/>
          <w:spacing w:val="-2"/>
          <w:sz w:val="28"/>
        </w:rPr>
        <w:t>System</w:t>
      </w:r>
    </w:p>
    <w:p>
      <w:pPr>
        <w:spacing w:line="276" w:lineRule="auto" w:before="241"/>
        <w:ind w:left="463" w:right="239" w:firstLine="0"/>
        <w:jc w:val="both"/>
        <w:rPr>
          <w:sz w:val="21"/>
        </w:rPr>
      </w:pPr>
      <w:bookmarkStart w:name="_bookmark349" w:id="582"/>
      <w:bookmarkEnd w:id="582"/>
      <w:r>
        <w:rPr/>
      </w:r>
      <w:r>
        <w:rPr>
          <w:sz w:val="21"/>
        </w:rPr>
        <w:t>LGBTQ youth face systemic challenges and discrimination throughout the pre-trial, trial, and incarceration phases within both juvenile and criminal legal systems.</w:t>
      </w:r>
      <w:hyperlink w:history="true" w:anchor="_bookmark409">
        <w:r>
          <w:rPr>
            <w:sz w:val="21"/>
            <w:vertAlign w:val="superscript"/>
          </w:rPr>
          <w:t>93</w:t>
        </w:r>
      </w:hyperlink>
      <w:r>
        <w:rPr>
          <w:spacing w:val="-2"/>
          <w:sz w:val="21"/>
          <w:vertAlign w:val="baseline"/>
        </w:rPr>
        <w:t> </w:t>
      </w:r>
      <w:r>
        <w:rPr>
          <w:sz w:val="21"/>
          <w:vertAlign w:val="baseline"/>
        </w:rPr>
        <w:t>Research, including findings from the Williams Institute, reveals that LGBTQ youth, particularly those of color, endure longer periods within the juvenile</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9" w:firstLine="0"/>
        <w:jc w:val="both"/>
        <w:rPr>
          <w:sz w:val="21"/>
        </w:rPr>
      </w:pPr>
      <w:r>
        <w:rPr>
          <w:sz w:val="21"/>
        </w:rPr>
        <w:t>legal</w:t>
      </w:r>
      <w:r>
        <w:rPr>
          <w:spacing w:val="-3"/>
          <w:sz w:val="21"/>
        </w:rPr>
        <w:t> </w:t>
      </w:r>
      <w:r>
        <w:rPr>
          <w:sz w:val="21"/>
        </w:rPr>
        <w:t>system</w:t>
      </w:r>
      <w:r>
        <w:rPr>
          <w:spacing w:val="-3"/>
          <w:sz w:val="21"/>
        </w:rPr>
        <w:t> </w:t>
      </w:r>
      <w:r>
        <w:rPr>
          <w:sz w:val="21"/>
        </w:rPr>
        <w:t>and</w:t>
      </w:r>
      <w:r>
        <w:rPr>
          <w:spacing w:val="-3"/>
          <w:sz w:val="21"/>
        </w:rPr>
        <w:t> </w:t>
      </w:r>
      <w:r>
        <w:rPr>
          <w:sz w:val="21"/>
        </w:rPr>
        <w:t>are</w:t>
      </w:r>
      <w:r>
        <w:rPr>
          <w:spacing w:val="-4"/>
          <w:sz w:val="21"/>
        </w:rPr>
        <w:t> </w:t>
      </w:r>
      <w:r>
        <w:rPr>
          <w:sz w:val="21"/>
        </w:rPr>
        <w:t>at</w:t>
      </w:r>
      <w:r>
        <w:rPr>
          <w:spacing w:val="-4"/>
          <w:sz w:val="21"/>
        </w:rPr>
        <w:t> </w:t>
      </w:r>
      <w:r>
        <w:rPr>
          <w:sz w:val="21"/>
        </w:rPr>
        <w:t>a</w:t>
      </w:r>
      <w:r>
        <w:rPr>
          <w:spacing w:val="-3"/>
          <w:sz w:val="21"/>
        </w:rPr>
        <w:t> </w:t>
      </w:r>
      <w:r>
        <w:rPr>
          <w:sz w:val="21"/>
        </w:rPr>
        <w:t>higher</w:t>
      </w:r>
      <w:r>
        <w:rPr>
          <w:spacing w:val="-3"/>
          <w:sz w:val="21"/>
        </w:rPr>
        <w:t> </w:t>
      </w:r>
      <w:r>
        <w:rPr>
          <w:sz w:val="21"/>
        </w:rPr>
        <w:t>risk</w:t>
      </w:r>
      <w:r>
        <w:rPr>
          <w:spacing w:val="-3"/>
          <w:sz w:val="21"/>
        </w:rPr>
        <w:t> </w:t>
      </w:r>
      <w:r>
        <w:rPr>
          <w:sz w:val="21"/>
        </w:rPr>
        <w:t>of</w:t>
      </w:r>
      <w:r>
        <w:rPr>
          <w:spacing w:val="-4"/>
          <w:sz w:val="21"/>
        </w:rPr>
        <w:t> </w:t>
      </w:r>
      <w:r>
        <w:rPr>
          <w:sz w:val="21"/>
        </w:rPr>
        <w:t>facing</w:t>
      </w:r>
      <w:r>
        <w:rPr>
          <w:spacing w:val="-4"/>
          <w:sz w:val="21"/>
        </w:rPr>
        <w:t> </w:t>
      </w:r>
      <w:r>
        <w:rPr>
          <w:sz w:val="21"/>
        </w:rPr>
        <w:t>discrimination</w:t>
      </w:r>
      <w:r>
        <w:rPr>
          <w:spacing w:val="-3"/>
          <w:sz w:val="21"/>
        </w:rPr>
        <w:t> </w:t>
      </w:r>
      <w:r>
        <w:rPr>
          <w:sz w:val="21"/>
        </w:rPr>
        <w:t>and</w:t>
      </w:r>
      <w:r>
        <w:rPr>
          <w:spacing w:val="-3"/>
          <w:sz w:val="21"/>
        </w:rPr>
        <w:t> </w:t>
      </w:r>
      <w:r>
        <w:rPr>
          <w:sz w:val="21"/>
        </w:rPr>
        <w:t>violence</w:t>
      </w:r>
      <w:r>
        <w:rPr>
          <w:spacing w:val="-3"/>
          <w:sz w:val="21"/>
        </w:rPr>
        <w:t> </w:t>
      </w:r>
      <w:r>
        <w:rPr>
          <w:sz w:val="21"/>
        </w:rPr>
        <w:t>while</w:t>
      </w:r>
      <w:r>
        <w:rPr>
          <w:spacing w:val="-3"/>
          <w:sz w:val="21"/>
        </w:rPr>
        <w:t> </w:t>
      </w:r>
      <w:r>
        <w:rPr>
          <w:sz w:val="21"/>
        </w:rPr>
        <w:t>detained</w:t>
      </w:r>
      <w:r>
        <w:rPr>
          <w:spacing w:val="-3"/>
          <w:sz w:val="21"/>
        </w:rPr>
        <w:t> </w:t>
      </w:r>
      <w:r>
        <w:rPr>
          <w:sz w:val="21"/>
        </w:rPr>
        <w:t>or</w:t>
      </w:r>
      <w:r>
        <w:rPr>
          <w:spacing w:val="-3"/>
          <w:sz w:val="21"/>
        </w:rPr>
        <w:t> </w:t>
      </w:r>
      <w:r>
        <w:rPr>
          <w:sz w:val="21"/>
        </w:rPr>
        <w:t>incarcerated.</w:t>
      </w:r>
      <w:hyperlink w:history="true" w:anchor="_bookmark410">
        <w:r>
          <w:rPr>
            <w:sz w:val="21"/>
            <w:vertAlign w:val="superscript"/>
          </w:rPr>
          <w:t>94</w:t>
        </w:r>
      </w:hyperlink>
      <w:r>
        <w:rPr>
          <w:sz w:val="21"/>
          <w:vertAlign w:val="baseline"/>
        </w:rPr>
        <w:t> </w:t>
      </w:r>
      <w:bookmarkStart w:name="_bookmark350" w:id="583"/>
      <w:bookmarkEnd w:id="583"/>
      <w:r>
        <w:rPr>
          <w:sz w:val="21"/>
          <w:vertAlign w:val="baseline"/>
        </w:rPr>
        <w:t>No</w:t>
      </w:r>
      <w:r>
        <w:rPr>
          <w:sz w:val="21"/>
          <w:vertAlign w:val="baseline"/>
        </w:rPr>
        <w:t>tably, LGBTQ</w:t>
      </w:r>
      <w:r>
        <w:rPr>
          <w:spacing w:val="-1"/>
          <w:sz w:val="21"/>
          <w:vertAlign w:val="baseline"/>
        </w:rPr>
        <w:t> </w:t>
      </w:r>
      <w:r>
        <w:rPr>
          <w:sz w:val="21"/>
          <w:vertAlign w:val="baseline"/>
        </w:rPr>
        <w:t>youth</w:t>
      </w:r>
      <w:r>
        <w:rPr>
          <w:spacing w:val="-1"/>
          <w:sz w:val="21"/>
          <w:vertAlign w:val="baseline"/>
        </w:rPr>
        <w:t> </w:t>
      </w:r>
      <w:r>
        <w:rPr>
          <w:sz w:val="21"/>
          <w:vertAlign w:val="baseline"/>
        </w:rPr>
        <w:t>are</w:t>
      </w:r>
      <w:r>
        <w:rPr>
          <w:spacing w:val="-1"/>
          <w:sz w:val="21"/>
          <w:vertAlign w:val="baseline"/>
        </w:rPr>
        <w:t> </w:t>
      </w:r>
      <w:r>
        <w:rPr>
          <w:sz w:val="21"/>
          <w:vertAlign w:val="baseline"/>
        </w:rPr>
        <w:t>significantly</w:t>
      </w:r>
      <w:r>
        <w:rPr>
          <w:spacing w:val="-1"/>
          <w:sz w:val="21"/>
          <w:vertAlign w:val="baseline"/>
        </w:rPr>
        <w:t> </w:t>
      </w:r>
      <w:r>
        <w:rPr>
          <w:sz w:val="21"/>
          <w:vertAlign w:val="baseline"/>
        </w:rPr>
        <w:t>more</w:t>
      </w:r>
      <w:r>
        <w:rPr>
          <w:spacing w:val="-1"/>
          <w:sz w:val="21"/>
          <w:vertAlign w:val="baseline"/>
        </w:rPr>
        <w:t> </w:t>
      </w:r>
      <w:r>
        <w:rPr>
          <w:sz w:val="21"/>
          <w:vertAlign w:val="baseline"/>
        </w:rPr>
        <w:t>likely</w:t>
      </w:r>
      <w:r>
        <w:rPr>
          <w:spacing w:val="-1"/>
          <w:sz w:val="21"/>
          <w:vertAlign w:val="baseline"/>
        </w:rPr>
        <w:t> </w:t>
      </w:r>
      <w:r>
        <w:rPr>
          <w:sz w:val="21"/>
          <w:vertAlign w:val="baseline"/>
        </w:rPr>
        <w:t>to</w:t>
      </w:r>
      <w:r>
        <w:rPr>
          <w:spacing w:val="-1"/>
          <w:sz w:val="21"/>
          <w:vertAlign w:val="baseline"/>
        </w:rPr>
        <w:t> </w:t>
      </w:r>
      <w:r>
        <w:rPr>
          <w:sz w:val="21"/>
          <w:vertAlign w:val="baseline"/>
        </w:rPr>
        <w:t>be</w:t>
      </w:r>
      <w:r>
        <w:rPr>
          <w:spacing w:val="-2"/>
          <w:sz w:val="21"/>
          <w:vertAlign w:val="baseline"/>
        </w:rPr>
        <w:t> </w:t>
      </w:r>
      <w:r>
        <w:rPr>
          <w:sz w:val="21"/>
          <w:vertAlign w:val="baseline"/>
        </w:rPr>
        <w:t>detained</w:t>
      </w:r>
      <w:r>
        <w:rPr>
          <w:spacing w:val="-1"/>
          <w:sz w:val="21"/>
          <w:vertAlign w:val="baseline"/>
        </w:rPr>
        <w:t> </w:t>
      </w:r>
      <w:r>
        <w:rPr>
          <w:sz w:val="21"/>
          <w:vertAlign w:val="baseline"/>
        </w:rPr>
        <w:t>for</w:t>
      </w:r>
      <w:r>
        <w:rPr>
          <w:spacing w:val="-1"/>
          <w:sz w:val="21"/>
          <w:vertAlign w:val="baseline"/>
        </w:rPr>
        <w:t> </w:t>
      </w:r>
      <w:r>
        <w:rPr>
          <w:sz w:val="21"/>
          <w:vertAlign w:val="baseline"/>
        </w:rPr>
        <w:t>extended</w:t>
      </w:r>
      <w:r>
        <w:rPr>
          <w:spacing w:val="-1"/>
          <w:sz w:val="21"/>
          <w:vertAlign w:val="baseline"/>
        </w:rPr>
        <w:t> </w:t>
      </w:r>
      <w:r>
        <w:rPr>
          <w:sz w:val="21"/>
          <w:vertAlign w:val="baseline"/>
        </w:rPr>
        <w:t>periods, with</w:t>
      </w:r>
      <w:r>
        <w:rPr>
          <w:spacing w:val="-1"/>
          <w:sz w:val="21"/>
          <w:vertAlign w:val="baseline"/>
        </w:rPr>
        <w:t> </w:t>
      </w:r>
      <w:r>
        <w:rPr>
          <w:sz w:val="21"/>
          <w:vertAlign w:val="baseline"/>
        </w:rPr>
        <w:t>some</w:t>
      </w:r>
      <w:r>
        <w:rPr>
          <w:spacing w:val="-1"/>
          <w:sz w:val="21"/>
          <w:vertAlign w:val="baseline"/>
        </w:rPr>
        <w:t> </w:t>
      </w:r>
      <w:r>
        <w:rPr>
          <w:sz w:val="21"/>
          <w:vertAlign w:val="baseline"/>
        </w:rPr>
        <w:t>studies </w:t>
      </w:r>
      <w:bookmarkStart w:name="_bookmark351" w:id="584"/>
      <w:bookmarkEnd w:id="584"/>
      <w:r>
        <w:rPr>
          <w:sz w:val="21"/>
          <w:vertAlign w:val="baseline"/>
        </w:rPr>
        <w:t>i</w:t>
      </w:r>
      <w:r>
        <w:rPr>
          <w:sz w:val="21"/>
          <w:vertAlign w:val="baseline"/>
        </w:rPr>
        <w:t>ndicating they have a two- to three-times higher chance of being held for over a year compared to non- LGBTQ peers.</w:t>
      </w:r>
      <w:hyperlink w:history="true" w:anchor="_bookmark411">
        <w:r>
          <w:rPr>
            <w:sz w:val="21"/>
            <w:vertAlign w:val="superscript"/>
          </w:rPr>
          <w:t>95</w:t>
        </w:r>
      </w:hyperlink>
      <w:r>
        <w:rPr>
          <w:spacing w:val="-2"/>
          <w:sz w:val="21"/>
          <w:vertAlign w:val="baseline"/>
        </w:rPr>
        <w:t> </w:t>
      </w:r>
      <w:r>
        <w:rPr>
          <w:sz w:val="21"/>
          <w:vertAlign w:val="baseline"/>
        </w:rPr>
        <w:t>Lengthier detention periods are troubling due to their harmful effects on young people. </w:t>
      </w:r>
      <w:bookmarkStart w:name="_bookmark352" w:id="585"/>
      <w:bookmarkEnd w:id="585"/>
      <w:r>
        <w:rPr>
          <w:sz w:val="21"/>
          <w:vertAlign w:val="baseline"/>
        </w:rPr>
        <w:t>A</w:t>
      </w:r>
      <w:r>
        <w:rPr>
          <w:sz w:val="21"/>
          <w:vertAlign w:val="baseline"/>
        </w:rPr>
        <w:t>part from well-documented risks like the spread of negative peer influences, heightened trauma, and an increased</w:t>
      </w:r>
      <w:r>
        <w:rPr>
          <w:spacing w:val="-6"/>
          <w:sz w:val="21"/>
          <w:vertAlign w:val="baseline"/>
        </w:rPr>
        <w:t> </w:t>
      </w:r>
      <w:r>
        <w:rPr>
          <w:sz w:val="21"/>
          <w:vertAlign w:val="baseline"/>
        </w:rPr>
        <w:t>chance</w:t>
      </w:r>
      <w:r>
        <w:rPr>
          <w:spacing w:val="-6"/>
          <w:sz w:val="21"/>
          <w:vertAlign w:val="baseline"/>
        </w:rPr>
        <w:t> </w:t>
      </w:r>
      <w:r>
        <w:rPr>
          <w:sz w:val="21"/>
          <w:vertAlign w:val="baseline"/>
        </w:rPr>
        <w:t>of</w:t>
      </w:r>
      <w:r>
        <w:rPr>
          <w:spacing w:val="-7"/>
          <w:sz w:val="21"/>
          <w:vertAlign w:val="baseline"/>
        </w:rPr>
        <w:t> </w:t>
      </w:r>
      <w:r>
        <w:rPr>
          <w:sz w:val="21"/>
          <w:vertAlign w:val="baseline"/>
        </w:rPr>
        <w:t>subsequent</w:t>
      </w:r>
      <w:r>
        <w:rPr>
          <w:spacing w:val="-6"/>
          <w:sz w:val="21"/>
          <w:vertAlign w:val="baseline"/>
        </w:rPr>
        <w:t> </w:t>
      </w:r>
      <w:r>
        <w:rPr>
          <w:sz w:val="21"/>
          <w:vertAlign w:val="baseline"/>
        </w:rPr>
        <w:t>legal</w:t>
      </w:r>
      <w:r>
        <w:rPr>
          <w:spacing w:val="-8"/>
          <w:sz w:val="21"/>
          <w:vertAlign w:val="baseline"/>
        </w:rPr>
        <w:t> </w:t>
      </w:r>
      <w:r>
        <w:rPr>
          <w:sz w:val="21"/>
          <w:vertAlign w:val="baseline"/>
        </w:rPr>
        <w:t>troubles,</w:t>
      </w:r>
      <w:r>
        <w:rPr>
          <w:spacing w:val="-6"/>
          <w:sz w:val="21"/>
          <w:vertAlign w:val="baseline"/>
        </w:rPr>
        <w:t> </w:t>
      </w:r>
      <w:r>
        <w:rPr>
          <w:sz w:val="21"/>
          <w:vertAlign w:val="baseline"/>
        </w:rPr>
        <w:t>prolonged</w:t>
      </w:r>
      <w:r>
        <w:rPr>
          <w:spacing w:val="-6"/>
          <w:sz w:val="21"/>
          <w:vertAlign w:val="baseline"/>
        </w:rPr>
        <w:t> </w:t>
      </w:r>
      <w:r>
        <w:rPr>
          <w:sz w:val="21"/>
          <w:vertAlign w:val="baseline"/>
        </w:rPr>
        <w:t>detention</w:t>
      </w:r>
      <w:r>
        <w:rPr>
          <w:spacing w:val="-8"/>
          <w:sz w:val="21"/>
          <w:vertAlign w:val="baseline"/>
        </w:rPr>
        <w:t> </w:t>
      </w:r>
      <w:r>
        <w:rPr>
          <w:sz w:val="21"/>
          <w:vertAlign w:val="baseline"/>
        </w:rPr>
        <w:t>carries</w:t>
      </w:r>
      <w:r>
        <w:rPr>
          <w:spacing w:val="-7"/>
          <w:sz w:val="21"/>
          <w:vertAlign w:val="baseline"/>
        </w:rPr>
        <w:t> </w:t>
      </w:r>
      <w:r>
        <w:rPr>
          <w:sz w:val="21"/>
          <w:vertAlign w:val="baseline"/>
        </w:rPr>
        <w:t>further</w:t>
      </w:r>
      <w:r>
        <w:rPr>
          <w:spacing w:val="-6"/>
          <w:sz w:val="21"/>
          <w:vertAlign w:val="baseline"/>
        </w:rPr>
        <w:t> </w:t>
      </w:r>
      <w:r>
        <w:rPr>
          <w:sz w:val="21"/>
          <w:vertAlign w:val="baseline"/>
        </w:rPr>
        <w:t>adverse</w:t>
      </w:r>
      <w:r>
        <w:rPr>
          <w:spacing w:val="-6"/>
          <w:sz w:val="21"/>
          <w:vertAlign w:val="baseline"/>
        </w:rPr>
        <w:t> </w:t>
      </w:r>
      <w:r>
        <w:rPr>
          <w:sz w:val="21"/>
          <w:vertAlign w:val="baseline"/>
        </w:rPr>
        <w:t>consequences. </w:t>
      </w:r>
      <w:bookmarkStart w:name="_bookmark353" w:id="586"/>
      <w:bookmarkEnd w:id="586"/>
      <w:r>
        <w:rPr>
          <w:sz w:val="21"/>
          <w:vertAlign w:val="baseline"/>
        </w:rPr>
        <w:t>E</w:t>
      </w:r>
      <w:r>
        <w:rPr>
          <w:sz w:val="21"/>
          <w:vertAlign w:val="baseline"/>
        </w:rPr>
        <w:t>xtended time in detention can disrupt a young person's access to ongoing mental and behavioral health services within the community, undermine the effectiveness of rehabilitation programs, postpone the </w:t>
      </w:r>
      <w:bookmarkStart w:name="_bookmark354" w:id="587"/>
      <w:bookmarkEnd w:id="587"/>
      <w:r>
        <w:rPr>
          <w:sz w:val="21"/>
          <w:vertAlign w:val="baseline"/>
        </w:rPr>
        <w:t>pr</w:t>
      </w:r>
      <w:r>
        <w:rPr>
          <w:sz w:val="21"/>
          <w:vertAlign w:val="baseline"/>
        </w:rPr>
        <w:t>ocess of taking accountability, and may even lead to premature death.</w:t>
      </w:r>
      <w:hyperlink w:history="true" w:anchor="_bookmark412">
        <w:r>
          <w:rPr>
            <w:sz w:val="21"/>
            <w:vertAlign w:val="superscript"/>
          </w:rPr>
          <w:t>96</w:t>
        </w:r>
      </w:hyperlink>
    </w:p>
    <w:p>
      <w:pPr>
        <w:spacing w:line="276" w:lineRule="auto" w:before="240"/>
        <w:ind w:left="463" w:right="238" w:firstLine="0"/>
        <w:jc w:val="both"/>
        <w:rPr>
          <w:sz w:val="21"/>
        </w:rPr>
      </w:pPr>
      <w:bookmarkStart w:name="_bookmark355" w:id="588"/>
      <w:bookmarkEnd w:id="588"/>
      <w:r>
        <w:rPr/>
      </w:r>
      <w:r>
        <w:rPr>
          <w:sz w:val="21"/>
        </w:rPr>
        <w:t>The Department of Youth Services (DYS) tracks the sexual orientation, transgender status, and intersex </w:t>
      </w:r>
      <w:bookmarkStart w:name="_bookmark356" w:id="589"/>
      <w:bookmarkEnd w:id="589"/>
      <w:r>
        <w:rPr>
          <w:sz w:val="21"/>
        </w:rPr>
        <w:t>s</w:t>
      </w:r>
      <w:r>
        <w:rPr>
          <w:sz w:val="21"/>
        </w:rPr>
        <w:t>tatus of young people in their care, including during pretrial detention. For 2023 pre-trial detention admissions, DYS found only 6% (47 individuals) identified as LGBTQ.</w:t>
      </w:r>
      <w:hyperlink w:history="true" w:anchor="_bookmark413">
        <w:r>
          <w:rPr>
            <w:sz w:val="21"/>
            <w:vertAlign w:val="superscript"/>
          </w:rPr>
          <w:t>97</w:t>
        </w:r>
      </w:hyperlink>
      <w:r>
        <w:rPr>
          <w:spacing w:val="-2"/>
          <w:sz w:val="21"/>
          <w:vertAlign w:val="baseline"/>
        </w:rPr>
        <w:t> </w:t>
      </w:r>
      <w:r>
        <w:rPr>
          <w:sz w:val="21"/>
          <w:vertAlign w:val="baseline"/>
        </w:rPr>
        <w:t>This figure is lower than national </w:t>
      </w:r>
      <w:bookmarkStart w:name="_bookmark357" w:id="590"/>
      <w:bookmarkEnd w:id="590"/>
      <w:r>
        <w:rPr>
          <w:sz w:val="21"/>
          <w:vertAlign w:val="baseline"/>
        </w:rPr>
        <w:t>a</w:t>
      </w:r>
      <w:r>
        <w:rPr>
          <w:sz w:val="21"/>
          <w:vertAlign w:val="baseline"/>
        </w:rPr>
        <w:t>verages.</w:t>
      </w:r>
      <w:hyperlink w:history="true" w:anchor="_bookmark414">
        <w:r>
          <w:rPr>
            <w:sz w:val="21"/>
            <w:vertAlign w:val="superscript"/>
          </w:rPr>
          <w:t>98</w:t>
        </w:r>
      </w:hyperlink>
      <w:r>
        <w:rPr>
          <w:sz w:val="21"/>
          <w:vertAlign w:val="baseline"/>
        </w:rPr>
        <w:t> The lower rate of LGBTQ+ youth in pretrial detention in Massachusetts might be seen as a </w:t>
      </w:r>
      <w:bookmarkStart w:name="_bookmark358" w:id="591"/>
      <w:bookmarkEnd w:id="591"/>
      <w:r>
        <w:rPr>
          <w:sz w:val="21"/>
          <w:vertAlign w:val="baseline"/>
        </w:rPr>
        <w:t>p</w:t>
      </w:r>
      <w:r>
        <w:rPr>
          <w:sz w:val="21"/>
          <w:vertAlign w:val="baseline"/>
        </w:rPr>
        <w:t>ositive</w:t>
      </w:r>
      <w:r>
        <w:rPr>
          <w:spacing w:val="-10"/>
          <w:sz w:val="21"/>
          <w:vertAlign w:val="baseline"/>
        </w:rPr>
        <w:t> </w:t>
      </w:r>
      <w:r>
        <w:rPr>
          <w:sz w:val="21"/>
          <w:vertAlign w:val="baseline"/>
        </w:rPr>
        <w:t>development,</w:t>
      </w:r>
      <w:r>
        <w:rPr>
          <w:spacing w:val="-11"/>
          <w:sz w:val="21"/>
          <w:vertAlign w:val="baseline"/>
        </w:rPr>
        <w:t> </w:t>
      </w:r>
      <w:r>
        <w:rPr>
          <w:sz w:val="21"/>
          <w:vertAlign w:val="baseline"/>
        </w:rPr>
        <w:t>but</w:t>
      </w:r>
      <w:r>
        <w:rPr>
          <w:spacing w:val="-11"/>
          <w:sz w:val="21"/>
          <w:vertAlign w:val="baseline"/>
        </w:rPr>
        <w:t> </w:t>
      </w:r>
      <w:r>
        <w:rPr>
          <w:sz w:val="21"/>
          <w:vertAlign w:val="baseline"/>
        </w:rPr>
        <w:t>it</w:t>
      </w:r>
      <w:r>
        <w:rPr>
          <w:spacing w:val="-11"/>
          <w:sz w:val="21"/>
          <w:vertAlign w:val="baseline"/>
        </w:rPr>
        <w:t> </w:t>
      </w:r>
      <w:r>
        <w:rPr>
          <w:sz w:val="21"/>
          <w:vertAlign w:val="baseline"/>
        </w:rPr>
        <w:t>could</w:t>
      </w:r>
      <w:r>
        <w:rPr>
          <w:spacing w:val="-11"/>
          <w:sz w:val="21"/>
          <w:vertAlign w:val="baseline"/>
        </w:rPr>
        <w:t> </w:t>
      </w:r>
      <w:r>
        <w:rPr>
          <w:sz w:val="21"/>
          <w:vertAlign w:val="baseline"/>
        </w:rPr>
        <w:t>also</w:t>
      </w:r>
      <w:r>
        <w:rPr>
          <w:spacing w:val="-11"/>
          <w:sz w:val="21"/>
          <w:vertAlign w:val="baseline"/>
        </w:rPr>
        <w:t> </w:t>
      </w:r>
      <w:r>
        <w:rPr>
          <w:sz w:val="21"/>
          <w:vertAlign w:val="baseline"/>
        </w:rPr>
        <w:t>suggest</w:t>
      </w:r>
      <w:r>
        <w:rPr>
          <w:spacing w:val="-10"/>
          <w:sz w:val="21"/>
          <w:vertAlign w:val="baseline"/>
        </w:rPr>
        <w:t> </w:t>
      </w:r>
      <w:r>
        <w:rPr>
          <w:sz w:val="21"/>
          <w:vertAlign w:val="baseline"/>
        </w:rPr>
        <w:t>that</w:t>
      </w:r>
      <w:r>
        <w:rPr>
          <w:spacing w:val="-11"/>
          <w:sz w:val="21"/>
          <w:vertAlign w:val="baseline"/>
        </w:rPr>
        <w:t> </w:t>
      </w:r>
      <w:r>
        <w:rPr>
          <w:sz w:val="21"/>
          <w:vertAlign w:val="baseline"/>
        </w:rPr>
        <w:t>many</w:t>
      </w:r>
      <w:r>
        <w:rPr>
          <w:spacing w:val="-10"/>
          <w:sz w:val="21"/>
          <w:vertAlign w:val="baseline"/>
        </w:rPr>
        <w:t> </w:t>
      </w:r>
      <w:r>
        <w:rPr>
          <w:sz w:val="21"/>
          <w:vertAlign w:val="baseline"/>
        </w:rPr>
        <w:t>detained</w:t>
      </w:r>
      <w:r>
        <w:rPr>
          <w:spacing w:val="-11"/>
          <w:sz w:val="21"/>
          <w:vertAlign w:val="baseline"/>
        </w:rPr>
        <w:t> </w:t>
      </w:r>
      <w:r>
        <w:rPr>
          <w:sz w:val="21"/>
          <w:vertAlign w:val="baseline"/>
        </w:rPr>
        <w:t>youths</w:t>
      </w:r>
      <w:r>
        <w:rPr>
          <w:spacing w:val="-11"/>
          <w:sz w:val="21"/>
          <w:vertAlign w:val="baseline"/>
        </w:rPr>
        <w:t> </w:t>
      </w:r>
      <w:r>
        <w:rPr>
          <w:sz w:val="21"/>
          <w:vertAlign w:val="baseline"/>
        </w:rPr>
        <w:t>choose</w:t>
      </w:r>
      <w:r>
        <w:rPr>
          <w:spacing w:val="-10"/>
          <w:sz w:val="21"/>
          <w:vertAlign w:val="baseline"/>
        </w:rPr>
        <w:t> </w:t>
      </w:r>
      <w:r>
        <w:rPr>
          <w:sz w:val="21"/>
          <w:vertAlign w:val="baseline"/>
        </w:rPr>
        <w:t>not</w:t>
      </w:r>
      <w:r>
        <w:rPr>
          <w:spacing w:val="-10"/>
          <w:sz w:val="21"/>
          <w:vertAlign w:val="baseline"/>
        </w:rPr>
        <w:t> </w:t>
      </w:r>
      <w:r>
        <w:rPr>
          <w:sz w:val="21"/>
          <w:vertAlign w:val="baseline"/>
        </w:rPr>
        <w:t>to</w:t>
      </w:r>
      <w:r>
        <w:rPr>
          <w:spacing w:val="-11"/>
          <w:sz w:val="21"/>
          <w:vertAlign w:val="baseline"/>
        </w:rPr>
        <w:t> </w:t>
      </w:r>
      <w:r>
        <w:rPr>
          <w:sz w:val="21"/>
          <w:vertAlign w:val="baseline"/>
        </w:rPr>
        <w:t>reveal</w:t>
      </w:r>
      <w:r>
        <w:rPr>
          <w:spacing w:val="-11"/>
          <w:sz w:val="21"/>
          <w:vertAlign w:val="baseline"/>
        </w:rPr>
        <w:t> </w:t>
      </w:r>
      <w:r>
        <w:rPr>
          <w:sz w:val="21"/>
          <w:vertAlign w:val="baseline"/>
        </w:rPr>
        <w:t>their</w:t>
      </w:r>
      <w:r>
        <w:rPr>
          <w:spacing w:val="-10"/>
          <w:sz w:val="21"/>
          <w:vertAlign w:val="baseline"/>
        </w:rPr>
        <w:t> </w:t>
      </w:r>
      <w:r>
        <w:rPr>
          <w:sz w:val="21"/>
          <w:vertAlign w:val="baseline"/>
        </w:rPr>
        <w:t>sexual orientation or gender identity during the</w:t>
      </w:r>
      <w:r>
        <w:rPr>
          <w:spacing w:val="-1"/>
          <w:sz w:val="21"/>
          <w:vertAlign w:val="baseline"/>
        </w:rPr>
        <w:t> </w:t>
      </w:r>
      <w:r>
        <w:rPr>
          <w:sz w:val="21"/>
          <w:vertAlign w:val="baseline"/>
        </w:rPr>
        <w:t>intake</w:t>
      </w:r>
      <w:r>
        <w:rPr>
          <w:spacing w:val="-1"/>
          <w:sz w:val="21"/>
          <w:vertAlign w:val="baseline"/>
        </w:rPr>
        <w:t> </w:t>
      </w:r>
      <w:r>
        <w:rPr>
          <w:sz w:val="21"/>
          <w:vertAlign w:val="baseline"/>
        </w:rPr>
        <w:t>process. The discrepancy in the</w:t>
      </w:r>
      <w:r>
        <w:rPr>
          <w:spacing w:val="-1"/>
          <w:sz w:val="21"/>
          <w:vertAlign w:val="baseline"/>
        </w:rPr>
        <w:t> </w:t>
      </w:r>
      <w:r>
        <w:rPr>
          <w:sz w:val="21"/>
          <w:vertAlign w:val="baseline"/>
        </w:rPr>
        <w:t>representation of LGBTQ+ </w:t>
      </w:r>
      <w:bookmarkStart w:name="_bookmark359" w:id="592"/>
      <w:bookmarkEnd w:id="592"/>
      <w:r>
        <w:rPr>
          <w:sz w:val="21"/>
          <w:vertAlign w:val="baseline"/>
        </w:rPr>
        <w:t>y</w:t>
      </w:r>
      <w:r>
        <w:rPr>
          <w:sz w:val="21"/>
          <w:vertAlign w:val="baseline"/>
        </w:rPr>
        <w:t>outh in detention in Massachusetts, whether it be</w:t>
      </w:r>
      <w:r>
        <w:rPr>
          <w:spacing w:val="-1"/>
          <w:sz w:val="21"/>
          <w:vertAlign w:val="baseline"/>
        </w:rPr>
        <w:t> </w:t>
      </w:r>
      <w:r>
        <w:rPr>
          <w:sz w:val="21"/>
          <w:vertAlign w:val="baseline"/>
        </w:rPr>
        <w:t>an</w:t>
      </w:r>
      <w:r>
        <w:rPr>
          <w:spacing w:val="-1"/>
          <w:sz w:val="21"/>
          <w:vertAlign w:val="baseline"/>
        </w:rPr>
        <w:t> </w:t>
      </w:r>
      <w:r>
        <w:rPr>
          <w:sz w:val="21"/>
          <w:vertAlign w:val="baseline"/>
        </w:rPr>
        <w:t>overrepresentation or</w:t>
      </w:r>
      <w:r>
        <w:rPr>
          <w:spacing w:val="-1"/>
          <w:sz w:val="21"/>
          <w:vertAlign w:val="baseline"/>
        </w:rPr>
        <w:t> </w:t>
      </w:r>
      <w:r>
        <w:rPr>
          <w:sz w:val="21"/>
          <w:vertAlign w:val="baseline"/>
        </w:rPr>
        <w:t>underrepresentation, comes with</w:t>
      </w:r>
      <w:r>
        <w:rPr>
          <w:spacing w:val="-10"/>
          <w:sz w:val="21"/>
          <w:vertAlign w:val="baseline"/>
        </w:rPr>
        <w:t> </w:t>
      </w:r>
      <w:r>
        <w:rPr>
          <w:sz w:val="21"/>
          <w:vertAlign w:val="baseline"/>
        </w:rPr>
        <w:t>distinct</w:t>
      </w:r>
      <w:r>
        <w:rPr>
          <w:spacing w:val="-11"/>
          <w:sz w:val="21"/>
          <w:vertAlign w:val="baseline"/>
        </w:rPr>
        <w:t> </w:t>
      </w:r>
      <w:r>
        <w:rPr>
          <w:sz w:val="21"/>
          <w:vertAlign w:val="baseline"/>
        </w:rPr>
        <w:t>reasons</w:t>
      </w:r>
      <w:r>
        <w:rPr>
          <w:spacing w:val="-11"/>
          <w:sz w:val="21"/>
          <w:vertAlign w:val="baseline"/>
        </w:rPr>
        <w:t> </w:t>
      </w:r>
      <w:r>
        <w:rPr>
          <w:sz w:val="21"/>
          <w:vertAlign w:val="baseline"/>
        </w:rPr>
        <w:t>for</w:t>
      </w:r>
      <w:r>
        <w:rPr>
          <w:spacing w:val="-10"/>
          <w:sz w:val="21"/>
          <w:vertAlign w:val="baseline"/>
        </w:rPr>
        <w:t> </w:t>
      </w:r>
      <w:r>
        <w:rPr>
          <w:sz w:val="21"/>
          <w:vertAlign w:val="baseline"/>
        </w:rPr>
        <w:t>their</w:t>
      </w:r>
      <w:r>
        <w:rPr>
          <w:spacing w:val="-10"/>
          <w:sz w:val="21"/>
          <w:vertAlign w:val="baseline"/>
        </w:rPr>
        <w:t> </w:t>
      </w:r>
      <w:r>
        <w:rPr>
          <w:sz w:val="21"/>
          <w:vertAlign w:val="baseline"/>
        </w:rPr>
        <w:t>detention</w:t>
      </w:r>
      <w:r>
        <w:rPr>
          <w:spacing w:val="-11"/>
          <w:sz w:val="21"/>
          <w:vertAlign w:val="baseline"/>
        </w:rPr>
        <w:t> </w:t>
      </w:r>
      <w:r>
        <w:rPr>
          <w:sz w:val="21"/>
          <w:vertAlign w:val="baseline"/>
        </w:rPr>
        <w:t>when</w:t>
      </w:r>
      <w:r>
        <w:rPr>
          <w:spacing w:val="-10"/>
          <w:sz w:val="21"/>
          <w:vertAlign w:val="baseline"/>
        </w:rPr>
        <w:t> </w:t>
      </w:r>
      <w:r>
        <w:rPr>
          <w:sz w:val="21"/>
          <w:vertAlign w:val="baseline"/>
        </w:rPr>
        <w:t>compared</w:t>
      </w:r>
      <w:r>
        <w:rPr>
          <w:spacing w:val="-10"/>
          <w:sz w:val="21"/>
          <w:vertAlign w:val="baseline"/>
        </w:rPr>
        <w:t> </w:t>
      </w:r>
      <w:r>
        <w:rPr>
          <w:sz w:val="21"/>
          <w:vertAlign w:val="baseline"/>
        </w:rPr>
        <w:t>to</w:t>
      </w:r>
      <w:r>
        <w:rPr>
          <w:spacing w:val="-12"/>
          <w:sz w:val="21"/>
          <w:vertAlign w:val="baseline"/>
        </w:rPr>
        <w:t> </w:t>
      </w:r>
      <w:r>
        <w:rPr>
          <w:sz w:val="21"/>
          <w:vertAlign w:val="baseline"/>
        </w:rPr>
        <w:t>non-LGBTQ+</w:t>
      </w:r>
      <w:r>
        <w:rPr>
          <w:spacing w:val="-11"/>
          <w:sz w:val="21"/>
          <w:vertAlign w:val="baseline"/>
        </w:rPr>
        <w:t> </w:t>
      </w:r>
      <w:r>
        <w:rPr>
          <w:sz w:val="21"/>
          <w:vertAlign w:val="baseline"/>
        </w:rPr>
        <w:t>youth.</w:t>
      </w:r>
      <w:hyperlink w:history="true" w:anchor="_bookmark415">
        <w:r>
          <w:rPr>
            <w:sz w:val="21"/>
            <w:vertAlign w:val="superscript"/>
          </w:rPr>
          <w:t>99</w:t>
        </w:r>
      </w:hyperlink>
      <w:r>
        <w:rPr>
          <w:spacing w:val="-3"/>
          <w:sz w:val="21"/>
          <w:vertAlign w:val="baseline"/>
        </w:rPr>
        <w:t> </w:t>
      </w:r>
      <w:r>
        <w:rPr>
          <w:sz w:val="21"/>
          <w:vertAlign w:val="baseline"/>
        </w:rPr>
        <w:t>Among</w:t>
      </w:r>
      <w:r>
        <w:rPr>
          <w:spacing w:val="-11"/>
          <w:sz w:val="21"/>
          <w:vertAlign w:val="baseline"/>
        </w:rPr>
        <w:t> </w:t>
      </w:r>
      <w:r>
        <w:rPr>
          <w:sz w:val="21"/>
          <w:vertAlign w:val="baseline"/>
        </w:rPr>
        <w:t>the</w:t>
      </w:r>
      <w:r>
        <w:rPr>
          <w:spacing w:val="-12"/>
          <w:sz w:val="21"/>
          <w:vertAlign w:val="baseline"/>
        </w:rPr>
        <w:t> </w:t>
      </w:r>
      <w:r>
        <w:rPr>
          <w:sz w:val="21"/>
          <w:vertAlign w:val="baseline"/>
        </w:rPr>
        <w:t>768</w:t>
      </w:r>
      <w:r>
        <w:rPr>
          <w:spacing w:val="-11"/>
          <w:sz w:val="21"/>
          <w:vertAlign w:val="baseline"/>
        </w:rPr>
        <w:t> </w:t>
      </w:r>
      <w:r>
        <w:rPr>
          <w:sz w:val="21"/>
          <w:vertAlign w:val="baseline"/>
        </w:rPr>
        <w:t>detention admissions,</w:t>
      </w:r>
      <w:r>
        <w:rPr>
          <w:spacing w:val="-3"/>
          <w:sz w:val="21"/>
          <w:vertAlign w:val="baseline"/>
        </w:rPr>
        <w:t> </w:t>
      </w:r>
      <w:r>
        <w:rPr>
          <w:sz w:val="21"/>
          <w:vertAlign w:val="baseline"/>
        </w:rPr>
        <w:t>those</w:t>
      </w:r>
      <w:r>
        <w:rPr>
          <w:spacing w:val="-3"/>
          <w:sz w:val="21"/>
          <w:vertAlign w:val="baseline"/>
        </w:rPr>
        <w:t> </w:t>
      </w:r>
      <w:r>
        <w:rPr>
          <w:sz w:val="21"/>
          <w:vertAlign w:val="baseline"/>
        </w:rPr>
        <w:t>who</w:t>
      </w:r>
      <w:r>
        <w:rPr>
          <w:spacing w:val="-3"/>
          <w:sz w:val="21"/>
          <w:vertAlign w:val="baseline"/>
        </w:rPr>
        <w:t> </w:t>
      </w:r>
      <w:r>
        <w:rPr>
          <w:sz w:val="21"/>
          <w:vertAlign w:val="baseline"/>
        </w:rPr>
        <w:t>identified</w:t>
      </w:r>
      <w:r>
        <w:rPr>
          <w:spacing w:val="-3"/>
          <w:sz w:val="21"/>
          <w:vertAlign w:val="baseline"/>
        </w:rPr>
        <w:t> </w:t>
      </w:r>
      <w:r>
        <w:rPr>
          <w:sz w:val="21"/>
          <w:vertAlign w:val="baseline"/>
        </w:rPr>
        <w:t>as</w:t>
      </w:r>
      <w:r>
        <w:rPr>
          <w:spacing w:val="-4"/>
          <w:sz w:val="21"/>
          <w:vertAlign w:val="baseline"/>
        </w:rPr>
        <w:t> </w:t>
      </w:r>
      <w:r>
        <w:rPr>
          <w:sz w:val="21"/>
          <w:vertAlign w:val="baseline"/>
        </w:rPr>
        <w:t>LGBTQ+</w:t>
      </w:r>
      <w:r>
        <w:rPr>
          <w:spacing w:val="-3"/>
          <w:sz w:val="21"/>
          <w:vertAlign w:val="baseline"/>
        </w:rPr>
        <w:t> </w:t>
      </w:r>
      <w:r>
        <w:rPr>
          <w:sz w:val="21"/>
          <w:vertAlign w:val="baseline"/>
        </w:rPr>
        <w:t>were</w:t>
      </w:r>
      <w:r>
        <w:rPr>
          <w:spacing w:val="-3"/>
          <w:sz w:val="21"/>
          <w:vertAlign w:val="baseline"/>
        </w:rPr>
        <w:t> </w:t>
      </w:r>
      <w:r>
        <w:rPr>
          <w:sz w:val="21"/>
          <w:vertAlign w:val="baseline"/>
        </w:rPr>
        <w:t>far</w:t>
      </w:r>
      <w:r>
        <w:rPr>
          <w:spacing w:val="-3"/>
          <w:sz w:val="21"/>
          <w:vertAlign w:val="baseline"/>
        </w:rPr>
        <w:t> </w:t>
      </w:r>
      <w:r>
        <w:rPr>
          <w:sz w:val="21"/>
          <w:vertAlign w:val="baseline"/>
        </w:rPr>
        <w:t>more</w:t>
      </w:r>
      <w:r>
        <w:rPr>
          <w:spacing w:val="-3"/>
          <w:sz w:val="21"/>
          <w:vertAlign w:val="baseline"/>
        </w:rPr>
        <w:t> </w:t>
      </w:r>
      <w:r>
        <w:rPr>
          <w:sz w:val="21"/>
          <w:vertAlign w:val="baseline"/>
        </w:rPr>
        <w:t>likely</w:t>
      </w:r>
      <w:r>
        <w:rPr>
          <w:spacing w:val="-3"/>
          <w:sz w:val="21"/>
          <w:vertAlign w:val="baseline"/>
        </w:rPr>
        <w:t> </w:t>
      </w:r>
      <w:r>
        <w:rPr>
          <w:sz w:val="21"/>
          <w:vertAlign w:val="baseline"/>
        </w:rPr>
        <w:t>to</w:t>
      </w:r>
      <w:r>
        <w:rPr>
          <w:spacing w:val="-3"/>
          <w:sz w:val="21"/>
          <w:vertAlign w:val="baseline"/>
        </w:rPr>
        <w:t> </w:t>
      </w:r>
      <w:r>
        <w:rPr>
          <w:sz w:val="21"/>
          <w:vertAlign w:val="baseline"/>
        </w:rPr>
        <w:t>be</w:t>
      </w:r>
      <w:r>
        <w:rPr>
          <w:spacing w:val="-3"/>
          <w:sz w:val="21"/>
          <w:vertAlign w:val="baseline"/>
        </w:rPr>
        <w:t> </w:t>
      </w:r>
      <w:r>
        <w:rPr>
          <w:sz w:val="21"/>
          <w:vertAlign w:val="baseline"/>
        </w:rPr>
        <w:t>held</w:t>
      </w:r>
      <w:r>
        <w:rPr>
          <w:spacing w:val="-3"/>
          <w:sz w:val="21"/>
          <w:vertAlign w:val="baseline"/>
        </w:rPr>
        <w:t> </w:t>
      </w:r>
      <w:r>
        <w:rPr>
          <w:sz w:val="21"/>
          <w:vertAlign w:val="baseline"/>
        </w:rPr>
        <w:t>on</w:t>
      </w:r>
      <w:r>
        <w:rPr>
          <w:spacing w:val="-3"/>
          <w:sz w:val="21"/>
          <w:vertAlign w:val="baseline"/>
        </w:rPr>
        <w:t> </w:t>
      </w:r>
      <w:r>
        <w:rPr>
          <w:sz w:val="21"/>
          <w:vertAlign w:val="baseline"/>
        </w:rPr>
        <w:t>cash</w:t>
      </w:r>
      <w:r>
        <w:rPr>
          <w:spacing w:val="-2"/>
          <w:sz w:val="21"/>
          <w:vertAlign w:val="baseline"/>
        </w:rPr>
        <w:t> </w:t>
      </w:r>
      <w:r>
        <w:rPr>
          <w:sz w:val="21"/>
          <w:vertAlign w:val="baseline"/>
        </w:rPr>
        <w:t>bail</w:t>
      </w:r>
      <w:r>
        <w:rPr>
          <w:spacing w:val="-3"/>
          <w:sz w:val="21"/>
          <w:vertAlign w:val="baseline"/>
        </w:rPr>
        <w:t> </w:t>
      </w:r>
      <w:r>
        <w:rPr>
          <w:sz w:val="21"/>
          <w:vertAlign w:val="baseline"/>
        </w:rPr>
        <w:t>compared</w:t>
      </w:r>
      <w:r>
        <w:rPr>
          <w:spacing w:val="-3"/>
          <w:sz w:val="21"/>
          <w:vertAlign w:val="baseline"/>
        </w:rPr>
        <w:t> </w:t>
      </w:r>
      <w:r>
        <w:rPr>
          <w:sz w:val="21"/>
          <w:vertAlign w:val="baseline"/>
        </w:rPr>
        <w:t>to</w:t>
      </w:r>
      <w:r>
        <w:rPr>
          <w:spacing w:val="-3"/>
          <w:sz w:val="21"/>
          <w:vertAlign w:val="baseline"/>
        </w:rPr>
        <w:t> </w:t>
      </w:r>
      <w:r>
        <w:rPr>
          <w:sz w:val="21"/>
          <w:vertAlign w:val="baseline"/>
        </w:rPr>
        <w:t>their </w:t>
      </w:r>
      <w:bookmarkStart w:name="_bookmark360" w:id="593"/>
      <w:bookmarkEnd w:id="593"/>
      <w:r>
        <w:rPr>
          <w:sz w:val="21"/>
          <w:vertAlign w:val="baseline"/>
        </w:rPr>
        <w:t>n</w:t>
      </w:r>
      <w:r>
        <w:rPr>
          <w:sz w:val="21"/>
          <w:vertAlign w:val="baseline"/>
        </w:rPr>
        <w:t>on-LGBTQ+ counterparts.</w:t>
      </w:r>
      <w:hyperlink w:history="true" w:anchor="_bookmark416">
        <w:r>
          <w:rPr>
            <w:sz w:val="21"/>
            <w:vertAlign w:val="superscript"/>
          </w:rPr>
          <w:t>100</w:t>
        </w:r>
      </w:hyperlink>
    </w:p>
    <w:p>
      <w:pPr>
        <w:spacing w:line="276" w:lineRule="auto" w:before="240"/>
        <w:ind w:left="463" w:right="238" w:firstLine="0"/>
        <w:jc w:val="both"/>
        <w:rPr>
          <w:sz w:val="21"/>
        </w:rPr>
      </w:pPr>
      <w:bookmarkStart w:name="_bookmark361" w:id="594"/>
      <w:bookmarkEnd w:id="594"/>
      <w:r>
        <w:rPr/>
      </w:r>
      <w:r>
        <w:rPr>
          <w:sz w:val="21"/>
        </w:rPr>
        <w:t>Despite legislative efforts to protect LGBTQ youth in incarceration settings, such as the Prison Rape </w:t>
      </w:r>
      <w:bookmarkStart w:name="_bookmark362" w:id="595"/>
      <w:bookmarkEnd w:id="595"/>
      <w:r>
        <w:rPr>
          <w:sz w:val="21"/>
        </w:rPr>
      </w:r>
      <w:bookmarkStart w:name="_bookmark363" w:id="596"/>
      <w:bookmarkEnd w:id="596"/>
      <w:r>
        <w:rPr>
          <w:sz w:val="21"/>
        </w:rPr>
        <w:t>E</w:t>
      </w:r>
      <w:r>
        <w:rPr>
          <w:sz w:val="21"/>
        </w:rPr>
        <w:t>limination Act (PREA) of 2003 and the federal Juvenile Justice and Delinquency Prevention Act, the implementation of these protective standards has been inconsistent.</w:t>
      </w:r>
      <w:r>
        <w:rPr>
          <w:spacing w:val="-12"/>
          <w:sz w:val="21"/>
        </w:rPr>
        <w:t> </w:t>
      </w:r>
      <w:hyperlink w:history="true" w:anchor="_bookmark417">
        <w:r>
          <w:rPr>
            <w:sz w:val="21"/>
            <w:vertAlign w:val="superscript"/>
          </w:rPr>
          <w:t>101</w:t>
        </w:r>
      </w:hyperlink>
      <w:r>
        <w:rPr>
          <w:sz w:val="21"/>
          <w:vertAlign w:val="baseline"/>
        </w:rPr>
        <w:t> This inconsistency sometimes exacerbates the challenges LGBTQ youth face, including higher rates of abuse and harassment.</w:t>
      </w:r>
      <w:r>
        <w:rPr>
          <w:spacing w:val="-1"/>
          <w:sz w:val="21"/>
          <w:vertAlign w:val="baseline"/>
        </w:rPr>
        <w:t> </w:t>
      </w:r>
      <w:hyperlink w:history="true" w:anchor="_bookmark418">
        <w:r>
          <w:rPr>
            <w:sz w:val="21"/>
            <w:vertAlign w:val="superscript"/>
          </w:rPr>
          <w:t>102</w:t>
        </w:r>
      </w:hyperlink>
      <w:r>
        <w:rPr>
          <w:sz w:val="21"/>
          <w:vertAlign w:val="baseline"/>
        </w:rPr>
        <w:t> Specifically, the Bureau of Justice Statistics reports that incarcerated gay, bisexual men, and transgender </w:t>
      </w:r>
      <w:bookmarkStart w:name="_bookmark364" w:id="597"/>
      <w:bookmarkEnd w:id="597"/>
      <w:r>
        <w:rPr>
          <w:sz w:val="21"/>
          <w:vertAlign w:val="baseline"/>
        </w:rPr>
        <w:t>w</w:t>
      </w:r>
      <w:r>
        <w:rPr>
          <w:sz w:val="21"/>
          <w:vertAlign w:val="baseline"/>
        </w:rPr>
        <w:t>omen are approximately ten times more likely to suffer sexual victimization than their heterosexual counterparts.</w:t>
      </w:r>
      <w:hyperlink w:history="true" w:anchor="_bookmark419">
        <w:r>
          <w:rPr>
            <w:sz w:val="21"/>
            <w:vertAlign w:val="superscript"/>
          </w:rPr>
          <w:t>103</w:t>
        </w:r>
      </w:hyperlink>
      <w:r>
        <w:rPr>
          <w:sz w:val="21"/>
          <w:vertAlign w:val="baseline"/>
        </w:rPr>
        <w:t> Moreover, a staggering 85% of LGBTQ inmates have experienced solitary confinement, </w:t>
      </w:r>
      <w:bookmarkStart w:name="_bookmark365" w:id="598"/>
      <w:bookmarkEnd w:id="598"/>
      <w:r>
        <w:rPr>
          <w:sz w:val="21"/>
          <w:vertAlign w:val="baseline"/>
        </w:rPr>
      </w:r>
      <w:bookmarkStart w:name="_bookmark366" w:id="599"/>
      <w:bookmarkEnd w:id="599"/>
      <w:r>
        <w:rPr>
          <w:sz w:val="21"/>
          <w:vertAlign w:val="baseline"/>
        </w:rPr>
        <w:t>w</w:t>
      </w:r>
      <w:r>
        <w:rPr>
          <w:sz w:val="21"/>
          <w:vertAlign w:val="baseline"/>
        </w:rPr>
        <w:t>ith about 30% of LGB young people in prison placed in segregated housing, significantly higher than the 18% of their non-LGB peers.</w:t>
      </w:r>
      <w:r>
        <w:rPr>
          <w:spacing w:val="-10"/>
          <w:sz w:val="21"/>
          <w:vertAlign w:val="baseline"/>
        </w:rPr>
        <w:t> </w:t>
      </w:r>
      <w:hyperlink w:history="true" w:anchor="_bookmark420">
        <w:r>
          <w:rPr>
            <w:sz w:val="21"/>
            <w:vertAlign w:val="superscript"/>
          </w:rPr>
          <w:t>104</w:t>
        </w:r>
      </w:hyperlink>
      <w:r>
        <w:rPr>
          <w:sz w:val="21"/>
          <w:vertAlign w:val="baseline"/>
        </w:rPr>
        <w:t> These numbers may be particularly alarming for transgender youth however, there is a dearth of data on the subject. According to the 2022 Department of Youth Services </w:t>
      </w:r>
      <w:bookmarkStart w:name="_bookmark367" w:id="600"/>
      <w:bookmarkEnd w:id="600"/>
      <w:r>
        <w:rPr>
          <w:sz w:val="21"/>
          <w:vertAlign w:val="baseline"/>
        </w:rPr>
      </w:r>
      <w:bookmarkStart w:name="_bookmark368" w:id="601"/>
      <w:bookmarkEnd w:id="601"/>
      <w:r>
        <w:rPr>
          <w:sz w:val="21"/>
          <w:vertAlign w:val="baseline"/>
        </w:rPr>
        <w:t>r</w:t>
      </w:r>
      <w:r>
        <w:rPr>
          <w:sz w:val="21"/>
          <w:vertAlign w:val="baseline"/>
        </w:rPr>
        <w:t>eport,</w:t>
      </w:r>
      <w:r>
        <w:rPr>
          <w:spacing w:val="-11"/>
          <w:sz w:val="21"/>
          <w:vertAlign w:val="baseline"/>
        </w:rPr>
        <w:t> </w:t>
      </w:r>
      <w:r>
        <w:rPr>
          <w:sz w:val="21"/>
          <w:vertAlign w:val="baseline"/>
        </w:rPr>
        <w:t>“youth</w:t>
      </w:r>
      <w:r>
        <w:rPr>
          <w:spacing w:val="-12"/>
          <w:sz w:val="21"/>
          <w:vertAlign w:val="baseline"/>
        </w:rPr>
        <w:t> </w:t>
      </w:r>
      <w:r>
        <w:rPr>
          <w:sz w:val="21"/>
          <w:vertAlign w:val="baseline"/>
        </w:rPr>
        <w:t>who</w:t>
      </w:r>
      <w:r>
        <w:rPr>
          <w:spacing w:val="-11"/>
          <w:sz w:val="21"/>
          <w:vertAlign w:val="baseline"/>
        </w:rPr>
        <w:t> </w:t>
      </w:r>
      <w:r>
        <w:rPr>
          <w:sz w:val="21"/>
          <w:vertAlign w:val="baseline"/>
        </w:rPr>
        <w:t>identify</w:t>
      </w:r>
      <w:r>
        <w:rPr>
          <w:spacing w:val="-12"/>
          <w:sz w:val="21"/>
          <w:vertAlign w:val="baseline"/>
        </w:rPr>
        <w:t> </w:t>
      </w:r>
      <w:r>
        <w:rPr>
          <w:sz w:val="21"/>
          <w:vertAlign w:val="baseline"/>
        </w:rPr>
        <w:t>as</w:t>
      </w:r>
      <w:r>
        <w:rPr>
          <w:spacing w:val="-12"/>
          <w:sz w:val="21"/>
          <w:vertAlign w:val="baseline"/>
        </w:rPr>
        <w:t> </w:t>
      </w:r>
      <w:r>
        <w:rPr>
          <w:sz w:val="21"/>
          <w:vertAlign w:val="baseline"/>
        </w:rPr>
        <w:t>transgender</w:t>
      </w:r>
      <w:r>
        <w:rPr>
          <w:spacing w:val="-10"/>
          <w:sz w:val="21"/>
          <w:vertAlign w:val="baseline"/>
        </w:rPr>
        <w:t> </w:t>
      </w:r>
      <w:r>
        <w:rPr>
          <w:sz w:val="21"/>
          <w:vertAlign w:val="baseline"/>
        </w:rPr>
        <w:t>are</w:t>
      </w:r>
      <w:r>
        <w:rPr>
          <w:spacing w:val="-11"/>
          <w:sz w:val="21"/>
          <w:vertAlign w:val="baseline"/>
        </w:rPr>
        <w:t> </w:t>
      </w:r>
      <w:r>
        <w:rPr>
          <w:sz w:val="21"/>
          <w:vertAlign w:val="baseline"/>
        </w:rPr>
        <w:t>assigned</w:t>
      </w:r>
      <w:r>
        <w:rPr>
          <w:spacing w:val="-11"/>
          <w:sz w:val="21"/>
          <w:vertAlign w:val="baseline"/>
        </w:rPr>
        <w:t> </w:t>
      </w:r>
      <w:r>
        <w:rPr>
          <w:sz w:val="21"/>
          <w:vertAlign w:val="baseline"/>
        </w:rPr>
        <w:t>to</w:t>
      </w:r>
      <w:r>
        <w:rPr>
          <w:spacing w:val="-12"/>
          <w:sz w:val="21"/>
          <w:vertAlign w:val="baseline"/>
        </w:rPr>
        <w:t> </w:t>
      </w:r>
      <w:r>
        <w:rPr>
          <w:sz w:val="21"/>
          <w:vertAlign w:val="baseline"/>
        </w:rPr>
        <w:t>alternative</w:t>
      </w:r>
      <w:r>
        <w:rPr>
          <w:spacing w:val="-12"/>
          <w:sz w:val="21"/>
          <w:vertAlign w:val="baseline"/>
        </w:rPr>
        <w:t> </w:t>
      </w:r>
      <w:r>
        <w:rPr>
          <w:sz w:val="21"/>
          <w:vertAlign w:val="baseline"/>
        </w:rPr>
        <w:t>placement</w:t>
      </w:r>
      <w:r>
        <w:rPr>
          <w:spacing w:val="-10"/>
          <w:sz w:val="21"/>
          <w:vertAlign w:val="baseline"/>
        </w:rPr>
        <w:t> </w:t>
      </w:r>
      <w:r>
        <w:rPr>
          <w:sz w:val="21"/>
          <w:vertAlign w:val="baseline"/>
        </w:rPr>
        <w:t>based</w:t>
      </w:r>
      <w:r>
        <w:rPr>
          <w:spacing w:val="-11"/>
          <w:sz w:val="21"/>
          <w:vertAlign w:val="baseline"/>
        </w:rPr>
        <w:t> </w:t>
      </w:r>
      <w:r>
        <w:rPr>
          <w:sz w:val="21"/>
          <w:vertAlign w:val="baseline"/>
        </w:rPr>
        <w:t>on</w:t>
      </w:r>
      <w:r>
        <w:rPr>
          <w:spacing w:val="-11"/>
          <w:sz w:val="21"/>
          <w:vertAlign w:val="baseline"/>
        </w:rPr>
        <w:t> </w:t>
      </w:r>
      <w:r>
        <w:rPr>
          <w:sz w:val="21"/>
          <w:vertAlign w:val="baseline"/>
        </w:rPr>
        <w:t>their</w:t>
      </w:r>
      <w:r>
        <w:rPr>
          <w:spacing w:val="-11"/>
          <w:sz w:val="21"/>
          <w:vertAlign w:val="baseline"/>
        </w:rPr>
        <w:t> </w:t>
      </w:r>
      <w:r>
        <w:rPr>
          <w:sz w:val="21"/>
          <w:vertAlign w:val="baseline"/>
        </w:rPr>
        <w:t>preference on</w:t>
      </w:r>
      <w:r>
        <w:rPr>
          <w:spacing w:val="-3"/>
          <w:sz w:val="21"/>
          <w:vertAlign w:val="baseline"/>
        </w:rPr>
        <w:t> </w:t>
      </w:r>
      <w:r>
        <w:rPr>
          <w:sz w:val="21"/>
          <w:vertAlign w:val="baseline"/>
        </w:rPr>
        <w:t>a</w:t>
      </w:r>
      <w:r>
        <w:rPr>
          <w:spacing w:val="-3"/>
          <w:sz w:val="21"/>
          <w:vertAlign w:val="baseline"/>
        </w:rPr>
        <w:t> </w:t>
      </w:r>
      <w:r>
        <w:rPr>
          <w:sz w:val="21"/>
          <w:vertAlign w:val="baseline"/>
        </w:rPr>
        <w:t>case-by-case</w:t>
      </w:r>
      <w:r>
        <w:rPr>
          <w:spacing w:val="-3"/>
          <w:sz w:val="21"/>
          <w:vertAlign w:val="baseline"/>
        </w:rPr>
        <w:t> </w:t>
      </w:r>
      <w:r>
        <w:rPr>
          <w:sz w:val="21"/>
          <w:vertAlign w:val="baseline"/>
        </w:rPr>
        <w:t>basis,</w:t>
      </w:r>
      <w:r>
        <w:rPr>
          <w:spacing w:val="-3"/>
          <w:sz w:val="21"/>
          <w:vertAlign w:val="baseline"/>
        </w:rPr>
        <w:t> </w:t>
      </w:r>
      <w:r>
        <w:rPr>
          <w:sz w:val="21"/>
          <w:vertAlign w:val="baseline"/>
        </w:rPr>
        <w:t>depending</w:t>
      </w:r>
      <w:r>
        <w:rPr>
          <w:spacing w:val="-4"/>
          <w:sz w:val="21"/>
          <w:vertAlign w:val="baseline"/>
        </w:rPr>
        <w:t> </w:t>
      </w:r>
      <w:r>
        <w:rPr>
          <w:sz w:val="21"/>
          <w:vertAlign w:val="baseline"/>
        </w:rPr>
        <w:t>on</w:t>
      </w:r>
      <w:r>
        <w:rPr>
          <w:spacing w:val="-3"/>
          <w:sz w:val="21"/>
          <w:vertAlign w:val="baseline"/>
        </w:rPr>
        <w:t> </w:t>
      </w:r>
      <w:r>
        <w:rPr>
          <w:sz w:val="21"/>
          <w:vertAlign w:val="baseline"/>
        </w:rPr>
        <w:t>self-identification</w:t>
      </w:r>
      <w:r>
        <w:rPr>
          <w:spacing w:val="-3"/>
          <w:sz w:val="21"/>
          <w:vertAlign w:val="baseline"/>
        </w:rPr>
        <w:t> </w:t>
      </w:r>
      <w:r>
        <w:rPr>
          <w:sz w:val="21"/>
          <w:vertAlign w:val="baseline"/>
        </w:rPr>
        <w:t>and</w:t>
      </w:r>
      <w:r>
        <w:rPr>
          <w:spacing w:val="-3"/>
          <w:sz w:val="21"/>
          <w:vertAlign w:val="baseline"/>
        </w:rPr>
        <w:t> </w:t>
      </w:r>
      <w:r>
        <w:rPr>
          <w:sz w:val="21"/>
          <w:vertAlign w:val="baseline"/>
        </w:rPr>
        <w:t>safety</w:t>
      </w:r>
      <w:r>
        <w:rPr>
          <w:spacing w:val="-3"/>
          <w:sz w:val="21"/>
          <w:vertAlign w:val="baseline"/>
        </w:rPr>
        <w:t> </w:t>
      </w:r>
      <w:r>
        <w:rPr>
          <w:sz w:val="21"/>
          <w:vertAlign w:val="baseline"/>
        </w:rPr>
        <w:t>measures.”</w:t>
      </w:r>
      <w:hyperlink w:history="true" w:anchor="_bookmark421">
        <w:r>
          <w:rPr>
            <w:sz w:val="21"/>
            <w:vertAlign w:val="superscript"/>
          </w:rPr>
          <w:t>105</w:t>
        </w:r>
      </w:hyperlink>
      <w:r>
        <w:rPr>
          <w:spacing w:val="-2"/>
          <w:sz w:val="21"/>
          <w:vertAlign w:val="baseline"/>
        </w:rPr>
        <w:t> </w:t>
      </w:r>
      <w:r>
        <w:rPr>
          <w:sz w:val="21"/>
          <w:vertAlign w:val="baseline"/>
        </w:rPr>
        <w:t>Yet,</w:t>
      </w:r>
      <w:r>
        <w:rPr>
          <w:spacing w:val="-4"/>
          <w:sz w:val="21"/>
          <w:vertAlign w:val="baseline"/>
        </w:rPr>
        <w:t> </w:t>
      </w:r>
      <w:r>
        <w:rPr>
          <w:sz w:val="21"/>
          <w:vertAlign w:val="baseline"/>
        </w:rPr>
        <w:t>Massachusetts</w:t>
      </w:r>
      <w:r>
        <w:rPr>
          <w:spacing w:val="-4"/>
          <w:sz w:val="21"/>
          <w:vertAlign w:val="baseline"/>
        </w:rPr>
        <w:t> </w:t>
      </w:r>
      <w:r>
        <w:rPr>
          <w:sz w:val="21"/>
          <w:vertAlign w:val="baseline"/>
        </w:rPr>
        <w:t>data on how frequently these alternative placements occur and what incidents result from placements that do </w:t>
      </w:r>
      <w:bookmarkStart w:name="_bookmark369" w:id="602"/>
      <w:bookmarkEnd w:id="602"/>
      <w:r>
        <w:rPr>
          <w:sz w:val="21"/>
          <w:vertAlign w:val="baseline"/>
        </w:rPr>
      </w:r>
      <w:bookmarkStart w:name="_bookmark370" w:id="603"/>
      <w:bookmarkEnd w:id="603"/>
      <w:r>
        <w:rPr>
          <w:sz w:val="21"/>
          <w:vertAlign w:val="baseline"/>
        </w:rPr>
        <w:t>n</w:t>
      </w:r>
      <w:r>
        <w:rPr>
          <w:sz w:val="21"/>
          <w:vertAlign w:val="baseline"/>
        </w:rPr>
        <w:t>ot align with a transgender youth’s gender are not sufficiently available.</w:t>
      </w:r>
    </w:p>
    <w:p>
      <w:pPr>
        <w:spacing w:line="276" w:lineRule="auto" w:before="240"/>
        <w:ind w:left="464" w:right="239" w:firstLine="0"/>
        <w:jc w:val="both"/>
        <w:rPr>
          <w:sz w:val="21"/>
        </w:rPr>
      </w:pPr>
      <w:bookmarkStart w:name="_bookmark371" w:id="604"/>
      <w:bookmarkEnd w:id="604"/>
      <w:r>
        <w:rPr/>
      </w:r>
      <w:bookmarkStart w:name="_bookmark372" w:id="605"/>
      <w:bookmarkEnd w:id="605"/>
      <w:r>
        <w:rPr/>
      </w:r>
      <w:r>
        <w:rPr>
          <w:sz w:val="21"/>
        </w:rPr>
        <w:t>Solitary</w:t>
      </w:r>
      <w:r>
        <w:rPr>
          <w:spacing w:val="-4"/>
          <w:sz w:val="21"/>
        </w:rPr>
        <w:t> </w:t>
      </w:r>
      <w:r>
        <w:rPr>
          <w:sz w:val="21"/>
        </w:rPr>
        <w:t>confinement</w:t>
      </w:r>
      <w:r>
        <w:rPr>
          <w:spacing w:val="-3"/>
          <w:sz w:val="21"/>
        </w:rPr>
        <w:t> </w:t>
      </w:r>
      <w:r>
        <w:rPr>
          <w:sz w:val="21"/>
        </w:rPr>
        <w:t>or</w:t>
      </w:r>
      <w:r>
        <w:rPr>
          <w:spacing w:val="-5"/>
          <w:sz w:val="21"/>
        </w:rPr>
        <w:t> </w:t>
      </w:r>
      <w:r>
        <w:rPr>
          <w:sz w:val="21"/>
        </w:rPr>
        <w:t>“administrative</w:t>
      </w:r>
      <w:r>
        <w:rPr>
          <w:spacing w:val="-4"/>
          <w:sz w:val="21"/>
        </w:rPr>
        <w:t> </w:t>
      </w:r>
      <w:r>
        <w:rPr>
          <w:sz w:val="21"/>
        </w:rPr>
        <w:t>segregation”</w:t>
      </w:r>
      <w:r>
        <w:rPr>
          <w:spacing w:val="-4"/>
          <w:sz w:val="21"/>
        </w:rPr>
        <w:t> </w:t>
      </w:r>
      <w:r>
        <w:rPr>
          <w:sz w:val="21"/>
        </w:rPr>
        <w:t>remains</w:t>
      </w:r>
      <w:r>
        <w:rPr>
          <w:spacing w:val="-4"/>
          <w:sz w:val="21"/>
        </w:rPr>
        <w:t> </w:t>
      </w:r>
      <w:r>
        <w:rPr>
          <w:sz w:val="21"/>
        </w:rPr>
        <w:t>a</w:t>
      </w:r>
      <w:r>
        <w:rPr>
          <w:spacing w:val="-4"/>
          <w:sz w:val="21"/>
        </w:rPr>
        <w:t> </w:t>
      </w:r>
      <w:r>
        <w:rPr>
          <w:sz w:val="21"/>
        </w:rPr>
        <w:t>critical</w:t>
      </w:r>
      <w:r>
        <w:rPr>
          <w:spacing w:val="-4"/>
          <w:sz w:val="21"/>
        </w:rPr>
        <w:t> </w:t>
      </w:r>
      <w:r>
        <w:rPr>
          <w:sz w:val="21"/>
        </w:rPr>
        <w:t>issue</w:t>
      </w:r>
      <w:r>
        <w:rPr>
          <w:spacing w:val="-4"/>
          <w:sz w:val="21"/>
        </w:rPr>
        <w:t> </w:t>
      </w:r>
      <w:r>
        <w:rPr>
          <w:sz w:val="21"/>
        </w:rPr>
        <w:t>for</w:t>
      </w:r>
      <w:r>
        <w:rPr>
          <w:spacing w:val="-4"/>
          <w:sz w:val="21"/>
        </w:rPr>
        <w:t> </w:t>
      </w:r>
      <w:r>
        <w:rPr>
          <w:sz w:val="21"/>
        </w:rPr>
        <w:t>detained</w:t>
      </w:r>
      <w:r>
        <w:rPr>
          <w:spacing w:val="-4"/>
          <w:sz w:val="21"/>
        </w:rPr>
        <w:t> </w:t>
      </w:r>
      <w:r>
        <w:rPr>
          <w:sz w:val="21"/>
        </w:rPr>
        <w:t>and</w:t>
      </w:r>
      <w:r>
        <w:rPr>
          <w:spacing w:val="-4"/>
          <w:sz w:val="21"/>
        </w:rPr>
        <w:t> </w:t>
      </w:r>
      <w:r>
        <w:rPr>
          <w:sz w:val="21"/>
        </w:rPr>
        <w:t>incarcerated </w:t>
      </w:r>
      <w:bookmarkStart w:name="_bookmark373" w:id="606"/>
      <w:bookmarkEnd w:id="606"/>
      <w:r>
        <w:rPr>
          <w:sz w:val="21"/>
        </w:rPr>
        <w:t>L</w:t>
      </w:r>
      <w:r>
        <w:rPr>
          <w:sz w:val="21"/>
        </w:rPr>
        <w:t>GBTQ youth.</w:t>
      </w:r>
      <w:hyperlink w:history="true" w:anchor="_bookmark422">
        <w:r>
          <w:rPr>
            <w:sz w:val="21"/>
            <w:vertAlign w:val="superscript"/>
          </w:rPr>
          <w:t>106</w:t>
        </w:r>
      </w:hyperlink>
      <w:r>
        <w:rPr>
          <w:spacing w:val="-2"/>
          <w:sz w:val="21"/>
          <w:vertAlign w:val="baseline"/>
        </w:rPr>
        <w:t> </w:t>
      </w:r>
      <w:r>
        <w:rPr>
          <w:sz w:val="21"/>
          <w:vertAlign w:val="baseline"/>
        </w:rPr>
        <w:t>It is reportedly used for the protection of LGBTQ youth against sexual violence and other </w:t>
      </w:r>
      <w:bookmarkStart w:name="_bookmark374" w:id="607"/>
      <w:bookmarkEnd w:id="607"/>
      <w:r>
        <w:rPr>
          <w:sz w:val="21"/>
          <w:vertAlign w:val="baseline"/>
        </w:rPr>
        <w:t>f</w:t>
      </w:r>
      <w:r>
        <w:rPr>
          <w:sz w:val="21"/>
          <w:vertAlign w:val="baseline"/>
        </w:rPr>
        <w:t>orms</w:t>
      </w:r>
      <w:r>
        <w:rPr>
          <w:spacing w:val="-1"/>
          <w:sz w:val="21"/>
          <w:vertAlign w:val="baseline"/>
        </w:rPr>
        <w:t> </w:t>
      </w:r>
      <w:r>
        <w:rPr>
          <w:sz w:val="21"/>
          <w:vertAlign w:val="baseline"/>
        </w:rPr>
        <w:t>of</w:t>
      </w:r>
      <w:r>
        <w:rPr>
          <w:spacing w:val="-1"/>
          <w:sz w:val="21"/>
          <w:vertAlign w:val="baseline"/>
        </w:rPr>
        <w:t> </w:t>
      </w:r>
      <w:r>
        <w:rPr>
          <w:sz w:val="21"/>
          <w:vertAlign w:val="baseline"/>
        </w:rPr>
        <w:t>abuse, however, this</w:t>
      </w:r>
      <w:r>
        <w:rPr>
          <w:spacing w:val="-1"/>
          <w:sz w:val="21"/>
          <w:vertAlign w:val="baseline"/>
        </w:rPr>
        <w:t> </w:t>
      </w:r>
      <w:r>
        <w:rPr>
          <w:sz w:val="21"/>
          <w:vertAlign w:val="baseline"/>
        </w:rPr>
        <w:t>practice</w:t>
      </w:r>
      <w:r>
        <w:rPr>
          <w:spacing w:val="-1"/>
          <w:sz w:val="21"/>
          <w:vertAlign w:val="baseline"/>
        </w:rPr>
        <w:t> </w:t>
      </w:r>
      <w:r>
        <w:rPr>
          <w:sz w:val="21"/>
          <w:vertAlign w:val="baseline"/>
        </w:rPr>
        <w:t>has</w:t>
      </w:r>
      <w:r>
        <w:rPr>
          <w:spacing w:val="-1"/>
          <w:sz w:val="21"/>
          <w:vertAlign w:val="baseline"/>
        </w:rPr>
        <w:t> </w:t>
      </w:r>
      <w:r>
        <w:rPr>
          <w:sz w:val="21"/>
          <w:vertAlign w:val="baseline"/>
        </w:rPr>
        <w:t>been</w:t>
      </w:r>
      <w:r>
        <w:rPr>
          <w:spacing w:val="-1"/>
          <w:sz w:val="21"/>
          <w:vertAlign w:val="baseline"/>
        </w:rPr>
        <w:t> </w:t>
      </w:r>
      <w:r>
        <w:rPr>
          <w:sz w:val="21"/>
          <w:vertAlign w:val="baseline"/>
        </w:rPr>
        <w:t>deemed</w:t>
      </w:r>
      <w:r>
        <w:rPr>
          <w:spacing w:val="-1"/>
          <w:sz w:val="21"/>
          <w:vertAlign w:val="baseline"/>
        </w:rPr>
        <w:t> </w:t>
      </w:r>
      <w:r>
        <w:rPr>
          <w:sz w:val="21"/>
          <w:vertAlign w:val="baseline"/>
        </w:rPr>
        <w:t>inhumane</w:t>
      </w:r>
      <w:r>
        <w:rPr>
          <w:spacing w:val="-2"/>
          <w:sz w:val="21"/>
          <w:vertAlign w:val="baseline"/>
        </w:rPr>
        <w:t> </w:t>
      </w:r>
      <w:r>
        <w:rPr>
          <w:sz w:val="21"/>
          <w:vertAlign w:val="baseline"/>
        </w:rPr>
        <w:t>by</w:t>
      </w:r>
      <w:r>
        <w:rPr>
          <w:spacing w:val="-1"/>
          <w:sz w:val="21"/>
          <w:vertAlign w:val="baseline"/>
        </w:rPr>
        <w:t> </w:t>
      </w:r>
      <w:r>
        <w:rPr>
          <w:sz w:val="21"/>
          <w:vertAlign w:val="baseline"/>
        </w:rPr>
        <w:t>the</w:t>
      </w:r>
      <w:r>
        <w:rPr>
          <w:spacing w:val="-1"/>
          <w:sz w:val="21"/>
          <w:vertAlign w:val="baseline"/>
        </w:rPr>
        <w:t> </w:t>
      </w:r>
      <w:r>
        <w:rPr>
          <w:sz w:val="21"/>
          <w:vertAlign w:val="baseline"/>
        </w:rPr>
        <w:t>Children’s</w:t>
      </w:r>
      <w:r>
        <w:rPr>
          <w:spacing w:val="-1"/>
          <w:sz w:val="21"/>
          <w:vertAlign w:val="baseline"/>
        </w:rPr>
        <w:t> </w:t>
      </w:r>
      <w:r>
        <w:rPr>
          <w:sz w:val="21"/>
          <w:vertAlign w:val="baseline"/>
        </w:rPr>
        <w:t>Defense</w:t>
      </w:r>
      <w:r>
        <w:rPr>
          <w:spacing w:val="-1"/>
          <w:sz w:val="21"/>
          <w:vertAlign w:val="baseline"/>
        </w:rPr>
        <w:t> </w:t>
      </w:r>
      <w:r>
        <w:rPr>
          <w:sz w:val="21"/>
          <w:vertAlign w:val="baseline"/>
        </w:rPr>
        <w:t>Fund</w:t>
      </w:r>
      <w:r>
        <w:rPr>
          <w:spacing w:val="-1"/>
          <w:sz w:val="21"/>
          <w:vertAlign w:val="baseline"/>
        </w:rPr>
        <w:t> </w:t>
      </w:r>
      <w:r>
        <w:rPr>
          <w:sz w:val="21"/>
          <w:vertAlign w:val="baseline"/>
        </w:rPr>
        <w:t>due</w:t>
      </w:r>
      <w:r>
        <w:rPr>
          <w:spacing w:val="-1"/>
          <w:sz w:val="21"/>
          <w:vertAlign w:val="baseline"/>
        </w:rPr>
        <w:t> </w:t>
      </w:r>
      <w:r>
        <w:rPr>
          <w:sz w:val="21"/>
          <w:vertAlign w:val="baseline"/>
        </w:rPr>
        <w:t>to its severe negative impacts on mental health, including heightened suicide risks and increased abuse by staff.</w:t>
      </w:r>
      <w:hyperlink w:history="true" w:anchor="_bookmark423">
        <w:r>
          <w:rPr>
            <w:sz w:val="21"/>
            <w:vertAlign w:val="superscript"/>
          </w:rPr>
          <w:t>107</w:t>
        </w:r>
      </w:hyperlink>
      <w:r>
        <w:rPr>
          <w:spacing w:val="-3"/>
          <w:sz w:val="21"/>
          <w:vertAlign w:val="baseline"/>
        </w:rPr>
        <w:t> </w:t>
      </w:r>
      <w:r>
        <w:rPr>
          <w:sz w:val="21"/>
          <w:vertAlign w:val="baseline"/>
        </w:rPr>
        <w:t>As of March 2024, American Psychological Association (APA) officially recommended banning the </w:t>
      </w:r>
      <w:bookmarkStart w:name="_bookmark375" w:id="608"/>
      <w:bookmarkEnd w:id="608"/>
      <w:r>
        <w:rPr>
          <w:sz w:val="21"/>
          <w:vertAlign w:val="baseline"/>
        </w:rPr>
        <w:t>u</w:t>
      </w:r>
      <w:r>
        <w:rPr>
          <w:sz w:val="21"/>
          <w:vertAlign w:val="baseline"/>
        </w:rPr>
        <w:t>se of solitary confinement for youths in juvenile legal settings, except in emergencies.</w:t>
      </w:r>
      <w:hyperlink w:history="true" w:anchor="_bookmark424">
        <w:r>
          <w:rPr>
            <w:sz w:val="21"/>
            <w:vertAlign w:val="superscript"/>
          </w:rPr>
          <w:t>108</w:t>
        </w:r>
      </w:hyperlink>
      <w:r>
        <w:rPr>
          <w:spacing w:val="-2"/>
          <w:sz w:val="21"/>
          <w:vertAlign w:val="baseline"/>
        </w:rPr>
        <w:t> </w:t>
      </w:r>
      <w:r>
        <w:rPr>
          <w:sz w:val="21"/>
          <w:vertAlign w:val="baseline"/>
        </w:rPr>
        <w:t>The Association cited evidence indicating the harmful effects of isolation on young individuals' mental health and development.</w:t>
      </w:r>
      <w:r>
        <w:rPr>
          <w:spacing w:val="-21"/>
          <w:sz w:val="21"/>
          <w:vertAlign w:val="baseline"/>
        </w:rPr>
        <w:t> </w:t>
      </w:r>
      <w:hyperlink w:history="true" w:anchor="_bookmark425">
        <w:r>
          <w:rPr>
            <w:sz w:val="21"/>
            <w:vertAlign w:val="superscript"/>
          </w:rPr>
          <w:t>109</w:t>
        </w:r>
      </w:hyperlink>
      <w:r>
        <w:rPr>
          <w:spacing w:val="17"/>
          <w:sz w:val="21"/>
          <w:vertAlign w:val="baseline"/>
        </w:rPr>
        <w:t> </w:t>
      </w:r>
      <w:r>
        <w:rPr>
          <w:sz w:val="21"/>
          <w:vertAlign w:val="baseline"/>
        </w:rPr>
        <w:t>This</w:t>
      </w:r>
      <w:r>
        <w:rPr>
          <w:spacing w:val="37"/>
          <w:sz w:val="21"/>
          <w:vertAlign w:val="baseline"/>
        </w:rPr>
        <w:t> </w:t>
      </w:r>
      <w:r>
        <w:rPr>
          <w:sz w:val="21"/>
          <w:vertAlign w:val="baseline"/>
        </w:rPr>
        <w:t>resolution</w:t>
      </w:r>
      <w:r>
        <w:rPr>
          <w:spacing w:val="37"/>
          <w:sz w:val="21"/>
          <w:vertAlign w:val="baseline"/>
        </w:rPr>
        <w:t> </w:t>
      </w:r>
      <w:r>
        <w:rPr>
          <w:sz w:val="21"/>
          <w:vertAlign w:val="baseline"/>
        </w:rPr>
        <w:t>advocates</w:t>
      </w:r>
      <w:r>
        <w:rPr>
          <w:spacing w:val="37"/>
          <w:sz w:val="21"/>
          <w:vertAlign w:val="baseline"/>
        </w:rPr>
        <w:t> </w:t>
      </w:r>
      <w:r>
        <w:rPr>
          <w:sz w:val="21"/>
          <w:vertAlign w:val="baseline"/>
        </w:rPr>
        <w:t>for</w:t>
      </w:r>
      <w:r>
        <w:rPr>
          <w:spacing w:val="37"/>
          <w:sz w:val="21"/>
          <w:vertAlign w:val="baseline"/>
        </w:rPr>
        <w:t> </w:t>
      </w:r>
      <w:r>
        <w:rPr>
          <w:sz w:val="21"/>
          <w:vertAlign w:val="baseline"/>
        </w:rPr>
        <w:t>emergency-only</w:t>
      </w:r>
      <w:r>
        <w:rPr>
          <w:spacing w:val="37"/>
          <w:sz w:val="21"/>
          <w:vertAlign w:val="baseline"/>
        </w:rPr>
        <w:t> </w:t>
      </w:r>
      <w:r>
        <w:rPr>
          <w:sz w:val="21"/>
          <w:vertAlign w:val="baseline"/>
        </w:rPr>
        <w:t>use</w:t>
      </w:r>
      <w:r>
        <w:rPr>
          <w:spacing w:val="37"/>
          <w:sz w:val="21"/>
          <w:vertAlign w:val="baseline"/>
        </w:rPr>
        <w:t> </w:t>
      </w:r>
      <w:r>
        <w:rPr>
          <w:sz w:val="21"/>
          <w:vertAlign w:val="baseline"/>
        </w:rPr>
        <w:t>of</w:t>
      </w:r>
      <w:r>
        <w:rPr>
          <w:spacing w:val="37"/>
          <w:sz w:val="21"/>
          <w:vertAlign w:val="baseline"/>
        </w:rPr>
        <w:t> </w:t>
      </w:r>
      <w:r>
        <w:rPr>
          <w:sz w:val="21"/>
          <w:vertAlign w:val="baseline"/>
        </w:rPr>
        <w:t>solitary</w:t>
      </w:r>
      <w:r>
        <w:rPr>
          <w:spacing w:val="37"/>
          <w:sz w:val="21"/>
          <w:vertAlign w:val="baseline"/>
        </w:rPr>
        <w:t> </w:t>
      </w:r>
      <w:r>
        <w:rPr>
          <w:sz w:val="21"/>
          <w:vertAlign w:val="baseline"/>
        </w:rPr>
        <w:t>confinement</w:t>
      </w:r>
      <w:r>
        <w:rPr>
          <w:spacing w:val="38"/>
          <w:sz w:val="21"/>
          <w:vertAlign w:val="baseline"/>
        </w:rPr>
        <w:t> </w:t>
      </w:r>
      <w:r>
        <w:rPr>
          <w:sz w:val="21"/>
          <w:vertAlign w:val="baseline"/>
        </w:rPr>
        <w:t>as</w:t>
      </w:r>
      <w:r>
        <w:rPr>
          <w:spacing w:val="36"/>
          <w:sz w:val="21"/>
          <w:vertAlign w:val="baseline"/>
        </w:rPr>
        <w:t> </w:t>
      </w:r>
      <w:r>
        <w:rPr>
          <w:sz w:val="21"/>
          <w:vertAlign w:val="baseline"/>
        </w:rPr>
        <w:t>well</w:t>
      </w:r>
      <w:r>
        <w:rPr>
          <w:spacing w:val="37"/>
          <w:sz w:val="21"/>
          <w:vertAlign w:val="baseline"/>
        </w:rPr>
        <w:t> </w:t>
      </w:r>
      <w:r>
        <w:rPr>
          <w:sz w:val="21"/>
          <w:vertAlign w:val="baseline"/>
        </w:rPr>
        <w:t>as</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firstLine="0"/>
        <w:jc w:val="both"/>
        <w:rPr>
          <w:sz w:val="21"/>
        </w:rPr>
      </w:pPr>
      <w:r>
        <w:rPr>
          <w:sz w:val="21"/>
        </w:rPr>
        <w:t>limiting its duration, implementing alternative behavior management strategies, and ensuring ongoing </w:t>
      </w:r>
      <w:bookmarkStart w:name="_bookmark376" w:id="609"/>
      <w:bookmarkEnd w:id="609"/>
      <w:r>
        <w:rPr>
          <w:sz w:val="21"/>
        </w:rPr>
        <w:t>m</w:t>
      </w:r>
      <w:r>
        <w:rPr>
          <w:sz w:val="21"/>
        </w:rPr>
        <w:t>ental health support for isolated youths.</w:t>
      </w:r>
      <w:hyperlink w:history="true" w:anchor="_bookmark426">
        <w:r>
          <w:rPr>
            <w:sz w:val="21"/>
            <w:vertAlign w:val="superscript"/>
          </w:rPr>
          <w:t>110</w:t>
        </w:r>
      </w:hyperlink>
      <w:r>
        <w:rPr>
          <w:spacing w:val="-2"/>
          <w:sz w:val="21"/>
          <w:vertAlign w:val="baseline"/>
        </w:rPr>
        <w:t> </w:t>
      </w:r>
      <w:r>
        <w:rPr>
          <w:sz w:val="21"/>
          <w:vertAlign w:val="baseline"/>
        </w:rPr>
        <w:t>Additionally, it calls for federal and state authorities to track </w:t>
      </w:r>
      <w:bookmarkStart w:name="_bookmark377" w:id="610"/>
      <w:bookmarkEnd w:id="610"/>
      <w:r>
        <w:rPr>
          <w:sz w:val="21"/>
          <w:vertAlign w:val="baseline"/>
        </w:rPr>
        <w:t>and</w:t>
      </w:r>
      <w:r>
        <w:rPr>
          <w:sz w:val="21"/>
          <w:vertAlign w:val="baseline"/>
        </w:rPr>
        <w:t> report the use of solitary confinement, detailing the data by various demographics, including gender, </w:t>
      </w:r>
      <w:bookmarkStart w:name="_bookmark378" w:id="611"/>
      <w:bookmarkEnd w:id="611"/>
      <w:r>
        <w:rPr>
          <w:sz w:val="21"/>
          <w:vertAlign w:val="baseline"/>
        </w:rPr>
        <w:t>rac</w:t>
      </w:r>
      <w:r>
        <w:rPr>
          <w:sz w:val="21"/>
          <w:vertAlign w:val="baseline"/>
        </w:rPr>
        <w:t>e/ethnicity, LGBTQ+ status, and disability.</w:t>
      </w:r>
      <w:hyperlink w:history="true" w:anchor="_bookmark427">
        <w:r>
          <w:rPr>
            <w:sz w:val="21"/>
            <w:vertAlign w:val="superscript"/>
          </w:rPr>
          <w:t>111</w:t>
        </w:r>
      </w:hyperlink>
    </w:p>
    <w:p>
      <w:pPr>
        <w:spacing w:line="276" w:lineRule="auto" w:before="240"/>
        <w:ind w:left="463" w:right="239" w:firstLine="0"/>
        <w:jc w:val="both"/>
        <w:rPr>
          <w:sz w:val="21"/>
        </w:rPr>
      </w:pPr>
      <w:r>
        <w:rPr>
          <w:sz w:val="21"/>
        </w:rPr>
        <w:t>The sexual and reproductive healthcare needs of LGBTQ youth are often unmet within both juvenile and </w:t>
      </w:r>
      <w:bookmarkStart w:name="_bookmark379" w:id="612"/>
      <w:bookmarkEnd w:id="612"/>
      <w:r>
        <w:rPr>
          <w:sz w:val="21"/>
        </w:rPr>
        <w:t>c</w:t>
      </w:r>
      <w:r>
        <w:rPr>
          <w:sz w:val="21"/>
        </w:rPr>
        <w:t>riminal detention facilities, contributing to a higher rate of sexually transmitted infections and HIV </w:t>
      </w:r>
      <w:bookmarkStart w:name="_bookmark380" w:id="613"/>
      <w:bookmarkEnd w:id="613"/>
      <w:r>
        <w:rPr>
          <w:sz w:val="21"/>
        </w:rPr>
        <w:t>tran</w:t>
      </w:r>
      <w:r>
        <w:rPr>
          <w:sz w:val="21"/>
        </w:rPr>
        <w:t>smission among this population upon release. </w:t>
      </w:r>
      <w:hyperlink w:history="true" w:anchor="_bookmark428">
        <w:r>
          <w:rPr>
            <w:sz w:val="21"/>
            <w:vertAlign w:val="superscript"/>
          </w:rPr>
          <w:t>112</w:t>
        </w:r>
      </w:hyperlink>
      <w:r>
        <w:rPr>
          <w:sz w:val="21"/>
          <w:vertAlign w:val="baseline"/>
        </w:rPr>
        <w:t> Young people under state care (including in </w:t>
      </w:r>
      <w:bookmarkStart w:name="_bookmark381" w:id="614"/>
      <w:bookmarkEnd w:id="614"/>
      <w:r>
        <w:rPr>
          <w:sz w:val="21"/>
          <w:vertAlign w:val="baseline"/>
        </w:rPr>
        <w:t>d</w:t>
      </w:r>
      <w:r>
        <w:rPr>
          <w:sz w:val="21"/>
          <w:vertAlign w:val="baseline"/>
        </w:rPr>
        <w:t>etainment and incarceration) face heightened risks, necessitating a comprehensive response from the authorities responsible for their well-being. Data shows that those living outside traditional home </w:t>
      </w:r>
      <w:bookmarkStart w:name="_bookmark382" w:id="615"/>
      <w:bookmarkEnd w:id="615"/>
      <w:r>
        <w:rPr>
          <w:sz w:val="21"/>
          <w:vertAlign w:val="baseline"/>
        </w:rPr>
        <w:t>e</w:t>
      </w:r>
      <w:r>
        <w:rPr>
          <w:sz w:val="21"/>
          <w:vertAlign w:val="baseline"/>
        </w:rPr>
        <w:t>nvironments are more likely to engage in risky behaviors, including substance misuse and unprotected </w:t>
      </w:r>
      <w:bookmarkStart w:name="_bookmark383" w:id="616"/>
      <w:bookmarkEnd w:id="616"/>
      <w:r>
        <w:rPr>
          <w:sz w:val="21"/>
          <w:vertAlign w:val="baseline"/>
        </w:rPr>
        <w:t>se</w:t>
      </w:r>
      <w:r>
        <w:rPr>
          <w:sz w:val="21"/>
          <w:vertAlign w:val="baseline"/>
        </w:rPr>
        <w:t>x.</w:t>
      </w:r>
      <w:hyperlink w:history="true" w:anchor="_bookmark429">
        <w:r>
          <w:rPr>
            <w:sz w:val="21"/>
            <w:vertAlign w:val="superscript"/>
          </w:rPr>
          <w:t>113</w:t>
        </w:r>
      </w:hyperlink>
      <w:r>
        <w:rPr>
          <w:spacing w:val="-2"/>
          <w:sz w:val="21"/>
          <w:vertAlign w:val="baseline"/>
        </w:rPr>
        <w:t> </w:t>
      </w:r>
      <w:r>
        <w:rPr>
          <w:sz w:val="21"/>
          <w:vertAlign w:val="baseline"/>
        </w:rPr>
        <w:t>Adolescents</w:t>
      </w:r>
      <w:r>
        <w:rPr>
          <w:spacing w:val="-6"/>
          <w:sz w:val="21"/>
          <w:vertAlign w:val="baseline"/>
        </w:rPr>
        <w:t> </w:t>
      </w:r>
      <w:r>
        <w:rPr>
          <w:sz w:val="21"/>
          <w:vertAlign w:val="baseline"/>
        </w:rPr>
        <w:t>in</w:t>
      </w:r>
      <w:r>
        <w:rPr>
          <w:spacing w:val="-7"/>
          <w:sz w:val="21"/>
          <w:vertAlign w:val="baseline"/>
        </w:rPr>
        <w:t> </w:t>
      </w:r>
      <w:r>
        <w:rPr>
          <w:sz w:val="21"/>
          <w:vertAlign w:val="baseline"/>
        </w:rPr>
        <w:t>juvenile</w:t>
      </w:r>
      <w:r>
        <w:rPr>
          <w:spacing w:val="-7"/>
          <w:sz w:val="21"/>
          <w:vertAlign w:val="baseline"/>
        </w:rPr>
        <w:t> </w:t>
      </w:r>
      <w:r>
        <w:rPr>
          <w:sz w:val="21"/>
          <w:vertAlign w:val="baseline"/>
        </w:rPr>
        <w:t>detention</w:t>
      </w:r>
      <w:r>
        <w:rPr>
          <w:spacing w:val="-6"/>
          <w:sz w:val="21"/>
          <w:vertAlign w:val="baseline"/>
        </w:rPr>
        <w:t> </w:t>
      </w:r>
      <w:r>
        <w:rPr>
          <w:sz w:val="21"/>
          <w:vertAlign w:val="baseline"/>
        </w:rPr>
        <w:t>centers</w:t>
      </w:r>
      <w:r>
        <w:rPr>
          <w:spacing w:val="-6"/>
          <w:sz w:val="21"/>
          <w:vertAlign w:val="baseline"/>
        </w:rPr>
        <w:t> </w:t>
      </w:r>
      <w:r>
        <w:rPr>
          <w:sz w:val="21"/>
          <w:vertAlign w:val="baseline"/>
        </w:rPr>
        <w:t>tend</w:t>
      </w:r>
      <w:r>
        <w:rPr>
          <w:spacing w:val="-7"/>
          <w:sz w:val="21"/>
          <w:vertAlign w:val="baseline"/>
        </w:rPr>
        <w:t> </w:t>
      </w:r>
      <w:r>
        <w:rPr>
          <w:sz w:val="21"/>
          <w:vertAlign w:val="baseline"/>
        </w:rPr>
        <w:t>to</w:t>
      </w:r>
      <w:r>
        <w:rPr>
          <w:spacing w:val="-7"/>
          <w:sz w:val="21"/>
          <w:vertAlign w:val="baseline"/>
        </w:rPr>
        <w:t> </w:t>
      </w:r>
      <w:r>
        <w:rPr>
          <w:sz w:val="21"/>
          <w:vertAlign w:val="baseline"/>
        </w:rPr>
        <w:t>start</w:t>
      </w:r>
      <w:r>
        <w:rPr>
          <w:spacing w:val="-5"/>
          <w:sz w:val="21"/>
          <w:vertAlign w:val="baseline"/>
        </w:rPr>
        <w:t> </w:t>
      </w:r>
      <w:r>
        <w:rPr>
          <w:sz w:val="21"/>
          <w:vertAlign w:val="baseline"/>
        </w:rPr>
        <w:t>having</w:t>
      </w:r>
      <w:r>
        <w:rPr>
          <w:spacing w:val="-6"/>
          <w:sz w:val="21"/>
          <w:vertAlign w:val="baseline"/>
        </w:rPr>
        <w:t> </w:t>
      </w:r>
      <w:r>
        <w:rPr>
          <w:sz w:val="21"/>
          <w:vertAlign w:val="baseline"/>
        </w:rPr>
        <w:t>sex</w:t>
      </w:r>
      <w:r>
        <w:rPr>
          <w:spacing w:val="-7"/>
          <w:sz w:val="21"/>
          <w:vertAlign w:val="baseline"/>
        </w:rPr>
        <w:t> </w:t>
      </w:r>
      <w:r>
        <w:rPr>
          <w:sz w:val="21"/>
          <w:vertAlign w:val="baseline"/>
        </w:rPr>
        <w:t>at</w:t>
      </w:r>
      <w:r>
        <w:rPr>
          <w:spacing w:val="-5"/>
          <w:sz w:val="21"/>
          <w:vertAlign w:val="baseline"/>
        </w:rPr>
        <w:t> </w:t>
      </w:r>
      <w:r>
        <w:rPr>
          <w:sz w:val="21"/>
          <w:vertAlign w:val="baseline"/>
        </w:rPr>
        <w:t>younger</w:t>
      </w:r>
      <w:r>
        <w:rPr>
          <w:spacing w:val="-7"/>
          <w:sz w:val="21"/>
          <w:vertAlign w:val="baseline"/>
        </w:rPr>
        <w:t> </w:t>
      </w:r>
      <w:r>
        <w:rPr>
          <w:sz w:val="21"/>
          <w:vertAlign w:val="baseline"/>
        </w:rPr>
        <w:t>ages</w:t>
      </w:r>
      <w:r>
        <w:rPr>
          <w:spacing w:val="-6"/>
          <w:sz w:val="21"/>
          <w:vertAlign w:val="baseline"/>
        </w:rPr>
        <w:t> </w:t>
      </w:r>
      <w:r>
        <w:rPr>
          <w:sz w:val="21"/>
          <w:vertAlign w:val="baseline"/>
        </w:rPr>
        <w:t>and</w:t>
      </w:r>
      <w:r>
        <w:rPr>
          <w:spacing w:val="-6"/>
          <w:sz w:val="21"/>
          <w:vertAlign w:val="baseline"/>
        </w:rPr>
        <w:t> </w:t>
      </w:r>
      <w:r>
        <w:rPr>
          <w:sz w:val="21"/>
          <w:vertAlign w:val="baseline"/>
        </w:rPr>
        <w:t>report</w:t>
      </w:r>
      <w:r>
        <w:rPr>
          <w:spacing w:val="-7"/>
          <w:sz w:val="21"/>
          <w:vertAlign w:val="baseline"/>
        </w:rPr>
        <w:t> </w:t>
      </w:r>
      <w:r>
        <w:rPr>
          <w:sz w:val="21"/>
          <w:vertAlign w:val="baseline"/>
        </w:rPr>
        <w:t>higher </w:t>
      </w:r>
      <w:bookmarkStart w:name="_bookmark384" w:id="617"/>
      <w:bookmarkEnd w:id="617"/>
      <w:r>
        <w:rPr>
          <w:sz w:val="21"/>
          <w:vertAlign w:val="baseline"/>
        </w:rPr>
        <w:t>rat</w:t>
      </w:r>
      <w:r>
        <w:rPr>
          <w:sz w:val="21"/>
          <w:vertAlign w:val="baseline"/>
        </w:rPr>
        <w:t>es of sexually transmitted infections (STIs) compared to</w:t>
      </w:r>
      <w:r>
        <w:rPr>
          <w:spacing w:val="-1"/>
          <w:sz w:val="21"/>
          <w:vertAlign w:val="baseline"/>
        </w:rPr>
        <w:t> </w:t>
      </w:r>
      <w:r>
        <w:rPr>
          <w:sz w:val="21"/>
          <w:vertAlign w:val="baseline"/>
        </w:rPr>
        <w:t>their</w:t>
      </w:r>
      <w:r>
        <w:rPr>
          <w:spacing w:val="-1"/>
          <w:sz w:val="21"/>
          <w:vertAlign w:val="baseline"/>
        </w:rPr>
        <w:t> </w:t>
      </w:r>
      <w:r>
        <w:rPr>
          <w:sz w:val="21"/>
          <w:vertAlign w:val="baseline"/>
        </w:rPr>
        <w:t>peers not in</w:t>
      </w:r>
      <w:r>
        <w:rPr>
          <w:spacing w:val="-1"/>
          <w:sz w:val="21"/>
          <w:vertAlign w:val="baseline"/>
        </w:rPr>
        <w:t> </w:t>
      </w:r>
      <w:r>
        <w:rPr>
          <w:sz w:val="21"/>
          <w:vertAlign w:val="baseline"/>
        </w:rPr>
        <w:t>such facilities.</w:t>
      </w:r>
      <w:hyperlink w:history="true" w:anchor="_bookmark430">
        <w:r>
          <w:rPr>
            <w:sz w:val="21"/>
            <w:vertAlign w:val="superscript"/>
          </w:rPr>
          <w:t>114</w:t>
        </w:r>
      </w:hyperlink>
      <w:r>
        <w:rPr>
          <w:spacing w:val="-2"/>
          <w:sz w:val="21"/>
          <w:vertAlign w:val="baseline"/>
        </w:rPr>
        <w:t> </w:t>
      </w:r>
      <w:r>
        <w:rPr>
          <w:sz w:val="21"/>
          <w:vertAlign w:val="baseline"/>
        </w:rPr>
        <w:t>A significant </w:t>
      </w:r>
      <w:bookmarkStart w:name="_bookmark385" w:id="618"/>
      <w:bookmarkEnd w:id="618"/>
      <w:r>
        <w:rPr>
          <w:sz w:val="21"/>
          <w:vertAlign w:val="baseline"/>
        </w:rPr>
      </w:r>
      <w:bookmarkStart w:name="_bookmark386" w:id="619"/>
      <w:bookmarkEnd w:id="619"/>
      <w:r>
        <w:rPr>
          <w:sz w:val="21"/>
          <w:vertAlign w:val="baseline"/>
        </w:rPr>
        <w:t>numb</w:t>
      </w:r>
      <w:r>
        <w:rPr>
          <w:sz w:val="21"/>
          <w:vertAlign w:val="baseline"/>
        </w:rPr>
        <w:t>er</w:t>
      </w:r>
      <w:r>
        <w:rPr>
          <w:spacing w:val="-3"/>
          <w:sz w:val="21"/>
          <w:vertAlign w:val="baseline"/>
        </w:rPr>
        <w:t> </w:t>
      </w:r>
      <w:r>
        <w:rPr>
          <w:sz w:val="21"/>
          <w:vertAlign w:val="baseline"/>
        </w:rPr>
        <w:t>of</w:t>
      </w:r>
      <w:r>
        <w:rPr>
          <w:spacing w:val="-3"/>
          <w:sz w:val="21"/>
          <w:vertAlign w:val="baseline"/>
        </w:rPr>
        <w:t> </w:t>
      </w:r>
      <w:r>
        <w:rPr>
          <w:sz w:val="21"/>
          <w:vertAlign w:val="baseline"/>
        </w:rPr>
        <w:t>these</w:t>
      </w:r>
      <w:r>
        <w:rPr>
          <w:spacing w:val="-3"/>
          <w:sz w:val="21"/>
          <w:vertAlign w:val="baseline"/>
        </w:rPr>
        <w:t> </w:t>
      </w:r>
      <w:r>
        <w:rPr>
          <w:sz w:val="21"/>
          <w:vertAlign w:val="baseline"/>
        </w:rPr>
        <w:t>young</w:t>
      </w:r>
      <w:r>
        <w:rPr>
          <w:spacing w:val="-3"/>
          <w:sz w:val="21"/>
          <w:vertAlign w:val="baseline"/>
        </w:rPr>
        <w:t> </w:t>
      </w:r>
      <w:r>
        <w:rPr>
          <w:sz w:val="21"/>
          <w:vertAlign w:val="baseline"/>
        </w:rPr>
        <w:t>individuals</w:t>
      </w:r>
      <w:r>
        <w:rPr>
          <w:spacing w:val="-4"/>
          <w:sz w:val="21"/>
          <w:vertAlign w:val="baseline"/>
        </w:rPr>
        <w:t> </w:t>
      </w:r>
      <w:r>
        <w:rPr>
          <w:sz w:val="21"/>
          <w:vertAlign w:val="baseline"/>
        </w:rPr>
        <w:t>entered</w:t>
      </w:r>
      <w:r>
        <w:rPr>
          <w:spacing w:val="-3"/>
          <w:sz w:val="21"/>
          <w:vertAlign w:val="baseline"/>
        </w:rPr>
        <w:t> </w:t>
      </w:r>
      <w:r>
        <w:rPr>
          <w:sz w:val="21"/>
          <w:vertAlign w:val="baseline"/>
        </w:rPr>
        <w:t>state</w:t>
      </w:r>
      <w:r>
        <w:rPr>
          <w:spacing w:val="-3"/>
          <w:sz w:val="21"/>
          <w:vertAlign w:val="baseline"/>
        </w:rPr>
        <w:t> </w:t>
      </w:r>
      <w:r>
        <w:rPr>
          <w:sz w:val="21"/>
          <w:vertAlign w:val="baseline"/>
        </w:rPr>
        <w:t>control</w:t>
      </w:r>
      <w:r>
        <w:rPr>
          <w:spacing w:val="-3"/>
          <w:sz w:val="21"/>
          <w:vertAlign w:val="baseline"/>
        </w:rPr>
        <w:t> </w:t>
      </w:r>
      <w:r>
        <w:rPr>
          <w:sz w:val="21"/>
          <w:vertAlign w:val="baseline"/>
        </w:rPr>
        <w:t>after</w:t>
      </w:r>
      <w:r>
        <w:rPr>
          <w:spacing w:val="-3"/>
          <w:sz w:val="21"/>
          <w:vertAlign w:val="baseline"/>
        </w:rPr>
        <w:t> </w:t>
      </w:r>
      <w:r>
        <w:rPr>
          <w:sz w:val="21"/>
          <w:vertAlign w:val="baseline"/>
        </w:rPr>
        <w:t>living</w:t>
      </w:r>
      <w:r>
        <w:rPr>
          <w:spacing w:val="-3"/>
          <w:sz w:val="21"/>
          <w:vertAlign w:val="baseline"/>
        </w:rPr>
        <w:t> </w:t>
      </w:r>
      <w:r>
        <w:rPr>
          <w:sz w:val="21"/>
          <w:vertAlign w:val="baseline"/>
        </w:rPr>
        <w:t>on</w:t>
      </w:r>
      <w:r>
        <w:rPr>
          <w:spacing w:val="-3"/>
          <w:sz w:val="21"/>
          <w:vertAlign w:val="baseline"/>
        </w:rPr>
        <w:t> </w:t>
      </w:r>
      <w:r>
        <w:rPr>
          <w:sz w:val="21"/>
          <w:vertAlign w:val="baseline"/>
        </w:rPr>
        <w:t>the</w:t>
      </w:r>
      <w:r>
        <w:rPr>
          <w:spacing w:val="-3"/>
          <w:sz w:val="21"/>
          <w:vertAlign w:val="baseline"/>
        </w:rPr>
        <w:t> </w:t>
      </w:r>
      <w:r>
        <w:rPr>
          <w:sz w:val="21"/>
          <w:vertAlign w:val="baseline"/>
        </w:rPr>
        <w:t>streets,</w:t>
      </w:r>
      <w:r>
        <w:rPr>
          <w:spacing w:val="-2"/>
          <w:sz w:val="21"/>
          <w:vertAlign w:val="baseline"/>
        </w:rPr>
        <w:t> </w:t>
      </w:r>
      <w:r>
        <w:rPr>
          <w:sz w:val="21"/>
          <w:vertAlign w:val="baseline"/>
        </w:rPr>
        <w:t>where</w:t>
      </w:r>
      <w:r>
        <w:rPr>
          <w:spacing w:val="-4"/>
          <w:sz w:val="21"/>
          <w:vertAlign w:val="baseline"/>
        </w:rPr>
        <w:t> </w:t>
      </w:r>
      <w:r>
        <w:rPr>
          <w:sz w:val="21"/>
          <w:vertAlign w:val="baseline"/>
        </w:rPr>
        <w:t>they</w:t>
      </w:r>
      <w:r>
        <w:rPr>
          <w:spacing w:val="-4"/>
          <w:sz w:val="21"/>
          <w:vertAlign w:val="baseline"/>
        </w:rPr>
        <w:t> </w:t>
      </w:r>
      <w:r>
        <w:rPr>
          <w:sz w:val="21"/>
          <w:vertAlign w:val="baseline"/>
        </w:rPr>
        <w:t>might</w:t>
      </w:r>
      <w:r>
        <w:rPr>
          <w:spacing w:val="-3"/>
          <w:sz w:val="21"/>
          <w:vertAlign w:val="baseline"/>
        </w:rPr>
        <w:t> </w:t>
      </w:r>
      <w:r>
        <w:rPr>
          <w:sz w:val="21"/>
          <w:vertAlign w:val="baseline"/>
        </w:rPr>
        <w:t>have </w:t>
      </w:r>
      <w:bookmarkStart w:name="_bookmark387" w:id="620"/>
      <w:bookmarkEnd w:id="620"/>
      <w:r>
        <w:rPr>
          <w:sz w:val="21"/>
          <w:vertAlign w:val="baseline"/>
        </w:rPr>
        <w:t>e</w:t>
      </w:r>
      <w:r>
        <w:rPr>
          <w:sz w:val="21"/>
          <w:vertAlign w:val="baseline"/>
        </w:rPr>
        <w:t>ngaged in dangerous behaviors to meet basic needs, thus elevating their risk of STIs, HIV, or becoming victims of sexual violence. Federal bodies, including the Center for Disease Control and the National </w:t>
      </w:r>
      <w:bookmarkStart w:name="_bookmark388" w:id="621"/>
      <w:bookmarkEnd w:id="621"/>
      <w:r>
        <w:rPr>
          <w:sz w:val="21"/>
          <w:vertAlign w:val="baseline"/>
        </w:rPr>
        <w:t>I</w:t>
      </w:r>
      <w:r>
        <w:rPr>
          <w:sz w:val="21"/>
          <w:vertAlign w:val="baseline"/>
        </w:rPr>
        <w:t>nstitute of Justice, have identified that juveniles in confinement face a significantly higher risk of HIV and </w:t>
      </w:r>
      <w:bookmarkStart w:name="_bookmark389" w:id="622"/>
      <w:bookmarkEnd w:id="622"/>
      <w:r>
        <w:rPr>
          <w:sz w:val="21"/>
          <w:vertAlign w:val="baseline"/>
        </w:rPr>
        <w:t>S</w:t>
      </w:r>
      <w:r>
        <w:rPr>
          <w:sz w:val="21"/>
          <w:vertAlign w:val="baseline"/>
        </w:rPr>
        <w:t>TIs; and this risk follows them after they leave juvenile detention facilities.</w:t>
      </w:r>
      <w:hyperlink w:history="true" w:anchor="_bookmark431">
        <w:r>
          <w:rPr>
            <w:sz w:val="21"/>
            <w:vertAlign w:val="superscript"/>
          </w:rPr>
          <w:t>115</w:t>
        </w:r>
      </w:hyperlink>
    </w:p>
    <w:p>
      <w:pPr>
        <w:spacing w:line="276" w:lineRule="auto" w:before="239"/>
        <w:ind w:left="464" w:right="237" w:hanging="1"/>
        <w:jc w:val="both"/>
        <w:rPr>
          <w:sz w:val="21"/>
        </w:rPr>
      </w:pPr>
      <w:r>
        <w:rPr>
          <w:sz w:val="21"/>
        </w:rPr>
        <w:t>Healthcare</w:t>
      </w:r>
      <w:r>
        <w:rPr>
          <w:spacing w:val="-3"/>
          <w:sz w:val="21"/>
        </w:rPr>
        <w:t> </w:t>
      </w:r>
      <w:r>
        <w:rPr>
          <w:sz w:val="21"/>
        </w:rPr>
        <w:t>professionals</w:t>
      </w:r>
      <w:r>
        <w:rPr>
          <w:spacing w:val="-4"/>
          <w:sz w:val="21"/>
        </w:rPr>
        <w:t> </w:t>
      </w:r>
      <w:r>
        <w:rPr>
          <w:sz w:val="21"/>
        </w:rPr>
        <w:t>in</w:t>
      </w:r>
      <w:r>
        <w:rPr>
          <w:spacing w:val="-3"/>
          <w:sz w:val="21"/>
        </w:rPr>
        <w:t> </w:t>
      </w:r>
      <w:r>
        <w:rPr>
          <w:sz w:val="21"/>
        </w:rPr>
        <w:t>prisons</w:t>
      </w:r>
      <w:r>
        <w:rPr>
          <w:spacing w:val="-3"/>
          <w:sz w:val="21"/>
        </w:rPr>
        <w:t> </w:t>
      </w:r>
      <w:r>
        <w:rPr>
          <w:sz w:val="21"/>
        </w:rPr>
        <w:t>and</w:t>
      </w:r>
      <w:r>
        <w:rPr>
          <w:spacing w:val="-3"/>
          <w:sz w:val="21"/>
        </w:rPr>
        <w:t> </w:t>
      </w:r>
      <w:r>
        <w:rPr>
          <w:sz w:val="21"/>
        </w:rPr>
        <w:t>detention</w:t>
      </w:r>
      <w:r>
        <w:rPr>
          <w:spacing w:val="-3"/>
          <w:sz w:val="21"/>
        </w:rPr>
        <w:t> </w:t>
      </w:r>
      <w:r>
        <w:rPr>
          <w:sz w:val="21"/>
        </w:rPr>
        <w:t>facilities</w:t>
      </w:r>
      <w:r>
        <w:rPr>
          <w:spacing w:val="-4"/>
          <w:sz w:val="21"/>
        </w:rPr>
        <w:t> </w:t>
      </w:r>
      <w:r>
        <w:rPr>
          <w:sz w:val="21"/>
        </w:rPr>
        <w:t>should</w:t>
      </w:r>
      <w:r>
        <w:rPr>
          <w:spacing w:val="-3"/>
          <w:sz w:val="21"/>
        </w:rPr>
        <w:t> </w:t>
      </w:r>
      <w:r>
        <w:rPr>
          <w:sz w:val="21"/>
        </w:rPr>
        <w:t>deliver</w:t>
      </w:r>
      <w:r>
        <w:rPr>
          <w:spacing w:val="-3"/>
          <w:sz w:val="21"/>
        </w:rPr>
        <w:t> </w:t>
      </w:r>
      <w:r>
        <w:rPr>
          <w:sz w:val="21"/>
        </w:rPr>
        <w:t>reliable,</w:t>
      </w:r>
      <w:r>
        <w:rPr>
          <w:spacing w:val="-4"/>
          <w:sz w:val="21"/>
        </w:rPr>
        <w:t> </w:t>
      </w:r>
      <w:r>
        <w:rPr>
          <w:sz w:val="21"/>
        </w:rPr>
        <w:t>evidence-based</w:t>
      </w:r>
      <w:r>
        <w:rPr>
          <w:spacing w:val="-3"/>
          <w:sz w:val="21"/>
        </w:rPr>
        <w:t> </w:t>
      </w:r>
      <w:r>
        <w:rPr>
          <w:sz w:val="21"/>
        </w:rPr>
        <w:t>medical </w:t>
      </w:r>
      <w:bookmarkStart w:name="_bookmark390" w:id="623"/>
      <w:bookmarkEnd w:id="623"/>
      <w:r>
        <w:rPr>
          <w:sz w:val="21"/>
        </w:rPr>
        <w:t>tr</w:t>
      </w:r>
      <w:r>
        <w:rPr>
          <w:sz w:val="21"/>
        </w:rPr>
        <w:t>eatment that aligns with recognized healthcare standards; this includes immediate provision of HIV </w:t>
      </w:r>
      <w:bookmarkStart w:name="_bookmark391" w:id="624"/>
      <w:bookmarkEnd w:id="624"/>
      <w:r>
        <w:rPr>
          <w:sz w:val="21"/>
        </w:rPr>
        <w:t>tr</w:t>
      </w:r>
      <w:r>
        <w:rPr>
          <w:sz w:val="21"/>
        </w:rPr>
        <w:t>eatments</w:t>
      </w:r>
      <w:r>
        <w:rPr>
          <w:spacing w:val="-7"/>
          <w:sz w:val="21"/>
        </w:rPr>
        <w:t> </w:t>
      </w:r>
      <w:r>
        <w:rPr>
          <w:sz w:val="21"/>
        </w:rPr>
        <w:t>and</w:t>
      </w:r>
      <w:r>
        <w:rPr>
          <w:spacing w:val="-7"/>
          <w:sz w:val="21"/>
        </w:rPr>
        <w:t> </w:t>
      </w:r>
      <w:r>
        <w:rPr>
          <w:sz w:val="21"/>
        </w:rPr>
        <w:t>healthcare</w:t>
      </w:r>
      <w:r>
        <w:rPr>
          <w:spacing w:val="-7"/>
          <w:sz w:val="21"/>
        </w:rPr>
        <w:t> </w:t>
      </w:r>
      <w:r>
        <w:rPr>
          <w:sz w:val="21"/>
        </w:rPr>
        <w:t>services</w:t>
      </w:r>
      <w:r>
        <w:rPr>
          <w:spacing w:val="-7"/>
          <w:sz w:val="21"/>
        </w:rPr>
        <w:t> </w:t>
      </w:r>
      <w:r>
        <w:rPr>
          <w:sz w:val="21"/>
        </w:rPr>
        <w:t>tailored</w:t>
      </w:r>
      <w:r>
        <w:rPr>
          <w:spacing w:val="-7"/>
          <w:sz w:val="21"/>
        </w:rPr>
        <w:t> </w:t>
      </w:r>
      <w:r>
        <w:rPr>
          <w:sz w:val="21"/>
        </w:rPr>
        <w:t>to</w:t>
      </w:r>
      <w:r>
        <w:rPr>
          <w:spacing w:val="-8"/>
          <w:sz w:val="21"/>
        </w:rPr>
        <w:t> </w:t>
      </w:r>
      <w:r>
        <w:rPr>
          <w:sz w:val="21"/>
        </w:rPr>
        <w:t>the</w:t>
      </w:r>
      <w:r>
        <w:rPr>
          <w:spacing w:val="-7"/>
          <w:sz w:val="21"/>
        </w:rPr>
        <w:t> </w:t>
      </w:r>
      <w:r>
        <w:rPr>
          <w:sz w:val="21"/>
        </w:rPr>
        <w:t>needs</w:t>
      </w:r>
      <w:r>
        <w:rPr>
          <w:spacing w:val="-7"/>
          <w:sz w:val="21"/>
        </w:rPr>
        <w:t> </w:t>
      </w:r>
      <w:r>
        <w:rPr>
          <w:sz w:val="21"/>
        </w:rPr>
        <w:t>of</w:t>
      </w:r>
      <w:r>
        <w:rPr>
          <w:spacing w:val="-7"/>
          <w:sz w:val="21"/>
        </w:rPr>
        <w:t> </w:t>
      </w:r>
      <w:r>
        <w:rPr>
          <w:sz w:val="21"/>
        </w:rPr>
        <w:t>transgender</w:t>
      </w:r>
      <w:r>
        <w:rPr>
          <w:spacing w:val="-7"/>
          <w:sz w:val="21"/>
        </w:rPr>
        <w:t> </w:t>
      </w:r>
      <w:r>
        <w:rPr>
          <w:sz w:val="21"/>
        </w:rPr>
        <w:t>youth.</w:t>
      </w:r>
      <w:r>
        <w:rPr>
          <w:spacing w:val="-7"/>
          <w:sz w:val="21"/>
        </w:rPr>
        <w:t> </w:t>
      </w:r>
      <w:r>
        <w:rPr>
          <w:sz w:val="21"/>
        </w:rPr>
        <w:t>It</w:t>
      </w:r>
      <w:r>
        <w:rPr>
          <w:spacing w:val="-6"/>
          <w:sz w:val="21"/>
        </w:rPr>
        <w:t> </w:t>
      </w:r>
      <w:r>
        <w:rPr>
          <w:sz w:val="21"/>
        </w:rPr>
        <w:t>is</w:t>
      </w:r>
      <w:r>
        <w:rPr>
          <w:spacing w:val="-7"/>
          <w:sz w:val="21"/>
        </w:rPr>
        <w:t> </w:t>
      </w:r>
      <w:r>
        <w:rPr>
          <w:sz w:val="21"/>
        </w:rPr>
        <w:t>crucial</w:t>
      </w:r>
      <w:r>
        <w:rPr>
          <w:spacing w:val="-7"/>
          <w:sz w:val="21"/>
        </w:rPr>
        <w:t> </w:t>
      </w:r>
      <w:r>
        <w:rPr>
          <w:sz w:val="21"/>
        </w:rPr>
        <w:t>for</w:t>
      </w:r>
      <w:r>
        <w:rPr>
          <w:spacing w:val="-7"/>
          <w:sz w:val="21"/>
        </w:rPr>
        <w:t> </w:t>
      </w:r>
      <w:r>
        <w:rPr>
          <w:sz w:val="21"/>
        </w:rPr>
        <w:t>all</w:t>
      </w:r>
      <w:r>
        <w:rPr>
          <w:spacing w:val="-7"/>
          <w:sz w:val="21"/>
        </w:rPr>
        <w:t> </w:t>
      </w:r>
      <w:r>
        <w:rPr>
          <w:sz w:val="21"/>
        </w:rPr>
        <w:t>personnel </w:t>
      </w:r>
      <w:bookmarkStart w:name="_bookmark392" w:id="625"/>
      <w:bookmarkEnd w:id="625"/>
      <w:r>
        <w:rPr>
          <w:sz w:val="21"/>
        </w:rPr>
        <w:t>to</w:t>
      </w:r>
      <w:r>
        <w:rPr>
          <w:spacing w:val="-12"/>
          <w:sz w:val="21"/>
        </w:rPr>
        <w:t> </w:t>
      </w:r>
      <w:r>
        <w:rPr>
          <w:sz w:val="21"/>
        </w:rPr>
        <w:t>safeguard</w:t>
      </w:r>
      <w:r>
        <w:rPr>
          <w:spacing w:val="-10"/>
          <w:sz w:val="21"/>
        </w:rPr>
        <w:t> </w:t>
      </w:r>
      <w:r>
        <w:rPr>
          <w:sz w:val="21"/>
        </w:rPr>
        <w:t>the</w:t>
      </w:r>
      <w:r>
        <w:rPr>
          <w:spacing w:val="-11"/>
          <w:sz w:val="21"/>
        </w:rPr>
        <w:t> </w:t>
      </w:r>
      <w:r>
        <w:rPr>
          <w:sz w:val="21"/>
        </w:rPr>
        <w:t>privacy</w:t>
      </w:r>
      <w:r>
        <w:rPr>
          <w:spacing w:val="-12"/>
          <w:sz w:val="21"/>
        </w:rPr>
        <w:t> </w:t>
      </w:r>
      <w:r>
        <w:rPr>
          <w:sz w:val="21"/>
        </w:rPr>
        <w:t>of</w:t>
      </w:r>
      <w:r>
        <w:rPr>
          <w:spacing w:val="-11"/>
          <w:sz w:val="21"/>
        </w:rPr>
        <w:t> </w:t>
      </w:r>
      <w:r>
        <w:rPr>
          <w:sz w:val="21"/>
        </w:rPr>
        <w:t>young</w:t>
      </w:r>
      <w:r>
        <w:rPr>
          <w:spacing w:val="-12"/>
          <w:sz w:val="21"/>
        </w:rPr>
        <w:t> </w:t>
      </w:r>
      <w:r>
        <w:rPr>
          <w:sz w:val="21"/>
        </w:rPr>
        <w:t>individuals</w:t>
      </w:r>
      <w:r>
        <w:rPr>
          <w:spacing w:val="-11"/>
          <w:sz w:val="21"/>
        </w:rPr>
        <w:t> </w:t>
      </w:r>
      <w:r>
        <w:rPr>
          <w:sz w:val="21"/>
        </w:rPr>
        <w:t>by</w:t>
      </w:r>
      <w:r>
        <w:rPr>
          <w:spacing w:val="-12"/>
          <w:sz w:val="21"/>
        </w:rPr>
        <w:t> </w:t>
      </w:r>
      <w:r>
        <w:rPr>
          <w:sz w:val="21"/>
        </w:rPr>
        <w:t>securing</w:t>
      </w:r>
      <w:r>
        <w:rPr>
          <w:spacing w:val="-11"/>
          <w:sz w:val="21"/>
        </w:rPr>
        <w:t> </w:t>
      </w:r>
      <w:r>
        <w:rPr>
          <w:sz w:val="21"/>
        </w:rPr>
        <w:t>their</w:t>
      </w:r>
      <w:r>
        <w:rPr>
          <w:spacing w:val="-11"/>
          <w:sz w:val="21"/>
        </w:rPr>
        <w:t> </w:t>
      </w:r>
      <w:r>
        <w:rPr>
          <w:sz w:val="21"/>
        </w:rPr>
        <w:t>health</w:t>
      </w:r>
      <w:r>
        <w:rPr>
          <w:spacing w:val="-12"/>
          <w:sz w:val="21"/>
        </w:rPr>
        <w:t> </w:t>
      </w:r>
      <w:r>
        <w:rPr>
          <w:sz w:val="21"/>
        </w:rPr>
        <w:t>records</w:t>
      </w:r>
      <w:r>
        <w:rPr>
          <w:spacing w:val="-11"/>
          <w:sz w:val="21"/>
        </w:rPr>
        <w:t> </w:t>
      </w:r>
      <w:r>
        <w:rPr>
          <w:sz w:val="21"/>
        </w:rPr>
        <w:t>and</w:t>
      </w:r>
      <w:r>
        <w:rPr>
          <w:spacing w:val="-11"/>
          <w:sz w:val="21"/>
        </w:rPr>
        <w:t> </w:t>
      </w:r>
      <w:r>
        <w:rPr>
          <w:sz w:val="21"/>
        </w:rPr>
        <w:t>limiting</w:t>
      </w:r>
      <w:r>
        <w:rPr>
          <w:spacing w:val="-12"/>
          <w:sz w:val="21"/>
        </w:rPr>
        <w:t> </w:t>
      </w:r>
      <w:r>
        <w:rPr>
          <w:sz w:val="21"/>
        </w:rPr>
        <w:t>the</w:t>
      </w:r>
      <w:r>
        <w:rPr>
          <w:spacing w:val="-12"/>
          <w:sz w:val="21"/>
        </w:rPr>
        <w:t> </w:t>
      </w:r>
      <w:r>
        <w:rPr>
          <w:sz w:val="21"/>
        </w:rPr>
        <w:t>dissemination </w:t>
      </w:r>
      <w:bookmarkStart w:name="_bookmark393" w:id="626"/>
      <w:bookmarkEnd w:id="626"/>
      <w:r>
        <w:rPr>
          <w:sz w:val="21"/>
        </w:rPr>
        <w:t>o</w:t>
      </w:r>
      <w:r>
        <w:rPr>
          <w:sz w:val="21"/>
        </w:rPr>
        <w:t>f</w:t>
      </w:r>
      <w:r>
        <w:rPr>
          <w:spacing w:val="-4"/>
          <w:sz w:val="21"/>
        </w:rPr>
        <w:t> </w:t>
      </w:r>
      <w:r>
        <w:rPr>
          <w:sz w:val="21"/>
        </w:rPr>
        <w:t>sensitive</w:t>
      </w:r>
      <w:r>
        <w:rPr>
          <w:spacing w:val="-3"/>
          <w:sz w:val="21"/>
        </w:rPr>
        <w:t> </w:t>
      </w:r>
      <w:r>
        <w:rPr>
          <w:sz w:val="21"/>
        </w:rPr>
        <w:t>information</w:t>
      </w:r>
      <w:r>
        <w:rPr>
          <w:spacing w:val="-3"/>
          <w:sz w:val="21"/>
        </w:rPr>
        <w:t> </w:t>
      </w:r>
      <w:r>
        <w:rPr>
          <w:sz w:val="21"/>
        </w:rPr>
        <w:t>to</w:t>
      </w:r>
      <w:r>
        <w:rPr>
          <w:spacing w:val="-3"/>
          <w:sz w:val="21"/>
        </w:rPr>
        <w:t> </w:t>
      </w:r>
      <w:r>
        <w:rPr>
          <w:sz w:val="21"/>
        </w:rPr>
        <w:t>non-medical</w:t>
      </w:r>
      <w:r>
        <w:rPr>
          <w:spacing w:val="-3"/>
          <w:sz w:val="21"/>
        </w:rPr>
        <w:t> </w:t>
      </w:r>
      <w:r>
        <w:rPr>
          <w:sz w:val="21"/>
        </w:rPr>
        <w:t>staff,</w:t>
      </w:r>
      <w:r>
        <w:rPr>
          <w:spacing w:val="-3"/>
          <w:sz w:val="21"/>
        </w:rPr>
        <w:t> </w:t>
      </w:r>
      <w:r>
        <w:rPr>
          <w:sz w:val="21"/>
        </w:rPr>
        <w:t>such</w:t>
      </w:r>
      <w:r>
        <w:rPr>
          <w:spacing w:val="-3"/>
          <w:sz w:val="21"/>
        </w:rPr>
        <w:t> </w:t>
      </w:r>
      <w:r>
        <w:rPr>
          <w:sz w:val="21"/>
        </w:rPr>
        <w:t>as</w:t>
      </w:r>
      <w:r>
        <w:rPr>
          <w:spacing w:val="-4"/>
          <w:sz w:val="21"/>
        </w:rPr>
        <w:t> </w:t>
      </w:r>
      <w:r>
        <w:rPr>
          <w:sz w:val="21"/>
        </w:rPr>
        <w:t>a</w:t>
      </w:r>
      <w:r>
        <w:rPr>
          <w:spacing w:val="-3"/>
          <w:sz w:val="21"/>
        </w:rPr>
        <w:t> </w:t>
      </w:r>
      <w:r>
        <w:rPr>
          <w:sz w:val="21"/>
        </w:rPr>
        <w:t>youth's</w:t>
      </w:r>
      <w:r>
        <w:rPr>
          <w:spacing w:val="-4"/>
          <w:sz w:val="21"/>
        </w:rPr>
        <w:t> </w:t>
      </w:r>
      <w:r>
        <w:rPr>
          <w:sz w:val="21"/>
        </w:rPr>
        <w:t>HIV</w:t>
      </w:r>
      <w:r>
        <w:rPr>
          <w:spacing w:val="-3"/>
          <w:sz w:val="21"/>
        </w:rPr>
        <w:t> </w:t>
      </w:r>
      <w:r>
        <w:rPr>
          <w:sz w:val="21"/>
        </w:rPr>
        <w:t>status</w:t>
      </w:r>
      <w:r>
        <w:rPr>
          <w:spacing w:val="-4"/>
          <w:sz w:val="21"/>
        </w:rPr>
        <w:t> </w:t>
      </w:r>
      <w:r>
        <w:rPr>
          <w:sz w:val="21"/>
        </w:rPr>
        <w:t>or</w:t>
      </w:r>
      <w:r>
        <w:rPr>
          <w:spacing w:val="-3"/>
          <w:sz w:val="21"/>
        </w:rPr>
        <w:t> </w:t>
      </w:r>
      <w:r>
        <w:rPr>
          <w:sz w:val="21"/>
        </w:rPr>
        <w:t>LGBTQ</w:t>
      </w:r>
      <w:r>
        <w:rPr>
          <w:spacing w:val="-3"/>
          <w:sz w:val="21"/>
        </w:rPr>
        <w:t> </w:t>
      </w:r>
      <w:r>
        <w:rPr>
          <w:sz w:val="21"/>
        </w:rPr>
        <w:t>identification.</w:t>
      </w:r>
      <w:r>
        <w:rPr>
          <w:spacing w:val="-3"/>
          <w:sz w:val="21"/>
        </w:rPr>
        <w:t> </w:t>
      </w:r>
      <w:r>
        <w:rPr>
          <w:sz w:val="21"/>
        </w:rPr>
        <w:t>Further, many juvenile legal facilities are inadequately equipped to meet the medical needs of transgender youth, </w:t>
      </w:r>
      <w:bookmarkStart w:name="_bookmark394" w:id="627"/>
      <w:bookmarkEnd w:id="627"/>
      <w:r>
        <w:rPr>
          <w:sz w:val="21"/>
        </w:rPr>
        <w:t>i</w:t>
      </w:r>
      <w:r>
        <w:rPr>
          <w:sz w:val="21"/>
        </w:rPr>
        <w:t>ncluding the provision of transition-related hormones or hormone blockers.</w:t>
      </w:r>
      <w:hyperlink w:history="true" w:anchor="_bookmark432">
        <w:r>
          <w:rPr>
            <w:sz w:val="21"/>
            <w:vertAlign w:val="superscript"/>
          </w:rPr>
          <w:t>116</w:t>
        </w:r>
      </w:hyperlink>
      <w:r>
        <w:rPr>
          <w:spacing w:val="-2"/>
          <w:sz w:val="21"/>
          <w:vertAlign w:val="baseline"/>
        </w:rPr>
        <w:t> </w:t>
      </w:r>
      <w:r>
        <w:rPr>
          <w:sz w:val="21"/>
          <w:vertAlign w:val="baseline"/>
        </w:rPr>
        <w:t>The pressing sexual health </w:t>
      </w:r>
      <w:bookmarkStart w:name="_bookmark395" w:id="628"/>
      <w:bookmarkEnd w:id="628"/>
      <w:r>
        <w:rPr>
          <w:sz w:val="21"/>
          <w:vertAlign w:val="baseline"/>
        </w:rPr>
        <w:t>n</w:t>
      </w:r>
      <w:r>
        <w:rPr>
          <w:sz w:val="21"/>
          <w:vertAlign w:val="baseline"/>
        </w:rPr>
        <w:t>eeds of young individuals in state facilities require a dedicated effort by the authorities overseeing the juvenile and criminal legal institutions. Unlike their peers not in custody, these youths often lack regular </w:t>
      </w:r>
      <w:bookmarkStart w:name="_bookmark396" w:id="629"/>
      <w:bookmarkEnd w:id="629"/>
      <w:r>
        <w:rPr>
          <w:sz w:val="21"/>
          <w:vertAlign w:val="baseline"/>
        </w:rPr>
        <w:t>ac</w:t>
      </w:r>
      <w:r>
        <w:rPr>
          <w:sz w:val="21"/>
          <w:vertAlign w:val="baseline"/>
        </w:rPr>
        <w:t>cess</w:t>
      </w:r>
      <w:r>
        <w:rPr>
          <w:spacing w:val="-12"/>
          <w:sz w:val="21"/>
          <w:vertAlign w:val="baseline"/>
        </w:rPr>
        <w:t> </w:t>
      </w:r>
      <w:r>
        <w:rPr>
          <w:sz w:val="21"/>
          <w:vertAlign w:val="baseline"/>
        </w:rPr>
        <w:t>to</w:t>
      </w:r>
      <w:r>
        <w:rPr>
          <w:spacing w:val="-11"/>
          <w:sz w:val="21"/>
          <w:vertAlign w:val="baseline"/>
        </w:rPr>
        <w:t> </w:t>
      </w:r>
      <w:r>
        <w:rPr>
          <w:sz w:val="21"/>
          <w:vertAlign w:val="baseline"/>
        </w:rPr>
        <w:t>educational</w:t>
      </w:r>
      <w:r>
        <w:rPr>
          <w:spacing w:val="-11"/>
          <w:sz w:val="21"/>
          <w:vertAlign w:val="baseline"/>
        </w:rPr>
        <w:t> </w:t>
      </w:r>
      <w:r>
        <w:rPr>
          <w:sz w:val="21"/>
          <w:vertAlign w:val="baseline"/>
        </w:rPr>
        <w:t>resources</w:t>
      </w:r>
      <w:r>
        <w:rPr>
          <w:spacing w:val="-11"/>
          <w:sz w:val="21"/>
          <w:vertAlign w:val="baseline"/>
        </w:rPr>
        <w:t> </w:t>
      </w:r>
      <w:r>
        <w:rPr>
          <w:sz w:val="21"/>
          <w:vertAlign w:val="baseline"/>
        </w:rPr>
        <w:t>that</w:t>
      </w:r>
      <w:r>
        <w:rPr>
          <w:spacing w:val="-11"/>
          <w:sz w:val="21"/>
          <w:vertAlign w:val="baseline"/>
        </w:rPr>
        <w:t> </w:t>
      </w:r>
      <w:r>
        <w:rPr>
          <w:sz w:val="21"/>
          <w:vertAlign w:val="baseline"/>
        </w:rPr>
        <w:t>they</w:t>
      </w:r>
      <w:r>
        <w:rPr>
          <w:spacing w:val="-12"/>
          <w:sz w:val="21"/>
          <w:vertAlign w:val="baseline"/>
        </w:rPr>
        <w:t> </w:t>
      </w:r>
      <w:r>
        <w:rPr>
          <w:sz w:val="21"/>
          <w:vertAlign w:val="baseline"/>
        </w:rPr>
        <w:t>would</w:t>
      </w:r>
      <w:r>
        <w:rPr>
          <w:spacing w:val="-10"/>
          <w:sz w:val="21"/>
          <w:vertAlign w:val="baseline"/>
        </w:rPr>
        <w:t> </w:t>
      </w:r>
      <w:r>
        <w:rPr>
          <w:sz w:val="21"/>
          <w:vertAlign w:val="baseline"/>
        </w:rPr>
        <w:t>have</w:t>
      </w:r>
      <w:r>
        <w:rPr>
          <w:spacing w:val="-11"/>
          <w:sz w:val="21"/>
          <w:vertAlign w:val="baseline"/>
        </w:rPr>
        <w:t> </w:t>
      </w:r>
      <w:r>
        <w:rPr>
          <w:sz w:val="21"/>
          <w:vertAlign w:val="baseline"/>
        </w:rPr>
        <w:t>received</w:t>
      </w:r>
      <w:r>
        <w:rPr>
          <w:spacing w:val="-11"/>
          <w:sz w:val="21"/>
          <w:vertAlign w:val="baseline"/>
        </w:rPr>
        <w:t> </w:t>
      </w:r>
      <w:r>
        <w:rPr>
          <w:sz w:val="21"/>
          <w:vertAlign w:val="baseline"/>
        </w:rPr>
        <w:t>in</w:t>
      </w:r>
      <w:r>
        <w:rPr>
          <w:spacing w:val="-11"/>
          <w:sz w:val="21"/>
          <w:vertAlign w:val="baseline"/>
        </w:rPr>
        <w:t> </w:t>
      </w:r>
      <w:r>
        <w:rPr>
          <w:sz w:val="21"/>
          <w:vertAlign w:val="baseline"/>
        </w:rPr>
        <w:t>the</w:t>
      </w:r>
      <w:r>
        <w:rPr>
          <w:spacing w:val="-11"/>
          <w:sz w:val="21"/>
          <w:vertAlign w:val="baseline"/>
        </w:rPr>
        <w:t> </w:t>
      </w:r>
      <w:r>
        <w:rPr>
          <w:sz w:val="21"/>
          <w:vertAlign w:val="baseline"/>
        </w:rPr>
        <w:t>public</w:t>
      </w:r>
      <w:r>
        <w:rPr>
          <w:spacing w:val="-11"/>
          <w:sz w:val="21"/>
          <w:vertAlign w:val="baseline"/>
        </w:rPr>
        <w:t> </w:t>
      </w:r>
      <w:r>
        <w:rPr>
          <w:sz w:val="21"/>
          <w:vertAlign w:val="baseline"/>
        </w:rPr>
        <w:t>school</w:t>
      </w:r>
      <w:r>
        <w:rPr>
          <w:spacing w:val="-11"/>
          <w:sz w:val="21"/>
          <w:vertAlign w:val="baseline"/>
        </w:rPr>
        <w:t> </w:t>
      </w:r>
      <w:r>
        <w:rPr>
          <w:sz w:val="21"/>
          <w:vertAlign w:val="baseline"/>
        </w:rPr>
        <w:t>system</w:t>
      </w:r>
      <w:r>
        <w:rPr>
          <w:spacing w:val="-11"/>
          <w:sz w:val="21"/>
          <w:vertAlign w:val="baseline"/>
        </w:rPr>
        <w:t> </w:t>
      </w:r>
      <w:r>
        <w:rPr>
          <w:sz w:val="21"/>
          <w:vertAlign w:val="baseline"/>
        </w:rPr>
        <w:t>or</w:t>
      </w:r>
      <w:r>
        <w:rPr>
          <w:spacing w:val="-11"/>
          <w:sz w:val="21"/>
          <w:vertAlign w:val="baseline"/>
        </w:rPr>
        <w:t> </w:t>
      </w:r>
      <w:r>
        <w:rPr>
          <w:sz w:val="21"/>
          <w:vertAlign w:val="baseline"/>
        </w:rPr>
        <w:t>guidance</w:t>
      </w:r>
      <w:r>
        <w:rPr>
          <w:spacing w:val="-11"/>
          <w:sz w:val="21"/>
          <w:vertAlign w:val="baseline"/>
        </w:rPr>
        <w:t> </w:t>
      </w:r>
      <w:r>
        <w:rPr>
          <w:sz w:val="21"/>
          <w:vertAlign w:val="baseline"/>
        </w:rPr>
        <w:t>from </w:t>
      </w:r>
      <w:bookmarkStart w:name="_bookmark397" w:id="630"/>
      <w:bookmarkEnd w:id="630"/>
      <w:r>
        <w:rPr>
          <w:sz w:val="21"/>
          <w:vertAlign w:val="baseline"/>
        </w:rPr>
        <w:t>a</w:t>
      </w:r>
      <w:r>
        <w:rPr>
          <w:spacing w:val="-12"/>
          <w:sz w:val="21"/>
          <w:vertAlign w:val="baseline"/>
        </w:rPr>
        <w:t> </w:t>
      </w:r>
      <w:r>
        <w:rPr>
          <w:sz w:val="21"/>
          <w:vertAlign w:val="baseline"/>
        </w:rPr>
        <w:t>parent</w:t>
      </w:r>
      <w:r>
        <w:rPr>
          <w:spacing w:val="-12"/>
          <w:sz w:val="21"/>
          <w:vertAlign w:val="baseline"/>
        </w:rPr>
        <w:t> </w:t>
      </w:r>
      <w:r>
        <w:rPr>
          <w:sz w:val="21"/>
          <w:vertAlign w:val="baseline"/>
        </w:rPr>
        <w:t>regarding</w:t>
      </w:r>
      <w:r>
        <w:rPr>
          <w:spacing w:val="-12"/>
          <w:sz w:val="21"/>
          <w:vertAlign w:val="baseline"/>
        </w:rPr>
        <w:t> </w:t>
      </w:r>
      <w:r>
        <w:rPr>
          <w:sz w:val="21"/>
          <w:vertAlign w:val="baseline"/>
        </w:rPr>
        <w:t>health,</w:t>
      </w:r>
      <w:r>
        <w:rPr>
          <w:spacing w:val="-12"/>
          <w:sz w:val="21"/>
          <w:vertAlign w:val="baseline"/>
        </w:rPr>
        <w:t> </w:t>
      </w:r>
      <w:r>
        <w:rPr>
          <w:sz w:val="21"/>
          <w:vertAlign w:val="baseline"/>
        </w:rPr>
        <w:t>including</w:t>
      </w:r>
      <w:r>
        <w:rPr>
          <w:spacing w:val="-12"/>
          <w:sz w:val="21"/>
          <w:vertAlign w:val="baseline"/>
        </w:rPr>
        <w:t> </w:t>
      </w:r>
      <w:r>
        <w:rPr>
          <w:sz w:val="21"/>
          <w:vertAlign w:val="baseline"/>
        </w:rPr>
        <w:t>sexual</w:t>
      </w:r>
      <w:r>
        <w:rPr>
          <w:spacing w:val="-12"/>
          <w:sz w:val="21"/>
          <w:vertAlign w:val="baseline"/>
        </w:rPr>
        <w:t> </w:t>
      </w:r>
      <w:r>
        <w:rPr>
          <w:sz w:val="21"/>
          <w:vertAlign w:val="baseline"/>
        </w:rPr>
        <w:t>education.</w:t>
      </w:r>
      <w:r>
        <w:rPr>
          <w:spacing w:val="-12"/>
          <w:sz w:val="21"/>
          <w:vertAlign w:val="baseline"/>
        </w:rPr>
        <w:t> </w:t>
      </w:r>
      <w:r>
        <w:rPr>
          <w:sz w:val="21"/>
          <w:vertAlign w:val="baseline"/>
        </w:rPr>
        <w:t>Furthermore,</w:t>
      </w:r>
      <w:r>
        <w:rPr>
          <w:spacing w:val="-11"/>
          <w:sz w:val="21"/>
          <w:vertAlign w:val="baseline"/>
        </w:rPr>
        <w:t> </w:t>
      </w:r>
      <w:r>
        <w:rPr>
          <w:sz w:val="21"/>
          <w:vertAlign w:val="baseline"/>
        </w:rPr>
        <w:t>they</w:t>
      </w:r>
      <w:r>
        <w:rPr>
          <w:spacing w:val="-12"/>
          <w:sz w:val="21"/>
          <w:vertAlign w:val="baseline"/>
        </w:rPr>
        <w:t> </w:t>
      </w:r>
      <w:r>
        <w:rPr>
          <w:sz w:val="21"/>
          <w:vertAlign w:val="baseline"/>
        </w:rPr>
        <w:t>are</w:t>
      </w:r>
      <w:r>
        <w:rPr>
          <w:spacing w:val="-12"/>
          <w:sz w:val="21"/>
          <w:vertAlign w:val="baseline"/>
        </w:rPr>
        <w:t> </w:t>
      </w:r>
      <w:r>
        <w:rPr>
          <w:sz w:val="21"/>
          <w:vertAlign w:val="baseline"/>
        </w:rPr>
        <w:t>unable</w:t>
      </w:r>
      <w:r>
        <w:rPr>
          <w:spacing w:val="-12"/>
          <w:sz w:val="21"/>
          <w:vertAlign w:val="baseline"/>
        </w:rPr>
        <w:t> </w:t>
      </w:r>
      <w:r>
        <w:rPr>
          <w:sz w:val="21"/>
          <w:vertAlign w:val="baseline"/>
        </w:rPr>
        <w:t>to</w:t>
      </w:r>
      <w:r>
        <w:rPr>
          <w:spacing w:val="-12"/>
          <w:sz w:val="21"/>
          <w:vertAlign w:val="baseline"/>
        </w:rPr>
        <w:t> </w:t>
      </w:r>
      <w:r>
        <w:rPr>
          <w:sz w:val="21"/>
          <w:vertAlign w:val="baseline"/>
        </w:rPr>
        <w:t>reach</w:t>
      </w:r>
      <w:r>
        <w:rPr>
          <w:spacing w:val="-12"/>
          <w:sz w:val="21"/>
          <w:vertAlign w:val="baseline"/>
        </w:rPr>
        <w:t> </w:t>
      </w:r>
      <w:r>
        <w:rPr>
          <w:sz w:val="21"/>
          <w:vertAlign w:val="baseline"/>
        </w:rPr>
        <w:t>out</w:t>
      </w:r>
      <w:r>
        <w:rPr>
          <w:spacing w:val="-12"/>
          <w:sz w:val="21"/>
          <w:vertAlign w:val="baseline"/>
        </w:rPr>
        <w:t> </w:t>
      </w:r>
      <w:r>
        <w:rPr>
          <w:sz w:val="21"/>
          <w:vertAlign w:val="baseline"/>
        </w:rPr>
        <w:t>to</w:t>
      </w:r>
      <w:r>
        <w:rPr>
          <w:spacing w:val="-12"/>
          <w:sz w:val="21"/>
          <w:vertAlign w:val="baseline"/>
        </w:rPr>
        <w:t> </w:t>
      </w:r>
      <w:r>
        <w:rPr>
          <w:sz w:val="21"/>
          <w:vertAlign w:val="baseline"/>
        </w:rPr>
        <w:t>external sources for medical care, counseling, support, and information. Youth who are incarcerated rely on the </w:t>
      </w:r>
      <w:bookmarkStart w:name="_bookmark398" w:id="631"/>
      <w:bookmarkEnd w:id="631"/>
      <w:r>
        <w:rPr>
          <w:sz w:val="21"/>
          <w:vertAlign w:val="baseline"/>
        </w:rPr>
        <w:t>s</w:t>
      </w:r>
      <w:r>
        <w:rPr>
          <w:sz w:val="21"/>
          <w:vertAlign w:val="baseline"/>
        </w:rPr>
        <w:t>tate to fulfill these essential needs.</w:t>
      </w:r>
    </w:p>
    <w:p>
      <w:pPr>
        <w:spacing w:line="276" w:lineRule="auto" w:before="241"/>
        <w:ind w:left="464" w:right="238" w:firstLine="0"/>
        <w:jc w:val="both"/>
        <w:rPr>
          <w:sz w:val="21"/>
        </w:rPr>
      </w:pPr>
      <w:bookmarkStart w:name="_bookmark399" w:id="632"/>
      <w:bookmarkEnd w:id="632"/>
      <w:r>
        <w:rPr/>
      </w:r>
      <w:bookmarkStart w:name="_bookmark400" w:id="633"/>
      <w:bookmarkEnd w:id="633"/>
      <w:r>
        <w:rPr/>
      </w:r>
      <w:r>
        <w:rPr>
          <w:sz w:val="21"/>
        </w:rPr>
        <w:t>After release, LGBTQ youth experience the collateral consequences of incarceration. The concept of collateral consequences is defined to include the negative impacts that arise for young people and their </w:t>
      </w:r>
      <w:bookmarkStart w:name="_bookmark401" w:id="634"/>
      <w:bookmarkEnd w:id="634"/>
      <w:r>
        <w:rPr>
          <w:sz w:val="21"/>
        </w:rPr>
        <w:t>f</w:t>
      </w:r>
      <w:r>
        <w:rPr>
          <w:sz w:val="21"/>
        </w:rPr>
        <w:t>amilies following involvement with the juvenile legal and the criminal legal systems, including through stages such as arrest, referral, intake, detention, adjudication, residential placement, probation, and </w:t>
      </w:r>
      <w:bookmarkStart w:name="_bookmark402" w:id="635"/>
      <w:bookmarkEnd w:id="635"/>
      <w:r>
        <w:rPr>
          <w:sz w:val="21"/>
        </w:rPr>
        <w:t>r</w:t>
      </w:r>
      <w:r>
        <w:rPr>
          <w:sz w:val="21"/>
        </w:rPr>
        <w:t>elease. </w:t>
      </w:r>
      <w:hyperlink w:history="true" w:anchor="_bookmark433">
        <w:r>
          <w:rPr>
            <w:sz w:val="21"/>
            <w:vertAlign w:val="superscript"/>
          </w:rPr>
          <w:t>117</w:t>
        </w:r>
      </w:hyperlink>
      <w:r>
        <w:rPr>
          <w:sz w:val="21"/>
          <w:vertAlign w:val="baseline"/>
        </w:rPr>
        <w:t> These impacts are particularly pronounced for individuals from racially marginalized </w:t>
      </w:r>
      <w:bookmarkStart w:name="_bookmark403" w:id="636"/>
      <w:bookmarkEnd w:id="636"/>
      <w:r>
        <w:rPr>
          <w:sz w:val="21"/>
          <w:vertAlign w:val="baseline"/>
        </w:rPr>
        <w:t>co</w:t>
      </w:r>
      <w:r>
        <w:rPr>
          <w:sz w:val="21"/>
          <w:vertAlign w:val="baseline"/>
        </w:rPr>
        <w:t>mmunities or those with lower socioeconomic status. The repercussions of these consequences can be </w:t>
      </w:r>
      <w:bookmarkStart w:name="_bookmark404" w:id="637"/>
      <w:bookmarkEnd w:id="637"/>
      <w:r>
        <w:rPr>
          <w:sz w:val="21"/>
          <w:vertAlign w:val="baseline"/>
        </w:rPr>
        <w:t>e</w:t>
      </w:r>
      <w:r>
        <w:rPr>
          <w:sz w:val="21"/>
          <w:vertAlign w:val="baseline"/>
        </w:rPr>
        <w:t>nduring and often unforeseen, affecting a young person's life trajectory in ways that extend far beyond the initial interaction with the criminal legal system. The Office of Juvenile Justice and Delinquency Prevention has documented over ten collateral consequences for previously incarcerated youth, including barriers to accessing local public education and higher education as such youth may have trouble re- enrolling</w:t>
      </w:r>
      <w:r>
        <w:rPr>
          <w:spacing w:val="39"/>
          <w:sz w:val="21"/>
          <w:vertAlign w:val="baseline"/>
        </w:rPr>
        <w:t> </w:t>
      </w:r>
      <w:r>
        <w:rPr>
          <w:sz w:val="21"/>
          <w:vertAlign w:val="baseline"/>
        </w:rPr>
        <w:t>in</w:t>
      </w:r>
      <w:r>
        <w:rPr>
          <w:spacing w:val="40"/>
          <w:sz w:val="21"/>
          <w:vertAlign w:val="baseline"/>
        </w:rPr>
        <w:t> </w:t>
      </w:r>
      <w:r>
        <w:rPr>
          <w:sz w:val="21"/>
          <w:vertAlign w:val="baseline"/>
        </w:rPr>
        <w:t>school,</w:t>
      </w:r>
      <w:r>
        <w:rPr>
          <w:spacing w:val="40"/>
          <w:sz w:val="21"/>
          <w:vertAlign w:val="baseline"/>
        </w:rPr>
        <w:t> </w:t>
      </w:r>
      <w:r>
        <w:rPr>
          <w:sz w:val="21"/>
          <w:vertAlign w:val="baseline"/>
        </w:rPr>
        <w:t>transferring</w:t>
      </w:r>
      <w:r>
        <w:rPr>
          <w:spacing w:val="39"/>
          <w:sz w:val="21"/>
          <w:vertAlign w:val="baseline"/>
        </w:rPr>
        <w:t> </w:t>
      </w:r>
      <w:r>
        <w:rPr>
          <w:sz w:val="21"/>
          <w:vertAlign w:val="baseline"/>
        </w:rPr>
        <w:t>credits,</w:t>
      </w:r>
      <w:r>
        <w:rPr>
          <w:spacing w:val="40"/>
          <w:sz w:val="21"/>
          <w:vertAlign w:val="baseline"/>
        </w:rPr>
        <w:t> </w:t>
      </w:r>
      <w:r>
        <w:rPr>
          <w:sz w:val="21"/>
          <w:vertAlign w:val="baseline"/>
        </w:rPr>
        <w:t>and</w:t>
      </w:r>
      <w:r>
        <w:rPr>
          <w:spacing w:val="40"/>
          <w:sz w:val="21"/>
          <w:vertAlign w:val="baseline"/>
        </w:rPr>
        <w:t> </w:t>
      </w:r>
      <w:r>
        <w:rPr>
          <w:sz w:val="21"/>
          <w:vertAlign w:val="baseline"/>
        </w:rPr>
        <w:t>may</w:t>
      </w:r>
      <w:r>
        <w:rPr>
          <w:spacing w:val="39"/>
          <w:sz w:val="21"/>
          <w:vertAlign w:val="baseline"/>
        </w:rPr>
        <w:t> </w:t>
      </w:r>
      <w:r>
        <w:rPr>
          <w:sz w:val="21"/>
          <w:vertAlign w:val="baseline"/>
        </w:rPr>
        <w:t>even</w:t>
      </w:r>
      <w:r>
        <w:rPr>
          <w:spacing w:val="40"/>
          <w:sz w:val="21"/>
          <w:vertAlign w:val="baseline"/>
        </w:rPr>
        <w:t> </w:t>
      </w:r>
      <w:r>
        <w:rPr>
          <w:sz w:val="21"/>
          <w:vertAlign w:val="baseline"/>
        </w:rPr>
        <w:t>be</w:t>
      </w:r>
      <w:r>
        <w:rPr>
          <w:spacing w:val="40"/>
          <w:sz w:val="21"/>
          <w:vertAlign w:val="baseline"/>
        </w:rPr>
        <w:t> </w:t>
      </w:r>
      <w:r>
        <w:rPr>
          <w:sz w:val="21"/>
          <w:vertAlign w:val="baseline"/>
        </w:rPr>
        <w:t>disqualified</w:t>
      </w:r>
      <w:r>
        <w:rPr>
          <w:spacing w:val="40"/>
          <w:sz w:val="21"/>
          <w:vertAlign w:val="baseline"/>
        </w:rPr>
        <w:t> </w:t>
      </w:r>
      <w:r>
        <w:rPr>
          <w:sz w:val="21"/>
          <w:vertAlign w:val="baseline"/>
        </w:rPr>
        <w:t>from</w:t>
      </w:r>
      <w:r>
        <w:rPr>
          <w:spacing w:val="40"/>
          <w:sz w:val="21"/>
          <w:vertAlign w:val="baseline"/>
        </w:rPr>
        <w:t> </w:t>
      </w:r>
      <w:r>
        <w:rPr>
          <w:sz w:val="21"/>
          <w:vertAlign w:val="baseline"/>
        </w:rPr>
        <w:t>receiving</w:t>
      </w:r>
      <w:r>
        <w:rPr>
          <w:spacing w:val="39"/>
          <w:sz w:val="21"/>
          <w:vertAlign w:val="baseline"/>
        </w:rPr>
        <w:t> </w:t>
      </w:r>
      <w:r>
        <w:rPr>
          <w:sz w:val="21"/>
          <w:vertAlign w:val="baseline"/>
        </w:rPr>
        <w:t>federal</w:t>
      </w:r>
      <w:r>
        <w:rPr>
          <w:spacing w:val="40"/>
          <w:sz w:val="21"/>
          <w:vertAlign w:val="baseline"/>
        </w:rPr>
        <w:t> </w:t>
      </w:r>
      <w:r>
        <w:rPr>
          <w:sz w:val="21"/>
          <w:vertAlign w:val="baseline"/>
        </w:rPr>
        <w:t>student</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1" w:hanging="1"/>
        <w:jc w:val="both"/>
        <w:rPr>
          <w:sz w:val="21"/>
        </w:rPr>
      </w:pPr>
      <w:r>
        <w:rPr>
          <w:sz w:val="21"/>
        </w:rPr>
        <w:t>loans.</w:t>
      </w:r>
      <w:hyperlink w:history="true" w:anchor="_bookmark434">
        <w:r>
          <w:rPr>
            <w:sz w:val="21"/>
            <w:vertAlign w:val="superscript"/>
          </w:rPr>
          <w:t>118</w:t>
        </w:r>
      </w:hyperlink>
      <w:r>
        <w:rPr>
          <w:spacing w:val="-3"/>
          <w:sz w:val="21"/>
          <w:vertAlign w:val="baseline"/>
        </w:rPr>
        <w:t> </w:t>
      </w:r>
      <w:r>
        <w:rPr>
          <w:sz w:val="21"/>
          <w:vertAlign w:val="baseline"/>
        </w:rPr>
        <w:t>Furthermore,</w:t>
      </w:r>
      <w:r>
        <w:rPr>
          <w:spacing w:val="-11"/>
          <w:sz w:val="21"/>
          <w:vertAlign w:val="baseline"/>
        </w:rPr>
        <w:t> </w:t>
      </w:r>
      <w:r>
        <w:rPr>
          <w:sz w:val="21"/>
          <w:vertAlign w:val="baseline"/>
        </w:rPr>
        <w:t>the</w:t>
      </w:r>
      <w:r>
        <w:rPr>
          <w:spacing w:val="-12"/>
          <w:sz w:val="21"/>
          <w:vertAlign w:val="baseline"/>
        </w:rPr>
        <w:t> </w:t>
      </w:r>
      <w:r>
        <w:rPr>
          <w:sz w:val="21"/>
          <w:vertAlign w:val="baseline"/>
        </w:rPr>
        <w:t>families</w:t>
      </w:r>
      <w:r>
        <w:rPr>
          <w:spacing w:val="-12"/>
          <w:sz w:val="21"/>
          <w:vertAlign w:val="baseline"/>
        </w:rPr>
        <w:t> </w:t>
      </w:r>
      <w:r>
        <w:rPr>
          <w:sz w:val="21"/>
          <w:vertAlign w:val="baseline"/>
        </w:rPr>
        <w:t>of</w:t>
      </w:r>
      <w:r>
        <w:rPr>
          <w:spacing w:val="-12"/>
          <w:sz w:val="21"/>
          <w:vertAlign w:val="baseline"/>
        </w:rPr>
        <w:t> </w:t>
      </w:r>
      <w:r>
        <w:rPr>
          <w:sz w:val="21"/>
          <w:vertAlign w:val="baseline"/>
        </w:rPr>
        <w:t>these</w:t>
      </w:r>
      <w:r>
        <w:rPr>
          <w:spacing w:val="-12"/>
          <w:sz w:val="21"/>
          <w:vertAlign w:val="baseline"/>
        </w:rPr>
        <w:t> </w:t>
      </w:r>
      <w:r>
        <w:rPr>
          <w:sz w:val="21"/>
          <w:vertAlign w:val="baseline"/>
        </w:rPr>
        <w:t>young</w:t>
      </w:r>
      <w:r>
        <w:rPr>
          <w:spacing w:val="-12"/>
          <w:sz w:val="21"/>
          <w:vertAlign w:val="baseline"/>
        </w:rPr>
        <w:t> </w:t>
      </w:r>
      <w:r>
        <w:rPr>
          <w:sz w:val="21"/>
          <w:vertAlign w:val="baseline"/>
        </w:rPr>
        <w:t>individuals</w:t>
      </w:r>
      <w:r>
        <w:rPr>
          <w:spacing w:val="-11"/>
          <w:sz w:val="21"/>
          <w:vertAlign w:val="baseline"/>
        </w:rPr>
        <w:t> </w:t>
      </w:r>
      <w:r>
        <w:rPr>
          <w:sz w:val="21"/>
          <w:vertAlign w:val="baseline"/>
        </w:rPr>
        <w:t>may</w:t>
      </w:r>
      <w:r>
        <w:rPr>
          <w:spacing w:val="-12"/>
          <w:sz w:val="21"/>
          <w:vertAlign w:val="baseline"/>
        </w:rPr>
        <w:t> </w:t>
      </w:r>
      <w:r>
        <w:rPr>
          <w:sz w:val="21"/>
          <w:vertAlign w:val="baseline"/>
        </w:rPr>
        <w:t>also</w:t>
      </w:r>
      <w:r>
        <w:rPr>
          <w:spacing w:val="-12"/>
          <w:sz w:val="21"/>
          <w:vertAlign w:val="baseline"/>
        </w:rPr>
        <w:t> </w:t>
      </w:r>
      <w:r>
        <w:rPr>
          <w:sz w:val="21"/>
          <w:vertAlign w:val="baseline"/>
        </w:rPr>
        <w:t>experience</w:t>
      </w:r>
      <w:r>
        <w:rPr>
          <w:spacing w:val="-12"/>
          <w:sz w:val="21"/>
          <w:vertAlign w:val="baseline"/>
        </w:rPr>
        <w:t> </w:t>
      </w:r>
      <w:r>
        <w:rPr>
          <w:sz w:val="21"/>
          <w:vertAlign w:val="baseline"/>
        </w:rPr>
        <w:t>collateral</w:t>
      </w:r>
      <w:r>
        <w:rPr>
          <w:spacing w:val="-12"/>
          <w:sz w:val="21"/>
          <w:vertAlign w:val="baseline"/>
        </w:rPr>
        <w:t> </w:t>
      </w:r>
      <w:r>
        <w:rPr>
          <w:sz w:val="21"/>
          <w:vertAlign w:val="baseline"/>
        </w:rPr>
        <w:t>consequences, </w:t>
      </w:r>
      <w:bookmarkStart w:name="_bookmark405" w:id="638"/>
      <w:bookmarkEnd w:id="638"/>
      <w:r>
        <w:rPr>
          <w:sz w:val="21"/>
          <w:vertAlign w:val="baseline"/>
        </w:rPr>
        <w:t>f</w:t>
      </w:r>
      <w:r>
        <w:rPr>
          <w:sz w:val="21"/>
          <w:vertAlign w:val="baseline"/>
        </w:rPr>
        <w:t>acing financial burdens, limited housing options, and potentially criminal charges if they are deemed responsible for the minor's actions. </w:t>
      </w:r>
      <w:hyperlink w:history="true" w:anchor="_bookmark435">
        <w:r>
          <w:rPr>
            <w:sz w:val="21"/>
            <w:vertAlign w:val="superscript"/>
          </w:rPr>
          <w:t>119</w:t>
        </w:r>
      </w:hyperlink>
    </w:p>
    <w:p>
      <w:pPr>
        <w:spacing w:line="276" w:lineRule="auto" w:before="240"/>
        <w:ind w:left="463" w:right="239" w:firstLine="0"/>
        <w:jc w:val="both"/>
        <w:rPr>
          <w:sz w:val="21"/>
        </w:rPr>
      </w:pPr>
      <w:bookmarkStart w:name="_bookmark406" w:id="639"/>
      <w:bookmarkEnd w:id="639"/>
      <w:r>
        <w:rPr/>
      </w:r>
      <w:bookmarkStart w:name="_bookmark407" w:id="640"/>
      <w:bookmarkEnd w:id="640"/>
      <w:r>
        <w:rPr/>
      </w:r>
      <w:r>
        <w:rPr>
          <w:sz w:val="21"/>
        </w:rPr>
        <w:t>Those who are eligible for expungement or sealing of their criminal record must face lengthy processing times (sometimes over a year) and, many struggle to afford an attorney to assist them in filing.</w:t>
      </w:r>
      <w:hyperlink w:history="true" w:anchor="_bookmark436">
        <w:r>
          <w:rPr>
            <w:sz w:val="21"/>
            <w:vertAlign w:val="superscript"/>
          </w:rPr>
          <w:t>120</w:t>
        </w:r>
      </w:hyperlink>
      <w:r>
        <w:rPr>
          <w:spacing w:val="-2"/>
          <w:sz w:val="21"/>
          <w:vertAlign w:val="baseline"/>
        </w:rPr>
        <w:t> </w:t>
      </w:r>
      <w:r>
        <w:rPr>
          <w:sz w:val="21"/>
          <w:vertAlign w:val="baseline"/>
        </w:rPr>
        <w:t>Studies </w:t>
      </w:r>
      <w:bookmarkStart w:name="_bookmark408" w:id="641"/>
      <w:bookmarkEnd w:id="641"/>
      <w:r>
        <w:rPr>
          <w:sz w:val="21"/>
          <w:vertAlign w:val="baseline"/>
        </w:rPr>
        <w:t>i</w:t>
      </w:r>
      <w:r>
        <w:rPr>
          <w:sz w:val="21"/>
          <w:vertAlign w:val="baseline"/>
        </w:rPr>
        <w:t>ndicate that sealing records can significantly enhance job access and wages.</w:t>
      </w:r>
      <w:hyperlink w:history="true" w:anchor="_bookmark437">
        <w:r>
          <w:rPr>
            <w:sz w:val="21"/>
            <w:vertAlign w:val="superscript"/>
          </w:rPr>
          <w:t>121</w:t>
        </w:r>
      </w:hyperlink>
      <w:r>
        <w:rPr>
          <w:spacing w:val="-2"/>
          <w:sz w:val="21"/>
          <w:vertAlign w:val="baseline"/>
        </w:rPr>
        <w:t> </w:t>
      </w:r>
      <w:r>
        <w:rPr>
          <w:sz w:val="21"/>
          <w:vertAlign w:val="baseline"/>
        </w:rPr>
        <w:t>Clean Slate is a legislative </w:t>
      </w:r>
      <w:bookmarkStart w:name="_bookmark409" w:id="642"/>
      <w:bookmarkEnd w:id="642"/>
      <w:r>
        <w:rPr>
          <w:sz w:val="21"/>
          <w:vertAlign w:val="baseline"/>
        </w:rPr>
        <w:t>p</w:t>
      </w:r>
      <w:r>
        <w:rPr>
          <w:sz w:val="21"/>
          <w:vertAlign w:val="baseline"/>
        </w:rPr>
        <w:t>roposal</w:t>
      </w:r>
      <w:r>
        <w:rPr>
          <w:spacing w:val="-3"/>
          <w:sz w:val="21"/>
          <w:vertAlign w:val="baseline"/>
        </w:rPr>
        <w:t> </w:t>
      </w:r>
      <w:r>
        <w:rPr>
          <w:sz w:val="21"/>
          <w:vertAlign w:val="baseline"/>
        </w:rPr>
        <w:t>aimed</w:t>
      </w:r>
      <w:r>
        <w:rPr>
          <w:spacing w:val="-3"/>
          <w:sz w:val="21"/>
          <w:vertAlign w:val="baseline"/>
        </w:rPr>
        <w:t> </w:t>
      </w:r>
      <w:r>
        <w:rPr>
          <w:sz w:val="21"/>
          <w:vertAlign w:val="baseline"/>
        </w:rPr>
        <w:t>at</w:t>
      </w:r>
      <w:r>
        <w:rPr>
          <w:spacing w:val="-3"/>
          <w:sz w:val="21"/>
          <w:vertAlign w:val="baseline"/>
        </w:rPr>
        <w:t> </w:t>
      </w:r>
      <w:r>
        <w:rPr>
          <w:sz w:val="21"/>
          <w:vertAlign w:val="baseline"/>
        </w:rPr>
        <w:t>reforming</w:t>
      </w:r>
      <w:r>
        <w:rPr>
          <w:spacing w:val="-3"/>
          <w:sz w:val="21"/>
          <w:vertAlign w:val="baseline"/>
        </w:rPr>
        <w:t> </w:t>
      </w:r>
      <w:r>
        <w:rPr>
          <w:sz w:val="21"/>
          <w:vertAlign w:val="baseline"/>
        </w:rPr>
        <w:t>the</w:t>
      </w:r>
      <w:r>
        <w:rPr>
          <w:spacing w:val="-3"/>
          <w:sz w:val="21"/>
          <w:vertAlign w:val="baseline"/>
        </w:rPr>
        <w:t> </w:t>
      </w:r>
      <w:r>
        <w:rPr>
          <w:sz w:val="21"/>
          <w:vertAlign w:val="baseline"/>
        </w:rPr>
        <w:t>process</w:t>
      </w:r>
      <w:r>
        <w:rPr>
          <w:spacing w:val="-3"/>
          <w:sz w:val="21"/>
          <w:vertAlign w:val="baseline"/>
        </w:rPr>
        <w:t> </w:t>
      </w:r>
      <w:r>
        <w:rPr>
          <w:sz w:val="21"/>
          <w:vertAlign w:val="baseline"/>
        </w:rPr>
        <w:t>of</w:t>
      </w:r>
      <w:r>
        <w:rPr>
          <w:spacing w:val="-3"/>
          <w:sz w:val="21"/>
          <w:vertAlign w:val="baseline"/>
        </w:rPr>
        <w:t> </w:t>
      </w:r>
      <w:r>
        <w:rPr>
          <w:sz w:val="21"/>
          <w:vertAlign w:val="baseline"/>
        </w:rPr>
        <w:t>sealing</w:t>
      </w:r>
      <w:r>
        <w:rPr>
          <w:spacing w:val="-3"/>
          <w:sz w:val="21"/>
          <w:vertAlign w:val="baseline"/>
        </w:rPr>
        <w:t> </w:t>
      </w:r>
      <w:r>
        <w:rPr>
          <w:sz w:val="21"/>
          <w:vertAlign w:val="baseline"/>
        </w:rPr>
        <w:t>criminal</w:t>
      </w:r>
      <w:r>
        <w:rPr>
          <w:spacing w:val="-3"/>
          <w:sz w:val="21"/>
          <w:vertAlign w:val="baseline"/>
        </w:rPr>
        <w:t> </w:t>
      </w:r>
      <w:r>
        <w:rPr>
          <w:sz w:val="21"/>
          <w:vertAlign w:val="baseline"/>
        </w:rPr>
        <w:t>and</w:t>
      </w:r>
      <w:r>
        <w:rPr>
          <w:spacing w:val="-3"/>
          <w:sz w:val="21"/>
          <w:vertAlign w:val="baseline"/>
        </w:rPr>
        <w:t> </w:t>
      </w:r>
      <w:r>
        <w:rPr>
          <w:sz w:val="21"/>
          <w:vertAlign w:val="baseline"/>
        </w:rPr>
        <w:t>juvenile</w:t>
      </w:r>
      <w:r>
        <w:rPr>
          <w:spacing w:val="-3"/>
          <w:sz w:val="21"/>
          <w:vertAlign w:val="baseline"/>
        </w:rPr>
        <w:t> </w:t>
      </w:r>
      <w:r>
        <w:rPr>
          <w:sz w:val="21"/>
          <w:vertAlign w:val="baseline"/>
        </w:rPr>
        <w:t>records</w:t>
      </w:r>
      <w:r>
        <w:rPr>
          <w:spacing w:val="-3"/>
          <w:sz w:val="21"/>
          <w:vertAlign w:val="baseline"/>
        </w:rPr>
        <w:t> </w:t>
      </w:r>
      <w:r>
        <w:rPr>
          <w:sz w:val="21"/>
          <w:vertAlign w:val="baseline"/>
        </w:rPr>
        <w:t>to</w:t>
      </w:r>
      <w:r>
        <w:rPr>
          <w:spacing w:val="-3"/>
          <w:sz w:val="21"/>
          <w:vertAlign w:val="baseline"/>
        </w:rPr>
        <w:t> </w:t>
      </w:r>
      <w:r>
        <w:rPr>
          <w:sz w:val="21"/>
          <w:vertAlign w:val="baseline"/>
        </w:rPr>
        <w:t>alleviate</w:t>
      </w:r>
      <w:r>
        <w:rPr>
          <w:spacing w:val="-3"/>
          <w:sz w:val="21"/>
          <w:vertAlign w:val="baseline"/>
        </w:rPr>
        <w:t> </w:t>
      </w:r>
      <w:r>
        <w:rPr>
          <w:sz w:val="21"/>
          <w:vertAlign w:val="baseline"/>
        </w:rPr>
        <w:t>the</w:t>
      </w:r>
      <w:r>
        <w:rPr>
          <w:spacing w:val="-3"/>
          <w:sz w:val="21"/>
          <w:vertAlign w:val="baseline"/>
        </w:rPr>
        <w:t> </w:t>
      </w:r>
      <w:r>
        <w:rPr>
          <w:sz w:val="21"/>
          <w:vertAlign w:val="baseline"/>
        </w:rPr>
        <w:t>long-term </w:t>
      </w:r>
      <w:bookmarkStart w:name="_bookmark410" w:id="643"/>
      <w:bookmarkEnd w:id="643"/>
      <w:r>
        <w:rPr>
          <w:sz w:val="21"/>
          <w:vertAlign w:val="baseline"/>
        </w:rPr>
        <w:t>co</w:t>
      </w:r>
      <w:r>
        <w:rPr>
          <w:sz w:val="21"/>
          <w:vertAlign w:val="baseline"/>
        </w:rPr>
        <w:t>nsequences of having a criminal record, which includes barriers to employment and housing.</w:t>
      </w:r>
      <w:hyperlink w:history="true" w:anchor="_bookmark438">
        <w:r>
          <w:rPr>
            <w:sz w:val="21"/>
            <w:vertAlign w:val="superscript"/>
          </w:rPr>
          <w:t>122</w:t>
        </w:r>
      </w:hyperlink>
      <w:r>
        <w:rPr>
          <w:spacing w:val="-2"/>
          <w:sz w:val="21"/>
          <w:vertAlign w:val="baseline"/>
        </w:rPr>
        <w:t> </w:t>
      </w:r>
      <w:r>
        <w:rPr>
          <w:sz w:val="21"/>
          <w:vertAlign w:val="baseline"/>
        </w:rPr>
        <w:t>Several bills were proposed in 2023 that would mandate the Commissioner of Probation to automatically seal an </w:t>
      </w:r>
      <w:bookmarkStart w:name="_bookmark411" w:id="644"/>
      <w:bookmarkEnd w:id="644"/>
      <w:r>
        <w:rPr>
          <w:sz w:val="21"/>
          <w:vertAlign w:val="baseline"/>
        </w:rPr>
        <w:t>i</w:t>
      </w:r>
      <w:r>
        <w:rPr>
          <w:sz w:val="21"/>
          <w:vertAlign w:val="baseline"/>
        </w:rPr>
        <w:t>ndividual’s record after their statutorily required waiting period has passed, eliminating the need for individuals to navigate a complex and slow petition process currently plagued by backlogs.</w:t>
      </w:r>
      <w:hyperlink w:history="true" w:anchor="_bookmark439">
        <w:r>
          <w:rPr>
            <w:sz w:val="21"/>
            <w:vertAlign w:val="superscript"/>
          </w:rPr>
          <w:t>123</w:t>
        </w:r>
      </w:hyperlink>
      <w:r>
        <w:rPr>
          <w:spacing w:val="-2"/>
          <w:sz w:val="21"/>
          <w:vertAlign w:val="baseline"/>
        </w:rPr>
        <w:t> </w:t>
      </w:r>
      <w:r>
        <w:rPr>
          <w:sz w:val="21"/>
          <w:vertAlign w:val="baseline"/>
        </w:rPr>
        <w:t>This change is intended to streamline the sealing process, which is critical for individuals trying to move past their </w:t>
      </w:r>
      <w:bookmarkStart w:name="_bookmark412" w:id="645"/>
      <w:bookmarkEnd w:id="645"/>
      <w:r>
        <w:rPr>
          <w:sz w:val="21"/>
          <w:vertAlign w:val="baseline"/>
        </w:rPr>
        <w:t>c</w:t>
      </w:r>
      <w:r>
        <w:rPr>
          <w:sz w:val="21"/>
          <w:vertAlign w:val="baseline"/>
        </w:rPr>
        <w:t>riminal records and improve their access to jobs and housing. Furthermore, the proposed legislative reform</w:t>
      </w:r>
      <w:r>
        <w:rPr>
          <w:spacing w:val="-6"/>
          <w:sz w:val="21"/>
          <w:vertAlign w:val="baseline"/>
        </w:rPr>
        <w:t> </w:t>
      </w:r>
      <w:r>
        <w:rPr>
          <w:sz w:val="21"/>
          <w:vertAlign w:val="baseline"/>
        </w:rPr>
        <w:t>would</w:t>
      </w:r>
      <w:r>
        <w:rPr>
          <w:spacing w:val="-7"/>
          <w:sz w:val="21"/>
          <w:vertAlign w:val="baseline"/>
        </w:rPr>
        <w:t> </w:t>
      </w:r>
      <w:r>
        <w:rPr>
          <w:sz w:val="21"/>
          <w:vertAlign w:val="baseline"/>
        </w:rPr>
        <w:t>immediately</w:t>
      </w:r>
      <w:r>
        <w:rPr>
          <w:spacing w:val="-7"/>
          <w:sz w:val="21"/>
          <w:vertAlign w:val="baseline"/>
        </w:rPr>
        <w:t> </w:t>
      </w:r>
      <w:r>
        <w:rPr>
          <w:sz w:val="21"/>
          <w:vertAlign w:val="baseline"/>
        </w:rPr>
        <w:t>seal</w:t>
      </w:r>
      <w:r>
        <w:rPr>
          <w:spacing w:val="-7"/>
          <w:sz w:val="21"/>
          <w:vertAlign w:val="baseline"/>
        </w:rPr>
        <w:t> </w:t>
      </w:r>
      <w:r>
        <w:rPr>
          <w:sz w:val="21"/>
          <w:vertAlign w:val="baseline"/>
        </w:rPr>
        <w:t>offenses</w:t>
      </w:r>
      <w:r>
        <w:rPr>
          <w:spacing w:val="-7"/>
          <w:sz w:val="21"/>
          <w:vertAlign w:val="baseline"/>
        </w:rPr>
        <w:t> </w:t>
      </w:r>
      <w:r>
        <w:rPr>
          <w:sz w:val="21"/>
          <w:vertAlign w:val="baseline"/>
        </w:rPr>
        <w:t>at</w:t>
      </w:r>
      <w:r>
        <w:rPr>
          <w:spacing w:val="-6"/>
          <w:sz w:val="21"/>
          <w:vertAlign w:val="baseline"/>
        </w:rPr>
        <w:t> </w:t>
      </w:r>
      <w:r>
        <w:rPr>
          <w:sz w:val="21"/>
          <w:vertAlign w:val="baseline"/>
        </w:rPr>
        <w:t>the</w:t>
      </w:r>
      <w:r>
        <w:rPr>
          <w:spacing w:val="-8"/>
          <w:sz w:val="21"/>
          <w:vertAlign w:val="baseline"/>
        </w:rPr>
        <w:t> </w:t>
      </w:r>
      <w:r>
        <w:rPr>
          <w:sz w:val="21"/>
          <w:vertAlign w:val="baseline"/>
        </w:rPr>
        <w:t>time</w:t>
      </w:r>
      <w:r>
        <w:rPr>
          <w:spacing w:val="-8"/>
          <w:sz w:val="21"/>
          <w:vertAlign w:val="baseline"/>
        </w:rPr>
        <w:t> </w:t>
      </w:r>
      <w:r>
        <w:rPr>
          <w:sz w:val="21"/>
          <w:vertAlign w:val="baseline"/>
        </w:rPr>
        <w:t>of</w:t>
      </w:r>
      <w:r>
        <w:rPr>
          <w:spacing w:val="-7"/>
          <w:sz w:val="21"/>
          <w:vertAlign w:val="baseline"/>
        </w:rPr>
        <w:t> </w:t>
      </w:r>
      <w:r>
        <w:rPr>
          <w:sz w:val="21"/>
          <w:vertAlign w:val="baseline"/>
        </w:rPr>
        <w:t>final</w:t>
      </w:r>
      <w:r>
        <w:rPr>
          <w:spacing w:val="-7"/>
          <w:sz w:val="21"/>
          <w:vertAlign w:val="baseline"/>
        </w:rPr>
        <w:t> </w:t>
      </w:r>
      <w:r>
        <w:rPr>
          <w:sz w:val="21"/>
          <w:vertAlign w:val="baseline"/>
        </w:rPr>
        <w:t>disposition</w:t>
      </w:r>
      <w:r>
        <w:rPr>
          <w:spacing w:val="-7"/>
          <w:sz w:val="21"/>
          <w:vertAlign w:val="baseline"/>
        </w:rPr>
        <w:t> </w:t>
      </w:r>
      <w:r>
        <w:rPr>
          <w:sz w:val="21"/>
          <w:vertAlign w:val="baseline"/>
        </w:rPr>
        <w:t>if</w:t>
      </w:r>
      <w:r>
        <w:rPr>
          <w:spacing w:val="-7"/>
          <w:sz w:val="21"/>
          <w:vertAlign w:val="baseline"/>
        </w:rPr>
        <w:t> </w:t>
      </w:r>
      <w:r>
        <w:rPr>
          <w:sz w:val="21"/>
          <w:vertAlign w:val="baseline"/>
        </w:rPr>
        <w:t>they</w:t>
      </w:r>
      <w:r>
        <w:rPr>
          <w:spacing w:val="-7"/>
          <w:sz w:val="21"/>
          <w:vertAlign w:val="baseline"/>
        </w:rPr>
        <w:t> </w:t>
      </w:r>
      <w:r>
        <w:rPr>
          <w:sz w:val="21"/>
          <w:vertAlign w:val="baseline"/>
        </w:rPr>
        <w:t>did</w:t>
      </w:r>
      <w:r>
        <w:rPr>
          <w:spacing w:val="-8"/>
          <w:sz w:val="21"/>
          <w:vertAlign w:val="baseline"/>
        </w:rPr>
        <w:t> </w:t>
      </w:r>
      <w:r>
        <w:rPr>
          <w:sz w:val="21"/>
          <w:vertAlign w:val="baseline"/>
        </w:rPr>
        <w:t>not</w:t>
      </w:r>
      <w:r>
        <w:rPr>
          <w:spacing w:val="-6"/>
          <w:sz w:val="21"/>
          <w:vertAlign w:val="baseline"/>
        </w:rPr>
        <w:t> </w:t>
      </w:r>
      <w:r>
        <w:rPr>
          <w:sz w:val="21"/>
          <w:vertAlign w:val="baseline"/>
        </w:rPr>
        <w:t>result</w:t>
      </w:r>
      <w:r>
        <w:rPr>
          <w:spacing w:val="-6"/>
          <w:sz w:val="21"/>
          <w:vertAlign w:val="baseline"/>
        </w:rPr>
        <w:t> </w:t>
      </w:r>
      <w:r>
        <w:rPr>
          <w:sz w:val="21"/>
          <w:vertAlign w:val="baseline"/>
        </w:rPr>
        <w:t>in</w:t>
      </w:r>
      <w:r>
        <w:rPr>
          <w:spacing w:val="-8"/>
          <w:sz w:val="21"/>
          <w:vertAlign w:val="baseline"/>
        </w:rPr>
        <w:t> </w:t>
      </w:r>
      <w:r>
        <w:rPr>
          <w:sz w:val="21"/>
          <w:vertAlign w:val="baseline"/>
        </w:rPr>
        <w:t>a</w:t>
      </w:r>
      <w:r>
        <w:rPr>
          <w:spacing w:val="-6"/>
          <w:sz w:val="21"/>
          <w:vertAlign w:val="baseline"/>
        </w:rPr>
        <w:t> </w:t>
      </w:r>
      <w:r>
        <w:rPr>
          <w:sz w:val="21"/>
          <w:vertAlign w:val="baseline"/>
        </w:rPr>
        <w:t>conviction, </w:t>
      </w:r>
      <w:bookmarkStart w:name="_bookmark413" w:id="646"/>
      <w:bookmarkEnd w:id="646"/>
      <w:r>
        <w:rPr>
          <w:sz w:val="21"/>
          <w:vertAlign w:val="baseline"/>
        </w:rPr>
        <w:t>th</w:t>
      </w:r>
      <w:r>
        <w:rPr>
          <w:sz w:val="21"/>
          <w:vertAlign w:val="baseline"/>
        </w:rPr>
        <w:t>ereby protecting the presumption of innocence. These efforts are part of a national trend, with several </w:t>
      </w:r>
      <w:bookmarkStart w:name="_bookmark414" w:id="647"/>
      <w:bookmarkEnd w:id="647"/>
      <w:r>
        <w:rPr>
          <w:sz w:val="21"/>
          <w:vertAlign w:val="baseline"/>
        </w:rPr>
        <w:t>s</w:t>
      </w:r>
      <w:r>
        <w:rPr>
          <w:sz w:val="21"/>
          <w:vertAlign w:val="baseline"/>
        </w:rPr>
        <w:t>tates</w:t>
      </w:r>
      <w:r>
        <w:rPr>
          <w:spacing w:val="-1"/>
          <w:sz w:val="21"/>
          <w:vertAlign w:val="baseline"/>
        </w:rPr>
        <w:t> </w:t>
      </w:r>
      <w:r>
        <w:rPr>
          <w:sz w:val="21"/>
          <w:vertAlign w:val="baseline"/>
        </w:rPr>
        <w:t>(PA, CT, NJ, NY,</w:t>
      </w:r>
      <w:r>
        <w:rPr>
          <w:spacing w:val="-2"/>
          <w:sz w:val="21"/>
          <w:vertAlign w:val="baseline"/>
        </w:rPr>
        <w:t> </w:t>
      </w:r>
      <w:r>
        <w:rPr>
          <w:sz w:val="21"/>
          <w:vertAlign w:val="baseline"/>
        </w:rPr>
        <w:t>CA, CO, DE,</w:t>
      </w:r>
      <w:r>
        <w:rPr>
          <w:spacing w:val="-2"/>
          <w:sz w:val="21"/>
          <w:vertAlign w:val="baseline"/>
        </w:rPr>
        <w:t> </w:t>
      </w:r>
      <w:r>
        <w:rPr>
          <w:sz w:val="21"/>
          <w:vertAlign w:val="baseline"/>
        </w:rPr>
        <w:t>MI,</w:t>
      </w:r>
      <w:r>
        <w:rPr>
          <w:spacing w:val="-2"/>
          <w:sz w:val="21"/>
          <w:vertAlign w:val="baseline"/>
        </w:rPr>
        <w:t> </w:t>
      </w:r>
      <w:r>
        <w:rPr>
          <w:sz w:val="21"/>
          <w:vertAlign w:val="baseline"/>
        </w:rPr>
        <w:t>OK,</w:t>
      </w:r>
      <w:r>
        <w:rPr>
          <w:spacing w:val="-2"/>
          <w:sz w:val="21"/>
          <w:vertAlign w:val="baseline"/>
        </w:rPr>
        <w:t> </w:t>
      </w:r>
      <w:r>
        <w:rPr>
          <w:sz w:val="21"/>
          <w:vertAlign w:val="baseline"/>
        </w:rPr>
        <w:t>VA, and</w:t>
      </w:r>
      <w:r>
        <w:rPr>
          <w:spacing w:val="-1"/>
          <w:sz w:val="21"/>
          <w:vertAlign w:val="baseline"/>
        </w:rPr>
        <w:t> </w:t>
      </w:r>
      <w:r>
        <w:rPr>
          <w:sz w:val="21"/>
          <w:vertAlign w:val="baseline"/>
        </w:rPr>
        <w:t>UT)</w:t>
      </w:r>
      <w:r>
        <w:rPr>
          <w:spacing w:val="40"/>
          <w:sz w:val="21"/>
          <w:vertAlign w:val="baseline"/>
        </w:rPr>
        <w:t> </w:t>
      </w:r>
      <w:r>
        <w:rPr>
          <w:sz w:val="21"/>
          <w:vertAlign w:val="baseline"/>
        </w:rPr>
        <w:t>already</w:t>
      </w:r>
      <w:r>
        <w:rPr>
          <w:spacing w:val="-1"/>
          <w:sz w:val="21"/>
          <w:vertAlign w:val="baseline"/>
        </w:rPr>
        <w:t> </w:t>
      </w:r>
      <w:r>
        <w:rPr>
          <w:sz w:val="21"/>
          <w:vertAlign w:val="baseline"/>
        </w:rPr>
        <w:t>implementing</w:t>
      </w:r>
      <w:r>
        <w:rPr>
          <w:spacing w:val="-1"/>
          <w:sz w:val="21"/>
          <w:vertAlign w:val="baseline"/>
        </w:rPr>
        <w:t> </w:t>
      </w:r>
      <w:r>
        <w:rPr>
          <w:sz w:val="21"/>
          <w:vertAlign w:val="baseline"/>
        </w:rPr>
        <w:t>automatic</w:t>
      </w:r>
      <w:r>
        <w:rPr>
          <w:spacing w:val="-1"/>
          <w:sz w:val="21"/>
          <w:vertAlign w:val="baseline"/>
        </w:rPr>
        <w:t> </w:t>
      </w:r>
      <w:r>
        <w:rPr>
          <w:sz w:val="21"/>
          <w:vertAlign w:val="baseline"/>
        </w:rPr>
        <w:t>record</w:t>
      </w:r>
      <w:r>
        <w:rPr>
          <w:spacing w:val="-1"/>
          <w:sz w:val="21"/>
          <w:vertAlign w:val="baseline"/>
        </w:rPr>
        <w:t> </w:t>
      </w:r>
      <w:r>
        <w:rPr>
          <w:sz w:val="21"/>
          <w:vertAlign w:val="baseline"/>
        </w:rPr>
        <w:t>clearing</w:t>
      </w:r>
      <w:r>
        <w:rPr>
          <w:spacing w:val="-1"/>
          <w:sz w:val="21"/>
          <w:vertAlign w:val="baseline"/>
        </w:rPr>
        <w:t> </w:t>
      </w:r>
      <w:r>
        <w:rPr>
          <w:sz w:val="21"/>
          <w:vertAlign w:val="baseline"/>
        </w:rPr>
        <w:t>to </w:t>
      </w:r>
      <w:bookmarkStart w:name="_bookmark415" w:id="648"/>
      <w:bookmarkEnd w:id="648"/>
      <w:r>
        <w:rPr>
          <w:sz w:val="21"/>
          <w:vertAlign w:val="baseline"/>
        </w:rPr>
        <w:t>g</w:t>
      </w:r>
      <w:r>
        <w:rPr>
          <w:sz w:val="21"/>
          <w:vertAlign w:val="baseline"/>
        </w:rPr>
        <w:t>reat effect.</w:t>
      </w:r>
      <w:hyperlink w:history="true" w:anchor="_bookmark440">
        <w:r>
          <w:rPr>
            <w:sz w:val="21"/>
            <w:vertAlign w:val="superscript"/>
          </w:rPr>
          <w:t>124</w:t>
        </w:r>
      </w:hyperlink>
      <w:r>
        <w:rPr>
          <w:sz w:val="21"/>
          <w:vertAlign w:val="baseline"/>
        </w:rPr>
        <w:t> The Clean Slate bills introduced in Massachusetts were sent to study and did not move </w:t>
      </w:r>
      <w:bookmarkStart w:name="_bookmark416" w:id="649"/>
      <w:bookmarkEnd w:id="649"/>
      <w:r>
        <w:rPr>
          <w:sz w:val="21"/>
          <w:vertAlign w:val="baseline"/>
        </w:rPr>
        <w:t>f</w:t>
      </w:r>
      <w:r>
        <w:rPr>
          <w:sz w:val="21"/>
          <w:vertAlign w:val="baseline"/>
        </w:rPr>
        <w:t>orward this legislative session.</w:t>
      </w:r>
    </w:p>
    <w:p>
      <w:pPr>
        <w:spacing w:line="276" w:lineRule="auto" w:before="240"/>
        <w:ind w:left="464" w:right="238" w:firstLine="0"/>
        <w:jc w:val="both"/>
        <w:rPr>
          <w:sz w:val="21"/>
        </w:rPr>
      </w:pPr>
      <w:bookmarkStart w:name="_bookmark417" w:id="650"/>
      <w:bookmarkEnd w:id="650"/>
      <w:r>
        <w:rPr/>
      </w:r>
      <w:r>
        <w:rPr>
          <w:sz w:val="21"/>
        </w:rPr>
        <w:t>In summary, while there are protective measures in place, LGBTQ youth continue to face significant disparities</w:t>
      </w:r>
      <w:r>
        <w:rPr>
          <w:spacing w:val="-4"/>
          <w:sz w:val="21"/>
        </w:rPr>
        <w:t> </w:t>
      </w:r>
      <w:r>
        <w:rPr>
          <w:sz w:val="21"/>
        </w:rPr>
        <w:t>and</w:t>
      </w:r>
      <w:r>
        <w:rPr>
          <w:spacing w:val="-3"/>
          <w:sz w:val="21"/>
        </w:rPr>
        <w:t> </w:t>
      </w:r>
      <w:r>
        <w:rPr>
          <w:sz w:val="21"/>
        </w:rPr>
        <w:t>discrimination</w:t>
      </w:r>
      <w:r>
        <w:rPr>
          <w:spacing w:val="-3"/>
          <w:sz w:val="21"/>
        </w:rPr>
        <w:t> </w:t>
      </w:r>
      <w:r>
        <w:rPr>
          <w:sz w:val="21"/>
        </w:rPr>
        <w:t>within</w:t>
      </w:r>
      <w:r>
        <w:rPr>
          <w:spacing w:val="-3"/>
          <w:sz w:val="21"/>
        </w:rPr>
        <w:t> </w:t>
      </w:r>
      <w:r>
        <w:rPr>
          <w:sz w:val="21"/>
        </w:rPr>
        <w:t>the</w:t>
      </w:r>
      <w:r>
        <w:rPr>
          <w:spacing w:val="-4"/>
          <w:sz w:val="21"/>
        </w:rPr>
        <w:t> </w:t>
      </w:r>
      <w:r>
        <w:rPr>
          <w:sz w:val="21"/>
        </w:rPr>
        <w:t>juvenile</w:t>
      </w:r>
      <w:r>
        <w:rPr>
          <w:spacing w:val="-3"/>
          <w:sz w:val="21"/>
        </w:rPr>
        <w:t> </w:t>
      </w:r>
      <w:r>
        <w:rPr>
          <w:sz w:val="21"/>
        </w:rPr>
        <w:t>and</w:t>
      </w:r>
      <w:r>
        <w:rPr>
          <w:spacing w:val="-3"/>
          <w:sz w:val="21"/>
        </w:rPr>
        <w:t> </w:t>
      </w:r>
      <w:r>
        <w:rPr>
          <w:sz w:val="21"/>
        </w:rPr>
        <w:t>criminal</w:t>
      </w:r>
      <w:r>
        <w:rPr>
          <w:spacing w:val="-3"/>
          <w:sz w:val="21"/>
        </w:rPr>
        <w:t> </w:t>
      </w:r>
      <w:r>
        <w:rPr>
          <w:sz w:val="21"/>
        </w:rPr>
        <w:t>legal</w:t>
      </w:r>
      <w:r>
        <w:rPr>
          <w:spacing w:val="-3"/>
          <w:sz w:val="21"/>
        </w:rPr>
        <w:t> </w:t>
      </w:r>
      <w:r>
        <w:rPr>
          <w:sz w:val="21"/>
        </w:rPr>
        <w:t>systems.</w:t>
      </w:r>
      <w:r>
        <w:rPr>
          <w:spacing w:val="-3"/>
          <w:sz w:val="21"/>
        </w:rPr>
        <w:t> </w:t>
      </w:r>
      <w:r>
        <w:rPr>
          <w:sz w:val="21"/>
        </w:rPr>
        <w:t>Data</w:t>
      </w:r>
      <w:r>
        <w:rPr>
          <w:spacing w:val="-3"/>
          <w:sz w:val="21"/>
        </w:rPr>
        <w:t> </w:t>
      </w:r>
      <w:r>
        <w:rPr>
          <w:sz w:val="21"/>
        </w:rPr>
        <w:t>indicates</w:t>
      </w:r>
      <w:r>
        <w:rPr>
          <w:spacing w:val="-4"/>
          <w:sz w:val="21"/>
        </w:rPr>
        <w:t> </w:t>
      </w:r>
      <w:r>
        <w:rPr>
          <w:sz w:val="21"/>
        </w:rPr>
        <w:t>that</w:t>
      </w:r>
      <w:r>
        <w:rPr>
          <w:spacing w:val="-4"/>
          <w:sz w:val="21"/>
        </w:rPr>
        <w:t> </w:t>
      </w:r>
      <w:r>
        <w:rPr>
          <w:sz w:val="21"/>
        </w:rPr>
        <w:t>there</w:t>
      </w:r>
      <w:r>
        <w:rPr>
          <w:spacing w:val="-3"/>
          <w:sz w:val="21"/>
        </w:rPr>
        <w:t> </w:t>
      </w:r>
      <w:r>
        <w:rPr>
          <w:sz w:val="21"/>
        </w:rPr>
        <w:t>is</w:t>
      </w:r>
      <w:r>
        <w:rPr>
          <w:spacing w:val="-4"/>
          <w:sz w:val="21"/>
        </w:rPr>
        <w:t> </w:t>
      </w:r>
      <w:r>
        <w:rPr>
          <w:sz w:val="21"/>
        </w:rPr>
        <w:t>an </w:t>
      </w:r>
      <w:bookmarkStart w:name="_bookmark418" w:id="651"/>
      <w:bookmarkEnd w:id="651"/>
      <w:r>
        <w:rPr>
          <w:sz w:val="21"/>
        </w:rPr>
      </w:r>
      <w:bookmarkStart w:name="_bookmark419" w:id="652"/>
      <w:bookmarkEnd w:id="652"/>
      <w:r>
        <w:rPr>
          <w:sz w:val="21"/>
        </w:rPr>
        <w:t>ur</w:t>
      </w:r>
      <w:r>
        <w:rPr>
          <w:sz w:val="21"/>
        </w:rPr>
        <w:t>gent need for comprehensive reform and more inclusive, equitable treatment practices. Further, enhanced</w:t>
      </w:r>
      <w:r>
        <w:rPr>
          <w:spacing w:val="-4"/>
          <w:sz w:val="21"/>
        </w:rPr>
        <w:t> </w:t>
      </w:r>
      <w:r>
        <w:rPr>
          <w:sz w:val="21"/>
        </w:rPr>
        <w:t>SOGI</w:t>
      </w:r>
      <w:r>
        <w:rPr>
          <w:spacing w:val="-4"/>
          <w:sz w:val="21"/>
        </w:rPr>
        <w:t> </w:t>
      </w:r>
      <w:r>
        <w:rPr>
          <w:sz w:val="21"/>
        </w:rPr>
        <w:t>data</w:t>
      </w:r>
      <w:r>
        <w:rPr>
          <w:spacing w:val="-4"/>
          <w:sz w:val="21"/>
        </w:rPr>
        <w:t> </w:t>
      </w:r>
      <w:r>
        <w:rPr>
          <w:sz w:val="21"/>
        </w:rPr>
        <w:t>recording</w:t>
      </w:r>
      <w:r>
        <w:rPr>
          <w:spacing w:val="-5"/>
          <w:sz w:val="21"/>
        </w:rPr>
        <w:t> </w:t>
      </w:r>
      <w:r>
        <w:rPr>
          <w:sz w:val="21"/>
        </w:rPr>
        <w:t>is</w:t>
      </w:r>
      <w:r>
        <w:rPr>
          <w:spacing w:val="-5"/>
          <w:sz w:val="21"/>
        </w:rPr>
        <w:t> </w:t>
      </w:r>
      <w:r>
        <w:rPr>
          <w:sz w:val="21"/>
        </w:rPr>
        <w:t>needed</w:t>
      </w:r>
      <w:r>
        <w:rPr>
          <w:spacing w:val="-4"/>
          <w:sz w:val="21"/>
        </w:rPr>
        <w:t> </w:t>
      </w:r>
      <w:r>
        <w:rPr>
          <w:sz w:val="21"/>
        </w:rPr>
        <w:t>to</w:t>
      </w:r>
      <w:r>
        <w:rPr>
          <w:spacing w:val="-4"/>
          <w:sz w:val="21"/>
        </w:rPr>
        <w:t> </w:t>
      </w:r>
      <w:r>
        <w:rPr>
          <w:sz w:val="21"/>
        </w:rPr>
        <w:t>demonstrate</w:t>
      </w:r>
      <w:r>
        <w:rPr>
          <w:spacing w:val="-4"/>
          <w:sz w:val="21"/>
        </w:rPr>
        <w:t> </w:t>
      </w:r>
      <w:r>
        <w:rPr>
          <w:sz w:val="21"/>
        </w:rPr>
        <w:t>the</w:t>
      </w:r>
      <w:r>
        <w:rPr>
          <w:spacing w:val="-4"/>
          <w:sz w:val="21"/>
        </w:rPr>
        <w:t> </w:t>
      </w:r>
      <w:r>
        <w:rPr>
          <w:sz w:val="21"/>
        </w:rPr>
        <w:t>experiences</w:t>
      </w:r>
      <w:r>
        <w:rPr>
          <w:spacing w:val="-5"/>
          <w:sz w:val="21"/>
        </w:rPr>
        <w:t> </w:t>
      </w:r>
      <w:r>
        <w:rPr>
          <w:sz w:val="21"/>
        </w:rPr>
        <w:t>of</w:t>
      </w:r>
      <w:r>
        <w:rPr>
          <w:spacing w:val="-5"/>
          <w:sz w:val="21"/>
        </w:rPr>
        <w:t> </w:t>
      </w:r>
      <w:r>
        <w:rPr>
          <w:sz w:val="21"/>
        </w:rPr>
        <w:t>LGBTQ</w:t>
      </w:r>
      <w:r>
        <w:rPr>
          <w:spacing w:val="-4"/>
          <w:sz w:val="21"/>
        </w:rPr>
        <w:t> </w:t>
      </w:r>
      <w:r>
        <w:rPr>
          <w:sz w:val="21"/>
        </w:rPr>
        <w:t>youth</w:t>
      </w:r>
      <w:r>
        <w:rPr>
          <w:spacing w:val="-4"/>
          <w:sz w:val="21"/>
        </w:rPr>
        <w:t> </w:t>
      </w:r>
      <w:r>
        <w:rPr>
          <w:sz w:val="21"/>
        </w:rPr>
        <w:t>in</w:t>
      </w:r>
      <w:r>
        <w:rPr>
          <w:spacing w:val="-4"/>
          <w:sz w:val="21"/>
        </w:rPr>
        <w:t> </w:t>
      </w:r>
      <w:r>
        <w:rPr>
          <w:sz w:val="21"/>
        </w:rPr>
        <w:t>both</w:t>
      </w:r>
      <w:r>
        <w:rPr>
          <w:spacing w:val="-4"/>
          <w:sz w:val="21"/>
        </w:rPr>
        <w:t> </w:t>
      </w:r>
      <w:r>
        <w:rPr>
          <w:sz w:val="21"/>
        </w:rPr>
        <w:t>systems.</w:t>
      </w:r>
    </w:p>
    <w:p>
      <w:pPr>
        <w:spacing w:before="238"/>
        <w:ind w:left="464" w:right="0" w:firstLine="0"/>
        <w:jc w:val="both"/>
        <w:rPr>
          <w:sz w:val="28"/>
        </w:rPr>
      </w:pPr>
      <w:bookmarkStart w:name="Progress in Massachusetts on Juvenile Le" w:id="653"/>
      <w:bookmarkEnd w:id="653"/>
      <w:r>
        <w:rPr/>
      </w:r>
      <w:bookmarkStart w:name="_bookmark420" w:id="654"/>
      <w:bookmarkEnd w:id="654"/>
      <w:r>
        <w:rPr/>
      </w:r>
      <w:bookmarkStart w:name="_bookmark421" w:id="655"/>
      <w:bookmarkEnd w:id="655"/>
      <w:r>
        <w:rPr/>
      </w:r>
      <w:r>
        <w:rPr>
          <w:color w:val="365F91"/>
          <w:sz w:val="28"/>
        </w:rPr>
        <w:t>Progress</w:t>
      </w:r>
      <w:r>
        <w:rPr>
          <w:color w:val="365F91"/>
          <w:spacing w:val="-11"/>
          <w:sz w:val="28"/>
        </w:rPr>
        <w:t> </w:t>
      </w:r>
      <w:r>
        <w:rPr>
          <w:color w:val="365F91"/>
          <w:sz w:val="28"/>
        </w:rPr>
        <w:t>in</w:t>
      </w:r>
      <w:r>
        <w:rPr>
          <w:color w:val="365F91"/>
          <w:spacing w:val="-10"/>
          <w:sz w:val="28"/>
        </w:rPr>
        <w:t> </w:t>
      </w:r>
      <w:r>
        <w:rPr>
          <w:color w:val="365F91"/>
          <w:sz w:val="28"/>
        </w:rPr>
        <w:t>Massachusetts</w:t>
      </w:r>
      <w:r>
        <w:rPr>
          <w:color w:val="365F91"/>
          <w:spacing w:val="-9"/>
          <w:sz w:val="28"/>
        </w:rPr>
        <w:t> </w:t>
      </w:r>
      <w:r>
        <w:rPr>
          <w:color w:val="365F91"/>
          <w:sz w:val="28"/>
        </w:rPr>
        <w:t>on</w:t>
      </w:r>
      <w:r>
        <w:rPr>
          <w:color w:val="365F91"/>
          <w:spacing w:val="-10"/>
          <w:sz w:val="28"/>
        </w:rPr>
        <w:t> </w:t>
      </w:r>
      <w:r>
        <w:rPr>
          <w:color w:val="365F91"/>
          <w:sz w:val="28"/>
        </w:rPr>
        <w:t>Juvenile</w:t>
      </w:r>
      <w:r>
        <w:rPr>
          <w:color w:val="365F91"/>
          <w:spacing w:val="-10"/>
          <w:sz w:val="28"/>
        </w:rPr>
        <w:t> </w:t>
      </w:r>
      <w:r>
        <w:rPr>
          <w:color w:val="365F91"/>
          <w:sz w:val="28"/>
        </w:rPr>
        <w:t>Legal</w:t>
      </w:r>
      <w:r>
        <w:rPr>
          <w:color w:val="365F91"/>
          <w:spacing w:val="-9"/>
          <w:sz w:val="28"/>
        </w:rPr>
        <w:t> </w:t>
      </w:r>
      <w:r>
        <w:rPr>
          <w:color w:val="365F91"/>
          <w:spacing w:val="-2"/>
          <w:sz w:val="28"/>
        </w:rPr>
        <w:t>System</w:t>
      </w:r>
    </w:p>
    <w:p>
      <w:pPr>
        <w:pStyle w:val="BodyText"/>
        <w:rPr>
          <w:sz w:val="28"/>
        </w:rPr>
      </w:pPr>
    </w:p>
    <w:p>
      <w:pPr>
        <w:pStyle w:val="BodyText"/>
        <w:spacing w:before="93"/>
        <w:rPr>
          <w:sz w:val="28"/>
        </w:rPr>
      </w:pPr>
    </w:p>
    <w:p>
      <w:pPr>
        <w:spacing w:line="276" w:lineRule="auto" w:before="0"/>
        <w:ind w:left="464" w:right="238" w:firstLine="0"/>
        <w:jc w:val="both"/>
        <w:rPr>
          <w:sz w:val="21"/>
        </w:rPr>
      </w:pPr>
      <w:bookmarkStart w:name="_bookmark422" w:id="656"/>
      <w:bookmarkEnd w:id="656"/>
      <w:r>
        <w:rPr/>
      </w:r>
      <w:bookmarkStart w:name="_bookmark423" w:id="657"/>
      <w:bookmarkEnd w:id="657"/>
      <w:r>
        <w:rPr/>
      </w:r>
      <w:r>
        <w:rPr>
          <w:sz w:val="21"/>
        </w:rPr>
        <w:t>In</w:t>
      </w:r>
      <w:r>
        <w:rPr>
          <w:spacing w:val="-12"/>
          <w:sz w:val="21"/>
        </w:rPr>
        <w:t> </w:t>
      </w:r>
      <w:r>
        <w:rPr>
          <w:sz w:val="21"/>
        </w:rPr>
        <w:t>April</w:t>
      </w:r>
      <w:r>
        <w:rPr>
          <w:spacing w:val="-12"/>
          <w:sz w:val="21"/>
        </w:rPr>
        <w:t> </w:t>
      </w:r>
      <w:r>
        <w:rPr>
          <w:sz w:val="21"/>
        </w:rPr>
        <w:t>2018,</w:t>
      </w:r>
      <w:r>
        <w:rPr>
          <w:spacing w:val="-12"/>
          <w:sz w:val="21"/>
        </w:rPr>
        <w:t> </w:t>
      </w:r>
      <w:r>
        <w:rPr>
          <w:sz w:val="21"/>
        </w:rPr>
        <w:t>Massachusetts</w:t>
      </w:r>
      <w:r>
        <w:rPr>
          <w:spacing w:val="-12"/>
          <w:sz w:val="21"/>
        </w:rPr>
        <w:t> </w:t>
      </w:r>
      <w:r>
        <w:rPr>
          <w:sz w:val="21"/>
        </w:rPr>
        <w:t>undertook</w:t>
      </w:r>
      <w:r>
        <w:rPr>
          <w:spacing w:val="-12"/>
          <w:sz w:val="21"/>
        </w:rPr>
        <w:t> </w:t>
      </w:r>
      <w:r>
        <w:rPr>
          <w:sz w:val="21"/>
        </w:rPr>
        <w:t>a</w:t>
      </w:r>
      <w:r>
        <w:rPr>
          <w:spacing w:val="-12"/>
          <w:sz w:val="21"/>
        </w:rPr>
        <w:t> </w:t>
      </w:r>
      <w:r>
        <w:rPr>
          <w:sz w:val="21"/>
        </w:rPr>
        <w:t>significant</w:t>
      </w:r>
      <w:r>
        <w:rPr>
          <w:spacing w:val="-12"/>
          <w:sz w:val="21"/>
        </w:rPr>
        <w:t> </w:t>
      </w:r>
      <w:r>
        <w:rPr>
          <w:sz w:val="21"/>
        </w:rPr>
        <w:t>step</w:t>
      </w:r>
      <w:r>
        <w:rPr>
          <w:spacing w:val="-11"/>
          <w:sz w:val="21"/>
        </w:rPr>
        <w:t> </w:t>
      </w:r>
      <w:r>
        <w:rPr>
          <w:sz w:val="21"/>
        </w:rPr>
        <w:t>in</w:t>
      </w:r>
      <w:r>
        <w:rPr>
          <w:spacing w:val="-12"/>
          <w:sz w:val="21"/>
        </w:rPr>
        <w:t> </w:t>
      </w:r>
      <w:r>
        <w:rPr>
          <w:sz w:val="21"/>
        </w:rPr>
        <w:t>reforming</w:t>
      </w:r>
      <w:r>
        <w:rPr>
          <w:spacing w:val="-12"/>
          <w:sz w:val="21"/>
        </w:rPr>
        <w:t> </w:t>
      </w:r>
      <w:r>
        <w:rPr>
          <w:sz w:val="21"/>
        </w:rPr>
        <w:t>its</w:t>
      </w:r>
      <w:r>
        <w:rPr>
          <w:spacing w:val="-12"/>
          <w:sz w:val="21"/>
        </w:rPr>
        <w:t> </w:t>
      </w:r>
      <w:r>
        <w:rPr>
          <w:sz w:val="21"/>
        </w:rPr>
        <w:t>juvenile</w:t>
      </w:r>
      <w:r>
        <w:rPr>
          <w:spacing w:val="-12"/>
          <w:sz w:val="21"/>
        </w:rPr>
        <w:t> </w:t>
      </w:r>
      <w:r>
        <w:rPr>
          <w:sz w:val="21"/>
        </w:rPr>
        <w:t>and</w:t>
      </w:r>
      <w:r>
        <w:rPr>
          <w:spacing w:val="-12"/>
          <w:sz w:val="21"/>
        </w:rPr>
        <w:t> </w:t>
      </w:r>
      <w:r>
        <w:rPr>
          <w:sz w:val="21"/>
        </w:rPr>
        <w:t>criminal</w:t>
      </w:r>
      <w:r>
        <w:rPr>
          <w:spacing w:val="-12"/>
          <w:sz w:val="21"/>
        </w:rPr>
        <w:t> </w:t>
      </w:r>
      <w:r>
        <w:rPr>
          <w:sz w:val="21"/>
        </w:rPr>
        <w:t>legal</w:t>
      </w:r>
      <w:r>
        <w:rPr>
          <w:spacing w:val="-12"/>
          <w:sz w:val="21"/>
        </w:rPr>
        <w:t> </w:t>
      </w:r>
      <w:r>
        <w:rPr>
          <w:sz w:val="21"/>
        </w:rPr>
        <w:t>systems </w:t>
      </w:r>
      <w:bookmarkStart w:name="_bookmark424" w:id="658"/>
      <w:bookmarkEnd w:id="658"/>
      <w:r>
        <w:rPr>
          <w:sz w:val="21"/>
        </w:rPr>
        <w:t>w</w:t>
      </w:r>
      <w:r>
        <w:rPr>
          <w:sz w:val="21"/>
        </w:rPr>
        <w:t>ith</w:t>
      </w:r>
      <w:r>
        <w:rPr>
          <w:spacing w:val="-3"/>
          <w:sz w:val="21"/>
        </w:rPr>
        <w:t> </w:t>
      </w:r>
      <w:r>
        <w:rPr>
          <w:sz w:val="21"/>
        </w:rPr>
        <w:t>the</w:t>
      </w:r>
      <w:r>
        <w:rPr>
          <w:spacing w:val="-3"/>
          <w:sz w:val="21"/>
        </w:rPr>
        <w:t> </w:t>
      </w:r>
      <w:r>
        <w:rPr>
          <w:sz w:val="21"/>
        </w:rPr>
        <w:t>enactment</w:t>
      </w:r>
      <w:r>
        <w:rPr>
          <w:spacing w:val="-3"/>
          <w:sz w:val="21"/>
        </w:rPr>
        <w:t> </w:t>
      </w:r>
      <w:r>
        <w:rPr>
          <w:sz w:val="21"/>
        </w:rPr>
        <w:t>of</w:t>
      </w:r>
      <w:r>
        <w:rPr>
          <w:spacing w:val="-3"/>
          <w:sz w:val="21"/>
        </w:rPr>
        <w:t> </w:t>
      </w:r>
      <w:r>
        <w:rPr>
          <w:sz w:val="21"/>
        </w:rPr>
        <w:t>a</w:t>
      </w:r>
      <w:r>
        <w:rPr>
          <w:spacing w:val="-4"/>
          <w:sz w:val="21"/>
        </w:rPr>
        <w:t> </w:t>
      </w:r>
      <w:r>
        <w:rPr>
          <w:sz w:val="21"/>
        </w:rPr>
        <w:t>comprehensive</w:t>
      </w:r>
      <w:r>
        <w:rPr>
          <w:spacing w:val="-3"/>
          <w:sz w:val="21"/>
        </w:rPr>
        <w:t> </w:t>
      </w:r>
      <w:r>
        <w:rPr>
          <w:sz w:val="21"/>
        </w:rPr>
        <w:t>criminal</w:t>
      </w:r>
      <w:r>
        <w:rPr>
          <w:spacing w:val="-3"/>
          <w:sz w:val="21"/>
        </w:rPr>
        <w:t> </w:t>
      </w:r>
      <w:r>
        <w:rPr>
          <w:sz w:val="21"/>
        </w:rPr>
        <w:t>reform</w:t>
      </w:r>
      <w:r>
        <w:rPr>
          <w:spacing w:val="-3"/>
          <w:sz w:val="21"/>
        </w:rPr>
        <w:t> </w:t>
      </w:r>
      <w:r>
        <w:rPr>
          <w:sz w:val="21"/>
        </w:rPr>
        <w:t>package.</w:t>
      </w:r>
      <w:r>
        <w:rPr>
          <w:spacing w:val="-3"/>
          <w:sz w:val="21"/>
        </w:rPr>
        <w:t> </w:t>
      </w:r>
      <w:r>
        <w:rPr>
          <w:sz w:val="21"/>
        </w:rPr>
        <w:t>This</w:t>
      </w:r>
      <w:r>
        <w:rPr>
          <w:spacing w:val="-3"/>
          <w:sz w:val="21"/>
        </w:rPr>
        <w:t> </w:t>
      </w:r>
      <w:r>
        <w:rPr>
          <w:sz w:val="21"/>
        </w:rPr>
        <w:t>legislation</w:t>
      </w:r>
      <w:r>
        <w:rPr>
          <w:spacing w:val="-3"/>
          <w:sz w:val="21"/>
        </w:rPr>
        <w:t> </w:t>
      </w:r>
      <w:r>
        <w:rPr>
          <w:sz w:val="21"/>
        </w:rPr>
        <w:t>holds</w:t>
      </w:r>
      <w:r>
        <w:rPr>
          <w:spacing w:val="-4"/>
          <w:sz w:val="21"/>
        </w:rPr>
        <w:t> </w:t>
      </w:r>
      <w:r>
        <w:rPr>
          <w:sz w:val="21"/>
        </w:rPr>
        <w:t>promise</w:t>
      </w:r>
      <w:r>
        <w:rPr>
          <w:spacing w:val="-3"/>
          <w:sz w:val="21"/>
        </w:rPr>
        <w:t> </w:t>
      </w:r>
      <w:r>
        <w:rPr>
          <w:sz w:val="21"/>
        </w:rPr>
        <w:t>for</w:t>
      </w:r>
      <w:r>
        <w:rPr>
          <w:spacing w:val="-3"/>
          <w:sz w:val="21"/>
        </w:rPr>
        <w:t> </w:t>
      </w:r>
      <w:r>
        <w:rPr>
          <w:sz w:val="21"/>
        </w:rPr>
        <w:t>LGBTQ </w:t>
      </w:r>
      <w:bookmarkStart w:name="_bookmark425" w:id="659"/>
      <w:bookmarkEnd w:id="659"/>
      <w:r>
        <w:rPr>
          <w:sz w:val="21"/>
        </w:rPr>
        <w:t>y</w:t>
      </w:r>
      <w:r>
        <w:rPr>
          <w:sz w:val="21"/>
        </w:rPr>
        <w:t>outh,</w:t>
      </w:r>
      <w:r>
        <w:rPr>
          <w:spacing w:val="-4"/>
          <w:sz w:val="21"/>
        </w:rPr>
        <w:t> </w:t>
      </w:r>
      <w:r>
        <w:rPr>
          <w:sz w:val="21"/>
        </w:rPr>
        <w:t>who</w:t>
      </w:r>
      <w:r>
        <w:rPr>
          <w:spacing w:val="-6"/>
          <w:sz w:val="21"/>
        </w:rPr>
        <w:t> </w:t>
      </w:r>
      <w:r>
        <w:rPr>
          <w:sz w:val="21"/>
        </w:rPr>
        <w:t>face</w:t>
      </w:r>
      <w:r>
        <w:rPr>
          <w:spacing w:val="-4"/>
          <w:sz w:val="21"/>
        </w:rPr>
        <w:t> </w:t>
      </w:r>
      <w:r>
        <w:rPr>
          <w:sz w:val="21"/>
        </w:rPr>
        <w:t>disproportionate</w:t>
      </w:r>
      <w:r>
        <w:rPr>
          <w:spacing w:val="-4"/>
          <w:sz w:val="21"/>
        </w:rPr>
        <w:t> </w:t>
      </w:r>
      <w:r>
        <w:rPr>
          <w:sz w:val="21"/>
        </w:rPr>
        <w:t>challenges</w:t>
      </w:r>
      <w:r>
        <w:rPr>
          <w:spacing w:val="-5"/>
          <w:sz w:val="21"/>
        </w:rPr>
        <w:t> </w:t>
      </w:r>
      <w:r>
        <w:rPr>
          <w:sz w:val="21"/>
        </w:rPr>
        <w:t>within</w:t>
      </w:r>
      <w:r>
        <w:rPr>
          <w:spacing w:val="-4"/>
          <w:sz w:val="21"/>
        </w:rPr>
        <w:t> </w:t>
      </w:r>
      <w:r>
        <w:rPr>
          <w:sz w:val="21"/>
        </w:rPr>
        <w:t>these</w:t>
      </w:r>
      <w:r>
        <w:rPr>
          <w:spacing w:val="-4"/>
          <w:sz w:val="21"/>
        </w:rPr>
        <w:t> </w:t>
      </w:r>
      <w:r>
        <w:rPr>
          <w:sz w:val="21"/>
        </w:rPr>
        <w:t>systems.</w:t>
      </w:r>
      <w:hyperlink w:history="true" w:anchor="_bookmark441">
        <w:r>
          <w:rPr>
            <w:sz w:val="21"/>
            <w:vertAlign w:val="superscript"/>
          </w:rPr>
          <w:t>125</w:t>
        </w:r>
      </w:hyperlink>
      <w:r>
        <w:rPr>
          <w:spacing w:val="-2"/>
          <w:sz w:val="21"/>
          <w:vertAlign w:val="baseline"/>
        </w:rPr>
        <w:t> </w:t>
      </w:r>
      <w:r>
        <w:rPr>
          <w:sz w:val="21"/>
          <w:vertAlign w:val="baseline"/>
        </w:rPr>
        <w:t>A</w:t>
      </w:r>
      <w:r>
        <w:rPr>
          <w:spacing w:val="-5"/>
          <w:sz w:val="21"/>
          <w:vertAlign w:val="baseline"/>
        </w:rPr>
        <w:t> </w:t>
      </w:r>
      <w:r>
        <w:rPr>
          <w:sz w:val="21"/>
          <w:vertAlign w:val="baseline"/>
        </w:rPr>
        <w:t>critical</w:t>
      </w:r>
      <w:r>
        <w:rPr>
          <w:spacing w:val="-5"/>
          <w:sz w:val="21"/>
          <w:vertAlign w:val="baseline"/>
        </w:rPr>
        <w:t> </w:t>
      </w:r>
      <w:r>
        <w:rPr>
          <w:sz w:val="21"/>
          <w:vertAlign w:val="baseline"/>
        </w:rPr>
        <w:t>feature</w:t>
      </w:r>
      <w:r>
        <w:rPr>
          <w:spacing w:val="-4"/>
          <w:sz w:val="21"/>
          <w:vertAlign w:val="baseline"/>
        </w:rPr>
        <w:t> </w:t>
      </w:r>
      <w:r>
        <w:rPr>
          <w:sz w:val="21"/>
          <w:vertAlign w:val="baseline"/>
        </w:rPr>
        <w:t>of</w:t>
      </w:r>
      <w:r>
        <w:rPr>
          <w:spacing w:val="-5"/>
          <w:sz w:val="21"/>
          <w:vertAlign w:val="baseline"/>
        </w:rPr>
        <w:t> </w:t>
      </w:r>
      <w:r>
        <w:rPr>
          <w:sz w:val="21"/>
          <w:vertAlign w:val="baseline"/>
        </w:rPr>
        <w:t>this</w:t>
      </w:r>
      <w:r>
        <w:rPr>
          <w:spacing w:val="-5"/>
          <w:sz w:val="21"/>
          <w:vertAlign w:val="baseline"/>
        </w:rPr>
        <w:t> </w:t>
      </w:r>
      <w:r>
        <w:rPr>
          <w:sz w:val="21"/>
          <w:vertAlign w:val="baseline"/>
        </w:rPr>
        <w:t>reform</w:t>
      </w:r>
      <w:r>
        <w:rPr>
          <w:spacing w:val="-4"/>
          <w:sz w:val="21"/>
          <w:vertAlign w:val="baseline"/>
        </w:rPr>
        <w:t> </w:t>
      </w:r>
      <w:r>
        <w:rPr>
          <w:sz w:val="21"/>
          <w:vertAlign w:val="baseline"/>
        </w:rPr>
        <w:t>is</w:t>
      </w:r>
      <w:r>
        <w:rPr>
          <w:spacing w:val="-5"/>
          <w:sz w:val="21"/>
          <w:vertAlign w:val="baseline"/>
        </w:rPr>
        <w:t> </w:t>
      </w:r>
      <w:r>
        <w:rPr>
          <w:sz w:val="21"/>
          <w:vertAlign w:val="baseline"/>
        </w:rPr>
        <w:t>the </w:t>
      </w:r>
      <w:bookmarkStart w:name="_bookmark426" w:id="660"/>
      <w:bookmarkEnd w:id="660"/>
      <w:r>
        <w:rPr>
          <w:sz w:val="21"/>
          <w:vertAlign w:val="baseline"/>
        </w:rPr>
        <w:t>d</w:t>
      </w:r>
      <w:r>
        <w:rPr>
          <w:sz w:val="21"/>
          <w:vertAlign w:val="baseline"/>
        </w:rPr>
        <w:t>ecriminalization of non-violent, school-based offenses, a change that directly benefits LGBTQ students. </w:t>
      </w:r>
      <w:bookmarkStart w:name="_bookmark427" w:id="661"/>
      <w:bookmarkEnd w:id="661"/>
      <w:r>
        <w:rPr>
          <w:sz w:val="21"/>
          <w:vertAlign w:val="baseline"/>
        </w:rPr>
      </w:r>
      <w:bookmarkStart w:name="_bookmark428" w:id="662"/>
      <w:bookmarkEnd w:id="662"/>
      <w:r>
        <w:rPr>
          <w:sz w:val="21"/>
          <w:vertAlign w:val="baseline"/>
        </w:rPr>
        <w:t>T</w:t>
      </w:r>
      <w:r>
        <w:rPr>
          <w:sz w:val="21"/>
          <w:vertAlign w:val="baseline"/>
        </w:rPr>
        <w:t>hese students are notably more susceptible to severe disciplinary actions in school settings compared to their heterosexual and cisgender counterparts, with evidence suggesting they are three times as likely to face such consequences. By decriminalizing non-violent acts, the legislation aims to disrupt the school-to- </w:t>
      </w:r>
      <w:bookmarkStart w:name="_bookmark429" w:id="663"/>
      <w:bookmarkEnd w:id="663"/>
      <w:r>
        <w:rPr>
          <w:sz w:val="21"/>
          <w:vertAlign w:val="baseline"/>
        </w:rPr>
        <w:t>p</w:t>
      </w:r>
      <w:r>
        <w:rPr>
          <w:sz w:val="21"/>
          <w:vertAlign w:val="baseline"/>
        </w:rPr>
        <w:t>rison pipeline that particularly threatens LGBTQ youth of color.</w:t>
      </w:r>
    </w:p>
    <w:p>
      <w:pPr>
        <w:spacing w:line="276" w:lineRule="auto" w:before="240"/>
        <w:ind w:left="464" w:right="239" w:firstLine="0"/>
        <w:jc w:val="both"/>
        <w:rPr>
          <w:sz w:val="21"/>
        </w:rPr>
      </w:pPr>
      <w:r>
        <w:rPr>
          <w:sz w:val="21"/>
        </w:rPr>
        <w:t>The reform package offers mechanisms for diverting cases from the criminal legal system before </w:t>
      </w:r>
      <w:bookmarkStart w:name="_bookmark430" w:id="664"/>
      <w:bookmarkEnd w:id="664"/>
      <w:r>
        <w:rPr>
          <w:sz w:val="21"/>
        </w:rPr>
        <w:t>ar</w:t>
      </w:r>
      <w:r>
        <w:rPr>
          <w:sz w:val="21"/>
        </w:rPr>
        <w:t>raignment, thereby preventing formal court processing and the subsequent creation of a juvenile </w:t>
      </w:r>
      <w:bookmarkStart w:name="_bookmark431" w:id="665"/>
      <w:bookmarkEnd w:id="665"/>
      <w:r>
        <w:rPr>
          <w:sz w:val="21"/>
        </w:rPr>
        <w:t>r</w:t>
      </w:r>
      <w:r>
        <w:rPr>
          <w:sz w:val="21"/>
        </w:rPr>
        <w:t>ecord.</w:t>
      </w:r>
      <w:hyperlink w:history="true" w:anchor="_bookmark442">
        <w:r>
          <w:rPr>
            <w:sz w:val="21"/>
            <w:vertAlign w:val="superscript"/>
          </w:rPr>
          <w:t>126</w:t>
        </w:r>
      </w:hyperlink>
      <w:r>
        <w:rPr>
          <w:spacing w:val="-2"/>
          <w:sz w:val="21"/>
          <w:vertAlign w:val="baseline"/>
        </w:rPr>
        <w:t> </w:t>
      </w:r>
      <w:r>
        <w:rPr>
          <w:sz w:val="21"/>
          <w:vertAlign w:val="baseline"/>
        </w:rPr>
        <w:t>This approach is pivotal for LGBTQ youth, who are already more vulnerable to dropping out of high school due to stigma, discrimination, and harassment. By channeling youth towards rehabilitation, treatment, and other supportive services, the reforms seek to reduce recidivism and avert further harm. Furthermore, the reforms address the disproportionate incarceration rates and the conditions of confinement for LGBTQ youth. The legislation codifies the prohibition of solitary confinement for LGBTQ</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9" w:firstLine="0"/>
        <w:jc w:val="both"/>
        <w:rPr>
          <w:sz w:val="21"/>
        </w:rPr>
      </w:pPr>
      <w:r>
        <w:rPr>
          <w:sz w:val="21"/>
        </w:rPr>
        <w:t>individuals and allows for the expungement of non-serious offenses committed before the age of 21.</w:t>
      </w:r>
      <w:hyperlink w:history="true" w:anchor="_bookmark443">
        <w:r>
          <w:rPr>
            <w:sz w:val="21"/>
            <w:vertAlign w:val="superscript"/>
          </w:rPr>
          <w:t>127</w:t>
        </w:r>
      </w:hyperlink>
      <w:r>
        <w:rPr>
          <w:sz w:val="21"/>
          <w:vertAlign w:val="baseline"/>
        </w:rPr>
        <w:t> </w:t>
      </w:r>
      <w:bookmarkStart w:name="_bookmark432" w:id="666"/>
      <w:bookmarkEnd w:id="666"/>
      <w:r>
        <w:rPr>
          <w:sz w:val="21"/>
          <w:vertAlign w:val="baseline"/>
        </w:rPr>
        <w:t>G</w:t>
      </w:r>
      <w:r>
        <w:rPr>
          <w:sz w:val="21"/>
          <w:vertAlign w:val="baseline"/>
        </w:rPr>
        <w:t>iven that LGBTQ individuals face discrimination in employment, housing, and social services, mitigating the additional burden of a criminal record is a crucial step towards equality.</w:t>
      </w:r>
    </w:p>
    <w:p>
      <w:pPr>
        <w:spacing w:line="276" w:lineRule="auto" w:before="240"/>
        <w:ind w:left="463" w:right="239" w:firstLine="0"/>
        <w:jc w:val="both"/>
        <w:rPr>
          <w:sz w:val="21"/>
        </w:rPr>
      </w:pPr>
      <w:bookmarkStart w:name="_bookmark433" w:id="667"/>
      <w:bookmarkEnd w:id="667"/>
      <w:r>
        <w:rPr/>
      </w:r>
      <w:bookmarkStart w:name="_bookmark434" w:id="668"/>
      <w:bookmarkEnd w:id="668"/>
      <w:r>
        <w:rPr/>
      </w:r>
      <w:r>
        <w:rPr>
          <w:sz w:val="21"/>
        </w:rPr>
        <w:t>To enhance the health and safety of incarcerated LGBTQ individuals, the reform law established a special commission and created the Juvenile Justice Policy and Data Board.</w:t>
      </w:r>
      <w:r>
        <w:rPr>
          <w:spacing w:val="-12"/>
          <w:sz w:val="21"/>
        </w:rPr>
        <w:t> </w:t>
      </w:r>
      <w:hyperlink w:history="true" w:anchor="_bookmark444">
        <w:r>
          <w:rPr>
            <w:sz w:val="21"/>
            <w:vertAlign w:val="superscript"/>
          </w:rPr>
          <w:t>128</w:t>
        </w:r>
      </w:hyperlink>
      <w:r>
        <w:rPr>
          <w:sz w:val="21"/>
          <w:vertAlign w:val="baseline"/>
        </w:rPr>
        <w:t> These bodies are tasked with </w:t>
      </w:r>
      <w:bookmarkStart w:name="_bookmark435" w:id="669"/>
      <w:bookmarkEnd w:id="669"/>
      <w:r>
        <w:rPr>
          <w:sz w:val="21"/>
          <w:vertAlign w:val="baseline"/>
        </w:rPr>
        <w:t>e</w:t>
      </w:r>
      <w:r>
        <w:rPr>
          <w:sz w:val="21"/>
          <w:vertAlign w:val="baseline"/>
        </w:rPr>
        <w:t>valuating</w:t>
      </w:r>
      <w:r>
        <w:rPr>
          <w:spacing w:val="-1"/>
          <w:sz w:val="21"/>
          <w:vertAlign w:val="baseline"/>
        </w:rPr>
        <w:t> </w:t>
      </w:r>
      <w:r>
        <w:rPr>
          <w:sz w:val="21"/>
          <w:vertAlign w:val="baseline"/>
        </w:rPr>
        <w:t>the</w:t>
      </w:r>
      <w:r>
        <w:rPr>
          <w:spacing w:val="-2"/>
          <w:sz w:val="21"/>
          <w:vertAlign w:val="baseline"/>
        </w:rPr>
        <w:t> </w:t>
      </w:r>
      <w:r>
        <w:rPr>
          <w:sz w:val="21"/>
          <w:vertAlign w:val="baseline"/>
        </w:rPr>
        <w:t>juvenile</w:t>
      </w:r>
      <w:r>
        <w:rPr>
          <w:spacing w:val="-1"/>
          <w:sz w:val="21"/>
          <w:vertAlign w:val="baseline"/>
        </w:rPr>
        <w:t> </w:t>
      </w:r>
      <w:r>
        <w:rPr>
          <w:sz w:val="21"/>
          <w:vertAlign w:val="baseline"/>
        </w:rPr>
        <w:t>legal</w:t>
      </w:r>
      <w:r>
        <w:rPr>
          <w:spacing w:val="-2"/>
          <w:sz w:val="21"/>
          <w:vertAlign w:val="baseline"/>
        </w:rPr>
        <w:t> </w:t>
      </w:r>
      <w:r>
        <w:rPr>
          <w:sz w:val="21"/>
          <w:vertAlign w:val="baseline"/>
        </w:rPr>
        <w:t>system’s</w:t>
      </w:r>
      <w:r>
        <w:rPr>
          <w:spacing w:val="-1"/>
          <w:sz w:val="21"/>
          <w:vertAlign w:val="baseline"/>
        </w:rPr>
        <w:t> </w:t>
      </w:r>
      <w:r>
        <w:rPr>
          <w:sz w:val="21"/>
          <w:vertAlign w:val="baseline"/>
        </w:rPr>
        <w:t>policies, examining</w:t>
      </w:r>
      <w:r>
        <w:rPr>
          <w:spacing w:val="-1"/>
          <w:sz w:val="21"/>
          <w:vertAlign w:val="baseline"/>
        </w:rPr>
        <w:t> </w:t>
      </w:r>
      <w:r>
        <w:rPr>
          <w:sz w:val="21"/>
          <w:vertAlign w:val="baseline"/>
        </w:rPr>
        <w:t>the</w:t>
      </w:r>
      <w:r>
        <w:rPr>
          <w:spacing w:val="-2"/>
          <w:sz w:val="21"/>
          <w:vertAlign w:val="baseline"/>
        </w:rPr>
        <w:t> </w:t>
      </w:r>
      <w:r>
        <w:rPr>
          <w:sz w:val="21"/>
          <w:vertAlign w:val="baseline"/>
        </w:rPr>
        <w:t>potential</w:t>
      </w:r>
      <w:r>
        <w:rPr>
          <w:spacing w:val="-3"/>
          <w:sz w:val="21"/>
          <w:vertAlign w:val="baseline"/>
        </w:rPr>
        <w:t> </w:t>
      </w:r>
      <w:r>
        <w:rPr>
          <w:sz w:val="21"/>
          <w:vertAlign w:val="baseline"/>
        </w:rPr>
        <w:t>for improved</w:t>
      </w:r>
      <w:r>
        <w:rPr>
          <w:spacing w:val="-2"/>
          <w:sz w:val="21"/>
          <w:vertAlign w:val="baseline"/>
        </w:rPr>
        <w:t> </w:t>
      </w:r>
      <w:r>
        <w:rPr>
          <w:sz w:val="21"/>
          <w:vertAlign w:val="baseline"/>
        </w:rPr>
        <w:t>data</w:t>
      </w:r>
      <w:r>
        <w:rPr>
          <w:spacing w:val="-2"/>
          <w:sz w:val="21"/>
          <w:vertAlign w:val="baseline"/>
        </w:rPr>
        <w:t> </w:t>
      </w:r>
      <w:r>
        <w:rPr>
          <w:sz w:val="21"/>
          <w:vertAlign w:val="baseline"/>
        </w:rPr>
        <w:t>collection</w:t>
      </w:r>
      <w:r>
        <w:rPr>
          <w:spacing w:val="-1"/>
          <w:sz w:val="21"/>
          <w:vertAlign w:val="baseline"/>
        </w:rPr>
        <w:t> </w:t>
      </w:r>
      <w:r>
        <w:rPr>
          <w:sz w:val="21"/>
          <w:vertAlign w:val="baseline"/>
        </w:rPr>
        <w:t>across </w:t>
      </w:r>
      <w:bookmarkStart w:name="_bookmark436" w:id="670"/>
      <w:bookmarkEnd w:id="670"/>
      <w:r>
        <w:rPr>
          <w:sz w:val="21"/>
          <w:vertAlign w:val="baseline"/>
        </w:rPr>
        <w:t>a</w:t>
      </w:r>
      <w:r>
        <w:rPr>
          <w:sz w:val="21"/>
          <w:vertAlign w:val="baseline"/>
        </w:rPr>
        <w:t>gencies, and providing recommendations for implementing statutory changes. </w:t>
      </w:r>
      <w:hyperlink w:history="true" w:anchor="_bookmark445">
        <w:r>
          <w:rPr>
            <w:sz w:val="21"/>
            <w:vertAlign w:val="superscript"/>
          </w:rPr>
          <w:t>129</w:t>
        </w:r>
      </w:hyperlink>
      <w:r>
        <w:rPr>
          <w:sz w:val="21"/>
          <w:vertAlign w:val="baseline"/>
        </w:rPr>
        <w:t>With an emphasis on </w:t>
      </w:r>
      <w:bookmarkStart w:name="_bookmark437" w:id="671"/>
      <w:bookmarkEnd w:id="671"/>
      <w:r>
        <w:rPr>
          <w:sz w:val="21"/>
          <w:vertAlign w:val="baseline"/>
        </w:rPr>
        <w:t>co</w:t>
      </w:r>
      <w:r>
        <w:rPr>
          <w:sz w:val="21"/>
          <w:vertAlign w:val="baseline"/>
        </w:rPr>
        <w:t>llaboration, these initiatives aim to bolster services for LGBTQ youth and advise on best practices for collecting and reporting data concerning sexual orientation, gender identity, and expression. Despite the </w:t>
      </w:r>
      <w:bookmarkStart w:name="_bookmark438" w:id="672"/>
      <w:bookmarkEnd w:id="672"/>
      <w:r>
        <w:rPr>
          <w:sz w:val="21"/>
          <w:vertAlign w:val="baseline"/>
        </w:rPr>
        <w:t>r</w:t>
      </w:r>
      <w:r>
        <w:rPr>
          <w:sz w:val="21"/>
          <w:vertAlign w:val="baseline"/>
        </w:rPr>
        <w:t>eforms and the decreased number of youths in the juvenile legal system over time, disparities persist, </w:t>
      </w:r>
      <w:bookmarkStart w:name="_bookmark439" w:id="673"/>
      <w:bookmarkEnd w:id="673"/>
      <w:r>
        <w:rPr>
          <w:sz w:val="21"/>
          <w:vertAlign w:val="baseline"/>
        </w:rPr>
        <w:t>part</w:t>
      </w:r>
      <w:r>
        <w:rPr>
          <w:sz w:val="21"/>
          <w:vertAlign w:val="baseline"/>
        </w:rPr>
        <w:t>icularly among LGBTQ youth of color, who remain overrepresented.</w:t>
      </w:r>
      <w:hyperlink w:history="true" w:anchor="_bookmark446">
        <w:r>
          <w:rPr>
            <w:sz w:val="21"/>
            <w:vertAlign w:val="superscript"/>
          </w:rPr>
          <w:t>130</w:t>
        </w:r>
      </w:hyperlink>
      <w:r>
        <w:rPr>
          <w:spacing w:val="-2"/>
          <w:sz w:val="21"/>
          <w:vertAlign w:val="baseline"/>
        </w:rPr>
        <w:t> </w:t>
      </w:r>
      <w:r>
        <w:rPr>
          <w:sz w:val="21"/>
          <w:vertAlign w:val="baseline"/>
        </w:rPr>
        <w:t>This situation underscores the need</w:t>
      </w:r>
      <w:r>
        <w:rPr>
          <w:spacing w:val="-2"/>
          <w:sz w:val="21"/>
          <w:vertAlign w:val="baseline"/>
        </w:rPr>
        <w:t> </w:t>
      </w:r>
      <w:r>
        <w:rPr>
          <w:sz w:val="21"/>
          <w:vertAlign w:val="baseline"/>
        </w:rPr>
        <w:t>for</w:t>
      </w:r>
      <w:r>
        <w:rPr>
          <w:spacing w:val="-2"/>
          <w:sz w:val="21"/>
          <w:vertAlign w:val="baseline"/>
        </w:rPr>
        <w:t> </w:t>
      </w:r>
      <w:r>
        <w:rPr>
          <w:sz w:val="21"/>
          <w:vertAlign w:val="baseline"/>
        </w:rPr>
        <w:t>ongoing</w:t>
      </w:r>
      <w:r>
        <w:rPr>
          <w:spacing w:val="-2"/>
          <w:sz w:val="21"/>
          <w:vertAlign w:val="baseline"/>
        </w:rPr>
        <w:t> </w:t>
      </w:r>
      <w:r>
        <w:rPr>
          <w:sz w:val="21"/>
          <w:vertAlign w:val="baseline"/>
        </w:rPr>
        <w:t>attention</w:t>
      </w:r>
      <w:r>
        <w:rPr>
          <w:spacing w:val="-3"/>
          <w:sz w:val="21"/>
          <w:vertAlign w:val="baseline"/>
        </w:rPr>
        <w:t> </w:t>
      </w:r>
      <w:r>
        <w:rPr>
          <w:sz w:val="21"/>
          <w:vertAlign w:val="baseline"/>
        </w:rPr>
        <w:t>and</w:t>
      </w:r>
      <w:r>
        <w:rPr>
          <w:spacing w:val="-2"/>
          <w:sz w:val="21"/>
          <w:vertAlign w:val="baseline"/>
        </w:rPr>
        <w:t> </w:t>
      </w:r>
      <w:r>
        <w:rPr>
          <w:sz w:val="21"/>
          <w:vertAlign w:val="baseline"/>
        </w:rPr>
        <w:t>action</w:t>
      </w:r>
      <w:r>
        <w:rPr>
          <w:spacing w:val="-3"/>
          <w:sz w:val="21"/>
          <w:vertAlign w:val="baseline"/>
        </w:rPr>
        <w:t> </w:t>
      </w:r>
      <w:r>
        <w:rPr>
          <w:sz w:val="21"/>
          <w:vertAlign w:val="baseline"/>
        </w:rPr>
        <w:t>to</w:t>
      </w:r>
      <w:r>
        <w:rPr>
          <w:spacing w:val="-3"/>
          <w:sz w:val="21"/>
          <w:vertAlign w:val="baseline"/>
        </w:rPr>
        <w:t> </w:t>
      </w:r>
      <w:r>
        <w:rPr>
          <w:sz w:val="21"/>
          <w:vertAlign w:val="baseline"/>
        </w:rPr>
        <w:t>ensure</w:t>
      </w:r>
      <w:r>
        <w:rPr>
          <w:spacing w:val="-2"/>
          <w:sz w:val="21"/>
          <w:vertAlign w:val="baseline"/>
        </w:rPr>
        <w:t> </w:t>
      </w:r>
      <w:r>
        <w:rPr>
          <w:sz w:val="21"/>
          <w:vertAlign w:val="baseline"/>
        </w:rPr>
        <w:t>that</w:t>
      </w:r>
      <w:r>
        <w:rPr>
          <w:spacing w:val="-4"/>
          <w:sz w:val="21"/>
          <w:vertAlign w:val="baseline"/>
        </w:rPr>
        <w:t> </w:t>
      </w:r>
      <w:r>
        <w:rPr>
          <w:sz w:val="21"/>
          <w:vertAlign w:val="baseline"/>
        </w:rPr>
        <w:t>the</w:t>
      </w:r>
      <w:r>
        <w:rPr>
          <w:spacing w:val="-2"/>
          <w:sz w:val="21"/>
          <w:vertAlign w:val="baseline"/>
        </w:rPr>
        <w:t> </w:t>
      </w:r>
      <w:r>
        <w:rPr>
          <w:sz w:val="21"/>
          <w:vertAlign w:val="baseline"/>
        </w:rPr>
        <w:t>reforms</w:t>
      </w:r>
      <w:r>
        <w:rPr>
          <w:spacing w:val="-2"/>
          <w:sz w:val="21"/>
          <w:vertAlign w:val="baseline"/>
        </w:rPr>
        <w:t> </w:t>
      </w:r>
      <w:r>
        <w:rPr>
          <w:sz w:val="21"/>
          <w:vertAlign w:val="baseline"/>
        </w:rPr>
        <w:t>translate</w:t>
      </w:r>
      <w:r>
        <w:rPr>
          <w:spacing w:val="-2"/>
          <w:sz w:val="21"/>
          <w:vertAlign w:val="baseline"/>
        </w:rPr>
        <w:t> </w:t>
      </w:r>
      <w:r>
        <w:rPr>
          <w:sz w:val="21"/>
          <w:vertAlign w:val="baseline"/>
        </w:rPr>
        <w:t>into</w:t>
      </w:r>
      <w:r>
        <w:rPr>
          <w:spacing w:val="-3"/>
          <w:sz w:val="21"/>
          <w:vertAlign w:val="baseline"/>
        </w:rPr>
        <w:t> </w:t>
      </w:r>
      <w:r>
        <w:rPr>
          <w:sz w:val="21"/>
          <w:vertAlign w:val="baseline"/>
        </w:rPr>
        <w:t>meaningful</w:t>
      </w:r>
      <w:r>
        <w:rPr>
          <w:spacing w:val="-2"/>
          <w:sz w:val="21"/>
          <w:vertAlign w:val="baseline"/>
        </w:rPr>
        <w:t> </w:t>
      </w:r>
      <w:r>
        <w:rPr>
          <w:sz w:val="21"/>
          <w:vertAlign w:val="baseline"/>
        </w:rPr>
        <w:t>improvements </w:t>
      </w:r>
      <w:bookmarkStart w:name="_bookmark440" w:id="674"/>
      <w:bookmarkEnd w:id="674"/>
      <w:r>
        <w:rPr>
          <w:sz w:val="21"/>
          <w:vertAlign w:val="baseline"/>
        </w:rPr>
        <w:t>f</w:t>
      </w:r>
      <w:r>
        <w:rPr>
          <w:sz w:val="21"/>
          <w:vertAlign w:val="baseline"/>
        </w:rPr>
        <w:t>or all LGBTQ youth within Massachusetts's juvenile and criminal legal systems.</w:t>
      </w:r>
    </w:p>
    <w:p>
      <w:pPr>
        <w:spacing w:line="276" w:lineRule="auto" w:before="240"/>
        <w:ind w:left="463" w:right="238" w:firstLine="0"/>
        <w:jc w:val="both"/>
        <w:rPr>
          <w:sz w:val="21"/>
        </w:rPr>
      </w:pPr>
      <w:bookmarkStart w:name="_bookmark441" w:id="675"/>
      <w:bookmarkEnd w:id="675"/>
      <w:r>
        <w:rPr/>
      </w:r>
      <w:r>
        <w:rPr>
          <w:sz w:val="21"/>
        </w:rPr>
        <w:t>In December 2020, the legislature passed An Act Relative to Justice, Equity, and Accountability in Law Enforcement</w:t>
      </w:r>
      <w:r>
        <w:rPr>
          <w:spacing w:val="-11"/>
          <w:sz w:val="21"/>
        </w:rPr>
        <w:t> </w:t>
      </w:r>
      <w:r>
        <w:rPr>
          <w:sz w:val="21"/>
        </w:rPr>
        <w:t>in</w:t>
      </w:r>
      <w:r>
        <w:rPr>
          <w:spacing w:val="-11"/>
          <w:sz w:val="21"/>
        </w:rPr>
        <w:t> </w:t>
      </w:r>
      <w:r>
        <w:rPr>
          <w:sz w:val="21"/>
        </w:rPr>
        <w:t>the</w:t>
      </w:r>
      <w:r>
        <w:rPr>
          <w:spacing w:val="-12"/>
          <w:sz w:val="21"/>
        </w:rPr>
        <w:t> </w:t>
      </w:r>
      <w:r>
        <w:rPr>
          <w:sz w:val="21"/>
        </w:rPr>
        <w:t>Commonwealth,</w:t>
      </w:r>
      <w:r>
        <w:rPr>
          <w:spacing w:val="-11"/>
          <w:sz w:val="21"/>
        </w:rPr>
        <w:t> </w:t>
      </w:r>
      <w:r>
        <w:rPr>
          <w:sz w:val="21"/>
        </w:rPr>
        <w:t>marking</w:t>
      </w:r>
      <w:r>
        <w:rPr>
          <w:spacing w:val="-12"/>
          <w:sz w:val="21"/>
        </w:rPr>
        <w:t> </w:t>
      </w:r>
      <w:r>
        <w:rPr>
          <w:sz w:val="21"/>
        </w:rPr>
        <w:t>a</w:t>
      </w:r>
      <w:r>
        <w:rPr>
          <w:spacing w:val="-10"/>
          <w:sz w:val="21"/>
        </w:rPr>
        <w:t> </w:t>
      </w:r>
      <w:r>
        <w:rPr>
          <w:sz w:val="21"/>
        </w:rPr>
        <w:t>significant</w:t>
      </w:r>
      <w:r>
        <w:rPr>
          <w:spacing w:val="-11"/>
          <w:sz w:val="21"/>
        </w:rPr>
        <w:t> </w:t>
      </w:r>
      <w:r>
        <w:rPr>
          <w:sz w:val="21"/>
        </w:rPr>
        <w:t>step</w:t>
      </w:r>
      <w:r>
        <w:rPr>
          <w:spacing w:val="-12"/>
          <w:sz w:val="21"/>
        </w:rPr>
        <w:t> </w:t>
      </w:r>
      <w:r>
        <w:rPr>
          <w:sz w:val="21"/>
        </w:rPr>
        <w:t>toward</w:t>
      </w:r>
      <w:r>
        <w:rPr>
          <w:spacing w:val="-10"/>
          <w:sz w:val="21"/>
        </w:rPr>
        <w:t> </w:t>
      </w:r>
      <w:r>
        <w:rPr>
          <w:sz w:val="21"/>
        </w:rPr>
        <w:t>police</w:t>
      </w:r>
      <w:r>
        <w:rPr>
          <w:spacing w:val="-11"/>
          <w:sz w:val="21"/>
        </w:rPr>
        <w:t> </w:t>
      </w:r>
      <w:r>
        <w:rPr>
          <w:sz w:val="21"/>
        </w:rPr>
        <w:t>reform.</w:t>
      </w:r>
      <w:hyperlink w:history="true" w:anchor="_bookmark447">
        <w:r>
          <w:rPr>
            <w:sz w:val="21"/>
            <w:vertAlign w:val="superscript"/>
          </w:rPr>
          <w:t>131</w:t>
        </w:r>
      </w:hyperlink>
      <w:r>
        <w:rPr>
          <w:spacing w:val="-3"/>
          <w:sz w:val="21"/>
          <w:vertAlign w:val="baseline"/>
        </w:rPr>
        <w:t> </w:t>
      </w:r>
      <w:r>
        <w:rPr>
          <w:sz w:val="21"/>
          <w:vertAlign w:val="baseline"/>
        </w:rPr>
        <w:t>This</w:t>
      </w:r>
      <w:r>
        <w:rPr>
          <w:spacing w:val="-12"/>
          <w:sz w:val="21"/>
          <w:vertAlign w:val="baseline"/>
        </w:rPr>
        <w:t> </w:t>
      </w:r>
      <w:r>
        <w:rPr>
          <w:sz w:val="21"/>
          <w:vertAlign w:val="baseline"/>
        </w:rPr>
        <w:t>Act</w:t>
      </w:r>
      <w:r>
        <w:rPr>
          <w:spacing w:val="-10"/>
          <w:sz w:val="21"/>
          <w:vertAlign w:val="baseline"/>
        </w:rPr>
        <w:t> </w:t>
      </w:r>
      <w:r>
        <w:rPr>
          <w:sz w:val="21"/>
          <w:vertAlign w:val="baseline"/>
        </w:rPr>
        <w:t>establishes </w:t>
      </w:r>
      <w:bookmarkStart w:name="_bookmark442" w:id="676"/>
      <w:bookmarkEnd w:id="676"/>
      <w:r>
        <w:rPr>
          <w:sz w:val="21"/>
          <w:vertAlign w:val="baseline"/>
        </w:rPr>
        <w:t>a</w:t>
      </w:r>
      <w:r>
        <w:rPr>
          <w:sz w:val="21"/>
          <w:vertAlign w:val="baseline"/>
        </w:rPr>
        <w:t> new commission for the statewide certification of police officers, ties qualified immunity to decertification, introduces stricter facial recognition guidelines, creates a task force to examine body camera regulations, enhances use of force policies, and initiates investigations into structural racism, </w:t>
      </w:r>
      <w:bookmarkStart w:name="_bookmark443" w:id="677"/>
      <w:bookmarkEnd w:id="677"/>
      <w:r>
        <w:rPr>
          <w:sz w:val="21"/>
          <w:vertAlign w:val="baseline"/>
        </w:rPr>
      </w:r>
      <w:bookmarkStart w:name="_bookmark444" w:id="678"/>
      <w:bookmarkEnd w:id="678"/>
      <w:r>
        <w:rPr>
          <w:sz w:val="21"/>
          <w:vertAlign w:val="baseline"/>
        </w:rPr>
        <w:t>am</w:t>
      </w:r>
      <w:r>
        <w:rPr>
          <w:sz w:val="21"/>
          <w:vertAlign w:val="baseline"/>
        </w:rPr>
        <w:t>ong other measures.</w:t>
      </w:r>
      <w:hyperlink w:history="true" w:anchor="_bookmark448">
        <w:r>
          <w:rPr>
            <w:sz w:val="21"/>
            <w:vertAlign w:val="superscript"/>
          </w:rPr>
          <w:t>132</w:t>
        </w:r>
      </w:hyperlink>
      <w:r>
        <w:rPr>
          <w:spacing w:val="-2"/>
          <w:sz w:val="21"/>
          <w:vertAlign w:val="baseline"/>
        </w:rPr>
        <w:t> </w:t>
      </w:r>
      <w:r>
        <w:rPr>
          <w:sz w:val="21"/>
          <w:vertAlign w:val="baseline"/>
        </w:rPr>
        <w:t>Despite these advances, the legislation represents a compromise, and further </w:t>
      </w:r>
      <w:bookmarkStart w:name="_bookmark445" w:id="679"/>
      <w:bookmarkEnd w:id="679"/>
      <w:r>
        <w:rPr>
          <w:sz w:val="21"/>
          <w:vertAlign w:val="baseline"/>
        </w:rPr>
        <w:t>e</w:t>
      </w:r>
      <w:r>
        <w:rPr>
          <w:sz w:val="21"/>
          <w:vertAlign w:val="baseline"/>
        </w:rPr>
        <w:t>fforts</w:t>
      </w:r>
      <w:r>
        <w:rPr>
          <w:spacing w:val="-11"/>
          <w:sz w:val="21"/>
          <w:vertAlign w:val="baseline"/>
        </w:rPr>
        <w:t> </w:t>
      </w:r>
      <w:r>
        <w:rPr>
          <w:sz w:val="21"/>
          <w:vertAlign w:val="baseline"/>
        </w:rPr>
        <w:t>are</w:t>
      </w:r>
      <w:r>
        <w:rPr>
          <w:spacing w:val="-10"/>
          <w:sz w:val="21"/>
          <w:vertAlign w:val="baseline"/>
        </w:rPr>
        <w:t> </w:t>
      </w:r>
      <w:r>
        <w:rPr>
          <w:sz w:val="21"/>
          <w:vertAlign w:val="baseline"/>
        </w:rPr>
        <w:t>necessary</w:t>
      </w:r>
      <w:r>
        <w:rPr>
          <w:spacing w:val="-11"/>
          <w:sz w:val="21"/>
          <w:vertAlign w:val="baseline"/>
        </w:rPr>
        <w:t> </w:t>
      </w:r>
      <w:r>
        <w:rPr>
          <w:sz w:val="21"/>
          <w:vertAlign w:val="baseline"/>
        </w:rPr>
        <w:t>to</w:t>
      </w:r>
      <w:r>
        <w:rPr>
          <w:spacing w:val="-11"/>
          <w:sz w:val="21"/>
          <w:vertAlign w:val="baseline"/>
        </w:rPr>
        <w:t> </w:t>
      </w:r>
      <w:r>
        <w:rPr>
          <w:sz w:val="21"/>
          <w:vertAlign w:val="baseline"/>
        </w:rPr>
        <w:t>safeguard</w:t>
      </w:r>
      <w:r>
        <w:rPr>
          <w:spacing w:val="-10"/>
          <w:sz w:val="21"/>
          <w:vertAlign w:val="baseline"/>
        </w:rPr>
        <w:t> </w:t>
      </w:r>
      <w:r>
        <w:rPr>
          <w:sz w:val="21"/>
          <w:vertAlign w:val="baseline"/>
        </w:rPr>
        <w:t>LGBTQ</w:t>
      </w:r>
      <w:r>
        <w:rPr>
          <w:spacing w:val="-10"/>
          <w:sz w:val="21"/>
          <w:vertAlign w:val="baseline"/>
        </w:rPr>
        <w:t> </w:t>
      </w:r>
      <w:r>
        <w:rPr>
          <w:sz w:val="21"/>
          <w:vertAlign w:val="baseline"/>
        </w:rPr>
        <w:t>youth,</w:t>
      </w:r>
      <w:r>
        <w:rPr>
          <w:spacing w:val="-10"/>
          <w:sz w:val="21"/>
          <w:vertAlign w:val="baseline"/>
        </w:rPr>
        <w:t> </w:t>
      </w:r>
      <w:r>
        <w:rPr>
          <w:sz w:val="21"/>
          <w:vertAlign w:val="baseline"/>
        </w:rPr>
        <w:t>especially</w:t>
      </w:r>
      <w:r>
        <w:rPr>
          <w:spacing w:val="-11"/>
          <w:sz w:val="21"/>
          <w:vertAlign w:val="baseline"/>
        </w:rPr>
        <w:t> </w:t>
      </w:r>
      <w:r>
        <w:rPr>
          <w:sz w:val="21"/>
          <w:vertAlign w:val="baseline"/>
        </w:rPr>
        <w:t>those</w:t>
      </w:r>
      <w:r>
        <w:rPr>
          <w:spacing w:val="-10"/>
          <w:sz w:val="21"/>
          <w:vertAlign w:val="baseline"/>
        </w:rPr>
        <w:t> </w:t>
      </w:r>
      <w:r>
        <w:rPr>
          <w:sz w:val="21"/>
          <w:vertAlign w:val="baseline"/>
        </w:rPr>
        <w:t>of</w:t>
      </w:r>
      <w:r>
        <w:rPr>
          <w:spacing w:val="-11"/>
          <w:sz w:val="21"/>
          <w:vertAlign w:val="baseline"/>
        </w:rPr>
        <w:t> </w:t>
      </w:r>
      <w:r>
        <w:rPr>
          <w:sz w:val="21"/>
          <w:vertAlign w:val="baseline"/>
        </w:rPr>
        <w:t>color,</w:t>
      </w:r>
      <w:r>
        <w:rPr>
          <w:spacing w:val="-10"/>
          <w:sz w:val="21"/>
          <w:vertAlign w:val="baseline"/>
        </w:rPr>
        <w:t> </w:t>
      </w:r>
      <w:r>
        <w:rPr>
          <w:sz w:val="21"/>
          <w:vertAlign w:val="baseline"/>
        </w:rPr>
        <w:t>from</w:t>
      </w:r>
      <w:r>
        <w:rPr>
          <w:spacing w:val="-10"/>
          <w:sz w:val="21"/>
          <w:vertAlign w:val="baseline"/>
        </w:rPr>
        <w:t> </w:t>
      </w:r>
      <w:r>
        <w:rPr>
          <w:sz w:val="21"/>
          <w:vertAlign w:val="baseline"/>
        </w:rPr>
        <w:t>police</w:t>
      </w:r>
      <w:r>
        <w:rPr>
          <w:spacing w:val="-10"/>
          <w:sz w:val="21"/>
          <w:vertAlign w:val="baseline"/>
        </w:rPr>
        <w:t> </w:t>
      </w:r>
      <w:r>
        <w:rPr>
          <w:sz w:val="21"/>
          <w:vertAlign w:val="baseline"/>
        </w:rPr>
        <w:t>brutality</w:t>
      </w:r>
      <w:r>
        <w:rPr>
          <w:spacing w:val="-11"/>
          <w:sz w:val="21"/>
          <w:vertAlign w:val="baseline"/>
        </w:rPr>
        <w:t> </w:t>
      </w:r>
      <w:r>
        <w:rPr>
          <w:sz w:val="21"/>
          <w:vertAlign w:val="baseline"/>
        </w:rPr>
        <w:t>and</w:t>
      </w:r>
      <w:r>
        <w:rPr>
          <w:spacing w:val="-10"/>
          <w:sz w:val="21"/>
          <w:vertAlign w:val="baseline"/>
        </w:rPr>
        <w:t> </w:t>
      </w:r>
      <w:r>
        <w:rPr>
          <w:sz w:val="21"/>
          <w:vertAlign w:val="baseline"/>
        </w:rPr>
        <w:t>unequal </w:t>
      </w:r>
      <w:bookmarkStart w:name="_bookmark446" w:id="680"/>
      <w:bookmarkEnd w:id="680"/>
      <w:r>
        <w:rPr>
          <w:sz w:val="21"/>
          <w:vertAlign w:val="baseline"/>
        </w:rPr>
        <w:t>law</w:t>
      </w:r>
      <w:r>
        <w:rPr>
          <w:sz w:val="21"/>
          <w:vertAlign w:val="baseline"/>
        </w:rPr>
        <w:t> enforcement practices, including the abolishment of qualified immunity.</w:t>
      </w:r>
    </w:p>
    <w:p>
      <w:pPr>
        <w:spacing w:line="276" w:lineRule="auto" w:before="240"/>
        <w:ind w:left="463" w:right="239" w:firstLine="0"/>
        <w:jc w:val="both"/>
        <w:rPr>
          <w:sz w:val="21"/>
        </w:rPr>
      </w:pPr>
      <w:bookmarkStart w:name="_bookmark447" w:id="681"/>
      <w:bookmarkEnd w:id="681"/>
      <w:r>
        <w:rPr/>
      </w:r>
      <w:r>
        <w:rPr>
          <w:sz w:val="21"/>
        </w:rPr>
        <w:t>Over</w:t>
      </w:r>
      <w:r>
        <w:rPr>
          <w:spacing w:val="-8"/>
          <w:sz w:val="21"/>
        </w:rPr>
        <w:t> </w:t>
      </w:r>
      <w:r>
        <w:rPr>
          <w:sz w:val="21"/>
        </w:rPr>
        <w:t>the</w:t>
      </w:r>
      <w:r>
        <w:rPr>
          <w:spacing w:val="-9"/>
          <w:sz w:val="21"/>
        </w:rPr>
        <w:t> </w:t>
      </w:r>
      <w:r>
        <w:rPr>
          <w:sz w:val="21"/>
        </w:rPr>
        <w:t>last</w:t>
      </w:r>
      <w:r>
        <w:rPr>
          <w:spacing w:val="-10"/>
          <w:sz w:val="21"/>
        </w:rPr>
        <w:t> </w:t>
      </w:r>
      <w:r>
        <w:rPr>
          <w:sz w:val="21"/>
        </w:rPr>
        <w:t>decade,</w:t>
      </w:r>
      <w:r>
        <w:rPr>
          <w:spacing w:val="-9"/>
          <w:sz w:val="21"/>
        </w:rPr>
        <w:t> </w:t>
      </w:r>
      <w:r>
        <w:rPr>
          <w:sz w:val="21"/>
        </w:rPr>
        <w:t>there</w:t>
      </w:r>
      <w:r>
        <w:rPr>
          <w:spacing w:val="-10"/>
          <w:sz w:val="21"/>
        </w:rPr>
        <w:t> </w:t>
      </w:r>
      <w:r>
        <w:rPr>
          <w:sz w:val="21"/>
        </w:rPr>
        <w:t>had</w:t>
      </w:r>
      <w:r>
        <w:rPr>
          <w:spacing w:val="-8"/>
          <w:sz w:val="21"/>
        </w:rPr>
        <w:t> </w:t>
      </w:r>
      <w:r>
        <w:rPr>
          <w:sz w:val="21"/>
        </w:rPr>
        <w:t>been</w:t>
      </w:r>
      <w:r>
        <w:rPr>
          <w:spacing w:val="-9"/>
          <w:sz w:val="21"/>
        </w:rPr>
        <w:t> </w:t>
      </w:r>
      <w:r>
        <w:rPr>
          <w:sz w:val="21"/>
        </w:rPr>
        <w:t>a</w:t>
      </w:r>
      <w:r>
        <w:rPr>
          <w:spacing w:val="-9"/>
          <w:sz w:val="21"/>
        </w:rPr>
        <w:t> </w:t>
      </w:r>
      <w:r>
        <w:rPr>
          <w:sz w:val="21"/>
        </w:rPr>
        <w:t>promising</w:t>
      </w:r>
      <w:r>
        <w:rPr>
          <w:spacing w:val="-8"/>
          <w:sz w:val="21"/>
        </w:rPr>
        <w:t> </w:t>
      </w:r>
      <w:r>
        <w:rPr>
          <w:sz w:val="21"/>
        </w:rPr>
        <w:t>overall</w:t>
      </w:r>
      <w:r>
        <w:rPr>
          <w:spacing w:val="-8"/>
          <w:sz w:val="21"/>
        </w:rPr>
        <w:t> </w:t>
      </w:r>
      <w:r>
        <w:rPr>
          <w:sz w:val="21"/>
        </w:rPr>
        <w:t>reduction</w:t>
      </w:r>
      <w:r>
        <w:rPr>
          <w:spacing w:val="-9"/>
          <w:sz w:val="21"/>
        </w:rPr>
        <w:t> </w:t>
      </w:r>
      <w:r>
        <w:rPr>
          <w:sz w:val="21"/>
        </w:rPr>
        <w:t>in</w:t>
      </w:r>
      <w:r>
        <w:rPr>
          <w:spacing w:val="-9"/>
          <w:sz w:val="21"/>
        </w:rPr>
        <w:t> </w:t>
      </w:r>
      <w:r>
        <w:rPr>
          <w:sz w:val="21"/>
        </w:rPr>
        <w:t>youth</w:t>
      </w:r>
      <w:r>
        <w:rPr>
          <w:spacing w:val="-8"/>
          <w:sz w:val="21"/>
        </w:rPr>
        <w:t> </w:t>
      </w:r>
      <w:r>
        <w:rPr>
          <w:sz w:val="21"/>
        </w:rPr>
        <w:t>admissions</w:t>
      </w:r>
      <w:r>
        <w:rPr>
          <w:spacing w:val="-9"/>
          <w:sz w:val="21"/>
        </w:rPr>
        <w:t> </w:t>
      </w:r>
      <w:r>
        <w:rPr>
          <w:sz w:val="21"/>
        </w:rPr>
        <w:t>to</w:t>
      </w:r>
      <w:r>
        <w:rPr>
          <w:spacing w:val="-10"/>
          <w:sz w:val="21"/>
        </w:rPr>
        <w:t> </w:t>
      </w:r>
      <w:r>
        <w:rPr>
          <w:sz w:val="21"/>
        </w:rPr>
        <w:t>the</w:t>
      </w:r>
      <w:r>
        <w:rPr>
          <w:spacing w:val="-9"/>
          <w:sz w:val="21"/>
        </w:rPr>
        <w:t> </w:t>
      </w:r>
      <w:r>
        <w:rPr>
          <w:sz w:val="21"/>
        </w:rPr>
        <w:t>juvenile</w:t>
      </w:r>
      <w:r>
        <w:rPr>
          <w:spacing w:val="-8"/>
          <w:sz w:val="21"/>
        </w:rPr>
        <w:t> </w:t>
      </w:r>
      <w:r>
        <w:rPr>
          <w:sz w:val="21"/>
        </w:rPr>
        <w:t>legal </w:t>
      </w:r>
      <w:bookmarkStart w:name="_bookmark448" w:id="682"/>
      <w:bookmarkEnd w:id="682"/>
      <w:r>
        <w:rPr>
          <w:sz w:val="21"/>
        </w:rPr>
        <w:t>s</w:t>
      </w:r>
      <w:r>
        <w:rPr>
          <w:sz w:val="21"/>
        </w:rPr>
        <w:t>ystem, however, we are now seeing a concerning rise. In 2007, Massachusetts witnessed a high influx of </w:t>
      </w:r>
      <w:bookmarkStart w:name="_bookmark449" w:id="683"/>
      <w:bookmarkEnd w:id="683"/>
      <w:r>
        <w:rPr>
          <w:sz w:val="21"/>
        </w:rPr>
        <w:t>y</w:t>
      </w:r>
      <w:r>
        <w:rPr>
          <w:sz w:val="21"/>
        </w:rPr>
        <w:t>outh</w:t>
      </w:r>
      <w:r>
        <w:rPr>
          <w:spacing w:val="-8"/>
          <w:sz w:val="21"/>
        </w:rPr>
        <w:t> </w:t>
      </w:r>
      <w:r>
        <w:rPr>
          <w:sz w:val="21"/>
        </w:rPr>
        <w:t>into</w:t>
      </w:r>
      <w:r>
        <w:rPr>
          <w:spacing w:val="-8"/>
          <w:sz w:val="21"/>
        </w:rPr>
        <w:t> </w:t>
      </w:r>
      <w:r>
        <w:rPr>
          <w:sz w:val="21"/>
        </w:rPr>
        <w:t>detention,</w:t>
      </w:r>
      <w:r>
        <w:rPr>
          <w:spacing w:val="-8"/>
          <w:sz w:val="21"/>
        </w:rPr>
        <w:t> </w:t>
      </w:r>
      <w:r>
        <w:rPr>
          <w:sz w:val="21"/>
        </w:rPr>
        <w:t>with</w:t>
      </w:r>
      <w:r>
        <w:rPr>
          <w:spacing w:val="-9"/>
          <w:sz w:val="21"/>
        </w:rPr>
        <w:t> </w:t>
      </w:r>
      <w:r>
        <w:rPr>
          <w:sz w:val="21"/>
        </w:rPr>
        <w:t>4,345</w:t>
      </w:r>
      <w:r>
        <w:rPr>
          <w:spacing w:val="-9"/>
          <w:sz w:val="21"/>
        </w:rPr>
        <w:t> </w:t>
      </w:r>
      <w:r>
        <w:rPr>
          <w:sz w:val="21"/>
        </w:rPr>
        <w:t>young</w:t>
      </w:r>
      <w:r>
        <w:rPr>
          <w:spacing w:val="-8"/>
          <w:sz w:val="21"/>
        </w:rPr>
        <w:t> </w:t>
      </w:r>
      <w:r>
        <w:rPr>
          <w:sz w:val="21"/>
        </w:rPr>
        <w:t>individuals</w:t>
      </w:r>
      <w:r>
        <w:rPr>
          <w:spacing w:val="-8"/>
          <w:sz w:val="21"/>
        </w:rPr>
        <w:t> </w:t>
      </w:r>
      <w:r>
        <w:rPr>
          <w:sz w:val="21"/>
        </w:rPr>
        <w:t>admitted</w:t>
      </w:r>
      <w:r>
        <w:rPr>
          <w:spacing w:val="-8"/>
          <w:sz w:val="21"/>
        </w:rPr>
        <w:t> </w:t>
      </w:r>
      <w:r>
        <w:rPr>
          <w:sz w:val="21"/>
        </w:rPr>
        <w:t>that</w:t>
      </w:r>
      <w:r>
        <w:rPr>
          <w:spacing w:val="-9"/>
          <w:sz w:val="21"/>
        </w:rPr>
        <w:t> </w:t>
      </w:r>
      <w:r>
        <w:rPr>
          <w:sz w:val="21"/>
        </w:rPr>
        <w:t>year.</w:t>
      </w:r>
      <w:hyperlink w:history="true" w:anchor="_bookmark449">
        <w:r>
          <w:rPr>
            <w:sz w:val="21"/>
            <w:vertAlign w:val="superscript"/>
          </w:rPr>
          <w:t>133</w:t>
        </w:r>
      </w:hyperlink>
      <w:r>
        <w:rPr>
          <w:spacing w:val="-2"/>
          <w:sz w:val="21"/>
          <w:vertAlign w:val="baseline"/>
        </w:rPr>
        <w:t> </w:t>
      </w:r>
      <w:r>
        <w:rPr>
          <w:sz w:val="21"/>
          <w:vertAlign w:val="baseline"/>
        </w:rPr>
        <w:t>However,</w:t>
      </w:r>
      <w:r>
        <w:rPr>
          <w:spacing w:val="-8"/>
          <w:sz w:val="21"/>
          <w:vertAlign w:val="baseline"/>
        </w:rPr>
        <w:t> </w:t>
      </w:r>
      <w:r>
        <w:rPr>
          <w:sz w:val="21"/>
          <w:vertAlign w:val="baseline"/>
        </w:rPr>
        <w:t>by</w:t>
      </w:r>
      <w:r>
        <w:rPr>
          <w:spacing w:val="-8"/>
          <w:sz w:val="21"/>
          <w:vertAlign w:val="baseline"/>
        </w:rPr>
        <w:t> </w:t>
      </w:r>
      <w:r>
        <w:rPr>
          <w:sz w:val="21"/>
          <w:vertAlign w:val="baseline"/>
        </w:rPr>
        <w:t>the</w:t>
      </w:r>
      <w:r>
        <w:rPr>
          <w:spacing w:val="-8"/>
          <w:sz w:val="21"/>
          <w:vertAlign w:val="baseline"/>
        </w:rPr>
        <w:t> </w:t>
      </w:r>
      <w:r>
        <w:rPr>
          <w:sz w:val="21"/>
          <w:vertAlign w:val="baseline"/>
        </w:rPr>
        <w:t>end</w:t>
      </w:r>
      <w:r>
        <w:rPr>
          <w:spacing w:val="-8"/>
          <w:sz w:val="21"/>
          <w:vertAlign w:val="baseline"/>
        </w:rPr>
        <w:t> </w:t>
      </w:r>
      <w:r>
        <w:rPr>
          <w:sz w:val="21"/>
          <w:vertAlign w:val="baseline"/>
        </w:rPr>
        <w:t>of</w:t>
      </w:r>
      <w:r>
        <w:rPr>
          <w:spacing w:val="-10"/>
          <w:sz w:val="21"/>
          <w:vertAlign w:val="baseline"/>
        </w:rPr>
        <w:t> </w:t>
      </w:r>
      <w:r>
        <w:rPr>
          <w:sz w:val="21"/>
          <w:vertAlign w:val="baseline"/>
        </w:rPr>
        <w:t>2022,</w:t>
      </w:r>
      <w:r>
        <w:rPr>
          <w:spacing w:val="-9"/>
          <w:sz w:val="21"/>
          <w:vertAlign w:val="baseline"/>
        </w:rPr>
        <w:t> </w:t>
      </w:r>
      <w:r>
        <w:rPr>
          <w:sz w:val="21"/>
          <w:vertAlign w:val="baseline"/>
        </w:rPr>
        <w:t>this </w:t>
      </w:r>
      <w:bookmarkStart w:name="_bookmark450" w:id="684"/>
      <w:bookmarkEnd w:id="684"/>
      <w:r>
        <w:rPr>
          <w:sz w:val="21"/>
          <w:vertAlign w:val="baseline"/>
        </w:rPr>
        <w:t>f</w:t>
      </w:r>
      <w:r>
        <w:rPr>
          <w:sz w:val="21"/>
          <w:vertAlign w:val="baseline"/>
        </w:rPr>
        <w:t>igure significantly reduced to 728, marking an 83 percent decline.</w:t>
      </w:r>
      <w:hyperlink w:history="true" w:anchor="_bookmark450">
        <w:r>
          <w:rPr>
            <w:sz w:val="21"/>
            <w:vertAlign w:val="superscript"/>
          </w:rPr>
          <w:t>134</w:t>
        </w:r>
      </w:hyperlink>
      <w:r>
        <w:rPr>
          <w:sz w:val="21"/>
          <w:vertAlign w:val="baseline"/>
        </w:rPr>
        <w:t> Unfortunately, this trend has not continued</w:t>
      </w:r>
      <w:r>
        <w:rPr>
          <w:spacing w:val="-9"/>
          <w:sz w:val="21"/>
          <w:vertAlign w:val="baseline"/>
        </w:rPr>
        <w:t> </w:t>
      </w:r>
      <w:r>
        <w:rPr>
          <w:sz w:val="21"/>
          <w:vertAlign w:val="baseline"/>
        </w:rPr>
        <w:t>into</w:t>
      </w:r>
      <w:r>
        <w:rPr>
          <w:spacing w:val="-10"/>
          <w:sz w:val="21"/>
          <w:vertAlign w:val="baseline"/>
        </w:rPr>
        <w:t> </w:t>
      </w:r>
      <w:r>
        <w:rPr>
          <w:sz w:val="21"/>
          <w:vertAlign w:val="baseline"/>
        </w:rPr>
        <w:t>recent</w:t>
      </w:r>
      <w:r>
        <w:rPr>
          <w:spacing w:val="-9"/>
          <w:sz w:val="21"/>
          <w:vertAlign w:val="baseline"/>
        </w:rPr>
        <w:t> </w:t>
      </w:r>
      <w:r>
        <w:rPr>
          <w:sz w:val="21"/>
          <w:vertAlign w:val="baseline"/>
        </w:rPr>
        <w:t>years.</w:t>
      </w:r>
      <w:r>
        <w:rPr>
          <w:spacing w:val="-9"/>
          <w:sz w:val="21"/>
          <w:vertAlign w:val="baseline"/>
        </w:rPr>
        <w:t> </w:t>
      </w:r>
      <w:r>
        <w:rPr>
          <w:sz w:val="21"/>
          <w:vertAlign w:val="baseline"/>
        </w:rPr>
        <w:t>A</w:t>
      </w:r>
      <w:r>
        <w:rPr>
          <w:spacing w:val="-10"/>
          <w:sz w:val="21"/>
          <w:vertAlign w:val="baseline"/>
        </w:rPr>
        <w:t> </w:t>
      </w:r>
      <w:r>
        <w:rPr>
          <w:sz w:val="21"/>
          <w:vertAlign w:val="baseline"/>
        </w:rPr>
        <w:t>recent</w:t>
      </w:r>
      <w:r>
        <w:rPr>
          <w:spacing w:val="-9"/>
          <w:sz w:val="21"/>
          <w:vertAlign w:val="baseline"/>
        </w:rPr>
        <w:t> </w:t>
      </w:r>
      <w:r>
        <w:rPr>
          <w:sz w:val="21"/>
          <w:vertAlign w:val="baseline"/>
        </w:rPr>
        <w:t>JDAI</w:t>
      </w:r>
      <w:r>
        <w:rPr>
          <w:spacing w:val="-9"/>
          <w:sz w:val="21"/>
          <w:vertAlign w:val="baseline"/>
        </w:rPr>
        <w:t> </w:t>
      </w:r>
      <w:r>
        <w:rPr>
          <w:sz w:val="21"/>
          <w:vertAlign w:val="baseline"/>
        </w:rPr>
        <w:t>report</w:t>
      </w:r>
      <w:r>
        <w:rPr>
          <w:spacing w:val="-9"/>
          <w:sz w:val="21"/>
          <w:vertAlign w:val="baseline"/>
        </w:rPr>
        <w:t> </w:t>
      </w:r>
      <w:r>
        <w:rPr>
          <w:sz w:val="21"/>
          <w:vertAlign w:val="baseline"/>
        </w:rPr>
        <w:t>has</w:t>
      </w:r>
      <w:r>
        <w:rPr>
          <w:spacing w:val="-10"/>
          <w:sz w:val="21"/>
          <w:vertAlign w:val="baseline"/>
        </w:rPr>
        <w:t> </w:t>
      </w:r>
      <w:r>
        <w:rPr>
          <w:sz w:val="21"/>
          <w:vertAlign w:val="baseline"/>
        </w:rPr>
        <w:t>found</w:t>
      </w:r>
      <w:r>
        <w:rPr>
          <w:spacing w:val="-9"/>
          <w:sz w:val="21"/>
          <w:vertAlign w:val="baseline"/>
        </w:rPr>
        <w:t> </w:t>
      </w:r>
      <w:r>
        <w:rPr>
          <w:sz w:val="21"/>
          <w:vertAlign w:val="baseline"/>
        </w:rPr>
        <w:t>a</w:t>
      </w:r>
      <w:r>
        <w:rPr>
          <w:spacing w:val="-9"/>
          <w:sz w:val="21"/>
          <w:vertAlign w:val="baseline"/>
        </w:rPr>
        <w:t> </w:t>
      </w:r>
      <w:r>
        <w:rPr>
          <w:sz w:val="21"/>
          <w:vertAlign w:val="baseline"/>
        </w:rPr>
        <w:t>significant</w:t>
      </w:r>
      <w:r>
        <w:rPr>
          <w:spacing w:val="-9"/>
          <w:sz w:val="21"/>
          <w:vertAlign w:val="baseline"/>
        </w:rPr>
        <w:t> </w:t>
      </w:r>
      <w:r>
        <w:rPr>
          <w:sz w:val="21"/>
          <w:vertAlign w:val="baseline"/>
        </w:rPr>
        <w:t>uptick</w:t>
      </w:r>
      <w:r>
        <w:rPr>
          <w:spacing w:val="-10"/>
          <w:sz w:val="21"/>
          <w:vertAlign w:val="baseline"/>
        </w:rPr>
        <w:t> </w:t>
      </w:r>
      <w:r>
        <w:rPr>
          <w:sz w:val="21"/>
          <w:vertAlign w:val="baseline"/>
        </w:rPr>
        <w:t>in</w:t>
      </w:r>
      <w:r>
        <w:rPr>
          <w:spacing w:val="-9"/>
          <w:sz w:val="21"/>
          <w:vertAlign w:val="baseline"/>
        </w:rPr>
        <w:t> </w:t>
      </w:r>
      <w:r>
        <w:rPr>
          <w:sz w:val="21"/>
          <w:vertAlign w:val="baseline"/>
        </w:rPr>
        <w:t>admissions</w:t>
      </w:r>
      <w:r>
        <w:rPr>
          <w:spacing w:val="-10"/>
          <w:sz w:val="21"/>
          <w:vertAlign w:val="baseline"/>
        </w:rPr>
        <w:t> </w:t>
      </w:r>
      <w:r>
        <w:rPr>
          <w:sz w:val="21"/>
          <w:vertAlign w:val="baseline"/>
        </w:rPr>
        <w:t>to</w:t>
      </w:r>
      <w:r>
        <w:rPr>
          <w:spacing w:val="-10"/>
          <w:sz w:val="21"/>
          <w:vertAlign w:val="baseline"/>
        </w:rPr>
        <w:t> </w:t>
      </w:r>
      <w:r>
        <w:rPr>
          <w:sz w:val="21"/>
          <w:vertAlign w:val="baseline"/>
        </w:rPr>
        <w:t>the</w:t>
      </w:r>
      <w:r>
        <w:rPr>
          <w:spacing w:val="-9"/>
          <w:sz w:val="21"/>
          <w:vertAlign w:val="baseline"/>
        </w:rPr>
        <w:t> </w:t>
      </w:r>
      <w:r>
        <w:rPr>
          <w:sz w:val="21"/>
          <w:vertAlign w:val="baseline"/>
        </w:rPr>
        <w:t>juvenile </w:t>
      </w:r>
      <w:bookmarkStart w:name="_bookmark451" w:id="685"/>
      <w:bookmarkEnd w:id="685"/>
      <w:r>
        <w:rPr>
          <w:sz w:val="21"/>
          <w:vertAlign w:val="baseline"/>
        </w:rPr>
        <w:t>l</w:t>
      </w:r>
      <w:r>
        <w:rPr>
          <w:sz w:val="21"/>
          <w:vertAlign w:val="baseline"/>
        </w:rPr>
        <w:t>egal system compared to FY22, continuing a trend of increased activity since the pre-pandemic period of </w:t>
      </w:r>
      <w:bookmarkStart w:name="_bookmark452" w:id="686"/>
      <w:bookmarkEnd w:id="686"/>
      <w:r>
        <w:rPr>
          <w:sz w:val="21"/>
          <w:vertAlign w:val="baseline"/>
        </w:rPr>
        <w:t>FY</w:t>
      </w:r>
      <w:r>
        <w:rPr>
          <w:sz w:val="21"/>
          <w:vertAlign w:val="baseline"/>
        </w:rPr>
        <w:t>19.</w:t>
      </w:r>
      <w:hyperlink w:history="true" w:anchor="_bookmark451">
        <w:r>
          <w:rPr>
            <w:sz w:val="21"/>
            <w:vertAlign w:val="superscript"/>
          </w:rPr>
          <w:t>135</w:t>
        </w:r>
      </w:hyperlink>
      <w:r>
        <w:rPr>
          <w:spacing w:val="-2"/>
          <w:sz w:val="21"/>
          <w:vertAlign w:val="baseline"/>
        </w:rPr>
        <w:t> </w:t>
      </w:r>
      <w:r>
        <w:rPr>
          <w:sz w:val="21"/>
          <w:vertAlign w:val="baseline"/>
        </w:rPr>
        <w:t>And</w:t>
      </w:r>
      <w:r>
        <w:rPr>
          <w:spacing w:val="-3"/>
          <w:sz w:val="21"/>
          <w:vertAlign w:val="baseline"/>
        </w:rPr>
        <w:t> </w:t>
      </w:r>
      <w:r>
        <w:rPr>
          <w:sz w:val="21"/>
          <w:vertAlign w:val="baseline"/>
        </w:rPr>
        <w:t>these</w:t>
      </w:r>
      <w:r>
        <w:rPr>
          <w:spacing w:val="-3"/>
          <w:sz w:val="21"/>
          <w:vertAlign w:val="baseline"/>
        </w:rPr>
        <w:t> </w:t>
      </w:r>
      <w:r>
        <w:rPr>
          <w:sz w:val="21"/>
          <w:vertAlign w:val="baseline"/>
        </w:rPr>
        <w:t>effects</w:t>
      </w:r>
      <w:r>
        <w:rPr>
          <w:spacing w:val="-4"/>
          <w:sz w:val="21"/>
          <w:vertAlign w:val="baseline"/>
        </w:rPr>
        <w:t> </w:t>
      </w:r>
      <w:r>
        <w:rPr>
          <w:sz w:val="21"/>
          <w:vertAlign w:val="baseline"/>
        </w:rPr>
        <w:t>are</w:t>
      </w:r>
      <w:r>
        <w:rPr>
          <w:spacing w:val="-3"/>
          <w:sz w:val="21"/>
          <w:vertAlign w:val="baseline"/>
        </w:rPr>
        <w:t> </w:t>
      </w:r>
      <w:r>
        <w:rPr>
          <w:sz w:val="21"/>
          <w:vertAlign w:val="baseline"/>
        </w:rPr>
        <w:t>disproportionately</w:t>
      </w:r>
      <w:r>
        <w:rPr>
          <w:spacing w:val="-3"/>
          <w:sz w:val="21"/>
          <w:vertAlign w:val="baseline"/>
        </w:rPr>
        <w:t> </w:t>
      </w:r>
      <w:r>
        <w:rPr>
          <w:sz w:val="21"/>
          <w:vertAlign w:val="baseline"/>
        </w:rPr>
        <w:t>felt</w:t>
      </w:r>
      <w:r>
        <w:rPr>
          <w:spacing w:val="-3"/>
          <w:sz w:val="21"/>
          <w:vertAlign w:val="baseline"/>
        </w:rPr>
        <w:t> </w:t>
      </w:r>
      <w:r>
        <w:rPr>
          <w:sz w:val="21"/>
          <w:vertAlign w:val="baseline"/>
        </w:rPr>
        <w:t>depending</w:t>
      </w:r>
      <w:r>
        <w:rPr>
          <w:spacing w:val="-4"/>
          <w:sz w:val="21"/>
          <w:vertAlign w:val="baseline"/>
        </w:rPr>
        <w:t> </w:t>
      </w:r>
      <w:r>
        <w:rPr>
          <w:sz w:val="21"/>
          <w:vertAlign w:val="baseline"/>
        </w:rPr>
        <w:t>on</w:t>
      </w:r>
      <w:r>
        <w:rPr>
          <w:spacing w:val="-3"/>
          <w:sz w:val="21"/>
          <w:vertAlign w:val="baseline"/>
        </w:rPr>
        <w:t> </w:t>
      </w:r>
      <w:r>
        <w:rPr>
          <w:sz w:val="21"/>
          <w:vertAlign w:val="baseline"/>
        </w:rPr>
        <w:t>which</w:t>
      </w:r>
      <w:r>
        <w:rPr>
          <w:spacing w:val="-3"/>
          <w:sz w:val="21"/>
          <w:vertAlign w:val="baseline"/>
        </w:rPr>
        <w:t> </w:t>
      </w:r>
      <w:r>
        <w:rPr>
          <w:sz w:val="21"/>
          <w:vertAlign w:val="baseline"/>
        </w:rPr>
        <w:t>county</w:t>
      </w:r>
      <w:r>
        <w:rPr>
          <w:spacing w:val="-3"/>
          <w:sz w:val="21"/>
          <w:vertAlign w:val="baseline"/>
        </w:rPr>
        <w:t> </w:t>
      </w:r>
      <w:r>
        <w:rPr>
          <w:sz w:val="21"/>
          <w:vertAlign w:val="baseline"/>
        </w:rPr>
        <w:t>the</w:t>
      </w:r>
      <w:r>
        <w:rPr>
          <w:spacing w:val="-4"/>
          <w:sz w:val="21"/>
          <w:vertAlign w:val="baseline"/>
        </w:rPr>
        <w:t> </w:t>
      </w:r>
      <w:r>
        <w:rPr>
          <w:sz w:val="21"/>
          <w:vertAlign w:val="baseline"/>
        </w:rPr>
        <w:t>youth</w:t>
      </w:r>
      <w:r>
        <w:rPr>
          <w:spacing w:val="-3"/>
          <w:sz w:val="21"/>
          <w:vertAlign w:val="baseline"/>
        </w:rPr>
        <w:t> </w:t>
      </w:r>
      <w:r>
        <w:rPr>
          <w:sz w:val="21"/>
          <w:vertAlign w:val="baseline"/>
        </w:rPr>
        <w:t>reside,</w:t>
      </w:r>
      <w:r>
        <w:rPr>
          <w:spacing w:val="-3"/>
          <w:sz w:val="21"/>
          <w:vertAlign w:val="baseline"/>
        </w:rPr>
        <w:t> </w:t>
      </w:r>
      <w:r>
        <w:rPr>
          <w:sz w:val="21"/>
          <w:vertAlign w:val="baseline"/>
        </w:rPr>
        <w:t>as</w:t>
      </w:r>
      <w:r>
        <w:rPr>
          <w:spacing w:val="-4"/>
          <w:sz w:val="21"/>
          <w:vertAlign w:val="baseline"/>
        </w:rPr>
        <w:t> </w:t>
      </w:r>
      <w:r>
        <w:rPr>
          <w:sz w:val="21"/>
          <w:vertAlign w:val="baseline"/>
        </w:rPr>
        <w:t>data reveals that there is a differential application of criminal legal policies and practices across </w:t>
      </w:r>
      <w:bookmarkStart w:name="_bookmark453" w:id="687"/>
      <w:bookmarkEnd w:id="687"/>
      <w:r>
        <w:rPr>
          <w:sz w:val="21"/>
          <w:vertAlign w:val="baseline"/>
        </w:rPr>
        <w:t>Ma</w:t>
      </w:r>
      <w:r>
        <w:rPr>
          <w:sz w:val="21"/>
          <w:vertAlign w:val="baseline"/>
        </w:rPr>
        <w:t>ssachusetts.</w:t>
      </w:r>
      <w:hyperlink w:history="true" w:anchor="_bookmark452">
        <w:r>
          <w:rPr>
            <w:sz w:val="21"/>
            <w:vertAlign w:val="superscript"/>
          </w:rPr>
          <w:t>136</w:t>
        </w:r>
      </w:hyperlink>
      <w:r>
        <w:rPr>
          <w:spacing w:val="-2"/>
          <w:sz w:val="21"/>
          <w:vertAlign w:val="baseline"/>
        </w:rPr>
        <w:t> </w:t>
      </w:r>
      <w:r>
        <w:rPr>
          <w:sz w:val="21"/>
          <w:vertAlign w:val="baseline"/>
        </w:rPr>
        <w:t>This upswing begins at the system's "front door" with a notable rise in applications for complaint—largely fueled by an increase in arrests—and extends through all major court process milestones.</w:t>
      </w:r>
      <w:r>
        <w:rPr>
          <w:spacing w:val="-4"/>
          <w:sz w:val="21"/>
          <w:vertAlign w:val="baseline"/>
        </w:rPr>
        <w:t> </w:t>
      </w:r>
      <w:hyperlink w:history="true" w:anchor="_bookmark453">
        <w:r>
          <w:rPr>
            <w:sz w:val="21"/>
            <w:vertAlign w:val="superscript"/>
          </w:rPr>
          <w:t>137</w:t>
        </w:r>
      </w:hyperlink>
      <w:r>
        <w:rPr>
          <w:sz w:val="21"/>
          <w:vertAlign w:val="baseline"/>
        </w:rPr>
        <w:t> Specifically, the growth is attributed to a surge in cases involving youth accused of </w:t>
      </w:r>
      <w:bookmarkStart w:name="_bookmark454" w:id="688"/>
      <w:bookmarkEnd w:id="688"/>
      <w:r>
        <w:rPr>
          <w:sz w:val="21"/>
          <w:vertAlign w:val="baseline"/>
        </w:rPr>
      </w:r>
      <w:bookmarkStart w:name="_bookmark455" w:id="689"/>
      <w:bookmarkEnd w:id="689"/>
      <w:r>
        <w:rPr>
          <w:sz w:val="21"/>
          <w:vertAlign w:val="baseline"/>
        </w:rPr>
        <w:t>m</w:t>
      </w:r>
      <w:r>
        <w:rPr>
          <w:sz w:val="21"/>
          <w:vertAlign w:val="baseline"/>
        </w:rPr>
        <w:t>isdemeanor</w:t>
      </w:r>
      <w:r>
        <w:rPr>
          <w:spacing w:val="-2"/>
          <w:sz w:val="21"/>
          <w:vertAlign w:val="baseline"/>
        </w:rPr>
        <w:t> </w:t>
      </w:r>
      <w:r>
        <w:rPr>
          <w:sz w:val="21"/>
          <w:vertAlign w:val="baseline"/>
        </w:rPr>
        <w:t>or</w:t>
      </w:r>
      <w:r>
        <w:rPr>
          <w:spacing w:val="-1"/>
          <w:sz w:val="21"/>
          <w:vertAlign w:val="baseline"/>
        </w:rPr>
        <w:t> </w:t>
      </w:r>
      <w:r>
        <w:rPr>
          <w:sz w:val="21"/>
          <w:vertAlign w:val="baseline"/>
        </w:rPr>
        <w:t>lower-level</w:t>
      </w:r>
      <w:r>
        <w:rPr>
          <w:spacing w:val="-1"/>
          <w:sz w:val="21"/>
          <w:vertAlign w:val="baseline"/>
        </w:rPr>
        <w:t> </w:t>
      </w:r>
      <w:r>
        <w:rPr>
          <w:sz w:val="21"/>
          <w:vertAlign w:val="baseline"/>
        </w:rPr>
        <w:t>offenses.</w:t>
      </w:r>
      <w:hyperlink w:history="true" w:anchor="_bookmark454">
        <w:r>
          <w:rPr>
            <w:sz w:val="21"/>
            <w:vertAlign w:val="superscript"/>
          </w:rPr>
          <w:t>138</w:t>
        </w:r>
      </w:hyperlink>
      <w:r>
        <w:rPr>
          <w:spacing w:val="-2"/>
          <w:sz w:val="21"/>
          <w:vertAlign w:val="baseline"/>
        </w:rPr>
        <w:t> </w:t>
      </w:r>
      <w:r>
        <w:rPr>
          <w:sz w:val="21"/>
          <w:vertAlign w:val="baseline"/>
        </w:rPr>
        <w:t>Despite</w:t>
      </w:r>
      <w:r>
        <w:rPr>
          <w:spacing w:val="-1"/>
          <w:sz w:val="21"/>
          <w:vertAlign w:val="baseline"/>
        </w:rPr>
        <w:t> </w:t>
      </w:r>
      <w:r>
        <w:rPr>
          <w:sz w:val="21"/>
          <w:vertAlign w:val="baseline"/>
        </w:rPr>
        <w:t>the</w:t>
      </w:r>
      <w:r>
        <w:rPr>
          <w:spacing w:val="-1"/>
          <w:sz w:val="21"/>
          <w:vertAlign w:val="baseline"/>
        </w:rPr>
        <w:t> </w:t>
      </w:r>
      <w:r>
        <w:rPr>
          <w:sz w:val="21"/>
          <w:vertAlign w:val="baseline"/>
        </w:rPr>
        <w:t>increase</w:t>
      </w:r>
      <w:r>
        <w:rPr>
          <w:spacing w:val="-1"/>
          <w:sz w:val="21"/>
          <w:vertAlign w:val="baseline"/>
        </w:rPr>
        <w:t> </w:t>
      </w:r>
      <w:r>
        <w:rPr>
          <w:sz w:val="21"/>
          <w:vertAlign w:val="baseline"/>
        </w:rPr>
        <w:t>in</w:t>
      </w:r>
      <w:r>
        <w:rPr>
          <w:spacing w:val="-1"/>
          <w:sz w:val="21"/>
          <w:vertAlign w:val="baseline"/>
        </w:rPr>
        <w:t> </w:t>
      </w:r>
      <w:r>
        <w:rPr>
          <w:sz w:val="21"/>
          <w:vertAlign w:val="baseline"/>
        </w:rPr>
        <w:t>FY23,</w:t>
      </w:r>
      <w:r>
        <w:rPr>
          <w:spacing w:val="-2"/>
          <w:sz w:val="21"/>
          <w:vertAlign w:val="baseline"/>
        </w:rPr>
        <w:t> </w:t>
      </w:r>
      <w:r>
        <w:rPr>
          <w:sz w:val="21"/>
          <w:vertAlign w:val="baseline"/>
        </w:rPr>
        <w:t>the</w:t>
      </w:r>
      <w:r>
        <w:rPr>
          <w:spacing w:val="-1"/>
          <w:sz w:val="21"/>
          <w:vertAlign w:val="baseline"/>
        </w:rPr>
        <w:t> </w:t>
      </w:r>
      <w:r>
        <w:rPr>
          <w:sz w:val="21"/>
          <w:vertAlign w:val="baseline"/>
        </w:rPr>
        <w:t>volume</w:t>
      </w:r>
      <w:r>
        <w:rPr>
          <w:spacing w:val="-2"/>
          <w:sz w:val="21"/>
          <w:vertAlign w:val="baseline"/>
        </w:rPr>
        <w:t> </w:t>
      </w:r>
      <w:r>
        <w:rPr>
          <w:sz w:val="21"/>
          <w:vertAlign w:val="baseline"/>
        </w:rPr>
        <w:t>of</w:t>
      </w:r>
      <w:r>
        <w:rPr>
          <w:spacing w:val="-2"/>
          <w:sz w:val="21"/>
          <w:vertAlign w:val="baseline"/>
        </w:rPr>
        <w:t> </w:t>
      </w:r>
      <w:r>
        <w:rPr>
          <w:sz w:val="21"/>
          <w:vertAlign w:val="baseline"/>
        </w:rPr>
        <w:t>cases</w:t>
      </w:r>
      <w:r>
        <w:rPr>
          <w:spacing w:val="-1"/>
          <w:sz w:val="21"/>
          <w:vertAlign w:val="baseline"/>
        </w:rPr>
        <w:t> </w:t>
      </w:r>
      <w:r>
        <w:rPr>
          <w:sz w:val="21"/>
          <w:vertAlign w:val="baseline"/>
        </w:rPr>
        <w:t>involving</w:t>
      </w:r>
      <w:r>
        <w:rPr>
          <w:spacing w:val="-1"/>
          <w:sz w:val="21"/>
          <w:vertAlign w:val="baseline"/>
        </w:rPr>
        <w:t> </w:t>
      </w:r>
      <w:r>
        <w:rPr>
          <w:sz w:val="21"/>
          <w:vertAlign w:val="baseline"/>
        </w:rPr>
        <w:t>youth entering and</w:t>
      </w:r>
      <w:r>
        <w:rPr>
          <w:spacing w:val="-1"/>
          <w:sz w:val="21"/>
          <w:vertAlign w:val="baseline"/>
        </w:rPr>
        <w:t> </w:t>
      </w:r>
      <w:r>
        <w:rPr>
          <w:sz w:val="21"/>
          <w:vertAlign w:val="baseline"/>
        </w:rPr>
        <w:t>progressing through the juvenile legal system remains</w:t>
      </w:r>
      <w:r>
        <w:rPr>
          <w:spacing w:val="-3"/>
          <w:sz w:val="21"/>
          <w:vertAlign w:val="baseline"/>
        </w:rPr>
        <w:t> </w:t>
      </w:r>
      <w:r>
        <w:rPr>
          <w:sz w:val="21"/>
          <w:vertAlign w:val="baseline"/>
        </w:rPr>
        <w:t>below the levels observed prior to the </w:t>
      </w:r>
      <w:bookmarkStart w:name="_bookmark456" w:id="690"/>
      <w:bookmarkEnd w:id="690"/>
      <w:r>
        <w:rPr>
          <w:sz w:val="21"/>
          <w:vertAlign w:val="baseline"/>
        </w:rPr>
        <w:t>e</w:t>
      </w:r>
      <w:r>
        <w:rPr>
          <w:sz w:val="21"/>
          <w:vertAlign w:val="baseline"/>
        </w:rPr>
        <w:t>nactment</w:t>
      </w:r>
      <w:r>
        <w:rPr>
          <w:spacing w:val="-7"/>
          <w:sz w:val="21"/>
          <w:vertAlign w:val="baseline"/>
        </w:rPr>
        <w:t> </w:t>
      </w:r>
      <w:r>
        <w:rPr>
          <w:sz w:val="21"/>
          <w:vertAlign w:val="baseline"/>
        </w:rPr>
        <w:t>of</w:t>
      </w:r>
      <w:r>
        <w:rPr>
          <w:spacing w:val="-10"/>
          <w:sz w:val="21"/>
          <w:vertAlign w:val="baseline"/>
        </w:rPr>
        <w:t> </w:t>
      </w:r>
      <w:r>
        <w:rPr>
          <w:sz w:val="21"/>
          <w:vertAlign w:val="baseline"/>
        </w:rPr>
        <w:t>the</w:t>
      </w:r>
      <w:r>
        <w:rPr>
          <w:spacing w:val="-8"/>
          <w:sz w:val="21"/>
          <w:vertAlign w:val="baseline"/>
        </w:rPr>
        <w:t> </w:t>
      </w:r>
      <w:r>
        <w:rPr>
          <w:sz w:val="21"/>
          <w:vertAlign w:val="baseline"/>
        </w:rPr>
        <w:t>Criminal</w:t>
      </w:r>
      <w:r>
        <w:rPr>
          <w:spacing w:val="-8"/>
          <w:sz w:val="21"/>
          <w:vertAlign w:val="baseline"/>
        </w:rPr>
        <w:t> </w:t>
      </w:r>
      <w:r>
        <w:rPr>
          <w:sz w:val="21"/>
          <w:vertAlign w:val="baseline"/>
        </w:rPr>
        <w:t>Justice</w:t>
      </w:r>
      <w:r>
        <w:rPr>
          <w:spacing w:val="-8"/>
          <w:sz w:val="21"/>
          <w:vertAlign w:val="baseline"/>
        </w:rPr>
        <w:t> </w:t>
      </w:r>
      <w:r>
        <w:rPr>
          <w:sz w:val="21"/>
          <w:vertAlign w:val="baseline"/>
        </w:rPr>
        <w:t>Reform</w:t>
      </w:r>
      <w:r>
        <w:rPr>
          <w:spacing w:val="-7"/>
          <w:sz w:val="21"/>
          <w:vertAlign w:val="baseline"/>
        </w:rPr>
        <w:t> </w:t>
      </w:r>
      <w:r>
        <w:rPr>
          <w:sz w:val="21"/>
          <w:vertAlign w:val="baseline"/>
        </w:rPr>
        <w:t>Act</w:t>
      </w:r>
      <w:r>
        <w:rPr>
          <w:spacing w:val="-7"/>
          <w:sz w:val="21"/>
          <w:vertAlign w:val="baseline"/>
        </w:rPr>
        <w:t> </w:t>
      </w:r>
      <w:r>
        <w:rPr>
          <w:sz w:val="21"/>
          <w:vertAlign w:val="baseline"/>
        </w:rPr>
        <w:t>(CJRA)</w:t>
      </w:r>
      <w:r>
        <w:rPr>
          <w:spacing w:val="-8"/>
          <w:sz w:val="21"/>
          <w:vertAlign w:val="baseline"/>
        </w:rPr>
        <w:t> </w:t>
      </w:r>
      <w:r>
        <w:rPr>
          <w:sz w:val="21"/>
          <w:vertAlign w:val="baseline"/>
        </w:rPr>
        <w:t>in</w:t>
      </w:r>
      <w:r>
        <w:rPr>
          <w:spacing w:val="-8"/>
          <w:sz w:val="21"/>
          <w:vertAlign w:val="baseline"/>
        </w:rPr>
        <w:t> </w:t>
      </w:r>
      <w:r>
        <w:rPr>
          <w:sz w:val="21"/>
          <w:vertAlign w:val="baseline"/>
        </w:rPr>
        <w:t>FY18.</w:t>
      </w:r>
      <w:hyperlink w:history="true" w:anchor="_bookmark455">
        <w:r>
          <w:rPr>
            <w:sz w:val="21"/>
            <w:vertAlign w:val="superscript"/>
          </w:rPr>
          <w:t>139</w:t>
        </w:r>
      </w:hyperlink>
      <w:r>
        <w:rPr>
          <w:spacing w:val="-2"/>
          <w:sz w:val="21"/>
          <w:vertAlign w:val="baseline"/>
        </w:rPr>
        <w:t> </w:t>
      </w:r>
      <w:r>
        <w:rPr>
          <w:sz w:val="21"/>
          <w:vertAlign w:val="baseline"/>
        </w:rPr>
        <w:t>However,</w:t>
      </w:r>
      <w:r>
        <w:rPr>
          <w:spacing w:val="-8"/>
          <w:sz w:val="21"/>
          <w:vertAlign w:val="baseline"/>
        </w:rPr>
        <w:t> </w:t>
      </w:r>
      <w:r>
        <w:rPr>
          <w:sz w:val="21"/>
          <w:vertAlign w:val="baseline"/>
        </w:rPr>
        <w:t>should</w:t>
      </w:r>
      <w:r>
        <w:rPr>
          <w:spacing w:val="-8"/>
          <w:sz w:val="21"/>
          <w:vertAlign w:val="baseline"/>
        </w:rPr>
        <w:t> </w:t>
      </w:r>
      <w:r>
        <w:rPr>
          <w:sz w:val="21"/>
          <w:vertAlign w:val="baseline"/>
        </w:rPr>
        <w:t>the</w:t>
      </w:r>
      <w:r>
        <w:rPr>
          <w:spacing w:val="-8"/>
          <w:sz w:val="21"/>
          <w:vertAlign w:val="baseline"/>
        </w:rPr>
        <w:t> </w:t>
      </w:r>
      <w:r>
        <w:rPr>
          <w:sz w:val="21"/>
          <w:vertAlign w:val="baseline"/>
        </w:rPr>
        <w:t>recent</w:t>
      </w:r>
      <w:r>
        <w:rPr>
          <w:spacing w:val="-7"/>
          <w:sz w:val="21"/>
          <w:vertAlign w:val="baseline"/>
        </w:rPr>
        <w:t> </w:t>
      </w:r>
      <w:r>
        <w:rPr>
          <w:sz w:val="21"/>
          <w:vertAlign w:val="baseline"/>
        </w:rPr>
        <w:t>two-year</w:t>
      </w:r>
      <w:r>
        <w:rPr>
          <w:spacing w:val="-9"/>
          <w:sz w:val="21"/>
          <w:vertAlign w:val="baseline"/>
        </w:rPr>
        <w:t> </w:t>
      </w:r>
      <w:r>
        <w:rPr>
          <w:sz w:val="21"/>
          <w:vertAlign w:val="baseline"/>
        </w:rPr>
        <w:t>trend </w:t>
      </w:r>
      <w:bookmarkStart w:name="_bookmark457" w:id="691"/>
      <w:bookmarkEnd w:id="691"/>
      <w:r>
        <w:rPr>
          <w:sz w:val="21"/>
          <w:vertAlign w:val="baseline"/>
        </w:rPr>
      </w:r>
      <w:bookmarkStart w:name="_bookmark458" w:id="692"/>
      <w:bookmarkEnd w:id="692"/>
      <w:r>
        <w:rPr>
          <w:sz w:val="21"/>
          <w:vertAlign w:val="baseline"/>
        </w:rPr>
        <w:t>o</w:t>
      </w:r>
      <w:r>
        <w:rPr>
          <w:sz w:val="21"/>
          <w:vertAlign w:val="baseline"/>
        </w:rPr>
        <w:t>f increases persist, incarceration rates are projected to return to pre-CJRA figures within the next one to </w:t>
      </w:r>
      <w:bookmarkStart w:name="_bookmark459" w:id="693"/>
      <w:bookmarkEnd w:id="693"/>
      <w:r>
        <w:rPr>
          <w:sz w:val="21"/>
          <w:vertAlign w:val="baseline"/>
        </w:rPr>
        <w:t>t</w:t>
      </w:r>
      <w:r>
        <w:rPr>
          <w:sz w:val="21"/>
          <w:vertAlign w:val="baseline"/>
        </w:rPr>
        <w:t>wo years.</w:t>
      </w:r>
    </w:p>
    <w:p>
      <w:pPr>
        <w:spacing w:line="276" w:lineRule="auto" w:before="240"/>
        <w:ind w:left="464" w:right="239" w:firstLine="0"/>
        <w:jc w:val="both"/>
        <w:rPr>
          <w:sz w:val="21"/>
        </w:rPr>
      </w:pPr>
      <w:bookmarkStart w:name="_bookmark460" w:id="694"/>
      <w:bookmarkEnd w:id="694"/>
      <w:r>
        <w:rPr/>
      </w:r>
      <w:bookmarkStart w:name="_bookmark461" w:id="695"/>
      <w:bookmarkEnd w:id="695"/>
      <w:r>
        <w:rPr/>
      </w:r>
      <w:r>
        <w:rPr>
          <w:sz w:val="21"/>
        </w:rPr>
        <w:t>Furthermore, the JDAI report indicates a deepening of racial and ethnic disparities at the initial stages of the</w:t>
      </w:r>
      <w:r>
        <w:rPr>
          <w:spacing w:val="-11"/>
          <w:sz w:val="21"/>
        </w:rPr>
        <w:t> </w:t>
      </w:r>
      <w:r>
        <w:rPr>
          <w:sz w:val="21"/>
        </w:rPr>
        <w:t>criminal</w:t>
      </w:r>
      <w:r>
        <w:rPr>
          <w:spacing w:val="-11"/>
          <w:sz w:val="21"/>
        </w:rPr>
        <w:t> </w:t>
      </w:r>
      <w:r>
        <w:rPr>
          <w:sz w:val="21"/>
        </w:rPr>
        <w:t>legal</w:t>
      </w:r>
      <w:r>
        <w:rPr>
          <w:spacing w:val="-11"/>
          <w:sz w:val="21"/>
        </w:rPr>
        <w:t> </w:t>
      </w:r>
      <w:r>
        <w:rPr>
          <w:sz w:val="21"/>
        </w:rPr>
        <w:t>process</w:t>
      </w:r>
      <w:r>
        <w:rPr>
          <w:spacing w:val="-12"/>
          <w:sz w:val="21"/>
        </w:rPr>
        <w:t> </w:t>
      </w:r>
      <w:r>
        <w:rPr>
          <w:sz w:val="21"/>
        </w:rPr>
        <w:t>compared</w:t>
      </w:r>
      <w:r>
        <w:rPr>
          <w:spacing w:val="-10"/>
          <w:sz w:val="21"/>
        </w:rPr>
        <w:t> </w:t>
      </w:r>
      <w:r>
        <w:rPr>
          <w:sz w:val="21"/>
        </w:rPr>
        <w:t>to</w:t>
      </w:r>
      <w:r>
        <w:rPr>
          <w:spacing w:val="-12"/>
          <w:sz w:val="21"/>
        </w:rPr>
        <w:t> </w:t>
      </w:r>
      <w:r>
        <w:rPr>
          <w:sz w:val="21"/>
        </w:rPr>
        <w:t>the</w:t>
      </w:r>
      <w:r>
        <w:rPr>
          <w:spacing w:val="-12"/>
          <w:sz w:val="21"/>
        </w:rPr>
        <w:t> </w:t>
      </w:r>
      <w:r>
        <w:rPr>
          <w:sz w:val="21"/>
        </w:rPr>
        <w:t>previous</w:t>
      </w:r>
      <w:r>
        <w:rPr>
          <w:spacing w:val="-11"/>
          <w:sz w:val="21"/>
        </w:rPr>
        <w:t> </w:t>
      </w:r>
      <w:r>
        <w:rPr>
          <w:sz w:val="21"/>
        </w:rPr>
        <w:t>year,</w:t>
      </w:r>
      <w:r>
        <w:rPr>
          <w:spacing w:val="-11"/>
          <w:sz w:val="21"/>
        </w:rPr>
        <w:t> </w:t>
      </w:r>
      <w:r>
        <w:rPr>
          <w:sz w:val="21"/>
        </w:rPr>
        <w:t>particularly</w:t>
      </w:r>
      <w:r>
        <w:rPr>
          <w:spacing w:val="-12"/>
          <w:sz w:val="21"/>
        </w:rPr>
        <w:t> </w:t>
      </w:r>
      <w:r>
        <w:rPr>
          <w:sz w:val="21"/>
        </w:rPr>
        <w:t>concerning</w:t>
      </w:r>
      <w:r>
        <w:rPr>
          <w:spacing w:val="-11"/>
          <w:sz w:val="21"/>
        </w:rPr>
        <w:t> </w:t>
      </w:r>
      <w:r>
        <w:rPr>
          <w:sz w:val="21"/>
        </w:rPr>
        <w:t>applications</w:t>
      </w:r>
      <w:r>
        <w:rPr>
          <w:spacing w:val="-12"/>
          <w:sz w:val="21"/>
        </w:rPr>
        <w:t> </w:t>
      </w:r>
      <w:r>
        <w:rPr>
          <w:sz w:val="21"/>
        </w:rPr>
        <w:t>for</w:t>
      </w:r>
      <w:r>
        <w:rPr>
          <w:spacing w:val="-10"/>
          <w:sz w:val="21"/>
        </w:rPr>
        <w:t> </w:t>
      </w:r>
      <w:r>
        <w:rPr>
          <w:sz w:val="21"/>
        </w:rPr>
        <w:t>complaint initiated</w:t>
      </w:r>
      <w:r>
        <w:rPr>
          <w:spacing w:val="60"/>
          <w:sz w:val="21"/>
        </w:rPr>
        <w:t> </w:t>
      </w:r>
      <w:r>
        <w:rPr>
          <w:sz w:val="21"/>
        </w:rPr>
        <w:t>by</w:t>
      </w:r>
      <w:r>
        <w:rPr>
          <w:spacing w:val="58"/>
          <w:sz w:val="21"/>
        </w:rPr>
        <w:t> </w:t>
      </w:r>
      <w:r>
        <w:rPr>
          <w:sz w:val="21"/>
        </w:rPr>
        <w:t>arrest</w:t>
      </w:r>
      <w:r>
        <w:rPr>
          <w:spacing w:val="60"/>
          <w:sz w:val="21"/>
        </w:rPr>
        <w:t> </w:t>
      </w:r>
      <w:r>
        <w:rPr>
          <w:sz w:val="21"/>
        </w:rPr>
        <w:t>rather</w:t>
      </w:r>
      <w:r>
        <w:rPr>
          <w:spacing w:val="59"/>
          <w:sz w:val="21"/>
        </w:rPr>
        <w:t> </w:t>
      </w:r>
      <w:r>
        <w:rPr>
          <w:sz w:val="21"/>
        </w:rPr>
        <w:t>than</w:t>
      </w:r>
      <w:r>
        <w:rPr>
          <w:spacing w:val="59"/>
          <w:sz w:val="21"/>
        </w:rPr>
        <w:t> </w:t>
      </w:r>
      <w:r>
        <w:rPr>
          <w:sz w:val="21"/>
        </w:rPr>
        <w:t>court</w:t>
      </w:r>
      <w:r>
        <w:rPr>
          <w:spacing w:val="58"/>
          <w:sz w:val="21"/>
        </w:rPr>
        <w:t> </w:t>
      </w:r>
      <w:r>
        <w:rPr>
          <w:sz w:val="21"/>
        </w:rPr>
        <w:t>summons. </w:t>
      </w:r>
      <w:hyperlink w:history="true" w:anchor="_bookmark456">
        <w:r>
          <w:rPr>
            <w:sz w:val="21"/>
            <w:vertAlign w:val="superscript"/>
          </w:rPr>
          <w:t>140</w:t>
        </w:r>
      </w:hyperlink>
      <w:r>
        <w:rPr>
          <w:spacing w:val="39"/>
          <w:sz w:val="21"/>
          <w:vertAlign w:val="baseline"/>
        </w:rPr>
        <w:t> </w:t>
      </w:r>
      <w:r>
        <w:rPr>
          <w:sz w:val="21"/>
          <w:vertAlign w:val="baseline"/>
        </w:rPr>
        <w:t>In</w:t>
      </w:r>
      <w:r>
        <w:rPr>
          <w:spacing w:val="59"/>
          <w:sz w:val="21"/>
          <w:vertAlign w:val="baseline"/>
        </w:rPr>
        <w:t> </w:t>
      </w:r>
      <w:r>
        <w:rPr>
          <w:sz w:val="21"/>
          <w:vertAlign w:val="baseline"/>
        </w:rPr>
        <w:t>FY23,</w:t>
      </w:r>
      <w:r>
        <w:rPr>
          <w:spacing w:val="60"/>
          <w:sz w:val="21"/>
          <w:vertAlign w:val="baseline"/>
        </w:rPr>
        <w:t> </w:t>
      </w:r>
      <w:r>
        <w:rPr>
          <w:sz w:val="21"/>
          <w:vertAlign w:val="baseline"/>
        </w:rPr>
        <w:t>compared</w:t>
      </w:r>
      <w:r>
        <w:rPr>
          <w:spacing w:val="60"/>
          <w:sz w:val="21"/>
          <w:vertAlign w:val="baseline"/>
        </w:rPr>
        <w:t> </w:t>
      </w:r>
      <w:r>
        <w:rPr>
          <w:sz w:val="21"/>
          <w:vertAlign w:val="baseline"/>
        </w:rPr>
        <w:t>to</w:t>
      </w:r>
      <w:r>
        <w:rPr>
          <w:spacing w:val="58"/>
          <w:sz w:val="21"/>
          <w:vertAlign w:val="baseline"/>
        </w:rPr>
        <w:t> </w:t>
      </w:r>
      <w:r>
        <w:rPr>
          <w:sz w:val="21"/>
          <w:vertAlign w:val="baseline"/>
        </w:rPr>
        <w:t>their</w:t>
      </w:r>
      <w:r>
        <w:rPr>
          <w:spacing w:val="59"/>
          <w:sz w:val="21"/>
          <w:vertAlign w:val="baseline"/>
        </w:rPr>
        <w:t> </w:t>
      </w:r>
      <w:r>
        <w:rPr>
          <w:sz w:val="21"/>
          <w:vertAlign w:val="baseline"/>
        </w:rPr>
        <w:t>white</w:t>
      </w:r>
      <w:r>
        <w:rPr>
          <w:spacing w:val="60"/>
          <w:sz w:val="21"/>
          <w:vertAlign w:val="baseline"/>
        </w:rPr>
        <w:t> </w:t>
      </w:r>
      <w:r>
        <w:rPr>
          <w:sz w:val="21"/>
          <w:vertAlign w:val="baseline"/>
        </w:rPr>
        <w:t>counterparts,</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firstLine="0"/>
        <w:jc w:val="both"/>
        <w:rPr>
          <w:sz w:val="21"/>
        </w:rPr>
      </w:pPr>
      <w:r>
        <w:rPr>
          <w:sz w:val="21"/>
        </w:rPr>
        <w:t>Black/African American youth were 3.85 times more likely to have charges filed against them through an </w:t>
      </w:r>
      <w:bookmarkStart w:name="_bookmark462" w:id="696"/>
      <w:bookmarkEnd w:id="696"/>
      <w:r>
        <w:rPr>
          <w:sz w:val="21"/>
        </w:rPr>
        <w:t>applicat</w:t>
      </w:r>
      <w:r>
        <w:rPr>
          <w:sz w:val="21"/>
        </w:rPr>
        <w:t>ion</w:t>
      </w:r>
      <w:r>
        <w:rPr>
          <w:spacing w:val="-4"/>
          <w:sz w:val="21"/>
        </w:rPr>
        <w:t> </w:t>
      </w:r>
      <w:r>
        <w:rPr>
          <w:sz w:val="21"/>
        </w:rPr>
        <w:t>for</w:t>
      </w:r>
      <w:r>
        <w:rPr>
          <w:spacing w:val="-4"/>
          <w:sz w:val="21"/>
        </w:rPr>
        <w:t> </w:t>
      </w:r>
      <w:r>
        <w:rPr>
          <w:sz w:val="21"/>
        </w:rPr>
        <w:t>complaint</w:t>
      </w:r>
      <w:r>
        <w:rPr>
          <w:spacing w:val="-5"/>
          <w:sz w:val="21"/>
        </w:rPr>
        <w:t> </w:t>
      </w:r>
      <w:r>
        <w:rPr>
          <w:sz w:val="21"/>
        </w:rPr>
        <w:t>and</w:t>
      </w:r>
      <w:r>
        <w:rPr>
          <w:spacing w:val="-4"/>
          <w:sz w:val="21"/>
        </w:rPr>
        <w:t> </w:t>
      </w:r>
      <w:r>
        <w:rPr>
          <w:sz w:val="21"/>
        </w:rPr>
        <w:t>4.89</w:t>
      </w:r>
      <w:r>
        <w:rPr>
          <w:spacing w:val="-5"/>
          <w:sz w:val="21"/>
        </w:rPr>
        <w:t> </w:t>
      </w:r>
      <w:r>
        <w:rPr>
          <w:sz w:val="21"/>
        </w:rPr>
        <w:t>times</w:t>
      </w:r>
      <w:r>
        <w:rPr>
          <w:spacing w:val="-6"/>
          <w:sz w:val="21"/>
        </w:rPr>
        <w:t> </w:t>
      </w:r>
      <w:r>
        <w:rPr>
          <w:sz w:val="21"/>
        </w:rPr>
        <w:t>more</w:t>
      </w:r>
      <w:r>
        <w:rPr>
          <w:spacing w:val="-4"/>
          <w:sz w:val="21"/>
        </w:rPr>
        <w:t> </w:t>
      </w:r>
      <w:r>
        <w:rPr>
          <w:sz w:val="21"/>
        </w:rPr>
        <w:t>likely</w:t>
      </w:r>
      <w:r>
        <w:rPr>
          <w:spacing w:val="-5"/>
          <w:sz w:val="21"/>
        </w:rPr>
        <w:t> </w:t>
      </w:r>
      <w:r>
        <w:rPr>
          <w:sz w:val="21"/>
        </w:rPr>
        <w:t>to</w:t>
      </w:r>
      <w:r>
        <w:rPr>
          <w:spacing w:val="-7"/>
          <w:sz w:val="21"/>
        </w:rPr>
        <w:t> </w:t>
      </w:r>
      <w:r>
        <w:rPr>
          <w:sz w:val="21"/>
        </w:rPr>
        <w:t>be</w:t>
      </w:r>
      <w:r>
        <w:rPr>
          <w:spacing w:val="-4"/>
          <w:sz w:val="21"/>
        </w:rPr>
        <w:t> </w:t>
      </w:r>
      <w:r>
        <w:rPr>
          <w:sz w:val="21"/>
        </w:rPr>
        <w:t>arrested</w:t>
      </w:r>
      <w:r>
        <w:rPr>
          <w:spacing w:val="-6"/>
          <w:sz w:val="21"/>
        </w:rPr>
        <w:t> </w:t>
      </w:r>
      <w:r>
        <w:rPr>
          <w:sz w:val="21"/>
        </w:rPr>
        <w:t>and</w:t>
      </w:r>
      <w:r>
        <w:rPr>
          <w:spacing w:val="-4"/>
          <w:sz w:val="21"/>
        </w:rPr>
        <w:t> </w:t>
      </w:r>
      <w:r>
        <w:rPr>
          <w:sz w:val="21"/>
        </w:rPr>
        <w:t>taken</w:t>
      </w:r>
      <w:r>
        <w:rPr>
          <w:spacing w:val="-6"/>
          <w:sz w:val="21"/>
        </w:rPr>
        <w:t> </w:t>
      </w:r>
      <w:r>
        <w:rPr>
          <w:sz w:val="21"/>
        </w:rPr>
        <w:t>to</w:t>
      </w:r>
      <w:r>
        <w:rPr>
          <w:spacing w:val="-5"/>
          <w:sz w:val="21"/>
        </w:rPr>
        <w:t> </w:t>
      </w:r>
      <w:r>
        <w:rPr>
          <w:sz w:val="21"/>
        </w:rPr>
        <w:t>court.</w:t>
      </w:r>
      <w:hyperlink w:history="true" w:anchor="_bookmark457">
        <w:r>
          <w:rPr>
            <w:sz w:val="21"/>
            <w:vertAlign w:val="superscript"/>
          </w:rPr>
          <w:t>141</w:t>
        </w:r>
      </w:hyperlink>
      <w:r>
        <w:rPr>
          <w:spacing w:val="-2"/>
          <w:sz w:val="21"/>
          <w:vertAlign w:val="baseline"/>
        </w:rPr>
        <w:t> </w:t>
      </w:r>
      <w:r>
        <w:rPr>
          <w:sz w:val="21"/>
          <w:vertAlign w:val="baseline"/>
        </w:rPr>
        <w:t>They</w:t>
      </w:r>
      <w:r>
        <w:rPr>
          <w:spacing w:val="-5"/>
          <w:sz w:val="21"/>
          <w:vertAlign w:val="baseline"/>
        </w:rPr>
        <w:t> </w:t>
      </w:r>
      <w:r>
        <w:rPr>
          <w:sz w:val="21"/>
          <w:vertAlign w:val="baseline"/>
        </w:rPr>
        <w:t>also</w:t>
      </w:r>
      <w:r>
        <w:rPr>
          <w:spacing w:val="-5"/>
          <w:sz w:val="21"/>
          <w:vertAlign w:val="baseline"/>
        </w:rPr>
        <w:t> </w:t>
      </w:r>
      <w:r>
        <w:rPr>
          <w:sz w:val="21"/>
          <w:vertAlign w:val="baseline"/>
        </w:rPr>
        <w:t>faced</w:t>
      </w:r>
      <w:r>
        <w:rPr>
          <w:spacing w:val="-4"/>
          <w:sz w:val="21"/>
          <w:vertAlign w:val="baseline"/>
        </w:rPr>
        <w:t> </w:t>
      </w:r>
      <w:r>
        <w:rPr>
          <w:sz w:val="21"/>
          <w:vertAlign w:val="baseline"/>
        </w:rPr>
        <w:t>a</w:t>
      </w:r>
    </w:p>
    <w:p>
      <w:pPr>
        <w:spacing w:line="276" w:lineRule="auto" w:before="0"/>
        <w:ind w:left="464" w:right="239" w:firstLine="0"/>
        <w:jc w:val="both"/>
        <w:rPr>
          <w:sz w:val="21"/>
        </w:rPr>
      </w:pPr>
      <w:bookmarkStart w:name="_bookmark463" w:id="697"/>
      <w:bookmarkEnd w:id="697"/>
      <w:r>
        <w:rPr/>
      </w:r>
      <w:r>
        <w:rPr>
          <w:sz w:val="21"/>
        </w:rPr>
        <w:t>2.98</w:t>
      </w:r>
      <w:r>
        <w:rPr>
          <w:spacing w:val="-12"/>
          <w:sz w:val="21"/>
        </w:rPr>
        <w:t> </w:t>
      </w:r>
      <w:r>
        <w:rPr>
          <w:sz w:val="21"/>
        </w:rPr>
        <w:t>times</w:t>
      </w:r>
      <w:r>
        <w:rPr>
          <w:spacing w:val="-12"/>
          <w:sz w:val="21"/>
        </w:rPr>
        <w:t> </w:t>
      </w:r>
      <w:r>
        <w:rPr>
          <w:sz w:val="21"/>
        </w:rPr>
        <w:t>higher</w:t>
      </w:r>
      <w:r>
        <w:rPr>
          <w:spacing w:val="-12"/>
          <w:sz w:val="21"/>
        </w:rPr>
        <w:t> </w:t>
      </w:r>
      <w:r>
        <w:rPr>
          <w:sz w:val="21"/>
        </w:rPr>
        <w:t>likelihood</w:t>
      </w:r>
      <w:r>
        <w:rPr>
          <w:spacing w:val="-12"/>
          <w:sz w:val="21"/>
        </w:rPr>
        <w:t> </w:t>
      </w:r>
      <w:r>
        <w:rPr>
          <w:sz w:val="21"/>
        </w:rPr>
        <w:t>of</w:t>
      </w:r>
      <w:r>
        <w:rPr>
          <w:spacing w:val="-12"/>
          <w:sz w:val="21"/>
        </w:rPr>
        <w:t> </w:t>
      </w:r>
      <w:r>
        <w:rPr>
          <w:sz w:val="21"/>
        </w:rPr>
        <w:t>being</w:t>
      </w:r>
      <w:r>
        <w:rPr>
          <w:spacing w:val="-12"/>
          <w:sz w:val="21"/>
        </w:rPr>
        <w:t> </w:t>
      </w:r>
      <w:r>
        <w:rPr>
          <w:sz w:val="21"/>
        </w:rPr>
        <w:t>summoned</w:t>
      </w:r>
      <w:r>
        <w:rPr>
          <w:spacing w:val="-12"/>
          <w:sz w:val="21"/>
        </w:rPr>
        <w:t> </w:t>
      </w:r>
      <w:r>
        <w:rPr>
          <w:sz w:val="21"/>
        </w:rPr>
        <w:t>to</w:t>
      </w:r>
      <w:r>
        <w:rPr>
          <w:spacing w:val="-11"/>
          <w:sz w:val="21"/>
        </w:rPr>
        <w:t> </w:t>
      </w:r>
      <w:r>
        <w:rPr>
          <w:sz w:val="21"/>
        </w:rPr>
        <w:t>court.</w:t>
      </w:r>
      <w:r>
        <w:rPr>
          <w:spacing w:val="-12"/>
          <w:sz w:val="21"/>
        </w:rPr>
        <w:t> </w:t>
      </w:r>
      <w:r>
        <w:rPr>
          <w:sz w:val="21"/>
        </w:rPr>
        <w:t>Latino/Hispanic</w:t>
      </w:r>
      <w:r>
        <w:rPr>
          <w:spacing w:val="-12"/>
          <w:sz w:val="21"/>
        </w:rPr>
        <w:t> </w:t>
      </w:r>
      <w:r>
        <w:rPr>
          <w:sz w:val="21"/>
        </w:rPr>
        <w:t>youth</w:t>
      </w:r>
      <w:r>
        <w:rPr>
          <w:spacing w:val="-12"/>
          <w:sz w:val="21"/>
        </w:rPr>
        <w:t> </w:t>
      </w:r>
      <w:r>
        <w:rPr>
          <w:sz w:val="21"/>
        </w:rPr>
        <w:t>were</w:t>
      </w:r>
      <w:r>
        <w:rPr>
          <w:spacing w:val="-12"/>
          <w:sz w:val="21"/>
        </w:rPr>
        <w:t> </w:t>
      </w:r>
      <w:r>
        <w:rPr>
          <w:sz w:val="21"/>
        </w:rPr>
        <w:t>2.35</w:t>
      </w:r>
      <w:r>
        <w:rPr>
          <w:spacing w:val="-12"/>
          <w:sz w:val="21"/>
        </w:rPr>
        <w:t> </w:t>
      </w:r>
      <w:r>
        <w:rPr>
          <w:sz w:val="21"/>
        </w:rPr>
        <w:t>times</w:t>
      </w:r>
      <w:r>
        <w:rPr>
          <w:spacing w:val="-12"/>
          <w:sz w:val="21"/>
        </w:rPr>
        <w:t> </w:t>
      </w:r>
      <w:r>
        <w:rPr>
          <w:sz w:val="21"/>
        </w:rPr>
        <w:t>more</w:t>
      </w:r>
      <w:r>
        <w:rPr>
          <w:spacing w:val="-12"/>
          <w:sz w:val="21"/>
        </w:rPr>
        <w:t> </w:t>
      </w:r>
      <w:r>
        <w:rPr>
          <w:sz w:val="21"/>
        </w:rPr>
        <w:t>likely </w:t>
      </w:r>
      <w:bookmarkStart w:name="_bookmark464" w:id="698"/>
      <w:bookmarkEnd w:id="698"/>
      <w:r>
        <w:rPr>
          <w:sz w:val="21"/>
        </w:rPr>
      </w:r>
      <w:bookmarkStart w:name="_bookmark465" w:id="699"/>
      <w:bookmarkEnd w:id="699"/>
      <w:r>
        <w:rPr>
          <w:sz w:val="21"/>
        </w:rPr>
        <w:t>to</w:t>
      </w:r>
      <w:r>
        <w:rPr>
          <w:sz w:val="21"/>
        </w:rPr>
        <w:t> have charges filed against them in this manner, 2.89 times more likely to be arrested and brought to </w:t>
      </w:r>
      <w:bookmarkStart w:name="_bookmark466" w:id="700"/>
      <w:bookmarkEnd w:id="700"/>
      <w:r>
        <w:rPr>
          <w:sz w:val="21"/>
        </w:rPr>
        <w:t>co</w:t>
      </w:r>
      <w:r>
        <w:rPr>
          <w:sz w:val="21"/>
        </w:rPr>
        <w:t>urt, and 1.93 times more likely to be summoned to court than white youth.</w:t>
      </w:r>
      <w:hyperlink w:history="true" w:anchor="_bookmark458">
        <w:r>
          <w:rPr>
            <w:sz w:val="21"/>
            <w:vertAlign w:val="superscript"/>
          </w:rPr>
          <w:t>142</w:t>
        </w:r>
      </w:hyperlink>
    </w:p>
    <w:p>
      <w:pPr>
        <w:spacing w:line="276" w:lineRule="auto" w:before="239"/>
        <w:ind w:left="464" w:right="237" w:firstLine="0"/>
        <w:jc w:val="both"/>
        <w:rPr>
          <w:sz w:val="21"/>
        </w:rPr>
      </w:pPr>
      <w:bookmarkStart w:name="_bookmark467" w:id="701"/>
      <w:bookmarkEnd w:id="701"/>
      <w:r>
        <w:rPr/>
      </w:r>
      <w:r>
        <w:rPr>
          <w:sz w:val="21"/>
        </w:rPr>
        <w:t>In addition to racial disparities, recent data show the alarming impact of the child welfare system. For </w:t>
      </w:r>
      <w:bookmarkStart w:name="_bookmark468" w:id="702"/>
      <w:bookmarkEnd w:id="702"/>
      <w:r>
        <w:rPr>
          <w:sz w:val="21"/>
        </w:rPr>
        <w:t>e</w:t>
      </w:r>
      <w:r>
        <w:rPr>
          <w:sz w:val="21"/>
        </w:rPr>
        <w:t>xample, in 2023, 1 in 2 (53%) of all youth admitted into juvenile detention had active cases with the Department of Children and Families (DCF), indicated by either a Care and Protection order or a Child </w:t>
      </w:r>
      <w:bookmarkStart w:name="_bookmark469" w:id="703"/>
      <w:bookmarkEnd w:id="703"/>
      <w:r>
        <w:rPr>
          <w:sz w:val="21"/>
        </w:rPr>
        <w:t>R</w:t>
      </w:r>
      <w:r>
        <w:rPr>
          <w:sz w:val="21"/>
        </w:rPr>
        <w:t>equiring</w:t>
      </w:r>
      <w:r>
        <w:rPr>
          <w:spacing w:val="-5"/>
          <w:sz w:val="21"/>
        </w:rPr>
        <w:t> </w:t>
      </w:r>
      <w:r>
        <w:rPr>
          <w:sz w:val="21"/>
        </w:rPr>
        <w:t>Assistance</w:t>
      </w:r>
      <w:r>
        <w:rPr>
          <w:spacing w:val="-4"/>
          <w:sz w:val="21"/>
        </w:rPr>
        <w:t> </w:t>
      </w:r>
      <w:r>
        <w:rPr>
          <w:sz w:val="21"/>
        </w:rPr>
        <w:t>matter.</w:t>
      </w:r>
      <w:hyperlink w:history="true" w:anchor="_bookmark459">
        <w:r>
          <w:rPr>
            <w:sz w:val="21"/>
            <w:vertAlign w:val="superscript"/>
          </w:rPr>
          <w:t>143</w:t>
        </w:r>
      </w:hyperlink>
      <w:r>
        <w:rPr>
          <w:spacing w:val="-2"/>
          <w:sz w:val="21"/>
          <w:vertAlign w:val="baseline"/>
        </w:rPr>
        <w:t> </w:t>
      </w:r>
      <w:r>
        <w:rPr>
          <w:sz w:val="21"/>
          <w:vertAlign w:val="baseline"/>
        </w:rPr>
        <w:t>This</w:t>
      </w:r>
      <w:r>
        <w:rPr>
          <w:spacing w:val="-5"/>
          <w:sz w:val="21"/>
          <w:vertAlign w:val="baseline"/>
        </w:rPr>
        <w:t> </w:t>
      </w:r>
      <w:r>
        <w:rPr>
          <w:sz w:val="21"/>
          <w:vertAlign w:val="baseline"/>
        </w:rPr>
        <w:t>involvement</w:t>
      </w:r>
      <w:r>
        <w:rPr>
          <w:spacing w:val="-4"/>
          <w:sz w:val="21"/>
          <w:vertAlign w:val="baseline"/>
        </w:rPr>
        <w:t> </w:t>
      </w:r>
      <w:r>
        <w:rPr>
          <w:sz w:val="21"/>
          <w:vertAlign w:val="baseline"/>
        </w:rPr>
        <w:t>with</w:t>
      </w:r>
      <w:r>
        <w:rPr>
          <w:spacing w:val="-4"/>
          <w:sz w:val="21"/>
          <w:vertAlign w:val="baseline"/>
        </w:rPr>
        <w:t> </w:t>
      </w:r>
      <w:r>
        <w:rPr>
          <w:sz w:val="21"/>
          <w:vertAlign w:val="baseline"/>
        </w:rPr>
        <w:t>DCF</w:t>
      </w:r>
      <w:r>
        <w:rPr>
          <w:spacing w:val="-5"/>
          <w:sz w:val="21"/>
          <w:vertAlign w:val="baseline"/>
        </w:rPr>
        <w:t> </w:t>
      </w:r>
      <w:r>
        <w:rPr>
          <w:sz w:val="21"/>
          <w:vertAlign w:val="baseline"/>
        </w:rPr>
        <w:t>can</w:t>
      </w:r>
      <w:r>
        <w:rPr>
          <w:spacing w:val="-4"/>
          <w:sz w:val="21"/>
          <w:vertAlign w:val="baseline"/>
        </w:rPr>
        <w:t> </w:t>
      </w:r>
      <w:r>
        <w:rPr>
          <w:sz w:val="21"/>
          <w:vertAlign w:val="baseline"/>
        </w:rPr>
        <w:t>impact</w:t>
      </w:r>
      <w:r>
        <w:rPr>
          <w:spacing w:val="-4"/>
          <w:sz w:val="21"/>
          <w:vertAlign w:val="baseline"/>
        </w:rPr>
        <w:t> </w:t>
      </w:r>
      <w:r>
        <w:rPr>
          <w:sz w:val="21"/>
          <w:vertAlign w:val="baseline"/>
        </w:rPr>
        <w:t>the</w:t>
      </w:r>
      <w:r>
        <w:rPr>
          <w:spacing w:val="-4"/>
          <w:sz w:val="21"/>
          <w:vertAlign w:val="baseline"/>
        </w:rPr>
        <w:t> </w:t>
      </w:r>
      <w:r>
        <w:rPr>
          <w:sz w:val="21"/>
          <w:vertAlign w:val="baseline"/>
        </w:rPr>
        <w:t>length</w:t>
      </w:r>
      <w:r>
        <w:rPr>
          <w:spacing w:val="-4"/>
          <w:sz w:val="21"/>
          <w:vertAlign w:val="baseline"/>
        </w:rPr>
        <w:t> </w:t>
      </w:r>
      <w:r>
        <w:rPr>
          <w:sz w:val="21"/>
          <w:vertAlign w:val="baseline"/>
        </w:rPr>
        <w:t>of</w:t>
      </w:r>
      <w:r>
        <w:rPr>
          <w:spacing w:val="-5"/>
          <w:sz w:val="21"/>
          <w:vertAlign w:val="baseline"/>
        </w:rPr>
        <w:t> </w:t>
      </w:r>
      <w:r>
        <w:rPr>
          <w:sz w:val="21"/>
          <w:vertAlign w:val="baseline"/>
        </w:rPr>
        <w:t>their</w:t>
      </w:r>
      <w:r>
        <w:rPr>
          <w:spacing w:val="-4"/>
          <w:sz w:val="21"/>
          <w:vertAlign w:val="baseline"/>
        </w:rPr>
        <w:t> </w:t>
      </w:r>
      <w:r>
        <w:rPr>
          <w:sz w:val="21"/>
          <w:vertAlign w:val="baseline"/>
        </w:rPr>
        <w:t>stay</w:t>
      </w:r>
      <w:r>
        <w:rPr>
          <w:spacing w:val="-5"/>
          <w:sz w:val="21"/>
          <w:vertAlign w:val="baseline"/>
        </w:rPr>
        <w:t> </w:t>
      </w:r>
      <w:r>
        <w:rPr>
          <w:sz w:val="21"/>
          <w:vertAlign w:val="baseline"/>
        </w:rPr>
        <w:t>in</w:t>
      </w:r>
      <w:r>
        <w:rPr>
          <w:spacing w:val="-4"/>
          <w:sz w:val="21"/>
          <w:vertAlign w:val="baseline"/>
        </w:rPr>
        <w:t> </w:t>
      </w:r>
      <w:r>
        <w:rPr>
          <w:sz w:val="21"/>
          <w:vertAlign w:val="baseline"/>
        </w:rPr>
        <w:t>detention, </w:t>
      </w:r>
      <w:bookmarkStart w:name="_bookmark470" w:id="704"/>
      <w:bookmarkEnd w:id="704"/>
      <w:r>
        <w:rPr>
          <w:sz w:val="21"/>
          <w:vertAlign w:val="baseline"/>
        </w:rPr>
        <w:t>r</w:t>
      </w:r>
      <w:r>
        <w:rPr>
          <w:sz w:val="21"/>
          <w:vertAlign w:val="baseline"/>
        </w:rPr>
        <w:t>egardless</w:t>
      </w:r>
      <w:r>
        <w:rPr>
          <w:spacing w:val="-4"/>
          <w:sz w:val="21"/>
          <w:vertAlign w:val="baseline"/>
        </w:rPr>
        <w:t> </w:t>
      </w:r>
      <w:r>
        <w:rPr>
          <w:sz w:val="21"/>
          <w:vertAlign w:val="baseline"/>
        </w:rPr>
        <w:t>of</w:t>
      </w:r>
      <w:r>
        <w:rPr>
          <w:spacing w:val="-5"/>
          <w:sz w:val="21"/>
          <w:vertAlign w:val="baseline"/>
        </w:rPr>
        <w:t> </w:t>
      </w:r>
      <w:r>
        <w:rPr>
          <w:sz w:val="21"/>
          <w:vertAlign w:val="baseline"/>
        </w:rPr>
        <w:t>the</w:t>
      </w:r>
      <w:r>
        <w:rPr>
          <w:spacing w:val="-4"/>
          <w:sz w:val="21"/>
          <w:vertAlign w:val="baseline"/>
        </w:rPr>
        <w:t> </w:t>
      </w:r>
      <w:r>
        <w:rPr>
          <w:sz w:val="21"/>
          <w:vertAlign w:val="baseline"/>
        </w:rPr>
        <w:t>severity</w:t>
      </w:r>
      <w:r>
        <w:rPr>
          <w:spacing w:val="-5"/>
          <w:sz w:val="21"/>
          <w:vertAlign w:val="baseline"/>
        </w:rPr>
        <w:t> </w:t>
      </w:r>
      <w:r>
        <w:rPr>
          <w:sz w:val="21"/>
          <w:vertAlign w:val="baseline"/>
        </w:rPr>
        <w:t>of</w:t>
      </w:r>
      <w:r>
        <w:rPr>
          <w:spacing w:val="-4"/>
          <w:sz w:val="21"/>
          <w:vertAlign w:val="baseline"/>
        </w:rPr>
        <w:t> </w:t>
      </w:r>
      <w:r>
        <w:rPr>
          <w:sz w:val="21"/>
          <w:vertAlign w:val="baseline"/>
        </w:rPr>
        <w:t>their</w:t>
      </w:r>
      <w:r>
        <w:rPr>
          <w:spacing w:val="-4"/>
          <w:sz w:val="21"/>
          <w:vertAlign w:val="baseline"/>
        </w:rPr>
        <w:t> </w:t>
      </w:r>
      <w:r>
        <w:rPr>
          <w:sz w:val="21"/>
          <w:vertAlign w:val="baseline"/>
        </w:rPr>
        <w:t>charges.</w:t>
      </w:r>
      <w:r>
        <w:rPr>
          <w:spacing w:val="-5"/>
          <w:sz w:val="21"/>
          <w:vertAlign w:val="baseline"/>
        </w:rPr>
        <w:t> </w:t>
      </w:r>
      <w:r>
        <w:rPr>
          <w:sz w:val="21"/>
          <w:vertAlign w:val="baseline"/>
        </w:rPr>
        <w:t>Detained</w:t>
      </w:r>
      <w:r>
        <w:rPr>
          <w:spacing w:val="-4"/>
          <w:sz w:val="21"/>
          <w:vertAlign w:val="baseline"/>
        </w:rPr>
        <w:t> </w:t>
      </w:r>
      <w:r>
        <w:rPr>
          <w:sz w:val="21"/>
          <w:vertAlign w:val="baseline"/>
        </w:rPr>
        <w:t>youth</w:t>
      </w:r>
      <w:r>
        <w:rPr>
          <w:spacing w:val="-4"/>
          <w:sz w:val="21"/>
          <w:vertAlign w:val="baseline"/>
        </w:rPr>
        <w:t> </w:t>
      </w:r>
      <w:r>
        <w:rPr>
          <w:sz w:val="21"/>
          <w:vertAlign w:val="baseline"/>
        </w:rPr>
        <w:t>are</w:t>
      </w:r>
      <w:r>
        <w:rPr>
          <w:spacing w:val="-4"/>
          <w:sz w:val="21"/>
          <w:vertAlign w:val="baseline"/>
        </w:rPr>
        <w:t> </w:t>
      </w:r>
      <w:r>
        <w:rPr>
          <w:sz w:val="21"/>
          <w:vertAlign w:val="baseline"/>
        </w:rPr>
        <w:t>brought</w:t>
      </w:r>
      <w:r>
        <w:rPr>
          <w:spacing w:val="-4"/>
          <w:sz w:val="21"/>
          <w:vertAlign w:val="baseline"/>
        </w:rPr>
        <w:t> </w:t>
      </w:r>
      <w:r>
        <w:rPr>
          <w:sz w:val="21"/>
          <w:vertAlign w:val="baseline"/>
        </w:rPr>
        <w:t>in</w:t>
      </w:r>
      <w:r>
        <w:rPr>
          <w:spacing w:val="-4"/>
          <w:sz w:val="21"/>
          <w:vertAlign w:val="baseline"/>
        </w:rPr>
        <w:t> </w:t>
      </w:r>
      <w:r>
        <w:rPr>
          <w:sz w:val="21"/>
          <w:vertAlign w:val="baseline"/>
        </w:rPr>
        <w:t>with</w:t>
      </w:r>
      <w:r>
        <w:rPr>
          <w:spacing w:val="-4"/>
          <w:sz w:val="21"/>
          <w:vertAlign w:val="baseline"/>
        </w:rPr>
        <w:t> </w:t>
      </w:r>
      <w:r>
        <w:rPr>
          <w:sz w:val="21"/>
          <w:vertAlign w:val="baseline"/>
        </w:rPr>
        <w:t>a</w:t>
      </w:r>
      <w:r>
        <w:rPr>
          <w:spacing w:val="-4"/>
          <w:sz w:val="21"/>
          <w:vertAlign w:val="baseline"/>
        </w:rPr>
        <w:t> </w:t>
      </w:r>
      <w:r>
        <w:rPr>
          <w:sz w:val="21"/>
          <w:vertAlign w:val="baseline"/>
        </w:rPr>
        <w:t>legal</w:t>
      </w:r>
      <w:r>
        <w:rPr>
          <w:spacing w:val="-4"/>
          <w:sz w:val="21"/>
          <w:vertAlign w:val="baseline"/>
        </w:rPr>
        <w:t> </w:t>
      </w:r>
      <w:r>
        <w:rPr>
          <w:sz w:val="21"/>
          <w:vertAlign w:val="baseline"/>
        </w:rPr>
        <w:t>document</w:t>
      </w:r>
      <w:r>
        <w:rPr>
          <w:spacing w:val="-4"/>
          <w:sz w:val="21"/>
          <w:vertAlign w:val="baseline"/>
        </w:rPr>
        <w:t> </w:t>
      </w:r>
      <w:r>
        <w:rPr>
          <w:sz w:val="21"/>
          <w:vertAlign w:val="baseline"/>
        </w:rPr>
        <w:t>(mittimus) </w:t>
      </w:r>
      <w:bookmarkStart w:name="_bookmark471" w:id="705"/>
      <w:bookmarkEnd w:id="705"/>
      <w:r>
        <w:rPr>
          <w:sz w:val="21"/>
          <w:vertAlign w:val="baseline"/>
        </w:rPr>
        <w:t>s</w:t>
      </w:r>
      <w:r>
        <w:rPr>
          <w:sz w:val="21"/>
          <w:vertAlign w:val="baseline"/>
        </w:rPr>
        <w:t>pecifying</w:t>
      </w:r>
      <w:r>
        <w:rPr>
          <w:spacing w:val="-2"/>
          <w:sz w:val="21"/>
          <w:vertAlign w:val="baseline"/>
        </w:rPr>
        <w:t> </w:t>
      </w:r>
      <w:r>
        <w:rPr>
          <w:sz w:val="21"/>
          <w:vertAlign w:val="baseline"/>
        </w:rPr>
        <w:t>conditions</w:t>
      </w:r>
      <w:r>
        <w:rPr>
          <w:spacing w:val="-2"/>
          <w:sz w:val="21"/>
          <w:vertAlign w:val="baseline"/>
        </w:rPr>
        <w:t> </w:t>
      </w:r>
      <w:r>
        <w:rPr>
          <w:sz w:val="21"/>
          <w:vertAlign w:val="baseline"/>
        </w:rPr>
        <w:t>of</w:t>
      </w:r>
      <w:r>
        <w:rPr>
          <w:spacing w:val="-2"/>
          <w:sz w:val="21"/>
          <w:vertAlign w:val="baseline"/>
        </w:rPr>
        <w:t> </w:t>
      </w:r>
      <w:r>
        <w:rPr>
          <w:sz w:val="21"/>
          <w:vertAlign w:val="baseline"/>
        </w:rPr>
        <w:t>bail,</w:t>
      </w:r>
      <w:r>
        <w:rPr>
          <w:spacing w:val="-2"/>
          <w:sz w:val="21"/>
          <w:vertAlign w:val="baseline"/>
        </w:rPr>
        <w:t> </w:t>
      </w:r>
      <w:r>
        <w:rPr>
          <w:sz w:val="21"/>
          <w:vertAlign w:val="baseline"/>
        </w:rPr>
        <w:t>including</w:t>
      </w:r>
      <w:r>
        <w:rPr>
          <w:spacing w:val="-2"/>
          <w:sz w:val="21"/>
          <w:vertAlign w:val="baseline"/>
        </w:rPr>
        <w:t> </w:t>
      </w:r>
      <w:r>
        <w:rPr>
          <w:sz w:val="21"/>
          <w:vertAlign w:val="baseline"/>
        </w:rPr>
        <w:t>cases</w:t>
      </w:r>
      <w:r>
        <w:rPr>
          <w:spacing w:val="-2"/>
          <w:sz w:val="21"/>
          <w:vertAlign w:val="baseline"/>
        </w:rPr>
        <w:t> </w:t>
      </w:r>
      <w:r>
        <w:rPr>
          <w:sz w:val="21"/>
          <w:vertAlign w:val="baseline"/>
        </w:rPr>
        <w:t>where</w:t>
      </w:r>
      <w:r>
        <w:rPr>
          <w:spacing w:val="-2"/>
          <w:sz w:val="21"/>
          <w:vertAlign w:val="baseline"/>
        </w:rPr>
        <w:t> </w:t>
      </w:r>
      <w:r>
        <w:rPr>
          <w:sz w:val="21"/>
          <w:vertAlign w:val="baseline"/>
        </w:rPr>
        <w:t>release</w:t>
      </w:r>
      <w:r>
        <w:rPr>
          <w:spacing w:val="-2"/>
          <w:sz w:val="21"/>
          <w:vertAlign w:val="baseline"/>
        </w:rPr>
        <w:t> </w:t>
      </w:r>
      <w:r>
        <w:rPr>
          <w:sz w:val="21"/>
          <w:vertAlign w:val="baseline"/>
        </w:rPr>
        <w:t>is</w:t>
      </w:r>
      <w:r>
        <w:rPr>
          <w:spacing w:val="-3"/>
          <w:sz w:val="21"/>
          <w:vertAlign w:val="baseline"/>
        </w:rPr>
        <w:t> </w:t>
      </w:r>
      <w:r>
        <w:rPr>
          <w:sz w:val="21"/>
          <w:vertAlign w:val="baseline"/>
        </w:rPr>
        <w:t>only</w:t>
      </w:r>
      <w:r>
        <w:rPr>
          <w:spacing w:val="-2"/>
          <w:sz w:val="21"/>
          <w:vertAlign w:val="baseline"/>
        </w:rPr>
        <w:t> </w:t>
      </w:r>
      <w:r>
        <w:rPr>
          <w:sz w:val="21"/>
          <w:vertAlign w:val="baseline"/>
        </w:rPr>
        <w:t>possible</w:t>
      </w:r>
      <w:r>
        <w:rPr>
          <w:spacing w:val="-2"/>
          <w:sz w:val="21"/>
          <w:vertAlign w:val="baseline"/>
        </w:rPr>
        <w:t> </w:t>
      </w:r>
      <w:r>
        <w:rPr>
          <w:sz w:val="21"/>
          <w:vertAlign w:val="baseline"/>
        </w:rPr>
        <w:t>into</w:t>
      </w:r>
      <w:r>
        <w:rPr>
          <w:spacing w:val="-2"/>
          <w:sz w:val="21"/>
          <w:vertAlign w:val="baseline"/>
        </w:rPr>
        <w:t> </w:t>
      </w:r>
      <w:r>
        <w:rPr>
          <w:sz w:val="21"/>
          <w:vertAlign w:val="baseline"/>
        </w:rPr>
        <w:t>DCF</w:t>
      </w:r>
      <w:r>
        <w:rPr>
          <w:spacing w:val="-2"/>
          <w:sz w:val="21"/>
          <w:vertAlign w:val="baseline"/>
        </w:rPr>
        <w:t> </w:t>
      </w:r>
      <w:r>
        <w:rPr>
          <w:sz w:val="21"/>
          <w:vertAlign w:val="baseline"/>
        </w:rPr>
        <w:t>custody.</w:t>
      </w:r>
      <w:hyperlink w:history="true" w:anchor="_bookmark460">
        <w:r>
          <w:rPr>
            <w:sz w:val="21"/>
            <w:vertAlign w:val="superscript"/>
          </w:rPr>
          <w:t>144</w:t>
        </w:r>
      </w:hyperlink>
      <w:r>
        <w:rPr>
          <w:spacing w:val="-2"/>
          <w:sz w:val="21"/>
          <w:vertAlign w:val="baseline"/>
        </w:rPr>
        <w:t> </w:t>
      </w:r>
      <w:r>
        <w:rPr>
          <w:sz w:val="21"/>
          <w:vertAlign w:val="baseline"/>
        </w:rPr>
        <w:t>Often,</w:t>
      </w:r>
      <w:r>
        <w:rPr>
          <w:spacing w:val="-1"/>
          <w:sz w:val="21"/>
          <w:vertAlign w:val="baseline"/>
        </w:rPr>
        <w:t> </w:t>
      </w:r>
      <w:r>
        <w:rPr>
          <w:sz w:val="21"/>
          <w:vertAlign w:val="baseline"/>
        </w:rPr>
        <w:t>DCF </w:t>
      </w:r>
      <w:bookmarkStart w:name="_bookmark472" w:id="706"/>
      <w:bookmarkEnd w:id="706"/>
      <w:r>
        <w:rPr>
          <w:sz w:val="21"/>
          <w:vertAlign w:val="baseline"/>
        </w:rPr>
        <w:t>lacks</w:t>
      </w:r>
      <w:r>
        <w:rPr>
          <w:spacing w:val="-12"/>
          <w:sz w:val="21"/>
          <w:vertAlign w:val="baseline"/>
        </w:rPr>
        <w:t> </w:t>
      </w:r>
      <w:r>
        <w:rPr>
          <w:sz w:val="21"/>
          <w:vertAlign w:val="baseline"/>
        </w:rPr>
        <w:t>appropriate</w:t>
      </w:r>
      <w:r>
        <w:rPr>
          <w:spacing w:val="-11"/>
          <w:sz w:val="21"/>
          <w:vertAlign w:val="baseline"/>
        </w:rPr>
        <w:t> </w:t>
      </w:r>
      <w:r>
        <w:rPr>
          <w:sz w:val="21"/>
          <w:vertAlign w:val="baseline"/>
        </w:rPr>
        <w:t>placements</w:t>
      </w:r>
      <w:r>
        <w:rPr>
          <w:spacing w:val="-12"/>
          <w:sz w:val="21"/>
          <w:vertAlign w:val="baseline"/>
        </w:rPr>
        <w:t> </w:t>
      </w:r>
      <w:r>
        <w:rPr>
          <w:sz w:val="21"/>
          <w:vertAlign w:val="baseline"/>
        </w:rPr>
        <w:t>for</w:t>
      </w:r>
      <w:r>
        <w:rPr>
          <w:spacing w:val="-11"/>
          <w:sz w:val="21"/>
          <w:vertAlign w:val="baseline"/>
        </w:rPr>
        <w:t> </w:t>
      </w:r>
      <w:r>
        <w:rPr>
          <w:sz w:val="21"/>
          <w:vertAlign w:val="baseline"/>
        </w:rPr>
        <w:t>those</w:t>
      </w:r>
      <w:r>
        <w:rPr>
          <w:spacing w:val="-11"/>
          <w:sz w:val="21"/>
          <w:vertAlign w:val="baseline"/>
        </w:rPr>
        <w:t> </w:t>
      </w:r>
      <w:r>
        <w:rPr>
          <w:sz w:val="21"/>
          <w:vertAlign w:val="baseline"/>
        </w:rPr>
        <w:t>held</w:t>
      </w:r>
      <w:r>
        <w:rPr>
          <w:spacing w:val="-11"/>
          <w:sz w:val="21"/>
          <w:vertAlign w:val="baseline"/>
        </w:rPr>
        <w:t> </w:t>
      </w:r>
      <w:r>
        <w:rPr>
          <w:sz w:val="21"/>
          <w:vertAlign w:val="baseline"/>
        </w:rPr>
        <w:t>on</w:t>
      </w:r>
      <w:r>
        <w:rPr>
          <w:spacing w:val="-11"/>
          <w:sz w:val="21"/>
          <w:vertAlign w:val="baseline"/>
        </w:rPr>
        <w:t> </w:t>
      </w:r>
      <w:r>
        <w:rPr>
          <w:sz w:val="21"/>
          <w:vertAlign w:val="baseline"/>
        </w:rPr>
        <w:t>low</w:t>
      </w:r>
      <w:r>
        <w:rPr>
          <w:spacing w:val="-11"/>
          <w:sz w:val="21"/>
          <w:vertAlign w:val="baseline"/>
        </w:rPr>
        <w:t> </w:t>
      </w:r>
      <w:r>
        <w:rPr>
          <w:sz w:val="21"/>
          <w:vertAlign w:val="baseline"/>
        </w:rPr>
        <w:t>bail</w:t>
      </w:r>
      <w:r>
        <w:rPr>
          <w:spacing w:val="-11"/>
          <w:sz w:val="21"/>
          <w:vertAlign w:val="baseline"/>
        </w:rPr>
        <w:t> </w:t>
      </w:r>
      <w:r>
        <w:rPr>
          <w:sz w:val="21"/>
          <w:vertAlign w:val="baseline"/>
        </w:rPr>
        <w:t>for</w:t>
      </w:r>
      <w:r>
        <w:rPr>
          <w:spacing w:val="-11"/>
          <w:sz w:val="21"/>
          <w:vertAlign w:val="baseline"/>
        </w:rPr>
        <w:t> </w:t>
      </w:r>
      <w:r>
        <w:rPr>
          <w:sz w:val="21"/>
          <w:vertAlign w:val="baseline"/>
        </w:rPr>
        <w:t>minor</w:t>
      </w:r>
      <w:r>
        <w:rPr>
          <w:spacing w:val="-11"/>
          <w:sz w:val="21"/>
          <w:vertAlign w:val="baseline"/>
        </w:rPr>
        <w:t> </w:t>
      </w:r>
      <w:r>
        <w:rPr>
          <w:sz w:val="21"/>
          <w:vertAlign w:val="baseline"/>
        </w:rPr>
        <w:t>offenses,</w:t>
      </w:r>
      <w:r>
        <w:rPr>
          <w:spacing w:val="-11"/>
          <w:sz w:val="21"/>
          <w:vertAlign w:val="baseline"/>
        </w:rPr>
        <w:t> </w:t>
      </w:r>
      <w:r>
        <w:rPr>
          <w:sz w:val="21"/>
          <w:vertAlign w:val="baseline"/>
        </w:rPr>
        <w:t>leading</w:t>
      </w:r>
      <w:r>
        <w:rPr>
          <w:spacing w:val="-12"/>
          <w:sz w:val="21"/>
          <w:vertAlign w:val="baseline"/>
        </w:rPr>
        <w:t> </w:t>
      </w:r>
      <w:r>
        <w:rPr>
          <w:sz w:val="21"/>
          <w:vertAlign w:val="baseline"/>
        </w:rPr>
        <w:t>to</w:t>
      </w:r>
      <w:r>
        <w:rPr>
          <w:spacing w:val="-12"/>
          <w:sz w:val="21"/>
          <w:vertAlign w:val="baseline"/>
        </w:rPr>
        <w:t> </w:t>
      </w:r>
      <w:r>
        <w:rPr>
          <w:sz w:val="21"/>
          <w:vertAlign w:val="baseline"/>
        </w:rPr>
        <w:t>prolonged</w:t>
      </w:r>
      <w:r>
        <w:rPr>
          <w:spacing w:val="-11"/>
          <w:sz w:val="21"/>
          <w:vertAlign w:val="baseline"/>
        </w:rPr>
        <w:t> </w:t>
      </w:r>
      <w:r>
        <w:rPr>
          <w:sz w:val="21"/>
          <w:vertAlign w:val="baseline"/>
        </w:rPr>
        <w:t>detentions </w:t>
      </w:r>
      <w:bookmarkStart w:name="_bookmark473" w:id="707"/>
      <w:bookmarkEnd w:id="707"/>
      <w:r>
        <w:rPr>
          <w:sz w:val="21"/>
          <w:vertAlign w:val="baseline"/>
        </w:rPr>
      </w:r>
      <w:bookmarkStart w:name="_bookmark474" w:id="708"/>
      <w:bookmarkEnd w:id="708"/>
      <w:r>
        <w:rPr>
          <w:sz w:val="21"/>
          <w:vertAlign w:val="baseline"/>
        </w:rPr>
        <w:t>n</w:t>
      </w:r>
      <w:r>
        <w:rPr>
          <w:sz w:val="21"/>
          <w:vertAlign w:val="baseline"/>
        </w:rPr>
        <w:t>ot because of the severity of their charges but due to the absence of suitable release placements.</w:t>
      </w:r>
      <w:hyperlink w:history="true" w:anchor="_bookmark461">
        <w:r>
          <w:rPr>
            <w:sz w:val="21"/>
            <w:vertAlign w:val="superscript"/>
          </w:rPr>
          <w:t>145</w:t>
        </w:r>
      </w:hyperlink>
    </w:p>
    <w:p>
      <w:pPr>
        <w:spacing w:line="276" w:lineRule="auto" w:before="241"/>
        <w:ind w:left="464" w:right="239" w:firstLine="0"/>
        <w:jc w:val="both"/>
        <w:rPr>
          <w:sz w:val="21"/>
        </w:rPr>
      </w:pPr>
      <w:bookmarkStart w:name="_bookmark475" w:id="709"/>
      <w:bookmarkEnd w:id="709"/>
      <w:r>
        <w:rPr/>
      </w:r>
      <w:r>
        <w:rPr>
          <w:sz w:val="21"/>
        </w:rPr>
        <w:t>However,</w:t>
      </w:r>
      <w:r>
        <w:rPr>
          <w:spacing w:val="-6"/>
          <w:sz w:val="21"/>
        </w:rPr>
        <w:t> </w:t>
      </w:r>
      <w:r>
        <w:rPr>
          <w:sz w:val="21"/>
        </w:rPr>
        <w:t>the</w:t>
      </w:r>
      <w:r>
        <w:rPr>
          <w:spacing w:val="-8"/>
          <w:sz w:val="21"/>
        </w:rPr>
        <w:t> </w:t>
      </w:r>
      <w:r>
        <w:rPr>
          <w:sz w:val="21"/>
        </w:rPr>
        <w:t>Department</w:t>
      </w:r>
      <w:r>
        <w:rPr>
          <w:spacing w:val="-7"/>
          <w:sz w:val="21"/>
        </w:rPr>
        <w:t> </w:t>
      </w:r>
      <w:r>
        <w:rPr>
          <w:sz w:val="21"/>
        </w:rPr>
        <w:t>of</w:t>
      </w:r>
      <w:r>
        <w:rPr>
          <w:spacing w:val="-7"/>
          <w:sz w:val="21"/>
        </w:rPr>
        <w:t> </w:t>
      </w:r>
      <w:r>
        <w:rPr>
          <w:sz w:val="21"/>
        </w:rPr>
        <w:t>Children</w:t>
      </w:r>
      <w:r>
        <w:rPr>
          <w:spacing w:val="-7"/>
          <w:sz w:val="21"/>
        </w:rPr>
        <w:t> </w:t>
      </w:r>
      <w:r>
        <w:rPr>
          <w:sz w:val="21"/>
        </w:rPr>
        <w:t>and</w:t>
      </w:r>
      <w:r>
        <w:rPr>
          <w:spacing w:val="-7"/>
          <w:sz w:val="21"/>
        </w:rPr>
        <w:t> </w:t>
      </w:r>
      <w:r>
        <w:rPr>
          <w:sz w:val="21"/>
        </w:rPr>
        <w:t>Families</w:t>
      </w:r>
      <w:r>
        <w:rPr>
          <w:spacing w:val="-7"/>
          <w:sz w:val="21"/>
        </w:rPr>
        <w:t> </w:t>
      </w:r>
      <w:r>
        <w:rPr>
          <w:sz w:val="21"/>
        </w:rPr>
        <w:t>has</w:t>
      </w:r>
      <w:r>
        <w:rPr>
          <w:spacing w:val="34"/>
          <w:sz w:val="21"/>
        </w:rPr>
        <w:t> </w:t>
      </w:r>
      <w:r>
        <w:rPr>
          <w:sz w:val="21"/>
        </w:rPr>
        <w:t>made</w:t>
      </w:r>
      <w:r>
        <w:rPr>
          <w:spacing w:val="-7"/>
          <w:sz w:val="21"/>
        </w:rPr>
        <w:t> </w:t>
      </w:r>
      <w:r>
        <w:rPr>
          <w:sz w:val="21"/>
        </w:rPr>
        <w:t>strides</w:t>
      </w:r>
      <w:r>
        <w:rPr>
          <w:spacing w:val="-7"/>
          <w:sz w:val="21"/>
        </w:rPr>
        <w:t> </w:t>
      </w:r>
      <w:r>
        <w:rPr>
          <w:sz w:val="21"/>
        </w:rPr>
        <w:t>in</w:t>
      </w:r>
      <w:r>
        <w:rPr>
          <w:spacing w:val="-7"/>
          <w:sz w:val="21"/>
        </w:rPr>
        <w:t> </w:t>
      </w:r>
      <w:r>
        <w:rPr>
          <w:sz w:val="21"/>
        </w:rPr>
        <w:t>supporting</w:t>
      </w:r>
      <w:r>
        <w:rPr>
          <w:spacing w:val="-7"/>
          <w:sz w:val="21"/>
        </w:rPr>
        <w:t> </w:t>
      </w:r>
      <w:r>
        <w:rPr>
          <w:sz w:val="21"/>
        </w:rPr>
        <w:t>LGBTQ</w:t>
      </w:r>
      <w:r>
        <w:rPr>
          <w:spacing w:val="-6"/>
          <w:sz w:val="21"/>
        </w:rPr>
        <w:t> </w:t>
      </w:r>
      <w:r>
        <w:rPr>
          <w:sz w:val="21"/>
        </w:rPr>
        <w:t>youth</w:t>
      </w:r>
      <w:r>
        <w:rPr>
          <w:spacing w:val="-7"/>
          <w:sz w:val="21"/>
        </w:rPr>
        <w:t> </w:t>
      </w:r>
      <w:r>
        <w:rPr>
          <w:sz w:val="21"/>
        </w:rPr>
        <w:t>within</w:t>
      </w:r>
      <w:r>
        <w:rPr>
          <w:spacing w:val="-7"/>
          <w:sz w:val="21"/>
        </w:rPr>
        <w:t> </w:t>
      </w:r>
      <w:r>
        <w:rPr>
          <w:sz w:val="21"/>
        </w:rPr>
        <w:t>the </w:t>
      </w:r>
      <w:bookmarkStart w:name="_bookmark476" w:id="710"/>
      <w:bookmarkEnd w:id="710"/>
      <w:r>
        <w:rPr>
          <w:sz w:val="21"/>
        </w:rPr>
        <w:t>c</w:t>
      </w:r>
      <w:r>
        <w:rPr>
          <w:sz w:val="21"/>
        </w:rPr>
        <w:t>hild welfare system. The Department recently adopted comprehensive policies and created a dedicated </w:t>
      </w:r>
      <w:bookmarkStart w:name="_bookmark477" w:id="711"/>
      <w:bookmarkEnd w:id="711"/>
      <w:r>
        <w:rPr>
          <w:sz w:val="21"/>
        </w:rPr>
        <w:t>ro</w:t>
      </w:r>
      <w:r>
        <w:rPr>
          <w:sz w:val="21"/>
        </w:rPr>
        <w:t>le aimed at fostering an inclusive environment. In 2022, DCF introduced a new policy that defined its </w:t>
      </w:r>
      <w:bookmarkStart w:name="_bookmark478" w:id="712"/>
      <w:bookmarkEnd w:id="712"/>
      <w:r>
        <w:rPr>
          <w:sz w:val="21"/>
        </w:rPr>
        <w:t>v</w:t>
      </w:r>
      <w:r>
        <w:rPr>
          <w:sz w:val="21"/>
        </w:rPr>
        <w:t>alues</w:t>
      </w:r>
      <w:r>
        <w:rPr>
          <w:spacing w:val="-6"/>
          <w:sz w:val="21"/>
        </w:rPr>
        <w:t> </w:t>
      </w:r>
      <w:r>
        <w:rPr>
          <w:sz w:val="21"/>
        </w:rPr>
        <w:t>and</w:t>
      </w:r>
      <w:r>
        <w:rPr>
          <w:spacing w:val="-7"/>
          <w:sz w:val="21"/>
        </w:rPr>
        <w:t> </w:t>
      </w:r>
      <w:r>
        <w:rPr>
          <w:sz w:val="21"/>
        </w:rPr>
        <w:t>guiding</w:t>
      </w:r>
      <w:r>
        <w:rPr>
          <w:spacing w:val="-6"/>
          <w:sz w:val="21"/>
        </w:rPr>
        <w:t> </w:t>
      </w:r>
      <w:r>
        <w:rPr>
          <w:sz w:val="21"/>
        </w:rPr>
        <w:t>principles</w:t>
      </w:r>
      <w:r>
        <w:rPr>
          <w:spacing w:val="-6"/>
          <w:sz w:val="21"/>
        </w:rPr>
        <w:t> </w:t>
      </w:r>
      <w:r>
        <w:rPr>
          <w:sz w:val="21"/>
        </w:rPr>
        <w:t>for</w:t>
      </w:r>
      <w:r>
        <w:rPr>
          <w:spacing w:val="-6"/>
          <w:sz w:val="21"/>
        </w:rPr>
        <w:t> </w:t>
      </w:r>
      <w:r>
        <w:rPr>
          <w:sz w:val="21"/>
        </w:rPr>
        <w:t>engaging</w:t>
      </w:r>
      <w:r>
        <w:rPr>
          <w:spacing w:val="-6"/>
          <w:sz w:val="21"/>
        </w:rPr>
        <w:t> </w:t>
      </w:r>
      <w:r>
        <w:rPr>
          <w:sz w:val="21"/>
        </w:rPr>
        <w:t>with</w:t>
      </w:r>
      <w:r>
        <w:rPr>
          <w:spacing w:val="-7"/>
          <w:sz w:val="21"/>
        </w:rPr>
        <w:t> </w:t>
      </w:r>
      <w:r>
        <w:rPr>
          <w:sz w:val="21"/>
        </w:rPr>
        <w:t>LGBTQIA+</w:t>
      </w:r>
      <w:r>
        <w:rPr>
          <w:spacing w:val="-6"/>
          <w:sz w:val="21"/>
        </w:rPr>
        <w:t> </w:t>
      </w:r>
      <w:r>
        <w:rPr>
          <w:sz w:val="21"/>
        </w:rPr>
        <w:t>children</w:t>
      </w:r>
      <w:r>
        <w:rPr>
          <w:spacing w:val="-7"/>
          <w:sz w:val="21"/>
        </w:rPr>
        <w:t> </w:t>
      </w:r>
      <w:r>
        <w:rPr>
          <w:sz w:val="21"/>
        </w:rPr>
        <w:t>and</w:t>
      </w:r>
      <w:r>
        <w:rPr>
          <w:spacing w:val="-7"/>
          <w:sz w:val="21"/>
        </w:rPr>
        <w:t> </w:t>
      </w:r>
      <w:r>
        <w:rPr>
          <w:sz w:val="21"/>
        </w:rPr>
        <w:t>their</w:t>
      </w:r>
      <w:r>
        <w:rPr>
          <w:spacing w:val="-7"/>
          <w:sz w:val="21"/>
        </w:rPr>
        <w:t> </w:t>
      </w:r>
      <w:r>
        <w:rPr>
          <w:sz w:val="21"/>
        </w:rPr>
        <w:t>families.</w:t>
      </w:r>
      <w:hyperlink w:history="true" w:anchor="_bookmark462">
        <w:r>
          <w:rPr>
            <w:sz w:val="21"/>
            <w:vertAlign w:val="superscript"/>
          </w:rPr>
          <w:t>146</w:t>
        </w:r>
      </w:hyperlink>
      <w:r>
        <w:rPr>
          <w:spacing w:val="-2"/>
          <w:sz w:val="21"/>
          <w:vertAlign w:val="baseline"/>
        </w:rPr>
        <w:t> </w:t>
      </w:r>
      <w:r>
        <w:rPr>
          <w:sz w:val="21"/>
          <w:vertAlign w:val="baseline"/>
        </w:rPr>
        <w:t>The</w:t>
      </w:r>
      <w:r>
        <w:rPr>
          <w:spacing w:val="-6"/>
          <w:sz w:val="21"/>
          <w:vertAlign w:val="baseline"/>
        </w:rPr>
        <w:t> </w:t>
      </w:r>
      <w:r>
        <w:rPr>
          <w:sz w:val="21"/>
          <w:vertAlign w:val="baseline"/>
        </w:rPr>
        <w:t>Department</w:t>
      </w:r>
      <w:r>
        <w:rPr>
          <w:spacing w:val="-5"/>
          <w:sz w:val="21"/>
          <w:vertAlign w:val="baseline"/>
        </w:rPr>
        <w:t> </w:t>
      </w:r>
      <w:r>
        <w:rPr>
          <w:sz w:val="21"/>
          <w:vertAlign w:val="baseline"/>
        </w:rPr>
        <w:t>of </w:t>
      </w:r>
      <w:bookmarkStart w:name="_bookmark479" w:id="713"/>
      <w:bookmarkEnd w:id="713"/>
      <w:r>
        <w:rPr>
          <w:sz w:val="21"/>
          <w:vertAlign w:val="baseline"/>
        </w:rPr>
        <w:t>C</w:t>
      </w:r>
      <w:r>
        <w:rPr>
          <w:sz w:val="21"/>
          <w:vertAlign w:val="baseline"/>
        </w:rPr>
        <w:t>hildren and Families’ LGBTQIA+ Nondiscrimination Policy underscores the Department’s commitment to creating</w:t>
      </w:r>
      <w:r>
        <w:rPr>
          <w:spacing w:val="-12"/>
          <w:sz w:val="21"/>
          <w:vertAlign w:val="baseline"/>
        </w:rPr>
        <w:t> </w:t>
      </w:r>
      <w:r>
        <w:rPr>
          <w:sz w:val="21"/>
          <w:vertAlign w:val="baseline"/>
        </w:rPr>
        <w:t>a</w:t>
      </w:r>
      <w:r>
        <w:rPr>
          <w:spacing w:val="-12"/>
          <w:sz w:val="21"/>
          <w:vertAlign w:val="baseline"/>
        </w:rPr>
        <w:t> </w:t>
      </w:r>
      <w:r>
        <w:rPr>
          <w:sz w:val="21"/>
          <w:vertAlign w:val="baseline"/>
        </w:rPr>
        <w:t>safe,</w:t>
      </w:r>
      <w:r>
        <w:rPr>
          <w:spacing w:val="-12"/>
          <w:sz w:val="21"/>
          <w:vertAlign w:val="baseline"/>
        </w:rPr>
        <w:t> </w:t>
      </w:r>
      <w:r>
        <w:rPr>
          <w:sz w:val="21"/>
          <w:vertAlign w:val="baseline"/>
        </w:rPr>
        <w:t>affirming,</w:t>
      </w:r>
      <w:r>
        <w:rPr>
          <w:spacing w:val="-12"/>
          <w:sz w:val="21"/>
          <w:vertAlign w:val="baseline"/>
        </w:rPr>
        <w:t> </w:t>
      </w:r>
      <w:r>
        <w:rPr>
          <w:sz w:val="21"/>
          <w:vertAlign w:val="baseline"/>
        </w:rPr>
        <w:t>and</w:t>
      </w:r>
      <w:r>
        <w:rPr>
          <w:spacing w:val="-12"/>
          <w:sz w:val="21"/>
          <w:vertAlign w:val="baseline"/>
        </w:rPr>
        <w:t> </w:t>
      </w:r>
      <w:r>
        <w:rPr>
          <w:sz w:val="21"/>
          <w:vertAlign w:val="baseline"/>
        </w:rPr>
        <w:t>discrimination-free</w:t>
      </w:r>
      <w:r>
        <w:rPr>
          <w:spacing w:val="-12"/>
          <w:sz w:val="21"/>
          <w:vertAlign w:val="baseline"/>
        </w:rPr>
        <w:t> </w:t>
      </w:r>
      <w:r>
        <w:rPr>
          <w:sz w:val="21"/>
          <w:vertAlign w:val="baseline"/>
        </w:rPr>
        <w:t>environment</w:t>
      </w:r>
      <w:r>
        <w:rPr>
          <w:spacing w:val="-12"/>
          <w:sz w:val="21"/>
          <w:vertAlign w:val="baseline"/>
        </w:rPr>
        <w:t> </w:t>
      </w:r>
      <w:r>
        <w:rPr>
          <w:sz w:val="21"/>
          <w:vertAlign w:val="baseline"/>
        </w:rPr>
        <w:t>for</w:t>
      </w:r>
      <w:r>
        <w:rPr>
          <w:spacing w:val="-11"/>
          <w:sz w:val="21"/>
          <w:vertAlign w:val="baseline"/>
        </w:rPr>
        <w:t> </w:t>
      </w:r>
      <w:r>
        <w:rPr>
          <w:sz w:val="21"/>
          <w:vertAlign w:val="baseline"/>
        </w:rPr>
        <w:t>LGBTQIA+</w:t>
      </w:r>
      <w:r>
        <w:rPr>
          <w:spacing w:val="-12"/>
          <w:sz w:val="21"/>
          <w:vertAlign w:val="baseline"/>
        </w:rPr>
        <w:t> </w:t>
      </w:r>
      <w:r>
        <w:rPr>
          <w:sz w:val="21"/>
          <w:vertAlign w:val="baseline"/>
        </w:rPr>
        <w:t>individuals,</w:t>
      </w:r>
      <w:r>
        <w:rPr>
          <w:spacing w:val="-12"/>
          <w:sz w:val="21"/>
          <w:vertAlign w:val="baseline"/>
        </w:rPr>
        <w:t> </w:t>
      </w:r>
      <w:r>
        <w:rPr>
          <w:sz w:val="21"/>
          <w:vertAlign w:val="baseline"/>
        </w:rPr>
        <w:t>including</w:t>
      </w:r>
      <w:r>
        <w:rPr>
          <w:spacing w:val="-12"/>
          <w:sz w:val="21"/>
          <w:vertAlign w:val="baseline"/>
        </w:rPr>
        <w:t> </w:t>
      </w:r>
      <w:r>
        <w:rPr>
          <w:sz w:val="21"/>
          <w:vertAlign w:val="baseline"/>
        </w:rPr>
        <w:t>children, </w:t>
      </w:r>
      <w:bookmarkStart w:name="_bookmark480" w:id="714"/>
      <w:bookmarkEnd w:id="714"/>
      <w:r>
        <w:rPr>
          <w:sz w:val="21"/>
          <w:vertAlign w:val="baseline"/>
        </w:rPr>
        <w:t>y</w:t>
      </w:r>
      <w:r>
        <w:rPr>
          <w:sz w:val="21"/>
          <w:vertAlign w:val="baseline"/>
        </w:rPr>
        <w:t>outh, parents, caregivers, and foster parents.</w:t>
      </w:r>
      <w:hyperlink w:history="true" w:anchor="_bookmark463">
        <w:r>
          <w:rPr>
            <w:sz w:val="21"/>
            <w:vertAlign w:val="superscript"/>
          </w:rPr>
          <w:t>147</w:t>
        </w:r>
      </w:hyperlink>
      <w:r>
        <w:rPr>
          <w:sz w:val="21"/>
          <w:vertAlign w:val="baseline"/>
        </w:rPr>
        <w:t> The policy emphasizes respect for everyone’s chosen </w:t>
      </w:r>
      <w:bookmarkStart w:name="_bookmark481" w:id="715"/>
      <w:bookmarkEnd w:id="715"/>
      <w:r>
        <w:rPr>
          <w:sz w:val="21"/>
          <w:vertAlign w:val="baseline"/>
        </w:rPr>
        <w:t>nam</w:t>
      </w:r>
      <w:r>
        <w:rPr>
          <w:sz w:val="21"/>
          <w:vertAlign w:val="baseline"/>
        </w:rPr>
        <w:t>es and pronouns, ensuring these are used in all interactions and documentation without requiring a </w:t>
      </w:r>
      <w:bookmarkStart w:name="_bookmark482" w:id="716"/>
      <w:bookmarkEnd w:id="716"/>
      <w:r>
        <w:rPr>
          <w:sz w:val="21"/>
          <w:vertAlign w:val="baseline"/>
        </w:rPr>
        <w:t>co</w:t>
      </w:r>
      <w:r>
        <w:rPr>
          <w:sz w:val="21"/>
          <w:vertAlign w:val="baseline"/>
        </w:rPr>
        <w:t>urt-ordered name or gender change.</w:t>
      </w:r>
      <w:hyperlink w:history="true" w:anchor="_bookmark464">
        <w:r>
          <w:rPr>
            <w:sz w:val="21"/>
            <w:vertAlign w:val="superscript"/>
          </w:rPr>
          <w:t>148</w:t>
        </w:r>
      </w:hyperlink>
      <w:r>
        <w:rPr>
          <w:spacing w:val="-2"/>
          <w:sz w:val="21"/>
          <w:vertAlign w:val="baseline"/>
        </w:rPr>
        <w:t> </w:t>
      </w:r>
      <w:r>
        <w:rPr>
          <w:sz w:val="21"/>
          <w:vertAlign w:val="baseline"/>
        </w:rPr>
        <w:t>The guidelines also support the expression of gender identity through clothing and other means, providing resources like gender-affirming clothing to transgender and gender-diverse youth.</w:t>
      </w:r>
      <w:r>
        <w:rPr>
          <w:spacing w:val="-8"/>
          <w:sz w:val="21"/>
          <w:vertAlign w:val="baseline"/>
        </w:rPr>
        <w:t> </w:t>
      </w:r>
      <w:hyperlink w:history="true" w:anchor="_bookmark465">
        <w:r>
          <w:rPr>
            <w:sz w:val="21"/>
            <w:vertAlign w:val="superscript"/>
          </w:rPr>
          <w:t>149</w:t>
        </w:r>
      </w:hyperlink>
      <w:r>
        <w:rPr>
          <w:sz w:val="21"/>
          <w:vertAlign w:val="baseline"/>
        </w:rPr>
        <w:t> Additionally, the policy prohibits any attempts to change a youth's sexual </w:t>
      </w:r>
      <w:bookmarkStart w:name="_bookmark483" w:id="717"/>
      <w:bookmarkEnd w:id="717"/>
      <w:r>
        <w:rPr>
          <w:sz w:val="21"/>
          <w:vertAlign w:val="baseline"/>
        </w:rPr>
        <w:t>o</w:t>
      </w:r>
      <w:r>
        <w:rPr>
          <w:sz w:val="21"/>
          <w:vertAlign w:val="baseline"/>
        </w:rPr>
        <w:t>rientation</w:t>
      </w:r>
      <w:r>
        <w:rPr>
          <w:spacing w:val="-5"/>
          <w:sz w:val="21"/>
          <w:vertAlign w:val="baseline"/>
        </w:rPr>
        <w:t> </w:t>
      </w:r>
      <w:r>
        <w:rPr>
          <w:sz w:val="21"/>
          <w:vertAlign w:val="baseline"/>
        </w:rPr>
        <w:t>or</w:t>
      </w:r>
      <w:r>
        <w:rPr>
          <w:spacing w:val="-5"/>
          <w:sz w:val="21"/>
          <w:vertAlign w:val="baseline"/>
        </w:rPr>
        <w:t> </w:t>
      </w:r>
      <w:r>
        <w:rPr>
          <w:sz w:val="21"/>
          <w:vertAlign w:val="baseline"/>
        </w:rPr>
        <w:t>gender</w:t>
      </w:r>
      <w:r>
        <w:rPr>
          <w:spacing w:val="-5"/>
          <w:sz w:val="21"/>
          <w:vertAlign w:val="baseline"/>
        </w:rPr>
        <w:t> </w:t>
      </w:r>
      <w:r>
        <w:rPr>
          <w:sz w:val="21"/>
          <w:vertAlign w:val="baseline"/>
        </w:rPr>
        <w:t>identity</w:t>
      </w:r>
      <w:r>
        <w:rPr>
          <w:spacing w:val="-6"/>
          <w:sz w:val="21"/>
          <w:vertAlign w:val="baseline"/>
        </w:rPr>
        <w:t> </w:t>
      </w:r>
      <w:r>
        <w:rPr>
          <w:sz w:val="21"/>
          <w:vertAlign w:val="baseline"/>
        </w:rPr>
        <w:t>through</w:t>
      </w:r>
      <w:r>
        <w:rPr>
          <w:spacing w:val="-5"/>
          <w:sz w:val="21"/>
          <w:vertAlign w:val="baseline"/>
        </w:rPr>
        <w:t> </w:t>
      </w:r>
      <w:r>
        <w:rPr>
          <w:sz w:val="21"/>
          <w:vertAlign w:val="baseline"/>
        </w:rPr>
        <w:t>so-called</w:t>
      </w:r>
      <w:r>
        <w:rPr>
          <w:spacing w:val="-5"/>
          <w:sz w:val="21"/>
          <w:vertAlign w:val="baseline"/>
        </w:rPr>
        <w:t> </w:t>
      </w:r>
      <w:r>
        <w:rPr>
          <w:sz w:val="21"/>
          <w:vertAlign w:val="baseline"/>
        </w:rPr>
        <w:t>"sexual</w:t>
      </w:r>
      <w:r>
        <w:rPr>
          <w:spacing w:val="-5"/>
          <w:sz w:val="21"/>
          <w:vertAlign w:val="baseline"/>
        </w:rPr>
        <w:t> </w:t>
      </w:r>
      <w:r>
        <w:rPr>
          <w:sz w:val="21"/>
          <w:vertAlign w:val="baseline"/>
        </w:rPr>
        <w:t>orientation</w:t>
      </w:r>
      <w:r>
        <w:rPr>
          <w:spacing w:val="-5"/>
          <w:sz w:val="21"/>
          <w:vertAlign w:val="baseline"/>
        </w:rPr>
        <w:t> </w:t>
      </w:r>
      <w:r>
        <w:rPr>
          <w:sz w:val="21"/>
          <w:vertAlign w:val="baseline"/>
        </w:rPr>
        <w:t>and</w:t>
      </w:r>
      <w:r>
        <w:rPr>
          <w:spacing w:val="-5"/>
          <w:sz w:val="21"/>
          <w:vertAlign w:val="baseline"/>
        </w:rPr>
        <w:t> </w:t>
      </w:r>
      <w:r>
        <w:rPr>
          <w:sz w:val="21"/>
          <w:vertAlign w:val="baseline"/>
        </w:rPr>
        <w:t>gender</w:t>
      </w:r>
      <w:r>
        <w:rPr>
          <w:spacing w:val="-5"/>
          <w:sz w:val="21"/>
          <w:vertAlign w:val="baseline"/>
        </w:rPr>
        <w:t> </w:t>
      </w:r>
      <w:r>
        <w:rPr>
          <w:sz w:val="21"/>
          <w:vertAlign w:val="baseline"/>
        </w:rPr>
        <w:t>identity</w:t>
      </w:r>
      <w:r>
        <w:rPr>
          <w:spacing w:val="-6"/>
          <w:sz w:val="21"/>
          <w:vertAlign w:val="baseline"/>
        </w:rPr>
        <w:t> </w:t>
      </w:r>
      <w:r>
        <w:rPr>
          <w:sz w:val="21"/>
          <w:vertAlign w:val="baseline"/>
        </w:rPr>
        <w:t>change</w:t>
      </w:r>
      <w:r>
        <w:rPr>
          <w:spacing w:val="-5"/>
          <w:sz w:val="21"/>
          <w:vertAlign w:val="baseline"/>
        </w:rPr>
        <w:t> </w:t>
      </w:r>
      <w:r>
        <w:rPr>
          <w:sz w:val="21"/>
          <w:vertAlign w:val="baseline"/>
        </w:rPr>
        <w:t>efforts''</w:t>
      </w:r>
      <w:r>
        <w:rPr>
          <w:spacing w:val="-5"/>
          <w:sz w:val="21"/>
          <w:vertAlign w:val="baseline"/>
        </w:rPr>
        <w:t> </w:t>
      </w:r>
      <w:r>
        <w:rPr>
          <w:sz w:val="21"/>
          <w:vertAlign w:val="baseline"/>
        </w:rPr>
        <w:t>by </w:t>
      </w:r>
      <w:bookmarkStart w:name="_bookmark484" w:id="718"/>
      <w:bookmarkEnd w:id="718"/>
      <w:r>
        <w:rPr>
          <w:sz w:val="21"/>
          <w:vertAlign w:val="baseline"/>
        </w:rPr>
        <w:t>h</w:t>
      </w:r>
      <w:r>
        <w:rPr>
          <w:sz w:val="21"/>
          <w:vertAlign w:val="baseline"/>
        </w:rPr>
        <w:t>ealthcare providers.</w:t>
      </w:r>
      <w:hyperlink w:history="true" w:anchor="_bookmark466">
        <w:r>
          <w:rPr>
            <w:sz w:val="21"/>
            <w:vertAlign w:val="superscript"/>
          </w:rPr>
          <w:t>150</w:t>
        </w:r>
      </w:hyperlink>
      <w:r>
        <w:rPr>
          <w:spacing w:val="-2"/>
          <w:sz w:val="21"/>
          <w:vertAlign w:val="baseline"/>
        </w:rPr>
        <w:t> </w:t>
      </w:r>
      <w:r>
        <w:rPr>
          <w:sz w:val="21"/>
          <w:vertAlign w:val="baseline"/>
        </w:rPr>
        <w:t>And in January 2023, DCF welcomed its inaugural Director of LGBTQIA+ Services. </w:t>
      </w:r>
      <w:bookmarkStart w:name="_bookmark485" w:id="719"/>
      <w:bookmarkEnd w:id="719"/>
      <w:r>
        <w:rPr>
          <w:sz w:val="21"/>
          <w:vertAlign w:val="baseline"/>
        </w:rPr>
      </w:r>
      <w:bookmarkStart w:name="_bookmark486" w:id="720"/>
      <w:bookmarkEnd w:id="720"/>
      <w:r>
        <w:rPr>
          <w:sz w:val="21"/>
          <w:vertAlign w:val="baseline"/>
        </w:rPr>
        <w:t>T</w:t>
      </w:r>
      <w:r>
        <w:rPr>
          <w:sz w:val="21"/>
          <w:vertAlign w:val="baseline"/>
        </w:rPr>
        <w:t>his new role is dedicated to leading efforts that enhance the support for children and youth under DCF’s care, focusing on equipping their staff with the necessary resources to create a secure and inclusive environment for gender-expansive young individuals.</w:t>
      </w:r>
      <w:hyperlink w:history="true" w:anchor="_bookmark467">
        <w:r>
          <w:rPr>
            <w:sz w:val="21"/>
            <w:vertAlign w:val="superscript"/>
          </w:rPr>
          <w:t>151</w:t>
        </w:r>
      </w:hyperlink>
    </w:p>
    <w:p>
      <w:pPr>
        <w:spacing w:line="276" w:lineRule="auto" w:before="239"/>
        <w:ind w:left="463" w:right="240" w:firstLine="0"/>
        <w:jc w:val="both"/>
        <w:rPr>
          <w:sz w:val="21"/>
        </w:rPr>
      </w:pPr>
      <w:bookmarkStart w:name="_bookmark487" w:id="721"/>
      <w:bookmarkEnd w:id="721"/>
      <w:r>
        <w:rPr/>
      </w:r>
      <w:bookmarkStart w:name="_bookmark488" w:id="722"/>
      <w:bookmarkEnd w:id="722"/>
      <w:r>
        <w:rPr/>
      </w:r>
      <w:r>
        <w:rPr>
          <w:sz w:val="21"/>
        </w:rPr>
        <w:t>In January 2022, the Massachusetts Trial Court/Juvenile Court Department received a $1.5 million Federal Grant from the Office of Juvenile Justice and Delinquency Prevention (OJJDP) for a Family Drug Court Program.</w:t>
      </w:r>
      <w:hyperlink w:history="true" w:anchor="_bookmark468">
        <w:r>
          <w:rPr>
            <w:sz w:val="21"/>
            <w:vertAlign w:val="superscript"/>
          </w:rPr>
          <w:t>152</w:t>
        </w:r>
      </w:hyperlink>
      <w:r>
        <w:rPr>
          <w:spacing w:val="-2"/>
          <w:sz w:val="21"/>
          <w:vertAlign w:val="baseline"/>
        </w:rPr>
        <w:t> </w:t>
      </w:r>
      <w:r>
        <w:rPr>
          <w:sz w:val="21"/>
          <w:vertAlign w:val="baseline"/>
        </w:rPr>
        <w:t>This</w:t>
      </w:r>
      <w:r>
        <w:rPr>
          <w:spacing w:val="-7"/>
          <w:sz w:val="21"/>
          <w:vertAlign w:val="baseline"/>
        </w:rPr>
        <w:t> </w:t>
      </w:r>
      <w:r>
        <w:rPr>
          <w:sz w:val="21"/>
          <w:vertAlign w:val="baseline"/>
        </w:rPr>
        <w:t>initiative,</w:t>
      </w:r>
      <w:r>
        <w:rPr>
          <w:spacing w:val="-8"/>
          <w:sz w:val="21"/>
          <w:vertAlign w:val="baseline"/>
        </w:rPr>
        <w:t> </w:t>
      </w:r>
      <w:r>
        <w:rPr>
          <w:sz w:val="21"/>
          <w:vertAlign w:val="baseline"/>
        </w:rPr>
        <w:t>which</w:t>
      </w:r>
      <w:r>
        <w:rPr>
          <w:spacing w:val="-8"/>
          <w:sz w:val="21"/>
          <w:vertAlign w:val="baseline"/>
        </w:rPr>
        <w:t> </w:t>
      </w:r>
      <w:r>
        <w:rPr>
          <w:sz w:val="21"/>
          <w:vertAlign w:val="baseline"/>
        </w:rPr>
        <w:t>is</w:t>
      </w:r>
      <w:r>
        <w:rPr>
          <w:spacing w:val="-9"/>
          <w:sz w:val="21"/>
          <w:vertAlign w:val="baseline"/>
        </w:rPr>
        <w:t> </w:t>
      </w:r>
      <w:r>
        <w:rPr>
          <w:sz w:val="21"/>
          <w:vertAlign w:val="baseline"/>
        </w:rPr>
        <w:t>a</w:t>
      </w:r>
      <w:r>
        <w:rPr>
          <w:spacing w:val="-8"/>
          <w:sz w:val="21"/>
          <w:vertAlign w:val="baseline"/>
        </w:rPr>
        <w:t> </w:t>
      </w:r>
      <w:r>
        <w:rPr>
          <w:sz w:val="21"/>
          <w:vertAlign w:val="baseline"/>
        </w:rPr>
        <w:t>collaboration</w:t>
      </w:r>
      <w:r>
        <w:rPr>
          <w:spacing w:val="-8"/>
          <w:sz w:val="21"/>
          <w:vertAlign w:val="baseline"/>
        </w:rPr>
        <w:t> </w:t>
      </w:r>
      <w:r>
        <w:rPr>
          <w:sz w:val="21"/>
          <w:vertAlign w:val="baseline"/>
        </w:rPr>
        <w:t>involving</w:t>
      </w:r>
      <w:r>
        <w:rPr>
          <w:spacing w:val="-8"/>
          <w:sz w:val="21"/>
          <w:vertAlign w:val="baseline"/>
        </w:rPr>
        <w:t> </w:t>
      </w:r>
      <w:r>
        <w:rPr>
          <w:sz w:val="21"/>
          <w:vertAlign w:val="baseline"/>
        </w:rPr>
        <w:t>the</w:t>
      </w:r>
      <w:r>
        <w:rPr>
          <w:spacing w:val="-8"/>
          <w:sz w:val="21"/>
          <w:vertAlign w:val="baseline"/>
        </w:rPr>
        <w:t> </w:t>
      </w:r>
      <w:r>
        <w:rPr>
          <w:sz w:val="21"/>
          <w:vertAlign w:val="baseline"/>
        </w:rPr>
        <w:t>Juvenile</w:t>
      </w:r>
      <w:r>
        <w:rPr>
          <w:spacing w:val="-8"/>
          <w:sz w:val="21"/>
          <w:vertAlign w:val="baseline"/>
        </w:rPr>
        <w:t> </w:t>
      </w:r>
      <w:r>
        <w:rPr>
          <w:sz w:val="21"/>
          <w:vertAlign w:val="baseline"/>
        </w:rPr>
        <w:t>Court</w:t>
      </w:r>
      <w:r>
        <w:rPr>
          <w:spacing w:val="-7"/>
          <w:sz w:val="21"/>
          <w:vertAlign w:val="baseline"/>
        </w:rPr>
        <w:t> </w:t>
      </w:r>
      <w:r>
        <w:rPr>
          <w:sz w:val="21"/>
          <w:vertAlign w:val="baseline"/>
        </w:rPr>
        <w:t>and</w:t>
      </w:r>
      <w:r>
        <w:rPr>
          <w:spacing w:val="-8"/>
          <w:sz w:val="21"/>
          <w:vertAlign w:val="baseline"/>
        </w:rPr>
        <w:t> </w:t>
      </w:r>
      <w:r>
        <w:rPr>
          <w:sz w:val="21"/>
          <w:vertAlign w:val="baseline"/>
        </w:rPr>
        <w:t>leadership</w:t>
      </w:r>
      <w:r>
        <w:rPr>
          <w:spacing w:val="-8"/>
          <w:sz w:val="21"/>
          <w:vertAlign w:val="baseline"/>
        </w:rPr>
        <w:t> </w:t>
      </w:r>
      <w:r>
        <w:rPr>
          <w:sz w:val="21"/>
          <w:vertAlign w:val="baseline"/>
        </w:rPr>
        <w:t>from</w:t>
      </w:r>
      <w:r>
        <w:rPr>
          <w:spacing w:val="-7"/>
          <w:sz w:val="21"/>
          <w:vertAlign w:val="baseline"/>
        </w:rPr>
        <w:t> </w:t>
      </w:r>
      <w:r>
        <w:rPr>
          <w:sz w:val="21"/>
          <w:vertAlign w:val="baseline"/>
        </w:rPr>
        <w:t>various </w:t>
      </w:r>
      <w:bookmarkStart w:name="_bookmark489" w:id="723"/>
      <w:bookmarkEnd w:id="723"/>
      <w:r>
        <w:rPr>
          <w:sz w:val="21"/>
          <w:vertAlign w:val="baseline"/>
        </w:rPr>
      </w:r>
      <w:bookmarkStart w:name="_bookmark490" w:id="724"/>
      <w:bookmarkEnd w:id="724"/>
      <w:r>
        <w:rPr>
          <w:sz w:val="21"/>
          <w:vertAlign w:val="baseline"/>
        </w:rPr>
        <w:t>s</w:t>
      </w:r>
      <w:r>
        <w:rPr>
          <w:sz w:val="21"/>
          <w:vertAlign w:val="baseline"/>
        </w:rPr>
        <w:t>tate departments including DCF, Massachusetts Probation Service, DPH, and DMH, aims to carry out a </w:t>
      </w:r>
      <w:bookmarkStart w:name="_bookmark491" w:id="725"/>
      <w:bookmarkEnd w:id="725"/>
      <w:r>
        <w:rPr>
          <w:sz w:val="21"/>
          <w:vertAlign w:val="baseline"/>
        </w:rPr>
        <w:t>s</w:t>
      </w:r>
      <w:r>
        <w:rPr>
          <w:sz w:val="21"/>
          <w:vertAlign w:val="baseline"/>
        </w:rPr>
        <w:t>tatewide needs assessment and establish 8 family treatment court sessions over three years. </w:t>
      </w:r>
      <w:hyperlink w:history="true" w:anchor="_bookmark469">
        <w:r>
          <w:rPr>
            <w:sz w:val="21"/>
            <w:vertAlign w:val="superscript"/>
          </w:rPr>
          <w:t>153</w:t>
        </w:r>
      </w:hyperlink>
      <w:r>
        <w:rPr>
          <w:sz w:val="21"/>
          <w:vertAlign w:val="baseline"/>
        </w:rPr>
        <w:t> Additionally, this program aligns with the "Upstream" initiative that began in April 2021, focusing on </w:t>
      </w:r>
      <w:bookmarkStart w:name="_bookmark492" w:id="726"/>
      <w:bookmarkEnd w:id="726"/>
      <w:r>
        <w:rPr>
          <w:sz w:val="21"/>
          <w:vertAlign w:val="baseline"/>
        </w:rPr>
      </w:r>
      <w:bookmarkStart w:name="_bookmark493" w:id="727"/>
      <w:bookmarkEnd w:id="727"/>
      <w:r>
        <w:rPr>
          <w:sz w:val="21"/>
          <w:vertAlign w:val="baseline"/>
        </w:rPr>
        <w:t>mapp</w:t>
      </w:r>
      <w:r>
        <w:rPr>
          <w:sz w:val="21"/>
          <w:vertAlign w:val="baseline"/>
        </w:rPr>
        <w:t>ing child welfare resources to identify gaps and create action plans for better collaboration across systems. This initiative has already seen a summit in Hampden County, bringing together various </w:t>
      </w:r>
      <w:r>
        <w:rPr>
          <w:spacing w:val="-2"/>
          <w:sz w:val="21"/>
          <w:vertAlign w:val="baseline"/>
        </w:rPr>
        <w:t>stakeholders.</w:t>
      </w:r>
    </w:p>
    <w:p>
      <w:pPr>
        <w:spacing w:line="276" w:lineRule="auto" w:before="240"/>
        <w:ind w:left="463" w:right="238" w:firstLine="0"/>
        <w:jc w:val="both"/>
        <w:rPr>
          <w:sz w:val="21"/>
        </w:rPr>
      </w:pPr>
      <w:bookmarkStart w:name="_bookmark494" w:id="728"/>
      <w:bookmarkEnd w:id="728"/>
      <w:r>
        <w:rPr/>
      </w:r>
      <w:bookmarkStart w:name="_bookmark495" w:id="729"/>
      <w:bookmarkEnd w:id="729"/>
      <w:r>
        <w:rPr/>
      </w:r>
      <w:r>
        <w:rPr>
          <w:sz w:val="21"/>
        </w:rPr>
        <w:t>The Commonwealth of Massachusetts has implemented a new policy to provide no-cost phone calls for incarcerated</w:t>
      </w:r>
      <w:r>
        <w:rPr>
          <w:spacing w:val="-5"/>
          <w:sz w:val="21"/>
        </w:rPr>
        <w:t> </w:t>
      </w:r>
      <w:r>
        <w:rPr>
          <w:sz w:val="21"/>
        </w:rPr>
        <w:t>individuals</w:t>
      </w:r>
      <w:r>
        <w:rPr>
          <w:spacing w:val="-6"/>
          <w:sz w:val="21"/>
        </w:rPr>
        <w:t> </w:t>
      </w:r>
      <w:r>
        <w:rPr>
          <w:sz w:val="21"/>
        </w:rPr>
        <w:t>across</w:t>
      </w:r>
      <w:r>
        <w:rPr>
          <w:spacing w:val="-6"/>
          <w:sz w:val="21"/>
        </w:rPr>
        <w:t> </w:t>
      </w:r>
      <w:r>
        <w:rPr>
          <w:sz w:val="21"/>
        </w:rPr>
        <w:t>state</w:t>
      </w:r>
      <w:r>
        <w:rPr>
          <w:spacing w:val="-5"/>
          <w:sz w:val="21"/>
        </w:rPr>
        <w:t> </w:t>
      </w:r>
      <w:r>
        <w:rPr>
          <w:sz w:val="21"/>
        </w:rPr>
        <w:t>and</w:t>
      </w:r>
      <w:r>
        <w:rPr>
          <w:spacing w:val="-7"/>
          <w:sz w:val="21"/>
        </w:rPr>
        <w:t> </w:t>
      </w:r>
      <w:r>
        <w:rPr>
          <w:sz w:val="21"/>
        </w:rPr>
        <w:t>county</w:t>
      </w:r>
      <w:r>
        <w:rPr>
          <w:spacing w:val="-6"/>
          <w:sz w:val="21"/>
        </w:rPr>
        <w:t> </w:t>
      </w:r>
      <w:r>
        <w:rPr>
          <w:sz w:val="21"/>
        </w:rPr>
        <w:t>correctional</w:t>
      </w:r>
      <w:r>
        <w:rPr>
          <w:spacing w:val="-5"/>
          <w:sz w:val="21"/>
        </w:rPr>
        <w:t> </w:t>
      </w:r>
      <w:r>
        <w:rPr>
          <w:sz w:val="21"/>
        </w:rPr>
        <w:t>facilities,</w:t>
      </w:r>
      <w:r>
        <w:rPr>
          <w:spacing w:val="-5"/>
          <w:sz w:val="21"/>
        </w:rPr>
        <w:t> </w:t>
      </w:r>
      <w:r>
        <w:rPr>
          <w:sz w:val="21"/>
        </w:rPr>
        <w:t>which</w:t>
      </w:r>
      <w:r>
        <w:rPr>
          <w:spacing w:val="-5"/>
          <w:sz w:val="21"/>
        </w:rPr>
        <w:t> </w:t>
      </w:r>
      <w:r>
        <w:rPr>
          <w:sz w:val="21"/>
        </w:rPr>
        <w:t>came</w:t>
      </w:r>
      <w:r>
        <w:rPr>
          <w:spacing w:val="-7"/>
          <w:sz w:val="21"/>
        </w:rPr>
        <w:t> </w:t>
      </w:r>
      <w:r>
        <w:rPr>
          <w:sz w:val="21"/>
        </w:rPr>
        <w:t>into</w:t>
      </w:r>
      <w:r>
        <w:rPr>
          <w:spacing w:val="-6"/>
          <w:sz w:val="21"/>
        </w:rPr>
        <w:t> </w:t>
      </w:r>
      <w:r>
        <w:rPr>
          <w:sz w:val="21"/>
        </w:rPr>
        <w:t>effect</w:t>
      </w:r>
      <w:r>
        <w:rPr>
          <w:spacing w:val="-5"/>
          <w:sz w:val="21"/>
        </w:rPr>
        <w:t> </w:t>
      </w:r>
      <w:r>
        <w:rPr>
          <w:sz w:val="21"/>
        </w:rPr>
        <w:t>December</w:t>
      </w:r>
      <w:r>
        <w:rPr>
          <w:spacing w:val="-5"/>
          <w:sz w:val="21"/>
        </w:rPr>
        <w:t> </w:t>
      </w:r>
      <w:r>
        <w:rPr>
          <w:sz w:val="21"/>
        </w:rPr>
        <w:t>1,</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38" w:hanging="1"/>
        <w:jc w:val="both"/>
        <w:rPr>
          <w:sz w:val="21"/>
        </w:rPr>
      </w:pPr>
      <w:r>
        <w:rPr>
          <w:sz w:val="21"/>
        </w:rPr>
        <w:t>2023.</w:t>
      </w:r>
      <w:hyperlink w:history="true" w:anchor="_bookmark470">
        <w:r>
          <w:rPr>
            <w:sz w:val="21"/>
            <w:vertAlign w:val="superscript"/>
          </w:rPr>
          <w:t>154</w:t>
        </w:r>
      </w:hyperlink>
      <w:r>
        <w:rPr>
          <w:spacing w:val="-2"/>
          <w:sz w:val="21"/>
          <w:vertAlign w:val="baseline"/>
        </w:rPr>
        <w:t> </w:t>
      </w:r>
      <w:r>
        <w:rPr>
          <w:sz w:val="21"/>
          <w:vertAlign w:val="baseline"/>
        </w:rPr>
        <w:t>This</w:t>
      </w:r>
      <w:r>
        <w:rPr>
          <w:spacing w:val="-4"/>
          <w:sz w:val="21"/>
          <w:vertAlign w:val="baseline"/>
        </w:rPr>
        <w:t> </w:t>
      </w:r>
      <w:r>
        <w:rPr>
          <w:sz w:val="21"/>
          <w:vertAlign w:val="baseline"/>
        </w:rPr>
        <w:t>policy</w:t>
      </w:r>
      <w:r>
        <w:rPr>
          <w:spacing w:val="-3"/>
          <w:sz w:val="21"/>
          <w:vertAlign w:val="baseline"/>
        </w:rPr>
        <w:t> </w:t>
      </w:r>
      <w:r>
        <w:rPr>
          <w:sz w:val="21"/>
          <w:vertAlign w:val="baseline"/>
        </w:rPr>
        <w:t>is</w:t>
      </w:r>
      <w:r>
        <w:rPr>
          <w:spacing w:val="-4"/>
          <w:sz w:val="21"/>
          <w:vertAlign w:val="baseline"/>
        </w:rPr>
        <w:t> </w:t>
      </w:r>
      <w:r>
        <w:rPr>
          <w:sz w:val="21"/>
          <w:vertAlign w:val="baseline"/>
        </w:rPr>
        <w:t>a</w:t>
      </w:r>
      <w:r>
        <w:rPr>
          <w:spacing w:val="-3"/>
          <w:sz w:val="21"/>
          <w:vertAlign w:val="baseline"/>
        </w:rPr>
        <w:t> </w:t>
      </w:r>
      <w:r>
        <w:rPr>
          <w:sz w:val="21"/>
          <w:vertAlign w:val="baseline"/>
        </w:rPr>
        <w:t>result</w:t>
      </w:r>
      <w:r>
        <w:rPr>
          <w:spacing w:val="-3"/>
          <w:sz w:val="21"/>
          <w:vertAlign w:val="baseline"/>
        </w:rPr>
        <w:t> </w:t>
      </w:r>
      <w:r>
        <w:rPr>
          <w:sz w:val="21"/>
          <w:vertAlign w:val="baseline"/>
        </w:rPr>
        <w:t>of</w:t>
      </w:r>
      <w:r>
        <w:rPr>
          <w:spacing w:val="-4"/>
          <w:sz w:val="21"/>
          <w:vertAlign w:val="baseline"/>
        </w:rPr>
        <w:t> </w:t>
      </w:r>
      <w:r>
        <w:rPr>
          <w:sz w:val="21"/>
          <w:vertAlign w:val="baseline"/>
        </w:rPr>
        <w:t>legislation</w:t>
      </w:r>
      <w:r>
        <w:rPr>
          <w:spacing w:val="-3"/>
          <w:sz w:val="21"/>
          <w:vertAlign w:val="baseline"/>
        </w:rPr>
        <w:t> </w:t>
      </w:r>
      <w:r>
        <w:rPr>
          <w:sz w:val="21"/>
          <w:vertAlign w:val="baseline"/>
        </w:rPr>
        <w:t>signed</w:t>
      </w:r>
      <w:r>
        <w:rPr>
          <w:spacing w:val="-3"/>
          <w:sz w:val="21"/>
          <w:vertAlign w:val="baseline"/>
        </w:rPr>
        <w:t> </w:t>
      </w:r>
      <w:r>
        <w:rPr>
          <w:sz w:val="21"/>
          <w:vertAlign w:val="baseline"/>
        </w:rPr>
        <w:t>by</w:t>
      </w:r>
      <w:r>
        <w:rPr>
          <w:spacing w:val="-3"/>
          <w:sz w:val="21"/>
          <w:vertAlign w:val="baseline"/>
        </w:rPr>
        <w:t> </w:t>
      </w:r>
      <w:r>
        <w:rPr>
          <w:sz w:val="21"/>
          <w:vertAlign w:val="baseline"/>
        </w:rPr>
        <w:t>Governor</w:t>
      </w:r>
      <w:r>
        <w:rPr>
          <w:spacing w:val="-3"/>
          <w:sz w:val="21"/>
          <w:vertAlign w:val="baseline"/>
        </w:rPr>
        <w:t> </w:t>
      </w:r>
      <w:r>
        <w:rPr>
          <w:sz w:val="21"/>
          <w:vertAlign w:val="baseline"/>
        </w:rPr>
        <w:t>Maura</w:t>
      </w:r>
      <w:r>
        <w:rPr>
          <w:spacing w:val="-3"/>
          <w:sz w:val="21"/>
          <w:vertAlign w:val="baseline"/>
        </w:rPr>
        <w:t> </w:t>
      </w:r>
      <w:r>
        <w:rPr>
          <w:sz w:val="21"/>
          <w:vertAlign w:val="baseline"/>
        </w:rPr>
        <w:t>Healey,</w:t>
      </w:r>
      <w:r>
        <w:rPr>
          <w:spacing w:val="-3"/>
          <w:sz w:val="21"/>
          <w:vertAlign w:val="baseline"/>
        </w:rPr>
        <w:t> </w:t>
      </w:r>
      <w:r>
        <w:rPr>
          <w:sz w:val="21"/>
          <w:vertAlign w:val="baseline"/>
        </w:rPr>
        <w:t>aimed</w:t>
      </w:r>
      <w:r>
        <w:rPr>
          <w:spacing w:val="-4"/>
          <w:sz w:val="21"/>
          <w:vertAlign w:val="baseline"/>
        </w:rPr>
        <w:t> </w:t>
      </w:r>
      <w:r>
        <w:rPr>
          <w:sz w:val="21"/>
          <w:vertAlign w:val="baseline"/>
        </w:rPr>
        <w:t>at</w:t>
      </w:r>
      <w:r>
        <w:rPr>
          <w:spacing w:val="-3"/>
          <w:sz w:val="21"/>
          <w:vertAlign w:val="baseline"/>
        </w:rPr>
        <w:t> </w:t>
      </w:r>
      <w:r>
        <w:rPr>
          <w:sz w:val="21"/>
          <w:vertAlign w:val="baseline"/>
        </w:rPr>
        <w:t>ensuring</w:t>
      </w:r>
      <w:r>
        <w:rPr>
          <w:spacing w:val="-4"/>
          <w:sz w:val="21"/>
          <w:vertAlign w:val="baseline"/>
        </w:rPr>
        <w:t> </w:t>
      </w:r>
      <w:r>
        <w:rPr>
          <w:sz w:val="21"/>
          <w:vertAlign w:val="baseline"/>
        </w:rPr>
        <w:t>equitable </w:t>
      </w:r>
      <w:bookmarkStart w:name="_bookmark496" w:id="730"/>
      <w:bookmarkEnd w:id="730"/>
      <w:r>
        <w:rPr>
          <w:sz w:val="21"/>
          <w:vertAlign w:val="baseline"/>
        </w:rPr>
      </w:r>
      <w:bookmarkStart w:name="_bookmark497" w:id="731"/>
      <w:bookmarkEnd w:id="731"/>
      <w:r>
        <w:rPr>
          <w:sz w:val="21"/>
          <w:vertAlign w:val="baseline"/>
        </w:rPr>
        <w:t>acc</w:t>
      </w:r>
      <w:r>
        <w:rPr>
          <w:sz w:val="21"/>
          <w:vertAlign w:val="baseline"/>
        </w:rPr>
        <w:t>ess to communication for inmates and their families, recognizing the importance of maintaining </w:t>
      </w:r>
      <w:bookmarkStart w:name="_bookmark498" w:id="732"/>
      <w:bookmarkEnd w:id="732"/>
      <w:r>
        <w:rPr>
          <w:sz w:val="21"/>
          <w:vertAlign w:val="baseline"/>
        </w:rPr>
        <w:t>co</w:t>
      </w:r>
      <w:r>
        <w:rPr>
          <w:sz w:val="21"/>
          <w:vertAlign w:val="baseline"/>
        </w:rPr>
        <w:t>nnections to aid rehabilitation, reduce recidivism, and enhance community safety.</w:t>
      </w:r>
      <w:r>
        <w:rPr>
          <w:spacing w:val="-12"/>
          <w:sz w:val="21"/>
          <w:vertAlign w:val="baseline"/>
        </w:rPr>
        <w:t> </w:t>
      </w:r>
      <w:hyperlink w:history="true" w:anchor="_bookmark471">
        <w:r>
          <w:rPr>
            <w:sz w:val="21"/>
            <w:vertAlign w:val="superscript"/>
          </w:rPr>
          <w:t>155</w:t>
        </w:r>
      </w:hyperlink>
      <w:r>
        <w:rPr>
          <w:sz w:val="21"/>
          <w:vertAlign w:val="baseline"/>
        </w:rPr>
        <w:t> The initiative </w:t>
      </w:r>
      <w:bookmarkStart w:name="_bookmark499" w:id="733"/>
      <w:bookmarkEnd w:id="733"/>
      <w:r>
        <w:rPr>
          <w:sz w:val="21"/>
          <w:vertAlign w:val="baseline"/>
        </w:rPr>
      </w:r>
      <w:bookmarkStart w:name="_bookmark500" w:id="734"/>
      <w:bookmarkEnd w:id="734"/>
      <w:r>
        <w:rPr>
          <w:sz w:val="21"/>
          <w:vertAlign w:val="baseline"/>
        </w:rPr>
        <w:t>i</w:t>
      </w:r>
      <w:r>
        <w:rPr>
          <w:sz w:val="21"/>
          <w:vertAlign w:val="baseline"/>
        </w:rPr>
        <w:t>ncludes</w:t>
      </w:r>
      <w:r>
        <w:rPr>
          <w:spacing w:val="-10"/>
          <w:sz w:val="21"/>
          <w:vertAlign w:val="baseline"/>
        </w:rPr>
        <w:t> </w:t>
      </w:r>
      <w:r>
        <w:rPr>
          <w:sz w:val="21"/>
          <w:vertAlign w:val="baseline"/>
        </w:rPr>
        <w:t>no</w:t>
      </w:r>
      <w:r>
        <w:rPr>
          <w:spacing w:val="-10"/>
          <w:sz w:val="21"/>
          <w:vertAlign w:val="baseline"/>
        </w:rPr>
        <w:t> </w:t>
      </w:r>
      <w:r>
        <w:rPr>
          <w:sz w:val="21"/>
          <w:vertAlign w:val="baseline"/>
        </w:rPr>
        <w:t>limits</w:t>
      </w:r>
      <w:r>
        <w:rPr>
          <w:spacing w:val="-10"/>
          <w:sz w:val="21"/>
          <w:vertAlign w:val="baseline"/>
        </w:rPr>
        <w:t> </w:t>
      </w:r>
      <w:r>
        <w:rPr>
          <w:sz w:val="21"/>
          <w:vertAlign w:val="baseline"/>
        </w:rPr>
        <w:t>on</w:t>
      </w:r>
      <w:r>
        <w:rPr>
          <w:spacing w:val="-9"/>
          <w:sz w:val="21"/>
          <w:vertAlign w:val="baseline"/>
        </w:rPr>
        <w:t> </w:t>
      </w:r>
      <w:r>
        <w:rPr>
          <w:sz w:val="21"/>
          <w:vertAlign w:val="baseline"/>
        </w:rPr>
        <w:t>the</w:t>
      </w:r>
      <w:r>
        <w:rPr>
          <w:spacing w:val="-9"/>
          <w:sz w:val="21"/>
          <w:vertAlign w:val="baseline"/>
        </w:rPr>
        <w:t> </w:t>
      </w:r>
      <w:r>
        <w:rPr>
          <w:sz w:val="21"/>
          <w:vertAlign w:val="baseline"/>
        </w:rPr>
        <w:t>number</w:t>
      </w:r>
      <w:r>
        <w:rPr>
          <w:spacing w:val="-9"/>
          <w:sz w:val="21"/>
          <w:vertAlign w:val="baseline"/>
        </w:rPr>
        <w:t> </w:t>
      </w:r>
      <w:r>
        <w:rPr>
          <w:sz w:val="21"/>
          <w:vertAlign w:val="baseline"/>
        </w:rPr>
        <w:t>of</w:t>
      </w:r>
      <w:r>
        <w:rPr>
          <w:spacing w:val="-10"/>
          <w:sz w:val="21"/>
          <w:vertAlign w:val="baseline"/>
        </w:rPr>
        <w:t> </w:t>
      </w:r>
      <w:r>
        <w:rPr>
          <w:sz w:val="21"/>
          <w:vertAlign w:val="baseline"/>
        </w:rPr>
        <w:t>calls,</w:t>
      </w:r>
      <w:r>
        <w:rPr>
          <w:spacing w:val="-9"/>
          <w:sz w:val="21"/>
          <w:vertAlign w:val="baseline"/>
        </w:rPr>
        <w:t> </w:t>
      </w:r>
      <w:r>
        <w:rPr>
          <w:sz w:val="21"/>
          <w:vertAlign w:val="baseline"/>
        </w:rPr>
        <w:t>with</w:t>
      </w:r>
      <w:r>
        <w:rPr>
          <w:spacing w:val="-9"/>
          <w:sz w:val="21"/>
          <w:vertAlign w:val="baseline"/>
        </w:rPr>
        <w:t> </w:t>
      </w:r>
      <w:r>
        <w:rPr>
          <w:sz w:val="21"/>
          <w:vertAlign w:val="baseline"/>
        </w:rPr>
        <w:t>the</w:t>
      </w:r>
      <w:r>
        <w:rPr>
          <w:spacing w:val="-9"/>
          <w:sz w:val="21"/>
          <w:vertAlign w:val="baseline"/>
        </w:rPr>
        <w:t> </w:t>
      </w:r>
      <w:r>
        <w:rPr>
          <w:sz w:val="21"/>
          <w:vertAlign w:val="baseline"/>
        </w:rPr>
        <w:t>aim</w:t>
      </w:r>
      <w:r>
        <w:rPr>
          <w:spacing w:val="-10"/>
          <w:sz w:val="21"/>
          <w:vertAlign w:val="baseline"/>
        </w:rPr>
        <w:t> </w:t>
      </w:r>
      <w:r>
        <w:rPr>
          <w:sz w:val="21"/>
          <w:vertAlign w:val="baseline"/>
        </w:rPr>
        <w:t>to</w:t>
      </w:r>
      <w:r>
        <w:rPr>
          <w:spacing w:val="-10"/>
          <w:sz w:val="21"/>
          <w:vertAlign w:val="baseline"/>
        </w:rPr>
        <w:t> </w:t>
      </w:r>
      <w:r>
        <w:rPr>
          <w:sz w:val="21"/>
          <w:vertAlign w:val="baseline"/>
        </w:rPr>
        <w:t>alleviate</w:t>
      </w:r>
      <w:r>
        <w:rPr>
          <w:spacing w:val="-9"/>
          <w:sz w:val="21"/>
          <w:vertAlign w:val="baseline"/>
        </w:rPr>
        <w:t> </w:t>
      </w:r>
      <w:r>
        <w:rPr>
          <w:sz w:val="21"/>
          <w:vertAlign w:val="baseline"/>
        </w:rPr>
        <w:t>financial</w:t>
      </w:r>
      <w:r>
        <w:rPr>
          <w:spacing w:val="-9"/>
          <w:sz w:val="21"/>
          <w:vertAlign w:val="baseline"/>
        </w:rPr>
        <w:t> </w:t>
      </w:r>
      <w:r>
        <w:rPr>
          <w:sz w:val="21"/>
          <w:vertAlign w:val="baseline"/>
        </w:rPr>
        <w:t>burdens</w:t>
      </w:r>
      <w:r>
        <w:rPr>
          <w:spacing w:val="-10"/>
          <w:sz w:val="21"/>
          <w:vertAlign w:val="baseline"/>
        </w:rPr>
        <w:t> </w:t>
      </w:r>
      <w:r>
        <w:rPr>
          <w:sz w:val="21"/>
          <w:vertAlign w:val="baseline"/>
        </w:rPr>
        <w:t>on</w:t>
      </w:r>
      <w:r>
        <w:rPr>
          <w:spacing w:val="-9"/>
          <w:sz w:val="21"/>
          <w:vertAlign w:val="baseline"/>
        </w:rPr>
        <w:t> </w:t>
      </w:r>
      <w:r>
        <w:rPr>
          <w:sz w:val="21"/>
          <w:vertAlign w:val="baseline"/>
        </w:rPr>
        <w:t>families</w:t>
      </w:r>
      <w:r>
        <w:rPr>
          <w:spacing w:val="-10"/>
          <w:sz w:val="21"/>
          <w:vertAlign w:val="baseline"/>
        </w:rPr>
        <w:t> </w:t>
      </w:r>
      <w:r>
        <w:rPr>
          <w:sz w:val="21"/>
          <w:vertAlign w:val="baseline"/>
        </w:rPr>
        <w:t>and</w:t>
      </w:r>
      <w:r>
        <w:rPr>
          <w:spacing w:val="-9"/>
          <w:sz w:val="21"/>
          <w:vertAlign w:val="baseline"/>
        </w:rPr>
        <w:t> </w:t>
      </w:r>
      <w:r>
        <w:rPr>
          <w:sz w:val="21"/>
          <w:vertAlign w:val="baseline"/>
        </w:rPr>
        <w:t>support </w:t>
      </w:r>
      <w:bookmarkStart w:name="_bookmark501" w:id="735"/>
      <w:bookmarkEnd w:id="735"/>
      <w:r>
        <w:rPr>
          <w:sz w:val="21"/>
          <w:vertAlign w:val="baseline"/>
        </w:rPr>
        <w:t>the</w:t>
      </w:r>
      <w:r>
        <w:rPr>
          <w:sz w:val="21"/>
          <w:vertAlign w:val="baseline"/>
        </w:rPr>
        <w:t> previously incarcerated individuals’ reintegration into society.</w:t>
      </w:r>
      <w:hyperlink w:history="true" w:anchor="_bookmark472">
        <w:r>
          <w:rPr>
            <w:sz w:val="21"/>
            <w:vertAlign w:val="superscript"/>
          </w:rPr>
          <w:t>156</w:t>
        </w:r>
      </w:hyperlink>
      <w:r>
        <w:rPr>
          <w:spacing w:val="-2"/>
          <w:sz w:val="21"/>
          <w:vertAlign w:val="baseline"/>
        </w:rPr>
        <w:t> </w:t>
      </w:r>
      <w:r>
        <w:rPr>
          <w:sz w:val="21"/>
          <w:vertAlign w:val="baseline"/>
        </w:rPr>
        <w:t>Additional efforts are being made to increase call access and explore alternative communication methods, such as through tablets.</w:t>
      </w:r>
      <w:r>
        <w:rPr>
          <w:spacing w:val="-12"/>
          <w:sz w:val="21"/>
          <w:vertAlign w:val="baseline"/>
        </w:rPr>
        <w:t> </w:t>
      </w:r>
      <w:hyperlink w:history="true" w:anchor="_bookmark473">
        <w:r>
          <w:rPr>
            <w:sz w:val="21"/>
            <w:vertAlign w:val="superscript"/>
          </w:rPr>
          <w:t>157</w:t>
        </w:r>
      </w:hyperlink>
      <w:r>
        <w:rPr>
          <w:sz w:val="21"/>
          <w:vertAlign w:val="baseline"/>
        </w:rPr>
        <w:t> The </w:t>
      </w:r>
      <w:bookmarkStart w:name="_bookmark502" w:id="736"/>
      <w:bookmarkEnd w:id="736"/>
      <w:r>
        <w:rPr>
          <w:sz w:val="21"/>
          <w:vertAlign w:val="baseline"/>
        </w:rPr>
        <w:t>D</w:t>
      </w:r>
      <w:r>
        <w:rPr>
          <w:sz w:val="21"/>
          <w:vertAlign w:val="baseline"/>
        </w:rPr>
        <w:t>epartment</w:t>
      </w:r>
      <w:r>
        <w:rPr>
          <w:spacing w:val="-9"/>
          <w:sz w:val="21"/>
          <w:vertAlign w:val="baseline"/>
        </w:rPr>
        <w:t> </w:t>
      </w:r>
      <w:r>
        <w:rPr>
          <w:sz w:val="21"/>
          <w:vertAlign w:val="baseline"/>
        </w:rPr>
        <w:t>has</w:t>
      </w:r>
      <w:r>
        <w:rPr>
          <w:spacing w:val="-8"/>
          <w:sz w:val="21"/>
          <w:vertAlign w:val="baseline"/>
        </w:rPr>
        <w:t> </w:t>
      </w:r>
      <w:r>
        <w:rPr>
          <w:sz w:val="21"/>
          <w:vertAlign w:val="baseline"/>
        </w:rPr>
        <w:t>taken</w:t>
      </w:r>
      <w:r>
        <w:rPr>
          <w:spacing w:val="-8"/>
          <w:sz w:val="21"/>
          <w:vertAlign w:val="baseline"/>
        </w:rPr>
        <w:t> </w:t>
      </w:r>
      <w:r>
        <w:rPr>
          <w:sz w:val="21"/>
          <w:vertAlign w:val="baseline"/>
        </w:rPr>
        <w:t>steps</w:t>
      </w:r>
      <w:r>
        <w:rPr>
          <w:spacing w:val="-10"/>
          <w:sz w:val="21"/>
          <w:vertAlign w:val="baseline"/>
        </w:rPr>
        <w:t> </w:t>
      </w:r>
      <w:r>
        <w:rPr>
          <w:sz w:val="21"/>
          <w:vertAlign w:val="baseline"/>
        </w:rPr>
        <w:t>to</w:t>
      </w:r>
      <w:r>
        <w:rPr>
          <w:spacing w:val="-8"/>
          <w:sz w:val="21"/>
          <w:vertAlign w:val="baseline"/>
        </w:rPr>
        <w:t> </w:t>
      </w:r>
      <w:r>
        <w:rPr>
          <w:sz w:val="21"/>
          <w:vertAlign w:val="baseline"/>
        </w:rPr>
        <w:t>inform</w:t>
      </w:r>
      <w:r>
        <w:rPr>
          <w:spacing w:val="-8"/>
          <w:sz w:val="21"/>
          <w:vertAlign w:val="baseline"/>
        </w:rPr>
        <w:t> </w:t>
      </w:r>
      <w:r>
        <w:rPr>
          <w:sz w:val="21"/>
          <w:vertAlign w:val="baseline"/>
        </w:rPr>
        <w:t>the</w:t>
      </w:r>
      <w:r>
        <w:rPr>
          <w:spacing w:val="-9"/>
          <w:sz w:val="21"/>
          <w:vertAlign w:val="baseline"/>
        </w:rPr>
        <w:t> </w:t>
      </w:r>
      <w:r>
        <w:rPr>
          <w:sz w:val="21"/>
          <w:vertAlign w:val="baseline"/>
        </w:rPr>
        <w:t>incarcerated</w:t>
      </w:r>
      <w:r>
        <w:rPr>
          <w:spacing w:val="-8"/>
          <w:sz w:val="21"/>
          <w:vertAlign w:val="baseline"/>
        </w:rPr>
        <w:t> </w:t>
      </w:r>
      <w:r>
        <w:rPr>
          <w:sz w:val="21"/>
          <w:vertAlign w:val="baseline"/>
        </w:rPr>
        <w:t>population</w:t>
      </w:r>
      <w:r>
        <w:rPr>
          <w:spacing w:val="-8"/>
          <w:sz w:val="21"/>
          <w:vertAlign w:val="baseline"/>
        </w:rPr>
        <w:t> </w:t>
      </w:r>
      <w:r>
        <w:rPr>
          <w:sz w:val="21"/>
          <w:vertAlign w:val="baseline"/>
        </w:rPr>
        <w:t>and</w:t>
      </w:r>
      <w:r>
        <w:rPr>
          <w:spacing w:val="-9"/>
          <w:sz w:val="21"/>
          <w:vertAlign w:val="baseline"/>
        </w:rPr>
        <w:t> </w:t>
      </w:r>
      <w:r>
        <w:rPr>
          <w:sz w:val="21"/>
          <w:vertAlign w:val="baseline"/>
        </w:rPr>
        <w:t>their</w:t>
      </w:r>
      <w:r>
        <w:rPr>
          <w:spacing w:val="-8"/>
          <w:sz w:val="21"/>
          <w:vertAlign w:val="baseline"/>
        </w:rPr>
        <w:t> </w:t>
      </w:r>
      <w:r>
        <w:rPr>
          <w:sz w:val="21"/>
          <w:vertAlign w:val="baseline"/>
        </w:rPr>
        <w:t>families</w:t>
      </w:r>
      <w:r>
        <w:rPr>
          <w:spacing w:val="-8"/>
          <w:sz w:val="21"/>
          <w:vertAlign w:val="baseline"/>
        </w:rPr>
        <w:t> </w:t>
      </w:r>
      <w:r>
        <w:rPr>
          <w:sz w:val="21"/>
          <w:vertAlign w:val="baseline"/>
        </w:rPr>
        <w:t>about</w:t>
      </w:r>
      <w:r>
        <w:rPr>
          <w:spacing w:val="-7"/>
          <w:sz w:val="21"/>
          <w:vertAlign w:val="baseline"/>
        </w:rPr>
        <w:t> </w:t>
      </w:r>
      <w:r>
        <w:rPr>
          <w:sz w:val="21"/>
          <w:vertAlign w:val="baseline"/>
        </w:rPr>
        <w:t>this</w:t>
      </w:r>
      <w:r>
        <w:rPr>
          <w:spacing w:val="-8"/>
          <w:sz w:val="21"/>
          <w:vertAlign w:val="baseline"/>
        </w:rPr>
        <w:t> </w:t>
      </w:r>
      <w:r>
        <w:rPr>
          <w:sz w:val="21"/>
          <w:vertAlign w:val="baseline"/>
        </w:rPr>
        <w:t>change</w:t>
      </w:r>
      <w:r>
        <w:rPr>
          <w:spacing w:val="-8"/>
          <w:sz w:val="21"/>
          <w:vertAlign w:val="baseline"/>
        </w:rPr>
        <w:t> </w:t>
      </w:r>
      <w:r>
        <w:rPr>
          <w:sz w:val="21"/>
          <w:vertAlign w:val="baseline"/>
        </w:rPr>
        <w:t>and </w:t>
      </w:r>
      <w:bookmarkStart w:name="_bookmark503" w:id="737"/>
      <w:bookmarkEnd w:id="737"/>
      <w:r>
        <w:rPr>
          <w:sz w:val="21"/>
          <w:vertAlign w:val="baseline"/>
        </w:rPr>
        <w:t>i</w:t>
      </w:r>
      <w:r>
        <w:rPr>
          <w:sz w:val="21"/>
          <w:vertAlign w:val="baseline"/>
        </w:rPr>
        <w:t>s working on infrastructure improvements to accommodate the expected increase in call volume.</w:t>
      </w:r>
      <w:hyperlink w:history="true" w:anchor="_bookmark474">
        <w:r>
          <w:rPr>
            <w:sz w:val="21"/>
            <w:vertAlign w:val="superscript"/>
          </w:rPr>
          <w:t>158</w:t>
        </w:r>
      </w:hyperlink>
      <w:r>
        <w:rPr>
          <w:spacing w:val="-2"/>
          <w:sz w:val="21"/>
          <w:vertAlign w:val="baseline"/>
        </w:rPr>
        <w:t> </w:t>
      </w:r>
      <w:r>
        <w:rPr>
          <w:sz w:val="21"/>
          <w:vertAlign w:val="baseline"/>
        </w:rPr>
        <w:t>This </w:t>
      </w:r>
      <w:bookmarkStart w:name="_bookmark504" w:id="738"/>
      <w:bookmarkEnd w:id="738"/>
      <w:r>
        <w:rPr>
          <w:sz w:val="21"/>
          <w:vertAlign w:val="baseline"/>
        </w:rPr>
        <w:t>m</w:t>
      </w:r>
      <w:r>
        <w:rPr>
          <w:sz w:val="21"/>
          <w:vertAlign w:val="baseline"/>
        </w:rPr>
        <w:t>ove makes Massachusetts the fifth state in the nation to eliminate fees for prison phone calls, joining </w:t>
      </w:r>
      <w:bookmarkStart w:name="_bookmark505" w:id="739"/>
      <w:bookmarkEnd w:id="739"/>
      <w:r>
        <w:rPr>
          <w:sz w:val="21"/>
          <w:vertAlign w:val="baseline"/>
        </w:rPr>
      </w:r>
      <w:bookmarkStart w:name="_bookmark506" w:id="740"/>
      <w:bookmarkEnd w:id="740"/>
      <w:r>
        <w:rPr>
          <w:sz w:val="21"/>
          <w:vertAlign w:val="baseline"/>
        </w:rPr>
        <w:t>C</w:t>
      </w:r>
      <w:r>
        <w:rPr>
          <w:sz w:val="21"/>
          <w:vertAlign w:val="baseline"/>
        </w:rPr>
        <w:t>onnecticut,</w:t>
      </w:r>
      <w:r>
        <w:rPr>
          <w:spacing w:val="-10"/>
          <w:sz w:val="21"/>
          <w:vertAlign w:val="baseline"/>
        </w:rPr>
        <w:t> </w:t>
      </w:r>
      <w:r>
        <w:rPr>
          <w:sz w:val="21"/>
          <w:vertAlign w:val="baseline"/>
        </w:rPr>
        <w:t>California,</w:t>
      </w:r>
      <w:r>
        <w:rPr>
          <w:spacing w:val="-9"/>
          <w:sz w:val="21"/>
          <w:vertAlign w:val="baseline"/>
        </w:rPr>
        <w:t> </w:t>
      </w:r>
      <w:r>
        <w:rPr>
          <w:sz w:val="21"/>
          <w:vertAlign w:val="baseline"/>
        </w:rPr>
        <w:t>Minnesota,</w:t>
      </w:r>
      <w:r>
        <w:rPr>
          <w:spacing w:val="-9"/>
          <w:sz w:val="21"/>
          <w:vertAlign w:val="baseline"/>
        </w:rPr>
        <w:t> </w:t>
      </w:r>
      <w:r>
        <w:rPr>
          <w:sz w:val="21"/>
          <w:vertAlign w:val="baseline"/>
        </w:rPr>
        <w:t>and</w:t>
      </w:r>
      <w:r>
        <w:rPr>
          <w:spacing w:val="-10"/>
          <w:sz w:val="21"/>
          <w:vertAlign w:val="baseline"/>
        </w:rPr>
        <w:t> </w:t>
      </w:r>
      <w:r>
        <w:rPr>
          <w:sz w:val="21"/>
          <w:vertAlign w:val="baseline"/>
        </w:rPr>
        <w:t>Colorado,</w:t>
      </w:r>
      <w:r>
        <w:rPr>
          <w:spacing w:val="-9"/>
          <w:sz w:val="21"/>
          <w:vertAlign w:val="baseline"/>
        </w:rPr>
        <w:t> </w:t>
      </w:r>
      <w:r>
        <w:rPr>
          <w:sz w:val="21"/>
          <w:vertAlign w:val="baseline"/>
        </w:rPr>
        <w:t>reflecting</w:t>
      </w:r>
      <w:r>
        <w:rPr>
          <w:spacing w:val="-9"/>
          <w:sz w:val="21"/>
          <w:vertAlign w:val="baseline"/>
        </w:rPr>
        <w:t> </w:t>
      </w:r>
      <w:r>
        <w:rPr>
          <w:sz w:val="21"/>
          <w:vertAlign w:val="baseline"/>
        </w:rPr>
        <w:t>a</w:t>
      </w:r>
      <w:r>
        <w:rPr>
          <w:spacing w:val="-9"/>
          <w:sz w:val="21"/>
          <w:vertAlign w:val="baseline"/>
        </w:rPr>
        <w:t> </w:t>
      </w:r>
      <w:r>
        <w:rPr>
          <w:sz w:val="21"/>
          <w:vertAlign w:val="baseline"/>
        </w:rPr>
        <w:t>broader</w:t>
      </w:r>
      <w:r>
        <w:rPr>
          <w:spacing w:val="-9"/>
          <w:sz w:val="21"/>
          <w:vertAlign w:val="baseline"/>
        </w:rPr>
        <w:t> </w:t>
      </w:r>
      <w:r>
        <w:rPr>
          <w:sz w:val="21"/>
          <w:vertAlign w:val="baseline"/>
        </w:rPr>
        <w:t>trend</w:t>
      </w:r>
      <w:r>
        <w:rPr>
          <w:spacing w:val="-10"/>
          <w:sz w:val="21"/>
          <w:vertAlign w:val="baseline"/>
        </w:rPr>
        <w:t> </w:t>
      </w:r>
      <w:r>
        <w:rPr>
          <w:sz w:val="21"/>
          <w:vertAlign w:val="baseline"/>
        </w:rPr>
        <w:t>towards</w:t>
      </w:r>
      <w:r>
        <w:rPr>
          <w:spacing w:val="-9"/>
          <w:sz w:val="21"/>
          <w:vertAlign w:val="baseline"/>
        </w:rPr>
        <w:t> </w:t>
      </w:r>
      <w:r>
        <w:rPr>
          <w:sz w:val="21"/>
          <w:vertAlign w:val="baseline"/>
        </w:rPr>
        <w:t>reducing</w:t>
      </w:r>
      <w:r>
        <w:rPr>
          <w:spacing w:val="-9"/>
          <w:sz w:val="21"/>
          <w:vertAlign w:val="baseline"/>
        </w:rPr>
        <w:t> </w:t>
      </w:r>
      <w:r>
        <w:rPr>
          <w:sz w:val="21"/>
          <w:vertAlign w:val="baseline"/>
        </w:rPr>
        <w:t>the</w:t>
      </w:r>
      <w:r>
        <w:rPr>
          <w:spacing w:val="-9"/>
          <w:sz w:val="21"/>
          <w:vertAlign w:val="baseline"/>
        </w:rPr>
        <w:t> </w:t>
      </w:r>
      <w:r>
        <w:rPr>
          <w:sz w:val="21"/>
          <w:vertAlign w:val="baseline"/>
        </w:rPr>
        <w:t>financial </w:t>
      </w:r>
      <w:bookmarkStart w:name="_bookmark507" w:id="741"/>
      <w:bookmarkEnd w:id="741"/>
      <w:r>
        <w:rPr>
          <w:sz w:val="21"/>
          <w:vertAlign w:val="baseline"/>
        </w:rPr>
        <w:t>impact</w:t>
      </w:r>
      <w:r>
        <w:rPr>
          <w:sz w:val="21"/>
          <w:vertAlign w:val="baseline"/>
        </w:rPr>
        <w:t> of incarceration on families.</w:t>
      </w:r>
      <w:hyperlink w:history="true" w:anchor="_bookmark475">
        <w:r>
          <w:rPr>
            <w:sz w:val="21"/>
            <w:vertAlign w:val="superscript"/>
          </w:rPr>
          <w:t>159</w:t>
        </w:r>
      </w:hyperlink>
    </w:p>
    <w:p>
      <w:pPr>
        <w:spacing w:line="276" w:lineRule="auto" w:before="239"/>
        <w:ind w:left="463" w:right="238" w:firstLine="0"/>
        <w:jc w:val="both"/>
        <w:rPr>
          <w:sz w:val="21"/>
        </w:rPr>
      </w:pPr>
      <w:bookmarkStart w:name="_bookmark508" w:id="742"/>
      <w:bookmarkEnd w:id="742"/>
      <w:r>
        <w:rPr/>
      </w:r>
      <w:r>
        <w:rPr>
          <w:sz w:val="21"/>
        </w:rPr>
        <w:t>Massachusetts has become the first state to ban life sentences without parole for individuals under 21, </w:t>
      </w:r>
      <w:bookmarkStart w:name="_bookmark509" w:id="743"/>
      <w:bookmarkEnd w:id="743"/>
      <w:r>
        <w:rPr>
          <w:sz w:val="21"/>
        </w:rPr>
        <w:t>f</w:t>
      </w:r>
      <w:r>
        <w:rPr>
          <w:sz w:val="21"/>
        </w:rPr>
        <w:t>ollowing a recent decision by the State's Supreme Judicial Court.</w:t>
      </w:r>
      <w:hyperlink w:history="true" w:anchor="_bookmark476">
        <w:r>
          <w:rPr>
            <w:sz w:val="21"/>
            <w:vertAlign w:val="superscript"/>
          </w:rPr>
          <w:t>160</w:t>
        </w:r>
      </w:hyperlink>
      <w:r>
        <w:rPr>
          <w:spacing w:val="-2"/>
          <w:sz w:val="21"/>
          <w:vertAlign w:val="baseline"/>
        </w:rPr>
        <w:t> </w:t>
      </w:r>
      <w:r>
        <w:rPr>
          <w:sz w:val="21"/>
          <w:vertAlign w:val="baseline"/>
        </w:rPr>
        <w:t>Previously, Massachusetts mandated </w:t>
      </w:r>
      <w:bookmarkStart w:name="_bookmark510" w:id="744"/>
      <w:bookmarkEnd w:id="744"/>
      <w:r>
        <w:rPr>
          <w:sz w:val="21"/>
          <w:vertAlign w:val="baseline"/>
        </w:rPr>
        <w:t>li</w:t>
      </w:r>
      <w:r>
        <w:rPr>
          <w:sz w:val="21"/>
          <w:vertAlign w:val="baseline"/>
        </w:rPr>
        <w:t>fe without parole for first-degree murderers aged 18 to 20.</w:t>
      </w:r>
      <w:r>
        <w:rPr>
          <w:spacing w:val="-7"/>
          <w:sz w:val="21"/>
          <w:vertAlign w:val="baseline"/>
        </w:rPr>
        <w:t> </w:t>
      </w:r>
      <w:hyperlink w:history="true" w:anchor="_bookmark477">
        <w:r>
          <w:rPr>
            <w:sz w:val="21"/>
            <w:vertAlign w:val="superscript"/>
          </w:rPr>
          <w:t>161</w:t>
        </w:r>
      </w:hyperlink>
      <w:r>
        <w:rPr>
          <w:sz w:val="21"/>
          <w:vertAlign w:val="baseline"/>
        </w:rPr>
        <w:t> This new ruling acknowledges the neurological</w:t>
      </w:r>
      <w:r>
        <w:rPr>
          <w:spacing w:val="-12"/>
          <w:sz w:val="21"/>
          <w:vertAlign w:val="baseline"/>
        </w:rPr>
        <w:t> </w:t>
      </w:r>
      <w:r>
        <w:rPr>
          <w:sz w:val="21"/>
          <w:vertAlign w:val="baseline"/>
        </w:rPr>
        <w:t>similarities</w:t>
      </w:r>
      <w:r>
        <w:rPr>
          <w:spacing w:val="-12"/>
          <w:sz w:val="21"/>
          <w:vertAlign w:val="baseline"/>
        </w:rPr>
        <w:t> </w:t>
      </w:r>
      <w:r>
        <w:rPr>
          <w:sz w:val="21"/>
          <w:vertAlign w:val="baseline"/>
        </w:rPr>
        <w:t>between</w:t>
      </w:r>
      <w:r>
        <w:rPr>
          <w:spacing w:val="-12"/>
          <w:sz w:val="21"/>
          <w:vertAlign w:val="baseline"/>
        </w:rPr>
        <w:t> </w:t>
      </w:r>
      <w:r>
        <w:rPr>
          <w:sz w:val="21"/>
          <w:vertAlign w:val="baseline"/>
        </w:rPr>
        <w:t>"emerging</w:t>
      </w:r>
      <w:r>
        <w:rPr>
          <w:spacing w:val="-11"/>
          <w:sz w:val="21"/>
          <w:vertAlign w:val="baseline"/>
        </w:rPr>
        <w:t> </w:t>
      </w:r>
      <w:r>
        <w:rPr>
          <w:sz w:val="21"/>
          <w:vertAlign w:val="baseline"/>
        </w:rPr>
        <w:t>adults"</w:t>
      </w:r>
      <w:r>
        <w:rPr>
          <w:spacing w:val="-12"/>
          <w:sz w:val="21"/>
          <w:vertAlign w:val="baseline"/>
        </w:rPr>
        <w:t> </w:t>
      </w:r>
      <w:r>
        <w:rPr>
          <w:sz w:val="21"/>
          <w:vertAlign w:val="baseline"/>
        </w:rPr>
        <w:t>and</w:t>
      </w:r>
      <w:r>
        <w:rPr>
          <w:spacing w:val="-12"/>
          <w:sz w:val="21"/>
          <w:vertAlign w:val="baseline"/>
        </w:rPr>
        <w:t> </w:t>
      </w:r>
      <w:r>
        <w:rPr>
          <w:sz w:val="21"/>
          <w:vertAlign w:val="baseline"/>
        </w:rPr>
        <w:t>juveniles,</w:t>
      </w:r>
      <w:r>
        <w:rPr>
          <w:spacing w:val="-12"/>
          <w:sz w:val="21"/>
          <w:vertAlign w:val="baseline"/>
        </w:rPr>
        <w:t> </w:t>
      </w:r>
      <w:r>
        <w:rPr>
          <w:sz w:val="21"/>
          <w:vertAlign w:val="baseline"/>
        </w:rPr>
        <w:t>highlighting</w:t>
      </w:r>
      <w:r>
        <w:rPr>
          <w:spacing w:val="-12"/>
          <w:sz w:val="21"/>
          <w:vertAlign w:val="baseline"/>
        </w:rPr>
        <w:t> </w:t>
      </w:r>
      <w:r>
        <w:rPr>
          <w:sz w:val="21"/>
          <w:vertAlign w:val="baseline"/>
        </w:rPr>
        <w:t>that</w:t>
      </w:r>
      <w:r>
        <w:rPr>
          <w:spacing w:val="-12"/>
          <w:sz w:val="21"/>
          <w:vertAlign w:val="baseline"/>
        </w:rPr>
        <w:t> </w:t>
      </w:r>
      <w:r>
        <w:rPr>
          <w:sz w:val="21"/>
          <w:vertAlign w:val="baseline"/>
        </w:rPr>
        <w:t>their</w:t>
      </w:r>
      <w:r>
        <w:rPr>
          <w:spacing w:val="-10"/>
          <w:sz w:val="21"/>
          <w:vertAlign w:val="baseline"/>
        </w:rPr>
        <w:t> </w:t>
      </w:r>
      <w:r>
        <w:rPr>
          <w:sz w:val="21"/>
          <w:vertAlign w:val="baseline"/>
        </w:rPr>
        <w:t>brains</w:t>
      </w:r>
      <w:r>
        <w:rPr>
          <w:spacing w:val="-12"/>
          <w:sz w:val="21"/>
          <w:vertAlign w:val="baseline"/>
        </w:rPr>
        <w:t> </w:t>
      </w:r>
      <w:r>
        <w:rPr>
          <w:sz w:val="21"/>
          <w:vertAlign w:val="baseline"/>
        </w:rPr>
        <w:t>are</w:t>
      </w:r>
      <w:r>
        <w:rPr>
          <w:spacing w:val="-11"/>
          <w:sz w:val="21"/>
          <w:vertAlign w:val="baseline"/>
        </w:rPr>
        <w:t> </w:t>
      </w:r>
      <w:r>
        <w:rPr>
          <w:sz w:val="21"/>
          <w:vertAlign w:val="baseline"/>
        </w:rPr>
        <w:t>not</w:t>
      </w:r>
      <w:r>
        <w:rPr>
          <w:spacing w:val="-12"/>
          <w:sz w:val="21"/>
          <w:vertAlign w:val="baseline"/>
        </w:rPr>
        <w:t> </w:t>
      </w:r>
      <w:r>
        <w:rPr>
          <w:sz w:val="21"/>
          <w:vertAlign w:val="baseline"/>
        </w:rPr>
        <w:t>fully </w:t>
      </w:r>
      <w:bookmarkStart w:name="_bookmark511" w:id="745"/>
      <w:bookmarkEnd w:id="745"/>
      <w:r>
        <w:rPr>
          <w:sz w:val="21"/>
          <w:vertAlign w:val="baseline"/>
        </w:rPr>
      </w:r>
      <w:bookmarkStart w:name="_bookmark512" w:id="746"/>
      <w:bookmarkEnd w:id="746"/>
      <w:r>
        <w:rPr>
          <w:sz w:val="21"/>
          <w:vertAlign w:val="baseline"/>
        </w:rPr>
        <w:t>matu</w:t>
      </w:r>
      <w:r>
        <w:rPr>
          <w:sz w:val="21"/>
          <w:vertAlign w:val="baseline"/>
        </w:rPr>
        <w:t>red, which impacts</w:t>
      </w:r>
      <w:r>
        <w:rPr>
          <w:spacing w:val="-1"/>
          <w:sz w:val="21"/>
          <w:vertAlign w:val="baseline"/>
        </w:rPr>
        <w:t> </w:t>
      </w:r>
      <w:r>
        <w:rPr>
          <w:sz w:val="21"/>
          <w:vertAlign w:val="baseline"/>
        </w:rPr>
        <w:t>their decision-making.</w:t>
      </w:r>
      <w:hyperlink w:history="true" w:anchor="_bookmark478">
        <w:r>
          <w:rPr>
            <w:sz w:val="21"/>
            <w:vertAlign w:val="superscript"/>
          </w:rPr>
          <w:t>162</w:t>
        </w:r>
      </w:hyperlink>
      <w:r>
        <w:rPr>
          <w:spacing w:val="-2"/>
          <w:sz w:val="21"/>
          <w:vertAlign w:val="baseline"/>
        </w:rPr>
        <w:t> </w:t>
      </w:r>
      <w:r>
        <w:rPr>
          <w:sz w:val="21"/>
          <w:vertAlign w:val="baseline"/>
        </w:rPr>
        <w:t>As a result of this decision, approximately 70 individuals currently serving life sentences will now be eligible for parole in Suffolk County alone.</w:t>
      </w:r>
      <w:r>
        <w:rPr>
          <w:spacing w:val="-12"/>
          <w:sz w:val="21"/>
          <w:vertAlign w:val="baseline"/>
        </w:rPr>
        <w:t> </w:t>
      </w:r>
      <w:hyperlink w:history="true" w:anchor="_bookmark479">
        <w:r>
          <w:rPr>
            <w:sz w:val="21"/>
            <w:vertAlign w:val="superscript"/>
          </w:rPr>
          <w:t>163</w:t>
        </w:r>
      </w:hyperlink>
      <w:r>
        <w:rPr>
          <w:sz w:val="21"/>
          <w:vertAlign w:val="baseline"/>
        </w:rPr>
        <w:t> The case </w:t>
      </w:r>
      <w:bookmarkStart w:name="_bookmark513" w:id="747"/>
      <w:bookmarkEnd w:id="747"/>
      <w:r>
        <w:rPr>
          <w:spacing w:val="-2"/>
          <w:sz w:val="21"/>
          <w:vertAlign w:val="baseline"/>
        </w:rPr>
        <w:t>p</w:t>
      </w:r>
      <w:r>
        <w:rPr>
          <w:spacing w:val="-2"/>
          <w:sz w:val="21"/>
          <w:vertAlign w:val="baseline"/>
        </w:rPr>
        <w:t>rompting</w:t>
      </w:r>
      <w:r>
        <w:rPr>
          <w:spacing w:val="-4"/>
          <w:sz w:val="21"/>
          <w:vertAlign w:val="baseline"/>
        </w:rPr>
        <w:t> </w:t>
      </w:r>
      <w:r>
        <w:rPr>
          <w:spacing w:val="-2"/>
          <w:sz w:val="21"/>
          <w:vertAlign w:val="baseline"/>
        </w:rPr>
        <w:t>this</w:t>
      </w:r>
      <w:r>
        <w:rPr>
          <w:spacing w:val="-5"/>
          <w:sz w:val="21"/>
          <w:vertAlign w:val="baseline"/>
        </w:rPr>
        <w:t> </w:t>
      </w:r>
      <w:r>
        <w:rPr>
          <w:spacing w:val="-2"/>
          <w:sz w:val="21"/>
          <w:vertAlign w:val="baseline"/>
        </w:rPr>
        <w:t>change</w:t>
      </w:r>
      <w:r>
        <w:rPr>
          <w:spacing w:val="-4"/>
          <w:sz w:val="21"/>
          <w:vertAlign w:val="baseline"/>
        </w:rPr>
        <w:t> </w:t>
      </w:r>
      <w:r>
        <w:rPr>
          <w:spacing w:val="-2"/>
          <w:sz w:val="21"/>
          <w:vertAlign w:val="baseline"/>
        </w:rPr>
        <w:t>involved</w:t>
      </w:r>
      <w:r>
        <w:rPr>
          <w:spacing w:val="-4"/>
          <w:sz w:val="21"/>
          <w:vertAlign w:val="baseline"/>
        </w:rPr>
        <w:t> </w:t>
      </w:r>
      <w:r>
        <w:rPr>
          <w:spacing w:val="-2"/>
          <w:sz w:val="21"/>
          <w:vertAlign w:val="baseline"/>
        </w:rPr>
        <w:t>Sheldon</w:t>
      </w:r>
      <w:r>
        <w:rPr>
          <w:spacing w:val="-4"/>
          <w:sz w:val="21"/>
          <w:vertAlign w:val="baseline"/>
        </w:rPr>
        <w:t> </w:t>
      </w:r>
      <w:r>
        <w:rPr>
          <w:spacing w:val="-2"/>
          <w:sz w:val="21"/>
          <w:vertAlign w:val="baseline"/>
        </w:rPr>
        <w:t>Mattis,</w:t>
      </w:r>
      <w:r>
        <w:rPr>
          <w:spacing w:val="-4"/>
          <w:sz w:val="21"/>
          <w:vertAlign w:val="baseline"/>
        </w:rPr>
        <w:t> </w:t>
      </w:r>
      <w:r>
        <w:rPr>
          <w:spacing w:val="-2"/>
          <w:sz w:val="21"/>
          <w:vertAlign w:val="baseline"/>
        </w:rPr>
        <w:t>who</w:t>
      </w:r>
      <w:r>
        <w:rPr>
          <w:spacing w:val="-4"/>
          <w:sz w:val="21"/>
          <w:vertAlign w:val="baseline"/>
        </w:rPr>
        <w:t> </w:t>
      </w:r>
      <w:r>
        <w:rPr>
          <w:spacing w:val="-2"/>
          <w:sz w:val="21"/>
          <w:vertAlign w:val="baseline"/>
        </w:rPr>
        <w:t>was</w:t>
      </w:r>
      <w:r>
        <w:rPr>
          <w:spacing w:val="-5"/>
          <w:sz w:val="21"/>
          <w:vertAlign w:val="baseline"/>
        </w:rPr>
        <w:t> </w:t>
      </w:r>
      <w:r>
        <w:rPr>
          <w:spacing w:val="-2"/>
          <w:sz w:val="21"/>
          <w:vertAlign w:val="baseline"/>
        </w:rPr>
        <w:t>sentenced</w:t>
      </w:r>
      <w:r>
        <w:rPr>
          <w:spacing w:val="-4"/>
          <w:sz w:val="21"/>
          <w:vertAlign w:val="baseline"/>
        </w:rPr>
        <w:t> </w:t>
      </w:r>
      <w:r>
        <w:rPr>
          <w:spacing w:val="-2"/>
          <w:sz w:val="21"/>
          <w:vertAlign w:val="baseline"/>
        </w:rPr>
        <w:t>to</w:t>
      </w:r>
      <w:r>
        <w:rPr>
          <w:spacing w:val="-4"/>
          <w:sz w:val="21"/>
          <w:vertAlign w:val="baseline"/>
        </w:rPr>
        <w:t> </w:t>
      </w:r>
      <w:r>
        <w:rPr>
          <w:spacing w:val="-2"/>
          <w:sz w:val="21"/>
          <w:vertAlign w:val="baseline"/>
        </w:rPr>
        <w:t>life</w:t>
      </w:r>
      <w:r>
        <w:rPr>
          <w:spacing w:val="-4"/>
          <w:sz w:val="21"/>
          <w:vertAlign w:val="baseline"/>
        </w:rPr>
        <w:t> </w:t>
      </w:r>
      <w:r>
        <w:rPr>
          <w:spacing w:val="-2"/>
          <w:sz w:val="21"/>
          <w:vertAlign w:val="baseline"/>
        </w:rPr>
        <w:t>without</w:t>
      </w:r>
      <w:r>
        <w:rPr>
          <w:spacing w:val="-4"/>
          <w:sz w:val="21"/>
          <w:vertAlign w:val="baseline"/>
        </w:rPr>
        <w:t> </w:t>
      </w:r>
      <w:r>
        <w:rPr>
          <w:spacing w:val="-2"/>
          <w:sz w:val="21"/>
          <w:vertAlign w:val="baseline"/>
        </w:rPr>
        <w:t>parole</w:t>
      </w:r>
      <w:r>
        <w:rPr>
          <w:spacing w:val="-4"/>
          <w:sz w:val="21"/>
          <w:vertAlign w:val="baseline"/>
        </w:rPr>
        <w:t> </w:t>
      </w:r>
      <w:r>
        <w:rPr>
          <w:spacing w:val="-2"/>
          <w:sz w:val="21"/>
          <w:vertAlign w:val="baseline"/>
        </w:rPr>
        <w:t>at</w:t>
      </w:r>
      <w:r>
        <w:rPr>
          <w:spacing w:val="-4"/>
          <w:sz w:val="21"/>
          <w:vertAlign w:val="baseline"/>
        </w:rPr>
        <w:t> </w:t>
      </w:r>
      <w:r>
        <w:rPr>
          <w:spacing w:val="-2"/>
          <w:sz w:val="21"/>
          <w:vertAlign w:val="baseline"/>
        </w:rPr>
        <w:t>18</w:t>
      </w:r>
      <w:r>
        <w:rPr>
          <w:spacing w:val="-4"/>
          <w:sz w:val="21"/>
          <w:vertAlign w:val="baseline"/>
        </w:rPr>
        <w:t> </w:t>
      </w:r>
      <w:r>
        <w:rPr>
          <w:spacing w:val="-2"/>
          <w:sz w:val="21"/>
          <w:vertAlign w:val="baseline"/>
        </w:rPr>
        <w:t>for</w:t>
      </w:r>
      <w:r>
        <w:rPr>
          <w:spacing w:val="-4"/>
          <w:sz w:val="21"/>
          <w:vertAlign w:val="baseline"/>
        </w:rPr>
        <w:t> </w:t>
      </w:r>
      <w:r>
        <w:rPr>
          <w:spacing w:val="-2"/>
          <w:sz w:val="21"/>
          <w:vertAlign w:val="baseline"/>
        </w:rPr>
        <w:t>a</w:t>
      </w:r>
      <w:r>
        <w:rPr>
          <w:spacing w:val="-4"/>
          <w:sz w:val="21"/>
          <w:vertAlign w:val="baseline"/>
        </w:rPr>
        <w:t> </w:t>
      </w:r>
      <w:r>
        <w:rPr>
          <w:spacing w:val="-2"/>
          <w:sz w:val="21"/>
          <w:vertAlign w:val="baseline"/>
        </w:rPr>
        <w:t>murder </w:t>
      </w:r>
      <w:bookmarkStart w:name="_bookmark514" w:id="748"/>
      <w:bookmarkEnd w:id="748"/>
      <w:r>
        <w:rPr>
          <w:sz w:val="21"/>
          <w:vertAlign w:val="baseline"/>
        </w:rPr>
        <w:t>c</w:t>
      </w:r>
      <w:r>
        <w:rPr>
          <w:sz w:val="21"/>
          <w:vertAlign w:val="baseline"/>
        </w:rPr>
        <w:t>ommitted in 2011.</w:t>
      </w:r>
      <w:hyperlink w:history="true" w:anchor="_bookmark480">
        <w:r>
          <w:rPr>
            <w:sz w:val="21"/>
            <w:vertAlign w:val="superscript"/>
          </w:rPr>
          <w:t>164</w:t>
        </w:r>
      </w:hyperlink>
      <w:r>
        <w:rPr>
          <w:spacing w:val="-1"/>
          <w:sz w:val="21"/>
          <w:vertAlign w:val="baseline"/>
        </w:rPr>
        <w:t> </w:t>
      </w:r>
      <w:r>
        <w:rPr>
          <w:sz w:val="21"/>
          <w:vertAlign w:val="baseline"/>
        </w:rPr>
        <w:t>His case, among others, will be resentenced, aligning with the court's stance that younger adults deserve a chance for redemption based on potential maturity and rehabilitation.</w:t>
      </w:r>
      <w:hyperlink w:history="true" w:anchor="_bookmark481">
        <w:r>
          <w:rPr>
            <w:sz w:val="21"/>
            <w:vertAlign w:val="superscript"/>
          </w:rPr>
          <w:t>165</w:t>
        </w:r>
      </w:hyperlink>
      <w:r>
        <w:rPr>
          <w:spacing w:val="-2"/>
          <w:sz w:val="21"/>
          <w:vertAlign w:val="baseline"/>
        </w:rPr>
        <w:t> </w:t>
      </w:r>
      <w:r>
        <w:rPr>
          <w:sz w:val="21"/>
          <w:vertAlign w:val="baseline"/>
        </w:rPr>
        <w:t>This </w:t>
      </w:r>
      <w:bookmarkStart w:name="_bookmark515" w:id="749"/>
      <w:bookmarkEnd w:id="749"/>
      <w:r>
        <w:rPr>
          <w:sz w:val="21"/>
          <w:vertAlign w:val="baseline"/>
        </w:rPr>
        <w:t>landmark</w:t>
      </w:r>
      <w:r>
        <w:rPr>
          <w:sz w:val="21"/>
          <w:vertAlign w:val="baseline"/>
        </w:rPr>
        <w:t> decision has been welcomed by criminal justice reform advocates as a significant step towards </w:t>
      </w:r>
      <w:bookmarkStart w:name="_bookmark516" w:id="750"/>
      <w:bookmarkEnd w:id="750"/>
      <w:r>
        <w:rPr>
          <w:sz w:val="21"/>
          <w:vertAlign w:val="baseline"/>
        </w:rPr>
        <w:t>ackn</w:t>
      </w:r>
      <w:r>
        <w:rPr>
          <w:sz w:val="21"/>
          <w:vertAlign w:val="baseline"/>
        </w:rPr>
        <w:t>owledging developmental science in legal penalties.</w:t>
      </w:r>
    </w:p>
    <w:p>
      <w:pPr>
        <w:spacing w:line="276" w:lineRule="auto" w:before="241"/>
        <w:ind w:left="463" w:right="239" w:firstLine="0"/>
        <w:jc w:val="both"/>
        <w:rPr>
          <w:sz w:val="21"/>
        </w:rPr>
      </w:pPr>
      <w:bookmarkStart w:name="_bookmark517" w:id="751"/>
      <w:bookmarkEnd w:id="751"/>
      <w:r>
        <w:rPr/>
      </w:r>
      <w:bookmarkStart w:name="_bookmark518" w:id="752"/>
      <w:bookmarkEnd w:id="752"/>
      <w:r>
        <w:rPr/>
      </w:r>
      <w:r>
        <w:rPr>
          <w:sz w:val="21"/>
        </w:rPr>
        <w:t>In</w:t>
      </w:r>
      <w:r>
        <w:rPr>
          <w:spacing w:val="-6"/>
          <w:sz w:val="21"/>
        </w:rPr>
        <w:t> </w:t>
      </w:r>
      <w:r>
        <w:rPr>
          <w:sz w:val="21"/>
        </w:rPr>
        <w:t>February</w:t>
      </w:r>
      <w:r>
        <w:rPr>
          <w:spacing w:val="-6"/>
          <w:sz w:val="21"/>
        </w:rPr>
        <w:t> </w:t>
      </w:r>
      <w:r>
        <w:rPr>
          <w:sz w:val="21"/>
        </w:rPr>
        <w:t>2024,</w:t>
      </w:r>
      <w:r>
        <w:rPr>
          <w:spacing w:val="-6"/>
          <w:sz w:val="21"/>
        </w:rPr>
        <w:t> </w:t>
      </w:r>
      <w:r>
        <w:rPr>
          <w:sz w:val="21"/>
        </w:rPr>
        <w:t>the</w:t>
      </w:r>
      <w:r>
        <w:rPr>
          <w:spacing w:val="-6"/>
          <w:sz w:val="21"/>
        </w:rPr>
        <w:t> </w:t>
      </w:r>
      <w:r>
        <w:rPr>
          <w:sz w:val="21"/>
        </w:rPr>
        <w:t>Healey-Driscoll</w:t>
      </w:r>
      <w:r>
        <w:rPr>
          <w:spacing w:val="-6"/>
          <w:sz w:val="21"/>
        </w:rPr>
        <w:t> </w:t>
      </w:r>
      <w:r>
        <w:rPr>
          <w:sz w:val="21"/>
        </w:rPr>
        <w:t>Administration</w:t>
      </w:r>
      <w:r>
        <w:rPr>
          <w:spacing w:val="-6"/>
          <w:sz w:val="21"/>
        </w:rPr>
        <w:t> </w:t>
      </w:r>
      <w:r>
        <w:rPr>
          <w:sz w:val="21"/>
        </w:rPr>
        <w:t>announced</w:t>
      </w:r>
      <w:r>
        <w:rPr>
          <w:spacing w:val="-6"/>
          <w:sz w:val="21"/>
        </w:rPr>
        <w:t> </w:t>
      </w:r>
      <w:r>
        <w:rPr>
          <w:sz w:val="21"/>
        </w:rPr>
        <w:t>that</w:t>
      </w:r>
      <w:r>
        <w:rPr>
          <w:spacing w:val="-5"/>
          <w:sz w:val="21"/>
        </w:rPr>
        <w:t> </w:t>
      </w:r>
      <w:r>
        <w:rPr>
          <w:sz w:val="21"/>
        </w:rPr>
        <w:t>nearly</w:t>
      </w:r>
      <w:r>
        <w:rPr>
          <w:spacing w:val="-6"/>
          <w:sz w:val="21"/>
        </w:rPr>
        <w:t> </w:t>
      </w:r>
      <w:r>
        <w:rPr>
          <w:sz w:val="21"/>
        </w:rPr>
        <w:t>$6.5</w:t>
      </w:r>
      <w:r>
        <w:rPr>
          <w:spacing w:val="-6"/>
          <w:sz w:val="21"/>
        </w:rPr>
        <w:t> </w:t>
      </w:r>
      <w:r>
        <w:rPr>
          <w:sz w:val="21"/>
        </w:rPr>
        <w:t>million</w:t>
      </w:r>
      <w:r>
        <w:rPr>
          <w:spacing w:val="-6"/>
          <w:sz w:val="21"/>
        </w:rPr>
        <w:t> </w:t>
      </w:r>
      <w:r>
        <w:rPr>
          <w:sz w:val="21"/>
        </w:rPr>
        <w:t>in</w:t>
      </w:r>
      <w:r>
        <w:rPr>
          <w:spacing w:val="-6"/>
          <w:sz w:val="21"/>
        </w:rPr>
        <w:t> </w:t>
      </w:r>
      <w:r>
        <w:rPr>
          <w:sz w:val="21"/>
        </w:rPr>
        <w:t>grants</w:t>
      </w:r>
      <w:r>
        <w:rPr>
          <w:spacing w:val="-6"/>
          <w:sz w:val="21"/>
        </w:rPr>
        <w:t> </w:t>
      </w:r>
      <w:r>
        <w:rPr>
          <w:sz w:val="21"/>
        </w:rPr>
        <w:t>has</w:t>
      </w:r>
      <w:r>
        <w:rPr>
          <w:spacing w:val="-6"/>
          <w:sz w:val="21"/>
        </w:rPr>
        <w:t> </w:t>
      </w:r>
      <w:r>
        <w:rPr>
          <w:sz w:val="21"/>
        </w:rPr>
        <w:t>been </w:t>
      </w:r>
      <w:bookmarkStart w:name="_bookmark519" w:id="753"/>
      <w:bookmarkEnd w:id="753"/>
      <w:r>
        <w:rPr>
          <w:sz w:val="21"/>
        </w:rPr>
        <w:t>a</w:t>
      </w:r>
      <w:r>
        <w:rPr>
          <w:sz w:val="21"/>
        </w:rPr>
        <w:t>llocated to reduce recidivism among young adults in Massachusetts.</w:t>
      </w:r>
      <w:hyperlink w:history="true" w:anchor="_bookmark482">
        <w:r>
          <w:rPr>
            <w:sz w:val="21"/>
            <w:vertAlign w:val="superscript"/>
          </w:rPr>
          <w:t>166</w:t>
        </w:r>
      </w:hyperlink>
      <w:r>
        <w:rPr>
          <w:spacing w:val="-2"/>
          <w:sz w:val="21"/>
          <w:vertAlign w:val="baseline"/>
        </w:rPr>
        <w:t> </w:t>
      </w:r>
      <w:r>
        <w:rPr>
          <w:sz w:val="21"/>
          <w:vertAlign w:val="baseline"/>
        </w:rPr>
        <w:t>This funding supports nonprofits </w:t>
      </w:r>
      <w:bookmarkStart w:name="_bookmark520" w:id="754"/>
      <w:bookmarkEnd w:id="754"/>
      <w:r>
        <w:rPr>
          <w:sz w:val="21"/>
          <w:vertAlign w:val="baseline"/>
        </w:rPr>
        <w:t>i</w:t>
      </w:r>
      <w:r>
        <w:rPr>
          <w:sz w:val="21"/>
          <w:vertAlign w:val="baseline"/>
        </w:rPr>
        <w:t>n collaboration with the Massachusetts Department of Correction and Sheriffs’ Offices to offer reentry </w:t>
      </w:r>
      <w:bookmarkStart w:name="_bookmark521" w:id="755"/>
      <w:bookmarkEnd w:id="755"/>
      <w:r>
        <w:rPr>
          <w:sz w:val="21"/>
          <w:vertAlign w:val="baseline"/>
        </w:rPr>
        <w:t>s</w:t>
      </w:r>
      <w:r>
        <w:rPr>
          <w:sz w:val="21"/>
          <w:vertAlign w:val="baseline"/>
        </w:rPr>
        <w:t>ervices</w:t>
      </w:r>
      <w:r>
        <w:rPr>
          <w:spacing w:val="-4"/>
          <w:sz w:val="21"/>
          <w:vertAlign w:val="baseline"/>
        </w:rPr>
        <w:t> </w:t>
      </w:r>
      <w:r>
        <w:rPr>
          <w:sz w:val="21"/>
          <w:vertAlign w:val="baseline"/>
        </w:rPr>
        <w:t>for</w:t>
      </w:r>
      <w:r>
        <w:rPr>
          <w:spacing w:val="-3"/>
          <w:sz w:val="21"/>
          <w:vertAlign w:val="baseline"/>
        </w:rPr>
        <w:t> </w:t>
      </w:r>
      <w:r>
        <w:rPr>
          <w:sz w:val="21"/>
          <w:vertAlign w:val="baseline"/>
        </w:rPr>
        <w:t>18-</w:t>
      </w:r>
      <w:r>
        <w:rPr>
          <w:spacing w:val="-3"/>
          <w:sz w:val="21"/>
          <w:vertAlign w:val="baseline"/>
        </w:rPr>
        <w:t> </w:t>
      </w:r>
      <w:r>
        <w:rPr>
          <w:sz w:val="21"/>
          <w:vertAlign w:val="baseline"/>
        </w:rPr>
        <w:t>to</w:t>
      </w:r>
      <w:r>
        <w:rPr>
          <w:spacing w:val="-5"/>
          <w:sz w:val="21"/>
          <w:vertAlign w:val="baseline"/>
        </w:rPr>
        <w:t> </w:t>
      </w:r>
      <w:r>
        <w:rPr>
          <w:sz w:val="21"/>
          <w:vertAlign w:val="baseline"/>
        </w:rPr>
        <w:t>25-year-olds</w:t>
      </w:r>
      <w:r>
        <w:rPr>
          <w:spacing w:val="-4"/>
          <w:sz w:val="21"/>
          <w:vertAlign w:val="baseline"/>
        </w:rPr>
        <w:t> </w:t>
      </w:r>
      <w:r>
        <w:rPr>
          <w:sz w:val="21"/>
          <w:vertAlign w:val="baseline"/>
        </w:rPr>
        <w:t>exiting</w:t>
      </w:r>
      <w:r>
        <w:rPr>
          <w:spacing w:val="-4"/>
          <w:sz w:val="21"/>
          <w:vertAlign w:val="baseline"/>
        </w:rPr>
        <w:t> </w:t>
      </w:r>
      <w:r>
        <w:rPr>
          <w:sz w:val="21"/>
          <w:vertAlign w:val="baseline"/>
        </w:rPr>
        <w:t>incarceration.</w:t>
      </w:r>
      <w:hyperlink w:history="true" w:anchor="_bookmark483">
        <w:r>
          <w:rPr>
            <w:sz w:val="21"/>
            <w:vertAlign w:val="superscript"/>
          </w:rPr>
          <w:t>167</w:t>
        </w:r>
      </w:hyperlink>
      <w:r>
        <w:rPr>
          <w:spacing w:val="-2"/>
          <w:sz w:val="21"/>
          <w:vertAlign w:val="baseline"/>
        </w:rPr>
        <w:t> </w:t>
      </w:r>
      <w:r>
        <w:rPr>
          <w:sz w:val="21"/>
          <w:vertAlign w:val="baseline"/>
        </w:rPr>
        <w:t>The</w:t>
      </w:r>
      <w:r>
        <w:rPr>
          <w:spacing w:val="-3"/>
          <w:sz w:val="21"/>
          <w:vertAlign w:val="baseline"/>
        </w:rPr>
        <w:t> </w:t>
      </w:r>
      <w:r>
        <w:rPr>
          <w:sz w:val="21"/>
          <w:vertAlign w:val="baseline"/>
        </w:rPr>
        <w:t>FY24</w:t>
      </w:r>
      <w:r>
        <w:rPr>
          <w:spacing w:val="-3"/>
          <w:sz w:val="21"/>
          <w:vertAlign w:val="baseline"/>
        </w:rPr>
        <w:t> </w:t>
      </w:r>
      <w:r>
        <w:rPr>
          <w:sz w:val="21"/>
          <w:vertAlign w:val="baseline"/>
        </w:rPr>
        <w:t>Emerging</w:t>
      </w:r>
      <w:r>
        <w:rPr>
          <w:spacing w:val="-4"/>
          <w:sz w:val="21"/>
          <w:vertAlign w:val="baseline"/>
        </w:rPr>
        <w:t> </w:t>
      </w:r>
      <w:r>
        <w:rPr>
          <w:sz w:val="21"/>
          <w:vertAlign w:val="baseline"/>
        </w:rPr>
        <w:t>Adult</w:t>
      </w:r>
      <w:r>
        <w:rPr>
          <w:spacing w:val="-3"/>
          <w:sz w:val="21"/>
          <w:vertAlign w:val="baseline"/>
        </w:rPr>
        <w:t> </w:t>
      </w:r>
      <w:r>
        <w:rPr>
          <w:sz w:val="21"/>
          <w:vertAlign w:val="baseline"/>
        </w:rPr>
        <w:t>Reentry</w:t>
      </w:r>
      <w:r>
        <w:rPr>
          <w:spacing w:val="-3"/>
          <w:sz w:val="21"/>
          <w:vertAlign w:val="baseline"/>
        </w:rPr>
        <w:t> </w:t>
      </w:r>
      <w:r>
        <w:rPr>
          <w:sz w:val="21"/>
          <w:vertAlign w:val="baseline"/>
        </w:rPr>
        <w:t>Initiative</w:t>
      </w:r>
      <w:r>
        <w:rPr>
          <w:spacing w:val="-3"/>
          <w:sz w:val="21"/>
          <w:vertAlign w:val="baseline"/>
        </w:rPr>
        <w:t> </w:t>
      </w:r>
      <w:r>
        <w:rPr>
          <w:sz w:val="21"/>
          <w:vertAlign w:val="baseline"/>
        </w:rPr>
        <w:t>aims</w:t>
      </w:r>
      <w:r>
        <w:rPr>
          <w:spacing w:val="-4"/>
          <w:sz w:val="21"/>
          <w:vertAlign w:val="baseline"/>
        </w:rPr>
        <w:t> </w:t>
      </w:r>
      <w:r>
        <w:rPr>
          <w:sz w:val="21"/>
          <w:vertAlign w:val="baseline"/>
        </w:rPr>
        <w:t>to </w:t>
      </w:r>
      <w:bookmarkStart w:name="_bookmark522" w:id="756"/>
      <w:bookmarkEnd w:id="756"/>
      <w:r>
        <w:rPr>
          <w:sz w:val="21"/>
          <w:vertAlign w:val="baseline"/>
        </w:rPr>
        <w:t>f</w:t>
      </w:r>
      <w:r>
        <w:rPr>
          <w:sz w:val="21"/>
          <w:vertAlign w:val="baseline"/>
        </w:rPr>
        <w:t>und evidence-based programs facilitating successful community reintegration for these young adults, </w:t>
      </w:r>
      <w:bookmarkStart w:name="_bookmark523" w:id="757"/>
      <w:bookmarkEnd w:id="757"/>
      <w:r>
        <w:rPr>
          <w:sz w:val="21"/>
          <w:vertAlign w:val="baseline"/>
        </w:rPr>
        <w:t>i</w:t>
      </w:r>
      <w:r>
        <w:rPr>
          <w:sz w:val="21"/>
          <w:vertAlign w:val="baseline"/>
        </w:rPr>
        <w:t>ncluding</w:t>
      </w:r>
      <w:r>
        <w:rPr>
          <w:spacing w:val="-12"/>
          <w:sz w:val="21"/>
          <w:vertAlign w:val="baseline"/>
        </w:rPr>
        <w:t> </w:t>
      </w:r>
      <w:r>
        <w:rPr>
          <w:sz w:val="21"/>
          <w:vertAlign w:val="baseline"/>
        </w:rPr>
        <w:t>pre-</w:t>
      </w:r>
      <w:r>
        <w:rPr>
          <w:spacing w:val="-12"/>
          <w:sz w:val="21"/>
          <w:vertAlign w:val="baseline"/>
        </w:rPr>
        <w:t> </w:t>
      </w:r>
      <w:r>
        <w:rPr>
          <w:sz w:val="21"/>
          <w:vertAlign w:val="baseline"/>
        </w:rPr>
        <w:t>and</w:t>
      </w:r>
      <w:r>
        <w:rPr>
          <w:spacing w:val="-12"/>
          <w:sz w:val="21"/>
          <w:vertAlign w:val="baseline"/>
        </w:rPr>
        <w:t> </w:t>
      </w:r>
      <w:r>
        <w:rPr>
          <w:sz w:val="21"/>
          <w:vertAlign w:val="baseline"/>
        </w:rPr>
        <w:t>post-release</w:t>
      </w:r>
      <w:r>
        <w:rPr>
          <w:spacing w:val="-12"/>
          <w:sz w:val="21"/>
          <w:vertAlign w:val="baseline"/>
        </w:rPr>
        <w:t> </w:t>
      </w:r>
      <w:r>
        <w:rPr>
          <w:sz w:val="21"/>
          <w:vertAlign w:val="baseline"/>
        </w:rPr>
        <w:t>services.</w:t>
      </w:r>
      <w:hyperlink w:history="true" w:anchor="_bookmark484">
        <w:r>
          <w:rPr>
            <w:sz w:val="21"/>
            <w:vertAlign w:val="superscript"/>
          </w:rPr>
          <w:t>168</w:t>
        </w:r>
      </w:hyperlink>
      <w:r>
        <w:rPr>
          <w:spacing w:val="-3"/>
          <w:sz w:val="21"/>
          <w:vertAlign w:val="baseline"/>
        </w:rPr>
        <w:t> </w:t>
      </w:r>
      <w:r>
        <w:rPr>
          <w:sz w:val="21"/>
          <w:vertAlign w:val="baseline"/>
        </w:rPr>
        <w:t>This</w:t>
      </w:r>
      <w:r>
        <w:rPr>
          <w:spacing w:val="-12"/>
          <w:sz w:val="21"/>
          <w:vertAlign w:val="baseline"/>
        </w:rPr>
        <w:t> </w:t>
      </w:r>
      <w:r>
        <w:rPr>
          <w:sz w:val="21"/>
          <w:vertAlign w:val="baseline"/>
        </w:rPr>
        <w:t>initiative</w:t>
      </w:r>
      <w:r>
        <w:rPr>
          <w:spacing w:val="-12"/>
          <w:sz w:val="21"/>
          <w:vertAlign w:val="baseline"/>
        </w:rPr>
        <w:t> </w:t>
      </w:r>
      <w:r>
        <w:rPr>
          <w:sz w:val="21"/>
          <w:vertAlign w:val="baseline"/>
        </w:rPr>
        <w:t>is</w:t>
      </w:r>
      <w:r>
        <w:rPr>
          <w:spacing w:val="-12"/>
          <w:sz w:val="21"/>
          <w:vertAlign w:val="baseline"/>
        </w:rPr>
        <w:t> </w:t>
      </w:r>
      <w:r>
        <w:rPr>
          <w:sz w:val="21"/>
          <w:vertAlign w:val="baseline"/>
        </w:rPr>
        <w:t>part</w:t>
      </w:r>
      <w:r>
        <w:rPr>
          <w:spacing w:val="-11"/>
          <w:sz w:val="21"/>
          <w:vertAlign w:val="baseline"/>
        </w:rPr>
        <w:t> </w:t>
      </w:r>
      <w:r>
        <w:rPr>
          <w:sz w:val="21"/>
          <w:vertAlign w:val="baseline"/>
        </w:rPr>
        <w:t>of</w:t>
      </w:r>
      <w:r>
        <w:rPr>
          <w:spacing w:val="-12"/>
          <w:sz w:val="21"/>
          <w:vertAlign w:val="baseline"/>
        </w:rPr>
        <w:t> </w:t>
      </w:r>
      <w:r>
        <w:rPr>
          <w:sz w:val="21"/>
          <w:vertAlign w:val="baseline"/>
        </w:rPr>
        <w:t>a</w:t>
      </w:r>
      <w:r>
        <w:rPr>
          <w:spacing w:val="-11"/>
          <w:sz w:val="21"/>
          <w:vertAlign w:val="baseline"/>
        </w:rPr>
        <w:t> </w:t>
      </w:r>
      <w:r>
        <w:rPr>
          <w:sz w:val="21"/>
          <w:vertAlign w:val="baseline"/>
        </w:rPr>
        <w:t>broader</w:t>
      </w:r>
      <w:r>
        <w:rPr>
          <w:spacing w:val="-11"/>
          <w:sz w:val="21"/>
          <w:vertAlign w:val="baseline"/>
        </w:rPr>
        <w:t> </w:t>
      </w:r>
      <w:r>
        <w:rPr>
          <w:sz w:val="21"/>
          <w:vertAlign w:val="baseline"/>
        </w:rPr>
        <w:t>commitment</w:t>
      </w:r>
      <w:r>
        <w:rPr>
          <w:spacing w:val="-12"/>
          <w:sz w:val="21"/>
          <w:vertAlign w:val="baseline"/>
        </w:rPr>
        <w:t> </w:t>
      </w:r>
      <w:r>
        <w:rPr>
          <w:sz w:val="21"/>
          <w:vertAlign w:val="baseline"/>
        </w:rPr>
        <w:t>to</w:t>
      </w:r>
      <w:r>
        <w:rPr>
          <w:spacing w:val="-12"/>
          <w:sz w:val="21"/>
          <w:vertAlign w:val="baseline"/>
        </w:rPr>
        <w:t> </w:t>
      </w:r>
      <w:r>
        <w:rPr>
          <w:sz w:val="21"/>
          <w:vertAlign w:val="baseline"/>
        </w:rPr>
        <w:t>improve</w:t>
      </w:r>
      <w:r>
        <w:rPr>
          <w:spacing w:val="-12"/>
          <w:sz w:val="21"/>
          <w:vertAlign w:val="baseline"/>
        </w:rPr>
        <w:t> </w:t>
      </w:r>
      <w:r>
        <w:rPr>
          <w:sz w:val="21"/>
          <w:vertAlign w:val="baseline"/>
        </w:rPr>
        <w:t>public safety and outcomes for criminal-involved individuals by reducing barriers to successful reentry.</w:t>
      </w:r>
      <w:r>
        <w:rPr>
          <w:spacing w:val="-3"/>
          <w:sz w:val="21"/>
          <w:vertAlign w:val="baseline"/>
        </w:rPr>
        <w:t> </w:t>
      </w:r>
      <w:hyperlink w:history="true" w:anchor="_bookmark485">
        <w:r>
          <w:rPr>
            <w:sz w:val="21"/>
            <w:vertAlign w:val="superscript"/>
          </w:rPr>
          <w:t>169</w:t>
        </w:r>
      </w:hyperlink>
      <w:r>
        <w:rPr>
          <w:sz w:val="21"/>
          <w:vertAlign w:val="baseline"/>
        </w:rPr>
        <w:t> Additionally, the administration has introduced several other reentry initiatives focusing on housing, </w:t>
      </w:r>
      <w:bookmarkStart w:name="_bookmark524" w:id="758"/>
      <w:bookmarkEnd w:id="758"/>
      <w:r>
        <w:rPr>
          <w:sz w:val="21"/>
          <w:vertAlign w:val="baseline"/>
        </w:rPr>
        <w:t>m</w:t>
      </w:r>
      <w:r>
        <w:rPr>
          <w:sz w:val="21"/>
          <w:vertAlign w:val="baseline"/>
        </w:rPr>
        <w:t>entoring, and support services, all geared towards enhancing public safety, reducing recidivism, and aiding the reintegration of formerly incarcerated individuals into the community. The Commission </w:t>
      </w:r>
      <w:bookmarkStart w:name="_bookmark525" w:id="759"/>
      <w:bookmarkEnd w:id="759"/>
      <w:r>
        <w:rPr>
          <w:sz w:val="21"/>
          <w:vertAlign w:val="baseline"/>
        </w:rPr>
        <w:t>r</w:t>
      </w:r>
      <w:r>
        <w:rPr>
          <w:sz w:val="21"/>
          <w:vertAlign w:val="baseline"/>
        </w:rPr>
        <w:t>ecommends that the funds</w:t>
      </w:r>
      <w:r>
        <w:rPr>
          <w:spacing w:val="-1"/>
          <w:sz w:val="21"/>
          <w:vertAlign w:val="baseline"/>
        </w:rPr>
        <w:t> </w:t>
      </w:r>
      <w:r>
        <w:rPr>
          <w:sz w:val="21"/>
          <w:vertAlign w:val="baseline"/>
        </w:rPr>
        <w:t>be strategically used to address the unique needs of LGBTQ youth engaged in the criminal legal system. These funds should support programs that offer not only reentry services, but </w:t>
      </w:r>
      <w:bookmarkStart w:name="_bookmark526" w:id="760"/>
      <w:bookmarkEnd w:id="760"/>
      <w:r>
        <w:rPr>
          <w:sz w:val="21"/>
          <w:vertAlign w:val="baseline"/>
        </w:rPr>
        <w:t>al</w:t>
      </w:r>
      <w:r>
        <w:rPr>
          <w:sz w:val="21"/>
          <w:vertAlign w:val="baseline"/>
        </w:rPr>
        <w:t>so specific interventions tailored to the challenges faced by LGBTQ youth, such as disrupting the school </w:t>
      </w:r>
      <w:bookmarkStart w:name="_bookmark527" w:id="761"/>
      <w:bookmarkEnd w:id="761"/>
      <w:r>
        <w:rPr>
          <w:sz w:val="21"/>
          <w:vertAlign w:val="baseline"/>
        </w:rPr>
      </w:r>
      <w:bookmarkStart w:name="_bookmark528" w:id="762"/>
      <w:bookmarkEnd w:id="762"/>
      <w:r>
        <w:rPr>
          <w:sz w:val="21"/>
          <w:vertAlign w:val="baseline"/>
        </w:rPr>
        <w:t>and</w:t>
      </w:r>
      <w:r>
        <w:rPr>
          <w:sz w:val="21"/>
          <w:vertAlign w:val="baseline"/>
        </w:rPr>
        <w:t> foster to prison pipelines and specific allocations to services and resources for LGBTQ youth impacted by the criminal legal system.</w:t>
      </w:r>
    </w:p>
    <w:p>
      <w:pPr>
        <w:spacing w:line="276" w:lineRule="auto" w:before="240"/>
        <w:ind w:left="463" w:right="241" w:firstLine="0"/>
        <w:jc w:val="both"/>
        <w:rPr>
          <w:sz w:val="21"/>
        </w:rPr>
      </w:pPr>
      <w:bookmarkStart w:name="_bookmark529" w:id="763"/>
      <w:bookmarkEnd w:id="763"/>
      <w:r>
        <w:rPr/>
      </w:r>
      <w:r>
        <w:rPr>
          <w:sz w:val="21"/>
        </w:rPr>
        <w:t>In March 2024, Governor Maura Healey of Massachusetts announced an initiative to pardon adult </w:t>
      </w:r>
      <w:bookmarkStart w:name="_bookmark530" w:id="764"/>
      <w:bookmarkEnd w:id="764"/>
      <w:r>
        <w:rPr>
          <w:sz w:val="21"/>
        </w:rPr>
      </w:r>
      <w:bookmarkStart w:name="_bookmark531" w:id="765"/>
      <w:bookmarkEnd w:id="765"/>
      <w:r>
        <w:rPr>
          <w:sz w:val="21"/>
        </w:rPr>
        <w:t>m</w:t>
      </w:r>
      <w:r>
        <w:rPr>
          <w:sz w:val="21"/>
        </w:rPr>
        <w:t>isdemeanor marijuana possession convictions; a move that aligns with President Biden's call for such actions</w:t>
      </w:r>
      <w:r>
        <w:rPr>
          <w:spacing w:val="-3"/>
          <w:sz w:val="21"/>
        </w:rPr>
        <w:t> </w:t>
      </w:r>
      <w:r>
        <w:rPr>
          <w:sz w:val="21"/>
        </w:rPr>
        <w:t>at</w:t>
      </w:r>
      <w:r>
        <w:rPr>
          <w:spacing w:val="-3"/>
          <w:sz w:val="21"/>
        </w:rPr>
        <w:t> </w:t>
      </w:r>
      <w:r>
        <w:rPr>
          <w:sz w:val="21"/>
        </w:rPr>
        <w:t>the</w:t>
      </w:r>
      <w:r>
        <w:rPr>
          <w:spacing w:val="-3"/>
          <w:sz w:val="21"/>
        </w:rPr>
        <w:t> </w:t>
      </w:r>
      <w:r>
        <w:rPr>
          <w:sz w:val="21"/>
        </w:rPr>
        <w:t>state</w:t>
      </w:r>
      <w:r>
        <w:rPr>
          <w:spacing w:val="-2"/>
          <w:sz w:val="21"/>
        </w:rPr>
        <w:t> </w:t>
      </w:r>
      <w:r>
        <w:rPr>
          <w:sz w:val="21"/>
        </w:rPr>
        <w:t>level.</w:t>
      </w:r>
      <w:hyperlink w:history="true" w:anchor="_bookmark486">
        <w:r>
          <w:rPr>
            <w:sz w:val="21"/>
            <w:vertAlign w:val="superscript"/>
          </w:rPr>
          <w:t>170</w:t>
        </w:r>
      </w:hyperlink>
      <w:r>
        <w:rPr>
          <w:spacing w:val="-1"/>
          <w:sz w:val="21"/>
          <w:vertAlign w:val="baseline"/>
        </w:rPr>
        <w:t> </w:t>
      </w:r>
      <w:r>
        <w:rPr>
          <w:sz w:val="21"/>
          <w:vertAlign w:val="baseline"/>
        </w:rPr>
        <w:t>The</w:t>
      </w:r>
      <w:r>
        <w:rPr>
          <w:spacing w:val="-2"/>
          <w:sz w:val="21"/>
          <w:vertAlign w:val="baseline"/>
        </w:rPr>
        <w:t> </w:t>
      </w:r>
      <w:r>
        <w:rPr>
          <w:sz w:val="21"/>
          <w:vertAlign w:val="baseline"/>
        </w:rPr>
        <w:t>Governor’s</w:t>
      </w:r>
      <w:r>
        <w:rPr>
          <w:spacing w:val="-3"/>
          <w:sz w:val="21"/>
          <w:vertAlign w:val="baseline"/>
        </w:rPr>
        <w:t> </w:t>
      </w:r>
      <w:r>
        <w:rPr>
          <w:sz w:val="21"/>
          <w:vertAlign w:val="baseline"/>
        </w:rPr>
        <w:t>Council</w:t>
      </w:r>
      <w:r>
        <w:rPr>
          <w:spacing w:val="-2"/>
          <w:sz w:val="21"/>
          <w:vertAlign w:val="baseline"/>
        </w:rPr>
        <w:t> </w:t>
      </w:r>
      <w:r>
        <w:rPr>
          <w:sz w:val="21"/>
          <w:vertAlign w:val="baseline"/>
        </w:rPr>
        <w:t>approved</w:t>
      </w:r>
      <w:r>
        <w:rPr>
          <w:spacing w:val="-2"/>
          <w:sz w:val="21"/>
          <w:vertAlign w:val="baseline"/>
        </w:rPr>
        <w:t> </w:t>
      </w:r>
      <w:r>
        <w:rPr>
          <w:sz w:val="21"/>
          <w:vertAlign w:val="baseline"/>
        </w:rPr>
        <w:t>the</w:t>
      </w:r>
      <w:r>
        <w:rPr>
          <w:spacing w:val="-2"/>
          <w:sz w:val="21"/>
          <w:vertAlign w:val="baseline"/>
        </w:rPr>
        <w:t> </w:t>
      </w:r>
      <w:r>
        <w:rPr>
          <w:sz w:val="21"/>
          <w:vertAlign w:val="baseline"/>
        </w:rPr>
        <w:t>measure</w:t>
      </w:r>
      <w:r>
        <w:rPr>
          <w:spacing w:val="-2"/>
          <w:sz w:val="21"/>
          <w:vertAlign w:val="baseline"/>
        </w:rPr>
        <w:t> </w:t>
      </w:r>
      <w:r>
        <w:rPr>
          <w:sz w:val="21"/>
          <w:vertAlign w:val="baseline"/>
        </w:rPr>
        <w:t>April</w:t>
      </w:r>
      <w:r>
        <w:rPr>
          <w:spacing w:val="-2"/>
          <w:sz w:val="21"/>
          <w:vertAlign w:val="baseline"/>
        </w:rPr>
        <w:t> </w:t>
      </w:r>
      <w:r>
        <w:rPr>
          <w:sz w:val="21"/>
          <w:vertAlign w:val="baseline"/>
        </w:rPr>
        <w:t>3</w:t>
      </w:r>
      <w:r>
        <w:rPr>
          <w:sz w:val="21"/>
          <w:vertAlign w:val="superscript"/>
        </w:rPr>
        <w:t>rd</w:t>
      </w:r>
      <w:r>
        <w:rPr>
          <w:sz w:val="21"/>
          <w:vertAlign w:val="baseline"/>
        </w:rPr>
        <w:t>,</w:t>
      </w:r>
      <w:r>
        <w:rPr>
          <w:spacing w:val="-3"/>
          <w:sz w:val="21"/>
          <w:vertAlign w:val="baseline"/>
        </w:rPr>
        <w:t> </w:t>
      </w:r>
      <w:r>
        <w:rPr>
          <w:sz w:val="21"/>
          <w:vertAlign w:val="baseline"/>
        </w:rPr>
        <w:t>2024.</w:t>
      </w:r>
      <w:hyperlink w:history="true" w:anchor="_bookmark487">
        <w:r>
          <w:rPr>
            <w:sz w:val="21"/>
            <w:vertAlign w:val="superscript"/>
          </w:rPr>
          <w:t>171</w:t>
        </w:r>
      </w:hyperlink>
      <w:r>
        <w:rPr>
          <w:spacing w:val="-1"/>
          <w:sz w:val="21"/>
          <w:vertAlign w:val="baseline"/>
        </w:rPr>
        <w:t> </w:t>
      </w:r>
      <w:r>
        <w:rPr>
          <w:sz w:val="21"/>
          <w:vertAlign w:val="baseline"/>
        </w:rPr>
        <w:t>This</w:t>
      </w:r>
      <w:r>
        <w:rPr>
          <w:spacing w:val="-3"/>
          <w:sz w:val="21"/>
          <w:vertAlign w:val="baseline"/>
        </w:rPr>
        <w:t> </w:t>
      </w:r>
      <w:r>
        <w:rPr>
          <w:sz w:val="21"/>
          <w:vertAlign w:val="baseline"/>
        </w:rPr>
        <w:t>measure will</w:t>
      </w:r>
      <w:r>
        <w:rPr>
          <w:spacing w:val="27"/>
          <w:sz w:val="21"/>
          <w:vertAlign w:val="baseline"/>
        </w:rPr>
        <w:t> </w:t>
      </w:r>
      <w:r>
        <w:rPr>
          <w:sz w:val="21"/>
          <w:vertAlign w:val="baseline"/>
        </w:rPr>
        <w:t>apply</w:t>
      </w:r>
      <w:r>
        <w:rPr>
          <w:spacing w:val="27"/>
          <w:sz w:val="21"/>
          <w:vertAlign w:val="baseline"/>
        </w:rPr>
        <w:t> </w:t>
      </w:r>
      <w:r>
        <w:rPr>
          <w:sz w:val="21"/>
          <w:vertAlign w:val="baseline"/>
        </w:rPr>
        <w:t>to</w:t>
      </w:r>
      <w:r>
        <w:rPr>
          <w:spacing w:val="26"/>
          <w:sz w:val="21"/>
          <w:vertAlign w:val="baseline"/>
        </w:rPr>
        <w:t> </w:t>
      </w:r>
      <w:r>
        <w:rPr>
          <w:sz w:val="21"/>
          <w:vertAlign w:val="baseline"/>
        </w:rPr>
        <w:t>all</w:t>
      </w:r>
      <w:r>
        <w:rPr>
          <w:spacing w:val="27"/>
          <w:sz w:val="21"/>
          <w:vertAlign w:val="baseline"/>
        </w:rPr>
        <w:t> </w:t>
      </w:r>
      <w:r>
        <w:rPr>
          <w:sz w:val="21"/>
          <w:vertAlign w:val="baseline"/>
        </w:rPr>
        <w:t>eligible</w:t>
      </w:r>
      <w:r>
        <w:rPr>
          <w:spacing w:val="27"/>
          <w:sz w:val="21"/>
          <w:vertAlign w:val="baseline"/>
        </w:rPr>
        <w:t> </w:t>
      </w:r>
      <w:r>
        <w:rPr>
          <w:sz w:val="21"/>
          <w:vertAlign w:val="baseline"/>
        </w:rPr>
        <w:t>adult</w:t>
      </w:r>
      <w:r>
        <w:rPr>
          <w:spacing w:val="28"/>
          <w:sz w:val="21"/>
          <w:vertAlign w:val="baseline"/>
        </w:rPr>
        <w:t> </w:t>
      </w:r>
      <w:r>
        <w:rPr>
          <w:sz w:val="21"/>
          <w:vertAlign w:val="baseline"/>
        </w:rPr>
        <w:t>convictions</w:t>
      </w:r>
      <w:r>
        <w:rPr>
          <w:spacing w:val="27"/>
          <w:sz w:val="21"/>
          <w:vertAlign w:val="baseline"/>
        </w:rPr>
        <w:t> </w:t>
      </w:r>
      <w:r>
        <w:rPr>
          <w:sz w:val="21"/>
          <w:vertAlign w:val="baseline"/>
        </w:rPr>
        <w:t>in</w:t>
      </w:r>
      <w:r>
        <w:rPr>
          <w:spacing w:val="28"/>
          <w:sz w:val="21"/>
          <w:vertAlign w:val="baseline"/>
        </w:rPr>
        <w:t> </w:t>
      </w:r>
      <w:r>
        <w:rPr>
          <w:sz w:val="21"/>
          <w:vertAlign w:val="baseline"/>
        </w:rPr>
        <w:t>Massachusetts</w:t>
      </w:r>
      <w:r>
        <w:rPr>
          <w:spacing w:val="27"/>
          <w:sz w:val="21"/>
          <w:vertAlign w:val="baseline"/>
        </w:rPr>
        <w:t> </w:t>
      </w:r>
      <w:r>
        <w:rPr>
          <w:sz w:val="21"/>
          <w:vertAlign w:val="baseline"/>
        </w:rPr>
        <w:t>state</w:t>
      </w:r>
      <w:r>
        <w:rPr>
          <w:spacing w:val="27"/>
          <w:sz w:val="21"/>
          <w:vertAlign w:val="baseline"/>
        </w:rPr>
        <w:t> </w:t>
      </w:r>
      <w:r>
        <w:rPr>
          <w:sz w:val="21"/>
          <w:vertAlign w:val="baseline"/>
        </w:rPr>
        <w:t>courts</w:t>
      </w:r>
      <w:r>
        <w:rPr>
          <w:spacing w:val="27"/>
          <w:sz w:val="21"/>
          <w:vertAlign w:val="baseline"/>
        </w:rPr>
        <w:t> </w:t>
      </w:r>
      <w:r>
        <w:rPr>
          <w:sz w:val="21"/>
          <w:vertAlign w:val="baseline"/>
        </w:rPr>
        <w:t>before</w:t>
      </w:r>
      <w:r>
        <w:rPr>
          <w:spacing w:val="27"/>
          <w:sz w:val="21"/>
          <w:vertAlign w:val="baseline"/>
        </w:rPr>
        <w:t> </w:t>
      </w:r>
      <w:r>
        <w:rPr>
          <w:sz w:val="21"/>
          <w:vertAlign w:val="baseline"/>
        </w:rPr>
        <w:t>March</w:t>
      </w:r>
      <w:r>
        <w:rPr>
          <w:spacing w:val="27"/>
          <w:sz w:val="21"/>
          <w:vertAlign w:val="baseline"/>
        </w:rPr>
        <w:t> </w:t>
      </w:r>
      <w:r>
        <w:rPr>
          <w:sz w:val="21"/>
          <w:vertAlign w:val="baseline"/>
        </w:rPr>
        <w:t>13,</w:t>
      </w:r>
      <w:r>
        <w:rPr>
          <w:spacing w:val="27"/>
          <w:sz w:val="21"/>
          <w:vertAlign w:val="baseline"/>
        </w:rPr>
        <w:t> </w:t>
      </w:r>
      <w:r>
        <w:rPr>
          <w:sz w:val="21"/>
          <w:vertAlign w:val="baseline"/>
        </w:rPr>
        <w:t>2024.</w:t>
      </w:r>
      <w:hyperlink w:history="true" w:anchor="_bookmark488">
        <w:r>
          <w:rPr>
            <w:sz w:val="21"/>
            <w:vertAlign w:val="superscript"/>
          </w:rPr>
          <w:t>172</w:t>
        </w:r>
      </w:hyperlink>
      <w:r>
        <w:rPr>
          <w:sz w:val="21"/>
          <w:vertAlign w:val="baseline"/>
        </w:rPr>
        <w:t> The</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0" w:firstLine="0"/>
        <w:jc w:val="both"/>
        <w:rPr>
          <w:sz w:val="21"/>
        </w:rPr>
      </w:pPr>
      <w:r>
        <w:rPr>
          <w:sz w:val="21"/>
        </w:rPr>
        <w:t>pardon,</w:t>
      </w:r>
      <w:r>
        <w:rPr>
          <w:spacing w:val="-3"/>
          <w:sz w:val="21"/>
        </w:rPr>
        <w:t> </w:t>
      </w:r>
      <w:r>
        <w:rPr>
          <w:sz w:val="21"/>
        </w:rPr>
        <w:t>which</w:t>
      </w:r>
      <w:r>
        <w:rPr>
          <w:spacing w:val="-4"/>
          <w:sz w:val="21"/>
        </w:rPr>
        <w:t> </w:t>
      </w:r>
      <w:r>
        <w:rPr>
          <w:sz w:val="21"/>
        </w:rPr>
        <w:t>is</w:t>
      </w:r>
      <w:r>
        <w:rPr>
          <w:spacing w:val="-4"/>
          <w:sz w:val="21"/>
        </w:rPr>
        <w:t> </w:t>
      </w:r>
      <w:r>
        <w:rPr>
          <w:sz w:val="21"/>
        </w:rPr>
        <w:t>seen</w:t>
      </w:r>
      <w:r>
        <w:rPr>
          <w:spacing w:val="-3"/>
          <w:sz w:val="21"/>
        </w:rPr>
        <w:t> </w:t>
      </w:r>
      <w:r>
        <w:rPr>
          <w:sz w:val="21"/>
        </w:rPr>
        <w:t>as</w:t>
      </w:r>
      <w:r>
        <w:rPr>
          <w:spacing w:val="-3"/>
          <w:sz w:val="21"/>
        </w:rPr>
        <w:t> </w:t>
      </w:r>
      <w:r>
        <w:rPr>
          <w:sz w:val="21"/>
        </w:rPr>
        <w:t>the</w:t>
      </w:r>
      <w:r>
        <w:rPr>
          <w:spacing w:val="-3"/>
          <w:sz w:val="21"/>
        </w:rPr>
        <w:t> </w:t>
      </w:r>
      <w:r>
        <w:rPr>
          <w:sz w:val="21"/>
        </w:rPr>
        <w:t>most</w:t>
      </w:r>
      <w:r>
        <w:rPr>
          <w:spacing w:val="-3"/>
          <w:sz w:val="21"/>
        </w:rPr>
        <w:t> </w:t>
      </w:r>
      <w:r>
        <w:rPr>
          <w:sz w:val="21"/>
        </w:rPr>
        <w:t>comprehensive</w:t>
      </w:r>
      <w:r>
        <w:rPr>
          <w:spacing w:val="-3"/>
          <w:sz w:val="21"/>
        </w:rPr>
        <w:t> </w:t>
      </w:r>
      <w:r>
        <w:rPr>
          <w:sz w:val="21"/>
        </w:rPr>
        <w:t>gubernatorial</w:t>
      </w:r>
      <w:r>
        <w:rPr>
          <w:spacing w:val="-3"/>
          <w:sz w:val="21"/>
        </w:rPr>
        <w:t> </w:t>
      </w:r>
      <w:r>
        <w:rPr>
          <w:sz w:val="21"/>
        </w:rPr>
        <w:t>action</w:t>
      </w:r>
      <w:r>
        <w:rPr>
          <w:spacing w:val="-3"/>
          <w:sz w:val="21"/>
        </w:rPr>
        <w:t> </w:t>
      </w:r>
      <w:r>
        <w:rPr>
          <w:sz w:val="21"/>
        </w:rPr>
        <w:t>following</w:t>
      </w:r>
      <w:r>
        <w:rPr>
          <w:spacing w:val="-3"/>
          <w:sz w:val="21"/>
        </w:rPr>
        <w:t> </w:t>
      </w:r>
      <w:r>
        <w:rPr>
          <w:sz w:val="21"/>
        </w:rPr>
        <w:t>the</w:t>
      </w:r>
      <w:r>
        <w:rPr>
          <w:spacing w:val="-3"/>
          <w:sz w:val="21"/>
        </w:rPr>
        <w:t> </w:t>
      </w:r>
      <w:r>
        <w:rPr>
          <w:sz w:val="21"/>
        </w:rPr>
        <w:t>President's</w:t>
      </w:r>
      <w:r>
        <w:rPr>
          <w:spacing w:val="-4"/>
          <w:sz w:val="21"/>
        </w:rPr>
        <w:t> </w:t>
      </w:r>
      <w:r>
        <w:rPr>
          <w:sz w:val="21"/>
        </w:rPr>
        <w:t>pardon</w:t>
      </w:r>
      <w:r>
        <w:rPr>
          <w:spacing w:val="-3"/>
          <w:sz w:val="21"/>
        </w:rPr>
        <w:t> </w:t>
      </w:r>
      <w:r>
        <w:rPr>
          <w:sz w:val="21"/>
        </w:rPr>
        <w:t>of federal convictions, is designed to remove barriers to employment, housing, and education for individuals with past convictions for acts that would no longer be prosecuted today.</w:t>
      </w:r>
      <w:hyperlink w:history="true" w:anchor="_bookmark489">
        <w:r>
          <w:rPr>
            <w:sz w:val="21"/>
            <w:vertAlign w:val="superscript"/>
          </w:rPr>
          <w:t>173</w:t>
        </w:r>
      </w:hyperlink>
      <w:r>
        <w:rPr>
          <w:spacing w:val="-2"/>
          <w:sz w:val="21"/>
          <w:vertAlign w:val="baseline"/>
        </w:rPr>
        <w:t> </w:t>
      </w:r>
      <w:r>
        <w:rPr>
          <w:sz w:val="21"/>
          <w:vertAlign w:val="baseline"/>
        </w:rPr>
        <w:t>This step is part of a broader commitment by the Healey administration to promote fairness and equity within the criminal justice system, acknowledging the significant changes in marijuana laws over the past decade and addressing historic</w:t>
      </w:r>
      <w:r>
        <w:rPr>
          <w:spacing w:val="-6"/>
          <w:sz w:val="21"/>
          <w:vertAlign w:val="baseline"/>
        </w:rPr>
        <w:t> </w:t>
      </w:r>
      <w:r>
        <w:rPr>
          <w:sz w:val="21"/>
          <w:vertAlign w:val="baseline"/>
        </w:rPr>
        <w:t>wrongs</w:t>
      </w:r>
      <w:r>
        <w:rPr>
          <w:spacing w:val="-6"/>
          <w:sz w:val="21"/>
          <w:vertAlign w:val="baseline"/>
        </w:rPr>
        <w:t> </w:t>
      </w:r>
      <w:r>
        <w:rPr>
          <w:sz w:val="21"/>
          <w:vertAlign w:val="baseline"/>
        </w:rPr>
        <w:t>particularly</w:t>
      </w:r>
      <w:r>
        <w:rPr>
          <w:spacing w:val="-7"/>
          <w:sz w:val="21"/>
          <w:vertAlign w:val="baseline"/>
        </w:rPr>
        <w:t> </w:t>
      </w:r>
      <w:r>
        <w:rPr>
          <w:sz w:val="21"/>
          <w:vertAlign w:val="baseline"/>
        </w:rPr>
        <w:t>tied</w:t>
      </w:r>
      <w:r>
        <w:rPr>
          <w:spacing w:val="-5"/>
          <w:sz w:val="21"/>
          <w:vertAlign w:val="baseline"/>
        </w:rPr>
        <w:t> </w:t>
      </w:r>
      <w:r>
        <w:rPr>
          <w:sz w:val="21"/>
          <w:vertAlign w:val="baseline"/>
        </w:rPr>
        <w:t>to</w:t>
      </w:r>
      <w:r>
        <w:rPr>
          <w:spacing w:val="-7"/>
          <w:sz w:val="21"/>
          <w:vertAlign w:val="baseline"/>
        </w:rPr>
        <w:t> </w:t>
      </w:r>
      <w:r>
        <w:rPr>
          <w:sz w:val="21"/>
          <w:vertAlign w:val="baseline"/>
        </w:rPr>
        <w:t>the</w:t>
      </w:r>
      <w:r>
        <w:rPr>
          <w:spacing w:val="-7"/>
          <w:sz w:val="21"/>
          <w:vertAlign w:val="baseline"/>
        </w:rPr>
        <w:t> </w:t>
      </w:r>
      <w:r>
        <w:rPr>
          <w:sz w:val="21"/>
          <w:vertAlign w:val="baseline"/>
        </w:rPr>
        <w:t>War</w:t>
      </w:r>
      <w:r>
        <w:rPr>
          <w:spacing w:val="-7"/>
          <w:sz w:val="21"/>
          <w:vertAlign w:val="baseline"/>
        </w:rPr>
        <w:t> </w:t>
      </w:r>
      <w:r>
        <w:rPr>
          <w:sz w:val="21"/>
          <w:vertAlign w:val="baseline"/>
        </w:rPr>
        <w:t>on</w:t>
      </w:r>
      <w:r>
        <w:rPr>
          <w:spacing w:val="-7"/>
          <w:sz w:val="21"/>
          <w:vertAlign w:val="baseline"/>
        </w:rPr>
        <w:t> </w:t>
      </w:r>
      <w:r>
        <w:rPr>
          <w:sz w:val="21"/>
          <w:vertAlign w:val="baseline"/>
        </w:rPr>
        <w:t>Drugs.</w:t>
      </w:r>
      <w:hyperlink w:history="true" w:anchor="_bookmark490">
        <w:r>
          <w:rPr>
            <w:sz w:val="21"/>
            <w:vertAlign w:val="superscript"/>
          </w:rPr>
          <w:t>174</w:t>
        </w:r>
      </w:hyperlink>
      <w:r>
        <w:rPr>
          <w:spacing w:val="-2"/>
          <w:sz w:val="21"/>
          <w:vertAlign w:val="baseline"/>
        </w:rPr>
        <w:t> </w:t>
      </w:r>
      <w:r>
        <w:rPr>
          <w:sz w:val="21"/>
          <w:vertAlign w:val="baseline"/>
        </w:rPr>
        <w:t>Various</w:t>
      </w:r>
      <w:r>
        <w:rPr>
          <w:spacing w:val="-6"/>
          <w:sz w:val="21"/>
          <w:vertAlign w:val="baseline"/>
        </w:rPr>
        <w:t> </w:t>
      </w:r>
      <w:r>
        <w:rPr>
          <w:sz w:val="21"/>
          <w:vertAlign w:val="baseline"/>
        </w:rPr>
        <w:t>leaders</w:t>
      </w:r>
      <w:r>
        <w:rPr>
          <w:spacing w:val="-6"/>
          <w:sz w:val="21"/>
          <w:vertAlign w:val="baseline"/>
        </w:rPr>
        <w:t> </w:t>
      </w:r>
      <w:r>
        <w:rPr>
          <w:sz w:val="21"/>
          <w:vertAlign w:val="baseline"/>
        </w:rPr>
        <w:t>and</w:t>
      </w:r>
      <w:r>
        <w:rPr>
          <w:spacing w:val="-6"/>
          <w:sz w:val="21"/>
          <w:vertAlign w:val="baseline"/>
        </w:rPr>
        <w:t> </w:t>
      </w:r>
      <w:r>
        <w:rPr>
          <w:sz w:val="21"/>
          <w:vertAlign w:val="baseline"/>
        </w:rPr>
        <w:t>organizations</w:t>
      </w:r>
      <w:r>
        <w:rPr>
          <w:spacing w:val="-6"/>
          <w:sz w:val="21"/>
          <w:vertAlign w:val="baseline"/>
        </w:rPr>
        <w:t> </w:t>
      </w:r>
      <w:r>
        <w:rPr>
          <w:sz w:val="21"/>
          <w:vertAlign w:val="baseline"/>
        </w:rPr>
        <w:t>across</w:t>
      </w:r>
      <w:r>
        <w:rPr>
          <w:spacing w:val="-6"/>
          <w:sz w:val="21"/>
          <w:vertAlign w:val="baseline"/>
        </w:rPr>
        <w:t> </w:t>
      </w:r>
      <w:r>
        <w:rPr>
          <w:sz w:val="21"/>
          <w:vertAlign w:val="baseline"/>
        </w:rPr>
        <w:t>the</w:t>
      </w:r>
      <w:r>
        <w:rPr>
          <w:spacing w:val="-6"/>
          <w:sz w:val="21"/>
          <w:vertAlign w:val="baseline"/>
        </w:rPr>
        <w:t> </w:t>
      </w:r>
      <w:r>
        <w:rPr>
          <w:sz w:val="21"/>
          <w:vertAlign w:val="baseline"/>
        </w:rPr>
        <w:t>state, including legal, law enforcement, and civil rights groups, have expressed strong support for this effort, emphasizing</w:t>
      </w:r>
      <w:r>
        <w:rPr>
          <w:spacing w:val="-7"/>
          <w:sz w:val="21"/>
          <w:vertAlign w:val="baseline"/>
        </w:rPr>
        <w:t> </w:t>
      </w:r>
      <w:r>
        <w:rPr>
          <w:sz w:val="21"/>
          <w:vertAlign w:val="baseline"/>
        </w:rPr>
        <w:t>its</w:t>
      </w:r>
      <w:r>
        <w:rPr>
          <w:spacing w:val="-7"/>
          <w:sz w:val="21"/>
          <w:vertAlign w:val="baseline"/>
        </w:rPr>
        <w:t> </w:t>
      </w:r>
      <w:r>
        <w:rPr>
          <w:sz w:val="21"/>
          <w:vertAlign w:val="baseline"/>
        </w:rPr>
        <w:t>potential</w:t>
      </w:r>
      <w:r>
        <w:rPr>
          <w:spacing w:val="-7"/>
          <w:sz w:val="21"/>
          <w:vertAlign w:val="baseline"/>
        </w:rPr>
        <w:t> </w:t>
      </w:r>
      <w:r>
        <w:rPr>
          <w:sz w:val="21"/>
          <w:vertAlign w:val="baseline"/>
        </w:rPr>
        <w:t>to</w:t>
      </w:r>
      <w:r>
        <w:rPr>
          <w:spacing w:val="-9"/>
          <w:sz w:val="21"/>
          <w:vertAlign w:val="baseline"/>
        </w:rPr>
        <w:t> </w:t>
      </w:r>
      <w:r>
        <w:rPr>
          <w:sz w:val="21"/>
          <w:vertAlign w:val="baseline"/>
        </w:rPr>
        <w:t>rectify</w:t>
      </w:r>
      <w:r>
        <w:rPr>
          <w:spacing w:val="-7"/>
          <w:sz w:val="21"/>
          <w:vertAlign w:val="baseline"/>
        </w:rPr>
        <w:t> </w:t>
      </w:r>
      <w:r>
        <w:rPr>
          <w:sz w:val="21"/>
          <w:vertAlign w:val="baseline"/>
        </w:rPr>
        <w:t>racial</w:t>
      </w:r>
      <w:r>
        <w:rPr>
          <w:spacing w:val="-7"/>
          <w:sz w:val="21"/>
          <w:vertAlign w:val="baseline"/>
        </w:rPr>
        <w:t> </w:t>
      </w:r>
      <w:r>
        <w:rPr>
          <w:sz w:val="21"/>
          <w:vertAlign w:val="baseline"/>
        </w:rPr>
        <w:t>disparities</w:t>
      </w:r>
      <w:r>
        <w:rPr>
          <w:spacing w:val="-7"/>
          <w:sz w:val="21"/>
          <w:vertAlign w:val="baseline"/>
        </w:rPr>
        <w:t> </w:t>
      </w:r>
      <w:r>
        <w:rPr>
          <w:sz w:val="21"/>
          <w:vertAlign w:val="baseline"/>
        </w:rPr>
        <w:t>and</w:t>
      </w:r>
      <w:r>
        <w:rPr>
          <w:spacing w:val="-7"/>
          <w:sz w:val="21"/>
          <w:vertAlign w:val="baseline"/>
        </w:rPr>
        <w:t> </w:t>
      </w:r>
      <w:r>
        <w:rPr>
          <w:sz w:val="21"/>
          <w:vertAlign w:val="baseline"/>
        </w:rPr>
        <w:t>improve</w:t>
      </w:r>
      <w:r>
        <w:rPr>
          <w:spacing w:val="-7"/>
          <w:sz w:val="21"/>
          <w:vertAlign w:val="baseline"/>
        </w:rPr>
        <w:t> </w:t>
      </w:r>
      <w:r>
        <w:rPr>
          <w:sz w:val="21"/>
          <w:vertAlign w:val="baseline"/>
        </w:rPr>
        <w:t>economic</w:t>
      </w:r>
      <w:r>
        <w:rPr>
          <w:spacing w:val="-7"/>
          <w:sz w:val="21"/>
          <w:vertAlign w:val="baseline"/>
        </w:rPr>
        <w:t> </w:t>
      </w:r>
      <w:r>
        <w:rPr>
          <w:sz w:val="21"/>
          <w:vertAlign w:val="baseline"/>
        </w:rPr>
        <w:t>stability</w:t>
      </w:r>
      <w:r>
        <w:rPr>
          <w:spacing w:val="-8"/>
          <w:sz w:val="21"/>
          <w:vertAlign w:val="baseline"/>
        </w:rPr>
        <w:t> </w:t>
      </w:r>
      <w:r>
        <w:rPr>
          <w:sz w:val="21"/>
          <w:vertAlign w:val="baseline"/>
        </w:rPr>
        <w:t>for</w:t>
      </w:r>
      <w:r>
        <w:rPr>
          <w:spacing w:val="-7"/>
          <w:sz w:val="21"/>
          <w:vertAlign w:val="baseline"/>
        </w:rPr>
        <w:t> </w:t>
      </w:r>
      <w:r>
        <w:rPr>
          <w:sz w:val="21"/>
          <w:vertAlign w:val="baseline"/>
        </w:rPr>
        <w:t>affected</w:t>
      </w:r>
      <w:r>
        <w:rPr>
          <w:spacing w:val="-7"/>
          <w:sz w:val="21"/>
          <w:vertAlign w:val="baseline"/>
        </w:rPr>
        <w:t> </w:t>
      </w:r>
      <w:r>
        <w:rPr>
          <w:sz w:val="21"/>
          <w:vertAlign w:val="baseline"/>
        </w:rPr>
        <w:t>individuals and families. Though the measure only applies to adult convictions, the Commission applauds this significant step to improve the lives of those with cannabis convictions, including those who were young adults (i.e. 18-24) at the time of their conviction.</w:t>
      </w:r>
    </w:p>
    <w:p>
      <w:pPr>
        <w:spacing w:line="276" w:lineRule="auto" w:before="240"/>
        <w:ind w:left="464" w:right="239" w:firstLine="0"/>
        <w:jc w:val="both"/>
        <w:rPr>
          <w:sz w:val="21"/>
        </w:rPr>
      </w:pPr>
      <w:r>
        <w:rPr>
          <w:sz w:val="21"/>
        </w:rPr>
        <w:t>Despite considerable reforms within the juvenile and criminal legal systems, much remains to be accomplished in safeguarding LGBTQ individuals older than 18. Although it is possible to expunge non- serious offenses committed before the age of 21 from a person's record, this procedure is not automatic and</w:t>
      </w:r>
      <w:r>
        <w:rPr>
          <w:spacing w:val="-3"/>
          <w:sz w:val="21"/>
        </w:rPr>
        <w:t> </w:t>
      </w:r>
      <w:r>
        <w:rPr>
          <w:sz w:val="21"/>
        </w:rPr>
        <w:t>often</w:t>
      </w:r>
      <w:r>
        <w:rPr>
          <w:spacing w:val="-4"/>
          <w:sz w:val="21"/>
        </w:rPr>
        <w:t> </w:t>
      </w:r>
      <w:r>
        <w:rPr>
          <w:sz w:val="21"/>
        </w:rPr>
        <w:t>involves</w:t>
      </w:r>
      <w:r>
        <w:rPr>
          <w:spacing w:val="-4"/>
          <w:sz w:val="21"/>
        </w:rPr>
        <w:t> </w:t>
      </w:r>
      <w:r>
        <w:rPr>
          <w:sz w:val="21"/>
        </w:rPr>
        <w:t>a</w:t>
      </w:r>
      <w:r>
        <w:rPr>
          <w:spacing w:val="-3"/>
          <w:sz w:val="21"/>
        </w:rPr>
        <w:t> </w:t>
      </w:r>
      <w:r>
        <w:rPr>
          <w:sz w:val="21"/>
        </w:rPr>
        <w:t>complex</w:t>
      </w:r>
      <w:r>
        <w:rPr>
          <w:spacing w:val="-3"/>
          <w:sz w:val="21"/>
        </w:rPr>
        <w:t> </w:t>
      </w:r>
      <w:r>
        <w:rPr>
          <w:sz w:val="21"/>
        </w:rPr>
        <w:t>and</w:t>
      </w:r>
      <w:r>
        <w:rPr>
          <w:spacing w:val="-4"/>
          <w:sz w:val="21"/>
        </w:rPr>
        <w:t> </w:t>
      </w:r>
      <w:r>
        <w:rPr>
          <w:sz w:val="21"/>
        </w:rPr>
        <w:t>protracted</w:t>
      </w:r>
      <w:r>
        <w:rPr>
          <w:spacing w:val="-3"/>
          <w:sz w:val="21"/>
        </w:rPr>
        <w:t> </w:t>
      </w:r>
      <w:r>
        <w:rPr>
          <w:sz w:val="21"/>
        </w:rPr>
        <w:t>process.</w:t>
      </w:r>
      <w:r>
        <w:rPr>
          <w:spacing w:val="-4"/>
          <w:sz w:val="21"/>
        </w:rPr>
        <w:t> </w:t>
      </w:r>
      <w:r>
        <w:rPr>
          <w:sz w:val="21"/>
        </w:rPr>
        <w:t>LGBTQ</w:t>
      </w:r>
      <w:r>
        <w:rPr>
          <w:spacing w:val="-3"/>
          <w:sz w:val="21"/>
        </w:rPr>
        <w:t> </w:t>
      </w:r>
      <w:r>
        <w:rPr>
          <w:sz w:val="21"/>
        </w:rPr>
        <w:t>youth</w:t>
      </w:r>
      <w:r>
        <w:rPr>
          <w:spacing w:val="-4"/>
          <w:sz w:val="21"/>
        </w:rPr>
        <w:t> </w:t>
      </w:r>
      <w:r>
        <w:rPr>
          <w:sz w:val="21"/>
        </w:rPr>
        <w:t>frequently</w:t>
      </w:r>
      <w:r>
        <w:rPr>
          <w:spacing w:val="-3"/>
          <w:sz w:val="21"/>
        </w:rPr>
        <w:t> </w:t>
      </w:r>
      <w:r>
        <w:rPr>
          <w:sz w:val="21"/>
        </w:rPr>
        <w:t>encounter</w:t>
      </w:r>
      <w:r>
        <w:rPr>
          <w:spacing w:val="-3"/>
          <w:sz w:val="21"/>
        </w:rPr>
        <w:t> </w:t>
      </w:r>
      <w:r>
        <w:rPr>
          <w:sz w:val="21"/>
        </w:rPr>
        <w:t>discrimination</w:t>
      </w:r>
      <w:r>
        <w:rPr>
          <w:spacing w:val="-3"/>
          <w:sz w:val="21"/>
        </w:rPr>
        <w:t> </w:t>
      </w:r>
      <w:r>
        <w:rPr>
          <w:sz w:val="21"/>
        </w:rPr>
        <w:t>in areas such as employment, housing, and accessing social services. The presence of a criminal record, even for minor offenses, can significantly worsen these challenges.</w:t>
      </w:r>
    </w:p>
    <w:p>
      <w:pPr>
        <w:spacing w:before="239"/>
        <w:ind w:left="464" w:right="0" w:firstLine="0"/>
        <w:jc w:val="both"/>
        <w:rPr>
          <w:sz w:val="28"/>
        </w:rPr>
      </w:pPr>
      <w:bookmarkStart w:name="Restorative Justice, Diversion, and Alte" w:id="766"/>
      <w:bookmarkEnd w:id="766"/>
      <w:r>
        <w:rPr/>
      </w:r>
      <w:r>
        <w:rPr>
          <w:color w:val="365F91"/>
          <w:sz w:val="28"/>
        </w:rPr>
        <w:t>Restorative</w:t>
      </w:r>
      <w:r>
        <w:rPr>
          <w:color w:val="365F91"/>
          <w:spacing w:val="-13"/>
          <w:sz w:val="28"/>
        </w:rPr>
        <w:t> </w:t>
      </w:r>
      <w:r>
        <w:rPr>
          <w:color w:val="365F91"/>
          <w:sz w:val="28"/>
        </w:rPr>
        <w:t>Justice,</w:t>
      </w:r>
      <w:r>
        <w:rPr>
          <w:color w:val="365F91"/>
          <w:spacing w:val="-12"/>
          <w:sz w:val="28"/>
        </w:rPr>
        <w:t> </w:t>
      </w:r>
      <w:r>
        <w:rPr>
          <w:color w:val="365F91"/>
          <w:sz w:val="28"/>
        </w:rPr>
        <w:t>Diversion,</w:t>
      </w:r>
      <w:r>
        <w:rPr>
          <w:color w:val="365F91"/>
          <w:spacing w:val="-12"/>
          <w:sz w:val="28"/>
        </w:rPr>
        <w:t> </w:t>
      </w:r>
      <w:r>
        <w:rPr>
          <w:color w:val="365F91"/>
          <w:sz w:val="28"/>
        </w:rPr>
        <w:t>and</w:t>
      </w:r>
      <w:r>
        <w:rPr>
          <w:color w:val="365F91"/>
          <w:spacing w:val="-12"/>
          <w:sz w:val="28"/>
        </w:rPr>
        <w:t> </w:t>
      </w:r>
      <w:r>
        <w:rPr>
          <w:color w:val="365F91"/>
          <w:sz w:val="28"/>
        </w:rPr>
        <w:t>Alternatives</w:t>
      </w:r>
      <w:r>
        <w:rPr>
          <w:color w:val="365F91"/>
          <w:spacing w:val="-13"/>
          <w:sz w:val="28"/>
        </w:rPr>
        <w:t> </w:t>
      </w:r>
      <w:r>
        <w:rPr>
          <w:color w:val="365F91"/>
          <w:sz w:val="28"/>
        </w:rPr>
        <w:t>to</w:t>
      </w:r>
      <w:r>
        <w:rPr>
          <w:color w:val="365F91"/>
          <w:spacing w:val="-12"/>
          <w:sz w:val="28"/>
        </w:rPr>
        <w:t> </w:t>
      </w:r>
      <w:r>
        <w:rPr>
          <w:color w:val="365F91"/>
          <w:spacing w:val="-2"/>
          <w:sz w:val="28"/>
        </w:rPr>
        <w:t>Confinement</w:t>
      </w:r>
    </w:p>
    <w:p>
      <w:pPr>
        <w:spacing w:line="276" w:lineRule="auto" w:before="240"/>
        <w:ind w:left="463" w:right="239" w:firstLine="0"/>
        <w:jc w:val="both"/>
        <w:rPr>
          <w:sz w:val="21"/>
        </w:rPr>
      </w:pPr>
      <w:r>
        <w:rPr>
          <w:sz w:val="21"/>
        </w:rPr>
        <w:t>Given the significant and often irrevocable harm caused by both juvenile detention and criminal adult incarceration</w:t>
      </w:r>
      <w:r>
        <w:rPr>
          <w:spacing w:val="-4"/>
          <w:sz w:val="21"/>
        </w:rPr>
        <w:t> </w:t>
      </w:r>
      <w:r>
        <w:rPr>
          <w:sz w:val="21"/>
        </w:rPr>
        <w:t>on</w:t>
      </w:r>
      <w:r>
        <w:rPr>
          <w:spacing w:val="-3"/>
          <w:sz w:val="21"/>
        </w:rPr>
        <w:t> </w:t>
      </w:r>
      <w:r>
        <w:rPr>
          <w:sz w:val="21"/>
        </w:rPr>
        <w:t>LGBTQ</w:t>
      </w:r>
      <w:r>
        <w:rPr>
          <w:spacing w:val="-3"/>
          <w:sz w:val="21"/>
        </w:rPr>
        <w:t> </w:t>
      </w:r>
      <w:r>
        <w:rPr>
          <w:sz w:val="21"/>
        </w:rPr>
        <w:t>youth</w:t>
      </w:r>
      <w:r>
        <w:rPr>
          <w:spacing w:val="-3"/>
          <w:sz w:val="21"/>
        </w:rPr>
        <w:t> </w:t>
      </w:r>
      <w:r>
        <w:rPr>
          <w:sz w:val="21"/>
        </w:rPr>
        <w:t>(as</w:t>
      </w:r>
      <w:r>
        <w:rPr>
          <w:spacing w:val="-3"/>
          <w:sz w:val="21"/>
        </w:rPr>
        <w:t> </w:t>
      </w:r>
      <w:r>
        <w:rPr>
          <w:sz w:val="21"/>
        </w:rPr>
        <w:t>explored</w:t>
      </w:r>
      <w:r>
        <w:rPr>
          <w:spacing w:val="-3"/>
          <w:sz w:val="21"/>
        </w:rPr>
        <w:t> </w:t>
      </w:r>
      <w:r>
        <w:rPr>
          <w:sz w:val="21"/>
        </w:rPr>
        <w:t>above),</w:t>
      </w:r>
      <w:r>
        <w:rPr>
          <w:spacing w:val="-2"/>
          <w:sz w:val="21"/>
        </w:rPr>
        <w:t> </w:t>
      </w:r>
      <w:r>
        <w:rPr>
          <w:sz w:val="21"/>
        </w:rPr>
        <w:t>especially</w:t>
      </w:r>
      <w:r>
        <w:rPr>
          <w:spacing w:val="-3"/>
          <w:sz w:val="21"/>
        </w:rPr>
        <w:t> </w:t>
      </w:r>
      <w:r>
        <w:rPr>
          <w:sz w:val="21"/>
        </w:rPr>
        <w:t>for</w:t>
      </w:r>
      <w:r>
        <w:rPr>
          <w:spacing w:val="-3"/>
          <w:sz w:val="21"/>
        </w:rPr>
        <w:t> </w:t>
      </w:r>
      <w:r>
        <w:rPr>
          <w:sz w:val="21"/>
        </w:rPr>
        <w:t>Black</w:t>
      </w:r>
      <w:r>
        <w:rPr>
          <w:spacing w:val="-2"/>
          <w:sz w:val="21"/>
        </w:rPr>
        <w:t> </w:t>
      </w:r>
      <w:r>
        <w:rPr>
          <w:sz w:val="21"/>
        </w:rPr>
        <w:t>youth</w:t>
      </w:r>
      <w:r>
        <w:rPr>
          <w:spacing w:val="-4"/>
          <w:sz w:val="21"/>
        </w:rPr>
        <w:t> </w:t>
      </w:r>
      <w:r>
        <w:rPr>
          <w:sz w:val="21"/>
        </w:rPr>
        <w:t>and</w:t>
      </w:r>
      <w:r>
        <w:rPr>
          <w:spacing w:val="-3"/>
          <w:sz w:val="21"/>
        </w:rPr>
        <w:t> </w:t>
      </w:r>
      <w:r>
        <w:rPr>
          <w:sz w:val="21"/>
        </w:rPr>
        <w:t>other</w:t>
      </w:r>
      <w:r>
        <w:rPr>
          <w:spacing w:val="-3"/>
          <w:sz w:val="21"/>
        </w:rPr>
        <w:t> </w:t>
      </w:r>
      <w:r>
        <w:rPr>
          <w:sz w:val="21"/>
        </w:rPr>
        <w:t>youth</w:t>
      </w:r>
      <w:r>
        <w:rPr>
          <w:spacing w:val="-3"/>
          <w:sz w:val="21"/>
        </w:rPr>
        <w:t> </w:t>
      </w:r>
      <w:r>
        <w:rPr>
          <w:sz w:val="21"/>
        </w:rPr>
        <w:t>of</w:t>
      </w:r>
      <w:r>
        <w:rPr>
          <w:spacing w:val="-5"/>
          <w:sz w:val="21"/>
        </w:rPr>
        <w:t> </w:t>
      </w:r>
      <w:r>
        <w:rPr>
          <w:sz w:val="21"/>
        </w:rPr>
        <w:t>color,</w:t>
      </w:r>
      <w:r>
        <w:rPr>
          <w:spacing w:val="-2"/>
          <w:sz w:val="21"/>
        </w:rPr>
        <w:t> </w:t>
      </w:r>
      <w:r>
        <w:rPr>
          <w:sz w:val="21"/>
        </w:rPr>
        <w:t>the Commission advocates for a pivotal shift towards humane and effective responses to juvenile illegal behavior, emphasizing the need for alternatives that promote healing and growth rather than punitive </w:t>
      </w:r>
      <w:r>
        <w:rPr>
          <w:spacing w:val="-2"/>
          <w:sz w:val="21"/>
        </w:rPr>
        <w:t>measures.</w:t>
      </w:r>
    </w:p>
    <w:p>
      <w:pPr>
        <w:spacing w:line="276" w:lineRule="auto" w:before="240"/>
        <w:ind w:left="464" w:right="238" w:firstLine="0"/>
        <w:jc w:val="both"/>
        <w:rPr>
          <w:sz w:val="21"/>
        </w:rPr>
      </w:pPr>
      <w:r>
        <w:rPr>
          <w:sz w:val="21"/>
        </w:rPr>
        <w:t>There are numerous alternative approaches that significantly outperform incarceration in supporting at- risk</w:t>
      </w:r>
      <w:r>
        <w:rPr>
          <w:spacing w:val="-11"/>
          <w:sz w:val="21"/>
        </w:rPr>
        <w:t> </w:t>
      </w:r>
      <w:r>
        <w:rPr>
          <w:sz w:val="21"/>
        </w:rPr>
        <w:t>youth</w:t>
      </w:r>
      <w:r>
        <w:rPr>
          <w:spacing w:val="-11"/>
          <w:sz w:val="21"/>
        </w:rPr>
        <w:t> </w:t>
      </w:r>
      <w:r>
        <w:rPr>
          <w:sz w:val="21"/>
        </w:rPr>
        <w:t>and</w:t>
      </w:r>
      <w:r>
        <w:rPr>
          <w:spacing w:val="-11"/>
          <w:sz w:val="21"/>
        </w:rPr>
        <w:t> </w:t>
      </w:r>
      <w:r>
        <w:rPr>
          <w:sz w:val="21"/>
        </w:rPr>
        <w:t>disincentivizing</w:t>
      </w:r>
      <w:r>
        <w:rPr>
          <w:spacing w:val="-11"/>
          <w:sz w:val="21"/>
        </w:rPr>
        <w:t> </w:t>
      </w:r>
      <w:r>
        <w:rPr>
          <w:sz w:val="21"/>
        </w:rPr>
        <w:t>criminal</w:t>
      </w:r>
      <w:r>
        <w:rPr>
          <w:spacing w:val="-11"/>
          <w:sz w:val="21"/>
        </w:rPr>
        <w:t> </w:t>
      </w:r>
      <w:r>
        <w:rPr>
          <w:sz w:val="21"/>
        </w:rPr>
        <w:t>conduct,</w:t>
      </w:r>
      <w:r>
        <w:rPr>
          <w:spacing w:val="-11"/>
          <w:sz w:val="21"/>
        </w:rPr>
        <w:t> </w:t>
      </w:r>
      <w:r>
        <w:rPr>
          <w:sz w:val="21"/>
        </w:rPr>
        <w:t>such</w:t>
      </w:r>
      <w:r>
        <w:rPr>
          <w:spacing w:val="-11"/>
          <w:sz w:val="21"/>
        </w:rPr>
        <w:t> </w:t>
      </w:r>
      <w:r>
        <w:rPr>
          <w:sz w:val="21"/>
        </w:rPr>
        <w:t>as</w:t>
      </w:r>
      <w:r>
        <w:rPr>
          <w:spacing w:val="-11"/>
          <w:sz w:val="21"/>
        </w:rPr>
        <w:t> </w:t>
      </w:r>
      <w:r>
        <w:rPr>
          <w:sz w:val="21"/>
        </w:rPr>
        <w:t>diversion,</w:t>
      </w:r>
      <w:r>
        <w:rPr>
          <w:spacing w:val="-11"/>
          <w:sz w:val="21"/>
        </w:rPr>
        <w:t> </w:t>
      </w:r>
      <w:r>
        <w:rPr>
          <w:sz w:val="21"/>
        </w:rPr>
        <w:t>credible</w:t>
      </w:r>
      <w:r>
        <w:rPr>
          <w:spacing w:val="-11"/>
          <w:sz w:val="21"/>
        </w:rPr>
        <w:t> </w:t>
      </w:r>
      <w:r>
        <w:rPr>
          <w:sz w:val="21"/>
        </w:rPr>
        <w:t>messenger</w:t>
      </w:r>
      <w:r>
        <w:rPr>
          <w:spacing w:val="-11"/>
          <w:sz w:val="21"/>
        </w:rPr>
        <w:t> </w:t>
      </w:r>
      <w:r>
        <w:rPr>
          <w:sz w:val="21"/>
        </w:rPr>
        <w:t>mentoring,</w:t>
      </w:r>
      <w:r>
        <w:rPr>
          <w:spacing w:val="-12"/>
          <w:sz w:val="21"/>
        </w:rPr>
        <w:t> </w:t>
      </w:r>
      <w:r>
        <w:rPr>
          <w:sz w:val="21"/>
        </w:rPr>
        <w:t>cognitive behavioral therapy, restorative justice conferencing, intensive multipronged family focused treatment models, and community reinvestment. </w:t>
      </w:r>
      <w:hyperlink w:history="true" w:anchor="_bookmark491">
        <w:r>
          <w:rPr>
            <w:sz w:val="21"/>
            <w:vertAlign w:val="superscript"/>
          </w:rPr>
          <w:t>175</w:t>
        </w:r>
      </w:hyperlink>
      <w:r>
        <w:rPr>
          <w:sz w:val="21"/>
          <w:vertAlign w:val="baseline"/>
        </w:rPr>
        <w:t> Each model focuses on key elements such as intensive mentorship, family involvement, and individualized support plans, demonstrating success in reducing recidivism</w:t>
      </w:r>
      <w:r>
        <w:rPr>
          <w:spacing w:val="-12"/>
          <w:sz w:val="21"/>
          <w:vertAlign w:val="baseline"/>
        </w:rPr>
        <w:t> </w:t>
      </w:r>
      <w:r>
        <w:rPr>
          <w:sz w:val="21"/>
          <w:vertAlign w:val="baseline"/>
        </w:rPr>
        <w:t>rates</w:t>
      </w:r>
      <w:r>
        <w:rPr>
          <w:spacing w:val="-12"/>
          <w:sz w:val="21"/>
          <w:vertAlign w:val="baseline"/>
        </w:rPr>
        <w:t> </w:t>
      </w:r>
      <w:r>
        <w:rPr>
          <w:sz w:val="21"/>
          <w:vertAlign w:val="baseline"/>
        </w:rPr>
        <w:t>and</w:t>
      </w:r>
      <w:r>
        <w:rPr>
          <w:spacing w:val="-12"/>
          <w:sz w:val="21"/>
          <w:vertAlign w:val="baseline"/>
        </w:rPr>
        <w:t> </w:t>
      </w:r>
      <w:r>
        <w:rPr>
          <w:sz w:val="21"/>
          <w:vertAlign w:val="baseline"/>
        </w:rPr>
        <w:t>fostering</w:t>
      </w:r>
      <w:r>
        <w:rPr>
          <w:spacing w:val="-12"/>
          <w:sz w:val="21"/>
          <w:vertAlign w:val="baseline"/>
        </w:rPr>
        <w:t> </w:t>
      </w:r>
      <w:r>
        <w:rPr>
          <w:sz w:val="21"/>
          <w:vertAlign w:val="baseline"/>
        </w:rPr>
        <w:t>positive</w:t>
      </w:r>
      <w:r>
        <w:rPr>
          <w:spacing w:val="-12"/>
          <w:sz w:val="21"/>
          <w:vertAlign w:val="baseline"/>
        </w:rPr>
        <w:t> </w:t>
      </w:r>
      <w:r>
        <w:rPr>
          <w:sz w:val="21"/>
          <w:vertAlign w:val="baseline"/>
        </w:rPr>
        <w:t>developmental</w:t>
      </w:r>
      <w:r>
        <w:rPr>
          <w:spacing w:val="-12"/>
          <w:sz w:val="21"/>
          <w:vertAlign w:val="baseline"/>
        </w:rPr>
        <w:t> </w:t>
      </w:r>
      <w:r>
        <w:rPr>
          <w:sz w:val="21"/>
          <w:vertAlign w:val="baseline"/>
        </w:rPr>
        <w:t>outcomes</w:t>
      </w:r>
      <w:r>
        <w:rPr>
          <w:spacing w:val="-12"/>
          <w:sz w:val="21"/>
          <w:vertAlign w:val="baseline"/>
        </w:rPr>
        <w:t> </w:t>
      </w:r>
      <w:r>
        <w:rPr>
          <w:sz w:val="21"/>
          <w:vertAlign w:val="baseline"/>
        </w:rPr>
        <w:t>among</w:t>
      </w:r>
      <w:r>
        <w:rPr>
          <w:spacing w:val="-11"/>
          <w:sz w:val="21"/>
          <w:vertAlign w:val="baseline"/>
        </w:rPr>
        <w:t> </w:t>
      </w:r>
      <w:r>
        <w:rPr>
          <w:sz w:val="21"/>
          <w:vertAlign w:val="baseline"/>
        </w:rPr>
        <w:t>youth</w:t>
      </w:r>
      <w:r>
        <w:rPr>
          <w:spacing w:val="-12"/>
          <w:sz w:val="21"/>
          <w:vertAlign w:val="baseline"/>
        </w:rPr>
        <w:t> </w:t>
      </w:r>
      <w:r>
        <w:rPr>
          <w:sz w:val="21"/>
          <w:vertAlign w:val="baseline"/>
        </w:rPr>
        <w:t>and</w:t>
      </w:r>
      <w:r>
        <w:rPr>
          <w:spacing w:val="-12"/>
          <w:sz w:val="21"/>
          <w:vertAlign w:val="baseline"/>
        </w:rPr>
        <w:t> </w:t>
      </w:r>
      <w:r>
        <w:rPr>
          <w:sz w:val="21"/>
          <w:vertAlign w:val="baseline"/>
        </w:rPr>
        <w:t>caregiver</w:t>
      </w:r>
      <w:r>
        <w:rPr>
          <w:spacing w:val="-12"/>
          <w:sz w:val="21"/>
          <w:vertAlign w:val="baseline"/>
        </w:rPr>
        <w:t> </w:t>
      </w:r>
      <w:r>
        <w:rPr>
          <w:sz w:val="21"/>
          <w:vertAlign w:val="baseline"/>
        </w:rPr>
        <w:t>participants.</w:t>
      </w:r>
      <w:hyperlink w:history="true" w:anchor="_bookmark492">
        <w:r>
          <w:rPr>
            <w:sz w:val="21"/>
            <w:vertAlign w:val="superscript"/>
          </w:rPr>
          <w:t>176</w:t>
        </w:r>
      </w:hyperlink>
    </w:p>
    <w:p>
      <w:pPr>
        <w:spacing w:line="276" w:lineRule="auto" w:before="240"/>
        <w:ind w:left="463" w:right="238" w:firstLine="0"/>
        <w:jc w:val="both"/>
        <w:rPr>
          <w:sz w:val="21"/>
        </w:rPr>
      </w:pPr>
      <w:r>
        <w:rPr>
          <w:sz w:val="21"/>
        </w:rPr>
        <w:t>Diversion programs offer a way to stop young people from getting a criminal record by guiding them to service-oriented alternatives that keep them out of the court process.</w:t>
      </w:r>
      <w:hyperlink w:history="true" w:anchor="_bookmark493">
        <w:r>
          <w:rPr>
            <w:sz w:val="21"/>
            <w:vertAlign w:val="superscript"/>
          </w:rPr>
          <w:t>177</w:t>
        </w:r>
      </w:hyperlink>
      <w:r>
        <w:rPr>
          <w:spacing w:val="-1"/>
          <w:sz w:val="21"/>
          <w:vertAlign w:val="baseline"/>
        </w:rPr>
        <w:t> </w:t>
      </w:r>
      <w:r>
        <w:rPr>
          <w:sz w:val="21"/>
          <w:vertAlign w:val="baseline"/>
        </w:rPr>
        <w:t>These programs provide several benefits, such as being more cost-effective, lessening trauma with healing approaches, and providing ongoing support for the youth even after their involvement with the juvenile and criminal legal systems ends. While the specifics of diversion programs can differ greatly, they work best when the help and opportunities they provide are optional, non-punitive, and easy to access. While diversion doesn't completely</w:t>
      </w:r>
      <w:r>
        <w:rPr>
          <w:spacing w:val="-3"/>
          <w:sz w:val="21"/>
          <w:vertAlign w:val="baseline"/>
        </w:rPr>
        <w:t> </w:t>
      </w:r>
      <w:r>
        <w:rPr>
          <w:sz w:val="21"/>
          <w:vertAlign w:val="baseline"/>
        </w:rPr>
        <w:t>negate</w:t>
      </w:r>
      <w:r>
        <w:rPr>
          <w:spacing w:val="-3"/>
          <w:sz w:val="21"/>
          <w:vertAlign w:val="baseline"/>
        </w:rPr>
        <w:t> </w:t>
      </w:r>
      <w:r>
        <w:rPr>
          <w:sz w:val="21"/>
          <w:vertAlign w:val="baseline"/>
        </w:rPr>
        <w:t>the</w:t>
      </w:r>
      <w:r>
        <w:rPr>
          <w:spacing w:val="-3"/>
          <w:sz w:val="21"/>
          <w:vertAlign w:val="baseline"/>
        </w:rPr>
        <w:t> </w:t>
      </w:r>
      <w:r>
        <w:rPr>
          <w:sz w:val="21"/>
          <w:vertAlign w:val="baseline"/>
        </w:rPr>
        <w:t>harmful</w:t>
      </w:r>
      <w:r>
        <w:rPr>
          <w:spacing w:val="-3"/>
          <w:sz w:val="21"/>
          <w:vertAlign w:val="baseline"/>
        </w:rPr>
        <w:t> </w:t>
      </w:r>
      <w:r>
        <w:rPr>
          <w:sz w:val="21"/>
          <w:vertAlign w:val="baseline"/>
        </w:rPr>
        <w:t>impact</w:t>
      </w:r>
      <w:r>
        <w:rPr>
          <w:spacing w:val="-3"/>
          <w:sz w:val="21"/>
          <w:vertAlign w:val="baseline"/>
        </w:rPr>
        <w:t> </w:t>
      </w:r>
      <w:r>
        <w:rPr>
          <w:sz w:val="21"/>
          <w:vertAlign w:val="baseline"/>
        </w:rPr>
        <w:t>of</w:t>
      </w:r>
      <w:r>
        <w:rPr>
          <w:spacing w:val="-3"/>
          <w:sz w:val="21"/>
          <w:vertAlign w:val="baseline"/>
        </w:rPr>
        <w:t> </w:t>
      </w:r>
      <w:r>
        <w:rPr>
          <w:sz w:val="21"/>
          <w:vertAlign w:val="baseline"/>
        </w:rPr>
        <w:t>a</w:t>
      </w:r>
      <w:r>
        <w:rPr>
          <w:spacing w:val="-3"/>
          <w:sz w:val="21"/>
          <w:vertAlign w:val="baseline"/>
        </w:rPr>
        <w:t> </w:t>
      </w:r>
      <w:r>
        <w:rPr>
          <w:sz w:val="21"/>
          <w:vertAlign w:val="baseline"/>
        </w:rPr>
        <w:t>young</w:t>
      </w:r>
      <w:r>
        <w:rPr>
          <w:spacing w:val="-3"/>
          <w:sz w:val="21"/>
          <w:vertAlign w:val="baseline"/>
        </w:rPr>
        <w:t> </w:t>
      </w:r>
      <w:r>
        <w:rPr>
          <w:sz w:val="21"/>
          <w:vertAlign w:val="baseline"/>
        </w:rPr>
        <w:t>person's</w:t>
      </w:r>
      <w:r>
        <w:rPr>
          <w:spacing w:val="-3"/>
          <w:sz w:val="21"/>
          <w:vertAlign w:val="baseline"/>
        </w:rPr>
        <w:t> </w:t>
      </w:r>
      <w:r>
        <w:rPr>
          <w:sz w:val="21"/>
          <w:vertAlign w:val="baseline"/>
        </w:rPr>
        <w:t>initial</w:t>
      </w:r>
      <w:r>
        <w:rPr>
          <w:spacing w:val="-3"/>
          <w:sz w:val="21"/>
          <w:vertAlign w:val="baseline"/>
        </w:rPr>
        <w:t> </w:t>
      </w:r>
      <w:r>
        <w:rPr>
          <w:sz w:val="21"/>
          <w:vertAlign w:val="baseline"/>
        </w:rPr>
        <w:t>encounter</w:t>
      </w:r>
      <w:r>
        <w:rPr>
          <w:spacing w:val="-3"/>
          <w:sz w:val="21"/>
          <w:vertAlign w:val="baseline"/>
        </w:rPr>
        <w:t> </w:t>
      </w:r>
      <w:r>
        <w:rPr>
          <w:sz w:val="21"/>
          <w:vertAlign w:val="baseline"/>
        </w:rPr>
        <w:t>with</w:t>
      </w:r>
      <w:r>
        <w:rPr>
          <w:spacing w:val="-3"/>
          <w:sz w:val="21"/>
          <w:vertAlign w:val="baseline"/>
        </w:rPr>
        <w:t> </w:t>
      </w:r>
      <w:r>
        <w:rPr>
          <w:sz w:val="21"/>
          <w:vertAlign w:val="baseline"/>
        </w:rPr>
        <w:t>the</w:t>
      </w:r>
      <w:r>
        <w:rPr>
          <w:spacing w:val="-4"/>
          <w:sz w:val="21"/>
          <w:vertAlign w:val="baseline"/>
        </w:rPr>
        <w:t> </w:t>
      </w:r>
      <w:r>
        <w:rPr>
          <w:sz w:val="21"/>
          <w:vertAlign w:val="baseline"/>
        </w:rPr>
        <w:t>criminal</w:t>
      </w:r>
      <w:r>
        <w:rPr>
          <w:spacing w:val="-3"/>
          <w:sz w:val="21"/>
          <w:vertAlign w:val="baseline"/>
        </w:rPr>
        <w:t> </w:t>
      </w:r>
      <w:r>
        <w:rPr>
          <w:sz w:val="21"/>
          <w:vertAlign w:val="baseline"/>
        </w:rPr>
        <w:t>legal</w:t>
      </w:r>
      <w:r>
        <w:rPr>
          <w:spacing w:val="-3"/>
          <w:sz w:val="21"/>
          <w:vertAlign w:val="baseline"/>
        </w:rPr>
        <w:t> </w:t>
      </w:r>
      <w:r>
        <w:rPr>
          <w:sz w:val="21"/>
          <w:vertAlign w:val="baseline"/>
        </w:rPr>
        <w:t>system, it can significantly reduce the lasting damage of being formally charged with a crime.</w:t>
      </w:r>
    </w:p>
    <w:p>
      <w:pPr>
        <w:spacing w:line="276" w:lineRule="auto" w:before="241"/>
        <w:ind w:left="464" w:right="240" w:firstLine="0"/>
        <w:jc w:val="both"/>
        <w:rPr>
          <w:sz w:val="21"/>
        </w:rPr>
      </w:pPr>
      <w:r>
        <w:rPr>
          <w:sz w:val="21"/>
        </w:rPr>
        <w:t>In October 2021, the Massachusetts Department of Youth Services (DYS), in collaboration with the Office of</w:t>
      </w:r>
      <w:r>
        <w:rPr>
          <w:spacing w:val="17"/>
          <w:sz w:val="21"/>
        </w:rPr>
        <w:t> </w:t>
      </w:r>
      <w:r>
        <w:rPr>
          <w:sz w:val="21"/>
        </w:rPr>
        <w:t>the</w:t>
      </w:r>
      <w:r>
        <w:rPr>
          <w:spacing w:val="17"/>
          <w:sz w:val="21"/>
        </w:rPr>
        <w:t> </w:t>
      </w:r>
      <w:r>
        <w:rPr>
          <w:sz w:val="21"/>
        </w:rPr>
        <w:t>Child</w:t>
      </w:r>
      <w:r>
        <w:rPr>
          <w:spacing w:val="17"/>
          <w:sz w:val="21"/>
        </w:rPr>
        <w:t> </w:t>
      </w:r>
      <w:r>
        <w:rPr>
          <w:sz w:val="21"/>
        </w:rPr>
        <w:t>Advocate</w:t>
      </w:r>
      <w:r>
        <w:rPr>
          <w:spacing w:val="17"/>
          <w:sz w:val="21"/>
        </w:rPr>
        <w:t> </w:t>
      </w:r>
      <w:r>
        <w:rPr>
          <w:sz w:val="21"/>
        </w:rPr>
        <w:t>(OCA),</w:t>
      </w:r>
      <w:r>
        <w:rPr>
          <w:spacing w:val="18"/>
          <w:sz w:val="21"/>
        </w:rPr>
        <w:t> </w:t>
      </w:r>
      <w:r>
        <w:rPr>
          <w:sz w:val="21"/>
        </w:rPr>
        <w:t>initiated</w:t>
      </w:r>
      <w:r>
        <w:rPr>
          <w:spacing w:val="16"/>
          <w:sz w:val="21"/>
        </w:rPr>
        <w:t> </w:t>
      </w:r>
      <w:r>
        <w:rPr>
          <w:sz w:val="21"/>
        </w:rPr>
        <w:t>the</w:t>
      </w:r>
      <w:r>
        <w:rPr>
          <w:spacing w:val="17"/>
          <w:sz w:val="21"/>
        </w:rPr>
        <w:t> </w:t>
      </w:r>
      <w:r>
        <w:rPr>
          <w:sz w:val="21"/>
        </w:rPr>
        <w:t>Youth</w:t>
      </w:r>
      <w:r>
        <w:rPr>
          <w:spacing w:val="17"/>
          <w:sz w:val="21"/>
        </w:rPr>
        <w:t> </w:t>
      </w:r>
      <w:r>
        <w:rPr>
          <w:sz w:val="21"/>
        </w:rPr>
        <w:t>Diversion</w:t>
      </w:r>
      <w:r>
        <w:rPr>
          <w:spacing w:val="17"/>
          <w:sz w:val="21"/>
        </w:rPr>
        <w:t> </w:t>
      </w:r>
      <w:r>
        <w:rPr>
          <w:sz w:val="21"/>
        </w:rPr>
        <w:t>Learning</w:t>
      </w:r>
      <w:r>
        <w:rPr>
          <w:spacing w:val="17"/>
          <w:sz w:val="21"/>
        </w:rPr>
        <w:t> </w:t>
      </w:r>
      <w:r>
        <w:rPr>
          <w:sz w:val="21"/>
        </w:rPr>
        <w:t>Lab.</w:t>
      </w:r>
      <w:hyperlink w:history="true" w:anchor="_bookmark494">
        <w:r>
          <w:rPr>
            <w:sz w:val="21"/>
            <w:vertAlign w:val="superscript"/>
          </w:rPr>
          <w:t>178</w:t>
        </w:r>
      </w:hyperlink>
      <w:r>
        <w:rPr>
          <w:spacing w:val="-2"/>
          <w:sz w:val="21"/>
          <w:vertAlign w:val="baseline"/>
        </w:rPr>
        <w:t> </w:t>
      </w:r>
      <w:r>
        <w:rPr>
          <w:sz w:val="21"/>
          <w:vertAlign w:val="baseline"/>
        </w:rPr>
        <w:t>This</w:t>
      </w:r>
      <w:r>
        <w:rPr>
          <w:spacing w:val="17"/>
          <w:sz w:val="21"/>
          <w:vertAlign w:val="baseline"/>
        </w:rPr>
        <w:t> </w:t>
      </w:r>
      <w:r>
        <w:rPr>
          <w:sz w:val="21"/>
          <w:vertAlign w:val="baseline"/>
        </w:rPr>
        <w:t>initiative</w:t>
      </w:r>
      <w:r>
        <w:rPr>
          <w:spacing w:val="17"/>
          <w:sz w:val="21"/>
          <w:vertAlign w:val="baseline"/>
        </w:rPr>
        <w:t> </w:t>
      </w:r>
      <w:r>
        <w:rPr>
          <w:sz w:val="21"/>
          <w:vertAlign w:val="baseline"/>
        </w:rPr>
        <w:t>seeks</w:t>
      </w:r>
      <w:r>
        <w:rPr>
          <w:spacing w:val="17"/>
          <w:sz w:val="21"/>
          <w:vertAlign w:val="baseline"/>
        </w:rPr>
        <w:t> </w:t>
      </w:r>
      <w:r>
        <w:rPr>
          <w:sz w:val="21"/>
          <w:vertAlign w:val="baseline"/>
        </w:rPr>
        <w:t>to</w:t>
      </w:r>
      <w:r>
        <w:rPr>
          <w:spacing w:val="16"/>
          <w:sz w:val="21"/>
          <w:vertAlign w:val="baseline"/>
        </w:rPr>
        <w:t> </w:t>
      </w:r>
      <w:r>
        <w:rPr>
          <w:sz w:val="21"/>
          <w:vertAlign w:val="baseline"/>
        </w:rPr>
        <w:t>divert</w:t>
      </w:r>
    </w:p>
    <w:p>
      <w:pPr>
        <w:spacing w:after="0" w:line="276" w:lineRule="auto"/>
        <w:jc w:val="both"/>
        <w:rPr>
          <w:sz w:val="21"/>
        </w:rPr>
        <w:sectPr>
          <w:pgSz w:w="12240" w:h="15840"/>
          <w:pgMar w:header="763" w:footer="1041" w:top="1360" w:bottom="1240" w:left="1120" w:right="1340"/>
        </w:sectPr>
      </w:pPr>
    </w:p>
    <w:p>
      <w:pPr>
        <w:spacing w:line="276" w:lineRule="auto" w:before="65"/>
        <w:ind w:left="463" w:right="238" w:firstLine="0"/>
        <w:jc w:val="both"/>
        <w:rPr>
          <w:sz w:val="21"/>
        </w:rPr>
      </w:pPr>
      <w:r>
        <w:rPr>
          <w:sz w:val="21"/>
        </w:rPr>
        <w:t>youth from the formal juvenile legal system, an approach increasingly recognized across the Commonwealth for its negative impact on youth well-being.</w:t>
      </w:r>
      <w:hyperlink w:history="true" w:anchor="_bookmark495">
        <w:r>
          <w:rPr>
            <w:sz w:val="21"/>
            <w:vertAlign w:val="superscript"/>
          </w:rPr>
          <w:t>179</w:t>
        </w:r>
      </w:hyperlink>
      <w:r>
        <w:rPr>
          <w:spacing w:val="-2"/>
          <w:sz w:val="21"/>
          <w:vertAlign w:val="baseline"/>
        </w:rPr>
        <w:t> </w:t>
      </w:r>
      <w:r>
        <w:rPr>
          <w:sz w:val="21"/>
          <w:vertAlign w:val="baseline"/>
        </w:rPr>
        <w:t>The Diversion Learning Lab program was crafted with several key aims at its core. First, it seeks to decrease the probability that young individuals will commit offenses again, thereby contributing to greater public safety. </w:t>
      </w:r>
      <w:hyperlink w:history="true" w:anchor="_bookmark496">
        <w:r>
          <w:rPr>
            <w:sz w:val="21"/>
            <w:vertAlign w:val="superscript"/>
          </w:rPr>
          <w:t>180</w:t>
        </w:r>
      </w:hyperlink>
      <w:r>
        <w:rPr>
          <w:sz w:val="21"/>
          <w:vertAlign w:val="baseline"/>
        </w:rPr>
        <w:t> Second, the program encourages youth to take accountability for their actions. It aims to nurture positive youth development, focusing on cultivating beneficial qualities and skills in young people. Lastly, a fundamental goal of the Diversion Learning Lab is to guarantee fairness and equity throughout the program's processes, ensuring all</w:t>
      </w:r>
      <w:r>
        <w:rPr>
          <w:spacing w:val="-3"/>
          <w:sz w:val="21"/>
          <w:vertAlign w:val="baseline"/>
        </w:rPr>
        <w:t> </w:t>
      </w:r>
      <w:r>
        <w:rPr>
          <w:sz w:val="21"/>
          <w:vertAlign w:val="baseline"/>
        </w:rPr>
        <w:t>participants</w:t>
      </w:r>
      <w:r>
        <w:rPr>
          <w:spacing w:val="-4"/>
          <w:sz w:val="21"/>
          <w:vertAlign w:val="baseline"/>
        </w:rPr>
        <w:t> </w:t>
      </w:r>
      <w:r>
        <w:rPr>
          <w:sz w:val="21"/>
          <w:vertAlign w:val="baseline"/>
        </w:rPr>
        <w:t>are</w:t>
      </w:r>
      <w:r>
        <w:rPr>
          <w:spacing w:val="-3"/>
          <w:sz w:val="21"/>
          <w:vertAlign w:val="baseline"/>
        </w:rPr>
        <w:t> </w:t>
      </w:r>
      <w:r>
        <w:rPr>
          <w:sz w:val="21"/>
          <w:vertAlign w:val="baseline"/>
        </w:rPr>
        <w:t>treated</w:t>
      </w:r>
      <w:r>
        <w:rPr>
          <w:spacing w:val="-4"/>
          <w:sz w:val="21"/>
          <w:vertAlign w:val="baseline"/>
        </w:rPr>
        <w:t> </w:t>
      </w:r>
      <w:r>
        <w:rPr>
          <w:sz w:val="21"/>
          <w:vertAlign w:val="baseline"/>
        </w:rPr>
        <w:t>justly</w:t>
      </w:r>
      <w:r>
        <w:rPr>
          <w:spacing w:val="-3"/>
          <w:sz w:val="21"/>
          <w:vertAlign w:val="baseline"/>
        </w:rPr>
        <w:t> </w:t>
      </w:r>
      <w:r>
        <w:rPr>
          <w:sz w:val="21"/>
          <w:vertAlign w:val="baseline"/>
        </w:rPr>
        <w:t>and</w:t>
      </w:r>
      <w:r>
        <w:rPr>
          <w:spacing w:val="-3"/>
          <w:sz w:val="21"/>
          <w:vertAlign w:val="baseline"/>
        </w:rPr>
        <w:t> </w:t>
      </w:r>
      <w:r>
        <w:rPr>
          <w:sz w:val="21"/>
          <w:vertAlign w:val="baseline"/>
        </w:rPr>
        <w:t>equitably.</w:t>
      </w:r>
      <w:r>
        <w:rPr>
          <w:spacing w:val="-3"/>
          <w:sz w:val="21"/>
          <w:vertAlign w:val="baseline"/>
        </w:rPr>
        <w:t> </w:t>
      </w:r>
      <w:r>
        <w:rPr>
          <w:sz w:val="21"/>
          <w:vertAlign w:val="baseline"/>
        </w:rPr>
        <w:t>Diversion</w:t>
      </w:r>
      <w:r>
        <w:rPr>
          <w:spacing w:val="-3"/>
          <w:sz w:val="21"/>
          <w:vertAlign w:val="baseline"/>
        </w:rPr>
        <w:t> </w:t>
      </w:r>
      <w:r>
        <w:rPr>
          <w:sz w:val="21"/>
          <w:vertAlign w:val="baseline"/>
        </w:rPr>
        <w:t>Coordination</w:t>
      </w:r>
      <w:r>
        <w:rPr>
          <w:spacing w:val="-3"/>
          <w:sz w:val="21"/>
          <w:vertAlign w:val="baseline"/>
        </w:rPr>
        <w:t> </w:t>
      </w:r>
      <w:r>
        <w:rPr>
          <w:sz w:val="21"/>
          <w:vertAlign w:val="baseline"/>
        </w:rPr>
        <w:t>Programs</w:t>
      </w:r>
      <w:r>
        <w:rPr>
          <w:spacing w:val="-3"/>
          <w:sz w:val="21"/>
          <w:vertAlign w:val="baseline"/>
        </w:rPr>
        <w:t> </w:t>
      </w:r>
      <w:r>
        <w:rPr>
          <w:sz w:val="21"/>
          <w:vertAlign w:val="baseline"/>
        </w:rPr>
        <w:t>have</w:t>
      </w:r>
      <w:r>
        <w:rPr>
          <w:spacing w:val="-3"/>
          <w:sz w:val="21"/>
          <w:vertAlign w:val="baseline"/>
        </w:rPr>
        <w:t> </w:t>
      </w:r>
      <w:r>
        <w:rPr>
          <w:sz w:val="21"/>
          <w:vertAlign w:val="baseline"/>
        </w:rPr>
        <w:t>been</w:t>
      </w:r>
      <w:r>
        <w:rPr>
          <w:spacing w:val="-3"/>
          <w:sz w:val="21"/>
          <w:vertAlign w:val="baseline"/>
        </w:rPr>
        <w:t> </w:t>
      </w:r>
      <w:r>
        <w:rPr>
          <w:sz w:val="21"/>
          <w:vertAlign w:val="baseline"/>
        </w:rPr>
        <w:t>established</w:t>
      </w:r>
      <w:r>
        <w:rPr>
          <w:spacing w:val="-3"/>
          <w:sz w:val="21"/>
          <w:vertAlign w:val="baseline"/>
        </w:rPr>
        <w:t> </w:t>
      </w:r>
      <w:r>
        <w:rPr>
          <w:sz w:val="21"/>
          <w:vertAlign w:val="baseline"/>
        </w:rPr>
        <w:t>in counties like Worcester, Middlesex, and Essex, with the potential for statewide expansion, if effective.</w:t>
      </w:r>
      <w:hyperlink w:history="true" w:anchor="_bookmark497">
        <w:r>
          <w:rPr>
            <w:sz w:val="21"/>
            <w:vertAlign w:val="superscript"/>
          </w:rPr>
          <w:t>181</w:t>
        </w:r>
      </w:hyperlink>
      <w:r>
        <w:rPr>
          <w:sz w:val="21"/>
          <w:vertAlign w:val="baseline"/>
        </w:rPr>
        <w:t> While there is a variety of diversion practices across the state, the overarching goal is to adopt evidence- based methods to improve outcomes for youth involved in the juvenile legal system.</w:t>
      </w:r>
    </w:p>
    <w:p>
      <w:pPr>
        <w:spacing w:line="276" w:lineRule="auto" w:before="239"/>
        <w:ind w:left="463" w:right="238" w:firstLine="0"/>
        <w:jc w:val="both"/>
        <w:rPr>
          <w:sz w:val="21"/>
        </w:rPr>
      </w:pPr>
      <w:r>
        <w:rPr>
          <w:sz w:val="21"/>
        </w:rPr>
        <w:t>The</w:t>
      </w:r>
      <w:r>
        <w:rPr>
          <w:spacing w:val="-11"/>
          <w:sz w:val="21"/>
        </w:rPr>
        <w:t> </w:t>
      </w:r>
      <w:r>
        <w:rPr>
          <w:sz w:val="21"/>
        </w:rPr>
        <w:t>Diversion</w:t>
      </w:r>
      <w:r>
        <w:rPr>
          <w:spacing w:val="-10"/>
          <w:sz w:val="21"/>
        </w:rPr>
        <w:t> </w:t>
      </w:r>
      <w:r>
        <w:rPr>
          <w:sz w:val="21"/>
        </w:rPr>
        <w:t>Learning</w:t>
      </w:r>
      <w:r>
        <w:rPr>
          <w:spacing w:val="-12"/>
          <w:sz w:val="21"/>
        </w:rPr>
        <w:t> </w:t>
      </w:r>
      <w:r>
        <w:rPr>
          <w:sz w:val="21"/>
        </w:rPr>
        <w:t>Lab</w:t>
      </w:r>
      <w:r>
        <w:rPr>
          <w:spacing w:val="-10"/>
          <w:sz w:val="21"/>
        </w:rPr>
        <w:t> </w:t>
      </w:r>
      <w:r>
        <w:rPr>
          <w:sz w:val="21"/>
        </w:rPr>
        <w:t>aims</w:t>
      </w:r>
      <w:r>
        <w:rPr>
          <w:spacing w:val="-12"/>
          <w:sz w:val="21"/>
        </w:rPr>
        <w:t> </w:t>
      </w:r>
      <w:r>
        <w:rPr>
          <w:sz w:val="21"/>
        </w:rPr>
        <w:t>to</w:t>
      </w:r>
      <w:r>
        <w:rPr>
          <w:spacing w:val="-11"/>
          <w:sz w:val="21"/>
        </w:rPr>
        <w:t> </w:t>
      </w:r>
      <w:r>
        <w:rPr>
          <w:sz w:val="21"/>
        </w:rPr>
        <w:t>reduce</w:t>
      </w:r>
      <w:r>
        <w:rPr>
          <w:spacing w:val="-11"/>
          <w:sz w:val="21"/>
        </w:rPr>
        <w:t> </w:t>
      </w:r>
      <w:r>
        <w:rPr>
          <w:sz w:val="21"/>
        </w:rPr>
        <w:t>future</w:t>
      </w:r>
      <w:r>
        <w:rPr>
          <w:spacing w:val="-11"/>
          <w:sz w:val="21"/>
        </w:rPr>
        <w:t> </w:t>
      </w:r>
      <w:r>
        <w:rPr>
          <w:sz w:val="21"/>
        </w:rPr>
        <w:t>offending,</w:t>
      </w:r>
      <w:r>
        <w:rPr>
          <w:spacing w:val="-11"/>
          <w:sz w:val="21"/>
        </w:rPr>
        <w:t> </w:t>
      </w:r>
      <w:r>
        <w:rPr>
          <w:sz w:val="21"/>
        </w:rPr>
        <w:t>enhance</w:t>
      </w:r>
      <w:r>
        <w:rPr>
          <w:spacing w:val="-11"/>
          <w:sz w:val="21"/>
        </w:rPr>
        <w:t> </w:t>
      </w:r>
      <w:r>
        <w:rPr>
          <w:sz w:val="21"/>
        </w:rPr>
        <w:t>public</w:t>
      </w:r>
      <w:r>
        <w:rPr>
          <w:spacing w:val="-11"/>
          <w:sz w:val="21"/>
        </w:rPr>
        <w:t> </w:t>
      </w:r>
      <w:r>
        <w:rPr>
          <w:sz w:val="21"/>
        </w:rPr>
        <w:t>safety,</w:t>
      </w:r>
      <w:r>
        <w:rPr>
          <w:spacing w:val="-11"/>
          <w:sz w:val="21"/>
        </w:rPr>
        <w:t> </w:t>
      </w:r>
      <w:r>
        <w:rPr>
          <w:sz w:val="21"/>
        </w:rPr>
        <w:t>hold</w:t>
      </w:r>
      <w:r>
        <w:rPr>
          <w:spacing w:val="-11"/>
          <w:sz w:val="21"/>
        </w:rPr>
        <w:t> </w:t>
      </w:r>
      <w:r>
        <w:rPr>
          <w:sz w:val="21"/>
        </w:rPr>
        <w:t>youth</w:t>
      </w:r>
      <w:r>
        <w:rPr>
          <w:spacing w:val="-11"/>
          <w:sz w:val="21"/>
        </w:rPr>
        <w:t> </w:t>
      </w:r>
      <w:r>
        <w:rPr>
          <w:sz w:val="21"/>
        </w:rPr>
        <w:t>accountable, support</w:t>
      </w:r>
      <w:r>
        <w:rPr>
          <w:spacing w:val="-8"/>
          <w:sz w:val="21"/>
        </w:rPr>
        <w:t> </w:t>
      </w:r>
      <w:r>
        <w:rPr>
          <w:sz w:val="21"/>
        </w:rPr>
        <w:t>their</w:t>
      </w:r>
      <w:r>
        <w:rPr>
          <w:spacing w:val="-9"/>
          <w:sz w:val="21"/>
        </w:rPr>
        <w:t> </w:t>
      </w:r>
      <w:r>
        <w:rPr>
          <w:sz w:val="21"/>
        </w:rPr>
        <w:t>development,</w:t>
      </w:r>
      <w:r>
        <w:rPr>
          <w:spacing w:val="-8"/>
          <w:sz w:val="21"/>
        </w:rPr>
        <w:t> </w:t>
      </w:r>
      <w:r>
        <w:rPr>
          <w:sz w:val="21"/>
        </w:rPr>
        <w:t>and</w:t>
      </w:r>
      <w:r>
        <w:rPr>
          <w:spacing w:val="-9"/>
          <w:sz w:val="21"/>
        </w:rPr>
        <w:t> </w:t>
      </w:r>
      <w:r>
        <w:rPr>
          <w:sz w:val="21"/>
        </w:rPr>
        <w:t>promote</w:t>
      </w:r>
      <w:r>
        <w:rPr>
          <w:spacing w:val="-9"/>
          <w:sz w:val="21"/>
        </w:rPr>
        <w:t> </w:t>
      </w:r>
      <w:r>
        <w:rPr>
          <w:sz w:val="21"/>
        </w:rPr>
        <w:t>equity</w:t>
      </w:r>
      <w:r>
        <w:rPr>
          <w:spacing w:val="-8"/>
          <w:sz w:val="21"/>
        </w:rPr>
        <w:t> </w:t>
      </w:r>
      <w:r>
        <w:rPr>
          <w:sz w:val="21"/>
        </w:rPr>
        <w:t>in</w:t>
      </w:r>
      <w:r>
        <w:rPr>
          <w:spacing w:val="-8"/>
          <w:sz w:val="21"/>
        </w:rPr>
        <w:t> </w:t>
      </w:r>
      <w:r>
        <w:rPr>
          <w:sz w:val="21"/>
        </w:rPr>
        <w:t>the</w:t>
      </w:r>
      <w:r>
        <w:rPr>
          <w:spacing w:val="-8"/>
          <w:sz w:val="21"/>
        </w:rPr>
        <w:t> </w:t>
      </w:r>
      <w:r>
        <w:rPr>
          <w:sz w:val="21"/>
        </w:rPr>
        <w:t>diversion</w:t>
      </w:r>
      <w:r>
        <w:rPr>
          <w:spacing w:val="-8"/>
          <w:sz w:val="21"/>
        </w:rPr>
        <w:t> </w:t>
      </w:r>
      <w:r>
        <w:rPr>
          <w:sz w:val="21"/>
        </w:rPr>
        <w:t>process.</w:t>
      </w:r>
      <w:hyperlink w:history="true" w:anchor="_bookmark498">
        <w:r>
          <w:rPr>
            <w:sz w:val="21"/>
            <w:vertAlign w:val="superscript"/>
          </w:rPr>
          <w:t>182</w:t>
        </w:r>
      </w:hyperlink>
      <w:r>
        <w:rPr>
          <w:spacing w:val="-2"/>
          <w:sz w:val="21"/>
          <w:vertAlign w:val="baseline"/>
        </w:rPr>
        <w:t> </w:t>
      </w:r>
      <w:r>
        <w:rPr>
          <w:sz w:val="21"/>
          <w:vertAlign w:val="baseline"/>
        </w:rPr>
        <w:t>The</w:t>
      </w:r>
      <w:r>
        <w:rPr>
          <w:spacing w:val="-8"/>
          <w:sz w:val="21"/>
          <w:vertAlign w:val="baseline"/>
        </w:rPr>
        <w:t> </w:t>
      </w:r>
      <w:r>
        <w:rPr>
          <w:sz w:val="21"/>
          <w:vertAlign w:val="baseline"/>
        </w:rPr>
        <w:t>program</w:t>
      </w:r>
      <w:r>
        <w:rPr>
          <w:spacing w:val="-8"/>
          <w:sz w:val="21"/>
          <w:vertAlign w:val="baseline"/>
        </w:rPr>
        <w:t> </w:t>
      </w:r>
      <w:r>
        <w:rPr>
          <w:sz w:val="21"/>
          <w:vertAlign w:val="baseline"/>
        </w:rPr>
        <w:t>model,</w:t>
      </w:r>
      <w:r>
        <w:rPr>
          <w:spacing w:val="-8"/>
          <w:sz w:val="21"/>
          <w:vertAlign w:val="baseline"/>
        </w:rPr>
        <w:t> </w:t>
      </w:r>
      <w:r>
        <w:rPr>
          <w:sz w:val="21"/>
          <w:vertAlign w:val="baseline"/>
        </w:rPr>
        <w:t>crafted</w:t>
      </w:r>
      <w:r>
        <w:rPr>
          <w:spacing w:val="-8"/>
          <w:sz w:val="21"/>
          <w:vertAlign w:val="baseline"/>
        </w:rPr>
        <w:t> </w:t>
      </w:r>
      <w:r>
        <w:rPr>
          <w:sz w:val="21"/>
          <w:vertAlign w:val="baseline"/>
        </w:rPr>
        <w:t>by the JJPAD Board’s Community-Based Interventions Subcommittee and outlined in the Model Program Guide, emphasizes collaboration among various stakeholders, including law enforcement, judges, and community organizations.</w:t>
      </w:r>
      <w:hyperlink w:history="true" w:anchor="_bookmark499">
        <w:r>
          <w:rPr>
            <w:sz w:val="21"/>
            <w:vertAlign w:val="superscript"/>
          </w:rPr>
          <w:t>183</w:t>
        </w:r>
      </w:hyperlink>
      <w:r>
        <w:rPr>
          <w:spacing w:val="-2"/>
          <w:sz w:val="21"/>
          <w:vertAlign w:val="baseline"/>
        </w:rPr>
        <w:t> </w:t>
      </w:r>
      <w:r>
        <w:rPr>
          <w:sz w:val="21"/>
          <w:vertAlign w:val="baseline"/>
        </w:rPr>
        <w:t>The program offers voluntary participation, comprehensive service provision including risk and needs assessments, individualized case plans, and active case management. It also maintains communication with referrers to monitor progress and addresses any challenges, thereby supporting the youth and their families in accessing necessary services and overcoming barriers to </w:t>
      </w:r>
      <w:r>
        <w:rPr>
          <w:spacing w:val="-2"/>
          <w:sz w:val="21"/>
          <w:vertAlign w:val="baseline"/>
        </w:rPr>
        <w:t>success.</w:t>
      </w:r>
      <w:hyperlink w:history="true" w:anchor="_bookmark500">
        <w:r>
          <w:rPr>
            <w:spacing w:val="-2"/>
            <w:sz w:val="21"/>
            <w:vertAlign w:val="superscript"/>
          </w:rPr>
          <w:t>184</w:t>
        </w:r>
      </w:hyperlink>
    </w:p>
    <w:p>
      <w:pPr>
        <w:spacing w:line="276" w:lineRule="auto" w:before="240"/>
        <w:ind w:left="464" w:right="239" w:firstLine="0"/>
        <w:jc w:val="both"/>
        <w:rPr>
          <w:sz w:val="21"/>
        </w:rPr>
      </w:pPr>
      <w:r>
        <w:rPr>
          <w:sz w:val="21"/>
        </w:rPr>
        <w:t>In</w:t>
      </w:r>
      <w:r>
        <w:rPr>
          <w:spacing w:val="-4"/>
          <w:sz w:val="21"/>
        </w:rPr>
        <w:t> </w:t>
      </w:r>
      <w:r>
        <w:rPr>
          <w:sz w:val="21"/>
        </w:rPr>
        <w:t>October</w:t>
      </w:r>
      <w:r>
        <w:rPr>
          <w:spacing w:val="-4"/>
          <w:sz w:val="21"/>
        </w:rPr>
        <w:t> </w:t>
      </w:r>
      <w:r>
        <w:rPr>
          <w:sz w:val="21"/>
        </w:rPr>
        <w:t>2023,</w:t>
      </w:r>
      <w:r>
        <w:rPr>
          <w:spacing w:val="-5"/>
          <w:sz w:val="21"/>
        </w:rPr>
        <w:t> </w:t>
      </w:r>
      <w:r>
        <w:rPr>
          <w:sz w:val="21"/>
        </w:rPr>
        <w:t>the</w:t>
      </w:r>
      <w:r>
        <w:rPr>
          <w:spacing w:val="-5"/>
          <w:sz w:val="21"/>
        </w:rPr>
        <w:t> </w:t>
      </w:r>
      <w:r>
        <w:rPr>
          <w:sz w:val="21"/>
        </w:rPr>
        <w:t>Massachusetts</w:t>
      </w:r>
      <w:r>
        <w:rPr>
          <w:spacing w:val="-5"/>
          <w:sz w:val="21"/>
        </w:rPr>
        <w:t> </w:t>
      </w:r>
      <w:r>
        <w:rPr>
          <w:sz w:val="21"/>
        </w:rPr>
        <w:t>Office</w:t>
      </w:r>
      <w:r>
        <w:rPr>
          <w:spacing w:val="-4"/>
          <w:sz w:val="21"/>
        </w:rPr>
        <w:t> </w:t>
      </w:r>
      <w:r>
        <w:rPr>
          <w:sz w:val="21"/>
        </w:rPr>
        <w:t>of</w:t>
      </w:r>
      <w:r>
        <w:rPr>
          <w:spacing w:val="-5"/>
          <w:sz w:val="21"/>
        </w:rPr>
        <w:t> </w:t>
      </w:r>
      <w:r>
        <w:rPr>
          <w:sz w:val="21"/>
        </w:rPr>
        <w:t>the</w:t>
      </w:r>
      <w:r>
        <w:rPr>
          <w:spacing w:val="-4"/>
          <w:sz w:val="21"/>
        </w:rPr>
        <w:t> </w:t>
      </w:r>
      <w:r>
        <w:rPr>
          <w:sz w:val="21"/>
        </w:rPr>
        <w:t>Child</w:t>
      </w:r>
      <w:r>
        <w:rPr>
          <w:spacing w:val="-5"/>
          <w:sz w:val="21"/>
        </w:rPr>
        <w:t> </w:t>
      </w:r>
      <w:r>
        <w:rPr>
          <w:sz w:val="21"/>
        </w:rPr>
        <w:t>Advocate</w:t>
      </w:r>
      <w:r>
        <w:rPr>
          <w:spacing w:val="-4"/>
          <w:sz w:val="21"/>
        </w:rPr>
        <w:t> </w:t>
      </w:r>
      <w:r>
        <w:rPr>
          <w:sz w:val="21"/>
        </w:rPr>
        <w:t>(OCA)</w:t>
      </w:r>
      <w:r>
        <w:rPr>
          <w:spacing w:val="-4"/>
          <w:sz w:val="21"/>
        </w:rPr>
        <w:t> </w:t>
      </w:r>
      <w:r>
        <w:rPr>
          <w:sz w:val="21"/>
        </w:rPr>
        <w:t>released</w:t>
      </w:r>
      <w:r>
        <w:rPr>
          <w:spacing w:val="-4"/>
          <w:sz w:val="21"/>
        </w:rPr>
        <w:t> </w:t>
      </w:r>
      <w:r>
        <w:rPr>
          <w:sz w:val="21"/>
        </w:rPr>
        <w:t>a</w:t>
      </w:r>
      <w:r>
        <w:rPr>
          <w:spacing w:val="-5"/>
          <w:sz w:val="21"/>
        </w:rPr>
        <w:t> </w:t>
      </w:r>
      <w:r>
        <w:rPr>
          <w:sz w:val="21"/>
        </w:rPr>
        <w:t>progress</w:t>
      </w:r>
      <w:r>
        <w:rPr>
          <w:spacing w:val="-5"/>
          <w:sz w:val="21"/>
        </w:rPr>
        <w:t> </w:t>
      </w:r>
      <w:r>
        <w:rPr>
          <w:sz w:val="21"/>
        </w:rPr>
        <w:t>report</w:t>
      </w:r>
      <w:r>
        <w:rPr>
          <w:spacing w:val="-4"/>
          <w:sz w:val="21"/>
        </w:rPr>
        <w:t> </w:t>
      </w:r>
      <w:r>
        <w:rPr>
          <w:sz w:val="21"/>
        </w:rPr>
        <w:t>tracking results from the first year of implementation (calendar year 2022) of the Youth Diversion Learning Lab in three initial pilot sites in Worcester, Essex, and Middlesex Counties.</w:t>
      </w:r>
      <w:r>
        <w:rPr>
          <w:spacing w:val="-10"/>
          <w:sz w:val="21"/>
        </w:rPr>
        <w:t> </w:t>
      </w:r>
      <w:hyperlink w:history="true" w:anchor="_bookmark501">
        <w:r>
          <w:rPr>
            <w:sz w:val="21"/>
            <w:vertAlign w:val="superscript"/>
          </w:rPr>
          <w:t>185</w:t>
        </w:r>
      </w:hyperlink>
      <w:r>
        <w:rPr>
          <w:sz w:val="21"/>
          <w:vertAlign w:val="baseline"/>
        </w:rPr>
        <w:t> The report revealed several significant findings regarding the program's performance and impact in 2022.</w:t>
      </w:r>
      <w:hyperlink w:history="true" w:anchor="_bookmark502">
        <w:r>
          <w:rPr>
            <w:sz w:val="21"/>
            <w:vertAlign w:val="superscript"/>
          </w:rPr>
          <w:t>186</w:t>
        </w:r>
      </w:hyperlink>
      <w:r>
        <w:rPr>
          <w:spacing w:val="-2"/>
          <w:sz w:val="21"/>
          <w:vertAlign w:val="baseline"/>
        </w:rPr>
        <w:t> </w:t>
      </w:r>
      <w:r>
        <w:rPr>
          <w:sz w:val="21"/>
          <w:vertAlign w:val="baseline"/>
        </w:rPr>
        <w:t>Throughout the year, 134 young</w:t>
      </w:r>
      <w:r>
        <w:rPr>
          <w:spacing w:val="-6"/>
          <w:sz w:val="21"/>
          <w:vertAlign w:val="baseline"/>
        </w:rPr>
        <w:t> </w:t>
      </w:r>
      <w:r>
        <w:rPr>
          <w:sz w:val="21"/>
          <w:vertAlign w:val="baseline"/>
        </w:rPr>
        <w:t>individuals</w:t>
      </w:r>
      <w:r>
        <w:rPr>
          <w:spacing w:val="-6"/>
          <w:sz w:val="21"/>
          <w:vertAlign w:val="baseline"/>
        </w:rPr>
        <w:t> </w:t>
      </w:r>
      <w:r>
        <w:rPr>
          <w:sz w:val="21"/>
          <w:vertAlign w:val="baseline"/>
        </w:rPr>
        <w:t>were</w:t>
      </w:r>
      <w:r>
        <w:rPr>
          <w:spacing w:val="-6"/>
          <w:sz w:val="21"/>
          <w:vertAlign w:val="baseline"/>
        </w:rPr>
        <w:t> </w:t>
      </w:r>
      <w:r>
        <w:rPr>
          <w:sz w:val="21"/>
          <w:vertAlign w:val="baseline"/>
        </w:rPr>
        <w:t>referred</w:t>
      </w:r>
      <w:r>
        <w:rPr>
          <w:spacing w:val="-6"/>
          <w:sz w:val="21"/>
          <w:vertAlign w:val="baseline"/>
        </w:rPr>
        <w:t> </w:t>
      </w:r>
      <w:r>
        <w:rPr>
          <w:sz w:val="21"/>
          <w:vertAlign w:val="baseline"/>
        </w:rPr>
        <w:t>to</w:t>
      </w:r>
      <w:r>
        <w:rPr>
          <w:spacing w:val="-6"/>
          <w:sz w:val="21"/>
          <w:vertAlign w:val="baseline"/>
        </w:rPr>
        <w:t> </w:t>
      </w:r>
      <w:r>
        <w:rPr>
          <w:sz w:val="21"/>
          <w:vertAlign w:val="baseline"/>
        </w:rPr>
        <w:t>the</w:t>
      </w:r>
      <w:r>
        <w:rPr>
          <w:spacing w:val="-6"/>
          <w:sz w:val="21"/>
          <w:vertAlign w:val="baseline"/>
        </w:rPr>
        <w:t> </w:t>
      </w:r>
      <w:r>
        <w:rPr>
          <w:sz w:val="21"/>
          <w:vertAlign w:val="baseline"/>
        </w:rPr>
        <w:t>program,</w:t>
      </w:r>
      <w:r>
        <w:rPr>
          <w:spacing w:val="-5"/>
          <w:sz w:val="21"/>
          <w:vertAlign w:val="baseline"/>
        </w:rPr>
        <w:t> </w:t>
      </w:r>
      <w:r>
        <w:rPr>
          <w:sz w:val="21"/>
          <w:vertAlign w:val="baseline"/>
        </w:rPr>
        <w:t>with</w:t>
      </w:r>
      <w:r>
        <w:rPr>
          <w:spacing w:val="-6"/>
          <w:sz w:val="21"/>
          <w:vertAlign w:val="baseline"/>
        </w:rPr>
        <w:t> </w:t>
      </w:r>
      <w:r>
        <w:rPr>
          <w:sz w:val="21"/>
          <w:vertAlign w:val="baseline"/>
        </w:rPr>
        <w:t>the</w:t>
      </w:r>
      <w:r>
        <w:rPr>
          <w:spacing w:val="-6"/>
          <w:sz w:val="21"/>
          <w:vertAlign w:val="baseline"/>
        </w:rPr>
        <w:t> </w:t>
      </w:r>
      <w:r>
        <w:rPr>
          <w:sz w:val="21"/>
          <w:vertAlign w:val="baseline"/>
        </w:rPr>
        <w:t>rate</w:t>
      </w:r>
      <w:r>
        <w:rPr>
          <w:spacing w:val="-6"/>
          <w:sz w:val="21"/>
          <w:vertAlign w:val="baseline"/>
        </w:rPr>
        <w:t> </w:t>
      </w:r>
      <w:r>
        <w:rPr>
          <w:sz w:val="21"/>
          <w:vertAlign w:val="baseline"/>
        </w:rPr>
        <w:t>of</w:t>
      </w:r>
      <w:r>
        <w:rPr>
          <w:spacing w:val="-6"/>
          <w:sz w:val="21"/>
          <w:vertAlign w:val="baseline"/>
        </w:rPr>
        <w:t> </w:t>
      </w:r>
      <w:r>
        <w:rPr>
          <w:sz w:val="21"/>
          <w:vertAlign w:val="baseline"/>
        </w:rPr>
        <w:t>monthly</w:t>
      </w:r>
      <w:r>
        <w:rPr>
          <w:spacing w:val="-6"/>
          <w:sz w:val="21"/>
          <w:vertAlign w:val="baseline"/>
        </w:rPr>
        <w:t> </w:t>
      </w:r>
      <w:r>
        <w:rPr>
          <w:sz w:val="21"/>
          <w:vertAlign w:val="baseline"/>
        </w:rPr>
        <w:t>referrals</w:t>
      </w:r>
      <w:r>
        <w:rPr>
          <w:spacing w:val="-5"/>
          <w:sz w:val="21"/>
          <w:vertAlign w:val="baseline"/>
        </w:rPr>
        <w:t> </w:t>
      </w:r>
      <w:r>
        <w:rPr>
          <w:sz w:val="21"/>
          <w:vertAlign w:val="baseline"/>
        </w:rPr>
        <w:t>increasing</w:t>
      </w:r>
      <w:r>
        <w:rPr>
          <w:spacing w:val="-6"/>
          <w:sz w:val="21"/>
          <w:vertAlign w:val="baseline"/>
        </w:rPr>
        <w:t> </w:t>
      </w:r>
      <w:r>
        <w:rPr>
          <w:sz w:val="21"/>
          <w:vertAlign w:val="baseline"/>
        </w:rPr>
        <w:t>as</w:t>
      </w:r>
      <w:r>
        <w:rPr>
          <w:spacing w:val="-6"/>
          <w:sz w:val="21"/>
          <w:vertAlign w:val="baseline"/>
        </w:rPr>
        <w:t> </w:t>
      </w:r>
      <w:r>
        <w:rPr>
          <w:sz w:val="21"/>
          <w:vertAlign w:val="baseline"/>
        </w:rPr>
        <w:t>awareness of the program grew among potential referrers.</w:t>
      </w:r>
      <w:r>
        <w:rPr>
          <w:spacing w:val="-12"/>
          <w:sz w:val="21"/>
          <w:vertAlign w:val="baseline"/>
        </w:rPr>
        <w:t> </w:t>
      </w:r>
      <w:hyperlink w:history="true" w:anchor="_bookmark503">
        <w:r>
          <w:rPr>
            <w:sz w:val="21"/>
            <w:vertAlign w:val="superscript"/>
          </w:rPr>
          <w:t>187</w:t>
        </w:r>
      </w:hyperlink>
      <w:r>
        <w:rPr>
          <w:sz w:val="21"/>
          <w:vertAlign w:val="baseline"/>
        </w:rPr>
        <w:t> A primary aim of the initiative is to address the disproportionate representation of Black and Latino youth within the juvenile legal system. Initial data indicate progress in reducing disparities among Hispanic/Latino participants, who accounted for 46% of those reaching the intake phase by year's end.</w:t>
      </w:r>
      <w:hyperlink w:history="true" w:anchor="_bookmark504">
        <w:r>
          <w:rPr>
            <w:sz w:val="21"/>
            <w:vertAlign w:val="superscript"/>
          </w:rPr>
          <w:t>188</w:t>
        </w:r>
      </w:hyperlink>
      <w:r>
        <w:rPr>
          <w:spacing w:val="-2"/>
          <w:sz w:val="21"/>
          <w:vertAlign w:val="baseline"/>
        </w:rPr>
        <w:t> </w:t>
      </w:r>
      <w:r>
        <w:rPr>
          <w:sz w:val="21"/>
          <w:vertAlign w:val="baseline"/>
        </w:rPr>
        <w:t>However, it highlighted the need for further efforts to ensure Black youth, who represented only 8% of referrals, receive fair access to the program. Feedback from a survey among young participants who finished the program in 2022 revealed that 86% reported feeling equipped to steer clear of legal issues in the future.</w:t>
      </w:r>
      <w:hyperlink w:history="true" w:anchor="_bookmark505">
        <w:r>
          <w:rPr>
            <w:sz w:val="21"/>
            <w:vertAlign w:val="superscript"/>
          </w:rPr>
          <w:t>189</w:t>
        </w:r>
      </w:hyperlink>
      <w:r>
        <w:rPr>
          <w:sz w:val="21"/>
          <w:vertAlign w:val="baseline"/>
        </w:rPr>
        <w:t> Similarly, 86% recognized the program's effectiveness in encouraging them to contemplate any harm they might have inflicted.</w:t>
      </w:r>
      <w:hyperlink w:history="true" w:anchor="_bookmark506">
        <w:r>
          <w:rPr>
            <w:sz w:val="21"/>
            <w:vertAlign w:val="superscript"/>
          </w:rPr>
          <w:t>190</w:t>
        </w:r>
      </w:hyperlink>
    </w:p>
    <w:p>
      <w:pPr>
        <w:spacing w:line="276" w:lineRule="auto" w:before="241"/>
        <w:ind w:left="463" w:right="239" w:firstLine="0"/>
        <w:jc w:val="both"/>
        <w:rPr>
          <w:sz w:val="21"/>
        </w:rPr>
      </w:pPr>
      <w:r>
        <w:rPr>
          <w:sz w:val="21"/>
        </w:rPr>
        <w:t>Credible messenger mentoring initiatives employ individuals from the community who have previous experience with the criminal legal system.</w:t>
      </w:r>
      <w:hyperlink w:history="true" w:anchor="_bookmark507">
        <w:r>
          <w:rPr>
            <w:sz w:val="21"/>
            <w:vertAlign w:val="superscript"/>
          </w:rPr>
          <w:t>191</w:t>
        </w:r>
      </w:hyperlink>
      <w:r>
        <w:rPr>
          <w:spacing w:val="-2"/>
          <w:sz w:val="21"/>
          <w:vertAlign w:val="baseline"/>
        </w:rPr>
        <w:t> </w:t>
      </w:r>
      <w:r>
        <w:rPr>
          <w:sz w:val="21"/>
          <w:vertAlign w:val="baseline"/>
        </w:rPr>
        <w:t>These individuals offer comprehensive assistance to young people and their families, usually serving as a component of a broader, multifaceted intervention strategy.</w:t>
      </w:r>
      <w:hyperlink w:history="true" w:anchor="_bookmark508">
        <w:r>
          <w:rPr>
            <w:sz w:val="21"/>
            <w:vertAlign w:val="superscript"/>
          </w:rPr>
          <w:t>192</w:t>
        </w:r>
      </w:hyperlink>
      <w:r>
        <w:rPr>
          <w:spacing w:val="-2"/>
          <w:sz w:val="21"/>
          <w:vertAlign w:val="baseline"/>
        </w:rPr>
        <w:t> </w:t>
      </w:r>
      <w:r>
        <w:rPr>
          <w:sz w:val="21"/>
          <w:vertAlign w:val="baseline"/>
        </w:rPr>
        <w:t>Cognitive behavioral therapy coupled with supportive mentors can engage at-risk youth and equip them with behavioral interventions to prevent harmful and potentially illegal behavior.</w:t>
      </w:r>
      <w:hyperlink w:history="true" w:anchor="_bookmark509">
        <w:r>
          <w:rPr>
            <w:sz w:val="21"/>
            <w:vertAlign w:val="superscript"/>
          </w:rPr>
          <w:t>193</w:t>
        </w:r>
      </w:hyperlink>
      <w:r>
        <w:rPr>
          <w:spacing w:val="-2"/>
          <w:sz w:val="21"/>
          <w:vertAlign w:val="baseline"/>
        </w:rPr>
        <w:t> </w:t>
      </w:r>
      <w:r>
        <w:rPr>
          <w:sz w:val="21"/>
          <w:vertAlign w:val="baseline"/>
        </w:rPr>
        <w:t>Intensive multipronged</w:t>
      </w:r>
      <w:r>
        <w:rPr>
          <w:spacing w:val="-12"/>
          <w:sz w:val="21"/>
          <w:vertAlign w:val="baseline"/>
        </w:rPr>
        <w:t> </w:t>
      </w:r>
      <w:r>
        <w:rPr>
          <w:sz w:val="21"/>
          <w:vertAlign w:val="baseline"/>
        </w:rPr>
        <w:t>family</w:t>
      </w:r>
      <w:r>
        <w:rPr>
          <w:spacing w:val="-12"/>
          <w:sz w:val="21"/>
          <w:vertAlign w:val="baseline"/>
        </w:rPr>
        <w:t> </w:t>
      </w:r>
      <w:r>
        <w:rPr>
          <w:sz w:val="21"/>
          <w:vertAlign w:val="baseline"/>
        </w:rPr>
        <w:t>focused</w:t>
      </w:r>
      <w:r>
        <w:rPr>
          <w:spacing w:val="-12"/>
          <w:sz w:val="21"/>
          <w:vertAlign w:val="baseline"/>
        </w:rPr>
        <w:t> </w:t>
      </w:r>
      <w:r>
        <w:rPr>
          <w:sz w:val="21"/>
          <w:vertAlign w:val="baseline"/>
        </w:rPr>
        <w:t>treatment</w:t>
      </w:r>
      <w:r>
        <w:rPr>
          <w:spacing w:val="-12"/>
          <w:sz w:val="21"/>
          <w:vertAlign w:val="baseline"/>
        </w:rPr>
        <w:t> </w:t>
      </w:r>
      <w:r>
        <w:rPr>
          <w:sz w:val="21"/>
          <w:vertAlign w:val="baseline"/>
        </w:rPr>
        <w:t>models</w:t>
      </w:r>
      <w:r>
        <w:rPr>
          <w:spacing w:val="-12"/>
          <w:sz w:val="21"/>
          <w:vertAlign w:val="baseline"/>
        </w:rPr>
        <w:t> </w:t>
      </w:r>
      <w:r>
        <w:rPr>
          <w:sz w:val="21"/>
          <w:vertAlign w:val="baseline"/>
        </w:rPr>
        <w:t>designate</w:t>
      </w:r>
      <w:r>
        <w:rPr>
          <w:spacing w:val="-12"/>
          <w:sz w:val="21"/>
          <w:vertAlign w:val="baseline"/>
        </w:rPr>
        <w:t> </w:t>
      </w:r>
      <w:r>
        <w:rPr>
          <w:sz w:val="21"/>
          <w:vertAlign w:val="baseline"/>
        </w:rPr>
        <w:t>therapists</w:t>
      </w:r>
      <w:r>
        <w:rPr>
          <w:spacing w:val="-12"/>
          <w:sz w:val="21"/>
          <w:vertAlign w:val="baseline"/>
        </w:rPr>
        <w:t> </w:t>
      </w:r>
      <w:r>
        <w:rPr>
          <w:sz w:val="21"/>
          <w:vertAlign w:val="baseline"/>
        </w:rPr>
        <w:t>with</w:t>
      </w:r>
      <w:r>
        <w:rPr>
          <w:spacing w:val="-11"/>
          <w:sz w:val="21"/>
          <w:vertAlign w:val="baseline"/>
        </w:rPr>
        <w:t> </w:t>
      </w:r>
      <w:r>
        <w:rPr>
          <w:sz w:val="21"/>
          <w:vertAlign w:val="baseline"/>
        </w:rPr>
        <w:t>specialized</w:t>
      </w:r>
      <w:r>
        <w:rPr>
          <w:spacing w:val="-12"/>
          <w:sz w:val="21"/>
          <w:vertAlign w:val="baseline"/>
        </w:rPr>
        <w:t> </w:t>
      </w:r>
      <w:r>
        <w:rPr>
          <w:sz w:val="21"/>
          <w:vertAlign w:val="baseline"/>
        </w:rPr>
        <w:t>training</w:t>
      </w:r>
      <w:r>
        <w:rPr>
          <w:spacing w:val="-12"/>
          <w:sz w:val="21"/>
          <w:vertAlign w:val="baseline"/>
        </w:rPr>
        <w:t> </w:t>
      </w:r>
      <w:r>
        <w:rPr>
          <w:sz w:val="21"/>
          <w:vertAlign w:val="baseline"/>
        </w:rPr>
        <w:t>to</w:t>
      </w:r>
      <w:r>
        <w:rPr>
          <w:spacing w:val="-12"/>
          <w:sz w:val="21"/>
          <w:vertAlign w:val="baseline"/>
        </w:rPr>
        <w:t> </w:t>
      </w:r>
      <w:r>
        <w:rPr>
          <w:sz w:val="21"/>
          <w:vertAlign w:val="baseline"/>
        </w:rPr>
        <w:t>collaborate with young individuals and their families over a period of several months.</w:t>
      </w:r>
      <w:r>
        <w:rPr>
          <w:spacing w:val="-12"/>
          <w:sz w:val="21"/>
          <w:vertAlign w:val="baseline"/>
        </w:rPr>
        <w:t> </w:t>
      </w:r>
      <w:hyperlink w:history="true" w:anchor="_bookmark510">
        <w:r>
          <w:rPr>
            <w:sz w:val="21"/>
            <w:vertAlign w:val="superscript"/>
          </w:rPr>
          <w:t>194</w:t>
        </w:r>
      </w:hyperlink>
      <w:r>
        <w:rPr>
          <w:sz w:val="21"/>
          <w:vertAlign w:val="baseline"/>
        </w:rPr>
        <w:t> These programs aim to enhance</w:t>
      </w:r>
      <w:r>
        <w:rPr>
          <w:spacing w:val="40"/>
          <w:sz w:val="21"/>
          <w:vertAlign w:val="baseline"/>
        </w:rPr>
        <w:t> </w:t>
      </w:r>
      <w:r>
        <w:rPr>
          <w:sz w:val="21"/>
          <w:vertAlign w:val="baseline"/>
        </w:rPr>
        <w:t>how</w:t>
      </w:r>
      <w:r>
        <w:rPr>
          <w:spacing w:val="40"/>
          <w:sz w:val="21"/>
          <w:vertAlign w:val="baseline"/>
        </w:rPr>
        <w:t> </w:t>
      </w:r>
      <w:r>
        <w:rPr>
          <w:sz w:val="21"/>
          <w:vertAlign w:val="baseline"/>
        </w:rPr>
        <w:t>families</w:t>
      </w:r>
      <w:r>
        <w:rPr>
          <w:spacing w:val="40"/>
          <w:sz w:val="21"/>
          <w:vertAlign w:val="baseline"/>
        </w:rPr>
        <w:t> </w:t>
      </w:r>
      <w:r>
        <w:rPr>
          <w:sz w:val="21"/>
          <w:vertAlign w:val="baseline"/>
        </w:rPr>
        <w:t>operate</w:t>
      </w:r>
      <w:r>
        <w:rPr>
          <w:spacing w:val="40"/>
          <w:sz w:val="21"/>
          <w:vertAlign w:val="baseline"/>
        </w:rPr>
        <w:t> </w:t>
      </w:r>
      <w:r>
        <w:rPr>
          <w:sz w:val="21"/>
          <w:vertAlign w:val="baseline"/>
        </w:rPr>
        <w:t>together,</w:t>
      </w:r>
      <w:r>
        <w:rPr>
          <w:spacing w:val="40"/>
          <w:sz w:val="21"/>
          <w:vertAlign w:val="baseline"/>
        </w:rPr>
        <w:t> </w:t>
      </w:r>
      <w:r>
        <w:rPr>
          <w:sz w:val="21"/>
          <w:vertAlign w:val="baseline"/>
        </w:rPr>
        <w:t>pinpoint</w:t>
      </w:r>
      <w:r>
        <w:rPr>
          <w:spacing w:val="40"/>
          <w:sz w:val="21"/>
          <w:vertAlign w:val="baseline"/>
        </w:rPr>
        <w:t> </w:t>
      </w:r>
      <w:r>
        <w:rPr>
          <w:sz w:val="21"/>
          <w:vertAlign w:val="baseline"/>
        </w:rPr>
        <w:t>and</w:t>
      </w:r>
      <w:r>
        <w:rPr>
          <w:spacing w:val="40"/>
          <w:sz w:val="21"/>
          <w:vertAlign w:val="baseline"/>
        </w:rPr>
        <w:t> </w:t>
      </w:r>
      <w:r>
        <w:rPr>
          <w:sz w:val="21"/>
          <w:vertAlign w:val="baseline"/>
        </w:rPr>
        <w:t>tackle</w:t>
      </w:r>
      <w:r>
        <w:rPr>
          <w:spacing w:val="40"/>
          <w:sz w:val="21"/>
          <w:vertAlign w:val="baseline"/>
        </w:rPr>
        <w:t> </w:t>
      </w:r>
      <w:r>
        <w:rPr>
          <w:sz w:val="21"/>
          <w:vertAlign w:val="baseline"/>
        </w:rPr>
        <w:t>the</w:t>
      </w:r>
      <w:r>
        <w:rPr>
          <w:spacing w:val="40"/>
          <w:sz w:val="21"/>
          <w:vertAlign w:val="baseline"/>
        </w:rPr>
        <w:t> </w:t>
      </w:r>
      <w:r>
        <w:rPr>
          <w:sz w:val="21"/>
          <w:vertAlign w:val="baseline"/>
        </w:rPr>
        <w:t>underlying</w:t>
      </w:r>
      <w:r>
        <w:rPr>
          <w:spacing w:val="40"/>
          <w:sz w:val="21"/>
          <w:vertAlign w:val="baseline"/>
        </w:rPr>
        <w:t> </w:t>
      </w:r>
      <w:r>
        <w:rPr>
          <w:sz w:val="21"/>
          <w:vertAlign w:val="baseline"/>
        </w:rPr>
        <w:t>reasons</w:t>
      </w:r>
      <w:r>
        <w:rPr>
          <w:spacing w:val="40"/>
          <w:sz w:val="21"/>
          <w:vertAlign w:val="baseline"/>
        </w:rPr>
        <w:t> </w:t>
      </w:r>
      <w:r>
        <w:rPr>
          <w:sz w:val="21"/>
          <w:vertAlign w:val="baseline"/>
        </w:rPr>
        <w:t>for</w:t>
      </w:r>
      <w:r>
        <w:rPr>
          <w:spacing w:val="40"/>
          <w:sz w:val="21"/>
          <w:vertAlign w:val="baseline"/>
        </w:rPr>
        <w:t> </w:t>
      </w:r>
      <w:r>
        <w:rPr>
          <w:sz w:val="21"/>
          <w:vertAlign w:val="baseline"/>
        </w:rPr>
        <w:t>delinquent</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38" w:hanging="1"/>
        <w:jc w:val="both"/>
        <w:rPr>
          <w:sz w:val="21"/>
        </w:rPr>
      </w:pPr>
      <w:r>
        <w:rPr>
          <w:sz w:val="21"/>
        </w:rPr>
        <w:t>behavior, and facilitate significant changes in behavior.</w:t>
      </w:r>
      <w:r>
        <w:rPr>
          <w:spacing w:val="-12"/>
          <w:sz w:val="21"/>
        </w:rPr>
        <w:t> </w:t>
      </w:r>
      <w:hyperlink w:history="true" w:anchor="_bookmark511">
        <w:r>
          <w:rPr>
            <w:sz w:val="21"/>
            <w:vertAlign w:val="superscript"/>
          </w:rPr>
          <w:t>195</w:t>
        </w:r>
      </w:hyperlink>
      <w:r>
        <w:rPr>
          <w:spacing w:val="40"/>
          <w:sz w:val="21"/>
          <w:vertAlign w:val="baseline"/>
        </w:rPr>
        <w:t> </w:t>
      </w:r>
      <w:r>
        <w:rPr>
          <w:sz w:val="21"/>
          <w:vertAlign w:val="baseline"/>
        </w:rPr>
        <w:t>Restorative justice conferencing for young individuals accused of crimes offer a substitute to conventional courtroom proceedings.</w:t>
      </w:r>
      <w:hyperlink w:history="true" w:anchor="_bookmark512">
        <w:r>
          <w:rPr>
            <w:sz w:val="21"/>
            <w:vertAlign w:val="superscript"/>
          </w:rPr>
          <w:t>196</w:t>
        </w:r>
      </w:hyperlink>
      <w:r>
        <w:rPr>
          <w:spacing w:val="-2"/>
          <w:sz w:val="21"/>
          <w:vertAlign w:val="baseline"/>
        </w:rPr>
        <w:t> </w:t>
      </w:r>
      <w:r>
        <w:rPr>
          <w:sz w:val="21"/>
          <w:vertAlign w:val="baseline"/>
        </w:rPr>
        <w:t>Such programs often include the participation of victims and conclude</w:t>
      </w:r>
      <w:r>
        <w:rPr>
          <w:spacing w:val="-1"/>
          <w:sz w:val="21"/>
          <w:vertAlign w:val="baseline"/>
        </w:rPr>
        <w:t> </w:t>
      </w:r>
      <w:r>
        <w:rPr>
          <w:sz w:val="21"/>
          <w:vertAlign w:val="baseline"/>
        </w:rPr>
        <w:t>with a meeting where victims, the</w:t>
      </w:r>
      <w:r>
        <w:rPr>
          <w:spacing w:val="-1"/>
          <w:sz w:val="21"/>
          <w:vertAlign w:val="baseline"/>
        </w:rPr>
        <w:t> </w:t>
      </w:r>
      <w:r>
        <w:rPr>
          <w:sz w:val="21"/>
          <w:vertAlign w:val="baseline"/>
        </w:rPr>
        <w:t>accused youths, and supportive adults in their lives gather to address the impact of the crime and devise strategies for the youths to "make amends."</w:t>
      </w:r>
    </w:p>
    <w:p>
      <w:pPr>
        <w:spacing w:line="276" w:lineRule="auto" w:before="239"/>
        <w:ind w:left="464" w:right="239" w:firstLine="0"/>
        <w:jc w:val="both"/>
        <w:rPr>
          <w:sz w:val="21"/>
        </w:rPr>
      </w:pPr>
      <w:r>
        <w:rPr>
          <w:sz w:val="21"/>
        </w:rPr>
        <w:t>In 2017, the Restorative Justice Juvenile Mediation Project (RJUMP) (and half a dozen other community based organizations) partnered with the Suffolk County District Attorney's Office to launch the Juvenile Alternative Resolution Program (JAR) in Suffolk County.</w:t>
      </w:r>
      <w:hyperlink w:history="true" w:anchor="_bookmark513">
        <w:r>
          <w:rPr>
            <w:sz w:val="21"/>
            <w:vertAlign w:val="superscript"/>
          </w:rPr>
          <w:t>197</w:t>
        </w:r>
      </w:hyperlink>
      <w:r>
        <w:rPr>
          <w:spacing w:val="-2"/>
          <w:sz w:val="21"/>
          <w:vertAlign w:val="baseline"/>
        </w:rPr>
        <w:t> </w:t>
      </w:r>
      <w:r>
        <w:rPr>
          <w:sz w:val="21"/>
          <w:vertAlign w:val="baseline"/>
        </w:rPr>
        <w:t>This pioneering initiative, in collaboration with community youth service organizations and victim/survivor groups, aims to reform juvenile offenders through restorative justice services and mediation.</w:t>
      </w:r>
      <w:hyperlink w:history="true" w:anchor="_bookmark514">
        <w:r>
          <w:rPr>
            <w:sz w:val="21"/>
            <w:vertAlign w:val="superscript"/>
          </w:rPr>
          <w:t>198</w:t>
        </w:r>
      </w:hyperlink>
      <w:r>
        <w:rPr>
          <w:spacing w:val="-2"/>
          <w:sz w:val="21"/>
          <w:vertAlign w:val="baseline"/>
        </w:rPr>
        <w:t> </w:t>
      </w:r>
      <w:r>
        <w:rPr>
          <w:sz w:val="21"/>
          <w:vertAlign w:val="baseline"/>
        </w:rPr>
        <w:t>By facilitating dialogues between young offenders and their victims, the program addresses the root causes of delinquent behavior and steers participants away from the criminal legal system, thereby avoiding the stigma of a criminal record.</w:t>
      </w:r>
      <w:r>
        <w:rPr>
          <w:spacing w:val="-12"/>
          <w:sz w:val="21"/>
          <w:vertAlign w:val="baseline"/>
        </w:rPr>
        <w:t> </w:t>
      </w:r>
      <w:hyperlink w:history="true" w:anchor="_bookmark515">
        <w:r>
          <w:rPr>
            <w:sz w:val="21"/>
            <w:vertAlign w:val="superscript"/>
          </w:rPr>
          <w:t>199</w:t>
        </w:r>
      </w:hyperlink>
      <w:r>
        <w:rPr>
          <w:sz w:val="21"/>
          <w:vertAlign w:val="baseline"/>
        </w:rPr>
        <w:t> The Project focuses</w:t>
      </w:r>
      <w:r>
        <w:rPr>
          <w:spacing w:val="-6"/>
          <w:sz w:val="21"/>
          <w:vertAlign w:val="baseline"/>
        </w:rPr>
        <w:t> </w:t>
      </w:r>
      <w:r>
        <w:rPr>
          <w:sz w:val="21"/>
          <w:vertAlign w:val="baseline"/>
        </w:rPr>
        <w:t>on</w:t>
      </w:r>
      <w:r>
        <w:rPr>
          <w:spacing w:val="-6"/>
          <w:sz w:val="21"/>
          <w:vertAlign w:val="baseline"/>
        </w:rPr>
        <w:t> </w:t>
      </w:r>
      <w:r>
        <w:rPr>
          <w:sz w:val="21"/>
          <w:vertAlign w:val="baseline"/>
        </w:rPr>
        <w:t>the</w:t>
      </w:r>
      <w:r>
        <w:rPr>
          <w:spacing w:val="-6"/>
          <w:sz w:val="21"/>
          <w:vertAlign w:val="baseline"/>
        </w:rPr>
        <w:t> </w:t>
      </w:r>
      <w:r>
        <w:rPr>
          <w:sz w:val="21"/>
          <w:vertAlign w:val="baseline"/>
        </w:rPr>
        <w:t>underlying</w:t>
      </w:r>
      <w:r>
        <w:rPr>
          <w:spacing w:val="-6"/>
          <w:sz w:val="21"/>
          <w:vertAlign w:val="baseline"/>
        </w:rPr>
        <w:t> </w:t>
      </w:r>
      <w:r>
        <w:rPr>
          <w:sz w:val="21"/>
          <w:vertAlign w:val="baseline"/>
        </w:rPr>
        <w:t>issues</w:t>
      </w:r>
      <w:r>
        <w:rPr>
          <w:spacing w:val="-6"/>
          <w:sz w:val="21"/>
          <w:vertAlign w:val="baseline"/>
        </w:rPr>
        <w:t> </w:t>
      </w:r>
      <w:r>
        <w:rPr>
          <w:sz w:val="21"/>
          <w:vertAlign w:val="baseline"/>
        </w:rPr>
        <w:t>that</w:t>
      </w:r>
      <w:r>
        <w:rPr>
          <w:spacing w:val="-5"/>
          <w:sz w:val="21"/>
          <w:vertAlign w:val="baseline"/>
        </w:rPr>
        <w:t> </w:t>
      </w:r>
      <w:r>
        <w:rPr>
          <w:sz w:val="21"/>
          <w:vertAlign w:val="baseline"/>
        </w:rPr>
        <w:t>lead</w:t>
      </w:r>
      <w:r>
        <w:rPr>
          <w:spacing w:val="-6"/>
          <w:sz w:val="21"/>
          <w:vertAlign w:val="baseline"/>
        </w:rPr>
        <w:t> </w:t>
      </w:r>
      <w:r>
        <w:rPr>
          <w:sz w:val="21"/>
          <w:vertAlign w:val="baseline"/>
        </w:rPr>
        <w:t>to</w:t>
      </w:r>
      <w:r>
        <w:rPr>
          <w:spacing w:val="-6"/>
          <w:sz w:val="21"/>
          <w:vertAlign w:val="baseline"/>
        </w:rPr>
        <w:t> </w:t>
      </w:r>
      <w:r>
        <w:rPr>
          <w:sz w:val="21"/>
          <w:vertAlign w:val="baseline"/>
        </w:rPr>
        <w:t>criminal</w:t>
      </w:r>
      <w:r>
        <w:rPr>
          <w:spacing w:val="-7"/>
          <w:sz w:val="21"/>
          <w:vertAlign w:val="baseline"/>
        </w:rPr>
        <w:t> </w:t>
      </w:r>
      <w:r>
        <w:rPr>
          <w:sz w:val="21"/>
          <w:vertAlign w:val="baseline"/>
        </w:rPr>
        <w:t>activity,</w:t>
      </w:r>
      <w:r>
        <w:rPr>
          <w:spacing w:val="-5"/>
          <w:sz w:val="21"/>
          <w:vertAlign w:val="baseline"/>
        </w:rPr>
        <w:t> </w:t>
      </w:r>
      <w:r>
        <w:rPr>
          <w:sz w:val="21"/>
          <w:vertAlign w:val="baseline"/>
        </w:rPr>
        <w:t>such</w:t>
      </w:r>
      <w:r>
        <w:rPr>
          <w:spacing w:val="-7"/>
          <w:sz w:val="21"/>
          <w:vertAlign w:val="baseline"/>
        </w:rPr>
        <w:t> </w:t>
      </w:r>
      <w:r>
        <w:rPr>
          <w:sz w:val="21"/>
          <w:vertAlign w:val="baseline"/>
        </w:rPr>
        <w:t>as</w:t>
      </w:r>
      <w:r>
        <w:rPr>
          <w:spacing w:val="-6"/>
          <w:sz w:val="21"/>
          <w:vertAlign w:val="baseline"/>
        </w:rPr>
        <w:t> </w:t>
      </w:r>
      <w:r>
        <w:rPr>
          <w:sz w:val="21"/>
          <w:vertAlign w:val="baseline"/>
        </w:rPr>
        <w:t>trauma,</w:t>
      </w:r>
      <w:r>
        <w:rPr>
          <w:spacing w:val="-6"/>
          <w:sz w:val="21"/>
          <w:vertAlign w:val="baseline"/>
        </w:rPr>
        <w:t> </w:t>
      </w:r>
      <w:r>
        <w:rPr>
          <w:sz w:val="21"/>
          <w:vertAlign w:val="baseline"/>
        </w:rPr>
        <w:t>fear,</w:t>
      </w:r>
      <w:r>
        <w:rPr>
          <w:spacing w:val="-5"/>
          <w:sz w:val="21"/>
          <w:vertAlign w:val="baseline"/>
        </w:rPr>
        <w:t> </w:t>
      </w:r>
      <w:r>
        <w:rPr>
          <w:sz w:val="21"/>
          <w:vertAlign w:val="baseline"/>
        </w:rPr>
        <w:t>and</w:t>
      </w:r>
      <w:r>
        <w:rPr>
          <w:spacing w:val="-7"/>
          <w:sz w:val="21"/>
          <w:vertAlign w:val="baseline"/>
        </w:rPr>
        <w:t> </w:t>
      </w:r>
      <w:r>
        <w:rPr>
          <w:sz w:val="21"/>
          <w:vertAlign w:val="baseline"/>
        </w:rPr>
        <w:t>a</w:t>
      </w:r>
      <w:r>
        <w:rPr>
          <w:spacing w:val="-5"/>
          <w:sz w:val="21"/>
          <w:vertAlign w:val="baseline"/>
        </w:rPr>
        <w:t> </w:t>
      </w:r>
      <w:r>
        <w:rPr>
          <w:sz w:val="21"/>
          <w:vertAlign w:val="baseline"/>
        </w:rPr>
        <w:t>lack</w:t>
      </w:r>
      <w:r>
        <w:rPr>
          <w:spacing w:val="-6"/>
          <w:sz w:val="21"/>
          <w:vertAlign w:val="baseline"/>
        </w:rPr>
        <w:t> </w:t>
      </w:r>
      <w:r>
        <w:rPr>
          <w:sz w:val="21"/>
          <w:vertAlign w:val="baseline"/>
        </w:rPr>
        <w:t>of</w:t>
      </w:r>
      <w:r>
        <w:rPr>
          <w:spacing w:val="-6"/>
          <w:sz w:val="21"/>
          <w:vertAlign w:val="baseline"/>
        </w:rPr>
        <w:t> </w:t>
      </w:r>
      <w:r>
        <w:rPr>
          <w:sz w:val="21"/>
          <w:vertAlign w:val="baseline"/>
        </w:rPr>
        <w:t>belonging, helping participants to recognize and heal from their pain and to become proactive in making positive changes in their lives.</w:t>
      </w:r>
      <w:hyperlink w:history="true" w:anchor="_bookmark516">
        <w:r>
          <w:rPr>
            <w:sz w:val="21"/>
            <w:vertAlign w:val="superscript"/>
          </w:rPr>
          <w:t>200</w:t>
        </w:r>
      </w:hyperlink>
      <w:r>
        <w:rPr>
          <w:spacing w:val="-2"/>
          <w:sz w:val="21"/>
          <w:vertAlign w:val="baseline"/>
        </w:rPr>
        <w:t> </w:t>
      </w:r>
      <w:r>
        <w:rPr>
          <w:sz w:val="21"/>
          <w:vertAlign w:val="baseline"/>
        </w:rPr>
        <w:t>Only the most serious offenses – sex offenses, gun crimes, and crimes causing serious injury to a victim – are automatically ineligible for diversion.</w:t>
      </w:r>
    </w:p>
    <w:p>
      <w:pPr>
        <w:spacing w:line="276" w:lineRule="auto" w:before="241"/>
        <w:ind w:left="464" w:right="238" w:firstLine="0"/>
        <w:jc w:val="both"/>
        <w:rPr>
          <w:sz w:val="21"/>
        </w:rPr>
      </w:pPr>
      <w:r>
        <w:rPr>
          <w:sz w:val="21"/>
        </w:rPr>
        <w:t>RJUMP's services include various forms of moderated dialogues and circles that bring together victims, offenders, their families, and support groups to discuss the impact of the crime and explore ways for offenders to make amends.</w:t>
      </w:r>
      <w:r>
        <w:rPr>
          <w:spacing w:val="-12"/>
          <w:sz w:val="21"/>
        </w:rPr>
        <w:t> </w:t>
      </w:r>
      <w:hyperlink w:history="true" w:anchor="_bookmark517">
        <w:r>
          <w:rPr>
            <w:sz w:val="21"/>
            <w:vertAlign w:val="superscript"/>
          </w:rPr>
          <w:t>201</w:t>
        </w:r>
      </w:hyperlink>
      <w:r>
        <w:rPr>
          <w:sz w:val="21"/>
          <w:vertAlign w:val="baseline"/>
        </w:rPr>
        <w:t> These include victim/offender dialogues, reparation agreements where participants decide on actions the offender should take to repair the harm caused, and restorative family conferences that address familial issues contributing to delinquent behavior. Additionally, the program offers parent/child mediation to resolve family conflicts, restorative youth dialogues aimed at high-risk juveniles to uncover and address underlying criminal behavior, and mentorship for serious cases requiring closer</w:t>
      </w:r>
      <w:r>
        <w:rPr>
          <w:spacing w:val="-4"/>
          <w:sz w:val="21"/>
          <w:vertAlign w:val="baseline"/>
        </w:rPr>
        <w:t> </w:t>
      </w:r>
      <w:r>
        <w:rPr>
          <w:sz w:val="21"/>
          <w:vertAlign w:val="baseline"/>
        </w:rPr>
        <w:t>supervision.</w:t>
      </w:r>
      <w:hyperlink w:history="true" w:anchor="_bookmark518">
        <w:r>
          <w:rPr>
            <w:sz w:val="21"/>
            <w:vertAlign w:val="superscript"/>
          </w:rPr>
          <w:t>202</w:t>
        </w:r>
      </w:hyperlink>
      <w:r>
        <w:rPr>
          <w:spacing w:val="-2"/>
          <w:sz w:val="21"/>
          <w:vertAlign w:val="baseline"/>
        </w:rPr>
        <w:t> </w:t>
      </w:r>
      <w:r>
        <w:rPr>
          <w:sz w:val="21"/>
          <w:vertAlign w:val="baseline"/>
        </w:rPr>
        <w:t>These</w:t>
      </w:r>
      <w:r>
        <w:rPr>
          <w:spacing w:val="-4"/>
          <w:sz w:val="21"/>
          <w:vertAlign w:val="baseline"/>
        </w:rPr>
        <w:t> </w:t>
      </w:r>
      <w:r>
        <w:rPr>
          <w:sz w:val="21"/>
          <w:vertAlign w:val="baseline"/>
        </w:rPr>
        <w:t>interventions</w:t>
      </w:r>
      <w:r>
        <w:rPr>
          <w:spacing w:val="-5"/>
          <w:sz w:val="21"/>
          <w:vertAlign w:val="baseline"/>
        </w:rPr>
        <w:t> </w:t>
      </w:r>
      <w:r>
        <w:rPr>
          <w:sz w:val="21"/>
          <w:vertAlign w:val="baseline"/>
        </w:rPr>
        <w:t>not</w:t>
      </w:r>
      <w:r>
        <w:rPr>
          <w:spacing w:val="-4"/>
          <w:sz w:val="21"/>
          <w:vertAlign w:val="baseline"/>
        </w:rPr>
        <w:t> </w:t>
      </w:r>
      <w:r>
        <w:rPr>
          <w:sz w:val="21"/>
          <w:vertAlign w:val="baseline"/>
        </w:rPr>
        <w:t>only</w:t>
      </w:r>
      <w:r>
        <w:rPr>
          <w:spacing w:val="-5"/>
          <w:sz w:val="21"/>
          <w:vertAlign w:val="baseline"/>
        </w:rPr>
        <w:t> </w:t>
      </w:r>
      <w:r>
        <w:rPr>
          <w:sz w:val="21"/>
          <w:vertAlign w:val="baseline"/>
        </w:rPr>
        <w:t>aim</w:t>
      </w:r>
      <w:r>
        <w:rPr>
          <w:spacing w:val="-4"/>
          <w:sz w:val="21"/>
          <w:vertAlign w:val="baseline"/>
        </w:rPr>
        <w:t> </w:t>
      </w:r>
      <w:r>
        <w:rPr>
          <w:sz w:val="21"/>
          <w:vertAlign w:val="baseline"/>
        </w:rPr>
        <w:t>to</w:t>
      </w:r>
      <w:r>
        <w:rPr>
          <w:spacing w:val="-6"/>
          <w:sz w:val="21"/>
          <w:vertAlign w:val="baseline"/>
        </w:rPr>
        <w:t> </w:t>
      </w:r>
      <w:r>
        <w:rPr>
          <w:sz w:val="21"/>
          <w:vertAlign w:val="baseline"/>
        </w:rPr>
        <w:t>resolve</w:t>
      </w:r>
      <w:r>
        <w:rPr>
          <w:spacing w:val="-4"/>
          <w:sz w:val="21"/>
          <w:vertAlign w:val="baseline"/>
        </w:rPr>
        <w:t> </w:t>
      </w:r>
      <w:r>
        <w:rPr>
          <w:sz w:val="21"/>
          <w:vertAlign w:val="baseline"/>
        </w:rPr>
        <w:t>immediate</w:t>
      </w:r>
      <w:r>
        <w:rPr>
          <w:spacing w:val="-4"/>
          <w:sz w:val="21"/>
          <w:vertAlign w:val="baseline"/>
        </w:rPr>
        <w:t> </w:t>
      </w:r>
      <w:r>
        <w:rPr>
          <w:sz w:val="21"/>
          <w:vertAlign w:val="baseline"/>
        </w:rPr>
        <w:t>issues</w:t>
      </w:r>
      <w:r>
        <w:rPr>
          <w:spacing w:val="-5"/>
          <w:sz w:val="21"/>
          <w:vertAlign w:val="baseline"/>
        </w:rPr>
        <w:t> </w:t>
      </w:r>
      <w:r>
        <w:rPr>
          <w:sz w:val="21"/>
          <w:vertAlign w:val="baseline"/>
        </w:rPr>
        <w:t>but</w:t>
      </w:r>
      <w:r>
        <w:rPr>
          <w:spacing w:val="-4"/>
          <w:sz w:val="21"/>
          <w:vertAlign w:val="baseline"/>
        </w:rPr>
        <w:t> </w:t>
      </w:r>
      <w:r>
        <w:rPr>
          <w:sz w:val="21"/>
          <w:vertAlign w:val="baseline"/>
        </w:rPr>
        <w:t>also</w:t>
      </w:r>
      <w:r>
        <w:rPr>
          <w:spacing w:val="-5"/>
          <w:sz w:val="21"/>
          <w:vertAlign w:val="baseline"/>
        </w:rPr>
        <w:t> </w:t>
      </w:r>
      <w:r>
        <w:rPr>
          <w:sz w:val="21"/>
          <w:vertAlign w:val="baseline"/>
        </w:rPr>
        <w:t>to</w:t>
      </w:r>
      <w:r>
        <w:rPr>
          <w:spacing w:val="-5"/>
          <w:sz w:val="21"/>
          <w:vertAlign w:val="baseline"/>
        </w:rPr>
        <w:t> </w:t>
      </w:r>
      <w:r>
        <w:rPr>
          <w:sz w:val="21"/>
          <w:vertAlign w:val="baseline"/>
        </w:rPr>
        <w:t>identify</w:t>
      </w:r>
      <w:r>
        <w:rPr>
          <w:spacing w:val="-5"/>
          <w:sz w:val="21"/>
          <w:vertAlign w:val="baseline"/>
        </w:rPr>
        <w:t> </w:t>
      </w:r>
      <w:r>
        <w:rPr>
          <w:sz w:val="21"/>
          <w:vertAlign w:val="baseline"/>
        </w:rPr>
        <w:t>and address</w:t>
      </w:r>
      <w:r>
        <w:rPr>
          <w:spacing w:val="-4"/>
          <w:sz w:val="21"/>
          <w:vertAlign w:val="baseline"/>
        </w:rPr>
        <w:t> </w:t>
      </w:r>
      <w:r>
        <w:rPr>
          <w:sz w:val="21"/>
          <w:vertAlign w:val="baseline"/>
        </w:rPr>
        <w:t>deeper</w:t>
      </w:r>
      <w:r>
        <w:rPr>
          <w:spacing w:val="-4"/>
          <w:sz w:val="21"/>
          <w:vertAlign w:val="baseline"/>
        </w:rPr>
        <w:t> </w:t>
      </w:r>
      <w:r>
        <w:rPr>
          <w:sz w:val="21"/>
          <w:vertAlign w:val="baseline"/>
        </w:rPr>
        <w:t>problems</w:t>
      </w:r>
      <w:r>
        <w:rPr>
          <w:spacing w:val="-5"/>
          <w:sz w:val="21"/>
          <w:vertAlign w:val="baseline"/>
        </w:rPr>
        <w:t> </w:t>
      </w:r>
      <w:r>
        <w:rPr>
          <w:sz w:val="21"/>
          <w:vertAlign w:val="baseline"/>
        </w:rPr>
        <w:t>within</w:t>
      </w:r>
      <w:r>
        <w:rPr>
          <w:spacing w:val="-4"/>
          <w:sz w:val="21"/>
          <w:vertAlign w:val="baseline"/>
        </w:rPr>
        <w:t> </w:t>
      </w:r>
      <w:r>
        <w:rPr>
          <w:sz w:val="21"/>
          <w:vertAlign w:val="baseline"/>
        </w:rPr>
        <w:t>offenders'</w:t>
      </w:r>
      <w:r>
        <w:rPr>
          <w:spacing w:val="-3"/>
          <w:sz w:val="21"/>
          <w:vertAlign w:val="baseline"/>
        </w:rPr>
        <w:t> </w:t>
      </w:r>
      <w:r>
        <w:rPr>
          <w:sz w:val="21"/>
          <w:vertAlign w:val="baseline"/>
        </w:rPr>
        <w:t>lives,</w:t>
      </w:r>
      <w:r>
        <w:rPr>
          <w:spacing w:val="-4"/>
          <w:sz w:val="21"/>
          <w:vertAlign w:val="baseline"/>
        </w:rPr>
        <w:t> </w:t>
      </w:r>
      <w:r>
        <w:rPr>
          <w:sz w:val="21"/>
          <w:vertAlign w:val="baseline"/>
        </w:rPr>
        <w:t>promoting</w:t>
      </w:r>
      <w:r>
        <w:rPr>
          <w:spacing w:val="-4"/>
          <w:sz w:val="21"/>
          <w:vertAlign w:val="baseline"/>
        </w:rPr>
        <w:t> </w:t>
      </w:r>
      <w:r>
        <w:rPr>
          <w:sz w:val="21"/>
          <w:vertAlign w:val="baseline"/>
        </w:rPr>
        <w:t>long-term</w:t>
      </w:r>
      <w:r>
        <w:rPr>
          <w:spacing w:val="-4"/>
          <w:sz w:val="21"/>
          <w:vertAlign w:val="baseline"/>
        </w:rPr>
        <w:t> </w:t>
      </w:r>
      <w:r>
        <w:rPr>
          <w:sz w:val="21"/>
          <w:vertAlign w:val="baseline"/>
        </w:rPr>
        <w:t>well-being</w:t>
      </w:r>
      <w:r>
        <w:rPr>
          <w:spacing w:val="-4"/>
          <w:sz w:val="21"/>
          <w:vertAlign w:val="baseline"/>
        </w:rPr>
        <w:t> </w:t>
      </w:r>
      <w:r>
        <w:rPr>
          <w:sz w:val="21"/>
          <w:vertAlign w:val="baseline"/>
        </w:rPr>
        <w:t>and</w:t>
      </w:r>
      <w:r>
        <w:rPr>
          <w:spacing w:val="-5"/>
          <w:sz w:val="21"/>
          <w:vertAlign w:val="baseline"/>
        </w:rPr>
        <w:t> </w:t>
      </w:r>
      <w:r>
        <w:rPr>
          <w:sz w:val="21"/>
          <w:vertAlign w:val="baseline"/>
        </w:rPr>
        <w:t>steering</w:t>
      </w:r>
      <w:r>
        <w:rPr>
          <w:spacing w:val="-4"/>
          <w:sz w:val="21"/>
          <w:vertAlign w:val="baseline"/>
        </w:rPr>
        <w:t> </w:t>
      </w:r>
      <w:r>
        <w:rPr>
          <w:sz w:val="21"/>
          <w:vertAlign w:val="baseline"/>
        </w:rPr>
        <w:t>youth</w:t>
      </w:r>
      <w:r>
        <w:rPr>
          <w:spacing w:val="-5"/>
          <w:sz w:val="21"/>
          <w:vertAlign w:val="baseline"/>
        </w:rPr>
        <w:t> </w:t>
      </w:r>
      <w:r>
        <w:rPr>
          <w:sz w:val="21"/>
          <w:vertAlign w:val="baseline"/>
        </w:rPr>
        <w:t>away from illegal behavior.</w:t>
      </w:r>
    </w:p>
    <w:p>
      <w:pPr>
        <w:spacing w:line="276" w:lineRule="auto" w:before="239"/>
        <w:ind w:left="464" w:right="240" w:firstLine="0"/>
        <w:jc w:val="both"/>
        <w:rPr>
          <w:sz w:val="21"/>
        </w:rPr>
      </w:pPr>
      <w:r>
        <w:rPr>
          <w:sz w:val="21"/>
        </w:rPr>
        <w:t>During</w:t>
      </w:r>
      <w:r>
        <w:rPr>
          <w:spacing w:val="-5"/>
          <w:sz w:val="21"/>
        </w:rPr>
        <w:t> </w:t>
      </w:r>
      <w:r>
        <w:rPr>
          <w:sz w:val="21"/>
        </w:rPr>
        <w:t>its</w:t>
      </w:r>
      <w:r>
        <w:rPr>
          <w:spacing w:val="-5"/>
          <w:sz w:val="21"/>
        </w:rPr>
        <w:t> </w:t>
      </w:r>
      <w:r>
        <w:rPr>
          <w:sz w:val="21"/>
        </w:rPr>
        <w:t>first</w:t>
      </w:r>
      <w:r>
        <w:rPr>
          <w:spacing w:val="-4"/>
          <w:sz w:val="21"/>
        </w:rPr>
        <w:t> </w:t>
      </w:r>
      <w:r>
        <w:rPr>
          <w:sz w:val="21"/>
        </w:rPr>
        <w:t>year</w:t>
      </w:r>
      <w:r>
        <w:rPr>
          <w:spacing w:val="-4"/>
          <w:sz w:val="21"/>
        </w:rPr>
        <w:t> </w:t>
      </w:r>
      <w:r>
        <w:rPr>
          <w:sz w:val="21"/>
        </w:rPr>
        <w:t>of</w:t>
      </w:r>
      <w:r>
        <w:rPr>
          <w:spacing w:val="-5"/>
          <w:sz w:val="21"/>
        </w:rPr>
        <w:t> </w:t>
      </w:r>
      <w:r>
        <w:rPr>
          <w:sz w:val="21"/>
        </w:rPr>
        <w:t>implementation,</w:t>
      </w:r>
      <w:r>
        <w:rPr>
          <w:spacing w:val="-4"/>
          <w:sz w:val="21"/>
        </w:rPr>
        <w:t> </w:t>
      </w:r>
      <w:r>
        <w:rPr>
          <w:sz w:val="21"/>
        </w:rPr>
        <w:t>the</w:t>
      </w:r>
      <w:r>
        <w:rPr>
          <w:spacing w:val="-4"/>
          <w:sz w:val="21"/>
        </w:rPr>
        <w:t> </w:t>
      </w:r>
      <w:r>
        <w:rPr>
          <w:sz w:val="21"/>
        </w:rPr>
        <w:t>JAR</w:t>
      </w:r>
      <w:r>
        <w:rPr>
          <w:spacing w:val="-4"/>
          <w:sz w:val="21"/>
        </w:rPr>
        <w:t> </w:t>
      </w:r>
      <w:r>
        <w:rPr>
          <w:sz w:val="21"/>
        </w:rPr>
        <w:t>program</w:t>
      </w:r>
      <w:r>
        <w:rPr>
          <w:spacing w:val="-4"/>
          <w:sz w:val="21"/>
        </w:rPr>
        <w:t> </w:t>
      </w:r>
      <w:r>
        <w:rPr>
          <w:sz w:val="21"/>
        </w:rPr>
        <w:t>welcomed</w:t>
      </w:r>
      <w:r>
        <w:rPr>
          <w:spacing w:val="-4"/>
          <w:sz w:val="21"/>
        </w:rPr>
        <w:t> </w:t>
      </w:r>
      <w:r>
        <w:rPr>
          <w:sz w:val="21"/>
        </w:rPr>
        <w:t>70</w:t>
      </w:r>
      <w:r>
        <w:rPr>
          <w:spacing w:val="-4"/>
          <w:sz w:val="21"/>
        </w:rPr>
        <w:t> </w:t>
      </w:r>
      <w:r>
        <w:rPr>
          <w:sz w:val="21"/>
        </w:rPr>
        <w:t>young</w:t>
      </w:r>
      <w:r>
        <w:rPr>
          <w:spacing w:val="-5"/>
          <w:sz w:val="21"/>
        </w:rPr>
        <w:t> </w:t>
      </w:r>
      <w:r>
        <w:rPr>
          <w:sz w:val="21"/>
        </w:rPr>
        <w:t>individuals</w:t>
      </w:r>
      <w:r>
        <w:rPr>
          <w:spacing w:val="-5"/>
          <w:sz w:val="21"/>
        </w:rPr>
        <w:t> </w:t>
      </w:r>
      <w:r>
        <w:rPr>
          <w:sz w:val="21"/>
        </w:rPr>
        <w:t>charged</w:t>
      </w:r>
      <w:r>
        <w:rPr>
          <w:spacing w:val="-4"/>
          <w:sz w:val="21"/>
        </w:rPr>
        <w:t> </w:t>
      </w:r>
      <w:r>
        <w:rPr>
          <w:sz w:val="21"/>
        </w:rPr>
        <w:t>with</w:t>
      </w:r>
      <w:r>
        <w:rPr>
          <w:spacing w:val="-4"/>
          <w:sz w:val="21"/>
        </w:rPr>
        <w:t> </w:t>
      </w:r>
      <w:r>
        <w:rPr>
          <w:sz w:val="21"/>
        </w:rPr>
        <w:t>over 100</w:t>
      </w:r>
      <w:r>
        <w:rPr>
          <w:spacing w:val="-11"/>
          <w:sz w:val="21"/>
        </w:rPr>
        <w:t> </w:t>
      </w:r>
      <w:r>
        <w:rPr>
          <w:sz w:val="21"/>
        </w:rPr>
        <w:t>different</w:t>
      </w:r>
      <w:r>
        <w:rPr>
          <w:spacing w:val="-11"/>
          <w:sz w:val="21"/>
        </w:rPr>
        <w:t> </w:t>
      </w:r>
      <w:r>
        <w:rPr>
          <w:sz w:val="21"/>
        </w:rPr>
        <w:t>crimes.</w:t>
      </w:r>
      <w:hyperlink w:history="true" w:anchor="_bookmark519">
        <w:r>
          <w:rPr>
            <w:sz w:val="21"/>
            <w:vertAlign w:val="superscript"/>
          </w:rPr>
          <w:t>203</w:t>
        </w:r>
      </w:hyperlink>
      <w:r>
        <w:rPr>
          <w:spacing w:val="-3"/>
          <w:sz w:val="21"/>
          <w:vertAlign w:val="baseline"/>
        </w:rPr>
        <w:t> </w:t>
      </w:r>
      <w:r>
        <w:rPr>
          <w:sz w:val="21"/>
          <w:vertAlign w:val="baseline"/>
        </w:rPr>
        <w:t>Remarkably,</w:t>
      </w:r>
      <w:r>
        <w:rPr>
          <w:spacing w:val="-11"/>
          <w:sz w:val="21"/>
          <w:vertAlign w:val="baseline"/>
        </w:rPr>
        <w:t> </w:t>
      </w:r>
      <w:r>
        <w:rPr>
          <w:sz w:val="21"/>
          <w:vertAlign w:val="baseline"/>
        </w:rPr>
        <w:t>fewer</w:t>
      </w:r>
      <w:r>
        <w:rPr>
          <w:spacing w:val="-11"/>
          <w:sz w:val="21"/>
          <w:vertAlign w:val="baseline"/>
        </w:rPr>
        <w:t> </w:t>
      </w:r>
      <w:r>
        <w:rPr>
          <w:sz w:val="21"/>
          <w:vertAlign w:val="baseline"/>
        </w:rPr>
        <w:t>than</w:t>
      </w:r>
      <w:r>
        <w:rPr>
          <w:spacing w:val="-11"/>
          <w:sz w:val="21"/>
          <w:vertAlign w:val="baseline"/>
        </w:rPr>
        <w:t> </w:t>
      </w:r>
      <w:r>
        <w:rPr>
          <w:sz w:val="21"/>
          <w:vertAlign w:val="baseline"/>
        </w:rPr>
        <w:t>5%</w:t>
      </w:r>
      <w:r>
        <w:rPr>
          <w:spacing w:val="-11"/>
          <w:sz w:val="21"/>
          <w:vertAlign w:val="baseline"/>
        </w:rPr>
        <w:t> </w:t>
      </w:r>
      <w:r>
        <w:rPr>
          <w:sz w:val="21"/>
          <w:vertAlign w:val="baseline"/>
        </w:rPr>
        <w:t>of</w:t>
      </w:r>
      <w:r>
        <w:rPr>
          <w:spacing w:val="-11"/>
          <w:sz w:val="21"/>
          <w:vertAlign w:val="baseline"/>
        </w:rPr>
        <w:t> </w:t>
      </w:r>
      <w:r>
        <w:rPr>
          <w:sz w:val="21"/>
          <w:vertAlign w:val="baseline"/>
        </w:rPr>
        <w:t>the</w:t>
      </w:r>
      <w:r>
        <w:rPr>
          <w:spacing w:val="-12"/>
          <w:sz w:val="21"/>
          <w:vertAlign w:val="baseline"/>
        </w:rPr>
        <w:t> </w:t>
      </w:r>
      <w:r>
        <w:rPr>
          <w:sz w:val="21"/>
          <w:vertAlign w:val="baseline"/>
        </w:rPr>
        <w:t>participants—just</w:t>
      </w:r>
      <w:r>
        <w:rPr>
          <w:spacing w:val="-10"/>
          <w:sz w:val="21"/>
          <w:vertAlign w:val="baseline"/>
        </w:rPr>
        <w:t> </w:t>
      </w:r>
      <w:r>
        <w:rPr>
          <w:sz w:val="21"/>
          <w:vertAlign w:val="baseline"/>
        </w:rPr>
        <w:t>three</w:t>
      </w:r>
      <w:r>
        <w:rPr>
          <w:spacing w:val="-11"/>
          <w:sz w:val="21"/>
          <w:vertAlign w:val="baseline"/>
        </w:rPr>
        <w:t> </w:t>
      </w:r>
      <w:r>
        <w:rPr>
          <w:sz w:val="21"/>
          <w:vertAlign w:val="baseline"/>
        </w:rPr>
        <w:t>youths—were</w:t>
      </w:r>
      <w:r>
        <w:rPr>
          <w:spacing w:val="-11"/>
          <w:sz w:val="21"/>
          <w:vertAlign w:val="baseline"/>
        </w:rPr>
        <w:t> </w:t>
      </w:r>
      <w:r>
        <w:rPr>
          <w:sz w:val="21"/>
          <w:vertAlign w:val="baseline"/>
        </w:rPr>
        <w:t>dismissed from the program due to non-compliance with its terms.</w:t>
      </w:r>
      <w:hyperlink w:history="true" w:anchor="_bookmark520">
        <w:r>
          <w:rPr>
            <w:sz w:val="21"/>
            <w:vertAlign w:val="superscript"/>
          </w:rPr>
          <w:t>204</w:t>
        </w:r>
      </w:hyperlink>
      <w:r>
        <w:rPr>
          <w:spacing w:val="-2"/>
          <w:sz w:val="21"/>
          <w:vertAlign w:val="baseline"/>
        </w:rPr>
        <w:t> </w:t>
      </w:r>
      <w:r>
        <w:rPr>
          <w:sz w:val="21"/>
          <w:vertAlign w:val="baseline"/>
        </w:rPr>
        <w:t>Following the conclusion of its pilot stage, the JAR initiative broadened its reach to encompass additional areas within Boston. Notably, around 65% of delinquency cases in Suffolk County, totaling over 500 cases, were diverted through the JAR program.</w:t>
      </w:r>
      <w:hyperlink w:history="true" w:anchor="_bookmark521">
        <w:r>
          <w:rPr>
            <w:sz w:val="21"/>
            <w:vertAlign w:val="superscript"/>
          </w:rPr>
          <w:t>205</w:t>
        </w:r>
      </w:hyperlink>
    </w:p>
    <w:p>
      <w:pPr>
        <w:spacing w:line="276" w:lineRule="auto" w:before="241"/>
        <w:ind w:left="463" w:right="237" w:firstLine="0"/>
        <w:jc w:val="both"/>
        <w:rPr>
          <w:sz w:val="21"/>
        </w:rPr>
      </w:pPr>
      <w:r>
        <w:rPr>
          <w:sz w:val="21"/>
        </w:rPr>
        <w:t>Community reinvestment aims to cut the issue of juvenile delinquency off at the root cause: historic dis- investment of marginalized communities, often of color.</w:t>
      </w:r>
      <w:r>
        <w:rPr>
          <w:spacing w:val="-11"/>
          <w:sz w:val="21"/>
        </w:rPr>
        <w:t> </w:t>
      </w:r>
      <w:hyperlink w:history="true" w:anchor="_bookmark522">
        <w:r>
          <w:rPr>
            <w:sz w:val="21"/>
            <w:vertAlign w:val="superscript"/>
          </w:rPr>
          <w:t>206</w:t>
        </w:r>
      </w:hyperlink>
      <w:r>
        <w:rPr>
          <w:sz w:val="21"/>
          <w:vertAlign w:val="baseline"/>
        </w:rPr>
        <w:t> Increased state funding and support for preventative community-based initiatives designed to minimize system involvement and foster prosocial activities among youth can have impactful effects for youth offenders.</w:t>
      </w:r>
      <w:hyperlink w:history="true" w:anchor="_bookmark523">
        <w:r>
          <w:rPr>
            <w:sz w:val="21"/>
            <w:vertAlign w:val="superscript"/>
          </w:rPr>
          <w:t>207</w:t>
        </w:r>
      </w:hyperlink>
      <w:r>
        <w:rPr>
          <w:spacing w:val="-2"/>
          <w:sz w:val="21"/>
          <w:vertAlign w:val="baseline"/>
        </w:rPr>
        <w:t> </w:t>
      </w:r>
      <w:r>
        <w:rPr>
          <w:sz w:val="21"/>
          <w:vertAlign w:val="baseline"/>
        </w:rPr>
        <w:t>Recognizing the critical role that social connections and positive engagements play in reducing the likelihood of juvenile delinquency, the Commission</w:t>
      </w:r>
      <w:r>
        <w:rPr>
          <w:spacing w:val="-3"/>
          <w:sz w:val="21"/>
          <w:vertAlign w:val="baseline"/>
        </w:rPr>
        <w:t> </w:t>
      </w:r>
      <w:r>
        <w:rPr>
          <w:sz w:val="21"/>
          <w:vertAlign w:val="baseline"/>
        </w:rPr>
        <w:t>urges</w:t>
      </w:r>
      <w:r>
        <w:rPr>
          <w:spacing w:val="-3"/>
          <w:sz w:val="21"/>
          <w:vertAlign w:val="baseline"/>
        </w:rPr>
        <w:t> </w:t>
      </w:r>
      <w:r>
        <w:rPr>
          <w:sz w:val="21"/>
          <w:vertAlign w:val="baseline"/>
        </w:rPr>
        <w:t>an</w:t>
      </w:r>
      <w:r>
        <w:rPr>
          <w:spacing w:val="-3"/>
          <w:sz w:val="21"/>
          <w:vertAlign w:val="baseline"/>
        </w:rPr>
        <w:t> </w:t>
      </w:r>
      <w:r>
        <w:rPr>
          <w:sz w:val="21"/>
          <w:vertAlign w:val="baseline"/>
        </w:rPr>
        <w:t>expansion</w:t>
      </w:r>
      <w:r>
        <w:rPr>
          <w:spacing w:val="-3"/>
          <w:sz w:val="21"/>
          <w:vertAlign w:val="baseline"/>
        </w:rPr>
        <w:t> </w:t>
      </w:r>
      <w:r>
        <w:rPr>
          <w:sz w:val="21"/>
          <w:vertAlign w:val="baseline"/>
        </w:rPr>
        <w:t>in</w:t>
      </w:r>
      <w:r>
        <w:rPr>
          <w:spacing w:val="-3"/>
          <w:sz w:val="21"/>
          <w:vertAlign w:val="baseline"/>
        </w:rPr>
        <w:t> </w:t>
      </w:r>
      <w:r>
        <w:rPr>
          <w:sz w:val="21"/>
          <w:vertAlign w:val="baseline"/>
        </w:rPr>
        <w:t>services</w:t>
      </w:r>
      <w:r>
        <w:rPr>
          <w:spacing w:val="-4"/>
          <w:sz w:val="21"/>
          <w:vertAlign w:val="baseline"/>
        </w:rPr>
        <w:t> </w:t>
      </w:r>
      <w:r>
        <w:rPr>
          <w:sz w:val="21"/>
          <w:vertAlign w:val="baseline"/>
        </w:rPr>
        <w:t>that</w:t>
      </w:r>
      <w:r>
        <w:rPr>
          <w:spacing w:val="-2"/>
          <w:sz w:val="21"/>
          <w:vertAlign w:val="baseline"/>
        </w:rPr>
        <w:t> </w:t>
      </w:r>
      <w:r>
        <w:rPr>
          <w:sz w:val="21"/>
          <w:vertAlign w:val="baseline"/>
        </w:rPr>
        <w:t>enhance</w:t>
      </w:r>
      <w:r>
        <w:rPr>
          <w:spacing w:val="-3"/>
          <w:sz w:val="21"/>
          <w:vertAlign w:val="baseline"/>
        </w:rPr>
        <w:t> </w:t>
      </w:r>
      <w:r>
        <w:rPr>
          <w:sz w:val="21"/>
          <w:vertAlign w:val="baseline"/>
        </w:rPr>
        <w:t>social</w:t>
      </w:r>
      <w:r>
        <w:rPr>
          <w:spacing w:val="-3"/>
          <w:sz w:val="21"/>
          <w:vertAlign w:val="baseline"/>
        </w:rPr>
        <w:t> </w:t>
      </w:r>
      <w:r>
        <w:rPr>
          <w:sz w:val="21"/>
          <w:vertAlign w:val="baseline"/>
        </w:rPr>
        <w:t>ties</w:t>
      </w:r>
      <w:r>
        <w:rPr>
          <w:spacing w:val="-3"/>
          <w:sz w:val="21"/>
          <w:vertAlign w:val="baseline"/>
        </w:rPr>
        <w:t> </w:t>
      </w:r>
      <w:r>
        <w:rPr>
          <w:sz w:val="21"/>
          <w:vertAlign w:val="baseline"/>
        </w:rPr>
        <w:t>and</w:t>
      </w:r>
      <w:r>
        <w:rPr>
          <w:spacing w:val="-3"/>
          <w:sz w:val="21"/>
          <w:vertAlign w:val="baseline"/>
        </w:rPr>
        <w:t> </w:t>
      </w:r>
      <w:r>
        <w:rPr>
          <w:sz w:val="21"/>
          <w:vertAlign w:val="baseline"/>
        </w:rPr>
        <w:t>support</w:t>
      </w:r>
      <w:r>
        <w:rPr>
          <w:spacing w:val="-2"/>
          <w:sz w:val="21"/>
          <w:vertAlign w:val="baseline"/>
        </w:rPr>
        <w:t> </w:t>
      </w:r>
      <w:r>
        <w:rPr>
          <w:sz w:val="21"/>
          <w:vertAlign w:val="baseline"/>
        </w:rPr>
        <w:t>positive</w:t>
      </w:r>
      <w:r>
        <w:rPr>
          <w:spacing w:val="-3"/>
          <w:sz w:val="21"/>
          <w:vertAlign w:val="baseline"/>
        </w:rPr>
        <w:t> </w:t>
      </w:r>
      <w:r>
        <w:rPr>
          <w:sz w:val="21"/>
          <w:vertAlign w:val="baseline"/>
        </w:rPr>
        <w:t>development</w:t>
      </w:r>
      <w:r>
        <w:rPr>
          <w:spacing w:val="-3"/>
          <w:sz w:val="21"/>
          <w:vertAlign w:val="baseline"/>
        </w:rPr>
        <w:t> </w:t>
      </w:r>
      <w:r>
        <w:rPr>
          <w:sz w:val="21"/>
          <w:vertAlign w:val="baseline"/>
        </w:rPr>
        <w:t>and wellbeing in young people.</w:t>
      </w:r>
      <w:r>
        <w:rPr>
          <w:spacing w:val="40"/>
          <w:sz w:val="21"/>
          <w:vertAlign w:val="baseline"/>
        </w:rPr>
        <w:t> </w:t>
      </w:r>
      <w:r>
        <w:rPr>
          <w:sz w:val="21"/>
          <w:vertAlign w:val="baseline"/>
        </w:rPr>
        <w:t>Studies indicate that individuals who feel accepted by their community post- conviction are more inclined to adopt positive social behaviors, thereby reducing their chances of reoffending.</w:t>
      </w:r>
      <w:r>
        <w:rPr>
          <w:spacing w:val="-28"/>
          <w:sz w:val="21"/>
          <w:vertAlign w:val="baseline"/>
        </w:rPr>
        <w:t> </w:t>
      </w:r>
      <w:hyperlink w:history="true" w:anchor="_bookmark524">
        <w:r>
          <w:rPr>
            <w:sz w:val="21"/>
            <w:vertAlign w:val="superscript"/>
          </w:rPr>
          <w:t>208</w:t>
        </w:r>
      </w:hyperlink>
      <w:r>
        <w:rPr>
          <w:spacing w:val="40"/>
          <w:sz w:val="21"/>
          <w:vertAlign w:val="baseline"/>
        </w:rPr>
        <w:t> </w:t>
      </w:r>
      <w:r>
        <w:rPr>
          <w:sz w:val="21"/>
          <w:vertAlign w:val="baseline"/>
        </w:rPr>
        <w:t>Specifically,</w:t>
      </w:r>
      <w:r>
        <w:rPr>
          <w:spacing w:val="29"/>
          <w:sz w:val="21"/>
          <w:vertAlign w:val="baseline"/>
        </w:rPr>
        <w:t> </w:t>
      </w:r>
      <w:r>
        <w:rPr>
          <w:sz w:val="21"/>
          <w:vertAlign w:val="baseline"/>
        </w:rPr>
        <w:t>such</w:t>
      </w:r>
      <w:r>
        <w:rPr>
          <w:spacing w:val="29"/>
          <w:sz w:val="21"/>
          <w:vertAlign w:val="baseline"/>
        </w:rPr>
        <w:t> </w:t>
      </w:r>
      <w:r>
        <w:rPr>
          <w:sz w:val="21"/>
          <w:vertAlign w:val="baseline"/>
        </w:rPr>
        <w:t>interventions</w:t>
      </w:r>
      <w:r>
        <w:rPr>
          <w:spacing w:val="28"/>
          <w:sz w:val="21"/>
          <w:vertAlign w:val="baseline"/>
        </w:rPr>
        <w:t> </w:t>
      </w:r>
      <w:r>
        <w:rPr>
          <w:sz w:val="21"/>
          <w:vertAlign w:val="baseline"/>
        </w:rPr>
        <w:t>should</w:t>
      </w:r>
      <w:r>
        <w:rPr>
          <w:spacing w:val="29"/>
          <w:sz w:val="21"/>
          <w:vertAlign w:val="baseline"/>
        </w:rPr>
        <w:t> </w:t>
      </w:r>
      <w:r>
        <w:rPr>
          <w:sz w:val="21"/>
          <w:vertAlign w:val="baseline"/>
        </w:rPr>
        <w:t>include</w:t>
      </w:r>
      <w:r>
        <w:rPr>
          <w:spacing w:val="29"/>
          <w:sz w:val="21"/>
          <w:vertAlign w:val="baseline"/>
        </w:rPr>
        <w:t> </w:t>
      </w:r>
      <w:r>
        <w:rPr>
          <w:sz w:val="21"/>
          <w:vertAlign w:val="baseline"/>
        </w:rPr>
        <w:t>peer</w:t>
      </w:r>
      <w:r>
        <w:rPr>
          <w:spacing w:val="29"/>
          <w:sz w:val="21"/>
          <w:vertAlign w:val="baseline"/>
        </w:rPr>
        <w:t> </w:t>
      </w:r>
      <w:r>
        <w:rPr>
          <w:sz w:val="21"/>
          <w:vertAlign w:val="baseline"/>
        </w:rPr>
        <w:t>support</w:t>
      </w:r>
      <w:r>
        <w:rPr>
          <w:spacing w:val="29"/>
          <w:sz w:val="21"/>
          <w:vertAlign w:val="baseline"/>
        </w:rPr>
        <w:t> </w:t>
      </w:r>
      <w:r>
        <w:rPr>
          <w:sz w:val="21"/>
          <w:vertAlign w:val="baseline"/>
        </w:rPr>
        <w:t>and</w:t>
      </w:r>
      <w:r>
        <w:rPr>
          <w:spacing w:val="28"/>
          <w:sz w:val="21"/>
          <w:vertAlign w:val="baseline"/>
        </w:rPr>
        <w:t> </w:t>
      </w:r>
      <w:r>
        <w:rPr>
          <w:sz w:val="21"/>
          <w:vertAlign w:val="baseline"/>
        </w:rPr>
        <w:t>mentorship,</w:t>
      </w:r>
      <w:r>
        <w:rPr>
          <w:spacing w:val="29"/>
          <w:sz w:val="21"/>
          <w:vertAlign w:val="baseline"/>
        </w:rPr>
        <w:t> </w:t>
      </w:r>
      <w:r>
        <w:rPr>
          <w:sz w:val="21"/>
          <w:vertAlign w:val="baseline"/>
        </w:rPr>
        <w:t>academic</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42" w:hanging="1"/>
        <w:jc w:val="both"/>
        <w:rPr>
          <w:sz w:val="21"/>
        </w:rPr>
      </w:pPr>
      <w:r>
        <w:rPr>
          <w:sz w:val="21"/>
        </w:rPr>
        <w:t>achievement and re-engagement with education, vocational training and employment opportunities, life skills and civic participation, and strategies for violence prevention and disengagement from gangs.</w:t>
      </w:r>
    </w:p>
    <w:p>
      <w:pPr>
        <w:spacing w:line="276" w:lineRule="auto" w:before="239"/>
        <w:ind w:left="464" w:right="238" w:firstLine="0"/>
        <w:jc w:val="both"/>
        <w:rPr>
          <w:sz w:val="21"/>
        </w:rPr>
      </w:pPr>
      <w:r>
        <w:rPr>
          <w:sz w:val="21"/>
        </w:rPr>
        <w:t>By adopting a holistic and evidence-based approach, communities can significantly reduce reliance on incarceration,</w:t>
      </w:r>
      <w:r>
        <w:rPr>
          <w:spacing w:val="-6"/>
          <w:sz w:val="21"/>
        </w:rPr>
        <w:t> </w:t>
      </w:r>
      <w:r>
        <w:rPr>
          <w:sz w:val="21"/>
        </w:rPr>
        <w:t>improve</w:t>
      </w:r>
      <w:r>
        <w:rPr>
          <w:spacing w:val="-6"/>
          <w:sz w:val="21"/>
        </w:rPr>
        <w:t> </w:t>
      </w:r>
      <w:r>
        <w:rPr>
          <w:sz w:val="21"/>
        </w:rPr>
        <w:t>public</w:t>
      </w:r>
      <w:r>
        <w:rPr>
          <w:spacing w:val="-6"/>
          <w:sz w:val="21"/>
        </w:rPr>
        <w:t> </w:t>
      </w:r>
      <w:r>
        <w:rPr>
          <w:sz w:val="21"/>
        </w:rPr>
        <w:t>safety,</w:t>
      </w:r>
      <w:r>
        <w:rPr>
          <w:spacing w:val="-5"/>
          <w:sz w:val="21"/>
        </w:rPr>
        <w:t> </w:t>
      </w:r>
      <w:r>
        <w:rPr>
          <w:sz w:val="21"/>
        </w:rPr>
        <w:t>and</w:t>
      </w:r>
      <w:r>
        <w:rPr>
          <w:spacing w:val="-6"/>
          <w:sz w:val="21"/>
        </w:rPr>
        <w:t> </w:t>
      </w:r>
      <w:r>
        <w:rPr>
          <w:sz w:val="21"/>
        </w:rPr>
        <w:t>offer</w:t>
      </w:r>
      <w:r>
        <w:rPr>
          <w:spacing w:val="-6"/>
          <w:sz w:val="21"/>
        </w:rPr>
        <w:t> </w:t>
      </w:r>
      <w:r>
        <w:rPr>
          <w:sz w:val="21"/>
        </w:rPr>
        <w:t>a</w:t>
      </w:r>
      <w:r>
        <w:rPr>
          <w:spacing w:val="-5"/>
          <w:sz w:val="21"/>
        </w:rPr>
        <w:t> </w:t>
      </w:r>
      <w:r>
        <w:rPr>
          <w:sz w:val="21"/>
        </w:rPr>
        <w:t>more</w:t>
      </w:r>
      <w:r>
        <w:rPr>
          <w:spacing w:val="-6"/>
          <w:sz w:val="21"/>
        </w:rPr>
        <w:t> </w:t>
      </w:r>
      <w:r>
        <w:rPr>
          <w:sz w:val="21"/>
        </w:rPr>
        <w:t>just</w:t>
      </w:r>
      <w:r>
        <w:rPr>
          <w:spacing w:val="-5"/>
          <w:sz w:val="21"/>
        </w:rPr>
        <w:t> </w:t>
      </w:r>
      <w:r>
        <w:rPr>
          <w:sz w:val="21"/>
        </w:rPr>
        <w:t>and</w:t>
      </w:r>
      <w:r>
        <w:rPr>
          <w:spacing w:val="-6"/>
          <w:sz w:val="21"/>
        </w:rPr>
        <w:t> </w:t>
      </w:r>
      <w:r>
        <w:rPr>
          <w:sz w:val="21"/>
        </w:rPr>
        <w:t>effective</w:t>
      </w:r>
      <w:r>
        <w:rPr>
          <w:spacing w:val="-6"/>
          <w:sz w:val="21"/>
        </w:rPr>
        <w:t> </w:t>
      </w:r>
      <w:r>
        <w:rPr>
          <w:sz w:val="21"/>
        </w:rPr>
        <w:t>response</w:t>
      </w:r>
      <w:r>
        <w:rPr>
          <w:spacing w:val="-6"/>
          <w:sz w:val="21"/>
        </w:rPr>
        <w:t> </w:t>
      </w:r>
      <w:r>
        <w:rPr>
          <w:sz w:val="21"/>
        </w:rPr>
        <w:t>to</w:t>
      </w:r>
      <w:r>
        <w:rPr>
          <w:spacing w:val="-5"/>
          <w:sz w:val="21"/>
        </w:rPr>
        <w:t> </w:t>
      </w:r>
      <w:r>
        <w:rPr>
          <w:sz w:val="21"/>
        </w:rPr>
        <w:t>youth</w:t>
      </w:r>
      <w:r>
        <w:rPr>
          <w:spacing w:val="-6"/>
          <w:sz w:val="21"/>
        </w:rPr>
        <w:t> </w:t>
      </w:r>
      <w:r>
        <w:rPr>
          <w:sz w:val="21"/>
        </w:rPr>
        <w:t>illegal</w:t>
      </w:r>
      <w:r>
        <w:rPr>
          <w:spacing w:val="-6"/>
          <w:sz w:val="21"/>
        </w:rPr>
        <w:t> </w:t>
      </w:r>
      <w:r>
        <w:rPr>
          <w:sz w:val="21"/>
        </w:rPr>
        <w:t>behavior. By</w:t>
      </w:r>
      <w:r>
        <w:rPr>
          <w:spacing w:val="-1"/>
          <w:sz w:val="21"/>
        </w:rPr>
        <w:t> </w:t>
      </w:r>
      <w:r>
        <w:rPr>
          <w:sz w:val="21"/>
        </w:rPr>
        <w:t>embracing</w:t>
      </w:r>
      <w:r>
        <w:rPr>
          <w:spacing w:val="-2"/>
          <w:sz w:val="21"/>
        </w:rPr>
        <w:t> </w:t>
      </w:r>
      <w:r>
        <w:rPr>
          <w:sz w:val="21"/>
        </w:rPr>
        <w:t>alternative</w:t>
      </w:r>
      <w:r>
        <w:rPr>
          <w:spacing w:val="-1"/>
          <w:sz w:val="21"/>
        </w:rPr>
        <w:t> </w:t>
      </w:r>
      <w:r>
        <w:rPr>
          <w:sz w:val="21"/>
        </w:rPr>
        <w:t>interventions</w:t>
      </w:r>
      <w:r>
        <w:rPr>
          <w:spacing w:val="-1"/>
          <w:sz w:val="21"/>
        </w:rPr>
        <w:t> </w:t>
      </w:r>
      <w:r>
        <w:rPr>
          <w:sz w:val="21"/>
        </w:rPr>
        <w:t>and systemic</w:t>
      </w:r>
      <w:r>
        <w:rPr>
          <w:spacing w:val="-1"/>
          <w:sz w:val="21"/>
        </w:rPr>
        <w:t> </w:t>
      </w:r>
      <w:r>
        <w:rPr>
          <w:sz w:val="21"/>
        </w:rPr>
        <w:t>reforms, we</w:t>
      </w:r>
      <w:r>
        <w:rPr>
          <w:spacing w:val="-1"/>
          <w:sz w:val="21"/>
        </w:rPr>
        <w:t> </w:t>
      </w:r>
      <w:r>
        <w:rPr>
          <w:sz w:val="21"/>
        </w:rPr>
        <w:t>can</w:t>
      </w:r>
      <w:r>
        <w:rPr>
          <w:spacing w:val="-3"/>
          <w:sz w:val="21"/>
        </w:rPr>
        <w:t> </w:t>
      </w:r>
      <w:r>
        <w:rPr>
          <w:sz w:val="21"/>
        </w:rPr>
        <w:t>support at-risk youth</w:t>
      </w:r>
      <w:r>
        <w:rPr>
          <w:spacing w:val="-2"/>
          <w:sz w:val="21"/>
        </w:rPr>
        <w:t> </w:t>
      </w:r>
      <w:r>
        <w:rPr>
          <w:sz w:val="21"/>
        </w:rPr>
        <w:t>in</w:t>
      </w:r>
      <w:r>
        <w:rPr>
          <w:spacing w:val="-1"/>
          <w:sz w:val="21"/>
        </w:rPr>
        <w:t> </w:t>
      </w:r>
      <w:r>
        <w:rPr>
          <w:sz w:val="21"/>
        </w:rPr>
        <w:t>constructive ways that encourage personal growth, reduce reoffending, and build safer communities. This transformative approach not only mitigates the immediate and collateral consequences of incarceration but also advances the principles of justice, equity, and humanity within our juvenile and criminal legal </w:t>
      </w:r>
      <w:r>
        <w:rPr>
          <w:spacing w:val="-2"/>
          <w:sz w:val="21"/>
        </w:rPr>
        <w:t>systems.</w:t>
      </w:r>
    </w:p>
    <w:p>
      <w:pPr>
        <w:spacing w:before="240"/>
        <w:ind w:left="464" w:right="0" w:firstLine="0"/>
        <w:jc w:val="both"/>
        <w:rPr>
          <w:sz w:val="28"/>
        </w:rPr>
      </w:pPr>
      <w:bookmarkStart w:name="Empowering Currently and Formerly Incarc" w:id="767"/>
      <w:bookmarkEnd w:id="767"/>
      <w:r>
        <w:rPr/>
      </w:r>
      <w:r>
        <w:rPr>
          <w:color w:val="365F91"/>
          <w:sz w:val="28"/>
        </w:rPr>
        <w:t>Empowering</w:t>
      </w:r>
      <w:r>
        <w:rPr>
          <w:color w:val="365F91"/>
          <w:spacing w:val="-12"/>
          <w:sz w:val="28"/>
        </w:rPr>
        <w:t> </w:t>
      </w:r>
      <w:r>
        <w:rPr>
          <w:color w:val="365F91"/>
          <w:sz w:val="28"/>
        </w:rPr>
        <w:t>Currently</w:t>
      </w:r>
      <w:r>
        <w:rPr>
          <w:color w:val="365F91"/>
          <w:spacing w:val="-12"/>
          <w:sz w:val="28"/>
        </w:rPr>
        <w:t> </w:t>
      </w:r>
      <w:r>
        <w:rPr>
          <w:color w:val="365F91"/>
          <w:sz w:val="28"/>
        </w:rPr>
        <w:t>and</w:t>
      </w:r>
      <w:r>
        <w:rPr>
          <w:color w:val="365F91"/>
          <w:spacing w:val="-13"/>
          <w:sz w:val="28"/>
        </w:rPr>
        <w:t> </w:t>
      </w:r>
      <w:r>
        <w:rPr>
          <w:color w:val="365F91"/>
          <w:sz w:val="28"/>
        </w:rPr>
        <w:t>Formerly</w:t>
      </w:r>
      <w:r>
        <w:rPr>
          <w:color w:val="365F91"/>
          <w:spacing w:val="-12"/>
          <w:sz w:val="28"/>
        </w:rPr>
        <w:t> </w:t>
      </w:r>
      <w:r>
        <w:rPr>
          <w:color w:val="365F91"/>
          <w:sz w:val="28"/>
        </w:rPr>
        <w:t>Incarcerated</w:t>
      </w:r>
      <w:r>
        <w:rPr>
          <w:color w:val="365F91"/>
          <w:spacing w:val="-13"/>
          <w:sz w:val="28"/>
        </w:rPr>
        <w:t> </w:t>
      </w:r>
      <w:r>
        <w:rPr>
          <w:color w:val="365F91"/>
          <w:sz w:val="28"/>
        </w:rPr>
        <w:t>LGBTQ</w:t>
      </w:r>
      <w:r>
        <w:rPr>
          <w:color w:val="365F91"/>
          <w:spacing w:val="-12"/>
          <w:sz w:val="28"/>
        </w:rPr>
        <w:t> </w:t>
      </w:r>
      <w:r>
        <w:rPr>
          <w:color w:val="365F91"/>
          <w:sz w:val="28"/>
        </w:rPr>
        <w:t>Youth</w:t>
      </w:r>
      <w:r>
        <w:rPr>
          <w:color w:val="365F91"/>
          <w:spacing w:val="-13"/>
          <w:sz w:val="28"/>
        </w:rPr>
        <w:t> </w:t>
      </w:r>
      <w:r>
        <w:rPr>
          <w:color w:val="365F91"/>
          <w:spacing w:val="-2"/>
          <w:sz w:val="28"/>
        </w:rPr>
        <w:t>Voices</w:t>
      </w:r>
    </w:p>
    <w:p>
      <w:pPr>
        <w:spacing w:line="276" w:lineRule="auto" w:before="241"/>
        <w:ind w:left="464" w:right="239" w:firstLine="0"/>
        <w:jc w:val="both"/>
        <w:rPr>
          <w:sz w:val="21"/>
        </w:rPr>
      </w:pPr>
      <w:r>
        <w:rPr>
          <w:sz w:val="21"/>
        </w:rPr>
        <w:t>The</w:t>
      </w:r>
      <w:r>
        <w:rPr>
          <w:spacing w:val="-8"/>
          <w:sz w:val="21"/>
        </w:rPr>
        <w:t> </w:t>
      </w:r>
      <w:r>
        <w:rPr>
          <w:sz w:val="21"/>
        </w:rPr>
        <w:t>Commission</w:t>
      </w:r>
      <w:r>
        <w:rPr>
          <w:spacing w:val="-8"/>
          <w:sz w:val="21"/>
        </w:rPr>
        <w:t> </w:t>
      </w:r>
      <w:r>
        <w:rPr>
          <w:sz w:val="21"/>
        </w:rPr>
        <w:t>recommends</w:t>
      </w:r>
      <w:r>
        <w:rPr>
          <w:spacing w:val="-8"/>
          <w:sz w:val="21"/>
        </w:rPr>
        <w:t> </w:t>
      </w:r>
      <w:r>
        <w:rPr>
          <w:sz w:val="21"/>
        </w:rPr>
        <w:t>that</w:t>
      </w:r>
      <w:r>
        <w:rPr>
          <w:spacing w:val="-7"/>
          <w:sz w:val="21"/>
        </w:rPr>
        <w:t> </w:t>
      </w:r>
      <w:r>
        <w:rPr>
          <w:sz w:val="21"/>
        </w:rPr>
        <w:t>youth</w:t>
      </w:r>
      <w:r>
        <w:rPr>
          <w:spacing w:val="-9"/>
          <w:sz w:val="21"/>
        </w:rPr>
        <w:t> </w:t>
      </w:r>
      <w:r>
        <w:rPr>
          <w:sz w:val="21"/>
        </w:rPr>
        <w:t>with</w:t>
      </w:r>
      <w:r>
        <w:rPr>
          <w:spacing w:val="-8"/>
          <w:sz w:val="21"/>
        </w:rPr>
        <w:t> </w:t>
      </w:r>
      <w:r>
        <w:rPr>
          <w:sz w:val="21"/>
        </w:rPr>
        <w:t>lived</w:t>
      </w:r>
      <w:r>
        <w:rPr>
          <w:spacing w:val="-8"/>
          <w:sz w:val="21"/>
        </w:rPr>
        <w:t> </w:t>
      </w:r>
      <w:r>
        <w:rPr>
          <w:sz w:val="21"/>
        </w:rPr>
        <w:t>experience</w:t>
      </w:r>
      <w:r>
        <w:rPr>
          <w:spacing w:val="-8"/>
          <w:sz w:val="21"/>
        </w:rPr>
        <w:t> </w:t>
      </w:r>
      <w:r>
        <w:rPr>
          <w:sz w:val="21"/>
        </w:rPr>
        <w:t>be</w:t>
      </w:r>
      <w:r>
        <w:rPr>
          <w:spacing w:val="-8"/>
          <w:sz w:val="21"/>
        </w:rPr>
        <w:t> </w:t>
      </w:r>
      <w:r>
        <w:rPr>
          <w:sz w:val="21"/>
        </w:rPr>
        <w:t>involved</w:t>
      </w:r>
      <w:r>
        <w:rPr>
          <w:spacing w:val="-8"/>
          <w:sz w:val="21"/>
        </w:rPr>
        <w:t> </w:t>
      </w:r>
      <w:r>
        <w:rPr>
          <w:sz w:val="21"/>
        </w:rPr>
        <w:t>in</w:t>
      </w:r>
      <w:r>
        <w:rPr>
          <w:spacing w:val="-8"/>
          <w:sz w:val="21"/>
        </w:rPr>
        <w:t> </w:t>
      </w:r>
      <w:r>
        <w:rPr>
          <w:sz w:val="21"/>
        </w:rPr>
        <w:t>crafting</w:t>
      </w:r>
      <w:r>
        <w:rPr>
          <w:spacing w:val="-8"/>
          <w:sz w:val="21"/>
        </w:rPr>
        <w:t> </w:t>
      </w:r>
      <w:r>
        <w:rPr>
          <w:sz w:val="21"/>
        </w:rPr>
        <w:t>policy</w:t>
      </w:r>
      <w:r>
        <w:rPr>
          <w:spacing w:val="-8"/>
          <w:sz w:val="21"/>
        </w:rPr>
        <w:t> </w:t>
      </w:r>
      <w:r>
        <w:rPr>
          <w:sz w:val="21"/>
        </w:rPr>
        <w:t>reforms</w:t>
      </w:r>
      <w:r>
        <w:rPr>
          <w:spacing w:val="-9"/>
          <w:sz w:val="21"/>
        </w:rPr>
        <w:t> </w:t>
      </w:r>
      <w:r>
        <w:rPr>
          <w:sz w:val="21"/>
        </w:rPr>
        <w:t>to</w:t>
      </w:r>
      <w:r>
        <w:rPr>
          <w:spacing w:val="-8"/>
          <w:sz w:val="21"/>
        </w:rPr>
        <w:t> </w:t>
      </w:r>
      <w:r>
        <w:rPr>
          <w:sz w:val="21"/>
        </w:rPr>
        <w:t>the juvenile and criminal legal systems. Including youth with lived experience as partners in policy and system reform is essential for creating more effective and equitable juvenile and criminal legal systems. This approach is also supported by the National Council of Juvenile and Family Court Judges (NCJFCJ),</w:t>
      </w:r>
      <w:hyperlink w:history="true" w:anchor="_bookmark525">
        <w:r>
          <w:rPr>
            <w:sz w:val="21"/>
            <w:vertAlign w:val="superscript"/>
          </w:rPr>
          <w:t>209</w:t>
        </w:r>
      </w:hyperlink>
      <w:r>
        <w:rPr>
          <w:spacing w:val="-2"/>
          <w:sz w:val="21"/>
          <w:vertAlign w:val="baseline"/>
        </w:rPr>
        <w:t> </w:t>
      </w:r>
      <w:r>
        <w:rPr>
          <w:sz w:val="21"/>
          <w:vertAlign w:val="baseline"/>
        </w:rPr>
        <w:t>which has highlighted the need for engaging individuals who have firsthand experience with the carceral system to ensure that policies and practices are truly person-centered. Those with lived experience offer unique insights that can lead to more impactful reforms, challenging existing practices and driving substantial </w:t>
      </w:r>
      <w:r>
        <w:rPr>
          <w:spacing w:val="-2"/>
          <w:sz w:val="21"/>
          <w:vertAlign w:val="baseline"/>
        </w:rPr>
        <w:t>change.</w:t>
      </w:r>
      <w:hyperlink w:history="true" w:anchor="_bookmark526">
        <w:r>
          <w:rPr>
            <w:spacing w:val="-2"/>
            <w:sz w:val="21"/>
            <w:vertAlign w:val="superscript"/>
          </w:rPr>
          <w:t>210</w:t>
        </w:r>
      </w:hyperlink>
    </w:p>
    <w:p>
      <w:pPr>
        <w:spacing w:line="276" w:lineRule="auto" w:before="240"/>
        <w:ind w:left="464" w:right="238" w:firstLine="0"/>
        <w:jc w:val="both"/>
        <w:rPr>
          <w:sz w:val="21"/>
        </w:rPr>
      </w:pPr>
      <w:r>
        <w:rPr>
          <w:sz w:val="21"/>
        </w:rPr>
        <w:t>Partnerships with youth with lived experience should be based on mutual respect for the lived expertise these individuals bring, facilitating shared leadership and decision-making.</w:t>
      </w:r>
      <w:hyperlink w:history="true" w:anchor="_bookmark527">
        <w:r>
          <w:rPr>
            <w:sz w:val="21"/>
            <w:vertAlign w:val="superscript"/>
          </w:rPr>
          <w:t>211</w:t>
        </w:r>
      </w:hyperlink>
      <w:r>
        <w:rPr>
          <w:spacing w:val="-3"/>
          <w:sz w:val="21"/>
          <w:vertAlign w:val="baseline"/>
        </w:rPr>
        <w:t> </w:t>
      </w:r>
      <w:r>
        <w:rPr>
          <w:sz w:val="21"/>
          <w:vertAlign w:val="baseline"/>
        </w:rPr>
        <w:t>This collaborative approach ensures</w:t>
      </w:r>
      <w:r>
        <w:rPr>
          <w:spacing w:val="-7"/>
          <w:sz w:val="21"/>
          <w:vertAlign w:val="baseline"/>
        </w:rPr>
        <w:t> </w:t>
      </w:r>
      <w:r>
        <w:rPr>
          <w:sz w:val="21"/>
          <w:vertAlign w:val="baseline"/>
        </w:rPr>
        <w:t>that</w:t>
      </w:r>
      <w:r>
        <w:rPr>
          <w:spacing w:val="-7"/>
          <w:sz w:val="21"/>
          <w:vertAlign w:val="baseline"/>
        </w:rPr>
        <w:t> </w:t>
      </w:r>
      <w:r>
        <w:rPr>
          <w:sz w:val="21"/>
          <w:vertAlign w:val="baseline"/>
        </w:rPr>
        <w:t>the</w:t>
      </w:r>
      <w:r>
        <w:rPr>
          <w:spacing w:val="-7"/>
          <w:sz w:val="21"/>
          <w:vertAlign w:val="baseline"/>
        </w:rPr>
        <w:t> </w:t>
      </w:r>
      <w:r>
        <w:rPr>
          <w:sz w:val="21"/>
          <w:vertAlign w:val="baseline"/>
        </w:rPr>
        <w:t>voices</w:t>
      </w:r>
      <w:r>
        <w:rPr>
          <w:spacing w:val="-7"/>
          <w:sz w:val="21"/>
          <w:vertAlign w:val="baseline"/>
        </w:rPr>
        <w:t> </w:t>
      </w:r>
      <w:r>
        <w:rPr>
          <w:sz w:val="21"/>
          <w:vertAlign w:val="baseline"/>
        </w:rPr>
        <w:t>of</w:t>
      </w:r>
      <w:r>
        <w:rPr>
          <w:spacing w:val="-7"/>
          <w:sz w:val="21"/>
          <w:vertAlign w:val="baseline"/>
        </w:rPr>
        <w:t> </w:t>
      </w:r>
      <w:r>
        <w:rPr>
          <w:sz w:val="21"/>
          <w:vertAlign w:val="baseline"/>
        </w:rPr>
        <w:t>those</w:t>
      </w:r>
      <w:r>
        <w:rPr>
          <w:spacing w:val="-7"/>
          <w:sz w:val="21"/>
          <w:vertAlign w:val="baseline"/>
        </w:rPr>
        <w:t> </w:t>
      </w:r>
      <w:r>
        <w:rPr>
          <w:sz w:val="21"/>
          <w:vertAlign w:val="baseline"/>
        </w:rPr>
        <w:t>most</w:t>
      </w:r>
      <w:r>
        <w:rPr>
          <w:spacing w:val="-6"/>
          <w:sz w:val="21"/>
          <w:vertAlign w:val="baseline"/>
        </w:rPr>
        <w:t> </w:t>
      </w:r>
      <w:r>
        <w:rPr>
          <w:sz w:val="21"/>
          <w:vertAlign w:val="baseline"/>
        </w:rPr>
        <w:t>affected</w:t>
      </w:r>
      <w:r>
        <w:rPr>
          <w:spacing w:val="-7"/>
          <w:sz w:val="21"/>
          <w:vertAlign w:val="baseline"/>
        </w:rPr>
        <w:t> </w:t>
      </w:r>
      <w:r>
        <w:rPr>
          <w:sz w:val="21"/>
          <w:vertAlign w:val="baseline"/>
        </w:rPr>
        <w:t>by</w:t>
      </w:r>
      <w:r>
        <w:rPr>
          <w:spacing w:val="-8"/>
          <w:sz w:val="21"/>
          <w:vertAlign w:val="baseline"/>
        </w:rPr>
        <w:t> </w:t>
      </w:r>
      <w:r>
        <w:rPr>
          <w:sz w:val="21"/>
          <w:vertAlign w:val="baseline"/>
        </w:rPr>
        <w:t>policies</w:t>
      </w:r>
      <w:r>
        <w:rPr>
          <w:spacing w:val="-7"/>
          <w:sz w:val="21"/>
          <w:vertAlign w:val="baseline"/>
        </w:rPr>
        <w:t> </w:t>
      </w:r>
      <w:r>
        <w:rPr>
          <w:sz w:val="21"/>
          <w:vertAlign w:val="baseline"/>
        </w:rPr>
        <w:t>are</w:t>
      </w:r>
      <w:r>
        <w:rPr>
          <w:spacing w:val="-8"/>
          <w:sz w:val="21"/>
          <w:vertAlign w:val="baseline"/>
        </w:rPr>
        <w:t> </w:t>
      </w:r>
      <w:r>
        <w:rPr>
          <w:sz w:val="21"/>
          <w:vertAlign w:val="baseline"/>
        </w:rPr>
        <w:t>not</w:t>
      </w:r>
      <w:r>
        <w:rPr>
          <w:spacing w:val="-7"/>
          <w:sz w:val="21"/>
          <w:vertAlign w:val="baseline"/>
        </w:rPr>
        <w:t> </w:t>
      </w:r>
      <w:r>
        <w:rPr>
          <w:sz w:val="21"/>
          <w:vertAlign w:val="baseline"/>
        </w:rPr>
        <w:t>only</w:t>
      </w:r>
      <w:r>
        <w:rPr>
          <w:spacing w:val="-8"/>
          <w:sz w:val="21"/>
          <w:vertAlign w:val="baseline"/>
        </w:rPr>
        <w:t> </w:t>
      </w:r>
      <w:r>
        <w:rPr>
          <w:sz w:val="21"/>
          <w:vertAlign w:val="baseline"/>
        </w:rPr>
        <w:t>heard,</w:t>
      </w:r>
      <w:r>
        <w:rPr>
          <w:spacing w:val="-8"/>
          <w:sz w:val="21"/>
          <w:vertAlign w:val="baseline"/>
        </w:rPr>
        <w:t> </w:t>
      </w:r>
      <w:r>
        <w:rPr>
          <w:sz w:val="21"/>
          <w:vertAlign w:val="baseline"/>
        </w:rPr>
        <w:t>but</w:t>
      </w:r>
      <w:r>
        <w:rPr>
          <w:spacing w:val="-7"/>
          <w:sz w:val="21"/>
          <w:vertAlign w:val="baseline"/>
        </w:rPr>
        <w:t> </w:t>
      </w:r>
      <w:r>
        <w:rPr>
          <w:sz w:val="21"/>
          <w:vertAlign w:val="baseline"/>
        </w:rPr>
        <w:t>are</w:t>
      </w:r>
      <w:r>
        <w:rPr>
          <w:spacing w:val="-8"/>
          <w:sz w:val="21"/>
          <w:vertAlign w:val="baseline"/>
        </w:rPr>
        <w:t> </w:t>
      </w:r>
      <w:r>
        <w:rPr>
          <w:sz w:val="21"/>
          <w:vertAlign w:val="baseline"/>
        </w:rPr>
        <w:t>seen</w:t>
      </w:r>
      <w:r>
        <w:rPr>
          <w:spacing w:val="-7"/>
          <w:sz w:val="21"/>
          <w:vertAlign w:val="baseline"/>
        </w:rPr>
        <w:t> </w:t>
      </w:r>
      <w:r>
        <w:rPr>
          <w:sz w:val="21"/>
          <w:vertAlign w:val="baseline"/>
        </w:rPr>
        <w:t>as</w:t>
      </w:r>
      <w:r>
        <w:rPr>
          <w:spacing w:val="-8"/>
          <w:sz w:val="21"/>
          <w:vertAlign w:val="baseline"/>
        </w:rPr>
        <w:t> </w:t>
      </w:r>
      <w:r>
        <w:rPr>
          <w:sz w:val="21"/>
          <w:vertAlign w:val="baseline"/>
        </w:rPr>
        <w:t>integral</w:t>
      </w:r>
      <w:r>
        <w:rPr>
          <w:spacing w:val="-7"/>
          <w:sz w:val="21"/>
          <w:vertAlign w:val="baseline"/>
        </w:rPr>
        <w:t> </w:t>
      </w:r>
      <w:r>
        <w:rPr>
          <w:sz w:val="21"/>
          <w:vertAlign w:val="baseline"/>
        </w:rPr>
        <w:t>to</w:t>
      </w:r>
      <w:r>
        <w:rPr>
          <w:spacing w:val="-8"/>
          <w:sz w:val="21"/>
          <w:vertAlign w:val="baseline"/>
        </w:rPr>
        <w:t> </w:t>
      </w:r>
      <w:r>
        <w:rPr>
          <w:sz w:val="21"/>
          <w:vertAlign w:val="baseline"/>
        </w:rPr>
        <w:t>the formulation and implementation of those policies. Engagement must be genuine and involves preparing and supporting youth to participate meaningfully in discussions and decisions; this includes providing orientation</w:t>
      </w:r>
      <w:r>
        <w:rPr>
          <w:spacing w:val="-4"/>
          <w:sz w:val="21"/>
          <w:vertAlign w:val="baseline"/>
        </w:rPr>
        <w:t> </w:t>
      </w:r>
      <w:r>
        <w:rPr>
          <w:sz w:val="21"/>
          <w:vertAlign w:val="baseline"/>
        </w:rPr>
        <w:t>about</w:t>
      </w:r>
      <w:r>
        <w:rPr>
          <w:spacing w:val="-4"/>
          <w:sz w:val="21"/>
          <w:vertAlign w:val="baseline"/>
        </w:rPr>
        <w:t> </w:t>
      </w:r>
      <w:r>
        <w:rPr>
          <w:sz w:val="21"/>
          <w:vertAlign w:val="baseline"/>
        </w:rPr>
        <w:t>system</w:t>
      </w:r>
      <w:r>
        <w:rPr>
          <w:spacing w:val="-4"/>
          <w:sz w:val="21"/>
          <w:vertAlign w:val="baseline"/>
        </w:rPr>
        <w:t> </w:t>
      </w:r>
      <w:r>
        <w:rPr>
          <w:sz w:val="21"/>
          <w:vertAlign w:val="baseline"/>
        </w:rPr>
        <w:t>changes,</w:t>
      </w:r>
      <w:r>
        <w:rPr>
          <w:spacing w:val="-4"/>
          <w:sz w:val="21"/>
          <w:vertAlign w:val="baseline"/>
        </w:rPr>
        <w:t> </w:t>
      </w:r>
      <w:r>
        <w:rPr>
          <w:sz w:val="21"/>
          <w:vertAlign w:val="baseline"/>
        </w:rPr>
        <w:t>training</w:t>
      </w:r>
      <w:r>
        <w:rPr>
          <w:spacing w:val="-5"/>
          <w:sz w:val="21"/>
          <w:vertAlign w:val="baseline"/>
        </w:rPr>
        <w:t> </w:t>
      </w:r>
      <w:r>
        <w:rPr>
          <w:sz w:val="21"/>
          <w:vertAlign w:val="baseline"/>
        </w:rPr>
        <w:t>in</w:t>
      </w:r>
      <w:r>
        <w:rPr>
          <w:spacing w:val="-4"/>
          <w:sz w:val="21"/>
          <w:vertAlign w:val="baseline"/>
        </w:rPr>
        <w:t> </w:t>
      </w:r>
      <w:r>
        <w:rPr>
          <w:sz w:val="21"/>
          <w:vertAlign w:val="baseline"/>
        </w:rPr>
        <w:t>public</w:t>
      </w:r>
      <w:r>
        <w:rPr>
          <w:spacing w:val="-4"/>
          <w:sz w:val="21"/>
          <w:vertAlign w:val="baseline"/>
        </w:rPr>
        <w:t> </w:t>
      </w:r>
      <w:r>
        <w:rPr>
          <w:sz w:val="21"/>
          <w:vertAlign w:val="baseline"/>
        </w:rPr>
        <w:t>speaking,</w:t>
      </w:r>
      <w:r>
        <w:rPr>
          <w:spacing w:val="-4"/>
          <w:sz w:val="21"/>
          <w:vertAlign w:val="baseline"/>
        </w:rPr>
        <w:t> </w:t>
      </w:r>
      <w:r>
        <w:rPr>
          <w:sz w:val="21"/>
          <w:vertAlign w:val="baseline"/>
        </w:rPr>
        <w:t>and</w:t>
      </w:r>
      <w:r>
        <w:rPr>
          <w:spacing w:val="-4"/>
          <w:sz w:val="21"/>
          <w:vertAlign w:val="baseline"/>
        </w:rPr>
        <w:t> </w:t>
      </w:r>
      <w:r>
        <w:rPr>
          <w:sz w:val="21"/>
          <w:vertAlign w:val="baseline"/>
        </w:rPr>
        <w:t>ensuring</w:t>
      </w:r>
      <w:r>
        <w:rPr>
          <w:spacing w:val="-5"/>
          <w:sz w:val="21"/>
          <w:vertAlign w:val="baseline"/>
        </w:rPr>
        <w:t> </w:t>
      </w:r>
      <w:r>
        <w:rPr>
          <w:sz w:val="21"/>
          <w:vertAlign w:val="baseline"/>
        </w:rPr>
        <w:t>that</w:t>
      </w:r>
      <w:r>
        <w:rPr>
          <w:spacing w:val="-4"/>
          <w:sz w:val="21"/>
          <w:vertAlign w:val="baseline"/>
        </w:rPr>
        <w:t> </w:t>
      </w:r>
      <w:r>
        <w:rPr>
          <w:sz w:val="21"/>
          <w:vertAlign w:val="baseline"/>
        </w:rPr>
        <w:t>their</w:t>
      </w:r>
      <w:r>
        <w:rPr>
          <w:spacing w:val="-4"/>
          <w:sz w:val="21"/>
          <w:vertAlign w:val="baseline"/>
        </w:rPr>
        <w:t> </w:t>
      </w:r>
      <w:r>
        <w:rPr>
          <w:sz w:val="21"/>
          <w:vertAlign w:val="baseline"/>
        </w:rPr>
        <w:t>contributions</w:t>
      </w:r>
      <w:r>
        <w:rPr>
          <w:spacing w:val="-5"/>
          <w:sz w:val="21"/>
          <w:vertAlign w:val="baseline"/>
        </w:rPr>
        <w:t> </w:t>
      </w:r>
      <w:r>
        <w:rPr>
          <w:sz w:val="21"/>
          <w:vertAlign w:val="baseline"/>
        </w:rPr>
        <w:t>do</w:t>
      </w:r>
      <w:r>
        <w:rPr>
          <w:spacing w:val="-4"/>
          <w:sz w:val="21"/>
          <w:vertAlign w:val="baseline"/>
        </w:rPr>
        <w:t> </w:t>
      </w:r>
      <w:r>
        <w:rPr>
          <w:sz w:val="21"/>
          <w:vertAlign w:val="baseline"/>
        </w:rPr>
        <w:t>not negatively</w:t>
      </w:r>
      <w:r>
        <w:rPr>
          <w:spacing w:val="-12"/>
          <w:sz w:val="21"/>
          <w:vertAlign w:val="baseline"/>
        </w:rPr>
        <w:t> </w:t>
      </w:r>
      <w:r>
        <w:rPr>
          <w:sz w:val="21"/>
          <w:vertAlign w:val="baseline"/>
        </w:rPr>
        <w:t>impact</w:t>
      </w:r>
      <w:r>
        <w:rPr>
          <w:spacing w:val="-12"/>
          <w:sz w:val="21"/>
          <w:vertAlign w:val="baseline"/>
        </w:rPr>
        <w:t> </w:t>
      </w:r>
      <w:r>
        <w:rPr>
          <w:sz w:val="21"/>
          <w:vertAlign w:val="baseline"/>
        </w:rPr>
        <w:t>their</w:t>
      </w:r>
      <w:r>
        <w:rPr>
          <w:spacing w:val="-12"/>
          <w:sz w:val="21"/>
          <w:vertAlign w:val="baseline"/>
        </w:rPr>
        <w:t> </w:t>
      </w:r>
      <w:r>
        <w:rPr>
          <w:sz w:val="21"/>
          <w:vertAlign w:val="baseline"/>
        </w:rPr>
        <w:t>personal</w:t>
      </w:r>
      <w:r>
        <w:rPr>
          <w:spacing w:val="-12"/>
          <w:sz w:val="21"/>
          <w:vertAlign w:val="baseline"/>
        </w:rPr>
        <w:t> </w:t>
      </w:r>
      <w:r>
        <w:rPr>
          <w:sz w:val="21"/>
          <w:vertAlign w:val="baseline"/>
        </w:rPr>
        <w:t>cases</w:t>
      </w:r>
      <w:r>
        <w:rPr>
          <w:spacing w:val="-12"/>
          <w:sz w:val="21"/>
          <w:vertAlign w:val="baseline"/>
        </w:rPr>
        <w:t> </w:t>
      </w:r>
      <w:r>
        <w:rPr>
          <w:sz w:val="21"/>
          <w:vertAlign w:val="baseline"/>
        </w:rPr>
        <w:t>or</w:t>
      </w:r>
      <w:r>
        <w:rPr>
          <w:spacing w:val="-12"/>
          <w:sz w:val="21"/>
          <w:vertAlign w:val="baseline"/>
        </w:rPr>
        <w:t> </w:t>
      </w:r>
      <w:r>
        <w:rPr>
          <w:sz w:val="21"/>
          <w:vertAlign w:val="baseline"/>
        </w:rPr>
        <w:t>future.</w:t>
      </w:r>
      <w:r>
        <w:rPr>
          <w:spacing w:val="-12"/>
          <w:sz w:val="21"/>
          <w:vertAlign w:val="baseline"/>
        </w:rPr>
        <w:t> </w:t>
      </w:r>
      <w:r>
        <w:rPr>
          <w:sz w:val="21"/>
          <w:vertAlign w:val="baseline"/>
        </w:rPr>
        <w:t>Moreover,</w:t>
      </w:r>
      <w:r>
        <w:rPr>
          <w:spacing w:val="-11"/>
          <w:sz w:val="21"/>
          <w:vertAlign w:val="baseline"/>
        </w:rPr>
        <w:t> </w:t>
      </w:r>
      <w:r>
        <w:rPr>
          <w:sz w:val="21"/>
          <w:vertAlign w:val="baseline"/>
        </w:rPr>
        <w:t>recognizing</w:t>
      </w:r>
      <w:r>
        <w:rPr>
          <w:spacing w:val="-12"/>
          <w:sz w:val="21"/>
          <w:vertAlign w:val="baseline"/>
        </w:rPr>
        <w:t> </w:t>
      </w:r>
      <w:r>
        <w:rPr>
          <w:sz w:val="21"/>
          <w:vertAlign w:val="baseline"/>
        </w:rPr>
        <w:t>and</w:t>
      </w:r>
      <w:r>
        <w:rPr>
          <w:spacing w:val="-12"/>
          <w:sz w:val="21"/>
          <w:vertAlign w:val="baseline"/>
        </w:rPr>
        <w:t> </w:t>
      </w:r>
      <w:r>
        <w:rPr>
          <w:sz w:val="21"/>
          <w:vertAlign w:val="baseline"/>
        </w:rPr>
        <w:t>compensating</w:t>
      </w:r>
      <w:r>
        <w:rPr>
          <w:spacing w:val="-12"/>
          <w:sz w:val="21"/>
          <w:vertAlign w:val="baseline"/>
        </w:rPr>
        <w:t> </w:t>
      </w:r>
      <w:r>
        <w:rPr>
          <w:sz w:val="21"/>
          <w:vertAlign w:val="baseline"/>
        </w:rPr>
        <w:t>these</w:t>
      </w:r>
      <w:r>
        <w:rPr>
          <w:spacing w:val="-12"/>
          <w:sz w:val="21"/>
          <w:vertAlign w:val="baseline"/>
        </w:rPr>
        <w:t> </w:t>
      </w:r>
      <w:r>
        <w:rPr>
          <w:sz w:val="21"/>
          <w:vertAlign w:val="baseline"/>
        </w:rPr>
        <w:t>individuals for their time and insights acknowledges the value of their contributions, aligning with the principles of equity and respect.</w:t>
      </w:r>
    </w:p>
    <w:p>
      <w:pPr>
        <w:spacing w:line="276" w:lineRule="auto" w:before="240"/>
        <w:ind w:left="464" w:right="239" w:firstLine="0"/>
        <w:jc w:val="both"/>
        <w:rPr>
          <w:sz w:val="21"/>
        </w:rPr>
      </w:pPr>
      <w:r>
        <w:rPr>
          <w:sz w:val="21"/>
        </w:rPr>
        <w:t>Effective</w:t>
      </w:r>
      <w:r>
        <w:rPr>
          <w:spacing w:val="-2"/>
          <w:sz w:val="21"/>
        </w:rPr>
        <w:t> </w:t>
      </w:r>
      <w:r>
        <w:rPr>
          <w:sz w:val="21"/>
        </w:rPr>
        <w:t>engagement</w:t>
      </w:r>
      <w:r>
        <w:rPr>
          <w:spacing w:val="-1"/>
          <w:sz w:val="21"/>
        </w:rPr>
        <w:t> </w:t>
      </w:r>
      <w:r>
        <w:rPr>
          <w:sz w:val="21"/>
        </w:rPr>
        <w:t>involves</w:t>
      </w:r>
      <w:r>
        <w:rPr>
          <w:spacing w:val="-2"/>
          <w:sz w:val="21"/>
        </w:rPr>
        <w:t> </w:t>
      </w:r>
      <w:r>
        <w:rPr>
          <w:sz w:val="21"/>
        </w:rPr>
        <w:t>including</w:t>
      </w:r>
      <w:r>
        <w:rPr>
          <w:spacing w:val="-2"/>
          <w:sz w:val="21"/>
        </w:rPr>
        <w:t> </w:t>
      </w:r>
      <w:r>
        <w:rPr>
          <w:sz w:val="21"/>
        </w:rPr>
        <w:t>youth</w:t>
      </w:r>
      <w:r>
        <w:rPr>
          <w:spacing w:val="-2"/>
          <w:sz w:val="21"/>
        </w:rPr>
        <w:t> </w:t>
      </w:r>
      <w:r>
        <w:rPr>
          <w:sz w:val="21"/>
        </w:rPr>
        <w:t>with</w:t>
      </w:r>
      <w:r>
        <w:rPr>
          <w:spacing w:val="-2"/>
          <w:sz w:val="21"/>
        </w:rPr>
        <w:t> </w:t>
      </w:r>
      <w:r>
        <w:rPr>
          <w:sz w:val="21"/>
        </w:rPr>
        <w:t>lived</w:t>
      </w:r>
      <w:r>
        <w:rPr>
          <w:spacing w:val="-2"/>
          <w:sz w:val="21"/>
        </w:rPr>
        <w:t> </w:t>
      </w:r>
      <w:r>
        <w:rPr>
          <w:sz w:val="21"/>
        </w:rPr>
        <w:t>experience</w:t>
      </w:r>
      <w:r>
        <w:rPr>
          <w:spacing w:val="-2"/>
          <w:sz w:val="21"/>
        </w:rPr>
        <w:t> </w:t>
      </w:r>
      <w:r>
        <w:rPr>
          <w:sz w:val="21"/>
        </w:rPr>
        <w:t>throughout</w:t>
      </w:r>
      <w:r>
        <w:rPr>
          <w:spacing w:val="-1"/>
          <w:sz w:val="21"/>
        </w:rPr>
        <w:t> </w:t>
      </w:r>
      <w:r>
        <w:rPr>
          <w:sz w:val="21"/>
        </w:rPr>
        <w:t>the</w:t>
      </w:r>
      <w:r>
        <w:rPr>
          <w:spacing w:val="-2"/>
          <w:sz w:val="21"/>
        </w:rPr>
        <w:t> </w:t>
      </w:r>
      <w:r>
        <w:rPr>
          <w:sz w:val="21"/>
        </w:rPr>
        <w:t>entire</w:t>
      </w:r>
      <w:r>
        <w:rPr>
          <w:spacing w:val="-2"/>
          <w:sz w:val="21"/>
        </w:rPr>
        <w:t> </w:t>
      </w:r>
      <w:r>
        <w:rPr>
          <w:sz w:val="21"/>
        </w:rPr>
        <w:t>process—from planning and design to implementation and evaluation.</w:t>
      </w:r>
      <w:hyperlink w:history="true" w:anchor="_bookmark528">
        <w:r>
          <w:rPr>
            <w:sz w:val="21"/>
            <w:vertAlign w:val="superscript"/>
          </w:rPr>
          <w:t>212</w:t>
        </w:r>
      </w:hyperlink>
      <w:r>
        <w:rPr>
          <w:spacing w:val="-2"/>
          <w:sz w:val="21"/>
          <w:vertAlign w:val="baseline"/>
        </w:rPr>
        <w:t> </w:t>
      </w:r>
      <w:r>
        <w:rPr>
          <w:sz w:val="21"/>
          <w:vertAlign w:val="baseline"/>
        </w:rPr>
        <w:t>This ensures that programs are responsive and truly</w:t>
      </w:r>
      <w:r>
        <w:rPr>
          <w:spacing w:val="-7"/>
          <w:sz w:val="21"/>
          <w:vertAlign w:val="baseline"/>
        </w:rPr>
        <w:t> </w:t>
      </w:r>
      <w:r>
        <w:rPr>
          <w:sz w:val="21"/>
          <w:vertAlign w:val="baseline"/>
        </w:rPr>
        <w:t>meet</w:t>
      </w:r>
      <w:r>
        <w:rPr>
          <w:spacing w:val="-7"/>
          <w:sz w:val="21"/>
          <w:vertAlign w:val="baseline"/>
        </w:rPr>
        <w:t> </w:t>
      </w:r>
      <w:r>
        <w:rPr>
          <w:sz w:val="21"/>
          <w:vertAlign w:val="baseline"/>
        </w:rPr>
        <w:t>the</w:t>
      </w:r>
      <w:r>
        <w:rPr>
          <w:spacing w:val="-8"/>
          <w:sz w:val="21"/>
          <w:vertAlign w:val="baseline"/>
        </w:rPr>
        <w:t> </w:t>
      </w:r>
      <w:r>
        <w:rPr>
          <w:sz w:val="21"/>
          <w:vertAlign w:val="baseline"/>
        </w:rPr>
        <w:t>needs</w:t>
      </w:r>
      <w:r>
        <w:rPr>
          <w:spacing w:val="-7"/>
          <w:sz w:val="21"/>
          <w:vertAlign w:val="baseline"/>
        </w:rPr>
        <w:t> </w:t>
      </w:r>
      <w:r>
        <w:rPr>
          <w:sz w:val="21"/>
          <w:vertAlign w:val="baseline"/>
        </w:rPr>
        <w:t>of</w:t>
      </w:r>
      <w:r>
        <w:rPr>
          <w:spacing w:val="-7"/>
          <w:sz w:val="21"/>
          <w:vertAlign w:val="baseline"/>
        </w:rPr>
        <w:t> </w:t>
      </w:r>
      <w:r>
        <w:rPr>
          <w:sz w:val="21"/>
          <w:vertAlign w:val="baseline"/>
        </w:rPr>
        <w:t>the</w:t>
      </w:r>
      <w:r>
        <w:rPr>
          <w:spacing w:val="-9"/>
          <w:sz w:val="21"/>
          <w:vertAlign w:val="baseline"/>
        </w:rPr>
        <w:t> </w:t>
      </w:r>
      <w:r>
        <w:rPr>
          <w:sz w:val="21"/>
          <w:vertAlign w:val="baseline"/>
        </w:rPr>
        <w:t>communities</w:t>
      </w:r>
      <w:r>
        <w:rPr>
          <w:spacing w:val="-7"/>
          <w:sz w:val="21"/>
          <w:vertAlign w:val="baseline"/>
        </w:rPr>
        <w:t> </w:t>
      </w:r>
      <w:r>
        <w:rPr>
          <w:sz w:val="21"/>
          <w:vertAlign w:val="baseline"/>
        </w:rPr>
        <w:t>they</w:t>
      </w:r>
      <w:r>
        <w:rPr>
          <w:spacing w:val="-7"/>
          <w:sz w:val="21"/>
          <w:vertAlign w:val="baseline"/>
        </w:rPr>
        <w:t> </w:t>
      </w:r>
      <w:r>
        <w:rPr>
          <w:sz w:val="21"/>
          <w:vertAlign w:val="baseline"/>
        </w:rPr>
        <w:t>aim</w:t>
      </w:r>
      <w:r>
        <w:rPr>
          <w:spacing w:val="-8"/>
          <w:sz w:val="21"/>
          <w:vertAlign w:val="baseline"/>
        </w:rPr>
        <w:t> </w:t>
      </w:r>
      <w:r>
        <w:rPr>
          <w:sz w:val="21"/>
          <w:vertAlign w:val="baseline"/>
        </w:rPr>
        <w:t>to</w:t>
      </w:r>
      <w:r>
        <w:rPr>
          <w:spacing w:val="-7"/>
          <w:sz w:val="21"/>
          <w:vertAlign w:val="baseline"/>
        </w:rPr>
        <w:t> </w:t>
      </w:r>
      <w:r>
        <w:rPr>
          <w:sz w:val="21"/>
          <w:vertAlign w:val="baseline"/>
        </w:rPr>
        <w:t>serve.</w:t>
      </w:r>
      <w:r>
        <w:rPr>
          <w:spacing w:val="-7"/>
          <w:sz w:val="21"/>
          <w:vertAlign w:val="baseline"/>
        </w:rPr>
        <w:t> </w:t>
      </w:r>
      <w:r>
        <w:rPr>
          <w:sz w:val="21"/>
          <w:vertAlign w:val="baseline"/>
        </w:rPr>
        <w:t>It</w:t>
      </w:r>
      <w:r>
        <w:rPr>
          <w:spacing w:val="-6"/>
          <w:sz w:val="21"/>
          <w:vertAlign w:val="baseline"/>
        </w:rPr>
        <w:t> </w:t>
      </w:r>
      <w:r>
        <w:rPr>
          <w:sz w:val="21"/>
          <w:vertAlign w:val="baseline"/>
        </w:rPr>
        <w:t>also</w:t>
      </w:r>
      <w:r>
        <w:rPr>
          <w:spacing w:val="-7"/>
          <w:sz w:val="21"/>
          <w:vertAlign w:val="baseline"/>
        </w:rPr>
        <w:t> </w:t>
      </w:r>
      <w:r>
        <w:rPr>
          <w:sz w:val="21"/>
          <w:vertAlign w:val="baseline"/>
        </w:rPr>
        <w:t>helps</w:t>
      </w:r>
      <w:r>
        <w:rPr>
          <w:spacing w:val="-7"/>
          <w:sz w:val="21"/>
          <w:vertAlign w:val="baseline"/>
        </w:rPr>
        <w:t> </w:t>
      </w:r>
      <w:r>
        <w:rPr>
          <w:sz w:val="21"/>
          <w:vertAlign w:val="baseline"/>
        </w:rPr>
        <w:t>in</w:t>
      </w:r>
      <w:r>
        <w:rPr>
          <w:spacing w:val="-7"/>
          <w:sz w:val="21"/>
          <w:vertAlign w:val="baseline"/>
        </w:rPr>
        <w:t> </w:t>
      </w:r>
      <w:r>
        <w:rPr>
          <w:sz w:val="21"/>
          <w:vertAlign w:val="baseline"/>
        </w:rPr>
        <w:t>identifying</w:t>
      </w:r>
      <w:r>
        <w:rPr>
          <w:spacing w:val="-7"/>
          <w:sz w:val="21"/>
          <w:vertAlign w:val="baseline"/>
        </w:rPr>
        <w:t> </w:t>
      </w:r>
      <w:r>
        <w:rPr>
          <w:sz w:val="21"/>
          <w:vertAlign w:val="baseline"/>
        </w:rPr>
        <w:t>potential</w:t>
      </w:r>
      <w:r>
        <w:rPr>
          <w:spacing w:val="-7"/>
          <w:sz w:val="21"/>
          <w:vertAlign w:val="baseline"/>
        </w:rPr>
        <w:t> </w:t>
      </w:r>
      <w:r>
        <w:rPr>
          <w:sz w:val="21"/>
          <w:vertAlign w:val="baseline"/>
        </w:rPr>
        <w:t>unintended consequences of policies and programs. Moreover, engagement should be rooted in empowerment and equity,</w:t>
      </w:r>
      <w:r>
        <w:rPr>
          <w:spacing w:val="-12"/>
          <w:sz w:val="21"/>
          <w:vertAlign w:val="baseline"/>
        </w:rPr>
        <w:t> </w:t>
      </w:r>
      <w:r>
        <w:rPr>
          <w:sz w:val="21"/>
          <w:vertAlign w:val="baseline"/>
        </w:rPr>
        <w:t>focusing</w:t>
      </w:r>
      <w:r>
        <w:rPr>
          <w:spacing w:val="-12"/>
          <w:sz w:val="21"/>
          <w:vertAlign w:val="baseline"/>
        </w:rPr>
        <w:t> </w:t>
      </w:r>
      <w:r>
        <w:rPr>
          <w:sz w:val="21"/>
          <w:vertAlign w:val="baseline"/>
        </w:rPr>
        <w:t>on</w:t>
      </w:r>
      <w:r>
        <w:rPr>
          <w:spacing w:val="-12"/>
          <w:sz w:val="21"/>
          <w:vertAlign w:val="baseline"/>
        </w:rPr>
        <w:t> </w:t>
      </w:r>
      <w:r>
        <w:rPr>
          <w:sz w:val="21"/>
          <w:vertAlign w:val="baseline"/>
        </w:rPr>
        <w:t>giving</w:t>
      </w:r>
      <w:r>
        <w:rPr>
          <w:spacing w:val="-12"/>
          <w:sz w:val="21"/>
          <w:vertAlign w:val="baseline"/>
        </w:rPr>
        <w:t> </w:t>
      </w:r>
      <w:r>
        <w:rPr>
          <w:sz w:val="21"/>
          <w:vertAlign w:val="baseline"/>
        </w:rPr>
        <w:t>these</w:t>
      </w:r>
      <w:r>
        <w:rPr>
          <w:spacing w:val="-12"/>
          <w:sz w:val="21"/>
          <w:vertAlign w:val="baseline"/>
        </w:rPr>
        <w:t> </w:t>
      </w:r>
      <w:r>
        <w:rPr>
          <w:sz w:val="21"/>
          <w:vertAlign w:val="baseline"/>
        </w:rPr>
        <w:t>individuals</w:t>
      </w:r>
      <w:r>
        <w:rPr>
          <w:spacing w:val="-12"/>
          <w:sz w:val="21"/>
          <w:vertAlign w:val="baseline"/>
        </w:rPr>
        <w:t> </w:t>
      </w:r>
      <w:r>
        <w:rPr>
          <w:sz w:val="21"/>
          <w:vertAlign w:val="baseline"/>
        </w:rPr>
        <w:t>not</w:t>
      </w:r>
      <w:r>
        <w:rPr>
          <w:spacing w:val="-12"/>
          <w:sz w:val="21"/>
          <w:vertAlign w:val="baseline"/>
        </w:rPr>
        <w:t> </w:t>
      </w:r>
      <w:r>
        <w:rPr>
          <w:sz w:val="21"/>
          <w:vertAlign w:val="baseline"/>
        </w:rPr>
        <w:t>just</w:t>
      </w:r>
      <w:r>
        <w:rPr>
          <w:spacing w:val="-11"/>
          <w:sz w:val="21"/>
          <w:vertAlign w:val="baseline"/>
        </w:rPr>
        <w:t> </w:t>
      </w:r>
      <w:r>
        <w:rPr>
          <w:sz w:val="21"/>
          <w:vertAlign w:val="baseline"/>
        </w:rPr>
        <w:t>a</w:t>
      </w:r>
      <w:r>
        <w:rPr>
          <w:spacing w:val="-12"/>
          <w:sz w:val="21"/>
          <w:vertAlign w:val="baseline"/>
        </w:rPr>
        <w:t> </w:t>
      </w:r>
      <w:r>
        <w:rPr>
          <w:sz w:val="21"/>
          <w:vertAlign w:val="baseline"/>
        </w:rPr>
        <w:t>voice</w:t>
      </w:r>
      <w:r>
        <w:rPr>
          <w:spacing w:val="-12"/>
          <w:sz w:val="21"/>
          <w:vertAlign w:val="baseline"/>
        </w:rPr>
        <w:t> </w:t>
      </w:r>
      <w:r>
        <w:rPr>
          <w:sz w:val="21"/>
          <w:vertAlign w:val="baseline"/>
        </w:rPr>
        <w:t>but</w:t>
      </w:r>
      <w:r>
        <w:rPr>
          <w:spacing w:val="-12"/>
          <w:sz w:val="21"/>
          <w:vertAlign w:val="baseline"/>
        </w:rPr>
        <w:t> </w:t>
      </w:r>
      <w:r>
        <w:rPr>
          <w:sz w:val="21"/>
          <w:vertAlign w:val="baseline"/>
        </w:rPr>
        <w:t>actual</w:t>
      </w:r>
      <w:r>
        <w:rPr>
          <w:spacing w:val="-12"/>
          <w:sz w:val="21"/>
          <w:vertAlign w:val="baseline"/>
        </w:rPr>
        <w:t> </w:t>
      </w:r>
      <w:r>
        <w:rPr>
          <w:sz w:val="21"/>
          <w:vertAlign w:val="baseline"/>
        </w:rPr>
        <w:t>decision-making</w:t>
      </w:r>
      <w:r>
        <w:rPr>
          <w:spacing w:val="-12"/>
          <w:sz w:val="21"/>
          <w:vertAlign w:val="baseline"/>
        </w:rPr>
        <w:t> </w:t>
      </w:r>
      <w:r>
        <w:rPr>
          <w:sz w:val="21"/>
          <w:vertAlign w:val="baseline"/>
        </w:rPr>
        <w:t>power.</w:t>
      </w:r>
      <w:r>
        <w:rPr>
          <w:spacing w:val="-12"/>
          <w:sz w:val="21"/>
          <w:vertAlign w:val="baseline"/>
        </w:rPr>
        <w:t> </w:t>
      </w:r>
      <w:r>
        <w:rPr>
          <w:sz w:val="21"/>
          <w:vertAlign w:val="baseline"/>
        </w:rPr>
        <w:t>This</w:t>
      </w:r>
      <w:r>
        <w:rPr>
          <w:spacing w:val="-12"/>
          <w:sz w:val="21"/>
          <w:vertAlign w:val="baseline"/>
        </w:rPr>
        <w:t> </w:t>
      </w:r>
      <w:r>
        <w:rPr>
          <w:sz w:val="21"/>
          <w:vertAlign w:val="baseline"/>
        </w:rPr>
        <w:t>approach helps rectify power imbalances and ensures that the engagement is transformational rather than transactional. For engagement to be impactful, it must be sustained and meaningful. This involves setting clear</w:t>
      </w:r>
      <w:r>
        <w:rPr>
          <w:spacing w:val="-4"/>
          <w:sz w:val="21"/>
          <w:vertAlign w:val="baseline"/>
        </w:rPr>
        <w:t> </w:t>
      </w:r>
      <w:r>
        <w:rPr>
          <w:sz w:val="21"/>
          <w:vertAlign w:val="baseline"/>
        </w:rPr>
        <w:t>roles</w:t>
      </w:r>
      <w:r>
        <w:rPr>
          <w:spacing w:val="-5"/>
          <w:sz w:val="21"/>
          <w:vertAlign w:val="baseline"/>
        </w:rPr>
        <w:t> </w:t>
      </w:r>
      <w:r>
        <w:rPr>
          <w:sz w:val="21"/>
          <w:vertAlign w:val="baseline"/>
        </w:rPr>
        <w:t>and</w:t>
      </w:r>
      <w:r>
        <w:rPr>
          <w:spacing w:val="-4"/>
          <w:sz w:val="21"/>
          <w:vertAlign w:val="baseline"/>
        </w:rPr>
        <w:t> </w:t>
      </w:r>
      <w:r>
        <w:rPr>
          <w:sz w:val="21"/>
          <w:vertAlign w:val="baseline"/>
        </w:rPr>
        <w:t>expectations,</w:t>
      </w:r>
      <w:r>
        <w:rPr>
          <w:spacing w:val="-4"/>
          <w:sz w:val="21"/>
          <w:vertAlign w:val="baseline"/>
        </w:rPr>
        <w:t> </w:t>
      </w:r>
      <w:r>
        <w:rPr>
          <w:sz w:val="21"/>
          <w:vertAlign w:val="baseline"/>
        </w:rPr>
        <w:t>and</w:t>
      </w:r>
      <w:r>
        <w:rPr>
          <w:spacing w:val="-5"/>
          <w:sz w:val="21"/>
          <w:vertAlign w:val="baseline"/>
        </w:rPr>
        <w:t> </w:t>
      </w:r>
      <w:r>
        <w:rPr>
          <w:sz w:val="21"/>
          <w:vertAlign w:val="baseline"/>
        </w:rPr>
        <w:t>compensations</w:t>
      </w:r>
      <w:r>
        <w:rPr>
          <w:spacing w:val="-5"/>
          <w:sz w:val="21"/>
          <w:vertAlign w:val="baseline"/>
        </w:rPr>
        <w:t> </w:t>
      </w:r>
      <w:r>
        <w:rPr>
          <w:sz w:val="21"/>
          <w:vertAlign w:val="baseline"/>
        </w:rPr>
        <w:t>that</w:t>
      </w:r>
      <w:r>
        <w:rPr>
          <w:spacing w:val="-6"/>
          <w:sz w:val="21"/>
          <w:vertAlign w:val="baseline"/>
        </w:rPr>
        <w:t> </w:t>
      </w:r>
      <w:r>
        <w:rPr>
          <w:sz w:val="21"/>
          <w:vertAlign w:val="baseline"/>
        </w:rPr>
        <w:t>acknowledge</w:t>
      </w:r>
      <w:r>
        <w:rPr>
          <w:spacing w:val="-4"/>
          <w:sz w:val="21"/>
          <w:vertAlign w:val="baseline"/>
        </w:rPr>
        <w:t> </w:t>
      </w:r>
      <w:r>
        <w:rPr>
          <w:sz w:val="21"/>
          <w:vertAlign w:val="baseline"/>
        </w:rPr>
        <w:t>the</w:t>
      </w:r>
      <w:r>
        <w:rPr>
          <w:spacing w:val="-4"/>
          <w:sz w:val="21"/>
          <w:vertAlign w:val="baseline"/>
        </w:rPr>
        <w:t> </w:t>
      </w:r>
      <w:r>
        <w:rPr>
          <w:sz w:val="21"/>
          <w:vertAlign w:val="baseline"/>
        </w:rPr>
        <w:t>value</w:t>
      </w:r>
      <w:r>
        <w:rPr>
          <w:spacing w:val="-5"/>
          <w:sz w:val="21"/>
          <w:vertAlign w:val="baseline"/>
        </w:rPr>
        <w:t> </w:t>
      </w:r>
      <w:r>
        <w:rPr>
          <w:sz w:val="21"/>
          <w:vertAlign w:val="baseline"/>
        </w:rPr>
        <w:t>of</w:t>
      </w:r>
      <w:r>
        <w:rPr>
          <w:spacing w:val="-5"/>
          <w:sz w:val="21"/>
          <w:vertAlign w:val="baseline"/>
        </w:rPr>
        <w:t> </w:t>
      </w:r>
      <w:r>
        <w:rPr>
          <w:sz w:val="21"/>
          <w:vertAlign w:val="baseline"/>
        </w:rPr>
        <w:t>the</w:t>
      </w:r>
      <w:r>
        <w:rPr>
          <w:spacing w:val="-4"/>
          <w:sz w:val="21"/>
          <w:vertAlign w:val="baseline"/>
        </w:rPr>
        <w:t> </w:t>
      </w:r>
      <w:r>
        <w:rPr>
          <w:sz w:val="21"/>
          <w:vertAlign w:val="baseline"/>
        </w:rPr>
        <w:t>contributions</w:t>
      </w:r>
      <w:r>
        <w:rPr>
          <w:spacing w:val="-5"/>
          <w:sz w:val="21"/>
          <w:vertAlign w:val="baseline"/>
        </w:rPr>
        <w:t> </w:t>
      </w:r>
      <w:r>
        <w:rPr>
          <w:sz w:val="21"/>
          <w:vertAlign w:val="baseline"/>
        </w:rPr>
        <w:t>made</w:t>
      </w:r>
      <w:r>
        <w:rPr>
          <w:spacing w:val="-4"/>
          <w:sz w:val="21"/>
          <w:vertAlign w:val="baseline"/>
        </w:rPr>
        <w:t> </w:t>
      </w:r>
      <w:r>
        <w:rPr>
          <w:sz w:val="21"/>
          <w:vertAlign w:val="baseline"/>
        </w:rPr>
        <w:t>by individuals with lived experience. Successful engagement requires appropriate infrastructure and resources, including</w:t>
      </w:r>
      <w:r>
        <w:rPr>
          <w:spacing w:val="-1"/>
          <w:sz w:val="21"/>
          <w:vertAlign w:val="baseline"/>
        </w:rPr>
        <w:t> </w:t>
      </w:r>
      <w:r>
        <w:rPr>
          <w:sz w:val="21"/>
          <w:vertAlign w:val="baseline"/>
        </w:rPr>
        <w:t>dedicated</w:t>
      </w:r>
      <w:r>
        <w:rPr>
          <w:spacing w:val="-1"/>
          <w:sz w:val="21"/>
          <w:vertAlign w:val="baseline"/>
        </w:rPr>
        <w:t> </w:t>
      </w:r>
      <w:r>
        <w:rPr>
          <w:sz w:val="21"/>
          <w:vertAlign w:val="baseline"/>
        </w:rPr>
        <w:t>staff</w:t>
      </w:r>
      <w:r>
        <w:rPr>
          <w:spacing w:val="-1"/>
          <w:sz w:val="21"/>
          <w:vertAlign w:val="baseline"/>
        </w:rPr>
        <w:t> </w:t>
      </w:r>
      <w:r>
        <w:rPr>
          <w:sz w:val="21"/>
          <w:vertAlign w:val="baseline"/>
        </w:rPr>
        <w:t>to</w:t>
      </w:r>
      <w:r>
        <w:rPr>
          <w:spacing w:val="-1"/>
          <w:sz w:val="21"/>
          <w:vertAlign w:val="baseline"/>
        </w:rPr>
        <w:t> </w:t>
      </w:r>
      <w:r>
        <w:rPr>
          <w:sz w:val="21"/>
          <w:vertAlign w:val="baseline"/>
        </w:rPr>
        <w:t>facilitate</w:t>
      </w:r>
      <w:r>
        <w:rPr>
          <w:spacing w:val="-1"/>
          <w:sz w:val="21"/>
          <w:vertAlign w:val="baseline"/>
        </w:rPr>
        <w:t> </w:t>
      </w:r>
      <w:r>
        <w:rPr>
          <w:sz w:val="21"/>
          <w:vertAlign w:val="baseline"/>
        </w:rPr>
        <w:t>engagement,</w:t>
      </w:r>
      <w:r>
        <w:rPr>
          <w:spacing w:val="-1"/>
          <w:sz w:val="21"/>
          <w:vertAlign w:val="baseline"/>
        </w:rPr>
        <w:t> </w:t>
      </w:r>
      <w:r>
        <w:rPr>
          <w:sz w:val="21"/>
          <w:vertAlign w:val="baseline"/>
        </w:rPr>
        <w:t>adequate</w:t>
      </w:r>
      <w:r>
        <w:rPr>
          <w:spacing w:val="-1"/>
          <w:sz w:val="21"/>
          <w:vertAlign w:val="baseline"/>
        </w:rPr>
        <w:t> </w:t>
      </w:r>
      <w:r>
        <w:rPr>
          <w:sz w:val="21"/>
          <w:vertAlign w:val="baseline"/>
        </w:rPr>
        <w:t>funding, and</w:t>
      </w:r>
      <w:r>
        <w:rPr>
          <w:spacing w:val="-1"/>
          <w:sz w:val="21"/>
          <w:vertAlign w:val="baseline"/>
        </w:rPr>
        <w:t> </w:t>
      </w:r>
      <w:r>
        <w:rPr>
          <w:sz w:val="21"/>
          <w:vertAlign w:val="baseline"/>
        </w:rPr>
        <w:t>support systems</w:t>
      </w:r>
      <w:r>
        <w:rPr>
          <w:spacing w:val="-1"/>
          <w:sz w:val="21"/>
          <w:vertAlign w:val="baseline"/>
        </w:rPr>
        <w:t> </w:t>
      </w:r>
      <w:r>
        <w:rPr>
          <w:sz w:val="21"/>
          <w:vertAlign w:val="baseline"/>
        </w:rPr>
        <w:t>that help mitigate risks like secondary trauma for those with lived experience. Engagements must also be culturally</w:t>
      </w:r>
      <w:r>
        <w:rPr>
          <w:spacing w:val="76"/>
          <w:sz w:val="21"/>
          <w:vertAlign w:val="baseline"/>
        </w:rPr>
        <w:t> </w:t>
      </w:r>
      <w:r>
        <w:rPr>
          <w:sz w:val="21"/>
          <w:vertAlign w:val="baseline"/>
        </w:rPr>
        <w:t>sensitive</w:t>
      </w:r>
      <w:r>
        <w:rPr>
          <w:spacing w:val="76"/>
          <w:sz w:val="21"/>
          <w:vertAlign w:val="baseline"/>
        </w:rPr>
        <w:t> </w:t>
      </w:r>
      <w:r>
        <w:rPr>
          <w:sz w:val="21"/>
          <w:vertAlign w:val="baseline"/>
        </w:rPr>
        <w:t>and</w:t>
      </w:r>
      <w:r>
        <w:rPr>
          <w:spacing w:val="76"/>
          <w:sz w:val="21"/>
          <w:vertAlign w:val="baseline"/>
        </w:rPr>
        <w:t> </w:t>
      </w:r>
      <w:r>
        <w:rPr>
          <w:sz w:val="21"/>
          <w:vertAlign w:val="baseline"/>
        </w:rPr>
        <w:t>trauma-informed,</w:t>
      </w:r>
      <w:r>
        <w:rPr>
          <w:spacing w:val="77"/>
          <w:sz w:val="21"/>
          <w:vertAlign w:val="baseline"/>
        </w:rPr>
        <w:t> </w:t>
      </w:r>
      <w:r>
        <w:rPr>
          <w:sz w:val="21"/>
          <w:vertAlign w:val="baseline"/>
        </w:rPr>
        <w:t>respecting</w:t>
      </w:r>
      <w:r>
        <w:rPr>
          <w:spacing w:val="76"/>
          <w:sz w:val="21"/>
          <w:vertAlign w:val="baseline"/>
        </w:rPr>
        <w:t> </w:t>
      </w:r>
      <w:r>
        <w:rPr>
          <w:sz w:val="21"/>
          <w:vertAlign w:val="baseline"/>
        </w:rPr>
        <w:t>the</w:t>
      </w:r>
      <w:r>
        <w:rPr>
          <w:spacing w:val="76"/>
          <w:sz w:val="21"/>
          <w:vertAlign w:val="baseline"/>
        </w:rPr>
        <w:t> </w:t>
      </w:r>
      <w:r>
        <w:rPr>
          <w:sz w:val="21"/>
          <w:vertAlign w:val="baseline"/>
        </w:rPr>
        <w:t>diverse</w:t>
      </w:r>
      <w:r>
        <w:rPr>
          <w:spacing w:val="76"/>
          <w:sz w:val="21"/>
          <w:vertAlign w:val="baseline"/>
        </w:rPr>
        <w:t> </w:t>
      </w:r>
      <w:r>
        <w:rPr>
          <w:sz w:val="21"/>
          <w:vertAlign w:val="baseline"/>
        </w:rPr>
        <w:t>backgrounds</w:t>
      </w:r>
      <w:r>
        <w:rPr>
          <w:spacing w:val="76"/>
          <w:sz w:val="21"/>
          <w:vertAlign w:val="baseline"/>
        </w:rPr>
        <w:t> </w:t>
      </w:r>
      <w:r>
        <w:rPr>
          <w:sz w:val="21"/>
          <w:vertAlign w:val="baseline"/>
        </w:rPr>
        <w:t>and</w:t>
      </w:r>
      <w:r>
        <w:rPr>
          <w:spacing w:val="76"/>
          <w:sz w:val="21"/>
          <w:vertAlign w:val="baseline"/>
        </w:rPr>
        <w:t> </w:t>
      </w:r>
      <w:r>
        <w:rPr>
          <w:sz w:val="21"/>
          <w:vertAlign w:val="baseline"/>
        </w:rPr>
        <w:t>experiences</w:t>
      </w:r>
      <w:r>
        <w:rPr>
          <w:spacing w:val="76"/>
          <w:sz w:val="21"/>
          <w:vertAlign w:val="baseline"/>
        </w:rPr>
        <w:t> </w:t>
      </w:r>
      <w:r>
        <w:rPr>
          <w:sz w:val="21"/>
          <w:vertAlign w:val="baseline"/>
        </w:rPr>
        <w:t>of</w:t>
      </w:r>
    </w:p>
    <w:p>
      <w:pPr>
        <w:spacing w:after="0" w:line="276" w:lineRule="auto"/>
        <w:jc w:val="both"/>
        <w:rPr>
          <w:sz w:val="21"/>
        </w:rPr>
        <w:sectPr>
          <w:pgSz w:w="12240" w:h="15840"/>
          <w:pgMar w:header="763" w:footer="1041" w:top="1360" w:bottom="1240" w:left="1120" w:right="1340"/>
        </w:sectPr>
      </w:pPr>
    </w:p>
    <w:p>
      <w:pPr>
        <w:spacing w:line="276" w:lineRule="auto" w:before="65"/>
        <w:ind w:left="464" w:right="239" w:firstLine="0"/>
        <w:jc w:val="both"/>
        <w:rPr>
          <w:sz w:val="21"/>
        </w:rPr>
      </w:pPr>
      <w:r>
        <w:rPr>
          <w:sz w:val="21"/>
        </w:rPr>
        <w:t>participants.</w:t>
      </w:r>
      <w:r>
        <w:rPr>
          <w:spacing w:val="-3"/>
          <w:sz w:val="21"/>
        </w:rPr>
        <w:t> </w:t>
      </w:r>
      <w:r>
        <w:rPr>
          <w:sz w:val="21"/>
        </w:rPr>
        <w:t>This</w:t>
      </w:r>
      <w:r>
        <w:rPr>
          <w:spacing w:val="-3"/>
          <w:sz w:val="21"/>
        </w:rPr>
        <w:t> </w:t>
      </w:r>
      <w:r>
        <w:rPr>
          <w:sz w:val="21"/>
        </w:rPr>
        <w:t>approach</w:t>
      </w:r>
      <w:r>
        <w:rPr>
          <w:spacing w:val="-4"/>
          <w:sz w:val="21"/>
        </w:rPr>
        <w:t> </w:t>
      </w:r>
      <w:r>
        <w:rPr>
          <w:sz w:val="21"/>
        </w:rPr>
        <w:t>not</w:t>
      </w:r>
      <w:r>
        <w:rPr>
          <w:spacing w:val="-2"/>
          <w:sz w:val="21"/>
        </w:rPr>
        <w:t> </w:t>
      </w:r>
      <w:r>
        <w:rPr>
          <w:sz w:val="21"/>
        </w:rPr>
        <w:t>only</w:t>
      </w:r>
      <w:r>
        <w:rPr>
          <w:spacing w:val="-3"/>
          <w:sz w:val="21"/>
        </w:rPr>
        <w:t> </w:t>
      </w:r>
      <w:r>
        <w:rPr>
          <w:sz w:val="21"/>
        </w:rPr>
        <w:t>enhances</w:t>
      </w:r>
      <w:r>
        <w:rPr>
          <w:spacing w:val="-3"/>
          <w:sz w:val="21"/>
        </w:rPr>
        <w:t> </w:t>
      </w:r>
      <w:r>
        <w:rPr>
          <w:sz w:val="21"/>
        </w:rPr>
        <w:t>the</w:t>
      </w:r>
      <w:r>
        <w:rPr>
          <w:spacing w:val="-3"/>
          <w:sz w:val="21"/>
        </w:rPr>
        <w:t> </w:t>
      </w:r>
      <w:r>
        <w:rPr>
          <w:sz w:val="21"/>
        </w:rPr>
        <w:t>effectiveness</w:t>
      </w:r>
      <w:r>
        <w:rPr>
          <w:spacing w:val="-4"/>
          <w:sz w:val="21"/>
        </w:rPr>
        <w:t> </w:t>
      </w:r>
      <w:r>
        <w:rPr>
          <w:sz w:val="21"/>
        </w:rPr>
        <w:t>of</w:t>
      </w:r>
      <w:r>
        <w:rPr>
          <w:spacing w:val="-3"/>
          <w:sz w:val="21"/>
        </w:rPr>
        <w:t> </w:t>
      </w:r>
      <w:r>
        <w:rPr>
          <w:sz w:val="21"/>
        </w:rPr>
        <w:t>the</w:t>
      </w:r>
      <w:r>
        <w:rPr>
          <w:spacing w:val="-3"/>
          <w:sz w:val="21"/>
        </w:rPr>
        <w:t> </w:t>
      </w:r>
      <w:r>
        <w:rPr>
          <w:sz w:val="21"/>
        </w:rPr>
        <w:t>engagement</w:t>
      </w:r>
      <w:r>
        <w:rPr>
          <w:spacing w:val="-4"/>
          <w:sz w:val="21"/>
        </w:rPr>
        <w:t> </w:t>
      </w:r>
      <w:r>
        <w:rPr>
          <w:sz w:val="21"/>
        </w:rPr>
        <w:t>but</w:t>
      </w:r>
      <w:r>
        <w:rPr>
          <w:spacing w:val="-4"/>
          <w:sz w:val="21"/>
        </w:rPr>
        <w:t> </w:t>
      </w:r>
      <w:r>
        <w:rPr>
          <w:sz w:val="21"/>
        </w:rPr>
        <w:t>also</w:t>
      </w:r>
      <w:r>
        <w:rPr>
          <w:spacing w:val="-3"/>
          <w:sz w:val="21"/>
        </w:rPr>
        <w:t> </w:t>
      </w:r>
      <w:r>
        <w:rPr>
          <w:sz w:val="21"/>
        </w:rPr>
        <w:t>fosters</w:t>
      </w:r>
      <w:r>
        <w:rPr>
          <w:spacing w:val="-3"/>
          <w:sz w:val="21"/>
        </w:rPr>
        <w:t> </w:t>
      </w:r>
      <w:r>
        <w:rPr>
          <w:sz w:val="21"/>
        </w:rPr>
        <w:t>a</w:t>
      </w:r>
      <w:r>
        <w:rPr>
          <w:spacing w:val="-3"/>
          <w:sz w:val="21"/>
        </w:rPr>
        <w:t> </w:t>
      </w:r>
      <w:r>
        <w:rPr>
          <w:sz w:val="21"/>
        </w:rPr>
        <w:t>safer environment for participants.</w:t>
      </w:r>
    </w:p>
    <w:p>
      <w:pPr>
        <w:spacing w:line="276" w:lineRule="auto" w:before="239"/>
        <w:ind w:left="464" w:right="238" w:firstLine="0"/>
        <w:jc w:val="both"/>
        <w:rPr>
          <w:sz w:val="21"/>
        </w:rPr>
      </w:pPr>
      <w:r>
        <w:rPr>
          <w:sz w:val="21"/>
        </w:rPr>
        <w:t>Engaging</w:t>
      </w:r>
      <w:r>
        <w:rPr>
          <w:spacing w:val="-3"/>
          <w:sz w:val="21"/>
        </w:rPr>
        <w:t> </w:t>
      </w:r>
      <w:r>
        <w:rPr>
          <w:sz w:val="21"/>
        </w:rPr>
        <w:t>youth</w:t>
      </w:r>
      <w:r>
        <w:rPr>
          <w:spacing w:val="-3"/>
          <w:sz w:val="21"/>
        </w:rPr>
        <w:t> </w:t>
      </w:r>
      <w:r>
        <w:rPr>
          <w:sz w:val="21"/>
        </w:rPr>
        <w:t>in</w:t>
      </w:r>
      <w:r>
        <w:rPr>
          <w:spacing w:val="-3"/>
          <w:sz w:val="21"/>
        </w:rPr>
        <w:t> </w:t>
      </w:r>
      <w:r>
        <w:rPr>
          <w:sz w:val="21"/>
        </w:rPr>
        <w:t>crafting</w:t>
      </w:r>
      <w:r>
        <w:rPr>
          <w:spacing w:val="-3"/>
          <w:sz w:val="21"/>
        </w:rPr>
        <w:t> </w:t>
      </w:r>
      <w:r>
        <w:rPr>
          <w:sz w:val="21"/>
        </w:rPr>
        <w:t>policies,</w:t>
      </w:r>
      <w:r>
        <w:rPr>
          <w:spacing w:val="-2"/>
          <w:sz w:val="21"/>
        </w:rPr>
        <w:t> </w:t>
      </w:r>
      <w:r>
        <w:rPr>
          <w:sz w:val="21"/>
        </w:rPr>
        <w:t>especially</w:t>
      </w:r>
      <w:r>
        <w:rPr>
          <w:spacing w:val="-3"/>
          <w:sz w:val="21"/>
        </w:rPr>
        <w:t> </w:t>
      </w:r>
      <w:r>
        <w:rPr>
          <w:sz w:val="21"/>
        </w:rPr>
        <w:t>those</w:t>
      </w:r>
      <w:r>
        <w:rPr>
          <w:spacing w:val="-3"/>
          <w:sz w:val="21"/>
        </w:rPr>
        <w:t> </w:t>
      </w:r>
      <w:r>
        <w:rPr>
          <w:sz w:val="21"/>
        </w:rPr>
        <w:t>related</w:t>
      </w:r>
      <w:r>
        <w:rPr>
          <w:spacing w:val="-3"/>
          <w:sz w:val="21"/>
        </w:rPr>
        <w:t> </w:t>
      </w:r>
      <w:r>
        <w:rPr>
          <w:sz w:val="21"/>
        </w:rPr>
        <w:t>to</w:t>
      </w:r>
      <w:r>
        <w:rPr>
          <w:spacing w:val="-5"/>
          <w:sz w:val="21"/>
        </w:rPr>
        <w:t> </w:t>
      </w:r>
      <w:r>
        <w:rPr>
          <w:sz w:val="21"/>
        </w:rPr>
        <w:t>juvenile</w:t>
      </w:r>
      <w:r>
        <w:rPr>
          <w:spacing w:val="-3"/>
          <w:sz w:val="21"/>
        </w:rPr>
        <w:t> </w:t>
      </w:r>
      <w:r>
        <w:rPr>
          <w:sz w:val="21"/>
        </w:rPr>
        <w:t>legal</w:t>
      </w:r>
      <w:r>
        <w:rPr>
          <w:spacing w:val="-3"/>
          <w:sz w:val="21"/>
        </w:rPr>
        <w:t> </w:t>
      </w:r>
      <w:r>
        <w:rPr>
          <w:sz w:val="21"/>
        </w:rPr>
        <w:t>reform,</w:t>
      </w:r>
      <w:r>
        <w:rPr>
          <w:spacing w:val="-2"/>
          <w:sz w:val="21"/>
        </w:rPr>
        <w:t> </w:t>
      </w:r>
      <w:r>
        <w:rPr>
          <w:sz w:val="21"/>
        </w:rPr>
        <w:t>is</w:t>
      </w:r>
      <w:r>
        <w:rPr>
          <w:spacing w:val="-3"/>
          <w:sz w:val="21"/>
        </w:rPr>
        <w:t> </w:t>
      </w:r>
      <w:r>
        <w:rPr>
          <w:sz w:val="21"/>
        </w:rPr>
        <w:t>crucial</w:t>
      </w:r>
      <w:r>
        <w:rPr>
          <w:spacing w:val="-3"/>
          <w:sz w:val="21"/>
        </w:rPr>
        <w:t> </w:t>
      </w:r>
      <w:r>
        <w:rPr>
          <w:sz w:val="21"/>
        </w:rPr>
        <w:t>because</w:t>
      </w:r>
      <w:r>
        <w:rPr>
          <w:spacing w:val="-3"/>
          <w:sz w:val="21"/>
        </w:rPr>
        <w:t> </w:t>
      </w:r>
      <w:r>
        <w:rPr>
          <w:sz w:val="21"/>
        </w:rPr>
        <w:t>they are often the most directly affected by these policies.</w:t>
      </w:r>
      <w:hyperlink w:history="true" w:anchor="_bookmark529">
        <w:r>
          <w:rPr>
            <w:sz w:val="21"/>
            <w:vertAlign w:val="superscript"/>
          </w:rPr>
          <w:t>213</w:t>
        </w:r>
      </w:hyperlink>
      <w:r>
        <w:rPr>
          <w:spacing w:val="-2"/>
          <w:sz w:val="21"/>
          <w:vertAlign w:val="baseline"/>
        </w:rPr>
        <w:t> </w:t>
      </w:r>
      <w:r>
        <w:rPr>
          <w:sz w:val="21"/>
          <w:vertAlign w:val="baseline"/>
        </w:rPr>
        <w:t>Young people bring invaluable assets to reform efforts,</w:t>
      </w:r>
      <w:r>
        <w:rPr>
          <w:spacing w:val="-9"/>
          <w:sz w:val="21"/>
          <w:vertAlign w:val="baseline"/>
        </w:rPr>
        <w:t> </w:t>
      </w:r>
      <w:r>
        <w:rPr>
          <w:sz w:val="21"/>
          <w:vertAlign w:val="baseline"/>
        </w:rPr>
        <w:t>such</w:t>
      </w:r>
      <w:r>
        <w:rPr>
          <w:spacing w:val="-9"/>
          <w:sz w:val="21"/>
          <w:vertAlign w:val="baseline"/>
        </w:rPr>
        <w:t> </w:t>
      </w:r>
      <w:r>
        <w:rPr>
          <w:sz w:val="21"/>
          <w:vertAlign w:val="baseline"/>
        </w:rPr>
        <w:t>as</w:t>
      </w:r>
      <w:r>
        <w:rPr>
          <w:spacing w:val="-9"/>
          <w:sz w:val="21"/>
          <w:vertAlign w:val="baseline"/>
        </w:rPr>
        <w:t> </w:t>
      </w:r>
      <w:r>
        <w:rPr>
          <w:sz w:val="21"/>
          <w:vertAlign w:val="baseline"/>
        </w:rPr>
        <w:t>unique</w:t>
      </w:r>
      <w:r>
        <w:rPr>
          <w:spacing w:val="-9"/>
          <w:sz w:val="21"/>
          <w:vertAlign w:val="baseline"/>
        </w:rPr>
        <w:t> </w:t>
      </w:r>
      <w:r>
        <w:rPr>
          <w:sz w:val="21"/>
          <w:vertAlign w:val="baseline"/>
        </w:rPr>
        <w:t>perspectives</w:t>
      </w:r>
      <w:r>
        <w:rPr>
          <w:spacing w:val="-9"/>
          <w:sz w:val="21"/>
          <w:vertAlign w:val="baseline"/>
        </w:rPr>
        <w:t> </w:t>
      </w:r>
      <w:r>
        <w:rPr>
          <w:sz w:val="21"/>
          <w:vertAlign w:val="baseline"/>
        </w:rPr>
        <w:t>derived</w:t>
      </w:r>
      <w:r>
        <w:rPr>
          <w:spacing w:val="-9"/>
          <w:sz w:val="21"/>
          <w:vertAlign w:val="baseline"/>
        </w:rPr>
        <w:t> </w:t>
      </w:r>
      <w:r>
        <w:rPr>
          <w:sz w:val="21"/>
          <w:vertAlign w:val="baseline"/>
        </w:rPr>
        <w:t>from</w:t>
      </w:r>
      <w:r>
        <w:rPr>
          <w:spacing w:val="-9"/>
          <w:sz w:val="21"/>
          <w:vertAlign w:val="baseline"/>
        </w:rPr>
        <w:t> </w:t>
      </w:r>
      <w:r>
        <w:rPr>
          <w:sz w:val="21"/>
          <w:vertAlign w:val="baseline"/>
        </w:rPr>
        <w:t>personal</w:t>
      </w:r>
      <w:r>
        <w:rPr>
          <w:spacing w:val="-9"/>
          <w:sz w:val="21"/>
          <w:vertAlign w:val="baseline"/>
        </w:rPr>
        <w:t> </w:t>
      </w:r>
      <w:r>
        <w:rPr>
          <w:sz w:val="21"/>
          <w:vertAlign w:val="baseline"/>
        </w:rPr>
        <w:t>experience,</w:t>
      </w:r>
      <w:r>
        <w:rPr>
          <w:spacing w:val="-9"/>
          <w:sz w:val="21"/>
          <w:vertAlign w:val="baseline"/>
        </w:rPr>
        <w:t> </w:t>
      </w:r>
      <w:r>
        <w:rPr>
          <w:sz w:val="21"/>
          <w:vertAlign w:val="baseline"/>
        </w:rPr>
        <w:t>passion,</w:t>
      </w:r>
      <w:r>
        <w:rPr>
          <w:spacing w:val="-9"/>
          <w:sz w:val="21"/>
          <w:vertAlign w:val="baseline"/>
        </w:rPr>
        <w:t> </w:t>
      </w:r>
      <w:r>
        <w:rPr>
          <w:sz w:val="21"/>
          <w:vertAlign w:val="baseline"/>
        </w:rPr>
        <w:t>and</w:t>
      </w:r>
      <w:r>
        <w:rPr>
          <w:spacing w:val="-9"/>
          <w:sz w:val="21"/>
          <w:vertAlign w:val="baseline"/>
        </w:rPr>
        <w:t> </w:t>
      </w:r>
      <w:r>
        <w:rPr>
          <w:sz w:val="21"/>
          <w:vertAlign w:val="baseline"/>
        </w:rPr>
        <w:t>creativity.</w:t>
      </w:r>
      <w:r>
        <w:rPr>
          <w:spacing w:val="-9"/>
          <w:sz w:val="21"/>
          <w:vertAlign w:val="baseline"/>
        </w:rPr>
        <w:t> </w:t>
      </w:r>
      <w:r>
        <w:rPr>
          <w:sz w:val="21"/>
          <w:vertAlign w:val="baseline"/>
        </w:rPr>
        <w:t>When</w:t>
      </w:r>
      <w:r>
        <w:rPr>
          <w:spacing w:val="-9"/>
          <w:sz w:val="21"/>
          <w:vertAlign w:val="baseline"/>
        </w:rPr>
        <w:t> </w:t>
      </w:r>
      <w:r>
        <w:rPr>
          <w:sz w:val="21"/>
          <w:vertAlign w:val="baseline"/>
        </w:rPr>
        <w:t>youth are involved, they not only contribute to the development of more effective and relevant policies but</w:t>
      </w:r>
      <w:r>
        <w:rPr>
          <w:spacing w:val="-1"/>
          <w:sz w:val="21"/>
          <w:vertAlign w:val="baseline"/>
        </w:rPr>
        <w:t> </w:t>
      </w:r>
      <w:r>
        <w:rPr>
          <w:sz w:val="21"/>
          <w:vertAlign w:val="baseline"/>
        </w:rPr>
        <w:t>also gain personal growth opportunities that help them develop into responsible, active members of their communities. The engagement of youth in policymaking helps break stereotypes and compels a broader audience</w:t>
      </w:r>
      <w:r>
        <w:rPr>
          <w:spacing w:val="-7"/>
          <w:sz w:val="21"/>
          <w:vertAlign w:val="baseline"/>
        </w:rPr>
        <w:t> </w:t>
      </w:r>
      <w:r>
        <w:rPr>
          <w:sz w:val="21"/>
          <w:vertAlign w:val="baseline"/>
        </w:rPr>
        <w:t>to</w:t>
      </w:r>
      <w:r>
        <w:rPr>
          <w:spacing w:val="-7"/>
          <w:sz w:val="21"/>
          <w:vertAlign w:val="baseline"/>
        </w:rPr>
        <w:t> </w:t>
      </w:r>
      <w:r>
        <w:rPr>
          <w:sz w:val="21"/>
          <w:vertAlign w:val="baseline"/>
        </w:rPr>
        <w:t>confront</w:t>
      </w:r>
      <w:r>
        <w:rPr>
          <w:spacing w:val="-6"/>
          <w:sz w:val="21"/>
          <w:vertAlign w:val="baseline"/>
        </w:rPr>
        <w:t> </w:t>
      </w:r>
      <w:r>
        <w:rPr>
          <w:sz w:val="21"/>
          <w:vertAlign w:val="baseline"/>
        </w:rPr>
        <w:t>the</w:t>
      </w:r>
      <w:r>
        <w:rPr>
          <w:spacing w:val="-7"/>
          <w:sz w:val="21"/>
          <w:vertAlign w:val="baseline"/>
        </w:rPr>
        <w:t> </w:t>
      </w:r>
      <w:r>
        <w:rPr>
          <w:sz w:val="21"/>
          <w:vertAlign w:val="baseline"/>
        </w:rPr>
        <w:t>realities</w:t>
      </w:r>
      <w:r>
        <w:rPr>
          <w:spacing w:val="-7"/>
          <w:sz w:val="21"/>
          <w:vertAlign w:val="baseline"/>
        </w:rPr>
        <w:t> </w:t>
      </w:r>
      <w:r>
        <w:rPr>
          <w:sz w:val="21"/>
          <w:vertAlign w:val="baseline"/>
        </w:rPr>
        <w:t>of</w:t>
      </w:r>
      <w:r>
        <w:rPr>
          <w:spacing w:val="-7"/>
          <w:sz w:val="21"/>
          <w:vertAlign w:val="baseline"/>
        </w:rPr>
        <w:t> </w:t>
      </w:r>
      <w:r>
        <w:rPr>
          <w:sz w:val="21"/>
          <w:vertAlign w:val="baseline"/>
        </w:rPr>
        <w:t>the</w:t>
      </w:r>
      <w:r>
        <w:rPr>
          <w:spacing w:val="-7"/>
          <w:sz w:val="21"/>
          <w:vertAlign w:val="baseline"/>
        </w:rPr>
        <w:t> </w:t>
      </w:r>
      <w:r>
        <w:rPr>
          <w:sz w:val="21"/>
          <w:vertAlign w:val="baseline"/>
        </w:rPr>
        <w:t>juvenile</w:t>
      </w:r>
      <w:r>
        <w:rPr>
          <w:spacing w:val="-7"/>
          <w:sz w:val="21"/>
          <w:vertAlign w:val="baseline"/>
        </w:rPr>
        <w:t> </w:t>
      </w:r>
      <w:r>
        <w:rPr>
          <w:sz w:val="21"/>
          <w:vertAlign w:val="baseline"/>
        </w:rPr>
        <w:t>justice</w:t>
      </w:r>
      <w:r>
        <w:rPr>
          <w:spacing w:val="-7"/>
          <w:sz w:val="21"/>
          <w:vertAlign w:val="baseline"/>
        </w:rPr>
        <w:t> </w:t>
      </w:r>
      <w:r>
        <w:rPr>
          <w:sz w:val="21"/>
          <w:vertAlign w:val="baseline"/>
        </w:rPr>
        <w:t>system</w:t>
      </w:r>
      <w:r>
        <w:rPr>
          <w:spacing w:val="-6"/>
          <w:sz w:val="21"/>
          <w:vertAlign w:val="baseline"/>
        </w:rPr>
        <w:t> </w:t>
      </w:r>
      <w:r>
        <w:rPr>
          <w:sz w:val="21"/>
          <w:vertAlign w:val="baseline"/>
        </w:rPr>
        <w:t>and</w:t>
      </w:r>
      <w:r>
        <w:rPr>
          <w:spacing w:val="-7"/>
          <w:sz w:val="21"/>
          <w:vertAlign w:val="baseline"/>
        </w:rPr>
        <w:t> </w:t>
      </w:r>
      <w:r>
        <w:rPr>
          <w:sz w:val="21"/>
          <w:vertAlign w:val="baseline"/>
        </w:rPr>
        <w:t>its</w:t>
      </w:r>
      <w:r>
        <w:rPr>
          <w:spacing w:val="-7"/>
          <w:sz w:val="21"/>
          <w:vertAlign w:val="baseline"/>
        </w:rPr>
        <w:t> </w:t>
      </w:r>
      <w:r>
        <w:rPr>
          <w:sz w:val="21"/>
          <w:vertAlign w:val="baseline"/>
        </w:rPr>
        <w:t>impact</w:t>
      </w:r>
      <w:r>
        <w:rPr>
          <w:spacing w:val="-7"/>
          <w:sz w:val="21"/>
          <w:vertAlign w:val="baseline"/>
        </w:rPr>
        <w:t> </w:t>
      </w:r>
      <w:r>
        <w:rPr>
          <w:sz w:val="21"/>
          <w:vertAlign w:val="baseline"/>
        </w:rPr>
        <w:t>on</w:t>
      </w:r>
      <w:r>
        <w:rPr>
          <w:spacing w:val="-7"/>
          <w:sz w:val="21"/>
          <w:vertAlign w:val="baseline"/>
        </w:rPr>
        <w:t> </w:t>
      </w:r>
      <w:r>
        <w:rPr>
          <w:sz w:val="21"/>
          <w:vertAlign w:val="baseline"/>
        </w:rPr>
        <w:t>real</w:t>
      </w:r>
      <w:r>
        <w:rPr>
          <w:spacing w:val="-7"/>
          <w:sz w:val="21"/>
          <w:vertAlign w:val="baseline"/>
        </w:rPr>
        <w:t> </w:t>
      </w:r>
      <w:r>
        <w:rPr>
          <w:sz w:val="21"/>
          <w:vertAlign w:val="baseline"/>
        </w:rPr>
        <w:t>lives.</w:t>
      </w:r>
      <w:r>
        <w:rPr>
          <w:spacing w:val="-7"/>
          <w:sz w:val="21"/>
          <w:vertAlign w:val="baseline"/>
        </w:rPr>
        <w:t> </w:t>
      </w:r>
      <w:r>
        <w:rPr>
          <w:sz w:val="21"/>
          <w:vertAlign w:val="baseline"/>
        </w:rPr>
        <w:t>Providing</w:t>
      </w:r>
      <w:r>
        <w:rPr>
          <w:spacing w:val="-7"/>
          <w:sz w:val="21"/>
          <w:vertAlign w:val="baseline"/>
        </w:rPr>
        <w:t> </w:t>
      </w:r>
      <w:r>
        <w:rPr>
          <w:sz w:val="21"/>
          <w:vertAlign w:val="baseline"/>
        </w:rPr>
        <w:t>youth with platforms to advocate for change enables them to influence systemic reform meaningfully. This involvement</w:t>
      </w:r>
      <w:r>
        <w:rPr>
          <w:spacing w:val="-12"/>
          <w:sz w:val="21"/>
          <w:vertAlign w:val="baseline"/>
        </w:rPr>
        <w:t> </w:t>
      </w:r>
      <w:r>
        <w:rPr>
          <w:sz w:val="21"/>
          <w:vertAlign w:val="baseline"/>
        </w:rPr>
        <w:t>enhances</w:t>
      </w:r>
      <w:r>
        <w:rPr>
          <w:spacing w:val="-12"/>
          <w:sz w:val="21"/>
          <w:vertAlign w:val="baseline"/>
        </w:rPr>
        <w:t> </w:t>
      </w:r>
      <w:r>
        <w:rPr>
          <w:sz w:val="21"/>
          <w:vertAlign w:val="baseline"/>
        </w:rPr>
        <w:t>their</w:t>
      </w:r>
      <w:r>
        <w:rPr>
          <w:spacing w:val="-12"/>
          <w:sz w:val="21"/>
          <w:vertAlign w:val="baseline"/>
        </w:rPr>
        <w:t> </w:t>
      </w:r>
      <w:r>
        <w:rPr>
          <w:sz w:val="21"/>
          <w:vertAlign w:val="baseline"/>
        </w:rPr>
        <w:t>self-efficacy</w:t>
      </w:r>
      <w:r>
        <w:rPr>
          <w:spacing w:val="-12"/>
          <w:sz w:val="21"/>
          <w:vertAlign w:val="baseline"/>
        </w:rPr>
        <w:t> </w:t>
      </w:r>
      <w:r>
        <w:rPr>
          <w:sz w:val="21"/>
          <w:vertAlign w:val="baseline"/>
        </w:rPr>
        <w:t>and</w:t>
      </w:r>
      <w:r>
        <w:rPr>
          <w:spacing w:val="-12"/>
          <w:sz w:val="21"/>
          <w:vertAlign w:val="baseline"/>
        </w:rPr>
        <w:t> </w:t>
      </w:r>
      <w:r>
        <w:rPr>
          <w:sz w:val="21"/>
          <w:vertAlign w:val="baseline"/>
        </w:rPr>
        <w:t>connectedness</w:t>
      </w:r>
      <w:r>
        <w:rPr>
          <w:spacing w:val="-12"/>
          <w:sz w:val="21"/>
          <w:vertAlign w:val="baseline"/>
        </w:rPr>
        <w:t> </w:t>
      </w:r>
      <w:r>
        <w:rPr>
          <w:sz w:val="21"/>
          <w:vertAlign w:val="baseline"/>
        </w:rPr>
        <w:t>to</w:t>
      </w:r>
      <w:r>
        <w:rPr>
          <w:spacing w:val="-12"/>
          <w:sz w:val="21"/>
          <w:vertAlign w:val="baseline"/>
        </w:rPr>
        <w:t> </w:t>
      </w:r>
      <w:r>
        <w:rPr>
          <w:sz w:val="21"/>
          <w:vertAlign w:val="baseline"/>
        </w:rPr>
        <w:t>their</w:t>
      </w:r>
      <w:r>
        <w:rPr>
          <w:spacing w:val="-11"/>
          <w:sz w:val="21"/>
          <w:vertAlign w:val="baseline"/>
        </w:rPr>
        <w:t> </w:t>
      </w:r>
      <w:r>
        <w:rPr>
          <w:sz w:val="21"/>
          <w:vertAlign w:val="baseline"/>
        </w:rPr>
        <w:t>communities,</w:t>
      </w:r>
      <w:r>
        <w:rPr>
          <w:spacing w:val="-12"/>
          <w:sz w:val="21"/>
          <w:vertAlign w:val="baseline"/>
        </w:rPr>
        <w:t> </w:t>
      </w:r>
      <w:r>
        <w:rPr>
          <w:sz w:val="21"/>
          <w:vertAlign w:val="baseline"/>
        </w:rPr>
        <w:t>offering</w:t>
      </w:r>
      <w:r>
        <w:rPr>
          <w:spacing w:val="-12"/>
          <w:sz w:val="21"/>
          <w:vertAlign w:val="baseline"/>
        </w:rPr>
        <w:t> </w:t>
      </w:r>
      <w:r>
        <w:rPr>
          <w:sz w:val="21"/>
          <w:vertAlign w:val="baseline"/>
        </w:rPr>
        <w:t>them</w:t>
      </w:r>
      <w:r>
        <w:rPr>
          <w:spacing w:val="-11"/>
          <w:sz w:val="21"/>
          <w:vertAlign w:val="baseline"/>
        </w:rPr>
        <w:t> </w:t>
      </w:r>
      <w:r>
        <w:rPr>
          <w:sz w:val="21"/>
          <w:vertAlign w:val="baseline"/>
        </w:rPr>
        <w:t>significant leadership and advocacy experiences that foster their development into capable adults.</w:t>
      </w:r>
      <w:hyperlink w:history="true" w:anchor="_bookmark530">
        <w:r>
          <w:rPr>
            <w:sz w:val="21"/>
            <w:vertAlign w:val="superscript"/>
          </w:rPr>
          <w:t>214</w:t>
        </w:r>
      </w:hyperlink>
      <w:r>
        <w:rPr>
          <w:spacing w:val="-1"/>
          <w:sz w:val="21"/>
          <w:vertAlign w:val="baseline"/>
        </w:rPr>
        <w:t> </w:t>
      </w:r>
      <w:r>
        <w:rPr>
          <w:sz w:val="21"/>
          <w:vertAlign w:val="baseline"/>
        </w:rPr>
        <w:t>To the extent possible, organizations that rely on youth with lived experience should offer them the option to include their advocacy or research contributions for the organization on any future employment documents, including resumes, and support them with recommendations for additional future opportunities.</w:t>
      </w:r>
    </w:p>
    <w:p>
      <w:pPr>
        <w:spacing w:line="276" w:lineRule="auto" w:before="241"/>
        <w:ind w:left="464" w:right="238" w:firstLine="0"/>
        <w:jc w:val="both"/>
        <w:rPr>
          <w:sz w:val="21"/>
        </w:rPr>
      </w:pPr>
      <w:r>
        <w:rPr>
          <w:sz w:val="21"/>
        </w:rPr>
        <w:t>Moreover, youth involvement in policy reform aligns with the principles of youth development, which advocate for young people to feel connected to and responsible for their community's well-being. By engaging youth, not only are the policies improved, but the youth themselves benefit from the empowerment</w:t>
      </w:r>
      <w:r>
        <w:rPr>
          <w:spacing w:val="-1"/>
          <w:sz w:val="21"/>
        </w:rPr>
        <w:t> </w:t>
      </w:r>
      <w:r>
        <w:rPr>
          <w:sz w:val="21"/>
        </w:rPr>
        <w:t>and</w:t>
      </w:r>
      <w:r>
        <w:rPr>
          <w:spacing w:val="-3"/>
          <w:sz w:val="21"/>
        </w:rPr>
        <w:t> </w:t>
      </w:r>
      <w:r>
        <w:rPr>
          <w:sz w:val="21"/>
        </w:rPr>
        <w:t>skills</w:t>
      </w:r>
      <w:r>
        <w:rPr>
          <w:spacing w:val="-2"/>
          <w:sz w:val="21"/>
        </w:rPr>
        <w:t> </w:t>
      </w:r>
      <w:r>
        <w:rPr>
          <w:sz w:val="21"/>
        </w:rPr>
        <w:t>they</w:t>
      </w:r>
      <w:r>
        <w:rPr>
          <w:spacing w:val="-2"/>
          <w:sz w:val="21"/>
        </w:rPr>
        <w:t> </w:t>
      </w:r>
      <w:r>
        <w:rPr>
          <w:sz w:val="21"/>
        </w:rPr>
        <w:t>gain</w:t>
      </w:r>
      <w:r>
        <w:rPr>
          <w:spacing w:val="-2"/>
          <w:sz w:val="21"/>
        </w:rPr>
        <w:t> </w:t>
      </w:r>
      <w:r>
        <w:rPr>
          <w:sz w:val="21"/>
        </w:rPr>
        <w:t>through</w:t>
      </w:r>
      <w:r>
        <w:rPr>
          <w:spacing w:val="-2"/>
          <w:sz w:val="21"/>
        </w:rPr>
        <w:t> </w:t>
      </w:r>
      <w:r>
        <w:rPr>
          <w:sz w:val="21"/>
        </w:rPr>
        <w:t>active</w:t>
      </w:r>
      <w:r>
        <w:rPr>
          <w:spacing w:val="-2"/>
          <w:sz w:val="21"/>
        </w:rPr>
        <w:t> </w:t>
      </w:r>
      <w:r>
        <w:rPr>
          <w:sz w:val="21"/>
        </w:rPr>
        <w:t>participation.</w:t>
      </w:r>
      <w:r>
        <w:rPr>
          <w:spacing w:val="-2"/>
          <w:sz w:val="21"/>
        </w:rPr>
        <w:t> </w:t>
      </w:r>
      <w:r>
        <w:rPr>
          <w:sz w:val="21"/>
        </w:rPr>
        <w:t>This</w:t>
      </w:r>
      <w:r>
        <w:rPr>
          <w:spacing w:val="-2"/>
          <w:sz w:val="21"/>
        </w:rPr>
        <w:t> </w:t>
      </w:r>
      <w:r>
        <w:rPr>
          <w:sz w:val="21"/>
        </w:rPr>
        <w:t>approach</w:t>
      </w:r>
      <w:r>
        <w:rPr>
          <w:spacing w:val="-2"/>
          <w:sz w:val="21"/>
        </w:rPr>
        <w:t> </w:t>
      </w:r>
      <w:r>
        <w:rPr>
          <w:sz w:val="21"/>
        </w:rPr>
        <w:t>challenges</w:t>
      </w:r>
      <w:r>
        <w:rPr>
          <w:spacing w:val="-2"/>
          <w:sz w:val="21"/>
        </w:rPr>
        <w:t> </w:t>
      </w:r>
      <w:r>
        <w:rPr>
          <w:sz w:val="21"/>
        </w:rPr>
        <w:t>traditional</w:t>
      </w:r>
      <w:r>
        <w:rPr>
          <w:spacing w:val="-2"/>
          <w:sz w:val="21"/>
        </w:rPr>
        <w:t> </w:t>
      </w:r>
      <w:r>
        <w:rPr>
          <w:sz w:val="21"/>
        </w:rPr>
        <w:t>views of system-involved youth, recognizing them as valuable contributors rather than just offenders. And data shows</w:t>
      </w:r>
      <w:r>
        <w:rPr>
          <w:spacing w:val="-8"/>
          <w:sz w:val="21"/>
        </w:rPr>
        <w:t> </w:t>
      </w:r>
      <w:r>
        <w:rPr>
          <w:sz w:val="21"/>
        </w:rPr>
        <w:t>that</w:t>
      </w:r>
      <w:r>
        <w:rPr>
          <w:spacing w:val="-7"/>
          <w:sz w:val="21"/>
        </w:rPr>
        <w:t> </w:t>
      </w:r>
      <w:r>
        <w:rPr>
          <w:sz w:val="21"/>
        </w:rPr>
        <w:t>programs</w:t>
      </w:r>
      <w:r>
        <w:rPr>
          <w:spacing w:val="-8"/>
          <w:sz w:val="21"/>
        </w:rPr>
        <w:t> </w:t>
      </w:r>
      <w:r>
        <w:rPr>
          <w:sz w:val="21"/>
        </w:rPr>
        <w:t>integrating</w:t>
      </w:r>
      <w:r>
        <w:rPr>
          <w:spacing w:val="-8"/>
          <w:sz w:val="21"/>
        </w:rPr>
        <w:t> </w:t>
      </w:r>
      <w:r>
        <w:rPr>
          <w:sz w:val="21"/>
        </w:rPr>
        <w:t>lived</w:t>
      </w:r>
      <w:r>
        <w:rPr>
          <w:spacing w:val="-8"/>
          <w:sz w:val="21"/>
        </w:rPr>
        <w:t> </w:t>
      </w:r>
      <w:r>
        <w:rPr>
          <w:sz w:val="21"/>
        </w:rPr>
        <w:t>experience</w:t>
      </w:r>
      <w:r>
        <w:rPr>
          <w:spacing w:val="-8"/>
          <w:sz w:val="21"/>
        </w:rPr>
        <w:t> </w:t>
      </w:r>
      <w:r>
        <w:rPr>
          <w:sz w:val="21"/>
        </w:rPr>
        <w:t>not</w:t>
      </w:r>
      <w:r>
        <w:rPr>
          <w:spacing w:val="-7"/>
          <w:sz w:val="21"/>
        </w:rPr>
        <w:t> </w:t>
      </w:r>
      <w:r>
        <w:rPr>
          <w:sz w:val="21"/>
        </w:rPr>
        <w:t>only</w:t>
      </w:r>
      <w:r>
        <w:rPr>
          <w:spacing w:val="-8"/>
          <w:sz w:val="21"/>
        </w:rPr>
        <w:t> </w:t>
      </w:r>
      <w:r>
        <w:rPr>
          <w:sz w:val="21"/>
        </w:rPr>
        <w:t>result</w:t>
      </w:r>
      <w:r>
        <w:rPr>
          <w:spacing w:val="-7"/>
          <w:sz w:val="21"/>
        </w:rPr>
        <w:t> </w:t>
      </w:r>
      <w:r>
        <w:rPr>
          <w:sz w:val="21"/>
        </w:rPr>
        <w:t>in</w:t>
      </w:r>
      <w:r>
        <w:rPr>
          <w:spacing w:val="-8"/>
          <w:sz w:val="21"/>
        </w:rPr>
        <w:t> </w:t>
      </w:r>
      <w:r>
        <w:rPr>
          <w:sz w:val="21"/>
        </w:rPr>
        <w:t>better</w:t>
      </w:r>
      <w:r>
        <w:rPr>
          <w:spacing w:val="-8"/>
          <w:sz w:val="21"/>
        </w:rPr>
        <w:t> </w:t>
      </w:r>
      <w:r>
        <w:rPr>
          <w:sz w:val="21"/>
        </w:rPr>
        <w:t>outcomes</w:t>
      </w:r>
      <w:r>
        <w:rPr>
          <w:spacing w:val="-8"/>
          <w:sz w:val="21"/>
        </w:rPr>
        <w:t> </w:t>
      </w:r>
      <w:r>
        <w:rPr>
          <w:sz w:val="21"/>
        </w:rPr>
        <w:t>but</w:t>
      </w:r>
      <w:r>
        <w:rPr>
          <w:spacing w:val="-7"/>
          <w:sz w:val="21"/>
        </w:rPr>
        <w:t> </w:t>
      </w:r>
      <w:r>
        <w:rPr>
          <w:sz w:val="21"/>
        </w:rPr>
        <w:t>also</w:t>
      </w:r>
      <w:r>
        <w:rPr>
          <w:spacing w:val="-8"/>
          <w:sz w:val="21"/>
        </w:rPr>
        <w:t> </w:t>
      </w:r>
      <w:r>
        <w:rPr>
          <w:sz w:val="21"/>
        </w:rPr>
        <w:t>foster</w:t>
      </w:r>
      <w:r>
        <w:rPr>
          <w:spacing w:val="-8"/>
          <w:sz w:val="21"/>
        </w:rPr>
        <w:t> </w:t>
      </w:r>
      <w:r>
        <w:rPr>
          <w:sz w:val="21"/>
        </w:rPr>
        <w:t>greater community trust and connectedness.</w:t>
      </w:r>
      <w:r>
        <w:rPr>
          <w:spacing w:val="-12"/>
          <w:sz w:val="21"/>
        </w:rPr>
        <w:t> </w:t>
      </w:r>
      <w:hyperlink w:history="true" w:anchor="_bookmark531">
        <w:r>
          <w:rPr>
            <w:sz w:val="21"/>
            <w:vertAlign w:val="superscript"/>
          </w:rPr>
          <w:t>215</w:t>
        </w:r>
      </w:hyperlink>
      <w:r>
        <w:rPr>
          <w:sz w:val="21"/>
          <w:vertAlign w:val="baseline"/>
        </w:rPr>
        <w:t> Youth engagement in policymaking is not just beneficial but essential for creating just effective, and empathetic juvenile and criminal legal policies and systems.</w:t>
      </w:r>
    </w:p>
    <w:p>
      <w:pPr>
        <w:pStyle w:val="BodyText"/>
        <w:spacing w:before="142"/>
        <w:rPr>
          <w:sz w:val="21"/>
        </w:rPr>
      </w:pPr>
    </w:p>
    <w:p>
      <w:pPr>
        <w:pStyle w:val="Heading8"/>
        <w:jc w:val="both"/>
      </w:pPr>
      <w:r>
        <w:rPr/>
        <mc:AlternateContent>
          <mc:Choice Requires="wps">
            <w:drawing>
              <wp:anchor distT="0" distB="0" distL="0" distR="0" allowOverlap="1" layoutInCell="1" locked="0" behindDoc="1" simplePos="0" relativeHeight="487664128">
                <wp:simplePos x="0" y="0"/>
                <wp:positionH relativeFrom="page">
                  <wp:posOffset>986789</wp:posOffset>
                </wp:positionH>
                <wp:positionV relativeFrom="paragraph">
                  <wp:posOffset>292072</wp:posOffset>
                </wp:positionV>
                <wp:extent cx="5799455" cy="6350"/>
                <wp:effectExtent l="0" t="0" r="0" b="0"/>
                <wp:wrapTopAndBottom/>
                <wp:docPr id="401" name="Graphic 401"/>
                <wp:cNvGraphicFramePr>
                  <a:graphicFrameLocks/>
                </wp:cNvGraphicFramePr>
                <a:graphic>
                  <a:graphicData uri="http://schemas.microsoft.com/office/word/2010/wordprocessingShape">
                    <wps:wsp>
                      <wps:cNvPr id="401" name="Graphic 401"/>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22.997841pt;width:456.601pt;height:.48pt;mso-position-horizontal-relative:page;mso-position-vertical-relative:paragraph;z-index:-15652352;mso-wrap-distance-left:0;mso-wrap-distance-right:0" id="docshape319" filled="true" fillcolor="#4f81bc" stroked="false">
                <v:fill type="solid"/>
                <w10:wrap type="topAndBottom"/>
              </v:rect>
            </w:pict>
          </mc:Fallback>
        </mc:AlternateContent>
      </w:r>
      <w:bookmarkStart w:name="Acknowledgments &amp; Citations" w:id="768"/>
      <w:bookmarkEnd w:id="768"/>
      <w:r>
        <w:rPr/>
      </w:r>
      <w:r>
        <w:rPr>
          <w:color w:val="365F91"/>
        </w:rPr>
        <w:t>Acknowledgments</w:t>
      </w:r>
      <w:r>
        <w:rPr>
          <w:color w:val="365F91"/>
          <w:spacing w:val="-4"/>
        </w:rPr>
        <w:t> </w:t>
      </w:r>
      <w:r>
        <w:rPr>
          <w:color w:val="365F91"/>
        </w:rPr>
        <w:t>&amp;</w:t>
      </w:r>
      <w:r>
        <w:rPr>
          <w:color w:val="365F91"/>
          <w:spacing w:val="-3"/>
        </w:rPr>
        <w:t> </w:t>
      </w:r>
      <w:r>
        <w:rPr>
          <w:color w:val="365F91"/>
          <w:spacing w:val="-2"/>
        </w:rPr>
        <w:t>Citations</w:t>
      </w:r>
    </w:p>
    <w:p>
      <w:pPr>
        <w:spacing w:before="241"/>
        <w:ind w:left="464" w:right="0" w:firstLine="0"/>
        <w:jc w:val="left"/>
        <w:rPr>
          <w:i/>
          <w:sz w:val="21"/>
        </w:rPr>
      </w:pPr>
      <w:r>
        <w:rPr>
          <w:i/>
          <w:sz w:val="21"/>
        </w:rPr>
        <w:t>Acknowledgments:</w:t>
      </w:r>
      <w:r>
        <w:rPr>
          <w:i/>
          <w:spacing w:val="-6"/>
          <w:sz w:val="21"/>
        </w:rPr>
        <w:t> </w:t>
      </w:r>
      <w:r>
        <w:rPr>
          <w:i/>
          <w:sz w:val="21"/>
        </w:rPr>
        <w:t>Kimberly</w:t>
      </w:r>
      <w:r>
        <w:rPr>
          <w:i/>
          <w:spacing w:val="-4"/>
          <w:sz w:val="21"/>
        </w:rPr>
        <w:t> </w:t>
      </w:r>
      <w:r>
        <w:rPr>
          <w:i/>
          <w:sz w:val="21"/>
        </w:rPr>
        <w:t>Rhoten,</w:t>
      </w:r>
      <w:r>
        <w:rPr>
          <w:i/>
          <w:spacing w:val="-3"/>
          <w:sz w:val="21"/>
        </w:rPr>
        <w:t> </w:t>
      </w:r>
      <w:r>
        <w:rPr>
          <w:i/>
          <w:sz w:val="21"/>
        </w:rPr>
        <w:t>lead</w:t>
      </w:r>
      <w:r>
        <w:rPr>
          <w:i/>
          <w:spacing w:val="-4"/>
          <w:sz w:val="21"/>
        </w:rPr>
        <w:t> </w:t>
      </w:r>
      <w:r>
        <w:rPr>
          <w:i/>
          <w:sz w:val="21"/>
        </w:rPr>
        <w:t>research</w:t>
      </w:r>
      <w:r>
        <w:rPr>
          <w:i/>
          <w:spacing w:val="-4"/>
          <w:sz w:val="21"/>
        </w:rPr>
        <w:t> </w:t>
      </w:r>
      <w:r>
        <w:rPr>
          <w:i/>
          <w:sz w:val="21"/>
        </w:rPr>
        <w:t>and</w:t>
      </w:r>
      <w:r>
        <w:rPr>
          <w:i/>
          <w:spacing w:val="-4"/>
          <w:sz w:val="21"/>
        </w:rPr>
        <w:t> </w:t>
      </w:r>
      <w:r>
        <w:rPr>
          <w:i/>
          <w:spacing w:val="-2"/>
          <w:sz w:val="21"/>
        </w:rPr>
        <w:t>author</w:t>
      </w:r>
    </w:p>
    <w:p>
      <w:pPr>
        <w:pStyle w:val="BodyText"/>
        <w:rPr>
          <w:i/>
          <w:sz w:val="21"/>
        </w:rPr>
      </w:pPr>
    </w:p>
    <w:p>
      <w:pPr>
        <w:pStyle w:val="BodyText"/>
        <w:spacing w:before="12"/>
        <w:rPr>
          <w:i/>
          <w:sz w:val="21"/>
        </w:rPr>
      </w:pPr>
    </w:p>
    <w:p>
      <w:pPr>
        <w:spacing w:before="0"/>
        <w:ind w:left="320" w:right="2111" w:firstLine="0"/>
        <w:jc w:val="left"/>
        <w:rPr>
          <w:sz w:val="18"/>
        </w:rPr>
      </w:pPr>
      <w:r>
        <w:rPr>
          <w:sz w:val="18"/>
          <w:vertAlign w:val="superscript"/>
        </w:rPr>
        <w:t>1</w:t>
      </w:r>
      <w:r>
        <w:rPr>
          <w:spacing w:val="-3"/>
          <w:sz w:val="18"/>
          <w:vertAlign w:val="baseline"/>
        </w:rPr>
        <w:t> </w:t>
      </w:r>
      <w:r>
        <w:rPr>
          <w:sz w:val="18"/>
          <w:vertAlign w:val="baseline"/>
        </w:rPr>
        <w:t>Vera</w:t>
      </w:r>
      <w:r>
        <w:rPr>
          <w:spacing w:val="-3"/>
          <w:sz w:val="18"/>
          <w:vertAlign w:val="baseline"/>
        </w:rPr>
        <w:t> </w:t>
      </w:r>
      <w:r>
        <w:rPr>
          <w:sz w:val="18"/>
          <w:vertAlign w:val="baseline"/>
        </w:rPr>
        <w:t>Institute</w:t>
      </w:r>
      <w:r>
        <w:rPr>
          <w:spacing w:val="-3"/>
          <w:sz w:val="18"/>
          <w:vertAlign w:val="baseline"/>
        </w:rPr>
        <w:t> </w:t>
      </w:r>
      <w:r>
        <w:rPr>
          <w:sz w:val="18"/>
          <w:vertAlign w:val="baseline"/>
        </w:rPr>
        <w:t>of</w:t>
      </w:r>
      <w:r>
        <w:rPr>
          <w:spacing w:val="-3"/>
          <w:sz w:val="18"/>
          <w:vertAlign w:val="baseline"/>
        </w:rPr>
        <w:t> </w:t>
      </w:r>
      <w:r>
        <w:rPr>
          <w:sz w:val="18"/>
          <w:vertAlign w:val="baseline"/>
        </w:rPr>
        <w:t>Justice.</w:t>
      </w:r>
      <w:r>
        <w:rPr>
          <w:spacing w:val="-3"/>
          <w:sz w:val="18"/>
          <w:vertAlign w:val="baseline"/>
        </w:rPr>
        <w:t> </w:t>
      </w:r>
      <w:r>
        <w:rPr>
          <w:sz w:val="18"/>
          <w:vertAlign w:val="baseline"/>
        </w:rPr>
        <w:t>2021.</w:t>
      </w:r>
      <w:r>
        <w:rPr>
          <w:spacing w:val="-3"/>
          <w:sz w:val="18"/>
          <w:vertAlign w:val="baseline"/>
        </w:rPr>
        <w:t> </w:t>
      </w:r>
      <w:r>
        <w:rPr>
          <w:sz w:val="18"/>
          <w:vertAlign w:val="baseline"/>
        </w:rPr>
        <w:t>“Why</w:t>
      </w:r>
      <w:r>
        <w:rPr>
          <w:spacing w:val="-3"/>
          <w:sz w:val="18"/>
          <w:vertAlign w:val="baseline"/>
        </w:rPr>
        <w:t> </w:t>
      </w:r>
      <w:r>
        <w:rPr>
          <w:sz w:val="18"/>
          <w:vertAlign w:val="baseline"/>
        </w:rPr>
        <w:t>We</w:t>
      </w:r>
      <w:r>
        <w:rPr>
          <w:spacing w:val="-3"/>
          <w:sz w:val="18"/>
          <w:vertAlign w:val="baseline"/>
        </w:rPr>
        <w:t> </w:t>
      </w:r>
      <w:r>
        <w:rPr>
          <w:sz w:val="18"/>
          <w:vertAlign w:val="baseline"/>
        </w:rPr>
        <w:t>Say,</w:t>
      </w:r>
      <w:r>
        <w:rPr>
          <w:spacing w:val="-3"/>
          <w:sz w:val="18"/>
          <w:vertAlign w:val="baseline"/>
        </w:rPr>
        <w:t> </w:t>
      </w:r>
      <w:r>
        <w:rPr>
          <w:sz w:val="18"/>
          <w:vertAlign w:val="baseline"/>
        </w:rPr>
        <w:t>‘Criminal</w:t>
      </w:r>
      <w:r>
        <w:rPr>
          <w:spacing w:val="-3"/>
          <w:sz w:val="18"/>
          <w:vertAlign w:val="baseline"/>
        </w:rPr>
        <w:t> </w:t>
      </w:r>
      <w:r>
        <w:rPr>
          <w:sz w:val="18"/>
          <w:vertAlign w:val="baseline"/>
        </w:rPr>
        <w:t>Legal</w:t>
      </w:r>
      <w:r>
        <w:rPr>
          <w:spacing w:val="-3"/>
          <w:sz w:val="18"/>
          <w:vertAlign w:val="baseline"/>
        </w:rPr>
        <w:t> </w:t>
      </w:r>
      <w:r>
        <w:rPr>
          <w:sz w:val="18"/>
          <w:vertAlign w:val="baseline"/>
        </w:rPr>
        <w:t>System,</w:t>
      </w:r>
      <w:r>
        <w:rPr>
          <w:spacing w:val="-3"/>
          <w:sz w:val="18"/>
          <w:vertAlign w:val="baseline"/>
        </w:rPr>
        <w:t> </w:t>
      </w:r>
      <w:r>
        <w:rPr>
          <w:sz w:val="18"/>
          <w:vertAlign w:val="baseline"/>
        </w:rPr>
        <w:t>Not</w:t>
      </w:r>
      <w:r>
        <w:rPr>
          <w:spacing w:val="-3"/>
          <w:sz w:val="18"/>
          <w:vertAlign w:val="baseline"/>
        </w:rPr>
        <w:t> </w:t>
      </w:r>
      <w:r>
        <w:rPr>
          <w:sz w:val="18"/>
          <w:vertAlign w:val="baseline"/>
        </w:rPr>
        <w:t>‘Criminal</w:t>
      </w:r>
      <w:r>
        <w:rPr>
          <w:spacing w:val="-4"/>
          <w:sz w:val="18"/>
          <w:vertAlign w:val="baseline"/>
        </w:rPr>
        <w:t> </w:t>
      </w:r>
      <w:r>
        <w:rPr>
          <w:sz w:val="18"/>
          <w:vertAlign w:val="baseline"/>
        </w:rPr>
        <w:t>Justice</w:t>
      </w:r>
      <w:r>
        <w:rPr>
          <w:spacing w:val="-3"/>
          <w:sz w:val="18"/>
          <w:vertAlign w:val="baseline"/>
        </w:rPr>
        <w:t> </w:t>
      </w:r>
      <w:r>
        <w:rPr>
          <w:sz w:val="18"/>
          <w:vertAlign w:val="baseline"/>
        </w:rPr>
        <w:t>System.” </w:t>
      </w:r>
      <w:hyperlink r:id="rId476">
        <w:r>
          <w:rPr>
            <w:spacing w:val="-2"/>
            <w:sz w:val="18"/>
            <w:u w:val="single"/>
            <w:vertAlign w:val="baseline"/>
          </w:rPr>
          <w:t>https://www.vera.org/news/why-we-say-criminal-legal-system-not-criminal-justice-system</w:t>
        </w:r>
        <w:r>
          <w:rPr>
            <w:spacing w:val="-2"/>
            <w:sz w:val="18"/>
            <w:u w:val="none"/>
            <w:vertAlign w:val="baseline"/>
          </w:rPr>
          <w:t>.</w:t>
        </w:r>
      </w:hyperlink>
    </w:p>
    <w:p>
      <w:pPr>
        <w:spacing w:before="0"/>
        <w:ind w:left="320" w:right="481" w:firstLine="0"/>
        <w:jc w:val="left"/>
        <w:rPr>
          <w:sz w:val="18"/>
        </w:rPr>
      </w:pPr>
      <w:r>
        <w:rPr>
          <w:sz w:val="18"/>
          <w:vertAlign w:val="superscript"/>
        </w:rPr>
        <w:t>2</w:t>
      </w:r>
      <w:r>
        <w:rPr>
          <w:spacing w:val="-2"/>
          <w:sz w:val="18"/>
          <w:vertAlign w:val="baseline"/>
        </w:rPr>
        <w:t> </w:t>
      </w:r>
      <w:r>
        <w:rPr>
          <w:sz w:val="18"/>
          <w:vertAlign w:val="baseline"/>
        </w:rPr>
        <w:t>Vera</w:t>
      </w:r>
      <w:r>
        <w:rPr>
          <w:spacing w:val="-2"/>
          <w:sz w:val="18"/>
          <w:vertAlign w:val="baseline"/>
        </w:rPr>
        <w:t> </w:t>
      </w:r>
      <w:r>
        <w:rPr>
          <w:sz w:val="18"/>
          <w:vertAlign w:val="baseline"/>
        </w:rPr>
        <w:t>Institute</w:t>
      </w:r>
      <w:r>
        <w:rPr>
          <w:spacing w:val="-2"/>
          <w:sz w:val="18"/>
          <w:vertAlign w:val="baseline"/>
        </w:rPr>
        <w:t> </w:t>
      </w:r>
      <w:r>
        <w:rPr>
          <w:sz w:val="18"/>
          <w:vertAlign w:val="baseline"/>
        </w:rPr>
        <w:t>of</w:t>
      </w:r>
      <w:r>
        <w:rPr>
          <w:spacing w:val="-2"/>
          <w:sz w:val="18"/>
          <w:vertAlign w:val="baseline"/>
        </w:rPr>
        <w:t> </w:t>
      </w:r>
      <w:r>
        <w:rPr>
          <w:sz w:val="18"/>
          <w:vertAlign w:val="baseline"/>
        </w:rPr>
        <w:t>Justice.</w:t>
      </w:r>
      <w:r>
        <w:rPr>
          <w:spacing w:val="-2"/>
          <w:sz w:val="18"/>
          <w:vertAlign w:val="baseline"/>
        </w:rPr>
        <w:t> </w:t>
      </w:r>
      <w:r>
        <w:rPr>
          <w:sz w:val="18"/>
          <w:vertAlign w:val="baseline"/>
        </w:rPr>
        <w:t>2018.</w:t>
      </w:r>
      <w:r>
        <w:rPr>
          <w:spacing w:val="-2"/>
          <w:sz w:val="18"/>
          <w:vertAlign w:val="baseline"/>
        </w:rPr>
        <w:t> </w:t>
      </w:r>
      <w:r>
        <w:rPr>
          <w:sz w:val="18"/>
          <w:vertAlign w:val="baseline"/>
        </w:rPr>
        <w:t>"An</w:t>
      </w:r>
      <w:r>
        <w:rPr>
          <w:spacing w:val="-2"/>
          <w:sz w:val="18"/>
          <w:vertAlign w:val="baseline"/>
        </w:rPr>
        <w:t> </w:t>
      </w:r>
      <w:r>
        <w:rPr>
          <w:sz w:val="18"/>
          <w:vertAlign w:val="baseline"/>
        </w:rPr>
        <w:t>Unjust</w:t>
      </w:r>
      <w:r>
        <w:rPr>
          <w:spacing w:val="-3"/>
          <w:sz w:val="18"/>
          <w:vertAlign w:val="baseline"/>
        </w:rPr>
        <w:t> </w:t>
      </w:r>
      <w:r>
        <w:rPr>
          <w:sz w:val="18"/>
          <w:vertAlign w:val="baseline"/>
        </w:rPr>
        <w:t>Burden:</w:t>
      </w:r>
      <w:r>
        <w:rPr>
          <w:spacing w:val="-2"/>
          <w:sz w:val="18"/>
          <w:vertAlign w:val="baseline"/>
        </w:rPr>
        <w:t> </w:t>
      </w:r>
      <w:r>
        <w:rPr>
          <w:sz w:val="18"/>
          <w:vertAlign w:val="baseline"/>
        </w:rPr>
        <w:t>The</w:t>
      </w:r>
      <w:r>
        <w:rPr>
          <w:spacing w:val="-2"/>
          <w:sz w:val="18"/>
          <w:vertAlign w:val="baseline"/>
        </w:rPr>
        <w:t> </w:t>
      </w:r>
      <w:r>
        <w:rPr>
          <w:sz w:val="18"/>
          <w:vertAlign w:val="baseline"/>
        </w:rPr>
        <w:t>Disparate</w:t>
      </w:r>
      <w:r>
        <w:rPr>
          <w:spacing w:val="-3"/>
          <w:sz w:val="18"/>
          <w:vertAlign w:val="baseline"/>
        </w:rPr>
        <w:t> </w:t>
      </w:r>
      <w:r>
        <w:rPr>
          <w:sz w:val="18"/>
          <w:vertAlign w:val="baseline"/>
        </w:rPr>
        <w:t>Treatment</w:t>
      </w:r>
      <w:r>
        <w:rPr>
          <w:spacing w:val="-3"/>
          <w:sz w:val="18"/>
          <w:vertAlign w:val="baseline"/>
        </w:rPr>
        <w:t> </w:t>
      </w:r>
      <w:r>
        <w:rPr>
          <w:sz w:val="18"/>
          <w:vertAlign w:val="baseline"/>
        </w:rPr>
        <w:t>of</w:t>
      </w:r>
      <w:r>
        <w:rPr>
          <w:spacing w:val="-2"/>
          <w:sz w:val="18"/>
          <w:vertAlign w:val="baseline"/>
        </w:rPr>
        <w:t> </w:t>
      </w:r>
      <w:r>
        <w:rPr>
          <w:sz w:val="18"/>
          <w:vertAlign w:val="baseline"/>
        </w:rPr>
        <w:t>Black</w:t>
      </w:r>
      <w:r>
        <w:rPr>
          <w:spacing w:val="-3"/>
          <w:sz w:val="18"/>
          <w:vertAlign w:val="baseline"/>
        </w:rPr>
        <w:t> </w:t>
      </w:r>
      <w:r>
        <w:rPr>
          <w:sz w:val="18"/>
          <w:vertAlign w:val="baseline"/>
        </w:rPr>
        <w:t>Americans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Criminal</w:t>
      </w:r>
      <w:r>
        <w:rPr>
          <w:spacing w:val="-3"/>
          <w:sz w:val="18"/>
          <w:vertAlign w:val="baseline"/>
        </w:rPr>
        <w:t> </w:t>
      </w:r>
      <w:r>
        <w:rPr>
          <w:sz w:val="18"/>
          <w:vertAlign w:val="baseline"/>
        </w:rPr>
        <w:t>Justice System."</w:t>
      </w:r>
      <w:r>
        <w:rPr>
          <w:spacing w:val="-2"/>
          <w:sz w:val="18"/>
          <w:vertAlign w:val="baseline"/>
        </w:rPr>
        <w:t> </w:t>
      </w:r>
      <w:hyperlink r:id="rId477">
        <w:r>
          <w:rPr>
            <w:sz w:val="18"/>
            <w:u w:val="single"/>
            <w:vertAlign w:val="baseline"/>
          </w:rPr>
          <w:t>https://www.vera.org/downloads/publications/for-the-record-unjust-burden-racial-disparities.pdf</w:t>
        </w:r>
        <w:r>
          <w:rPr>
            <w:sz w:val="18"/>
            <w:u w:val="none"/>
            <w:vertAlign w:val="baseline"/>
          </w:rPr>
          <w:t>.</w:t>
        </w:r>
      </w:hyperlink>
    </w:p>
    <w:p>
      <w:pPr>
        <w:spacing w:before="0"/>
        <w:ind w:left="320" w:right="481" w:firstLine="0"/>
        <w:jc w:val="left"/>
        <w:rPr>
          <w:sz w:val="18"/>
        </w:rPr>
      </w:pPr>
      <w:r>
        <w:rPr>
          <w:sz w:val="18"/>
          <w:vertAlign w:val="superscript"/>
        </w:rPr>
        <w:t>3</w:t>
      </w:r>
      <w:r>
        <w:rPr>
          <w:spacing w:val="-2"/>
          <w:sz w:val="18"/>
          <w:vertAlign w:val="baseline"/>
        </w:rPr>
        <w:t> </w:t>
      </w:r>
      <w:r>
        <w:rPr>
          <w:sz w:val="18"/>
          <w:vertAlign w:val="baseline"/>
        </w:rPr>
        <w:t>Foster,</w:t>
      </w:r>
      <w:r>
        <w:rPr>
          <w:spacing w:val="-3"/>
          <w:sz w:val="18"/>
          <w:vertAlign w:val="baseline"/>
        </w:rPr>
        <w:t> </w:t>
      </w:r>
      <w:r>
        <w:rPr>
          <w:sz w:val="18"/>
          <w:vertAlign w:val="baseline"/>
        </w:rPr>
        <w:t>Lisa.</w:t>
      </w:r>
      <w:r>
        <w:rPr>
          <w:spacing w:val="-2"/>
          <w:sz w:val="18"/>
          <w:vertAlign w:val="baseline"/>
        </w:rPr>
        <w:t> </w:t>
      </w:r>
      <w:r>
        <w:rPr>
          <w:sz w:val="18"/>
          <w:vertAlign w:val="baseline"/>
        </w:rPr>
        <w:t>2020.</w:t>
      </w:r>
      <w:r>
        <w:rPr>
          <w:spacing w:val="-2"/>
          <w:sz w:val="18"/>
          <w:vertAlign w:val="baseline"/>
        </w:rPr>
        <w:t> </w:t>
      </w:r>
      <w:r>
        <w:rPr>
          <w:sz w:val="18"/>
          <w:vertAlign w:val="baseline"/>
        </w:rPr>
        <w:t>"The</w:t>
      </w:r>
      <w:r>
        <w:rPr>
          <w:spacing w:val="-2"/>
          <w:sz w:val="18"/>
          <w:vertAlign w:val="baseline"/>
        </w:rPr>
        <w:t> </w:t>
      </w:r>
      <w:r>
        <w:rPr>
          <w:sz w:val="18"/>
          <w:vertAlign w:val="baseline"/>
        </w:rPr>
        <w:t>Price</w:t>
      </w:r>
      <w:r>
        <w:rPr>
          <w:spacing w:val="-2"/>
          <w:sz w:val="18"/>
          <w:vertAlign w:val="baseline"/>
        </w:rPr>
        <w:t> </w:t>
      </w:r>
      <w:r>
        <w:rPr>
          <w:sz w:val="18"/>
          <w:vertAlign w:val="baseline"/>
        </w:rPr>
        <w:t>of</w:t>
      </w:r>
      <w:r>
        <w:rPr>
          <w:spacing w:val="-2"/>
          <w:sz w:val="18"/>
          <w:vertAlign w:val="baseline"/>
        </w:rPr>
        <w:t> </w:t>
      </w:r>
      <w:r>
        <w:rPr>
          <w:sz w:val="18"/>
          <w:vertAlign w:val="baseline"/>
        </w:rPr>
        <w:t>Justice:</w:t>
      </w:r>
      <w:r>
        <w:rPr>
          <w:spacing w:val="-2"/>
          <w:sz w:val="18"/>
          <w:vertAlign w:val="baseline"/>
        </w:rPr>
        <w:t> </w:t>
      </w:r>
      <w:r>
        <w:rPr>
          <w:sz w:val="18"/>
          <w:vertAlign w:val="baseline"/>
        </w:rPr>
        <w:t>Fines,</w:t>
      </w:r>
      <w:r>
        <w:rPr>
          <w:spacing w:val="-3"/>
          <w:sz w:val="18"/>
          <w:vertAlign w:val="baseline"/>
        </w:rPr>
        <w:t> </w:t>
      </w:r>
      <w:r>
        <w:rPr>
          <w:sz w:val="18"/>
          <w:vertAlign w:val="baseline"/>
        </w:rPr>
        <w:t>Fees</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2"/>
          <w:sz w:val="18"/>
          <w:vertAlign w:val="baseline"/>
        </w:rPr>
        <w:t> </w:t>
      </w:r>
      <w:r>
        <w:rPr>
          <w:sz w:val="18"/>
          <w:vertAlign w:val="baseline"/>
        </w:rPr>
        <w:t>Criminalization</w:t>
      </w:r>
      <w:r>
        <w:rPr>
          <w:spacing w:val="-2"/>
          <w:sz w:val="18"/>
          <w:vertAlign w:val="baseline"/>
        </w:rPr>
        <w:t> </w:t>
      </w:r>
      <w:r>
        <w:rPr>
          <w:sz w:val="18"/>
          <w:vertAlign w:val="baseline"/>
        </w:rPr>
        <w:t>of</w:t>
      </w:r>
      <w:r>
        <w:rPr>
          <w:spacing w:val="-2"/>
          <w:sz w:val="18"/>
          <w:vertAlign w:val="baseline"/>
        </w:rPr>
        <w:t> </w:t>
      </w:r>
      <w:r>
        <w:rPr>
          <w:sz w:val="18"/>
          <w:vertAlign w:val="baseline"/>
        </w:rPr>
        <w:t>Poverty</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University</w:t>
      </w:r>
      <w:r>
        <w:rPr>
          <w:spacing w:val="-2"/>
          <w:sz w:val="18"/>
          <w:vertAlign w:val="baseline"/>
        </w:rPr>
        <w:t> </w:t>
      </w:r>
      <w:r>
        <w:rPr>
          <w:sz w:val="18"/>
          <w:vertAlign w:val="baseline"/>
        </w:rPr>
        <w:t>of Miami Race and Social Justice Law Review. https://repository.law.miami.edu/cgi/viewcontent.cgi?article=1121&amp;context=umrsjlr</w:t>
      </w:r>
      <w:r>
        <w:rPr>
          <w:spacing w:val="-2"/>
          <w:sz w:val="18"/>
          <w:vertAlign w:val="baseline"/>
        </w:rPr>
        <w:t> </w:t>
      </w:r>
      <w:r>
        <w:rPr>
          <w:sz w:val="18"/>
          <w:vertAlign w:val="baseline"/>
        </w:rPr>
        <w:t>.</w:t>
      </w:r>
    </w:p>
    <w:p>
      <w:pPr>
        <w:spacing w:before="0"/>
        <w:ind w:left="320" w:right="0" w:firstLine="0"/>
        <w:jc w:val="left"/>
        <w:rPr>
          <w:sz w:val="18"/>
        </w:rPr>
      </w:pPr>
      <w:r>
        <w:rPr>
          <w:sz w:val="18"/>
          <w:vertAlign w:val="superscript"/>
        </w:rPr>
        <w:t>4</w:t>
      </w:r>
      <w:r>
        <w:rPr>
          <w:spacing w:val="-2"/>
          <w:sz w:val="18"/>
          <w:vertAlign w:val="baseline"/>
        </w:rPr>
        <w:t> </w:t>
      </w:r>
      <w:r>
        <w:rPr>
          <w:sz w:val="18"/>
          <w:vertAlign w:val="baseline"/>
        </w:rPr>
        <w:t>Vallas,</w:t>
      </w:r>
      <w:r>
        <w:rPr>
          <w:spacing w:val="-3"/>
          <w:sz w:val="18"/>
          <w:vertAlign w:val="baseline"/>
        </w:rPr>
        <w:t> </w:t>
      </w:r>
      <w:r>
        <w:rPr>
          <w:sz w:val="18"/>
          <w:vertAlign w:val="baseline"/>
        </w:rPr>
        <w:t>Rebecca,</w:t>
      </w:r>
      <w:r>
        <w:rPr>
          <w:spacing w:val="-2"/>
          <w:sz w:val="18"/>
          <w:vertAlign w:val="baseline"/>
        </w:rPr>
        <w:t> </w:t>
      </w:r>
      <w:r>
        <w:rPr>
          <w:sz w:val="18"/>
          <w:vertAlign w:val="baseline"/>
        </w:rPr>
        <w:t>and</w:t>
      </w:r>
      <w:r>
        <w:rPr>
          <w:spacing w:val="-2"/>
          <w:sz w:val="18"/>
          <w:vertAlign w:val="baseline"/>
        </w:rPr>
        <w:t> </w:t>
      </w:r>
      <w:r>
        <w:rPr>
          <w:sz w:val="18"/>
          <w:vertAlign w:val="baseline"/>
        </w:rPr>
        <w:t>Sharon</w:t>
      </w:r>
      <w:r>
        <w:rPr>
          <w:spacing w:val="-2"/>
          <w:sz w:val="18"/>
          <w:vertAlign w:val="baseline"/>
        </w:rPr>
        <w:t> </w:t>
      </w:r>
      <w:r>
        <w:rPr>
          <w:sz w:val="18"/>
          <w:vertAlign w:val="baseline"/>
        </w:rPr>
        <w:t>Dietrich.</w:t>
      </w:r>
      <w:r>
        <w:rPr>
          <w:spacing w:val="-2"/>
          <w:sz w:val="18"/>
          <w:vertAlign w:val="baseline"/>
        </w:rPr>
        <w:t> </w:t>
      </w:r>
      <w:r>
        <w:rPr>
          <w:sz w:val="18"/>
          <w:vertAlign w:val="baseline"/>
        </w:rPr>
        <w:t>"One</w:t>
      </w:r>
      <w:r>
        <w:rPr>
          <w:spacing w:val="-2"/>
          <w:sz w:val="18"/>
          <w:vertAlign w:val="baseline"/>
        </w:rPr>
        <w:t> </w:t>
      </w:r>
      <w:r>
        <w:rPr>
          <w:sz w:val="18"/>
          <w:vertAlign w:val="baseline"/>
        </w:rPr>
        <w:t>Strike</w:t>
      </w:r>
      <w:r>
        <w:rPr>
          <w:spacing w:val="-2"/>
          <w:sz w:val="18"/>
          <w:vertAlign w:val="baseline"/>
        </w:rPr>
        <w:t> </w:t>
      </w:r>
      <w:r>
        <w:rPr>
          <w:sz w:val="18"/>
          <w:vertAlign w:val="baseline"/>
        </w:rPr>
        <w:t>and</w:t>
      </w:r>
      <w:r>
        <w:rPr>
          <w:spacing w:val="-2"/>
          <w:sz w:val="18"/>
          <w:vertAlign w:val="baseline"/>
        </w:rPr>
        <w:t> </w:t>
      </w:r>
      <w:r>
        <w:rPr>
          <w:sz w:val="18"/>
          <w:vertAlign w:val="baseline"/>
        </w:rPr>
        <w:t>You’re</w:t>
      </w:r>
      <w:r>
        <w:rPr>
          <w:spacing w:val="-2"/>
          <w:sz w:val="18"/>
          <w:vertAlign w:val="baseline"/>
        </w:rPr>
        <w:t> </w:t>
      </w:r>
      <w:r>
        <w:rPr>
          <w:sz w:val="18"/>
          <w:vertAlign w:val="baseline"/>
        </w:rPr>
        <w:t>Out:</w:t>
      </w:r>
      <w:r>
        <w:rPr>
          <w:spacing w:val="-2"/>
          <w:sz w:val="18"/>
          <w:vertAlign w:val="baseline"/>
        </w:rPr>
        <w:t> </w:t>
      </w:r>
      <w:r>
        <w:rPr>
          <w:sz w:val="18"/>
          <w:vertAlign w:val="baseline"/>
        </w:rPr>
        <w:t>How</w:t>
      </w:r>
      <w:r>
        <w:rPr>
          <w:spacing w:val="-3"/>
          <w:sz w:val="18"/>
          <w:vertAlign w:val="baseline"/>
        </w:rPr>
        <w:t> </w:t>
      </w:r>
      <w:r>
        <w:rPr>
          <w:sz w:val="18"/>
          <w:vertAlign w:val="baseline"/>
        </w:rPr>
        <w:t>We</w:t>
      </w:r>
      <w:r>
        <w:rPr>
          <w:spacing w:val="-2"/>
          <w:sz w:val="18"/>
          <w:vertAlign w:val="baseline"/>
        </w:rPr>
        <w:t> </w:t>
      </w:r>
      <w:r>
        <w:rPr>
          <w:sz w:val="18"/>
          <w:vertAlign w:val="baseline"/>
        </w:rPr>
        <w:t>Can</w:t>
      </w:r>
      <w:r>
        <w:rPr>
          <w:spacing w:val="-2"/>
          <w:sz w:val="18"/>
          <w:vertAlign w:val="baseline"/>
        </w:rPr>
        <w:t> </w:t>
      </w:r>
      <w:r>
        <w:rPr>
          <w:sz w:val="18"/>
          <w:vertAlign w:val="baseline"/>
        </w:rPr>
        <w:t>Eliminate</w:t>
      </w:r>
      <w:r>
        <w:rPr>
          <w:spacing w:val="-2"/>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Economic</w:t>
      </w:r>
      <w:r>
        <w:rPr>
          <w:spacing w:val="-3"/>
          <w:sz w:val="18"/>
          <w:vertAlign w:val="baseline"/>
        </w:rPr>
        <w:t> </w:t>
      </w:r>
      <w:r>
        <w:rPr>
          <w:sz w:val="18"/>
          <w:vertAlign w:val="baseline"/>
        </w:rPr>
        <w:t>Security</w:t>
      </w:r>
      <w:r>
        <w:rPr>
          <w:spacing w:val="-2"/>
          <w:sz w:val="18"/>
          <w:vertAlign w:val="baseline"/>
        </w:rPr>
        <w:t> </w:t>
      </w:r>
      <w:r>
        <w:rPr>
          <w:sz w:val="18"/>
          <w:vertAlign w:val="baseline"/>
        </w:rPr>
        <w:t>and Mobility for People with Juvenile Records." Center for American Progress, 2014.</w:t>
      </w:r>
    </w:p>
    <w:p>
      <w:pPr>
        <w:spacing w:before="0"/>
        <w:ind w:left="320" w:right="481" w:firstLine="0"/>
        <w:jc w:val="left"/>
        <w:rPr>
          <w:sz w:val="18"/>
        </w:rPr>
      </w:pPr>
      <w:r>
        <w:rPr>
          <w:sz w:val="18"/>
          <w:vertAlign w:val="superscript"/>
        </w:rPr>
        <w:t>5</w:t>
      </w:r>
      <w:r>
        <w:rPr>
          <w:spacing w:val="-4"/>
          <w:sz w:val="18"/>
          <w:vertAlign w:val="baseline"/>
        </w:rPr>
        <w:t> </w:t>
      </w:r>
      <w:r>
        <w:rPr>
          <w:sz w:val="18"/>
          <w:vertAlign w:val="baseline"/>
        </w:rPr>
        <w:t>Lambda</w:t>
      </w:r>
      <w:r>
        <w:rPr>
          <w:spacing w:val="-4"/>
          <w:sz w:val="18"/>
          <w:vertAlign w:val="baseline"/>
        </w:rPr>
        <w:t> </w:t>
      </w:r>
      <w:r>
        <w:rPr>
          <w:sz w:val="18"/>
          <w:vertAlign w:val="baseline"/>
        </w:rPr>
        <w:t>Legal.</w:t>
      </w:r>
      <w:r>
        <w:rPr>
          <w:spacing w:val="-4"/>
          <w:sz w:val="18"/>
          <w:vertAlign w:val="baseline"/>
        </w:rPr>
        <w:t> </w:t>
      </w:r>
      <w:r>
        <w:rPr>
          <w:sz w:val="18"/>
          <w:vertAlign w:val="baseline"/>
        </w:rPr>
        <w:t>2016.</w:t>
      </w:r>
      <w:r>
        <w:rPr>
          <w:spacing w:val="-4"/>
          <w:sz w:val="18"/>
          <w:vertAlign w:val="baseline"/>
        </w:rPr>
        <w:t> </w:t>
      </w:r>
      <w:r>
        <w:rPr>
          <w:sz w:val="18"/>
          <w:vertAlign w:val="baseline"/>
        </w:rPr>
        <w:t>“Protected</w:t>
      </w:r>
      <w:r>
        <w:rPr>
          <w:spacing w:val="-5"/>
          <w:sz w:val="18"/>
          <w:vertAlign w:val="baseline"/>
        </w:rPr>
        <w:t> </w:t>
      </w:r>
      <w:r>
        <w:rPr>
          <w:sz w:val="18"/>
          <w:vertAlign w:val="baseline"/>
        </w:rPr>
        <w:t>and</w:t>
      </w:r>
      <w:r>
        <w:rPr>
          <w:spacing w:val="-4"/>
          <w:sz w:val="18"/>
          <w:vertAlign w:val="baseline"/>
        </w:rPr>
        <w:t> </w:t>
      </w:r>
      <w:r>
        <w:rPr>
          <w:sz w:val="18"/>
          <w:vertAlign w:val="baseline"/>
        </w:rPr>
        <w:t>Served?</w:t>
      </w:r>
      <w:r>
        <w:rPr>
          <w:spacing w:val="-4"/>
          <w:sz w:val="18"/>
          <w:vertAlign w:val="baseline"/>
        </w:rPr>
        <w:t> </w:t>
      </w:r>
      <w:r>
        <w:rPr>
          <w:sz w:val="18"/>
          <w:vertAlign w:val="baseline"/>
        </w:rPr>
        <w:t>School</w:t>
      </w:r>
      <w:r>
        <w:rPr>
          <w:spacing w:val="-5"/>
          <w:sz w:val="18"/>
          <w:vertAlign w:val="baseline"/>
        </w:rPr>
        <w:t> </w:t>
      </w:r>
      <w:r>
        <w:rPr>
          <w:sz w:val="18"/>
          <w:vertAlign w:val="baseline"/>
        </w:rPr>
        <w:t>Security,</w:t>
      </w:r>
      <w:r>
        <w:rPr>
          <w:spacing w:val="-5"/>
          <w:sz w:val="18"/>
          <w:vertAlign w:val="baseline"/>
        </w:rPr>
        <w:t> </w:t>
      </w:r>
      <w:r>
        <w:rPr>
          <w:sz w:val="18"/>
          <w:vertAlign w:val="baseline"/>
        </w:rPr>
        <w:t>Policing</w:t>
      </w:r>
      <w:r>
        <w:rPr>
          <w:spacing w:val="-4"/>
          <w:sz w:val="18"/>
          <w:vertAlign w:val="baseline"/>
        </w:rPr>
        <w:t> </w:t>
      </w:r>
      <w:r>
        <w:rPr>
          <w:sz w:val="18"/>
          <w:vertAlign w:val="baseline"/>
        </w:rPr>
        <w:t>and</w:t>
      </w:r>
      <w:r>
        <w:rPr>
          <w:spacing w:val="-4"/>
          <w:sz w:val="18"/>
          <w:vertAlign w:val="baseline"/>
        </w:rPr>
        <w:t> </w:t>
      </w:r>
      <w:r>
        <w:rPr>
          <w:sz w:val="18"/>
          <w:vertAlign w:val="baseline"/>
        </w:rPr>
        <w:t>Discipline,” </w:t>
      </w:r>
      <w:r>
        <w:rPr>
          <w:spacing w:val="-2"/>
          <w:sz w:val="18"/>
          <w:vertAlign w:val="baseline"/>
        </w:rPr>
        <w:t>https:</w:t>
      </w:r>
      <w:hyperlink r:id="rId478">
        <w:r>
          <w:rPr>
            <w:spacing w:val="-2"/>
            <w:sz w:val="18"/>
            <w:vertAlign w:val="baseline"/>
          </w:rPr>
          <w:t>//www.lambdalegal.org/node/30521.</w:t>
        </w:r>
      </w:hyperlink>
    </w:p>
    <w:p>
      <w:pPr>
        <w:spacing w:before="0"/>
        <w:ind w:left="320" w:right="0" w:firstLine="0"/>
        <w:jc w:val="left"/>
        <w:rPr>
          <w:sz w:val="18"/>
        </w:rPr>
      </w:pPr>
      <w:r>
        <w:rPr>
          <w:sz w:val="18"/>
          <w:vertAlign w:val="superscript"/>
        </w:rPr>
        <w:t>6</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American</w:t>
      </w:r>
      <w:r>
        <w:rPr>
          <w:spacing w:val="-2"/>
          <w:sz w:val="18"/>
          <w:vertAlign w:val="baseline"/>
        </w:rPr>
        <w:t> </w:t>
      </w:r>
      <w:r>
        <w:rPr>
          <w:sz w:val="18"/>
          <w:vertAlign w:val="baseline"/>
        </w:rPr>
        <w:t>Progress,</w:t>
      </w:r>
      <w:r>
        <w:rPr>
          <w:spacing w:val="-3"/>
          <w:sz w:val="18"/>
          <w:vertAlign w:val="baseline"/>
        </w:rPr>
        <w:t> </w:t>
      </w:r>
      <w:r>
        <w:rPr>
          <w:sz w:val="18"/>
          <w:vertAlign w:val="baseline"/>
        </w:rPr>
        <w:t>MAP,</w:t>
      </w:r>
      <w:r>
        <w:rPr>
          <w:spacing w:val="-3"/>
          <w:sz w:val="18"/>
          <w:vertAlign w:val="baseline"/>
        </w:rPr>
        <w:t> </w:t>
      </w:r>
      <w:r>
        <w:rPr>
          <w:sz w:val="18"/>
          <w:vertAlign w:val="baseline"/>
        </w:rPr>
        <w:t>and</w:t>
      </w:r>
      <w:r>
        <w:rPr>
          <w:spacing w:val="-2"/>
          <w:sz w:val="18"/>
          <w:vertAlign w:val="baseline"/>
        </w:rPr>
        <w:t> </w:t>
      </w:r>
      <w:r>
        <w:rPr>
          <w:sz w:val="18"/>
          <w:vertAlign w:val="baseline"/>
        </w:rPr>
        <w:t>Youth</w:t>
      </w:r>
      <w:r>
        <w:rPr>
          <w:spacing w:val="-2"/>
          <w:sz w:val="18"/>
          <w:vertAlign w:val="baseline"/>
        </w:rPr>
        <w:t> </w:t>
      </w:r>
      <w:r>
        <w:rPr>
          <w:sz w:val="18"/>
          <w:vertAlign w:val="baseline"/>
        </w:rPr>
        <w:t>First.</w:t>
      </w:r>
      <w:r>
        <w:rPr>
          <w:spacing w:val="-2"/>
          <w:sz w:val="18"/>
          <w:vertAlign w:val="baseline"/>
        </w:rPr>
        <w:t> </w:t>
      </w:r>
      <w:r>
        <w:rPr>
          <w:sz w:val="18"/>
          <w:vertAlign w:val="baseline"/>
        </w:rPr>
        <w:t>2017.</w:t>
      </w:r>
      <w:r>
        <w:rPr>
          <w:spacing w:val="-2"/>
          <w:sz w:val="18"/>
          <w:vertAlign w:val="baseline"/>
        </w:rPr>
        <w:t> </w:t>
      </w:r>
      <w:r>
        <w:rPr>
          <w:sz w:val="18"/>
          <w:vertAlign w:val="baseline"/>
        </w:rPr>
        <w:t>"Unjust:</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Incarcerated</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System." Last modified, June 2017. </w:t>
      </w:r>
      <w:hyperlink r:id="rId479">
        <w:r>
          <w:rPr>
            <w:sz w:val="18"/>
            <w:u w:val="single"/>
            <w:vertAlign w:val="baseline"/>
          </w:rPr>
          <w:t>https://www.lgbtmap.org/file/lgbtq-incarcerated-youth.pdf</w:t>
        </w:r>
        <w:r>
          <w:rPr>
            <w:sz w:val="18"/>
            <w:u w:val="none"/>
            <w:vertAlign w:val="baseline"/>
          </w:rPr>
          <w:t>.</w:t>
        </w:r>
      </w:hyperlink>
    </w:p>
    <w:p>
      <w:pPr>
        <w:spacing w:before="0"/>
        <w:ind w:left="320" w:right="184" w:firstLine="0"/>
        <w:jc w:val="both"/>
        <w:rPr>
          <w:sz w:val="18"/>
        </w:rPr>
      </w:pPr>
      <w:r>
        <w:rPr>
          <w:sz w:val="18"/>
          <w:vertAlign w:val="superscript"/>
        </w:rPr>
        <w:t>7</w:t>
      </w:r>
      <w:r>
        <w:rPr>
          <w:spacing w:val="-2"/>
          <w:sz w:val="18"/>
          <w:vertAlign w:val="baseline"/>
        </w:rPr>
        <w:t> </w:t>
      </w:r>
      <w:r>
        <w:rPr>
          <w:sz w:val="18"/>
          <w:vertAlign w:val="baseline"/>
        </w:rPr>
        <w:t>Gower,</w:t>
      </w:r>
      <w:r>
        <w:rPr>
          <w:spacing w:val="-3"/>
          <w:sz w:val="18"/>
          <w:vertAlign w:val="baseline"/>
        </w:rPr>
        <w:t> </w:t>
      </w:r>
      <w:r>
        <w:rPr>
          <w:sz w:val="18"/>
          <w:vertAlign w:val="baseline"/>
        </w:rPr>
        <w:t>Amy</w:t>
      </w:r>
      <w:r>
        <w:rPr>
          <w:spacing w:val="-2"/>
          <w:sz w:val="18"/>
          <w:vertAlign w:val="baseline"/>
        </w:rPr>
        <w:t> </w:t>
      </w:r>
      <w:r>
        <w:rPr>
          <w:sz w:val="18"/>
          <w:vertAlign w:val="baseline"/>
        </w:rPr>
        <w:t>L.,</w:t>
      </w:r>
      <w:r>
        <w:rPr>
          <w:spacing w:val="-3"/>
          <w:sz w:val="18"/>
          <w:vertAlign w:val="baseline"/>
        </w:rPr>
        <w:t> </w:t>
      </w:r>
      <w:r>
        <w:rPr>
          <w:sz w:val="18"/>
          <w:vertAlign w:val="baseline"/>
        </w:rPr>
        <w:t>Rider,</w:t>
      </w:r>
      <w:r>
        <w:rPr>
          <w:spacing w:val="-3"/>
          <w:sz w:val="18"/>
          <w:vertAlign w:val="baseline"/>
        </w:rPr>
        <w:t> </w:t>
      </w:r>
      <w:r>
        <w:rPr>
          <w:sz w:val="18"/>
          <w:vertAlign w:val="baseline"/>
        </w:rPr>
        <w:t>G.</w:t>
      </w:r>
      <w:r>
        <w:rPr>
          <w:spacing w:val="-2"/>
          <w:sz w:val="18"/>
          <w:vertAlign w:val="baseline"/>
        </w:rPr>
        <w:t> </w:t>
      </w:r>
      <w:r>
        <w:rPr>
          <w:sz w:val="18"/>
          <w:vertAlign w:val="baseline"/>
        </w:rPr>
        <w:t>Nic,</w:t>
      </w:r>
      <w:r>
        <w:rPr>
          <w:spacing w:val="-2"/>
          <w:sz w:val="18"/>
          <w:vertAlign w:val="baseline"/>
        </w:rPr>
        <w:t> </w:t>
      </w:r>
      <w:r>
        <w:rPr>
          <w:sz w:val="18"/>
          <w:vertAlign w:val="baseline"/>
        </w:rPr>
        <w:t>McMorris,</w:t>
      </w:r>
      <w:r>
        <w:rPr>
          <w:spacing w:val="-3"/>
          <w:sz w:val="18"/>
          <w:vertAlign w:val="baseline"/>
        </w:rPr>
        <w:t> </w:t>
      </w:r>
      <w:r>
        <w:rPr>
          <w:sz w:val="18"/>
          <w:vertAlign w:val="baseline"/>
        </w:rPr>
        <w:t>Barbara</w:t>
      </w:r>
      <w:r>
        <w:rPr>
          <w:spacing w:val="-1"/>
          <w:sz w:val="18"/>
          <w:vertAlign w:val="baseline"/>
        </w:rPr>
        <w:t> </w:t>
      </w:r>
      <w:r>
        <w:rPr>
          <w:sz w:val="18"/>
          <w:vertAlign w:val="baseline"/>
        </w:rPr>
        <w:t>J.</w:t>
      </w:r>
      <w:r>
        <w:rPr>
          <w:spacing w:val="-2"/>
          <w:sz w:val="18"/>
          <w:vertAlign w:val="baseline"/>
        </w:rPr>
        <w:t> </w:t>
      </w:r>
      <w:r>
        <w:rPr>
          <w:sz w:val="18"/>
          <w:vertAlign w:val="baseline"/>
        </w:rPr>
        <w:t>and</w:t>
      </w:r>
      <w:r>
        <w:rPr>
          <w:spacing w:val="-2"/>
          <w:sz w:val="18"/>
          <w:vertAlign w:val="baseline"/>
        </w:rPr>
        <w:t> </w:t>
      </w:r>
      <w:r>
        <w:rPr>
          <w:sz w:val="18"/>
          <w:vertAlign w:val="baseline"/>
        </w:rPr>
        <w:t>Eisenberg,</w:t>
      </w:r>
      <w:r>
        <w:rPr>
          <w:spacing w:val="-4"/>
          <w:sz w:val="18"/>
          <w:vertAlign w:val="baseline"/>
        </w:rPr>
        <w:t> </w:t>
      </w:r>
      <w:r>
        <w:rPr>
          <w:sz w:val="18"/>
          <w:vertAlign w:val="baseline"/>
        </w:rPr>
        <w:t>Marla</w:t>
      </w:r>
      <w:r>
        <w:rPr>
          <w:spacing w:val="-2"/>
          <w:sz w:val="18"/>
          <w:vertAlign w:val="baseline"/>
        </w:rPr>
        <w:t> </w:t>
      </w:r>
      <w:r>
        <w:rPr>
          <w:sz w:val="18"/>
          <w:vertAlign w:val="baseline"/>
        </w:rPr>
        <w:t>E.</w:t>
      </w:r>
      <w:r>
        <w:rPr>
          <w:spacing w:val="-2"/>
          <w:sz w:val="18"/>
          <w:vertAlign w:val="baseline"/>
        </w:rPr>
        <w:t> </w:t>
      </w:r>
      <w:r>
        <w:rPr>
          <w:sz w:val="18"/>
          <w:vertAlign w:val="baseline"/>
        </w:rPr>
        <w:t>2018,</w:t>
      </w:r>
      <w:r>
        <w:rPr>
          <w:spacing w:val="-3"/>
          <w:sz w:val="18"/>
          <w:vertAlign w:val="baseline"/>
        </w:rPr>
        <w:t> </w:t>
      </w:r>
      <w:r>
        <w:rPr>
          <w:sz w:val="18"/>
          <w:vertAlign w:val="baseline"/>
        </w:rPr>
        <w:t>"Bullying</w:t>
      </w:r>
      <w:r>
        <w:rPr>
          <w:spacing w:val="-2"/>
          <w:sz w:val="18"/>
          <w:vertAlign w:val="baseline"/>
        </w:rPr>
        <w:t> </w:t>
      </w:r>
      <w:r>
        <w:rPr>
          <w:sz w:val="18"/>
          <w:vertAlign w:val="baseline"/>
        </w:rPr>
        <w:t>Victimization</w:t>
      </w:r>
      <w:r>
        <w:rPr>
          <w:spacing w:val="-2"/>
          <w:sz w:val="18"/>
          <w:vertAlign w:val="baseline"/>
        </w:rPr>
        <w:t> </w:t>
      </w:r>
      <w:r>
        <w:rPr>
          <w:sz w:val="18"/>
          <w:vertAlign w:val="baseline"/>
        </w:rPr>
        <w:t>among</w:t>
      </w:r>
      <w:r>
        <w:rPr>
          <w:spacing w:val="-2"/>
          <w:sz w:val="18"/>
          <w:vertAlign w:val="baseline"/>
        </w:rPr>
        <w:t> </w:t>
      </w:r>
      <w:r>
        <w:rPr>
          <w:sz w:val="18"/>
          <w:vertAlign w:val="baseline"/>
        </w:rPr>
        <w:t>LGBTQ</w:t>
      </w:r>
      <w:r>
        <w:rPr>
          <w:spacing w:val="-2"/>
          <w:sz w:val="18"/>
          <w:vertAlign w:val="baseline"/>
        </w:rPr>
        <w:t> </w:t>
      </w:r>
      <w:r>
        <w:rPr>
          <w:sz w:val="18"/>
          <w:vertAlign w:val="baseline"/>
        </w:rPr>
        <w:t>Youth: Current</w:t>
      </w:r>
      <w:r>
        <w:rPr>
          <w:spacing w:val="-4"/>
          <w:sz w:val="18"/>
          <w:vertAlign w:val="baseline"/>
        </w:rPr>
        <w:t> </w:t>
      </w:r>
      <w:r>
        <w:rPr>
          <w:sz w:val="18"/>
          <w:vertAlign w:val="baseline"/>
        </w:rPr>
        <w:t>and</w:t>
      </w:r>
      <w:r>
        <w:rPr>
          <w:spacing w:val="-3"/>
          <w:sz w:val="18"/>
          <w:vertAlign w:val="baseline"/>
        </w:rPr>
        <w:t> </w:t>
      </w:r>
      <w:r>
        <w:rPr>
          <w:sz w:val="18"/>
          <w:vertAlign w:val="baseline"/>
        </w:rPr>
        <w:t>Future</w:t>
      </w:r>
      <w:r>
        <w:rPr>
          <w:spacing w:val="-3"/>
          <w:sz w:val="18"/>
          <w:vertAlign w:val="baseline"/>
        </w:rPr>
        <w:t> </w:t>
      </w:r>
      <w:r>
        <w:rPr>
          <w:sz w:val="18"/>
          <w:vertAlign w:val="baseline"/>
        </w:rPr>
        <w:t>Directions."</w:t>
      </w:r>
      <w:r>
        <w:rPr>
          <w:spacing w:val="-3"/>
          <w:sz w:val="18"/>
          <w:vertAlign w:val="baseline"/>
        </w:rPr>
        <w:t> </w:t>
      </w:r>
      <w:r>
        <w:rPr>
          <w:i/>
          <w:sz w:val="18"/>
          <w:vertAlign w:val="baseline"/>
        </w:rPr>
        <w:t>Curr</w:t>
      </w:r>
      <w:r>
        <w:rPr>
          <w:i/>
          <w:spacing w:val="-4"/>
          <w:sz w:val="18"/>
          <w:vertAlign w:val="baseline"/>
        </w:rPr>
        <w:t> </w:t>
      </w:r>
      <w:r>
        <w:rPr>
          <w:i/>
          <w:sz w:val="18"/>
          <w:vertAlign w:val="baseline"/>
        </w:rPr>
        <w:t>Sex</w:t>
      </w:r>
      <w:r>
        <w:rPr>
          <w:i/>
          <w:spacing w:val="-3"/>
          <w:sz w:val="18"/>
          <w:vertAlign w:val="baseline"/>
        </w:rPr>
        <w:t> </w:t>
      </w:r>
      <w:r>
        <w:rPr>
          <w:i/>
          <w:sz w:val="18"/>
          <w:vertAlign w:val="baseline"/>
        </w:rPr>
        <w:t>Health</w:t>
      </w:r>
      <w:r>
        <w:rPr>
          <w:i/>
          <w:spacing w:val="-3"/>
          <w:sz w:val="18"/>
          <w:vertAlign w:val="baseline"/>
        </w:rPr>
        <w:t> </w:t>
      </w:r>
      <w:r>
        <w:rPr>
          <w:i/>
          <w:sz w:val="18"/>
          <w:vertAlign w:val="baseline"/>
        </w:rPr>
        <w:t>Rep</w:t>
      </w:r>
      <w:r>
        <w:rPr>
          <w:i/>
          <w:spacing w:val="-4"/>
          <w:sz w:val="18"/>
          <w:vertAlign w:val="baseline"/>
        </w:rPr>
        <w:t> </w:t>
      </w:r>
      <w:r>
        <w:rPr>
          <w:sz w:val="18"/>
          <w:vertAlign w:val="baseline"/>
        </w:rPr>
        <w:t>10,</w:t>
      </w:r>
      <w:r>
        <w:rPr>
          <w:spacing w:val="-4"/>
          <w:sz w:val="18"/>
          <w:vertAlign w:val="baseline"/>
        </w:rPr>
        <w:t> </w:t>
      </w:r>
      <w:r>
        <w:rPr>
          <w:sz w:val="18"/>
          <w:vertAlign w:val="baseline"/>
        </w:rPr>
        <w:t>no.</w:t>
      </w:r>
      <w:r>
        <w:rPr>
          <w:spacing w:val="-3"/>
          <w:sz w:val="18"/>
          <w:vertAlign w:val="baseline"/>
        </w:rPr>
        <w:t> </w:t>
      </w:r>
      <w:r>
        <w:rPr>
          <w:sz w:val="18"/>
          <w:vertAlign w:val="baseline"/>
        </w:rPr>
        <w:t>4</w:t>
      </w:r>
      <w:r>
        <w:rPr>
          <w:spacing w:val="-3"/>
          <w:sz w:val="18"/>
          <w:vertAlign w:val="baseline"/>
        </w:rPr>
        <w:t> </w:t>
      </w:r>
      <w:r>
        <w:rPr>
          <w:sz w:val="18"/>
          <w:vertAlign w:val="baseline"/>
        </w:rPr>
        <w:t>(December</w:t>
      </w:r>
      <w:r>
        <w:rPr>
          <w:spacing w:val="-4"/>
          <w:sz w:val="18"/>
          <w:vertAlign w:val="baseline"/>
        </w:rPr>
        <w:t> </w:t>
      </w:r>
      <w:r>
        <w:rPr>
          <w:sz w:val="18"/>
          <w:vertAlign w:val="baseline"/>
        </w:rPr>
        <w:t>2018):</w:t>
      </w:r>
      <w:r>
        <w:rPr>
          <w:spacing w:val="-5"/>
          <w:sz w:val="18"/>
          <w:vertAlign w:val="baseline"/>
        </w:rPr>
        <w:t> </w:t>
      </w:r>
      <w:r>
        <w:rPr>
          <w:sz w:val="18"/>
          <w:vertAlign w:val="baseline"/>
        </w:rPr>
        <w:t>246-254.</w:t>
      </w:r>
      <w:r>
        <w:rPr>
          <w:spacing w:val="-3"/>
          <w:sz w:val="18"/>
          <w:vertAlign w:val="baseline"/>
        </w:rPr>
        <w:t> </w:t>
      </w:r>
      <w:r>
        <w:rPr>
          <w:sz w:val="18"/>
          <w:vertAlign w:val="baseline"/>
        </w:rPr>
        <w:t>https://doi.org/10.1007/s11930-018- 0169-y. Published online August 30, 2018.</w:t>
      </w:r>
    </w:p>
    <w:p>
      <w:pPr>
        <w:spacing w:after="0"/>
        <w:jc w:val="both"/>
        <w:rPr>
          <w:sz w:val="18"/>
        </w:rPr>
        <w:sectPr>
          <w:pgSz w:w="12240" w:h="15840"/>
          <w:pgMar w:header="763" w:footer="1041" w:top="1360" w:bottom="1240" w:left="1120" w:right="1340"/>
        </w:sectPr>
      </w:pPr>
    </w:p>
    <w:p>
      <w:pPr>
        <w:pStyle w:val="BodyText"/>
        <w:spacing w:before="90"/>
        <w:rPr>
          <w:sz w:val="18"/>
        </w:rPr>
      </w:pPr>
    </w:p>
    <w:p>
      <w:pPr>
        <w:spacing w:before="1"/>
        <w:ind w:left="320" w:right="480" w:firstLine="0"/>
        <w:jc w:val="left"/>
        <w:rPr>
          <w:sz w:val="18"/>
        </w:rPr>
      </w:pPr>
      <w:r>
        <w:rPr>
          <w:sz w:val="18"/>
          <w:vertAlign w:val="superscript"/>
        </w:rPr>
        <w:t>8</w:t>
      </w:r>
      <w:r>
        <w:rPr>
          <w:spacing w:val="-2"/>
          <w:sz w:val="18"/>
          <w:vertAlign w:val="baseline"/>
        </w:rPr>
        <w:t> </w:t>
      </w:r>
      <w:r>
        <w:rPr>
          <w:sz w:val="18"/>
          <w:vertAlign w:val="baseline"/>
        </w:rPr>
        <w:t>Conron,</w:t>
      </w:r>
      <w:r>
        <w:rPr>
          <w:spacing w:val="-3"/>
          <w:sz w:val="18"/>
          <w:vertAlign w:val="baseline"/>
        </w:rPr>
        <w:t> </w:t>
      </w:r>
      <w:r>
        <w:rPr>
          <w:sz w:val="18"/>
          <w:vertAlign w:val="baseline"/>
        </w:rPr>
        <w:t>Keith</w:t>
      </w:r>
      <w:r>
        <w:rPr>
          <w:spacing w:val="-2"/>
          <w:sz w:val="18"/>
          <w:vertAlign w:val="baseline"/>
        </w:rPr>
        <w:t> </w:t>
      </w:r>
      <w:r>
        <w:rPr>
          <w:sz w:val="18"/>
          <w:vertAlign w:val="baseline"/>
        </w:rPr>
        <w:t>J.</w:t>
      </w:r>
      <w:r>
        <w:rPr>
          <w:spacing w:val="37"/>
          <w:sz w:val="18"/>
          <w:vertAlign w:val="baseline"/>
        </w:rPr>
        <w:t> </w:t>
      </w:r>
      <w:r>
        <w:rPr>
          <w:sz w:val="18"/>
          <w:vertAlign w:val="baseline"/>
        </w:rPr>
        <w:t>and</w:t>
      </w:r>
      <w:r>
        <w:rPr>
          <w:spacing w:val="-2"/>
          <w:sz w:val="18"/>
          <w:vertAlign w:val="baseline"/>
        </w:rPr>
        <w:t> </w:t>
      </w:r>
      <w:r>
        <w:rPr>
          <w:sz w:val="18"/>
          <w:vertAlign w:val="baseline"/>
        </w:rPr>
        <w:t>Wilson,</w:t>
      </w:r>
      <w:r>
        <w:rPr>
          <w:spacing w:val="-3"/>
          <w:sz w:val="18"/>
          <w:vertAlign w:val="baseline"/>
        </w:rPr>
        <w:t> </w:t>
      </w:r>
      <w:r>
        <w:rPr>
          <w:sz w:val="18"/>
          <w:vertAlign w:val="baseline"/>
        </w:rPr>
        <w:t>Bianca</w:t>
      </w:r>
      <w:r>
        <w:rPr>
          <w:spacing w:val="-2"/>
          <w:sz w:val="18"/>
          <w:vertAlign w:val="baseline"/>
        </w:rPr>
        <w:t> </w:t>
      </w:r>
      <w:r>
        <w:rPr>
          <w:sz w:val="18"/>
          <w:vertAlign w:val="baseline"/>
        </w:rPr>
        <w:t>D.M</w:t>
      </w:r>
      <w:r>
        <w:rPr>
          <w:spacing w:val="-3"/>
          <w:sz w:val="18"/>
          <w:vertAlign w:val="baseline"/>
        </w:rPr>
        <w:t> </w:t>
      </w:r>
      <w:r>
        <w:rPr>
          <w:sz w:val="18"/>
          <w:vertAlign w:val="baseline"/>
        </w:rPr>
        <w:t>.</w:t>
      </w:r>
      <w:r>
        <w:rPr>
          <w:spacing w:val="-2"/>
          <w:sz w:val="18"/>
          <w:vertAlign w:val="baseline"/>
        </w:rPr>
        <w:t> </w:t>
      </w:r>
      <w:r>
        <w:rPr>
          <w:sz w:val="18"/>
          <w:vertAlign w:val="baseline"/>
        </w:rPr>
        <w:t>2019.</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of</w:t>
      </w:r>
      <w:r>
        <w:rPr>
          <w:spacing w:val="-3"/>
          <w:sz w:val="18"/>
          <w:vertAlign w:val="baseline"/>
        </w:rPr>
        <w:t> </w:t>
      </w:r>
      <w:r>
        <w:rPr>
          <w:sz w:val="18"/>
          <w:vertAlign w:val="baseline"/>
        </w:rPr>
        <w:t>Color</w:t>
      </w:r>
      <w:r>
        <w:rPr>
          <w:spacing w:val="-3"/>
          <w:sz w:val="18"/>
          <w:vertAlign w:val="baseline"/>
        </w:rPr>
        <w:t> </w:t>
      </w:r>
      <w:r>
        <w:rPr>
          <w:sz w:val="18"/>
          <w:vertAlign w:val="baseline"/>
        </w:rPr>
        <w:t>Impacted</w:t>
      </w:r>
      <w:r>
        <w:rPr>
          <w:spacing w:val="-2"/>
          <w:sz w:val="18"/>
          <w:vertAlign w:val="baseline"/>
        </w:rPr>
        <w:t> </w:t>
      </w:r>
      <w:r>
        <w:rPr>
          <w:sz w:val="18"/>
          <w:vertAlign w:val="baseline"/>
        </w:rPr>
        <w:t>by</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and</w:t>
      </w:r>
      <w:r>
        <w:rPr>
          <w:spacing w:val="-2"/>
          <w:sz w:val="18"/>
          <w:vertAlign w:val="baseline"/>
        </w:rPr>
        <w:t> </w:t>
      </w:r>
      <w:r>
        <w:rPr>
          <w:sz w:val="18"/>
          <w:vertAlign w:val="baseline"/>
        </w:rPr>
        <w:t>Juvenile</w:t>
      </w:r>
      <w:r>
        <w:rPr>
          <w:spacing w:val="-2"/>
          <w:sz w:val="18"/>
          <w:vertAlign w:val="baseline"/>
        </w:rPr>
        <w:t> </w:t>
      </w:r>
      <w:r>
        <w:rPr>
          <w:sz w:val="18"/>
          <w:vertAlign w:val="baseline"/>
        </w:rPr>
        <w:t>Justice Systems (Los Angeles: Williams Institute at the UCLA School of Law, 2019), https://williamsinstitute.law.ucla.edu/wp- </w:t>
      </w:r>
      <w:r>
        <w:rPr>
          <w:spacing w:val="-2"/>
          <w:sz w:val="18"/>
          <w:vertAlign w:val="baseline"/>
        </w:rPr>
        <w:t>content/uploads/LGBTQYOC-Social-Services-Jul-2019.pdf.</w:t>
      </w:r>
    </w:p>
    <w:p>
      <w:pPr>
        <w:spacing w:before="0"/>
        <w:ind w:left="320" w:right="228" w:firstLine="0"/>
        <w:jc w:val="left"/>
        <w:rPr>
          <w:sz w:val="18"/>
        </w:rPr>
      </w:pPr>
      <w:r>
        <w:rPr>
          <w:sz w:val="18"/>
          <w:vertAlign w:val="superscript"/>
        </w:rPr>
        <w:t>9</w:t>
      </w:r>
      <w:r>
        <w:rPr>
          <w:spacing w:val="-2"/>
          <w:sz w:val="18"/>
          <w:vertAlign w:val="baseline"/>
        </w:rPr>
        <w:t> </w:t>
      </w:r>
      <w:r>
        <w:rPr>
          <w:sz w:val="18"/>
          <w:vertAlign w:val="baseline"/>
        </w:rPr>
        <w:t>Vallas,</w:t>
      </w:r>
      <w:r>
        <w:rPr>
          <w:spacing w:val="-3"/>
          <w:sz w:val="18"/>
          <w:vertAlign w:val="baseline"/>
        </w:rPr>
        <w:t> </w:t>
      </w:r>
      <w:r>
        <w:rPr>
          <w:sz w:val="18"/>
          <w:vertAlign w:val="baseline"/>
        </w:rPr>
        <w:t>Rebecca</w:t>
      </w:r>
      <w:r>
        <w:rPr>
          <w:spacing w:val="-1"/>
          <w:sz w:val="18"/>
          <w:vertAlign w:val="baseline"/>
        </w:rPr>
        <w:t> </w:t>
      </w:r>
      <w:r>
        <w:rPr>
          <w:sz w:val="18"/>
          <w:vertAlign w:val="baseline"/>
        </w:rPr>
        <w:t>and</w:t>
      </w:r>
      <w:r>
        <w:rPr>
          <w:spacing w:val="-2"/>
          <w:sz w:val="18"/>
          <w:vertAlign w:val="baseline"/>
        </w:rPr>
        <w:t> </w:t>
      </w:r>
      <w:r>
        <w:rPr>
          <w:sz w:val="18"/>
          <w:vertAlign w:val="baseline"/>
        </w:rPr>
        <w:t>Dietrich,</w:t>
      </w:r>
      <w:r>
        <w:rPr>
          <w:spacing w:val="-3"/>
          <w:sz w:val="18"/>
          <w:vertAlign w:val="baseline"/>
        </w:rPr>
        <w:t> </w:t>
      </w:r>
      <w:r>
        <w:rPr>
          <w:sz w:val="18"/>
          <w:vertAlign w:val="baseline"/>
        </w:rPr>
        <w:t>Sharon.</w:t>
      </w:r>
      <w:r>
        <w:rPr>
          <w:spacing w:val="-2"/>
          <w:sz w:val="18"/>
          <w:vertAlign w:val="baseline"/>
        </w:rPr>
        <w:t> </w:t>
      </w:r>
      <w:r>
        <w:rPr>
          <w:sz w:val="18"/>
          <w:vertAlign w:val="baseline"/>
        </w:rPr>
        <w:t>2018.</w:t>
      </w:r>
      <w:r>
        <w:rPr>
          <w:spacing w:val="-2"/>
          <w:sz w:val="18"/>
          <w:vertAlign w:val="baseline"/>
        </w:rPr>
        <w:t> </w:t>
      </w:r>
      <w:r>
        <w:rPr>
          <w:sz w:val="18"/>
          <w:vertAlign w:val="baseline"/>
        </w:rPr>
        <w:t>“One</w:t>
      </w:r>
      <w:r>
        <w:rPr>
          <w:spacing w:val="-2"/>
          <w:sz w:val="18"/>
          <w:vertAlign w:val="baseline"/>
        </w:rPr>
        <w:t> </w:t>
      </w:r>
      <w:r>
        <w:rPr>
          <w:sz w:val="18"/>
          <w:vertAlign w:val="baseline"/>
        </w:rPr>
        <w:t>Strike</w:t>
      </w:r>
      <w:r>
        <w:rPr>
          <w:spacing w:val="-2"/>
          <w:sz w:val="18"/>
          <w:vertAlign w:val="baseline"/>
        </w:rPr>
        <w:t> </w:t>
      </w:r>
      <w:r>
        <w:rPr>
          <w:sz w:val="18"/>
          <w:vertAlign w:val="baseline"/>
        </w:rPr>
        <w:t>and</w:t>
      </w:r>
      <w:r>
        <w:rPr>
          <w:spacing w:val="-2"/>
          <w:sz w:val="18"/>
          <w:vertAlign w:val="baseline"/>
        </w:rPr>
        <w:t> </w:t>
      </w:r>
      <w:r>
        <w:rPr>
          <w:sz w:val="18"/>
          <w:vertAlign w:val="baseline"/>
        </w:rPr>
        <w:t>You’re</w:t>
      </w:r>
      <w:r>
        <w:rPr>
          <w:spacing w:val="-2"/>
          <w:sz w:val="18"/>
          <w:vertAlign w:val="baseline"/>
        </w:rPr>
        <w:t> </w:t>
      </w:r>
      <w:r>
        <w:rPr>
          <w:sz w:val="18"/>
          <w:vertAlign w:val="baseline"/>
        </w:rPr>
        <w:t>Out:</w:t>
      </w:r>
      <w:r>
        <w:rPr>
          <w:spacing w:val="-2"/>
          <w:sz w:val="18"/>
          <w:vertAlign w:val="baseline"/>
        </w:rPr>
        <w:t> </w:t>
      </w:r>
      <w:r>
        <w:rPr>
          <w:sz w:val="18"/>
          <w:vertAlign w:val="baseline"/>
        </w:rPr>
        <w:t>How</w:t>
      </w:r>
      <w:r>
        <w:rPr>
          <w:spacing w:val="-3"/>
          <w:sz w:val="18"/>
          <w:vertAlign w:val="baseline"/>
        </w:rPr>
        <w:t> </w:t>
      </w:r>
      <w:r>
        <w:rPr>
          <w:sz w:val="18"/>
          <w:vertAlign w:val="baseline"/>
        </w:rPr>
        <w:t>We</w:t>
      </w:r>
      <w:r>
        <w:rPr>
          <w:spacing w:val="-1"/>
          <w:sz w:val="18"/>
          <w:vertAlign w:val="baseline"/>
        </w:rPr>
        <w:t> </w:t>
      </w:r>
      <w:r>
        <w:rPr>
          <w:sz w:val="18"/>
          <w:vertAlign w:val="baseline"/>
        </w:rPr>
        <w:t>Can</w:t>
      </w:r>
      <w:r>
        <w:rPr>
          <w:spacing w:val="-2"/>
          <w:sz w:val="18"/>
          <w:vertAlign w:val="baseline"/>
        </w:rPr>
        <w:t> </w:t>
      </w:r>
      <w:r>
        <w:rPr>
          <w:sz w:val="18"/>
          <w:vertAlign w:val="baseline"/>
        </w:rPr>
        <w:t>Eliminate</w:t>
      </w:r>
      <w:r>
        <w:rPr>
          <w:spacing w:val="-2"/>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Economic</w:t>
      </w:r>
      <w:r>
        <w:rPr>
          <w:spacing w:val="-3"/>
          <w:sz w:val="18"/>
          <w:vertAlign w:val="baseline"/>
        </w:rPr>
        <w:t> </w:t>
      </w:r>
      <w:r>
        <w:rPr>
          <w:sz w:val="18"/>
          <w:vertAlign w:val="baseline"/>
        </w:rPr>
        <w:t>Security and Mobility for People with Juvenile Records, Center for American Progress, December 2, 2014,</w:t>
      </w:r>
    </w:p>
    <w:p>
      <w:pPr>
        <w:spacing w:before="0"/>
        <w:ind w:left="320" w:right="410" w:firstLine="0"/>
        <w:jc w:val="both"/>
        <w:rPr>
          <w:sz w:val="18"/>
        </w:rPr>
      </w:pPr>
      <w:r>
        <w:rPr>
          <w:sz w:val="18"/>
          <w:vertAlign w:val="superscript"/>
        </w:rPr>
        <w:t>10</w:t>
      </w:r>
      <w:r>
        <w:rPr>
          <w:spacing w:val="-2"/>
          <w:sz w:val="18"/>
          <w:vertAlign w:val="baseline"/>
        </w:rPr>
        <w:t> </w:t>
      </w:r>
      <w:r>
        <w:rPr>
          <w:sz w:val="18"/>
          <w:vertAlign w:val="baseline"/>
        </w:rPr>
        <w:t>Burns</w:t>
      </w:r>
      <w:r>
        <w:rPr>
          <w:spacing w:val="-2"/>
          <w:sz w:val="18"/>
          <w:vertAlign w:val="baseline"/>
        </w:rPr>
        <w:t> </w:t>
      </w:r>
      <w:r>
        <w:rPr>
          <w:sz w:val="18"/>
          <w:vertAlign w:val="baseline"/>
        </w:rPr>
        <w:t>Institute.</w:t>
      </w:r>
      <w:r>
        <w:rPr>
          <w:spacing w:val="-2"/>
          <w:sz w:val="18"/>
          <w:vertAlign w:val="baseline"/>
        </w:rPr>
        <w:t> </w:t>
      </w:r>
      <w:r>
        <w:rPr>
          <w:sz w:val="18"/>
          <w:vertAlign w:val="baseline"/>
        </w:rPr>
        <w:t>2020.</w:t>
      </w:r>
      <w:r>
        <w:rPr>
          <w:spacing w:val="-2"/>
          <w:sz w:val="18"/>
          <w:vertAlign w:val="baseline"/>
        </w:rPr>
        <w:t> </w:t>
      </w:r>
      <w:r>
        <w:rPr>
          <w:sz w:val="18"/>
          <w:vertAlign w:val="baseline"/>
        </w:rPr>
        <w:t>Stemming</w:t>
      </w:r>
      <w:r>
        <w:rPr>
          <w:spacing w:val="-3"/>
          <w:sz w:val="18"/>
          <w:vertAlign w:val="baseline"/>
        </w:rPr>
        <w:t> </w:t>
      </w:r>
      <w:r>
        <w:rPr>
          <w:sz w:val="18"/>
          <w:vertAlign w:val="baseline"/>
        </w:rPr>
        <w:t>the</w:t>
      </w:r>
      <w:r>
        <w:rPr>
          <w:spacing w:val="-2"/>
          <w:sz w:val="18"/>
          <w:vertAlign w:val="baseline"/>
        </w:rPr>
        <w:t> </w:t>
      </w:r>
      <w:r>
        <w:rPr>
          <w:sz w:val="18"/>
          <w:vertAlign w:val="baseline"/>
        </w:rPr>
        <w:t>Rising</w:t>
      </w:r>
      <w:r>
        <w:rPr>
          <w:spacing w:val="-2"/>
          <w:sz w:val="18"/>
          <w:vertAlign w:val="baseline"/>
        </w:rPr>
        <w:t> </w:t>
      </w:r>
      <w:r>
        <w:rPr>
          <w:sz w:val="18"/>
          <w:vertAlign w:val="baseline"/>
        </w:rPr>
        <w:t>Tide:</w:t>
      </w:r>
      <w:r>
        <w:rPr>
          <w:spacing w:val="-2"/>
          <w:sz w:val="18"/>
          <w:vertAlign w:val="baseline"/>
        </w:rPr>
        <w:t> </w:t>
      </w:r>
      <w:r>
        <w:rPr>
          <w:sz w:val="18"/>
          <w:vertAlign w:val="baseline"/>
        </w:rPr>
        <w:t>Racial</w:t>
      </w:r>
      <w:r>
        <w:rPr>
          <w:spacing w:val="-2"/>
          <w:sz w:val="18"/>
          <w:vertAlign w:val="baseline"/>
        </w:rPr>
        <w:t> </w:t>
      </w:r>
      <w:r>
        <w:rPr>
          <w:sz w:val="18"/>
          <w:vertAlign w:val="baseline"/>
        </w:rPr>
        <w:t>&amp;</w:t>
      </w:r>
      <w:r>
        <w:rPr>
          <w:spacing w:val="-3"/>
          <w:sz w:val="18"/>
          <w:vertAlign w:val="baseline"/>
        </w:rPr>
        <w:t> </w:t>
      </w:r>
      <w:r>
        <w:rPr>
          <w:sz w:val="18"/>
          <w:vertAlign w:val="baseline"/>
        </w:rPr>
        <w:t>Ethnic</w:t>
      </w:r>
      <w:r>
        <w:rPr>
          <w:spacing w:val="-2"/>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Youth</w:t>
      </w:r>
      <w:r>
        <w:rPr>
          <w:spacing w:val="-2"/>
          <w:sz w:val="18"/>
          <w:vertAlign w:val="baseline"/>
        </w:rPr>
        <w:t> </w:t>
      </w:r>
      <w:r>
        <w:rPr>
          <w:sz w:val="18"/>
          <w:vertAlign w:val="baseline"/>
        </w:rPr>
        <w:t>Incarceration</w:t>
      </w:r>
      <w:r>
        <w:rPr>
          <w:spacing w:val="-2"/>
          <w:sz w:val="18"/>
          <w:vertAlign w:val="baseline"/>
        </w:rPr>
        <w:t> </w:t>
      </w:r>
      <w:r>
        <w:rPr>
          <w:sz w:val="18"/>
          <w:vertAlign w:val="baseline"/>
        </w:rPr>
        <w:t>&amp;</w:t>
      </w:r>
      <w:r>
        <w:rPr>
          <w:spacing w:val="-3"/>
          <w:sz w:val="18"/>
          <w:vertAlign w:val="baseline"/>
        </w:rPr>
        <w:t> </w:t>
      </w:r>
      <w:r>
        <w:rPr>
          <w:sz w:val="18"/>
          <w:vertAlign w:val="baseline"/>
        </w:rPr>
        <w:t>Strategies</w:t>
      </w:r>
      <w:r>
        <w:rPr>
          <w:spacing w:val="-2"/>
          <w:sz w:val="18"/>
          <w:vertAlign w:val="baseline"/>
        </w:rPr>
        <w:t> </w:t>
      </w:r>
      <w:r>
        <w:rPr>
          <w:sz w:val="18"/>
          <w:vertAlign w:val="baseline"/>
        </w:rPr>
        <w:t>for</w:t>
      </w:r>
      <w:r>
        <w:rPr>
          <w:spacing w:val="-3"/>
          <w:sz w:val="18"/>
          <w:vertAlign w:val="baseline"/>
        </w:rPr>
        <w:t> </w:t>
      </w:r>
      <w:r>
        <w:rPr>
          <w:sz w:val="18"/>
          <w:vertAlign w:val="baseline"/>
        </w:rPr>
        <w:t>Change (Oakland: The W. Haywood Burns Institute,</w:t>
      </w:r>
      <w:r>
        <w:rPr>
          <w:spacing w:val="-1"/>
          <w:sz w:val="18"/>
          <w:vertAlign w:val="baseline"/>
        </w:rPr>
        <w:t> </w:t>
      </w:r>
      <w:r>
        <w:rPr>
          <w:sz w:val="18"/>
          <w:vertAlign w:val="baseline"/>
        </w:rPr>
        <w:t>2020),</w:t>
      </w:r>
      <w:r>
        <w:rPr>
          <w:spacing w:val="-1"/>
          <w:sz w:val="18"/>
          <w:vertAlign w:val="baseline"/>
        </w:rPr>
        <w:t> </w:t>
      </w:r>
      <w:r>
        <w:rPr>
          <w:sz w:val="18"/>
          <w:vertAlign w:val="baseline"/>
        </w:rPr>
        <w:t>https://burnsinstitute.org/wp-content/uploads/2020/09/Stemming-the- </w:t>
      </w:r>
      <w:r>
        <w:rPr>
          <w:spacing w:val="-2"/>
          <w:sz w:val="18"/>
          <w:vertAlign w:val="baseline"/>
        </w:rPr>
        <w:t>Rising-Tide-_compressed.pdf.</w:t>
      </w:r>
    </w:p>
    <w:p>
      <w:pPr>
        <w:spacing w:before="0"/>
        <w:ind w:left="320" w:right="460" w:firstLine="0"/>
        <w:jc w:val="left"/>
        <w:rPr>
          <w:sz w:val="18"/>
        </w:rPr>
      </w:pPr>
      <w:r>
        <w:rPr>
          <w:sz w:val="18"/>
          <w:vertAlign w:val="superscript"/>
        </w:rPr>
        <w:t>11</w:t>
      </w:r>
      <w:r>
        <w:rPr>
          <w:spacing w:val="-2"/>
          <w:sz w:val="18"/>
          <w:vertAlign w:val="baseline"/>
        </w:rPr>
        <w:t> </w:t>
      </w:r>
      <w:r>
        <w:rPr>
          <w:sz w:val="18"/>
          <w:vertAlign w:val="baseline"/>
        </w:rPr>
        <w:t>Conron,</w:t>
      </w:r>
      <w:r>
        <w:rPr>
          <w:spacing w:val="-3"/>
          <w:sz w:val="18"/>
          <w:vertAlign w:val="baseline"/>
        </w:rPr>
        <w:t> </w:t>
      </w:r>
      <w:r>
        <w:rPr>
          <w:sz w:val="18"/>
          <w:vertAlign w:val="baseline"/>
        </w:rPr>
        <w:t>Keith</w:t>
      </w:r>
      <w:r>
        <w:rPr>
          <w:spacing w:val="-2"/>
          <w:sz w:val="18"/>
          <w:vertAlign w:val="baseline"/>
        </w:rPr>
        <w:t> </w:t>
      </w:r>
      <w:r>
        <w:rPr>
          <w:sz w:val="18"/>
          <w:vertAlign w:val="baseline"/>
        </w:rPr>
        <w:t>J.</w:t>
      </w:r>
      <w:r>
        <w:rPr>
          <w:spacing w:val="37"/>
          <w:sz w:val="18"/>
          <w:vertAlign w:val="baseline"/>
        </w:rPr>
        <w:t> </w:t>
      </w:r>
      <w:r>
        <w:rPr>
          <w:sz w:val="18"/>
          <w:vertAlign w:val="baseline"/>
        </w:rPr>
        <w:t>and</w:t>
      </w:r>
      <w:r>
        <w:rPr>
          <w:spacing w:val="-2"/>
          <w:sz w:val="18"/>
          <w:vertAlign w:val="baseline"/>
        </w:rPr>
        <w:t> </w:t>
      </w:r>
      <w:r>
        <w:rPr>
          <w:sz w:val="18"/>
          <w:vertAlign w:val="baseline"/>
        </w:rPr>
        <w:t>Wilson,</w:t>
      </w:r>
      <w:r>
        <w:rPr>
          <w:spacing w:val="-3"/>
          <w:sz w:val="18"/>
          <w:vertAlign w:val="baseline"/>
        </w:rPr>
        <w:t> </w:t>
      </w:r>
      <w:r>
        <w:rPr>
          <w:sz w:val="18"/>
          <w:vertAlign w:val="baseline"/>
        </w:rPr>
        <w:t>Bianca</w:t>
      </w:r>
      <w:r>
        <w:rPr>
          <w:spacing w:val="-2"/>
          <w:sz w:val="18"/>
          <w:vertAlign w:val="baseline"/>
        </w:rPr>
        <w:t> </w:t>
      </w:r>
      <w:r>
        <w:rPr>
          <w:sz w:val="18"/>
          <w:vertAlign w:val="baseline"/>
        </w:rPr>
        <w:t>D.M.</w:t>
      </w:r>
      <w:r>
        <w:rPr>
          <w:spacing w:val="-2"/>
          <w:sz w:val="18"/>
          <w:vertAlign w:val="baseline"/>
        </w:rPr>
        <w:t> </w:t>
      </w:r>
      <w:r>
        <w:rPr>
          <w:sz w:val="18"/>
          <w:vertAlign w:val="baseline"/>
        </w:rPr>
        <w:t>2019.</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of</w:t>
      </w:r>
      <w:r>
        <w:rPr>
          <w:spacing w:val="-2"/>
          <w:sz w:val="18"/>
          <w:vertAlign w:val="baseline"/>
        </w:rPr>
        <w:t> </w:t>
      </w:r>
      <w:r>
        <w:rPr>
          <w:sz w:val="18"/>
          <w:vertAlign w:val="baseline"/>
        </w:rPr>
        <w:t>Color</w:t>
      </w:r>
      <w:r>
        <w:rPr>
          <w:spacing w:val="-3"/>
          <w:sz w:val="18"/>
          <w:vertAlign w:val="baseline"/>
        </w:rPr>
        <w:t> </w:t>
      </w:r>
      <w:r>
        <w:rPr>
          <w:sz w:val="18"/>
          <w:vertAlign w:val="baseline"/>
        </w:rPr>
        <w:t>Impacted</w:t>
      </w:r>
      <w:r>
        <w:rPr>
          <w:spacing w:val="-2"/>
          <w:sz w:val="18"/>
          <w:vertAlign w:val="baseline"/>
        </w:rPr>
        <w:t> </w:t>
      </w:r>
      <w:r>
        <w:rPr>
          <w:sz w:val="18"/>
          <w:vertAlign w:val="baseline"/>
        </w:rPr>
        <w:t>by</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and</w:t>
      </w:r>
      <w:r>
        <w:rPr>
          <w:spacing w:val="-2"/>
          <w:sz w:val="18"/>
          <w:vertAlign w:val="baseline"/>
        </w:rPr>
        <w:t> </w:t>
      </w:r>
      <w:r>
        <w:rPr>
          <w:sz w:val="18"/>
          <w:vertAlign w:val="baseline"/>
        </w:rPr>
        <w:t>Juvenile</w:t>
      </w:r>
      <w:r>
        <w:rPr>
          <w:spacing w:val="-3"/>
          <w:sz w:val="18"/>
          <w:vertAlign w:val="baseline"/>
        </w:rPr>
        <w:t> </w:t>
      </w:r>
      <w:r>
        <w:rPr>
          <w:sz w:val="18"/>
          <w:vertAlign w:val="baseline"/>
        </w:rPr>
        <w:t>Justice Systems (Los Angeles: Williams Institute at the UCLA School of Law, 2019), https://williamsinstitute.law.ucla.edu/wp- </w:t>
      </w:r>
      <w:r>
        <w:rPr>
          <w:spacing w:val="-2"/>
          <w:sz w:val="18"/>
          <w:vertAlign w:val="baseline"/>
        </w:rPr>
        <w:t>content/uploads/LGBTQYOC-Social-Services-Jul-2019.pdf.</w:t>
      </w:r>
    </w:p>
    <w:p>
      <w:pPr>
        <w:spacing w:before="0"/>
        <w:ind w:left="320" w:right="481" w:firstLine="0"/>
        <w:jc w:val="left"/>
        <w:rPr>
          <w:sz w:val="18"/>
        </w:rPr>
      </w:pPr>
      <w:r>
        <w:rPr>
          <w:sz w:val="18"/>
          <w:vertAlign w:val="superscript"/>
        </w:rPr>
        <w:t>12</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American</w:t>
      </w:r>
      <w:r>
        <w:rPr>
          <w:spacing w:val="-2"/>
          <w:sz w:val="18"/>
          <w:vertAlign w:val="baseline"/>
        </w:rPr>
        <w:t> </w:t>
      </w:r>
      <w:r>
        <w:rPr>
          <w:sz w:val="18"/>
          <w:vertAlign w:val="baseline"/>
        </w:rPr>
        <w:t>Progress,</w:t>
      </w:r>
      <w:r>
        <w:rPr>
          <w:spacing w:val="-3"/>
          <w:sz w:val="18"/>
          <w:vertAlign w:val="baseline"/>
        </w:rPr>
        <w:t> </w:t>
      </w:r>
      <w:r>
        <w:rPr>
          <w:sz w:val="18"/>
          <w:vertAlign w:val="baseline"/>
        </w:rPr>
        <w:t>MAP,</w:t>
      </w:r>
      <w:r>
        <w:rPr>
          <w:spacing w:val="-3"/>
          <w:sz w:val="18"/>
          <w:vertAlign w:val="baseline"/>
        </w:rPr>
        <w:t> </w:t>
      </w:r>
      <w:r>
        <w:rPr>
          <w:sz w:val="18"/>
          <w:vertAlign w:val="baseline"/>
        </w:rPr>
        <w:t>and</w:t>
      </w:r>
      <w:r>
        <w:rPr>
          <w:spacing w:val="-2"/>
          <w:sz w:val="18"/>
          <w:vertAlign w:val="baseline"/>
        </w:rPr>
        <w:t> </w:t>
      </w:r>
      <w:r>
        <w:rPr>
          <w:sz w:val="18"/>
          <w:vertAlign w:val="baseline"/>
        </w:rPr>
        <w:t>Youth</w:t>
      </w:r>
      <w:r>
        <w:rPr>
          <w:spacing w:val="-2"/>
          <w:sz w:val="18"/>
          <w:vertAlign w:val="baseline"/>
        </w:rPr>
        <w:t> </w:t>
      </w:r>
      <w:r>
        <w:rPr>
          <w:sz w:val="18"/>
          <w:vertAlign w:val="baseline"/>
        </w:rPr>
        <w:t>First.</w:t>
      </w:r>
      <w:r>
        <w:rPr>
          <w:spacing w:val="-2"/>
          <w:sz w:val="18"/>
          <w:vertAlign w:val="baseline"/>
        </w:rPr>
        <w:t> </w:t>
      </w:r>
      <w:r>
        <w:rPr>
          <w:sz w:val="18"/>
          <w:vertAlign w:val="baseline"/>
        </w:rPr>
        <w:t>2017.</w:t>
      </w:r>
      <w:r>
        <w:rPr>
          <w:spacing w:val="-2"/>
          <w:sz w:val="18"/>
          <w:vertAlign w:val="baseline"/>
        </w:rPr>
        <w:t> </w:t>
      </w:r>
      <w:r>
        <w:rPr>
          <w:sz w:val="18"/>
          <w:vertAlign w:val="baseline"/>
        </w:rPr>
        <w:t>"Unjust:</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Incarcerated</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Juvenile</w:t>
      </w:r>
      <w:r>
        <w:rPr>
          <w:spacing w:val="-2"/>
          <w:sz w:val="18"/>
          <w:vertAlign w:val="baseline"/>
        </w:rPr>
        <w:t> </w:t>
      </w:r>
      <w:r>
        <w:rPr>
          <w:sz w:val="18"/>
          <w:vertAlign w:val="baseline"/>
        </w:rPr>
        <w:t>Justice System." June 2017. </w:t>
      </w:r>
      <w:hyperlink r:id="rId479">
        <w:r>
          <w:rPr>
            <w:sz w:val="18"/>
            <w:u w:val="single"/>
            <w:vertAlign w:val="baseline"/>
          </w:rPr>
          <w:t>https://www.lgbtmap.org/file/lgbtq-incarcerated-youth.pdf</w:t>
        </w:r>
        <w:r>
          <w:rPr>
            <w:sz w:val="18"/>
            <w:u w:val="none"/>
            <w:vertAlign w:val="baseline"/>
          </w:rPr>
          <w:t>.</w:t>
        </w:r>
      </w:hyperlink>
    </w:p>
    <w:p>
      <w:pPr>
        <w:spacing w:before="0"/>
        <w:ind w:left="320" w:right="0" w:firstLine="0"/>
        <w:jc w:val="left"/>
        <w:rPr>
          <w:sz w:val="18"/>
        </w:rPr>
      </w:pPr>
      <w:r>
        <w:rPr>
          <w:sz w:val="18"/>
          <w:vertAlign w:val="superscript"/>
        </w:rPr>
        <w:t>13</w:t>
      </w:r>
      <w:r>
        <w:rPr>
          <w:spacing w:val="-2"/>
          <w:sz w:val="18"/>
          <w:vertAlign w:val="baseline"/>
        </w:rPr>
        <w:t> </w:t>
      </w:r>
      <w:r>
        <w:rPr>
          <w:sz w:val="18"/>
          <w:vertAlign w:val="baseline"/>
        </w:rPr>
        <w:t>Prison</w:t>
      </w:r>
      <w:r>
        <w:rPr>
          <w:spacing w:val="-2"/>
          <w:sz w:val="18"/>
          <w:vertAlign w:val="baseline"/>
        </w:rPr>
        <w:t> </w:t>
      </w:r>
      <w:r>
        <w:rPr>
          <w:sz w:val="18"/>
          <w:vertAlign w:val="baseline"/>
        </w:rPr>
        <w:t>Policy</w:t>
      </w:r>
      <w:r>
        <w:rPr>
          <w:spacing w:val="-2"/>
          <w:sz w:val="18"/>
          <w:vertAlign w:val="baseline"/>
        </w:rPr>
        <w:t> </w:t>
      </w:r>
      <w:r>
        <w:rPr>
          <w:sz w:val="18"/>
          <w:vertAlign w:val="baseline"/>
        </w:rPr>
        <w:t>Initiative.</w:t>
      </w:r>
      <w:r>
        <w:rPr>
          <w:spacing w:val="-2"/>
          <w:sz w:val="18"/>
          <w:vertAlign w:val="baseline"/>
        </w:rPr>
        <w:t> </w:t>
      </w:r>
      <w:r>
        <w:rPr>
          <w:sz w:val="18"/>
          <w:vertAlign w:val="baseline"/>
        </w:rPr>
        <w:t>2021.</w:t>
      </w:r>
      <w:r>
        <w:rPr>
          <w:spacing w:val="-2"/>
          <w:sz w:val="18"/>
          <w:vertAlign w:val="baseline"/>
        </w:rPr>
        <w:t> </w:t>
      </w:r>
      <w:r>
        <w:rPr>
          <w:sz w:val="18"/>
          <w:vertAlign w:val="baseline"/>
        </w:rPr>
        <w:t>“Visualizing</w:t>
      </w:r>
      <w:r>
        <w:rPr>
          <w:spacing w:val="-2"/>
          <w:sz w:val="18"/>
          <w:vertAlign w:val="baseline"/>
        </w:rPr>
        <w:t> </w:t>
      </w:r>
      <w:r>
        <w:rPr>
          <w:sz w:val="18"/>
          <w:vertAlign w:val="baseline"/>
        </w:rPr>
        <w:t>the</w:t>
      </w:r>
      <w:r>
        <w:rPr>
          <w:spacing w:val="-2"/>
          <w:sz w:val="18"/>
          <w:vertAlign w:val="baseline"/>
        </w:rPr>
        <w:t> </w:t>
      </w:r>
      <w:r>
        <w:rPr>
          <w:sz w:val="18"/>
          <w:vertAlign w:val="baseline"/>
        </w:rPr>
        <w:t>Unequal</w:t>
      </w:r>
      <w:r>
        <w:rPr>
          <w:spacing w:val="-3"/>
          <w:sz w:val="18"/>
          <w:vertAlign w:val="baseline"/>
        </w:rPr>
        <w:t> </w:t>
      </w:r>
      <w:r>
        <w:rPr>
          <w:sz w:val="18"/>
          <w:vertAlign w:val="baseline"/>
        </w:rPr>
        <w:t>Treatment</w:t>
      </w:r>
      <w:r>
        <w:rPr>
          <w:spacing w:val="-4"/>
          <w:sz w:val="18"/>
          <w:vertAlign w:val="baseline"/>
        </w:rPr>
        <w:t> </w:t>
      </w:r>
      <w:r>
        <w:rPr>
          <w:sz w:val="18"/>
          <w:vertAlign w:val="baseline"/>
        </w:rPr>
        <w:t>of</w:t>
      </w:r>
      <w:r>
        <w:rPr>
          <w:spacing w:val="-2"/>
          <w:sz w:val="18"/>
          <w:vertAlign w:val="baseline"/>
        </w:rPr>
        <w:t> </w:t>
      </w:r>
      <w:r>
        <w:rPr>
          <w:sz w:val="18"/>
          <w:vertAlign w:val="baseline"/>
        </w:rPr>
        <w:t>LGBTQ</w:t>
      </w:r>
      <w:r>
        <w:rPr>
          <w:spacing w:val="-4"/>
          <w:sz w:val="18"/>
          <w:vertAlign w:val="baseline"/>
        </w:rPr>
        <w:t> </w:t>
      </w:r>
      <w:r>
        <w:rPr>
          <w:sz w:val="18"/>
          <w:vertAlign w:val="baseline"/>
        </w:rPr>
        <w:t>People</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Criminal</w:t>
      </w:r>
      <w:r>
        <w:rPr>
          <w:spacing w:val="-3"/>
          <w:sz w:val="18"/>
          <w:vertAlign w:val="baseline"/>
        </w:rPr>
        <w:t> </w:t>
      </w:r>
      <w:r>
        <w:rPr>
          <w:sz w:val="18"/>
          <w:vertAlign w:val="baseline"/>
        </w:rPr>
        <w:t>Justice</w:t>
      </w:r>
      <w:r>
        <w:rPr>
          <w:spacing w:val="-2"/>
          <w:sz w:val="18"/>
          <w:vertAlign w:val="baseline"/>
        </w:rPr>
        <w:t> </w:t>
      </w:r>
      <w:r>
        <w:rPr>
          <w:sz w:val="18"/>
          <w:vertAlign w:val="baseline"/>
        </w:rPr>
        <w:t>System”.</w:t>
      </w:r>
      <w:r>
        <w:rPr>
          <w:spacing w:val="-3"/>
          <w:sz w:val="18"/>
          <w:vertAlign w:val="baseline"/>
        </w:rPr>
        <w:t> </w:t>
      </w:r>
      <w:r>
        <w:rPr>
          <w:sz w:val="18"/>
          <w:vertAlign w:val="baseline"/>
        </w:rPr>
        <w:t>2021. </w:t>
      </w:r>
      <w:hyperlink r:id="rId480">
        <w:r>
          <w:rPr>
            <w:spacing w:val="-2"/>
            <w:sz w:val="18"/>
            <w:u w:val="single"/>
            <w:vertAlign w:val="baseline"/>
          </w:rPr>
          <w:t>https://www.prisonpolicy.org/blog/2021/03/02/lgbtq/</w:t>
        </w:r>
      </w:hyperlink>
    </w:p>
    <w:p>
      <w:pPr>
        <w:spacing w:line="219" w:lineRule="exact" w:before="0"/>
        <w:ind w:left="320" w:right="0" w:firstLine="0"/>
        <w:jc w:val="left"/>
        <w:rPr>
          <w:i/>
          <w:sz w:val="18"/>
        </w:rPr>
      </w:pPr>
      <w:r>
        <w:rPr>
          <w:sz w:val="18"/>
          <w:vertAlign w:val="superscript"/>
        </w:rPr>
        <w:t>14</w:t>
      </w:r>
      <w:r>
        <w:rPr>
          <w:sz w:val="18"/>
          <w:vertAlign w:val="baseline"/>
        </w:rPr>
        <w:t> </w:t>
      </w:r>
      <w:r>
        <w:rPr>
          <w:i/>
          <w:spacing w:val="-5"/>
          <w:sz w:val="18"/>
          <w:vertAlign w:val="baseline"/>
        </w:rPr>
        <w:t>Id.</w:t>
      </w:r>
    </w:p>
    <w:p>
      <w:pPr>
        <w:spacing w:before="0"/>
        <w:ind w:left="320" w:right="228" w:firstLine="0"/>
        <w:jc w:val="left"/>
        <w:rPr>
          <w:sz w:val="18"/>
        </w:rPr>
      </w:pPr>
      <w:r>
        <w:rPr>
          <w:sz w:val="18"/>
          <w:vertAlign w:val="superscript"/>
        </w:rPr>
        <w:t>15</w:t>
      </w:r>
      <w:r>
        <w:rPr>
          <w:spacing w:val="-2"/>
          <w:sz w:val="18"/>
          <w:vertAlign w:val="baseline"/>
        </w:rPr>
        <w:t> </w:t>
      </w:r>
      <w:r>
        <w:rPr>
          <w:sz w:val="18"/>
          <w:vertAlign w:val="baseline"/>
        </w:rPr>
        <w:t>Vallas,</w:t>
      </w:r>
      <w:r>
        <w:rPr>
          <w:spacing w:val="-3"/>
          <w:sz w:val="18"/>
          <w:vertAlign w:val="baseline"/>
        </w:rPr>
        <w:t> </w:t>
      </w:r>
      <w:r>
        <w:rPr>
          <w:sz w:val="18"/>
          <w:vertAlign w:val="baseline"/>
        </w:rPr>
        <w:t>R.,</w:t>
      </w:r>
      <w:r>
        <w:rPr>
          <w:spacing w:val="-2"/>
          <w:sz w:val="18"/>
          <w:vertAlign w:val="baseline"/>
        </w:rPr>
        <w:t> </w:t>
      </w:r>
      <w:r>
        <w:rPr>
          <w:sz w:val="18"/>
          <w:vertAlign w:val="baseline"/>
        </w:rPr>
        <w:t>&amp;</w:t>
      </w:r>
      <w:r>
        <w:rPr>
          <w:spacing w:val="-3"/>
          <w:sz w:val="18"/>
          <w:vertAlign w:val="baseline"/>
        </w:rPr>
        <w:t> </w:t>
      </w:r>
      <w:r>
        <w:rPr>
          <w:sz w:val="18"/>
          <w:vertAlign w:val="baseline"/>
        </w:rPr>
        <w:t>Dietrich,</w:t>
      </w:r>
      <w:r>
        <w:rPr>
          <w:spacing w:val="-3"/>
          <w:sz w:val="18"/>
          <w:vertAlign w:val="baseline"/>
        </w:rPr>
        <w:t> </w:t>
      </w:r>
      <w:r>
        <w:rPr>
          <w:sz w:val="18"/>
          <w:vertAlign w:val="baseline"/>
        </w:rPr>
        <w:t>S.</w:t>
      </w:r>
      <w:r>
        <w:rPr>
          <w:spacing w:val="-2"/>
          <w:sz w:val="18"/>
          <w:vertAlign w:val="baseline"/>
        </w:rPr>
        <w:t> </w:t>
      </w:r>
      <w:r>
        <w:rPr>
          <w:sz w:val="18"/>
          <w:vertAlign w:val="baseline"/>
        </w:rPr>
        <w:t>2014.</w:t>
      </w:r>
      <w:r>
        <w:rPr>
          <w:spacing w:val="-2"/>
          <w:sz w:val="18"/>
          <w:vertAlign w:val="baseline"/>
        </w:rPr>
        <w:t> </w:t>
      </w:r>
      <w:r>
        <w:rPr>
          <w:sz w:val="18"/>
          <w:vertAlign w:val="baseline"/>
        </w:rPr>
        <w:t>One</w:t>
      </w:r>
      <w:r>
        <w:rPr>
          <w:spacing w:val="-2"/>
          <w:sz w:val="18"/>
          <w:vertAlign w:val="baseline"/>
        </w:rPr>
        <w:t> </w:t>
      </w:r>
      <w:r>
        <w:rPr>
          <w:sz w:val="18"/>
          <w:vertAlign w:val="baseline"/>
        </w:rPr>
        <w:t>Strike</w:t>
      </w:r>
      <w:r>
        <w:rPr>
          <w:spacing w:val="-2"/>
          <w:sz w:val="18"/>
          <w:vertAlign w:val="baseline"/>
        </w:rPr>
        <w:t> </w:t>
      </w:r>
      <w:r>
        <w:rPr>
          <w:sz w:val="18"/>
          <w:vertAlign w:val="baseline"/>
        </w:rPr>
        <w:t>and</w:t>
      </w:r>
      <w:r>
        <w:rPr>
          <w:spacing w:val="-2"/>
          <w:sz w:val="18"/>
          <w:vertAlign w:val="baseline"/>
        </w:rPr>
        <w:t> </w:t>
      </w:r>
      <w:r>
        <w:rPr>
          <w:sz w:val="18"/>
          <w:vertAlign w:val="baseline"/>
        </w:rPr>
        <w:t>You’re</w:t>
      </w:r>
      <w:r>
        <w:rPr>
          <w:spacing w:val="-2"/>
          <w:sz w:val="18"/>
          <w:vertAlign w:val="baseline"/>
        </w:rPr>
        <w:t> </w:t>
      </w:r>
      <w:r>
        <w:rPr>
          <w:sz w:val="18"/>
          <w:vertAlign w:val="baseline"/>
        </w:rPr>
        <w:t>Out:</w:t>
      </w:r>
      <w:r>
        <w:rPr>
          <w:spacing w:val="-2"/>
          <w:sz w:val="18"/>
          <w:vertAlign w:val="baseline"/>
        </w:rPr>
        <w:t> </w:t>
      </w:r>
      <w:r>
        <w:rPr>
          <w:sz w:val="18"/>
          <w:vertAlign w:val="baseline"/>
        </w:rPr>
        <w:t>How</w:t>
      </w:r>
      <w:r>
        <w:rPr>
          <w:spacing w:val="-1"/>
          <w:sz w:val="18"/>
          <w:vertAlign w:val="baseline"/>
        </w:rPr>
        <w:t> </w:t>
      </w:r>
      <w:r>
        <w:rPr>
          <w:sz w:val="18"/>
          <w:vertAlign w:val="baseline"/>
        </w:rPr>
        <w:t>We</w:t>
      </w:r>
      <w:r>
        <w:rPr>
          <w:spacing w:val="-2"/>
          <w:sz w:val="18"/>
          <w:vertAlign w:val="baseline"/>
        </w:rPr>
        <w:t> </w:t>
      </w:r>
      <w:r>
        <w:rPr>
          <w:sz w:val="18"/>
          <w:vertAlign w:val="baseline"/>
        </w:rPr>
        <w:t>Can</w:t>
      </w:r>
      <w:r>
        <w:rPr>
          <w:spacing w:val="-2"/>
          <w:sz w:val="18"/>
          <w:vertAlign w:val="baseline"/>
        </w:rPr>
        <w:t> </w:t>
      </w:r>
      <w:r>
        <w:rPr>
          <w:sz w:val="18"/>
          <w:vertAlign w:val="baseline"/>
        </w:rPr>
        <w:t>Eliminate</w:t>
      </w:r>
      <w:r>
        <w:rPr>
          <w:spacing w:val="-2"/>
          <w:sz w:val="18"/>
          <w:vertAlign w:val="baseline"/>
        </w:rPr>
        <w:t> </w:t>
      </w:r>
      <w:r>
        <w:rPr>
          <w:sz w:val="18"/>
          <w:vertAlign w:val="baseline"/>
        </w:rPr>
        <w:t>Barriers</w:t>
      </w:r>
      <w:r>
        <w:rPr>
          <w:spacing w:val="-2"/>
          <w:sz w:val="18"/>
          <w:vertAlign w:val="baseline"/>
        </w:rPr>
        <w:t> </w:t>
      </w:r>
      <w:r>
        <w:rPr>
          <w:sz w:val="18"/>
          <w:vertAlign w:val="baseline"/>
        </w:rPr>
        <w:t>to</w:t>
      </w:r>
      <w:r>
        <w:rPr>
          <w:spacing w:val="-2"/>
          <w:sz w:val="18"/>
          <w:vertAlign w:val="baseline"/>
        </w:rPr>
        <w:t> </w:t>
      </w:r>
      <w:r>
        <w:rPr>
          <w:sz w:val="18"/>
          <w:vertAlign w:val="baseline"/>
        </w:rPr>
        <w:t>Economic</w:t>
      </w:r>
      <w:r>
        <w:rPr>
          <w:spacing w:val="-3"/>
          <w:sz w:val="18"/>
          <w:vertAlign w:val="baseline"/>
        </w:rPr>
        <w:t> </w:t>
      </w:r>
      <w:r>
        <w:rPr>
          <w:sz w:val="18"/>
          <w:vertAlign w:val="baseline"/>
        </w:rPr>
        <w:t>Security</w:t>
      </w:r>
      <w:r>
        <w:rPr>
          <w:spacing w:val="-2"/>
          <w:sz w:val="18"/>
          <w:vertAlign w:val="baseline"/>
        </w:rPr>
        <w:t> </w:t>
      </w:r>
      <w:r>
        <w:rPr>
          <w:sz w:val="18"/>
          <w:vertAlign w:val="baseline"/>
        </w:rPr>
        <w:t>and</w:t>
      </w:r>
      <w:r>
        <w:rPr>
          <w:spacing w:val="-2"/>
          <w:sz w:val="18"/>
          <w:vertAlign w:val="baseline"/>
        </w:rPr>
        <w:t> </w:t>
      </w:r>
      <w:r>
        <w:rPr>
          <w:sz w:val="18"/>
          <w:vertAlign w:val="baseline"/>
        </w:rPr>
        <w:t>Mobility for People with Juvenile Records. </w:t>
      </w:r>
      <w:r>
        <w:rPr>
          <w:i/>
          <w:sz w:val="18"/>
          <w:vertAlign w:val="baseline"/>
        </w:rPr>
        <w:t>Center for American Progress</w:t>
      </w:r>
      <w:r>
        <w:rPr>
          <w:sz w:val="18"/>
          <w:vertAlign w:val="baseline"/>
        </w:rPr>
        <w:t>.</w:t>
      </w:r>
    </w:p>
    <w:p>
      <w:pPr>
        <w:spacing w:before="0"/>
        <w:ind w:left="320" w:right="175" w:firstLine="0"/>
        <w:jc w:val="left"/>
        <w:rPr>
          <w:sz w:val="18"/>
        </w:rPr>
      </w:pPr>
      <w:r>
        <w:rPr>
          <w:sz w:val="18"/>
          <w:vertAlign w:val="superscript"/>
        </w:rPr>
        <w:t>16</w:t>
      </w:r>
      <w:r>
        <w:rPr>
          <w:sz w:val="18"/>
          <w:vertAlign w:val="baseline"/>
        </w:rPr>
        <w:t> Massachusetts Department of Youth Services. 2024. "Gender, Race, and LGBTQ+ Outcomes for the DYS 2018 Cohort." Accessed April 13, 2024. </w:t>
      </w:r>
      <w:hyperlink r:id="rId481">
        <w:r>
          <w:rPr>
            <w:sz w:val="18"/>
            <w:u w:val="single"/>
            <w:vertAlign w:val="baseline"/>
          </w:rPr>
          <w:t>https://www.mass.gov/doc/dys-recidivism-report-</w:t>
        </w:r>
      </w:hyperlink>
      <w:r>
        <w:rPr>
          <w:sz w:val="18"/>
          <w:u w:val="none"/>
          <w:vertAlign w:val="baseline"/>
        </w:rPr>
        <w:t> </w:t>
      </w:r>
      <w:hyperlink r:id="rId481">
        <w:r>
          <w:rPr>
            <w:spacing w:val="-2"/>
            <w:sz w:val="18"/>
            <w:u w:val="single"/>
            <w:vertAlign w:val="baseline"/>
          </w:rPr>
          <w:t>2023/download#:~:text=Gender%2C%20Race%2C%20and%20LGBTQ%2B%20Outcomes%20for%20the%20DYS%202018%20Co</w:t>
        </w:r>
      </w:hyperlink>
      <w:r>
        <w:rPr>
          <w:sz w:val="18"/>
          <w:u w:val="none"/>
          <w:vertAlign w:val="baseline"/>
        </w:rPr>
        <w:t> </w:t>
      </w:r>
      <w:hyperlink r:id="rId481">
        <w:r>
          <w:rPr>
            <w:spacing w:val="-2"/>
            <w:sz w:val="18"/>
            <w:u w:val="single"/>
            <w:vertAlign w:val="baseline"/>
          </w:rPr>
          <w:t>hort,-</w:t>
        </w:r>
      </w:hyperlink>
      <w:r>
        <w:rPr>
          <w:sz w:val="18"/>
          <w:u w:val="none"/>
          <w:vertAlign w:val="baseline"/>
        </w:rPr>
        <w:t> </w:t>
      </w:r>
      <w:hyperlink r:id="rId481">
        <w:r>
          <w:rPr>
            <w:spacing w:val="-2"/>
            <w:sz w:val="18"/>
            <w:u w:val="single"/>
            <w:vertAlign w:val="baseline"/>
          </w:rPr>
          <w:t>As%20observed%20historically&amp;text=The%20overall%20recidivism%20rate%20is,female%20accounting%20for%20only%202.3</w:t>
        </w:r>
      </w:hyperlink>
    </w:p>
    <w:p>
      <w:pPr>
        <w:spacing w:before="1"/>
        <w:ind w:left="320" w:right="0" w:firstLine="0"/>
        <w:jc w:val="left"/>
        <w:rPr>
          <w:sz w:val="18"/>
        </w:rPr>
      </w:pPr>
      <w:hyperlink r:id="rId481">
        <w:r>
          <w:rPr>
            <w:spacing w:val="-4"/>
            <w:sz w:val="18"/>
            <w:u w:val="single"/>
          </w:rPr>
          <w:t>%25</w:t>
        </w:r>
        <w:r>
          <w:rPr>
            <w:spacing w:val="-4"/>
            <w:sz w:val="18"/>
            <w:u w:val="none"/>
          </w:rPr>
          <w:t>.</w:t>
        </w:r>
      </w:hyperlink>
    </w:p>
    <w:p>
      <w:pPr>
        <w:spacing w:before="0"/>
        <w:ind w:left="419" w:right="224" w:firstLine="0"/>
        <w:jc w:val="left"/>
        <w:rPr>
          <w:sz w:val="18"/>
        </w:rPr>
      </w:pPr>
      <w:r>
        <w:rPr>
          <w:sz w:val="18"/>
          <w:vertAlign w:val="superscript"/>
        </w:rPr>
        <w:t>17</w:t>
      </w:r>
      <w:r>
        <w:rPr>
          <w:sz w:val="18"/>
          <w:vertAlign w:val="baseline"/>
        </w:rPr>
        <w:t> Lyndon, Jason, et al. 2015. “Coming out of Concrete Closets: A Report on Black &amp; Pink’s National LGBTQ Prisoner Survey” (Omaha:</w:t>
      </w:r>
      <w:r>
        <w:rPr>
          <w:spacing w:val="-6"/>
          <w:sz w:val="18"/>
          <w:vertAlign w:val="baseline"/>
        </w:rPr>
        <w:t> </w:t>
      </w:r>
      <w:r>
        <w:rPr>
          <w:sz w:val="18"/>
          <w:vertAlign w:val="baseline"/>
        </w:rPr>
        <w:t>Black</w:t>
      </w:r>
      <w:r>
        <w:rPr>
          <w:spacing w:val="-7"/>
          <w:sz w:val="18"/>
          <w:vertAlign w:val="baseline"/>
        </w:rPr>
        <w:t> </w:t>
      </w:r>
      <w:r>
        <w:rPr>
          <w:sz w:val="18"/>
          <w:vertAlign w:val="baseline"/>
        </w:rPr>
        <w:t>and</w:t>
      </w:r>
      <w:r>
        <w:rPr>
          <w:spacing w:val="-6"/>
          <w:sz w:val="18"/>
          <w:vertAlign w:val="baseline"/>
        </w:rPr>
        <w:t> </w:t>
      </w:r>
      <w:r>
        <w:rPr>
          <w:sz w:val="18"/>
          <w:vertAlign w:val="baseline"/>
        </w:rPr>
        <w:t>Pink,</w:t>
      </w:r>
      <w:r>
        <w:rPr>
          <w:spacing w:val="-7"/>
          <w:sz w:val="18"/>
          <w:vertAlign w:val="baseline"/>
        </w:rPr>
        <w:t> </w:t>
      </w:r>
      <w:r>
        <w:rPr>
          <w:sz w:val="18"/>
          <w:vertAlign w:val="baseline"/>
        </w:rPr>
        <w:t>2015),</w:t>
      </w:r>
      <w:r>
        <w:rPr>
          <w:spacing w:val="-7"/>
          <w:sz w:val="18"/>
          <w:vertAlign w:val="baseline"/>
        </w:rPr>
        <w:t> </w:t>
      </w:r>
      <w:hyperlink r:id="rId482">
        <w:r>
          <w:rPr>
            <w:sz w:val="18"/>
            <w:vertAlign w:val="baseline"/>
          </w:rPr>
          <w:t>http://www.blackandpink.org/wp-content/upLoads/Coming-Out-of-Concrete-</w:t>
        </w:r>
      </w:hyperlink>
      <w:r>
        <w:rPr>
          <w:spacing w:val="-6"/>
          <w:sz w:val="18"/>
          <w:vertAlign w:val="baseline"/>
        </w:rPr>
        <w:t> </w:t>
      </w:r>
      <w:r>
        <w:rPr>
          <w:sz w:val="18"/>
          <w:vertAlign w:val="baseline"/>
        </w:rPr>
        <w:t>Closets.-Black- </w:t>
      </w:r>
      <w:r>
        <w:rPr>
          <w:spacing w:val="-2"/>
          <w:sz w:val="18"/>
          <w:vertAlign w:val="baseline"/>
        </w:rPr>
        <w:t>and-Pink.-October-21-2015.pdf.</w:t>
      </w:r>
    </w:p>
    <w:p>
      <w:pPr>
        <w:spacing w:before="0"/>
        <w:ind w:left="319" w:right="0" w:firstLine="0"/>
        <w:jc w:val="left"/>
        <w:rPr>
          <w:sz w:val="18"/>
        </w:rPr>
      </w:pPr>
      <w:r>
        <w:rPr>
          <w:sz w:val="18"/>
          <w:vertAlign w:val="superscript"/>
        </w:rPr>
        <w:t>18</w:t>
      </w:r>
      <w:r>
        <w:rPr>
          <w:spacing w:val="-3"/>
          <w:sz w:val="18"/>
          <w:vertAlign w:val="baseline"/>
        </w:rPr>
        <w:t> </w:t>
      </w:r>
      <w:r>
        <w:rPr>
          <w:sz w:val="18"/>
          <w:vertAlign w:val="baseline"/>
        </w:rPr>
        <w:t>Robinson,</w:t>
      </w:r>
      <w:r>
        <w:rPr>
          <w:spacing w:val="-4"/>
          <w:sz w:val="18"/>
          <w:vertAlign w:val="baseline"/>
        </w:rPr>
        <w:t> </w:t>
      </w:r>
      <w:r>
        <w:rPr>
          <w:sz w:val="18"/>
          <w:vertAlign w:val="baseline"/>
        </w:rPr>
        <w:t>Brandon</w:t>
      </w:r>
      <w:r>
        <w:rPr>
          <w:spacing w:val="-3"/>
          <w:sz w:val="18"/>
          <w:vertAlign w:val="baseline"/>
        </w:rPr>
        <w:t> </w:t>
      </w:r>
      <w:r>
        <w:rPr>
          <w:sz w:val="18"/>
          <w:vertAlign w:val="baseline"/>
        </w:rPr>
        <w:t>Andrew.</w:t>
      </w:r>
      <w:r>
        <w:rPr>
          <w:spacing w:val="-3"/>
          <w:sz w:val="18"/>
          <w:vertAlign w:val="baseline"/>
        </w:rPr>
        <w:t> </w:t>
      </w:r>
      <w:r>
        <w:rPr>
          <w:sz w:val="18"/>
          <w:vertAlign w:val="baseline"/>
        </w:rPr>
        <w:t>2020.</w:t>
      </w:r>
      <w:r>
        <w:rPr>
          <w:spacing w:val="-3"/>
          <w:sz w:val="18"/>
          <w:vertAlign w:val="baseline"/>
        </w:rPr>
        <w:t> </w:t>
      </w:r>
      <w:r>
        <w:rPr>
          <w:sz w:val="18"/>
          <w:vertAlign w:val="baseline"/>
        </w:rPr>
        <w:t>“The</w:t>
      </w:r>
      <w:r>
        <w:rPr>
          <w:spacing w:val="-3"/>
          <w:sz w:val="18"/>
          <w:vertAlign w:val="baseline"/>
        </w:rPr>
        <w:t> </w:t>
      </w:r>
      <w:r>
        <w:rPr>
          <w:sz w:val="18"/>
          <w:vertAlign w:val="baseline"/>
        </w:rPr>
        <w:t>Lavender</w:t>
      </w:r>
      <w:r>
        <w:rPr>
          <w:spacing w:val="-4"/>
          <w:sz w:val="18"/>
          <w:vertAlign w:val="baseline"/>
        </w:rPr>
        <w:t> </w:t>
      </w:r>
      <w:r>
        <w:rPr>
          <w:sz w:val="18"/>
          <w:vertAlign w:val="baseline"/>
        </w:rPr>
        <w:t>Scare</w:t>
      </w:r>
      <w:r>
        <w:rPr>
          <w:spacing w:val="-3"/>
          <w:sz w:val="18"/>
          <w:vertAlign w:val="baseline"/>
        </w:rPr>
        <w:t> </w:t>
      </w:r>
      <w:r>
        <w:rPr>
          <w:sz w:val="18"/>
          <w:vertAlign w:val="baseline"/>
        </w:rPr>
        <w:t>in</w:t>
      </w:r>
      <w:r>
        <w:rPr>
          <w:spacing w:val="-3"/>
          <w:sz w:val="18"/>
          <w:vertAlign w:val="baseline"/>
        </w:rPr>
        <w:t> </w:t>
      </w:r>
      <w:r>
        <w:rPr>
          <w:sz w:val="18"/>
          <w:vertAlign w:val="baseline"/>
        </w:rPr>
        <w:t>Homonormative</w:t>
      </w:r>
      <w:r>
        <w:rPr>
          <w:spacing w:val="-3"/>
          <w:sz w:val="18"/>
          <w:vertAlign w:val="baseline"/>
        </w:rPr>
        <w:t> </w:t>
      </w:r>
      <w:r>
        <w:rPr>
          <w:sz w:val="18"/>
          <w:vertAlign w:val="baseline"/>
        </w:rPr>
        <w:t>Times:</w:t>
      </w:r>
      <w:r>
        <w:rPr>
          <w:spacing w:val="-3"/>
          <w:sz w:val="18"/>
          <w:vertAlign w:val="baseline"/>
        </w:rPr>
        <w:t> </w:t>
      </w:r>
      <w:r>
        <w:rPr>
          <w:sz w:val="18"/>
          <w:vertAlign w:val="baseline"/>
        </w:rPr>
        <w:t>Policing,</w:t>
      </w:r>
      <w:r>
        <w:rPr>
          <w:spacing w:val="-4"/>
          <w:sz w:val="18"/>
          <w:vertAlign w:val="baseline"/>
        </w:rPr>
        <w:t> </w:t>
      </w:r>
      <w:r>
        <w:rPr>
          <w:sz w:val="18"/>
          <w:vertAlign w:val="baseline"/>
        </w:rPr>
        <w:t>Hyper-incarceration,</w:t>
      </w:r>
      <w:r>
        <w:rPr>
          <w:spacing w:val="-3"/>
          <w:sz w:val="18"/>
          <w:vertAlign w:val="baseline"/>
        </w:rPr>
        <w:t> </w:t>
      </w:r>
      <w:r>
        <w:rPr>
          <w:sz w:val="18"/>
          <w:vertAlign w:val="baseline"/>
        </w:rPr>
        <w:t>and</w:t>
      </w:r>
      <w:r>
        <w:rPr>
          <w:spacing w:val="-3"/>
          <w:sz w:val="18"/>
          <w:vertAlign w:val="baseline"/>
        </w:rPr>
        <w:t> </w:t>
      </w:r>
      <w:r>
        <w:rPr>
          <w:sz w:val="18"/>
          <w:vertAlign w:val="baseline"/>
        </w:rPr>
        <w:t>LGBTQ Youth Homelessness,” </w:t>
      </w:r>
      <w:r>
        <w:rPr>
          <w:i/>
          <w:sz w:val="18"/>
          <w:vertAlign w:val="baseline"/>
        </w:rPr>
        <w:t>Gender &amp; Society </w:t>
      </w:r>
      <w:r>
        <w:rPr>
          <w:sz w:val="18"/>
          <w:vertAlign w:val="baseline"/>
        </w:rPr>
        <w:t>34(2), 2020, https://journals.sagepub.com/doi/full/10.1177/0891243220906172.</w:t>
      </w:r>
    </w:p>
    <w:p>
      <w:pPr>
        <w:spacing w:before="0"/>
        <w:ind w:left="319" w:right="329" w:firstLine="0"/>
        <w:jc w:val="left"/>
        <w:rPr>
          <w:sz w:val="18"/>
        </w:rPr>
      </w:pPr>
      <w:r>
        <w:rPr>
          <w:sz w:val="18"/>
          <w:vertAlign w:val="superscript"/>
        </w:rPr>
        <w:t>19</w:t>
      </w:r>
      <w:r>
        <w:rPr>
          <w:sz w:val="18"/>
          <w:vertAlign w:val="baseline"/>
        </w:rPr>
        <w:t> Steinberg, L. 2015. </w:t>
      </w:r>
      <w:r>
        <w:rPr>
          <w:i/>
          <w:sz w:val="18"/>
          <w:vertAlign w:val="baseline"/>
        </w:rPr>
        <w:t>Age of Opportunity: Lessons from the New Science of Adolescence</w:t>
      </w:r>
      <w:r>
        <w:rPr>
          <w:sz w:val="18"/>
          <w:vertAlign w:val="baseline"/>
        </w:rPr>
        <w:t>. New York: An Eamon Dolan Book. </w:t>
      </w:r>
      <w:r>
        <w:rPr>
          <w:sz w:val="18"/>
          <w:vertAlign w:val="superscript"/>
        </w:rPr>
        <w:t>20</w:t>
      </w:r>
      <w:r>
        <w:rPr>
          <w:sz w:val="18"/>
          <w:vertAlign w:val="baseline"/>
        </w:rPr>
        <w:t>Badgett,</w:t>
      </w:r>
      <w:r>
        <w:rPr>
          <w:spacing w:val="36"/>
          <w:sz w:val="18"/>
          <w:vertAlign w:val="baseline"/>
        </w:rPr>
        <w:t> </w:t>
      </w:r>
      <w:r>
        <w:rPr>
          <w:sz w:val="18"/>
          <w:vertAlign w:val="baseline"/>
        </w:rPr>
        <w:t>M.V.</w:t>
      </w:r>
      <w:r>
        <w:rPr>
          <w:spacing w:val="-2"/>
          <w:sz w:val="18"/>
          <w:vertAlign w:val="baseline"/>
        </w:rPr>
        <w:t> </w:t>
      </w:r>
      <w:r>
        <w:rPr>
          <w:sz w:val="18"/>
          <w:vertAlign w:val="baseline"/>
        </w:rPr>
        <w:t>Lee</w:t>
      </w:r>
      <w:r>
        <w:rPr>
          <w:spacing w:val="-2"/>
          <w:sz w:val="18"/>
          <w:vertAlign w:val="baseline"/>
        </w:rPr>
        <w:t> </w:t>
      </w:r>
      <w:r>
        <w:rPr>
          <w:sz w:val="18"/>
          <w:vertAlign w:val="baseline"/>
        </w:rPr>
        <w:t>,</w:t>
      </w:r>
      <w:r>
        <w:rPr>
          <w:spacing w:val="-3"/>
          <w:sz w:val="18"/>
          <w:vertAlign w:val="baseline"/>
        </w:rPr>
        <w:t> </w:t>
      </w:r>
      <w:r>
        <w:rPr>
          <w:sz w:val="18"/>
          <w:vertAlign w:val="baseline"/>
        </w:rPr>
        <w:t>Soon</w:t>
      </w:r>
      <w:r>
        <w:rPr>
          <w:spacing w:val="-2"/>
          <w:sz w:val="18"/>
          <w:vertAlign w:val="baseline"/>
        </w:rPr>
        <w:t> </w:t>
      </w:r>
      <w:r>
        <w:rPr>
          <w:sz w:val="18"/>
          <w:vertAlign w:val="baseline"/>
        </w:rPr>
        <w:t>Kyu</w:t>
      </w:r>
      <w:r>
        <w:rPr>
          <w:spacing w:val="-2"/>
          <w:sz w:val="18"/>
          <w:vertAlign w:val="baseline"/>
        </w:rPr>
        <w:t> </w:t>
      </w:r>
      <w:r>
        <w:rPr>
          <w:sz w:val="18"/>
          <w:vertAlign w:val="baseline"/>
        </w:rPr>
        <w:t>Choi,</w:t>
      </w:r>
      <w:r>
        <w:rPr>
          <w:spacing w:val="-3"/>
          <w:sz w:val="18"/>
          <w:vertAlign w:val="baseline"/>
        </w:rPr>
        <w:t> </w:t>
      </w:r>
      <w:r>
        <w:rPr>
          <w:sz w:val="18"/>
          <w:vertAlign w:val="baseline"/>
        </w:rPr>
        <w:t>and</w:t>
      </w:r>
      <w:r>
        <w:rPr>
          <w:spacing w:val="-2"/>
          <w:sz w:val="18"/>
          <w:vertAlign w:val="baseline"/>
        </w:rPr>
        <w:t> </w:t>
      </w:r>
      <w:r>
        <w:rPr>
          <w:sz w:val="18"/>
          <w:vertAlign w:val="baseline"/>
        </w:rPr>
        <w:t>Bianca</w:t>
      </w:r>
      <w:r>
        <w:rPr>
          <w:spacing w:val="-2"/>
          <w:sz w:val="18"/>
          <w:vertAlign w:val="baseline"/>
        </w:rPr>
        <w:t> </w:t>
      </w:r>
      <w:r>
        <w:rPr>
          <w:sz w:val="18"/>
          <w:vertAlign w:val="baseline"/>
        </w:rPr>
        <w:t>D.M.</w:t>
      </w:r>
      <w:r>
        <w:rPr>
          <w:spacing w:val="-2"/>
          <w:sz w:val="18"/>
          <w:vertAlign w:val="baseline"/>
        </w:rPr>
        <w:t> </w:t>
      </w:r>
      <w:r>
        <w:rPr>
          <w:sz w:val="18"/>
          <w:vertAlign w:val="baseline"/>
        </w:rPr>
        <w:t>Wilson.</w:t>
      </w:r>
      <w:r>
        <w:rPr>
          <w:spacing w:val="-2"/>
          <w:sz w:val="18"/>
          <w:vertAlign w:val="baseline"/>
        </w:rPr>
        <w:t> </w:t>
      </w:r>
      <w:r>
        <w:rPr>
          <w:sz w:val="18"/>
          <w:vertAlign w:val="baseline"/>
        </w:rPr>
        <w:t>2019.</w:t>
      </w:r>
      <w:r>
        <w:rPr>
          <w:spacing w:val="-2"/>
          <w:sz w:val="18"/>
          <w:vertAlign w:val="baseline"/>
        </w:rPr>
        <w:t> </w:t>
      </w:r>
      <w:r>
        <w:rPr>
          <w:i/>
          <w:sz w:val="18"/>
          <w:vertAlign w:val="baseline"/>
        </w:rPr>
        <w:t>LGBT</w:t>
      </w:r>
      <w:r>
        <w:rPr>
          <w:i/>
          <w:spacing w:val="-2"/>
          <w:sz w:val="18"/>
          <w:vertAlign w:val="baseline"/>
        </w:rPr>
        <w:t> </w:t>
      </w:r>
      <w:r>
        <w:rPr>
          <w:i/>
          <w:sz w:val="18"/>
          <w:vertAlign w:val="baseline"/>
        </w:rPr>
        <w:t>Poverty</w:t>
      </w:r>
      <w:r>
        <w:rPr>
          <w:i/>
          <w:spacing w:val="-2"/>
          <w:sz w:val="18"/>
          <w:vertAlign w:val="baseline"/>
        </w:rPr>
        <w:t> </w:t>
      </w:r>
      <w:r>
        <w:rPr>
          <w:i/>
          <w:sz w:val="18"/>
          <w:vertAlign w:val="baseline"/>
        </w:rPr>
        <w:t>in</w:t>
      </w:r>
      <w:r>
        <w:rPr>
          <w:i/>
          <w:spacing w:val="-3"/>
          <w:sz w:val="18"/>
          <w:vertAlign w:val="baseline"/>
        </w:rPr>
        <w:t> </w:t>
      </w:r>
      <w:r>
        <w:rPr>
          <w:i/>
          <w:sz w:val="18"/>
          <w:vertAlign w:val="baseline"/>
        </w:rPr>
        <w:t>the</w:t>
      </w:r>
      <w:r>
        <w:rPr>
          <w:i/>
          <w:spacing w:val="-2"/>
          <w:sz w:val="18"/>
          <w:vertAlign w:val="baseline"/>
        </w:rPr>
        <w:t> </w:t>
      </w:r>
      <w:r>
        <w:rPr>
          <w:i/>
          <w:sz w:val="18"/>
          <w:vertAlign w:val="baseline"/>
        </w:rPr>
        <w:t>United</w:t>
      </w:r>
      <w:r>
        <w:rPr>
          <w:i/>
          <w:spacing w:val="-3"/>
          <w:sz w:val="18"/>
          <w:vertAlign w:val="baseline"/>
        </w:rPr>
        <w:t> </w:t>
      </w:r>
      <w:r>
        <w:rPr>
          <w:i/>
          <w:sz w:val="18"/>
          <w:vertAlign w:val="baseline"/>
        </w:rPr>
        <w:t>States:</w:t>
      </w:r>
      <w:r>
        <w:rPr>
          <w:i/>
          <w:spacing w:val="-2"/>
          <w:sz w:val="18"/>
          <w:vertAlign w:val="baseline"/>
        </w:rPr>
        <w:t> </w:t>
      </w:r>
      <w:r>
        <w:rPr>
          <w:i/>
          <w:sz w:val="18"/>
          <w:vertAlign w:val="baseline"/>
        </w:rPr>
        <w:t>A</w:t>
      </w:r>
      <w:r>
        <w:rPr>
          <w:i/>
          <w:spacing w:val="-2"/>
          <w:sz w:val="18"/>
          <w:vertAlign w:val="baseline"/>
        </w:rPr>
        <w:t> </w:t>
      </w:r>
      <w:r>
        <w:rPr>
          <w:i/>
          <w:sz w:val="18"/>
          <w:vertAlign w:val="baseline"/>
        </w:rPr>
        <w:t>Study</w:t>
      </w:r>
      <w:r>
        <w:rPr>
          <w:i/>
          <w:spacing w:val="-2"/>
          <w:sz w:val="18"/>
          <w:vertAlign w:val="baseline"/>
        </w:rPr>
        <w:t> </w:t>
      </w:r>
      <w:r>
        <w:rPr>
          <w:i/>
          <w:sz w:val="18"/>
          <w:vertAlign w:val="baseline"/>
        </w:rPr>
        <w:t>of</w:t>
      </w:r>
      <w:r>
        <w:rPr>
          <w:i/>
          <w:spacing w:val="-3"/>
          <w:sz w:val="18"/>
          <w:vertAlign w:val="baseline"/>
        </w:rPr>
        <w:t> </w:t>
      </w:r>
      <w:r>
        <w:rPr>
          <w:i/>
          <w:sz w:val="18"/>
          <w:vertAlign w:val="baseline"/>
        </w:rPr>
        <w:t>Differences</w:t>
      </w:r>
      <w:r>
        <w:rPr>
          <w:i/>
          <w:sz w:val="18"/>
          <w:vertAlign w:val="baseline"/>
        </w:rPr>
        <w:t> between Sexual Orientation and Gender Identify Groups </w:t>
      </w:r>
      <w:r>
        <w:rPr>
          <w:sz w:val="18"/>
          <w:vertAlign w:val="baseline"/>
        </w:rPr>
        <w:t>(Los Angeles: Williams Institute at UCLA School of Law, 2019), </w:t>
      </w:r>
      <w:r>
        <w:rPr>
          <w:spacing w:val="-2"/>
          <w:sz w:val="18"/>
          <w:vertAlign w:val="baseline"/>
        </w:rPr>
        <w:t>https://williamsinstitute.law.ucla.edu/wp-content/uploads/National-LGBT-Poverty-Oct-2019.pdf.</w:t>
      </w:r>
    </w:p>
    <w:p>
      <w:pPr>
        <w:spacing w:before="0"/>
        <w:ind w:left="419" w:right="1625" w:hanging="100"/>
        <w:jc w:val="left"/>
        <w:rPr>
          <w:sz w:val="18"/>
        </w:rPr>
      </w:pPr>
      <w:r>
        <w:rPr>
          <w:sz w:val="18"/>
          <w:vertAlign w:val="superscript"/>
        </w:rPr>
        <w:t>21</w:t>
      </w:r>
      <w:r>
        <w:rPr>
          <w:spacing w:val="-3"/>
          <w:sz w:val="18"/>
          <w:vertAlign w:val="baseline"/>
        </w:rPr>
        <w:t> </w:t>
      </w:r>
      <w:r>
        <w:rPr>
          <w:sz w:val="18"/>
          <w:vertAlign w:val="baseline"/>
        </w:rPr>
        <w:t>National</w:t>
      </w:r>
      <w:r>
        <w:rPr>
          <w:spacing w:val="-4"/>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Lesbian</w:t>
      </w:r>
      <w:r>
        <w:rPr>
          <w:spacing w:val="-3"/>
          <w:sz w:val="18"/>
          <w:vertAlign w:val="baseline"/>
        </w:rPr>
        <w:t> </w:t>
      </w:r>
      <w:r>
        <w:rPr>
          <w:sz w:val="18"/>
          <w:vertAlign w:val="baseline"/>
        </w:rPr>
        <w:t>Rights.</w:t>
      </w:r>
      <w:r>
        <w:rPr>
          <w:spacing w:val="-3"/>
          <w:sz w:val="18"/>
          <w:vertAlign w:val="baseline"/>
        </w:rPr>
        <w:t> </w:t>
      </w:r>
      <w:r>
        <w:rPr>
          <w:sz w:val="18"/>
          <w:vertAlign w:val="baseline"/>
        </w:rPr>
        <w:t>2021.</w:t>
      </w:r>
      <w:r>
        <w:rPr>
          <w:spacing w:val="-3"/>
          <w:sz w:val="18"/>
          <w:vertAlign w:val="baseline"/>
        </w:rPr>
        <w:t> </w:t>
      </w:r>
      <w:r>
        <w:rPr>
          <w:sz w:val="18"/>
          <w:vertAlign w:val="baseline"/>
        </w:rPr>
        <w:t>“Criminalization</w:t>
      </w:r>
      <w:r>
        <w:rPr>
          <w:spacing w:val="-3"/>
          <w:sz w:val="18"/>
          <w:vertAlign w:val="baseline"/>
        </w:rPr>
        <w:t> </w:t>
      </w:r>
      <w:r>
        <w:rPr>
          <w:sz w:val="18"/>
          <w:vertAlign w:val="baseline"/>
        </w:rPr>
        <w:t>&amp;</w:t>
      </w:r>
      <w:r>
        <w:rPr>
          <w:spacing w:val="-4"/>
          <w:sz w:val="18"/>
          <w:vertAlign w:val="baseline"/>
        </w:rPr>
        <w:t> </w:t>
      </w:r>
      <w:r>
        <w:rPr>
          <w:sz w:val="18"/>
          <w:vertAlign w:val="baseline"/>
        </w:rPr>
        <w:t>Incarceration,”,</w:t>
      </w:r>
      <w:r>
        <w:rPr>
          <w:spacing w:val="-4"/>
          <w:sz w:val="18"/>
          <w:vertAlign w:val="baseline"/>
        </w:rPr>
        <w:t> </w:t>
      </w:r>
      <w:r>
        <w:rPr>
          <w:sz w:val="18"/>
          <w:vertAlign w:val="baseline"/>
        </w:rPr>
        <w:t>Last</w:t>
      </w:r>
      <w:r>
        <w:rPr>
          <w:spacing w:val="-2"/>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28,</w:t>
      </w:r>
      <w:r>
        <w:rPr>
          <w:spacing w:val="-4"/>
          <w:sz w:val="18"/>
          <w:vertAlign w:val="baseline"/>
        </w:rPr>
        <w:t> </w:t>
      </w:r>
      <w:r>
        <w:rPr>
          <w:sz w:val="18"/>
          <w:vertAlign w:val="baseline"/>
        </w:rPr>
        <w:t>2024, </w:t>
      </w:r>
      <w:r>
        <w:rPr>
          <w:spacing w:val="-2"/>
          <w:sz w:val="18"/>
          <w:vertAlign w:val="baseline"/>
        </w:rPr>
        <w:t>https:/</w:t>
      </w:r>
      <w:hyperlink r:id="rId483">
        <w:r>
          <w:rPr>
            <w:spacing w:val="-2"/>
            <w:sz w:val="18"/>
            <w:vertAlign w:val="baseline"/>
          </w:rPr>
          <w:t>/w</w:t>
        </w:r>
      </w:hyperlink>
      <w:r>
        <w:rPr>
          <w:spacing w:val="-2"/>
          <w:sz w:val="18"/>
          <w:vertAlign w:val="baseline"/>
        </w:rPr>
        <w:t>w</w:t>
      </w:r>
      <w:hyperlink r:id="rId483">
        <w:r>
          <w:rPr>
            <w:spacing w:val="-2"/>
            <w:sz w:val="18"/>
            <w:vertAlign w:val="baseline"/>
          </w:rPr>
          <w:t>w.nclrights.org/our-work/racial-economic-justice/criminalization-incarceration.</w:t>
        </w:r>
      </w:hyperlink>
    </w:p>
    <w:p>
      <w:pPr>
        <w:spacing w:before="0"/>
        <w:ind w:left="320" w:right="159" w:hanging="1"/>
        <w:jc w:val="left"/>
        <w:rPr>
          <w:sz w:val="18"/>
        </w:rPr>
      </w:pPr>
      <w:r>
        <w:rPr>
          <w:sz w:val="18"/>
          <w:vertAlign w:val="superscript"/>
        </w:rPr>
        <w:t>22</w:t>
      </w:r>
      <w:r>
        <w:rPr>
          <w:spacing w:val="-2"/>
          <w:sz w:val="18"/>
          <w:vertAlign w:val="baseline"/>
        </w:rPr>
        <w:t> </w:t>
      </w:r>
      <w:r>
        <w:rPr>
          <w:sz w:val="18"/>
          <w:vertAlign w:val="baseline"/>
        </w:rPr>
        <w:t>Peiffer,</w:t>
      </w:r>
      <w:r>
        <w:rPr>
          <w:spacing w:val="-3"/>
          <w:sz w:val="18"/>
          <w:vertAlign w:val="baseline"/>
        </w:rPr>
        <w:t> </w:t>
      </w:r>
      <w:r>
        <w:rPr>
          <w:sz w:val="18"/>
          <w:vertAlign w:val="baseline"/>
        </w:rPr>
        <w:t>Emily.</w:t>
      </w:r>
      <w:r>
        <w:rPr>
          <w:spacing w:val="-2"/>
          <w:sz w:val="18"/>
          <w:vertAlign w:val="baseline"/>
        </w:rPr>
        <w:t> </w:t>
      </w:r>
      <w:r>
        <w:rPr>
          <w:sz w:val="18"/>
          <w:vertAlign w:val="baseline"/>
        </w:rPr>
        <w:t>2020.</w:t>
      </w:r>
      <w:r>
        <w:rPr>
          <w:spacing w:val="-2"/>
          <w:sz w:val="18"/>
          <w:vertAlign w:val="baseline"/>
        </w:rPr>
        <w:t> </w:t>
      </w:r>
      <w:r>
        <w:rPr>
          <w:sz w:val="18"/>
          <w:vertAlign w:val="baseline"/>
        </w:rPr>
        <w:t>“Five</w:t>
      </w:r>
      <w:r>
        <w:rPr>
          <w:spacing w:val="-2"/>
          <w:sz w:val="18"/>
          <w:vertAlign w:val="baseline"/>
        </w:rPr>
        <w:t> </w:t>
      </w:r>
      <w:r>
        <w:rPr>
          <w:sz w:val="18"/>
          <w:vertAlign w:val="baseline"/>
        </w:rPr>
        <w:t>Charts</w:t>
      </w:r>
      <w:r>
        <w:rPr>
          <w:spacing w:val="-2"/>
          <w:sz w:val="18"/>
          <w:vertAlign w:val="baseline"/>
        </w:rPr>
        <w:t> </w:t>
      </w:r>
      <w:r>
        <w:rPr>
          <w:sz w:val="18"/>
          <w:vertAlign w:val="baseline"/>
        </w:rPr>
        <w:t>that</w:t>
      </w:r>
      <w:r>
        <w:rPr>
          <w:spacing w:val="-3"/>
          <w:sz w:val="18"/>
          <w:vertAlign w:val="baseline"/>
        </w:rPr>
        <w:t> </w:t>
      </w:r>
      <w:r>
        <w:rPr>
          <w:sz w:val="18"/>
          <w:vertAlign w:val="baseline"/>
        </w:rPr>
        <w:t>Explain</w:t>
      </w:r>
      <w:r>
        <w:rPr>
          <w:spacing w:val="-2"/>
          <w:sz w:val="18"/>
          <w:vertAlign w:val="baseline"/>
        </w:rPr>
        <w:t> </w:t>
      </w:r>
      <w:r>
        <w:rPr>
          <w:sz w:val="18"/>
          <w:vertAlign w:val="baseline"/>
        </w:rPr>
        <w:t>the</w:t>
      </w:r>
      <w:r>
        <w:rPr>
          <w:spacing w:val="-2"/>
          <w:sz w:val="18"/>
          <w:vertAlign w:val="baseline"/>
        </w:rPr>
        <w:t> </w:t>
      </w:r>
      <w:r>
        <w:rPr>
          <w:sz w:val="18"/>
          <w:vertAlign w:val="baseline"/>
        </w:rPr>
        <w:t>Homelessness-Jail</w:t>
      </w:r>
      <w:r>
        <w:rPr>
          <w:spacing w:val="-3"/>
          <w:sz w:val="18"/>
          <w:vertAlign w:val="baseline"/>
        </w:rPr>
        <w:t> </w:t>
      </w:r>
      <w:r>
        <w:rPr>
          <w:sz w:val="18"/>
          <w:vertAlign w:val="baseline"/>
        </w:rPr>
        <w:t>Cycle-</w:t>
      </w:r>
      <w:r>
        <w:rPr>
          <w:spacing w:val="-2"/>
          <w:sz w:val="18"/>
          <w:vertAlign w:val="baseline"/>
        </w:rPr>
        <w:t> </w:t>
      </w:r>
      <w:r>
        <w:rPr>
          <w:sz w:val="18"/>
          <w:vertAlign w:val="baseline"/>
        </w:rPr>
        <w:t>and</w:t>
      </w:r>
      <w:r>
        <w:rPr>
          <w:spacing w:val="-2"/>
          <w:sz w:val="18"/>
          <w:vertAlign w:val="baseline"/>
        </w:rPr>
        <w:t> </w:t>
      </w:r>
      <w:r>
        <w:rPr>
          <w:sz w:val="18"/>
          <w:vertAlign w:val="baseline"/>
        </w:rPr>
        <w:t>How</w:t>
      </w:r>
      <w:r>
        <w:rPr>
          <w:spacing w:val="-3"/>
          <w:sz w:val="18"/>
          <w:vertAlign w:val="baseline"/>
        </w:rPr>
        <w:t> </w:t>
      </w:r>
      <w:r>
        <w:rPr>
          <w:sz w:val="18"/>
          <w:vertAlign w:val="baseline"/>
        </w:rPr>
        <w:t>to</w:t>
      </w:r>
      <w:r>
        <w:rPr>
          <w:spacing w:val="-2"/>
          <w:sz w:val="18"/>
          <w:vertAlign w:val="baseline"/>
        </w:rPr>
        <w:t> </w:t>
      </w:r>
      <w:r>
        <w:rPr>
          <w:sz w:val="18"/>
          <w:vertAlign w:val="baseline"/>
        </w:rPr>
        <w:t>Break</w:t>
      </w:r>
      <w:r>
        <w:rPr>
          <w:spacing w:val="-3"/>
          <w:sz w:val="18"/>
          <w:vertAlign w:val="baseline"/>
        </w:rPr>
        <w:t> </w:t>
      </w:r>
      <w:r>
        <w:rPr>
          <w:sz w:val="18"/>
          <w:vertAlign w:val="baseline"/>
        </w:rPr>
        <w:t>It,”</w:t>
      </w:r>
      <w:r>
        <w:rPr>
          <w:spacing w:val="-2"/>
          <w:sz w:val="18"/>
          <w:vertAlign w:val="baseline"/>
        </w:rPr>
        <w:t> </w:t>
      </w:r>
      <w:r>
        <w:rPr>
          <w:sz w:val="18"/>
          <w:vertAlign w:val="baseline"/>
        </w:rPr>
        <w:t>Urban,</w:t>
      </w:r>
      <w:r>
        <w:rPr>
          <w:spacing w:val="-3"/>
          <w:sz w:val="18"/>
          <w:vertAlign w:val="baseline"/>
        </w:rPr>
        <w:t> </w:t>
      </w:r>
      <w:r>
        <w:rPr>
          <w:sz w:val="18"/>
          <w:vertAlign w:val="baseline"/>
        </w:rPr>
        <w:t>September</w:t>
      </w:r>
      <w:r>
        <w:rPr>
          <w:spacing w:val="-3"/>
          <w:sz w:val="18"/>
          <w:vertAlign w:val="baseline"/>
        </w:rPr>
        <w:t> </w:t>
      </w:r>
      <w:r>
        <w:rPr>
          <w:sz w:val="18"/>
          <w:vertAlign w:val="baseline"/>
        </w:rPr>
        <w:t>16,</w:t>
      </w:r>
      <w:r>
        <w:rPr>
          <w:spacing w:val="-3"/>
          <w:sz w:val="18"/>
          <w:vertAlign w:val="baseline"/>
        </w:rPr>
        <w:t> </w:t>
      </w:r>
      <w:r>
        <w:rPr>
          <w:sz w:val="18"/>
          <w:vertAlign w:val="baseline"/>
        </w:rPr>
        <w:t>2020, </w:t>
      </w:r>
      <w:r>
        <w:rPr>
          <w:spacing w:val="-2"/>
          <w:sz w:val="18"/>
          <w:vertAlign w:val="baseline"/>
        </w:rPr>
        <w:t>https://</w:t>
      </w:r>
      <w:hyperlink r:id="rId484">
        <w:r>
          <w:rPr>
            <w:spacing w:val="-2"/>
            <w:sz w:val="18"/>
            <w:vertAlign w:val="baseline"/>
          </w:rPr>
          <w:t>www.urban.org/features/five-charts-explain-homelessness-jail-cycle-and-how-break-it.</w:t>
        </w:r>
      </w:hyperlink>
    </w:p>
    <w:p>
      <w:pPr>
        <w:spacing w:before="0"/>
        <w:ind w:left="320" w:right="633" w:firstLine="0"/>
        <w:jc w:val="left"/>
        <w:rPr>
          <w:sz w:val="18"/>
        </w:rPr>
      </w:pPr>
      <w:r>
        <w:rPr>
          <w:sz w:val="18"/>
          <w:vertAlign w:val="superscript"/>
        </w:rPr>
        <w:t>23</w:t>
      </w:r>
      <w:r>
        <w:rPr>
          <w:spacing w:val="-2"/>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3"/>
          <w:sz w:val="18"/>
          <w:vertAlign w:val="baseline"/>
        </w:rPr>
        <w:t> </w:t>
      </w:r>
      <w:r>
        <w:rPr>
          <w:sz w:val="18"/>
          <w:vertAlign w:val="baseline"/>
        </w:rPr>
        <w:t>Health</w:t>
      </w:r>
      <w:r>
        <w:rPr>
          <w:spacing w:val="-2"/>
          <w:sz w:val="18"/>
          <w:vertAlign w:val="baseline"/>
        </w:rPr>
        <w:t> </w:t>
      </w:r>
      <w:r>
        <w:rPr>
          <w:sz w:val="18"/>
          <w:vertAlign w:val="baseline"/>
        </w:rPr>
        <w:t>and</w:t>
      </w:r>
      <w:r>
        <w:rPr>
          <w:spacing w:val="-2"/>
          <w:sz w:val="18"/>
          <w:vertAlign w:val="baseline"/>
        </w:rPr>
        <w:t> </w:t>
      </w:r>
      <w:r>
        <w:rPr>
          <w:sz w:val="18"/>
          <w:vertAlign w:val="baseline"/>
        </w:rPr>
        <w:t>Human</w:t>
      </w:r>
      <w:r>
        <w:rPr>
          <w:spacing w:val="-2"/>
          <w:sz w:val="18"/>
          <w:vertAlign w:val="baseline"/>
        </w:rPr>
        <w:t> </w:t>
      </w:r>
      <w:r>
        <w:rPr>
          <w:sz w:val="18"/>
          <w:vertAlign w:val="baseline"/>
        </w:rPr>
        <w:t>Services,</w:t>
      </w:r>
      <w:r>
        <w:rPr>
          <w:spacing w:val="-3"/>
          <w:sz w:val="18"/>
          <w:vertAlign w:val="baseline"/>
        </w:rPr>
        <w:t> </w:t>
      </w:r>
      <w:r>
        <w:rPr>
          <w:sz w:val="18"/>
          <w:vertAlign w:val="baseline"/>
        </w:rPr>
        <w:t>2022.</w:t>
      </w:r>
      <w:r>
        <w:rPr>
          <w:spacing w:val="-2"/>
          <w:sz w:val="18"/>
          <w:vertAlign w:val="baseline"/>
        </w:rPr>
        <w:t> </w:t>
      </w:r>
      <w:r>
        <w:rPr>
          <w:sz w:val="18"/>
          <w:vertAlign w:val="baseline"/>
        </w:rPr>
        <w:t>“2022</w:t>
      </w:r>
      <w:r>
        <w:rPr>
          <w:spacing w:val="-2"/>
          <w:sz w:val="18"/>
          <w:vertAlign w:val="baseline"/>
        </w:rPr>
        <w:t> </w:t>
      </w:r>
      <w:r>
        <w:rPr>
          <w:sz w:val="18"/>
          <w:vertAlign w:val="baseline"/>
        </w:rPr>
        <w:t>Youth</w:t>
      </w:r>
      <w:r>
        <w:rPr>
          <w:spacing w:val="-2"/>
          <w:sz w:val="18"/>
          <w:vertAlign w:val="baseline"/>
        </w:rPr>
        <w:t> </w:t>
      </w:r>
      <w:r>
        <w:rPr>
          <w:sz w:val="18"/>
          <w:vertAlign w:val="baseline"/>
        </w:rPr>
        <w:t>Count</w:t>
      </w:r>
      <w:r>
        <w:rPr>
          <w:spacing w:val="-3"/>
          <w:sz w:val="18"/>
          <w:vertAlign w:val="baseline"/>
        </w:rPr>
        <w:t> </w:t>
      </w:r>
      <w:r>
        <w:rPr>
          <w:sz w:val="18"/>
          <w:vertAlign w:val="baseline"/>
        </w:rPr>
        <w:t>Report.”</w:t>
      </w:r>
      <w:r>
        <w:rPr>
          <w:spacing w:val="-2"/>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13,</w:t>
      </w:r>
      <w:r>
        <w:rPr>
          <w:spacing w:val="-2"/>
          <w:sz w:val="18"/>
          <w:vertAlign w:val="baseline"/>
        </w:rPr>
        <w:t> </w:t>
      </w:r>
      <w:r>
        <w:rPr>
          <w:sz w:val="18"/>
          <w:vertAlign w:val="baseline"/>
        </w:rPr>
        <w:t>2024. </w:t>
      </w:r>
      <w:hyperlink r:id="rId485">
        <w:r>
          <w:rPr>
            <w:spacing w:val="-2"/>
            <w:sz w:val="18"/>
            <w:u w:val="single"/>
            <w:vertAlign w:val="baseline"/>
          </w:rPr>
          <w:t>https://www.mass.gov/doc/2022-youth-count-report/download</w:t>
        </w:r>
      </w:hyperlink>
    </w:p>
    <w:p>
      <w:pPr>
        <w:spacing w:line="219" w:lineRule="exact" w:before="0"/>
        <w:ind w:left="320" w:right="0" w:firstLine="0"/>
        <w:jc w:val="left"/>
        <w:rPr>
          <w:i/>
          <w:sz w:val="18"/>
        </w:rPr>
      </w:pPr>
      <w:r>
        <w:rPr>
          <w:sz w:val="18"/>
          <w:vertAlign w:val="superscript"/>
        </w:rPr>
        <w:t>24</w:t>
      </w:r>
      <w:r>
        <w:rPr>
          <w:spacing w:val="40"/>
          <w:sz w:val="18"/>
          <w:vertAlign w:val="baseline"/>
        </w:rPr>
        <w:t> </w:t>
      </w:r>
      <w:r>
        <w:rPr>
          <w:i/>
          <w:spacing w:val="-5"/>
          <w:sz w:val="18"/>
          <w:vertAlign w:val="baseline"/>
        </w:rPr>
        <w:t>Id.</w:t>
      </w:r>
    </w:p>
    <w:p>
      <w:pPr>
        <w:spacing w:before="0"/>
        <w:ind w:left="320" w:right="2342" w:firstLine="0"/>
        <w:jc w:val="left"/>
        <w:rPr>
          <w:sz w:val="18"/>
        </w:rPr>
      </w:pPr>
      <w:r>
        <w:rPr>
          <w:sz w:val="18"/>
          <w:vertAlign w:val="superscript"/>
        </w:rPr>
        <w:t>25</w:t>
      </w:r>
      <w:r>
        <w:rPr>
          <w:spacing w:val="-5"/>
          <w:sz w:val="18"/>
          <w:vertAlign w:val="baseline"/>
        </w:rPr>
        <w:t> </w:t>
      </w:r>
      <w:r>
        <w:rPr>
          <w:sz w:val="18"/>
          <w:vertAlign w:val="baseline"/>
        </w:rPr>
        <w:t>The</w:t>
      </w:r>
      <w:r>
        <w:rPr>
          <w:spacing w:val="-5"/>
          <w:sz w:val="18"/>
          <w:vertAlign w:val="baseline"/>
        </w:rPr>
        <w:t> </w:t>
      </w:r>
      <w:r>
        <w:rPr>
          <w:sz w:val="18"/>
          <w:vertAlign w:val="baseline"/>
        </w:rPr>
        <w:t>Trevor</w:t>
      </w:r>
      <w:r>
        <w:rPr>
          <w:spacing w:val="-6"/>
          <w:sz w:val="18"/>
          <w:vertAlign w:val="baseline"/>
        </w:rPr>
        <w:t> </w:t>
      </w:r>
      <w:r>
        <w:rPr>
          <w:sz w:val="18"/>
          <w:vertAlign w:val="baseline"/>
        </w:rPr>
        <w:t>Project.</w:t>
      </w:r>
      <w:r>
        <w:rPr>
          <w:spacing w:val="-5"/>
          <w:sz w:val="18"/>
          <w:vertAlign w:val="baseline"/>
        </w:rPr>
        <w:t> </w:t>
      </w:r>
      <w:r>
        <w:rPr>
          <w:sz w:val="18"/>
          <w:vertAlign w:val="baseline"/>
        </w:rPr>
        <w:t>2021.</w:t>
      </w:r>
      <w:r>
        <w:rPr>
          <w:spacing w:val="-5"/>
          <w:sz w:val="18"/>
          <w:vertAlign w:val="baseline"/>
        </w:rPr>
        <w:t> </w:t>
      </w:r>
      <w:r>
        <w:rPr>
          <w:sz w:val="18"/>
          <w:vertAlign w:val="baseline"/>
        </w:rPr>
        <w:t>"Homelessness</w:t>
      </w:r>
      <w:r>
        <w:rPr>
          <w:spacing w:val="-5"/>
          <w:sz w:val="18"/>
          <w:vertAlign w:val="baseline"/>
        </w:rPr>
        <w:t> </w:t>
      </w:r>
      <w:r>
        <w:rPr>
          <w:sz w:val="18"/>
          <w:vertAlign w:val="baseline"/>
        </w:rPr>
        <w:t>Report."</w:t>
      </w:r>
      <w:r>
        <w:rPr>
          <w:spacing w:val="-5"/>
          <w:sz w:val="18"/>
          <w:vertAlign w:val="baseline"/>
        </w:rPr>
        <w:t> </w:t>
      </w:r>
      <w:r>
        <w:rPr>
          <w:sz w:val="18"/>
          <w:vertAlign w:val="baseline"/>
        </w:rPr>
        <w:t>2021</w:t>
      </w:r>
      <w:r>
        <w:rPr>
          <w:spacing w:val="-5"/>
          <w:sz w:val="18"/>
          <w:vertAlign w:val="baseline"/>
        </w:rPr>
        <w:t> </w:t>
      </w:r>
      <w:hyperlink r:id="rId486">
        <w:r>
          <w:rPr>
            <w:sz w:val="18"/>
            <w:u w:val="single"/>
            <w:vertAlign w:val="baseline"/>
          </w:rPr>
          <w:t>https://www.thetrevorproject.org/wp-</w:t>
        </w:r>
      </w:hyperlink>
      <w:r>
        <w:rPr>
          <w:sz w:val="18"/>
          <w:u w:val="none"/>
          <w:vertAlign w:val="baseline"/>
        </w:rPr>
        <w:t> </w:t>
      </w:r>
      <w:hyperlink r:id="rId486">
        <w:r>
          <w:rPr>
            <w:spacing w:val="-2"/>
            <w:sz w:val="18"/>
            <w:u w:val="single"/>
            <w:vertAlign w:val="baseline"/>
          </w:rPr>
          <w:t>content/uploads/2022/02/Trevor-Project-Homelessness-Report.pdf</w:t>
        </w:r>
        <w:r>
          <w:rPr>
            <w:spacing w:val="-2"/>
            <w:sz w:val="18"/>
            <w:u w:val="none"/>
            <w:vertAlign w:val="baseline"/>
          </w:rPr>
          <w:t>.</w:t>
        </w:r>
      </w:hyperlink>
    </w:p>
    <w:p>
      <w:pPr>
        <w:spacing w:before="0"/>
        <w:ind w:left="320" w:right="0" w:firstLine="0"/>
        <w:jc w:val="left"/>
        <w:rPr>
          <w:i/>
          <w:sz w:val="18"/>
        </w:rPr>
      </w:pPr>
      <w:r>
        <w:rPr>
          <w:sz w:val="18"/>
          <w:vertAlign w:val="superscript"/>
        </w:rPr>
        <w:t>26</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27</w:t>
      </w:r>
      <w:r>
        <w:rPr>
          <w:sz w:val="18"/>
          <w:vertAlign w:val="baseline"/>
        </w:rPr>
        <w:t> </w:t>
      </w:r>
      <w:r>
        <w:rPr>
          <w:i/>
          <w:spacing w:val="-5"/>
          <w:sz w:val="18"/>
          <w:vertAlign w:val="baseline"/>
        </w:rPr>
        <w:t>Id.</w:t>
      </w:r>
    </w:p>
    <w:p>
      <w:pPr>
        <w:spacing w:before="0"/>
        <w:ind w:left="320" w:right="481" w:firstLine="0"/>
        <w:jc w:val="left"/>
        <w:rPr>
          <w:sz w:val="18"/>
        </w:rPr>
      </w:pPr>
      <w:r>
        <w:rPr>
          <w:sz w:val="18"/>
          <w:vertAlign w:val="superscript"/>
        </w:rPr>
        <w:t>28</w:t>
      </w:r>
      <w:r>
        <w:rPr>
          <w:spacing w:val="-4"/>
          <w:sz w:val="18"/>
          <w:vertAlign w:val="baseline"/>
        </w:rPr>
        <w:t> </w:t>
      </w:r>
      <w:r>
        <w:rPr>
          <w:sz w:val="18"/>
          <w:vertAlign w:val="baseline"/>
        </w:rPr>
        <w:t>"Youth.gov.</w:t>
      </w:r>
      <w:r>
        <w:rPr>
          <w:spacing w:val="-4"/>
          <w:sz w:val="18"/>
          <w:vertAlign w:val="baseline"/>
        </w:rPr>
        <w:t> </w:t>
      </w:r>
      <w:r>
        <w:rPr>
          <w:sz w:val="18"/>
          <w:vertAlign w:val="baseline"/>
        </w:rPr>
        <w:t>'LGBTQ</w:t>
      </w:r>
      <w:r>
        <w:rPr>
          <w:spacing w:val="-4"/>
          <w:sz w:val="18"/>
          <w:vertAlign w:val="baseline"/>
        </w:rPr>
        <w:t> </w:t>
      </w:r>
      <w:r>
        <w:rPr>
          <w:sz w:val="18"/>
          <w:vertAlign w:val="baseline"/>
        </w:rPr>
        <w:t>Youth</w:t>
      </w:r>
      <w:r>
        <w:rPr>
          <w:spacing w:val="-4"/>
          <w:sz w:val="18"/>
          <w:vertAlign w:val="baseline"/>
        </w:rPr>
        <w:t> </w:t>
      </w:r>
      <w:r>
        <w:rPr>
          <w:sz w:val="18"/>
          <w:vertAlign w:val="baseline"/>
        </w:rPr>
        <w:t>Homelessness.'</w:t>
      </w:r>
      <w:r>
        <w:rPr>
          <w:spacing w:val="-6"/>
          <w:sz w:val="18"/>
          <w:vertAlign w:val="baseline"/>
        </w:rPr>
        <w:t> </w:t>
      </w:r>
      <w:r>
        <w:rPr>
          <w:sz w:val="18"/>
          <w:vertAlign w:val="baseline"/>
        </w:rPr>
        <w:t>Accessed</w:t>
      </w:r>
      <w:r>
        <w:rPr>
          <w:spacing w:val="-5"/>
          <w:sz w:val="18"/>
          <w:vertAlign w:val="baseline"/>
        </w:rPr>
        <w:t> </w:t>
      </w:r>
      <w:r>
        <w:rPr>
          <w:sz w:val="18"/>
          <w:vertAlign w:val="baseline"/>
        </w:rPr>
        <w:t>April</w:t>
      </w:r>
      <w:r>
        <w:rPr>
          <w:spacing w:val="-5"/>
          <w:sz w:val="18"/>
          <w:vertAlign w:val="baseline"/>
        </w:rPr>
        <w:t> </w:t>
      </w:r>
      <w:r>
        <w:rPr>
          <w:sz w:val="18"/>
          <w:vertAlign w:val="baseline"/>
        </w:rPr>
        <w:t>13,</w:t>
      </w:r>
      <w:r>
        <w:rPr>
          <w:spacing w:val="-5"/>
          <w:sz w:val="18"/>
          <w:vertAlign w:val="baseline"/>
        </w:rPr>
        <w:t> </w:t>
      </w:r>
      <w:r>
        <w:rPr>
          <w:sz w:val="18"/>
          <w:vertAlign w:val="baseline"/>
        </w:rPr>
        <w:t>2024.</w:t>
      </w:r>
      <w:r>
        <w:rPr>
          <w:spacing w:val="-4"/>
          <w:sz w:val="18"/>
          <w:vertAlign w:val="baseline"/>
        </w:rPr>
        <w:t> </w:t>
      </w:r>
      <w:hyperlink r:id="rId487">
        <w:r>
          <w:rPr>
            <w:sz w:val="18"/>
            <w:u w:val="single"/>
            <w:vertAlign w:val="baseline"/>
          </w:rPr>
          <w:t>https://youth.gov/youth-topics/lgbtq-</w:t>
        </w:r>
      </w:hyperlink>
      <w:r>
        <w:rPr>
          <w:sz w:val="18"/>
          <w:u w:val="none"/>
          <w:vertAlign w:val="baseline"/>
        </w:rPr>
        <w:t> </w:t>
      </w:r>
      <w:hyperlink r:id="rId487">
        <w:r>
          <w:rPr>
            <w:spacing w:val="-2"/>
            <w:sz w:val="18"/>
            <w:u w:val="single"/>
            <w:vertAlign w:val="baseline"/>
          </w:rPr>
          <w:t>youth/homelessness</w:t>
        </w:r>
      </w:hyperlink>
      <w:r>
        <w:rPr>
          <w:spacing w:val="-2"/>
          <w:sz w:val="18"/>
          <w:u w:val="none"/>
          <w:vertAlign w:val="baseline"/>
        </w:rPr>
        <w:t>."</w:t>
      </w:r>
    </w:p>
    <w:p>
      <w:pPr>
        <w:spacing w:before="0"/>
        <w:ind w:left="320" w:right="271" w:firstLine="0"/>
        <w:jc w:val="left"/>
        <w:rPr>
          <w:sz w:val="18"/>
        </w:rPr>
      </w:pPr>
      <w:r>
        <w:rPr>
          <w:sz w:val="18"/>
          <w:vertAlign w:val="superscript"/>
        </w:rPr>
        <w:t>29</w:t>
      </w:r>
      <w:r>
        <w:rPr>
          <w:sz w:val="18"/>
          <w:vertAlign w:val="baseline"/>
        </w:rPr>
        <w:t> The Trevor Project. "2022 National Survey on LGBTQ Youth Mental Health by State." Accessed April 13, 2024. </w:t>
      </w:r>
      <w:hyperlink r:id="rId488">
        <w:r>
          <w:rPr>
            <w:spacing w:val="-2"/>
            <w:sz w:val="18"/>
            <w:u w:val="single"/>
            <w:vertAlign w:val="baseline"/>
          </w:rPr>
          <w:t>https://www.thetrevorproject.org/wp-content/uploads/2022/12/The-Trevor-Project-2022-National-Survey-on-LGBTQ-Youth-</w:t>
        </w:r>
      </w:hyperlink>
      <w:r>
        <w:rPr>
          <w:sz w:val="18"/>
          <w:u w:val="none"/>
          <w:vertAlign w:val="baseline"/>
        </w:rPr>
        <w:t> </w:t>
      </w:r>
      <w:hyperlink r:id="rId488">
        <w:r>
          <w:rPr>
            <w:spacing w:val="-2"/>
            <w:sz w:val="18"/>
            <w:u w:val="single"/>
            <w:vertAlign w:val="baseline"/>
          </w:rPr>
          <w:t>Mental-Health-by-State.pdf</w:t>
        </w:r>
        <w:r>
          <w:rPr>
            <w:spacing w:val="-2"/>
            <w:sz w:val="18"/>
            <w:u w:val="none"/>
            <w:vertAlign w:val="baseline"/>
          </w:rPr>
          <w:t>.</w:t>
        </w:r>
      </w:hyperlink>
    </w:p>
    <w:p>
      <w:pPr>
        <w:spacing w:before="0"/>
        <w:ind w:left="320" w:right="481" w:firstLine="0"/>
        <w:jc w:val="left"/>
        <w:rPr>
          <w:sz w:val="18"/>
        </w:rPr>
      </w:pPr>
      <w:r>
        <w:rPr>
          <w:sz w:val="18"/>
          <w:vertAlign w:val="superscript"/>
        </w:rPr>
        <w:t>30</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American</w:t>
      </w:r>
      <w:r>
        <w:rPr>
          <w:spacing w:val="-2"/>
          <w:sz w:val="18"/>
          <w:vertAlign w:val="baseline"/>
        </w:rPr>
        <w:t> </w:t>
      </w:r>
      <w:r>
        <w:rPr>
          <w:sz w:val="18"/>
          <w:vertAlign w:val="baseline"/>
        </w:rPr>
        <w:t>Progress,</w:t>
      </w:r>
      <w:r>
        <w:rPr>
          <w:spacing w:val="-3"/>
          <w:sz w:val="18"/>
          <w:vertAlign w:val="baseline"/>
        </w:rPr>
        <w:t> </w:t>
      </w:r>
      <w:r>
        <w:rPr>
          <w:sz w:val="18"/>
          <w:vertAlign w:val="baseline"/>
        </w:rPr>
        <w:t>MAP,</w:t>
      </w:r>
      <w:r>
        <w:rPr>
          <w:spacing w:val="-3"/>
          <w:sz w:val="18"/>
          <w:vertAlign w:val="baseline"/>
        </w:rPr>
        <w:t> </w:t>
      </w:r>
      <w:r>
        <w:rPr>
          <w:sz w:val="18"/>
          <w:vertAlign w:val="baseline"/>
        </w:rPr>
        <w:t>and</w:t>
      </w:r>
      <w:r>
        <w:rPr>
          <w:spacing w:val="-2"/>
          <w:sz w:val="18"/>
          <w:vertAlign w:val="baseline"/>
        </w:rPr>
        <w:t> </w:t>
      </w:r>
      <w:r>
        <w:rPr>
          <w:sz w:val="18"/>
          <w:vertAlign w:val="baseline"/>
        </w:rPr>
        <w:t>Youth</w:t>
      </w:r>
      <w:r>
        <w:rPr>
          <w:spacing w:val="-2"/>
          <w:sz w:val="18"/>
          <w:vertAlign w:val="baseline"/>
        </w:rPr>
        <w:t> </w:t>
      </w:r>
      <w:r>
        <w:rPr>
          <w:sz w:val="18"/>
          <w:vertAlign w:val="baseline"/>
        </w:rPr>
        <w:t>First.</w:t>
      </w:r>
      <w:r>
        <w:rPr>
          <w:spacing w:val="-2"/>
          <w:sz w:val="18"/>
          <w:vertAlign w:val="baseline"/>
        </w:rPr>
        <w:t> </w:t>
      </w:r>
      <w:r>
        <w:rPr>
          <w:sz w:val="18"/>
          <w:vertAlign w:val="baseline"/>
        </w:rPr>
        <w:t>2017.</w:t>
      </w:r>
      <w:r>
        <w:rPr>
          <w:spacing w:val="-2"/>
          <w:sz w:val="18"/>
          <w:vertAlign w:val="baseline"/>
        </w:rPr>
        <w:t> </w:t>
      </w:r>
      <w:r>
        <w:rPr>
          <w:sz w:val="18"/>
          <w:vertAlign w:val="baseline"/>
        </w:rPr>
        <w:t>“Unjust:</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Incarcerated</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Juvenile</w:t>
      </w:r>
      <w:r>
        <w:rPr>
          <w:spacing w:val="-2"/>
          <w:sz w:val="18"/>
          <w:vertAlign w:val="baseline"/>
        </w:rPr>
        <w:t> </w:t>
      </w:r>
      <w:r>
        <w:rPr>
          <w:sz w:val="18"/>
          <w:vertAlign w:val="baseline"/>
        </w:rPr>
        <w:t>Justice System.” June 2017. </w:t>
      </w:r>
      <w:hyperlink r:id="rId479">
        <w:r>
          <w:rPr>
            <w:sz w:val="18"/>
            <w:u w:val="single"/>
            <w:vertAlign w:val="baseline"/>
          </w:rPr>
          <w:t>https://www.lgbtmap.org/file/lgbtq-incarcerated-youth.pdf</w:t>
        </w:r>
        <w:r>
          <w:rPr>
            <w:sz w:val="18"/>
            <w:u w:val="none"/>
            <w:vertAlign w:val="baseline"/>
          </w:rPr>
          <w:t>.</w:t>
        </w:r>
      </w:hyperlink>
      <w:r>
        <w:rPr>
          <w:sz w:val="18"/>
          <w:u w:val="none"/>
          <w:vertAlign w:val="baseline"/>
        </w:rPr>
        <w:t>"</w:t>
      </w:r>
    </w:p>
    <w:p>
      <w:pPr>
        <w:spacing w:before="0"/>
        <w:ind w:left="320" w:right="0" w:firstLine="0"/>
        <w:jc w:val="left"/>
        <w:rPr>
          <w:i/>
          <w:sz w:val="18"/>
        </w:rPr>
      </w:pPr>
      <w:r>
        <w:rPr>
          <w:sz w:val="18"/>
          <w:vertAlign w:val="superscript"/>
        </w:rPr>
        <w:t>31</w:t>
      </w:r>
      <w:r>
        <w:rPr>
          <w:spacing w:val="40"/>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32</w:t>
      </w:r>
      <w:r>
        <w:rPr>
          <w:sz w:val="18"/>
          <w:vertAlign w:val="baseline"/>
        </w:rPr>
        <w:t> </w:t>
      </w:r>
      <w:r>
        <w:rPr>
          <w:i/>
          <w:spacing w:val="-5"/>
          <w:sz w:val="18"/>
          <w:vertAlign w:val="baseline"/>
        </w:rPr>
        <w:t>Id.</w:t>
      </w:r>
    </w:p>
    <w:p>
      <w:pPr>
        <w:spacing w:before="0"/>
        <w:ind w:left="320" w:right="964" w:firstLine="0"/>
        <w:jc w:val="left"/>
        <w:rPr>
          <w:sz w:val="18"/>
        </w:rPr>
      </w:pPr>
      <w:r>
        <w:rPr>
          <w:sz w:val="18"/>
          <w:vertAlign w:val="superscript"/>
        </w:rPr>
        <w:t>33</w:t>
      </w:r>
      <w:r>
        <w:rPr>
          <w:spacing w:val="-3"/>
          <w:sz w:val="18"/>
          <w:vertAlign w:val="baseline"/>
        </w:rPr>
        <w:t> </w:t>
      </w:r>
      <w:r>
        <w:rPr>
          <w:sz w:val="18"/>
          <w:vertAlign w:val="baseline"/>
        </w:rPr>
        <w:t>Center</w:t>
      </w:r>
      <w:r>
        <w:rPr>
          <w:spacing w:val="-4"/>
          <w:sz w:val="18"/>
          <w:vertAlign w:val="baseline"/>
        </w:rPr>
        <w:t> </w:t>
      </w:r>
      <w:r>
        <w:rPr>
          <w:sz w:val="18"/>
          <w:vertAlign w:val="baseline"/>
        </w:rPr>
        <w:t>for</w:t>
      </w:r>
      <w:r>
        <w:rPr>
          <w:spacing w:val="-4"/>
          <w:sz w:val="18"/>
          <w:vertAlign w:val="baseline"/>
        </w:rPr>
        <w:t> </w:t>
      </w:r>
      <w:r>
        <w:rPr>
          <w:sz w:val="18"/>
          <w:vertAlign w:val="baseline"/>
        </w:rPr>
        <w:t>Immigration</w:t>
      </w:r>
      <w:r>
        <w:rPr>
          <w:spacing w:val="-3"/>
          <w:sz w:val="18"/>
          <w:vertAlign w:val="baseline"/>
        </w:rPr>
        <w:t> </w:t>
      </w:r>
      <w:r>
        <w:rPr>
          <w:sz w:val="18"/>
          <w:vertAlign w:val="baseline"/>
        </w:rPr>
        <w:t>Assistance.</w:t>
      </w:r>
      <w:r>
        <w:rPr>
          <w:spacing w:val="-3"/>
          <w:sz w:val="18"/>
          <w:vertAlign w:val="baseline"/>
        </w:rPr>
        <w:t> </w:t>
      </w:r>
      <w:r>
        <w:rPr>
          <w:sz w:val="18"/>
          <w:vertAlign w:val="baseline"/>
        </w:rPr>
        <w:t>2024.</w:t>
      </w:r>
      <w:r>
        <w:rPr>
          <w:spacing w:val="-3"/>
          <w:sz w:val="18"/>
          <w:vertAlign w:val="baseline"/>
        </w:rPr>
        <w:t> </w:t>
      </w:r>
      <w:r>
        <w:rPr>
          <w:sz w:val="18"/>
          <w:vertAlign w:val="baseline"/>
        </w:rPr>
        <w:t>“ICE</w:t>
      </w:r>
      <w:r>
        <w:rPr>
          <w:spacing w:val="-4"/>
          <w:sz w:val="18"/>
          <w:vertAlign w:val="baseline"/>
        </w:rPr>
        <w:t> </w:t>
      </w:r>
      <w:r>
        <w:rPr>
          <w:sz w:val="18"/>
          <w:vertAlign w:val="baseline"/>
        </w:rPr>
        <w:t>Detention</w:t>
      </w:r>
      <w:r>
        <w:rPr>
          <w:spacing w:val="-3"/>
          <w:sz w:val="18"/>
          <w:vertAlign w:val="baseline"/>
        </w:rPr>
        <w:t> </w:t>
      </w:r>
      <w:r>
        <w:rPr>
          <w:sz w:val="18"/>
          <w:vertAlign w:val="baseline"/>
        </w:rPr>
        <w:t>Facilities</w:t>
      </w:r>
      <w:r>
        <w:rPr>
          <w:spacing w:val="-3"/>
          <w:sz w:val="18"/>
          <w:vertAlign w:val="baseline"/>
        </w:rPr>
        <w:t> </w:t>
      </w:r>
      <w:r>
        <w:rPr>
          <w:sz w:val="18"/>
          <w:vertAlign w:val="baseline"/>
        </w:rPr>
        <w:t>in</w:t>
      </w:r>
      <w:r>
        <w:rPr>
          <w:spacing w:val="-3"/>
          <w:sz w:val="18"/>
          <w:vertAlign w:val="baseline"/>
        </w:rPr>
        <w:t> </w:t>
      </w:r>
      <w:r>
        <w:rPr>
          <w:sz w:val="18"/>
          <w:vertAlign w:val="baseline"/>
        </w:rPr>
        <w:t>Massachusetts.”</w:t>
      </w:r>
      <w:r>
        <w:rPr>
          <w:spacing w:val="-3"/>
          <w:sz w:val="18"/>
          <w:vertAlign w:val="baseline"/>
        </w:rPr>
        <w:t> </w:t>
      </w:r>
      <w:r>
        <w:rPr>
          <w:sz w:val="18"/>
          <w:vertAlign w:val="baseline"/>
        </w:rPr>
        <w:t>Last</w:t>
      </w:r>
      <w:r>
        <w:rPr>
          <w:spacing w:val="-4"/>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13,</w:t>
      </w:r>
      <w:r>
        <w:rPr>
          <w:spacing w:val="-4"/>
          <w:sz w:val="18"/>
          <w:vertAlign w:val="baseline"/>
        </w:rPr>
        <w:t> </w:t>
      </w:r>
      <w:r>
        <w:rPr>
          <w:sz w:val="18"/>
          <w:vertAlign w:val="baseline"/>
        </w:rPr>
        <w:t>2024. </w:t>
      </w:r>
      <w:hyperlink r:id="rId489">
        <w:r>
          <w:rPr>
            <w:spacing w:val="-2"/>
            <w:sz w:val="18"/>
            <w:u w:val="single"/>
            <w:vertAlign w:val="baseline"/>
          </w:rPr>
          <w:t>https://www.cfiaus.com/ice-detention-facilities/massachusetts/</w:t>
        </w:r>
        <w:r>
          <w:rPr>
            <w:spacing w:val="-2"/>
            <w:sz w:val="18"/>
            <w:u w:val="none"/>
            <w:vertAlign w:val="baseline"/>
          </w:rPr>
          <w:t>.</w:t>
        </w:r>
      </w:hyperlink>
      <w:r>
        <w:rPr>
          <w:spacing w:val="-2"/>
          <w:sz w:val="18"/>
          <w:u w:val="none"/>
          <w:vertAlign w:val="baseline"/>
        </w:rPr>
        <w:t>"</w:t>
      </w:r>
    </w:p>
    <w:p>
      <w:pPr>
        <w:spacing w:after="0"/>
        <w:jc w:val="left"/>
        <w:rPr>
          <w:sz w:val="18"/>
        </w:rPr>
        <w:sectPr>
          <w:pgSz w:w="12240" w:h="15840"/>
          <w:pgMar w:header="763" w:footer="1041" w:top="1360" w:bottom="1240" w:left="1120" w:right="1340"/>
        </w:sectPr>
      </w:pPr>
    </w:p>
    <w:p>
      <w:pPr>
        <w:pStyle w:val="BodyText"/>
        <w:spacing w:before="90"/>
        <w:rPr>
          <w:sz w:val="18"/>
        </w:rPr>
      </w:pPr>
    </w:p>
    <w:p>
      <w:pPr>
        <w:spacing w:before="1"/>
        <w:ind w:left="320" w:right="0" w:firstLine="0"/>
        <w:jc w:val="left"/>
        <w:rPr>
          <w:sz w:val="18"/>
        </w:rPr>
      </w:pPr>
      <w:r>
        <w:rPr>
          <w:sz w:val="18"/>
          <w:vertAlign w:val="superscript"/>
        </w:rPr>
        <w:t>34</w:t>
      </w:r>
      <w:r>
        <w:rPr>
          <w:spacing w:val="-2"/>
          <w:sz w:val="18"/>
          <w:vertAlign w:val="baseline"/>
        </w:rPr>
        <w:t> </w:t>
      </w:r>
      <w:r>
        <w:rPr>
          <w:sz w:val="18"/>
          <w:vertAlign w:val="baseline"/>
        </w:rPr>
        <w:t>Lue,</w:t>
      </w:r>
      <w:r>
        <w:rPr>
          <w:spacing w:val="-3"/>
          <w:sz w:val="18"/>
          <w:vertAlign w:val="baseline"/>
        </w:rPr>
        <w:t> </w:t>
      </w:r>
      <w:r>
        <w:rPr>
          <w:sz w:val="18"/>
          <w:vertAlign w:val="baseline"/>
        </w:rPr>
        <w:t>Nicole,</w:t>
      </w:r>
      <w:r>
        <w:rPr>
          <w:spacing w:val="-3"/>
          <w:sz w:val="18"/>
          <w:vertAlign w:val="baseline"/>
        </w:rPr>
        <w:t> </w:t>
      </w:r>
      <w:r>
        <w:rPr>
          <w:sz w:val="18"/>
          <w:vertAlign w:val="baseline"/>
        </w:rPr>
        <w:t>Joseph</w:t>
      </w:r>
      <w:r>
        <w:rPr>
          <w:spacing w:val="-2"/>
          <w:sz w:val="18"/>
          <w:vertAlign w:val="baseline"/>
        </w:rPr>
        <w:t> </w:t>
      </w:r>
      <w:r>
        <w:rPr>
          <w:sz w:val="18"/>
          <w:vertAlign w:val="baseline"/>
        </w:rPr>
        <w:t>Nwadiuko,</w:t>
      </w:r>
      <w:r>
        <w:rPr>
          <w:spacing w:val="-3"/>
          <w:sz w:val="18"/>
          <w:vertAlign w:val="baseline"/>
        </w:rPr>
        <w:t> </w:t>
      </w:r>
      <w:r>
        <w:rPr>
          <w:sz w:val="18"/>
          <w:vertAlign w:val="baseline"/>
        </w:rPr>
        <w:t>Parveen</w:t>
      </w:r>
      <w:r>
        <w:rPr>
          <w:spacing w:val="-2"/>
          <w:sz w:val="18"/>
          <w:vertAlign w:val="baseline"/>
        </w:rPr>
        <w:t> </w:t>
      </w:r>
      <w:r>
        <w:rPr>
          <w:sz w:val="18"/>
          <w:vertAlign w:val="baseline"/>
        </w:rPr>
        <w:t>Parmar,</w:t>
      </w:r>
      <w:r>
        <w:rPr>
          <w:spacing w:val="-4"/>
          <w:sz w:val="18"/>
          <w:vertAlign w:val="baseline"/>
        </w:rPr>
        <w:t> </w:t>
      </w:r>
      <w:r>
        <w:rPr>
          <w:sz w:val="18"/>
          <w:vertAlign w:val="baseline"/>
        </w:rPr>
        <w:t>and</w:t>
      </w:r>
      <w:r>
        <w:rPr>
          <w:spacing w:val="-2"/>
          <w:sz w:val="18"/>
          <w:vertAlign w:val="baseline"/>
        </w:rPr>
        <w:t> </w:t>
      </w:r>
      <w:r>
        <w:rPr>
          <w:sz w:val="18"/>
          <w:vertAlign w:val="baseline"/>
        </w:rPr>
        <w:t>Amy</w:t>
      </w:r>
      <w:r>
        <w:rPr>
          <w:spacing w:val="-2"/>
          <w:sz w:val="18"/>
          <w:vertAlign w:val="baseline"/>
        </w:rPr>
        <w:t> </w:t>
      </w:r>
      <w:r>
        <w:rPr>
          <w:sz w:val="18"/>
          <w:vertAlign w:val="baseline"/>
        </w:rPr>
        <w:t>Zeidan.</w:t>
      </w:r>
      <w:r>
        <w:rPr>
          <w:spacing w:val="-2"/>
          <w:sz w:val="18"/>
          <w:vertAlign w:val="baseline"/>
        </w:rPr>
        <w:t> </w:t>
      </w:r>
      <w:r>
        <w:rPr>
          <w:sz w:val="18"/>
          <w:vertAlign w:val="baseline"/>
        </w:rPr>
        <w:t>2023.</w:t>
      </w:r>
      <w:r>
        <w:rPr>
          <w:spacing w:val="-2"/>
          <w:sz w:val="18"/>
          <w:vertAlign w:val="baseline"/>
        </w:rPr>
        <w:t> </w:t>
      </w:r>
      <w:r>
        <w:rPr>
          <w:sz w:val="18"/>
          <w:vertAlign w:val="baseline"/>
        </w:rPr>
        <w:t>“Trends</w:t>
      </w:r>
      <w:r>
        <w:rPr>
          <w:spacing w:val="-2"/>
          <w:sz w:val="18"/>
          <w:vertAlign w:val="baseline"/>
        </w:rPr>
        <w:t> </w:t>
      </w:r>
      <w:r>
        <w:rPr>
          <w:sz w:val="18"/>
          <w:vertAlign w:val="baseline"/>
        </w:rPr>
        <w:t>in</w:t>
      </w:r>
      <w:r>
        <w:rPr>
          <w:spacing w:val="-2"/>
          <w:sz w:val="18"/>
          <w:vertAlign w:val="baseline"/>
        </w:rPr>
        <w:t> </w:t>
      </w:r>
      <w:r>
        <w:rPr>
          <w:sz w:val="18"/>
          <w:vertAlign w:val="baseline"/>
        </w:rPr>
        <w:t>Sexual</w:t>
      </w:r>
      <w:r>
        <w:rPr>
          <w:spacing w:val="-3"/>
          <w:sz w:val="18"/>
          <w:vertAlign w:val="baseline"/>
        </w:rPr>
        <w:t> </w:t>
      </w:r>
      <w:r>
        <w:rPr>
          <w:sz w:val="18"/>
          <w:vertAlign w:val="baseline"/>
        </w:rPr>
        <w:t>Assault</w:t>
      </w:r>
      <w:r>
        <w:rPr>
          <w:spacing w:val="-3"/>
          <w:sz w:val="18"/>
          <w:vertAlign w:val="baseline"/>
        </w:rPr>
        <w:t> </w:t>
      </w:r>
      <w:r>
        <w:rPr>
          <w:sz w:val="18"/>
          <w:vertAlign w:val="baseline"/>
        </w:rPr>
        <w:t>Against</w:t>
      </w:r>
      <w:r>
        <w:rPr>
          <w:spacing w:val="-3"/>
          <w:sz w:val="18"/>
          <w:vertAlign w:val="baseline"/>
        </w:rPr>
        <w:t> </w:t>
      </w:r>
      <w:r>
        <w:rPr>
          <w:sz w:val="18"/>
          <w:vertAlign w:val="baseline"/>
        </w:rPr>
        <w:t>Detainees</w:t>
      </w:r>
      <w:r>
        <w:rPr>
          <w:spacing w:val="-2"/>
          <w:sz w:val="18"/>
          <w:vertAlign w:val="baseline"/>
        </w:rPr>
        <w:t> </w:t>
      </w:r>
      <w:r>
        <w:rPr>
          <w:sz w:val="18"/>
          <w:vertAlign w:val="baseline"/>
        </w:rPr>
        <w:t>in</w:t>
      </w:r>
      <w:r>
        <w:rPr>
          <w:spacing w:val="-2"/>
          <w:sz w:val="18"/>
          <w:vertAlign w:val="baseline"/>
        </w:rPr>
        <w:t> </w:t>
      </w:r>
      <w:r>
        <w:rPr>
          <w:sz w:val="18"/>
          <w:vertAlign w:val="baseline"/>
        </w:rPr>
        <w:t>US Immigration Detention Centers, 2018-2022”, </w:t>
      </w:r>
      <w:r>
        <w:rPr>
          <w:i/>
          <w:sz w:val="18"/>
          <w:vertAlign w:val="baseline"/>
        </w:rPr>
        <w:t>Journal of the American Medical Association</w:t>
      </w:r>
      <w:r>
        <w:rPr>
          <w:sz w:val="18"/>
          <w:vertAlign w:val="baseline"/>
        </w:rPr>
        <w:t>, 2023.</w:t>
      </w:r>
    </w:p>
    <w:p>
      <w:pPr>
        <w:spacing w:before="0"/>
        <w:ind w:left="320" w:right="0" w:firstLine="0"/>
        <w:jc w:val="left"/>
        <w:rPr>
          <w:sz w:val="18"/>
        </w:rPr>
      </w:pPr>
      <w:r>
        <w:rPr>
          <w:sz w:val="18"/>
          <w:vertAlign w:val="superscript"/>
        </w:rPr>
        <w:t>35</w:t>
      </w:r>
      <w:r>
        <w:rPr>
          <w:spacing w:val="-2"/>
          <w:sz w:val="18"/>
          <w:vertAlign w:val="baseline"/>
        </w:rPr>
        <w:t> </w:t>
      </w:r>
      <w:r>
        <w:rPr>
          <w:sz w:val="18"/>
          <w:vertAlign w:val="baseline"/>
        </w:rPr>
        <w:t>Castro,</w:t>
      </w:r>
      <w:r>
        <w:rPr>
          <w:spacing w:val="-3"/>
          <w:sz w:val="18"/>
          <w:vertAlign w:val="baseline"/>
        </w:rPr>
        <w:t> </w:t>
      </w:r>
      <w:r>
        <w:rPr>
          <w:sz w:val="18"/>
          <w:vertAlign w:val="baseline"/>
        </w:rPr>
        <w:t>Vanessa</w:t>
      </w:r>
      <w:r>
        <w:rPr>
          <w:spacing w:val="-3"/>
          <w:sz w:val="18"/>
          <w:vertAlign w:val="baseline"/>
        </w:rPr>
        <w:t> </w:t>
      </w:r>
      <w:r>
        <w:rPr>
          <w:sz w:val="18"/>
          <w:vertAlign w:val="baseline"/>
        </w:rPr>
        <w:t>A.,</w:t>
      </w:r>
      <w:r>
        <w:rPr>
          <w:spacing w:val="-3"/>
          <w:sz w:val="18"/>
          <w:vertAlign w:val="baseline"/>
        </w:rPr>
        <w:t> </w:t>
      </w:r>
      <w:r>
        <w:rPr>
          <w:sz w:val="18"/>
          <w:vertAlign w:val="baseline"/>
        </w:rPr>
        <w:t>Wesley</w:t>
      </w:r>
      <w:r>
        <w:rPr>
          <w:spacing w:val="-2"/>
          <w:sz w:val="18"/>
          <w:vertAlign w:val="baseline"/>
        </w:rPr>
        <w:t> </w:t>
      </w:r>
      <w:r>
        <w:rPr>
          <w:sz w:val="18"/>
          <w:vertAlign w:val="baseline"/>
        </w:rPr>
        <w:t>M.</w:t>
      </w:r>
      <w:r>
        <w:rPr>
          <w:spacing w:val="-2"/>
          <w:sz w:val="18"/>
          <w:vertAlign w:val="baseline"/>
        </w:rPr>
        <w:t> </w:t>
      </w:r>
      <w:r>
        <w:rPr>
          <w:sz w:val="18"/>
          <w:vertAlign w:val="baseline"/>
        </w:rPr>
        <w:t>King,</w:t>
      </w:r>
      <w:r>
        <w:rPr>
          <w:spacing w:val="-3"/>
          <w:sz w:val="18"/>
          <w:vertAlign w:val="baseline"/>
        </w:rPr>
        <w:t> </w:t>
      </w:r>
      <w:r>
        <w:rPr>
          <w:sz w:val="18"/>
          <w:vertAlign w:val="baseline"/>
        </w:rPr>
        <w:t>Laima</w:t>
      </w:r>
      <w:r>
        <w:rPr>
          <w:spacing w:val="-2"/>
          <w:sz w:val="18"/>
          <w:vertAlign w:val="baseline"/>
        </w:rPr>
        <w:t> </w:t>
      </w:r>
      <w:r>
        <w:rPr>
          <w:sz w:val="18"/>
          <w:vertAlign w:val="baseline"/>
        </w:rPr>
        <w:t>Augustaitis,</w:t>
      </w:r>
      <w:r>
        <w:rPr>
          <w:spacing w:val="-3"/>
          <w:sz w:val="18"/>
          <w:vertAlign w:val="baseline"/>
        </w:rPr>
        <w:t> </w:t>
      </w:r>
      <w:r>
        <w:rPr>
          <w:sz w:val="18"/>
          <w:vertAlign w:val="baseline"/>
        </w:rPr>
        <w:t>Kate</w:t>
      </w:r>
      <w:r>
        <w:rPr>
          <w:spacing w:val="-2"/>
          <w:sz w:val="18"/>
          <w:vertAlign w:val="baseline"/>
        </w:rPr>
        <w:t> </w:t>
      </w:r>
      <w:r>
        <w:rPr>
          <w:sz w:val="18"/>
          <w:vertAlign w:val="baseline"/>
        </w:rPr>
        <w:t>Saylor,</w:t>
      </w:r>
      <w:r>
        <w:rPr>
          <w:spacing w:val="-3"/>
          <w:sz w:val="18"/>
          <w:vertAlign w:val="baseline"/>
        </w:rPr>
        <w:t> </w:t>
      </w:r>
      <w:r>
        <w:rPr>
          <w:sz w:val="18"/>
          <w:vertAlign w:val="baseline"/>
        </w:rPr>
        <w:t>and</w:t>
      </w:r>
      <w:r>
        <w:rPr>
          <w:spacing w:val="-2"/>
          <w:sz w:val="18"/>
          <w:vertAlign w:val="baseline"/>
        </w:rPr>
        <w:t> </w:t>
      </w:r>
      <w:r>
        <w:rPr>
          <w:sz w:val="18"/>
          <w:vertAlign w:val="baseline"/>
        </w:rPr>
        <w:t>Kristi</w:t>
      </w:r>
      <w:r>
        <w:rPr>
          <w:spacing w:val="-3"/>
          <w:sz w:val="18"/>
          <w:vertAlign w:val="baseline"/>
        </w:rPr>
        <w:t> </w:t>
      </w:r>
      <w:r>
        <w:rPr>
          <w:sz w:val="18"/>
          <w:vertAlign w:val="baseline"/>
        </w:rPr>
        <w:t>E.</w:t>
      </w:r>
      <w:r>
        <w:rPr>
          <w:spacing w:val="-2"/>
          <w:sz w:val="18"/>
          <w:vertAlign w:val="baseline"/>
        </w:rPr>
        <w:t> </w:t>
      </w:r>
      <w:r>
        <w:rPr>
          <w:sz w:val="18"/>
          <w:vertAlign w:val="baseline"/>
        </w:rPr>
        <w:t>Gamarel.</w:t>
      </w:r>
      <w:r>
        <w:rPr>
          <w:spacing w:val="-2"/>
          <w:sz w:val="18"/>
          <w:vertAlign w:val="baseline"/>
        </w:rPr>
        <w:t> </w:t>
      </w:r>
      <w:r>
        <w:rPr>
          <w:sz w:val="18"/>
          <w:vertAlign w:val="baseline"/>
        </w:rPr>
        <w:t>2022."A</w:t>
      </w:r>
      <w:r>
        <w:rPr>
          <w:spacing w:val="-3"/>
          <w:sz w:val="18"/>
          <w:vertAlign w:val="baseline"/>
        </w:rPr>
        <w:t> </w:t>
      </w:r>
      <w:r>
        <w:rPr>
          <w:sz w:val="18"/>
          <w:vertAlign w:val="baseline"/>
        </w:rPr>
        <w:t>Scoping</w:t>
      </w:r>
      <w:r>
        <w:rPr>
          <w:spacing w:val="-2"/>
          <w:sz w:val="18"/>
          <w:vertAlign w:val="baseline"/>
        </w:rPr>
        <w:t> </w:t>
      </w:r>
      <w:r>
        <w:rPr>
          <w:sz w:val="18"/>
          <w:vertAlign w:val="baseline"/>
        </w:rPr>
        <w:t>Review</w:t>
      </w:r>
      <w:r>
        <w:rPr>
          <w:spacing w:val="-3"/>
          <w:sz w:val="18"/>
          <w:vertAlign w:val="baseline"/>
        </w:rPr>
        <w:t> </w:t>
      </w:r>
      <w:r>
        <w:rPr>
          <w:sz w:val="18"/>
          <w:vertAlign w:val="baseline"/>
        </w:rPr>
        <w:t>of</w:t>
      </w:r>
      <w:r>
        <w:rPr>
          <w:spacing w:val="-2"/>
          <w:sz w:val="18"/>
          <w:vertAlign w:val="baseline"/>
        </w:rPr>
        <w:t> </w:t>
      </w:r>
      <w:r>
        <w:rPr>
          <w:sz w:val="18"/>
          <w:vertAlign w:val="baseline"/>
        </w:rPr>
        <w:t>Health Outcomes</w:t>
      </w:r>
      <w:r>
        <w:rPr>
          <w:spacing w:val="-6"/>
          <w:sz w:val="18"/>
          <w:vertAlign w:val="baseline"/>
        </w:rPr>
        <w:t> </w:t>
      </w:r>
      <w:r>
        <w:rPr>
          <w:sz w:val="18"/>
          <w:vertAlign w:val="baseline"/>
        </w:rPr>
        <w:t>Among</w:t>
      </w:r>
      <w:r>
        <w:rPr>
          <w:spacing w:val="-3"/>
          <w:sz w:val="18"/>
          <w:vertAlign w:val="baseline"/>
        </w:rPr>
        <w:t> </w:t>
      </w:r>
      <w:r>
        <w:rPr>
          <w:sz w:val="18"/>
          <w:vertAlign w:val="baseline"/>
        </w:rPr>
        <w:t>Transgender</w:t>
      </w:r>
      <w:r>
        <w:rPr>
          <w:spacing w:val="-5"/>
          <w:sz w:val="18"/>
          <w:vertAlign w:val="baseline"/>
        </w:rPr>
        <w:t> </w:t>
      </w:r>
      <w:r>
        <w:rPr>
          <w:sz w:val="18"/>
          <w:vertAlign w:val="baseline"/>
        </w:rPr>
        <w:t>Migrants."</w:t>
      </w:r>
      <w:r>
        <w:rPr>
          <w:spacing w:val="-3"/>
          <w:sz w:val="18"/>
          <w:vertAlign w:val="baseline"/>
        </w:rPr>
        <w:t> </w:t>
      </w:r>
      <w:r>
        <w:rPr>
          <w:i/>
          <w:sz w:val="18"/>
          <w:vertAlign w:val="baseline"/>
        </w:rPr>
        <w:t>Transgender</w:t>
      </w:r>
      <w:r>
        <w:rPr>
          <w:i/>
          <w:spacing w:val="-4"/>
          <w:sz w:val="18"/>
          <w:vertAlign w:val="baseline"/>
        </w:rPr>
        <w:t> </w:t>
      </w:r>
      <w:r>
        <w:rPr>
          <w:i/>
          <w:sz w:val="18"/>
          <w:vertAlign w:val="baseline"/>
        </w:rPr>
        <w:t>Health</w:t>
      </w:r>
      <w:r>
        <w:rPr>
          <w:i/>
          <w:spacing w:val="-3"/>
          <w:sz w:val="18"/>
          <w:vertAlign w:val="baseline"/>
        </w:rPr>
        <w:t> </w:t>
      </w:r>
      <w:r>
        <w:rPr>
          <w:sz w:val="18"/>
          <w:vertAlign w:val="baseline"/>
        </w:rPr>
        <w:t>7,</w:t>
      </w:r>
      <w:r>
        <w:rPr>
          <w:spacing w:val="-3"/>
          <w:sz w:val="18"/>
          <w:vertAlign w:val="baseline"/>
        </w:rPr>
        <w:t> </w:t>
      </w:r>
      <w:r>
        <w:rPr>
          <w:sz w:val="18"/>
          <w:vertAlign w:val="baseline"/>
        </w:rPr>
        <w:t>no.</w:t>
      </w:r>
      <w:r>
        <w:rPr>
          <w:spacing w:val="-4"/>
          <w:sz w:val="18"/>
          <w:vertAlign w:val="baseline"/>
        </w:rPr>
        <w:t> </w:t>
      </w:r>
      <w:r>
        <w:rPr>
          <w:sz w:val="18"/>
          <w:vertAlign w:val="baseline"/>
        </w:rPr>
        <w:t>5</w:t>
      </w:r>
      <w:r>
        <w:rPr>
          <w:spacing w:val="-3"/>
          <w:sz w:val="18"/>
          <w:vertAlign w:val="baseline"/>
        </w:rPr>
        <w:t> </w:t>
      </w:r>
      <w:r>
        <w:rPr>
          <w:sz w:val="18"/>
          <w:vertAlign w:val="baseline"/>
        </w:rPr>
        <w:t>(October</w:t>
      </w:r>
      <w:r>
        <w:rPr>
          <w:spacing w:val="-4"/>
          <w:sz w:val="18"/>
          <w:vertAlign w:val="baseline"/>
        </w:rPr>
        <w:t> </w:t>
      </w:r>
      <w:r>
        <w:rPr>
          <w:sz w:val="18"/>
          <w:vertAlign w:val="baseline"/>
        </w:rPr>
        <w:t>2022):</w:t>
      </w:r>
      <w:r>
        <w:rPr>
          <w:spacing w:val="-3"/>
          <w:sz w:val="18"/>
          <w:vertAlign w:val="baseline"/>
        </w:rPr>
        <w:t> </w:t>
      </w:r>
      <w:r>
        <w:rPr>
          <w:sz w:val="18"/>
          <w:vertAlign w:val="baseline"/>
        </w:rPr>
        <w:t>385–396.</w:t>
      </w:r>
      <w:r>
        <w:rPr>
          <w:spacing w:val="-4"/>
          <w:sz w:val="18"/>
          <w:vertAlign w:val="baseline"/>
        </w:rPr>
        <w:t> </w:t>
      </w:r>
      <w:r>
        <w:rPr>
          <w:sz w:val="18"/>
          <w:vertAlign w:val="baseline"/>
        </w:rPr>
        <w:t>Published</w:t>
      </w:r>
      <w:r>
        <w:rPr>
          <w:spacing w:val="-3"/>
          <w:sz w:val="18"/>
          <w:vertAlign w:val="baseline"/>
        </w:rPr>
        <w:t> </w:t>
      </w:r>
      <w:r>
        <w:rPr>
          <w:sz w:val="18"/>
          <w:vertAlign w:val="baseline"/>
        </w:rPr>
        <w:t>online</w:t>
      </w:r>
      <w:r>
        <w:rPr>
          <w:spacing w:val="-3"/>
          <w:sz w:val="18"/>
          <w:vertAlign w:val="baseline"/>
        </w:rPr>
        <w:t> </w:t>
      </w:r>
      <w:r>
        <w:rPr>
          <w:sz w:val="18"/>
          <w:vertAlign w:val="baseline"/>
        </w:rPr>
        <w:t>October</w:t>
      </w:r>
      <w:r>
        <w:rPr>
          <w:spacing w:val="-4"/>
          <w:sz w:val="18"/>
          <w:vertAlign w:val="baseline"/>
        </w:rPr>
        <w:t> </w:t>
      </w:r>
      <w:r>
        <w:rPr>
          <w:spacing w:val="-5"/>
          <w:sz w:val="18"/>
          <w:vertAlign w:val="baseline"/>
        </w:rPr>
        <w:t>7,</w:t>
      </w:r>
    </w:p>
    <w:p>
      <w:pPr>
        <w:spacing w:before="0"/>
        <w:ind w:left="320" w:right="0" w:firstLine="0"/>
        <w:jc w:val="left"/>
        <w:rPr>
          <w:sz w:val="18"/>
        </w:rPr>
      </w:pPr>
      <w:r>
        <w:rPr>
          <w:sz w:val="18"/>
        </w:rPr>
        <w:t>2022.</w:t>
      </w:r>
      <w:r>
        <w:rPr>
          <w:spacing w:val="-8"/>
          <w:sz w:val="18"/>
        </w:rPr>
        <w:t> </w:t>
      </w:r>
      <w:r>
        <w:rPr>
          <w:sz w:val="18"/>
        </w:rPr>
        <w:t>doi:10.1089/trgh.2021.0011.</w:t>
      </w:r>
      <w:r>
        <w:rPr>
          <w:spacing w:val="-5"/>
          <w:sz w:val="18"/>
        </w:rPr>
        <w:t> </w:t>
      </w:r>
      <w:r>
        <w:rPr>
          <w:sz w:val="18"/>
        </w:rPr>
        <w:t>Accessed</w:t>
      </w:r>
      <w:r>
        <w:rPr>
          <w:spacing w:val="-6"/>
          <w:sz w:val="18"/>
        </w:rPr>
        <w:t> </w:t>
      </w:r>
      <w:r>
        <w:rPr>
          <w:sz w:val="18"/>
        </w:rPr>
        <w:t>April</w:t>
      </w:r>
      <w:r>
        <w:rPr>
          <w:spacing w:val="-6"/>
          <w:sz w:val="18"/>
        </w:rPr>
        <w:t> </w:t>
      </w:r>
      <w:r>
        <w:rPr>
          <w:sz w:val="18"/>
        </w:rPr>
        <w:t>13,</w:t>
      </w:r>
      <w:r>
        <w:rPr>
          <w:spacing w:val="-6"/>
          <w:sz w:val="18"/>
        </w:rPr>
        <w:t> </w:t>
      </w:r>
      <w:r>
        <w:rPr>
          <w:sz w:val="18"/>
        </w:rPr>
        <w:t>2024.</w:t>
      </w:r>
      <w:r>
        <w:rPr>
          <w:spacing w:val="-5"/>
          <w:sz w:val="18"/>
        </w:rPr>
        <w:t> </w:t>
      </w:r>
      <w:hyperlink r:id="rId490">
        <w:r>
          <w:rPr>
            <w:spacing w:val="-2"/>
            <w:sz w:val="18"/>
            <w:u w:val="single"/>
          </w:rPr>
          <w:t>https://www.ncbi.nlm.nih.gov/pmc/articles/PMC9829141</w:t>
        </w:r>
        <w:r>
          <w:rPr>
            <w:spacing w:val="-2"/>
            <w:sz w:val="18"/>
            <w:u w:val="none"/>
          </w:rPr>
          <w:t>.</w:t>
        </w:r>
      </w:hyperlink>
    </w:p>
    <w:p>
      <w:pPr>
        <w:spacing w:before="0"/>
        <w:ind w:left="320" w:right="228" w:firstLine="0"/>
        <w:jc w:val="left"/>
        <w:rPr>
          <w:sz w:val="18"/>
        </w:rPr>
      </w:pPr>
      <w:r>
        <w:rPr>
          <w:sz w:val="18"/>
          <w:vertAlign w:val="superscript"/>
        </w:rPr>
        <w:t>36</w:t>
      </w:r>
      <w:r>
        <w:rPr>
          <w:spacing w:val="-3"/>
          <w:sz w:val="18"/>
          <w:vertAlign w:val="baseline"/>
        </w:rPr>
        <w:t> </w:t>
      </w:r>
      <w:r>
        <w:rPr>
          <w:sz w:val="18"/>
          <w:vertAlign w:val="baseline"/>
        </w:rPr>
        <w:t>Williams</w:t>
      </w:r>
      <w:r>
        <w:rPr>
          <w:spacing w:val="-3"/>
          <w:sz w:val="18"/>
          <w:vertAlign w:val="baseline"/>
        </w:rPr>
        <w:t> </w:t>
      </w:r>
      <w:r>
        <w:rPr>
          <w:sz w:val="18"/>
          <w:vertAlign w:val="baseline"/>
        </w:rPr>
        <w:t>Institute.</w:t>
      </w:r>
      <w:r>
        <w:rPr>
          <w:spacing w:val="-3"/>
          <w:sz w:val="18"/>
          <w:vertAlign w:val="baseline"/>
        </w:rPr>
        <w:t> </w:t>
      </w:r>
      <w:r>
        <w:rPr>
          <w:sz w:val="18"/>
          <w:vertAlign w:val="baseline"/>
        </w:rPr>
        <w:t>2023.</w:t>
      </w:r>
      <w:r>
        <w:rPr>
          <w:spacing w:val="-3"/>
          <w:sz w:val="18"/>
          <w:vertAlign w:val="baseline"/>
        </w:rPr>
        <w:t> </w:t>
      </w:r>
      <w:r>
        <w:rPr>
          <w:sz w:val="18"/>
          <w:vertAlign w:val="baseline"/>
        </w:rPr>
        <w:t>“The</w:t>
      </w:r>
      <w:r>
        <w:rPr>
          <w:spacing w:val="-3"/>
          <w:sz w:val="18"/>
          <w:vertAlign w:val="baseline"/>
        </w:rPr>
        <w:t> </w:t>
      </w:r>
      <w:r>
        <w:rPr>
          <w:sz w:val="18"/>
          <w:vertAlign w:val="baseline"/>
        </w:rPr>
        <w:t>California</w:t>
      </w:r>
      <w:r>
        <w:rPr>
          <w:spacing w:val="-3"/>
          <w:sz w:val="18"/>
          <w:vertAlign w:val="baseline"/>
        </w:rPr>
        <w:t> </w:t>
      </w:r>
      <w:r>
        <w:rPr>
          <w:sz w:val="18"/>
          <w:vertAlign w:val="baseline"/>
        </w:rPr>
        <w:t>Parole</w:t>
      </w:r>
      <w:r>
        <w:rPr>
          <w:spacing w:val="-2"/>
          <w:sz w:val="18"/>
          <w:vertAlign w:val="baseline"/>
        </w:rPr>
        <w:t> </w:t>
      </w:r>
      <w:r>
        <w:rPr>
          <w:sz w:val="18"/>
          <w:vertAlign w:val="baseline"/>
        </w:rPr>
        <w:t>Board’s</w:t>
      </w:r>
      <w:r>
        <w:rPr>
          <w:spacing w:val="-3"/>
          <w:sz w:val="18"/>
          <w:vertAlign w:val="baseline"/>
        </w:rPr>
        <w:t> </w:t>
      </w:r>
      <w:r>
        <w:rPr>
          <w:sz w:val="18"/>
          <w:vertAlign w:val="baseline"/>
        </w:rPr>
        <w:t>Treatment</w:t>
      </w:r>
      <w:r>
        <w:rPr>
          <w:spacing w:val="-3"/>
          <w:sz w:val="18"/>
          <w:vertAlign w:val="baseline"/>
        </w:rPr>
        <w:t> </w:t>
      </w:r>
      <w:r>
        <w:rPr>
          <w:sz w:val="18"/>
          <w:vertAlign w:val="baseline"/>
        </w:rPr>
        <w:t>of</w:t>
      </w:r>
      <w:r>
        <w:rPr>
          <w:spacing w:val="-3"/>
          <w:sz w:val="18"/>
          <w:vertAlign w:val="baseline"/>
        </w:rPr>
        <w:t> </w:t>
      </w:r>
      <w:r>
        <w:rPr>
          <w:sz w:val="18"/>
          <w:vertAlign w:val="baseline"/>
        </w:rPr>
        <w:t>Transgender</w:t>
      </w:r>
      <w:r>
        <w:rPr>
          <w:spacing w:val="-3"/>
          <w:sz w:val="18"/>
          <w:vertAlign w:val="baseline"/>
        </w:rPr>
        <w:t> </w:t>
      </w:r>
      <w:r>
        <w:rPr>
          <w:sz w:val="18"/>
          <w:vertAlign w:val="baseline"/>
        </w:rPr>
        <w:t>Individuals”,</w:t>
      </w:r>
      <w:r>
        <w:rPr>
          <w:spacing w:val="-3"/>
          <w:sz w:val="18"/>
          <w:vertAlign w:val="baseline"/>
        </w:rPr>
        <w:t> </w:t>
      </w:r>
      <w:r>
        <w:rPr>
          <w:sz w:val="18"/>
          <w:vertAlign w:val="baseline"/>
        </w:rPr>
        <w:t>Last</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3"/>
          <w:sz w:val="18"/>
          <w:vertAlign w:val="baseline"/>
        </w:rPr>
        <w:t> </w:t>
      </w:r>
      <w:r>
        <w:rPr>
          <w:sz w:val="18"/>
          <w:vertAlign w:val="baseline"/>
        </w:rPr>
        <w:t>28,</w:t>
      </w:r>
      <w:r>
        <w:rPr>
          <w:spacing w:val="-3"/>
          <w:sz w:val="18"/>
          <w:vertAlign w:val="baseline"/>
        </w:rPr>
        <w:t> </w:t>
      </w:r>
      <w:r>
        <w:rPr>
          <w:sz w:val="18"/>
          <w:vertAlign w:val="baseline"/>
        </w:rPr>
        <w:t>2023. </w:t>
      </w:r>
      <w:hyperlink r:id="rId491">
        <w:r>
          <w:rPr>
            <w:spacing w:val="-2"/>
            <w:sz w:val="18"/>
            <w:u w:val="single"/>
            <w:vertAlign w:val="baseline"/>
          </w:rPr>
          <w:t>https://williamsinstitute.law.ucla.edu/wp-content/uploads/Trans-Parole-Apr-2023.pdf</w:t>
        </w:r>
      </w:hyperlink>
    </w:p>
    <w:p>
      <w:pPr>
        <w:spacing w:before="0"/>
        <w:ind w:left="320" w:right="228" w:firstLine="0"/>
        <w:jc w:val="left"/>
        <w:rPr>
          <w:sz w:val="18"/>
        </w:rPr>
      </w:pPr>
      <w:r>
        <w:rPr>
          <w:sz w:val="18"/>
          <w:vertAlign w:val="superscript"/>
        </w:rPr>
        <w:t>37</w:t>
      </w:r>
      <w:r>
        <w:rPr>
          <w:spacing w:val="-3"/>
          <w:sz w:val="18"/>
          <w:vertAlign w:val="baseline"/>
        </w:rPr>
        <w:t> </w:t>
      </w:r>
      <w:r>
        <w:rPr>
          <w:sz w:val="18"/>
          <w:vertAlign w:val="baseline"/>
        </w:rPr>
        <w:t>Zitsch,</w:t>
      </w:r>
      <w:r>
        <w:rPr>
          <w:spacing w:val="-3"/>
          <w:sz w:val="18"/>
          <w:vertAlign w:val="baseline"/>
        </w:rPr>
        <w:t> </w:t>
      </w:r>
      <w:r>
        <w:rPr>
          <w:sz w:val="18"/>
          <w:vertAlign w:val="baseline"/>
        </w:rPr>
        <w:t>Lauren.</w:t>
      </w:r>
      <w:r>
        <w:rPr>
          <w:spacing w:val="-3"/>
          <w:sz w:val="18"/>
          <w:vertAlign w:val="baseline"/>
        </w:rPr>
        <w:t> </w:t>
      </w:r>
      <w:r>
        <w:rPr>
          <w:sz w:val="18"/>
          <w:vertAlign w:val="baseline"/>
        </w:rPr>
        <w:t>2015.</w:t>
      </w:r>
      <w:r>
        <w:rPr>
          <w:spacing w:val="-3"/>
          <w:sz w:val="18"/>
          <w:vertAlign w:val="baseline"/>
        </w:rPr>
        <w:t> </w:t>
      </w:r>
      <w:r>
        <w:rPr>
          <w:sz w:val="18"/>
          <w:vertAlign w:val="baseline"/>
        </w:rPr>
        <w:t>“Where</w:t>
      </w:r>
      <w:r>
        <w:rPr>
          <w:spacing w:val="-3"/>
          <w:sz w:val="18"/>
          <w:vertAlign w:val="baseline"/>
        </w:rPr>
        <w:t> </w:t>
      </w:r>
      <w:r>
        <w:rPr>
          <w:sz w:val="18"/>
          <w:vertAlign w:val="baseline"/>
        </w:rPr>
        <w:t>the</w:t>
      </w:r>
      <w:r>
        <w:rPr>
          <w:spacing w:val="-3"/>
          <w:sz w:val="18"/>
          <w:vertAlign w:val="baseline"/>
        </w:rPr>
        <w:t> </w:t>
      </w:r>
      <w:r>
        <w:rPr>
          <w:sz w:val="18"/>
          <w:vertAlign w:val="baseline"/>
        </w:rPr>
        <w:t>American</w:t>
      </w:r>
      <w:r>
        <w:rPr>
          <w:spacing w:val="-3"/>
          <w:sz w:val="18"/>
          <w:vertAlign w:val="baseline"/>
        </w:rPr>
        <w:t> </w:t>
      </w:r>
      <w:r>
        <w:rPr>
          <w:sz w:val="18"/>
          <w:vertAlign w:val="baseline"/>
        </w:rPr>
        <w:t>Dream</w:t>
      </w:r>
      <w:r>
        <w:rPr>
          <w:spacing w:val="-3"/>
          <w:sz w:val="18"/>
          <w:vertAlign w:val="baseline"/>
        </w:rPr>
        <w:t> </w:t>
      </w:r>
      <w:r>
        <w:rPr>
          <w:sz w:val="18"/>
          <w:vertAlign w:val="baseline"/>
        </w:rPr>
        <w:t>Becomes</w:t>
      </w:r>
      <w:r>
        <w:rPr>
          <w:spacing w:val="-3"/>
          <w:sz w:val="18"/>
          <w:vertAlign w:val="baseline"/>
        </w:rPr>
        <w:t> </w:t>
      </w:r>
      <w:r>
        <w:rPr>
          <w:sz w:val="18"/>
          <w:vertAlign w:val="baseline"/>
        </w:rPr>
        <w:t>a</w:t>
      </w:r>
      <w:r>
        <w:rPr>
          <w:spacing w:val="-3"/>
          <w:sz w:val="18"/>
          <w:vertAlign w:val="baseline"/>
        </w:rPr>
        <w:t> </w:t>
      </w:r>
      <w:r>
        <w:rPr>
          <w:sz w:val="18"/>
          <w:vertAlign w:val="baseline"/>
        </w:rPr>
        <w:t>Nightmare:</w:t>
      </w:r>
      <w:r>
        <w:rPr>
          <w:spacing w:val="-3"/>
          <w:sz w:val="18"/>
          <w:vertAlign w:val="baseline"/>
        </w:rPr>
        <w:t> </w:t>
      </w:r>
      <w:r>
        <w:rPr>
          <w:sz w:val="18"/>
          <w:vertAlign w:val="baseline"/>
        </w:rPr>
        <w:t>LGBT</w:t>
      </w:r>
      <w:r>
        <w:rPr>
          <w:spacing w:val="-4"/>
          <w:sz w:val="18"/>
          <w:vertAlign w:val="baseline"/>
        </w:rPr>
        <w:t> </w:t>
      </w:r>
      <w:r>
        <w:rPr>
          <w:sz w:val="18"/>
          <w:vertAlign w:val="baseline"/>
        </w:rPr>
        <w:t>Detainees</w:t>
      </w:r>
      <w:r>
        <w:rPr>
          <w:spacing w:val="-3"/>
          <w:sz w:val="18"/>
          <w:vertAlign w:val="baseline"/>
        </w:rPr>
        <w:t> </w:t>
      </w:r>
      <w:r>
        <w:rPr>
          <w:sz w:val="18"/>
          <w:vertAlign w:val="baseline"/>
        </w:rPr>
        <w:t>in</w:t>
      </w:r>
      <w:r>
        <w:rPr>
          <w:spacing w:val="-3"/>
          <w:sz w:val="18"/>
          <w:vertAlign w:val="baseline"/>
        </w:rPr>
        <w:t> </w:t>
      </w:r>
      <w:r>
        <w:rPr>
          <w:sz w:val="18"/>
          <w:vertAlign w:val="baseline"/>
        </w:rPr>
        <w:t>Immigration</w:t>
      </w:r>
      <w:r>
        <w:rPr>
          <w:spacing w:val="-3"/>
          <w:sz w:val="18"/>
          <w:vertAlign w:val="baseline"/>
        </w:rPr>
        <w:t> </w:t>
      </w:r>
      <w:r>
        <w:rPr>
          <w:sz w:val="18"/>
          <w:vertAlign w:val="baseline"/>
        </w:rPr>
        <w:t>Facilities”,</w:t>
      </w:r>
      <w:r>
        <w:rPr>
          <w:spacing w:val="-3"/>
          <w:sz w:val="18"/>
          <w:vertAlign w:val="baseline"/>
        </w:rPr>
        <w:t> </w:t>
      </w:r>
      <w:r>
        <w:rPr>
          <w:i/>
          <w:sz w:val="18"/>
          <w:vertAlign w:val="baseline"/>
        </w:rPr>
        <w:t>William</w:t>
      </w:r>
      <w:r>
        <w:rPr>
          <w:i/>
          <w:sz w:val="18"/>
          <w:vertAlign w:val="baseline"/>
        </w:rPr>
        <w:t> and Mary Journal of Women and Law</w:t>
      </w:r>
      <w:r>
        <w:rPr>
          <w:sz w:val="18"/>
          <w:vertAlign w:val="baseline"/>
        </w:rPr>
        <w:t>. 2015. </w:t>
      </w:r>
      <w:r>
        <w:rPr>
          <w:spacing w:val="-2"/>
          <w:sz w:val="18"/>
          <w:vertAlign w:val="baseline"/>
        </w:rPr>
        <w:t>https://scholarship.law.wm.edu/cgi/viewcontent.cgi?article=1416&amp;context=wmjowl</w:t>
      </w:r>
    </w:p>
    <w:p>
      <w:pPr>
        <w:spacing w:line="219" w:lineRule="exact" w:before="0"/>
        <w:ind w:left="320" w:right="0" w:firstLine="0"/>
        <w:jc w:val="left"/>
        <w:rPr>
          <w:i/>
          <w:sz w:val="18"/>
        </w:rPr>
      </w:pPr>
      <w:r>
        <w:rPr>
          <w:sz w:val="18"/>
          <w:vertAlign w:val="superscript"/>
        </w:rPr>
        <w:t>38</w:t>
      </w:r>
      <w:r>
        <w:rPr>
          <w:sz w:val="18"/>
          <w:vertAlign w:val="baseline"/>
        </w:rPr>
        <w:t> </w:t>
      </w:r>
      <w:r>
        <w:rPr>
          <w:i/>
          <w:spacing w:val="-5"/>
          <w:sz w:val="18"/>
          <w:vertAlign w:val="baseline"/>
        </w:rPr>
        <w:t>Id.</w:t>
      </w:r>
    </w:p>
    <w:p>
      <w:pPr>
        <w:spacing w:before="0"/>
        <w:ind w:left="320" w:right="228" w:firstLine="0"/>
        <w:jc w:val="left"/>
        <w:rPr>
          <w:sz w:val="18"/>
        </w:rPr>
      </w:pPr>
      <w:r>
        <w:rPr>
          <w:sz w:val="18"/>
          <w:vertAlign w:val="superscript"/>
        </w:rPr>
        <w:t>39</w:t>
      </w:r>
      <w:r>
        <w:rPr>
          <w:spacing w:val="-2"/>
          <w:sz w:val="18"/>
          <w:vertAlign w:val="baseline"/>
        </w:rPr>
        <w:t> </w:t>
      </w:r>
      <w:r>
        <w:rPr>
          <w:sz w:val="18"/>
          <w:vertAlign w:val="baseline"/>
        </w:rPr>
        <w:t>Reiter,</w:t>
      </w:r>
      <w:r>
        <w:rPr>
          <w:spacing w:val="-3"/>
          <w:sz w:val="18"/>
          <w:vertAlign w:val="baseline"/>
        </w:rPr>
        <w:t> </w:t>
      </w:r>
      <w:r>
        <w:rPr>
          <w:sz w:val="18"/>
          <w:vertAlign w:val="baseline"/>
        </w:rPr>
        <w:t>Keramet,</w:t>
      </w:r>
      <w:r>
        <w:rPr>
          <w:spacing w:val="-3"/>
          <w:sz w:val="18"/>
          <w:vertAlign w:val="baseline"/>
        </w:rPr>
        <w:t> </w:t>
      </w:r>
      <w:r>
        <w:rPr>
          <w:sz w:val="18"/>
          <w:vertAlign w:val="baseline"/>
        </w:rPr>
        <w:t>Joseph</w:t>
      </w:r>
      <w:r>
        <w:rPr>
          <w:spacing w:val="-2"/>
          <w:sz w:val="18"/>
          <w:vertAlign w:val="baseline"/>
        </w:rPr>
        <w:t> </w:t>
      </w:r>
      <w:r>
        <w:rPr>
          <w:sz w:val="18"/>
          <w:vertAlign w:val="baseline"/>
        </w:rPr>
        <w:t>Ventura,</w:t>
      </w:r>
      <w:r>
        <w:rPr>
          <w:spacing w:val="-3"/>
          <w:sz w:val="18"/>
          <w:vertAlign w:val="baseline"/>
        </w:rPr>
        <w:t> </w:t>
      </w:r>
      <w:r>
        <w:rPr>
          <w:sz w:val="18"/>
          <w:vertAlign w:val="baseline"/>
        </w:rPr>
        <w:t>David</w:t>
      </w:r>
      <w:r>
        <w:rPr>
          <w:spacing w:val="-2"/>
          <w:sz w:val="18"/>
          <w:vertAlign w:val="baseline"/>
        </w:rPr>
        <w:t> </w:t>
      </w:r>
      <w:r>
        <w:rPr>
          <w:sz w:val="18"/>
          <w:vertAlign w:val="baseline"/>
        </w:rPr>
        <w:t>Lovell,</w:t>
      </w:r>
      <w:r>
        <w:rPr>
          <w:spacing w:val="-3"/>
          <w:sz w:val="18"/>
          <w:vertAlign w:val="baseline"/>
        </w:rPr>
        <w:t> </w:t>
      </w:r>
      <w:r>
        <w:rPr>
          <w:sz w:val="18"/>
          <w:vertAlign w:val="baseline"/>
        </w:rPr>
        <w:t>Dallas</w:t>
      </w:r>
      <w:r>
        <w:rPr>
          <w:spacing w:val="-2"/>
          <w:sz w:val="18"/>
          <w:vertAlign w:val="baseline"/>
        </w:rPr>
        <w:t> </w:t>
      </w:r>
      <w:r>
        <w:rPr>
          <w:sz w:val="18"/>
          <w:vertAlign w:val="baseline"/>
        </w:rPr>
        <w:t>Augustine,</w:t>
      </w:r>
      <w:r>
        <w:rPr>
          <w:spacing w:val="-4"/>
          <w:sz w:val="18"/>
          <w:vertAlign w:val="baseline"/>
        </w:rPr>
        <w:t> </w:t>
      </w:r>
      <w:r>
        <w:rPr>
          <w:sz w:val="18"/>
          <w:vertAlign w:val="baseline"/>
        </w:rPr>
        <w:t>Melissa</w:t>
      </w:r>
      <w:r>
        <w:rPr>
          <w:spacing w:val="-2"/>
          <w:sz w:val="18"/>
          <w:vertAlign w:val="baseline"/>
        </w:rPr>
        <w:t> </w:t>
      </w:r>
      <w:r>
        <w:rPr>
          <w:sz w:val="18"/>
          <w:vertAlign w:val="baseline"/>
        </w:rPr>
        <w:t>Barragan,</w:t>
      </w:r>
      <w:r>
        <w:rPr>
          <w:spacing w:val="-3"/>
          <w:sz w:val="18"/>
          <w:vertAlign w:val="baseline"/>
        </w:rPr>
        <w:t> </w:t>
      </w:r>
      <w:r>
        <w:rPr>
          <w:sz w:val="18"/>
          <w:vertAlign w:val="baseline"/>
        </w:rPr>
        <w:t>Thomas</w:t>
      </w:r>
      <w:r>
        <w:rPr>
          <w:spacing w:val="-2"/>
          <w:sz w:val="18"/>
          <w:vertAlign w:val="baseline"/>
        </w:rPr>
        <w:t> </w:t>
      </w:r>
      <w:r>
        <w:rPr>
          <w:sz w:val="18"/>
          <w:vertAlign w:val="baseline"/>
        </w:rPr>
        <w:t>Blair,</w:t>
      </w:r>
      <w:r>
        <w:rPr>
          <w:spacing w:val="-3"/>
          <w:sz w:val="18"/>
          <w:vertAlign w:val="baseline"/>
        </w:rPr>
        <w:t> </w:t>
      </w:r>
      <w:r>
        <w:rPr>
          <w:sz w:val="18"/>
          <w:vertAlign w:val="baseline"/>
        </w:rPr>
        <w:t>Kelsie</w:t>
      </w:r>
      <w:r>
        <w:rPr>
          <w:spacing w:val="-2"/>
          <w:sz w:val="18"/>
          <w:vertAlign w:val="baseline"/>
        </w:rPr>
        <w:t> </w:t>
      </w:r>
      <w:r>
        <w:rPr>
          <w:sz w:val="18"/>
          <w:vertAlign w:val="baseline"/>
        </w:rPr>
        <w:t>Chesnut,</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2020. "Psychological Distress in Solitary Confinement: Symptoms, Severity, and Prevalence in the United States, 2017–2018." </w:t>
      </w:r>
      <w:r>
        <w:rPr>
          <w:i/>
          <w:sz w:val="18"/>
          <w:vertAlign w:val="baseline"/>
        </w:rPr>
        <w:t>American Journal of Public Health </w:t>
      </w:r>
      <w:r>
        <w:rPr>
          <w:sz w:val="18"/>
          <w:vertAlign w:val="baseline"/>
        </w:rPr>
        <w:t>110, suppl. 1 (January 2020): S56–S62. https://doi.org/10.2105/AJPH.2019.305375.</w:t>
      </w:r>
    </w:p>
    <w:p>
      <w:pPr>
        <w:spacing w:before="1"/>
        <w:ind w:left="320" w:right="224" w:firstLine="0"/>
        <w:jc w:val="left"/>
        <w:rPr>
          <w:sz w:val="18"/>
        </w:rPr>
      </w:pPr>
      <w:r>
        <w:rPr>
          <w:sz w:val="18"/>
          <w:vertAlign w:val="superscript"/>
        </w:rPr>
        <w:t>40</w:t>
      </w:r>
      <w:r>
        <w:rPr>
          <w:sz w:val="18"/>
          <w:vertAlign w:val="baseline"/>
        </w:rPr>
        <w:t> Partnership to End Addiction. 2024. "Why LGBTQ+ Youth Are at Increased Risk for Substance Abuse Use &amp; How You Can Help”.</w:t>
      </w:r>
      <w:r>
        <w:rPr>
          <w:spacing w:val="-4"/>
          <w:sz w:val="18"/>
          <w:vertAlign w:val="baseline"/>
        </w:rPr>
        <w:t> </w:t>
      </w:r>
      <w:r>
        <w:rPr>
          <w:i/>
          <w:sz w:val="18"/>
          <w:vertAlign w:val="baseline"/>
        </w:rPr>
        <w:t>Partnership</w:t>
      </w:r>
      <w:r>
        <w:rPr>
          <w:i/>
          <w:spacing w:val="-5"/>
          <w:sz w:val="18"/>
          <w:vertAlign w:val="baseline"/>
        </w:rPr>
        <w:t> </w:t>
      </w:r>
      <w:r>
        <w:rPr>
          <w:i/>
          <w:sz w:val="18"/>
          <w:vertAlign w:val="baseline"/>
        </w:rPr>
        <w:t>to</w:t>
      </w:r>
      <w:r>
        <w:rPr>
          <w:i/>
          <w:spacing w:val="-4"/>
          <w:sz w:val="18"/>
          <w:vertAlign w:val="baseline"/>
        </w:rPr>
        <w:t> </w:t>
      </w:r>
      <w:r>
        <w:rPr>
          <w:i/>
          <w:sz w:val="18"/>
          <w:vertAlign w:val="baseline"/>
        </w:rPr>
        <w:t>End</w:t>
      </w:r>
      <w:r>
        <w:rPr>
          <w:i/>
          <w:spacing w:val="-5"/>
          <w:sz w:val="18"/>
          <w:vertAlign w:val="baseline"/>
        </w:rPr>
        <w:t> </w:t>
      </w:r>
      <w:r>
        <w:rPr>
          <w:i/>
          <w:sz w:val="18"/>
          <w:vertAlign w:val="baseline"/>
        </w:rPr>
        <w:t>Addiction</w:t>
      </w:r>
      <w:r>
        <w:rPr>
          <w:sz w:val="18"/>
          <w:vertAlign w:val="baseline"/>
        </w:rPr>
        <w:t>.</w:t>
      </w:r>
      <w:r>
        <w:rPr>
          <w:spacing w:val="-4"/>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14,</w:t>
      </w:r>
      <w:r>
        <w:rPr>
          <w:spacing w:val="-5"/>
          <w:sz w:val="18"/>
          <w:vertAlign w:val="baseline"/>
        </w:rPr>
        <w:t> </w:t>
      </w:r>
      <w:r>
        <w:rPr>
          <w:sz w:val="18"/>
          <w:vertAlign w:val="baseline"/>
        </w:rPr>
        <w:t>2024.</w:t>
      </w:r>
      <w:r>
        <w:rPr>
          <w:spacing w:val="-4"/>
          <w:sz w:val="18"/>
          <w:vertAlign w:val="baseline"/>
        </w:rPr>
        <w:t> </w:t>
      </w:r>
      <w:hyperlink r:id="rId492">
        <w:r>
          <w:rPr>
            <w:sz w:val="18"/>
            <w:u w:val="single"/>
            <w:vertAlign w:val="baseline"/>
          </w:rPr>
          <w:t>https://drugfree.org/article/reducing-substance-use-risk-among-</w:t>
        </w:r>
      </w:hyperlink>
      <w:r>
        <w:rPr>
          <w:sz w:val="18"/>
          <w:u w:val="none"/>
          <w:vertAlign w:val="baseline"/>
        </w:rPr>
        <w:t> </w:t>
      </w:r>
      <w:hyperlink r:id="rId492">
        <w:r>
          <w:rPr>
            <w:spacing w:val="-2"/>
            <w:sz w:val="18"/>
            <w:u w:val="single"/>
            <w:vertAlign w:val="baseline"/>
          </w:rPr>
          <w:t>lgbtq-youth/</w:t>
        </w:r>
        <w:r>
          <w:rPr>
            <w:spacing w:val="-2"/>
            <w:sz w:val="18"/>
            <w:u w:val="none"/>
            <w:vertAlign w:val="baseline"/>
          </w:rPr>
          <w:t>.</w:t>
        </w:r>
      </w:hyperlink>
    </w:p>
    <w:p>
      <w:pPr>
        <w:spacing w:line="219" w:lineRule="exact" w:before="0"/>
        <w:ind w:left="320" w:right="0" w:firstLine="0"/>
        <w:jc w:val="left"/>
        <w:rPr>
          <w:i/>
          <w:sz w:val="18"/>
        </w:rPr>
      </w:pPr>
      <w:r>
        <w:rPr>
          <w:sz w:val="18"/>
          <w:vertAlign w:val="superscript"/>
        </w:rPr>
        <w:t>41</w:t>
      </w:r>
      <w:r>
        <w:rPr>
          <w:sz w:val="18"/>
          <w:vertAlign w:val="baseline"/>
        </w:rPr>
        <w:t> </w:t>
      </w:r>
      <w:r>
        <w:rPr>
          <w:i/>
          <w:spacing w:val="-5"/>
          <w:sz w:val="18"/>
          <w:vertAlign w:val="baseline"/>
        </w:rPr>
        <w:t>Id.</w:t>
      </w:r>
    </w:p>
    <w:p>
      <w:pPr>
        <w:spacing w:before="0"/>
        <w:ind w:left="320" w:right="0" w:firstLine="0"/>
        <w:jc w:val="left"/>
        <w:rPr>
          <w:sz w:val="18"/>
        </w:rPr>
      </w:pPr>
      <w:r>
        <w:rPr>
          <w:sz w:val="18"/>
          <w:vertAlign w:val="superscript"/>
        </w:rPr>
        <w:t>42</w:t>
      </w:r>
      <w:r>
        <w:rPr>
          <w:spacing w:val="-2"/>
          <w:sz w:val="18"/>
          <w:vertAlign w:val="baseline"/>
        </w:rPr>
        <w:t> </w:t>
      </w:r>
      <w:r>
        <w:rPr>
          <w:sz w:val="18"/>
          <w:vertAlign w:val="baseline"/>
        </w:rPr>
        <w:t>Duncan,</w:t>
      </w:r>
      <w:r>
        <w:rPr>
          <w:spacing w:val="-3"/>
          <w:sz w:val="18"/>
          <w:vertAlign w:val="baseline"/>
        </w:rPr>
        <w:t> </w:t>
      </w:r>
      <w:r>
        <w:rPr>
          <w:sz w:val="18"/>
          <w:vertAlign w:val="baseline"/>
        </w:rPr>
        <w:t>Dustin</w:t>
      </w:r>
      <w:r>
        <w:rPr>
          <w:spacing w:val="-2"/>
          <w:sz w:val="18"/>
          <w:vertAlign w:val="baseline"/>
        </w:rPr>
        <w:t> </w:t>
      </w:r>
      <w:r>
        <w:rPr>
          <w:sz w:val="18"/>
          <w:vertAlign w:val="baseline"/>
        </w:rPr>
        <w:t>T.,</w:t>
      </w:r>
      <w:r>
        <w:rPr>
          <w:spacing w:val="-3"/>
          <w:sz w:val="18"/>
          <w:vertAlign w:val="baseline"/>
        </w:rPr>
        <w:t> </w:t>
      </w:r>
      <w:r>
        <w:rPr>
          <w:sz w:val="18"/>
          <w:vertAlign w:val="baseline"/>
        </w:rPr>
        <w:t>Mark</w:t>
      </w:r>
      <w:r>
        <w:rPr>
          <w:spacing w:val="-3"/>
          <w:sz w:val="18"/>
          <w:vertAlign w:val="baseline"/>
        </w:rPr>
        <w:t> </w:t>
      </w:r>
      <w:r>
        <w:rPr>
          <w:sz w:val="18"/>
          <w:vertAlign w:val="baseline"/>
        </w:rPr>
        <w:t>L.</w:t>
      </w:r>
      <w:r>
        <w:rPr>
          <w:spacing w:val="-2"/>
          <w:sz w:val="18"/>
          <w:vertAlign w:val="baseline"/>
        </w:rPr>
        <w:t> </w:t>
      </w:r>
      <w:r>
        <w:rPr>
          <w:sz w:val="18"/>
          <w:vertAlign w:val="baseline"/>
        </w:rPr>
        <w:t>Hatzenbuehler,</w:t>
      </w:r>
      <w:r>
        <w:rPr>
          <w:spacing w:val="-3"/>
          <w:sz w:val="18"/>
          <w:vertAlign w:val="baseline"/>
        </w:rPr>
        <w:t> </w:t>
      </w:r>
      <w:r>
        <w:rPr>
          <w:sz w:val="18"/>
          <w:vertAlign w:val="baseline"/>
        </w:rPr>
        <w:t>and</w:t>
      </w:r>
      <w:r>
        <w:rPr>
          <w:spacing w:val="-2"/>
          <w:sz w:val="18"/>
          <w:vertAlign w:val="baseline"/>
        </w:rPr>
        <w:t> </w:t>
      </w:r>
      <w:r>
        <w:rPr>
          <w:sz w:val="18"/>
          <w:vertAlign w:val="baseline"/>
        </w:rPr>
        <w:t>Renee</w:t>
      </w:r>
      <w:r>
        <w:rPr>
          <w:spacing w:val="-2"/>
          <w:sz w:val="18"/>
          <w:vertAlign w:val="baseline"/>
        </w:rPr>
        <w:t> </w:t>
      </w:r>
      <w:r>
        <w:rPr>
          <w:sz w:val="18"/>
          <w:vertAlign w:val="baseline"/>
        </w:rPr>
        <w:t>M.</w:t>
      </w:r>
      <w:r>
        <w:rPr>
          <w:spacing w:val="-3"/>
          <w:sz w:val="18"/>
          <w:vertAlign w:val="baseline"/>
        </w:rPr>
        <w:t> </w:t>
      </w:r>
      <w:r>
        <w:rPr>
          <w:sz w:val="18"/>
          <w:vertAlign w:val="baseline"/>
        </w:rPr>
        <w:t>Johnson.</w:t>
      </w:r>
      <w:r>
        <w:rPr>
          <w:spacing w:val="-2"/>
          <w:sz w:val="18"/>
          <w:vertAlign w:val="baseline"/>
        </w:rPr>
        <w:t> </w:t>
      </w:r>
      <w:r>
        <w:rPr>
          <w:sz w:val="18"/>
          <w:vertAlign w:val="baseline"/>
        </w:rPr>
        <w:t>2014.</w:t>
      </w:r>
      <w:r>
        <w:rPr>
          <w:spacing w:val="-2"/>
          <w:sz w:val="18"/>
          <w:vertAlign w:val="baseline"/>
        </w:rPr>
        <w:t> </w:t>
      </w:r>
      <w:r>
        <w:rPr>
          <w:sz w:val="18"/>
          <w:vertAlign w:val="baseline"/>
        </w:rPr>
        <w:t>"Neighborhood-level</w:t>
      </w:r>
      <w:r>
        <w:rPr>
          <w:spacing w:val="-3"/>
          <w:sz w:val="18"/>
          <w:vertAlign w:val="baseline"/>
        </w:rPr>
        <w:t> </w:t>
      </w:r>
      <w:r>
        <w:rPr>
          <w:sz w:val="18"/>
          <w:vertAlign w:val="baseline"/>
        </w:rPr>
        <w:t>LGBT</w:t>
      </w:r>
      <w:r>
        <w:rPr>
          <w:spacing w:val="-2"/>
          <w:sz w:val="18"/>
          <w:vertAlign w:val="baseline"/>
        </w:rPr>
        <w:t> </w:t>
      </w:r>
      <w:r>
        <w:rPr>
          <w:sz w:val="18"/>
          <w:vertAlign w:val="baseline"/>
        </w:rPr>
        <w:t>Hate</w:t>
      </w:r>
      <w:r>
        <w:rPr>
          <w:spacing w:val="-2"/>
          <w:sz w:val="18"/>
          <w:vertAlign w:val="baseline"/>
        </w:rPr>
        <w:t> </w:t>
      </w:r>
      <w:r>
        <w:rPr>
          <w:sz w:val="18"/>
          <w:vertAlign w:val="baseline"/>
        </w:rPr>
        <w:t>Crimes</w:t>
      </w:r>
      <w:r>
        <w:rPr>
          <w:spacing w:val="-3"/>
          <w:sz w:val="18"/>
          <w:vertAlign w:val="baseline"/>
        </w:rPr>
        <w:t> </w:t>
      </w:r>
      <w:r>
        <w:rPr>
          <w:sz w:val="18"/>
          <w:vertAlign w:val="baseline"/>
        </w:rPr>
        <w:t>and</w:t>
      </w:r>
      <w:r>
        <w:rPr>
          <w:spacing w:val="-2"/>
          <w:sz w:val="18"/>
          <w:vertAlign w:val="baseline"/>
        </w:rPr>
        <w:t> </w:t>
      </w:r>
      <w:r>
        <w:rPr>
          <w:sz w:val="18"/>
          <w:vertAlign w:val="baseline"/>
        </w:rPr>
        <w:t>Current Illicit Drug Use Among Sexual Minority Youth." </w:t>
      </w:r>
      <w:r>
        <w:rPr>
          <w:i/>
          <w:sz w:val="18"/>
          <w:vertAlign w:val="baseline"/>
        </w:rPr>
        <w:t>Drug and Alcohol Dependence </w:t>
      </w:r>
      <w:r>
        <w:rPr>
          <w:sz w:val="18"/>
          <w:vertAlign w:val="baseline"/>
        </w:rPr>
        <w:t>135 (February 1, 2014): 65-70. Published online November 13, 2013. doi:10.1016/j.drugalcdep.2013.11.001. </w:t>
      </w:r>
      <w:hyperlink r:id="rId493">
        <w:r>
          <w:rPr>
            <w:sz w:val="18"/>
            <w:u w:val="single"/>
            <w:vertAlign w:val="baseline"/>
          </w:rPr>
          <w:t>https://www.ncbi.nlm.nih.gov/pmc/articles/PMC3919662</w:t>
        </w:r>
        <w:r>
          <w:rPr>
            <w:sz w:val="18"/>
            <w:u w:val="none"/>
            <w:vertAlign w:val="baseline"/>
          </w:rPr>
          <w:t>.</w:t>
        </w:r>
      </w:hyperlink>
    </w:p>
    <w:p>
      <w:pPr>
        <w:spacing w:before="0"/>
        <w:ind w:left="320" w:right="481" w:firstLine="0"/>
        <w:jc w:val="left"/>
        <w:rPr>
          <w:sz w:val="18"/>
        </w:rPr>
      </w:pPr>
      <w:r>
        <w:rPr>
          <w:sz w:val="18"/>
          <w:vertAlign w:val="superscript"/>
        </w:rPr>
        <w:t>43</w:t>
      </w:r>
      <w:r>
        <w:rPr>
          <w:spacing w:val="-2"/>
          <w:sz w:val="18"/>
          <w:vertAlign w:val="baseline"/>
        </w:rPr>
        <w:t> </w:t>
      </w:r>
      <w:r>
        <w:rPr>
          <w:sz w:val="18"/>
          <w:vertAlign w:val="baseline"/>
        </w:rPr>
        <w:t>Mereish,</w:t>
      </w:r>
      <w:r>
        <w:rPr>
          <w:spacing w:val="-3"/>
          <w:sz w:val="18"/>
          <w:vertAlign w:val="baseline"/>
        </w:rPr>
        <w:t> </w:t>
      </w:r>
      <w:r>
        <w:rPr>
          <w:sz w:val="18"/>
          <w:vertAlign w:val="baseline"/>
        </w:rPr>
        <w:t>Ethan</w:t>
      </w:r>
      <w:r>
        <w:rPr>
          <w:spacing w:val="-2"/>
          <w:sz w:val="18"/>
          <w:vertAlign w:val="baseline"/>
        </w:rPr>
        <w:t> </w:t>
      </w:r>
      <w:r>
        <w:rPr>
          <w:sz w:val="18"/>
          <w:vertAlign w:val="baseline"/>
        </w:rPr>
        <w:t>H.</w:t>
      </w:r>
      <w:r>
        <w:rPr>
          <w:spacing w:val="-2"/>
          <w:sz w:val="18"/>
          <w:vertAlign w:val="baseline"/>
        </w:rPr>
        <w:t> </w:t>
      </w:r>
      <w:r>
        <w:rPr>
          <w:sz w:val="18"/>
          <w:vertAlign w:val="baseline"/>
        </w:rPr>
        <w:t>2019.</w:t>
      </w:r>
      <w:r>
        <w:rPr>
          <w:spacing w:val="-2"/>
          <w:sz w:val="18"/>
          <w:vertAlign w:val="baseline"/>
        </w:rPr>
        <w:t> </w:t>
      </w:r>
      <w:r>
        <w:rPr>
          <w:sz w:val="18"/>
          <w:vertAlign w:val="baseline"/>
        </w:rPr>
        <w:t>."Substance</w:t>
      </w:r>
      <w:r>
        <w:rPr>
          <w:spacing w:val="-2"/>
          <w:sz w:val="18"/>
          <w:vertAlign w:val="baseline"/>
        </w:rPr>
        <w:t> </w:t>
      </w:r>
      <w:r>
        <w:rPr>
          <w:sz w:val="18"/>
          <w:vertAlign w:val="baseline"/>
        </w:rPr>
        <w:t>Use</w:t>
      </w:r>
      <w:r>
        <w:rPr>
          <w:spacing w:val="-2"/>
          <w:sz w:val="18"/>
          <w:vertAlign w:val="baseline"/>
        </w:rPr>
        <w:t> </w:t>
      </w:r>
      <w:r>
        <w:rPr>
          <w:sz w:val="18"/>
          <w:vertAlign w:val="baseline"/>
        </w:rPr>
        <w:t>and</w:t>
      </w:r>
      <w:r>
        <w:rPr>
          <w:spacing w:val="-3"/>
          <w:sz w:val="18"/>
          <w:vertAlign w:val="baseline"/>
        </w:rPr>
        <w:t> </w:t>
      </w:r>
      <w:r>
        <w:rPr>
          <w:sz w:val="18"/>
          <w:vertAlign w:val="baseline"/>
        </w:rPr>
        <w:t>Misuse</w:t>
      </w:r>
      <w:r>
        <w:rPr>
          <w:spacing w:val="-3"/>
          <w:sz w:val="18"/>
          <w:vertAlign w:val="baseline"/>
        </w:rPr>
        <w:t> </w:t>
      </w:r>
      <w:r>
        <w:rPr>
          <w:sz w:val="18"/>
          <w:vertAlign w:val="baseline"/>
        </w:rPr>
        <w:t>Among</w:t>
      </w:r>
      <w:r>
        <w:rPr>
          <w:spacing w:val="-2"/>
          <w:sz w:val="18"/>
          <w:vertAlign w:val="baseline"/>
        </w:rPr>
        <w:t> </w:t>
      </w:r>
      <w:r>
        <w:rPr>
          <w:sz w:val="18"/>
          <w:vertAlign w:val="baseline"/>
        </w:rPr>
        <w:t>Sexual</w:t>
      </w:r>
      <w:r>
        <w:rPr>
          <w:spacing w:val="-3"/>
          <w:sz w:val="18"/>
          <w:vertAlign w:val="baseline"/>
        </w:rPr>
        <w:t> </w:t>
      </w:r>
      <w:r>
        <w:rPr>
          <w:sz w:val="18"/>
          <w:vertAlign w:val="baseline"/>
        </w:rPr>
        <w:t>and</w:t>
      </w:r>
      <w:r>
        <w:rPr>
          <w:spacing w:val="-2"/>
          <w:sz w:val="18"/>
          <w:vertAlign w:val="baseline"/>
        </w:rPr>
        <w:t> </w:t>
      </w:r>
      <w:r>
        <w:rPr>
          <w:sz w:val="18"/>
          <w:vertAlign w:val="baseline"/>
        </w:rPr>
        <w:t>Gender</w:t>
      </w:r>
      <w:r>
        <w:rPr>
          <w:spacing w:val="-4"/>
          <w:sz w:val="18"/>
          <w:vertAlign w:val="baseline"/>
        </w:rPr>
        <w:t> </w:t>
      </w:r>
      <w:r>
        <w:rPr>
          <w:sz w:val="18"/>
          <w:vertAlign w:val="baseline"/>
        </w:rPr>
        <w:t>Minority</w:t>
      </w:r>
      <w:r>
        <w:rPr>
          <w:spacing w:val="-2"/>
          <w:sz w:val="18"/>
          <w:vertAlign w:val="baseline"/>
        </w:rPr>
        <w:t> </w:t>
      </w:r>
      <w:r>
        <w:rPr>
          <w:sz w:val="18"/>
          <w:vertAlign w:val="baseline"/>
        </w:rPr>
        <w:t>Youth."</w:t>
      </w:r>
      <w:r>
        <w:rPr>
          <w:spacing w:val="-2"/>
          <w:sz w:val="18"/>
          <w:vertAlign w:val="baseline"/>
        </w:rPr>
        <w:t> </w:t>
      </w:r>
      <w:r>
        <w:rPr>
          <w:i/>
          <w:sz w:val="18"/>
          <w:vertAlign w:val="baseline"/>
        </w:rPr>
        <w:t>Current</w:t>
      </w:r>
      <w:r>
        <w:rPr>
          <w:i/>
          <w:spacing w:val="-3"/>
          <w:sz w:val="18"/>
          <w:vertAlign w:val="baseline"/>
        </w:rPr>
        <w:t> </w:t>
      </w:r>
      <w:r>
        <w:rPr>
          <w:i/>
          <w:sz w:val="18"/>
          <w:vertAlign w:val="baseline"/>
        </w:rPr>
        <w:t>Opinion</w:t>
      </w:r>
      <w:r>
        <w:rPr>
          <w:i/>
          <w:spacing w:val="-1"/>
          <w:sz w:val="18"/>
          <w:vertAlign w:val="baseline"/>
        </w:rPr>
        <w:t> </w:t>
      </w:r>
      <w:r>
        <w:rPr>
          <w:i/>
          <w:sz w:val="18"/>
          <w:vertAlign w:val="baseline"/>
        </w:rPr>
        <w:t>in</w:t>
      </w:r>
      <w:r>
        <w:rPr>
          <w:i/>
          <w:sz w:val="18"/>
          <w:vertAlign w:val="baseline"/>
        </w:rPr>
        <w:t> Psychology </w:t>
      </w:r>
      <w:r>
        <w:rPr>
          <w:sz w:val="18"/>
          <w:vertAlign w:val="baseline"/>
        </w:rPr>
        <w:t>30 (December 2019): 123-127. Published online May 18, 2019. doi:10.1016/j.copsyc.2019.05.002. </w:t>
      </w:r>
      <w:hyperlink r:id="rId494">
        <w:r>
          <w:rPr>
            <w:spacing w:val="-2"/>
            <w:sz w:val="18"/>
            <w:u w:val="single"/>
            <w:vertAlign w:val="baseline"/>
          </w:rPr>
          <w:t>https://www.ncbi.nlm.nih.gov/pmc/articles/PMC6859198</w:t>
        </w:r>
        <w:r>
          <w:rPr>
            <w:spacing w:val="-2"/>
            <w:sz w:val="18"/>
            <w:u w:val="none"/>
            <w:vertAlign w:val="baseline"/>
          </w:rPr>
          <w:t>.</w:t>
        </w:r>
      </w:hyperlink>
    </w:p>
    <w:p>
      <w:pPr>
        <w:spacing w:before="0"/>
        <w:ind w:left="320" w:right="1735" w:firstLine="0"/>
        <w:jc w:val="left"/>
        <w:rPr>
          <w:sz w:val="18"/>
        </w:rPr>
      </w:pPr>
      <w:r>
        <w:rPr>
          <w:sz w:val="18"/>
          <w:vertAlign w:val="superscript"/>
        </w:rPr>
        <w:t>44</w:t>
      </w:r>
      <w:r>
        <w:rPr>
          <w:spacing w:val="-3"/>
          <w:sz w:val="18"/>
          <w:vertAlign w:val="baseline"/>
        </w:rPr>
        <w:t> </w:t>
      </w:r>
      <w:r>
        <w:rPr>
          <w:sz w:val="18"/>
          <w:vertAlign w:val="baseline"/>
        </w:rPr>
        <w:t>"Juvenile</w:t>
      </w:r>
      <w:r>
        <w:rPr>
          <w:spacing w:val="-3"/>
          <w:sz w:val="18"/>
          <w:vertAlign w:val="baseline"/>
        </w:rPr>
        <w:t> </w:t>
      </w:r>
      <w:r>
        <w:rPr>
          <w:sz w:val="18"/>
          <w:vertAlign w:val="baseline"/>
        </w:rPr>
        <w:t>Crime</w:t>
      </w:r>
      <w:r>
        <w:rPr>
          <w:spacing w:val="-4"/>
          <w:sz w:val="18"/>
          <w:vertAlign w:val="baseline"/>
        </w:rPr>
        <w:t> </w:t>
      </w:r>
      <w:r>
        <w:rPr>
          <w:sz w:val="18"/>
          <w:vertAlign w:val="baseline"/>
        </w:rPr>
        <w:t>and</w:t>
      </w:r>
      <w:r>
        <w:rPr>
          <w:spacing w:val="-3"/>
          <w:sz w:val="18"/>
          <w:vertAlign w:val="baseline"/>
        </w:rPr>
        <w:t> </w:t>
      </w:r>
      <w:r>
        <w:rPr>
          <w:sz w:val="18"/>
          <w:vertAlign w:val="baseline"/>
        </w:rPr>
        <w:t>Substance</w:t>
      </w:r>
      <w:r>
        <w:rPr>
          <w:spacing w:val="-3"/>
          <w:sz w:val="18"/>
          <w:vertAlign w:val="baseline"/>
        </w:rPr>
        <w:t> </w:t>
      </w:r>
      <w:r>
        <w:rPr>
          <w:sz w:val="18"/>
          <w:vertAlign w:val="baseline"/>
        </w:rPr>
        <w:t>Abuse."</w:t>
      </w:r>
      <w:r>
        <w:rPr>
          <w:spacing w:val="-3"/>
          <w:sz w:val="18"/>
          <w:vertAlign w:val="baseline"/>
        </w:rPr>
        <w:t> </w:t>
      </w:r>
      <w:r>
        <w:rPr>
          <w:i/>
          <w:sz w:val="18"/>
          <w:vertAlign w:val="baseline"/>
        </w:rPr>
        <w:t>Los</w:t>
      </w:r>
      <w:r>
        <w:rPr>
          <w:i/>
          <w:spacing w:val="-4"/>
          <w:sz w:val="18"/>
          <w:vertAlign w:val="baseline"/>
        </w:rPr>
        <w:t> </w:t>
      </w:r>
      <w:r>
        <w:rPr>
          <w:i/>
          <w:sz w:val="18"/>
          <w:vertAlign w:val="baseline"/>
        </w:rPr>
        <w:t>Angeles</w:t>
      </w:r>
      <w:r>
        <w:rPr>
          <w:i/>
          <w:spacing w:val="-4"/>
          <w:sz w:val="18"/>
          <w:vertAlign w:val="baseline"/>
        </w:rPr>
        <w:t> </w:t>
      </w:r>
      <w:r>
        <w:rPr>
          <w:i/>
          <w:sz w:val="18"/>
          <w:vertAlign w:val="baseline"/>
        </w:rPr>
        <w:t>Criminal</w:t>
      </w:r>
      <w:r>
        <w:rPr>
          <w:i/>
          <w:spacing w:val="-4"/>
          <w:sz w:val="18"/>
          <w:vertAlign w:val="baseline"/>
        </w:rPr>
        <w:t> </w:t>
      </w:r>
      <w:r>
        <w:rPr>
          <w:i/>
          <w:sz w:val="18"/>
          <w:vertAlign w:val="baseline"/>
        </w:rPr>
        <w:t>Defense</w:t>
      </w:r>
      <w:r>
        <w:rPr>
          <w:i/>
          <w:spacing w:val="-3"/>
          <w:sz w:val="18"/>
          <w:vertAlign w:val="baseline"/>
        </w:rPr>
        <w:t> </w:t>
      </w:r>
      <w:r>
        <w:rPr>
          <w:i/>
          <w:sz w:val="18"/>
          <w:vertAlign w:val="baseline"/>
        </w:rPr>
        <w:t>Attorney</w:t>
      </w:r>
      <w:r>
        <w:rPr>
          <w:sz w:val="18"/>
          <w:vertAlign w:val="baseline"/>
        </w:rPr>
        <w:t>.</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14,</w:t>
      </w:r>
      <w:r>
        <w:rPr>
          <w:spacing w:val="-3"/>
          <w:sz w:val="18"/>
          <w:vertAlign w:val="baseline"/>
        </w:rPr>
        <w:t> </w:t>
      </w:r>
      <w:r>
        <w:rPr>
          <w:sz w:val="18"/>
          <w:vertAlign w:val="baseline"/>
        </w:rPr>
        <w:t>2024. </w:t>
      </w:r>
      <w:hyperlink r:id="rId495">
        <w:r>
          <w:rPr>
            <w:spacing w:val="-2"/>
            <w:sz w:val="18"/>
            <w:u w:val="single"/>
            <w:vertAlign w:val="baseline"/>
          </w:rPr>
          <w:t>https://childsafety.losangelescriminallawyer.pro/juvenile-crime-and-substance-abuse.html</w:t>
        </w:r>
        <w:r>
          <w:rPr>
            <w:spacing w:val="-2"/>
            <w:sz w:val="18"/>
            <w:u w:val="none"/>
            <w:vertAlign w:val="baseline"/>
          </w:rPr>
          <w:t>.</w:t>
        </w:r>
      </w:hyperlink>
    </w:p>
    <w:p>
      <w:pPr>
        <w:spacing w:before="0"/>
        <w:ind w:left="320" w:right="0" w:firstLine="0"/>
        <w:jc w:val="left"/>
        <w:rPr>
          <w:sz w:val="18"/>
        </w:rPr>
      </w:pPr>
      <w:r>
        <w:rPr>
          <w:sz w:val="18"/>
          <w:vertAlign w:val="superscript"/>
        </w:rPr>
        <w:t>45</w:t>
      </w:r>
      <w:r>
        <w:rPr>
          <w:spacing w:val="-2"/>
          <w:sz w:val="18"/>
          <w:vertAlign w:val="baseline"/>
        </w:rPr>
        <w:t> </w:t>
      </w:r>
      <w:r>
        <w:rPr>
          <w:i/>
          <w:sz w:val="18"/>
          <w:vertAlign w:val="baseline"/>
        </w:rPr>
        <w:t>Office</w:t>
      </w:r>
      <w:r>
        <w:rPr>
          <w:i/>
          <w:spacing w:val="-2"/>
          <w:sz w:val="18"/>
          <w:vertAlign w:val="baseline"/>
        </w:rPr>
        <w:t> </w:t>
      </w:r>
      <w:r>
        <w:rPr>
          <w:i/>
          <w:sz w:val="18"/>
          <w:vertAlign w:val="baseline"/>
        </w:rPr>
        <w:t>of</w:t>
      </w:r>
      <w:r>
        <w:rPr>
          <w:i/>
          <w:spacing w:val="-2"/>
          <w:sz w:val="18"/>
          <w:vertAlign w:val="baseline"/>
        </w:rPr>
        <w:t> </w:t>
      </w:r>
      <w:r>
        <w:rPr>
          <w:i/>
          <w:sz w:val="18"/>
          <w:vertAlign w:val="baseline"/>
        </w:rPr>
        <w:t>Juvenile</w:t>
      </w:r>
      <w:r>
        <w:rPr>
          <w:i/>
          <w:spacing w:val="-2"/>
          <w:sz w:val="18"/>
          <w:vertAlign w:val="baseline"/>
        </w:rPr>
        <w:t> </w:t>
      </w:r>
      <w:r>
        <w:rPr>
          <w:i/>
          <w:sz w:val="18"/>
          <w:vertAlign w:val="baseline"/>
        </w:rPr>
        <w:t>Justice</w:t>
      </w:r>
      <w:r>
        <w:rPr>
          <w:i/>
          <w:spacing w:val="-2"/>
          <w:sz w:val="18"/>
          <w:vertAlign w:val="baseline"/>
        </w:rPr>
        <w:t> </w:t>
      </w:r>
      <w:r>
        <w:rPr>
          <w:i/>
          <w:sz w:val="18"/>
          <w:vertAlign w:val="baseline"/>
        </w:rPr>
        <w:t>and</w:t>
      </w:r>
      <w:r>
        <w:rPr>
          <w:i/>
          <w:spacing w:val="-3"/>
          <w:sz w:val="18"/>
          <w:vertAlign w:val="baseline"/>
        </w:rPr>
        <w:t> </w:t>
      </w:r>
      <w:r>
        <w:rPr>
          <w:i/>
          <w:sz w:val="18"/>
          <w:vertAlign w:val="baseline"/>
        </w:rPr>
        <w:t>Delinquency</w:t>
      </w:r>
      <w:r>
        <w:rPr>
          <w:i/>
          <w:spacing w:val="-2"/>
          <w:sz w:val="18"/>
          <w:vertAlign w:val="baseline"/>
        </w:rPr>
        <w:t> </w:t>
      </w:r>
      <w:r>
        <w:rPr>
          <w:i/>
          <w:sz w:val="18"/>
          <w:vertAlign w:val="baseline"/>
        </w:rPr>
        <w:t>Prevention</w:t>
      </w:r>
      <w:r>
        <w:rPr>
          <w:sz w:val="18"/>
          <w:vertAlign w:val="baseline"/>
        </w:rPr>
        <w:t>,</w:t>
      </w:r>
      <w:r>
        <w:rPr>
          <w:spacing w:val="-3"/>
          <w:sz w:val="18"/>
          <w:vertAlign w:val="baseline"/>
        </w:rPr>
        <w:t> </w:t>
      </w:r>
      <w:r>
        <w:rPr>
          <w:sz w:val="18"/>
          <w:vertAlign w:val="baseline"/>
        </w:rPr>
        <w:t>U.S.</w:t>
      </w:r>
      <w:r>
        <w:rPr>
          <w:spacing w:val="-2"/>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Justice.</w:t>
      </w:r>
      <w:r>
        <w:rPr>
          <w:spacing w:val="-2"/>
          <w:sz w:val="18"/>
          <w:vertAlign w:val="baseline"/>
        </w:rPr>
        <w:t> </w:t>
      </w:r>
      <w:r>
        <w:rPr>
          <w:sz w:val="18"/>
          <w:vertAlign w:val="baseline"/>
        </w:rPr>
        <w:t>2024.</w:t>
      </w:r>
      <w:r>
        <w:rPr>
          <w:spacing w:val="-2"/>
          <w:sz w:val="18"/>
          <w:vertAlign w:val="baseline"/>
        </w:rPr>
        <w:t> </w:t>
      </w:r>
      <w:r>
        <w:rPr>
          <w:sz w:val="18"/>
          <w:vertAlign w:val="baseline"/>
        </w:rPr>
        <w:t>"FAQs</w:t>
      </w:r>
      <w:r>
        <w:rPr>
          <w:spacing w:val="-2"/>
          <w:sz w:val="18"/>
          <w:vertAlign w:val="baseline"/>
        </w:rPr>
        <w:t> </w:t>
      </w:r>
      <w:r>
        <w:rPr>
          <w:sz w:val="18"/>
          <w:vertAlign w:val="baseline"/>
        </w:rPr>
        <w:t>About</w:t>
      </w:r>
      <w:r>
        <w:rPr>
          <w:spacing w:val="-3"/>
          <w:sz w:val="18"/>
          <w:vertAlign w:val="baseline"/>
        </w:rPr>
        <w:t> </w:t>
      </w:r>
      <w:r>
        <w:rPr>
          <w:sz w:val="18"/>
          <w:vertAlign w:val="baseline"/>
        </w:rPr>
        <w:t>Crime:</w:t>
      </w:r>
      <w:r>
        <w:rPr>
          <w:spacing w:val="-2"/>
          <w:sz w:val="18"/>
          <w:vertAlign w:val="baseline"/>
        </w:rPr>
        <w:t> </w:t>
      </w:r>
      <w:r>
        <w:rPr>
          <w:sz w:val="18"/>
          <w:vertAlign w:val="baseline"/>
        </w:rPr>
        <w:t>Juvenile</w:t>
      </w:r>
      <w:r>
        <w:rPr>
          <w:spacing w:val="-2"/>
          <w:sz w:val="18"/>
          <w:vertAlign w:val="baseline"/>
        </w:rPr>
        <w:t> </w:t>
      </w:r>
      <w:r>
        <w:rPr>
          <w:sz w:val="18"/>
          <w:vertAlign w:val="baseline"/>
        </w:rPr>
        <w:t>Crime." Accessed April 14, 2024. </w:t>
      </w:r>
      <w:hyperlink r:id="rId496">
        <w:r>
          <w:rPr>
            <w:sz w:val="18"/>
            <w:u w:val="single"/>
            <w:vertAlign w:val="baseline"/>
          </w:rPr>
          <w:t>https://ojjdp.ojp.gov/statistical-briefing-book/crime/faqs/qa05101</w:t>
        </w:r>
        <w:r>
          <w:rPr>
            <w:sz w:val="18"/>
            <w:u w:val="none"/>
            <w:vertAlign w:val="baseline"/>
          </w:rPr>
          <w:t>.</w:t>
        </w:r>
      </w:hyperlink>
    </w:p>
    <w:p>
      <w:pPr>
        <w:spacing w:line="219" w:lineRule="exact" w:before="0"/>
        <w:ind w:left="320" w:right="0" w:firstLine="0"/>
        <w:jc w:val="left"/>
        <w:rPr>
          <w:sz w:val="18"/>
        </w:rPr>
      </w:pPr>
      <w:r>
        <w:rPr>
          <w:sz w:val="18"/>
          <w:vertAlign w:val="superscript"/>
        </w:rPr>
        <w:t>46</w:t>
      </w:r>
      <w:r>
        <w:rPr>
          <w:spacing w:val="-6"/>
          <w:sz w:val="18"/>
          <w:vertAlign w:val="baseline"/>
        </w:rPr>
        <w:t> </w:t>
      </w:r>
      <w:r>
        <w:rPr>
          <w:sz w:val="18"/>
          <w:vertAlign w:val="baseline"/>
        </w:rPr>
        <w:t>"Quarter</w:t>
      </w:r>
      <w:r>
        <w:rPr>
          <w:spacing w:val="-5"/>
          <w:sz w:val="18"/>
          <w:vertAlign w:val="baseline"/>
        </w:rPr>
        <w:t> </w:t>
      </w:r>
      <w:r>
        <w:rPr>
          <w:sz w:val="18"/>
          <w:vertAlign w:val="baseline"/>
        </w:rPr>
        <w:t>1</w:t>
      </w:r>
      <w:r>
        <w:rPr>
          <w:spacing w:val="-4"/>
          <w:sz w:val="18"/>
          <w:vertAlign w:val="baseline"/>
        </w:rPr>
        <w:t> </w:t>
      </w:r>
      <w:r>
        <w:rPr>
          <w:sz w:val="18"/>
          <w:vertAlign w:val="baseline"/>
        </w:rPr>
        <w:t>Report."</w:t>
      </w:r>
      <w:r>
        <w:rPr>
          <w:spacing w:val="-4"/>
          <w:sz w:val="18"/>
          <w:vertAlign w:val="baseline"/>
        </w:rPr>
        <w:t> </w:t>
      </w:r>
      <w:r>
        <w:rPr>
          <w:i/>
          <w:sz w:val="18"/>
          <w:vertAlign w:val="baseline"/>
        </w:rPr>
        <w:t>Mass.gov</w:t>
      </w:r>
      <w:r>
        <w:rPr>
          <w:sz w:val="18"/>
          <w:vertAlign w:val="baseline"/>
        </w:rPr>
        <w:t>.</w:t>
      </w:r>
      <w:r>
        <w:rPr>
          <w:spacing w:val="-4"/>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14,</w:t>
      </w:r>
      <w:r>
        <w:rPr>
          <w:spacing w:val="-5"/>
          <w:sz w:val="18"/>
          <w:vertAlign w:val="baseline"/>
        </w:rPr>
        <w:t> </w:t>
      </w:r>
      <w:r>
        <w:rPr>
          <w:sz w:val="18"/>
          <w:vertAlign w:val="baseline"/>
        </w:rPr>
        <w:t>2024.</w:t>
      </w:r>
      <w:r>
        <w:rPr>
          <w:spacing w:val="-4"/>
          <w:sz w:val="18"/>
          <w:vertAlign w:val="baseline"/>
        </w:rPr>
        <w:t> </w:t>
      </w:r>
      <w:hyperlink r:id="rId497">
        <w:r>
          <w:rPr>
            <w:sz w:val="18"/>
            <w:u w:val="single"/>
            <w:vertAlign w:val="baseline"/>
          </w:rPr>
          <w:t>https://www.mass.gov/doc/quarter-1-</w:t>
        </w:r>
        <w:r>
          <w:rPr>
            <w:spacing w:val="-2"/>
            <w:sz w:val="18"/>
            <w:u w:val="single"/>
            <w:vertAlign w:val="baseline"/>
          </w:rPr>
          <w:t>0/download</w:t>
        </w:r>
        <w:r>
          <w:rPr>
            <w:spacing w:val="-2"/>
            <w:sz w:val="18"/>
            <w:u w:val="none"/>
            <w:vertAlign w:val="baseline"/>
          </w:rPr>
          <w:t>.</w:t>
        </w:r>
      </w:hyperlink>
    </w:p>
    <w:p>
      <w:pPr>
        <w:spacing w:before="0"/>
        <w:ind w:left="320" w:right="104" w:firstLine="0"/>
        <w:jc w:val="left"/>
        <w:rPr>
          <w:sz w:val="18"/>
        </w:rPr>
      </w:pPr>
      <w:r>
        <w:rPr>
          <w:sz w:val="18"/>
          <w:vertAlign w:val="superscript"/>
        </w:rPr>
        <w:t>47</w:t>
      </w:r>
      <w:r>
        <w:rPr>
          <w:sz w:val="18"/>
          <w:vertAlign w:val="baseline"/>
        </w:rPr>
        <w:t> Perez, Jaxzia. 2023. “The Foster Care-to-Prison Pipeline: a road to incarceration” </w:t>
      </w:r>
      <w:r>
        <w:rPr>
          <w:i/>
          <w:sz w:val="18"/>
          <w:vertAlign w:val="baseline"/>
        </w:rPr>
        <w:t>American University Washington College of</w:t>
      </w:r>
      <w:r>
        <w:rPr>
          <w:i/>
          <w:sz w:val="18"/>
          <w:vertAlign w:val="baseline"/>
        </w:rPr>
        <w:t> Law: The Criminal Law Practitioner</w:t>
      </w:r>
      <w:r>
        <w:rPr>
          <w:sz w:val="18"/>
          <w:vertAlign w:val="baseline"/>
        </w:rPr>
        <w:t>. February 24, 2023. </w:t>
      </w:r>
      <w:hyperlink r:id="rId498">
        <w:r>
          <w:rPr>
            <w:sz w:val="18"/>
            <w:u w:val="single"/>
            <w:vertAlign w:val="baseline"/>
          </w:rPr>
          <w:t>https://www.crimlawpractitioner.org/post/the-foster-care-to-prison-</w:t>
        </w:r>
      </w:hyperlink>
      <w:r>
        <w:rPr>
          <w:sz w:val="18"/>
          <w:u w:val="none"/>
          <w:vertAlign w:val="baseline"/>
        </w:rPr>
        <w:t> </w:t>
      </w:r>
      <w:hyperlink r:id="rId498">
        <w:r>
          <w:rPr>
            <w:spacing w:val="-2"/>
            <w:sz w:val="18"/>
            <w:u w:val="single"/>
            <w:vertAlign w:val="baseline"/>
          </w:rPr>
          <w:t>pipeline-a-road-to-</w:t>
        </w:r>
      </w:hyperlink>
      <w:r>
        <w:rPr>
          <w:sz w:val="18"/>
          <w:u w:val="none"/>
          <w:vertAlign w:val="baseline"/>
        </w:rPr>
        <w:t> </w:t>
      </w:r>
      <w:hyperlink r:id="rId498">
        <w:r>
          <w:rPr>
            <w:spacing w:val="-2"/>
            <w:sz w:val="18"/>
            <w:u w:val="single"/>
            <w:vertAlign w:val="baseline"/>
          </w:rPr>
          <w:t>incarceration#:~:text=The%20foster%20care%2Dto%2Dprison%20pipeline%20refers%20to%20the%20funneling,through%20arr</w:t>
        </w:r>
      </w:hyperlink>
      <w:r>
        <w:rPr>
          <w:sz w:val="18"/>
          <w:u w:val="none"/>
          <w:vertAlign w:val="baseline"/>
        </w:rPr>
        <w:t> </w:t>
      </w:r>
      <w:hyperlink r:id="rId498">
        <w:r>
          <w:rPr>
            <w:spacing w:val="-2"/>
            <w:sz w:val="18"/>
            <w:u w:val="single"/>
            <w:vertAlign w:val="baseline"/>
          </w:rPr>
          <w:t>est%2C%20conviction%20or%20detention</w:t>
        </w:r>
        <w:r>
          <w:rPr>
            <w:spacing w:val="-2"/>
            <w:sz w:val="18"/>
            <w:u w:val="none"/>
            <w:vertAlign w:val="baseline"/>
          </w:rPr>
          <w:t>.</w:t>
        </w:r>
      </w:hyperlink>
    </w:p>
    <w:p>
      <w:pPr>
        <w:spacing w:before="0"/>
        <w:ind w:left="320" w:right="0" w:firstLine="0"/>
        <w:jc w:val="left"/>
        <w:rPr>
          <w:sz w:val="18"/>
        </w:rPr>
      </w:pPr>
      <w:r>
        <w:rPr>
          <w:sz w:val="18"/>
          <w:vertAlign w:val="superscript"/>
        </w:rPr>
        <w:t>48</w:t>
      </w:r>
      <w:r>
        <w:rPr>
          <w:sz w:val="18"/>
          <w:vertAlign w:val="baseline"/>
        </w:rPr>
        <w:t> Perez, J. 2023. “The foster care-to-prison pipeline: A road to incarceration”. </w:t>
      </w:r>
      <w:r>
        <w:rPr>
          <w:i/>
          <w:sz w:val="18"/>
          <w:vertAlign w:val="baseline"/>
        </w:rPr>
        <w:t>American University Washington College, The</w:t>
      </w:r>
      <w:r>
        <w:rPr>
          <w:i/>
          <w:sz w:val="18"/>
          <w:vertAlign w:val="baseline"/>
        </w:rPr>
        <w:t> Criminal</w:t>
      </w:r>
      <w:r>
        <w:rPr>
          <w:i/>
          <w:spacing w:val="-11"/>
          <w:sz w:val="18"/>
          <w:vertAlign w:val="baseline"/>
        </w:rPr>
        <w:t> </w:t>
      </w:r>
      <w:r>
        <w:rPr>
          <w:i/>
          <w:sz w:val="18"/>
          <w:vertAlign w:val="baseline"/>
        </w:rPr>
        <w:t>Law</w:t>
      </w:r>
      <w:r>
        <w:rPr>
          <w:i/>
          <w:spacing w:val="-10"/>
          <w:sz w:val="18"/>
          <w:vertAlign w:val="baseline"/>
        </w:rPr>
        <w:t> </w:t>
      </w:r>
      <w:r>
        <w:rPr>
          <w:i/>
          <w:sz w:val="18"/>
          <w:vertAlign w:val="baseline"/>
        </w:rPr>
        <w:t>Practitioner</w:t>
      </w:r>
      <w:r>
        <w:rPr>
          <w:sz w:val="18"/>
          <w:vertAlign w:val="baseline"/>
        </w:rPr>
        <w:t>.</w:t>
      </w:r>
      <w:r>
        <w:rPr>
          <w:spacing w:val="-10"/>
          <w:sz w:val="18"/>
          <w:vertAlign w:val="baseline"/>
        </w:rPr>
        <w:t> </w:t>
      </w:r>
      <w:hyperlink r:id="rId499">
        <w:r>
          <w:rPr>
            <w:sz w:val="18"/>
            <w:u w:val="single"/>
            <w:vertAlign w:val="baseline"/>
          </w:rPr>
          <w:t>https://www.crimlawpractitioner.org/post/the-foster-care-to-prison-pipeline-a-road-to-incarceration</w:t>
        </w:r>
      </w:hyperlink>
    </w:p>
    <w:p>
      <w:pPr>
        <w:spacing w:line="219" w:lineRule="exact" w:before="0"/>
        <w:ind w:left="320" w:right="0" w:firstLine="0"/>
        <w:jc w:val="left"/>
        <w:rPr>
          <w:i/>
          <w:sz w:val="18"/>
        </w:rPr>
      </w:pPr>
      <w:r>
        <w:rPr>
          <w:sz w:val="18"/>
          <w:vertAlign w:val="superscript"/>
        </w:rPr>
        <w:t>49</w:t>
      </w:r>
      <w:r>
        <w:rPr>
          <w:sz w:val="18"/>
          <w:vertAlign w:val="baseline"/>
        </w:rPr>
        <w:t> </w:t>
      </w:r>
      <w:r>
        <w:rPr>
          <w:i/>
          <w:spacing w:val="-5"/>
          <w:sz w:val="18"/>
          <w:vertAlign w:val="baseline"/>
        </w:rPr>
        <w:t>Id.</w:t>
      </w:r>
    </w:p>
    <w:p>
      <w:pPr>
        <w:spacing w:before="0"/>
        <w:ind w:left="320" w:right="338" w:firstLine="0"/>
        <w:jc w:val="both"/>
        <w:rPr>
          <w:sz w:val="18"/>
        </w:rPr>
      </w:pPr>
      <w:r>
        <w:rPr>
          <w:sz w:val="18"/>
          <w:vertAlign w:val="superscript"/>
        </w:rPr>
        <w:t>50</w:t>
      </w:r>
      <w:r>
        <w:rPr>
          <w:spacing w:val="-2"/>
          <w:sz w:val="18"/>
          <w:vertAlign w:val="baseline"/>
        </w:rPr>
        <w:t> </w:t>
      </w:r>
      <w:r>
        <w:rPr>
          <w:sz w:val="18"/>
          <w:vertAlign w:val="baseline"/>
        </w:rPr>
        <w:t>Irvine,</w:t>
      </w:r>
      <w:r>
        <w:rPr>
          <w:spacing w:val="-3"/>
          <w:sz w:val="18"/>
          <w:vertAlign w:val="baseline"/>
        </w:rPr>
        <w:t> </w:t>
      </w:r>
      <w:r>
        <w:rPr>
          <w:sz w:val="18"/>
          <w:vertAlign w:val="baseline"/>
        </w:rPr>
        <w:t>A.</w:t>
      </w:r>
      <w:r>
        <w:rPr>
          <w:spacing w:val="-2"/>
          <w:sz w:val="18"/>
          <w:vertAlign w:val="baseline"/>
        </w:rPr>
        <w:t> </w:t>
      </w:r>
      <w:r>
        <w:rPr>
          <w:sz w:val="18"/>
          <w:vertAlign w:val="baseline"/>
        </w:rPr>
        <w:t>&amp;</w:t>
      </w:r>
      <w:r>
        <w:rPr>
          <w:spacing w:val="-3"/>
          <w:sz w:val="18"/>
          <w:vertAlign w:val="baseline"/>
        </w:rPr>
        <w:t> </w:t>
      </w:r>
      <w:r>
        <w:rPr>
          <w:sz w:val="18"/>
          <w:vertAlign w:val="baseline"/>
        </w:rPr>
        <w:t>Canfield,</w:t>
      </w:r>
      <w:r>
        <w:rPr>
          <w:spacing w:val="-3"/>
          <w:sz w:val="18"/>
          <w:vertAlign w:val="baseline"/>
        </w:rPr>
        <w:t> </w:t>
      </w:r>
      <w:r>
        <w:rPr>
          <w:sz w:val="18"/>
          <w:vertAlign w:val="baseline"/>
        </w:rPr>
        <w:t>A.</w:t>
      </w:r>
      <w:r>
        <w:rPr>
          <w:spacing w:val="-2"/>
          <w:sz w:val="18"/>
          <w:vertAlign w:val="baseline"/>
        </w:rPr>
        <w:t> </w:t>
      </w:r>
      <w:r>
        <w:rPr>
          <w:sz w:val="18"/>
          <w:vertAlign w:val="baseline"/>
        </w:rPr>
        <w:t>2016.</w:t>
      </w:r>
      <w:r>
        <w:rPr>
          <w:spacing w:val="-2"/>
          <w:sz w:val="18"/>
          <w:vertAlign w:val="baseline"/>
        </w:rPr>
        <w:t> </w:t>
      </w:r>
      <w:r>
        <w:rPr>
          <w:sz w:val="18"/>
          <w:vertAlign w:val="baseline"/>
        </w:rPr>
        <w:t>“The</w:t>
      </w:r>
      <w:r>
        <w:rPr>
          <w:spacing w:val="-2"/>
          <w:sz w:val="18"/>
          <w:vertAlign w:val="baseline"/>
        </w:rPr>
        <w:t> </w:t>
      </w:r>
      <w:r>
        <w:rPr>
          <w:sz w:val="18"/>
          <w:vertAlign w:val="baseline"/>
        </w:rPr>
        <w:t>Overrepresentation</w:t>
      </w:r>
      <w:r>
        <w:rPr>
          <w:spacing w:val="-2"/>
          <w:sz w:val="18"/>
          <w:vertAlign w:val="baseline"/>
        </w:rPr>
        <w:t> </w:t>
      </w:r>
      <w:r>
        <w:rPr>
          <w:sz w:val="18"/>
          <w:vertAlign w:val="baseline"/>
        </w:rPr>
        <w:t>of</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Questioning,</w:t>
      </w:r>
      <w:r>
        <w:rPr>
          <w:spacing w:val="-3"/>
          <w:sz w:val="18"/>
          <w:vertAlign w:val="baseline"/>
        </w:rPr>
        <w:t> </w:t>
      </w:r>
      <w:r>
        <w:rPr>
          <w:sz w:val="18"/>
          <w:vertAlign w:val="baseline"/>
        </w:rPr>
        <w:t>Gender</w:t>
      </w:r>
      <w:r>
        <w:rPr>
          <w:spacing w:val="-3"/>
          <w:sz w:val="18"/>
          <w:vertAlign w:val="baseline"/>
        </w:rPr>
        <w:t> </w:t>
      </w:r>
      <w:r>
        <w:rPr>
          <w:sz w:val="18"/>
          <w:vertAlign w:val="baseline"/>
        </w:rPr>
        <w:t>Nonconforming</w:t>
      </w:r>
      <w:r>
        <w:rPr>
          <w:spacing w:val="-2"/>
          <w:sz w:val="18"/>
          <w:vertAlign w:val="baseline"/>
        </w:rPr>
        <w:t> </w:t>
      </w:r>
      <w:r>
        <w:rPr>
          <w:sz w:val="18"/>
          <w:vertAlign w:val="baseline"/>
        </w:rPr>
        <w:t>and Transgender Youth Within the Child Welfare to Juvenile Justice Crossover Population”. </w:t>
      </w:r>
      <w:r>
        <w:rPr>
          <w:i/>
          <w:sz w:val="18"/>
          <w:vertAlign w:val="baseline"/>
        </w:rPr>
        <w:t>Journal of Gender, Social Policy &amp; the</w:t>
      </w:r>
      <w:r>
        <w:rPr>
          <w:i/>
          <w:sz w:val="18"/>
          <w:vertAlign w:val="baseline"/>
        </w:rPr>
        <w:t> Law</w:t>
      </w:r>
      <w:r>
        <w:rPr>
          <w:sz w:val="18"/>
          <w:vertAlign w:val="baseline"/>
        </w:rPr>
        <w:t>, 24(2), 243-261. https://digitalcommons.wcl.american.edu/cgi/viewcontent.cgi?article=1679&amp;context=jgspl.</w:t>
      </w:r>
    </w:p>
    <w:p>
      <w:pPr>
        <w:spacing w:line="219" w:lineRule="exact" w:before="0"/>
        <w:ind w:left="320" w:right="0" w:firstLine="0"/>
        <w:jc w:val="both"/>
        <w:rPr>
          <w:i/>
          <w:sz w:val="18"/>
        </w:rPr>
      </w:pPr>
      <w:r>
        <w:rPr>
          <w:sz w:val="18"/>
          <w:vertAlign w:val="superscript"/>
        </w:rPr>
        <w:t>51</w:t>
      </w:r>
      <w:r>
        <w:rPr>
          <w:sz w:val="18"/>
          <w:vertAlign w:val="baseline"/>
        </w:rPr>
        <w:t> </w:t>
      </w:r>
      <w:r>
        <w:rPr>
          <w:i/>
          <w:spacing w:val="-5"/>
          <w:sz w:val="18"/>
          <w:vertAlign w:val="baseline"/>
        </w:rPr>
        <w:t>Id.</w:t>
      </w:r>
    </w:p>
    <w:p>
      <w:pPr>
        <w:spacing w:before="0"/>
        <w:ind w:left="320" w:right="503" w:firstLine="0"/>
        <w:jc w:val="left"/>
        <w:rPr>
          <w:sz w:val="18"/>
        </w:rPr>
      </w:pPr>
      <w:r>
        <w:rPr>
          <w:sz w:val="18"/>
          <w:vertAlign w:val="superscript"/>
        </w:rPr>
        <w:t>52</w:t>
      </w:r>
      <w:r>
        <w:rPr>
          <w:spacing w:val="-2"/>
          <w:sz w:val="18"/>
          <w:vertAlign w:val="baseline"/>
        </w:rPr>
        <w:t> </w:t>
      </w:r>
      <w:r>
        <w:rPr>
          <w:sz w:val="18"/>
          <w:vertAlign w:val="baseline"/>
        </w:rPr>
        <w:t>Massachusetts</w:t>
      </w:r>
      <w:r>
        <w:rPr>
          <w:spacing w:val="-3"/>
          <w:sz w:val="18"/>
          <w:vertAlign w:val="baseline"/>
        </w:rPr>
        <w:t> </w:t>
      </w:r>
      <w:r>
        <w:rPr>
          <w:sz w:val="18"/>
          <w:vertAlign w:val="baseline"/>
        </w:rPr>
        <w:t>Commission</w:t>
      </w:r>
      <w:r>
        <w:rPr>
          <w:spacing w:val="-2"/>
          <w:sz w:val="18"/>
          <w:vertAlign w:val="baseline"/>
        </w:rPr>
        <w:t> </w:t>
      </w:r>
      <w:r>
        <w:rPr>
          <w:sz w:val="18"/>
          <w:vertAlign w:val="baseline"/>
        </w:rPr>
        <w:t>on</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Transgender,</w:t>
      </w:r>
      <w:r>
        <w:rPr>
          <w:spacing w:val="-3"/>
          <w:sz w:val="18"/>
          <w:vertAlign w:val="baseline"/>
        </w:rPr>
        <w:t> </w:t>
      </w:r>
      <w:r>
        <w:rPr>
          <w:sz w:val="18"/>
          <w:vertAlign w:val="baseline"/>
        </w:rPr>
        <w:t>Queer,</w:t>
      </w:r>
      <w:r>
        <w:rPr>
          <w:spacing w:val="-3"/>
          <w:sz w:val="18"/>
          <w:vertAlign w:val="baseline"/>
        </w:rPr>
        <w:t> </w:t>
      </w:r>
      <w:r>
        <w:rPr>
          <w:sz w:val="18"/>
          <w:vertAlign w:val="baseline"/>
        </w:rPr>
        <w:t>and</w:t>
      </w:r>
      <w:r>
        <w:rPr>
          <w:spacing w:val="-3"/>
          <w:sz w:val="18"/>
          <w:vertAlign w:val="baseline"/>
        </w:rPr>
        <w:t> </w:t>
      </w:r>
      <w:r>
        <w:rPr>
          <w:sz w:val="18"/>
          <w:vertAlign w:val="baseline"/>
        </w:rPr>
        <w:t>Questioning</w:t>
      </w:r>
      <w:r>
        <w:rPr>
          <w:spacing w:val="-2"/>
          <w:sz w:val="18"/>
          <w:vertAlign w:val="baseline"/>
        </w:rPr>
        <w:t> </w:t>
      </w:r>
      <w:r>
        <w:rPr>
          <w:sz w:val="18"/>
          <w:vertAlign w:val="baseline"/>
        </w:rPr>
        <w:t>Youth,</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the Massachusetts Child Welfare System A Report on Pervasive Threats to Safety, Wellbeing, and Permanency” 2021. </w:t>
      </w:r>
      <w:r>
        <w:rPr>
          <w:spacing w:val="-2"/>
          <w:sz w:val="18"/>
          <w:vertAlign w:val="baseline"/>
        </w:rPr>
        <w:t>https:</w:t>
      </w:r>
      <w:hyperlink r:id="rId284">
        <w:r>
          <w:rPr>
            <w:spacing w:val="-2"/>
            <w:sz w:val="18"/>
            <w:vertAlign w:val="baseline"/>
          </w:rPr>
          <w:t>//www.mass.gov/doc/commission-report-on-dcf/download</w:t>
        </w:r>
      </w:hyperlink>
    </w:p>
    <w:p>
      <w:pPr>
        <w:spacing w:before="1"/>
        <w:ind w:left="320" w:right="0" w:firstLine="0"/>
        <w:jc w:val="left"/>
        <w:rPr>
          <w:i/>
          <w:sz w:val="18"/>
        </w:rPr>
      </w:pPr>
      <w:r>
        <w:rPr>
          <w:sz w:val="18"/>
          <w:vertAlign w:val="superscript"/>
        </w:rPr>
        <w:t>53</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54</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55</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56</w:t>
      </w:r>
      <w:r>
        <w:rPr>
          <w:sz w:val="18"/>
          <w:vertAlign w:val="baseline"/>
        </w:rPr>
        <w:t> </w:t>
      </w:r>
      <w:r>
        <w:rPr>
          <w:i/>
          <w:spacing w:val="-5"/>
          <w:sz w:val="18"/>
          <w:vertAlign w:val="baseline"/>
        </w:rPr>
        <w:t>Id.</w:t>
      </w:r>
    </w:p>
    <w:p>
      <w:pPr>
        <w:spacing w:before="0"/>
        <w:ind w:left="320" w:right="220" w:firstLine="0"/>
        <w:jc w:val="left"/>
        <w:rPr>
          <w:sz w:val="18"/>
        </w:rPr>
      </w:pPr>
      <w:r>
        <w:rPr>
          <w:sz w:val="18"/>
          <w:vertAlign w:val="superscript"/>
        </w:rPr>
        <w:t>57</w:t>
      </w:r>
      <w:r>
        <w:rPr>
          <w:sz w:val="18"/>
          <w:vertAlign w:val="baseline"/>
        </w:rPr>
        <w:t> The Trevor Project. 2021. “The Trevor Project Research Brief: LGBTQ Youth with a History of Foster Care”. May 2021. </w:t>
      </w:r>
      <w:r>
        <w:rPr>
          <w:spacing w:val="-2"/>
          <w:sz w:val="18"/>
          <w:vertAlign w:val="baseline"/>
        </w:rPr>
        <w:t>https://</w:t>
      </w:r>
      <w:hyperlink r:id="rId500">
        <w:r>
          <w:rPr>
            <w:spacing w:val="-2"/>
            <w:sz w:val="18"/>
            <w:vertAlign w:val="baseline"/>
          </w:rPr>
          <w:t>www.thetrevorproject.org/wp-content/uploads/2021/07/LGBTQ-Youth-with-a-History-of-Foster-Care_-May-2021.pdf.</w:t>
        </w:r>
      </w:hyperlink>
      <w:r>
        <w:rPr>
          <w:spacing w:val="40"/>
          <w:sz w:val="18"/>
          <w:vertAlign w:val="baseline"/>
        </w:rPr>
        <w:t>  </w:t>
      </w:r>
      <w:r>
        <w:rPr>
          <w:sz w:val="18"/>
          <w:vertAlign w:val="superscript"/>
        </w:rPr>
        <w:t>58</w:t>
      </w:r>
      <w:r>
        <w:rPr>
          <w:sz w:val="18"/>
          <w:vertAlign w:val="baseline"/>
        </w:rPr>
        <w:t> Massachusetts Commission on Lesbian, Gay, Bisexual, Transgender, Queer, and Questioning Youth. 2021. “LGBTQ Youth in the Massachusetts Child Welfare System A Report on Pervasive Threats to Safety, Wellbeing, and Permanency” 2021. </w:t>
      </w:r>
      <w:r>
        <w:rPr>
          <w:spacing w:val="-2"/>
          <w:sz w:val="18"/>
          <w:vertAlign w:val="baseline"/>
        </w:rPr>
        <w:t>https:</w:t>
      </w:r>
      <w:hyperlink r:id="rId284">
        <w:r>
          <w:rPr>
            <w:spacing w:val="-2"/>
            <w:sz w:val="18"/>
            <w:vertAlign w:val="baseline"/>
          </w:rPr>
          <w:t>//www.mass.gov/doc/commission-report-on-dcf/download.</w:t>
        </w:r>
      </w:hyperlink>
    </w:p>
    <w:p>
      <w:pPr>
        <w:spacing w:before="0"/>
        <w:ind w:left="320" w:right="1079" w:firstLine="0"/>
        <w:jc w:val="left"/>
        <w:rPr>
          <w:sz w:val="18"/>
        </w:rPr>
      </w:pPr>
      <w:r>
        <w:rPr>
          <w:sz w:val="18"/>
          <w:vertAlign w:val="superscript"/>
        </w:rPr>
        <w:t>59</w:t>
      </w:r>
      <w:r>
        <w:rPr>
          <w:spacing w:val="-3"/>
          <w:sz w:val="18"/>
          <w:vertAlign w:val="baseline"/>
        </w:rPr>
        <w:t> </w:t>
      </w:r>
      <w:r>
        <w:rPr>
          <w:sz w:val="18"/>
          <w:vertAlign w:val="baseline"/>
        </w:rPr>
        <w:t>Human</w:t>
      </w:r>
      <w:r>
        <w:rPr>
          <w:spacing w:val="-3"/>
          <w:sz w:val="18"/>
          <w:vertAlign w:val="baseline"/>
        </w:rPr>
        <w:t> </w:t>
      </w:r>
      <w:r>
        <w:rPr>
          <w:sz w:val="18"/>
          <w:vertAlign w:val="baseline"/>
        </w:rPr>
        <w:t>Rights</w:t>
      </w:r>
      <w:r>
        <w:rPr>
          <w:spacing w:val="-3"/>
          <w:sz w:val="18"/>
          <w:vertAlign w:val="baseline"/>
        </w:rPr>
        <w:t> </w:t>
      </w:r>
      <w:r>
        <w:rPr>
          <w:sz w:val="18"/>
          <w:vertAlign w:val="baseline"/>
        </w:rPr>
        <w:t>Campaign.</w:t>
      </w:r>
      <w:r>
        <w:rPr>
          <w:spacing w:val="-3"/>
          <w:sz w:val="18"/>
          <w:vertAlign w:val="baseline"/>
        </w:rPr>
        <w:t> </w:t>
      </w:r>
      <w:r>
        <w:rPr>
          <w:sz w:val="18"/>
          <w:vertAlign w:val="baseline"/>
        </w:rPr>
        <w:t>2024.</w:t>
      </w:r>
      <w:r>
        <w:rPr>
          <w:spacing w:val="-4"/>
          <w:sz w:val="18"/>
          <w:vertAlign w:val="baseline"/>
        </w:rPr>
        <w:t> </w:t>
      </w:r>
      <w:r>
        <w:rPr>
          <w:sz w:val="18"/>
          <w:vertAlign w:val="baseline"/>
        </w:rPr>
        <w:t>“LGBTQ</w:t>
      </w:r>
      <w:r>
        <w:rPr>
          <w:spacing w:val="-3"/>
          <w:sz w:val="18"/>
          <w:vertAlign w:val="baseline"/>
        </w:rPr>
        <w:t> </w:t>
      </w:r>
      <w:r>
        <w:rPr>
          <w:sz w:val="18"/>
          <w:vertAlign w:val="baseline"/>
        </w:rPr>
        <w:t>Youth</w:t>
      </w:r>
      <w:r>
        <w:rPr>
          <w:spacing w:val="-3"/>
          <w:sz w:val="18"/>
          <w:vertAlign w:val="baseline"/>
        </w:rPr>
        <w:t> </w:t>
      </w:r>
      <w:r>
        <w:rPr>
          <w:sz w:val="18"/>
          <w:vertAlign w:val="baseline"/>
        </w:rPr>
        <w:t>in</w:t>
      </w:r>
      <w:r>
        <w:rPr>
          <w:spacing w:val="-4"/>
          <w:sz w:val="18"/>
          <w:vertAlign w:val="baseline"/>
        </w:rPr>
        <w:t> </w:t>
      </w:r>
      <w:r>
        <w:rPr>
          <w:sz w:val="18"/>
          <w:vertAlign w:val="baseline"/>
        </w:rPr>
        <w:t>the</w:t>
      </w:r>
      <w:r>
        <w:rPr>
          <w:spacing w:val="-3"/>
          <w:sz w:val="18"/>
          <w:vertAlign w:val="baseline"/>
        </w:rPr>
        <w:t> </w:t>
      </w:r>
      <w:r>
        <w:rPr>
          <w:sz w:val="18"/>
          <w:vertAlign w:val="baseline"/>
        </w:rPr>
        <w:t>Foster</w:t>
      </w:r>
      <w:r>
        <w:rPr>
          <w:spacing w:val="-4"/>
          <w:sz w:val="18"/>
          <w:vertAlign w:val="baseline"/>
        </w:rPr>
        <w:t> </w:t>
      </w:r>
      <w:r>
        <w:rPr>
          <w:sz w:val="18"/>
          <w:vertAlign w:val="baseline"/>
        </w:rPr>
        <w:t>Care</w:t>
      </w:r>
      <w:r>
        <w:rPr>
          <w:spacing w:val="-4"/>
          <w:sz w:val="18"/>
          <w:vertAlign w:val="baseline"/>
        </w:rPr>
        <w:t> </w:t>
      </w:r>
      <w:r>
        <w:rPr>
          <w:sz w:val="18"/>
          <w:vertAlign w:val="baseline"/>
        </w:rPr>
        <w:t>System”,</w:t>
      </w:r>
      <w:r>
        <w:rPr>
          <w:spacing w:val="-4"/>
          <w:sz w:val="18"/>
          <w:vertAlign w:val="baseline"/>
        </w:rPr>
        <w:t> </w:t>
      </w:r>
      <w:hyperlink r:id="rId501">
        <w:r>
          <w:rPr>
            <w:sz w:val="18"/>
            <w:u w:val="single"/>
            <w:vertAlign w:val="baseline"/>
          </w:rPr>
          <w:t>https://hrc-prod-requests.s3-us-west-</w:t>
        </w:r>
      </w:hyperlink>
      <w:r>
        <w:rPr>
          <w:sz w:val="18"/>
          <w:u w:val="none"/>
          <w:vertAlign w:val="baseline"/>
        </w:rPr>
        <w:t> </w:t>
      </w:r>
      <w:hyperlink r:id="rId501">
        <w:r>
          <w:rPr>
            <w:sz w:val="18"/>
            <w:u w:val="single"/>
            <w:vertAlign w:val="baseline"/>
          </w:rPr>
          <w:t>2.amazonaws.com/files/assets/resources/HRC-YouthFosterCare-IssueBrief-FINAL.pdf</w:t>
        </w:r>
      </w:hyperlink>
      <w:r>
        <w:rPr>
          <w:spacing w:val="27"/>
          <w:sz w:val="18"/>
          <w:u w:val="none"/>
          <w:vertAlign w:val="baseline"/>
        </w:rPr>
        <w:t> </w:t>
      </w:r>
      <w:r>
        <w:rPr>
          <w:sz w:val="18"/>
          <w:u w:val="none"/>
          <w:vertAlign w:val="baseline"/>
        </w:rPr>
        <w:t>last</w:t>
      </w:r>
      <w:r>
        <w:rPr>
          <w:spacing w:val="-7"/>
          <w:sz w:val="18"/>
          <w:u w:val="none"/>
          <w:vertAlign w:val="baseline"/>
        </w:rPr>
        <w:t> </w:t>
      </w:r>
      <w:r>
        <w:rPr>
          <w:sz w:val="18"/>
          <w:u w:val="none"/>
          <w:vertAlign w:val="baseline"/>
        </w:rPr>
        <w:t>Accessed</w:t>
      </w:r>
      <w:r>
        <w:rPr>
          <w:spacing w:val="-7"/>
          <w:sz w:val="18"/>
          <w:u w:val="none"/>
          <w:vertAlign w:val="baseline"/>
        </w:rPr>
        <w:t> </w:t>
      </w:r>
      <w:r>
        <w:rPr>
          <w:sz w:val="18"/>
          <w:u w:val="none"/>
          <w:vertAlign w:val="baseline"/>
        </w:rPr>
        <w:t>April</w:t>
      </w:r>
      <w:r>
        <w:rPr>
          <w:spacing w:val="-7"/>
          <w:sz w:val="18"/>
          <w:u w:val="none"/>
          <w:vertAlign w:val="baseline"/>
        </w:rPr>
        <w:t> </w:t>
      </w:r>
      <w:r>
        <w:rPr>
          <w:sz w:val="18"/>
          <w:u w:val="none"/>
          <w:vertAlign w:val="baseline"/>
        </w:rPr>
        <w:t>28,</w:t>
      </w:r>
      <w:r>
        <w:rPr>
          <w:spacing w:val="-8"/>
          <w:sz w:val="18"/>
          <w:u w:val="none"/>
          <w:vertAlign w:val="baseline"/>
        </w:rPr>
        <w:t> </w:t>
      </w:r>
      <w:r>
        <w:rPr>
          <w:spacing w:val="-2"/>
          <w:sz w:val="18"/>
          <w:u w:val="none"/>
          <w:vertAlign w:val="baseline"/>
        </w:rPr>
        <w:t>2024.</w:t>
      </w:r>
    </w:p>
    <w:p>
      <w:pPr>
        <w:spacing w:after="0"/>
        <w:jc w:val="left"/>
        <w:rPr>
          <w:sz w:val="18"/>
        </w:rPr>
        <w:sectPr>
          <w:pgSz w:w="12240" w:h="15840"/>
          <w:pgMar w:header="763" w:footer="1041" w:top="1360" w:bottom="1240" w:left="1120" w:right="1340"/>
        </w:sectPr>
      </w:pPr>
    </w:p>
    <w:p>
      <w:pPr>
        <w:pStyle w:val="BodyText"/>
        <w:spacing w:before="90"/>
        <w:rPr>
          <w:sz w:val="18"/>
        </w:rPr>
      </w:pPr>
    </w:p>
    <w:p>
      <w:pPr>
        <w:spacing w:before="1"/>
        <w:ind w:left="320" w:right="1461" w:firstLine="0"/>
        <w:jc w:val="left"/>
        <w:rPr>
          <w:sz w:val="18"/>
        </w:rPr>
      </w:pPr>
      <w:r>
        <w:rPr>
          <w:sz w:val="18"/>
          <w:vertAlign w:val="superscript"/>
        </w:rPr>
        <w:t>60</w:t>
      </w:r>
      <w:r>
        <w:rPr>
          <w:spacing w:val="-2"/>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Emergency</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3"/>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MA</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System."</w:t>
      </w:r>
      <w:r>
        <w:rPr>
          <w:spacing w:val="-2"/>
          <w:sz w:val="18"/>
          <w:vertAlign w:val="baseline"/>
        </w:rPr>
        <w:t> </w:t>
      </w:r>
      <w:r>
        <w:rPr>
          <w:i/>
          <w:sz w:val="18"/>
          <w:vertAlign w:val="baseline"/>
        </w:rPr>
        <w:t>Mass.gov</w:t>
      </w:r>
      <w:r>
        <w:rPr>
          <w:sz w:val="18"/>
          <w:vertAlign w:val="baseline"/>
        </w:rPr>
        <w:t>.</w:t>
      </w:r>
      <w:r>
        <w:rPr>
          <w:spacing w:val="-2"/>
          <w:sz w:val="18"/>
          <w:vertAlign w:val="baseline"/>
        </w:rPr>
        <w:t> </w:t>
      </w:r>
      <w:r>
        <w:rPr>
          <w:sz w:val="18"/>
          <w:vertAlign w:val="baseline"/>
        </w:rPr>
        <w:t>Accessed</w:t>
      </w:r>
      <w:r>
        <w:rPr>
          <w:spacing w:val="-3"/>
          <w:sz w:val="18"/>
          <w:vertAlign w:val="baseline"/>
        </w:rPr>
        <w:t> </w:t>
      </w:r>
      <w:r>
        <w:rPr>
          <w:sz w:val="18"/>
          <w:vertAlign w:val="baseline"/>
        </w:rPr>
        <w:t>April</w:t>
      </w:r>
      <w:r>
        <w:rPr>
          <w:spacing w:val="-3"/>
          <w:sz w:val="18"/>
          <w:vertAlign w:val="baseline"/>
        </w:rPr>
        <w:t> </w:t>
      </w:r>
      <w:r>
        <w:rPr>
          <w:sz w:val="18"/>
          <w:vertAlign w:val="baseline"/>
        </w:rPr>
        <w:t>14,</w:t>
      </w:r>
      <w:r>
        <w:rPr>
          <w:spacing w:val="-3"/>
          <w:sz w:val="18"/>
          <w:vertAlign w:val="baseline"/>
        </w:rPr>
        <w:t> </w:t>
      </w:r>
      <w:r>
        <w:rPr>
          <w:sz w:val="18"/>
          <w:vertAlign w:val="baseline"/>
        </w:rPr>
        <w:t>2024. </w:t>
      </w:r>
      <w:hyperlink r:id="rId502">
        <w:r>
          <w:rPr>
            <w:spacing w:val="-2"/>
            <w:sz w:val="18"/>
            <w:u w:val="single"/>
            <w:vertAlign w:val="baseline"/>
          </w:rPr>
          <w:t>https://www.mass.gov/news/state-of-emergency-for-lgbtq-youth-in-the-ma-child-welfare-system</w:t>
        </w:r>
        <w:r>
          <w:rPr>
            <w:spacing w:val="-2"/>
            <w:sz w:val="18"/>
            <w:u w:val="none"/>
            <w:vertAlign w:val="baseline"/>
          </w:rPr>
          <w:t>.</w:t>
        </w:r>
      </w:hyperlink>
    </w:p>
    <w:p>
      <w:pPr>
        <w:spacing w:before="0"/>
        <w:ind w:left="320" w:right="0" w:firstLine="0"/>
        <w:jc w:val="left"/>
        <w:rPr>
          <w:sz w:val="18"/>
        </w:rPr>
      </w:pPr>
      <w:r>
        <w:rPr>
          <w:sz w:val="18"/>
          <w:vertAlign w:val="superscript"/>
        </w:rPr>
        <w:t>61</w:t>
      </w:r>
      <w:r>
        <w:rPr>
          <w:spacing w:val="-2"/>
          <w:sz w:val="18"/>
          <w:vertAlign w:val="baseline"/>
        </w:rPr>
        <w:t> </w:t>
      </w:r>
      <w:r>
        <w:rPr>
          <w:sz w:val="18"/>
          <w:vertAlign w:val="baseline"/>
        </w:rPr>
        <w:t>Ryan,</w:t>
      </w:r>
      <w:r>
        <w:rPr>
          <w:spacing w:val="-3"/>
          <w:sz w:val="18"/>
          <w:vertAlign w:val="baseline"/>
        </w:rPr>
        <w:t> </w:t>
      </w:r>
      <w:r>
        <w:rPr>
          <w:sz w:val="18"/>
          <w:vertAlign w:val="baseline"/>
        </w:rPr>
        <w:t>C.</w:t>
      </w:r>
      <w:r>
        <w:rPr>
          <w:spacing w:val="-2"/>
          <w:sz w:val="18"/>
          <w:vertAlign w:val="baseline"/>
        </w:rPr>
        <w:t> </w:t>
      </w:r>
      <w:r>
        <w:rPr>
          <w:sz w:val="18"/>
          <w:vertAlign w:val="baseline"/>
        </w:rPr>
        <w:t>2014.</w:t>
      </w:r>
      <w:r>
        <w:rPr>
          <w:spacing w:val="-2"/>
          <w:sz w:val="18"/>
          <w:vertAlign w:val="baseline"/>
        </w:rPr>
        <w:t> </w:t>
      </w:r>
      <w:r>
        <w:rPr>
          <w:sz w:val="18"/>
          <w:vertAlign w:val="baseline"/>
        </w:rPr>
        <w:t>“Generating</w:t>
      </w:r>
      <w:r>
        <w:rPr>
          <w:spacing w:val="-2"/>
          <w:sz w:val="18"/>
          <w:vertAlign w:val="baseline"/>
        </w:rPr>
        <w:t> </w:t>
      </w:r>
      <w:r>
        <w:rPr>
          <w:sz w:val="18"/>
          <w:vertAlign w:val="baseline"/>
        </w:rPr>
        <w:t>a</w:t>
      </w:r>
      <w:r>
        <w:rPr>
          <w:spacing w:val="-2"/>
          <w:sz w:val="18"/>
          <w:vertAlign w:val="baseline"/>
        </w:rPr>
        <w:t> </w:t>
      </w:r>
      <w:r>
        <w:rPr>
          <w:sz w:val="18"/>
          <w:vertAlign w:val="baseline"/>
        </w:rPr>
        <w:t>Revolution</w:t>
      </w:r>
      <w:r>
        <w:rPr>
          <w:spacing w:val="-2"/>
          <w:sz w:val="18"/>
          <w:vertAlign w:val="baseline"/>
        </w:rPr>
        <w:t> </w:t>
      </w:r>
      <w:r>
        <w:rPr>
          <w:sz w:val="18"/>
          <w:vertAlign w:val="baseline"/>
        </w:rPr>
        <w:t>in</w:t>
      </w:r>
      <w:r>
        <w:rPr>
          <w:spacing w:val="-2"/>
          <w:sz w:val="18"/>
          <w:vertAlign w:val="baseline"/>
        </w:rPr>
        <w:t> </w:t>
      </w:r>
      <w:r>
        <w:rPr>
          <w:sz w:val="18"/>
          <w:vertAlign w:val="baseline"/>
        </w:rPr>
        <w:t>Prevention,</w:t>
      </w:r>
      <w:r>
        <w:rPr>
          <w:spacing w:val="-3"/>
          <w:sz w:val="18"/>
          <w:vertAlign w:val="baseline"/>
        </w:rPr>
        <w:t> </w:t>
      </w:r>
      <w:r>
        <w:rPr>
          <w:sz w:val="18"/>
          <w:vertAlign w:val="baseline"/>
        </w:rPr>
        <w:t>Wellness</w:t>
      </w:r>
      <w:r>
        <w:rPr>
          <w:spacing w:val="-2"/>
          <w:sz w:val="18"/>
          <w:vertAlign w:val="baseline"/>
        </w:rPr>
        <w:t> </w:t>
      </w:r>
      <w:r>
        <w:rPr>
          <w:sz w:val="18"/>
          <w:vertAlign w:val="baseline"/>
        </w:rPr>
        <w:t>&amp;</w:t>
      </w:r>
      <w:r>
        <w:rPr>
          <w:spacing w:val="-3"/>
          <w:sz w:val="18"/>
          <w:vertAlign w:val="baseline"/>
        </w:rPr>
        <w:t> </w:t>
      </w:r>
      <w:r>
        <w:rPr>
          <w:sz w:val="18"/>
          <w:vertAlign w:val="baseline"/>
        </w:rPr>
        <w:t>Care</w:t>
      </w:r>
      <w:r>
        <w:rPr>
          <w:spacing w:val="-2"/>
          <w:sz w:val="18"/>
          <w:vertAlign w:val="baseline"/>
        </w:rPr>
        <w:t> </w:t>
      </w:r>
      <w:r>
        <w:rPr>
          <w:sz w:val="18"/>
          <w:vertAlign w:val="baseline"/>
        </w:rPr>
        <w:t>for</w:t>
      </w:r>
      <w:r>
        <w:rPr>
          <w:spacing w:val="-3"/>
          <w:sz w:val="18"/>
          <w:vertAlign w:val="baseline"/>
        </w:rPr>
        <w:t> </w:t>
      </w:r>
      <w:r>
        <w:rPr>
          <w:sz w:val="18"/>
          <w:vertAlign w:val="baseline"/>
        </w:rPr>
        <w:t>LGBT</w:t>
      </w:r>
      <w:r>
        <w:rPr>
          <w:spacing w:val="-4"/>
          <w:sz w:val="18"/>
          <w:vertAlign w:val="baseline"/>
        </w:rPr>
        <w:t> </w:t>
      </w:r>
      <w:r>
        <w:rPr>
          <w:sz w:val="18"/>
          <w:vertAlign w:val="baseline"/>
        </w:rPr>
        <w:t>Children</w:t>
      </w:r>
      <w:r>
        <w:rPr>
          <w:spacing w:val="-2"/>
          <w:sz w:val="18"/>
          <w:vertAlign w:val="baseline"/>
        </w:rPr>
        <w:t> </w:t>
      </w:r>
      <w:r>
        <w:rPr>
          <w:sz w:val="18"/>
          <w:vertAlign w:val="baseline"/>
        </w:rPr>
        <w:t>&amp;</w:t>
      </w:r>
      <w:r>
        <w:rPr>
          <w:spacing w:val="-3"/>
          <w:sz w:val="18"/>
          <w:vertAlign w:val="baseline"/>
        </w:rPr>
        <w:t> </w:t>
      </w:r>
      <w:r>
        <w:rPr>
          <w:sz w:val="18"/>
          <w:vertAlign w:val="baseline"/>
        </w:rPr>
        <w:t>Youth”.</w:t>
      </w:r>
      <w:r>
        <w:rPr>
          <w:spacing w:val="-2"/>
          <w:sz w:val="18"/>
          <w:vertAlign w:val="baseline"/>
        </w:rPr>
        <w:t> </w:t>
      </w:r>
      <w:r>
        <w:rPr>
          <w:i/>
          <w:sz w:val="18"/>
          <w:vertAlign w:val="baseline"/>
        </w:rPr>
        <w:t>Temple</w:t>
      </w:r>
      <w:r>
        <w:rPr>
          <w:i/>
          <w:spacing w:val="-3"/>
          <w:sz w:val="18"/>
          <w:vertAlign w:val="baseline"/>
        </w:rPr>
        <w:t> </w:t>
      </w:r>
      <w:r>
        <w:rPr>
          <w:i/>
          <w:sz w:val="18"/>
          <w:vertAlign w:val="baseline"/>
        </w:rPr>
        <w:t>Political</w:t>
      </w:r>
      <w:r>
        <w:rPr>
          <w:i/>
          <w:spacing w:val="-3"/>
          <w:sz w:val="18"/>
          <w:vertAlign w:val="baseline"/>
        </w:rPr>
        <w:t> </w:t>
      </w:r>
      <w:r>
        <w:rPr>
          <w:i/>
          <w:sz w:val="18"/>
          <w:vertAlign w:val="baseline"/>
        </w:rPr>
        <w:t>&amp;</w:t>
      </w:r>
      <w:r>
        <w:rPr>
          <w:i/>
          <w:spacing w:val="-3"/>
          <w:sz w:val="18"/>
          <w:vertAlign w:val="baseline"/>
        </w:rPr>
        <w:t> </w:t>
      </w:r>
      <w:r>
        <w:rPr>
          <w:i/>
          <w:sz w:val="18"/>
          <w:vertAlign w:val="baseline"/>
        </w:rPr>
        <w:t>Civil</w:t>
      </w:r>
      <w:r>
        <w:rPr>
          <w:i/>
          <w:sz w:val="18"/>
          <w:vertAlign w:val="baseline"/>
        </w:rPr>
        <w:t> Rights Law Review</w:t>
      </w:r>
      <w:r>
        <w:rPr>
          <w:sz w:val="18"/>
          <w:vertAlign w:val="baseline"/>
        </w:rPr>
        <w:t>, 23(2), 331-344.</w:t>
      </w:r>
    </w:p>
    <w:p>
      <w:pPr>
        <w:spacing w:before="0"/>
        <w:ind w:left="320" w:right="389" w:hanging="1"/>
        <w:jc w:val="left"/>
        <w:rPr>
          <w:sz w:val="18"/>
        </w:rPr>
      </w:pPr>
      <w:r>
        <w:rPr>
          <w:sz w:val="18"/>
          <w:vertAlign w:val="superscript"/>
        </w:rPr>
        <w:t>62</w:t>
      </w:r>
      <w:r>
        <w:rPr>
          <w:sz w:val="18"/>
          <w:vertAlign w:val="baseline"/>
        </w:rPr>
        <w:t> Hunt, Jerome &amp; Aisha Moodie-Mills, 2012. “Unfair Criminalization of Gay and Transgender Youth: An Overview of the Experiences</w:t>
      </w:r>
      <w:r>
        <w:rPr>
          <w:spacing w:val="-4"/>
          <w:sz w:val="18"/>
          <w:vertAlign w:val="baseline"/>
        </w:rPr>
        <w:t> </w:t>
      </w:r>
      <w:r>
        <w:rPr>
          <w:sz w:val="18"/>
          <w:vertAlign w:val="baseline"/>
        </w:rPr>
        <w:t>of</w:t>
      </w:r>
      <w:r>
        <w:rPr>
          <w:spacing w:val="-4"/>
          <w:sz w:val="18"/>
          <w:vertAlign w:val="baseline"/>
        </w:rPr>
        <w:t> </w:t>
      </w:r>
      <w:r>
        <w:rPr>
          <w:sz w:val="18"/>
          <w:vertAlign w:val="baseline"/>
        </w:rPr>
        <w:t>LGBT</w:t>
      </w:r>
      <w:r>
        <w:rPr>
          <w:spacing w:val="-4"/>
          <w:sz w:val="18"/>
          <w:vertAlign w:val="baseline"/>
        </w:rPr>
        <w:t> </w:t>
      </w:r>
      <w:r>
        <w:rPr>
          <w:sz w:val="18"/>
          <w:vertAlign w:val="baseline"/>
        </w:rPr>
        <w:t>Youth</w:t>
      </w:r>
      <w:r>
        <w:rPr>
          <w:spacing w:val="-4"/>
          <w:sz w:val="18"/>
          <w:vertAlign w:val="baseline"/>
        </w:rPr>
        <w:t> </w:t>
      </w:r>
      <w:r>
        <w:rPr>
          <w:sz w:val="18"/>
          <w:vertAlign w:val="baseline"/>
        </w:rPr>
        <w:t>in</w:t>
      </w:r>
      <w:r>
        <w:rPr>
          <w:spacing w:val="-4"/>
          <w:sz w:val="18"/>
          <w:vertAlign w:val="baseline"/>
        </w:rPr>
        <w:t> </w:t>
      </w:r>
      <w:r>
        <w:rPr>
          <w:sz w:val="18"/>
          <w:vertAlign w:val="baseline"/>
        </w:rPr>
        <w:t>the</w:t>
      </w:r>
      <w:r>
        <w:rPr>
          <w:spacing w:val="-4"/>
          <w:sz w:val="18"/>
          <w:vertAlign w:val="baseline"/>
        </w:rPr>
        <w:t> </w:t>
      </w:r>
      <w:r>
        <w:rPr>
          <w:sz w:val="18"/>
          <w:vertAlign w:val="baseline"/>
        </w:rPr>
        <w:t>Juvenile</w:t>
      </w:r>
      <w:r>
        <w:rPr>
          <w:spacing w:val="-4"/>
          <w:sz w:val="18"/>
          <w:vertAlign w:val="baseline"/>
        </w:rPr>
        <w:t> </w:t>
      </w:r>
      <w:r>
        <w:rPr>
          <w:sz w:val="18"/>
          <w:vertAlign w:val="baseline"/>
        </w:rPr>
        <w:t>Justice</w:t>
      </w:r>
      <w:r>
        <w:rPr>
          <w:spacing w:val="-4"/>
          <w:sz w:val="18"/>
          <w:vertAlign w:val="baseline"/>
        </w:rPr>
        <w:t> </w:t>
      </w:r>
      <w:r>
        <w:rPr>
          <w:sz w:val="18"/>
          <w:vertAlign w:val="baseline"/>
        </w:rPr>
        <w:t>System”.</w:t>
      </w:r>
      <w:r>
        <w:rPr>
          <w:spacing w:val="-4"/>
          <w:sz w:val="18"/>
          <w:vertAlign w:val="baseline"/>
        </w:rPr>
        <w:t> </w:t>
      </w:r>
      <w:r>
        <w:rPr>
          <w:sz w:val="18"/>
          <w:vertAlign w:val="baseline"/>
        </w:rPr>
        <w:t>2012.</w:t>
      </w:r>
      <w:r>
        <w:rPr>
          <w:spacing w:val="-4"/>
          <w:sz w:val="18"/>
          <w:vertAlign w:val="baseline"/>
        </w:rPr>
        <w:t> </w:t>
      </w:r>
      <w:r>
        <w:rPr>
          <w:sz w:val="18"/>
          <w:vertAlign w:val="baseline"/>
        </w:rPr>
        <w:t>https:</w:t>
      </w:r>
      <w:hyperlink r:id="rId503">
        <w:r>
          <w:rPr>
            <w:sz w:val="18"/>
            <w:vertAlign w:val="baseline"/>
          </w:rPr>
          <w:t>//www.ojp.gov/ncjrs/virtual-library/abstracts/unfair-</w:t>
        </w:r>
      </w:hyperlink>
      <w:r>
        <w:rPr>
          <w:sz w:val="18"/>
          <w:vertAlign w:val="baseline"/>
        </w:rPr>
        <w:t> </w:t>
      </w:r>
      <w:r>
        <w:rPr>
          <w:spacing w:val="-2"/>
          <w:sz w:val="18"/>
          <w:vertAlign w:val="baseline"/>
        </w:rPr>
        <w:t>criminalization-gay-and-transgender-youth-overview</w:t>
      </w:r>
    </w:p>
    <w:p>
      <w:pPr>
        <w:spacing w:line="219" w:lineRule="exact" w:before="0"/>
        <w:ind w:left="320" w:right="0" w:firstLine="0"/>
        <w:jc w:val="left"/>
        <w:rPr>
          <w:i/>
          <w:sz w:val="18"/>
        </w:rPr>
      </w:pPr>
      <w:r>
        <w:rPr>
          <w:sz w:val="18"/>
          <w:vertAlign w:val="superscript"/>
        </w:rPr>
        <w:t>63</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64</w:t>
      </w:r>
      <w:r>
        <w:rPr>
          <w:spacing w:val="-4"/>
          <w:sz w:val="18"/>
          <w:vertAlign w:val="baseline"/>
        </w:rPr>
        <w:t> </w:t>
      </w:r>
      <w:r>
        <w:rPr>
          <w:sz w:val="18"/>
          <w:vertAlign w:val="baseline"/>
        </w:rPr>
        <w:t>Baams,</w:t>
      </w:r>
      <w:r>
        <w:rPr>
          <w:spacing w:val="-3"/>
          <w:sz w:val="18"/>
          <w:vertAlign w:val="baseline"/>
        </w:rPr>
        <w:t> </w:t>
      </w:r>
      <w:r>
        <w:rPr>
          <w:sz w:val="18"/>
          <w:vertAlign w:val="baseline"/>
        </w:rPr>
        <w:t>Laura</w:t>
      </w:r>
      <w:r>
        <w:rPr>
          <w:spacing w:val="-3"/>
          <w:sz w:val="18"/>
          <w:vertAlign w:val="baseline"/>
        </w:rPr>
        <w:t> </w:t>
      </w:r>
      <w:r>
        <w:rPr>
          <w:sz w:val="18"/>
          <w:vertAlign w:val="baseline"/>
        </w:rPr>
        <w:t>Bianca</w:t>
      </w:r>
      <w:r>
        <w:rPr>
          <w:spacing w:val="-2"/>
          <w:sz w:val="18"/>
          <w:vertAlign w:val="baseline"/>
        </w:rPr>
        <w:t> </w:t>
      </w:r>
      <w:r>
        <w:rPr>
          <w:sz w:val="18"/>
          <w:vertAlign w:val="baseline"/>
        </w:rPr>
        <w:t>D.</w:t>
      </w:r>
      <w:r>
        <w:rPr>
          <w:spacing w:val="-2"/>
          <w:sz w:val="18"/>
          <w:vertAlign w:val="baseline"/>
        </w:rPr>
        <w:t> </w:t>
      </w:r>
      <w:r>
        <w:rPr>
          <w:sz w:val="18"/>
          <w:vertAlign w:val="baseline"/>
        </w:rPr>
        <w:t>Wilson,</w:t>
      </w:r>
      <w:r>
        <w:rPr>
          <w:spacing w:val="-2"/>
          <w:sz w:val="18"/>
          <w:vertAlign w:val="baseline"/>
        </w:rPr>
        <w:t> </w:t>
      </w:r>
      <w:r>
        <w:rPr>
          <w:sz w:val="18"/>
          <w:vertAlign w:val="baseline"/>
        </w:rPr>
        <w:t>and</w:t>
      </w:r>
      <w:r>
        <w:rPr>
          <w:spacing w:val="-1"/>
          <w:sz w:val="18"/>
          <w:vertAlign w:val="baseline"/>
        </w:rPr>
        <w:t> </w:t>
      </w:r>
      <w:r>
        <w:rPr>
          <w:sz w:val="18"/>
          <w:vertAlign w:val="baseline"/>
        </w:rPr>
        <w:t>Stephen</w:t>
      </w:r>
      <w:r>
        <w:rPr>
          <w:spacing w:val="-2"/>
          <w:sz w:val="18"/>
          <w:vertAlign w:val="baseline"/>
        </w:rPr>
        <w:t> </w:t>
      </w:r>
      <w:r>
        <w:rPr>
          <w:sz w:val="18"/>
          <w:vertAlign w:val="baseline"/>
        </w:rPr>
        <w:t>T</w:t>
      </w:r>
      <w:r>
        <w:rPr>
          <w:spacing w:val="-2"/>
          <w:sz w:val="18"/>
          <w:vertAlign w:val="baseline"/>
        </w:rPr>
        <w:t> </w:t>
      </w:r>
      <w:r>
        <w:rPr>
          <w:sz w:val="18"/>
          <w:vertAlign w:val="baseline"/>
        </w:rPr>
        <w:t>Russell,</w:t>
      </w:r>
      <w:r>
        <w:rPr>
          <w:spacing w:val="-3"/>
          <w:sz w:val="18"/>
          <w:vertAlign w:val="baseline"/>
        </w:rPr>
        <w:t> </w:t>
      </w:r>
      <w:r>
        <w:rPr>
          <w:sz w:val="18"/>
          <w:vertAlign w:val="baseline"/>
        </w:rPr>
        <w:t>2019.</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1"/>
          <w:sz w:val="18"/>
          <w:vertAlign w:val="baseline"/>
        </w:rPr>
        <w:t> </w:t>
      </w:r>
      <w:r>
        <w:rPr>
          <w:sz w:val="18"/>
          <w:vertAlign w:val="baseline"/>
        </w:rPr>
        <w:t>Unstable</w:t>
      </w:r>
      <w:r>
        <w:rPr>
          <w:spacing w:val="-2"/>
          <w:sz w:val="18"/>
          <w:vertAlign w:val="baseline"/>
        </w:rPr>
        <w:t> </w:t>
      </w:r>
      <w:r>
        <w:rPr>
          <w:sz w:val="18"/>
          <w:vertAlign w:val="baseline"/>
        </w:rPr>
        <w:t>housing</w:t>
      </w:r>
      <w:r>
        <w:rPr>
          <w:spacing w:val="-3"/>
          <w:sz w:val="18"/>
          <w:vertAlign w:val="baseline"/>
        </w:rPr>
        <w:t> </w:t>
      </w:r>
      <w:r>
        <w:rPr>
          <w:sz w:val="18"/>
          <w:vertAlign w:val="baseline"/>
        </w:rPr>
        <w:t>and</w:t>
      </w:r>
      <w:r>
        <w:rPr>
          <w:spacing w:val="-2"/>
          <w:sz w:val="18"/>
          <w:vertAlign w:val="baseline"/>
        </w:rPr>
        <w:t> </w:t>
      </w:r>
      <w:r>
        <w:rPr>
          <w:sz w:val="18"/>
          <w:vertAlign w:val="baseline"/>
        </w:rPr>
        <w:t>Foster</w:t>
      </w:r>
      <w:r>
        <w:rPr>
          <w:spacing w:val="-3"/>
          <w:sz w:val="18"/>
          <w:vertAlign w:val="baseline"/>
        </w:rPr>
        <w:t> </w:t>
      </w:r>
      <w:r>
        <w:rPr>
          <w:sz w:val="18"/>
          <w:vertAlign w:val="baseline"/>
        </w:rPr>
        <w:t>Care”,</w:t>
      </w:r>
      <w:r>
        <w:rPr>
          <w:spacing w:val="-4"/>
          <w:sz w:val="18"/>
          <w:vertAlign w:val="baseline"/>
        </w:rPr>
        <w:t> </w:t>
      </w:r>
      <w:r>
        <w:rPr>
          <w:i/>
          <w:spacing w:val="-2"/>
          <w:sz w:val="18"/>
          <w:vertAlign w:val="baseline"/>
        </w:rPr>
        <w:t>Pediatrics.</w:t>
      </w:r>
    </w:p>
    <w:p>
      <w:pPr>
        <w:spacing w:before="0"/>
        <w:ind w:left="320" w:right="0" w:firstLine="0"/>
        <w:jc w:val="left"/>
        <w:rPr>
          <w:sz w:val="18"/>
        </w:rPr>
      </w:pPr>
      <w:r>
        <w:rPr>
          <w:spacing w:val="-2"/>
          <w:sz w:val="18"/>
        </w:rPr>
        <w:t>https://pubmed.ncbi.nlm.nih.gov/30745432/</w:t>
      </w:r>
    </w:p>
    <w:p>
      <w:pPr>
        <w:spacing w:before="0"/>
        <w:ind w:left="320" w:right="0" w:firstLine="0"/>
        <w:jc w:val="left"/>
        <w:rPr>
          <w:sz w:val="18"/>
        </w:rPr>
      </w:pPr>
      <w:r>
        <w:rPr>
          <w:sz w:val="18"/>
          <w:vertAlign w:val="superscript"/>
        </w:rPr>
        <w:t>65</w:t>
      </w:r>
      <w:r>
        <w:rPr>
          <w:spacing w:val="-3"/>
          <w:sz w:val="18"/>
          <w:vertAlign w:val="baseline"/>
        </w:rPr>
        <w:t> </w:t>
      </w:r>
      <w:r>
        <w:rPr>
          <w:sz w:val="18"/>
          <w:vertAlign w:val="baseline"/>
        </w:rPr>
        <w:t>Gay</w:t>
      </w:r>
      <w:r>
        <w:rPr>
          <w:spacing w:val="-3"/>
          <w:sz w:val="18"/>
          <w:vertAlign w:val="baseline"/>
        </w:rPr>
        <w:t> </w:t>
      </w:r>
      <w:r>
        <w:rPr>
          <w:sz w:val="18"/>
          <w:vertAlign w:val="baseline"/>
        </w:rPr>
        <w:t>and</w:t>
      </w:r>
      <w:r>
        <w:rPr>
          <w:spacing w:val="-3"/>
          <w:sz w:val="18"/>
          <w:vertAlign w:val="baseline"/>
        </w:rPr>
        <w:t> </w:t>
      </w:r>
      <w:r>
        <w:rPr>
          <w:sz w:val="18"/>
          <w:vertAlign w:val="baseline"/>
        </w:rPr>
        <w:t>Lesbian</w:t>
      </w:r>
      <w:r>
        <w:rPr>
          <w:spacing w:val="-3"/>
          <w:sz w:val="18"/>
          <w:vertAlign w:val="baseline"/>
        </w:rPr>
        <w:t> </w:t>
      </w:r>
      <w:r>
        <w:rPr>
          <w:sz w:val="18"/>
          <w:vertAlign w:val="baseline"/>
        </w:rPr>
        <w:t>Independent</w:t>
      </w:r>
      <w:r>
        <w:rPr>
          <w:spacing w:val="-3"/>
          <w:sz w:val="18"/>
          <w:vertAlign w:val="baseline"/>
        </w:rPr>
        <w:t> </w:t>
      </w:r>
      <w:r>
        <w:rPr>
          <w:sz w:val="18"/>
          <w:vertAlign w:val="baseline"/>
        </w:rPr>
        <w:t>School</w:t>
      </w:r>
      <w:r>
        <w:rPr>
          <w:spacing w:val="-3"/>
          <w:sz w:val="18"/>
          <w:vertAlign w:val="baseline"/>
        </w:rPr>
        <w:t> </w:t>
      </w:r>
      <w:r>
        <w:rPr>
          <w:sz w:val="18"/>
          <w:vertAlign w:val="baseline"/>
        </w:rPr>
        <w:t>Teachers</w:t>
      </w:r>
      <w:r>
        <w:rPr>
          <w:spacing w:val="-3"/>
          <w:sz w:val="18"/>
          <w:vertAlign w:val="baseline"/>
        </w:rPr>
        <w:t> </w:t>
      </w:r>
      <w:r>
        <w:rPr>
          <w:sz w:val="18"/>
          <w:vertAlign w:val="baseline"/>
        </w:rPr>
        <w:t>Network.</w:t>
      </w:r>
      <w:r>
        <w:rPr>
          <w:spacing w:val="-3"/>
          <w:sz w:val="18"/>
          <w:vertAlign w:val="baseline"/>
        </w:rPr>
        <w:t> </w:t>
      </w:r>
      <w:r>
        <w:rPr>
          <w:sz w:val="18"/>
          <w:vertAlign w:val="baseline"/>
        </w:rPr>
        <w:t>2021.</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3"/>
          <w:sz w:val="18"/>
          <w:vertAlign w:val="baseline"/>
        </w:rPr>
        <w:t> </w:t>
      </w:r>
      <w:r>
        <w:rPr>
          <w:sz w:val="18"/>
          <w:vertAlign w:val="baseline"/>
        </w:rPr>
        <w:t>Students</w:t>
      </w:r>
      <w:r>
        <w:rPr>
          <w:spacing w:val="-3"/>
          <w:sz w:val="18"/>
          <w:vertAlign w:val="baseline"/>
        </w:rPr>
        <w:t> </w:t>
      </w:r>
      <w:r>
        <w:rPr>
          <w:sz w:val="18"/>
          <w:vertAlign w:val="baseline"/>
        </w:rPr>
        <w:t>in</w:t>
      </w:r>
      <w:r>
        <w:rPr>
          <w:spacing w:val="-3"/>
          <w:sz w:val="18"/>
          <w:vertAlign w:val="baseline"/>
        </w:rPr>
        <w:t> </w:t>
      </w:r>
      <w:r>
        <w:rPr>
          <w:sz w:val="18"/>
          <w:vertAlign w:val="baseline"/>
        </w:rPr>
        <w:t>Massachusetts”</w:t>
      </w:r>
      <w:r>
        <w:rPr>
          <w:spacing w:val="-3"/>
          <w:sz w:val="18"/>
          <w:vertAlign w:val="baseline"/>
        </w:rPr>
        <w:t> </w:t>
      </w:r>
      <w:r>
        <w:rPr>
          <w:sz w:val="18"/>
          <w:vertAlign w:val="baseline"/>
        </w:rPr>
        <w:t>(New York: GLSEN, 2021),</w:t>
      </w:r>
    </w:p>
    <w:p>
      <w:pPr>
        <w:spacing w:line="219" w:lineRule="exact" w:before="0"/>
        <w:ind w:left="320" w:right="0" w:firstLine="0"/>
        <w:jc w:val="left"/>
        <w:rPr>
          <w:sz w:val="18"/>
        </w:rPr>
      </w:pPr>
      <w:r>
        <w:rPr>
          <w:spacing w:val="-2"/>
          <w:sz w:val="18"/>
        </w:rPr>
        <w:t>https://maps.glsen.org/wp-content/uploads/2023/02/GLSEN_2021_NSCS_State_Snapshots_MA.pdf.</w:t>
      </w:r>
    </w:p>
    <w:p>
      <w:pPr>
        <w:spacing w:before="1"/>
        <w:ind w:left="320" w:right="0" w:firstLine="0"/>
        <w:jc w:val="left"/>
        <w:rPr>
          <w:i/>
          <w:sz w:val="18"/>
        </w:rPr>
      </w:pPr>
      <w:r>
        <w:rPr>
          <w:sz w:val="18"/>
          <w:vertAlign w:val="superscript"/>
        </w:rPr>
        <w:t>66</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67</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68</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69</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70</w:t>
      </w:r>
      <w:r>
        <w:rPr>
          <w:sz w:val="18"/>
          <w:vertAlign w:val="baseline"/>
        </w:rPr>
        <w:t> </w:t>
      </w:r>
      <w:r>
        <w:rPr>
          <w:i/>
          <w:spacing w:val="-5"/>
          <w:sz w:val="18"/>
          <w:vertAlign w:val="baseline"/>
        </w:rPr>
        <w:t>Id.</w:t>
      </w:r>
    </w:p>
    <w:p>
      <w:pPr>
        <w:spacing w:before="0"/>
        <w:ind w:left="320" w:right="271" w:firstLine="0"/>
        <w:jc w:val="left"/>
        <w:rPr>
          <w:sz w:val="18"/>
        </w:rPr>
      </w:pPr>
      <w:r>
        <w:rPr>
          <w:sz w:val="18"/>
          <w:vertAlign w:val="superscript"/>
        </w:rPr>
        <w:t>71</w:t>
      </w:r>
      <w:r>
        <w:rPr>
          <w:sz w:val="18"/>
          <w:vertAlign w:val="baseline"/>
        </w:rPr>
        <w:t> The Trevor Project. 2023. “2022 National Survey on LGBTQ Youth Mental Health by State.” </w:t>
      </w:r>
      <w:r>
        <w:rPr>
          <w:spacing w:val="-2"/>
          <w:sz w:val="18"/>
          <w:vertAlign w:val="baseline"/>
        </w:rPr>
        <w:t>https://</w:t>
      </w:r>
      <w:hyperlink r:id="rId504">
        <w:r>
          <w:rPr>
            <w:spacing w:val="-2"/>
            <w:sz w:val="18"/>
            <w:vertAlign w:val="baseline"/>
          </w:rPr>
          <w:t>www.thetrevorproject.org/wp-content/uploads/2022/12/The-Trevor-Project-2022-National-Survey-on-LGBTQ-Youth-</w:t>
        </w:r>
      </w:hyperlink>
      <w:r>
        <w:rPr>
          <w:sz w:val="18"/>
          <w:vertAlign w:val="baseline"/>
        </w:rPr>
        <w:t> </w:t>
      </w:r>
      <w:r>
        <w:rPr>
          <w:spacing w:val="-2"/>
          <w:sz w:val="18"/>
          <w:vertAlign w:val="baseline"/>
        </w:rPr>
        <w:t>Mental-Health-by-State.pdf</w:t>
      </w:r>
    </w:p>
    <w:p>
      <w:pPr>
        <w:spacing w:line="219" w:lineRule="exact" w:before="0"/>
        <w:ind w:left="320" w:right="0" w:firstLine="0"/>
        <w:jc w:val="left"/>
        <w:rPr>
          <w:i/>
          <w:sz w:val="18"/>
        </w:rPr>
      </w:pPr>
      <w:r>
        <w:rPr>
          <w:sz w:val="18"/>
          <w:vertAlign w:val="superscript"/>
        </w:rPr>
        <w:t>72</w:t>
      </w:r>
      <w:r>
        <w:rPr>
          <w:sz w:val="18"/>
          <w:vertAlign w:val="baseline"/>
        </w:rPr>
        <w:t> </w:t>
      </w:r>
      <w:r>
        <w:rPr>
          <w:i/>
          <w:spacing w:val="-5"/>
          <w:sz w:val="18"/>
          <w:vertAlign w:val="baseline"/>
        </w:rPr>
        <w:t>Id.</w:t>
      </w:r>
    </w:p>
    <w:p>
      <w:pPr>
        <w:spacing w:before="0"/>
        <w:ind w:left="320" w:right="0" w:firstLine="0"/>
        <w:jc w:val="left"/>
        <w:rPr>
          <w:sz w:val="18"/>
        </w:rPr>
      </w:pPr>
      <w:r>
        <w:rPr>
          <w:sz w:val="18"/>
          <w:vertAlign w:val="superscript"/>
        </w:rPr>
        <w:t>73</w:t>
      </w:r>
      <w:r>
        <w:rPr>
          <w:spacing w:val="-2"/>
          <w:sz w:val="18"/>
          <w:vertAlign w:val="baseline"/>
        </w:rPr>
        <w:t> </w:t>
      </w:r>
      <w:r>
        <w:rPr>
          <w:sz w:val="18"/>
          <w:vertAlign w:val="baseline"/>
        </w:rPr>
        <w:t>Gay</w:t>
      </w:r>
      <w:r>
        <w:rPr>
          <w:spacing w:val="-2"/>
          <w:sz w:val="18"/>
          <w:vertAlign w:val="baseline"/>
        </w:rPr>
        <w:t> </w:t>
      </w:r>
      <w:r>
        <w:rPr>
          <w:sz w:val="18"/>
          <w:vertAlign w:val="baseline"/>
        </w:rPr>
        <w:t>and</w:t>
      </w:r>
      <w:r>
        <w:rPr>
          <w:spacing w:val="-2"/>
          <w:sz w:val="18"/>
          <w:vertAlign w:val="baseline"/>
        </w:rPr>
        <w:t> </w:t>
      </w:r>
      <w:r>
        <w:rPr>
          <w:sz w:val="18"/>
          <w:vertAlign w:val="baseline"/>
        </w:rPr>
        <w:t>Lesbian</w:t>
      </w:r>
      <w:r>
        <w:rPr>
          <w:spacing w:val="-2"/>
          <w:sz w:val="18"/>
          <w:vertAlign w:val="baseline"/>
        </w:rPr>
        <w:t> </w:t>
      </w:r>
      <w:r>
        <w:rPr>
          <w:sz w:val="18"/>
          <w:vertAlign w:val="baseline"/>
        </w:rPr>
        <w:t>School</w:t>
      </w:r>
      <w:r>
        <w:rPr>
          <w:spacing w:val="-3"/>
          <w:sz w:val="18"/>
          <w:vertAlign w:val="baseline"/>
        </w:rPr>
        <w:t> </w:t>
      </w:r>
      <w:r>
        <w:rPr>
          <w:sz w:val="18"/>
          <w:vertAlign w:val="baseline"/>
        </w:rPr>
        <w:t>Educators</w:t>
      </w:r>
      <w:r>
        <w:rPr>
          <w:spacing w:val="-2"/>
          <w:sz w:val="18"/>
          <w:vertAlign w:val="baseline"/>
        </w:rPr>
        <w:t> </w:t>
      </w:r>
      <w:r>
        <w:rPr>
          <w:sz w:val="18"/>
          <w:vertAlign w:val="baseline"/>
        </w:rPr>
        <w:t>Network,</w:t>
      </w:r>
      <w:r>
        <w:rPr>
          <w:spacing w:val="-3"/>
          <w:sz w:val="18"/>
          <w:vertAlign w:val="baseline"/>
        </w:rPr>
        <w:t> </w:t>
      </w:r>
      <w:r>
        <w:rPr>
          <w:sz w:val="18"/>
          <w:vertAlign w:val="baseline"/>
        </w:rPr>
        <w:t>2023.</w:t>
      </w:r>
      <w:r>
        <w:rPr>
          <w:spacing w:val="-2"/>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Students</w:t>
      </w:r>
      <w:r>
        <w:rPr>
          <w:spacing w:val="-2"/>
          <w:sz w:val="18"/>
          <w:vertAlign w:val="baseline"/>
        </w:rPr>
        <w:t> </w:t>
      </w:r>
      <w:r>
        <w:rPr>
          <w:sz w:val="18"/>
          <w:vertAlign w:val="baseline"/>
        </w:rPr>
        <w:t>in</w:t>
      </w:r>
      <w:r>
        <w:rPr>
          <w:spacing w:val="-2"/>
          <w:sz w:val="18"/>
          <w:vertAlign w:val="baseline"/>
        </w:rPr>
        <w:t> </w:t>
      </w:r>
      <w:r>
        <w:rPr>
          <w:sz w:val="18"/>
          <w:vertAlign w:val="baseline"/>
        </w:rPr>
        <w:t>Massachusetts</w:t>
      </w:r>
      <w:r>
        <w:rPr>
          <w:spacing w:val="-3"/>
          <w:sz w:val="18"/>
          <w:vertAlign w:val="baseline"/>
        </w:rPr>
        <w:t> </w:t>
      </w:r>
      <w:r>
        <w:rPr>
          <w:sz w:val="18"/>
          <w:vertAlign w:val="baseline"/>
        </w:rPr>
        <w:t>(New</w:t>
      </w:r>
      <w:r>
        <w:rPr>
          <w:spacing w:val="-3"/>
          <w:sz w:val="18"/>
          <w:vertAlign w:val="baseline"/>
        </w:rPr>
        <w:t> </w:t>
      </w:r>
      <w:r>
        <w:rPr>
          <w:sz w:val="18"/>
          <w:vertAlign w:val="baseline"/>
        </w:rPr>
        <w:t>York:</w:t>
      </w:r>
      <w:r>
        <w:rPr>
          <w:spacing w:val="-2"/>
          <w:sz w:val="18"/>
          <w:vertAlign w:val="baseline"/>
        </w:rPr>
        <w:t> </w:t>
      </w:r>
      <w:r>
        <w:rPr>
          <w:sz w:val="18"/>
          <w:vertAlign w:val="baseline"/>
        </w:rPr>
        <w:t>GLSEN, </w:t>
      </w:r>
      <w:r>
        <w:rPr>
          <w:spacing w:val="-2"/>
          <w:sz w:val="18"/>
          <w:vertAlign w:val="baseline"/>
        </w:rPr>
        <w:t>2021),</w:t>
      </w:r>
    </w:p>
    <w:p>
      <w:pPr>
        <w:spacing w:before="0"/>
        <w:ind w:left="320" w:right="0" w:firstLine="0"/>
        <w:jc w:val="left"/>
        <w:rPr>
          <w:sz w:val="18"/>
        </w:rPr>
      </w:pPr>
      <w:r>
        <w:rPr>
          <w:spacing w:val="-2"/>
          <w:sz w:val="18"/>
        </w:rPr>
        <w:t>https://maps.glsen.org/wp-content/uploads/2023/02/GLSEN_2021_NSCS_State_Snapshots_MA.pdf.</w:t>
      </w:r>
    </w:p>
    <w:p>
      <w:pPr>
        <w:spacing w:before="0"/>
        <w:ind w:left="320" w:right="329" w:firstLine="0"/>
        <w:jc w:val="left"/>
        <w:rPr>
          <w:sz w:val="18"/>
        </w:rPr>
      </w:pPr>
      <w:r>
        <w:rPr>
          <w:sz w:val="18"/>
          <w:vertAlign w:val="superscript"/>
        </w:rPr>
        <w:t>74</w:t>
      </w:r>
      <w:r>
        <w:rPr>
          <w:sz w:val="18"/>
          <w:vertAlign w:val="baseline"/>
        </w:rPr>
        <w:t> Palmer, Neal A.</w:t>
      </w:r>
      <w:r>
        <w:rPr>
          <w:spacing w:val="40"/>
          <w:sz w:val="18"/>
          <w:vertAlign w:val="baseline"/>
        </w:rPr>
        <w:t> </w:t>
      </w:r>
      <w:r>
        <w:rPr>
          <w:sz w:val="18"/>
          <w:vertAlign w:val="baseline"/>
        </w:rPr>
        <w:t>and Emily A. Greytak. 2017. “LGBTQ Student Victimization and Its Relationship to School Discipline and Justice</w:t>
      </w:r>
      <w:r>
        <w:rPr>
          <w:spacing w:val="-5"/>
          <w:sz w:val="18"/>
          <w:vertAlign w:val="baseline"/>
        </w:rPr>
        <w:t> </w:t>
      </w:r>
      <w:r>
        <w:rPr>
          <w:sz w:val="18"/>
          <w:vertAlign w:val="baseline"/>
        </w:rPr>
        <w:t>System</w:t>
      </w:r>
      <w:r>
        <w:rPr>
          <w:spacing w:val="-6"/>
          <w:sz w:val="18"/>
          <w:vertAlign w:val="baseline"/>
        </w:rPr>
        <w:t> </w:t>
      </w:r>
      <w:r>
        <w:rPr>
          <w:sz w:val="18"/>
          <w:vertAlign w:val="baseline"/>
        </w:rPr>
        <w:t>Involvement”.</w:t>
      </w:r>
      <w:r>
        <w:rPr>
          <w:spacing w:val="-6"/>
          <w:sz w:val="18"/>
          <w:vertAlign w:val="baseline"/>
        </w:rPr>
        <w:t> </w:t>
      </w:r>
      <w:r>
        <w:rPr>
          <w:i/>
          <w:sz w:val="18"/>
          <w:vertAlign w:val="baseline"/>
        </w:rPr>
        <w:t>Criminal</w:t>
      </w:r>
      <w:r>
        <w:rPr>
          <w:i/>
          <w:spacing w:val="-6"/>
          <w:sz w:val="18"/>
          <w:vertAlign w:val="baseline"/>
        </w:rPr>
        <w:t> </w:t>
      </w:r>
      <w:r>
        <w:rPr>
          <w:i/>
          <w:sz w:val="18"/>
          <w:vertAlign w:val="baseline"/>
        </w:rPr>
        <w:t>Justice</w:t>
      </w:r>
      <w:r>
        <w:rPr>
          <w:i/>
          <w:spacing w:val="-5"/>
          <w:sz w:val="18"/>
          <w:vertAlign w:val="baseline"/>
        </w:rPr>
        <w:t> </w:t>
      </w:r>
      <w:r>
        <w:rPr>
          <w:i/>
          <w:sz w:val="18"/>
          <w:vertAlign w:val="baseline"/>
        </w:rPr>
        <w:t>Review</w:t>
      </w:r>
      <w:r>
        <w:rPr>
          <w:sz w:val="18"/>
          <w:vertAlign w:val="baseline"/>
        </w:rPr>
        <w:t>.</w:t>
      </w:r>
      <w:r>
        <w:rPr>
          <w:spacing w:val="-6"/>
          <w:sz w:val="18"/>
          <w:vertAlign w:val="baseline"/>
        </w:rPr>
        <w:t> </w:t>
      </w:r>
      <w:r>
        <w:rPr>
          <w:sz w:val="18"/>
          <w:vertAlign w:val="baseline"/>
        </w:rPr>
        <w:t>2017.</w:t>
      </w:r>
      <w:r>
        <w:rPr>
          <w:spacing w:val="-5"/>
          <w:sz w:val="18"/>
          <w:vertAlign w:val="baseline"/>
        </w:rPr>
        <w:t> </w:t>
      </w:r>
      <w:r>
        <w:rPr>
          <w:sz w:val="18"/>
          <w:vertAlign w:val="baseline"/>
        </w:rPr>
        <w:t>https://journals.sagepub.com/doi/10.1177/0734016817704698 </w:t>
      </w:r>
      <w:r>
        <w:rPr>
          <w:sz w:val="18"/>
          <w:vertAlign w:val="superscript"/>
        </w:rPr>
        <w:t>75</w:t>
      </w:r>
      <w:r>
        <w:rPr>
          <w:sz w:val="18"/>
          <w:vertAlign w:val="baseline"/>
        </w:rPr>
        <w:t> Herman, James, S.E., ,</w:t>
      </w:r>
      <w:r>
        <w:rPr>
          <w:spacing w:val="40"/>
          <w:sz w:val="18"/>
          <w:vertAlign w:val="baseline"/>
        </w:rPr>
        <w:t> </w:t>
      </w:r>
      <w:r>
        <w:rPr>
          <w:sz w:val="18"/>
          <w:vertAlign w:val="baseline"/>
        </w:rPr>
        <w:t>J.L., Durso, L.E., &amp; Heng-Lehtinen, R. 2024. “Early Insights: A Report of the 2022 U.S. Transgender Survey”. National Center for Transgender Equality, Washington, DC.</w:t>
      </w:r>
    </w:p>
    <w:p>
      <w:pPr>
        <w:spacing w:line="219" w:lineRule="exact" w:before="0"/>
        <w:ind w:left="320" w:right="0" w:firstLine="0"/>
        <w:jc w:val="left"/>
        <w:rPr>
          <w:i/>
          <w:sz w:val="18"/>
        </w:rPr>
      </w:pPr>
      <w:r>
        <w:rPr>
          <w:sz w:val="18"/>
          <w:vertAlign w:val="superscript"/>
        </w:rPr>
        <w:t>76</w:t>
      </w:r>
      <w:r>
        <w:rPr>
          <w:sz w:val="18"/>
          <w:vertAlign w:val="baseline"/>
        </w:rPr>
        <w:t> </w:t>
      </w:r>
      <w:r>
        <w:rPr>
          <w:i/>
          <w:spacing w:val="-5"/>
          <w:sz w:val="18"/>
          <w:vertAlign w:val="baseline"/>
        </w:rPr>
        <w:t>Id.</w:t>
      </w:r>
    </w:p>
    <w:p>
      <w:pPr>
        <w:spacing w:before="0"/>
        <w:ind w:left="320" w:right="405" w:hanging="1"/>
        <w:jc w:val="left"/>
        <w:rPr>
          <w:sz w:val="18"/>
        </w:rPr>
      </w:pPr>
      <w:r>
        <w:rPr>
          <w:sz w:val="18"/>
          <w:vertAlign w:val="superscript"/>
        </w:rPr>
        <w:t>77</w:t>
      </w:r>
      <w:r>
        <w:rPr>
          <w:spacing w:val="-3"/>
          <w:sz w:val="18"/>
          <w:vertAlign w:val="baseline"/>
        </w:rPr>
        <w:t> </w:t>
      </w:r>
      <w:r>
        <w:rPr>
          <w:sz w:val="18"/>
          <w:vertAlign w:val="baseline"/>
        </w:rPr>
        <w:t>Nance,</w:t>
      </w:r>
      <w:r>
        <w:rPr>
          <w:spacing w:val="-3"/>
          <w:sz w:val="18"/>
          <w:vertAlign w:val="baseline"/>
        </w:rPr>
        <w:t> </w:t>
      </w:r>
      <w:r>
        <w:rPr>
          <w:sz w:val="18"/>
          <w:vertAlign w:val="baseline"/>
        </w:rPr>
        <w:t>J.P.</w:t>
      </w:r>
      <w:r>
        <w:rPr>
          <w:spacing w:val="-3"/>
          <w:sz w:val="18"/>
          <w:vertAlign w:val="baseline"/>
        </w:rPr>
        <w:t> </w:t>
      </w:r>
      <w:r>
        <w:rPr>
          <w:sz w:val="18"/>
          <w:vertAlign w:val="baseline"/>
        </w:rPr>
        <w:t>2016.</w:t>
      </w:r>
      <w:r>
        <w:rPr>
          <w:spacing w:val="-3"/>
          <w:sz w:val="18"/>
          <w:vertAlign w:val="baseline"/>
        </w:rPr>
        <w:t> </w:t>
      </w:r>
      <w:r>
        <w:rPr>
          <w:sz w:val="18"/>
          <w:vertAlign w:val="baseline"/>
        </w:rPr>
        <w:t>“Students,</w:t>
      </w:r>
      <w:r>
        <w:rPr>
          <w:spacing w:val="-3"/>
          <w:sz w:val="18"/>
          <w:vertAlign w:val="baseline"/>
        </w:rPr>
        <w:t> </w:t>
      </w:r>
      <w:r>
        <w:rPr>
          <w:sz w:val="18"/>
          <w:vertAlign w:val="baseline"/>
        </w:rPr>
        <w:t>Police,</w:t>
      </w:r>
      <w:r>
        <w:rPr>
          <w:spacing w:val="-3"/>
          <w:sz w:val="18"/>
          <w:vertAlign w:val="baseline"/>
        </w:rPr>
        <w:t> </w:t>
      </w:r>
      <w:r>
        <w:rPr>
          <w:sz w:val="18"/>
          <w:vertAlign w:val="baseline"/>
        </w:rPr>
        <w:t>and</w:t>
      </w:r>
      <w:r>
        <w:rPr>
          <w:spacing w:val="-3"/>
          <w:sz w:val="18"/>
          <w:vertAlign w:val="baseline"/>
        </w:rPr>
        <w:t> </w:t>
      </w:r>
      <w:r>
        <w:rPr>
          <w:sz w:val="18"/>
          <w:vertAlign w:val="baseline"/>
        </w:rPr>
        <w:t>the</w:t>
      </w:r>
      <w:r>
        <w:rPr>
          <w:spacing w:val="-3"/>
          <w:sz w:val="18"/>
          <w:vertAlign w:val="baseline"/>
        </w:rPr>
        <w:t> </w:t>
      </w:r>
      <w:r>
        <w:rPr>
          <w:sz w:val="18"/>
          <w:vertAlign w:val="baseline"/>
        </w:rPr>
        <w:t>School-to-Prison</w:t>
      </w:r>
      <w:r>
        <w:rPr>
          <w:spacing w:val="-3"/>
          <w:sz w:val="18"/>
          <w:vertAlign w:val="baseline"/>
        </w:rPr>
        <w:t> </w:t>
      </w:r>
      <w:r>
        <w:rPr>
          <w:sz w:val="18"/>
          <w:vertAlign w:val="baseline"/>
        </w:rPr>
        <w:t>Pipeline”.</w:t>
      </w:r>
      <w:r>
        <w:rPr>
          <w:spacing w:val="-3"/>
          <w:sz w:val="18"/>
          <w:vertAlign w:val="baseline"/>
        </w:rPr>
        <w:t> </w:t>
      </w:r>
      <w:r>
        <w:rPr>
          <w:i/>
          <w:sz w:val="18"/>
          <w:vertAlign w:val="baseline"/>
        </w:rPr>
        <w:t>Washington</w:t>
      </w:r>
      <w:r>
        <w:rPr>
          <w:i/>
          <w:spacing w:val="-3"/>
          <w:sz w:val="18"/>
          <w:vertAlign w:val="baseline"/>
        </w:rPr>
        <w:t> </w:t>
      </w:r>
      <w:r>
        <w:rPr>
          <w:i/>
          <w:sz w:val="18"/>
          <w:vertAlign w:val="baseline"/>
        </w:rPr>
        <w:t>University</w:t>
      </w:r>
      <w:r>
        <w:rPr>
          <w:i/>
          <w:spacing w:val="-3"/>
          <w:sz w:val="18"/>
          <w:vertAlign w:val="baseline"/>
        </w:rPr>
        <w:t> </w:t>
      </w:r>
      <w:r>
        <w:rPr>
          <w:i/>
          <w:sz w:val="18"/>
          <w:vertAlign w:val="baseline"/>
        </w:rPr>
        <w:t>Law</w:t>
      </w:r>
      <w:r>
        <w:rPr>
          <w:i/>
          <w:spacing w:val="-3"/>
          <w:sz w:val="18"/>
          <w:vertAlign w:val="baseline"/>
        </w:rPr>
        <w:t> </w:t>
      </w:r>
      <w:r>
        <w:rPr>
          <w:i/>
          <w:sz w:val="18"/>
          <w:vertAlign w:val="baseline"/>
        </w:rPr>
        <w:t>Review</w:t>
      </w:r>
      <w:r>
        <w:rPr>
          <w:sz w:val="18"/>
          <w:vertAlign w:val="baseline"/>
        </w:rPr>
        <w:t>,</w:t>
      </w:r>
      <w:r>
        <w:rPr>
          <w:spacing w:val="-3"/>
          <w:sz w:val="18"/>
          <w:vertAlign w:val="baseline"/>
        </w:rPr>
        <w:t> </w:t>
      </w:r>
      <w:r>
        <w:rPr>
          <w:sz w:val="18"/>
          <w:vertAlign w:val="baseline"/>
        </w:rPr>
        <w:t>968,</w:t>
      </w:r>
      <w:r>
        <w:rPr>
          <w:spacing w:val="-3"/>
          <w:sz w:val="18"/>
          <w:vertAlign w:val="baseline"/>
        </w:rPr>
        <w:t> </w:t>
      </w:r>
      <w:r>
        <w:rPr>
          <w:sz w:val="18"/>
          <w:vertAlign w:val="baseline"/>
        </w:rPr>
        <w:t>available at</w:t>
      </w:r>
      <w:r>
        <w:rPr>
          <w:spacing w:val="-2"/>
          <w:sz w:val="18"/>
          <w:vertAlign w:val="baseline"/>
        </w:rPr>
        <w:t> </w:t>
      </w:r>
      <w:hyperlink r:id="rId505">
        <w:r>
          <w:rPr>
            <w:sz w:val="18"/>
            <w:u w:val="single"/>
            <w:vertAlign w:val="baseline"/>
          </w:rPr>
          <w:t>https://papers.ssrn.com/sol3/papers.cfm?abstract_id=2577333</w:t>
        </w:r>
        <w:r>
          <w:rPr>
            <w:sz w:val="18"/>
            <w:u w:val="none"/>
            <w:vertAlign w:val="baseline"/>
          </w:rPr>
          <w:t>.</w:t>
        </w:r>
      </w:hyperlink>
    </w:p>
    <w:p>
      <w:pPr>
        <w:spacing w:before="1"/>
        <w:ind w:left="320" w:right="570" w:firstLine="0"/>
        <w:jc w:val="left"/>
        <w:rPr>
          <w:sz w:val="18"/>
        </w:rPr>
      </w:pPr>
      <w:r>
        <w:rPr>
          <w:sz w:val="18"/>
          <w:vertAlign w:val="superscript"/>
        </w:rPr>
        <w:t>78</w:t>
      </w:r>
      <w:r>
        <w:rPr>
          <w:spacing w:val="-3"/>
          <w:sz w:val="18"/>
          <w:vertAlign w:val="baseline"/>
        </w:rPr>
        <w:t> </w:t>
      </w:r>
      <w:r>
        <w:rPr>
          <w:sz w:val="18"/>
          <w:vertAlign w:val="baseline"/>
        </w:rPr>
        <w:t>American</w:t>
      </w:r>
      <w:r>
        <w:rPr>
          <w:spacing w:val="-3"/>
          <w:sz w:val="18"/>
          <w:vertAlign w:val="baseline"/>
        </w:rPr>
        <w:t> </w:t>
      </w:r>
      <w:r>
        <w:rPr>
          <w:sz w:val="18"/>
          <w:vertAlign w:val="baseline"/>
        </w:rPr>
        <w:t>Civil</w:t>
      </w:r>
      <w:r>
        <w:rPr>
          <w:spacing w:val="-4"/>
          <w:sz w:val="18"/>
          <w:vertAlign w:val="baseline"/>
        </w:rPr>
        <w:t> </w:t>
      </w:r>
      <w:r>
        <w:rPr>
          <w:sz w:val="18"/>
          <w:vertAlign w:val="baseline"/>
        </w:rPr>
        <w:t>Liberties</w:t>
      </w:r>
      <w:r>
        <w:rPr>
          <w:spacing w:val="-3"/>
          <w:sz w:val="18"/>
          <w:vertAlign w:val="baseline"/>
        </w:rPr>
        <w:t> </w:t>
      </w:r>
      <w:r>
        <w:rPr>
          <w:sz w:val="18"/>
          <w:vertAlign w:val="baseline"/>
        </w:rPr>
        <w:t>Union,</w:t>
      </w:r>
      <w:r>
        <w:rPr>
          <w:spacing w:val="-4"/>
          <w:sz w:val="18"/>
          <w:vertAlign w:val="baseline"/>
        </w:rPr>
        <w:t> </w:t>
      </w:r>
      <w:r>
        <w:rPr>
          <w:sz w:val="18"/>
          <w:vertAlign w:val="baseline"/>
        </w:rPr>
        <w:t>2008.</w:t>
      </w:r>
      <w:r>
        <w:rPr>
          <w:spacing w:val="-3"/>
          <w:sz w:val="18"/>
          <w:vertAlign w:val="baseline"/>
        </w:rPr>
        <w:t> </w:t>
      </w:r>
      <w:r>
        <w:rPr>
          <w:sz w:val="18"/>
          <w:vertAlign w:val="baseline"/>
        </w:rPr>
        <w:t>“What</w:t>
      </w:r>
      <w:r>
        <w:rPr>
          <w:spacing w:val="-4"/>
          <w:sz w:val="18"/>
          <w:vertAlign w:val="baseline"/>
        </w:rPr>
        <w:t> </w:t>
      </w:r>
      <w:r>
        <w:rPr>
          <w:sz w:val="18"/>
          <w:vertAlign w:val="baseline"/>
        </w:rPr>
        <w:t>is</w:t>
      </w:r>
      <w:r>
        <w:rPr>
          <w:spacing w:val="-3"/>
          <w:sz w:val="18"/>
          <w:vertAlign w:val="baseline"/>
        </w:rPr>
        <w:t> </w:t>
      </w:r>
      <w:r>
        <w:rPr>
          <w:sz w:val="18"/>
          <w:vertAlign w:val="baseline"/>
        </w:rPr>
        <w:t>the</w:t>
      </w:r>
      <w:r>
        <w:rPr>
          <w:spacing w:val="-3"/>
          <w:sz w:val="18"/>
          <w:vertAlign w:val="baseline"/>
        </w:rPr>
        <w:t> </w:t>
      </w:r>
      <w:r>
        <w:rPr>
          <w:sz w:val="18"/>
          <w:vertAlign w:val="baseline"/>
        </w:rPr>
        <w:t>School-to-Prison</w:t>
      </w:r>
      <w:r>
        <w:rPr>
          <w:spacing w:val="-3"/>
          <w:sz w:val="18"/>
          <w:vertAlign w:val="baseline"/>
        </w:rPr>
        <w:t> </w:t>
      </w:r>
      <w:r>
        <w:rPr>
          <w:sz w:val="18"/>
          <w:vertAlign w:val="baseline"/>
        </w:rPr>
        <w:t>Pipeline?”,</w:t>
      </w:r>
      <w:r>
        <w:rPr>
          <w:spacing w:val="-4"/>
          <w:sz w:val="18"/>
          <w:vertAlign w:val="baseline"/>
        </w:rPr>
        <w:t> </w:t>
      </w:r>
      <w:hyperlink r:id="rId506">
        <w:r>
          <w:rPr>
            <w:sz w:val="18"/>
            <w:u w:val="single"/>
            <w:vertAlign w:val="baseline"/>
          </w:rPr>
          <w:t>https://www.aclu.org/documents/what-</w:t>
        </w:r>
      </w:hyperlink>
      <w:r>
        <w:rPr>
          <w:sz w:val="18"/>
          <w:u w:val="none"/>
          <w:vertAlign w:val="baseline"/>
        </w:rPr>
        <w:t> </w:t>
      </w:r>
      <w:hyperlink r:id="rId506">
        <w:r>
          <w:rPr>
            <w:spacing w:val="-2"/>
            <w:sz w:val="18"/>
            <w:u w:val="single"/>
            <w:vertAlign w:val="baseline"/>
          </w:rPr>
          <w:t>school-prison-pipeline</w:t>
        </w:r>
        <w:r>
          <w:rPr>
            <w:spacing w:val="-2"/>
            <w:sz w:val="18"/>
            <w:u w:val="none"/>
            <w:vertAlign w:val="baseline"/>
          </w:rPr>
          <w:t>.</w:t>
        </w:r>
      </w:hyperlink>
    </w:p>
    <w:p>
      <w:pPr>
        <w:spacing w:before="0"/>
        <w:ind w:left="320" w:right="392" w:firstLine="0"/>
        <w:jc w:val="left"/>
        <w:rPr>
          <w:sz w:val="18"/>
        </w:rPr>
      </w:pPr>
      <w:r>
        <w:rPr>
          <w:sz w:val="18"/>
          <w:vertAlign w:val="superscript"/>
        </w:rPr>
        <w:t>79</w:t>
      </w:r>
      <w:r>
        <w:rPr>
          <w:sz w:val="18"/>
          <w:vertAlign w:val="baseline"/>
        </w:rPr>
        <w:t> Snapp, Shannon D. , Jennifer M Hoenig and Stephen T. Russell. 2014. “Messy, Butch, and Queer: LGBTQ Youth and the School-to-Prison</w:t>
      </w:r>
      <w:r>
        <w:rPr>
          <w:spacing w:val="-4"/>
          <w:sz w:val="18"/>
          <w:vertAlign w:val="baseline"/>
        </w:rPr>
        <w:t> </w:t>
      </w:r>
      <w:r>
        <w:rPr>
          <w:sz w:val="18"/>
          <w:vertAlign w:val="baseline"/>
        </w:rPr>
        <w:t>Pipeline”,</w:t>
      </w:r>
      <w:r>
        <w:rPr>
          <w:spacing w:val="-6"/>
          <w:sz w:val="18"/>
          <w:vertAlign w:val="baseline"/>
        </w:rPr>
        <w:t> </w:t>
      </w:r>
      <w:r>
        <w:rPr>
          <w:i/>
          <w:sz w:val="18"/>
          <w:vertAlign w:val="baseline"/>
        </w:rPr>
        <w:t>Journal</w:t>
      </w:r>
      <w:r>
        <w:rPr>
          <w:i/>
          <w:spacing w:val="-6"/>
          <w:sz w:val="18"/>
          <w:vertAlign w:val="baseline"/>
        </w:rPr>
        <w:t> </w:t>
      </w:r>
      <w:r>
        <w:rPr>
          <w:i/>
          <w:sz w:val="18"/>
          <w:vertAlign w:val="baseline"/>
        </w:rPr>
        <w:t>of</w:t>
      </w:r>
      <w:r>
        <w:rPr>
          <w:i/>
          <w:spacing w:val="-5"/>
          <w:sz w:val="18"/>
          <w:vertAlign w:val="baseline"/>
        </w:rPr>
        <w:t> </w:t>
      </w:r>
      <w:r>
        <w:rPr>
          <w:i/>
          <w:sz w:val="18"/>
          <w:vertAlign w:val="baseline"/>
        </w:rPr>
        <w:t>Adolescent</w:t>
      </w:r>
      <w:r>
        <w:rPr>
          <w:i/>
          <w:spacing w:val="-4"/>
          <w:sz w:val="18"/>
          <w:vertAlign w:val="baseline"/>
        </w:rPr>
        <w:t> </w:t>
      </w:r>
      <w:r>
        <w:rPr>
          <w:i/>
          <w:sz w:val="18"/>
          <w:vertAlign w:val="baseline"/>
        </w:rPr>
        <w:t>Research</w:t>
      </w:r>
      <w:r>
        <w:rPr>
          <w:sz w:val="18"/>
          <w:vertAlign w:val="baseline"/>
        </w:rPr>
        <w:t>.</w:t>
      </w:r>
      <w:r>
        <w:rPr>
          <w:spacing w:val="-5"/>
          <w:sz w:val="18"/>
          <w:vertAlign w:val="baseline"/>
        </w:rPr>
        <w:t> </w:t>
      </w:r>
      <w:hyperlink r:id="rId507">
        <w:r>
          <w:rPr>
            <w:sz w:val="18"/>
            <w:u w:val="single"/>
            <w:vertAlign w:val="baseline"/>
          </w:rPr>
          <w:t>https://journals.sagepub.com/doi/10.1177/0743558414557625</w:t>
        </w:r>
        <w:r>
          <w:rPr>
            <w:sz w:val="18"/>
            <w:u w:val="none"/>
            <w:vertAlign w:val="baseline"/>
          </w:rPr>
          <w:t>.</w:t>
        </w:r>
      </w:hyperlink>
      <w:r>
        <w:rPr>
          <w:sz w:val="18"/>
          <w:u w:val="none"/>
          <w:vertAlign w:val="baseline"/>
        </w:rPr>
        <w:t> </w:t>
      </w:r>
      <w:r>
        <w:rPr>
          <w:sz w:val="18"/>
          <w:u w:val="none"/>
          <w:vertAlign w:val="superscript"/>
        </w:rPr>
        <w:t>80</w:t>
      </w:r>
      <w:r>
        <w:rPr>
          <w:sz w:val="18"/>
          <w:u w:val="none"/>
          <w:vertAlign w:val="baseline"/>
        </w:rPr>
        <w:t> Global Network of Sex Work Projects, 2021. “Conflation of Sex Work and Trafficking”. </w:t>
      </w:r>
      <w:r>
        <w:rPr>
          <w:spacing w:val="-2"/>
          <w:sz w:val="18"/>
          <w:u w:val="none"/>
          <w:vertAlign w:val="baseline"/>
        </w:rPr>
        <w:t>https:</w:t>
      </w:r>
      <w:hyperlink r:id="rId508">
        <w:r>
          <w:rPr>
            <w:spacing w:val="-2"/>
            <w:sz w:val="18"/>
            <w:u w:val="none"/>
            <w:vertAlign w:val="baseline"/>
          </w:rPr>
          <w:t>//www.nswp.org/sites/default/files/nswp_written_statement_-_hlm_on_trafficking_in_persons_november_2021.pdf</w:t>
        </w:r>
      </w:hyperlink>
      <w:r>
        <w:rPr>
          <w:spacing w:val="40"/>
          <w:sz w:val="18"/>
          <w:u w:val="none"/>
          <w:vertAlign w:val="baseline"/>
        </w:rPr>
        <w:t>  </w:t>
      </w:r>
      <w:r>
        <w:rPr>
          <w:sz w:val="18"/>
          <w:u w:val="none"/>
          <w:vertAlign w:val="superscript"/>
        </w:rPr>
        <w:t>81</w:t>
      </w:r>
      <w:r>
        <w:rPr>
          <w:sz w:val="18"/>
          <w:u w:val="none"/>
          <w:vertAlign w:val="baseline"/>
        </w:rPr>
        <w:t> Massachusetts Senate Bill 2551, “An Act Relative to Archaic Law”, </w:t>
      </w:r>
      <w:hyperlink r:id="rId509">
        <w:r>
          <w:rPr>
            <w:sz w:val="18"/>
            <w:u w:val="single"/>
            <w:vertAlign w:val="baseline"/>
          </w:rPr>
          <w:t>https://malegislature.gov/Bills/193/S2551</w:t>
        </w:r>
      </w:hyperlink>
      <w:r>
        <w:rPr>
          <w:sz w:val="18"/>
          <w:u w:val="none"/>
          <w:vertAlign w:val="baseline"/>
        </w:rPr>
        <w:t> ; George</w:t>
      </w:r>
    </w:p>
    <w:p>
      <w:pPr>
        <w:spacing w:before="0"/>
        <w:ind w:left="320" w:right="120" w:firstLine="0"/>
        <w:jc w:val="left"/>
        <w:rPr>
          <w:sz w:val="18"/>
        </w:rPr>
      </w:pPr>
      <w:r>
        <w:rPr>
          <w:sz w:val="18"/>
        </w:rPr>
        <w:t>Painter,</w:t>
      </w:r>
      <w:r>
        <w:rPr>
          <w:spacing w:val="-3"/>
          <w:sz w:val="18"/>
        </w:rPr>
        <w:t> </w:t>
      </w:r>
      <w:r>
        <w:rPr>
          <w:sz w:val="18"/>
        </w:rPr>
        <w:t>“The</w:t>
      </w:r>
      <w:r>
        <w:rPr>
          <w:spacing w:val="-2"/>
          <w:sz w:val="18"/>
        </w:rPr>
        <w:t> </w:t>
      </w:r>
      <w:r>
        <w:rPr>
          <w:sz w:val="18"/>
        </w:rPr>
        <w:t>Sensibilities</w:t>
      </w:r>
      <w:r>
        <w:rPr>
          <w:spacing w:val="-2"/>
          <w:sz w:val="18"/>
        </w:rPr>
        <w:t> </w:t>
      </w:r>
      <w:r>
        <w:rPr>
          <w:sz w:val="18"/>
        </w:rPr>
        <w:t>of</w:t>
      </w:r>
      <w:r>
        <w:rPr>
          <w:spacing w:val="-2"/>
          <w:sz w:val="18"/>
        </w:rPr>
        <w:t> </w:t>
      </w:r>
      <w:r>
        <w:rPr>
          <w:sz w:val="18"/>
        </w:rPr>
        <w:t>Our</w:t>
      </w:r>
      <w:r>
        <w:rPr>
          <w:spacing w:val="-3"/>
          <w:sz w:val="18"/>
        </w:rPr>
        <w:t> </w:t>
      </w:r>
      <w:r>
        <w:rPr>
          <w:sz w:val="18"/>
        </w:rPr>
        <w:t>Forefathers:</w:t>
      </w:r>
      <w:r>
        <w:rPr>
          <w:spacing w:val="-2"/>
          <w:sz w:val="18"/>
        </w:rPr>
        <w:t> </w:t>
      </w:r>
      <w:r>
        <w:rPr>
          <w:sz w:val="18"/>
        </w:rPr>
        <w:t>The</w:t>
      </w:r>
      <w:r>
        <w:rPr>
          <w:spacing w:val="-2"/>
          <w:sz w:val="18"/>
        </w:rPr>
        <w:t> </w:t>
      </w:r>
      <w:r>
        <w:rPr>
          <w:sz w:val="18"/>
        </w:rPr>
        <w:t>History</w:t>
      </w:r>
      <w:r>
        <w:rPr>
          <w:spacing w:val="-2"/>
          <w:sz w:val="18"/>
        </w:rPr>
        <w:t> </w:t>
      </w:r>
      <w:r>
        <w:rPr>
          <w:sz w:val="18"/>
        </w:rPr>
        <w:t>of</w:t>
      </w:r>
      <w:r>
        <w:rPr>
          <w:spacing w:val="-2"/>
          <w:sz w:val="18"/>
        </w:rPr>
        <w:t> </w:t>
      </w:r>
      <w:r>
        <w:rPr>
          <w:sz w:val="18"/>
        </w:rPr>
        <w:t>Sodomy</w:t>
      </w:r>
      <w:r>
        <w:rPr>
          <w:spacing w:val="-2"/>
          <w:sz w:val="18"/>
        </w:rPr>
        <w:t> </w:t>
      </w:r>
      <w:r>
        <w:rPr>
          <w:sz w:val="18"/>
        </w:rPr>
        <w:t>Laws</w:t>
      </w:r>
      <w:r>
        <w:rPr>
          <w:spacing w:val="-2"/>
          <w:sz w:val="18"/>
        </w:rPr>
        <w:t> </w:t>
      </w:r>
      <w:r>
        <w:rPr>
          <w:sz w:val="18"/>
        </w:rPr>
        <w:t>in</w:t>
      </w:r>
      <w:r>
        <w:rPr>
          <w:spacing w:val="-2"/>
          <w:sz w:val="18"/>
        </w:rPr>
        <w:t> </w:t>
      </w:r>
      <w:r>
        <w:rPr>
          <w:sz w:val="18"/>
        </w:rPr>
        <w:t>the</w:t>
      </w:r>
      <w:r>
        <w:rPr>
          <w:spacing w:val="-3"/>
          <w:sz w:val="18"/>
        </w:rPr>
        <w:t> </w:t>
      </w:r>
      <w:r>
        <w:rPr>
          <w:sz w:val="18"/>
        </w:rPr>
        <w:t>United</w:t>
      </w:r>
      <w:r>
        <w:rPr>
          <w:spacing w:val="-2"/>
          <w:sz w:val="18"/>
        </w:rPr>
        <w:t> </w:t>
      </w:r>
      <w:r>
        <w:rPr>
          <w:sz w:val="18"/>
        </w:rPr>
        <w:t>States</w:t>
      </w:r>
      <w:r>
        <w:rPr>
          <w:spacing w:val="-2"/>
          <w:sz w:val="18"/>
        </w:rPr>
        <w:t> </w:t>
      </w:r>
      <w:r>
        <w:rPr>
          <w:sz w:val="18"/>
        </w:rPr>
        <w:t>–</w:t>
      </w:r>
      <w:r>
        <w:rPr>
          <w:spacing w:val="-4"/>
          <w:sz w:val="18"/>
        </w:rPr>
        <w:t> </w:t>
      </w:r>
      <w:r>
        <w:rPr>
          <w:sz w:val="18"/>
        </w:rPr>
        <w:t>Massachusetts,”</w:t>
      </w:r>
      <w:r>
        <w:rPr>
          <w:spacing w:val="-3"/>
          <w:sz w:val="18"/>
        </w:rPr>
        <w:t> </w:t>
      </w:r>
      <w:r>
        <w:rPr>
          <w:sz w:val="18"/>
        </w:rPr>
        <w:t>accessed</w:t>
      </w:r>
      <w:r>
        <w:rPr>
          <w:spacing w:val="-2"/>
          <w:sz w:val="18"/>
        </w:rPr>
        <w:t> </w:t>
      </w:r>
      <w:r>
        <w:rPr>
          <w:sz w:val="18"/>
        </w:rPr>
        <w:t>June 6, 2021, </w:t>
      </w:r>
      <w:hyperlink r:id="rId510">
        <w:r>
          <w:rPr>
            <w:sz w:val="18"/>
          </w:rPr>
          <w:t>http://www.glapn.org/sodomylaws/sensibilities/massachusetts.htm.</w:t>
        </w:r>
      </w:hyperlink>
    </w:p>
    <w:p>
      <w:pPr>
        <w:spacing w:line="219" w:lineRule="exact" w:before="0"/>
        <w:ind w:left="320" w:right="0" w:firstLine="0"/>
        <w:jc w:val="left"/>
        <w:rPr>
          <w:i/>
          <w:sz w:val="18"/>
        </w:rPr>
      </w:pPr>
      <w:r>
        <w:rPr>
          <w:sz w:val="18"/>
          <w:vertAlign w:val="superscript"/>
        </w:rPr>
        <w:t>82</w:t>
      </w:r>
      <w:r>
        <w:rPr>
          <w:sz w:val="18"/>
          <w:vertAlign w:val="baseline"/>
        </w:rPr>
        <w:t> </w:t>
      </w:r>
      <w:r>
        <w:rPr>
          <w:i/>
          <w:spacing w:val="-5"/>
          <w:sz w:val="18"/>
          <w:vertAlign w:val="baseline"/>
        </w:rPr>
        <w:t>Id.</w:t>
      </w:r>
    </w:p>
    <w:p>
      <w:pPr>
        <w:spacing w:before="0"/>
        <w:ind w:left="320" w:right="0" w:firstLine="0"/>
        <w:jc w:val="left"/>
        <w:rPr>
          <w:i/>
          <w:sz w:val="18"/>
        </w:rPr>
      </w:pPr>
      <w:r>
        <w:rPr>
          <w:sz w:val="18"/>
          <w:vertAlign w:val="superscript"/>
        </w:rPr>
        <w:t>83</w:t>
      </w:r>
      <w:r>
        <w:rPr>
          <w:sz w:val="18"/>
          <w:vertAlign w:val="baseline"/>
        </w:rPr>
        <w:t> </w:t>
      </w:r>
      <w:r>
        <w:rPr>
          <w:i/>
          <w:spacing w:val="-5"/>
          <w:sz w:val="18"/>
          <w:vertAlign w:val="baseline"/>
        </w:rPr>
        <w:t>Id.</w:t>
      </w:r>
    </w:p>
    <w:p>
      <w:pPr>
        <w:spacing w:before="0"/>
        <w:ind w:left="320" w:right="0" w:firstLine="0"/>
        <w:jc w:val="left"/>
        <w:rPr>
          <w:sz w:val="18"/>
        </w:rPr>
      </w:pPr>
      <w:r>
        <w:rPr>
          <w:sz w:val="18"/>
          <w:vertAlign w:val="superscript"/>
        </w:rPr>
        <w:t>84</w:t>
      </w:r>
      <w:r>
        <w:rPr>
          <w:spacing w:val="-2"/>
          <w:sz w:val="18"/>
          <w:vertAlign w:val="baseline"/>
        </w:rPr>
        <w:t> </w:t>
      </w:r>
      <w:r>
        <w:rPr>
          <w:sz w:val="18"/>
          <w:vertAlign w:val="baseline"/>
        </w:rPr>
        <w:t>Lampe,</w:t>
      </w:r>
      <w:r>
        <w:rPr>
          <w:spacing w:val="-3"/>
          <w:sz w:val="18"/>
          <w:vertAlign w:val="baseline"/>
        </w:rPr>
        <w:t> </w:t>
      </w:r>
      <w:r>
        <w:rPr>
          <w:sz w:val="18"/>
          <w:vertAlign w:val="baseline"/>
        </w:rPr>
        <w:t>Joanna.</w:t>
      </w:r>
      <w:r>
        <w:rPr>
          <w:spacing w:val="-5"/>
          <w:sz w:val="18"/>
          <w:vertAlign w:val="baseline"/>
        </w:rPr>
        <w:t> </w:t>
      </w:r>
      <w:r>
        <w:rPr>
          <w:sz w:val="18"/>
          <w:vertAlign w:val="baseline"/>
        </w:rPr>
        <w:t>2013.</w:t>
      </w:r>
      <w:r>
        <w:rPr>
          <w:spacing w:val="-2"/>
          <w:sz w:val="18"/>
          <w:vertAlign w:val="baseline"/>
        </w:rPr>
        <w:t> </w:t>
      </w:r>
      <w:r>
        <w:rPr>
          <w:sz w:val="18"/>
          <w:vertAlign w:val="baseline"/>
        </w:rPr>
        <w:t>“A</w:t>
      </w:r>
      <w:r>
        <w:rPr>
          <w:spacing w:val="-2"/>
          <w:sz w:val="18"/>
          <w:vertAlign w:val="baseline"/>
        </w:rPr>
        <w:t> </w:t>
      </w:r>
      <w:r>
        <w:rPr>
          <w:sz w:val="18"/>
          <w:vertAlign w:val="baseline"/>
        </w:rPr>
        <w:t>Victimless</w:t>
      </w:r>
      <w:r>
        <w:rPr>
          <w:spacing w:val="-2"/>
          <w:sz w:val="18"/>
          <w:vertAlign w:val="baseline"/>
        </w:rPr>
        <w:t> </w:t>
      </w:r>
      <w:r>
        <w:rPr>
          <w:sz w:val="18"/>
          <w:vertAlign w:val="baseline"/>
        </w:rPr>
        <w:t>Sex</w:t>
      </w:r>
      <w:r>
        <w:rPr>
          <w:spacing w:val="-2"/>
          <w:sz w:val="18"/>
          <w:vertAlign w:val="baseline"/>
        </w:rPr>
        <w:t> </w:t>
      </w:r>
      <w:r>
        <w:rPr>
          <w:sz w:val="18"/>
          <w:vertAlign w:val="baseline"/>
        </w:rPr>
        <w:t>Crime:</w:t>
      </w:r>
      <w:r>
        <w:rPr>
          <w:spacing w:val="-2"/>
          <w:sz w:val="18"/>
          <w:vertAlign w:val="baseline"/>
        </w:rPr>
        <w:t> </w:t>
      </w:r>
      <w:r>
        <w:rPr>
          <w:sz w:val="18"/>
          <w:vertAlign w:val="baseline"/>
        </w:rPr>
        <w:t>The</w:t>
      </w:r>
      <w:r>
        <w:rPr>
          <w:spacing w:val="-2"/>
          <w:sz w:val="18"/>
          <w:vertAlign w:val="baseline"/>
        </w:rPr>
        <w:t> </w:t>
      </w:r>
      <w:r>
        <w:rPr>
          <w:sz w:val="18"/>
          <w:vertAlign w:val="baseline"/>
        </w:rPr>
        <w:t>Case</w:t>
      </w:r>
      <w:r>
        <w:rPr>
          <w:spacing w:val="-2"/>
          <w:sz w:val="18"/>
          <w:vertAlign w:val="baseline"/>
        </w:rPr>
        <w:t> </w:t>
      </w:r>
      <w:r>
        <w:rPr>
          <w:sz w:val="18"/>
          <w:vertAlign w:val="baseline"/>
        </w:rPr>
        <w:t>for</w:t>
      </w:r>
      <w:r>
        <w:rPr>
          <w:spacing w:val="-3"/>
          <w:sz w:val="18"/>
          <w:vertAlign w:val="baseline"/>
        </w:rPr>
        <w:t> </w:t>
      </w:r>
      <w:r>
        <w:rPr>
          <w:sz w:val="18"/>
          <w:vertAlign w:val="baseline"/>
        </w:rPr>
        <w:t>Decriminalizing</w:t>
      </w:r>
      <w:r>
        <w:rPr>
          <w:spacing w:val="-2"/>
          <w:sz w:val="18"/>
          <w:vertAlign w:val="baseline"/>
        </w:rPr>
        <w:t> </w:t>
      </w:r>
      <w:r>
        <w:rPr>
          <w:sz w:val="18"/>
          <w:vertAlign w:val="baseline"/>
        </w:rPr>
        <w:t>Consensual</w:t>
      </w:r>
      <w:r>
        <w:rPr>
          <w:spacing w:val="-3"/>
          <w:sz w:val="18"/>
          <w:vertAlign w:val="baseline"/>
        </w:rPr>
        <w:t> </w:t>
      </w:r>
      <w:r>
        <w:rPr>
          <w:sz w:val="18"/>
          <w:vertAlign w:val="baseline"/>
        </w:rPr>
        <w:t>Teen</w:t>
      </w:r>
      <w:r>
        <w:rPr>
          <w:spacing w:val="-2"/>
          <w:sz w:val="18"/>
          <w:vertAlign w:val="baseline"/>
        </w:rPr>
        <w:t> </w:t>
      </w:r>
      <w:r>
        <w:rPr>
          <w:sz w:val="18"/>
          <w:vertAlign w:val="baseline"/>
        </w:rPr>
        <w:t>Sexting,”</w:t>
      </w:r>
      <w:r>
        <w:rPr>
          <w:spacing w:val="-2"/>
          <w:sz w:val="18"/>
          <w:vertAlign w:val="baseline"/>
        </w:rPr>
        <w:t> </w:t>
      </w:r>
      <w:r>
        <w:rPr>
          <w:sz w:val="18"/>
          <w:vertAlign w:val="baseline"/>
        </w:rPr>
        <w:t>University</w:t>
      </w:r>
      <w:r>
        <w:rPr>
          <w:spacing w:val="-2"/>
          <w:sz w:val="18"/>
          <w:vertAlign w:val="baseline"/>
        </w:rPr>
        <w:t> </w:t>
      </w:r>
      <w:r>
        <w:rPr>
          <w:sz w:val="18"/>
          <w:vertAlign w:val="baseline"/>
        </w:rPr>
        <w:t>of</w:t>
      </w:r>
      <w:r>
        <w:rPr>
          <w:spacing w:val="-2"/>
          <w:sz w:val="18"/>
          <w:vertAlign w:val="baseline"/>
        </w:rPr>
        <w:t> </w:t>
      </w:r>
      <w:r>
        <w:rPr>
          <w:sz w:val="18"/>
          <w:vertAlign w:val="baseline"/>
        </w:rPr>
        <w:t>Michigan Journal of Law Reform, no. 46.2 (2013): 703, https://doi.org/10.36646/mjlr.46.2.victimless.</w:t>
      </w:r>
    </w:p>
    <w:p>
      <w:pPr>
        <w:spacing w:before="0"/>
        <w:ind w:left="320" w:right="120" w:hanging="1"/>
        <w:jc w:val="left"/>
        <w:rPr>
          <w:sz w:val="18"/>
        </w:rPr>
      </w:pPr>
      <w:r>
        <w:rPr>
          <w:sz w:val="18"/>
          <w:vertAlign w:val="superscript"/>
        </w:rPr>
        <w:t>85</w:t>
      </w:r>
      <w:r>
        <w:rPr>
          <w:spacing w:val="-2"/>
          <w:sz w:val="18"/>
          <w:vertAlign w:val="baseline"/>
        </w:rPr>
        <w:t> </w:t>
      </w:r>
      <w:r>
        <w:rPr>
          <w:sz w:val="18"/>
          <w:vertAlign w:val="baseline"/>
        </w:rPr>
        <w:t>Salerno,</w:t>
      </w:r>
      <w:r>
        <w:rPr>
          <w:spacing w:val="-3"/>
          <w:sz w:val="18"/>
          <w:vertAlign w:val="baseline"/>
        </w:rPr>
        <w:t> </w:t>
      </w:r>
      <w:r>
        <w:rPr>
          <w:sz w:val="18"/>
          <w:vertAlign w:val="baseline"/>
        </w:rPr>
        <w:t>Jessica</w:t>
      </w:r>
      <w:r>
        <w:rPr>
          <w:spacing w:val="-2"/>
          <w:sz w:val="18"/>
          <w:vertAlign w:val="baseline"/>
        </w:rPr>
        <w:t> </w:t>
      </w:r>
      <w:r>
        <w:rPr>
          <w:sz w:val="18"/>
          <w:vertAlign w:val="baseline"/>
        </w:rPr>
        <w:t>M.</w:t>
      </w:r>
      <w:r>
        <w:rPr>
          <w:spacing w:val="-2"/>
          <w:sz w:val="18"/>
          <w:vertAlign w:val="baseline"/>
        </w:rPr>
        <w:t> </w:t>
      </w:r>
      <w:r>
        <w:rPr>
          <w:sz w:val="18"/>
          <w:vertAlign w:val="baseline"/>
        </w:rPr>
        <w:t>,</w:t>
      </w:r>
      <w:r>
        <w:rPr>
          <w:spacing w:val="-3"/>
          <w:sz w:val="18"/>
          <w:vertAlign w:val="baseline"/>
        </w:rPr>
        <w:t> </w:t>
      </w:r>
      <w:r>
        <w:rPr>
          <w:sz w:val="18"/>
          <w:vertAlign w:val="baseline"/>
        </w:rPr>
        <w:t>Mary</w:t>
      </w:r>
      <w:r>
        <w:rPr>
          <w:spacing w:val="-2"/>
          <w:sz w:val="18"/>
          <w:vertAlign w:val="baseline"/>
        </w:rPr>
        <w:t> </w:t>
      </w:r>
      <w:r>
        <w:rPr>
          <w:sz w:val="18"/>
          <w:vertAlign w:val="baseline"/>
        </w:rPr>
        <w:t>C.</w:t>
      </w:r>
      <w:r>
        <w:rPr>
          <w:spacing w:val="-2"/>
          <w:sz w:val="18"/>
          <w:vertAlign w:val="baseline"/>
        </w:rPr>
        <w:t> </w:t>
      </w:r>
      <w:r>
        <w:rPr>
          <w:sz w:val="18"/>
          <w:vertAlign w:val="baseline"/>
        </w:rPr>
        <w:t>Murphy,</w:t>
      </w:r>
      <w:r>
        <w:rPr>
          <w:spacing w:val="-3"/>
          <w:sz w:val="18"/>
          <w:vertAlign w:val="baseline"/>
        </w:rPr>
        <w:t> </w:t>
      </w:r>
      <w:r>
        <w:rPr>
          <w:sz w:val="18"/>
          <w:vertAlign w:val="baseline"/>
        </w:rPr>
        <w:t>and</w:t>
      </w:r>
      <w:r>
        <w:rPr>
          <w:spacing w:val="-2"/>
          <w:sz w:val="18"/>
          <w:vertAlign w:val="baseline"/>
        </w:rPr>
        <w:t> </w:t>
      </w:r>
      <w:r>
        <w:rPr>
          <w:sz w:val="18"/>
          <w:vertAlign w:val="baseline"/>
        </w:rPr>
        <w:t>Bette</w:t>
      </w:r>
      <w:r>
        <w:rPr>
          <w:spacing w:val="-3"/>
          <w:sz w:val="18"/>
          <w:vertAlign w:val="baseline"/>
        </w:rPr>
        <w:t> </w:t>
      </w:r>
      <w:r>
        <w:rPr>
          <w:sz w:val="18"/>
          <w:vertAlign w:val="baseline"/>
        </w:rPr>
        <w:t>L</w:t>
      </w:r>
      <w:r>
        <w:rPr>
          <w:spacing w:val="-2"/>
          <w:sz w:val="18"/>
          <w:vertAlign w:val="baseline"/>
        </w:rPr>
        <w:t> </w:t>
      </w:r>
      <w:r>
        <w:rPr>
          <w:sz w:val="18"/>
          <w:vertAlign w:val="baseline"/>
        </w:rPr>
        <w:t>Bottoms.</w:t>
      </w:r>
      <w:r>
        <w:rPr>
          <w:spacing w:val="-2"/>
          <w:sz w:val="18"/>
          <w:vertAlign w:val="baseline"/>
        </w:rPr>
        <w:t> </w:t>
      </w:r>
      <w:r>
        <w:rPr>
          <w:sz w:val="18"/>
          <w:vertAlign w:val="baseline"/>
        </w:rPr>
        <w:t>2014.</w:t>
      </w:r>
      <w:r>
        <w:rPr>
          <w:spacing w:val="-2"/>
          <w:sz w:val="18"/>
          <w:vertAlign w:val="baseline"/>
        </w:rPr>
        <w:t> </w:t>
      </w:r>
      <w:r>
        <w:rPr>
          <w:sz w:val="18"/>
          <w:vertAlign w:val="baseline"/>
        </w:rPr>
        <w:t>“Give</w:t>
      </w:r>
      <w:r>
        <w:rPr>
          <w:spacing w:val="-2"/>
          <w:sz w:val="18"/>
          <w:vertAlign w:val="baseline"/>
        </w:rPr>
        <w:t> </w:t>
      </w:r>
      <w:r>
        <w:rPr>
          <w:sz w:val="18"/>
          <w:vertAlign w:val="baseline"/>
        </w:rPr>
        <w:t>the</w:t>
      </w:r>
      <w:r>
        <w:rPr>
          <w:spacing w:val="-3"/>
          <w:sz w:val="18"/>
          <w:vertAlign w:val="baseline"/>
        </w:rPr>
        <w:t> </w:t>
      </w:r>
      <w:r>
        <w:rPr>
          <w:sz w:val="18"/>
          <w:vertAlign w:val="baseline"/>
        </w:rPr>
        <w:t>Kid</w:t>
      </w:r>
      <w:r>
        <w:rPr>
          <w:spacing w:val="-2"/>
          <w:sz w:val="18"/>
          <w:vertAlign w:val="baseline"/>
        </w:rPr>
        <w:t> </w:t>
      </w:r>
      <w:r>
        <w:rPr>
          <w:sz w:val="18"/>
          <w:vertAlign w:val="baseline"/>
        </w:rPr>
        <w:t>a</w:t>
      </w:r>
      <w:r>
        <w:rPr>
          <w:spacing w:val="-3"/>
          <w:sz w:val="18"/>
          <w:vertAlign w:val="baseline"/>
        </w:rPr>
        <w:t> </w:t>
      </w:r>
      <w:r>
        <w:rPr>
          <w:sz w:val="18"/>
          <w:vertAlign w:val="baseline"/>
        </w:rPr>
        <w:t>Break—but</w:t>
      </w:r>
      <w:r>
        <w:rPr>
          <w:spacing w:val="-3"/>
          <w:sz w:val="18"/>
          <w:vertAlign w:val="baseline"/>
        </w:rPr>
        <w:t> </w:t>
      </w:r>
      <w:r>
        <w:rPr>
          <w:sz w:val="18"/>
          <w:vertAlign w:val="baseline"/>
        </w:rPr>
        <w:t>Only</w:t>
      </w:r>
      <w:r>
        <w:rPr>
          <w:spacing w:val="-2"/>
          <w:sz w:val="18"/>
          <w:vertAlign w:val="baseline"/>
        </w:rPr>
        <w:t> </w:t>
      </w:r>
      <w:r>
        <w:rPr>
          <w:sz w:val="18"/>
          <w:vertAlign w:val="baseline"/>
        </w:rPr>
        <w:t>If</w:t>
      </w:r>
      <w:r>
        <w:rPr>
          <w:spacing w:val="-2"/>
          <w:sz w:val="18"/>
          <w:vertAlign w:val="baseline"/>
        </w:rPr>
        <w:t> </w:t>
      </w:r>
      <w:r>
        <w:rPr>
          <w:sz w:val="18"/>
          <w:vertAlign w:val="baseline"/>
        </w:rPr>
        <w:t>He’s</w:t>
      </w:r>
      <w:r>
        <w:rPr>
          <w:spacing w:val="-2"/>
          <w:sz w:val="18"/>
          <w:vertAlign w:val="baseline"/>
        </w:rPr>
        <w:t> </w:t>
      </w:r>
      <w:r>
        <w:rPr>
          <w:sz w:val="18"/>
          <w:vertAlign w:val="baseline"/>
        </w:rPr>
        <w:t>Straight:</w:t>
      </w:r>
      <w:r>
        <w:rPr>
          <w:spacing w:val="-2"/>
          <w:sz w:val="18"/>
          <w:vertAlign w:val="baseline"/>
        </w:rPr>
        <w:t> </w:t>
      </w:r>
      <w:r>
        <w:rPr>
          <w:sz w:val="18"/>
          <w:vertAlign w:val="baseline"/>
        </w:rPr>
        <w:t>Retributive Motives Drive Biases Against Gay Youth in Ambiguous Punishment Contexts,” Psychology, Public Policy, and Law 20, no. 4 (2014): 398–410, https://psycnet.apa.org/record/2014-26578-001</w:t>
      </w:r>
    </w:p>
    <w:p>
      <w:pPr>
        <w:spacing w:line="219" w:lineRule="exact" w:before="0"/>
        <w:ind w:left="320" w:right="0" w:firstLine="0"/>
        <w:jc w:val="left"/>
        <w:rPr>
          <w:i/>
          <w:sz w:val="18"/>
        </w:rPr>
      </w:pPr>
      <w:r>
        <w:rPr>
          <w:sz w:val="18"/>
          <w:vertAlign w:val="superscript"/>
        </w:rPr>
        <w:t>86</w:t>
      </w:r>
      <w:r>
        <w:rPr>
          <w:sz w:val="18"/>
          <w:vertAlign w:val="baseline"/>
        </w:rPr>
        <w:t> </w:t>
      </w:r>
      <w:r>
        <w:rPr>
          <w:i/>
          <w:spacing w:val="-5"/>
          <w:sz w:val="18"/>
          <w:vertAlign w:val="baseline"/>
        </w:rPr>
        <w:t>Id.</w:t>
      </w:r>
    </w:p>
    <w:p>
      <w:pPr>
        <w:spacing w:before="0"/>
        <w:ind w:left="320" w:right="0" w:firstLine="0"/>
        <w:jc w:val="left"/>
        <w:rPr>
          <w:sz w:val="18"/>
        </w:rPr>
      </w:pPr>
      <w:r>
        <w:rPr>
          <w:sz w:val="18"/>
          <w:vertAlign w:val="superscript"/>
        </w:rPr>
        <w:t>87</w:t>
      </w:r>
      <w:r>
        <w:rPr>
          <w:spacing w:val="-2"/>
          <w:sz w:val="18"/>
          <w:vertAlign w:val="baseline"/>
        </w:rPr>
        <w:t> </w:t>
      </w:r>
      <w:r>
        <w:rPr>
          <w:sz w:val="18"/>
          <w:vertAlign w:val="baseline"/>
        </w:rPr>
        <w:t>MASS.</w:t>
      </w:r>
      <w:r>
        <w:rPr>
          <w:spacing w:val="-2"/>
          <w:sz w:val="18"/>
          <w:vertAlign w:val="baseline"/>
        </w:rPr>
        <w:t> </w:t>
      </w:r>
      <w:r>
        <w:rPr>
          <w:sz w:val="18"/>
          <w:vertAlign w:val="baseline"/>
        </w:rPr>
        <w:t>GEN.</w:t>
      </w:r>
      <w:r>
        <w:rPr>
          <w:spacing w:val="-2"/>
          <w:sz w:val="18"/>
          <w:vertAlign w:val="baseline"/>
        </w:rPr>
        <w:t> </w:t>
      </w:r>
      <w:r>
        <w:rPr>
          <w:sz w:val="18"/>
          <w:vertAlign w:val="baseline"/>
        </w:rPr>
        <w:t>LAWS</w:t>
      </w:r>
      <w:r>
        <w:rPr>
          <w:spacing w:val="-2"/>
          <w:sz w:val="18"/>
          <w:vertAlign w:val="baseline"/>
        </w:rPr>
        <w:t> </w:t>
      </w:r>
      <w:r>
        <w:rPr>
          <w:sz w:val="18"/>
          <w:vertAlign w:val="baseline"/>
        </w:rPr>
        <w:t>ch.</w:t>
      </w:r>
      <w:r>
        <w:rPr>
          <w:spacing w:val="-2"/>
          <w:sz w:val="18"/>
          <w:vertAlign w:val="baseline"/>
        </w:rPr>
        <w:t> </w:t>
      </w:r>
      <w:r>
        <w:rPr>
          <w:sz w:val="18"/>
          <w:vertAlign w:val="baseline"/>
        </w:rPr>
        <w:t>265,</w:t>
      </w:r>
      <w:r>
        <w:rPr>
          <w:spacing w:val="-3"/>
          <w:sz w:val="18"/>
          <w:vertAlign w:val="baseline"/>
        </w:rPr>
        <w:t> </w:t>
      </w:r>
      <w:r>
        <w:rPr>
          <w:sz w:val="18"/>
          <w:vertAlign w:val="baseline"/>
        </w:rPr>
        <w:t>§</w:t>
      </w:r>
      <w:r>
        <w:rPr>
          <w:spacing w:val="-2"/>
          <w:sz w:val="18"/>
          <w:vertAlign w:val="baseline"/>
        </w:rPr>
        <w:t> </w:t>
      </w:r>
      <w:r>
        <w:rPr>
          <w:sz w:val="18"/>
          <w:vertAlign w:val="baseline"/>
        </w:rPr>
        <w:t>22B(f)</w:t>
      </w:r>
      <w:r>
        <w:rPr>
          <w:spacing w:val="-2"/>
          <w:sz w:val="18"/>
          <w:vertAlign w:val="baseline"/>
        </w:rPr>
        <w:t> </w:t>
      </w:r>
      <w:r>
        <w:rPr>
          <w:sz w:val="18"/>
          <w:vertAlign w:val="baseline"/>
        </w:rPr>
        <w:t>(2016),</w:t>
      </w:r>
      <w:r>
        <w:rPr>
          <w:spacing w:val="-3"/>
          <w:sz w:val="18"/>
          <w:vertAlign w:val="baseline"/>
        </w:rPr>
        <w:t> </w:t>
      </w:r>
      <w:r>
        <w:rPr>
          <w:sz w:val="18"/>
          <w:vertAlign w:val="baseline"/>
        </w:rPr>
        <w:t>as</w:t>
      </w:r>
      <w:r>
        <w:rPr>
          <w:spacing w:val="-2"/>
          <w:sz w:val="18"/>
          <w:vertAlign w:val="baseline"/>
        </w:rPr>
        <w:t> </w:t>
      </w:r>
      <w:r>
        <w:rPr>
          <w:sz w:val="18"/>
          <w:vertAlign w:val="baseline"/>
        </w:rPr>
        <w:t>interpreted</w:t>
      </w:r>
      <w:r>
        <w:rPr>
          <w:spacing w:val="-2"/>
          <w:sz w:val="18"/>
          <w:vertAlign w:val="baseline"/>
        </w:rPr>
        <w:t> </w:t>
      </w:r>
      <w:r>
        <w:rPr>
          <w:sz w:val="18"/>
          <w:vertAlign w:val="baseline"/>
        </w:rPr>
        <w:t>by:</w:t>
      </w:r>
      <w:r>
        <w:rPr>
          <w:spacing w:val="-2"/>
          <w:sz w:val="18"/>
          <w:vertAlign w:val="baseline"/>
        </w:rPr>
        <w:t> </w:t>
      </w:r>
      <w:r>
        <w:rPr>
          <w:sz w:val="18"/>
          <w:vertAlign w:val="baseline"/>
        </w:rPr>
        <w:t>HIV</w:t>
      </w:r>
      <w:r>
        <w:rPr>
          <w:spacing w:val="-2"/>
          <w:sz w:val="18"/>
          <w:vertAlign w:val="baseline"/>
        </w:rPr>
        <w:t> </w:t>
      </w:r>
      <w:r>
        <w:rPr>
          <w:sz w:val="18"/>
          <w:vertAlign w:val="baseline"/>
        </w:rPr>
        <w:t>Criminalization</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A</w:t>
      </w:r>
      <w:r>
        <w:rPr>
          <w:spacing w:val="-2"/>
          <w:sz w:val="18"/>
          <w:vertAlign w:val="baseline"/>
        </w:rPr>
        <w:t> </w:t>
      </w:r>
      <w:r>
        <w:rPr>
          <w:sz w:val="18"/>
          <w:vertAlign w:val="baseline"/>
        </w:rPr>
        <w:t>Sourcebook</w:t>
      </w:r>
      <w:r>
        <w:rPr>
          <w:spacing w:val="-3"/>
          <w:sz w:val="18"/>
          <w:vertAlign w:val="baseline"/>
        </w:rPr>
        <w:t> </w:t>
      </w:r>
      <w:r>
        <w:rPr>
          <w:sz w:val="18"/>
          <w:vertAlign w:val="baseline"/>
        </w:rPr>
        <w:t>on</w:t>
      </w:r>
      <w:r>
        <w:rPr>
          <w:spacing w:val="-2"/>
          <w:sz w:val="18"/>
          <w:vertAlign w:val="baseline"/>
        </w:rPr>
        <w:t> </w:t>
      </w:r>
      <w:r>
        <w:rPr>
          <w:sz w:val="18"/>
          <w:vertAlign w:val="baseline"/>
        </w:rPr>
        <w:t>State and Federal HIV Criminal Law and Practice – Massachusetts. (2017). New York, NY: The Center for HIV Law and Policy.</w:t>
      </w:r>
    </w:p>
    <w:p>
      <w:pPr>
        <w:spacing w:before="1"/>
        <w:ind w:left="320" w:right="0" w:firstLine="0"/>
        <w:jc w:val="left"/>
        <w:rPr>
          <w:sz w:val="18"/>
        </w:rPr>
      </w:pPr>
      <w:r>
        <w:rPr>
          <w:sz w:val="18"/>
          <w:vertAlign w:val="superscript"/>
        </w:rPr>
        <w:t>88</w:t>
      </w:r>
      <w:r>
        <w:rPr>
          <w:sz w:val="18"/>
          <w:vertAlign w:val="baseline"/>
        </w:rPr>
        <w:t> Mallory, Christy , Amira Hasenbush, and Brad Sears. 2015. Williams Institute. “Discrimination and Harassment by Law Enforcement</w:t>
      </w:r>
      <w:r>
        <w:rPr>
          <w:spacing w:val="-6"/>
          <w:sz w:val="18"/>
          <w:vertAlign w:val="baseline"/>
        </w:rPr>
        <w:t> </w:t>
      </w:r>
      <w:r>
        <w:rPr>
          <w:sz w:val="18"/>
          <w:vertAlign w:val="baseline"/>
        </w:rPr>
        <w:t>Officers</w:t>
      </w:r>
      <w:r>
        <w:rPr>
          <w:spacing w:val="-5"/>
          <w:sz w:val="18"/>
          <w:vertAlign w:val="baseline"/>
        </w:rPr>
        <w:t> </w:t>
      </w:r>
      <w:r>
        <w:rPr>
          <w:sz w:val="18"/>
          <w:vertAlign w:val="baseline"/>
        </w:rPr>
        <w:t>in</w:t>
      </w:r>
      <w:r>
        <w:rPr>
          <w:spacing w:val="-5"/>
          <w:sz w:val="18"/>
          <w:vertAlign w:val="baseline"/>
        </w:rPr>
        <w:t> </w:t>
      </w:r>
      <w:r>
        <w:rPr>
          <w:sz w:val="18"/>
          <w:vertAlign w:val="baseline"/>
        </w:rPr>
        <w:t>the</w:t>
      </w:r>
      <w:r>
        <w:rPr>
          <w:spacing w:val="-5"/>
          <w:sz w:val="18"/>
          <w:vertAlign w:val="baseline"/>
        </w:rPr>
        <w:t> </w:t>
      </w:r>
      <w:r>
        <w:rPr>
          <w:sz w:val="18"/>
          <w:vertAlign w:val="baseline"/>
        </w:rPr>
        <w:t>LGBT</w:t>
      </w:r>
      <w:r>
        <w:rPr>
          <w:spacing w:val="-7"/>
          <w:sz w:val="18"/>
          <w:vertAlign w:val="baseline"/>
        </w:rPr>
        <w:t> </w:t>
      </w:r>
      <w:r>
        <w:rPr>
          <w:sz w:val="18"/>
          <w:vertAlign w:val="baseline"/>
        </w:rPr>
        <w:t>Community,“</w:t>
      </w:r>
      <w:r>
        <w:rPr>
          <w:spacing w:val="-5"/>
          <w:sz w:val="18"/>
          <w:vertAlign w:val="baseline"/>
        </w:rPr>
        <w:t> </w:t>
      </w:r>
      <w:r>
        <w:rPr>
          <w:sz w:val="18"/>
          <w:vertAlign w:val="baseline"/>
        </w:rPr>
        <w:t>March</w:t>
      </w:r>
      <w:r>
        <w:rPr>
          <w:spacing w:val="-5"/>
          <w:sz w:val="18"/>
          <w:vertAlign w:val="baseline"/>
        </w:rPr>
        <w:t> </w:t>
      </w:r>
      <w:r>
        <w:rPr>
          <w:sz w:val="18"/>
          <w:vertAlign w:val="baseline"/>
        </w:rPr>
        <w:t>2015,</w:t>
      </w:r>
      <w:r>
        <w:rPr>
          <w:spacing w:val="-6"/>
          <w:sz w:val="18"/>
          <w:vertAlign w:val="baseline"/>
        </w:rPr>
        <w:t> </w:t>
      </w:r>
      <w:r>
        <w:rPr>
          <w:sz w:val="18"/>
          <w:vertAlign w:val="baseline"/>
        </w:rPr>
        <w:t>https://williamsinstitute.law.ucla.edu/publications/lgbt-discrim- </w:t>
      </w:r>
      <w:r>
        <w:rPr>
          <w:spacing w:val="-2"/>
          <w:sz w:val="18"/>
          <w:vertAlign w:val="baseline"/>
        </w:rPr>
        <w:t>lawenforcement</w:t>
      </w:r>
    </w:p>
    <w:p>
      <w:pPr>
        <w:spacing w:after="0"/>
        <w:jc w:val="left"/>
        <w:rPr>
          <w:sz w:val="18"/>
        </w:rPr>
        <w:sectPr>
          <w:pgSz w:w="12240" w:h="15840"/>
          <w:pgMar w:header="763" w:footer="1041" w:top="1360" w:bottom="1240" w:left="1120" w:right="1340"/>
        </w:sectPr>
      </w:pPr>
    </w:p>
    <w:p>
      <w:pPr>
        <w:pStyle w:val="BodyText"/>
        <w:spacing w:before="90"/>
        <w:rPr>
          <w:sz w:val="18"/>
        </w:rPr>
      </w:pPr>
    </w:p>
    <w:p>
      <w:pPr>
        <w:spacing w:before="1"/>
        <w:ind w:left="320" w:right="131" w:firstLine="0"/>
        <w:jc w:val="left"/>
        <w:rPr>
          <w:sz w:val="18"/>
        </w:rPr>
      </w:pPr>
      <w:r>
        <w:rPr>
          <w:sz w:val="18"/>
          <w:vertAlign w:val="superscript"/>
        </w:rPr>
        <w:t>89</w:t>
      </w:r>
      <w:r>
        <w:rPr>
          <w:spacing w:val="-2"/>
          <w:sz w:val="18"/>
          <w:vertAlign w:val="baseline"/>
        </w:rPr>
        <w:t> </w:t>
      </w:r>
      <w:r>
        <w:rPr>
          <w:sz w:val="18"/>
          <w:vertAlign w:val="baseline"/>
        </w:rPr>
        <w:t>Waters,</w:t>
      </w:r>
      <w:r>
        <w:rPr>
          <w:spacing w:val="-3"/>
          <w:sz w:val="18"/>
          <w:vertAlign w:val="baseline"/>
        </w:rPr>
        <w:t> </w:t>
      </w:r>
      <w:r>
        <w:rPr>
          <w:sz w:val="18"/>
          <w:vertAlign w:val="baseline"/>
        </w:rPr>
        <w:t>Emily.</w:t>
      </w:r>
      <w:r>
        <w:rPr>
          <w:spacing w:val="-1"/>
          <w:sz w:val="18"/>
          <w:vertAlign w:val="baseline"/>
        </w:rPr>
        <w:t> </w:t>
      </w:r>
      <w:r>
        <w:rPr>
          <w:sz w:val="18"/>
          <w:vertAlign w:val="baseline"/>
        </w:rPr>
        <w:t>2017.</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Transgender,</w:t>
      </w:r>
      <w:r>
        <w:rPr>
          <w:spacing w:val="-3"/>
          <w:sz w:val="18"/>
          <w:vertAlign w:val="baseline"/>
        </w:rPr>
        <w:t> </w:t>
      </w:r>
      <w:r>
        <w:rPr>
          <w:sz w:val="18"/>
          <w:vertAlign w:val="baseline"/>
        </w:rPr>
        <w:t>Queer,</w:t>
      </w:r>
      <w:r>
        <w:rPr>
          <w:spacing w:val="-3"/>
          <w:sz w:val="18"/>
          <w:vertAlign w:val="baseline"/>
        </w:rPr>
        <w:t> </w:t>
      </w:r>
      <w:r>
        <w:rPr>
          <w:sz w:val="18"/>
          <w:vertAlign w:val="baseline"/>
        </w:rPr>
        <w:t>and</w:t>
      </w:r>
      <w:r>
        <w:rPr>
          <w:spacing w:val="-2"/>
          <w:sz w:val="18"/>
          <w:vertAlign w:val="baseline"/>
        </w:rPr>
        <w:t> </w:t>
      </w:r>
      <w:r>
        <w:rPr>
          <w:sz w:val="18"/>
          <w:vertAlign w:val="baseline"/>
        </w:rPr>
        <w:t>HIV-Affected</w:t>
      </w:r>
      <w:r>
        <w:rPr>
          <w:spacing w:val="-2"/>
          <w:sz w:val="18"/>
          <w:vertAlign w:val="baseline"/>
        </w:rPr>
        <w:t> </w:t>
      </w:r>
      <w:r>
        <w:rPr>
          <w:sz w:val="18"/>
          <w:vertAlign w:val="baseline"/>
        </w:rPr>
        <w:t>Hate</w:t>
      </w:r>
      <w:r>
        <w:rPr>
          <w:spacing w:val="-2"/>
          <w:sz w:val="18"/>
          <w:vertAlign w:val="baseline"/>
        </w:rPr>
        <w:t> </w:t>
      </w:r>
      <w:r>
        <w:rPr>
          <w:sz w:val="18"/>
          <w:vertAlign w:val="baseline"/>
        </w:rPr>
        <w:t>Violence</w:t>
      </w:r>
      <w:r>
        <w:rPr>
          <w:spacing w:val="-2"/>
          <w:sz w:val="18"/>
          <w:vertAlign w:val="baseline"/>
        </w:rPr>
        <w:t> </w:t>
      </w:r>
      <w:r>
        <w:rPr>
          <w:sz w:val="18"/>
          <w:vertAlign w:val="baseline"/>
        </w:rPr>
        <w:t>in</w:t>
      </w:r>
      <w:r>
        <w:rPr>
          <w:spacing w:val="-2"/>
          <w:sz w:val="18"/>
          <w:vertAlign w:val="baseline"/>
        </w:rPr>
        <w:t> </w:t>
      </w:r>
      <w:r>
        <w:rPr>
          <w:sz w:val="18"/>
          <w:vertAlign w:val="baseline"/>
        </w:rPr>
        <w:t>2016</w:t>
      </w:r>
      <w:r>
        <w:rPr>
          <w:spacing w:val="-2"/>
          <w:sz w:val="18"/>
          <w:vertAlign w:val="baseline"/>
        </w:rPr>
        <w:t> </w:t>
      </w:r>
      <w:r>
        <w:rPr>
          <w:sz w:val="18"/>
          <w:vertAlign w:val="baseline"/>
        </w:rPr>
        <w:t>(New</w:t>
      </w:r>
      <w:r>
        <w:rPr>
          <w:spacing w:val="-4"/>
          <w:sz w:val="18"/>
          <w:vertAlign w:val="baseline"/>
        </w:rPr>
        <w:t> </w:t>
      </w:r>
      <w:r>
        <w:rPr>
          <w:sz w:val="18"/>
          <w:vertAlign w:val="baseline"/>
        </w:rPr>
        <w:t>York:</w:t>
      </w:r>
      <w:r>
        <w:rPr>
          <w:spacing w:val="-2"/>
          <w:sz w:val="18"/>
          <w:vertAlign w:val="baseline"/>
        </w:rPr>
        <w:t> </w:t>
      </w:r>
      <w:r>
        <w:rPr>
          <w:sz w:val="18"/>
          <w:vertAlign w:val="baseline"/>
        </w:rPr>
        <w:t>National Coalition of Anti-Violence Programs, 2017),</w:t>
      </w:r>
      <w:r>
        <w:rPr>
          <w:spacing w:val="80"/>
          <w:w w:val="150"/>
          <w:sz w:val="18"/>
          <w:vertAlign w:val="baseline"/>
        </w:rPr>
        <w:t> </w:t>
      </w:r>
      <w:hyperlink r:id="rId511">
        <w:r>
          <w:rPr>
            <w:spacing w:val="-2"/>
            <w:sz w:val="18"/>
            <w:vertAlign w:val="baseline"/>
          </w:rPr>
          <w:t>http://avp.org/wpcontent/uploads/2017/06/NCAVP_2016HateViolence_REPORT.pdf.</w:t>
        </w:r>
      </w:hyperlink>
    </w:p>
    <w:p>
      <w:pPr>
        <w:spacing w:line="219" w:lineRule="exact" w:before="0"/>
        <w:ind w:left="320" w:right="0" w:firstLine="0"/>
        <w:jc w:val="left"/>
        <w:rPr>
          <w:i/>
          <w:sz w:val="18"/>
        </w:rPr>
      </w:pPr>
      <w:r>
        <w:rPr>
          <w:sz w:val="18"/>
          <w:vertAlign w:val="superscript"/>
        </w:rPr>
        <w:t>90</w:t>
      </w:r>
      <w:r>
        <w:rPr>
          <w:sz w:val="18"/>
          <w:vertAlign w:val="baseline"/>
        </w:rPr>
        <w:t> </w:t>
      </w:r>
      <w:r>
        <w:rPr>
          <w:i/>
          <w:spacing w:val="-5"/>
          <w:sz w:val="18"/>
          <w:vertAlign w:val="baseline"/>
        </w:rPr>
        <w:t>Id.</w:t>
      </w:r>
    </w:p>
    <w:p>
      <w:pPr>
        <w:spacing w:before="1"/>
        <w:ind w:left="320" w:right="454" w:firstLine="0"/>
        <w:jc w:val="left"/>
        <w:rPr>
          <w:sz w:val="18"/>
        </w:rPr>
      </w:pPr>
      <w:r>
        <w:rPr>
          <w:sz w:val="18"/>
          <w:vertAlign w:val="superscript"/>
        </w:rPr>
        <w:t>91</w:t>
      </w:r>
      <w:r>
        <w:rPr>
          <w:spacing w:val="-2"/>
          <w:sz w:val="18"/>
          <w:vertAlign w:val="baseline"/>
        </w:rPr>
        <w:t> </w:t>
      </w:r>
      <w:r>
        <w:rPr>
          <w:sz w:val="18"/>
          <w:vertAlign w:val="baseline"/>
        </w:rPr>
        <w:t>Palmer,</w:t>
      </w:r>
      <w:r>
        <w:rPr>
          <w:spacing w:val="-3"/>
          <w:sz w:val="18"/>
          <w:vertAlign w:val="baseline"/>
        </w:rPr>
        <w:t> </w:t>
      </w:r>
      <w:r>
        <w:rPr>
          <w:sz w:val="18"/>
          <w:vertAlign w:val="baseline"/>
        </w:rPr>
        <w:t>Neal</w:t>
      </w:r>
      <w:r>
        <w:rPr>
          <w:spacing w:val="-3"/>
          <w:sz w:val="18"/>
          <w:vertAlign w:val="baseline"/>
        </w:rPr>
        <w:t> </w:t>
      </w:r>
      <w:r>
        <w:rPr>
          <w:sz w:val="18"/>
          <w:vertAlign w:val="baseline"/>
        </w:rPr>
        <w:t>A.</w:t>
      </w:r>
      <w:r>
        <w:rPr>
          <w:spacing w:val="35"/>
          <w:sz w:val="18"/>
          <w:vertAlign w:val="baseline"/>
        </w:rPr>
        <w:t> </w:t>
      </w:r>
      <w:r>
        <w:rPr>
          <w:sz w:val="18"/>
          <w:vertAlign w:val="baseline"/>
        </w:rPr>
        <w:t>and</w:t>
      </w:r>
      <w:r>
        <w:rPr>
          <w:spacing w:val="-2"/>
          <w:sz w:val="18"/>
          <w:vertAlign w:val="baseline"/>
        </w:rPr>
        <w:t> </w:t>
      </w:r>
      <w:r>
        <w:rPr>
          <w:sz w:val="18"/>
          <w:vertAlign w:val="baseline"/>
        </w:rPr>
        <w:t>Besiki</w:t>
      </w:r>
      <w:r>
        <w:rPr>
          <w:spacing w:val="-3"/>
          <w:sz w:val="18"/>
          <w:vertAlign w:val="baseline"/>
        </w:rPr>
        <w:t> </w:t>
      </w:r>
      <w:r>
        <w:rPr>
          <w:sz w:val="18"/>
          <w:vertAlign w:val="baseline"/>
        </w:rPr>
        <w:t>Luka</w:t>
      </w:r>
      <w:r>
        <w:rPr>
          <w:spacing w:val="-2"/>
          <w:sz w:val="18"/>
          <w:vertAlign w:val="baseline"/>
        </w:rPr>
        <w:t> </w:t>
      </w:r>
      <w:r>
        <w:rPr>
          <w:sz w:val="18"/>
          <w:vertAlign w:val="baseline"/>
        </w:rPr>
        <w:t>Kutateladaze.</w:t>
      </w:r>
      <w:r>
        <w:rPr>
          <w:spacing w:val="-2"/>
          <w:sz w:val="18"/>
          <w:vertAlign w:val="baseline"/>
        </w:rPr>
        <w:t> </w:t>
      </w:r>
      <w:r>
        <w:rPr>
          <w:sz w:val="18"/>
          <w:vertAlign w:val="baseline"/>
        </w:rPr>
        <w:t>2022.</w:t>
      </w:r>
      <w:r>
        <w:rPr>
          <w:spacing w:val="-2"/>
          <w:sz w:val="18"/>
          <w:vertAlign w:val="baseline"/>
        </w:rPr>
        <w:t> </w:t>
      </w:r>
      <w:r>
        <w:rPr>
          <w:i/>
          <w:sz w:val="18"/>
          <w:vertAlign w:val="baseline"/>
        </w:rPr>
        <w:t>What</w:t>
      </w:r>
      <w:r>
        <w:rPr>
          <w:i/>
          <w:spacing w:val="-3"/>
          <w:sz w:val="18"/>
          <w:vertAlign w:val="baseline"/>
        </w:rPr>
        <w:t> </w:t>
      </w:r>
      <w:r>
        <w:rPr>
          <w:i/>
          <w:sz w:val="18"/>
          <w:vertAlign w:val="baseline"/>
        </w:rPr>
        <w:t>Prosecutors</w:t>
      </w:r>
      <w:r>
        <w:rPr>
          <w:i/>
          <w:spacing w:val="-3"/>
          <w:sz w:val="18"/>
          <w:vertAlign w:val="baseline"/>
        </w:rPr>
        <w:t> </w:t>
      </w:r>
      <w:r>
        <w:rPr>
          <w:i/>
          <w:sz w:val="18"/>
          <w:vertAlign w:val="baseline"/>
        </w:rPr>
        <w:t>and</w:t>
      </w:r>
      <w:r>
        <w:rPr>
          <w:i/>
          <w:spacing w:val="-1"/>
          <w:sz w:val="18"/>
          <w:vertAlign w:val="baseline"/>
        </w:rPr>
        <w:t> </w:t>
      </w:r>
      <w:r>
        <w:rPr>
          <w:i/>
          <w:sz w:val="18"/>
          <w:vertAlign w:val="baseline"/>
        </w:rPr>
        <w:t>the</w:t>
      </w:r>
      <w:r>
        <w:rPr>
          <w:i/>
          <w:spacing w:val="-2"/>
          <w:sz w:val="18"/>
          <w:vertAlign w:val="baseline"/>
        </w:rPr>
        <w:t> </w:t>
      </w:r>
      <w:r>
        <w:rPr>
          <w:i/>
          <w:sz w:val="18"/>
          <w:vertAlign w:val="baseline"/>
        </w:rPr>
        <w:t>Police</w:t>
      </w:r>
      <w:r>
        <w:rPr>
          <w:i/>
          <w:spacing w:val="-2"/>
          <w:sz w:val="18"/>
          <w:vertAlign w:val="baseline"/>
        </w:rPr>
        <w:t> </w:t>
      </w:r>
      <w:r>
        <w:rPr>
          <w:i/>
          <w:sz w:val="18"/>
          <w:vertAlign w:val="baseline"/>
        </w:rPr>
        <w:t>Should</w:t>
      </w:r>
      <w:r>
        <w:rPr>
          <w:i/>
          <w:spacing w:val="-1"/>
          <w:sz w:val="18"/>
          <w:vertAlign w:val="baseline"/>
        </w:rPr>
        <w:t> </w:t>
      </w:r>
      <w:r>
        <w:rPr>
          <w:i/>
          <w:sz w:val="18"/>
          <w:vertAlign w:val="baseline"/>
        </w:rPr>
        <w:t>Do</w:t>
      </w:r>
      <w:r>
        <w:rPr>
          <w:i/>
          <w:spacing w:val="-2"/>
          <w:sz w:val="18"/>
          <w:vertAlign w:val="baseline"/>
        </w:rPr>
        <w:t> </w:t>
      </w:r>
      <w:r>
        <w:rPr>
          <w:i/>
          <w:sz w:val="18"/>
          <w:vertAlign w:val="baseline"/>
        </w:rPr>
        <w:t>About</w:t>
      </w:r>
      <w:r>
        <w:rPr>
          <w:i/>
          <w:spacing w:val="-3"/>
          <w:sz w:val="18"/>
          <w:vertAlign w:val="baseline"/>
        </w:rPr>
        <w:t> </w:t>
      </w:r>
      <w:r>
        <w:rPr>
          <w:i/>
          <w:sz w:val="18"/>
          <w:vertAlign w:val="baseline"/>
        </w:rPr>
        <w:t>Underreporting</w:t>
      </w:r>
      <w:r>
        <w:rPr>
          <w:i/>
          <w:spacing w:val="-3"/>
          <w:sz w:val="18"/>
          <w:vertAlign w:val="baseline"/>
        </w:rPr>
        <w:t> </w:t>
      </w:r>
      <w:r>
        <w:rPr>
          <w:i/>
          <w:sz w:val="18"/>
          <w:vertAlign w:val="baseline"/>
        </w:rPr>
        <w:t>of</w:t>
      </w:r>
      <w:r>
        <w:rPr>
          <w:i/>
          <w:sz w:val="18"/>
          <w:vertAlign w:val="baseline"/>
        </w:rPr>
        <w:t> Anti-LGBTQ Hate Crime</w:t>
      </w:r>
      <w:r>
        <w:rPr>
          <w:sz w:val="18"/>
          <w:vertAlign w:val="baseline"/>
        </w:rPr>
        <w:t>, Sexuality Research and Social Policy, 2022. </w:t>
      </w:r>
      <w:hyperlink r:id="rId512">
        <w:r>
          <w:rPr>
            <w:sz w:val="18"/>
            <w:u w:val="single"/>
            <w:vertAlign w:val="baseline"/>
          </w:rPr>
          <w:t>https://link.springer.com/article/10.1007/s13178-021-</w:t>
        </w:r>
      </w:hyperlink>
      <w:r>
        <w:rPr>
          <w:sz w:val="18"/>
          <w:u w:val="none"/>
          <w:vertAlign w:val="baseline"/>
        </w:rPr>
        <w:t> </w:t>
      </w:r>
      <w:hyperlink r:id="rId512">
        <w:r>
          <w:rPr>
            <w:spacing w:val="-2"/>
            <w:sz w:val="18"/>
            <w:u w:val="single"/>
            <w:vertAlign w:val="baseline"/>
          </w:rPr>
          <w:t>00596-5</w:t>
        </w:r>
      </w:hyperlink>
    </w:p>
    <w:p>
      <w:pPr>
        <w:spacing w:line="219" w:lineRule="exact" w:before="0"/>
        <w:ind w:left="320" w:right="0" w:firstLine="0"/>
        <w:jc w:val="left"/>
        <w:rPr>
          <w:i/>
          <w:sz w:val="18"/>
        </w:rPr>
      </w:pPr>
      <w:r>
        <w:rPr>
          <w:sz w:val="18"/>
          <w:vertAlign w:val="superscript"/>
        </w:rPr>
        <w:t>92</w:t>
      </w:r>
      <w:r>
        <w:rPr>
          <w:sz w:val="18"/>
          <w:vertAlign w:val="baseline"/>
        </w:rPr>
        <w:t> </w:t>
      </w:r>
      <w:r>
        <w:rPr>
          <w:i/>
          <w:spacing w:val="-5"/>
          <w:sz w:val="18"/>
          <w:vertAlign w:val="baseline"/>
        </w:rPr>
        <w:t>Id.</w:t>
      </w:r>
    </w:p>
    <w:p>
      <w:pPr>
        <w:spacing w:before="0"/>
        <w:ind w:left="320" w:right="228" w:firstLine="0"/>
        <w:jc w:val="left"/>
        <w:rPr>
          <w:sz w:val="18"/>
        </w:rPr>
      </w:pPr>
      <w:r>
        <w:rPr>
          <w:sz w:val="18"/>
          <w:vertAlign w:val="superscript"/>
        </w:rPr>
        <w:t>93</w:t>
      </w:r>
      <w:r>
        <w:rPr>
          <w:spacing w:val="-2"/>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American</w:t>
      </w:r>
      <w:r>
        <w:rPr>
          <w:spacing w:val="-2"/>
          <w:sz w:val="18"/>
          <w:vertAlign w:val="baseline"/>
        </w:rPr>
        <w:t> </w:t>
      </w:r>
      <w:r>
        <w:rPr>
          <w:sz w:val="18"/>
          <w:vertAlign w:val="baseline"/>
        </w:rPr>
        <w:t>Progress</w:t>
      </w:r>
      <w:r>
        <w:rPr>
          <w:spacing w:val="-2"/>
          <w:sz w:val="18"/>
          <w:vertAlign w:val="baseline"/>
        </w:rPr>
        <w:t> </w:t>
      </w:r>
      <w:r>
        <w:rPr>
          <w:sz w:val="18"/>
          <w:vertAlign w:val="baseline"/>
        </w:rPr>
        <w:t>and</w:t>
      </w:r>
      <w:r>
        <w:rPr>
          <w:spacing w:val="-2"/>
          <w:sz w:val="18"/>
          <w:vertAlign w:val="baseline"/>
        </w:rPr>
        <w:t> </w:t>
      </w:r>
      <w:r>
        <w:rPr>
          <w:sz w:val="18"/>
          <w:vertAlign w:val="baseline"/>
        </w:rPr>
        <w:t>Movement</w:t>
      </w:r>
      <w:r>
        <w:rPr>
          <w:spacing w:val="-3"/>
          <w:sz w:val="18"/>
          <w:vertAlign w:val="baseline"/>
        </w:rPr>
        <w:t> </w:t>
      </w:r>
      <w:r>
        <w:rPr>
          <w:sz w:val="18"/>
          <w:vertAlign w:val="baseline"/>
        </w:rPr>
        <w:t>Advancement</w:t>
      </w:r>
      <w:r>
        <w:rPr>
          <w:spacing w:val="-4"/>
          <w:sz w:val="18"/>
          <w:vertAlign w:val="baseline"/>
        </w:rPr>
        <w:t> </w:t>
      </w:r>
      <w:r>
        <w:rPr>
          <w:sz w:val="18"/>
          <w:vertAlign w:val="baseline"/>
        </w:rPr>
        <w:t>Project.</w:t>
      </w:r>
      <w:r>
        <w:rPr>
          <w:spacing w:val="-2"/>
          <w:sz w:val="18"/>
          <w:vertAlign w:val="baseline"/>
        </w:rPr>
        <w:t> </w:t>
      </w:r>
      <w:r>
        <w:rPr>
          <w:sz w:val="18"/>
          <w:vertAlign w:val="baseline"/>
        </w:rPr>
        <w:t>2016.</w:t>
      </w:r>
      <w:r>
        <w:rPr>
          <w:spacing w:val="-2"/>
          <w:sz w:val="18"/>
          <w:vertAlign w:val="baseline"/>
        </w:rPr>
        <w:t> </w:t>
      </w:r>
      <w:r>
        <w:rPr>
          <w:sz w:val="18"/>
          <w:vertAlign w:val="baseline"/>
        </w:rPr>
        <w:t>“Unjust:</w:t>
      </w:r>
      <w:r>
        <w:rPr>
          <w:spacing w:val="-2"/>
          <w:sz w:val="18"/>
          <w:vertAlign w:val="baseline"/>
        </w:rPr>
        <w:t> </w:t>
      </w:r>
      <w:r>
        <w:rPr>
          <w:sz w:val="18"/>
          <w:vertAlign w:val="baseline"/>
        </w:rPr>
        <w:t>How</w:t>
      </w:r>
      <w:r>
        <w:rPr>
          <w:spacing w:val="-3"/>
          <w:sz w:val="18"/>
          <w:vertAlign w:val="baseline"/>
        </w:rPr>
        <w:t> </w:t>
      </w:r>
      <w:r>
        <w:rPr>
          <w:sz w:val="18"/>
          <w:vertAlign w:val="baseline"/>
        </w:rPr>
        <w:t>the</w:t>
      </w:r>
      <w:r>
        <w:rPr>
          <w:spacing w:val="-2"/>
          <w:sz w:val="18"/>
          <w:vertAlign w:val="baseline"/>
        </w:rPr>
        <w:t> </w:t>
      </w:r>
      <w:r>
        <w:rPr>
          <w:sz w:val="18"/>
          <w:vertAlign w:val="baseline"/>
        </w:rPr>
        <w:t>Broken</w:t>
      </w:r>
      <w:r>
        <w:rPr>
          <w:spacing w:val="-2"/>
          <w:sz w:val="18"/>
          <w:vertAlign w:val="baseline"/>
        </w:rPr>
        <w:t> </w:t>
      </w:r>
      <w:r>
        <w:rPr>
          <w:sz w:val="18"/>
          <w:vertAlign w:val="baseline"/>
        </w:rPr>
        <w:t>Juvenile</w:t>
      </w:r>
      <w:r>
        <w:rPr>
          <w:spacing w:val="-2"/>
          <w:sz w:val="18"/>
          <w:vertAlign w:val="baseline"/>
        </w:rPr>
        <w:t> </w:t>
      </w:r>
      <w:r>
        <w:rPr>
          <w:sz w:val="18"/>
          <w:vertAlign w:val="baseline"/>
        </w:rPr>
        <w:t>and</w:t>
      </w:r>
      <w:r>
        <w:rPr>
          <w:spacing w:val="-3"/>
          <w:sz w:val="18"/>
          <w:vertAlign w:val="baseline"/>
        </w:rPr>
        <w:t> </w:t>
      </w:r>
      <w:r>
        <w:rPr>
          <w:sz w:val="18"/>
          <w:vertAlign w:val="baseline"/>
        </w:rPr>
        <w:t>Criminal Justice Systems Fail LGBTQ Youth”, 2016. https:</w:t>
      </w:r>
      <w:hyperlink r:id="rId513">
        <w:r>
          <w:rPr>
            <w:sz w:val="18"/>
            <w:vertAlign w:val="baseline"/>
          </w:rPr>
          <w:t>//www.lgbtmap.org/file/lgbt-criminal-justice-youth.pdf</w:t>
        </w:r>
      </w:hyperlink>
    </w:p>
    <w:p>
      <w:pPr>
        <w:spacing w:before="0"/>
        <w:ind w:left="320" w:right="216" w:firstLine="0"/>
        <w:jc w:val="left"/>
        <w:rPr>
          <w:sz w:val="18"/>
        </w:rPr>
      </w:pPr>
      <w:r>
        <w:rPr>
          <w:sz w:val="18"/>
          <w:vertAlign w:val="superscript"/>
        </w:rPr>
        <w:t>94</w:t>
      </w:r>
      <w:r>
        <w:rPr>
          <w:spacing w:val="-2"/>
          <w:sz w:val="18"/>
          <w:vertAlign w:val="baseline"/>
        </w:rPr>
        <w:t> </w:t>
      </w:r>
      <w:r>
        <w:rPr>
          <w:sz w:val="18"/>
          <w:vertAlign w:val="baseline"/>
        </w:rPr>
        <w:t>Conron,</w:t>
      </w:r>
      <w:r>
        <w:rPr>
          <w:spacing w:val="-3"/>
          <w:sz w:val="18"/>
          <w:vertAlign w:val="baseline"/>
        </w:rPr>
        <w:t> </w:t>
      </w:r>
      <w:r>
        <w:rPr>
          <w:sz w:val="18"/>
          <w:vertAlign w:val="baseline"/>
        </w:rPr>
        <w:t>Keith</w:t>
      </w:r>
      <w:r>
        <w:rPr>
          <w:spacing w:val="-2"/>
          <w:sz w:val="18"/>
          <w:vertAlign w:val="baseline"/>
        </w:rPr>
        <w:t> </w:t>
      </w:r>
      <w:r>
        <w:rPr>
          <w:sz w:val="18"/>
          <w:vertAlign w:val="baseline"/>
        </w:rPr>
        <w:t>J.</w:t>
      </w:r>
      <w:r>
        <w:rPr>
          <w:spacing w:val="-2"/>
          <w:sz w:val="18"/>
          <w:vertAlign w:val="baseline"/>
        </w:rPr>
        <w:t> </w:t>
      </w:r>
      <w:r>
        <w:rPr>
          <w:sz w:val="18"/>
          <w:vertAlign w:val="baseline"/>
        </w:rPr>
        <w:t>and</w:t>
      </w:r>
      <w:r>
        <w:rPr>
          <w:spacing w:val="-2"/>
          <w:sz w:val="18"/>
          <w:vertAlign w:val="baseline"/>
        </w:rPr>
        <w:t> </w:t>
      </w:r>
      <w:r>
        <w:rPr>
          <w:sz w:val="18"/>
          <w:vertAlign w:val="baseline"/>
        </w:rPr>
        <w:t>Bianca</w:t>
      </w:r>
      <w:r>
        <w:rPr>
          <w:spacing w:val="-2"/>
          <w:sz w:val="18"/>
          <w:vertAlign w:val="baseline"/>
        </w:rPr>
        <w:t> </w:t>
      </w:r>
      <w:r>
        <w:rPr>
          <w:sz w:val="18"/>
          <w:vertAlign w:val="baseline"/>
        </w:rPr>
        <w:t>D.M.</w:t>
      </w:r>
      <w:r>
        <w:rPr>
          <w:spacing w:val="-3"/>
          <w:sz w:val="18"/>
          <w:vertAlign w:val="baseline"/>
        </w:rPr>
        <w:t> </w:t>
      </w:r>
      <w:r>
        <w:rPr>
          <w:sz w:val="18"/>
          <w:vertAlign w:val="baseline"/>
        </w:rPr>
        <w:t>Wilson.</w:t>
      </w:r>
      <w:r>
        <w:rPr>
          <w:spacing w:val="-2"/>
          <w:sz w:val="18"/>
          <w:vertAlign w:val="baseline"/>
        </w:rPr>
        <w:t> </w:t>
      </w:r>
      <w:r>
        <w:rPr>
          <w:sz w:val="18"/>
          <w:vertAlign w:val="baseline"/>
        </w:rPr>
        <w:t>2019.</w:t>
      </w:r>
      <w:r>
        <w:rPr>
          <w:spacing w:val="-2"/>
          <w:sz w:val="18"/>
          <w:vertAlign w:val="baseline"/>
        </w:rPr>
        <w:t> </w:t>
      </w:r>
      <w:r>
        <w:rPr>
          <w:sz w:val="18"/>
          <w:vertAlign w:val="baseline"/>
        </w:rPr>
        <w:t>Williams</w:t>
      </w:r>
      <w:r>
        <w:rPr>
          <w:spacing w:val="-2"/>
          <w:sz w:val="18"/>
          <w:vertAlign w:val="baseline"/>
        </w:rPr>
        <w:t> </w:t>
      </w:r>
      <w:r>
        <w:rPr>
          <w:sz w:val="18"/>
          <w:vertAlign w:val="baseline"/>
        </w:rPr>
        <w:t>Institute.</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3"/>
          <w:sz w:val="18"/>
          <w:vertAlign w:val="baseline"/>
        </w:rPr>
        <w:t> </w:t>
      </w:r>
      <w:r>
        <w:rPr>
          <w:sz w:val="18"/>
          <w:vertAlign w:val="baseline"/>
        </w:rPr>
        <w:t>of</w:t>
      </w:r>
      <w:r>
        <w:rPr>
          <w:spacing w:val="-2"/>
          <w:sz w:val="18"/>
          <w:vertAlign w:val="baseline"/>
        </w:rPr>
        <w:t> </w:t>
      </w:r>
      <w:r>
        <w:rPr>
          <w:sz w:val="18"/>
          <w:vertAlign w:val="baseline"/>
        </w:rPr>
        <w:t>Color</w:t>
      </w:r>
      <w:r>
        <w:rPr>
          <w:spacing w:val="-3"/>
          <w:sz w:val="18"/>
          <w:vertAlign w:val="baseline"/>
        </w:rPr>
        <w:t> </w:t>
      </w:r>
      <w:r>
        <w:rPr>
          <w:sz w:val="18"/>
          <w:vertAlign w:val="baseline"/>
        </w:rPr>
        <w:t>Impacted</w:t>
      </w:r>
      <w:r>
        <w:rPr>
          <w:spacing w:val="-2"/>
          <w:sz w:val="18"/>
          <w:vertAlign w:val="baseline"/>
        </w:rPr>
        <w:t> </w:t>
      </w:r>
      <w:r>
        <w:rPr>
          <w:sz w:val="18"/>
          <w:vertAlign w:val="baseline"/>
        </w:rPr>
        <w:t>by</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and Juvenile Justice Systems” (Los Angeles: Williams Institute at the UCLA School of Law, 2019), </w:t>
      </w:r>
      <w:r>
        <w:rPr>
          <w:spacing w:val="-2"/>
          <w:sz w:val="18"/>
          <w:vertAlign w:val="baseline"/>
        </w:rPr>
        <w:t>https://williamsinstitute.law.ucla.edu/wp-content/uploads/LGBTQ-YOC-Social-Services-Jul-2019.pdf</w:t>
      </w:r>
    </w:p>
    <w:p>
      <w:pPr>
        <w:spacing w:before="0"/>
        <w:ind w:left="320" w:right="228" w:firstLine="0"/>
        <w:jc w:val="left"/>
        <w:rPr>
          <w:sz w:val="18"/>
        </w:rPr>
      </w:pPr>
      <w:r>
        <w:rPr>
          <w:sz w:val="18"/>
          <w:vertAlign w:val="superscript"/>
        </w:rPr>
        <w:t>95</w:t>
      </w:r>
      <w:r>
        <w:rPr>
          <w:spacing w:val="-2"/>
          <w:sz w:val="18"/>
          <w:vertAlign w:val="baseline"/>
        </w:rPr>
        <w:t> </w:t>
      </w:r>
      <w:r>
        <w:rPr>
          <w:sz w:val="18"/>
          <w:vertAlign w:val="baseline"/>
        </w:rPr>
        <w:t>Wilson,</w:t>
      </w:r>
      <w:r>
        <w:rPr>
          <w:spacing w:val="-3"/>
          <w:sz w:val="18"/>
          <w:vertAlign w:val="baseline"/>
        </w:rPr>
        <w:t> </w:t>
      </w:r>
      <w:r>
        <w:rPr>
          <w:sz w:val="18"/>
          <w:vertAlign w:val="baseline"/>
        </w:rPr>
        <w:t>Bianca</w:t>
      </w:r>
      <w:r>
        <w:rPr>
          <w:spacing w:val="-1"/>
          <w:sz w:val="18"/>
          <w:vertAlign w:val="baseline"/>
        </w:rPr>
        <w:t> </w:t>
      </w:r>
      <w:r>
        <w:rPr>
          <w:sz w:val="18"/>
          <w:vertAlign w:val="baseline"/>
        </w:rPr>
        <w:t>D.M.,</w:t>
      </w:r>
      <w:r>
        <w:rPr>
          <w:spacing w:val="-3"/>
          <w:sz w:val="18"/>
          <w:vertAlign w:val="baseline"/>
        </w:rPr>
        <w:t> </w:t>
      </w:r>
      <w:r>
        <w:rPr>
          <w:sz w:val="18"/>
          <w:vertAlign w:val="baseline"/>
        </w:rPr>
        <w:t>Sid</w:t>
      </w:r>
      <w:r>
        <w:rPr>
          <w:spacing w:val="-2"/>
          <w:sz w:val="18"/>
          <w:vertAlign w:val="baseline"/>
        </w:rPr>
        <w:t> </w:t>
      </w:r>
      <w:r>
        <w:rPr>
          <w:sz w:val="18"/>
          <w:vertAlign w:val="baseline"/>
        </w:rPr>
        <w:t>P.</w:t>
      </w:r>
      <w:r>
        <w:rPr>
          <w:spacing w:val="-2"/>
          <w:sz w:val="18"/>
          <w:vertAlign w:val="baseline"/>
        </w:rPr>
        <w:t> </w:t>
      </w:r>
      <w:r>
        <w:rPr>
          <w:sz w:val="18"/>
          <w:vertAlign w:val="baseline"/>
        </w:rPr>
        <w:t>Jordan,</w:t>
      </w:r>
      <w:r>
        <w:rPr>
          <w:spacing w:val="-3"/>
          <w:sz w:val="18"/>
          <w:vertAlign w:val="baseline"/>
        </w:rPr>
        <w:t> </w:t>
      </w:r>
      <w:r>
        <w:rPr>
          <w:sz w:val="18"/>
          <w:vertAlign w:val="baseline"/>
        </w:rPr>
        <w:t>Ilan</w:t>
      </w:r>
      <w:r>
        <w:rPr>
          <w:spacing w:val="-2"/>
          <w:sz w:val="18"/>
          <w:vertAlign w:val="baseline"/>
        </w:rPr>
        <w:t> </w:t>
      </w:r>
      <w:r>
        <w:rPr>
          <w:sz w:val="18"/>
          <w:vertAlign w:val="baseline"/>
        </w:rPr>
        <w:t>H.</w:t>
      </w:r>
      <w:r>
        <w:rPr>
          <w:spacing w:val="-2"/>
          <w:sz w:val="18"/>
          <w:vertAlign w:val="baseline"/>
        </w:rPr>
        <w:t> </w:t>
      </w:r>
      <w:r>
        <w:rPr>
          <w:sz w:val="18"/>
          <w:vertAlign w:val="baseline"/>
        </w:rPr>
        <w:t>Meyer,</w:t>
      </w:r>
      <w:r>
        <w:rPr>
          <w:spacing w:val="-3"/>
          <w:sz w:val="18"/>
          <w:vertAlign w:val="baseline"/>
        </w:rPr>
        <w:t> </w:t>
      </w:r>
      <w:r>
        <w:rPr>
          <w:sz w:val="18"/>
          <w:vertAlign w:val="baseline"/>
        </w:rPr>
        <w:t>Andrew</w:t>
      </w:r>
      <w:r>
        <w:rPr>
          <w:spacing w:val="-3"/>
          <w:sz w:val="18"/>
          <w:vertAlign w:val="baseline"/>
        </w:rPr>
        <w:t> </w:t>
      </w:r>
      <w:r>
        <w:rPr>
          <w:sz w:val="18"/>
          <w:vertAlign w:val="baseline"/>
        </w:rPr>
        <w:t>Flores,</w:t>
      </w:r>
      <w:r>
        <w:rPr>
          <w:spacing w:val="-3"/>
          <w:sz w:val="18"/>
          <w:vertAlign w:val="baseline"/>
        </w:rPr>
        <w:t> </w:t>
      </w:r>
      <w:r>
        <w:rPr>
          <w:sz w:val="18"/>
          <w:vertAlign w:val="baseline"/>
        </w:rPr>
        <w:t>Lara</w:t>
      </w:r>
      <w:r>
        <w:rPr>
          <w:spacing w:val="-2"/>
          <w:sz w:val="18"/>
          <w:vertAlign w:val="baseline"/>
        </w:rPr>
        <w:t> </w:t>
      </w:r>
      <w:r>
        <w:rPr>
          <w:sz w:val="18"/>
          <w:vertAlign w:val="baseline"/>
        </w:rPr>
        <w:t>Stemple,</w:t>
      </w:r>
      <w:r>
        <w:rPr>
          <w:spacing w:val="-3"/>
          <w:sz w:val="18"/>
          <w:vertAlign w:val="baseline"/>
        </w:rPr>
        <w:t> </w:t>
      </w:r>
      <w:r>
        <w:rPr>
          <w:sz w:val="18"/>
          <w:vertAlign w:val="baseline"/>
        </w:rPr>
        <w:t>and</w:t>
      </w:r>
      <w:r>
        <w:rPr>
          <w:spacing w:val="-2"/>
          <w:sz w:val="18"/>
          <w:vertAlign w:val="baseline"/>
        </w:rPr>
        <w:t> </w:t>
      </w:r>
      <w:r>
        <w:rPr>
          <w:sz w:val="18"/>
          <w:vertAlign w:val="baseline"/>
        </w:rPr>
        <w:t>Jody</w:t>
      </w:r>
      <w:r>
        <w:rPr>
          <w:spacing w:val="-2"/>
          <w:sz w:val="18"/>
          <w:vertAlign w:val="baseline"/>
        </w:rPr>
        <w:t> </w:t>
      </w:r>
      <w:r>
        <w:rPr>
          <w:sz w:val="18"/>
          <w:vertAlign w:val="baseline"/>
        </w:rPr>
        <w:t>Herman.</w:t>
      </w:r>
      <w:r>
        <w:rPr>
          <w:spacing w:val="-2"/>
          <w:sz w:val="18"/>
          <w:vertAlign w:val="baseline"/>
        </w:rPr>
        <w:t> </w:t>
      </w:r>
      <w:r>
        <w:rPr>
          <w:sz w:val="18"/>
          <w:vertAlign w:val="baseline"/>
        </w:rPr>
        <w:t>2017.</w:t>
      </w:r>
      <w:r>
        <w:rPr>
          <w:spacing w:val="-2"/>
          <w:sz w:val="18"/>
          <w:vertAlign w:val="baseline"/>
        </w:rPr>
        <w:t> </w:t>
      </w:r>
      <w:r>
        <w:rPr>
          <w:sz w:val="18"/>
          <w:vertAlign w:val="baseline"/>
        </w:rPr>
        <w:t>"Disproportionality and Disparities among Sexual Minority Youth in Custody." </w:t>
      </w:r>
      <w:r>
        <w:rPr>
          <w:i/>
          <w:sz w:val="18"/>
          <w:vertAlign w:val="baseline"/>
        </w:rPr>
        <w:t>Journal of Youth and Adolescence </w:t>
      </w:r>
      <w:r>
        <w:rPr>
          <w:sz w:val="18"/>
          <w:vertAlign w:val="baseline"/>
        </w:rPr>
        <w:t>46, no. 7 (July 2017): 1547-1561. Published online January 16, 2017. doi:10.1007/s10964-017-0632-5</w:t>
      </w:r>
    </w:p>
    <w:p>
      <w:pPr>
        <w:spacing w:before="0"/>
        <w:ind w:left="320" w:right="318" w:firstLine="0"/>
        <w:jc w:val="left"/>
        <w:rPr>
          <w:sz w:val="18"/>
        </w:rPr>
      </w:pPr>
      <w:r>
        <w:rPr>
          <w:sz w:val="18"/>
          <w:vertAlign w:val="superscript"/>
        </w:rPr>
        <w:t>96</w:t>
      </w:r>
      <w:r>
        <w:rPr>
          <w:spacing w:val="-2"/>
          <w:sz w:val="18"/>
          <w:vertAlign w:val="baseline"/>
        </w:rPr>
        <w:t> </w:t>
      </w:r>
      <w:r>
        <w:rPr>
          <w:sz w:val="18"/>
          <w:vertAlign w:val="baseline"/>
        </w:rPr>
        <w:t>Silver,</w:t>
      </w:r>
      <w:r>
        <w:rPr>
          <w:spacing w:val="-3"/>
          <w:sz w:val="18"/>
          <w:vertAlign w:val="baseline"/>
        </w:rPr>
        <w:t> </w:t>
      </w:r>
      <w:r>
        <w:rPr>
          <w:sz w:val="18"/>
          <w:vertAlign w:val="baseline"/>
        </w:rPr>
        <w:t>Ian</w:t>
      </w:r>
      <w:r>
        <w:rPr>
          <w:spacing w:val="-2"/>
          <w:sz w:val="18"/>
          <w:vertAlign w:val="baseline"/>
        </w:rPr>
        <w:t> </w:t>
      </w:r>
      <w:r>
        <w:rPr>
          <w:sz w:val="18"/>
          <w:vertAlign w:val="baseline"/>
        </w:rPr>
        <w:t>A.</w:t>
      </w:r>
      <w:r>
        <w:rPr>
          <w:spacing w:val="-2"/>
          <w:sz w:val="18"/>
          <w:vertAlign w:val="baseline"/>
        </w:rPr>
        <w:t> </w:t>
      </w:r>
      <w:r>
        <w:rPr>
          <w:sz w:val="18"/>
          <w:vertAlign w:val="baseline"/>
        </w:rPr>
        <w:t>,</w:t>
      </w:r>
      <w:r>
        <w:rPr>
          <w:spacing w:val="-3"/>
          <w:sz w:val="18"/>
          <w:vertAlign w:val="baseline"/>
        </w:rPr>
        <w:t> </w:t>
      </w:r>
      <w:r>
        <w:rPr>
          <w:sz w:val="18"/>
          <w:vertAlign w:val="baseline"/>
        </w:rPr>
        <w:t>Daniel</w:t>
      </w:r>
      <w:r>
        <w:rPr>
          <w:spacing w:val="-3"/>
          <w:sz w:val="18"/>
          <w:vertAlign w:val="baseline"/>
        </w:rPr>
        <w:t> </w:t>
      </w:r>
      <w:r>
        <w:rPr>
          <w:sz w:val="18"/>
          <w:vertAlign w:val="baseline"/>
        </w:rPr>
        <w:t>C.</w:t>
      </w:r>
      <w:r>
        <w:rPr>
          <w:spacing w:val="-2"/>
          <w:sz w:val="18"/>
          <w:vertAlign w:val="baseline"/>
        </w:rPr>
        <w:t> </w:t>
      </w:r>
      <w:r>
        <w:rPr>
          <w:sz w:val="18"/>
          <w:vertAlign w:val="baseline"/>
        </w:rPr>
        <w:t>Semenza,</w:t>
      </w:r>
      <w:r>
        <w:rPr>
          <w:spacing w:val="-3"/>
          <w:sz w:val="18"/>
          <w:vertAlign w:val="baseline"/>
        </w:rPr>
        <w:t> </w:t>
      </w:r>
      <w:r>
        <w:rPr>
          <w:sz w:val="18"/>
          <w:vertAlign w:val="baseline"/>
        </w:rPr>
        <w:t>and</w:t>
      </w:r>
      <w:r>
        <w:rPr>
          <w:spacing w:val="-2"/>
          <w:sz w:val="18"/>
          <w:vertAlign w:val="baseline"/>
        </w:rPr>
        <w:t> </w:t>
      </w:r>
      <w:r>
        <w:rPr>
          <w:sz w:val="18"/>
          <w:vertAlign w:val="baseline"/>
        </w:rPr>
        <w:t>Joseph</w:t>
      </w:r>
      <w:r>
        <w:rPr>
          <w:spacing w:val="-2"/>
          <w:sz w:val="18"/>
          <w:vertAlign w:val="baseline"/>
        </w:rPr>
        <w:t> </w:t>
      </w:r>
      <w:r>
        <w:rPr>
          <w:sz w:val="18"/>
          <w:vertAlign w:val="baseline"/>
        </w:rPr>
        <w:t>L.</w:t>
      </w:r>
      <w:r>
        <w:rPr>
          <w:spacing w:val="-3"/>
          <w:sz w:val="18"/>
          <w:vertAlign w:val="baseline"/>
        </w:rPr>
        <w:t> </w:t>
      </w:r>
      <w:r>
        <w:rPr>
          <w:sz w:val="18"/>
          <w:vertAlign w:val="baseline"/>
        </w:rPr>
        <w:t>Nedelec.</w:t>
      </w:r>
      <w:r>
        <w:rPr>
          <w:spacing w:val="-2"/>
          <w:sz w:val="18"/>
          <w:vertAlign w:val="baseline"/>
        </w:rPr>
        <w:t> </w:t>
      </w:r>
      <w:r>
        <w:rPr>
          <w:sz w:val="18"/>
          <w:vertAlign w:val="baseline"/>
        </w:rPr>
        <w:t>2023.</w:t>
      </w:r>
      <w:r>
        <w:rPr>
          <w:spacing w:val="-2"/>
          <w:sz w:val="18"/>
          <w:vertAlign w:val="baseline"/>
        </w:rPr>
        <w:t> </w:t>
      </w:r>
      <w:r>
        <w:rPr>
          <w:sz w:val="18"/>
          <w:vertAlign w:val="baseline"/>
        </w:rPr>
        <w:t>Incarceration</w:t>
      </w:r>
      <w:r>
        <w:rPr>
          <w:spacing w:val="-2"/>
          <w:sz w:val="18"/>
          <w:vertAlign w:val="baseline"/>
        </w:rPr>
        <w:t> </w:t>
      </w:r>
      <w:r>
        <w:rPr>
          <w:sz w:val="18"/>
          <w:vertAlign w:val="baseline"/>
        </w:rPr>
        <w:t>of</w:t>
      </w:r>
      <w:r>
        <w:rPr>
          <w:spacing w:val="-1"/>
          <w:sz w:val="18"/>
          <w:vertAlign w:val="baseline"/>
        </w:rPr>
        <w:t> </w:t>
      </w:r>
      <w:r>
        <w:rPr>
          <w:sz w:val="18"/>
          <w:vertAlign w:val="baseline"/>
        </w:rPr>
        <w:t>Youths</w:t>
      </w:r>
      <w:r>
        <w:rPr>
          <w:spacing w:val="-2"/>
          <w:sz w:val="18"/>
          <w:vertAlign w:val="baseline"/>
        </w:rPr>
        <w:t> </w:t>
      </w:r>
      <w:r>
        <w:rPr>
          <w:sz w:val="18"/>
          <w:vertAlign w:val="baseline"/>
        </w:rPr>
        <w:t>in</w:t>
      </w:r>
      <w:r>
        <w:rPr>
          <w:spacing w:val="-2"/>
          <w:sz w:val="18"/>
          <w:vertAlign w:val="baseline"/>
        </w:rPr>
        <w:t> </w:t>
      </w:r>
      <w:r>
        <w:rPr>
          <w:sz w:val="18"/>
          <w:vertAlign w:val="baseline"/>
        </w:rPr>
        <w:t>an</w:t>
      </w:r>
      <w:r>
        <w:rPr>
          <w:spacing w:val="-2"/>
          <w:sz w:val="18"/>
          <w:vertAlign w:val="baseline"/>
        </w:rPr>
        <w:t> </w:t>
      </w:r>
      <w:r>
        <w:rPr>
          <w:sz w:val="18"/>
          <w:vertAlign w:val="baseline"/>
        </w:rPr>
        <w:t>Adult</w:t>
      </w:r>
      <w:r>
        <w:rPr>
          <w:spacing w:val="-3"/>
          <w:sz w:val="18"/>
          <w:vertAlign w:val="baseline"/>
        </w:rPr>
        <w:t> </w:t>
      </w:r>
      <w:r>
        <w:rPr>
          <w:sz w:val="18"/>
          <w:vertAlign w:val="baseline"/>
        </w:rPr>
        <w:t>Correctional</w:t>
      </w:r>
      <w:r>
        <w:rPr>
          <w:spacing w:val="-2"/>
          <w:sz w:val="18"/>
          <w:vertAlign w:val="baseline"/>
        </w:rPr>
        <w:t> </w:t>
      </w:r>
      <w:r>
        <w:rPr>
          <w:sz w:val="18"/>
          <w:vertAlign w:val="baseline"/>
        </w:rPr>
        <w:t>Facility</w:t>
      </w:r>
      <w:r>
        <w:rPr>
          <w:spacing w:val="-2"/>
          <w:sz w:val="18"/>
          <w:vertAlign w:val="baseline"/>
        </w:rPr>
        <w:t> </w:t>
      </w:r>
      <w:r>
        <w:rPr>
          <w:sz w:val="18"/>
          <w:vertAlign w:val="baseline"/>
        </w:rPr>
        <w:t>and Risk of Premature Death, </w:t>
      </w:r>
      <w:r>
        <w:rPr>
          <w:i/>
          <w:sz w:val="18"/>
          <w:vertAlign w:val="baseline"/>
        </w:rPr>
        <w:t>Journal of the American Medical Association</w:t>
      </w:r>
      <w:r>
        <w:rPr>
          <w:sz w:val="18"/>
          <w:vertAlign w:val="baseline"/>
        </w:rPr>
        <w:t>. </w:t>
      </w:r>
      <w:r>
        <w:rPr>
          <w:spacing w:val="-2"/>
          <w:sz w:val="18"/>
          <w:vertAlign w:val="baseline"/>
        </w:rPr>
        <w:t>https://jamanetwork.com/journals/jamanetworkopen/fullarticle/2806838</w:t>
      </w:r>
    </w:p>
    <w:p>
      <w:pPr>
        <w:spacing w:before="0"/>
        <w:ind w:left="320" w:right="519" w:firstLine="0"/>
        <w:jc w:val="left"/>
        <w:rPr>
          <w:sz w:val="18"/>
        </w:rPr>
      </w:pPr>
      <w:r>
        <w:rPr>
          <w:sz w:val="18"/>
          <w:vertAlign w:val="superscript"/>
        </w:rPr>
        <w:t>97</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2024.</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2023</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w:t>
      </w:r>
      <w:r>
        <w:rPr>
          <w:spacing w:val="-4"/>
          <w:sz w:val="18"/>
          <w:vertAlign w:val="baseline"/>
        </w:rPr>
        <w:t> </w:t>
      </w:r>
      <w:r>
        <w:rPr>
          <w:sz w:val="18"/>
          <w:vertAlign w:val="baseline"/>
        </w:rPr>
        <w:t>2024. </w:t>
      </w:r>
      <w:hyperlink r:id="rId514">
        <w:r>
          <w:rPr>
            <w:spacing w:val="-2"/>
            <w:sz w:val="18"/>
            <w:u w:val="single"/>
            <w:vertAlign w:val="baseline"/>
          </w:rPr>
          <w:t>https://www.mass.gov/doc/jjpad-2023-annual-report/download</w:t>
        </w:r>
      </w:hyperlink>
    </w:p>
    <w:p>
      <w:pPr>
        <w:spacing w:line="153" w:lineRule="auto" w:before="35"/>
        <w:ind w:left="320" w:right="0" w:firstLine="0"/>
        <w:jc w:val="left"/>
        <w:rPr>
          <w:i/>
          <w:sz w:val="18"/>
        </w:rPr>
      </w:pPr>
      <w:r>
        <w:rPr>
          <w:sz w:val="12"/>
        </w:rPr>
        <w:t>98</w:t>
      </w:r>
      <w:r>
        <w:rPr>
          <w:spacing w:val="13"/>
          <w:sz w:val="12"/>
        </w:rPr>
        <w:t> </w:t>
      </w:r>
      <w:r>
        <w:rPr>
          <w:i/>
          <w:spacing w:val="-5"/>
          <w:position w:val="-5"/>
          <w:sz w:val="18"/>
        </w:rPr>
        <w:t>Id</w:t>
      </w:r>
    </w:p>
    <w:p>
      <w:pPr>
        <w:spacing w:before="38"/>
        <w:ind w:left="320" w:right="0" w:firstLine="0"/>
        <w:jc w:val="left"/>
        <w:rPr>
          <w:i/>
          <w:sz w:val="18"/>
        </w:rPr>
      </w:pPr>
      <w:r>
        <w:rPr>
          <w:sz w:val="18"/>
          <w:vertAlign w:val="superscript"/>
        </w:rPr>
        <w:t>99</w:t>
      </w:r>
      <w:r>
        <w:rPr>
          <w:sz w:val="18"/>
          <w:vertAlign w:val="baseline"/>
        </w:rPr>
        <w:t> </w:t>
      </w:r>
      <w:r>
        <w:rPr>
          <w:i/>
          <w:spacing w:val="-5"/>
          <w:sz w:val="18"/>
          <w:vertAlign w:val="baseline"/>
        </w:rPr>
        <w:t>Id.</w:t>
      </w:r>
    </w:p>
    <w:p>
      <w:pPr>
        <w:spacing w:before="1"/>
        <w:ind w:left="320" w:right="457" w:firstLine="0"/>
        <w:jc w:val="left"/>
        <w:rPr>
          <w:sz w:val="18"/>
        </w:rPr>
      </w:pPr>
      <w:r>
        <w:rPr>
          <w:sz w:val="18"/>
          <w:vertAlign w:val="superscript"/>
        </w:rPr>
        <w:t>100</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2024.</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2023</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w:t>
      </w:r>
      <w:r>
        <w:rPr>
          <w:spacing w:val="-4"/>
          <w:sz w:val="18"/>
          <w:vertAlign w:val="baseline"/>
        </w:rPr>
        <w:t> </w:t>
      </w:r>
      <w:r>
        <w:rPr>
          <w:sz w:val="18"/>
          <w:vertAlign w:val="baseline"/>
        </w:rPr>
        <w:t>2024. </w:t>
      </w:r>
      <w:hyperlink r:id="rId514">
        <w:r>
          <w:rPr>
            <w:spacing w:val="-2"/>
            <w:sz w:val="18"/>
            <w:u w:val="single"/>
            <w:vertAlign w:val="baseline"/>
          </w:rPr>
          <w:t>https://www.mass.gov/doc/jjpad-2023-annual-report/download</w:t>
        </w:r>
      </w:hyperlink>
    </w:p>
    <w:p>
      <w:pPr>
        <w:spacing w:before="0"/>
        <w:ind w:left="320" w:right="402" w:firstLine="0"/>
        <w:jc w:val="left"/>
        <w:rPr>
          <w:sz w:val="18"/>
        </w:rPr>
      </w:pPr>
      <w:r>
        <w:rPr>
          <w:sz w:val="18"/>
          <w:vertAlign w:val="superscript"/>
        </w:rPr>
        <w:t>101</w:t>
      </w:r>
      <w:r>
        <w:rPr>
          <w:spacing w:val="-2"/>
          <w:sz w:val="18"/>
          <w:vertAlign w:val="baseline"/>
        </w:rPr>
        <w:t> </w:t>
      </w:r>
      <w:r>
        <w:rPr>
          <w:sz w:val="18"/>
          <w:vertAlign w:val="baseline"/>
        </w:rPr>
        <w:t>Brockmann,</w:t>
      </w:r>
      <w:r>
        <w:rPr>
          <w:spacing w:val="-3"/>
          <w:sz w:val="18"/>
          <w:vertAlign w:val="baseline"/>
        </w:rPr>
        <w:t> </w:t>
      </w:r>
      <w:r>
        <w:rPr>
          <w:sz w:val="18"/>
          <w:vertAlign w:val="baseline"/>
        </w:rPr>
        <w:t>Brad</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2019.</w:t>
      </w:r>
      <w:r>
        <w:rPr>
          <w:spacing w:val="-2"/>
          <w:sz w:val="18"/>
          <w:vertAlign w:val="baseline"/>
        </w:rPr>
        <w:t> </w:t>
      </w:r>
      <w:r>
        <w:rPr>
          <w:sz w:val="18"/>
          <w:vertAlign w:val="baseline"/>
        </w:rPr>
        <w:t>“Emerging</w:t>
      </w:r>
      <w:r>
        <w:rPr>
          <w:spacing w:val="-2"/>
          <w:sz w:val="18"/>
          <w:vertAlign w:val="baseline"/>
        </w:rPr>
        <w:t> </w:t>
      </w:r>
      <w:r>
        <w:rPr>
          <w:sz w:val="18"/>
          <w:vertAlign w:val="baseline"/>
        </w:rPr>
        <w:t>Best</w:t>
      </w:r>
      <w:r>
        <w:rPr>
          <w:spacing w:val="-3"/>
          <w:sz w:val="18"/>
          <w:vertAlign w:val="baseline"/>
        </w:rPr>
        <w:t> </w:t>
      </w:r>
      <w:r>
        <w:rPr>
          <w:sz w:val="18"/>
          <w:vertAlign w:val="baseline"/>
        </w:rPr>
        <w:t>Practices</w:t>
      </w:r>
      <w:r>
        <w:rPr>
          <w:spacing w:val="-2"/>
          <w:sz w:val="18"/>
          <w:vertAlign w:val="baseline"/>
        </w:rPr>
        <w:t> </w:t>
      </w:r>
      <w:r>
        <w:rPr>
          <w:sz w:val="18"/>
          <w:vertAlign w:val="baseline"/>
        </w:rPr>
        <w:t>for</w:t>
      </w:r>
      <w:r>
        <w:rPr>
          <w:spacing w:val="-3"/>
          <w:sz w:val="18"/>
          <w:vertAlign w:val="baseline"/>
        </w:rPr>
        <w:t> </w:t>
      </w:r>
      <w:r>
        <w:rPr>
          <w:sz w:val="18"/>
          <w:vertAlign w:val="baseline"/>
        </w:rPr>
        <w:t>the</w:t>
      </w:r>
      <w:r>
        <w:rPr>
          <w:spacing w:val="-2"/>
          <w:sz w:val="18"/>
          <w:vertAlign w:val="baseline"/>
        </w:rPr>
        <w:t> </w:t>
      </w:r>
      <w:r>
        <w:rPr>
          <w:sz w:val="18"/>
          <w:vertAlign w:val="baseline"/>
        </w:rPr>
        <w:t>Management</w:t>
      </w:r>
      <w:r>
        <w:rPr>
          <w:spacing w:val="-3"/>
          <w:sz w:val="18"/>
          <w:vertAlign w:val="baseline"/>
        </w:rPr>
        <w:t> </w:t>
      </w:r>
      <w:r>
        <w:rPr>
          <w:sz w:val="18"/>
          <w:vertAlign w:val="baseline"/>
        </w:rPr>
        <w:t>and</w:t>
      </w:r>
      <w:r>
        <w:rPr>
          <w:spacing w:val="-2"/>
          <w:sz w:val="18"/>
          <w:vertAlign w:val="baseline"/>
        </w:rPr>
        <w:t> </w:t>
      </w:r>
      <w:r>
        <w:rPr>
          <w:sz w:val="18"/>
          <w:vertAlign w:val="baseline"/>
        </w:rPr>
        <w:t>Treatment</w:t>
      </w:r>
      <w:r>
        <w:rPr>
          <w:spacing w:val="-3"/>
          <w:sz w:val="18"/>
          <w:vertAlign w:val="baseline"/>
        </w:rPr>
        <w:t> </w:t>
      </w:r>
      <w:r>
        <w:rPr>
          <w:sz w:val="18"/>
          <w:vertAlign w:val="baseline"/>
        </w:rPr>
        <w:t>of</w:t>
      </w:r>
      <w:r>
        <w:rPr>
          <w:spacing w:val="-2"/>
          <w:sz w:val="18"/>
          <w:vertAlign w:val="baseline"/>
        </w:rPr>
        <w:t> </w:t>
      </w:r>
      <w:r>
        <w:rPr>
          <w:sz w:val="18"/>
          <w:vertAlign w:val="baseline"/>
        </w:rPr>
        <w:t>Incarcerated</w:t>
      </w:r>
      <w:r>
        <w:rPr>
          <w:spacing w:val="-2"/>
          <w:sz w:val="18"/>
          <w:vertAlign w:val="baseline"/>
        </w:rPr>
        <w:t> </w:t>
      </w:r>
      <w:r>
        <w:rPr>
          <w:sz w:val="18"/>
          <w:vertAlign w:val="baseline"/>
        </w:rPr>
        <w:t>Lesbian,</w:t>
      </w:r>
      <w:r>
        <w:rPr>
          <w:spacing w:val="-3"/>
          <w:sz w:val="18"/>
          <w:vertAlign w:val="baseline"/>
        </w:rPr>
        <w:t> </w:t>
      </w:r>
      <w:r>
        <w:rPr>
          <w:sz w:val="18"/>
          <w:vertAlign w:val="baseline"/>
        </w:rPr>
        <w:t>Gay, Bisexual, Transgender, and Intersex (LGBTI) Individuals”. (Boston: The Fenway Institute, 2019), tps://fenwayhealth.org/wp- </w:t>
      </w:r>
      <w:r>
        <w:rPr>
          <w:spacing w:val="-2"/>
          <w:sz w:val="18"/>
          <w:vertAlign w:val="baseline"/>
        </w:rPr>
        <w:t>content/uploads/TFIP-33_Best-Practices-for-LGBTI-Incarcerated-People-Brief_web.pdf.</w:t>
      </w:r>
    </w:p>
    <w:p>
      <w:pPr>
        <w:spacing w:line="153" w:lineRule="auto" w:before="36"/>
        <w:ind w:left="320" w:right="0" w:firstLine="0"/>
        <w:jc w:val="left"/>
        <w:rPr>
          <w:i/>
          <w:sz w:val="18"/>
        </w:rPr>
      </w:pPr>
      <w:r>
        <w:rPr>
          <w:sz w:val="12"/>
        </w:rPr>
        <w:t>102</w:t>
      </w:r>
      <w:r>
        <w:rPr>
          <w:spacing w:val="13"/>
          <w:sz w:val="12"/>
        </w:rPr>
        <w:t> </w:t>
      </w:r>
      <w:r>
        <w:rPr>
          <w:i/>
          <w:spacing w:val="-5"/>
          <w:position w:val="-5"/>
          <w:sz w:val="18"/>
        </w:rPr>
        <w:t>Id.</w:t>
      </w:r>
    </w:p>
    <w:p>
      <w:pPr>
        <w:spacing w:before="38"/>
        <w:ind w:left="320" w:right="1049" w:firstLine="0"/>
        <w:jc w:val="left"/>
        <w:rPr>
          <w:sz w:val="18"/>
        </w:rPr>
      </w:pPr>
      <w:r>
        <w:rPr>
          <w:sz w:val="18"/>
          <w:vertAlign w:val="superscript"/>
        </w:rPr>
        <w:t>103</w:t>
      </w:r>
      <w:r>
        <w:rPr>
          <w:spacing w:val="-3"/>
          <w:sz w:val="18"/>
          <w:vertAlign w:val="baseline"/>
        </w:rPr>
        <w:t> </w:t>
      </w:r>
      <w:r>
        <w:rPr>
          <w:sz w:val="18"/>
          <w:vertAlign w:val="baseline"/>
        </w:rPr>
        <w:t>Bureau</w:t>
      </w:r>
      <w:r>
        <w:rPr>
          <w:spacing w:val="-3"/>
          <w:sz w:val="18"/>
          <w:vertAlign w:val="baseline"/>
        </w:rPr>
        <w:t> </w:t>
      </w:r>
      <w:r>
        <w:rPr>
          <w:sz w:val="18"/>
          <w:vertAlign w:val="baseline"/>
        </w:rPr>
        <w:t>of</w:t>
      </w:r>
      <w:r>
        <w:rPr>
          <w:spacing w:val="-4"/>
          <w:sz w:val="18"/>
          <w:vertAlign w:val="baseline"/>
        </w:rPr>
        <w:t> </w:t>
      </w:r>
      <w:r>
        <w:rPr>
          <w:sz w:val="18"/>
          <w:vertAlign w:val="baseline"/>
        </w:rPr>
        <w:t>Justice</w:t>
      </w:r>
      <w:r>
        <w:rPr>
          <w:spacing w:val="-3"/>
          <w:sz w:val="18"/>
          <w:vertAlign w:val="baseline"/>
        </w:rPr>
        <w:t> </w:t>
      </w:r>
      <w:r>
        <w:rPr>
          <w:sz w:val="18"/>
          <w:vertAlign w:val="baseline"/>
        </w:rPr>
        <w:t>Statistics.</w:t>
      </w:r>
      <w:r>
        <w:rPr>
          <w:spacing w:val="-3"/>
          <w:sz w:val="18"/>
          <w:vertAlign w:val="baseline"/>
        </w:rPr>
        <w:t> </w:t>
      </w:r>
      <w:r>
        <w:rPr>
          <w:sz w:val="18"/>
          <w:vertAlign w:val="baseline"/>
        </w:rPr>
        <w:t>2022.</w:t>
      </w:r>
      <w:r>
        <w:rPr>
          <w:spacing w:val="-3"/>
          <w:sz w:val="18"/>
          <w:vertAlign w:val="baseline"/>
        </w:rPr>
        <w:t> </w:t>
      </w:r>
      <w:r>
        <w:rPr>
          <w:sz w:val="18"/>
          <w:vertAlign w:val="baseline"/>
        </w:rPr>
        <w:t>“Violent</w:t>
      </w:r>
      <w:r>
        <w:rPr>
          <w:spacing w:val="-4"/>
          <w:sz w:val="18"/>
          <w:vertAlign w:val="baseline"/>
        </w:rPr>
        <w:t> </w:t>
      </w:r>
      <w:r>
        <w:rPr>
          <w:sz w:val="18"/>
          <w:vertAlign w:val="baseline"/>
        </w:rPr>
        <w:t>Victimization</w:t>
      </w:r>
      <w:r>
        <w:rPr>
          <w:spacing w:val="-3"/>
          <w:sz w:val="18"/>
          <w:vertAlign w:val="baseline"/>
        </w:rPr>
        <w:t> </w:t>
      </w:r>
      <w:r>
        <w:rPr>
          <w:sz w:val="18"/>
          <w:vertAlign w:val="baseline"/>
        </w:rPr>
        <w:t>by</w:t>
      </w:r>
      <w:r>
        <w:rPr>
          <w:spacing w:val="-3"/>
          <w:sz w:val="18"/>
          <w:vertAlign w:val="baseline"/>
        </w:rPr>
        <w:t> </w:t>
      </w:r>
      <w:r>
        <w:rPr>
          <w:sz w:val="18"/>
          <w:vertAlign w:val="baseline"/>
        </w:rPr>
        <w:t>Sexual</w:t>
      </w:r>
      <w:r>
        <w:rPr>
          <w:spacing w:val="-4"/>
          <w:sz w:val="18"/>
          <w:vertAlign w:val="baseline"/>
        </w:rPr>
        <w:t> </w:t>
      </w:r>
      <w:r>
        <w:rPr>
          <w:sz w:val="18"/>
          <w:vertAlign w:val="baseline"/>
        </w:rPr>
        <w:t>Orientation</w:t>
      </w:r>
      <w:r>
        <w:rPr>
          <w:spacing w:val="-2"/>
          <w:sz w:val="18"/>
          <w:vertAlign w:val="baseline"/>
        </w:rPr>
        <w:t> </w:t>
      </w:r>
      <w:r>
        <w:rPr>
          <w:sz w:val="18"/>
          <w:vertAlign w:val="baseline"/>
        </w:rPr>
        <w:t>and</w:t>
      </w:r>
      <w:r>
        <w:rPr>
          <w:spacing w:val="-3"/>
          <w:sz w:val="18"/>
          <w:vertAlign w:val="baseline"/>
        </w:rPr>
        <w:t> </w:t>
      </w:r>
      <w:r>
        <w:rPr>
          <w:sz w:val="18"/>
          <w:vertAlign w:val="baseline"/>
        </w:rPr>
        <w:t>Gender</w:t>
      </w:r>
      <w:r>
        <w:rPr>
          <w:spacing w:val="-4"/>
          <w:sz w:val="18"/>
          <w:vertAlign w:val="baseline"/>
        </w:rPr>
        <w:t> </w:t>
      </w:r>
      <w:r>
        <w:rPr>
          <w:sz w:val="18"/>
          <w:vertAlign w:val="baseline"/>
        </w:rPr>
        <w:t>Identity,</w:t>
      </w:r>
      <w:r>
        <w:rPr>
          <w:spacing w:val="-4"/>
          <w:sz w:val="18"/>
          <w:vertAlign w:val="baseline"/>
        </w:rPr>
        <w:t> </w:t>
      </w:r>
      <w:r>
        <w:rPr>
          <w:sz w:val="18"/>
          <w:vertAlign w:val="baseline"/>
        </w:rPr>
        <w:t>2017-2020”. </w:t>
      </w:r>
      <w:r>
        <w:rPr>
          <w:spacing w:val="-2"/>
          <w:sz w:val="18"/>
          <w:vertAlign w:val="baseline"/>
        </w:rPr>
        <w:t>https://bjs.ojp.gov/library/publications/violent-victimization-sexual-orientation-and-gender-identity-2017-2020</w:t>
      </w:r>
    </w:p>
    <w:p>
      <w:pPr>
        <w:spacing w:before="0"/>
        <w:ind w:left="320" w:right="1686" w:firstLine="0"/>
        <w:jc w:val="left"/>
        <w:rPr>
          <w:sz w:val="18"/>
        </w:rPr>
      </w:pPr>
      <w:r>
        <w:rPr>
          <w:sz w:val="18"/>
          <w:vertAlign w:val="superscript"/>
        </w:rPr>
        <w:t>104</w:t>
      </w:r>
      <w:r>
        <w:rPr>
          <w:sz w:val="18"/>
          <w:vertAlign w:val="baseline"/>
        </w:rPr>
        <w:t> Black and Pink. 2015. “Coming Out of Concrete Closets”. https:/</w:t>
      </w:r>
      <w:hyperlink r:id="rId515">
        <w:r>
          <w:rPr>
            <w:sz w:val="18"/>
            <w:vertAlign w:val="baseline"/>
          </w:rPr>
          <w:t>/www.blackandpink.org/wp-</w:t>
        </w:r>
      </w:hyperlink>
      <w:r>
        <w:rPr>
          <w:sz w:val="18"/>
          <w:vertAlign w:val="baseline"/>
        </w:rPr>
        <w:t> </w:t>
      </w:r>
      <w:r>
        <w:rPr>
          <w:spacing w:val="-2"/>
          <w:sz w:val="18"/>
          <w:vertAlign w:val="baseline"/>
        </w:rPr>
        <w:t>content/uploads/2020/03/Coming-Out-of-Concrete-Closets-incorcporated-Executive-summary102115.pdf</w:t>
      </w:r>
    </w:p>
    <w:p>
      <w:pPr>
        <w:spacing w:before="0"/>
        <w:ind w:left="320" w:right="0" w:firstLine="0"/>
        <w:jc w:val="left"/>
        <w:rPr>
          <w:sz w:val="18"/>
        </w:rPr>
      </w:pPr>
      <w:r>
        <w:rPr>
          <w:sz w:val="18"/>
          <w:vertAlign w:val="superscript"/>
        </w:rPr>
        <w:t>105</w:t>
      </w:r>
      <w:r>
        <w:rPr>
          <w:spacing w:val="-5"/>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3"/>
          <w:sz w:val="18"/>
          <w:vertAlign w:val="baseline"/>
        </w:rPr>
        <w:t> </w:t>
      </w:r>
      <w:r>
        <w:rPr>
          <w:sz w:val="18"/>
          <w:vertAlign w:val="baseline"/>
        </w:rPr>
        <w:t>Youth</w:t>
      </w:r>
      <w:r>
        <w:rPr>
          <w:spacing w:val="-2"/>
          <w:sz w:val="18"/>
          <w:vertAlign w:val="baseline"/>
        </w:rPr>
        <w:t> </w:t>
      </w:r>
      <w:r>
        <w:rPr>
          <w:sz w:val="18"/>
          <w:vertAlign w:val="baseline"/>
        </w:rPr>
        <w:t>Services,</w:t>
      </w:r>
      <w:r>
        <w:rPr>
          <w:spacing w:val="-3"/>
          <w:sz w:val="18"/>
          <w:vertAlign w:val="baseline"/>
        </w:rPr>
        <w:t> </w:t>
      </w:r>
      <w:r>
        <w:rPr>
          <w:sz w:val="18"/>
          <w:vertAlign w:val="baseline"/>
        </w:rPr>
        <w:t>Briefing</w:t>
      </w:r>
      <w:r>
        <w:rPr>
          <w:spacing w:val="-3"/>
          <w:sz w:val="18"/>
          <w:vertAlign w:val="baseline"/>
        </w:rPr>
        <w:t> </w:t>
      </w:r>
      <w:r>
        <w:rPr>
          <w:sz w:val="18"/>
          <w:vertAlign w:val="baseline"/>
        </w:rPr>
        <w:t>Fact</w:t>
      </w:r>
      <w:r>
        <w:rPr>
          <w:spacing w:val="-3"/>
          <w:sz w:val="18"/>
          <w:vertAlign w:val="baseline"/>
        </w:rPr>
        <w:t> </w:t>
      </w:r>
      <w:r>
        <w:rPr>
          <w:sz w:val="18"/>
          <w:vertAlign w:val="baseline"/>
        </w:rPr>
        <w:t>Sheet,</w:t>
      </w:r>
      <w:r>
        <w:rPr>
          <w:spacing w:val="-3"/>
          <w:sz w:val="18"/>
          <w:vertAlign w:val="baseline"/>
        </w:rPr>
        <w:t> </w:t>
      </w:r>
      <w:r>
        <w:rPr>
          <w:sz w:val="18"/>
          <w:vertAlign w:val="baseline"/>
        </w:rPr>
        <w:t>April</w:t>
      </w:r>
      <w:r>
        <w:rPr>
          <w:spacing w:val="-3"/>
          <w:sz w:val="18"/>
          <w:vertAlign w:val="baseline"/>
        </w:rPr>
        <w:t> </w:t>
      </w:r>
      <w:r>
        <w:rPr>
          <w:spacing w:val="-2"/>
          <w:sz w:val="18"/>
          <w:vertAlign w:val="baseline"/>
        </w:rPr>
        <w:t>2022.</w:t>
      </w:r>
    </w:p>
    <w:p>
      <w:pPr>
        <w:spacing w:before="0"/>
        <w:ind w:left="320" w:right="1891" w:firstLine="0"/>
        <w:jc w:val="left"/>
        <w:rPr>
          <w:sz w:val="18"/>
        </w:rPr>
      </w:pPr>
      <w:r>
        <w:rPr>
          <w:sz w:val="18"/>
          <w:vertAlign w:val="superscript"/>
        </w:rPr>
        <w:t>106</w:t>
      </w:r>
      <w:r>
        <w:rPr>
          <w:sz w:val="18"/>
          <w:vertAlign w:val="baseline"/>
        </w:rPr>
        <w:t> The Sentencing Project. 2022. “Incarcerated LGBTQ+ Adults and Youth. 2022”. </w:t>
      </w:r>
      <w:r>
        <w:rPr>
          <w:spacing w:val="-2"/>
          <w:sz w:val="18"/>
          <w:vertAlign w:val="baseline"/>
        </w:rPr>
        <w:t>https:</w:t>
      </w:r>
      <w:hyperlink r:id="rId516">
        <w:r>
          <w:rPr>
            <w:spacing w:val="-2"/>
            <w:sz w:val="18"/>
            <w:vertAlign w:val="baseline"/>
          </w:rPr>
          <w:t>//www.sentencingproject.org/app/uploads/2022/10/Incarcerated-LGBTQ-Youth-and-Adults.pdf</w:t>
        </w:r>
      </w:hyperlink>
      <w:r>
        <w:rPr>
          <w:spacing w:val="40"/>
          <w:sz w:val="18"/>
          <w:vertAlign w:val="baseline"/>
        </w:rPr>
        <w:t>  </w:t>
      </w:r>
      <w:r>
        <w:rPr>
          <w:sz w:val="18"/>
          <w:vertAlign w:val="superscript"/>
        </w:rPr>
        <w:t>107</w:t>
      </w:r>
      <w:r>
        <w:rPr>
          <w:sz w:val="18"/>
          <w:vertAlign w:val="baseline"/>
        </w:rPr>
        <w:t> Children’s Defense Fund, Letter Against Adolescent Offender Solitary Confinement, </w:t>
      </w:r>
      <w:r>
        <w:rPr>
          <w:spacing w:val="-2"/>
          <w:sz w:val="18"/>
          <w:vertAlign w:val="baseline"/>
        </w:rPr>
        <w:t>https://</w:t>
      </w:r>
      <w:hyperlink r:id="rId517">
        <w:r>
          <w:rPr>
            <w:spacing w:val="-2"/>
            <w:sz w:val="18"/>
            <w:vertAlign w:val="baseline"/>
          </w:rPr>
          <w:t>www.childrensdefense.org/resources/letter-against-adolescent-offender-solitary-confinement/</w:t>
        </w:r>
      </w:hyperlink>
    </w:p>
    <w:p>
      <w:pPr>
        <w:spacing w:before="0"/>
        <w:ind w:left="320" w:right="0" w:firstLine="0"/>
        <w:jc w:val="left"/>
        <w:rPr>
          <w:sz w:val="18"/>
        </w:rPr>
      </w:pPr>
      <w:r>
        <w:rPr>
          <w:sz w:val="18"/>
          <w:vertAlign w:val="superscript"/>
        </w:rPr>
        <w:t>108</w:t>
      </w:r>
      <w:r>
        <w:rPr>
          <w:spacing w:val="-3"/>
          <w:sz w:val="18"/>
          <w:vertAlign w:val="baseline"/>
        </w:rPr>
        <w:t> </w:t>
      </w:r>
      <w:r>
        <w:rPr>
          <w:sz w:val="18"/>
          <w:vertAlign w:val="baseline"/>
        </w:rPr>
        <w:t>American</w:t>
      </w:r>
      <w:r>
        <w:rPr>
          <w:spacing w:val="-3"/>
          <w:sz w:val="18"/>
          <w:vertAlign w:val="baseline"/>
        </w:rPr>
        <w:t> </w:t>
      </w:r>
      <w:r>
        <w:rPr>
          <w:sz w:val="18"/>
          <w:vertAlign w:val="baseline"/>
        </w:rPr>
        <w:t>Psychological</w:t>
      </w:r>
      <w:r>
        <w:rPr>
          <w:spacing w:val="-3"/>
          <w:sz w:val="18"/>
          <w:vertAlign w:val="baseline"/>
        </w:rPr>
        <w:t> </w:t>
      </w:r>
      <w:r>
        <w:rPr>
          <w:sz w:val="18"/>
          <w:vertAlign w:val="baseline"/>
        </w:rPr>
        <w:t>Association.</w:t>
      </w:r>
      <w:r>
        <w:rPr>
          <w:spacing w:val="-3"/>
          <w:sz w:val="18"/>
          <w:vertAlign w:val="baseline"/>
        </w:rPr>
        <w:t> </w:t>
      </w:r>
      <w:r>
        <w:rPr>
          <w:sz w:val="18"/>
          <w:vertAlign w:val="baseline"/>
        </w:rPr>
        <w:t>2024.</w:t>
      </w:r>
      <w:r>
        <w:rPr>
          <w:spacing w:val="-3"/>
          <w:sz w:val="18"/>
          <w:vertAlign w:val="baseline"/>
        </w:rPr>
        <w:t> </w:t>
      </w:r>
      <w:r>
        <w:rPr>
          <w:sz w:val="18"/>
          <w:vertAlign w:val="baseline"/>
        </w:rPr>
        <w:t>“APA</w:t>
      </w:r>
      <w:r>
        <w:rPr>
          <w:spacing w:val="-3"/>
          <w:sz w:val="18"/>
          <w:vertAlign w:val="baseline"/>
        </w:rPr>
        <w:t> </w:t>
      </w:r>
      <w:r>
        <w:rPr>
          <w:sz w:val="18"/>
          <w:vertAlign w:val="baseline"/>
        </w:rPr>
        <w:t>Calls</w:t>
      </w:r>
      <w:r>
        <w:rPr>
          <w:spacing w:val="-3"/>
          <w:sz w:val="18"/>
          <w:vertAlign w:val="baseline"/>
        </w:rPr>
        <w:t> </w:t>
      </w:r>
      <w:r>
        <w:rPr>
          <w:sz w:val="18"/>
          <w:vertAlign w:val="baseline"/>
        </w:rPr>
        <w:t>for</w:t>
      </w:r>
      <w:r>
        <w:rPr>
          <w:spacing w:val="-3"/>
          <w:sz w:val="18"/>
          <w:vertAlign w:val="baseline"/>
        </w:rPr>
        <w:t> </w:t>
      </w:r>
      <w:r>
        <w:rPr>
          <w:sz w:val="18"/>
          <w:vertAlign w:val="baseline"/>
        </w:rPr>
        <w:t>Prohibiting</w:t>
      </w:r>
      <w:r>
        <w:rPr>
          <w:spacing w:val="-3"/>
          <w:sz w:val="18"/>
          <w:vertAlign w:val="baseline"/>
        </w:rPr>
        <w:t> </w:t>
      </w:r>
      <w:r>
        <w:rPr>
          <w:sz w:val="18"/>
          <w:vertAlign w:val="baseline"/>
        </w:rPr>
        <w:t>Punitive</w:t>
      </w:r>
      <w:r>
        <w:rPr>
          <w:spacing w:val="-3"/>
          <w:sz w:val="18"/>
          <w:vertAlign w:val="baseline"/>
        </w:rPr>
        <w:t> </w:t>
      </w:r>
      <w:r>
        <w:rPr>
          <w:sz w:val="18"/>
          <w:vertAlign w:val="baseline"/>
        </w:rPr>
        <w:t>Isolation</w:t>
      </w:r>
      <w:r>
        <w:rPr>
          <w:spacing w:val="-3"/>
          <w:sz w:val="18"/>
          <w:vertAlign w:val="baseline"/>
        </w:rPr>
        <w:t> </w:t>
      </w:r>
      <w:r>
        <w:rPr>
          <w:sz w:val="18"/>
          <w:vertAlign w:val="baseline"/>
        </w:rPr>
        <w:t>of</w:t>
      </w:r>
      <w:r>
        <w:rPr>
          <w:spacing w:val="-3"/>
          <w:sz w:val="18"/>
          <w:vertAlign w:val="baseline"/>
        </w:rPr>
        <w:t> </w:t>
      </w:r>
      <w:r>
        <w:rPr>
          <w:sz w:val="18"/>
          <w:vertAlign w:val="baseline"/>
        </w:rPr>
        <w:t>Youths</w:t>
      </w:r>
      <w:r>
        <w:rPr>
          <w:spacing w:val="-3"/>
          <w:sz w:val="18"/>
          <w:vertAlign w:val="baseline"/>
        </w:rPr>
        <w:t> </w:t>
      </w:r>
      <w:r>
        <w:rPr>
          <w:sz w:val="18"/>
          <w:vertAlign w:val="baseline"/>
        </w:rPr>
        <w:t>in</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Settings”, March 6, 2024.</w:t>
      </w:r>
      <w:r>
        <w:rPr>
          <w:spacing w:val="40"/>
          <w:sz w:val="18"/>
          <w:vertAlign w:val="baseline"/>
        </w:rPr>
        <w:t> </w:t>
      </w:r>
      <w:r>
        <w:rPr>
          <w:sz w:val="18"/>
          <w:vertAlign w:val="baseline"/>
        </w:rPr>
        <w:t>https://</w:t>
      </w:r>
      <w:hyperlink r:id="rId518">
        <w:r>
          <w:rPr>
            <w:sz w:val="18"/>
            <w:vertAlign w:val="baseline"/>
          </w:rPr>
          <w:t>www.apa.org/news/press/releases/2024/03/punitive-isolation-juvenile-justice</w:t>
        </w:r>
      </w:hyperlink>
    </w:p>
    <w:p>
      <w:pPr>
        <w:spacing w:line="153" w:lineRule="auto" w:before="35"/>
        <w:ind w:left="320" w:right="0" w:firstLine="0"/>
        <w:jc w:val="left"/>
        <w:rPr>
          <w:i/>
          <w:sz w:val="18"/>
        </w:rPr>
      </w:pPr>
      <w:r>
        <w:rPr>
          <w:sz w:val="12"/>
        </w:rPr>
        <w:t>109</w:t>
      </w:r>
      <w:r>
        <w:rPr>
          <w:spacing w:val="13"/>
          <w:sz w:val="12"/>
        </w:rPr>
        <w:t> </w:t>
      </w:r>
      <w:r>
        <w:rPr>
          <w:i/>
          <w:spacing w:val="-5"/>
          <w:position w:val="-5"/>
          <w:sz w:val="18"/>
        </w:rPr>
        <w:t>Id.</w:t>
      </w:r>
    </w:p>
    <w:p>
      <w:pPr>
        <w:spacing w:line="158" w:lineRule="auto" w:before="72"/>
        <w:ind w:left="320" w:right="0" w:firstLine="0"/>
        <w:jc w:val="left"/>
        <w:rPr>
          <w:i/>
          <w:sz w:val="18"/>
        </w:rPr>
      </w:pPr>
      <w:r>
        <w:rPr>
          <w:sz w:val="12"/>
        </w:rPr>
        <w:t>110</w:t>
      </w:r>
      <w:r>
        <w:rPr>
          <w:spacing w:val="13"/>
          <w:sz w:val="12"/>
        </w:rPr>
        <w:t> </w:t>
      </w:r>
      <w:r>
        <w:rPr>
          <w:i/>
          <w:spacing w:val="-5"/>
          <w:position w:val="-5"/>
          <w:sz w:val="18"/>
        </w:rPr>
        <w:t>Id.</w:t>
      </w:r>
    </w:p>
    <w:p>
      <w:pPr>
        <w:spacing w:before="34"/>
        <w:ind w:left="320" w:right="0" w:firstLine="0"/>
        <w:jc w:val="left"/>
        <w:rPr>
          <w:i/>
          <w:sz w:val="18"/>
        </w:rPr>
      </w:pPr>
      <w:r>
        <w:rPr>
          <w:sz w:val="12"/>
        </w:rPr>
        <w:t>111</w:t>
      </w:r>
      <w:r>
        <w:rPr>
          <w:spacing w:val="13"/>
          <w:sz w:val="12"/>
        </w:rPr>
        <w:t> </w:t>
      </w:r>
      <w:r>
        <w:rPr>
          <w:i/>
          <w:spacing w:val="-5"/>
          <w:position w:val="-5"/>
          <w:sz w:val="18"/>
        </w:rPr>
        <w:t>Id.</w:t>
      </w:r>
    </w:p>
    <w:p>
      <w:pPr>
        <w:spacing w:before="0"/>
        <w:ind w:left="320" w:right="0" w:hanging="1"/>
        <w:jc w:val="left"/>
        <w:rPr>
          <w:sz w:val="18"/>
        </w:rPr>
      </w:pPr>
      <w:r>
        <w:rPr>
          <w:sz w:val="18"/>
          <w:vertAlign w:val="superscript"/>
        </w:rPr>
        <w:t>112</w:t>
      </w:r>
      <w:r>
        <w:rPr>
          <w:spacing w:val="-2"/>
          <w:sz w:val="18"/>
          <w:vertAlign w:val="baseline"/>
        </w:rPr>
        <w:t> </w:t>
      </w:r>
      <w:r>
        <w:rPr>
          <w:sz w:val="18"/>
          <w:vertAlign w:val="baseline"/>
        </w:rPr>
        <w:t>Hanssens,</w:t>
      </w:r>
      <w:r>
        <w:rPr>
          <w:spacing w:val="-3"/>
          <w:sz w:val="18"/>
          <w:vertAlign w:val="baseline"/>
        </w:rPr>
        <w:t> </w:t>
      </w:r>
      <w:r>
        <w:rPr>
          <w:sz w:val="18"/>
          <w:vertAlign w:val="baseline"/>
        </w:rPr>
        <w:t>Catherine</w:t>
      </w:r>
      <w:r>
        <w:rPr>
          <w:spacing w:val="-2"/>
          <w:sz w:val="18"/>
          <w:vertAlign w:val="baseline"/>
        </w:rPr>
        <w:t> </w:t>
      </w:r>
      <w:r>
        <w:rPr>
          <w:sz w:val="18"/>
          <w:vertAlign w:val="baseline"/>
        </w:rPr>
        <w:t>and</w:t>
      </w:r>
      <w:r>
        <w:rPr>
          <w:spacing w:val="-2"/>
          <w:sz w:val="18"/>
          <w:vertAlign w:val="baseline"/>
        </w:rPr>
        <w:t> </w:t>
      </w:r>
      <w:r>
        <w:rPr>
          <w:sz w:val="18"/>
          <w:vertAlign w:val="baseline"/>
        </w:rPr>
        <w:t>Rene</w:t>
      </w:r>
      <w:r>
        <w:rPr>
          <w:spacing w:val="-4"/>
          <w:sz w:val="18"/>
          <w:vertAlign w:val="baseline"/>
        </w:rPr>
        <w:t> </w:t>
      </w:r>
      <w:r>
        <w:rPr>
          <w:sz w:val="18"/>
          <w:vertAlign w:val="baseline"/>
        </w:rPr>
        <w:t>Bennett-Carlson.</w:t>
      </w:r>
      <w:r>
        <w:rPr>
          <w:spacing w:val="-2"/>
          <w:sz w:val="18"/>
          <w:vertAlign w:val="baseline"/>
        </w:rPr>
        <w:t> </w:t>
      </w:r>
      <w:r>
        <w:rPr>
          <w:sz w:val="18"/>
          <w:vertAlign w:val="baseline"/>
        </w:rPr>
        <w:t>2010.</w:t>
      </w:r>
      <w:r>
        <w:rPr>
          <w:spacing w:val="-2"/>
          <w:sz w:val="18"/>
          <w:vertAlign w:val="baseline"/>
        </w:rPr>
        <w:t> </w:t>
      </w:r>
      <w:r>
        <w:rPr>
          <w:sz w:val="18"/>
          <w:vertAlign w:val="baseline"/>
        </w:rPr>
        <w:t>“Juvenile</w:t>
      </w:r>
      <w:r>
        <w:rPr>
          <w:spacing w:val="-2"/>
          <w:sz w:val="18"/>
          <w:vertAlign w:val="baseline"/>
        </w:rPr>
        <w:t> </w:t>
      </w:r>
      <w:r>
        <w:rPr>
          <w:sz w:val="18"/>
          <w:vertAlign w:val="baseline"/>
        </w:rPr>
        <w:t>Injustice:</w:t>
      </w:r>
      <w:r>
        <w:rPr>
          <w:spacing w:val="-2"/>
          <w:sz w:val="18"/>
          <w:vertAlign w:val="baseline"/>
        </w:rPr>
        <w:t> </w:t>
      </w:r>
      <w:r>
        <w:rPr>
          <w:sz w:val="18"/>
          <w:vertAlign w:val="baseline"/>
        </w:rPr>
        <w:t>The</w:t>
      </w:r>
      <w:r>
        <w:rPr>
          <w:spacing w:val="-2"/>
          <w:sz w:val="18"/>
          <w:vertAlign w:val="baseline"/>
        </w:rPr>
        <w:t> </w:t>
      </w:r>
      <w:r>
        <w:rPr>
          <w:sz w:val="18"/>
          <w:vertAlign w:val="baseline"/>
        </w:rPr>
        <w:t>Unfulfilled</w:t>
      </w:r>
      <w:r>
        <w:rPr>
          <w:spacing w:val="-2"/>
          <w:sz w:val="18"/>
          <w:vertAlign w:val="baseline"/>
        </w:rPr>
        <w:t> </w:t>
      </w:r>
      <w:r>
        <w:rPr>
          <w:sz w:val="18"/>
          <w:vertAlign w:val="baseline"/>
        </w:rPr>
        <w:t>Rights</w:t>
      </w:r>
      <w:r>
        <w:rPr>
          <w:spacing w:val="-2"/>
          <w:sz w:val="18"/>
          <w:vertAlign w:val="baseline"/>
        </w:rPr>
        <w:t> </w:t>
      </w:r>
      <w:r>
        <w:rPr>
          <w:sz w:val="18"/>
          <w:vertAlign w:val="baseline"/>
        </w:rPr>
        <w:t>of</w:t>
      </w:r>
      <w:r>
        <w:rPr>
          <w:spacing w:val="-2"/>
          <w:sz w:val="18"/>
          <w:vertAlign w:val="baseline"/>
        </w:rPr>
        <w:t> </w:t>
      </w:r>
      <w:r>
        <w:rPr>
          <w:sz w:val="18"/>
          <w:vertAlign w:val="baseline"/>
        </w:rPr>
        <w:t>Youth</w:t>
      </w:r>
      <w:r>
        <w:rPr>
          <w:spacing w:val="-2"/>
          <w:sz w:val="18"/>
          <w:vertAlign w:val="baseline"/>
        </w:rPr>
        <w:t> </w:t>
      </w:r>
      <w:r>
        <w:rPr>
          <w:sz w:val="18"/>
          <w:vertAlign w:val="baseline"/>
        </w:rPr>
        <w:t>in</w:t>
      </w:r>
      <w:r>
        <w:rPr>
          <w:spacing w:val="-2"/>
          <w:sz w:val="18"/>
          <w:vertAlign w:val="baseline"/>
        </w:rPr>
        <w:t> </w:t>
      </w:r>
      <w:r>
        <w:rPr>
          <w:sz w:val="18"/>
          <w:vertAlign w:val="baseline"/>
        </w:rPr>
        <w:t>State</w:t>
      </w:r>
      <w:r>
        <w:rPr>
          <w:spacing w:val="-2"/>
          <w:sz w:val="18"/>
          <w:vertAlign w:val="baseline"/>
        </w:rPr>
        <w:t> </w:t>
      </w:r>
      <w:r>
        <w:rPr>
          <w:sz w:val="18"/>
          <w:vertAlign w:val="baseline"/>
        </w:rPr>
        <w:t>Custody</w:t>
      </w:r>
      <w:r>
        <w:rPr>
          <w:spacing w:val="-2"/>
          <w:sz w:val="18"/>
          <w:vertAlign w:val="baseline"/>
        </w:rPr>
        <w:t> </w:t>
      </w:r>
      <w:r>
        <w:rPr>
          <w:sz w:val="18"/>
          <w:vertAlign w:val="baseline"/>
        </w:rPr>
        <w:t>to Comprehensive Sexual Health Care” (New York: The Center for HIV Law and Policy, 2010), </w:t>
      </w:r>
      <w:r>
        <w:rPr>
          <w:spacing w:val="-2"/>
          <w:sz w:val="18"/>
          <w:vertAlign w:val="baseline"/>
        </w:rPr>
        <w:t>https:</w:t>
      </w:r>
      <w:hyperlink r:id="rId519">
        <w:r>
          <w:rPr>
            <w:spacing w:val="-2"/>
            <w:sz w:val="18"/>
            <w:vertAlign w:val="baseline"/>
          </w:rPr>
          <w:t>//www.hivlawandpolicy.org/sites/default/files/TS%20LRM%20Dec.%202010.pdf</w:t>
        </w:r>
      </w:hyperlink>
    </w:p>
    <w:p>
      <w:pPr>
        <w:spacing w:before="0"/>
        <w:ind w:left="320" w:right="104" w:firstLine="0"/>
        <w:jc w:val="left"/>
        <w:rPr>
          <w:sz w:val="18"/>
        </w:rPr>
      </w:pPr>
      <w:r>
        <w:rPr>
          <w:sz w:val="18"/>
          <w:vertAlign w:val="superscript"/>
        </w:rPr>
        <w:t>113</w:t>
      </w:r>
      <w:r>
        <w:rPr>
          <w:spacing w:val="-2"/>
          <w:sz w:val="18"/>
          <w:vertAlign w:val="baseline"/>
        </w:rPr>
        <w:t> </w:t>
      </w:r>
      <w:r>
        <w:rPr>
          <w:sz w:val="18"/>
          <w:vertAlign w:val="baseline"/>
        </w:rPr>
        <w:t>Pan,</w:t>
      </w:r>
      <w:r>
        <w:rPr>
          <w:spacing w:val="-3"/>
          <w:sz w:val="18"/>
          <w:vertAlign w:val="baseline"/>
        </w:rPr>
        <w:t> </w:t>
      </w:r>
      <w:r>
        <w:rPr>
          <w:sz w:val="18"/>
          <w:vertAlign w:val="baseline"/>
        </w:rPr>
        <w:t>Yue</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2020.</w:t>
      </w:r>
      <w:r>
        <w:rPr>
          <w:spacing w:val="-2"/>
          <w:sz w:val="18"/>
          <w:vertAlign w:val="baseline"/>
        </w:rPr>
        <w:t> </w:t>
      </w:r>
      <w:r>
        <w:rPr>
          <w:sz w:val="18"/>
          <w:vertAlign w:val="baseline"/>
        </w:rPr>
        <w:t>“The</w:t>
      </w:r>
      <w:r>
        <w:rPr>
          <w:spacing w:val="-2"/>
          <w:sz w:val="18"/>
          <w:vertAlign w:val="baseline"/>
        </w:rPr>
        <w:t> </w:t>
      </w:r>
      <w:r>
        <w:rPr>
          <w:sz w:val="18"/>
          <w:vertAlign w:val="baseline"/>
        </w:rPr>
        <w:t>Relationship</w:t>
      </w:r>
      <w:r>
        <w:rPr>
          <w:spacing w:val="-2"/>
          <w:sz w:val="18"/>
          <w:vertAlign w:val="baseline"/>
        </w:rPr>
        <w:t> </w:t>
      </w:r>
      <w:r>
        <w:rPr>
          <w:sz w:val="18"/>
          <w:vertAlign w:val="baseline"/>
        </w:rPr>
        <w:t>Between</w:t>
      </w:r>
      <w:r>
        <w:rPr>
          <w:spacing w:val="-3"/>
          <w:sz w:val="18"/>
          <w:vertAlign w:val="baseline"/>
        </w:rPr>
        <w:t> </w:t>
      </w:r>
      <w:r>
        <w:rPr>
          <w:sz w:val="18"/>
          <w:vertAlign w:val="baseline"/>
        </w:rPr>
        <w:t>Housing</w:t>
      </w:r>
      <w:r>
        <w:rPr>
          <w:spacing w:val="-2"/>
          <w:sz w:val="18"/>
          <w:vertAlign w:val="baseline"/>
        </w:rPr>
        <w:t> </w:t>
      </w:r>
      <w:r>
        <w:rPr>
          <w:sz w:val="18"/>
          <w:vertAlign w:val="baseline"/>
        </w:rPr>
        <w:t>Status</w:t>
      </w:r>
      <w:r>
        <w:rPr>
          <w:spacing w:val="-2"/>
          <w:sz w:val="18"/>
          <w:vertAlign w:val="baseline"/>
        </w:rPr>
        <w:t> </w:t>
      </w:r>
      <w:r>
        <w:rPr>
          <w:sz w:val="18"/>
          <w:vertAlign w:val="baseline"/>
        </w:rPr>
        <w:t>and</w:t>
      </w:r>
      <w:r>
        <w:rPr>
          <w:spacing w:val="-2"/>
          <w:sz w:val="18"/>
          <w:vertAlign w:val="baseline"/>
        </w:rPr>
        <w:t> </w:t>
      </w:r>
      <w:r>
        <w:rPr>
          <w:sz w:val="18"/>
          <w:vertAlign w:val="baseline"/>
        </w:rPr>
        <w:t>Substance</w:t>
      </w:r>
      <w:r>
        <w:rPr>
          <w:spacing w:val="-2"/>
          <w:sz w:val="18"/>
          <w:vertAlign w:val="baseline"/>
        </w:rPr>
        <w:t> </w:t>
      </w:r>
      <w:r>
        <w:rPr>
          <w:sz w:val="18"/>
          <w:vertAlign w:val="baseline"/>
        </w:rPr>
        <w:t>Use</w:t>
      </w:r>
      <w:r>
        <w:rPr>
          <w:spacing w:val="-2"/>
          <w:sz w:val="18"/>
          <w:vertAlign w:val="baseline"/>
        </w:rPr>
        <w:t> </w:t>
      </w:r>
      <w:r>
        <w:rPr>
          <w:sz w:val="18"/>
          <w:vertAlign w:val="baseline"/>
        </w:rPr>
        <w:t>and</w:t>
      </w:r>
      <w:r>
        <w:rPr>
          <w:spacing w:val="-2"/>
          <w:sz w:val="18"/>
          <w:vertAlign w:val="baseline"/>
        </w:rPr>
        <w:t> </w:t>
      </w:r>
      <w:r>
        <w:rPr>
          <w:sz w:val="18"/>
          <w:vertAlign w:val="baseline"/>
        </w:rPr>
        <w:t>Sexual</w:t>
      </w:r>
      <w:r>
        <w:rPr>
          <w:spacing w:val="-3"/>
          <w:sz w:val="18"/>
          <w:vertAlign w:val="baseline"/>
        </w:rPr>
        <w:t> </w:t>
      </w:r>
      <w:r>
        <w:rPr>
          <w:sz w:val="18"/>
          <w:vertAlign w:val="baseline"/>
        </w:rPr>
        <w:t>Risk</w:t>
      </w:r>
      <w:r>
        <w:rPr>
          <w:spacing w:val="-3"/>
          <w:sz w:val="18"/>
          <w:vertAlign w:val="baseline"/>
        </w:rPr>
        <w:t> </w:t>
      </w:r>
      <w:r>
        <w:rPr>
          <w:sz w:val="18"/>
          <w:vertAlign w:val="baseline"/>
        </w:rPr>
        <w:t>Behaviors</w:t>
      </w:r>
      <w:r>
        <w:rPr>
          <w:spacing w:val="-2"/>
          <w:sz w:val="18"/>
          <w:vertAlign w:val="baseline"/>
        </w:rPr>
        <w:t> </w:t>
      </w:r>
      <w:r>
        <w:rPr>
          <w:sz w:val="18"/>
          <w:vertAlign w:val="baseline"/>
        </w:rPr>
        <w:t>Among</w:t>
      </w:r>
      <w:r>
        <w:rPr>
          <w:spacing w:val="-2"/>
          <w:sz w:val="18"/>
          <w:vertAlign w:val="baseline"/>
        </w:rPr>
        <w:t> </w:t>
      </w:r>
      <w:r>
        <w:rPr>
          <w:sz w:val="18"/>
          <w:vertAlign w:val="baseline"/>
        </w:rPr>
        <w:t>People Currently Seeking or Receiving Services in Substance Use Disorder Treatment Programs</w:t>
      </w:r>
      <w:r>
        <w:rPr>
          <w:i/>
          <w:sz w:val="18"/>
          <w:vertAlign w:val="baseline"/>
        </w:rPr>
        <w:t>”, Journal Primary Prevention</w:t>
      </w:r>
      <w:r>
        <w:rPr>
          <w:sz w:val="18"/>
          <w:vertAlign w:val="baseline"/>
        </w:rPr>
        <w:t>. </w:t>
      </w:r>
      <w:hyperlink r:id="rId520">
        <w:r>
          <w:rPr>
            <w:spacing w:val="-2"/>
            <w:sz w:val="18"/>
            <w:u w:val="single"/>
            <w:vertAlign w:val="baseline"/>
          </w:rPr>
          <w:t>https://www.ncbi.nlm.nih.gov/pmc/articles/PMC7384551/#:~:text=Recent%20studies%20have%20consistently%20shown,(Aid</w:t>
        </w:r>
      </w:hyperlink>
      <w:r>
        <w:rPr>
          <w:sz w:val="18"/>
          <w:u w:val="none"/>
          <w:vertAlign w:val="baseline"/>
        </w:rPr>
        <w:t> </w:t>
      </w:r>
      <w:hyperlink r:id="rId520">
        <w:r>
          <w:rPr>
            <w:sz w:val="18"/>
            <w:u w:val="single"/>
            <w:vertAlign w:val="baseline"/>
          </w:rPr>
          <w:t>ala%2C%20Cross%2C%20Stall%2C</w:t>
        </w:r>
      </w:hyperlink>
      <w:r>
        <w:rPr>
          <w:spacing w:val="-2"/>
          <w:sz w:val="18"/>
          <w:u w:val="none"/>
          <w:vertAlign w:val="baseline"/>
        </w:rPr>
        <w:t> </w:t>
      </w:r>
      <w:r>
        <w:rPr>
          <w:sz w:val="18"/>
          <w:u w:val="none"/>
          <w:vertAlign w:val="baseline"/>
        </w:rPr>
        <w:t>;</w:t>
      </w:r>
    </w:p>
    <w:p>
      <w:pPr>
        <w:spacing w:before="0"/>
        <w:ind w:left="320" w:right="0" w:firstLine="0"/>
        <w:jc w:val="left"/>
        <w:rPr>
          <w:sz w:val="18"/>
        </w:rPr>
      </w:pPr>
      <w:r>
        <w:rPr>
          <w:sz w:val="18"/>
          <w:vertAlign w:val="superscript"/>
        </w:rPr>
        <w:t>114</w:t>
      </w:r>
      <w:r>
        <w:rPr>
          <w:spacing w:val="-2"/>
          <w:sz w:val="18"/>
          <w:vertAlign w:val="baseline"/>
        </w:rPr>
        <w:t> </w:t>
      </w:r>
      <w:r>
        <w:rPr>
          <w:sz w:val="18"/>
          <w:vertAlign w:val="baseline"/>
        </w:rPr>
        <w:t>Weber,</w:t>
      </w:r>
      <w:r>
        <w:rPr>
          <w:spacing w:val="-3"/>
          <w:sz w:val="18"/>
          <w:vertAlign w:val="baseline"/>
        </w:rPr>
        <w:t> </w:t>
      </w:r>
      <w:r>
        <w:rPr>
          <w:sz w:val="18"/>
          <w:vertAlign w:val="baseline"/>
        </w:rPr>
        <w:t>F.</w:t>
      </w:r>
      <w:r>
        <w:rPr>
          <w:spacing w:val="-2"/>
          <w:sz w:val="18"/>
          <w:vertAlign w:val="baseline"/>
        </w:rPr>
        <w:t> </w:t>
      </w:r>
      <w:r>
        <w:rPr>
          <w:sz w:val="18"/>
          <w:vertAlign w:val="baseline"/>
        </w:rPr>
        <w:t>Thomas,</w:t>
      </w:r>
      <w:r>
        <w:rPr>
          <w:spacing w:val="-3"/>
          <w:sz w:val="18"/>
          <w:vertAlign w:val="baseline"/>
        </w:rPr>
        <w:t> </w:t>
      </w:r>
      <w:r>
        <w:rPr>
          <w:sz w:val="18"/>
          <w:vertAlign w:val="baseline"/>
        </w:rPr>
        <w:t>Dianne</w:t>
      </w:r>
      <w:r>
        <w:rPr>
          <w:spacing w:val="-2"/>
          <w:sz w:val="18"/>
          <w:vertAlign w:val="baseline"/>
        </w:rPr>
        <w:t> </w:t>
      </w:r>
      <w:r>
        <w:rPr>
          <w:sz w:val="18"/>
          <w:vertAlign w:val="baseline"/>
        </w:rPr>
        <w:t>S.</w:t>
      </w:r>
      <w:r>
        <w:rPr>
          <w:spacing w:val="-2"/>
          <w:sz w:val="18"/>
          <w:vertAlign w:val="baseline"/>
        </w:rPr>
        <w:t> </w:t>
      </w:r>
      <w:r>
        <w:rPr>
          <w:sz w:val="18"/>
          <w:vertAlign w:val="baseline"/>
        </w:rPr>
        <w:t>Elfenbein,</w:t>
      </w:r>
      <w:r>
        <w:rPr>
          <w:spacing w:val="-3"/>
          <w:sz w:val="18"/>
          <w:vertAlign w:val="baseline"/>
        </w:rPr>
        <w:t> </w:t>
      </w:r>
      <w:r>
        <w:rPr>
          <w:sz w:val="18"/>
          <w:vertAlign w:val="baseline"/>
        </w:rPr>
        <w:t>Nancy</w:t>
      </w:r>
      <w:r>
        <w:rPr>
          <w:spacing w:val="-2"/>
          <w:sz w:val="18"/>
          <w:vertAlign w:val="baseline"/>
        </w:rPr>
        <w:t> </w:t>
      </w:r>
      <w:r>
        <w:rPr>
          <w:sz w:val="18"/>
          <w:vertAlign w:val="baseline"/>
        </w:rPr>
        <w:t>L.</w:t>
      </w:r>
      <w:r>
        <w:rPr>
          <w:spacing w:val="-3"/>
          <w:sz w:val="18"/>
          <w:vertAlign w:val="baseline"/>
        </w:rPr>
        <w:t> </w:t>
      </w:r>
      <w:r>
        <w:rPr>
          <w:sz w:val="18"/>
          <w:vertAlign w:val="baseline"/>
        </w:rPr>
        <w:t>Richards,</w:t>
      </w:r>
      <w:r>
        <w:rPr>
          <w:spacing w:val="-3"/>
          <w:sz w:val="18"/>
          <w:vertAlign w:val="baseline"/>
        </w:rPr>
        <w:t> </w:t>
      </w:r>
      <w:r>
        <w:rPr>
          <w:sz w:val="18"/>
          <w:vertAlign w:val="baseline"/>
        </w:rPr>
        <w:t>Arlene</w:t>
      </w:r>
      <w:r>
        <w:rPr>
          <w:spacing w:val="-2"/>
          <w:sz w:val="18"/>
          <w:vertAlign w:val="baseline"/>
        </w:rPr>
        <w:t> </w:t>
      </w:r>
      <w:r>
        <w:rPr>
          <w:sz w:val="18"/>
          <w:vertAlign w:val="baseline"/>
        </w:rPr>
        <w:t>B.</w:t>
      </w:r>
      <w:r>
        <w:rPr>
          <w:spacing w:val="-2"/>
          <w:sz w:val="18"/>
          <w:vertAlign w:val="baseline"/>
        </w:rPr>
        <w:t> </w:t>
      </w:r>
      <w:r>
        <w:rPr>
          <w:sz w:val="18"/>
          <w:vertAlign w:val="baseline"/>
        </w:rPr>
        <w:t>Davis,</w:t>
      </w:r>
      <w:r>
        <w:rPr>
          <w:spacing w:val="-3"/>
          <w:sz w:val="18"/>
          <w:vertAlign w:val="baseline"/>
        </w:rPr>
        <w:t> </w:t>
      </w:r>
      <w:r>
        <w:rPr>
          <w:sz w:val="18"/>
          <w:vertAlign w:val="baseline"/>
        </w:rPr>
        <w:t>and</w:t>
      </w:r>
      <w:r>
        <w:rPr>
          <w:spacing w:val="-4"/>
          <w:sz w:val="18"/>
          <w:vertAlign w:val="baseline"/>
        </w:rPr>
        <w:t> </w:t>
      </w:r>
      <w:r>
        <w:rPr>
          <w:sz w:val="18"/>
          <w:vertAlign w:val="baseline"/>
        </w:rPr>
        <w:t>Julia</w:t>
      </w:r>
      <w:r>
        <w:rPr>
          <w:spacing w:val="-2"/>
          <w:sz w:val="18"/>
          <w:vertAlign w:val="baseline"/>
        </w:rPr>
        <w:t> </w:t>
      </w:r>
      <w:r>
        <w:rPr>
          <w:sz w:val="18"/>
          <w:vertAlign w:val="baseline"/>
        </w:rPr>
        <w:t>Thomas.</w:t>
      </w:r>
      <w:r>
        <w:rPr>
          <w:spacing w:val="-2"/>
          <w:sz w:val="18"/>
          <w:vertAlign w:val="baseline"/>
        </w:rPr>
        <w:t> </w:t>
      </w:r>
      <w:r>
        <w:rPr>
          <w:sz w:val="18"/>
          <w:vertAlign w:val="baseline"/>
        </w:rPr>
        <w:t>1989.</w:t>
      </w:r>
      <w:r>
        <w:rPr>
          <w:spacing w:val="-2"/>
          <w:sz w:val="18"/>
          <w:vertAlign w:val="baseline"/>
        </w:rPr>
        <w:t> </w:t>
      </w:r>
      <w:r>
        <w:rPr>
          <w:sz w:val="18"/>
          <w:vertAlign w:val="baseline"/>
        </w:rPr>
        <w:t>"Early</w:t>
      </w:r>
      <w:r>
        <w:rPr>
          <w:spacing w:val="-2"/>
          <w:sz w:val="18"/>
          <w:vertAlign w:val="baseline"/>
        </w:rPr>
        <w:t> </w:t>
      </w:r>
      <w:r>
        <w:rPr>
          <w:sz w:val="18"/>
          <w:vertAlign w:val="baseline"/>
        </w:rPr>
        <w:t>sexual</w:t>
      </w:r>
      <w:r>
        <w:rPr>
          <w:spacing w:val="-3"/>
          <w:sz w:val="18"/>
          <w:vertAlign w:val="baseline"/>
        </w:rPr>
        <w:t> </w:t>
      </w:r>
      <w:r>
        <w:rPr>
          <w:sz w:val="18"/>
          <w:vertAlign w:val="baseline"/>
        </w:rPr>
        <w:t>activity</w:t>
      </w:r>
      <w:r>
        <w:rPr>
          <w:spacing w:val="-2"/>
          <w:sz w:val="18"/>
          <w:vertAlign w:val="baseline"/>
        </w:rPr>
        <w:t> </w:t>
      </w:r>
      <w:r>
        <w:rPr>
          <w:sz w:val="18"/>
          <w:vertAlign w:val="baseline"/>
        </w:rPr>
        <w:t>of delinquent adolescents." </w:t>
      </w:r>
      <w:r>
        <w:rPr>
          <w:i/>
          <w:sz w:val="18"/>
          <w:vertAlign w:val="baseline"/>
        </w:rPr>
        <w:t>Journal of Adolescent Health Care </w:t>
      </w:r>
      <w:r>
        <w:rPr>
          <w:sz w:val="18"/>
          <w:vertAlign w:val="baseline"/>
        </w:rPr>
        <w:t>10, no. 5: 398-403.</w:t>
      </w:r>
    </w:p>
    <w:p>
      <w:pPr>
        <w:spacing w:before="0"/>
        <w:ind w:left="320" w:right="481" w:firstLine="0"/>
        <w:jc w:val="left"/>
        <w:rPr>
          <w:sz w:val="18"/>
        </w:rPr>
      </w:pPr>
      <w:r>
        <w:rPr>
          <w:sz w:val="18"/>
          <w:vertAlign w:val="superscript"/>
        </w:rPr>
        <w:t>115</w:t>
      </w:r>
      <w:r>
        <w:rPr>
          <w:sz w:val="18"/>
          <w:vertAlign w:val="baseline"/>
        </w:rPr>
        <w:t> Widom, Rebecca; Hammett, Theodore M. 1996. </w:t>
      </w:r>
      <w:r>
        <w:rPr>
          <w:i/>
          <w:sz w:val="18"/>
          <w:vertAlign w:val="baseline"/>
        </w:rPr>
        <w:t>HIV/AIDs and STDS in Juvenile Facilities,</w:t>
      </w:r>
      <w:r>
        <w:rPr>
          <w:i/>
          <w:sz w:val="18"/>
          <w:vertAlign w:val="baseline"/>
        </w:rPr>
        <w:t> </w:t>
      </w:r>
      <w:hyperlink r:id="rId521">
        <w:r>
          <w:rPr>
            <w:sz w:val="18"/>
            <w:u w:val="single"/>
            <w:vertAlign w:val="baseline"/>
          </w:rPr>
          <w:t>https://www.ojp.gov/pdffiles/hivjuve.pdf</w:t>
        </w:r>
        <w:r>
          <w:rPr>
            <w:sz w:val="18"/>
            <w:u w:val="none"/>
            <w:vertAlign w:val="baseline"/>
          </w:rPr>
          <w:t>;</w:t>
        </w:r>
      </w:hyperlink>
      <w:r>
        <w:rPr>
          <w:spacing w:val="-3"/>
          <w:sz w:val="18"/>
          <w:u w:val="none"/>
          <w:vertAlign w:val="baseline"/>
        </w:rPr>
        <w:t> </w:t>
      </w:r>
      <w:r>
        <w:rPr>
          <w:sz w:val="18"/>
          <w:u w:val="none"/>
          <w:vertAlign w:val="baseline"/>
        </w:rPr>
        <w:t>Stokes,</w:t>
      </w:r>
      <w:r>
        <w:rPr>
          <w:spacing w:val="-4"/>
          <w:sz w:val="18"/>
          <w:u w:val="none"/>
          <w:vertAlign w:val="baseline"/>
        </w:rPr>
        <w:t> </w:t>
      </w:r>
      <w:r>
        <w:rPr>
          <w:sz w:val="18"/>
          <w:u w:val="none"/>
          <w:vertAlign w:val="baseline"/>
        </w:rPr>
        <w:t>Marquita</w:t>
      </w:r>
      <w:r>
        <w:rPr>
          <w:spacing w:val="-3"/>
          <w:sz w:val="18"/>
          <w:u w:val="none"/>
          <w:vertAlign w:val="baseline"/>
        </w:rPr>
        <w:t> </w:t>
      </w:r>
      <w:r>
        <w:rPr>
          <w:sz w:val="18"/>
          <w:u w:val="none"/>
          <w:vertAlign w:val="baseline"/>
        </w:rPr>
        <w:t>L.</w:t>
      </w:r>
      <w:r>
        <w:rPr>
          <w:spacing w:val="-3"/>
          <w:sz w:val="18"/>
          <w:u w:val="none"/>
          <w:vertAlign w:val="baseline"/>
        </w:rPr>
        <w:t> </w:t>
      </w:r>
      <w:r>
        <w:rPr>
          <w:sz w:val="18"/>
          <w:u w:val="none"/>
          <w:vertAlign w:val="baseline"/>
        </w:rPr>
        <w:t>et</w:t>
      </w:r>
      <w:r>
        <w:rPr>
          <w:spacing w:val="-4"/>
          <w:sz w:val="18"/>
          <w:u w:val="none"/>
          <w:vertAlign w:val="baseline"/>
        </w:rPr>
        <w:t> </w:t>
      </w:r>
      <w:r>
        <w:rPr>
          <w:sz w:val="18"/>
          <w:u w:val="none"/>
          <w:vertAlign w:val="baseline"/>
        </w:rPr>
        <w:t>al.,</w:t>
      </w:r>
      <w:r>
        <w:rPr>
          <w:spacing w:val="-4"/>
          <w:sz w:val="18"/>
          <w:u w:val="none"/>
          <w:vertAlign w:val="baseline"/>
        </w:rPr>
        <w:t> </w:t>
      </w:r>
      <w:r>
        <w:rPr>
          <w:sz w:val="18"/>
          <w:u w:val="none"/>
          <w:vertAlign w:val="baseline"/>
        </w:rPr>
        <w:t>2023.</w:t>
      </w:r>
      <w:r>
        <w:rPr>
          <w:spacing w:val="-3"/>
          <w:sz w:val="18"/>
          <w:u w:val="none"/>
          <w:vertAlign w:val="baseline"/>
        </w:rPr>
        <w:t> </w:t>
      </w:r>
      <w:r>
        <w:rPr>
          <w:sz w:val="18"/>
          <w:u w:val="none"/>
          <w:vertAlign w:val="baseline"/>
        </w:rPr>
        <w:t>Substance</w:t>
      </w:r>
      <w:r>
        <w:rPr>
          <w:spacing w:val="-3"/>
          <w:sz w:val="18"/>
          <w:u w:val="none"/>
          <w:vertAlign w:val="baseline"/>
        </w:rPr>
        <w:t> </w:t>
      </w:r>
      <w:r>
        <w:rPr>
          <w:sz w:val="18"/>
          <w:u w:val="none"/>
          <w:vertAlign w:val="baseline"/>
        </w:rPr>
        <w:t>Abuse</w:t>
      </w:r>
      <w:r>
        <w:rPr>
          <w:spacing w:val="-3"/>
          <w:sz w:val="18"/>
          <w:u w:val="none"/>
          <w:vertAlign w:val="baseline"/>
        </w:rPr>
        <w:t> </w:t>
      </w:r>
      <w:r>
        <w:rPr>
          <w:sz w:val="18"/>
          <w:u w:val="none"/>
          <w:vertAlign w:val="baseline"/>
        </w:rPr>
        <w:t>Disorders</w:t>
      </w:r>
      <w:r>
        <w:rPr>
          <w:spacing w:val="-3"/>
          <w:sz w:val="18"/>
          <w:u w:val="none"/>
          <w:vertAlign w:val="baseline"/>
        </w:rPr>
        <w:t> </w:t>
      </w:r>
      <w:r>
        <w:rPr>
          <w:sz w:val="18"/>
          <w:u w:val="none"/>
          <w:vertAlign w:val="baseline"/>
        </w:rPr>
        <w:t>and</w:t>
      </w:r>
      <w:r>
        <w:rPr>
          <w:spacing w:val="-3"/>
          <w:sz w:val="18"/>
          <w:u w:val="none"/>
          <w:vertAlign w:val="baseline"/>
        </w:rPr>
        <w:t> </w:t>
      </w:r>
      <w:r>
        <w:rPr>
          <w:sz w:val="18"/>
          <w:u w:val="none"/>
          <w:vertAlign w:val="baseline"/>
        </w:rPr>
        <w:t>HIV/AIDs</w:t>
      </w:r>
      <w:r>
        <w:rPr>
          <w:spacing w:val="-3"/>
          <w:sz w:val="18"/>
          <w:u w:val="none"/>
          <w:vertAlign w:val="baseline"/>
        </w:rPr>
        <w:t> </w:t>
      </w:r>
      <w:r>
        <w:rPr>
          <w:sz w:val="18"/>
          <w:u w:val="none"/>
          <w:vertAlign w:val="baseline"/>
        </w:rPr>
        <w:t>Risk Behaviors in Youth After Juvenile Detention: A 16-Year Longitudinal Study, </w:t>
      </w:r>
      <w:r>
        <w:rPr>
          <w:i/>
          <w:sz w:val="18"/>
          <w:u w:val="none"/>
          <w:vertAlign w:val="baseline"/>
        </w:rPr>
        <w:t>Journal of Adolescent Health</w:t>
      </w:r>
      <w:r>
        <w:rPr>
          <w:sz w:val="18"/>
          <w:u w:val="none"/>
          <w:vertAlign w:val="baseline"/>
        </w:rPr>
        <w:t>. </w:t>
      </w:r>
      <w:r>
        <w:rPr>
          <w:spacing w:val="-2"/>
          <w:sz w:val="18"/>
          <w:u w:val="none"/>
          <w:vertAlign w:val="baseline"/>
        </w:rPr>
        <w:t>https://</w:t>
      </w:r>
      <w:hyperlink r:id="rId522">
        <w:r>
          <w:rPr>
            <w:spacing w:val="-2"/>
            <w:sz w:val="18"/>
            <w:u w:val="none"/>
            <w:vertAlign w:val="baseline"/>
          </w:rPr>
          <w:t>www.sciencedirect.com/science/article/abs/pii/S1054139X23002744</w:t>
        </w:r>
      </w:hyperlink>
    </w:p>
    <w:p>
      <w:pPr>
        <w:spacing w:after="0"/>
        <w:jc w:val="left"/>
        <w:rPr>
          <w:sz w:val="18"/>
        </w:rPr>
        <w:sectPr>
          <w:pgSz w:w="12240" w:h="15840"/>
          <w:pgMar w:header="763" w:footer="1041" w:top="1360" w:bottom="1240" w:left="1120" w:right="1340"/>
        </w:sectPr>
      </w:pPr>
    </w:p>
    <w:p>
      <w:pPr>
        <w:pStyle w:val="BodyText"/>
        <w:spacing w:before="90"/>
        <w:rPr>
          <w:sz w:val="18"/>
        </w:rPr>
      </w:pPr>
    </w:p>
    <w:p>
      <w:pPr>
        <w:spacing w:before="1"/>
        <w:ind w:left="320" w:right="0" w:firstLine="0"/>
        <w:jc w:val="left"/>
        <w:rPr>
          <w:sz w:val="18"/>
        </w:rPr>
      </w:pPr>
      <w:r>
        <w:rPr>
          <w:sz w:val="18"/>
          <w:vertAlign w:val="superscript"/>
        </w:rPr>
        <w:t>116</w:t>
      </w:r>
      <w:r>
        <w:rPr>
          <w:spacing w:val="-2"/>
          <w:sz w:val="18"/>
          <w:vertAlign w:val="baseline"/>
        </w:rPr>
        <w:t> </w:t>
      </w:r>
      <w:r>
        <w:rPr>
          <w:sz w:val="18"/>
          <w:vertAlign w:val="baseline"/>
        </w:rPr>
        <w:t>Watson,</w:t>
      </w:r>
      <w:r>
        <w:rPr>
          <w:spacing w:val="-3"/>
          <w:sz w:val="18"/>
          <w:vertAlign w:val="baseline"/>
        </w:rPr>
        <w:t> </w:t>
      </w:r>
      <w:r>
        <w:rPr>
          <w:sz w:val="18"/>
          <w:vertAlign w:val="baseline"/>
        </w:rPr>
        <w:t>Jennifer,</w:t>
      </w:r>
      <w:r>
        <w:rPr>
          <w:spacing w:val="-3"/>
          <w:sz w:val="18"/>
          <w:vertAlign w:val="baseline"/>
        </w:rPr>
        <w:t> </w:t>
      </w:r>
      <w:r>
        <w:rPr>
          <w:sz w:val="18"/>
          <w:vertAlign w:val="baseline"/>
        </w:rPr>
        <w:t>Bryce,</w:t>
      </w:r>
      <w:r>
        <w:rPr>
          <w:spacing w:val="-3"/>
          <w:sz w:val="18"/>
          <w:vertAlign w:val="baseline"/>
        </w:rPr>
        <w:t> </w:t>
      </w:r>
      <w:r>
        <w:rPr>
          <w:sz w:val="18"/>
          <w:vertAlign w:val="baseline"/>
        </w:rPr>
        <w:t>India</w:t>
      </w:r>
      <w:r>
        <w:rPr>
          <w:spacing w:val="-2"/>
          <w:sz w:val="18"/>
          <w:vertAlign w:val="baseline"/>
        </w:rPr>
        <w:t> </w:t>
      </w:r>
      <w:r>
        <w:rPr>
          <w:sz w:val="18"/>
          <w:vertAlign w:val="baseline"/>
        </w:rPr>
        <w:t>and</w:t>
      </w:r>
      <w:r>
        <w:rPr>
          <w:spacing w:val="-2"/>
          <w:sz w:val="18"/>
          <w:vertAlign w:val="baseline"/>
        </w:rPr>
        <w:t> </w:t>
      </w:r>
      <w:r>
        <w:rPr>
          <w:sz w:val="18"/>
          <w:vertAlign w:val="baseline"/>
        </w:rPr>
        <w:t>Bromdal,</w:t>
      </w:r>
      <w:r>
        <w:rPr>
          <w:spacing w:val="-3"/>
          <w:sz w:val="18"/>
          <w:vertAlign w:val="baseline"/>
        </w:rPr>
        <w:t> </w:t>
      </w:r>
      <w:r>
        <w:rPr>
          <w:sz w:val="18"/>
          <w:vertAlign w:val="baseline"/>
        </w:rPr>
        <w:t>Annette.</w:t>
      </w:r>
      <w:r>
        <w:rPr>
          <w:spacing w:val="-2"/>
          <w:sz w:val="18"/>
          <w:vertAlign w:val="baseline"/>
        </w:rPr>
        <w:t> </w:t>
      </w:r>
      <w:r>
        <w:rPr>
          <w:sz w:val="18"/>
          <w:vertAlign w:val="baseline"/>
        </w:rPr>
        <w:t>2023.</w:t>
      </w:r>
      <w:r>
        <w:rPr>
          <w:spacing w:val="-2"/>
          <w:sz w:val="18"/>
          <w:vertAlign w:val="baseline"/>
        </w:rPr>
        <w:t> </w:t>
      </w:r>
      <w:r>
        <w:rPr>
          <w:sz w:val="18"/>
          <w:vertAlign w:val="baseline"/>
        </w:rPr>
        <w:t>“Transgender</w:t>
      </w:r>
      <w:r>
        <w:rPr>
          <w:spacing w:val="-3"/>
          <w:sz w:val="18"/>
          <w:vertAlign w:val="baseline"/>
        </w:rPr>
        <w:t> </w:t>
      </w:r>
      <w:r>
        <w:rPr>
          <w:sz w:val="18"/>
          <w:vertAlign w:val="baseline"/>
        </w:rPr>
        <w:t>Youth,</w:t>
      </w:r>
      <w:r>
        <w:rPr>
          <w:spacing w:val="-3"/>
          <w:sz w:val="18"/>
          <w:vertAlign w:val="baseline"/>
        </w:rPr>
        <w:t> </w:t>
      </w:r>
      <w:r>
        <w:rPr>
          <w:sz w:val="18"/>
          <w:vertAlign w:val="baseline"/>
        </w:rPr>
        <w:t>Challenges,</w:t>
      </w:r>
      <w:r>
        <w:rPr>
          <w:spacing w:val="-3"/>
          <w:sz w:val="18"/>
          <w:vertAlign w:val="baseline"/>
        </w:rPr>
        <w:t> </w:t>
      </w:r>
      <w:r>
        <w:rPr>
          <w:sz w:val="18"/>
          <w:vertAlign w:val="baseline"/>
        </w:rPr>
        <w:t>Responses,</w:t>
      </w:r>
      <w:r>
        <w:rPr>
          <w:spacing w:val="-3"/>
          <w:sz w:val="18"/>
          <w:vertAlign w:val="baseline"/>
        </w:rPr>
        <w:t> </w:t>
      </w:r>
      <w:r>
        <w:rPr>
          <w:sz w:val="18"/>
          <w:vertAlign w:val="baseline"/>
        </w:rPr>
        <w:t>and</w:t>
      </w:r>
      <w:r>
        <w:rPr>
          <w:spacing w:val="-3"/>
          <w:sz w:val="18"/>
          <w:vertAlign w:val="baseline"/>
        </w:rPr>
        <w:t> </w:t>
      </w:r>
      <w:r>
        <w:rPr>
          <w:sz w:val="18"/>
          <w:vertAlign w:val="baseline"/>
        </w:rPr>
        <w:t>the</w:t>
      </w:r>
      <w:r>
        <w:rPr>
          <w:spacing w:val="-2"/>
          <w:sz w:val="18"/>
          <w:vertAlign w:val="baseline"/>
        </w:rPr>
        <w:t> </w:t>
      </w:r>
      <w:r>
        <w:rPr>
          <w:sz w:val="18"/>
          <w:vertAlign w:val="baseline"/>
        </w:rPr>
        <w:t>Juvenile Justice System: A Systemic Review of an Emerging Literature”. </w:t>
      </w:r>
      <w:r>
        <w:rPr>
          <w:i/>
          <w:sz w:val="18"/>
          <w:vertAlign w:val="baseline"/>
        </w:rPr>
        <w:t>Youth Justice</w:t>
      </w:r>
      <w:r>
        <w:rPr>
          <w:sz w:val="18"/>
          <w:vertAlign w:val="baseline"/>
        </w:rPr>
        <w:t>. </w:t>
      </w:r>
      <w:r>
        <w:rPr>
          <w:spacing w:val="-2"/>
          <w:sz w:val="18"/>
          <w:vertAlign w:val="baseline"/>
        </w:rPr>
        <w:t>https://journals.sagepub.com/doi/10.1177/14732254231167344</w:t>
      </w:r>
    </w:p>
    <w:p>
      <w:pPr>
        <w:spacing w:line="219" w:lineRule="exact" w:before="0"/>
        <w:ind w:left="320" w:right="0" w:firstLine="0"/>
        <w:jc w:val="left"/>
        <w:rPr>
          <w:sz w:val="18"/>
        </w:rPr>
      </w:pPr>
      <w:r>
        <w:rPr>
          <w:sz w:val="18"/>
          <w:vertAlign w:val="superscript"/>
        </w:rPr>
        <w:t>117</w:t>
      </w:r>
      <w:r>
        <w:rPr>
          <w:spacing w:val="-5"/>
          <w:sz w:val="18"/>
          <w:vertAlign w:val="baseline"/>
        </w:rPr>
        <w:t> </w:t>
      </w:r>
      <w:r>
        <w:rPr>
          <w:sz w:val="18"/>
          <w:vertAlign w:val="baseline"/>
        </w:rPr>
        <w:t>American</w:t>
      </w:r>
      <w:r>
        <w:rPr>
          <w:spacing w:val="-3"/>
          <w:sz w:val="18"/>
          <w:vertAlign w:val="baseline"/>
        </w:rPr>
        <w:t> </w:t>
      </w:r>
      <w:r>
        <w:rPr>
          <w:sz w:val="18"/>
          <w:vertAlign w:val="baseline"/>
        </w:rPr>
        <w:t>Bar</w:t>
      </w:r>
      <w:r>
        <w:rPr>
          <w:spacing w:val="-4"/>
          <w:sz w:val="18"/>
          <w:vertAlign w:val="baseline"/>
        </w:rPr>
        <w:t> </w:t>
      </w:r>
      <w:r>
        <w:rPr>
          <w:sz w:val="18"/>
          <w:vertAlign w:val="baseline"/>
        </w:rPr>
        <w:t>Association.</w:t>
      </w:r>
      <w:r>
        <w:rPr>
          <w:spacing w:val="-3"/>
          <w:sz w:val="18"/>
          <w:vertAlign w:val="baseline"/>
        </w:rPr>
        <w:t> </w:t>
      </w:r>
      <w:r>
        <w:rPr>
          <w:sz w:val="18"/>
          <w:vertAlign w:val="baseline"/>
        </w:rPr>
        <w:t>2018.</w:t>
      </w:r>
      <w:r>
        <w:rPr>
          <w:spacing w:val="-3"/>
          <w:sz w:val="18"/>
          <w:vertAlign w:val="baseline"/>
        </w:rPr>
        <w:t> </w:t>
      </w:r>
      <w:r>
        <w:rPr>
          <w:sz w:val="18"/>
          <w:vertAlign w:val="baseline"/>
        </w:rPr>
        <w:t>“Collateral</w:t>
      </w:r>
      <w:r>
        <w:rPr>
          <w:spacing w:val="-4"/>
          <w:sz w:val="18"/>
          <w:vertAlign w:val="baseline"/>
        </w:rPr>
        <w:t> </w:t>
      </w:r>
      <w:r>
        <w:rPr>
          <w:sz w:val="18"/>
          <w:vertAlign w:val="baseline"/>
        </w:rPr>
        <w:t>consequences</w:t>
      </w:r>
      <w:r>
        <w:rPr>
          <w:spacing w:val="-3"/>
          <w:sz w:val="18"/>
          <w:vertAlign w:val="baseline"/>
        </w:rPr>
        <w:t> </w:t>
      </w:r>
      <w:r>
        <w:rPr>
          <w:sz w:val="18"/>
          <w:vertAlign w:val="baseline"/>
        </w:rPr>
        <w:t>of</w:t>
      </w:r>
      <w:r>
        <w:rPr>
          <w:spacing w:val="-3"/>
          <w:sz w:val="18"/>
          <w:vertAlign w:val="baseline"/>
        </w:rPr>
        <w:t> </w:t>
      </w:r>
      <w:r>
        <w:rPr>
          <w:sz w:val="18"/>
          <w:vertAlign w:val="baseline"/>
        </w:rPr>
        <w:t>Criminal</w:t>
      </w:r>
      <w:r>
        <w:rPr>
          <w:spacing w:val="-4"/>
          <w:sz w:val="18"/>
          <w:vertAlign w:val="baseline"/>
        </w:rPr>
        <w:t> </w:t>
      </w:r>
      <w:r>
        <w:rPr>
          <w:sz w:val="18"/>
          <w:vertAlign w:val="baseline"/>
        </w:rPr>
        <w:t>Convictions:</w:t>
      </w:r>
      <w:r>
        <w:rPr>
          <w:spacing w:val="-3"/>
          <w:sz w:val="18"/>
          <w:vertAlign w:val="baseline"/>
        </w:rPr>
        <w:t> </w:t>
      </w:r>
      <w:r>
        <w:rPr>
          <w:sz w:val="18"/>
          <w:vertAlign w:val="baseline"/>
        </w:rPr>
        <w:t>judicial</w:t>
      </w:r>
      <w:r>
        <w:rPr>
          <w:spacing w:val="-4"/>
          <w:sz w:val="18"/>
          <w:vertAlign w:val="baseline"/>
        </w:rPr>
        <w:t> </w:t>
      </w:r>
      <w:r>
        <w:rPr>
          <w:sz w:val="18"/>
          <w:vertAlign w:val="baseline"/>
        </w:rPr>
        <w:t>bench</w:t>
      </w:r>
      <w:r>
        <w:rPr>
          <w:spacing w:val="-2"/>
          <w:sz w:val="18"/>
          <w:vertAlign w:val="baseline"/>
        </w:rPr>
        <w:t> book”.</w:t>
      </w:r>
    </w:p>
    <w:p>
      <w:pPr>
        <w:spacing w:before="1"/>
        <w:ind w:left="320" w:right="0" w:firstLine="0"/>
        <w:jc w:val="left"/>
        <w:rPr>
          <w:i/>
          <w:sz w:val="18"/>
        </w:rPr>
      </w:pPr>
      <w:r>
        <w:rPr>
          <w:i/>
          <w:spacing w:val="-2"/>
          <w:sz w:val="18"/>
        </w:rPr>
        <w:t>https:/</w:t>
      </w:r>
      <w:hyperlink r:id="rId523">
        <w:r>
          <w:rPr>
            <w:i/>
            <w:spacing w:val="-2"/>
            <w:sz w:val="18"/>
          </w:rPr>
          <w:t>/www.ojp.gov/pdffiles1/nij/grants/251583.pdf</w:t>
        </w:r>
      </w:hyperlink>
      <w:r>
        <w:rPr>
          <w:i/>
          <w:spacing w:val="69"/>
          <w:sz w:val="18"/>
        </w:rPr>
        <w:t> </w:t>
      </w:r>
      <w:r>
        <w:rPr>
          <w:i/>
          <w:spacing w:val="-10"/>
          <w:sz w:val="18"/>
        </w:rPr>
        <w:t>.</w:t>
      </w:r>
    </w:p>
    <w:p>
      <w:pPr>
        <w:spacing w:before="0"/>
        <w:ind w:left="320" w:right="1827" w:firstLine="0"/>
        <w:jc w:val="left"/>
        <w:rPr>
          <w:sz w:val="18"/>
        </w:rPr>
      </w:pPr>
      <w:r>
        <w:rPr>
          <w:sz w:val="18"/>
          <w:vertAlign w:val="superscript"/>
        </w:rPr>
        <w:t>118</w:t>
      </w:r>
      <w:r>
        <w:rPr>
          <w:sz w:val="18"/>
          <w:vertAlign w:val="baseline"/>
        </w:rPr>
        <w:t> National Juvenile Defender Center, 2018. “Conquering Collateral Consequences”. </w:t>
      </w:r>
      <w:r>
        <w:rPr>
          <w:spacing w:val="-2"/>
          <w:sz w:val="18"/>
          <w:vertAlign w:val="baseline"/>
        </w:rPr>
        <w:t>https://ojjdp.ojp.gov/library/publications/juvenile-defenders-guide-conquering-collateral-consequences</w:t>
      </w:r>
    </w:p>
    <w:p>
      <w:pPr>
        <w:spacing w:line="153" w:lineRule="auto" w:before="35"/>
        <w:ind w:left="320" w:right="0" w:firstLine="0"/>
        <w:jc w:val="left"/>
        <w:rPr>
          <w:i/>
          <w:sz w:val="18"/>
        </w:rPr>
      </w:pPr>
      <w:r>
        <w:rPr>
          <w:sz w:val="12"/>
        </w:rPr>
        <w:t>119</w:t>
      </w:r>
      <w:r>
        <w:rPr>
          <w:spacing w:val="13"/>
          <w:sz w:val="12"/>
        </w:rPr>
        <w:t> </w:t>
      </w:r>
      <w:r>
        <w:rPr>
          <w:i/>
          <w:spacing w:val="-5"/>
          <w:position w:val="-5"/>
          <w:sz w:val="18"/>
        </w:rPr>
        <w:t>Id.</w:t>
      </w:r>
    </w:p>
    <w:p>
      <w:pPr>
        <w:spacing w:before="38"/>
        <w:ind w:left="320" w:right="1099" w:firstLine="0"/>
        <w:jc w:val="left"/>
        <w:rPr>
          <w:sz w:val="18"/>
        </w:rPr>
      </w:pPr>
      <w:r>
        <w:rPr>
          <w:sz w:val="18"/>
          <w:vertAlign w:val="superscript"/>
        </w:rPr>
        <w:t>120</w:t>
      </w:r>
      <w:r>
        <w:rPr>
          <w:sz w:val="18"/>
          <w:vertAlign w:val="baseline"/>
        </w:rPr>
        <w:t> Clean Slate. 2023. “A Criminal Record Should Not Mean a Lifetime of Blocked Opportunities”. </w:t>
      </w:r>
      <w:r>
        <w:rPr>
          <w:spacing w:val="-2"/>
          <w:sz w:val="18"/>
          <w:vertAlign w:val="baseline"/>
        </w:rPr>
        <w:t>https://</w:t>
      </w:r>
      <w:hyperlink r:id="rId524">
        <w:r>
          <w:rPr>
            <w:spacing w:val="-2"/>
            <w:sz w:val="18"/>
            <w:vertAlign w:val="baseline"/>
          </w:rPr>
          <w:t>www.publichealthwm.org/application/files/1617/0204/8768/Clean-Slate-Fact-Sheet_REVISED-12-7-23.pdf</w:t>
        </w:r>
      </w:hyperlink>
      <w:r>
        <w:rPr>
          <w:spacing w:val="40"/>
          <w:sz w:val="18"/>
          <w:vertAlign w:val="baseline"/>
        </w:rPr>
        <w:t> </w:t>
      </w:r>
      <w:r>
        <w:rPr>
          <w:sz w:val="18"/>
          <w:vertAlign w:val="superscript"/>
        </w:rPr>
        <w:t>121</w:t>
      </w:r>
      <w:r>
        <w:rPr>
          <w:sz w:val="18"/>
          <w:vertAlign w:val="baseline"/>
        </w:rPr>
        <w:t> National Institute of Justice. 2022. “Expungement: Criminal Records as Reentry Barriers”. </w:t>
      </w:r>
      <w:r>
        <w:rPr>
          <w:spacing w:val="-2"/>
          <w:sz w:val="18"/>
          <w:vertAlign w:val="baseline"/>
        </w:rPr>
        <w:t>https://nij.ojp.gov/topics/articles/expungement-criminal-records-reentry-barriers</w:t>
      </w:r>
    </w:p>
    <w:p>
      <w:pPr>
        <w:spacing w:before="0"/>
        <w:ind w:left="320" w:right="1099" w:firstLine="0"/>
        <w:jc w:val="left"/>
        <w:rPr>
          <w:sz w:val="18"/>
        </w:rPr>
      </w:pPr>
      <w:r>
        <w:rPr>
          <w:sz w:val="18"/>
          <w:vertAlign w:val="superscript"/>
        </w:rPr>
        <w:t>122</w:t>
      </w:r>
      <w:r>
        <w:rPr>
          <w:sz w:val="18"/>
          <w:vertAlign w:val="baseline"/>
        </w:rPr>
        <w:t> Clean Slate. 2023. “A Criminal Record Should Not Mean a Lifetime of Blocked Opportunities”. </w:t>
      </w:r>
      <w:r>
        <w:rPr>
          <w:spacing w:val="-2"/>
          <w:sz w:val="18"/>
          <w:vertAlign w:val="baseline"/>
        </w:rPr>
        <w:t>https://</w:t>
      </w:r>
      <w:hyperlink r:id="rId524">
        <w:r>
          <w:rPr>
            <w:spacing w:val="-2"/>
            <w:sz w:val="18"/>
            <w:vertAlign w:val="baseline"/>
          </w:rPr>
          <w:t>www.publichealthwm.org/application/files/1617/0204/8768/Clean-Slate-Fact-Sheet_REVISED-12-7-23.pdf</w:t>
        </w:r>
      </w:hyperlink>
      <w:r>
        <w:rPr>
          <w:spacing w:val="40"/>
          <w:sz w:val="18"/>
          <w:vertAlign w:val="baseline"/>
        </w:rPr>
        <w:t> </w:t>
      </w:r>
      <w:r>
        <w:rPr>
          <w:sz w:val="18"/>
          <w:vertAlign w:val="superscript"/>
        </w:rPr>
        <w:t>123</w:t>
      </w:r>
      <w:r>
        <w:rPr>
          <w:sz w:val="18"/>
          <w:vertAlign w:val="baseline"/>
        </w:rPr>
        <w:t> Massachusetts Senate Bill 979, An Act Providing Easier and Greater Access to Record Sealing, 2023,</w:t>
      </w:r>
    </w:p>
    <w:p>
      <w:pPr>
        <w:spacing w:before="1"/>
        <w:ind w:left="320" w:right="0" w:firstLine="0"/>
        <w:jc w:val="left"/>
        <w:rPr>
          <w:sz w:val="18"/>
        </w:rPr>
      </w:pPr>
      <w:r>
        <w:rPr>
          <w:sz w:val="18"/>
        </w:rPr>
        <w:t>https://malegislature.gov/Bills/193/H979;</w:t>
      </w:r>
      <w:r>
        <w:rPr>
          <w:spacing w:val="-3"/>
          <w:sz w:val="18"/>
        </w:rPr>
        <w:t> </w:t>
      </w:r>
      <w:r>
        <w:rPr>
          <w:sz w:val="18"/>
        </w:rPr>
        <w:t>Senate</w:t>
      </w:r>
      <w:r>
        <w:rPr>
          <w:spacing w:val="-3"/>
          <w:sz w:val="18"/>
        </w:rPr>
        <w:t> </w:t>
      </w:r>
      <w:r>
        <w:rPr>
          <w:sz w:val="18"/>
        </w:rPr>
        <w:t>Bill</w:t>
      </w:r>
      <w:r>
        <w:rPr>
          <w:spacing w:val="-4"/>
          <w:sz w:val="18"/>
        </w:rPr>
        <w:t> </w:t>
      </w:r>
      <w:r>
        <w:rPr>
          <w:sz w:val="18"/>
        </w:rPr>
        <w:t>998,</w:t>
      </w:r>
      <w:r>
        <w:rPr>
          <w:spacing w:val="-4"/>
          <w:sz w:val="18"/>
        </w:rPr>
        <w:t> </w:t>
      </w:r>
      <w:r>
        <w:rPr>
          <w:sz w:val="18"/>
        </w:rPr>
        <w:t>An</w:t>
      </w:r>
      <w:r>
        <w:rPr>
          <w:spacing w:val="-3"/>
          <w:sz w:val="18"/>
        </w:rPr>
        <w:t> </w:t>
      </w:r>
      <w:r>
        <w:rPr>
          <w:sz w:val="18"/>
        </w:rPr>
        <w:t>Act</w:t>
      </w:r>
      <w:r>
        <w:rPr>
          <w:spacing w:val="-4"/>
          <w:sz w:val="18"/>
        </w:rPr>
        <w:t> </w:t>
      </w:r>
      <w:r>
        <w:rPr>
          <w:sz w:val="18"/>
        </w:rPr>
        <w:t>to</w:t>
      </w:r>
      <w:r>
        <w:rPr>
          <w:spacing w:val="-3"/>
          <w:sz w:val="18"/>
        </w:rPr>
        <w:t> </w:t>
      </w:r>
      <w:r>
        <w:rPr>
          <w:sz w:val="18"/>
        </w:rPr>
        <w:t>Remove</w:t>
      </w:r>
      <w:r>
        <w:rPr>
          <w:spacing w:val="-3"/>
          <w:sz w:val="18"/>
        </w:rPr>
        <w:t> </w:t>
      </w:r>
      <w:r>
        <w:rPr>
          <w:sz w:val="18"/>
        </w:rPr>
        <w:t>Collateral</w:t>
      </w:r>
      <w:r>
        <w:rPr>
          <w:spacing w:val="-4"/>
          <w:sz w:val="18"/>
        </w:rPr>
        <w:t> </w:t>
      </w:r>
      <w:r>
        <w:rPr>
          <w:sz w:val="18"/>
        </w:rPr>
        <w:t>Consequences</w:t>
      </w:r>
      <w:r>
        <w:rPr>
          <w:spacing w:val="-3"/>
          <w:sz w:val="18"/>
        </w:rPr>
        <w:t> </w:t>
      </w:r>
      <w:r>
        <w:rPr>
          <w:sz w:val="18"/>
        </w:rPr>
        <w:t>and</w:t>
      </w:r>
      <w:r>
        <w:rPr>
          <w:spacing w:val="-4"/>
          <w:sz w:val="18"/>
        </w:rPr>
        <w:t> </w:t>
      </w:r>
      <w:r>
        <w:rPr>
          <w:sz w:val="18"/>
        </w:rPr>
        <w:t>Protect</w:t>
      </w:r>
      <w:r>
        <w:rPr>
          <w:spacing w:val="-4"/>
          <w:sz w:val="18"/>
        </w:rPr>
        <w:t> </w:t>
      </w:r>
      <w:r>
        <w:rPr>
          <w:sz w:val="18"/>
        </w:rPr>
        <w:t>the Presumption of Innocence, 2023 https://malegislature.gov/Bills/193/S998</w:t>
      </w:r>
    </w:p>
    <w:p>
      <w:pPr>
        <w:spacing w:before="0"/>
        <w:ind w:left="320" w:right="1099" w:firstLine="0"/>
        <w:jc w:val="left"/>
        <w:rPr>
          <w:sz w:val="18"/>
        </w:rPr>
      </w:pPr>
      <w:r>
        <w:rPr>
          <w:sz w:val="18"/>
          <w:vertAlign w:val="superscript"/>
        </w:rPr>
        <w:t>124</w:t>
      </w:r>
      <w:r>
        <w:rPr>
          <w:sz w:val="18"/>
          <w:vertAlign w:val="baseline"/>
        </w:rPr>
        <w:t> Clean Slate. 2023. “A Criminal Record Should Not Mean a Lifetime of Blocked Opportunities”. </w:t>
      </w:r>
      <w:r>
        <w:rPr>
          <w:spacing w:val="-2"/>
          <w:sz w:val="18"/>
          <w:vertAlign w:val="baseline"/>
        </w:rPr>
        <w:t>https://</w:t>
      </w:r>
      <w:hyperlink r:id="rId524">
        <w:r>
          <w:rPr>
            <w:spacing w:val="-2"/>
            <w:sz w:val="18"/>
            <w:vertAlign w:val="baseline"/>
          </w:rPr>
          <w:t>www.publichealthwm.org/application/files/1617/0204/8768/Clean-Slate-Fact-Sheet_REVISED-12-7-23.pdf</w:t>
        </w:r>
      </w:hyperlink>
    </w:p>
    <w:p>
      <w:pPr>
        <w:spacing w:before="0"/>
        <w:ind w:left="320" w:right="0" w:firstLine="0"/>
        <w:jc w:val="left"/>
        <w:rPr>
          <w:sz w:val="18"/>
        </w:rPr>
      </w:pPr>
      <w:r>
        <w:rPr>
          <w:sz w:val="18"/>
          <w:vertAlign w:val="superscript"/>
        </w:rPr>
        <w:t>125</w:t>
      </w:r>
      <w:r>
        <w:rPr>
          <w:spacing w:val="-3"/>
          <w:sz w:val="18"/>
          <w:vertAlign w:val="baseline"/>
        </w:rPr>
        <w:t> </w:t>
      </w:r>
      <w:r>
        <w:rPr>
          <w:sz w:val="18"/>
          <w:vertAlign w:val="baseline"/>
        </w:rPr>
        <w:t>General</w:t>
      </w:r>
      <w:r>
        <w:rPr>
          <w:spacing w:val="-4"/>
          <w:sz w:val="18"/>
          <w:vertAlign w:val="baseline"/>
        </w:rPr>
        <w:t> </w:t>
      </w:r>
      <w:r>
        <w:rPr>
          <w:sz w:val="18"/>
          <w:vertAlign w:val="baseline"/>
        </w:rPr>
        <w:t>Court</w:t>
      </w:r>
      <w:r>
        <w:rPr>
          <w:spacing w:val="-4"/>
          <w:sz w:val="18"/>
          <w:vertAlign w:val="baseline"/>
        </w:rPr>
        <w:t> </w:t>
      </w:r>
      <w:r>
        <w:rPr>
          <w:sz w:val="18"/>
          <w:vertAlign w:val="baseline"/>
        </w:rPr>
        <w:t>of</w:t>
      </w:r>
      <w:r>
        <w:rPr>
          <w:spacing w:val="-3"/>
          <w:sz w:val="18"/>
          <w:vertAlign w:val="baseline"/>
        </w:rPr>
        <w:t> </w:t>
      </w:r>
      <w:r>
        <w:rPr>
          <w:sz w:val="18"/>
          <w:vertAlign w:val="baseline"/>
        </w:rPr>
        <w:t>the</w:t>
      </w:r>
      <w:r>
        <w:rPr>
          <w:spacing w:val="-3"/>
          <w:sz w:val="18"/>
          <w:vertAlign w:val="baseline"/>
        </w:rPr>
        <w:t> </w:t>
      </w:r>
      <w:r>
        <w:rPr>
          <w:sz w:val="18"/>
          <w:vertAlign w:val="baseline"/>
        </w:rPr>
        <w:t>Commonwealth</w:t>
      </w:r>
      <w:r>
        <w:rPr>
          <w:spacing w:val="-3"/>
          <w:sz w:val="18"/>
          <w:vertAlign w:val="baseline"/>
        </w:rPr>
        <w:t> </w:t>
      </w:r>
      <w:r>
        <w:rPr>
          <w:sz w:val="18"/>
          <w:vertAlign w:val="baseline"/>
        </w:rPr>
        <w:t>of</w:t>
      </w:r>
      <w:r>
        <w:rPr>
          <w:spacing w:val="-3"/>
          <w:sz w:val="18"/>
          <w:vertAlign w:val="baseline"/>
        </w:rPr>
        <w:t> </w:t>
      </w:r>
      <w:r>
        <w:rPr>
          <w:sz w:val="18"/>
          <w:vertAlign w:val="baseline"/>
        </w:rPr>
        <w:t>Massachusetts.</w:t>
      </w:r>
      <w:r>
        <w:rPr>
          <w:spacing w:val="-3"/>
          <w:sz w:val="18"/>
          <w:vertAlign w:val="baseline"/>
        </w:rPr>
        <w:t> </w:t>
      </w:r>
      <w:r>
        <w:rPr>
          <w:sz w:val="18"/>
          <w:vertAlign w:val="baseline"/>
        </w:rPr>
        <w:t>"An</w:t>
      </w:r>
      <w:r>
        <w:rPr>
          <w:spacing w:val="-4"/>
          <w:sz w:val="18"/>
          <w:vertAlign w:val="baseline"/>
        </w:rPr>
        <w:t> </w:t>
      </w:r>
      <w:r>
        <w:rPr>
          <w:sz w:val="18"/>
          <w:vertAlign w:val="baseline"/>
        </w:rPr>
        <w:t>Act</w:t>
      </w:r>
      <w:r>
        <w:rPr>
          <w:spacing w:val="-4"/>
          <w:sz w:val="18"/>
          <w:vertAlign w:val="baseline"/>
        </w:rPr>
        <w:t> </w:t>
      </w:r>
      <w:r>
        <w:rPr>
          <w:sz w:val="18"/>
          <w:vertAlign w:val="baseline"/>
        </w:rPr>
        <w:t>Relative</w:t>
      </w:r>
      <w:r>
        <w:rPr>
          <w:spacing w:val="-3"/>
          <w:sz w:val="18"/>
          <w:vertAlign w:val="baseline"/>
        </w:rPr>
        <w:t> </w:t>
      </w:r>
      <w:r>
        <w:rPr>
          <w:sz w:val="18"/>
          <w:vertAlign w:val="baseline"/>
        </w:rPr>
        <w:t>to</w:t>
      </w:r>
      <w:r>
        <w:rPr>
          <w:spacing w:val="-3"/>
          <w:sz w:val="18"/>
          <w:vertAlign w:val="baseline"/>
        </w:rPr>
        <w:t> </w:t>
      </w:r>
      <w:r>
        <w:rPr>
          <w:sz w:val="18"/>
          <w:vertAlign w:val="baseline"/>
        </w:rPr>
        <w:t>Criminal</w:t>
      </w:r>
      <w:r>
        <w:rPr>
          <w:spacing w:val="-4"/>
          <w:sz w:val="18"/>
          <w:vertAlign w:val="baseline"/>
        </w:rPr>
        <w:t> </w:t>
      </w:r>
      <w:r>
        <w:rPr>
          <w:sz w:val="18"/>
          <w:vertAlign w:val="baseline"/>
        </w:rPr>
        <w:t>Justice</w:t>
      </w:r>
      <w:r>
        <w:rPr>
          <w:spacing w:val="-3"/>
          <w:sz w:val="18"/>
          <w:vertAlign w:val="baseline"/>
        </w:rPr>
        <w:t> </w:t>
      </w:r>
      <w:r>
        <w:rPr>
          <w:sz w:val="18"/>
          <w:vertAlign w:val="baseline"/>
        </w:rPr>
        <w:t>Reform."</w:t>
      </w:r>
      <w:r>
        <w:rPr>
          <w:spacing w:val="-3"/>
          <w:sz w:val="18"/>
          <w:vertAlign w:val="baseline"/>
        </w:rPr>
        <w:t> </w:t>
      </w:r>
      <w:r>
        <w:rPr>
          <w:sz w:val="18"/>
          <w:vertAlign w:val="baseline"/>
        </w:rPr>
        <w:t>Retrieved</w:t>
      </w:r>
      <w:r>
        <w:rPr>
          <w:spacing w:val="-3"/>
          <w:sz w:val="18"/>
          <w:vertAlign w:val="baseline"/>
        </w:rPr>
        <w:t> </w:t>
      </w:r>
      <w:r>
        <w:rPr>
          <w:sz w:val="18"/>
          <w:vertAlign w:val="baseline"/>
        </w:rPr>
        <w:t>from </w:t>
      </w:r>
      <w:hyperlink r:id="rId525">
        <w:r>
          <w:rPr>
            <w:color w:val="0000FF"/>
            <w:spacing w:val="-2"/>
            <w:sz w:val="18"/>
            <w:u w:val="single" w:color="0000FF"/>
            <w:vertAlign w:val="baseline"/>
          </w:rPr>
          <w:t>https://malegislature.gov/Bills/190/S2371</w:t>
        </w:r>
        <w:r>
          <w:rPr>
            <w:spacing w:val="-2"/>
            <w:sz w:val="18"/>
            <w:u w:val="none"/>
            <w:vertAlign w:val="baseline"/>
          </w:rPr>
          <w:t>.</w:t>
        </w:r>
      </w:hyperlink>
    </w:p>
    <w:p>
      <w:pPr>
        <w:spacing w:before="0"/>
        <w:ind w:left="320" w:right="0" w:firstLine="0"/>
        <w:jc w:val="left"/>
        <w:rPr>
          <w:sz w:val="18"/>
        </w:rPr>
      </w:pPr>
      <w:r>
        <w:rPr>
          <w:sz w:val="18"/>
          <w:vertAlign w:val="superscript"/>
        </w:rPr>
        <w:t>126</w:t>
      </w:r>
      <w:r>
        <w:rPr>
          <w:sz w:val="18"/>
          <w:vertAlign w:val="baseline"/>
        </w:rPr>
        <w:t> Massachusetts Coalition for Juvenile Justice. 2018. “Summary of Juvenile Justice Provisions in An Act Relative to Criminal Justice Reform”, </w:t>
      </w:r>
      <w:r>
        <w:rPr>
          <w:spacing w:val="-2"/>
          <w:sz w:val="18"/>
          <w:vertAlign w:val="baseline"/>
        </w:rPr>
        <w:t>https://static1.squarespace.com/static/58ea378e414fb5fae5ba06c7/t/5c114512562fa7b2353f0ae8/1544635668333/SUMMAR</w:t>
      </w:r>
      <w:r>
        <w:rPr>
          <w:sz w:val="18"/>
          <w:vertAlign w:val="baseline"/>
        </w:rPr>
        <w:t> </w:t>
      </w:r>
      <w:r>
        <w:rPr>
          <w:spacing w:val="-2"/>
          <w:sz w:val="18"/>
          <w:vertAlign w:val="baseline"/>
        </w:rPr>
        <w:t>Y+of+JJ+Provisions+in+CJ+Reform+Law+updated+10.17.18.pdf</w:t>
      </w:r>
    </w:p>
    <w:p>
      <w:pPr>
        <w:spacing w:line="156" w:lineRule="auto" w:before="36"/>
        <w:ind w:left="320" w:right="0" w:firstLine="0"/>
        <w:jc w:val="left"/>
        <w:rPr>
          <w:i/>
          <w:sz w:val="18"/>
        </w:rPr>
      </w:pPr>
      <w:r>
        <w:rPr>
          <w:sz w:val="12"/>
        </w:rPr>
        <w:t>127</w:t>
      </w:r>
      <w:r>
        <w:rPr>
          <w:spacing w:val="13"/>
          <w:sz w:val="12"/>
        </w:rPr>
        <w:t> </w:t>
      </w:r>
      <w:r>
        <w:rPr>
          <w:i/>
          <w:spacing w:val="-5"/>
          <w:position w:val="-5"/>
          <w:sz w:val="18"/>
        </w:rPr>
        <w:t>Id.</w:t>
      </w:r>
    </w:p>
    <w:p>
      <w:pPr>
        <w:spacing w:line="158" w:lineRule="auto" w:before="71"/>
        <w:ind w:left="320" w:right="0" w:firstLine="0"/>
        <w:jc w:val="left"/>
        <w:rPr>
          <w:i/>
          <w:sz w:val="18"/>
        </w:rPr>
      </w:pPr>
      <w:r>
        <w:rPr>
          <w:sz w:val="12"/>
        </w:rPr>
        <w:t>128</w:t>
      </w:r>
      <w:r>
        <w:rPr>
          <w:spacing w:val="13"/>
          <w:sz w:val="12"/>
        </w:rPr>
        <w:t> </w:t>
      </w:r>
      <w:r>
        <w:rPr>
          <w:i/>
          <w:spacing w:val="-5"/>
          <w:position w:val="-5"/>
          <w:sz w:val="18"/>
        </w:rPr>
        <w:t>Id.</w:t>
      </w:r>
    </w:p>
    <w:p>
      <w:pPr>
        <w:spacing w:before="33"/>
        <w:ind w:left="320" w:right="0" w:firstLine="0"/>
        <w:jc w:val="left"/>
        <w:rPr>
          <w:i/>
          <w:sz w:val="18"/>
        </w:rPr>
      </w:pPr>
      <w:r>
        <w:rPr>
          <w:sz w:val="12"/>
        </w:rPr>
        <w:t>129</w:t>
      </w:r>
      <w:r>
        <w:rPr>
          <w:spacing w:val="13"/>
          <w:sz w:val="12"/>
        </w:rPr>
        <w:t> </w:t>
      </w:r>
      <w:r>
        <w:rPr>
          <w:i/>
          <w:spacing w:val="-5"/>
          <w:position w:val="-5"/>
          <w:sz w:val="18"/>
        </w:rPr>
        <w:t>Id.</w:t>
      </w:r>
    </w:p>
    <w:p>
      <w:pPr>
        <w:spacing w:before="0"/>
        <w:ind w:left="320" w:right="799" w:firstLine="0"/>
        <w:jc w:val="left"/>
        <w:rPr>
          <w:sz w:val="18"/>
        </w:rPr>
      </w:pPr>
      <w:r>
        <w:rPr>
          <w:sz w:val="18"/>
          <w:vertAlign w:val="superscript"/>
        </w:rPr>
        <w:t>130</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and</w:t>
      </w:r>
      <w:r>
        <w:rPr>
          <w:spacing w:val="-2"/>
          <w:sz w:val="18"/>
          <w:vertAlign w:val="baseline"/>
        </w:rPr>
        <w:t> </w:t>
      </w:r>
      <w:r>
        <w:rPr>
          <w:sz w:val="18"/>
          <w:vertAlign w:val="baseline"/>
        </w:rPr>
        <w:t>Policy</w:t>
      </w:r>
      <w:r>
        <w:rPr>
          <w:spacing w:val="-2"/>
          <w:sz w:val="18"/>
          <w:vertAlign w:val="baseline"/>
        </w:rPr>
        <w:t> </w:t>
      </w:r>
      <w:r>
        <w:rPr>
          <w:sz w:val="18"/>
          <w:vertAlign w:val="baseline"/>
        </w:rPr>
        <w:t>Data</w:t>
      </w:r>
      <w:r>
        <w:rPr>
          <w:spacing w:val="-2"/>
          <w:sz w:val="18"/>
          <w:vertAlign w:val="baseline"/>
        </w:rPr>
        <w:t> </w:t>
      </w:r>
      <w:r>
        <w:rPr>
          <w:sz w:val="18"/>
          <w:vertAlign w:val="baseline"/>
        </w:rPr>
        <w:t>Board.</w:t>
      </w:r>
      <w:r>
        <w:rPr>
          <w:spacing w:val="-2"/>
          <w:sz w:val="18"/>
          <w:vertAlign w:val="baseline"/>
        </w:rPr>
        <w:t> </w:t>
      </w:r>
      <w:r>
        <w:rPr>
          <w:sz w:val="18"/>
          <w:vertAlign w:val="baseline"/>
        </w:rPr>
        <w:t>2024.</w:t>
      </w:r>
      <w:r>
        <w:rPr>
          <w:spacing w:val="-2"/>
          <w:sz w:val="18"/>
          <w:vertAlign w:val="baseline"/>
        </w:rPr>
        <w:t> </w:t>
      </w:r>
      <w:r>
        <w:rPr>
          <w:sz w:val="18"/>
          <w:vertAlign w:val="baseline"/>
        </w:rPr>
        <w:t>“A</w:t>
      </w:r>
      <w:r>
        <w:rPr>
          <w:spacing w:val="-3"/>
          <w:sz w:val="18"/>
          <w:vertAlign w:val="baseline"/>
        </w:rPr>
        <w:t> </w:t>
      </w:r>
      <w:r>
        <w:rPr>
          <w:sz w:val="18"/>
          <w:vertAlign w:val="baseline"/>
        </w:rPr>
        <w:t>Report</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and</w:t>
      </w:r>
      <w:r>
        <w:rPr>
          <w:spacing w:val="-2"/>
          <w:sz w:val="18"/>
          <w:vertAlign w:val="baseline"/>
        </w:rPr>
        <w:t> </w:t>
      </w:r>
      <w:r>
        <w:rPr>
          <w:sz w:val="18"/>
          <w:vertAlign w:val="baseline"/>
        </w:rPr>
        <w:t>Policy</w:t>
      </w:r>
      <w:r>
        <w:rPr>
          <w:spacing w:val="-2"/>
          <w:sz w:val="18"/>
          <w:vertAlign w:val="baseline"/>
        </w:rPr>
        <w:t> </w:t>
      </w:r>
      <w:r>
        <w:rPr>
          <w:sz w:val="18"/>
          <w:vertAlign w:val="baseline"/>
        </w:rPr>
        <w:t>Data</w:t>
      </w:r>
      <w:r>
        <w:rPr>
          <w:spacing w:val="-2"/>
          <w:sz w:val="18"/>
          <w:vertAlign w:val="baseline"/>
        </w:rPr>
        <w:t> </w:t>
      </w:r>
      <w:r>
        <w:rPr>
          <w:sz w:val="18"/>
          <w:vertAlign w:val="baseline"/>
        </w:rPr>
        <w:t>Board</w:t>
      </w:r>
      <w:r>
        <w:rPr>
          <w:spacing w:val="-2"/>
          <w:sz w:val="18"/>
          <w:vertAlign w:val="baseline"/>
        </w:rPr>
        <w:t> </w:t>
      </w:r>
      <w:r>
        <w:rPr>
          <w:sz w:val="18"/>
          <w:vertAlign w:val="baseline"/>
        </w:rPr>
        <w:t>January</w:t>
      </w:r>
      <w:r>
        <w:rPr>
          <w:spacing w:val="-2"/>
          <w:sz w:val="18"/>
          <w:vertAlign w:val="baseline"/>
        </w:rPr>
        <w:t> </w:t>
      </w:r>
      <w:r>
        <w:rPr>
          <w:sz w:val="18"/>
          <w:vertAlign w:val="baseline"/>
        </w:rPr>
        <w:t>2024”, </w:t>
      </w:r>
      <w:r>
        <w:rPr>
          <w:spacing w:val="-2"/>
          <w:sz w:val="18"/>
          <w:vertAlign w:val="baseline"/>
        </w:rPr>
        <w:t>https:</w:t>
      </w:r>
      <w:hyperlink r:id="rId526">
        <w:r>
          <w:rPr>
            <w:spacing w:val="-2"/>
            <w:sz w:val="18"/>
            <w:vertAlign w:val="baseline"/>
          </w:rPr>
          <w:t>//www.mass.gov/doc/jjpad-2023-annual-report/download</w:t>
        </w:r>
      </w:hyperlink>
    </w:p>
    <w:p>
      <w:pPr>
        <w:spacing w:before="0"/>
        <w:ind w:left="320" w:right="398" w:firstLine="0"/>
        <w:jc w:val="left"/>
        <w:rPr>
          <w:sz w:val="18"/>
        </w:rPr>
      </w:pPr>
      <w:r>
        <w:rPr>
          <w:sz w:val="18"/>
          <w:vertAlign w:val="superscript"/>
        </w:rPr>
        <w:t>131</w:t>
      </w:r>
      <w:r>
        <w:rPr>
          <w:spacing w:val="-2"/>
          <w:sz w:val="18"/>
          <w:vertAlign w:val="baseline"/>
        </w:rPr>
        <w:t> </w:t>
      </w:r>
      <w:r>
        <w:rPr>
          <w:sz w:val="18"/>
          <w:vertAlign w:val="baseline"/>
        </w:rPr>
        <w:t>Brown,</w:t>
      </w:r>
      <w:r>
        <w:rPr>
          <w:spacing w:val="-3"/>
          <w:sz w:val="18"/>
          <w:vertAlign w:val="baseline"/>
        </w:rPr>
        <w:t> </w:t>
      </w:r>
      <w:r>
        <w:rPr>
          <w:sz w:val="18"/>
          <w:vertAlign w:val="baseline"/>
        </w:rPr>
        <w:t>Steve,</w:t>
      </w:r>
      <w:r>
        <w:rPr>
          <w:spacing w:val="-3"/>
          <w:sz w:val="18"/>
          <w:vertAlign w:val="baseline"/>
        </w:rPr>
        <w:t> </w:t>
      </w:r>
      <w:r>
        <w:rPr>
          <w:sz w:val="18"/>
          <w:vertAlign w:val="baseline"/>
        </w:rPr>
        <w:t>and</w:t>
      </w:r>
      <w:r>
        <w:rPr>
          <w:spacing w:val="-2"/>
          <w:sz w:val="18"/>
          <w:vertAlign w:val="baseline"/>
        </w:rPr>
        <w:t> </w:t>
      </w:r>
      <w:r>
        <w:rPr>
          <w:sz w:val="18"/>
          <w:vertAlign w:val="baseline"/>
        </w:rPr>
        <w:t>Ally</w:t>
      </w:r>
      <w:r>
        <w:rPr>
          <w:spacing w:val="-2"/>
          <w:sz w:val="18"/>
          <w:vertAlign w:val="baseline"/>
        </w:rPr>
        <w:t> </w:t>
      </w:r>
      <w:r>
        <w:rPr>
          <w:sz w:val="18"/>
          <w:vertAlign w:val="baseline"/>
        </w:rPr>
        <w:t>Jarmanning.</w:t>
      </w:r>
      <w:r>
        <w:rPr>
          <w:spacing w:val="-2"/>
          <w:sz w:val="18"/>
          <w:vertAlign w:val="baseline"/>
        </w:rPr>
        <w:t> </w:t>
      </w:r>
      <w:r>
        <w:rPr>
          <w:sz w:val="18"/>
          <w:vertAlign w:val="baseline"/>
        </w:rPr>
        <w:t>2021.</w:t>
      </w:r>
      <w:r>
        <w:rPr>
          <w:spacing w:val="-2"/>
          <w:sz w:val="18"/>
          <w:vertAlign w:val="baseline"/>
        </w:rPr>
        <w:t> </w:t>
      </w:r>
      <w:r>
        <w:rPr>
          <w:sz w:val="18"/>
          <w:vertAlign w:val="baseline"/>
        </w:rPr>
        <w:t>“Here’s</w:t>
      </w:r>
      <w:r>
        <w:rPr>
          <w:spacing w:val="-2"/>
          <w:sz w:val="18"/>
          <w:vertAlign w:val="baseline"/>
        </w:rPr>
        <w:t> </w:t>
      </w:r>
      <w:r>
        <w:rPr>
          <w:sz w:val="18"/>
          <w:vertAlign w:val="baseline"/>
        </w:rPr>
        <w:t>What’s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3"/>
          <w:sz w:val="18"/>
          <w:vertAlign w:val="baseline"/>
        </w:rPr>
        <w:t> </w:t>
      </w:r>
      <w:r>
        <w:rPr>
          <w:sz w:val="18"/>
          <w:vertAlign w:val="baseline"/>
        </w:rPr>
        <w:t>Massachusetts</w:t>
      </w:r>
      <w:r>
        <w:rPr>
          <w:spacing w:val="-3"/>
          <w:sz w:val="18"/>
          <w:vertAlign w:val="baseline"/>
        </w:rPr>
        <w:t> </w:t>
      </w:r>
      <w:r>
        <w:rPr>
          <w:sz w:val="18"/>
          <w:vertAlign w:val="baseline"/>
        </w:rPr>
        <w:t>Police</w:t>
      </w:r>
      <w:r>
        <w:rPr>
          <w:spacing w:val="-2"/>
          <w:sz w:val="18"/>
          <w:vertAlign w:val="baseline"/>
        </w:rPr>
        <w:t> </w:t>
      </w:r>
      <w:r>
        <w:rPr>
          <w:sz w:val="18"/>
          <w:vertAlign w:val="baseline"/>
        </w:rPr>
        <w:t>Reform</w:t>
      </w:r>
      <w:r>
        <w:rPr>
          <w:spacing w:val="-2"/>
          <w:sz w:val="18"/>
          <w:vertAlign w:val="baseline"/>
        </w:rPr>
        <w:t> </w:t>
      </w:r>
      <w:r>
        <w:rPr>
          <w:sz w:val="18"/>
          <w:vertAlign w:val="baseline"/>
        </w:rPr>
        <w:t>Law,”</w:t>
      </w:r>
      <w:r>
        <w:rPr>
          <w:spacing w:val="-2"/>
          <w:sz w:val="18"/>
          <w:vertAlign w:val="baseline"/>
        </w:rPr>
        <w:t> </w:t>
      </w:r>
      <w:r>
        <w:rPr>
          <w:sz w:val="18"/>
          <w:vertAlign w:val="baseline"/>
        </w:rPr>
        <w:t>WBUR,</w:t>
      </w:r>
      <w:r>
        <w:rPr>
          <w:spacing w:val="-3"/>
          <w:sz w:val="18"/>
          <w:vertAlign w:val="baseline"/>
        </w:rPr>
        <w:t> </w:t>
      </w:r>
      <w:r>
        <w:rPr>
          <w:sz w:val="18"/>
          <w:vertAlign w:val="baseline"/>
        </w:rPr>
        <w:t>April</w:t>
      </w:r>
      <w:r>
        <w:rPr>
          <w:spacing w:val="-2"/>
          <w:sz w:val="18"/>
          <w:vertAlign w:val="baseline"/>
        </w:rPr>
        <w:t> </w:t>
      </w:r>
      <w:r>
        <w:rPr>
          <w:sz w:val="18"/>
          <w:vertAlign w:val="baseline"/>
        </w:rPr>
        <w:t>7,</w:t>
      </w:r>
      <w:r>
        <w:rPr>
          <w:spacing w:val="-3"/>
          <w:sz w:val="18"/>
          <w:vertAlign w:val="baseline"/>
        </w:rPr>
        <w:t> </w:t>
      </w:r>
      <w:r>
        <w:rPr>
          <w:sz w:val="18"/>
          <w:vertAlign w:val="baseline"/>
        </w:rPr>
        <w:t>2021, </w:t>
      </w:r>
      <w:r>
        <w:rPr>
          <w:spacing w:val="-2"/>
          <w:sz w:val="18"/>
          <w:vertAlign w:val="baseline"/>
        </w:rPr>
        <w:t>https://</w:t>
      </w:r>
      <w:hyperlink r:id="rId527">
        <w:r>
          <w:rPr>
            <w:spacing w:val="-2"/>
            <w:sz w:val="18"/>
            <w:vertAlign w:val="baseline"/>
          </w:rPr>
          <w:t>www.wbur.org/news/2020/12/01/massachusetts-police-reform-legislation-explainer.</w:t>
        </w:r>
      </w:hyperlink>
    </w:p>
    <w:p>
      <w:pPr>
        <w:spacing w:line="156" w:lineRule="auto" w:before="36"/>
        <w:ind w:left="320" w:right="0" w:firstLine="0"/>
        <w:jc w:val="left"/>
        <w:rPr>
          <w:i/>
          <w:sz w:val="18"/>
        </w:rPr>
      </w:pPr>
      <w:r>
        <w:rPr>
          <w:sz w:val="12"/>
        </w:rPr>
        <w:t>132</w:t>
      </w:r>
      <w:r>
        <w:rPr>
          <w:spacing w:val="13"/>
          <w:sz w:val="12"/>
        </w:rPr>
        <w:t> </w:t>
      </w:r>
      <w:r>
        <w:rPr>
          <w:i/>
          <w:spacing w:val="-5"/>
          <w:position w:val="-5"/>
          <w:sz w:val="18"/>
        </w:rPr>
        <w:t>Id.</w:t>
      </w:r>
    </w:p>
    <w:p>
      <w:pPr>
        <w:spacing w:before="36"/>
        <w:ind w:left="320" w:right="481" w:firstLine="0"/>
        <w:jc w:val="left"/>
        <w:rPr>
          <w:sz w:val="18"/>
        </w:rPr>
      </w:pPr>
      <w:r>
        <w:rPr>
          <w:sz w:val="18"/>
          <w:vertAlign w:val="superscript"/>
        </w:rPr>
        <w:t>133</w:t>
      </w:r>
      <w:r>
        <w:rPr>
          <w:spacing w:val="-4"/>
          <w:sz w:val="18"/>
          <w:vertAlign w:val="baseline"/>
        </w:rPr>
        <w:t> </w:t>
      </w:r>
      <w:r>
        <w:rPr>
          <w:sz w:val="18"/>
          <w:vertAlign w:val="baseline"/>
        </w:rPr>
        <w:t>Massachusetts</w:t>
      </w:r>
      <w:r>
        <w:rPr>
          <w:spacing w:val="-5"/>
          <w:sz w:val="18"/>
          <w:vertAlign w:val="baseline"/>
        </w:rPr>
        <w:t> </w:t>
      </w:r>
      <w:r>
        <w:rPr>
          <w:sz w:val="18"/>
          <w:vertAlign w:val="baseline"/>
        </w:rPr>
        <w:t>Juvenile</w:t>
      </w:r>
      <w:r>
        <w:rPr>
          <w:spacing w:val="-4"/>
          <w:sz w:val="18"/>
          <w:vertAlign w:val="baseline"/>
        </w:rPr>
        <w:t> </w:t>
      </w:r>
      <w:r>
        <w:rPr>
          <w:sz w:val="18"/>
          <w:vertAlign w:val="baseline"/>
        </w:rPr>
        <w:t>Justice</w:t>
      </w:r>
      <w:r>
        <w:rPr>
          <w:spacing w:val="-4"/>
          <w:sz w:val="18"/>
          <w:vertAlign w:val="baseline"/>
        </w:rPr>
        <w:t> </w:t>
      </w:r>
      <w:r>
        <w:rPr>
          <w:sz w:val="18"/>
          <w:vertAlign w:val="baseline"/>
        </w:rPr>
        <w:t>Advisory</w:t>
      </w:r>
      <w:r>
        <w:rPr>
          <w:spacing w:val="-4"/>
          <w:sz w:val="18"/>
          <w:vertAlign w:val="baseline"/>
        </w:rPr>
        <w:t> </w:t>
      </w:r>
      <w:r>
        <w:rPr>
          <w:sz w:val="18"/>
          <w:vertAlign w:val="baseline"/>
        </w:rPr>
        <w:t>Committee.</w:t>
      </w:r>
      <w:r>
        <w:rPr>
          <w:spacing w:val="-4"/>
          <w:sz w:val="18"/>
          <w:vertAlign w:val="baseline"/>
        </w:rPr>
        <w:t> </w:t>
      </w:r>
      <w:r>
        <w:rPr>
          <w:sz w:val="18"/>
          <w:vertAlign w:val="baseline"/>
        </w:rPr>
        <w:t>2014.</w:t>
      </w:r>
      <w:r>
        <w:rPr>
          <w:spacing w:val="-4"/>
          <w:sz w:val="18"/>
          <w:vertAlign w:val="baseline"/>
        </w:rPr>
        <w:t> </w:t>
      </w:r>
      <w:r>
        <w:rPr>
          <w:sz w:val="18"/>
          <w:vertAlign w:val="baseline"/>
        </w:rPr>
        <w:t>“Massachusetts</w:t>
      </w:r>
      <w:r>
        <w:rPr>
          <w:spacing w:val="-4"/>
          <w:sz w:val="18"/>
          <w:vertAlign w:val="baseline"/>
        </w:rPr>
        <w:t> </w:t>
      </w:r>
      <w:r>
        <w:rPr>
          <w:sz w:val="18"/>
          <w:vertAlign w:val="baseline"/>
        </w:rPr>
        <w:t>Juvenile</w:t>
      </w:r>
      <w:r>
        <w:rPr>
          <w:spacing w:val="-4"/>
          <w:sz w:val="18"/>
          <w:vertAlign w:val="baseline"/>
        </w:rPr>
        <w:t> </w:t>
      </w:r>
      <w:r>
        <w:rPr>
          <w:sz w:val="18"/>
          <w:vertAlign w:val="baseline"/>
        </w:rPr>
        <w:t>Justice</w:t>
      </w:r>
      <w:r>
        <w:rPr>
          <w:spacing w:val="-4"/>
          <w:sz w:val="18"/>
          <w:vertAlign w:val="baseline"/>
        </w:rPr>
        <w:t> </w:t>
      </w:r>
      <w:r>
        <w:rPr>
          <w:sz w:val="18"/>
          <w:vertAlign w:val="baseline"/>
        </w:rPr>
        <w:t>Advisory</w:t>
      </w:r>
      <w:r>
        <w:rPr>
          <w:spacing w:val="-4"/>
          <w:sz w:val="18"/>
          <w:vertAlign w:val="baseline"/>
        </w:rPr>
        <w:t> </w:t>
      </w:r>
      <w:r>
        <w:rPr>
          <w:sz w:val="18"/>
          <w:vertAlign w:val="baseline"/>
        </w:rPr>
        <w:t>Committee</w:t>
      </w:r>
      <w:r>
        <w:rPr>
          <w:spacing w:val="-4"/>
          <w:sz w:val="18"/>
          <w:vertAlign w:val="baseline"/>
        </w:rPr>
        <w:t> </w:t>
      </w:r>
      <w:r>
        <w:rPr>
          <w:sz w:val="18"/>
          <w:vertAlign w:val="baseline"/>
        </w:rPr>
        <w:t>Annual Report to the Governor and State Legislature”. https:</w:t>
      </w:r>
      <w:hyperlink r:id="rId528">
        <w:r>
          <w:rPr>
            <w:sz w:val="18"/>
            <w:vertAlign w:val="baseline"/>
          </w:rPr>
          <w:t>//www.mass.gov/doc/2014-jjac-annual-report/download</w:t>
        </w:r>
      </w:hyperlink>
    </w:p>
    <w:p>
      <w:pPr>
        <w:spacing w:before="0"/>
        <w:ind w:left="320" w:right="907" w:firstLine="0"/>
        <w:jc w:val="left"/>
        <w:rPr>
          <w:sz w:val="18"/>
        </w:rPr>
      </w:pPr>
      <w:r>
        <w:rPr>
          <w:sz w:val="18"/>
          <w:vertAlign w:val="superscript"/>
        </w:rPr>
        <w:t>134</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2023.</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2022</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 </w:t>
      </w:r>
      <w:hyperlink r:id="rId529">
        <w:r>
          <w:rPr>
            <w:spacing w:val="-2"/>
            <w:sz w:val="18"/>
            <w:u w:val="single"/>
            <w:vertAlign w:val="baseline"/>
          </w:rPr>
          <w:t>https://www.mass.gov/doc/jjpad-2022-annual-report/download</w:t>
        </w:r>
        <w:r>
          <w:rPr>
            <w:spacing w:val="-2"/>
            <w:sz w:val="18"/>
            <w:u w:val="none"/>
            <w:vertAlign w:val="baseline"/>
          </w:rPr>
          <w:t>.</w:t>
        </w:r>
      </w:hyperlink>
    </w:p>
    <w:p>
      <w:pPr>
        <w:spacing w:before="0"/>
        <w:ind w:left="320" w:right="907" w:firstLine="0"/>
        <w:jc w:val="left"/>
        <w:rPr>
          <w:sz w:val="18"/>
        </w:rPr>
      </w:pPr>
      <w:r>
        <w:rPr>
          <w:sz w:val="18"/>
          <w:vertAlign w:val="superscript"/>
        </w:rPr>
        <w:t>135</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2024.</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2023</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 </w:t>
      </w:r>
      <w:r>
        <w:rPr>
          <w:spacing w:val="-2"/>
          <w:sz w:val="18"/>
          <w:vertAlign w:val="baseline"/>
        </w:rPr>
        <w:t>https:</w:t>
      </w:r>
      <w:hyperlink r:id="rId526">
        <w:r>
          <w:rPr>
            <w:spacing w:val="-2"/>
            <w:sz w:val="18"/>
            <w:vertAlign w:val="baseline"/>
          </w:rPr>
          <w:t>//www.mass.gov/doc/jjpad-2023-annual-report/download</w:t>
        </w:r>
      </w:hyperlink>
    </w:p>
    <w:p>
      <w:pPr>
        <w:spacing w:before="0"/>
        <w:ind w:left="320" w:right="0" w:firstLine="0"/>
        <w:jc w:val="left"/>
        <w:rPr>
          <w:sz w:val="18"/>
        </w:rPr>
      </w:pPr>
      <w:r>
        <w:rPr>
          <w:sz w:val="18"/>
          <w:vertAlign w:val="superscript"/>
        </w:rPr>
        <w:t>136</w:t>
      </w:r>
      <w:r>
        <w:rPr>
          <w:spacing w:val="-2"/>
          <w:sz w:val="18"/>
          <w:vertAlign w:val="baseline"/>
        </w:rPr>
        <w:t> </w:t>
      </w:r>
      <w:r>
        <w:rPr>
          <w:sz w:val="18"/>
          <w:vertAlign w:val="baseline"/>
        </w:rPr>
        <w:t>Citizens</w:t>
      </w:r>
      <w:r>
        <w:rPr>
          <w:spacing w:val="-2"/>
          <w:sz w:val="18"/>
          <w:vertAlign w:val="baseline"/>
        </w:rPr>
        <w:t> </w:t>
      </w:r>
      <w:r>
        <w:rPr>
          <w:sz w:val="18"/>
          <w:vertAlign w:val="baseline"/>
        </w:rPr>
        <w:t>for</w:t>
      </w:r>
      <w:r>
        <w:rPr>
          <w:spacing w:val="-3"/>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2023.</w:t>
      </w:r>
      <w:r>
        <w:rPr>
          <w:spacing w:val="-2"/>
          <w:sz w:val="18"/>
          <w:vertAlign w:val="baseline"/>
        </w:rPr>
        <w:t> </w:t>
      </w:r>
      <w:r>
        <w:rPr>
          <w:sz w:val="18"/>
          <w:vertAlign w:val="baseline"/>
        </w:rPr>
        <w:t>“Justice</w:t>
      </w:r>
      <w:r>
        <w:rPr>
          <w:spacing w:val="-2"/>
          <w:sz w:val="18"/>
          <w:vertAlign w:val="baseline"/>
        </w:rPr>
        <w:t> </w:t>
      </w:r>
      <w:r>
        <w:rPr>
          <w:sz w:val="18"/>
          <w:vertAlign w:val="baseline"/>
        </w:rPr>
        <w:t>by</w:t>
      </w:r>
      <w:r>
        <w:rPr>
          <w:spacing w:val="-2"/>
          <w:sz w:val="18"/>
          <w:vertAlign w:val="baseline"/>
        </w:rPr>
        <w:t> </w:t>
      </w:r>
      <w:r>
        <w:rPr>
          <w:sz w:val="18"/>
          <w:vertAlign w:val="baseline"/>
        </w:rPr>
        <w:t>Geograph:</w:t>
      </w:r>
      <w:r>
        <w:rPr>
          <w:spacing w:val="-2"/>
          <w:sz w:val="18"/>
          <w:vertAlign w:val="baseline"/>
        </w:rPr>
        <w:t> </w:t>
      </w:r>
      <w:r>
        <w:rPr>
          <w:sz w:val="18"/>
          <w:vertAlign w:val="baseline"/>
        </w:rPr>
        <w:t>differential</w:t>
      </w:r>
      <w:r>
        <w:rPr>
          <w:spacing w:val="-3"/>
          <w:sz w:val="18"/>
          <w:vertAlign w:val="baseline"/>
        </w:rPr>
        <w:t> </w:t>
      </w:r>
      <w:r>
        <w:rPr>
          <w:sz w:val="18"/>
          <w:vertAlign w:val="baseline"/>
        </w:rPr>
        <w:t>treatment</w:t>
      </w:r>
      <w:r>
        <w:rPr>
          <w:spacing w:val="-3"/>
          <w:sz w:val="18"/>
          <w:vertAlign w:val="baseline"/>
        </w:rPr>
        <w:t> </w:t>
      </w:r>
      <w:r>
        <w:rPr>
          <w:sz w:val="18"/>
          <w:vertAlign w:val="baseline"/>
        </w:rPr>
        <w:t>of</w:t>
      </w:r>
      <w:r>
        <w:rPr>
          <w:spacing w:val="-2"/>
          <w:sz w:val="18"/>
          <w:vertAlign w:val="baseline"/>
        </w:rPr>
        <w:t> </w:t>
      </w:r>
      <w:r>
        <w:rPr>
          <w:sz w:val="18"/>
          <w:vertAlign w:val="baseline"/>
        </w:rPr>
        <w:t>youth</w:t>
      </w:r>
      <w:r>
        <w:rPr>
          <w:spacing w:val="-2"/>
          <w:sz w:val="18"/>
          <w:vertAlign w:val="baseline"/>
        </w:rPr>
        <w:t> </w:t>
      </w:r>
      <w:r>
        <w:rPr>
          <w:sz w:val="18"/>
          <w:vertAlign w:val="baseline"/>
        </w:rPr>
        <w:t>by</w:t>
      </w:r>
      <w:r>
        <w:rPr>
          <w:spacing w:val="-2"/>
          <w:sz w:val="18"/>
          <w:vertAlign w:val="baseline"/>
        </w:rPr>
        <w:t> </w:t>
      </w:r>
      <w:r>
        <w:rPr>
          <w:sz w:val="18"/>
          <w:vertAlign w:val="baseline"/>
        </w:rPr>
        <w:t>locality</w:t>
      </w:r>
      <w:r>
        <w:rPr>
          <w:spacing w:val="-2"/>
          <w:sz w:val="18"/>
          <w:vertAlign w:val="baseline"/>
        </w:rPr>
        <w:t> </w:t>
      </w:r>
      <w:r>
        <w:rPr>
          <w:sz w:val="18"/>
          <w:vertAlign w:val="baseline"/>
        </w:rPr>
        <w:t>at</w:t>
      </w:r>
      <w:r>
        <w:rPr>
          <w:spacing w:val="-3"/>
          <w:sz w:val="18"/>
          <w:vertAlign w:val="baseline"/>
        </w:rPr>
        <w:t> </w:t>
      </w:r>
      <w:r>
        <w:rPr>
          <w:sz w:val="18"/>
          <w:vertAlign w:val="baseline"/>
        </w:rPr>
        <w:t>juvenile</w:t>
      </w:r>
      <w:r>
        <w:rPr>
          <w:spacing w:val="-2"/>
          <w:sz w:val="18"/>
          <w:vertAlign w:val="baseline"/>
        </w:rPr>
        <w:t> </w:t>
      </w:r>
      <w:r>
        <w:rPr>
          <w:sz w:val="18"/>
          <w:vertAlign w:val="baseline"/>
        </w:rPr>
        <w:t>legal</w:t>
      </w:r>
      <w:r>
        <w:rPr>
          <w:spacing w:val="-3"/>
          <w:sz w:val="18"/>
          <w:vertAlign w:val="baseline"/>
        </w:rPr>
        <w:t> </w:t>
      </w:r>
      <w:r>
        <w:rPr>
          <w:sz w:val="18"/>
          <w:vertAlign w:val="baseline"/>
        </w:rPr>
        <w:t>decision points”. April 2023.</w:t>
      </w:r>
      <w:r>
        <w:rPr>
          <w:spacing w:val="40"/>
          <w:sz w:val="18"/>
          <w:vertAlign w:val="baseline"/>
        </w:rPr>
        <w:t> </w:t>
      </w:r>
      <w:r>
        <w:rPr>
          <w:sz w:val="18"/>
          <w:vertAlign w:val="baseline"/>
        </w:rPr>
        <w:t>https:</w:t>
      </w:r>
      <w:hyperlink r:id="rId530">
        <w:r>
          <w:rPr>
            <w:sz w:val="18"/>
            <w:vertAlign w:val="baseline"/>
          </w:rPr>
          <w:t>//www.cfjj.org/justice-by-geography</w:t>
        </w:r>
      </w:hyperlink>
    </w:p>
    <w:p>
      <w:pPr>
        <w:spacing w:before="0"/>
        <w:ind w:left="320" w:right="120" w:firstLine="0"/>
        <w:jc w:val="left"/>
        <w:rPr>
          <w:sz w:val="18"/>
        </w:rPr>
      </w:pPr>
      <w:r>
        <w:rPr>
          <w:sz w:val="18"/>
          <w:vertAlign w:val="superscript"/>
        </w:rPr>
        <w:t>137</w:t>
      </w:r>
      <w:r>
        <w:rPr>
          <w:sz w:val="18"/>
          <w:vertAlign w:val="baseline"/>
        </w:rPr>
        <w:t> Mass Live. 2024. “Mass. Saw Increase in Juvenile Justice Involvement in 2023, Report Shows”, Jan 10, 2024, </w:t>
      </w:r>
      <w:r>
        <w:rPr>
          <w:spacing w:val="-2"/>
          <w:sz w:val="18"/>
          <w:vertAlign w:val="baseline"/>
        </w:rPr>
        <w:t>https://</w:t>
      </w:r>
      <w:hyperlink r:id="rId531">
        <w:r>
          <w:rPr>
            <w:spacing w:val="-2"/>
            <w:sz w:val="18"/>
            <w:vertAlign w:val="baseline"/>
          </w:rPr>
          <w:t>www.masslive.com/news/2024/01/mass-saw-increase-in-juvenile-justice-involvement-in-2023-report-</w:t>
        </w:r>
      </w:hyperlink>
      <w:r>
        <w:rPr>
          <w:sz w:val="18"/>
          <w:vertAlign w:val="baseline"/>
        </w:rPr>
        <w:t> </w:t>
      </w:r>
      <w:r>
        <w:rPr>
          <w:spacing w:val="-2"/>
          <w:sz w:val="18"/>
          <w:vertAlign w:val="baseline"/>
        </w:rPr>
        <w:t>shows.html#:~:text=Between%202022%20and%202023%2C%20there,pretrial%20supervision%2C%20probation%20and%20det</w:t>
      </w:r>
      <w:r>
        <w:rPr>
          <w:sz w:val="18"/>
          <w:vertAlign w:val="baseline"/>
        </w:rPr>
        <w:t> </w:t>
      </w:r>
      <w:r>
        <w:rPr>
          <w:spacing w:val="-2"/>
          <w:sz w:val="18"/>
          <w:vertAlign w:val="baseline"/>
        </w:rPr>
        <w:t>ention.</w:t>
      </w:r>
    </w:p>
    <w:p>
      <w:pPr>
        <w:spacing w:line="156" w:lineRule="auto" w:before="36"/>
        <w:ind w:left="320" w:right="0" w:firstLine="0"/>
        <w:jc w:val="left"/>
        <w:rPr>
          <w:i/>
          <w:sz w:val="18"/>
        </w:rPr>
      </w:pPr>
      <w:r>
        <w:rPr>
          <w:sz w:val="12"/>
        </w:rPr>
        <w:t>138</w:t>
      </w:r>
      <w:r>
        <w:rPr>
          <w:spacing w:val="13"/>
          <w:sz w:val="12"/>
        </w:rPr>
        <w:t> </w:t>
      </w:r>
      <w:r>
        <w:rPr>
          <w:i/>
          <w:spacing w:val="-5"/>
          <w:position w:val="-5"/>
          <w:sz w:val="18"/>
        </w:rPr>
        <w:t>Id.</w:t>
      </w:r>
    </w:p>
    <w:p>
      <w:pPr>
        <w:spacing w:before="38"/>
        <w:ind w:left="320" w:right="907" w:firstLine="0"/>
        <w:jc w:val="left"/>
        <w:rPr>
          <w:sz w:val="18"/>
        </w:rPr>
      </w:pPr>
      <w:r>
        <w:rPr>
          <w:sz w:val="18"/>
          <w:vertAlign w:val="superscript"/>
        </w:rPr>
        <w:t>139</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2024.</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2023</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 </w:t>
      </w:r>
      <w:r>
        <w:rPr>
          <w:spacing w:val="-2"/>
          <w:sz w:val="18"/>
          <w:vertAlign w:val="baseline"/>
        </w:rPr>
        <w:t>https:</w:t>
      </w:r>
      <w:hyperlink r:id="rId526">
        <w:r>
          <w:rPr>
            <w:spacing w:val="-2"/>
            <w:sz w:val="18"/>
            <w:vertAlign w:val="baseline"/>
          </w:rPr>
          <w:t>//www.mass.gov/doc/jjpad-2023-annual-report/download</w:t>
        </w:r>
      </w:hyperlink>
    </w:p>
    <w:p>
      <w:pPr>
        <w:spacing w:line="153" w:lineRule="auto" w:before="36"/>
        <w:ind w:left="320" w:right="0" w:firstLine="0"/>
        <w:jc w:val="left"/>
        <w:rPr>
          <w:i/>
          <w:sz w:val="18"/>
        </w:rPr>
      </w:pPr>
      <w:r>
        <w:rPr>
          <w:sz w:val="12"/>
        </w:rPr>
        <w:t>140</w:t>
      </w:r>
      <w:r>
        <w:rPr>
          <w:spacing w:val="13"/>
          <w:sz w:val="12"/>
        </w:rPr>
        <w:t> </w:t>
      </w:r>
      <w:r>
        <w:rPr>
          <w:i/>
          <w:spacing w:val="-5"/>
          <w:position w:val="-5"/>
          <w:sz w:val="18"/>
        </w:rPr>
        <w:t>Id.</w:t>
      </w:r>
    </w:p>
    <w:p>
      <w:pPr>
        <w:spacing w:line="158" w:lineRule="auto" w:before="71"/>
        <w:ind w:left="320" w:right="0" w:firstLine="0"/>
        <w:jc w:val="left"/>
        <w:rPr>
          <w:i/>
          <w:sz w:val="18"/>
        </w:rPr>
      </w:pPr>
      <w:r>
        <w:rPr>
          <w:sz w:val="12"/>
        </w:rPr>
        <w:t>141</w:t>
      </w:r>
      <w:r>
        <w:rPr>
          <w:spacing w:val="13"/>
          <w:sz w:val="12"/>
        </w:rPr>
        <w:t> </w:t>
      </w:r>
      <w:r>
        <w:rPr>
          <w:i/>
          <w:spacing w:val="-5"/>
          <w:position w:val="-5"/>
          <w:sz w:val="18"/>
        </w:rPr>
        <w:t>Id.</w:t>
      </w:r>
    </w:p>
    <w:p>
      <w:pPr>
        <w:spacing w:before="33"/>
        <w:ind w:left="320" w:right="0" w:firstLine="0"/>
        <w:jc w:val="left"/>
        <w:rPr>
          <w:i/>
          <w:sz w:val="18"/>
        </w:rPr>
      </w:pPr>
      <w:r>
        <w:rPr>
          <w:sz w:val="12"/>
        </w:rPr>
        <w:t>142</w:t>
      </w:r>
      <w:r>
        <w:rPr>
          <w:spacing w:val="13"/>
          <w:sz w:val="12"/>
        </w:rPr>
        <w:t> </w:t>
      </w:r>
      <w:r>
        <w:rPr>
          <w:i/>
          <w:spacing w:val="-5"/>
          <w:position w:val="-5"/>
          <w:sz w:val="18"/>
        </w:rPr>
        <w:t>Id.</w:t>
      </w:r>
    </w:p>
    <w:p>
      <w:pPr>
        <w:spacing w:before="1"/>
        <w:ind w:left="320" w:right="152" w:firstLine="0"/>
        <w:jc w:val="left"/>
        <w:rPr>
          <w:sz w:val="18"/>
        </w:rPr>
      </w:pPr>
      <w:r>
        <w:rPr>
          <w:sz w:val="18"/>
          <w:vertAlign w:val="superscript"/>
        </w:rPr>
        <w:t>143</w:t>
      </w:r>
      <w:r>
        <w:rPr>
          <w:spacing w:val="-3"/>
          <w:sz w:val="18"/>
          <w:vertAlign w:val="baseline"/>
        </w:rPr>
        <w:t> </w:t>
      </w:r>
      <w:r>
        <w:rPr>
          <w:sz w:val="18"/>
          <w:vertAlign w:val="baseline"/>
        </w:rPr>
        <w:t>Juvenile</w:t>
      </w:r>
      <w:r>
        <w:rPr>
          <w:spacing w:val="-3"/>
          <w:sz w:val="18"/>
          <w:vertAlign w:val="baseline"/>
        </w:rPr>
        <w:t> </w:t>
      </w:r>
      <w:r>
        <w:rPr>
          <w:sz w:val="18"/>
          <w:vertAlign w:val="baseline"/>
        </w:rPr>
        <w:t>Detention</w:t>
      </w:r>
      <w:r>
        <w:rPr>
          <w:spacing w:val="-3"/>
          <w:sz w:val="18"/>
          <w:vertAlign w:val="baseline"/>
        </w:rPr>
        <w:t> </w:t>
      </w:r>
      <w:r>
        <w:rPr>
          <w:sz w:val="18"/>
          <w:vertAlign w:val="baseline"/>
        </w:rPr>
        <w:t>Alternatives</w:t>
      </w:r>
      <w:r>
        <w:rPr>
          <w:spacing w:val="-3"/>
          <w:sz w:val="18"/>
          <w:vertAlign w:val="baseline"/>
        </w:rPr>
        <w:t> </w:t>
      </w:r>
      <w:r>
        <w:rPr>
          <w:sz w:val="18"/>
          <w:vertAlign w:val="baseline"/>
        </w:rPr>
        <w:t>Initiative</w:t>
      </w:r>
      <w:r>
        <w:rPr>
          <w:spacing w:val="-3"/>
          <w:sz w:val="18"/>
          <w:vertAlign w:val="baseline"/>
        </w:rPr>
        <w:t> </w:t>
      </w:r>
      <w:r>
        <w:rPr>
          <w:sz w:val="18"/>
          <w:vertAlign w:val="baseline"/>
        </w:rPr>
        <w:t>(JDAI).</w:t>
      </w:r>
      <w:r>
        <w:rPr>
          <w:spacing w:val="-4"/>
          <w:sz w:val="18"/>
          <w:vertAlign w:val="baseline"/>
        </w:rPr>
        <w:t> </w:t>
      </w:r>
      <w:r>
        <w:rPr>
          <w:sz w:val="18"/>
          <w:vertAlign w:val="baseline"/>
        </w:rPr>
        <w:t>2024.</w:t>
      </w:r>
      <w:r>
        <w:rPr>
          <w:spacing w:val="-3"/>
          <w:sz w:val="18"/>
          <w:vertAlign w:val="baseline"/>
        </w:rPr>
        <w:t> </w:t>
      </w:r>
      <w:r>
        <w:rPr>
          <w:sz w:val="18"/>
          <w:vertAlign w:val="baseline"/>
        </w:rPr>
        <w:t>“Measuring</w:t>
      </w:r>
      <w:r>
        <w:rPr>
          <w:spacing w:val="-3"/>
          <w:sz w:val="18"/>
          <w:vertAlign w:val="baseline"/>
        </w:rPr>
        <w:t> </w:t>
      </w:r>
      <w:r>
        <w:rPr>
          <w:sz w:val="18"/>
          <w:vertAlign w:val="baseline"/>
        </w:rPr>
        <w:t>Equity</w:t>
      </w:r>
      <w:r>
        <w:rPr>
          <w:spacing w:val="-3"/>
          <w:sz w:val="18"/>
          <w:vertAlign w:val="baseline"/>
        </w:rPr>
        <w:t> </w:t>
      </w:r>
      <w:r>
        <w:rPr>
          <w:sz w:val="18"/>
          <w:vertAlign w:val="baseline"/>
        </w:rPr>
        <w:t>in</w:t>
      </w:r>
      <w:r>
        <w:rPr>
          <w:spacing w:val="-3"/>
          <w:sz w:val="18"/>
          <w:vertAlign w:val="baseline"/>
        </w:rPr>
        <w:t> </w:t>
      </w:r>
      <w:r>
        <w:rPr>
          <w:sz w:val="18"/>
          <w:vertAlign w:val="baseline"/>
        </w:rPr>
        <w:t>Juvenile</w:t>
      </w:r>
      <w:r>
        <w:rPr>
          <w:spacing w:val="-3"/>
          <w:sz w:val="18"/>
          <w:vertAlign w:val="baseline"/>
        </w:rPr>
        <w:t> </w:t>
      </w:r>
      <w:r>
        <w:rPr>
          <w:sz w:val="18"/>
          <w:vertAlign w:val="baseline"/>
        </w:rPr>
        <w:t>Detentions”,</w:t>
      </w:r>
      <w:r>
        <w:rPr>
          <w:spacing w:val="-4"/>
          <w:sz w:val="18"/>
          <w:vertAlign w:val="baseline"/>
        </w:rPr>
        <w:t> </w:t>
      </w:r>
      <w:r>
        <w:rPr>
          <w:sz w:val="18"/>
          <w:vertAlign w:val="baseline"/>
        </w:rPr>
        <w:t>Retrieved</w:t>
      </w:r>
      <w:r>
        <w:rPr>
          <w:spacing w:val="-3"/>
          <w:sz w:val="18"/>
          <w:vertAlign w:val="baseline"/>
        </w:rPr>
        <w:t> </w:t>
      </w:r>
      <w:r>
        <w:rPr>
          <w:sz w:val="18"/>
          <w:vertAlign w:val="baseline"/>
        </w:rPr>
        <w:t>March</w:t>
      </w:r>
      <w:r>
        <w:rPr>
          <w:spacing w:val="-3"/>
          <w:sz w:val="18"/>
          <w:vertAlign w:val="baseline"/>
        </w:rPr>
        <w:t> </w:t>
      </w:r>
      <w:r>
        <w:rPr>
          <w:sz w:val="18"/>
          <w:vertAlign w:val="baseline"/>
        </w:rPr>
        <w:t>14,</w:t>
      </w:r>
      <w:r>
        <w:rPr>
          <w:spacing w:val="-4"/>
          <w:sz w:val="18"/>
          <w:vertAlign w:val="baseline"/>
        </w:rPr>
        <w:t> </w:t>
      </w:r>
      <w:r>
        <w:rPr>
          <w:sz w:val="18"/>
          <w:vertAlign w:val="baseline"/>
        </w:rPr>
        <w:t>2024. </w:t>
      </w:r>
      <w:hyperlink r:id="rId532">
        <w:r>
          <w:rPr>
            <w:spacing w:val="-2"/>
            <w:sz w:val="18"/>
            <w:u w:val="single"/>
            <w:vertAlign w:val="baseline"/>
          </w:rPr>
          <w:t>https://www.mass.gov/info-details/measuring-equity-in-juvenile-detentions#equity-in-the-juvenile-justice-system-</w:t>
        </w:r>
      </w:hyperlink>
    </w:p>
    <w:p>
      <w:pPr>
        <w:spacing w:line="153" w:lineRule="auto" w:before="36"/>
        <w:ind w:left="320" w:right="0" w:firstLine="0"/>
        <w:jc w:val="left"/>
        <w:rPr>
          <w:i/>
          <w:sz w:val="18"/>
        </w:rPr>
      </w:pPr>
      <w:r>
        <w:rPr>
          <w:sz w:val="12"/>
        </w:rPr>
        <w:t>144</w:t>
      </w:r>
      <w:r>
        <w:rPr>
          <w:spacing w:val="13"/>
          <w:sz w:val="12"/>
        </w:rPr>
        <w:t> </w:t>
      </w:r>
      <w:r>
        <w:rPr>
          <w:i/>
          <w:spacing w:val="-5"/>
          <w:position w:val="-5"/>
          <w:sz w:val="18"/>
        </w:rPr>
        <w:t>Id.</w:t>
      </w:r>
    </w:p>
    <w:p>
      <w:pPr>
        <w:spacing w:before="38"/>
        <w:ind w:left="320" w:right="907" w:firstLine="0"/>
        <w:jc w:val="left"/>
        <w:rPr>
          <w:i/>
          <w:sz w:val="18"/>
        </w:rPr>
      </w:pPr>
      <w:r>
        <w:rPr>
          <w:sz w:val="18"/>
          <w:vertAlign w:val="superscript"/>
        </w:rPr>
        <w:t>145</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and</w:t>
      </w:r>
      <w:r>
        <w:rPr>
          <w:spacing w:val="-3"/>
          <w:sz w:val="18"/>
          <w:vertAlign w:val="baseline"/>
        </w:rPr>
        <w:t> </w:t>
      </w:r>
      <w:r>
        <w:rPr>
          <w:sz w:val="18"/>
          <w:vertAlign w:val="baseline"/>
        </w:rPr>
        <w:t>Data</w:t>
      </w:r>
      <w:r>
        <w:rPr>
          <w:spacing w:val="-3"/>
          <w:sz w:val="18"/>
          <w:vertAlign w:val="baseline"/>
        </w:rPr>
        <w:t> </w:t>
      </w:r>
      <w:r>
        <w:rPr>
          <w:sz w:val="18"/>
          <w:vertAlign w:val="baseline"/>
        </w:rPr>
        <w:t>Board.</w:t>
      </w:r>
      <w:r>
        <w:rPr>
          <w:spacing w:val="-3"/>
          <w:sz w:val="18"/>
          <w:vertAlign w:val="baseline"/>
        </w:rPr>
        <w:t> </w:t>
      </w:r>
      <w:r>
        <w:rPr>
          <w:sz w:val="18"/>
          <w:vertAlign w:val="baseline"/>
        </w:rPr>
        <w:t>2023.</w:t>
      </w:r>
      <w:r>
        <w:rPr>
          <w:spacing w:val="-3"/>
          <w:sz w:val="18"/>
          <w:vertAlign w:val="baseline"/>
        </w:rPr>
        <w:t> </w:t>
      </w:r>
      <w:r>
        <w:rPr>
          <w:sz w:val="18"/>
          <w:vertAlign w:val="baseline"/>
        </w:rPr>
        <w:t>“Massachusetts</w:t>
      </w:r>
      <w:r>
        <w:rPr>
          <w:spacing w:val="-3"/>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System:</w:t>
      </w:r>
      <w:r>
        <w:rPr>
          <w:spacing w:val="-3"/>
          <w:sz w:val="18"/>
          <w:vertAlign w:val="baseline"/>
        </w:rPr>
        <w:t> </w:t>
      </w:r>
      <w:r>
        <w:rPr>
          <w:sz w:val="18"/>
          <w:vertAlign w:val="baseline"/>
        </w:rPr>
        <w:t>2022</w:t>
      </w:r>
      <w:r>
        <w:rPr>
          <w:spacing w:val="-3"/>
          <w:sz w:val="18"/>
          <w:vertAlign w:val="baseline"/>
        </w:rPr>
        <w:t> </w:t>
      </w:r>
      <w:r>
        <w:rPr>
          <w:sz w:val="18"/>
          <w:vertAlign w:val="baseline"/>
        </w:rPr>
        <w:t>JJPAD</w:t>
      </w:r>
      <w:r>
        <w:rPr>
          <w:spacing w:val="-4"/>
          <w:sz w:val="18"/>
          <w:vertAlign w:val="baseline"/>
        </w:rPr>
        <w:t> </w:t>
      </w:r>
      <w:r>
        <w:rPr>
          <w:sz w:val="18"/>
          <w:vertAlign w:val="baseline"/>
        </w:rPr>
        <w:t>Annual</w:t>
      </w:r>
      <w:r>
        <w:rPr>
          <w:spacing w:val="-4"/>
          <w:sz w:val="18"/>
          <w:vertAlign w:val="baseline"/>
        </w:rPr>
        <w:t> </w:t>
      </w:r>
      <w:r>
        <w:rPr>
          <w:sz w:val="18"/>
          <w:vertAlign w:val="baseline"/>
        </w:rPr>
        <w:t>Report”. </w:t>
      </w:r>
      <w:hyperlink r:id="rId529">
        <w:r>
          <w:rPr>
            <w:sz w:val="18"/>
            <w:u w:val="single"/>
            <w:vertAlign w:val="baseline"/>
          </w:rPr>
          <w:t>https://www.mass.gov/doc/jjpad-2022-annual-report/download</w:t>
        </w:r>
        <w:r>
          <w:rPr>
            <w:sz w:val="18"/>
            <w:u w:val="none"/>
            <w:vertAlign w:val="baseline"/>
          </w:rPr>
          <w:t>;</w:t>
        </w:r>
      </w:hyperlink>
      <w:r>
        <w:rPr>
          <w:spacing w:val="-2"/>
          <w:sz w:val="18"/>
          <w:u w:val="none"/>
          <w:vertAlign w:val="baseline"/>
        </w:rPr>
        <w:t> </w:t>
      </w:r>
      <w:r>
        <w:rPr>
          <w:i/>
          <w:sz w:val="18"/>
          <w:u w:val="none"/>
          <w:vertAlign w:val="baseline"/>
        </w:rPr>
        <w:t>Id.</w:t>
      </w:r>
    </w:p>
    <w:p>
      <w:pPr>
        <w:spacing w:after="0"/>
        <w:jc w:val="left"/>
        <w:rPr>
          <w:sz w:val="18"/>
        </w:rPr>
        <w:sectPr>
          <w:pgSz w:w="12240" w:h="15840"/>
          <w:pgMar w:header="763" w:footer="1041" w:top="1360" w:bottom="1240" w:left="1120" w:right="1340"/>
        </w:sectPr>
      </w:pPr>
    </w:p>
    <w:p>
      <w:pPr>
        <w:pStyle w:val="BodyText"/>
        <w:spacing w:before="90"/>
        <w:rPr>
          <w:i/>
          <w:sz w:val="18"/>
        </w:rPr>
      </w:pPr>
    </w:p>
    <w:p>
      <w:pPr>
        <w:spacing w:before="1"/>
        <w:ind w:left="320" w:right="2722" w:firstLine="0"/>
        <w:jc w:val="left"/>
        <w:rPr>
          <w:sz w:val="18"/>
        </w:rPr>
      </w:pPr>
      <w:r>
        <w:rPr>
          <w:sz w:val="18"/>
          <w:vertAlign w:val="superscript"/>
        </w:rPr>
        <w:t>146</w:t>
      </w:r>
      <w:r>
        <w:rPr>
          <w:spacing w:val="-3"/>
          <w:sz w:val="18"/>
          <w:vertAlign w:val="baseline"/>
        </w:rPr>
        <w:t> </w:t>
      </w:r>
      <w:r>
        <w:rPr>
          <w:sz w:val="18"/>
          <w:vertAlign w:val="baseline"/>
        </w:rPr>
        <w:t>Department</w:t>
      </w:r>
      <w:r>
        <w:rPr>
          <w:spacing w:val="-4"/>
          <w:sz w:val="18"/>
          <w:vertAlign w:val="baseline"/>
        </w:rPr>
        <w:t> </w:t>
      </w:r>
      <w:r>
        <w:rPr>
          <w:sz w:val="18"/>
          <w:vertAlign w:val="baseline"/>
        </w:rPr>
        <w:t>of</w:t>
      </w:r>
      <w:r>
        <w:rPr>
          <w:spacing w:val="-4"/>
          <w:sz w:val="18"/>
          <w:vertAlign w:val="baseline"/>
        </w:rPr>
        <w:t> </w:t>
      </w:r>
      <w:r>
        <w:rPr>
          <w:sz w:val="18"/>
          <w:vertAlign w:val="baseline"/>
        </w:rPr>
        <w:t>Children</w:t>
      </w:r>
      <w:r>
        <w:rPr>
          <w:spacing w:val="-3"/>
          <w:sz w:val="18"/>
          <w:vertAlign w:val="baseline"/>
        </w:rPr>
        <w:t> </w:t>
      </w:r>
      <w:r>
        <w:rPr>
          <w:sz w:val="18"/>
          <w:vertAlign w:val="baseline"/>
        </w:rPr>
        <w:t>and</w:t>
      </w:r>
      <w:r>
        <w:rPr>
          <w:spacing w:val="-3"/>
          <w:sz w:val="18"/>
          <w:vertAlign w:val="baseline"/>
        </w:rPr>
        <w:t> </w:t>
      </w:r>
      <w:r>
        <w:rPr>
          <w:sz w:val="18"/>
          <w:vertAlign w:val="baseline"/>
        </w:rPr>
        <w:t>Families,</w:t>
      </w:r>
      <w:r>
        <w:rPr>
          <w:spacing w:val="-4"/>
          <w:sz w:val="18"/>
          <w:vertAlign w:val="baseline"/>
        </w:rPr>
        <w:t> </w:t>
      </w:r>
      <w:r>
        <w:rPr>
          <w:sz w:val="18"/>
          <w:vertAlign w:val="baseline"/>
        </w:rPr>
        <w:t>LGBTQIA+</w:t>
      </w:r>
      <w:r>
        <w:rPr>
          <w:spacing w:val="-3"/>
          <w:sz w:val="18"/>
          <w:vertAlign w:val="baseline"/>
        </w:rPr>
        <w:t> </w:t>
      </w:r>
      <w:r>
        <w:rPr>
          <w:sz w:val="18"/>
          <w:vertAlign w:val="baseline"/>
        </w:rPr>
        <w:t>Nondiscrimination</w:t>
      </w:r>
      <w:r>
        <w:rPr>
          <w:spacing w:val="-3"/>
          <w:sz w:val="18"/>
          <w:vertAlign w:val="baseline"/>
        </w:rPr>
        <w:t> </w:t>
      </w:r>
      <w:r>
        <w:rPr>
          <w:sz w:val="18"/>
          <w:vertAlign w:val="baseline"/>
        </w:rPr>
        <w:t>Policy,</w:t>
      </w:r>
      <w:r>
        <w:rPr>
          <w:spacing w:val="-4"/>
          <w:sz w:val="18"/>
          <w:vertAlign w:val="baseline"/>
        </w:rPr>
        <w:t> </w:t>
      </w:r>
      <w:r>
        <w:rPr>
          <w:sz w:val="18"/>
          <w:vertAlign w:val="baseline"/>
        </w:rPr>
        <w:t>June</w:t>
      </w:r>
      <w:r>
        <w:rPr>
          <w:spacing w:val="-3"/>
          <w:sz w:val="18"/>
          <w:vertAlign w:val="baseline"/>
        </w:rPr>
        <w:t> </w:t>
      </w:r>
      <w:r>
        <w:rPr>
          <w:sz w:val="18"/>
          <w:vertAlign w:val="baseline"/>
        </w:rPr>
        <w:t>30,</w:t>
      </w:r>
      <w:r>
        <w:rPr>
          <w:spacing w:val="-4"/>
          <w:sz w:val="18"/>
          <w:vertAlign w:val="baseline"/>
        </w:rPr>
        <w:t> </w:t>
      </w:r>
      <w:r>
        <w:rPr>
          <w:sz w:val="18"/>
          <w:vertAlign w:val="baseline"/>
        </w:rPr>
        <w:t>2022, </w:t>
      </w:r>
      <w:hyperlink r:id="rId533">
        <w:r>
          <w:rPr>
            <w:spacing w:val="-2"/>
            <w:sz w:val="18"/>
            <w:u w:val="single"/>
            <w:vertAlign w:val="baseline"/>
          </w:rPr>
          <w:t>https://www.mass.gov/doc/lgbtqia-nondiscrimination-policy/download</w:t>
        </w:r>
        <w:r>
          <w:rPr>
            <w:spacing w:val="-2"/>
            <w:sz w:val="18"/>
            <w:u w:val="none"/>
            <w:vertAlign w:val="baseline"/>
          </w:rPr>
          <w:t>.</w:t>
        </w:r>
      </w:hyperlink>
    </w:p>
    <w:p>
      <w:pPr>
        <w:spacing w:line="153" w:lineRule="auto" w:before="36"/>
        <w:ind w:left="320" w:right="0" w:firstLine="0"/>
        <w:jc w:val="left"/>
        <w:rPr>
          <w:i/>
          <w:sz w:val="18"/>
        </w:rPr>
      </w:pPr>
      <w:r>
        <w:rPr>
          <w:sz w:val="12"/>
        </w:rPr>
        <w:t>147</w:t>
      </w:r>
      <w:r>
        <w:rPr>
          <w:spacing w:val="13"/>
          <w:sz w:val="12"/>
        </w:rPr>
        <w:t> </w:t>
      </w:r>
      <w:r>
        <w:rPr>
          <w:i/>
          <w:spacing w:val="-5"/>
          <w:position w:val="-5"/>
          <w:sz w:val="18"/>
        </w:rPr>
        <w:t>Id.</w:t>
      </w:r>
    </w:p>
    <w:p>
      <w:pPr>
        <w:spacing w:line="158" w:lineRule="auto" w:before="71"/>
        <w:ind w:left="320" w:right="0" w:firstLine="0"/>
        <w:jc w:val="left"/>
        <w:rPr>
          <w:i/>
          <w:sz w:val="18"/>
        </w:rPr>
      </w:pPr>
      <w:r>
        <w:rPr>
          <w:sz w:val="12"/>
        </w:rPr>
        <w:t>148</w:t>
      </w:r>
      <w:r>
        <w:rPr>
          <w:spacing w:val="13"/>
          <w:sz w:val="12"/>
        </w:rPr>
        <w:t> </w:t>
      </w:r>
      <w:r>
        <w:rPr>
          <w:i/>
          <w:spacing w:val="-5"/>
          <w:position w:val="-5"/>
          <w:sz w:val="18"/>
        </w:rPr>
        <w:t>Id.</w:t>
      </w:r>
    </w:p>
    <w:p>
      <w:pPr>
        <w:spacing w:line="158" w:lineRule="auto" w:before="71"/>
        <w:ind w:left="320" w:right="0" w:firstLine="0"/>
        <w:jc w:val="left"/>
        <w:rPr>
          <w:i/>
          <w:sz w:val="18"/>
        </w:rPr>
      </w:pPr>
      <w:r>
        <w:rPr>
          <w:sz w:val="12"/>
        </w:rPr>
        <w:t>149</w:t>
      </w:r>
      <w:r>
        <w:rPr>
          <w:spacing w:val="13"/>
          <w:sz w:val="12"/>
        </w:rPr>
        <w:t> </w:t>
      </w:r>
      <w:r>
        <w:rPr>
          <w:i/>
          <w:spacing w:val="-5"/>
          <w:position w:val="-5"/>
          <w:sz w:val="18"/>
        </w:rPr>
        <w:t>Id.</w:t>
      </w:r>
    </w:p>
    <w:p>
      <w:pPr>
        <w:spacing w:before="33"/>
        <w:ind w:left="320" w:right="0" w:firstLine="0"/>
        <w:jc w:val="left"/>
        <w:rPr>
          <w:i/>
          <w:sz w:val="18"/>
        </w:rPr>
      </w:pPr>
      <w:r>
        <w:rPr>
          <w:sz w:val="12"/>
        </w:rPr>
        <w:t>150</w:t>
      </w:r>
      <w:r>
        <w:rPr>
          <w:spacing w:val="13"/>
          <w:sz w:val="12"/>
        </w:rPr>
        <w:t> </w:t>
      </w:r>
      <w:r>
        <w:rPr>
          <w:i/>
          <w:spacing w:val="-5"/>
          <w:position w:val="-5"/>
          <w:sz w:val="18"/>
        </w:rPr>
        <w:t>Id.</w:t>
      </w:r>
    </w:p>
    <w:p>
      <w:pPr>
        <w:spacing w:before="0"/>
        <w:ind w:left="320" w:right="812" w:firstLine="0"/>
        <w:jc w:val="left"/>
        <w:rPr>
          <w:sz w:val="18"/>
        </w:rPr>
      </w:pPr>
      <w:r>
        <w:rPr>
          <w:sz w:val="18"/>
          <w:vertAlign w:val="superscript"/>
        </w:rPr>
        <w:t>151</w:t>
      </w:r>
      <w:r>
        <w:rPr>
          <w:spacing w:val="-2"/>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Children</w:t>
      </w:r>
      <w:r>
        <w:rPr>
          <w:spacing w:val="-2"/>
          <w:sz w:val="18"/>
          <w:vertAlign w:val="baseline"/>
        </w:rPr>
        <w:t> </w:t>
      </w:r>
      <w:r>
        <w:rPr>
          <w:sz w:val="18"/>
          <w:vertAlign w:val="baseline"/>
        </w:rPr>
        <w:t>and</w:t>
      </w:r>
      <w:r>
        <w:rPr>
          <w:spacing w:val="-2"/>
          <w:sz w:val="18"/>
          <w:vertAlign w:val="baseline"/>
        </w:rPr>
        <w:t> </w:t>
      </w:r>
      <w:r>
        <w:rPr>
          <w:sz w:val="18"/>
          <w:vertAlign w:val="baseline"/>
        </w:rPr>
        <w:t>Families,</w:t>
      </w:r>
      <w:r>
        <w:rPr>
          <w:spacing w:val="-3"/>
          <w:sz w:val="18"/>
          <w:vertAlign w:val="baseline"/>
        </w:rPr>
        <w:t> </w:t>
      </w:r>
      <w:r>
        <w:rPr>
          <w:sz w:val="18"/>
          <w:vertAlign w:val="baseline"/>
        </w:rPr>
        <w:t>Annual</w:t>
      </w:r>
      <w:r>
        <w:rPr>
          <w:spacing w:val="-3"/>
          <w:sz w:val="18"/>
          <w:vertAlign w:val="baseline"/>
        </w:rPr>
        <w:t> </w:t>
      </w:r>
      <w:r>
        <w:rPr>
          <w:sz w:val="18"/>
          <w:vertAlign w:val="baseline"/>
        </w:rPr>
        <w:t>Progress</w:t>
      </w:r>
      <w:r>
        <w:rPr>
          <w:spacing w:val="-2"/>
          <w:sz w:val="18"/>
          <w:vertAlign w:val="baseline"/>
        </w:rPr>
        <w:t> </w:t>
      </w:r>
      <w:r>
        <w:rPr>
          <w:sz w:val="18"/>
          <w:vertAlign w:val="baseline"/>
        </w:rPr>
        <w:t>and</w:t>
      </w:r>
      <w:r>
        <w:rPr>
          <w:spacing w:val="-2"/>
          <w:sz w:val="18"/>
          <w:vertAlign w:val="baseline"/>
        </w:rPr>
        <w:t> </w:t>
      </w:r>
      <w:r>
        <w:rPr>
          <w:sz w:val="18"/>
          <w:vertAlign w:val="baseline"/>
        </w:rPr>
        <w:t>Services</w:t>
      </w:r>
      <w:r>
        <w:rPr>
          <w:spacing w:val="-2"/>
          <w:sz w:val="18"/>
          <w:vertAlign w:val="baseline"/>
        </w:rPr>
        <w:t> </w:t>
      </w:r>
      <w:r>
        <w:rPr>
          <w:sz w:val="18"/>
          <w:vertAlign w:val="baseline"/>
        </w:rPr>
        <w:t>Report,</w:t>
      </w:r>
      <w:r>
        <w:rPr>
          <w:spacing w:val="-3"/>
          <w:sz w:val="18"/>
          <w:vertAlign w:val="baseline"/>
        </w:rPr>
        <w:t> </w:t>
      </w:r>
      <w:r>
        <w:rPr>
          <w:sz w:val="18"/>
          <w:vertAlign w:val="baseline"/>
        </w:rPr>
        <w:t>FFY2024,</w:t>
      </w:r>
      <w:r>
        <w:rPr>
          <w:spacing w:val="-3"/>
          <w:sz w:val="18"/>
          <w:vertAlign w:val="baseline"/>
        </w:rPr>
        <w:t> </w:t>
      </w:r>
      <w:r>
        <w:rPr>
          <w:sz w:val="18"/>
          <w:vertAlign w:val="baseline"/>
        </w:rPr>
        <w:t>June</w:t>
      </w:r>
      <w:r>
        <w:rPr>
          <w:spacing w:val="-2"/>
          <w:sz w:val="18"/>
          <w:vertAlign w:val="baseline"/>
        </w:rPr>
        <w:t> </w:t>
      </w:r>
      <w:r>
        <w:rPr>
          <w:sz w:val="18"/>
          <w:vertAlign w:val="baseline"/>
        </w:rPr>
        <w:t>30,</w:t>
      </w:r>
      <w:r>
        <w:rPr>
          <w:spacing w:val="-3"/>
          <w:sz w:val="18"/>
          <w:vertAlign w:val="baseline"/>
        </w:rPr>
        <w:t> </w:t>
      </w:r>
      <w:r>
        <w:rPr>
          <w:sz w:val="18"/>
          <w:vertAlign w:val="baseline"/>
        </w:rPr>
        <w:t>2023, </w:t>
      </w:r>
      <w:hyperlink r:id="rId534">
        <w:r>
          <w:rPr>
            <w:spacing w:val="-2"/>
            <w:sz w:val="18"/>
            <w:u w:val="single"/>
            <w:vertAlign w:val="baseline"/>
          </w:rPr>
          <w:t>https://www.mass.gov/doc/fy24-annual-progress-services-report/download</w:t>
        </w:r>
      </w:hyperlink>
    </w:p>
    <w:p>
      <w:pPr>
        <w:spacing w:before="0"/>
        <w:ind w:left="320" w:right="195" w:firstLine="0"/>
        <w:jc w:val="both"/>
        <w:rPr>
          <w:sz w:val="18"/>
        </w:rPr>
      </w:pPr>
      <w:r>
        <w:rPr>
          <w:sz w:val="18"/>
          <w:vertAlign w:val="superscript"/>
        </w:rPr>
        <w:t>152</w:t>
      </w:r>
      <w:r>
        <w:rPr>
          <w:spacing w:val="-2"/>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and</w:t>
      </w:r>
      <w:r>
        <w:rPr>
          <w:spacing w:val="-2"/>
          <w:sz w:val="18"/>
          <w:vertAlign w:val="baseline"/>
        </w:rPr>
        <w:t> </w:t>
      </w:r>
      <w:r>
        <w:rPr>
          <w:sz w:val="18"/>
          <w:vertAlign w:val="baseline"/>
        </w:rPr>
        <w:t>Delinquency</w:t>
      </w:r>
      <w:r>
        <w:rPr>
          <w:spacing w:val="-2"/>
          <w:sz w:val="18"/>
          <w:vertAlign w:val="baseline"/>
        </w:rPr>
        <w:t> </w:t>
      </w:r>
      <w:r>
        <w:rPr>
          <w:sz w:val="18"/>
          <w:vertAlign w:val="baseline"/>
        </w:rPr>
        <w:t>Prevention,</w:t>
      </w:r>
      <w:r>
        <w:rPr>
          <w:spacing w:val="-3"/>
          <w:sz w:val="18"/>
          <w:vertAlign w:val="baseline"/>
        </w:rPr>
        <w:t> </w:t>
      </w:r>
      <w:r>
        <w:rPr>
          <w:sz w:val="18"/>
          <w:vertAlign w:val="baseline"/>
        </w:rPr>
        <w:t>2021.</w:t>
      </w:r>
      <w:r>
        <w:rPr>
          <w:spacing w:val="-2"/>
          <w:sz w:val="18"/>
          <w:vertAlign w:val="baseline"/>
        </w:rPr>
        <w:t> </w:t>
      </w:r>
      <w:r>
        <w:rPr>
          <w:sz w:val="18"/>
          <w:vertAlign w:val="baseline"/>
        </w:rPr>
        <w:t>“Massachusetts</w:t>
      </w:r>
      <w:r>
        <w:rPr>
          <w:spacing w:val="-3"/>
          <w:sz w:val="18"/>
          <w:vertAlign w:val="baseline"/>
        </w:rPr>
        <w:t> </w:t>
      </w:r>
      <w:r>
        <w:rPr>
          <w:sz w:val="18"/>
          <w:vertAlign w:val="baseline"/>
        </w:rPr>
        <w:t>PATH</w:t>
      </w:r>
      <w:r>
        <w:rPr>
          <w:spacing w:val="-3"/>
          <w:sz w:val="18"/>
          <w:vertAlign w:val="baseline"/>
        </w:rPr>
        <w:t> </w:t>
      </w:r>
      <w:r>
        <w:rPr>
          <w:sz w:val="18"/>
          <w:vertAlign w:val="baseline"/>
        </w:rPr>
        <w:t>Court:</w:t>
      </w:r>
      <w:r>
        <w:rPr>
          <w:spacing w:val="-2"/>
          <w:sz w:val="18"/>
          <w:vertAlign w:val="baseline"/>
        </w:rPr>
        <w:t> </w:t>
      </w:r>
      <w:r>
        <w:rPr>
          <w:sz w:val="18"/>
          <w:vertAlign w:val="baseline"/>
        </w:rPr>
        <w:t>Prevention</w:t>
      </w:r>
      <w:r>
        <w:rPr>
          <w:spacing w:val="-2"/>
          <w:sz w:val="18"/>
          <w:vertAlign w:val="baseline"/>
        </w:rPr>
        <w:t> </w:t>
      </w:r>
      <w:r>
        <w:rPr>
          <w:sz w:val="18"/>
          <w:vertAlign w:val="baseline"/>
        </w:rPr>
        <w:t>and</w:t>
      </w:r>
      <w:r>
        <w:rPr>
          <w:spacing w:val="-2"/>
          <w:sz w:val="18"/>
          <w:vertAlign w:val="baseline"/>
        </w:rPr>
        <w:t> </w:t>
      </w:r>
      <w:r>
        <w:rPr>
          <w:sz w:val="18"/>
          <w:vertAlign w:val="baseline"/>
        </w:rPr>
        <w:t>Treatment</w:t>
      </w:r>
      <w:r>
        <w:rPr>
          <w:spacing w:val="-3"/>
          <w:sz w:val="18"/>
          <w:vertAlign w:val="baseline"/>
        </w:rPr>
        <w:t> </w:t>
      </w:r>
      <w:r>
        <w:rPr>
          <w:sz w:val="18"/>
          <w:vertAlign w:val="baseline"/>
        </w:rPr>
        <w:t>for</w:t>
      </w:r>
      <w:r>
        <w:rPr>
          <w:spacing w:val="-3"/>
          <w:sz w:val="18"/>
          <w:vertAlign w:val="baseline"/>
        </w:rPr>
        <w:t> </w:t>
      </w:r>
      <w:r>
        <w:rPr>
          <w:sz w:val="18"/>
          <w:vertAlign w:val="baseline"/>
        </w:rPr>
        <w:t>the Health</w:t>
      </w:r>
      <w:r>
        <w:rPr>
          <w:spacing w:val="-4"/>
          <w:sz w:val="18"/>
          <w:vertAlign w:val="baseline"/>
        </w:rPr>
        <w:t> </w:t>
      </w:r>
      <w:r>
        <w:rPr>
          <w:sz w:val="18"/>
          <w:vertAlign w:val="baseline"/>
        </w:rPr>
        <w:t>and</w:t>
      </w:r>
      <w:r>
        <w:rPr>
          <w:spacing w:val="-4"/>
          <w:sz w:val="18"/>
          <w:vertAlign w:val="baseline"/>
        </w:rPr>
        <w:t> </w:t>
      </w:r>
      <w:r>
        <w:rPr>
          <w:sz w:val="18"/>
          <w:vertAlign w:val="baseline"/>
        </w:rPr>
        <w:t>Stability</w:t>
      </w:r>
      <w:r>
        <w:rPr>
          <w:spacing w:val="-4"/>
          <w:sz w:val="18"/>
          <w:vertAlign w:val="baseline"/>
        </w:rPr>
        <w:t> </w:t>
      </w:r>
      <w:r>
        <w:rPr>
          <w:sz w:val="18"/>
          <w:vertAlign w:val="baseline"/>
        </w:rPr>
        <w:t>of</w:t>
      </w:r>
      <w:r>
        <w:rPr>
          <w:spacing w:val="-4"/>
          <w:sz w:val="18"/>
          <w:vertAlign w:val="baseline"/>
        </w:rPr>
        <w:t> </w:t>
      </w:r>
      <w:r>
        <w:rPr>
          <w:sz w:val="18"/>
          <w:vertAlign w:val="baseline"/>
        </w:rPr>
        <w:t>Children</w:t>
      </w:r>
      <w:r>
        <w:rPr>
          <w:spacing w:val="-4"/>
          <w:sz w:val="18"/>
          <w:vertAlign w:val="baseline"/>
        </w:rPr>
        <w:t> </w:t>
      </w:r>
      <w:r>
        <w:rPr>
          <w:sz w:val="18"/>
          <w:vertAlign w:val="baseline"/>
        </w:rPr>
        <w:t>and</w:t>
      </w:r>
      <w:r>
        <w:rPr>
          <w:spacing w:val="-4"/>
          <w:sz w:val="18"/>
          <w:vertAlign w:val="baseline"/>
        </w:rPr>
        <w:t> </w:t>
      </w:r>
      <w:r>
        <w:rPr>
          <w:sz w:val="18"/>
          <w:vertAlign w:val="baseline"/>
        </w:rPr>
        <w:t>Families”,</w:t>
      </w:r>
      <w:r>
        <w:rPr>
          <w:spacing w:val="-5"/>
          <w:sz w:val="18"/>
          <w:vertAlign w:val="baseline"/>
        </w:rPr>
        <w:t> </w:t>
      </w:r>
      <w:r>
        <w:rPr>
          <w:sz w:val="18"/>
          <w:vertAlign w:val="baseline"/>
        </w:rPr>
        <w:t>December</w:t>
      </w:r>
      <w:r>
        <w:rPr>
          <w:spacing w:val="-5"/>
          <w:sz w:val="18"/>
          <w:vertAlign w:val="baseline"/>
        </w:rPr>
        <w:t> </w:t>
      </w:r>
      <w:r>
        <w:rPr>
          <w:sz w:val="18"/>
          <w:vertAlign w:val="baseline"/>
        </w:rPr>
        <w:t>16,</w:t>
      </w:r>
      <w:r>
        <w:rPr>
          <w:spacing w:val="-5"/>
          <w:sz w:val="18"/>
          <w:vertAlign w:val="baseline"/>
        </w:rPr>
        <w:t> </w:t>
      </w:r>
      <w:r>
        <w:rPr>
          <w:sz w:val="18"/>
          <w:vertAlign w:val="baseline"/>
        </w:rPr>
        <w:t>2021,</w:t>
      </w:r>
      <w:r>
        <w:rPr>
          <w:spacing w:val="-5"/>
          <w:sz w:val="18"/>
          <w:vertAlign w:val="baseline"/>
        </w:rPr>
        <w:t> </w:t>
      </w:r>
      <w:r>
        <w:rPr>
          <w:sz w:val="18"/>
          <w:vertAlign w:val="baseline"/>
        </w:rPr>
        <w:t>https://ojjdp.ojp.gov/funding/awards/15pjdp-21-gk-04497- </w:t>
      </w:r>
      <w:r>
        <w:rPr>
          <w:spacing w:val="-2"/>
          <w:sz w:val="18"/>
          <w:vertAlign w:val="baseline"/>
        </w:rPr>
        <w:t>dgct.</w:t>
      </w:r>
    </w:p>
    <w:p>
      <w:pPr>
        <w:spacing w:line="153" w:lineRule="auto" w:before="35"/>
        <w:ind w:left="320" w:right="0" w:firstLine="0"/>
        <w:jc w:val="both"/>
        <w:rPr>
          <w:i/>
          <w:sz w:val="18"/>
        </w:rPr>
      </w:pPr>
      <w:r>
        <w:rPr>
          <w:sz w:val="12"/>
        </w:rPr>
        <w:t>153</w:t>
      </w:r>
      <w:r>
        <w:rPr>
          <w:spacing w:val="13"/>
          <w:sz w:val="12"/>
        </w:rPr>
        <w:t> </w:t>
      </w:r>
      <w:r>
        <w:rPr>
          <w:i/>
          <w:spacing w:val="-5"/>
          <w:position w:val="-5"/>
          <w:sz w:val="18"/>
        </w:rPr>
        <w:t>Id.</w:t>
      </w:r>
    </w:p>
    <w:p>
      <w:pPr>
        <w:spacing w:before="38"/>
        <w:ind w:left="320" w:right="0" w:firstLine="0"/>
        <w:jc w:val="left"/>
        <w:rPr>
          <w:sz w:val="18"/>
        </w:rPr>
      </w:pPr>
      <w:r>
        <w:rPr>
          <w:sz w:val="18"/>
          <w:vertAlign w:val="superscript"/>
        </w:rPr>
        <w:t>154</w:t>
      </w:r>
      <w:r>
        <w:rPr>
          <w:spacing w:val="-3"/>
          <w:sz w:val="18"/>
          <w:vertAlign w:val="baseline"/>
        </w:rPr>
        <w:t> </w:t>
      </w:r>
      <w:r>
        <w:rPr>
          <w:sz w:val="18"/>
          <w:vertAlign w:val="baseline"/>
        </w:rPr>
        <w:t>Massachusetts</w:t>
      </w:r>
      <w:r>
        <w:rPr>
          <w:spacing w:val="-4"/>
          <w:sz w:val="18"/>
          <w:vertAlign w:val="baseline"/>
        </w:rPr>
        <w:t> </w:t>
      </w:r>
      <w:r>
        <w:rPr>
          <w:sz w:val="18"/>
          <w:vertAlign w:val="baseline"/>
        </w:rPr>
        <w:t>Department</w:t>
      </w:r>
      <w:r>
        <w:rPr>
          <w:spacing w:val="-4"/>
          <w:sz w:val="18"/>
          <w:vertAlign w:val="baseline"/>
        </w:rPr>
        <w:t> </w:t>
      </w:r>
      <w:r>
        <w:rPr>
          <w:sz w:val="18"/>
          <w:vertAlign w:val="baseline"/>
        </w:rPr>
        <w:t>of</w:t>
      </w:r>
      <w:r>
        <w:rPr>
          <w:spacing w:val="-3"/>
          <w:sz w:val="18"/>
          <w:vertAlign w:val="baseline"/>
        </w:rPr>
        <w:t> </w:t>
      </w:r>
      <w:r>
        <w:rPr>
          <w:sz w:val="18"/>
          <w:vertAlign w:val="baseline"/>
        </w:rPr>
        <w:t>Correction.</w:t>
      </w:r>
      <w:r>
        <w:rPr>
          <w:spacing w:val="-3"/>
          <w:sz w:val="18"/>
          <w:vertAlign w:val="baseline"/>
        </w:rPr>
        <w:t> </w:t>
      </w:r>
      <w:r>
        <w:rPr>
          <w:sz w:val="18"/>
          <w:vertAlign w:val="baseline"/>
        </w:rPr>
        <w:t>2023.</w:t>
      </w:r>
      <w:r>
        <w:rPr>
          <w:spacing w:val="-3"/>
          <w:sz w:val="18"/>
          <w:vertAlign w:val="baseline"/>
        </w:rPr>
        <w:t> </w:t>
      </w:r>
      <w:r>
        <w:rPr>
          <w:sz w:val="18"/>
          <w:vertAlign w:val="baseline"/>
        </w:rPr>
        <w:t>“Massachusetts</w:t>
      </w:r>
      <w:r>
        <w:rPr>
          <w:spacing w:val="-4"/>
          <w:sz w:val="18"/>
          <w:vertAlign w:val="baseline"/>
        </w:rPr>
        <w:t> </w:t>
      </w:r>
      <w:r>
        <w:rPr>
          <w:sz w:val="18"/>
          <w:vertAlign w:val="baseline"/>
        </w:rPr>
        <w:t>Department</w:t>
      </w:r>
      <w:r>
        <w:rPr>
          <w:spacing w:val="-4"/>
          <w:sz w:val="18"/>
          <w:vertAlign w:val="baseline"/>
        </w:rPr>
        <w:t> </w:t>
      </w:r>
      <w:r>
        <w:rPr>
          <w:sz w:val="18"/>
          <w:vertAlign w:val="baseline"/>
        </w:rPr>
        <w:t>of</w:t>
      </w:r>
      <w:r>
        <w:rPr>
          <w:spacing w:val="-3"/>
          <w:sz w:val="18"/>
          <w:vertAlign w:val="baseline"/>
        </w:rPr>
        <w:t> </w:t>
      </w:r>
      <w:r>
        <w:rPr>
          <w:sz w:val="18"/>
          <w:vertAlign w:val="baseline"/>
        </w:rPr>
        <w:t>Correction</w:t>
      </w:r>
      <w:r>
        <w:rPr>
          <w:spacing w:val="-3"/>
          <w:sz w:val="18"/>
          <w:vertAlign w:val="baseline"/>
        </w:rPr>
        <w:t> </w:t>
      </w:r>
      <w:r>
        <w:rPr>
          <w:sz w:val="18"/>
          <w:vertAlign w:val="baseline"/>
        </w:rPr>
        <w:t>Implements</w:t>
      </w:r>
      <w:r>
        <w:rPr>
          <w:spacing w:val="-3"/>
          <w:sz w:val="18"/>
          <w:vertAlign w:val="baseline"/>
        </w:rPr>
        <w:t> </w:t>
      </w:r>
      <w:r>
        <w:rPr>
          <w:sz w:val="18"/>
          <w:vertAlign w:val="baseline"/>
        </w:rPr>
        <w:t>No</w:t>
      </w:r>
      <w:r>
        <w:rPr>
          <w:spacing w:val="-3"/>
          <w:sz w:val="18"/>
          <w:vertAlign w:val="baseline"/>
        </w:rPr>
        <w:t> </w:t>
      </w:r>
      <w:r>
        <w:rPr>
          <w:sz w:val="18"/>
          <w:vertAlign w:val="baseline"/>
        </w:rPr>
        <w:t>Cost</w:t>
      </w:r>
      <w:r>
        <w:rPr>
          <w:spacing w:val="-4"/>
          <w:sz w:val="18"/>
          <w:vertAlign w:val="baseline"/>
        </w:rPr>
        <w:t> </w:t>
      </w:r>
      <w:r>
        <w:rPr>
          <w:sz w:val="18"/>
          <w:vertAlign w:val="baseline"/>
        </w:rPr>
        <w:t>Calls”, December 1, 2023, https:</w:t>
      </w:r>
      <w:hyperlink r:id="rId535">
        <w:r>
          <w:rPr>
            <w:sz w:val="18"/>
            <w:vertAlign w:val="baseline"/>
          </w:rPr>
          <w:t>//www.mass.gov/news/massachusetts-department-of-correction-implements-no-cost-calls.</w:t>
        </w:r>
      </w:hyperlink>
    </w:p>
    <w:p>
      <w:pPr>
        <w:spacing w:line="156" w:lineRule="auto" w:before="36"/>
        <w:ind w:left="320" w:right="0" w:firstLine="0"/>
        <w:jc w:val="left"/>
        <w:rPr>
          <w:i/>
          <w:sz w:val="18"/>
        </w:rPr>
      </w:pPr>
      <w:r>
        <w:rPr>
          <w:sz w:val="12"/>
        </w:rPr>
        <w:t>155</w:t>
      </w:r>
      <w:r>
        <w:rPr>
          <w:spacing w:val="13"/>
          <w:sz w:val="12"/>
        </w:rPr>
        <w:t> </w:t>
      </w:r>
      <w:r>
        <w:rPr>
          <w:i/>
          <w:spacing w:val="-5"/>
          <w:position w:val="-5"/>
          <w:sz w:val="18"/>
        </w:rPr>
        <w:t>Id.</w:t>
      </w:r>
    </w:p>
    <w:p>
      <w:pPr>
        <w:spacing w:line="158" w:lineRule="auto" w:before="70"/>
        <w:ind w:left="320" w:right="0" w:firstLine="0"/>
        <w:jc w:val="left"/>
        <w:rPr>
          <w:i/>
          <w:sz w:val="18"/>
        </w:rPr>
      </w:pPr>
      <w:r>
        <w:rPr>
          <w:sz w:val="12"/>
        </w:rPr>
        <w:t>156</w:t>
      </w:r>
      <w:r>
        <w:rPr>
          <w:spacing w:val="13"/>
          <w:sz w:val="12"/>
        </w:rPr>
        <w:t> </w:t>
      </w:r>
      <w:r>
        <w:rPr>
          <w:i/>
          <w:spacing w:val="-5"/>
          <w:position w:val="-5"/>
          <w:sz w:val="18"/>
        </w:rPr>
        <w:t>Id.</w:t>
      </w:r>
    </w:p>
    <w:p>
      <w:pPr>
        <w:spacing w:line="158" w:lineRule="auto" w:before="70"/>
        <w:ind w:left="320" w:right="0" w:firstLine="0"/>
        <w:jc w:val="left"/>
        <w:rPr>
          <w:i/>
          <w:sz w:val="18"/>
        </w:rPr>
      </w:pPr>
      <w:r>
        <w:rPr>
          <w:sz w:val="12"/>
        </w:rPr>
        <w:t>157</w:t>
      </w:r>
      <w:r>
        <w:rPr>
          <w:spacing w:val="13"/>
          <w:sz w:val="12"/>
        </w:rPr>
        <w:t> </w:t>
      </w:r>
      <w:r>
        <w:rPr>
          <w:i/>
          <w:spacing w:val="-5"/>
          <w:position w:val="-5"/>
          <w:sz w:val="18"/>
        </w:rPr>
        <w:t>Id.</w:t>
      </w:r>
    </w:p>
    <w:p>
      <w:pPr>
        <w:spacing w:before="33"/>
        <w:ind w:left="320" w:right="0" w:firstLine="0"/>
        <w:jc w:val="left"/>
        <w:rPr>
          <w:i/>
          <w:sz w:val="18"/>
        </w:rPr>
      </w:pPr>
      <w:r>
        <w:rPr>
          <w:sz w:val="12"/>
        </w:rPr>
        <w:t>158</w:t>
      </w:r>
      <w:r>
        <w:rPr>
          <w:spacing w:val="13"/>
          <w:sz w:val="12"/>
        </w:rPr>
        <w:t> </w:t>
      </w:r>
      <w:r>
        <w:rPr>
          <w:i/>
          <w:spacing w:val="-5"/>
          <w:position w:val="-5"/>
          <w:sz w:val="18"/>
        </w:rPr>
        <w:t>Id.</w:t>
      </w:r>
    </w:p>
    <w:p>
      <w:pPr>
        <w:spacing w:before="0"/>
        <w:ind w:left="320" w:right="402" w:firstLine="0"/>
        <w:jc w:val="left"/>
        <w:rPr>
          <w:sz w:val="18"/>
        </w:rPr>
      </w:pPr>
      <w:r>
        <w:rPr>
          <w:sz w:val="18"/>
          <w:vertAlign w:val="superscript"/>
        </w:rPr>
        <w:t>159</w:t>
      </w:r>
      <w:r>
        <w:rPr>
          <w:spacing w:val="-2"/>
          <w:sz w:val="18"/>
          <w:vertAlign w:val="baseline"/>
        </w:rPr>
        <w:t> </w:t>
      </w:r>
      <w:r>
        <w:rPr>
          <w:sz w:val="18"/>
          <w:vertAlign w:val="baseline"/>
        </w:rPr>
        <w:t>Sarah</w:t>
      </w:r>
      <w:r>
        <w:rPr>
          <w:spacing w:val="-2"/>
          <w:sz w:val="18"/>
          <w:vertAlign w:val="baseline"/>
        </w:rPr>
        <w:t> </w:t>
      </w:r>
      <w:r>
        <w:rPr>
          <w:sz w:val="18"/>
          <w:vertAlign w:val="baseline"/>
        </w:rPr>
        <w:t>Betancourt,</w:t>
      </w:r>
      <w:r>
        <w:rPr>
          <w:spacing w:val="-3"/>
          <w:sz w:val="18"/>
          <w:vertAlign w:val="baseline"/>
        </w:rPr>
        <w:t> </w:t>
      </w:r>
      <w:r>
        <w:rPr>
          <w:sz w:val="18"/>
          <w:vertAlign w:val="baseline"/>
        </w:rPr>
        <w:t>WGBH,</w:t>
      </w:r>
      <w:r>
        <w:rPr>
          <w:spacing w:val="-3"/>
          <w:sz w:val="18"/>
          <w:vertAlign w:val="baseline"/>
        </w:rPr>
        <w:t> </w:t>
      </w:r>
      <w:r>
        <w:rPr>
          <w:sz w:val="18"/>
          <w:vertAlign w:val="baseline"/>
        </w:rPr>
        <w:t>“Massachusetts</w:t>
      </w:r>
      <w:r>
        <w:rPr>
          <w:spacing w:val="-3"/>
          <w:sz w:val="18"/>
          <w:vertAlign w:val="baseline"/>
        </w:rPr>
        <w:t> </w:t>
      </w:r>
      <w:r>
        <w:rPr>
          <w:sz w:val="18"/>
          <w:vertAlign w:val="baseline"/>
        </w:rPr>
        <w:t>Becomes</w:t>
      </w:r>
      <w:r>
        <w:rPr>
          <w:spacing w:val="-2"/>
          <w:sz w:val="18"/>
          <w:vertAlign w:val="baseline"/>
        </w:rPr>
        <w:t> </w:t>
      </w:r>
      <w:r>
        <w:rPr>
          <w:sz w:val="18"/>
          <w:vertAlign w:val="baseline"/>
        </w:rPr>
        <w:t>Fifth</w:t>
      </w:r>
      <w:r>
        <w:rPr>
          <w:spacing w:val="-2"/>
          <w:sz w:val="18"/>
          <w:vertAlign w:val="baseline"/>
        </w:rPr>
        <w:t> </w:t>
      </w:r>
      <w:r>
        <w:rPr>
          <w:sz w:val="18"/>
          <w:vertAlign w:val="baseline"/>
        </w:rPr>
        <w:t>State</w:t>
      </w:r>
      <w:r>
        <w:rPr>
          <w:spacing w:val="-2"/>
          <w:sz w:val="18"/>
          <w:vertAlign w:val="baseline"/>
        </w:rPr>
        <w:t> </w:t>
      </w:r>
      <w:r>
        <w:rPr>
          <w:sz w:val="18"/>
          <w:vertAlign w:val="baseline"/>
        </w:rPr>
        <w:t>in</w:t>
      </w:r>
      <w:r>
        <w:rPr>
          <w:spacing w:val="-2"/>
          <w:sz w:val="18"/>
          <w:vertAlign w:val="baseline"/>
        </w:rPr>
        <w:t> </w:t>
      </w:r>
      <w:r>
        <w:rPr>
          <w:sz w:val="18"/>
          <w:vertAlign w:val="baseline"/>
        </w:rPr>
        <w:t>Nation</w:t>
      </w:r>
      <w:r>
        <w:rPr>
          <w:spacing w:val="-2"/>
          <w:sz w:val="18"/>
          <w:vertAlign w:val="baseline"/>
        </w:rPr>
        <w:t> </w:t>
      </w:r>
      <w:r>
        <w:rPr>
          <w:sz w:val="18"/>
          <w:vertAlign w:val="baseline"/>
        </w:rPr>
        <w:t>to</w:t>
      </w:r>
      <w:r>
        <w:rPr>
          <w:spacing w:val="-2"/>
          <w:sz w:val="18"/>
          <w:vertAlign w:val="baseline"/>
        </w:rPr>
        <w:t> </w:t>
      </w:r>
      <w:r>
        <w:rPr>
          <w:sz w:val="18"/>
          <w:vertAlign w:val="baseline"/>
        </w:rPr>
        <w:t>Make</w:t>
      </w:r>
      <w:r>
        <w:rPr>
          <w:spacing w:val="-2"/>
          <w:sz w:val="18"/>
          <w:vertAlign w:val="baseline"/>
        </w:rPr>
        <w:t> </w:t>
      </w:r>
      <w:r>
        <w:rPr>
          <w:sz w:val="18"/>
          <w:vertAlign w:val="baseline"/>
        </w:rPr>
        <w:t>Prison</w:t>
      </w:r>
      <w:r>
        <w:rPr>
          <w:spacing w:val="-2"/>
          <w:sz w:val="18"/>
          <w:vertAlign w:val="baseline"/>
        </w:rPr>
        <w:t> </w:t>
      </w:r>
      <w:r>
        <w:rPr>
          <w:sz w:val="18"/>
          <w:vertAlign w:val="baseline"/>
        </w:rPr>
        <w:t>Calls</w:t>
      </w:r>
      <w:r>
        <w:rPr>
          <w:spacing w:val="-2"/>
          <w:sz w:val="18"/>
          <w:vertAlign w:val="baseline"/>
        </w:rPr>
        <w:t> </w:t>
      </w:r>
      <w:r>
        <w:rPr>
          <w:sz w:val="18"/>
          <w:vertAlign w:val="baseline"/>
        </w:rPr>
        <w:t>Free”,</w:t>
      </w:r>
      <w:r>
        <w:rPr>
          <w:spacing w:val="-3"/>
          <w:sz w:val="18"/>
          <w:vertAlign w:val="baseline"/>
        </w:rPr>
        <w:t> </w:t>
      </w:r>
      <w:r>
        <w:rPr>
          <w:sz w:val="18"/>
          <w:vertAlign w:val="baseline"/>
        </w:rPr>
        <w:t>November</w:t>
      </w:r>
      <w:r>
        <w:rPr>
          <w:spacing w:val="-4"/>
          <w:sz w:val="18"/>
          <w:vertAlign w:val="baseline"/>
        </w:rPr>
        <w:t> </w:t>
      </w:r>
      <w:r>
        <w:rPr>
          <w:sz w:val="18"/>
          <w:vertAlign w:val="baseline"/>
        </w:rPr>
        <w:t>20,</w:t>
      </w:r>
      <w:r>
        <w:rPr>
          <w:spacing w:val="-3"/>
          <w:sz w:val="18"/>
          <w:vertAlign w:val="baseline"/>
        </w:rPr>
        <w:t> </w:t>
      </w:r>
      <w:r>
        <w:rPr>
          <w:sz w:val="18"/>
          <w:vertAlign w:val="baseline"/>
        </w:rPr>
        <w:t>2023, </w:t>
      </w:r>
      <w:r>
        <w:rPr>
          <w:spacing w:val="-2"/>
          <w:sz w:val="18"/>
          <w:vertAlign w:val="baseline"/>
        </w:rPr>
        <w:t>https://</w:t>
      </w:r>
      <w:hyperlink r:id="rId536">
        <w:r>
          <w:rPr>
            <w:spacing w:val="-2"/>
            <w:sz w:val="18"/>
            <w:vertAlign w:val="baseline"/>
          </w:rPr>
          <w:t>www.wgbh.org/news/local/2023-11-17/massachusetts-becomes-fifth-state-in-nation-to-make-prison-calls-free.</w:t>
        </w:r>
      </w:hyperlink>
    </w:p>
    <w:p>
      <w:pPr>
        <w:spacing w:line="219" w:lineRule="exact" w:before="0"/>
        <w:ind w:left="320" w:right="0" w:firstLine="0"/>
        <w:jc w:val="left"/>
        <w:rPr>
          <w:sz w:val="18"/>
        </w:rPr>
      </w:pPr>
      <w:r>
        <w:rPr>
          <w:sz w:val="18"/>
          <w:vertAlign w:val="superscript"/>
        </w:rPr>
        <w:t>160</w:t>
      </w:r>
      <w:r>
        <w:rPr>
          <w:spacing w:val="-5"/>
          <w:sz w:val="18"/>
          <w:vertAlign w:val="baseline"/>
        </w:rPr>
        <w:t> </w:t>
      </w:r>
      <w:r>
        <w:rPr>
          <w:i/>
          <w:sz w:val="18"/>
          <w:vertAlign w:val="baseline"/>
        </w:rPr>
        <w:t>Commonwealth</w:t>
      </w:r>
      <w:r>
        <w:rPr>
          <w:i/>
          <w:spacing w:val="-2"/>
          <w:sz w:val="18"/>
          <w:vertAlign w:val="baseline"/>
        </w:rPr>
        <w:t> </w:t>
      </w:r>
      <w:r>
        <w:rPr>
          <w:i/>
          <w:sz w:val="18"/>
          <w:vertAlign w:val="baseline"/>
        </w:rPr>
        <w:t>v.</w:t>
      </w:r>
      <w:r>
        <w:rPr>
          <w:i/>
          <w:spacing w:val="-2"/>
          <w:sz w:val="18"/>
          <w:vertAlign w:val="baseline"/>
        </w:rPr>
        <w:t> </w:t>
      </w:r>
      <w:r>
        <w:rPr>
          <w:i/>
          <w:sz w:val="18"/>
          <w:vertAlign w:val="baseline"/>
        </w:rPr>
        <w:t>Mattis</w:t>
      </w:r>
      <w:r>
        <w:rPr>
          <w:sz w:val="18"/>
          <w:vertAlign w:val="baseline"/>
        </w:rPr>
        <w:t>,</w:t>
      </w:r>
      <w:r>
        <w:rPr>
          <w:spacing w:val="-3"/>
          <w:sz w:val="18"/>
          <w:vertAlign w:val="baseline"/>
        </w:rPr>
        <w:t> </w:t>
      </w:r>
      <w:r>
        <w:rPr>
          <w:sz w:val="18"/>
          <w:vertAlign w:val="baseline"/>
        </w:rPr>
        <w:t>493</w:t>
      </w:r>
      <w:r>
        <w:rPr>
          <w:spacing w:val="-1"/>
          <w:sz w:val="18"/>
          <w:vertAlign w:val="baseline"/>
        </w:rPr>
        <w:t> </w:t>
      </w:r>
      <w:r>
        <w:rPr>
          <w:sz w:val="18"/>
          <w:vertAlign w:val="baseline"/>
        </w:rPr>
        <w:t>Mass.</w:t>
      </w:r>
      <w:r>
        <w:rPr>
          <w:spacing w:val="-3"/>
          <w:sz w:val="18"/>
          <w:vertAlign w:val="baseline"/>
        </w:rPr>
        <w:t> </w:t>
      </w:r>
      <w:r>
        <w:rPr>
          <w:sz w:val="18"/>
          <w:vertAlign w:val="baseline"/>
        </w:rPr>
        <w:t>216,</w:t>
      </w:r>
      <w:r>
        <w:rPr>
          <w:spacing w:val="-3"/>
          <w:sz w:val="18"/>
          <w:vertAlign w:val="baseline"/>
        </w:rPr>
        <w:t> </w:t>
      </w:r>
      <w:r>
        <w:rPr>
          <w:sz w:val="18"/>
          <w:vertAlign w:val="baseline"/>
        </w:rPr>
        <w:t>224</w:t>
      </w:r>
      <w:r>
        <w:rPr>
          <w:spacing w:val="-2"/>
          <w:sz w:val="18"/>
          <w:vertAlign w:val="baseline"/>
        </w:rPr>
        <w:t> </w:t>
      </w:r>
      <w:r>
        <w:rPr>
          <w:sz w:val="18"/>
          <w:vertAlign w:val="baseline"/>
        </w:rPr>
        <w:t>N.E.3d</w:t>
      </w:r>
      <w:r>
        <w:rPr>
          <w:spacing w:val="-2"/>
          <w:sz w:val="18"/>
          <w:vertAlign w:val="baseline"/>
        </w:rPr>
        <w:t> </w:t>
      </w:r>
      <w:r>
        <w:rPr>
          <w:sz w:val="18"/>
          <w:vertAlign w:val="baseline"/>
        </w:rPr>
        <w:t>410,</w:t>
      </w:r>
      <w:r>
        <w:rPr>
          <w:spacing w:val="-3"/>
          <w:sz w:val="18"/>
          <w:vertAlign w:val="baseline"/>
        </w:rPr>
        <w:t> </w:t>
      </w:r>
      <w:r>
        <w:rPr>
          <w:sz w:val="18"/>
          <w:vertAlign w:val="baseline"/>
        </w:rPr>
        <w:t>2024</w:t>
      </w:r>
      <w:r>
        <w:rPr>
          <w:spacing w:val="-2"/>
          <w:sz w:val="18"/>
          <w:vertAlign w:val="baseline"/>
        </w:rPr>
        <w:t> </w:t>
      </w:r>
      <w:r>
        <w:rPr>
          <w:sz w:val="18"/>
          <w:vertAlign w:val="baseline"/>
        </w:rPr>
        <w:t>Mass.</w:t>
      </w:r>
      <w:r>
        <w:rPr>
          <w:spacing w:val="-3"/>
          <w:sz w:val="18"/>
          <w:vertAlign w:val="baseline"/>
        </w:rPr>
        <w:t> </w:t>
      </w:r>
      <w:r>
        <w:rPr>
          <w:sz w:val="18"/>
          <w:vertAlign w:val="baseline"/>
        </w:rPr>
        <w:t>LEXIS</w:t>
      </w:r>
      <w:r>
        <w:rPr>
          <w:spacing w:val="-2"/>
          <w:sz w:val="18"/>
          <w:vertAlign w:val="baseline"/>
        </w:rPr>
        <w:t> </w:t>
      </w:r>
      <w:r>
        <w:rPr>
          <w:sz w:val="18"/>
          <w:vertAlign w:val="baseline"/>
        </w:rPr>
        <w:t>8</w:t>
      </w:r>
      <w:r>
        <w:rPr>
          <w:spacing w:val="-4"/>
          <w:sz w:val="18"/>
          <w:vertAlign w:val="baseline"/>
        </w:rPr>
        <w:t> </w:t>
      </w:r>
      <w:r>
        <w:rPr>
          <w:sz w:val="18"/>
          <w:vertAlign w:val="baseline"/>
        </w:rPr>
        <w:t>(Supreme</w:t>
      </w:r>
      <w:r>
        <w:rPr>
          <w:spacing w:val="-2"/>
          <w:sz w:val="18"/>
          <w:vertAlign w:val="baseline"/>
        </w:rPr>
        <w:t> </w:t>
      </w:r>
      <w:r>
        <w:rPr>
          <w:sz w:val="18"/>
          <w:vertAlign w:val="baseline"/>
        </w:rPr>
        <w:t>Judicial</w:t>
      </w:r>
      <w:r>
        <w:rPr>
          <w:spacing w:val="-3"/>
          <w:sz w:val="18"/>
          <w:vertAlign w:val="baseline"/>
        </w:rPr>
        <w:t> </w:t>
      </w:r>
      <w:r>
        <w:rPr>
          <w:sz w:val="18"/>
          <w:vertAlign w:val="baseline"/>
        </w:rPr>
        <w:t>Court</w:t>
      </w:r>
      <w:r>
        <w:rPr>
          <w:spacing w:val="-3"/>
          <w:sz w:val="18"/>
          <w:vertAlign w:val="baseline"/>
        </w:rPr>
        <w:t> </w:t>
      </w:r>
      <w:r>
        <w:rPr>
          <w:sz w:val="18"/>
          <w:vertAlign w:val="baseline"/>
        </w:rPr>
        <w:t>of</w:t>
      </w:r>
      <w:r>
        <w:rPr>
          <w:spacing w:val="-2"/>
          <w:sz w:val="18"/>
          <w:vertAlign w:val="baseline"/>
        </w:rPr>
        <w:t> Massachusetts</w:t>
      </w:r>
    </w:p>
    <w:p>
      <w:pPr>
        <w:spacing w:line="218" w:lineRule="exact" w:before="0"/>
        <w:ind w:left="320" w:right="0" w:firstLine="0"/>
        <w:jc w:val="left"/>
        <w:rPr>
          <w:sz w:val="18"/>
        </w:rPr>
      </w:pPr>
      <w:r>
        <w:rPr>
          <w:sz w:val="18"/>
        </w:rPr>
        <w:t>January</w:t>
      </w:r>
      <w:r>
        <w:rPr>
          <w:spacing w:val="-3"/>
          <w:sz w:val="18"/>
        </w:rPr>
        <w:t> </w:t>
      </w:r>
      <w:r>
        <w:rPr>
          <w:sz w:val="18"/>
        </w:rPr>
        <w:t>11,</w:t>
      </w:r>
      <w:r>
        <w:rPr>
          <w:spacing w:val="-3"/>
          <w:sz w:val="18"/>
        </w:rPr>
        <w:t> </w:t>
      </w:r>
      <w:r>
        <w:rPr>
          <w:sz w:val="18"/>
        </w:rPr>
        <w:t>2024,</w:t>
      </w:r>
      <w:r>
        <w:rPr>
          <w:spacing w:val="-3"/>
          <w:sz w:val="18"/>
        </w:rPr>
        <w:t> </w:t>
      </w:r>
      <w:r>
        <w:rPr>
          <w:spacing w:val="-2"/>
          <w:sz w:val="18"/>
        </w:rPr>
        <w:t>Decided).</w:t>
      </w:r>
    </w:p>
    <w:p>
      <w:pPr>
        <w:spacing w:line="156" w:lineRule="auto" w:before="36"/>
        <w:ind w:left="320" w:right="0" w:firstLine="0"/>
        <w:jc w:val="left"/>
        <w:rPr>
          <w:i/>
          <w:sz w:val="18"/>
        </w:rPr>
      </w:pPr>
      <w:r>
        <w:rPr>
          <w:sz w:val="12"/>
        </w:rPr>
        <w:t>161</w:t>
      </w:r>
      <w:r>
        <w:rPr>
          <w:spacing w:val="13"/>
          <w:sz w:val="12"/>
        </w:rPr>
        <w:t> </w:t>
      </w:r>
      <w:r>
        <w:rPr>
          <w:i/>
          <w:spacing w:val="-5"/>
          <w:position w:val="-5"/>
          <w:sz w:val="18"/>
        </w:rPr>
        <w:t>Id.</w:t>
      </w:r>
    </w:p>
    <w:p>
      <w:pPr>
        <w:spacing w:before="35"/>
        <w:ind w:left="320" w:right="0" w:firstLine="0"/>
        <w:jc w:val="left"/>
        <w:rPr>
          <w:i/>
          <w:sz w:val="18"/>
        </w:rPr>
      </w:pPr>
      <w:r>
        <w:rPr>
          <w:sz w:val="12"/>
        </w:rPr>
        <w:t>162</w:t>
      </w:r>
      <w:r>
        <w:rPr>
          <w:spacing w:val="13"/>
          <w:sz w:val="12"/>
        </w:rPr>
        <w:t> </w:t>
      </w:r>
      <w:r>
        <w:rPr>
          <w:i/>
          <w:spacing w:val="-5"/>
          <w:position w:val="-5"/>
          <w:sz w:val="18"/>
        </w:rPr>
        <w:t>Id.</w:t>
      </w:r>
    </w:p>
    <w:p>
      <w:pPr>
        <w:spacing w:before="0"/>
        <w:ind w:left="320" w:right="111" w:firstLine="0"/>
        <w:jc w:val="left"/>
        <w:rPr>
          <w:sz w:val="18"/>
        </w:rPr>
      </w:pPr>
      <w:r>
        <w:rPr>
          <w:sz w:val="18"/>
          <w:vertAlign w:val="superscript"/>
        </w:rPr>
        <w:t>163</w:t>
      </w:r>
      <w:r>
        <w:rPr>
          <w:spacing w:val="-2"/>
          <w:sz w:val="18"/>
          <w:vertAlign w:val="baseline"/>
        </w:rPr>
        <w:t> </w:t>
      </w:r>
      <w:r>
        <w:rPr>
          <w:sz w:val="18"/>
          <w:vertAlign w:val="baseline"/>
        </w:rPr>
        <w:t>Deborah</w:t>
      </w:r>
      <w:r>
        <w:rPr>
          <w:spacing w:val="-2"/>
          <w:sz w:val="18"/>
          <w:vertAlign w:val="baseline"/>
        </w:rPr>
        <w:t> </w:t>
      </w:r>
      <w:r>
        <w:rPr>
          <w:sz w:val="18"/>
          <w:vertAlign w:val="baseline"/>
        </w:rPr>
        <w:t>Becker.</w:t>
      </w:r>
      <w:r>
        <w:rPr>
          <w:spacing w:val="-2"/>
          <w:sz w:val="18"/>
          <w:vertAlign w:val="baseline"/>
        </w:rPr>
        <w:t> </w:t>
      </w:r>
      <w:r>
        <w:rPr>
          <w:sz w:val="18"/>
          <w:vertAlign w:val="baseline"/>
        </w:rPr>
        <w:t>2024.</w:t>
      </w:r>
      <w:r>
        <w:rPr>
          <w:spacing w:val="-2"/>
          <w:sz w:val="18"/>
          <w:vertAlign w:val="baseline"/>
        </w:rPr>
        <w:t> </w:t>
      </w:r>
      <w:r>
        <w:rPr>
          <w:sz w:val="18"/>
          <w:vertAlign w:val="baseline"/>
        </w:rPr>
        <w:t>WBUR,</w:t>
      </w:r>
      <w:r>
        <w:rPr>
          <w:spacing w:val="-3"/>
          <w:sz w:val="18"/>
          <w:vertAlign w:val="baseline"/>
        </w:rPr>
        <w:t> </w:t>
      </w:r>
      <w:r>
        <w:rPr>
          <w:sz w:val="18"/>
          <w:vertAlign w:val="baseline"/>
        </w:rPr>
        <w:t>“Adults</w:t>
      </w:r>
      <w:r>
        <w:rPr>
          <w:spacing w:val="-2"/>
          <w:sz w:val="18"/>
          <w:vertAlign w:val="baseline"/>
        </w:rPr>
        <w:t> </w:t>
      </w:r>
      <w:r>
        <w:rPr>
          <w:sz w:val="18"/>
          <w:vertAlign w:val="baseline"/>
        </w:rPr>
        <w:t>Younger</w:t>
      </w:r>
      <w:r>
        <w:rPr>
          <w:spacing w:val="-4"/>
          <w:sz w:val="18"/>
          <w:vertAlign w:val="baseline"/>
        </w:rPr>
        <w:t> </w:t>
      </w:r>
      <w:r>
        <w:rPr>
          <w:sz w:val="18"/>
          <w:vertAlign w:val="baseline"/>
        </w:rPr>
        <w:t>Than</w:t>
      </w:r>
      <w:r>
        <w:rPr>
          <w:spacing w:val="-2"/>
          <w:sz w:val="18"/>
          <w:vertAlign w:val="baseline"/>
        </w:rPr>
        <w:t> </w:t>
      </w:r>
      <w:r>
        <w:rPr>
          <w:sz w:val="18"/>
          <w:vertAlign w:val="baseline"/>
        </w:rPr>
        <w:t>21</w:t>
      </w:r>
      <w:r>
        <w:rPr>
          <w:spacing w:val="-2"/>
          <w:sz w:val="18"/>
          <w:vertAlign w:val="baseline"/>
        </w:rPr>
        <w:t> </w:t>
      </w:r>
      <w:r>
        <w:rPr>
          <w:sz w:val="18"/>
          <w:vertAlign w:val="baseline"/>
        </w:rPr>
        <w:t>Cannot</w:t>
      </w:r>
      <w:r>
        <w:rPr>
          <w:spacing w:val="-4"/>
          <w:sz w:val="18"/>
          <w:vertAlign w:val="baseline"/>
        </w:rPr>
        <w:t> </w:t>
      </w:r>
      <w:r>
        <w:rPr>
          <w:sz w:val="18"/>
          <w:vertAlign w:val="baseline"/>
        </w:rPr>
        <w:t>be</w:t>
      </w:r>
      <w:r>
        <w:rPr>
          <w:spacing w:val="-2"/>
          <w:sz w:val="18"/>
          <w:vertAlign w:val="baseline"/>
        </w:rPr>
        <w:t> </w:t>
      </w:r>
      <w:r>
        <w:rPr>
          <w:sz w:val="18"/>
          <w:vertAlign w:val="baseline"/>
        </w:rPr>
        <w:t>Sentenced</w:t>
      </w:r>
      <w:r>
        <w:rPr>
          <w:spacing w:val="-2"/>
          <w:sz w:val="18"/>
          <w:vertAlign w:val="baseline"/>
        </w:rPr>
        <w:t> </w:t>
      </w:r>
      <w:r>
        <w:rPr>
          <w:sz w:val="18"/>
          <w:vertAlign w:val="baseline"/>
        </w:rPr>
        <w:t>to</w:t>
      </w:r>
      <w:r>
        <w:rPr>
          <w:spacing w:val="-4"/>
          <w:sz w:val="18"/>
          <w:vertAlign w:val="baseline"/>
        </w:rPr>
        <w:t> </w:t>
      </w:r>
      <w:r>
        <w:rPr>
          <w:sz w:val="18"/>
          <w:vertAlign w:val="baseline"/>
        </w:rPr>
        <w:t>Life</w:t>
      </w:r>
      <w:r>
        <w:rPr>
          <w:spacing w:val="-2"/>
          <w:sz w:val="18"/>
          <w:vertAlign w:val="baseline"/>
        </w:rPr>
        <w:t> </w:t>
      </w:r>
      <w:r>
        <w:rPr>
          <w:sz w:val="18"/>
          <w:vertAlign w:val="baseline"/>
        </w:rPr>
        <w:t>Without</w:t>
      </w:r>
      <w:r>
        <w:rPr>
          <w:spacing w:val="-3"/>
          <w:sz w:val="18"/>
          <w:vertAlign w:val="baseline"/>
        </w:rPr>
        <w:t> </w:t>
      </w:r>
      <w:r>
        <w:rPr>
          <w:sz w:val="18"/>
          <w:vertAlign w:val="baseline"/>
        </w:rPr>
        <w:t>Parole,</w:t>
      </w:r>
      <w:r>
        <w:rPr>
          <w:spacing w:val="-3"/>
          <w:sz w:val="18"/>
          <w:vertAlign w:val="baseline"/>
        </w:rPr>
        <w:t> </w:t>
      </w:r>
      <w:r>
        <w:rPr>
          <w:sz w:val="18"/>
          <w:vertAlign w:val="baseline"/>
        </w:rPr>
        <w:t>Mass.</w:t>
      </w:r>
      <w:r>
        <w:rPr>
          <w:spacing w:val="-2"/>
          <w:sz w:val="18"/>
          <w:vertAlign w:val="baseline"/>
        </w:rPr>
        <w:t> </w:t>
      </w:r>
      <w:r>
        <w:rPr>
          <w:sz w:val="18"/>
          <w:vertAlign w:val="baseline"/>
        </w:rPr>
        <w:t>Supreme</w:t>
      </w:r>
      <w:r>
        <w:rPr>
          <w:spacing w:val="-2"/>
          <w:sz w:val="18"/>
          <w:vertAlign w:val="baseline"/>
        </w:rPr>
        <w:t> </w:t>
      </w:r>
      <w:r>
        <w:rPr>
          <w:sz w:val="18"/>
          <w:vertAlign w:val="baseline"/>
        </w:rPr>
        <w:t>Judicial Court Rules”, Updated January 11, 2024, https://</w:t>
      </w:r>
      <w:hyperlink r:id="rId537">
        <w:r>
          <w:rPr>
            <w:sz w:val="18"/>
            <w:vertAlign w:val="baseline"/>
          </w:rPr>
          <w:t>www.wbur.org/news/2024/01/11/life-without-parole-sentencing-young-</w:t>
        </w:r>
      </w:hyperlink>
      <w:r>
        <w:rPr>
          <w:sz w:val="18"/>
          <w:vertAlign w:val="baseline"/>
        </w:rPr>
        <w:t> </w:t>
      </w:r>
      <w:r>
        <w:rPr>
          <w:spacing w:val="-2"/>
          <w:sz w:val="18"/>
          <w:vertAlign w:val="baseline"/>
        </w:rPr>
        <w:t>adults-massachusetts-sjc-landmark-ruling.</w:t>
      </w:r>
    </w:p>
    <w:p>
      <w:pPr>
        <w:spacing w:line="219" w:lineRule="exact" w:before="0"/>
        <w:ind w:left="320" w:right="0" w:firstLine="0"/>
        <w:jc w:val="left"/>
        <w:rPr>
          <w:sz w:val="18"/>
        </w:rPr>
      </w:pPr>
      <w:r>
        <w:rPr>
          <w:sz w:val="18"/>
          <w:vertAlign w:val="superscript"/>
        </w:rPr>
        <w:t>164</w:t>
      </w:r>
      <w:r>
        <w:rPr>
          <w:spacing w:val="-5"/>
          <w:sz w:val="18"/>
          <w:vertAlign w:val="baseline"/>
        </w:rPr>
        <w:t> </w:t>
      </w:r>
      <w:r>
        <w:rPr>
          <w:i/>
          <w:sz w:val="18"/>
          <w:vertAlign w:val="baseline"/>
        </w:rPr>
        <w:t>Commonwealth</w:t>
      </w:r>
      <w:r>
        <w:rPr>
          <w:i/>
          <w:spacing w:val="-2"/>
          <w:sz w:val="18"/>
          <w:vertAlign w:val="baseline"/>
        </w:rPr>
        <w:t> </w:t>
      </w:r>
      <w:r>
        <w:rPr>
          <w:i/>
          <w:sz w:val="18"/>
          <w:vertAlign w:val="baseline"/>
        </w:rPr>
        <w:t>v.</w:t>
      </w:r>
      <w:r>
        <w:rPr>
          <w:i/>
          <w:spacing w:val="-2"/>
          <w:sz w:val="18"/>
          <w:vertAlign w:val="baseline"/>
        </w:rPr>
        <w:t> </w:t>
      </w:r>
      <w:r>
        <w:rPr>
          <w:i/>
          <w:sz w:val="18"/>
          <w:vertAlign w:val="baseline"/>
        </w:rPr>
        <w:t>Mattis</w:t>
      </w:r>
      <w:r>
        <w:rPr>
          <w:sz w:val="18"/>
          <w:vertAlign w:val="baseline"/>
        </w:rPr>
        <w:t>,</w:t>
      </w:r>
      <w:r>
        <w:rPr>
          <w:spacing w:val="-3"/>
          <w:sz w:val="18"/>
          <w:vertAlign w:val="baseline"/>
        </w:rPr>
        <w:t> </w:t>
      </w:r>
      <w:r>
        <w:rPr>
          <w:sz w:val="18"/>
          <w:vertAlign w:val="baseline"/>
        </w:rPr>
        <w:t>493</w:t>
      </w:r>
      <w:r>
        <w:rPr>
          <w:spacing w:val="-1"/>
          <w:sz w:val="18"/>
          <w:vertAlign w:val="baseline"/>
        </w:rPr>
        <w:t> </w:t>
      </w:r>
      <w:r>
        <w:rPr>
          <w:sz w:val="18"/>
          <w:vertAlign w:val="baseline"/>
        </w:rPr>
        <w:t>Mass.</w:t>
      </w:r>
      <w:r>
        <w:rPr>
          <w:spacing w:val="-3"/>
          <w:sz w:val="18"/>
          <w:vertAlign w:val="baseline"/>
        </w:rPr>
        <w:t> </w:t>
      </w:r>
      <w:r>
        <w:rPr>
          <w:sz w:val="18"/>
          <w:vertAlign w:val="baseline"/>
        </w:rPr>
        <w:t>216,</w:t>
      </w:r>
      <w:r>
        <w:rPr>
          <w:spacing w:val="-3"/>
          <w:sz w:val="18"/>
          <w:vertAlign w:val="baseline"/>
        </w:rPr>
        <w:t> </w:t>
      </w:r>
      <w:r>
        <w:rPr>
          <w:sz w:val="18"/>
          <w:vertAlign w:val="baseline"/>
        </w:rPr>
        <w:t>224</w:t>
      </w:r>
      <w:r>
        <w:rPr>
          <w:spacing w:val="-2"/>
          <w:sz w:val="18"/>
          <w:vertAlign w:val="baseline"/>
        </w:rPr>
        <w:t> </w:t>
      </w:r>
      <w:r>
        <w:rPr>
          <w:sz w:val="18"/>
          <w:vertAlign w:val="baseline"/>
        </w:rPr>
        <w:t>N.E.3d</w:t>
      </w:r>
      <w:r>
        <w:rPr>
          <w:spacing w:val="-2"/>
          <w:sz w:val="18"/>
          <w:vertAlign w:val="baseline"/>
        </w:rPr>
        <w:t> </w:t>
      </w:r>
      <w:r>
        <w:rPr>
          <w:sz w:val="18"/>
          <w:vertAlign w:val="baseline"/>
        </w:rPr>
        <w:t>410,</w:t>
      </w:r>
      <w:r>
        <w:rPr>
          <w:spacing w:val="-3"/>
          <w:sz w:val="18"/>
          <w:vertAlign w:val="baseline"/>
        </w:rPr>
        <w:t> </w:t>
      </w:r>
      <w:r>
        <w:rPr>
          <w:sz w:val="18"/>
          <w:vertAlign w:val="baseline"/>
        </w:rPr>
        <w:t>2024</w:t>
      </w:r>
      <w:r>
        <w:rPr>
          <w:spacing w:val="-2"/>
          <w:sz w:val="18"/>
          <w:vertAlign w:val="baseline"/>
        </w:rPr>
        <w:t> </w:t>
      </w:r>
      <w:r>
        <w:rPr>
          <w:sz w:val="18"/>
          <w:vertAlign w:val="baseline"/>
        </w:rPr>
        <w:t>Mass.</w:t>
      </w:r>
      <w:r>
        <w:rPr>
          <w:spacing w:val="-3"/>
          <w:sz w:val="18"/>
          <w:vertAlign w:val="baseline"/>
        </w:rPr>
        <w:t> </w:t>
      </w:r>
      <w:r>
        <w:rPr>
          <w:sz w:val="18"/>
          <w:vertAlign w:val="baseline"/>
        </w:rPr>
        <w:t>LEXIS</w:t>
      </w:r>
      <w:r>
        <w:rPr>
          <w:spacing w:val="-2"/>
          <w:sz w:val="18"/>
          <w:vertAlign w:val="baseline"/>
        </w:rPr>
        <w:t> </w:t>
      </w:r>
      <w:r>
        <w:rPr>
          <w:sz w:val="18"/>
          <w:vertAlign w:val="baseline"/>
        </w:rPr>
        <w:t>8</w:t>
      </w:r>
      <w:r>
        <w:rPr>
          <w:spacing w:val="-4"/>
          <w:sz w:val="18"/>
          <w:vertAlign w:val="baseline"/>
        </w:rPr>
        <w:t> </w:t>
      </w:r>
      <w:r>
        <w:rPr>
          <w:sz w:val="18"/>
          <w:vertAlign w:val="baseline"/>
        </w:rPr>
        <w:t>(Supreme</w:t>
      </w:r>
      <w:r>
        <w:rPr>
          <w:spacing w:val="-2"/>
          <w:sz w:val="18"/>
          <w:vertAlign w:val="baseline"/>
        </w:rPr>
        <w:t> </w:t>
      </w:r>
      <w:r>
        <w:rPr>
          <w:sz w:val="18"/>
          <w:vertAlign w:val="baseline"/>
        </w:rPr>
        <w:t>Judicial</w:t>
      </w:r>
      <w:r>
        <w:rPr>
          <w:spacing w:val="-3"/>
          <w:sz w:val="18"/>
          <w:vertAlign w:val="baseline"/>
        </w:rPr>
        <w:t> </w:t>
      </w:r>
      <w:r>
        <w:rPr>
          <w:sz w:val="18"/>
          <w:vertAlign w:val="baseline"/>
        </w:rPr>
        <w:t>Court</w:t>
      </w:r>
      <w:r>
        <w:rPr>
          <w:spacing w:val="-3"/>
          <w:sz w:val="18"/>
          <w:vertAlign w:val="baseline"/>
        </w:rPr>
        <w:t> </w:t>
      </w:r>
      <w:r>
        <w:rPr>
          <w:sz w:val="18"/>
          <w:vertAlign w:val="baseline"/>
        </w:rPr>
        <w:t>of</w:t>
      </w:r>
      <w:r>
        <w:rPr>
          <w:spacing w:val="-2"/>
          <w:sz w:val="18"/>
          <w:vertAlign w:val="baseline"/>
        </w:rPr>
        <w:t> Massachusetts</w:t>
      </w:r>
    </w:p>
    <w:p>
      <w:pPr>
        <w:spacing w:line="218" w:lineRule="exact" w:before="0"/>
        <w:ind w:left="320" w:right="0" w:firstLine="0"/>
        <w:jc w:val="left"/>
        <w:rPr>
          <w:sz w:val="18"/>
        </w:rPr>
      </w:pPr>
      <w:r>
        <w:rPr>
          <w:sz w:val="18"/>
        </w:rPr>
        <w:t>January</w:t>
      </w:r>
      <w:r>
        <w:rPr>
          <w:spacing w:val="-3"/>
          <w:sz w:val="18"/>
        </w:rPr>
        <w:t> </w:t>
      </w:r>
      <w:r>
        <w:rPr>
          <w:sz w:val="18"/>
        </w:rPr>
        <w:t>11,</w:t>
      </w:r>
      <w:r>
        <w:rPr>
          <w:spacing w:val="-3"/>
          <w:sz w:val="18"/>
        </w:rPr>
        <w:t> </w:t>
      </w:r>
      <w:r>
        <w:rPr>
          <w:sz w:val="18"/>
        </w:rPr>
        <w:t>2024,</w:t>
      </w:r>
      <w:r>
        <w:rPr>
          <w:spacing w:val="-3"/>
          <w:sz w:val="18"/>
        </w:rPr>
        <w:t> </w:t>
      </w:r>
      <w:r>
        <w:rPr>
          <w:spacing w:val="-2"/>
          <w:sz w:val="18"/>
        </w:rPr>
        <w:t>Decided).</w:t>
      </w:r>
    </w:p>
    <w:p>
      <w:pPr>
        <w:spacing w:line="156" w:lineRule="auto" w:before="36"/>
        <w:ind w:left="320" w:right="0" w:firstLine="0"/>
        <w:jc w:val="left"/>
        <w:rPr>
          <w:i/>
          <w:sz w:val="18"/>
        </w:rPr>
      </w:pPr>
      <w:r>
        <w:rPr>
          <w:sz w:val="12"/>
        </w:rPr>
        <w:t>165</w:t>
      </w:r>
      <w:r>
        <w:rPr>
          <w:spacing w:val="13"/>
          <w:sz w:val="12"/>
        </w:rPr>
        <w:t> </w:t>
      </w:r>
      <w:r>
        <w:rPr>
          <w:i/>
          <w:spacing w:val="-5"/>
          <w:position w:val="-5"/>
          <w:sz w:val="18"/>
        </w:rPr>
        <w:t>Id.</w:t>
      </w:r>
    </w:p>
    <w:p>
      <w:pPr>
        <w:spacing w:before="37"/>
        <w:ind w:left="320" w:right="296" w:firstLine="0"/>
        <w:jc w:val="left"/>
        <w:rPr>
          <w:sz w:val="18"/>
        </w:rPr>
      </w:pPr>
      <w:r>
        <w:rPr>
          <w:sz w:val="18"/>
          <w:vertAlign w:val="superscript"/>
        </w:rPr>
        <w:t>166</w:t>
      </w:r>
      <w:r>
        <w:rPr>
          <w:sz w:val="18"/>
          <w:vertAlign w:val="baseline"/>
        </w:rPr>
        <w:t> Massachusetts Office of Grants and Research, Executive Office of Public Safety and Research. 2024. “Healey-Driscoll Administration Awards Nearly $6.5 Million in Grants to Reduce Recidivism Among Young Adults”, February 8, 2024, </w:t>
      </w:r>
      <w:r>
        <w:rPr>
          <w:spacing w:val="-2"/>
          <w:sz w:val="18"/>
          <w:vertAlign w:val="baseline"/>
        </w:rPr>
        <w:t>https:</w:t>
      </w:r>
      <w:hyperlink r:id="rId538">
        <w:r>
          <w:rPr>
            <w:spacing w:val="-2"/>
            <w:sz w:val="18"/>
            <w:vertAlign w:val="baseline"/>
          </w:rPr>
          <w:t>//www.mass.gov/news/healey-driscoll-administration-awards-nearly-65-million-in-grants-to-reduce-recidivism-among-</w:t>
        </w:r>
      </w:hyperlink>
      <w:r>
        <w:rPr>
          <w:sz w:val="18"/>
          <w:vertAlign w:val="baseline"/>
        </w:rPr>
        <w:t> </w:t>
      </w:r>
      <w:r>
        <w:rPr>
          <w:spacing w:val="-2"/>
          <w:sz w:val="18"/>
          <w:vertAlign w:val="baseline"/>
        </w:rPr>
        <w:t>young-adults.</w:t>
      </w:r>
    </w:p>
    <w:p>
      <w:pPr>
        <w:spacing w:line="156" w:lineRule="auto" w:before="37"/>
        <w:ind w:left="320" w:right="0" w:firstLine="0"/>
        <w:jc w:val="left"/>
        <w:rPr>
          <w:i/>
          <w:sz w:val="18"/>
        </w:rPr>
      </w:pPr>
      <w:r>
        <w:rPr>
          <w:sz w:val="12"/>
        </w:rPr>
        <w:t>167</w:t>
      </w:r>
      <w:r>
        <w:rPr>
          <w:spacing w:val="13"/>
          <w:sz w:val="12"/>
        </w:rPr>
        <w:t> </w:t>
      </w:r>
      <w:r>
        <w:rPr>
          <w:i/>
          <w:spacing w:val="-5"/>
          <w:position w:val="-5"/>
          <w:sz w:val="18"/>
        </w:rPr>
        <w:t>Id.</w:t>
      </w:r>
    </w:p>
    <w:p>
      <w:pPr>
        <w:spacing w:line="158" w:lineRule="auto" w:before="71"/>
        <w:ind w:left="320" w:right="0" w:firstLine="0"/>
        <w:jc w:val="left"/>
        <w:rPr>
          <w:i/>
          <w:sz w:val="18"/>
        </w:rPr>
      </w:pPr>
      <w:r>
        <w:rPr>
          <w:sz w:val="12"/>
        </w:rPr>
        <w:t>168</w:t>
      </w:r>
      <w:r>
        <w:rPr>
          <w:spacing w:val="13"/>
          <w:sz w:val="12"/>
        </w:rPr>
        <w:t> </w:t>
      </w:r>
      <w:r>
        <w:rPr>
          <w:i/>
          <w:spacing w:val="-5"/>
          <w:position w:val="-5"/>
          <w:sz w:val="18"/>
        </w:rPr>
        <w:t>Id.</w:t>
      </w:r>
    </w:p>
    <w:p>
      <w:pPr>
        <w:spacing w:before="33"/>
        <w:ind w:left="320" w:right="0" w:firstLine="0"/>
        <w:jc w:val="both"/>
        <w:rPr>
          <w:i/>
          <w:sz w:val="18"/>
        </w:rPr>
      </w:pPr>
      <w:r>
        <w:rPr>
          <w:sz w:val="12"/>
        </w:rPr>
        <w:t>169</w:t>
      </w:r>
      <w:r>
        <w:rPr>
          <w:spacing w:val="13"/>
          <w:sz w:val="12"/>
        </w:rPr>
        <w:t> </w:t>
      </w:r>
      <w:r>
        <w:rPr>
          <w:i/>
          <w:spacing w:val="-5"/>
          <w:position w:val="-5"/>
          <w:sz w:val="18"/>
        </w:rPr>
        <w:t>Id.</w:t>
      </w:r>
    </w:p>
    <w:p>
      <w:pPr>
        <w:spacing w:before="0"/>
        <w:ind w:left="320" w:right="225" w:hanging="1"/>
        <w:jc w:val="both"/>
        <w:rPr>
          <w:sz w:val="18"/>
        </w:rPr>
      </w:pPr>
      <w:r>
        <w:rPr>
          <w:sz w:val="18"/>
          <w:vertAlign w:val="superscript"/>
        </w:rPr>
        <w:t>170</w:t>
      </w:r>
      <w:r>
        <w:rPr>
          <w:spacing w:val="-2"/>
          <w:sz w:val="18"/>
          <w:vertAlign w:val="baseline"/>
        </w:rPr>
        <w:t> </w:t>
      </w:r>
      <w:r>
        <w:rPr>
          <w:sz w:val="18"/>
          <w:vertAlign w:val="baseline"/>
        </w:rPr>
        <w:t>Governor</w:t>
      </w:r>
      <w:r>
        <w:rPr>
          <w:spacing w:val="-3"/>
          <w:sz w:val="18"/>
          <w:vertAlign w:val="baseline"/>
        </w:rPr>
        <w:t> </w:t>
      </w:r>
      <w:r>
        <w:rPr>
          <w:sz w:val="18"/>
          <w:vertAlign w:val="baseline"/>
        </w:rPr>
        <w:t>Maura</w:t>
      </w:r>
      <w:r>
        <w:rPr>
          <w:spacing w:val="-2"/>
          <w:sz w:val="18"/>
          <w:vertAlign w:val="baseline"/>
        </w:rPr>
        <w:t> </w:t>
      </w:r>
      <w:r>
        <w:rPr>
          <w:sz w:val="18"/>
          <w:vertAlign w:val="baseline"/>
        </w:rPr>
        <w:t>Healey</w:t>
      </w:r>
      <w:r>
        <w:rPr>
          <w:spacing w:val="-2"/>
          <w:sz w:val="18"/>
          <w:vertAlign w:val="baseline"/>
        </w:rPr>
        <w:t> </w:t>
      </w:r>
      <w:r>
        <w:rPr>
          <w:sz w:val="18"/>
          <w:vertAlign w:val="baseline"/>
        </w:rPr>
        <w:t>and</w:t>
      </w:r>
      <w:r>
        <w:rPr>
          <w:spacing w:val="-2"/>
          <w:sz w:val="18"/>
          <w:vertAlign w:val="baseline"/>
        </w:rPr>
        <w:t> </w:t>
      </w:r>
      <w:r>
        <w:rPr>
          <w:sz w:val="18"/>
          <w:vertAlign w:val="baseline"/>
        </w:rPr>
        <w:t>Lt.</w:t>
      </w:r>
      <w:r>
        <w:rPr>
          <w:spacing w:val="-3"/>
          <w:sz w:val="18"/>
          <w:vertAlign w:val="baseline"/>
        </w:rPr>
        <w:t> </w:t>
      </w:r>
      <w:r>
        <w:rPr>
          <w:sz w:val="18"/>
          <w:vertAlign w:val="baseline"/>
        </w:rPr>
        <w:t>Governor</w:t>
      </w:r>
      <w:r>
        <w:rPr>
          <w:spacing w:val="-3"/>
          <w:sz w:val="18"/>
          <w:vertAlign w:val="baseline"/>
        </w:rPr>
        <w:t> </w:t>
      </w:r>
      <w:r>
        <w:rPr>
          <w:sz w:val="18"/>
          <w:vertAlign w:val="baseline"/>
        </w:rPr>
        <w:t>Kim</w:t>
      </w:r>
      <w:r>
        <w:rPr>
          <w:spacing w:val="-2"/>
          <w:sz w:val="18"/>
          <w:vertAlign w:val="baseline"/>
        </w:rPr>
        <w:t> </w:t>
      </w:r>
      <w:r>
        <w:rPr>
          <w:sz w:val="18"/>
          <w:vertAlign w:val="baseline"/>
        </w:rPr>
        <w:t>Driscoll.</w:t>
      </w:r>
      <w:r>
        <w:rPr>
          <w:spacing w:val="-2"/>
          <w:sz w:val="18"/>
          <w:vertAlign w:val="baseline"/>
        </w:rPr>
        <w:t> </w:t>
      </w:r>
      <w:r>
        <w:rPr>
          <w:sz w:val="18"/>
          <w:vertAlign w:val="baseline"/>
        </w:rPr>
        <w:t>2024.</w:t>
      </w:r>
      <w:r>
        <w:rPr>
          <w:spacing w:val="-2"/>
          <w:sz w:val="18"/>
          <w:vertAlign w:val="baseline"/>
        </w:rPr>
        <w:t> </w:t>
      </w:r>
      <w:r>
        <w:rPr>
          <w:sz w:val="18"/>
          <w:vertAlign w:val="baseline"/>
        </w:rPr>
        <w:t>“Governor</w:t>
      </w:r>
      <w:r>
        <w:rPr>
          <w:spacing w:val="-3"/>
          <w:sz w:val="18"/>
          <w:vertAlign w:val="baseline"/>
        </w:rPr>
        <w:t> </w:t>
      </w:r>
      <w:r>
        <w:rPr>
          <w:sz w:val="18"/>
          <w:vertAlign w:val="baseline"/>
        </w:rPr>
        <w:t>Healey</w:t>
      </w:r>
      <w:r>
        <w:rPr>
          <w:spacing w:val="-2"/>
          <w:sz w:val="18"/>
          <w:vertAlign w:val="baseline"/>
        </w:rPr>
        <w:t> </w:t>
      </w:r>
      <w:r>
        <w:rPr>
          <w:sz w:val="18"/>
          <w:vertAlign w:val="baseline"/>
        </w:rPr>
        <w:t>Announces</w:t>
      </w:r>
      <w:r>
        <w:rPr>
          <w:spacing w:val="-2"/>
          <w:sz w:val="18"/>
          <w:vertAlign w:val="baseline"/>
        </w:rPr>
        <w:t> </w:t>
      </w:r>
      <w:r>
        <w:rPr>
          <w:sz w:val="18"/>
          <w:vertAlign w:val="baseline"/>
        </w:rPr>
        <w:t>Nation-Leading</w:t>
      </w:r>
      <w:r>
        <w:rPr>
          <w:spacing w:val="-2"/>
          <w:sz w:val="18"/>
          <w:vertAlign w:val="baseline"/>
        </w:rPr>
        <w:t> </w:t>
      </w:r>
      <w:r>
        <w:rPr>
          <w:sz w:val="18"/>
          <w:vertAlign w:val="baseline"/>
        </w:rPr>
        <w:t>Effort</w:t>
      </w:r>
      <w:r>
        <w:rPr>
          <w:spacing w:val="-4"/>
          <w:sz w:val="18"/>
          <w:vertAlign w:val="baseline"/>
        </w:rPr>
        <w:t> </w:t>
      </w:r>
      <w:r>
        <w:rPr>
          <w:sz w:val="18"/>
          <w:vertAlign w:val="baseline"/>
        </w:rPr>
        <w:t>to</w:t>
      </w:r>
      <w:r>
        <w:rPr>
          <w:spacing w:val="-2"/>
          <w:sz w:val="18"/>
          <w:vertAlign w:val="baseline"/>
        </w:rPr>
        <w:t> </w:t>
      </w:r>
      <w:r>
        <w:rPr>
          <w:sz w:val="18"/>
          <w:vertAlign w:val="baseline"/>
        </w:rPr>
        <w:t>Pardon Marijuana</w:t>
      </w:r>
      <w:r>
        <w:rPr>
          <w:spacing w:val="-5"/>
          <w:sz w:val="18"/>
          <w:vertAlign w:val="baseline"/>
        </w:rPr>
        <w:t> </w:t>
      </w:r>
      <w:r>
        <w:rPr>
          <w:sz w:val="18"/>
          <w:vertAlign w:val="baseline"/>
        </w:rPr>
        <w:t>Possession</w:t>
      </w:r>
      <w:r>
        <w:rPr>
          <w:spacing w:val="-5"/>
          <w:sz w:val="18"/>
          <w:vertAlign w:val="baseline"/>
        </w:rPr>
        <w:t> </w:t>
      </w:r>
      <w:r>
        <w:rPr>
          <w:sz w:val="18"/>
          <w:vertAlign w:val="baseline"/>
        </w:rPr>
        <w:t>Misdemeanor</w:t>
      </w:r>
      <w:r>
        <w:rPr>
          <w:spacing w:val="-6"/>
          <w:sz w:val="18"/>
          <w:vertAlign w:val="baseline"/>
        </w:rPr>
        <w:t> </w:t>
      </w:r>
      <w:r>
        <w:rPr>
          <w:sz w:val="18"/>
          <w:vertAlign w:val="baseline"/>
        </w:rPr>
        <w:t>Convictions”,</w:t>
      </w:r>
      <w:r>
        <w:rPr>
          <w:spacing w:val="-6"/>
          <w:sz w:val="18"/>
          <w:vertAlign w:val="baseline"/>
        </w:rPr>
        <w:t> </w:t>
      </w:r>
      <w:r>
        <w:rPr>
          <w:sz w:val="18"/>
          <w:vertAlign w:val="baseline"/>
        </w:rPr>
        <w:t>March</w:t>
      </w:r>
      <w:r>
        <w:rPr>
          <w:spacing w:val="-5"/>
          <w:sz w:val="18"/>
          <w:vertAlign w:val="baseline"/>
        </w:rPr>
        <w:t> </w:t>
      </w:r>
      <w:r>
        <w:rPr>
          <w:sz w:val="18"/>
          <w:vertAlign w:val="baseline"/>
        </w:rPr>
        <w:t>13,</w:t>
      </w:r>
      <w:r>
        <w:rPr>
          <w:spacing w:val="-6"/>
          <w:sz w:val="18"/>
          <w:vertAlign w:val="baseline"/>
        </w:rPr>
        <w:t> </w:t>
      </w:r>
      <w:r>
        <w:rPr>
          <w:sz w:val="18"/>
          <w:vertAlign w:val="baseline"/>
        </w:rPr>
        <w:t>2024,</w:t>
      </w:r>
      <w:r>
        <w:rPr>
          <w:spacing w:val="-6"/>
          <w:sz w:val="18"/>
          <w:vertAlign w:val="baseline"/>
        </w:rPr>
        <w:t> </w:t>
      </w:r>
      <w:r>
        <w:rPr>
          <w:sz w:val="18"/>
          <w:vertAlign w:val="baseline"/>
        </w:rPr>
        <w:t>https:</w:t>
      </w:r>
      <w:hyperlink r:id="rId539">
        <w:r>
          <w:rPr>
            <w:sz w:val="18"/>
            <w:vertAlign w:val="baseline"/>
          </w:rPr>
          <w:t>//www.mass.gov/news/governor-healey-announces-</w:t>
        </w:r>
      </w:hyperlink>
      <w:r>
        <w:rPr>
          <w:sz w:val="18"/>
          <w:vertAlign w:val="baseline"/>
        </w:rPr>
        <w:t> </w:t>
      </w:r>
      <w:r>
        <w:rPr>
          <w:spacing w:val="-2"/>
          <w:sz w:val="18"/>
          <w:vertAlign w:val="baseline"/>
        </w:rPr>
        <w:t>nation-leading-effort-to-pardon-marijuana-possession-misdemeanor-convictions.</w:t>
      </w:r>
    </w:p>
    <w:p>
      <w:pPr>
        <w:spacing w:before="0"/>
        <w:ind w:left="320" w:right="1239" w:firstLine="0"/>
        <w:jc w:val="both"/>
        <w:rPr>
          <w:sz w:val="18"/>
        </w:rPr>
      </w:pPr>
      <w:r>
        <w:rPr>
          <w:sz w:val="18"/>
          <w:vertAlign w:val="superscript"/>
        </w:rPr>
        <w:t>171</w:t>
      </w:r>
      <w:r>
        <w:rPr>
          <w:spacing w:val="-2"/>
          <w:sz w:val="18"/>
          <w:vertAlign w:val="baseline"/>
        </w:rPr>
        <w:t> </w:t>
      </w:r>
      <w:r>
        <w:rPr>
          <w:sz w:val="18"/>
          <w:vertAlign w:val="baseline"/>
        </w:rPr>
        <w:t>Doran,</w:t>
      </w:r>
      <w:r>
        <w:rPr>
          <w:spacing w:val="-3"/>
          <w:sz w:val="18"/>
          <w:vertAlign w:val="baseline"/>
        </w:rPr>
        <w:t> </w:t>
      </w:r>
      <w:r>
        <w:rPr>
          <w:sz w:val="18"/>
          <w:vertAlign w:val="baseline"/>
        </w:rPr>
        <w:t>Sam.</w:t>
      </w:r>
      <w:r>
        <w:rPr>
          <w:spacing w:val="-2"/>
          <w:sz w:val="18"/>
          <w:vertAlign w:val="baseline"/>
        </w:rPr>
        <w:t> </w:t>
      </w:r>
      <w:r>
        <w:rPr>
          <w:sz w:val="18"/>
          <w:vertAlign w:val="baseline"/>
        </w:rPr>
        <w:t>WBUR.</w:t>
      </w:r>
      <w:r>
        <w:rPr>
          <w:spacing w:val="-2"/>
          <w:sz w:val="18"/>
          <w:vertAlign w:val="baseline"/>
        </w:rPr>
        <w:t> </w:t>
      </w:r>
      <w:r>
        <w:rPr>
          <w:sz w:val="18"/>
          <w:vertAlign w:val="baseline"/>
        </w:rPr>
        <w:t>2024.</w:t>
      </w:r>
      <w:r>
        <w:rPr>
          <w:spacing w:val="-2"/>
          <w:sz w:val="18"/>
          <w:vertAlign w:val="baseline"/>
        </w:rPr>
        <w:t> </w:t>
      </w:r>
      <w:r>
        <w:rPr>
          <w:sz w:val="18"/>
          <w:vertAlign w:val="baseline"/>
        </w:rPr>
        <w:t>“Council</w:t>
      </w:r>
      <w:r>
        <w:rPr>
          <w:spacing w:val="-3"/>
          <w:sz w:val="18"/>
          <w:vertAlign w:val="baseline"/>
        </w:rPr>
        <w:t> </w:t>
      </w:r>
      <w:r>
        <w:rPr>
          <w:sz w:val="18"/>
          <w:vertAlign w:val="baseline"/>
        </w:rPr>
        <w:t>Approves</w:t>
      </w:r>
      <w:r>
        <w:rPr>
          <w:spacing w:val="-2"/>
          <w:sz w:val="18"/>
          <w:vertAlign w:val="baseline"/>
        </w:rPr>
        <w:t> </w:t>
      </w:r>
      <w:r>
        <w:rPr>
          <w:sz w:val="18"/>
          <w:vertAlign w:val="baseline"/>
        </w:rPr>
        <w:t>Blanket</w:t>
      </w:r>
      <w:r>
        <w:rPr>
          <w:spacing w:val="-3"/>
          <w:sz w:val="18"/>
          <w:vertAlign w:val="baseline"/>
        </w:rPr>
        <w:t> </w:t>
      </w:r>
      <w:r>
        <w:rPr>
          <w:sz w:val="18"/>
          <w:vertAlign w:val="baseline"/>
        </w:rPr>
        <w:t>Pardon</w:t>
      </w:r>
      <w:r>
        <w:rPr>
          <w:spacing w:val="-2"/>
          <w:sz w:val="18"/>
          <w:vertAlign w:val="baseline"/>
        </w:rPr>
        <w:t> </w:t>
      </w:r>
      <w:r>
        <w:rPr>
          <w:sz w:val="18"/>
          <w:vertAlign w:val="baseline"/>
        </w:rPr>
        <w:t>for</w:t>
      </w:r>
      <w:r>
        <w:rPr>
          <w:spacing w:val="-3"/>
          <w:sz w:val="18"/>
          <w:vertAlign w:val="baseline"/>
        </w:rPr>
        <w:t> </w:t>
      </w:r>
      <w:r>
        <w:rPr>
          <w:sz w:val="18"/>
          <w:vertAlign w:val="baseline"/>
        </w:rPr>
        <w:t>Cannabis</w:t>
      </w:r>
      <w:r>
        <w:rPr>
          <w:spacing w:val="-2"/>
          <w:sz w:val="18"/>
          <w:vertAlign w:val="baseline"/>
        </w:rPr>
        <w:t> </w:t>
      </w:r>
      <w:r>
        <w:rPr>
          <w:sz w:val="18"/>
          <w:vertAlign w:val="baseline"/>
        </w:rPr>
        <w:t>Possession</w:t>
      </w:r>
      <w:r>
        <w:rPr>
          <w:spacing w:val="-2"/>
          <w:sz w:val="18"/>
          <w:vertAlign w:val="baseline"/>
        </w:rPr>
        <w:t> </w:t>
      </w:r>
      <w:r>
        <w:rPr>
          <w:sz w:val="18"/>
          <w:vertAlign w:val="baseline"/>
        </w:rPr>
        <w:t>Charges”,</w:t>
      </w:r>
      <w:r>
        <w:rPr>
          <w:spacing w:val="-4"/>
          <w:sz w:val="18"/>
          <w:vertAlign w:val="baseline"/>
        </w:rPr>
        <w:t> </w:t>
      </w:r>
      <w:r>
        <w:rPr>
          <w:sz w:val="18"/>
          <w:vertAlign w:val="baseline"/>
        </w:rPr>
        <w:t>April</w:t>
      </w:r>
      <w:r>
        <w:rPr>
          <w:spacing w:val="-3"/>
          <w:sz w:val="18"/>
          <w:vertAlign w:val="baseline"/>
        </w:rPr>
        <w:t> </w:t>
      </w:r>
      <w:r>
        <w:rPr>
          <w:sz w:val="18"/>
          <w:vertAlign w:val="baseline"/>
        </w:rPr>
        <w:t>3,</w:t>
      </w:r>
      <w:r>
        <w:rPr>
          <w:spacing w:val="-3"/>
          <w:sz w:val="18"/>
          <w:vertAlign w:val="baseline"/>
        </w:rPr>
        <w:t> </w:t>
      </w:r>
      <w:r>
        <w:rPr>
          <w:sz w:val="18"/>
          <w:vertAlign w:val="baseline"/>
        </w:rPr>
        <w:t>2024, </w:t>
      </w:r>
      <w:hyperlink r:id="rId540">
        <w:r>
          <w:rPr>
            <w:spacing w:val="-2"/>
            <w:sz w:val="18"/>
            <w:u w:val="single"/>
            <w:vertAlign w:val="baseline"/>
          </w:rPr>
          <w:t>https://www.wbur.org/news/2024/04/03/council-approves-blanket-pardon-for-cannabis-possession-charges</w:t>
        </w:r>
        <w:r>
          <w:rPr>
            <w:spacing w:val="-2"/>
            <w:sz w:val="18"/>
            <w:u w:val="none"/>
            <w:vertAlign w:val="baseline"/>
          </w:rPr>
          <w:t>.</w:t>
        </w:r>
      </w:hyperlink>
    </w:p>
    <w:p>
      <w:pPr>
        <w:spacing w:before="1"/>
        <w:ind w:left="320" w:right="225" w:hanging="1"/>
        <w:jc w:val="both"/>
        <w:rPr>
          <w:sz w:val="18"/>
        </w:rPr>
      </w:pPr>
      <w:r>
        <w:rPr>
          <w:sz w:val="18"/>
          <w:vertAlign w:val="superscript"/>
        </w:rPr>
        <w:t>172</w:t>
      </w:r>
      <w:r>
        <w:rPr>
          <w:spacing w:val="-2"/>
          <w:sz w:val="18"/>
          <w:vertAlign w:val="baseline"/>
        </w:rPr>
        <w:t> </w:t>
      </w:r>
      <w:r>
        <w:rPr>
          <w:sz w:val="18"/>
          <w:vertAlign w:val="baseline"/>
        </w:rPr>
        <w:t>Governor</w:t>
      </w:r>
      <w:r>
        <w:rPr>
          <w:spacing w:val="-3"/>
          <w:sz w:val="18"/>
          <w:vertAlign w:val="baseline"/>
        </w:rPr>
        <w:t> </w:t>
      </w:r>
      <w:r>
        <w:rPr>
          <w:sz w:val="18"/>
          <w:vertAlign w:val="baseline"/>
        </w:rPr>
        <w:t>Maura</w:t>
      </w:r>
      <w:r>
        <w:rPr>
          <w:spacing w:val="-2"/>
          <w:sz w:val="18"/>
          <w:vertAlign w:val="baseline"/>
        </w:rPr>
        <w:t> </w:t>
      </w:r>
      <w:r>
        <w:rPr>
          <w:sz w:val="18"/>
          <w:vertAlign w:val="baseline"/>
        </w:rPr>
        <w:t>Healey</w:t>
      </w:r>
      <w:r>
        <w:rPr>
          <w:spacing w:val="-2"/>
          <w:sz w:val="18"/>
          <w:vertAlign w:val="baseline"/>
        </w:rPr>
        <w:t> </w:t>
      </w:r>
      <w:r>
        <w:rPr>
          <w:sz w:val="18"/>
          <w:vertAlign w:val="baseline"/>
        </w:rPr>
        <w:t>and</w:t>
      </w:r>
      <w:r>
        <w:rPr>
          <w:spacing w:val="-2"/>
          <w:sz w:val="18"/>
          <w:vertAlign w:val="baseline"/>
        </w:rPr>
        <w:t> </w:t>
      </w:r>
      <w:r>
        <w:rPr>
          <w:sz w:val="18"/>
          <w:vertAlign w:val="baseline"/>
        </w:rPr>
        <w:t>Lt.</w:t>
      </w:r>
      <w:r>
        <w:rPr>
          <w:spacing w:val="-3"/>
          <w:sz w:val="18"/>
          <w:vertAlign w:val="baseline"/>
        </w:rPr>
        <w:t> </w:t>
      </w:r>
      <w:r>
        <w:rPr>
          <w:sz w:val="18"/>
          <w:vertAlign w:val="baseline"/>
        </w:rPr>
        <w:t>Governor</w:t>
      </w:r>
      <w:r>
        <w:rPr>
          <w:spacing w:val="-3"/>
          <w:sz w:val="18"/>
          <w:vertAlign w:val="baseline"/>
        </w:rPr>
        <w:t> </w:t>
      </w:r>
      <w:r>
        <w:rPr>
          <w:sz w:val="18"/>
          <w:vertAlign w:val="baseline"/>
        </w:rPr>
        <w:t>Kim</w:t>
      </w:r>
      <w:r>
        <w:rPr>
          <w:spacing w:val="-2"/>
          <w:sz w:val="18"/>
          <w:vertAlign w:val="baseline"/>
        </w:rPr>
        <w:t> </w:t>
      </w:r>
      <w:r>
        <w:rPr>
          <w:sz w:val="18"/>
          <w:vertAlign w:val="baseline"/>
        </w:rPr>
        <w:t>Driscoll.</w:t>
      </w:r>
      <w:r>
        <w:rPr>
          <w:spacing w:val="-2"/>
          <w:sz w:val="18"/>
          <w:vertAlign w:val="baseline"/>
        </w:rPr>
        <w:t> </w:t>
      </w:r>
      <w:r>
        <w:rPr>
          <w:sz w:val="18"/>
          <w:vertAlign w:val="baseline"/>
        </w:rPr>
        <w:t>2024.</w:t>
      </w:r>
      <w:r>
        <w:rPr>
          <w:spacing w:val="-2"/>
          <w:sz w:val="18"/>
          <w:vertAlign w:val="baseline"/>
        </w:rPr>
        <w:t> </w:t>
      </w:r>
      <w:r>
        <w:rPr>
          <w:sz w:val="18"/>
          <w:vertAlign w:val="baseline"/>
        </w:rPr>
        <w:t>“Governor</w:t>
      </w:r>
      <w:r>
        <w:rPr>
          <w:spacing w:val="-3"/>
          <w:sz w:val="18"/>
          <w:vertAlign w:val="baseline"/>
        </w:rPr>
        <w:t> </w:t>
      </w:r>
      <w:r>
        <w:rPr>
          <w:sz w:val="18"/>
          <w:vertAlign w:val="baseline"/>
        </w:rPr>
        <w:t>Healey</w:t>
      </w:r>
      <w:r>
        <w:rPr>
          <w:spacing w:val="-2"/>
          <w:sz w:val="18"/>
          <w:vertAlign w:val="baseline"/>
        </w:rPr>
        <w:t> </w:t>
      </w:r>
      <w:r>
        <w:rPr>
          <w:sz w:val="18"/>
          <w:vertAlign w:val="baseline"/>
        </w:rPr>
        <w:t>Announces</w:t>
      </w:r>
      <w:r>
        <w:rPr>
          <w:spacing w:val="-2"/>
          <w:sz w:val="18"/>
          <w:vertAlign w:val="baseline"/>
        </w:rPr>
        <w:t> </w:t>
      </w:r>
      <w:r>
        <w:rPr>
          <w:sz w:val="18"/>
          <w:vertAlign w:val="baseline"/>
        </w:rPr>
        <w:t>Nation-Leading</w:t>
      </w:r>
      <w:r>
        <w:rPr>
          <w:spacing w:val="-2"/>
          <w:sz w:val="18"/>
          <w:vertAlign w:val="baseline"/>
        </w:rPr>
        <w:t> </w:t>
      </w:r>
      <w:r>
        <w:rPr>
          <w:sz w:val="18"/>
          <w:vertAlign w:val="baseline"/>
        </w:rPr>
        <w:t>Effort</w:t>
      </w:r>
      <w:r>
        <w:rPr>
          <w:spacing w:val="-4"/>
          <w:sz w:val="18"/>
          <w:vertAlign w:val="baseline"/>
        </w:rPr>
        <w:t> </w:t>
      </w:r>
      <w:r>
        <w:rPr>
          <w:sz w:val="18"/>
          <w:vertAlign w:val="baseline"/>
        </w:rPr>
        <w:t>to</w:t>
      </w:r>
      <w:r>
        <w:rPr>
          <w:spacing w:val="-2"/>
          <w:sz w:val="18"/>
          <w:vertAlign w:val="baseline"/>
        </w:rPr>
        <w:t> </w:t>
      </w:r>
      <w:r>
        <w:rPr>
          <w:sz w:val="18"/>
          <w:vertAlign w:val="baseline"/>
        </w:rPr>
        <w:t>Pardon Marijuana</w:t>
      </w:r>
      <w:r>
        <w:rPr>
          <w:spacing w:val="-5"/>
          <w:sz w:val="18"/>
          <w:vertAlign w:val="baseline"/>
        </w:rPr>
        <w:t> </w:t>
      </w:r>
      <w:r>
        <w:rPr>
          <w:sz w:val="18"/>
          <w:vertAlign w:val="baseline"/>
        </w:rPr>
        <w:t>Possession</w:t>
      </w:r>
      <w:r>
        <w:rPr>
          <w:spacing w:val="-5"/>
          <w:sz w:val="18"/>
          <w:vertAlign w:val="baseline"/>
        </w:rPr>
        <w:t> </w:t>
      </w:r>
      <w:r>
        <w:rPr>
          <w:sz w:val="18"/>
          <w:vertAlign w:val="baseline"/>
        </w:rPr>
        <w:t>Misdemeanor</w:t>
      </w:r>
      <w:r>
        <w:rPr>
          <w:spacing w:val="-6"/>
          <w:sz w:val="18"/>
          <w:vertAlign w:val="baseline"/>
        </w:rPr>
        <w:t> </w:t>
      </w:r>
      <w:r>
        <w:rPr>
          <w:sz w:val="18"/>
          <w:vertAlign w:val="baseline"/>
        </w:rPr>
        <w:t>Convictions”,</w:t>
      </w:r>
      <w:r>
        <w:rPr>
          <w:spacing w:val="-6"/>
          <w:sz w:val="18"/>
          <w:vertAlign w:val="baseline"/>
        </w:rPr>
        <w:t> </w:t>
      </w:r>
      <w:r>
        <w:rPr>
          <w:sz w:val="18"/>
          <w:vertAlign w:val="baseline"/>
        </w:rPr>
        <w:t>March</w:t>
      </w:r>
      <w:r>
        <w:rPr>
          <w:spacing w:val="-5"/>
          <w:sz w:val="18"/>
          <w:vertAlign w:val="baseline"/>
        </w:rPr>
        <w:t> </w:t>
      </w:r>
      <w:r>
        <w:rPr>
          <w:sz w:val="18"/>
          <w:vertAlign w:val="baseline"/>
        </w:rPr>
        <w:t>13,</w:t>
      </w:r>
      <w:r>
        <w:rPr>
          <w:spacing w:val="-6"/>
          <w:sz w:val="18"/>
          <w:vertAlign w:val="baseline"/>
        </w:rPr>
        <w:t> </w:t>
      </w:r>
      <w:r>
        <w:rPr>
          <w:sz w:val="18"/>
          <w:vertAlign w:val="baseline"/>
        </w:rPr>
        <w:t>2024,</w:t>
      </w:r>
      <w:r>
        <w:rPr>
          <w:spacing w:val="-6"/>
          <w:sz w:val="18"/>
          <w:vertAlign w:val="baseline"/>
        </w:rPr>
        <w:t> </w:t>
      </w:r>
      <w:r>
        <w:rPr>
          <w:sz w:val="18"/>
          <w:vertAlign w:val="baseline"/>
        </w:rPr>
        <w:t>https:</w:t>
      </w:r>
      <w:hyperlink r:id="rId539">
        <w:r>
          <w:rPr>
            <w:sz w:val="18"/>
            <w:vertAlign w:val="baseline"/>
          </w:rPr>
          <w:t>//www.mass.gov/news/governor-healey-announces-</w:t>
        </w:r>
      </w:hyperlink>
      <w:r>
        <w:rPr>
          <w:sz w:val="18"/>
          <w:vertAlign w:val="baseline"/>
        </w:rPr>
        <w:t> </w:t>
      </w:r>
      <w:r>
        <w:rPr>
          <w:spacing w:val="-2"/>
          <w:sz w:val="18"/>
          <w:vertAlign w:val="baseline"/>
        </w:rPr>
        <w:t>nation-leading-effort-to-pardon-marijuana-possession-misdemeanor-convictions.</w:t>
      </w:r>
    </w:p>
    <w:p>
      <w:pPr>
        <w:spacing w:line="153" w:lineRule="auto" w:before="35"/>
        <w:ind w:left="320" w:right="0" w:firstLine="0"/>
        <w:jc w:val="both"/>
        <w:rPr>
          <w:i/>
          <w:sz w:val="18"/>
        </w:rPr>
      </w:pPr>
      <w:r>
        <w:rPr>
          <w:sz w:val="12"/>
        </w:rPr>
        <w:t>173</w:t>
      </w:r>
      <w:r>
        <w:rPr>
          <w:spacing w:val="13"/>
          <w:sz w:val="12"/>
        </w:rPr>
        <w:t> </w:t>
      </w:r>
      <w:r>
        <w:rPr>
          <w:i/>
          <w:spacing w:val="-5"/>
          <w:position w:val="-5"/>
          <w:sz w:val="18"/>
        </w:rPr>
        <w:t>Id.</w:t>
      </w:r>
    </w:p>
    <w:p>
      <w:pPr>
        <w:spacing w:before="35"/>
        <w:ind w:left="320" w:right="0" w:firstLine="0"/>
        <w:jc w:val="both"/>
        <w:rPr>
          <w:i/>
          <w:sz w:val="18"/>
        </w:rPr>
      </w:pPr>
      <w:r>
        <w:rPr>
          <w:sz w:val="12"/>
        </w:rPr>
        <w:t>174</w:t>
      </w:r>
      <w:r>
        <w:rPr>
          <w:spacing w:val="13"/>
          <w:sz w:val="12"/>
        </w:rPr>
        <w:t> </w:t>
      </w:r>
      <w:r>
        <w:rPr>
          <w:i/>
          <w:spacing w:val="-5"/>
          <w:position w:val="-5"/>
          <w:sz w:val="18"/>
        </w:rPr>
        <w:t>Id.</w:t>
      </w:r>
    </w:p>
    <w:p>
      <w:pPr>
        <w:spacing w:before="0"/>
        <w:ind w:left="320" w:right="177" w:firstLine="0"/>
        <w:jc w:val="both"/>
        <w:rPr>
          <w:sz w:val="18"/>
        </w:rPr>
      </w:pPr>
      <w:r>
        <w:rPr>
          <w:sz w:val="18"/>
          <w:vertAlign w:val="superscript"/>
        </w:rPr>
        <w:t>175</w:t>
      </w:r>
      <w:r>
        <w:rPr>
          <w:spacing w:val="-2"/>
          <w:sz w:val="18"/>
          <w:vertAlign w:val="baseline"/>
        </w:rPr>
        <w:t> </w:t>
      </w:r>
      <w:r>
        <w:rPr>
          <w:sz w:val="18"/>
          <w:vertAlign w:val="baseline"/>
        </w:rPr>
        <w:t>The</w:t>
      </w:r>
      <w:r>
        <w:rPr>
          <w:spacing w:val="-2"/>
          <w:sz w:val="18"/>
          <w:vertAlign w:val="baseline"/>
        </w:rPr>
        <w:t> </w:t>
      </w:r>
      <w:r>
        <w:rPr>
          <w:sz w:val="18"/>
          <w:vertAlign w:val="baseline"/>
        </w:rPr>
        <w:t>Sentencing</w:t>
      </w:r>
      <w:r>
        <w:rPr>
          <w:spacing w:val="-2"/>
          <w:sz w:val="18"/>
          <w:vertAlign w:val="baseline"/>
        </w:rPr>
        <w:t> </w:t>
      </w:r>
      <w:r>
        <w:rPr>
          <w:sz w:val="18"/>
          <w:vertAlign w:val="baseline"/>
        </w:rPr>
        <w:t>Project:</w:t>
      </w:r>
      <w:r>
        <w:rPr>
          <w:spacing w:val="-2"/>
          <w:sz w:val="18"/>
          <w:vertAlign w:val="baseline"/>
        </w:rPr>
        <w:t> </w:t>
      </w:r>
      <w:r>
        <w:rPr>
          <w:sz w:val="18"/>
          <w:vertAlign w:val="baseline"/>
        </w:rPr>
        <w:t>Research</w:t>
      </w:r>
      <w:r>
        <w:rPr>
          <w:spacing w:val="-2"/>
          <w:sz w:val="18"/>
          <w:vertAlign w:val="baseline"/>
        </w:rPr>
        <w:t> </w:t>
      </w:r>
      <w:r>
        <w:rPr>
          <w:sz w:val="18"/>
          <w:vertAlign w:val="baseline"/>
        </w:rPr>
        <w:t>and</w:t>
      </w:r>
      <w:r>
        <w:rPr>
          <w:spacing w:val="-2"/>
          <w:sz w:val="18"/>
          <w:vertAlign w:val="baseline"/>
        </w:rPr>
        <w:t> </w:t>
      </w:r>
      <w:r>
        <w:rPr>
          <w:sz w:val="18"/>
          <w:vertAlign w:val="baseline"/>
        </w:rPr>
        <w:t>Advocacy</w:t>
      </w:r>
      <w:r>
        <w:rPr>
          <w:spacing w:val="-2"/>
          <w:sz w:val="18"/>
          <w:vertAlign w:val="baseline"/>
        </w:rPr>
        <w:t> </w:t>
      </w:r>
      <w:r>
        <w:rPr>
          <w:sz w:val="18"/>
          <w:vertAlign w:val="baseline"/>
        </w:rPr>
        <w:t>for</w:t>
      </w:r>
      <w:r>
        <w:rPr>
          <w:spacing w:val="-3"/>
          <w:sz w:val="18"/>
          <w:vertAlign w:val="baseline"/>
        </w:rPr>
        <w:t> </w:t>
      </w:r>
      <w:r>
        <w:rPr>
          <w:sz w:val="18"/>
          <w:vertAlign w:val="baseline"/>
        </w:rPr>
        <w:t>Reform.</w:t>
      </w:r>
      <w:r>
        <w:rPr>
          <w:spacing w:val="-2"/>
          <w:sz w:val="18"/>
          <w:vertAlign w:val="baseline"/>
        </w:rPr>
        <w:t> </w:t>
      </w:r>
      <w:r>
        <w:rPr>
          <w:sz w:val="18"/>
          <w:vertAlign w:val="baseline"/>
        </w:rPr>
        <w:t>2022.</w:t>
      </w:r>
      <w:r>
        <w:rPr>
          <w:spacing w:val="-2"/>
          <w:sz w:val="18"/>
          <w:vertAlign w:val="baseline"/>
        </w:rPr>
        <w:t> </w:t>
      </w:r>
      <w:r>
        <w:rPr>
          <w:sz w:val="18"/>
          <w:vertAlign w:val="baseline"/>
        </w:rPr>
        <w:t>“Why</w:t>
      </w:r>
      <w:r>
        <w:rPr>
          <w:spacing w:val="-2"/>
          <w:sz w:val="18"/>
          <w:vertAlign w:val="baseline"/>
        </w:rPr>
        <w:t> </w:t>
      </w:r>
      <w:r>
        <w:rPr>
          <w:sz w:val="18"/>
          <w:vertAlign w:val="baseline"/>
        </w:rPr>
        <w:t>Youth</w:t>
      </w:r>
      <w:r>
        <w:rPr>
          <w:spacing w:val="-2"/>
          <w:sz w:val="18"/>
          <w:vertAlign w:val="baseline"/>
        </w:rPr>
        <w:t> </w:t>
      </w:r>
      <w:r>
        <w:rPr>
          <w:sz w:val="18"/>
          <w:vertAlign w:val="baseline"/>
        </w:rPr>
        <w:t>Incarceration</w:t>
      </w:r>
      <w:r>
        <w:rPr>
          <w:spacing w:val="-2"/>
          <w:sz w:val="18"/>
          <w:vertAlign w:val="baseline"/>
        </w:rPr>
        <w:t> </w:t>
      </w:r>
      <w:r>
        <w:rPr>
          <w:sz w:val="18"/>
          <w:vertAlign w:val="baseline"/>
        </w:rPr>
        <w:t>Fails:</w:t>
      </w:r>
      <w:r>
        <w:rPr>
          <w:spacing w:val="-2"/>
          <w:sz w:val="18"/>
          <w:vertAlign w:val="baseline"/>
        </w:rPr>
        <w:t> </w:t>
      </w:r>
      <w:r>
        <w:rPr>
          <w:sz w:val="18"/>
          <w:vertAlign w:val="baseline"/>
        </w:rPr>
        <w:t>an</w:t>
      </w:r>
      <w:r>
        <w:rPr>
          <w:spacing w:val="-2"/>
          <w:sz w:val="18"/>
          <w:vertAlign w:val="baseline"/>
        </w:rPr>
        <w:t> </w:t>
      </w:r>
      <w:r>
        <w:rPr>
          <w:sz w:val="18"/>
          <w:vertAlign w:val="baseline"/>
        </w:rPr>
        <w:t>updated</w:t>
      </w:r>
      <w:r>
        <w:rPr>
          <w:spacing w:val="-2"/>
          <w:sz w:val="18"/>
          <w:vertAlign w:val="baseline"/>
        </w:rPr>
        <w:t> </w:t>
      </w:r>
      <w:r>
        <w:rPr>
          <w:sz w:val="18"/>
          <w:vertAlign w:val="baseline"/>
        </w:rPr>
        <w:t>review</w:t>
      </w:r>
      <w:r>
        <w:rPr>
          <w:spacing w:val="-3"/>
          <w:sz w:val="18"/>
          <w:vertAlign w:val="baseline"/>
        </w:rPr>
        <w:t> </w:t>
      </w:r>
      <w:r>
        <w:rPr>
          <w:sz w:val="18"/>
          <w:vertAlign w:val="baseline"/>
        </w:rPr>
        <w:t>of</w:t>
      </w:r>
      <w:r>
        <w:rPr>
          <w:spacing w:val="-2"/>
          <w:sz w:val="18"/>
          <w:vertAlign w:val="baseline"/>
        </w:rPr>
        <w:t> </w:t>
      </w:r>
      <w:r>
        <w:rPr>
          <w:sz w:val="18"/>
          <w:vertAlign w:val="baseline"/>
        </w:rPr>
        <w:t>the evidence”.</w:t>
      </w:r>
      <w:r>
        <w:rPr>
          <w:spacing w:val="-2"/>
          <w:sz w:val="18"/>
          <w:vertAlign w:val="baseline"/>
        </w:rPr>
        <w:t> </w:t>
      </w:r>
      <w:hyperlink r:id="rId541">
        <w:r>
          <w:rPr>
            <w:sz w:val="18"/>
            <w:u w:val="single"/>
            <w:vertAlign w:val="baseline"/>
          </w:rPr>
          <w:t>https://www.sentencingproject.org/app/uploads/2023/03/Why-Youth-Incarceration-Fails.pdf</w:t>
        </w:r>
      </w:hyperlink>
    </w:p>
    <w:p>
      <w:pPr>
        <w:spacing w:line="153" w:lineRule="auto" w:before="36"/>
        <w:ind w:left="320" w:right="0" w:firstLine="0"/>
        <w:jc w:val="both"/>
        <w:rPr>
          <w:i/>
          <w:sz w:val="18"/>
        </w:rPr>
      </w:pPr>
      <w:r>
        <w:rPr>
          <w:sz w:val="12"/>
        </w:rPr>
        <w:t>176</w:t>
      </w:r>
      <w:r>
        <w:rPr>
          <w:spacing w:val="13"/>
          <w:sz w:val="12"/>
        </w:rPr>
        <w:t> </w:t>
      </w:r>
      <w:r>
        <w:rPr>
          <w:i/>
          <w:spacing w:val="-5"/>
          <w:position w:val="-5"/>
          <w:sz w:val="18"/>
        </w:rPr>
        <w:t>Id.</w:t>
      </w:r>
    </w:p>
    <w:p>
      <w:pPr>
        <w:spacing w:before="38"/>
        <w:ind w:left="320" w:right="110" w:firstLine="0"/>
        <w:jc w:val="left"/>
        <w:rPr>
          <w:sz w:val="18"/>
        </w:rPr>
      </w:pPr>
      <w:r>
        <w:rPr>
          <w:sz w:val="18"/>
          <w:vertAlign w:val="superscript"/>
        </w:rPr>
        <w:t>177</w:t>
      </w:r>
      <w:r>
        <w:rPr>
          <w:sz w:val="18"/>
          <w:vertAlign w:val="baseline"/>
        </w:rPr>
        <w:t> Office of Juvenile Justice and Delinquency Prevention. 2024. “Diversion Programs Offer Treatment While Keeping Youth Out of</w:t>
      </w:r>
      <w:r>
        <w:rPr>
          <w:spacing w:val="-9"/>
          <w:sz w:val="18"/>
          <w:vertAlign w:val="baseline"/>
        </w:rPr>
        <w:t> </w:t>
      </w:r>
      <w:r>
        <w:rPr>
          <w:sz w:val="18"/>
          <w:vertAlign w:val="baseline"/>
        </w:rPr>
        <w:t>the</w:t>
      </w:r>
      <w:r>
        <w:rPr>
          <w:spacing w:val="-9"/>
          <w:sz w:val="18"/>
          <w:vertAlign w:val="baseline"/>
        </w:rPr>
        <w:t> </w:t>
      </w:r>
      <w:r>
        <w:rPr>
          <w:sz w:val="18"/>
          <w:vertAlign w:val="baseline"/>
        </w:rPr>
        <w:t>Justice</w:t>
      </w:r>
      <w:r>
        <w:rPr>
          <w:spacing w:val="-9"/>
          <w:sz w:val="18"/>
          <w:vertAlign w:val="baseline"/>
        </w:rPr>
        <w:t> </w:t>
      </w:r>
      <w:r>
        <w:rPr>
          <w:sz w:val="18"/>
          <w:vertAlign w:val="baseline"/>
        </w:rPr>
        <w:t>System”,</w:t>
      </w:r>
      <w:r>
        <w:rPr>
          <w:spacing w:val="-10"/>
          <w:sz w:val="18"/>
          <w:vertAlign w:val="baseline"/>
        </w:rPr>
        <w:t> </w:t>
      </w:r>
      <w:r>
        <w:rPr>
          <w:sz w:val="18"/>
          <w:vertAlign w:val="baseline"/>
        </w:rPr>
        <w:t>https://ojjdp.ojp.gov/newsletter/ojjdp-news-glance-february-2024/diversion-programs-offer-treatment- </w:t>
      </w:r>
      <w:r>
        <w:rPr>
          <w:spacing w:val="-2"/>
          <w:sz w:val="18"/>
          <w:vertAlign w:val="baseline"/>
        </w:rPr>
        <w:t>while-keeping-youth-out-justice-system.</w:t>
      </w:r>
    </w:p>
    <w:p>
      <w:pPr>
        <w:spacing w:before="1"/>
        <w:ind w:left="320" w:right="0" w:firstLine="0"/>
        <w:jc w:val="left"/>
        <w:rPr>
          <w:sz w:val="18"/>
        </w:rPr>
      </w:pPr>
      <w:r>
        <w:rPr>
          <w:sz w:val="18"/>
          <w:vertAlign w:val="superscript"/>
        </w:rPr>
        <w:t>178</w:t>
      </w:r>
      <w:r>
        <w:rPr>
          <w:spacing w:val="-4"/>
          <w:sz w:val="18"/>
          <w:vertAlign w:val="baseline"/>
        </w:rPr>
        <w:t> </w:t>
      </w:r>
      <w:r>
        <w:rPr>
          <w:sz w:val="18"/>
          <w:vertAlign w:val="baseline"/>
        </w:rPr>
        <w:t>JDAI</w:t>
      </w:r>
      <w:r>
        <w:rPr>
          <w:spacing w:val="-4"/>
          <w:sz w:val="18"/>
          <w:vertAlign w:val="baseline"/>
        </w:rPr>
        <w:t> </w:t>
      </w:r>
      <w:r>
        <w:rPr>
          <w:sz w:val="18"/>
          <w:vertAlign w:val="baseline"/>
        </w:rPr>
        <w:t>Diversion,</w:t>
      </w:r>
      <w:r>
        <w:rPr>
          <w:spacing w:val="-5"/>
          <w:sz w:val="18"/>
          <w:vertAlign w:val="baseline"/>
        </w:rPr>
        <w:t> </w:t>
      </w:r>
      <w:r>
        <w:rPr>
          <w:sz w:val="18"/>
          <w:vertAlign w:val="baseline"/>
        </w:rPr>
        <w:t>2024.</w:t>
      </w:r>
      <w:r>
        <w:rPr>
          <w:spacing w:val="-4"/>
          <w:sz w:val="18"/>
          <w:vertAlign w:val="baseline"/>
        </w:rPr>
        <w:t> </w:t>
      </w:r>
      <w:r>
        <w:rPr>
          <w:sz w:val="18"/>
          <w:vertAlign w:val="baseline"/>
        </w:rPr>
        <w:t>“Massachusetts</w:t>
      </w:r>
      <w:r>
        <w:rPr>
          <w:spacing w:val="-4"/>
          <w:sz w:val="18"/>
          <w:vertAlign w:val="baseline"/>
        </w:rPr>
        <w:t> </w:t>
      </w:r>
      <w:r>
        <w:rPr>
          <w:sz w:val="18"/>
          <w:vertAlign w:val="baseline"/>
        </w:rPr>
        <w:t>Youth</w:t>
      </w:r>
      <w:r>
        <w:rPr>
          <w:spacing w:val="-4"/>
          <w:sz w:val="18"/>
          <w:vertAlign w:val="baseline"/>
        </w:rPr>
        <w:t> </w:t>
      </w:r>
      <w:r>
        <w:rPr>
          <w:sz w:val="18"/>
          <w:vertAlign w:val="baseline"/>
        </w:rPr>
        <w:t>Diversion</w:t>
      </w:r>
      <w:r>
        <w:rPr>
          <w:spacing w:val="-4"/>
          <w:sz w:val="18"/>
          <w:vertAlign w:val="baseline"/>
        </w:rPr>
        <w:t> </w:t>
      </w:r>
      <w:r>
        <w:rPr>
          <w:sz w:val="18"/>
          <w:vertAlign w:val="baseline"/>
        </w:rPr>
        <w:t>Learning</w:t>
      </w:r>
      <w:r>
        <w:rPr>
          <w:spacing w:val="-5"/>
          <w:sz w:val="18"/>
          <w:vertAlign w:val="baseline"/>
        </w:rPr>
        <w:t> </w:t>
      </w:r>
      <w:r>
        <w:rPr>
          <w:sz w:val="18"/>
          <w:vertAlign w:val="baseline"/>
        </w:rPr>
        <w:t>Lab”,</w:t>
      </w:r>
      <w:r>
        <w:rPr>
          <w:spacing w:val="-5"/>
          <w:sz w:val="18"/>
          <w:vertAlign w:val="baseline"/>
        </w:rPr>
        <w:t> </w:t>
      </w:r>
      <w:hyperlink r:id="rId542">
        <w:r>
          <w:rPr>
            <w:color w:val="0000FF"/>
            <w:sz w:val="18"/>
            <w:u w:val="single" w:color="0000FF"/>
            <w:vertAlign w:val="baseline"/>
          </w:rPr>
          <w:t>https://www.mass.gov/info-details/jdai-diversion</w:t>
        </w:r>
        <w:r>
          <w:rPr>
            <w:sz w:val="18"/>
            <w:u w:val="none"/>
            <w:vertAlign w:val="baseline"/>
          </w:rPr>
          <w:t>,</w:t>
        </w:r>
      </w:hyperlink>
      <w:r>
        <w:rPr>
          <w:sz w:val="18"/>
          <w:u w:val="none"/>
          <w:vertAlign w:val="baseline"/>
        </w:rPr>
        <w:t> Accessed April 17, 2024.</w:t>
      </w:r>
    </w:p>
    <w:p>
      <w:pPr>
        <w:spacing w:line="153" w:lineRule="auto" w:before="35"/>
        <w:ind w:left="320" w:right="0" w:firstLine="0"/>
        <w:jc w:val="left"/>
        <w:rPr>
          <w:i/>
          <w:sz w:val="18"/>
        </w:rPr>
      </w:pPr>
      <w:r>
        <w:rPr>
          <w:sz w:val="12"/>
        </w:rPr>
        <w:t>179</w:t>
      </w:r>
      <w:r>
        <w:rPr>
          <w:spacing w:val="13"/>
          <w:sz w:val="12"/>
        </w:rPr>
        <w:t> </w:t>
      </w:r>
      <w:r>
        <w:rPr>
          <w:i/>
          <w:spacing w:val="-5"/>
          <w:position w:val="-5"/>
          <w:sz w:val="18"/>
        </w:rPr>
        <w:t>Id.</w:t>
      </w:r>
    </w:p>
    <w:p>
      <w:pPr>
        <w:spacing w:after="0" w:line="153" w:lineRule="auto"/>
        <w:jc w:val="left"/>
        <w:rPr>
          <w:sz w:val="18"/>
        </w:rPr>
        <w:sectPr>
          <w:pgSz w:w="12240" w:h="15840"/>
          <w:pgMar w:header="763" w:footer="1041" w:top="1360" w:bottom="1240" w:left="1120" w:right="1340"/>
        </w:sectPr>
      </w:pPr>
    </w:p>
    <w:p>
      <w:pPr>
        <w:pStyle w:val="BodyText"/>
        <w:rPr>
          <w:i/>
          <w:sz w:val="12"/>
        </w:rPr>
      </w:pPr>
    </w:p>
    <w:p>
      <w:pPr>
        <w:pStyle w:val="BodyText"/>
        <w:spacing w:before="51"/>
        <w:rPr>
          <w:i/>
          <w:sz w:val="12"/>
        </w:rPr>
      </w:pPr>
    </w:p>
    <w:p>
      <w:pPr>
        <w:spacing w:line="158" w:lineRule="auto" w:before="0"/>
        <w:ind w:left="320" w:right="0" w:firstLine="0"/>
        <w:jc w:val="left"/>
        <w:rPr>
          <w:i/>
          <w:sz w:val="18"/>
        </w:rPr>
      </w:pPr>
      <w:r>
        <w:rPr>
          <w:sz w:val="12"/>
        </w:rPr>
        <w:t>180</w:t>
      </w:r>
      <w:r>
        <w:rPr>
          <w:spacing w:val="13"/>
          <w:sz w:val="12"/>
        </w:rPr>
        <w:t> </w:t>
      </w:r>
      <w:r>
        <w:rPr>
          <w:i/>
          <w:spacing w:val="-5"/>
          <w:position w:val="-5"/>
          <w:sz w:val="18"/>
        </w:rPr>
        <w:t>Id.</w:t>
      </w:r>
    </w:p>
    <w:p>
      <w:pPr>
        <w:spacing w:line="158" w:lineRule="auto" w:before="70"/>
        <w:ind w:left="320" w:right="0" w:firstLine="0"/>
        <w:jc w:val="left"/>
        <w:rPr>
          <w:i/>
          <w:sz w:val="18"/>
        </w:rPr>
      </w:pPr>
      <w:r>
        <w:rPr>
          <w:sz w:val="12"/>
        </w:rPr>
        <w:t>181</w:t>
      </w:r>
      <w:r>
        <w:rPr>
          <w:spacing w:val="13"/>
          <w:sz w:val="12"/>
        </w:rPr>
        <w:t> </w:t>
      </w:r>
      <w:r>
        <w:rPr>
          <w:i/>
          <w:spacing w:val="-5"/>
          <w:position w:val="-5"/>
          <w:sz w:val="18"/>
        </w:rPr>
        <w:t>Id.</w:t>
      </w:r>
    </w:p>
    <w:p>
      <w:pPr>
        <w:spacing w:line="158" w:lineRule="auto" w:before="69"/>
        <w:ind w:left="320" w:right="0" w:firstLine="0"/>
        <w:jc w:val="left"/>
        <w:rPr>
          <w:i/>
          <w:sz w:val="18"/>
        </w:rPr>
      </w:pPr>
      <w:r>
        <w:rPr>
          <w:sz w:val="12"/>
        </w:rPr>
        <w:t>182</w:t>
      </w:r>
      <w:r>
        <w:rPr>
          <w:spacing w:val="13"/>
          <w:sz w:val="12"/>
        </w:rPr>
        <w:t> </w:t>
      </w:r>
      <w:r>
        <w:rPr>
          <w:i/>
          <w:spacing w:val="-5"/>
          <w:position w:val="-5"/>
          <w:sz w:val="18"/>
        </w:rPr>
        <w:t>Id.</w:t>
      </w:r>
    </w:p>
    <w:p>
      <w:pPr>
        <w:spacing w:line="158" w:lineRule="auto" w:before="70"/>
        <w:ind w:left="320" w:right="0" w:firstLine="0"/>
        <w:jc w:val="left"/>
        <w:rPr>
          <w:i/>
          <w:sz w:val="18"/>
        </w:rPr>
      </w:pPr>
      <w:r>
        <w:rPr>
          <w:sz w:val="12"/>
        </w:rPr>
        <w:t>183</w:t>
      </w:r>
      <w:r>
        <w:rPr>
          <w:spacing w:val="13"/>
          <w:sz w:val="12"/>
        </w:rPr>
        <w:t> </w:t>
      </w:r>
      <w:r>
        <w:rPr>
          <w:i/>
          <w:spacing w:val="-5"/>
          <w:position w:val="-5"/>
          <w:sz w:val="18"/>
        </w:rPr>
        <w:t>Id.</w:t>
      </w:r>
    </w:p>
    <w:p>
      <w:pPr>
        <w:spacing w:before="34"/>
        <w:ind w:left="320" w:right="0" w:firstLine="0"/>
        <w:jc w:val="left"/>
        <w:rPr>
          <w:i/>
          <w:sz w:val="18"/>
        </w:rPr>
      </w:pPr>
      <w:r>
        <w:rPr>
          <w:sz w:val="12"/>
        </w:rPr>
        <w:t>184</w:t>
      </w:r>
      <w:r>
        <w:rPr>
          <w:spacing w:val="13"/>
          <w:sz w:val="12"/>
        </w:rPr>
        <w:t> </w:t>
      </w:r>
      <w:r>
        <w:rPr>
          <w:i/>
          <w:spacing w:val="-5"/>
          <w:position w:val="-5"/>
          <w:sz w:val="18"/>
        </w:rPr>
        <w:t>Id.</w:t>
      </w:r>
    </w:p>
    <w:p>
      <w:pPr>
        <w:spacing w:before="0"/>
        <w:ind w:left="320" w:right="129" w:firstLine="0"/>
        <w:jc w:val="left"/>
        <w:rPr>
          <w:sz w:val="18"/>
        </w:rPr>
      </w:pPr>
      <w:r>
        <w:rPr>
          <w:sz w:val="18"/>
          <w:vertAlign w:val="superscript"/>
        </w:rPr>
        <w:t>185</w:t>
      </w:r>
      <w:r>
        <w:rPr>
          <w:spacing w:val="-2"/>
          <w:sz w:val="18"/>
          <w:vertAlign w:val="baseline"/>
        </w:rPr>
        <w:t> </w:t>
      </w:r>
      <w:r>
        <w:rPr>
          <w:sz w:val="18"/>
          <w:vertAlign w:val="baseline"/>
        </w:rPr>
        <w:t>Massachusetts</w:t>
      </w:r>
      <w:r>
        <w:rPr>
          <w:spacing w:val="-3"/>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Advocate.</w:t>
      </w:r>
      <w:r>
        <w:rPr>
          <w:spacing w:val="-2"/>
          <w:sz w:val="18"/>
          <w:vertAlign w:val="baseline"/>
        </w:rPr>
        <w:t> </w:t>
      </w:r>
      <w:r>
        <w:rPr>
          <w:sz w:val="18"/>
          <w:vertAlign w:val="baseline"/>
        </w:rPr>
        <w:t>2023.</w:t>
      </w:r>
      <w:r>
        <w:rPr>
          <w:spacing w:val="-2"/>
          <w:sz w:val="18"/>
          <w:vertAlign w:val="baseline"/>
        </w:rPr>
        <w:t> </w:t>
      </w:r>
      <w:r>
        <w:rPr>
          <w:sz w:val="18"/>
          <w:vertAlign w:val="baseline"/>
        </w:rPr>
        <w:t>“The</w:t>
      </w:r>
      <w:r>
        <w:rPr>
          <w:spacing w:val="-2"/>
          <w:sz w:val="18"/>
          <w:vertAlign w:val="baseline"/>
        </w:rPr>
        <w:t> </w:t>
      </w:r>
      <w:r>
        <w:rPr>
          <w:sz w:val="18"/>
          <w:vertAlign w:val="baseline"/>
        </w:rPr>
        <w:t>Massachusetts</w:t>
      </w:r>
      <w:r>
        <w:rPr>
          <w:spacing w:val="-2"/>
          <w:sz w:val="18"/>
          <w:vertAlign w:val="baseline"/>
        </w:rPr>
        <w:t> </w:t>
      </w:r>
      <w:r>
        <w:rPr>
          <w:sz w:val="18"/>
          <w:vertAlign w:val="baseline"/>
        </w:rPr>
        <w:t>Youth</w:t>
      </w:r>
      <w:r>
        <w:rPr>
          <w:spacing w:val="-2"/>
          <w:sz w:val="18"/>
          <w:vertAlign w:val="baseline"/>
        </w:rPr>
        <w:t> </w:t>
      </w:r>
      <w:r>
        <w:rPr>
          <w:sz w:val="18"/>
          <w:vertAlign w:val="baseline"/>
        </w:rPr>
        <w:t>Diversion</w:t>
      </w:r>
      <w:r>
        <w:rPr>
          <w:spacing w:val="-2"/>
          <w:sz w:val="18"/>
          <w:vertAlign w:val="baseline"/>
        </w:rPr>
        <w:t> </w:t>
      </w:r>
      <w:r>
        <w:rPr>
          <w:sz w:val="18"/>
          <w:vertAlign w:val="baseline"/>
        </w:rPr>
        <w:t>Program:</w:t>
      </w:r>
      <w:r>
        <w:rPr>
          <w:spacing w:val="-4"/>
          <w:sz w:val="18"/>
          <w:vertAlign w:val="baseline"/>
        </w:rPr>
        <w:t> </w:t>
      </w:r>
      <w:r>
        <w:rPr>
          <w:sz w:val="18"/>
          <w:vertAlign w:val="baseline"/>
        </w:rPr>
        <w:t>Impact</w:t>
      </w:r>
      <w:r>
        <w:rPr>
          <w:spacing w:val="-3"/>
          <w:sz w:val="18"/>
          <w:vertAlign w:val="baseline"/>
        </w:rPr>
        <w:t> </w:t>
      </w:r>
      <w:r>
        <w:rPr>
          <w:sz w:val="18"/>
          <w:vertAlign w:val="baseline"/>
        </w:rPr>
        <w:t>Report:</w:t>
      </w:r>
      <w:r>
        <w:rPr>
          <w:spacing w:val="-2"/>
          <w:sz w:val="18"/>
          <w:vertAlign w:val="baseline"/>
        </w:rPr>
        <w:t> </w:t>
      </w:r>
      <w:r>
        <w:rPr>
          <w:sz w:val="18"/>
          <w:vertAlign w:val="baseline"/>
        </w:rPr>
        <w:t>year</w:t>
      </w:r>
      <w:r>
        <w:rPr>
          <w:spacing w:val="-3"/>
          <w:sz w:val="18"/>
          <w:vertAlign w:val="baseline"/>
        </w:rPr>
        <w:t> </w:t>
      </w:r>
      <w:r>
        <w:rPr>
          <w:sz w:val="18"/>
          <w:vertAlign w:val="baseline"/>
        </w:rPr>
        <w:t>one</w:t>
      </w:r>
      <w:r>
        <w:rPr>
          <w:spacing w:val="-2"/>
          <w:sz w:val="18"/>
          <w:vertAlign w:val="baseline"/>
        </w:rPr>
        <w:t> </w:t>
      </w:r>
      <w:r>
        <w:rPr>
          <w:sz w:val="18"/>
          <w:vertAlign w:val="baseline"/>
        </w:rPr>
        <w:t>of implementation (January-December 2022</w:t>
      </w:r>
      <w:r>
        <w:rPr>
          <w:i/>
          <w:sz w:val="18"/>
          <w:vertAlign w:val="baseline"/>
        </w:rPr>
        <w:t>)</w:t>
      </w:r>
      <w:r>
        <w:rPr>
          <w:sz w:val="18"/>
          <w:vertAlign w:val="baseline"/>
        </w:rPr>
        <w:t>”, October 2023, </w:t>
      </w:r>
      <w:hyperlink r:id="rId543">
        <w:r>
          <w:rPr>
            <w:sz w:val="18"/>
            <w:u w:val="single"/>
            <w:vertAlign w:val="baseline"/>
          </w:rPr>
          <w:t>https://www.mass.gov/doc/oca-report-on-the-massachusetts-</w:t>
        </w:r>
      </w:hyperlink>
      <w:r>
        <w:rPr>
          <w:sz w:val="18"/>
          <w:u w:val="none"/>
          <w:vertAlign w:val="baseline"/>
        </w:rPr>
        <w:t> </w:t>
      </w:r>
      <w:hyperlink r:id="rId543">
        <w:r>
          <w:rPr>
            <w:spacing w:val="-2"/>
            <w:sz w:val="18"/>
            <w:u w:val="single"/>
            <w:vertAlign w:val="baseline"/>
          </w:rPr>
          <w:t>youth-diversion-program/download</w:t>
        </w:r>
        <w:r>
          <w:rPr>
            <w:spacing w:val="-2"/>
            <w:sz w:val="18"/>
            <w:u w:val="none"/>
            <w:vertAlign w:val="baseline"/>
          </w:rPr>
          <w:t>.</w:t>
        </w:r>
      </w:hyperlink>
    </w:p>
    <w:p>
      <w:pPr>
        <w:spacing w:line="153" w:lineRule="auto" w:before="35"/>
        <w:ind w:left="320" w:right="0" w:firstLine="0"/>
        <w:jc w:val="left"/>
        <w:rPr>
          <w:i/>
          <w:sz w:val="18"/>
        </w:rPr>
      </w:pPr>
      <w:r>
        <w:rPr>
          <w:sz w:val="12"/>
        </w:rPr>
        <w:t>186</w:t>
      </w:r>
      <w:r>
        <w:rPr>
          <w:spacing w:val="13"/>
          <w:sz w:val="12"/>
        </w:rPr>
        <w:t> </w:t>
      </w:r>
      <w:r>
        <w:rPr>
          <w:i/>
          <w:spacing w:val="-5"/>
          <w:position w:val="-5"/>
          <w:sz w:val="18"/>
        </w:rPr>
        <w:t>Id.</w:t>
      </w:r>
    </w:p>
    <w:p>
      <w:pPr>
        <w:spacing w:line="158" w:lineRule="auto" w:before="72"/>
        <w:ind w:left="320" w:right="0" w:firstLine="0"/>
        <w:jc w:val="left"/>
        <w:rPr>
          <w:i/>
          <w:sz w:val="18"/>
        </w:rPr>
      </w:pPr>
      <w:r>
        <w:rPr>
          <w:sz w:val="12"/>
        </w:rPr>
        <w:t>187</w:t>
      </w:r>
      <w:r>
        <w:rPr>
          <w:spacing w:val="13"/>
          <w:sz w:val="12"/>
        </w:rPr>
        <w:t> </w:t>
      </w:r>
      <w:r>
        <w:rPr>
          <w:i/>
          <w:spacing w:val="-5"/>
          <w:position w:val="-5"/>
          <w:sz w:val="18"/>
        </w:rPr>
        <w:t>Id.</w:t>
      </w:r>
    </w:p>
    <w:p>
      <w:pPr>
        <w:spacing w:line="158" w:lineRule="auto" w:before="70"/>
        <w:ind w:left="320" w:right="0" w:firstLine="0"/>
        <w:jc w:val="left"/>
        <w:rPr>
          <w:i/>
          <w:sz w:val="18"/>
        </w:rPr>
      </w:pPr>
      <w:r>
        <w:rPr>
          <w:sz w:val="12"/>
        </w:rPr>
        <w:t>188</w:t>
      </w:r>
      <w:r>
        <w:rPr>
          <w:spacing w:val="13"/>
          <w:sz w:val="12"/>
        </w:rPr>
        <w:t> </w:t>
      </w:r>
      <w:r>
        <w:rPr>
          <w:i/>
          <w:spacing w:val="-5"/>
          <w:position w:val="-5"/>
          <w:sz w:val="18"/>
        </w:rPr>
        <w:t>Id.</w:t>
      </w:r>
    </w:p>
    <w:p>
      <w:pPr>
        <w:spacing w:line="158" w:lineRule="auto" w:before="69"/>
        <w:ind w:left="320" w:right="0" w:firstLine="0"/>
        <w:jc w:val="left"/>
        <w:rPr>
          <w:i/>
          <w:sz w:val="18"/>
        </w:rPr>
      </w:pPr>
      <w:r>
        <w:rPr>
          <w:sz w:val="12"/>
        </w:rPr>
        <w:t>189</w:t>
      </w:r>
      <w:r>
        <w:rPr>
          <w:spacing w:val="13"/>
          <w:sz w:val="12"/>
        </w:rPr>
        <w:t> </w:t>
      </w:r>
      <w:r>
        <w:rPr>
          <w:i/>
          <w:spacing w:val="-5"/>
          <w:position w:val="-5"/>
          <w:sz w:val="18"/>
        </w:rPr>
        <w:t>Id.</w:t>
      </w:r>
    </w:p>
    <w:p>
      <w:pPr>
        <w:spacing w:before="33"/>
        <w:ind w:left="320" w:right="0" w:firstLine="0"/>
        <w:jc w:val="left"/>
        <w:rPr>
          <w:i/>
          <w:sz w:val="18"/>
        </w:rPr>
      </w:pPr>
      <w:r>
        <w:rPr>
          <w:sz w:val="12"/>
        </w:rPr>
        <w:t>190</w:t>
      </w:r>
      <w:r>
        <w:rPr>
          <w:spacing w:val="13"/>
          <w:sz w:val="12"/>
        </w:rPr>
        <w:t> </w:t>
      </w:r>
      <w:r>
        <w:rPr>
          <w:i/>
          <w:spacing w:val="-5"/>
          <w:position w:val="-5"/>
          <w:sz w:val="18"/>
        </w:rPr>
        <w:t>Id.</w:t>
      </w:r>
    </w:p>
    <w:p>
      <w:pPr>
        <w:spacing w:before="1"/>
        <w:ind w:left="320" w:right="1273" w:firstLine="0"/>
        <w:jc w:val="left"/>
        <w:rPr>
          <w:sz w:val="18"/>
        </w:rPr>
      </w:pPr>
      <w:r>
        <w:rPr>
          <w:sz w:val="18"/>
          <w:vertAlign w:val="superscript"/>
        </w:rPr>
        <w:t>191</w:t>
      </w:r>
      <w:r>
        <w:rPr>
          <w:spacing w:val="-3"/>
          <w:sz w:val="18"/>
          <w:vertAlign w:val="baseline"/>
        </w:rPr>
        <w:t> </w:t>
      </w:r>
      <w:r>
        <w:rPr>
          <w:sz w:val="18"/>
          <w:vertAlign w:val="baseline"/>
        </w:rPr>
        <w:t>Executive</w:t>
      </w:r>
      <w:r>
        <w:rPr>
          <w:spacing w:val="-3"/>
          <w:sz w:val="18"/>
          <w:vertAlign w:val="baseline"/>
        </w:rPr>
        <w:t> </w:t>
      </w:r>
      <w:r>
        <w:rPr>
          <w:sz w:val="18"/>
          <w:vertAlign w:val="baseline"/>
        </w:rPr>
        <w:t>Office</w:t>
      </w:r>
      <w:r>
        <w:rPr>
          <w:spacing w:val="-3"/>
          <w:sz w:val="18"/>
          <w:vertAlign w:val="baseline"/>
        </w:rPr>
        <w:t> </w:t>
      </w:r>
      <w:r>
        <w:rPr>
          <w:sz w:val="18"/>
          <w:vertAlign w:val="baseline"/>
        </w:rPr>
        <w:t>of</w:t>
      </w:r>
      <w:r>
        <w:rPr>
          <w:spacing w:val="-3"/>
          <w:sz w:val="18"/>
          <w:vertAlign w:val="baseline"/>
        </w:rPr>
        <w:t> </w:t>
      </w:r>
      <w:r>
        <w:rPr>
          <w:sz w:val="18"/>
          <w:vertAlign w:val="baseline"/>
        </w:rPr>
        <w:t>Public</w:t>
      </w:r>
      <w:r>
        <w:rPr>
          <w:spacing w:val="-3"/>
          <w:sz w:val="18"/>
          <w:vertAlign w:val="baseline"/>
        </w:rPr>
        <w:t> </w:t>
      </w:r>
      <w:r>
        <w:rPr>
          <w:sz w:val="18"/>
          <w:vertAlign w:val="baseline"/>
        </w:rPr>
        <w:t>Safety</w:t>
      </w:r>
      <w:r>
        <w:rPr>
          <w:spacing w:val="-3"/>
          <w:sz w:val="18"/>
          <w:vertAlign w:val="baseline"/>
        </w:rPr>
        <w:t> </w:t>
      </w:r>
      <w:r>
        <w:rPr>
          <w:sz w:val="18"/>
          <w:vertAlign w:val="baseline"/>
        </w:rPr>
        <w:t>and</w:t>
      </w:r>
      <w:r>
        <w:rPr>
          <w:spacing w:val="-3"/>
          <w:sz w:val="18"/>
          <w:vertAlign w:val="baseline"/>
        </w:rPr>
        <w:t> </w:t>
      </w:r>
      <w:r>
        <w:rPr>
          <w:sz w:val="18"/>
          <w:vertAlign w:val="baseline"/>
        </w:rPr>
        <w:t>Security.</w:t>
      </w:r>
      <w:r>
        <w:rPr>
          <w:spacing w:val="-3"/>
          <w:sz w:val="18"/>
          <w:vertAlign w:val="baseline"/>
        </w:rPr>
        <w:t> </w:t>
      </w:r>
      <w:r>
        <w:rPr>
          <w:sz w:val="18"/>
          <w:vertAlign w:val="baseline"/>
        </w:rPr>
        <w:t>2024.</w:t>
      </w:r>
      <w:r>
        <w:rPr>
          <w:spacing w:val="-3"/>
          <w:sz w:val="18"/>
          <w:vertAlign w:val="baseline"/>
        </w:rPr>
        <w:t> </w:t>
      </w:r>
      <w:r>
        <w:rPr>
          <w:sz w:val="18"/>
          <w:vertAlign w:val="baseline"/>
        </w:rPr>
        <w:t>“Credible</w:t>
      </w:r>
      <w:r>
        <w:rPr>
          <w:spacing w:val="-3"/>
          <w:sz w:val="18"/>
          <w:vertAlign w:val="baseline"/>
        </w:rPr>
        <w:t> </w:t>
      </w:r>
      <w:r>
        <w:rPr>
          <w:sz w:val="18"/>
          <w:vertAlign w:val="baseline"/>
        </w:rPr>
        <w:t>Messenger</w:t>
      </w:r>
      <w:r>
        <w:rPr>
          <w:spacing w:val="-4"/>
          <w:sz w:val="18"/>
          <w:vertAlign w:val="baseline"/>
        </w:rPr>
        <w:t> </w:t>
      </w:r>
      <w:r>
        <w:rPr>
          <w:sz w:val="18"/>
          <w:vertAlign w:val="baseline"/>
        </w:rPr>
        <w:t>Program”,</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3"/>
          <w:sz w:val="18"/>
          <w:vertAlign w:val="baseline"/>
        </w:rPr>
        <w:t> </w:t>
      </w:r>
      <w:r>
        <w:rPr>
          <w:sz w:val="18"/>
          <w:vertAlign w:val="baseline"/>
        </w:rPr>
        <w:t>17,</w:t>
      </w:r>
      <w:r>
        <w:rPr>
          <w:spacing w:val="-3"/>
          <w:sz w:val="18"/>
          <w:vertAlign w:val="baseline"/>
        </w:rPr>
        <w:t> </w:t>
      </w:r>
      <w:r>
        <w:rPr>
          <w:sz w:val="18"/>
          <w:vertAlign w:val="baseline"/>
        </w:rPr>
        <w:t>2024, </w:t>
      </w:r>
      <w:hyperlink r:id="rId544">
        <w:r>
          <w:rPr>
            <w:spacing w:val="-2"/>
            <w:sz w:val="18"/>
            <w:u w:val="single"/>
            <w:vertAlign w:val="baseline"/>
          </w:rPr>
          <w:t>https://www.mass.gov/info-details/credible-messenger-program</w:t>
        </w:r>
        <w:r>
          <w:rPr>
            <w:spacing w:val="-2"/>
            <w:sz w:val="18"/>
            <w:u w:val="none"/>
            <w:vertAlign w:val="baseline"/>
          </w:rPr>
          <w:t>.</w:t>
        </w:r>
      </w:hyperlink>
    </w:p>
    <w:p>
      <w:pPr>
        <w:spacing w:line="153" w:lineRule="auto" w:before="36"/>
        <w:ind w:left="320" w:right="0" w:firstLine="0"/>
        <w:jc w:val="left"/>
        <w:rPr>
          <w:i/>
          <w:sz w:val="18"/>
        </w:rPr>
      </w:pPr>
      <w:r>
        <w:rPr>
          <w:sz w:val="12"/>
        </w:rPr>
        <w:t>192</w:t>
      </w:r>
      <w:r>
        <w:rPr>
          <w:spacing w:val="13"/>
          <w:sz w:val="12"/>
        </w:rPr>
        <w:t> </w:t>
      </w:r>
      <w:r>
        <w:rPr>
          <w:i/>
          <w:spacing w:val="-5"/>
          <w:position w:val="-5"/>
          <w:sz w:val="18"/>
        </w:rPr>
        <w:t>Id.</w:t>
      </w:r>
    </w:p>
    <w:p>
      <w:pPr>
        <w:spacing w:before="38"/>
        <w:ind w:left="320" w:right="1087" w:firstLine="0"/>
        <w:jc w:val="left"/>
        <w:rPr>
          <w:sz w:val="18"/>
        </w:rPr>
      </w:pPr>
      <w:r>
        <w:rPr>
          <w:sz w:val="18"/>
          <w:vertAlign w:val="superscript"/>
        </w:rPr>
        <w:t>193</w:t>
      </w:r>
      <w:r>
        <w:rPr>
          <w:spacing w:val="-3"/>
          <w:sz w:val="18"/>
          <w:vertAlign w:val="baseline"/>
        </w:rPr>
        <w:t> </w:t>
      </w:r>
      <w:r>
        <w:rPr>
          <w:sz w:val="18"/>
          <w:vertAlign w:val="baseline"/>
        </w:rPr>
        <w:t>National</w:t>
      </w:r>
      <w:r>
        <w:rPr>
          <w:spacing w:val="-4"/>
          <w:sz w:val="18"/>
          <w:vertAlign w:val="baseline"/>
        </w:rPr>
        <w:t> </w:t>
      </w:r>
      <w:r>
        <w:rPr>
          <w:sz w:val="18"/>
          <w:vertAlign w:val="baseline"/>
        </w:rPr>
        <w:t>Institute</w:t>
      </w:r>
      <w:r>
        <w:rPr>
          <w:spacing w:val="-3"/>
          <w:sz w:val="18"/>
          <w:vertAlign w:val="baseline"/>
        </w:rPr>
        <w:t> </w:t>
      </w:r>
      <w:r>
        <w:rPr>
          <w:sz w:val="18"/>
          <w:vertAlign w:val="baseline"/>
        </w:rPr>
        <w:t>of</w:t>
      </w:r>
      <w:r>
        <w:rPr>
          <w:spacing w:val="-3"/>
          <w:sz w:val="18"/>
          <w:vertAlign w:val="baseline"/>
        </w:rPr>
        <w:t> </w:t>
      </w:r>
      <w:r>
        <w:rPr>
          <w:sz w:val="18"/>
          <w:vertAlign w:val="baseline"/>
        </w:rPr>
        <w:t>Justice.</w:t>
      </w:r>
      <w:r>
        <w:rPr>
          <w:spacing w:val="-3"/>
          <w:sz w:val="18"/>
          <w:vertAlign w:val="baseline"/>
        </w:rPr>
        <w:t> </w:t>
      </w:r>
      <w:r>
        <w:rPr>
          <w:sz w:val="18"/>
          <w:vertAlign w:val="baseline"/>
        </w:rPr>
        <w:t>2010.</w:t>
      </w:r>
      <w:r>
        <w:rPr>
          <w:spacing w:val="-3"/>
          <w:sz w:val="18"/>
          <w:vertAlign w:val="baseline"/>
        </w:rPr>
        <w:t> </w:t>
      </w:r>
      <w:r>
        <w:rPr>
          <w:sz w:val="18"/>
          <w:vertAlign w:val="baseline"/>
        </w:rPr>
        <w:t>“Preventing</w:t>
      </w:r>
      <w:r>
        <w:rPr>
          <w:spacing w:val="-4"/>
          <w:sz w:val="18"/>
          <w:vertAlign w:val="baseline"/>
        </w:rPr>
        <w:t> </w:t>
      </w:r>
      <w:r>
        <w:rPr>
          <w:sz w:val="18"/>
          <w:vertAlign w:val="baseline"/>
        </w:rPr>
        <w:t>Future</w:t>
      </w:r>
      <w:r>
        <w:rPr>
          <w:spacing w:val="-3"/>
          <w:sz w:val="18"/>
          <w:vertAlign w:val="baseline"/>
        </w:rPr>
        <w:t> </w:t>
      </w:r>
      <w:r>
        <w:rPr>
          <w:sz w:val="18"/>
          <w:vertAlign w:val="baseline"/>
        </w:rPr>
        <w:t>Crime</w:t>
      </w:r>
      <w:r>
        <w:rPr>
          <w:spacing w:val="-3"/>
          <w:sz w:val="18"/>
          <w:vertAlign w:val="baseline"/>
        </w:rPr>
        <w:t> </w:t>
      </w:r>
      <w:r>
        <w:rPr>
          <w:sz w:val="18"/>
          <w:vertAlign w:val="baseline"/>
        </w:rPr>
        <w:t>with</w:t>
      </w:r>
      <w:r>
        <w:rPr>
          <w:spacing w:val="-3"/>
          <w:sz w:val="18"/>
          <w:vertAlign w:val="baseline"/>
        </w:rPr>
        <w:t> </w:t>
      </w:r>
      <w:r>
        <w:rPr>
          <w:sz w:val="18"/>
          <w:vertAlign w:val="baseline"/>
        </w:rPr>
        <w:t>Cognitive</w:t>
      </w:r>
      <w:r>
        <w:rPr>
          <w:spacing w:val="-3"/>
          <w:sz w:val="18"/>
          <w:vertAlign w:val="baseline"/>
        </w:rPr>
        <w:t> </w:t>
      </w:r>
      <w:r>
        <w:rPr>
          <w:sz w:val="18"/>
          <w:vertAlign w:val="baseline"/>
        </w:rPr>
        <w:t>Behavioral</w:t>
      </w:r>
      <w:r>
        <w:rPr>
          <w:spacing w:val="-4"/>
          <w:sz w:val="18"/>
          <w:vertAlign w:val="baseline"/>
        </w:rPr>
        <w:t> </w:t>
      </w:r>
      <w:r>
        <w:rPr>
          <w:sz w:val="18"/>
          <w:vertAlign w:val="baseline"/>
        </w:rPr>
        <w:t>Therapy”,</w:t>
      </w:r>
      <w:r>
        <w:rPr>
          <w:spacing w:val="-4"/>
          <w:sz w:val="18"/>
          <w:vertAlign w:val="baseline"/>
        </w:rPr>
        <w:t> </w:t>
      </w:r>
      <w:r>
        <w:rPr>
          <w:sz w:val="18"/>
          <w:vertAlign w:val="baseline"/>
        </w:rPr>
        <w:t>May</w:t>
      </w:r>
      <w:r>
        <w:rPr>
          <w:spacing w:val="-3"/>
          <w:sz w:val="18"/>
          <w:vertAlign w:val="baseline"/>
        </w:rPr>
        <w:t> </w:t>
      </w:r>
      <w:r>
        <w:rPr>
          <w:sz w:val="18"/>
          <w:vertAlign w:val="baseline"/>
        </w:rPr>
        <w:t>28,</w:t>
      </w:r>
      <w:r>
        <w:rPr>
          <w:spacing w:val="-4"/>
          <w:sz w:val="18"/>
          <w:vertAlign w:val="baseline"/>
        </w:rPr>
        <w:t> </w:t>
      </w:r>
      <w:r>
        <w:rPr>
          <w:sz w:val="18"/>
          <w:vertAlign w:val="baseline"/>
        </w:rPr>
        <w:t>2010, </w:t>
      </w:r>
      <w:r>
        <w:rPr>
          <w:spacing w:val="-2"/>
          <w:sz w:val="18"/>
          <w:vertAlign w:val="baseline"/>
        </w:rPr>
        <w:t>https://nij.ojp.gov/topics/articles/preventing-future-crime-cognitive-behavioral-therapy.</w:t>
      </w:r>
    </w:p>
    <w:p>
      <w:pPr>
        <w:spacing w:before="0"/>
        <w:ind w:left="320" w:right="677" w:firstLine="0"/>
        <w:jc w:val="left"/>
        <w:rPr>
          <w:sz w:val="18"/>
        </w:rPr>
      </w:pPr>
      <w:r>
        <w:rPr>
          <w:sz w:val="18"/>
          <w:vertAlign w:val="superscript"/>
        </w:rPr>
        <w:t>194</w:t>
      </w:r>
      <w:r>
        <w:rPr>
          <w:spacing w:val="-3"/>
          <w:sz w:val="18"/>
          <w:vertAlign w:val="baseline"/>
        </w:rPr>
        <w:t> </w:t>
      </w:r>
      <w:r>
        <w:rPr>
          <w:sz w:val="18"/>
          <w:vertAlign w:val="baseline"/>
        </w:rPr>
        <w:t>National</w:t>
      </w:r>
      <w:r>
        <w:rPr>
          <w:spacing w:val="-4"/>
          <w:sz w:val="18"/>
          <w:vertAlign w:val="baseline"/>
        </w:rPr>
        <w:t> </w:t>
      </w:r>
      <w:r>
        <w:rPr>
          <w:sz w:val="18"/>
          <w:vertAlign w:val="baseline"/>
        </w:rPr>
        <w:t>Institute</w:t>
      </w:r>
      <w:r>
        <w:rPr>
          <w:spacing w:val="-3"/>
          <w:sz w:val="18"/>
          <w:vertAlign w:val="baseline"/>
        </w:rPr>
        <w:t> </w:t>
      </w:r>
      <w:r>
        <w:rPr>
          <w:sz w:val="18"/>
          <w:vertAlign w:val="baseline"/>
        </w:rPr>
        <w:t>of</w:t>
      </w:r>
      <w:r>
        <w:rPr>
          <w:spacing w:val="-3"/>
          <w:sz w:val="18"/>
          <w:vertAlign w:val="baseline"/>
        </w:rPr>
        <w:t> </w:t>
      </w:r>
      <w:r>
        <w:rPr>
          <w:sz w:val="18"/>
          <w:vertAlign w:val="baseline"/>
        </w:rPr>
        <w:t>Justice.</w:t>
      </w:r>
      <w:r>
        <w:rPr>
          <w:spacing w:val="-3"/>
          <w:sz w:val="18"/>
          <w:vertAlign w:val="baseline"/>
        </w:rPr>
        <w:t> </w:t>
      </w:r>
      <w:r>
        <w:rPr>
          <w:sz w:val="18"/>
          <w:vertAlign w:val="baseline"/>
        </w:rPr>
        <w:t>2012.</w:t>
      </w:r>
      <w:r>
        <w:rPr>
          <w:spacing w:val="-3"/>
          <w:sz w:val="18"/>
          <w:vertAlign w:val="baseline"/>
        </w:rPr>
        <w:t> </w:t>
      </w:r>
      <w:r>
        <w:rPr>
          <w:sz w:val="18"/>
          <w:vertAlign w:val="baseline"/>
        </w:rPr>
        <w:t>“Program</w:t>
      </w:r>
      <w:r>
        <w:rPr>
          <w:spacing w:val="-4"/>
          <w:sz w:val="18"/>
          <w:vertAlign w:val="baseline"/>
        </w:rPr>
        <w:t> </w:t>
      </w:r>
      <w:r>
        <w:rPr>
          <w:sz w:val="18"/>
          <w:vertAlign w:val="baseline"/>
        </w:rPr>
        <w:t>Profile:</w:t>
      </w:r>
      <w:r>
        <w:rPr>
          <w:spacing w:val="-3"/>
          <w:sz w:val="18"/>
          <w:vertAlign w:val="baseline"/>
        </w:rPr>
        <w:t> </w:t>
      </w:r>
      <w:r>
        <w:rPr>
          <w:sz w:val="18"/>
          <w:vertAlign w:val="baseline"/>
        </w:rPr>
        <w:t>Multidimensional</w:t>
      </w:r>
      <w:r>
        <w:rPr>
          <w:spacing w:val="-4"/>
          <w:sz w:val="18"/>
          <w:vertAlign w:val="baseline"/>
        </w:rPr>
        <w:t> </w:t>
      </w:r>
      <w:r>
        <w:rPr>
          <w:sz w:val="18"/>
          <w:vertAlign w:val="baseline"/>
        </w:rPr>
        <w:t>Family</w:t>
      </w:r>
      <w:r>
        <w:rPr>
          <w:spacing w:val="-3"/>
          <w:sz w:val="18"/>
          <w:vertAlign w:val="baseline"/>
        </w:rPr>
        <w:t> </w:t>
      </w:r>
      <w:r>
        <w:rPr>
          <w:sz w:val="18"/>
          <w:vertAlign w:val="baseline"/>
        </w:rPr>
        <w:t>Therapy</w:t>
      </w:r>
      <w:r>
        <w:rPr>
          <w:spacing w:val="-3"/>
          <w:sz w:val="18"/>
          <w:vertAlign w:val="baseline"/>
        </w:rPr>
        <w:t> </w:t>
      </w:r>
      <w:r>
        <w:rPr>
          <w:sz w:val="18"/>
          <w:vertAlign w:val="baseline"/>
        </w:rPr>
        <w:t>(MDFT)”,</w:t>
      </w:r>
      <w:r>
        <w:rPr>
          <w:spacing w:val="-4"/>
          <w:sz w:val="18"/>
          <w:vertAlign w:val="baseline"/>
        </w:rPr>
        <w:t> </w:t>
      </w:r>
      <w:r>
        <w:rPr>
          <w:sz w:val="18"/>
          <w:vertAlign w:val="baseline"/>
        </w:rPr>
        <w:t>September</w:t>
      </w:r>
      <w:r>
        <w:rPr>
          <w:spacing w:val="-4"/>
          <w:sz w:val="18"/>
          <w:vertAlign w:val="baseline"/>
        </w:rPr>
        <w:t> </w:t>
      </w:r>
      <w:r>
        <w:rPr>
          <w:sz w:val="18"/>
          <w:vertAlign w:val="baseline"/>
        </w:rPr>
        <w:t>21,</w:t>
      </w:r>
      <w:r>
        <w:rPr>
          <w:spacing w:val="-4"/>
          <w:sz w:val="18"/>
          <w:vertAlign w:val="baseline"/>
        </w:rPr>
        <w:t> </w:t>
      </w:r>
      <w:r>
        <w:rPr>
          <w:sz w:val="18"/>
          <w:vertAlign w:val="baseline"/>
        </w:rPr>
        <w:t>2012, </w:t>
      </w:r>
      <w:r>
        <w:rPr>
          <w:spacing w:val="-2"/>
          <w:sz w:val="18"/>
          <w:vertAlign w:val="baseline"/>
        </w:rPr>
        <w:t>https://crimesolutions.ojp.gov/ratedprograms/267#1-0.</w:t>
      </w:r>
    </w:p>
    <w:p>
      <w:pPr>
        <w:spacing w:line="153" w:lineRule="auto" w:before="35"/>
        <w:ind w:left="320" w:right="0" w:firstLine="0"/>
        <w:jc w:val="left"/>
        <w:rPr>
          <w:i/>
          <w:sz w:val="18"/>
        </w:rPr>
      </w:pPr>
      <w:r>
        <w:rPr>
          <w:sz w:val="12"/>
        </w:rPr>
        <w:t>195</w:t>
      </w:r>
      <w:r>
        <w:rPr>
          <w:spacing w:val="13"/>
          <w:sz w:val="12"/>
        </w:rPr>
        <w:t> </w:t>
      </w:r>
      <w:r>
        <w:rPr>
          <w:i/>
          <w:spacing w:val="-5"/>
          <w:position w:val="-5"/>
          <w:sz w:val="18"/>
        </w:rPr>
        <w:t>Id.</w:t>
      </w:r>
    </w:p>
    <w:p>
      <w:pPr>
        <w:spacing w:before="38"/>
        <w:ind w:left="320" w:right="470" w:firstLine="0"/>
        <w:jc w:val="left"/>
        <w:rPr>
          <w:sz w:val="18"/>
        </w:rPr>
      </w:pPr>
      <w:r>
        <w:rPr>
          <w:sz w:val="18"/>
          <w:vertAlign w:val="superscript"/>
        </w:rPr>
        <w:t>196</w:t>
      </w:r>
      <w:r>
        <w:rPr>
          <w:spacing w:val="-2"/>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and</w:t>
      </w:r>
      <w:r>
        <w:rPr>
          <w:spacing w:val="-2"/>
          <w:sz w:val="18"/>
          <w:vertAlign w:val="baseline"/>
        </w:rPr>
        <w:t> </w:t>
      </w:r>
      <w:r>
        <w:rPr>
          <w:sz w:val="18"/>
          <w:vertAlign w:val="baseline"/>
        </w:rPr>
        <w:t>Delinquency</w:t>
      </w:r>
      <w:r>
        <w:rPr>
          <w:spacing w:val="-2"/>
          <w:sz w:val="18"/>
          <w:vertAlign w:val="baseline"/>
        </w:rPr>
        <w:t> </w:t>
      </w:r>
      <w:r>
        <w:rPr>
          <w:sz w:val="18"/>
          <w:vertAlign w:val="baseline"/>
        </w:rPr>
        <w:t>Prevention.</w:t>
      </w:r>
      <w:r>
        <w:rPr>
          <w:spacing w:val="-2"/>
          <w:sz w:val="18"/>
          <w:vertAlign w:val="baseline"/>
        </w:rPr>
        <w:t> </w:t>
      </w:r>
      <w:r>
        <w:rPr>
          <w:sz w:val="18"/>
          <w:vertAlign w:val="baseline"/>
        </w:rPr>
        <w:t>2024.</w:t>
      </w:r>
      <w:r>
        <w:rPr>
          <w:spacing w:val="-2"/>
          <w:sz w:val="18"/>
          <w:vertAlign w:val="baseline"/>
        </w:rPr>
        <w:t> </w:t>
      </w:r>
      <w:r>
        <w:rPr>
          <w:sz w:val="18"/>
          <w:vertAlign w:val="baseline"/>
        </w:rPr>
        <w:t>“Restorative</w:t>
      </w:r>
      <w:r>
        <w:rPr>
          <w:spacing w:val="-2"/>
          <w:sz w:val="18"/>
          <w:vertAlign w:val="baseline"/>
        </w:rPr>
        <w:t> </w:t>
      </w:r>
      <w:r>
        <w:rPr>
          <w:sz w:val="18"/>
          <w:vertAlign w:val="baseline"/>
        </w:rPr>
        <w:t>Justice</w:t>
      </w:r>
      <w:r>
        <w:rPr>
          <w:spacing w:val="-2"/>
          <w:sz w:val="18"/>
          <w:vertAlign w:val="baseline"/>
        </w:rPr>
        <w:t> </w:t>
      </w:r>
      <w:r>
        <w:rPr>
          <w:sz w:val="18"/>
          <w:vertAlign w:val="baseline"/>
        </w:rPr>
        <w:t>for</w:t>
      </w:r>
      <w:r>
        <w:rPr>
          <w:spacing w:val="-3"/>
          <w:sz w:val="18"/>
          <w:vertAlign w:val="baseline"/>
        </w:rPr>
        <w:t> </w:t>
      </w:r>
      <w:r>
        <w:rPr>
          <w:sz w:val="18"/>
          <w:vertAlign w:val="baseline"/>
        </w:rPr>
        <w:t>Juveniles”,</w:t>
      </w:r>
      <w:r>
        <w:rPr>
          <w:spacing w:val="-3"/>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17,</w:t>
      </w:r>
      <w:r>
        <w:rPr>
          <w:spacing w:val="-2"/>
          <w:sz w:val="18"/>
          <w:vertAlign w:val="baseline"/>
        </w:rPr>
        <w:t> </w:t>
      </w:r>
      <w:r>
        <w:rPr>
          <w:sz w:val="18"/>
          <w:vertAlign w:val="baseline"/>
        </w:rPr>
        <w:t>2024, </w:t>
      </w:r>
      <w:r>
        <w:rPr>
          <w:spacing w:val="-2"/>
          <w:sz w:val="18"/>
          <w:vertAlign w:val="baseline"/>
        </w:rPr>
        <w:t>https://ojjdp.ojp.gov/model-programs-guide/literature-reviews/restorative-justice-for-juveniles#2-0.</w:t>
      </w:r>
    </w:p>
    <w:p>
      <w:pPr>
        <w:spacing w:before="1"/>
        <w:ind w:left="320" w:right="514" w:hanging="1"/>
        <w:jc w:val="left"/>
        <w:rPr>
          <w:sz w:val="18"/>
        </w:rPr>
      </w:pPr>
      <w:r>
        <w:rPr>
          <w:sz w:val="18"/>
          <w:vertAlign w:val="superscript"/>
        </w:rPr>
        <w:t>197</w:t>
      </w:r>
      <w:r>
        <w:rPr>
          <w:spacing w:val="-4"/>
          <w:sz w:val="18"/>
          <w:vertAlign w:val="baseline"/>
        </w:rPr>
        <w:t> </w:t>
      </w:r>
      <w:r>
        <w:rPr>
          <w:sz w:val="18"/>
          <w:vertAlign w:val="baseline"/>
        </w:rPr>
        <w:t>Umass</w:t>
      </w:r>
      <w:r>
        <w:rPr>
          <w:spacing w:val="-4"/>
          <w:sz w:val="18"/>
          <w:vertAlign w:val="baseline"/>
        </w:rPr>
        <w:t> </w:t>
      </w:r>
      <w:r>
        <w:rPr>
          <w:sz w:val="18"/>
          <w:vertAlign w:val="baseline"/>
        </w:rPr>
        <w:t>Boston,</w:t>
      </w:r>
      <w:r>
        <w:rPr>
          <w:spacing w:val="-5"/>
          <w:sz w:val="18"/>
          <w:vertAlign w:val="baseline"/>
        </w:rPr>
        <w:t> </w:t>
      </w:r>
      <w:r>
        <w:rPr>
          <w:sz w:val="18"/>
          <w:vertAlign w:val="baseline"/>
        </w:rPr>
        <w:t>Restorative</w:t>
      </w:r>
      <w:r>
        <w:rPr>
          <w:spacing w:val="-4"/>
          <w:sz w:val="18"/>
          <w:vertAlign w:val="baseline"/>
        </w:rPr>
        <w:t> </w:t>
      </w:r>
      <w:r>
        <w:rPr>
          <w:sz w:val="18"/>
          <w:vertAlign w:val="baseline"/>
        </w:rPr>
        <w:t>Justice</w:t>
      </w:r>
      <w:r>
        <w:rPr>
          <w:spacing w:val="-4"/>
          <w:sz w:val="18"/>
          <w:vertAlign w:val="baseline"/>
        </w:rPr>
        <w:t> </w:t>
      </w:r>
      <w:r>
        <w:rPr>
          <w:sz w:val="18"/>
          <w:vertAlign w:val="baseline"/>
        </w:rPr>
        <w:t>Project,</w:t>
      </w:r>
      <w:r>
        <w:rPr>
          <w:spacing w:val="-5"/>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17,</w:t>
      </w:r>
      <w:r>
        <w:rPr>
          <w:spacing w:val="-5"/>
          <w:sz w:val="18"/>
          <w:vertAlign w:val="baseline"/>
        </w:rPr>
        <w:t> </w:t>
      </w:r>
      <w:r>
        <w:rPr>
          <w:sz w:val="18"/>
          <w:vertAlign w:val="baseline"/>
        </w:rPr>
        <w:t>2024,</w:t>
      </w:r>
      <w:r>
        <w:rPr>
          <w:spacing w:val="-5"/>
          <w:sz w:val="18"/>
          <w:vertAlign w:val="baseline"/>
        </w:rPr>
        <w:t> </w:t>
      </w:r>
      <w:r>
        <w:rPr>
          <w:sz w:val="18"/>
          <w:vertAlign w:val="baseline"/>
        </w:rPr>
        <w:t>https:</w:t>
      </w:r>
      <w:hyperlink r:id="rId545">
        <w:r>
          <w:rPr>
            <w:sz w:val="18"/>
            <w:vertAlign w:val="baseline"/>
          </w:rPr>
          <w:t>//www.umb.edu/cpdd/key-areas/law-justice-</w:t>
        </w:r>
      </w:hyperlink>
      <w:r>
        <w:rPr>
          <w:sz w:val="18"/>
          <w:vertAlign w:val="baseline"/>
        </w:rPr>
        <w:t> </w:t>
      </w:r>
      <w:r>
        <w:rPr>
          <w:spacing w:val="-2"/>
          <w:sz w:val="18"/>
          <w:vertAlign w:val="baseline"/>
        </w:rPr>
        <w:t>reform/restorative-justice-project/#d.en.63570</w:t>
      </w:r>
    </w:p>
    <w:p>
      <w:pPr>
        <w:spacing w:before="0"/>
        <w:ind w:left="320" w:right="1975" w:firstLine="0"/>
        <w:jc w:val="left"/>
        <w:rPr>
          <w:sz w:val="18"/>
        </w:rPr>
      </w:pPr>
      <w:r>
        <w:rPr>
          <w:sz w:val="18"/>
          <w:vertAlign w:val="superscript"/>
        </w:rPr>
        <w:t>198</w:t>
      </w:r>
      <w:r>
        <w:rPr>
          <w:spacing w:val="-3"/>
          <w:sz w:val="18"/>
          <w:vertAlign w:val="baseline"/>
        </w:rPr>
        <w:t> </w:t>
      </w:r>
      <w:r>
        <w:rPr>
          <w:sz w:val="18"/>
          <w:vertAlign w:val="baseline"/>
        </w:rPr>
        <w:t>Suffolk</w:t>
      </w:r>
      <w:r>
        <w:rPr>
          <w:spacing w:val="-4"/>
          <w:sz w:val="18"/>
          <w:vertAlign w:val="baseline"/>
        </w:rPr>
        <w:t> </w:t>
      </w:r>
      <w:r>
        <w:rPr>
          <w:sz w:val="18"/>
          <w:vertAlign w:val="baseline"/>
        </w:rPr>
        <w:t>County</w:t>
      </w:r>
      <w:r>
        <w:rPr>
          <w:spacing w:val="-3"/>
          <w:sz w:val="18"/>
          <w:vertAlign w:val="baseline"/>
        </w:rPr>
        <w:t> </w:t>
      </w:r>
      <w:r>
        <w:rPr>
          <w:sz w:val="18"/>
          <w:vertAlign w:val="baseline"/>
        </w:rPr>
        <w:t>District</w:t>
      </w:r>
      <w:r>
        <w:rPr>
          <w:spacing w:val="-4"/>
          <w:sz w:val="18"/>
          <w:vertAlign w:val="baseline"/>
        </w:rPr>
        <w:t> </w:t>
      </w:r>
      <w:r>
        <w:rPr>
          <w:sz w:val="18"/>
          <w:vertAlign w:val="baseline"/>
        </w:rPr>
        <w:t>Attorney.</w:t>
      </w:r>
      <w:r>
        <w:rPr>
          <w:spacing w:val="-3"/>
          <w:sz w:val="18"/>
          <w:vertAlign w:val="baseline"/>
        </w:rPr>
        <w:t> </w:t>
      </w:r>
      <w:r>
        <w:rPr>
          <w:sz w:val="18"/>
          <w:vertAlign w:val="baseline"/>
        </w:rPr>
        <w:t>2024.</w:t>
      </w:r>
      <w:r>
        <w:rPr>
          <w:spacing w:val="-3"/>
          <w:sz w:val="18"/>
          <w:vertAlign w:val="baseline"/>
        </w:rPr>
        <w:t> </w:t>
      </w:r>
      <w:r>
        <w:rPr>
          <w:sz w:val="18"/>
          <w:vertAlign w:val="baseline"/>
        </w:rPr>
        <w:t>“The</w:t>
      </w:r>
      <w:r>
        <w:rPr>
          <w:spacing w:val="-3"/>
          <w:sz w:val="18"/>
          <w:vertAlign w:val="baseline"/>
        </w:rPr>
        <w:t> </w:t>
      </w:r>
      <w:r>
        <w:rPr>
          <w:sz w:val="18"/>
          <w:vertAlign w:val="baseline"/>
        </w:rPr>
        <w:t>Juvenile</w:t>
      </w:r>
      <w:r>
        <w:rPr>
          <w:spacing w:val="-3"/>
          <w:sz w:val="18"/>
          <w:vertAlign w:val="baseline"/>
        </w:rPr>
        <w:t> </w:t>
      </w:r>
      <w:r>
        <w:rPr>
          <w:sz w:val="18"/>
          <w:vertAlign w:val="baseline"/>
        </w:rPr>
        <w:t>Resolution</w:t>
      </w:r>
      <w:r>
        <w:rPr>
          <w:spacing w:val="-3"/>
          <w:sz w:val="18"/>
          <w:vertAlign w:val="baseline"/>
        </w:rPr>
        <w:t> </w:t>
      </w:r>
      <w:r>
        <w:rPr>
          <w:sz w:val="18"/>
          <w:vertAlign w:val="baseline"/>
        </w:rPr>
        <w:t>Program”,</w:t>
      </w:r>
      <w:r>
        <w:rPr>
          <w:spacing w:val="-4"/>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17,</w:t>
      </w:r>
      <w:r>
        <w:rPr>
          <w:spacing w:val="-4"/>
          <w:sz w:val="18"/>
          <w:vertAlign w:val="baseline"/>
        </w:rPr>
        <w:t> </w:t>
      </w:r>
      <w:r>
        <w:rPr>
          <w:sz w:val="18"/>
          <w:vertAlign w:val="baseline"/>
        </w:rPr>
        <w:t>2024, </w:t>
      </w:r>
      <w:r>
        <w:rPr>
          <w:spacing w:val="-2"/>
          <w:sz w:val="18"/>
          <w:vertAlign w:val="baseline"/>
        </w:rPr>
        <w:t>https://archive.suffolkdistrictattorney.com/the-juvenile-alternative-resolution-program/</w:t>
      </w:r>
    </w:p>
    <w:p>
      <w:pPr>
        <w:spacing w:line="153" w:lineRule="auto" w:before="36"/>
        <w:ind w:left="320" w:right="0" w:firstLine="0"/>
        <w:jc w:val="left"/>
        <w:rPr>
          <w:i/>
          <w:sz w:val="18"/>
        </w:rPr>
      </w:pPr>
      <w:r>
        <w:rPr>
          <w:sz w:val="12"/>
        </w:rPr>
        <w:t>199</w:t>
      </w:r>
      <w:r>
        <w:rPr>
          <w:spacing w:val="13"/>
          <w:sz w:val="12"/>
        </w:rPr>
        <w:t> </w:t>
      </w:r>
      <w:r>
        <w:rPr>
          <w:i/>
          <w:spacing w:val="-5"/>
          <w:position w:val="-5"/>
          <w:sz w:val="18"/>
        </w:rPr>
        <w:t>Id.</w:t>
      </w:r>
    </w:p>
    <w:p>
      <w:pPr>
        <w:spacing w:before="37"/>
        <w:ind w:left="320" w:right="514" w:hanging="1"/>
        <w:jc w:val="left"/>
        <w:rPr>
          <w:sz w:val="18"/>
        </w:rPr>
      </w:pPr>
      <w:r>
        <w:rPr>
          <w:sz w:val="18"/>
          <w:vertAlign w:val="superscript"/>
        </w:rPr>
        <w:t>200</w:t>
      </w:r>
      <w:r>
        <w:rPr>
          <w:spacing w:val="-4"/>
          <w:sz w:val="18"/>
          <w:vertAlign w:val="baseline"/>
        </w:rPr>
        <w:t> </w:t>
      </w:r>
      <w:r>
        <w:rPr>
          <w:sz w:val="18"/>
          <w:vertAlign w:val="baseline"/>
        </w:rPr>
        <w:t>Umass</w:t>
      </w:r>
      <w:r>
        <w:rPr>
          <w:spacing w:val="-4"/>
          <w:sz w:val="18"/>
          <w:vertAlign w:val="baseline"/>
        </w:rPr>
        <w:t> </w:t>
      </w:r>
      <w:r>
        <w:rPr>
          <w:sz w:val="18"/>
          <w:vertAlign w:val="baseline"/>
        </w:rPr>
        <w:t>Boston,</w:t>
      </w:r>
      <w:r>
        <w:rPr>
          <w:spacing w:val="-5"/>
          <w:sz w:val="18"/>
          <w:vertAlign w:val="baseline"/>
        </w:rPr>
        <w:t> </w:t>
      </w:r>
      <w:r>
        <w:rPr>
          <w:sz w:val="18"/>
          <w:vertAlign w:val="baseline"/>
        </w:rPr>
        <w:t>Restorative</w:t>
      </w:r>
      <w:r>
        <w:rPr>
          <w:spacing w:val="-4"/>
          <w:sz w:val="18"/>
          <w:vertAlign w:val="baseline"/>
        </w:rPr>
        <w:t> </w:t>
      </w:r>
      <w:r>
        <w:rPr>
          <w:sz w:val="18"/>
          <w:vertAlign w:val="baseline"/>
        </w:rPr>
        <w:t>Justice</w:t>
      </w:r>
      <w:r>
        <w:rPr>
          <w:spacing w:val="-4"/>
          <w:sz w:val="18"/>
          <w:vertAlign w:val="baseline"/>
        </w:rPr>
        <w:t> </w:t>
      </w:r>
      <w:r>
        <w:rPr>
          <w:sz w:val="18"/>
          <w:vertAlign w:val="baseline"/>
        </w:rPr>
        <w:t>Project,</w:t>
      </w:r>
      <w:r>
        <w:rPr>
          <w:spacing w:val="-5"/>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17,</w:t>
      </w:r>
      <w:r>
        <w:rPr>
          <w:spacing w:val="-5"/>
          <w:sz w:val="18"/>
          <w:vertAlign w:val="baseline"/>
        </w:rPr>
        <w:t> </w:t>
      </w:r>
      <w:r>
        <w:rPr>
          <w:sz w:val="18"/>
          <w:vertAlign w:val="baseline"/>
        </w:rPr>
        <w:t>2024,</w:t>
      </w:r>
      <w:r>
        <w:rPr>
          <w:spacing w:val="-5"/>
          <w:sz w:val="18"/>
          <w:vertAlign w:val="baseline"/>
        </w:rPr>
        <w:t> </w:t>
      </w:r>
      <w:r>
        <w:rPr>
          <w:sz w:val="18"/>
          <w:vertAlign w:val="baseline"/>
        </w:rPr>
        <w:t>https:</w:t>
      </w:r>
      <w:hyperlink r:id="rId545">
        <w:r>
          <w:rPr>
            <w:sz w:val="18"/>
            <w:vertAlign w:val="baseline"/>
          </w:rPr>
          <w:t>//www.umb.edu/cpdd/key-areas/law-justice-</w:t>
        </w:r>
      </w:hyperlink>
      <w:r>
        <w:rPr>
          <w:sz w:val="18"/>
          <w:vertAlign w:val="baseline"/>
        </w:rPr>
        <w:t> </w:t>
      </w:r>
      <w:r>
        <w:rPr>
          <w:spacing w:val="-2"/>
          <w:sz w:val="18"/>
          <w:vertAlign w:val="baseline"/>
        </w:rPr>
        <w:t>reform/restorative-justice-project/#d.en.63570</w:t>
      </w:r>
    </w:p>
    <w:p>
      <w:pPr>
        <w:spacing w:line="153" w:lineRule="auto" w:before="36"/>
        <w:ind w:left="320" w:right="0" w:firstLine="0"/>
        <w:jc w:val="left"/>
        <w:rPr>
          <w:i/>
          <w:sz w:val="18"/>
        </w:rPr>
      </w:pPr>
      <w:r>
        <w:rPr>
          <w:sz w:val="12"/>
        </w:rPr>
        <w:t>201</w:t>
      </w:r>
      <w:r>
        <w:rPr>
          <w:spacing w:val="13"/>
          <w:sz w:val="12"/>
        </w:rPr>
        <w:t> </w:t>
      </w:r>
      <w:r>
        <w:rPr>
          <w:i/>
          <w:spacing w:val="-5"/>
          <w:position w:val="-5"/>
          <w:sz w:val="18"/>
        </w:rPr>
        <w:t>Id.</w:t>
      </w:r>
    </w:p>
    <w:p>
      <w:pPr>
        <w:spacing w:before="35"/>
        <w:ind w:left="320" w:right="0" w:firstLine="0"/>
        <w:jc w:val="left"/>
        <w:rPr>
          <w:i/>
          <w:sz w:val="18"/>
        </w:rPr>
      </w:pPr>
      <w:r>
        <w:rPr>
          <w:sz w:val="12"/>
        </w:rPr>
        <w:t>202</w:t>
      </w:r>
      <w:r>
        <w:rPr>
          <w:spacing w:val="13"/>
          <w:sz w:val="12"/>
        </w:rPr>
        <w:t> </w:t>
      </w:r>
      <w:r>
        <w:rPr>
          <w:i/>
          <w:spacing w:val="-5"/>
          <w:position w:val="-5"/>
          <w:sz w:val="18"/>
        </w:rPr>
        <w:t>Id.</w:t>
      </w:r>
    </w:p>
    <w:p>
      <w:pPr>
        <w:spacing w:before="1"/>
        <w:ind w:left="320" w:right="0" w:hanging="1"/>
        <w:jc w:val="left"/>
        <w:rPr>
          <w:sz w:val="18"/>
        </w:rPr>
      </w:pPr>
      <w:r>
        <w:rPr>
          <w:sz w:val="18"/>
          <w:vertAlign w:val="superscript"/>
        </w:rPr>
        <w:t>203</w:t>
      </w:r>
      <w:r>
        <w:rPr>
          <w:spacing w:val="-2"/>
          <w:sz w:val="18"/>
          <w:vertAlign w:val="baseline"/>
        </w:rPr>
        <w:t> </w:t>
      </w:r>
      <w:r>
        <w:rPr>
          <w:sz w:val="18"/>
          <w:vertAlign w:val="baseline"/>
        </w:rPr>
        <w:t>Boston</w:t>
      </w:r>
      <w:r>
        <w:rPr>
          <w:spacing w:val="-2"/>
          <w:sz w:val="18"/>
          <w:vertAlign w:val="baseline"/>
        </w:rPr>
        <w:t> </w:t>
      </w:r>
      <w:r>
        <w:rPr>
          <w:sz w:val="18"/>
          <w:vertAlign w:val="baseline"/>
        </w:rPr>
        <w:t>Bar</w:t>
      </w:r>
      <w:r>
        <w:rPr>
          <w:spacing w:val="-3"/>
          <w:sz w:val="18"/>
          <w:vertAlign w:val="baseline"/>
        </w:rPr>
        <w:t> </w:t>
      </w:r>
      <w:r>
        <w:rPr>
          <w:sz w:val="18"/>
          <w:vertAlign w:val="baseline"/>
        </w:rPr>
        <w:t>Journal.</w:t>
      </w:r>
      <w:r>
        <w:rPr>
          <w:spacing w:val="-2"/>
          <w:sz w:val="18"/>
          <w:vertAlign w:val="baseline"/>
        </w:rPr>
        <w:t> </w:t>
      </w:r>
      <w:r>
        <w:rPr>
          <w:sz w:val="18"/>
          <w:vertAlign w:val="baseline"/>
        </w:rPr>
        <w:t>2018.</w:t>
      </w:r>
      <w:r>
        <w:rPr>
          <w:spacing w:val="-2"/>
          <w:sz w:val="18"/>
          <w:vertAlign w:val="baseline"/>
        </w:rPr>
        <w:t> </w:t>
      </w:r>
      <w:r>
        <w:rPr>
          <w:sz w:val="18"/>
          <w:vertAlign w:val="baseline"/>
        </w:rPr>
        <w:t>“Successful</w:t>
      </w:r>
      <w:r>
        <w:rPr>
          <w:spacing w:val="-3"/>
          <w:sz w:val="18"/>
          <w:vertAlign w:val="baseline"/>
        </w:rPr>
        <w:t> </w:t>
      </w:r>
      <w:r>
        <w:rPr>
          <w:sz w:val="18"/>
          <w:vertAlign w:val="baseline"/>
        </w:rPr>
        <w:t>Alternatives:</w:t>
      </w:r>
      <w:r>
        <w:rPr>
          <w:spacing w:val="-2"/>
          <w:sz w:val="18"/>
          <w:vertAlign w:val="baseline"/>
        </w:rPr>
        <w:t> </w:t>
      </w:r>
      <w:r>
        <w:rPr>
          <w:sz w:val="18"/>
          <w:vertAlign w:val="baseline"/>
        </w:rPr>
        <w:t>Juvenile</w:t>
      </w:r>
      <w:r>
        <w:rPr>
          <w:spacing w:val="-2"/>
          <w:sz w:val="18"/>
          <w:vertAlign w:val="baseline"/>
        </w:rPr>
        <w:t> </w:t>
      </w:r>
      <w:r>
        <w:rPr>
          <w:sz w:val="18"/>
          <w:vertAlign w:val="baseline"/>
        </w:rPr>
        <w:t>Diversion</w:t>
      </w:r>
      <w:r>
        <w:rPr>
          <w:spacing w:val="-2"/>
          <w:sz w:val="18"/>
          <w:vertAlign w:val="baseline"/>
        </w:rPr>
        <w:t> </w:t>
      </w:r>
      <w:r>
        <w:rPr>
          <w:sz w:val="18"/>
          <w:vertAlign w:val="baseline"/>
        </w:rPr>
        <w:t>and</w:t>
      </w:r>
      <w:r>
        <w:rPr>
          <w:spacing w:val="-2"/>
          <w:sz w:val="18"/>
          <w:vertAlign w:val="baseline"/>
        </w:rPr>
        <w:t> </w:t>
      </w:r>
      <w:r>
        <w:rPr>
          <w:sz w:val="18"/>
          <w:vertAlign w:val="baseline"/>
        </w:rPr>
        <w:t>Restorative</w:t>
      </w:r>
      <w:r>
        <w:rPr>
          <w:spacing w:val="-2"/>
          <w:sz w:val="18"/>
          <w:vertAlign w:val="baseline"/>
        </w:rPr>
        <w:t> </w:t>
      </w:r>
      <w:r>
        <w:rPr>
          <w:sz w:val="18"/>
          <w:vertAlign w:val="baseline"/>
        </w:rPr>
        <w:t>Justice</w:t>
      </w:r>
      <w:r>
        <w:rPr>
          <w:spacing w:val="-2"/>
          <w:sz w:val="18"/>
          <w:vertAlign w:val="baseline"/>
        </w:rPr>
        <w:t> </w:t>
      </w:r>
      <w:r>
        <w:rPr>
          <w:sz w:val="18"/>
          <w:vertAlign w:val="baseline"/>
        </w:rPr>
        <w:t>in</w:t>
      </w:r>
      <w:r>
        <w:rPr>
          <w:spacing w:val="-2"/>
          <w:sz w:val="18"/>
          <w:vertAlign w:val="baseline"/>
        </w:rPr>
        <w:t> </w:t>
      </w:r>
      <w:r>
        <w:rPr>
          <w:sz w:val="18"/>
          <w:vertAlign w:val="baseline"/>
        </w:rPr>
        <w:t>Suffolk</w:t>
      </w:r>
      <w:r>
        <w:rPr>
          <w:spacing w:val="-3"/>
          <w:sz w:val="18"/>
          <w:vertAlign w:val="baseline"/>
        </w:rPr>
        <w:t> </w:t>
      </w:r>
      <w:r>
        <w:rPr>
          <w:sz w:val="18"/>
          <w:vertAlign w:val="baseline"/>
        </w:rPr>
        <w:t>County”,</w:t>
      </w:r>
      <w:r>
        <w:rPr>
          <w:spacing w:val="-3"/>
          <w:sz w:val="18"/>
          <w:vertAlign w:val="baseline"/>
        </w:rPr>
        <w:t> </w:t>
      </w:r>
      <w:r>
        <w:rPr>
          <w:sz w:val="18"/>
          <w:vertAlign w:val="baseline"/>
        </w:rPr>
        <w:t>October</w:t>
      </w:r>
      <w:r>
        <w:rPr>
          <w:spacing w:val="-3"/>
          <w:sz w:val="18"/>
          <w:vertAlign w:val="baseline"/>
        </w:rPr>
        <w:t> </w:t>
      </w:r>
      <w:r>
        <w:rPr>
          <w:sz w:val="18"/>
          <w:vertAlign w:val="baseline"/>
        </w:rPr>
        <w:t>4, 2018,</w:t>
      </w:r>
      <w:r>
        <w:rPr>
          <w:spacing w:val="-2"/>
          <w:sz w:val="18"/>
          <w:vertAlign w:val="baseline"/>
        </w:rPr>
        <w:t> </w:t>
      </w:r>
      <w:r>
        <w:rPr>
          <w:sz w:val="18"/>
          <w:vertAlign w:val="baseline"/>
        </w:rPr>
        <w:t>https://bostonbar.org/journal/successful-alternatives-juvenile-diversion-and-restorative-justice-in-suffolk-county/</w:t>
      </w:r>
    </w:p>
    <w:p>
      <w:pPr>
        <w:spacing w:line="153" w:lineRule="auto" w:before="36"/>
        <w:ind w:left="320" w:right="0" w:firstLine="0"/>
        <w:jc w:val="left"/>
        <w:rPr>
          <w:i/>
          <w:sz w:val="18"/>
        </w:rPr>
      </w:pPr>
      <w:r>
        <w:rPr>
          <w:sz w:val="12"/>
        </w:rPr>
        <w:t>204</w:t>
      </w:r>
      <w:r>
        <w:rPr>
          <w:spacing w:val="13"/>
          <w:sz w:val="12"/>
        </w:rPr>
        <w:t> </w:t>
      </w:r>
      <w:r>
        <w:rPr>
          <w:i/>
          <w:spacing w:val="-5"/>
          <w:position w:val="-5"/>
          <w:sz w:val="18"/>
        </w:rPr>
        <w:t>Id.</w:t>
      </w:r>
    </w:p>
    <w:p>
      <w:pPr>
        <w:spacing w:before="35"/>
        <w:ind w:left="320" w:right="0" w:firstLine="0"/>
        <w:jc w:val="left"/>
        <w:rPr>
          <w:i/>
          <w:sz w:val="18"/>
        </w:rPr>
      </w:pPr>
      <w:r>
        <w:rPr>
          <w:sz w:val="12"/>
        </w:rPr>
        <w:t>205</w:t>
      </w:r>
      <w:r>
        <w:rPr>
          <w:spacing w:val="13"/>
          <w:sz w:val="12"/>
        </w:rPr>
        <w:t> </w:t>
      </w:r>
      <w:r>
        <w:rPr>
          <w:i/>
          <w:spacing w:val="-5"/>
          <w:position w:val="-5"/>
          <w:sz w:val="18"/>
        </w:rPr>
        <w:t>Id.</w:t>
      </w:r>
    </w:p>
    <w:p>
      <w:pPr>
        <w:spacing w:before="0"/>
        <w:ind w:left="320" w:right="220" w:firstLine="0"/>
        <w:jc w:val="left"/>
        <w:rPr>
          <w:sz w:val="18"/>
        </w:rPr>
      </w:pPr>
      <w:r>
        <w:rPr>
          <w:sz w:val="18"/>
          <w:vertAlign w:val="superscript"/>
        </w:rPr>
        <w:t>206</w:t>
      </w:r>
      <w:r>
        <w:rPr>
          <w:spacing w:val="-2"/>
          <w:sz w:val="18"/>
          <w:vertAlign w:val="baseline"/>
        </w:rPr>
        <w:t> </w:t>
      </w:r>
      <w:r>
        <w:rPr>
          <w:sz w:val="18"/>
          <w:vertAlign w:val="baseline"/>
        </w:rPr>
        <w:t>Harvel,</w:t>
      </w:r>
      <w:r>
        <w:rPr>
          <w:spacing w:val="-3"/>
          <w:sz w:val="18"/>
          <w:vertAlign w:val="baseline"/>
        </w:rPr>
        <w:t> </w:t>
      </w:r>
      <w:r>
        <w:rPr>
          <w:sz w:val="18"/>
          <w:vertAlign w:val="baseline"/>
        </w:rPr>
        <w:t>Samantha</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2019.</w:t>
      </w:r>
      <w:r>
        <w:rPr>
          <w:spacing w:val="-2"/>
          <w:sz w:val="18"/>
          <w:vertAlign w:val="baseline"/>
        </w:rPr>
        <w:t> </w:t>
      </w:r>
      <w:r>
        <w:rPr>
          <w:sz w:val="18"/>
          <w:vertAlign w:val="baseline"/>
        </w:rPr>
        <w:t>“Promoting</w:t>
      </w:r>
      <w:r>
        <w:rPr>
          <w:spacing w:val="-2"/>
          <w:sz w:val="18"/>
          <w:vertAlign w:val="baseline"/>
        </w:rPr>
        <w:t> </w:t>
      </w:r>
      <w:r>
        <w:rPr>
          <w:sz w:val="18"/>
          <w:vertAlign w:val="baseline"/>
        </w:rPr>
        <w:t>a</w:t>
      </w:r>
      <w:r>
        <w:rPr>
          <w:spacing w:val="-2"/>
          <w:sz w:val="18"/>
          <w:vertAlign w:val="baseline"/>
        </w:rPr>
        <w:t> </w:t>
      </w:r>
      <w:r>
        <w:rPr>
          <w:sz w:val="18"/>
          <w:vertAlign w:val="baseline"/>
        </w:rPr>
        <w:t>New</w:t>
      </w:r>
      <w:r>
        <w:rPr>
          <w:spacing w:val="-3"/>
          <w:sz w:val="18"/>
          <w:vertAlign w:val="baseline"/>
        </w:rPr>
        <w:t> </w:t>
      </w:r>
      <w:r>
        <w:rPr>
          <w:sz w:val="18"/>
          <w:vertAlign w:val="baseline"/>
        </w:rPr>
        <w:t>Direction</w:t>
      </w:r>
      <w:r>
        <w:rPr>
          <w:spacing w:val="-2"/>
          <w:sz w:val="18"/>
          <w:vertAlign w:val="baseline"/>
        </w:rPr>
        <w:t> </w:t>
      </w:r>
      <w:r>
        <w:rPr>
          <w:sz w:val="18"/>
          <w:vertAlign w:val="baseline"/>
        </w:rPr>
        <w:t>for</w:t>
      </w:r>
      <w:r>
        <w:rPr>
          <w:spacing w:val="-3"/>
          <w:sz w:val="18"/>
          <w:vertAlign w:val="baseline"/>
        </w:rPr>
        <w:t> </w:t>
      </w:r>
      <w:r>
        <w:rPr>
          <w:sz w:val="18"/>
          <w:vertAlign w:val="baseline"/>
        </w:rPr>
        <w:t>Youth</w:t>
      </w:r>
      <w:r>
        <w:rPr>
          <w:spacing w:val="-2"/>
          <w:sz w:val="18"/>
          <w:vertAlign w:val="baseline"/>
        </w:rPr>
        <w:t> </w:t>
      </w:r>
      <w:r>
        <w:rPr>
          <w:sz w:val="18"/>
          <w:vertAlign w:val="baseline"/>
        </w:rPr>
        <w:t>Justice</w:t>
      </w:r>
      <w:r>
        <w:rPr>
          <w:i/>
          <w:sz w:val="18"/>
          <w:vertAlign w:val="baseline"/>
        </w:rPr>
        <w:t>”,</w:t>
      </w:r>
      <w:r>
        <w:rPr>
          <w:i/>
          <w:spacing w:val="-3"/>
          <w:sz w:val="18"/>
          <w:vertAlign w:val="baseline"/>
        </w:rPr>
        <w:t> </w:t>
      </w:r>
      <w:r>
        <w:rPr>
          <w:i/>
          <w:sz w:val="18"/>
          <w:vertAlign w:val="baseline"/>
        </w:rPr>
        <w:t>Research</w:t>
      </w:r>
      <w:r>
        <w:rPr>
          <w:i/>
          <w:spacing w:val="-3"/>
          <w:sz w:val="18"/>
          <w:vertAlign w:val="baseline"/>
        </w:rPr>
        <w:t> </w:t>
      </w:r>
      <w:r>
        <w:rPr>
          <w:i/>
          <w:sz w:val="18"/>
          <w:vertAlign w:val="baseline"/>
        </w:rPr>
        <w:t>Report</w:t>
      </w:r>
      <w:r>
        <w:rPr>
          <w:i/>
          <w:spacing w:val="-3"/>
          <w:sz w:val="18"/>
          <w:vertAlign w:val="baseline"/>
        </w:rPr>
        <w:t> </w:t>
      </w:r>
      <w:r>
        <w:rPr>
          <w:i/>
          <w:sz w:val="18"/>
          <w:vertAlign w:val="baseline"/>
        </w:rPr>
        <w:t>Urban</w:t>
      </w:r>
      <w:r>
        <w:rPr>
          <w:i/>
          <w:spacing w:val="-3"/>
          <w:sz w:val="18"/>
          <w:vertAlign w:val="baseline"/>
        </w:rPr>
        <w:t> </w:t>
      </w:r>
      <w:r>
        <w:rPr>
          <w:i/>
          <w:sz w:val="18"/>
          <w:vertAlign w:val="baseline"/>
        </w:rPr>
        <w:t>Institute</w:t>
      </w:r>
      <w:r>
        <w:rPr>
          <w:sz w:val="18"/>
          <w:vertAlign w:val="baseline"/>
        </w:rPr>
        <w:t>,</w:t>
      </w:r>
      <w:r>
        <w:rPr>
          <w:spacing w:val="-3"/>
          <w:sz w:val="18"/>
          <w:vertAlign w:val="baseline"/>
        </w:rPr>
        <w:t> </w:t>
      </w:r>
      <w:r>
        <w:rPr>
          <w:sz w:val="18"/>
          <w:vertAlign w:val="baseline"/>
        </w:rPr>
        <w:t>March</w:t>
      </w:r>
      <w:r>
        <w:rPr>
          <w:spacing w:val="-2"/>
          <w:sz w:val="18"/>
          <w:vertAlign w:val="baseline"/>
        </w:rPr>
        <w:t> </w:t>
      </w:r>
      <w:r>
        <w:rPr>
          <w:sz w:val="18"/>
          <w:vertAlign w:val="baseline"/>
        </w:rPr>
        <w:t>2019, </w:t>
      </w:r>
      <w:r>
        <w:rPr>
          <w:spacing w:val="-2"/>
          <w:sz w:val="18"/>
          <w:vertAlign w:val="baseline"/>
        </w:rPr>
        <w:t>https:</w:t>
      </w:r>
      <w:hyperlink r:id="rId546">
        <w:r>
          <w:rPr>
            <w:spacing w:val="-2"/>
            <w:sz w:val="18"/>
            <w:vertAlign w:val="baseline"/>
          </w:rPr>
          <w:t>//www.urban.org/sites/default/files/publication/100013/innovative_strategies_for_investing_in_youth_justice_0.pdf</w:t>
        </w:r>
      </w:hyperlink>
      <w:r>
        <w:rPr>
          <w:spacing w:val="80"/>
          <w:sz w:val="18"/>
          <w:vertAlign w:val="baseline"/>
        </w:rPr>
        <w:t>   </w:t>
      </w:r>
      <w:r>
        <w:rPr>
          <w:sz w:val="18"/>
          <w:vertAlign w:val="superscript"/>
        </w:rPr>
        <w:t>207</w:t>
      </w:r>
      <w:r>
        <w:rPr>
          <w:sz w:val="18"/>
          <w:vertAlign w:val="baseline"/>
        </w:rPr>
        <w:t> Juvenile Justice Policy and Data Board. 2022. “Racial and Ethnic Disparities at the Front Door</w:t>
      </w:r>
      <w:r>
        <w:rPr>
          <w:spacing w:val="40"/>
          <w:sz w:val="18"/>
          <w:vertAlign w:val="baseline"/>
        </w:rPr>
        <w:t> </w:t>
      </w:r>
      <w:r>
        <w:rPr>
          <w:sz w:val="18"/>
          <w:vertAlign w:val="baseline"/>
        </w:rPr>
        <w:t>of Massachusetts’ Juvenile Justice System”, November 2022, </w:t>
      </w:r>
      <w:hyperlink r:id="rId547">
        <w:r>
          <w:rPr>
            <w:sz w:val="18"/>
            <w:u w:val="single"/>
            <w:vertAlign w:val="baseline"/>
          </w:rPr>
          <w:t>https://www.mass.gov/doc/racial-ethnic-disparities-at-the-front-door-of-massachusetts-</w:t>
        </w:r>
      </w:hyperlink>
      <w:r>
        <w:rPr>
          <w:sz w:val="18"/>
          <w:u w:val="none"/>
          <w:vertAlign w:val="baseline"/>
        </w:rPr>
        <w:t> </w:t>
      </w:r>
      <w:hyperlink r:id="rId547">
        <w:r>
          <w:rPr>
            <w:spacing w:val="-2"/>
            <w:sz w:val="18"/>
            <w:u w:val="single"/>
            <w:vertAlign w:val="baseline"/>
          </w:rPr>
          <w:t>juvenile-justice-system-understanding-the-factors-leading-to-overrepresentation-of-black-and-latino-youth-entering-the-</w:t>
        </w:r>
      </w:hyperlink>
      <w:r>
        <w:rPr>
          <w:sz w:val="18"/>
          <w:u w:val="none"/>
          <w:vertAlign w:val="baseline"/>
        </w:rPr>
        <w:t> </w:t>
      </w:r>
      <w:hyperlink r:id="rId547">
        <w:r>
          <w:rPr>
            <w:spacing w:val="-2"/>
            <w:sz w:val="18"/>
            <w:u w:val="single"/>
            <w:vertAlign w:val="baseline"/>
          </w:rPr>
          <w:t>system/download</w:t>
        </w:r>
      </w:hyperlink>
    </w:p>
    <w:p>
      <w:pPr>
        <w:spacing w:before="0"/>
        <w:ind w:left="320" w:right="481" w:firstLine="0"/>
        <w:jc w:val="left"/>
        <w:rPr>
          <w:sz w:val="18"/>
        </w:rPr>
      </w:pPr>
      <w:r>
        <w:rPr>
          <w:sz w:val="18"/>
          <w:vertAlign w:val="superscript"/>
        </w:rPr>
        <w:t>208</w:t>
      </w:r>
      <w:r>
        <w:rPr>
          <w:spacing w:val="-2"/>
          <w:sz w:val="18"/>
          <w:vertAlign w:val="baseline"/>
        </w:rPr>
        <w:t> </w:t>
      </w:r>
      <w:r>
        <w:rPr>
          <w:sz w:val="18"/>
          <w:vertAlign w:val="baseline"/>
        </w:rPr>
        <w:t>Johanna</w:t>
      </w:r>
      <w:r>
        <w:rPr>
          <w:spacing w:val="-2"/>
          <w:sz w:val="18"/>
          <w:vertAlign w:val="baseline"/>
        </w:rPr>
        <w:t> </w:t>
      </w:r>
      <w:r>
        <w:rPr>
          <w:sz w:val="18"/>
          <w:vertAlign w:val="baseline"/>
        </w:rPr>
        <w:t>Folk</w:t>
      </w:r>
      <w:r>
        <w:rPr>
          <w:spacing w:val="-3"/>
          <w:sz w:val="18"/>
          <w:vertAlign w:val="baseline"/>
        </w:rPr>
        <w:t> </w:t>
      </w:r>
      <w:r>
        <w:rPr>
          <w:sz w:val="18"/>
          <w:vertAlign w:val="baseline"/>
        </w:rPr>
        <w:t>et</w:t>
      </w:r>
      <w:r>
        <w:rPr>
          <w:spacing w:val="-4"/>
          <w:sz w:val="18"/>
          <w:vertAlign w:val="baseline"/>
        </w:rPr>
        <w:t> </w:t>
      </w:r>
      <w:r>
        <w:rPr>
          <w:sz w:val="18"/>
          <w:vertAlign w:val="baseline"/>
        </w:rPr>
        <w:t>al.</w:t>
      </w:r>
      <w:r>
        <w:rPr>
          <w:spacing w:val="-2"/>
          <w:sz w:val="18"/>
          <w:vertAlign w:val="baseline"/>
        </w:rPr>
        <w:t> </w:t>
      </w:r>
      <w:r>
        <w:rPr>
          <w:sz w:val="18"/>
          <w:vertAlign w:val="baseline"/>
        </w:rPr>
        <w:t>2017.</w:t>
      </w:r>
      <w:r>
        <w:rPr>
          <w:spacing w:val="-2"/>
          <w:sz w:val="18"/>
          <w:vertAlign w:val="baseline"/>
        </w:rPr>
        <w:t> </w:t>
      </w:r>
      <w:r>
        <w:rPr>
          <w:sz w:val="18"/>
          <w:vertAlign w:val="baseline"/>
        </w:rPr>
        <w:t>“Connectedness</w:t>
      </w:r>
      <w:r>
        <w:rPr>
          <w:spacing w:val="-2"/>
          <w:sz w:val="18"/>
          <w:vertAlign w:val="baseline"/>
        </w:rPr>
        <w:t> </w:t>
      </w:r>
      <w:r>
        <w:rPr>
          <w:sz w:val="18"/>
          <w:vertAlign w:val="baseline"/>
        </w:rPr>
        <w:t>to</w:t>
      </w:r>
      <w:r>
        <w:rPr>
          <w:spacing w:val="-2"/>
          <w:sz w:val="18"/>
          <w:vertAlign w:val="baseline"/>
        </w:rPr>
        <w:t> </w:t>
      </w:r>
      <w:r>
        <w:rPr>
          <w:sz w:val="18"/>
          <w:vertAlign w:val="baseline"/>
        </w:rPr>
        <w:t>the</w:t>
      </w:r>
      <w:r>
        <w:rPr>
          <w:spacing w:val="-3"/>
          <w:sz w:val="18"/>
          <w:vertAlign w:val="baseline"/>
        </w:rPr>
        <w:t> </w:t>
      </w:r>
      <w:r>
        <w:rPr>
          <w:sz w:val="18"/>
          <w:vertAlign w:val="baseline"/>
        </w:rPr>
        <w:t>Criminal</w:t>
      </w:r>
      <w:r>
        <w:rPr>
          <w:spacing w:val="-3"/>
          <w:sz w:val="18"/>
          <w:vertAlign w:val="baseline"/>
        </w:rPr>
        <w:t> </w:t>
      </w:r>
      <w:r>
        <w:rPr>
          <w:sz w:val="18"/>
          <w:vertAlign w:val="baseline"/>
        </w:rPr>
        <w:t>Community</w:t>
      </w:r>
      <w:r>
        <w:rPr>
          <w:spacing w:val="-2"/>
          <w:sz w:val="18"/>
          <w:vertAlign w:val="baseline"/>
        </w:rPr>
        <w:t> </w:t>
      </w:r>
      <w:r>
        <w:rPr>
          <w:sz w:val="18"/>
          <w:vertAlign w:val="baseline"/>
        </w:rPr>
        <w:t>and</w:t>
      </w:r>
      <w:r>
        <w:rPr>
          <w:spacing w:val="-2"/>
          <w:sz w:val="18"/>
          <w:vertAlign w:val="baseline"/>
        </w:rPr>
        <w:t> </w:t>
      </w:r>
      <w:r>
        <w:rPr>
          <w:sz w:val="18"/>
          <w:vertAlign w:val="baseline"/>
        </w:rPr>
        <w:t>the</w:t>
      </w:r>
      <w:r>
        <w:rPr>
          <w:spacing w:val="-2"/>
          <w:sz w:val="18"/>
          <w:vertAlign w:val="baseline"/>
        </w:rPr>
        <w:t> </w:t>
      </w:r>
      <w:r>
        <w:rPr>
          <w:sz w:val="18"/>
          <w:vertAlign w:val="baseline"/>
        </w:rPr>
        <w:t>Community</w:t>
      </w:r>
      <w:r>
        <w:rPr>
          <w:spacing w:val="-2"/>
          <w:sz w:val="18"/>
          <w:vertAlign w:val="baseline"/>
        </w:rPr>
        <w:t> </w:t>
      </w:r>
      <w:r>
        <w:rPr>
          <w:sz w:val="18"/>
          <w:vertAlign w:val="baseline"/>
        </w:rPr>
        <w:t>at</w:t>
      </w:r>
      <w:r>
        <w:rPr>
          <w:spacing w:val="-3"/>
          <w:sz w:val="18"/>
          <w:vertAlign w:val="baseline"/>
        </w:rPr>
        <w:t> </w:t>
      </w:r>
      <w:r>
        <w:rPr>
          <w:sz w:val="18"/>
          <w:vertAlign w:val="baseline"/>
        </w:rPr>
        <w:t>Large</w:t>
      </w:r>
      <w:r>
        <w:rPr>
          <w:spacing w:val="-2"/>
          <w:sz w:val="18"/>
          <w:vertAlign w:val="baseline"/>
        </w:rPr>
        <w:t> </w:t>
      </w:r>
      <w:r>
        <w:rPr>
          <w:sz w:val="18"/>
          <w:vertAlign w:val="baseline"/>
        </w:rPr>
        <w:t>Predicts</w:t>
      </w:r>
      <w:r>
        <w:rPr>
          <w:spacing w:val="-2"/>
          <w:sz w:val="18"/>
          <w:vertAlign w:val="baseline"/>
        </w:rPr>
        <w:t> </w:t>
      </w:r>
      <w:r>
        <w:rPr>
          <w:sz w:val="18"/>
          <w:vertAlign w:val="baseline"/>
        </w:rPr>
        <w:t>1-year</w:t>
      </w:r>
      <w:r>
        <w:rPr>
          <w:spacing w:val="-4"/>
          <w:sz w:val="18"/>
          <w:vertAlign w:val="baseline"/>
        </w:rPr>
        <w:t> </w:t>
      </w:r>
      <w:r>
        <w:rPr>
          <w:sz w:val="18"/>
          <w:vertAlign w:val="baseline"/>
        </w:rPr>
        <w:t>post- release Outcomes Among Felony Offenders”, </w:t>
      </w:r>
      <w:r>
        <w:rPr>
          <w:i/>
          <w:sz w:val="18"/>
          <w:vertAlign w:val="baseline"/>
        </w:rPr>
        <w:t>European Journal of Social Psychology,</w:t>
      </w:r>
      <w:r>
        <w:rPr>
          <w:i/>
          <w:sz w:val="18"/>
          <w:vertAlign w:val="baseline"/>
        </w:rPr>
        <w:t> </w:t>
      </w:r>
      <w:hyperlink r:id="rId548">
        <w:r>
          <w:rPr>
            <w:spacing w:val="-2"/>
            <w:sz w:val="18"/>
            <w:u w:val="single"/>
            <w:vertAlign w:val="baseline"/>
          </w:rPr>
          <w:t>https://www.ncbi.nlm.nih.gov/pmc/articles/PMC4978434/</w:t>
        </w:r>
        <w:r>
          <w:rPr>
            <w:spacing w:val="-2"/>
            <w:sz w:val="18"/>
            <w:u w:val="none"/>
            <w:vertAlign w:val="baseline"/>
          </w:rPr>
          <w:t>.</w:t>
        </w:r>
      </w:hyperlink>
    </w:p>
    <w:p>
      <w:pPr>
        <w:spacing w:before="0"/>
        <w:ind w:left="320" w:right="318" w:firstLine="0"/>
        <w:jc w:val="left"/>
        <w:rPr>
          <w:sz w:val="18"/>
        </w:rPr>
      </w:pPr>
      <w:r>
        <w:rPr>
          <w:sz w:val="18"/>
          <w:vertAlign w:val="superscript"/>
        </w:rPr>
        <w:t>209</w:t>
      </w:r>
      <w:r>
        <w:rPr>
          <w:spacing w:val="-2"/>
          <w:sz w:val="18"/>
          <w:vertAlign w:val="baseline"/>
        </w:rPr>
        <w:t> </w:t>
      </w:r>
      <w:r>
        <w:rPr>
          <w:sz w:val="18"/>
          <w:vertAlign w:val="baseline"/>
        </w:rPr>
        <w:t>National</w:t>
      </w:r>
      <w:r>
        <w:rPr>
          <w:spacing w:val="-3"/>
          <w:sz w:val="18"/>
          <w:vertAlign w:val="baseline"/>
        </w:rPr>
        <w:t> </w:t>
      </w:r>
      <w:r>
        <w:rPr>
          <w:sz w:val="18"/>
          <w:vertAlign w:val="baseline"/>
        </w:rPr>
        <w:t>Council</w:t>
      </w:r>
      <w:r>
        <w:rPr>
          <w:spacing w:val="-3"/>
          <w:sz w:val="18"/>
          <w:vertAlign w:val="baseline"/>
        </w:rPr>
        <w:t> </w:t>
      </w:r>
      <w:r>
        <w:rPr>
          <w:sz w:val="18"/>
          <w:vertAlign w:val="baseline"/>
        </w:rPr>
        <w:t>of</w:t>
      </w:r>
      <w:r>
        <w:rPr>
          <w:spacing w:val="-2"/>
          <w:sz w:val="18"/>
          <w:vertAlign w:val="baseline"/>
        </w:rPr>
        <w:t> </w:t>
      </w:r>
      <w:r>
        <w:rPr>
          <w:sz w:val="18"/>
          <w:vertAlign w:val="baseline"/>
        </w:rPr>
        <w:t>Juvenile</w:t>
      </w:r>
      <w:r>
        <w:rPr>
          <w:spacing w:val="-2"/>
          <w:sz w:val="18"/>
          <w:vertAlign w:val="baseline"/>
        </w:rPr>
        <w:t> </w:t>
      </w:r>
      <w:r>
        <w:rPr>
          <w:sz w:val="18"/>
          <w:vertAlign w:val="baseline"/>
        </w:rPr>
        <w:t>and</w:t>
      </w:r>
      <w:r>
        <w:rPr>
          <w:spacing w:val="-3"/>
          <w:sz w:val="18"/>
          <w:vertAlign w:val="baseline"/>
        </w:rPr>
        <w:t> </w:t>
      </w:r>
      <w:r>
        <w:rPr>
          <w:sz w:val="18"/>
          <w:vertAlign w:val="baseline"/>
        </w:rPr>
        <w:t>Family</w:t>
      </w:r>
      <w:r>
        <w:rPr>
          <w:spacing w:val="-2"/>
          <w:sz w:val="18"/>
          <w:vertAlign w:val="baseline"/>
        </w:rPr>
        <w:t> </w:t>
      </w:r>
      <w:r>
        <w:rPr>
          <w:sz w:val="18"/>
          <w:vertAlign w:val="baseline"/>
        </w:rPr>
        <w:t>Court</w:t>
      </w:r>
      <w:r>
        <w:rPr>
          <w:spacing w:val="-3"/>
          <w:sz w:val="18"/>
          <w:vertAlign w:val="baseline"/>
        </w:rPr>
        <w:t> </w:t>
      </w:r>
      <w:r>
        <w:rPr>
          <w:sz w:val="18"/>
          <w:vertAlign w:val="baseline"/>
        </w:rPr>
        <w:t>Judges,</w:t>
      </w:r>
      <w:r>
        <w:rPr>
          <w:spacing w:val="-3"/>
          <w:sz w:val="18"/>
          <w:vertAlign w:val="baseline"/>
        </w:rPr>
        <w:t> </w:t>
      </w:r>
      <w:r>
        <w:rPr>
          <w:sz w:val="18"/>
          <w:vertAlign w:val="baseline"/>
        </w:rPr>
        <w:t>Strategies</w:t>
      </w:r>
      <w:r>
        <w:rPr>
          <w:spacing w:val="-3"/>
          <w:sz w:val="18"/>
          <w:vertAlign w:val="baseline"/>
        </w:rPr>
        <w:t> </w:t>
      </w:r>
      <w:r>
        <w:rPr>
          <w:sz w:val="18"/>
          <w:vertAlign w:val="baseline"/>
        </w:rPr>
        <w:t>for</w:t>
      </w:r>
      <w:r>
        <w:rPr>
          <w:spacing w:val="-3"/>
          <w:sz w:val="18"/>
          <w:vertAlign w:val="baseline"/>
        </w:rPr>
        <w:t> </w:t>
      </w:r>
      <w:r>
        <w:rPr>
          <w:sz w:val="18"/>
          <w:vertAlign w:val="baseline"/>
        </w:rPr>
        <w:t>Engaging</w:t>
      </w:r>
      <w:r>
        <w:rPr>
          <w:spacing w:val="-2"/>
          <w:sz w:val="18"/>
          <w:vertAlign w:val="baseline"/>
        </w:rPr>
        <w:t> </w:t>
      </w:r>
      <w:r>
        <w:rPr>
          <w:sz w:val="18"/>
          <w:vertAlign w:val="baseline"/>
        </w:rPr>
        <w:t>Youth</w:t>
      </w:r>
      <w:r>
        <w:rPr>
          <w:spacing w:val="-2"/>
          <w:sz w:val="18"/>
          <w:vertAlign w:val="baseline"/>
        </w:rPr>
        <w:t> </w:t>
      </w:r>
      <w:r>
        <w:rPr>
          <w:sz w:val="18"/>
          <w:vertAlign w:val="baseline"/>
        </w:rPr>
        <w:t>and</w:t>
      </w:r>
      <w:r>
        <w:rPr>
          <w:spacing w:val="-2"/>
          <w:sz w:val="18"/>
          <w:vertAlign w:val="baseline"/>
        </w:rPr>
        <w:t> </w:t>
      </w:r>
      <w:r>
        <w:rPr>
          <w:sz w:val="18"/>
          <w:vertAlign w:val="baseline"/>
        </w:rPr>
        <w:t>Families</w:t>
      </w:r>
      <w:r>
        <w:rPr>
          <w:spacing w:val="-3"/>
          <w:sz w:val="18"/>
          <w:vertAlign w:val="baseline"/>
        </w:rPr>
        <w:t> </w:t>
      </w:r>
      <w:r>
        <w:rPr>
          <w:sz w:val="18"/>
          <w:vertAlign w:val="baseline"/>
        </w:rPr>
        <w:t>with</w:t>
      </w:r>
      <w:r>
        <w:rPr>
          <w:spacing w:val="-2"/>
          <w:sz w:val="18"/>
          <w:vertAlign w:val="baseline"/>
        </w:rPr>
        <w:t> </w:t>
      </w:r>
      <w:r>
        <w:rPr>
          <w:sz w:val="18"/>
          <w:vertAlign w:val="baseline"/>
        </w:rPr>
        <w:t>Lived</w:t>
      </w:r>
      <w:r>
        <w:rPr>
          <w:spacing w:val="-2"/>
          <w:sz w:val="18"/>
          <w:vertAlign w:val="baseline"/>
        </w:rPr>
        <w:t> </w:t>
      </w:r>
      <w:r>
        <w:rPr>
          <w:sz w:val="18"/>
          <w:vertAlign w:val="baseline"/>
        </w:rPr>
        <w:t>Experiences, 2020,</w:t>
      </w:r>
      <w:r>
        <w:rPr>
          <w:spacing w:val="-2"/>
          <w:sz w:val="18"/>
          <w:vertAlign w:val="baseline"/>
        </w:rPr>
        <w:t> </w:t>
      </w:r>
      <w:hyperlink r:id="rId549">
        <w:r>
          <w:rPr>
            <w:sz w:val="18"/>
            <w:u w:val="single"/>
            <w:vertAlign w:val="baseline"/>
          </w:rPr>
          <w:t>https://www.ncjfcj.org/wp-content/uploads/2020/09/NCJFCJ_Strategies_for_Engaging_PWLE_Final.pdf</w:t>
        </w:r>
      </w:hyperlink>
    </w:p>
    <w:p>
      <w:pPr>
        <w:spacing w:line="153" w:lineRule="auto" w:before="36"/>
        <w:ind w:left="320" w:right="0" w:firstLine="0"/>
        <w:jc w:val="left"/>
        <w:rPr>
          <w:i/>
          <w:sz w:val="18"/>
        </w:rPr>
      </w:pPr>
      <w:r>
        <w:rPr>
          <w:sz w:val="12"/>
        </w:rPr>
        <w:t>210</w:t>
      </w:r>
      <w:r>
        <w:rPr>
          <w:spacing w:val="13"/>
          <w:sz w:val="12"/>
        </w:rPr>
        <w:t> </w:t>
      </w:r>
      <w:r>
        <w:rPr>
          <w:i/>
          <w:spacing w:val="-5"/>
          <w:position w:val="-5"/>
          <w:sz w:val="18"/>
        </w:rPr>
        <w:t>Id.</w:t>
      </w:r>
    </w:p>
    <w:p>
      <w:pPr>
        <w:spacing w:before="35"/>
        <w:ind w:left="320" w:right="0" w:firstLine="0"/>
        <w:jc w:val="left"/>
        <w:rPr>
          <w:i/>
          <w:sz w:val="18"/>
        </w:rPr>
      </w:pPr>
      <w:r>
        <w:rPr>
          <w:sz w:val="12"/>
        </w:rPr>
        <w:t>211</w:t>
      </w:r>
      <w:r>
        <w:rPr>
          <w:spacing w:val="13"/>
          <w:sz w:val="12"/>
        </w:rPr>
        <w:t> </w:t>
      </w:r>
      <w:r>
        <w:rPr>
          <w:i/>
          <w:spacing w:val="-5"/>
          <w:position w:val="-5"/>
          <w:sz w:val="18"/>
        </w:rPr>
        <w:t>Id.</w:t>
      </w:r>
    </w:p>
    <w:p>
      <w:pPr>
        <w:spacing w:before="0"/>
        <w:ind w:left="320" w:right="746" w:firstLine="0"/>
        <w:jc w:val="left"/>
        <w:rPr>
          <w:sz w:val="18"/>
        </w:rPr>
      </w:pPr>
      <w:r>
        <w:rPr>
          <w:sz w:val="18"/>
          <w:vertAlign w:val="superscript"/>
        </w:rPr>
        <w:t>212</w:t>
      </w:r>
      <w:r>
        <w:rPr>
          <w:spacing w:val="-3"/>
          <w:sz w:val="18"/>
          <w:vertAlign w:val="baseline"/>
        </w:rPr>
        <w:t> </w:t>
      </w:r>
      <w:r>
        <w:rPr>
          <w:sz w:val="18"/>
          <w:vertAlign w:val="baseline"/>
        </w:rPr>
        <w:t>National</w:t>
      </w:r>
      <w:r>
        <w:rPr>
          <w:spacing w:val="-3"/>
          <w:sz w:val="18"/>
          <w:vertAlign w:val="baseline"/>
        </w:rPr>
        <w:t> </w:t>
      </w:r>
      <w:r>
        <w:rPr>
          <w:sz w:val="18"/>
          <w:vertAlign w:val="baseline"/>
        </w:rPr>
        <w:t>Center</w:t>
      </w:r>
      <w:r>
        <w:rPr>
          <w:spacing w:val="-3"/>
          <w:sz w:val="18"/>
          <w:vertAlign w:val="baseline"/>
        </w:rPr>
        <w:t> </w:t>
      </w:r>
      <w:r>
        <w:rPr>
          <w:sz w:val="18"/>
          <w:vertAlign w:val="baseline"/>
        </w:rPr>
        <w:t>on</w:t>
      </w:r>
      <w:r>
        <w:rPr>
          <w:spacing w:val="-3"/>
          <w:sz w:val="18"/>
          <w:vertAlign w:val="baseline"/>
        </w:rPr>
        <w:t> </w:t>
      </w:r>
      <w:r>
        <w:rPr>
          <w:sz w:val="18"/>
          <w:vertAlign w:val="baseline"/>
        </w:rPr>
        <w:t>Substance</w:t>
      </w:r>
      <w:r>
        <w:rPr>
          <w:spacing w:val="-3"/>
          <w:sz w:val="18"/>
          <w:vertAlign w:val="baseline"/>
        </w:rPr>
        <w:t> </w:t>
      </w:r>
      <w:r>
        <w:rPr>
          <w:sz w:val="18"/>
          <w:vertAlign w:val="baseline"/>
        </w:rPr>
        <w:t>Abuse</w:t>
      </w:r>
      <w:r>
        <w:rPr>
          <w:spacing w:val="-3"/>
          <w:sz w:val="18"/>
          <w:vertAlign w:val="baseline"/>
        </w:rPr>
        <w:t> </w:t>
      </w:r>
      <w:r>
        <w:rPr>
          <w:sz w:val="18"/>
          <w:vertAlign w:val="baseline"/>
        </w:rPr>
        <w:t>and</w:t>
      </w:r>
      <w:r>
        <w:rPr>
          <w:spacing w:val="-3"/>
          <w:sz w:val="18"/>
          <w:vertAlign w:val="baseline"/>
        </w:rPr>
        <w:t> </w:t>
      </w:r>
      <w:r>
        <w:rPr>
          <w:sz w:val="18"/>
          <w:vertAlign w:val="baseline"/>
        </w:rPr>
        <w:t>Child</w:t>
      </w:r>
      <w:r>
        <w:rPr>
          <w:spacing w:val="-3"/>
          <w:sz w:val="18"/>
          <w:vertAlign w:val="baseline"/>
        </w:rPr>
        <w:t> </w:t>
      </w:r>
      <w:r>
        <w:rPr>
          <w:sz w:val="18"/>
          <w:vertAlign w:val="baseline"/>
        </w:rPr>
        <w:t>Welfare.</w:t>
      </w:r>
      <w:r>
        <w:rPr>
          <w:spacing w:val="-3"/>
          <w:sz w:val="18"/>
          <w:vertAlign w:val="baseline"/>
        </w:rPr>
        <w:t> </w:t>
      </w:r>
      <w:r>
        <w:rPr>
          <w:sz w:val="18"/>
          <w:vertAlign w:val="baseline"/>
        </w:rPr>
        <w:t>2022.</w:t>
      </w:r>
      <w:r>
        <w:rPr>
          <w:spacing w:val="-3"/>
          <w:sz w:val="18"/>
          <w:vertAlign w:val="baseline"/>
        </w:rPr>
        <w:t> </w:t>
      </w:r>
      <w:r>
        <w:rPr>
          <w:sz w:val="18"/>
          <w:vertAlign w:val="baseline"/>
        </w:rPr>
        <w:t>“Engaging</w:t>
      </w:r>
      <w:r>
        <w:rPr>
          <w:spacing w:val="-3"/>
          <w:sz w:val="18"/>
          <w:vertAlign w:val="baseline"/>
        </w:rPr>
        <w:t> </w:t>
      </w:r>
      <w:r>
        <w:rPr>
          <w:sz w:val="18"/>
          <w:vertAlign w:val="baseline"/>
        </w:rPr>
        <w:t>Parents</w:t>
      </w:r>
      <w:r>
        <w:rPr>
          <w:spacing w:val="-3"/>
          <w:sz w:val="18"/>
          <w:vertAlign w:val="baseline"/>
        </w:rPr>
        <w:t> </w:t>
      </w:r>
      <w:r>
        <w:rPr>
          <w:sz w:val="18"/>
          <w:vertAlign w:val="baseline"/>
        </w:rPr>
        <w:t>and</w:t>
      </w:r>
      <w:r>
        <w:rPr>
          <w:spacing w:val="-3"/>
          <w:sz w:val="18"/>
          <w:vertAlign w:val="baseline"/>
        </w:rPr>
        <w:t> </w:t>
      </w:r>
      <w:r>
        <w:rPr>
          <w:sz w:val="18"/>
          <w:vertAlign w:val="baseline"/>
        </w:rPr>
        <w:t>Youths</w:t>
      </w:r>
      <w:r>
        <w:rPr>
          <w:spacing w:val="-3"/>
          <w:sz w:val="18"/>
          <w:vertAlign w:val="baseline"/>
        </w:rPr>
        <w:t> </w:t>
      </w:r>
      <w:r>
        <w:rPr>
          <w:sz w:val="18"/>
          <w:vertAlign w:val="baseline"/>
        </w:rPr>
        <w:t>With</w:t>
      </w:r>
      <w:r>
        <w:rPr>
          <w:spacing w:val="-3"/>
          <w:sz w:val="18"/>
          <w:vertAlign w:val="baseline"/>
        </w:rPr>
        <w:t> </w:t>
      </w:r>
      <w:r>
        <w:rPr>
          <w:sz w:val="18"/>
          <w:vertAlign w:val="baseline"/>
        </w:rPr>
        <w:t>Lived</w:t>
      </w:r>
      <w:r>
        <w:rPr>
          <w:spacing w:val="-3"/>
          <w:sz w:val="18"/>
          <w:vertAlign w:val="baseline"/>
        </w:rPr>
        <w:t> </w:t>
      </w:r>
      <w:r>
        <w:rPr>
          <w:sz w:val="18"/>
          <w:vertAlign w:val="baseline"/>
        </w:rPr>
        <w:t>Experience” </w:t>
      </w:r>
      <w:r>
        <w:rPr>
          <w:spacing w:val="-2"/>
          <w:sz w:val="18"/>
          <w:vertAlign w:val="baseline"/>
        </w:rPr>
        <w:t>https://ncsacw.acf.hhs.gov/files/live-experience.pdf.</w:t>
      </w:r>
    </w:p>
    <w:p>
      <w:pPr>
        <w:spacing w:before="1"/>
        <w:ind w:left="320" w:right="0" w:firstLine="0"/>
        <w:jc w:val="left"/>
        <w:rPr>
          <w:sz w:val="18"/>
        </w:rPr>
      </w:pPr>
      <w:r>
        <w:rPr>
          <w:sz w:val="18"/>
          <w:vertAlign w:val="superscript"/>
        </w:rPr>
        <w:t>213</w:t>
      </w:r>
      <w:r>
        <w:rPr>
          <w:spacing w:val="-3"/>
          <w:sz w:val="18"/>
          <w:vertAlign w:val="baseline"/>
        </w:rPr>
        <w:t> </w:t>
      </w:r>
      <w:r>
        <w:rPr>
          <w:sz w:val="18"/>
          <w:vertAlign w:val="baseline"/>
        </w:rPr>
        <w:t>National</w:t>
      </w:r>
      <w:r>
        <w:rPr>
          <w:spacing w:val="-4"/>
          <w:sz w:val="18"/>
          <w:vertAlign w:val="baseline"/>
        </w:rPr>
        <w:t> </w:t>
      </w:r>
      <w:r>
        <w:rPr>
          <w:sz w:val="18"/>
          <w:vertAlign w:val="baseline"/>
        </w:rPr>
        <w:t>Collaboration</w:t>
      </w:r>
      <w:r>
        <w:rPr>
          <w:spacing w:val="-3"/>
          <w:sz w:val="18"/>
          <w:vertAlign w:val="baseline"/>
        </w:rPr>
        <w:t> </w:t>
      </w:r>
      <w:r>
        <w:rPr>
          <w:sz w:val="18"/>
          <w:vertAlign w:val="baseline"/>
        </w:rPr>
        <w:t>for</w:t>
      </w:r>
      <w:r>
        <w:rPr>
          <w:spacing w:val="-4"/>
          <w:sz w:val="18"/>
          <w:vertAlign w:val="baseline"/>
        </w:rPr>
        <w:t> </w:t>
      </w:r>
      <w:r>
        <w:rPr>
          <w:sz w:val="18"/>
          <w:vertAlign w:val="baseline"/>
        </w:rPr>
        <w:t>Youth</w:t>
      </w:r>
      <w:r>
        <w:rPr>
          <w:spacing w:val="-3"/>
          <w:sz w:val="18"/>
          <w:vertAlign w:val="baseline"/>
        </w:rPr>
        <w:t> </w:t>
      </w:r>
      <w:r>
        <w:rPr>
          <w:sz w:val="18"/>
          <w:vertAlign w:val="baseline"/>
        </w:rPr>
        <w:t>and</w:t>
      </w:r>
      <w:r>
        <w:rPr>
          <w:spacing w:val="-3"/>
          <w:sz w:val="18"/>
          <w:vertAlign w:val="baseline"/>
        </w:rPr>
        <w:t> </w:t>
      </w:r>
      <w:r>
        <w:rPr>
          <w:sz w:val="18"/>
          <w:vertAlign w:val="baseline"/>
        </w:rPr>
        <w:t>National</w:t>
      </w:r>
      <w:r>
        <w:rPr>
          <w:spacing w:val="-4"/>
          <w:sz w:val="18"/>
          <w:vertAlign w:val="baseline"/>
        </w:rPr>
        <w:t> </w:t>
      </w:r>
      <w:r>
        <w:rPr>
          <w:sz w:val="18"/>
          <w:vertAlign w:val="baseline"/>
        </w:rPr>
        <w:t>Juvenile</w:t>
      </w:r>
      <w:r>
        <w:rPr>
          <w:spacing w:val="-3"/>
          <w:sz w:val="18"/>
          <w:vertAlign w:val="baseline"/>
        </w:rPr>
        <w:t> </w:t>
      </w:r>
      <w:r>
        <w:rPr>
          <w:sz w:val="18"/>
          <w:vertAlign w:val="baseline"/>
        </w:rPr>
        <w:t>Justice</w:t>
      </w:r>
      <w:r>
        <w:rPr>
          <w:spacing w:val="-3"/>
          <w:sz w:val="18"/>
          <w:vertAlign w:val="baseline"/>
        </w:rPr>
        <w:t> </w:t>
      </w:r>
      <w:r>
        <w:rPr>
          <w:sz w:val="18"/>
          <w:vertAlign w:val="baseline"/>
        </w:rPr>
        <w:t>Network.</w:t>
      </w:r>
      <w:r>
        <w:rPr>
          <w:spacing w:val="-3"/>
          <w:sz w:val="18"/>
          <w:vertAlign w:val="baseline"/>
        </w:rPr>
        <w:t> </w:t>
      </w:r>
      <w:r>
        <w:rPr>
          <w:sz w:val="18"/>
          <w:vertAlign w:val="baseline"/>
        </w:rPr>
        <w:t>2007.</w:t>
      </w:r>
      <w:r>
        <w:rPr>
          <w:spacing w:val="-3"/>
          <w:sz w:val="18"/>
          <w:vertAlign w:val="baseline"/>
        </w:rPr>
        <w:t> </w:t>
      </w:r>
      <w:r>
        <w:rPr>
          <w:sz w:val="18"/>
          <w:vertAlign w:val="baseline"/>
        </w:rPr>
        <w:t>“Engaging</w:t>
      </w:r>
      <w:r>
        <w:rPr>
          <w:spacing w:val="-3"/>
          <w:sz w:val="18"/>
          <w:vertAlign w:val="baseline"/>
        </w:rPr>
        <w:t> </w:t>
      </w:r>
      <w:r>
        <w:rPr>
          <w:sz w:val="18"/>
          <w:vertAlign w:val="baseline"/>
        </w:rPr>
        <w:t>Young</w:t>
      </w:r>
      <w:r>
        <w:rPr>
          <w:spacing w:val="-4"/>
          <w:sz w:val="18"/>
          <w:vertAlign w:val="baseline"/>
        </w:rPr>
        <w:t> </w:t>
      </w:r>
      <w:r>
        <w:rPr>
          <w:sz w:val="18"/>
          <w:vertAlign w:val="baseline"/>
        </w:rPr>
        <w:t>People</w:t>
      </w:r>
      <w:r>
        <w:rPr>
          <w:spacing w:val="-3"/>
          <w:sz w:val="18"/>
          <w:vertAlign w:val="baseline"/>
        </w:rPr>
        <w:t> </w:t>
      </w:r>
      <w:r>
        <w:rPr>
          <w:sz w:val="18"/>
          <w:vertAlign w:val="baseline"/>
        </w:rPr>
        <w:t>in</w:t>
      </w:r>
      <w:r>
        <w:rPr>
          <w:spacing w:val="-3"/>
          <w:sz w:val="18"/>
          <w:vertAlign w:val="baseline"/>
        </w:rPr>
        <w:t> </w:t>
      </w:r>
      <w:r>
        <w:rPr>
          <w:sz w:val="18"/>
          <w:vertAlign w:val="baseline"/>
        </w:rPr>
        <w:t>Juvenile</w:t>
      </w:r>
      <w:r>
        <w:rPr>
          <w:spacing w:val="-3"/>
          <w:sz w:val="18"/>
          <w:vertAlign w:val="baseline"/>
        </w:rPr>
        <w:t> </w:t>
      </w:r>
      <w:r>
        <w:rPr>
          <w:sz w:val="18"/>
          <w:vertAlign w:val="baseline"/>
        </w:rPr>
        <w:t>Justice Reform”, </w:t>
      </w:r>
      <w:r>
        <w:rPr>
          <w:i/>
          <w:sz w:val="18"/>
          <w:vertAlign w:val="baseline"/>
        </w:rPr>
        <w:t>Policy Brief</w:t>
      </w:r>
      <w:r>
        <w:rPr>
          <w:sz w:val="18"/>
          <w:vertAlign w:val="baseline"/>
        </w:rPr>
        <w:t>, May 2007, https:</w:t>
      </w:r>
      <w:hyperlink r:id="rId550">
        <w:r>
          <w:rPr>
            <w:sz w:val="18"/>
            <w:vertAlign w:val="baseline"/>
          </w:rPr>
          <w:t>//www.njjn.org/uploads/digital-library/resource_497.pdf.</w:t>
        </w:r>
      </w:hyperlink>
    </w:p>
    <w:p>
      <w:pPr>
        <w:spacing w:line="153" w:lineRule="auto" w:before="35"/>
        <w:ind w:left="320" w:right="0" w:firstLine="0"/>
        <w:jc w:val="left"/>
        <w:rPr>
          <w:i/>
          <w:sz w:val="18"/>
        </w:rPr>
      </w:pPr>
      <w:r>
        <w:rPr>
          <w:sz w:val="12"/>
        </w:rPr>
        <w:t>214</w:t>
      </w:r>
      <w:r>
        <w:rPr>
          <w:spacing w:val="13"/>
          <w:sz w:val="12"/>
        </w:rPr>
        <w:t> </w:t>
      </w:r>
      <w:r>
        <w:rPr>
          <w:i/>
          <w:spacing w:val="-5"/>
          <w:position w:val="-5"/>
          <w:sz w:val="18"/>
        </w:rPr>
        <w:t>Id.</w:t>
      </w:r>
    </w:p>
    <w:p>
      <w:pPr>
        <w:spacing w:before="38"/>
        <w:ind w:left="320" w:right="2275" w:firstLine="0"/>
        <w:jc w:val="left"/>
        <w:rPr>
          <w:sz w:val="18"/>
        </w:rPr>
      </w:pPr>
      <w:r>
        <w:rPr>
          <w:sz w:val="18"/>
          <w:vertAlign w:val="superscript"/>
        </w:rPr>
        <w:t>215</w:t>
      </w:r>
      <w:r>
        <w:rPr>
          <w:sz w:val="18"/>
          <w:vertAlign w:val="baseline"/>
        </w:rPr>
        <w:t> Alliance for Children’s Rights. 2022. “Engaging Lived Experience in Public Policy Discussions” </w:t>
      </w:r>
      <w:r>
        <w:rPr>
          <w:spacing w:val="-2"/>
          <w:sz w:val="18"/>
          <w:vertAlign w:val="baseline"/>
        </w:rPr>
        <w:t>https://allianceforchildrensrights.org/wp-content/uploads/Engaging-Lived-Experience-Report.pdf.</w:t>
      </w:r>
    </w:p>
    <w:p>
      <w:pPr>
        <w:spacing w:after="0"/>
        <w:jc w:val="left"/>
        <w:rPr>
          <w:sz w:val="18"/>
        </w:rPr>
        <w:sectPr>
          <w:pgSz w:w="12240" w:h="15840"/>
          <w:pgMar w:header="763" w:footer="1041" w:top="1360" w:bottom="1240" w:left="1120" w:right="1340"/>
        </w:sectPr>
      </w:pPr>
    </w:p>
    <w:p>
      <w:pPr>
        <w:pStyle w:val="BodyText"/>
        <w:rPr>
          <w:sz w:val="34"/>
        </w:rPr>
      </w:pPr>
    </w:p>
    <w:p>
      <w:pPr>
        <w:pStyle w:val="BodyText"/>
        <w:spacing w:before="243"/>
        <w:rPr>
          <w:sz w:val="34"/>
        </w:rPr>
      </w:pPr>
    </w:p>
    <w:p>
      <w:pPr>
        <w:spacing w:line="400" w:lineRule="exact" w:before="1"/>
        <w:ind w:left="674" w:right="0" w:firstLine="0"/>
        <w:jc w:val="left"/>
        <w:rPr>
          <w:sz w:val="34"/>
        </w:rPr>
      </w:pPr>
      <w:bookmarkStart w:name="Flyer Template for Reports Gianna, Theo " w:id="769"/>
      <w:bookmarkEnd w:id="769"/>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5"/>
        <w:spacing w:line="213" w:lineRule="auto"/>
        <w:ind w:left="674" w:right="2390"/>
      </w:pPr>
      <w:r>
        <w:rPr>
          <w:color w:val="FFFFFF"/>
          <w:spacing w:val="-2"/>
          <w:w w:val="90"/>
        </w:rPr>
        <w:t>ADVANCING </w:t>
      </w:r>
      <w:r>
        <w:rPr>
          <w:color w:val="FFFFFF"/>
          <w:spacing w:val="-26"/>
        </w:rPr>
        <w:t>JUSTICE</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7"/>
        <w:rPr>
          <w:rFonts w:ascii="Verdana"/>
          <w:b/>
          <w:sz w:val="20"/>
        </w:rPr>
      </w:pPr>
    </w:p>
    <w:p>
      <w:pPr>
        <w:spacing w:after="0"/>
        <w:rPr>
          <w:rFonts w:ascii="Verdana"/>
          <w:sz w:val="20"/>
        </w:rPr>
        <w:sectPr>
          <w:headerReference w:type="default" r:id="rId551"/>
          <w:footerReference w:type="default" r:id="rId552"/>
          <w:pgSz w:w="12240" w:h="15840"/>
          <w:pgMar w:header="0" w:footer="0" w:top="0" w:bottom="280" w:left="920" w:right="380"/>
        </w:sectPr>
      </w:pPr>
    </w:p>
    <w:p>
      <w:pPr>
        <w:pStyle w:val="Heading9"/>
        <w:rPr>
          <w:i/>
        </w:rPr>
      </w:pPr>
      <w:r>
        <w:rPr>
          <w:i/>
          <w:spacing w:val="11"/>
          <w:w w:val="125"/>
        </w:rPr>
        <w:t>ABOUT</w:t>
      </w:r>
    </w:p>
    <w:p>
      <w:pPr>
        <w:spacing w:line="261" w:lineRule="auto" w:before="198"/>
        <w:ind w:left="323" w:right="38" w:firstLine="0"/>
        <w:jc w:val="both"/>
        <w:rPr>
          <w:rFonts w:ascii="Georgia"/>
          <w:sz w:val="23"/>
        </w:rPr>
      </w:pPr>
      <w:r>
        <w:rPr>
          <w:rFonts w:ascii="Georgia"/>
          <w:sz w:val="23"/>
        </w:rPr>
        <w:t>Harassment, bullying, and violence often lead to LGBTQ youth coping through criminalized compensatory</w:t>
      </w:r>
      <w:r>
        <w:rPr>
          <w:rFonts w:ascii="Georgia"/>
          <w:spacing w:val="40"/>
          <w:sz w:val="23"/>
        </w:rPr>
        <w:t> </w:t>
      </w:r>
      <w:r>
        <w:rPr>
          <w:rFonts w:ascii="Georgia"/>
          <w:sz w:val="23"/>
        </w:rPr>
        <w:t>behaviors,</w:t>
      </w:r>
      <w:r>
        <w:rPr>
          <w:rFonts w:ascii="Georgia"/>
          <w:spacing w:val="40"/>
          <w:sz w:val="23"/>
        </w:rPr>
        <w:t> </w:t>
      </w:r>
      <w:r>
        <w:rPr>
          <w:rFonts w:ascii="Georgia"/>
          <w:sz w:val="23"/>
        </w:rPr>
        <w:t>and</w:t>
      </w:r>
      <w:r>
        <w:rPr>
          <w:rFonts w:ascii="Georgia"/>
          <w:spacing w:val="40"/>
          <w:sz w:val="23"/>
        </w:rPr>
        <w:t> </w:t>
      </w:r>
      <w:r>
        <w:rPr>
          <w:rFonts w:ascii="Georgia"/>
          <w:sz w:val="23"/>
        </w:rPr>
        <w:t>survival</w:t>
      </w:r>
      <w:r>
        <w:rPr>
          <w:rFonts w:ascii="Georgia"/>
          <w:spacing w:val="40"/>
          <w:sz w:val="23"/>
        </w:rPr>
        <w:t> </w:t>
      </w:r>
      <w:r>
        <w:rPr>
          <w:rFonts w:ascii="Georgia"/>
          <w:sz w:val="23"/>
        </w:rPr>
        <w:t>economies - such as sex work and the selling of drugs. Police are also more likely to disproportionately target LGBTQ youth, particularly youth of color and those</w:t>
      </w:r>
      <w:r>
        <w:rPr>
          <w:rFonts w:ascii="Georgia"/>
          <w:spacing w:val="80"/>
          <w:sz w:val="23"/>
        </w:rPr>
        <w:t> </w:t>
      </w:r>
      <w:r>
        <w:rPr>
          <w:rFonts w:ascii="Georgia"/>
          <w:sz w:val="23"/>
        </w:rPr>
        <w:t>experiencing homelessness.</w:t>
      </w:r>
    </w:p>
    <w:p>
      <w:pPr>
        <w:pStyle w:val="BodyText"/>
        <w:spacing w:before="24"/>
        <w:rPr>
          <w:rFonts w:ascii="Georgia"/>
          <w:sz w:val="23"/>
        </w:rPr>
      </w:pPr>
    </w:p>
    <w:p>
      <w:pPr>
        <w:spacing w:line="261" w:lineRule="auto" w:before="1"/>
        <w:ind w:left="323" w:right="38" w:firstLine="0"/>
        <w:jc w:val="both"/>
        <w:rPr>
          <w:rFonts w:ascii="Georgia"/>
          <w:sz w:val="23"/>
        </w:rPr>
      </w:pPr>
      <w:r>
        <w:rPr>
          <w:rFonts w:ascii="Georgia"/>
          <w:sz w:val="23"/>
        </w:rPr>
        <w:t>Traumatic experiences such as interactions with the criminal justice system can have lifelong repercussions, particularly when they occur during adolescence, a critical period of brain </w:t>
      </w:r>
      <w:r>
        <w:rPr>
          <w:rFonts w:ascii="Georgia"/>
          <w:spacing w:val="-2"/>
          <w:sz w:val="23"/>
        </w:rPr>
        <w:t>development.</w:t>
      </w:r>
    </w:p>
    <w:p>
      <w:pPr>
        <w:spacing w:before="406"/>
        <w:ind w:left="0" w:right="215" w:firstLine="0"/>
        <w:jc w:val="center"/>
        <w:rPr>
          <w:rFonts w:ascii="Verdana"/>
          <w:b/>
          <w:sz w:val="77"/>
        </w:rPr>
      </w:pPr>
      <w:r>
        <w:rPr/>
        <w:br w:type="column"/>
      </w:r>
      <w:r>
        <w:rPr>
          <w:rFonts w:ascii="Verdana"/>
          <w:b/>
          <w:emboss/>
          <w:color w:val="001389"/>
          <w:spacing w:val="20"/>
          <w:w w:val="85"/>
          <w:sz w:val="77"/>
        </w:rPr>
        <w:t>84%</w:t>
      </w:r>
    </w:p>
    <w:p>
      <w:pPr>
        <w:pStyle w:val="BodyText"/>
        <w:spacing w:line="266" w:lineRule="auto" w:before="66"/>
        <w:ind w:left="1013" w:right="194" w:hanging="267"/>
        <w:rPr>
          <w:rFonts w:ascii="Georgia"/>
        </w:rPr>
      </w:pPr>
      <w:r>
        <w:rPr>
          <w:rFonts w:ascii="Georgia"/>
          <w:spacing w:val="-2"/>
          <w:w w:val="105"/>
        </w:rPr>
        <w:t>Of</w:t>
      </w:r>
      <w:r>
        <w:rPr>
          <w:rFonts w:ascii="Georgia"/>
          <w:spacing w:val="-9"/>
          <w:w w:val="105"/>
        </w:rPr>
        <w:t> </w:t>
      </w:r>
      <w:r>
        <w:rPr>
          <w:rFonts w:ascii="Georgia"/>
          <w:spacing w:val="-2"/>
          <w:w w:val="105"/>
        </w:rPr>
        <w:t>youth</w:t>
      </w:r>
      <w:r>
        <w:rPr>
          <w:rFonts w:ascii="Georgia"/>
          <w:spacing w:val="-9"/>
          <w:w w:val="105"/>
        </w:rPr>
        <w:t> </w:t>
      </w:r>
      <w:r>
        <w:rPr>
          <w:rFonts w:ascii="Georgia"/>
          <w:spacing w:val="-2"/>
          <w:w w:val="105"/>
        </w:rPr>
        <w:t>in</w:t>
      </w:r>
      <w:r>
        <w:rPr>
          <w:rFonts w:ascii="Georgia"/>
          <w:spacing w:val="-9"/>
          <w:w w:val="105"/>
        </w:rPr>
        <w:t> </w:t>
      </w:r>
      <w:r>
        <w:rPr>
          <w:rFonts w:ascii="Georgia"/>
          <w:spacing w:val="-2"/>
          <w:w w:val="105"/>
        </w:rPr>
        <w:t>the</w:t>
      </w:r>
      <w:r>
        <w:rPr>
          <w:rFonts w:ascii="Georgia"/>
          <w:spacing w:val="-9"/>
          <w:w w:val="105"/>
        </w:rPr>
        <w:t> </w:t>
      </w:r>
      <w:r>
        <w:rPr>
          <w:rFonts w:ascii="Georgia"/>
          <w:spacing w:val="-2"/>
          <w:w w:val="105"/>
        </w:rPr>
        <w:t>Massachusetts</w:t>
      </w:r>
      <w:r>
        <w:rPr>
          <w:rFonts w:ascii="Georgia"/>
          <w:spacing w:val="-9"/>
          <w:w w:val="105"/>
        </w:rPr>
        <w:t> </w:t>
      </w:r>
      <w:r>
        <w:rPr>
          <w:rFonts w:ascii="Georgia"/>
          <w:spacing w:val="-2"/>
          <w:w w:val="105"/>
        </w:rPr>
        <w:t>juvenile </w:t>
      </w:r>
      <w:r>
        <w:rPr>
          <w:rFonts w:ascii="Georgia"/>
          <w:w w:val="105"/>
        </w:rPr>
        <w:t>justice system are youth of color.</w:t>
      </w:r>
    </w:p>
    <w:p>
      <w:pPr>
        <w:pStyle w:val="BodyText"/>
        <w:rPr>
          <w:rFonts w:ascii="Georgia"/>
        </w:rPr>
      </w:pPr>
    </w:p>
    <w:p>
      <w:pPr>
        <w:pStyle w:val="BodyText"/>
        <w:spacing w:before="15"/>
        <w:rPr>
          <w:rFonts w:ascii="Georgia"/>
        </w:rPr>
      </w:pPr>
    </w:p>
    <w:p>
      <w:pPr>
        <w:pStyle w:val="Heading3"/>
        <w:spacing w:before="1"/>
        <w:ind w:left="1437"/>
      </w:pPr>
      <w:r>
        <w:rPr>
          <w:emboss/>
          <w:color w:val="001389"/>
          <w:w w:val="85"/>
        </w:rPr>
        <w:t>9</w:t>
      </w:r>
      <w:r>
        <w:rPr>
          <w:shadow w:val="0"/>
          <w:color w:val="001389"/>
          <w:spacing w:val="5"/>
          <w:w w:val="85"/>
        </w:rPr>
        <w:t> </w:t>
      </w:r>
      <w:r>
        <w:rPr>
          <w:emboss/>
          <w:color w:val="001389"/>
          <w:spacing w:val="18"/>
          <w:w w:val="85"/>
        </w:rPr>
        <w:t>IN</w:t>
      </w:r>
      <w:r>
        <w:rPr>
          <w:shadow w:val="0"/>
          <w:color w:val="001389"/>
          <w:spacing w:val="5"/>
          <w:w w:val="85"/>
        </w:rPr>
        <w:t> </w:t>
      </w:r>
      <w:r>
        <w:rPr>
          <w:emboss/>
          <w:color w:val="001389"/>
          <w:spacing w:val="13"/>
          <w:w w:val="85"/>
        </w:rPr>
        <w:t>10</w:t>
      </w:r>
    </w:p>
    <w:p>
      <w:pPr>
        <w:pStyle w:val="BodyText"/>
        <w:spacing w:line="266" w:lineRule="auto" w:before="219"/>
        <w:ind w:left="492" w:right="707" w:hanging="1"/>
        <w:jc w:val="center"/>
        <w:rPr>
          <w:rFonts w:ascii="Georgia"/>
        </w:rPr>
      </w:pPr>
      <w:r>
        <w:rPr>
          <w:rFonts w:ascii="Georgia"/>
          <w:w w:val="105"/>
        </w:rPr>
        <w:t>LGBTQ students who experienced </w:t>
      </w:r>
      <w:r>
        <w:rPr>
          <w:rFonts w:ascii="Georgia"/>
        </w:rPr>
        <w:t>harassment in Massachusetts high </w:t>
      </w:r>
      <w:r>
        <w:rPr>
          <w:rFonts w:ascii="Georgia"/>
        </w:rPr>
        <w:t>schools </w:t>
      </w:r>
      <w:r>
        <w:rPr>
          <w:rFonts w:ascii="Georgia"/>
          <w:w w:val="105"/>
        </w:rPr>
        <w:t>did</w:t>
      </w:r>
      <w:r>
        <w:rPr>
          <w:rFonts w:ascii="Georgia"/>
          <w:spacing w:val="-9"/>
          <w:w w:val="105"/>
        </w:rPr>
        <w:t> </w:t>
      </w:r>
      <w:r>
        <w:rPr>
          <w:rFonts w:ascii="Georgia"/>
          <w:w w:val="105"/>
        </w:rPr>
        <w:t>not</w:t>
      </w:r>
      <w:r>
        <w:rPr>
          <w:rFonts w:ascii="Georgia"/>
          <w:spacing w:val="-9"/>
          <w:w w:val="105"/>
        </w:rPr>
        <w:t> </w:t>
      </w:r>
      <w:r>
        <w:rPr>
          <w:rFonts w:ascii="Georgia"/>
          <w:w w:val="105"/>
        </w:rPr>
        <w:t>report</w:t>
      </w:r>
      <w:r>
        <w:rPr>
          <w:rFonts w:ascii="Georgia"/>
          <w:spacing w:val="-9"/>
          <w:w w:val="105"/>
        </w:rPr>
        <w:t> </w:t>
      </w:r>
      <w:r>
        <w:rPr>
          <w:rFonts w:ascii="Georgia"/>
          <w:w w:val="105"/>
        </w:rPr>
        <w:t>the</w:t>
      </w:r>
      <w:r>
        <w:rPr>
          <w:rFonts w:ascii="Georgia"/>
          <w:spacing w:val="-9"/>
          <w:w w:val="105"/>
        </w:rPr>
        <w:t> </w:t>
      </w:r>
      <w:r>
        <w:rPr>
          <w:rFonts w:ascii="Georgia"/>
          <w:w w:val="105"/>
        </w:rPr>
        <w:t>incident</w:t>
      </w:r>
      <w:r>
        <w:rPr>
          <w:rFonts w:ascii="Georgia"/>
          <w:spacing w:val="-9"/>
          <w:w w:val="105"/>
        </w:rPr>
        <w:t> </w:t>
      </w:r>
      <w:r>
        <w:rPr>
          <w:rFonts w:ascii="Georgia"/>
          <w:w w:val="105"/>
        </w:rPr>
        <w:t>to</w:t>
      </w:r>
      <w:r>
        <w:rPr>
          <w:rFonts w:ascii="Georgia"/>
          <w:spacing w:val="-9"/>
          <w:w w:val="105"/>
        </w:rPr>
        <w:t> </w:t>
      </w:r>
      <w:r>
        <w:rPr>
          <w:rFonts w:ascii="Georgia"/>
          <w:w w:val="105"/>
        </w:rPr>
        <w:t>school</w:t>
      </w:r>
      <w:r>
        <w:rPr>
          <w:rFonts w:ascii="Georgia"/>
          <w:spacing w:val="-9"/>
          <w:w w:val="105"/>
        </w:rPr>
        <w:t> </w:t>
      </w:r>
      <w:r>
        <w:rPr>
          <w:rFonts w:ascii="Georgia"/>
          <w:w w:val="105"/>
        </w:rPr>
        <w:t>staff.</w:t>
      </w:r>
    </w:p>
    <w:p>
      <w:pPr>
        <w:pStyle w:val="BodyText"/>
        <w:spacing w:before="166"/>
        <w:rPr>
          <w:rFonts w:ascii="Georgia"/>
        </w:rPr>
      </w:pPr>
    </w:p>
    <w:p>
      <w:pPr>
        <w:pStyle w:val="Heading3"/>
        <w:ind w:right="215"/>
        <w:jc w:val="center"/>
      </w:pPr>
      <w:r>
        <w:rPr/>
        <mc:AlternateContent>
          <mc:Choice Requires="wps">
            <w:drawing>
              <wp:anchor distT="0" distB="0" distL="0" distR="0" allowOverlap="1" layoutInCell="1" locked="0" behindDoc="1" simplePos="0" relativeHeight="482628096">
                <wp:simplePos x="0" y="0"/>
                <wp:positionH relativeFrom="page">
                  <wp:posOffset>655211</wp:posOffset>
                </wp:positionH>
                <wp:positionV relativeFrom="paragraph">
                  <wp:posOffset>194922</wp:posOffset>
                </wp:positionV>
                <wp:extent cx="3475990" cy="170307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3475990" cy="1703070"/>
                          <a:chExt cx="3475990" cy="1703070"/>
                        </a:xfrm>
                      </wpg:grpSpPr>
                      <wps:wsp>
                        <wps:cNvPr id="403" name="Graphic 403"/>
                        <wps:cNvSpPr/>
                        <wps:spPr>
                          <a:xfrm>
                            <a:off x="0" y="0"/>
                            <a:ext cx="3475990" cy="1703070"/>
                          </a:xfrm>
                          <a:custGeom>
                            <a:avLst/>
                            <a:gdLst/>
                            <a:ahLst/>
                            <a:cxnLst/>
                            <a:rect l="l" t="t" r="r" b="b"/>
                            <a:pathLst>
                              <a:path w="3475990" h="1703070">
                                <a:moveTo>
                                  <a:pt x="3113778" y="1702556"/>
                                </a:moveTo>
                                <a:lnTo>
                                  <a:pt x="361949" y="1702556"/>
                                </a:lnTo>
                                <a:lnTo>
                                  <a:pt x="312835" y="1699252"/>
                                </a:lnTo>
                                <a:lnTo>
                                  <a:pt x="265729" y="1689627"/>
                                </a:lnTo>
                                <a:lnTo>
                                  <a:pt x="221062" y="1674112"/>
                                </a:lnTo>
                                <a:lnTo>
                                  <a:pt x="179266" y="1653139"/>
                                </a:lnTo>
                                <a:lnTo>
                                  <a:pt x="140773" y="1627139"/>
                                </a:lnTo>
                                <a:lnTo>
                                  <a:pt x="106012" y="1596543"/>
                                </a:lnTo>
                                <a:lnTo>
                                  <a:pt x="75416" y="1561783"/>
                                </a:lnTo>
                                <a:lnTo>
                                  <a:pt x="49416" y="1523289"/>
                                </a:lnTo>
                                <a:lnTo>
                                  <a:pt x="28443" y="1481493"/>
                                </a:lnTo>
                                <a:lnTo>
                                  <a:pt x="12929" y="1436827"/>
                                </a:lnTo>
                                <a:lnTo>
                                  <a:pt x="3304" y="1389721"/>
                                </a:lnTo>
                                <a:lnTo>
                                  <a:pt x="0" y="1340606"/>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13778" y="0"/>
                                </a:lnTo>
                                <a:lnTo>
                                  <a:pt x="3162893" y="3304"/>
                                </a:lnTo>
                                <a:lnTo>
                                  <a:pt x="3209999" y="12929"/>
                                </a:lnTo>
                                <a:lnTo>
                                  <a:pt x="3254665" y="28443"/>
                                </a:lnTo>
                                <a:lnTo>
                                  <a:pt x="3296461" y="49416"/>
                                </a:lnTo>
                                <a:lnTo>
                                  <a:pt x="3334955" y="75416"/>
                                </a:lnTo>
                                <a:lnTo>
                                  <a:pt x="3369715" y="106012"/>
                                </a:lnTo>
                                <a:lnTo>
                                  <a:pt x="3400311" y="140773"/>
                                </a:lnTo>
                                <a:lnTo>
                                  <a:pt x="3426311" y="179266"/>
                                </a:lnTo>
                                <a:lnTo>
                                  <a:pt x="3447284" y="221062"/>
                                </a:lnTo>
                                <a:lnTo>
                                  <a:pt x="3462799" y="265729"/>
                                </a:lnTo>
                                <a:lnTo>
                                  <a:pt x="3472424" y="312835"/>
                                </a:lnTo>
                                <a:lnTo>
                                  <a:pt x="3475728" y="361949"/>
                                </a:lnTo>
                                <a:lnTo>
                                  <a:pt x="3475728" y="1340606"/>
                                </a:lnTo>
                                <a:lnTo>
                                  <a:pt x="3472424" y="1389721"/>
                                </a:lnTo>
                                <a:lnTo>
                                  <a:pt x="3462799" y="1436827"/>
                                </a:lnTo>
                                <a:lnTo>
                                  <a:pt x="3447284" y="1481493"/>
                                </a:lnTo>
                                <a:lnTo>
                                  <a:pt x="3426311" y="1523289"/>
                                </a:lnTo>
                                <a:lnTo>
                                  <a:pt x="3400311" y="1561783"/>
                                </a:lnTo>
                                <a:lnTo>
                                  <a:pt x="3369715" y="1596543"/>
                                </a:lnTo>
                                <a:lnTo>
                                  <a:pt x="3334955" y="1627139"/>
                                </a:lnTo>
                                <a:lnTo>
                                  <a:pt x="3296461" y="1653139"/>
                                </a:lnTo>
                                <a:lnTo>
                                  <a:pt x="3254665" y="1674112"/>
                                </a:lnTo>
                                <a:lnTo>
                                  <a:pt x="3209999" y="1689627"/>
                                </a:lnTo>
                                <a:lnTo>
                                  <a:pt x="3162893" y="1699252"/>
                                </a:lnTo>
                                <a:lnTo>
                                  <a:pt x="3113778" y="1702556"/>
                                </a:lnTo>
                                <a:close/>
                              </a:path>
                            </a:pathLst>
                          </a:custGeom>
                          <a:solidFill>
                            <a:srgbClr val="C4E8E4">
                              <a:alpha val="55999"/>
                            </a:srgbClr>
                          </a:solidFill>
                        </wps:spPr>
                        <wps:bodyPr wrap="square" lIns="0" tIns="0" rIns="0" bIns="0" rtlCol="0">
                          <a:prstTxWarp prst="textNoShape">
                            <a:avLst/>
                          </a:prstTxWarp>
                          <a:noAutofit/>
                        </wps:bodyPr>
                      </wps:wsp>
                      <wps:wsp>
                        <wps:cNvPr id="404" name="Graphic 404"/>
                        <wps:cNvSpPr/>
                        <wps:spPr>
                          <a:xfrm>
                            <a:off x="224200" y="406265"/>
                            <a:ext cx="485140" cy="485140"/>
                          </a:xfrm>
                          <a:custGeom>
                            <a:avLst/>
                            <a:gdLst/>
                            <a:ahLst/>
                            <a:cxnLst/>
                            <a:rect l="l" t="t" r="r" b="b"/>
                            <a:pathLst>
                              <a:path w="485140" h="485140">
                                <a:moveTo>
                                  <a:pt x="458533" y="235191"/>
                                </a:moveTo>
                                <a:lnTo>
                                  <a:pt x="452996" y="193141"/>
                                </a:lnTo>
                                <a:lnTo>
                                  <a:pt x="439356" y="152984"/>
                                </a:lnTo>
                                <a:lnTo>
                                  <a:pt x="418147" y="116255"/>
                                </a:lnTo>
                                <a:lnTo>
                                  <a:pt x="390194" y="84366"/>
                                </a:lnTo>
                                <a:lnTo>
                                  <a:pt x="356539" y="58547"/>
                                </a:lnTo>
                                <a:lnTo>
                                  <a:pt x="318503" y="39789"/>
                                </a:lnTo>
                                <a:lnTo>
                                  <a:pt x="277533" y="28816"/>
                                </a:lnTo>
                                <a:lnTo>
                                  <a:pt x="249377" y="26035"/>
                                </a:lnTo>
                                <a:lnTo>
                                  <a:pt x="235216" y="26035"/>
                                </a:lnTo>
                                <a:lnTo>
                                  <a:pt x="193167" y="31572"/>
                                </a:lnTo>
                                <a:lnTo>
                                  <a:pt x="153009" y="45212"/>
                                </a:lnTo>
                                <a:lnTo>
                                  <a:pt x="116281" y="66421"/>
                                </a:lnTo>
                                <a:lnTo>
                                  <a:pt x="84391" y="94386"/>
                                </a:lnTo>
                                <a:lnTo>
                                  <a:pt x="58572" y="128028"/>
                                </a:lnTo>
                                <a:lnTo>
                                  <a:pt x="39814" y="166065"/>
                                </a:lnTo>
                                <a:lnTo>
                                  <a:pt x="28841" y="207035"/>
                                </a:lnTo>
                                <a:lnTo>
                                  <a:pt x="26073" y="235191"/>
                                </a:lnTo>
                                <a:lnTo>
                                  <a:pt x="26073" y="249351"/>
                                </a:lnTo>
                                <a:lnTo>
                                  <a:pt x="31597" y="291401"/>
                                </a:lnTo>
                                <a:lnTo>
                                  <a:pt x="45237" y="331558"/>
                                </a:lnTo>
                                <a:lnTo>
                                  <a:pt x="66446" y="368287"/>
                                </a:lnTo>
                                <a:lnTo>
                                  <a:pt x="94411" y="400177"/>
                                </a:lnTo>
                                <a:lnTo>
                                  <a:pt x="128054" y="425996"/>
                                </a:lnTo>
                                <a:lnTo>
                                  <a:pt x="166090" y="444754"/>
                                </a:lnTo>
                                <a:lnTo>
                                  <a:pt x="207060" y="455726"/>
                                </a:lnTo>
                                <a:lnTo>
                                  <a:pt x="235216" y="458508"/>
                                </a:lnTo>
                                <a:lnTo>
                                  <a:pt x="249377" y="458508"/>
                                </a:lnTo>
                                <a:lnTo>
                                  <a:pt x="291426" y="452970"/>
                                </a:lnTo>
                                <a:lnTo>
                                  <a:pt x="331584" y="439331"/>
                                </a:lnTo>
                                <a:lnTo>
                                  <a:pt x="368312" y="418122"/>
                                </a:lnTo>
                                <a:lnTo>
                                  <a:pt x="400202" y="390156"/>
                                </a:lnTo>
                                <a:lnTo>
                                  <a:pt x="426021" y="356514"/>
                                </a:lnTo>
                                <a:lnTo>
                                  <a:pt x="444779" y="318477"/>
                                </a:lnTo>
                                <a:lnTo>
                                  <a:pt x="455752" y="277507"/>
                                </a:lnTo>
                                <a:lnTo>
                                  <a:pt x="458533" y="249351"/>
                                </a:lnTo>
                                <a:lnTo>
                                  <a:pt x="458533" y="242277"/>
                                </a:lnTo>
                                <a:lnTo>
                                  <a:pt x="458533" y="235191"/>
                                </a:lnTo>
                                <a:close/>
                              </a:path>
                              <a:path w="485140" h="485140">
                                <a:moveTo>
                                  <a:pt x="484581" y="242277"/>
                                </a:moveTo>
                                <a:lnTo>
                                  <a:pt x="479653" y="193509"/>
                                </a:lnTo>
                                <a:lnTo>
                                  <a:pt x="467969" y="155981"/>
                                </a:lnTo>
                                <a:lnTo>
                                  <a:pt x="467969" y="242277"/>
                                </a:lnTo>
                                <a:lnTo>
                                  <a:pt x="463384" y="287705"/>
                                </a:lnTo>
                                <a:lnTo>
                                  <a:pt x="450215" y="330047"/>
                                </a:lnTo>
                                <a:lnTo>
                                  <a:pt x="429374" y="368376"/>
                                </a:lnTo>
                                <a:lnTo>
                                  <a:pt x="401802" y="401789"/>
                                </a:lnTo>
                                <a:lnTo>
                                  <a:pt x="368388" y="429361"/>
                                </a:lnTo>
                                <a:lnTo>
                                  <a:pt x="330047" y="450202"/>
                                </a:lnTo>
                                <a:lnTo>
                                  <a:pt x="287705" y="463359"/>
                                </a:lnTo>
                                <a:lnTo>
                                  <a:pt x="242277" y="467956"/>
                                </a:lnTo>
                                <a:lnTo>
                                  <a:pt x="196862" y="463359"/>
                                </a:lnTo>
                                <a:lnTo>
                                  <a:pt x="154520" y="450202"/>
                                </a:lnTo>
                                <a:lnTo>
                                  <a:pt x="116192" y="429361"/>
                                </a:lnTo>
                                <a:lnTo>
                                  <a:pt x="82778" y="401789"/>
                                </a:lnTo>
                                <a:lnTo>
                                  <a:pt x="55206" y="368376"/>
                                </a:lnTo>
                                <a:lnTo>
                                  <a:pt x="34366" y="330047"/>
                                </a:lnTo>
                                <a:lnTo>
                                  <a:pt x="21196" y="287705"/>
                                </a:lnTo>
                                <a:lnTo>
                                  <a:pt x="16598" y="242277"/>
                                </a:lnTo>
                                <a:lnTo>
                                  <a:pt x="21196" y="196850"/>
                                </a:lnTo>
                                <a:lnTo>
                                  <a:pt x="34366" y="154520"/>
                                </a:lnTo>
                                <a:lnTo>
                                  <a:pt x="55206" y="116192"/>
                                </a:lnTo>
                                <a:lnTo>
                                  <a:pt x="82778" y="82778"/>
                                </a:lnTo>
                                <a:lnTo>
                                  <a:pt x="116192" y="55194"/>
                                </a:lnTo>
                                <a:lnTo>
                                  <a:pt x="154520" y="34366"/>
                                </a:lnTo>
                                <a:lnTo>
                                  <a:pt x="196862" y="21196"/>
                                </a:lnTo>
                                <a:lnTo>
                                  <a:pt x="242277" y="16598"/>
                                </a:lnTo>
                                <a:lnTo>
                                  <a:pt x="287705" y="21196"/>
                                </a:lnTo>
                                <a:lnTo>
                                  <a:pt x="330047" y="34366"/>
                                </a:lnTo>
                                <a:lnTo>
                                  <a:pt x="368388" y="55194"/>
                                </a:lnTo>
                                <a:lnTo>
                                  <a:pt x="401802" y="82778"/>
                                </a:lnTo>
                                <a:lnTo>
                                  <a:pt x="429387" y="116192"/>
                                </a:lnTo>
                                <a:lnTo>
                                  <a:pt x="450215" y="154520"/>
                                </a:lnTo>
                                <a:lnTo>
                                  <a:pt x="463384" y="196850"/>
                                </a:lnTo>
                                <a:lnTo>
                                  <a:pt x="467969" y="242277"/>
                                </a:lnTo>
                                <a:lnTo>
                                  <a:pt x="467969" y="155981"/>
                                </a:lnTo>
                                <a:lnTo>
                                  <a:pt x="443141" y="106908"/>
                                </a:lnTo>
                                <a:lnTo>
                                  <a:pt x="413537" y="71031"/>
                                </a:lnTo>
                                <a:lnTo>
                                  <a:pt x="377659" y="41427"/>
                                </a:lnTo>
                                <a:lnTo>
                                  <a:pt x="336499" y="19062"/>
                                </a:lnTo>
                                <a:lnTo>
                                  <a:pt x="291045" y="4927"/>
                                </a:lnTo>
                                <a:lnTo>
                                  <a:pt x="242277" y="0"/>
                                </a:lnTo>
                                <a:lnTo>
                                  <a:pt x="193509" y="4927"/>
                                </a:lnTo>
                                <a:lnTo>
                                  <a:pt x="148056" y="19062"/>
                                </a:lnTo>
                                <a:lnTo>
                                  <a:pt x="106908" y="41427"/>
                                </a:lnTo>
                                <a:lnTo>
                                  <a:pt x="71031" y="71031"/>
                                </a:lnTo>
                                <a:lnTo>
                                  <a:pt x="41427" y="106908"/>
                                </a:lnTo>
                                <a:lnTo>
                                  <a:pt x="19062" y="148056"/>
                                </a:lnTo>
                                <a:lnTo>
                                  <a:pt x="4927" y="193509"/>
                                </a:lnTo>
                                <a:lnTo>
                                  <a:pt x="0" y="242277"/>
                                </a:lnTo>
                                <a:lnTo>
                                  <a:pt x="4927" y="291045"/>
                                </a:lnTo>
                                <a:lnTo>
                                  <a:pt x="19062" y="336499"/>
                                </a:lnTo>
                                <a:lnTo>
                                  <a:pt x="41427" y="377647"/>
                                </a:lnTo>
                                <a:lnTo>
                                  <a:pt x="71031" y="413524"/>
                                </a:lnTo>
                                <a:lnTo>
                                  <a:pt x="106908" y="443128"/>
                                </a:lnTo>
                                <a:lnTo>
                                  <a:pt x="148056" y="465493"/>
                                </a:lnTo>
                                <a:lnTo>
                                  <a:pt x="193509" y="479628"/>
                                </a:lnTo>
                                <a:lnTo>
                                  <a:pt x="242277" y="484568"/>
                                </a:lnTo>
                                <a:lnTo>
                                  <a:pt x="291058" y="479628"/>
                                </a:lnTo>
                                <a:lnTo>
                                  <a:pt x="328599" y="467956"/>
                                </a:lnTo>
                                <a:lnTo>
                                  <a:pt x="377659" y="443128"/>
                                </a:lnTo>
                                <a:lnTo>
                                  <a:pt x="413537" y="413524"/>
                                </a:lnTo>
                                <a:lnTo>
                                  <a:pt x="443141" y="377647"/>
                                </a:lnTo>
                                <a:lnTo>
                                  <a:pt x="465505" y="336499"/>
                                </a:lnTo>
                                <a:lnTo>
                                  <a:pt x="479653" y="291045"/>
                                </a:lnTo>
                                <a:lnTo>
                                  <a:pt x="484581" y="242277"/>
                                </a:lnTo>
                                <a:close/>
                              </a:path>
                            </a:pathLst>
                          </a:custGeom>
                          <a:solidFill>
                            <a:srgbClr val="D9D9D9"/>
                          </a:solidFill>
                        </wps:spPr>
                        <wps:bodyPr wrap="square" lIns="0" tIns="0" rIns="0" bIns="0" rtlCol="0">
                          <a:prstTxWarp prst="textNoShape">
                            <a:avLst/>
                          </a:prstTxWarp>
                          <a:noAutofit/>
                        </wps:bodyPr>
                      </wps:wsp>
                      <wps:wsp>
                        <wps:cNvPr id="405" name="Graphic 405"/>
                        <wps:cNvSpPr/>
                        <wps:spPr>
                          <a:xfrm>
                            <a:off x="381906" y="503485"/>
                            <a:ext cx="179705" cy="287020"/>
                          </a:xfrm>
                          <a:custGeom>
                            <a:avLst/>
                            <a:gdLst/>
                            <a:ahLst/>
                            <a:cxnLst/>
                            <a:rect l="l" t="t" r="r" b="b"/>
                            <a:pathLst>
                              <a:path w="179705" h="287020">
                                <a:moveTo>
                                  <a:pt x="179170" y="287009"/>
                                </a:moveTo>
                                <a:lnTo>
                                  <a:pt x="3469" y="286457"/>
                                </a:lnTo>
                                <a:lnTo>
                                  <a:pt x="3711" y="214278"/>
                                </a:lnTo>
                                <a:lnTo>
                                  <a:pt x="26157" y="214346"/>
                                </a:lnTo>
                                <a:lnTo>
                                  <a:pt x="31250" y="212199"/>
                                </a:lnTo>
                                <a:lnTo>
                                  <a:pt x="37899" y="203496"/>
                                </a:lnTo>
                                <a:lnTo>
                                  <a:pt x="39566" y="198810"/>
                                </a:lnTo>
                                <a:lnTo>
                                  <a:pt x="39886" y="100149"/>
                                </a:lnTo>
                                <a:lnTo>
                                  <a:pt x="0" y="100018"/>
                                </a:lnTo>
                                <a:lnTo>
                                  <a:pt x="174" y="35805"/>
                                </a:lnTo>
                                <a:lnTo>
                                  <a:pt x="40976" y="25993"/>
                                </a:lnTo>
                                <a:lnTo>
                                  <a:pt x="54210" y="0"/>
                                </a:lnTo>
                                <a:lnTo>
                                  <a:pt x="144309" y="310"/>
                                </a:lnTo>
                                <a:lnTo>
                                  <a:pt x="143659" y="202391"/>
                                </a:lnTo>
                                <a:lnTo>
                                  <a:pt x="179446" y="214816"/>
                                </a:lnTo>
                                <a:lnTo>
                                  <a:pt x="179170" y="287009"/>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225736" y="1067046"/>
                            <a:ext cx="483234" cy="483234"/>
                          </a:xfrm>
                          <a:custGeom>
                            <a:avLst/>
                            <a:gdLst/>
                            <a:ahLst/>
                            <a:cxnLst/>
                            <a:rect l="l" t="t" r="r" b="b"/>
                            <a:pathLst>
                              <a:path w="483234" h="483234">
                                <a:moveTo>
                                  <a:pt x="457123" y="234480"/>
                                </a:moveTo>
                                <a:lnTo>
                                  <a:pt x="451612" y="192557"/>
                                </a:lnTo>
                                <a:lnTo>
                                  <a:pt x="438023" y="152514"/>
                                </a:lnTo>
                                <a:lnTo>
                                  <a:pt x="416877" y="115900"/>
                                </a:lnTo>
                                <a:lnTo>
                                  <a:pt x="389001" y="84112"/>
                                </a:lnTo>
                                <a:lnTo>
                                  <a:pt x="355460" y="58369"/>
                                </a:lnTo>
                                <a:lnTo>
                                  <a:pt x="317538" y="39674"/>
                                </a:lnTo>
                                <a:lnTo>
                                  <a:pt x="276694" y="28727"/>
                                </a:lnTo>
                                <a:lnTo>
                                  <a:pt x="248627" y="25971"/>
                                </a:lnTo>
                                <a:lnTo>
                                  <a:pt x="234505" y="25971"/>
                                </a:lnTo>
                                <a:lnTo>
                                  <a:pt x="192582" y="31483"/>
                                </a:lnTo>
                                <a:lnTo>
                                  <a:pt x="152539" y="45072"/>
                                </a:lnTo>
                                <a:lnTo>
                                  <a:pt x="115925" y="66217"/>
                                </a:lnTo>
                                <a:lnTo>
                                  <a:pt x="84137" y="94094"/>
                                </a:lnTo>
                                <a:lnTo>
                                  <a:pt x="58407" y="127647"/>
                                </a:lnTo>
                                <a:lnTo>
                                  <a:pt x="39700" y="165557"/>
                                </a:lnTo>
                                <a:lnTo>
                                  <a:pt x="28765" y="206400"/>
                                </a:lnTo>
                                <a:lnTo>
                                  <a:pt x="25996" y="234480"/>
                                </a:lnTo>
                                <a:lnTo>
                                  <a:pt x="25996" y="248589"/>
                                </a:lnTo>
                                <a:lnTo>
                                  <a:pt x="31508" y="290512"/>
                                </a:lnTo>
                                <a:lnTo>
                                  <a:pt x="45110" y="330555"/>
                                </a:lnTo>
                                <a:lnTo>
                                  <a:pt x="66243" y="367169"/>
                                </a:lnTo>
                                <a:lnTo>
                                  <a:pt x="94119" y="398957"/>
                                </a:lnTo>
                                <a:lnTo>
                                  <a:pt x="127673" y="424700"/>
                                </a:lnTo>
                                <a:lnTo>
                                  <a:pt x="165595" y="443395"/>
                                </a:lnTo>
                                <a:lnTo>
                                  <a:pt x="206425" y="454342"/>
                                </a:lnTo>
                                <a:lnTo>
                                  <a:pt x="234505" y="457098"/>
                                </a:lnTo>
                                <a:lnTo>
                                  <a:pt x="248627" y="457098"/>
                                </a:lnTo>
                                <a:lnTo>
                                  <a:pt x="290537" y="451586"/>
                                </a:lnTo>
                                <a:lnTo>
                                  <a:pt x="330581" y="437984"/>
                                </a:lnTo>
                                <a:lnTo>
                                  <a:pt x="367195" y="416852"/>
                                </a:lnTo>
                                <a:lnTo>
                                  <a:pt x="398983" y="388975"/>
                                </a:lnTo>
                                <a:lnTo>
                                  <a:pt x="424726" y="355422"/>
                                </a:lnTo>
                                <a:lnTo>
                                  <a:pt x="443420" y="317500"/>
                                </a:lnTo>
                                <a:lnTo>
                                  <a:pt x="454367" y="276669"/>
                                </a:lnTo>
                                <a:lnTo>
                                  <a:pt x="457123" y="248589"/>
                                </a:lnTo>
                                <a:lnTo>
                                  <a:pt x="457123" y="241528"/>
                                </a:lnTo>
                                <a:lnTo>
                                  <a:pt x="457123" y="234480"/>
                                </a:lnTo>
                                <a:close/>
                              </a:path>
                              <a:path w="483234" h="483234">
                                <a:moveTo>
                                  <a:pt x="483095" y="241541"/>
                                </a:moveTo>
                                <a:lnTo>
                                  <a:pt x="478180" y="192925"/>
                                </a:lnTo>
                                <a:lnTo>
                                  <a:pt x="466547" y="155536"/>
                                </a:lnTo>
                                <a:lnTo>
                                  <a:pt x="466547" y="241541"/>
                                </a:lnTo>
                                <a:lnTo>
                                  <a:pt x="461962" y="286829"/>
                                </a:lnTo>
                                <a:lnTo>
                                  <a:pt x="448830" y="329031"/>
                                </a:lnTo>
                                <a:lnTo>
                                  <a:pt x="428066" y="367245"/>
                                </a:lnTo>
                                <a:lnTo>
                                  <a:pt x="400570" y="400558"/>
                                </a:lnTo>
                                <a:lnTo>
                                  <a:pt x="367258" y="428053"/>
                                </a:lnTo>
                                <a:lnTo>
                                  <a:pt x="329044" y="448818"/>
                                </a:lnTo>
                                <a:lnTo>
                                  <a:pt x="286829" y="461949"/>
                                </a:lnTo>
                                <a:lnTo>
                                  <a:pt x="241541" y="466521"/>
                                </a:lnTo>
                                <a:lnTo>
                                  <a:pt x="196265" y="461949"/>
                                </a:lnTo>
                                <a:lnTo>
                                  <a:pt x="154063" y="448818"/>
                                </a:lnTo>
                                <a:lnTo>
                                  <a:pt x="115849" y="428053"/>
                                </a:lnTo>
                                <a:lnTo>
                                  <a:pt x="82537" y="400558"/>
                                </a:lnTo>
                                <a:lnTo>
                                  <a:pt x="55041" y="367258"/>
                                </a:lnTo>
                                <a:lnTo>
                                  <a:pt x="34264" y="329044"/>
                                </a:lnTo>
                                <a:lnTo>
                                  <a:pt x="21145" y="286829"/>
                                </a:lnTo>
                                <a:lnTo>
                                  <a:pt x="16560" y="241541"/>
                                </a:lnTo>
                                <a:lnTo>
                                  <a:pt x="21145" y="196253"/>
                                </a:lnTo>
                                <a:lnTo>
                                  <a:pt x="34264" y="154051"/>
                                </a:lnTo>
                                <a:lnTo>
                                  <a:pt x="55041" y="115836"/>
                                </a:lnTo>
                                <a:lnTo>
                                  <a:pt x="82537" y="82524"/>
                                </a:lnTo>
                                <a:lnTo>
                                  <a:pt x="115849" y="55029"/>
                                </a:lnTo>
                                <a:lnTo>
                                  <a:pt x="154063" y="34264"/>
                                </a:lnTo>
                                <a:lnTo>
                                  <a:pt x="196265" y="21132"/>
                                </a:lnTo>
                                <a:lnTo>
                                  <a:pt x="241541" y="16560"/>
                                </a:lnTo>
                                <a:lnTo>
                                  <a:pt x="286829" y="21132"/>
                                </a:lnTo>
                                <a:lnTo>
                                  <a:pt x="329044" y="34264"/>
                                </a:lnTo>
                                <a:lnTo>
                                  <a:pt x="367258" y="55029"/>
                                </a:lnTo>
                                <a:lnTo>
                                  <a:pt x="400570" y="82524"/>
                                </a:lnTo>
                                <a:lnTo>
                                  <a:pt x="428078" y="115836"/>
                                </a:lnTo>
                                <a:lnTo>
                                  <a:pt x="448843" y="154051"/>
                                </a:lnTo>
                                <a:lnTo>
                                  <a:pt x="461975" y="196253"/>
                                </a:lnTo>
                                <a:lnTo>
                                  <a:pt x="466547" y="241541"/>
                                </a:lnTo>
                                <a:lnTo>
                                  <a:pt x="466547" y="155536"/>
                                </a:lnTo>
                                <a:lnTo>
                                  <a:pt x="441794" y="106578"/>
                                </a:lnTo>
                                <a:lnTo>
                                  <a:pt x="412267" y="70827"/>
                                </a:lnTo>
                                <a:lnTo>
                                  <a:pt x="376504" y="41313"/>
                                </a:lnTo>
                                <a:lnTo>
                                  <a:pt x="335483" y="19011"/>
                                </a:lnTo>
                                <a:lnTo>
                                  <a:pt x="327583" y="16560"/>
                                </a:lnTo>
                                <a:lnTo>
                                  <a:pt x="290169" y="4914"/>
                                </a:lnTo>
                                <a:lnTo>
                                  <a:pt x="241541" y="0"/>
                                </a:lnTo>
                                <a:lnTo>
                                  <a:pt x="192925" y="4914"/>
                                </a:lnTo>
                                <a:lnTo>
                                  <a:pt x="147612" y="19011"/>
                                </a:lnTo>
                                <a:lnTo>
                                  <a:pt x="106591" y="41313"/>
                                </a:lnTo>
                                <a:lnTo>
                                  <a:pt x="70827" y="70827"/>
                                </a:lnTo>
                                <a:lnTo>
                                  <a:pt x="41313" y="106578"/>
                                </a:lnTo>
                                <a:lnTo>
                                  <a:pt x="19011" y="147612"/>
                                </a:lnTo>
                                <a:lnTo>
                                  <a:pt x="4914" y="192925"/>
                                </a:lnTo>
                                <a:lnTo>
                                  <a:pt x="0" y="241541"/>
                                </a:lnTo>
                                <a:lnTo>
                                  <a:pt x="4914" y="290156"/>
                                </a:lnTo>
                                <a:lnTo>
                                  <a:pt x="19011" y="335470"/>
                                </a:lnTo>
                                <a:lnTo>
                                  <a:pt x="41313" y="376504"/>
                                </a:lnTo>
                                <a:lnTo>
                                  <a:pt x="70827" y="412254"/>
                                </a:lnTo>
                                <a:lnTo>
                                  <a:pt x="106591" y="441782"/>
                                </a:lnTo>
                                <a:lnTo>
                                  <a:pt x="147612" y="464070"/>
                                </a:lnTo>
                                <a:lnTo>
                                  <a:pt x="192925" y="478167"/>
                                </a:lnTo>
                                <a:lnTo>
                                  <a:pt x="241541" y="483082"/>
                                </a:lnTo>
                                <a:lnTo>
                                  <a:pt x="290169" y="478167"/>
                                </a:lnTo>
                                <a:lnTo>
                                  <a:pt x="327596" y="466521"/>
                                </a:lnTo>
                                <a:lnTo>
                                  <a:pt x="335483" y="464070"/>
                                </a:lnTo>
                                <a:lnTo>
                                  <a:pt x="376516" y="441782"/>
                                </a:lnTo>
                                <a:lnTo>
                                  <a:pt x="412280" y="412254"/>
                                </a:lnTo>
                                <a:lnTo>
                                  <a:pt x="441794" y="376504"/>
                                </a:lnTo>
                                <a:lnTo>
                                  <a:pt x="464083" y="335470"/>
                                </a:lnTo>
                                <a:lnTo>
                                  <a:pt x="478180" y="290156"/>
                                </a:lnTo>
                                <a:lnTo>
                                  <a:pt x="483095" y="241541"/>
                                </a:lnTo>
                                <a:close/>
                              </a:path>
                            </a:pathLst>
                          </a:custGeom>
                          <a:solidFill>
                            <a:srgbClr val="001389"/>
                          </a:solidFill>
                        </wps:spPr>
                        <wps:bodyPr wrap="square" lIns="0" tIns="0" rIns="0" bIns="0" rtlCol="0">
                          <a:prstTxWarp prst="textNoShape">
                            <a:avLst/>
                          </a:prstTxWarp>
                          <a:noAutofit/>
                        </wps:bodyPr>
                      </wps:wsp>
                      <wps:wsp>
                        <wps:cNvPr id="407" name="Graphic 407"/>
                        <wps:cNvSpPr/>
                        <wps:spPr>
                          <a:xfrm>
                            <a:off x="338613" y="1152187"/>
                            <a:ext cx="267335" cy="294005"/>
                          </a:xfrm>
                          <a:custGeom>
                            <a:avLst/>
                            <a:gdLst/>
                            <a:ahLst/>
                            <a:cxnLst/>
                            <a:rect l="l" t="t" r="r" b="b"/>
                            <a:pathLst>
                              <a:path w="267335" h="294005">
                                <a:moveTo>
                                  <a:pt x="176122" y="293678"/>
                                </a:moveTo>
                                <a:lnTo>
                                  <a:pt x="133164" y="287588"/>
                                </a:lnTo>
                                <a:lnTo>
                                  <a:pt x="87546" y="275751"/>
                                </a:lnTo>
                                <a:lnTo>
                                  <a:pt x="80203" y="274698"/>
                                </a:lnTo>
                                <a:lnTo>
                                  <a:pt x="45367" y="289374"/>
                                </a:lnTo>
                                <a:lnTo>
                                  <a:pt x="927" y="289215"/>
                                </a:lnTo>
                                <a:lnTo>
                                  <a:pt x="4721" y="249991"/>
                                </a:lnTo>
                                <a:lnTo>
                                  <a:pt x="19836" y="210119"/>
                                </a:lnTo>
                                <a:lnTo>
                                  <a:pt x="49700" y="174822"/>
                                </a:lnTo>
                                <a:lnTo>
                                  <a:pt x="85147" y="150881"/>
                                </a:lnTo>
                                <a:lnTo>
                                  <a:pt x="113019" y="136385"/>
                                </a:lnTo>
                                <a:lnTo>
                                  <a:pt x="119384" y="132940"/>
                                </a:lnTo>
                                <a:lnTo>
                                  <a:pt x="152595" y="104870"/>
                                </a:lnTo>
                                <a:lnTo>
                                  <a:pt x="154827" y="90657"/>
                                </a:lnTo>
                                <a:lnTo>
                                  <a:pt x="154021" y="82660"/>
                                </a:lnTo>
                                <a:lnTo>
                                  <a:pt x="118715" y="57303"/>
                                </a:lnTo>
                                <a:lnTo>
                                  <a:pt x="100947" y="56705"/>
                                </a:lnTo>
                                <a:lnTo>
                                  <a:pt x="93053" y="57338"/>
                                </a:lnTo>
                                <a:lnTo>
                                  <a:pt x="79073" y="59894"/>
                                </a:lnTo>
                                <a:lnTo>
                                  <a:pt x="72411" y="62126"/>
                                </a:lnTo>
                                <a:lnTo>
                                  <a:pt x="66058" y="65343"/>
                                </a:lnTo>
                                <a:lnTo>
                                  <a:pt x="73947" y="67686"/>
                                </a:lnTo>
                                <a:lnTo>
                                  <a:pt x="80783" y="71474"/>
                                </a:lnTo>
                                <a:lnTo>
                                  <a:pt x="94184" y="108459"/>
                                </a:lnTo>
                                <a:lnTo>
                                  <a:pt x="63082" y="134213"/>
                                </a:lnTo>
                                <a:lnTo>
                                  <a:pt x="20806" y="127624"/>
                                </a:lnTo>
                                <a:lnTo>
                                  <a:pt x="0" y="93479"/>
                                </a:lnTo>
                                <a:lnTo>
                                  <a:pt x="33" y="84150"/>
                                </a:lnTo>
                                <a:lnTo>
                                  <a:pt x="15492" y="42553"/>
                                </a:lnTo>
                                <a:lnTo>
                                  <a:pt x="47257" y="17932"/>
                                </a:lnTo>
                                <a:lnTo>
                                  <a:pt x="93628" y="3303"/>
                                </a:lnTo>
                                <a:lnTo>
                                  <a:pt x="135716" y="0"/>
                                </a:lnTo>
                                <a:lnTo>
                                  <a:pt x="151151" y="476"/>
                                </a:lnTo>
                                <a:lnTo>
                                  <a:pt x="191750" y="6966"/>
                                </a:lnTo>
                                <a:lnTo>
                                  <a:pt x="232427" y="25831"/>
                                </a:lnTo>
                                <a:lnTo>
                                  <a:pt x="260802" y="61713"/>
                                </a:lnTo>
                                <a:lnTo>
                                  <a:pt x="265403" y="87527"/>
                                </a:lnTo>
                                <a:lnTo>
                                  <a:pt x="264937" y="97941"/>
                                </a:lnTo>
                                <a:lnTo>
                                  <a:pt x="250046" y="137042"/>
                                </a:lnTo>
                                <a:lnTo>
                                  <a:pt x="219362" y="160073"/>
                                </a:lnTo>
                                <a:lnTo>
                                  <a:pt x="179170" y="173967"/>
                                </a:lnTo>
                                <a:lnTo>
                                  <a:pt x="144643" y="183069"/>
                                </a:lnTo>
                                <a:lnTo>
                                  <a:pt x="136010" y="185468"/>
                                </a:lnTo>
                                <a:lnTo>
                                  <a:pt x="96372" y="202091"/>
                                </a:lnTo>
                                <a:lnTo>
                                  <a:pt x="66343" y="229839"/>
                                </a:lnTo>
                                <a:lnTo>
                                  <a:pt x="62208" y="237407"/>
                                </a:lnTo>
                                <a:lnTo>
                                  <a:pt x="65478" y="238601"/>
                                </a:lnTo>
                                <a:lnTo>
                                  <a:pt x="68082" y="235369"/>
                                </a:lnTo>
                                <a:lnTo>
                                  <a:pt x="71527" y="231847"/>
                                </a:lnTo>
                                <a:lnTo>
                                  <a:pt x="116435" y="206895"/>
                                </a:lnTo>
                                <a:lnTo>
                                  <a:pt x="124068" y="205784"/>
                                </a:lnTo>
                                <a:lnTo>
                                  <a:pt x="140750" y="205847"/>
                                </a:lnTo>
                                <a:lnTo>
                                  <a:pt x="147866" y="206315"/>
                                </a:lnTo>
                                <a:lnTo>
                                  <a:pt x="159503" y="208170"/>
                                </a:lnTo>
                                <a:lnTo>
                                  <a:pt x="164808" y="209093"/>
                                </a:lnTo>
                                <a:lnTo>
                                  <a:pt x="187407" y="213895"/>
                                </a:lnTo>
                                <a:lnTo>
                                  <a:pt x="192112" y="214349"/>
                                </a:lnTo>
                                <a:lnTo>
                                  <a:pt x="228794" y="195856"/>
                                </a:lnTo>
                                <a:lnTo>
                                  <a:pt x="228828" y="184214"/>
                                </a:lnTo>
                                <a:lnTo>
                                  <a:pt x="267041" y="184354"/>
                                </a:lnTo>
                                <a:lnTo>
                                  <a:pt x="262982" y="231342"/>
                                </a:lnTo>
                                <a:lnTo>
                                  <a:pt x="246422" y="270004"/>
                                </a:lnTo>
                                <a:lnTo>
                                  <a:pt x="211818" y="290669"/>
                                </a:lnTo>
                                <a:lnTo>
                                  <a:pt x="185481" y="293509"/>
                                </a:lnTo>
                                <a:lnTo>
                                  <a:pt x="176122" y="293678"/>
                                </a:lnTo>
                                <a:close/>
                              </a:path>
                            </a:pathLst>
                          </a:custGeom>
                          <a:solidFill>
                            <a:srgbClr val="FFFFFF"/>
                          </a:solidFill>
                        </wps:spPr>
                        <wps:bodyPr wrap="square" lIns="0" tIns="0" rIns="0" bIns="0" rtlCol="0">
                          <a:prstTxWarp prst="textNoShape">
                            <a:avLst/>
                          </a:prstTxWarp>
                          <a:noAutofit/>
                        </wps:bodyPr>
                      </wps:wsp>
                      <wps:wsp>
                        <wps:cNvPr id="408" name="Textbox 408"/>
                        <wps:cNvSpPr txBox="1"/>
                        <wps:spPr>
                          <a:xfrm>
                            <a:off x="121801" y="82469"/>
                            <a:ext cx="3239135" cy="810895"/>
                          </a:xfrm>
                          <a:prstGeom prst="rect">
                            <a:avLst/>
                          </a:prstGeom>
                        </wps:spPr>
                        <wps:txbx>
                          <w:txbxContent>
                            <w:p>
                              <w:pPr>
                                <w:spacing w:before="26"/>
                                <w:ind w:left="20" w:right="0" w:firstLine="0"/>
                                <w:jc w:val="left"/>
                                <w:rPr>
                                  <w:b/>
                                  <w:i/>
                                  <w:sz w:val="34"/>
                                </w:rPr>
                              </w:pPr>
                              <w:r>
                                <w:rPr>
                                  <w:b/>
                                  <w:i/>
                                  <w:spacing w:val="13"/>
                                  <w:w w:val="125"/>
                                  <w:sz w:val="34"/>
                                </w:rPr>
                                <w:t>RECOMMENDATIONS</w:t>
                              </w:r>
                            </w:p>
                            <w:p>
                              <w:pPr>
                                <w:spacing w:line="276" w:lineRule="auto" w:before="129"/>
                                <w:ind w:left="1046" w:right="0" w:firstLine="0"/>
                                <w:jc w:val="left"/>
                                <w:rPr>
                                  <w:rFonts w:ascii="Georgia"/>
                                  <w:sz w:val="18"/>
                                </w:rPr>
                              </w:pPr>
                              <w:r>
                                <w:rPr>
                                  <w:rFonts w:ascii="Georgia"/>
                                  <w:w w:val="105"/>
                                  <w:sz w:val="18"/>
                                </w:rPr>
                                <w:t>Increase SOGI data collection to identify and reduce</w:t>
                              </w:r>
                              <w:r>
                                <w:rPr>
                                  <w:rFonts w:ascii="Georgia"/>
                                  <w:spacing w:val="-9"/>
                                  <w:w w:val="105"/>
                                  <w:sz w:val="18"/>
                                </w:rPr>
                                <w:t> </w:t>
                              </w:r>
                              <w:r>
                                <w:rPr>
                                  <w:rFonts w:ascii="Georgia"/>
                                  <w:w w:val="105"/>
                                  <w:sz w:val="18"/>
                                </w:rPr>
                                <w:t>disparities</w:t>
                              </w:r>
                              <w:r>
                                <w:rPr>
                                  <w:rFonts w:ascii="Georgia"/>
                                  <w:spacing w:val="-9"/>
                                  <w:w w:val="105"/>
                                  <w:sz w:val="18"/>
                                </w:rPr>
                                <w:t> </w:t>
                              </w:r>
                              <w:r>
                                <w:rPr>
                                  <w:rFonts w:ascii="Georgia"/>
                                  <w:w w:val="105"/>
                                  <w:sz w:val="18"/>
                                </w:rPr>
                                <w:t>throughout</w:t>
                              </w:r>
                              <w:r>
                                <w:rPr>
                                  <w:rFonts w:ascii="Georgia"/>
                                  <w:spacing w:val="-9"/>
                                  <w:w w:val="105"/>
                                  <w:sz w:val="18"/>
                                </w:rPr>
                                <w:t> </w:t>
                              </w:r>
                              <w:r>
                                <w:rPr>
                                  <w:rFonts w:ascii="Georgia"/>
                                  <w:w w:val="105"/>
                                  <w:sz w:val="18"/>
                                </w:rPr>
                                <w:t>the</w:t>
                              </w:r>
                              <w:r>
                                <w:rPr>
                                  <w:rFonts w:ascii="Georgia"/>
                                  <w:spacing w:val="-9"/>
                                  <w:w w:val="105"/>
                                  <w:sz w:val="18"/>
                                </w:rPr>
                                <w:t> </w:t>
                              </w:r>
                              <w:r>
                                <w:rPr>
                                  <w:rFonts w:ascii="Georgia"/>
                                  <w:w w:val="105"/>
                                  <w:sz w:val="18"/>
                                </w:rPr>
                                <w:t>criminal</w:t>
                              </w:r>
                              <w:r>
                                <w:rPr>
                                  <w:rFonts w:ascii="Georgia"/>
                                  <w:spacing w:val="-9"/>
                                  <w:w w:val="105"/>
                                  <w:sz w:val="18"/>
                                </w:rPr>
                                <w:t> </w:t>
                              </w:r>
                              <w:r>
                                <w:rPr>
                                  <w:rFonts w:ascii="Georgia"/>
                                  <w:w w:val="105"/>
                                  <w:sz w:val="18"/>
                                </w:rPr>
                                <w:t>legal </w:t>
                              </w:r>
                              <w:r>
                                <w:rPr>
                                  <w:rFonts w:ascii="Georgia"/>
                                  <w:spacing w:val="-2"/>
                                  <w:w w:val="105"/>
                                  <w:sz w:val="18"/>
                                </w:rPr>
                                <w:t>systems.</w:t>
                              </w:r>
                            </w:p>
                          </w:txbxContent>
                        </wps:txbx>
                        <wps:bodyPr wrap="square" lIns="0" tIns="0" rIns="0" bIns="0" rtlCol="0">
                          <a:noAutofit/>
                        </wps:bodyPr>
                      </wps:wsp>
                      <wps:wsp>
                        <wps:cNvPr id="409" name="Textbox 409"/>
                        <wps:cNvSpPr txBox="1"/>
                        <wps:spPr>
                          <a:xfrm>
                            <a:off x="773370" y="1153918"/>
                            <a:ext cx="2400300" cy="299085"/>
                          </a:xfrm>
                          <a:prstGeom prst="rect">
                            <a:avLst/>
                          </a:prstGeom>
                        </wps:spPr>
                        <wps:txbx>
                          <w:txbxContent>
                            <w:p>
                              <w:pPr>
                                <w:spacing w:line="264" w:lineRule="auto" w:before="18"/>
                                <w:ind w:left="20" w:right="38" w:firstLine="0"/>
                                <w:jc w:val="left"/>
                                <w:rPr>
                                  <w:rFonts w:ascii="Georgia"/>
                                  <w:sz w:val="18"/>
                                </w:rPr>
                              </w:pPr>
                              <w:r>
                                <w:rPr>
                                  <w:rFonts w:ascii="Georgia"/>
                                  <w:sz w:val="18"/>
                                </w:rPr>
                                <w:t>Raise the age of the juvenile system to </w:t>
                              </w:r>
                              <w:r>
                                <w:rPr>
                                  <w:rFonts w:ascii="Georgia"/>
                                  <w:sz w:val="18"/>
                                </w:rPr>
                                <w:t>include 18-to</w:t>
                              </w:r>
                              <w:r>
                                <w:rPr>
                                  <w:rFonts w:ascii="Georgia"/>
                                  <w:spacing w:val="-5"/>
                                  <w:sz w:val="18"/>
                                </w:rPr>
                                <w:t> </w:t>
                              </w:r>
                              <w:r>
                                <w:rPr>
                                  <w:rFonts w:ascii="Georgia"/>
                                  <w:sz w:val="18"/>
                                </w:rPr>
                                <w:t>20-year-olds.</w:t>
                              </w:r>
                            </w:p>
                          </w:txbxContent>
                        </wps:txbx>
                        <wps:bodyPr wrap="square" lIns="0" tIns="0" rIns="0" bIns="0" rtlCol="0">
                          <a:noAutofit/>
                        </wps:bodyPr>
                      </wps:wsp>
                    </wpg:wgp>
                  </a:graphicData>
                </a:graphic>
              </wp:anchor>
            </w:drawing>
          </mc:Choice>
          <mc:Fallback>
            <w:pict>
              <v:group style="position:absolute;margin-left:51.591457pt;margin-top:15.348212pt;width:273.7pt;height:134.1pt;mso-position-horizontal-relative:page;mso-position-vertical-relative:paragraph;z-index:-20688384" id="docshapegroup320" coordorigin="1032,307" coordsize="5474,2682">
                <v:shape style="position:absolute;left:1031;top:306;width:5474;height:2682" id="docshape321" coordorigin="1032,307" coordsize="5474,2682" path="m5935,2988l1602,2988,1524,2983,1450,2968,1380,2943,1314,2910,1254,2869,1199,2821,1151,2766,1110,2706,1077,2640,1052,2570,1037,2496,1032,2418,1032,877,1037,800,1052,725,1077,655,1110,589,1151,529,1199,474,1254,426,1314,385,1380,352,1450,327,1524,312,1602,307,5935,307,6013,312,6087,327,6157,352,6223,385,6284,426,6338,474,6387,529,6428,589,6461,655,6485,725,6500,800,6505,877,6505,2418,6500,2496,6485,2570,6461,2640,6428,2706,6387,2766,6338,2821,6284,2869,6223,2910,6157,2943,6087,2968,6013,2983,5935,2988xe" filled="true" fillcolor="#c4e8e4" stroked="false">
                  <v:path arrowok="t"/>
                  <v:fill opacity="36700f" type="solid"/>
                </v:shape>
                <v:shape style="position:absolute;left:1384;top:946;width:764;height:764" id="docshape322" coordorigin="1385,947" coordsize="764,764" path="m2107,1317l2106,1306,2104,1284,2103,1273,2098,1251,2096,1240,2089,1219,2085,1208,2077,1188,2072,1178,2062,1158,2056,1148,2043,1130,2037,1121,2023,1104,2015,1095,1999,1080,1991,1072,1974,1058,1965,1051,1946,1039,1937,1033,1917,1023,1907,1018,1886,1009,1876,1006,1855,999,1844,996,1822,992,1811,990,1789,988,1778,988,1755,988,1744,988,1722,990,1711,992,1689,996,1678,999,1657,1006,1646,1009,1626,1018,1616,1023,1596,1033,1587,1039,1568,1051,1559,1058,1542,1072,1534,1080,1518,1095,1510,1104,1496,1121,1490,1130,1477,1148,1471,1158,1461,1178,1456,1188,1448,1208,1444,1219,1437,1240,1435,1251,1430,1273,1429,1284,1427,1306,1426,1317,1426,1339,1427,1351,1429,1373,1430,1384,1435,1406,1437,1416,1444,1438,1448,1448,1456,1469,1461,1479,1471,1499,1477,1508,1490,1527,1496,1536,1510,1553,1518,1561,1534,1577,1542,1584,1559,1599,1568,1605,1587,1618,1596,1623,1616,1634,1626,1639,1646,1647,1657,1651,1678,1657,1689,1660,1711,1664,1722,1666,1744,1668,1755,1669,1778,1669,1789,1668,1811,1666,1822,1664,1844,1660,1855,1657,1876,1651,1886,1647,1907,1639,1917,1634,1937,1623,1946,1618,1965,1605,1974,1599,1991,1584,1999,1577,2015,1561,2023,1553,2037,1536,2043,1527,2056,1508,2062,1499,2072,1479,2077,1469,2085,1448,2089,1438,2096,1416,2098,1406,2103,1384,2104,1373,2106,1351,2107,1339,2107,1328,2107,1317xm2148,1328l2140,1251,2122,1192,2122,1328,2115,1400,2094,1467,2061,1527,2018,1579,1965,1623,1905,1656,1838,1676,1766,1684,1695,1676,1628,1656,1568,1623,1515,1579,1472,1527,1439,1467,1418,1400,1411,1328,1418,1257,1439,1190,1472,1130,1515,1077,1568,1034,1628,1001,1695,980,1766,973,1838,980,1905,1001,1965,1034,2018,1077,2061,1130,2094,1190,2115,1257,2122,1328,2122,1192,2118,1180,2083,1115,2036,1059,1980,1012,1915,977,1902,973,1843,955,1766,947,1690,955,1618,977,1553,1012,1497,1059,1450,1115,1415,1180,1393,1251,1385,1328,1393,1405,1415,1477,1450,1541,1497,1598,1553,1645,1618,1680,1690,1702,1766,1710,1843,1702,1902,1684,1915,1680,1980,1645,2036,1598,2083,1541,2118,1477,2140,1405,2148,1328xe" filled="true" fillcolor="#d9d9d9" stroked="false">
                  <v:path arrowok="t"/>
                  <v:fill type="solid"/>
                </v:shape>
                <v:shape style="position:absolute;left:1633;top:1099;width:283;height:452" id="docshape323" coordorigin="1633,1100" coordsize="283,452" path="m1915,1552l1639,1551,1639,1437,1674,1437,1682,1434,1693,1420,1696,1413,1696,1258,1633,1257,1634,1156,1698,1141,1719,1100,1861,1100,1859,1419,1916,1438,1915,1552xe" filled="true" fillcolor="#ffffff" stroked="false">
                  <v:path arrowok="t"/>
                  <v:fill type="solid"/>
                </v:shape>
                <v:shape style="position:absolute;left:1387;top:1987;width:761;height:761" id="docshape324" coordorigin="1387,1987" coordsize="761,761" path="m2107,2357l2107,2346,2104,2323,2103,2312,2099,2291,2096,2280,2089,2259,2086,2248,2077,2228,2072,2217,2062,2198,2056,2188,2044,2170,2037,2161,2023,2144,2016,2136,2000,2120,1992,2112,1975,2098,1966,2092,1947,2079,1938,2074,1918,2063,1908,2058,1887,2050,1877,2046,1856,2040,1845,2037,1823,2033,1812,2031,1790,2029,1779,2028,1757,2028,1746,2029,1723,2031,1712,2033,1691,2037,1680,2040,1659,2046,1648,2050,1628,2058,1618,2063,1598,2074,1588,2079,1570,2092,1561,2098,1544,2112,1536,2120,1520,2136,1512,2144,1498,2161,1492,2170,1479,2188,1474,2198,1463,2217,1458,2228,1450,2248,1446,2259,1440,2280,1437,2291,1433,2312,1431,2323,1429,2346,1428,2357,1428,2379,1429,2390,1431,2412,1433,2423,1437,2445,1440,2456,1446,2477,1450,2487,1458,2508,1463,2518,1474,2538,1479,2547,1492,2566,1498,2574,1512,2592,1520,2600,1536,2616,1544,2623,1561,2637,1570,2644,1588,2656,1598,2662,1618,2672,1628,2677,1648,2686,1659,2689,1680,2696,1691,2699,1712,2703,1723,2704,1746,2707,1757,2707,1779,2707,1790,2707,1812,2704,1823,2703,1845,2699,1856,2696,1877,2689,1887,2686,1908,2677,1918,2672,1938,2662,1947,2656,1966,2644,1975,2637,1992,2623,2000,2616,2016,2600,2023,2592,2037,2574,2044,2566,2056,2547,2062,2538,2072,2518,2077,2508,2086,2487,2089,2477,2096,2456,2099,2445,2103,2423,2104,2412,2107,2390,2107,2379,2107,2368,2107,2357xm2148,2368l2140,2291,2122,2232,2122,2368,2115,2439,2094,2506,2061,2566,2018,2618,1966,2661,1906,2694,1839,2715,1768,2722,1696,2715,1630,2694,1570,2661,1517,2618,1474,2566,1441,2506,1421,2439,1413,2368,1421,2296,1441,2230,1474,2170,1517,2117,1570,2074,1630,2041,1696,2021,1768,2013,1839,2021,1906,2041,1966,2074,2018,2117,2061,2170,2094,2230,2115,2296,2122,2368,2122,2232,2118,2220,2083,2155,2037,2099,1980,2052,1916,2017,1903,2013,1844,1995,1768,1987,1691,1995,1620,2017,1555,2052,1499,2099,1452,2155,1417,2220,1395,2291,1387,2368,1395,2444,1417,2516,1452,2580,1499,2637,1555,2683,1620,2718,1691,2740,1768,2748,1844,2740,1903,2722,1916,2718,1980,2683,2037,2637,2083,2580,2118,2516,2140,2444,2148,2368xe" filled="true" fillcolor="#001389" stroked="false">
                  <v:path arrowok="t"/>
                  <v:fill type="solid"/>
                </v:shape>
                <v:shape style="position:absolute;left:1565;top:2121;width:421;height:463" id="docshape325" coordorigin="1565,2121" coordsize="421,463" path="m1842,2584l1775,2574,1703,2556,1691,2554,1637,2577,1567,2577,1573,2515,1596,2452,1643,2397,1699,2359,1743,2336,1753,2331,1805,2287,1809,2264,1808,2252,1752,2212,1724,2211,1712,2212,1690,2216,1679,2219,1669,2224,1682,2228,1692,2234,1713,2292,1664,2333,1598,2322,1565,2269,1565,2254,1589,2188,1639,2150,1713,2127,1779,2121,1803,2122,1867,2132,1931,2162,1976,2219,1983,2259,1982,2276,1959,2337,1911,2374,1847,2395,1793,2410,1779,2414,1717,2440,1670,2483,1663,2495,1668,2497,1672,2492,1678,2487,1748,2447,1760,2446,1787,2446,1798,2446,1816,2449,1825,2451,1860,2458,1868,2459,1925,2430,1925,2412,1986,2412,1979,2486,1953,2547,1899,2579,1857,2584,1842,2584xe" filled="true" fillcolor="#ffffff" stroked="false">
                  <v:path arrowok="t"/>
                  <v:fill type="solid"/>
                </v:shape>
                <v:shape style="position:absolute;left:1223;top:436;width:5101;height:1277" type="#_x0000_t202" id="docshape326" filled="false" stroked="false">
                  <v:textbox inset="0,0,0,0">
                    <w:txbxContent>
                      <w:p>
                        <w:pPr>
                          <w:spacing w:before="26"/>
                          <w:ind w:left="20" w:right="0" w:firstLine="0"/>
                          <w:jc w:val="left"/>
                          <w:rPr>
                            <w:b/>
                            <w:i/>
                            <w:sz w:val="34"/>
                          </w:rPr>
                        </w:pPr>
                        <w:r>
                          <w:rPr>
                            <w:b/>
                            <w:i/>
                            <w:spacing w:val="13"/>
                            <w:w w:val="125"/>
                            <w:sz w:val="34"/>
                          </w:rPr>
                          <w:t>RECOMMENDATIONS</w:t>
                        </w:r>
                      </w:p>
                      <w:p>
                        <w:pPr>
                          <w:spacing w:line="276" w:lineRule="auto" w:before="129"/>
                          <w:ind w:left="1046" w:right="0" w:firstLine="0"/>
                          <w:jc w:val="left"/>
                          <w:rPr>
                            <w:rFonts w:ascii="Georgia"/>
                            <w:sz w:val="18"/>
                          </w:rPr>
                        </w:pPr>
                        <w:r>
                          <w:rPr>
                            <w:rFonts w:ascii="Georgia"/>
                            <w:w w:val="105"/>
                            <w:sz w:val="18"/>
                          </w:rPr>
                          <w:t>Increase SOGI data collection to identify and reduce</w:t>
                        </w:r>
                        <w:r>
                          <w:rPr>
                            <w:rFonts w:ascii="Georgia"/>
                            <w:spacing w:val="-9"/>
                            <w:w w:val="105"/>
                            <w:sz w:val="18"/>
                          </w:rPr>
                          <w:t> </w:t>
                        </w:r>
                        <w:r>
                          <w:rPr>
                            <w:rFonts w:ascii="Georgia"/>
                            <w:w w:val="105"/>
                            <w:sz w:val="18"/>
                          </w:rPr>
                          <w:t>disparities</w:t>
                        </w:r>
                        <w:r>
                          <w:rPr>
                            <w:rFonts w:ascii="Georgia"/>
                            <w:spacing w:val="-9"/>
                            <w:w w:val="105"/>
                            <w:sz w:val="18"/>
                          </w:rPr>
                          <w:t> </w:t>
                        </w:r>
                        <w:r>
                          <w:rPr>
                            <w:rFonts w:ascii="Georgia"/>
                            <w:w w:val="105"/>
                            <w:sz w:val="18"/>
                          </w:rPr>
                          <w:t>throughout</w:t>
                        </w:r>
                        <w:r>
                          <w:rPr>
                            <w:rFonts w:ascii="Georgia"/>
                            <w:spacing w:val="-9"/>
                            <w:w w:val="105"/>
                            <w:sz w:val="18"/>
                          </w:rPr>
                          <w:t> </w:t>
                        </w:r>
                        <w:r>
                          <w:rPr>
                            <w:rFonts w:ascii="Georgia"/>
                            <w:w w:val="105"/>
                            <w:sz w:val="18"/>
                          </w:rPr>
                          <w:t>the</w:t>
                        </w:r>
                        <w:r>
                          <w:rPr>
                            <w:rFonts w:ascii="Georgia"/>
                            <w:spacing w:val="-9"/>
                            <w:w w:val="105"/>
                            <w:sz w:val="18"/>
                          </w:rPr>
                          <w:t> </w:t>
                        </w:r>
                        <w:r>
                          <w:rPr>
                            <w:rFonts w:ascii="Georgia"/>
                            <w:w w:val="105"/>
                            <w:sz w:val="18"/>
                          </w:rPr>
                          <w:t>criminal</w:t>
                        </w:r>
                        <w:r>
                          <w:rPr>
                            <w:rFonts w:ascii="Georgia"/>
                            <w:spacing w:val="-9"/>
                            <w:w w:val="105"/>
                            <w:sz w:val="18"/>
                          </w:rPr>
                          <w:t> </w:t>
                        </w:r>
                        <w:r>
                          <w:rPr>
                            <w:rFonts w:ascii="Georgia"/>
                            <w:w w:val="105"/>
                            <w:sz w:val="18"/>
                          </w:rPr>
                          <w:t>legal </w:t>
                        </w:r>
                        <w:r>
                          <w:rPr>
                            <w:rFonts w:ascii="Georgia"/>
                            <w:spacing w:val="-2"/>
                            <w:w w:val="105"/>
                            <w:sz w:val="18"/>
                          </w:rPr>
                          <w:t>systems.</w:t>
                        </w:r>
                      </w:p>
                    </w:txbxContent>
                  </v:textbox>
                  <w10:wrap type="none"/>
                </v:shape>
                <v:shape style="position:absolute;left:2249;top:2124;width:3780;height:471" type="#_x0000_t202" id="docshape327" filled="false" stroked="false">
                  <v:textbox inset="0,0,0,0">
                    <w:txbxContent>
                      <w:p>
                        <w:pPr>
                          <w:spacing w:line="264" w:lineRule="auto" w:before="18"/>
                          <w:ind w:left="20" w:right="38" w:firstLine="0"/>
                          <w:jc w:val="left"/>
                          <w:rPr>
                            <w:rFonts w:ascii="Georgia"/>
                            <w:sz w:val="18"/>
                          </w:rPr>
                        </w:pPr>
                        <w:r>
                          <w:rPr>
                            <w:rFonts w:ascii="Georgia"/>
                            <w:sz w:val="18"/>
                          </w:rPr>
                          <w:t>Raise the age of the juvenile system to </w:t>
                        </w:r>
                        <w:r>
                          <w:rPr>
                            <w:rFonts w:ascii="Georgia"/>
                            <w:sz w:val="18"/>
                          </w:rPr>
                          <w:t>include 18-to</w:t>
                        </w:r>
                        <w:r>
                          <w:rPr>
                            <w:rFonts w:ascii="Georgia"/>
                            <w:spacing w:val="-5"/>
                            <w:sz w:val="18"/>
                          </w:rPr>
                          <w:t> </w:t>
                        </w:r>
                        <w:r>
                          <w:rPr>
                            <w:rFonts w:ascii="Georgia"/>
                            <w:sz w:val="18"/>
                          </w:rPr>
                          <w:t>20-year-olds.</w:t>
                        </w:r>
                      </w:p>
                    </w:txbxContent>
                  </v:textbox>
                  <w10:wrap type="none"/>
                </v:shape>
                <w10:wrap type="none"/>
              </v:group>
            </w:pict>
          </mc:Fallback>
        </mc:AlternateContent>
      </w:r>
      <w:r>
        <w:rPr>
          <w:emboss/>
          <w:color w:val="001389"/>
          <w:spacing w:val="19"/>
          <w:w w:val="80"/>
        </w:rPr>
        <w:t>79%</w:t>
      </w:r>
    </w:p>
    <w:p>
      <w:pPr>
        <w:pStyle w:val="BodyText"/>
        <w:spacing w:line="266" w:lineRule="auto" w:before="83"/>
        <w:ind w:left="291" w:right="583"/>
        <w:jc w:val="center"/>
        <w:rPr>
          <w:rFonts w:ascii="Georgia"/>
        </w:rPr>
      </w:pPr>
      <w:r>
        <w:rPr>
          <w:rFonts w:ascii="Georgia"/>
        </w:rPr>
        <w:t>of QTBIPOC middle and high school </w:t>
      </w:r>
      <w:r>
        <w:rPr>
          <w:rFonts w:ascii="Georgia"/>
        </w:rPr>
        <w:t>students </w:t>
      </w:r>
      <w:r>
        <w:rPr>
          <w:rFonts w:ascii="Georgia"/>
          <w:w w:val="105"/>
        </w:rPr>
        <w:t>across the nation interacted with the police at some point</w:t>
      </w:r>
    </w:p>
    <w:p>
      <w:pPr>
        <w:spacing w:after="0" w:line="266" w:lineRule="auto"/>
        <w:jc w:val="center"/>
        <w:rPr>
          <w:rFonts w:ascii="Georgia"/>
        </w:rPr>
        <w:sectPr>
          <w:type w:val="continuous"/>
          <w:pgSz w:w="12240" w:h="15840"/>
          <w:pgMar w:header="0" w:footer="0" w:top="1420" w:bottom="280" w:left="920" w:right="380"/>
          <w:cols w:num="2" w:equalWidth="0">
            <w:col w:w="5433" w:space="94"/>
            <w:col w:w="5413"/>
          </w:cols>
        </w:sectPr>
      </w:pPr>
    </w:p>
    <w:p>
      <w:pPr>
        <w:pStyle w:val="BodyText"/>
        <w:spacing w:before="182"/>
        <w:rPr>
          <w:rFonts w:ascii="Georgia"/>
          <w:sz w:val="20"/>
        </w:rPr>
      </w:pPr>
      <w:r>
        <w:rPr/>
        <mc:AlternateContent>
          <mc:Choice Requires="wps">
            <w:drawing>
              <wp:anchor distT="0" distB="0" distL="0" distR="0" allowOverlap="1" layoutInCell="1" locked="0" behindDoc="1" simplePos="0" relativeHeight="482627584">
                <wp:simplePos x="0" y="0"/>
                <wp:positionH relativeFrom="page">
                  <wp:posOffset>0</wp:posOffset>
                </wp:positionH>
                <wp:positionV relativeFrom="page">
                  <wp:posOffset>0</wp:posOffset>
                </wp:positionV>
                <wp:extent cx="7772400" cy="6044565"/>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7772400" cy="6044565"/>
                          <a:chExt cx="7772400" cy="6044565"/>
                        </a:xfrm>
                      </wpg:grpSpPr>
                      <pic:pic>
                        <pic:nvPicPr>
                          <pic:cNvPr id="411" name="Image 411"/>
                          <pic:cNvPicPr/>
                        </pic:nvPicPr>
                        <pic:blipFill>
                          <a:blip r:embed="rId553" cstate="print"/>
                          <a:stretch>
                            <a:fillRect/>
                          </a:stretch>
                        </pic:blipFill>
                        <pic:spPr>
                          <a:xfrm>
                            <a:off x="0" y="0"/>
                            <a:ext cx="7772400" cy="3174744"/>
                          </a:xfrm>
                          <a:prstGeom prst="rect">
                            <a:avLst/>
                          </a:prstGeom>
                        </pic:spPr>
                      </pic:pic>
                      <pic:pic>
                        <pic:nvPicPr>
                          <pic:cNvPr id="412" name="Image 412"/>
                          <pic:cNvPicPr/>
                        </pic:nvPicPr>
                        <pic:blipFill>
                          <a:blip r:embed="rId98" cstate="print"/>
                          <a:stretch>
                            <a:fillRect/>
                          </a:stretch>
                        </pic:blipFill>
                        <pic:spPr>
                          <a:xfrm>
                            <a:off x="4978374" y="735421"/>
                            <a:ext cx="1480888" cy="1480632"/>
                          </a:xfrm>
                          <a:prstGeom prst="rect">
                            <a:avLst/>
                          </a:prstGeom>
                        </pic:spPr>
                      </pic:pic>
                      <wps:wsp>
                        <wps:cNvPr id="413" name="Graphic 413"/>
                        <wps:cNvSpPr/>
                        <wps:spPr>
                          <a:xfrm>
                            <a:off x="4964629"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655211" y="2933569"/>
                            <a:ext cx="3475354" cy="3110865"/>
                          </a:xfrm>
                          <a:custGeom>
                            <a:avLst/>
                            <a:gdLst/>
                            <a:ahLst/>
                            <a:cxnLst/>
                            <a:rect l="l" t="t" r="r" b="b"/>
                            <a:pathLst>
                              <a:path w="3475354" h="3110865">
                                <a:moveTo>
                                  <a:pt x="3113780" y="3110681"/>
                                </a:moveTo>
                                <a:lnTo>
                                  <a:pt x="361948" y="3110681"/>
                                </a:lnTo>
                                <a:lnTo>
                                  <a:pt x="312835" y="3107377"/>
                                </a:lnTo>
                                <a:lnTo>
                                  <a:pt x="265729" y="3097752"/>
                                </a:lnTo>
                                <a:lnTo>
                                  <a:pt x="221062" y="3082237"/>
                                </a:lnTo>
                                <a:lnTo>
                                  <a:pt x="179266" y="3061264"/>
                                </a:lnTo>
                                <a:lnTo>
                                  <a:pt x="140773" y="3035264"/>
                                </a:lnTo>
                                <a:lnTo>
                                  <a:pt x="106012" y="3004668"/>
                                </a:lnTo>
                                <a:lnTo>
                                  <a:pt x="75416" y="2969908"/>
                                </a:lnTo>
                                <a:lnTo>
                                  <a:pt x="49416" y="2931414"/>
                                </a:lnTo>
                                <a:lnTo>
                                  <a:pt x="28443" y="2889618"/>
                                </a:lnTo>
                                <a:lnTo>
                                  <a:pt x="12929" y="2844951"/>
                                </a:lnTo>
                                <a:lnTo>
                                  <a:pt x="3304" y="2797845"/>
                                </a:lnTo>
                                <a:lnTo>
                                  <a:pt x="0" y="2748731"/>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9" y="0"/>
                                </a:lnTo>
                                <a:lnTo>
                                  <a:pt x="3162893" y="3304"/>
                                </a:lnTo>
                                <a:lnTo>
                                  <a:pt x="3209999" y="12929"/>
                                </a:lnTo>
                                <a:lnTo>
                                  <a:pt x="3254666" y="28443"/>
                                </a:lnTo>
                                <a:lnTo>
                                  <a:pt x="3296462" y="49416"/>
                                </a:lnTo>
                                <a:lnTo>
                                  <a:pt x="3334955" y="75416"/>
                                </a:lnTo>
                                <a:lnTo>
                                  <a:pt x="3369716" y="106012"/>
                                </a:lnTo>
                                <a:lnTo>
                                  <a:pt x="3400312" y="140773"/>
                                </a:lnTo>
                                <a:lnTo>
                                  <a:pt x="3426312" y="179266"/>
                                </a:lnTo>
                                <a:lnTo>
                                  <a:pt x="3447285" y="221062"/>
                                </a:lnTo>
                                <a:lnTo>
                                  <a:pt x="3462799" y="265729"/>
                                </a:lnTo>
                                <a:lnTo>
                                  <a:pt x="3472424" y="312835"/>
                                </a:lnTo>
                                <a:lnTo>
                                  <a:pt x="3475214" y="354294"/>
                                </a:lnTo>
                                <a:lnTo>
                                  <a:pt x="3475214" y="2756386"/>
                                </a:lnTo>
                                <a:lnTo>
                                  <a:pt x="3472424" y="2797845"/>
                                </a:lnTo>
                                <a:lnTo>
                                  <a:pt x="3462799" y="2844951"/>
                                </a:lnTo>
                                <a:lnTo>
                                  <a:pt x="3447285" y="2889618"/>
                                </a:lnTo>
                                <a:lnTo>
                                  <a:pt x="3426312" y="2931414"/>
                                </a:lnTo>
                                <a:lnTo>
                                  <a:pt x="3400312" y="2969908"/>
                                </a:lnTo>
                                <a:lnTo>
                                  <a:pt x="3369716" y="3004668"/>
                                </a:lnTo>
                                <a:lnTo>
                                  <a:pt x="3334955" y="3035264"/>
                                </a:lnTo>
                                <a:lnTo>
                                  <a:pt x="3296462" y="3061264"/>
                                </a:lnTo>
                                <a:lnTo>
                                  <a:pt x="3254666" y="3082237"/>
                                </a:lnTo>
                                <a:lnTo>
                                  <a:pt x="3209999" y="3097752"/>
                                </a:lnTo>
                                <a:lnTo>
                                  <a:pt x="3162893" y="3107377"/>
                                </a:lnTo>
                                <a:lnTo>
                                  <a:pt x="3113780" y="3110681"/>
                                </a:lnTo>
                                <a:close/>
                              </a:path>
                            </a:pathLst>
                          </a:custGeom>
                          <a:solidFill>
                            <a:srgbClr val="C4E8E4">
                              <a:alpha val="55999"/>
                            </a:srgbClr>
                          </a:solidFill>
                        </wps:spPr>
                        <wps:bodyPr wrap="square" lIns="0" tIns="0" rIns="0" bIns="0" rtlCol="0">
                          <a:prstTxWarp prst="textNoShape">
                            <a:avLst/>
                          </a:prstTxWarp>
                          <a:noAutofit/>
                        </wps:bodyPr>
                      </wps:wsp>
                      <pic:pic>
                        <pic:nvPicPr>
                          <pic:cNvPr id="415" name="Image 415"/>
                          <pic:cNvPicPr/>
                        </pic:nvPicPr>
                        <pic:blipFill>
                          <a:blip r:embed="rId554" cstate="print"/>
                          <a:stretch>
                            <a:fillRect/>
                          </a:stretch>
                        </pic:blipFill>
                        <pic:spPr>
                          <a:xfrm>
                            <a:off x="4221364" y="2584124"/>
                            <a:ext cx="974118" cy="1170239"/>
                          </a:xfrm>
                          <a:prstGeom prst="rect">
                            <a:avLst/>
                          </a:prstGeom>
                        </pic:spPr>
                      </pic:pic>
                      <wps:wsp>
                        <wps:cNvPr id="416" name="Graphic 416"/>
                        <wps:cNvSpPr/>
                        <wps:spPr>
                          <a:xfrm>
                            <a:off x="4356887" y="4390915"/>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s:wsp>
                        <wps:cNvPr id="417" name="Graphic 417"/>
                        <wps:cNvSpPr/>
                        <wps:spPr>
                          <a:xfrm>
                            <a:off x="4356887" y="6026641"/>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000006pt;margin-top:-.00003pt;width:612pt;height:475.95pt;mso-position-horizontal-relative:page;mso-position-vertical-relative:page;z-index:-20688896" id="docshapegroup328" coordorigin="0,0" coordsize="12240,9519">
                <v:shape style="position:absolute;left:0;top:0;width:12240;height:5000" type="#_x0000_t75" id="docshape329" stroked="false">
                  <v:imagedata r:id="rId553" o:title=""/>
                </v:shape>
                <v:shape style="position:absolute;left:7839;top:1158;width:2333;height:2332" type="#_x0000_t75" id="docshape330" stroked="false">
                  <v:imagedata r:id="rId98" o:title=""/>
                </v:shape>
                <v:shape style="position:absolute;left:7818;top:1136;width:2375;height:2375" id="docshape331"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473;height:4899" id="docshape332" coordorigin="1032,4620" coordsize="5473,4899" path="m5935,9519l1602,9519,1524,9513,1450,9498,1380,9474,1314,9441,1254,9400,1199,9352,1151,9297,1110,9236,1077,9170,1052,9100,1037,9026,1032,8949,1032,5190,1037,5112,1052,5038,1077,4968,1110,4902,1151,4841,1199,4787,1254,4739,1314,4698,1380,4665,1450,4640,1524,4625,1602,4620,5935,4620,6013,4625,6087,4640,6157,4665,6223,4698,6284,4739,6338,4787,6387,4841,6428,4902,6461,4968,6485,5038,6500,5112,6505,5178,6505,8961,6500,9026,6485,9100,6461,9170,6428,9236,6387,9297,6338,9352,6284,9400,6223,9441,6157,9474,6087,9498,6013,9513,5935,9519xe" filled="true" fillcolor="#c4e8e4" stroked="false">
                  <v:path arrowok="t"/>
                  <v:fill opacity="36700f" type="solid"/>
                </v:shape>
                <v:shape style="position:absolute;left:6647;top:4069;width:1535;height:1843" type="#_x0000_t75" id="docshape333" stroked="false">
                  <v:imagedata r:id="rId554" o:title=""/>
                </v:shape>
                <v:line style="position:absolute" from="6861,6915" to="11229,6915" stroked="true" strokeweight="2.25pt" strokecolor="#001389">
                  <v:stroke dashstyle="shortdash"/>
                </v:line>
                <v:line style="position:absolute" from="6861,9491" to="11229,9491" stroked="true" strokeweight="2.25pt" strokecolor="#001389">
                  <v:stroke dashstyle="shortdash"/>
                </v:line>
                <w10:wrap type="none"/>
              </v:group>
            </w:pict>
          </mc:Fallback>
        </mc:AlternateContent>
      </w:r>
    </w:p>
    <w:p>
      <w:pPr>
        <w:tabs>
          <w:tab w:pos="6066" w:val="left" w:leader="none"/>
        </w:tabs>
        <w:spacing w:line="240" w:lineRule="auto"/>
        <w:ind w:left="111" w:right="0" w:firstLine="0"/>
        <w:rPr>
          <w:rFonts w:ascii="Georgia"/>
          <w:sz w:val="20"/>
        </w:rPr>
      </w:pPr>
      <w:r>
        <w:rPr>
          <w:rFonts w:ascii="Georgia"/>
          <w:position w:val="65"/>
          <w:sz w:val="20"/>
        </w:rPr>
        <mc:AlternateContent>
          <mc:Choice Requires="wps">
            <w:drawing>
              <wp:inline distT="0" distB="0" distL="0" distR="0">
                <wp:extent cx="3475354" cy="1085215"/>
                <wp:effectExtent l="0" t="0" r="0" b="634"/>
                <wp:docPr id="418" name="Group 418"/>
                <wp:cNvGraphicFramePr>
                  <a:graphicFrameLocks/>
                </wp:cNvGraphicFramePr>
                <a:graphic>
                  <a:graphicData uri="http://schemas.microsoft.com/office/word/2010/wordprocessingGroup">
                    <wpg:wgp>
                      <wpg:cNvPr id="418" name="Group 418"/>
                      <wpg:cNvGrpSpPr/>
                      <wpg:grpSpPr>
                        <a:xfrm>
                          <a:off x="0" y="0"/>
                          <a:ext cx="3475354" cy="1085215"/>
                          <a:chExt cx="3475354" cy="1085215"/>
                        </a:xfrm>
                      </wpg:grpSpPr>
                      <wps:wsp>
                        <wps:cNvPr id="419" name="Graphic 419"/>
                        <wps:cNvSpPr/>
                        <wps:spPr>
                          <a:xfrm>
                            <a:off x="0" y="0"/>
                            <a:ext cx="3475354" cy="1085215"/>
                          </a:xfrm>
                          <a:custGeom>
                            <a:avLst/>
                            <a:gdLst/>
                            <a:ahLst/>
                            <a:cxnLst/>
                            <a:rect l="l" t="t" r="r" b="b"/>
                            <a:pathLst>
                              <a:path w="3475354" h="1085215">
                                <a:moveTo>
                                  <a:pt x="3113778" y="1084970"/>
                                </a:moveTo>
                                <a:lnTo>
                                  <a:pt x="361950" y="1084970"/>
                                </a:lnTo>
                                <a:lnTo>
                                  <a:pt x="312835" y="1081666"/>
                                </a:lnTo>
                                <a:lnTo>
                                  <a:pt x="265729" y="1072041"/>
                                </a:lnTo>
                                <a:lnTo>
                                  <a:pt x="221062" y="1056526"/>
                                </a:lnTo>
                                <a:lnTo>
                                  <a:pt x="179266" y="1035553"/>
                                </a:lnTo>
                                <a:lnTo>
                                  <a:pt x="140773" y="1009553"/>
                                </a:lnTo>
                                <a:lnTo>
                                  <a:pt x="106012" y="978957"/>
                                </a:lnTo>
                                <a:lnTo>
                                  <a:pt x="75416" y="944197"/>
                                </a:lnTo>
                                <a:lnTo>
                                  <a:pt x="49416" y="905703"/>
                                </a:lnTo>
                                <a:lnTo>
                                  <a:pt x="28443" y="863907"/>
                                </a:lnTo>
                                <a:lnTo>
                                  <a:pt x="12929" y="819240"/>
                                </a:lnTo>
                                <a:lnTo>
                                  <a:pt x="3304" y="772134"/>
                                </a:lnTo>
                                <a:lnTo>
                                  <a:pt x="0" y="723020"/>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8" y="0"/>
                                </a:lnTo>
                                <a:lnTo>
                                  <a:pt x="3162893" y="3304"/>
                                </a:lnTo>
                                <a:lnTo>
                                  <a:pt x="3209999" y="12929"/>
                                </a:lnTo>
                                <a:lnTo>
                                  <a:pt x="3254666" y="28443"/>
                                </a:lnTo>
                                <a:lnTo>
                                  <a:pt x="3296461" y="49416"/>
                                </a:lnTo>
                                <a:lnTo>
                                  <a:pt x="3334955" y="75416"/>
                                </a:lnTo>
                                <a:lnTo>
                                  <a:pt x="3369716" y="106012"/>
                                </a:lnTo>
                                <a:lnTo>
                                  <a:pt x="3400311" y="140773"/>
                                </a:lnTo>
                                <a:lnTo>
                                  <a:pt x="3426312" y="179266"/>
                                </a:lnTo>
                                <a:lnTo>
                                  <a:pt x="3447285" y="221062"/>
                                </a:lnTo>
                                <a:lnTo>
                                  <a:pt x="3462799" y="265729"/>
                                </a:lnTo>
                                <a:lnTo>
                                  <a:pt x="3472424" y="312835"/>
                                </a:lnTo>
                                <a:lnTo>
                                  <a:pt x="3475295" y="355504"/>
                                </a:lnTo>
                                <a:lnTo>
                                  <a:pt x="3475295" y="729465"/>
                                </a:lnTo>
                                <a:lnTo>
                                  <a:pt x="3472424" y="772134"/>
                                </a:lnTo>
                                <a:lnTo>
                                  <a:pt x="3462799" y="819240"/>
                                </a:lnTo>
                                <a:lnTo>
                                  <a:pt x="3447285" y="863907"/>
                                </a:lnTo>
                                <a:lnTo>
                                  <a:pt x="3426312" y="905703"/>
                                </a:lnTo>
                                <a:lnTo>
                                  <a:pt x="3400311" y="944197"/>
                                </a:lnTo>
                                <a:lnTo>
                                  <a:pt x="3369716" y="978957"/>
                                </a:lnTo>
                                <a:lnTo>
                                  <a:pt x="3334955" y="1009553"/>
                                </a:lnTo>
                                <a:lnTo>
                                  <a:pt x="3296461" y="1035553"/>
                                </a:lnTo>
                                <a:lnTo>
                                  <a:pt x="3254666" y="1056526"/>
                                </a:lnTo>
                                <a:lnTo>
                                  <a:pt x="3209999" y="1072041"/>
                                </a:lnTo>
                                <a:lnTo>
                                  <a:pt x="3162893" y="1081666"/>
                                </a:lnTo>
                                <a:lnTo>
                                  <a:pt x="3113778" y="1084970"/>
                                </a:lnTo>
                                <a:close/>
                              </a:path>
                            </a:pathLst>
                          </a:custGeom>
                          <a:solidFill>
                            <a:srgbClr val="C4E8E4">
                              <a:alpha val="55999"/>
                            </a:srgbClr>
                          </a:solidFill>
                        </wps:spPr>
                        <wps:bodyPr wrap="square" lIns="0" tIns="0" rIns="0" bIns="0" rtlCol="0">
                          <a:prstTxWarp prst="textNoShape">
                            <a:avLst/>
                          </a:prstTxWarp>
                          <a:noAutofit/>
                        </wps:bodyPr>
                      </wps:wsp>
                      <wps:wsp>
                        <wps:cNvPr id="420" name="Textbox 420"/>
                        <wps:cNvSpPr txBox="1"/>
                        <wps:spPr>
                          <a:xfrm>
                            <a:off x="0" y="0"/>
                            <a:ext cx="3475354" cy="1085215"/>
                          </a:xfrm>
                          <a:prstGeom prst="rect">
                            <a:avLst/>
                          </a:prstGeom>
                        </wps:spPr>
                        <wps:txbx>
                          <w:txbxContent>
                            <w:p>
                              <w:pPr>
                                <w:spacing w:before="136"/>
                                <w:ind w:left="211" w:right="0" w:firstLine="0"/>
                                <w:jc w:val="left"/>
                                <w:rPr>
                                  <w:b/>
                                  <w:i/>
                                  <w:sz w:val="34"/>
                                </w:rPr>
                              </w:pPr>
                              <w:r>
                                <w:rPr>
                                  <w:b/>
                                  <w:i/>
                                  <w:spacing w:val="11"/>
                                  <w:w w:val="130"/>
                                  <w:sz w:val="34"/>
                                </w:rPr>
                                <w:t>LEGISLATION</w:t>
                              </w:r>
                            </w:p>
                            <w:p>
                              <w:pPr>
                                <w:spacing w:before="122"/>
                                <w:ind w:left="211" w:right="0" w:firstLine="0"/>
                                <w:jc w:val="left"/>
                                <w:rPr>
                                  <w:rFonts w:ascii="Georgia"/>
                                  <w:sz w:val="20"/>
                                </w:rPr>
                              </w:pPr>
                              <w:r>
                                <w:rPr>
                                  <w:rFonts w:ascii="Georgia"/>
                                  <w:w w:val="90"/>
                                  <w:sz w:val="20"/>
                                </w:rPr>
                                <w:t>S.1499/H.2357:</w:t>
                              </w:r>
                              <w:r>
                                <w:rPr>
                                  <w:rFonts w:ascii="Georgia"/>
                                  <w:spacing w:val="17"/>
                                  <w:sz w:val="20"/>
                                </w:rPr>
                                <w:t> </w:t>
                              </w:r>
                              <w:r>
                                <w:rPr>
                                  <w:rFonts w:ascii="Georgia"/>
                                  <w:w w:val="90"/>
                                  <w:sz w:val="20"/>
                                </w:rPr>
                                <w:t>RIGHTS</w:t>
                              </w:r>
                              <w:r>
                                <w:rPr>
                                  <w:rFonts w:ascii="Georgia"/>
                                  <w:spacing w:val="17"/>
                                  <w:sz w:val="20"/>
                                </w:rPr>
                                <w:t> </w:t>
                              </w:r>
                              <w:r>
                                <w:rPr>
                                  <w:rFonts w:ascii="Georgia"/>
                                  <w:spacing w:val="-5"/>
                                  <w:w w:val="90"/>
                                  <w:sz w:val="20"/>
                                </w:rPr>
                                <w:t>Act</w:t>
                              </w:r>
                            </w:p>
                            <w:p>
                              <w:pPr>
                                <w:spacing w:line="278" w:lineRule="auto" w:before="37"/>
                                <w:ind w:left="211" w:right="0" w:firstLine="0"/>
                                <w:jc w:val="left"/>
                                <w:rPr>
                                  <w:rFonts w:ascii="Georgia"/>
                                  <w:sz w:val="20"/>
                                </w:rPr>
                              </w:pPr>
                              <w:r>
                                <w:rPr>
                                  <w:rFonts w:ascii="Georgia"/>
                                  <w:spacing w:val="-2"/>
                                  <w:sz w:val="20"/>
                                </w:rPr>
                                <w:t>S.931/H.1802:</w:t>
                              </w:r>
                              <w:r>
                                <w:rPr>
                                  <w:rFonts w:ascii="Georgia"/>
                                  <w:spacing w:val="-5"/>
                                  <w:sz w:val="20"/>
                                </w:rPr>
                                <w:t> </w:t>
                              </w:r>
                              <w:r>
                                <w:rPr>
                                  <w:rFonts w:ascii="Georgia"/>
                                  <w:spacing w:val="-2"/>
                                  <w:sz w:val="20"/>
                                </w:rPr>
                                <w:t>Juvenile</w:t>
                              </w:r>
                              <w:r>
                                <w:rPr>
                                  <w:rFonts w:ascii="Georgia"/>
                                  <w:spacing w:val="-5"/>
                                  <w:sz w:val="20"/>
                                </w:rPr>
                                <w:t> </w:t>
                              </w:r>
                              <w:r>
                                <w:rPr>
                                  <w:rFonts w:ascii="Georgia"/>
                                  <w:spacing w:val="-2"/>
                                  <w:sz w:val="20"/>
                                </w:rPr>
                                <w:t>Justice</w:t>
                              </w:r>
                              <w:r>
                                <w:rPr>
                                  <w:rFonts w:ascii="Georgia"/>
                                  <w:spacing w:val="-5"/>
                                  <w:sz w:val="20"/>
                                </w:rPr>
                                <w:t> </w:t>
                              </w:r>
                              <w:r>
                                <w:rPr>
                                  <w:rFonts w:ascii="Georgia"/>
                                  <w:spacing w:val="-2"/>
                                  <w:sz w:val="20"/>
                                </w:rPr>
                                <w:t>Data</w:t>
                              </w:r>
                              <w:r>
                                <w:rPr>
                                  <w:rFonts w:ascii="Georgia"/>
                                  <w:spacing w:val="-5"/>
                                  <w:sz w:val="20"/>
                                </w:rPr>
                                <w:t> </w:t>
                              </w:r>
                              <w:r>
                                <w:rPr>
                                  <w:rFonts w:ascii="Georgia"/>
                                  <w:spacing w:val="-2"/>
                                  <w:sz w:val="20"/>
                                </w:rPr>
                                <w:t>Collection </w:t>
                              </w:r>
                              <w:r>
                                <w:rPr>
                                  <w:rFonts w:ascii="Georgia"/>
                                  <w:sz w:val="20"/>
                                </w:rPr>
                                <w:t>S.942/H.1710: Raise the Age</w:t>
                              </w:r>
                            </w:p>
                          </w:txbxContent>
                        </wps:txbx>
                        <wps:bodyPr wrap="square" lIns="0" tIns="0" rIns="0" bIns="0" rtlCol="0">
                          <a:noAutofit/>
                        </wps:bodyPr>
                      </wps:wsp>
                    </wpg:wgp>
                  </a:graphicData>
                </a:graphic>
              </wp:inline>
            </w:drawing>
          </mc:Choice>
          <mc:Fallback>
            <w:pict>
              <v:group style="width:273.650pt;height:85.45pt;mso-position-horizontal-relative:char;mso-position-vertical-relative:line" id="docshapegroup334" coordorigin="0,0" coordsize="5473,1709">
                <v:shape style="position:absolute;left:0;top:0;width:5473;height:1709" id="docshape335" coordorigin="0,0" coordsize="5473,1709" path="m4904,1709l570,1709,493,1703,418,1688,348,1664,282,1631,222,1590,167,1542,119,1487,78,1426,45,1360,20,1290,5,1216,0,1139,0,570,5,493,20,418,45,348,78,282,119,222,167,167,222,119,282,78,348,45,418,20,493,5,570,0,4904,0,4981,5,5055,20,5125,45,5191,78,5252,119,5307,167,5355,222,5396,282,5429,348,5453,418,5468,493,5473,560,5473,1149,5468,1216,5453,1290,5429,1360,5396,1426,5355,1487,5307,1542,5252,1590,5191,1631,5125,1664,5055,1688,4981,1703,4904,1709xe" filled="true" fillcolor="#c4e8e4" stroked="false">
                  <v:path arrowok="t"/>
                  <v:fill opacity="36700f" type="solid"/>
                </v:shape>
                <v:shape style="position:absolute;left:0;top:0;width:5473;height:1709" type="#_x0000_t202" id="docshape336" filled="false" stroked="false">
                  <v:textbox inset="0,0,0,0">
                    <w:txbxContent>
                      <w:p>
                        <w:pPr>
                          <w:spacing w:before="136"/>
                          <w:ind w:left="211" w:right="0" w:firstLine="0"/>
                          <w:jc w:val="left"/>
                          <w:rPr>
                            <w:b/>
                            <w:i/>
                            <w:sz w:val="34"/>
                          </w:rPr>
                        </w:pPr>
                        <w:r>
                          <w:rPr>
                            <w:b/>
                            <w:i/>
                            <w:spacing w:val="11"/>
                            <w:w w:val="130"/>
                            <w:sz w:val="34"/>
                          </w:rPr>
                          <w:t>LEGISLATION</w:t>
                        </w:r>
                      </w:p>
                      <w:p>
                        <w:pPr>
                          <w:spacing w:before="122"/>
                          <w:ind w:left="211" w:right="0" w:firstLine="0"/>
                          <w:jc w:val="left"/>
                          <w:rPr>
                            <w:rFonts w:ascii="Georgia"/>
                            <w:sz w:val="20"/>
                          </w:rPr>
                        </w:pPr>
                        <w:r>
                          <w:rPr>
                            <w:rFonts w:ascii="Georgia"/>
                            <w:w w:val="90"/>
                            <w:sz w:val="20"/>
                          </w:rPr>
                          <w:t>S.1499/H.2357:</w:t>
                        </w:r>
                        <w:r>
                          <w:rPr>
                            <w:rFonts w:ascii="Georgia"/>
                            <w:spacing w:val="17"/>
                            <w:sz w:val="20"/>
                          </w:rPr>
                          <w:t> </w:t>
                        </w:r>
                        <w:r>
                          <w:rPr>
                            <w:rFonts w:ascii="Georgia"/>
                            <w:w w:val="90"/>
                            <w:sz w:val="20"/>
                          </w:rPr>
                          <w:t>RIGHTS</w:t>
                        </w:r>
                        <w:r>
                          <w:rPr>
                            <w:rFonts w:ascii="Georgia"/>
                            <w:spacing w:val="17"/>
                            <w:sz w:val="20"/>
                          </w:rPr>
                          <w:t> </w:t>
                        </w:r>
                        <w:r>
                          <w:rPr>
                            <w:rFonts w:ascii="Georgia"/>
                            <w:spacing w:val="-5"/>
                            <w:w w:val="90"/>
                            <w:sz w:val="20"/>
                          </w:rPr>
                          <w:t>Act</w:t>
                        </w:r>
                      </w:p>
                      <w:p>
                        <w:pPr>
                          <w:spacing w:line="278" w:lineRule="auto" w:before="37"/>
                          <w:ind w:left="211" w:right="0" w:firstLine="0"/>
                          <w:jc w:val="left"/>
                          <w:rPr>
                            <w:rFonts w:ascii="Georgia"/>
                            <w:sz w:val="20"/>
                          </w:rPr>
                        </w:pPr>
                        <w:r>
                          <w:rPr>
                            <w:rFonts w:ascii="Georgia"/>
                            <w:spacing w:val="-2"/>
                            <w:sz w:val="20"/>
                          </w:rPr>
                          <w:t>S.931/H.1802:</w:t>
                        </w:r>
                        <w:r>
                          <w:rPr>
                            <w:rFonts w:ascii="Georgia"/>
                            <w:spacing w:val="-5"/>
                            <w:sz w:val="20"/>
                          </w:rPr>
                          <w:t> </w:t>
                        </w:r>
                        <w:r>
                          <w:rPr>
                            <w:rFonts w:ascii="Georgia"/>
                            <w:spacing w:val="-2"/>
                            <w:sz w:val="20"/>
                          </w:rPr>
                          <w:t>Juvenile</w:t>
                        </w:r>
                        <w:r>
                          <w:rPr>
                            <w:rFonts w:ascii="Georgia"/>
                            <w:spacing w:val="-5"/>
                            <w:sz w:val="20"/>
                          </w:rPr>
                          <w:t> </w:t>
                        </w:r>
                        <w:r>
                          <w:rPr>
                            <w:rFonts w:ascii="Georgia"/>
                            <w:spacing w:val="-2"/>
                            <w:sz w:val="20"/>
                          </w:rPr>
                          <w:t>Justice</w:t>
                        </w:r>
                        <w:r>
                          <w:rPr>
                            <w:rFonts w:ascii="Georgia"/>
                            <w:spacing w:val="-5"/>
                            <w:sz w:val="20"/>
                          </w:rPr>
                          <w:t> </w:t>
                        </w:r>
                        <w:r>
                          <w:rPr>
                            <w:rFonts w:ascii="Georgia"/>
                            <w:spacing w:val="-2"/>
                            <w:sz w:val="20"/>
                          </w:rPr>
                          <w:t>Data</w:t>
                        </w:r>
                        <w:r>
                          <w:rPr>
                            <w:rFonts w:ascii="Georgia"/>
                            <w:spacing w:val="-5"/>
                            <w:sz w:val="20"/>
                          </w:rPr>
                          <w:t> </w:t>
                        </w:r>
                        <w:r>
                          <w:rPr>
                            <w:rFonts w:ascii="Georgia"/>
                            <w:spacing w:val="-2"/>
                            <w:sz w:val="20"/>
                          </w:rPr>
                          <w:t>Collection </w:t>
                        </w:r>
                        <w:r>
                          <w:rPr>
                            <w:rFonts w:ascii="Georgia"/>
                            <w:sz w:val="20"/>
                          </w:rPr>
                          <w:t>S.942/H.1710: Raise the Age</w:t>
                        </w:r>
                      </w:p>
                    </w:txbxContent>
                  </v:textbox>
                  <w10:wrap type="none"/>
                </v:shape>
              </v:group>
            </w:pict>
          </mc:Fallback>
        </mc:AlternateContent>
      </w:r>
      <w:r>
        <w:rPr>
          <w:rFonts w:ascii="Georgia"/>
          <w:position w:val="65"/>
          <w:sz w:val="20"/>
        </w:rPr>
      </w:r>
      <w:r>
        <w:rPr>
          <w:rFonts w:ascii="Georgia"/>
          <w:position w:val="65"/>
          <w:sz w:val="20"/>
        </w:rPr>
        <w:tab/>
      </w:r>
      <w:r>
        <w:rPr>
          <w:rFonts w:ascii="Georgia"/>
          <w:sz w:val="20"/>
        </w:rPr>
        <w:drawing>
          <wp:inline distT="0" distB="0" distL="0" distR="0">
            <wp:extent cx="2966214" cy="2174938"/>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555" cstate="print"/>
                    <a:stretch>
                      <a:fillRect/>
                    </a:stretch>
                  </pic:blipFill>
                  <pic:spPr>
                    <a:xfrm>
                      <a:off x="0" y="0"/>
                      <a:ext cx="2966214" cy="2174938"/>
                    </a:xfrm>
                    <a:prstGeom prst="rect">
                      <a:avLst/>
                    </a:prstGeom>
                  </pic:spPr>
                </pic:pic>
              </a:graphicData>
            </a:graphic>
          </wp:inline>
        </w:drawing>
      </w:r>
      <w:r>
        <w:rPr>
          <w:rFonts w:ascii="Georgia"/>
          <w:sz w:val="20"/>
        </w:rPr>
      </w:r>
    </w:p>
    <w:p>
      <w:pPr>
        <w:spacing w:after="0" w:line="240" w:lineRule="auto"/>
        <w:rPr>
          <w:rFonts w:ascii="Georgia"/>
          <w:sz w:val="20"/>
        </w:rPr>
        <w:sectPr>
          <w:type w:val="continuous"/>
          <w:pgSz w:w="12240" w:h="15840"/>
          <w:pgMar w:header="0" w:footer="0" w:top="1420" w:bottom="280" w:left="920" w:right="380"/>
        </w:sectPr>
      </w:pPr>
    </w:p>
    <w:p>
      <w:pPr>
        <w:pStyle w:val="Heading8"/>
        <w:spacing w:before="69"/>
        <w:ind w:left="463"/>
      </w:pPr>
      <w:r>
        <w:rPr/>
        <mc:AlternateContent>
          <mc:Choice Requires="wps">
            <w:drawing>
              <wp:anchor distT="0" distB="0" distL="0" distR="0" allowOverlap="1" layoutInCell="1" locked="0" behindDoc="1" simplePos="0" relativeHeight="487666176">
                <wp:simplePos x="0" y="0"/>
                <wp:positionH relativeFrom="page">
                  <wp:posOffset>889000</wp:posOffset>
                </wp:positionH>
                <wp:positionV relativeFrom="paragraph">
                  <wp:posOffset>335788</wp:posOffset>
                </wp:positionV>
                <wp:extent cx="6350" cy="12700"/>
                <wp:effectExtent l="0" t="0" r="0" b="0"/>
                <wp:wrapTopAndBottom/>
                <wp:docPr id="425" name="Graphic 425"/>
                <wp:cNvGraphicFramePr>
                  <a:graphicFrameLocks/>
                </wp:cNvGraphicFramePr>
                <a:graphic>
                  <a:graphicData uri="http://schemas.microsoft.com/office/word/2010/wordprocessingShape">
                    <wps:wsp>
                      <wps:cNvPr id="425" name="Graphic 425"/>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26.440001pt;width:.499pt;height:.96pt;mso-position-horizontal-relative:page;mso-position-vertical-relative:paragraph;z-index:-15650304;mso-wrap-distance-left:0;mso-wrap-distance-right:0" id="docshape340" filled="true" fillcolor="#0f6dc5" stroked="false">
                <v:fill type="solid"/>
                <w10:wrap type="topAndBottom"/>
              </v:rect>
            </w:pict>
          </mc:Fallback>
        </mc:AlternateContent>
      </w:r>
      <w:r>
        <w:rPr/>
        <mc:AlternateContent>
          <mc:Choice Requires="wps">
            <w:drawing>
              <wp:anchor distT="0" distB="0" distL="0" distR="0" allowOverlap="1" layoutInCell="1" locked="0" behindDoc="1" simplePos="0" relativeHeight="487666688">
                <wp:simplePos x="0" y="0"/>
                <wp:positionH relativeFrom="page">
                  <wp:posOffset>889000</wp:posOffset>
                </wp:positionH>
                <wp:positionV relativeFrom="paragraph">
                  <wp:posOffset>538632</wp:posOffset>
                </wp:positionV>
                <wp:extent cx="6350" cy="12700"/>
                <wp:effectExtent l="0" t="0" r="0" b="0"/>
                <wp:wrapTopAndBottom/>
                <wp:docPr id="426" name="Graphic 426"/>
                <wp:cNvGraphicFramePr>
                  <a:graphicFrameLocks/>
                </wp:cNvGraphicFramePr>
                <a:graphic>
                  <a:graphicData uri="http://schemas.microsoft.com/office/word/2010/wordprocessingShape">
                    <wps:wsp>
                      <wps:cNvPr id="426" name="Graphic 426"/>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42.411999pt;width:.499pt;height:.962pt;mso-position-horizontal-relative:page;mso-position-vertical-relative:paragraph;z-index:-15649792;mso-wrap-distance-left:0;mso-wrap-distance-right:0" id="docshape341" filled="true" fillcolor="#0f6dc5" stroked="false">
                <v:fill type="solid"/>
                <w10:wrap type="topAndBottom"/>
              </v:rect>
            </w:pict>
          </mc:Fallback>
        </mc:AlternateContent>
      </w:r>
      <w:bookmarkStart w:name="FY 2025 - ISP - Final.pdf" w:id="770"/>
      <w:bookmarkEnd w:id="770"/>
      <w:r>
        <w:rPr/>
      </w:r>
      <w:bookmarkStart w:name="_bookmark532" w:id="771"/>
      <w:bookmarkEnd w:id="771"/>
      <w:r>
        <w:rPr/>
      </w:r>
      <w:hyperlink w:history="true" w:anchor="_bookmark3">
        <w:r>
          <w:rPr>
            <w:color w:val="365F91"/>
            <w:spacing w:val="-8"/>
          </w:rPr>
          <w:t>Expanding</w:t>
        </w:r>
        <w:r>
          <w:rPr>
            <w:color w:val="365F91"/>
            <w:spacing w:val="-23"/>
          </w:rPr>
          <w:t> </w:t>
        </w:r>
        <w:r>
          <w:rPr>
            <w:color w:val="365F91"/>
            <w:spacing w:val="-8"/>
          </w:rPr>
          <w:t>Inclusive</w:t>
        </w:r>
        <w:r>
          <w:rPr>
            <w:color w:val="365F91"/>
            <w:spacing w:val="-21"/>
          </w:rPr>
          <w:t> </w:t>
        </w:r>
        <w:r>
          <w:rPr>
            <w:color w:val="365F91"/>
            <w:spacing w:val="-8"/>
          </w:rPr>
          <w:t>Service</w:t>
        </w:r>
        <w:r>
          <w:rPr>
            <w:color w:val="365F91"/>
            <w:spacing w:val="-21"/>
          </w:rPr>
          <w:t> </w:t>
        </w:r>
        <w:r>
          <w:rPr>
            <w:color w:val="365F91"/>
            <w:spacing w:val="-8"/>
          </w:rPr>
          <w:t>Provision</w:t>
        </w:r>
        <w:r>
          <w:rPr>
            <w:color w:val="365F91"/>
            <w:spacing w:val="-20"/>
          </w:rPr>
          <w:t> </w:t>
        </w:r>
        <w:r>
          <w:rPr>
            <w:color w:val="365F91"/>
            <w:spacing w:val="-8"/>
          </w:rPr>
          <w:t>for</w:t>
        </w:r>
        <w:r>
          <w:rPr>
            <w:color w:val="365F91"/>
            <w:spacing w:val="-20"/>
          </w:rPr>
          <w:t> </w:t>
        </w:r>
        <w:r>
          <w:rPr>
            <w:color w:val="365F91"/>
            <w:spacing w:val="-8"/>
          </w:rPr>
          <w:t>Foreign-Born</w:t>
        </w:r>
        <w:r>
          <w:rPr>
            <w:color w:val="365F91"/>
            <w:spacing w:val="-20"/>
          </w:rPr>
          <w:t> </w:t>
        </w:r>
        <w:r>
          <w:rPr>
            <w:color w:val="365F91"/>
            <w:spacing w:val="-8"/>
          </w:rPr>
          <w:t>LGBTQ</w:t>
        </w:r>
        <w:r>
          <w:rPr>
            <w:color w:val="365F91"/>
            <w:spacing w:val="-19"/>
          </w:rPr>
          <w:t> </w:t>
        </w:r>
        <w:r>
          <w:rPr>
            <w:color w:val="365F91"/>
            <w:spacing w:val="-8"/>
          </w:rPr>
          <w:t>Youth</w:t>
        </w:r>
      </w:hyperlink>
    </w:p>
    <w:p>
      <w:pPr>
        <w:pStyle w:val="BodyText"/>
        <w:spacing w:before="32"/>
        <w:rPr>
          <w:sz w:val="20"/>
        </w:rPr>
      </w:pPr>
    </w:p>
    <w:p>
      <w:pPr>
        <w:spacing w:before="1" w:after="19"/>
        <w:ind w:left="463" w:right="0" w:firstLine="0"/>
        <w:jc w:val="left"/>
        <w:rPr>
          <w:sz w:val="28"/>
        </w:rPr>
      </w:pPr>
      <w:bookmarkStart w:name="Introduction" w:id="772"/>
      <w:bookmarkEnd w:id="772"/>
      <w:r>
        <w:rPr/>
      </w:r>
      <w:r>
        <w:rPr>
          <w:color w:val="365F91"/>
          <w:spacing w:val="-2"/>
          <w:sz w:val="28"/>
        </w:rPr>
        <w:t>Introduction</w:t>
      </w:r>
    </w:p>
    <w:p>
      <w:pPr>
        <w:pStyle w:val="BodyText"/>
        <w:spacing w:line="20" w:lineRule="exact"/>
        <w:ind w:left="433"/>
        <w:rPr>
          <w:sz w:val="2"/>
        </w:rPr>
      </w:pPr>
      <w:r>
        <w:rPr>
          <w:sz w:val="2"/>
        </w:rPr>
        <mc:AlternateContent>
          <mc:Choice Requires="wps">
            <w:drawing>
              <wp:inline distT="0" distB="0" distL="0" distR="0">
                <wp:extent cx="5976620" cy="6350"/>
                <wp:effectExtent l="0" t="0" r="0" b="0"/>
                <wp:docPr id="427" name="Group 427"/>
                <wp:cNvGraphicFramePr>
                  <a:graphicFrameLocks/>
                </wp:cNvGraphicFramePr>
                <a:graphic>
                  <a:graphicData uri="http://schemas.microsoft.com/office/word/2010/wordprocessingGroup">
                    <wpg:wgp>
                      <wpg:cNvPr id="427" name="Group 427"/>
                      <wpg:cNvGrpSpPr/>
                      <wpg:grpSpPr>
                        <a:xfrm>
                          <a:off x="0" y="0"/>
                          <a:ext cx="5976620" cy="6350"/>
                          <a:chExt cx="5976620" cy="6350"/>
                        </a:xfrm>
                      </wpg:grpSpPr>
                      <wps:wsp>
                        <wps:cNvPr id="428" name="Graphic 428"/>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70.6pt;height:.5pt;mso-position-horizontal-relative:char;mso-position-vertical-relative:line" id="docshapegroup342" coordorigin="0,0" coordsize="9412,10">
                <v:rect style="position:absolute;left:0;top:0;width:9412;height:10" id="docshape343" filled="true" fillcolor="#4f81bc" stroked="false">
                  <v:fill type="solid"/>
                </v:rect>
              </v:group>
            </w:pict>
          </mc:Fallback>
        </mc:AlternateContent>
      </w:r>
      <w:r>
        <w:rPr>
          <w:sz w:val="2"/>
        </w:rPr>
      </w:r>
    </w:p>
    <w:p>
      <w:pPr>
        <w:spacing w:line="264" w:lineRule="auto" w:before="231"/>
        <w:ind w:left="463" w:right="271" w:firstLine="0"/>
        <w:jc w:val="left"/>
        <w:rPr>
          <w:i/>
          <w:sz w:val="22"/>
        </w:rPr>
      </w:pPr>
      <w:bookmarkStart w:name="(first published in FY 2024 Annual Recom" w:id="773"/>
      <w:bookmarkEnd w:id="773"/>
      <w:r>
        <w:rPr/>
      </w:r>
      <w:r>
        <w:rPr>
          <w:i/>
          <w:sz w:val="22"/>
        </w:rPr>
        <w:t>(first</w:t>
      </w:r>
      <w:r>
        <w:rPr>
          <w:i/>
          <w:spacing w:val="-4"/>
          <w:sz w:val="22"/>
        </w:rPr>
        <w:t> </w:t>
      </w:r>
      <w:r>
        <w:rPr>
          <w:i/>
          <w:sz w:val="22"/>
        </w:rPr>
        <w:t>published</w:t>
      </w:r>
      <w:r>
        <w:rPr>
          <w:i/>
          <w:spacing w:val="-4"/>
          <w:sz w:val="22"/>
        </w:rPr>
        <w:t> </w:t>
      </w:r>
      <w:r>
        <w:rPr>
          <w:i/>
          <w:sz w:val="22"/>
        </w:rPr>
        <w:t>in</w:t>
      </w:r>
      <w:r>
        <w:rPr>
          <w:i/>
          <w:spacing w:val="-3"/>
          <w:sz w:val="22"/>
        </w:rPr>
        <w:t> </w:t>
      </w:r>
      <w:r>
        <w:rPr>
          <w:i/>
          <w:sz w:val="22"/>
        </w:rPr>
        <w:t>FY</w:t>
      </w:r>
      <w:r>
        <w:rPr>
          <w:i/>
          <w:spacing w:val="-4"/>
          <w:sz w:val="22"/>
        </w:rPr>
        <w:t> </w:t>
      </w:r>
      <w:r>
        <w:rPr>
          <w:i/>
          <w:sz w:val="22"/>
        </w:rPr>
        <w:t>2024</w:t>
      </w:r>
      <w:r>
        <w:rPr>
          <w:i/>
          <w:spacing w:val="-1"/>
          <w:sz w:val="22"/>
        </w:rPr>
        <w:t> </w:t>
      </w:r>
      <w:r>
        <w:rPr>
          <w:i/>
          <w:sz w:val="22"/>
        </w:rPr>
        <w:t>Annual</w:t>
      </w:r>
      <w:r>
        <w:rPr>
          <w:i/>
          <w:spacing w:val="-3"/>
          <w:sz w:val="22"/>
        </w:rPr>
        <w:t> </w:t>
      </w:r>
      <w:r>
        <w:rPr>
          <w:i/>
          <w:sz w:val="22"/>
        </w:rPr>
        <w:t>Recommendations</w:t>
      </w:r>
      <w:r>
        <w:rPr>
          <w:i/>
          <w:spacing w:val="-4"/>
          <w:sz w:val="22"/>
        </w:rPr>
        <w:t> </w:t>
      </w:r>
      <w:r>
        <w:rPr>
          <w:i/>
          <w:sz w:val="22"/>
        </w:rPr>
        <w:t>Report,</w:t>
      </w:r>
      <w:r>
        <w:rPr>
          <w:i/>
          <w:spacing w:val="-2"/>
          <w:sz w:val="22"/>
        </w:rPr>
        <w:t> </w:t>
      </w:r>
      <w:r>
        <w:rPr>
          <w:i/>
          <w:sz w:val="22"/>
        </w:rPr>
        <w:t>minor</w:t>
      </w:r>
      <w:r>
        <w:rPr>
          <w:i/>
          <w:spacing w:val="-4"/>
          <w:sz w:val="22"/>
        </w:rPr>
        <w:t> </w:t>
      </w:r>
      <w:r>
        <w:rPr>
          <w:i/>
          <w:sz w:val="22"/>
        </w:rPr>
        <w:t>updates</w:t>
      </w:r>
      <w:r>
        <w:rPr>
          <w:i/>
          <w:spacing w:val="-4"/>
          <w:sz w:val="22"/>
        </w:rPr>
        <w:t> </w:t>
      </w:r>
      <w:r>
        <w:rPr>
          <w:i/>
          <w:sz w:val="22"/>
        </w:rPr>
        <w:t>made</w:t>
      </w:r>
      <w:r>
        <w:rPr>
          <w:i/>
          <w:spacing w:val="-3"/>
          <w:sz w:val="22"/>
        </w:rPr>
        <w:t> </w:t>
      </w:r>
      <w:r>
        <w:rPr>
          <w:i/>
          <w:sz w:val="22"/>
        </w:rPr>
        <w:t>to</w:t>
      </w:r>
      <w:r>
        <w:rPr>
          <w:i/>
          <w:spacing w:val="-3"/>
          <w:sz w:val="22"/>
        </w:rPr>
        <w:t> </w:t>
      </w:r>
      <w:r>
        <w:rPr>
          <w:i/>
          <w:sz w:val="22"/>
        </w:rPr>
        <w:t>bring</w:t>
      </w:r>
      <w:r>
        <w:rPr>
          <w:i/>
          <w:spacing w:val="-3"/>
          <w:sz w:val="22"/>
        </w:rPr>
        <w:t> </w:t>
      </w:r>
      <w:r>
        <w:rPr>
          <w:i/>
          <w:sz w:val="22"/>
        </w:rPr>
        <w:t>current</w:t>
      </w:r>
      <w:r>
        <w:rPr>
          <w:i/>
          <w:spacing w:val="-3"/>
          <w:sz w:val="22"/>
        </w:rPr>
        <w:t> </w:t>
      </w:r>
      <w:r>
        <w:rPr>
          <w:i/>
          <w:sz w:val="22"/>
        </w:rPr>
        <w:t>to</w:t>
      </w:r>
      <w:r>
        <w:rPr>
          <w:i/>
          <w:spacing w:val="-3"/>
          <w:sz w:val="22"/>
        </w:rPr>
        <w:t> </w:t>
      </w:r>
      <w:r>
        <w:rPr>
          <w:i/>
          <w:sz w:val="22"/>
        </w:rPr>
        <w:t>FY</w:t>
      </w:r>
      <w:r>
        <w:rPr>
          <w:i/>
          <w:sz w:val="22"/>
        </w:rPr>
        <w:t> </w:t>
      </w:r>
      <w:r>
        <w:rPr>
          <w:i/>
          <w:spacing w:val="-2"/>
          <w:sz w:val="22"/>
        </w:rPr>
        <w:t>2025)</w:t>
      </w:r>
    </w:p>
    <w:p>
      <w:pPr>
        <w:pStyle w:val="BodyText"/>
        <w:spacing w:line="276" w:lineRule="auto" w:before="241"/>
        <w:ind w:left="463" w:right="263"/>
        <w:jc w:val="both"/>
      </w:pPr>
      <w:r>
        <w:rPr/>
        <w:t>In FY 2024, the Commission published a first-of-its-kind dedicated section on research and recommendations to improve policies, services, and programs for LGBTQ foreign-born Massachusetts residents,</w:t>
      </w:r>
      <w:r>
        <w:rPr>
          <w:spacing w:val="-13"/>
        </w:rPr>
        <w:t> </w:t>
      </w:r>
      <w:r>
        <w:rPr/>
        <w:t>including</w:t>
      </w:r>
      <w:r>
        <w:rPr>
          <w:spacing w:val="-12"/>
        </w:rPr>
        <w:t> </w:t>
      </w:r>
      <w:r>
        <w:rPr/>
        <w:t>first-generation,</w:t>
      </w:r>
      <w:r>
        <w:rPr>
          <w:spacing w:val="-13"/>
        </w:rPr>
        <w:t> </w:t>
      </w:r>
      <w:r>
        <w:rPr/>
        <w:t>undocumented,</w:t>
      </w:r>
      <w:r>
        <w:rPr>
          <w:spacing w:val="-12"/>
        </w:rPr>
        <w:t> </w:t>
      </w:r>
      <w:r>
        <w:rPr/>
        <w:t>asylee,</w:t>
      </w:r>
      <w:r>
        <w:rPr>
          <w:spacing w:val="-13"/>
        </w:rPr>
        <w:t> </w:t>
      </w:r>
      <w:r>
        <w:rPr/>
        <w:t>and</w:t>
      </w:r>
      <w:r>
        <w:rPr>
          <w:spacing w:val="-12"/>
        </w:rPr>
        <w:t> </w:t>
      </w:r>
      <w:r>
        <w:rPr/>
        <w:t>refugee</w:t>
      </w:r>
      <w:r>
        <w:rPr>
          <w:spacing w:val="-13"/>
        </w:rPr>
        <w:t> </w:t>
      </w:r>
      <w:r>
        <w:rPr/>
        <w:t>youth.</w:t>
      </w:r>
      <w:r>
        <w:rPr>
          <w:spacing w:val="-12"/>
        </w:rPr>
        <w:t> </w:t>
      </w:r>
      <w:r>
        <w:rPr/>
        <w:t>The</w:t>
      </w:r>
      <w:r>
        <w:rPr>
          <w:spacing w:val="-12"/>
        </w:rPr>
        <w:t> </w:t>
      </w:r>
      <w:r>
        <w:rPr/>
        <w:t>Commission</w:t>
      </w:r>
      <w:r>
        <w:rPr>
          <w:spacing w:val="-13"/>
        </w:rPr>
        <w:t> </w:t>
      </w:r>
      <w:r>
        <w:rPr/>
        <w:t>uses</w:t>
      </w:r>
      <w:r>
        <w:rPr>
          <w:spacing w:val="-12"/>
        </w:rPr>
        <w:t> </w:t>
      </w:r>
      <w:r>
        <w:rPr/>
        <w:t>the term</w:t>
      </w:r>
      <w:r>
        <w:rPr>
          <w:spacing w:val="-12"/>
        </w:rPr>
        <w:t> </w:t>
      </w:r>
      <w:r>
        <w:rPr/>
        <w:t>‘foreign-born’</w:t>
      </w:r>
      <w:r>
        <w:rPr>
          <w:spacing w:val="-11"/>
        </w:rPr>
        <w:t> </w:t>
      </w:r>
      <w:r>
        <w:rPr/>
        <w:t>throughout</w:t>
      </w:r>
      <w:r>
        <w:rPr>
          <w:spacing w:val="-12"/>
        </w:rPr>
        <w:t> </w:t>
      </w:r>
      <w:r>
        <w:rPr/>
        <w:t>this</w:t>
      </w:r>
      <w:r>
        <w:rPr>
          <w:spacing w:val="-11"/>
        </w:rPr>
        <w:t> </w:t>
      </w:r>
      <w:r>
        <w:rPr/>
        <w:t>report</w:t>
      </w:r>
      <w:r>
        <w:rPr>
          <w:spacing w:val="-12"/>
        </w:rPr>
        <w:t> </w:t>
      </w:r>
      <w:r>
        <w:rPr/>
        <w:t>to</w:t>
      </w:r>
      <w:r>
        <w:rPr>
          <w:spacing w:val="-11"/>
        </w:rPr>
        <w:t> </w:t>
      </w:r>
      <w:r>
        <w:rPr/>
        <w:t>encompass</w:t>
      </w:r>
      <w:r>
        <w:rPr>
          <w:spacing w:val="-11"/>
        </w:rPr>
        <w:t> </w:t>
      </w:r>
      <w:r>
        <w:rPr/>
        <w:t>the</w:t>
      </w:r>
      <w:r>
        <w:rPr>
          <w:spacing w:val="-11"/>
        </w:rPr>
        <w:t> </w:t>
      </w:r>
      <w:r>
        <w:rPr/>
        <w:t>experiences</w:t>
      </w:r>
      <w:r>
        <w:rPr>
          <w:spacing w:val="-9"/>
        </w:rPr>
        <w:t> </w:t>
      </w:r>
      <w:r>
        <w:rPr/>
        <w:t>of</w:t>
      </w:r>
      <w:r>
        <w:rPr>
          <w:spacing w:val="-11"/>
        </w:rPr>
        <w:t> </w:t>
      </w:r>
      <w:r>
        <w:rPr/>
        <w:t>those</w:t>
      </w:r>
      <w:r>
        <w:rPr>
          <w:spacing w:val="-11"/>
        </w:rPr>
        <w:t> </w:t>
      </w:r>
      <w:r>
        <w:rPr/>
        <w:t>who</w:t>
      </w:r>
      <w:r>
        <w:rPr>
          <w:spacing w:val="-11"/>
        </w:rPr>
        <w:t> </w:t>
      </w:r>
      <w:r>
        <w:rPr/>
        <w:t>are</w:t>
      </w:r>
      <w:r>
        <w:rPr>
          <w:spacing w:val="-11"/>
        </w:rPr>
        <w:t> </w:t>
      </w:r>
      <w:r>
        <w:rPr/>
        <w:t>legal</w:t>
      </w:r>
      <w:r>
        <w:rPr>
          <w:spacing w:val="-11"/>
        </w:rPr>
        <w:t> </w:t>
      </w:r>
      <w:r>
        <w:rPr/>
        <w:t>residents and undocumented residents, as well as those who may have only temporarily migrated to the state. As detailed throughout this section, there are many reasons that LGBTQ individuals and families may immigrate to the U.S., including to escape persecution, violence, and discrimination in their country of origin.</w:t>
      </w:r>
      <w:r>
        <w:rPr>
          <w:spacing w:val="-13"/>
        </w:rPr>
        <w:t> </w:t>
      </w:r>
      <w:r>
        <w:rPr/>
        <w:t>While</w:t>
      </w:r>
      <w:r>
        <w:rPr>
          <w:spacing w:val="-12"/>
        </w:rPr>
        <w:t> </w:t>
      </w:r>
      <w:r>
        <w:rPr/>
        <w:t>Massachusetts</w:t>
      </w:r>
      <w:r>
        <w:rPr>
          <w:spacing w:val="-13"/>
        </w:rPr>
        <w:t> </w:t>
      </w:r>
      <w:r>
        <w:rPr/>
        <w:t>has</w:t>
      </w:r>
      <w:r>
        <w:rPr>
          <w:spacing w:val="-12"/>
        </w:rPr>
        <w:t> </w:t>
      </w:r>
      <w:r>
        <w:rPr/>
        <w:t>made</w:t>
      </w:r>
      <w:r>
        <w:rPr>
          <w:spacing w:val="-13"/>
        </w:rPr>
        <w:t> </w:t>
      </w:r>
      <w:r>
        <w:rPr/>
        <w:t>great</w:t>
      </w:r>
      <w:r>
        <w:rPr>
          <w:spacing w:val="-12"/>
        </w:rPr>
        <w:t> </w:t>
      </w:r>
      <w:r>
        <w:rPr/>
        <w:t>strides</w:t>
      </w:r>
      <w:r>
        <w:rPr>
          <w:spacing w:val="-13"/>
        </w:rPr>
        <w:t> </w:t>
      </w:r>
      <w:r>
        <w:rPr/>
        <w:t>in</w:t>
      </w:r>
      <w:r>
        <w:rPr>
          <w:spacing w:val="-12"/>
        </w:rPr>
        <w:t> </w:t>
      </w:r>
      <w:r>
        <w:rPr/>
        <w:t>recent</w:t>
      </w:r>
      <w:r>
        <w:rPr>
          <w:spacing w:val="-12"/>
        </w:rPr>
        <w:t> </w:t>
      </w:r>
      <w:r>
        <w:rPr/>
        <w:t>years</w:t>
      </w:r>
      <w:r>
        <w:rPr>
          <w:spacing w:val="-13"/>
        </w:rPr>
        <w:t> </w:t>
      </w:r>
      <w:r>
        <w:rPr/>
        <w:t>towards</w:t>
      </w:r>
      <w:r>
        <w:rPr>
          <w:spacing w:val="-12"/>
        </w:rPr>
        <w:t> </w:t>
      </w:r>
      <w:r>
        <w:rPr/>
        <w:t>improving</w:t>
      </w:r>
      <w:r>
        <w:rPr>
          <w:spacing w:val="-13"/>
        </w:rPr>
        <w:t> </w:t>
      </w:r>
      <w:r>
        <w:rPr/>
        <w:t>its</w:t>
      </w:r>
      <w:r>
        <w:rPr>
          <w:spacing w:val="-12"/>
        </w:rPr>
        <w:t> </w:t>
      </w:r>
      <w:r>
        <w:rPr/>
        <w:t>service</w:t>
      </w:r>
      <w:r>
        <w:rPr>
          <w:spacing w:val="-13"/>
        </w:rPr>
        <w:t> </w:t>
      </w:r>
      <w:r>
        <w:rPr/>
        <w:t>provision for</w:t>
      </w:r>
      <w:r>
        <w:rPr>
          <w:spacing w:val="24"/>
        </w:rPr>
        <w:t> </w:t>
      </w:r>
      <w:r>
        <w:rPr/>
        <w:t>these</w:t>
      </w:r>
      <w:r>
        <w:rPr>
          <w:spacing w:val="25"/>
        </w:rPr>
        <w:t> </w:t>
      </w:r>
      <w:r>
        <w:rPr/>
        <w:t>communities,</w:t>
      </w:r>
      <w:r>
        <w:rPr>
          <w:spacing w:val="24"/>
        </w:rPr>
        <w:t> </w:t>
      </w:r>
      <w:r>
        <w:rPr/>
        <w:t>further</w:t>
      </w:r>
      <w:r>
        <w:rPr>
          <w:spacing w:val="25"/>
        </w:rPr>
        <w:t> </w:t>
      </w:r>
      <w:r>
        <w:rPr/>
        <w:t>steps</w:t>
      </w:r>
      <w:r>
        <w:rPr>
          <w:spacing w:val="26"/>
        </w:rPr>
        <w:t> </w:t>
      </w:r>
      <w:r>
        <w:rPr/>
        <w:t>should</w:t>
      </w:r>
      <w:r>
        <w:rPr>
          <w:spacing w:val="24"/>
        </w:rPr>
        <w:t> </w:t>
      </w:r>
      <w:r>
        <w:rPr/>
        <w:t>still</w:t>
      </w:r>
      <w:r>
        <w:rPr>
          <w:spacing w:val="25"/>
        </w:rPr>
        <w:t> </w:t>
      </w:r>
      <w:r>
        <w:rPr/>
        <w:t>be</w:t>
      </w:r>
      <w:r>
        <w:rPr>
          <w:spacing w:val="24"/>
        </w:rPr>
        <w:t> </w:t>
      </w:r>
      <w:r>
        <w:rPr/>
        <w:t>taken</w:t>
      </w:r>
      <w:r>
        <w:rPr>
          <w:spacing w:val="25"/>
        </w:rPr>
        <w:t> </w:t>
      </w:r>
      <w:r>
        <w:rPr/>
        <w:t>to</w:t>
      </w:r>
      <w:r>
        <w:rPr>
          <w:spacing w:val="25"/>
        </w:rPr>
        <w:t> </w:t>
      </w:r>
      <w:r>
        <w:rPr/>
        <w:t>ensure</w:t>
      </w:r>
      <w:r>
        <w:rPr>
          <w:spacing w:val="24"/>
        </w:rPr>
        <w:t> </w:t>
      </w:r>
      <w:r>
        <w:rPr/>
        <w:t>that</w:t>
      </w:r>
      <w:r>
        <w:rPr>
          <w:spacing w:val="24"/>
        </w:rPr>
        <w:t> </w:t>
      </w:r>
      <w:r>
        <w:rPr/>
        <w:t>all</w:t>
      </w:r>
      <w:r>
        <w:rPr>
          <w:spacing w:val="24"/>
        </w:rPr>
        <w:t> </w:t>
      </w:r>
      <w:r>
        <w:rPr/>
        <w:t>LGBTQ</w:t>
      </w:r>
      <w:r>
        <w:rPr>
          <w:spacing w:val="24"/>
        </w:rPr>
        <w:t> </w:t>
      </w:r>
      <w:r>
        <w:rPr/>
        <w:t>youth</w:t>
      </w:r>
      <w:r>
        <w:rPr>
          <w:spacing w:val="24"/>
        </w:rPr>
        <w:t> </w:t>
      </w:r>
      <w:r>
        <w:rPr/>
        <w:t>can</w:t>
      </w:r>
      <w:r>
        <w:rPr>
          <w:spacing w:val="25"/>
        </w:rPr>
        <w:t> </w:t>
      </w:r>
      <w:r>
        <w:rPr/>
        <w:t>thrive.</w:t>
      </w:r>
    </w:p>
    <w:p>
      <w:pPr>
        <w:pStyle w:val="BodyText"/>
      </w:pPr>
    </w:p>
    <w:p>
      <w:pPr>
        <w:pStyle w:val="BodyText"/>
        <w:spacing w:before="10"/>
      </w:pPr>
    </w:p>
    <w:p>
      <w:pPr>
        <w:spacing w:before="0"/>
        <w:ind w:left="463" w:right="0" w:firstLine="0"/>
        <w:jc w:val="both"/>
        <w:rPr>
          <w:sz w:val="28"/>
        </w:rPr>
      </w:pPr>
      <w:r>
        <w:rPr/>
        <mc:AlternateContent>
          <mc:Choice Requires="wps">
            <w:drawing>
              <wp:anchor distT="0" distB="0" distL="0" distR="0" allowOverlap="1" layoutInCell="1" locked="0" behindDoc="1" simplePos="0" relativeHeight="487667712">
                <wp:simplePos x="0" y="0"/>
                <wp:positionH relativeFrom="page">
                  <wp:posOffset>897636</wp:posOffset>
                </wp:positionH>
                <wp:positionV relativeFrom="paragraph">
                  <wp:posOffset>229710</wp:posOffset>
                </wp:positionV>
                <wp:extent cx="5976620" cy="635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087465pt;width:470.58pt;height:.48pt;mso-position-horizontal-relative:page;mso-position-vertical-relative:paragraph;z-index:-15648768;mso-wrap-distance-left:0;mso-wrap-distance-right:0" id="docshape344" filled="true" fillcolor="#4f81bc" stroked="false">
                <v:fill type="solid"/>
                <w10:wrap type="topAndBottom"/>
              </v:rect>
            </w:pict>
          </mc:Fallback>
        </mc:AlternateContent>
      </w:r>
      <w:r>
        <w:rPr/>
        <mc:AlternateContent>
          <mc:Choice Requires="wps">
            <w:drawing>
              <wp:anchor distT="0" distB="0" distL="0" distR="0" allowOverlap="1" layoutInCell="1" locked="0" behindDoc="1" simplePos="0" relativeHeight="487668224">
                <wp:simplePos x="0" y="0"/>
                <wp:positionH relativeFrom="page">
                  <wp:posOffset>889000</wp:posOffset>
                </wp:positionH>
                <wp:positionV relativeFrom="paragraph">
                  <wp:posOffset>292728</wp:posOffset>
                </wp:positionV>
                <wp:extent cx="6350" cy="1270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0F6DC5"/>
                        </a:solidFill>
                      </wps:spPr>
                      <wps:bodyPr wrap="square" lIns="0" tIns="0" rIns="0" bIns="0" rtlCol="0">
                        <a:prstTxWarp prst="textNoShape">
                          <a:avLst/>
                        </a:prstTxWarp>
                        <a:noAutofit/>
                      </wps:bodyPr>
                    </wps:wsp>
                  </a:graphicData>
                </a:graphic>
              </wp:anchor>
            </w:drawing>
          </mc:Choice>
          <mc:Fallback>
            <w:pict>
              <v:rect style="position:absolute;margin-left:70pt;margin-top:23.049465pt;width:.499pt;height:.962pt;mso-position-horizontal-relative:page;mso-position-vertical-relative:paragraph;z-index:-15648256;mso-wrap-distance-left:0;mso-wrap-distance-right:0" id="docshape345" filled="true" fillcolor="#0f6dc5" stroked="false">
                <v:fill type="solid"/>
                <w10:wrap type="topAndBottom"/>
              </v:rect>
            </w:pict>
          </mc:Fallback>
        </mc:AlternateContent>
      </w:r>
      <w:bookmarkStart w:name="FY 2025 Recommendations to the Governor " w:id="774"/>
      <w:bookmarkEnd w:id="774"/>
      <w:r>
        <w:rPr/>
      </w:r>
      <w:r>
        <w:rPr>
          <w:color w:val="365F91"/>
          <w:sz w:val="28"/>
        </w:rPr>
        <w:t>FY</w:t>
      </w:r>
      <w:r>
        <w:rPr>
          <w:color w:val="365F91"/>
          <w:spacing w:val="-11"/>
          <w:sz w:val="28"/>
        </w:rPr>
        <w:t> </w:t>
      </w:r>
      <w:r>
        <w:rPr>
          <w:color w:val="365F91"/>
          <w:sz w:val="28"/>
        </w:rPr>
        <w:t>2025</w:t>
      </w:r>
      <w:r>
        <w:rPr>
          <w:color w:val="365F91"/>
          <w:spacing w:val="-10"/>
          <w:sz w:val="28"/>
        </w:rPr>
        <w:t> </w:t>
      </w:r>
      <w:r>
        <w:rPr>
          <w:color w:val="365F91"/>
          <w:sz w:val="28"/>
        </w:rPr>
        <w:t>Recommendations</w:t>
      </w:r>
      <w:r>
        <w:rPr>
          <w:color w:val="365F91"/>
          <w:spacing w:val="-10"/>
          <w:sz w:val="28"/>
        </w:rPr>
        <w:t> </w:t>
      </w:r>
      <w:r>
        <w:rPr>
          <w:color w:val="365F91"/>
          <w:sz w:val="28"/>
        </w:rPr>
        <w:t>to</w:t>
      </w:r>
      <w:r>
        <w:rPr>
          <w:color w:val="365F91"/>
          <w:spacing w:val="-9"/>
          <w:sz w:val="28"/>
        </w:rPr>
        <w:t> </w:t>
      </w:r>
      <w:r>
        <w:rPr>
          <w:color w:val="365F91"/>
          <w:sz w:val="28"/>
        </w:rPr>
        <w:t>the</w:t>
      </w:r>
      <w:r>
        <w:rPr>
          <w:color w:val="365F91"/>
          <w:spacing w:val="-10"/>
          <w:sz w:val="28"/>
        </w:rPr>
        <w:t> </w:t>
      </w:r>
      <w:r>
        <w:rPr>
          <w:color w:val="365F91"/>
          <w:sz w:val="28"/>
        </w:rPr>
        <w:t>Governor</w:t>
      </w:r>
      <w:r>
        <w:rPr>
          <w:color w:val="365F91"/>
          <w:spacing w:val="-11"/>
          <w:sz w:val="28"/>
        </w:rPr>
        <w:t> </w:t>
      </w:r>
      <w:r>
        <w:rPr>
          <w:color w:val="365F91"/>
          <w:sz w:val="28"/>
        </w:rPr>
        <w:t>on</w:t>
      </w:r>
      <w:r>
        <w:rPr>
          <w:color w:val="365F91"/>
          <w:spacing w:val="-11"/>
          <w:sz w:val="28"/>
        </w:rPr>
        <w:t> </w:t>
      </w:r>
      <w:r>
        <w:rPr>
          <w:color w:val="365F91"/>
          <w:sz w:val="28"/>
        </w:rPr>
        <w:t>Foreign-Born</w:t>
      </w:r>
      <w:r>
        <w:rPr>
          <w:color w:val="365F91"/>
          <w:spacing w:val="-10"/>
          <w:sz w:val="28"/>
        </w:rPr>
        <w:t> </w:t>
      </w:r>
      <w:r>
        <w:rPr>
          <w:color w:val="365F91"/>
          <w:sz w:val="28"/>
        </w:rPr>
        <w:t>LGBTQ</w:t>
      </w:r>
      <w:r>
        <w:rPr>
          <w:color w:val="365F91"/>
          <w:spacing w:val="-10"/>
          <w:sz w:val="28"/>
        </w:rPr>
        <w:t> </w:t>
      </w:r>
      <w:r>
        <w:rPr>
          <w:color w:val="365F91"/>
          <w:spacing w:val="-2"/>
          <w:sz w:val="28"/>
        </w:rPr>
        <w:t>Youth</w:t>
      </w:r>
    </w:p>
    <w:p>
      <w:pPr>
        <w:pStyle w:val="BodyText"/>
        <w:spacing w:before="4"/>
        <w:rPr>
          <w:sz w:val="5"/>
        </w:rPr>
      </w:pPr>
    </w:p>
    <w:p>
      <w:pPr>
        <w:numPr>
          <w:ilvl w:val="0"/>
          <w:numId w:val="27"/>
        </w:numPr>
        <w:tabs>
          <w:tab w:pos="460" w:val="left" w:leader="none"/>
          <w:tab w:pos="463" w:val="left" w:leader="none"/>
        </w:tabs>
        <w:spacing w:line="276" w:lineRule="auto" w:before="133"/>
        <w:ind w:left="463" w:right="263" w:hanging="361"/>
        <w:jc w:val="left"/>
        <w:rPr>
          <w:b/>
          <w:sz w:val="22"/>
        </w:rPr>
      </w:pPr>
      <w:bookmarkStart w:name="1. Improve the availability of multiling" w:id="775"/>
      <w:bookmarkEnd w:id="775"/>
      <w:r>
        <w:rPr>
          <w:b/>
          <w:sz w:val="22"/>
        </w:rPr>
        <w:t>Im</w:t>
      </w:r>
      <w:r>
        <w:rPr>
          <w:b/>
          <w:sz w:val="22"/>
        </w:rPr>
        <w:t>prove</w:t>
      </w:r>
      <w:r>
        <w:rPr>
          <w:b/>
          <w:spacing w:val="40"/>
          <w:sz w:val="22"/>
        </w:rPr>
        <w:t> </w:t>
      </w:r>
      <w:r>
        <w:rPr>
          <w:b/>
          <w:sz w:val="22"/>
        </w:rPr>
        <w:t>the</w:t>
      </w:r>
      <w:r>
        <w:rPr>
          <w:b/>
          <w:spacing w:val="40"/>
          <w:sz w:val="22"/>
        </w:rPr>
        <w:t> </w:t>
      </w:r>
      <w:r>
        <w:rPr>
          <w:b/>
          <w:sz w:val="22"/>
        </w:rPr>
        <w:t>availability</w:t>
      </w:r>
      <w:r>
        <w:rPr>
          <w:b/>
          <w:spacing w:val="40"/>
          <w:sz w:val="22"/>
        </w:rPr>
        <w:t> </w:t>
      </w:r>
      <w:r>
        <w:rPr>
          <w:b/>
          <w:sz w:val="22"/>
        </w:rPr>
        <w:t>of</w:t>
      </w:r>
      <w:r>
        <w:rPr>
          <w:b/>
          <w:spacing w:val="40"/>
          <w:sz w:val="22"/>
        </w:rPr>
        <w:t> </w:t>
      </w:r>
      <w:r>
        <w:rPr>
          <w:b/>
          <w:sz w:val="22"/>
        </w:rPr>
        <w:t>multilingual,</w:t>
      </w:r>
      <w:r>
        <w:rPr>
          <w:b/>
          <w:spacing w:val="40"/>
          <w:sz w:val="22"/>
        </w:rPr>
        <w:t> </w:t>
      </w:r>
      <w:r>
        <w:rPr>
          <w:b/>
          <w:sz w:val="22"/>
        </w:rPr>
        <w:t>LGBTQ-affirming</w:t>
      </w:r>
      <w:r>
        <w:rPr>
          <w:b/>
          <w:spacing w:val="40"/>
          <w:sz w:val="22"/>
        </w:rPr>
        <w:t> </w:t>
      </w:r>
      <w:r>
        <w:rPr>
          <w:b/>
          <w:sz w:val="22"/>
        </w:rPr>
        <w:t>services</w:t>
      </w:r>
      <w:r>
        <w:rPr>
          <w:b/>
          <w:spacing w:val="40"/>
          <w:sz w:val="22"/>
        </w:rPr>
        <w:t> </w:t>
      </w:r>
      <w:r>
        <w:rPr>
          <w:b/>
          <w:sz w:val="22"/>
        </w:rPr>
        <w:t>for</w:t>
      </w:r>
      <w:r>
        <w:rPr>
          <w:b/>
          <w:spacing w:val="40"/>
          <w:sz w:val="22"/>
        </w:rPr>
        <w:t> </w:t>
      </w:r>
      <w:r>
        <w:rPr>
          <w:b/>
          <w:sz w:val="22"/>
        </w:rPr>
        <w:t>foreign-born</w:t>
      </w:r>
      <w:r>
        <w:rPr>
          <w:b/>
          <w:spacing w:val="40"/>
          <w:sz w:val="22"/>
        </w:rPr>
        <w:t> </w:t>
      </w:r>
      <w:r>
        <w:rPr>
          <w:b/>
          <w:sz w:val="22"/>
        </w:rPr>
        <w:t>residents,</w:t>
      </w:r>
      <w:r>
        <w:rPr>
          <w:b/>
          <w:spacing w:val="40"/>
          <w:sz w:val="22"/>
        </w:rPr>
        <w:t> </w:t>
      </w:r>
      <w:r>
        <w:rPr>
          <w:b/>
          <w:sz w:val="22"/>
        </w:rPr>
        <w:t>and increase funding for existing programs.</w:t>
      </w:r>
    </w:p>
    <w:p>
      <w:pPr>
        <w:pStyle w:val="BodyText"/>
        <w:spacing w:line="276" w:lineRule="auto" w:before="240"/>
        <w:ind w:left="463" w:right="259"/>
        <w:jc w:val="both"/>
      </w:pPr>
      <w:r>
        <w:rPr/>
        <w:t>The Commission recommends that the state increase and improve its current service provision for immigrants, refugees, and asylees who are LGBTQ. As explored below, while very little state-specific research and data exists, there remains a great need for affirming services, particularly in the areas of mental health care and housing support. It is clear that organizations currently working to serve LGBTQ immigrant, refugee, and asylee populations have limited capacity and funding to meet the demand for their services. For example, the LGBT Asylum Task Force, based in Worcester, is one of very few LGBTQ- specific</w:t>
      </w:r>
      <w:r>
        <w:rPr>
          <w:spacing w:val="-7"/>
        </w:rPr>
        <w:t> </w:t>
      </w:r>
      <w:r>
        <w:rPr/>
        <w:t>asylum</w:t>
      </w:r>
      <w:r>
        <w:rPr>
          <w:spacing w:val="-8"/>
        </w:rPr>
        <w:t> </w:t>
      </w:r>
      <w:r>
        <w:rPr/>
        <w:t>seeker</w:t>
      </w:r>
      <w:r>
        <w:rPr>
          <w:spacing w:val="-8"/>
        </w:rPr>
        <w:t> </w:t>
      </w:r>
      <w:r>
        <w:rPr/>
        <w:t>support</w:t>
      </w:r>
      <w:r>
        <w:rPr>
          <w:spacing w:val="-8"/>
        </w:rPr>
        <w:t> </w:t>
      </w:r>
      <w:r>
        <w:rPr/>
        <w:t>programs</w:t>
      </w:r>
      <w:r>
        <w:rPr>
          <w:spacing w:val="-7"/>
        </w:rPr>
        <w:t> </w:t>
      </w:r>
      <w:r>
        <w:rPr/>
        <w:t>in</w:t>
      </w:r>
      <w:r>
        <w:rPr>
          <w:spacing w:val="-7"/>
        </w:rPr>
        <w:t> </w:t>
      </w:r>
      <w:r>
        <w:rPr/>
        <w:t>the</w:t>
      </w:r>
      <w:r>
        <w:rPr>
          <w:spacing w:val="-7"/>
        </w:rPr>
        <w:t> </w:t>
      </w:r>
      <w:r>
        <w:rPr/>
        <w:t>whole</w:t>
      </w:r>
      <w:r>
        <w:rPr>
          <w:spacing w:val="-8"/>
        </w:rPr>
        <w:t> </w:t>
      </w:r>
      <w:r>
        <w:rPr/>
        <w:t>of</w:t>
      </w:r>
      <w:r>
        <w:rPr>
          <w:spacing w:val="-8"/>
        </w:rPr>
        <w:t> </w:t>
      </w:r>
      <w:r>
        <w:rPr/>
        <w:t>the</w:t>
      </w:r>
      <w:r>
        <w:rPr>
          <w:spacing w:val="-7"/>
        </w:rPr>
        <w:t> </w:t>
      </w:r>
      <w:r>
        <w:rPr/>
        <w:t>United</w:t>
      </w:r>
      <w:r>
        <w:rPr>
          <w:spacing w:val="-8"/>
        </w:rPr>
        <w:t> </w:t>
      </w:r>
      <w:r>
        <w:rPr/>
        <w:t>States,</w:t>
      </w:r>
      <w:r>
        <w:rPr>
          <w:spacing w:val="-7"/>
        </w:rPr>
        <w:t> </w:t>
      </w:r>
      <w:r>
        <w:rPr/>
        <w:t>and</w:t>
      </w:r>
      <w:r>
        <w:rPr>
          <w:spacing w:val="-6"/>
        </w:rPr>
        <w:t> </w:t>
      </w:r>
      <w:r>
        <w:rPr/>
        <w:t>provides</w:t>
      </w:r>
      <w:r>
        <w:rPr>
          <w:spacing w:val="-7"/>
        </w:rPr>
        <w:t> </w:t>
      </w:r>
      <w:r>
        <w:rPr/>
        <w:t>long-term</w:t>
      </w:r>
      <w:r>
        <w:rPr>
          <w:spacing w:val="-7"/>
        </w:rPr>
        <w:t> </w:t>
      </w:r>
      <w:r>
        <w:rPr/>
        <w:t>rental assistance to asylum seekers who by law cannot work for at least 180 days after entering the U.S.</w:t>
      </w:r>
    </w:p>
    <w:p>
      <w:pPr>
        <w:pStyle w:val="BodyText"/>
        <w:spacing w:line="276" w:lineRule="auto" w:before="240"/>
        <w:ind w:left="463" w:right="264"/>
        <w:jc w:val="both"/>
      </w:pPr>
      <w:r>
        <w:rPr/>
        <w:t>Furthermore,</w:t>
      </w:r>
      <w:r>
        <w:rPr>
          <w:spacing w:val="-6"/>
        </w:rPr>
        <w:t> </w:t>
      </w:r>
      <w:r>
        <w:rPr/>
        <w:t>the</w:t>
      </w:r>
      <w:r>
        <w:rPr>
          <w:spacing w:val="-6"/>
        </w:rPr>
        <w:t> </w:t>
      </w:r>
      <w:r>
        <w:rPr/>
        <w:t>Commission</w:t>
      </w:r>
      <w:r>
        <w:rPr>
          <w:spacing w:val="-6"/>
        </w:rPr>
        <w:t> </w:t>
      </w:r>
      <w:r>
        <w:rPr/>
        <w:t>recommends</w:t>
      </w:r>
      <w:r>
        <w:rPr>
          <w:spacing w:val="-6"/>
        </w:rPr>
        <w:t> </w:t>
      </w:r>
      <w:r>
        <w:rPr/>
        <w:t>that</w:t>
      </w:r>
      <w:r>
        <w:rPr>
          <w:spacing w:val="-5"/>
        </w:rPr>
        <w:t> </w:t>
      </w:r>
      <w:r>
        <w:rPr/>
        <w:t>state</w:t>
      </w:r>
      <w:r>
        <w:rPr>
          <w:spacing w:val="-6"/>
        </w:rPr>
        <w:t> </w:t>
      </w:r>
      <w:r>
        <w:rPr/>
        <w:t>agencies,</w:t>
      </w:r>
      <w:r>
        <w:rPr>
          <w:spacing w:val="-5"/>
        </w:rPr>
        <w:t> </w:t>
      </w:r>
      <w:r>
        <w:rPr/>
        <w:t>nonprofit</w:t>
      </w:r>
      <w:r>
        <w:rPr>
          <w:spacing w:val="-6"/>
        </w:rPr>
        <w:t> </w:t>
      </w:r>
      <w:r>
        <w:rPr/>
        <w:t>organizations,</w:t>
      </w:r>
      <w:r>
        <w:rPr>
          <w:spacing w:val="-6"/>
        </w:rPr>
        <w:t> </w:t>
      </w:r>
      <w:r>
        <w:rPr/>
        <w:t>and</w:t>
      </w:r>
      <w:r>
        <w:rPr>
          <w:spacing w:val="-5"/>
        </w:rPr>
        <w:t> </w:t>
      </w:r>
      <w:r>
        <w:rPr/>
        <w:t>community programs</w:t>
      </w:r>
      <w:r>
        <w:rPr>
          <w:spacing w:val="-5"/>
        </w:rPr>
        <w:t> </w:t>
      </w:r>
      <w:r>
        <w:rPr/>
        <w:t>examine</w:t>
      </w:r>
      <w:r>
        <w:rPr>
          <w:spacing w:val="-4"/>
        </w:rPr>
        <w:t> </w:t>
      </w:r>
      <w:r>
        <w:rPr/>
        <w:t>their</w:t>
      </w:r>
      <w:r>
        <w:rPr>
          <w:spacing w:val="-5"/>
        </w:rPr>
        <w:t> </w:t>
      </w:r>
      <w:r>
        <w:rPr/>
        <w:t>outreach</w:t>
      </w:r>
      <w:r>
        <w:rPr>
          <w:spacing w:val="-4"/>
        </w:rPr>
        <w:t> </w:t>
      </w:r>
      <w:r>
        <w:rPr/>
        <w:t>and</w:t>
      </w:r>
      <w:r>
        <w:rPr>
          <w:spacing w:val="-4"/>
        </w:rPr>
        <w:t> </w:t>
      </w:r>
      <w:r>
        <w:rPr/>
        <w:t>accessibility</w:t>
      </w:r>
      <w:r>
        <w:rPr>
          <w:spacing w:val="-4"/>
        </w:rPr>
        <w:t> </w:t>
      </w:r>
      <w:r>
        <w:rPr/>
        <w:t>for</w:t>
      </w:r>
      <w:r>
        <w:rPr>
          <w:spacing w:val="-4"/>
        </w:rPr>
        <w:t> </w:t>
      </w:r>
      <w:r>
        <w:rPr/>
        <w:t>LGBTQ</w:t>
      </w:r>
      <w:r>
        <w:rPr>
          <w:spacing w:val="-4"/>
        </w:rPr>
        <w:t> </w:t>
      </w:r>
      <w:r>
        <w:rPr/>
        <w:t>residents</w:t>
      </w:r>
      <w:r>
        <w:rPr>
          <w:spacing w:val="-5"/>
        </w:rPr>
        <w:t> </w:t>
      </w:r>
      <w:r>
        <w:rPr/>
        <w:t>who</w:t>
      </w:r>
      <w:r>
        <w:rPr>
          <w:spacing w:val="-3"/>
        </w:rPr>
        <w:t> </w:t>
      </w:r>
      <w:r>
        <w:rPr/>
        <w:t>may</w:t>
      </w:r>
      <w:r>
        <w:rPr>
          <w:spacing w:val="-3"/>
        </w:rPr>
        <w:t> </w:t>
      </w:r>
      <w:r>
        <w:rPr/>
        <w:t>not</w:t>
      </w:r>
      <w:r>
        <w:rPr>
          <w:spacing w:val="-5"/>
        </w:rPr>
        <w:t> </w:t>
      </w:r>
      <w:r>
        <w:rPr/>
        <w:t>be</w:t>
      </w:r>
      <w:r>
        <w:rPr>
          <w:spacing w:val="-5"/>
        </w:rPr>
        <w:t> </w:t>
      </w:r>
      <w:r>
        <w:rPr/>
        <w:t>fluent</w:t>
      </w:r>
      <w:r>
        <w:rPr>
          <w:spacing w:val="-3"/>
        </w:rPr>
        <w:t> </w:t>
      </w:r>
      <w:r>
        <w:rPr/>
        <w:t>in</w:t>
      </w:r>
      <w:r>
        <w:rPr>
          <w:spacing w:val="-4"/>
        </w:rPr>
        <w:t> </w:t>
      </w:r>
      <w:r>
        <w:rPr/>
        <w:t>English. The Commission supports </w:t>
      </w:r>
      <w:r>
        <w:rPr>
          <w:i/>
        </w:rPr>
        <w:t>An Act Relative to Language Access and Inclusion</w:t>
      </w:r>
      <w:r>
        <w:rPr/>
        <w:t>, (</w:t>
      </w:r>
      <w:hyperlink r:id="rId558">
        <w:r>
          <w:rPr>
            <w:color w:val="1153CC"/>
            <w:u w:val="single" w:color="1153CC"/>
          </w:rPr>
          <w:t>S.1990</w:t>
        </w:r>
      </w:hyperlink>
      <w:r>
        <w:rPr>
          <w:u w:val="none"/>
        </w:rPr>
        <w:t>/</w:t>
      </w:r>
      <w:hyperlink r:id="rId559">
        <w:r>
          <w:rPr>
            <w:color w:val="1153CC"/>
            <w:u w:val="single" w:color="1153CC"/>
          </w:rPr>
          <w:t>H.3084</w:t>
        </w:r>
      </w:hyperlink>
      <w:r>
        <w:rPr>
          <w:u w:val="none"/>
        </w:rPr>
        <w:t>), which would</w:t>
      </w:r>
      <w:r>
        <w:rPr>
          <w:spacing w:val="-13"/>
          <w:u w:val="none"/>
        </w:rPr>
        <w:t> </w:t>
      </w:r>
      <w:r>
        <w:rPr>
          <w:u w:val="none"/>
        </w:rPr>
        <w:t>require</w:t>
      </w:r>
      <w:r>
        <w:rPr>
          <w:spacing w:val="-12"/>
          <w:u w:val="none"/>
        </w:rPr>
        <w:t> </w:t>
      </w:r>
      <w:r>
        <w:rPr>
          <w:u w:val="none"/>
        </w:rPr>
        <w:t>state</w:t>
      </w:r>
      <w:r>
        <w:rPr>
          <w:spacing w:val="-13"/>
          <w:u w:val="none"/>
        </w:rPr>
        <w:t> </w:t>
      </w:r>
      <w:r>
        <w:rPr>
          <w:u w:val="none"/>
        </w:rPr>
        <w:t>agencies</w:t>
      </w:r>
      <w:r>
        <w:rPr>
          <w:spacing w:val="-11"/>
          <w:u w:val="none"/>
        </w:rPr>
        <w:t> </w:t>
      </w:r>
      <w:r>
        <w:rPr>
          <w:u w:val="none"/>
        </w:rPr>
        <w:t>to</w:t>
      </w:r>
      <w:r>
        <w:rPr>
          <w:spacing w:val="-12"/>
          <w:u w:val="none"/>
        </w:rPr>
        <w:t> </w:t>
      </w:r>
      <w:r>
        <w:rPr>
          <w:u w:val="none"/>
        </w:rPr>
        <w:t>provide</w:t>
      </w:r>
      <w:r>
        <w:rPr>
          <w:spacing w:val="-11"/>
          <w:u w:val="none"/>
        </w:rPr>
        <w:t> </w:t>
      </w:r>
      <w:r>
        <w:rPr>
          <w:u w:val="none"/>
        </w:rPr>
        <w:t>public</w:t>
      </w:r>
      <w:r>
        <w:rPr>
          <w:spacing w:val="-13"/>
          <w:u w:val="none"/>
        </w:rPr>
        <w:t> </w:t>
      </w:r>
      <w:r>
        <w:rPr>
          <w:u w:val="none"/>
        </w:rPr>
        <w:t>materials</w:t>
      </w:r>
      <w:r>
        <w:rPr>
          <w:spacing w:val="-11"/>
          <w:u w:val="none"/>
        </w:rPr>
        <w:t> </w:t>
      </w:r>
      <w:r>
        <w:rPr>
          <w:u w:val="none"/>
        </w:rPr>
        <w:t>and</w:t>
      </w:r>
      <w:r>
        <w:rPr>
          <w:spacing w:val="-13"/>
          <w:u w:val="none"/>
        </w:rPr>
        <w:t> </w:t>
      </w:r>
      <w:r>
        <w:rPr>
          <w:u w:val="none"/>
        </w:rPr>
        <w:t>information</w:t>
      </w:r>
      <w:r>
        <w:rPr>
          <w:spacing w:val="-12"/>
          <w:u w:val="none"/>
        </w:rPr>
        <w:t> </w:t>
      </w:r>
      <w:r>
        <w:rPr>
          <w:u w:val="none"/>
        </w:rPr>
        <w:t>in</w:t>
      </w:r>
      <w:r>
        <w:rPr>
          <w:spacing w:val="-11"/>
          <w:u w:val="none"/>
        </w:rPr>
        <w:t> </w:t>
      </w:r>
      <w:r>
        <w:rPr>
          <w:u w:val="none"/>
        </w:rPr>
        <w:t>the</w:t>
      </w:r>
      <w:r>
        <w:rPr>
          <w:spacing w:val="-11"/>
          <w:u w:val="none"/>
        </w:rPr>
        <w:t> </w:t>
      </w:r>
      <w:r>
        <w:rPr>
          <w:u w:val="none"/>
        </w:rPr>
        <w:t>primary</w:t>
      </w:r>
      <w:r>
        <w:rPr>
          <w:spacing w:val="-12"/>
          <w:u w:val="none"/>
        </w:rPr>
        <w:t> </w:t>
      </w:r>
      <w:r>
        <w:rPr>
          <w:u w:val="none"/>
        </w:rPr>
        <w:t>languages</w:t>
      </w:r>
      <w:r>
        <w:rPr>
          <w:spacing w:val="-12"/>
          <w:u w:val="none"/>
        </w:rPr>
        <w:t> </w:t>
      </w:r>
      <w:r>
        <w:rPr>
          <w:u w:val="none"/>
        </w:rPr>
        <w:t>spoken by Massachusetts residents aside from English. Additionally, to avoid unnecessary obstacles, service providers should ensure that forms are clear to non-native English speakers, and that ID or citizenship information is not required to access services not dependent on immigration status. Organizations can also improve accessibility by hiring and appropriately compensating bilingual staff, providing materials and</w:t>
      </w:r>
      <w:r>
        <w:rPr>
          <w:spacing w:val="-1"/>
          <w:u w:val="none"/>
        </w:rPr>
        <w:t> </w:t>
      </w:r>
      <w:r>
        <w:rPr>
          <w:u w:val="none"/>
        </w:rPr>
        <w:t>signs in multiple</w:t>
      </w:r>
      <w:r>
        <w:rPr>
          <w:spacing w:val="-1"/>
          <w:u w:val="none"/>
        </w:rPr>
        <w:t> </w:t>
      </w:r>
      <w:r>
        <w:rPr>
          <w:u w:val="none"/>
        </w:rPr>
        <w:t>languages, and</w:t>
      </w:r>
      <w:r>
        <w:rPr>
          <w:spacing w:val="-1"/>
          <w:u w:val="none"/>
        </w:rPr>
        <w:t> </w:t>
      </w:r>
      <w:r>
        <w:rPr>
          <w:u w:val="none"/>
        </w:rPr>
        <w:t>fostering</w:t>
      </w:r>
      <w:r>
        <w:rPr>
          <w:spacing w:val="-1"/>
          <w:u w:val="none"/>
        </w:rPr>
        <w:t> </w:t>
      </w:r>
      <w:r>
        <w:rPr>
          <w:u w:val="none"/>
        </w:rPr>
        <w:t>relationships with interpreting services to improve</w:t>
      </w:r>
      <w:r>
        <w:rPr>
          <w:spacing w:val="-1"/>
          <w:u w:val="none"/>
        </w:rPr>
        <w:t> </w:t>
      </w:r>
      <w:r>
        <w:rPr>
          <w:u w:val="none"/>
        </w:rPr>
        <w:t>service provision for non-English-speaking clients.</w:t>
      </w:r>
    </w:p>
    <w:p>
      <w:pPr>
        <w:spacing w:after="0" w:line="276" w:lineRule="auto"/>
        <w:jc w:val="both"/>
        <w:sectPr>
          <w:headerReference w:type="default" r:id="rId556"/>
          <w:footerReference w:type="default" r:id="rId557"/>
          <w:pgSz w:w="12240" w:h="15840"/>
          <w:pgMar w:header="805" w:footer="1208" w:top="1080" w:bottom="1400" w:left="980" w:right="1180"/>
          <w:pgNumType w:start="194"/>
        </w:sectPr>
      </w:pPr>
    </w:p>
    <w:p>
      <w:pPr>
        <w:numPr>
          <w:ilvl w:val="0"/>
          <w:numId w:val="27"/>
        </w:numPr>
        <w:tabs>
          <w:tab w:pos="461" w:val="left" w:leader="none"/>
        </w:tabs>
        <w:spacing w:before="69"/>
        <w:ind w:left="461" w:right="0" w:hanging="358"/>
        <w:jc w:val="left"/>
        <w:rPr>
          <w:b/>
          <w:sz w:val="22"/>
        </w:rPr>
      </w:pPr>
      <w:bookmarkStart w:name="2. Establish an LGBTQ Immigrant &amp; Refuge" w:id="776"/>
      <w:bookmarkEnd w:id="776"/>
      <w:r>
        <w:rPr>
          <w:b/>
          <w:sz w:val="22"/>
        </w:rPr>
        <w:t>E</w:t>
      </w:r>
      <w:r>
        <w:rPr>
          <w:b/>
          <w:sz w:val="22"/>
        </w:rPr>
        <w:t>stablish</w:t>
      </w:r>
      <w:r>
        <w:rPr>
          <w:b/>
          <w:spacing w:val="-8"/>
          <w:sz w:val="22"/>
        </w:rPr>
        <w:t> </w:t>
      </w:r>
      <w:r>
        <w:rPr>
          <w:b/>
          <w:sz w:val="22"/>
        </w:rPr>
        <w:t>an</w:t>
      </w:r>
      <w:r>
        <w:rPr>
          <w:b/>
          <w:spacing w:val="-7"/>
          <w:sz w:val="22"/>
        </w:rPr>
        <w:t> </w:t>
      </w:r>
      <w:r>
        <w:rPr>
          <w:b/>
          <w:sz w:val="22"/>
        </w:rPr>
        <w:t>LGBTQ</w:t>
      </w:r>
      <w:r>
        <w:rPr>
          <w:b/>
          <w:spacing w:val="-7"/>
          <w:sz w:val="22"/>
        </w:rPr>
        <w:t> </w:t>
      </w:r>
      <w:r>
        <w:rPr>
          <w:b/>
          <w:sz w:val="22"/>
        </w:rPr>
        <w:t>Immigrant</w:t>
      </w:r>
      <w:r>
        <w:rPr>
          <w:b/>
          <w:spacing w:val="-9"/>
          <w:sz w:val="22"/>
        </w:rPr>
        <w:t> </w:t>
      </w:r>
      <w:r>
        <w:rPr>
          <w:b/>
          <w:sz w:val="22"/>
        </w:rPr>
        <w:t>&amp;</w:t>
      </w:r>
      <w:r>
        <w:rPr>
          <w:b/>
          <w:spacing w:val="-7"/>
          <w:sz w:val="22"/>
        </w:rPr>
        <w:t> </w:t>
      </w:r>
      <w:r>
        <w:rPr>
          <w:b/>
          <w:sz w:val="22"/>
        </w:rPr>
        <w:t>Refugee</w:t>
      </w:r>
      <w:r>
        <w:rPr>
          <w:b/>
          <w:spacing w:val="-8"/>
          <w:sz w:val="22"/>
        </w:rPr>
        <w:t> </w:t>
      </w:r>
      <w:r>
        <w:rPr>
          <w:b/>
          <w:sz w:val="22"/>
        </w:rPr>
        <w:t>Task</w:t>
      </w:r>
      <w:r>
        <w:rPr>
          <w:b/>
          <w:spacing w:val="-7"/>
          <w:sz w:val="22"/>
        </w:rPr>
        <w:t> </w:t>
      </w:r>
      <w:r>
        <w:rPr>
          <w:b/>
          <w:spacing w:val="-2"/>
          <w:sz w:val="22"/>
        </w:rPr>
        <w:t>Force.</w:t>
      </w:r>
    </w:p>
    <w:p>
      <w:pPr>
        <w:pStyle w:val="BodyText"/>
        <w:spacing w:before="12"/>
        <w:rPr>
          <w:b/>
        </w:rPr>
      </w:pPr>
    </w:p>
    <w:p>
      <w:pPr>
        <w:pStyle w:val="BodyText"/>
        <w:spacing w:line="276" w:lineRule="auto"/>
        <w:ind w:left="463" w:right="260"/>
        <w:jc w:val="both"/>
      </w:pPr>
      <w:r>
        <w:rPr/>
        <w:t>The</w:t>
      </w:r>
      <w:r>
        <w:rPr>
          <w:spacing w:val="-13"/>
        </w:rPr>
        <w:t> </w:t>
      </w:r>
      <w:r>
        <w:rPr/>
        <w:t>Commission</w:t>
      </w:r>
      <w:r>
        <w:rPr>
          <w:spacing w:val="-12"/>
        </w:rPr>
        <w:t> </w:t>
      </w:r>
      <w:r>
        <w:rPr/>
        <w:t>recommends</w:t>
      </w:r>
      <w:r>
        <w:rPr>
          <w:spacing w:val="-13"/>
        </w:rPr>
        <w:t> </w:t>
      </w:r>
      <w:r>
        <w:rPr/>
        <w:t>that</w:t>
      </w:r>
      <w:r>
        <w:rPr>
          <w:spacing w:val="-12"/>
        </w:rPr>
        <w:t> </w:t>
      </w:r>
      <w:r>
        <w:rPr/>
        <w:t>Massachusetts</w:t>
      </w:r>
      <w:r>
        <w:rPr>
          <w:spacing w:val="-11"/>
        </w:rPr>
        <w:t> </w:t>
      </w:r>
      <w:r>
        <w:rPr/>
        <w:t>explore</w:t>
      </w:r>
      <w:r>
        <w:rPr>
          <w:spacing w:val="-13"/>
        </w:rPr>
        <w:t> </w:t>
      </w:r>
      <w:r>
        <w:rPr/>
        <w:t>the</w:t>
      </w:r>
      <w:r>
        <w:rPr>
          <w:spacing w:val="-12"/>
        </w:rPr>
        <w:t> </w:t>
      </w:r>
      <w:r>
        <w:rPr/>
        <w:t>creation</w:t>
      </w:r>
      <w:r>
        <w:rPr>
          <w:spacing w:val="-13"/>
        </w:rPr>
        <w:t> </w:t>
      </w:r>
      <w:r>
        <w:rPr/>
        <w:t>of</w:t>
      </w:r>
      <w:r>
        <w:rPr>
          <w:spacing w:val="-12"/>
        </w:rPr>
        <w:t> </w:t>
      </w:r>
      <w:r>
        <w:rPr/>
        <w:t>an</w:t>
      </w:r>
      <w:r>
        <w:rPr>
          <w:spacing w:val="-12"/>
        </w:rPr>
        <w:t> </w:t>
      </w:r>
      <w:r>
        <w:rPr/>
        <w:t>LGBTQ</w:t>
      </w:r>
      <w:r>
        <w:rPr>
          <w:spacing w:val="-13"/>
        </w:rPr>
        <w:t> </w:t>
      </w:r>
      <w:r>
        <w:rPr/>
        <w:t>Immigrant</w:t>
      </w:r>
      <w:r>
        <w:rPr>
          <w:spacing w:val="-12"/>
        </w:rPr>
        <w:t> </w:t>
      </w:r>
      <w:r>
        <w:rPr/>
        <w:t>&amp;</w:t>
      </w:r>
      <w:r>
        <w:rPr>
          <w:spacing w:val="-10"/>
        </w:rPr>
        <w:t> </w:t>
      </w:r>
      <w:r>
        <w:rPr/>
        <w:t>Refugee Task Force composed of LGBTQ refugees, families, first-generation youth, and advocates to inform services at the state and local levels. As demonstrated for three decades by the Commission, having a dedicated</w:t>
      </w:r>
      <w:r>
        <w:rPr>
          <w:spacing w:val="-8"/>
        </w:rPr>
        <w:t> </w:t>
      </w:r>
      <w:r>
        <w:rPr/>
        <w:t>voice</w:t>
      </w:r>
      <w:r>
        <w:rPr>
          <w:spacing w:val="-9"/>
        </w:rPr>
        <w:t> </w:t>
      </w:r>
      <w:r>
        <w:rPr/>
        <w:t>at</w:t>
      </w:r>
      <w:r>
        <w:rPr>
          <w:spacing w:val="-8"/>
        </w:rPr>
        <w:t> </w:t>
      </w:r>
      <w:r>
        <w:rPr/>
        <w:t>the</w:t>
      </w:r>
      <w:r>
        <w:rPr>
          <w:spacing w:val="-8"/>
        </w:rPr>
        <w:t> </w:t>
      </w:r>
      <w:r>
        <w:rPr/>
        <w:t>state</w:t>
      </w:r>
      <w:r>
        <w:rPr>
          <w:spacing w:val="-9"/>
        </w:rPr>
        <w:t> </w:t>
      </w:r>
      <w:r>
        <w:rPr/>
        <w:t>level</w:t>
      </w:r>
      <w:r>
        <w:rPr>
          <w:spacing w:val="-8"/>
        </w:rPr>
        <w:t> </w:t>
      </w:r>
      <w:r>
        <w:rPr/>
        <w:t>to</w:t>
      </w:r>
      <w:r>
        <w:rPr>
          <w:spacing w:val="-7"/>
        </w:rPr>
        <w:t> </w:t>
      </w:r>
      <w:r>
        <w:rPr/>
        <w:t>oversee</w:t>
      </w:r>
      <w:r>
        <w:rPr>
          <w:spacing w:val="-9"/>
        </w:rPr>
        <w:t> </w:t>
      </w:r>
      <w:r>
        <w:rPr/>
        <w:t>policy</w:t>
      </w:r>
      <w:r>
        <w:rPr>
          <w:spacing w:val="-8"/>
        </w:rPr>
        <w:t> </w:t>
      </w:r>
      <w:r>
        <w:rPr/>
        <w:t>development</w:t>
      </w:r>
      <w:r>
        <w:rPr>
          <w:spacing w:val="-8"/>
        </w:rPr>
        <w:t> </w:t>
      </w:r>
      <w:r>
        <w:rPr/>
        <w:t>and</w:t>
      </w:r>
      <w:r>
        <w:rPr>
          <w:spacing w:val="-9"/>
        </w:rPr>
        <w:t> </w:t>
      </w:r>
      <w:r>
        <w:rPr/>
        <w:t>service</w:t>
      </w:r>
      <w:r>
        <w:rPr>
          <w:spacing w:val="-8"/>
        </w:rPr>
        <w:t> </w:t>
      </w:r>
      <w:r>
        <w:rPr/>
        <w:t>improvement</w:t>
      </w:r>
      <w:r>
        <w:rPr>
          <w:spacing w:val="-8"/>
        </w:rPr>
        <w:t> </w:t>
      </w:r>
      <w:r>
        <w:rPr/>
        <w:t>is</w:t>
      </w:r>
      <w:r>
        <w:rPr>
          <w:spacing w:val="-7"/>
        </w:rPr>
        <w:t> </w:t>
      </w:r>
      <w:r>
        <w:rPr/>
        <w:t>essential.</w:t>
      </w:r>
      <w:r>
        <w:rPr>
          <w:spacing w:val="-8"/>
        </w:rPr>
        <w:t> </w:t>
      </w:r>
      <w:r>
        <w:rPr/>
        <w:t>By establishing a specific task force, those who are often left without a voice in Massachusetts decision- making are able to influence effective change.</w:t>
      </w:r>
    </w:p>
    <w:p>
      <w:pPr>
        <w:numPr>
          <w:ilvl w:val="0"/>
          <w:numId w:val="27"/>
        </w:numPr>
        <w:tabs>
          <w:tab w:pos="461" w:val="left" w:leader="none"/>
        </w:tabs>
        <w:spacing w:before="240"/>
        <w:ind w:left="461" w:right="0" w:hanging="358"/>
        <w:jc w:val="left"/>
        <w:rPr>
          <w:b/>
          <w:sz w:val="22"/>
        </w:rPr>
      </w:pPr>
      <w:bookmarkStart w:name="3. Address the concerning lack of SOGIE " w:id="777"/>
      <w:bookmarkEnd w:id="777"/>
      <w:r>
        <w:rPr>
          <w:b/>
          <w:sz w:val="22"/>
        </w:rPr>
        <w:t>A</w:t>
      </w:r>
      <w:r>
        <w:rPr>
          <w:b/>
          <w:sz w:val="22"/>
        </w:rPr>
        <w:t>ddress</w:t>
      </w:r>
      <w:r>
        <w:rPr>
          <w:b/>
          <w:spacing w:val="-7"/>
          <w:sz w:val="22"/>
        </w:rPr>
        <w:t> </w:t>
      </w:r>
      <w:r>
        <w:rPr>
          <w:b/>
          <w:sz w:val="22"/>
        </w:rPr>
        <w:t>the</w:t>
      </w:r>
      <w:r>
        <w:rPr>
          <w:b/>
          <w:spacing w:val="-5"/>
          <w:sz w:val="22"/>
        </w:rPr>
        <w:t> </w:t>
      </w:r>
      <w:r>
        <w:rPr>
          <w:b/>
          <w:sz w:val="22"/>
        </w:rPr>
        <w:t>concerning</w:t>
      </w:r>
      <w:r>
        <w:rPr>
          <w:b/>
          <w:spacing w:val="-8"/>
          <w:sz w:val="22"/>
        </w:rPr>
        <w:t> </w:t>
      </w:r>
      <w:r>
        <w:rPr>
          <w:b/>
          <w:sz w:val="22"/>
        </w:rPr>
        <w:t>lack</w:t>
      </w:r>
      <w:r>
        <w:rPr>
          <w:b/>
          <w:spacing w:val="-7"/>
          <w:sz w:val="22"/>
        </w:rPr>
        <w:t> </w:t>
      </w:r>
      <w:r>
        <w:rPr>
          <w:b/>
          <w:sz w:val="22"/>
        </w:rPr>
        <w:t>of</w:t>
      </w:r>
      <w:r>
        <w:rPr>
          <w:b/>
          <w:spacing w:val="-7"/>
          <w:sz w:val="22"/>
        </w:rPr>
        <w:t> </w:t>
      </w:r>
      <w:r>
        <w:rPr>
          <w:b/>
          <w:sz w:val="22"/>
        </w:rPr>
        <w:t>SOGIE</w:t>
      </w:r>
      <w:r>
        <w:rPr>
          <w:b/>
          <w:spacing w:val="-7"/>
          <w:sz w:val="22"/>
        </w:rPr>
        <w:t> </w:t>
      </w:r>
      <w:r>
        <w:rPr>
          <w:b/>
          <w:sz w:val="22"/>
        </w:rPr>
        <w:t>data</w:t>
      </w:r>
      <w:r>
        <w:rPr>
          <w:b/>
          <w:spacing w:val="-7"/>
          <w:sz w:val="22"/>
        </w:rPr>
        <w:t> </w:t>
      </w:r>
      <w:r>
        <w:rPr>
          <w:b/>
          <w:sz w:val="22"/>
        </w:rPr>
        <w:t>collection</w:t>
      </w:r>
      <w:r>
        <w:rPr>
          <w:b/>
          <w:spacing w:val="-7"/>
          <w:sz w:val="22"/>
        </w:rPr>
        <w:t> </w:t>
      </w:r>
      <w:r>
        <w:rPr>
          <w:b/>
          <w:sz w:val="22"/>
        </w:rPr>
        <w:t>at</w:t>
      </w:r>
      <w:r>
        <w:rPr>
          <w:b/>
          <w:spacing w:val="-7"/>
          <w:sz w:val="22"/>
        </w:rPr>
        <w:t> </w:t>
      </w:r>
      <w:r>
        <w:rPr>
          <w:b/>
          <w:sz w:val="22"/>
        </w:rPr>
        <w:t>the</w:t>
      </w:r>
      <w:r>
        <w:rPr>
          <w:b/>
          <w:spacing w:val="-7"/>
          <w:sz w:val="22"/>
        </w:rPr>
        <w:t> </w:t>
      </w:r>
      <w:r>
        <w:rPr>
          <w:b/>
          <w:sz w:val="22"/>
        </w:rPr>
        <w:t>state</w:t>
      </w:r>
      <w:r>
        <w:rPr>
          <w:b/>
          <w:spacing w:val="-6"/>
          <w:sz w:val="22"/>
        </w:rPr>
        <w:t> </w:t>
      </w:r>
      <w:r>
        <w:rPr>
          <w:b/>
          <w:spacing w:val="-2"/>
          <w:sz w:val="22"/>
        </w:rPr>
        <w:t>level.</w:t>
      </w:r>
    </w:p>
    <w:p>
      <w:pPr>
        <w:pStyle w:val="BodyText"/>
        <w:spacing w:before="11"/>
        <w:rPr>
          <w:b/>
        </w:rPr>
      </w:pPr>
    </w:p>
    <w:p>
      <w:pPr>
        <w:pStyle w:val="BodyText"/>
        <w:spacing w:line="276" w:lineRule="auto"/>
        <w:ind w:left="463" w:right="262"/>
        <w:jc w:val="both"/>
      </w:pPr>
      <w:r>
        <w:rPr/>
        <w:t>As the Commission works to better understand the experiences of foreign-born LGBTQ youth in Massachusetts, the staggering lack of available data and research at the local, state, and national levels presents</w:t>
      </w:r>
      <w:r>
        <w:rPr>
          <w:spacing w:val="-2"/>
        </w:rPr>
        <w:t> </w:t>
      </w:r>
      <w:r>
        <w:rPr/>
        <w:t>a</w:t>
      </w:r>
      <w:r>
        <w:rPr>
          <w:spacing w:val="-3"/>
        </w:rPr>
        <w:t> </w:t>
      </w:r>
      <w:r>
        <w:rPr/>
        <w:t>significant</w:t>
      </w:r>
      <w:r>
        <w:rPr>
          <w:spacing w:val="-2"/>
        </w:rPr>
        <w:t> </w:t>
      </w:r>
      <w:r>
        <w:rPr/>
        <w:t>barrier.</w:t>
      </w:r>
      <w:r>
        <w:rPr>
          <w:spacing w:val="-3"/>
        </w:rPr>
        <w:t> </w:t>
      </w:r>
      <w:r>
        <w:rPr/>
        <w:t>The</w:t>
      </w:r>
      <w:r>
        <w:rPr>
          <w:spacing w:val="-3"/>
        </w:rPr>
        <w:t> </w:t>
      </w:r>
      <w:r>
        <w:rPr/>
        <w:t>Commission</w:t>
      </w:r>
      <w:r>
        <w:rPr>
          <w:spacing w:val="-3"/>
        </w:rPr>
        <w:t> </w:t>
      </w:r>
      <w:r>
        <w:rPr/>
        <w:t>strongly</w:t>
      </w:r>
      <w:r>
        <w:rPr>
          <w:spacing w:val="-3"/>
        </w:rPr>
        <w:t> </w:t>
      </w:r>
      <w:r>
        <w:rPr/>
        <w:t>recommends</w:t>
      </w:r>
      <w:r>
        <w:rPr>
          <w:spacing w:val="-2"/>
        </w:rPr>
        <w:t> </w:t>
      </w:r>
      <w:r>
        <w:rPr/>
        <w:t>that</w:t>
      </w:r>
      <w:r>
        <w:rPr>
          <w:spacing w:val="-3"/>
        </w:rPr>
        <w:t> </w:t>
      </w:r>
      <w:r>
        <w:rPr/>
        <w:t>all</w:t>
      </w:r>
      <w:r>
        <w:rPr>
          <w:spacing w:val="-2"/>
        </w:rPr>
        <w:t> </w:t>
      </w:r>
      <w:r>
        <w:rPr/>
        <w:t>state</w:t>
      </w:r>
      <w:r>
        <w:rPr>
          <w:spacing w:val="-3"/>
        </w:rPr>
        <w:t> </w:t>
      </w:r>
      <w:r>
        <w:rPr/>
        <w:t>agencies</w:t>
      </w:r>
      <w:r>
        <w:rPr>
          <w:spacing w:val="-1"/>
        </w:rPr>
        <w:t> </w:t>
      </w:r>
      <w:r>
        <w:rPr/>
        <w:t>explore</w:t>
      </w:r>
      <w:r>
        <w:rPr>
          <w:spacing w:val="-3"/>
        </w:rPr>
        <w:t> </w:t>
      </w:r>
      <w:r>
        <w:rPr/>
        <w:t>ways to</w:t>
      </w:r>
      <w:r>
        <w:rPr>
          <w:spacing w:val="-11"/>
        </w:rPr>
        <w:t> </w:t>
      </w:r>
      <w:r>
        <w:rPr/>
        <w:t>increase</w:t>
      </w:r>
      <w:r>
        <w:rPr>
          <w:spacing w:val="-11"/>
        </w:rPr>
        <w:t> </w:t>
      </w:r>
      <w:r>
        <w:rPr/>
        <w:t>their</w:t>
      </w:r>
      <w:r>
        <w:rPr>
          <w:spacing w:val="-11"/>
        </w:rPr>
        <w:t> </w:t>
      </w:r>
      <w:r>
        <w:rPr/>
        <w:t>data</w:t>
      </w:r>
      <w:r>
        <w:rPr>
          <w:spacing w:val="-10"/>
        </w:rPr>
        <w:t> </w:t>
      </w:r>
      <w:r>
        <w:rPr/>
        <w:t>collection</w:t>
      </w:r>
      <w:r>
        <w:rPr>
          <w:spacing w:val="-11"/>
        </w:rPr>
        <w:t> </w:t>
      </w:r>
      <w:r>
        <w:rPr/>
        <w:t>and</w:t>
      </w:r>
      <w:r>
        <w:rPr>
          <w:spacing w:val="-11"/>
        </w:rPr>
        <w:t> </w:t>
      </w:r>
      <w:r>
        <w:rPr/>
        <w:t>outreach</w:t>
      </w:r>
      <w:r>
        <w:rPr>
          <w:spacing w:val="-11"/>
        </w:rPr>
        <w:t> </w:t>
      </w:r>
      <w:r>
        <w:rPr/>
        <w:t>efforts</w:t>
      </w:r>
      <w:r>
        <w:rPr>
          <w:spacing w:val="-10"/>
        </w:rPr>
        <w:t> </w:t>
      </w:r>
      <w:r>
        <w:rPr/>
        <w:t>to</w:t>
      </w:r>
      <w:r>
        <w:rPr>
          <w:spacing w:val="-11"/>
        </w:rPr>
        <w:t> </w:t>
      </w:r>
      <w:r>
        <w:rPr/>
        <w:t>better</w:t>
      </w:r>
      <w:r>
        <w:rPr>
          <w:spacing w:val="-10"/>
        </w:rPr>
        <w:t> </w:t>
      </w:r>
      <w:r>
        <w:rPr/>
        <w:t>capture</w:t>
      </w:r>
      <w:r>
        <w:rPr>
          <w:spacing w:val="-11"/>
        </w:rPr>
        <w:t> </w:t>
      </w:r>
      <w:r>
        <w:rPr/>
        <w:t>the</w:t>
      </w:r>
      <w:r>
        <w:rPr>
          <w:spacing w:val="-11"/>
        </w:rPr>
        <w:t> </w:t>
      </w:r>
      <w:r>
        <w:rPr/>
        <w:t>experiences</w:t>
      </w:r>
      <w:r>
        <w:rPr>
          <w:spacing w:val="-11"/>
        </w:rPr>
        <w:t> </w:t>
      </w:r>
      <w:r>
        <w:rPr/>
        <w:t>of</w:t>
      </w:r>
      <w:r>
        <w:rPr>
          <w:spacing w:val="-11"/>
        </w:rPr>
        <w:t> </w:t>
      </w:r>
      <w:r>
        <w:rPr/>
        <w:t>all</w:t>
      </w:r>
      <w:r>
        <w:rPr>
          <w:spacing w:val="-10"/>
        </w:rPr>
        <w:t> </w:t>
      </w:r>
      <w:r>
        <w:rPr/>
        <w:t>LGBTQ</w:t>
      </w:r>
      <w:r>
        <w:rPr>
          <w:spacing w:val="-12"/>
        </w:rPr>
        <w:t> </w:t>
      </w:r>
      <w:r>
        <w:rPr/>
        <w:t>youth across the state.</w:t>
      </w:r>
    </w:p>
    <w:p>
      <w:pPr>
        <w:numPr>
          <w:ilvl w:val="0"/>
          <w:numId w:val="27"/>
        </w:numPr>
        <w:tabs>
          <w:tab w:pos="461" w:val="left" w:leader="none"/>
        </w:tabs>
        <w:spacing w:before="240"/>
        <w:ind w:left="461" w:right="0" w:hanging="358"/>
        <w:jc w:val="left"/>
        <w:rPr>
          <w:b/>
          <w:sz w:val="22"/>
        </w:rPr>
      </w:pPr>
      <w:bookmarkStart w:name="4. Protect and support undocumented yout" w:id="778"/>
      <w:bookmarkEnd w:id="778"/>
      <w:r>
        <w:rPr>
          <w:b/>
          <w:sz w:val="22"/>
        </w:rPr>
        <w:t>P</w:t>
      </w:r>
      <w:r>
        <w:rPr>
          <w:b/>
          <w:sz w:val="22"/>
        </w:rPr>
        <w:t>rotect</w:t>
      </w:r>
      <w:r>
        <w:rPr>
          <w:b/>
          <w:spacing w:val="-12"/>
          <w:sz w:val="22"/>
        </w:rPr>
        <w:t> </w:t>
      </w:r>
      <w:r>
        <w:rPr>
          <w:b/>
          <w:sz w:val="22"/>
        </w:rPr>
        <w:t>and</w:t>
      </w:r>
      <w:r>
        <w:rPr>
          <w:b/>
          <w:spacing w:val="-11"/>
          <w:sz w:val="22"/>
        </w:rPr>
        <w:t> </w:t>
      </w:r>
      <w:r>
        <w:rPr>
          <w:b/>
          <w:sz w:val="22"/>
        </w:rPr>
        <w:t>support</w:t>
      </w:r>
      <w:r>
        <w:rPr>
          <w:b/>
          <w:spacing w:val="-11"/>
          <w:sz w:val="22"/>
        </w:rPr>
        <w:t> </w:t>
      </w:r>
      <w:r>
        <w:rPr>
          <w:b/>
          <w:sz w:val="22"/>
        </w:rPr>
        <w:t>undocumented</w:t>
      </w:r>
      <w:r>
        <w:rPr>
          <w:b/>
          <w:spacing w:val="-11"/>
          <w:sz w:val="22"/>
        </w:rPr>
        <w:t> </w:t>
      </w:r>
      <w:r>
        <w:rPr>
          <w:b/>
          <w:spacing w:val="-2"/>
          <w:sz w:val="22"/>
        </w:rPr>
        <w:t>youth.</w:t>
      </w:r>
    </w:p>
    <w:p>
      <w:pPr>
        <w:pStyle w:val="BodyText"/>
        <w:spacing w:before="11"/>
        <w:rPr>
          <w:b/>
        </w:rPr>
      </w:pPr>
    </w:p>
    <w:p>
      <w:pPr>
        <w:pStyle w:val="BodyText"/>
        <w:spacing w:line="276" w:lineRule="auto"/>
        <w:ind w:left="463" w:right="264"/>
        <w:jc w:val="both"/>
      </w:pPr>
      <w:r>
        <w:rPr/>
        <w:t>Increasingly, undocumented communities are being targeted across the country by federal, state, and local governments. The Commission recommends that Massachusetts continue to explore ways to increase protections and services for undocumented youth in the Commonwealth. Over the last few years, the state has taken numerous steps that work to address and improve the experiences of undocumented</w:t>
      </w:r>
      <w:r>
        <w:rPr>
          <w:spacing w:val="-13"/>
        </w:rPr>
        <w:t> </w:t>
      </w:r>
      <w:r>
        <w:rPr/>
        <w:t>youth.</w:t>
      </w:r>
      <w:r>
        <w:rPr>
          <w:spacing w:val="-10"/>
        </w:rPr>
        <w:t> </w:t>
      </w:r>
      <w:r>
        <w:rPr/>
        <w:t>Most</w:t>
      </w:r>
      <w:r>
        <w:rPr>
          <w:spacing w:val="-13"/>
        </w:rPr>
        <w:t> </w:t>
      </w:r>
      <w:r>
        <w:rPr/>
        <w:t>recently</w:t>
      </w:r>
      <w:r>
        <w:rPr>
          <w:spacing w:val="-10"/>
        </w:rPr>
        <w:t> </w:t>
      </w:r>
      <w:r>
        <w:rPr/>
        <w:t>in</w:t>
      </w:r>
      <w:r>
        <w:rPr>
          <w:spacing w:val="-11"/>
        </w:rPr>
        <w:t> </w:t>
      </w:r>
      <w:r>
        <w:rPr/>
        <w:t>January</w:t>
      </w:r>
      <w:r>
        <w:rPr>
          <w:spacing w:val="-12"/>
        </w:rPr>
        <w:t> </w:t>
      </w:r>
      <w:r>
        <w:rPr/>
        <w:t>of</w:t>
      </w:r>
      <w:r>
        <w:rPr>
          <w:spacing w:val="-11"/>
        </w:rPr>
        <w:t> </w:t>
      </w:r>
      <w:r>
        <w:rPr/>
        <w:t>2023,</w:t>
      </w:r>
      <w:r>
        <w:rPr>
          <w:spacing w:val="-12"/>
        </w:rPr>
        <w:t> </w:t>
      </w:r>
      <w:r>
        <w:rPr/>
        <w:t>Barnstable</w:t>
      </w:r>
      <w:r>
        <w:rPr>
          <w:spacing w:val="-13"/>
        </w:rPr>
        <w:t> </w:t>
      </w:r>
      <w:r>
        <w:rPr/>
        <w:t>County</w:t>
      </w:r>
      <w:r>
        <w:rPr>
          <w:spacing w:val="-10"/>
        </w:rPr>
        <w:t> </w:t>
      </w:r>
      <w:r>
        <w:rPr/>
        <w:t>Sheriff’s</w:t>
      </w:r>
      <w:r>
        <w:rPr>
          <w:spacing w:val="-12"/>
        </w:rPr>
        <w:t> </w:t>
      </w:r>
      <w:r>
        <w:rPr/>
        <w:t>Office,</w:t>
      </w:r>
      <w:r>
        <w:rPr>
          <w:spacing w:val="-10"/>
        </w:rPr>
        <w:t> </w:t>
      </w:r>
      <w:r>
        <w:rPr/>
        <w:t>which</w:t>
      </w:r>
      <w:r>
        <w:rPr>
          <w:spacing w:val="-11"/>
        </w:rPr>
        <w:t> </w:t>
      </w:r>
      <w:r>
        <w:rPr/>
        <w:t>was</w:t>
      </w:r>
      <w:r>
        <w:rPr>
          <w:spacing w:val="-11"/>
        </w:rPr>
        <w:t> </w:t>
      </w:r>
      <w:r>
        <w:rPr/>
        <w:t>the last sheriff’s office in New England to have a formal agreement with the U.S. Immigration and Customs Enforcement (ICE), ended the agreement that empowered Massachusetts sheriffs’ offices to detain, interrogate,</w:t>
      </w:r>
      <w:r>
        <w:rPr>
          <w:spacing w:val="-4"/>
        </w:rPr>
        <w:t> </w:t>
      </w:r>
      <w:r>
        <w:rPr/>
        <w:t>and</w:t>
      </w:r>
      <w:r>
        <w:rPr>
          <w:spacing w:val="-4"/>
        </w:rPr>
        <w:t> </w:t>
      </w:r>
      <w:r>
        <w:rPr/>
        <w:t>transport</w:t>
      </w:r>
      <w:r>
        <w:rPr>
          <w:spacing w:val="-3"/>
        </w:rPr>
        <w:t> </w:t>
      </w:r>
      <w:r>
        <w:rPr/>
        <w:t>residents</w:t>
      </w:r>
      <w:r>
        <w:rPr>
          <w:spacing w:val="-4"/>
        </w:rPr>
        <w:t> </w:t>
      </w:r>
      <w:r>
        <w:rPr/>
        <w:t>suspected</w:t>
      </w:r>
      <w:r>
        <w:rPr>
          <w:spacing w:val="-4"/>
        </w:rPr>
        <w:t> </w:t>
      </w:r>
      <w:r>
        <w:rPr/>
        <w:t>of</w:t>
      </w:r>
      <w:r>
        <w:rPr>
          <w:spacing w:val="-3"/>
        </w:rPr>
        <w:t> </w:t>
      </w:r>
      <w:r>
        <w:rPr/>
        <w:t>being</w:t>
      </w:r>
      <w:r>
        <w:rPr>
          <w:spacing w:val="-4"/>
        </w:rPr>
        <w:t> </w:t>
      </w:r>
      <w:r>
        <w:rPr/>
        <w:t>undocumented</w:t>
      </w:r>
      <w:r>
        <w:rPr>
          <w:spacing w:val="-3"/>
        </w:rPr>
        <w:t> </w:t>
      </w:r>
      <w:r>
        <w:rPr/>
        <w:t>immigrants</w:t>
      </w:r>
      <w:hyperlink w:history="true" w:anchor="_bookmark533">
        <w:r>
          <w:rPr/>
          <w:t>.</w:t>
        </w:r>
        <w:r>
          <w:rPr>
            <w:vertAlign w:val="superscript"/>
          </w:rPr>
          <w:t>1</w:t>
        </w:r>
      </w:hyperlink>
      <w:r>
        <w:rPr>
          <w:spacing w:val="-4"/>
          <w:vertAlign w:val="baseline"/>
        </w:rPr>
        <w:t> </w:t>
      </w:r>
      <w:r>
        <w:rPr>
          <w:vertAlign w:val="baseline"/>
        </w:rPr>
        <w:t>In</w:t>
      </w:r>
      <w:r>
        <w:rPr>
          <w:spacing w:val="-3"/>
          <w:vertAlign w:val="baseline"/>
        </w:rPr>
        <w:t> </w:t>
      </w:r>
      <w:r>
        <w:rPr>
          <w:vertAlign w:val="baseline"/>
        </w:rPr>
        <w:t>the</w:t>
      </w:r>
      <w:r>
        <w:rPr>
          <w:spacing w:val="-3"/>
          <w:vertAlign w:val="baseline"/>
        </w:rPr>
        <w:t> </w:t>
      </w:r>
      <w:r>
        <w:rPr>
          <w:vertAlign w:val="baseline"/>
        </w:rPr>
        <w:t>same</w:t>
      </w:r>
      <w:r>
        <w:rPr>
          <w:spacing w:val="-3"/>
          <w:vertAlign w:val="baseline"/>
        </w:rPr>
        <w:t> </w:t>
      </w:r>
      <w:r>
        <w:rPr>
          <w:vertAlign w:val="baseline"/>
        </w:rPr>
        <w:t>month, in Boston, Boston Police Department (BPD) reported that it had ignored all 12 federal requests to detain suspected undocumented immigrants, and noted that zero residents were detained by BPD in 2022.</w:t>
      </w:r>
      <w:hyperlink w:history="true" w:anchor="_bookmark533">
        <w:r>
          <w:rPr>
            <w:vertAlign w:val="superscript"/>
          </w:rPr>
          <w:t>2</w:t>
        </w:r>
      </w:hyperlink>
    </w:p>
    <w:p>
      <w:pPr>
        <w:spacing w:line="276" w:lineRule="auto" w:before="241"/>
        <w:ind w:left="463" w:right="262" w:firstLine="0"/>
        <w:jc w:val="both"/>
        <w:rPr>
          <w:sz w:val="22"/>
        </w:rPr>
      </w:pPr>
      <w:r>
        <w:rPr>
          <w:sz w:val="22"/>
        </w:rPr>
        <w:t>To further extend protections and support to undocumented youth, the Commission recommends that the legislature pass </w:t>
      </w:r>
      <w:r>
        <w:rPr>
          <w:i/>
          <w:sz w:val="22"/>
        </w:rPr>
        <w:t>An Act to Protect the Civil Rights and Safety of all Massachusetts Residents </w:t>
      </w:r>
      <w:r>
        <w:rPr>
          <w:sz w:val="22"/>
        </w:rPr>
        <w:t>(</w:t>
      </w:r>
      <w:hyperlink r:id="rId560">
        <w:r>
          <w:rPr>
            <w:color w:val="1153CC"/>
            <w:sz w:val="22"/>
            <w:u w:val="single" w:color="1153CC"/>
          </w:rPr>
          <w:t>S.</w:t>
        </w:r>
      </w:hyperlink>
      <w:r>
        <w:rPr>
          <w:color w:val="1153CC"/>
          <w:sz w:val="22"/>
          <w:u w:val="none"/>
        </w:rPr>
        <w:t> </w:t>
      </w:r>
      <w:hyperlink r:id="rId560">
        <w:r>
          <w:rPr>
            <w:color w:val="1153CC"/>
            <w:sz w:val="22"/>
            <w:u w:val="single" w:color="1153CC"/>
          </w:rPr>
          <w:t>1510</w:t>
        </w:r>
      </w:hyperlink>
      <w:r>
        <w:rPr>
          <w:sz w:val="22"/>
          <w:u w:val="none"/>
        </w:rPr>
        <w:t>/</w:t>
      </w:r>
      <w:hyperlink r:id="rId561">
        <w:r>
          <w:rPr>
            <w:color w:val="1153CC"/>
            <w:sz w:val="22"/>
            <w:u w:val="single" w:color="1153CC"/>
          </w:rPr>
          <w:t>H.2288</w:t>
        </w:r>
      </w:hyperlink>
      <w:r>
        <w:rPr>
          <w:sz w:val="22"/>
          <w:u w:val="none"/>
        </w:rPr>
        <w:t>),</w:t>
      </w:r>
      <w:r>
        <w:rPr>
          <w:spacing w:val="-3"/>
          <w:sz w:val="22"/>
          <w:u w:val="none"/>
        </w:rPr>
        <w:t> </w:t>
      </w:r>
      <w:r>
        <w:rPr>
          <w:sz w:val="22"/>
          <w:u w:val="none"/>
        </w:rPr>
        <w:t>also</w:t>
      </w:r>
      <w:r>
        <w:rPr>
          <w:spacing w:val="-2"/>
          <w:sz w:val="22"/>
          <w:u w:val="none"/>
        </w:rPr>
        <w:t> </w:t>
      </w:r>
      <w:r>
        <w:rPr>
          <w:sz w:val="22"/>
          <w:u w:val="none"/>
        </w:rPr>
        <w:t>known</w:t>
      </w:r>
      <w:r>
        <w:rPr>
          <w:spacing w:val="-3"/>
          <w:sz w:val="22"/>
          <w:u w:val="none"/>
        </w:rPr>
        <w:t> </w:t>
      </w:r>
      <w:r>
        <w:rPr>
          <w:sz w:val="22"/>
          <w:u w:val="none"/>
        </w:rPr>
        <w:t>as</w:t>
      </w:r>
      <w:r>
        <w:rPr>
          <w:spacing w:val="-3"/>
          <w:sz w:val="22"/>
          <w:u w:val="none"/>
        </w:rPr>
        <w:t> </w:t>
      </w:r>
      <w:r>
        <w:rPr>
          <w:sz w:val="22"/>
          <w:u w:val="none"/>
        </w:rPr>
        <w:t>the</w:t>
      </w:r>
      <w:r>
        <w:rPr>
          <w:spacing w:val="-3"/>
          <w:sz w:val="22"/>
          <w:u w:val="none"/>
        </w:rPr>
        <w:t> </w:t>
      </w:r>
      <w:r>
        <w:rPr>
          <w:sz w:val="22"/>
          <w:u w:val="none"/>
        </w:rPr>
        <w:t>Safe</w:t>
      </w:r>
      <w:r>
        <w:rPr>
          <w:spacing w:val="-2"/>
          <w:sz w:val="22"/>
          <w:u w:val="none"/>
        </w:rPr>
        <w:t> </w:t>
      </w:r>
      <w:r>
        <w:rPr>
          <w:sz w:val="22"/>
          <w:u w:val="none"/>
        </w:rPr>
        <w:t>Communities</w:t>
      </w:r>
      <w:r>
        <w:rPr>
          <w:spacing w:val="-1"/>
          <w:sz w:val="22"/>
          <w:u w:val="none"/>
        </w:rPr>
        <w:t> </w:t>
      </w:r>
      <w:r>
        <w:rPr>
          <w:sz w:val="22"/>
          <w:u w:val="none"/>
        </w:rPr>
        <w:t>Act,</w:t>
      </w:r>
      <w:r>
        <w:rPr>
          <w:spacing w:val="-3"/>
          <w:sz w:val="22"/>
          <w:u w:val="none"/>
        </w:rPr>
        <w:t> </w:t>
      </w:r>
      <w:r>
        <w:rPr>
          <w:sz w:val="22"/>
          <w:u w:val="none"/>
        </w:rPr>
        <w:t>which</w:t>
      </w:r>
      <w:r>
        <w:rPr>
          <w:spacing w:val="-3"/>
          <w:sz w:val="22"/>
          <w:u w:val="none"/>
        </w:rPr>
        <w:t> </w:t>
      </w:r>
      <w:r>
        <w:rPr>
          <w:sz w:val="22"/>
          <w:u w:val="none"/>
        </w:rPr>
        <w:t>would</w:t>
      </w:r>
      <w:r>
        <w:rPr>
          <w:spacing w:val="-3"/>
          <w:sz w:val="22"/>
          <w:u w:val="none"/>
        </w:rPr>
        <w:t> </w:t>
      </w:r>
      <w:r>
        <w:rPr>
          <w:sz w:val="22"/>
          <w:u w:val="none"/>
        </w:rPr>
        <w:t>increase</w:t>
      </w:r>
      <w:r>
        <w:rPr>
          <w:spacing w:val="-2"/>
          <w:sz w:val="22"/>
          <w:u w:val="none"/>
        </w:rPr>
        <w:t> </w:t>
      </w:r>
      <w:r>
        <w:rPr>
          <w:sz w:val="22"/>
          <w:u w:val="none"/>
        </w:rPr>
        <w:t>access</w:t>
      </w:r>
      <w:r>
        <w:rPr>
          <w:spacing w:val="-3"/>
          <w:sz w:val="22"/>
          <w:u w:val="none"/>
        </w:rPr>
        <w:t> </w:t>
      </w:r>
      <w:r>
        <w:rPr>
          <w:sz w:val="22"/>
          <w:u w:val="none"/>
        </w:rPr>
        <w:t>to</w:t>
      </w:r>
      <w:r>
        <w:rPr>
          <w:spacing w:val="-1"/>
          <w:sz w:val="22"/>
          <w:u w:val="none"/>
        </w:rPr>
        <w:t> </w:t>
      </w:r>
      <w:r>
        <w:rPr>
          <w:sz w:val="22"/>
          <w:u w:val="none"/>
        </w:rPr>
        <w:t>court</w:t>
      </w:r>
      <w:r>
        <w:rPr>
          <w:spacing w:val="-3"/>
          <w:sz w:val="22"/>
          <w:u w:val="none"/>
        </w:rPr>
        <w:t> </w:t>
      </w:r>
      <w:r>
        <w:rPr>
          <w:sz w:val="22"/>
          <w:u w:val="none"/>
        </w:rPr>
        <w:t>and</w:t>
      </w:r>
      <w:r>
        <w:rPr>
          <w:spacing w:val="-3"/>
          <w:sz w:val="22"/>
          <w:u w:val="none"/>
        </w:rPr>
        <w:t> </w:t>
      </w:r>
      <w:r>
        <w:rPr>
          <w:sz w:val="22"/>
          <w:u w:val="none"/>
        </w:rPr>
        <w:t>police protection for undocumented youth by ending local and state involvement in civil immigration enforcement.</w:t>
      </w:r>
      <w:r>
        <w:rPr>
          <w:spacing w:val="-2"/>
          <w:sz w:val="22"/>
          <w:u w:val="none"/>
        </w:rPr>
        <w:t> </w:t>
      </w:r>
      <w:r>
        <w:rPr>
          <w:sz w:val="22"/>
          <w:u w:val="none"/>
        </w:rPr>
        <w:t>The</w:t>
      </w:r>
      <w:r>
        <w:rPr>
          <w:spacing w:val="-2"/>
          <w:sz w:val="22"/>
          <w:u w:val="none"/>
        </w:rPr>
        <w:t> </w:t>
      </w:r>
      <w:r>
        <w:rPr>
          <w:sz w:val="22"/>
          <w:u w:val="none"/>
        </w:rPr>
        <w:t>Commission</w:t>
      </w:r>
      <w:r>
        <w:rPr>
          <w:spacing w:val="-3"/>
          <w:sz w:val="22"/>
          <w:u w:val="none"/>
        </w:rPr>
        <w:t> </w:t>
      </w:r>
      <w:r>
        <w:rPr>
          <w:sz w:val="22"/>
          <w:u w:val="none"/>
        </w:rPr>
        <w:t>further</w:t>
      </w:r>
      <w:r>
        <w:rPr>
          <w:spacing w:val="-1"/>
          <w:sz w:val="22"/>
          <w:u w:val="none"/>
        </w:rPr>
        <w:t> </w:t>
      </w:r>
      <w:r>
        <w:rPr>
          <w:sz w:val="22"/>
          <w:u w:val="none"/>
        </w:rPr>
        <w:t>supports</w:t>
      </w:r>
      <w:r>
        <w:rPr>
          <w:spacing w:val="-2"/>
          <w:sz w:val="22"/>
          <w:u w:val="none"/>
        </w:rPr>
        <w:t> </w:t>
      </w:r>
      <w:r>
        <w:rPr>
          <w:sz w:val="22"/>
          <w:u w:val="none"/>
        </w:rPr>
        <w:t>the</w:t>
      </w:r>
      <w:r>
        <w:rPr>
          <w:spacing w:val="-2"/>
          <w:sz w:val="22"/>
          <w:u w:val="none"/>
        </w:rPr>
        <w:t> </w:t>
      </w:r>
      <w:r>
        <w:rPr>
          <w:sz w:val="22"/>
          <w:u w:val="none"/>
        </w:rPr>
        <w:t>Tuition</w:t>
      </w:r>
      <w:r>
        <w:rPr>
          <w:spacing w:val="-2"/>
          <w:sz w:val="22"/>
          <w:u w:val="none"/>
        </w:rPr>
        <w:t> </w:t>
      </w:r>
      <w:r>
        <w:rPr>
          <w:sz w:val="22"/>
          <w:u w:val="none"/>
        </w:rPr>
        <w:t>Equity</w:t>
      </w:r>
      <w:r>
        <w:rPr>
          <w:spacing w:val="-1"/>
          <w:sz w:val="22"/>
          <w:u w:val="none"/>
        </w:rPr>
        <w:t> </w:t>
      </w:r>
      <w:r>
        <w:rPr>
          <w:sz w:val="22"/>
          <w:u w:val="none"/>
        </w:rPr>
        <w:t>Act,</w:t>
      </w:r>
      <w:r>
        <w:rPr>
          <w:spacing w:val="-3"/>
          <w:sz w:val="22"/>
          <w:u w:val="none"/>
        </w:rPr>
        <w:t> </w:t>
      </w:r>
      <w:r>
        <w:rPr>
          <w:i/>
          <w:sz w:val="22"/>
          <w:u w:val="none"/>
        </w:rPr>
        <w:t>An</w:t>
      </w:r>
      <w:r>
        <w:rPr>
          <w:i/>
          <w:spacing w:val="-3"/>
          <w:sz w:val="22"/>
          <w:u w:val="none"/>
        </w:rPr>
        <w:t> </w:t>
      </w:r>
      <w:r>
        <w:rPr>
          <w:i/>
          <w:sz w:val="22"/>
          <w:u w:val="none"/>
        </w:rPr>
        <w:t>Act</w:t>
      </w:r>
      <w:r>
        <w:rPr>
          <w:i/>
          <w:spacing w:val="-3"/>
          <w:sz w:val="22"/>
          <w:u w:val="none"/>
        </w:rPr>
        <w:t> </w:t>
      </w:r>
      <w:r>
        <w:rPr>
          <w:i/>
          <w:sz w:val="22"/>
          <w:u w:val="none"/>
        </w:rPr>
        <w:t>Providing</w:t>
      </w:r>
      <w:r>
        <w:rPr>
          <w:i/>
          <w:spacing w:val="-3"/>
          <w:sz w:val="22"/>
          <w:u w:val="none"/>
        </w:rPr>
        <w:t> </w:t>
      </w:r>
      <w:r>
        <w:rPr>
          <w:i/>
          <w:sz w:val="22"/>
          <w:u w:val="none"/>
        </w:rPr>
        <w:t>Access</w:t>
      </w:r>
      <w:r>
        <w:rPr>
          <w:i/>
          <w:spacing w:val="-3"/>
          <w:sz w:val="22"/>
          <w:u w:val="none"/>
        </w:rPr>
        <w:t> </w:t>
      </w:r>
      <w:r>
        <w:rPr>
          <w:i/>
          <w:sz w:val="22"/>
          <w:u w:val="none"/>
        </w:rPr>
        <w:t>to</w:t>
      </w:r>
      <w:r>
        <w:rPr>
          <w:i/>
          <w:spacing w:val="-2"/>
          <w:sz w:val="22"/>
          <w:u w:val="none"/>
        </w:rPr>
        <w:t> </w:t>
      </w:r>
      <w:r>
        <w:rPr>
          <w:i/>
          <w:sz w:val="22"/>
          <w:u w:val="none"/>
        </w:rPr>
        <w:t>Higher</w:t>
      </w:r>
      <w:r>
        <w:rPr>
          <w:i/>
          <w:sz w:val="22"/>
          <w:u w:val="none"/>
        </w:rPr>
        <w:t> Education for High School Graduates in the Commonwealth </w:t>
      </w:r>
      <w:r>
        <w:rPr>
          <w:sz w:val="22"/>
          <w:u w:val="none"/>
        </w:rPr>
        <w:t>(</w:t>
      </w:r>
      <w:hyperlink r:id="rId562">
        <w:r>
          <w:rPr>
            <w:color w:val="1153CC"/>
            <w:sz w:val="22"/>
            <w:u w:val="single" w:color="1153CC"/>
          </w:rPr>
          <w:t>S. 817</w:t>
        </w:r>
      </w:hyperlink>
      <w:r>
        <w:rPr>
          <w:sz w:val="22"/>
          <w:u w:val="none"/>
        </w:rPr>
        <w:t>/</w:t>
      </w:r>
      <w:hyperlink r:id="rId563">
        <w:r>
          <w:rPr>
            <w:color w:val="1153CC"/>
            <w:sz w:val="22"/>
            <w:u w:val="single" w:color="1153CC"/>
          </w:rPr>
          <w:t>H.1281</w:t>
        </w:r>
      </w:hyperlink>
      <w:r>
        <w:rPr>
          <w:sz w:val="22"/>
          <w:u w:val="none"/>
        </w:rPr>
        <w:t>) to increase access to state financial aid and in-state tuition for undocumented youth who graduated from a Massachusetts high school,</w:t>
      </w:r>
      <w:r>
        <w:rPr>
          <w:spacing w:val="-13"/>
          <w:sz w:val="22"/>
          <w:u w:val="none"/>
        </w:rPr>
        <w:t> </w:t>
      </w:r>
      <w:r>
        <w:rPr>
          <w:sz w:val="22"/>
          <w:u w:val="none"/>
        </w:rPr>
        <w:t>and</w:t>
      </w:r>
      <w:r>
        <w:rPr>
          <w:spacing w:val="-12"/>
          <w:sz w:val="22"/>
          <w:u w:val="none"/>
        </w:rPr>
        <w:t> </w:t>
      </w:r>
      <w:r>
        <w:rPr>
          <w:i/>
          <w:sz w:val="22"/>
          <w:u w:val="none"/>
        </w:rPr>
        <w:t>An</w:t>
      </w:r>
      <w:r>
        <w:rPr>
          <w:i/>
          <w:spacing w:val="-13"/>
          <w:sz w:val="22"/>
          <w:u w:val="none"/>
        </w:rPr>
        <w:t> </w:t>
      </w:r>
      <w:r>
        <w:rPr>
          <w:i/>
          <w:sz w:val="22"/>
          <w:u w:val="none"/>
        </w:rPr>
        <w:t>Act</w:t>
      </w:r>
      <w:r>
        <w:rPr>
          <w:i/>
          <w:spacing w:val="-12"/>
          <w:sz w:val="22"/>
          <w:u w:val="none"/>
        </w:rPr>
        <w:t> </w:t>
      </w:r>
      <w:r>
        <w:rPr>
          <w:i/>
          <w:sz w:val="22"/>
          <w:u w:val="none"/>
        </w:rPr>
        <w:t>to</w:t>
      </w:r>
      <w:r>
        <w:rPr>
          <w:i/>
          <w:spacing w:val="-13"/>
          <w:sz w:val="22"/>
          <w:u w:val="none"/>
        </w:rPr>
        <w:t> </w:t>
      </w:r>
      <w:r>
        <w:rPr>
          <w:i/>
          <w:sz w:val="22"/>
          <w:u w:val="none"/>
        </w:rPr>
        <w:t>Ensure</w:t>
      </w:r>
      <w:r>
        <w:rPr>
          <w:i/>
          <w:spacing w:val="-12"/>
          <w:sz w:val="22"/>
          <w:u w:val="none"/>
        </w:rPr>
        <w:t> </w:t>
      </w:r>
      <w:r>
        <w:rPr>
          <w:i/>
          <w:sz w:val="22"/>
          <w:u w:val="none"/>
        </w:rPr>
        <w:t>Equitable</w:t>
      </w:r>
      <w:r>
        <w:rPr>
          <w:i/>
          <w:spacing w:val="-13"/>
          <w:sz w:val="22"/>
          <w:u w:val="none"/>
        </w:rPr>
        <w:t> </w:t>
      </w:r>
      <w:r>
        <w:rPr>
          <w:i/>
          <w:sz w:val="22"/>
          <w:u w:val="none"/>
        </w:rPr>
        <w:t>Health</w:t>
      </w:r>
      <w:r>
        <w:rPr>
          <w:i/>
          <w:spacing w:val="-12"/>
          <w:sz w:val="22"/>
          <w:u w:val="none"/>
        </w:rPr>
        <w:t> </w:t>
      </w:r>
      <w:r>
        <w:rPr>
          <w:i/>
          <w:sz w:val="22"/>
          <w:u w:val="none"/>
        </w:rPr>
        <w:t>Coverage</w:t>
      </w:r>
      <w:r>
        <w:rPr>
          <w:i/>
          <w:spacing w:val="-12"/>
          <w:sz w:val="22"/>
          <w:u w:val="none"/>
        </w:rPr>
        <w:t> </w:t>
      </w:r>
      <w:r>
        <w:rPr>
          <w:i/>
          <w:sz w:val="22"/>
          <w:u w:val="none"/>
        </w:rPr>
        <w:t>for</w:t>
      </w:r>
      <w:r>
        <w:rPr>
          <w:i/>
          <w:spacing w:val="-13"/>
          <w:sz w:val="22"/>
          <w:u w:val="none"/>
        </w:rPr>
        <w:t> </w:t>
      </w:r>
      <w:r>
        <w:rPr>
          <w:i/>
          <w:sz w:val="22"/>
          <w:u w:val="none"/>
        </w:rPr>
        <w:t>Children</w:t>
      </w:r>
      <w:r>
        <w:rPr>
          <w:sz w:val="22"/>
          <w:u w:val="none"/>
        </w:rPr>
        <w:t>,</w:t>
      </w:r>
      <w:r>
        <w:rPr>
          <w:spacing w:val="-12"/>
          <w:sz w:val="22"/>
          <w:u w:val="none"/>
        </w:rPr>
        <w:t> </w:t>
      </w:r>
      <w:r>
        <w:rPr>
          <w:sz w:val="22"/>
          <w:u w:val="none"/>
        </w:rPr>
        <w:t>(</w:t>
      </w:r>
      <w:hyperlink r:id="rId564">
        <w:r>
          <w:rPr>
            <w:color w:val="1153CC"/>
            <w:sz w:val="22"/>
            <w:u w:val="single" w:color="1153CC"/>
          </w:rPr>
          <w:t>S.740</w:t>
        </w:r>
      </w:hyperlink>
      <w:r>
        <w:rPr>
          <w:sz w:val="22"/>
          <w:u w:val="none"/>
        </w:rPr>
        <w:t>/</w:t>
      </w:r>
      <w:hyperlink r:id="rId565">
        <w:r>
          <w:rPr>
            <w:color w:val="1153CC"/>
            <w:sz w:val="22"/>
            <w:u w:val="single" w:color="1153CC"/>
          </w:rPr>
          <w:t>H.1237</w:t>
        </w:r>
      </w:hyperlink>
      <w:r>
        <w:rPr>
          <w:sz w:val="22"/>
          <w:u w:val="none"/>
        </w:rPr>
        <w:t>)</w:t>
      </w:r>
      <w:r>
        <w:rPr>
          <w:spacing w:val="-13"/>
          <w:sz w:val="22"/>
          <w:u w:val="none"/>
        </w:rPr>
        <w:t> </w:t>
      </w:r>
      <w:r>
        <w:rPr>
          <w:sz w:val="22"/>
          <w:u w:val="none"/>
        </w:rPr>
        <w:t>which</w:t>
      </w:r>
      <w:r>
        <w:rPr>
          <w:spacing w:val="-12"/>
          <w:sz w:val="22"/>
          <w:u w:val="none"/>
        </w:rPr>
        <w:t> </w:t>
      </w:r>
      <w:r>
        <w:rPr>
          <w:sz w:val="22"/>
          <w:u w:val="none"/>
        </w:rPr>
        <w:t>would</w:t>
      </w:r>
      <w:r>
        <w:rPr>
          <w:spacing w:val="-13"/>
          <w:sz w:val="22"/>
          <w:u w:val="none"/>
        </w:rPr>
        <w:t> </w:t>
      </w:r>
      <w:r>
        <w:rPr>
          <w:sz w:val="22"/>
          <w:u w:val="none"/>
        </w:rPr>
        <w:t>broaden youth eligibility for MassHealth coverage.</w:t>
      </w:r>
    </w:p>
    <w:p>
      <w:pPr>
        <w:spacing w:before="239"/>
        <w:ind w:left="463" w:right="0" w:firstLine="0"/>
        <w:jc w:val="both"/>
        <w:rPr>
          <w:sz w:val="28"/>
        </w:rPr>
      </w:pPr>
      <w:r>
        <w:rPr/>
        <mc:AlternateContent>
          <mc:Choice Requires="wps">
            <w:drawing>
              <wp:anchor distT="0" distB="0" distL="0" distR="0" allowOverlap="1" layoutInCell="1" locked="0" behindDoc="1" simplePos="0" relativeHeight="487668736">
                <wp:simplePos x="0" y="0"/>
                <wp:positionH relativeFrom="page">
                  <wp:posOffset>889000</wp:posOffset>
                </wp:positionH>
                <wp:positionV relativeFrom="paragraph">
                  <wp:posOffset>381466</wp:posOffset>
                </wp:positionV>
                <wp:extent cx="5985510" cy="37465"/>
                <wp:effectExtent l="0" t="0" r="0" b="0"/>
                <wp:wrapTopAndBottom/>
                <wp:docPr id="431" name="Group 431"/>
                <wp:cNvGraphicFramePr>
                  <a:graphicFrameLocks/>
                </wp:cNvGraphicFramePr>
                <a:graphic>
                  <a:graphicData uri="http://schemas.microsoft.com/office/word/2010/wordprocessingGroup">
                    <wpg:wgp>
                      <wpg:cNvPr id="431" name="Group 431"/>
                      <wpg:cNvGrpSpPr/>
                      <wpg:grpSpPr>
                        <a:xfrm>
                          <a:off x="0" y="0"/>
                          <a:ext cx="5985510" cy="37465"/>
                          <a:chExt cx="5985510" cy="37465"/>
                        </a:xfrm>
                      </wpg:grpSpPr>
                      <wps:wsp>
                        <wps:cNvPr id="432" name="Graphic 432"/>
                        <wps:cNvSpPr/>
                        <wps:spPr>
                          <a:xfrm>
                            <a:off x="8636"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wps:wsp>
                        <wps:cNvPr id="433" name="Graphic 433"/>
                        <wps:cNvSpPr/>
                        <wps:spPr>
                          <a:xfrm>
                            <a:off x="0" y="24917"/>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0F6DC5"/>
                          </a:solidFill>
                        </wps:spPr>
                        <wps:bodyPr wrap="square" lIns="0" tIns="0" rIns="0" bIns="0" rtlCol="0">
                          <a:prstTxWarp prst="textNoShape">
                            <a:avLst/>
                          </a:prstTxWarp>
                          <a:noAutofit/>
                        </wps:bodyPr>
                      </wps:wsp>
                    </wpg:wgp>
                  </a:graphicData>
                </a:graphic>
              </wp:anchor>
            </w:drawing>
          </mc:Choice>
          <mc:Fallback>
            <w:pict>
              <v:group style="position:absolute;margin-left:70pt;margin-top:30.036758pt;width:471.3pt;height:2.95pt;mso-position-horizontal-relative:page;mso-position-vertical-relative:paragraph;z-index:-15647744;mso-wrap-distance-left:0;mso-wrap-distance-right:0" id="docshapegroup346" coordorigin="1400,601" coordsize="9426,59">
                <v:rect style="position:absolute;left:1413;top:600;width:9412;height:10" id="docshape347" filled="true" fillcolor="#4f81bc" stroked="false">
                  <v:fill type="solid"/>
                </v:rect>
                <v:rect style="position:absolute;left:1400;top:639;width:10;height:20" id="docshape348" filled="true" fillcolor="#0f6dc5" stroked="false">
                  <v:fill type="solid"/>
                </v:rect>
                <w10:wrap type="topAndBottom"/>
              </v:group>
            </w:pict>
          </mc:Fallback>
        </mc:AlternateContent>
      </w:r>
      <w:bookmarkStart w:name="National &amp; State Immigration Context" w:id="779"/>
      <w:bookmarkEnd w:id="779"/>
      <w:r>
        <w:rPr/>
      </w:r>
      <w:r>
        <w:rPr>
          <w:color w:val="365F91"/>
          <w:sz w:val="28"/>
        </w:rPr>
        <w:t>National</w:t>
      </w:r>
      <w:r>
        <w:rPr>
          <w:color w:val="365F91"/>
          <w:spacing w:val="-10"/>
          <w:sz w:val="28"/>
        </w:rPr>
        <w:t> </w:t>
      </w:r>
      <w:r>
        <w:rPr>
          <w:color w:val="365F91"/>
          <w:sz w:val="28"/>
        </w:rPr>
        <w:t>&amp;</w:t>
      </w:r>
      <w:r>
        <w:rPr>
          <w:color w:val="365F91"/>
          <w:spacing w:val="-10"/>
          <w:sz w:val="28"/>
        </w:rPr>
        <w:t> </w:t>
      </w:r>
      <w:r>
        <w:rPr>
          <w:color w:val="365F91"/>
          <w:sz w:val="28"/>
        </w:rPr>
        <w:t>State</w:t>
      </w:r>
      <w:r>
        <w:rPr>
          <w:color w:val="365F91"/>
          <w:spacing w:val="-9"/>
          <w:sz w:val="28"/>
        </w:rPr>
        <w:t> </w:t>
      </w:r>
      <w:r>
        <w:rPr>
          <w:color w:val="365F91"/>
          <w:sz w:val="28"/>
        </w:rPr>
        <w:t>Immigration</w:t>
      </w:r>
      <w:r>
        <w:rPr>
          <w:color w:val="365F91"/>
          <w:spacing w:val="-11"/>
          <w:sz w:val="28"/>
        </w:rPr>
        <w:t> </w:t>
      </w:r>
      <w:r>
        <w:rPr>
          <w:color w:val="365F91"/>
          <w:spacing w:val="-2"/>
          <w:sz w:val="28"/>
        </w:rPr>
        <w:t>Context</w:t>
      </w:r>
    </w:p>
    <w:p>
      <w:pPr>
        <w:pStyle w:val="BodyText"/>
        <w:spacing w:line="276" w:lineRule="auto" w:before="193"/>
        <w:ind w:left="463"/>
      </w:pPr>
      <w:r>
        <w:rPr/>
        <w:t>Individuals</w:t>
      </w:r>
      <w:r>
        <w:rPr>
          <w:spacing w:val="-5"/>
        </w:rPr>
        <w:t> </w:t>
      </w:r>
      <w:r>
        <w:rPr/>
        <w:t>choose</w:t>
      </w:r>
      <w:r>
        <w:rPr>
          <w:spacing w:val="-7"/>
        </w:rPr>
        <w:t> </w:t>
      </w:r>
      <w:r>
        <w:rPr/>
        <w:t>to</w:t>
      </w:r>
      <w:r>
        <w:rPr>
          <w:spacing w:val="-6"/>
        </w:rPr>
        <w:t> </w:t>
      </w:r>
      <w:r>
        <w:rPr/>
        <w:t>immigrate</w:t>
      </w:r>
      <w:r>
        <w:rPr>
          <w:spacing w:val="-7"/>
        </w:rPr>
        <w:t> </w:t>
      </w:r>
      <w:r>
        <w:rPr/>
        <w:t>or</w:t>
      </w:r>
      <w:r>
        <w:rPr>
          <w:spacing w:val="-6"/>
        </w:rPr>
        <w:t> </w:t>
      </w:r>
      <w:r>
        <w:rPr/>
        <w:t>seek</w:t>
      </w:r>
      <w:r>
        <w:rPr>
          <w:spacing w:val="-4"/>
        </w:rPr>
        <w:t> </w:t>
      </w:r>
      <w:r>
        <w:rPr/>
        <w:t>asylum</w:t>
      </w:r>
      <w:r>
        <w:rPr>
          <w:spacing w:val="-7"/>
        </w:rPr>
        <w:t> </w:t>
      </w:r>
      <w:r>
        <w:rPr/>
        <w:t>in</w:t>
      </w:r>
      <w:r>
        <w:rPr>
          <w:spacing w:val="-6"/>
        </w:rPr>
        <w:t> </w:t>
      </w:r>
      <w:r>
        <w:rPr/>
        <w:t>the</w:t>
      </w:r>
      <w:r>
        <w:rPr>
          <w:spacing w:val="-5"/>
        </w:rPr>
        <w:t> </w:t>
      </w:r>
      <w:r>
        <w:rPr/>
        <w:t>United</w:t>
      </w:r>
      <w:r>
        <w:rPr>
          <w:spacing w:val="-6"/>
        </w:rPr>
        <w:t> </w:t>
      </w:r>
      <w:r>
        <w:rPr/>
        <w:t>States</w:t>
      </w:r>
      <w:r>
        <w:rPr>
          <w:spacing w:val="-6"/>
        </w:rPr>
        <w:t> </w:t>
      </w:r>
      <w:r>
        <w:rPr/>
        <w:t>for</w:t>
      </w:r>
      <w:r>
        <w:rPr>
          <w:spacing w:val="-6"/>
        </w:rPr>
        <w:t> </w:t>
      </w:r>
      <w:r>
        <w:rPr/>
        <w:t>a</w:t>
      </w:r>
      <w:r>
        <w:rPr>
          <w:spacing w:val="-6"/>
        </w:rPr>
        <w:t> </w:t>
      </w:r>
      <w:r>
        <w:rPr/>
        <w:t>variety</w:t>
      </w:r>
      <w:r>
        <w:rPr>
          <w:spacing w:val="-6"/>
        </w:rPr>
        <w:t> </w:t>
      </w:r>
      <w:r>
        <w:rPr/>
        <w:t>of</w:t>
      </w:r>
      <w:r>
        <w:rPr>
          <w:spacing w:val="-6"/>
        </w:rPr>
        <w:t> </w:t>
      </w:r>
      <w:r>
        <w:rPr/>
        <w:t>reasons,</w:t>
      </w:r>
      <w:r>
        <w:rPr>
          <w:spacing w:val="-6"/>
        </w:rPr>
        <w:t> </w:t>
      </w:r>
      <w:r>
        <w:rPr/>
        <w:t>such</w:t>
      </w:r>
      <w:r>
        <w:rPr>
          <w:spacing w:val="-6"/>
        </w:rPr>
        <w:t> </w:t>
      </w:r>
      <w:r>
        <w:rPr/>
        <w:t>as</w:t>
      </w:r>
      <w:r>
        <w:rPr>
          <w:spacing w:val="-6"/>
        </w:rPr>
        <w:t> </w:t>
      </w:r>
      <w:r>
        <w:rPr/>
        <w:t>work opportunities,</w:t>
      </w:r>
      <w:r>
        <w:rPr>
          <w:spacing w:val="60"/>
        </w:rPr>
        <w:t> </w:t>
      </w:r>
      <w:r>
        <w:rPr/>
        <w:t>access</w:t>
      </w:r>
      <w:r>
        <w:rPr>
          <w:spacing w:val="60"/>
        </w:rPr>
        <w:t> </w:t>
      </w:r>
      <w:r>
        <w:rPr/>
        <w:t>to</w:t>
      </w:r>
      <w:r>
        <w:rPr>
          <w:spacing w:val="62"/>
        </w:rPr>
        <w:t> </w:t>
      </w:r>
      <w:r>
        <w:rPr/>
        <w:t>education</w:t>
      </w:r>
      <w:r>
        <w:rPr>
          <w:spacing w:val="60"/>
        </w:rPr>
        <w:t> </w:t>
      </w:r>
      <w:r>
        <w:rPr/>
        <w:t>and</w:t>
      </w:r>
      <w:r>
        <w:rPr>
          <w:spacing w:val="60"/>
        </w:rPr>
        <w:t> </w:t>
      </w:r>
      <w:r>
        <w:rPr/>
        <w:t>medical</w:t>
      </w:r>
      <w:r>
        <w:rPr>
          <w:spacing w:val="61"/>
        </w:rPr>
        <w:t> </w:t>
      </w:r>
      <w:r>
        <w:rPr/>
        <w:t>services,</w:t>
      </w:r>
      <w:r>
        <w:rPr>
          <w:spacing w:val="60"/>
        </w:rPr>
        <w:t> </w:t>
      </w:r>
      <w:r>
        <w:rPr/>
        <w:t>and</w:t>
      </w:r>
      <w:r>
        <w:rPr>
          <w:spacing w:val="61"/>
        </w:rPr>
        <w:t> </w:t>
      </w:r>
      <w:r>
        <w:rPr/>
        <w:t>other</w:t>
      </w:r>
      <w:r>
        <w:rPr>
          <w:spacing w:val="61"/>
        </w:rPr>
        <w:t> </w:t>
      </w:r>
      <w:r>
        <w:rPr/>
        <w:t>conditions</w:t>
      </w:r>
      <w:r>
        <w:rPr>
          <w:spacing w:val="60"/>
        </w:rPr>
        <w:t> </w:t>
      </w:r>
      <w:r>
        <w:rPr/>
        <w:t>that</w:t>
      </w:r>
      <w:r>
        <w:rPr>
          <w:spacing w:val="61"/>
        </w:rPr>
        <w:t> </w:t>
      </w:r>
      <w:r>
        <w:rPr/>
        <w:t>influence</w:t>
      </w:r>
      <w:r>
        <w:rPr>
          <w:spacing w:val="60"/>
        </w:rPr>
        <w:t> </w:t>
      </w:r>
      <w:r>
        <w:rPr>
          <w:spacing w:val="-5"/>
        </w:rPr>
        <w:t>an</w:t>
      </w:r>
    </w:p>
    <w:p>
      <w:pPr>
        <w:spacing w:after="0" w:line="276" w:lineRule="auto"/>
        <w:sectPr>
          <w:pgSz w:w="12240" w:h="15840"/>
          <w:pgMar w:header="805" w:footer="1208" w:top="1080" w:bottom="1460" w:left="980" w:right="1180"/>
        </w:sectPr>
      </w:pPr>
    </w:p>
    <w:p>
      <w:pPr>
        <w:pStyle w:val="BodyText"/>
        <w:spacing w:line="276" w:lineRule="auto" w:before="69"/>
        <w:ind w:left="463" w:right="262"/>
        <w:jc w:val="both"/>
      </w:pPr>
      <w:r>
        <w:rPr/>
        <w:t>individual’s quality of life. </w:t>
      </w:r>
      <w:hyperlink w:history="true" w:anchor="_bookmark533">
        <w:r>
          <w:rPr>
            <w:vertAlign w:val="superscript"/>
          </w:rPr>
          <w:t>3</w:t>
        </w:r>
      </w:hyperlink>
      <w:r>
        <w:rPr>
          <w:vertAlign w:val="baseline"/>
        </w:rPr>
        <w:t> LGBTQ individuals often migrate to the U.S. to escape persecution and oppression</w:t>
      </w:r>
      <w:r>
        <w:rPr>
          <w:spacing w:val="-3"/>
          <w:vertAlign w:val="baseline"/>
        </w:rPr>
        <w:t> </w:t>
      </w:r>
      <w:r>
        <w:rPr>
          <w:vertAlign w:val="baseline"/>
        </w:rPr>
        <w:t>due</w:t>
      </w:r>
      <w:r>
        <w:rPr>
          <w:spacing w:val="-2"/>
          <w:vertAlign w:val="baseline"/>
        </w:rPr>
        <w:t> </w:t>
      </w:r>
      <w:r>
        <w:rPr>
          <w:vertAlign w:val="baseline"/>
        </w:rPr>
        <w:t>to</w:t>
      </w:r>
      <w:r>
        <w:rPr>
          <w:spacing w:val="-2"/>
          <w:vertAlign w:val="baseline"/>
        </w:rPr>
        <w:t> </w:t>
      </w:r>
      <w:r>
        <w:rPr>
          <w:vertAlign w:val="baseline"/>
        </w:rPr>
        <w:t>their</w:t>
      </w:r>
      <w:r>
        <w:rPr>
          <w:spacing w:val="-2"/>
          <w:vertAlign w:val="baseline"/>
        </w:rPr>
        <w:t> </w:t>
      </w:r>
      <w:r>
        <w:rPr>
          <w:vertAlign w:val="baseline"/>
        </w:rPr>
        <w:t>sexual</w:t>
      </w:r>
      <w:r>
        <w:rPr>
          <w:spacing w:val="-3"/>
          <w:vertAlign w:val="baseline"/>
        </w:rPr>
        <w:t> </w:t>
      </w:r>
      <w:r>
        <w:rPr>
          <w:vertAlign w:val="baseline"/>
        </w:rPr>
        <w:t>orientation</w:t>
      </w:r>
      <w:r>
        <w:rPr>
          <w:spacing w:val="-3"/>
          <w:vertAlign w:val="baseline"/>
        </w:rPr>
        <w:t> </w:t>
      </w:r>
      <w:r>
        <w:rPr>
          <w:vertAlign w:val="baseline"/>
        </w:rPr>
        <w:t>or</w:t>
      </w:r>
      <w:r>
        <w:rPr>
          <w:spacing w:val="-2"/>
          <w:vertAlign w:val="baseline"/>
        </w:rPr>
        <w:t> </w:t>
      </w:r>
      <w:r>
        <w:rPr>
          <w:vertAlign w:val="baseline"/>
        </w:rPr>
        <w:t>gender</w:t>
      </w:r>
      <w:r>
        <w:rPr>
          <w:spacing w:val="-1"/>
          <w:vertAlign w:val="baseline"/>
        </w:rPr>
        <w:t> </w:t>
      </w:r>
      <w:r>
        <w:rPr>
          <w:vertAlign w:val="baseline"/>
        </w:rPr>
        <w:t>identity.</w:t>
      </w:r>
      <w:r>
        <w:rPr>
          <w:spacing w:val="-2"/>
          <w:vertAlign w:val="baseline"/>
        </w:rPr>
        <w:t> </w:t>
      </w:r>
      <w:r>
        <w:rPr>
          <w:vertAlign w:val="baseline"/>
        </w:rPr>
        <w:t>According</w:t>
      </w:r>
      <w:r>
        <w:rPr>
          <w:spacing w:val="-3"/>
          <w:vertAlign w:val="baseline"/>
        </w:rPr>
        <w:t> </w:t>
      </w:r>
      <w:r>
        <w:rPr>
          <w:vertAlign w:val="baseline"/>
        </w:rPr>
        <w:t>to</w:t>
      </w:r>
      <w:r>
        <w:rPr>
          <w:spacing w:val="-2"/>
          <w:vertAlign w:val="baseline"/>
        </w:rPr>
        <w:t> </w:t>
      </w:r>
      <w:r>
        <w:rPr>
          <w:vertAlign w:val="baseline"/>
        </w:rPr>
        <w:t>Human</w:t>
      </w:r>
      <w:r>
        <w:rPr>
          <w:spacing w:val="-2"/>
          <w:vertAlign w:val="baseline"/>
        </w:rPr>
        <w:t> </w:t>
      </w:r>
      <w:r>
        <w:rPr>
          <w:vertAlign w:val="baseline"/>
        </w:rPr>
        <w:t>Rights</w:t>
      </w:r>
      <w:r>
        <w:rPr>
          <w:spacing w:val="-3"/>
          <w:vertAlign w:val="baseline"/>
        </w:rPr>
        <w:t> </w:t>
      </w:r>
      <w:r>
        <w:rPr>
          <w:vertAlign w:val="baseline"/>
        </w:rPr>
        <w:t>Watch,</w:t>
      </w:r>
      <w:r>
        <w:rPr>
          <w:spacing w:val="-2"/>
          <w:vertAlign w:val="baseline"/>
        </w:rPr>
        <w:t> </w:t>
      </w:r>
      <w:r>
        <w:rPr>
          <w:vertAlign w:val="baseline"/>
        </w:rPr>
        <w:t>at</w:t>
      </w:r>
      <w:r>
        <w:rPr>
          <w:spacing w:val="-2"/>
          <w:vertAlign w:val="baseline"/>
        </w:rPr>
        <w:t> </w:t>
      </w:r>
      <w:r>
        <w:rPr>
          <w:vertAlign w:val="baseline"/>
        </w:rPr>
        <w:t>least sixty-seven countries have national laws criminalizing same-sex relations between consenting adults</w:t>
      </w:r>
      <w:hyperlink w:history="true" w:anchor="_bookmark533">
        <w:r>
          <w:rPr>
            <w:vertAlign w:val="baseline"/>
          </w:rPr>
          <w:t>.</w:t>
        </w:r>
        <w:r>
          <w:rPr>
            <w:vertAlign w:val="superscript"/>
          </w:rPr>
          <w:t>4</w:t>
        </w:r>
      </w:hyperlink>
      <w:r>
        <w:rPr>
          <w:vertAlign w:val="baseline"/>
        </w:rPr>
        <w:t> In addition, at least nine countries have national laws criminalizing forms of gender expression that target transgender and gender-nonconforming people.</w:t>
      </w:r>
      <w:hyperlink w:history="true" w:anchor="_bookmark534">
        <w:r>
          <w:rPr>
            <w:vertAlign w:val="superscript"/>
          </w:rPr>
          <w:t>5</w:t>
        </w:r>
      </w:hyperlink>
    </w:p>
    <w:p>
      <w:pPr>
        <w:pStyle w:val="BodyText"/>
        <w:spacing w:line="276" w:lineRule="auto" w:before="240"/>
        <w:ind w:left="5533" w:right="261"/>
        <w:jc w:val="both"/>
      </w:pPr>
      <w:r>
        <w:rPr/>
        <w:drawing>
          <wp:anchor distT="0" distB="0" distL="0" distR="0" allowOverlap="1" layoutInCell="1" locked="0" behindDoc="0" simplePos="0" relativeHeight="15810048">
            <wp:simplePos x="0" y="0"/>
            <wp:positionH relativeFrom="page">
              <wp:posOffset>825500</wp:posOffset>
            </wp:positionH>
            <wp:positionV relativeFrom="paragraph">
              <wp:posOffset>309112</wp:posOffset>
            </wp:positionV>
            <wp:extent cx="3218179" cy="3199891"/>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566" cstate="print"/>
                    <a:stretch>
                      <a:fillRect/>
                    </a:stretch>
                  </pic:blipFill>
                  <pic:spPr>
                    <a:xfrm>
                      <a:off x="0" y="0"/>
                      <a:ext cx="3218179" cy="3199891"/>
                    </a:xfrm>
                    <a:prstGeom prst="rect">
                      <a:avLst/>
                    </a:prstGeom>
                  </pic:spPr>
                </pic:pic>
              </a:graphicData>
            </a:graphic>
          </wp:anchor>
        </w:drawing>
      </w:r>
      <w:r>
        <w:rPr/>
        <w:t>However, despite these reasons, the United States for decades has continued to establish and</w:t>
      </w:r>
      <w:r>
        <w:rPr>
          <w:spacing w:val="-11"/>
        </w:rPr>
        <w:t> </w:t>
      </w:r>
      <w:r>
        <w:rPr/>
        <w:t>exacerbate</w:t>
      </w:r>
      <w:r>
        <w:rPr>
          <w:spacing w:val="-11"/>
        </w:rPr>
        <w:t> </w:t>
      </w:r>
      <w:r>
        <w:rPr/>
        <w:t>barriers</w:t>
      </w:r>
      <w:r>
        <w:rPr>
          <w:spacing w:val="-10"/>
        </w:rPr>
        <w:t> </w:t>
      </w:r>
      <w:r>
        <w:rPr/>
        <w:t>to</w:t>
      </w:r>
      <w:r>
        <w:rPr>
          <w:spacing w:val="-9"/>
        </w:rPr>
        <w:t> </w:t>
      </w:r>
      <w:r>
        <w:rPr/>
        <w:t>prevent</w:t>
      </w:r>
      <w:r>
        <w:rPr>
          <w:spacing w:val="-11"/>
        </w:rPr>
        <w:t> </w:t>
      </w:r>
      <w:r>
        <w:rPr/>
        <w:t>foreign-born LGBTQ individuals from fully finding integration and</w:t>
      </w:r>
      <w:r>
        <w:rPr>
          <w:spacing w:val="-3"/>
        </w:rPr>
        <w:t> </w:t>
      </w:r>
      <w:r>
        <w:rPr/>
        <w:t>affirming</w:t>
      </w:r>
      <w:r>
        <w:rPr>
          <w:spacing w:val="-1"/>
        </w:rPr>
        <w:t> </w:t>
      </w:r>
      <w:r>
        <w:rPr/>
        <w:t>spaces</w:t>
      </w:r>
      <w:r>
        <w:rPr>
          <w:spacing w:val="-2"/>
        </w:rPr>
        <w:t> </w:t>
      </w:r>
      <w:r>
        <w:rPr/>
        <w:t>across</w:t>
      </w:r>
      <w:r>
        <w:rPr>
          <w:spacing w:val="-2"/>
        </w:rPr>
        <w:t> </w:t>
      </w:r>
      <w:r>
        <w:rPr/>
        <w:t>the</w:t>
      </w:r>
      <w:r>
        <w:rPr>
          <w:spacing w:val="-3"/>
        </w:rPr>
        <w:t> </w:t>
      </w:r>
      <w:r>
        <w:rPr/>
        <w:t>nation.</w:t>
      </w:r>
      <w:r>
        <w:rPr>
          <w:spacing w:val="-2"/>
        </w:rPr>
        <w:t> </w:t>
      </w:r>
      <w:r>
        <w:rPr/>
        <w:t>In</w:t>
      </w:r>
      <w:r>
        <w:rPr>
          <w:spacing w:val="-3"/>
        </w:rPr>
        <w:t> </w:t>
      </w:r>
      <w:r>
        <w:rPr/>
        <w:t>1917, federal</w:t>
      </w:r>
      <w:r>
        <w:rPr>
          <w:spacing w:val="-13"/>
        </w:rPr>
        <w:t> </w:t>
      </w:r>
      <w:r>
        <w:rPr/>
        <w:t>law</w:t>
      </w:r>
      <w:r>
        <w:rPr>
          <w:spacing w:val="-12"/>
        </w:rPr>
        <w:t> </w:t>
      </w:r>
      <w:r>
        <w:rPr/>
        <w:t>restricted</w:t>
      </w:r>
      <w:r>
        <w:rPr>
          <w:spacing w:val="-13"/>
        </w:rPr>
        <w:t> </w:t>
      </w:r>
      <w:r>
        <w:rPr/>
        <w:t>immigration</w:t>
      </w:r>
      <w:r>
        <w:rPr>
          <w:spacing w:val="-12"/>
        </w:rPr>
        <w:t> </w:t>
      </w:r>
      <w:r>
        <w:rPr/>
        <w:t>by</w:t>
      </w:r>
      <w:r>
        <w:rPr>
          <w:spacing w:val="-13"/>
        </w:rPr>
        <w:t> </w:t>
      </w:r>
      <w:r>
        <w:rPr/>
        <w:t>individuals who showed signs of what Congress called “constitutional psychopathic inferiority.”</w:t>
      </w:r>
      <w:hyperlink w:history="true" w:anchor="_bookmark534">
        <w:r>
          <w:rPr>
            <w:vertAlign w:val="superscript"/>
          </w:rPr>
          <w:t>6</w:t>
        </w:r>
      </w:hyperlink>
      <w:r>
        <w:rPr>
          <w:vertAlign w:val="baseline"/>
        </w:rPr>
        <w:t> This law prevented LGBTQ people from immigrating to the United States, even when they faced persecution</w:t>
      </w:r>
      <w:r>
        <w:rPr>
          <w:spacing w:val="-13"/>
          <w:vertAlign w:val="baseline"/>
        </w:rPr>
        <w:t> </w:t>
      </w:r>
      <w:r>
        <w:rPr>
          <w:vertAlign w:val="baseline"/>
        </w:rPr>
        <w:t>in</w:t>
      </w:r>
      <w:r>
        <w:rPr>
          <w:spacing w:val="-12"/>
          <w:vertAlign w:val="baseline"/>
        </w:rPr>
        <w:t> </w:t>
      </w:r>
      <w:r>
        <w:rPr>
          <w:vertAlign w:val="baseline"/>
        </w:rPr>
        <w:t>their</w:t>
      </w:r>
      <w:r>
        <w:rPr>
          <w:spacing w:val="-13"/>
          <w:vertAlign w:val="baseline"/>
        </w:rPr>
        <w:t> </w:t>
      </w:r>
      <w:r>
        <w:rPr>
          <w:vertAlign w:val="baseline"/>
        </w:rPr>
        <w:t>home</w:t>
      </w:r>
      <w:r>
        <w:rPr>
          <w:spacing w:val="-12"/>
          <w:vertAlign w:val="baseline"/>
        </w:rPr>
        <w:t> </w:t>
      </w:r>
      <w:r>
        <w:rPr>
          <w:vertAlign w:val="baseline"/>
        </w:rPr>
        <w:t>country.</w:t>
      </w:r>
      <w:r>
        <w:rPr>
          <w:spacing w:val="-13"/>
          <w:vertAlign w:val="baseline"/>
        </w:rPr>
        <w:t> </w:t>
      </w:r>
      <w:r>
        <w:rPr>
          <w:vertAlign w:val="baseline"/>
        </w:rPr>
        <w:t>Similarly,</w:t>
      </w:r>
      <w:r>
        <w:rPr>
          <w:spacing w:val="-12"/>
          <w:vertAlign w:val="baseline"/>
        </w:rPr>
        <w:t> </w:t>
      </w:r>
      <w:r>
        <w:rPr>
          <w:vertAlign w:val="baseline"/>
        </w:rPr>
        <w:t>the 1952 Immigration and Nationality Act (INA) created new restrictions on admissibility for LGBTQ people.</w:t>
      </w:r>
      <w:hyperlink w:history="true" w:anchor="_bookmark535">
        <w:r>
          <w:rPr>
            <w:vertAlign w:val="superscript"/>
          </w:rPr>
          <w:t>7</w:t>
        </w:r>
      </w:hyperlink>
      <w:r>
        <w:rPr>
          <w:vertAlign w:val="baseline"/>
        </w:rPr>
        <w:t> The INA replaced the exclusion for immigrants possessing a “psychopathic personality”</w:t>
      </w:r>
      <w:r>
        <w:rPr>
          <w:spacing w:val="-1"/>
          <w:vertAlign w:val="baseline"/>
        </w:rPr>
        <w:t> </w:t>
      </w:r>
      <w:r>
        <w:rPr>
          <w:vertAlign w:val="baseline"/>
        </w:rPr>
        <w:t>with</w:t>
      </w:r>
      <w:r>
        <w:rPr>
          <w:spacing w:val="-1"/>
          <w:vertAlign w:val="baseline"/>
        </w:rPr>
        <w:t> </w:t>
      </w:r>
      <w:r>
        <w:rPr>
          <w:vertAlign w:val="baseline"/>
        </w:rPr>
        <w:t>a</w:t>
      </w:r>
      <w:r>
        <w:rPr>
          <w:spacing w:val="-1"/>
          <w:vertAlign w:val="baseline"/>
        </w:rPr>
        <w:t> </w:t>
      </w:r>
      <w:r>
        <w:rPr>
          <w:vertAlign w:val="baseline"/>
        </w:rPr>
        <w:t>ban</w:t>
      </w:r>
      <w:r>
        <w:rPr>
          <w:spacing w:val="-1"/>
          <w:vertAlign w:val="baseline"/>
        </w:rPr>
        <w:t> </w:t>
      </w:r>
      <w:r>
        <w:rPr>
          <w:vertAlign w:val="baseline"/>
        </w:rPr>
        <w:t>on</w:t>
      </w:r>
      <w:r>
        <w:rPr>
          <w:spacing w:val="-1"/>
          <w:vertAlign w:val="baseline"/>
        </w:rPr>
        <w:t> </w:t>
      </w:r>
      <w:r>
        <w:rPr>
          <w:vertAlign w:val="baseline"/>
        </w:rPr>
        <w:t>“sexual</w:t>
      </w:r>
      <w:r>
        <w:rPr>
          <w:spacing w:val="-1"/>
          <w:vertAlign w:val="baseline"/>
        </w:rPr>
        <w:t> </w:t>
      </w:r>
      <w:r>
        <w:rPr>
          <w:vertAlign w:val="baseline"/>
        </w:rPr>
        <w:t>deviation,”</w:t>
      </w:r>
      <w:r>
        <w:rPr>
          <w:spacing w:val="-1"/>
          <w:vertAlign w:val="baseline"/>
        </w:rPr>
        <w:t> </w:t>
      </w:r>
      <w:r>
        <w:rPr>
          <w:vertAlign w:val="baseline"/>
        </w:rPr>
        <w:t>a catch-all</w:t>
      </w:r>
      <w:r>
        <w:rPr>
          <w:spacing w:val="-13"/>
          <w:vertAlign w:val="baseline"/>
        </w:rPr>
        <w:t> </w:t>
      </w:r>
      <w:r>
        <w:rPr>
          <w:vertAlign w:val="baseline"/>
        </w:rPr>
        <w:t>to</w:t>
      </w:r>
      <w:r>
        <w:rPr>
          <w:spacing w:val="-12"/>
          <w:vertAlign w:val="baseline"/>
        </w:rPr>
        <w:t> </w:t>
      </w:r>
      <w:r>
        <w:rPr>
          <w:vertAlign w:val="baseline"/>
        </w:rPr>
        <w:t>exclude</w:t>
      </w:r>
      <w:r>
        <w:rPr>
          <w:spacing w:val="-13"/>
          <w:vertAlign w:val="baseline"/>
        </w:rPr>
        <w:t> </w:t>
      </w:r>
      <w:r>
        <w:rPr>
          <w:vertAlign w:val="baseline"/>
        </w:rPr>
        <w:t>LGBTQ</w:t>
      </w:r>
      <w:r>
        <w:rPr>
          <w:spacing w:val="-12"/>
          <w:vertAlign w:val="baseline"/>
        </w:rPr>
        <w:t> </w:t>
      </w:r>
      <w:r>
        <w:rPr>
          <w:vertAlign w:val="baseline"/>
        </w:rPr>
        <w:t>people</w:t>
      </w:r>
      <w:r>
        <w:rPr>
          <w:spacing w:val="-13"/>
          <w:vertAlign w:val="baseline"/>
        </w:rPr>
        <w:t> </w:t>
      </w:r>
      <w:r>
        <w:rPr>
          <w:vertAlign w:val="baseline"/>
        </w:rPr>
        <w:t>from</w:t>
      </w:r>
      <w:r>
        <w:rPr>
          <w:spacing w:val="-12"/>
          <w:vertAlign w:val="baseline"/>
        </w:rPr>
        <w:t> </w:t>
      </w:r>
      <w:r>
        <w:rPr>
          <w:vertAlign w:val="baseline"/>
        </w:rPr>
        <w:t>entering the United States.</w:t>
      </w:r>
    </w:p>
    <w:p>
      <w:pPr>
        <w:pStyle w:val="BodyText"/>
        <w:spacing w:line="276" w:lineRule="auto" w:before="240"/>
        <w:ind w:left="463" w:right="261"/>
        <w:jc w:val="both"/>
      </w:pPr>
      <w:r>
        <w:rPr/>
        <w:t>Although</w:t>
      </w:r>
      <w:r>
        <w:rPr>
          <w:spacing w:val="-5"/>
        </w:rPr>
        <w:t> </w:t>
      </w:r>
      <w:r>
        <w:rPr/>
        <w:t>the</w:t>
      </w:r>
      <w:r>
        <w:rPr>
          <w:spacing w:val="-4"/>
        </w:rPr>
        <w:t> </w:t>
      </w:r>
      <w:r>
        <w:rPr/>
        <w:t>American</w:t>
      </w:r>
      <w:r>
        <w:rPr>
          <w:spacing w:val="-5"/>
        </w:rPr>
        <w:t> </w:t>
      </w:r>
      <w:r>
        <w:rPr/>
        <w:t>Psychiatric</w:t>
      </w:r>
      <w:r>
        <w:rPr>
          <w:spacing w:val="-7"/>
        </w:rPr>
        <w:t> </w:t>
      </w:r>
      <w:r>
        <w:rPr/>
        <w:t>Association</w:t>
      </w:r>
      <w:r>
        <w:rPr>
          <w:spacing w:val="-7"/>
        </w:rPr>
        <w:t> </w:t>
      </w:r>
      <w:r>
        <w:rPr/>
        <w:t>removed</w:t>
      </w:r>
      <w:r>
        <w:rPr>
          <w:spacing w:val="-7"/>
        </w:rPr>
        <w:t> </w:t>
      </w:r>
      <w:r>
        <w:rPr/>
        <w:t>homosexuality</w:t>
      </w:r>
      <w:r>
        <w:rPr>
          <w:spacing w:val="-6"/>
        </w:rPr>
        <w:t> </w:t>
      </w:r>
      <w:r>
        <w:rPr/>
        <w:t>from</w:t>
      </w:r>
      <w:r>
        <w:rPr>
          <w:spacing w:val="-5"/>
        </w:rPr>
        <w:t> </w:t>
      </w:r>
      <w:r>
        <w:rPr/>
        <w:t>its</w:t>
      </w:r>
      <w:r>
        <w:rPr>
          <w:spacing w:val="-6"/>
        </w:rPr>
        <w:t> </w:t>
      </w:r>
      <w:r>
        <w:rPr/>
        <w:t>list</w:t>
      </w:r>
      <w:r>
        <w:rPr>
          <w:spacing w:val="-7"/>
        </w:rPr>
        <w:t> </w:t>
      </w:r>
      <w:r>
        <w:rPr/>
        <w:t>of</w:t>
      </w:r>
      <w:r>
        <w:rPr>
          <w:spacing w:val="-6"/>
        </w:rPr>
        <w:t> </w:t>
      </w:r>
      <w:r>
        <w:rPr/>
        <w:t>medical</w:t>
      </w:r>
      <w:r>
        <w:rPr>
          <w:spacing w:val="-6"/>
        </w:rPr>
        <w:t> </w:t>
      </w:r>
      <w:r>
        <w:rPr/>
        <w:t>conditions in 1973, the INA entry restriction remained in place until “sexual deviation” was removed by the Immigration</w:t>
      </w:r>
      <w:r>
        <w:rPr>
          <w:spacing w:val="-10"/>
        </w:rPr>
        <w:t> </w:t>
      </w:r>
      <w:r>
        <w:rPr/>
        <w:t>Act</w:t>
      </w:r>
      <w:r>
        <w:rPr>
          <w:spacing w:val="-11"/>
        </w:rPr>
        <w:t> </w:t>
      </w:r>
      <w:r>
        <w:rPr/>
        <w:t>of</w:t>
      </w:r>
      <w:r>
        <w:rPr>
          <w:spacing w:val="-10"/>
        </w:rPr>
        <w:t> </w:t>
      </w:r>
      <w:r>
        <w:rPr/>
        <w:t>1990.</w:t>
      </w:r>
      <w:hyperlink w:history="true" w:anchor="_bookmark535">
        <w:r>
          <w:rPr>
            <w:vertAlign w:val="superscript"/>
          </w:rPr>
          <w:t>8</w:t>
        </w:r>
      </w:hyperlink>
      <w:r>
        <w:rPr>
          <w:spacing w:val="-9"/>
          <w:vertAlign w:val="baseline"/>
        </w:rPr>
        <w:t> </w:t>
      </w:r>
      <w:r>
        <w:rPr>
          <w:vertAlign w:val="baseline"/>
        </w:rPr>
        <w:t>Despite</w:t>
      </w:r>
      <w:r>
        <w:rPr>
          <w:spacing w:val="-10"/>
          <w:vertAlign w:val="baseline"/>
        </w:rPr>
        <w:t> </w:t>
      </w:r>
      <w:r>
        <w:rPr>
          <w:vertAlign w:val="baseline"/>
        </w:rPr>
        <w:t>this</w:t>
      </w:r>
      <w:r>
        <w:rPr>
          <w:spacing w:val="-11"/>
          <w:vertAlign w:val="baseline"/>
        </w:rPr>
        <w:t> </w:t>
      </w:r>
      <w:r>
        <w:rPr>
          <w:vertAlign w:val="baseline"/>
        </w:rPr>
        <w:t>reform,</w:t>
      </w:r>
      <w:r>
        <w:rPr>
          <w:spacing w:val="-10"/>
          <w:vertAlign w:val="baseline"/>
        </w:rPr>
        <w:t> </w:t>
      </w:r>
      <w:r>
        <w:rPr>
          <w:vertAlign w:val="baseline"/>
        </w:rPr>
        <w:t>many</w:t>
      </w:r>
      <w:r>
        <w:rPr>
          <w:spacing w:val="-10"/>
          <w:vertAlign w:val="baseline"/>
        </w:rPr>
        <w:t> </w:t>
      </w:r>
      <w:r>
        <w:rPr>
          <w:vertAlign w:val="baseline"/>
        </w:rPr>
        <w:t>LGBTQ</w:t>
      </w:r>
      <w:r>
        <w:rPr>
          <w:spacing w:val="-10"/>
          <w:vertAlign w:val="baseline"/>
        </w:rPr>
        <w:t> </w:t>
      </w:r>
      <w:r>
        <w:rPr>
          <w:vertAlign w:val="baseline"/>
        </w:rPr>
        <w:t>immigrants</w:t>
      </w:r>
      <w:r>
        <w:rPr>
          <w:spacing w:val="-11"/>
          <w:vertAlign w:val="baseline"/>
        </w:rPr>
        <w:t> </w:t>
      </w:r>
      <w:r>
        <w:rPr>
          <w:vertAlign w:val="baseline"/>
        </w:rPr>
        <w:t>were</w:t>
      </w:r>
      <w:r>
        <w:rPr>
          <w:spacing w:val="-10"/>
          <w:vertAlign w:val="baseline"/>
        </w:rPr>
        <w:t> </w:t>
      </w:r>
      <w:r>
        <w:rPr>
          <w:vertAlign w:val="baseline"/>
        </w:rPr>
        <w:t>still</w:t>
      </w:r>
      <w:r>
        <w:rPr>
          <w:spacing w:val="-11"/>
          <w:vertAlign w:val="baseline"/>
        </w:rPr>
        <w:t> </w:t>
      </w:r>
      <w:r>
        <w:rPr>
          <w:vertAlign w:val="baseline"/>
        </w:rPr>
        <w:t>denied</w:t>
      </w:r>
      <w:r>
        <w:rPr>
          <w:spacing w:val="-10"/>
          <w:vertAlign w:val="baseline"/>
        </w:rPr>
        <w:t> </w:t>
      </w:r>
      <w:r>
        <w:rPr>
          <w:vertAlign w:val="baseline"/>
        </w:rPr>
        <w:t>admission</w:t>
      </w:r>
      <w:r>
        <w:rPr>
          <w:spacing w:val="-11"/>
          <w:vertAlign w:val="baseline"/>
        </w:rPr>
        <w:t> </w:t>
      </w:r>
      <w:r>
        <w:rPr>
          <w:vertAlign w:val="baseline"/>
        </w:rPr>
        <w:t>to</w:t>
      </w:r>
      <w:r>
        <w:rPr>
          <w:spacing w:val="-10"/>
          <w:vertAlign w:val="baseline"/>
        </w:rPr>
        <w:t> </w:t>
      </w:r>
      <w:r>
        <w:rPr>
          <w:vertAlign w:val="baseline"/>
        </w:rPr>
        <w:t>the United</w:t>
      </w:r>
      <w:r>
        <w:rPr>
          <w:spacing w:val="-3"/>
          <w:vertAlign w:val="baseline"/>
        </w:rPr>
        <w:t> </w:t>
      </w:r>
      <w:r>
        <w:rPr>
          <w:vertAlign w:val="baseline"/>
        </w:rPr>
        <w:t>States,</w:t>
      </w:r>
      <w:r>
        <w:rPr>
          <w:spacing w:val="-4"/>
          <w:vertAlign w:val="baseline"/>
        </w:rPr>
        <w:t> </w:t>
      </w:r>
      <w:r>
        <w:rPr>
          <w:vertAlign w:val="baseline"/>
        </w:rPr>
        <w:t>since</w:t>
      </w:r>
      <w:r>
        <w:rPr>
          <w:spacing w:val="-3"/>
          <w:vertAlign w:val="baseline"/>
        </w:rPr>
        <w:t> </w:t>
      </w:r>
      <w:r>
        <w:rPr>
          <w:vertAlign w:val="baseline"/>
        </w:rPr>
        <w:t>the</w:t>
      </w:r>
      <w:r>
        <w:rPr>
          <w:spacing w:val="-3"/>
          <w:vertAlign w:val="baseline"/>
        </w:rPr>
        <w:t> </w:t>
      </w:r>
      <w:r>
        <w:rPr>
          <w:vertAlign w:val="baseline"/>
        </w:rPr>
        <w:t>ban</w:t>
      </w:r>
      <w:r>
        <w:rPr>
          <w:spacing w:val="-4"/>
          <w:vertAlign w:val="baseline"/>
        </w:rPr>
        <w:t> </w:t>
      </w:r>
      <w:r>
        <w:rPr>
          <w:vertAlign w:val="baseline"/>
        </w:rPr>
        <w:t>on</w:t>
      </w:r>
      <w:r>
        <w:rPr>
          <w:spacing w:val="-3"/>
          <w:vertAlign w:val="baseline"/>
        </w:rPr>
        <w:t> </w:t>
      </w:r>
      <w:r>
        <w:rPr>
          <w:vertAlign w:val="baseline"/>
        </w:rPr>
        <w:t>people</w:t>
      </w:r>
      <w:r>
        <w:rPr>
          <w:spacing w:val="-3"/>
          <w:vertAlign w:val="baseline"/>
        </w:rPr>
        <w:t> </w:t>
      </w:r>
      <w:r>
        <w:rPr>
          <w:vertAlign w:val="baseline"/>
        </w:rPr>
        <w:t>with</w:t>
      </w:r>
      <w:r>
        <w:rPr>
          <w:spacing w:val="-3"/>
          <w:vertAlign w:val="baseline"/>
        </w:rPr>
        <w:t> </w:t>
      </w:r>
      <w:r>
        <w:rPr>
          <w:vertAlign w:val="baseline"/>
        </w:rPr>
        <w:t>HIV</w:t>
      </w:r>
      <w:r>
        <w:rPr>
          <w:spacing w:val="-3"/>
          <w:vertAlign w:val="baseline"/>
        </w:rPr>
        <w:t> </w:t>
      </w:r>
      <w:r>
        <w:rPr>
          <w:vertAlign w:val="baseline"/>
        </w:rPr>
        <w:t>entering</w:t>
      </w:r>
      <w:r>
        <w:rPr>
          <w:spacing w:val="-3"/>
          <w:vertAlign w:val="baseline"/>
        </w:rPr>
        <w:t> </w:t>
      </w:r>
      <w:r>
        <w:rPr>
          <w:vertAlign w:val="baseline"/>
        </w:rPr>
        <w:t>the</w:t>
      </w:r>
      <w:r>
        <w:rPr>
          <w:spacing w:val="-2"/>
          <w:vertAlign w:val="baseline"/>
        </w:rPr>
        <w:t> </w:t>
      </w:r>
      <w:r>
        <w:rPr>
          <w:vertAlign w:val="baseline"/>
        </w:rPr>
        <w:t>country</w:t>
      </w:r>
      <w:r>
        <w:rPr>
          <w:spacing w:val="-4"/>
          <w:vertAlign w:val="baseline"/>
        </w:rPr>
        <w:t> </w:t>
      </w:r>
      <w:r>
        <w:rPr>
          <w:vertAlign w:val="baseline"/>
        </w:rPr>
        <w:t>was</w:t>
      </w:r>
      <w:r>
        <w:rPr>
          <w:spacing w:val="-3"/>
          <w:vertAlign w:val="baseline"/>
        </w:rPr>
        <w:t> </w:t>
      </w:r>
      <w:r>
        <w:rPr>
          <w:vertAlign w:val="baseline"/>
        </w:rPr>
        <w:t>not</w:t>
      </w:r>
      <w:r>
        <w:rPr>
          <w:spacing w:val="-3"/>
          <w:vertAlign w:val="baseline"/>
        </w:rPr>
        <w:t> </w:t>
      </w:r>
      <w:r>
        <w:rPr>
          <w:vertAlign w:val="baseline"/>
        </w:rPr>
        <w:t>lifted</w:t>
      </w:r>
      <w:r>
        <w:rPr>
          <w:spacing w:val="-3"/>
          <w:vertAlign w:val="baseline"/>
        </w:rPr>
        <w:t> </w:t>
      </w:r>
      <w:r>
        <w:rPr>
          <w:vertAlign w:val="baseline"/>
        </w:rPr>
        <w:t>until</w:t>
      </w:r>
      <w:r>
        <w:rPr>
          <w:spacing w:val="-3"/>
          <w:vertAlign w:val="baseline"/>
        </w:rPr>
        <w:t> </w:t>
      </w:r>
      <w:r>
        <w:rPr>
          <w:vertAlign w:val="baseline"/>
        </w:rPr>
        <w:t>2010</w:t>
      </w:r>
      <w:hyperlink w:history="true" w:anchor="_bookmark535">
        <w:r>
          <w:rPr>
            <w:vertAlign w:val="baseline"/>
          </w:rPr>
          <w:t>.</w:t>
        </w:r>
        <w:r>
          <w:rPr>
            <w:vertAlign w:val="superscript"/>
          </w:rPr>
          <w:t>9</w:t>
        </w:r>
      </w:hyperlink>
      <w:r>
        <w:rPr>
          <w:spacing w:val="-4"/>
          <w:vertAlign w:val="baseline"/>
        </w:rPr>
        <w:t> </w:t>
      </w:r>
      <w:r>
        <w:rPr>
          <w:vertAlign w:val="baseline"/>
        </w:rPr>
        <w:t>Similarly, although the United States recognized persecution on the basis of sexual orientation as grounds for asylum in 1994, Congress passed the Defense of Marriage Act (DOMA) in 1996, which openly discriminated against same-sex married couples by denying them access to marriage-based federal benefits, including the ability to sponsor a spouse for a green card</w:t>
      </w:r>
      <w:hyperlink w:history="true" w:anchor="_bookmark535">
        <w:r>
          <w:rPr>
            <w:vertAlign w:val="baseline"/>
          </w:rPr>
          <w:t>.</w:t>
        </w:r>
        <w:r>
          <w:rPr>
            <w:vertAlign w:val="superscript"/>
          </w:rPr>
          <w:t>10</w:t>
        </w:r>
      </w:hyperlink>
      <w:r>
        <w:rPr>
          <w:vertAlign w:val="baseline"/>
        </w:rPr>
        <w:t> It was not until 2013, when the Supreme</w:t>
      </w:r>
      <w:r>
        <w:rPr>
          <w:spacing w:val="-5"/>
          <w:vertAlign w:val="baseline"/>
        </w:rPr>
        <w:t> </w:t>
      </w:r>
      <w:r>
        <w:rPr>
          <w:vertAlign w:val="baseline"/>
        </w:rPr>
        <w:t>Court</w:t>
      </w:r>
      <w:r>
        <w:rPr>
          <w:spacing w:val="-5"/>
          <w:vertAlign w:val="baseline"/>
        </w:rPr>
        <w:t> </w:t>
      </w:r>
      <w:r>
        <w:rPr>
          <w:vertAlign w:val="baseline"/>
        </w:rPr>
        <w:t>found</w:t>
      </w:r>
      <w:r>
        <w:rPr>
          <w:spacing w:val="-4"/>
          <w:vertAlign w:val="baseline"/>
        </w:rPr>
        <w:t> </w:t>
      </w:r>
      <w:r>
        <w:rPr>
          <w:vertAlign w:val="baseline"/>
        </w:rPr>
        <w:t>Section</w:t>
      </w:r>
      <w:r>
        <w:rPr>
          <w:spacing w:val="-5"/>
          <w:vertAlign w:val="baseline"/>
        </w:rPr>
        <w:t> </w:t>
      </w:r>
      <w:r>
        <w:rPr>
          <w:vertAlign w:val="baseline"/>
        </w:rPr>
        <w:t>3</w:t>
      </w:r>
      <w:r>
        <w:rPr>
          <w:spacing w:val="-5"/>
          <w:vertAlign w:val="baseline"/>
        </w:rPr>
        <w:t> </w:t>
      </w:r>
      <w:r>
        <w:rPr>
          <w:vertAlign w:val="baseline"/>
        </w:rPr>
        <w:t>of</w:t>
      </w:r>
      <w:r>
        <w:rPr>
          <w:spacing w:val="-5"/>
          <w:vertAlign w:val="baseline"/>
        </w:rPr>
        <w:t> </w:t>
      </w:r>
      <w:r>
        <w:rPr>
          <w:vertAlign w:val="baseline"/>
        </w:rPr>
        <w:t>DOMA</w:t>
      </w:r>
      <w:r>
        <w:rPr>
          <w:spacing w:val="-5"/>
          <w:vertAlign w:val="baseline"/>
        </w:rPr>
        <w:t> </w:t>
      </w:r>
      <w:r>
        <w:rPr>
          <w:vertAlign w:val="baseline"/>
        </w:rPr>
        <w:t>unconstitutional,</w:t>
      </w:r>
      <w:r>
        <w:rPr>
          <w:spacing w:val="-5"/>
          <w:vertAlign w:val="baseline"/>
        </w:rPr>
        <w:t> </w:t>
      </w:r>
      <w:r>
        <w:rPr>
          <w:vertAlign w:val="baseline"/>
        </w:rPr>
        <w:t>that</w:t>
      </w:r>
      <w:r>
        <w:rPr>
          <w:spacing w:val="-5"/>
          <w:vertAlign w:val="baseline"/>
        </w:rPr>
        <w:t> </w:t>
      </w:r>
      <w:r>
        <w:rPr>
          <w:vertAlign w:val="baseline"/>
        </w:rPr>
        <w:t>same-sex</w:t>
      </w:r>
      <w:r>
        <w:rPr>
          <w:spacing w:val="-4"/>
          <w:vertAlign w:val="baseline"/>
        </w:rPr>
        <w:t> </w:t>
      </w:r>
      <w:r>
        <w:rPr>
          <w:vertAlign w:val="baseline"/>
        </w:rPr>
        <w:t>couples</w:t>
      </w:r>
      <w:r>
        <w:rPr>
          <w:spacing w:val="-5"/>
          <w:vertAlign w:val="baseline"/>
        </w:rPr>
        <w:t> </w:t>
      </w:r>
      <w:r>
        <w:rPr>
          <w:vertAlign w:val="baseline"/>
        </w:rPr>
        <w:t>could</w:t>
      </w:r>
      <w:r>
        <w:rPr>
          <w:spacing w:val="-4"/>
          <w:vertAlign w:val="baseline"/>
        </w:rPr>
        <w:t> </w:t>
      </w:r>
      <w:r>
        <w:rPr>
          <w:vertAlign w:val="baseline"/>
        </w:rPr>
        <w:t>petition</w:t>
      </w:r>
      <w:r>
        <w:rPr>
          <w:spacing w:val="-5"/>
          <w:vertAlign w:val="baseline"/>
        </w:rPr>
        <w:t> </w:t>
      </w:r>
      <w:r>
        <w:rPr>
          <w:vertAlign w:val="baseline"/>
        </w:rPr>
        <w:t>for</w:t>
      </w:r>
      <w:r>
        <w:rPr>
          <w:spacing w:val="-5"/>
          <w:vertAlign w:val="baseline"/>
        </w:rPr>
        <w:t> </w:t>
      </w:r>
      <w:r>
        <w:rPr>
          <w:vertAlign w:val="baseline"/>
        </w:rPr>
        <w:t>their partners and family members. Although these events demonstrate a stride toward greater freedom and equality,</w:t>
      </w:r>
      <w:r>
        <w:rPr>
          <w:spacing w:val="-13"/>
          <w:vertAlign w:val="baseline"/>
        </w:rPr>
        <w:t> </w:t>
      </w:r>
      <w:r>
        <w:rPr>
          <w:vertAlign w:val="baseline"/>
        </w:rPr>
        <w:t>LGBTQ</w:t>
      </w:r>
      <w:r>
        <w:rPr>
          <w:spacing w:val="-12"/>
          <w:vertAlign w:val="baseline"/>
        </w:rPr>
        <w:t> </w:t>
      </w:r>
      <w:r>
        <w:rPr>
          <w:vertAlign w:val="baseline"/>
        </w:rPr>
        <w:t>foreign-born</w:t>
      </w:r>
      <w:r>
        <w:rPr>
          <w:spacing w:val="-13"/>
          <w:vertAlign w:val="baseline"/>
        </w:rPr>
        <w:t> </w:t>
      </w:r>
      <w:r>
        <w:rPr>
          <w:vertAlign w:val="baseline"/>
        </w:rPr>
        <w:t>undocumented</w:t>
      </w:r>
      <w:r>
        <w:rPr>
          <w:spacing w:val="-12"/>
          <w:vertAlign w:val="baseline"/>
        </w:rPr>
        <w:t> </w:t>
      </w:r>
      <w:r>
        <w:rPr>
          <w:vertAlign w:val="baseline"/>
        </w:rPr>
        <w:t>and</w:t>
      </w:r>
      <w:r>
        <w:rPr>
          <w:spacing w:val="-13"/>
          <w:vertAlign w:val="baseline"/>
        </w:rPr>
        <w:t> </w:t>
      </w:r>
      <w:r>
        <w:rPr>
          <w:vertAlign w:val="baseline"/>
        </w:rPr>
        <w:t>documented</w:t>
      </w:r>
      <w:r>
        <w:rPr>
          <w:spacing w:val="-12"/>
          <w:vertAlign w:val="baseline"/>
        </w:rPr>
        <w:t> </w:t>
      </w:r>
      <w:r>
        <w:rPr>
          <w:vertAlign w:val="baseline"/>
        </w:rPr>
        <w:t>people</w:t>
      </w:r>
      <w:r>
        <w:rPr>
          <w:spacing w:val="-13"/>
          <w:vertAlign w:val="baseline"/>
        </w:rPr>
        <w:t> </w:t>
      </w:r>
      <w:r>
        <w:rPr>
          <w:vertAlign w:val="baseline"/>
        </w:rPr>
        <w:t>continue</w:t>
      </w:r>
      <w:r>
        <w:rPr>
          <w:spacing w:val="-12"/>
          <w:vertAlign w:val="baseline"/>
        </w:rPr>
        <w:t> </w:t>
      </w:r>
      <w:r>
        <w:rPr>
          <w:vertAlign w:val="baseline"/>
        </w:rPr>
        <w:t>to</w:t>
      </w:r>
      <w:r>
        <w:rPr>
          <w:spacing w:val="-12"/>
          <w:vertAlign w:val="baseline"/>
        </w:rPr>
        <w:t> </w:t>
      </w:r>
      <w:r>
        <w:rPr>
          <w:vertAlign w:val="baseline"/>
        </w:rPr>
        <w:t>face</w:t>
      </w:r>
      <w:r>
        <w:rPr>
          <w:spacing w:val="-13"/>
          <w:vertAlign w:val="baseline"/>
        </w:rPr>
        <w:t> </w:t>
      </w:r>
      <w:r>
        <w:rPr>
          <w:vertAlign w:val="baseline"/>
        </w:rPr>
        <w:t>barriers</w:t>
      </w:r>
      <w:r>
        <w:rPr>
          <w:spacing w:val="-12"/>
          <w:vertAlign w:val="baseline"/>
        </w:rPr>
        <w:t> </w:t>
      </w:r>
      <w:r>
        <w:rPr>
          <w:vertAlign w:val="baseline"/>
        </w:rPr>
        <w:t>to</w:t>
      </w:r>
      <w:r>
        <w:rPr>
          <w:spacing w:val="-13"/>
          <w:vertAlign w:val="baseline"/>
        </w:rPr>
        <w:t> </w:t>
      </w:r>
      <w:r>
        <w:rPr>
          <w:vertAlign w:val="baseline"/>
        </w:rPr>
        <w:t>success in the United States.</w:t>
      </w:r>
    </w:p>
    <w:p>
      <w:pPr>
        <w:pStyle w:val="BodyText"/>
        <w:spacing w:line="276" w:lineRule="auto" w:before="240"/>
        <w:ind w:left="463" w:right="261"/>
        <w:jc w:val="both"/>
      </w:pPr>
      <w:r>
        <w:rPr/>
        <w:t>Although</w:t>
      </w:r>
      <w:r>
        <w:rPr>
          <w:spacing w:val="-2"/>
        </w:rPr>
        <w:t> </w:t>
      </w:r>
      <w:r>
        <w:rPr/>
        <w:t>roughly</w:t>
      </w:r>
      <w:r>
        <w:rPr>
          <w:spacing w:val="-3"/>
        </w:rPr>
        <w:t> </w:t>
      </w:r>
      <w:r>
        <w:rPr/>
        <w:t>1</w:t>
      </w:r>
      <w:r>
        <w:rPr>
          <w:spacing w:val="-3"/>
        </w:rPr>
        <w:t> </w:t>
      </w:r>
      <w:r>
        <w:rPr/>
        <w:t>in</w:t>
      </w:r>
      <w:r>
        <w:rPr>
          <w:spacing w:val="-2"/>
        </w:rPr>
        <w:t> </w:t>
      </w:r>
      <w:r>
        <w:rPr/>
        <w:t>6</w:t>
      </w:r>
      <w:r>
        <w:rPr>
          <w:spacing w:val="-3"/>
        </w:rPr>
        <w:t> </w:t>
      </w:r>
      <w:r>
        <w:rPr/>
        <w:t>of</w:t>
      </w:r>
      <w:r>
        <w:rPr>
          <w:spacing w:val="-2"/>
        </w:rPr>
        <w:t> </w:t>
      </w:r>
      <w:r>
        <w:rPr/>
        <w:t>Massachusetts</w:t>
      </w:r>
      <w:r>
        <w:rPr>
          <w:spacing w:val="-3"/>
        </w:rPr>
        <w:t> </w:t>
      </w:r>
      <w:r>
        <w:rPr/>
        <w:t>residents</w:t>
      </w:r>
      <w:r>
        <w:rPr>
          <w:spacing w:val="-3"/>
        </w:rPr>
        <w:t> </w:t>
      </w:r>
      <w:r>
        <w:rPr/>
        <w:t>are</w:t>
      </w:r>
      <w:r>
        <w:rPr>
          <w:spacing w:val="-3"/>
        </w:rPr>
        <w:t> </w:t>
      </w:r>
      <w:r>
        <w:rPr/>
        <w:t>foreign-born</w:t>
      </w:r>
      <w:r>
        <w:rPr>
          <w:spacing w:val="-3"/>
        </w:rPr>
        <w:t> </w:t>
      </w:r>
      <w:r>
        <w:rPr/>
        <w:t>(almost</w:t>
      </w:r>
      <w:r>
        <w:rPr>
          <w:spacing w:val="-3"/>
        </w:rPr>
        <w:t> </w:t>
      </w:r>
      <w:r>
        <w:rPr/>
        <w:t>1.2</w:t>
      </w:r>
      <w:r>
        <w:rPr>
          <w:spacing w:val="-3"/>
        </w:rPr>
        <w:t> </w:t>
      </w:r>
      <w:r>
        <w:rPr/>
        <w:t>million</w:t>
      </w:r>
      <w:r>
        <w:rPr>
          <w:spacing w:val="-3"/>
        </w:rPr>
        <w:t> </w:t>
      </w:r>
      <w:r>
        <w:rPr/>
        <w:t>people,</w:t>
      </w:r>
      <w:r>
        <w:rPr>
          <w:spacing w:val="-3"/>
        </w:rPr>
        <w:t> </w:t>
      </w:r>
      <w:r>
        <w:rPr/>
        <w:t>or</w:t>
      </w:r>
      <w:r>
        <w:rPr>
          <w:spacing w:val="-3"/>
        </w:rPr>
        <w:t> </w:t>
      </w:r>
      <w:r>
        <w:rPr/>
        <w:t>16.9% of</w:t>
      </w:r>
      <w:r>
        <w:rPr>
          <w:spacing w:val="-2"/>
        </w:rPr>
        <w:t> </w:t>
      </w:r>
      <w:r>
        <w:rPr/>
        <w:t>the</w:t>
      </w:r>
      <w:r>
        <w:rPr>
          <w:spacing w:val="-2"/>
        </w:rPr>
        <w:t> </w:t>
      </w:r>
      <w:r>
        <w:rPr/>
        <w:t>population)</w:t>
      </w:r>
      <w:r>
        <w:rPr>
          <w:spacing w:val="-1"/>
        </w:rPr>
        <w:t> </w:t>
      </w:r>
      <w:r>
        <w:rPr/>
        <w:t>and</w:t>
      </w:r>
      <w:r>
        <w:rPr>
          <w:spacing w:val="-2"/>
        </w:rPr>
        <w:t> </w:t>
      </w:r>
      <w:r>
        <w:rPr/>
        <w:t>another</w:t>
      </w:r>
      <w:r>
        <w:rPr>
          <w:spacing w:val="-2"/>
        </w:rPr>
        <w:t> </w:t>
      </w:r>
      <w:r>
        <w:rPr/>
        <w:t>1</w:t>
      </w:r>
      <w:r>
        <w:rPr>
          <w:spacing w:val="-2"/>
        </w:rPr>
        <w:t> </w:t>
      </w:r>
      <w:r>
        <w:rPr/>
        <w:t>in</w:t>
      </w:r>
      <w:r>
        <w:rPr>
          <w:spacing w:val="-2"/>
        </w:rPr>
        <w:t> </w:t>
      </w:r>
      <w:r>
        <w:rPr/>
        <w:t>7</w:t>
      </w:r>
      <w:r>
        <w:rPr>
          <w:spacing w:val="-2"/>
        </w:rPr>
        <w:t> </w:t>
      </w:r>
      <w:r>
        <w:rPr/>
        <w:t>are</w:t>
      </w:r>
      <w:r>
        <w:rPr>
          <w:spacing w:val="-2"/>
        </w:rPr>
        <w:t> </w:t>
      </w:r>
      <w:r>
        <w:rPr/>
        <w:t>U.S.-born</w:t>
      </w:r>
      <w:r>
        <w:rPr>
          <w:spacing w:val="-2"/>
        </w:rPr>
        <w:t> </w:t>
      </w:r>
      <w:r>
        <w:rPr/>
        <w:t>with</w:t>
      </w:r>
      <w:r>
        <w:rPr>
          <w:spacing w:val="-2"/>
        </w:rPr>
        <w:t> </w:t>
      </w:r>
      <w:r>
        <w:rPr/>
        <w:t>at</w:t>
      </w:r>
      <w:r>
        <w:rPr>
          <w:spacing w:val="-2"/>
        </w:rPr>
        <w:t> </w:t>
      </w:r>
      <w:r>
        <w:rPr/>
        <w:t>least</w:t>
      </w:r>
      <w:r>
        <w:rPr>
          <w:spacing w:val="-2"/>
        </w:rPr>
        <w:t> </w:t>
      </w:r>
      <w:r>
        <w:rPr/>
        <w:t>one</w:t>
      </w:r>
      <w:r>
        <w:rPr>
          <w:spacing w:val="-2"/>
        </w:rPr>
        <w:t> </w:t>
      </w:r>
      <w:r>
        <w:rPr/>
        <w:t>foreign-born</w:t>
      </w:r>
      <w:r>
        <w:rPr>
          <w:spacing w:val="-2"/>
        </w:rPr>
        <w:t> </w:t>
      </w:r>
      <w:r>
        <w:rPr/>
        <w:t>parent,</w:t>
      </w:r>
      <w:r>
        <w:rPr>
          <w:spacing w:val="-1"/>
        </w:rPr>
        <w:t> </w:t>
      </w:r>
      <w:r>
        <w:rPr/>
        <w:t>Massachusetts has</w:t>
      </w:r>
      <w:r>
        <w:rPr>
          <w:spacing w:val="-11"/>
        </w:rPr>
        <w:t> </w:t>
      </w:r>
      <w:r>
        <w:rPr/>
        <w:t>a</w:t>
      </w:r>
      <w:r>
        <w:rPr>
          <w:spacing w:val="-11"/>
        </w:rPr>
        <w:t> </w:t>
      </w:r>
      <w:r>
        <w:rPr/>
        <w:t>mixed</w:t>
      </w:r>
      <w:r>
        <w:rPr>
          <w:spacing w:val="-10"/>
        </w:rPr>
        <w:t> </w:t>
      </w:r>
      <w:r>
        <w:rPr/>
        <w:t>history</w:t>
      </w:r>
      <w:r>
        <w:rPr>
          <w:spacing w:val="-11"/>
        </w:rPr>
        <w:t> </w:t>
      </w:r>
      <w:r>
        <w:rPr/>
        <w:t>with</w:t>
      </w:r>
      <w:r>
        <w:rPr>
          <w:spacing w:val="-11"/>
        </w:rPr>
        <w:t> </w:t>
      </w:r>
      <w:r>
        <w:rPr/>
        <w:t>policy</w:t>
      </w:r>
      <w:r>
        <w:rPr>
          <w:spacing w:val="-11"/>
        </w:rPr>
        <w:t> </w:t>
      </w:r>
      <w:r>
        <w:rPr/>
        <w:t>development</w:t>
      </w:r>
      <w:r>
        <w:rPr>
          <w:spacing w:val="-12"/>
        </w:rPr>
        <w:t> </w:t>
      </w:r>
      <w:r>
        <w:rPr/>
        <w:t>to</w:t>
      </w:r>
      <w:r>
        <w:rPr>
          <w:spacing w:val="-11"/>
        </w:rPr>
        <w:t> </w:t>
      </w:r>
      <w:r>
        <w:rPr/>
        <w:t>benefit</w:t>
      </w:r>
      <w:r>
        <w:rPr>
          <w:spacing w:val="-10"/>
        </w:rPr>
        <w:t> </w:t>
      </w:r>
      <w:r>
        <w:rPr/>
        <w:t>foreign-born</w:t>
      </w:r>
      <w:r>
        <w:rPr>
          <w:spacing w:val="-10"/>
        </w:rPr>
        <w:t> </w:t>
      </w:r>
      <w:r>
        <w:rPr/>
        <w:t>residents.</w:t>
      </w:r>
      <w:r>
        <w:rPr>
          <w:spacing w:val="-11"/>
        </w:rPr>
        <w:t> </w:t>
      </w:r>
      <w:hyperlink w:history="true" w:anchor="_bookmark536">
        <w:r>
          <w:rPr>
            <w:vertAlign w:val="superscript"/>
          </w:rPr>
          <w:t>11</w:t>
        </w:r>
      </w:hyperlink>
      <w:r>
        <w:rPr>
          <w:spacing w:val="-10"/>
          <w:vertAlign w:val="baseline"/>
        </w:rPr>
        <w:t> </w:t>
      </w:r>
      <w:r>
        <w:rPr>
          <w:vertAlign w:val="baseline"/>
        </w:rPr>
        <w:t>The</w:t>
      </w:r>
      <w:r>
        <w:rPr>
          <w:spacing w:val="-11"/>
          <w:vertAlign w:val="baseline"/>
        </w:rPr>
        <w:t> </w:t>
      </w:r>
      <w:r>
        <w:rPr>
          <w:vertAlign w:val="baseline"/>
        </w:rPr>
        <w:t>historian</w:t>
      </w:r>
      <w:r>
        <w:rPr>
          <w:spacing w:val="-11"/>
          <w:vertAlign w:val="baseline"/>
        </w:rPr>
        <w:t> </w:t>
      </w:r>
      <w:r>
        <w:rPr>
          <w:vertAlign w:val="baseline"/>
        </w:rPr>
        <w:t>Russ</w:t>
      </w:r>
      <w:r>
        <w:rPr>
          <w:spacing w:val="-11"/>
          <w:vertAlign w:val="baseline"/>
        </w:rPr>
        <w:t> </w:t>
      </w:r>
      <w:r>
        <w:rPr>
          <w:vertAlign w:val="baseline"/>
        </w:rPr>
        <w:t>Lopez tells the story of Villa Victoria as representing how LGBTQ+ immigrants resisted policy development in Boston.</w:t>
      </w:r>
      <w:r>
        <w:rPr>
          <w:spacing w:val="17"/>
          <w:vertAlign w:val="baseline"/>
        </w:rPr>
        <w:t> </w:t>
      </w:r>
      <w:r>
        <w:rPr>
          <w:vertAlign w:val="baseline"/>
        </w:rPr>
        <w:t>Beginning</w:t>
      </w:r>
      <w:r>
        <w:rPr>
          <w:spacing w:val="19"/>
          <w:vertAlign w:val="baseline"/>
        </w:rPr>
        <w:t> </w:t>
      </w:r>
      <w:r>
        <w:rPr>
          <w:vertAlign w:val="baseline"/>
        </w:rPr>
        <w:t>in</w:t>
      </w:r>
      <w:r>
        <w:rPr>
          <w:spacing w:val="18"/>
          <w:vertAlign w:val="baseline"/>
        </w:rPr>
        <w:t> </w:t>
      </w:r>
      <w:r>
        <w:rPr>
          <w:vertAlign w:val="baseline"/>
        </w:rPr>
        <w:t>the</w:t>
      </w:r>
      <w:r>
        <w:rPr>
          <w:spacing w:val="19"/>
          <w:vertAlign w:val="baseline"/>
        </w:rPr>
        <w:t> </w:t>
      </w:r>
      <w:r>
        <w:rPr>
          <w:vertAlign w:val="baseline"/>
        </w:rPr>
        <w:t>1950s,</w:t>
      </w:r>
      <w:r>
        <w:rPr>
          <w:spacing w:val="18"/>
          <w:vertAlign w:val="baseline"/>
        </w:rPr>
        <w:t> </w:t>
      </w:r>
      <w:r>
        <w:rPr>
          <w:vertAlign w:val="baseline"/>
        </w:rPr>
        <w:t>Latino</w:t>
      </w:r>
      <w:r>
        <w:rPr>
          <w:spacing w:val="18"/>
          <w:vertAlign w:val="baseline"/>
        </w:rPr>
        <w:t> </w:t>
      </w:r>
      <w:r>
        <w:rPr>
          <w:vertAlign w:val="baseline"/>
        </w:rPr>
        <w:t>immigrants</w:t>
      </w:r>
      <w:r>
        <w:rPr>
          <w:spacing w:val="19"/>
          <w:vertAlign w:val="baseline"/>
        </w:rPr>
        <w:t> </w:t>
      </w:r>
      <w:r>
        <w:rPr>
          <w:vertAlign w:val="baseline"/>
        </w:rPr>
        <w:t>began</w:t>
      </w:r>
      <w:r>
        <w:rPr>
          <w:spacing w:val="19"/>
          <w:vertAlign w:val="baseline"/>
        </w:rPr>
        <w:t> </w:t>
      </w:r>
      <w:r>
        <w:rPr>
          <w:vertAlign w:val="baseline"/>
        </w:rPr>
        <w:t>to</w:t>
      </w:r>
      <w:r>
        <w:rPr>
          <w:spacing w:val="18"/>
          <w:vertAlign w:val="baseline"/>
        </w:rPr>
        <w:t> </w:t>
      </w:r>
      <w:r>
        <w:rPr>
          <w:vertAlign w:val="baseline"/>
        </w:rPr>
        <w:t>populate</w:t>
      </w:r>
      <w:r>
        <w:rPr>
          <w:spacing w:val="19"/>
          <w:vertAlign w:val="baseline"/>
        </w:rPr>
        <w:t> </w:t>
      </w:r>
      <w:r>
        <w:rPr>
          <w:vertAlign w:val="baseline"/>
        </w:rPr>
        <w:t>the</w:t>
      </w:r>
      <w:r>
        <w:rPr>
          <w:spacing w:val="17"/>
          <w:vertAlign w:val="baseline"/>
        </w:rPr>
        <w:t> </w:t>
      </w:r>
      <w:r>
        <w:rPr>
          <w:vertAlign w:val="baseline"/>
        </w:rPr>
        <w:t>south</w:t>
      </w:r>
      <w:r>
        <w:rPr>
          <w:spacing w:val="19"/>
          <w:vertAlign w:val="baseline"/>
        </w:rPr>
        <w:t> </w:t>
      </w:r>
      <w:r>
        <w:rPr>
          <w:vertAlign w:val="baseline"/>
        </w:rPr>
        <w:t>end,</w:t>
      </w:r>
      <w:r>
        <w:rPr>
          <w:spacing w:val="19"/>
          <w:vertAlign w:val="baseline"/>
        </w:rPr>
        <w:t> </w:t>
      </w:r>
      <w:r>
        <w:rPr>
          <w:vertAlign w:val="baseline"/>
        </w:rPr>
        <w:t>a</w:t>
      </w:r>
      <w:r>
        <w:rPr>
          <w:spacing w:val="18"/>
          <w:vertAlign w:val="baseline"/>
        </w:rPr>
        <w:t> </w:t>
      </w:r>
      <w:r>
        <w:rPr>
          <w:vertAlign w:val="baseline"/>
        </w:rPr>
        <w:t>predominantly</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0"/>
        <w:jc w:val="both"/>
      </w:pPr>
      <w:r>
        <w:rPr/>
        <w:t>queer</w:t>
      </w:r>
      <w:r>
        <w:rPr>
          <w:spacing w:val="-3"/>
        </w:rPr>
        <w:t> </w:t>
      </w:r>
      <w:r>
        <w:rPr/>
        <w:t>neighborhood</w:t>
      </w:r>
      <w:r>
        <w:rPr>
          <w:spacing w:val="-4"/>
        </w:rPr>
        <w:t> </w:t>
      </w:r>
      <w:r>
        <w:rPr/>
        <w:t>at</w:t>
      </w:r>
      <w:r>
        <w:rPr>
          <w:spacing w:val="-4"/>
        </w:rPr>
        <w:t> </w:t>
      </w:r>
      <w:r>
        <w:rPr/>
        <w:t>the</w:t>
      </w:r>
      <w:r>
        <w:rPr>
          <w:spacing w:val="-4"/>
        </w:rPr>
        <w:t> </w:t>
      </w:r>
      <w:r>
        <w:rPr/>
        <w:t>time.</w:t>
      </w:r>
      <w:r>
        <w:rPr>
          <w:spacing w:val="-3"/>
        </w:rPr>
        <w:t> </w:t>
      </w:r>
      <w:r>
        <w:rPr/>
        <w:t>The</w:t>
      </w:r>
      <w:r>
        <w:rPr>
          <w:spacing w:val="-3"/>
        </w:rPr>
        <w:t> </w:t>
      </w:r>
      <w:r>
        <w:rPr/>
        <w:t>Boston</w:t>
      </w:r>
      <w:r>
        <w:rPr>
          <w:spacing w:val="-4"/>
        </w:rPr>
        <w:t> </w:t>
      </w:r>
      <w:r>
        <w:rPr/>
        <w:t>Redevelopment</w:t>
      </w:r>
      <w:r>
        <w:rPr>
          <w:spacing w:val="-3"/>
        </w:rPr>
        <w:t> </w:t>
      </w:r>
      <w:r>
        <w:rPr/>
        <w:t>Authority</w:t>
      </w:r>
      <w:r>
        <w:rPr>
          <w:spacing w:val="-4"/>
        </w:rPr>
        <w:t> </w:t>
      </w:r>
      <w:r>
        <w:rPr/>
        <w:t>planned</w:t>
      </w:r>
      <w:r>
        <w:rPr>
          <w:spacing w:val="-4"/>
        </w:rPr>
        <w:t> </w:t>
      </w:r>
      <w:r>
        <w:rPr/>
        <w:t>urban</w:t>
      </w:r>
      <w:r>
        <w:rPr>
          <w:spacing w:val="-3"/>
        </w:rPr>
        <w:t> </w:t>
      </w:r>
      <w:r>
        <w:rPr/>
        <w:t>developments</w:t>
      </w:r>
      <w:r>
        <w:rPr>
          <w:spacing w:val="-4"/>
        </w:rPr>
        <w:t> </w:t>
      </w:r>
      <w:r>
        <w:rPr/>
        <w:t>for the neighborhood, which residents feared would create a higher cost of living. Residents created their own planning process, creating low-income housing now known as Villa Victoria.</w:t>
      </w:r>
      <w:r>
        <w:rPr>
          <w:vertAlign w:val="superscript"/>
        </w:rPr>
        <w:t>12</w:t>
      </w:r>
    </w:p>
    <w:p>
      <w:pPr>
        <w:pStyle w:val="BodyText"/>
        <w:spacing w:line="276" w:lineRule="auto" w:before="239"/>
        <w:ind w:left="463" w:right="261"/>
        <w:jc w:val="both"/>
      </w:pPr>
      <w:r>
        <w:rPr/>
        <w:t>However, as noted above, in recent years, Massachusetts has taken several strides forward to better support foreign-born individuals, families and communities, but has continued to see controversial challenges</w:t>
      </w:r>
      <w:r>
        <w:rPr>
          <w:spacing w:val="-13"/>
        </w:rPr>
        <w:t> </w:t>
      </w:r>
      <w:r>
        <w:rPr/>
        <w:t>to</w:t>
      </w:r>
      <w:r>
        <w:rPr>
          <w:spacing w:val="-12"/>
        </w:rPr>
        <w:t> </w:t>
      </w:r>
      <w:r>
        <w:rPr/>
        <w:t>these</w:t>
      </w:r>
      <w:r>
        <w:rPr>
          <w:spacing w:val="-13"/>
        </w:rPr>
        <w:t> </w:t>
      </w:r>
      <w:r>
        <w:rPr/>
        <w:t>efforts.</w:t>
      </w:r>
      <w:r>
        <w:rPr>
          <w:spacing w:val="-12"/>
        </w:rPr>
        <w:t> </w:t>
      </w:r>
      <w:r>
        <w:rPr/>
        <w:t>For</w:t>
      </w:r>
      <w:r>
        <w:rPr>
          <w:spacing w:val="-13"/>
        </w:rPr>
        <w:t> </w:t>
      </w:r>
      <w:r>
        <w:rPr/>
        <w:t>example,</w:t>
      </w:r>
      <w:r>
        <w:rPr>
          <w:spacing w:val="-12"/>
        </w:rPr>
        <w:t> </w:t>
      </w:r>
      <w:r>
        <w:rPr/>
        <w:t>though</w:t>
      </w:r>
      <w:r>
        <w:rPr>
          <w:spacing w:val="-13"/>
        </w:rPr>
        <w:t> </w:t>
      </w:r>
      <w:r>
        <w:rPr/>
        <w:t>vetoed</w:t>
      </w:r>
      <w:r>
        <w:rPr>
          <w:spacing w:val="-12"/>
        </w:rPr>
        <w:t> </w:t>
      </w:r>
      <w:r>
        <w:rPr/>
        <w:t>by</w:t>
      </w:r>
      <w:r>
        <w:rPr>
          <w:spacing w:val="-12"/>
        </w:rPr>
        <w:t> </w:t>
      </w:r>
      <w:r>
        <w:rPr/>
        <w:t>former</w:t>
      </w:r>
      <w:r>
        <w:rPr>
          <w:spacing w:val="-13"/>
        </w:rPr>
        <w:t> </w:t>
      </w:r>
      <w:r>
        <w:rPr/>
        <w:t>Governor</w:t>
      </w:r>
      <w:r>
        <w:rPr>
          <w:spacing w:val="-12"/>
        </w:rPr>
        <w:t> </w:t>
      </w:r>
      <w:r>
        <w:rPr/>
        <w:t>Baker</w:t>
      </w:r>
      <w:r>
        <w:rPr>
          <w:spacing w:val="-13"/>
        </w:rPr>
        <w:t> </w:t>
      </w:r>
      <w:r>
        <w:rPr/>
        <w:t>in</w:t>
      </w:r>
      <w:r>
        <w:rPr>
          <w:spacing w:val="-12"/>
        </w:rPr>
        <w:t> </w:t>
      </w:r>
      <w:r>
        <w:rPr/>
        <w:t>the</w:t>
      </w:r>
      <w:r>
        <w:rPr>
          <w:spacing w:val="-13"/>
        </w:rPr>
        <w:t> </w:t>
      </w:r>
      <w:r>
        <w:rPr/>
        <w:t>summer</w:t>
      </w:r>
      <w:r>
        <w:rPr>
          <w:spacing w:val="-12"/>
        </w:rPr>
        <w:t> </w:t>
      </w:r>
      <w:r>
        <w:rPr/>
        <w:t>of</w:t>
      </w:r>
      <w:r>
        <w:rPr>
          <w:spacing w:val="-12"/>
        </w:rPr>
        <w:t> </w:t>
      </w:r>
      <w:r>
        <w:rPr/>
        <w:t>2022, Massachusetts lawmakers passed a bill to allow undocumented residents to obtain driver’s licenses through the Registry of Motor Vehicles (RMV) which the Commission had supported for several years. Shortly</w:t>
      </w:r>
      <w:r>
        <w:rPr>
          <w:spacing w:val="-12"/>
        </w:rPr>
        <w:t> </w:t>
      </w:r>
      <w:r>
        <w:rPr/>
        <w:t>after,</w:t>
      </w:r>
      <w:r>
        <w:rPr>
          <w:spacing w:val="-11"/>
        </w:rPr>
        <w:t> </w:t>
      </w:r>
      <w:r>
        <w:rPr/>
        <w:t>a</w:t>
      </w:r>
      <w:r>
        <w:rPr>
          <w:spacing w:val="-12"/>
        </w:rPr>
        <w:t> </w:t>
      </w:r>
      <w:r>
        <w:rPr/>
        <w:t>push</w:t>
      </w:r>
      <w:r>
        <w:rPr>
          <w:spacing w:val="-10"/>
        </w:rPr>
        <w:t> </w:t>
      </w:r>
      <w:r>
        <w:rPr/>
        <w:t>to</w:t>
      </w:r>
      <w:r>
        <w:rPr>
          <w:spacing w:val="-12"/>
        </w:rPr>
        <w:t> </w:t>
      </w:r>
      <w:r>
        <w:rPr/>
        <w:t>overturn</w:t>
      </w:r>
      <w:r>
        <w:rPr>
          <w:spacing w:val="-12"/>
        </w:rPr>
        <w:t> </w:t>
      </w:r>
      <w:r>
        <w:rPr/>
        <w:t>the</w:t>
      </w:r>
      <w:r>
        <w:rPr>
          <w:spacing w:val="-12"/>
        </w:rPr>
        <w:t> </w:t>
      </w:r>
      <w:r>
        <w:rPr/>
        <w:t>new</w:t>
      </w:r>
      <w:r>
        <w:rPr>
          <w:spacing w:val="-11"/>
        </w:rPr>
        <w:t> </w:t>
      </w:r>
      <w:r>
        <w:rPr/>
        <w:t>law</w:t>
      </w:r>
      <w:r>
        <w:rPr>
          <w:spacing w:val="-11"/>
        </w:rPr>
        <w:t> </w:t>
      </w:r>
      <w:r>
        <w:rPr/>
        <w:t>appeared</w:t>
      </w:r>
      <w:r>
        <w:rPr>
          <w:spacing w:val="-13"/>
        </w:rPr>
        <w:t> </w:t>
      </w:r>
      <w:r>
        <w:rPr/>
        <w:t>on</w:t>
      </w:r>
      <w:r>
        <w:rPr>
          <w:spacing w:val="-11"/>
        </w:rPr>
        <w:t> </w:t>
      </w:r>
      <w:r>
        <w:rPr/>
        <w:t>the</w:t>
      </w:r>
      <w:r>
        <w:rPr>
          <w:spacing w:val="-12"/>
        </w:rPr>
        <w:t> </w:t>
      </w:r>
      <w:r>
        <w:rPr/>
        <w:t>midterm</w:t>
      </w:r>
      <w:r>
        <w:rPr>
          <w:spacing w:val="-12"/>
        </w:rPr>
        <w:t> </w:t>
      </w:r>
      <w:r>
        <w:rPr/>
        <w:t>ballot</w:t>
      </w:r>
      <w:r>
        <w:rPr>
          <w:spacing w:val="-12"/>
        </w:rPr>
        <w:t> </w:t>
      </w:r>
      <w:r>
        <w:rPr/>
        <w:t>as</w:t>
      </w:r>
      <w:r>
        <w:rPr>
          <w:spacing w:val="-11"/>
        </w:rPr>
        <w:t> </w:t>
      </w:r>
      <w:r>
        <w:rPr/>
        <w:t>Question</w:t>
      </w:r>
      <w:r>
        <w:rPr>
          <w:spacing w:val="-12"/>
        </w:rPr>
        <w:t> </w:t>
      </w:r>
      <w:r>
        <w:rPr/>
        <w:t>4,</w:t>
      </w:r>
      <w:r>
        <w:rPr>
          <w:spacing w:val="-12"/>
        </w:rPr>
        <w:t> </w:t>
      </w:r>
      <w:r>
        <w:rPr/>
        <w:t>which</w:t>
      </w:r>
      <w:r>
        <w:rPr>
          <w:spacing w:val="-12"/>
        </w:rPr>
        <w:t> </w:t>
      </w:r>
      <w:r>
        <w:rPr/>
        <w:t>passed by slim margins: about 54% of voters supported the measure and 46% did not</w:t>
      </w:r>
      <w:hyperlink w:history="true" w:anchor="_bookmark536">
        <w:r>
          <w:rPr/>
          <w:t>.</w:t>
        </w:r>
        <w:r>
          <w:rPr>
            <w:vertAlign w:val="superscript"/>
          </w:rPr>
          <w:t>12</w:t>
        </w:r>
      </w:hyperlink>
      <w:r>
        <w:rPr>
          <w:vertAlign w:val="baseline"/>
        </w:rPr>
        <w:t>The Commission would also</w:t>
      </w:r>
      <w:r>
        <w:rPr>
          <w:spacing w:val="-6"/>
          <w:vertAlign w:val="baseline"/>
        </w:rPr>
        <w:t> </w:t>
      </w:r>
      <w:r>
        <w:rPr>
          <w:vertAlign w:val="baseline"/>
        </w:rPr>
        <w:t>like</w:t>
      </w:r>
      <w:r>
        <w:rPr>
          <w:spacing w:val="-7"/>
          <w:vertAlign w:val="baseline"/>
        </w:rPr>
        <w:t> </w:t>
      </w:r>
      <w:r>
        <w:rPr>
          <w:vertAlign w:val="baseline"/>
        </w:rPr>
        <w:t>to</w:t>
      </w:r>
      <w:r>
        <w:rPr>
          <w:spacing w:val="-6"/>
          <w:vertAlign w:val="baseline"/>
        </w:rPr>
        <w:t> </w:t>
      </w:r>
      <w:r>
        <w:rPr>
          <w:vertAlign w:val="baseline"/>
        </w:rPr>
        <w:t>note</w:t>
      </w:r>
      <w:r>
        <w:rPr>
          <w:spacing w:val="-7"/>
          <w:vertAlign w:val="baseline"/>
        </w:rPr>
        <w:t> </w:t>
      </w:r>
      <w:r>
        <w:rPr>
          <w:vertAlign w:val="baseline"/>
        </w:rPr>
        <w:t>that</w:t>
      </w:r>
      <w:r>
        <w:rPr>
          <w:spacing w:val="-7"/>
          <w:vertAlign w:val="baseline"/>
        </w:rPr>
        <w:t> </w:t>
      </w:r>
      <w:r>
        <w:rPr>
          <w:vertAlign w:val="baseline"/>
        </w:rPr>
        <w:t>research</w:t>
      </w:r>
      <w:r>
        <w:rPr>
          <w:spacing w:val="-7"/>
          <w:vertAlign w:val="baseline"/>
        </w:rPr>
        <w:t> </w:t>
      </w:r>
      <w:r>
        <w:rPr>
          <w:vertAlign w:val="baseline"/>
        </w:rPr>
        <w:t>on</w:t>
      </w:r>
      <w:r>
        <w:rPr>
          <w:spacing w:val="-7"/>
          <w:vertAlign w:val="baseline"/>
        </w:rPr>
        <w:t> </w:t>
      </w:r>
      <w:r>
        <w:rPr>
          <w:vertAlign w:val="baseline"/>
        </w:rPr>
        <w:t>LGBTQ</w:t>
      </w:r>
      <w:r>
        <w:rPr>
          <w:spacing w:val="-6"/>
          <w:vertAlign w:val="baseline"/>
        </w:rPr>
        <w:t> </w:t>
      </w:r>
      <w:r>
        <w:rPr>
          <w:vertAlign w:val="baseline"/>
        </w:rPr>
        <w:t>migrants</w:t>
      </w:r>
      <w:r>
        <w:rPr>
          <w:spacing w:val="-6"/>
          <w:vertAlign w:val="baseline"/>
        </w:rPr>
        <w:t> </w:t>
      </w:r>
      <w:r>
        <w:rPr>
          <w:vertAlign w:val="baseline"/>
        </w:rPr>
        <w:t>predominantly</w:t>
      </w:r>
      <w:r>
        <w:rPr>
          <w:spacing w:val="-5"/>
          <w:vertAlign w:val="baseline"/>
        </w:rPr>
        <w:t> </w:t>
      </w:r>
      <w:r>
        <w:rPr>
          <w:vertAlign w:val="baseline"/>
        </w:rPr>
        <w:t>focuses</w:t>
      </w:r>
      <w:r>
        <w:rPr>
          <w:spacing w:val="-6"/>
          <w:vertAlign w:val="baseline"/>
        </w:rPr>
        <w:t> </w:t>
      </w:r>
      <w:r>
        <w:rPr>
          <w:vertAlign w:val="baseline"/>
        </w:rPr>
        <w:t>on</w:t>
      </w:r>
      <w:r>
        <w:rPr>
          <w:spacing w:val="-7"/>
          <w:vertAlign w:val="baseline"/>
        </w:rPr>
        <w:t> </w:t>
      </w:r>
      <w:r>
        <w:rPr>
          <w:vertAlign w:val="baseline"/>
        </w:rPr>
        <w:t>the</w:t>
      </w:r>
      <w:r>
        <w:rPr>
          <w:spacing w:val="-5"/>
          <w:vertAlign w:val="baseline"/>
        </w:rPr>
        <w:t> </w:t>
      </w:r>
      <w:r>
        <w:rPr>
          <w:vertAlign w:val="baseline"/>
        </w:rPr>
        <w:t>level</w:t>
      </w:r>
      <w:r>
        <w:rPr>
          <w:spacing w:val="-7"/>
          <w:vertAlign w:val="baseline"/>
        </w:rPr>
        <w:t> </w:t>
      </w:r>
      <w:r>
        <w:rPr>
          <w:vertAlign w:val="baseline"/>
        </w:rPr>
        <w:t>of</w:t>
      </w:r>
      <w:r>
        <w:rPr>
          <w:spacing w:val="-6"/>
          <w:vertAlign w:val="baseline"/>
        </w:rPr>
        <w:t> </w:t>
      </w:r>
      <w:r>
        <w:rPr>
          <w:vertAlign w:val="baseline"/>
        </w:rPr>
        <w:t>national</w:t>
      </w:r>
      <w:r>
        <w:rPr>
          <w:spacing w:val="-7"/>
          <w:vertAlign w:val="baseline"/>
        </w:rPr>
        <w:t> </w:t>
      </w:r>
      <w:r>
        <w:rPr>
          <w:vertAlign w:val="baseline"/>
        </w:rPr>
        <w:t>policy.</w:t>
      </w:r>
      <w:r>
        <w:rPr>
          <w:vertAlign w:val="superscript"/>
        </w:rPr>
        <w:t>13</w:t>
      </w:r>
      <w:r>
        <w:rPr>
          <w:vertAlign w:val="baseline"/>
        </w:rPr>
        <w:t> Such a focus does not mean that states do not have a mixed history of working against or benefiting LGBTQ+ migrants, but rather this focus reflects the need for more scholarship to specifically study the lived experiences and histories of LGBTQ+ migrants within Massachusetts.</w:t>
      </w:r>
    </w:p>
    <w:p>
      <w:pPr>
        <w:pStyle w:val="BodyText"/>
      </w:pPr>
    </w:p>
    <w:p>
      <w:pPr>
        <w:pStyle w:val="BodyText"/>
        <w:spacing w:before="62"/>
      </w:pPr>
    </w:p>
    <w:p>
      <w:pPr>
        <w:spacing w:before="1"/>
        <w:ind w:left="463" w:right="0" w:firstLine="0"/>
        <w:jc w:val="both"/>
        <w:rPr>
          <w:sz w:val="28"/>
        </w:rPr>
      </w:pPr>
      <w:r>
        <w:rPr/>
        <mc:AlternateContent>
          <mc:Choice Requires="wps">
            <w:drawing>
              <wp:anchor distT="0" distB="0" distL="0" distR="0" allowOverlap="1" layoutInCell="1" locked="0" behindDoc="1" simplePos="0" relativeHeight="487669760">
                <wp:simplePos x="0" y="0"/>
                <wp:positionH relativeFrom="page">
                  <wp:posOffset>897636</wp:posOffset>
                </wp:positionH>
                <wp:positionV relativeFrom="paragraph">
                  <wp:posOffset>230098</wp:posOffset>
                </wp:positionV>
                <wp:extent cx="5976620" cy="635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18008pt;width:470.58pt;height:.48pt;mso-position-horizontal-relative:page;mso-position-vertical-relative:paragraph;z-index:-15646720;mso-wrap-distance-left:0;mso-wrap-distance-right:0" id="docshape349" filled="true" fillcolor="#4f81bc" stroked="false">
                <v:fill type="solid"/>
                <w10:wrap type="topAndBottom"/>
              </v:rect>
            </w:pict>
          </mc:Fallback>
        </mc:AlternateContent>
      </w:r>
      <w:bookmarkStart w:name="Research: Understanding Policy and Resou" w:id="780"/>
      <w:bookmarkEnd w:id="780"/>
      <w:r>
        <w:rPr/>
      </w:r>
      <w:r>
        <w:rPr>
          <w:color w:val="365F91"/>
          <w:sz w:val="28"/>
        </w:rPr>
        <w:t>Research:</w:t>
      </w:r>
      <w:r>
        <w:rPr>
          <w:color w:val="365F91"/>
          <w:spacing w:val="-12"/>
          <w:sz w:val="28"/>
        </w:rPr>
        <w:t> </w:t>
      </w:r>
      <w:r>
        <w:rPr>
          <w:color w:val="365F91"/>
          <w:sz w:val="28"/>
        </w:rPr>
        <w:t>Understanding</w:t>
      </w:r>
      <w:r>
        <w:rPr>
          <w:color w:val="365F91"/>
          <w:spacing w:val="-13"/>
          <w:sz w:val="28"/>
        </w:rPr>
        <w:t> </w:t>
      </w:r>
      <w:r>
        <w:rPr>
          <w:color w:val="365F91"/>
          <w:sz w:val="28"/>
        </w:rPr>
        <w:t>Policy</w:t>
      </w:r>
      <w:r>
        <w:rPr>
          <w:color w:val="365F91"/>
          <w:spacing w:val="-13"/>
          <w:sz w:val="28"/>
        </w:rPr>
        <w:t> </w:t>
      </w:r>
      <w:r>
        <w:rPr>
          <w:color w:val="365F91"/>
          <w:sz w:val="28"/>
        </w:rPr>
        <w:t>and</w:t>
      </w:r>
      <w:r>
        <w:rPr>
          <w:color w:val="365F91"/>
          <w:spacing w:val="-13"/>
          <w:sz w:val="28"/>
        </w:rPr>
        <w:t> </w:t>
      </w:r>
      <w:r>
        <w:rPr>
          <w:color w:val="365F91"/>
          <w:sz w:val="28"/>
        </w:rPr>
        <w:t>Resource</w:t>
      </w:r>
      <w:r>
        <w:rPr>
          <w:color w:val="365F91"/>
          <w:spacing w:val="-13"/>
          <w:sz w:val="28"/>
        </w:rPr>
        <w:t> </w:t>
      </w:r>
      <w:r>
        <w:rPr>
          <w:color w:val="365F91"/>
          <w:spacing w:val="-2"/>
          <w:sz w:val="28"/>
        </w:rPr>
        <w:t>Needs</w:t>
      </w:r>
    </w:p>
    <w:p>
      <w:pPr>
        <w:spacing w:before="240"/>
        <w:ind w:left="463" w:right="0" w:firstLine="0"/>
        <w:jc w:val="both"/>
        <w:rPr>
          <w:sz w:val="24"/>
        </w:rPr>
      </w:pPr>
      <w:bookmarkStart w:name="Data Overview and Limitations" w:id="781"/>
      <w:bookmarkEnd w:id="781"/>
      <w:r>
        <w:rPr/>
      </w:r>
      <w:r>
        <w:rPr>
          <w:color w:val="365F91"/>
          <w:sz w:val="24"/>
        </w:rPr>
        <w:t>Data</w:t>
      </w:r>
      <w:r>
        <w:rPr>
          <w:color w:val="365F91"/>
          <w:spacing w:val="-3"/>
          <w:sz w:val="24"/>
        </w:rPr>
        <w:t> </w:t>
      </w:r>
      <w:r>
        <w:rPr>
          <w:color w:val="365F91"/>
          <w:sz w:val="24"/>
        </w:rPr>
        <w:t>Overview</w:t>
      </w:r>
      <w:r>
        <w:rPr>
          <w:color w:val="365F91"/>
          <w:spacing w:val="-2"/>
          <w:sz w:val="24"/>
        </w:rPr>
        <w:t> </w:t>
      </w:r>
      <w:r>
        <w:rPr>
          <w:color w:val="365F91"/>
          <w:sz w:val="24"/>
        </w:rPr>
        <w:t>and</w:t>
      </w:r>
      <w:r>
        <w:rPr>
          <w:color w:val="365F91"/>
          <w:spacing w:val="-2"/>
          <w:sz w:val="24"/>
        </w:rPr>
        <w:t> Limitations</w:t>
      </w:r>
    </w:p>
    <w:p>
      <w:pPr>
        <w:pStyle w:val="BodyText"/>
        <w:spacing w:line="276" w:lineRule="auto" w:before="241"/>
        <w:ind w:left="463" w:right="262"/>
        <w:jc w:val="both"/>
      </w:pPr>
      <w:r>
        <w:rPr/>
        <w:t>In the United States, little information is available about the number or characteristics of LGBTQ immigrants.</w:t>
      </w:r>
      <w:r>
        <w:rPr>
          <w:spacing w:val="14"/>
        </w:rPr>
        <w:t> </w:t>
      </w:r>
      <w:r>
        <w:rPr/>
        <w:t>Using</w:t>
      </w:r>
      <w:r>
        <w:rPr>
          <w:spacing w:val="13"/>
        </w:rPr>
        <w:t> </w:t>
      </w:r>
      <w:r>
        <w:rPr/>
        <w:t>data</w:t>
      </w:r>
      <w:r>
        <w:rPr>
          <w:spacing w:val="13"/>
        </w:rPr>
        <w:t> </w:t>
      </w:r>
      <w:r>
        <w:rPr/>
        <w:t>from</w:t>
      </w:r>
      <w:r>
        <w:rPr>
          <w:spacing w:val="13"/>
        </w:rPr>
        <w:t> </w:t>
      </w:r>
      <w:r>
        <w:rPr/>
        <w:t>the</w:t>
      </w:r>
      <w:r>
        <w:rPr>
          <w:spacing w:val="13"/>
        </w:rPr>
        <w:t> </w:t>
      </w:r>
      <w:r>
        <w:rPr/>
        <w:t>Pew</w:t>
      </w:r>
      <w:r>
        <w:rPr>
          <w:spacing w:val="15"/>
        </w:rPr>
        <w:t> </w:t>
      </w:r>
      <w:r>
        <w:rPr/>
        <w:t>Research</w:t>
      </w:r>
      <w:r>
        <w:rPr>
          <w:spacing w:val="13"/>
        </w:rPr>
        <w:t> </w:t>
      </w:r>
      <w:r>
        <w:rPr/>
        <w:t>Center,</w:t>
      </w:r>
      <w:r>
        <w:rPr>
          <w:spacing w:val="13"/>
        </w:rPr>
        <w:t> </w:t>
      </w:r>
      <w:r>
        <w:rPr/>
        <w:t>the</w:t>
      </w:r>
      <w:r>
        <w:rPr>
          <w:spacing w:val="14"/>
        </w:rPr>
        <w:t> </w:t>
      </w:r>
      <w:r>
        <w:rPr/>
        <w:t>2017</w:t>
      </w:r>
      <w:r>
        <w:rPr>
          <w:spacing w:val="13"/>
        </w:rPr>
        <w:t> </w:t>
      </w:r>
      <w:r>
        <w:rPr/>
        <w:t>Gallup</w:t>
      </w:r>
      <w:r>
        <w:rPr>
          <w:spacing w:val="14"/>
        </w:rPr>
        <w:t> </w:t>
      </w:r>
      <w:r>
        <w:rPr/>
        <w:t>Daily</w:t>
      </w:r>
      <w:r>
        <w:rPr>
          <w:spacing w:val="13"/>
        </w:rPr>
        <w:t> </w:t>
      </w:r>
      <w:r>
        <w:rPr/>
        <w:t>Tracking</w:t>
      </w:r>
      <w:r>
        <w:rPr>
          <w:spacing w:val="13"/>
        </w:rPr>
        <w:t> </w:t>
      </w:r>
      <w:r>
        <w:rPr/>
        <w:t>Survey,</w:t>
      </w:r>
      <w:r>
        <w:rPr>
          <w:spacing w:val="13"/>
        </w:rPr>
        <w:t> </w:t>
      </w:r>
      <w:r>
        <w:rPr/>
        <w:t>and</w:t>
      </w:r>
      <w:r>
        <w:rPr>
          <w:spacing w:val="13"/>
        </w:rPr>
        <w:t> </w:t>
      </w:r>
      <w:r>
        <w:rPr/>
        <w:t>the</w:t>
      </w:r>
    </w:p>
    <w:p>
      <w:pPr>
        <w:pStyle w:val="BodyText"/>
        <w:spacing w:line="276" w:lineRule="auto" w:before="1"/>
        <w:ind w:left="463" w:right="262"/>
        <w:jc w:val="both"/>
      </w:pPr>
      <w:r>
        <w:rPr/>
        <w:t>U.S.</w:t>
      </w:r>
      <w:r>
        <w:rPr>
          <w:spacing w:val="-13"/>
        </w:rPr>
        <w:t> </w:t>
      </w:r>
      <w:r>
        <w:rPr/>
        <w:t>Census</w:t>
      </w:r>
      <w:r>
        <w:rPr>
          <w:spacing w:val="-12"/>
        </w:rPr>
        <w:t> </w:t>
      </w:r>
      <w:r>
        <w:rPr/>
        <w:t>Bureau’s</w:t>
      </w:r>
      <w:r>
        <w:rPr>
          <w:spacing w:val="-13"/>
        </w:rPr>
        <w:t> </w:t>
      </w:r>
      <w:r>
        <w:rPr/>
        <w:t>American</w:t>
      </w:r>
      <w:r>
        <w:rPr>
          <w:spacing w:val="-12"/>
        </w:rPr>
        <w:t> </w:t>
      </w:r>
      <w:r>
        <w:rPr/>
        <w:t>Community</w:t>
      </w:r>
      <w:r>
        <w:rPr>
          <w:spacing w:val="-12"/>
        </w:rPr>
        <w:t> </w:t>
      </w:r>
      <w:r>
        <w:rPr/>
        <w:t>Survey,</w:t>
      </w:r>
      <w:r>
        <w:rPr>
          <w:spacing w:val="-11"/>
        </w:rPr>
        <w:t> </w:t>
      </w:r>
      <w:r>
        <w:rPr/>
        <w:t>UCLA’s</w:t>
      </w:r>
      <w:r>
        <w:rPr>
          <w:spacing w:val="-13"/>
        </w:rPr>
        <w:t> </w:t>
      </w:r>
      <w:r>
        <w:rPr/>
        <w:t>School</w:t>
      </w:r>
      <w:r>
        <w:rPr>
          <w:spacing w:val="-12"/>
        </w:rPr>
        <w:t> </w:t>
      </w:r>
      <w:r>
        <w:rPr/>
        <w:t>of</w:t>
      </w:r>
      <w:r>
        <w:rPr>
          <w:spacing w:val="-13"/>
        </w:rPr>
        <w:t> </w:t>
      </w:r>
      <w:r>
        <w:rPr/>
        <w:t>Law</w:t>
      </w:r>
      <w:r>
        <w:rPr>
          <w:spacing w:val="-11"/>
        </w:rPr>
        <w:t> </w:t>
      </w:r>
      <w:r>
        <w:rPr/>
        <w:t>Williams</w:t>
      </w:r>
      <w:r>
        <w:rPr>
          <w:spacing w:val="-12"/>
        </w:rPr>
        <w:t> </w:t>
      </w:r>
      <w:r>
        <w:rPr/>
        <w:t>Institute</w:t>
      </w:r>
      <w:r>
        <w:rPr>
          <w:spacing w:val="-12"/>
        </w:rPr>
        <w:t> </w:t>
      </w:r>
      <w:r>
        <w:rPr/>
        <w:t>estimates</w:t>
      </w:r>
      <w:r>
        <w:rPr>
          <w:spacing w:val="-12"/>
        </w:rPr>
        <w:t> </w:t>
      </w:r>
      <w:r>
        <w:rPr/>
        <w:t>that there are approximately 1,274,500 LGBT foreign-born adults in the U.S., including 289,700 (22.7%) who are undocumented and 984,800 (77.3%) who are documented</w:t>
      </w:r>
      <w:hyperlink w:history="true" w:anchor="_bookmark536">
        <w:r>
          <w:rPr/>
          <w:t>.</w:t>
        </w:r>
        <w:r>
          <w:rPr>
            <w:vertAlign w:val="superscript"/>
          </w:rPr>
          <w:t>13</w:t>
        </w:r>
      </w:hyperlink>
      <w:r>
        <w:rPr>
          <w:vertAlign w:val="baseline"/>
        </w:rPr>
        <w:t> Their report found the following: relative</w:t>
      </w:r>
      <w:r>
        <w:rPr>
          <w:spacing w:val="40"/>
          <w:vertAlign w:val="baseline"/>
        </w:rPr>
        <w:t> </w:t>
      </w:r>
      <w:r>
        <w:rPr>
          <w:vertAlign w:val="baseline"/>
        </w:rPr>
        <w:t>to</w:t>
      </w:r>
      <w:r>
        <w:rPr>
          <w:spacing w:val="40"/>
          <w:vertAlign w:val="baseline"/>
        </w:rPr>
        <w:t> </w:t>
      </w:r>
      <w:r>
        <w:rPr>
          <w:vertAlign w:val="baseline"/>
        </w:rPr>
        <w:t>all</w:t>
      </w:r>
      <w:r>
        <w:rPr>
          <w:spacing w:val="40"/>
          <w:vertAlign w:val="baseline"/>
        </w:rPr>
        <w:t> </w:t>
      </w:r>
      <w:r>
        <w:rPr>
          <w:vertAlign w:val="baseline"/>
        </w:rPr>
        <w:t>undocumented immigrants, LGBT undocumented immigrants are more often male, between the ages of 18 and 29, and Latino/a; the same holds true for LGBTQ documented immigrants.</w:t>
      </w:r>
    </w:p>
    <w:p>
      <w:pPr>
        <w:pStyle w:val="BodyText"/>
        <w:spacing w:line="276" w:lineRule="auto" w:before="240"/>
        <w:ind w:left="463" w:right="262"/>
        <w:jc w:val="both"/>
      </w:pPr>
      <w:r>
        <w:rPr/>
        <w:t>Similarly, using data from The Trevor Project’s 2020 National Survey on LGBTQ Youth Mental Health</w:t>
      </w:r>
      <w:hyperlink w:history="true" w:anchor="_bookmark536">
        <w:r>
          <w:rPr/>
          <w:t>,</w:t>
        </w:r>
        <w:r>
          <w:rPr>
            <w:vertAlign w:val="superscript"/>
          </w:rPr>
          <w:t>14</w:t>
        </w:r>
      </w:hyperlink>
      <w:r>
        <w:rPr>
          <w:vertAlign w:val="baseline"/>
        </w:rPr>
        <w:t> researchers</w:t>
      </w:r>
      <w:r>
        <w:rPr>
          <w:spacing w:val="-7"/>
          <w:vertAlign w:val="baseline"/>
        </w:rPr>
        <w:t> </w:t>
      </w:r>
      <w:r>
        <w:rPr>
          <w:vertAlign w:val="baseline"/>
        </w:rPr>
        <w:t>found</w:t>
      </w:r>
      <w:r>
        <w:rPr>
          <w:spacing w:val="-8"/>
          <w:vertAlign w:val="baseline"/>
        </w:rPr>
        <w:t> </w:t>
      </w:r>
      <w:r>
        <w:rPr>
          <w:vertAlign w:val="baseline"/>
        </w:rPr>
        <w:t>that</w:t>
      </w:r>
      <w:r>
        <w:rPr>
          <w:spacing w:val="-7"/>
          <w:vertAlign w:val="baseline"/>
        </w:rPr>
        <w:t> </w:t>
      </w:r>
      <w:r>
        <w:rPr>
          <w:vertAlign w:val="baseline"/>
        </w:rPr>
        <w:t>nearly</w:t>
      </w:r>
      <w:r>
        <w:rPr>
          <w:spacing w:val="-8"/>
          <w:vertAlign w:val="baseline"/>
        </w:rPr>
        <w:t> </w:t>
      </w:r>
      <w:r>
        <w:rPr>
          <w:vertAlign w:val="baseline"/>
        </w:rPr>
        <w:t>1</w:t>
      </w:r>
      <w:r>
        <w:rPr>
          <w:spacing w:val="-8"/>
          <w:vertAlign w:val="baseline"/>
        </w:rPr>
        <w:t> </w:t>
      </w:r>
      <w:r>
        <w:rPr>
          <w:vertAlign w:val="baseline"/>
        </w:rPr>
        <w:t>out</w:t>
      </w:r>
      <w:r>
        <w:rPr>
          <w:spacing w:val="-8"/>
          <w:vertAlign w:val="baseline"/>
        </w:rPr>
        <w:t> </w:t>
      </w:r>
      <w:r>
        <w:rPr>
          <w:vertAlign w:val="baseline"/>
        </w:rPr>
        <w:t>of</w:t>
      </w:r>
      <w:r>
        <w:rPr>
          <w:spacing w:val="-8"/>
          <w:vertAlign w:val="baseline"/>
        </w:rPr>
        <w:t> </w:t>
      </w:r>
      <w:r>
        <w:rPr>
          <w:vertAlign w:val="baseline"/>
        </w:rPr>
        <w:t>4</w:t>
      </w:r>
      <w:r>
        <w:rPr>
          <w:spacing w:val="-6"/>
          <w:vertAlign w:val="baseline"/>
        </w:rPr>
        <w:t> </w:t>
      </w:r>
      <w:r>
        <w:rPr>
          <w:vertAlign w:val="baseline"/>
        </w:rPr>
        <w:t>LGBTQ</w:t>
      </w:r>
      <w:r>
        <w:rPr>
          <w:spacing w:val="-7"/>
          <w:vertAlign w:val="baseline"/>
        </w:rPr>
        <w:t> </w:t>
      </w:r>
      <w:r>
        <w:rPr>
          <w:vertAlign w:val="baseline"/>
        </w:rPr>
        <w:t>youth</w:t>
      </w:r>
      <w:r>
        <w:rPr>
          <w:spacing w:val="-7"/>
          <w:vertAlign w:val="baseline"/>
        </w:rPr>
        <w:t> </w:t>
      </w:r>
      <w:r>
        <w:rPr>
          <w:vertAlign w:val="baseline"/>
        </w:rPr>
        <w:t>(24%)</w:t>
      </w:r>
      <w:r>
        <w:rPr>
          <w:spacing w:val="-7"/>
          <w:vertAlign w:val="baseline"/>
        </w:rPr>
        <w:t> </w:t>
      </w:r>
      <w:r>
        <w:rPr>
          <w:vertAlign w:val="baseline"/>
        </w:rPr>
        <w:t>in</w:t>
      </w:r>
      <w:r>
        <w:rPr>
          <w:spacing w:val="-8"/>
          <w:vertAlign w:val="baseline"/>
        </w:rPr>
        <w:t> </w:t>
      </w:r>
      <w:r>
        <w:rPr>
          <w:vertAlign w:val="baseline"/>
        </w:rPr>
        <w:t>their</w:t>
      </w:r>
      <w:r>
        <w:rPr>
          <w:spacing w:val="-8"/>
          <w:vertAlign w:val="baseline"/>
        </w:rPr>
        <w:t> </w:t>
      </w:r>
      <w:r>
        <w:rPr>
          <w:vertAlign w:val="baseline"/>
        </w:rPr>
        <w:t>sample</w:t>
      </w:r>
      <w:r>
        <w:rPr>
          <w:spacing w:val="-8"/>
          <w:vertAlign w:val="baseline"/>
        </w:rPr>
        <w:t> </w:t>
      </w:r>
      <w:r>
        <w:rPr>
          <w:vertAlign w:val="baseline"/>
        </w:rPr>
        <w:t>indicated</w:t>
      </w:r>
      <w:r>
        <w:rPr>
          <w:spacing w:val="-7"/>
          <w:vertAlign w:val="baseline"/>
        </w:rPr>
        <w:t> </w:t>
      </w:r>
      <w:r>
        <w:rPr>
          <w:vertAlign w:val="baseline"/>
        </w:rPr>
        <w:t>that</w:t>
      </w:r>
      <w:r>
        <w:rPr>
          <w:spacing w:val="-8"/>
          <w:vertAlign w:val="baseline"/>
        </w:rPr>
        <w:t> </w:t>
      </w:r>
      <w:r>
        <w:rPr>
          <w:vertAlign w:val="baseline"/>
        </w:rPr>
        <w:t>they</w:t>
      </w:r>
      <w:r>
        <w:rPr>
          <w:spacing w:val="-8"/>
          <w:vertAlign w:val="baseline"/>
        </w:rPr>
        <w:t> </w:t>
      </w:r>
      <w:r>
        <w:rPr>
          <w:vertAlign w:val="baseline"/>
        </w:rPr>
        <w:t>are</w:t>
      </w:r>
      <w:r>
        <w:rPr>
          <w:spacing w:val="-8"/>
          <w:vertAlign w:val="baseline"/>
        </w:rPr>
        <w:t> </w:t>
      </w:r>
      <w:r>
        <w:rPr>
          <w:vertAlign w:val="baseline"/>
        </w:rPr>
        <w:t>a</w:t>
      </w:r>
      <w:r>
        <w:rPr>
          <w:spacing w:val="-7"/>
          <w:vertAlign w:val="baseline"/>
        </w:rPr>
        <w:t> </w:t>
      </w:r>
      <w:r>
        <w:rPr>
          <w:vertAlign w:val="baseline"/>
        </w:rPr>
        <w:t>first- generation youth. However, more research needs to be done to capture the national and state number and characteristics of first-generation LGBTQ youth, and their experiences in state systems.</w:t>
      </w:r>
    </w:p>
    <w:p>
      <w:pPr>
        <w:spacing w:after="0" w:line="276" w:lineRule="auto"/>
        <w:jc w:val="both"/>
        <w:sectPr>
          <w:pgSz w:w="12240" w:h="15840"/>
          <w:pgMar w:header="805" w:footer="1208" w:top="1080" w:bottom="1460" w:left="980" w:right="1180"/>
        </w:sectPr>
      </w:pPr>
    </w:p>
    <w:p>
      <w:pPr>
        <w:pStyle w:val="BodyText"/>
        <w:spacing w:line="276" w:lineRule="auto" w:before="69"/>
        <w:ind w:left="319" w:right="263"/>
        <w:jc w:val="both"/>
      </w:pPr>
      <w:r>
        <w:rPr/>
        <w:t>Representative information about LGBTQ foreign-born youth specifically is largely missing for the U.S. population</w:t>
      </w:r>
      <w:r>
        <w:rPr>
          <w:spacing w:val="-1"/>
        </w:rPr>
        <w:t> </w:t>
      </w:r>
      <w:r>
        <w:rPr/>
        <w:t>because</w:t>
      </w:r>
      <w:r>
        <w:rPr>
          <w:spacing w:val="-2"/>
        </w:rPr>
        <w:t> </w:t>
      </w:r>
      <w:r>
        <w:rPr/>
        <w:t>large</w:t>
      </w:r>
      <w:r>
        <w:rPr>
          <w:spacing w:val="-1"/>
        </w:rPr>
        <w:t> </w:t>
      </w:r>
      <w:r>
        <w:rPr/>
        <w:t>surveys</w:t>
      </w:r>
      <w:r>
        <w:rPr>
          <w:spacing w:val="-1"/>
        </w:rPr>
        <w:t> </w:t>
      </w:r>
      <w:r>
        <w:rPr/>
        <w:t>conducted</w:t>
      </w:r>
      <w:r>
        <w:rPr>
          <w:spacing w:val="-1"/>
        </w:rPr>
        <w:t> </w:t>
      </w:r>
      <w:r>
        <w:rPr/>
        <w:t>by the U.S.</w:t>
      </w:r>
      <w:r>
        <w:rPr>
          <w:spacing w:val="-1"/>
        </w:rPr>
        <w:t> </w:t>
      </w:r>
      <w:r>
        <w:rPr/>
        <w:t>Census Bureau,</w:t>
      </w:r>
      <w:r>
        <w:rPr>
          <w:spacing w:val="-1"/>
        </w:rPr>
        <w:t> </w:t>
      </w:r>
      <w:r>
        <w:rPr/>
        <w:t>such</w:t>
      </w:r>
      <w:r>
        <w:rPr>
          <w:spacing w:val="-2"/>
        </w:rPr>
        <w:t> </w:t>
      </w:r>
      <w:r>
        <w:rPr/>
        <w:t>as</w:t>
      </w:r>
      <w:r>
        <w:rPr>
          <w:spacing w:val="-1"/>
        </w:rPr>
        <w:t> </w:t>
      </w:r>
      <w:r>
        <w:rPr/>
        <w:t>the American</w:t>
      </w:r>
      <w:r>
        <w:rPr>
          <w:spacing w:val="-2"/>
        </w:rPr>
        <w:t> </w:t>
      </w:r>
      <w:r>
        <w:rPr/>
        <w:t>Community</w:t>
      </w:r>
    </w:p>
    <w:p>
      <w:pPr>
        <w:pStyle w:val="BodyText"/>
        <w:spacing w:line="276" w:lineRule="auto"/>
        <w:ind w:left="4970" w:right="260"/>
        <w:jc w:val="both"/>
      </w:pPr>
      <w:r>
        <w:rPr/>
        <w:drawing>
          <wp:anchor distT="0" distB="0" distL="0" distR="0" allowOverlap="1" layoutInCell="1" locked="0" behindDoc="0" simplePos="0" relativeHeight="15811072">
            <wp:simplePos x="0" y="0"/>
            <wp:positionH relativeFrom="page">
              <wp:posOffset>825500</wp:posOffset>
            </wp:positionH>
            <wp:positionV relativeFrom="paragraph">
              <wp:posOffset>202002</wp:posOffset>
            </wp:positionV>
            <wp:extent cx="2861550" cy="2093588"/>
            <wp:effectExtent l="0" t="0" r="0" b="0"/>
            <wp:wrapNone/>
            <wp:docPr id="436" name="Image 436" descr="A green square with black text  Description automatically generated "/>
            <wp:cNvGraphicFramePr>
              <a:graphicFrameLocks/>
            </wp:cNvGraphicFramePr>
            <a:graphic>
              <a:graphicData uri="http://schemas.openxmlformats.org/drawingml/2006/picture">
                <pic:pic>
                  <pic:nvPicPr>
                    <pic:cNvPr id="436" name="Image 436" descr="A green square with black text  Description automatically generated "/>
                    <pic:cNvPicPr/>
                  </pic:nvPicPr>
                  <pic:blipFill>
                    <a:blip r:embed="rId567" cstate="print"/>
                    <a:stretch>
                      <a:fillRect/>
                    </a:stretch>
                  </pic:blipFill>
                  <pic:spPr>
                    <a:xfrm>
                      <a:off x="0" y="0"/>
                      <a:ext cx="2861550" cy="2093588"/>
                    </a:xfrm>
                    <a:prstGeom prst="rect">
                      <a:avLst/>
                    </a:prstGeom>
                  </pic:spPr>
                </pic:pic>
              </a:graphicData>
            </a:graphic>
          </wp:anchor>
        </w:drawing>
      </w:r>
      <w:r>
        <w:rPr/>
        <w:t>Survey and Current Population Survey, do not collect data about sexual orientation and gender identity or expression</w:t>
      </w:r>
      <w:r>
        <w:rPr>
          <w:spacing w:val="-9"/>
        </w:rPr>
        <w:t> </w:t>
      </w:r>
      <w:r>
        <w:rPr/>
        <w:t>(SOGIE).</w:t>
      </w:r>
      <w:r>
        <w:rPr>
          <w:spacing w:val="-8"/>
        </w:rPr>
        <w:t> </w:t>
      </w:r>
      <w:hyperlink w:history="true" w:anchor="_bookmark536">
        <w:r>
          <w:rPr>
            <w:vertAlign w:val="superscript"/>
          </w:rPr>
          <w:t>15</w:t>
        </w:r>
      </w:hyperlink>
      <w:r>
        <w:rPr>
          <w:spacing w:val="-9"/>
          <w:vertAlign w:val="baseline"/>
        </w:rPr>
        <w:t> </w:t>
      </w:r>
      <w:r>
        <w:rPr>
          <w:vertAlign w:val="baseline"/>
        </w:rPr>
        <w:t>Additionally,</w:t>
      </w:r>
      <w:r>
        <w:rPr>
          <w:spacing w:val="-8"/>
          <w:vertAlign w:val="baseline"/>
        </w:rPr>
        <w:t> </w:t>
      </w:r>
      <w:r>
        <w:rPr>
          <w:vertAlign w:val="baseline"/>
        </w:rPr>
        <w:t>neither</w:t>
      </w:r>
      <w:r>
        <w:rPr>
          <w:spacing w:val="-8"/>
          <w:vertAlign w:val="baseline"/>
        </w:rPr>
        <w:t> </w:t>
      </w:r>
      <w:r>
        <w:rPr>
          <w:vertAlign w:val="baseline"/>
        </w:rPr>
        <w:t>federal</w:t>
      </w:r>
      <w:r>
        <w:rPr>
          <w:spacing w:val="-7"/>
          <w:vertAlign w:val="baseline"/>
        </w:rPr>
        <w:t> </w:t>
      </w:r>
      <w:r>
        <w:rPr>
          <w:vertAlign w:val="baseline"/>
        </w:rPr>
        <w:t>nor state agencies collect SOGIE data in its immigration programs, making data on this population scarce.</w:t>
      </w:r>
      <w:hyperlink w:history="true" w:anchor="_bookmark536">
        <w:r>
          <w:rPr>
            <w:vertAlign w:val="superscript"/>
          </w:rPr>
          <w:t>16</w:t>
        </w:r>
      </w:hyperlink>
      <w:r>
        <w:rPr>
          <w:vertAlign w:val="baseline"/>
        </w:rPr>
        <w:t> Beyond</w:t>
      </w:r>
      <w:r>
        <w:rPr>
          <w:spacing w:val="-3"/>
          <w:vertAlign w:val="baseline"/>
        </w:rPr>
        <w:t> </w:t>
      </w:r>
      <w:r>
        <w:rPr>
          <w:vertAlign w:val="baseline"/>
        </w:rPr>
        <w:t>the</w:t>
      </w:r>
      <w:r>
        <w:rPr>
          <w:spacing w:val="-2"/>
          <w:vertAlign w:val="baseline"/>
        </w:rPr>
        <w:t> </w:t>
      </w:r>
      <w:r>
        <w:rPr>
          <w:vertAlign w:val="baseline"/>
        </w:rPr>
        <w:t>given</w:t>
      </w:r>
      <w:r>
        <w:rPr>
          <w:spacing w:val="-3"/>
          <w:vertAlign w:val="baseline"/>
        </w:rPr>
        <w:t> </w:t>
      </w:r>
      <w:r>
        <w:rPr>
          <w:vertAlign w:val="baseline"/>
        </w:rPr>
        <w:t>estimates</w:t>
      </w:r>
      <w:r>
        <w:rPr>
          <w:spacing w:val="-2"/>
          <w:vertAlign w:val="baseline"/>
        </w:rPr>
        <w:t> </w:t>
      </w:r>
      <w:r>
        <w:rPr>
          <w:vertAlign w:val="baseline"/>
        </w:rPr>
        <w:t>in</w:t>
      </w:r>
      <w:r>
        <w:rPr>
          <w:spacing w:val="-3"/>
          <w:vertAlign w:val="baseline"/>
        </w:rPr>
        <w:t> </w:t>
      </w:r>
      <w:r>
        <w:rPr>
          <w:vertAlign w:val="baseline"/>
        </w:rPr>
        <w:t>this</w:t>
      </w:r>
      <w:r>
        <w:rPr>
          <w:spacing w:val="-2"/>
          <w:vertAlign w:val="baseline"/>
        </w:rPr>
        <w:t> </w:t>
      </w:r>
      <w:r>
        <w:rPr>
          <w:vertAlign w:val="baseline"/>
        </w:rPr>
        <w:t>report,</w:t>
      </w:r>
      <w:r>
        <w:rPr>
          <w:spacing w:val="-2"/>
          <w:vertAlign w:val="baseline"/>
        </w:rPr>
        <w:t> </w:t>
      </w:r>
      <w:r>
        <w:rPr>
          <w:vertAlign w:val="baseline"/>
        </w:rPr>
        <w:t>not</w:t>
      </w:r>
      <w:r>
        <w:rPr>
          <w:spacing w:val="-3"/>
          <w:vertAlign w:val="baseline"/>
        </w:rPr>
        <w:t> </w:t>
      </w:r>
      <w:r>
        <w:rPr>
          <w:vertAlign w:val="baseline"/>
        </w:rPr>
        <w:t>much</w:t>
      </w:r>
      <w:r>
        <w:rPr>
          <w:spacing w:val="-3"/>
          <w:vertAlign w:val="baseline"/>
        </w:rPr>
        <w:t> </w:t>
      </w:r>
      <w:r>
        <w:rPr>
          <w:vertAlign w:val="baseline"/>
        </w:rPr>
        <w:t>is reported about the number of or specific experiences of foreign-born LGBTQ youth in Massachusetts; all of the data presented in this report stems from national research, as there is little to no accessible state-level data available on foreign-born LGBTQ youth in </w:t>
      </w:r>
      <w:r>
        <w:rPr>
          <w:spacing w:val="-2"/>
          <w:vertAlign w:val="baseline"/>
        </w:rPr>
        <w:t>Massachusetts.</w:t>
      </w:r>
    </w:p>
    <w:p>
      <w:pPr>
        <w:pStyle w:val="BodyText"/>
        <w:spacing w:line="276" w:lineRule="auto" w:before="239"/>
        <w:ind w:left="463" w:right="261"/>
        <w:jc w:val="both"/>
      </w:pPr>
      <w:r>
        <w:rPr/>
        <w:t>Additionally, in research, scholars of immigration and sexuality have suggested a profound heteronormativity in immigration scholarship and a clear assumption of LGBTQ people possessing citizenship in their country of residence</w:t>
      </w:r>
      <w:hyperlink w:history="true" w:anchor="_bookmark537">
        <w:r>
          <w:rPr/>
          <w:t>.</w:t>
        </w:r>
        <w:r>
          <w:rPr>
            <w:vertAlign w:val="superscript"/>
          </w:rPr>
          <w:t>17</w:t>
        </w:r>
      </w:hyperlink>
      <w:r>
        <w:rPr>
          <w:vertAlign w:val="baseline"/>
        </w:rPr>
        <w:t> These blind spots in both kinds of scholarship lead to the erasure of the lives, experiences, and needs of those who are LGBTQ and not a citizen of the country where they reside.</w:t>
      </w:r>
    </w:p>
    <w:p>
      <w:pPr>
        <w:spacing w:before="240"/>
        <w:ind w:left="463" w:right="0" w:firstLine="0"/>
        <w:jc w:val="both"/>
        <w:rPr>
          <w:sz w:val="28"/>
        </w:rPr>
      </w:pPr>
      <w:bookmarkStart w:name="Note on Intersectionality" w:id="782"/>
      <w:bookmarkEnd w:id="782"/>
      <w:r>
        <w:rPr/>
      </w:r>
      <w:r>
        <w:rPr>
          <w:color w:val="365F91"/>
          <w:sz w:val="28"/>
        </w:rPr>
        <w:t>Note</w:t>
      </w:r>
      <w:r>
        <w:rPr>
          <w:color w:val="365F91"/>
          <w:spacing w:val="-5"/>
          <w:sz w:val="28"/>
        </w:rPr>
        <w:t> </w:t>
      </w:r>
      <w:r>
        <w:rPr>
          <w:color w:val="365F91"/>
          <w:sz w:val="28"/>
        </w:rPr>
        <w:t>on</w:t>
      </w:r>
      <w:r>
        <w:rPr>
          <w:color w:val="365F91"/>
          <w:spacing w:val="-6"/>
          <w:sz w:val="28"/>
        </w:rPr>
        <w:t> </w:t>
      </w:r>
      <w:r>
        <w:rPr>
          <w:color w:val="365F91"/>
          <w:spacing w:val="-2"/>
          <w:sz w:val="28"/>
        </w:rPr>
        <w:t>Intersectionality</w:t>
      </w:r>
    </w:p>
    <w:p>
      <w:pPr>
        <w:pStyle w:val="BodyText"/>
        <w:spacing w:line="276" w:lineRule="auto" w:before="241"/>
        <w:ind w:left="463" w:right="261"/>
        <w:jc w:val="both"/>
      </w:pPr>
      <w:r>
        <w:rPr/>
        <w:t>For</w:t>
      </w:r>
      <w:r>
        <w:rPr>
          <w:spacing w:val="-9"/>
        </w:rPr>
        <w:t> </w:t>
      </w:r>
      <w:r>
        <w:rPr/>
        <w:t>every</w:t>
      </w:r>
      <w:r>
        <w:rPr>
          <w:spacing w:val="-9"/>
        </w:rPr>
        <w:t> </w:t>
      </w:r>
      <w:r>
        <w:rPr/>
        <w:t>LGBTQ</w:t>
      </w:r>
      <w:r>
        <w:rPr>
          <w:spacing w:val="-9"/>
        </w:rPr>
        <w:t> </w:t>
      </w:r>
      <w:r>
        <w:rPr/>
        <w:t>person,</w:t>
      </w:r>
      <w:r>
        <w:rPr>
          <w:spacing w:val="-9"/>
        </w:rPr>
        <w:t> </w:t>
      </w:r>
      <w:r>
        <w:rPr/>
        <w:t>“coming</w:t>
      </w:r>
      <w:r>
        <w:rPr>
          <w:spacing w:val="-9"/>
        </w:rPr>
        <w:t> </w:t>
      </w:r>
      <w:r>
        <w:rPr/>
        <w:t>out”</w:t>
      </w:r>
      <w:r>
        <w:rPr>
          <w:spacing w:val="-8"/>
        </w:rPr>
        <w:t> </w:t>
      </w:r>
      <w:r>
        <w:rPr/>
        <w:t>is</w:t>
      </w:r>
      <w:r>
        <w:rPr>
          <w:spacing w:val="-7"/>
        </w:rPr>
        <w:t> </w:t>
      </w:r>
      <w:r>
        <w:rPr/>
        <w:t>a</w:t>
      </w:r>
      <w:r>
        <w:rPr>
          <w:spacing w:val="-9"/>
        </w:rPr>
        <w:t> </w:t>
      </w:r>
      <w:r>
        <w:rPr/>
        <w:t>process</w:t>
      </w:r>
      <w:r>
        <w:rPr>
          <w:spacing w:val="-8"/>
        </w:rPr>
        <w:t> </w:t>
      </w:r>
      <w:r>
        <w:rPr/>
        <w:t>that</w:t>
      </w:r>
      <w:r>
        <w:rPr>
          <w:spacing w:val="-9"/>
        </w:rPr>
        <w:t> </w:t>
      </w:r>
      <w:r>
        <w:rPr/>
        <w:t>continues</w:t>
      </w:r>
      <w:r>
        <w:rPr>
          <w:spacing w:val="-8"/>
        </w:rPr>
        <w:t> </w:t>
      </w:r>
      <w:r>
        <w:rPr/>
        <w:t>throughout</w:t>
      </w:r>
      <w:r>
        <w:rPr>
          <w:spacing w:val="-9"/>
        </w:rPr>
        <w:t> </w:t>
      </w:r>
      <w:r>
        <w:rPr/>
        <w:t>life.</w:t>
      </w:r>
      <w:hyperlink w:history="true" w:anchor="_bookmark537">
        <w:r>
          <w:rPr>
            <w:vertAlign w:val="superscript"/>
          </w:rPr>
          <w:t>18</w:t>
        </w:r>
      </w:hyperlink>
      <w:r>
        <w:rPr>
          <w:spacing w:val="-9"/>
          <w:vertAlign w:val="baseline"/>
        </w:rPr>
        <w:t> </w:t>
      </w:r>
      <w:r>
        <w:rPr>
          <w:vertAlign w:val="baseline"/>
        </w:rPr>
        <w:t>Identifying</w:t>
      </w:r>
      <w:r>
        <w:rPr>
          <w:spacing w:val="-8"/>
          <w:vertAlign w:val="baseline"/>
        </w:rPr>
        <w:t> </w:t>
      </w:r>
      <w:r>
        <w:rPr>
          <w:vertAlign w:val="baseline"/>
        </w:rPr>
        <w:t>within</w:t>
      </w:r>
      <w:r>
        <w:rPr>
          <w:spacing w:val="-8"/>
          <w:vertAlign w:val="baseline"/>
        </w:rPr>
        <w:t> </w:t>
      </w:r>
      <w:r>
        <w:rPr>
          <w:vertAlign w:val="baseline"/>
        </w:rPr>
        <w:t>the LGBTQ</w:t>
      </w:r>
      <w:r>
        <w:rPr>
          <w:spacing w:val="-7"/>
          <w:vertAlign w:val="baseline"/>
        </w:rPr>
        <w:t> </w:t>
      </w:r>
      <w:r>
        <w:rPr>
          <w:vertAlign w:val="baseline"/>
        </w:rPr>
        <w:t>community</w:t>
      </w:r>
      <w:r>
        <w:rPr>
          <w:spacing w:val="-7"/>
          <w:vertAlign w:val="baseline"/>
        </w:rPr>
        <w:t> </w:t>
      </w:r>
      <w:r>
        <w:rPr>
          <w:vertAlign w:val="baseline"/>
        </w:rPr>
        <w:t>has</w:t>
      </w:r>
      <w:r>
        <w:rPr>
          <w:spacing w:val="-7"/>
          <w:vertAlign w:val="baseline"/>
        </w:rPr>
        <w:t> </w:t>
      </w:r>
      <w:r>
        <w:rPr>
          <w:vertAlign w:val="baseline"/>
        </w:rPr>
        <w:t>its</w:t>
      </w:r>
      <w:r>
        <w:rPr>
          <w:spacing w:val="-7"/>
          <w:vertAlign w:val="baseline"/>
        </w:rPr>
        <w:t> </w:t>
      </w:r>
      <w:r>
        <w:rPr>
          <w:vertAlign w:val="baseline"/>
        </w:rPr>
        <w:t>coming</w:t>
      </w:r>
      <w:r>
        <w:rPr>
          <w:spacing w:val="-8"/>
          <w:vertAlign w:val="baseline"/>
        </w:rPr>
        <w:t> </w:t>
      </w:r>
      <w:r>
        <w:rPr>
          <w:vertAlign w:val="baseline"/>
        </w:rPr>
        <w:t>out</w:t>
      </w:r>
      <w:r>
        <w:rPr>
          <w:spacing w:val="-8"/>
          <w:vertAlign w:val="baseline"/>
        </w:rPr>
        <w:t> </w:t>
      </w:r>
      <w:r>
        <w:rPr>
          <w:vertAlign w:val="baseline"/>
        </w:rPr>
        <w:t>process,</w:t>
      </w:r>
      <w:r>
        <w:rPr>
          <w:spacing w:val="-8"/>
          <w:vertAlign w:val="baseline"/>
        </w:rPr>
        <w:t> </w:t>
      </w:r>
      <w:r>
        <w:rPr>
          <w:vertAlign w:val="baseline"/>
        </w:rPr>
        <w:t>which</w:t>
      </w:r>
      <w:r>
        <w:rPr>
          <w:spacing w:val="-7"/>
          <w:vertAlign w:val="baseline"/>
        </w:rPr>
        <w:t> </w:t>
      </w:r>
      <w:r>
        <w:rPr>
          <w:vertAlign w:val="baseline"/>
        </w:rPr>
        <w:t>can</w:t>
      </w:r>
      <w:r>
        <w:rPr>
          <w:spacing w:val="-8"/>
          <w:vertAlign w:val="baseline"/>
        </w:rPr>
        <w:t> </w:t>
      </w:r>
      <w:r>
        <w:rPr>
          <w:vertAlign w:val="baseline"/>
        </w:rPr>
        <w:t>include</w:t>
      </w:r>
      <w:r>
        <w:rPr>
          <w:spacing w:val="-6"/>
          <w:vertAlign w:val="baseline"/>
        </w:rPr>
        <w:t> </w:t>
      </w:r>
      <w:r>
        <w:rPr>
          <w:vertAlign w:val="baseline"/>
        </w:rPr>
        <w:t>challenges</w:t>
      </w:r>
      <w:r>
        <w:rPr>
          <w:spacing w:val="-7"/>
          <w:vertAlign w:val="baseline"/>
        </w:rPr>
        <w:t> </w:t>
      </w:r>
      <w:r>
        <w:rPr>
          <w:vertAlign w:val="baseline"/>
        </w:rPr>
        <w:t>around</w:t>
      </w:r>
      <w:r>
        <w:rPr>
          <w:spacing w:val="-8"/>
          <w:vertAlign w:val="baseline"/>
        </w:rPr>
        <w:t> </w:t>
      </w:r>
      <w:r>
        <w:rPr>
          <w:vertAlign w:val="baseline"/>
        </w:rPr>
        <w:t>personal</w:t>
      </w:r>
      <w:r>
        <w:rPr>
          <w:spacing w:val="-6"/>
          <w:vertAlign w:val="baseline"/>
        </w:rPr>
        <w:t> </w:t>
      </w:r>
      <w:r>
        <w:rPr>
          <w:vertAlign w:val="baseline"/>
        </w:rPr>
        <w:t>acceptance, family acceptance, and societal stigmas. Similarly, being part of a family with undocumented or mixed immigration status also comes with unique struggles, including navigating various government systems and institutions, and forcing LGBTQ youth to make difficult choices between their well-being and that of their</w:t>
      </w:r>
      <w:r>
        <w:rPr>
          <w:spacing w:val="-7"/>
          <w:vertAlign w:val="baseline"/>
        </w:rPr>
        <w:t> </w:t>
      </w:r>
      <w:r>
        <w:rPr>
          <w:vertAlign w:val="baseline"/>
        </w:rPr>
        <w:t>family.</w:t>
      </w:r>
      <w:r>
        <w:rPr>
          <w:spacing w:val="-7"/>
          <w:vertAlign w:val="baseline"/>
        </w:rPr>
        <w:t> </w:t>
      </w:r>
      <w:r>
        <w:rPr>
          <w:vertAlign w:val="baseline"/>
        </w:rPr>
        <w:t>Additionally,</w:t>
      </w:r>
      <w:r>
        <w:rPr>
          <w:spacing w:val="-6"/>
          <w:vertAlign w:val="baseline"/>
        </w:rPr>
        <w:t> </w:t>
      </w:r>
      <w:r>
        <w:rPr>
          <w:vertAlign w:val="baseline"/>
        </w:rPr>
        <w:t>due</w:t>
      </w:r>
      <w:r>
        <w:rPr>
          <w:spacing w:val="-8"/>
          <w:vertAlign w:val="baseline"/>
        </w:rPr>
        <w:t> </w:t>
      </w:r>
      <w:r>
        <w:rPr>
          <w:vertAlign w:val="baseline"/>
        </w:rPr>
        <w:t>to</w:t>
      </w:r>
      <w:r>
        <w:rPr>
          <w:spacing w:val="-7"/>
          <w:vertAlign w:val="baseline"/>
        </w:rPr>
        <w:t> </w:t>
      </w:r>
      <w:r>
        <w:rPr>
          <w:vertAlign w:val="baseline"/>
        </w:rPr>
        <w:t>multiple</w:t>
      </w:r>
      <w:r>
        <w:rPr>
          <w:spacing w:val="-9"/>
          <w:vertAlign w:val="baseline"/>
        </w:rPr>
        <w:t> </w:t>
      </w:r>
      <w:r>
        <w:rPr>
          <w:vertAlign w:val="baseline"/>
        </w:rPr>
        <w:t>intersecting</w:t>
      </w:r>
      <w:r>
        <w:rPr>
          <w:spacing w:val="-9"/>
          <w:vertAlign w:val="baseline"/>
        </w:rPr>
        <w:t> </w:t>
      </w:r>
      <w:r>
        <w:rPr>
          <w:vertAlign w:val="baseline"/>
        </w:rPr>
        <w:t>factors</w:t>
      </w:r>
      <w:r>
        <w:rPr>
          <w:spacing w:val="-8"/>
          <w:vertAlign w:val="baseline"/>
        </w:rPr>
        <w:t> </w:t>
      </w:r>
      <w:r>
        <w:rPr>
          <w:vertAlign w:val="baseline"/>
        </w:rPr>
        <w:t>including</w:t>
      </w:r>
      <w:r>
        <w:rPr>
          <w:spacing w:val="-8"/>
          <w:vertAlign w:val="baseline"/>
        </w:rPr>
        <w:t> </w:t>
      </w:r>
      <w:r>
        <w:rPr>
          <w:vertAlign w:val="baseline"/>
        </w:rPr>
        <w:t>race,</w:t>
      </w:r>
      <w:r>
        <w:rPr>
          <w:spacing w:val="-7"/>
          <w:vertAlign w:val="baseline"/>
        </w:rPr>
        <w:t> </w:t>
      </w:r>
      <w:r>
        <w:rPr>
          <w:vertAlign w:val="baseline"/>
        </w:rPr>
        <w:t>ethnicity,</w:t>
      </w:r>
      <w:r>
        <w:rPr>
          <w:spacing w:val="-8"/>
          <w:vertAlign w:val="baseline"/>
        </w:rPr>
        <w:t> </w:t>
      </w:r>
      <w:r>
        <w:rPr>
          <w:vertAlign w:val="baseline"/>
        </w:rPr>
        <w:t>sexual</w:t>
      </w:r>
      <w:r>
        <w:rPr>
          <w:spacing w:val="-9"/>
          <w:vertAlign w:val="baseline"/>
        </w:rPr>
        <w:t> </w:t>
      </w:r>
      <w:r>
        <w:rPr>
          <w:vertAlign w:val="baseline"/>
        </w:rPr>
        <w:t>orientation, gender identity, and disability, foreign-born LGBTQ youth can often face compounded stigma and discrimination that contributes to a lack of access to health care, housing, economic security, legal services, and education.</w:t>
      </w:r>
    </w:p>
    <w:p>
      <w:pPr>
        <w:spacing w:before="239"/>
        <w:ind w:left="463" w:right="0" w:firstLine="0"/>
        <w:jc w:val="both"/>
        <w:rPr>
          <w:sz w:val="28"/>
        </w:rPr>
      </w:pPr>
      <w:bookmarkStart w:name="Mental Health" w:id="783"/>
      <w:bookmarkEnd w:id="783"/>
      <w:r>
        <w:rPr/>
      </w:r>
      <w:r>
        <w:rPr>
          <w:color w:val="365F91"/>
          <w:sz w:val="28"/>
        </w:rPr>
        <w:t>Mental</w:t>
      </w:r>
      <w:r>
        <w:rPr>
          <w:color w:val="365F91"/>
          <w:spacing w:val="-12"/>
          <w:sz w:val="28"/>
        </w:rPr>
        <w:t> </w:t>
      </w:r>
      <w:r>
        <w:rPr>
          <w:color w:val="365F91"/>
          <w:spacing w:val="-2"/>
          <w:sz w:val="28"/>
        </w:rPr>
        <w:t>Health</w:t>
      </w:r>
    </w:p>
    <w:p>
      <w:pPr>
        <w:pStyle w:val="BodyText"/>
        <w:spacing w:line="276" w:lineRule="auto" w:before="241"/>
        <w:ind w:left="463" w:right="259"/>
        <w:jc w:val="both"/>
      </w:pPr>
      <w:r>
        <w:rPr/>
        <w:t>As discussed in the mental health section of this annual report</w:t>
      </w:r>
      <w:r>
        <w:rPr>
          <w:i/>
        </w:rPr>
        <w:t>, </w:t>
      </w:r>
      <w:r>
        <w:rPr/>
        <w:t>studies continue to suggest that LGBTQ youth face significant disparities in suicide risk compared to their straight and cisgender peers.</w:t>
      </w:r>
      <w:r>
        <w:rPr>
          <w:vertAlign w:val="superscript"/>
        </w:rPr>
        <w:t>19</w:t>
      </w:r>
      <w:r>
        <w:rPr>
          <w:vertAlign w:val="baseline"/>
        </w:rPr>
        <w:t> LGBTQ youth are not inherently prone to suicide risk because of their sexual orientation or gender identity, but rather, they are placed at higher risk because of societal the discrimination, stigmatization, and violence stemming</w:t>
      </w:r>
      <w:r>
        <w:rPr>
          <w:spacing w:val="-12"/>
          <w:vertAlign w:val="baseline"/>
        </w:rPr>
        <w:t> </w:t>
      </w:r>
      <w:r>
        <w:rPr>
          <w:vertAlign w:val="baseline"/>
        </w:rPr>
        <w:t>from</w:t>
      </w:r>
      <w:r>
        <w:rPr>
          <w:spacing w:val="-13"/>
          <w:vertAlign w:val="baseline"/>
        </w:rPr>
        <w:t> </w:t>
      </w:r>
      <w:r>
        <w:rPr>
          <w:vertAlign w:val="baseline"/>
        </w:rPr>
        <w:t>racism,</w:t>
      </w:r>
      <w:r>
        <w:rPr>
          <w:spacing w:val="-11"/>
          <w:vertAlign w:val="baseline"/>
        </w:rPr>
        <w:t> </w:t>
      </w:r>
      <w:r>
        <w:rPr>
          <w:vertAlign w:val="baseline"/>
        </w:rPr>
        <w:t>homophobia,</w:t>
      </w:r>
      <w:r>
        <w:rPr>
          <w:spacing w:val="-12"/>
          <w:vertAlign w:val="baseline"/>
        </w:rPr>
        <w:t> </w:t>
      </w:r>
      <w:r>
        <w:rPr>
          <w:vertAlign w:val="baseline"/>
        </w:rPr>
        <w:t>and</w:t>
      </w:r>
      <w:r>
        <w:rPr>
          <w:spacing w:val="-13"/>
          <w:vertAlign w:val="baseline"/>
        </w:rPr>
        <w:t> </w:t>
      </w:r>
      <w:r>
        <w:rPr>
          <w:vertAlign w:val="baseline"/>
        </w:rPr>
        <w:t>transphobia.</w:t>
      </w:r>
      <w:r>
        <w:rPr>
          <w:spacing w:val="-12"/>
          <w:vertAlign w:val="baseline"/>
        </w:rPr>
        <w:t> </w:t>
      </w:r>
      <w:r>
        <w:rPr>
          <w:vertAlign w:val="baseline"/>
        </w:rPr>
        <w:t>LGBTQ</w:t>
      </w:r>
      <w:r>
        <w:rPr>
          <w:spacing w:val="-13"/>
          <w:vertAlign w:val="baseline"/>
        </w:rPr>
        <w:t> </w:t>
      </w:r>
      <w:r>
        <w:rPr>
          <w:vertAlign w:val="baseline"/>
        </w:rPr>
        <w:t>youth</w:t>
      </w:r>
      <w:r>
        <w:rPr>
          <w:spacing w:val="-12"/>
          <w:vertAlign w:val="baseline"/>
        </w:rPr>
        <w:t> </w:t>
      </w:r>
      <w:r>
        <w:rPr>
          <w:vertAlign w:val="baseline"/>
        </w:rPr>
        <w:t>living</w:t>
      </w:r>
      <w:r>
        <w:rPr>
          <w:spacing w:val="-12"/>
          <w:vertAlign w:val="baseline"/>
        </w:rPr>
        <w:t> </w:t>
      </w:r>
      <w:r>
        <w:rPr>
          <w:vertAlign w:val="baseline"/>
        </w:rPr>
        <w:t>in</w:t>
      </w:r>
      <w:r>
        <w:rPr>
          <w:spacing w:val="-12"/>
          <w:vertAlign w:val="baseline"/>
        </w:rPr>
        <w:t> </w:t>
      </w:r>
      <w:r>
        <w:rPr>
          <w:vertAlign w:val="baseline"/>
        </w:rPr>
        <w:t>the</w:t>
      </w:r>
      <w:r>
        <w:rPr>
          <w:spacing w:val="-13"/>
          <w:vertAlign w:val="baseline"/>
        </w:rPr>
        <w:t> </w:t>
      </w:r>
      <w:r>
        <w:rPr>
          <w:vertAlign w:val="baseline"/>
        </w:rPr>
        <w:t>U.S.</w:t>
      </w:r>
      <w:r>
        <w:rPr>
          <w:spacing w:val="-11"/>
          <w:vertAlign w:val="baseline"/>
        </w:rPr>
        <w:t> </w:t>
      </w:r>
      <w:r>
        <w:rPr>
          <w:vertAlign w:val="baseline"/>
        </w:rPr>
        <w:t>represent</w:t>
      </w:r>
      <w:r>
        <w:rPr>
          <w:spacing w:val="-13"/>
          <w:vertAlign w:val="baseline"/>
        </w:rPr>
        <w:t> </w:t>
      </w:r>
      <w:r>
        <w:rPr>
          <w:vertAlign w:val="baseline"/>
        </w:rPr>
        <w:t>a</w:t>
      </w:r>
      <w:r>
        <w:rPr>
          <w:spacing w:val="-10"/>
          <w:vertAlign w:val="baseline"/>
        </w:rPr>
        <w:t> </w:t>
      </w:r>
      <w:r>
        <w:rPr>
          <w:vertAlign w:val="baseline"/>
        </w:rPr>
        <w:t>diversity of experiences, including youth who are foreign-born. Studies have shown, however, that foreign-born individuals often experience considerable stressors such as discrimination, acculturation stress, and immigration</w:t>
      </w:r>
      <w:r>
        <w:rPr>
          <w:spacing w:val="-2"/>
          <w:vertAlign w:val="baseline"/>
        </w:rPr>
        <w:t> </w:t>
      </w:r>
      <w:r>
        <w:rPr>
          <w:vertAlign w:val="baseline"/>
        </w:rPr>
        <w:t>concerns</w:t>
      </w:r>
      <w:r>
        <w:rPr>
          <w:spacing w:val="-1"/>
          <w:vertAlign w:val="baseline"/>
        </w:rPr>
        <w:t> </w:t>
      </w:r>
      <w:r>
        <w:rPr>
          <w:vertAlign w:val="baseline"/>
        </w:rPr>
        <w:t>that</w:t>
      </w:r>
      <w:r>
        <w:rPr>
          <w:spacing w:val="-2"/>
          <w:vertAlign w:val="baseline"/>
        </w:rPr>
        <w:t> </w:t>
      </w:r>
      <w:r>
        <w:rPr>
          <w:vertAlign w:val="baseline"/>
        </w:rPr>
        <w:t>lead</w:t>
      </w:r>
      <w:r>
        <w:rPr>
          <w:spacing w:val="-2"/>
          <w:vertAlign w:val="baseline"/>
        </w:rPr>
        <w:t> </w:t>
      </w:r>
      <w:r>
        <w:rPr>
          <w:vertAlign w:val="baseline"/>
        </w:rPr>
        <w:t>to</w:t>
      </w:r>
      <w:r>
        <w:rPr>
          <w:spacing w:val="-2"/>
          <w:vertAlign w:val="baseline"/>
        </w:rPr>
        <w:t> </w:t>
      </w:r>
      <w:r>
        <w:rPr>
          <w:vertAlign w:val="baseline"/>
        </w:rPr>
        <w:t>poor</w:t>
      </w:r>
      <w:r>
        <w:rPr>
          <w:spacing w:val="-1"/>
          <w:vertAlign w:val="baseline"/>
        </w:rPr>
        <w:t> </w:t>
      </w:r>
      <w:r>
        <w:rPr>
          <w:vertAlign w:val="baseline"/>
        </w:rPr>
        <w:t>health</w:t>
      </w:r>
      <w:r>
        <w:rPr>
          <w:spacing w:val="-2"/>
          <w:vertAlign w:val="baseline"/>
        </w:rPr>
        <w:t> </w:t>
      </w:r>
      <w:r>
        <w:rPr>
          <w:vertAlign w:val="baseline"/>
        </w:rPr>
        <w:t>outcomes.</w:t>
      </w:r>
      <w:r>
        <w:rPr>
          <w:vertAlign w:val="superscript"/>
        </w:rPr>
        <w:t>20</w:t>
      </w:r>
      <w:r>
        <w:rPr>
          <w:spacing w:val="-2"/>
          <w:vertAlign w:val="baseline"/>
        </w:rPr>
        <w:t> </w:t>
      </w:r>
      <w:r>
        <w:rPr>
          <w:vertAlign w:val="baseline"/>
        </w:rPr>
        <w:t>Acculturative</w:t>
      </w:r>
      <w:r>
        <w:rPr>
          <w:spacing w:val="-3"/>
          <w:vertAlign w:val="baseline"/>
        </w:rPr>
        <w:t> </w:t>
      </w:r>
      <w:r>
        <w:rPr>
          <w:vertAlign w:val="baseline"/>
        </w:rPr>
        <w:t>stress</w:t>
      </w:r>
      <w:r>
        <w:rPr>
          <w:spacing w:val="-1"/>
          <w:vertAlign w:val="baseline"/>
        </w:rPr>
        <w:t> </w:t>
      </w:r>
      <w:r>
        <w:rPr>
          <w:vertAlign w:val="baseline"/>
        </w:rPr>
        <w:t>is</w:t>
      </w:r>
      <w:r>
        <w:rPr>
          <w:spacing w:val="-3"/>
          <w:vertAlign w:val="baseline"/>
        </w:rPr>
        <w:t> </w:t>
      </w:r>
      <w:r>
        <w:rPr>
          <w:vertAlign w:val="baseline"/>
        </w:rPr>
        <w:t>the</w:t>
      </w:r>
      <w:r>
        <w:rPr>
          <w:spacing w:val="-2"/>
          <w:vertAlign w:val="baseline"/>
        </w:rPr>
        <w:t> </w:t>
      </w:r>
      <w:r>
        <w:rPr>
          <w:vertAlign w:val="baseline"/>
        </w:rPr>
        <w:t>psychosocial</w:t>
      </w:r>
      <w:r>
        <w:rPr>
          <w:spacing w:val="-3"/>
          <w:vertAlign w:val="baseline"/>
        </w:rPr>
        <w:t> </w:t>
      </w:r>
      <w:r>
        <w:rPr>
          <w:vertAlign w:val="baseline"/>
        </w:rPr>
        <w:t>strain</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0"/>
        <w:jc w:val="both"/>
      </w:pPr>
      <w:r>
        <w:rPr/>
        <w:t>experienced</w:t>
      </w:r>
      <w:r>
        <w:rPr>
          <w:spacing w:val="-1"/>
        </w:rPr>
        <w:t> </w:t>
      </w:r>
      <w:r>
        <w:rPr/>
        <w:t>by</w:t>
      </w:r>
      <w:r>
        <w:rPr>
          <w:spacing w:val="-1"/>
        </w:rPr>
        <w:t> </w:t>
      </w:r>
      <w:r>
        <w:rPr/>
        <w:t>immigrants</w:t>
      </w:r>
      <w:r>
        <w:rPr>
          <w:spacing w:val="-1"/>
        </w:rPr>
        <w:t> </w:t>
      </w:r>
      <w:r>
        <w:rPr/>
        <w:t>in</w:t>
      </w:r>
      <w:r>
        <w:rPr>
          <w:spacing w:val="-2"/>
        </w:rPr>
        <w:t> </w:t>
      </w:r>
      <w:r>
        <w:rPr/>
        <w:t>response</w:t>
      </w:r>
      <w:r>
        <w:rPr>
          <w:spacing w:val="-1"/>
        </w:rPr>
        <w:t> </w:t>
      </w:r>
      <w:r>
        <w:rPr/>
        <w:t>to</w:t>
      </w:r>
      <w:r>
        <w:rPr>
          <w:spacing w:val="-1"/>
        </w:rPr>
        <w:t> </w:t>
      </w:r>
      <w:r>
        <w:rPr/>
        <w:t>challenges encountered</w:t>
      </w:r>
      <w:r>
        <w:rPr>
          <w:spacing w:val="-1"/>
        </w:rPr>
        <w:t> </w:t>
      </w:r>
      <w:r>
        <w:rPr/>
        <w:t>while</w:t>
      </w:r>
      <w:r>
        <w:rPr>
          <w:spacing w:val="-2"/>
        </w:rPr>
        <w:t> </w:t>
      </w:r>
      <w:r>
        <w:rPr/>
        <w:t>adapting</w:t>
      </w:r>
      <w:r>
        <w:rPr>
          <w:spacing w:val="-2"/>
        </w:rPr>
        <w:t> </w:t>
      </w:r>
      <w:r>
        <w:rPr/>
        <w:t>to cultural differences in</w:t>
      </w:r>
      <w:r>
        <w:rPr>
          <w:spacing w:val="-13"/>
        </w:rPr>
        <w:t> </w:t>
      </w:r>
      <w:r>
        <w:rPr/>
        <w:t>a</w:t>
      </w:r>
      <w:r>
        <w:rPr>
          <w:spacing w:val="-12"/>
        </w:rPr>
        <w:t> </w:t>
      </w:r>
      <w:r>
        <w:rPr/>
        <w:t>new</w:t>
      </w:r>
      <w:r>
        <w:rPr>
          <w:spacing w:val="-13"/>
        </w:rPr>
        <w:t> </w:t>
      </w:r>
      <w:r>
        <w:rPr/>
        <w:t>country.</w:t>
      </w:r>
      <w:r>
        <w:rPr>
          <w:spacing w:val="-12"/>
        </w:rPr>
        <w:t> </w:t>
      </w:r>
      <w:r>
        <w:rPr/>
        <w:t>These</w:t>
      </w:r>
      <w:r>
        <w:rPr>
          <w:spacing w:val="-13"/>
        </w:rPr>
        <w:t> </w:t>
      </w:r>
      <w:r>
        <w:rPr/>
        <w:t>stressors</w:t>
      </w:r>
      <w:r>
        <w:rPr>
          <w:spacing w:val="-12"/>
        </w:rPr>
        <w:t> </w:t>
      </w:r>
      <w:r>
        <w:rPr/>
        <w:t>result</w:t>
      </w:r>
      <w:r>
        <w:rPr>
          <w:spacing w:val="-13"/>
        </w:rPr>
        <w:t> </w:t>
      </w:r>
      <w:r>
        <w:rPr/>
        <w:t>from</w:t>
      </w:r>
      <w:r>
        <w:rPr>
          <w:spacing w:val="-12"/>
        </w:rPr>
        <w:t> </w:t>
      </w:r>
      <w:r>
        <w:rPr/>
        <w:t>circumstances</w:t>
      </w:r>
      <w:r>
        <w:rPr>
          <w:spacing w:val="-12"/>
        </w:rPr>
        <w:t> </w:t>
      </w:r>
      <w:r>
        <w:rPr/>
        <w:t>such</w:t>
      </w:r>
      <w:r>
        <w:rPr>
          <w:spacing w:val="-13"/>
        </w:rPr>
        <w:t> </w:t>
      </w:r>
      <w:r>
        <w:rPr/>
        <w:t>as</w:t>
      </w:r>
      <w:r>
        <w:rPr>
          <w:spacing w:val="-12"/>
        </w:rPr>
        <w:t> </w:t>
      </w:r>
      <w:r>
        <w:rPr/>
        <w:t>immigration</w:t>
      </w:r>
      <w:r>
        <w:rPr>
          <w:spacing w:val="-13"/>
        </w:rPr>
        <w:t> </w:t>
      </w:r>
      <w:r>
        <w:rPr/>
        <w:t>status,</w:t>
      </w:r>
      <w:r>
        <w:rPr>
          <w:spacing w:val="-12"/>
        </w:rPr>
        <w:t> </w:t>
      </w:r>
      <w:r>
        <w:rPr/>
        <w:t>language</w:t>
      </w:r>
      <w:r>
        <w:rPr>
          <w:spacing w:val="-13"/>
        </w:rPr>
        <w:t> </w:t>
      </w:r>
      <w:r>
        <w:rPr/>
        <w:t>barriers, economic deficiencies, disruption in family cohesion, and discrimination.</w:t>
      </w:r>
      <w:r>
        <w:rPr>
          <w:color w:val="1154CC"/>
          <w:u w:val="single" w:color="1154CC"/>
          <w:vertAlign w:val="superscript"/>
        </w:rPr>
        <w:t>21</w:t>
      </w:r>
      <w:r>
        <w:rPr>
          <w:color w:val="1154CC"/>
          <w:u w:val="none"/>
          <w:vertAlign w:val="baseline"/>
        </w:rPr>
        <w:t> </w:t>
      </w:r>
      <w:r>
        <w:rPr>
          <w:u w:val="none"/>
          <w:vertAlign w:val="baseline"/>
        </w:rPr>
        <w:t>Although the process of immigrating to a new country and acculturating to an unfamiliar set of cultural beliefs and societal practices</w:t>
      </w:r>
      <w:r>
        <w:rPr>
          <w:spacing w:val="-7"/>
          <w:u w:val="none"/>
          <w:vertAlign w:val="baseline"/>
        </w:rPr>
        <w:t> </w:t>
      </w:r>
      <w:r>
        <w:rPr>
          <w:u w:val="none"/>
          <w:vertAlign w:val="baseline"/>
        </w:rPr>
        <w:t>presents</w:t>
      </w:r>
      <w:r>
        <w:rPr>
          <w:spacing w:val="-6"/>
          <w:u w:val="none"/>
          <w:vertAlign w:val="baseline"/>
        </w:rPr>
        <w:t> </w:t>
      </w:r>
      <w:r>
        <w:rPr>
          <w:u w:val="none"/>
          <w:vertAlign w:val="baseline"/>
        </w:rPr>
        <w:t>challenges</w:t>
      </w:r>
      <w:r>
        <w:rPr>
          <w:spacing w:val="-7"/>
          <w:u w:val="none"/>
          <w:vertAlign w:val="baseline"/>
        </w:rPr>
        <w:t> </w:t>
      </w:r>
      <w:r>
        <w:rPr>
          <w:u w:val="none"/>
          <w:vertAlign w:val="baseline"/>
        </w:rPr>
        <w:t>for</w:t>
      </w:r>
      <w:r>
        <w:rPr>
          <w:spacing w:val="-7"/>
          <w:u w:val="none"/>
          <w:vertAlign w:val="baseline"/>
        </w:rPr>
        <w:t> </w:t>
      </w:r>
      <w:r>
        <w:rPr>
          <w:u w:val="none"/>
          <w:vertAlign w:val="baseline"/>
        </w:rPr>
        <w:t>immigrants</w:t>
      </w:r>
      <w:r>
        <w:rPr>
          <w:spacing w:val="-7"/>
          <w:u w:val="none"/>
          <w:vertAlign w:val="baseline"/>
        </w:rPr>
        <w:t> </w:t>
      </w:r>
      <w:r>
        <w:rPr>
          <w:u w:val="none"/>
          <w:vertAlign w:val="baseline"/>
        </w:rPr>
        <w:t>regardless</w:t>
      </w:r>
      <w:r>
        <w:rPr>
          <w:spacing w:val="-7"/>
          <w:u w:val="none"/>
          <w:vertAlign w:val="baseline"/>
        </w:rPr>
        <w:t> </w:t>
      </w:r>
      <w:r>
        <w:rPr>
          <w:u w:val="none"/>
          <w:vertAlign w:val="baseline"/>
        </w:rPr>
        <w:t>of</w:t>
      </w:r>
      <w:r>
        <w:rPr>
          <w:spacing w:val="-7"/>
          <w:u w:val="none"/>
          <w:vertAlign w:val="baseline"/>
        </w:rPr>
        <w:t> </w:t>
      </w:r>
      <w:r>
        <w:rPr>
          <w:u w:val="none"/>
          <w:vertAlign w:val="baseline"/>
        </w:rPr>
        <w:t>gender</w:t>
      </w:r>
      <w:r>
        <w:rPr>
          <w:spacing w:val="-6"/>
          <w:u w:val="none"/>
          <w:vertAlign w:val="baseline"/>
        </w:rPr>
        <w:t> </w:t>
      </w:r>
      <w:r>
        <w:rPr>
          <w:u w:val="none"/>
          <w:vertAlign w:val="baseline"/>
        </w:rPr>
        <w:t>identity</w:t>
      </w:r>
      <w:r>
        <w:rPr>
          <w:spacing w:val="-6"/>
          <w:u w:val="none"/>
          <w:vertAlign w:val="baseline"/>
        </w:rPr>
        <w:t> </w:t>
      </w:r>
      <w:r>
        <w:rPr>
          <w:u w:val="none"/>
          <w:vertAlign w:val="baseline"/>
        </w:rPr>
        <w:t>or</w:t>
      </w:r>
      <w:r>
        <w:rPr>
          <w:spacing w:val="-7"/>
          <w:u w:val="none"/>
          <w:vertAlign w:val="baseline"/>
        </w:rPr>
        <w:t> </w:t>
      </w:r>
      <w:r>
        <w:rPr>
          <w:u w:val="none"/>
          <w:vertAlign w:val="baseline"/>
        </w:rPr>
        <w:t>sexual</w:t>
      </w:r>
      <w:r>
        <w:rPr>
          <w:spacing w:val="-8"/>
          <w:u w:val="none"/>
          <w:vertAlign w:val="baseline"/>
        </w:rPr>
        <w:t> </w:t>
      </w:r>
      <w:r>
        <w:rPr>
          <w:u w:val="none"/>
          <w:vertAlign w:val="baseline"/>
        </w:rPr>
        <w:t>orientation,</w:t>
      </w:r>
      <w:r>
        <w:rPr>
          <w:spacing w:val="-7"/>
          <w:u w:val="none"/>
          <w:vertAlign w:val="baseline"/>
        </w:rPr>
        <w:t> </w:t>
      </w:r>
      <w:r>
        <w:rPr>
          <w:u w:val="none"/>
          <w:vertAlign w:val="baseline"/>
        </w:rPr>
        <w:t>research has shown that LGBTQ youth face unique challenges in this process. At the intra-individual level, some difficulties</w:t>
      </w:r>
      <w:r>
        <w:rPr>
          <w:spacing w:val="-7"/>
          <w:u w:val="none"/>
          <w:vertAlign w:val="baseline"/>
        </w:rPr>
        <w:t> </w:t>
      </w:r>
      <w:r>
        <w:rPr>
          <w:u w:val="none"/>
          <w:vertAlign w:val="baseline"/>
        </w:rPr>
        <w:t>LGBTQ</w:t>
      </w:r>
      <w:r>
        <w:rPr>
          <w:spacing w:val="-8"/>
          <w:u w:val="none"/>
          <w:vertAlign w:val="baseline"/>
        </w:rPr>
        <w:t> </w:t>
      </w:r>
      <w:r>
        <w:rPr>
          <w:u w:val="none"/>
          <w:vertAlign w:val="baseline"/>
        </w:rPr>
        <w:t>immigrants</w:t>
      </w:r>
      <w:r>
        <w:rPr>
          <w:spacing w:val="-7"/>
          <w:u w:val="none"/>
          <w:vertAlign w:val="baseline"/>
        </w:rPr>
        <w:t> </w:t>
      </w:r>
      <w:r>
        <w:rPr>
          <w:u w:val="none"/>
          <w:vertAlign w:val="baseline"/>
        </w:rPr>
        <w:t>may</w:t>
      </w:r>
      <w:r>
        <w:rPr>
          <w:spacing w:val="-6"/>
          <w:u w:val="none"/>
          <w:vertAlign w:val="baseline"/>
        </w:rPr>
        <w:t> </w:t>
      </w:r>
      <w:r>
        <w:rPr>
          <w:u w:val="none"/>
          <w:vertAlign w:val="baseline"/>
        </w:rPr>
        <w:t>face</w:t>
      </w:r>
      <w:r>
        <w:rPr>
          <w:spacing w:val="-6"/>
          <w:u w:val="none"/>
          <w:vertAlign w:val="baseline"/>
        </w:rPr>
        <w:t> </w:t>
      </w:r>
      <w:r>
        <w:rPr>
          <w:u w:val="none"/>
          <w:vertAlign w:val="baseline"/>
        </w:rPr>
        <w:t>include</w:t>
      </w:r>
      <w:r>
        <w:rPr>
          <w:spacing w:val="-8"/>
          <w:u w:val="none"/>
          <w:vertAlign w:val="baseline"/>
        </w:rPr>
        <w:t> </w:t>
      </w:r>
      <w:r>
        <w:rPr>
          <w:u w:val="none"/>
          <w:vertAlign w:val="baseline"/>
        </w:rPr>
        <w:t>racism-related</w:t>
      </w:r>
      <w:r>
        <w:rPr>
          <w:spacing w:val="-8"/>
          <w:u w:val="none"/>
          <w:vertAlign w:val="baseline"/>
        </w:rPr>
        <w:t> </w:t>
      </w:r>
      <w:r>
        <w:rPr>
          <w:u w:val="none"/>
          <w:vertAlign w:val="baseline"/>
        </w:rPr>
        <w:t>stress</w:t>
      </w:r>
      <w:r>
        <w:rPr>
          <w:spacing w:val="-7"/>
          <w:u w:val="none"/>
          <w:vertAlign w:val="baseline"/>
        </w:rPr>
        <w:t> </w:t>
      </w:r>
      <w:r>
        <w:rPr>
          <w:u w:val="none"/>
          <w:vertAlign w:val="baseline"/>
        </w:rPr>
        <w:t>and</w:t>
      </w:r>
      <w:r>
        <w:rPr>
          <w:spacing w:val="-8"/>
          <w:u w:val="none"/>
          <w:vertAlign w:val="baseline"/>
        </w:rPr>
        <w:t> </w:t>
      </w:r>
      <w:r>
        <w:rPr>
          <w:u w:val="none"/>
          <w:vertAlign w:val="baseline"/>
        </w:rPr>
        <w:t>anxiety,</w:t>
      </w:r>
      <w:r>
        <w:rPr>
          <w:spacing w:val="-7"/>
          <w:u w:val="none"/>
          <w:vertAlign w:val="baseline"/>
        </w:rPr>
        <w:t> </w:t>
      </w:r>
      <w:r>
        <w:rPr>
          <w:u w:val="none"/>
          <w:vertAlign w:val="baseline"/>
        </w:rPr>
        <w:t>chronic</w:t>
      </w:r>
      <w:r>
        <w:rPr>
          <w:spacing w:val="-7"/>
          <w:u w:val="none"/>
          <w:vertAlign w:val="baseline"/>
        </w:rPr>
        <w:t> </w:t>
      </w:r>
      <w:r>
        <w:rPr>
          <w:u w:val="none"/>
          <w:vertAlign w:val="baseline"/>
        </w:rPr>
        <w:t>expectations</w:t>
      </w:r>
      <w:r>
        <w:rPr>
          <w:spacing w:val="-7"/>
          <w:u w:val="none"/>
          <w:vertAlign w:val="baseline"/>
        </w:rPr>
        <w:t> </w:t>
      </w:r>
      <w:r>
        <w:rPr>
          <w:u w:val="none"/>
          <w:vertAlign w:val="baseline"/>
        </w:rPr>
        <w:t>of being negatively stereotyped by others, and being hyper-vigilant to potential threats related to their sexual identity</w:t>
      </w:r>
      <w:hyperlink w:history="true" w:anchor="_bookmark538">
        <w:r>
          <w:rPr>
            <w:u w:val="none"/>
            <w:vertAlign w:val="baseline"/>
          </w:rPr>
          <w:t>.</w:t>
        </w:r>
        <w:r>
          <w:rPr>
            <w:color w:val="1154CC"/>
            <w:u w:val="single" w:color="1154CC"/>
            <w:vertAlign w:val="superscript"/>
          </w:rPr>
          <w:t>22</w:t>
        </w:r>
      </w:hyperlink>
      <w:r>
        <w:rPr>
          <w:color w:val="1154CC"/>
          <w:u w:val="none"/>
          <w:vertAlign w:val="baseline"/>
        </w:rPr>
        <w:t> </w:t>
      </w:r>
      <w:r>
        <w:rPr>
          <w:u w:val="none"/>
          <w:vertAlign w:val="baseline"/>
        </w:rPr>
        <w:t>At the interpersonal or intergroup level, conflicts between cultural values or pressures and personal beliefs may also present challenges for LGBTQ immigrants.</w:t>
      </w:r>
    </w:p>
    <w:p>
      <w:pPr>
        <w:pStyle w:val="BodyText"/>
        <w:spacing w:line="276" w:lineRule="auto" w:before="240"/>
        <w:ind w:left="463" w:right="4559"/>
        <w:jc w:val="both"/>
      </w:pPr>
      <w:r>
        <w:rPr/>
        <w:drawing>
          <wp:anchor distT="0" distB="0" distL="0" distR="0" allowOverlap="1" layoutInCell="1" locked="0" behindDoc="0" simplePos="0" relativeHeight="15811584">
            <wp:simplePos x="0" y="0"/>
            <wp:positionH relativeFrom="page">
              <wp:posOffset>4217047</wp:posOffset>
            </wp:positionH>
            <wp:positionV relativeFrom="paragraph">
              <wp:posOffset>163694</wp:posOffset>
            </wp:positionV>
            <wp:extent cx="2733596" cy="2322191"/>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568" cstate="print"/>
                    <a:stretch>
                      <a:fillRect/>
                    </a:stretch>
                  </pic:blipFill>
                  <pic:spPr>
                    <a:xfrm>
                      <a:off x="0" y="0"/>
                      <a:ext cx="2733596" cy="2322191"/>
                    </a:xfrm>
                    <a:prstGeom prst="rect">
                      <a:avLst/>
                    </a:prstGeom>
                  </pic:spPr>
                </pic:pic>
              </a:graphicData>
            </a:graphic>
          </wp:anchor>
        </w:drawing>
      </w:r>
      <w:r>
        <w:rPr/>
        <w:t>For example, traditional gender role expectations and norms of masculinity and femininity are particularly stringent within Latino communities. For gender non- conforming gay Latinos, the cultural value of “machismo”,</w:t>
      </w:r>
      <w:r>
        <w:rPr>
          <w:spacing w:val="-13"/>
        </w:rPr>
        <w:t> </w:t>
      </w:r>
      <w:r>
        <w:rPr/>
        <w:t>a</w:t>
      </w:r>
      <w:r>
        <w:rPr>
          <w:spacing w:val="-12"/>
        </w:rPr>
        <w:t> </w:t>
      </w:r>
      <w:r>
        <w:rPr/>
        <w:t>strict</w:t>
      </w:r>
      <w:r>
        <w:rPr>
          <w:spacing w:val="-13"/>
        </w:rPr>
        <w:t> </w:t>
      </w:r>
      <w:r>
        <w:rPr/>
        <w:t>and</w:t>
      </w:r>
      <w:r>
        <w:rPr>
          <w:spacing w:val="-12"/>
        </w:rPr>
        <w:t> </w:t>
      </w:r>
      <w:r>
        <w:rPr/>
        <w:t>idealized</w:t>
      </w:r>
      <w:r>
        <w:rPr>
          <w:spacing w:val="-13"/>
        </w:rPr>
        <w:t> </w:t>
      </w:r>
      <w:r>
        <w:rPr/>
        <w:t>form</w:t>
      </w:r>
      <w:r>
        <w:rPr>
          <w:spacing w:val="-12"/>
        </w:rPr>
        <w:t> </w:t>
      </w:r>
      <w:r>
        <w:rPr/>
        <w:t>of</w:t>
      </w:r>
      <w:r>
        <w:rPr>
          <w:spacing w:val="-13"/>
        </w:rPr>
        <w:t> </w:t>
      </w:r>
      <w:r>
        <w:rPr/>
        <w:t>masculinity</w:t>
      </w:r>
      <w:r>
        <w:rPr>
          <w:spacing w:val="-12"/>
        </w:rPr>
        <w:t> </w:t>
      </w:r>
      <w:r>
        <w:rPr/>
        <w:t>for men, may be a source of conflict and challenge</w:t>
      </w:r>
      <w:hyperlink w:history="true" w:anchor="_bookmark538">
        <w:r>
          <w:rPr/>
          <w:t>.</w:t>
        </w:r>
        <w:r>
          <w:rPr>
            <w:color w:val="1154CC"/>
            <w:u w:val="single" w:color="1154CC"/>
            <w:vertAlign w:val="superscript"/>
          </w:rPr>
          <w:t>23</w:t>
        </w:r>
      </w:hyperlink>
      <w:r>
        <w:rPr>
          <w:color w:val="1154CC"/>
          <w:u w:val="none"/>
          <w:vertAlign w:val="baseline"/>
        </w:rPr>
        <w:t> </w:t>
      </w:r>
      <w:r>
        <w:rPr>
          <w:u w:val="none"/>
          <w:vertAlign w:val="baseline"/>
        </w:rPr>
        <w:t>Additionally, because of the varying values, norms, and expectations of their various communities, LGBTQ immigrants may encounter difficulties with different social groups and communities. For example, LGBTQ foreign-born individuals are often not welcomed or accepted in many ethnic communities, and may then be discouraged</w:t>
      </w:r>
      <w:r>
        <w:rPr>
          <w:spacing w:val="67"/>
          <w:u w:val="none"/>
          <w:vertAlign w:val="baseline"/>
        </w:rPr>
        <w:t> </w:t>
      </w:r>
      <w:r>
        <w:rPr>
          <w:u w:val="none"/>
          <w:vertAlign w:val="baseline"/>
        </w:rPr>
        <w:t>from</w:t>
      </w:r>
      <w:r>
        <w:rPr>
          <w:spacing w:val="65"/>
          <w:u w:val="none"/>
          <w:vertAlign w:val="baseline"/>
        </w:rPr>
        <w:t> </w:t>
      </w:r>
      <w:r>
        <w:rPr>
          <w:u w:val="none"/>
          <w:vertAlign w:val="baseline"/>
        </w:rPr>
        <w:t>accessing</w:t>
      </w:r>
      <w:r>
        <w:rPr>
          <w:spacing w:val="65"/>
          <w:u w:val="none"/>
          <w:vertAlign w:val="baseline"/>
        </w:rPr>
        <w:t> </w:t>
      </w:r>
      <w:r>
        <w:rPr>
          <w:u w:val="none"/>
          <w:vertAlign w:val="baseline"/>
        </w:rPr>
        <w:t>sources</w:t>
      </w:r>
      <w:r>
        <w:rPr>
          <w:spacing w:val="68"/>
          <w:u w:val="none"/>
          <w:vertAlign w:val="baseline"/>
        </w:rPr>
        <w:t> </w:t>
      </w:r>
      <w:r>
        <w:rPr>
          <w:u w:val="none"/>
          <w:vertAlign w:val="baseline"/>
        </w:rPr>
        <w:t>of</w:t>
      </w:r>
      <w:r>
        <w:rPr>
          <w:spacing w:val="65"/>
          <w:u w:val="none"/>
          <w:vertAlign w:val="baseline"/>
        </w:rPr>
        <w:t> </w:t>
      </w:r>
      <w:r>
        <w:rPr>
          <w:u w:val="none"/>
          <w:vertAlign w:val="baseline"/>
        </w:rPr>
        <w:t>support</w:t>
      </w:r>
      <w:r>
        <w:rPr>
          <w:spacing w:val="66"/>
          <w:u w:val="none"/>
          <w:vertAlign w:val="baseline"/>
        </w:rPr>
        <w:t> </w:t>
      </w:r>
      <w:r>
        <w:rPr>
          <w:spacing w:val="-4"/>
          <w:u w:val="none"/>
          <w:vertAlign w:val="baseline"/>
        </w:rPr>
        <w:t>that</w:t>
      </w:r>
    </w:p>
    <w:p>
      <w:pPr>
        <w:pStyle w:val="BodyText"/>
        <w:spacing w:line="276" w:lineRule="auto"/>
        <w:ind w:left="463" w:right="264"/>
        <w:jc w:val="both"/>
      </w:pPr>
      <w:r>
        <w:rPr/>
        <w:t>might typically be utilized either in their ethnic community (e.g., family members) or in the LGBTQ community (e.g., support services and organizations) due to overt hostility or the perception of being </w:t>
      </w:r>
      <w:r>
        <w:rPr>
          <w:spacing w:val="-2"/>
        </w:rPr>
        <w:t>unwelcome.</w:t>
      </w:r>
      <w:hyperlink w:history="true" w:anchor="_bookmark538">
        <w:r>
          <w:rPr>
            <w:color w:val="1154CC"/>
            <w:spacing w:val="-2"/>
            <w:u w:val="single" w:color="1154CC"/>
            <w:vertAlign w:val="superscript"/>
          </w:rPr>
          <w:t>24</w:t>
        </w:r>
      </w:hyperlink>
    </w:p>
    <w:p>
      <w:pPr>
        <w:pStyle w:val="BodyText"/>
        <w:spacing w:line="276" w:lineRule="auto" w:before="240"/>
        <w:ind w:left="463" w:right="261"/>
        <w:jc w:val="both"/>
      </w:pPr>
      <w:r>
        <w:rPr/>
        <w:t>In the Trevor Project’s recent 2021 research brief “LGBTQ Youth from Immigrant Families,” researchers attempted to examine mental health at the intersection of these two identities;</w:t>
      </w:r>
      <w:hyperlink w:history="true" w:anchor="_bookmark538">
        <w:r>
          <w:rPr>
            <w:vertAlign w:val="superscript"/>
          </w:rPr>
          <w:t>25</w:t>
        </w:r>
      </w:hyperlink>
      <w:r>
        <w:rPr>
          <w:vertAlign w:val="baseline"/>
        </w:rPr>
        <w:t> it was found that first- generation</w:t>
      </w:r>
      <w:r>
        <w:rPr>
          <w:spacing w:val="-13"/>
          <w:vertAlign w:val="baseline"/>
        </w:rPr>
        <w:t> </w:t>
      </w:r>
      <w:r>
        <w:rPr>
          <w:vertAlign w:val="baseline"/>
        </w:rPr>
        <w:t>LGBTQ</w:t>
      </w:r>
      <w:r>
        <w:rPr>
          <w:spacing w:val="-12"/>
          <w:vertAlign w:val="baseline"/>
        </w:rPr>
        <w:t> </w:t>
      </w:r>
      <w:r>
        <w:rPr>
          <w:vertAlign w:val="baseline"/>
        </w:rPr>
        <w:t>youth</w:t>
      </w:r>
      <w:r>
        <w:rPr>
          <w:spacing w:val="-13"/>
          <w:vertAlign w:val="baseline"/>
        </w:rPr>
        <w:t> </w:t>
      </w:r>
      <w:r>
        <w:rPr>
          <w:vertAlign w:val="baseline"/>
        </w:rPr>
        <w:t>actually</w:t>
      </w:r>
      <w:r>
        <w:rPr>
          <w:spacing w:val="-12"/>
          <w:vertAlign w:val="baseline"/>
        </w:rPr>
        <w:t> </w:t>
      </w:r>
      <w:r>
        <w:rPr>
          <w:vertAlign w:val="baseline"/>
        </w:rPr>
        <w:t>reported</w:t>
      </w:r>
      <w:r>
        <w:rPr>
          <w:spacing w:val="-13"/>
          <w:vertAlign w:val="baseline"/>
        </w:rPr>
        <w:t> </w:t>
      </w:r>
      <w:r>
        <w:rPr>
          <w:vertAlign w:val="baseline"/>
        </w:rPr>
        <w:t>slightly</w:t>
      </w:r>
      <w:r>
        <w:rPr>
          <w:spacing w:val="-12"/>
          <w:vertAlign w:val="baseline"/>
        </w:rPr>
        <w:t> </w:t>
      </w:r>
      <w:r>
        <w:rPr>
          <w:vertAlign w:val="baseline"/>
        </w:rPr>
        <w:t>lower</w:t>
      </w:r>
      <w:r>
        <w:rPr>
          <w:spacing w:val="-13"/>
          <w:vertAlign w:val="baseline"/>
        </w:rPr>
        <w:t> </w:t>
      </w:r>
      <w:r>
        <w:rPr>
          <w:vertAlign w:val="baseline"/>
        </w:rPr>
        <w:t>rates</w:t>
      </w:r>
      <w:r>
        <w:rPr>
          <w:spacing w:val="-12"/>
          <w:vertAlign w:val="baseline"/>
        </w:rPr>
        <w:t> </w:t>
      </w:r>
      <w:r>
        <w:rPr>
          <w:vertAlign w:val="baseline"/>
        </w:rPr>
        <w:t>of</w:t>
      </w:r>
      <w:r>
        <w:rPr>
          <w:spacing w:val="-12"/>
          <w:vertAlign w:val="baseline"/>
        </w:rPr>
        <w:t> </w:t>
      </w:r>
      <w:r>
        <w:rPr>
          <w:vertAlign w:val="baseline"/>
        </w:rPr>
        <w:t>anxiety,</w:t>
      </w:r>
      <w:r>
        <w:rPr>
          <w:spacing w:val="-13"/>
          <w:vertAlign w:val="baseline"/>
        </w:rPr>
        <w:t> </w:t>
      </w:r>
      <w:r>
        <w:rPr>
          <w:vertAlign w:val="baseline"/>
        </w:rPr>
        <w:t>depression,</w:t>
      </w:r>
      <w:r>
        <w:rPr>
          <w:spacing w:val="-12"/>
          <w:vertAlign w:val="baseline"/>
        </w:rPr>
        <w:t> </w:t>
      </w:r>
      <w:r>
        <w:rPr>
          <w:vertAlign w:val="baseline"/>
        </w:rPr>
        <w:t>and</w:t>
      </w:r>
      <w:r>
        <w:rPr>
          <w:spacing w:val="-13"/>
          <w:vertAlign w:val="baseline"/>
        </w:rPr>
        <w:t> </w:t>
      </w:r>
      <w:r>
        <w:rPr>
          <w:vertAlign w:val="baseline"/>
        </w:rPr>
        <w:t>suicidal</w:t>
      </w:r>
      <w:r>
        <w:rPr>
          <w:spacing w:val="-12"/>
          <w:vertAlign w:val="baseline"/>
        </w:rPr>
        <w:t> </w:t>
      </w:r>
      <w:r>
        <w:rPr>
          <w:vertAlign w:val="baseline"/>
        </w:rPr>
        <w:t>ideation compared to LGBTQ youth whose parents were born in the U.S. However, researchers discovered that suicide</w:t>
      </w:r>
      <w:r>
        <w:rPr>
          <w:spacing w:val="-8"/>
          <w:vertAlign w:val="baseline"/>
        </w:rPr>
        <w:t> </w:t>
      </w:r>
      <w:r>
        <w:rPr>
          <w:vertAlign w:val="baseline"/>
        </w:rPr>
        <w:t>risk</w:t>
      </w:r>
      <w:r>
        <w:rPr>
          <w:spacing w:val="-9"/>
          <w:vertAlign w:val="baseline"/>
        </w:rPr>
        <w:t> </w:t>
      </w:r>
      <w:r>
        <w:rPr>
          <w:vertAlign w:val="baseline"/>
        </w:rPr>
        <w:t>among</w:t>
      </w:r>
      <w:r>
        <w:rPr>
          <w:spacing w:val="-9"/>
          <w:vertAlign w:val="baseline"/>
        </w:rPr>
        <w:t> </w:t>
      </w:r>
      <w:r>
        <w:rPr>
          <w:vertAlign w:val="baseline"/>
        </w:rPr>
        <w:t>first-generation</w:t>
      </w:r>
      <w:r>
        <w:rPr>
          <w:spacing w:val="-9"/>
          <w:vertAlign w:val="baseline"/>
        </w:rPr>
        <w:t> </w:t>
      </w:r>
      <w:r>
        <w:rPr>
          <w:vertAlign w:val="baseline"/>
        </w:rPr>
        <w:t>LGBTQ</w:t>
      </w:r>
      <w:r>
        <w:rPr>
          <w:spacing w:val="-9"/>
          <w:vertAlign w:val="baseline"/>
        </w:rPr>
        <w:t> </w:t>
      </w:r>
      <w:r>
        <w:rPr>
          <w:vertAlign w:val="baseline"/>
        </w:rPr>
        <w:t>youth</w:t>
      </w:r>
      <w:r>
        <w:rPr>
          <w:spacing w:val="-9"/>
          <w:vertAlign w:val="baseline"/>
        </w:rPr>
        <w:t> </w:t>
      </w:r>
      <w:r>
        <w:rPr>
          <w:vertAlign w:val="baseline"/>
        </w:rPr>
        <w:t>was</w:t>
      </w:r>
      <w:r>
        <w:rPr>
          <w:spacing w:val="-7"/>
          <w:vertAlign w:val="baseline"/>
        </w:rPr>
        <w:t> </w:t>
      </w:r>
      <w:r>
        <w:rPr>
          <w:vertAlign w:val="baseline"/>
        </w:rPr>
        <w:t>more</w:t>
      </w:r>
      <w:r>
        <w:rPr>
          <w:spacing w:val="-9"/>
          <w:vertAlign w:val="baseline"/>
        </w:rPr>
        <w:t> </w:t>
      </w:r>
      <w:r>
        <w:rPr>
          <w:vertAlign w:val="baseline"/>
        </w:rPr>
        <w:t>associated</w:t>
      </w:r>
      <w:r>
        <w:rPr>
          <w:spacing w:val="-9"/>
          <w:vertAlign w:val="baseline"/>
        </w:rPr>
        <w:t> </w:t>
      </w:r>
      <w:r>
        <w:rPr>
          <w:vertAlign w:val="baseline"/>
        </w:rPr>
        <w:t>with</w:t>
      </w:r>
      <w:r>
        <w:rPr>
          <w:spacing w:val="-8"/>
          <w:vertAlign w:val="baseline"/>
        </w:rPr>
        <w:t> </w:t>
      </w:r>
      <w:r>
        <w:rPr>
          <w:vertAlign w:val="baseline"/>
        </w:rPr>
        <w:t>worrying</w:t>
      </w:r>
      <w:r>
        <w:rPr>
          <w:spacing w:val="-9"/>
          <w:vertAlign w:val="baseline"/>
        </w:rPr>
        <w:t> </w:t>
      </w:r>
      <w:r>
        <w:rPr>
          <w:vertAlign w:val="baseline"/>
        </w:rPr>
        <w:t>about</w:t>
      </w:r>
      <w:r>
        <w:rPr>
          <w:spacing w:val="-9"/>
          <w:vertAlign w:val="baseline"/>
        </w:rPr>
        <w:t> </w:t>
      </w:r>
      <w:r>
        <w:rPr>
          <w:vertAlign w:val="baseline"/>
        </w:rPr>
        <w:t>themselves</w:t>
      </w:r>
      <w:r>
        <w:rPr>
          <w:spacing w:val="-8"/>
          <w:vertAlign w:val="baseline"/>
        </w:rPr>
        <w:t> </w:t>
      </w:r>
      <w:r>
        <w:rPr>
          <w:vertAlign w:val="baseline"/>
        </w:rPr>
        <w:t>or a family member being deported due to immigration policies. Roughly 30% of first-generation LGBTQ youth worried “sometimes” or “a lot” about immigration-related detainment or detention compared to 5%</w:t>
      </w:r>
      <w:r>
        <w:rPr>
          <w:spacing w:val="-2"/>
          <w:vertAlign w:val="baseline"/>
        </w:rPr>
        <w:t> </w:t>
      </w:r>
      <w:r>
        <w:rPr>
          <w:vertAlign w:val="baseline"/>
        </w:rPr>
        <w:t>of</w:t>
      </w:r>
      <w:r>
        <w:rPr>
          <w:spacing w:val="-2"/>
          <w:vertAlign w:val="baseline"/>
        </w:rPr>
        <w:t> </w:t>
      </w:r>
      <w:r>
        <w:rPr>
          <w:vertAlign w:val="baseline"/>
        </w:rPr>
        <w:t>LGBTQ youth</w:t>
      </w:r>
      <w:r>
        <w:rPr>
          <w:spacing w:val="-1"/>
          <w:vertAlign w:val="baseline"/>
        </w:rPr>
        <w:t> </w:t>
      </w:r>
      <w:r>
        <w:rPr>
          <w:vertAlign w:val="baseline"/>
        </w:rPr>
        <w:t>whose</w:t>
      </w:r>
      <w:r>
        <w:rPr>
          <w:spacing w:val="-1"/>
          <w:vertAlign w:val="baseline"/>
        </w:rPr>
        <w:t> </w:t>
      </w:r>
      <w:r>
        <w:rPr>
          <w:vertAlign w:val="baseline"/>
        </w:rPr>
        <w:t>parents were</w:t>
      </w:r>
      <w:r>
        <w:rPr>
          <w:spacing w:val="-1"/>
          <w:vertAlign w:val="baseline"/>
        </w:rPr>
        <w:t> </w:t>
      </w:r>
      <w:r>
        <w:rPr>
          <w:vertAlign w:val="baseline"/>
        </w:rPr>
        <w:t>born</w:t>
      </w:r>
      <w:r>
        <w:rPr>
          <w:spacing w:val="-1"/>
          <w:vertAlign w:val="baseline"/>
        </w:rPr>
        <w:t> </w:t>
      </w:r>
      <w:r>
        <w:rPr>
          <w:vertAlign w:val="baseline"/>
        </w:rPr>
        <w:t>in</w:t>
      </w:r>
      <w:r>
        <w:rPr>
          <w:spacing w:val="-1"/>
          <w:vertAlign w:val="baseline"/>
        </w:rPr>
        <w:t> </w:t>
      </w:r>
      <w:r>
        <w:rPr>
          <w:vertAlign w:val="baseline"/>
        </w:rPr>
        <w:t>the U.S.</w:t>
      </w:r>
      <w:r>
        <w:rPr>
          <w:spacing w:val="-1"/>
          <w:vertAlign w:val="baseline"/>
        </w:rPr>
        <w:t> </w:t>
      </w:r>
      <w:r>
        <w:rPr>
          <w:vertAlign w:val="baseline"/>
        </w:rPr>
        <w:t>Immigration</w:t>
      </w:r>
      <w:r>
        <w:rPr>
          <w:spacing w:val="-2"/>
          <w:vertAlign w:val="baseline"/>
        </w:rPr>
        <w:t> </w:t>
      </w:r>
      <w:r>
        <w:rPr>
          <w:vertAlign w:val="baseline"/>
        </w:rPr>
        <w:t>fears</w:t>
      </w:r>
      <w:r>
        <w:rPr>
          <w:spacing w:val="-1"/>
          <w:vertAlign w:val="baseline"/>
        </w:rPr>
        <w:t> </w:t>
      </w:r>
      <w:r>
        <w:rPr>
          <w:vertAlign w:val="baseline"/>
        </w:rPr>
        <w:t>were</w:t>
      </w:r>
      <w:r>
        <w:rPr>
          <w:spacing w:val="-2"/>
          <w:vertAlign w:val="baseline"/>
        </w:rPr>
        <w:t> </w:t>
      </w:r>
      <w:r>
        <w:rPr>
          <w:vertAlign w:val="baseline"/>
        </w:rPr>
        <w:t>reported</w:t>
      </w:r>
      <w:r>
        <w:rPr>
          <w:spacing w:val="-1"/>
          <w:vertAlign w:val="baseline"/>
        </w:rPr>
        <w:t> </w:t>
      </w:r>
      <w:r>
        <w:rPr>
          <w:vertAlign w:val="baseline"/>
        </w:rPr>
        <w:t>most</w:t>
      </w:r>
      <w:r>
        <w:rPr>
          <w:spacing w:val="-2"/>
          <w:vertAlign w:val="baseline"/>
        </w:rPr>
        <w:t> </w:t>
      </w:r>
      <w:r>
        <w:rPr>
          <w:vertAlign w:val="baseline"/>
        </w:rPr>
        <w:t>often</w:t>
      </w:r>
      <w:r>
        <w:rPr>
          <w:spacing w:val="-1"/>
          <w:vertAlign w:val="baseline"/>
        </w:rPr>
        <w:t> </w:t>
      </w:r>
      <w:r>
        <w:rPr>
          <w:vertAlign w:val="baseline"/>
        </w:rPr>
        <w:t>by first-generation Latinx LGBTQ youth, followed by first-generation LGBTQ youth who are more than one </w:t>
      </w:r>
      <w:r>
        <w:rPr>
          <w:spacing w:val="-2"/>
          <w:vertAlign w:val="baseline"/>
        </w:rPr>
        <w:t>race/ethnicity.</w:t>
      </w:r>
    </w:p>
    <w:p>
      <w:pPr>
        <w:pStyle w:val="BodyText"/>
        <w:spacing w:line="276" w:lineRule="auto" w:before="239"/>
        <w:ind w:left="463" w:right="263"/>
        <w:jc w:val="both"/>
      </w:pPr>
      <w:r>
        <w:rPr/>
        <w:t>Overall,</w:t>
      </w:r>
      <w:r>
        <w:rPr>
          <w:spacing w:val="-7"/>
        </w:rPr>
        <w:t> </w:t>
      </w:r>
      <w:r>
        <w:rPr/>
        <w:t>first-generation</w:t>
      </w:r>
      <w:r>
        <w:rPr>
          <w:spacing w:val="-7"/>
        </w:rPr>
        <w:t> </w:t>
      </w:r>
      <w:r>
        <w:rPr/>
        <w:t>LGBTQ</w:t>
      </w:r>
      <w:r>
        <w:rPr>
          <w:spacing w:val="-7"/>
        </w:rPr>
        <w:t> </w:t>
      </w:r>
      <w:r>
        <w:rPr/>
        <w:t>youth</w:t>
      </w:r>
      <w:r>
        <w:rPr>
          <w:spacing w:val="-7"/>
        </w:rPr>
        <w:t> </w:t>
      </w:r>
      <w:r>
        <w:rPr/>
        <w:t>who</w:t>
      </w:r>
      <w:r>
        <w:rPr>
          <w:spacing w:val="-7"/>
        </w:rPr>
        <w:t> </w:t>
      </w:r>
      <w:r>
        <w:rPr/>
        <w:t>reported</w:t>
      </w:r>
      <w:r>
        <w:rPr>
          <w:spacing w:val="-8"/>
        </w:rPr>
        <w:t> </w:t>
      </w:r>
      <w:r>
        <w:rPr/>
        <w:t>being</w:t>
      </w:r>
      <w:r>
        <w:rPr>
          <w:spacing w:val="-7"/>
        </w:rPr>
        <w:t> </w:t>
      </w:r>
      <w:r>
        <w:rPr/>
        <w:t>worried</w:t>
      </w:r>
      <w:r>
        <w:rPr>
          <w:spacing w:val="-8"/>
        </w:rPr>
        <w:t> </w:t>
      </w:r>
      <w:r>
        <w:rPr/>
        <w:t>about</w:t>
      </w:r>
      <w:r>
        <w:rPr>
          <w:spacing w:val="-7"/>
        </w:rPr>
        <w:t> </w:t>
      </w:r>
      <w:r>
        <w:rPr/>
        <w:t>themselves</w:t>
      </w:r>
      <w:r>
        <w:rPr>
          <w:spacing w:val="-7"/>
        </w:rPr>
        <w:t> </w:t>
      </w:r>
      <w:r>
        <w:rPr/>
        <w:t>or</w:t>
      </w:r>
      <w:r>
        <w:rPr>
          <w:spacing w:val="-7"/>
        </w:rPr>
        <w:t> </w:t>
      </w:r>
      <w:r>
        <w:rPr/>
        <w:t>a</w:t>
      </w:r>
      <w:r>
        <w:rPr>
          <w:spacing w:val="-6"/>
        </w:rPr>
        <w:t> </w:t>
      </w:r>
      <w:r>
        <w:rPr/>
        <w:t>family</w:t>
      </w:r>
      <w:r>
        <w:rPr>
          <w:spacing w:val="-6"/>
        </w:rPr>
        <w:t> </w:t>
      </w:r>
      <w:r>
        <w:rPr/>
        <w:t>member being deported had 63% greater odds of reporting a suicide attempt in the past year. Additionally, discrimination based on actual or perceived immigration status was reported by nearly 1 in 10 of first-</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2"/>
        <w:jc w:val="both"/>
      </w:pPr>
      <w:r>
        <w:rPr/>
        <w:t>generation LGBTQ youth compared to 2% of LGBTQ youth whose parents were born in the U.S. First- generation</w:t>
      </w:r>
      <w:r>
        <w:rPr>
          <w:spacing w:val="-3"/>
        </w:rPr>
        <w:t> </w:t>
      </w:r>
      <w:r>
        <w:rPr/>
        <w:t>LGBTQ</w:t>
      </w:r>
      <w:r>
        <w:rPr>
          <w:spacing w:val="-3"/>
        </w:rPr>
        <w:t> </w:t>
      </w:r>
      <w:r>
        <w:rPr/>
        <w:t>youth</w:t>
      </w:r>
      <w:r>
        <w:rPr>
          <w:spacing w:val="-2"/>
        </w:rPr>
        <w:t> </w:t>
      </w:r>
      <w:r>
        <w:rPr/>
        <w:t>who</w:t>
      </w:r>
      <w:r>
        <w:rPr>
          <w:spacing w:val="-2"/>
        </w:rPr>
        <w:t> </w:t>
      </w:r>
      <w:r>
        <w:rPr/>
        <w:t>faced</w:t>
      </w:r>
      <w:r>
        <w:rPr>
          <w:spacing w:val="-3"/>
        </w:rPr>
        <w:t> </w:t>
      </w:r>
      <w:r>
        <w:rPr/>
        <w:t>discrimination</w:t>
      </w:r>
      <w:r>
        <w:rPr>
          <w:spacing w:val="-2"/>
        </w:rPr>
        <w:t> </w:t>
      </w:r>
      <w:r>
        <w:rPr/>
        <w:t>based</w:t>
      </w:r>
      <w:r>
        <w:rPr>
          <w:spacing w:val="-3"/>
        </w:rPr>
        <w:t> </w:t>
      </w:r>
      <w:r>
        <w:rPr/>
        <w:t>on</w:t>
      </w:r>
      <w:r>
        <w:rPr>
          <w:spacing w:val="-3"/>
        </w:rPr>
        <w:t> </w:t>
      </w:r>
      <w:r>
        <w:rPr/>
        <w:t>their</w:t>
      </w:r>
      <w:r>
        <w:rPr>
          <w:spacing w:val="-3"/>
        </w:rPr>
        <w:t> </w:t>
      </w:r>
      <w:r>
        <w:rPr/>
        <w:t>actual</w:t>
      </w:r>
      <w:r>
        <w:rPr>
          <w:spacing w:val="-3"/>
        </w:rPr>
        <w:t> </w:t>
      </w:r>
      <w:r>
        <w:rPr/>
        <w:t>or</w:t>
      </w:r>
      <w:r>
        <w:rPr>
          <w:spacing w:val="-3"/>
        </w:rPr>
        <w:t> </w:t>
      </w:r>
      <w:r>
        <w:rPr/>
        <w:t>perceived</w:t>
      </w:r>
      <w:r>
        <w:rPr>
          <w:spacing w:val="-3"/>
        </w:rPr>
        <w:t> </w:t>
      </w:r>
      <w:r>
        <w:rPr/>
        <w:t>immigration</w:t>
      </w:r>
      <w:r>
        <w:rPr>
          <w:spacing w:val="-3"/>
        </w:rPr>
        <w:t> </w:t>
      </w:r>
      <w:r>
        <w:rPr/>
        <w:t>status had more than 2.5 times greater odds of attempting suicide compared to first-generation LGBTQ youth who did not.</w:t>
      </w:r>
    </w:p>
    <w:p>
      <w:pPr>
        <w:pStyle w:val="BodyText"/>
        <w:spacing w:line="276" w:lineRule="auto" w:before="240"/>
        <w:ind w:left="463" w:right="264"/>
        <w:jc w:val="both"/>
      </w:pPr>
      <w:r>
        <w:rPr/>
        <w:t>The</w:t>
      </w:r>
      <w:r>
        <w:rPr>
          <w:spacing w:val="-3"/>
        </w:rPr>
        <w:t> </w:t>
      </w:r>
      <w:r>
        <w:rPr/>
        <w:t>Trevor</w:t>
      </w:r>
      <w:r>
        <w:rPr>
          <w:spacing w:val="-3"/>
        </w:rPr>
        <w:t> </w:t>
      </w:r>
      <w:r>
        <w:rPr/>
        <w:t>Project</w:t>
      </w:r>
      <w:r>
        <w:rPr>
          <w:spacing w:val="-3"/>
        </w:rPr>
        <w:t> </w:t>
      </w:r>
      <w:r>
        <w:rPr/>
        <w:t>study</w:t>
      </w:r>
      <w:r>
        <w:rPr>
          <w:spacing w:val="-3"/>
        </w:rPr>
        <w:t> </w:t>
      </w:r>
      <w:r>
        <w:rPr/>
        <w:t>demonstrates</w:t>
      </w:r>
      <w:r>
        <w:rPr>
          <w:spacing w:val="-1"/>
        </w:rPr>
        <w:t> </w:t>
      </w:r>
      <w:r>
        <w:rPr/>
        <w:t>the</w:t>
      </w:r>
      <w:r>
        <w:rPr>
          <w:spacing w:val="-3"/>
        </w:rPr>
        <w:t> </w:t>
      </w:r>
      <w:r>
        <w:rPr/>
        <w:t>impact</w:t>
      </w:r>
      <w:r>
        <w:rPr>
          <w:spacing w:val="-3"/>
        </w:rPr>
        <w:t> </w:t>
      </w:r>
      <w:r>
        <w:rPr/>
        <w:t>that</w:t>
      </w:r>
      <w:r>
        <w:rPr>
          <w:spacing w:val="-3"/>
        </w:rPr>
        <w:t> </w:t>
      </w:r>
      <w:r>
        <w:rPr/>
        <w:t>a</w:t>
      </w:r>
      <w:r>
        <w:rPr>
          <w:spacing w:val="-3"/>
        </w:rPr>
        <w:t> </w:t>
      </w:r>
      <w:r>
        <w:rPr/>
        <w:t>young</w:t>
      </w:r>
      <w:r>
        <w:rPr>
          <w:spacing w:val="-3"/>
        </w:rPr>
        <w:t> </w:t>
      </w:r>
      <w:r>
        <w:rPr/>
        <w:t>person’s</w:t>
      </w:r>
      <w:r>
        <w:rPr>
          <w:spacing w:val="-2"/>
        </w:rPr>
        <w:t> </w:t>
      </w:r>
      <w:r>
        <w:rPr/>
        <w:t>immigration</w:t>
      </w:r>
      <w:r>
        <w:rPr>
          <w:spacing w:val="-3"/>
        </w:rPr>
        <w:t> </w:t>
      </w:r>
      <w:r>
        <w:rPr/>
        <w:t>status</w:t>
      </w:r>
      <w:r>
        <w:rPr>
          <w:spacing w:val="-2"/>
        </w:rPr>
        <w:t> </w:t>
      </w:r>
      <w:r>
        <w:rPr/>
        <w:t>can</w:t>
      </w:r>
      <w:r>
        <w:rPr>
          <w:spacing w:val="-3"/>
        </w:rPr>
        <w:t> </w:t>
      </w:r>
      <w:r>
        <w:rPr/>
        <w:t>have</w:t>
      </w:r>
      <w:r>
        <w:rPr>
          <w:spacing w:val="-3"/>
        </w:rPr>
        <w:t> </w:t>
      </w:r>
      <w:r>
        <w:rPr/>
        <w:t>on their mental health, or the immigration status of close family members. As previous research demonstrates, feeling unsure about access to education, health care, and the</w:t>
      </w:r>
    </w:p>
    <w:p>
      <w:pPr>
        <w:pStyle w:val="BodyText"/>
        <w:spacing w:line="278" w:lineRule="auto" w:before="240"/>
        <w:ind w:left="463" w:right="260"/>
        <w:jc w:val="both"/>
      </w:pPr>
      <w:r>
        <w:rPr/>
        <w:t>possibility of deportation can cause a great deal of stress and anxiety that can affect a young person’s sense of belonging and well-being.</w:t>
      </w:r>
      <w:hyperlink w:history="true" w:anchor="_bookmark538">
        <w:r>
          <w:rPr>
            <w:vertAlign w:val="superscript"/>
          </w:rPr>
          <w:t>26</w:t>
        </w:r>
      </w:hyperlink>
      <w:r>
        <w:rPr>
          <w:vertAlign w:val="baseline"/>
        </w:rPr>
        <w:t> This also leads LGBTQ youth to avoid interaction with police and potentially with immigration officials like I.C.E. by avoiding activities such as seeking mental health, or even</w:t>
      </w:r>
      <w:r>
        <w:rPr>
          <w:spacing w:val="-10"/>
          <w:vertAlign w:val="baseline"/>
        </w:rPr>
        <w:t> </w:t>
      </w:r>
      <w:r>
        <w:rPr>
          <w:vertAlign w:val="baseline"/>
        </w:rPr>
        <w:t>reporting</w:t>
      </w:r>
      <w:r>
        <w:rPr>
          <w:spacing w:val="-10"/>
          <w:vertAlign w:val="baseline"/>
        </w:rPr>
        <w:t> </w:t>
      </w:r>
      <w:r>
        <w:rPr>
          <w:vertAlign w:val="baseline"/>
        </w:rPr>
        <w:t>discrimination</w:t>
      </w:r>
      <w:r>
        <w:rPr>
          <w:spacing w:val="-10"/>
          <w:vertAlign w:val="baseline"/>
        </w:rPr>
        <w:t> </w:t>
      </w:r>
      <w:r>
        <w:rPr>
          <w:vertAlign w:val="baseline"/>
        </w:rPr>
        <w:t>or</w:t>
      </w:r>
      <w:r>
        <w:rPr>
          <w:spacing w:val="-10"/>
          <w:vertAlign w:val="baseline"/>
        </w:rPr>
        <w:t> </w:t>
      </w:r>
      <w:r>
        <w:rPr>
          <w:vertAlign w:val="baseline"/>
        </w:rPr>
        <w:t>violence,</w:t>
      </w:r>
      <w:r>
        <w:rPr>
          <w:spacing w:val="-10"/>
          <w:vertAlign w:val="baseline"/>
        </w:rPr>
        <w:t> </w:t>
      </w:r>
      <w:r>
        <w:rPr>
          <w:vertAlign w:val="baseline"/>
        </w:rPr>
        <w:t>as</w:t>
      </w:r>
      <w:r>
        <w:rPr>
          <w:spacing w:val="-10"/>
          <w:vertAlign w:val="baseline"/>
        </w:rPr>
        <w:t> </w:t>
      </w:r>
      <w:r>
        <w:rPr>
          <w:vertAlign w:val="baseline"/>
        </w:rPr>
        <w:t>they</w:t>
      </w:r>
      <w:r>
        <w:rPr>
          <w:spacing w:val="-9"/>
          <w:vertAlign w:val="baseline"/>
        </w:rPr>
        <w:t> </w:t>
      </w:r>
      <w:r>
        <w:rPr>
          <w:vertAlign w:val="baseline"/>
        </w:rPr>
        <w:t>may</w:t>
      </w:r>
      <w:r>
        <w:rPr>
          <w:spacing w:val="-10"/>
          <w:vertAlign w:val="baseline"/>
        </w:rPr>
        <w:t> </w:t>
      </w:r>
      <w:r>
        <w:rPr>
          <w:vertAlign w:val="baseline"/>
        </w:rPr>
        <w:t>potentially</w:t>
      </w:r>
      <w:r>
        <w:rPr>
          <w:spacing w:val="-9"/>
          <w:vertAlign w:val="baseline"/>
        </w:rPr>
        <w:t> </w:t>
      </w:r>
      <w:r>
        <w:rPr>
          <w:vertAlign w:val="baseline"/>
        </w:rPr>
        <w:t>have</w:t>
      </w:r>
      <w:r>
        <w:rPr>
          <w:spacing w:val="-10"/>
          <w:vertAlign w:val="baseline"/>
        </w:rPr>
        <w:t> </w:t>
      </w:r>
      <w:r>
        <w:rPr>
          <w:vertAlign w:val="baseline"/>
        </w:rPr>
        <w:t>to</w:t>
      </w:r>
      <w:r>
        <w:rPr>
          <w:spacing w:val="-10"/>
          <w:vertAlign w:val="baseline"/>
        </w:rPr>
        <w:t> </w:t>
      </w:r>
      <w:r>
        <w:rPr>
          <w:vertAlign w:val="baseline"/>
        </w:rPr>
        <w:t>reveal</w:t>
      </w:r>
      <w:r>
        <w:rPr>
          <w:spacing w:val="-10"/>
          <w:vertAlign w:val="baseline"/>
        </w:rPr>
        <w:t> </w:t>
      </w:r>
      <w:r>
        <w:rPr>
          <w:vertAlign w:val="baseline"/>
        </w:rPr>
        <w:t>their</w:t>
      </w:r>
      <w:r>
        <w:rPr>
          <w:spacing w:val="-10"/>
          <w:vertAlign w:val="baseline"/>
        </w:rPr>
        <w:t> </w:t>
      </w:r>
      <w:r>
        <w:rPr>
          <w:vertAlign w:val="baseline"/>
        </w:rPr>
        <w:t>immigration</w:t>
      </w:r>
      <w:r>
        <w:rPr>
          <w:spacing w:val="-10"/>
          <w:vertAlign w:val="baseline"/>
        </w:rPr>
        <w:t> </w:t>
      </w:r>
      <w:r>
        <w:rPr>
          <w:vertAlign w:val="baseline"/>
        </w:rPr>
        <w:t>status. This constant self-monitoring and reluctance to seek mental health care to stay under the radar from police</w:t>
      </w:r>
      <w:r>
        <w:rPr>
          <w:spacing w:val="-13"/>
          <w:vertAlign w:val="baseline"/>
        </w:rPr>
        <w:t> </w:t>
      </w:r>
      <w:r>
        <w:rPr>
          <w:vertAlign w:val="baseline"/>
        </w:rPr>
        <w:t>and</w:t>
      </w:r>
      <w:r>
        <w:rPr>
          <w:spacing w:val="-12"/>
          <w:vertAlign w:val="baseline"/>
        </w:rPr>
        <w:t> </w:t>
      </w:r>
      <w:r>
        <w:rPr>
          <w:vertAlign w:val="baseline"/>
        </w:rPr>
        <w:t>immigration</w:t>
      </w:r>
      <w:r>
        <w:rPr>
          <w:spacing w:val="-13"/>
          <w:vertAlign w:val="baseline"/>
        </w:rPr>
        <w:t> </w:t>
      </w:r>
      <w:r>
        <w:rPr>
          <w:vertAlign w:val="baseline"/>
        </w:rPr>
        <w:t>officials,</w:t>
      </w:r>
      <w:r>
        <w:rPr>
          <w:spacing w:val="-11"/>
          <w:vertAlign w:val="baseline"/>
        </w:rPr>
        <w:t> </w:t>
      </w:r>
      <w:r>
        <w:rPr>
          <w:vertAlign w:val="baseline"/>
        </w:rPr>
        <w:t>can</w:t>
      </w:r>
      <w:r>
        <w:rPr>
          <w:spacing w:val="-13"/>
          <w:vertAlign w:val="baseline"/>
        </w:rPr>
        <w:t> </w:t>
      </w:r>
      <w:r>
        <w:rPr>
          <w:vertAlign w:val="baseline"/>
        </w:rPr>
        <w:t>increase</w:t>
      </w:r>
      <w:r>
        <w:rPr>
          <w:spacing w:val="-12"/>
          <w:vertAlign w:val="baseline"/>
        </w:rPr>
        <w:t> </w:t>
      </w:r>
      <w:r>
        <w:rPr>
          <w:vertAlign w:val="baseline"/>
        </w:rPr>
        <w:t>stress</w:t>
      </w:r>
      <w:r>
        <w:rPr>
          <w:spacing w:val="-12"/>
          <w:vertAlign w:val="baseline"/>
        </w:rPr>
        <w:t> </w:t>
      </w:r>
      <w:r>
        <w:rPr>
          <w:vertAlign w:val="baseline"/>
        </w:rPr>
        <w:t>and</w:t>
      </w:r>
      <w:r>
        <w:rPr>
          <w:spacing w:val="-13"/>
          <w:vertAlign w:val="baseline"/>
        </w:rPr>
        <w:t> </w:t>
      </w:r>
      <w:r>
        <w:rPr>
          <w:vertAlign w:val="baseline"/>
        </w:rPr>
        <w:t>anxiety,</w:t>
      </w:r>
      <w:r>
        <w:rPr>
          <w:spacing w:val="-11"/>
          <w:vertAlign w:val="baseline"/>
        </w:rPr>
        <w:t> </w:t>
      </w:r>
      <w:r>
        <w:rPr>
          <w:vertAlign w:val="baseline"/>
        </w:rPr>
        <w:t>and</w:t>
      </w:r>
      <w:r>
        <w:rPr>
          <w:spacing w:val="-13"/>
          <w:vertAlign w:val="baseline"/>
        </w:rPr>
        <w:t> </w:t>
      </w:r>
      <w:r>
        <w:rPr>
          <w:vertAlign w:val="baseline"/>
        </w:rPr>
        <w:t>act</w:t>
      </w:r>
      <w:r>
        <w:rPr>
          <w:spacing w:val="-12"/>
          <w:vertAlign w:val="baseline"/>
        </w:rPr>
        <w:t> </w:t>
      </w:r>
      <w:r>
        <w:rPr>
          <w:vertAlign w:val="baseline"/>
        </w:rPr>
        <w:t>as</w:t>
      </w:r>
      <w:r>
        <w:rPr>
          <w:spacing w:val="-12"/>
          <w:vertAlign w:val="baseline"/>
        </w:rPr>
        <w:t> </w:t>
      </w:r>
      <w:r>
        <w:rPr>
          <w:vertAlign w:val="baseline"/>
        </w:rPr>
        <w:t>a</w:t>
      </w:r>
      <w:r>
        <w:rPr>
          <w:spacing w:val="-12"/>
          <w:vertAlign w:val="baseline"/>
        </w:rPr>
        <w:t> </w:t>
      </w:r>
      <w:r>
        <w:rPr>
          <w:vertAlign w:val="baseline"/>
        </w:rPr>
        <w:t>barrier</w:t>
      </w:r>
      <w:r>
        <w:rPr>
          <w:spacing w:val="-12"/>
          <w:vertAlign w:val="baseline"/>
        </w:rPr>
        <w:t> </w:t>
      </w:r>
      <w:r>
        <w:rPr>
          <w:vertAlign w:val="baseline"/>
        </w:rPr>
        <w:t>to</w:t>
      </w:r>
      <w:r>
        <w:rPr>
          <w:spacing w:val="-11"/>
          <w:vertAlign w:val="baseline"/>
        </w:rPr>
        <w:t> </w:t>
      </w:r>
      <w:r>
        <w:rPr>
          <w:vertAlign w:val="baseline"/>
        </w:rPr>
        <w:t>mental</w:t>
      </w:r>
      <w:r>
        <w:rPr>
          <w:spacing w:val="-13"/>
          <w:vertAlign w:val="baseline"/>
        </w:rPr>
        <w:t> </w:t>
      </w:r>
      <w:r>
        <w:rPr>
          <w:vertAlign w:val="baseline"/>
        </w:rPr>
        <w:t>health</w:t>
      </w:r>
      <w:r>
        <w:rPr>
          <w:spacing w:val="-11"/>
          <w:vertAlign w:val="baseline"/>
        </w:rPr>
        <w:t> </w:t>
      </w:r>
      <w:r>
        <w:rPr>
          <w:vertAlign w:val="baseline"/>
        </w:rPr>
        <w:t>care. As discussed in the New England-based MIRA Coalition’s 2021 Annual Report, some foreign-born individuals hesitate to reach out even to local nonprofit organizations for resources, for fear of being </w:t>
      </w:r>
      <w:r>
        <w:rPr>
          <w:spacing w:val="-2"/>
          <w:vertAlign w:val="baseline"/>
        </w:rPr>
        <w:t>turned</w:t>
      </w:r>
      <w:r>
        <w:rPr>
          <w:spacing w:val="-3"/>
          <w:vertAlign w:val="baseline"/>
        </w:rPr>
        <w:t> </w:t>
      </w:r>
      <w:r>
        <w:rPr>
          <w:spacing w:val="-2"/>
          <w:vertAlign w:val="baseline"/>
        </w:rPr>
        <w:t>over</w:t>
      </w:r>
      <w:r>
        <w:rPr>
          <w:spacing w:val="-4"/>
          <w:vertAlign w:val="baseline"/>
        </w:rPr>
        <w:t> </w:t>
      </w:r>
      <w:r>
        <w:rPr>
          <w:spacing w:val="-2"/>
          <w:vertAlign w:val="baseline"/>
        </w:rPr>
        <w:t>to</w:t>
      </w:r>
      <w:r>
        <w:rPr>
          <w:spacing w:val="-4"/>
          <w:vertAlign w:val="baseline"/>
        </w:rPr>
        <w:t> </w:t>
      </w:r>
      <w:r>
        <w:rPr>
          <w:spacing w:val="-2"/>
          <w:vertAlign w:val="baseline"/>
        </w:rPr>
        <w:t>ICE,</w:t>
      </w:r>
      <w:r>
        <w:rPr>
          <w:spacing w:val="-4"/>
          <w:vertAlign w:val="baseline"/>
        </w:rPr>
        <w:t> </w:t>
      </w:r>
      <w:r>
        <w:rPr>
          <w:spacing w:val="-2"/>
          <w:vertAlign w:val="baseline"/>
        </w:rPr>
        <w:t>highlighting</w:t>
      </w:r>
      <w:r>
        <w:rPr>
          <w:spacing w:val="-3"/>
          <w:vertAlign w:val="baseline"/>
        </w:rPr>
        <w:t> </w:t>
      </w:r>
      <w:r>
        <w:rPr>
          <w:spacing w:val="-2"/>
          <w:vertAlign w:val="baseline"/>
        </w:rPr>
        <w:t>the</w:t>
      </w:r>
      <w:r>
        <w:rPr>
          <w:spacing w:val="-4"/>
          <w:vertAlign w:val="baseline"/>
        </w:rPr>
        <w:t> </w:t>
      </w:r>
      <w:r>
        <w:rPr>
          <w:spacing w:val="-2"/>
          <w:vertAlign w:val="baseline"/>
        </w:rPr>
        <w:t>critical</w:t>
      </w:r>
      <w:r>
        <w:rPr>
          <w:spacing w:val="-4"/>
          <w:vertAlign w:val="baseline"/>
        </w:rPr>
        <w:t> </w:t>
      </w:r>
      <w:r>
        <w:rPr>
          <w:spacing w:val="-2"/>
          <w:vertAlign w:val="baseline"/>
        </w:rPr>
        <w:t>need</w:t>
      </w:r>
      <w:r>
        <w:rPr>
          <w:spacing w:val="-4"/>
          <w:vertAlign w:val="baseline"/>
        </w:rPr>
        <w:t> </w:t>
      </w:r>
      <w:r>
        <w:rPr>
          <w:spacing w:val="-2"/>
          <w:vertAlign w:val="baseline"/>
        </w:rPr>
        <w:t>of</w:t>
      </w:r>
      <w:r>
        <w:rPr>
          <w:spacing w:val="-4"/>
          <w:vertAlign w:val="baseline"/>
        </w:rPr>
        <w:t> </w:t>
      </w:r>
      <w:r>
        <w:rPr>
          <w:spacing w:val="-2"/>
          <w:vertAlign w:val="baseline"/>
        </w:rPr>
        <w:t>local</w:t>
      </w:r>
      <w:r>
        <w:rPr>
          <w:spacing w:val="-4"/>
          <w:vertAlign w:val="baseline"/>
        </w:rPr>
        <w:t> </w:t>
      </w:r>
      <w:r>
        <w:rPr>
          <w:spacing w:val="-2"/>
          <w:vertAlign w:val="baseline"/>
        </w:rPr>
        <w:t>and</w:t>
      </w:r>
      <w:r>
        <w:rPr>
          <w:spacing w:val="-4"/>
          <w:vertAlign w:val="baseline"/>
        </w:rPr>
        <w:t> </w:t>
      </w:r>
      <w:r>
        <w:rPr>
          <w:spacing w:val="-2"/>
          <w:vertAlign w:val="baseline"/>
        </w:rPr>
        <w:t>state</w:t>
      </w:r>
      <w:r>
        <w:rPr>
          <w:spacing w:val="-3"/>
          <w:vertAlign w:val="baseline"/>
        </w:rPr>
        <w:t> </w:t>
      </w:r>
      <w:r>
        <w:rPr>
          <w:spacing w:val="-2"/>
          <w:vertAlign w:val="baseline"/>
        </w:rPr>
        <w:t>agencies to</w:t>
      </w:r>
      <w:r>
        <w:rPr>
          <w:spacing w:val="-4"/>
          <w:vertAlign w:val="baseline"/>
        </w:rPr>
        <w:t> </w:t>
      </w:r>
      <w:r>
        <w:rPr>
          <w:spacing w:val="-2"/>
          <w:vertAlign w:val="baseline"/>
        </w:rPr>
        <w:t>be</w:t>
      </w:r>
      <w:r>
        <w:rPr>
          <w:spacing w:val="-4"/>
          <w:vertAlign w:val="baseline"/>
        </w:rPr>
        <w:t> </w:t>
      </w:r>
      <w:r>
        <w:rPr>
          <w:spacing w:val="-2"/>
          <w:vertAlign w:val="baseline"/>
        </w:rPr>
        <w:t>intentional</w:t>
      </w:r>
      <w:r>
        <w:rPr>
          <w:spacing w:val="-3"/>
          <w:vertAlign w:val="baseline"/>
        </w:rPr>
        <w:t> </w:t>
      </w:r>
      <w:r>
        <w:rPr>
          <w:spacing w:val="-2"/>
          <w:vertAlign w:val="baseline"/>
        </w:rPr>
        <w:t>about</w:t>
      </w:r>
      <w:r>
        <w:rPr>
          <w:spacing w:val="-4"/>
          <w:vertAlign w:val="baseline"/>
        </w:rPr>
        <w:t> </w:t>
      </w:r>
      <w:r>
        <w:rPr>
          <w:spacing w:val="-2"/>
          <w:vertAlign w:val="baseline"/>
        </w:rPr>
        <w:t>building </w:t>
      </w:r>
      <w:r>
        <w:rPr>
          <w:vertAlign w:val="baseline"/>
        </w:rPr>
        <w:t>outreach and trust with foreign-born individuals or families with mixed-resident status.</w:t>
      </w:r>
      <w:hyperlink w:history="true" w:anchor="_bookmark538">
        <w:r>
          <w:rPr>
            <w:vertAlign w:val="superscript"/>
          </w:rPr>
          <w:t>27</w:t>
        </w:r>
      </w:hyperlink>
      <w:r>
        <w:rPr>
          <w:vertAlign w:val="baseline"/>
        </w:rPr>
        <w:t> Additionally, when discussing intersectionality, ethnic identity in addition to immigration status should be noted. Researchers</w:t>
      </w:r>
      <w:r>
        <w:rPr>
          <w:spacing w:val="-7"/>
          <w:vertAlign w:val="baseline"/>
        </w:rPr>
        <w:t> </w:t>
      </w:r>
      <w:r>
        <w:rPr>
          <w:vertAlign w:val="baseline"/>
        </w:rPr>
        <w:t>have</w:t>
      </w:r>
      <w:r>
        <w:rPr>
          <w:spacing w:val="-10"/>
          <w:vertAlign w:val="baseline"/>
        </w:rPr>
        <w:t> </w:t>
      </w:r>
      <w:r>
        <w:rPr>
          <w:vertAlign w:val="baseline"/>
        </w:rPr>
        <w:t>found</w:t>
      </w:r>
      <w:r>
        <w:rPr>
          <w:spacing w:val="-9"/>
          <w:vertAlign w:val="baseline"/>
        </w:rPr>
        <w:t> </w:t>
      </w:r>
      <w:r>
        <w:rPr>
          <w:vertAlign w:val="baseline"/>
        </w:rPr>
        <w:t>that</w:t>
      </w:r>
      <w:r>
        <w:rPr>
          <w:spacing w:val="-10"/>
          <w:vertAlign w:val="baseline"/>
        </w:rPr>
        <w:t> </w:t>
      </w:r>
      <w:r>
        <w:rPr>
          <w:vertAlign w:val="baseline"/>
        </w:rPr>
        <w:t>immigrants</w:t>
      </w:r>
      <w:r>
        <w:rPr>
          <w:spacing w:val="-9"/>
          <w:vertAlign w:val="baseline"/>
        </w:rPr>
        <w:t> </w:t>
      </w:r>
      <w:r>
        <w:rPr>
          <w:vertAlign w:val="baseline"/>
        </w:rPr>
        <w:t>with</w:t>
      </w:r>
      <w:r>
        <w:rPr>
          <w:spacing w:val="-9"/>
          <w:vertAlign w:val="baseline"/>
        </w:rPr>
        <w:t> </w:t>
      </w:r>
      <w:r>
        <w:rPr>
          <w:vertAlign w:val="baseline"/>
        </w:rPr>
        <w:t>higher</w:t>
      </w:r>
      <w:r>
        <w:rPr>
          <w:spacing w:val="-9"/>
          <w:vertAlign w:val="baseline"/>
        </w:rPr>
        <w:t> </w:t>
      </w:r>
      <w:r>
        <w:rPr>
          <w:vertAlign w:val="baseline"/>
        </w:rPr>
        <w:t>levels</w:t>
      </w:r>
      <w:r>
        <w:rPr>
          <w:spacing w:val="-8"/>
          <w:vertAlign w:val="baseline"/>
        </w:rPr>
        <w:t> </w:t>
      </w:r>
      <w:r>
        <w:rPr>
          <w:vertAlign w:val="baseline"/>
        </w:rPr>
        <w:t>of</w:t>
      </w:r>
      <w:r>
        <w:rPr>
          <w:spacing w:val="-10"/>
          <w:vertAlign w:val="baseline"/>
        </w:rPr>
        <w:t> </w:t>
      </w:r>
      <w:r>
        <w:rPr>
          <w:vertAlign w:val="baseline"/>
        </w:rPr>
        <w:t>residential</w:t>
      </w:r>
      <w:r>
        <w:rPr>
          <w:spacing w:val="-9"/>
          <w:vertAlign w:val="baseline"/>
        </w:rPr>
        <w:t> </w:t>
      </w:r>
      <w:r>
        <w:rPr>
          <w:vertAlign w:val="baseline"/>
        </w:rPr>
        <w:t>segregation</w:t>
      </w:r>
      <w:r>
        <w:rPr>
          <w:spacing w:val="-10"/>
          <w:vertAlign w:val="baseline"/>
        </w:rPr>
        <w:t> </w:t>
      </w:r>
      <w:r>
        <w:rPr>
          <w:vertAlign w:val="baseline"/>
        </w:rPr>
        <w:t>such</w:t>
      </w:r>
      <w:r>
        <w:rPr>
          <w:spacing w:val="-9"/>
          <w:vertAlign w:val="baseline"/>
        </w:rPr>
        <w:t> </w:t>
      </w:r>
      <w:r>
        <w:rPr>
          <w:vertAlign w:val="baseline"/>
        </w:rPr>
        <w:t>as</w:t>
      </w:r>
      <w:r>
        <w:rPr>
          <w:spacing w:val="-9"/>
          <w:vertAlign w:val="baseline"/>
        </w:rPr>
        <w:t> </w:t>
      </w:r>
      <w:r>
        <w:rPr>
          <w:vertAlign w:val="baseline"/>
        </w:rPr>
        <w:t>Salvadorian, Dominican, and Indian immigrants, have greater access to non-profit resources. However, less socially segregated immigrants such as Italian, Portuguese, and Vietnamese do not have as much access that specifically focuses on the needs of their ethnic identity.</w:t>
      </w:r>
      <w:r>
        <w:rPr>
          <w:vertAlign w:val="superscript"/>
        </w:rPr>
        <w:t>28</w:t>
      </w:r>
    </w:p>
    <w:p>
      <w:pPr>
        <w:pStyle w:val="BodyText"/>
        <w:spacing w:line="276" w:lineRule="auto" w:before="233"/>
        <w:ind w:left="463" w:right="263"/>
        <w:jc w:val="both"/>
      </w:pPr>
      <w:r>
        <w:rPr/>
        <w:t>As</w:t>
      </w:r>
      <w:r>
        <w:rPr>
          <w:spacing w:val="-11"/>
        </w:rPr>
        <w:t> </w:t>
      </w:r>
      <w:r>
        <w:rPr/>
        <w:t>noted</w:t>
      </w:r>
      <w:r>
        <w:rPr>
          <w:spacing w:val="-10"/>
        </w:rPr>
        <w:t> </w:t>
      </w:r>
      <w:r>
        <w:rPr/>
        <w:t>above,</w:t>
      </w:r>
      <w:r>
        <w:rPr>
          <w:spacing w:val="-11"/>
        </w:rPr>
        <w:t> </w:t>
      </w:r>
      <w:r>
        <w:rPr/>
        <w:t>some</w:t>
      </w:r>
      <w:r>
        <w:rPr>
          <w:spacing w:val="-10"/>
        </w:rPr>
        <w:t> </w:t>
      </w:r>
      <w:r>
        <w:rPr/>
        <w:t>cities</w:t>
      </w:r>
      <w:r>
        <w:rPr>
          <w:spacing w:val="-11"/>
        </w:rPr>
        <w:t> </w:t>
      </w:r>
      <w:r>
        <w:rPr/>
        <w:t>in</w:t>
      </w:r>
      <w:r>
        <w:rPr>
          <w:spacing w:val="-11"/>
        </w:rPr>
        <w:t> </w:t>
      </w:r>
      <w:r>
        <w:rPr/>
        <w:t>Massachusetts,</w:t>
      </w:r>
      <w:r>
        <w:rPr>
          <w:spacing w:val="-11"/>
        </w:rPr>
        <w:t> </w:t>
      </w:r>
      <w:r>
        <w:rPr/>
        <w:t>such</w:t>
      </w:r>
      <w:r>
        <w:rPr>
          <w:spacing w:val="-10"/>
        </w:rPr>
        <w:t> </w:t>
      </w:r>
      <w:r>
        <w:rPr/>
        <w:t>as</w:t>
      </w:r>
      <w:r>
        <w:rPr>
          <w:spacing w:val="-11"/>
        </w:rPr>
        <w:t> </w:t>
      </w:r>
      <w:r>
        <w:rPr/>
        <w:t>Boston,</w:t>
      </w:r>
      <w:r>
        <w:rPr>
          <w:spacing w:val="-11"/>
        </w:rPr>
        <w:t> </w:t>
      </w:r>
      <w:r>
        <w:rPr/>
        <w:t>have</w:t>
      </w:r>
      <w:r>
        <w:rPr>
          <w:spacing w:val="-11"/>
        </w:rPr>
        <w:t> </w:t>
      </w:r>
      <w:r>
        <w:rPr/>
        <w:t>passed</w:t>
      </w:r>
      <w:r>
        <w:rPr>
          <w:spacing w:val="-10"/>
        </w:rPr>
        <w:t> </w:t>
      </w:r>
      <w:r>
        <w:rPr/>
        <w:t>legislation</w:t>
      </w:r>
      <w:r>
        <w:rPr>
          <w:spacing w:val="-12"/>
        </w:rPr>
        <w:t> </w:t>
      </w:r>
      <w:r>
        <w:rPr/>
        <w:t>that</w:t>
      </w:r>
      <w:r>
        <w:rPr>
          <w:spacing w:val="-11"/>
        </w:rPr>
        <w:t> </w:t>
      </w:r>
      <w:r>
        <w:rPr/>
        <w:t>bars</w:t>
      </w:r>
      <w:r>
        <w:rPr>
          <w:spacing w:val="-11"/>
        </w:rPr>
        <w:t> </w:t>
      </w:r>
      <w:r>
        <w:rPr/>
        <w:t>city</w:t>
      </w:r>
      <w:r>
        <w:rPr>
          <w:spacing w:val="-10"/>
        </w:rPr>
        <w:t> </w:t>
      </w:r>
      <w:r>
        <w:rPr/>
        <w:t>police from</w:t>
      </w:r>
      <w:r>
        <w:rPr>
          <w:spacing w:val="-5"/>
        </w:rPr>
        <w:t> </w:t>
      </w:r>
      <w:r>
        <w:rPr/>
        <w:t>cooperating</w:t>
      </w:r>
      <w:r>
        <w:rPr>
          <w:spacing w:val="-4"/>
        </w:rPr>
        <w:t> </w:t>
      </w:r>
      <w:r>
        <w:rPr/>
        <w:t>in</w:t>
      </w:r>
      <w:r>
        <w:rPr>
          <w:spacing w:val="-4"/>
        </w:rPr>
        <w:t> </w:t>
      </w:r>
      <w:r>
        <w:rPr/>
        <w:t>most</w:t>
      </w:r>
      <w:r>
        <w:rPr>
          <w:spacing w:val="-5"/>
        </w:rPr>
        <w:t> </w:t>
      </w:r>
      <w:r>
        <w:rPr/>
        <w:t>cases</w:t>
      </w:r>
      <w:r>
        <w:rPr>
          <w:spacing w:val="-5"/>
        </w:rPr>
        <w:t> </w:t>
      </w:r>
      <w:r>
        <w:rPr/>
        <w:t>with</w:t>
      </w:r>
      <w:r>
        <w:rPr>
          <w:spacing w:val="-5"/>
        </w:rPr>
        <w:t> </w:t>
      </w:r>
      <w:r>
        <w:rPr/>
        <w:t>federal</w:t>
      </w:r>
      <w:r>
        <w:rPr>
          <w:spacing w:val="-5"/>
        </w:rPr>
        <w:t> </w:t>
      </w:r>
      <w:r>
        <w:rPr/>
        <w:t>immigration</w:t>
      </w:r>
      <w:r>
        <w:rPr>
          <w:spacing w:val="-5"/>
        </w:rPr>
        <w:t> </w:t>
      </w:r>
      <w:r>
        <w:rPr/>
        <w:t>authorities</w:t>
      </w:r>
      <w:r>
        <w:rPr>
          <w:spacing w:val="-5"/>
        </w:rPr>
        <w:t> </w:t>
      </w:r>
      <w:r>
        <w:rPr/>
        <w:t>to</w:t>
      </w:r>
      <w:r>
        <w:rPr>
          <w:spacing w:val="-5"/>
        </w:rPr>
        <w:t> </w:t>
      </w:r>
      <w:r>
        <w:rPr/>
        <w:t>detain</w:t>
      </w:r>
      <w:r>
        <w:rPr>
          <w:spacing w:val="-5"/>
        </w:rPr>
        <w:t> </w:t>
      </w:r>
      <w:r>
        <w:rPr/>
        <w:t>immigrants</w:t>
      </w:r>
      <w:r>
        <w:rPr>
          <w:spacing w:val="-5"/>
        </w:rPr>
        <w:t> </w:t>
      </w:r>
      <w:r>
        <w:rPr/>
        <w:t>who</w:t>
      </w:r>
      <w:r>
        <w:rPr>
          <w:spacing w:val="-5"/>
        </w:rPr>
        <w:t> </w:t>
      </w:r>
      <w:r>
        <w:rPr/>
        <w:t>are</w:t>
      </w:r>
      <w:r>
        <w:rPr>
          <w:spacing w:val="-5"/>
        </w:rPr>
        <w:t> </w:t>
      </w:r>
      <w:r>
        <w:rPr/>
        <w:t>in</w:t>
      </w:r>
      <w:r>
        <w:rPr>
          <w:spacing w:val="-4"/>
        </w:rPr>
        <w:t> </w:t>
      </w:r>
      <w:r>
        <w:rPr/>
        <w:t>the country illegally, and have also ended agreements through county sheriff’s offices with ICE. These measures allow Massachusetts to make progress at creating a space</w:t>
      </w:r>
      <w:r>
        <w:rPr>
          <w:spacing w:val="-1"/>
        </w:rPr>
        <w:t> </w:t>
      </w:r>
      <w:r>
        <w:rPr/>
        <w:t>where foreign-born undocumented residents can live without fear of being deported</w:t>
      </w:r>
      <w:hyperlink w:history="true" w:anchor="_bookmark539">
        <w:r>
          <w:rPr/>
          <w:t>.</w:t>
        </w:r>
        <w:r>
          <w:rPr>
            <w:vertAlign w:val="superscript"/>
          </w:rPr>
          <w:t>28</w:t>
        </w:r>
      </w:hyperlink>
    </w:p>
    <w:p>
      <w:pPr>
        <w:spacing w:before="239"/>
        <w:ind w:left="463" w:right="0" w:firstLine="0"/>
        <w:jc w:val="both"/>
        <w:rPr>
          <w:sz w:val="28"/>
        </w:rPr>
      </w:pPr>
      <w:bookmarkStart w:name="Criminal Justice Involvement" w:id="784"/>
      <w:bookmarkEnd w:id="784"/>
      <w:r>
        <w:rPr/>
      </w:r>
      <w:r>
        <w:rPr>
          <w:color w:val="365F91"/>
          <w:sz w:val="28"/>
        </w:rPr>
        <w:t>Criminal</w:t>
      </w:r>
      <w:r>
        <w:rPr>
          <w:color w:val="365F91"/>
          <w:spacing w:val="-13"/>
          <w:sz w:val="28"/>
        </w:rPr>
        <w:t> </w:t>
      </w:r>
      <w:r>
        <w:rPr>
          <w:color w:val="365F91"/>
          <w:sz w:val="28"/>
        </w:rPr>
        <w:t>Justice</w:t>
      </w:r>
      <w:r>
        <w:rPr>
          <w:color w:val="365F91"/>
          <w:spacing w:val="-13"/>
          <w:sz w:val="28"/>
        </w:rPr>
        <w:t> </w:t>
      </w:r>
      <w:r>
        <w:rPr>
          <w:color w:val="365F91"/>
          <w:spacing w:val="-2"/>
          <w:sz w:val="28"/>
        </w:rPr>
        <w:t>Involvement</w:t>
      </w:r>
    </w:p>
    <w:p>
      <w:pPr>
        <w:pStyle w:val="BodyText"/>
        <w:spacing w:line="276" w:lineRule="auto" w:before="241"/>
        <w:ind w:left="463" w:right="259"/>
        <w:jc w:val="both"/>
      </w:pPr>
      <w:r>
        <w:rPr/>
        <w:t>As noted in the criminal justice section of this annual report, research has shown that LGBTQ people are more</w:t>
      </w:r>
      <w:r>
        <w:rPr>
          <w:spacing w:val="-7"/>
        </w:rPr>
        <w:t> </w:t>
      </w:r>
      <w:r>
        <w:rPr/>
        <w:t>likely</w:t>
      </w:r>
      <w:r>
        <w:rPr>
          <w:spacing w:val="-5"/>
        </w:rPr>
        <w:t> </w:t>
      </w:r>
      <w:r>
        <w:rPr/>
        <w:t>to</w:t>
      </w:r>
      <w:r>
        <w:rPr>
          <w:spacing w:val="-5"/>
        </w:rPr>
        <w:t> </w:t>
      </w:r>
      <w:r>
        <w:rPr/>
        <w:t>interact</w:t>
      </w:r>
      <w:r>
        <w:rPr>
          <w:spacing w:val="-6"/>
        </w:rPr>
        <w:t> </w:t>
      </w:r>
      <w:r>
        <w:rPr/>
        <w:t>with</w:t>
      </w:r>
      <w:r>
        <w:rPr>
          <w:spacing w:val="-5"/>
        </w:rPr>
        <w:t> </w:t>
      </w:r>
      <w:r>
        <w:rPr/>
        <w:t>law</w:t>
      </w:r>
      <w:r>
        <w:rPr>
          <w:spacing w:val="-5"/>
        </w:rPr>
        <w:t> </w:t>
      </w:r>
      <w:r>
        <w:rPr/>
        <w:t>enforcement</w:t>
      </w:r>
      <w:r>
        <w:rPr>
          <w:spacing w:val="-6"/>
        </w:rPr>
        <w:t> </w:t>
      </w:r>
      <w:r>
        <w:rPr/>
        <w:t>due</w:t>
      </w:r>
      <w:r>
        <w:rPr>
          <w:spacing w:val="-5"/>
        </w:rPr>
        <w:t> </w:t>
      </w:r>
      <w:r>
        <w:rPr/>
        <w:t>to</w:t>
      </w:r>
      <w:r>
        <w:rPr>
          <w:spacing w:val="-3"/>
        </w:rPr>
        <w:t> </w:t>
      </w:r>
      <w:r>
        <w:rPr/>
        <w:t>discrimination,</w:t>
      </w:r>
      <w:r>
        <w:rPr>
          <w:spacing w:val="-6"/>
        </w:rPr>
        <w:t> </w:t>
      </w:r>
      <w:r>
        <w:rPr/>
        <w:t>over-policing,</w:t>
      </w:r>
      <w:r>
        <w:rPr>
          <w:spacing w:val="-6"/>
        </w:rPr>
        <w:t> </w:t>
      </w:r>
      <w:r>
        <w:rPr/>
        <w:t>and</w:t>
      </w:r>
      <w:r>
        <w:rPr>
          <w:spacing w:val="-7"/>
        </w:rPr>
        <w:t> </w:t>
      </w:r>
      <w:r>
        <w:rPr/>
        <w:t>violence.</w:t>
      </w:r>
      <w:r>
        <w:rPr>
          <w:spacing w:val="-5"/>
        </w:rPr>
        <w:t> </w:t>
      </w:r>
      <w:r>
        <w:rPr/>
        <w:t>Although 4.1%</w:t>
      </w:r>
      <w:r>
        <w:rPr>
          <w:spacing w:val="-2"/>
        </w:rPr>
        <w:t> </w:t>
      </w:r>
      <w:r>
        <w:rPr/>
        <w:t>of</w:t>
      </w:r>
      <w:r>
        <w:rPr>
          <w:spacing w:val="-2"/>
        </w:rPr>
        <w:t> </w:t>
      </w:r>
      <w:r>
        <w:rPr/>
        <w:t>adults</w:t>
      </w:r>
      <w:r>
        <w:rPr>
          <w:spacing w:val="-1"/>
        </w:rPr>
        <w:t> </w:t>
      </w:r>
      <w:r>
        <w:rPr/>
        <w:t>in</w:t>
      </w:r>
      <w:r>
        <w:rPr>
          <w:spacing w:val="-1"/>
        </w:rPr>
        <w:t> </w:t>
      </w:r>
      <w:r>
        <w:rPr/>
        <w:t>the</w:t>
      </w:r>
      <w:r>
        <w:rPr>
          <w:spacing w:val="-1"/>
        </w:rPr>
        <w:t> </w:t>
      </w:r>
      <w:r>
        <w:rPr/>
        <w:t>U.S.</w:t>
      </w:r>
      <w:r>
        <w:rPr>
          <w:spacing w:val="-1"/>
        </w:rPr>
        <w:t> </w:t>
      </w:r>
      <w:r>
        <w:rPr/>
        <w:t>identify as LGBTQ,</w:t>
      </w:r>
      <w:r>
        <w:rPr>
          <w:spacing w:val="-2"/>
        </w:rPr>
        <w:t> </w:t>
      </w:r>
      <w:r>
        <w:rPr/>
        <w:t>they</w:t>
      </w:r>
      <w:r>
        <w:rPr>
          <w:spacing w:val="-1"/>
        </w:rPr>
        <w:t> </w:t>
      </w:r>
      <w:r>
        <w:rPr/>
        <w:t>are</w:t>
      </w:r>
      <w:r>
        <w:rPr>
          <w:spacing w:val="-1"/>
        </w:rPr>
        <w:t> </w:t>
      </w:r>
      <w:r>
        <w:rPr/>
        <w:t>three</w:t>
      </w:r>
      <w:r>
        <w:rPr>
          <w:spacing w:val="-1"/>
        </w:rPr>
        <w:t> </w:t>
      </w:r>
      <w:r>
        <w:rPr/>
        <w:t>times more</w:t>
      </w:r>
      <w:r>
        <w:rPr>
          <w:spacing w:val="-2"/>
        </w:rPr>
        <w:t> </w:t>
      </w:r>
      <w:r>
        <w:rPr/>
        <w:t>likely</w:t>
      </w:r>
      <w:r>
        <w:rPr>
          <w:spacing w:val="-1"/>
        </w:rPr>
        <w:t> </w:t>
      </w:r>
      <w:r>
        <w:rPr/>
        <w:t>to</w:t>
      </w:r>
      <w:r>
        <w:rPr>
          <w:spacing w:val="-1"/>
        </w:rPr>
        <w:t> </w:t>
      </w:r>
      <w:r>
        <w:rPr/>
        <w:t>be</w:t>
      </w:r>
      <w:r>
        <w:rPr>
          <w:spacing w:val="-1"/>
        </w:rPr>
        <w:t> </w:t>
      </w:r>
      <w:r>
        <w:rPr/>
        <w:t>incarcerated</w:t>
      </w:r>
      <w:r>
        <w:rPr>
          <w:spacing w:val="-1"/>
        </w:rPr>
        <w:t> </w:t>
      </w:r>
      <w:r>
        <w:rPr/>
        <w:t>than the general population</w:t>
      </w:r>
      <w:hyperlink w:history="true" w:anchor="_bookmark539">
        <w:r>
          <w:rPr/>
          <w:t>.</w:t>
        </w:r>
        <w:r>
          <w:rPr>
            <w:vertAlign w:val="superscript"/>
          </w:rPr>
          <w:t>29</w:t>
        </w:r>
      </w:hyperlink>
      <w:r>
        <w:rPr>
          <w:vertAlign w:val="baseline"/>
        </w:rPr>
        <w:t> A large contributing factor to the high incarceration rate of LGBTQ people is the discrimination they face in many aspects of life, including housing and employment discrimination</w:t>
      </w:r>
      <w:hyperlink w:history="true" w:anchor="_bookmark539">
        <w:r>
          <w:rPr>
            <w:vertAlign w:val="baseline"/>
          </w:rPr>
          <w:t>.</w:t>
        </w:r>
        <w:r>
          <w:rPr>
            <w:vertAlign w:val="superscript"/>
          </w:rPr>
          <w:t>30</w:t>
        </w:r>
      </w:hyperlink>
      <w:r>
        <w:rPr>
          <w:vertAlign w:val="baseline"/>
        </w:rPr>
        <w:t> Without</w:t>
      </w:r>
      <w:r>
        <w:rPr>
          <w:spacing w:val="-4"/>
          <w:vertAlign w:val="baseline"/>
        </w:rPr>
        <w:t> </w:t>
      </w:r>
      <w:r>
        <w:rPr>
          <w:vertAlign w:val="baseline"/>
        </w:rPr>
        <w:t>protections</w:t>
      </w:r>
      <w:r>
        <w:rPr>
          <w:spacing w:val="-5"/>
          <w:vertAlign w:val="baseline"/>
        </w:rPr>
        <w:t> </w:t>
      </w:r>
      <w:r>
        <w:rPr>
          <w:vertAlign w:val="baseline"/>
        </w:rPr>
        <w:t>for</w:t>
      </w:r>
      <w:r>
        <w:rPr>
          <w:spacing w:val="-5"/>
          <w:vertAlign w:val="baseline"/>
        </w:rPr>
        <w:t> </w:t>
      </w:r>
      <w:r>
        <w:rPr>
          <w:vertAlign w:val="baseline"/>
        </w:rPr>
        <w:t>basic</w:t>
      </w:r>
      <w:r>
        <w:rPr>
          <w:spacing w:val="-6"/>
          <w:vertAlign w:val="baseline"/>
        </w:rPr>
        <w:t> </w:t>
      </w:r>
      <w:r>
        <w:rPr>
          <w:vertAlign w:val="baseline"/>
        </w:rPr>
        <w:t>necessities,</w:t>
      </w:r>
      <w:r>
        <w:rPr>
          <w:spacing w:val="-5"/>
          <w:vertAlign w:val="baseline"/>
        </w:rPr>
        <w:t> </w:t>
      </w:r>
      <w:r>
        <w:rPr>
          <w:vertAlign w:val="baseline"/>
        </w:rPr>
        <w:t>such</w:t>
      </w:r>
      <w:r>
        <w:rPr>
          <w:spacing w:val="-5"/>
          <w:vertAlign w:val="baseline"/>
        </w:rPr>
        <w:t> </w:t>
      </w:r>
      <w:r>
        <w:rPr>
          <w:vertAlign w:val="baseline"/>
        </w:rPr>
        <w:t>as</w:t>
      </w:r>
      <w:r>
        <w:rPr>
          <w:spacing w:val="-5"/>
          <w:vertAlign w:val="baseline"/>
        </w:rPr>
        <w:t> </w:t>
      </w:r>
      <w:r>
        <w:rPr>
          <w:vertAlign w:val="baseline"/>
        </w:rPr>
        <w:t>employment</w:t>
      </w:r>
      <w:r>
        <w:rPr>
          <w:spacing w:val="-5"/>
          <w:vertAlign w:val="baseline"/>
        </w:rPr>
        <w:t> </w:t>
      </w:r>
      <w:r>
        <w:rPr>
          <w:vertAlign w:val="baseline"/>
        </w:rPr>
        <w:t>and</w:t>
      </w:r>
      <w:r>
        <w:rPr>
          <w:spacing w:val="-5"/>
          <w:vertAlign w:val="baseline"/>
        </w:rPr>
        <w:t> </w:t>
      </w:r>
      <w:r>
        <w:rPr>
          <w:vertAlign w:val="baseline"/>
        </w:rPr>
        <w:t>safe</w:t>
      </w:r>
      <w:r>
        <w:rPr>
          <w:spacing w:val="-5"/>
          <w:vertAlign w:val="baseline"/>
        </w:rPr>
        <w:t> </w:t>
      </w:r>
      <w:r>
        <w:rPr>
          <w:vertAlign w:val="baseline"/>
        </w:rPr>
        <w:t>shelter,</w:t>
      </w:r>
      <w:r>
        <w:rPr>
          <w:spacing w:val="-5"/>
          <w:vertAlign w:val="baseline"/>
        </w:rPr>
        <w:t> </w:t>
      </w:r>
      <w:r>
        <w:rPr>
          <w:vertAlign w:val="baseline"/>
        </w:rPr>
        <w:t>LGBTQ</w:t>
      </w:r>
      <w:r>
        <w:rPr>
          <w:spacing w:val="-5"/>
          <w:vertAlign w:val="baseline"/>
        </w:rPr>
        <w:t> </w:t>
      </w:r>
      <w:r>
        <w:rPr>
          <w:vertAlign w:val="baseline"/>
        </w:rPr>
        <w:t>people</w:t>
      </w:r>
      <w:r>
        <w:rPr>
          <w:spacing w:val="-5"/>
          <w:vertAlign w:val="baseline"/>
        </w:rPr>
        <w:t> </w:t>
      </w:r>
      <w:r>
        <w:rPr>
          <w:vertAlign w:val="baseline"/>
        </w:rPr>
        <w:t>are</w:t>
      </w:r>
      <w:r>
        <w:rPr>
          <w:spacing w:val="-5"/>
          <w:vertAlign w:val="baseline"/>
        </w:rPr>
        <w:t> </w:t>
      </w:r>
      <w:r>
        <w:rPr>
          <w:vertAlign w:val="baseline"/>
        </w:rPr>
        <w:t>at</w:t>
      </w:r>
      <w:r>
        <w:rPr>
          <w:spacing w:val="-5"/>
          <w:vertAlign w:val="baseline"/>
        </w:rPr>
        <w:t> </w:t>
      </w:r>
      <w:r>
        <w:rPr>
          <w:vertAlign w:val="baseline"/>
        </w:rPr>
        <w:t>risk of</w:t>
      </w:r>
      <w:r>
        <w:rPr>
          <w:spacing w:val="-10"/>
          <w:vertAlign w:val="baseline"/>
        </w:rPr>
        <w:t> </w:t>
      </w:r>
      <w:r>
        <w:rPr>
          <w:vertAlign w:val="baseline"/>
        </w:rPr>
        <w:t>being</w:t>
      </w:r>
      <w:r>
        <w:rPr>
          <w:spacing w:val="-10"/>
          <w:vertAlign w:val="baseline"/>
        </w:rPr>
        <w:t> </w:t>
      </w:r>
      <w:r>
        <w:rPr>
          <w:vertAlign w:val="baseline"/>
        </w:rPr>
        <w:t>homeless</w:t>
      </w:r>
      <w:r>
        <w:rPr>
          <w:spacing w:val="-10"/>
          <w:vertAlign w:val="baseline"/>
        </w:rPr>
        <w:t> </w:t>
      </w:r>
      <w:r>
        <w:rPr>
          <w:vertAlign w:val="baseline"/>
        </w:rPr>
        <w:t>or</w:t>
      </w:r>
      <w:r>
        <w:rPr>
          <w:spacing w:val="-10"/>
          <w:vertAlign w:val="baseline"/>
        </w:rPr>
        <w:t> </w:t>
      </w:r>
      <w:r>
        <w:rPr>
          <w:vertAlign w:val="baseline"/>
        </w:rPr>
        <w:t>being</w:t>
      </w:r>
      <w:r>
        <w:rPr>
          <w:spacing w:val="-9"/>
          <w:vertAlign w:val="baseline"/>
        </w:rPr>
        <w:t> </w:t>
      </w:r>
      <w:r>
        <w:rPr>
          <w:vertAlign w:val="baseline"/>
        </w:rPr>
        <w:t>forced</w:t>
      </w:r>
      <w:r>
        <w:rPr>
          <w:spacing w:val="-10"/>
          <w:vertAlign w:val="baseline"/>
        </w:rPr>
        <w:t> </w:t>
      </w:r>
      <w:r>
        <w:rPr>
          <w:vertAlign w:val="baseline"/>
        </w:rPr>
        <w:t>to</w:t>
      </w:r>
      <w:r>
        <w:rPr>
          <w:spacing w:val="-10"/>
          <w:vertAlign w:val="baseline"/>
        </w:rPr>
        <w:t> </w:t>
      </w:r>
      <w:r>
        <w:rPr>
          <w:vertAlign w:val="baseline"/>
        </w:rPr>
        <w:t>rely</w:t>
      </w:r>
      <w:r>
        <w:rPr>
          <w:spacing w:val="-10"/>
          <w:vertAlign w:val="baseline"/>
        </w:rPr>
        <w:t> </w:t>
      </w:r>
      <w:r>
        <w:rPr>
          <w:vertAlign w:val="baseline"/>
        </w:rPr>
        <w:t>on</w:t>
      </w:r>
      <w:r>
        <w:rPr>
          <w:spacing w:val="-10"/>
          <w:vertAlign w:val="baseline"/>
        </w:rPr>
        <w:t> </w:t>
      </w:r>
      <w:r>
        <w:rPr>
          <w:vertAlign w:val="baseline"/>
        </w:rPr>
        <w:t>survival</w:t>
      </w:r>
      <w:r>
        <w:rPr>
          <w:spacing w:val="-11"/>
          <w:vertAlign w:val="baseline"/>
        </w:rPr>
        <w:t> </w:t>
      </w:r>
      <w:r>
        <w:rPr>
          <w:vertAlign w:val="baseline"/>
        </w:rPr>
        <w:t>economies,</w:t>
      </w:r>
      <w:r>
        <w:rPr>
          <w:spacing w:val="-10"/>
          <w:vertAlign w:val="baseline"/>
        </w:rPr>
        <w:t> </w:t>
      </w:r>
      <w:r>
        <w:rPr>
          <w:vertAlign w:val="baseline"/>
        </w:rPr>
        <w:t>such</w:t>
      </w:r>
      <w:r>
        <w:rPr>
          <w:spacing w:val="-10"/>
          <w:vertAlign w:val="baseline"/>
        </w:rPr>
        <w:t> </w:t>
      </w:r>
      <w:r>
        <w:rPr>
          <w:vertAlign w:val="baseline"/>
        </w:rPr>
        <w:t>as</w:t>
      </w:r>
      <w:r>
        <w:rPr>
          <w:spacing w:val="-10"/>
          <w:vertAlign w:val="baseline"/>
        </w:rPr>
        <w:t> </w:t>
      </w:r>
      <w:r>
        <w:rPr>
          <w:vertAlign w:val="baseline"/>
        </w:rPr>
        <w:t>sex</w:t>
      </w:r>
      <w:r>
        <w:rPr>
          <w:spacing w:val="-11"/>
          <w:vertAlign w:val="baseline"/>
        </w:rPr>
        <w:t> </w:t>
      </w:r>
      <w:r>
        <w:rPr>
          <w:vertAlign w:val="baseline"/>
        </w:rPr>
        <w:t>work.</w:t>
      </w:r>
      <w:hyperlink w:history="true" w:anchor="_bookmark539">
        <w:r>
          <w:rPr>
            <w:vertAlign w:val="superscript"/>
          </w:rPr>
          <w:t>31</w:t>
        </w:r>
      </w:hyperlink>
      <w:r>
        <w:rPr>
          <w:spacing w:val="-11"/>
          <w:vertAlign w:val="baseline"/>
        </w:rPr>
        <w:t> </w:t>
      </w:r>
      <w:r>
        <w:rPr>
          <w:vertAlign w:val="baseline"/>
        </w:rPr>
        <w:t>A</w:t>
      </w:r>
      <w:r>
        <w:rPr>
          <w:spacing w:val="-10"/>
          <w:vertAlign w:val="baseline"/>
        </w:rPr>
        <w:t> </w:t>
      </w:r>
      <w:r>
        <w:rPr>
          <w:vertAlign w:val="baseline"/>
        </w:rPr>
        <w:t>2022</w:t>
      </w:r>
      <w:r>
        <w:rPr>
          <w:spacing w:val="-10"/>
          <w:vertAlign w:val="baseline"/>
        </w:rPr>
        <w:t> </w:t>
      </w:r>
      <w:r>
        <w:rPr>
          <w:vertAlign w:val="baseline"/>
        </w:rPr>
        <w:t>national</w:t>
      </w:r>
      <w:r>
        <w:rPr>
          <w:spacing w:val="-10"/>
          <w:vertAlign w:val="baseline"/>
        </w:rPr>
        <w:t> </w:t>
      </w:r>
      <w:r>
        <w:rPr>
          <w:vertAlign w:val="baseline"/>
        </w:rPr>
        <w:t>study by Lambda Legal found that 57% of LGBTQ people surveyed reported face-to-face contact with police within the past five years; of those individuals, 45% reported that police engaged in misconduct (false accusations, verbal assault, or sexual harassment)</w:t>
      </w:r>
      <w:hyperlink w:history="true" w:anchor="_bookmark540">
        <w:r>
          <w:rPr>
            <w:vertAlign w:val="baseline"/>
          </w:rPr>
          <w:t>.</w:t>
        </w:r>
        <w:r>
          <w:rPr>
            <w:vertAlign w:val="superscript"/>
          </w:rPr>
          <w:t>32</w:t>
        </w:r>
      </w:hyperlink>
    </w:p>
    <w:p>
      <w:pPr>
        <w:spacing w:after="0" w:line="276" w:lineRule="auto"/>
        <w:jc w:val="both"/>
        <w:sectPr>
          <w:pgSz w:w="12240" w:h="15840"/>
          <w:pgMar w:header="805" w:footer="1208" w:top="1080" w:bottom="1460" w:left="980" w:right="1180"/>
        </w:sectPr>
      </w:pPr>
    </w:p>
    <w:p>
      <w:pPr>
        <w:pStyle w:val="BodyText"/>
        <w:spacing w:line="276" w:lineRule="auto" w:before="69"/>
        <w:ind w:left="463" w:right="261"/>
        <w:jc w:val="both"/>
      </w:pPr>
      <w:r>
        <w:rPr/>
        <w:t>Another factor contributing to the increased interaction between LGBTQ people and law enforcement is the</w:t>
      </w:r>
      <w:r>
        <w:rPr>
          <w:spacing w:val="-5"/>
        </w:rPr>
        <w:t> </w:t>
      </w:r>
      <w:r>
        <w:rPr/>
        <w:t>high</w:t>
      </w:r>
      <w:r>
        <w:rPr>
          <w:spacing w:val="-5"/>
        </w:rPr>
        <w:t> </w:t>
      </w:r>
      <w:r>
        <w:rPr/>
        <w:t>rate</w:t>
      </w:r>
      <w:r>
        <w:rPr>
          <w:spacing w:val="-4"/>
        </w:rPr>
        <w:t> </w:t>
      </w:r>
      <w:r>
        <w:rPr/>
        <w:t>of</w:t>
      </w:r>
      <w:r>
        <w:rPr>
          <w:spacing w:val="-5"/>
        </w:rPr>
        <w:t> </w:t>
      </w:r>
      <w:r>
        <w:rPr/>
        <w:t>violence</w:t>
      </w:r>
      <w:r>
        <w:rPr>
          <w:spacing w:val="-5"/>
        </w:rPr>
        <w:t> </w:t>
      </w:r>
      <w:r>
        <w:rPr/>
        <w:t>they</w:t>
      </w:r>
      <w:r>
        <w:rPr>
          <w:spacing w:val="-5"/>
        </w:rPr>
        <w:t> </w:t>
      </w:r>
      <w:r>
        <w:rPr/>
        <w:t>face.</w:t>
      </w:r>
      <w:r>
        <w:rPr>
          <w:spacing w:val="-5"/>
        </w:rPr>
        <w:t> </w:t>
      </w:r>
      <w:r>
        <w:rPr/>
        <w:t>According</w:t>
      </w:r>
      <w:r>
        <w:rPr>
          <w:spacing w:val="-5"/>
        </w:rPr>
        <w:t> </w:t>
      </w:r>
      <w:r>
        <w:rPr/>
        <w:t>to</w:t>
      </w:r>
      <w:r>
        <w:rPr>
          <w:spacing w:val="-5"/>
        </w:rPr>
        <w:t> </w:t>
      </w:r>
      <w:r>
        <w:rPr/>
        <w:t>the</w:t>
      </w:r>
      <w:r>
        <w:rPr>
          <w:spacing w:val="-5"/>
        </w:rPr>
        <w:t> </w:t>
      </w:r>
      <w:r>
        <w:rPr/>
        <w:t>2021</w:t>
      </w:r>
      <w:r>
        <w:rPr>
          <w:spacing w:val="-5"/>
        </w:rPr>
        <w:t> </w:t>
      </w:r>
      <w:r>
        <w:rPr/>
        <w:t>Massachusetts</w:t>
      </w:r>
      <w:r>
        <w:rPr>
          <w:spacing w:val="-5"/>
        </w:rPr>
        <w:t> </w:t>
      </w:r>
      <w:r>
        <w:rPr/>
        <w:t>Hate</w:t>
      </w:r>
      <w:r>
        <w:rPr>
          <w:spacing w:val="-5"/>
        </w:rPr>
        <w:t> </w:t>
      </w:r>
      <w:r>
        <w:rPr/>
        <w:t>Crime</w:t>
      </w:r>
      <w:r>
        <w:rPr>
          <w:spacing w:val="-5"/>
        </w:rPr>
        <w:t> </w:t>
      </w:r>
      <w:r>
        <w:rPr/>
        <w:t>Report,</w:t>
      </w:r>
      <w:r>
        <w:rPr>
          <w:spacing w:val="-4"/>
        </w:rPr>
        <w:t> </w:t>
      </w:r>
      <w:r>
        <w:rPr/>
        <w:t>the</w:t>
      </w:r>
      <w:r>
        <w:rPr>
          <w:spacing w:val="-5"/>
        </w:rPr>
        <w:t> </w:t>
      </w:r>
      <w:r>
        <w:rPr/>
        <w:t>number of hate crime incidents reported by police in Massachusetts rose 4% from 2020 to 2021. The increase, from 386 to 403 incidents, is part of a broader trend in the state that has seen hate crimes increasing every year since 2018. The data reveals that some groups have seen an increase in the number of hate crimes targeted toward them: anti-LGBTQ violent attacks rose from 61 incidents to 74, or 14.3% to </w:t>
      </w:r>
      <w:r>
        <w:rPr>
          <w:spacing w:val="-2"/>
        </w:rPr>
        <w:t>18.6%.</w:t>
      </w:r>
      <w:hyperlink w:history="true" w:anchor="_bookmark540">
        <w:r>
          <w:rPr>
            <w:spacing w:val="-2"/>
            <w:vertAlign w:val="superscript"/>
          </w:rPr>
          <w:t>33</w:t>
        </w:r>
      </w:hyperlink>
    </w:p>
    <w:p>
      <w:pPr>
        <w:pStyle w:val="BodyText"/>
        <w:spacing w:line="276" w:lineRule="auto" w:before="240"/>
        <w:ind w:left="463" w:right="261"/>
        <w:jc w:val="both"/>
      </w:pPr>
      <w:r>
        <w:rPr/>
        <w:t>The increased police contacts and violence faced by LGBTQ people are compounded by immigration status.</w:t>
      </w:r>
      <w:r>
        <w:rPr>
          <w:spacing w:val="-13"/>
        </w:rPr>
        <w:t> </w:t>
      </w:r>
      <w:r>
        <w:rPr/>
        <w:t>As</w:t>
      </w:r>
      <w:r>
        <w:rPr>
          <w:spacing w:val="-12"/>
        </w:rPr>
        <w:t> </w:t>
      </w:r>
      <w:r>
        <w:rPr/>
        <w:t>Legal</w:t>
      </w:r>
      <w:r>
        <w:rPr>
          <w:spacing w:val="-12"/>
        </w:rPr>
        <w:t> </w:t>
      </w:r>
      <w:r>
        <w:rPr/>
        <w:t>Services</w:t>
      </w:r>
      <w:r>
        <w:rPr>
          <w:spacing w:val="-12"/>
        </w:rPr>
        <w:t> </w:t>
      </w:r>
      <w:r>
        <w:rPr/>
        <w:t>NYC</w:t>
      </w:r>
      <w:r>
        <w:rPr>
          <w:spacing w:val="-12"/>
        </w:rPr>
        <w:t> </w:t>
      </w:r>
      <w:r>
        <w:rPr/>
        <w:t>states,</w:t>
      </w:r>
      <w:r>
        <w:rPr>
          <w:spacing w:val="-12"/>
        </w:rPr>
        <w:t> </w:t>
      </w:r>
      <w:r>
        <w:rPr/>
        <w:t>“homophobia</w:t>
      </w:r>
      <w:r>
        <w:rPr>
          <w:spacing w:val="-12"/>
        </w:rPr>
        <w:t> </w:t>
      </w:r>
      <w:r>
        <w:rPr/>
        <w:t>and</w:t>
      </w:r>
      <w:r>
        <w:rPr>
          <w:spacing w:val="-13"/>
        </w:rPr>
        <w:t> </w:t>
      </w:r>
      <w:r>
        <w:rPr/>
        <w:t>transphobia,</w:t>
      </w:r>
      <w:r>
        <w:rPr>
          <w:spacing w:val="-12"/>
        </w:rPr>
        <w:t> </w:t>
      </w:r>
      <w:r>
        <w:rPr/>
        <w:t>combined</w:t>
      </w:r>
      <w:r>
        <w:rPr>
          <w:spacing w:val="-11"/>
        </w:rPr>
        <w:t> </w:t>
      </w:r>
      <w:r>
        <w:rPr/>
        <w:t>with</w:t>
      </w:r>
      <w:r>
        <w:rPr>
          <w:spacing w:val="-13"/>
        </w:rPr>
        <w:t> </w:t>
      </w:r>
      <w:r>
        <w:rPr/>
        <w:t>being</w:t>
      </w:r>
      <w:r>
        <w:rPr>
          <w:spacing w:val="-12"/>
        </w:rPr>
        <w:t> </w:t>
      </w:r>
      <w:r>
        <w:rPr/>
        <w:t>undocumented, puts LGBTQ people at greater risks of police contact.” </w:t>
      </w:r>
      <w:hyperlink w:history="true" w:anchor="_bookmark541">
        <w:r>
          <w:rPr>
            <w:vertAlign w:val="superscript"/>
          </w:rPr>
          <w:t>34</w:t>
        </w:r>
      </w:hyperlink>
      <w:r>
        <w:rPr>
          <w:vertAlign w:val="baseline"/>
        </w:rPr>
        <w:t> For instance, according to the 2015 U.S. Transgender Survey, the rate of reported incidents of hate violence against LGBTQ undocumented immigrants is rising, from 6% of LGBTQ survivors of hate violence in 2014 to 17% in 2015.</w:t>
      </w:r>
      <w:hyperlink w:history="true" w:anchor="_bookmark541">
        <w:r>
          <w:rPr>
            <w:vertAlign w:val="superscript"/>
          </w:rPr>
          <w:t>35</w:t>
        </w:r>
      </w:hyperlink>
      <w:r>
        <w:rPr>
          <w:vertAlign w:val="baseline"/>
        </w:rPr>
        <w:t> Additionally, nearly 1 in</w:t>
      </w:r>
      <w:r>
        <w:rPr>
          <w:spacing w:val="-1"/>
          <w:vertAlign w:val="baseline"/>
        </w:rPr>
        <w:t> </w:t>
      </w:r>
      <w:r>
        <w:rPr>
          <w:vertAlign w:val="baseline"/>
        </w:rPr>
        <w:t>4 transgender unauthorized immigrants reported being</w:t>
      </w:r>
      <w:r>
        <w:rPr>
          <w:spacing w:val="-1"/>
          <w:vertAlign w:val="baseline"/>
        </w:rPr>
        <w:t> </w:t>
      </w:r>
      <w:r>
        <w:rPr>
          <w:vertAlign w:val="baseline"/>
        </w:rPr>
        <w:t>physically attacked</w:t>
      </w:r>
      <w:r>
        <w:rPr>
          <w:spacing w:val="-1"/>
          <w:vertAlign w:val="baseline"/>
        </w:rPr>
        <w:t> </w:t>
      </w:r>
      <w:r>
        <w:rPr>
          <w:vertAlign w:val="baseline"/>
        </w:rPr>
        <w:t>in</w:t>
      </w:r>
      <w:r>
        <w:rPr>
          <w:spacing w:val="-1"/>
          <w:vertAlign w:val="baseline"/>
        </w:rPr>
        <w:t> </w:t>
      </w:r>
      <w:r>
        <w:rPr>
          <w:vertAlign w:val="baseline"/>
        </w:rPr>
        <w:t>the</w:t>
      </w:r>
      <w:r>
        <w:rPr>
          <w:spacing w:val="-1"/>
          <w:vertAlign w:val="baseline"/>
        </w:rPr>
        <w:t> </w:t>
      </w:r>
      <w:r>
        <w:rPr>
          <w:vertAlign w:val="baseline"/>
        </w:rPr>
        <w:t>past</w:t>
      </w:r>
      <w:r>
        <w:rPr>
          <w:spacing w:val="-1"/>
          <w:vertAlign w:val="baseline"/>
        </w:rPr>
        <w:t> </w:t>
      </w:r>
      <w:r>
        <w:rPr>
          <w:vertAlign w:val="baseline"/>
        </w:rPr>
        <w:t>year.</w:t>
      </w:r>
      <w:hyperlink w:history="true" w:anchor="_bookmark541">
        <w:r>
          <w:rPr>
            <w:vertAlign w:val="superscript"/>
          </w:rPr>
          <w:t>36</w:t>
        </w:r>
      </w:hyperlink>
      <w:r>
        <w:rPr>
          <w:vertAlign w:val="baseline"/>
        </w:rPr>
        <w:t> Undoubtedly, these rates of discrimination and violence have likely increased since this survey was conducted, as anti-immigrant rhetoric and misinformation significantly increased across the nation after </w:t>
      </w:r>
      <w:r>
        <w:rPr>
          <w:spacing w:val="-2"/>
          <w:vertAlign w:val="baseline"/>
        </w:rPr>
        <w:t>2016.</w:t>
      </w:r>
      <w:hyperlink w:history="true" w:anchor="_bookmark541">
        <w:r>
          <w:rPr>
            <w:spacing w:val="-2"/>
            <w:vertAlign w:val="superscript"/>
          </w:rPr>
          <w:t>37</w:t>
        </w:r>
      </w:hyperlink>
    </w:p>
    <w:p>
      <w:pPr>
        <w:pStyle w:val="BodyText"/>
        <w:spacing w:line="276" w:lineRule="auto" w:before="240"/>
        <w:ind w:left="463" w:right="261"/>
        <w:jc w:val="both"/>
      </w:pPr>
      <w:r>
        <w:rPr/>
        <w:t>One likely explanation for these high rates of violence is the compounded discrimination that LGBTQ foreign-born individuals face living at the intersection of multiple marginalized communities. When law enforcement is working with immigration enforcement, LGBTQ immigrants are reluctant to look to law enforcement for assistance, placing them at an even greater risk of violence and health disparities.</w:t>
      </w:r>
    </w:p>
    <w:p>
      <w:pPr>
        <w:spacing w:before="240"/>
        <w:ind w:left="463" w:right="0" w:firstLine="0"/>
        <w:jc w:val="both"/>
        <w:rPr>
          <w:sz w:val="28"/>
        </w:rPr>
      </w:pPr>
      <w:bookmarkStart w:name="Barriers to Accessing Services" w:id="785"/>
      <w:bookmarkEnd w:id="785"/>
      <w:r>
        <w:rPr/>
      </w:r>
      <w:r>
        <w:rPr>
          <w:color w:val="365F91"/>
          <w:sz w:val="28"/>
        </w:rPr>
        <w:t>Barriers</w:t>
      </w:r>
      <w:r>
        <w:rPr>
          <w:color w:val="365F91"/>
          <w:spacing w:val="-10"/>
          <w:sz w:val="28"/>
        </w:rPr>
        <w:t> </w:t>
      </w:r>
      <w:r>
        <w:rPr>
          <w:color w:val="365F91"/>
          <w:sz w:val="28"/>
        </w:rPr>
        <w:t>to</w:t>
      </w:r>
      <w:r>
        <w:rPr>
          <w:color w:val="365F91"/>
          <w:spacing w:val="-9"/>
          <w:sz w:val="28"/>
        </w:rPr>
        <w:t> </w:t>
      </w:r>
      <w:r>
        <w:rPr>
          <w:color w:val="365F91"/>
          <w:sz w:val="28"/>
        </w:rPr>
        <w:t>Accessing</w:t>
      </w:r>
      <w:r>
        <w:rPr>
          <w:color w:val="365F91"/>
          <w:spacing w:val="-11"/>
          <w:sz w:val="28"/>
        </w:rPr>
        <w:t> </w:t>
      </w:r>
      <w:r>
        <w:rPr>
          <w:color w:val="365F91"/>
          <w:spacing w:val="-2"/>
          <w:sz w:val="28"/>
        </w:rPr>
        <w:t>Services</w:t>
      </w:r>
    </w:p>
    <w:p>
      <w:pPr>
        <w:pStyle w:val="BodyText"/>
        <w:spacing w:line="276" w:lineRule="auto" w:before="239"/>
        <w:ind w:left="463" w:right="261"/>
        <w:jc w:val="both"/>
      </w:pPr>
      <w:r>
        <w:rPr/>
        <w:t>As noted above, many LGBTQ foreign-born youth can face significant barriers to accessing affirming services for housing, healthcare, and legal, education, and employment services. The following research section</w:t>
      </w:r>
      <w:r>
        <w:rPr>
          <w:spacing w:val="-10"/>
        </w:rPr>
        <w:t> </w:t>
      </w:r>
      <w:r>
        <w:rPr/>
        <w:t>includes</w:t>
      </w:r>
      <w:r>
        <w:rPr>
          <w:spacing w:val="-11"/>
        </w:rPr>
        <w:t> </w:t>
      </w:r>
      <w:r>
        <w:rPr/>
        <w:t>information</w:t>
      </w:r>
      <w:r>
        <w:rPr>
          <w:spacing w:val="-11"/>
        </w:rPr>
        <w:t> </w:t>
      </w:r>
      <w:r>
        <w:rPr/>
        <w:t>stemming</w:t>
      </w:r>
      <w:r>
        <w:rPr>
          <w:spacing w:val="-11"/>
        </w:rPr>
        <w:t> </w:t>
      </w:r>
      <w:r>
        <w:rPr/>
        <w:t>from</w:t>
      </w:r>
      <w:r>
        <w:rPr>
          <w:spacing w:val="-11"/>
        </w:rPr>
        <w:t> </w:t>
      </w:r>
      <w:r>
        <w:rPr/>
        <w:t>two</w:t>
      </w:r>
      <w:r>
        <w:rPr>
          <w:spacing w:val="-9"/>
        </w:rPr>
        <w:t> </w:t>
      </w:r>
      <w:r>
        <w:rPr/>
        <w:t>major</w:t>
      </w:r>
      <w:r>
        <w:rPr>
          <w:spacing w:val="-11"/>
        </w:rPr>
        <w:t> </w:t>
      </w:r>
      <w:r>
        <w:rPr/>
        <w:t>studies</w:t>
      </w:r>
      <w:r>
        <w:rPr>
          <w:spacing w:val="-10"/>
        </w:rPr>
        <w:t> </w:t>
      </w:r>
      <w:r>
        <w:rPr/>
        <w:t>centering</w:t>
      </w:r>
      <w:r>
        <w:rPr>
          <w:spacing w:val="-11"/>
        </w:rPr>
        <w:t> </w:t>
      </w:r>
      <w:r>
        <w:rPr/>
        <w:t>LGBTQ</w:t>
      </w:r>
      <w:r>
        <w:rPr>
          <w:spacing w:val="-11"/>
        </w:rPr>
        <w:t> </w:t>
      </w:r>
      <w:r>
        <w:rPr/>
        <w:t>immigrant</w:t>
      </w:r>
      <w:r>
        <w:rPr>
          <w:spacing w:val="-10"/>
        </w:rPr>
        <w:t> </w:t>
      </w:r>
      <w:r>
        <w:rPr/>
        <w:t>communities: a 2017 report from the Center for American Progress on “Serving LGBTQ Immigrants and Building Welcoming Communities,” detailing services available to LGBTQ immigrants in six major U.S. cities - Chicago, New York, Miami, Houston, Los Angeles, and Washington, D.C</w:t>
      </w:r>
      <w:hyperlink w:history="true" w:anchor="_bookmark541">
        <w:r>
          <w:rPr>
            <w:vertAlign w:val="superscript"/>
          </w:rPr>
          <w:t>38</w:t>
        </w:r>
      </w:hyperlink>
      <w:r>
        <w:rPr>
          <w:vertAlign w:val="baseline"/>
        </w:rPr>
        <w:t> and a 2011 article detailing findings from a needs assessment conducted in Southern Arizona from LGBTQ foreign-born individuals, as</w:t>
      </w:r>
      <w:r>
        <w:rPr>
          <w:spacing w:val="-13"/>
          <w:vertAlign w:val="baseline"/>
        </w:rPr>
        <w:t> </w:t>
      </w:r>
      <w:r>
        <w:rPr>
          <w:vertAlign w:val="baseline"/>
        </w:rPr>
        <w:t>well</w:t>
      </w:r>
      <w:r>
        <w:rPr>
          <w:spacing w:val="-12"/>
          <w:vertAlign w:val="baseline"/>
        </w:rPr>
        <w:t> </w:t>
      </w:r>
      <w:r>
        <w:rPr>
          <w:vertAlign w:val="baseline"/>
        </w:rPr>
        <w:t>as</w:t>
      </w:r>
      <w:r>
        <w:rPr>
          <w:spacing w:val="-13"/>
          <w:vertAlign w:val="baseline"/>
        </w:rPr>
        <w:t> </w:t>
      </w:r>
      <w:r>
        <w:rPr>
          <w:vertAlign w:val="baseline"/>
        </w:rPr>
        <w:t>service</w:t>
      </w:r>
      <w:r>
        <w:rPr>
          <w:spacing w:val="-12"/>
          <w:vertAlign w:val="baseline"/>
        </w:rPr>
        <w:t> </w:t>
      </w:r>
      <w:r>
        <w:rPr>
          <w:vertAlign w:val="baseline"/>
        </w:rPr>
        <w:t>providers</w:t>
      </w:r>
      <w:hyperlink w:history="true" w:anchor="_bookmark541">
        <w:r>
          <w:rPr>
            <w:vertAlign w:val="baseline"/>
          </w:rPr>
          <w:t>.</w:t>
        </w:r>
        <w:r>
          <w:rPr>
            <w:color w:val="1F1F22"/>
            <w:vertAlign w:val="superscript"/>
          </w:rPr>
          <w:t>39</w:t>
        </w:r>
      </w:hyperlink>
      <w:r>
        <w:rPr>
          <w:color w:val="1F1F22"/>
          <w:spacing w:val="-13"/>
          <w:vertAlign w:val="baseline"/>
        </w:rPr>
        <w:t> </w:t>
      </w:r>
      <w:r>
        <w:rPr>
          <w:color w:val="1F1F22"/>
          <w:vertAlign w:val="baseline"/>
        </w:rPr>
        <w:t>Both</w:t>
      </w:r>
      <w:r>
        <w:rPr>
          <w:color w:val="1F1F22"/>
          <w:spacing w:val="-12"/>
          <w:vertAlign w:val="baseline"/>
        </w:rPr>
        <w:t> </w:t>
      </w:r>
      <w:r>
        <w:rPr>
          <w:color w:val="1F1F22"/>
          <w:vertAlign w:val="baseline"/>
        </w:rPr>
        <w:t>studies</w:t>
      </w:r>
      <w:r>
        <w:rPr>
          <w:color w:val="1F1F22"/>
          <w:spacing w:val="-12"/>
          <w:vertAlign w:val="baseline"/>
        </w:rPr>
        <w:t> </w:t>
      </w:r>
      <w:r>
        <w:rPr>
          <w:color w:val="1F1F22"/>
          <w:vertAlign w:val="baseline"/>
        </w:rPr>
        <w:t>provide</w:t>
      </w:r>
      <w:r>
        <w:rPr>
          <w:color w:val="1F1F22"/>
          <w:spacing w:val="-13"/>
          <w:vertAlign w:val="baseline"/>
        </w:rPr>
        <w:t> </w:t>
      </w:r>
      <w:r>
        <w:rPr>
          <w:color w:val="1F1F22"/>
          <w:vertAlign w:val="baseline"/>
        </w:rPr>
        <w:t>a</w:t>
      </w:r>
      <w:r>
        <w:rPr>
          <w:color w:val="1F1F22"/>
          <w:spacing w:val="-10"/>
          <w:vertAlign w:val="baseline"/>
        </w:rPr>
        <w:t> </w:t>
      </w:r>
      <w:r>
        <w:rPr>
          <w:color w:val="1F1F22"/>
          <w:vertAlign w:val="baseline"/>
        </w:rPr>
        <w:t>starting</w:t>
      </w:r>
      <w:r>
        <w:rPr>
          <w:color w:val="1F1F22"/>
          <w:spacing w:val="-12"/>
          <w:vertAlign w:val="baseline"/>
        </w:rPr>
        <w:t> </w:t>
      </w:r>
      <w:r>
        <w:rPr>
          <w:color w:val="1F1F22"/>
          <w:vertAlign w:val="baseline"/>
        </w:rPr>
        <w:t>point</w:t>
      </w:r>
      <w:r>
        <w:rPr>
          <w:color w:val="1F1F22"/>
          <w:spacing w:val="-12"/>
          <w:vertAlign w:val="baseline"/>
        </w:rPr>
        <w:t> </w:t>
      </w:r>
      <w:r>
        <w:rPr>
          <w:color w:val="1F1F22"/>
          <w:vertAlign w:val="baseline"/>
        </w:rPr>
        <w:t>for</w:t>
      </w:r>
      <w:r>
        <w:rPr>
          <w:color w:val="1F1F22"/>
          <w:spacing w:val="-12"/>
          <w:vertAlign w:val="baseline"/>
        </w:rPr>
        <w:t> </w:t>
      </w:r>
      <w:r>
        <w:rPr>
          <w:color w:val="1F1F22"/>
          <w:vertAlign w:val="baseline"/>
        </w:rPr>
        <w:t>other</w:t>
      </w:r>
      <w:r>
        <w:rPr>
          <w:color w:val="1F1F22"/>
          <w:spacing w:val="-12"/>
          <w:vertAlign w:val="baseline"/>
        </w:rPr>
        <w:t> </w:t>
      </w:r>
      <w:r>
        <w:rPr>
          <w:color w:val="1F1F22"/>
          <w:vertAlign w:val="baseline"/>
        </w:rPr>
        <w:t>scholars</w:t>
      </w:r>
      <w:r>
        <w:rPr>
          <w:color w:val="1F1F22"/>
          <w:spacing w:val="-12"/>
          <w:vertAlign w:val="baseline"/>
        </w:rPr>
        <w:t> </w:t>
      </w:r>
      <w:r>
        <w:rPr>
          <w:color w:val="1F1F22"/>
          <w:vertAlign w:val="baseline"/>
        </w:rPr>
        <w:t>and</w:t>
      </w:r>
      <w:r>
        <w:rPr>
          <w:color w:val="1F1F22"/>
          <w:spacing w:val="-13"/>
          <w:vertAlign w:val="baseline"/>
        </w:rPr>
        <w:t> </w:t>
      </w:r>
      <w:r>
        <w:rPr>
          <w:color w:val="1F1F22"/>
          <w:vertAlign w:val="baseline"/>
        </w:rPr>
        <w:t>service</w:t>
      </w:r>
      <w:r>
        <w:rPr>
          <w:color w:val="1F1F22"/>
          <w:spacing w:val="-12"/>
          <w:vertAlign w:val="baseline"/>
        </w:rPr>
        <w:t> </w:t>
      </w:r>
      <w:r>
        <w:rPr>
          <w:color w:val="1F1F22"/>
          <w:vertAlign w:val="baseline"/>
        </w:rPr>
        <w:t>providers elsewhere</w:t>
      </w:r>
      <w:r>
        <w:rPr>
          <w:color w:val="1F1F22"/>
          <w:spacing w:val="-5"/>
          <w:vertAlign w:val="baseline"/>
        </w:rPr>
        <w:t> </w:t>
      </w:r>
      <w:r>
        <w:rPr>
          <w:color w:val="1F1F22"/>
          <w:vertAlign w:val="baseline"/>
        </w:rPr>
        <w:t>who</w:t>
      </w:r>
      <w:r>
        <w:rPr>
          <w:color w:val="1F1F22"/>
          <w:spacing w:val="-6"/>
          <w:vertAlign w:val="baseline"/>
        </w:rPr>
        <w:t> </w:t>
      </w:r>
      <w:r>
        <w:rPr>
          <w:color w:val="1F1F22"/>
          <w:vertAlign w:val="baseline"/>
        </w:rPr>
        <w:t>are</w:t>
      </w:r>
      <w:r>
        <w:rPr>
          <w:color w:val="1F1F22"/>
          <w:spacing w:val="-7"/>
          <w:vertAlign w:val="baseline"/>
        </w:rPr>
        <w:t> </w:t>
      </w:r>
      <w:r>
        <w:rPr>
          <w:color w:val="1F1F22"/>
          <w:vertAlign w:val="baseline"/>
        </w:rPr>
        <w:t>invested</w:t>
      </w:r>
      <w:r>
        <w:rPr>
          <w:color w:val="1F1F22"/>
          <w:spacing w:val="-7"/>
          <w:vertAlign w:val="baseline"/>
        </w:rPr>
        <w:t> </w:t>
      </w:r>
      <w:r>
        <w:rPr>
          <w:color w:val="1F1F22"/>
          <w:vertAlign w:val="baseline"/>
        </w:rPr>
        <w:t>in</w:t>
      </w:r>
      <w:r>
        <w:rPr>
          <w:color w:val="1F1F22"/>
          <w:spacing w:val="-6"/>
          <w:vertAlign w:val="baseline"/>
        </w:rPr>
        <w:t> </w:t>
      </w:r>
      <w:r>
        <w:rPr>
          <w:color w:val="1F1F22"/>
          <w:vertAlign w:val="baseline"/>
        </w:rPr>
        <w:t>these</w:t>
      </w:r>
      <w:r>
        <w:rPr>
          <w:color w:val="1F1F22"/>
          <w:spacing w:val="-5"/>
          <w:vertAlign w:val="baseline"/>
        </w:rPr>
        <w:t> </w:t>
      </w:r>
      <w:r>
        <w:rPr>
          <w:color w:val="1F1F22"/>
          <w:vertAlign w:val="baseline"/>
        </w:rPr>
        <w:t>communities</w:t>
      </w:r>
      <w:r>
        <w:rPr>
          <w:color w:val="1F1F22"/>
          <w:spacing w:val="-6"/>
          <w:vertAlign w:val="baseline"/>
        </w:rPr>
        <w:t> </w:t>
      </w:r>
      <w:r>
        <w:rPr>
          <w:color w:val="1F1F22"/>
          <w:vertAlign w:val="baseline"/>
        </w:rPr>
        <w:t>and</w:t>
      </w:r>
      <w:r>
        <w:rPr>
          <w:color w:val="1F1F22"/>
          <w:spacing w:val="-7"/>
          <w:vertAlign w:val="baseline"/>
        </w:rPr>
        <w:t> </w:t>
      </w:r>
      <w:r>
        <w:rPr>
          <w:color w:val="1F1F22"/>
          <w:vertAlign w:val="baseline"/>
        </w:rPr>
        <w:t>issues</w:t>
      </w:r>
      <w:r>
        <w:rPr>
          <w:color w:val="1F1F22"/>
          <w:spacing w:val="-5"/>
          <w:vertAlign w:val="baseline"/>
        </w:rPr>
        <w:t> </w:t>
      </w:r>
      <w:r>
        <w:rPr>
          <w:color w:val="1F1F22"/>
          <w:vertAlign w:val="baseline"/>
        </w:rPr>
        <w:t>in</w:t>
      </w:r>
      <w:r>
        <w:rPr>
          <w:color w:val="1F1F22"/>
          <w:spacing w:val="-6"/>
          <w:vertAlign w:val="baseline"/>
        </w:rPr>
        <w:t> </w:t>
      </w:r>
      <w:r>
        <w:rPr>
          <w:color w:val="1F1F22"/>
          <w:vertAlign w:val="baseline"/>
        </w:rPr>
        <w:t>their</w:t>
      </w:r>
      <w:r>
        <w:rPr>
          <w:color w:val="1F1F22"/>
          <w:spacing w:val="-6"/>
          <w:vertAlign w:val="baseline"/>
        </w:rPr>
        <w:t> </w:t>
      </w:r>
      <w:r>
        <w:rPr>
          <w:color w:val="1F1F22"/>
          <w:vertAlign w:val="baseline"/>
        </w:rPr>
        <w:t>own</w:t>
      </w:r>
      <w:r>
        <w:rPr>
          <w:color w:val="1F1F22"/>
          <w:spacing w:val="-4"/>
          <w:vertAlign w:val="baseline"/>
        </w:rPr>
        <w:t> </w:t>
      </w:r>
      <w:r>
        <w:rPr>
          <w:color w:val="1F1F22"/>
          <w:vertAlign w:val="baseline"/>
        </w:rPr>
        <w:t>cities</w:t>
      </w:r>
      <w:r>
        <w:rPr>
          <w:color w:val="1F1F22"/>
          <w:spacing w:val="-6"/>
          <w:vertAlign w:val="baseline"/>
        </w:rPr>
        <w:t> </w:t>
      </w:r>
      <w:r>
        <w:rPr>
          <w:color w:val="1F1F22"/>
          <w:vertAlign w:val="baseline"/>
        </w:rPr>
        <w:t>and</w:t>
      </w:r>
      <w:r>
        <w:rPr>
          <w:color w:val="1F1F22"/>
          <w:spacing w:val="-6"/>
          <w:vertAlign w:val="baseline"/>
        </w:rPr>
        <w:t> </w:t>
      </w:r>
      <w:r>
        <w:rPr>
          <w:color w:val="1F1F22"/>
          <w:vertAlign w:val="baseline"/>
        </w:rPr>
        <w:t>towns.</w:t>
      </w:r>
      <w:r>
        <w:rPr>
          <w:color w:val="1F1F22"/>
          <w:spacing w:val="-4"/>
          <w:vertAlign w:val="baseline"/>
        </w:rPr>
        <w:t> </w:t>
      </w:r>
      <w:r>
        <w:rPr>
          <w:color w:val="1F1F22"/>
          <w:vertAlign w:val="baseline"/>
        </w:rPr>
        <w:t>However,</w:t>
      </w:r>
      <w:r>
        <w:rPr>
          <w:color w:val="1F1F22"/>
          <w:spacing w:val="-6"/>
          <w:vertAlign w:val="baseline"/>
        </w:rPr>
        <w:t> </w:t>
      </w:r>
      <w:r>
        <w:rPr>
          <w:color w:val="1F1F22"/>
          <w:vertAlign w:val="baseline"/>
        </w:rPr>
        <w:t>it</w:t>
      </w:r>
      <w:r>
        <w:rPr>
          <w:color w:val="1F1F22"/>
          <w:spacing w:val="-6"/>
          <w:vertAlign w:val="baseline"/>
        </w:rPr>
        <w:t> </w:t>
      </w:r>
      <w:r>
        <w:rPr>
          <w:color w:val="1F1F22"/>
          <w:vertAlign w:val="baseline"/>
        </w:rPr>
        <w:t>is important to note the age of both reports, with one being more than ten years old; given the limited nature of more recent and inclusive studies, the Commission strongly recommends that Massachusetts conduct a needs assessment for LGBTQ foreign-born residents in the next few years.</w:t>
      </w:r>
    </w:p>
    <w:p>
      <w:pPr>
        <w:pStyle w:val="BodyText"/>
        <w:spacing w:line="276" w:lineRule="auto" w:before="241"/>
        <w:ind w:left="463" w:right="261"/>
        <w:jc w:val="both"/>
      </w:pPr>
      <w:r>
        <w:rPr/>
        <w:t>The first, and sometimes most prevalent, barrier to many LGBTQ foreign-born youth participating in services is often language access. In fact, roughly 1.2 million foreign-born Massachusetts residents have limited</w:t>
      </w:r>
      <w:r>
        <w:rPr>
          <w:spacing w:val="-8"/>
        </w:rPr>
        <w:t> </w:t>
      </w:r>
      <w:r>
        <w:rPr/>
        <w:t>English</w:t>
      </w:r>
      <w:r>
        <w:rPr>
          <w:spacing w:val="-8"/>
        </w:rPr>
        <w:t> </w:t>
      </w:r>
      <w:r>
        <w:rPr/>
        <w:t>proficiency</w:t>
      </w:r>
      <w:r>
        <w:rPr>
          <w:spacing w:val="-7"/>
        </w:rPr>
        <w:t> </w:t>
      </w:r>
      <w:r>
        <w:rPr/>
        <w:t>(LEP).</w:t>
      </w:r>
      <w:r>
        <w:rPr>
          <w:vertAlign w:val="superscript"/>
        </w:rPr>
        <w:t>40</w:t>
      </w:r>
      <w:r>
        <w:rPr>
          <w:spacing w:val="-8"/>
          <w:vertAlign w:val="baseline"/>
        </w:rPr>
        <w:t> </w:t>
      </w:r>
      <w:r>
        <w:rPr>
          <w:vertAlign w:val="baseline"/>
        </w:rPr>
        <w:t>Alarmingly,</w:t>
      </w:r>
      <w:r>
        <w:rPr>
          <w:spacing w:val="-7"/>
          <w:vertAlign w:val="baseline"/>
        </w:rPr>
        <w:t> </w:t>
      </w:r>
      <w:r>
        <w:rPr>
          <w:vertAlign w:val="baseline"/>
        </w:rPr>
        <w:t>research</w:t>
      </w:r>
      <w:r>
        <w:rPr>
          <w:spacing w:val="-8"/>
          <w:vertAlign w:val="baseline"/>
        </w:rPr>
        <w:t> </w:t>
      </w:r>
      <w:r>
        <w:rPr>
          <w:vertAlign w:val="baseline"/>
        </w:rPr>
        <w:t>has</w:t>
      </w:r>
      <w:r>
        <w:rPr>
          <w:spacing w:val="-7"/>
          <w:vertAlign w:val="baseline"/>
        </w:rPr>
        <w:t> </w:t>
      </w:r>
      <w:r>
        <w:rPr>
          <w:vertAlign w:val="baseline"/>
        </w:rPr>
        <w:t>shown</w:t>
      </w:r>
      <w:r>
        <w:rPr>
          <w:spacing w:val="-8"/>
          <w:vertAlign w:val="baseline"/>
        </w:rPr>
        <w:t> </w:t>
      </w:r>
      <w:r>
        <w:rPr>
          <w:vertAlign w:val="baseline"/>
        </w:rPr>
        <w:t>that</w:t>
      </w:r>
      <w:r>
        <w:rPr>
          <w:spacing w:val="-8"/>
          <w:vertAlign w:val="baseline"/>
        </w:rPr>
        <w:t> </w:t>
      </w:r>
      <w:r>
        <w:rPr>
          <w:vertAlign w:val="baseline"/>
        </w:rPr>
        <w:t>people</w:t>
      </w:r>
      <w:r>
        <w:rPr>
          <w:spacing w:val="-8"/>
          <w:vertAlign w:val="baseline"/>
        </w:rPr>
        <w:t> </w:t>
      </w:r>
      <w:r>
        <w:rPr>
          <w:vertAlign w:val="baseline"/>
        </w:rPr>
        <w:t>with</w:t>
      </w:r>
      <w:r>
        <w:rPr>
          <w:spacing w:val="-8"/>
          <w:vertAlign w:val="baseline"/>
        </w:rPr>
        <w:t> </w:t>
      </w:r>
      <w:r>
        <w:rPr>
          <w:vertAlign w:val="baseline"/>
        </w:rPr>
        <w:t>LEP</w:t>
      </w:r>
      <w:r>
        <w:rPr>
          <w:spacing w:val="-7"/>
          <w:vertAlign w:val="baseline"/>
        </w:rPr>
        <w:t> </w:t>
      </w:r>
      <w:r>
        <w:rPr>
          <w:vertAlign w:val="baseline"/>
        </w:rPr>
        <w:t>are</w:t>
      </w:r>
      <w:r>
        <w:rPr>
          <w:spacing w:val="-8"/>
          <w:vertAlign w:val="baseline"/>
        </w:rPr>
        <w:t> </w:t>
      </w:r>
      <w:r>
        <w:rPr>
          <w:vertAlign w:val="baseline"/>
        </w:rPr>
        <w:t>more</w:t>
      </w:r>
      <w:r>
        <w:rPr>
          <w:spacing w:val="-8"/>
          <w:vertAlign w:val="baseline"/>
        </w:rPr>
        <w:t> </w:t>
      </w:r>
      <w:r>
        <w:rPr>
          <w:vertAlign w:val="baseline"/>
        </w:rPr>
        <w:t>likely</w:t>
      </w:r>
      <w:r>
        <w:rPr>
          <w:spacing w:val="-6"/>
          <w:vertAlign w:val="baseline"/>
        </w:rPr>
        <w:t> </w:t>
      </w:r>
      <w:r>
        <w:rPr>
          <w:vertAlign w:val="baseline"/>
        </w:rPr>
        <w:t>to live in poverty, making access to basic services critical.</w:t>
      </w:r>
      <w:r>
        <w:rPr>
          <w:vertAlign w:val="superscript"/>
        </w:rPr>
        <w:t>41</w:t>
      </w:r>
      <w:r>
        <w:rPr>
          <w:vertAlign w:val="baseline"/>
        </w:rPr>
        <w:t> Yet without language access resources, it is difficult</w:t>
      </w:r>
      <w:r>
        <w:rPr>
          <w:spacing w:val="22"/>
          <w:vertAlign w:val="baseline"/>
        </w:rPr>
        <w:t> </w:t>
      </w:r>
      <w:r>
        <w:rPr>
          <w:vertAlign w:val="baseline"/>
        </w:rPr>
        <w:t>for</w:t>
      </w:r>
      <w:r>
        <w:rPr>
          <w:spacing w:val="22"/>
          <w:vertAlign w:val="baseline"/>
        </w:rPr>
        <w:t> </w:t>
      </w:r>
      <w:r>
        <w:rPr>
          <w:vertAlign w:val="baseline"/>
        </w:rPr>
        <w:t>these</w:t>
      </w:r>
      <w:r>
        <w:rPr>
          <w:spacing w:val="22"/>
          <w:vertAlign w:val="baseline"/>
        </w:rPr>
        <w:t> </w:t>
      </w:r>
      <w:r>
        <w:rPr>
          <w:vertAlign w:val="baseline"/>
        </w:rPr>
        <w:t>individuals</w:t>
      </w:r>
      <w:r>
        <w:rPr>
          <w:spacing w:val="22"/>
          <w:vertAlign w:val="baseline"/>
        </w:rPr>
        <w:t> </w:t>
      </w:r>
      <w:r>
        <w:rPr>
          <w:vertAlign w:val="baseline"/>
        </w:rPr>
        <w:t>to</w:t>
      </w:r>
      <w:r>
        <w:rPr>
          <w:spacing w:val="22"/>
          <w:vertAlign w:val="baseline"/>
        </w:rPr>
        <w:t> </w:t>
      </w:r>
      <w:r>
        <w:rPr>
          <w:vertAlign w:val="baseline"/>
        </w:rPr>
        <w:t>locate</w:t>
      </w:r>
      <w:r>
        <w:rPr>
          <w:spacing w:val="23"/>
          <w:vertAlign w:val="baseline"/>
        </w:rPr>
        <w:t> </w:t>
      </w:r>
      <w:r>
        <w:rPr>
          <w:vertAlign w:val="baseline"/>
        </w:rPr>
        <w:t>and</w:t>
      </w:r>
      <w:r>
        <w:rPr>
          <w:spacing w:val="22"/>
          <w:vertAlign w:val="baseline"/>
        </w:rPr>
        <w:t> </w:t>
      </w:r>
      <w:r>
        <w:rPr>
          <w:vertAlign w:val="baseline"/>
        </w:rPr>
        <w:t>use</w:t>
      </w:r>
      <w:r>
        <w:rPr>
          <w:spacing w:val="22"/>
          <w:vertAlign w:val="baseline"/>
        </w:rPr>
        <w:t> </w:t>
      </w:r>
      <w:r>
        <w:rPr>
          <w:vertAlign w:val="baseline"/>
        </w:rPr>
        <w:t>services.</w:t>
      </w:r>
      <w:r>
        <w:rPr>
          <w:spacing w:val="22"/>
          <w:vertAlign w:val="baseline"/>
        </w:rPr>
        <w:t> </w:t>
      </w:r>
      <w:r>
        <w:rPr>
          <w:vertAlign w:val="baseline"/>
        </w:rPr>
        <w:t>Similarly,</w:t>
      </w:r>
      <w:r>
        <w:rPr>
          <w:spacing w:val="22"/>
          <w:vertAlign w:val="baseline"/>
        </w:rPr>
        <w:t> </w:t>
      </w:r>
      <w:r>
        <w:rPr>
          <w:vertAlign w:val="baseline"/>
        </w:rPr>
        <w:t>LEP</w:t>
      </w:r>
      <w:r>
        <w:rPr>
          <w:spacing w:val="22"/>
          <w:vertAlign w:val="baseline"/>
        </w:rPr>
        <w:t> </w:t>
      </w:r>
      <w:r>
        <w:rPr>
          <w:vertAlign w:val="baseline"/>
        </w:rPr>
        <w:t>has</w:t>
      </w:r>
      <w:r>
        <w:rPr>
          <w:spacing w:val="22"/>
          <w:vertAlign w:val="baseline"/>
        </w:rPr>
        <w:t> </w:t>
      </w:r>
      <w:r>
        <w:rPr>
          <w:vertAlign w:val="baseline"/>
        </w:rPr>
        <w:t>been</w:t>
      </w:r>
      <w:r>
        <w:rPr>
          <w:spacing w:val="22"/>
          <w:vertAlign w:val="baseline"/>
        </w:rPr>
        <w:t> </w:t>
      </w:r>
      <w:r>
        <w:rPr>
          <w:vertAlign w:val="baseline"/>
        </w:rPr>
        <w:t>linked</w:t>
      </w:r>
      <w:r>
        <w:rPr>
          <w:spacing w:val="23"/>
          <w:vertAlign w:val="baseline"/>
        </w:rPr>
        <w:t> </w:t>
      </w:r>
      <w:r>
        <w:rPr>
          <w:vertAlign w:val="baseline"/>
        </w:rPr>
        <w:t>to</w:t>
      </w:r>
      <w:r>
        <w:rPr>
          <w:spacing w:val="23"/>
          <w:vertAlign w:val="baseline"/>
        </w:rPr>
        <w:t> </w:t>
      </w:r>
      <w:r>
        <w:rPr>
          <w:vertAlign w:val="baseline"/>
        </w:rPr>
        <w:t>poor</w:t>
      </w:r>
      <w:r>
        <w:rPr>
          <w:spacing w:val="22"/>
          <w:vertAlign w:val="baseline"/>
        </w:rPr>
        <w:t> </w:t>
      </w:r>
      <w:r>
        <w:rPr>
          <w:vertAlign w:val="baseline"/>
        </w:rPr>
        <w:t>health</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1"/>
        <w:jc w:val="both"/>
      </w:pPr>
      <w:r>
        <w:rPr/>
        <w:t>outcomes; on a practical level, not speaking English proficiently and needing interpretation services are two</w:t>
      </w:r>
      <w:r>
        <w:rPr>
          <w:spacing w:val="-6"/>
        </w:rPr>
        <w:t> </w:t>
      </w:r>
      <w:r>
        <w:rPr/>
        <w:t>major</w:t>
      </w:r>
      <w:r>
        <w:rPr>
          <w:spacing w:val="-5"/>
        </w:rPr>
        <w:t> </w:t>
      </w:r>
      <w:r>
        <w:rPr/>
        <w:t>barriers</w:t>
      </w:r>
      <w:r>
        <w:rPr>
          <w:spacing w:val="-6"/>
        </w:rPr>
        <w:t> </w:t>
      </w:r>
      <w:r>
        <w:rPr/>
        <w:t>to</w:t>
      </w:r>
      <w:r>
        <w:rPr>
          <w:spacing w:val="-6"/>
        </w:rPr>
        <w:t> </w:t>
      </w:r>
      <w:r>
        <w:rPr/>
        <w:t>accessing</w:t>
      </w:r>
      <w:r>
        <w:rPr>
          <w:spacing w:val="-7"/>
        </w:rPr>
        <w:t> </w:t>
      </w:r>
      <w:r>
        <w:rPr/>
        <w:t>and</w:t>
      </w:r>
      <w:r>
        <w:rPr>
          <w:spacing w:val="-6"/>
        </w:rPr>
        <w:t> </w:t>
      </w:r>
      <w:r>
        <w:rPr/>
        <w:t>remaining</w:t>
      </w:r>
      <w:r>
        <w:rPr>
          <w:spacing w:val="-6"/>
        </w:rPr>
        <w:t> </w:t>
      </w:r>
      <w:r>
        <w:rPr/>
        <w:t>in</w:t>
      </w:r>
      <w:r>
        <w:rPr>
          <w:spacing w:val="-6"/>
        </w:rPr>
        <w:t> </w:t>
      </w:r>
      <w:r>
        <w:rPr/>
        <w:t>health</w:t>
      </w:r>
      <w:r>
        <w:rPr>
          <w:spacing w:val="-6"/>
        </w:rPr>
        <w:t> </w:t>
      </w:r>
      <w:r>
        <w:rPr/>
        <w:t>care</w:t>
      </w:r>
      <w:r>
        <w:rPr>
          <w:spacing w:val="-5"/>
        </w:rPr>
        <w:t> </w:t>
      </w:r>
      <w:r>
        <w:rPr/>
        <w:t>services,</w:t>
      </w:r>
      <w:r>
        <w:rPr>
          <w:spacing w:val="-6"/>
        </w:rPr>
        <w:t> </w:t>
      </w:r>
      <w:r>
        <w:rPr/>
        <w:t>including</w:t>
      </w:r>
      <w:r>
        <w:rPr>
          <w:spacing w:val="-6"/>
        </w:rPr>
        <w:t> </w:t>
      </w:r>
      <w:r>
        <w:rPr/>
        <w:t>mental</w:t>
      </w:r>
      <w:r>
        <w:rPr>
          <w:spacing w:val="-5"/>
        </w:rPr>
        <w:t> </w:t>
      </w:r>
      <w:r>
        <w:rPr/>
        <w:t>health</w:t>
      </w:r>
      <w:r>
        <w:rPr>
          <w:spacing w:val="-6"/>
        </w:rPr>
        <w:t> </w:t>
      </w:r>
      <w:r>
        <w:rPr/>
        <w:t>care.</w:t>
      </w:r>
      <w:r>
        <w:rPr>
          <w:vertAlign w:val="superscript"/>
        </w:rPr>
        <w:t>42</w:t>
      </w:r>
      <w:r>
        <w:rPr>
          <w:spacing w:val="-6"/>
          <w:vertAlign w:val="baseline"/>
        </w:rPr>
        <w:t> </w:t>
      </w:r>
      <w:r>
        <w:rPr>
          <w:vertAlign w:val="baseline"/>
        </w:rPr>
        <w:t>The inability to communicate in the dominant language of care space influences health outcomes by producing social isolation, insecurity, lack of access to relevant information, and difficulty establishing social relationships, which in turn impacts self-esteem and position within the family and other social </w:t>
      </w:r>
      <w:r>
        <w:rPr>
          <w:spacing w:val="-2"/>
          <w:vertAlign w:val="baseline"/>
        </w:rPr>
        <w:t>systems.</w:t>
      </w:r>
    </w:p>
    <w:p>
      <w:pPr>
        <w:spacing w:before="240"/>
        <w:ind w:left="463" w:right="0" w:firstLine="0"/>
        <w:jc w:val="left"/>
        <w:rPr>
          <w:sz w:val="28"/>
        </w:rPr>
      </w:pPr>
      <w:bookmarkStart w:name="Housing" w:id="786"/>
      <w:bookmarkEnd w:id="786"/>
      <w:r>
        <w:rPr/>
      </w:r>
      <w:r>
        <w:rPr>
          <w:color w:val="365F91"/>
          <w:spacing w:val="-2"/>
          <w:sz w:val="28"/>
        </w:rPr>
        <w:t>Housing</w:t>
      </w:r>
    </w:p>
    <w:p>
      <w:pPr>
        <w:pStyle w:val="BodyText"/>
        <w:spacing w:line="276" w:lineRule="auto" w:before="240"/>
        <w:ind w:left="463" w:right="261"/>
        <w:jc w:val="both"/>
      </w:pPr>
      <w:r>
        <w:rPr/>
        <w:t>As</w:t>
      </w:r>
      <w:r>
        <w:rPr>
          <w:spacing w:val="-7"/>
        </w:rPr>
        <w:t> </w:t>
      </w:r>
      <w:r>
        <w:rPr/>
        <w:t>noted</w:t>
      </w:r>
      <w:r>
        <w:rPr>
          <w:spacing w:val="-7"/>
        </w:rPr>
        <w:t> </w:t>
      </w:r>
      <w:r>
        <w:rPr/>
        <w:t>in</w:t>
      </w:r>
      <w:r>
        <w:rPr>
          <w:spacing w:val="-7"/>
        </w:rPr>
        <w:t> </w:t>
      </w:r>
      <w:r>
        <w:rPr/>
        <w:t>the</w:t>
      </w:r>
      <w:r>
        <w:rPr>
          <w:spacing w:val="-8"/>
        </w:rPr>
        <w:t> </w:t>
      </w:r>
      <w:r>
        <w:rPr/>
        <w:t>section</w:t>
      </w:r>
      <w:r>
        <w:rPr>
          <w:spacing w:val="-7"/>
        </w:rPr>
        <w:t> </w:t>
      </w:r>
      <w:r>
        <w:rPr/>
        <w:t>of</w:t>
      </w:r>
      <w:r>
        <w:rPr>
          <w:spacing w:val="-6"/>
        </w:rPr>
        <w:t> </w:t>
      </w:r>
      <w:r>
        <w:rPr/>
        <w:t>this</w:t>
      </w:r>
      <w:r>
        <w:rPr>
          <w:spacing w:val="-7"/>
        </w:rPr>
        <w:t> </w:t>
      </w:r>
      <w:r>
        <w:rPr/>
        <w:t>annual</w:t>
      </w:r>
      <w:r>
        <w:rPr>
          <w:spacing w:val="-8"/>
        </w:rPr>
        <w:t> </w:t>
      </w:r>
      <w:r>
        <w:rPr/>
        <w:t>report</w:t>
      </w:r>
      <w:r>
        <w:rPr>
          <w:spacing w:val="-8"/>
        </w:rPr>
        <w:t> </w:t>
      </w:r>
      <w:r>
        <w:rPr/>
        <w:t>on</w:t>
      </w:r>
      <w:r>
        <w:rPr>
          <w:spacing w:val="-8"/>
        </w:rPr>
        <w:t> </w:t>
      </w:r>
      <w:r>
        <w:rPr/>
        <w:t>youth</w:t>
      </w:r>
      <w:r>
        <w:rPr>
          <w:spacing w:val="-7"/>
        </w:rPr>
        <w:t> </w:t>
      </w:r>
      <w:r>
        <w:rPr/>
        <w:t>experiencing</w:t>
      </w:r>
      <w:r>
        <w:rPr>
          <w:spacing w:val="-7"/>
        </w:rPr>
        <w:t> </w:t>
      </w:r>
      <w:r>
        <w:rPr/>
        <w:t>homelessness,</w:t>
      </w:r>
      <w:r>
        <w:rPr>
          <w:spacing w:val="-7"/>
        </w:rPr>
        <w:t> </w:t>
      </w:r>
      <w:r>
        <w:rPr/>
        <w:t>research</w:t>
      </w:r>
      <w:r>
        <w:rPr>
          <w:spacing w:val="-8"/>
        </w:rPr>
        <w:t> </w:t>
      </w:r>
      <w:r>
        <w:rPr/>
        <w:t>indicates</w:t>
      </w:r>
      <w:r>
        <w:rPr>
          <w:spacing w:val="-6"/>
        </w:rPr>
        <w:t> </w:t>
      </w:r>
      <w:r>
        <w:rPr/>
        <w:t>that LGBTQ</w:t>
      </w:r>
      <w:r>
        <w:rPr>
          <w:spacing w:val="-13"/>
        </w:rPr>
        <w:t> </w:t>
      </w:r>
      <w:r>
        <w:rPr/>
        <w:t>people</w:t>
      </w:r>
      <w:r>
        <w:rPr>
          <w:spacing w:val="-12"/>
        </w:rPr>
        <w:t> </w:t>
      </w:r>
      <w:r>
        <w:rPr/>
        <w:t>are</w:t>
      </w:r>
      <w:r>
        <w:rPr>
          <w:spacing w:val="-13"/>
        </w:rPr>
        <w:t> </w:t>
      </w:r>
      <w:r>
        <w:rPr/>
        <w:t>disproportionately</w:t>
      </w:r>
      <w:r>
        <w:rPr>
          <w:spacing w:val="-12"/>
        </w:rPr>
        <w:t> </w:t>
      </w:r>
      <w:r>
        <w:rPr/>
        <w:t>impacted</w:t>
      </w:r>
      <w:r>
        <w:rPr>
          <w:spacing w:val="-13"/>
        </w:rPr>
        <w:t> </w:t>
      </w:r>
      <w:r>
        <w:rPr/>
        <w:t>by</w:t>
      </w:r>
      <w:r>
        <w:rPr>
          <w:spacing w:val="-12"/>
        </w:rPr>
        <w:t> </w:t>
      </w:r>
      <w:r>
        <w:rPr/>
        <w:t>homelessness,</w:t>
      </w:r>
      <w:r>
        <w:rPr>
          <w:spacing w:val="-13"/>
        </w:rPr>
        <w:t> </w:t>
      </w:r>
      <w:r>
        <w:rPr/>
        <w:t>and</w:t>
      </w:r>
      <w:r>
        <w:rPr>
          <w:spacing w:val="-12"/>
        </w:rPr>
        <w:t> </w:t>
      </w:r>
      <w:r>
        <w:rPr/>
        <w:t>LGBTQ</w:t>
      </w:r>
      <w:r>
        <w:rPr>
          <w:spacing w:val="-12"/>
        </w:rPr>
        <w:t> </w:t>
      </w:r>
      <w:r>
        <w:rPr/>
        <w:t>foreign-born</w:t>
      </w:r>
      <w:r>
        <w:rPr>
          <w:spacing w:val="-13"/>
        </w:rPr>
        <w:t> </w:t>
      </w:r>
      <w:r>
        <w:rPr/>
        <w:t>youth</w:t>
      </w:r>
      <w:r>
        <w:rPr>
          <w:spacing w:val="-12"/>
        </w:rPr>
        <w:t> </w:t>
      </w:r>
      <w:r>
        <w:rPr/>
        <w:t>are</w:t>
      </w:r>
      <w:r>
        <w:rPr>
          <w:spacing w:val="-13"/>
        </w:rPr>
        <w:t> </w:t>
      </w:r>
      <w:r>
        <w:rPr/>
        <w:t>more likely to face challenges to gaining access to housing services. In the 2011 </w:t>
      </w:r>
      <w:r>
        <w:rPr>
          <w:color w:val="1F1F22"/>
        </w:rPr>
        <w:t>Chávez study, </w:t>
      </w:r>
      <w:r>
        <w:rPr/>
        <w:t>undocumented non-citizens were more than twice as likely to report experiencing homelessness, to be physically assaulted in a place of public accommodation, and to be evicted because of their gender identity. Additionally, </w:t>
      </w:r>
      <w:r>
        <w:rPr>
          <w:color w:val="1F1F22"/>
        </w:rPr>
        <w:t>many participants had or knew someone who had, at various points, been thrown out of </w:t>
      </w:r>
      <w:r>
        <w:rPr>
          <w:color w:val="1F1F22"/>
          <w:spacing w:val="-2"/>
        </w:rPr>
        <w:t>their homes because of their sexuality or gender identity. Unfortunately, more recent research attempting </w:t>
      </w:r>
      <w:r>
        <w:rPr>
          <w:color w:val="1F1F22"/>
        </w:rPr>
        <w:t>to understand experiences of LGBTQ undocumented individuals experiencing homelessness does not currently exist. Most of these individuals turned to other family members or friends as opposed to any service agencies or providers; other than through friends, most participants had no information about where</w:t>
      </w:r>
      <w:r>
        <w:rPr>
          <w:color w:val="1F1F22"/>
          <w:spacing w:val="-10"/>
        </w:rPr>
        <w:t> </w:t>
      </w:r>
      <w:r>
        <w:rPr>
          <w:color w:val="1F1F22"/>
        </w:rPr>
        <w:t>to</w:t>
      </w:r>
      <w:r>
        <w:rPr>
          <w:color w:val="1F1F22"/>
          <w:spacing w:val="-11"/>
        </w:rPr>
        <w:t> </w:t>
      </w:r>
      <w:r>
        <w:rPr>
          <w:color w:val="1F1F22"/>
        </w:rPr>
        <w:t>seek</w:t>
      </w:r>
      <w:r>
        <w:rPr>
          <w:color w:val="1F1F22"/>
          <w:spacing w:val="-12"/>
        </w:rPr>
        <w:t> </w:t>
      </w:r>
      <w:r>
        <w:rPr>
          <w:color w:val="1F1F22"/>
        </w:rPr>
        <w:t>help</w:t>
      </w:r>
      <w:r>
        <w:rPr>
          <w:color w:val="1F1F22"/>
          <w:spacing w:val="-10"/>
        </w:rPr>
        <w:t> </w:t>
      </w:r>
      <w:r>
        <w:rPr>
          <w:color w:val="1F1F22"/>
        </w:rPr>
        <w:t>if</w:t>
      </w:r>
      <w:r>
        <w:rPr>
          <w:color w:val="1F1F22"/>
          <w:spacing w:val="-10"/>
        </w:rPr>
        <w:t> </w:t>
      </w:r>
      <w:r>
        <w:rPr>
          <w:color w:val="1F1F22"/>
        </w:rPr>
        <w:t>they</w:t>
      </w:r>
      <w:r>
        <w:rPr>
          <w:color w:val="1F1F22"/>
          <w:spacing w:val="-9"/>
        </w:rPr>
        <w:t> </w:t>
      </w:r>
      <w:r>
        <w:rPr>
          <w:color w:val="1F1F22"/>
        </w:rPr>
        <w:t>found</w:t>
      </w:r>
      <w:r>
        <w:rPr>
          <w:color w:val="1F1F22"/>
          <w:spacing w:val="-10"/>
        </w:rPr>
        <w:t> </w:t>
      </w:r>
      <w:r>
        <w:rPr>
          <w:color w:val="1F1F22"/>
        </w:rPr>
        <w:t>themselves</w:t>
      </w:r>
      <w:r>
        <w:rPr>
          <w:color w:val="1F1F22"/>
          <w:spacing w:val="-11"/>
        </w:rPr>
        <w:t> </w:t>
      </w:r>
      <w:r>
        <w:rPr>
          <w:color w:val="1F1F22"/>
        </w:rPr>
        <w:t>without</w:t>
      </w:r>
      <w:r>
        <w:rPr>
          <w:color w:val="1F1F22"/>
          <w:spacing w:val="-11"/>
        </w:rPr>
        <w:t> </w:t>
      </w:r>
      <w:r>
        <w:rPr>
          <w:color w:val="1F1F22"/>
        </w:rPr>
        <w:t>housing.</w:t>
      </w:r>
      <w:r>
        <w:rPr>
          <w:color w:val="1F1F22"/>
          <w:spacing w:val="-10"/>
        </w:rPr>
        <w:t> </w:t>
      </w:r>
      <w:r>
        <w:rPr>
          <w:color w:val="1F1F22"/>
        </w:rPr>
        <w:t>This</w:t>
      </w:r>
      <w:r>
        <w:rPr>
          <w:color w:val="1F1F22"/>
          <w:spacing w:val="-10"/>
        </w:rPr>
        <w:t> </w:t>
      </w:r>
      <w:r>
        <w:rPr>
          <w:color w:val="1F1F22"/>
        </w:rPr>
        <w:t>problem</w:t>
      </w:r>
      <w:r>
        <w:rPr>
          <w:color w:val="1F1F22"/>
          <w:spacing w:val="-10"/>
        </w:rPr>
        <w:t> </w:t>
      </w:r>
      <w:r>
        <w:rPr>
          <w:color w:val="1F1F22"/>
        </w:rPr>
        <w:t>can</w:t>
      </w:r>
      <w:r>
        <w:rPr>
          <w:color w:val="1F1F22"/>
          <w:spacing w:val="-9"/>
        </w:rPr>
        <w:t> </w:t>
      </w:r>
      <w:r>
        <w:rPr>
          <w:color w:val="1F1F22"/>
        </w:rPr>
        <w:t>be</w:t>
      </w:r>
      <w:r>
        <w:rPr>
          <w:color w:val="1F1F22"/>
          <w:spacing w:val="-10"/>
        </w:rPr>
        <w:t> </w:t>
      </w:r>
      <w:r>
        <w:rPr>
          <w:color w:val="1F1F22"/>
        </w:rPr>
        <w:t>compounded</w:t>
      </w:r>
      <w:r>
        <w:rPr>
          <w:color w:val="1F1F22"/>
          <w:spacing w:val="-10"/>
        </w:rPr>
        <w:t> </w:t>
      </w:r>
      <w:r>
        <w:rPr>
          <w:color w:val="1F1F22"/>
        </w:rPr>
        <w:t>for</w:t>
      </w:r>
      <w:r>
        <w:rPr>
          <w:color w:val="1F1F22"/>
          <w:spacing w:val="-11"/>
        </w:rPr>
        <w:t> </w:t>
      </w:r>
      <w:r>
        <w:rPr>
          <w:color w:val="1F1F22"/>
        </w:rPr>
        <w:t>those with limited English language skills or knowledge of U.S. culture.</w:t>
      </w:r>
      <w:r>
        <w:rPr>
          <w:vertAlign w:val="superscript"/>
        </w:rPr>
        <w:t>43</w:t>
      </w:r>
    </w:p>
    <w:p>
      <w:pPr>
        <w:pStyle w:val="BodyText"/>
        <w:spacing w:line="276" w:lineRule="auto" w:before="240"/>
        <w:ind w:left="463" w:right="263"/>
        <w:jc w:val="both"/>
      </w:pPr>
      <w:r>
        <w:rPr/>
        <w:t>In Massachusetts, 30% of respondents in the 2022 Youth Count identified as LGBTQ, 60.2% identified as BIPOC, and 8% were born outside of the U.S. </w:t>
      </w:r>
      <w:r>
        <w:rPr>
          <w:vertAlign w:val="superscript"/>
        </w:rPr>
        <w:t>44</w:t>
      </w:r>
      <w:r>
        <w:rPr>
          <w:vertAlign w:val="baseline"/>
        </w:rPr>
        <w:t> However, the 2022 Youth Count did not include a breakdown of youth born outside of the U.S. But, the 2021 Youth Count survey did include a brief breakdown</w:t>
      </w:r>
      <w:r>
        <w:rPr>
          <w:spacing w:val="-8"/>
          <w:vertAlign w:val="baseline"/>
        </w:rPr>
        <w:t> </w:t>
      </w:r>
      <w:r>
        <w:rPr>
          <w:vertAlign w:val="baseline"/>
        </w:rPr>
        <w:t>on</w:t>
      </w:r>
      <w:r>
        <w:rPr>
          <w:spacing w:val="-8"/>
          <w:vertAlign w:val="baseline"/>
        </w:rPr>
        <w:t> </w:t>
      </w:r>
      <w:r>
        <w:rPr>
          <w:vertAlign w:val="baseline"/>
        </w:rPr>
        <w:t>the</w:t>
      </w:r>
      <w:r>
        <w:rPr>
          <w:spacing w:val="-7"/>
          <w:vertAlign w:val="baseline"/>
        </w:rPr>
        <w:t> </w:t>
      </w:r>
      <w:r>
        <w:rPr>
          <w:vertAlign w:val="baseline"/>
        </w:rPr>
        <w:t>challenges</w:t>
      </w:r>
      <w:r>
        <w:rPr>
          <w:spacing w:val="-7"/>
          <w:vertAlign w:val="baseline"/>
        </w:rPr>
        <w:t> </w:t>
      </w:r>
      <w:r>
        <w:rPr>
          <w:vertAlign w:val="baseline"/>
        </w:rPr>
        <w:t>faced</w:t>
      </w:r>
      <w:r>
        <w:rPr>
          <w:spacing w:val="-7"/>
          <w:vertAlign w:val="baseline"/>
        </w:rPr>
        <w:t> </w:t>
      </w:r>
      <w:r>
        <w:rPr>
          <w:vertAlign w:val="baseline"/>
        </w:rPr>
        <w:t>by</w:t>
      </w:r>
      <w:r>
        <w:rPr>
          <w:spacing w:val="-6"/>
          <w:vertAlign w:val="baseline"/>
        </w:rPr>
        <w:t> </w:t>
      </w:r>
      <w:r>
        <w:rPr>
          <w:vertAlign w:val="baseline"/>
        </w:rPr>
        <w:t>youth</w:t>
      </w:r>
      <w:r>
        <w:rPr>
          <w:spacing w:val="-8"/>
          <w:vertAlign w:val="baseline"/>
        </w:rPr>
        <w:t> </w:t>
      </w:r>
      <w:r>
        <w:rPr>
          <w:vertAlign w:val="baseline"/>
        </w:rPr>
        <w:t>born</w:t>
      </w:r>
      <w:r>
        <w:rPr>
          <w:spacing w:val="-7"/>
          <w:vertAlign w:val="baseline"/>
        </w:rPr>
        <w:t> </w:t>
      </w:r>
      <w:r>
        <w:rPr>
          <w:vertAlign w:val="baseline"/>
        </w:rPr>
        <w:t>outside</w:t>
      </w:r>
      <w:r>
        <w:rPr>
          <w:spacing w:val="-8"/>
          <w:vertAlign w:val="baseline"/>
        </w:rPr>
        <w:t> </w:t>
      </w:r>
      <w:r>
        <w:rPr>
          <w:vertAlign w:val="baseline"/>
        </w:rPr>
        <w:t>of</w:t>
      </w:r>
      <w:r>
        <w:rPr>
          <w:spacing w:val="-7"/>
          <w:vertAlign w:val="baseline"/>
        </w:rPr>
        <w:t> </w:t>
      </w:r>
      <w:r>
        <w:rPr>
          <w:vertAlign w:val="baseline"/>
        </w:rPr>
        <w:t>the</w:t>
      </w:r>
      <w:r>
        <w:rPr>
          <w:spacing w:val="-7"/>
          <w:vertAlign w:val="baseline"/>
        </w:rPr>
        <w:t> </w:t>
      </w:r>
      <w:r>
        <w:rPr>
          <w:vertAlign w:val="baseline"/>
        </w:rPr>
        <w:t>U.S.</w:t>
      </w:r>
      <w:r>
        <w:rPr>
          <w:spacing w:val="-7"/>
          <w:vertAlign w:val="baseline"/>
        </w:rPr>
        <w:t> </w:t>
      </w:r>
      <w:r>
        <w:rPr>
          <w:vertAlign w:val="baseline"/>
        </w:rPr>
        <w:t>in</w:t>
      </w:r>
      <w:r>
        <w:rPr>
          <w:spacing w:val="-7"/>
          <w:vertAlign w:val="baseline"/>
        </w:rPr>
        <w:t> </w:t>
      </w:r>
      <w:r>
        <w:rPr>
          <w:vertAlign w:val="baseline"/>
        </w:rPr>
        <w:t>accessing</w:t>
      </w:r>
      <w:r>
        <w:rPr>
          <w:spacing w:val="-8"/>
          <w:vertAlign w:val="baseline"/>
        </w:rPr>
        <w:t> </w:t>
      </w:r>
      <w:r>
        <w:rPr>
          <w:vertAlign w:val="baseline"/>
        </w:rPr>
        <w:t>housing</w:t>
      </w:r>
      <w:r>
        <w:rPr>
          <w:spacing w:val="-8"/>
          <w:vertAlign w:val="baseline"/>
        </w:rPr>
        <w:t> </w:t>
      </w:r>
      <w:r>
        <w:rPr>
          <w:vertAlign w:val="baseline"/>
        </w:rPr>
        <w:t>services</w:t>
      </w:r>
      <w:r>
        <w:rPr>
          <w:spacing w:val="-7"/>
          <w:vertAlign w:val="baseline"/>
        </w:rPr>
        <w:t> </w:t>
      </w:r>
      <w:r>
        <w:rPr>
          <w:vertAlign w:val="baseline"/>
        </w:rPr>
        <w:t>during the COVID pandemic, with 55% of youth struggling to afford food, 45% to find a place to sleep, and 40% could not access public places (like parks).</w:t>
      </w:r>
      <w:r>
        <w:rPr>
          <w:vertAlign w:val="superscript"/>
        </w:rPr>
        <w:t>45</w:t>
      </w:r>
    </w:p>
    <w:p>
      <w:pPr>
        <w:pStyle w:val="BodyText"/>
        <w:spacing w:line="276" w:lineRule="auto" w:before="240"/>
        <w:ind w:left="463" w:right="260"/>
        <w:jc w:val="both"/>
      </w:pPr>
      <w:r>
        <w:rPr/>
        <w:t>As mentioned in the homelessness section of this annual report, the Commission recommends that the Massachusetts legislature pass </w:t>
      </w:r>
      <w:r>
        <w:rPr>
          <w:i/>
        </w:rPr>
        <w:t>An Act Providing Upstream Homelessness Prevention Assistance to</w:t>
      </w:r>
      <w:r>
        <w:rPr>
          <w:i/>
        </w:rPr>
        <w:t> Families, Youth, and Adults </w:t>
      </w:r>
      <w:r>
        <w:rPr/>
        <w:t>(</w:t>
      </w:r>
      <w:hyperlink r:id="rId569">
        <w:r>
          <w:rPr>
            <w:color w:val="1153CC"/>
            <w:u w:val="single" w:color="1153CC"/>
          </w:rPr>
          <w:t>S.856</w:t>
        </w:r>
      </w:hyperlink>
      <w:r>
        <w:rPr>
          <w:u w:val="none"/>
        </w:rPr>
        <w:t>/</w:t>
      </w:r>
      <w:hyperlink r:id="rId570">
        <w:r>
          <w:rPr>
            <w:color w:val="1153CC"/>
            <w:u w:val="single" w:color="1153CC"/>
          </w:rPr>
          <w:t>H.1312</w:t>
        </w:r>
      </w:hyperlink>
      <w:r>
        <w:rPr>
          <w:u w:val="none"/>
        </w:rPr>
        <w:t>), to protect all low-income state residents, which includes LGBTQ foreign-born youth, from eviction or foreclosure by codifying and streamlining access to DHCD’s homelessness</w:t>
      </w:r>
      <w:r>
        <w:rPr>
          <w:spacing w:val="-5"/>
          <w:u w:val="none"/>
        </w:rPr>
        <w:t> </w:t>
      </w:r>
      <w:r>
        <w:rPr>
          <w:u w:val="none"/>
        </w:rPr>
        <w:t>prevention</w:t>
      </w:r>
      <w:r>
        <w:rPr>
          <w:spacing w:val="-3"/>
          <w:u w:val="none"/>
        </w:rPr>
        <w:t> </w:t>
      </w:r>
      <w:r>
        <w:rPr>
          <w:u w:val="none"/>
        </w:rPr>
        <w:t>program,</w:t>
      </w:r>
      <w:r>
        <w:rPr>
          <w:spacing w:val="-4"/>
          <w:u w:val="none"/>
        </w:rPr>
        <w:t> </w:t>
      </w:r>
      <w:r>
        <w:rPr>
          <w:u w:val="none"/>
        </w:rPr>
        <w:t>Residential</w:t>
      </w:r>
      <w:r>
        <w:rPr>
          <w:spacing w:val="-4"/>
          <w:u w:val="none"/>
        </w:rPr>
        <w:t> </w:t>
      </w:r>
      <w:r>
        <w:rPr>
          <w:u w:val="none"/>
        </w:rPr>
        <w:t>Assistance</w:t>
      </w:r>
      <w:r>
        <w:rPr>
          <w:spacing w:val="-4"/>
          <w:u w:val="none"/>
        </w:rPr>
        <w:t> </w:t>
      </w:r>
      <w:r>
        <w:rPr>
          <w:u w:val="none"/>
        </w:rPr>
        <w:t>for</w:t>
      </w:r>
      <w:r>
        <w:rPr>
          <w:spacing w:val="-4"/>
          <w:u w:val="none"/>
        </w:rPr>
        <w:t> </w:t>
      </w:r>
      <w:r>
        <w:rPr>
          <w:u w:val="none"/>
        </w:rPr>
        <w:t>Families</w:t>
      </w:r>
      <w:r>
        <w:rPr>
          <w:spacing w:val="-3"/>
          <w:u w:val="none"/>
        </w:rPr>
        <w:t> </w:t>
      </w:r>
      <w:r>
        <w:rPr>
          <w:u w:val="none"/>
        </w:rPr>
        <w:t>in</w:t>
      </w:r>
      <w:r>
        <w:rPr>
          <w:spacing w:val="-4"/>
          <w:u w:val="none"/>
        </w:rPr>
        <w:t> </w:t>
      </w:r>
      <w:r>
        <w:rPr>
          <w:u w:val="none"/>
        </w:rPr>
        <w:t>Transition</w:t>
      </w:r>
      <w:r>
        <w:rPr>
          <w:spacing w:val="-5"/>
          <w:u w:val="none"/>
        </w:rPr>
        <w:t> </w:t>
      </w:r>
      <w:r>
        <w:rPr>
          <w:u w:val="none"/>
        </w:rPr>
        <w:t>(RAFT),</w:t>
      </w:r>
      <w:r>
        <w:rPr>
          <w:spacing w:val="-5"/>
          <w:u w:val="none"/>
        </w:rPr>
        <w:t> </w:t>
      </w:r>
      <w:r>
        <w:rPr>
          <w:u w:val="none"/>
        </w:rPr>
        <w:t>and</w:t>
      </w:r>
      <w:r>
        <w:rPr>
          <w:spacing w:val="-4"/>
          <w:u w:val="none"/>
        </w:rPr>
        <w:t> </w:t>
      </w:r>
      <w:r>
        <w:rPr>
          <w:u w:val="none"/>
        </w:rPr>
        <w:t>restoring critical COVID-era protections.</w:t>
      </w:r>
      <w:r>
        <w:rPr>
          <w:u w:val="none"/>
          <w:vertAlign w:val="superscript"/>
        </w:rPr>
        <w:t>4</w:t>
      </w:r>
    </w:p>
    <w:p>
      <w:pPr>
        <w:spacing w:before="239"/>
        <w:ind w:left="463" w:right="0" w:firstLine="0"/>
        <w:jc w:val="left"/>
        <w:rPr>
          <w:sz w:val="28"/>
        </w:rPr>
      </w:pPr>
      <w:bookmarkStart w:name="Healthcare" w:id="787"/>
      <w:bookmarkEnd w:id="787"/>
      <w:r>
        <w:rPr/>
      </w:r>
      <w:r>
        <w:rPr>
          <w:color w:val="365F91"/>
          <w:spacing w:val="-2"/>
          <w:sz w:val="28"/>
        </w:rPr>
        <w:t>Healthcare</w:t>
      </w:r>
    </w:p>
    <w:p>
      <w:pPr>
        <w:pStyle w:val="BodyText"/>
        <w:spacing w:line="276" w:lineRule="auto" w:before="241"/>
        <w:ind w:left="463" w:right="260"/>
        <w:jc w:val="both"/>
      </w:pPr>
      <w:r>
        <w:rPr/>
        <w:t>As highlighted in the various health sections of this annual report, LGBTQ youth often receive a lower quality of</w:t>
      </w:r>
      <w:r>
        <w:rPr>
          <w:spacing w:val="-1"/>
        </w:rPr>
        <w:t> </w:t>
      </w:r>
      <w:r>
        <w:rPr/>
        <w:t>care</w:t>
      </w:r>
      <w:r>
        <w:rPr>
          <w:spacing w:val="-2"/>
        </w:rPr>
        <w:t> </w:t>
      </w:r>
      <w:r>
        <w:rPr/>
        <w:t>than</w:t>
      </w:r>
      <w:r>
        <w:rPr>
          <w:spacing w:val="-1"/>
        </w:rPr>
        <w:t> </w:t>
      </w:r>
      <w:r>
        <w:rPr/>
        <w:t>their cisgender, heterosexual</w:t>
      </w:r>
      <w:r>
        <w:rPr>
          <w:spacing w:val="-2"/>
        </w:rPr>
        <w:t> </w:t>
      </w:r>
      <w:r>
        <w:rPr/>
        <w:t>peers,</w:t>
      </w:r>
      <w:r>
        <w:rPr>
          <w:spacing w:val="-1"/>
        </w:rPr>
        <w:t> </w:t>
      </w:r>
      <w:r>
        <w:rPr/>
        <w:t>particularly</w:t>
      </w:r>
      <w:r>
        <w:rPr>
          <w:spacing w:val="-1"/>
        </w:rPr>
        <w:t> </w:t>
      </w:r>
      <w:r>
        <w:rPr/>
        <w:t>as</w:t>
      </w:r>
      <w:r>
        <w:rPr>
          <w:spacing w:val="-1"/>
        </w:rPr>
        <w:t> </w:t>
      </w:r>
      <w:r>
        <w:rPr/>
        <w:t>many medical</w:t>
      </w:r>
      <w:r>
        <w:rPr>
          <w:spacing w:val="-2"/>
        </w:rPr>
        <w:t> </w:t>
      </w:r>
      <w:r>
        <w:rPr/>
        <w:t>providers</w:t>
      </w:r>
      <w:r>
        <w:rPr>
          <w:spacing w:val="-1"/>
        </w:rPr>
        <w:t> </w:t>
      </w:r>
      <w:r>
        <w:rPr/>
        <w:t>display a lack</w:t>
      </w:r>
      <w:r>
        <w:rPr>
          <w:spacing w:val="-4"/>
        </w:rPr>
        <w:t> </w:t>
      </w:r>
      <w:r>
        <w:rPr/>
        <w:t>of</w:t>
      </w:r>
      <w:r>
        <w:rPr>
          <w:spacing w:val="-3"/>
        </w:rPr>
        <w:t> </w:t>
      </w:r>
      <w:r>
        <w:rPr/>
        <w:t>sensitivity</w:t>
      </w:r>
      <w:r>
        <w:rPr>
          <w:spacing w:val="-4"/>
        </w:rPr>
        <w:t> </w:t>
      </w:r>
      <w:r>
        <w:rPr/>
        <w:t>to</w:t>
      </w:r>
      <w:r>
        <w:rPr>
          <w:spacing w:val="-2"/>
        </w:rPr>
        <w:t> </w:t>
      </w:r>
      <w:r>
        <w:rPr/>
        <w:t>the</w:t>
      </w:r>
      <w:r>
        <w:rPr>
          <w:spacing w:val="-3"/>
        </w:rPr>
        <w:t> </w:t>
      </w:r>
      <w:r>
        <w:rPr/>
        <w:t>unique</w:t>
      </w:r>
      <w:r>
        <w:rPr>
          <w:spacing w:val="-3"/>
        </w:rPr>
        <w:t> </w:t>
      </w:r>
      <w:r>
        <w:rPr/>
        <w:t>health</w:t>
      </w:r>
      <w:r>
        <w:rPr>
          <w:spacing w:val="-3"/>
        </w:rPr>
        <w:t> </w:t>
      </w:r>
      <w:r>
        <w:rPr/>
        <w:t>care</w:t>
      </w:r>
      <w:r>
        <w:rPr>
          <w:spacing w:val="-4"/>
        </w:rPr>
        <w:t> </w:t>
      </w:r>
      <w:r>
        <w:rPr/>
        <w:t>needs</w:t>
      </w:r>
      <w:r>
        <w:rPr>
          <w:spacing w:val="-4"/>
        </w:rPr>
        <w:t> </w:t>
      </w:r>
      <w:r>
        <w:rPr/>
        <w:t>of</w:t>
      </w:r>
      <w:r>
        <w:rPr>
          <w:spacing w:val="-3"/>
        </w:rPr>
        <w:t> </w:t>
      </w:r>
      <w:r>
        <w:rPr/>
        <w:t>LGBTQ</w:t>
      </w:r>
      <w:r>
        <w:rPr>
          <w:spacing w:val="-3"/>
        </w:rPr>
        <w:t> </w:t>
      </w:r>
      <w:r>
        <w:rPr/>
        <w:t>communities.</w:t>
      </w:r>
      <w:r>
        <w:rPr>
          <w:spacing w:val="-3"/>
        </w:rPr>
        <w:t> </w:t>
      </w:r>
      <w:r>
        <w:rPr/>
        <w:t>However,</w:t>
      </w:r>
      <w:r>
        <w:rPr>
          <w:spacing w:val="-4"/>
        </w:rPr>
        <w:t> </w:t>
      </w:r>
      <w:r>
        <w:rPr/>
        <w:t>the</w:t>
      </w:r>
      <w:r>
        <w:rPr>
          <w:spacing w:val="-3"/>
        </w:rPr>
        <w:t> </w:t>
      </w:r>
      <w:r>
        <w:rPr/>
        <w:t>problem</w:t>
      </w:r>
      <w:r>
        <w:rPr>
          <w:spacing w:val="-4"/>
        </w:rPr>
        <w:t> </w:t>
      </w:r>
      <w:r>
        <w:rPr/>
        <w:t>is</w:t>
      </w:r>
      <w:r>
        <w:rPr>
          <w:spacing w:val="-3"/>
        </w:rPr>
        <w:t> </w:t>
      </w:r>
      <w:r>
        <w:rPr/>
        <w:t>often even more severe for undocumented youth, as undocumented individuals are barred from accessing federally</w:t>
      </w:r>
      <w:r>
        <w:rPr>
          <w:spacing w:val="-1"/>
        </w:rPr>
        <w:t> </w:t>
      </w:r>
      <w:r>
        <w:rPr/>
        <w:t>funded</w:t>
      </w:r>
      <w:r>
        <w:rPr>
          <w:spacing w:val="-2"/>
        </w:rPr>
        <w:t> </w:t>
      </w:r>
      <w:r>
        <w:rPr/>
        <w:t>insurance</w:t>
      </w:r>
      <w:r>
        <w:rPr>
          <w:spacing w:val="-2"/>
        </w:rPr>
        <w:t> </w:t>
      </w:r>
      <w:r>
        <w:rPr/>
        <w:t>plans,</w:t>
      </w:r>
      <w:r>
        <w:rPr>
          <w:spacing w:val="-1"/>
        </w:rPr>
        <w:t> </w:t>
      </w:r>
      <w:r>
        <w:rPr/>
        <w:t>and</w:t>
      </w:r>
      <w:r>
        <w:rPr>
          <w:spacing w:val="-1"/>
        </w:rPr>
        <w:t> </w:t>
      </w:r>
      <w:r>
        <w:rPr/>
        <w:t>even</w:t>
      </w:r>
      <w:r>
        <w:rPr>
          <w:spacing w:val="-2"/>
        </w:rPr>
        <w:t> </w:t>
      </w:r>
      <w:r>
        <w:rPr/>
        <w:t>purchasing</w:t>
      </w:r>
      <w:r>
        <w:rPr>
          <w:spacing w:val="-2"/>
        </w:rPr>
        <w:t> </w:t>
      </w:r>
      <w:r>
        <w:rPr/>
        <w:t>insurance in</w:t>
      </w:r>
      <w:r>
        <w:rPr>
          <w:spacing w:val="-2"/>
        </w:rPr>
        <w:t> </w:t>
      </w:r>
      <w:r>
        <w:rPr/>
        <w:t>state</w:t>
      </w:r>
      <w:r>
        <w:rPr>
          <w:spacing w:val="-1"/>
        </w:rPr>
        <w:t> </w:t>
      </w:r>
      <w:r>
        <w:rPr/>
        <w:t>exchanges.</w:t>
      </w:r>
      <w:r>
        <w:rPr>
          <w:vertAlign w:val="superscript"/>
        </w:rPr>
        <w:t>47</w:t>
      </w:r>
      <w:r>
        <w:rPr>
          <w:spacing w:val="-2"/>
          <w:vertAlign w:val="baseline"/>
        </w:rPr>
        <w:t> </w:t>
      </w:r>
      <w:r>
        <w:rPr>
          <w:vertAlign w:val="baseline"/>
        </w:rPr>
        <w:t>In</w:t>
      </w:r>
      <w:r>
        <w:rPr>
          <w:spacing w:val="-2"/>
          <w:vertAlign w:val="baseline"/>
        </w:rPr>
        <w:t> </w:t>
      </w:r>
      <w:r>
        <w:rPr>
          <w:vertAlign w:val="baseline"/>
        </w:rPr>
        <w:t>Massachusetts, MassHealth</w:t>
      </w:r>
      <w:r>
        <w:rPr>
          <w:spacing w:val="-1"/>
          <w:vertAlign w:val="baseline"/>
        </w:rPr>
        <w:t> </w:t>
      </w:r>
      <w:r>
        <w:rPr>
          <w:vertAlign w:val="baseline"/>
        </w:rPr>
        <w:t>does offer some</w:t>
      </w:r>
      <w:r>
        <w:rPr>
          <w:spacing w:val="-1"/>
          <w:vertAlign w:val="baseline"/>
        </w:rPr>
        <w:t> </w:t>
      </w:r>
      <w:r>
        <w:rPr>
          <w:vertAlign w:val="baseline"/>
        </w:rPr>
        <w:t>healthcare</w:t>
      </w:r>
      <w:r>
        <w:rPr>
          <w:spacing w:val="-1"/>
          <w:vertAlign w:val="baseline"/>
        </w:rPr>
        <w:t> </w:t>
      </w:r>
      <w:r>
        <w:rPr>
          <w:vertAlign w:val="baseline"/>
        </w:rPr>
        <w:t>coverage options for undocumented communities, but</w:t>
      </w:r>
      <w:r>
        <w:rPr>
          <w:spacing w:val="-1"/>
          <w:vertAlign w:val="baseline"/>
        </w:rPr>
        <w:t> </w:t>
      </w:r>
      <w:r>
        <w:rPr>
          <w:vertAlign w:val="baseline"/>
        </w:rPr>
        <w:t>access is</w:t>
      </w:r>
    </w:p>
    <w:p>
      <w:pPr>
        <w:spacing w:after="0" w:line="276" w:lineRule="auto"/>
        <w:jc w:val="both"/>
        <w:sectPr>
          <w:pgSz w:w="12240" w:h="15840"/>
          <w:pgMar w:header="805" w:footer="1208" w:top="1080" w:bottom="1400" w:left="980" w:right="1180"/>
        </w:sectPr>
      </w:pPr>
    </w:p>
    <w:p>
      <w:pPr>
        <w:pStyle w:val="BodyText"/>
        <w:spacing w:line="276" w:lineRule="auto" w:before="69"/>
        <w:ind w:left="463" w:right="264" w:hanging="1"/>
        <w:jc w:val="both"/>
      </w:pPr>
      <w:r>
        <w:rPr/>
        <w:t>mostly</w:t>
      </w:r>
      <w:r>
        <w:rPr>
          <w:spacing w:val="-3"/>
        </w:rPr>
        <w:t> </w:t>
      </w:r>
      <w:r>
        <w:rPr/>
        <w:t>limited</w:t>
      </w:r>
      <w:r>
        <w:rPr>
          <w:spacing w:val="-3"/>
        </w:rPr>
        <w:t> </w:t>
      </w:r>
      <w:r>
        <w:rPr/>
        <w:t>to</w:t>
      </w:r>
      <w:r>
        <w:rPr>
          <w:spacing w:val="-1"/>
        </w:rPr>
        <w:t> </w:t>
      </w:r>
      <w:r>
        <w:rPr/>
        <w:t>emergency</w:t>
      </w:r>
      <w:r>
        <w:rPr>
          <w:spacing w:val="-3"/>
        </w:rPr>
        <w:t> </w:t>
      </w:r>
      <w:r>
        <w:rPr/>
        <w:t>services</w:t>
      </w:r>
      <w:r>
        <w:rPr>
          <w:spacing w:val="-3"/>
        </w:rPr>
        <w:t> </w:t>
      </w:r>
      <w:r>
        <w:rPr/>
        <w:t>rather</w:t>
      </w:r>
      <w:r>
        <w:rPr>
          <w:spacing w:val="-2"/>
        </w:rPr>
        <w:t> </w:t>
      </w:r>
      <w:r>
        <w:rPr/>
        <w:t>than</w:t>
      </w:r>
      <w:r>
        <w:rPr>
          <w:spacing w:val="-2"/>
        </w:rPr>
        <w:t> </w:t>
      </w:r>
      <w:r>
        <w:rPr/>
        <w:t>preventative</w:t>
      </w:r>
      <w:r>
        <w:rPr>
          <w:spacing w:val="-2"/>
        </w:rPr>
        <w:t> </w:t>
      </w:r>
      <w:r>
        <w:rPr/>
        <w:t>care.</w:t>
      </w:r>
      <w:r>
        <w:rPr>
          <w:vertAlign w:val="superscript"/>
        </w:rPr>
        <w:t>48</w:t>
      </w:r>
      <w:r>
        <w:rPr>
          <w:spacing w:val="-2"/>
          <w:vertAlign w:val="baseline"/>
        </w:rPr>
        <w:t> </w:t>
      </w:r>
      <w:r>
        <w:rPr>
          <w:vertAlign w:val="baseline"/>
        </w:rPr>
        <w:t>Nationally,</w:t>
      </w:r>
      <w:r>
        <w:rPr>
          <w:spacing w:val="-3"/>
          <w:vertAlign w:val="baseline"/>
        </w:rPr>
        <w:t> </w:t>
      </w:r>
      <w:r>
        <w:rPr>
          <w:vertAlign w:val="baseline"/>
        </w:rPr>
        <w:t>as</w:t>
      </w:r>
      <w:r>
        <w:rPr>
          <w:spacing w:val="-3"/>
          <w:vertAlign w:val="baseline"/>
        </w:rPr>
        <w:t> </w:t>
      </w:r>
      <w:r>
        <w:rPr>
          <w:vertAlign w:val="baseline"/>
        </w:rPr>
        <w:t>of</w:t>
      </w:r>
      <w:r>
        <w:rPr>
          <w:spacing w:val="-3"/>
          <w:vertAlign w:val="baseline"/>
        </w:rPr>
        <w:t> </w:t>
      </w:r>
      <w:r>
        <w:rPr>
          <w:vertAlign w:val="baseline"/>
        </w:rPr>
        <w:t>2021,</w:t>
      </w:r>
      <w:r>
        <w:rPr>
          <w:spacing w:val="-3"/>
          <w:vertAlign w:val="baseline"/>
        </w:rPr>
        <w:t> </w:t>
      </w:r>
      <w:r>
        <w:rPr>
          <w:vertAlign w:val="baseline"/>
        </w:rPr>
        <w:t>roughly</w:t>
      </w:r>
      <w:r>
        <w:rPr>
          <w:spacing w:val="-2"/>
          <w:vertAlign w:val="baseline"/>
        </w:rPr>
        <w:t> </w:t>
      </w:r>
      <w:r>
        <w:rPr>
          <w:vertAlign w:val="baseline"/>
        </w:rPr>
        <w:t>1</w:t>
      </w:r>
      <w:r>
        <w:rPr>
          <w:spacing w:val="-3"/>
          <w:vertAlign w:val="baseline"/>
        </w:rPr>
        <w:t> </w:t>
      </w:r>
      <w:r>
        <w:rPr>
          <w:vertAlign w:val="baseline"/>
        </w:rPr>
        <w:t>in 4</w:t>
      </w:r>
      <w:r>
        <w:rPr>
          <w:spacing w:val="-10"/>
          <w:vertAlign w:val="baseline"/>
        </w:rPr>
        <w:t> </w:t>
      </w:r>
      <w:r>
        <w:rPr>
          <w:vertAlign w:val="baseline"/>
        </w:rPr>
        <w:t>lawfully</w:t>
      </w:r>
      <w:r>
        <w:rPr>
          <w:spacing w:val="-9"/>
          <w:vertAlign w:val="baseline"/>
        </w:rPr>
        <w:t> </w:t>
      </w:r>
      <w:r>
        <w:rPr>
          <w:vertAlign w:val="baseline"/>
        </w:rPr>
        <w:t>present</w:t>
      </w:r>
      <w:r>
        <w:rPr>
          <w:spacing w:val="-10"/>
          <w:vertAlign w:val="baseline"/>
        </w:rPr>
        <w:t> </w:t>
      </w:r>
      <w:r>
        <w:rPr>
          <w:vertAlign w:val="baseline"/>
        </w:rPr>
        <w:t>immigrants,</w:t>
      </w:r>
      <w:r>
        <w:rPr>
          <w:spacing w:val="-10"/>
          <w:vertAlign w:val="baseline"/>
        </w:rPr>
        <w:t> </w:t>
      </w:r>
      <w:r>
        <w:rPr>
          <w:vertAlign w:val="baseline"/>
        </w:rPr>
        <w:t>and</w:t>
      </w:r>
      <w:r>
        <w:rPr>
          <w:spacing w:val="-9"/>
          <w:vertAlign w:val="baseline"/>
        </w:rPr>
        <w:t> </w:t>
      </w:r>
      <w:r>
        <w:rPr>
          <w:vertAlign w:val="baseline"/>
        </w:rPr>
        <w:t>nearly</w:t>
      </w:r>
      <w:r>
        <w:rPr>
          <w:spacing w:val="-10"/>
          <w:vertAlign w:val="baseline"/>
        </w:rPr>
        <w:t> </w:t>
      </w:r>
      <w:r>
        <w:rPr>
          <w:vertAlign w:val="baseline"/>
        </w:rPr>
        <w:t>1</w:t>
      </w:r>
      <w:r>
        <w:rPr>
          <w:spacing w:val="-10"/>
          <w:vertAlign w:val="baseline"/>
        </w:rPr>
        <w:t> </w:t>
      </w:r>
      <w:r>
        <w:rPr>
          <w:vertAlign w:val="baseline"/>
        </w:rPr>
        <w:t>in</w:t>
      </w:r>
      <w:r>
        <w:rPr>
          <w:spacing w:val="-10"/>
          <w:vertAlign w:val="baseline"/>
        </w:rPr>
        <w:t> </w:t>
      </w:r>
      <w:r>
        <w:rPr>
          <w:vertAlign w:val="baseline"/>
        </w:rPr>
        <w:t>2</w:t>
      </w:r>
      <w:r>
        <w:rPr>
          <w:spacing w:val="-8"/>
          <w:vertAlign w:val="baseline"/>
        </w:rPr>
        <w:t> </w:t>
      </w:r>
      <w:r>
        <w:rPr>
          <w:vertAlign w:val="baseline"/>
        </w:rPr>
        <w:t>undocumented</w:t>
      </w:r>
      <w:r>
        <w:rPr>
          <w:spacing w:val="-9"/>
          <w:vertAlign w:val="baseline"/>
        </w:rPr>
        <w:t> </w:t>
      </w:r>
      <w:r>
        <w:rPr>
          <w:vertAlign w:val="baseline"/>
        </w:rPr>
        <w:t>immigrants</w:t>
      </w:r>
      <w:r>
        <w:rPr>
          <w:spacing w:val="-8"/>
          <w:vertAlign w:val="baseline"/>
        </w:rPr>
        <w:t> </w:t>
      </w:r>
      <w:r>
        <w:rPr>
          <w:vertAlign w:val="baseline"/>
        </w:rPr>
        <w:t>were</w:t>
      </w:r>
      <w:r>
        <w:rPr>
          <w:spacing w:val="-10"/>
          <w:vertAlign w:val="baseline"/>
        </w:rPr>
        <w:t> </w:t>
      </w:r>
      <w:r>
        <w:rPr>
          <w:vertAlign w:val="baseline"/>
        </w:rPr>
        <w:t>uninsured,</w:t>
      </w:r>
      <w:r>
        <w:rPr>
          <w:spacing w:val="-7"/>
          <w:vertAlign w:val="baseline"/>
        </w:rPr>
        <w:t> </w:t>
      </w:r>
      <w:r>
        <w:rPr>
          <w:vertAlign w:val="baseline"/>
        </w:rPr>
        <w:t>compared</w:t>
      </w:r>
      <w:r>
        <w:rPr>
          <w:spacing w:val="-9"/>
          <w:vertAlign w:val="baseline"/>
        </w:rPr>
        <w:t> </w:t>
      </w:r>
      <w:r>
        <w:rPr>
          <w:vertAlign w:val="baseline"/>
        </w:rPr>
        <w:t>to 8% of non-elderly U.S.-born citizens.</w:t>
      </w:r>
      <w:r>
        <w:rPr>
          <w:vertAlign w:val="superscript"/>
        </w:rPr>
        <w:t>49</w:t>
      </w:r>
    </w:p>
    <w:p>
      <w:pPr>
        <w:pStyle w:val="BodyText"/>
        <w:spacing w:line="276" w:lineRule="auto" w:before="239"/>
        <w:ind w:left="4438" w:right="260"/>
        <w:jc w:val="both"/>
      </w:pPr>
      <w:r>
        <w:rPr/>
        <w:drawing>
          <wp:anchor distT="0" distB="0" distL="0" distR="0" allowOverlap="1" layoutInCell="1" locked="0" behindDoc="0" simplePos="0" relativeHeight="15812096">
            <wp:simplePos x="0" y="0"/>
            <wp:positionH relativeFrom="page">
              <wp:posOffset>825500</wp:posOffset>
            </wp:positionH>
            <wp:positionV relativeFrom="paragraph">
              <wp:posOffset>168141</wp:posOffset>
            </wp:positionV>
            <wp:extent cx="2523350" cy="2459352"/>
            <wp:effectExtent l="0" t="0" r="0" b="0"/>
            <wp:wrapNone/>
            <wp:docPr id="438" name="Image 438"/>
            <wp:cNvGraphicFramePr>
              <a:graphicFrameLocks/>
            </wp:cNvGraphicFramePr>
            <a:graphic>
              <a:graphicData uri="http://schemas.openxmlformats.org/drawingml/2006/picture">
                <pic:pic>
                  <pic:nvPicPr>
                    <pic:cNvPr id="438" name="Image 438"/>
                    <pic:cNvPicPr/>
                  </pic:nvPicPr>
                  <pic:blipFill>
                    <a:blip r:embed="rId571" cstate="print"/>
                    <a:stretch>
                      <a:fillRect/>
                    </a:stretch>
                  </pic:blipFill>
                  <pic:spPr>
                    <a:xfrm>
                      <a:off x="0" y="0"/>
                      <a:ext cx="2523350" cy="2459352"/>
                    </a:xfrm>
                    <a:prstGeom prst="rect">
                      <a:avLst/>
                    </a:prstGeom>
                  </pic:spPr>
                </pic:pic>
              </a:graphicData>
            </a:graphic>
          </wp:anchor>
        </w:drawing>
      </w:r>
      <w:r>
        <w:rPr/>
        <w:t>Between a lack of insurance, fear of discrimination and violence, and fear of being reported to immigration authorities, many LGBTQ undocumented youth go without adequate health and gender-affirming care. Furthermore, foreign-born</w:t>
      </w:r>
      <w:r>
        <w:rPr>
          <w:spacing w:val="-13"/>
        </w:rPr>
        <w:t> </w:t>
      </w:r>
      <w:r>
        <w:rPr/>
        <w:t>communities</w:t>
      </w:r>
      <w:r>
        <w:rPr>
          <w:spacing w:val="-12"/>
        </w:rPr>
        <w:t> </w:t>
      </w:r>
      <w:r>
        <w:rPr/>
        <w:t>also</w:t>
      </w:r>
      <w:r>
        <w:rPr>
          <w:spacing w:val="-13"/>
        </w:rPr>
        <w:t> </w:t>
      </w:r>
      <w:r>
        <w:rPr/>
        <w:t>struggle</w:t>
      </w:r>
      <w:r>
        <w:rPr>
          <w:spacing w:val="-12"/>
        </w:rPr>
        <w:t> </w:t>
      </w:r>
      <w:r>
        <w:rPr/>
        <w:t>to</w:t>
      </w:r>
      <w:r>
        <w:rPr>
          <w:spacing w:val="-13"/>
        </w:rPr>
        <w:t> </w:t>
      </w:r>
      <w:r>
        <w:rPr/>
        <w:t>access</w:t>
      </w:r>
      <w:r>
        <w:rPr>
          <w:spacing w:val="-12"/>
        </w:rPr>
        <w:t> </w:t>
      </w:r>
      <w:r>
        <w:rPr/>
        <w:t>care</w:t>
      </w:r>
      <w:r>
        <w:rPr>
          <w:spacing w:val="-13"/>
        </w:rPr>
        <w:t> </w:t>
      </w:r>
      <w:r>
        <w:rPr/>
        <w:t>due</w:t>
      </w:r>
      <w:r>
        <w:rPr>
          <w:spacing w:val="-12"/>
        </w:rPr>
        <w:t> </w:t>
      </w:r>
      <w:r>
        <w:rPr/>
        <w:t>to factors such as cultural misunderstanding and insensitivity, and a lack of translated health-related information held by and supplied to these diverse communities. Many immigrants</w:t>
      </w:r>
      <w:r>
        <w:rPr>
          <w:spacing w:val="-7"/>
        </w:rPr>
        <w:t> </w:t>
      </w:r>
      <w:r>
        <w:rPr/>
        <w:t>either</w:t>
      </w:r>
      <w:r>
        <w:rPr>
          <w:spacing w:val="-7"/>
        </w:rPr>
        <w:t> </w:t>
      </w:r>
      <w:r>
        <w:rPr/>
        <w:t>do</w:t>
      </w:r>
      <w:r>
        <w:rPr>
          <w:spacing w:val="-7"/>
        </w:rPr>
        <w:t> </w:t>
      </w:r>
      <w:r>
        <w:rPr/>
        <w:t>not</w:t>
      </w:r>
      <w:r>
        <w:rPr>
          <w:spacing w:val="-8"/>
        </w:rPr>
        <w:t> </w:t>
      </w:r>
      <w:r>
        <w:rPr/>
        <w:t>seek</w:t>
      </w:r>
      <w:r>
        <w:rPr>
          <w:spacing w:val="-8"/>
        </w:rPr>
        <w:t> </w:t>
      </w:r>
      <w:r>
        <w:rPr/>
        <w:t>healthcare</w:t>
      </w:r>
      <w:r>
        <w:rPr>
          <w:spacing w:val="-8"/>
        </w:rPr>
        <w:t> </w:t>
      </w:r>
      <w:r>
        <w:rPr/>
        <w:t>or</w:t>
      </w:r>
      <w:r>
        <w:rPr>
          <w:spacing w:val="-7"/>
        </w:rPr>
        <w:t> </w:t>
      </w:r>
      <w:r>
        <w:rPr/>
        <w:t>find</w:t>
      </w:r>
      <w:r>
        <w:rPr>
          <w:spacing w:val="-8"/>
        </w:rPr>
        <w:t> </w:t>
      </w:r>
      <w:r>
        <w:rPr/>
        <w:t>themselves subject to cultural insensitivity because services are not linguistically appropriate or fail to align with the immigrant group’s cultural values.</w:t>
      </w:r>
      <w:r>
        <w:rPr>
          <w:vertAlign w:val="superscript"/>
        </w:rPr>
        <w:t>50</w:t>
      </w:r>
    </w:p>
    <w:p>
      <w:pPr>
        <w:pStyle w:val="BodyText"/>
        <w:spacing w:line="276" w:lineRule="auto" w:before="241"/>
        <w:ind w:left="463" w:right="261" w:firstLine="3974"/>
        <w:jc w:val="both"/>
      </w:pPr>
      <w:r>
        <w:rPr/>
        <w:t>Legally, ICE recognizes health care centers as “sensitive locations”</w:t>
      </w:r>
      <w:r>
        <w:rPr>
          <w:spacing w:val="-12"/>
        </w:rPr>
        <w:t> </w:t>
      </w:r>
      <w:r>
        <w:rPr/>
        <w:t>and</w:t>
      </w:r>
      <w:r>
        <w:rPr>
          <w:spacing w:val="-13"/>
        </w:rPr>
        <w:t> </w:t>
      </w:r>
      <w:r>
        <w:rPr/>
        <w:t>cannot</w:t>
      </w:r>
      <w:r>
        <w:rPr>
          <w:spacing w:val="-11"/>
        </w:rPr>
        <w:t> </w:t>
      </w:r>
      <w:r>
        <w:rPr/>
        <w:t>detain</w:t>
      </w:r>
      <w:r>
        <w:rPr>
          <w:spacing w:val="-13"/>
        </w:rPr>
        <w:t> </w:t>
      </w:r>
      <w:r>
        <w:rPr/>
        <w:t>Massachusetts</w:t>
      </w:r>
      <w:r>
        <w:rPr>
          <w:spacing w:val="-11"/>
        </w:rPr>
        <w:t> </w:t>
      </w:r>
      <w:r>
        <w:rPr/>
        <w:t>residents</w:t>
      </w:r>
      <w:r>
        <w:rPr>
          <w:spacing w:val="-11"/>
        </w:rPr>
        <w:t> </w:t>
      </w:r>
      <w:r>
        <w:rPr/>
        <w:t>at</w:t>
      </w:r>
      <w:r>
        <w:rPr>
          <w:spacing w:val="-13"/>
        </w:rPr>
        <w:t> </w:t>
      </w:r>
      <w:r>
        <w:rPr/>
        <w:t>a</w:t>
      </w:r>
      <w:r>
        <w:rPr>
          <w:spacing w:val="-11"/>
        </w:rPr>
        <w:t> </w:t>
      </w:r>
      <w:r>
        <w:rPr/>
        <w:t>hospital,</w:t>
      </w:r>
      <w:r>
        <w:rPr>
          <w:spacing w:val="-12"/>
        </w:rPr>
        <w:t> </w:t>
      </w:r>
      <w:r>
        <w:rPr/>
        <w:t>doctor’s</w:t>
      </w:r>
      <w:r>
        <w:rPr>
          <w:spacing w:val="-12"/>
        </w:rPr>
        <w:t> </w:t>
      </w:r>
      <w:r>
        <w:rPr/>
        <w:t>office,</w:t>
      </w:r>
      <w:r>
        <w:rPr>
          <w:spacing w:val="-12"/>
        </w:rPr>
        <w:t> </w:t>
      </w:r>
      <w:r>
        <w:rPr/>
        <w:t>health</w:t>
      </w:r>
      <w:r>
        <w:rPr>
          <w:spacing w:val="-11"/>
        </w:rPr>
        <w:t> </w:t>
      </w:r>
      <w:r>
        <w:rPr/>
        <w:t>clinic,</w:t>
      </w:r>
      <w:r>
        <w:rPr>
          <w:spacing w:val="-12"/>
        </w:rPr>
        <w:t> </w:t>
      </w:r>
      <w:r>
        <w:rPr/>
        <w:t>or</w:t>
      </w:r>
      <w:r>
        <w:rPr>
          <w:spacing w:val="-12"/>
        </w:rPr>
        <w:t> </w:t>
      </w:r>
      <w:r>
        <w:rPr/>
        <w:t>urgent care</w:t>
      </w:r>
      <w:r>
        <w:rPr>
          <w:spacing w:val="-9"/>
        </w:rPr>
        <w:t> </w:t>
      </w:r>
      <w:r>
        <w:rPr/>
        <w:t>center,</w:t>
      </w:r>
      <w:r>
        <w:rPr>
          <w:spacing w:val="-8"/>
        </w:rPr>
        <w:t> </w:t>
      </w:r>
      <w:r>
        <w:rPr/>
        <w:t>unless</w:t>
      </w:r>
      <w:r>
        <w:rPr>
          <w:spacing w:val="-8"/>
        </w:rPr>
        <w:t> </w:t>
      </w:r>
      <w:r>
        <w:rPr/>
        <w:t>there</w:t>
      </w:r>
      <w:r>
        <w:rPr>
          <w:spacing w:val="-9"/>
        </w:rPr>
        <w:t> </w:t>
      </w:r>
      <w:r>
        <w:rPr/>
        <w:t>are</w:t>
      </w:r>
      <w:r>
        <w:rPr>
          <w:spacing w:val="-9"/>
        </w:rPr>
        <w:t> </w:t>
      </w:r>
      <w:r>
        <w:rPr/>
        <w:t>special</w:t>
      </w:r>
      <w:r>
        <w:rPr>
          <w:spacing w:val="-8"/>
        </w:rPr>
        <w:t> </w:t>
      </w:r>
      <w:r>
        <w:rPr/>
        <w:t>circumstances</w:t>
      </w:r>
      <w:r>
        <w:rPr>
          <w:spacing w:val="-8"/>
        </w:rPr>
        <w:t> </w:t>
      </w:r>
      <w:r>
        <w:rPr/>
        <w:t>or</w:t>
      </w:r>
      <w:r>
        <w:rPr>
          <w:spacing w:val="-9"/>
        </w:rPr>
        <w:t> </w:t>
      </w:r>
      <w:r>
        <w:rPr/>
        <w:t>with</w:t>
      </w:r>
      <w:r>
        <w:rPr>
          <w:spacing w:val="-8"/>
        </w:rPr>
        <w:t> </w:t>
      </w:r>
      <w:r>
        <w:rPr/>
        <w:t>prior</w:t>
      </w:r>
      <w:r>
        <w:rPr>
          <w:spacing w:val="-9"/>
        </w:rPr>
        <w:t> </w:t>
      </w:r>
      <w:r>
        <w:rPr/>
        <w:t>approval.</w:t>
      </w:r>
      <w:r>
        <w:rPr>
          <w:spacing w:val="-9"/>
        </w:rPr>
        <w:t> </w:t>
      </w:r>
      <w:r>
        <w:rPr/>
        <w:t>Furthermore,</w:t>
      </w:r>
      <w:r>
        <w:rPr>
          <w:spacing w:val="-8"/>
        </w:rPr>
        <w:t> </w:t>
      </w:r>
      <w:r>
        <w:rPr/>
        <w:t>federal</w:t>
      </w:r>
      <w:r>
        <w:rPr>
          <w:spacing w:val="-9"/>
        </w:rPr>
        <w:t> </w:t>
      </w:r>
      <w:r>
        <w:rPr/>
        <w:t>and</w:t>
      </w:r>
      <w:r>
        <w:rPr>
          <w:spacing w:val="-9"/>
        </w:rPr>
        <w:t> </w:t>
      </w:r>
      <w:r>
        <w:rPr/>
        <w:t>state privacy laws protect health information held by health care providers, and providers should only collect what information is medically relevant and needed for treatment. </w:t>
      </w:r>
      <w:r>
        <w:rPr>
          <w:vertAlign w:val="superscript"/>
        </w:rPr>
        <w:t>51</w:t>
      </w:r>
      <w:r>
        <w:rPr>
          <w:vertAlign w:val="baseline"/>
        </w:rPr>
        <w:t> However, many foreign-born communities continue to express concerns around fear of cultural insensitivity and being detained by immigration officials when seeking health care.</w:t>
      </w:r>
    </w:p>
    <w:p>
      <w:pPr>
        <w:pStyle w:val="BodyText"/>
        <w:spacing w:line="276" w:lineRule="auto" w:before="239"/>
        <w:ind w:left="463" w:right="260"/>
        <w:jc w:val="both"/>
      </w:pPr>
      <w:bookmarkStart w:name="_bookmark533" w:id="788"/>
      <w:bookmarkEnd w:id="788"/>
      <w:r>
        <w:rPr/>
      </w:r>
      <w:r>
        <w:rPr>
          <w:color w:val="1F1F22"/>
        </w:rPr>
        <w:t>In the 2017 report from the Center for American Progress, twelve of the thirty-two organizations interviewed</w:t>
      </w:r>
      <w:r>
        <w:rPr>
          <w:color w:val="1F1F22"/>
          <w:spacing w:val="-2"/>
        </w:rPr>
        <w:t> </w:t>
      </w:r>
      <w:r>
        <w:rPr>
          <w:color w:val="1F1F22"/>
        </w:rPr>
        <w:t>provided</w:t>
      </w:r>
      <w:r>
        <w:rPr>
          <w:color w:val="1F1F22"/>
          <w:spacing w:val="-2"/>
        </w:rPr>
        <w:t> </w:t>
      </w:r>
      <w:r>
        <w:rPr>
          <w:color w:val="1F1F22"/>
        </w:rPr>
        <w:t>health</w:t>
      </w:r>
      <w:r>
        <w:rPr>
          <w:color w:val="1F1F22"/>
          <w:spacing w:val="-2"/>
        </w:rPr>
        <w:t> </w:t>
      </w:r>
      <w:r>
        <w:rPr>
          <w:color w:val="1F1F22"/>
        </w:rPr>
        <w:t>care</w:t>
      </w:r>
      <w:r>
        <w:rPr>
          <w:color w:val="1F1F22"/>
          <w:spacing w:val="-2"/>
        </w:rPr>
        <w:t> </w:t>
      </w:r>
      <w:r>
        <w:rPr>
          <w:color w:val="1F1F22"/>
        </w:rPr>
        <w:t>services</w:t>
      </w:r>
      <w:r>
        <w:rPr>
          <w:color w:val="1F1F22"/>
          <w:spacing w:val="-2"/>
        </w:rPr>
        <w:t> </w:t>
      </w:r>
      <w:r>
        <w:rPr>
          <w:color w:val="1F1F22"/>
        </w:rPr>
        <w:t>for</w:t>
      </w:r>
      <w:r>
        <w:rPr>
          <w:color w:val="1F1F22"/>
          <w:spacing w:val="-1"/>
        </w:rPr>
        <w:t> </w:t>
      </w:r>
      <w:r>
        <w:rPr>
          <w:color w:val="1F1F22"/>
        </w:rPr>
        <w:t>undocumented</w:t>
      </w:r>
      <w:r>
        <w:rPr>
          <w:color w:val="1F1F22"/>
          <w:spacing w:val="-2"/>
        </w:rPr>
        <w:t> </w:t>
      </w:r>
      <w:r>
        <w:rPr>
          <w:color w:val="1F1F22"/>
        </w:rPr>
        <w:t>individuals,</w:t>
      </w:r>
      <w:r>
        <w:rPr>
          <w:color w:val="1F1F22"/>
          <w:spacing w:val="-3"/>
        </w:rPr>
        <w:t> </w:t>
      </w:r>
      <w:r>
        <w:rPr>
          <w:color w:val="1F1F22"/>
        </w:rPr>
        <w:t>with</w:t>
      </w:r>
      <w:r>
        <w:rPr>
          <w:color w:val="1F1F22"/>
          <w:spacing w:val="-1"/>
        </w:rPr>
        <w:t> </w:t>
      </w:r>
      <w:r>
        <w:rPr>
          <w:color w:val="1F1F22"/>
        </w:rPr>
        <w:t>the</w:t>
      </w:r>
      <w:r>
        <w:rPr>
          <w:color w:val="1F1F22"/>
          <w:spacing w:val="-2"/>
        </w:rPr>
        <w:t> </w:t>
      </w:r>
      <w:r>
        <w:rPr>
          <w:color w:val="1F1F22"/>
        </w:rPr>
        <w:t>most</w:t>
      </w:r>
      <w:r>
        <w:rPr>
          <w:color w:val="1F1F22"/>
          <w:spacing w:val="-2"/>
        </w:rPr>
        <w:t> </w:t>
      </w:r>
      <w:r>
        <w:rPr>
          <w:color w:val="1F1F22"/>
        </w:rPr>
        <w:t>common</w:t>
      </w:r>
      <w:r>
        <w:rPr>
          <w:color w:val="1F1F22"/>
          <w:spacing w:val="-2"/>
        </w:rPr>
        <w:t> </w:t>
      </w:r>
      <w:r>
        <w:rPr>
          <w:color w:val="1F1F22"/>
        </w:rPr>
        <w:t>service provided</w:t>
      </w:r>
      <w:r>
        <w:rPr>
          <w:color w:val="1F1F22"/>
          <w:spacing w:val="-8"/>
        </w:rPr>
        <w:t> </w:t>
      </w:r>
      <w:r>
        <w:rPr>
          <w:color w:val="1F1F22"/>
        </w:rPr>
        <w:t>being</w:t>
      </w:r>
      <w:r>
        <w:rPr>
          <w:color w:val="1F1F22"/>
          <w:spacing w:val="-8"/>
        </w:rPr>
        <w:t> </w:t>
      </w:r>
      <w:r>
        <w:rPr>
          <w:color w:val="1F1F22"/>
        </w:rPr>
        <w:t>HIV/AIDS</w:t>
      </w:r>
      <w:r>
        <w:rPr>
          <w:color w:val="1F1F22"/>
          <w:spacing w:val="-7"/>
        </w:rPr>
        <w:t> </w:t>
      </w:r>
      <w:r>
        <w:rPr>
          <w:color w:val="1F1F22"/>
        </w:rPr>
        <w:t>prevention</w:t>
      </w:r>
      <w:r>
        <w:rPr>
          <w:color w:val="1F1F22"/>
          <w:spacing w:val="-8"/>
        </w:rPr>
        <w:t> </w:t>
      </w:r>
      <w:r>
        <w:rPr>
          <w:color w:val="1F1F22"/>
        </w:rPr>
        <w:t>and</w:t>
      </w:r>
      <w:r>
        <w:rPr>
          <w:color w:val="1F1F22"/>
          <w:spacing w:val="-8"/>
        </w:rPr>
        <w:t> </w:t>
      </w:r>
      <w:r>
        <w:rPr>
          <w:color w:val="1F1F22"/>
        </w:rPr>
        <w:t>treatment.</w:t>
      </w:r>
      <w:r>
        <w:rPr>
          <w:color w:val="1F1F22"/>
          <w:spacing w:val="-8"/>
        </w:rPr>
        <w:t> </w:t>
      </w:r>
      <w:r>
        <w:rPr>
          <w:color w:val="1F1F22"/>
        </w:rPr>
        <w:t>The</w:t>
      </w:r>
      <w:r>
        <w:rPr>
          <w:color w:val="1F1F22"/>
          <w:spacing w:val="-8"/>
        </w:rPr>
        <w:t> </w:t>
      </w:r>
      <w:r>
        <w:rPr>
          <w:color w:val="1F1F22"/>
        </w:rPr>
        <w:t>range</w:t>
      </w:r>
      <w:r>
        <w:rPr>
          <w:color w:val="1F1F22"/>
          <w:spacing w:val="-9"/>
        </w:rPr>
        <w:t> </w:t>
      </w:r>
      <w:r>
        <w:rPr>
          <w:color w:val="1F1F22"/>
        </w:rPr>
        <w:t>of</w:t>
      </w:r>
      <w:r>
        <w:rPr>
          <w:color w:val="1F1F22"/>
          <w:spacing w:val="-8"/>
        </w:rPr>
        <w:t> </w:t>
      </w:r>
      <w:r>
        <w:rPr>
          <w:color w:val="1F1F22"/>
        </w:rPr>
        <w:t>health</w:t>
      </w:r>
      <w:r>
        <w:rPr>
          <w:color w:val="1F1F22"/>
          <w:spacing w:val="-8"/>
        </w:rPr>
        <w:t> </w:t>
      </w:r>
      <w:r>
        <w:rPr>
          <w:color w:val="1F1F22"/>
        </w:rPr>
        <w:t>care</w:t>
      </w:r>
      <w:r>
        <w:rPr>
          <w:color w:val="1F1F22"/>
          <w:spacing w:val="-8"/>
        </w:rPr>
        <w:t> </w:t>
      </w:r>
      <w:r>
        <w:rPr>
          <w:color w:val="1F1F22"/>
        </w:rPr>
        <w:t>services</w:t>
      </w:r>
      <w:r>
        <w:rPr>
          <w:color w:val="1F1F22"/>
          <w:spacing w:val="-8"/>
        </w:rPr>
        <w:t> </w:t>
      </w:r>
      <w:r>
        <w:rPr>
          <w:color w:val="1F1F22"/>
        </w:rPr>
        <w:t>offered</w:t>
      </w:r>
      <w:r>
        <w:rPr>
          <w:color w:val="1F1F22"/>
          <w:spacing w:val="-8"/>
        </w:rPr>
        <w:t> </w:t>
      </w:r>
      <w:r>
        <w:rPr>
          <w:color w:val="1F1F22"/>
        </w:rPr>
        <w:t>by</w:t>
      </w:r>
      <w:r>
        <w:rPr>
          <w:color w:val="1F1F22"/>
          <w:spacing w:val="-8"/>
        </w:rPr>
        <w:t> </w:t>
      </w:r>
      <w:r>
        <w:rPr>
          <w:color w:val="1F1F22"/>
        </w:rPr>
        <w:t>these</w:t>
      </w:r>
      <w:r>
        <w:rPr>
          <w:color w:val="1F1F22"/>
          <w:spacing w:val="-8"/>
        </w:rPr>
        <w:t> </w:t>
      </w:r>
      <w:r>
        <w:rPr>
          <w:color w:val="1F1F22"/>
        </w:rPr>
        <w:t>12 organizations</w:t>
      </w:r>
      <w:r>
        <w:rPr>
          <w:color w:val="1F1F22"/>
          <w:spacing w:val="-5"/>
        </w:rPr>
        <w:t> </w:t>
      </w:r>
      <w:r>
        <w:rPr>
          <w:color w:val="1F1F22"/>
        </w:rPr>
        <w:t>included</w:t>
      </w:r>
      <w:r>
        <w:rPr>
          <w:color w:val="1F1F22"/>
          <w:spacing w:val="-4"/>
        </w:rPr>
        <w:t> </w:t>
      </w:r>
      <w:r>
        <w:rPr>
          <w:color w:val="1F1F22"/>
        </w:rPr>
        <w:t>mental</w:t>
      </w:r>
      <w:r>
        <w:rPr>
          <w:color w:val="1F1F22"/>
          <w:spacing w:val="-5"/>
        </w:rPr>
        <w:t> </w:t>
      </w:r>
      <w:r>
        <w:rPr>
          <w:color w:val="1F1F22"/>
        </w:rPr>
        <w:t>health</w:t>
      </w:r>
      <w:r>
        <w:rPr>
          <w:color w:val="1F1F22"/>
          <w:spacing w:val="-4"/>
        </w:rPr>
        <w:t> </w:t>
      </w:r>
      <w:r>
        <w:rPr>
          <w:color w:val="1F1F22"/>
        </w:rPr>
        <w:t>care,</w:t>
      </w:r>
      <w:r>
        <w:rPr>
          <w:color w:val="1F1F22"/>
          <w:spacing w:val="-5"/>
        </w:rPr>
        <w:t> </w:t>
      </w:r>
      <w:r>
        <w:rPr>
          <w:color w:val="1F1F22"/>
        </w:rPr>
        <w:t>treatment</w:t>
      </w:r>
      <w:r>
        <w:rPr>
          <w:color w:val="1F1F22"/>
          <w:spacing w:val="-4"/>
        </w:rPr>
        <w:t> </w:t>
      </w:r>
      <w:r>
        <w:rPr>
          <w:color w:val="1F1F22"/>
        </w:rPr>
        <w:t>for</w:t>
      </w:r>
      <w:r>
        <w:rPr>
          <w:color w:val="1F1F22"/>
          <w:spacing w:val="-5"/>
        </w:rPr>
        <w:t> </w:t>
      </w:r>
      <w:r>
        <w:rPr>
          <w:color w:val="1F1F22"/>
        </w:rPr>
        <w:t>substance</w:t>
      </w:r>
      <w:r>
        <w:rPr>
          <w:color w:val="1F1F22"/>
          <w:spacing w:val="-5"/>
        </w:rPr>
        <w:t> </w:t>
      </w:r>
      <w:r>
        <w:rPr>
          <w:color w:val="1F1F22"/>
        </w:rPr>
        <w:t>and</w:t>
      </w:r>
      <w:r>
        <w:rPr>
          <w:color w:val="1F1F22"/>
          <w:spacing w:val="-5"/>
        </w:rPr>
        <w:t> </w:t>
      </w:r>
      <w:r>
        <w:rPr>
          <w:color w:val="1F1F22"/>
        </w:rPr>
        <w:t>drug</w:t>
      </w:r>
      <w:r>
        <w:rPr>
          <w:color w:val="1F1F22"/>
          <w:spacing w:val="-5"/>
        </w:rPr>
        <w:t> </w:t>
      </w:r>
      <w:r>
        <w:rPr>
          <w:color w:val="1F1F22"/>
        </w:rPr>
        <w:t>abuse,</w:t>
      </w:r>
      <w:r>
        <w:rPr>
          <w:color w:val="1F1F22"/>
          <w:spacing w:val="-5"/>
        </w:rPr>
        <w:t> </w:t>
      </w:r>
      <w:r>
        <w:rPr>
          <w:color w:val="1F1F22"/>
        </w:rPr>
        <w:t>medical</w:t>
      </w:r>
      <w:r>
        <w:rPr>
          <w:color w:val="1F1F22"/>
          <w:spacing w:val="-4"/>
        </w:rPr>
        <w:t> </w:t>
      </w:r>
      <w:r>
        <w:rPr>
          <w:color w:val="1F1F22"/>
        </w:rPr>
        <w:t>care,</w:t>
      </w:r>
      <w:r>
        <w:rPr>
          <w:color w:val="1F1F22"/>
          <w:spacing w:val="-5"/>
        </w:rPr>
        <w:t> </w:t>
      </w:r>
      <w:r>
        <w:rPr>
          <w:color w:val="1F1F22"/>
        </w:rPr>
        <w:t>health education,</w:t>
      </w:r>
      <w:r>
        <w:rPr>
          <w:color w:val="1F1F22"/>
          <w:spacing w:val="-11"/>
        </w:rPr>
        <w:t> </w:t>
      </w:r>
      <w:r>
        <w:rPr>
          <w:color w:val="1F1F22"/>
        </w:rPr>
        <w:t>and</w:t>
      </w:r>
      <w:r>
        <w:rPr>
          <w:color w:val="1F1F22"/>
          <w:spacing w:val="-11"/>
        </w:rPr>
        <w:t> </w:t>
      </w:r>
      <w:r>
        <w:rPr>
          <w:color w:val="1F1F22"/>
        </w:rPr>
        <w:t>prevention</w:t>
      </w:r>
      <w:r>
        <w:rPr>
          <w:color w:val="1F1F22"/>
          <w:spacing w:val="-10"/>
        </w:rPr>
        <w:t> </w:t>
      </w:r>
      <w:r>
        <w:rPr>
          <w:color w:val="1F1F22"/>
        </w:rPr>
        <w:t>and</w:t>
      </w:r>
      <w:r>
        <w:rPr>
          <w:color w:val="1F1F22"/>
          <w:spacing w:val="-11"/>
        </w:rPr>
        <w:t> </w:t>
      </w:r>
      <w:r>
        <w:rPr>
          <w:color w:val="1F1F22"/>
        </w:rPr>
        <w:t>testing</w:t>
      </w:r>
      <w:r>
        <w:rPr>
          <w:color w:val="1F1F22"/>
          <w:spacing w:val="-11"/>
        </w:rPr>
        <w:t> </w:t>
      </w:r>
      <w:r>
        <w:rPr>
          <w:color w:val="1F1F22"/>
        </w:rPr>
        <w:t>for</w:t>
      </w:r>
      <w:r>
        <w:rPr>
          <w:color w:val="1F1F22"/>
          <w:spacing w:val="-11"/>
        </w:rPr>
        <w:t> </w:t>
      </w:r>
      <w:r>
        <w:rPr>
          <w:color w:val="1F1F22"/>
        </w:rPr>
        <w:t>HIV/AIDS</w:t>
      </w:r>
      <w:r>
        <w:rPr>
          <w:color w:val="1F1F22"/>
          <w:spacing w:val="-11"/>
        </w:rPr>
        <w:t> </w:t>
      </w:r>
      <w:r>
        <w:rPr>
          <w:color w:val="1F1F22"/>
        </w:rPr>
        <w:t>and</w:t>
      </w:r>
      <w:r>
        <w:rPr>
          <w:color w:val="1F1F22"/>
          <w:spacing w:val="-11"/>
        </w:rPr>
        <w:t> </w:t>
      </w:r>
      <w:r>
        <w:rPr>
          <w:color w:val="1F1F22"/>
        </w:rPr>
        <w:t>other</w:t>
      </w:r>
      <w:r>
        <w:rPr>
          <w:color w:val="1F1F22"/>
          <w:spacing w:val="-11"/>
        </w:rPr>
        <w:t> </w:t>
      </w:r>
      <w:r>
        <w:rPr>
          <w:color w:val="1F1F22"/>
        </w:rPr>
        <w:t>sexually</w:t>
      </w:r>
      <w:r>
        <w:rPr>
          <w:color w:val="1F1F22"/>
          <w:spacing w:val="-11"/>
        </w:rPr>
        <w:t> </w:t>
      </w:r>
      <w:r>
        <w:rPr>
          <w:color w:val="1F1F22"/>
        </w:rPr>
        <w:t>transmitted</w:t>
      </w:r>
      <w:r>
        <w:rPr>
          <w:color w:val="1F1F22"/>
          <w:spacing w:val="-11"/>
        </w:rPr>
        <w:t> </w:t>
      </w:r>
      <w:r>
        <w:rPr>
          <w:color w:val="1F1F22"/>
        </w:rPr>
        <w:t>infections.</w:t>
      </w:r>
      <w:r>
        <w:rPr>
          <w:color w:val="1F1F22"/>
          <w:spacing w:val="-10"/>
        </w:rPr>
        <w:t> </w:t>
      </w:r>
      <w:r>
        <w:rPr>
          <w:color w:val="1F1F22"/>
        </w:rPr>
        <w:t>One</w:t>
      </w:r>
      <w:r>
        <w:rPr>
          <w:color w:val="1F1F22"/>
          <w:spacing w:val="-11"/>
        </w:rPr>
        <w:t> </w:t>
      </w:r>
      <w:r>
        <w:rPr>
          <w:color w:val="1F1F22"/>
        </w:rPr>
        <w:t>LGBTQ community organization in Houston made a specific accommodation by amending its policies so that interpreters</w:t>
      </w:r>
      <w:r>
        <w:rPr>
          <w:color w:val="1F1F22"/>
          <w:spacing w:val="-5"/>
        </w:rPr>
        <w:t> </w:t>
      </w:r>
      <w:r>
        <w:rPr>
          <w:color w:val="1F1F22"/>
        </w:rPr>
        <w:t>could</w:t>
      </w:r>
      <w:r>
        <w:rPr>
          <w:color w:val="1F1F22"/>
          <w:spacing w:val="-7"/>
        </w:rPr>
        <w:t> </w:t>
      </w:r>
      <w:r>
        <w:rPr>
          <w:color w:val="1F1F22"/>
        </w:rPr>
        <w:t>join</w:t>
      </w:r>
      <w:r>
        <w:rPr>
          <w:color w:val="1F1F22"/>
          <w:spacing w:val="-6"/>
        </w:rPr>
        <w:t> </w:t>
      </w:r>
      <w:r>
        <w:rPr>
          <w:color w:val="1F1F22"/>
        </w:rPr>
        <w:t>clients</w:t>
      </w:r>
      <w:r>
        <w:rPr>
          <w:color w:val="1F1F22"/>
          <w:spacing w:val="-6"/>
        </w:rPr>
        <w:t> </w:t>
      </w:r>
      <w:r>
        <w:rPr>
          <w:color w:val="1F1F22"/>
        </w:rPr>
        <w:t>in</w:t>
      </w:r>
      <w:r>
        <w:rPr>
          <w:color w:val="1F1F22"/>
          <w:spacing w:val="-6"/>
        </w:rPr>
        <w:t> </w:t>
      </w:r>
      <w:r>
        <w:rPr>
          <w:color w:val="1F1F22"/>
        </w:rPr>
        <w:t>therapy</w:t>
      </w:r>
      <w:r>
        <w:rPr>
          <w:color w:val="1F1F22"/>
          <w:spacing w:val="-6"/>
        </w:rPr>
        <w:t> </w:t>
      </w:r>
      <w:r>
        <w:rPr>
          <w:color w:val="1F1F22"/>
        </w:rPr>
        <w:t>sessions,</w:t>
      </w:r>
      <w:r>
        <w:rPr>
          <w:color w:val="1F1F22"/>
          <w:spacing w:val="-6"/>
        </w:rPr>
        <w:t> </w:t>
      </w:r>
      <w:r>
        <w:rPr>
          <w:color w:val="1F1F22"/>
        </w:rPr>
        <w:t>therefore</w:t>
      </w:r>
      <w:r>
        <w:rPr>
          <w:color w:val="1F1F22"/>
          <w:spacing w:val="-7"/>
        </w:rPr>
        <w:t> </w:t>
      </w:r>
      <w:r>
        <w:rPr>
          <w:color w:val="1F1F22"/>
        </w:rPr>
        <w:t>ensuring</w:t>
      </w:r>
      <w:r>
        <w:rPr>
          <w:color w:val="1F1F22"/>
          <w:spacing w:val="-6"/>
        </w:rPr>
        <w:t> </w:t>
      </w:r>
      <w:r>
        <w:rPr>
          <w:color w:val="1F1F22"/>
        </w:rPr>
        <w:t>that</w:t>
      </w:r>
      <w:r>
        <w:rPr>
          <w:color w:val="1F1F22"/>
          <w:spacing w:val="-6"/>
        </w:rPr>
        <w:t> </w:t>
      </w:r>
      <w:r>
        <w:rPr>
          <w:color w:val="1F1F22"/>
        </w:rPr>
        <w:t>its</w:t>
      </w:r>
      <w:r>
        <w:rPr>
          <w:color w:val="1F1F22"/>
          <w:spacing w:val="-5"/>
        </w:rPr>
        <w:t> </w:t>
      </w:r>
      <w:r>
        <w:rPr>
          <w:color w:val="1F1F22"/>
        </w:rPr>
        <w:t>mental</w:t>
      </w:r>
      <w:r>
        <w:rPr>
          <w:color w:val="1F1F22"/>
          <w:spacing w:val="-5"/>
        </w:rPr>
        <w:t> </w:t>
      </w:r>
      <w:r>
        <w:rPr>
          <w:color w:val="1F1F22"/>
        </w:rPr>
        <w:t>health</w:t>
      </w:r>
      <w:r>
        <w:rPr>
          <w:color w:val="1F1F22"/>
          <w:spacing w:val="-6"/>
        </w:rPr>
        <w:t> </w:t>
      </w:r>
      <w:r>
        <w:rPr>
          <w:color w:val="1F1F22"/>
        </w:rPr>
        <w:t>services</w:t>
      </w:r>
      <w:r>
        <w:rPr>
          <w:color w:val="1F1F22"/>
          <w:spacing w:val="-6"/>
        </w:rPr>
        <w:t> </w:t>
      </w:r>
      <w:r>
        <w:rPr>
          <w:color w:val="1F1F22"/>
        </w:rPr>
        <w:t>were accessible</w:t>
      </w:r>
      <w:r>
        <w:rPr>
          <w:color w:val="1F1F22"/>
          <w:spacing w:val="-6"/>
        </w:rPr>
        <w:t> </w:t>
      </w:r>
      <w:r>
        <w:rPr>
          <w:color w:val="1F1F22"/>
        </w:rPr>
        <w:t>to</w:t>
      </w:r>
      <w:r>
        <w:rPr>
          <w:color w:val="1F1F22"/>
          <w:spacing w:val="-5"/>
        </w:rPr>
        <w:t> </w:t>
      </w:r>
      <w:r>
        <w:rPr>
          <w:color w:val="1F1F22"/>
        </w:rPr>
        <w:t>immigrants</w:t>
      </w:r>
      <w:r>
        <w:rPr>
          <w:color w:val="1F1F22"/>
          <w:spacing w:val="-7"/>
        </w:rPr>
        <w:t> </w:t>
      </w:r>
      <w:r>
        <w:rPr>
          <w:color w:val="1F1F22"/>
        </w:rPr>
        <w:t>with</w:t>
      </w:r>
      <w:r>
        <w:rPr>
          <w:color w:val="1F1F22"/>
          <w:spacing w:val="-7"/>
        </w:rPr>
        <w:t> </w:t>
      </w:r>
      <w:r>
        <w:rPr>
          <w:color w:val="1F1F22"/>
        </w:rPr>
        <w:t>limited</w:t>
      </w:r>
      <w:r>
        <w:rPr>
          <w:color w:val="1F1F22"/>
          <w:spacing w:val="-5"/>
        </w:rPr>
        <w:t> </w:t>
      </w:r>
      <w:r>
        <w:rPr>
          <w:color w:val="1F1F22"/>
        </w:rPr>
        <w:t>English</w:t>
      </w:r>
      <w:r>
        <w:rPr>
          <w:color w:val="1F1F22"/>
          <w:spacing w:val="-8"/>
        </w:rPr>
        <w:t> </w:t>
      </w:r>
      <w:r>
        <w:rPr>
          <w:color w:val="1F1F22"/>
        </w:rPr>
        <w:t>language</w:t>
      </w:r>
      <w:r>
        <w:rPr>
          <w:color w:val="1F1F22"/>
          <w:spacing w:val="-8"/>
        </w:rPr>
        <w:t> </w:t>
      </w:r>
      <w:r>
        <w:rPr>
          <w:color w:val="1F1F22"/>
        </w:rPr>
        <w:t>proficiency.</w:t>
      </w:r>
      <w:r>
        <w:rPr>
          <w:color w:val="1F1F22"/>
          <w:spacing w:val="-7"/>
        </w:rPr>
        <w:t> </w:t>
      </w:r>
      <w:r>
        <w:rPr>
          <w:color w:val="1F1F22"/>
        </w:rPr>
        <w:t>Providers</w:t>
      </w:r>
      <w:r>
        <w:rPr>
          <w:color w:val="1F1F22"/>
          <w:spacing w:val="-7"/>
        </w:rPr>
        <w:t> </w:t>
      </w:r>
      <w:r>
        <w:rPr>
          <w:color w:val="1F1F22"/>
        </w:rPr>
        <w:t>indicated</w:t>
      </w:r>
      <w:r>
        <w:rPr>
          <w:color w:val="1F1F22"/>
          <w:spacing w:val="-5"/>
        </w:rPr>
        <w:t> </w:t>
      </w:r>
      <w:r>
        <w:rPr>
          <w:color w:val="1F1F22"/>
        </w:rPr>
        <w:t>the</w:t>
      </w:r>
      <w:r>
        <w:rPr>
          <w:color w:val="1F1F22"/>
          <w:spacing w:val="-6"/>
        </w:rPr>
        <w:t> </w:t>
      </w:r>
      <w:r>
        <w:rPr>
          <w:color w:val="1F1F22"/>
        </w:rPr>
        <w:t>importance</w:t>
      </w:r>
      <w:r>
        <w:rPr>
          <w:color w:val="1F1F22"/>
          <w:spacing w:val="-6"/>
        </w:rPr>
        <w:t> </w:t>
      </w:r>
      <w:r>
        <w:rPr>
          <w:color w:val="1F1F22"/>
        </w:rPr>
        <w:t>of understanding</w:t>
      </w:r>
      <w:r>
        <w:rPr>
          <w:color w:val="1F1F22"/>
          <w:spacing w:val="-13"/>
        </w:rPr>
        <w:t> </w:t>
      </w:r>
      <w:r>
        <w:rPr>
          <w:color w:val="1F1F22"/>
        </w:rPr>
        <w:t>the</w:t>
      </w:r>
      <w:r>
        <w:rPr>
          <w:color w:val="1F1F22"/>
          <w:spacing w:val="-12"/>
        </w:rPr>
        <w:t> </w:t>
      </w:r>
      <w:r>
        <w:rPr>
          <w:color w:val="1F1F22"/>
        </w:rPr>
        <w:t>particular</w:t>
      </w:r>
      <w:r>
        <w:rPr>
          <w:color w:val="1F1F22"/>
          <w:spacing w:val="-13"/>
        </w:rPr>
        <w:t> </w:t>
      </w:r>
      <w:r>
        <w:rPr>
          <w:color w:val="1F1F22"/>
        </w:rPr>
        <w:t>challenges</w:t>
      </w:r>
      <w:r>
        <w:rPr>
          <w:color w:val="1F1F22"/>
          <w:spacing w:val="-12"/>
        </w:rPr>
        <w:t> </w:t>
      </w:r>
      <w:r>
        <w:rPr>
          <w:color w:val="1F1F22"/>
        </w:rPr>
        <w:t>faced</w:t>
      </w:r>
      <w:r>
        <w:rPr>
          <w:color w:val="1F1F22"/>
          <w:spacing w:val="-13"/>
        </w:rPr>
        <w:t> </w:t>
      </w:r>
      <w:r>
        <w:rPr>
          <w:color w:val="1F1F22"/>
        </w:rPr>
        <w:t>by</w:t>
      </w:r>
      <w:r>
        <w:rPr>
          <w:color w:val="1F1F22"/>
          <w:spacing w:val="-12"/>
        </w:rPr>
        <w:t> </w:t>
      </w:r>
      <w:r>
        <w:rPr>
          <w:color w:val="1F1F22"/>
        </w:rPr>
        <w:t>LGBTQ</w:t>
      </w:r>
      <w:r>
        <w:rPr>
          <w:color w:val="1F1F22"/>
          <w:spacing w:val="-13"/>
        </w:rPr>
        <w:t> </w:t>
      </w:r>
      <w:r>
        <w:rPr>
          <w:color w:val="1F1F22"/>
        </w:rPr>
        <w:t>immigrants</w:t>
      </w:r>
      <w:r>
        <w:rPr>
          <w:color w:val="1F1F22"/>
          <w:spacing w:val="-12"/>
        </w:rPr>
        <w:t> </w:t>
      </w:r>
      <w:r>
        <w:rPr>
          <w:color w:val="1F1F22"/>
        </w:rPr>
        <w:t>in</w:t>
      </w:r>
      <w:r>
        <w:rPr>
          <w:color w:val="1F1F22"/>
          <w:spacing w:val="-12"/>
        </w:rPr>
        <w:t> </w:t>
      </w:r>
      <w:r>
        <w:rPr>
          <w:color w:val="1F1F22"/>
        </w:rPr>
        <w:t>relation</w:t>
      </w:r>
      <w:r>
        <w:rPr>
          <w:color w:val="1F1F22"/>
          <w:spacing w:val="-13"/>
        </w:rPr>
        <w:t> </w:t>
      </w:r>
      <w:r>
        <w:rPr>
          <w:color w:val="1F1F22"/>
        </w:rPr>
        <w:t>to</w:t>
      </w:r>
      <w:r>
        <w:rPr>
          <w:color w:val="1F1F22"/>
          <w:spacing w:val="-12"/>
        </w:rPr>
        <w:t> </w:t>
      </w:r>
      <w:r>
        <w:rPr>
          <w:color w:val="1F1F22"/>
        </w:rPr>
        <w:t>their</w:t>
      </w:r>
      <w:r>
        <w:rPr>
          <w:color w:val="1F1F22"/>
          <w:spacing w:val="-13"/>
        </w:rPr>
        <w:t> </w:t>
      </w:r>
      <w:r>
        <w:rPr>
          <w:color w:val="1F1F22"/>
        </w:rPr>
        <w:t>mental</w:t>
      </w:r>
      <w:r>
        <w:rPr>
          <w:color w:val="1F1F22"/>
          <w:spacing w:val="-12"/>
        </w:rPr>
        <w:t> </w:t>
      </w:r>
      <w:r>
        <w:rPr>
          <w:color w:val="1F1F22"/>
        </w:rPr>
        <w:t>health</w:t>
      </w:r>
      <w:r>
        <w:rPr>
          <w:color w:val="1F1F22"/>
          <w:spacing w:val="-13"/>
        </w:rPr>
        <w:t> </w:t>
      </w:r>
      <w:r>
        <w:rPr>
          <w:color w:val="1F1F22"/>
        </w:rPr>
        <w:t>such as trauma, substance and drug abuse, domestic violence, sexual abuse, hate crimes, coming out, and being transgender.</w:t>
      </w:r>
      <w:r>
        <w:rPr>
          <w:color w:val="1F1F22"/>
          <w:vertAlign w:val="superscript"/>
        </w:rPr>
        <w:t>52</w:t>
      </w:r>
    </w:p>
    <w:p>
      <w:pPr>
        <w:spacing w:before="240"/>
        <w:ind w:left="463" w:right="0" w:firstLine="0"/>
        <w:jc w:val="both"/>
        <w:rPr>
          <w:sz w:val="28"/>
        </w:rPr>
      </w:pPr>
      <w:bookmarkStart w:name="Legal &amp; Employment Services" w:id="789"/>
      <w:bookmarkEnd w:id="789"/>
      <w:r>
        <w:rPr/>
      </w:r>
      <w:bookmarkStart w:name="_bookmark534" w:id="790"/>
      <w:bookmarkEnd w:id="790"/>
      <w:r>
        <w:rPr/>
      </w:r>
      <w:r>
        <w:rPr>
          <w:color w:val="365F91"/>
          <w:sz w:val="28"/>
        </w:rPr>
        <w:t>Legal</w:t>
      </w:r>
      <w:r>
        <w:rPr>
          <w:color w:val="365F91"/>
          <w:spacing w:val="-10"/>
          <w:sz w:val="28"/>
        </w:rPr>
        <w:t> </w:t>
      </w:r>
      <w:r>
        <w:rPr>
          <w:color w:val="365F91"/>
          <w:sz w:val="28"/>
        </w:rPr>
        <w:t>&amp;</w:t>
      </w:r>
      <w:r>
        <w:rPr>
          <w:color w:val="365F91"/>
          <w:spacing w:val="-9"/>
          <w:sz w:val="28"/>
        </w:rPr>
        <w:t> </w:t>
      </w:r>
      <w:r>
        <w:rPr>
          <w:color w:val="365F91"/>
          <w:sz w:val="28"/>
        </w:rPr>
        <w:t>Employment</w:t>
      </w:r>
      <w:r>
        <w:rPr>
          <w:color w:val="365F91"/>
          <w:spacing w:val="-9"/>
          <w:sz w:val="28"/>
        </w:rPr>
        <w:t> </w:t>
      </w:r>
      <w:r>
        <w:rPr>
          <w:color w:val="365F91"/>
          <w:spacing w:val="-2"/>
          <w:sz w:val="28"/>
        </w:rPr>
        <w:t>Services</w:t>
      </w:r>
    </w:p>
    <w:p>
      <w:pPr>
        <w:pStyle w:val="BodyText"/>
        <w:spacing w:line="276" w:lineRule="auto" w:before="241"/>
        <w:ind w:left="463" w:right="260"/>
        <w:jc w:val="both"/>
      </w:pPr>
      <w:bookmarkStart w:name="_bookmark535" w:id="791"/>
      <w:bookmarkEnd w:id="791"/>
      <w:r>
        <w:rPr/>
      </w:r>
      <w:r>
        <w:rPr/>
        <w:t>Research demonstrates that, whether they are seeking asylum or involved in other sorts of legal action, immigrants</w:t>
      </w:r>
      <w:r>
        <w:rPr>
          <w:spacing w:val="-11"/>
        </w:rPr>
        <w:t> </w:t>
      </w:r>
      <w:r>
        <w:rPr/>
        <w:t>represented</w:t>
      </w:r>
      <w:r>
        <w:rPr>
          <w:spacing w:val="-11"/>
        </w:rPr>
        <w:t> </w:t>
      </w:r>
      <w:r>
        <w:rPr/>
        <w:t>by</w:t>
      </w:r>
      <w:r>
        <w:rPr>
          <w:spacing w:val="-11"/>
        </w:rPr>
        <w:t> </w:t>
      </w:r>
      <w:r>
        <w:rPr/>
        <w:t>legal</w:t>
      </w:r>
      <w:r>
        <w:rPr>
          <w:spacing w:val="-11"/>
        </w:rPr>
        <w:t> </w:t>
      </w:r>
      <w:r>
        <w:rPr/>
        <w:t>counsel</w:t>
      </w:r>
      <w:r>
        <w:rPr>
          <w:spacing w:val="-11"/>
        </w:rPr>
        <w:t> </w:t>
      </w:r>
      <w:r>
        <w:rPr/>
        <w:t>are</w:t>
      </w:r>
      <w:r>
        <w:rPr>
          <w:spacing w:val="-11"/>
        </w:rPr>
        <w:t> </w:t>
      </w:r>
      <w:r>
        <w:rPr/>
        <w:t>more</w:t>
      </w:r>
      <w:r>
        <w:rPr>
          <w:spacing w:val="-11"/>
        </w:rPr>
        <w:t> </w:t>
      </w:r>
      <w:r>
        <w:rPr/>
        <w:t>likely</w:t>
      </w:r>
      <w:r>
        <w:rPr>
          <w:spacing w:val="-11"/>
        </w:rPr>
        <w:t> </w:t>
      </w:r>
      <w:r>
        <w:rPr/>
        <w:t>to</w:t>
      </w:r>
      <w:r>
        <w:rPr>
          <w:spacing w:val="-11"/>
        </w:rPr>
        <w:t> </w:t>
      </w:r>
      <w:r>
        <w:rPr/>
        <w:t>win</w:t>
      </w:r>
      <w:r>
        <w:rPr>
          <w:spacing w:val="-11"/>
        </w:rPr>
        <w:t> </w:t>
      </w:r>
      <w:r>
        <w:rPr/>
        <w:t>their</w:t>
      </w:r>
      <w:r>
        <w:rPr>
          <w:spacing w:val="-11"/>
        </w:rPr>
        <w:t> </w:t>
      </w:r>
      <w:r>
        <w:rPr/>
        <w:t>cases</w:t>
      </w:r>
      <w:r>
        <w:rPr>
          <w:spacing w:val="-11"/>
        </w:rPr>
        <w:t> </w:t>
      </w:r>
      <w:r>
        <w:rPr/>
        <w:t>in</w:t>
      </w:r>
      <w:r>
        <w:rPr>
          <w:spacing w:val="-11"/>
        </w:rPr>
        <w:t> </w:t>
      </w:r>
      <w:r>
        <w:rPr/>
        <w:t>court.</w:t>
      </w:r>
      <w:r>
        <w:rPr>
          <w:spacing w:val="-12"/>
        </w:rPr>
        <w:t> </w:t>
      </w:r>
      <w:r>
        <w:rPr/>
        <w:t>More</w:t>
      </w:r>
      <w:r>
        <w:rPr>
          <w:spacing w:val="-11"/>
        </w:rPr>
        <w:t> </w:t>
      </w:r>
      <w:r>
        <w:rPr/>
        <w:t>specifically,</w:t>
      </w:r>
      <w:r>
        <w:rPr>
          <w:spacing w:val="-11"/>
        </w:rPr>
        <w:t> </w:t>
      </w:r>
      <w:r>
        <w:rPr/>
        <w:t>they are nearly six times more likely to prevail in court than immigrants lacking representation.</w:t>
      </w:r>
      <w:r>
        <w:rPr>
          <w:vertAlign w:val="superscript"/>
        </w:rPr>
        <w:t>53</w:t>
      </w:r>
      <w:r>
        <w:rPr>
          <w:vertAlign w:val="baseline"/>
        </w:rPr>
        <w:t> Immigrants</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0"/>
        <w:jc w:val="both"/>
      </w:pPr>
      <w:r>
        <w:rPr/>
        <w:t>in Massachusetts are six times more likely to win a deportation case if they have legal representation; 62% win their cases when they have representation compared with 10% when they do not.</w:t>
      </w:r>
      <w:r>
        <w:rPr>
          <w:vertAlign w:val="superscript"/>
        </w:rPr>
        <w:t>54</w:t>
      </w:r>
    </w:p>
    <w:p>
      <w:pPr>
        <w:pStyle w:val="BodyText"/>
        <w:spacing w:line="276" w:lineRule="auto" w:before="240"/>
        <w:ind w:left="463" w:right="262"/>
        <w:jc w:val="both"/>
      </w:pPr>
      <w:bookmarkStart w:name="_bookmark536" w:id="792"/>
      <w:bookmarkEnd w:id="792"/>
      <w:r>
        <w:rPr/>
      </w:r>
      <w:r>
        <w:rPr/>
        <w:t>Many</w:t>
      </w:r>
      <w:r>
        <w:rPr>
          <w:spacing w:val="-5"/>
        </w:rPr>
        <w:t> </w:t>
      </w:r>
      <w:r>
        <w:rPr/>
        <w:t>immigration</w:t>
      </w:r>
      <w:r>
        <w:rPr>
          <w:spacing w:val="-5"/>
        </w:rPr>
        <w:t> </w:t>
      </w:r>
      <w:r>
        <w:rPr/>
        <w:t>organizations</w:t>
      </w:r>
      <w:r>
        <w:rPr>
          <w:spacing w:val="-5"/>
        </w:rPr>
        <w:t> </w:t>
      </w:r>
      <w:r>
        <w:rPr/>
        <w:t>in</w:t>
      </w:r>
      <w:r>
        <w:rPr>
          <w:spacing w:val="-5"/>
        </w:rPr>
        <w:t> </w:t>
      </w:r>
      <w:r>
        <w:rPr/>
        <w:t>the</w:t>
      </w:r>
      <w:r>
        <w:rPr>
          <w:spacing w:val="-3"/>
        </w:rPr>
        <w:t> </w:t>
      </w:r>
      <w:r>
        <w:rPr/>
        <w:t>New</w:t>
      </w:r>
      <w:r>
        <w:rPr>
          <w:spacing w:val="-5"/>
        </w:rPr>
        <w:t> </w:t>
      </w:r>
      <w:r>
        <w:rPr/>
        <w:t>England</w:t>
      </w:r>
      <w:r>
        <w:rPr>
          <w:spacing w:val="-4"/>
        </w:rPr>
        <w:t> </w:t>
      </w:r>
      <w:r>
        <w:rPr/>
        <w:t>area</w:t>
      </w:r>
      <w:r>
        <w:rPr>
          <w:spacing w:val="-5"/>
        </w:rPr>
        <w:t> </w:t>
      </w:r>
      <w:r>
        <w:rPr/>
        <w:t>offer</w:t>
      </w:r>
      <w:r>
        <w:rPr>
          <w:spacing w:val="-5"/>
        </w:rPr>
        <w:t> </w:t>
      </w:r>
      <w:r>
        <w:rPr/>
        <w:t>a</w:t>
      </w:r>
      <w:r>
        <w:rPr>
          <w:spacing w:val="-5"/>
        </w:rPr>
        <w:t> </w:t>
      </w:r>
      <w:r>
        <w:rPr/>
        <w:t>variety</w:t>
      </w:r>
      <w:r>
        <w:rPr>
          <w:spacing w:val="-5"/>
        </w:rPr>
        <w:t> </w:t>
      </w:r>
      <w:r>
        <w:rPr/>
        <w:t>of</w:t>
      </w:r>
      <w:r>
        <w:rPr>
          <w:spacing w:val="-5"/>
        </w:rPr>
        <w:t> </w:t>
      </w:r>
      <w:r>
        <w:rPr/>
        <w:t>legal</w:t>
      </w:r>
      <w:r>
        <w:rPr>
          <w:spacing w:val="-4"/>
        </w:rPr>
        <w:t> </w:t>
      </w:r>
      <w:r>
        <w:rPr/>
        <w:t>services,</w:t>
      </w:r>
      <w:r>
        <w:rPr>
          <w:spacing w:val="-5"/>
        </w:rPr>
        <w:t> </w:t>
      </w:r>
      <w:r>
        <w:rPr/>
        <w:t>including</w:t>
      </w:r>
      <w:r>
        <w:rPr>
          <w:spacing w:val="-5"/>
        </w:rPr>
        <w:t> </w:t>
      </w:r>
      <w:r>
        <w:rPr/>
        <w:t>DACA and naturalization applications, family-based immigration, visas for victims of certain crimes, detention representation, and work permit renewals.</w:t>
      </w:r>
      <w:r>
        <w:rPr>
          <w:vertAlign w:val="superscript"/>
        </w:rPr>
        <w:t>55</w:t>
      </w:r>
      <w:r>
        <w:rPr>
          <w:vertAlign w:val="baseline"/>
        </w:rPr>
        <w:t> However, it is essential that legal resources also advertise LGBTQ-specific</w:t>
      </w:r>
      <w:r>
        <w:rPr>
          <w:spacing w:val="-5"/>
          <w:vertAlign w:val="baseline"/>
        </w:rPr>
        <w:t> </w:t>
      </w:r>
      <w:r>
        <w:rPr>
          <w:vertAlign w:val="baseline"/>
        </w:rPr>
        <w:t>legal</w:t>
      </w:r>
      <w:r>
        <w:rPr>
          <w:spacing w:val="-5"/>
          <w:vertAlign w:val="baseline"/>
        </w:rPr>
        <w:t> </w:t>
      </w:r>
      <w:r>
        <w:rPr>
          <w:vertAlign w:val="baseline"/>
        </w:rPr>
        <w:t>resources,</w:t>
      </w:r>
      <w:r>
        <w:rPr>
          <w:spacing w:val="-5"/>
          <w:vertAlign w:val="baseline"/>
        </w:rPr>
        <w:t> </w:t>
      </w:r>
      <w:r>
        <w:rPr>
          <w:vertAlign w:val="baseline"/>
        </w:rPr>
        <w:t>as</w:t>
      </w:r>
      <w:r>
        <w:rPr>
          <w:spacing w:val="-5"/>
          <w:vertAlign w:val="baseline"/>
        </w:rPr>
        <w:t> </w:t>
      </w:r>
      <w:r>
        <w:rPr>
          <w:vertAlign w:val="baseline"/>
        </w:rPr>
        <w:t>LGBTQ</w:t>
      </w:r>
      <w:r>
        <w:rPr>
          <w:spacing w:val="-5"/>
          <w:vertAlign w:val="baseline"/>
        </w:rPr>
        <w:t> </w:t>
      </w:r>
      <w:r>
        <w:rPr>
          <w:vertAlign w:val="baseline"/>
        </w:rPr>
        <w:t>immigrants</w:t>
      </w:r>
      <w:r>
        <w:rPr>
          <w:spacing w:val="-5"/>
          <w:vertAlign w:val="baseline"/>
        </w:rPr>
        <w:t> </w:t>
      </w:r>
      <w:r>
        <w:rPr>
          <w:vertAlign w:val="baseline"/>
        </w:rPr>
        <w:t>often</w:t>
      </w:r>
      <w:r>
        <w:rPr>
          <w:spacing w:val="-4"/>
          <w:vertAlign w:val="baseline"/>
        </w:rPr>
        <w:t> </w:t>
      </w:r>
      <w:r>
        <w:rPr>
          <w:vertAlign w:val="baseline"/>
        </w:rPr>
        <w:t>lack</w:t>
      </w:r>
      <w:r>
        <w:rPr>
          <w:spacing w:val="-4"/>
          <w:vertAlign w:val="baseline"/>
        </w:rPr>
        <w:t> </w:t>
      </w:r>
      <w:r>
        <w:rPr>
          <w:vertAlign w:val="baseline"/>
        </w:rPr>
        <w:t>access</w:t>
      </w:r>
      <w:r>
        <w:rPr>
          <w:spacing w:val="-5"/>
          <w:vertAlign w:val="baseline"/>
        </w:rPr>
        <w:t> </w:t>
      </w:r>
      <w:r>
        <w:rPr>
          <w:vertAlign w:val="baseline"/>
        </w:rPr>
        <w:t>to</w:t>
      </w:r>
      <w:r>
        <w:rPr>
          <w:spacing w:val="-3"/>
          <w:vertAlign w:val="baseline"/>
        </w:rPr>
        <w:t> </w:t>
      </w:r>
      <w:r>
        <w:rPr>
          <w:vertAlign w:val="baseline"/>
        </w:rPr>
        <w:t>counsel,</w:t>
      </w:r>
      <w:r>
        <w:rPr>
          <w:spacing w:val="-5"/>
          <w:vertAlign w:val="baseline"/>
        </w:rPr>
        <w:t> </w:t>
      </w:r>
      <w:r>
        <w:rPr>
          <w:vertAlign w:val="baseline"/>
        </w:rPr>
        <w:t>as</w:t>
      </w:r>
      <w:r>
        <w:rPr>
          <w:spacing w:val="-5"/>
          <w:vertAlign w:val="baseline"/>
        </w:rPr>
        <w:t> </w:t>
      </w:r>
      <w:r>
        <w:rPr>
          <w:vertAlign w:val="baseline"/>
        </w:rPr>
        <w:t>well</w:t>
      </w:r>
      <w:r>
        <w:rPr>
          <w:spacing w:val="-5"/>
          <w:vertAlign w:val="baseline"/>
        </w:rPr>
        <w:t> </w:t>
      </w:r>
      <w:r>
        <w:rPr>
          <w:vertAlign w:val="baseline"/>
        </w:rPr>
        <w:t>as</w:t>
      </w:r>
      <w:r>
        <w:rPr>
          <w:spacing w:val="-5"/>
          <w:vertAlign w:val="baseline"/>
        </w:rPr>
        <w:t> </w:t>
      </w:r>
      <w:r>
        <w:rPr>
          <w:vertAlign w:val="baseline"/>
        </w:rPr>
        <w:t>immigration assistance, to protect themselves against discrimination and bias in areas of housing, employment, and family recognition.</w:t>
      </w:r>
    </w:p>
    <w:p>
      <w:pPr>
        <w:pStyle w:val="BodyText"/>
        <w:spacing w:line="276" w:lineRule="auto" w:before="240"/>
        <w:ind w:left="463" w:right="262"/>
        <w:jc w:val="both"/>
      </w:pPr>
      <w:bookmarkStart w:name="_bookmark537" w:id="793"/>
      <w:bookmarkEnd w:id="793"/>
      <w:r>
        <w:rPr/>
      </w:r>
      <w:r>
        <w:rPr/>
        <w:t>Furthermore,</w:t>
      </w:r>
      <w:r>
        <w:rPr>
          <w:spacing w:val="-5"/>
        </w:rPr>
        <w:t> </w:t>
      </w:r>
      <w:r>
        <w:rPr/>
        <w:t>there</w:t>
      </w:r>
      <w:r>
        <w:rPr>
          <w:spacing w:val="-5"/>
        </w:rPr>
        <w:t> </w:t>
      </w:r>
      <w:r>
        <w:rPr/>
        <w:t>are</w:t>
      </w:r>
      <w:r>
        <w:rPr>
          <w:spacing w:val="-4"/>
        </w:rPr>
        <w:t> </w:t>
      </w:r>
      <w:r>
        <w:rPr/>
        <w:t>a</w:t>
      </w:r>
      <w:r>
        <w:rPr>
          <w:spacing w:val="-4"/>
        </w:rPr>
        <w:t> </w:t>
      </w:r>
      <w:r>
        <w:rPr/>
        <w:t>number</w:t>
      </w:r>
      <w:r>
        <w:rPr>
          <w:spacing w:val="-4"/>
        </w:rPr>
        <w:t> </w:t>
      </w:r>
      <w:r>
        <w:rPr/>
        <w:t>of</w:t>
      </w:r>
      <w:r>
        <w:rPr>
          <w:spacing w:val="-4"/>
        </w:rPr>
        <w:t> </w:t>
      </w:r>
      <w:r>
        <w:rPr/>
        <w:t>barriers</w:t>
      </w:r>
      <w:r>
        <w:rPr>
          <w:spacing w:val="-5"/>
        </w:rPr>
        <w:t> </w:t>
      </w:r>
      <w:r>
        <w:rPr/>
        <w:t>that</w:t>
      </w:r>
      <w:r>
        <w:rPr>
          <w:spacing w:val="-4"/>
        </w:rPr>
        <w:t> </w:t>
      </w:r>
      <w:r>
        <w:rPr/>
        <w:t>LGBTQ</w:t>
      </w:r>
      <w:r>
        <w:rPr>
          <w:spacing w:val="-5"/>
        </w:rPr>
        <w:t> </w:t>
      </w:r>
      <w:r>
        <w:rPr/>
        <w:t>foreign-born</w:t>
      </w:r>
      <w:r>
        <w:rPr>
          <w:spacing w:val="-5"/>
        </w:rPr>
        <w:t> </w:t>
      </w:r>
      <w:r>
        <w:rPr/>
        <w:t>youth</w:t>
      </w:r>
      <w:r>
        <w:rPr>
          <w:spacing w:val="-4"/>
        </w:rPr>
        <w:t> </w:t>
      </w:r>
      <w:r>
        <w:rPr/>
        <w:t>encounter</w:t>
      </w:r>
      <w:r>
        <w:rPr>
          <w:spacing w:val="-4"/>
        </w:rPr>
        <w:t> </w:t>
      </w:r>
      <w:r>
        <w:rPr/>
        <w:t>when</w:t>
      </w:r>
      <w:r>
        <w:rPr>
          <w:spacing w:val="-5"/>
        </w:rPr>
        <w:t> </w:t>
      </w:r>
      <w:r>
        <w:rPr/>
        <w:t>attempting to find employment which might include unfamiliarity with the U.S. job market; legal barriers, such as asylum</w:t>
      </w:r>
      <w:r>
        <w:rPr>
          <w:spacing w:val="-7"/>
        </w:rPr>
        <w:t> </w:t>
      </w:r>
      <w:r>
        <w:rPr/>
        <w:t>seekers</w:t>
      </w:r>
      <w:r>
        <w:rPr>
          <w:spacing w:val="-6"/>
        </w:rPr>
        <w:t> </w:t>
      </w:r>
      <w:r>
        <w:rPr/>
        <w:t>not</w:t>
      </w:r>
      <w:r>
        <w:rPr>
          <w:spacing w:val="-7"/>
        </w:rPr>
        <w:t> </w:t>
      </w:r>
      <w:r>
        <w:rPr/>
        <w:t>being</w:t>
      </w:r>
      <w:r>
        <w:rPr>
          <w:spacing w:val="-7"/>
        </w:rPr>
        <w:t> </w:t>
      </w:r>
      <w:r>
        <w:rPr/>
        <w:t>able</w:t>
      </w:r>
      <w:r>
        <w:rPr>
          <w:spacing w:val="-7"/>
        </w:rPr>
        <w:t> </w:t>
      </w:r>
      <w:r>
        <w:rPr/>
        <w:t>to</w:t>
      </w:r>
      <w:r>
        <w:rPr>
          <w:spacing w:val="-6"/>
        </w:rPr>
        <w:t> </w:t>
      </w:r>
      <w:r>
        <w:rPr/>
        <w:t>work</w:t>
      </w:r>
      <w:r>
        <w:rPr>
          <w:spacing w:val="-7"/>
        </w:rPr>
        <w:t> </w:t>
      </w:r>
      <w:r>
        <w:rPr/>
        <w:t>for</w:t>
      </w:r>
      <w:r>
        <w:rPr>
          <w:spacing w:val="-6"/>
        </w:rPr>
        <w:t> </w:t>
      </w:r>
      <w:r>
        <w:rPr/>
        <w:t>at</w:t>
      </w:r>
      <w:r>
        <w:rPr>
          <w:spacing w:val="-7"/>
        </w:rPr>
        <w:t> </w:t>
      </w:r>
      <w:r>
        <w:rPr/>
        <w:t>least</w:t>
      </w:r>
      <w:r>
        <w:rPr>
          <w:spacing w:val="-7"/>
        </w:rPr>
        <w:t> </w:t>
      </w:r>
      <w:r>
        <w:rPr/>
        <w:t>180</w:t>
      </w:r>
      <w:r>
        <w:rPr>
          <w:spacing w:val="-6"/>
        </w:rPr>
        <w:t> </w:t>
      </w:r>
      <w:r>
        <w:rPr/>
        <w:t>days</w:t>
      </w:r>
      <w:r>
        <w:rPr>
          <w:spacing w:val="-6"/>
        </w:rPr>
        <w:t> </w:t>
      </w:r>
      <w:r>
        <w:rPr/>
        <w:t>after</w:t>
      </w:r>
      <w:r>
        <w:rPr>
          <w:spacing w:val="-6"/>
        </w:rPr>
        <w:t> </w:t>
      </w:r>
      <w:r>
        <w:rPr/>
        <w:t>arrival;</w:t>
      </w:r>
      <w:r>
        <w:rPr>
          <w:spacing w:val="-6"/>
        </w:rPr>
        <w:t> </w:t>
      </w:r>
      <w:r>
        <w:rPr/>
        <w:t>lack</w:t>
      </w:r>
      <w:r>
        <w:rPr>
          <w:spacing w:val="-7"/>
        </w:rPr>
        <w:t> </w:t>
      </w:r>
      <w:r>
        <w:rPr/>
        <w:t>of</w:t>
      </w:r>
      <w:r>
        <w:rPr>
          <w:spacing w:val="-5"/>
        </w:rPr>
        <w:t> </w:t>
      </w:r>
      <w:r>
        <w:rPr/>
        <w:t>appropriate</w:t>
      </w:r>
      <w:r>
        <w:rPr>
          <w:spacing w:val="-7"/>
        </w:rPr>
        <w:t> </w:t>
      </w:r>
      <w:r>
        <w:rPr/>
        <w:t>identification or</w:t>
      </w:r>
      <w:r>
        <w:rPr>
          <w:spacing w:val="-3"/>
        </w:rPr>
        <w:t> </w:t>
      </w:r>
      <w:r>
        <w:rPr/>
        <w:t>legal</w:t>
      </w:r>
      <w:r>
        <w:rPr>
          <w:spacing w:val="-2"/>
        </w:rPr>
        <w:t> </w:t>
      </w:r>
      <w:r>
        <w:rPr/>
        <w:t>documents;</w:t>
      </w:r>
      <w:r>
        <w:rPr>
          <w:spacing w:val="-2"/>
        </w:rPr>
        <w:t> </w:t>
      </w:r>
      <w:r>
        <w:rPr/>
        <w:t>lack</w:t>
      </w:r>
      <w:r>
        <w:rPr>
          <w:spacing w:val="-3"/>
        </w:rPr>
        <w:t> </w:t>
      </w:r>
      <w:r>
        <w:rPr/>
        <w:t>of</w:t>
      </w:r>
      <w:r>
        <w:rPr>
          <w:spacing w:val="-3"/>
        </w:rPr>
        <w:t> </w:t>
      </w:r>
      <w:r>
        <w:rPr/>
        <w:t>stable</w:t>
      </w:r>
      <w:r>
        <w:rPr>
          <w:spacing w:val="-2"/>
        </w:rPr>
        <w:t> </w:t>
      </w:r>
      <w:r>
        <w:rPr/>
        <w:t>housing</w:t>
      </w:r>
      <w:r>
        <w:rPr>
          <w:spacing w:val="-3"/>
        </w:rPr>
        <w:t> </w:t>
      </w:r>
      <w:r>
        <w:rPr/>
        <w:t>or</w:t>
      </w:r>
      <w:r>
        <w:rPr>
          <w:spacing w:val="-2"/>
        </w:rPr>
        <w:t> </w:t>
      </w:r>
      <w:r>
        <w:rPr/>
        <w:t>financial</w:t>
      </w:r>
      <w:r>
        <w:rPr>
          <w:spacing w:val="-3"/>
        </w:rPr>
        <w:t> </w:t>
      </w:r>
      <w:r>
        <w:rPr/>
        <w:t>security;</w:t>
      </w:r>
      <w:r>
        <w:rPr>
          <w:spacing w:val="-2"/>
        </w:rPr>
        <w:t> </w:t>
      </w:r>
      <w:r>
        <w:rPr/>
        <w:t>skills</w:t>
      </w:r>
      <w:r>
        <w:rPr>
          <w:spacing w:val="-3"/>
        </w:rPr>
        <w:t> </w:t>
      </w:r>
      <w:r>
        <w:rPr/>
        <w:t>or</w:t>
      </w:r>
      <w:r>
        <w:rPr>
          <w:spacing w:val="-3"/>
        </w:rPr>
        <w:t> </w:t>
      </w:r>
      <w:r>
        <w:rPr/>
        <w:t>certifications</w:t>
      </w:r>
      <w:r>
        <w:rPr>
          <w:spacing w:val="-3"/>
        </w:rPr>
        <w:t> </w:t>
      </w:r>
      <w:r>
        <w:rPr/>
        <w:t>that</w:t>
      </w:r>
      <w:r>
        <w:rPr>
          <w:spacing w:val="-1"/>
        </w:rPr>
        <w:t> </w:t>
      </w:r>
      <w:r>
        <w:rPr/>
        <w:t>do</w:t>
      </w:r>
      <w:r>
        <w:rPr>
          <w:spacing w:val="-1"/>
        </w:rPr>
        <w:t> </w:t>
      </w:r>
      <w:r>
        <w:rPr/>
        <w:t>not</w:t>
      </w:r>
      <w:r>
        <w:rPr>
          <w:spacing w:val="-2"/>
        </w:rPr>
        <w:t> </w:t>
      </w:r>
      <w:r>
        <w:rPr/>
        <w:t>transfer between countries; and language barriers. Consequently, when foreign-born youth do manage to find work, they are often exploited by their employers and have few avenues for recourse, or choose not to report the exploitation for fear of being detained and/or deported.</w:t>
      </w:r>
      <w:r>
        <w:rPr>
          <w:vertAlign w:val="superscript"/>
        </w:rPr>
        <w:t>56</w:t>
      </w:r>
      <w:r>
        <w:rPr>
          <w:vertAlign w:val="baseline"/>
        </w:rPr>
        <w:t> The Commission recommends that when agencies, such as MassHire, provide job readiness and placement services they identify LGBTQ- friendly workplaces, and also ensure that LGBTQ foreign-born youth understand their legal rights and resources for reporting exploitation, assault, or discrimination.</w:t>
      </w:r>
    </w:p>
    <w:p>
      <w:pPr>
        <w:pStyle w:val="BodyText"/>
        <w:spacing w:line="276" w:lineRule="auto" w:before="240"/>
        <w:ind w:left="463" w:right="260"/>
        <w:jc w:val="both"/>
      </w:pPr>
      <w:bookmarkStart w:name="_bookmark538" w:id="794"/>
      <w:bookmarkEnd w:id="794"/>
      <w:r>
        <w:rPr/>
      </w:r>
      <w:r>
        <w:rPr/>
        <w:t>Many foreign-born individuals may have limited educational opportunities in their country of origin, particularly</w:t>
      </w:r>
      <w:r>
        <w:rPr>
          <w:spacing w:val="-3"/>
        </w:rPr>
        <w:t> </w:t>
      </w:r>
      <w:r>
        <w:rPr/>
        <w:t>for</w:t>
      </w:r>
      <w:r>
        <w:rPr>
          <w:spacing w:val="-4"/>
        </w:rPr>
        <w:t> </w:t>
      </w:r>
      <w:r>
        <w:rPr/>
        <w:t>those</w:t>
      </w:r>
      <w:r>
        <w:rPr>
          <w:spacing w:val="-3"/>
        </w:rPr>
        <w:t> </w:t>
      </w:r>
      <w:r>
        <w:rPr/>
        <w:t>coming</w:t>
      </w:r>
      <w:r>
        <w:rPr>
          <w:spacing w:val="-4"/>
        </w:rPr>
        <w:t> </w:t>
      </w:r>
      <w:r>
        <w:rPr/>
        <w:t>from</w:t>
      </w:r>
      <w:r>
        <w:rPr>
          <w:spacing w:val="-3"/>
        </w:rPr>
        <w:t> </w:t>
      </w:r>
      <w:r>
        <w:rPr/>
        <w:t>countries</w:t>
      </w:r>
      <w:r>
        <w:rPr>
          <w:spacing w:val="-4"/>
        </w:rPr>
        <w:t> </w:t>
      </w:r>
      <w:r>
        <w:rPr/>
        <w:t>at</w:t>
      </w:r>
      <w:r>
        <w:rPr>
          <w:spacing w:val="-3"/>
        </w:rPr>
        <w:t> </w:t>
      </w:r>
      <w:r>
        <w:rPr/>
        <w:t>war.</w:t>
      </w:r>
      <w:r>
        <w:rPr>
          <w:spacing w:val="-3"/>
        </w:rPr>
        <w:t> </w:t>
      </w:r>
      <w:r>
        <w:rPr/>
        <w:t>As</w:t>
      </w:r>
      <w:r>
        <w:rPr>
          <w:spacing w:val="-4"/>
        </w:rPr>
        <w:t> </w:t>
      </w:r>
      <w:r>
        <w:rPr/>
        <w:t>mentioned</w:t>
      </w:r>
      <w:r>
        <w:rPr>
          <w:spacing w:val="-4"/>
        </w:rPr>
        <w:t> </w:t>
      </w:r>
      <w:r>
        <w:rPr/>
        <w:t>above,</w:t>
      </w:r>
      <w:r>
        <w:rPr>
          <w:spacing w:val="-4"/>
        </w:rPr>
        <w:t> </w:t>
      </w:r>
      <w:r>
        <w:rPr/>
        <w:t>even</w:t>
      </w:r>
      <w:r>
        <w:rPr>
          <w:spacing w:val="-4"/>
        </w:rPr>
        <w:t> </w:t>
      </w:r>
      <w:r>
        <w:rPr/>
        <w:t>those</w:t>
      </w:r>
      <w:r>
        <w:rPr>
          <w:spacing w:val="-4"/>
        </w:rPr>
        <w:t> </w:t>
      </w:r>
      <w:r>
        <w:rPr/>
        <w:t>who</w:t>
      </w:r>
      <w:r>
        <w:rPr>
          <w:spacing w:val="-2"/>
        </w:rPr>
        <w:t> </w:t>
      </w:r>
      <w:r>
        <w:rPr/>
        <w:t>have</w:t>
      </w:r>
      <w:r>
        <w:rPr>
          <w:spacing w:val="-4"/>
        </w:rPr>
        <w:t> </w:t>
      </w:r>
      <w:r>
        <w:rPr/>
        <w:t>achieved educational</w:t>
      </w:r>
      <w:r>
        <w:rPr>
          <w:spacing w:val="-2"/>
        </w:rPr>
        <w:t> </w:t>
      </w:r>
      <w:r>
        <w:rPr/>
        <w:t>degrees</w:t>
      </w:r>
      <w:r>
        <w:rPr>
          <w:spacing w:val="-3"/>
        </w:rPr>
        <w:t> </w:t>
      </w:r>
      <w:r>
        <w:rPr/>
        <w:t>or</w:t>
      </w:r>
      <w:r>
        <w:rPr>
          <w:spacing w:val="-2"/>
        </w:rPr>
        <w:t> </w:t>
      </w:r>
      <w:r>
        <w:rPr/>
        <w:t>certification</w:t>
      </w:r>
      <w:r>
        <w:rPr>
          <w:spacing w:val="-2"/>
        </w:rPr>
        <w:t> </w:t>
      </w:r>
      <w:r>
        <w:rPr/>
        <w:t>may</w:t>
      </w:r>
      <w:r>
        <w:rPr>
          <w:spacing w:val="-3"/>
        </w:rPr>
        <w:t> </w:t>
      </w:r>
      <w:r>
        <w:rPr/>
        <w:t>have</w:t>
      </w:r>
      <w:r>
        <w:rPr>
          <w:spacing w:val="-2"/>
        </w:rPr>
        <w:t> </w:t>
      </w:r>
      <w:r>
        <w:rPr/>
        <w:t>difficulty</w:t>
      </w:r>
      <w:r>
        <w:rPr>
          <w:spacing w:val="-3"/>
        </w:rPr>
        <w:t> </w:t>
      </w:r>
      <w:r>
        <w:rPr/>
        <w:t>transferring</w:t>
      </w:r>
      <w:r>
        <w:rPr>
          <w:spacing w:val="-2"/>
        </w:rPr>
        <w:t> </w:t>
      </w:r>
      <w:r>
        <w:rPr/>
        <w:t>the</w:t>
      </w:r>
      <w:r>
        <w:rPr>
          <w:spacing w:val="-2"/>
        </w:rPr>
        <w:t> </w:t>
      </w:r>
      <w:r>
        <w:rPr/>
        <w:t>credentials</w:t>
      </w:r>
      <w:r>
        <w:rPr>
          <w:spacing w:val="-3"/>
        </w:rPr>
        <w:t> </w:t>
      </w:r>
      <w:r>
        <w:rPr/>
        <w:t>from</w:t>
      </w:r>
      <w:r>
        <w:rPr>
          <w:spacing w:val="-2"/>
        </w:rPr>
        <w:t> </w:t>
      </w:r>
      <w:r>
        <w:rPr/>
        <w:t>their</w:t>
      </w:r>
      <w:r>
        <w:rPr>
          <w:spacing w:val="-2"/>
        </w:rPr>
        <w:t> </w:t>
      </w:r>
      <w:r>
        <w:rPr/>
        <w:t>country</w:t>
      </w:r>
      <w:r>
        <w:rPr>
          <w:spacing w:val="-2"/>
        </w:rPr>
        <w:t> </w:t>
      </w:r>
      <w:r>
        <w:rPr/>
        <w:t>of origin</w:t>
      </w:r>
      <w:r>
        <w:rPr>
          <w:spacing w:val="-12"/>
        </w:rPr>
        <w:t> </w:t>
      </w:r>
      <w:r>
        <w:rPr/>
        <w:t>to</w:t>
      </w:r>
      <w:r>
        <w:rPr>
          <w:spacing w:val="-12"/>
        </w:rPr>
        <w:t> </w:t>
      </w:r>
      <w:r>
        <w:rPr/>
        <w:t>the</w:t>
      </w:r>
      <w:r>
        <w:rPr>
          <w:spacing w:val="-11"/>
        </w:rPr>
        <w:t> </w:t>
      </w:r>
      <w:r>
        <w:rPr/>
        <w:t>U.S.</w:t>
      </w:r>
      <w:r>
        <w:rPr>
          <w:vertAlign w:val="superscript"/>
        </w:rPr>
        <w:t>57</w:t>
      </w:r>
      <w:r>
        <w:rPr>
          <w:spacing w:val="-12"/>
          <w:vertAlign w:val="baseline"/>
        </w:rPr>
        <w:t> </w:t>
      </w:r>
      <w:r>
        <w:rPr>
          <w:vertAlign w:val="baseline"/>
        </w:rPr>
        <w:t>Transferring</w:t>
      </w:r>
      <w:r>
        <w:rPr>
          <w:spacing w:val="-12"/>
          <w:vertAlign w:val="baseline"/>
        </w:rPr>
        <w:t> </w:t>
      </w:r>
      <w:r>
        <w:rPr>
          <w:vertAlign w:val="baseline"/>
        </w:rPr>
        <w:t>degrees,</w:t>
      </w:r>
      <w:r>
        <w:rPr>
          <w:spacing w:val="-12"/>
          <w:vertAlign w:val="baseline"/>
        </w:rPr>
        <w:t> </w:t>
      </w:r>
      <w:r>
        <w:rPr>
          <w:vertAlign w:val="baseline"/>
        </w:rPr>
        <w:t>like</w:t>
      </w:r>
      <w:r>
        <w:rPr>
          <w:spacing w:val="-12"/>
          <w:vertAlign w:val="baseline"/>
        </w:rPr>
        <w:t> </w:t>
      </w:r>
      <w:r>
        <w:rPr>
          <w:vertAlign w:val="baseline"/>
        </w:rPr>
        <w:t>licenses</w:t>
      </w:r>
      <w:r>
        <w:rPr>
          <w:spacing w:val="-11"/>
          <w:vertAlign w:val="baseline"/>
        </w:rPr>
        <w:t> </w:t>
      </w:r>
      <w:r>
        <w:rPr>
          <w:vertAlign w:val="baseline"/>
        </w:rPr>
        <w:t>and</w:t>
      </w:r>
      <w:r>
        <w:rPr>
          <w:spacing w:val="-12"/>
          <w:vertAlign w:val="baseline"/>
        </w:rPr>
        <w:t> </w:t>
      </w:r>
      <w:r>
        <w:rPr>
          <w:vertAlign w:val="baseline"/>
        </w:rPr>
        <w:t>certificates,</w:t>
      </w:r>
      <w:r>
        <w:rPr>
          <w:spacing w:val="-12"/>
          <w:vertAlign w:val="baseline"/>
        </w:rPr>
        <w:t> </w:t>
      </w:r>
      <w:r>
        <w:rPr>
          <w:vertAlign w:val="baseline"/>
        </w:rPr>
        <w:t>is</w:t>
      </w:r>
      <w:r>
        <w:rPr>
          <w:spacing w:val="-12"/>
          <w:vertAlign w:val="baseline"/>
        </w:rPr>
        <w:t> </w:t>
      </w:r>
      <w:r>
        <w:rPr>
          <w:vertAlign w:val="baseline"/>
        </w:rPr>
        <w:t>often</w:t>
      </w:r>
      <w:r>
        <w:rPr>
          <w:spacing w:val="-12"/>
          <w:vertAlign w:val="baseline"/>
        </w:rPr>
        <w:t> </w:t>
      </w:r>
      <w:r>
        <w:rPr>
          <w:vertAlign w:val="baseline"/>
        </w:rPr>
        <w:t>expensive</w:t>
      </w:r>
      <w:r>
        <w:rPr>
          <w:spacing w:val="-12"/>
          <w:vertAlign w:val="baseline"/>
        </w:rPr>
        <w:t> </w:t>
      </w:r>
      <w:r>
        <w:rPr>
          <w:vertAlign w:val="baseline"/>
        </w:rPr>
        <w:t>and</w:t>
      </w:r>
      <w:r>
        <w:rPr>
          <w:spacing w:val="-11"/>
          <w:vertAlign w:val="baseline"/>
        </w:rPr>
        <w:t> </w:t>
      </w:r>
      <w:r>
        <w:rPr>
          <w:vertAlign w:val="baseline"/>
        </w:rPr>
        <w:t>complex,</w:t>
      </w:r>
      <w:r>
        <w:rPr>
          <w:spacing w:val="-12"/>
          <w:vertAlign w:val="baseline"/>
        </w:rPr>
        <w:t> </w:t>
      </w:r>
      <w:r>
        <w:rPr>
          <w:vertAlign w:val="baseline"/>
        </w:rPr>
        <w:t>and is</w:t>
      </w:r>
      <w:r>
        <w:rPr>
          <w:spacing w:val="-8"/>
          <w:vertAlign w:val="baseline"/>
        </w:rPr>
        <w:t> </w:t>
      </w:r>
      <w:r>
        <w:rPr>
          <w:vertAlign w:val="baseline"/>
        </w:rPr>
        <w:t>one</w:t>
      </w:r>
      <w:r>
        <w:rPr>
          <w:spacing w:val="-9"/>
          <w:vertAlign w:val="baseline"/>
        </w:rPr>
        <w:t> </w:t>
      </w:r>
      <w:r>
        <w:rPr>
          <w:vertAlign w:val="baseline"/>
        </w:rPr>
        <w:t>of</w:t>
      </w:r>
      <w:r>
        <w:rPr>
          <w:spacing w:val="-9"/>
          <w:vertAlign w:val="baseline"/>
        </w:rPr>
        <w:t> </w:t>
      </w:r>
      <w:r>
        <w:rPr>
          <w:vertAlign w:val="baseline"/>
        </w:rPr>
        <w:t>the</w:t>
      </w:r>
      <w:r>
        <w:rPr>
          <w:spacing w:val="-8"/>
          <w:vertAlign w:val="baseline"/>
        </w:rPr>
        <w:t> </w:t>
      </w:r>
      <w:r>
        <w:rPr>
          <w:vertAlign w:val="baseline"/>
        </w:rPr>
        <w:t>most</w:t>
      </w:r>
      <w:r>
        <w:rPr>
          <w:spacing w:val="-9"/>
          <w:vertAlign w:val="baseline"/>
        </w:rPr>
        <w:t> </w:t>
      </w:r>
      <w:r>
        <w:rPr>
          <w:vertAlign w:val="baseline"/>
        </w:rPr>
        <w:t>time-consuming</w:t>
      </w:r>
      <w:r>
        <w:rPr>
          <w:spacing w:val="-8"/>
          <w:vertAlign w:val="baseline"/>
        </w:rPr>
        <w:t> </w:t>
      </w:r>
      <w:r>
        <w:rPr>
          <w:vertAlign w:val="baseline"/>
        </w:rPr>
        <w:t>parts</w:t>
      </w:r>
      <w:r>
        <w:rPr>
          <w:spacing w:val="-9"/>
          <w:vertAlign w:val="baseline"/>
        </w:rPr>
        <w:t> </w:t>
      </w:r>
      <w:r>
        <w:rPr>
          <w:vertAlign w:val="baseline"/>
        </w:rPr>
        <w:t>of</w:t>
      </w:r>
      <w:r>
        <w:rPr>
          <w:spacing w:val="-9"/>
          <w:vertAlign w:val="baseline"/>
        </w:rPr>
        <w:t> </w:t>
      </w:r>
      <w:r>
        <w:rPr>
          <w:vertAlign w:val="baseline"/>
        </w:rPr>
        <w:t>an</w:t>
      </w:r>
      <w:r>
        <w:rPr>
          <w:spacing w:val="-9"/>
          <w:vertAlign w:val="baseline"/>
        </w:rPr>
        <w:t> </w:t>
      </w:r>
      <w:r>
        <w:rPr>
          <w:vertAlign w:val="baseline"/>
        </w:rPr>
        <w:t>immigrant’s</w:t>
      </w:r>
      <w:r>
        <w:rPr>
          <w:spacing w:val="-9"/>
          <w:vertAlign w:val="baseline"/>
        </w:rPr>
        <w:t> </w:t>
      </w:r>
      <w:r>
        <w:rPr>
          <w:vertAlign w:val="baseline"/>
        </w:rPr>
        <w:t>career</w:t>
      </w:r>
      <w:r>
        <w:rPr>
          <w:spacing w:val="-8"/>
          <w:vertAlign w:val="baseline"/>
        </w:rPr>
        <w:t> </w:t>
      </w:r>
      <w:r>
        <w:rPr>
          <w:vertAlign w:val="baseline"/>
        </w:rPr>
        <w:t>process,</w:t>
      </w:r>
      <w:r>
        <w:rPr>
          <w:spacing w:val="-9"/>
          <w:vertAlign w:val="baseline"/>
        </w:rPr>
        <w:t> </w:t>
      </w:r>
      <w:r>
        <w:rPr>
          <w:vertAlign w:val="baseline"/>
        </w:rPr>
        <w:t>and</w:t>
      </w:r>
      <w:r>
        <w:rPr>
          <w:spacing w:val="-8"/>
          <w:vertAlign w:val="baseline"/>
        </w:rPr>
        <w:t> </w:t>
      </w:r>
      <w:r>
        <w:rPr>
          <w:vertAlign w:val="baseline"/>
        </w:rPr>
        <w:t>can</w:t>
      </w:r>
      <w:r>
        <w:rPr>
          <w:spacing w:val="-9"/>
          <w:vertAlign w:val="baseline"/>
        </w:rPr>
        <w:t> </w:t>
      </w:r>
      <w:r>
        <w:rPr>
          <w:vertAlign w:val="baseline"/>
        </w:rPr>
        <w:t>take</w:t>
      </w:r>
      <w:r>
        <w:rPr>
          <w:spacing w:val="-9"/>
          <w:vertAlign w:val="baseline"/>
        </w:rPr>
        <w:t> </w:t>
      </w:r>
      <w:r>
        <w:rPr>
          <w:vertAlign w:val="baseline"/>
        </w:rPr>
        <w:t>as</w:t>
      </w:r>
      <w:r>
        <w:rPr>
          <w:spacing w:val="-9"/>
          <w:vertAlign w:val="baseline"/>
        </w:rPr>
        <w:t> </w:t>
      </w:r>
      <w:r>
        <w:rPr>
          <w:vertAlign w:val="baseline"/>
        </w:rPr>
        <w:t>little</w:t>
      </w:r>
      <w:r>
        <w:rPr>
          <w:spacing w:val="-9"/>
          <w:vertAlign w:val="baseline"/>
        </w:rPr>
        <w:t> </w:t>
      </w:r>
      <w:r>
        <w:rPr>
          <w:vertAlign w:val="baseline"/>
        </w:rPr>
        <w:t>as</w:t>
      </w:r>
      <w:r>
        <w:rPr>
          <w:spacing w:val="-9"/>
          <w:vertAlign w:val="baseline"/>
        </w:rPr>
        <w:t> </w:t>
      </w:r>
      <w:r>
        <w:rPr>
          <w:vertAlign w:val="baseline"/>
        </w:rPr>
        <w:t>several weeks or as long as several months to complete - or may not happen at all. For those who lack access to their</w:t>
      </w:r>
      <w:r>
        <w:rPr>
          <w:spacing w:val="-6"/>
          <w:vertAlign w:val="baseline"/>
        </w:rPr>
        <w:t> </w:t>
      </w:r>
      <w:r>
        <w:rPr>
          <w:vertAlign w:val="baseline"/>
        </w:rPr>
        <w:t>transcripts</w:t>
      </w:r>
      <w:r>
        <w:rPr>
          <w:spacing w:val="-7"/>
          <w:vertAlign w:val="baseline"/>
        </w:rPr>
        <w:t> </w:t>
      </w:r>
      <w:r>
        <w:rPr>
          <w:vertAlign w:val="baseline"/>
        </w:rPr>
        <w:t>of</w:t>
      </w:r>
      <w:r>
        <w:rPr>
          <w:spacing w:val="-8"/>
          <w:vertAlign w:val="baseline"/>
        </w:rPr>
        <w:t> </w:t>
      </w:r>
      <w:r>
        <w:rPr>
          <w:vertAlign w:val="baseline"/>
        </w:rPr>
        <w:t>documentation,</w:t>
      </w:r>
      <w:r>
        <w:rPr>
          <w:spacing w:val="-6"/>
          <w:vertAlign w:val="baseline"/>
        </w:rPr>
        <w:t> </w:t>
      </w:r>
      <w:r>
        <w:rPr>
          <w:vertAlign w:val="baseline"/>
        </w:rPr>
        <w:t>it</w:t>
      </w:r>
      <w:r>
        <w:rPr>
          <w:spacing w:val="-7"/>
          <w:vertAlign w:val="baseline"/>
        </w:rPr>
        <w:t> </w:t>
      </w:r>
      <w:r>
        <w:rPr>
          <w:vertAlign w:val="baseline"/>
        </w:rPr>
        <w:t>can</w:t>
      </w:r>
      <w:r>
        <w:rPr>
          <w:spacing w:val="-8"/>
          <w:vertAlign w:val="baseline"/>
        </w:rPr>
        <w:t> </w:t>
      </w:r>
      <w:r>
        <w:rPr>
          <w:vertAlign w:val="baseline"/>
        </w:rPr>
        <w:t>be</w:t>
      </w:r>
      <w:r>
        <w:rPr>
          <w:spacing w:val="-7"/>
          <w:vertAlign w:val="baseline"/>
        </w:rPr>
        <w:t> </w:t>
      </w:r>
      <w:r>
        <w:rPr>
          <w:vertAlign w:val="baseline"/>
        </w:rPr>
        <w:t>almost</w:t>
      </w:r>
      <w:r>
        <w:rPr>
          <w:spacing w:val="-7"/>
          <w:vertAlign w:val="baseline"/>
        </w:rPr>
        <w:t> </w:t>
      </w:r>
      <w:r>
        <w:rPr>
          <w:vertAlign w:val="baseline"/>
        </w:rPr>
        <w:t>impossible</w:t>
      </w:r>
      <w:r>
        <w:rPr>
          <w:spacing w:val="-8"/>
          <w:vertAlign w:val="baseline"/>
        </w:rPr>
        <w:t> </w:t>
      </w:r>
      <w:r>
        <w:rPr>
          <w:vertAlign w:val="baseline"/>
        </w:rPr>
        <w:t>to</w:t>
      </w:r>
      <w:r>
        <w:rPr>
          <w:spacing w:val="-6"/>
          <w:vertAlign w:val="baseline"/>
        </w:rPr>
        <w:t> </w:t>
      </w:r>
      <w:r>
        <w:rPr>
          <w:vertAlign w:val="baseline"/>
        </w:rPr>
        <w:t>transfer</w:t>
      </w:r>
      <w:r>
        <w:rPr>
          <w:spacing w:val="-8"/>
          <w:vertAlign w:val="baseline"/>
        </w:rPr>
        <w:t> </w:t>
      </w:r>
      <w:r>
        <w:rPr>
          <w:vertAlign w:val="baseline"/>
        </w:rPr>
        <w:t>credentials</w:t>
      </w:r>
      <w:r>
        <w:rPr>
          <w:spacing w:val="-6"/>
          <w:vertAlign w:val="baseline"/>
        </w:rPr>
        <w:t> </w:t>
      </w:r>
      <w:r>
        <w:rPr>
          <w:vertAlign w:val="baseline"/>
        </w:rPr>
        <w:t>to</w:t>
      </w:r>
      <w:r>
        <w:rPr>
          <w:spacing w:val="-7"/>
          <w:vertAlign w:val="baseline"/>
        </w:rPr>
        <w:t> </w:t>
      </w:r>
      <w:r>
        <w:rPr>
          <w:vertAlign w:val="baseline"/>
        </w:rPr>
        <w:t>the</w:t>
      </w:r>
      <w:r>
        <w:rPr>
          <w:spacing w:val="-7"/>
          <w:vertAlign w:val="baseline"/>
        </w:rPr>
        <w:t> </w:t>
      </w:r>
      <w:r>
        <w:rPr>
          <w:vertAlign w:val="baseline"/>
        </w:rPr>
        <w:t>U.S.,</w:t>
      </w:r>
      <w:r>
        <w:rPr>
          <w:spacing w:val="-6"/>
          <w:vertAlign w:val="baseline"/>
        </w:rPr>
        <w:t> </w:t>
      </w:r>
      <w:r>
        <w:rPr>
          <w:vertAlign w:val="baseline"/>
        </w:rPr>
        <w:t>with</w:t>
      </w:r>
      <w:r>
        <w:rPr>
          <w:spacing w:val="-8"/>
          <w:vertAlign w:val="baseline"/>
        </w:rPr>
        <w:t> </w:t>
      </w:r>
      <w:r>
        <w:rPr>
          <w:vertAlign w:val="baseline"/>
        </w:rPr>
        <w:t>no federal standards or regulations to assist them.</w:t>
      </w:r>
    </w:p>
    <w:p>
      <w:pPr>
        <w:pStyle w:val="BodyText"/>
        <w:spacing w:line="276" w:lineRule="auto" w:before="240"/>
        <w:ind w:left="463" w:right="262"/>
        <w:jc w:val="both"/>
      </w:pPr>
      <w:bookmarkStart w:name="_bookmark539" w:id="795"/>
      <w:bookmarkEnd w:id="795"/>
      <w:r>
        <w:rPr/>
      </w:r>
      <w:r>
        <w:rPr/>
        <w:t>Additionally,</w:t>
      </w:r>
      <w:r>
        <w:rPr>
          <w:spacing w:val="-7"/>
        </w:rPr>
        <w:t> </w:t>
      </w:r>
      <w:r>
        <w:rPr/>
        <w:t>some</w:t>
      </w:r>
      <w:r>
        <w:rPr>
          <w:spacing w:val="-10"/>
        </w:rPr>
        <w:t> </w:t>
      </w:r>
      <w:r>
        <w:rPr/>
        <w:t>foreign-born</w:t>
      </w:r>
      <w:r>
        <w:rPr>
          <w:spacing w:val="-10"/>
        </w:rPr>
        <w:t> </w:t>
      </w:r>
      <w:r>
        <w:rPr/>
        <w:t>individuals</w:t>
      </w:r>
      <w:r>
        <w:rPr>
          <w:spacing w:val="-9"/>
        </w:rPr>
        <w:t> </w:t>
      </w:r>
      <w:r>
        <w:rPr/>
        <w:t>may</w:t>
      </w:r>
      <w:r>
        <w:rPr>
          <w:spacing w:val="-9"/>
        </w:rPr>
        <w:t> </w:t>
      </w:r>
      <w:r>
        <w:rPr/>
        <w:t>have</w:t>
      </w:r>
      <w:r>
        <w:rPr>
          <w:spacing w:val="-10"/>
        </w:rPr>
        <w:t> </w:t>
      </w:r>
      <w:r>
        <w:rPr/>
        <w:t>to</w:t>
      </w:r>
      <w:r>
        <w:rPr>
          <w:spacing w:val="-8"/>
        </w:rPr>
        <w:t> </w:t>
      </w:r>
      <w:r>
        <w:rPr/>
        <w:t>retake</w:t>
      </w:r>
      <w:r>
        <w:rPr>
          <w:spacing w:val="-10"/>
        </w:rPr>
        <w:t> </w:t>
      </w:r>
      <w:r>
        <w:rPr/>
        <w:t>licensing</w:t>
      </w:r>
      <w:r>
        <w:rPr>
          <w:spacing w:val="-9"/>
        </w:rPr>
        <w:t> </w:t>
      </w:r>
      <w:r>
        <w:rPr/>
        <w:t>exams,</w:t>
      </w:r>
      <w:r>
        <w:rPr>
          <w:spacing w:val="-10"/>
        </w:rPr>
        <w:t> </w:t>
      </w:r>
      <w:r>
        <w:rPr/>
        <w:t>degree</w:t>
      </w:r>
      <w:r>
        <w:rPr>
          <w:spacing w:val="-9"/>
        </w:rPr>
        <w:t> </w:t>
      </w:r>
      <w:r>
        <w:rPr/>
        <w:t>programs,</w:t>
      </w:r>
      <w:r>
        <w:rPr>
          <w:spacing w:val="-10"/>
        </w:rPr>
        <w:t> </w:t>
      </w:r>
      <w:r>
        <w:rPr/>
        <w:t>and/or training. One study found that 25% of immigrants with foreign degrees are underemployed or unemployed,</w:t>
      </w:r>
      <w:r>
        <w:rPr>
          <w:spacing w:val="-8"/>
        </w:rPr>
        <w:t> </w:t>
      </w:r>
      <w:r>
        <w:rPr/>
        <w:t>compared</w:t>
      </w:r>
      <w:r>
        <w:rPr>
          <w:spacing w:val="-9"/>
        </w:rPr>
        <w:t> </w:t>
      </w:r>
      <w:r>
        <w:rPr/>
        <w:t>to</w:t>
      </w:r>
      <w:r>
        <w:rPr>
          <w:spacing w:val="-8"/>
        </w:rPr>
        <w:t> </w:t>
      </w:r>
      <w:r>
        <w:rPr/>
        <w:t>17%</w:t>
      </w:r>
      <w:r>
        <w:rPr>
          <w:spacing w:val="-10"/>
        </w:rPr>
        <w:t> </w:t>
      </w:r>
      <w:r>
        <w:rPr/>
        <w:t>of</w:t>
      </w:r>
      <w:r>
        <w:rPr>
          <w:spacing w:val="-10"/>
        </w:rPr>
        <w:t> </w:t>
      </w:r>
      <w:r>
        <w:rPr/>
        <w:t>those</w:t>
      </w:r>
      <w:r>
        <w:rPr>
          <w:spacing w:val="-9"/>
        </w:rPr>
        <w:t> </w:t>
      </w:r>
      <w:r>
        <w:rPr/>
        <w:t>born</w:t>
      </w:r>
      <w:r>
        <w:rPr>
          <w:spacing w:val="-10"/>
        </w:rPr>
        <w:t> </w:t>
      </w:r>
      <w:r>
        <w:rPr/>
        <w:t>in</w:t>
      </w:r>
      <w:r>
        <w:rPr>
          <w:spacing w:val="-9"/>
        </w:rPr>
        <w:t> </w:t>
      </w:r>
      <w:r>
        <w:rPr/>
        <w:t>the</w:t>
      </w:r>
      <w:r>
        <w:rPr>
          <w:spacing w:val="-8"/>
        </w:rPr>
        <w:t> </w:t>
      </w:r>
      <w:r>
        <w:rPr/>
        <w:t>U.S.</w:t>
      </w:r>
      <w:r>
        <w:rPr>
          <w:spacing w:val="-10"/>
        </w:rPr>
        <w:t> </w:t>
      </w:r>
      <w:r>
        <w:rPr/>
        <w:t>with</w:t>
      </w:r>
      <w:r>
        <w:rPr>
          <w:spacing w:val="-9"/>
        </w:rPr>
        <w:t> </w:t>
      </w:r>
      <w:r>
        <w:rPr/>
        <w:t>degrees.</w:t>
      </w:r>
      <w:r>
        <w:rPr>
          <w:vertAlign w:val="superscript"/>
        </w:rPr>
        <w:t>58</w:t>
      </w:r>
      <w:r>
        <w:rPr>
          <w:spacing w:val="-10"/>
          <w:vertAlign w:val="baseline"/>
        </w:rPr>
        <w:t> </w:t>
      </w:r>
      <w:r>
        <w:rPr>
          <w:vertAlign w:val="baseline"/>
        </w:rPr>
        <w:t>This</w:t>
      </w:r>
      <w:r>
        <w:rPr>
          <w:spacing w:val="-9"/>
          <w:vertAlign w:val="baseline"/>
        </w:rPr>
        <w:t> </w:t>
      </w:r>
      <w:r>
        <w:rPr>
          <w:vertAlign w:val="baseline"/>
        </w:rPr>
        <w:t>problem</w:t>
      </w:r>
      <w:r>
        <w:rPr>
          <w:spacing w:val="-9"/>
          <w:vertAlign w:val="baseline"/>
        </w:rPr>
        <w:t> </w:t>
      </w:r>
      <w:r>
        <w:rPr>
          <w:vertAlign w:val="baseline"/>
        </w:rPr>
        <w:t>is</w:t>
      </w:r>
      <w:r>
        <w:rPr>
          <w:spacing w:val="-9"/>
          <w:vertAlign w:val="baseline"/>
        </w:rPr>
        <w:t> </w:t>
      </w:r>
      <w:r>
        <w:rPr>
          <w:vertAlign w:val="baseline"/>
        </w:rPr>
        <w:t>particularly</w:t>
      </w:r>
      <w:r>
        <w:rPr>
          <w:spacing w:val="-10"/>
          <w:vertAlign w:val="baseline"/>
        </w:rPr>
        <w:t> </w:t>
      </w:r>
      <w:r>
        <w:rPr>
          <w:vertAlign w:val="baseline"/>
        </w:rPr>
        <w:t>acute in</w:t>
      </w:r>
      <w:r>
        <w:rPr>
          <w:spacing w:val="-13"/>
          <w:vertAlign w:val="baseline"/>
        </w:rPr>
        <w:t> </w:t>
      </w:r>
      <w:r>
        <w:rPr>
          <w:vertAlign w:val="baseline"/>
        </w:rPr>
        <w:t>health</w:t>
      </w:r>
      <w:r>
        <w:rPr>
          <w:spacing w:val="-12"/>
          <w:vertAlign w:val="baseline"/>
        </w:rPr>
        <w:t> </w:t>
      </w:r>
      <w:r>
        <w:rPr>
          <w:vertAlign w:val="baseline"/>
        </w:rPr>
        <w:t>care,</w:t>
      </w:r>
      <w:r>
        <w:rPr>
          <w:spacing w:val="-13"/>
          <w:vertAlign w:val="baseline"/>
        </w:rPr>
        <w:t> </w:t>
      </w:r>
      <w:r>
        <w:rPr>
          <w:vertAlign w:val="baseline"/>
        </w:rPr>
        <w:t>where</w:t>
      </w:r>
      <w:r>
        <w:rPr>
          <w:spacing w:val="-12"/>
          <w:vertAlign w:val="baseline"/>
        </w:rPr>
        <w:t> </w:t>
      </w:r>
      <w:r>
        <w:rPr>
          <w:vertAlign w:val="baseline"/>
        </w:rPr>
        <w:t>more</w:t>
      </w:r>
      <w:r>
        <w:rPr>
          <w:spacing w:val="-13"/>
          <w:vertAlign w:val="baseline"/>
        </w:rPr>
        <w:t> </w:t>
      </w:r>
      <w:r>
        <w:rPr>
          <w:vertAlign w:val="baseline"/>
        </w:rPr>
        <w:t>than</w:t>
      </w:r>
      <w:r>
        <w:rPr>
          <w:spacing w:val="-12"/>
          <w:vertAlign w:val="baseline"/>
        </w:rPr>
        <w:t> </w:t>
      </w:r>
      <w:r>
        <w:rPr>
          <w:vertAlign w:val="baseline"/>
        </w:rPr>
        <w:t>20%</w:t>
      </w:r>
      <w:r>
        <w:rPr>
          <w:spacing w:val="-13"/>
          <w:vertAlign w:val="baseline"/>
        </w:rPr>
        <w:t> </w:t>
      </w:r>
      <w:r>
        <w:rPr>
          <w:vertAlign w:val="baseline"/>
        </w:rPr>
        <w:t>of</w:t>
      </w:r>
      <w:r>
        <w:rPr>
          <w:spacing w:val="-12"/>
          <w:vertAlign w:val="baseline"/>
        </w:rPr>
        <w:t> </w:t>
      </w:r>
      <w:r>
        <w:rPr>
          <w:vertAlign w:val="baseline"/>
        </w:rPr>
        <w:t>immigrants</w:t>
      </w:r>
      <w:r>
        <w:rPr>
          <w:spacing w:val="-12"/>
          <w:vertAlign w:val="baseline"/>
        </w:rPr>
        <w:t> </w:t>
      </w:r>
      <w:r>
        <w:rPr>
          <w:vertAlign w:val="baseline"/>
        </w:rPr>
        <w:t>with</w:t>
      </w:r>
      <w:r>
        <w:rPr>
          <w:spacing w:val="-13"/>
          <w:vertAlign w:val="baseline"/>
        </w:rPr>
        <w:t> </w:t>
      </w:r>
      <w:r>
        <w:rPr>
          <w:vertAlign w:val="baseline"/>
        </w:rPr>
        <w:t>foreign</w:t>
      </w:r>
      <w:r>
        <w:rPr>
          <w:spacing w:val="-12"/>
          <w:vertAlign w:val="baseline"/>
        </w:rPr>
        <w:t> </w:t>
      </w:r>
      <w:r>
        <w:rPr>
          <w:vertAlign w:val="baseline"/>
        </w:rPr>
        <w:t>medical</w:t>
      </w:r>
      <w:r>
        <w:rPr>
          <w:spacing w:val="-13"/>
          <w:vertAlign w:val="baseline"/>
        </w:rPr>
        <w:t> </w:t>
      </w:r>
      <w:r>
        <w:rPr>
          <w:vertAlign w:val="baseline"/>
        </w:rPr>
        <w:t>credentials</w:t>
      </w:r>
      <w:r>
        <w:rPr>
          <w:spacing w:val="-12"/>
          <w:vertAlign w:val="baseline"/>
        </w:rPr>
        <w:t> </w:t>
      </w:r>
      <w:r>
        <w:rPr>
          <w:vertAlign w:val="baseline"/>
        </w:rPr>
        <w:t>are</w:t>
      </w:r>
      <w:r>
        <w:rPr>
          <w:spacing w:val="-13"/>
          <w:vertAlign w:val="baseline"/>
        </w:rPr>
        <w:t> </w:t>
      </w:r>
      <w:r>
        <w:rPr>
          <w:vertAlign w:val="baseline"/>
        </w:rPr>
        <w:t>unable</w:t>
      </w:r>
      <w:r>
        <w:rPr>
          <w:spacing w:val="-12"/>
          <w:vertAlign w:val="baseline"/>
        </w:rPr>
        <w:t> </w:t>
      </w:r>
      <w:r>
        <w:rPr>
          <w:vertAlign w:val="baseline"/>
        </w:rPr>
        <w:t>to</w:t>
      </w:r>
      <w:r>
        <w:rPr>
          <w:spacing w:val="-12"/>
          <w:vertAlign w:val="baseline"/>
        </w:rPr>
        <w:t> </w:t>
      </w:r>
      <w:r>
        <w:rPr>
          <w:vertAlign w:val="baseline"/>
        </w:rPr>
        <w:t>practice in</w:t>
      </w:r>
      <w:r>
        <w:rPr>
          <w:spacing w:val="-12"/>
          <w:vertAlign w:val="baseline"/>
        </w:rPr>
        <w:t> </w:t>
      </w:r>
      <w:r>
        <w:rPr>
          <w:vertAlign w:val="baseline"/>
        </w:rPr>
        <w:t>Massachusetts</w:t>
      </w:r>
      <w:r>
        <w:rPr>
          <w:spacing w:val="-12"/>
          <w:vertAlign w:val="baseline"/>
        </w:rPr>
        <w:t> </w:t>
      </w:r>
      <w:r>
        <w:rPr>
          <w:vertAlign w:val="baseline"/>
        </w:rPr>
        <w:t>due</w:t>
      </w:r>
      <w:r>
        <w:rPr>
          <w:spacing w:val="-11"/>
          <w:vertAlign w:val="baseline"/>
        </w:rPr>
        <w:t> </w:t>
      </w:r>
      <w:r>
        <w:rPr>
          <w:vertAlign w:val="baseline"/>
        </w:rPr>
        <w:t>to</w:t>
      </w:r>
      <w:r>
        <w:rPr>
          <w:spacing w:val="-12"/>
          <w:vertAlign w:val="baseline"/>
        </w:rPr>
        <w:t> </w:t>
      </w:r>
      <w:r>
        <w:rPr>
          <w:vertAlign w:val="baseline"/>
        </w:rPr>
        <w:t>“costly</w:t>
      </w:r>
      <w:r>
        <w:rPr>
          <w:spacing w:val="-12"/>
          <w:vertAlign w:val="baseline"/>
        </w:rPr>
        <w:t> </w:t>
      </w:r>
      <w:r>
        <w:rPr>
          <w:vertAlign w:val="baseline"/>
        </w:rPr>
        <w:t>licensing</w:t>
      </w:r>
      <w:r>
        <w:rPr>
          <w:spacing w:val="-13"/>
          <w:vertAlign w:val="baseline"/>
        </w:rPr>
        <w:t> </w:t>
      </w:r>
      <w:r>
        <w:rPr>
          <w:vertAlign w:val="baseline"/>
        </w:rPr>
        <w:t>requirements,</w:t>
      </w:r>
      <w:r>
        <w:rPr>
          <w:spacing w:val="-11"/>
          <w:vertAlign w:val="baseline"/>
        </w:rPr>
        <w:t> </w:t>
      </w:r>
      <w:r>
        <w:rPr>
          <w:vertAlign w:val="baseline"/>
        </w:rPr>
        <w:t>language</w:t>
      </w:r>
      <w:r>
        <w:rPr>
          <w:spacing w:val="-11"/>
          <w:vertAlign w:val="baseline"/>
        </w:rPr>
        <w:t> </w:t>
      </w:r>
      <w:r>
        <w:rPr>
          <w:vertAlign w:val="baseline"/>
        </w:rPr>
        <w:t>barriers,</w:t>
      </w:r>
      <w:r>
        <w:rPr>
          <w:spacing w:val="-12"/>
          <w:vertAlign w:val="baseline"/>
        </w:rPr>
        <w:t> </w:t>
      </w:r>
      <w:r>
        <w:rPr>
          <w:vertAlign w:val="baseline"/>
        </w:rPr>
        <w:t>lack</w:t>
      </w:r>
      <w:r>
        <w:rPr>
          <w:spacing w:val="-13"/>
          <w:vertAlign w:val="baseline"/>
        </w:rPr>
        <w:t> </w:t>
      </w:r>
      <w:r>
        <w:rPr>
          <w:vertAlign w:val="baseline"/>
        </w:rPr>
        <w:t>of</w:t>
      </w:r>
      <w:r>
        <w:rPr>
          <w:spacing w:val="-11"/>
          <w:vertAlign w:val="baseline"/>
        </w:rPr>
        <w:t> </w:t>
      </w:r>
      <w:r>
        <w:rPr>
          <w:vertAlign w:val="baseline"/>
        </w:rPr>
        <w:t>targeted</w:t>
      </w:r>
      <w:r>
        <w:rPr>
          <w:spacing w:val="-11"/>
          <w:vertAlign w:val="baseline"/>
        </w:rPr>
        <w:t> </w:t>
      </w:r>
      <w:r>
        <w:rPr>
          <w:vertAlign w:val="baseline"/>
        </w:rPr>
        <w:t>career</w:t>
      </w:r>
      <w:r>
        <w:rPr>
          <w:spacing w:val="-12"/>
          <w:vertAlign w:val="baseline"/>
        </w:rPr>
        <w:t> </w:t>
      </w:r>
      <w:r>
        <w:rPr>
          <w:vertAlign w:val="baseline"/>
        </w:rPr>
        <w:t>services and other factors.” </w:t>
      </w:r>
      <w:r>
        <w:rPr>
          <w:vertAlign w:val="superscript"/>
        </w:rPr>
        <w:t>59</w:t>
      </w:r>
      <w:r>
        <w:rPr>
          <w:vertAlign w:val="baseline"/>
        </w:rPr>
        <w:t> Helping these practitioners gain accreditation in Massachusetts through comprehensive</w:t>
      </w:r>
      <w:r>
        <w:rPr>
          <w:spacing w:val="-11"/>
          <w:vertAlign w:val="baseline"/>
        </w:rPr>
        <w:t> </w:t>
      </w:r>
      <w:r>
        <w:rPr>
          <w:vertAlign w:val="baseline"/>
        </w:rPr>
        <w:t>training</w:t>
      </w:r>
      <w:r>
        <w:rPr>
          <w:spacing w:val="-11"/>
          <w:vertAlign w:val="baseline"/>
        </w:rPr>
        <w:t> </w:t>
      </w:r>
      <w:r>
        <w:rPr>
          <w:vertAlign w:val="baseline"/>
        </w:rPr>
        <w:t>and</w:t>
      </w:r>
      <w:r>
        <w:rPr>
          <w:spacing w:val="-11"/>
          <w:vertAlign w:val="baseline"/>
        </w:rPr>
        <w:t> </w:t>
      </w:r>
      <w:r>
        <w:rPr>
          <w:vertAlign w:val="baseline"/>
        </w:rPr>
        <w:t>language</w:t>
      </w:r>
      <w:r>
        <w:rPr>
          <w:spacing w:val="-10"/>
          <w:vertAlign w:val="baseline"/>
        </w:rPr>
        <w:t> </w:t>
      </w:r>
      <w:r>
        <w:rPr>
          <w:vertAlign w:val="baseline"/>
        </w:rPr>
        <w:t>programs,</w:t>
      </w:r>
      <w:r>
        <w:rPr>
          <w:spacing w:val="-11"/>
          <w:vertAlign w:val="baseline"/>
        </w:rPr>
        <w:t> </w:t>
      </w:r>
      <w:r>
        <w:rPr>
          <w:vertAlign w:val="baseline"/>
        </w:rPr>
        <w:t>or</w:t>
      </w:r>
      <w:r>
        <w:rPr>
          <w:spacing w:val="-11"/>
          <w:vertAlign w:val="baseline"/>
        </w:rPr>
        <w:t> </w:t>
      </w:r>
      <w:r>
        <w:rPr>
          <w:vertAlign w:val="baseline"/>
        </w:rPr>
        <w:t>by</w:t>
      </w:r>
      <w:r>
        <w:rPr>
          <w:spacing w:val="-11"/>
          <w:vertAlign w:val="baseline"/>
        </w:rPr>
        <w:t> </w:t>
      </w:r>
      <w:r>
        <w:rPr>
          <w:vertAlign w:val="baseline"/>
        </w:rPr>
        <w:t>modifying</w:t>
      </w:r>
      <w:r>
        <w:rPr>
          <w:spacing w:val="-11"/>
          <w:vertAlign w:val="baseline"/>
        </w:rPr>
        <w:t> </w:t>
      </w:r>
      <w:r>
        <w:rPr>
          <w:vertAlign w:val="baseline"/>
        </w:rPr>
        <w:t>license</w:t>
      </w:r>
      <w:r>
        <w:rPr>
          <w:spacing w:val="-11"/>
          <w:vertAlign w:val="baseline"/>
        </w:rPr>
        <w:t> </w:t>
      </w:r>
      <w:r>
        <w:rPr>
          <w:vertAlign w:val="baseline"/>
        </w:rPr>
        <w:t>requirements,</w:t>
      </w:r>
      <w:r>
        <w:rPr>
          <w:spacing w:val="-11"/>
          <w:vertAlign w:val="baseline"/>
        </w:rPr>
        <w:t> </w:t>
      </w:r>
      <w:r>
        <w:rPr>
          <w:vertAlign w:val="baseline"/>
        </w:rPr>
        <w:t>would</w:t>
      </w:r>
      <w:r>
        <w:rPr>
          <w:spacing w:val="-10"/>
          <w:vertAlign w:val="baseline"/>
        </w:rPr>
        <w:t> </w:t>
      </w:r>
      <w:r>
        <w:rPr>
          <w:vertAlign w:val="baseline"/>
        </w:rPr>
        <w:t>ensure</w:t>
      </w:r>
      <w:r>
        <w:rPr>
          <w:spacing w:val="-10"/>
          <w:vertAlign w:val="baseline"/>
        </w:rPr>
        <w:t> </w:t>
      </w:r>
      <w:r>
        <w:rPr>
          <w:vertAlign w:val="baseline"/>
        </w:rPr>
        <w:t>that the Commonwealth avoids underutilizing an important, readily available talent resource.</w:t>
      </w:r>
    </w:p>
    <w:p>
      <w:pPr>
        <w:spacing w:after="0" w:line="276" w:lineRule="auto"/>
        <w:jc w:val="both"/>
        <w:sectPr>
          <w:pgSz w:w="12240" w:h="15840"/>
          <w:pgMar w:header="805" w:footer="1208" w:top="1080" w:bottom="1460" w:left="980" w:right="1180"/>
        </w:sectPr>
      </w:pPr>
    </w:p>
    <w:p>
      <w:pPr>
        <w:spacing w:before="68"/>
        <w:ind w:left="463" w:right="0" w:firstLine="0"/>
        <w:jc w:val="both"/>
        <w:rPr>
          <w:sz w:val="28"/>
        </w:rPr>
      </w:pPr>
      <w:bookmarkStart w:name="Education Access &amp; DACA" w:id="796"/>
      <w:bookmarkEnd w:id="796"/>
      <w:r>
        <w:rPr/>
      </w:r>
      <w:bookmarkStart w:name="_bookmark540" w:id="797"/>
      <w:bookmarkEnd w:id="797"/>
      <w:r>
        <w:rPr/>
      </w:r>
      <w:r>
        <w:rPr>
          <w:color w:val="365F91"/>
          <w:sz w:val="28"/>
        </w:rPr>
        <w:t>Education</w:t>
      </w:r>
      <w:r>
        <w:rPr>
          <w:color w:val="365F91"/>
          <w:spacing w:val="-8"/>
          <w:sz w:val="28"/>
        </w:rPr>
        <w:t> </w:t>
      </w:r>
      <w:r>
        <w:rPr>
          <w:color w:val="365F91"/>
          <w:sz w:val="28"/>
        </w:rPr>
        <w:t>Access</w:t>
      </w:r>
      <w:r>
        <w:rPr>
          <w:color w:val="365F91"/>
          <w:spacing w:val="-8"/>
          <w:sz w:val="28"/>
        </w:rPr>
        <w:t> </w:t>
      </w:r>
      <w:r>
        <w:rPr>
          <w:color w:val="365F91"/>
          <w:sz w:val="28"/>
        </w:rPr>
        <w:t>&amp;</w:t>
      </w:r>
      <w:r>
        <w:rPr>
          <w:color w:val="365F91"/>
          <w:spacing w:val="-8"/>
          <w:sz w:val="28"/>
        </w:rPr>
        <w:t> </w:t>
      </w:r>
      <w:r>
        <w:rPr>
          <w:color w:val="365F91"/>
          <w:spacing w:val="-4"/>
          <w:sz w:val="28"/>
        </w:rPr>
        <w:t>DACA</w:t>
      </w:r>
    </w:p>
    <w:p>
      <w:pPr>
        <w:pStyle w:val="BodyText"/>
        <w:spacing w:line="276" w:lineRule="auto" w:before="241"/>
        <w:ind w:left="463" w:right="262"/>
        <w:jc w:val="both"/>
      </w:pPr>
      <w:r>
        <w:rPr/>
        <w:drawing>
          <wp:anchor distT="0" distB="0" distL="0" distR="0" allowOverlap="1" layoutInCell="1" locked="0" behindDoc="1" simplePos="0" relativeHeight="482634240">
            <wp:simplePos x="0" y="0"/>
            <wp:positionH relativeFrom="page">
              <wp:posOffset>2768600</wp:posOffset>
            </wp:positionH>
            <wp:positionV relativeFrom="paragraph">
              <wp:posOffset>830447</wp:posOffset>
            </wp:positionV>
            <wp:extent cx="4178299" cy="4004584"/>
            <wp:effectExtent l="0" t="0" r="0" b="0"/>
            <wp:wrapNone/>
            <wp:docPr id="439" name="Image 439" descr="A diagram of a group of circles with text  Description automatically generated "/>
            <wp:cNvGraphicFramePr>
              <a:graphicFrameLocks/>
            </wp:cNvGraphicFramePr>
            <a:graphic>
              <a:graphicData uri="http://schemas.openxmlformats.org/drawingml/2006/picture">
                <pic:pic>
                  <pic:nvPicPr>
                    <pic:cNvPr id="439" name="Image 439" descr="A diagram of a group of circles with text  Description automatically generated "/>
                    <pic:cNvPicPr/>
                  </pic:nvPicPr>
                  <pic:blipFill>
                    <a:blip r:embed="rId572" cstate="print"/>
                    <a:stretch>
                      <a:fillRect/>
                    </a:stretch>
                  </pic:blipFill>
                  <pic:spPr>
                    <a:xfrm>
                      <a:off x="0" y="0"/>
                      <a:ext cx="4178299" cy="4004584"/>
                    </a:xfrm>
                    <a:prstGeom prst="rect">
                      <a:avLst/>
                    </a:prstGeom>
                  </pic:spPr>
                </pic:pic>
              </a:graphicData>
            </a:graphic>
          </wp:anchor>
        </w:drawing>
      </w:r>
      <w:r>
        <w:rPr/>
        <w:t>The Deferred Action for Childhood Arrivals (DACA) program provides temporary protection from </w:t>
      </w:r>
      <w:bookmarkStart w:name="_bookmark541" w:id="798"/>
      <w:bookmarkEnd w:id="798"/>
      <w:r>
        <w:rPr/>
        <w:t>dep</w:t>
      </w:r>
      <w:r>
        <w:rPr/>
        <w:t>ortation for Dreamers, the term used to refer to people who would have been protected by the yet- to-pass federal “Dream Act” which would protect undocumented youth who migrated to the U.S. as children but may be vulnerable</w:t>
      </w:r>
    </w:p>
    <w:p>
      <w:pPr>
        <w:pStyle w:val="BodyText"/>
        <w:spacing w:line="276" w:lineRule="auto"/>
        <w:ind w:left="463" w:right="6842"/>
        <w:jc w:val="both"/>
      </w:pPr>
      <w:r>
        <w:rPr/>
        <w:t>to deportation. </w:t>
      </w:r>
      <w:r>
        <w:rPr>
          <w:vertAlign w:val="superscript"/>
        </w:rPr>
        <w:t>60</w:t>
      </w:r>
      <w:r>
        <w:rPr>
          <w:vertAlign w:val="baseline"/>
        </w:rPr>
        <w:t> Since the program was established in 2012, DACA recipients have been able to pursue higher education, participate fully in the labor force, purchase homes and cars, and support their families. For DACA recipients who identify as </w:t>
      </w:r>
      <w:r>
        <w:rPr>
          <w:spacing w:val="-2"/>
          <w:vertAlign w:val="baseline"/>
        </w:rPr>
        <w:t>LGBTQ,</w:t>
      </w:r>
      <w:r>
        <w:rPr>
          <w:spacing w:val="-8"/>
          <w:vertAlign w:val="baseline"/>
        </w:rPr>
        <w:t> </w:t>
      </w:r>
      <w:r>
        <w:rPr>
          <w:spacing w:val="-2"/>
          <w:vertAlign w:val="baseline"/>
        </w:rPr>
        <w:t>the</w:t>
      </w:r>
      <w:r>
        <w:rPr>
          <w:spacing w:val="-9"/>
          <w:vertAlign w:val="baseline"/>
        </w:rPr>
        <w:t> </w:t>
      </w:r>
      <w:r>
        <w:rPr>
          <w:spacing w:val="-2"/>
          <w:vertAlign w:val="baseline"/>
        </w:rPr>
        <w:t>program</w:t>
      </w:r>
      <w:r>
        <w:rPr>
          <w:spacing w:val="-10"/>
          <w:vertAlign w:val="baseline"/>
        </w:rPr>
        <w:t> </w:t>
      </w:r>
      <w:r>
        <w:rPr>
          <w:spacing w:val="-2"/>
          <w:vertAlign w:val="baseline"/>
        </w:rPr>
        <w:t>has</w:t>
      </w:r>
      <w:r>
        <w:rPr>
          <w:spacing w:val="-9"/>
          <w:vertAlign w:val="baseline"/>
        </w:rPr>
        <w:t> </w:t>
      </w:r>
      <w:r>
        <w:rPr>
          <w:spacing w:val="-2"/>
          <w:vertAlign w:val="baseline"/>
        </w:rPr>
        <w:t>meant even</w:t>
      </w:r>
      <w:r>
        <w:rPr>
          <w:spacing w:val="-9"/>
          <w:vertAlign w:val="baseline"/>
        </w:rPr>
        <w:t> </w:t>
      </w:r>
      <w:r>
        <w:rPr>
          <w:spacing w:val="-2"/>
          <w:vertAlign w:val="baseline"/>
        </w:rPr>
        <w:t>more:</w:t>
      </w:r>
      <w:r>
        <w:rPr>
          <w:spacing w:val="-9"/>
          <w:vertAlign w:val="baseline"/>
        </w:rPr>
        <w:t> </w:t>
      </w:r>
      <w:r>
        <w:rPr>
          <w:spacing w:val="-2"/>
          <w:vertAlign w:val="baseline"/>
        </w:rPr>
        <w:t>it</w:t>
      </w:r>
      <w:r>
        <w:rPr>
          <w:spacing w:val="-8"/>
          <w:vertAlign w:val="baseline"/>
        </w:rPr>
        <w:t> </w:t>
      </w:r>
      <w:r>
        <w:rPr>
          <w:spacing w:val="-2"/>
          <w:vertAlign w:val="baseline"/>
        </w:rPr>
        <w:t>has</w:t>
      </w:r>
      <w:r>
        <w:rPr>
          <w:spacing w:val="-11"/>
          <w:vertAlign w:val="baseline"/>
        </w:rPr>
        <w:t> </w:t>
      </w:r>
      <w:r>
        <w:rPr>
          <w:spacing w:val="-2"/>
          <w:vertAlign w:val="baseline"/>
        </w:rPr>
        <w:t>allowed</w:t>
      </w:r>
      <w:r>
        <w:rPr>
          <w:spacing w:val="-9"/>
          <w:vertAlign w:val="baseline"/>
        </w:rPr>
        <w:t> </w:t>
      </w:r>
      <w:r>
        <w:rPr>
          <w:spacing w:val="-2"/>
          <w:vertAlign w:val="baseline"/>
        </w:rPr>
        <w:t>them </w:t>
      </w:r>
      <w:r>
        <w:rPr>
          <w:vertAlign w:val="baseline"/>
        </w:rPr>
        <w:t>to openly be themselves, free from the daily fear </w:t>
      </w:r>
      <w:r>
        <w:rPr>
          <w:vertAlign w:val="baseline"/>
        </w:rPr>
        <w:t>of </w:t>
      </w:r>
      <w:r>
        <w:rPr>
          <w:spacing w:val="-2"/>
          <w:vertAlign w:val="baseline"/>
        </w:rPr>
        <w:t>deportation.</w:t>
      </w:r>
    </w:p>
    <w:p>
      <w:pPr>
        <w:pStyle w:val="BodyText"/>
        <w:spacing w:line="276" w:lineRule="auto" w:before="240"/>
        <w:ind w:left="463" w:right="6841"/>
        <w:jc w:val="both"/>
      </w:pPr>
      <w:r>
        <w:rPr/>
        <w:t>The Williams Institute estimated in 2020 that around 36,000 LGBTQ people may be enrolled in the DACA program;</w:t>
      </w:r>
      <w:r>
        <w:rPr>
          <w:vertAlign w:val="superscript"/>
        </w:rPr>
        <w:t>61</w:t>
      </w:r>
      <w:r>
        <w:rPr>
          <w:vertAlign w:val="baseline"/>
        </w:rPr>
        <w:t> and a previous 2017</w:t>
      </w:r>
      <w:r>
        <w:rPr>
          <w:spacing w:val="61"/>
          <w:w w:val="150"/>
          <w:vertAlign w:val="baseline"/>
        </w:rPr>
        <w:t>  </w:t>
      </w:r>
      <w:r>
        <w:rPr>
          <w:vertAlign w:val="baseline"/>
        </w:rPr>
        <w:t>survey</w:t>
      </w:r>
      <w:r>
        <w:rPr>
          <w:spacing w:val="62"/>
          <w:w w:val="150"/>
          <w:vertAlign w:val="baseline"/>
        </w:rPr>
        <w:t>  </w:t>
      </w:r>
      <w:r>
        <w:rPr>
          <w:vertAlign w:val="baseline"/>
        </w:rPr>
        <w:t>found</w:t>
      </w:r>
      <w:r>
        <w:rPr>
          <w:spacing w:val="62"/>
          <w:w w:val="150"/>
          <w:vertAlign w:val="baseline"/>
        </w:rPr>
        <w:t>  </w:t>
      </w:r>
      <w:r>
        <w:rPr>
          <w:spacing w:val="-4"/>
          <w:vertAlign w:val="baseline"/>
        </w:rPr>
        <w:t>that</w:t>
      </w:r>
    </w:p>
    <w:p>
      <w:pPr>
        <w:pStyle w:val="BodyText"/>
        <w:spacing w:line="276" w:lineRule="auto"/>
        <w:ind w:left="463" w:right="263"/>
        <w:jc w:val="both"/>
      </w:pPr>
      <w:r>
        <w:rPr/>
        <w:t>approximately 10% of DACA recipients identified as LGBTQ. </w:t>
      </w:r>
      <w:r>
        <w:rPr>
          <w:vertAlign w:val="superscript"/>
        </w:rPr>
        <w:t>62</w:t>
      </w:r>
      <w:r>
        <w:rPr>
          <w:vertAlign w:val="baseline"/>
        </w:rPr>
        <w:t> DACA has helped LGBTQ young people improve</w:t>
      </w:r>
      <w:r>
        <w:rPr>
          <w:spacing w:val="-13"/>
          <w:vertAlign w:val="baseline"/>
        </w:rPr>
        <w:t> </w:t>
      </w:r>
      <w:r>
        <w:rPr>
          <w:vertAlign w:val="baseline"/>
        </w:rPr>
        <w:t>their</w:t>
      </w:r>
      <w:r>
        <w:rPr>
          <w:spacing w:val="-12"/>
          <w:vertAlign w:val="baseline"/>
        </w:rPr>
        <w:t> </w:t>
      </w:r>
      <w:r>
        <w:rPr>
          <w:vertAlign w:val="baseline"/>
        </w:rPr>
        <w:t>economic</w:t>
      </w:r>
      <w:r>
        <w:rPr>
          <w:spacing w:val="-12"/>
          <w:vertAlign w:val="baseline"/>
        </w:rPr>
        <w:t> </w:t>
      </w:r>
      <w:r>
        <w:rPr>
          <w:vertAlign w:val="baseline"/>
        </w:rPr>
        <w:t>security</w:t>
      </w:r>
      <w:r>
        <w:rPr>
          <w:spacing w:val="-11"/>
          <w:vertAlign w:val="baseline"/>
        </w:rPr>
        <w:t> </w:t>
      </w:r>
      <w:r>
        <w:rPr>
          <w:vertAlign w:val="baseline"/>
        </w:rPr>
        <w:t>and</w:t>
      </w:r>
      <w:r>
        <w:rPr>
          <w:spacing w:val="-11"/>
          <w:vertAlign w:val="baseline"/>
        </w:rPr>
        <w:t> </w:t>
      </w:r>
      <w:r>
        <w:rPr>
          <w:vertAlign w:val="baseline"/>
        </w:rPr>
        <w:t>meet</w:t>
      </w:r>
      <w:r>
        <w:rPr>
          <w:spacing w:val="-12"/>
          <w:vertAlign w:val="baseline"/>
        </w:rPr>
        <w:t> </w:t>
      </w:r>
      <w:r>
        <w:rPr>
          <w:vertAlign w:val="baseline"/>
        </w:rPr>
        <w:t>their</w:t>
      </w:r>
      <w:r>
        <w:rPr>
          <w:spacing w:val="-11"/>
          <w:vertAlign w:val="baseline"/>
        </w:rPr>
        <w:t> </w:t>
      </w:r>
      <w:r>
        <w:rPr>
          <w:vertAlign w:val="baseline"/>
        </w:rPr>
        <w:t>education</w:t>
      </w:r>
      <w:r>
        <w:rPr>
          <w:spacing w:val="-13"/>
          <w:vertAlign w:val="baseline"/>
        </w:rPr>
        <w:t> </w:t>
      </w:r>
      <w:r>
        <w:rPr>
          <w:vertAlign w:val="baseline"/>
        </w:rPr>
        <w:t>goals.</w:t>
      </w:r>
      <w:r>
        <w:rPr>
          <w:spacing w:val="-12"/>
          <w:vertAlign w:val="baseline"/>
        </w:rPr>
        <w:t> </w:t>
      </w:r>
      <w:r>
        <w:rPr>
          <w:vertAlign w:val="baseline"/>
        </w:rPr>
        <w:t>According</w:t>
      </w:r>
      <w:r>
        <w:rPr>
          <w:spacing w:val="-12"/>
          <w:vertAlign w:val="baseline"/>
        </w:rPr>
        <w:t> </w:t>
      </w:r>
      <w:r>
        <w:rPr>
          <w:vertAlign w:val="baseline"/>
        </w:rPr>
        <w:t>to</w:t>
      </w:r>
      <w:r>
        <w:rPr>
          <w:spacing w:val="-11"/>
          <w:vertAlign w:val="baseline"/>
        </w:rPr>
        <w:t> </w:t>
      </w:r>
      <w:r>
        <w:rPr>
          <w:vertAlign w:val="baseline"/>
        </w:rPr>
        <w:t>the</w:t>
      </w:r>
      <w:r>
        <w:rPr>
          <w:spacing w:val="-13"/>
          <w:vertAlign w:val="baseline"/>
        </w:rPr>
        <w:t> </w:t>
      </w:r>
      <w:r>
        <w:rPr>
          <w:vertAlign w:val="baseline"/>
        </w:rPr>
        <w:t>survey,</w:t>
      </w:r>
      <w:r>
        <w:rPr>
          <w:spacing w:val="-12"/>
          <w:vertAlign w:val="baseline"/>
        </w:rPr>
        <w:t> </w:t>
      </w:r>
      <w:r>
        <w:rPr>
          <w:vertAlign w:val="baseline"/>
        </w:rPr>
        <w:t>76.4%</w:t>
      </w:r>
      <w:r>
        <w:rPr>
          <w:spacing w:val="-12"/>
          <w:vertAlign w:val="baseline"/>
        </w:rPr>
        <w:t> </w:t>
      </w:r>
      <w:r>
        <w:rPr>
          <w:vertAlign w:val="baseline"/>
        </w:rPr>
        <w:t>of</w:t>
      </w:r>
      <w:r>
        <w:rPr>
          <w:spacing w:val="-13"/>
          <w:vertAlign w:val="baseline"/>
        </w:rPr>
        <w:t> </w:t>
      </w:r>
      <w:r>
        <w:rPr>
          <w:vertAlign w:val="baseline"/>
        </w:rPr>
        <w:t>LGBTQ respondents</w:t>
      </w:r>
      <w:r>
        <w:rPr>
          <w:spacing w:val="-1"/>
          <w:vertAlign w:val="baseline"/>
        </w:rPr>
        <w:t> </w:t>
      </w:r>
      <w:r>
        <w:rPr>
          <w:vertAlign w:val="baseline"/>
        </w:rPr>
        <w:t>reported</w:t>
      </w:r>
      <w:r>
        <w:rPr>
          <w:spacing w:val="-3"/>
          <w:vertAlign w:val="baseline"/>
        </w:rPr>
        <w:t> </w:t>
      </w:r>
      <w:r>
        <w:rPr>
          <w:vertAlign w:val="baseline"/>
        </w:rPr>
        <w:t>that,</w:t>
      </w:r>
      <w:r>
        <w:rPr>
          <w:spacing w:val="-4"/>
          <w:vertAlign w:val="baseline"/>
        </w:rPr>
        <w:t> </w:t>
      </w:r>
      <w:r>
        <w:rPr>
          <w:vertAlign w:val="baseline"/>
        </w:rPr>
        <w:t>with</w:t>
      </w:r>
      <w:r>
        <w:rPr>
          <w:spacing w:val="-3"/>
          <w:vertAlign w:val="baseline"/>
        </w:rPr>
        <w:t> </w:t>
      </w:r>
      <w:r>
        <w:rPr>
          <w:vertAlign w:val="baseline"/>
        </w:rPr>
        <w:t>DACA,</w:t>
      </w:r>
      <w:r>
        <w:rPr>
          <w:spacing w:val="-4"/>
          <w:vertAlign w:val="baseline"/>
        </w:rPr>
        <w:t> </w:t>
      </w:r>
      <w:r>
        <w:rPr>
          <w:vertAlign w:val="baseline"/>
        </w:rPr>
        <w:t>they</w:t>
      </w:r>
      <w:r>
        <w:rPr>
          <w:spacing w:val="-3"/>
          <w:vertAlign w:val="baseline"/>
        </w:rPr>
        <w:t> </w:t>
      </w:r>
      <w:r>
        <w:rPr>
          <w:vertAlign w:val="baseline"/>
        </w:rPr>
        <w:t>have</w:t>
      </w:r>
      <w:r>
        <w:rPr>
          <w:spacing w:val="-4"/>
          <w:vertAlign w:val="baseline"/>
        </w:rPr>
        <w:t> </w:t>
      </w:r>
      <w:r>
        <w:rPr>
          <w:vertAlign w:val="baseline"/>
        </w:rPr>
        <w:t>been</w:t>
      </w:r>
      <w:r>
        <w:rPr>
          <w:spacing w:val="-4"/>
          <w:vertAlign w:val="baseline"/>
        </w:rPr>
        <w:t> </w:t>
      </w:r>
      <w:r>
        <w:rPr>
          <w:vertAlign w:val="baseline"/>
        </w:rPr>
        <w:t>able</w:t>
      </w:r>
      <w:r>
        <w:rPr>
          <w:spacing w:val="-3"/>
          <w:vertAlign w:val="baseline"/>
        </w:rPr>
        <w:t> </w:t>
      </w:r>
      <w:r>
        <w:rPr>
          <w:vertAlign w:val="baseline"/>
        </w:rPr>
        <w:t>to</w:t>
      </w:r>
      <w:r>
        <w:rPr>
          <w:spacing w:val="-2"/>
          <w:vertAlign w:val="baseline"/>
        </w:rPr>
        <w:t> </w:t>
      </w:r>
      <w:r>
        <w:rPr>
          <w:vertAlign w:val="baseline"/>
        </w:rPr>
        <w:t>earn</w:t>
      </w:r>
      <w:r>
        <w:rPr>
          <w:spacing w:val="-4"/>
          <w:vertAlign w:val="baseline"/>
        </w:rPr>
        <w:t> </w:t>
      </w:r>
      <w:r>
        <w:rPr>
          <w:vertAlign w:val="baseline"/>
        </w:rPr>
        <w:t>more</w:t>
      </w:r>
      <w:r>
        <w:rPr>
          <w:spacing w:val="-3"/>
          <w:vertAlign w:val="baseline"/>
        </w:rPr>
        <w:t> </w:t>
      </w:r>
      <w:r>
        <w:rPr>
          <w:vertAlign w:val="baseline"/>
        </w:rPr>
        <w:t>money</w:t>
      </w:r>
      <w:r>
        <w:rPr>
          <w:spacing w:val="-4"/>
          <w:vertAlign w:val="baseline"/>
        </w:rPr>
        <w:t> </w:t>
      </w:r>
      <w:r>
        <w:rPr>
          <w:vertAlign w:val="baseline"/>
        </w:rPr>
        <w:t>and</w:t>
      </w:r>
      <w:r>
        <w:rPr>
          <w:spacing w:val="-3"/>
          <w:vertAlign w:val="baseline"/>
        </w:rPr>
        <w:t> </w:t>
      </w:r>
      <w:r>
        <w:rPr>
          <w:vertAlign w:val="baseline"/>
        </w:rPr>
        <w:t>become</w:t>
      </w:r>
      <w:r>
        <w:rPr>
          <w:spacing w:val="-4"/>
          <w:vertAlign w:val="baseline"/>
        </w:rPr>
        <w:t> </w:t>
      </w:r>
      <w:r>
        <w:rPr>
          <w:vertAlign w:val="baseline"/>
        </w:rPr>
        <w:t>financially independent.</w:t>
      </w:r>
      <w:r>
        <w:rPr>
          <w:vertAlign w:val="superscript"/>
        </w:rPr>
        <w:t>63</w:t>
      </w:r>
      <w:r>
        <w:rPr>
          <w:spacing w:val="-9"/>
          <w:vertAlign w:val="baseline"/>
        </w:rPr>
        <w:t> </w:t>
      </w:r>
      <w:r>
        <w:rPr>
          <w:vertAlign w:val="baseline"/>
        </w:rPr>
        <w:t>In</w:t>
      </w:r>
      <w:r>
        <w:rPr>
          <w:spacing w:val="-9"/>
          <w:vertAlign w:val="baseline"/>
        </w:rPr>
        <w:t> </w:t>
      </w:r>
      <w:r>
        <w:rPr>
          <w:vertAlign w:val="baseline"/>
        </w:rPr>
        <w:t>addition,</w:t>
      </w:r>
      <w:r>
        <w:rPr>
          <w:spacing w:val="-7"/>
          <w:vertAlign w:val="baseline"/>
        </w:rPr>
        <w:t> </w:t>
      </w:r>
      <w:r>
        <w:rPr>
          <w:vertAlign w:val="baseline"/>
        </w:rPr>
        <w:t>94.5%</w:t>
      </w:r>
      <w:r>
        <w:rPr>
          <w:spacing w:val="-9"/>
          <w:vertAlign w:val="baseline"/>
        </w:rPr>
        <w:t> </w:t>
      </w:r>
      <w:r>
        <w:rPr>
          <w:vertAlign w:val="baseline"/>
        </w:rPr>
        <w:t>of</w:t>
      </w:r>
      <w:r>
        <w:rPr>
          <w:spacing w:val="-9"/>
          <w:vertAlign w:val="baseline"/>
        </w:rPr>
        <w:t> </w:t>
      </w:r>
      <w:r>
        <w:rPr>
          <w:vertAlign w:val="baseline"/>
        </w:rPr>
        <w:t>LGBTQ</w:t>
      </w:r>
      <w:r>
        <w:rPr>
          <w:spacing w:val="-9"/>
          <w:vertAlign w:val="baseline"/>
        </w:rPr>
        <w:t> </w:t>
      </w:r>
      <w:r>
        <w:rPr>
          <w:vertAlign w:val="baseline"/>
        </w:rPr>
        <w:t>survey</w:t>
      </w:r>
      <w:r>
        <w:rPr>
          <w:spacing w:val="-9"/>
          <w:vertAlign w:val="baseline"/>
        </w:rPr>
        <w:t> </w:t>
      </w:r>
      <w:r>
        <w:rPr>
          <w:vertAlign w:val="baseline"/>
        </w:rPr>
        <w:t>respondents</w:t>
      </w:r>
      <w:r>
        <w:rPr>
          <w:spacing w:val="-8"/>
          <w:vertAlign w:val="baseline"/>
        </w:rPr>
        <w:t> </w:t>
      </w:r>
      <w:r>
        <w:rPr>
          <w:vertAlign w:val="baseline"/>
        </w:rPr>
        <w:t>were</w:t>
      </w:r>
      <w:r>
        <w:rPr>
          <w:spacing w:val="-9"/>
          <w:vertAlign w:val="baseline"/>
        </w:rPr>
        <w:t> </w:t>
      </w:r>
      <w:r>
        <w:rPr>
          <w:vertAlign w:val="baseline"/>
        </w:rPr>
        <w:t>currently</w:t>
      </w:r>
      <w:r>
        <w:rPr>
          <w:spacing w:val="-7"/>
          <w:vertAlign w:val="baseline"/>
        </w:rPr>
        <w:t> </w:t>
      </w:r>
      <w:r>
        <w:rPr>
          <w:vertAlign w:val="baseline"/>
        </w:rPr>
        <w:t>employed</w:t>
      </w:r>
      <w:r>
        <w:rPr>
          <w:spacing w:val="-8"/>
          <w:vertAlign w:val="baseline"/>
        </w:rPr>
        <w:t> </w:t>
      </w:r>
      <w:r>
        <w:rPr>
          <w:vertAlign w:val="baseline"/>
        </w:rPr>
        <w:t>compared</w:t>
      </w:r>
      <w:r>
        <w:rPr>
          <w:spacing w:val="-9"/>
          <w:vertAlign w:val="baseline"/>
        </w:rPr>
        <w:t> </w:t>
      </w:r>
      <w:r>
        <w:rPr>
          <w:vertAlign w:val="baseline"/>
        </w:rPr>
        <w:t>with 55.8% who were employed before they received DACA. Not only were more LGBTQ individuals able to obtain employment with DACA, but they also obtained higher-paying jobs with benefits. Average hourly wages rose 73.7%, and 63.4% of LGBTQ respondents had jobs with health insurance or other benefits since receiving DACA. Among those currently in school, 92.8% said that with DACA they could pursue educational opportunities they previously could not, and 49.2% were currently enrolled in school with 77.6% pursuing a bachelor’s degree or higher.</w:t>
      </w:r>
    </w:p>
    <w:p>
      <w:pPr>
        <w:pStyle w:val="BodyText"/>
        <w:spacing w:line="276" w:lineRule="auto" w:before="240"/>
        <w:ind w:left="463" w:right="262"/>
        <w:jc w:val="both"/>
      </w:pPr>
      <w:r>
        <w:rPr/>
        <w:t>In recent years, the fate of DACA has been uncertain, receiving scrutiny from courts and government attempts to terminate the program. The Trump administration ended the program in 2017, a decision overturned</w:t>
      </w:r>
      <w:r>
        <w:rPr>
          <w:spacing w:val="-4"/>
        </w:rPr>
        <w:t> </w:t>
      </w:r>
      <w:r>
        <w:rPr/>
        <w:t>by</w:t>
      </w:r>
      <w:r>
        <w:rPr>
          <w:spacing w:val="-4"/>
        </w:rPr>
        <w:t> </w:t>
      </w:r>
      <w:r>
        <w:rPr/>
        <w:t>the</w:t>
      </w:r>
      <w:r>
        <w:rPr>
          <w:spacing w:val="-4"/>
        </w:rPr>
        <w:t> </w:t>
      </w:r>
      <w:r>
        <w:rPr/>
        <w:t>U.S.</w:t>
      </w:r>
      <w:r>
        <w:rPr>
          <w:spacing w:val="-4"/>
        </w:rPr>
        <w:t> </w:t>
      </w:r>
      <w:r>
        <w:rPr/>
        <w:t>Supreme</w:t>
      </w:r>
      <w:r>
        <w:rPr>
          <w:spacing w:val="-4"/>
        </w:rPr>
        <w:t> </w:t>
      </w:r>
      <w:r>
        <w:rPr/>
        <w:t>Court</w:t>
      </w:r>
      <w:r>
        <w:rPr>
          <w:spacing w:val="-4"/>
        </w:rPr>
        <w:t> </w:t>
      </w:r>
      <w:r>
        <w:rPr/>
        <w:t>in</w:t>
      </w:r>
      <w:r>
        <w:rPr>
          <w:spacing w:val="-4"/>
        </w:rPr>
        <w:t> </w:t>
      </w:r>
      <w:r>
        <w:rPr/>
        <w:t>June</w:t>
      </w:r>
      <w:r>
        <w:rPr>
          <w:spacing w:val="-4"/>
        </w:rPr>
        <w:t> </w:t>
      </w:r>
      <w:r>
        <w:rPr/>
        <w:t>2022.</w:t>
      </w:r>
      <w:r>
        <w:rPr>
          <w:vertAlign w:val="superscript"/>
        </w:rPr>
        <w:t>64</w:t>
      </w:r>
      <w:r>
        <w:rPr>
          <w:spacing w:val="-5"/>
          <w:vertAlign w:val="baseline"/>
        </w:rPr>
        <w:t> </w:t>
      </w:r>
      <w:r>
        <w:rPr>
          <w:vertAlign w:val="baseline"/>
        </w:rPr>
        <w:t>As</w:t>
      </w:r>
      <w:r>
        <w:rPr>
          <w:spacing w:val="-4"/>
          <w:vertAlign w:val="baseline"/>
        </w:rPr>
        <w:t> </w:t>
      </w:r>
      <w:r>
        <w:rPr>
          <w:vertAlign w:val="baseline"/>
        </w:rPr>
        <w:t>of</w:t>
      </w:r>
      <w:r>
        <w:rPr>
          <w:spacing w:val="-4"/>
          <w:vertAlign w:val="baseline"/>
        </w:rPr>
        <w:t> </w:t>
      </w:r>
      <w:r>
        <w:rPr>
          <w:vertAlign w:val="baseline"/>
        </w:rPr>
        <w:t>today,</w:t>
      </w:r>
      <w:r>
        <w:rPr>
          <w:spacing w:val="-5"/>
          <w:vertAlign w:val="baseline"/>
        </w:rPr>
        <w:t> </w:t>
      </w:r>
      <w:r>
        <w:rPr>
          <w:vertAlign w:val="baseline"/>
        </w:rPr>
        <w:t>Dreamers</w:t>
      </w:r>
      <w:r>
        <w:rPr>
          <w:spacing w:val="-4"/>
          <w:vertAlign w:val="baseline"/>
        </w:rPr>
        <w:t> </w:t>
      </w:r>
      <w:r>
        <w:rPr>
          <w:vertAlign w:val="baseline"/>
        </w:rPr>
        <w:t>are</w:t>
      </w:r>
      <w:r>
        <w:rPr>
          <w:spacing w:val="-4"/>
          <w:vertAlign w:val="baseline"/>
        </w:rPr>
        <w:t> </w:t>
      </w:r>
      <w:r>
        <w:rPr>
          <w:vertAlign w:val="baseline"/>
        </w:rPr>
        <w:t>still</w:t>
      </w:r>
      <w:r>
        <w:rPr>
          <w:spacing w:val="-4"/>
          <w:vertAlign w:val="baseline"/>
        </w:rPr>
        <w:t> </w:t>
      </w:r>
      <w:r>
        <w:rPr>
          <w:vertAlign w:val="baseline"/>
        </w:rPr>
        <w:t>waiting</w:t>
      </w:r>
      <w:r>
        <w:rPr>
          <w:spacing w:val="-4"/>
          <w:vertAlign w:val="baseline"/>
        </w:rPr>
        <w:t> </w:t>
      </w:r>
      <w:r>
        <w:rPr>
          <w:vertAlign w:val="baseline"/>
        </w:rPr>
        <w:t>on</w:t>
      </w:r>
      <w:r>
        <w:rPr>
          <w:spacing w:val="-4"/>
          <w:vertAlign w:val="baseline"/>
        </w:rPr>
        <w:t> </w:t>
      </w:r>
      <w:r>
        <w:rPr>
          <w:vertAlign w:val="baseline"/>
        </w:rPr>
        <w:t>Congress to pass legislation that provides them with the permanent protection they need and deserve. If LGBTQ DACA</w:t>
      </w:r>
      <w:r>
        <w:rPr>
          <w:spacing w:val="-4"/>
          <w:vertAlign w:val="baseline"/>
        </w:rPr>
        <w:t> </w:t>
      </w:r>
      <w:r>
        <w:rPr>
          <w:vertAlign w:val="baseline"/>
        </w:rPr>
        <w:t>recipients</w:t>
      </w:r>
      <w:r>
        <w:rPr>
          <w:spacing w:val="-4"/>
          <w:vertAlign w:val="baseline"/>
        </w:rPr>
        <w:t> </w:t>
      </w:r>
      <w:r>
        <w:rPr>
          <w:vertAlign w:val="baseline"/>
        </w:rPr>
        <w:t>lose</w:t>
      </w:r>
      <w:r>
        <w:rPr>
          <w:spacing w:val="-3"/>
          <w:vertAlign w:val="baseline"/>
        </w:rPr>
        <w:t> </w:t>
      </w:r>
      <w:r>
        <w:rPr>
          <w:vertAlign w:val="baseline"/>
        </w:rPr>
        <w:t>their</w:t>
      </w:r>
      <w:r>
        <w:rPr>
          <w:spacing w:val="-3"/>
          <w:vertAlign w:val="baseline"/>
        </w:rPr>
        <w:t> </w:t>
      </w:r>
      <w:r>
        <w:rPr>
          <w:vertAlign w:val="baseline"/>
        </w:rPr>
        <w:t>protected</w:t>
      </w:r>
      <w:r>
        <w:rPr>
          <w:spacing w:val="-3"/>
          <w:vertAlign w:val="baseline"/>
        </w:rPr>
        <w:t> </w:t>
      </w:r>
      <w:r>
        <w:rPr>
          <w:vertAlign w:val="baseline"/>
        </w:rPr>
        <w:t>status,</w:t>
      </w:r>
      <w:r>
        <w:rPr>
          <w:spacing w:val="-4"/>
          <w:vertAlign w:val="baseline"/>
        </w:rPr>
        <w:t> </w:t>
      </w:r>
      <w:r>
        <w:rPr>
          <w:vertAlign w:val="baseline"/>
        </w:rPr>
        <w:t>not</w:t>
      </w:r>
      <w:r>
        <w:rPr>
          <w:spacing w:val="-3"/>
          <w:vertAlign w:val="baseline"/>
        </w:rPr>
        <w:t> </w:t>
      </w:r>
      <w:r>
        <w:rPr>
          <w:vertAlign w:val="baseline"/>
        </w:rPr>
        <w:t>only</w:t>
      </w:r>
      <w:r>
        <w:rPr>
          <w:spacing w:val="-2"/>
          <w:vertAlign w:val="baseline"/>
        </w:rPr>
        <w:t> </w:t>
      </w:r>
      <w:r>
        <w:rPr>
          <w:vertAlign w:val="baseline"/>
        </w:rPr>
        <w:t>will</w:t>
      </w:r>
      <w:r>
        <w:rPr>
          <w:spacing w:val="-4"/>
          <w:vertAlign w:val="baseline"/>
        </w:rPr>
        <w:t> </w:t>
      </w:r>
      <w:r>
        <w:rPr>
          <w:vertAlign w:val="baseline"/>
        </w:rPr>
        <w:t>they</w:t>
      </w:r>
      <w:r>
        <w:rPr>
          <w:spacing w:val="-3"/>
          <w:vertAlign w:val="baseline"/>
        </w:rPr>
        <w:t> </w:t>
      </w:r>
      <w:r>
        <w:rPr>
          <w:vertAlign w:val="baseline"/>
        </w:rPr>
        <w:t>no</w:t>
      </w:r>
      <w:r>
        <w:rPr>
          <w:spacing w:val="-4"/>
          <w:vertAlign w:val="baseline"/>
        </w:rPr>
        <w:t> </w:t>
      </w:r>
      <w:r>
        <w:rPr>
          <w:vertAlign w:val="baseline"/>
        </w:rPr>
        <w:t>longer</w:t>
      </w:r>
      <w:r>
        <w:rPr>
          <w:spacing w:val="-4"/>
          <w:vertAlign w:val="baseline"/>
        </w:rPr>
        <w:t> </w:t>
      </w:r>
      <w:r>
        <w:rPr>
          <w:vertAlign w:val="baseline"/>
        </w:rPr>
        <w:t>be</w:t>
      </w:r>
      <w:r>
        <w:rPr>
          <w:spacing w:val="-4"/>
          <w:vertAlign w:val="baseline"/>
        </w:rPr>
        <w:t> </w:t>
      </w:r>
      <w:r>
        <w:rPr>
          <w:vertAlign w:val="baseline"/>
        </w:rPr>
        <w:t>able</w:t>
      </w:r>
      <w:r>
        <w:rPr>
          <w:spacing w:val="-3"/>
          <w:vertAlign w:val="baseline"/>
        </w:rPr>
        <w:t> </w:t>
      </w:r>
      <w:r>
        <w:rPr>
          <w:vertAlign w:val="baseline"/>
        </w:rPr>
        <w:t>to</w:t>
      </w:r>
      <w:r>
        <w:rPr>
          <w:spacing w:val="-2"/>
          <w:vertAlign w:val="baseline"/>
        </w:rPr>
        <w:t> </w:t>
      </w:r>
      <w:r>
        <w:rPr>
          <w:vertAlign w:val="baseline"/>
        </w:rPr>
        <w:t>work</w:t>
      </w:r>
      <w:r>
        <w:rPr>
          <w:spacing w:val="-4"/>
          <w:vertAlign w:val="baseline"/>
        </w:rPr>
        <w:t> </w:t>
      </w:r>
      <w:r>
        <w:rPr>
          <w:vertAlign w:val="baseline"/>
        </w:rPr>
        <w:t>and</w:t>
      </w:r>
      <w:r>
        <w:rPr>
          <w:spacing w:val="-3"/>
          <w:vertAlign w:val="baseline"/>
        </w:rPr>
        <w:t> </w:t>
      </w:r>
      <w:r>
        <w:rPr>
          <w:vertAlign w:val="baseline"/>
        </w:rPr>
        <w:t>thrive</w:t>
      </w:r>
      <w:r>
        <w:rPr>
          <w:spacing w:val="-4"/>
          <w:vertAlign w:val="baseline"/>
        </w:rPr>
        <w:t> </w:t>
      </w:r>
      <w:r>
        <w:rPr>
          <w:vertAlign w:val="baseline"/>
        </w:rPr>
        <w:t>in</w:t>
      </w:r>
      <w:r>
        <w:rPr>
          <w:spacing w:val="-3"/>
          <w:vertAlign w:val="baseline"/>
        </w:rPr>
        <w:t> </w:t>
      </w:r>
      <w:r>
        <w:rPr>
          <w:vertAlign w:val="baseline"/>
        </w:rPr>
        <w:t>the</w:t>
      </w:r>
    </w:p>
    <w:p>
      <w:pPr>
        <w:spacing w:after="0" w:line="276" w:lineRule="auto"/>
        <w:jc w:val="both"/>
        <w:sectPr>
          <w:pgSz w:w="12240" w:h="15840"/>
          <w:pgMar w:header="805" w:footer="1208" w:top="1080" w:bottom="1460" w:left="980" w:right="1180"/>
        </w:sectPr>
      </w:pPr>
    </w:p>
    <w:p>
      <w:pPr>
        <w:pStyle w:val="BodyText"/>
        <w:spacing w:line="276" w:lineRule="auto" w:before="69"/>
        <w:ind w:left="463" w:right="263"/>
        <w:jc w:val="both"/>
      </w:pPr>
      <w:r>
        <w:rPr/>
        <w:t>U.S., but they will also face deportation to countries they may not have set foot in since childhood and where their lives could be in danger. Before being deported, LGBTQ immigrants would likely spend time in a detention facility, an environment where horrific abuse is well-documented.</w:t>
      </w:r>
    </w:p>
    <w:p>
      <w:pPr>
        <w:pStyle w:val="BodyText"/>
        <w:spacing w:line="276" w:lineRule="auto" w:before="239"/>
        <w:ind w:left="463" w:right="261"/>
        <w:jc w:val="both"/>
      </w:pPr>
      <w:r>
        <w:rPr/>
        <w:t>Currently,</w:t>
      </w:r>
      <w:r>
        <w:rPr>
          <w:spacing w:val="-2"/>
        </w:rPr>
        <w:t> </w:t>
      </w:r>
      <w:r>
        <w:rPr/>
        <w:t>Massachusetts</w:t>
      </w:r>
      <w:r>
        <w:rPr>
          <w:spacing w:val="-1"/>
        </w:rPr>
        <w:t> </w:t>
      </w:r>
      <w:r>
        <w:rPr/>
        <w:t>only</w:t>
      </w:r>
      <w:r>
        <w:rPr>
          <w:spacing w:val="-3"/>
        </w:rPr>
        <w:t> </w:t>
      </w:r>
      <w:r>
        <w:rPr/>
        <w:t>allows</w:t>
      </w:r>
      <w:r>
        <w:rPr>
          <w:spacing w:val="-2"/>
        </w:rPr>
        <w:t> </w:t>
      </w:r>
      <w:r>
        <w:rPr/>
        <w:t>students</w:t>
      </w:r>
      <w:r>
        <w:rPr>
          <w:spacing w:val="-2"/>
        </w:rPr>
        <w:t> </w:t>
      </w:r>
      <w:r>
        <w:rPr/>
        <w:t>holding</w:t>
      </w:r>
      <w:r>
        <w:rPr>
          <w:spacing w:val="-3"/>
        </w:rPr>
        <w:t> </w:t>
      </w:r>
      <w:r>
        <w:rPr/>
        <w:t>some</w:t>
      </w:r>
      <w:r>
        <w:rPr>
          <w:spacing w:val="-2"/>
        </w:rPr>
        <w:t> </w:t>
      </w:r>
      <w:r>
        <w:rPr/>
        <w:t>form</w:t>
      </w:r>
      <w:r>
        <w:rPr>
          <w:spacing w:val="-3"/>
        </w:rPr>
        <w:t> </w:t>
      </w:r>
      <w:r>
        <w:rPr/>
        <w:t>of</w:t>
      </w:r>
      <w:r>
        <w:rPr>
          <w:spacing w:val="-3"/>
        </w:rPr>
        <w:t> </w:t>
      </w:r>
      <w:r>
        <w:rPr/>
        <w:t>federal</w:t>
      </w:r>
      <w:r>
        <w:rPr>
          <w:spacing w:val="-2"/>
        </w:rPr>
        <w:t> </w:t>
      </w:r>
      <w:r>
        <w:rPr/>
        <w:t>documentation</w:t>
      </w:r>
      <w:r>
        <w:rPr>
          <w:spacing w:val="-3"/>
        </w:rPr>
        <w:t> </w:t>
      </w:r>
      <w:r>
        <w:rPr/>
        <w:t>(e.g.,</w:t>
      </w:r>
      <w:r>
        <w:rPr>
          <w:spacing w:val="-3"/>
        </w:rPr>
        <w:t> </w:t>
      </w:r>
      <w:r>
        <w:rPr/>
        <w:t>DACA) to pay in-state</w:t>
      </w:r>
      <w:r>
        <w:rPr>
          <w:spacing w:val="-1"/>
        </w:rPr>
        <w:t> </w:t>
      </w:r>
      <w:r>
        <w:rPr/>
        <w:t>tuition, even</w:t>
      </w:r>
      <w:r>
        <w:rPr>
          <w:spacing w:val="-1"/>
        </w:rPr>
        <w:t> </w:t>
      </w:r>
      <w:r>
        <w:rPr/>
        <w:t>as many other states allow all</w:t>
      </w:r>
      <w:r>
        <w:rPr>
          <w:spacing w:val="-1"/>
        </w:rPr>
        <w:t> </w:t>
      </w:r>
      <w:r>
        <w:rPr/>
        <w:t>status and</w:t>
      </w:r>
      <w:r>
        <w:rPr>
          <w:spacing w:val="-1"/>
        </w:rPr>
        <w:t> </w:t>
      </w:r>
      <w:r>
        <w:rPr/>
        <w:t>non-status holding</w:t>
      </w:r>
      <w:r>
        <w:rPr>
          <w:spacing w:val="-1"/>
        </w:rPr>
        <w:t> </w:t>
      </w:r>
      <w:r>
        <w:rPr/>
        <w:t>students to pay in-state prices.</w:t>
      </w:r>
      <w:r>
        <w:rPr>
          <w:vertAlign w:val="superscript"/>
        </w:rPr>
        <w:t>65</w:t>
      </w:r>
      <w:r>
        <w:rPr>
          <w:vertAlign w:val="baseline"/>
        </w:rPr>
        <w:t> Some states further allow these students access to financial aid, though this is less common. These policies can yield real benefits for students because in-state tuition is often significantly cheaper. Extending in-state tuition benefits to all immigrants regardless of status is one way to ensure that all young people who grew up in Massachusetts can continue their studies, allowing youth not covered by DACA to attend public colleges and universities.</w:t>
      </w:r>
    </w:p>
    <w:p>
      <w:pPr>
        <w:pStyle w:val="BodyText"/>
        <w:spacing w:line="264" w:lineRule="auto" w:before="241"/>
        <w:ind w:left="463" w:right="260"/>
        <w:jc w:val="both"/>
      </w:pPr>
      <w:r>
        <w:rPr/>
        <w:t>While</w:t>
      </w:r>
      <w:r>
        <w:rPr>
          <w:spacing w:val="-3"/>
        </w:rPr>
        <w:t> </w:t>
      </w:r>
      <w:r>
        <w:rPr/>
        <w:t>next</w:t>
      </w:r>
      <w:r>
        <w:rPr>
          <w:spacing w:val="-3"/>
        </w:rPr>
        <w:t> </w:t>
      </w:r>
      <w:r>
        <w:rPr/>
        <w:t>to</w:t>
      </w:r>
      <w:r>
        <w:rPr>
          <w:spacing w:val="-4"/>
        </w:rPr>
        <w:t> </w:t>
      </w:r>
      <w:r>
        <w:rPr/>
        <w:t>no</w:t>
      </w:r>
      <w:r>
        <w:rPr>
          <w:spacing w:val="-4"/>
        </w:rPr>
        <w:t> </w:t>
      </w:r>
      <w:r>
        <w:rPr/>
        <w:t>data</w:t>
      </w:r>
      <w:r>
        <w:rPr>
          <w:spacing w:val="-4"/>
        </w:rPr>
        <w:t> </w:t>
      </w:r>
      <w:r>
        <w:rPr/>
        <w:t>focuses</w:t>
      </w:r>
      <w:r>
        <w:rPr>
          <w:spacing w:val="-4"/>
        </w:rPr>
        <w:t> </w:t>
      </w:r>
      <w:r>
        <w:rPr/>
        <w:t>on</w:t>
      </w:r>
      <w:r>
        <w:rPr>
          <w:spacing w:val="-4"/>
        </w:rPr>
        <w:t> </w:t>
      </w:r>
      <w:r>
        <w:rPr/>
        <w:t>undocumented</w:t>
      </w:r>
      <w:r>
        <w:rPr>
          <w:spacing w:val="-3"/>
        </w:rPr>
        <w:t> </w:t>
      </w:r>
      <w:r>
        <w:rPr/>
        <w:t>youth’s</w:t>
      </w:r>
      <w:r>
        <w:rPr>
          <w:spacing w:val="-4"/>
        </w:rPr>
        <w:t> </w:t>
      </w:r>
      <w:r>
        <w:rPr/>
        <w:t>access</w:t>
      </w:r>
      <w:r>
        <w:rPr>
          <w:spacing w:val="-4"/>
        </w:rPr>
        <w:t> </w:t>
      </w:r>
      <w:r>
        <w:rPr/>
        <w:t>to</w:t>
      </w:r>
      <w:r>
        <w:rPr>
          <w:spacing w:val="-2"/>
        </w:rPr>
        <w:t> </w:t>
      </w:r>
      <w:r>
        <w:rPr/>
        <w:t>K-12</w:t>
      </w:r>
      <w:r>
        <w:rPr>
          <w:spacing w:val="-4"/>
        </w:rPr>
        <w:t> </w:t>
      </w:r>
      <w:r>
        <w:rPr/>
        <w:t>education</w:t>
      </w:r>
      <w:r>
        <w:rPr>
          <w:spacing w:val="-4"/>
        </w:rPr>
        <w:t> </w:t>
      </w:r>
      <w:r>
        <w:rPr/>
        <w:t>in</w:t>
      </w:r>
      <w:r>
        <w:rPr>
          <w:spacing w:val="-4"/>
        </w:rPr>
        <w:t> </w:t>
      </w:r>
      <w:r>
        <w:rPr/>
        <w:t>Massachusetts,</w:t>
      </w:r>
      <w:r>
        <w:rPr>
          <w:spacing w:val="-4"/>
        </w:rPr>
        <w:t> </w:t>
      </w:r>
      <w:r>
        <w:rPr/>
        <w:t>one study</w:t>
      </w:r>
      <w:r>
        <w:rPr>
          <w:spacing w:val="-10"/>
        </w:rPr>
        <w:t> </w:t>
      </w:r>
      <w:r>
        <w:rPr/>
        <w:t>outlines</w:t>
      </w:r>
      <w:r>
        <w:rPr>
          <w:spacing w:val="-10"/>
        </w:rPr>
        <w:t> </w:t>
      </w:r>
      <w:r>
        <w:rPr/>
        <w:t>three</w:t>
      </w:r>
      <w:r>
        <w:rPr>
          <w:spacing w:val="-9"/>
        </w:rPr>
        <w:t> </w:t>
      </w:r>
      <w:r>
        <w:rPr/>
        <w:t>reasons</w:t>
      </w:r>
      <w:r>
        <w:rPr>
          <w:spacing w:val="-10"/>
        </w:rPr>
        <w:t> </w:t>
      </w:r>
      <w:r>
        <w:rPr/>
        <w:t>why</w:t>
      </w:r>
      <w:r>
        <w:rPr>
          <w:spacing w:val="-9"/>
        </w:rPr>
        <w:t> </w:t>
      </w:r>
      <w:r>
        <w:rPr/>
        <w:t>undocumented</w:t>
      </w:r>
      <w:r>
        <w:rPr>
          <w:spacing w:val="-9"/>
        </w:rPr>
        <w:t> </w:t>
      </w:r>
      <w:r>
        <w:rPr/>
        <w:t>Latino</w:t>
      </w:r>
      <w:r>
        <w:rPr>
          <w:spacing w:val="-10"/>
        </w:rPr>
        <w:t> </w:t>
      </w:r>
      <w:r>
        <w:rPr/>
        <w:t>youth</w:t>
      </w:r>
      <w:r>
        <w:rPr>
          <w:spacing w:val="-9"/>
        </w:rPr>
        <w:t> </w:t>
      </w:r>
      <w:r>
        <w:rPr/>
        <w:t>delay</w:t>
      </w:r>
      <w:r>
        <w:rPr>
          <w:spacing w:val="-10"/>
        </w:rPr>
        <w:t> </w:t>
      </w:r>
      <w:r>
        <w:rPr/>
        <w:t>high</w:t>
      </w:r>
      <w:r>
        <w:rPr>
          <w:spacing w:val="-10"/>
        </w:rPr>
        <w:t> </w:t>
      </w:r>
      <w:r>
        <w:rPr/>
        <w:t>school</w:t>
      </w:r>
      <w:r>
        <w:rPr>
          <w:spacing w:val="-9"/>
        </w:rPr>
        <w:t> </w:t>
      </w:r>
      <w:r>
        <w:rPr/>
        <w:t>enrollment</w:t>
      </w:r>
      <w:r>
        <w:rPr>
          <w:spacing w:val="-11"/>
        </w:rPr>
        <w:t> </w:t>
      </w:r>
      <w:r>
        <w:rPr/>
        <w:t>in</w:t>
      </w:r>
      <w:r>
        <w:rPr>
          <w:spacing w:val="-9"/>
        </w:rPr>
        <w:t> </w:t>
      </w:r>
      <w:r>
        <w:rPr/>
        <w:t>the</w:t>
      </w:r>
      <w:r>
        <w:rPr>
          <w:spacing w:val="-10"/>
        </w:rPr>
        <w:t> </w:t>
      </w:r>
      <w:r>
        <w:rPr/>
        <w:t>state.</w:t>
      </w:r>
      <w:r>
        <w:rPr>
          <w:vertAlign w:val="superscript"/>
        </w:rPr>
        <w:t>66</w:t>
      </w:r>
      <w:r>
        <w:rPr>
          <w:vertAlign w:val="baseline"/>
        </w:rPr>
        <w:t> Whereas</w:t>
      </w:r>
      <w:r>
        <w:rPr>
          <w:spacing w:val="-6"/>
          <w:vertAlign w:val="baseline"/>
        </w:rPr>
        <w:t> </w:t>
      </w:r>
      <w:r>
        <w:rPr>
          <w:vertAlign w:val="baseline"/>
        </w:rPr>
        <w:t>the</w:t>
      </w:r>
      <w:r>
        <w:rPr>
          <w:spacing w:val="-5"/>
          <w:vertAlign w:val="baseline"/>
        </w:rPr>
        <w:t> </w:t>
      </w:r>
      <w:r>
        <w:rPr>
          <w:vertAlign w:val="baseline"/>
        </w:rPr>
        <w:t>case</w:t>
      </w:r>
      <w:r>
        <w:rPr>
          <w:spacing w:val="-7"/>
          <w:vertAlign w:val="baseline"/>
        </w:rPr>
        <w:t> </w:t>
      </w:r>
      <w:r>
        <w:rPr>
          <w:i/>
          <w:vertAlign w:val="baseline"/>
        </w:rPr>
        <w:t>Plyler</w:t>
      </w:r>
      <w:r>
        <w:rPr>
          <w:i/>
          <w:spacing w:val="-6"/>
          <w:vertAlign w:val="baseline"/>
        </w:rPr>
        <w:t> </w:t>
      </w:r>
      <w:r>
        <w:rPr>
          <w:i/>
          <w:vertAlign w:val="baseline"/>
        </w:rPr>
        <w:t>v.</w:t>
      </w:r>
      <w:r>
        <w:rPr>
          <w:i/>
          <w:spacing w:val="-4"/>
          <w:vertAlign w:val="baseline"/>
        </w:rPr>
        <w:t> </w:t>
      </w:r>
      <w:r>
        <w:rPr>
          <w:i/>
          <w:vertAlign w:val="baseline"/>
        </w:rPr>
        <w:t>Doe</w:t>
      </w:r>
      <w:r>
        <w:rPr>
          <w:i/>
          <w:spacing w:val="-7"/>
          <w:vertAlign w:val="baseline"/>
        </w:rPr>
        <w:t> </w:t>
      </w:r>
      <w:r>
        <w:rPr>
          <w:vertAlign w:val="baseline"/>
        </w:rPr>
        <w:t>guarantees</w:t>
      </w:r>
      <w:r>
        <w:rPr>
          <w:spacing w:val="-6"/>
          <w:vertAlign w:val="baseline"/>
        </w:rPr>
        <w:t> </w:t>
      </w:r>
      <w:r>
        <w:rPr>
          <w:vertAlign w:val="baseline"/>
        </w:rPr>
        <w:t>undocumented</w:t>
      </w:r>
      <w:r>
        <w:rPr>
          <w:spacing w:val="-5"/>
          <w:vertAlign w:val="baseline"/>
        </w:rPr>
        <w:t> </w:t>
      </w:r>
      <w:r>
        <w:rPr>
          <w:vertAlign w:val="baseline"/>
        </w:rPr>
        <w:t>children</w:t>
      </w:r>
      <w:r>
        <w:rPr>
          <w:spacing w:val="-5"/>
          <w:vertAlign w:val="baseline"/>
        </w:rPr>
        <w:t> </w:t>
      </w:r>
      <w:r>
        <w:rPr>
          <w:vertAlign w:val="baseline"/>
        </w:rPr>
        <w:t>the</w:t>
      </w:r>
      <w:r>
        <w:rPr>
          <w:spacing w:val="-5"/>
          <w:vertAlign w:val="baseline"/>
        </w:rPr>
        <w:t> </w:t>
      </w:r>
      <w:r>
        <w:rPr>
          <w:vertAlign w:val="baseline"/>
        </w:rPr>
        <w:t>right</w:t>
      </w:r>
      <w:r>
        <w:rPr>
          <w:spacing w:val="-6"/>
          <w:vertAlign w:val="baseline"/>
        </w:rPr>
        <w:t> </w:t>
      </w:r>
      <w:r>
        <w:rPr>
          <w:vertAlign w:val="baseline"/>
        </w:rPr>
        <w:t>to</w:t>
      </w:r>
      <w:r>
        <w:rPr>
          <w:spacing w:val="-6"/>
          <w:vertAlign w:val="baseline"/>
        </w:rPr>
        <w:t> </w:t>
      </w:r>
      <w:r>
        <w:rPr>
          <w:vertAlign w:val="baseline"/>
        </w:rPr>
        <w:t>K-12</w:t>
      </w:r>
      <w:r>
        <w:rPr>
          <w:spacing w:val="-6"/>
          <w:vertAlign w:val="baseline"/>
        </w:rPr>
        <w:t> </w:t>
      </w:r>
      <w:r>
        <w:rPr>
          <w:vertAlign w:val="baseline"/>
        </w:rPr>
        <w:t>education,</w:t>
      </w:r>
      <w:r>
        <w:rPr>
          <w:spacing w:val="-6"/>
          <w:vertAlign w:val="baseline"/>
        </w:rPr>
        <w:t> </w:t>
      </w:r>
      <w:r>
        <w:rPr>
          <w:vertAlign w:val="baseline"/>
        </w:rPr>
        <w:t>the</w:t>
      </w:r>
      <w:r>
        <w:rPr>
          <w:spacing w:val="-5"/>
          <w:vertAlign w:val="baseline"/>
        </w:rPr>
        <w:t> </w:t>
      </w:r>
      <w:r>
        <w:rPr>
          <w:vertAlign w:val="baseline"/>
        </w:rPr>
        <w:t>study argues that the lived experiences of undocumented youth suggest that their immigration status still prevents them</w:t>
      </w:r>
      <w:r>
        <w:rPr>
          <w:spacing w:val="-1"/>
          <w:vertAlign w:val="baseline"/>
        </w:rPr>
        <w:t> </w:t>
      </w:r>
      <w:r>
        <w:rPr>
          <w:vertAlign w:val="baseline"/>
        </w:rPr>
        <w:t>from receiving</w:t>
      </w:r>
      <w:r>
        <w:rPr>
          <w:spacing w:val="-1"/>
          <w:vertAlign w:val="baseline"/>
        </w:rPr>
        <w:t> </w:t>
      </w:r>
      <w:r>
        <w:rPr>
          <w:vertAlign w:val="baseline"/>
        </w:rPr>
        <w:t>an education. Undocumented youth</w:t>
      </w:r>
      <w:r>
        <w:rPr>
          <w:spacing w:val="-1"/>
          <w:vertAlign w:val="baseline"/>
        </w:rPr>
        <w:t> </w:t>
      </w:r>
      <w:r>
        <w:rPr>
          <w:vertAlign w:val="baseline"/>
        </w:rPr>
        <w:t>often evade</w:t>
      </w:r>
      <w:r>
        <w:rPr>
          <w:spacing w:val="-1"/>
          <w:vertAlign w:val="baseline"/>
        </w:rPr>
        <w:t> </w:t>
      </w:r>
      <w:r>
        <w:rPr>
          <w:vertAlign w:val="baseline"/>
        </w:rPr>
        <w:t>school enrollment</w:t>
      </w:r>
      <w:r>
        <w:rPr>
          <w:spacing w:val="-1"/>
          <w:vertAlign w:val="baseline"/>
        </w:rPr>
        <w:t> </w:t>
      </w:r>
      <w:r>
        <w:rPr>
          <w:vertAlign w:val="baseline"/>
        </w:rPr>
        <w:t>out of fear</w:t>
      </w:r>
      <w:r>
        <w:rPr>
          <w:spacing w:val="-3"/>
          <w:vertAlign w:val="baseline"/>
        </w:rPr>
        <w:t> </w:t>
      </w:r>
      <w:r>
        <w:rPr>
          <w:vertAlign w:val="baseline"/>
        </w:rPr>
        <w:t>of</w:t>
      </w:r>
      <w:r>
        <w:rPr>
          <w:spacing w:val="-3"/>
          <w:vertAlign w:val="baseline"/>
        </w:rPr>
        <w:t> </w:t>
      </w:r>
      <w:r>
        <w:rPr>
          <w:vertAlign w:val="baseline"/>
        </w:rPr>
        <w:t>deportation,</w:t>
      </w:r>
      <w:r>
        <w:rPr>
          <w:spacing w:val="-3"/>
          <w:vertAlign w:val="baseline"/>
        </w:rPr>
        <w:t> </w:t>
      </w:r>
      <w:r>
        <w:rPr>
          <w:vertAlign w:val="baseline"/>
        </w:rPr>
        <w:t>misinformation</w:t>
      </w:r>
      <w:r>
        <w:rPr>
          <w:spacing w:val="-3"/>
          <w:vertAlign w:val="baseline"/>
        </w:rPr>
        <w:t> </w:t>
      </w:r>
      <w:r>
        <w:rPr>
          <w:vertAlign w:val="baseline"/>
        </w:rPr>
        <w:t>about</w:t>
      </w:r>
      <w:r>
        <w:rPr>
          <w:spacing w:val="-3"/>
          <w:vertAlign w:val="baseline"/>
        </w:rPr>
        <w:t> </w:t>
      </w:r>
      <w:r>
        <w:rPr>
          <w:vertAlign w:val="baseline"/>
        </w:rPr>
        <w:t>their</w:t>
      </w:r>
      <w:r>
        <w:rPr>
          <w:spacing w:val="-2"/>
          <w:vertAlign w:val="baseline"/>
        </w:rPr>
        <w:t> </w:t>
      </w:r>
      <w:r>
        <w:rPr>
          <w:vertAlign w:val="baseline"/>
        </w:rPr>
        <w:t>educational</w:t>
      </w:r>
      <w:r>
        <w:rPr>
          <w:spacing w:val="-3"/>
          <w:vertAlign w:val="baseline"/>
        </w:rPr>
        <w:t> </w:t>
      </w:r>
      <w:r>
        <w:rPr>
          <w:vertAlign w:val="baseline"/>
        </w:rPr>
        <w:t>rights,</w:t>
      </w:r>
      <w:r>
        <w:rPr>
          <w:spacing w:val="-3"/>
          <w:vertAlign w:val="baseline"/>
        </w:rPr>
        <w:t> </w:t>
      </w:r>
      <w:r>
        <w:rPr>
          <w:vertAlign w:val="baseline"/>
        </w:rPr>
        <w:t>and</w:t>
      </w:r>
      <w:r>
        <w:rPr>
          <w:spacing w:val="-2"/>
          <w:vertAlign w:val="baseline"/>
        </w:rPr>
        <w:t> </w:t>
      </w:r>
      <w:r>
        <w:rPr>
          <w:vertAlign w:val="baseline"/>
        </w:rPr>
        <w:t>the</w:t>
      </w:r>
      <w:r>
        <w:rPr>
          <w:spacing w:val="-3"/>
          <w:vertAlign w:val="baseline"/>
        </w:rPr>
        <w:t> </w:t>
      </w:r>
      <w:r>
        <w:rPr>
          <w:vertAlign w:val="baseline"/>
        </w:rPr>
        <w:t>labor</w:t>
      </w:r>
      <w:r>
        <w:rPr>
          <w:spacing w:val="-3"/>
          <w:vertAlign w:val="baseline"/>
        </w:rPr>
        <w:t> </w:t>
      </w:r>
      <w:r>
        <w:rPr>
          <w:vertAlign w:val="baseline"/>
        </w:rPr>
        <w:t>market.</w:t>
      </w:r>
      <w:r>
        <w:rPr>
          <w:spacing w:val="-3"/>
          <w:vertAlign w:val="baseline"/>
        </w:rPr>
        <w:t> </w:t>
      </w:r>
      <w:r>
        <w:rPr>
          <w:vertAlign w:val="baseline"/>
        </w:rPr>
        <w:t>The</w:t>
      </w:r>
      <w:r>
        <w:rPr>
          <w:spacing w:val="-2"/>
          <w:vertAlign w:val="baseline"/>
        </w:rPr>
        <w:t> </w:t>
      </w:r>
      <w:r>
        <w:rPr>
          <w:vertAlign w:val="baseline"/>
        </w:rPr>
        <w:t>study</w:t>
      </w:r>
      <w:r>
        <w:rPr>
          <w:spacing w:val="-3"/>
          <w:vertAlign w:val="baseline"/>
        </w:rPr>
        <w:t> </w:t>
      </w:r>
      <w:r>
        <w:rPr>
          <w:vertAlign w:val="baseline"/>
        </w:rPr>
        <w:t>finds work as the most important factor in determining the lives of Latino youth which often means they prioritize it over their education.</w:t>
      </w:r>
    </w:p>
    <w:p>
      <w:pPr>
        <w:pStyle w:val="BodyText"/>
        <w:spacing w:line="264" w:lineRule="auto" w:before="239"/>
        <w:ind w:left="463" w:right="262"/>
        <w:jc w:val="both"/>
      </w:pPr>
      <w:r>
        <w:rPr/>
        <w:t>Additionally, the study emphasizes the misinformation surrounding undocumented youth’s ability to attend high school. While undocumented youth may be legally allowed to attend high school, no policy ensures</w:t>
      </w:r>
      <w:r>
        <w:rPr>
          <w:spacing w:val="-6"/>
        </w:rPr>
        <w:t> </w:t>
      </w:r>
      <w:r>
        <w:rPr/>
        <w:t>they</w:t>
      </w:r>
      <w:r>
        <w:rPr>
          <w:spacing w:val="-4"/>
        </w:rPr>
        <w:t> </w:t>
      </w:r>
      <w:r>
        <w:rPr/>
        <w:t>have</w:t>
      </w:r>
      <w:r>
        <w:rPr>
          <w:spacing w:val="-7"/>
        </w:rPr>
        <w:t> </w:t>
      </w:r>
      <w:r>
        <w:rPr/>
        <w:t>access</w:t>
      </w:r>
      <w:r>
        <w:rPr>
          <w:spacing w:val="-6"/>
        </w:rPr>
        <w:t> </w:t>
      </w:r>
      <w:r>
        <w:rPr/>
        <w:t>to</w:t>
      </w:r>
      <w:r>
        <w:rPr>
          <w:spacing w:val="-6"/>
        </w:rPr>
        <w:t> </w:t>
      </w:r>
      <w:r>
        <w:rPr/>
        <w:t>the</w:t>
      </w:r>
      <w:r>
        <w:rPr>
          <w:spacing w:val="-7"/>
        </w:rPr>
        <w:t> </w:t>
      </w:r>
      <w:r>
        <w:rPr/>
        <w:t>information</w:t>
      </w:r>
      <w:r>
        <w:rPr>
          <w:spacing w:val="-7"/>
        </w:rPr>
        <w:t> </w:t>
      </w:r>
      <w:r>
        <w:rPr/>
        <w:t>that</w:t>
      </w:r>
      <w:r>
        <w:rPr>
          <w:spacing w:val="-7"/>
        </w:rPr>
        <w:t> </w:t>
      </w:r>
      <w:r>
        <w:rPr/>
        <w:t>they</w:t>
      </w:r>
      <w:r>
        <w:rPr>
          <w:spacing w:val="-5"/>
        </w:rPr>
        <w:t> </w:t>
      </w:r>
      <w:r>
        <w:rPr/>
        <w:t>can</w:t>
      </w:r>
      <w:r>
        <w:rPr>
          <w:spacing w:val="-6"/>
        </w:rPr>
        <w:t> </w:t>
      </w:r>
      <w:r>
        <w:rPr/>
        <w:t>legally</w:t>
      </w:r>
      <w:r>
        <w:rPr>
          <w:spacing w:val="-6"/>
        </w:rPr>
        <w:t> </w:t>
      </w:r>
      <w:r>
        <w:rPr/>
        <w:t>attend</w:t>
      </w:r>
      <w:r>
        <w:rPr>
          <w:spacing w:val="-5"/>
        </w:rPr>
        <w:t> </w:t>
      </w:r>
      <w:r>
        <w:rPr/>
        <w:t>high</w:t>
      </w:r>
      <w:r>
        <w:rPr>
          <w:spacing w:val="-5"/>
        </w:rPr>
        <w:t> </w:t>
      </w:r>
      <w:r>
        <w:rPr/>
        <w:t>school.</w:t>
      </w:r>
      <w:r>
        <w:rPr>
          <w:spacing w:val="-7"/>
        </w:rPr>
        <w:t> </w:t>
      </w:r>
      <w:r>
        <w:rPr/>
        <w:t>For</w:t>
      </w:r>
      <w:r>
        <w:rPr>
          <w:spacing w:val="-6"/>
        </w:rPr>
        <w:t> </w:t>
      </w:r>
      <w:r>
        <w:rPr/>
        <w:t>example,</w:t>
      </w:r>
      <w:r>
        <w:rPr>
          <w:spacing w:val="-6"/>
        </w:rPr>
        <w:t> </w:t>
      </w:r>
      <w:r>
        <w:rPr/>
        <w:t>school administrators would sometimes deny enrollment to undocumented youth because they were unaware that proof of citizenship is not a legal prerequisite for enrollment. School personnel would often ask for social security numbers for enrollment as well.</w:t>
      </w:r>
    </w:p>
    <w:p>
      <w:pPr>
        <w:spacing w:before="240"/>
        <w:ind w:left="463" w:right="0" w:firstLine="0"/>
        <w:jc w:val="left"/>
        <w:rPr>
          <w:sz w:val="28"/>
        </w:rPr>
      </w:pPr>
      <w:r>
        <w:rPr/>
        <mc:AlternateContent>
          <mc:Choice Requires="wps">
            <w:drawing>
              <wp:anchor distT="0" distB="0" distL="0" distR="0" allowOverlap="1" layoutInCell="1" locked="0" behindDoc="1" simplePos="0" relativeHeight="487672320">
                <wp:simplePos x="0" y="0"/>
                <wp:positionH relativeFrom="page">
                  <wp:posOffset>897636</wp:posOffset>
                </wp:positionH>
                <wp:positionV relativeFrom="paragraph">
                  <wp:posOffset>381939</wp:posOffset>
                </wp:positionV>
                <wp:extent cx="5976620" cy="6350"/>
                <wp:effectExtent l="0" t="0" r="0" b="0"/>
                <wp:wrapTopAndBottom/>
                <wp:docPr id="440" name="Graphic 440"/>
                <wp:cNvGraphicFramePr>
                  <a:graphicFrameLocks/>
                </wp:cNvGraphicFramePr>
                <a:graphic>
                  <a:graphicData uri="http://schemas.microsoft.com/office/word/2010/wordprocessingShape">
                    <wps:wsp>
                      <wps:cNvPr id="440" name="Graphic 440"/>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0.073946pt;width:470.58pt;height:.48pt;mso-position-horizontal-relative:page;mso-position-vertical-relative:paragraph;z-index:-15644160;mso-wrap-distance-left:0;mso-wrap-distance-right:0" id="docshape350" filled="true" fillcolor="#4f81bc" stroked="false">
                <v:fill type="solid"/>
                <w10:wrap type="topAndBottom"/>
              </v:rect>
            </w:pict>
          </mc:Fallback>
        </mc:AlternateContent>
      </w:r>
      <w:bookmarkStart w:name="Resources" w:id="799"/>
      <w:bookmarkEnd w:id="799"/>
      <w:r>
        <w:rPr/>
      </w:r>
      <w:r>
        <w:rPr>
          <w:color w:val="365F91"/>
          <w:spacing w:val="-2"/>
          <w:sz w:val="28"/>
        </w:rPr>
        <w:t>Resources</w:t>
      </w:r>
    </w:p>
    <w:p>
      <w:pPr>
        <w:pStyle w:val="BodyText"/>
        <w:spacing w:line="276" w:lineRule="auto" w:before="241"/>
        <w:ind w:left="463" w:right="262"/>
        <w:jc w:val="both"/>
      </w:pPr>
      <w:r>
        <w:rPr/>
        <w:t>The</w:t>
      </w:r>
      <w:r>
        <w:rPr>
          <w:spacing w:val="-3"/>
        </w:rPr>
        <w:t> </w:t>
      </w:r>
      <w:r>
        <w:rPr/>
        <w:t>above</w:t>
      </w:r>
      <w:r>
        <w:rPr>
          <w:spacing w:val="-4"/>
        </w:rPr>
        <w:t> </w:t>
      </w:r>
      <w:r>
        <w:rPr/>
        <w:t>information</w:t>
      </w:r>
      <w:r>
        <w:rPr>
          <w:spacing w:val="-4"/>
        </w:rPr>
        <w:t> </w:t>
      </w:r>
      <w:r>
        <w:rPr/>
        <w:t>provides</w:t>
      </w:r>
      <w:r>
        <w:rPr>
          <w:spacing w:val="-4"/>
        </w:rPr>
        <w:t> </w:t>
      </w:r>
      <w:r>
        <w:rPr/>
        <w:t>numerous</w:t>
      </w:r>
      <w:r>
        <w:rPr>
          <w:spacing w:val="-4"/>
        </w:rPr>
        <w:t> </w:t>
      </w:r>
      <w:r>
        <w:rPr/>
        <w:t>questions</w:t>
      </w:r>
      <w:r>
        <w:rPr>
          <w:spacing w:val="-2"/>
        </w:rPr>
        <w:t> </w:t>
      </w:r>
      <w:r>
        <w:rPr/>
        <w:t>around</w:t>
      </w:r>
      <w:r>
        <w:rPr>
          <w:spacing w:val="-3"/>
        </w:rPr>
        <w:t> </w:t>
      </w:r>
      <w:r>
        <w:rPr/>
        <w:t>the</w:t>
      </w:r>
      <w:r>
        <w:rPr>
          <w:spacing w:val="-3"/>
        </w:rPr>
        <w:t> </w:t>
      </w:r>
      <w:r>
        <w:rPr/>
        <w:t>reality</w:t>
      </w:r>
      <w:r>
        <w:rPr>
          <w:spacing w:val="-4"/>
        </w:rPr>
        <w:t> </w:t>
      </w:r>
      <w:r>
        <w:rPr/>
        <w:t>of</w:t>
      </w:r>
      <w:r>
        <w:rPr>
          <w:spacing w:val="-3"/>
        </w:rPr>
        <w:t> </w:t>
      </w:r>
      <w:r>
        <w:rPr/>
        <w:t>the</w:t>
      </w:r>
      <w:r>
        <w:rPr>
          <w:spacing w:val="-2"/>
        </w:rPr>
        <w:t> </w:t>
      </w:r>
      <w:r>
        <w:rPr/>
        <w:t>day-to-day</w:t>
      </w:r>
      <w:r>
        <w:rPr>
          <w:spacing w:val="-3"/>
        </w:rPr>
        <w:t> </w:t>
      </w:r>
      <w:r>
        <w:rPr/>
        <w:t>experiences</w:t>
      </w:r>
      <w:r>
        <w:rPr>
          <w:spacing w:val="-4"/>
        </w:rPr>
        <w:t> </w:t>
      </w:r>
      <w:r>
        <w:rPr/>
        <w:t>of LGBTQ foreign-born youth in Massachusetts. The Commission hopes that this new section in its annual report</w:t>
      </w:r>
      <w:r>
        <w:rPr>
          <w:spacing w:val="-13"/>
        </w:rPr>
        <w:t> </w:t>
      </w:r>
      <w:r>
        <w:rPr/>
        <w:t>encourages</w:t>
      </w:r>
      <w:r>
        <w:rPr>
          <w:spacing w:val="-11"/>
        </w:rPr>
        <w:t> </w:t>
      </w:r>
      <w:r>
        <w:rPr/>
        <w:t>policymakers</w:t>
      </w:r>
      <w:r>
        <w:rPr>
          <w:spacing w:val="-12"/>
        </w:rPr>
        <w:t> </w:t>
      </w:r>
      <w:r>
        <w:rPr/>
        <w:t>and</w:t>
      </w:r>
      <w:r>
        <w:rPr>
          <w:spacing w:val="-11"/>
        </w:rPr>
        <w:t> </w:t>
      </w:r>
      <w:r>
        <w:rPr/>
        <w:t>advocates</w:t>
      </w:r>
      <w:r>
        <w:rPr>
          <w:spacing w:val="-12"/>
        </w:rPr>
        <w:t> </w:t>
      </w:r>
      <w:r>
        <w:rPr/>
        <w:t>to</w:t>
      </w:r>
      <w:r>
        <w:rPr>
          <w:spacing w:val="-11"/>
        </w:rPr>
        <w:t> </w:t>
      </w:r>
      <w:r>
        <w:rPr/>
        <w:t>better</w:t>
      </w:r>
      <w:r>
        <w:rPr>
          <w:spacing w:val="-11"/>
        </w:rPr>
        <w:t> </w:t>
      </w:r>
      <w:r>
        <w:rPr/>
        <w:t>understand</w:t>
      </w:r>
      <w:r>
        <w:rPr>
          <w:spacing w:val="-13"/>
        </w:rPr>
        <w:t> </w:t>
      </w:r>
      <w:r>
        <w:rPr/>
        <w:t>the</w:t>
      </w:r>
      <w:r>
        <w:rPr>
          <w:spacing w:val="-10"/>
        </w:rPr>
        <w:t> </w:t>
      </w:r>
      <w:r>
        <w:rPr/>
        <w:t>intersecting</w:t>
      </w:r>
      <w:r>
        <w:rPr>
          <w:spacing w:val="-11"/>
        </w:rPr>
        <w:t> </w:t>
      </w:r>
      <w:r>
        <w:rPr/>
        <w:t>identities</w:t>
      </w:r>
      <w:r>
        <w:rPr>
          <w:spacing w:val="-11"/>
        </w:rPr>
        <w:t> </w:t>
      </w:r>
      <w:r>
        <w:rPr/>
        <w:t>that</w:t>
      </w:r>
      <w:r>
        <w:rPr>
          <w:spacing w:val="-12"/>
        </w:rPr>
        <w:t> </w:t>
      </w:r>
      <w:r>
        <w:rPr/>
        <w:t>many LGBTQ youth in Massachusetts face. Below is a list of programs and services available to LGBTQ foreign- born youth in Massachusetts.</w:t>
      </w:r>
    </w:p>
    <w:p>
      <w:pPr>
        <w:pStyle w:val="BodyText"/>
        <w:spacing w:before="240"/>
        <w:ind w:left="751"/>
      </w:pPr>
      <w:hyperlink r:id="rId573">
        <w:r>
          <w:rPr>
            <w:color w:val="1153CC"/>
            <w:u w:val="single" w:color="1153CC"/>
          </w:rPr>
          <w:t>The</w:t>
        </w:r>
        <w:r>
          <w:rPr>
            <w:color w:val="1153CC"/>
            <w:spacing w:val="-10"/>
            <w:u w:val="single" w:color="1153CC"/>
          </w:rPr>
          <w:t> </w:t>
        </w:r>
        <w:r>
          <w:rPr>
            <w:color w:val="1153CC"/>
            <w:u w:val="single" w:color="1153CC"/>
          </w:rPr>
          <w:t>Office</w:t>
        </w:r>
        <w:r>
          <w:rPr>
            <w:color w:val="1153CC"/>
            <w:spacing w:val="-7"/>
            <w:u w:val="single" w:color="1153CC"/>
          </w:rPr>
          <w:t> </w:t>
        </w:r>
        <w:r>
          <w:rPr>
            <w:color w:val="1153CC"/>
            <w:u w:val="single" w:color="1153CC"/>
          </w:rPr>
          <w:t>for</w:t>
        </w:r>
        <w:r>
          <w:rPr>
            <w:color w:val="1153CC"/>
            <w:spacing w:val="-8"/>
            <w:u w:val="single" w:color="1153CC"/>
          </w:rPr>
          <w:t> </w:t>
        </w:r>
        <w:r>
          <w:rPr>
            <w:color w:val="1153CC"/>
            <w:u w:val="single" w:color="1153CC"/>
          </w:rPr>
          <w:t>Refugees</w:t>
        </w:r>
        <w:r>
          <w:rPr>
            <w:color w:val="1153CC"/>
            <w:spacing w:val="-8"/>
            <w:u w:val="single" w:color="1153CC"/>
          </w:rPr>
          <w:t> </w:t>
        </w:r>
        <w:r>
          <w:rPr>
            <w:color w:val="1153CC"/>
            <w:u w:val="single" w:color="1153CC"/>
          </w:rPr>
          <w:t>and</w:t>
        </w:r>
        <w:r>
          <w:rPr>
            <w:color w:val="1153CC"/>
            <w:spacing w:val="-8"/>
            <w:u w:val="single" w:color="1153CC"/>
          </w:rPr>
          <w:t> </w:t>
        </w:r>
        <w:r>
          <w:rPr>
            <w:color w:val="1153CC"/>
            <w:u w:val="single" w:color="1153CC"/>
          </w:rPr>
          <w:t>Immigrants</w:t>
        </w:r>
        <w:r>
          <w:rPr>
            <w:color w:val="1153CC"/>
            <w:spacing w:val="-8"/>
            <w:u w:val="single" w:color="1153CC"/>
          </w:rPr>
          <w:t> </w:t>
        </w:r>
        <w:r>
          <w:rPr>
            <w:color w:val="1153CC"/>
            <w:spacing w:val="-2"/>
            <w:u w:val="single" w:color="1153CC"/>
          </w:rPr>
          <w:t>(ORI)</w:t>
        </w:r>
      </w:hyperlink>
    </w:p>
    <w:p>
      <w:pPr>
        <w:pStyle w:val="BodyText"/>
        <w:spacing w:before="129"/>
      </w:pPr>
    </w:p>
    <w:p>
      <w:pPr>
        <w:pStyle w:val="BodyText"/>
        <w:spacing w:line="276" w:lineRule="auto" w:before="1"/>
        <w:ind w:left="751" w:right="549"/>
        <w:jc w:val="both"/>
      </w:pPr>
      <w:r>
        <w:rPr/>
        <w:t>The ORI supports services that meet the cultural and linguistic needs of refugees and immigrants through a network of service providers in Massachusetts. There are, however, no programs specifically tailored for LGBTQ communities, nor does ORI collect any data or information on the LGBTQ populations it serves.</w:t>
      </w:r>
    </w:p>
    <w:p>
      <w:pPr>
        <w:pStyle w:val="BodyText"/>
        <w:spacing w:before="240"/>
        <w:ind w:left="751"/>
        <w:jc w:val="both"/>
      </w:pPr>
      <w:hyperlink r:id="rId574">
        <w:r>
          <w:rPr>
            <w:color w:val="1153CC"/>
            <w:u w:val="single" w:color="1153CC"/>
          </w:rPr>
          <w:t>De</w:t>
        </w:r>
        <w:r>
          <w:rPr>
            <w:color w:val="1153CC"/>
            <w:spacing w:val="-4"/>
            <w:u w:val="single" w:color="1153CC"/>
          </w:rPr>
          <w:t> Novo</w:t>
        </w:r>
      </w:hyperlink>
    </w:p>
    <w:p>
      <w:pPr>
        <w:spacing w:after="0"/>
        <w:jc w:val="both"/>
        <w:sectPr>
          <w:pgSz w:w="12240" w:h="15840"/>
          <w:pgMar w:header="805" w:footer="1208" w:top="1080" w:bottom="1460" w:left="980" w:right="1180"/>
        </w:sectPr>
      </w:pPr>
    </w:p>
    <w:p>
      <w:pPr>
        <w:pStyle w:val="BodyText"/>
        <w:spacing w:line="276" w:lineRule="auto" w:before="69"/>
        <w:ind w:left="751" w:right="551"/>
        <w:jc w:val="both"/>
      </w:pPr>
      <w:r>
        <w:rPr/>
        <w:t>Provides</w:t>
      </w:r>
      <w:r>
        <w:rPr>
          <w:spacing w:val="-2"/>
        </w:rPr>
        <w:t> </w:t>
      </w:r>
      <w:r>
        <w:rPr/>
        <w:t>high-quality,</w:t>
      </w:r>
      <w:r>
        <w:rPr>
          <w:spacing w:val="-1"/>
        </w:rPr>
        <w:t> </w:t>
      </w:r>
      <w:r>
        <w:rPr/>
        <w:t>free legal</w:t>
      </w:r>
      <w:r>
        <w:rPr>
          <w:spacing w:val="-3"/>
        </w:rPr>
        <w:t> </w:t>
      </w:r>
      <w:r>
        <w:rPr/>
        <w:t>assistance</w:t>
      </w:r>
      <w:r>
        <w:rPr>
          <w:spacing w:val="-2"/>
        </w:rPr>
        <w:t> </w:t>
      </w:r>
      <w:r>
        <w:rPr/>
        <w:t>to</w:t>
      </w:r>
      <w:r>
        <w:rPr>
          <w:spacing w:val="-2"/>
        </w:rPr>
        <w:t> </w:t>
      </w:r>
      <w:r>
        <w:rPr/>
        <w:t>low-income</w:t>
      </w:r>
      <w:r>
        <w:rPr>
          <w:spacing w:val="-3"/>
        </w:rPr>
        <w:t> </w:t>
      </w:r>
      <w:r>
        <w:rPr/>
        <w:t>immigrants</w:t>
      </w:r>
      <w:r>
        <w:rPr>
          <w:spacing w:val="-2"/>
        </w:rPr>
        <w:t> </w:t>
      </w:r>
      <w:r>
        <w:rPr/>
        <w:t>and</w:t>
      </w:r>
      <w:r>
        <w:rPr>
          <w:spacing w:val="-3"/>
        </w:rPr>
        <w:t> </w:t>
      </w:r>
      <w:r>
        <w:rPr/>
        <w:t>asylum</w:t>
      </w:r>
      <w:r>
        <w:rPr>
          <w:spacing w:val="-3"/>
        </w:rPr>
        <w:t> </w:t>
      </w:r>
      <w:r>
        <w:rPr/>
        <w:t>seekers</w:t>
      </w:r>
      <w:r>
        <w:rPr>
          <w:spacing w:val="-2"/>
        </w:rPr>
        <w:t> </w:t>
      </w:r>
      <w:r>
        <w:rPr/>
        <w:t>who</w:t>
      </w:r>
      <w:r>
        <w:rPr>
          <w:spacing w:val="-2"/>
        </w:rPr>
        <w:t> </w:t>
      </w:r>
      <w:r>
        <w:rPr/>
        <w:t>are </w:t>
      </w:r>
      <w:r>
        <w:rPr>
          <w:spacing w:val="-2"/>
        </w:rPr>
        <w:t>living</w:t>
      </w:r>
      <w:r>
        <w:rPr>
          <w:spacing w:val="-5"/>
        </w:rPr>
        <w:t> </w:t>
      </w:r>
      <w:r>
        <w:rPr>
          <w:spacing w:val="-2"/>
        </w:rPr>
        <w:t>in</w:t>
      </w:r>
      <w:r>
        <w:rPr>
          <w:spacing w:val="-4"/>
        </w:rPr>
        <w:t> </w:t>
      </w:r>
      <w:r>
        <w:rPr>
          <w:spacing w:val="-2"/>
        </w:rPr>
        <w:t>MA.</w:t>
      </w:r>
      <w:r>
        <w:rPr>
          <w:spacing w:val="-4"/>
        </w:rPr>
        <w:t> </w:t>
      </w:r>
      <w:r>
        <w:rPr>
          <w:spacing w:val="-2"/>
        </w:rPr>
        <w:t>They</w:t>
      </w:r>
      <w:r>
        <w:rPr>
          <w:spacing w:val="-5"/>
        </w:rPr>
        <w:t> </w:t>
      </w:r>
      <w:r>
        <w:rPr>
          <w:spacing w:val="-2"/>
        </w:rPr>
        <w:t>assist</w:t>
      </w:r>
      <w:r>
        <w:rPr>
          <w:spacing w:val="-5"/>
        </w:rPr>
        <w:t> </w:t>
      </w:r>
      <w:r>
        <w:rPr>
          <w:spacing w:val="-2"/>
        </w:rPr>
        <w:t>with</w:t>
      </w:r>
      <w:r>
        <w:rPr>
          <w:spacing w:val="-5"/>
        </w:rPr>
        <w:t> </w:t>
      </w:r>
      <w:r>
        <w:rPr>
          <w:spacing w:val="-2"/>
        </w:rPr>
        <w:t>asylum</w:t>
      </w:r>
      <w:r>
        <w:rPr>
          <w:spacing w:val="-4"/>
        </w:rPr>
        <w:t> </w:t>
      </w:r>
      <w:r>
        <w:rPr>
          <w:spacing w:val="-2"/>
        </w:rPr>
        <w:t>cases,</w:t>
      </w:r>
      <w:r>
        <w:rPr>
          <w:spacing w:val="-5"/>
        </w:rPr>
        <w:t> </w:t>
      </w:r>
      <w:r>
        <w:rPr>
          <w:spacing w:val="-2"/>
        </w:rPr>
        <w:t>which</w:t>
      </w:r>
      <w:r>
        <w:rPr>
          <w:spacing w:val="-4"/>
        </w:rPr>
        <w:t> </w:t>
      </w:r>
      <w:r>
        <w:rPr>
          <w:spacing w:val="-2"/>
        </w:rPr>
        <w:t>deal</w:t>
      </w:r>
      <w:r>
        <w:rPr>
          <w:spacing w:val="-4"/>
        </w:rPr>
        <w:t> </w:t>
      </w:r>
      <w:r>
        <w:rPr>
          <w:spacing w:val="-2"/>
        </w:rPr>
        <w:t>with</w:t>
      </w:r>
      <w:r>
        <w:rPr>
          <w:spacing w:val="-5"/>
        </w:rPr>
        <w:t> </w:t>
      </w:r>
      <w:r>
        <w:rPr>
          <w:spacing w:val="-2"/>
        </w:rPr>
        <w:t>immigrants</w:t>
      </w:r>
      <w:r>
        <w:rPr>
          <w:spacing w:val="-5"/>
        </w:rPr>
        <w:t> </w:t>
      </w:r>
      <w:r>
        <w:rPr>
          <w:spacing w:val="-2"/>
        </w:rPr>
        <w:t>who</w:t>
      </w:r>
      <w:r>
        <w:rPr>
          <w:spacing w:val="-5"/>
        </w:rPr>
        <w:t> </w:t>
      </w:r>
      <w:r>
        <w:rPr>
          <w:spacing w:val="-2"/>
        </w:rPr>
        <w:t>flee</w:t>
      </w:r>
      <w:r>
        <w:rPr>
          <w:spacing w:val="-4"/>
        </w:rPr>
        <w:t> </w:t>
      </w:r>
      <w:r>
        <w:rPr>
          <w:spacing w:val="-2"/>
        </w:rPr>
        <w:t>their</w:t>
      </w:r>
      <w:r>
        <w:rPr>
          <w:spacing w:val="-5"/>
        </w:rPr>
        <w:t> </w:t>
      </w:r>
      <w:r>
        <w:rPr>
          <w:spacing w:val="-2"/>
        </w:rPr>
        <w:t>home</w:t>
      </w:r>
      <w:r>
        <w:rPr>
          <w:spacing w:val="-4"/>
        </w:rPr>
        <w:t> </w:t>
      </w:r>
      <w:r>
        <w:rPr>
          <w:spacing w:val="-2"/>
        </w:rPr>
        <w:t>country </w:t>
      </w:r>
      <w:r>
        <w:rPr/>
        <w:t>because of past persecution or fear of persecution because of race, religion, gender, nationality, social</w:t>
      </w:r>
      <w:r>
        <w:rPr>
          <w:spacing w:val="-2"/>
        </w:rPr>
        <w:t> </w:t>
      </w:r>
      <w:r>
        <w:rPr/>
        <w:t>group,</w:t>
      </w:r>
      <w:r>
        <w:rPr>
          <w:spacing w:val="-1"/>
        </w:rPr>
        <w:t> </w:t>
      </w:r>
      <w:r>
        <w:rPr/>
        <w:t>or</w:t>
      </w:r>
      <w:r>
        <w:rPr>
          <w:spacing w:val="-1"/>
        </w:rPr>
        <w:t> </w:t>
      </w:r>
      <w:r>
        <w:rPr/>
        <w:t>political</w:t>
      </w:r>
      <w:r>
        <w:rPr>
          <w:spacing w:val="-2"/>
        </w:rPr>
        <w:t> </w:t>
      </w:r>
      <w:r>
        <w:rPr/>
        <w:t>views.</w:t>
      </w:r>
      <w:r>
        <w:rPr>
          <w:spacing w:val="-2"/>
        </w:rPr>
        <w:t> </w:t>
      </w:r>
      <w:r>
        <w:rPr/>
        <w:t>De</w:t>
      </w:r>
      <w:r>
        <w:rPr>
          <w:spacing w:val="-2"/>
        </w:rPr>
        <w:t> </w:t>
      </w:r>
      <w:r>
        <w:rPr/>
        <w:t>Novo</w:t>
      </w:r>
      <w:r>
        <w:rPr>
          <w:spacing w:val="-1"/>
        </w:rPr>
        <w:t> </w:t>
      </w:r>
      <w:r>
        <w:rPr/>
        <w:t>also</w:t>
      </w:r>
      <w:r>
        <w:rPr>
          <w:spacing w:val="-1"/>
        </w:rPr>
        <w:t> </w:t>
      </w:r>
      <w:r>
        <w:rPr/>
        <w:t>assists</w:t>
      </w:r>
      <w:r>
        <w:rPr>
          <w:spacing w:val="-2"/>
        </w:rPr>
        <w:t> </w:t>
      </w:r>
      <w:r>
        <w:rPr/>
        <w:t>torture</w:t>
      </w:r>
      <w:r>
        <w:rPr>
          <w:spacing w:val="-2"/>
        </w:rPr>
        <w:t> </w:t>
      </w:r>
      <w:r>
        <w:rPr/>
        <w:t>survivors,</w:t>
      </w:r>
      <w:r>
        <w:rPr>
          <w:spacing w:val="-1"/>
        </w:rPr>
        <w:t> </w:t>
      </w:r>
      <w:r>
        <w:rPr/>
        <w:t>victims</w:t>
      </w:r>
      <w:r>
        <w:rPr>
          <w:spacing w:val="-1"/>
        </w:rPr>
        <w:t> </w:t>
      </w:r>
      <w:r>
        <w:rPr/>
        <w:t>of</w:t>
      </w:r>
      <w:r>
        <w:rPr>
          <w:spacing w:val="-1"/>
        </w:rPr>
        <w:t> </w:t>
      </w:r>
      <w:r>
        <w:rPr/>
        <w:t>LGBTQ</w:t>
      </w:r>
      <w:r>
        <w:rPr>
          <w:spacing w:val="-2"/>
        </w:rPr>
        <w:t> </w:t>
      </w:r>
      <w:r>
        <w:rPr/>
        <w:t>or</w:t>
      </w:r>
      <w:r>
        <w:rPr>
          <w:spacing w:val="-1"/>
        </w:rPr>
        <w:t> </w:t>
      </w:r>
      <w:r>
        <w:rPr/>
        <w:t>gender- based violence, and unaccompanied minors, among other special vulnerable populations.</w:t>
      </w:r>
    </w:p>
    <w:p>
      <w:pPr>
        <w:pStyle w:val="BodyText"/>
        <w:spacing w:before="240"/>
        <w:ind w:left="751"/>
        <w:jc w:val="both"/>
      </w:pPr>
      <w:hyperlink r:id="rId575">
        <w:r>
          <w:rPr>
            <w:color w:val="1153CC"/>
            <w:u w:val="single" w:color="1153CC"/>
          </w:rPr>
          <w:t>The</w:t>
        </w:r>
        <w:r>
          <w:rPr>
            <w:color w:val="1153CC"/>
            <w:spacing w:val="-9"/>
            <w:u w:val="single" w:color="1153CC"/>
          </w:rPr>
          <w:t> </w:t>
        </w:r>
        <w:r>
          <w:rPr>
            <w:color w:val="1153CC"/>
            <w:u w:val="single" w:color="1153CC"/>
          </w:rPr>
          <w:t>Department</w:t>
        </w:r>
        <w:r>
          <w:rPr>
            <w:color w:val="1153CC"/>
            <w:spacing w:val="-9"/>
            <w:u w:val="single" w:color="1153CC"/>
          </w:rPr>
          <w:t> </w:t>
        </w:r>
        <w:r>
          <w:rPr>
            <w:color w:val="1153CC"/>
            <w:u w:val="single" w:color="1153CC"/>
          </w:rPr>
          <w:t>of</w:t>
        </w:r>
        <w:r>
          <w:rPr>
            <w:color w:val="1153CC"/>
            <w:spacing w:val="-8"/>
            <w:u w:val="single" w:color="1153CC"/>
          </w:rPr>
          <w:t> </w:t>
        </w:r>
        <w:r>
          <w:rPr>
            <w:color w:val="1153CC"/>
            <w:u w:val="single" w:color="1153CC"/>
          </w:rPr>
          <w:t>Mental</w:t>
        </w:r>
        <w:r>
          <w:rPr>
            <w:color w:val="1153CC"/>
            <w:spacing w:val="-8"/>
            <w:u w:val="single" w:color="1153CC"/>
          </w:rPr>
          <w:t> </w:t>
        </w:r>
        <w:r>
          <w:rPr>
            <w:color w:val="1153CC"/>
            <w:u w:val="single" w:color="1153CC"/>
          </w:rPr>
          <w:t>Health</w:t>
        </w:r>
        <w:r>
          <w:rPr>
            <w:color w:val="1153CC"/>
            <w:spacing w:val="-8"/>
            <w:u w:val="single" w:color="1153CC"/>
          </w:rPr>
          <w:t> </w:t>
        </w:r>
        <w:r>
          <w:rPr>
            <w:color w:val="1153CC"/>
            <w:u w:val="single" w:color="1153CC"/>
          </w:rPr>
          <w:t>-</w:t>
        </w:r>
        <w:r>
          <w:rPr>
            <w:color w:val="1153CC"/>
            <w:spacing w:val="-6"/>
            <w:u w:val="single" w:color="1153CC"/>
          </w:rPr>
          <w:t> </w:t>
        </w:r>
        <w:r>
          <w:rPr>
            <w:color w:val="1153CC"/>
            <w:u w:val="single" w:color="1153CC"/>
          </w:rPr>
          <w:t>Multicultural</w:t>
        </w:r>
        <w:r>
          <w:rPr>
            <w:color w:val="1153CC"/>
            <w:spacing w:val="-9"/>
            <w:u w:val="single" w:color="1153CC"/>
          </w:rPr>
          <w:t> </w:t>
        </w:r>
        <w:r>
          <w:rPr>
            <w:color w:val="1153CC"/>
            <w:u w:val="single" w:color="1153CC"/>
          </w:rPr>
          <w:t>Mental</w:t>
        </w:r>
        <w:r>
          <w:rPr>
            <w:color w:val="1153CC"/>
            <w:spacing w:val="-9"/>
            <w:u w:val="single" w:color="1153CC"/>
          </w:rPr>
          <w:t> </w:t>
        </w:r>
        <w:r>
          <w:rPr>
            <w:color w:val="1153CC"/>
            <w:u w:val="single" w:color="1153CC"/>
          </w:rPr>
          <w:t>Health</w:t>
        </w:r>
        <w:r>
          <w:rPr>
            <w:color w:val="1153CC"/>
            <w:spacing w:val="-7"/>
            <w:u w:val="single" w:color="1153CC"/>
          </w:rPr>
          <w:t> </w:t>
        </w:r>
        <w:r>
          <w:rPr>
            <w:color w:val="1153CC"/>
            <w:u w:val="single" w:color="1153CC"/>
          </w:rPr>
          <w:t>Resource</w:t>
        </w:r>
        <w:r>
          <w:rPr>
            <w:color w:val="1153CC"/>
            <w:spacing w:val="-9"/>
            <w:u w:val="single" w:color="1153CC"/>
          </w:rPr>
          <w:t> </w:t>
        </w:r>
        <w:r>
          <w:rPr>
            <w:color w:val="1153CC"/>
            <w:spacing w:val="-2"/>
            <w:u w:val="single" w:color="1153CC"/>
          </w:rPr>
          <w:t>Directory</w:t>
        </w:r>
      </w:hyperlink>
    </w:p>
    <w:p>
      <w:pPr>
        <w:pStyle w:val="BodyText"/>
        <w:spacing w:line="276" w:lineRule="auto" w:before="266"/>
        <w:ind w:left="751" w:right="550"/>
        <w:jc w:val="both"/>
      </w:pPr>
      <w:r>
        <w:rPr/>
        <w:t>This</w:t>
      </w:r>
      <w:r>
        <w:rPr>
          <w:spacing w:val="-1"/>
        </w:rPr>
        <w:t> </w:t>
      </w:r>
      <w:r>
        <w:rPr/>
        <w:t>Directory</w:t>
      </w:r>
      <w:r>
        <w:rPr>
          <w:spacing w:val="-1"/>
        </w:rPr>
        <w:t> </w:t>
      </w:r>
      <w:r>
        <w:rPr/>
        <w:t>contains</w:t>
      </w:r>
      <w:r>
        <w:rPr>
          <w:spacing w:val="-1"/>
        </w:rPr>
        <w:t> </w:t>
      </w:r>
      <w:r>
        <w:rPr/>
        <w:t>information</w:t>
      </w:r>
      <w:r>
        <w:rPr>
          <w:spacing w:val="-2"/>
        </w:rPr>
        <w:t> </w:t>
      </w:r>
      <w:r>
        <w:rPr/>
        <w:t>about</w:t>
      </w:r>
      <w:r>
        <w:rPr>
          <w:spacing w:val="-2"/>
        </w:rPr>
        <w:t> </w:t>
      </w:r>
      <w:r>
        <w:rPr/>
        <w:t>organizations</w:t>
      </w:r>
      <w:r>
        <w:rPr>
          <w:spacing w:val="-1"/>
        </w:rPr>
        <w:t> </w:t>
      </w:r>
      <w:r>
        <w:rPr/>
        <w:t>in</w:t>
      </w:r>
      <w:r>
        <w:rPr>
          <w:spacing w:val="-2"/>
        </w:rPr>
        <w:t> </w:t>
      </w:r>
      <w:r>
        <w:rPr/>
        <w:t>Massachusetts that offer</w:t>
      </w:r>
      <w:r>
        <w:rPr>
          <w:spacing w:val="-1"/>
        </w:rPr>
        <w:t> </w:t>
      </w:r>
      <w:r>
        <w:rPr/>
        <w:t>culturally</w:t>
      </w:r>
      <w:r>
        <w:rPr>
          <w:spacing w:val="-1"/>
        </w:rPr>
        <w:t> </w:t>
      </w:r>
      <w:r>
        <w:rPr/>
        <w:t>and linguistically appropriate services for communities of color, the LGBTQ community, the Deaf and hard of hearing community, immigrants, and refugees. Although this Directory contains information about a variety of organizations in MA that offer culturally and linguistically appropriate services for both immigrants and the LGBTQ community, there are no organizations that offer services for LGBTQ immigrant youth specifically.</w:t>
      </w:r>
    </w:p>
    <w:p>
      <w:pPr>
        <w:pStyle w:val="BodyText"/>
        <w:spacing w:before="241"/>
        <w:ind w:left="751"/>
        <w:jc w:val="both"/>
      </w:pPr>
      <w:hyperlink r:id="rId576">
        <w:r>
          <w:rPr>
            <w:color w:val="1153CC"/>
            <w:u w:val="single" w:color="1153CC"/>
          </w:rPr>
          <w:t>LGBT</w:t>
        </w:r>
        <w:r>
          <w:rPr>
            <w:color w:val="1153CC"/>
            <w:spacing w:val="-7"/>
            <w:u w:val="single" w:color="1153CC"/>
          </w:rPr>
          <w:t> </w:t>
        </w:r>
        <w:r>
          <w:rPr>
            <w:color w:val="1153CC"/>
            <w:u w:val="single" w:color="1153CC"/>
          </w:rPr>
          <w:t>Asylum</w:t>
        </w:r>
        <w:r>
          <w:rPr>
            <w:color w:val="1153CC"/>
            <w:spacing w:val="-5"/>
            <w:u w:val="single" w:color="1153CC"/>
          </w:rPr>
          <w:t> </w:t>
        </w:r>
        <w:r>
          <w:rPr>
            <w:color w:val="1153CC"/>
            <w:u w:val="single" w:color="1153CC"/>
          </w:rPr>
          <w:t>Task</w:t>
        </w:r>
        <w:r>
          <w:rPr>
            <w:color w:val="1153CC"/>
            <w:spacing w:val="-7"/>
            <w:u w:val="single" w:color="1153CC"/>
          </w:rPr>
          <w:t> </w:t>
        </w:r>
        <w:r>
          <w:rPr>
            <w:color w:val="1153CC"/>
            <w:spacing w:val="-4"/>
            <w:u w:val="single" w:color="1153CC"/>
          </w:rPr>
          <w:t>Force</w:t>
        </w:r>
      </w:hyperlink>
    </w:p>
    <w:p>
      <w:pPr>
        <w:pStyle w:val="BodyText"/>
        <w:spacing w:line="276" w:lineRule="auto" w:before="267"/>
        <w:ind w:left="751" w:right="549"/>
        <w:jc w:val="both"/>
      </w:pPr>
      <w:r>
        <w:rPr/>
        <w:t>Provides shared housing for LGBTQ asylum seekers in Worcester, Massachusetts. If funds are available, they provide a small monthly stipend to pay for food, transportation, and other basic expenses. Housing and stipend support continues until asylum seekers receive their work permits (EAD).</w:t>
      </w:r>
      <w:r>
        <w:rPr>
          <w:spacing w:val="-3"/>
        </w:rPr>
        <w:t> </w:t>
      </w:r>
      <w:r>
        <w:rPr/>
        <w:t>They</w:t>
      </w:r>
      <w:r>
        <w:rPr>
          <w:spacing w:val="-3"/>
        </w:rPr>
        <w:t> </w:t>
      </w:r>
      <w:r>
        <w:rPr/>
        <w:t>also</w:t>
      </w:r>
      <w:r>
        <w:rPr>
          <w:spacing w:val="-2"/>
        </w:rPr>
        <w:t> </w:t>
      </w:r>
      <w:r>
        <w:rPr/>
        <w:t>provide</w:t>
      </w:r>
      <w:r>
        <w:rPr>
          <w:spacing w:val="-3"/>
        </w:rPr>
        <w:t> </w:t>
      </w:r>
      <w:r>
        <w:rPr/>
        <w:t>a</w:t>
      </w:r>
      <w:r>
        <w:rPr>
          <w:spacing w:val="-3"/>
        </w:rPr>
        <w:t> </w:t>
      </w:r>
      <w:r>
        <w:rPr/>
        <w:t>list</w:t>
      </w:r>
      <w:r>
        <w:rPr>
          <w:spacing w:val="-3"/>
        </w:rPr>
        <w:t> </w:t>
      </w:r>
      <w:r>
        <w:rPr/>
        <w:t>of</w:t>
      </w:r>
      <w:r>
        <w:rPr>
          <w:spacing w:val="-3"/>
        </w:rPr>
        <w:t> </w:t>
      </w:r>
      <w:r>
        <w:rPr/>
        <w:t>pro</w:t>
      </w:r>
      <w:r>
        <w:rPr>
          <w:spacing w:val="-2"/>
        </w:rPr>
        <w:t> </w:t>
      </w:r>
      <w:r>
        <w:rPr/>
        <w:t>bono</w:t>
      </w:r>
      <w:r>
        <w:rPr>
          <w:spacing w:val="-2"/>
        </w:rPr>
        <w:t> </w:t>
      </w:r>
      <w:r>
        <w:rPr/>
        <w:t>immigration</w:t>
      </w:r>
      <w:r>
        <w:rPr>
          <w:spacing w:val="-3"/>
        </w:rPr>
        <w:t> </w:t>
      </w:r>
      <w:r>
        <w:rPr/>
        <w:t>lawyers</w:t>
      </w:r>
      <w:r>
        <w:rPr>
          <w:spacing w:val="-3"/>
        </w:rPr>
        <w:t> </w:t>
      </w:r>
      <w:r>
        <w:rPr/>
        <w:t>that</w:t>
      </w:r>
      <w:r>
        <w:rPr>
          <w:spacing w:val="-3"/>
        </w:rPr>
        <w:t> </w:t>
      </w:r>
      <w:r>
        <w:rPr/>
        <w:t>might</w:t>
      </w:r>
      <w:r>
        <w:rPr>
          <w:spacing w:val="-2"/>
        </w:rPr>
        <w:t> </w:t>
      </w:r>
      <w:r>
        <w:rPr/>
        <w:t>be</w:t>
      </w:r>
      <w:r>
        <w:rPr>
          <w:spacing w:val="-3"/>
        </w:rPr>
        <w:t> </w:t>
      </w:r>
      <w:r>
        <w:rPr/>
        <w:t>able</w:t>
      </w:r>
      <w:r>
        <w:rPr>
          <w:spacing w:val="-3"/>
        </w:rPr>
        <w:t> </w:t>
      </w:r>
      <w:r>
        <w:rPr/>
        <w:t>to</w:t>
      </w:r>
      <w:r>
        <w:rPr>
          <w:spacing w:val="-2"/>
        </w:rPr>
        <w:t> </w:t>
      </w:r>
      <w:r>
        <w:rPr/>
        <w:t>assist</w:t>
      </w:r>
      <w:r>
        <w:rPr>
          <w:spacing w:val="-3"/>
        </w:rPr>
        <w:t> </w:t>
      </w:r>
      <w:r>
        <w:rPr/>
        <w:t>asylum seekers</w:t>
      </w:r>
      <w:r>
        <w:rPr>
          <w:spacing w:val="-1"/>
        </w:rPr>
        <w:t> </w:t>
      </w:r>
      <w:r>
        <w:rPr/>
        <w:t>with the application</w:t>
      </w:r>
      <w:r>
        <w:rPr>
          <w:spacing w:val="-1"/>
        </w:rPr>
        <w:t> </w:t>
      </w:r>
      <w:r>
        <w:rPr/>
        <w:t>process.</w:t>
      </w:r>
      <w:r>
        <w:rPr>
          <w:spacing w:val="-1"/>
        </w:rPr>
        <w:t> </w:t>
      </w:r>
      <w:r>
        <w:rPr/>
        <w:t>Additionally, they</w:t>
      </w:r>
      <w:r>
        <w:rPr>
          <w:spacing w:val="-1"/>
        </w:rPr>
        <w:t> </w:t>
      </w:r>
      <w:r>
        <w:rPr/>
        <w:t>help</w:t>
      </w:r>
      <w:r>
        <w:rPr>
          <w:spacing w:val="-1"/>
        </w:rPr>
        <w:t> </w:t>
      </w:r>
      <w:r>
        <w:rPr/>
        <w:t>asylum</w:t>
      </w:r>
      <w:r>
        <w:rPr>
          <w:spacing w:val="-1"/>
        </w:rPr>
        <w:t> </w:t>
      </w:r>
      <w:r>
        <w:rPr/>
        <w:t>seekers to get</w:t>
      </w:r>
      <w:r>
        <w:rPr>
          <w:spacing w:val="-1"/>
        </w:rPr>
        <w:t> </w:t>
      </w:r>
      <w:r>
        <w:rPr/>
        <w:t>connected</w:t>
      </w:r>
      <w:r>
        <w:rPr>
          <w:spacing w:val="-1"/>
        </w:rPr>
        <w:t> </w:t>
      </w:r>
      <w:r>
        <w:rPr/>
        <w:t>to a doctor and therapist at the local health center.</w:t>
      </w:r>
    </w:p>
    <w:p>
      <w:pPr>
        <w:pStyle w:val="BodyText"/>
        <w:spacing w:before="240"/>
        <w:ind w:left="751"/>
        <w:jc w:val="both"/>
      </w:pPr>
      <w:hyperlink r:id="rId577">
        <w:r>
          <w:rPr>
            <w:color w:val="1153CC"/>
            <w:u w:val="single" w:color="1153CC"/>
          </w:rPr>
          <w:t>Greater</w:t>
        </w:r>
        <w:r>
          <w:rPr>
            <w:color w:val="1153CC"/>
            <w:spacing w:val="-8"/>
            <w:u w:val="single" w:color="1153CC"/>
          </w:rPr>
          <w:t> </w:t>
        </w:r>
        <w:r>
          <w:rPr>
            <w:color w:val="1153CC"/>
            <w:u w:val="single" w:color="1153CC"/>
          </w:rPr>
          <w:t>Boston</w:t>
        </w:r>
        <w:r>
          <w:rPr>
            <w:color w:val="1153CC"/>
            <w:spacing w:val="-8"/>
            <w:u w:val="single" w:color="1153CC"/>
          </w:rPr>
          <w:t> </w:t>
        </w:r>
        <w:r>
          <w:rPr>
            <w:color w:val="1153CC"/>
            <w:u w:val="single" w:color="1153CC"/>
          </w:rPr>
          <w:t>Immigrant</w:t>
        </w:r>
        <w:r>
          <w:rPr>
            <w:color w:val="1153CC"/>
            <w:spacing w:val="-8"/>
            <w:u w:val="single" w:color="1153CC"/>
          </w:rPr>
          <w:t> </w:t>
        </w:r>
        <w:r>
          <w:rPr>
            <w:color w:val="1153CC"/>
            <w:u w:val="single" w:color="1153CC"/>
          </w:rPr>
          <w:t>Defense</w:t>
        </w:r>
        <w:r>
          <w:rPr>
            <w:color w:val="1153CC"/>
            <w:spacing w:val="-7"/>
            <w:u w:val="single" w:color="1153CC"/>
          </w:rPr>
          <w:t> </w:t>
        </w:r>
        <w:r>
          <w:rPr>
            <w:color w:val="1153CC"/>
            <w:u w:val="single" w:color="1153CC"/>
          </w:rPr>
          <w:t>Fund</w:t>
        </w:r>
      </w:hyperlink>
      <w:r>
        <w:rPr>
          <w:color w:val="1153CC"/>
          <w:spacing w:val="-7"/>
          <w:u w:val="none"/>
        </w:rPr>
        <w:t> </w:t>
      </w:r>
      <w:r>
        <w:rPr>
          <w:u w:val="none"/>
        </w:rPr>
        <w:t>&amp;</w:t>
      </w:r>
      <w:r>
        <w:rPr>
          <w:spacing w:val="-8"/>
          <w:u w:val="none"/>
        </w:rPr>
        <w:t> </w:t>
      </w:r>
      <w:hyperlink r:id="rId578">
        <w:r>
          <w:rPr>
            <w:color w:val="1153CC"/>
            <w:u w:val="single" w:color="1153CC"/>
          </w:rPr>
          <w:t>United</w:t>
        </w:r>
        <w:r>
          <w:rPr>
            <w:color w:val="1153CC"/>
            <w:spacing w:val="-7"/>
            <w:u w:val="single" w:color="1153CC"/>
          </w:rPr>
          <w:t> </w:t>
        </w:r>
        <w:r>
          <w:rPr>
            <w:color w:val="1153CC"/>
            <w:u w:val="single" w:color="1153CC"/>
          </w:rPr>
          <w:t>Legal</w:t>
        </w:r>
        <w:r>
          <w:rPr>
            <w:color w:val="1153CC"/>
            <w:spacing w:val="-8"/>
            <w:u w:val="single" w:color="1153CC"/>
          </w:rPr>
          <w:t> </w:t>
        </w:r>
        <w:r>
          <w:rPr>
            <w:color w:val="1153CC"/>
            <w:u w:val="single" w:color="1153CC"/>
          </w:rPr>
          <w:t>Defense</w:t>
        </w:r>
        <w:r>
          <w:rPr>
            <w:color w:val="1153CC"/>
            <w:spacing w:val="-8"/>
            <w:u w:val="single" w:color="1153CC"/>
          </w:rPr>
          <w:t> </w:t>
        </w:r>
        <w:r>
          <w:rPr>
            <w:color w:val="1153CC"/>
            <w:u w:val="single" w:color="1153CC"/>
          </w:rPr>
          <w:t>Fund</w:t>
        </w:r>
        <w:r>
          <w:rPr>
            <w:color w:val="1153CC"/>
            <w:spacing w:val="-8"/>
            <w:u w:val="single" w:color="1153CC"/>
          </w:rPr>
          <w:t> </w:t>
        </w:r>
        <w:r>
          <w:rPr>
            <w:color w:val="1153CC"/>
            <w:u w:val="single" w:color="1153CC"/>
          </w:rPr>
          <w:t>for</w:t>
        </w:r>
        <w:r>
          <w:rPr>
            <w:color w:val="1153CC"/>
            <w:spacing w:val="-7"/>
            <w:u w:val="single" w:color="1153CC"/>
          </w:rPr>
          <w:t> </w:t>
        </w:r>
        <w:r>
          <w:rPr>
            <w:color w:val="1153CC"/>
            <w:spacing w:val="-2"/>
            <w:u w:val="single" w:color="1153CC"/>
          </w:rPr>
          <w:t>Immigrants</w:t>
        </w:r>
      </w:hyperlink>
    </w:p>
    <w:p>
      <w:pPr>
        <w:pStyle w:val="BodyText"/>
        <w:spacing w:line="276" w:lineRule="auto" w:before="267"/>
        <w:ind w:left="751" w:right="549"/>
        <w:jc w:val="both"/>
      </w:pPr>
      <w:r>
        <w:rPr/>
        <w:t>Both Funds support local organizations that provide representation to individuals in deportation proceedings who are otherwise unable to afford it. In addition to legal representation, both these Funds support nonprofits running legal education programs for immigrants such as “know your rights” trainings to prevent detention and deportation, and help immigrants navigate application processes.</w:t>
      </w:r>
      <w:r>
        <w:rPr>
          <w:spacing w:val="-1"/>
        </w:rPr>
        <w:t> </w:t>
      </w:r>
      <w:r>
        <w:rPr/>
        <w:t>In the case of the United Legal</w:t>
      </w:r>
      <w:r>
        <w:rPr>
          <w:spacing w:val="-1"/>
        </w:rPr>
        <w:t> </w:t>
      </w:r>
      <w:r>
        <w:rPr/>
        <w:t>Defense Fund, this support</w:t>
      </w:r>
      <w:r>
        <w:rPr>
          <w:spacing w:val="-1"/>
        </w:rPr>
        <w:t> </w:t>
      </w:r>
      <w:r>
        <w:rPr/>
        <w:t>extends to covering court or other fees.</w:t>
      </w:r>
    </w:p>
    <w:p>
      <w:pPr>
        <w:pStyle w:val="BodyText"/>
      </w:pPr>
    </w:p>
    <w:p>
      <w:pPr>
        <w:pStyle w:val="BodyText"/>
        <w:spacing w:before="223"/>
      </w:pPr>
    </w:p>
    <w:p>
      <w:pPr>
        <w:spacing w:before="0"/>
        <w:ind w:left="463" w:right="0" w:firstLine="0"/>
        <w:jc w:val="left"/>
        <w:rPr>
          <w:sz w:val="28"/>
        </w:rPr>
      </w:pPr>
      <w:r>
        <w:rPr/>
        <mc:AlternateContent>
          <mc:Choice Requires="wps">
            <w:drawing>
              <wp:anchor distT="0" distB="0" distL="0" distR="0" allowOverlap="1" layoutInCell="1" locked="0" behindDoc="1" simplePos="0" relativeHeight="487672832">
                <wp:simplePos x="0" y="0"/>
                <wp:positionH relativeFrom="page">
                  <wp:posOffset>897636</wp:posOffset>
                </wp:positionH>
                <wp:positionV relativeFrom="paragraph">
                  <wp:posOffset>229955</wp:posOffset>
                </wp:positionV>
                <wp:extent cx="5976620" cy="6350"/>
                <wp:effectExtent l="0" t="0" r="0" b="0"/>
                <wp:wrapTopAndBottom/>
                <wp:docPr id="441" name="Graphic 441"/>
                <wp:cNvGraphicFramePr>
                  <a:graphicFrameLocks/>
                </wp:cNvGraphicFramePr>
                <a:graphic>
                  <a:graphicData uri="http://schemas.microsoft.com/office/word/2010/wordprocessingShape">
                    <wps:wsp>
                      <wps:cNvPr id="441" name="Graphic 441"/>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06754pt;width:470.58pt;height:.481pt;mso-position-horizontal-relative:page;mso-position-vertical-relative:paragraph;z-index:-15643648;mso-wrap-distance-left:0;mso-wrap-distance-right:0" id="docshape351" filled="true" fillcolor="#4f81bc" stroked="false">
                <v:fill type="solid"/>
                <w10:wrap type="topAndBottom"/>
              </v:rect>
            </w:pict>
          </mc:Fallback>
        </mc:AlternateContent>
      </w:r>
      <w:bookmarkStart w:name="Acknowledgments &amp; Citations" w:id="800"/>
      <w:bookmarkEnd w:id="800"/>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spacing w:before="241"/>
        <w:ind w:left="463" w:right="366" w:firstLine="0"/>
        <w:jc w:val="left"/>
        <w:rPr>
          <w:i/>
          <w:sz w:val="22"/>
        </w:rPr>
      </w:pPr>
      <w:r>
        <w:rPr>
          <w:i/>
          <w:sz w:val="22"/>
        </w:rPr>
        <w:t>Acknowledgments:</w:t>
      </w:r>
      <w:r>
        <w:rPr>
          <w:i/>
          <w:spacing w:val="-5"/>
          <w:sz w:val="22"/>
        </w:rPr>
        <w:t> </w:t>
      </w:r>
      <w:r>
        <w:rPr>
          <w:i/>
          <w:sz w:val="22"/>
        </w:rPr>
        <w:t>Karina</w:t>
      </w:r>
      <w:r>
        <w:rPr>
          <w:i/>
          <w:spacing w:val="-5"/>
          <w:sz w:val="22"/>
        </w:rPr>
        <w:t> </w:t>
      </w:r>
      <w:r>
        <w:rPr>
          <w:i/>
          <w:sz w:val="22"/>
        </w:rPr>
        <w:t>Zeferino,</w:t>
      </w:r>
      <w:r>
        <w:rPr>
          <w:i/>
          <w:spacing w:val="-5"/>
          <w:sz w:val="22"/>
        </w:rPr>
        <w:t> </w:t>
      </w:r>
      <w:r>
        <w:rPr>
          <w:i/>
          <w:sz w:val="22"/>
        </w:rPr>
        <w:t>lead</w:t>
      </w:r>
      <w:r>
        <w:rPr>
          <w:i/>
          <w:spacing w:val="-5"/>
          <w:sz w:val="22"/>
        </w:rPr>
        <w:t> </w:t>
      </w:r>
      <w:r>
        <w:rPr>
          <w:i/>
          <w:sz w:val="22"/>
        </w:rPr>
        <w:t>researcher</w:t>
      </w:r>
      <w:r>
        <w:rPr>
          <w:i/>
          <w:spacing w:val="-3"/>
          <w:sz w:val="22"/>
        </w:rPr>
        <w:t> </w:t>
      </w:r>
      <w:r>
        <w:rPr>
          <w:i/>
          <w:sz w:val="22"/>
        </w:rPr>
        <w:t>and</w:t>
      </w:r>
      <w:r>
        <w:rPr>
          <w:i/>
          <w:spacing w:val="-4"/>
          <w:sz w:val="22"/>
        </w:rPr>
        <w:t> </w:t>
      </w:r>
      <w:r>
        <w:rPr>
          <w:i/>
          <w:sz w:val="22"/>
        </w:rPr>
        <w:t>author</w:t>
      </w:r>
      <w:r>
        <w:rPr>
          <w:i/>
          <w:spacing w:val="-5"/>
          <w:sz w:val="22"/>
        </w:rPr>
        <w:t> </w:t>
      </w:r>
      <w:r>
        <w:rPr>
          <w:i/>
          <w:sz w:val="22"/>
        </w:rPr>
        <w:t>(2023),</w:t>
      </w:r>
      <w:r>
        <w:rPr>
          <w:i/>
          <w:spacing w:val="-5"/>
          <w:sz w:val="22"/>
        </w:rPr>
        <w:t> </w:t>
      </w:r>
      <w:r>
        <w:rPr>
          <w:i/>
          <w:sz w:val="22"/>
        </w:rPr>
        <w:t>Xóchitl</w:t>
      </w:r>
      <w:r>
        <w:rPr>
          <w:i/>
          <w:spacing w:val="-4"/>
          <w:sz w:val="22"/>
        </w:rPr>
        <w:t> </w:t>
      </w:r>
      <w:r>
        <w:rPr>
          <w:i/>
          <w:sz w:val="22"/>
        </w:rPr>
        <w:t>Aguirre,</w:t>
      </w:r>
      <w:r>
        <w:rPr>
          <w:i/>
          <w:spacing w:val="-3"/>
          <w:sz w:val="22"/>
        </w:rPr>
        <w:t> </w:t>
      </w:r>
      <w:r>
        <w:rPr>
          <w:i/>
          <w:sz w:val="22"/>
        </w:rPr>
        <w:t>secondary</w:t>
      </w:r>
      <w:r>
        <w:rPr>
          <w:i/>
          <w:sz w:val="22"/>
        </w:rPr>
        <w:t> researcher and editor (2024)</w:t>
      </w:r>
    </w:p>
    <w:p>
      <w:pPr>
        <w:pStyle w:val="BodyText"/>
        <w:spacing w:before="171"/>
        <w:rPr>
          <w:i/>
        </w:rPr>
      </w:pPr>
    </w:p>
    <w:p>
      <w:pPr>
        <w:spacing w:before="0"/>
        <w:ind w:left="463" w:right="1066" w:hanging="1"/>
        <w:jc w:val="left"/>
        <w:rPr>
          <w:sz w:val="18"/>
        </w:rPr>
      </w:pPr>
      <w:r>
        <w:rPr>
          <w:sz w:val="18"/>
          <w:vertAlign w:val="superscript"/>
        </w:rPr>
        <w:t>1</w:t>
      </w:r>
      <w:r>
        <w:rPr>
          <w:spacing w:val="-6"/>
          <w:sz w:val="18"/>
          <w:vertAlign w:val="baseline"/>
        </w:rPr>
        <w:t> </w:t>
      </w:r>
      <w:r>
        <w:rPr>
          <w:sz w:val="18"/>
          <w:vertAlign w:val="baseline"/>
        </w:rPr>
        <w:t>Associated Press, “Massachusetts Sheriff Ends Enforcement Agreement with ICE,” January 5, 2023, </w:t>
      </w:r>
      <w:r>
        <w:rPr>
          <w:spacing w:val="-2"/>
          <w:sz w:val="18"/>
          <w:vertAlign w:val="baseline"/>
        </w:rPr>
        <w:t>https://</w:t>
      </w:r>
      <w:hyperlink r:id="rId579">
        <w:r>
          <w:rPr>
            <w:spacing w:val="-2"/>
            <w:sz w:val="18"/>
            <w:vertAlign w:val="baseline"/>
          </w:rPr>
          <w:t>www.wgbh.org/news/local-news/2023/01/05/massachusetts-sheriff-ends-enforcement-agreement-with-ice.</w:t>
        </w:r>
      </w:hyperlink>
    </w:p>
    <w:p>
      <w:pPr>
        <w:spacing w:before="0"/>
        <w:ind w:left="463" w:right="366" w:firstLine="0"/>
        <w:jc w:val="left"/>
        <w:rPr>
          <w:sz w:val="18"/>
        </w:rPr>
      </w:pPr>
      <w:r>
        <w:rPr>
          <w:sz w:val="18"/>
          <w:vertAlign w:val="superscript"/>
        </w:rPr>
        <w:t>2</w:t>
      </w:r>
      <w:r>
        <w:rPr>
          <w:spacing w:val="-9"/>
          <w:sz w:val="18"/>
          <w:vertAlign w:val="baseline"/>
        </w:rPr>
        <w:t> </w:t>
      </w:r>
      <w:r>
        <w:rPr>
          <w:sz w:val="18"/>
          <w:vertAlign w:val="baseline"/>
        </w:rPr>
        <w:t>Sean Philip Cotter, “Boston Police Say They Received, Ignored 12 ICE Immigration Detainer Requests,” January 9, 2023, </w:t>
      </w:r>
      <w:r>
        <w:rPr>
          <w:spacing w:val="-2"/>
          <w:sz w:val="18"/>
          <w:vertAlign w:val="baseline"/>
        </w:rPr>
        <w:t>https://</w:t>
      </w:r>
      <w:hyperlink r:id="rId580">
        <w:r>
          <w:rPr>
            <w:spacing w:val="-2"/>
            <w:sz w:val="18"/>
            <w:vertAlign w:val="baseline"/>
          </w:rPr>
          <w:t>www.bostonherald.com/2023/01/09/boston-police-say-they-received-ignored-12-ice-immigration-detainer-requests/.</w:t>
        </w:r>
      </w:hyperlink>
      <w:r>
        <w:rPr>
          <w:spacing w:val="80"/>
          <w:sz w:val="18"/>
          <w:vertAlign w:val="baseline"/>
        </w:rPr>
        <w:t>  </w:t>
      </w:r>
      <w:r>
        <w:rPr>
          <w:sz w:val="18"/>
          <w:vertAlign w:val="superscript"/>
        </w:rPr>
        <w:t>3</w:t>
      </w:r>
      <w:r>
        <w:rPr>
          <w:spacing w:val="-8"/>
          <w:sz w:val="18"/>
          <w:vertAlign w:val="baseline"/>
        </w:rPr>
        <w:t> </w:t>
      </w:r>
      <w:r>
        <w:rPr>
          <w:sz w:val="18"/>
          <w:vertAlign w:val="baseline"/>
        </w:rPr>
        <w:t>Adi Daniels, “Why Do People Immigrate? - The Different Causes of Immigration,” </w:t>
      </w:r>
      <w:r>
        <w:rPr>
          <w:i/>
          <w:sz w:val="18"/>
          <w:vertAlign w:val="baseline"/>
        </w:rPr>
        <w:t>LIRS </w:t>
      </w:r>
      <w:r>
        <w:rPr>
          <w:sz w:val="18"/>
          <w:vertAlign w:val="baseline"/>
        </w:rPr>
        <w:t>(blog), July 15, 2021, </w:t>
      </w:r>
      <w:r>
        <w:rPr>
          <w:spacing w:val="-2"/>
          <w:sz w:val="18"/>
          <w:vertAlign w:val="baseline"/>
        </w:rPr>
        <w:t>https://</w:t>
      </w:r>
      <w:hyperlink r:id="rId581">
        <w:r>
          <w:rPr>
            <w:spacing w:val="-2"/>
            <w:sz w:val="18"/>
            <w:vertAlign w:val="baseline"/>
          </w:rPr>
          <w:t>www.lirs.org/causes-of-immigration/.</w:t>
        </w:r>
      </w:hyperlink>
    </w:p>
    <w:p>
      <w:pPr>
        <w:spacing w:after="0"/>
        <w:jc w:val="left"/>
        <w:rPr>
          <w:sz w:val="18"/>
        </w:rPr>
        <w:sectPr>
          <w:pgSz w:w="12240" w:h="15840"/>
          <w:pgMar w:header="805" w:footer="1208" w:top="1080" w:bottom="1460" w:left="980" w:right="1180"/>
        </w:sectPr>
      </w:pPr>
    </w:p>
    <w:p>
      <w:pPr>
        <w:spacing w:before="68"/>
        <w:ind w:left="463" w:right="271" w:hanging="1"/>
        <w:jc w:val="left"/>
        <w:rPr>
          <w:sz w:val="18"/>
        </w:rPr>
      </w:pPr>
      <w:r>
        <w:rPr>
          <w:sz w:val="18"/>
          <w:vertAlign w:val="superscript"/>
        </w:rPr>
        <w:t>4</w:t>
      </w:r>
      <w:r>
        <w:rPr>
          <w:spacing w:val="-13"/>
          <w:sz w:val="18"/>
          <w:vertAlign w:val="baseline"/>
        </w:rPr>
        <w:t> </w:t>
      </w:r>
      <w:r>
        <w:rPr>
          <w:sz w:val="18"/>
          <w:vertAlign w:val="baseline"/>
        </w:rPr>
        <w:t>“#OUTLAWED:</w:t>
      </w:r>
      <w:r>
        <w:rPr>
          <w:spacing w:val="-5"/>
          <w:sz w:val="18"/>
          <w:vertAlign w:val="baseline"/>
        </w:rPr>
        <w:t> </w:t>
      </w:r>
      <w:r>
        <w:rPr>
          <w:sz w:val="18"/>
          <w:vertAlign w:val="baseline"/>
        </w:rPr>
        <w:t>‘The</w:t>
      </w:r>
      <w:r>
        <w:rPr>
          <w:spacing w:val="-3"/>
          <w:sz w:val="18"/>
          <w:vertAlign w:val="baseline"/>
        </w:rPr>
        <w:t> </w:t>
      </w:r>
      <w:r>
        <w:rPr>
          <w:sz w:val="18"/>
          <w:vertAlign w:val="baseline"/>
        </w:rPr>
        <w:t>Love</w:t>
      </w:r>
      <w:r>
        <w:rPr>
          <w:spacing w:val="-3"/>
          <w:sz w:val="18"/>
          <w:vertAlign w:val="baseline"/>
        </w:rPr>
        <w:t> </w:t>
      </w:r>
      <w:r>
        <w:rPr>
          <w:sz w:val="18"/>
          <w:vertAlign w:val="baseline"/>
        </w:rPr>
        <w:t>That</w:t>
      </w:r>
      <w:r>
        <w:rPr>
          <w:spacing w:val="-4"/>
          <w:sz w:val="18"/>
          <w:vertAlign w:val="baseline"/>
        </w:rPr>
        <w:t> </w:t>
      </w:r>
      <w:r>
        <w:rPr>
          <w:sz w:val="18"/>
          <w:vertAlign w:val="baseline"/>
        </w:rPr>
        <w:t>Dare</w:t>
      </w:r>
      <w:r>
        <w:rPr>
          <w:spacing w:val="-3"/>
          <w:sz w:val="18"/>
          <w:vertAlign w:val="baseline"/>
        </w:rPr>
        <w:t> </w:t>
      </w:r>
      <w:r>
        <w:rPr>
          <w:sz w:val="18"/>
          <w:vertAlign w:val="baseline"/>
        </w:rPr>
        <w:t>Not</w:t>
      </w:r>
      <w:r>
        <w:rPr>
          <w:spacing w:val="-4"/>
          <w:sz w:val="18"/>
          <w:vertAlign w:val="baseline"/>
        </w:rPr>
        <w:t> </w:t>
      </w:r>
      <w:r>
        <w:rPr>
          <w:sz w:val="18"/>
          <w:vertAlign w:val="baseline"/>
        </w:rPr>
        <w:t>Speak</w:t>
      </w:r>
      <w:r>
        <w:rPr>
          <w:spacing w:val="-4"/>
          <w:sz w:val="18"/>
          <w:vertAlign w:val="baseline"/>
        </w:rPr>
        <w:t> </w:t>
      </w:r>
      <w:r>
        <w:rPr>
          <w:sz w:val="18"/>
          <w:vertAlign w:val="baseline"/>
        </w:rPr>
        <w:t>Its</w:t>
      </w:r>
      <w:r>
        <w:rPr>
          <w:spacing w:val="-3"/>
          <w:sz w:val="18"/>
          <w:vertAlign w:val="baseline"/>
        </w:rPr>
        <w:t> </w:t>
      </w:r>
      <w:r>
        <w:rPr>
          <w:sz w:val="18"/>
          <w:vertAlign w:val="baseline"/>
        </w:rPr>
        <w:t>Name,’”</w:t>
      </w:r>
      <w:r>
        <w:rPr>
          <w:spacing w:val="-3"/>
          <w:sz w:val="18"/>
          <w:vertAlign w:val="baseline"/>
        </w:rPr>
        <w:t> </w:t>
      </w:r>
      <w:r>
        <w:rPr>
          <w:sz w:val="18"/>
          <w:vertAlign w:val="baseline"/>
        </w:rPr>
        <w:t>accessed</w:t>
      </w:r>
      <w:r>
        <w:rPr>
          <w:spacing w:val="-3"/>
          <w:sz w:val="18"/>
          <w:vertAlign w:val="baseline"/>
        </w:rPr>
        <w:t> </w:t>
      </w:r>
      <w:r>
        <w:rPr>
          <w:sz w:val="18"/>
          <w:vertAlign w:val="baseline"/>
        </w:rPr>
        <w:t>April</w:t>
      </w:r>
      <w:r>
        <w:rPr>
          <w:spacing w:val="-4"/>
          <w:sz w:val="18"/>
          <w:vertAlign w:val="baseline"/>
        </w:rPr>
        <w:t> </w:t>
      </w:r>
      <w:r>
        <w:rPr>
          <w:sz w:val="18"/>
          <w:vertAlign w:val="baseline"/>
        </w:rPr>
        <w:t>3,</w:t>
      </w:r>
      <w:r>
        <w:rPr>
          <w:spacing w:val="-4"/>
          <w:sz w:val="18"/>
          <w:vertAlign w:val="baseline"/>
        </w:rPr>
        <w:t> </w:t>
      </w:r>
      <w:r>
        <w:rPr>
          <w:sz w:val="18"/>
          <w:vertAlign w:val="baseline"/>
        </w:rPr>
        <w:t>2023, </w:t>
      </w:r>
      <w:r>
        <w:rPr>
          <w:spacing w:val="-2"/>
          <w:sz w:val="18"/>
          <w:vertAlign w:val="baseline"/>
        </w:rPr>
        <w:t>https://features.hrw.org/features/features/lgbt_laws.</w:t>
      </w:r>
    </w:p>
    <w:p>
      <w:pPr>
        <w:spacing w:before="1"/>
        <w:ind w:left="463" w:right="0" w:firstLine="0"/>
        <w:jc w:val="left"/>
        <w:rPr>
          <w:sz w:val="18"/>
        </w:rPr>
      </w:pPr>
      <w:r>
        <w:rPr>
          <w:sz w:val="18"/>
          <w:vertAlign w:val="superscript"/>
        </w:rPr>
        <w:t>5</w:t>
      </w:r>
      <w:r>
        <w:rPr>
          <w:spacing w:val="-13"/>
          <w:sz w:val="18"/>
          <w:vertAlign w:val="baseline"/>
        </w:rPr>
        <w:t> </w:t>
      </w:r>
      <w:r>
        <w:rPr>
          <w:spacing w:val="-2"/>
          <w:sz w:val="18"/>
          <w:vertAlign w:val="baseline"/>
        </w:rPr>
        <w:t>“#OUTLAWED.”</w:t>
      </w:r>
    </w:p>
    <w:p>
      <w:pPr>
        <w:spacing w:before="0"/>
        <w:ind w:left="463" w:right="2983" w:hanging="1"/>
        <w:jc w:val="left"/>
        <w:rPr>
          <w:sz w:val="18"/>
        </w:rPr>
      </w:pPr>
      <w:r>
        <w:rPr>
          <w:sz w:val="18"/>
          <w:vertAlign w:val="superscript"/>
        </w:rPr>
        <w:t>6</w:t>
      </w:r>
      <w:r>
        <w:rPr>
          <w:spacing w:val="-13"/>
          <w:sz w:val="18"/>
          <w:vertAlign w:val="baseline"/>
        </w:rPr>
        <w:t> </w:t>
      </w:r>
      <w:r>
        <w:rPr>
          <w:sz w:val="18"/>
          <w:vertAlign w:val="baseline"/>
        </w:rPr>
        <w:t>Hasalyn</w:t>
      </w:r>
      <w:r>
        <w:rPr>
          <w:spacing w:val="-5"/>
          <w:sz w:val="18"/>
          <w:vertAlign w:val="baseline"/>
        </w:rPr>
        <w:t> </w:t>
      </w:r>
      <w:r>
        <w:rPr>
          <w:sz w:val="18"/>
          <w:vertAlign w:val="baseline"/>
        </w:rPr>
        <w:t>Modine,</w:t>
      </w:r>
      <w:r>
        <w:rPr>
          <w:spacing w:val="-4"/>
          <w:sz w:val="18"/>
          <w:vertAlign w:val="baseline"/>
        </w:rPr>
        <w:t> </w:t>
      </w:r>
      <w:r>
        <w:rPr>
          <w:sz w:val="18"/>
          <w:vertAlign w:val="baseline"/>
        </w:rPr>
        <w:t>“A</w:t>
      </w:r>
      <w:r>
        <w:rPr>
          <w:spacing w:val="-3"/>
          <w:sz w:val="18"/>
          <w:vertAlign w:val="baseline"/>
        </w:rPr>
        <w:t> </w:t>
      </w:r>
      <w:r>
        <w:rPr>
          <w:sz w:val="18"/>
          <w:vertAlign w:val="baseline"/>
        </w:rPr>
        <w:t>Short</w:t>
      </w:r>
      <w:r>
        <w:rPr>
          <w:spacing w:val="-4"/>
          <w:sz w:val="18"/>
          <w:vertAlign w:val="baseline"/>
        </w:rPr>
        <w:t> </w:t>
      </w:r>
      <w:r>
        <w:rPr>
          <w:sz w:val="18"/>
          <w:vertAlign w:val="baseline"/>
        </w:rPr>
        <w:t>History</w:t>
      </w:r>
      <w:r>
        <w:rPr>
          <w:spacing w:val="-3"/>
          <w:sz w:val="18"/>
          <w:vertAlign w:val="baseline"/>
        </w:rPr>
        <w:t> </w:t>
      </w:r>
      <w:r>
        <w:rPr>
          <w:sz w:val="18"/>
          <w:vertAlign w:val="baseline"/>
        </w:rPr>
        <w:t>of</w:t>
      </w:r>
      <w:r>
        <w:rPr>
          <w:spacing w:val="-3"/>
          <w:sz w:val="18"/>
          <w:vertAlign w:val="baseline"/>
        </w:rPr>
        <w:t> </w:t>
      </w:r>
      <w:r>
        <w:rPr>
          <w:sz w:val="18"/>
          <w:vertAlign w:val="baseline"/>
        </w:rPr>
        <w:t>LGBTQ</w:t>
      </w:r>
      <w:r>
        <w:rPr>
          <w:spacing w:val="-3"/>
          <w:sz w:val="18"/>
          <w:vertAlign w:val="baseline"/>
        </w:rPr>
        <w:t> </w:t>
      </w:r>
      <w:r>
        <w:rPr>
          <w:sz w:val="18"/>
          <w:vertAlign w:val="baseline"/>
        </w:rPr>
        <w:t>Immigration</w:t>
      </w:r>
      <w:r>
        <w:rPr>
          <w:spacing w:val="-3"/>
          <w:sz w:val="18"/>
          <w:vertAlign w:val="baseline"/>
        </w:rPr>
        <w:t> </w:t>
      </w:r>
      <w:r>
        <w:rPr>
          <w:sz w:val="18"/>
          <w:vertAlign w:val="baseline"/>
        </w:rPr>
        <w:t>Policy,”</w:t>
      </w:r>
      <w:r>
        <w:rPr>
          <w:spacing w:val="-3"/>
          <w:sz w:val="18"/>
          <w:vertAlign w:val="baseline"/>
        </w:rPr>
        <w:t> </w:t>
      </w:r>
      <w:r>
        <w:rPr>
          <w:sz w:val="18"/>
          <w:vertAlign w:val="baseline"/>
        </w:rPr>
        <w:t>Boundless,</w:t>
      </w:r>
      <w:r>
        <w:rPr>
          <w:spacing w:val="-4"/>
          <w:sz w:val="18"/>
          <w:vertAlign w:val="baseline"/>
        </w:rPr>
        <w:t> </w:t>
      </w:r>
      <w:r>
        <w:rPr>
          <w:sz w:val="18"/>
          <w:vertAlign w:val="baseline"/>
        </w:rPr>
        <w:t>June</w:t>
      </w:r>
      <w:r>
        <w:rPr>
          <w:spacing w:val="-3"/>
          <w:sz w:val="18"/>
          <w:vertAlign w:val="baseline"/>
        </w:rPr>
        <w:t> </w:t>
      </w:r>
      <w:r>
        <w:rPr>
          <w:sz w:val="18"/>
          <w:vertAlign w:val="baseline"/>
        </w:rPr>
        <w:t>6,</w:t>
      </w:r>
      <w:r>
        <w:rPr>
          <w:spacing w:val="-4"/>
          <w:sz w:val="18"/>
          <w:vertAlign w:val="baseline"/>
        </w:rPr>
        <w:t> </w:t>
      </w:r>
      <w:r>
        <w:rPr>
          <w:sz w:val="18"/>
          <w:vertAlign w:val="baseline"/>
        </w:rPr>
        <w:t>2022, </w:t>
      </w:r>
      <w:r>
        <w:rPr>
          <w:spacing w:val="-2"/>
          <w:sz w:val="18"/>
          <w:vertAlign w:val="baseline"/>
        </w:rPr>
        <w:t>https://</w:t>
      </w:r>
      <w:hyperlink r:id="rId582">
        <w:r>
          <w:rPr>
            <w:spacing w:val="-2"/>
            <w:sz w:val="18"/>
            <w:vertAlign w:val="baseline"/>
          </w:rPr>
          <w:t>www.boundless.com/blog/a-short-history-lgbtq-immigration-policy/.</w:t>
        </w:r>
      </w:hyperlink>
    </w:p>
    <w:p>
      <w:pPr>
        <w:spacing w:before="0"/>
        <w:ind w:left="463" w:right="731" w:hanging="1"/>
        <w:jc w:val="left"/>
        <w:rPr>
          <w:sz w:val="18"/>
        </w:rPr>
      </w:pPr>
      <w:r>
        <w:rPr>
          <w:sz w:val="18"/>
          <w:vertAlign w:val="superscript"/>
        </w:rPr>
        <w:t>7</w:t>
      </w:r>
      <w:r>
        <w:rPr>
          <w:spacing w:val="-13"/>
          <w:sz w:val="18"/>
          <w:vertAlign w:val="baseline"/>
        </w:rPr>
        <w:t> </w:t>
      </w:r>
      <w:r>
        <w:rPr>
          <w:sz w:val="18"/>
          <w:vertAlign w:val="baseline"/>
        </w:rPr>
        <w:t>Sharita</w:t>
      </w:r>
      <w:r>
        <w:rPr>
          <w:spacing w:val="-1"/>
          <w:sz w:val="18"/>
          <w:vertAlign w:val="baseline"/>
        </w:rPr>
        <w:t> </w:t>
      </w:r>
      <w:r>
        <w:rPr>
          <w:sz w:val="18"/>
          <w:vertAlign w:val="baseline"/>
        </w:rPr>
        <w:t>Gruberg,</w:t>
      </w:r>
      <w:r>
        <w:rPr>
          <w:spacing w:val="-2"/>
          <w:sz w:val="18"/>
          <w:vertAlign w:val="baseline"/>
        </w:rPr>
        <w:t> </w:t>
      </w:r>
      <w:r>
        <w:rPr>
          <w:sz w:val="18"/>
          <w:vertAlign w:val="baseline"/>
        </w:rPr>
        <w:t>“On</w:t>
      </w:r>
      <w:r>
        <w:rPr>
          <w:spacing w:val="-1"/>
          <w:sz w:val="18"/>
          <w:vertAlign w:val="baseline"/>
        </w:rPr>
        <w:t> </w:t>
      </w:r>
      <w:r>
        <w:rPr>
          <w:sz w:val="18"/>
          <w:vertAlign w:val="baseline"/>
        </w:rPr>
        <w:t>the</w:t>
      </w:r>
      <w:r>
        <w:rPr>
          <w:spacing w:val="-1"/>
          <w:sz w:val="18"/>
          <w:vertAlign w:val="baseline"/>
        </w:rPr>
        <w:t> </w:t>
      </w:r>
      <w:r>
        <w:rPr>
          <w:sz w:val="18"/>
          <w:vertAlign w:val="baseline"/>
        </w:rPr>
        <w:t>50th</w:t>
      </w:r>
      <w:r>
        <w:rPr>
          <w:spacing w:val="-2"/>
          <w:sz w:val="18"/>
          <w:vertAlign w:val="baseline"/>
        </w:rPr>
        <w:t> </w:t>
      </w:r>
      <w:r>
        <w:rPr>
          <w:sz w:val="18"/>
          <w:vertAlign w:val="baseline"/>
        </w:rPr>
        <w:t>Anniversary</w:t>
      </w:r>
      <w:r>
        <w:rPr>
          <w:spacing w:val="-1"/>
          <w:sz w:val="18"/>
          <w:vertAlign w:val="baseline"/>
        </w:rPr>
        <w:t> </w:t>
      </w:r>
      <w:r>
        <w:rPr>
          <w:sz w:val="18"/>
          <w:vertAlign w:val="baseline"/>
        </w:rPr>
        <w:t>of</w:t>
      </w:r>
      <w:r>
        <w:rPr>
          <w:spacing w:val="-1"/>
          <w:sz w:val="18"/>
          <w:vertAlign w:val="baseline"/>
        </w:rPr>
        <w:t> </w:t>
      </w:r>
      <w:r>
        <w:rPr>
          <w:sz w:val="18"/>
          <w:vertAlign w:val="baseline"/>
        </w:rPr>
        <w:t>the</w:t>
      </w:r>
      <w:r>
        <w:rPr>
          <w:spacing w:val="-1"/>
          <w:sz w:val="18"/>
          <w:vertAlign w:val="baseline"/>
        </w:rPr>
        <w:t> </w:t>
      </w:r>
      <w:r>
        <w:rPr>
          <w:sz w:val="18"/>
          <w:vertAlign w:val="baseline"/>
        </w:rPr>
        <w:t>Immigration</w:t>
      </w:r>
      <w:r>
        <w:rPr>
          <w:spacing w:val="-2"/>
          <w:sz w:val="18"/>
          <w:vertAlign w:val="baseline"/>
        </w:rPr>
        <w:t> </w:t>
      </w:r>
      <w:r>
        <w:rPr>
          <w:sz w:val="18"/>
          <w:vertAlign w:val="baseline"/>
        </w:rPr>
        <w:t>and</w:t>
      </w:r>
      <w:r>
        <w:rPr>
          <w:spacing w:val="-1"/>
          <w:sz w:val="18"/>
          <w:vertAlign w:val="baseline"/>
        </w:rPr>
        <w:t> </w:t>
      </w:r>
      <w:r>
        <w:rPr>
          <w:sz w:val="18"/>
          <w:vertAlign w:val="baseline"/>
        </w:rPr>
        <w:t>Nationality</w:t>
      </w:r>
      <w:r>
        <w:rPr>
          <w:spacing w:val="-1"/>
          <w:sz w:val="18"/>
          <w:vertAlign w:val="baseline"/>
        </w:rPr>
        <w:t> </w:t>
      </w:r>
      <w:r>
        <w:rPr>
          <w:sz w:val="18"/>
          <w:vertAlign w:val="baseline"/>
        </w:rPr>
        <w:t>Act,</w:t>
      </w:r>
      <w:r>
        <w:rPr>
          <w:spacing w:val="-2"/>
          <w:sz w:val="18"/>
          <w:vertAlign w:val="baseline"/>
        </w:rPr>
        <w:t> </w:t>
      </w:r>
      <w:r>
        <w:rPr>
          <w:sz w:val="18"/>
          <w:vertAlign w:val="baseline"/>
        </w:rPr>
        <w:t>Changes</w:t>
      </w:r>
      <w:r>
        <w:rPr>
          <w:spacing w:val="-1"/>
          <w:sz w:val="18"/>
          <w:vertAlign w:val="baseline"/>
        </w:rPr>
        <w:t> </w:t>
      </w:r>
      <w:r>
        <w:rPr>
          <w:sz w:val="18"/>
          <w:vertAlign w:val="baseline"/>
        </w:rPr>
        <w:t>Are</w:t>
      </w:r>
      <w:r>
        <w:rPr>
          <w:spacing w:val="-1"/>
          <w:sz w:val="18"/>
          <w:vertAlign w:val="baseline"/>
        </w:rPr>
        <w:t> </w:t>
      </w:r>
      <w:r>
        <w:rPr>
          <w:sz w:val="18"/>
          <w:vertAlign w:val="baseline"/>
        </w:rPr>
        <w:t>Needed</w:t>
      </w:r>
      <w:r>
        <w:rPr>
          <w:spacing w:val="-1"/>
          <w:sz w:val="18"/>
          <w:vertAlign w:val="baseline"/>
        </w:rPr>
        <w:t> </w:t>
      </w:r>
      <w:r>
        <w:rPr>
          <w:sz w:val="18"/>
          <w:vertAlign w:val="baseline"/>
        </w:rPr>
        <w:t>to</w:t>
      </w:r>
      <w:r>
        <w:rPr>
          <w:spacing w:val="-1"/>
          <w:sz w:val="18"/>
          <w:vertAlign w:val="baseline"/>
        </w:rPr>
        <w:t> </w:t>
      </w:r>
      <w:r>
        <w:rPr>
          <w:sz w:val="18"/>
          <w:vertAlign w:val="baseline"/>
        </w:rPr>
        <w:t>Protect</w:t>
      </w:r>
      <w:r>
        <w:rPr>
          <w:spacing w:val="-2"/>
          <w:sz w:val="18"/>
          <w:vertAlign w:val="baseline"/>
        </w:rPr>
        <w:t> </w:t>
      </w:r>
      <w:r>
        <w:rPr>
          <w:sz w:val="18"/>
          <w:vertAlign w:val="baseline"/>
        </w:rPr>
        <w:t>LGBT Immigrants - Center for American Progress,” Center for American Progress, March 23, 2015, </w:t>
      </w:r>
      <w:r>
        <w:rPr>
          <w:spacing w:val="-2"/>
          <w:sz w:val="18"/>
          <w:vertAlign w:val="baseline"/>
        </w:rPr>
        <w:t>https://</w:t>
      </w:r>
      <w:hyperlink r:id="rId583">
        <w:r>
          <w:rPr>
            <w:spacing w:val="-2"/>
            <w:sz w:val="18"/>
            <w:vertAlign w:val="baseline"/>
          </w:rPr>
          <w:t>www.americanprogress.org/article/on-the-50th-anniversary-of-the-immigration-and-nationality-act-changes-are-</w:t>
        </w:r>
      </w:hyperlink>
      <w:r>
        <w:rPr>
          <w:sz w:val="18"/>
          <w:vertAlign w:val="baseline"/>
        </w:rPr>
        <w:t> </w:t>
      </w:r>
      <w:r>
        <w:rPr>
          <w:spacing w:val="-2"/>
          <w:sz w:val="18"/>
          <w:vertAlign w:val="baseline"/>
        </w:rPr>
        <w:t>needed-to-protect-lgbt-immigrants/.</w:t>
      </w:r>
    </w:p>
    <w:p>
      <w:pPr>
        <w:spacing w:line="219" w:lineRule="exact" w:before="0"/>
        <w:ind w:left="463" w:right="0" w:firstLine="0"/>
        <w:jc w:val="left"/>
        <w:rPr>
          <w:sz w:val="18"/>
        </w:rPr>
      </w:pPr>
      <w:r>
        <w:rPr>
          <w:sz w:val="18"/>
          <w:vertAlign w:val="superscript"/>
        </w:rPr>
        <w:t>8</w:t>
      </w:r>
      <w:r>
        <w:rPr>
          <w:spacing w:val="-13"/>
          <w:sz w:val="18"/>
          <w:vertAlign w:val="baseline"/>
        </w:rPr>
        <w:t> </w:t>
      </w:r>
      <w:r>
        <w:rPr>
          <w:spacing w:val="-2"/>
          <w:sz w:val="18"/>
          <w:vertAlign w:val="baseline"/>
        </w:rPr>
        <w:t>Gruberg.</w:t>
      </w:r>
    </w:p>
    <w:p>
      <w:pPr>
        <w:spacing w:before="0"/>
        <w:ind w:left="463" w:right="1538" w:hanging="1"/>
        <w:jc w:val="left"/>
        <w:rPr>
          <w:sz w:val="18"/>
        </w:rPr>
      </w:pPr>
      <w:r>
        <w:rPr>
          <w:sz w:val="18"/>
          <w:vertAlign w:val="superscript"/>
        </w:rPr>
        <w:t>9</w:t>
      </w:r>
      <w:r>
        <w:rPr>
          <w:spacing w:val="-13"/>
          <w:sz w:val="18"/>
          <w:vertAlign w:val="baseline"/>
        </w:rPr>
        <w:t> </w:t>
      </w:r>
      <w:r>
        <w:rPr>
          <w:sz w:val="18"/>
          <w:vertAlign w:val="baseline"/>
        </w:rPr>
        <w:t>Devin</w:t>
      </w:r>
      <w:r>
        <w:rPr>
          <w:spacing w:val="-4"/>
          <w:sz w:val="18"/>
          <w:vertAlign w:val="baseline"/>
        </w:rPr>
        <w:t> </w:t>
      </w:r>
      <w:r>
        <w:rPr>
          <w:sz w:val="18"/>
          <w:vertAlign w:val="baseline"/>
        </w:rPr>
        <w:t>Dwyer,</w:t>
      </w:r>
      <w:r>
        <w:rPr>
          <w:spacing w:val="-3"/>
          <w:sz w:val="18"/>
          <w:vertAlign w:val="baseline"/>
        </w:rPr>
        <w:t> </w:t>
      </w:r>
      <w:r>
        <w:rPr>
          <w:sz w:val="18"/>
          <w:vertAlign w:val="baseline"/>
        </w:rPr>
        <w:t>“U.S.</w:t>
      </w:r>
      <w:r>
        <w:rPr>
          <w:spacing w:val="-2"/>
          <w:sz w:val="18"/>
          <w:vertAlign w:val="baseline"/>
        </w:rPr>
        <w:t> </w:t>
      </w:r>
      <w:r>
        <w:rPr>
          <w:sz w:val="18"/>
          <w:vertAlign w:val="baseline"/>
        </w:rPr>
        <w:t>Ban</w:t>
      </w:r>
      <w:r>
        <w:rPr>
          <w:spacing w:val="-2"/>
          <w:sz w:val="18"/>
          <w:vertAlign w:val="baseline"/>
        </w:rPr>
        <w:t> </w:t>
      </w:r>
      <w:r>
        <w:rPr>
          <w:sz w:val="18"/>
          <w:vertAlign w:val="baseline"/>
        </w:rPr>
        <w:t>on</w:t>
      </w:r>
      <w:r>
        <w:rPr>
          <w:spacing w:val="-2"/>
          <w:sz w:val="18"/>
          <w:vertAlign w:val="baseline"/>
        </w:rPr>
        <w:t> </w:t>
      </w:r>
      <w:r>
        <w:rPr>
          <w:sz w:val="18"/>
          <w:vertAlign w:val="baseline"/>
        </w:rPr>
        <w:t>HIV-Positive</w:t>
      </w:r>
      <w:r>
        <w:rPr>
          <w:spacing w:val="-2"/>
          <w:sz w:val="18"/>
          <w:vertAlign w:val="baseline"/>
        </w:rPr>
        <w:t> </w:t>
      </w:r>
      <w:r>
        <w:rPr>
          <w:sz w:val="18"/>
          <w:vertAlign w:val="baseline"/>
        </w:rPr>
        <w:t>Visitors,</w:t>
      </w:r>
      <w:r>
        <w:rPr>
          <w:spacing w:val="-2"/>
          <w:sz w:val="18"/>
          <w:vertAlign w:val="baseline"/>
        </w:rPr>
        <w:t> </w:t>
      </w:r>
      <w:r>
        <w:rPr>
          <w:sz w:val="18"/>
          <w:vertAlign w:val="baseline"/>
        </w:rPr>
        <w:t>Immigrants</w:t>
      </w:r>
      <w:r>
        <w:rPr>
          <w:spacing w:val="-2"/>
          <w:sz w:val="18"/>
          <w:vertAlign w:val="baseline"/>
        </w:rPr>
        <w:t> </w:t>
      </w:r>
      <w:r>
        <w:rPr>
          <w:sz w:val="18"/>
          <w:vertAlign w:val="baseline"/>
        </w:rPr>
        <w:t>Expires</w:t>
      </w:r>
      <w:r>
        <w:rPr>
          <w:spacing w:val="-2"/>
          <w:sz w:val="18"/>
          <w:vertAlign w:val="baseline"/>
        </w:rPr>
        <w:t> </w:t>
      </w:r>
      <w:r>
        <w:rPr>
          <w:sz w:val="18"/>
          <w:vertAlign w:val="baseline"/>
        </w:rPr>
        <w:t>-</w:t>
      </w:r>
      <w:r>
        <w:rPr>
          <w:spacing w:val="-2"/>
          <w:sz w:val="18"/>
          <w:vertAlign w:val="baseline"/>
        </w:rPr>
        <w:t> </w:t>
      </w:r>
      <w:r>
        <w:rPr>
          <w:sz w:val="18"/>
          <w:vertAlign w:val="baseline"/>
        </w:rPr>
        <w:t>ABC</w:t>
      </w:r>
      <w:r>
        <w:rPr>
          <w:spacing w:val="-4"/>
          <w:sz w:val="18"/>
          <w:vertAlign w:val="baseline"/>
        </w:rPr>
        <w:t> </w:t>
      </w:r>
      <w:r>
        <w:rPr>
          <w:sz w:val="18"/>
          <w:vertAlign w:val="baseline"/>
        </w:rPr>
        <w:t>News,”</w:t>
      </w:r>
      <w:r>
        <w:rPr>
          <w:spacing w:val="-3"/>
          <w:sz w:val="18"/>
          <w:vertAlign w:val="baseline"/>
        </w:rPr>
        <w:t> </w:t>
      </w:r>
      <w:r>
        <w:rPr>
          <w:sz w:val="18"/>
          <w:vertAlign w:val="baseline"/>
        </w:rPr>
        <w:t>ABC</w:t>
      </w:r>
      <w:r>
        <w:rPr>
          <w:spacing w:val="-2"/>
          <w:sz w:val="18"/>
          <w:vertAlign w:val="baseline"/>
        </w:rPr>
        <w:t> </w:t>
      </w:r>
      <w:r>
        <w:rPr>
          <w:sz w:val="18"/>
          <w:vertAlign w:val="baseline"/>
        </w:rPr>
        <w:t>News,</w:t>
      </w:r>
      <w:r>
        <w:rPr>
          <w:spacing w:val="-3"/>
          <w:sz w:val="18"/>
          <w:vertAlign w:val="baseline"/>
        </w:rPr>
        <w:t> </w:t>
      </w:r>
      <w:r>
        <w:rPr>
          <w:sz w:val="18"/>
          <w:vertAlign w:val="baseline"/>
        </w:rPr>
        <w:t>January</w:t>
      </w:r>
      <w:r>
        <w:rPr>
          <w:spacing w:val="-2"/>
          <w:sz w:val="18"/>
          <w:vertAlign w:val="baseline"/>
        </w:rPr>
        <w:t> </w:t>
      </w:r>
      <w:r>
        <w:rPr>
          <w:sz w:val="18"/>
          <w:vertAlign w:val="baseline"/>
        </w:rPr>
        <w:t>5,</w:t>
      </w:r>
      <w:r>
        <w:rPr>
          <w:spacing w:val="-3"/>
          <w:sz w:val="18"/>
          <w:vertAlign w:val="baseline"/>
        </w:rPr>
        <w:t> </w:t>
      </w:r>
      <w:r>
        <w:rPr>
          <w:sz w:val="18"/>
          <w:vertAlign w:val="baseline"/>
        </w:rPr>
        <w:t>2010, </w:t>
      </w:r>
      <w:r>
        <w:rPr>
          <w:spacing w:val="-2"/>
          <w:sz w:val="18"/>
          <w:vertAlign w:val="baseline"/>
        </w:rPr>
        <w:t>https://abcnews.go.com/Politics/united-states-ends-22-year-hiv-travel-ban/story?id=9482817.</w:t>
      </w:r>
    </w:p>
    <w:p>
      <w:pPr>
        <w:spacing w:before="1"/>
        <w:ind w:left="463" w:right="271" w:hanging="1"/>
        <w:jc w:val="left"/>
        <w:rPr>
          <w:sz w:val="18"/>
        </w:rPr>
      </w:pPr>
      <w:r>
        <w:rPr>
          <w:sz w:val="18"/>
          <w:vertAlign w:val="superscript"/>
        </w:rPr>
        <w:t>10</w:t>
      </w:r>
      <w:r>
        <w:rPr>
          <w:spacing w:val="-13"/>
          <w:sz w:val="18"/>
          <w:vertAlign w:val="baseline"/>
        </w:rPr>
        <w:t> </w:t>
      </w:r>
      <w:r>
        <w:rPr>
          <w:sz w:val="18"/>
          <w:vertAlign w:val="baseline"/>
        </w:rPr>
        <w:t>Gruberg,</w:t>
      </w:r>
      <w:r>
        <w:rPr>
          <w:spacing w:val="-4"/>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50th</w:t>
      </w:r>
      <w:r>
        <w:rPr>
          <w:spacing w:val="-2"/>
          <w:sz w:val="18"/>
          <w:vertAlign w:val="baseline"/>
        </w:rPr>
        <w:t> </w:t>
      </w:r>
      <w:r>
        <w:rPr>
          <w:sz w:val="18"/>
          <w:vertAlign w:val="baseline"/>
        </w:rPr>
        <w:t>Anniversary</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Immigration</w:t>
      </w:r>
      <w:r>
        <w:rPr>
          <w:spacing w:val="-2"/>
          <w:sz w:val="18"/>
          <w:vertAlign w:val="baseline"/>
        </w:rPr>
        <w:t> </w:t>
      </w:r>
      <w:r>
        <w:rPr>
          <w:sz w:val="18"/>
          <w:vertAlign w:val="baseline"/>
        </w:rPr>
        <w:t>and</w:t>
      </w:r>
      <w:r>
        <w:rPr>
          <w:spacing w:val="-2"/>
          <w:sz w:val="18"/>
          <w:vertAlign w:val="baseline"/>
        </w:rPr>
        <w:t> </w:t>
      </w:r>
      <w:r>
        <w:rPr>
          <w:sz w:val="18"/>
          <w:vertAlign w:val="baseline"/>
        </w:rPr>
        <w:t>Nationality</w:t>
      </w:r>
      <w:r>
        <w:rPr>
          <w:spacing w:val="-2"/>
          <w:sz w:val="18"/>
          <w:vertAlign w:val="baseline"/>
        </w:rPr>
        <w:t> </w:t>
      </w:r>
      <w:r>
        <w:rPr>
          <w:sz w:val="18"/>
          <w:vertAlign w:val="baseline"/>
        </w:rPr>
        <w:t>Act,</w:t>
      </w:r>
      <w:r>
        <w:rPr>
          <w:spacing w:val="-3"/>
          <w:sz w:val="18"/>
          <w:vertAlign w:val="baseline"/>
        </w:rPr>
        <w:t> </w:t>
      </w:r>
      <w:r>
        <w:rPr>
          <w:sz w:val="18"/>
          <w:vertAlign w:val="baseline"/>
        </w:rPr>
        <w:t>Changes</w:t>
      </w:r>
      <w:r>
        <w:rPr>
          <w:spacing w:val="-3"/>
          <w:sz w:val="18"/>
          <w:vertAlign w:val="baseline"/>
        </w:rPr>
        <w:t> </w:t>
      </w:r>
      <w:r>
        <w:rPr>
          <w:sz w:val="18"/>
          <w:vertAlign w:val="baseline"/>
        </w:rPr>
        <w:t>Are</w:t>
      </w:r>
      <w:r>
        <w:rPr>
          <w:spacing w:val="-2"/>
          <w:sz w:val="18"/>
          <w:vertAlign w:val="baseline"/>
        </w:rPr>
        <w:t> </w:t>
      </w:r>
      <w:r>
        <w:rPr>
          <w:sz w:val="18"/>
          <w:vertAlign w:val="baseline"/>
        </w:rPr>
        <w:t>Needed</w:t>
      </w:r>
      <w:r>
        <w:rPr>
          <w:spacing w:val="-2"/>
          <w:sz w:val="18"/>
          <w:vertAlign w:val="baseline"/>
        </w:rPr>
        <w:t> </w:t>
      </w:r>
      <w:r>
        <w:rPr>
          <w:sz w:val="18"/>
          <w:vertAlign w:val="baseline"/>
        </w:rPr>
        <w:t>to</w:t>
      </w:r>
      <w:r>
        <w:rPr>
          <w:spacing w:val="-2"/>
          <w:sz w:val="18"/>
          <w:vertAlign w:val="baseline"/>
        </w:rPr>
        <w:t> </w:t>
      </w:r>
      <w:r>
        <w:rPr>
          <w:sz w:val="18"/>
          <w:vertAlign w:val="baseline"/>
        </w:rPr>
        <w:t>Protect</w:t>
      </w:r>
      <w:r>
        <w:rPr>
          <w:spacing w:val="-3"/>
          <w:sz w:val="18"/>
          <w:vertAlign w:val="baseline"/>
        </w:rPr>
        <w:t> </w:t>
      </w:r>
      <w:r>
        <w:rPr>
          <w:sz w:val="18"/>
          <w:vertAlign w:val="baseline"/>
        </w:rPr>
        <w:t>LGBT</w:t>
      </w:r>
      <w:r>
        <w:rPr>
          <w:spacing w:val="-2"/>
          <w:sz w:val="18"/>
          <w:vertAlign w:val="baseline"/>
        </w:rPr>
        <w:t> </w:t>
      </w:r>
      <w:r>
        <w:rPr>
          <w:sz w:val="18"/>
          <w:vertAlign w:val="baseline"/>
        </w:rPr>
        <w:t>Immigrants</w:t>
      </w:r>
      <w:r>
        <w:rPr>
          <w:spacing w:val="-2"/>
          <w:sz w:val="18"/>
          <w:vertAlign w:val="baseline"/>
        </w:rPr>
        <w:t> </w:t>
      </w:r>
      <w:r>
        <w:rPr>
          <w:sz w:val="18"/>
          <w:vertAlign w:val="baseline"/>
        </w:rPr>
        <w:t>- Center for American Progress.”</w:t>
      </w:r>
    </w:p>
    <w:p>
      <w:pPr>
        <w:spacing w:before="0"/>
        <w:ind w:left="463" w:right="366" w:hanging="1"/>
        <w:jc w:val="left"/>
        <w:rPr>
          <w:sz w:val="18"/>
        </w:rPr>
      </w:pPr>
      <w:r>
        <w:rPr>
          <w:sz w:val="18"/>
          <w:vertAlign w:val="superscript"/>
        </w:rPr>
        <w:t>11</w:t>
      </w:r>
      <w:r>
        <w:rPr>
          <w:spacing w:val="-13"/>
          <w:sz w:val="18"/>
          <w:vertAlign w:val="baseline"/>
        </w:rPr>
        <w:t> </w:t>
      </w:r>
      <w:r>
        <w:rPr>
          <w:sz w:val="18"/>
          <w:vertAlign w:val="baseline"/>
        </w:rPr>
        <w:t>MIRA</w:t>
      </w:r>
      <w:r>
        <w:rPr>
          <w:spacing w:val="-8"/>
          <w:sz w:val="18"/>
          <w:vertAlign w:val="baseline"/>
        </w:rPr>
        <w:t> </w:t>
      </w:r>
      <w:r>
        <w:rPr>
          <w:sz w:val="18"/>
          <w:vertAlign w:val="baseline"/>
        </w:rPr>
        <w:t>Coalition,</w:t>
      </w:r>
      <w:r>
        <w:rPr>
          <w:spacing w:val="-6"/>
          <w:sz w:val="18"/>
          <w:vertAlign w:val="baseline"/>
        </w:rPr>
        <w:t> </w:t>
      </w:r>
      <w:r>
        <w:rPr>
          <w:sz w:val="18"/>
          <w:vertAlign w:val="baseline"/>
        </w:rPr>
        <w:t>“Immigrants</w:t>
      </w:r>
      <w:r>
        <w:rPr>
          <w:spacing w:val="-6"/>
          <w:sz w:val="18"/>
          <w:vertAlign w:val="baseline"/>
        </w:rPr>
        <w:t> </w:t>
      </w:r>
      <w:r>
        <w:rPr>
          <w:sz w:val="18"/>
          <w:vertAlign w:val="baseline"/>
        </w:rPr>
        <w:t>Are</w:t>
      </w:r>
      <w:r>
        <w:rPr>
          <w:spacing w:val="-5"/>
          <w:sz w:val="18"/>
          <w:vertAlign w:val="baseline"/>
        </w:rPr>
        <w:t> </w:t>
      </w:r>
      <w:r>
        <w:rPr>
          <w:sz w:val="18"/>
          <w:vertAlign w:val="baseline"/>
        </w:rPr>
        <w:t>Our</w:t>
      </w:r>
      <w:r>
        <w:rPr>
          <w:spacing w:val="-6"/>
          <w:sz w:val="18"/>
          <w:vertAlign w:val="baseline"/>
        </w:rPr>
        <w:t> </w:t>
      </w:r>
      <w:r>
        <w:rPr>
          <w:sz w:val="18"/>
          <w:vertAlign w:val="baseline"/>
        </w:rPr>
        <w:t>Commonwealth,”</w:t>
      </w:r>
      <w:r>
        <w:rPr>
          <w:spacing w:val="-5"/>
          <w:sz w:val="18"/>
          <w:vertAlign w:val="baseline"/>
        </w:rPr>
        <w:t> </w:t>
      </w:r>
      <w:r>
        <w:rPr>
          <w:sz w:val="18"/>
          <w:vertAlign w:val="baseline"/>
        </w:rPr>
        <w:t>2019,</w:t>
      </w:r>
      <w:r>
        <w:rPr>
          <w:spacing w:val="-5"/>
          <w:sz w:val="18"/>
          <w:vertAlign w:val="baseline"/>
        </w:rPr>
        <w:t> </w:t>
      </w:r>
      <w:r>
        <w:rPr>
          <w:sz w:val="18"/>
          <w:vertAlign w:val="baseline"/>
        </w:rPr>
        <w:t>https://miracoalition.org/wp-content/uploads/2020/01/Mass- </w:t>
      </w:r>
      <w:r>
        <w:rPr>
          <w:spacing w:val="-2"/>
          <w:sz w:val="18"/>
          <w:vertAlign w:val="baseline"/>
        </w:rPr>
        <w:t>Immigrant-Facts-Jan2019.pdf.</w:t>
      </w:r>
    </w:p>
    <w:p>
      <w:pPr>
        <w:spacing w:before="0"/>
        <w:ind w:left="463" w:right="366" w:firstLine="0"/>
        <w:jc w:val="left"/>
        <w:rPr>
          <w:sz w:val="18"/>
        </w:rPr>
      </w:pPr>
      <w:r>
        <w:rPr>
          <w:sz w:val="18"/>
          <w:vertAlign w:val="superscript"/>
        </w:rPr>
        <w:t>12</w:t>
      </w:r>
      <w:r>
        <w:rPr>
          <w:spacing w:val="-2"/>
          <w:sz w:val="18"/>
          <w:vertAlign w:val="baseline"/>
        </w:rPr>
        <w:t> </w:t>
      </w:r>
      <w:r>
        <w:rPr>
          <w:sz w:val="18"/>
          <w:vertAlign w:val="baseline"/>
        </w:rPr>
        <w:t>Russ</w:t>
      </w:r>
      <w:r>
        <w:rPr>
          <w:spacing w:val="-2"/>
          <w:sz w:val="18"/>
          <w:vertAlign w:val="baseline"/>
        </w:rPr>
        <w:t> </w:t>
      </w:r>
      <w:r>
        <w:rPr>
          <w:sz w:val="18"/>
          <w:vertAlign w:val="baseline"/>
        </w:rPr>
        <w:t>Lopez,</w:t>
      </w:r>
      <w:r>
        <w:rPr>
          <w:spacing w:val="-3"/>
          <w:sz w:val="18"/>
          <w:vertAlign w:val="baseline"/>
        </w:rPr>
        <w:t> </w:t>
      </w:r>
      <w:r>
        <w:rPr>
          <w:i/>
          <w:sz w:val="18"/>
          <w:vertAlign w:val="baseline"/>
        </w:rPr>
        <w:t>The</w:t>
      </w:r>
      <w:r>
        <w:rPr>
          <w:i/>
          <w:spacing w:val="-2"/>
          <w:sz w:val="18"/>
          <w:vertAlign w:val="baseline"/>
        </w:rPr>
        <w:t> </w:t>
      </w:r>
      <w:r>
        <w:rPr>
          <w:i/>
          <w:sz w:val="18"/>
          <w:vertAlign w:val="baseline"/>
        </w:rPr>
        <w:t>Hub</w:t>
      </w:r>
      <w:r>
        <w:rPr>
          <w:i/>
          <w:spacing w:val="-3"/>
          <w:sz w:val="18"/>
          <w:vertAlign w:val="baseline"/>
        </w:rPr>
        <w:t> </w:t>
      </w:r>
      <w:r>
        <w:rPr>
          <w:i/>
          <w:sz w:val="18"/>
          <w:vertAlign w:val="baseline"/>
        </w:rPr>
        <w:t>of</w:t>
      </w:r>
      <w:r>
        <w:rPr>
          <w:i/>
          <w:spacing w:val="-2"/>
          <w:sz w:val="18"/>
          <w:vertAlign w:val="baseline"/>
        </w:rPr>
        <w:t> </w:t>
      </w:r>
      <w:r>
        <w:rPr>
          <w:i/>
          <w:sz w:val="18"/>
          <w:vertAlign w:val="baseline"/>
        </w:rPr>
        <w:t>the</w:t>
      </w:r>
      <w:r>
        <w:rPr>
          <w:i/>
          <w:spacing w:val="-2"/>
          <w:sz w:val="18"/>
          <w:vertAlign w:val="baseline"/>
        </w:rPr>
        <w:t> </w:t>
      </w:r>
      <w:r>
        <w:rPr>
          <w:i/>
          <w:sz w:val="18"/>
          <w:vertAlign w:val="baseline"/>
        </w:rPr>
        <w:t>Gay</w:t>
      </w:r>
      <w:r>
        <w:rPr>
          <w:i/>
          <w:spacing w:val="-2"/>
          <w:sz w:val="18"/>
          <w:vertAlign w:val="baseline"/>
        </w:rPr>
        <w:t> </w:t>
      </w:r>
      <w:r>
        <w:rPr>
          <w:i/>
          <w:sz w:val="18"/>
          <w:vertAlign w:val="baseline"/>
        </w:rPr>
        <w:t>Universe:</w:t>
      </w:r>
      <w:r>
        <w:rPr>
          <w:i/>
          <w:spacing w:val="-2"/>
          <w:sz w:val="18"/>
          <w:vertAlign w:val="baseline"/>
        </w:rPr>
        <w:t> </w:t>
      </w:r>
      <w:r>
        <w:rPr>
          <w:i/>
          <w:sz w:val="18"/>
          <w:vertAlign w:val="baseline"/>
        </w:rPr>
        <w:t>An</w:t>
      </w:r>
      <w:r>
        <w:rPr>
          <w:i/>
          <w:spacing w:val="-3"/>
          <w:sz w:val="18"/>
          <w:vertAlign w:val="baseline"/>
        </w:rPr>
        <w:t> </w:t>
      </w:r>
      <w:r>
        <w:rPr>
          <w:i/>
          <w:sz w:val="18"/>
          <w:vertAlign w:val="baseline"/>
        </w:rPr>
        <w:t>LGBTQ</w:t>
      </w:r>
      <w:r>
        <w:rPr>
          <w:i/>
          <w:spacing w:val="-2"/>
          <w:sz w:val="18"/>
          <w:vertAlign w:val="baseline"/>
        </w:rPr>
        <w:t> </w:t>
      </w:r>
      <w:r>
        <w:rPr>
          <w:i/>
          <w:sz w:val="18"/>
          <w:vertAlign w:val="baseline"/>
        </w:rPr>
        <w:t>History</w:t>
      </w:r>
      <w:r>
        <w:rPr>
          <w:i/>
          <w:spacing w:val="-2"/>
          <w:sz w:val="18"/>
          <w:vertAlign w:val="baseline"/>
        </w:rPr>
        <w:t> </w:t>
      </w:r>
      <w:r>
        <w:rPr>
          <w:i/>
          <w:sz w:val="18"/>
          <w:vertAlign w:val="baseline"/>
        </w:rPr>
        <w:t>of</w:t>
      </w:r>
      <w:r>
        <w:rPr>
          <w:i/>
          <w:spacing w:val="-2"/>
          <w:sz w:val="18"/>
          <w:vertAlign w:val="baseline"/>
        </w:rPr>
        <w:t> </w:t>
      </w:r>
      <w:r>
        <w:rPr>
          <w:i/>
          <w:sz w:val="18"/>
          <w:vertAlign w:val="baseline"/>
        </w:rPr>
        <w:t>Boston,</w:t>
      </w:r>
      <w:r>
        <w:rPr>
          <w:i/>
          <w:spacing w:val="-3"/>
          <w:sz w:val="18"/>
          <w:vertAlign w:val="baseline"/>
        </w:rPr>
        <w:t> </w:t>
      </w:r>
      <w:r>
        <w:rPr>
          <w:i/>
          <w:sz w:val="18"/>
          <w:vertAlign w:val="baseline"/>
        </w:rPr>
        <w:t>Provincetown,</w:t>
      </w:r>
      <w:r>
        <w:rPr>
          <w:i/>
          <w:spacing w:val="-3"/>
          <w:sz w:val="18"/>
          <w:vertAlign w:val="baseline"/>
        </w:rPr>
        <w:t> </w:t>
      </w:r>
      <w:r>
        <w:rPr>
          <w:i/>
          <w:sz w:val="18"/>
          <w:vertAlign w:val="baseline"/>
        </w:rPr>
        <w:t>and</w:t>
      </w:r>
      <w:r>
        <w:rPr>
          <w:i/>
          <w:spacing w:val="-3"/>
          <w:sz w:val="18"/>
          <w:vertAlign w:val="baseline"/>
        </w:rPr>
        <w:t> </w:t>
      </w:r>
      <w:r>
        <w:rPr>
          <w:i/>
          <w:sz w:val="18"/>
          <w:vertAlign w:val="baseline"/>
        </w:rPr>
        <w:t>Beyond</w:t>
      </w:r>
      <w:r>
        <w:rPr>
          <w:sz w:val="18"/>
          <w:vertAlign w:val="baseline"/>
        </w:rPr>
        <w:t>,</w:t>
      </w:r>
      <w:r>
        <w:rPr>
          <w:spacing w:val="-3"/>
          <w:sz w:val="18"/>
          <w:vertAlign w:val="baseline"/>
        </w:rPr>
        <w:t> </w:t>
      </w:r>
      <w:r>
        <w:rPr>
          <w:sz w:val="18"/>
          <w:vertAlign w:val="baseline"/>
        </w:rPr>
        <w:t>Shawmut</w:t>
      </w:r>
      <w:r>
        <w:rPr>
          <w:spacing w:val="-3"/>
          <w:sz w:val="18"/>
          <w:vertAlign w:val="baseline"/>
        </w:rPr>
        <w:t> </w:t>
      </w:r>
      <w:r>
        <w:rPr>
          <w:sz w:val="18"/>
          <w:vertAlign w:val="baseline"/>
        </w:rPr>
        <w:t>Peninsula</w:t>
      </w:r>
      <w:r>
        <w:rPr>
          <w:spacing w:val="-2"/>
          <w:sz w:val="18"/>
          <w:vertAlign w:val="baseline"/>
        </w:rPr>
        <w:t> </w:t>
      </w:r>
      <w:r>
        <w:rPr>
          <w:sz w:val="18"/>
          <w:vertAlign w:val="baseline"/>
        </w:rPr>
        <w:t>Press, </w:t>
      </w:r>
      <w:r>
        <w:rPr>
          <w:spacing w:val="-2"/>
          <w:sz w:val="18"/>
          <w:vertAlign w:val="baseline"/>
        </w:rPr>
        <w:t>2019.</w:t>
      </w:r>
    </w:p>
    <w:p>
      <w:pPr>
        <w:spacing w:before="0"/>
        <w:ind w:left="463" w:right="1209" w:firstLine="0"/>
        <w:jc w:val="left"/>
        <w:rPr>
          <w:sz w:val="18"/>
        </w:rPr>
      </w:pPr>
      <w:r>
        <w:rPr>
          <w:sz w:val="18"/>
          <w:vertAlign w:val="superscript"/>
        </w:rPr>
        <w:t>12</w:t>
      </w:r>
      <w:r>
        <w:rPr>
          <w:spacing w:val="-13"/>
          <w:sz w:val="18"/>
          <w:vertAlign w:val="baseline"/>
        </w:rPr>
        <w:t> </w:t>
      </w:r>
      <w:r>
        <w:rPr>
          <w:sz w:val="18"/>
          <w:vertAlign w:val="baseline"/>
        </w:rPr>
        <w:t>“2022</w:t>
      </w:r>
      <w:r>
        <w:rPr>
          <w:spacing w:val="-7"/>
          <w:sz w:val="18"/>
          <w:vertAlign w:val="baseline"/>
        </w:rPr>
        <w:t> </w:t>
      </w:r>
      <w:r>
        <w:rPr>
          <w:sz w:val="18"/>
          <w:vertAlign w:val="baseline"/>
        </w:rPr>
        <w:t>Election</w:t>
      </w:r>
      <w:r>
        <w:rPr>
          <w:spacing w:val="-4"/>
          <w:sz w:val="18"/>
          <w:vertAlign w:val="baseline"/>
        </w:rPr>
        <w:t> </w:t>
      </w:r>
      <w:r>
        <w:rPr>
          <w:sz w:val="18"/>
          <w:vertAlign w:val="baseline"/>
        </w:rPr>
        <w:t>Results</w:t>
      </w:r>
      <w:r>
        <w:rPr>
          <w:spacing w:val="-4"/>
          <w:sz w:val="18"/>
          <w:vertAlign w:val="baseline"/>
        </w:rPr>
        <w:t> </w:t>
      </w:r>
      <w:r>
        <w:rPr>
          <w:sz w:val="18"/>
          <w:vertAlign w:val="baseline"/>
        </w:rPr>
        <w:t>Live,”</w:t>
      </w:r>
      <w:r>
        <w:rPr>
          <w:spacing w:val="-4"/>
          <w:sz w:val="18"/>
          <w:vertAlign w:val="baseline"/>
        </w:rPr>
        <w:t> </w:t>
      </w:r>
      <w:r>
        <w:rPr>
          <w:sz w:val="18"/>
          <w:vertAlign w:val="baseline"/>
        </w:rPr>
        <w:t>NPR,</w:t>
      </w:r>
      <w:r>
        <w:rPr>
          <w:spacing w:val="-5"/>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24,</w:t>
      </w:r>
      <w:r>
        <w:rPr>
          <w:spacing w:val="-5"/>
          <w:sz w:val="18"/>
          <w:vertAlign w:val="baseline"/>
        </w:rPr>
        <w:t> </w:t>
      </w:r>
      <w:r>
        <w:rPr>
          <w:sz w:val="18"/>
          <w:vertAlign w:val="baseline"/>
        </w:rPr>
        <w:t>2023,</w:t>
      </w:r>
      <w:r>
        <w:rPr>
          <w:spacing w:val="-5"/>
          <w:sz w:val="18"/>
          <w:vertAlign w:val="baseline"/>
        </w:rPr>
        <w:t> </w:t>
      </w:r>
      <w:hyperlink r:id="rId584">
        <w:r>
          <w:rPr>
            <w:color w:val="1154CC"/>
            <w:sz w:val="18"/>
            <w:u w:val="single" w:color="1154CC"/>
            <w:vertAlign w:val="baseline"/>
          </w:rPr>
          <w:t>https://apps.npr.org/election-results-live-2022/</w:t>
        </w:r>
        <w:r>
          <w:rPr>
            <w:sz w:val="18"/>
            <w:u w:val="none"/>
            <w:vertAlign w:val="baseline"/>
          </w:rPr>
          <w:t>.</w:t>
        </w:r>
      </w:hyperlink>
      <w:r>
        <w:rPr>
          <w:sz w:val="18"/>
          <w:u w:val="none"/>
          <w:vertAlign w:val="baseline"/>
        </w:rPr>
        <w:t> Kritika Agarwal, “Queer Migrations: A Perspectives Quick Study,” Perspectives on History, March 1, 2016,</w:t>
      </w:r>
    </w:p>
    <w:p>
      <w:pPr>
        <w:spacing w:before="0"/>
        <w:ind w:left="463" w:right="377" w:hanging="1"/>
        <w:jc w:val="left"/>
        <w:rPr>
          <w:sz w:val="18"/>
        </w:rPr>
      </w:pPr>
      <w:r>
        <w:rPr>
          <w:spacing w:val="-2"/>
          <w:sz w:val="18"/>
        </w:rPr>
        <w:t>https:</w:t>
      </w:r>
      <w:hyperlink r:id="rId585">
        <w:r>
          <w:rPr>
            <w:spacing w:val="-2"/>
            <w:sz w:val="18"/>
          </w:rPr>
          <w:t>//www.historians.org/research-and-publications/perspectives-on-history/march-2016/queer-migrations-a-perspectives-</w:t>
        </w:r>
      </w:hyperlink>
      <w:r>
        <w:rPr>
          <w:sz w:val="18"/>
        </w:rPr>
        <w:t> </w:t>
      </w:r>
      <w:r>
        <w:rPr>
          <w:spacing w:val="-2"/>
          <w:sz w:val="18"/>
        </w:rPr>
        <w:t>quick-study.</w:t>
      </w:r>
    </w:p>
    <w:p>
      <w:pPr>
        <w:spacing w:before="0"/>
        <w:ind w:left="463" w:right="700" w:hanging="1"/>
        <w:jc w:val="left"/>
        <w:rPr>
          <w:sz w:val="18"/>
        </w:rPr>
      </w:pPr>
      <w:r>
        <w:rPr>
          <w:sz w:val="18"/>
          <w:vertAlign w:val="superscript"/>
        </w:rPr>
        <w:t>13</w:t>
      </w:r>
      <w:r>
        <w:rPr>
          <w:spacing w:val="-13"/>
          <w:sz w:val="18"/>
          <w:vertAlign w:val="baseline"/>
        </w:rPr>
        <w:t> </w:t>
      </w:r>
      <w:r>
        <w:rPr>
          <w:sz w:val="18"/>
          <w:vertAlign w:val="baseline"/>
        </w:rPr>
        <w:t>Shoshana</w:t>
      </w:r>
      <w:r>
        <w:rPr>
          <w:spacing w:val="-5"/>
          <w:sz w:val="18"/>
          <w:vertAlign w:val="baseline"/>
        </w:rPr>
        <w:t> </w:t>
      </w:r>
      <w:r>
        <w:rPr>
          <w:sz w:val="18"/>
          <w:vertAlign w:val="baseline"/>
        </w:rPr>
        <w:t>Goldberg</w:t>
      </w:r>
      <w:r>
        <w:rPr>
          <w:spacing w:val="-2"/>
          <w:sz w:val="18"/>
          <w:vertAlign w:val="baseline"/>
        </w:rPr>
        <w:t> </w:t>
      </w:r>
      <w:r>
        <w:rPr>
          <w:sz w:val="18"/>
          <w:vertAlign w:val="baseline"/>
        </w:rPr>
        <w:t>and</w:t>
      </w:r>
      <w:r>
        <w:rPr>
          <w:spacing w:val="-3"/>
          <w:sz w:val="18"/>
          <w:vertAlign w:val="baseline"/>
        </w:rPr>
        <w:t> </w:t>
      </w:r>
      <w:r>
        <w:rPr>
          <w:sz w:val="18"/>
          <w:vertAlign w:val="baseline"/>
        </w:rPr>
        <w:t>Kerith</w:t>
      </w:r>
      <w:r>
        <w:rPr>
          <w:spacing w:val="-2"/>
          <w:sz w:val="18"/>
          <w:vertAlign w:val="baseline"/>
        </w:rPr>
        <w:t> </w:t>
      </w:r>
      <w:r>
        <w:rPr>
          <w:sz w:val="18"/>
          <w:vertAlign w:val="baseline"/>
        </w:rPr>
        <w:t>Conron,</w:t>
      </w:r>
      <w:r>
        <w:rPr>
          <w:spacing w:val="-3"/>
          <w:sz w:val="18"/>
          <w:vertAlign w:val="baseline"/>
        </w:rPr>
        <w:t> </w:t>
      </w:r>
      <w:r>
        <w:rPr>
          <w:sz w:val="18"/>
          <w:vertAlign w:val="baseline"/>
        </w:rPr>
        <w:t>“LGBT</w:t>
      </w:r>
      <w:r>
        <w:rPr>
          <w:spacing w:val="-4"/>
          <w:sz w:val="18"/>
          <w:vertAlign w:val="baseline"/>
        </w:rPr>
        <w:t> </w:t>
      </w:r>
      <w:r>
        <w:rPr>
          <w:sz w:val="18"/>
          <w:vertAlign w:val="baseline"/>
        </w:rPr>
        <w:t>Adult</w:t>
      </w:r>
      <w:r>
        <w:rPr>
          <w:spacing w:val="-3"/>
          <w:sz w:val="18"/>
          <w:vertAlign w:val="baseline"/>
        </w:rPr>
        <w:t> </w:t>
      </w:r>
      <w:r>
        <w:rPr>
          <w:sz w:val="18"/>
          <w:vertAlign w:val="baseline"/>
        </w:rPr>
        <w:t>Immigrants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Williams</w:t>
      </w:r>
      <w:r>
        <w:rPr>
          <w:spacing w:val="-2"/>
          <w:sz w:val="18"/>
          <w:vertAlign w:val="baseline"/>
        </w:rPr>
        <w:t> </w:t>
      </w:r>
      <w:r>
        <w:rPr>
          <w:sz w:val="18"/>
          <w:vertAlign w:val="baseline"/>
        </w:rPr>
        <w:t>Institute,</w:t>
      </w:r>
      <w:r>
        <w:rPr>
          <w:spacing w:val="-3"/>
          <w:sz w:val="18"/>
          <w:vertAlign w:val="baseline"/>
        </w:rPr>
        <w:t> </w:t>
      </w:r>
      <w:r>
        <w:rPr>
          <w:sz w:val="18"/>
          <w:vertAlign w:val="baseline"/>
        </w:rPr>
        <w:t>February</w:t>
      </w:r>
      <w:r>
        <w:rPr>
          <w:spacing w:val="-2"/>
          <w:sz w:val="18"/>
          <w:vertAlign w:val="baseline"/>
        </w:rPr>
        <w:t> </w:t>
      </w:r>
      <w:r>
        <w:rPr>
          <w:sz w:val="18"/>
          <w:vertAlign w:val="baseline"/>
        </w:rPr>
        <w:t>2021, </w:t>
      </w:r>
      <w:r>
        <w:rPr>
          <w:spacing w:val="-2"/>
          <w:sz w:val="18"/>
          <w:vertAlign w:val="baseline"/>
        </w:rPr>
        <w:t>https://williamsinstitute.law.ucla.edu/publications/lgbt-immigrants-in-the-us/.</w:t>
      </w:r>
    </w:p>
    <w:p>
      <w:pPr>
        <w:spacing w:line="219" w:lineRule="exact" w:before="0"/>
        <w:ind w:left="463" w:right="0" w:firstLine="0"/>
        <w:jc w:val="left"/>
        <w:rPr>
          <w:sz w:val="18"/>
        </w:rPr>
      </w:pPr>
      <w:r>
        <w:rPr>
          <w:sz w:val="18"/>
          <w:vertAlign w:val="superscript"/>
        </w:rPr>
        <w:t>14</w:t>
      </w:r>
      <w:r>
        <w:rPr>
          <w:spacing w:val="-15"/>
          <w:sz w:val="18"/>
          <w:vertAlign w:val="baseline"/>
        </w:rPr>
        <w:t> </w:t>
      </w:r>
      <w:r>
        <w:rPr>
          <w:sz w:val="18"/>
          <w:vertAlign w:val="baseline"/>
        </w:rPr>
        <w:t>“The</w:t>
      </w:r>
      <w:r>
        <w:rPr>
          <w:spacing w:val="-8"/>
          <w:sz w:val="18"/>
          <w:vertAlign w:val="baseline"/>
        </w:rPr>
        <w:t> </w:t>
      </w:r>
      <w:r>
        <w:rPr>
          <w:sz w:val="18"/>
          <w:vertAlign w:val="baseline"/>
        </w:rPr>
        <w:t>Trevor</w:t>
      </w:r>
      <w:r>
        <w:rPr>
          <w:spacing w:val="-5"/>
          <w:sz w:val="18"/>
          <w:vertAlign w:val="baseline"/>
        </w:rPr>
        <w:t> </w:t>
      </w:r>
      <w:r>
        <w:rPr>
          <w:sz w:val="18"/>
          <w:vertAlign w:val="baseline"/>
        </w:rPr>
        <w:t>Project</w:t>
      </w:r>
      <w:r>
        <w:rPr>
          <w:spacing w:val="-5"/>
          <w:sz w:val="18"/>
          <w:vertAlign w:val="baseline"/>
        </w:rPr>
        <w:t> </w:t>
      </w:r>
      <w:r>
        <w:rPr>
          <w:sz w:val="18"/>
          <w:vertAlign w:val="baseline"/>
        </w:rPr>
        <w:t>National</w:t>
      </w:r>
      <w:r>
        <w:rPr>
          <w:spacing w:val="-5"/>
          <w:sz w:val="18"/>
          <w:vertAlign w:val="baseline"/>
        </w:rPr>
        <w:t> </w:t>
      </w:r>
      <w:r>
        <w:rPr>
          <w:sz w:val="18"/>
          <w:vertAlign w:val="baseline"/>
        </w:rPr>
        <w:t>Survey</w:t>
      </w:r>
      <w:r>
        <w:rPr>
          <w:spacing w:val="-4"/>
          <w:sz w:val="18"/>
          <w:vertAlign w:val="baseline"/>
        </w:rPr>
        <w:t> </w:t>
      </w:r>
      <w:r>
        <w:rPr>
          <w:sz w:val="18"/>
          <w:vertAlign w:val="baseline"/>
        </w:rPr>
        <w:t>2020,”</w:t>
      </w:r>
      <w:r>
        <w:rPr>
          <w:spacing w:val="-4"/>
          <w:sz w:val="18"/>
          <w:vertAlign w:val="baseline"/>
        </w:rPr>
        <w:t> </w:t>
      </w:r>
      <w:r>
        <w:rPr>
          <w:sz w:val="18"/>
          <w:vertAlign w:val="baseline"/>
        </w:rPr>
        <w:t>accessed</w:t>
      </w:r>
      <w:r>
        <w:rPr>
          <w:spacing w:val="-4"/>
          <w:sz w:val="18"/>
          <w:vertAlign w:val="baseline"/>
        </w:rPr>
        <w:t> </w:t>
      </w:r>
      <w:r>
        <w:rPr>
          <w:sz w:val="18"/>
          <w:vertAlign w:val="baseline"/>
        </w:rPr>
        <w:t>April</w:t>
      </w:r>
      <w:r>
        <w:rPr>
          <w:spacing w:val="-5"/>
          <w:sz w:val="18"/>
          <w:vertAlign w:val="baseline"/>
        </w:rPr>
        <w:t> </w:t>
      </w:r>
      <w:r>
        <w:rPr>
          <w:sz w:val="18"/>
          <w:vertAlign w:val="baseline"/>
        </w:rPr>
        <w:t>3,</w:t>
      </w:r>
      <w:r>
        <w:rPr>
          <w:spacing w:val="-5"/>
          <w:sz w:val="18"/>
          <w:vertAlign w:val="baseline"/>
        </w:rPr>
        <w:t> </w:t>
      </w:r>
      <w:r>
        <w:rPr>
          <w:sz w:val="18"/>
          <w:vertAlign w:val="baseline"/>
        </w:rPr>
        <w:t>2023,</w:t>
      </w:r>
      <w:r>
        <w:rPr>
          <w:spacing w:val="-5"/>
          <w:sz w:val="18"/>
          <w:vertAlign w:val="baseline"/>
        </w:rPr>
        <w:t> </w:t>
      </w:r>
      <w:r>
        <w:rPr>
          <w:sz w:val="18"/>
          <w:vertAlign w:val="baseline"/>
        </w:rPr>
        <w:t>https://</w:t>
      </w:r>
      <w:hyperlink r:id="rId586">
        <w:r>
          <w:rPr>
            <w:sz w:val="18"/>
            <w:vertAlign w:val="baseline"/>
          </w:rPr>
          <w:t>www.thetrevorproject.org/survey-</w:t>
        </w:r>
        <w:r>
          <w:rPr>
            <w:spacing w:val="-2"/>
            <w:sz w:val="18"/>
            <w:vertAlign w:val="baseline"/>
          </w:rPr>
          <w:t>2020/.</w:t>
        </w:r>
      </w:hyperlink>
    </w:p>
    <w:p>
      <w:pPr>
        <w:spacing w:before="0"/>
        <w:ind w:left="463" w:right="0" w:firstLine="0"/>
        <w:jc w:val="both"/>
        <w:rPr>
          <w:sz w:val="18"/>
        </w:rPr>
      </w:pPr>
      <w:r>
        <w:rPr>
          <w:sz w:val="18"/>
          <w:vertAlign w:val="superscript"/>
        </w:rPr>
        <w:t>15</w:t>
      </w:r>
      <w:r>
        <w:rPr>
          <w:spacing w:val="-15"/>
          <w:sz w:val="18"/>
          <w:vertAlign w:val="baseline"/>
        </w:rPr>
        <w:t> </w:t>
      </w:r>
      <w:r>
        <w:rPr>
          <w:sz w:val="18"/>
          <w:vertAlign w:val="baseline"/>
        </w:rPr>
        <w:t>Goldberg</w:t>
      </w:r>
      <w:r>
        <w:rPr>
          <w:spacing w:val="-4"/>
          <w:sz w:val="18"/>
          <w:vertAlign w:val="baseline"/>
        </w:rPr>
        <w:t> </w:t>
      </w:r>
      <w:r>
        <w:rPr>
          <w:sz w:val="18"/>
          <w:vertAlign w:val="baseline"/>
        </w:rPr>
        <w:t>and</w:t>
      </w:r>
      <w:r>
        <w:rPr>
          <w:spacing w:val="-2"/>
          <w:sz w:val="18"/>
          <w:vertAlign w:val="baseline"/>
        </w:rPr>
        <w:t> </w:t>
      </w:r>
      <w:r>
        <w:rPr>
          <w:sz w:val="18"/>
          <w:vertAlign w:val="baseline"/>
        </w:rPr>
        <w:t>Conron,</w:t>
      </w:r>
      <w:r>
        <w:rPr>
          <w:spacing w:val="-3"/>
          <w:sz w:val="18"/>
          <w:vertAlign w:val="baseline"/>
        </w:rPr>
        <w:t> </w:t>
      </w:r>
      <w:r>
        <w:rPr>
          <w:sz w:val="18"/>
          <w:vertAlign w:val="baseline"/>
        </w:rPr>
        <w:t>“LGBT</w:t>
      </w:r>
      <w:r>
        <w:rPr>
          <w:spacing w:val="-2"/>
          <w:sz w:val="18"/>
          <w:vertAlign w:val="baseline"/>
        </w:rPr>
        <w:t> </w:t>
      </w:r>
      <w:r>
        <w:rPr>
          <w:sz w:val="18"/>
          <w:vertAlign w:val="baseline"/>
        </w:rPr>
        <w:t>Adult</w:t>
      </w:r>
      <w:r>
        <w:rPr>
          <w:spacing w:val="-3"/>
          <w:sz w:val="18"/>
          <w:vertAlign w:val="baseline"/>
        </w:rPr>
        <w:t> </w:t>
      </w:r>
      <w:r>
        <w:rPr>
          <w:sz w:val="18"/>
          <w:vertAlign w:val="baseline"/>
        </w:rPr>
        <w:t>Immigrants</w:t>
      </w:r>
      <w:r>
        <w:rPr>
          <w:spacing w:val="-3"/>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1"/>
          <w:sz w:val="18"/>
          <w:vertAlign w:val="baseline"/>
        </w:rPr>
        <w:t> </w:t>
      </w:r>
      <w:r>
        <w:rPr>
          <w:spacing w:val="-2"/>
          <w:sz w:val="18"/>
          <w:vertAlign w:val="baseline"/>
        </w:rPr>
        <w:t>States.”</w:t>
      </w:r>
    </w:p>
    <w:p>
      <w:pPr>
        <w:spacing w:before="0"/>
        <w:ind w:left="463" w:right="519" w:hanging="1"/>
        <w:jc w:val="both"/>
        <w:rPr>
          <w:sz w:val="18"/>
        </w:rPr>
      </w:pPr>
      <w:r>
        <w:rPr>
          <w:sz w:val="18"/>
          <w:vertAlign w:val="superscript"/>
        </w:rPr>
        <w:t>16</w:t>
      </w:r>
      <w:r>
        <w:rPr>
          <w:spacing w:val="-11"/>
          <w:sz w:val="18"/>
          <w:vertAlign w:val="baseline"/>
        </w:rPr>
        <w:t> </w:t>
      </w:r>
      <w:r>
        <w:rPr>
          <w:sz w:val="18"/>
          <w:vertAlign w:val="baseline"/>
        </w:rPr>
        <w:t>Sharita</w:t>
      </w:r>
      <w:r>
        <w:rPr>
          <w:spacing w:val="-3"/>
          <w:sz w:val="18"/>
          <w:vertAlign w:val="baseline"/>
        </w:rPr>
        <w:t> </w:t>
      </w:r>
      <w:r>
        <w:rPr>
          <w:sz w:val="18"/>
          <w:vertAlign w:val="baseline"/>
        </w:rPr>
        <w:t>Gruberg,</w:t>
      </w:r>
      <w:r>
        <w:rPr>
          <w:spacing w:val="-2"/>
          <w:sz w:val="18"/>
          <w:vertAlign w:val="baseline"/>
        </w:rPr>
        <w:t> </w:t>
      </w:r>
      <w:r>
        <w:rPr>
          <w:sz w:val="18"/>
          <w:vertAlign w:val="baseline"/>
        </w:rPr>
        <w:t>Caitlin</w:t>
      </w:r>
      <w:r>
        <w:rPr>
          <w:spacing w:val="-1"/>
          <w:sz w:val="18"/>
          <w:vertAlign w:val="baseline"/>
        </w:rPr>
        <w:t> </w:t>
      </w:r>
      <w:r>
        <w:rPr>
          <w:sz w:val="18"/>
          <w:vertAlign w:val="baseline"/>
        </w:rPr>
        <w:t>Rooney,</w:t>
      </w:r>
      <w:r>
        <w:rPr>
          <w:spacing w:val="-2"/>
          <w:sz w:val="18"/>
          <w:vertAlign w:val="baseline"/>
        </w:rPr>
        <w:t> </w:t>
      </w:r>
      <w:r>
        <w:rPr>
          <w:sz w:val="18"/>
          <w:vertAlign w:val="baseline"/>
        </w:rPr>
        <w:t>and</w:t>
      </w:r>
      <w:r>
        <w:rPr>
          <w:spacing w:val="-1"/>
          <w:sz w:val="18"/>
          <w:vertAlign w:val="baseline"/>
        </w:rPr>
        <w:t> </w:t>
      </w:r>
      <w:r>
        <w:rPr>
          <w:sz w:val="18"/>
          <w:vertAlign w:val="baseline"/>
        </w:rPr>
        <w:t>Ashe</w:t>
      </w:r>
      <w:r>
        <w:rPr>
          <w:spacing w:val="-1"/>
          <w:sz w:val="18"/>
          <w:vertAlign w:val="baseline"/>
        </w:rPr>
        <w:t> </w:t>
      </w:r>
      <w:r>
        <w:rPr>
          <w:sz w:val="18"/>
          <w:vertAlign w:val="baseline"/>
        </w:rPr>
        <w:t>McGovern,</w:t>
      </w:r>
      <w:r>
        <w:rPr>
          <w:spacing w:val="-2"/>
          <w:sz w:val="18"/>
          <w:vertAlign w:val="baseline"/>
        </w:rPr>
        <w:t> </w:t>
      </w:r>
      <w:r>
        <w:rPr>
          <w:sz w:val="18"/>
          <w:vertAlign w:val="baseline"/>
        </w:rPr>
        <w:t>“Serving</w:t>
      </w:r>
      <w:r>
        <w:rPr>
          <w:spacing w:val="-2"/>
          <w:sz w:val="18"/>
          <w:vertAlign w:val="baseline"/>
        </w:rPr>
        <w:t> </w:t>
      </w:r>
      <w:r>
        <w:rPr>
          <w:sz w:val="18"/>
          <w:vertAlign w:val="baseline"/>
        </w:rPr>
        <w:t>LGBTQ</w:t>
      </w:r>
      <w:r>
        <w:rPr>
          <w:spacing w:val="-1"/>
          <w:sz w:val="18"/>
          <w:vertAlign w:val="baseline"/>
        </w:rPr>
        <w:t> </w:t>
      </w:r>
      <w:r>
        <w:rPr>
          <w:sz w:val="18"/>
          <w:vertAlign w:val="baseline"/>
        </w:rPr>
        <w:t>Immigrants</w:t>
      </w:r>
      <w:r>
        <w:rPr>
          <w:spacing w:val="-1"/>
          <w:sz w:val="18"/>
          <w:vertAlign w:val="baseline"/>
        </w:rPr>
        <w:t> </w:t>
      </w:r>
      <w:r>
        <w:rPr>
          <w:sz w:val="18"/>
          <w:vertAlign w:val="baseline"/>
        </w:rPr>
        <w:t>and</w:t>
      </w:r>
      <w:r>
        <w:rPr>
          <w:spacing w:val="-1"/>
          <w:sz w:val="18"/>
          <w:vertAlign w:val="baseline"/>
        </w:rPr>
        <w:t> </w:t>
      </w:r>
      <w:r>
        <w:rPr>
          <w:sz w:val="18"/>
          <w:vertAlign w:val="baseline"/>
        </w:rPr>
        <w:t>Building</w:t>
      </w:r>
      <w:r>
        <w:rPr>
          <w:spacing w:val="-1"/>
          <w:sz w:val="18"/>
          <w:vertAlign w:val="baseline"/>
        </w:rPr>
        <w:t> </w:t>
      </w:r>
      <w:r>
        <w:rPr>
          <w:sz w:val="18"/>
          <w:vertAlign w:val="baseline"/>
        </w:rPr>
        <w:t>Welcoming</w:t>
      </w:r>
      <w:r>
        <w:rPr>
          <w:spacing w:val="-1"/>
          <w:sz w:val="18"/>
          <w:vertAlign w:val="baseline"/>
        </w:rPr>
        <w:t> </w:t>
      </w:r>
      <w:r>
        <w:rPr>
          <w:sz w:val="18"/>
          <w:vertAlign w:val="baseline"/>
        </w:rPr>
        <w:t>Communities,” </w:t>
      </w:r>
      <w:r>
        <w:rPr>
          <w:i/>
          <w:sz w:val="18"/>
          <w:vertAlign w:val="baseline"/>
        </w:rPr>
        <w:t>Center</w:t>
      </w:r>
      <w:r>
        <w:rPr>
          <w:i/>
          <w:spacing w:val="-5"/>
          <w:sz w:val="18"/>
          <w:vertAlign w:val="baseline"/>
        </w:rPr>
        <w:t> </w:t>
      </w:r>
      <w:r>
        <w:rPr>
          <w:i/>
          <w:sz w:val="18"/>
          <w:vertAlign w:val="baseline"/>
        </w:rPr>
        <w:t>for</w:t>
      </w:r>
      <w:r>
        <w:rPr>
          <w:i/>
          <w:spacing w:val="-5"/>
          <w:sz w:val="18"/>
          <w:vertAlign w:val="baseline"/>
        </w:rPr>
        <w:t> </w:t>
      </w:r>
      <w:r>
        <w:rPr>
          <w:i/>
          <w:sz w:val="18"/>
          <w:vertAlign w:val="baseline"/>
        </w:rPr>
        <w:t>American</w:t>
      </w:r>
      <w:r>
        <w:rPr>
          <w:i/>
          <w:spacing w:val="-5"/>
          <w:sz w:val="18"/>
          <w:vertAlign w:val="baseline"/>
        </w:rPr>
        <w:t> </w:t>
      </w:r>
      <w:r>
        <w:rPr>
          <w:i/>
          <w:sz w:val="18"/>
          <w:vertAlign w:val="baseline"/>
        </w:rPr>
        <w:t>Progress</w:t>
      </w:r>
      <w:r>
        <w:rPr>
          <w:i/>
          <w:spacing w:val="-5"/>
          <w:sz w:val="18"/>
          <w:vertAlign w:val="baseline"/>
        </w:rPr>
        <w:t> </w:t>
      </w:r>
      <w:r>
        <w:rPr>
          <w:sz w:val="18"/>
          <w:vertAlign w:val="baseline"/>
        </w:rPr>
        <w:t>(blog),</w:t>
      </w:r>
      <w:r>
        <w:rPr>
          <w:spacing w:val="-5"/>
          <w:sz w:val="18"/>
          <w:vertAlign w:val="baseline"/>
        </w:rPr>
        <w:t> </w:t>
      </w:r>
      <w:r>
        <w:rPr>
          <w:sz w:val="18"/>
          <w:vertAlign w:val="baseline"/>
        </w:rPr>
        <w:t>January</w:t>
      </w:r>
      <w:r>
        <w:rPr>
          <w:spacing w:val="-5"/>
          <w:sz w:val="18"/>
          <w:vertAlign w:val="baseline"/>
        </w:rPr>
        <w:t> </w:t>
      </w:r>
      <w:r>
        <w:rPr>
          <w:sz w:val="18"/>
          <w:vertAlign w:val="baseline"/>
        </w:rPr>
        <w:t>24,</w:t>
      </w:r>
      <w:r>
        <w:rPr>
          <w:spacing w:val="-6"/>
          <w:sz w:val="18"/>
          <w:vertAlign w:val="baseline"/>
        </w:rPr>
        <w:t> </w:t>
      </w:r>
      <w:r>
        <w:rPr>
          <w:sz w:val="18"/>
          <w:vertAlign w:val="baseline"/>
        </w:rPr>
        <w:t>2018,</w:t>
      </w:r>
      <w:r>
        <w:rPr>
          <w:spacing w:val="-5"/>
          <w:sz w:val="18"/>
          <w:vertAlign w:val="baseline"/>
        </w:rPr>
        <w:t> </w:t>
      </w:r>
      <w:r>
        <w:rPr>
          <w:sz w:val="18"/>
          <w:vertAlign w:val="baseline"/>
        </w:rPr>
        <w:t>https://</w:t>
      </w:r>
      <w:hyperlink r:id="rId587">
        <w:r>
          <w:rPr>
            <w:sz w:val="18"/>
            <w:vertAlign w:val="baseline"/>
          </w:rPr>
          <w:t>www.americanprogress.org/article/serving-lgbtq-immigrants-</w:t>
        </w:r>
      </w:hyperlink>
      <w:r>
        <w:rPr>
          <w:sz w:val="18"/>
          <w:vertAlign w:val="baseline"/>
        </w:rPr>
        <w:t> </w:t>
      </w:r>
      <w:r>
        <w:rPr>
          <w:spacing w:val="-2"/>
          <w:sz w:val="18"/>
          <w:vertAlign w:val="baseline"/>
        </w:rPr>
        <w:t>building-welcoming-communities/.</w:t>
      </w:r>
    </w:p>
    <w:p>
      <w:pPr>
        <w:spacing w:line="219" w:lineRule="exact" w:before="0"/>
        <w:ind w:left="463" w:right="0" w:firstLine="0"/>
        <w:jc w:val="left"/>
        <w:rPr>
          <w:i/>
          <w:sz w:val="18"/>
        </w:rPr>
      </w:pPr>
      <w:r>
        <w:rPr>
          <w:sz w:val="18"/>
          <w:vertAlign w:val="superscript"/>
        </w:rPr>
        <w:t>17</w:t>
      </w:r>
      <w:r>
        <w:rPr>
          <w:spacing w:val="-15"/>
          <w:sz w:val="18"/>
          <w:vertAlign w:val="baseline"/>
        </w:rPr>
        <w:t> </w:t>
      </w:r>
      <w:r>
        <w:rPr>
          <w:sz w:val="18"/>
          <w:vertAlign w:val="baseline"/>
        </w:rPr>
        <w:t>Karma</w:t>
      </w:r>
      <w:r>
        <w:rPr>
          <w:spacing w:val="-4"/>
          <w:sz w:val="18"/>
          <w:vertAlign w:val="baseline"/>
        </w:rPr>
        <w:t> </w:t>
      </w:r>
      <w:r>
        <w:rPr>
          <w:sz w:val="18"/>
          <w:vertAlign w:val="baseline"/>
        </w:rPr>
        <w:t>R.</w:t>
      </w:r>
      <w:r>
        <w:rPr>
          <w:spacing w:val="-3"/>
          <w:sz w:val="18"/>
          <w:vertAlign w:val="baseline"/>
        </w:rPr>
        <w:t> </w:t>
      </w:r>
      <w:r>
        <w:rPr>
          <w:sz w:val="18"/>
          <w:vertAlign w:val="baseline"/>
        </w:rPr>
        <w:t>Chavez,</w:t>
      </w:r>
      <w:r>
        <w:rPr>
          <w:spacing w:val="-3"/>
          <w:sz w:val="18"/>
          <w:vertAlign w:val="baseline"/>
        </w:rPr>
        <w:t> </w:t>
      </w:r>
      <w:r>
        <w:rPr>
          <w:sz w:val="18"/>
          <w:vertAlign w:val="baseline"/>
        </w:rPr>
        <w:t>“Identifying</w:t>
      </w:r>
      <w:r>
        <w:rPr>
          <w:spacing w:val="-2"/>
          <w:sz w:val="18"/>
          <w:vertAlign w:val="baseline"/>
        </w:rPr>
        <w:t> </w:t>
      </w:r>
      <w:r>
        <w:rPr>
          <w:sz w:val="18"/>
          <w:vertAlign w:val="baseline"/>
        </w:rPr>
        <w:t>the</w:t>
      </w:r>
      <w:r>
        <w:rPr>
          <w:spacing w:val="-2"/>
          <w:sz w:val="18"/>
          <w:vertAlign w:val="baseline"/>
        </w:rPr>
        <w:t> </w:t>
      </w:r>
      <w:r>
        <w:rPr>
          <w:sz w:val="18"/>
          <w:vertAlign w:val="baseline"/>
        </w:rPr>
        <w:t>Needs</w:t>
      </w:r>
      <w:r>
        <w:rPr>
          <w:spacing w:val="-3"/>
          <w:sz w:val="18"/>
          <w:vertAlign w:val="baseline"/>
        </w:rPr>
        <w:t> </w:t>
      </w:r>
      <w:r>
        <w:rPr>
          <w:sz w:val="18"/>
          <w:vertAlign w:val="baseline"/>
        </w:rPr>
        <w:t>of</w:t>
      </w:r>
      <w:r>
        <w:rPr>
          <w:spacing w:val="-2"/>
          <w:sz w:val="18"/>
          <w:vertAlign w:val="baseline"/>
        </w:rPr>
        <w:t> </w:t>
      </w:r>
      <w:r>
        <w:rPr>
          <w:sz w:val="18"/>
          <w:vertAlign w:val="baseline"/>
        </w:rPr>
        <w:t>LGBTQ</w:t>
      </w:r>
      <w:r>
        <w:rPr>
          <w:spacing w:val="-2"/>
          <w:sz w:val="18"/>
          <w:vertAlign w:val="baseline"/>
        </w:rPr>
        <w:t> </w:t>
      </w:r>
      <w:r>
        <w:rPr>
          <w:sz w:val="18"/>
          <w:vertAlign w:val="baseline"/>
        </w:rPr>
        <w:t>Immigrants</w:t>
      </w:r>
      <w:r>
        <w:rPr>
          <w:spacing w:val="-3"/>
          <w:sz w:val="18"/>
          <w:vertAlign w:val="baseline"/>
        </w:rPr>
        <w:t> </w:t>
      </w:r>
      <w:r>
        <w:rPr>
          <w:sz w:val="18"/>
          <w:vertAlign w:val="baseline"/>
        </w:rPr>
        <w:t>and</w:t>
      </w:r>
      <w:r>
        <w:rPr>
          <w:spacing w:val="-2"/>
          <w:sz w:val="18"/>
          <w:vertAlign w:val="baseline"/>
        </w:rPr>
        <w:t> </w:t>
      </w:r>
      <w:r>
        <w:rPr>
          <w:sz w:val="18"/>
          <w:vertAlign w:val="baseline"/>
        </w:rPr>
        <w:t>Refugees</w:t>
      </w:r>
      <w:r>
        <w:rPr>
          <w:spacing w:val="-2"/>
          <w:sz w:val="18"/>
          <w:vertAlign w:val="baseline"/>
        </w:rPr>
        <w:t> </w:t>
      </w:r>
      <w:r>
        <w:rPr>
          <w:sz w:val="18"/>
          <w:vertAlign w:val="baseline"/>
        </w:rPr>
        <w:t>in</w:t>
      </w:r>
      <w:r>
        <w:rPr>
          <w:spacing w:val="-2"/>
          <w:sz w:val="18"/>
          <w:vertAlign w:val="baseline"/>
        </w:rPr>
        <w:t> </w:t>
      </w:r>
      <w:r>
        <w:rPr>
          <w:sz w:val="18"/>
          <w:vertAlign w:val="baseline"/>
        </w:rPr>
        <w:t>Southern</w:t>
      </w:r>
      <w:r>
        <w:rPr>
          <w:spacing w:val="-3"/>
          <w:sz w:val="18"/>
          <w:vertAlign w:val="baseline"/>
        </w:rPr>
        <w:t> </w:t>
      </w:r>
      <w:r>
        <w:rPr>
          <w:sz w:val="18"/>
          <w:vertAlign w:val="baseline"/>
        </w:rPr>
        <w:t>Arizona,”</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pacing w:val="-2"/>
          <w:sz w:val="18"/>
          <w:vertAlign w:val="baseline"/>
        </w:rPr>
        <w:t> Homosexuality</w:t>
      </w:r>
    </w:p>
    <w:p>
      <w:pPr>
        <w:spacing w:before="0"/>
        <w:ind w:left="463" w:right="0" w:firstLine="0"/>
        <w:jc w:val="left"/>
        <w:rPr>
          <w:sz w:val="18"/>
        </w:rPr>
      </w:pPr>
      <w:r>
        <w:rPr>
          <w:sz w:val="18"/>
        </w:rPr>
        <w:t>58,</w:t>
      </w:r>
      <w:r>
        <w:rPr>
          <w:spacing w:val="-3"/>
          <w:sz w:val="18"/>
        </w:rPr>
        <w:t> </w:t>
      </w:r>
      <w:r>
        <w:rPr>
          <w:sz w:val="18"/>
        </w:rPr>
        <w:t>no.</w:t>
      </w:r>
      <w:r>
        <w:rPr>
          <w:spacing w:val="-1"/>
          <w:sz w:val="18"/>
        </w:rPr>
        <w:t> </w:t>
      </w:r>
      <w:r>
        <w:rPr>
          <w:sz w:val="18"/>
        </w:rPr>
        <w:t>2</w:t>
      </w:r>
      <w:r>
        <w:rPr>
          <w:spacing w:val="-1"/>
          <w:sz w:val="18"/>
        </w:rPr>
        <w:t> </w:t>
      </w:r>
      <w:r>
        <w:rPr>
          <w:sz w:val="18"/>
        </w:rPr>
        <w:t>(2011):</w:t>
      </w:r>
      <w:r>
        <w:rPr>
          <w:spacing w:val="-3"/>
          <w:sz w:val="18"/>
        </w:rPr>
        <w:t> </w:t>
      </w:r>
      <w:r>
        <w:rPr>
          <w:sz w:val="18"/>
        </w:rPr>
        <w:t>189–218,</w:t>
      </w:r>
      <w:r>
        <w:rPr>
          <w:spacing w:val="-2"/>
          <w:sz w:val="18"/>
        </w:rPr>
        <w:t> https://doi.org/10.1080/00918369.2011.540175.</w:t>
      </w:r>
    </w:p>
    <w:p>
      <w:pPr>
        <w:spacing w:before="1"/>
        <w:ind w:left="463" w:right="316" w:hanging="1"/>
        <w:jc w:val="left"/>
        <w:rPr>
          <w:sz w:val="18"/>
        </w:rPr>
      </w:pPr>
      <w:r>
        <w:rPr>
          <w:sz w:val="18"/>
          <w:vertAlign w:val="superscript"/>
        </w:rPr>
        <w:t>18</w:t>
      </w:r>
      <w:r>
        <w:rPr>
          <w:spacing w:val="-8"/>
          <w:sz w:val="18"/>
          <w:vertAlign w:val="baseline"/>
        </w:rPr>
        <w:t> </w:t>
      </w:r>
      <w:r>
        <w:rPr>
          <w:sz w:val="18"/>
          <w:vertAlign w:val="baseline"/>
        </w:rPr>
        <w:t>“Latinx LGBTQ+ Immigrant Youth / Jovenes Inmigrantes Latinx LGBTQ+ Provider Fact Sheet,” Each Mind Matters Resource Center,</w:t>
      </w:r>
      <w:r>
        <w:rPr>
          <w:spacing w:val="-8"/>
          <w:sz w:val="18"/>
          <w:vertAlign w:val="baseline"/>
        </w:rPr>
        <w:t> </w:t>
      </w:r>
      <w:r>
        <w:rPr>
          <w:sz w:val="18"/>
          <w:vertAlign w:val="baseline"/>
        </w:rPr>
        <w:t>accessed</w:t>
      </w:r>
      <w:r>
        <w:rPr>
          <w:spacing w:val="-7"/>
          <w:sz w:val="18"/>
          <w:vertAlign w:val="baseline"/>
        </w:rPr>
        <w:t> </w:t>
      </w:r>
      <w:r>
        <w:rPr>
          <w:sz w:val="18"/>
          <w:vertAlign w:val="baseline"/>
        </w:rPr>
        <w:t>April</w:t>
      </w:r>
      <w:r>
        <w:rPr>
          <w:spacing w:val="-8"/>
          <w:sz w:val="18"/>
          <w:vertAlign w:val="baseline"/>
        </w:rPr>
        <w:t> </w:t>
      </w:r>
      <w:r>
        <w:rPr>
          <w:sz w:val="18"/>
          <w:vertAlign w:val="baseline"/>
        </w:rPr>
        <w:t>24,</w:t>
      </w:r>
      <w:r>
        <w:rPr>
          <w:spacing w:val="-8"/>
          <w:sz w:val="18"/>
          <w:vertAlign w:val="baseline"/>
        </w:rPr>
        <w:t> </w:t>
      </w:r>
      <w:r>
        <w:rPr>
          <w:sz w:val="18"/>
          <w:vertAlign w:val="baseline"/>
        </w:rPr>
        <w:t>2023,</w:t>
      </w:r>
      <w:r>
        <w:rPr>
          <w:spacing w:val="-7"/>
          <w:sz w:val="18"/>
          <w:vertAlign w:val="baseline"/>
        </w:rPr>
        <w:t> </w:t>
      </w:r>
      <w:r>
        <w:rPr>
          <w:sz w:val="18"/>
          <w:vertAlign w:val="baseline"/>
        </w:rPr>
        <w:t>https://emmresourcecenter.org/resources/latinx-lgbtq-immigrant-youth-jovenes-inmigrantes- </w:t>
      </w:r>
      <w:r>
        <w:rPr>
          <w:spacing w:val="-2"/>
          <w:sz w:val="18"/>
          <w:vertAlign w:val="baseline"/>
        </w:rPr>
        <w:t>latinx-lgbtq-provider-fact-sheet.</w:t>
      </w:r>
    </w:p>
    <w:p>
      <w:pPr>
        <w:spacing w:before="0"/>
        <w:ind w:left="463" w:right="64" w:hanging="1"/>
        <w:jc w:val="left"/>
        <w:rPr>
          <w:sz w:val="18"/>
        </w:rPr>
      </w:pPr>
      <w:r>
        <w:rPr>
          <w:sz w:val="18"/>
          <w:vertAlign w:val="superscript"/>
        </w:rPr>
        <w:t>19</w:t>
      </w:r>
      <w:r>
        <w:rPr>
          <w:spacing w:val="-9"/>
          <w:sz w:val="18"/>
          <w:vertAlign w:val="baseline"/>
        </w:rPr>
        <w:t> </w:t>
      </w:r>
      <w:r>
        <w:rPr>
          <w:sz w:val="18"/>
          <w:vertAlign w:val="baseline"/>
        </w:rPr>
        <w:t>Michelle M. Johns et al., “Transgender Identity and Experiences of Violence Victimization, Substance Use, Suicide Risk, and Sexual</w:t>
      </w:r>
      <w:r>
        <w:rPr>
          <w:spacing w:val="-3"/>
          <w:sz w:val="18"/>
          <w:vertAlign w:val="baseline"/>
        </w:rPr>
        <w:t> </w:t>
      </w:r>
      <w:r>
        <w:rPr>
          <w:sz w:val="18"/>
          <w:vertAlign w:val="baseline"/>
        </w:rPr>
        <w:t>Risk</w:t>
      </w:r>
      <w:r>
        <w:rPr>
          <w:spacing w:val="-3"/>
          <w:sz w:val="18"/>
          <w:vertAlign w:val="baseline"/>
        </w:rPr>
        <w:t> </w:t>
      </w:r>
      <w:r>
        <w:rPr>
          <w:sz w:val="18"/>
          <w:vertAlign w:val="baseline"/>
        </w:rPr>
        <w:t>Behaviors</w:t>
      </w:r>
      <w:r>
        <w:rPr>
          <w:spacing w:val="-2"/>
          <w:sz w:val="18"/>
          <w:vertAlign w:val="baseline"/>
        </w:rPr>
        <w:t> </w:t>
      </w:r>
      <w:r>
        <w:rPr>
          <w:sz w:val="18"/>
          <w:vertAlign w:val="baseline"/>
        </w:rPr>
        <w:t>Among</w:t>
      </w:r>
      <w:r>
        <w:rPr>
          <w:spacing w:val="-2"/>
          <w:sz w:val="18"/>
          <w:vertAlign w:val="baseline"/>
        </w:rPr>
        <w:t> </w:t>
      </w:r>
      <w:r>
        <w:rPr>
          <w:sz w:val="18"/>
          <w:vertAlign w:val="baseline"/>
        </w:rPr>
        <w:t>High</w:t>
      </w:r>
      <w:r>
        <w:rPr>
          <w:spacing w:val="-2"/>
          <w:sz w:val="18"/>
          <w:vertAlign w:val="baseline"/>
        </w:rPr>
        <w:t> </w:t>
      </w:r>
      <w:r>
        <w:rPr>
          <w:sz w:val="18"/>
          <w:vertAlign w:val="baseline"/>
        </w:rPr>
        <w:t>School</w:t>
      </w:r>
      <w:r>
        <w:rPr>
          <w:spacing w:val="-3"/>
          <w:sz w:val="18"/>
          <w:vertAlign w:val="baseline"/>
        </w:rPr>
        <w:t> </w:t>
      </w:r>
      <w:r>
        <w:rPr>
          <w:sz w:val="18"/>
          <w:vertAlign w:val="baseline"/>
        </w:rPr>
        <w:t>Students</w:t>
      </w:r>
      <w:r>
        <w:rPr>
          <w:spacing w:val="-2"/>
          <w:sz w:val="18"/>
          <w:vertAlign w:val="baseline"/>
        </w:rPr>
        <w:t> </w:t>
      </w:r>
      <w:r>
        <w:rPr>
          <w:sz w:val="18"/>
          <w:vertAlign w:val="baseline"/>
        </w:rPr>
        <w:t>—</w:t>
      </w:r>
      <w:r>
        <w:rPr>
          <w:spacing w:val="-2"/>
          <w:sz w:val="18"/>
          <w:vertAlign w:val="baseline"/>
        </w:rPr>
        <w:t> </w:t>
      </w:r>
      <w:r>
        <w:rPr>
          <w:sz w:val="18"/>
          <w:vertAlign w:val="baseline"/>
        </w:rPr>
        <w:t>19</w:t>
      </w:r>
      <w:r>
        <w:rPr>
          <w:spacing w:val="-2"/>
          <w:sz w:val="18"/>
          <w:vertAlign w:val="baseline"/>
        </w:rPr>
        <w:t> </w:t>
      </w:r>
      <w:r>
        <w:rPr>
          <w:sz w:val="18"/>
          <w:vertAlign w:val="baseline"/>
        </w:rPr>
        <w:t>States</w:t>
      </w:r>
      <w:r>
        <w:rPr>
          <w:spacing w:val="-2"/>
          <w:sz w:val="18"/>
          <w:vertAlign w:val="baseline"/>
        </w:rPr>
        <w:t> </w:t>
      </w:r>
      <w:r>
        <w:rPr>
          <w:sz w:val="18"/>
          <w:vertAlign w:val="baseline"/>
        </w:rPr>
        <w:t>and</w:t>
      </w:r>
      <w:r>
        <w:rPr>
          <w:spacing w:val="-2"/>
          <w:sz w:val="18"/>
          <w:vertAlign w:val="baseline"/>
        </w:rPr>
        <w:t> </w:t>
      </w:r>
      <w:r>
        <w:rPr>
          <w:sz w:val="18"/>
          <w:vertAlign w:val="baseline"/>
        </w:rPr>
        <w:t>Large</w:t>
      </w:r>
      <w:r>
        <w:rPr>
          <w:spacing w:val="-2"/>
          <w:sz w:val="18"/>
          <w:vertAlign w:val="baseline"/>
        </w:rPr>
        <w:t> </w:t>
      </w:r>
      <w:r>
        <w:rPr>
          <w:sz w:val="18"/>
          <w:vertAlign w:val="baseline"/>
        </w:rPr>
        <w:t>Urban</w:t>
      </w:r>
      <w:r>
        <w:rPr>
          <w:spacing w:val="-3"/>
          <w:sz w:val="18"/>
          <w:vertAlign w:val="baseline"/>
        </w:rPr>
        <w:t> </w:t>
      </w:r>
      <w:r>
        <w:rPr>
          <w:sz w:val="18"/>
          <w:vertAlign w:val="baseline"/>
        </w:rPr>
        <w:t>School</w:t>
      </w:r>
      <w:r>
        <w:rPr>
          <w:spacing w:val="-3"/>
          <w:sz w:val="18"/>
          <w:vertAlign w:val="baseline"/>
        </w:rPr>
        <w:t> </w:t>
      </w:r>
      <w:r>
        <w:rPr>
          <w:sz w:val="18"/>
          <w:vertAlign w:val="baseline"/>
        </w:rPr>
        <w:t>Districts,</w:t>
      </w:r>
      <w:r>
        <w:rPr>
          <w:spacing w:val="-2"/>
          <w:sz w:val="18"/>
          <w:vertAlign w:val="baseline"/>
        </w:rPr>
        <w:t> </w:t>
      </w:r>
      <w:r>
        <w:rPr>
          <w:sz w:val="18"/>
          <w:vertAlign w:val="baseline"/>
        </w:rPr>
        <w:t>2017,”</w:t>
      </w:r>
      <w:r>
        <w:rPr>
          <w:spacing w:val="-2"/>
          <w:sz w:val="18"/>
          <w:vertAlign w:val="baseline"/>
        </w:rPr>
        <w:t> </w:t>
      </w:r>
      <w:r>
        <w:rPr>
          <w:i/>
          <w:sz w:val="18"/>
          <w:vertAlign w:val="baseline"/>
        </w:rPr>
        <w:t>MMWR.</w:t>
      </w:r>
      <w:r>
        <w:rPr>
          <w:i/>
          <w:spacing w:val="-2"/>
          <w:sz w:val="18"/>
          <w:vertAlign w:val="baseline"/>
        </w:rPr>
        <w:t> </w:t>
      </w:r>
      <w:r>
        <w:rPr>
          <w:i/>
          <w:sz w:val="18"/>
          <w:vertAlign w:val="baseline"/>
        </w:rPr>
        <w:t>Morbidity</w:t>
      </w:r>
      <w:r>
        <w:rPr>
          <w:i/>
          <w:spacing w:val="-2"/>
          <w:sz w:val="18"/>
          <w:vertAlign w:val="baseline"/>
        </w:rPr>
        <w:t> </w:t>
      </w:r>
      <w:r>
        <w:rPr>
          <w:i/>
          <w:sz w:val="18"/>
          <w:vertAlign w:val="baseline"/>
        </w:rPr>
        <w:t>and</w:t>
      </w:r>
      <w:r>
        <w:rPr>
          <w:i/>
          <w:sz w:val="18"/>
          <w:vertAlign w:val="baseline"/>
        </w:rPr>
        <w:t> Mortality Weekly Report </w:t>
      </w:r>
      <w:r>
        <w:rPr>
          <w:sz w:val="18"/>
          <w:vertAlign w:val="baseline"/>
        </w:rPr>
        <w:t>68 (2019), https://doi.org/10.15585/mmwr.mm6803a3.</w:t>
      </w:r>
    </w:p>
    <w:p>
      <w:pPr>
        <w:spacing w:before="0"/>
        <w:ind w:left="463" w:right="271" w:hanging="1"/>
        <w:jc w:val="left"/>
        <w:rPr>
          <w:sz w:val="18"/>
        </w:rPr>
      </w:pPr>
      <w:r>
        <w:rPr>
          <w:sz w:val="18"/>
          <w:vertAlign w:val="superscript"/>
        </w:rPr>
        <w:t>20</w:t>
      </w:r>
      <w:r>
        <w:rPr>
          <w:spacing w:val="-13"/>
          <w:sz w:val="18"/>
          <w:vertAlign w:val="baseline"/>
        </w:rPr>
        <w:t> </w:t>
      </w:r>
      <w:r>
        <w:rPr>
          <w:sz w:val="18"/>
          <w:vertAlign w:val="baseline"/>
        </w:rPr>
        <w:t>Margarita</w:t>
      </w:r>
      <w:r>
        <w:rPr>
          <w:spacing w:val="-4"/>
          <w:sz w:val="18"/>
          <w:vertAlign w:val="baseline"/>
        </w:rPr>
        <w:t> </w:t>
      </w:r>
      <w:r>
        <w:rPr>
          <w:sz w:val="18"/>
          <w:vertAlign w:val="baseline"/>
        </w:rPr>
        <w:t>Alegría,</w:t>
      </w:r>
      <w:r>
        <w:rPr>
          <w:spacing w:val="-4"/>
          <w:sz w:val="18"/>
          <w:vertAlign w:val="baseline"/>
        </w:rPr>
        <w:t> </w:t>
      </w:r>
      <w:r>
        <w:rPr>
          <w:sz w:val="18"/>
          <w:vertAlign w:val="baseline"/>
        </w:rPr>
        <w:t>Kiara</w:t>
      </w:r>
      <w:r>
        <w:rPr>
          <w:spacing w:val="-3"/>
          <w:sz w:val="18"/>
          <w:vertAlign w:val="baseline"/>
        </w:rPr>
        <w:t> </w:t>
      </w:r>
      <w:r>
        <w:rPr>
          <w:sz w:val="18"/>
          <w:vertAlign w:val="baseline"/>
        </w:rPr>
        <w:t>Álvarez,</w:t>
      </w:r>
      <w:r>
        <w:rPr>
          <w:spacing w:val="-4"/>
          <w:sz w:val="18"/>
          <w:vertAlign w:val="baseline"/>
        </w:rPr>
        <w:t> </w:t>
      </w:r>
      <w:r>
        <w:rPr>
          <w:sz w:val="18"/>
          <w:vertAlign w:val="baseline"/>
        </w:rPr>
        <w:t>and</w:t>
      </w:r>
      <w:r>
        <w:rPr>
          <w:spacing w:val="-3"/>
          <w:sz w:val="18"/>
          <w:vertAlign w:val="baseline"/>
        </w:rPr>
        <w:t> </w:t>
      </w:r>
      <w:r>
        <w:rPr>
          <w:sz w:val="18"/>
          <w:vertAlign w:val="baseline"/>
        </w:rPr>
        <w:t>Karissa</w:t>
      </w:r>
      <w:r>
        <w:rPr>
          <w:spacing w:val="-3"/>
          <w:sz w:val="18"/>
          <w:vertAlign w:val="baseline"/>
        </w:rPr>
        <w:t> </w:t>
      </w:r>
      <w:r>
        <w:rPr>
          <w:sz w:val="18"/>
          <w:vertAlign w:val="baseline"/>
        </w:rPr>
        <w:t>DiMarzio,</w:t>
      </w:r>
      <w:r>
        <w:rPr>
          <w:spacing w:val="-4"/>
          <w:sz w:val="18"/>
          <w:vertAlign w:val="baseline"/>
        </w:rPr>
        <w:t> </w:t>
      </w:r>
      <w:r>
        <w:rPr>
          <w:sz w:val="18"/>
          <w:vertAlign w:val="baseline"/>
        </w:rPr>
        <w:t>“Immigration</w:t>
      </w:r>
      <w:r>
        <w:rPr>
          <w:spacing w:val="-3"/>
          <w:sz w:val="18"/>
          <w:vertAlign w:val="baseline"/>
        </w:rPr>
        <w:t> </w:t>
      </w:r>
      <w:r>
        <w:rPr>
          <w:sz w:val="18"/>
          <w:vertAlign w:val="baseline"/>
        </w:rPr>
        <w:t>and</w:t>
      </w:r>
      <w:r>
        <w:rPr>
          <w:spacing w:val="-3"/>
          <w:sz w:val="18"/>
          <w:vertAlign w:val="baseline"/>
        </w:rPr>
        <w:t> </w:t>
      </w:r>
      <w:r>
        <w:rPr>
          <w:sz w:val="18"/>
          <w:vertAlign w:val="baseline"/>
        </w:rPr>
        <w:t>Mental</w:t>
      </w:r>
      <w:r>
        <w:rPr>
          <w:spacing w:val="-4"/>
          <w:sz w:val="18"/>
          <w:vertAlign w:val="baseline"/>
        </w:rPr>
        <w:t> </w:t>
      </w:r>
      <w:r>
        <w:rPr>
          <w:sz w:val="18"/>
          <w:vertAlign w:val="baseline"/>
        </w:rPr>
        <w:t>Health,”</w:t>
      </w:r>
      <w:r>
        <w:rPr>
          <w:spacing w:val="-3"/>
          <w:sz w:val="18"/>
          <w:vertAlign w:val="baseline"/>
        </w:rPr>
        <w:t> </w:t>
      </w:r>
      <w:r>
        <w:rPr>
          <w:i/>
          <w:sz w:val="18"/>
          <w:vertAlign w:val="baseline"/>
        </w:rPr>
        <w:t>Current</w:t>
      </w:r>
      <w:r>
        <w:rPr>
          <w:i/>
          <w:spacing w:val="-4"/>
          <w:sz w:val="18"/>
          <w:vertAlign w:val="baseline"/>
        </w:rPr>
        <w:t> </w:t>
      </w:r>
      <w:r>
        <w:rPr>
          <w:i/>
          <w:sz w:val="18"/>
          <w:vertAlign w:val="baseline"/>
        </w:rPr>
        <w:t>Epidemiology</w:t>
      </w:r>
      <w:r>
        <w:rPr>
          <w:i/>
          <w:spacing w:val="-2"/>
          <w:sz w:val="18"/>
          <w:vertAlign w:val="baseline"/>
        </w:rPr>
        <w:t> </w:t>
      </w:r>
      <w:r>
        <w:rPr>
          <w:i/>
          <w:sz w:val="18"/>
          <w:vertAlign w:val="baseline"/>
        </w:rPr>
        <w:t>Reports</w:t>
      </w:r>
      <w:r>
        <w:rPr>
          <w:i/>
          <w:spacing w:val="-4"/>
          <w:sz w:val="18"/>
          <w:vertAlign w:val="baseline"/>
        </w:rPr>
        <w:t> </w:t>
      </w:r>
      <w:r>
        <w:rPr>
          <w:sz w:val="18"/>
          <w:vertAlign w:val="baseline"/>
        </w:rPr>
        <w:t>4,</w:t>
      </w:r>
      <w:r>
        <w:rPr>
          <w:spacing w:val="-4"/>
          <w:sz w:val="18"/>
          <w:vertAlign w:val="baseline"/>
        </w:rPr>
        <w:t> </w:t>
      </w:r>
      <w:r>
        <w:rPr>
          <w:sz w:val="18"/>
          <w:vertAlign w:val="baseline"/>
        </w:rPr>
        <w:t>no. 2 (June 2017): 145, https://doi.org/10.1007/s40471-017-0111-2.</w:t>
      </w:r>
    </w:p>
    <w:p>
      <w:pPr>
        <w:spacing w:before="0"/>
        <w:ind w:left="463" w:right="378" w:firstLine="0"/>
        <w:jc w:val="left"/>
        <w:rPr>
          <w:sz w:val="18"/>
        </w:rPr>
      </w:pPr>
      <w:r>
        <w:rPr>
          <w:sz w:val="18"/>
          <w:vertAlign w:val="superscript"/>
        </w:rPr>
        <w:t>21</w:t>
      </w:r>
      <w:r>
        <w:rPr>
          <w:spacing w:val="-8"/>
          <w:sz w:val="18"/>
          <w:vertAlign w:val="baseline"/>
        </w:rPr>
        <w:t> </w:t>
      </w:r>
      <w:r>
        <w:rPr>
          <w:sz w:val="18"/>
          <w:vertAlign w:val="baseline"/>
        </w:rPr>
        <w:t>Consuelo Arbona et al., “Acculturative Stress Among Documented and Undocumented Latino Immigrants in the United States,”</w:t>
      </w:r>
      <w:r>
        <w:rPr>
          <w:spacing w:val="-3"/>
          <w:sz w:val="18"/>
          <w:vertAlign w:val="baseline"/>
        </w:rPr>
        <w:t> </w:t>
      </w:r>
      <w:r>
        <w:rPr>
          <w:i/>
          <w:sz w:val="18"/>
          <w:vertAlign w:val="baseline"/>
        </w:rPr>
        <w:t>Hispanic</w:t>
      </w:r>
      <w:r>
        <w:rPr>
          <w:i/>
          <w:spacing w:val="-3"/>
          <w:sz w:val="18"/>
          <w:vertAlign w:val="baseline"/>
        </w:rPr>
        <w:t> </w:t>
      </w:r>
      <w:r>
        <w:rPr>
          <w:i/>
          <w:sz w:val="18"/>
          <w:vertAlign w:val="baseline"/>
        </w:rPr>
        <w:t>Journal</w:t>
      </w:r>
      <w:r>
        <w:rPr>
          <w:i/>
          <w:spacing w:val="-4"/>
          <w:sz w:val="18"/>
          <w:vertAlign w:val="baseline"/>
        </w:rPr>
        <w:t> </w:t>
      </w:r>
      <w:r>
        <w:rPr>
          <w:i/>
          <w:sz w:val="18"/>
          <w:vertAlign w:val="baseline"/>
        </w:rPr>
        <w:t>of</w:t>
      </w:r>
      <w:r>
        <w:rPr>
          <w:i/>
          <w:spacing w:val="-3"/>
          <w:sz w:val="18"/>
          <w:vertAlign w:val="baseline"/>
        </w:rPr>
        <w:t> </w:t>
      </w:r>
      <w:r>
        <w:rPr>
          <w:i/>
          <w:sz w:val="18"/>
          <w:vertAlign w:val="baseline"/>
        </w:rPr>
        <w:t>Behavioral</w:t>
      </w:r>
      <w:r>
        <w:rPr>
          <w:i/>
          <w:spacing w:val="-4"/>
          <w:sz w:val="18"/>
          <w:vertAlign w:val="baseline"/>
        </w:rPr>
        <w:t> </w:t>
      </w:r>
      <w:r>
        <w:rPr>
          <w:i/>
          <w:sz w:val="18"/>
          <w:vertAlign w:val="baseline"/>
        </w:rPr>
        <w:t>Sciences</w:t>
      </w:r>
      <w:r>
        <w:rPr>
          <w:i/>
          <w:spacing w:val="-4"/>
          <w:sz w:val="18"/>
          <w:vertAlign w:val="baseline"/>
        </w:rPr>
        <w:t> </w:t>
      </w:r>
      <w:r>
        <w:rPr>
          <w:sz w:val="18"/>
          <w:vertAlign w:val="baseline"/>
        </w:rPr>
        <w:t>32,</w:t>
      </w:r>
      <w:r>
        <w:rPr>
          <w:spacing w:val="-4"/>
          <w:sz w:val="18"/>
          <w:vertAlign w:val="baseline"/>
        </w:rPr>
        <w:t> </w:t>
      </w:r>
      <w:r>
        <w:rPr>
          <w:sz w:val="18"/>
          <w:vertAlign w:val="baseline"/>
        </w:rPr>
        <w:t>no.</w:t>
      </w:r>
      <w:r>
        <w:rPr>
          <w:spacing w:val="-3"/>
          <w:sz w:val="18"/>
          <w:vertAlign w:val="baseline"/>
        </w:rPr>
        <w:t> </w:t>
      </w:r>
      <w:r>
        <w:rPr>
          <w:sz w:val="18"/>
          <w:vertAlign w:val="baseline"/>
        </w:rPr>
        <w:t>3</w:t>
      </w:r>
      <w:r>
        <w:rPr>
          <w:spacing w:val="-3"/>
          <w:sz w:val="18"/>
          <w:vertAlign w:val="baseline"/>
        </w:rPr>
        <w:t> </w:t>
      </w:r>
      <w:r>
        <w:rPr>
          <w:sz w:val="18"/>
          <w:vertAlign w:val="baseline"/>
        </w:rPr>
        <w:t>(August</w:t>
      </w:r>
      <w:r>
        <w:rPr>
          <w:spacing w:val="-5"/>
          <w:sz w:val="18"/>
          <w:vertAlign w:val="baseline"/>
        </w:rPr>
        <w:t> </w:t>
      </w:r>
      <w:r>
        <w:rPr>
          <w:sz w:val="18"/>
          <w:vertAlign w:val="baseline"/>
        </w:rPr>
        <w:t>2010):</w:t>
      </w:r>
      <w:r>
        <w:rPr>
          <w:spacing w:val="-3"/>
          <w:sz w:val="18"/>
          <w:vertAlign w:val="baseline"/>
        </w:rPr>
        <w:t> </w:t>
      </w:r>
      <w:r>
        <w:rPr>
          <w:sz w:val="18"/>
          <w:vertAlign w:val="baseline"/>
        </w:rPr>
        <w:t>362–84,</w:t>
      </w:r>
      <w:r>
        <w:rPr>
          <w:spacing w:val="-4"/>
          <w:sz w:val="18"/>
          <w:vertAlign w:val="baseline"/>
        </w:rPr>
        <w:t> </w:t>
      </w:r>
      <w:r>
        <w:rPr>
          <w:sz w:val="18"/>
          <w:vertAlign w:val="baseline"/>
        </w:rPr>
        <w:t>https://doi.org/10.1177/0739986310373210. </w:t>
      </w:r>
      <w:r>
        <w:rPr>
          <w:sz w:val="18"/>
          <w:vertAlign w:val="superscript"/>
        </w:rPr>
        <w:t>22</w:t>
      </w:r>
      <w:r>
        <w:rPr>
          <w:spacing w:val="-13"/>
          <w:sz w:val="18"/>
          <w:vertAlign w:val="baseline"/>
        </w:rPr>
        <w:t> </w:t>
      </w:r>
      <w:r>
        <w:rPr>
          <w:sz w:val="18"/>
          <w:vertAlign w:val="baseline"/>
        </w:rPr>
        <w:t>Nicole N. Gray,</w:t>
      </w:r>
      <w:r>
        <w:rPr>
          <w:spacing w:val="-1"/>
          <w:sz w:val="18"/>
          <w:vertAlign w:val="baseline"/>
        </w:rPr>
        <w:t> </w:t>
      </w:r>
      <w:r>
        <w:rPr>
          <w:sz w:val="18"/>
          <w:vertAlign w:val="baseline"/>
        </w:rPr>
        <w:t>David M. Mendelsohn,</w:t>
      </w:r>
      <w:r>
        <w:rPr>
          <w:spacing w:val="-1"/>
          <w:sz w:val="18"/>
          <w:vertAlign w:val="baseline"/>
        </w:rPr>
        <w:t> </w:t>
      </w:r>
      <w:r>
        <w:rPr>
          <w:sz w:val="18"/>
          <w:vertAlign w:val="baseline"/>
        </w:rPr>
        <w:t>and Allen M. Omoto,</w:t>
      </w:r>
      <w:r>
        <w:rPr>
          <w:spacing w:val="-1"/>
          <w:sz w:val="18"/>
          <w:vertAlign w:val="baseline"/>
        </w:rPr>
        <w:t> </w:t>
      </w:r>
      <w:r>
        <w:rPr>
          <w:sz w:val="18"/>
          <w:vertAlign w:val="baseline"/>
        </w:rPr>
        <w:t>“Community Connectedness,</w:t>
      </w:r>
      <w:r>
        <w:rPr>
          <w:spacing w:val="-1"/>
          <w:sz w:val="18"/>
          <w:vertAlign w:val="baseline"/>
        </w:rPr>
        <w:t> </w:t>
      </w:r>
      <w:r>
        <w:rPr>
          <w:sz w:val="18"/>
          <w:vertAlign w:val="baseline"/>
        </w:rPr>
        <w:t>Challenges,</w:t>
      </w:r>
      <w:r>
        <w:rPr>
          <w:spacing w:val="-1"/>
          <w:sz w:val="18"/>
          <w:vertAlign w:val="baseline"/>
        </w:rPr>
        <w:t> </w:t>
      </w:r>
      <w:r>
        <w:rPr>
          <w:sz w:val="18"/>
          <w:vertAlign w:val="baseline"/>
        </w:rPr>
        <w:t>and Resilience Among Gay Latino Immigrants,” </w:t>
      </w:r>
      <w:r>
        <w:rPr>
          <w:i/>
          <w:sz w:val="18"/>
          <w:vertAlign w:val="baseline"/>
        </w:rPr>
        <w:t>American Journal of Community Psychology </w:t>
      </w:r>
      <w:r>
        <w:rPr>
          <w:sz w:val="18"/>
          <w:vertAlign w:val="baseline"/>
        </w:rPr>
        <w:t>55, no. 0 (March 2015): 202, </w:t>
      </w:r>
      <w:r>
        <w:rPr>
          <w:spacing w:val="-2"/>
          <w:sz w:val="18"/>
          <w:vertAlign w:val="baseline"/>
        </w:rPr>
        <w:t>https://doi.org/10.1007/s10464-014-9697-4.</w:t>
      </w:r>
    </w:p>
    <w:p>
      <w:pPr>
        <w:spacing w:before="0"/>
        <w:ind w:left="463" w:right="271" w:hanging="1"/>
        <w:jc w:val="left"/>
        <w:rPr>
          <w:sz w:val="18"/>
        </w:rPr>
      </w:pPr>
      <w:r>
        <w:rPr>
          <w:sz w:val="18"/>
          <w:vertAlign w:val="superscript"/>
        </w:rPr>
        <w:t>23</w:t>
      </w:r>
      <w:r>
        <w:rPr>
          <w:spacing w:val="-13"/>
          <w:sz w:val="18"/>
          <w:vertAlign w:val="baseline"/>
        </w:rPr>
        <w:t> </w:t>
      </w:r>
      <w:r>
        <w:rPr>
          <w:sz w:val="18"/>
          <w:vertAlign w:val="baseline"/>
        </w:rPr>
        <w:t>Fernando</w:t>
      </w:r>
      <w:r>
        <w:rPr>
          <w:spacing w:val="-4"/>
          <w:sz w:val="18"/>
          <w:vertAlign w:val="baseline"/>
        </w:rPr>
        <w:t> </w:t>
      </w:r>
      <w:r>
        <w:rPr>
          <w:sz w:val="18"/>
          <w:vertAlign w:val="baseline"/>
        </w:rPr>
        <w:t>Estrada</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“Machismo</w:t>
      </w:r>
      <w:r>
        <w:rPr>
          <w:spacing w:val="-2"/>
          <w:sz w:val="18"/>
          <w:vertAlign w:val="baseline"/>
        </w:rPr>
        <w:t> </w:t>
      </w:r>
      <w:r>
        <w:rPr>
          <w:sz w:val="18"/>
          <w:vertAlign w:val="baseline"/>
        </w:rPr>
        <w:t>and</w:t>
      </w:r>
      <w:r>
        <w:rPr>
          <w:spacing w:val="-2"/>
          <w:sz w:val="18"/>
          <w:vertAlign w:val="baseline"/>
        </w:rPr>
        <w:t> </w:t>
      </w:r>
      <w:r>
        <w:rPr>
          <w:sz w:val="18"/>
          <w:vertAlign w:val="baseline"/>
        </w:rPr>
        <w:t>Mexican</w:t>
      </w:r>
      <w:r>
        <w:rPr>
          <w:spacing w:val="-2"/>
          <w:sz w:val="18"/>
          <w:vertAlign w:val="baseline"/>
        </w:rPr>
        <w:t> </w:t>
      </w:r>
      <w:r>
        <w:rPr>
          <w:sz w:val="18"/>
          <w:vertAlign w:val="baseline"/>
        </w:rPr>
        <w:t>American</w:t>
      </w:r>
      <w:r>
        <w:rPr>
          <w:spacing w:val="-2"/>
          <w:sz w:val="18"/>
          <w:vertAlign w:val="baseline"/>
        </w:rPr>
        <w:t> </w:t>
      </w:r>
      <w:r>
        <w:rPr>
          <w:sz w:val="18"/>
          <w:vertAlign w:val="baseline"/>
        </w:rPr>
        <w:t>Men:</w:t>
      </w:r>
      <w:r>
        <w:rPr>
          <w:spacing w:val="-2"/>
          <w:sz w:val="18"/>
          <w:vertAlign w:val="baseline"/>
        </w:rPr>
        <w:t> </w:t>
      </w:r>
      <w:r>
        <w:rPr>
          <w:sz w:val="18"/>
          <w:vertAlign w:val="baseline"/>
        </w:rPr>
        <w:t>An</w:t>
      </w:r>
      <w:r>
        <w:rPr>
          <w:spacing w:val="-2"/>
          <w:sz w:val="18"/>
          <w:vertAlign w:val="baseline"/>
        </w:rPr>
        <w:t> </w:t>
      </w:r>
      <w:r>
        <w:rPr>
          <w:sz w:val="18"/>
          <w:vertAlign w:val="baseline"/>
        </w:rPr>
        <w:t>Empirical</w:t>
      </w:r>
      <w:r>
        <w:rPr>
          <w:spacing w:val="-2"/>
          <w:sz w:val="18"/>
          <w:vertAlign w:val="baseline"/>
        </w:rPr>
        <w:t> </w:t>
      </w:r>
      <w:r>
        <w:rPr>
          <w:sz w:val="18"/>
          <w:vertAlign w:val="baseline"/>
        </w:rPr>
        <w:t>Understanding</w:t>
      </w:r>
      <w:r>
        <w:rPr>
          <w:spacing w:val="-3"/>
          <w:sz w:val="18"/>
          <w:vertAlign w:val="baseline"/>
        </w:rPr>
        <w:t> </w:t>
      </w:r>
      <w:r>
        <w:rPr>
          <w:sz w:val="18"/>
          <w:vertAlign w:val="baseline"/>
        </w:rPr>
        <w:t>Using</w:t>
      </w:r>
      <w:r>
        <w:rPr>
          <w:spacing w:val="-2"/>
          <w:sz w:val="18"/>
          <w:vertAlign w:val="baseline"/>
        </w:rPr>
        <w:t> </w:t>
      </w:r>
      <w:r>
        <w:rPr>
          <w:sz w:val="18"/>
          <w:vertAlign w:val="baseline"/>
        </w:rPr>
        <w:t>a</w:t>
      </w:r>
      <w:r>
        <w:rPr>
          <w:spacing w:val="-2"/>
          <w:sz w:val="18"/>
          <w:vertAlign w:val="baseline"/>
        </w:rPr>
        <w:t> </w:t>
      </w:r>
      <w:r>
        <w:rPr>
          <w:sz w:val="18"/>
          <w:vertAlign w:val="baseline"/>
        </w:rPr>
        <w:t>Gay</w:t>
      </w:r>
      <w:r>
        <w:rPr>
          <w:spacing w:val="-2"/>
          <w:sz w:val="18"/>
          <w:vertAlign w:val="baseline"/>
        </w:rPr>
        <w:t> </w:t>
      </w:r>
      <w:r>
        <w:rPr>
          <w:sz w:val="18"/>
          <w:vertAlign w:val="baseline"/>
        </w:rPr>
        <w:t>Sample,”</w:t>
      </w:r>
      <w:r>
        <w:rPr>
          <w:spacing w:val="-2"/>
          <w:sz w:val="18"/>
          <w:vertAlign w:val="baseline"/>
        </w:rPr>
        <w:t> </w:t>
      </w:r>
      <w:r>
        <w:rPr>
          <w:i/>
          <w:sz w:val="18"/>
          <w:vertAlign w:val="baseline"/>
        </w:rPr>
        <w:t>Journal</w:t>
      </w:r>
      <w:r>
        <w:rPr>
          <w:i/>
          <w:spacing w:val="-3"/>
          <w:sz w:val="18"/>
          <w:vertAlign w:val="baseline"/>
        </w:rPr>
        <w:t> </w:t>
      </w:r>
      <w:r>
        <w:rPr>
          <w:i/>
          <w:sz w:val="18"/>
          <w:vertAlign w:val="baseline"/>
        </w:rPr>
        <w:t>of</w:t>
      </w:r>
      <w:r>
        <w:rPr>
          <w:i/>
          <w:sz w:val="18"/>
          <w:vertAlign w:val="baseline"/>
        </w:rPr>
        <w:t> Counseling Psychology </w:t>
      </w:r>
      <w:r>
        <w:rPr>
          <w:sz w:val="18"/>
          <w:vertAlign w:val="baseline"/>
        </w:rPr>
        <w:t>58, no. 3 (July 2011): 358–67, https://doi.org/10.1037/a0023122.</w:t>
      </w:r>
    </w:p>
    <w:p>
      <w:pPr>
        <w:spacing w:line="219" w:lineRule="exact" w:before="0"/>
        <w:ind w:left="463" w:right="0" w:firstLine="0"/>
        <w:jc w:val="left"/>
        <w:rPr>
          <w:sz w:val="18"/>
        </w:rPr>
      </w:pPr>
      <w:r>
        <w:rPr>
          <w:sz w:val="18"/>
          <w:vertAlign w:val="superscript"/>
        </w:rPr>
        <w:t>24</w:t>
      </w:r>
      <w:r>
        <w:rPr>
          <w:spacing w:val="-15"/>
          <w:sz w:val="18"/>
          <w:vertAlign w:val="baseline"/>
        </w:rPr>
        <w:t> </w:t>
      </w:r>
      <w:r>
        <w:rPr>
          <w:sz w:val="18"/>
          <w:vertAlign w:val="baseline"/>
        </w:rPr>
        <w:t>The</w:t>
      </w:r>
      <w:r>
        <w:rPr>
          <w:spacing w:val="-5"/>
          <w:sz w:val="18"/>
          <w:vertAlign w:val="baseline"/>
        </w:rPr>
        <w:t> </w:t>
      </w:r>
      <w:r>
        <w:rPr>
          <w:sz w:val="18"/>
          <w:vertAlign w:val="baseline"/>
        </w:rPr>
        <w:t>APA</w:t>
      </w:r>
      <w:r>
        <w:rPr>
          <w:spacing w:val="-2"/>
          <w:sz w:val="18"/>
          <w:vertAlign w:val="baseline"/>
        </w:rPr>
        <w:t> </w:t>
      </w:r>
      <w:r>
        <w:rPr>
          <w:sz w:val="18"/>
          <w:vertAlign w:val="baseline"/>
        </w:rPr>
        <w:t>Presidential</w:t>
      </w:r>
      <w:r>
        <w:rPr>
          <w:spacing w:val="-4"/>
          <w:sz w:val="18"/>
          <w:vertAlign w:val="baseline"/>
        </w:rPr>
        <w:t> </w:t>
      </w:r>
      <w:r>
        <w:rPr>
          <w:sz w:val="18"/>
          <w:vertAlign w:val="baseline"/>
        </w:rPr>
        <w:t>Task</w:t>
      </w:r>
      <w:r>
        <w:rPr>
          <w:spacing w:val="-3"/>
          <w:sz w:val="18"/>
          <w:vertAlign w:val="baseline"/>
        </w:rPr>
        <w:t> </w:t>
      </w:r>
      <w:r>
        <w:rPr>
          <w:sz w:val="18"/>
          <w:vertAlign w:val="baseline"/>
        </w:rPr>
        <w:t>Force</w:t>
      </w:r>
      <w:r>
        <w:rPr>
          <w:spacing w:val="-2"/>
          <w:sz w:val="18"/>
          <w:vertAlign w:val="baseline"/>
        </w:rPr>
        <w:t> </w:t>
      </w:r>
      <w:r>
        <w:rPr>
          <w:sz w:val="18"/>
          <w:vertAlign w:val="baseline"/>
        </w:rPr>
        <w:t>on</w:t>
      </w:r>
      <w:r>
        <w:rPr>
          <w:spacing w:val="-3"/>
          <w:sz w:val="18"/>
          <w:vertAlign w:val="baseline"/>
        </w:rPr>
        <w:t> </w:t>
      </w:r>
      <w:r>
        <w:rPr>
          <w:sz w:val="18"/>
          <w:vertAlign w:val="baseline"/>
        </w:rPr>
        <w:t>Immigration.</w:t>
      </w:r>
      <w:r>
        <w:rPr>
          <w:spacing w:val="-2"/>
          <w:sz w:val="18"/>
          <w:vertAlign w:val="baseline"/>
        </w:rPr>
        <w:t> </w:t>
      </w:r>
      <w:r>
        <w:rPr>
          <w:sz w:val="18"/>
          <w:vertAlign w:val="baseline"/>
        </w:rPr>
        <w:t>(2013).</w:t>
      </w:r>
      <w:r>
        <w:rPr>
          <w:spacing w:val="-4"/>
          <w:sz w:val="18"/>
          <w:vertAlign w:val="baseline"/>
        </w:rPr>
        <w:t> </w:t>
      </w:r>
      <w:r>
        <w:rPr>
          <w:sz w:val="18"/>
          <w:vertAlign w:val="baseline"/>
        </w:rPr>
        <w:t>Crossroads:</w:t>
      </w:r>
      <w:r>
        <w:rPr>
          <w:spacing w:val="-2"/>
          <w:sz w:val="18"/>
          <w:vertAlign w:val="baseline"/>
        </w:rPr>
        <w:t> </w:t>
      </w:r>
      <w:r>
        <w:rPr>
          <w:sz w:val="18"/>
          <w:vertAlign w:val="baseline"/>
        </w:rPr>
        <w:t>The</w:t>
      </w:r>
      <w:r>
        <w:rPr>
          <w:spacing w:val="-3"/>
          <w:sz w:val="18"/>
          <w:vertAlign w:val="baseline"/>
        </w:rPr>
        <w:t> </w:t>
      </w:r>
      <w:r>
        <w:rPr>
          <w:sz w:val="18"/>
          <w:vertAlign w:val="baseline"/>
        </w:rPr>
        <w:t>psychology</w:t>
      </w:r>
      <w:r>
        <w:rPr>
          <w:spacing w:val="-2"/>
          <w:sz w:val="18"/>
          <w:vertAlign w:val="baseline"/>
        </w:rPr>
        <w:t> </w:t>
      </w:r>
      <w:r>
        <w:rPr>
          <w:sz w:val="18"/>
          <w:vertAlign w:val="baseline"/>
        </w:rPr>
        <w:t>of</w:t>
      </w:r>
      <w:r>
        <w:rPr>
          <w:spacing w:val="-3"/>
          <w:sz w:val="18"/>
          <w:vertAlign w:val="baseline"/>
        </w:rPr>
        <w:t> </w:t>
      </w:r>
      <w:r>
        <w:rPr>
          <w:sz w:val="18"/>
          <w:vertAlign w:val="baseline"/>
        </w:rPr>
        <w:t>immigration</w:t>
      </w:r>
      <w:r>
        <w:rPr>
          <w:spacing w:val="-2"/>
          <w:sz w:val="18"/>
          <w:vertAlign w:val="baseline"/>
        </w:rPr>
        <w:t> </w:t>
      </w:r>
      <w:r>
        <w:rPr>
          <w:sz w:val="18"/>
          <w:vertAlign w:val="baseline"/>
        </w:rPr>
        <w:t>in</w:t>
      </w:r>
      <w:r>
        <w:rPr>
          <w:spacing w:val="-3"/>
          <w:sz w:val="18"/>
          <w:vertAlign w:val="baseline"/>
        </w:rPr>
        <w:t> </w:t>
      </w:r>
      <w:r>
        <w:rPr>
          <w:sz w:val="18"/>
          <w:vertAlign w:val="baseline"/>
        </w:rPr>
        <w:t>the</w:t>
      </w:r>
      <w:r>
        <w:rPr>
          <w:spacing w:val="-2"/>
          <w:sz w:val="18"/>
          <w:vertAlign w:val="baseline"/>
        </w:rPr>
        <w:t> </w:t>
      </w:r>
      <w:r>
        <w:rPr>
          <w:sz w:val="18"/>
          <w:vertAlign w:val="baseline"/>
        </w:rPr>
        <w:t>new</w:t>
      </w:r>
      <w:r>
        <w:rPr>
          <w:spacing w:val="-3"/>
          <w:sz w:val="18"/>
          <w:vertAlign w:val="baseline"/>
        </w:rPr>
        <w:t> </w:t>
      </w:r>
      <w:r>
        <w:rPr>
          <w:spacing w:val="-2"/>
          <w:sz w:val="18"/>
          <w:vertAlign w:val="baseline"/>
        </w:rPr>
        <w:t>century.</w:t>
      </w:r>
    </w:p>
    <w:p>
      <w:pPr>
        <w:spacing w:before="0"/>
        <w:ind w:left="463" w:right="0" w:firstLine="0"/>
        <w:jc w:val="left"/>
        <w:rPr>
          <w:sz w:val="18"/>
        </w:rPr>
      </w:pPr>
      <w:r>
        <w:rPr>
          <w:i/>
          <w:sz w:val="18"/>
        </w:rPr>
        <w:t>Journal</w:t>
      </w:r>
      <w:r>
        <w:rPr>
          <w:i/>
          <w:spacing w:val="-6"/>
          <w:sz w:val="18"/>
        </w:rPr>
        <w:t> </w:t>
      </w:r>
      <w:r>
        <w:rPr>
          <w:i/>
          <w:sz w:val="18"/>
        </w:rPr>
        <w:t>of</w:t>
      </w:r>
      <w:r>
        <w:rPr>
          <w:i/>
          <w:spacing w:val="-3"/>
          <w:sz w:val="18"/>
        </w:rPr>
        <w:t> </w:t>
      </w:r>
      <w:r>
        <w:rPr>
          <w:i/>
          <w:sz w:val="18"/>
        </w:rPr>
        <w:t>Latina/o</w:t>
      </w:r>
      <w:r>
        <w:rPr>
          <w:i/>
          <w:spacing w:val="-4"/>
          <w:sz w:val="18"/>
        </w:rPr>
        <w:t> </w:t>
      </w:r>
      <w:r>
        <w:rPr>
          <w:i/>
          <w:sz w:val="18"/>
        </w:rPr>
        <w:t>Psychology,</w:t>
      </w:r>
      <w:r>
        <w:rPr>
          <w:i/>
          <w:spacing w:val="-3"/>
          <w:sz w:val="18"/>
        </w:rPr>
        <w:t> </w:t>
      </w:r>
      <w:r>
        <w:rPr>
          <w:i/>
          <w:sz w:val="18"/>
        </w:rPr>
        <w:t>1</w:t>
      </w:r>
      <w:r>
        <w:rPr>
          <w:sz w:val="18"/>
        </w:rPr>
        <w:t>(3),</w:t>
      </w:r>
      <w:r>
        <w:rPr>
          <w:spacing w:val="-4"/>
          <w:sz w:val="18"/>
        </w:rPr>
        <w:t> </w:t>
      </w:r>
      <w:r>
        <w:rPr>
          <w:sz w:val="18"/>
        </w:rPr>
        <w:t>133–148.</w:t>
      </w:r>
      <w:r>
        <w:rPr>
          <w:spacing w:val="-3"/>
          <w:sz w:val="18"/>
        </w:rPr>
        <w:t> </w:t>
      </w:r>
      <w:hyperlink r:id="rId588">
        <w:r>
          <w:rPr>
            <w:color w:val="0000FF"/>
            <w:spacing w:val="-2"/>
            <w:sz w:val="18"/>
            <w:u w:val="single" w:color="0000FF"/>
          </w:rPr>
          <w:t>https://doi.org/10.1037/lat0000001</w:t>
        </w:r>
      </w:hyperlink>
    </w:p>
    <w:p>
      <w:pPr>
        <w:spacing w:before="0"/>
        <w:ind w:left="463" w:right="2905" w:hanging="1"/>
        <w:jc w:val="left"/>
        <w:rPr>
          <w:sz w:val="18"/>
        </w:rPr>
      </w:pPr>
      <w:r>
        <w:rPr>
          <w:sz w:val="18"/>
          <w:vertAlign w:val="superscript"/>
        </w:rPr>
        <w:t>25</w:t>
      </w:r>
      <w:r>
        <w:rPr>
          <w:spacing w:val="-6"/>
          <w:sz w:val="18"/>
          <w:vertAlign w:val="baseline"/>
        </w:rPr>
        <w:t> </w:t>
      </w:r>
      <w:r>
        <w:rPr>
          <w:sz w:val="18"/>
          <w:vertAlign w:val="baseline"/>
        </w:rPr>
        <w:t>“LGBTQ Youth from Immigrant Families,” </w:t>
      </w:r>
      <w:r>
        <w:rPr>
          <w:i/>
          <w:sz w:val="18"/>
          <w:vertAlign w:val="baseline"/>
        </w:rPr>
        <w:t>The Trevor Project </w:t>
      </w:r>
      <w:r>
        <w:rPr>
          <w:sz w:val="18"/>
          <w:vertAlign w:val="baseline"/>
        </w:rPr>
        <w:t>(blog), April 30, 2021, </w:t>
      </w:r>
      <w:r>
        <w:rPr>
          <w:spacing w:val="-2"/>
          <w:sz w:val="18"/>
          <w:vertAlign w:val="baseline"/>
        </w:rPr>
        <w:t>https://</w:t>
      </w:r>
      <w:hyperlink r:id="rId589">
        <w:r>
          <w:rPr>
            <w:spacing w:val="-2"/>
            <w:sz w:val="18"/>
            <w:vertAlign w:val="baseline"/>
          </w:rPr>
          <w:t>www.thetrevorproject.org/research-briefs/lgbtq-youth-from-immigrant-families-2/.</w:t>
        </w:r>
      </w:hyperlink>
    </w:p>
    <w:p>
      <w:pPr>
        <w:spacing w:before="0"/>
        <w:ind w:left="463" w:right="0" w:firstLine="0"/>
        <w:jc w:val="left"/>
        <w:rPr>
          <w:sz w:val="18"/>
        </w:rPr>
      </w:pPr>
      <w:r>
        <w:rPr>
          <w:sz w:val="18"/>
          <w:vertAlign w:val="superscript"/>
        </w:rPr>
        <w:t>26</w:t>
      </w:r>
      <w:r>
        <w:rPr>
          <w:spacing w:val="-15"/>
          <w:sz w:val="18"/>
          <w:vertAlign w:val="baseline"/>
        </w:rPr>
        <w:t> </w:t>
      </w:r>
      <w:r>
        <w:rPr>
          <w:sz w:val="18"/>
          <w:vertAlign w:val="baseline"/>
        </w:rPr>
        <w:t>“Latinx</w:t>
      </w:r>
      <w:r>
        <w:rPr>
          <w:spacing w:val="-5"/>
          <w:sz w:val="18"/>
          <w:vertAlign w:val="baseline"/>
        </w:rPr>
        <w:t> </w:t>
      </w:r>
      <w:r>
        <w:rPr>
          <w:sz w:val="18"/>
          <w:vertAlign w:val="baseline"/>
        </w:rPr>
        <w:t>LGBTQ+</w:t>
      </w:r>
      <w:r>
        <w:rPr>
          <w:spacing w:val="-2"/>
          <w:sz w:val="18"/>
          <w:vertAlign w:val="baseline"/>
        </w:rPr>
        <w:t> </w:t>
      </w:r>
      <w:r>
        <w:rPr>
          <w:sz w:val="18"/>
          <w:vertAlign w:val="baseline"/>
        </w:rPr>
        <w:t>Immigrant</w:t>
      </w:r>
      <w:r>
        <w:rPr>
          <w:spacing w:val="-4"/>
          <w:sz w:val="18"/>
          <w:vertAlign w:val="baseline"/>
        </w:rPr>
        <w:t> </w:t>
      </w:r>
      <w:r>
        <w:rPr>
          <w:sz w:val="18"/>
          <w:vertAlign w:val="baseline"/>
        </w:rPr>
        <w:t>Youth</w:t>
      </w:r>
      <w:r>
        <w:rPr>
          <w:spacing w:val="-2"/>
          <w:sz w:val="18"/>
          <w:vertAlign w:val="baseline"/>
        </w:rPr>
        <w:t> </w:t>
      </w:r>
      <w:r>
        <w:rPr>
          <w:sz w:val="18"/>
          <w:vertAlign w:val="baseline"/>
        </w:rPr>
        <w:t>/</w:t>
      </w:r>
      <w:r>
        <w:rPr>
          <w:spacing w:val="-3"/>
          <w:sz w:val="18"/>
          <w:vertAlign w:val="baseline"/>
        </w:rPr>
        <w:t> </w:t>
      </w:r>
      <w:r>
        <w:rPr>
          <w:sz w:val="18"/>
          <w:vertAlign w:val="baseline"/>
        </w:rPr>
        <w:t>Jovenes</w:t>
      </w:r>
      <w:r>
        <w:rPr>
          <w:spacing w:val="-2"/>
          <w:sz w:val="18"/>
          <w:vertAlign w:val="baseline"/>
        </w:rPr>
        <w:t> </w:t>
      </w:r>
      <w:r>
        <w:rPr>
          <w:sz w:val="18"/>
          <w:vertAlign w:val="baseline"/>
        </w:rPr>
        <w:t>Inmigrantes</w:t>
      </w:r>
      <w:r>
        <w:rPr>
          <w:spacing w:val="-3"/>
          <w:sz w:val="18"/>
          <w:vertAlign w:val="baseline"/>
        </w:rPr>
        <w:t> </w:t>
      </w:r>
      <w:r>
        <w:rPr>
          <w:sz w:val="18"/>
          <w:vertAlign w:val="baseline"/>
        </w:rPr>
        <w:t>Latinx</w:t>
      </w:r>
      <w:r>
        <w:rPr>
          <w:spacing w:val="-2"/>
          <w:sz w:val="18"/>
          <w:vertAlign w:val="baseline"/>
        </w:rPr>
        <w:t> </w:t>
      </w:r>
      <w:r>
        <w:rPr>
          <w:sz w:val="18"/>
          <w:vertAlign w:val="baseline"/>
        </w:rPr>
        <w:t>LGBTQ+</w:t>
      </w:r>
      <w:r>
        <w:rPr>
          <w:spacing w:val="-4"/>
          <w:sz w:val="18"/>
          <w:vertAlign w:val="baseline"/>
        </w:rPr>
        <w:t> </w:t>
      </w:r>
      <w:r>
        <w:rPr>
          <w:sz w:val="18"/>
          <w:vertAlign w:val="baseline"/>
        </w:rPr>
        <w:t>Provider</w:t>
      </w:r>
      <w:r>
        <w:rPr>
          <w:spacing w:val="-3"/>
          <w:sz w:val="18"/>
          <w:vertAlign w:val="baseline"/>
        </w:rPr>
        <w:t> </w:t>
      </w:r>
      <w:r>
        <w:rPr>
          <w:sz w:val="18"/>
          <w:vertAlign w:val="baseline"/>
        </w:rPr>
        <w:t>Fact</w:t>
      </w:r>
      <w:r>
        <w:rPr>
          <w:spacing w:val="-3"/>
          <w:sz w:val="18"/>
          <w:vertAlign w:val="baseline"/>
        </w:rPr>
        <w:t> </w:t>
      </w:r>
      <w:r>
        <w:rPr>
          <w:spacing w:val="-2"/>
          <w:sz w:val="18"/>
          <w:vertAlign w:val="baseline"/>
        </w:rPr>
        <w:t>Sheet.”</w:t>
      </w:r>
    </w:p>
    <w:p>
      <w:pPr>
        <w:spacing w:before="0"/>
        <w:ind w:left="463" w:right="0" w:hanging="1"/>
        <w:jc w:val="left"/>
        <w:rPr>
          <w:sz w:val="18"/>
        </w:rPr>
      </w:pPr>
      <w:r>
        <w:rPr>
          <w:sz w:val="18"/>
          <w:vertAlign w:val="superscript"/>
        </w:rPr>
        <w:t>27</w:t>
      </w:r>
      <w:r>
        <w:rPr>
          <w:spacing w:val="-13"/>
          <w:sz w:val="18"/>
          <w:vertAlign w:val="baseline"/>
        </w:rPr>
        <w:t> </w:t>
      </w:r>
      <w:r>
        <w:rPr>
          <w:sz w:val="18"/>
          <w:vertAlign w:val="baseline"/>
        </w:rPr>
        <w:t>MIRA</w:t>
      </w:r>
      <w:r>
        <w:rPr>
          <w:spacing w:val="-7"/>
          <w:sz w:val="18"/>
          <w:vertAlign w:val="baseline"/>
        </w:rPr>
        <w:t> </w:t>
      </w:r>
      <w:r>
        <w:rPr>
          <w:sz w:val="18"/>
          <w:vertAlign w:val="baseline"/>
        </w:rPr>
        <w:t>Coalition,</w:t>
      </w:r>
      <w:r>
        <w:rPr>
          <w:spacing w:val="-5"/>
          <w:sz w:val="18"/>
          <w:vertAlign w:val="baseline"/>
        </w:rPr>
        <w:t> </w:t>
      </w:r>
      <w:r>
        <w:rPr>
          <w:sz w:val="18"/>
          <w:vertAlign w:val="baseline"/>
        </w:rPr>
        <w:t>“2021</w:t>
      </w:r>
      <w:r>
        <w:rPr>
          <w:spacing w:val="-4"/>
          <w:sz w:val="18"/>
          <w:vertAlign w:val="baseline"/>
        </w:rPr>
        <w:t> </w:t>
      </w:r>
      <w:r>
        <w:rPr>
          <w:sz w:val="18"/>
          <w:vertAlign w:val="baseline"/>
        </w:rPr>
        <w:t>MIRA</w:t>
      </w:r>
      <w:r>
        <w:rPr>
          <w:spacing w:val="-4"/>
          <w:sz w:val="18"/>
          <w:vertAlign w:val="baseline"/>
        </w:rPr>
        <w:t> </w:t>
      </w:r>
      <w:r>
        <w:rPr>
          <w:sz w:val="18"/>
          <w:vertAlign w:val="baseline"/>
        </w:rPr>
        <w:t>Coalition</w:t>
      </w:r>
      <w:r>
        <w:rPr>
          <w:spacing w:val="-4"/>
          <w:sz w:val="18"/>
          <w:vertAlign w:val="baseline"/>
        </w:rPr>
        <w:t> </w:t>
      </w:r>
      <w:r>
        <w:rPr>
          <w:sz w:val="18"/>
          <w:vertAlign w:val="baseline"/>
        </w:rPr>
        <w:t>Annual</w:t>
      </w:r>
      <w:r>
        <w:rPr>
          <w:spacing w:val="-5"/>
          <w:sz w:val="18"/>
          <w:vertAlign w:val="baseline"/>
        </w:rPr>
        <w:t> </w:t>
      </w:r>
      <w:r>
        <w:rPr>
          <w:sz w:val="18"/>
          <w:vertAlign w:val="baseline"/>
        </w:rPr>
        <w:t>Report,”</w:t>
      </w:r>
      <w:r>
        <w:rPr>
          <w:spacing w:val="-4"/>
          <w:sz w:val="18"/>
          <w:vertAlign w:val="baseline"/>
        </w:rPr>
        <w:t> </w:t>
      </w:r>
      <w:r>
        <w:rPr>
          <w:sz w:val="18"/>
          <w:vertAlign w:val="baseline"/>
        </w:rPr>
        <w:t>2021,</w:t>
      </w:r>
      <w:r>
        <w:rPr>
          <w:spacing w:val="-5"/>
          <w:sz w:val="18"/>
          <w:vertAlign w:val="baseline"/>
        </w:rPr>
        <w:t> </w:t>
      </w:r>
      <w:r>
        <w:rPr>
          <w:sz w:val="18"/>
          <w:vertAlign w:val="baseline"/>
        </w:rPr>
        <w:t>https://miracoalition.org/wp- </w:t>
      </w:r>
      <w:r>
        <w:rPr>
          <w:spacing w:val="-2"/>
          <w:sz w:val="18"/>
          <w:vertAlign w:val="baseline"/>
        </w:rPr>
        <w:t>content/uploads/2022/09/MIRAAnnualReport2021Final.pdf.</w:t>
      </w:r>
    </w:p>
    <w:p>
      <w:pPr>
        <w:spacing w:before="0"/>
        <w:ind w:left="463" w:right="377" w:hanging="1"/>
        <w:jc w:val="left"/>
        <w:rPr>
          <w:sz w:val="18"/>
        </w:rPr>
      </w:pPr>
      <w:r>
        <w:rPr>
          <w:sz w:val="18"/>
          <w:vertAlign w:val="superscript"/>
        </w:rPr>
        <w:t>28</w:t>
      </w:r>
      <w:r>
        <w:rPr>
          <w:spacing w:val="-14"/>
          <w:sz w:val="18"/>
          <w:vertAlign w:val="baseline"/>
        </w:rPr>
        <w:t> </w:t>
      </w:r>
      <w:r>
        <w:rPr>
          <w:sz w:val="18"/>
          <w:vertAlign w:val="baseline"/>
        </w:rPr>
        <w:t>Pascale</w:t>
      </w:r>
      <w:r>
        <w:rPr>
          <w:spacing w:val="-5"/>
          <w:sz w:val="18"/>
          <w:vertAlign w:val="baseline"/>
        </w:rPr>
        <w:t> </w:t>
      </w:r>
      <w:r>
        <w:rPr>
          <w:sz w:val="18"/>
          <w:vertAlign w:val="baseline"/>
        </w:rPr>
        <w:t>Joassart-Marcelli,</w:t>
      </w:r>
      <w:r>
        <w:rPr>
          <w:spacing w:val="-4"/>
          <w:sz w:val="18"/>
          <w:vertAlign w:val="baseline"/>
        </w:rPr>
        <w:t> </w:t>
      </w:r>
      <w:r>
        <w:rPr>
          <w:sz w:val="18"/>
          <w:vertAlign w:val="baseline"/>
        </w:rPr>
        <w:t>“Ethnic</w:t>
      </w:r>
      <w:r>
        <w:rPr>
          <w:spacing w:val="-4"/>
          <w:sz w:val="18"/>
          <w:vertAlign w:val="baseline"/>
        </w:rPr>
        <w:t> </w:t>
      </w:r>
      <w:r>
        <w:rPr>
          <w:sz w:val="18"/>
          <w:vertAlign w:val="baseline"/>
        </w:rPr>
        <w:t>Concentration</w:t>
      </w:r>
      <w:r>
        <w:rPr>
          <w:spacing w:val="-3"/>
          <w:sz w:val="18"/>
          <w:vertAlign w:val="baseline"/>
        </w:rPr>
        <w:t> </w:t>
      </w:r>
      <w:r>
        <w:rPr>
          <w:sz w:val="18"/>
          <w:vertAlign w:val="baseline"/>
        </w:rPr>
        <w:t>and</w:t>
      </w:r>
      <w:r>
        <w:rPr>
          <w:spacing w:val="-3"/>
          <w:sz w:val="18"/>
          <w:vertAlign w:val="baseline"/>
        </w:rPr>
        <w:t> </w:t>
      </w:r>
      <w:r>
        <w:rPr>
          <w:sz w:val="18"/>
          <w:vertAlign w:val="baseline"/>
        </w:rPr>
        <w:t>Nonprofit</w:t>
      </w:r>
      <w:r>
        <w:rPr>
          <w:spacing w:val="-5"/>
          <w:sz w:val="18"/>
          <w:vertAlign w:val="baseline"/>
        </w:rPr>
        <w:t> </w:t>
      </w:r>
      <w:r>
        <w:rPr>
          <w:sz w:val="18"/>
          <w:vertAlign w:val="baseline"/>
        </w:rPr>
        <w:t>Organizations:</w:t>
      </w:r>
      <w:r>
        <w:rPr>
          <w:spacing w:val="-3"/>
          <w:sz w:val="18"/>
          <w:vertAlign w:val="baseline"/>
        </w:rPr>
        <w:t> </w:t>
      </w:r>
      <w:r>
        <w:rPr>
          <w:sz w:val="18"/>
          <w:vertAlign w:val="baseline"/>
        </w:rPr>
        <w:t>The</w:t>
      </w:r>
      <w:r>
        <w:rPr>
          <w:spacing w:val="-3"/>
          <w:sz w:val="18"/>
          <w:vertAlign w:val="baseline"/>
        </w:rPr>
        <w:t> </w:t>
      </w:r>
      <w:r>
        <w:rPr>
          <w:sz w:val="18"/>
          <w:vertAlign w:val="baseline"/>
        </w:rPr>
        <w:t>Political</w:t>
      </w:r>
      <w:r>
        <w:rPr>
          <w:spacing w:val="-4"/>
          <w:sz w:val="18"/>
          <w:vertAlign w:val="baseline"/>
        </w:rPr>
        <w:t> </w:t>
      </w:r>
      <w:r>
        <w:rPr>
          <w:sz w:val="18"/>
          <w:vertAlign w:val="baseline"/>
        </w:rPr>
        <w:t>and</w:t>
      </w:r>
      <w:r>
        <w:rPr>
          <w:spacing w:val="-3"/>
          <w:sz w:val="18"/>
          <w:vertAlign w:val="baseline"/>
        </w:rPr>
        <w:t> </w:t>
      </w:r>
      <w:r>
        <w:rPr>
          <w:sz w:val="18"/>
          <w:vertAlign w:val="baseline"/>
        </w:rPr>
        <w:t>Urban</w:t>
      </w:r>
      <w:r>
        <w:rPr>
          <w:spacing w:val="-3"/>
          <w:sz w:val="18"/>
          <w:vertAlign w:val="baseline"/>
        </w:rPr>
        <w:t> </w:t>
      </w:r>
      <w:r>
        <w:rPr>
          <w:sz w:val="18"/>
          <w:vertAlign w:val="baseline"/>
        </w:rPr>
        <w:t>Geography</w:t>
      </w:r>
      <w:r>
        <w:rPr>
          <w:spacing w:val="-3"/>
          <w:sz w:val="18"/>
          <w:vertAlign w:val="baseline"/>
        </w:rPr>
        <w:t> </w:t>
      </w:r>
      <w:r>
        <w:rPr>
          <w:sz w:val="18"/>
          <w:vertAlign w:val="baseline"/>
        </w:rPr>
        <w:t>of Immigrant Services in Boston, Massachusetts” International Migration Review, Vol. 47, no. 3 (Fall 2013): 730-772, </w:t>
      </w:r>
      <w:hyperlink r:id="rId590">
        <w:r>
          <w:rPr>
            <w:color w:val="1154CC"/>
            <w:spacing w:val="-2"/>
            <w:sz w:val="18"/>
            <w:u w:val="single" w:color="1154CC"/>
            <w:vertAlign w:val="baseline"/>
          </w:rPr>
          <w:t>https://doi.org/10.1111/imre.12041</w:t>
        </w:r>
        <w:r>
          <w:rPr>
            <w:spacing w:val="-2"/>
            <w:sz w:val="18"/>
            <w:u w:val="none"/>
            <w:vertAlign w:val="baseline"/>
          </w:rPr>
          <w:t>.</w:t>
        </w:r>
      </w:hyperlink>
    </w:p>
    <w:p>
      <w:pPr>
        <w:spacing w:before="0"/>
        <w:ind w:left="463" w:right="271" w:hanging="1"/>
        <w:jc w:val="left"/>
        <w:rPr>
          <w:sz w:val="18"/>
        </w:rPr>
      </w:pPr>
      <w:r>
        <w:rPr>
          <w:sz w:val="18"/>
          <w:vertAlign w:val="superscript"/>
        </w:rPr>
        <w:t>28</w:t>
      </w:r>
      <w:r>
        <w:rPr>
          <w:spacing w:val="-13"/>
          <w:sz w:val="18"/>
          <w:vertAlign w:val="baseline"/>
        </w:rPr>
        <w:t> </w:t>
      </w:r>
      <w:r>
        <w:rPr>
          <w:sz w:val="18"/>
          <w:vertAlign w:val="baseline"/>
        </w:rPr>
        <w:t>Sarah</w:t>
      </w:r>
      <w:r>
        <w:rPr>
          <w:spacing w:val="-4"/>
          <w:sz w:val="18"/>
          <w:vertAlign w:val="baseline"/>
        </w:rPr>
        <w:t> </w:t>
      </w:r>
      <w:r>
        <w:rPr>
          <w:sz w:val="18"/>
          <w:vertAlign w:val="baseline"/>
        </w:rPr>
        <w:t>Betancourt,</w:t>
      </w:r>
      <w:r>
        <w:rPr>
          <w:spacing w:val="-3"/>
          <w:sz w:val="18"/>
          <w:vertAlign w:val="baseline"/>
        </w:rPr>
        <w:t> </w:t>
      </w:r>
      <w:r>
        <w:rPr>
          <w:sz w:val="18"/>
          <w:vertAlign w:val="baseline"/>
        </w:rPr>
        <w:t>“Walsh,</w:t>
      </w:r>
      <w:r>
        <w:rPr>
          <w:spacing w:val="-3"/>
          <w:sz w:val="18"/>
          <w:vertAlign w:val="baseline"/>
        </w:rPr>
        <w:t> </w:t>
      </w:r>
      <w:r>
        <w:rPr>
          <w:sz w:val="18"/>
          <w:vertAlign w:val="baseline"/>
        </w:rPr>
        <w:t>Zakim</w:t>
      </w:r>
      <w:r>
        <w:rPr>
          <w:spacing w:val="-2"/>
          <w:sz w:val="18"/>
          <w:vertAlign w:val="baseline"/>
        </w:rPr>
        <w:t> </w:t>
      </w:r>
      <w:r>
        <w:rPr>
          <w:sz w:val="18"/>
          <w:vertAlign w:val="baseline"/>
        </w:rPr>
        <w:t>Submit</w:t>
      </w:r>
      <w:r>
        <w:rPr>
          <w:spacing w:val="-3"/>
          <w:sz w:val="18"/>
          <w:vertAlign w:val="baseline"/>
        </w:rPr>
        <w:t> </w:t>
      </w:r>
      <w:r>
        <w:rPr>
          <w:sz w:val="18"/>
          <w:vertAlign w:val="baseline"/>
        </w:rPr>
        <w:t>Changes</w:t>
      </w:r>
      <w:r>
        <w:rPr>
          <w:spacing w:val="-2"/>
          <w:sz w:val="18"/>
          <w:vertAlign w:val="baseline"/>
        </w:rPr>
        <w:t> </w:t>
      </w:r>
      <w:r>
        <w:rPr>
          <w:sz w:val="18"/>
          <w:vertAlign w:val="baseline"/>
        </w:rPr>
        <w:t>to</w:t>
      </w:r>
      <w:r>
        <w:rPr>
          <w:spacing w:val="-2"/>
          <w:sz w:val="18"/>
          <w:vertAlign w:val="baseline"/>
        </w:rPr>
        <w:t> </w:t>
      </w:r>
      <w:r>
        <w:rPr>
          <w:sz w:val="18"/>
          <w:vertAlign w:val="baseline"/>
        </w:rPr>
        <w:t>Immigrant</w:t>
      </w:r>
      <w:r>
        <w:rPr>
          <w:spacing w:val="-4"/>
          <w:sz w:val="18"/>
          <w:vertAlign w:val="baseline"/>
        </w:rPr>
        <w:t> </w:t>
      </w:r>
      <w:r>
        <w:rPr>
          <w:sz w:val="18"/>
          <w:vertAlign w:val="baseline"/>
        </w:rPr>
        <w:t>Trust</w:t>
      </w:r>
      <w:r>
        <w:rPr>
          <w:spacing w:val="-3"/>
          <w:sz w:val="18"/>
          <w:vertAlign w:val="baseline"/>
        </w:rPr>
        <w:t> </w:t>
      </w:r>
      <w:r>
        <w:rPr>
          <w:sz w:val="18"/>
          <w:vertAlign w:val="baseline"/>
        </w:rPr>
        <w:t>Act,”</w:t>
      </w:r>
      <w:r>
        <w:rPr>
          <w:spacing w:val="-2"/>
          <w:sz w:val="18"/>
          <w:vertAlign w:val="baseline"/>
        </w:rPr>
        <w:t> </w:t>
      </w:r>
      <w:r>
        <w:rPr>
          <w:i/>
          <w:sz w:val="18"/>
          <w:vertAlign w:val="baseline"/>
        </w:rPr>
        <w:t>CommonWealth</w:t>
      </w:r>
      <w:r>
        <w:rPr>
          <w:i/>
          <w:spacing w:val="-3"/>
          <w:sz w:val="18"/>
          <w:vertAlign w:val="baseline"/>
        </w:rPr>
        <w:t> </w:t>
      </w:r>
      <w:r>
        <w:rPr>
          <w:i/>
          <w:sz w:val="18"/>
          <w:vertAlign w:val="baseline"/>
        </w:rPr>
        <w:t>Magazine</w:t>
      </w:r>
      <w:r>
        <w:rPr>
          <w:i/>
          <w:spacing w:val="-2"/>
          <w:sz w:val="18"/>
          <w:vertAlign w:val="baseline"/>
        </w:rPr>
        <w:t> </w:t>
      </w:r>
      <w:r>
        <w:rPr>
          <w:sz w:val="18"/>
          <w:vertAlign w:val="baseline"/>
        </w:rPr>
        <w:t>(blog),</w:t>
      </w:r>
      <w:r>
        <w:rPr>
          <w:spacing w:val="-3"/>
          <w:sz w:val="18"/>
          <w:vertAlign w:val="baseline"/>
        </w:rPr>
        <w:t> </w:t>
      </w:r>
      <w:r>
        <w:rPr>
          <w:sz w:val="18"/>
          <w:vertAlign w:val="baseline"/>
        </w:rPr>
        <w:t>December</w:t>
      </w:r>
      <w:r>
        <w:rPr>
          <w:spacing w:val="-3"/>
          <w:sz w:val="18"/>
          <w:vertAlign w:val="baseline"/>
        </w:rPr>
        <w:t> </w:t>
      </w:r>
      <w:r>
        <w:rPr>
          <w:sz w:val="18"/>
          <w:vertAlign w:val="baseline"/>
        </w:rPr>
        <w:t>9, 2019,</w:t>
      </w:r>
      <w:r>
        <w:rPr>
          <w:spacing w:val="-2"/>
          <w:sz w:val="18"/>
          <w:vertAlign w:val="baseline"/>
        </w:rPr>
        <w:t> </w:t>
      </w:r>
      <w:r>
        <w:rPr>
          <w:sz w:val="18"/>
          <w:vertAlign w:val="baseline"/>
        </w:rPr>
        <w:t>https://commonwealthmagazine.org/immigration/walsh-zakim-submit-changes-to-immigrant-trust-act/.</w:t>
      </w:r>
    </w:p>
    <w:p>
      <w:pPr>
        <w:spacing w:before="0"/>
        <w:ind w:left="463" w:right="271" w:hanging="1"/>
        <w:jc w:val="left"/>
        <w:rPr>
          <w:sz w:val="18"/>
        </w:rPr>
      </w:pPr>
      <w:r>
        <w:rPr>
          <w:sz w:val="18"/>
          <w:vertAlign w:val="superscript"/>
        </w:rPr>
        <w:t>29</w:t>
      </w:r>
      <w:r>
        <w:rPr>
          <w:spacing w:val="-13"/>
          <w:sz w:val="18"/>
          <w:vertAlign w:val="baseline"/>
        </w:rPr>
        <w:t> </w:t>
      </w:r>
      <w:r>
        <w:rPr>
          <w:sz w:val="18"/>
          <w:vertAlign w:val="baseline"/>
        </w:rPr>
        <w:t>Ilan</w:t>
      </w:r>
      <w:r>
        <w:rPr>
          <w:spacing w:val="-3"/>
          <w:sz w:val="18"/>
          <w:vertAlign w:val="baseline"/>
        </w:rPr>
        <w:t> </w:t>
      </w:r>
      <w:r>
        <w:rPr>
          <w:sz w:val="18"/>
          <w:vertAlign w:val="baseline"/>
        </w:rPr>
        <w:t>H.</w:t>
      </w:r>
      <w:r>
        <w:rPr>
          <w:spacing w:val="-2"/>
          <w:sz w:val="18"/>
          <w:vertAlign w:val="baseline"/>
        </w:rPr>
        <w:t> </w:t>
      </w:r>
      <w:r>
        <w:rPr>
          <w:sz w:val="18"/>
          <w:vertAlign w:val="baseline"/>
        </w:rPr>
        <w:t>Meyer</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“Incarceration</w:t>
      </w:r>
      <w:r>
        <w:rPr>
          <w:spacing w:val="-2"/>
          <w:sz w:val="18"/>
          <w:vertAlign w:val="baseline"/>
        </w:rPr>
        <w:t> </w:t>
      </w:r>
      <w:r>
        <w:rPr>
          <w:sz w:val="18"/>
          <w:vertAlign w:val="baseline"/>
        </w:rPr>
        <w:t>Rates</w:t>
      </w:r>
      <w:r>
        <w:rPr>
          <w:spacing w:val="-2"/>
          <w:sz w:val="18"/>
          <w:vertAlign w:val="baseline"/>
        </w:rPr>
        <w:t> </w:t>
      </w:r>
      <w:r>
        <w:rPr>
          <w:sz w:val="18"/>
          <w:vertAlign w:val="baseline"/>
        </w:rPr>
        <w:t>and</w:t>
      </w:r>
      <w:r>
        <w:rPr>
          <w:spacing w:val="-2"/>
          <w:sz w:val="18"/>
          <w:vertAlign w:val="baseline"/>
        </w:rPr>
        <w:t> </w:t>
      </w:r>
      <w:r>
        <w:rPr>
          <w:sz w:val="18"/>
          <w:vertAlign w:val="baseline"/>
        </w:rPr>
        <w:t>Traits</w:t>
      </w:r>
      <w:r>
        <w:rPr>
          <w:spacing w:val="-2"/>
          <w:sz w:val="18"/>
          <w:vertAlign w:val="baseline"/>
        </w:rPr>
        <w:t> </w:t>
      </w:r>
      <w:r>
        <w:rPr>
          <w:sz w:val="18"/>
          <w:vertAlign w:val="baseline"/>
        </w:rPr>
        <w:t>of</w:t>
      </w:r>
      <w:r>
        <w:rPr>
          <w:spacing w:val="-2"/>
          <w:sz w:val="18"/>
          <w:vertAlign w:val="baseline"/>
        </w:rPr>
        <w:t> </w:t>
      </w:r>
      <w:r>
        <w:rPr>
          <w:sz w:val="18"/>
          <w:vertAlign w:val="baseline"/>
        </w:rPr>
        <w:t>Sexual</w:t>
      </w:r>
      <w:r>
        <w:rPr>
          <w:spacing w:val="-3"/>
          <w:sz w:val="18"/>
          <w:vertAlign w:val="baseline"/>
        </w:rPr>
        <w:t> </w:t>
      </w:r>
      <w:r>
        <w:rPr>
          <w:sz w:val="18"/>
          <w:vertAlign w:val="baseline"/>
        </w:rPr>
        <w:t>Minorities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National</w:t>
      </w:r>
      <w:r>
        <w:rPr>
          <w:spacing w:val="-3"/>
          <w:sz w:val="18"/>
          <w:vertAlign w:val="baseline"/>
        </w:rPr>
        <w:t> </w:t>
      </w:r>
      <w:r>
        <w:rPr>
          <w:sz w:val="18"/>
          <w:vertAlign w:val="baseline"/>
        </w:rPr>
        <w:t>Inmate</w:t>
      </w:r>
      <w:r>
        <w:rPr>
          <w:spacing w:val="-2"/>
          <w:sz w:val="18"/>
          <w:vertAlign w:val="baseline"/>
        </w:rPr>
        <w:t> </w:t>
      </w:r>
      <w:r>
        <w:rPr>
          <w:sz w:val="18"/>
          <w:vertAlign w:val="baseline"/>
        </w:rPr>
        <w:t>Survey,</w:t>
      </w:r>
      <w:r>
        <w:rPr>
          <w:spacing w:val="-3"/>
          <w:sz w:val="18"/>
          <w:vertAlign w:val="baseline"/>
        </w:rPr>
        <w:t> </w:t>
      </w:r>
      <w:r>
        <w:rPr>
          <w:sz w:val="18"/>
          <w:vertAlign w:val="baseline"/>
        </w:rPr>
        <w:t>2011- 2012,” </w:t>
      </w:r>
      <w:r>
        <w:rPr>
          <w:i/>
          <w:sz w:val="18"/>
          <w:vertAlign w:val="baseline"/>
        </w:rPr>
        <w:t>American Journal of Public Health </w:t>
      </w:r>
      <w:r>
        <w:rPr>
          <w:sz w:val="18"/>
          <w:vertAlign w:val="baseline"/>
        </w:rPr>
        <w:t>107, no. 2 (February 2017): 267–73, https://doi.org/10.2105/AJPH.2016.303576;</w:t>
      </w:r>
    </w:p>
    <w:p>
      <w:pPr>
        <w:spacing w:after="0"/>
        <w:jc w:val="left"/>
        <w:rPr>
          <w:sz w:val="18"/>
        </w:rPr>
        <w:sectPr>
          <w:pgSz w:w="12240" w:h="15840"/>
          <w:pgMar w:header="805" w:footer="1208" w:top="1080" w:bottom="1420" w:left="980" w:right="1180"/>
        </w:sectPr>
      </w:pPr>
    </w:p>
    <w:p>
      <w:pPr>
        <w:spacing w:before="68"/>
        <w:ind w:left="463" w:right="3135" w:firstLine="0"/>
        <w:jc w:val="left"/>
        <w:rPr>
          <w:sz w:val="18"/>
        </w:rPr>
      </w:pPr>
      <w:r>
        <w:rPr>
          <w:sz w:val="18"/>
        </w:rPr>
        <w:t>Gallup</w:t>
      </w:r>
      <w:r>
        <w:rPr>
          <w:spacing w:val="-3"/>
          <w:sz w:val="18"/>
        </w:rPr>
        <w:t> </w:t>
      </w:r>
      <w:r>
        <w:rPr>
          <w:sz w:val="18"/>
        </w:rPr>
        <w:t>Inc,</w:t>
      </w:r>
      <w:r>
        <w:rPr>
          <w:spacing w:val="-4"/>
          <w:sz w:val="18"/>
        </w:rPr>
        <w:t> </w:t>
      </w:r>
      <w:r>
        <w:rPr>
          <w:sz w:val="18"/>
        </w:rPr>
        <w:t>“LGBT</w:t>
      </w:r>
      <w:r>
        <w:rPr>
          <w:spacing w:val="-3"/>
          <w:sz w:val="18"/>
        </w:rPr>
        <w:t> </w:t>
      </w:r>
      <w:r>
        <w:rPr>
          <w:sz w:val="18"/>
        </w:rPr>
        <w:t>Identification</w:t>
      </w:r>
      <w:r>
        <w:rPr>
          <w:spacing w:val="-3"/>
          <w:sz w:val="18"/>
        </w:rPr>
        <w:t> </w:t>
      </w:r>
      <w:r>
        <w:rPr>
          <w:sz w:val="18"/>
        </w:rPr>
        <w:t>in</w:t>
      </w:r>
      <w:r>
        <w:rPr>
          <w:spacing w:val="-3"/>
          <w:sz w:val="18"/>
        </w:rPr>
        <w:t> </w:t>
      </w:r>
      <w:r>
        <w:rPr>
          <w:sz w:val="18"/>
        </w:rPr>
        <w:t>U.S.</w:t>
      </w:r>
      <w:r>
        <w:rPr>
          <w:spacing w:val="-3"/>
          <w:sz w:val="18"/>
        </w:rPr>
        <w:t> </w:t>
      </w:r>
      <w:r>
        <w:rPr>
          <w:sz w:val="18"/>
        </w:rPr>
        <w:t>Ticks</w:t>
      </w:r>
      <w:r>
        <w:rPr>
          <w:spacing w:val="-3"/>
          <w:sz w:val="18"/>
        </w:rPr>
        <w:t> </w:t>
      </w:r>
      <w:r>
        <w:rPr>
          <w:sz w:val="18"/>
        </w:rPr>
        <w:t>Up</w:t>
      </w:r>
      <w:r>
        <w:rPr>
          <w:spacing w:val="-3"/>
          <w:sz w:val="18"/>
        </w:rPr>
        <w:t> </w:t>
      </w:r>
      <w:r>
        <w:rPr>
          <w:sz w:val="18"/>
        </w:rPr>
        <w:t>to</w:t>
      </w:r>
      <w:r>
        <w:rPr>
          <w:spacing w:val="-3"/>
          <w:sz w:val="18"/>
        </w:rPr>
        <w:t> </w:t>
      </w:r>
      <w:r>
        <w:rPr>
          <w:sz w:val="18"/>
        </w:rPr>
        <w:t>7.1%,”</w:t>
      </w:r>
      <w:r>
        <w:rPr>
          <w:spacing w:val="-3"/>
          <w:sz w:val="18"/>
        </w:rPr>
        <w:t> </w:t>
      </w:r>
      <w:r>
        <w:rPr>
          <w:sz w:val="18"/>
        </w:rPr>
        <w:t>Gallup.com,</w:t>
      </w:r>
      <w:r>
        <w:rPr>
          <w:spacing w:val="-4"/>
          <w:sz w:val="18"/>
        </w:rPr>
        <w:t> </w:t>
      </w:r>
      <w:r>
        <w:rPr>
          <w:sz w:val="18"/>
        </w:rPr>
        <w:t>February</w:t>
      </w:r>
      <w:r>
        <w:rPr>
          <w:spacing w:val="-3"/>
          <w:sz w:val="18"/>
        </w:rPr>
        <w:t> </w:t>
      </w:r>
      <w:r>
        <w:rPr>
          <w:sz w:val="18"/>
        </w:rPr>
        <w:t>17,</w:t>
      </w:r>
      <w:r>
        <w:rPr>
          <w:spacing w:val="-4"/>
          <w:sz w:val="18"/>
        </w:rPr>
        <w:t> </w:t>
      </w:r>
      <w:r>
        <w:rPr>
          <w:sz w:val="18"/>
        </w:rPr>
        <w:t>2022, </w:t>
      </w:r>
      <w:r>
        <w:rPr>
          <w:spacing w:val="-2"/>
          <w:sz w:val="18"/>
        </w:rPr>
        <w:t>https://news.gallup.com/poll/389792/lgbt-identification-ticks-up.aspx.</w:t>
      </w:r>
    </w:p>
    <w:p>
      <w:pPr>
        <w:spacing w:before="1"/>
        <w:ind w:left="463" w:right="341" w:hanging="1"/>
        <w:jc w:val="left"/>
        <w:rPr>
          <w:sz w:val="18"/>
        </w:rPr>
      </w:pPr>
      <w:r>
        <w:rPr>
          <w:sz w:val="18"/>
          <w:vertAlign w:val="superscript"/>
        </w:rPr>
        <w:t>30</w:t>
      </w:r>
      <w:r>
        <w:rPr>
          <w:spacing w:val="-13"/>
          <w:sz w:val="18"/>
          <w:vertAlign w:val="baseline"/>
        </w:rPr>
        <w:t> </w:t>
      </w:r>
      <w:r>
        <w:rPr>
          <w:sz w:val="18"/>
          <w:vertAlign w:val="baseline"/>
        </w:rPr>
        <w:t>Sarah</w:t>
      </w:r>
      <w:r>
        <w:rPr>
          <w:spacing w:val="-3"/>
          <w:sz w:val="18"/>
          <w:vertAlign w:val="baseline"/>
        </w:rPr>
        <w:t> </w:t>
      </w:r>
      <w:r>
        <w:rPr>
          <w:sz w:val="18"/>
          <w:vertAlign w:val="baseline"/>
        </w:rPr>
        <w:t>McBride,</w:t>
      </w:r>
      <w:r>
        <w:rPr>
          <w:spacing w:val="-3"/>
          <w:sz w:val="18"/>
          <w:vertAlign w:val="baseline"/>
        </w:rPr>
        <w:t> </w:t>
      </w:r>
      <w:r>
        <w:rPr>
          <w:sz w:val="18"/>
          <w:vertAlign w:val="baseline"/>
        </w:rPr>
        <w:t>Laura</w:t>
      </w:r>
      <w:r>
        <w:rPr>
          <w:spacing w:val="-2"/>
          <w:sz w:val="18"/>
          <w:vertAlign w:val="baseline"/>
        </w:rPr>
        <w:t> </w:t>
      </w:r>
      <w:r>
        <w:rPr>
          <w:sz w:val="18"/>
          <w:vertAlign w:val="baseline"/>
        </w:rPr>
        <w:t>Durso,</w:t>
      </w:r>
      <w:r>
        <w:rPr>
          <w:spacing w:val="-3"/>
          <w:sz w:val="18"/>
          <w:vertAlign w:val="baseline"/>
        </w:rPr>
        <w:t> </w:t>
      </w:r>
      <w:r>
        <w:rPr>
          <w:sz w:val="18"/>
          <w:vertAlign w:val="baseline"/>
        </w:rPr>
        <w:t>and</w:t>
      </w:r>
      <w:r>
        <w:rPr>
          <w:spacing w:val="-2"/>
          <w:sz w:val="18"/>
          <w:vertAlign w:val="baseline"/>
        </w:rPr>
        <w:t> </w:t>
      </w:r>
      <w:r>
        <w:rPr>
          <w:sz w:val="18"/>
          <w:vertAlign w:val="baseline"/>
        </w:rPr>
        <w:t>Hannah</w:t>
      </w:r>
      <w:r>
        <w:rPr>
          <w:spacing w:val="-2"/>
          <w:sz w:val="18"/>
          <w:vertAlign w:val="baseline"/>
        </w:rPr>
        <w:t> </w:t>
      </w:r>
      <w:r>
        <w:rPr>
          <w:sz w:val="18"/>
          <w:vertAlign w:val="baseline"/>
        </w:rPr>
        <w:t>Hussey,</w:t>
      </w:r>
      <w:r>
        <w:rPr>
          <w:spacing w:val="-3"/>
          <w:sz w:val="18"/>
          <w:vertAlign w:val="baseline"/>
        </w:rPr>
        <w:t> </w:t>
      </w:r>
      <w:r>
        <w:rPr>
          <w:sz w:val="18"/>
          <w:vertAlign w:val="baseline"/>
        </w:rPr>
        <w:t>“We</w:t>
      </w:r>
      <w:r>
        <w:rPr>
          <w:spacing w:val="-2"/>
          <w:sz w:val="18"/>
          <w:vertAlign w:val="baseline"/>
        </w:rPr>
        <w:t> </w:t>
      </w:r>
      <w:r>
        <w:rPr>
          <w:sz w:val="18"/>
          <w:vertAlign w:val="baseline"/>
        </w:rPr>
        <w:t>the</w:t>
      </w:r>
      <w:r>
        <w:rPr>
          <w:spacing w:val="-2"/>
          <w:sz w:val="18"/>
          <w:vertAlign w:val="baseline"/>
        </w:rPr>
        <w:t> </w:t>
      </w:r>
      <w:r>
        <w:rPr>
          <w:sz w:val="18"/>
          <w:vertAlign w:val="baseline"/>
        </w:rPr>
        <w:t>People,”</w:t>
      </w:r>
      <w:r>
        <w:rPr>
          <w:spacing w:val="-2"/>
          <w:sz w:val="18"/>
          <w:vertAlign w:val="baseline"/>
        </w:rPr>
        <w:t> </w:t>
      </w:r>
      <w:r>
        <w:rPr>
          <w:i/>
          <w:sz w:val="18"/>
          <w:vertAlign w:val="baseline"/>
        </w:rPr>
        <w:t>Center</w:t>
      </w:r>
      <w:r>
        <w:rPr>
          <w:i/>
          <w:spacing w:val="-3"/>
          <w:sz w:val="18"/>
          <w:vertAlign w:val="baseline"/>
        </w:rPr>
        <w:t> </w:t>
      </w:r>
      <w:r>
        <w:rPr>
          <w:i/>
          <w:sz w:val="18"/>
          <w:vertAlign w:val="baseline"/>
        </w:rPr>
        <w:t>for</w:t>
      </w:r>
      <w:r>
        <w:rPr>
          <w:i/>
          <w:spacing w:val="-3"/>
          <w:sz w:val="18"/>
          <w:vertAlign w:val="baseline"/>
        </w:rPr>
        <w:t> </w:t>
      </w:r>
      <w:r>
        <w:rPr>
          <w:i/>
          <w:sz w:val="18"/>
          <w:vertAlign w:val="baseline"/>
        </w:rPr>
        <w:t>American</w:t>
      </w:r>
      <w:r>
        <w:rPr>
          <w:i/>
          <w:spacing w:val="-2"/>
          <w:sz w:val="18"/>
          <w:vertAlign w:val="baseline"/>
        </w:rPr>
        <w:t> </w:t>
      </w:r>
      <w:r>
        <w:rPr>
          <w:i/>
          <w:sz w:val="18"/>
          <w:vertAlign w:val="baseline"/>
        </w:rPr>
        <w:t>Progress</w:t>
      </w:r>
      <w:r>
        <w:rPr>
          <w:i/>
          <w:spacing w:val="-3"/>
          <w:sz w:val="18"/>
          <w:vertAlign w:val="baseline"/>
        </w:rPr>
        <w:t> </w:t>
      </w:r>
      <w:r>
        <w:rPr>
          <w:sz w:val="18"/>
          <w:vertAlign w:val="baseline"/>
        </w:rPr>
        <w:t>(blog),</w:t>
      </w:r>
      <w:r>
        <w:rPr>
          <w:spacing w:val="-3"/>
          <w:sz w:val="18"/>
          <w:vertAlign w:val="baseline"/>
        </w:rPr>
        <w:t> </w:t>
      </w:r>
      <w:r>
        <w:rPr>
          <w:sz w:val="18"/>
          <w:vertAlign w:val="baseline"/>
        </w:rPr>
        <w:t>December</w:t>
      </w:r>
      <w:r>
        <w:rPr>
          <w:spacing w:val="-3"/>
          <w:sz w:val="18"/>
          <w:vertAlign w:val="baseline"/>
        </w:rPr>
        <w:t> </w:t>
      </w:r>
      <w:r>
        <w:rPr>
          <w:sz w:val="18"/>
          <w:vertAlign w:val="baseline"/>
        </w:rPr>
        <w:t>10,</w:t>
      </w:r>
      <w:r>
        <w:rPr>
          <w:spacing w:val="-3"/>
          <w:sz w:val="18"/>
          <w:vertAlign w:val="baseline"/>
        </w:rPr>
        <w:t> </w:t>
      </w:r>
      <w:r>
        <w:rPr>
          <w:sz w:val="18"/>
          <w:vertAlign w:val="baseline"/>
        </w:rPr>
        <w:t>2014, </w:t>
      </w:r>
      <w:r>
        <w:rPr>
          <w:spacing w:val="-2"/>
          <w:sz w:val="18"/>
          <w:vertAlign w:val="baseline"/>
        </w:rPr>
        <w:t>https://</w:t>
      </w:r>
      <w:hyperlink r:id="rId591">
        <w:r>
          <w:rPr>
            <w:spacing w:val="-2"/>
            <w:sz w:val="18"/>
            <w:vertAlign w:val="baseline"/>
          </w:rPr>
          <w:t>www.americanprogress.org/article/we-the-people-2/.</w:t>
        </w:r>
      </w:hyperlink>
    </w:p>
    <w:p>
      <w:pPr>
        <w:spacing w:before="0"/>
        <w:ind w:left="463" w:right="312" w:hanging="1"/>
        <w:jc w:val="left"/>
        <w:rPr>
          <w:sz w:val="18"/>
        </w:rPr>
      </w:pPr>
      <w:r>
        <w:rPr>
          <w:sz w:val="18"/>
          <w:vertAlign w:val="superscript"/>
        </w:rPr>
        <w:t>31</w:t>
      </w:r>
      <w:r>
        <w:rPr>
          <w:spacing w:val="-7"/>
          <w:sz w:val="18"/>
          <w:vertAlign w:val="baseline"/>
        </w:rPr>
        <w:t> </w:t>
      </w:r>
      <w:r>
        <w:rPr>
          <w:sz w:val="18"/>
          <w:vertAlign w:val="baseline"/>
        </w:rPr>
        <w:t>Movement Advancement Project and Center for American Progress, “Movement Advancement Project | Unjust: How the Broken</w:t>
      </w:r>
      <w:r>
        <w:rPr>
          <w:spacing w:val="-4"/>
          <w:sz w:val="18"/>
          <w:vertAlign w:val="baseline"/>
        </w:rPr>
        <w:t> </w:t>
      </w:r>
      <w:r>
        <w:rPr>
          <w:sz w:val="18"/>
          <w:vertAlign w:val="baseline"/>
        </w:rPr>
        <w:t>Criminal</w:t>
      </w:r>
      <w:r>
        <w:rPr>
          <w:spacing w:val="-5"/>
          <w:sz w:val="18"/>
          <w:vertAlign w:val="baseline"/>
        </w:rPr>
        <w:t> </w:t>
      </w:r>
      <w:r>
        <w:rPr>
          <w:sz w:val="18"/>
          <w:vertAlign w:val="baseline"/>
        </w:rPr>
        <w:t>Justice</w:t>
      </w:r>
      <w:r>
        <w:rPr>
          <w:spacing w:val="-4"/>
          <w:sz w:val="18"/>
          <w:vertAlign w:val="baseline"/>
        </w:rPr>
        <w:t> </w:t>
      </w:r>
      <w:r>
        <w:rPr>
          <w:sz w:val="18"/>
          <w:vertAlign w:val="baseline"/>
        </w:rPr>
        <w:t>System</w:t>
      </w:r>
      <w:r>
        <w:rPr>
          <w:spacing w:val="-4"/>
          <w:sz w:val="18"/>
          <w:vertAlign w:val="baseline"/>
        </w:rPr>
        <w:t> </w:t>
      </w:r>
      <w:r>
        <w:rPr>
          <w:sz w:val="18"/>
          <w:vertAlign w:val="baseline"/>
        </w:rPr>
        <w:t>Fails</w:t>
      </w:r>
      <w:r>
        <w:rPr>
          <w:spacing w:val="-4"/>
          <w:sz w:val="18"/>
          <w:vertAlign w:val="baseline"/>
        </w:rPr>
        <w:t> </w:t>
      </w:r>
      <w:r>
        <w:rPr>
          <w:sz w:val="18"/>
          <w:vertAlign w:val="baseline"/>
        </w:rPr>
        <w:t>LGBT</w:t>
      </w:r>
      <w:r>
        <w:rPr>
          <w:spacing w:val="-4"/>
          <w:sz w:val="18"/>
          <w:vertAlign w:val="baseline"/>
        </w:rPr>
        <w:t> </w:t>
      </w:r>
      <w:r>
        <w:rPr>
          <w:sz w:val="18"/>
          <w:vertAlign w:val="baseline"/>
        </w:rPr>
        <w:t>People</w:t>
      </w:r>
      <w:r>
        <w:rPr>
          <w:spacing w:val="-5"/>
          <w:sz w:val="18"/>
          <w:vertAlign w:val="baseline"/>
        </w:rPr>
        <w:t> </w:t>
      </w:r>
      <w:r>
        <w:rPr>
          <w:sz w:val="18"/>
          <w:vertAlign w:val="baseline"/>
        </w:rPr>
        <w:t>of</w:t>
      </w:r>
      <w:r>
        <w:rPr>
          <w:spacing w:val="-4"/>
          <w:sz w:val="18"/>
          <w:vertAlign w:val="baseline"/>
        </w:rPr>
        <w:t> </w:t>
      </w:r>
      <w:r>
        <w:rPr>
          <w:sz w:val="18"/>
          <w:vertAlign w:val="baseline"/>
        </w:rPr>
        <w:t>Color,”</w:t>
      </w:r>
      <w:r>
        <w:rPr>
          <w:spacing w:val="-4"/>
          <w:sz w:val="18"/>
          <w:vertAlign w:val="baseline"/>
        </w:rPr>
        <w:t> </w:t>
      </w:r>
      <w:r>
        <w:rPr>
          <w:sz w:val="18"/>
          <w:vertAlign w:val="baseline"/>
        </w:rPr>
        <w:t>2016,</w:t>
      </w:r>
      <w:r>
        <w:rPr>
          <w:spacing w:val="-4"/>
          <w:sz w:val="18"/>
          <w:vertAlign w:val="baseline"/>
        </w:rPr>
        <w:t> </w:t>
      </w:r>
      <w:r>
        <w:rPr>
          <w:sz w:val="18"/>
          <w:vertAlign w:val="baseline"/>
        </w:rPr>
        <w:t>https://</w:t>
      </w:r>
      <w:hyperlink r:id="rId592">
        <w:r>
          <w:rPr>
            <w:sz w:val="18"/>
            <w:vertAlign w:val="baseline"/>
          </w:rPr>
          <w:t>www.lgbtmap.org/policy-and-issue-analysis/criminal-</w:t>
        </w:r>
      </w:hyperlink>
      <w:r>
        <w:rPr>
          <w:sz w:val="18"/>
          <w:vertAlign w:val="baseline"/>
        </w:rPr>
        <w:t> </w:t>
      </w:r>
      <w:r>
        <w:rPr>
          <w:spacing w:val="-2"/>
          <w:sz w:val="18"/>
          <w:vertAlign w:val="baseline"/>
        </w:rPr>
        <w:t>justice-poc.</w:t>
      </w:r>
    </w:p>
    <w:p>
      <w:pPr>
        <w:spacing w:before="0"/>
        <w:ind w:left="463" w:right="271" w:hanging="1"/>
        <w:jc w:val="left"/>
        <w:rPr>
          <w:sz w:val="18"/>
        </w:rPr>
      </w:pPr>
      <w:r>
        <w:rPr>
          <w:sz w:val="18"/>
          <w:vertAlign w:val="superscript"/>
        </w:rPr>
        <w:t>32</w:t>
      </w:r>
      <w:r>
        <w:rPr>
          <w:spacing w:val="-13"/>
          <w:sz w:val="18"/>
          <w:vertAlign w:val="baseline"/>
        </w:rPr>
        <w:t> </w:t>
      </w:r>
      <w:r>
        <w:rPr>
          <w:sz w:val="18"/>
          <w:vertAlign w:val="baseline"/>
        </w:rPr>
        <w:t>Lambda</w:t>
      </w:r>
      <w:r>
        <w:rPr>
          <w:spacing w:val="-3"/>
          <w:sz w:val="18"/>
          <w:vertAlign w:val="baseline"/>
        </w:rPr>
        <w:t> </w:t>
      </w:r>
      <w:r>
        <w:rPr>
          <w:sz w:val="18"/>
          <w:vertAlign w:val="baseline"/>
        </w:rPr>
        <w:t>Legal</w:t>
      </w:r>
      <w:r>
        <w:rPr>
          <w:spacing w:val="-3"/>
          <w:sz w:val="18"/>
          <w:vertAlign w:val="baseline"/>
        </w:rPr>
        <w:t> </w:t>
      </w:r>
      <w:r>
        <w:rPr>
          <w:sz w:val="18"/>
          <w:vertAlign w:val="baseline"/>
        </w:rPr>
        <w:t>and</w:t>
      </w:r>
      <w:r>
        <w:rPr>
          <w:spacing w:val="-2"/>
          <w:sz w:val="18"/>
          <w:vertAlign w:val="baseline"/>
        </w:rPr>
        <w:t> </w:t>
      </w:r>
      <w:r>
        <w:rPr>
          <w:sz w:val="18"/>
          <w:vertAlign w:val="baseline"/>
        </w:rPr>
        <w:t>Black</w:t>
      </w:r>
      <w:r>
        <w:rPr>
          <w:spacing w:val="-3"/>
          <w:sz w:val="18"/>
          <w:vertAlign w:val="baseline"/>
        </w:rPr>
        <w:t> </w:t>
      </w:r>
      <w:r>
        <w:rPr>
          <w:sz w:val="18"/>
          <w:vertAlign w:val="baseline"/>
        </w:rPr>
        <w:t>&amp;</w:t>
      </w:r>
      <w:r>
        <w:rPr>
          <w:spacing w:val="-3"/>
          <w:sz w:val="18"/>
          <w:vertAlign w:val="baseline"/>
        </w:rPr>
        <w:t> </w:t>
      </w:r>
      <w:r>
        <w:rPr>
          <w:sz w:val="18"/>
          <w:vertAlign w:val="baseline"/>
        </w:rPr>
        <w:t>Pink</w:t>
      </w:r>
      <w:r>
        <w:rPr>
          <w:spacing w:val="-3"/>
          <w:sz w:val="18"/>
          <w:vertAlign w:val="baseline"/>
        </w:rPr>
        <w:t> </w:t>
      </w:r>
      <w:r>
        <w:rPr>
          <w:sz w:val="18"/>
          <w:vertAlign w:val="baseline"/>
        </w:rPr>
        <w:t>National,</w:t>
      </w:r>
      <w:r>
        <w:rPr>
          <w:spacing w:val="-3"/>
          <w:sz w:val="18"/>
          <w:vertAlign w:val="baseline"/>
        </w:rPr>
        <w:t> </w:t>
      </w:r>
      <w:r>
        <w:rPr>
          <w:sz w:val="18"/>
          <w:vertAlign w:val="baseline"/>
        </w:rPr>
        <w:t>“Projected</w:t>
      </w:r>
      <w:r>
        <w:rPr>
          <w:spacing w:val="-2"/>
          <w:sz w:val="18"/>
          <w:vertAlign w:val="baseline"/>
        </w:rPr>
        <w:t> </w:t>
      </w:r>
      <w:r>
        <w:rPr>
          <w:sz w:val="18"/>
          <w:vertAlign w:val="baseline"/>
        </w:rPr>
        <w:t>&amp;</w:t>
      </w:r>
      <w:r>
        <w:rPr>
          <w:spacing w:val="-3"/>
          <w:sz w:val="18"/>
          <w:vertAlign w:val="baseline"/>
        </w:rPr>
        <w:t> </w:t>
      </w:r>
      <w:r>
        <w:rPr>
          <w:sz w:val="18"/>
          <w:vertAlign w:val="baseline"/>
        </w:rPr>
        <w:t>Served?</w:t>
      </w:r>
      <w:r>
        <w:rPr>
          <w:spacing w:val="-3"/>
          <w:sz w:val="18"/>
          <w:vertAlign w:val="baseline"/>
        </w:rPr>
        <w:t> </w:t>
      </w:r>
      <w:r>
        <w:rPr>
          <w:sz w:val="18"/>
          <w:vertAlign w:val="baseline"/>
        </w:rPr>
        <w:t>2022</w:t>
      </w:r>
      <w:r>
        <w:rPr>
          <w:spacing w:val="-2"/>
          <w:sz w:val="18"/>
          <w:vertAlign w:val="baseline"/>
        </w:rPr>
        <w:t> </w:t>
      </w:r>
      <w:r>
        <w:rPr>
          <w:sz w:val="18"/>
          <w:vertAlign w:val="baseline"/>
        </w:rPr>
        <w:t>Annual</w:t>
      </w:r>
      <w:r>
        <w:rPr>
          <w:spacing w:val="-3"/>
          <w:sz w:val="18"/>
          <w:vertAlign w:val="baseline"/>
        </w:rPr>
        <w:t> </w:t>
      </w:r>
      <w:r>
        <w:rPr>
          <w:sz w:val="18"/>
          <w:vertAlign w:val="baseline"/>
        </w:rPr>
        <w:t>Report:</w:t>
      </w:r>
      <w:r>
        <w:rPr>
          <w:spacing w:val="-2"/>
          <w:sz w:val="18"/>
          <w:vertAlign w:val="baseline"/>
        </w:rPr>
        <w:t> </w:t>
      </w:r>
      <w:r>
        <w:rPr>
          <w:sz w:val="18"/>
          <w:vertAlign w:val="baseline"/>
        </w:rPr>
        <w:t>Executive</w:t>
      </w:r>
      <w:r>
        <w:rPr>
          <w:spacing w:val="-2"/>
          <w:sz w:val="18"/>
          <w:vertAlign w:val="baseline"/>
        </w:rPr>
        <w:t> </w:t>
      </w:r>
      <w:r>
        <w:rPr>
          <w:sz w:val="18"/>
          <w:vertAlign w:val="baseline"/>
        </w:rPr>
        <w:t>Summary,”</w:t>
      </w:r>
      <w:r>
        <w:rPr>
          <w:spacing w:val="-2"/>
          <w:sz w:val="18"/>
          <w:vertAlign w:val="baseline"/>
        </w:rPr>
        <w:t> </w:t>
      </w:r>
      <w:r>
        <w:rPr>
          <w:sz w:val="18"/>
          <w:vertAlign w:val="baseline"/>
        </w:rPr>
        <w:t>Protected</w:t>
      </w:r>
      <w:r>
        <w:rPr>
          <w:spacing w:val="-2"/>
          <w:sz w:val="18"/>
          <w:vertAlign w:val="baseline"/>
        </w:rPr>
        <w:t> </w:t>
      </w:r>
      <w:r>
        <w:rPr>
          <w:sz w:val="18"/>
          <w:vertAlign w:val="baseline"/>
        </w:rPr>
        <w:t>&amp; Served?, accessed April 24, 2023, https://</w:t>
      </w:r>
      <w:hyperlink r:id="rId593">
        <w:r>
          <w:rPr>
            <w:sz w:val="18"/>
            <w:vertAlign w:val="baseline"/>
          </w:rPr>
          <w:t>www.protectedandserved.org/2022-report-executive-summary.</w:t>
        </w:r>
      </w:hyperlink>
    </w:p>
    <w:p>
      <w:pPr>
        <w:spacing w:before="0"/>
        <w:ind w:left="463" w:right="1875" w:hanging="1"/>
        <w:jc w:val="left"/>
        <w:rPr>
          <w:sz w:val="18"/>
        </w:rPr>
      </w:pPr>
      <w:r>
        <w:rPr>
          <w:sz w:val="18"/>
          <w:vertAlign w:val="superscript"/>
        </w:rPr>
        <w:t>33</w:t>
      </w:r>
      <w:r>
        <w:rPr>
          <w:spacing w:val="-13"/>
          <w:sz w:val="18"/>
          <w:vertAlign w:val="baseline"/>
        </w:rPr>
        <w:t> </w:t>
      </w:r>
      <w:r>
        <w:rPr>
          <w:sz w:val="18"/>
          <w:vertAlign w:val="baseline"/>
        </w:rPr>
        <w:t>Massachusetts</w:t>
      </w:r>
      <w:r>
        <w:rPr>
          <w:spacing w:val="-5"/>
          <w:sz w:val="18"/>
          <w:vertAlign w:val="baseline"/>
        </w:rPr>
        <w:t> </w:t>
      </w:r>
      <w:r>
        <w:rPr>
          <w:sz w:val="18"/>
          <w:vertAlign w:val="baseline"/>
        </w:rPr>
        <w:t>Executive</w:t>
      </w:r>
      <w:r>
        <w:rPr>
          <w:spacing w:val="-3"/>
          <w:sz w:val="18"/>
          <w:vertAlign w:val="baseline"/>
        </w:rPr>
        <w:t> </w:t>
      </w:r>
      <w:r>
        <w:rPr>
          <w:sz w:val="18"/>
          <w:vertAlign w:val="baseline"/>
        </w:rPr>
        <w:t>Office</w:t>
      </w:r>
      <w:r>
        <w:rPr>
          <w:spacing w:val="-3"/>
          <w:sz w:val="18"/>
          <w:vertAlign w:val="baseline"/>
        </w:rPr>
        <w:t> </w:t>
      </w:r>
      <w:r>
        <w:rPr>
          <w:sz w:val="18"/>
          <w:vertAlign w:val="baseline"/>
        </w:rPr>
        <w:t>of</w:t>
      </w:r>
      <w:r>
        <w:rPr>
          <w:spacing w:val="-3"/>
          <w:sz w:val="18"/>
          <w:vertAlign w:val="baseline"/>
        </w:rPr>
        <w:t> </w:t>
      </w:r>
      <w:r>
        <w:rPr>
          <w:sz w:val="18"/>
          <w:vertAlign w:val="baseline"/>
        </w:rPr>
        <w:t>Public</w:t>
      </w:r>
      <w:r>
        <w:rPr>
          <w:spacing w:val="-4"/>
          <w:sz w:val="18"/>
          <w:vertAlign w:val="baseline"/>
        </w:rPr>
        <w:t> </w:t>
      </w:r>
      <w:r>
        <w:rPr>
          <w:sz w:val="18"/>
          <w:vertAlign w:val="baseline"/>
        </w:rPr>
        <w:t>Safety</w:t>
      </w:r>
      <w:r>
        <w:rPr>
          <w:spacing w:val="-3"/>
          <w:sz w:val="18"/>
          <w:vertAlign w:val="baseline"/>
        </w:rPr>
        <w:t> </w:t>
      </w:r>
      <w:r>
        <w:rPr>
          <w:sz w:val="18"/>
          <w:vertAlign w:val="baseline"/>
        </w:rPr>
        <w:t>&amp;</w:t>
      </w:r>
      <w:r>
        <w:rPr>
          <w:spacing w:val="-4"/>
          <w:sz w:val="18"/>
          <w:vertAlign w:val="baseline"/>
        </w:rPr>
        <w:t> </w:t>
      </w:r>
      <w:r>
        <w:rPr>
          <w:sz w:val="18"/>
          <w:vertAlign w:val="baseline"/>
        </w:rPr>
        <w:t>Security,</w:t>
      </w:r>
      <w:r>
        <w:rPr>
          <w:spacing w:val="-4"/>
          <w:sz w:val="18"/>
          <w:vertAlign w:val="baseline"/>
        </w:rPr>
        <w:t> </w:t>
      </w:r>
      <w:r>
        <w:rPr>
          <w:sz w:val="18"/>
          <w:vertAlign w:val="baseline"/>
        </w:rPr>
        <w:t>“Hate</w:t>
      </w:r>
      <w:r>
        <w:rPr>
          <w:spacing w:val="-3"/>
          <w:sz w:val="18"/>
          <w:vertAlign w:val="baseline"/>
        </w:rPr>
        <w:t> </w:t>
      </w:r>
      <w:r>
        <w:rPr>
          <w:sz w:val="18"/>
          <w:vertAlign w:val="baseline"/>
        </w:rPr>
        <w:t>Crimes</w:t>
      </w:r>
      <w:r>
        <w:rPr>
          <w:spacing w:val="-3"/>
          <w:sz w:val="18"/>
          <w:vertAlign w:val="baseline"/>
        </w:rPr>
        <w:t> </w:t>
      </w:r>
      <w:r>
        <w:rPr>
          <w:sz w:val="18"/>
          <w:vertAlign w:val="baseline"/>
        </w:rPr>
        <w:t>in</w:t>
      </w:r>
      <w:r>
        <w:rPr>
          <w:spacing w:val="-3"/>
          <w:sz w:val="18"/>
          <w:vertAlign w:val="baseline"/>
        </w:rPr>
        <w:t> </w:t>
      </w:r>
      <w:r>
        <w:rPr>
          <w:sz w:val="18"/>
          <w:vertAlign w:val="baseline"/>
        </w:rPr>
        <w:t>Massachusetts</w:t>
      </w:r>
      <w:r>
        <w:rPr>
          <w:spacing w:val="-3"/>
          <w:sz w:val="18"/>
          <w:vertAlign w:val="baseline"/>
        </w:rPr>
        <w:t> </w:t>
      </w:r>
      <w:r>
        <w:rPr>
          <w:sz w:val="18"/>
          <w:vertAlign w:val="baseline"/>
        </w:rPr>
        <w:t>2021,”</w:t>
      </w:r>
      <w:r>
        <w:rPr>
          <w:spacing w:val="-3"/>
          <w:sz w:val="18"/>
          <w:vertAlign w:val="baseline"/>
        </w:rPr>
        <w:t> </w:t>
      </w:r>
      <w:r>
        <w:rPr>
          <w:sz w:val="18"/>
          <w:vertAlign w:val="baseline"/>
        </w:rPr>
        <w:t>2022, </w:t>
      </w:r>
      <w:hyperlink r:id="rId594">
        <w:r>
          <w:rPr>
            <w:color w:val="1153CC"/>
            <w:spacing w:val="-2"/>
            <w:sz w:val="18"/>
            <w:u w:val="single" w:color="1153CC"/>
            <w:vertAlign w:val="baseline"/>
          </w:rPr>
          <w:t>https://www.mass.gov/doc/2021-massachusetts-hate-crime-report/download</w:t>
        </w:r>
      </w:hyperlink>
    </w:p>
    <w:p>
      <w:pPr>
        <w:spacing w:before="0"/>
        <w:ind w:left="463" w:right="530" w:hanging="1"/>
        <w:jc w:val="left"/>
        <w:rPr>
          <w:sz w:val="18"/>
        </w:rPr>
      </w:pPr>
      <w:r>
        <w:rPr>
          <w:sz w:val="18"/>
          <w:vertAlign w:val="superscript"/>
        </w:rPr>
        <w:t>34</w:t>
      </w:r>
      <w:r>
        <w:rPr>
          <w:spacing w:val="-13"/>
          <w:sz w:val="18"/>
          <w:vertAlign w:val="baseline"/>
        </w:rPr>
        <w:t> </w:t>
      </w:r>
      <w:r>
        <w:rPr>
          <w:sz w:val="18"/>
          <w:vertAlign w:val="baseline"/>
        </w:rPr>
        <w:t>Sharita</w:t>
      </w:r>
      <w:r>
        <w:rPr>
          <w:spacing w:val="-4"/>
          <w:sz w:val="18"/>
          <w:vertAlign w:val="baseline"/>
        </w:rPr>
        <w:t> </w:t>
      </w:r>
      <w:r>
        <w:rPr>
          <w:sz w:val="18"/>
          <w:vertAlign w:val="baseline"/>
        </w:rPr>
        <w:t>Gruberg,</w:t>
      </w:r>
      <w:r>
        <w:rPr>
          <w:spacing w:val="-3"/>
          <w:sz w:val="18"/>
          <w:vertAlign w:val="baseline"/>
        </w:rPr>
        <w:t> </w:t>
      </w:r>
      <w:r>
        <w:rPr>
          <w:sz w:val="18"/>
          <w:vertAlign w:val="baseline"/>
        </w:rPr>
        <w:t>“How</w:t>
      </w:r>
      <w:r>
        <w:rPr>
          <w:spacing w:val="-3"/>
          <w:sz w:val="18"/>
          <w:vertAlign w:val="baseline"/>
        </w:rPr>
        <w:t> </w:t>
      </w:r>
      <w:r>
        <w:rPr>
          <w:sz w:val="18"/>
          <w:vertAlign w:val="baseline"/>
        </w:rPr>
        <w:t>Police</w:t>
      </w:r>
      <w:r>
        <w:rPr>
          <w:spacing w:val="-2"/>
          <w:sz w:val="18"/>
          <w:vertAlign w:val="baseline"/>
        </w:rPr>
        <w:t> </w:t>
      </w:r>
      <w:r>
        <w:rPr>
          <w:sz w:val="18"/>
          <w:vertAlign w:val="baseline"/>
        </w:rPr>
        <w:t>Entanglement</w:t>
      </w:r>
      <w:r>
        <w:rPr>
          <w:spacing w:val="-3"/>
          <w:sz w:val="18"/>
          <w:vertAlign w:val="baseline"/>
        </w:rPr>
        <w:t> </w:t>
      </w:r>
      <w:r>
        <w:rPr>
          <w:sz w:val="18"/>
          <w:vertAlign w:val="baseline"/>
        </w:rPr>
        <w:t>with</w:t>
      </w:r>
      <w:r>
        <w:rPr>
          <w:spacing w:val="-2"/>
          <w:sz w:val="18"/>
          <w:vertAlign w:val="baseline"/>
        </w:rPr>
        <w:t> </w:t>
      </w:r>
      <w:r>
        <w:rPr>
          <w:sz w:val="18"/>
          <w:vertAlign w:val="baseline"/>
        </w:rPr>
        <w:t>Immigration</w:t>
      </w:r>
      <w:r>
        <w:rPr>
          <w:spacing w:val="-2"/>
          <w:sz w:val="18"/>
          <w:vertAlign w:val="baseline"/>
        </w:rPr>
        <w:t> </w:t>
      </w:r>
      <w:r>
        <w:rPr>
          <w:sz w:val="18"/>
          <w:vertAlign w:val="baseline"/>
        </w:rPr>
        <w:t>Enforcement</w:t>
      </w:r>
      <w:r>
        <w:rPr>
          <w:spacing w:val="-3"/>
          <w:sz w:val="18"/>
          <w:vertAlign w:val="baseline"/>
        </w:rPr>
        <w:t> </w:t>
      </w:r>
      <w:r>
        <w:rPr>
          <w:sz w:val="18"/>
          <w:vertAlign w:val="baseline"/>
        </w:rPr>
        <w:t>Puts</w:t>
      </w:r>
      <w:r>
        <w:rPr>
          <w:spacing w:val="-3"/>
          <w:sz w:val="18"/>
          <w:vertAlign w:val="baseline"/>
        </w:rPr>
        <w:t> </w:t>
      </w:r>
      <w:r>
        <w:rPr>
          <w:sz w:val="18"/>
          <w:vertAlign w:val="baseline"/>
        </w:rPr>
        <w:t>LGBTQ</w:t>
      </w:r>
      <w:r>
        <w:rPr>
          <w:spacing w:val="-2"/>
          <w:sz w:val="18"/>
          <w:vertAlign w:val="baseline"/>
        </w:rPr>
        <w:t> </w:t>
      </w:r>
      <w:r>
        <w:rPr>
          <w:sz w:val="18"/>
          <w:vertAlign w:val="baseline"/>
        </w:rPr>
        <w:t>Lives</w:t>
      </w:r>
      <w:r>
        <w:rPr>
          <w:spacing w:val="-3"/>
          <w:sz w:val="18"/>
          <w:vertAlign w:val="baseline"/>
        </w:rPr>
        <w:t> </w:t>
      </w:r>
      <w:r>
        <w:rPr>
          <w:sz w:val="18"/>
          <w:vertAlign w:val="baseline"/>
        </w:rPr>
        <w:t>at</w:t>
      </w:r>
      <w:r>
        <w:rPr>
          <w:spacing w:val="-3"/>
          <w:sz w:val="18"/>
          <w:vertAlign w:val="baseline"/>
        </w:rPr>
        <w:t> </w:t>
      </w:r>
      <w:r>
        <w:rPr>
          <w:sz w:val="18"/>
          <w:vertAlign w:val="baseline"/>
        </w:rPr>
        <w:t>Risk,”</w:t>
      </w:r>
      <w:r>
        <w:rPr>
          <w:spacing w:val="-2"/>
          <w:sz w:val="18"/>
          <w:vertAlign w:val="baseline"/>
        </w:rPr>
        <w:t> </w:t>
      </w:r>
      <w:r>
        <w:rPr>
          <w:i/>
          <w:sz w:val="18"/>
          <w:vertAlign w:val="baseline"/>
        </w:rPr>
        <w:t>Center</w:t>
      </w:r>
      <w:r>
        <w:rPr>
          <w:i/>
          <w:spacing w:val="-3"/>
          <w:sz w:val="18"/>
          <w:vertAlign w:val="baseline"/>
        </w:rPr>
        <w:t> </w:t>
      </w:r>
      <w:r>
        <w:rPr>
          <w:i/>
          <w:sz w:val="18"/>
          <w:vertAlign w:val="baseline"/>
        </w:rPr>
        <w:t>for</w:t>
      </w:r>
      <w:r>
        <w:rPr>
          <w:i/>
          <w:spacing w:val="-2"/>
          <w:sz w:val="18"/>
          <w:vertAlign w:val="baseline"/>
        </w:rPr>
        <w:t> </w:t>
      </w:r>
      <w:r>
        <w:rPr>
          <w:i/>
          <w:sz w:val="18"/>
          <w:vertAlign w:val="baseline"/>
        </w:rPr>
        <w:t>American</w:t>
      </w:r>
      <w:r>
        <w:rPr>
          <w:i/>
          <w:sz w:val="18"/>
          <w:vertAlign w:val="baseline"/>
        </w:rPr>
        <w:t> Progress </w:t>
      </w:r>
      <w:r>
        <w:rPr>
          <w:sz w:val="18"/>
          <w:vertAlign w:val="baseline"/>
        </w:rPr>
        <w:t>(blog), April 12, 2017, https://</w:t>
      </w:r>
      <w:hyperlink r:id="rId595">
        <w:r>
          <w:rPr>
            <w:sz w:val="18"/>
            <w:vertAlign w:val="baseline"/>
          </w:rPr>
          <w:t>www.americanprogress.org/article/police-entanglement-immigration-enforcement-</w:t>
        </w:r>
      </w:hyperlink>
      <w:r>
        <w:rPr>
          <w:sz w:val="18"/>
          <w:vertAlign w:val="baseline"/>
        </w:rPr>
        <w:t> </w:t>
      </w:r>
      <w:r>
        <w:rPr>
          <w:spacing w:val="-2"/>
          <w:sz w:val="18"/>
          <w:vertAlign w:val="baseline"/>
        </w:rPr>
        <w:t>puts-lgbtq-lives-risk/.</w:t>
      </w:r>
    </w:p>
    <w:p>
      <w:pPr>
        <w:spacing w:before="0"/>
        <w:ind w:left="463" w:right="655" w:hanging="1"/>
        <w:jc w:val="both"/>
        <w:rPr>
          <w:sz w:val="18"/>
        </w:rPr>
      </w:pPr>
      <w:r>
        <w:rPr>
          <w:sz w:val="18"/>
          <w:vertAlign w:val="superscript"/>
        </w:rPr>
        <w:t>35</w:t>
      </w:r>
      <w:r>
        <w:rPr>
          <w:spacing w:val="-11"/>
          <w:sz w:val="18"/>
          <w:vertAlign w:val="baseline"/>
        </w:rPr>
        <w:t> </w:t>
      </w:r>
      <w:r>
        <w:rPr>
          <w:sz w:val="18"/>
          <w:vertAlign w:val="baseline"/>
        </w:rPr>
        <w:t>S. E. James et</w:t>
      </w:r>
      <w:r>
        <w:rPr>
          <w:spacing w:val="-1"/>
          <w:sz w:val="18"/>
          <w:vertAlign w:val="baseline"/>
        </w:rPr>
        <w:t> </w:t>
      </w:r>
      <w:r>
        <w:rPr>
          <w:sz w:val="18"/>
          <w:vertAlign w:val="baseline"/>
        </w:rPr>
        <w:t>al., “The Report of the 2015 U.S. Transgender Survey” (Washington, D.C.: National Center for Transgender Equality</w:t>
      </w:r>
      <w:r>
        <w:rPr>
          <w:spacing w:val="-4"/>
          <w:sz w:val="18"/>
          <w:vertAlign w:val="baseline"/>
        </w:rPr>
        <w:t> </w:t>
      </w:r>
      <w:r>
        <w:rPr>
          <w:sz w:val="18"/>
          <w:vertAlign w:val="baseline"/>
        </w:rPr>
        <w:t>and</w:t>
      </w:r>
      <w:r>
        <w:rPr>
          <w:spacing w:val="-4"/>
          <w:sz w:val="18"/>
          <w:vertAlign w:val="baseline"/>
        </w:rPr>
        <w:t> </w:t>
      </w:r>
      <w:r>
        <w:rPr>
          <w:sz w:val="18"/>
          <w:vertAlign w:val="baseline"/>
        </w:rPr>
        <w:t>National</w:t>
      </w:r>
      <w:r>
        <w:rPr>
          <w:spacing w:val="-5"/>
          <w:sz w:val="18"/>
          <w:vertAlign w:val="baseline"/>
        </w:rPr>
        <w:t> </w:t>
      </w:r>
      <w:r>
        <w:rPr>
          <w:sz w:val="18"/>
          <w:vertAlign w:val="baseline"/>
        </w:rPr>
        <w:t>Gay</w:t>
      </w:r>
      <w:r>
        <w:rPr>
          <w:spacing w:val="-4"/>
          <w:sz w:val="18"/>
          <w:vertAlign w:val="baseline"/>
        </w:rPr>
        <w:t> </w:t>
      </w:r>
      <w:r>
        <w:rPr>
          <w:sz w:val="18"/>
          <w:vertAlign w:val="baseline"/>
        </w:rPr>
        <w:t>and</w:t>
      </w:r>
      <w:r>
        <w:rPr>
          <w:spacing w:val="-4"/>
          <w:sz w:val="18"/>
          <w:vertAlign w:val="baseline"/>
        </w:rPr>
        <w:t> </w:t>
      </w:r>
      <w:r>
        <w:rPr>
          <w:sz w:val="18"/>
          <w:vertAlign w:val="baseline"/>
        </w:rPr>
        <w:t>Lesbian</w:t>
      </w:r>
      <w:r>
        <w:rPr>
          <w:spacing w:val="-4"/>
          <w:sz w:val="18"/>
          <w:vertAlign w:val="baseline"/>
        </w:rPr>
        <w:t> </w:t>
      </w:r>
      <w:r>
        <w:rPr>
          <w:sz w:val="18"/>
          <w:vertAlign w:val="baseline"/>
        </w:rPr>
        <w:t>Task</w:t>
      </w:r>
      <w:r>
        <w:rPr>
          <w:spacing w:val="-5"/>
          <w:sz w:val="18"/>
          <w:vertAlign w:val="baseline"/>
        </w:rPr>
        <w:t> </w:t>
      </w:r>
      <w:r>
        <w:rPr>
          <w:sz w:val="18"/>
          <w:vertAlign w:val="baseline"/>
        </w:rPr>
        <w:t>Force,</w:t>
      </w:r>
      <w:r>
        <w:rPr>
          <w:spacing w:val="-5"/>
          <w:sz w:val="18"/>
          <w:vertAlign w:val="baseline"/>
        </w:rPr>
        <w:t> </w:t>
      </w:r>
      <w:r>
        <w:rPr>
          <w:sz w:val="18"/>
          <w:vertAlign w:val="baseline"/>
        </w:rPr>
        <w:t>2016),</w:t>
      </w:r>
      <w:r>
        <w:rPr>
          <w:spacing w:val="-5"/>
          <w:sz w:val="18"/>
          <w:vertAlign w:val="baseline"/>
        </w:rPr>
        <w:t> </w:t>
      </w:r>
      <w:r>
        <w:rPr>
          <w:sz w:val="18"/>
          <w:vertAlign w:val="baseline"/>
        </w:rPr>
        <w:t>https://transequality.org/sites/default/files/docs/usts/USTS-Full- </w:t>
      </w:r>
      <w:r>
        <w:rPr>
          <w:spacing w:val="-2"/>
          <w:sz w:val="18"/>
          <w:vertAlign w:val="baseline"/>
        </w:rPr>
        <w:t>Report-Dec17.pdf.</w:t>
      </w:r>
    </w:p>
    <w:p>
      <w:pPr>
        <w:spacing w:line="219" w:lineRule="exact" w:before="0"/>
        <w:ind w:left="463" w:right="0" w:firstLine="0"/>
        <w:jc w:val="both"/>
        <w:rPr>
          <w:sz w:val="18"/>
        </w:rPr>
      </w:pPr>
      <w:r>
        <w:rPr>
          <w:sz w:val="18"/>
          <w:vertAlign w:val="superscript"/>
        </w:rPr>
        <w:t>36</w:t>
      </w:r>
      <w:r>
        <w:rPr>
          <w:spacing w:val="-13"/>
          <w:sz w:val="18"/>
          <w:vertAlign w:val="baseline"/>
        </w:rPr>
        <w:t> </w:t>
      </w:r>
      <w:r>
        <w:rPr>
          <w:sz w:val="18"/>
          <w:vertAlign w:val="baseline"/>
        </w:rPr>
        <w:t>James</w:t>
      </w:r>
      <w:r>
        <w:rPr>
          <w:spacing w:val="-3"/>
          <w:sz w:val="18"/>
          <w:vertAlign w:val="baseline"/>
        </w:rPr>
        <w:t> </w:t>
      </w:r>
      <w:r>
        <w:rPr>
          <w:sz w:val="18"/>
          <w:vertAlign w:val="baseline"/>
        </w:rPr>
        <w:t>et</w:t>
      </w:r>
      <w:r>
        <w:rPr>
          <w:spacing w:val="-1"/>
          <w:sz w:val="18"/>
          <w:vertAlign w:val="baseline"/>
        </w:rPr>
        <w:t> </w:t>
      </w:r>
      <w:r>
        <w:rPr>
          <w:spacing w:val="-5"/>
          <w:sz w:val="18"/>
          <w:vertAlign w:val="baseline"/>
        </w:rPr>
        <w:t>al.</w:t>
      </w:r>
    </w:p>
    <w:p>
      <w:pPr>
        <w:spacing w:before="0"/>
        <w:ind w:left="463" w:right="0" w:firstLine="0"/>
        <w:jc w:val="left"/>
        <w:rPr>
          <w:sz w:val="18"/>
        </w:rPr>
      </w:pPr>
      <w:r>
        <w:rPr>
          <w:sz w:val="18"/>
          <w:vertAlign w:val="superscript"/>
        </w:rPr>
        <w:t>37</w:t>
      </w:r>
      <w:r>
        <w:rPr>
          <w:spacing w:val="-15"/>
          <w:sz w:val="18"/>
          <w:vertAlign w:val="baseline"/>
        </w:rPr>
        <w:t> </w:t>
      </w:r>
      <w:r>
        <w:rPr>
          <w:sz w:val="18"/>
          <w:vertAlign w:val="baseline"/>
        </w:rPr>
        <w:t>Gruberg,</w:t>
      </w:r>
      <w:r>
        <w:rPr>
          <w:spacing w:val="-6"/>
          <w:sz w:val="18"/>
          <w:vertAlign w:val="baseline"/>
        </w:rPr>
        <w:t> </w:t>
      </w:r>
      <w:r>
        <w:rPr>
          <w:sz w:val="18"/>
          <w:vertAlign w:val="baseline"/>
        </w:rPr>
        <w:t>“How</w:t>
      </w:r>
      <w:r>
        <w:rPr>
          <w:spacing w:val="-4"/>
          <w:sz w:val="18"/>
          <w:vertAlign w:val="baseline"/>
        </w:rPr>
        <w:t> </w:t>
      </w:r>
      <w:r>
        <w:rPr>
          <w:sz w:val="18"/>
          <w:vertAlign w:val="baseline"/>
        </w:rPr>
        <w:t>Police</w:t>
      </w:r>
      <w:r>
        <w:rPr>
          <w:spacing w:val="-2"/>
          <w:sz w:val="18"/>
          <w:vertAlign w:val="baseline"/>
        </w:rPr>
        <w:t> </w:t>
      </w:r>
      <w:r>
        <w:rPr>
          <w:sz w:val="18"/>
          <w:vertAlign w:val="baseline"/>
        </w:rPr>
        <w:t>Entanglement</w:t>
      </w:r>
      <w:r>
        <w:rPr>
          <w:spacing w:val="-4"/>
          <w:sz w:val="18"/>
          <w:vertAlign w:val="baseline"/>
        </w:rPr>
        <w:t> </w:t>
      </w:r>
      <w:r>
        <w:rPr>
          <w:sz w:val="18"/>
          <w:vertAlign w:val="baseline"/>
        </w:rPr>
        <w:t>with</w:t>
      </w:r>
      <w:r>
        <w:rPr>
          <w:spacing w:val="-3"/>
          <w:sz w:val="18"/>
          <w:vertAlign w:val="baseline"/>
        </w:rPr>
        <w:t> </w:t>
      </w:r>
      <w:r>
        <w:rPr>
          <w:sz w:val="18"/>
          <w:vertAlign w:val="baseline"/>
        </w:rPr>
        <w:t>Immigration</w:t>
      </w:r>
      <w:r>
        <w:rPr>
          <w:spacing w:val="-2"/>
          <w:sz w:val="18"/>
          <w:vertAlign w:val="baseline"/>
        </w:rPr>
        <w:t> </w:t>
      </w:r>
      <w:r>
        <w:rPr>
          <w:sz w:val="18"/>
          <w:vertAlign w:val="baseline"/>
        </w:rPr>
        <w:t>Enforcement</w:t>
      </w:r>
      <w:r>
        <w:rPr>
          <w:spacing w:val="-4"/>
          <w:sz w:val="18"/>
          <w:vertAlign w:val="baseline"/>
        </w:rPr>
        <w:t> </w:t>
      </w:r>
      <w:r>
        <w:rPr>
          <w:sz w:val="18"/>
          <w:vertAlign w:val="baseline"/>
        </w:rPr>
        <w:t>Puts</w:t>
      </w:r>
      <w:r>
        <w:rPr>
          <w:spacing w:val="-3"/>
          <w:sz w:val="18"/>
          <w:vertAlign w:val="baseline"/>
        </w:rPr>
        <w:t> </w:t>
      </w:r>
      <w:r>
        <w:rPr>
          <w:sz w:val="18"/>
          <w:vertAlign w:val="baseline"/>
        </w:rPr>
        <w:t>LGBTQ</w:t>
      </w:r>
      <w:r>
        <w:rPr>
          <w:spacing w:val="-2"/>
          <w:sz w:val="18"/>
          <w:vertAlign w:val="baseline"/>
        </w:rPr>
        <w:t> </w:t>
      </w:r>
      <w:r>
        <w:rPr>
          <w:sz w:val="18"/>
          <w:vertAlign w:val="baseline"/>
        </w:rPr>
        <w:t>Lives</w:t>
      </w:r>
      <w:r>
        <w:rPr>
          <w:spacing w:val="-3"/>
          <w:sz w:val="18"/>
          <w:vertAlign w:val="baseline"/>
        </w:rPr>
        <w:t> </w:t>
      </w:r>
      <w:r>
        <w:rPr>
          <w:sz w:val="18"/>
          <w:vertAlign w:val="baseline"/>
        </w:rPr>
        <w:t>at</w:t>
      </w:r>
      <w:r>
        <w:rPr>
          <w:spacing w:val="-3"/>
          <w:sz w:val="18"/>
          <w:vertAlign w:val="baseline"/>
        </w:rPr>
        <w:t> </w:t>
      </w:r>
      <w:r>
        <w:rPr>
          <w:spacing w:val="-2"/>
          <w:sz w:val="18"/>
          <w:vertAlign w:val="baseline"/>
        </w:rPr>
        <w:t>Risk.”</w:t>
      </w:r>
    </w:p>
    <w:p>
      <w:pPr>
        <w:spacing w:before="0"/>
        <w:ind w:left="463" w:right="0" w:firstLine="0"/>
        <w:jc w:val="left"/>
        <w:rPr>
          <w:sz w:val="18"/>
        </w:rPr>
      </w:pPr>
      <w:r>
        <w:rPr>
          <w:sz w:val="18"/>
          <w:vertAlign w:val="superscript"/>
        </w:rPr>
        <w:t>38</w:t>
      </w:r>
      <w:r>
        <w:rPr>
          <w:spacing w:val="-15"/>
          <w:sz w:val="18"/>
          <w:vertAlign w:val="baseline"/>
        </w:rPr>
        <w:t> </w:t>
      </w:r>
      <w:r>
        <w:rPr>
          <w:sz w:val="18"/>
          <w:vertAlign w:val="baseline"/>
        </w:rPr>
        <w:t>Gruberg,</w:t>
      </w:r>
      <w:r>
        <w:rPr>
          <w:spacing w:val="-6"/>
          <w:sz w:val="18"/>
          <w:vertAlign w:val="baseline"/>
        </w:rPr>
        <w:t> </w:t>
      </w:r>
      <w:r>
        <w:rPr>
          <w:sz w:val="18"/>
          <w:vertAlign w:val="baseline"/>
        </w:rPr>
        <w:t>Rooney,</w:t>
      </w:r>
      <w:r>
        <w:rPr>
          <w:spacing w:val="-4"/>
          <w:sz w:val="18"/>
          <w:vertAlign w:val="baseline"/>
        </w:rPr>
        <w:t> </w:t>
      </w:r>
      <w:r>
        <w:rPr>
          <w:sz w:val="18"/>
          <w:vertAlign w:val="baseline"/>
        </w:rPr>
        <w:t>and</w:t>
      </w:r>
      <w:r>
        <w:rPr>
          <w:spacing w:val="-2"/>
          <w:sz w:val="18"/>
          <w:vertAlign w:val="baseline"/>
        </w:rPr>
        <w:t> </w:t>
      </w:r>
      <w:r>
        <w:rPr>
          <w:sz w:val="18"/>
          <w:vertAlign w:val="baseline"/>
        </w:rPr>
        <w:t>McGovern,</w:t>
      </w:r>
      <w:r>
        <w:rPr>
          <w:spacing w:val="-4"/>
          <w:sz w:val="18"/>
          <w:vertAlign w:val="baseline"/>
        </w:rPr>
        <w:t> </w:t>
      </w:r>
      <w:r>
        <w:rPr>
          <w:sz w:val="18"/>
          <w:vertAlign w:val="baseline"/>
        </w:rPr>
        <w:t>“Serving</w:t>
      </w:r>
      <w:r>
        <w:rPr>
          <w:spacing w:val="-3"/>
          <w:sz w:val="18"/>
          <w:vertAlign w:val="baseline"/>
        </w:rPr>
        <w:t> </w:t>
      </w:r>
      <w:r>
        <w:rPr>
          <w:sz w:val="18"/>
          <w:vertAlign w:val="baseline"/>
        </w:rPr>
        <w:t>LGBTQ</w:t>
      </w:r>
      <w:r>
        <w:rPr>
          <w:spacing w:val="-3"/>
          <w:sz w:val="18"/>
          <w:vertAlign w:val="baseline"/>
        </w:rPr>
        <w:t> </w:t>
      </w:r>
      <w:r>
        <w:rPr>
          <w:sz w:val="18"/>
          <w:vertAlign w:val="baseline"/>
        </w:rPr>
        <w:t>Immigrants</w:t>
      </w:r>
      <w:r>
        <w:rPr>
          <w:spacing w:val="-2"/>
          <w:sz w:val="18"/>
          <w:vertAlign w:val="baseline"/>
        </w:rPr>
        <w:t> </w:t>
      </w:r>
      <w:r>
        <w:rPr>
          <w:sz w:val="18"/>
          <w:vertAlign w:val="baseline"/>
        </w:rPr>
        <w:t>and</w:t>
      </w:r>
      <w:r>
        <w:rPr>
          <w:spacing w:val="-3"/>
          <w:sz w:val="18"/>
          <w:vertAlign w:val="baseline"/>
        </w:rPr>
        <w:t> </w:t>
      </w:r>
      <w:r>
        <w:rPr>
          <w:sz w:val="18"/>
          <w:vertAlign w:val="baseline"/>
        </w:rPr>
        <w:t>Building</w:t>
      </w:r>
      <w:r>
        <w:rPr>
          <w:spacing w:val="-3"/>
          <w:sz w:val="18"/>
          <w:vertAlign w:val="baseline"/>
        </w:rPr>
        <w:t> </w:t>
      </w:r>
      <w:r>
        <w:rPr>
          <w:sz w:val="18"/>
          <w:vertAlign w:val="baseline"/>
        </w:rPr>
        <w:t>Welcoming</w:t>
      </w:r>
      <w:r>
        <w:rPr>
          <w:spacing w:val="-2"/>
          <w:sz w:val="18"/>
          <w:vertAlign w:val="baseline"/>
        </w:rPr>
        <w:t> Communities.”</w:t>
      </w:r>
    </w:p>
    <w:p>
      <w:pPr>
        <w:spacing w:before="0"/>
        <w:ind w:left="463" w:right="0" w:firstLine="0"/>
        <w:jc w:val="left"/>
        <w:rPr>
          <w:sz w:val="18"/>
        </w:rPr>
      </w:pPr>
      <w:r>
        <w:rPr>
          <w:sz w:val="18"/>
          <w:vertAlign w:val="superscript"/>
        </w:rPr>
        <w:t>39</w:t>
      </w:r>
      <w:r>
        <w:rPr>
          <w:spacing w:val="-15"/>
          <w:sz w:val="18"/>
          <w:vertAlign w:val="baseline"/>
        </w:rPr>
        <w:t> </w:t>
      </w:r>
      <w:r>
        <w:rPr>
          <w:sz w:val="18"/>
          <w:vertAlign w:val="baseline"/>
        </w:rPr>
        <w:t>Chavez,</w:t>
      </w:r>
      <w:r>
        <w:rPr>
          <w:spacing w:val="-5"/>
          <w:sz w:val="18"/>
          <w:vertAlign w:val="baseline"/>
        </w:rPr>
        <w:t> </w:t>
      </w:r>
      <w:r>
        <w:rPr>
          <w:sz w:val="18"/>
          <w:vertAlign w:val="baseline"/>
        </w:rPr>
        <w:t>“Identifying</w:t>
      </w:r>
      <w:r>
        <w:rPr>
          <w:spacing w:val="-2"/>
          <w:sz w:val="18"/>
          <w:vertAlign w:val="baseline"/>
        </w:rPr>
        <w:t> </w:t>
      </w:r>
      <w:r>
        <w:rPr>
          <w:sz w:val="18"/>
          <w:vertAlign w:val="baseline"/>
        </w:rPr>
        <w:t>the</w:t>
      </w:r>
      <w:r>
        <w:rPr>
          <w:spacing w:val="-2"/>
          <w:sz w:val="18"/>
          <w:vertAlign w:val="baseline"/>
        </w:rPr>
        <w:t> </w:t>
      </w:r>
      <w:r>
        <w:rPr>
          <w:sz w:val="18"/>
          <w:vertAlign w:val="baseline"/>
        </w:rPr>
        <w:t>Needs</w:t>
      </w:r>
      <w:r>
        <w:rPr>
          <w:spacing w:val="-3"/>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Immigrants</w:t>
      </w:r>
      <w:r>
        <w:rPr>
          <w:spacing w:val="-2"/>
          <w:sz w:val="18"/>
          <w:vertAlign w:val="baseline"/>
        </w:rPr>
        <w:t> </w:t>
      </w:r>
      <w:r>
        <w:rPr>
          <w:sz w:val="18"/>
          <w:vertAlign w:val="baseline"/>
        </w:rPr>
        <w:t>and</w:t>
      </w:r>
      <w:r>
        <w:rPr>
          <w:spacing w:val="-2"/>
          <w:sz w:val="18"/>
          <w:vertAlign w:val="baseline"/>
        </w:rPr>
        <w:t> </w:t>
      </w:r>
      <w:r>
        <w:rPr>
          <w:sz w:val="18"/>
          <w:vertAlign w:val="baseline"/>
        </w:rPr>
        <w:t>Refugees</w:t>
      </w:r>
      <w:r>
        <w:rPr>
          <w:spacing w:val="-2"/>
          <w:sz w:val="18"/>
          <w:vertAlign w:val="baseline"/>
        </w:rPr>
        <w:t> </w:t>
      </w:r>
      <w:r>
        <w:rPr>
          <w:sz w:val="18"/>
          <w:vertAlign w:val="baseline"/>
        </w:rPr>
        <w:t>in</w:t>
      </w:r>
      <w:r>
        <w:rPr>
          <w:spacing w:val="-2"/>
          <w:sz w:val="18"/>
          <w:vertAlign w:val="baseline"/>
        </w:rPr>
        <w:t> </w:t>
      </w:r>
      <w:r>
        <w:rPr>
          <w:sz w:val="18"/>
          <w:vertAlign w:val="baseline"/>
        </w:rPr>
        <w:t>Southern</w:t>
      </w:r>
      <w:r>
        <w:rPr>
          <w:spacing w:val="-3"/>
          <w:sz w:val="18"/>
          <w:vertAlign w:val="baseline"/>
        </w:rPr>
        <w:t> </w:t>
      </w:r>
      <w:r>
        <w:rPr>
          <w:spacing w:val="-2"/>
          <w:sz w:val="18"/>
          <w:vertAlign w:val="baseline"/>
        </w:rPr>
        <w:t>Arizona.”</w:t>
      </w:r>
    </w:p>
    <w:p>
      <w:pPr>
        <w:spacing w:before="1"/>
        <w:ind w:left="463" w:right="271" w:hanging="1"/>
        <w:jc w:val="left"/>
        <w:rPr>
          <w:sz w:val="18"/>
        </w:rPr>
      </w:pPr>
      <w:r>
        <w:rPr>
          <w:sz w:val="18"/>
          <w:vertAlign w:val="superscript"/>
        </w:rPr>
        <w:t>40</w:t>
      </w:r>
      <w:r>
        <w:rPr>
          <w:spacing w:val="-13"/>
          <w:sz w:val="18"/>
          <w:vertAlign w:val="baseline"/>
        </w:rPr>
        <w:t> </w:t>
      </w:r>
      <w:r>
        <w:rPr>
          <w:sz w:val="18"/>
          <w:vertAlign w:val="baseline"/>
        </w:rPr>
        <w:t>Simon</w:t>
      </w:r>
      <w:r>
        <w:rPr>
          <w:spacing w:val="-4"/>
          <w:sz w:val="18"/>
          <w:vertAlign w:val="baseline"/>
        </w:rPr>
        <w:t> </w:t>
      </w:r>
      <w:r>
        <w:rPr>
          <w:sz w:val="18"/>
          <w:vertAlign w:val="baseline"/>
        </w:rPr>
        <w:t>Rios,</w:t>
      </w:r>
      <w:r>
        <w:rPr>
          <w:spacing w:val="-3"/>
          <w:sz w:val="18"/>
          <w:vertAlign w:val="baseline"/>
        </w:rPr>
        <w:t> </w:t>
      </w:r>
      <w:r>
        <w:rPr>
          <w:sz w:val="18"/>
          <w:vertAlign w:val="baseline"/>
        </w:rPr>
        <w:t>“For</w:t>
      </w:r>
      <w:r>
        <w:rPr>
          <w:spacing w:val="-3"/>
          <w:sz w:val="18"/>
          <w:vertAlign w:val="baseline"/>
        </w:rPr>
        <w:t> </w:t>
      </w:r>
      <w:r>
        <w:rPr>
          <w:sz w:val="18"/>
          <w:vertAlign w:val="baseline"/>
        </w:rPr>
        <w:t>Non-English</w:t>
      </w:r>
      <w:r>
        <w:rPr>
          <w:spacing w:val="-2"/>
          <w:sz w:val="18"/>
          <w:vertAlign w:val="baseline"/>
        </w:rPr>
        <w:t> </w:t>
      </w:r>
      <w:r>
        <w:rPr>
          <w:sz w:val="18"/>
          <w:vertAlign w:val="baseline"/>
        </w:rPr>
        <w:t>Speakers,</w:t>
      </w:r>
      <w:r>
        <w:rPr>
          <w:spacing w:val="-3"/>
          <w:sz w:val="18"/>
          <w:vertAlign w:val="baseline"/>
        </w:rPr>
        <w:t> </w:t>
      </w:r>
      <w:r>
        <w:rPr>
          <w:sz w:val="18"/>
          <w:vertAlign w:val="baseline"/>
        </w:rPr>
        <w:t>Difficult</w:t>
      </w:r>
      <w:r>
        <w:rPr>
          <w:spacing w:val="-3"/>
          <w:sz w:val="18"/>
          <w:vertAlign w:val="baseline"/>
        </w:rPr>
        <w:t> </w:t>
      </w:r>
      <w:r>
        <w:rPr>
          <w:sz w:val="18"/>
          <w:vertAlign w:val="baseline"/>
        </w:rPr>
        <w:t>Language</w:t>
      </w:r>
      <w:r>
        <w:rPr>
          <w:spacing w:val="-2"/>
          <w:sz w:val="18"/>
          <w:vertAlign w:val="baseline"/>
        </w:rPr>
        <w:t> </w:t>
      </w:r>
      <w:r>
        <w:rPr>
          <w:sz w:val="18"/>
          <w:vertAlign w:val="baseline"/>
        </w:rPr>
        <w:t>Barriers</w:t>
      </w:r>
      <w:r>
        <w:rPr>
          <w:spacing w:val="-2"/>
          <w:sz w:val="18"/>
          <w:vertAlign w:val="baseline"/>
        </w:rPr>
        <w:t> </w:t>
      </w:r>
      <w:r>
        <w:rPr>
          <w:sz w:val="18"/>
          <w:vertAlign w:val="baseline"/>
        </w:rPr>
        <w:t>Become</w:t>
      </w:r>
      <w:r>
        <w:rPr>
          <w:spacing w:val="-2"/>
          <w:sz w:val="18"/>
          <w:vertAlign w:val="baseline"/>
        </w:rPr>
        <w:t> </w:t>
      </w:r>
      <w:r>
        <w:rPr>
          <w:sz w:val="18"/>
          <w:vertAlign w:val="baseline"/>
        </w:rPr>
        <w:t>Dire</w:t>
      </w:r>
      <w:r>
        <w:rPr>
          <w:spacing w:val="-3"/>
          <w:sz w:val="18"/>
          <w:vertAlign w:val="baseline"/>
        </w:rPr>
        <w:t> </w:t>
      </w:r>
      <w:r>
        <w:rPr>
          <w:sz w:val="18"/>
          <w:vertAlign w:val="baseline"/>
        </w:rPr>
        <w:t>Amid</w:t>
      </w:r>
      <w:r>
        <w:rPr>
          <w:spacing w:val="-2"/>
          <w:sz w:val="18"/>
          <w:vertAlign w:val="baseline"/>
        </w:rPr>
        <w:t> </w:t>
      </w:r>
      <w:r>
        <w:rPr>
          <w:sz w:val="18"/>
          <w:vertAlign w:val="baseline"/>
        </w:rPr>
        <w:t>Outbreak,”</w:t>
      </w:r>
      <w:r>
        <w:rPr>
          <w:spacing w:val="-2"/>
          <w:sz w:val="18"/>
          <w:vertAlign w:val="baseline"/>
        </w:rPr>
        <w:t> </w:t>
      </w:r>
      <w:r>
        <w:rPr>
          <w:sz w:val="18"/>
          <w:vertAlign w:val="baseline"/>
        </w:rPr>
        <w:t>WBUR,</w:t>
      </w:r>
      <w:r>
        <w:rPr>
          <w:spacing w:val="-3"/>
          <w:sz w:val="18"/>
          <w:vertAlign w:val="baseline"/>
        </w:rPr>
        <w:t> </w:t>
      </w:r>
      <w:r>
        <w:rPr>
          <w:sz w:val="18"/>
          <w:vertAlign w:val="baseline"/>
        </w:rPr>
        <w:t>accessed</w:t>
      </w:r>
      <w:r>
        <w:rPr>
          <w:spacing w:val="-2"/>
          <w:sz w:val="18"/>
          <w:vertAlign w:val="baseline"/>
        </w:rPr>
        <w:t> </w:t>
      </w:r>
      <w:r>
        <w:rPr>
          <w:sz w:val="18"/>
          <w:vertAlign w:val="baseline"/>
        </w:rPr>
        <w:t>April</w:t>
      </w:r>
      <w:r>
        <w:rPr>
          <w:spacing w:val="-3"/>
          <w:sz w:val="18"/>
          <w:vertAlign w:val="baseline"/>
        </w:rPr>
        <w:t> </w:t>
      </w:r>
      <w:r>
        <w:rPr>
          <w:sz w:val="18"/>
          <w:vertAlign w:val="baseline"/>
        </w:rPr>
        <w:t>24, 2023,</w:t>
      </w:r>
      <w:r>
        <w:rPr>
          <w:spacing w:val="-2"/>
          <w:sz w:val="18"/>
          <w:vertAlign w:val="baseline"/>
        </w:rPr>
        <w:t> </w:t>
      </w:r>
      <w:r>
        <w:rPr>
          <w:sz w:val="18"/>
          <w:vertAlign w:val="baseline"/>
        </w:rPr>
        <w:t>https://</w:t>
      </w:r>
      <w:hyperlink r:id="rId596">
        <w:r>
          <w:rPr>
            <w:sz w:val="18"/>
            <w:vertAlign w:val="baseline"/>
          </w:rPr>
          <w:t>www.wbur.org/news/2020/04/07/coronavirus-translation-problems.</w:t>
        </w:r>
      </w:hyperlink>
    </w:p>
    <w:p>
      <w:pPr>
        <w:spacing w:line="219" w:lineRule="exact" w:before="0"/>
        <w:ind w:left="463" w:right="0" w:firstLine="0"/>
        <w:jc w:val="left"/>
        <w:rPr>
          <w:sz w:val="18"/>
        </w:rPr>
      </w:pPr>
      <w:r>
        <w:rPr>
          <w:sz w:val="18"/>
          <w:vertAlign w:val="superscript"/>
        </w:rPr>
        <w:t>41</w:t>
      </w:r>
      <w:r>
        <w:rPr>
          <w:spacing w:val="-13"/>
          <w:sz w:val="18"/>
          <w:vertAlign w:val="baseline"/>
        </w:rPr>
        <w:t> </w:t>
      </w:r>
      <w:r>
        <w:rPr>
          <w:spacing w:val="-2"/>
          <w:sz w:val="18"/>
          <w:vertAlign w:val="baseline"/>
        </w:rPr>
        <w:t>Rios.</w:t>
      </w:r>
    </w:p>
    <w:p>
      <w:pPr>
        <w:spacing w:before="0"/>
        <w:ind w:left="463" w:right="905" w:firstLine="0"/>
        <w:jc w:val="left"/>
        <w:rPr>
          <w:sz w:val="18"/>
        </w:rPr>
      </w:pPr>
      <w:r>
        <w:rPr>
          <w:sz w:val="18"/>
          <w:vertAlign w:val="superscript"/>
        </w:rPr>
        <w:t>42</w:t>
      </w:r>
      <w:r>
        <w:rPr>
          <w:spacing w:val="-13"/>
          <w:sz w:val="18"/>
          <w:vertAlign w:val="baseline"/>
        </w:rPr>
        <w:t> </w:t>
      </w:r>
      <w:r>
        <w:rPr>
          <w:sz w:val="18"/>
          <w:vertAlign w:val="baseline"/>
        </w:rPr>
        <w:t>Jason</w:t>
      </w:r>
      <w:r>
        <w:rPr>
          <w:spacing w:val="-5"/>
          <w:sz w:val="18"/>
          <w:vertAlign w:val="baseline"/>
        </w:rPr>
        <w:t> </w:t>
      </w:r>
      <w:r>
        <w:rPr>
          <w:sz w:val="18"/>
          <w:vertAlign w:val="baseline"/>
        </w:rPr>
        <w:t>Espinoza</w:t>
      </w:r>
      <w:r>
        <w:rPr>
          <w:spacing w:val="-3"/>
          <w:sz w:val="18"/>
          <w:vertAlign w:val="baseline"/>
        </w:rPr>
        <w:t> </w:t>
      </w:r>
      <w:r>
        <w:rPr>
          <w:sz w:val="18"/>
          <w:vertAlign w:val="baseline"/>
        </w:rPr>
        <w:t>and</w:t>
      </w:r>
      <w:r>
        <w:rPr>
          <w:spacing w:val="-3"/>
          <w:sz w:val="18"/>
          <w:vertAlign w:val="baseline"/>
        </w:rPr>
        <w:t> </w:t>
      </w:r>
      <w:r>
        <w:rPr>
          <w:sz w:val="18"/>
          <w:vertAlign w:val="baseline"/>
        </w:rPr>
        <w:t>Sabrina</w:t>
      </w:r>
      <w:r>
        <w:rPr>
          <w:spacing w:val="-3"/>
          <w:sz w:val="18"/>
          <w:vertAlign w:val="baseline"/>
        </w:rPr>
        <w:t> </w:t>
      </w:r>
      <w:r>
        <w:rPr>
          <w:sz w:val="18"/>
          <w:vertAlign w:val="baseline"/>
        </w:rPr>
        <w:t>Derrington,</w:t>
      </w:r>
      <w:r>
        <w:rPr>
          <w:spacing w:val="-4"/>
          <w:sz w:val="18"/>
          <w:vertAlign w:val="baseline"/>
        </w:rPr>
        <w:t> </w:t>
      </w:r>
      <w:r>
        <w:rPr>
          <w:sz w:val="18"/>
          <w:vertAlign w:val="baseline"/>
        </w:rPr>
        <w:t>“How</w:t>
      </w:r>
      <w:r>
        <w:rPr>
          <w:spacing w:val="-2"/>
          <w:sz w:val="18"/>
          <w:vertAlign w:val="baseline"/>
        </w:rPr>
        <w:t> </w:t>
      </w:r>
      <w:r>
        <w:rPr>
          <w:sz w:val="18"/>
          <w:vertAlign w:val="baseline"/>
        </w:rPr>
        <w:t>Should</w:t>
      </w:r>
      <w:r>
        <w:rPr>
          <w:spacing w:val="-3"/>
          <w:sz w:val="18"/>
          <w:vertAlign w:val="baseline"/>
        </w:rPr>
        <w:t> </w:t>
      </w:r>
      <w:r>
        <w:rPr>
          <w:sz w:val="18"/>
          <w:vertAlign w:val="baseline"/>
        </w:rPr>
        <w:t>Clinicians</w:t>
      </w:r>
      <w:r>
        <w:rPr>
          <w:spacing w:val="-3"/>
          <w:sz w:val="18"/>
          <w:vertAlign w:val="baseline"/>
        </w:rPr>
        <w:t> </w:t>
      </w:r>
      <w:r>
        <w:rPr>
          <w:sz w:val="18"/>
          <w:vertAlign w:val="baseline"/>
        </w:rPr>
        <w:t>Respond</w:t>
      </w:r>
      <w:r>
        <w:rPr>
          <w:spacing w:val="-3"/>
          <w:sz w:val="18"/>
          <w:vertAlign w:val="baseline"/>
        </w:rPr>
        <w:t> </w:t>
      </w:r>
      <w:r>
        <w:rPr>
          <w:sz w:val="18"/>
          <w:vertAlign w:val="baseline"/>
        </w:rPr>
        <w:t>to</w:t>
      </w:r>
      <w:r>
        <w:rPr>
          <w:spacing w:val="-3"/>
          <w:sz w:val="18"/>
          <w:vertAlign w:val="baseline"/>
        </w:rPr>
        <w:t> </w:t>
      </w:r>
      <w:r>
        <w:rPr>
          <w:sz w:val="18"/>
          <w:vertAlign w:val="baseline"/>
        </w:rPr>
        <w:t>Language</w:t>
      </w:r>
      <w:r>
        <w:rPr>
          <w:spacing w:val="-3"/>
          <w:sz w:val="18"/>
          <w:vertAlign w:val="baseline"/>
        </w:rPr>
        <w:t> </w:t>
      </w:r>
      <w:r>
        <w:rPr>
          <w:sz w:val="18"/>
          <w:vertAlign w:val="baseline"/>
        </w:rPr>
        <w:t>Barriers</w:t>
      </w:r>
      <w:r>
        <w:rPr>
          <w:spacing w:val="-3"/>
          <w:sz w:val="18"/>
          <w:vertAlign w:val="baseline"/>
        </w:rPr>
        <w:t> </w:t>
      </w:r>
      <w:r>
        <w:rPr>
          <w:sz w:val="18"/>
          <w:vertAlign w:val="baseline"/>
        </w:rPr>
        <w:t>That</w:t>
      </w:r>
      <w:r>
        <w:rPr>
          <w:spacing w:val="-4"/>
          <w:sz w:val="18"/>
          <w:vertAlign w:val="baseline"/>
        </w:rPr>
        <w:t> </w:t>
      </w:r>
      <w:r>
        <w:rPr>
          <w:sz w:val="18"/>
          <w:vertAlign w:val="baseline"/>
        </w:rPr>
        <w:t>Exacerbate</w:t>
      </w:r>
      <w:r>
        <w:rPr>
          <w:spacing w:val="-3"/>
          <w:sz w:val="18"/>
          <w:vertAlign w:val="baseline"/>
        </w:rPr>
        <w:t> </w:t>
      </w:r>
      <w:r>
        <w:rPr>
          <w:sz w:val="18"/>
          <w:vertAlign w:val="baseline"/>
        </w:rPr>
        <w:t>Health Inequity?,” </w:t>
      </w:r>
      <w:r>
        <w:rPr>
          <w:i/>
          <w:sz w:val="18"/>
          <w:vertAlign w:val="baseline"/>
        </w:rPr>
        <w:t>AMA Journal of Ethics </w:t>
      </w:r>
      <w:r>
        <w:rPr>
          <w:sz w:val="18"/>
          <w:vertAlign w:val="baseline"/>
        </w:rPr>
        <w:t>23, no. 2 (February 1, 2021): 109–16, https://doi.org/10.1001/amajethics.2021.109.</w:t>
      </w:r>
      <w:r>
        <w:rPr>
          <w:sz w:val="18"/>
          <w:vertAlign w:val="baseline"/>
        </w:rPr>
        <w:t> </w:t>
      </w:r>
      <w:r>
        <w:rPr>
          <w:sz w:val="18"/>
          <w:vertAlign w:val="superscript"/>
        </w:rPr>
        <w:t>43</w:t>
      </w:r>
      <w:r>
        <w:rPr>
          <w:sz w:val="18"/>
          <w:vertAlign w:val="baseline"/>
        </w:rPr>
        <w:t> Espinoza and Derrington.</w:t>
      </w:r>
    </w:p>
    <w:p>
      <w:pPr>
        <w:spacing w:line="219" w:lineRule="exact" w:before="0"/>
        <w:ind w:left="463" w:right="0" w:firstLine="0"/>
        <w:jc w:val="left"/>
        <w:rPr>
          <w:sz w:val="18"/>
        </w:rPr>
      </w:pPr>
      <w:r>
        <w:rPr>
          <w:sz w:val="18"/>
          <w:vertAlign w:val="superscript"/>
        </w:rPr>
        <w:t>45</w:t>
      </w:r>
      <w:r>
        <w:rPr>
          <w:spacing w:val="-15"/>
          <w:sz w:val="18"/>
          <w:vertAlign w:val="baseline"/>
        </w:rPr>
        <w:t> </w:t>
      </w:r>
      <w:r>
        <w:rPr>
          <w:sz w:val="18"/>
          <w:vertAlign w:val="baseline"/>
        </w:rPr>
        <w:t>Laurie</w:t>
      </w:r>
      <w:r>
        <w:rPr>
          <w:spacing w:val="-10"/>
          <w:sz w:val="18"/>
          <w:vertAlign w:val="baseline"/>
        </w:rPr>
        <w:t> </w:t>
      </w:r>
      <w:r>
        <w:rPr>
          <w:sz w:val="18"/>
          <w:vertAlign w:val="baseline"/>
        </w:rPr>
        <w:t>Ross,</w:t>
      </w:r>
      <w:r>
        <w:rPr>
          <w:spacing w:val="-7"/>
          <w:sz w:val="18"/>
          <w:vertAlign w:val="baseline"/>
        </w:rPr>
        <w:t> </w:t>
      </w:r>
      <w:r>
        <w:rPr>
          <w:sz w:val="18"/>
          <w:vertAlign w:val="baseline"/>
        </w:rPr>
        <w:t>“Massachusetts</w:t>
      </w:r>
      <w:r>
        <w:rPr>
          <w:spacing w:val="-6"/>
          <w:sz w:val="18"/>
          <w:vertAlign w:val="baseline"/>
        </w:rPr>
        <w:t> </w:t>
      </w:r>
      <w:r>
        <w:rPr>
          <w:sz w:val="18"/>
          <w:vertAlign w:val="baseline"/>
        </w:rPr>
        <w:t>2021</w:t>
      </w:r>
      <w:r>
        <w:rPr>
          <w:spacing w:val="-5"/>
          <w:sz w:val="18"/>
          <w:vertAlign w:val="baseline"/>
        </w:rPr>
        <w:t> </w:t>
      </w:r>
      <w:r>
        <w:rPr>
          <w:sz w:val="18"/>
          <w:vertAlign w:val="baseline"/>
        </w:rPr>
        <w:t>Youth</w:t>
      </w:r>
      <w:r>
        <w:rPr>
          <w:spacing w:val="-6"/>
          <w:sz w:val="18"/>
          <w:vertAlign w:val="baseline"/>
        </w:rPr>
        <w:t> </w:t>
      </w:r>
      <w:r>
        <w:rPr>
          <w:sz w:val="18"/>
          <w:vertAlign w:val="baseline"/>
        </w:rPr>
        <w:t>Count,”</w:t>
      </w:r>
      <w:r>
        <w:rPr>
          <w:spacing w:val="-6"/>
          <w:sz w:val="18"/>
          <w:vertAlign w:val="baseline"/>
        </w:rPr>
        <w:t> </w:t>
      </w:r>
      <w:r>
        <w:rPr>
          <w:sz w:val="18"/>
          <w:vertAlign w:val="baseline"/>
        </w:rPr>
        <w:t>2021,</w:t>
      </w:r>
      <w:r>
        <w:rPr>
          <w:spacing w:val="-6"/>
          <w:sz w:val="18"/>
          <w:vertAlign w:val="baseline"/>
        </w:rPr>
        <w:t> </w:t>
      </w:r>
      <w:r>
        <w:rPr>
          <w:sz w:val="18"/>
          <w:vertAlign w:val="baseline"/>
        </w:rPr>
        <w:t>https://</w:t>
      </w:r>
      <w:hyperlink r:id="rId597">
        <w:r>
          <w:rPr>
            <w:sz w:val="18"/>
            <w:vertAlign w:val="baseline"/>
          </w:rPr>
          <w:t>www.mass.gov/doc/2021-youth-count-</w:t>
        </w:r>
        <w:r>
          <w:rPr>
            <w:spacing w:val="-2"/>
            <w:sz w:val="18"/>
            <w:vertAlign w:val="baseline"/>
          </w:rPr>
          <w:t>report/download.</w:t>
        </w:r>
      </w:hyperlink>
    </w:p>
    <w:p>
      <w:pPr>
        <w:spacing w:before="0"/>
        <w:ind w:left="463" w:right="271" w:hanging="1"/>
        <w:jc w:val="left"/>
        <w:rPr>
          <w:sz w:val="18"/>
        </w:rPr>
      </w:pPr>
      <w:r>
        <w:rPr>
          <w:sz w:val="18"/>
          <w:vertAlign w:val="superscript"/>
        </w:rPr>
        <w:t>46</w:t>
      </w:r>
      <w:r>
        <w:rPr>
          <w:spacing w:val="-13"/>
          <w:sz w:val="18"/>
          <w:vertAlign w:val="baseline"/>
        </w:rPr>
        <w:t> </w:t>
      </w:r>
      <w:r>
        <w:rPr>
          <w:sz w:val="18"/>
          <w:vertAlign w:val="baseline"/>
        </w:rPr>
        <w:t>Senate</w:t>
      </w:r>
      <w:r>
        <w:rPr>
          <w:spacing w:val="-4"/>
          <w:sz w:val="18"/>
          <w:vertAlign w:val="baseline"/>
        </w:rPr>
        <w:t> </w:t>
      </w:r>
      <w:r>
        <w:rPr>
          <w:sz w:val="18"/>
          <w:vertAlign w:val="baseline"/>
        </w:rPr>
        <w:t>and</w:t>
      </w:r>
      <w:r>
        <w:rPr>
          <w:spacing w:val="-3"/>
          <w:sz w:val="18"/>
          <w:vertAlign w:val="baseline"/>
        </w:rPr>
        <w:t> </w:t>
      </w:r>
      <w:r>
        <w:rPr>
          <w:sz w:val="18"/>
          <w:vertAlign w:val="baseline"/>
        </w:rPr>
        <w:t>House</w:t>
      </w:r>
      <w:r>
        <w:rPr>
          <w:spacing w:val="-3"/>
          <w:sz w:val="18"/>
          <w:vertAlign w:val="baseline"/>
        </w:rPr>
        <w:t> </w:t>
      </w:r>
      <w:r>
        <w:rPr>
          <w:sz w:val="18"/>
          <w:vertAlign w:val="baseline"/>
        </w:rPr>
        <w:t>of</w:t>
      </w:r>
      <w:r>
        <w:rPr>
          <w:spacing w:val="-3"/>
          <w:sz w:val="18"/>
          <w:vertAlign w:val="baseline"/>
        </w:rPr>
        <w:t> </w:t>
      </w:r>
      <w:r>
        <w:rPr>
          <w:sz w:val="18"/>
          <w:vertAlign w:val="baseline"/>
        </w:rPr>
        <w:t>Representative</w:t>
      </w:r>
      <w:r>
        <w:rPr>
          <w:spacing w:val="-3"/>
          <w:sz w:val="18"/>
          <w:vertAlign w:val="baseline"/>
        </w:rPr>
        <w:t> </w:t>
      </w:r>
      <w:r>
        <w:rPr>
          <w:sz w:val="18"/>
          <w:vertAlign w:val="baseline"/>
        </w:rPr>
        <w:t>of</w:t>
      </w:r>
      <w:r>
        <w:rPr>
          <w:spacing w:val="-3"/>
          <w:sz w:val="18"/>
          <w:vertAlign w:val="baseline"/>
        </w:rPr>
        <w:t> </w:t>
      </w:r>
      <w:r>
        <w:rPr>
          <w:sz w:val="18"/>
          <w:vertAlign w:val="baseline"/>
        </w:rPr>
        <w:t>the</w:t>
      </w:r>
      <w:r>
        <w:rPr>
          <w:spacing w:val="-3"/>
          <w:sz w:val="18"/>
          <w:vertAlign w:val="baseline"/>
        </w:rPr>
        <w:t> </w:t>
      </w:r>
      <w:r>
        <w:rPr>
          <w:sz w:val="18"/>
          <w:vertAlign w:val="baseline"/>
        </w:rPr>
        <w:t>Commonwealth</w:t>
      </w:r>
      <w:r>
        <w:rPr>
          <w:spacing w:val="-3"/>
          <w:sz w:val="18"/>
          <w:vertAlign w:val="baseline"/>
        </w:rPr>
        <w:t> </w:t>
      </w:r>
      <w:r>
        <w:rPr>
          <w:sz w:val="18"/>
          <w:vertAlign w:val="baseline"/>
        </w:rPr>
        <w:t>of</w:t>
      </w:r>
      <w:r>
        <w:rPr>
          <w:spacing w:val="-4"/>
          <w:sz w:val="18"/>
          <w:vertAlign w:val="baseline"/>
        </w:rPr>
        <w:t> </w:t>
      </w:r>
      <w:r>
        <w:rPr>
          <w:sz w:val="18"/>
          <w:vertAlign w:val="baseline"/>
        </w:rPr>
        <w:t>Massachusetts,</w:t>
      </w:r>
      <w:r>
        <w:rPr>
          <w:spacing w:val="-5"/>
          <w:sz w:val="18"/>
          <w:vertAlign w:val="baseline"/>
        </w:rPr>
        <w:t> </w:t>
      </w:r>
      <w:r>
        <w:rPr>
          <w:i/>
          <w:sz w:val="18"/>
          <w:vertAlign w:val="baseline"/>
        </w:rPr>
        <w:t>An</w:t>
      </w:r>
      <w:r>
        <w:rPr>
          <w:i/>
          <w:spacing w:val="-4"/>
          <w:sz w:val="18"/>
          <w:vertAlign w:val="baseline"/>
        </w:rPr>
        <w:t> </w:t>
      </w:r>
      <w:r>
        <w:rPr>
          <w:i/>
          <w:sz w:val="18"/>
          <w:vertAlign w:val="baseline"/>
        </w:rPr>
        <w:t>Act</w:t>
      </w:r>
      <w:r>
        <w:rPr>
          <w:i/>
          <w:spacing w:val="-4"/>
          <w:sz w:val="18"/>
          <w:vertAlign w:val="baseline"/>
        </w:rPr>
        <w:t> </w:t>
      </w:r>
      <w:r>
        <w:rPr>
          <w:i/>
          <w:sz w:val="18"/>
          <w:vertAlign w:val="baseline"/>
        </w:rPr>
        <w:t>providing</w:t>
      </w:r>
      <w:r>
        <w:rPr>
          <w:i/>
          <w:spacing w:val="-2"/>
          <w:sz w:val="18"/>
          <w:vertAlign w:val="baseline"/>
        </w:rPr>
        <w:t> </w:t>
      </w:r>
      <w:r>
        <w:rPr>
          <w:i/>
          <w:sz w:val="18"/>
          <w:vertAlign w:val="baseline"/>
        </w:rPr>
        <w:t>upstream</w:t>
      </w:r>
      <w:r>
        <w:rPr>
          <w:i/>
          <w:spacing w:val="-3"/>
          <w:sz w:val="18"/>
          <w:vertAlign w:val="baseline"/>
        </w:rPr>
        <w:t> </w:t>
      </w:r>
      <w:r>
        <w:rPr>
          <w:i/>
          <w:sz w:val="18"/>
          <w:vertAlign w:val="baseline"/>
        </w:rPr>
        <w:t>homelessness</w:t>
      </w:r>
      <w:r>
        <w:rPr>
          <w:i/>
          <w:sz w:val="18"/>
          <w:vertAlign w:val="baseline"/>
        </w:rPr>
        <w:t> prevention assistance to families, youth, and adults</w:t>
      </w:r>
      <w:r>
        <w:rPr>
          <w:sz w:val="18"/>
          <w:vertAlign w:val="baseline"/>
        </w:rPr>
        <w:t>, SD. 1169, https://malegislature.gov/Bills/193/SD1169</w:t>
      </w:r>
    </w:p>
    <w:p>
      <w:pPr>
        <w:spacing w:before="0"/>
        <w:ind w:left="463" w:right="271" w:hanging="1"/>
        <w:jc w:val="left"/>
        <w:rPr>
          <w:sz w:val="18"/>
        </w:rPr>
      </w:pPr>
      <w:r>
        <w:rPr>
          <w:sz w:val="18"/>
          <w:vertAlign w:val="superscript"/>
        </w:rPr>
        <w:t>47</w:t>
      </w:r>
      <w:r>
        <w:rPr>
          <w:spacing w:val="-13"/>
          <w:sz w:val="18"/>
          <w:vertAlign w:val="baseline"/>
        </w:rPr>
        <w:t> </w:t>
      </w:r>
      <w:r>
        <w:rPr>
          <w:sz w:val="18"/>
          <w:vertAlign w:val="baseline"/>
        </w:rPr>
        <w:t>National</w:t>
      </w:r>
      <w:r>
        <w:rPr>
          <w:spacing w:val="-4"/>
          <w:sz w:val="18"/>
          <w:vertAlign w:val="baseline"/>
        </w:rPr>
        <w:t> </w:t>
      </w:r>
      <w:r>
        <w:rPr>
          <w:sz w:val="18"/>
          <w:vertAlign w:val="baseline"/>
        </w:rPr>
        <w:t>Immigration</w:t>
      </w:r>
      <w:r>
        <w:rPr>
          <w:spacing w:val="-2"/>
          <w:sz w:val="18"/>
          <w:vertAlign w:val="baseline"/>
        </w:rPr>
        <w:t> </w:t>
      </w:r>
      <w:r>
        <w:rPr>
          <w:sz w:val="18"/>
          <w:vertAlign w:val="baseline"/>
        </w:rPr>
        <w:t>Law</w:t>
      </w:r>
      <w:r>
        <w:rPr>
          <w:spacing w:val="-3"/>
          <w:sz w:val="18"/>
          <w:vertAlign w:val="baseline"/>
        </w:rPr>
        <w:t> </w:t>
      </w:r>
      <w:r>
        <w:rPr>
          <w:sz w:val="18"/>
          <w:vertAlign w:val="baseline"/>
        </w:rPr>
        <w:t>Center,</w:t>
      </w:r>
      <w:r>
        <w:rPr>
          <w:spacing w:val="-3"/>
          <w:sz w:val="18"/>
          <w:vertAlign w:val="baseline"/>
        </w:rPr>
        <w:t> </w:t>
      </w:r>
      <w:r>
        <w:rPr>
          <w:sz w:val="18"/>
          <w:vertAlign w:val="baseline"/>
        </w:rPr>
        <w:t>“A</w:t>
      </w:r>
      <w:r>
        <w:rPr>
          <w:spacing w:val="-2"/>
          <w:sz w:val="18"/>
          <w:vertAlign w:val="baseline"/>
        </w:rPr>
        <w:t> </w:t>
      </w:r>
      <w:r>
        <w:rPr>
          <w:sz w:val="18"/>
          <w:vertAlign w:val="baseline"/>
        </w:rPr>
        <w:t>Quick</w:t>
      </w:r>
      <w:r>
        <w:rPr>
          <w:spacing w:val="-3"/>
          <w:sz w:val="18"/>
          <w:vertAlign w:val="baseline"/>
        </w:rPr>
        <w:t> </w:t>
      </w:r>
      <w:r>
        <w:rPr>
          <w:sz w:val="18"/>
          <w:vertAlign w:val="baseline"/>
        </w:rPr>
        <w:t>Guide</w:t>
      </w:r>
      <w:r>
        <w:rPr>
          <w:spacing w:val="-2"/>
          <w:sz w:val="18"/>
          <w:vertAlign w:val="baseline"/>
        </w:rPr>
        <w:t> </w:t>
      </w:r>
      <w:r>
        <w:rPr>
          <w:sz w:val="18"/>
          <w:vertAlign w:val="baseline"/>
        </w:rPr>
        <w:t>to</w:t>
      </w:r>
      <w:r>
        <w:rPr>
          <w:spacing w:val="-2"/>
          <w:sz w:val="18"/>
          <w:vertAlign w:val="baseline"/>
        </w:rPr>
        <w:t> </w:t>
      </w:r>
      <w:r>
        <w:rPr>
          <w:sz w:val="18"/>
          <w:vertAlign w:val="baseline"/>
        </w:rPr>
        <w:t>Immigrant</w:t>
      </w:r>
      <w:r>
        <w:rPr>
          <w:spacing w:val="-4"/>
          <w:sz w:val="18"/>
          <w:vertAlign w:val="baseline"/>
        </w:rPr>
        <w:t> </w:t>
      </w:r>
      <w:r>
        <w:rPr>
          <w:sz w:val="18"/>
          <w:vertAlign w:val="baseline"/>
        </w:rPr>
        <w:t>Eligibility</w:t>
      </w:r>
      <w:r>
        <w:rPr>
          <w:spacing w:val="-2"/>
          <w:sz w:val="18"/>
          <w:vertAlign w:val="baseline"/>
        </w:rPr>
        <w:t> </w:t>
      </w:r>
      <w:r>
        <w:rPr>
          <w:sz w:val="18"/>
          <w:vertAlign w:val="baseline"/>
        </w:rPr>
        <w:t>for</w:t>
      </w:r>
      <w:r>
        <w:rPr>
          <w:spacing w:val="-3"/>
          <w:sz w:val="18"/>
          <w:vertAlign w:val="baseline"/>
        </w:rPr>
        <w:t> </w:t>
      </w:r>
      <w:r>
        <w:rPr>
          <w:sz w:val="18"/>
          <w:vertAlign w:val="baseline"/>
        </w:rPr>
        <w:t>ACA</w:t>
      </w:r>
      <w:r>
        <w:rPr>
          <w:spacing w:val="-2"/>
          <w:sz w:val="18"/>
          <w:vertAlign w:val="baseline"/>
        </w:rPr>
        <w:t> </w:t>
      </w:r>
      <w:r>
        <w:rPr>
          <w:sz w:val="18"/>
          <w:vertAlign w:val="baseline"/>
        </w:rPr>
        <w:t>and</w:t>
      </w:r>
      <w:r>
        <w:rPr>
          <w:spacing w:val="-2"/>
          <w:sz w:val="18"/>
          <w:vertAlign w:val="baseline"/>
        </w:rPr>
        <w:t> </w:t>
      </w:r>
      <w:r>
        <w:rPr>
          <w:sz w:val="18"/>
          <w:vertAlign w:val="baseline"/>
        </w:rPr>
        <w:t>Key</w:t>
      </w:r>
      <w:r>
        <w:rPr>
          <w:spacing w:val="-3"/>
          <w:sz w:val="18"/>
          <w:vertAlign w:val="baseline"/>
        </w:rPr>
        <w:t> </w:t>
      </w:r>
      <w:r>
        <w:rPr>
          <w:sz w:val="18"/>
          <w:vertAlign w:val="baseline"/>
        </w:rPr>
        <w:t>Federal</w:t>
      </w:r>
      <w:r>
        <w:rPr>
          <w:spacing w:val="-3"/>
          <w:sz w:val="18"/>
          <w:vertAlign w:val="baseline"/>
        </w:rPr>
        <w:t> </w:t>
      </w:r>
      <w:r>
        <w:rPr>
          <w:sz w:val="18"/>
          <w:vertAlign w:val="baseline"/>
        </w:rPr>
        <w:t>Means-Tested</w:t>
      </w:r>
      <w:r>
        <w:rPr>
          <w:spacing w:val="-3"/>
          <w:sz w:val="18"/>
          <w:vertAlign w:val="baseline"/>
        </w:rPr>
        <w:t> </w:t>
      </w:r>
      <w:r>
        <w:rPr>
          <w:sz w:val="18"/>
          <w:vertAlign w:val="baseline"/>
        </w:rPr>
        <w:t>Programs,” April 2018, https://</w:t>
      </w:r>
      <w:hyperlink r:id="rId598">
        <w:r>
          <w:rPr>
            <w:sz w:val="18"/>
            <w:vertAlign w:val="baseline"/>
          </w:rPr>
          <w:t>www.nilc.org/issues/economic-support/quick-guide-aca-means-tested-programs/.</w:t>
        </w:r>
      </w:hyperlink>
    </w:p>
    <w:p>
      <w:pPr>
        <w:spacing w:before="0"/>
        <w:ind w:left="463" w:right="370" w:hanging="1"/>
        <w:jc w:val="left"/>
        <w:rPr>
          <w:sz w:val="18"/>
        </w:rPr>
      </w:pPr>
      <w:r>
        <w:rPr>
          <w:sz w:val="18"/>
          <w:vertAlign w:val="superscript"/>
        </w:rPr>
        <w:t>48</w:t>
      </w:r>
      <w:r>
        <w:rPr>
          <w:spacing w:val="-8"/>
          <w:sz w:val="18"/>
          <w:vertAlign w:val="baseline"/>
        </w:rPr>
        <w:t> </w:t>
      </w:r>
      <w:r>
        <w:rPr>
          <w:sz w:val="18"/>
          <w:vertAlign w:val="baseline"/>
        </w:rPr>
        <w:t>“Information for Immigrant Patients and Their Health Care Providers on Immigration Enforcement | Mass.Gov,” accessed April</w:t>
      </w:r>
      <w:r>
        <w:rPr>
          <w:spacing w:val="-11"/>
          <w:sz w:val="18"/>
          <w:vertAlign w:val="baseline"/>
        </w:rPr>
        <w:t> </w:t>
      </w:r>
      <w:r>
        <w:rPr>
          <w:sz w:val="18"/>
          <w:vertAlign w:val="baseline"/>
        </w:rPr>
        <w:t>24,</w:t>
      </w:r>
      <w:r>
        <w:rPr>
          <w:spacing w:val="-10"/>
          <w:sz w:val="18"/>
          <w:vertAlign w:val="baseline"/>
        </w:rPr>
        <w:t> </w:t>
      </w:r>
      <w:r>
        <w:rPr>
          <w:sz w:val="18"/>
          <w:vertAlign w:val="baseline"/>
        </w:rPr>
        <w:t>2023,</w:t>
      </w:r>
      <w:r>
        <w:rPr>
          <w:spacing w:val="-10"/>
          <w:sz w:val="18"/>
          <w:vertAlign w:val="baseline"/>
        </w:rPr>
        <w:t> </w:t>
      </w:r>
      <w:r>
        <w:rPr>
          <w:sz w:val="18"/>
          <w:vertAlign w:val="baseline"/>
        </w:rPr>
        <w:t>https://</w:t>
      </w:r>
      <w:hyperlink r:id="rId599">
        <w:r>
          <w:rPr>
            <w:sz w:val="18"/>
            <w:vertAlign w:val="baseline"/>
          </w:rPr>
          <w:t>www.mass.gov/service-details/information-for-immigrant-patients-and-their-health-care-providers-on-</w:t>
        </w:r>
      </w:hyperlink>
      <w:r>
        <w:rPr>
          <w:sz w:val="18"/>
          <w:vertAlign w:val="baseline"/>
        </w:rPr>
        <w:t> </w:t>
      </w:r>
      <w:r>
        <w:rPr>
          <w:spacing w:val="-2"/>
          <w:sz w:val="18"/>
          <w:vertAlign w:val="baseline"/>
        </w:rPr>
        <w:t>immigration-enforcement.</w:t>
      </w:r>
    </w:p>
    <w:p>
      <w:pPr>
        <w:spacing w:before="0"/>
        <w:ind w:left="463" w:right="749" w:hanging="1"/>
        <w:jc w:val="left"/>
        <w:rPr>
          <w:sz w:val="18"/>
        </w:rPr>
      </w:pPr>
      <w:r>
        <w:rPr>
          <w:sz w:val="18"/>
          <w:vertAlign w:val="superscript"/>
        </w:rPr>
        <w:t>49</w:t>
      </w:r>
      <w:r>
        <w:rPr>
          <w:spacing w:val="-13"/>
          <w:sz w:val="18"/>
          <w:vertAlign w:val="baseline"/>
        </w:rPr>
        <w:t> </w:t>
      </w:r>
      <w:r>
        <w:rPr>
          <w:sz w:val="18"/>
          <w:vertAlign w:val="baseline"/>
        </w:rPr>
        <w:t>KFF,</w:t>
      </w:r>
      <w:r>
        <w:rPr>
          <w:spacing w:val="-6"/>
          <w:sz w:val="18"/>
          <w:vertAlign w:val="baseline"/>
        </w:rPr>
        <w:t> </w:t>
      </w:r>
      <w:r>
        <w:rPr>
          <w:sz w:val="18"/>
          <w:vertAlign w:val="baseline"/>
        </w:rPr>
        <w:t>“Health</w:t>
      </w:r>
      <w:r>
        <w:rPr>
          <w:spacing w:val="-3"/>
          <w:sz w:val="18"/>
          <w:vertAlign w:val="baseline"/>
        </w:rPr>
        <w:t> </w:t>
      </w:r>
      <w:r>
        <w:rPr>
          <w:sz w:val="18"/>
          <w:vertAlign w:val="baseline"/>
        </w:rPr>
        <w:t>Coverage</w:t>
      </w:r>
      <w:r>
        <w:rPr>
          <w:spacing w:val="-3"/>
          <w:sz w:val="18"/>
          <w:vertAlign w:val="baseline"/>
        </w:rPr>
        <w:t> </w:t>
      </w:r>
      <w:r>
        <w:rPr>
          <w:sz w:val="18"/>
          <w:vertAlign w:val="baseline"/>
        </w:rPr>
        <w:t>and</w:t>
      </w:r>
      <w:r>
        <w:rPr>
          <w:spacing w:val="-3"/>
          <w:sz w:val="18"/>
          <w:vertAlign w:val="baseline"/>
        </w:rPr>
        <w:t> </w:t>
      </w:r>
      <w:r>
        <w:rPr>
          <w:sz w:val="18"/>
          <w:vertAlign w:val="baseline"/>
        </w:rPr>
        <w:t>Care</w:t>
      </w:r>
      <w:r>
        <w:rPr>
          <w:spacing w:val="-3"/>
          <w:sz w:val="18"/>
          <w:vertAlign w:val="baseline"/>
        </w:rPr>
        <w:t> </w:t>
      </w:r>
      <w:r>
        <w:rPr>
          <w:sz w:val="18"/>
          <w:vertAlign w:val="baseline"/>
        </w:rPr>
        <w:t>of</w:t>
      </w:r>
      <w:r>
        <w:rPr>
          <w:spacing w:val="-3"/>
          <w:sz w:val="18"/>
          <w:vertAlign w:val="baseline"/>
        </w:rPr>
        <w:t> </w:t>
      </w:r>
      <w:r>
        <w:rPr>
          <w:sz w:val="18"/>
          <w:vertAlign w:val="baseline"/>
        </w:rPr>
        <w:t>Immigrants,”</w:t>
      </w:r>
      <w:r>
        <w:rPr>
          <w:spacing w:val="-3"/>
          <w:sz w:val="18"/>
          <w:vertAlign w:val="baseline"/>
        </w:rPr>
        <w:t> </w:t>
      </w:r>
      <w:r>
        <w:rPr>
          <w:i/>
          <w:sz w:val="18"/>
          <w:vertAlign w:val="baseline"/>
        </w:rPr>
        <w:t>KFF</w:t>
      </w:r>
      <w:r>
        <w:rPr>
          <w:i/>
          <w:spacing w:val="-4"/>
          <w:sz w:val="18"/>
          <w:vertAlign w:val="baseline"/>
        </w:rPr>
        <w:t> </w:t>
      </w:r>
      <w:r>
        <w:rPr>
          <w:sz w:val="18"/>
          <w:vertAlign w:val="baseline"/>
        </w:rPr>
        <w:t>(blog),</w:t>
      </w:r>
      <w:r>
        <w:rPr>
          <w:spacing w:val="-4"/>
          <w:sz w:val="18"/>
          <w:vertAlign w:val="baseline"/>
        </w:rPr>
        <w:t> </w:t>
      </w:r>
      <w:r>
        <w:rPr>
          <w:sz w:val="18"/>
          <w:vertAlign w:val="baseline"/>
        </w:rPr>
        <w:t>December</w:t>
      </w:r>
      <w:r>
        <w:rPr>
          <w:spacing w:val="-4"/>
          <w:sz w:val="18"/>
          <w:vertAlign w:val="baseline"/>
        </w:rPr>
        <w:t> </w:t>
      </w:r>
      <w:r>
        <w:rPr>
          <w:sz w:val="18"/>
          <w:vertAlign w:val="baseline"/>
        </w:rPr>
        <w:t>20,</w:t>
      </w:r>
      <w:r>
        <w:rPr>
          <w:spacing w:val="-4"/>
          <w:sz w:val="18"/>
          <w:vertAlign w:val="baseline"/>
        </w:rPr>
        <w:t> </w:t>
      </w:r>
      <w:r>
        <w:rPr>
          <w:sz w:val="18"/>
          <w:vertAlign w:val="baseline"/>
        </w:rPr>
        <w:t>2022,</w:t>
      </w:r>
      <w:r>
        <w:rPr>
          <w:spacing w:val="-4"/>
          <w:sz w:val="18"/>
          <w:vertAlign w:val="baseline"/>
        </w:rPr>
        <w:t> </w:t>
      </w:r>
      <w:r>
        <w:rPr>
          <w:sz w:val="18"/>
          <w:vertAlign w:val="baseline"/>
        </w:rPr>
        <w:t>https://</w:t>
      </w:r>
      <w:hyperlink r:id="rId600">
        <w:r>
          <w:rPr>
            <w:sz w:val="18"/>
            <w:vertAlign w:val="baseline"/>
          </w:rPr>
          <w:t>www.kff.org/racial-equity-and-</w:t>
        </w:r>
      </w:hyperlink>
      <w:r>
        <w:rPr>
          <w:sz w:val="18"/>
          <w:vertAlign w:val="baseline"/>
        </w:rPr>
        <w:t> </w:t>
      </w:r>
      <w:r>
        <w:rPr>
          <w:spacing w:val="-2"/>
          <w:sz w:val="18"/>
          <w:vertAlign w:val="baseline"/>
        </w:rPr>
        <w:t>health-policy/fact-sheet/health-coverage-and-care-of-immigrants/.</w:t>
      </w:r>
    </w:p>
    <w:p>
      <w:pPr>
        <w:spacing w:line="219" w:lineRule="exact" w:before="0"/>
        <w:ind w:left="463" w:right="0" w:firstLine="0"/>
        <w:jc w:val="left"/>
        <w:rPr>
          <w:sz w:val="18"/>
        </w:rPr>
      </w:pPr>
      <w:r>
        <w:rPr>
          <w:sz w:val="18"/>
          <w:vertAlign w:val="superscript"/>
        </w:rPr>
        <w:t>50</w:t>
      </w:r>
      <w:r>
        <w:rPr>
          <w:spacing w:val="-15"/>
          <w:sz w:val="18"/>
          <w:vertAlign w:val="baseline"/>
        </w:rPr>
        <w:t> </w:t>
      </w:r>
      <w:r>
        <w:rPr>
          <w:sz w:val="18"/>
          <w:vertAlign w:val="baseline"/>
        </w:rPr>
        <w:t>Chavez,</w:t>
      </w:r>
      <w:r>
        <w:rPr>
          <w:spacing w:val="-5"/>
          <w:sz w:val="18"/>
          <w:vertAlign w:val="baseline"/>
        </w:rPr>
        <w:t> </w:t>
      </w:r>
      <w:r>
        <w:rPr>
          <w:sz w:val="18"/>
          <w:vertAlign w:val="baseline"/>
        </w:rPr>
        <w:t>“Identifying</w:t>
      </w:r>
      <w:r>
        <w:rPr>
          <w:spacing w:val="-2"/>
          <w:sz w:val="18"/>
          <w:vertAlign w:val="baseline"/>
        </w:rPr>
        <w:t> </w:t>
      </w:r>
      <w:r>
        <w:rPr>
          <w:sz w:val="18"/>
          <w:vertAlign w:val="baseline"/>
        </w:rPr>
        <w:t>the</w:t>
      </w:r>
      <w:r>
        <w:rPr>
          <w:spacing w:val="-2"/>
          <w:sz w:val="18"/>
          <w:vertAlign w:val="baseline"/>
        </w:rPr>
        <w:t> </w:t>
      </w:r>
      <w:r>
        <w:rPr>
          <w:sz w:val="18"/>
          <w:vertAlign w:val="baseline"/>
        </w:rPr>
        <w:t>Needs</w:t>
      </w:r>
      <w:r>
        <w:rPr>
          <w:spacing w:val="-3"/>
          <w:sz w:val="18"/>
          <w:vertAlign w:val="baseline"/>
        </w:rPr>
        <w:t> </w:t>
      </w:r>
      <w:r>
        <w:rPr>
          <w:sz w:val="18"/>
          <w:vertAlign w:val="baseline"/>
        </w:rPr>
        <w:t>of</w:t>
      </w:r>
      <w:r>
        <w:rPr>
          <w:spacing w:val="-3"/>
          <w:sz w:val="18"/>
          <w:vertAlign w:val="baseline"/>
        </w:rPr>
        <w:t> </w:t>
      </w:r>
      <w:r>
        <w:rPr>
          <w:sz w:val="18"/>
          <w:vertAlign w:val="baseline"/>
        </w:rPr>
        <w:t>LGBTQ</w:t>
      </w:r>
      <w:r>
        <w:rPr>
          <w:spacing w:val="-2"/>
          <w:sz w:val="18"/>
          <w:vertAlign w:val="baseline"/>
        </w:rPr>
        <w:t> </w:t>
      </w:r>
      <w:r>
        <w:rPr>
          <w:sz w:val="18"/>
          <w:vertAlign w:val="baseline"/>
        </w:rPr>
        <w:t>Immigrants</w:t>
      </w:r>
      <w:r>
        <w:rPr>
          <w:spacing w:val="-2"/>
          <w:sz w:val="18"/>
          <w:vertAlign w:val="baseline"/>
        </w:rPr>
        <w:t> </w:t>
      </w:r>
      <w:r>
        <w:rPr>
          <w:sz w:val="18"/>
          <w:vertAlign w:val="baseline"/>
        </w:rPr>
        <w:t>and</w:t>
      </w:r>
      <w:r>
        <w:rPr>
          <w:spacing w:val="-2"/>
          <w:sz w:val="18"/>
          <w:vertAlign w:val="baseline"/>
        </w:rPr>
        <w:t> </w:t>
      </w:r>
      <w:r>
        <w:rPr>
          <w:sz w:val="18"/>
          <w:vertAlign w:val="baseline"/>
        </w:rPr>
        <w:t>Refugees</w:t>
      </w:r>
      <w:r>
        <w:rPr>
          <w:spacing w:val="-2"/>
          <w:sz w:val="18"/>
          <w:vertAlign w:val="baseline"/>
        </w:rPr>
        <w:t> </w:t>
      </w:r>
      <w:r>
        <w:rPr>
          <w:sz w:val="18"/>
          <w:vertAlign w:val="baseline"/>
        </w:rPr>
        <w:t>in</w:t>
      </w:r>
      <w:r>
        <w:rPr>
          <w:spacing w:val="-2"/>
          <w:sz w:val="18"/>
          <w:vertAlign w:val="baseline"/>
        </w:rPr>
        <w:t> </w:t>
      </w:r>
      <w:r>
        <w:rPr>
          <w:sz w:val="18"/>
          <w:vertAlign w:val="baseline"/>
        </w:rPr>
        <w:t>Southern</w:t>
      </w:r>
      <w:r>
        <w:rPr>
          <w:spacing w:val="-3"/>
          <w:sz w:val="18"/>
          <w:vertAlign w:val="baseline"/>
        </w:rPr>
        <w:t> </w:t>
      </w:r>
      <w:r>
        <w:rPr>
          <w:spacing w:val="-2"/>
          <w:sz w:val="18"/>
          <w:vertAlign w:val="baseline"/>
        </w:rPr>
        <w:t>Arizona.”</w:t>
      </w:r>
    </w:p>
    <w:p>
      <w:pPr>
        <w:spacing w:before="0"/>
        <w:ind w:left="463" w:right="0" w:firstLine="0"/>
        <w:jc w:val="left"/>
        <w:rPr>
          <w:sz w:val="18"/>
        </w:rPr>
      </w:pPr>
      <w:r>
        <w:rPr>
          <w:sz w:val="18"/>
          <w:vertAlign w:val="superscript"/>
        </w:rPr>
        <w:t>51</w:t>
      </w:r>
      <w:r>
        <w:rPr>
          <w:spacing w:val="-15"/>
          <w:sz w:val="18"/>
          <w:vertAlign w:val="baseline"/>
        </w:rPr>
        <w:t> </w:t>
      </w:r>
      <w:r>
        <w:rPr>
          <w:sz w:val="18"/>
          <w:vertAlign w:val="baseline"/>
        </w:rPr>
        <w:t>“Information</w:t>
      </w:r>
      <w:r>
        <w:rPr>
          <w:spacing w:val="-5"/>
          <w:sz w:val="18"/>
          <w:vertAlign w:val="baseline"/>
        </w:rPr>
        <w:t> </w:t>
      </w:r>
      <w:r>
        <w:rPr>
          <w:sz w:val="18"/>
          <w:vertAlign w:val="baseline"/>
        </w:rPr>
        <w:t>for</w:t>
      </w:r>
      <w:r>
        <w:rPr>
          <w:spacing w:val="-3"/>
          <w:sz w:val="18"/>
          <w:vertAlign w:val="baseline"/>
        </w:rPr>
        <w:t> </w:t>
      </w:r>
      <w:r>
        <w:rPr>
          <w:sz w:val="18"/>
          <w:vertAlign w:val="baseline"/>
        </w:rPr>
        <w:t>Immigrant</w:t>
      </w:r>
      <w:r>
        <w:rPr>
          <w:spacing w:val="-4"/>
          <w:sz w:val="18"/>
          <w:vertAlign w:val="baseline"/>
        </w:rPr>
        <w:t> </w:t>
      </w:r>
      <w:r>
        <w:rPr>
          <w:sz w:val="18"/>
          <w:vertAlign w:val="baseline"/>
        </w:rPr>
        <w:t>Patients</w:t>
      </w:r>
      <w:r>
        <w:rPr>
          <w:spacing w:val="-2"/>
          <w:sz w:val="18"/>
          <w:vertAlign w:val="baseline"/>
        </w:rPr>
        <w:t> </w:t>
      </w:r>
      <w:r>
        <w:rPr>
          <w:sz w:val="18"/>
          <w:vertAlign w:val="baseline"/>
        </w:rPr>
        <w:t>and</w:t>
      </w:r>
      <w:r>
        <w:rPr>
          <w:spacing w:val="-3"/>
          <w:sz w:val="18"/>
          <w:vertAlign w:val="baseline"/>
        </w:rPr>
        <w:t> </w:t>
      </w:r>
      <w:r>
        <w:rPr>
          <w:sz w:val="18"/>
          <w:vertAlign w:val="baseline"/>
        </w:rPr>
        <w:t>Their</w:t>
      </w:r>
      <w:r>
        <w:rPr>
          <w:spacing w:val="-4"/>
          <w:sz w:val="18"/>
          <w:vertAlign w:val="baseline"/>
        </w:rPr>
        <w:t> </w:t>
      </w:r>
      <w:r>
        <w:rPr>
          <w:sz w:val="18"/>
          <w:vertAlign w:val="baseline"/>
        </w:rPr>
        <w:t>Health</w:t>
      </w:r>
      <w:r>
        <w:rPr>
          <w:spacing w:val="-3"/>
          <w:sz w:val="18"/>
          <w:vertAlign w:val="baseline"/>
        </w:rPr>
        <w:t> </w:t>
      </w:r>
      <w:r>
        <w:rPr>
          <w:sz w:val="18"/>
          <w:vertAlign w:val="baseline"/>
        </w:rPr>
        <w:t>Care</w:t>
      </w:r>
      <w:r>
        <w:rPr>
          <w:spacing w:val="-3"/>
          <w:sz w:val="18"/>
          <w:vertAlign w:val="baseline"/>
        </w:rPr>
        <w:t> </w:t>
      </w:r>
      <w:r>
        <w:rPr>
          <w:sz w:val="18"/>
          <w:vertAlign w:val="baseline"/>
        </w:rPr>
        <w:t>Providers</w:t>
      </w:r>
      <w:r>
        <w:rPr>
          <w:spacing w:val="-2"/>
          <w:sz w:val="18"/>
          <w:vertAlign w:val="baseline"/>
        </w:rPr>
        <w:t> </w:t>
      </w:r>
      <w:r>
        <w:rPr>
          <w:sz w:val="18"/>
          <w:vertAlign w:val="baseline"/>
        </w:rPr>
        <w:t>on</w:t>
      </w:r>
      <w:r>
        <w:rPr>
          <w:spacing w:val="-3"/>
          <w:sz w:val="18"/>
          <w:vertAlign w:val="baseline"/>
        </w:rPr>
        <w:t> </w:t>
      </w:r>
      <w:r>
        <w:rPr>
          <w:sz w:val="18"/>
          <w:vertAlign w:val="baseline"/>
        </w:rPr>
        <w:t>Immigration</w:t>
      </w:r>
      <w:r>
        <w:rPr>
          <w:spacing w:val="-2"/>
          <w:sz w:val="18"/>
          <w:vertAlign w:val="baseline"/>
        </w:rPr>
        <w:t> </w:t>
      </w:r>
      <w:r>
        <w:rPr>
          <w:sz w:val="18"/>
          <w:vertAlign w:val="baseline"/>
        </w:rPr>
        <w:t>Enforcement</w:t>
      </w:r>
      <w:r>
        <w:rPr>
          <w:spacing w:val="-4"/>
          <w:sz w:val="18"/>
          <w:vertAlign w:val="baseline"/>
        </w:rPr>
        <w:t> </w:t>
      </w:r>
      <w:r>
        <w:rPr>
          <w:sz w:val="18"/>
          <w:vertAlign w:val="baseline"/>
        </w:rPr>
        <w:t>|</w:t>
      </w:r>
      <w:r>
        <w:rPr>
          <w:spacing w:val="-2"/>
          <w:sz w:val="18"/>
          <w:vertAlign w:val="baseline"/>
        </w:rPr>
        <w:t> Mass.Gov.”</w:t>
      </w:r>
    </w:p>
    <w:p>
      <w:pPr>
        <w:spacing w:before="0"/>
        <w:ind w:left="463" w:right="0" w:firstLine="0"/>
        <w:jc w:val="left"/>
        <w:rPr>
          <w:sz w:val="18"/>
        </w:rPr>
      </w:pPr>
      <w:r>
        <w:rPr>
          <w:sz w:val="18"/>
          <w:vertAlign w:val="superscript"/>
        </w:rPr>
        <w:t>52</w:t>
      </w:r>
      <w:r>
        <w:rPr>
          <w:spacing w:val="-15"/>
          <w:sz w:val="18"/>
          <w:vertAlign w:val="baseline"/>
        </w:rPr>
        <w:t> </w:t>
      </w:r>
      <w:r>
        <w:rPr>
          <w:sz w:val="18"/>
          <w:vertAlign w:val="baseline"/>
        </w:rPr>
        <w:t>Gruberg,</w:t>
      </w:r>
      <w:r>
        <w:rPr>
          <w:spacing w:val="-6"/>
          <w:sz w:val="18"/>
          <w:vertAlign w:val="baseline"/>
        </w:rPr>
        <w:t> </w:t>
      </w:r>
      <w:r>
        <w:rPr>
          <w:sz w:val="18"/>
          <w:vertAlign w:val="baseline"/>
        </w:rPr>
        <w:t>Rooney,</w:t>
      </w:r>
      <w:r>
        <w:rPr>
          <w:spacing w:val="-4"/>
          <w:sz w:val="18"/>
          <w:vertAlign w:val="baseline"/>
        </w:rPr>
        <w:t> </w:t>
      </w:r>
      <w:r>
        <w:rPr>
          <w:sz w:val="18"/>
          <w:vertAlign w:val="baseline"/>
        </w:rPr>
        <w:t>and</w:t>
      </w:r>
      <w:r>
        <w:rPr>
          <w:spacing w:val="-2"/>
          <w:sz w:val="18"/>
          <w:vertAlign w:val="baseline"/>
        </w:rPr>
        <w:t> </w:t>
      </w:r>
      <w:r>
        <w:rPr>
          <w:sz w:val="18"/>
          <w:vertAlign w:val="baseline"/>
        </w:rPr>
        <w:t>McGovern,</w:t>
      </w:r>
      <w:r>
        <w:rPr>
          <w:spacing w:val="-4"/>
          <w:sz w:val="18"/>
          <w:vertAlign w:val="baseline"/>
        </w:rPr>
        <w:t> </w:t>
      </w:r>
      <w:r>
        <w:rPr>
          <w:sz w:val="18"/>
          <w:vertAlign w:val="baseline"/>
        </w:rPr>
        <w:t>“Serving</w:t>
      </w:r>
      <w:r>
        <w:rPr>
          <w:spacing w:val="-3"/>
          <w:sz w:val="18"/>
          <w:vertAlign w:val="baseline"/>
        </w:rPr>
        <w:t> </w:t>
      </w:r>
      <w:r>
        <w:rPr>
          <w:sz w:val="18"/>
          <w:vertAlign w:val="baseline"/>
        </w:rPr>
        <w:t>LGBTQ</w:t>
      </w:r>
      <w:r>
        <w:rPr>
          <w:spacing w:val="-3"/>
          <w:sz w:val="18"/>
          <w:vertAlign w:val="baseline"/>
        </w:rPr>
        <w:t> </w:t>
      </w:r>
      <w:r>
        <w:rPr>
          <w:sz w:val="18"/>
          <w:vertAlign w:val="baseline"/>
        </w:rPr>
        <w:t>Immigrants</w:t>
      </w:r>
      <w:r>
        <w:rPr>
          <w:spacing w:val="-2"/>
          <w:sz w:val="18"/>
          <w:vertAlign w:val="baseline"/>
        </w:rPr>
        <w:t> </w:t>
      </w:r>
      <w:r>
        <w:rPr>
          <w:sz w:val="18"/>
          <w:vertAlign w:val="baseline"/>
        </w:rPr>
        <w:t>and</w:t>
      </w:r>
      <w:r>
        <w:rPr>
          <w:spacing w:val="-3"/>
          <w:sz w:val="18"/>
          <w:vertAlign w:val="baseline"/>
        </w:rPr>
        <w:t> </w:t>
      </w:r>
      <w:r>
        <w:rPr>
          <w:sz w:val="18"/>
          <w:vertAlign w:val="baseline"/>
        </w:rPr>
        <w:t>Building</w:t>
      </w:r>
      <w:r>
        <w:rPr>
          <w:spacing w:val="-3"/>
          <w:sz w:val="18"/>
          <w:vertAlign w:val="baseline"/>
        </w:rPr>
        <w:t> </w:t>
      </w:r>
      <w:r>
        <w:rPr>
          <w:sz w:val="18"/>
          <w:vertAlign w:val="baseline"/>
        </w:rPr>
        <w:t>Welcoming</w:t>
      </w:r>
      <w:r>
        <w:rPr>
          <w:spacing w:val="-2"/>
          <w:sz w:val="18"/>
          <w:vertAlign w:val="baseline"/>
        </w:rPr>
        <w:t> Communities.”</w:t>
      </w:r>
    </w:p>
    <w:p>
      <w:pPr>
        <w:spacing w:before="1"/>
        <w:ind w:left="463" w:right="366" w:firstLine="0"/>
        <w:jc w:val="left"/>
        <w:rPr>
          <w:sz w:val="18"/>
        </w:rPr>
      </w:pPr>
      <w:r>
        <w:rPr>
          <w:sz w:val="18"/>
          <w:vertAlign w:val="superscript"/>
        </w:rPr>
        <w:t>53</w:t>
      </w:r>
      <w:r>
        <w:rPr>
          <w:spacing w:val="-14"/>
          <w:sz w:val="18"/>
          <w:vertAlign w:val="baseline"/>
        </w:rPr>
        <w:t> </w:t>
      </w:r>
      <w:r>
        <w:rPr>
          <w:sz w:val="18"/>
          <w:vertAlign w:val="baseline"/>
        </w:rPr>
        <w:t>Peter</w:t>
      </w:r>
      <w:r>
        <w:rPr>
          <w:spacing w:val="-5"/>
          <w:sz w:val="18"/>
          <w:vertAlign w:val="baseline"/>
        </w:rPr>
        <w:t> </w:t>
      </w:r>
      <w:r>
        <w:rPr>
          <w:sz w:val="18"/>
          <w:vertAlign w:val="baseline"/>
        </w:rPr>
        <w:t>Markowitz</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“Accessing</w:t>
      </w:r>
      <w:r>
        <w:rPr>
          <w:spacing w:val="-2"/>
          <w:sz w:val="18"/>
          <w:vertAlign w:val="baseline"/>
        </w:rPr>
        <w:t> </w:t>
      </w:r>
      <w:r>
        <w:rPr>
          <w:sz w:val="18"/>
          <w:vertAlign w:val="baseline"/>
        </w:rPr>
        <w:t>Justice:</w:t>
      </w:r>
      <w:r>
        <w:rPr>
          <w:spacing w:val="-2"/>
          <w:sz w:val="18"/>
          <w:vertAlign w:val="baseline"/>
        </w:rPr>
        <w:t> </w:t>
      </w:r>
      <w:r>
        <w:rPr>
          <w:sz w:val="18"/>
          <w:vertAlign w:val="baseline"/>
        </w:rPr>
        <w:t>The</w:t>
      </w:r>
      <w:r>
        <w:rPr>
          <w:spacing w:val="-3"/>
          <w:sz w:val="18"/>
          <w:vertAlign w:val="baseline"/>
        </w:rPr>
        <w:t> </w:t>
      </w:r>
      <w:r>
        <w:rPr>
          <w:sz w:val="18"/>
          <w:vertAlign w:val="baseline"/>
        </w:rPr>
        <w:t>Available</w:t>
      </w:r>
      <w:r>
        <w:rPr>
          <w:spacing w:val="-2"/>
          <w:sz w:val="18"/>
          <w:vertAlign w:val="baseline"/>
        </w:rPr>
        <w:t> </w:t>
      </w:r>
      <w:r>
        <w:rPr>
          <w:sz w:val="18"/>
          <w:vertAlign w:val="baseline"/>
        </w:rPr>
        <w:t>and</w:t>
      </w:r>
      <w:r>
        <w:rPr>
          <w:spacing w:val="-2"/>
          <w:sz w:val="18"/>
          <w:vertAlign w:val="baseline"/>
        </w:rPr>
        <w:t> </w:t>
      </w:r>
      <w:r>
        <w:rPr>
          <w:sz w:val="18"/>
          <w:vertAlign w:val="baseline"/>
        </w:rPr>
        <w:t>Adequacy</w:t>
      </w:r>
      <w:r>
        <w:rPr>
          <w:spacing w:val="-2"/>
          <w:sz w:val="18"/>
          <w:vertAlign w:val="baseline"/>
        </w:rPr>
        <w:t> </w:t>
      </w:r>
      <w:r>
        <w:rPr>
          <w:sz w:val="18"/>
          <w:vertAlign w:val="baseline"/>
        </w:rPr>
        <w:t>of</w:t>
      </w:r>
      <w:r>
        <w:rPr>
          <w:spacing w:val="-2"/>
          <w:sz w:val="18"/>
          <w:vertAlign w:val="baseline"/>
        </w:rPr>
        <w:t> </w:t>
      </w:r>
      <w:r>
        <w:rPr>
          <w:sz w:val="18"/>
          <w:vertAlign w:val="baseline"/>
        </w:rPr>
        <w:t>Counsel</w:t>
      </w:r>
      <w:r>
        <w:rPr>
          <w:spacing w:val="-3"/>
          <w:sz w:val="18"/>
          <w:vertAlign w:val="baseline"/>
        </w:rPr>
        <w:t> </w:t>
      </w:r>
      <w:r>
        <w:rPr>
          <w:sz w:val="18"/>
          <w:vertAlign w:val="baseline"/>
        </w:rPr>
        <w:t>in</w:t>
      </w:r>
      <w:r>
        <w:rPr>
          <w:spacing w:val="-2"/>
          <w:sz w:val="18"/>
          <w:vertAlign w:val="baseline"/>
        </w:rPr>
        <w:t> </w:t>
      </w:r>
      <w:r>
        <w:rPr>
          <w:sz w:val="18"/>
          <w:vertAlign w:val="baseline"/>
        </w:rPr>
        <w:t>Removal</w:t>
      </w:r>
      <w:r>
        <w:rPr>
          <w:spacing w:val="-3"/>
          <w:sz w:val="18"/>
          <w:vertAlign w:val="baseline"/>
        </w:rPr>
        <w:t> </w:t>
      </w:r>
      <w:r>
        <w:rPr>
          <w:sz w:val="18"/>
          <w:vertAlign w:val="baseline"/>
        </w:rPr>
        <w:t>Proceedings,”</w:t>
      </w:r>
      <w:r>
        <w:rPr>
          <w:spacing w:val="-2"/>
          <w:sz w:val="18"/>
          <w:vertAlign w:val="baseline"/>
        </w:rPr>
        <w:t> </w:t>
      </w:r>
      <w:r>
        <w:rPr>
          <w:i/>
          <w:sz w:val="18"/>
          <w:vertAlign w:val="baseline"/>
        </w:rPr>
        <w:t>Cardozo</w:t>
      </w:r>
      <w:r>
        <w:rPr>
          <w:i/>
          <w:spacing w:val="-2"/>
          <w:sz w:val="18"/>
          <w:vertAlign w:val="baseline"/>
        </w:rPr>
        <w:t> </w:t>
      </w:r>
      <w:r>
        <w:rPr>
          <w:i/>
          <w:sz w:val="18"/>
          <w:vertAlign w:val="baseline"/>
        </w:rPr>
        <w:t>Law</w:t>
      </w:r>
      <w:r>
        <w:rPr>
          <w:i/>
          <w:sz w:val="18"/>
          <w:vertAlign w:val="baseline"/>
        </w:rPr>
        <w:t> Review </w:t>
      </w:r>
      <w:r>
        <w:rPr>
          <w:sz w:val="18"/>
          <w:vertAlign w:val="baseline"/>
        </w:rPr>
        <w:t>33 (December 1, 2011): 357.</w:t>
      </w:r>
    </w:p>
    <w:p>
      <w:pPr>
        <w:spacing w:before="0"/>
        <w:ind w:left="463" w:right="1787" w:hanging="1"/>
        <w:jc w:val="left"/>
        <w:rPr>
          <w:sz w:val="18"/>
        </w:rPr>
      </w:pPr>
      <w:r>
        <w:rPr>
          <w:sz w:val="18"/>
          <w:vertAlign w:val="superscript"/>
        </w:rPr>
        <w:t>54</w:t>
      </w:r>
      <w:r>
        <w:rPr>
          <w:spacing w:val="-13"/>
          <w:sz w:val="18"/>
          <w:vertAlign w:val="baseline"/>
        </w:rPr>
        <w:t> </w:t>
      </w:r>
      <w:r>
        <w:rPr>
          <w:sz w:val="18"/>
          <w:vertAlign w:val="baseline"/>
        </w:rPr>
        <w:t>Trevor</w:t>
      </w:r>
      <w:r>
        <w:rPr>
          <w:spacing w:val="-5"/>
          <w:sz w:val="18"/>
          <w:vertAlign w:val="baseline"/>
        </w:rPr>
        <w:t> </w:t>
      </w:r>
      <w:r>
        <w:rPr>
          <w:sz w:val="18"/>
          <w:vertAlign w:val="baseline"/>
        </w:rPr>
        <w:t>Mattos,</w:t>
      </w:r>
      <w:r>
        <w:rPr>
          <w:spacing w:val="-4"/>
          <w:sz w:val="18"/>
          <w:vertAlign w:val="baseline"/>
        </w:rPr>
        <w:t> </w:t>
      </w:r>
      <w:r>
        <w:rPr>
          <w:sz w:val="18"/>
          <w:vertAlign w:val="baseline"/>
        </w:rPr>
        <w:t>Andre</w:t>
      </w:r>
      <w:r>
        <w:rPr>
          <w:spacing w:val="-3"/>
          <w:sz w:val="18"/>
          <w:vertAlign w:val="baseline"/>
        </w:rPr>
        <w:t> </w:t>
      </w:r>
      <w:r>
        <w:rPr>
          <w:sz w:val="18"/>
          <w:vertAlign w:val="baseline"/>
        </w:rPr>
        <w:t>Lima,</w:t>
      </w:r>
      <w:r>
        <w:rPr>
          <w:spacing w:val="-4"/>
          <w:sz w:val="18"/>
          <w:vertAlign w:val="baseline"/>
        </w:rPr>
        <w:t> </w:t>
      </w:r>
      <w:r>
        <w:rPr>
          <w:sz w:val="18"/>
          <w:vertAlign w:val="baseline"/>
        </w:rPr>
        <w:t>and</w:t>
      </w:r>
      <w:r>
        <w:rPr>
          <w:spacing w:val="-3"/>
          <w:sz w:val="18"/>
          <w:vertAlign w:val="baseline"/>
        </w:rPr>
        <w:t> </w:t>
      </w:r>
      <w:r>
        <w:rPr>
          <w:sz w:val="18"/>
          <w:vertAlign w:val="baseline"/>
        </w:rPr>
        <w:t>Peter</w:t>
      </w:r>
      <w:r>
        <w:rPr>
          <w:spacing w:val="-4"/>
          <w:sz w:val="18"/>
          <w:vertAlign w:val="baseline"/>
        </w:rPr>
        <w:t> </w:t>
      </w:r>
      <w:r>
        <w:rPr>
          <w:sz w:val="18"/>
          <w:vertAlign w:val="baseline"/>
        </w:rPr>
        <w:t>Ciurczak,</w:t>
      </w:r>
      <w:r>
        <w:rPr>
          <w:spacing w:val="-3"/>
          <w:sz w:val="18"/>
          <w:vertAlign w:val="baseline"/>
        </w:rPr>
        <w:t> </w:t>
      </w:r>
      <w:r>
        <w:rPr>
          <w:sz w:val="18"/>
          <w:vertAlign w:val="baseline"/>
        </w:rPr>
        <w:t>“Growing</w:t>
      </w:r>
      <w:r>
        <w:rPr>
          <w:spacing w:val="-3"/>
          <w:sz w:val="18"/>
          <w:vertAlign w:val="baseline"/>
        </w:rPr>
        <w:t> </w:t>
      </w:r>
      <w:r>
        <w:rPr>
          <w:sz w:val="18"/>
          <w:vertAlign w:val="baseline"/>
        </w:rPr>
        <w:t>Wave</w:t>
      </w:r>
      <w:r>
        <w:rPr>
          <w:spacing w:val="-4"/>
          <w:sz w:val="18"/>
          <w:vertAlign w:val="baseline"/>
        </w:rPr>
        <w:t> </w:t>
      </w:r>
      <w:r>
        <w:rPr>
          <w:sz w:val="18"/>
          <w:vertAlign w:val="baseline"/>
        </w:rPr>
        <w:t>of</w:t>
      </w:r>
      <w:r>
        <w:rPr>
          <w:spacing w:val="-3"/>
          <w:sz w:val="18"/>
          <w:vertAlign w:val="baseline"/>
        </w:rPr>
        <w:t> </w:t>
      </w:r>
      <w:r>
        <w:rPr>
          <w:sz w:val="18"/>
          <w:vertAlign w:val="baseline"/>
        </w:rPr>
        <w:t>Restrictions,”</w:t>
      </w:r>
      <w:r>
        <w:rPr>
          <w:spacing w:val="-3"/>
          <w:sz w:val="18"/>
          <w:vertAlign w:val="baseline"/>
        </w:rPr>
        <w:t> </w:t>
      </w:r>
      <w:r>
        <w:rPr>
          <w:sz w:val="18"/>
          <w:vertAlign w:val="baseline"/>
        </w:rPr>
        <w:t>Boston</w:t>
      </w:r>
      <w:r>
        <w:rPr>
          <w:spacing w:val="-3"/>
          <w:sz w:val="18"/>
          <w:vertAlign w:val="baseline"/>
        </w:rPr>
        <w:t> </w:t>
      </w:r>
      <w:r>
        <w:rPr>
          <w:sz w:val="18"/>
          <w:vertAlign w:val="baseline"/>
        </w:rPr>
        <w:t>Indicators,</w:t>
      </w:r>
      <w:r>
        <w:rPr>
          <w:spacing w:val="-4"/>
          <w:sz w:val="18"/>
          <w:vertAlign w:val="baseline"/>
        </w:rPr>
        <w:t> </w:t>
      </w:r>
      <w:r>
        <w:rPr>
          <w:sz w:val="18"/>
          <w:vertAlign w:val="baseline"/>
        </w:rPr>
        <w:t>2019, </w:t>
      </w:r>
      <w:r>
        <w:rPr>
          <w:spacing w:val="-2"/>
          <w:sz w:val="18"/>
          <w:vertAlign w:val="baseline"/>
        </w:rPr>
        <w:t>https://</w:t>
      </w:r>
      <w:hyperlink r:id="rId601">
        <w:r>
          <w:rPr>
            <w:spacing w:val="-2"/>
            <w:sz w:val="18"/>
            <w:vertAlign w:val="baseline"/>
          </w:rPr>
          <w:t>www.bostonindicators.org/reports/report-website-pages/growing-wave-of-restrictions.</w:t>
        </w:r>
      </w:hyperlink>
    </w:p>
    <w:p>
      <w:pPr>
        <w:spacing w:line="219" w:lineRule="exact" w:before="0"/>
        <w:ind w:left="463" w:right="0" w:firstLine="0"/>
        <w:jc w:val="left"/>
        <w:rPr>
          <w:sz w:val="18"/>
        </w:rPr>
      </w:pPr>
      <w:r>
        <w:rPr>
          <w:sz w:val="18"/>
          <w:vertAlign w:val="superscript"/>
        </w:rPr>
        <w:t>55</w:t>
      </w:r>
      <w:r>
        <w:rPr>
          <w:spacing w:val="-15"/>
          <w:sz w:val="18"/>
          <w:vertAlign w:val="baseline"/>
        </w:rPr>
        <w:t> </w:t>
      </w:r>
      <w:r>
        <w:rPr>
          <w:sz w:val="18"/>
          <w:vertAlign w:val="baseline"/>
        </w:rPr>
        <w:t>“Legal</w:t>
      </w:r>
      <w:r>
        <w:rPr>
          <w:spacing w:val="-9"/>
          <w:sz w:val="18"/>
          <w:vertAlign w:val="baseline"/>
        </w:rPr>
        <w:t> </w:t>
      </w:r>
      <w:r>
        <w:rPr>
          <w:sz w:val="18"/>
          <w:vertAlign w:val="baseline"/>
        </w:rPr>
        <w:t>Services,”</w:t>
      </w:r>
      <w:r>
        <w:rPr>
          <w:spacing w:val="-5"/>
          <w:sz w:val="18"/>
          <w:vertAlign w:val="baseline"/>
        </w:rPr>
        <w:t> </w:t>
      </w:r>
      <w:r>
        <w:rPr>
          <w:i/>
          <w:sz w:val="18"/>
          <w:vertAlign w:val="baseline"/>
        </w:rPr>
        <w:t>MIRA</w:t>
      </w:r>
      <w:r>
        <w:rPr>
          <w:i/>
          <w:spacing w:val="-4"/>
          <w:sz w:val="18"/>
          <w:vertAlign w:val="baseline"/>
        </w:rPr>
        <w:t> </w:t>
      </w:r>
      <w:r>
        <w:rPr>
          <w:i/>
          <w:sz w:val="18"/>
          <w:vertAlign w:val="baseline"/>
        </w:rPr>
        <w:t>Coalition</w:t>
      </w:r>
      <w:r>
        <w:rPr>
          <w:i/>
          <w:spacing w:val="-5"/>
          <w:sz w:val="18"/>
          <w:vertAlign w:val="baseline"/>
        </w:rPr>
        <w:t> </w:t>
      </w:r>
      <w:r>
        <w:rPr>
          <w:sz w:val="18"/>
          <w:vertAlign w:val="baseline"/>
        </w:rPr>
        <w:t>(blog),</w:t>
      </w:r>
      <w:r>
        <w:rPr>
          <w:spacing w:val="-5"/>
          <w:sz w:val="18"/>
          <w:vertAlign w:val="baseline"/>
        </w:rPr>
        <w:t> </w:t>
      </w:r>
      <w:r>
        <w:rPr>
          <w:sz w:val="18"/>
          <w:vertAlign w:val="baseline"/>
        </w:rPr>
        <w:t>accessed</w:t>
      </w:r>
      <w:r>
        <w:rPr>
          <w:spacing w:val="-5"/>
          <w:sz w:val="18"/>
          <w:vertAlign w:val="baseline"/>
        </w:rPr>
        <w:t> </w:t>
      </w:r>
      <w:r>
        <w:rPr>
          <w:sz w:val="18"/>
          <w:vertAlign w:val="baseline"/>
        </w:rPr>
        <w:t>April</w:t>
      </w:r>
      <w:r>
        <w:rPr>
          <w:spacing w:val="-6"/>
          <w:sz w:val="18"/>
          <w:vertAlign w:val="baseline"/>
        </w:rPr>
        <w:t> </w:t>
      </w:r>
      <w:r>
        <w:rPr>
          <w:sz w:val="18"/>
          <w:vertAlign w:val="baseline"/>
        </w:rPr>
        <w:t>24,</w:t>
      </w:r>
      <w:r>
        <w:rPr>
          <w:spacing w:val="-5"/>
          <w:sz w:val="18"/>
          <w:vertAlign w:val="baseline"/>
        </w:rPr>
        <w:t> </w:t>
      </w:r>
      <w:r>
        <w:rPr>
          <w:sz w:val="18"/>
          <w:vertAlign w:val="baseline"/>
        </w:rPr>
        <w:t>2023,</w:t>
      </w:r>
      <w:r>
        <w:rPr>
          <w:spacing w:val="-5"/>
          <w:sz w:val="18"/>
          <w:vertAlign w:val="baseline"/>
        </w:rPr>
        <w:t> </w:t>
      </w:r>
      <w:r>
        <w:rPr>
          <w:sz w:val="18"/>
          <w:vertAlign w:val="baseline"/>
        </w:rPr>
        <w:t>https://miracoalition.org/resources/legal-</w:t>
      </w:r>
      <w:r>
        <w:rPr>
          <w:spacing w:val="-2"/>
          <w:sz w:val="18"/>
          <w:vertAlign w:val="baseline"/>
        </w:rPr>
        <w:t>services/.</w:t>
      </w:r>
    </w:p>
    <w:p>
      <w:pPr>
        <w:spacing w:before="0"/>
        <w:ind w:left="463" w:right="392" w:hanging="1"/>
        <w:jc w:val="left"/>
        <w:rPr>
          <w:sz w:val="18"/>
        </w:rPr>
      </w:pPr>
      <w:r>
        <w:rPr>
          <w:sz w:val="18"/>
          <w:vertAlign w:val="superscript"/>
        </w:rPr>
        <w:t>56</w:t>
      </w:r>
      <w:r>
        <w:rPr>
          <w:spacing w:val="-13"/>
          <w:sz w:val="18"/>
          <w:vertAlign w:val="baseline"/>
        </w:rPr>
        <w:t> </w:t>
      </w:r>
      <w:r>
        <w:rPr>
          <w:sz w:val="18"/>
          <w:vertAlign w:val="baseline"/>
        </w:rPr>
        <w:t>Josselyn</w:t>
      </w:r>
      <w:r>
        <w:rPr>
          <w:spacing w:val="-6"/>
          <w:sz w:val="18"/>
          <w:vertAlign w:val="baseline"/>
        </w:rPr>
        <w:t> </w:t>
      </w:r>
      <w:r>
        <w:rPr>
          <w:sz w:val="18"/>
          <w:vertAlign w:val="baseline"/>
        </w:rPr>
        <w:t>Andrea</w:t>
      </w:r>
      <w:r>
        <w:rPr>
          <w:spacing w:val="-4"/>
          <w:sz w:val="18"/>
          <w:vertAlign w:val="baseline"/>
        </w:rPr>
        <w:t> </w:t>
      </w:r>
      <w:r>
        <w:rPr>
          <w:sz w:val="18"/>
          <w:vertAlign w:val="baseline"/>
        </w:rPr>
        <w:t>Garcia</w:t>
      </w:r>
      <w:r>
        <w:rPr>
          <w:spacing w:val="-4"/>
          <w:sz w:val="18"/>
          <w:vertAlign w:val="baseline"/>
        </w:rPr>
        <w:t> </w:t>
      </w:r>
      <w:r>
        <w:rPr>
          <w:sz w:val="18"/>
          <w:vertAlign w:val="baseline"/>
        </w:rPr>
        <w:t>Quijano,</w:t>
      </w:r>
      <w:r>
        <w:rPr>
          <w:spacing w:val="-4"/>
          <w:sz w:val="18"/>
          <w:vertAlign w:val="baseline"/>
        </w:rPr>
        <w:t> </w:t>
      </w:r>
      <w:r>
        <w:rPr>
          <w:sz w:val="18"/>
          <w:vertAlign w:val="baseline"/>
        </w:rPr>
        <w:t>“Workplace</w:t>
      </w:r>
      <w:r>
        <w:rPr>
          <w:spacing w:val="-4"/>
          <w:sz w:val="18"/>
          <w:vertAlign w:val="baseline"/>
        </w:rPr>
        <w:t> </w:t>
      </w:r>
      <w:r>
        <w:rPr>
          <w:sz w:val="18"/>
          <w:vertAlign w:val="baseline"/>
        </w:rPr>
        <w:t>Discrimination</w:t>
      </w:r>
      <w:r>
        <w:rPr>
          <w:spacing w:val="-4"/>
          <w:sz w:val="18"/>
          <w:vertAlign w:val="baseline"/>
        </w:rPr>
        <w:t> </w:t>
      </w:r>
      <w:r>
        <w:rPr>
          <w:sz w:val="18"/>
          <w:vertAlign w:val="baseline"/>
        </w:rPr>
        <w:t>and</w:t>
      </w:r>
      <w:r>
        <w:rPr>
          <w:spacing w:val="-4"/>
          <w:sz w:val="18"/>
          <w:vertAlign w:val="baseline"/>
        </w:rPr>
        <w:t> </w:t>
      </w:r>
      <w:r>
        <w:rPr>
          <w:sz w:val="18"/>
          <w:vertAlign w:val="baseline"/>
        </w:rPr>
        <w:t>Undocumented</w:t>
      </w:r>
      <w:r>
        <w:rPr>
          <w:spacing w:val="-4"/>
          <w:sz w:val="18"/>
          <w:vertAlign w:val="baseline"/>
        </w:rPr>
        <w:t> </w:t>
      </w:r>
      <w:r>
        <w:rPr>
          <w:sz w:val="18"/>
          <w:vertAlign w:val="baseline"/>
        </w:rPr>
        <w:t>First-Generation</w:t>
      </w:r>
      <w:r>
        <w:rPr>
          <w:spacing w:val="-4"/>
          <w:sz w:val="18"/>
          <w:vertAlign w:val="baseline"/>
        </w:rPr>
        <w:t> </w:t>
      </w:r>
      <w:r>
        <w:rPr>
          <w:sz w:val="18"/>
          <w:vertAlign w:val="baseline"/>
        </w:rPr>
        <w:t>Latinx</w:t>
      </w:r>
      <w:r>
        <w:rPr>
          <w:spacing w:val="-4"/>
          <w:sz w:val="18"/>
          <w:vertAlign w:val="baseline"/>
        </w:rPr>
        <w:t> </w:t>
      </w:r>
      <w:r>
        <w:rPr>
          <w:sz w:val="18"/>
          <w:vertAlign w:val="baseline"/>
        </w:rPr>
        <w:t>Immigrants,”</w:t>
      </w:r>
      <w:r>
        <w:rPr>
          <w:spacing w:val="-4"/>
          <w:sz w:val="18"/>
          <w:vertAlign w:val="baseline"/>
        </w:rPr>
        <w:t> </w:t>
      </w:r>
      <w:r>
        <w:rPr>
          <w:sz w:val="18"/>
          <w:vertAlign w:val="baseline"/>
        </w:rPr>
        <w:t>Crown Family School of Social Work, Policy, and Practice, accessed April 24, 2023, https://crownschool.uchicago.edu/student- </w:t>
      </w:r>
      <w:r>
        <w:rPr>
          <w:spacing w:val="-2"/>
          <w:sz w:val="18"/>
          <w:vertAlign w:val="baseline"/>
        </w:rPr>
        <w:t>life/advocates-forum/workplace-discrimination-and-undocumented-first-generation-latinx.</w:t>
      </w:r>
    </w:p>
    <w:p>
      <w:pPr>
        <w:spacing w:before="0"/>
        <w:ind w:left="463" w:right="1513" w:hanging="1"/>
        <w:jc w:val="left"/>
        <w:rPr>
          <w:sz w:val="18"/>
        </w:rPr>
      </w:pPr>
      <w:r>
        <w:rPr>
          <w:sz w:val="18"/>
          <w:vertAlign w:val="superscript"/>
        </w:rPr>
        <w:t>57</w:t>
      </w:r>
      <w:r>
        <w:rPr>
          <w:spacing w:val="-8"/>
          <w:sz w:val="18"/>
          <w:vertAlign w:val="baseline"/>
        </w:rPr>
        <w:t> </w:t>
      </w:r>
      <w:r>
        <w:rPr>
          <w:sz w:val="18"/>
          <w:vertAlign w:val="baseline"/>
        </w:rPr>
        <w:t>Cassie Arnita, “Barriers to Career Advancement Among Skilled Immigrants in the US,” Ballard Brief, 2022, </w:t>
      </w:r>
      <w:r>
        <w:rPr>
          <w:spacing w:val="-2"/>
          <w:sz w:val="18"/>
          <w:vertAlign w:val="baseline"/>
        </w:rPr>
        <w:t>https://ballardbrief.byu.edu/issue-briefs/barriers-to-career-advancement-among-skilled-immigrants-in-the-us.</w:t>
      </w:r>
    </w:p>
    <w:p>
      <w:pPr>
        <w:spacing w:before="0"/>
        <w:ind w:left="463" w:right="345" w:firstLine="0"/>
        <w:jc w:val="left"/>
        <w:rPr>
          <w:sz w:val="18"/>
        </w:rPr>
      </w:pPr>
      <w:r>
        <w:rPr>
          <w:sz w:val="18"/>
          <w:vertAlign w:val="superscript"/>
        </w:rPr>
        <w:t>58</w:t>
      </w:r>
      <w:r>
        <w:rPr>
          <w:spacing w:val="-9"/>
          <w:sz w:val="18"/>
          <w:vertAlign w:val="baseline"/>
        </w:rPr>
        <w:t> </w:t>
      </w:r>
      <w:r>
        <w:rPr>
          <w:sz w:val="18"/>
          <w:vertAlign w:val="baseline"/>
        </w:rPr>
        <w:t>James D. Bachmeier, Jeanne Batalova, and Michael Fix, “Untapped Talent: The Costs of Brain Waste among Highly Skilled Immigrants in the United States,” migrationpolicy.org, December 2, 2016,</w:t>
      </w:r>
      <w:r>
        <w:rPr>
          <w:spacing w:val="40"/>
          <w:sz w:val="18"/>
          <w:vertAlign w:val="baseline"/>
        </w:rPr>
        <w:t> </w:t>
      </w:r>
      <w:r>
        <w:rPr>
          <w:spacing w:val="-2"/>
          <w:sz w:val="18"/>
          <w:vertAlign w:val="baseline"/>
        </w:rPr>
        <w:t>https://</w:t>
      </w:r>
      <w:hyperlink r:id="rId602">
        <w:r>
          <w:rPr>
            <w:spacing w:val="-2"/>
            <w:sz w:val="18"/>
            <w:vertAlign w:val="baseline"/>
          </w:rPr>
          <w:t>www.migrationpolicy.org/research/untapped-talent-costs-brain-waste-among-highly-skilled-immigrants-united-states.</w:t>
        </w:r>
      </w:hyperlink>
    </w:p>
    <w:p>
      <w:pPr>
        <w:spacing w:line="219" w:lineRule="exact" w:before="0"/>
        <w:ind w:left="463" w:right="0" w:firstLine="0"/>
        <w:jc w:val="left"/>
        <w:rPr>
          <w:sz w:val="18"/>
        </w:rPr>
      </w:pPr>
      <w:r>
        <w:rPr>
          <w:sz w:val="18"/>
          <w:vertAlign w:val="superscript"/>
        </w:rPr>
        <w:t>59</w:t>
      </w:r>
      <w:r>
        <w:rPr>
          <w:spacing w:val="-13"/>
          <w:sz w:val="18"/>
          <w:vertAlign w:val="baseline"/>
        </w:rPr>
        <w:t> </w:t>
      </w:r>
      <w:r>
        <w:rPr>
          <w:sz w:val="18"/>
          <w:vertAlign w:val="baseline"/>
        </w:rPr>
        <w:t>Mattos,</w:t>
      </w:r>
      <w:r>
        <w:rPr>
          <w:spacing w:val="-5"/>
          <w:sz w:val="18"/>
          <w:vertAlign w:val="baseline"/>
        </w:rPr>
        <w:t> </w:t>
      </w:r>
      <w:r>
        <w:rPr>
          <w:sz w:val="18"/>
          <w:vertAlign w:val="baseline"/>
        </w:rPr>
        <w:t>Lima,</w:t>
      </w:r>
      <w:r>
        <w:rPr>
          <w:spacing w:val="-3"/>
          <w:sz w:val="18"/>
          <w:vertAlign w:val="baseline"/>
        </w:rPr>
        <w:t> </w:t>
      </w:r>
      <w:r>
        <w:rPr>
          <w:sz w:val="18"/>
          <w:vertAlign w:val="baseline"/>
        </w:rPr>
        <w:t>and</w:t>
      </w:r>
      <w:r>
        <w:rPr>
          <w:spacing w:val="-3"/>
          <w:sz w:val="18"/>
          <w:vertAlign w:val="baseline"/>
        </w:rPr>
        <w:t> </w:t>
      </w:r>
      <w:r>
        <w:rPr>
          <w:sz w:val="18"/>
          <w:vertAlign w:val="baseline"/>
        </w:rPr>
        <w:t>Ciurczak,</w:t>
      </w:r>
      <w:r>
        <w:rPr>
          <w:spacing w:val="-3"/>
          <w:sz w:val="18"/>
          <w:vertAlign w:val="baseline"/>
        </w:rPr>
        <w:t> </w:t>
      </w:r>
      <w:r>
        <w:rPr>
          <w:sz w:val="18"/>
          <w:vertAlign w:val="baseline"/>
        </w:rPr>
        <w:t>“Growing</w:t>
      </w:r>
      <w:r>
        <w:rPr>
          <w:spacing w:val="-2"/>
          <w:sz w:val="18"/>
          <w:vertAlign w:val="baseline"/>
        </w:rPr>
        <w:t> </w:t>
      </w:r>
      <w:r>
        <w:rPr>
          <w:sz w:val="18"/>
          <w:vertAlign w:val="baseline"/>
        </w:rPr>
        <w:t>Wave</w:t>
      </w:r>
      <w:r>
        <w:rPr>
          <w:spacing w:val="-2"/>
          <w:sz w:val="18"/>
          <w:vertAlign w:val="baseline"/>
        </w:rPr>
        <w:t> </w:t>
      </w:r>
      <w:r>
        <w:rPr>
          <w:sz w:val="18"/>
          <w:vertAlign w:val="baseline"/>
        </w:rPr>
        <w:t>of</w:t>
      </w:r>
      <w:r>
        <w:rPr>
          <w:spacing w:val="-2"/>
          <w:sz w:val="18"/>
          <w:vertAlign w:val="baseline"/>
        </w:rPr>
        <w:t> Restrictions.”</w:t>
      </w:r>
    </w:p>
    <w:p>
      <w:pPr>
        <w:spacing w:before="0"/>
        <w:ind w:left="463" w:right="901" w:hanging="1"/>
        <w:jc w:val="left"/>
        <w:rPr>
          <w:sz w:val="18"/>
        </w:rPr>
      </w:pPr>
      <w:r>
        <w:rPr>
          <w:sz w:val="18"/>
          <w:vertAlign w:val="superscript"/>
        </w:rPr>
        <w:t>60</w:t>
      </w:r>
      <w:r>
        <w:rPr>
          <w:spacing w:val="-13"/>
          <w:sz w:val="18"/>
          <w:vertAlign w:val="baseline"/>
        </w:rPr>
        <w:t> </w:t>
      </w:r>
      <w:r>
        <w:rPr>
          <w:sz w:val="18"/>
          <w:vertAlign w:val="baseline"/>
        </w:rPr>
        <w:t>Sharita</w:t>
      </w:r>
      <w:r>
        <w:rPr>
          <w:spacing w:val="-3"/>
          <w:sz w:val="18"/>
          <w:vertAlign w:val="baseline"/>
        </w:rPr>
        <w:t> </w:t>
      </w:r>
      <w:r>
        <w:rPr>
          <w:sz w:val="18"/>
          <w:vertAlign w:val="baseline"/>
        </w:rPr>
        <w:t>Gruberg,</w:t>
      </w:r>
      <w:r>
        <w:rPr>
          <w:spacing w:val="-3"/>
          <w:sz w:val="18"/>
          <w:vertAlign w:val="baseline"/>
        </w:rPr>
        <w:t> </w:t>
      </w:r>
      <w:r>
        <w:rPr>
          <w:sz w:val="18"/>
          <w:vertAlign w:val="baseline"/>
        </w:rPr>
        <w:t>“What</w:t>
      </w:r>
      <w:r>
        <w:rPr>
          <w:spacing w:val="-3"/>
          <w:sz w:val="18"/>
          <w:vertAlign w:val="baseline"/>
        </w:rPr>
        <w:t> </w:t>
      </w:r>
      <w:r>
        <w:rPr>
          <w:sz w:val="18"/>
          <w:vertAlign w:val="baseline"/>
        </w:rPr>
        <w:t>Ending</w:t>
      </w:r>
      <w:r>
        <w:rPr>
          <w:spacing w:val="-2"/>
          <w:sz w:val="18"/>
          <w:vertAlign w:val="baseline"/>
        </w:rPr>
        <w:t> </w:t>
      </w:r>
      <w:r>
        <w:rPr>
          <w:sz w:val="18"/>
          <w:vertAlign w:val="baseline"/>
        </w:rPr>
        <w:t>DACA</w:t>
      </w:r>
      <w:r>
        <w:rPr>
          <w:spacing w:val="-2"/>
          <w:sz w:val="18"/>
          <w:vertAlign w:val="baseline"/>
        </w:rPr>
        <w:t> </w:t>
      </w:r>
      <w:r>
        <w:rPr>
          <w:sz w:val="18"/>
          <w:vertAlign w:val="baseline"/>
        </w:rPr>
        <w:t>Means</w:t>
      </w:r>
      <w:r>
        <w:rPr>
          <w:spacing w:val="-2"/>
          <w:sz w:val="18"/>
          <w:vertAlign w:val="baseline"/>
        </w:rPr>
        <w:t> </w:t>
      </w:r>
      <w:r>
        <w:rPr>
          <w:sz w:val="18"/>
          <w:vertAlign w:val="baseline"/>
        </w:rPr>
        <w:t>for</w:t>
      </w:r>
      <w:r>
        <w:rPr>
          <w:spacing w:val="-4"/>
          <w:sz w:val="18"/>
          <w:vertAlign w:val="baseline"/>
        </w:rPr>
        <w:t> </w:t>
      </w:r>
      <w:r>
        <w:rPr>
          <w:sz w:val="18"/>
          <w:vertAlign w:val="baseline"/>
        </w:rPr>
        <w:t>LGBTQ</w:t>
      </w:r>
      <w:r>
        <w:rPr>
          <w:spacing w:val="-2"/>
          <w:sz w:val="18"/>
          <w:vertAlign w:val="baseline"/>
        </w:rPr>
        <w:t> </w:t>
      </w:r>
      <w:r>
        <w:rPr>
          <w:sz w:val="18"/>
          <w:vertAlign w:val="baseline"/>
        </w:rPr>
        <w:t>Dreamers</w:t>
      </w:r>
      <w:r>
        <w:rPr>
          <w:spacing w:val="-2"/>
          <w:sz w:val="18"/>
          <w:vertAlign w:val="baseline"/>
        </w:rPr>
        <w:t> </w:t>
      </w:r>
      <w:r>
        <w:rPr>
          <w:sz w:val="18"/>
          <w:vertAlign w:val="baseline"/>
        </w:rPr>
        <w:t>-</w:t>
      </w:r>
      <w:r>
        <w:rPr>
          <w:spacing w:val="-3"/>
          <w:sz w:val="18"/>
          <w:vertAlign w:val="baseline"/>
        </w:rPr>
        <w:t> </w:t>
      </w:r>
      <w:r>
        <w:rPr>
          <w:sz w:val="18"/>
          <w:vertAlign w:val="baseline"/>
        </w:rPr>
        <w:t>Center</w:t>
      </w:r>
      <w:r>
        <w:rPr>
          <w:spacing w:val="-3"/>
          <w:sz w:val="18"/>
          <w:vertAlign w:val="baseline"/>
        </w:rPr>
        <w:t> </w:t>
      </w:r>
      <w:r>
        <w:rPr>
          <w:sz w:val="18"/>
          <w:vertAlign w:val="baseline"/>
        </w:rPr>
        <w:t>for</w:t>
      </w:r>
      <w:r>
        <w:rPr>
          <w:spacing w:val="-3"/>
          <w:sz w:val="18"/>
          <w:vertAlign w:val="baseline"/>
        </w:rPr>
        <w:t> </w:t>
      </w:r>
      <w:r>
        <w:rPr>
          <w:sz w:val="18"/>
          <w:vertAlign w:val="baseline"/>
        </w:rPr>
        <w:t>American</w:t>
      </w:r>
      <w:r>
        <w:rPr>
          <w:spacing w:val="-2"/>
          <w:sz w:val="18"/>
          <w:vertAlign w:val="baseline"/>
        </w:rPr>
        <w:t> </w:t>
      </w:r>
      <w:r>
        <w:rPr>
          <w:sz w:val="18"/>
          <w:vertAlign w:val="baseline"/>
        </w:rPr>
        <w:t>Progress,”</w:t>
      </w:r>
      <w:r>
        <w:rPr>
          <w:spacing w:val="-2"/>
          <w:sz w:val="18"/>
          <w:vertAlign w:val="baseline"/>
        </w:rPr>
        <w:t> </w:t>
      </w:r>
      <w:r>
        <w:rPr>
          <w:sz w:val="18"/>
          <w:vertAlign w:val="baseline"/>
        </w:rPr>
        <w:t>October</w:t>
      </w:r>
      <w:r>
        <w:rPr>
          <w:spacing w:val="-3"/>
          <w:sz w:val="18"/>
          <w:vertAlign w:val="baseline"/>
        </w:rPr>
        <w:t> </w:t>
      </w:r>
      <w:r>
        <w:rPr>
          <w:sz w:val="18"/>
          <w:vertAlign w:val="baseline"/>
        </w:rPr>
        <w:t>11,</w:t>
      </w:r>
      <w:r>
        <w:rPr>
          <w:spacing w:val="-2"/>
          <w:sz w:val="18"/>
          <w:vertAlign w:val="baseline"/>
        </w:rPr>
        <w:t> </w:t>
      </w:r>
      <w:r>
        <w:rPr>
          <w:sz w:val="18"/>
          <w:vertAlign w:val="baseline"/>
        </w:rPr>
        <w:t>2017, </w:t>
      </w:r>
      <w:r>
        <w:rPr>
          <w:spacing w:val="-2"/>
          <w:sz w:val="18"/>
          <w:vertAlign w:val="baseline"/>
        </w:rPr>
        <w:t>https://</w:t>
      </w:r>
      <w:hyperlink r:id="rId603">
        <w:r>
          <w:rPr>
            <w:spacing w:val="-2"/>
            <w:sz w:val="18"/>
            <w:vertAlign w:val="baseline"/>
          </w:rPr>
          <w:t>www.americanprogress.org/article/ending-daca-means-lgbtq-dreamers/.</w:t>
        </w:r>
      </w:hyperlink>
    </w:p>
    <w:p>
      <w:pPr>
        <w:spacing w:before="0"/>
        <w:ind w:left="463" w:right="0" w:hanging="1"/>
        <w:jc w:val="left"/>
        <w:rPr>
          <w:sz w:val="18"/>
        </w:rPr>
      </w:pPr>
      <w:r>
        <w:rPr>
          <w:sz w:val="18"/>
          <w:vertAlign w:val="superscript"/>
        </w:rPr>
        <w:t>61</w:t>
      </w:r>
      <w:r>
        <w:rPr>
          <w:spacing w:val="-13"/>
          <w:sz w:val="18"/>
          <w:vertAlign w:val="baseline"/>
        </w:rPr>
        <w:t> </w:t>
      </w:r>
      <w:r>
        <w:rPr>
          <w:sz w:val="18"/>
          <w:vertAlign w:val="baseline"/>
        </w:rPr>
        <w:t>Kerith</w:t>
      </w:r>
      <w:r>
        <w:rPr>
          <w:spacing w:val="-3"/>
          <w:sz w:val="18"/>
          <w:vertAlign w:val="baseline"/>
        </w:rPr>
        <w:t> </w:t>
      </w:r>
      <w:r>
        <w:rPr>
          <w:sz w:val="18"/>
          <w:vertAlign w:val="baseline"/>
        </w:rPr>
        <w:t>Conron,</w:t>
      </w:r>
      <w:r>
        <w:rPr>
          <w:spacing w:val="-3"/>
          <w:sz w:val="18"/>
          <w:vertAlign w:val="baseline"/>
        </w:rPr>
        <w:t> </w:t>
      </w:r>
      <w:r>
        <w:rPr>
          <w:sz w:val="18"/>
          <w:vertAlign w:val="baseline"/>
        </w:rPr>
        <w:t>Winston</w:t>
      </w:r>
      <w:r>
        <w:rPr>
          <w:spacing w:val="-2"/>
          <w:sz w:val="18"/>
          <w:vertAlign w:val="baseline"/>
        </w:rPr>
        <w:t> </w:t>
      </w:r>
      <w:r>
        <w:rPr>
          <w:sz w:val="18"/>
          <w:vertAlign w:val="baseline"/>
        </w:rPr>
        <w:t>Luhur,</w:t>
      </w:r>
      <w:r>
        <w:rPr>
          <w:spacing w:val="-3"/>
          <w:sz w:val="18"/>
          <w:vertAlign w:val="baseline"/>
        </w:rPr>
        <w:t> </w:t>
      </w:r>
      <w:r>
        <w:rPr>
          <w:sz w:val="18"/>
          <w:vertAlign w:val="baseline"/>
        </w:rPr>
        <w:t>and</w:t>
      </w:r>
      <w:r>
        <w:rPr>
          <w:spacing w:val="-2"/>
          <w:sz w:val="18"/>
          <w:vertAlign w:val="baseline"/>
        </w:rPr>
        <w:t> </w:t>
      </w:r>
      <w:r>
        <w:rPr>
          <w:sz w:val="18"/>
          <w:vertAlign w:val="baseline"/>
        </w:rPr>
        <w:t>Taylor</w:t>
      </w:r>
      <w:r>
        <w:rPr>
          <w:spacing w:val="-3"/>
          <w:sz w:val="18"/>
          <w:vertAlign w:val="baseline"/>
        </w:rPr>
        <w:t> </w:t>
      </w:r>
      <w:r>
        <w:rPr>
          <w:sz w:val="18"/>
          <w:vertAlign w:val="baseline"/>
        </w:rPr>
        <w:t>N.T.</w:t>
      </w:r>
      <w:r>
        <w:rPr>
          <w:spacing w:val="-3"/>
          <w:sz w:val="18"/>
          <w:vertAlign w:val="baseline"/>
        </w:rPr>
        <w:t> </w:t>
      </w:r>
      <w:r>
        <w:rPr>
          <w:sz w:val="18"/>
          <w:vertAlign w:val="baseline"/>
        </w:rPr>
        <w:t>Brown,</w:t>
      </w:r>
      <w:r>
        <w:rPr>
          <w:spacing w:val="-3"/>
          <w:sz w:val="18"/>
          <w:vertAlign w:val="baseline"/>
        </w:rPr>
        <w:t> </w:t>
      </w:r>
      <w:r>
        <w:rPr>
          <w:sz w:val="18"/>
          <w:vertAlign w:val="baseline"/>
        </w:rPr>
        <w:t>“LGBT</w:t>
      </w:r>
      <w:r>
        <w:rPr>
          <w:spacing w:val="-2"/>
          <w:sz w:val="18"/>
          <w:vertAlign w:val="baseline"/>
        </w:rPr>
        <w:t> </w:t>
      </w:r>
      <w:r>
        <w:rPr>
          <w:sz w:val="18"/>
          <w:vertAlign w:val="baseline"/>
        </w:rPr>
        <w:t>‘Dreamers’</w:t>
      </w:r>
      <w:r>
        <w:rPr>
          <w:spacing w:val="-3"/>
          <w:sz w:val="18"/>
          <w:vertAlign w:val="baseline"/>
        </w:rPr>
        <w:t> </w:t>
      </w:r>
      <w:r>
        <w:rPr>
          <w:sz w:val="18"/>
          <w:vertAlign w:val="baseline"/>
        </w:rPr>
        <w:t>and</w:t>
      </w:r>
      <w:r>
        <w:rPr>
          <w:spacing w:val="-2"/>
          <w:sz w:val="18"/>
          <w:vertAlign w:val="baseline"/>
        </w:rPr>
        <w:t> </w:t>
      </w:r>
      <w:r>
        <w:rPr>
          <w:sz w:val="18"/>
          <w:vertAlign w:val="baseline"/>
        </w:rPr>
        <w:t>Deferred</w:t>
      </w:r>
      <w:r>
        <w:rPr>
          <w:spacing w:val="-2"/>
          <w:sz w:val="18"/>
          <w:vertAlign w:val="baseline"/>
        </w:rPr>
        <w:t> </w:t>
      </w:r>
      <w:r>
        <w:rPr>
          <w:sz w:val="18"/>
          <w:vertAlign w:val="baseline"/>
        </w:rPr>
        <w:t>Action</w:t>
      </w:r>
      <w:r>
        <w:rPr>
          <w:spacing w:val="-2"/>
          <w:sz w:val="18"/>
          <w:vertAlign w:val="baseline"/>
        </w:rPr>
        <w:t> </w:t>
      </w:r>
      <w:r>
        <w:rPr>
          <w:sz w:val="18"/>
          <w:vertAlign w:val="baseline"/>
        </w:rPr>
        <w:t>for</w:t>
      </w:r>
      <w:r>
        <w:rPr>
          <w:spacing w:val="-3"/>
          <w:sz w:val="18"/>
          <w:vertAlign w:val="baseline"/>
        </w:rPr>
        <w:t> </w:t>
      </w:r>
      <w:r>
        <w:rPr>
          <w:sz w:val="18"/>
          <w:vertAlign w:val="baseline"/>
        </w:rPr>
        <w:t>Childhood</w:t>
      </w:r>
      <w:r>
        <w:rPr>
          <w:spacing w:val="-2"/>
          <w:sz w:val="18"/>
          <w:vertAlign w:val="baseline"/>
        </w:rPr>
        <w:t> </w:t>
      </w:r>
      <w:r>
        <w:rPr>
          <w:sz w:val="18"/>
          <w:vertAlign w:val="baseline"/>
        </w:rPr>
        <w:t>Arrivals</w:t>
      </w:r>
      <w:r>
        <w:rPr>
          <w:spacing w:val="-2"/>
          <w:sz w:val="18"/>
          <w:vertAlign w:val="baseline"/>
        </w:rPr>
        <w:t> </w:t>
      </w:r>
      <w:r>
        <w:rPr>
          <w:sz w:val="18"/>
          <w:vertAlign w:val="baseline"/>
        </w:rPr>
        <w:t>(DACA),” Williams Institute, June 2020, https://williamsinstitute.law.ucla.edu/publications/lgbt-dreamers-daca/.</w:t>
      </w:r>
    </w:p>
    <w:p>
      <w:pPr>
        <w:spacing w:after="0"/>
        <w:jc w:val="left"/>
        <w:rPr>
          <w:sz w:val="18"/>
        </w:rPr>
        <w:sectPr>
          <w:pgSz w:w="12240" w:h="15840"/>
          <w:pgMar w:header="805" w:footer="1208" w:top="1080" w:bottom="1460" w:left="980" w:right="1180"/>
        </w:sectPr>
      </w:pPr>
    </w:p>
    <w:p>
      <w:pPr>
        <w:spacing w:before="68"/>
        <w:ind w:left="463" w:right="733" w:hanging="1"/>
        <w:jc w:val="left"/>
        <w:rPr>
          <w:sz w:val="18"/>
        </w:rPr>
      </w:pPr>
      <w:r>
        <w:rPr>
          <w:sz w:val="18"/>
          <w:vertAlign w:val="superscript"/>
        </w:rPr>
        <w:t>62</w:t>
      </w:r>
      <w:r>
        <w:rPr>
          <w:spacing w:val="-11"/>
          <w:sz w:val="18"/>
          <w:vertAlign w:val="baseline"/>
        </w:rPr>
        <w:t> </w:t>
      </w:r>
      <w:r>
        <w:rPr>
          <w:sz w:val="18"/>
          <w:vertAlign w:val="baseline"/>
        </w:rPr>
        <w:t>Tom K. Wong, Greisa Martinez Rosas, and Adam Luna, “DACA Recipients’ Economic and Educational Gains Continue to Grow,”</w:t>
      </w:r>
      <w:r>
        <w:rPr>
          <w:spacing w:val="-4"/>
          <w:sz w:val="18"/>
          <w:vertAlign w:val="baseline"/>
        </w:rPr>
        <w:t> </w:t>
      </w:r>
      <w:r>
        <w:rPr>
          <w:i/>
          <w:sz w:val="18"/>
          <w:vertAlign w:val="baseline"/>
        </w:rPr>
        <w:t>Center</w:t>
      </w:r>
      <w:r>
        <w:rPr>
          <w:i/>
          <w:spacing w:val="-5"/>
          <w:sz w:val="18"/>
          <w:vertAlign w:val="baseline"/>
        </w:rPr>
        <w:t> </w:t>
      </w:r>
      <w:r>
        <w:rPr>
          <w:i/>
          <w:sz w:val="18"/>
          <w:vertAlign w:val="baseline"/>
        </w:rPr>
        <w:t>for</w:t>
      </w:r>
      <w:r>
        <w:rPr>
          <w:i/>
          <w:spacing w:val="-5"/>
          <w:sz w:val="18"/>
          <w:vertAlign w:val="baseline"/>
        </w:rPr>
        <w:t> </w:t>
      </w:r>
      <w:r>
        <w:rPr>
          <w:i/>
          <w:sz w:val="18"/>
          <w:vertAlign w:val="baseline"/>
        </w:rPr>
        <w:t>American</w:t>
      </w:r>
      <w:r>
        <w:rPr>
          <w:i/>
          <w:spacing w:val="-4"/>
          <w:sz w:val="18"/>
          <w:vertAlign w:val="baseline"/>
        </w:rPr>
        <w:t> </w:t>
      </w:r>
      <w:r>
        <w:rPr>
          <w:i/>
          <w:sz w:val="18"/>
          <w:vertAlign w:val="baseline"/>
        </w:rPr>
        <w:t>Progress</w:t>
      </w:r>
      <w:r>
        <w:rPr>
          <w:i/>
          <w:spacing w:val="-5"/>
          <w:sz w:val="18"/>
          <w:vertAlign w:val="baseline"/>
        </w:rPr>
        <w:t> </w:t>
      </w:r>
      <w:r>
        <w:rPr>
          <w:sz w:val="18"/>
          <w:vertAlign w:val="baseline"/>
        </w:rPr>
        <w:t>(blog),</w:t>
      </w:r>
      <w:r>
        <w:rPr>
          <w:spacing w:val="-5"/>
          <w:sz w:val="18"/>
          <w:vertAlign w:val="baseline"/>
        </w:rPr>
        <w:t> </w:t>
      </w:r>
      <w:r>
        <w:rPr>
          <w:sz w:val="18"/>
          <w:vertAlign w:val="baseline"/>
        </w:rPr>
        <w:t>August</w:t>
      </w:r>
      <w:r>
        <w:rPr>
          <w:spacing w:val="-5"/>
          <w:sz w:val="18"/>
          <w:vertAlign w:val="baseline"/>
        </w:rPr>
        <w:t> </w:t>
      </w:r>
      <w:r>
        <w:rPr>
          <w:sz w:val="18"/>
          <w:vertAlign w:val="baseline"/>
        </w:rPr>
        <w:t>28,</w:t>
      </w:r>
      <w:r>
        <w:rPr>
          <w:spacing w:val="-5"/>
          <w:sz w:val="18"/>
          <w:vertAlign w:val="baseline"/>
        </w:rPr>
        <w:t> </w:t>
      </w:r>
      <w:r>
        <w:rPr>
          <w:sz w:val="18"/>
          <w:vertAlign w:val="baseline"/>
        </w:rPr>
        <w:t>2017,</w:t>
      </w:r>
      <w:r>
        <w:rPr>
          <w:spacing w:val="-5"/>
          <w:sz w:val="18"/>
          <w:vertAlign w:val="baseline"/>
        </w:rPr>
        <w:t> </w:t>
      </w:r>
      <w:r>
        <w:rPr>
          <w:sz w:val="18"/>
          <w:vertAlign w:val="baseline"/>
        </w:rPr>
        <w:t>https://</w:t>
      </w:r>
      <w:hyperlink r:id="rId604">
        <w:r>
          <w:rPr>
            <w:sz w:val="18"/>
            <w:vertAlign w:val="baseline"/>
          </w:rPr>
          <w:t>www.americanprogress.org/article/daca-recipients-</w:t>
        </w:r>
      </w:hyperlink>
      <w:r>
        <w:rPr>
          <w:sz w:val="18"/>
          <w:vertAlign w:val="baseline"/>
        </w:rPr>
        <w:t> </w:t>
      </w:r>
      <w:r>
        <w:rPr>
          <w:spacing w:val="-2"/>
          <w:sz w:val="18"/>
          <w:vertAlign w:val="baseline"/>
        </w:rPr>
        <w:t>economic-educational-gains-continue-grow/.</w:t>
      </w:r>
    </w:p>
    <w:p>
      <w:pPr>
        <w:spacing w:before="1"/>
        <w:ind w:left="463" w:right="0" w:firstLine="0"/>
        <w:jc w:val="left"/>
        <w:rPr>
          <w:sz w:val="18"/>
        </w:rPr>
      </w:pPr>
      <w:r>
        <w:rPr>
          <w:sz w:val="18"/>
          <w:vertAlign w:val="superscript"/>
        </w:rPr>
        <w:t>63</w:t>
      </w:r>
      <w:r>
        <w:rPr>
          <w:spacing w:val="-15"/>
          <w:sz w:val="18"/>
          <w:vertAlign w:val="baseline"/>
        </w:rPr>
        <w:t> </w:t>
      </w:r>
      <w:r>
        <w:rPr>
          <w:sz w:val="18"/>
          <w:vertAlign w:val="baseline"/>
        </w:rPr>
        <w:t>Wong,</w:t>
      </w:r>
      <w:r>
        <w:rPr>
          <w:spacing w:val="-3"/>
          <w:sz w:val="18"/>
          <w:vertAlign w:val="baseline"/>
        </w:rPr>
        <w:t> </w:t>
      </w:r>
      <w:r>
        <w:rPr>
          <w:sz w:val="18"/>
          <w:vertAlign w:val="baseline"/>
        </w:rPr>
        <w:t>Rosas,</w:t>
      </w:r>
      <w:r>
        <w:rPr>
          <w:spacing w:val="-3"/>
          <w:sz w:val="18"/>
          <w:vertAlign w:val="baseline"/>
        </w:rPr>
        <w:t> </w:t>
      </w:r>
      <w:r>
        <w:rPr>
          <w:sz w:val="18"/>
          <w:vertAlign w:val="baseline"/>
        </w:rPr>
        <w:t>and</w:t>
      </w:r>
      <w:r>
        <w:rPr>
          <w:spacing w:val="-1"/>
          <w:sz w:val="18"/>
          <w:vertAlign w:val="baseline"/>
        </w:rPr>
        <w:t> </w:t>
      </w:r>
      <w:r>
        <w:rPr>
          <w:spacing w:val="-2"/>
          <w:sz w:val="18"/>
          <w:vertAlign w:val="baseline"/>
        </w:rPr>
        <w:t>Luna.</w:t>
      </w:r>
    </w:p>
    <w:p>
      <w:pPr>
        <w:spacing w:before="0"/>
        <w:ind w:left="463" w:right="323" w:hanging="1"/>
        <w:jc w:val="left"/>
        <w:rPr>
          <w:sz w:val="18"/>
        </w:rPr>
      </w:pPr>
      <w:r>
        <w:rPr>
          <w:sz w:val="18"/>
          <w:vertAlign w:val="superscript"/>
        </w:rPr>
        <w:t>64</w:t>
      </w:r>
      <w:r>
        <w:rPr>
          <w:spacing w:val="-13"/>
          <w:sz w:val="18"/>
          <w:vertAlign w:val="baseline"/>
        </w:rPr>
        <w:t> </w:t>
      </w:r>
      <w:r>
        <w:rPr>
          <w:sz w:val="18"/>
          <w:vertAlign w:val="baseline"/>
        </w:rPr>
        <w:t>Asumi</w:t>
      </w:r>
      <w:r>
        <w:rPr>
          <w:spacing w:val="-4"/>
          <w:sz w:val="18"/>
          <w:vertAlign w:val="baseline"/>
        </w:rPr>
        <w:t> </w:t>
      </w:r>
      <w:r>
        <w:rPr>
          <w:sz w:val="18"/>
          <w:vertAlign w:val="baseline"/>
        </w:rPr>
        <w:t>Shuda,</w:t>
      </w:r>
      <w:r>
        <w:rPr>
          <w:spacing w:val="-4"/>
          <w:sz w:val="18"/>
          <w:vertAlign w:val="baseline"/>
        </w:rPr>
        <w:t> </w:t>
      </w:r>
      <w:r>
        <w:rPr>
          <w:sz w:val="18"/>
          <w:vertAlign w:val="baseline"/>
        </w:rPr>
        <w:t>“New</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2"/>
          <w:sz w:val="18"/>
          <w:vertAlign w:val="baseline"/>
        </w:rPr>
        <w:t> </w:t>
      </w:r>
      <w:r>
        <w:rPr>
          <w:sz w:val="18"/>
          <w:vertAlign w:val="baseline"/>
        </w:rPr>
        <w:t>Homeland</w:t>
      </w:r>
      <w:r>
        <w:rPr>
          <w:spacing w:val="-2"/>
          <w:sz w:val="18"/>
          <w:vertAlign w:val="baseline"/>
        </w:rPr>
        <w:t> </w:t>
      </w:r>
      <w:r>
        <w:rPr>
          <w:sz w:val="18"/>
          <w:vertAlign w:val="baseline"/>
        </w:rPr>
        <w:t>Security</w:t>
      </w:r>
      <w:r>
        <w:rPr>
          <w:spacing w:val="-2"/>
          <w:sz w:val="18"/>
          <w:vertAlign w:val="baseline"/>
        </w:rPr>
        <w:t> </w:t>
      </w:r>
      <w:r>
        <w:rPr>
          <w:sz w:val="18"/>
          <w:vertAlign w:val="baseline"/>
        </w:rPr>
        <w:t>Rule</w:t>
      </w:r>
      <w:r>
        <w:rPr>
          <w:spacing w:val="-2"/>
          <w:sz w:val="18"/>
          <w:vertAlign w:val="baseline"/>
        </w:rPr>
        <w:t> </w:t>
      </w:r>
      <w:r>
        <w:rPr>
          <w:sz w:val="18"/>
          <w:vertAlign w:val="baseline"/>
        </w:rPr>
        <w:t>Aims</w:t>
      </w:r>
      <w:r>
        <w:rPr>
          <w:spacing w:val="-2"/>
          <w:sz w:val="18"/>
          <w:vertAlign w:val="baseline"/>
        </w:rPr>
        <w:t> </w:t>
      </w:r>
      <w:r>
        <w:rPr>
          <w:sz w:val="18"/>
          <w:vertAlign w:val="baseline"/>
        </w:rPr>
        <w:t>to</w:t>
      </w:r>
      <w:r>
        <w:rPr>
          <w:spacing w:val="-2"/>
          <w:sz w:val="18"/>
          <w:vertAlign w:val="baseline"/>
        </w:rPr>
        <w:t> </w:t>
      </w:r>
      <w:r>
        <w:rPr>
          <w:sz w:val="18"/>
          <w:vertAlign w:val="baseline"/>
        </w:rPr>
        <w:t>Preserve</w:t>
      </w:r>
      <w:r>
        <w:rPr>
          <w:spacing w:val="-3"/>
          <w:sz w:val="18"/>
          <w:vertAlign w:val="baseline"/>
        </w:rPr>
        <w:t> </w:t>
      </w:r>
      <w:r>
        <w:rPr>
          <w:sz w:val="18"/>
          <w:vertAlign w:val="baseline"/>
        </w:rPr>
        <w:t>Deferred</w:t>
      </w:r>
      <w:r>
        <w:rPr>
          <w:spacing w:val="-2"/>
          <w:sz w:val="18"/>
          <w:vertAlign w:val="baseline"/>
        </w:rPr>
        <w:t> </w:t>
      </w:r>
      <w:r>
        <w:rPr>
          <w:sz w:val="18"/>
          <w:vertAlign w:val="baseline"/>
        </w:rPr>
        <w:t>Action</w:t>
      </w:r>
      <w:r>
        <w:rPr>
          <w:spacing w:val="-2"/>
          <w:sz w:val="18"/>
          <w:vertAlign w:val="baseline"/>
        </w:rPr>
        <w:t> </w:t>
      </w:r>
      <w:r>
        <w:rPr>
          <w:sz w:val="18"/>
          <w:vertAlign w:val="baseline"/>
        </w:rPr>
        <w:t>for</w:t>
      </w:r>
      <w:r>
        <w:rPr>
          <w:spacing w:val="-3"/>
          <w:sz w:val="18"/>
          <w:vertAlign w:val="baseline"/>
        </w:rPr>
        <w:t> </w:t>
      </w:r>
      <w:r>
        <w:rPr>
          <w:sz w:val="18"/>
          <w:vertAlign w:val="baseline"/>
        </w:rPr>
        <w:t>Childhood</w:t>
      </w:r>
      <w:r>
        <w:rPr>
          <w:spacing w:val="-2"/>
          <w:sz w:val="18"/>
          <w:vertAlign w:val="baseline"/>
        </w:rPr>
        <w:t> </w:t>
      </w:r>
      <w:r>
        <w:rPr>
          <w:sz w:val="18"/>
          <w:vertAlign w:val="baseline"/>
        </w:rPr>
        <w:t>Arrivals</w:t>
      </w:r>
      <w:r>
        <w:rPr>
          <w:spacing w:val="-2"/>
          <w:sz w:val="18"/>
          <w:vertAlign w:val="baseline"/>
        </w:rPr>
        <w:t> </w:t>
      </w:r>
      <w:r>
        <w:rPr>
          <w:sz w:val="18"/>
          <w:vertAlign w:val="baseline"/>
        </w:rPr>
        <w:t>Program amid Court Scrutiny | The Daily Nexus,” November 12, 2022, https://dailynexus.com/2022-11-12/new-department-of- </w:t>
      </w:r>
      <w:r>
        <w:rPr>
          <w:spacing w:val="-2"/>
          <w:sz w:val="18"/>
          <w:vertAlign w:val="baseline"/>
        </w:rPr>
        <w:t>homeland-security-rule-aims-to-preserve-deferred-action-for-childhood-arrivals-program-amid-court-scrutiny/.</w:t>
      </w:r>
    </w:p>
    <w:p>
      <w:pPr>
        <w:spacing w:line="219" w:lineRule="exact" w:before="0"/>
        <w:ind w:left="463" w:right="0" w:firstLine="0"/>
        <w:jc w:val="left"/>
        <w:rPr>
          <w:sz w:val="18"/>
        </w:rPr>
      </w:pPr>
      <w:r>
        <w:rPr>
          <w:sz w:val="18"/>
          <w:vertAlign w:val="superscript"/>
        </w:rPr>
        <w:t>65</w:t>
      </w:r>
      <w:r>
        <w:rPr>
          <w:spacing w:val="-13"/>
          <w:sz w:val="18"/>
          <w:vertAlign w:val="baseline"/>
        </w:rPr>
        <w:t> </w:t>
      </w:r>
      <w:r>
        <w:rPr>
          <w:sz w:val="18"/>
          <w:vertAlign w:val="baseline"/>
        </w:rPr>
        <w:t>Mattos,</w:t>
      </w:r>
      <w:r>
        <w:rPr>
          <w:spacing w:val="-5"/>
          <w:sz w:val="18"/>
          <w:vertAlign w:val="baseline"/>
        </w:rPr>
        <w:t> </w:t>
      </w:r>
      <w:r>
        <w:rPr>
          <w:sz w:val="18"/>
          <w:vertAlign w:val="baseline"/>
        </w:rPr>
        <w:t>Lima,</w:t>
      </w:r>
      <w:r>
        <w:rPr>
          <w:spacing w:val="-3"/>
          <w:sz w:val="18"/>
          <w:vertAlign w:val="baseline"/>
        </w:rPr>
        <w:t> </w:t>
      </w:r>
      <w:r>
        <w:rPr>
          <w:sz w:val="18"/>
          <w:vertAlign w:val="baseline"/>
        </w:rPr>
        <w:t>and</w:t>
      </w:r>
      <w:r>
        <w:rPr>
          <w:spacing w:val="-3"/>
          <w:sz w:val="18"/>
          <w:vertAlign w:val="baseline"/>
        </w:rPr>
        <w:t> </w:t>
      </w:r>
      <w:r>
        <w:rPr>
          <w:sz w:val="18"/>
          <w:vertAlign w:val="baseline"/>
        </w:rPr>
        <w:t>Ciurczak,</w:t>
      </w:r>
      <w:r>
        <w:rPr>
          <w:spacing w:val="-3"/>
          <w:sz w:val="18"/>
          <w:vertAlign w:val="baseline"/>
        </w:rPr>
        <w:t> </w:t>
      </w:r>
      <w:r>
        <w:rPr>
          <w:sz w:val="18"/>
          <w:vertAlign w:val="baseline"/>
        </w:rPr>
        <w:t>“Growing</w:t>
      </w:r>
      <w:r>
        <w:rPr>
          <w:spacing w:val="-2"/>
          <w:sz w:val="18"/>
          <w:vertAlign w:val="baseline"/>
        </w:rPr>
        <w:t> </w:t>
      </w:r>
      <w:r>
        <w:rPr>
          <w:sz w:val="18"/>
          <w:vertAlign w:val="baseline"/>
        </w:rPr>
        <w:t>Wave</w:t>
      </w:r>
      <w:r>
        <w:rPr>
          <w:spacing w:val="-2"/>
          <w:sz w:val="18"/>
          <w:vertAlign w:val="baseline"/>
        </w:rPr>
        <w:t> </w:t>
      </w:r>
      <w:r>
        <w:rPr>
          <w:sz w:val="18"/>
          <w:vertAlign w:val="baseline"/>
        </w:rPr>
        <w:t>of</w:t>
      </w:r>
      <w:r>
        <w:rPr>
          <w:spacing w:val="-2"/>
          <w:sz w:val="18"/>
          <w:vertAlign w:val="baseline"/>
        </w:rPr>
        <w:t> Restrictions.</w:t>
      </w:r>
    </w:p>
    <w:p>
      <w:pPr>
        <w:spacing w:before="0"/>
        <w:ind w:left="463" w:right="0" w:firstLine="0"/>
        <w:jc w:val="left"/>
        <w:rPr>
          <w:sz w:val="18"/>
        </w:rPr>
      </w:pPr>
      <w:r>
        <w:rPr>
          <w:sz w:val="18"/>
          <w:vertAlign w:val="superscript"/>
        </w:rPr>
        <w:t>66</w:t>
      </w:r>
      <w:r>
        <w:rPr>
          <w:spacing w:val="-15"/>
          <w:sz w:val="18"/>
          <w:vertAlign w:val="baseline"/>
        </w:rPr>
        <w:t> </w:t>
      </w:r>
      <w:r>
        <w:rPr>
          <w:sz w:val="18"/>
          <w:vertAlign w:val="baseline"/>
        </w:rPr>
        <w:t>Julián</w:t>
      </w:r>
      <w:r>
        <w:rPr>
          <w:spacing w:val="-5"/>
          <w:sz w:val="18"/>
          <w:vertAlign w:val="baseline"/>
        </w:rPr>
        <w:t> </w:t>
      </w:r>
      <w:r>
        <w:rPr>
          <w:sz w:val="18"/>
          <w:vertAlign w:val="baseline"/>
        </w:rPr>
        <w:t>Jeffries,</w:t>
      </w:r>
      <w:r>
        <w:rPr>
          <w:spacing w:val="-4"/>
          <w:sz w:val="18"/>
          <w:vertAlign w:val="baseline"/>
        </w:rPr>
        <w:t> </w:t>
      </w:r>
      <w:r>
        <w:rPr>
          <w:sz w:val="18"/>
          <w:vertAlign w:val="baseline"/>
        </w:rPr>
        <w:t>“The</w:t>
      </w:r>
      <w:r>
        <w:rPr>
          <w:spacing w:val="-3"/>
          <w:sz w:val="18"/>
          <w:vertAlign w:val="baseline"/>
        </w:rPr>
        <w:t> </w:t>
      </w:r>
      <w:r>
        <w:rPr>
          <w:sz w:val="18"/>
          <w:vertAlign w:val="baseline"/>
        </w:rPr>
        <w:t>Production</w:t>
      </w:r>
      <w:r>
        <w:rPr>
          <w:spacing w:val="-2"/>
          <w:sz w:val="18"/>
          <w:vertAlign w:val="baseline"/>
        </w:rPr>
        <w:t> </w:t>
      </w:r>
      <w:r>
        <w:rPr>
          <w:sz w:val="18"/>
          <w:vertAlign w:val="baseline"/>
        </w:rPr>
        <w:t>of</w:t>
      </w:r>
      <w:r>
        <w:rPr>
          <w:spacing w:val="-3"/>
          <w:sz w:val="18"/>
          <w:vertAlign w:val="baseline"/>
        </w:rPr>
        <w:t> </w:t>
      </w:r>
      <w:r>
        <w:rPr>
          <w:sz w:val="18"/>
          <w:vertAlign w:val="baseline"/>
        </w:rPr>
        <w:t>‘illegal’</w:t>
      </w:r>
      <w:r>
        <w:rPr>
          <w:spacing w:val="-3"/>
          <w:sz w:val="18"/>
          <w:vertAlign w:val="baseline"/>
        </w:rPr>
        <w:t> </w:t>
      </w:r>
      <w:r>
        <w:rPr>
          <w:sz w:val="18"/>
          <w:vertAlign w:val="baseline"/>
        </w:rPr>
        <w:t>subjects</w:t>
      </w:r>
      <w:r>
        <w:rPr>
          <w:spacing w:val="-3"/>
          <w:sz w:val="18"/>
          <w:vertAlign w:val="baseline"/>
        </w:rPr>
        <w:t> </w:t>
      </w:r>
      <w:r>
        <w:rPr>
          <w:sz w:val="18"/>
          <w:vertAlign w:val="baseline"/>
        </w:rPr>
        <w:t>in</w:t>
      </w:r>
      <w:r>
        <w:rPr>
          <w:spacing w:val="-2"/>
          <w:sz w:val="18"/>
          <w:vertAlign w:val="baseline"/>
        </w:rPr>
        <w:t> </w:t>
      </w:r>
      <w:r>
        <w:rPr>
          <w:sz w:val="18"/>
          <w:vertAlign w:val="baseline"/>
        </w:rPr>
        <w:t>Massachusetts</w:t>
      </w:r>
      <w:r>
        <w:rPr>
          <w:spacing w:val="-3"/>
          <w:sz w:val="18"/>
          <w:vertAlign w:val="baseline"/>
        </w:rPr>
        <w:t> </w:t>
      </w:r>
      <w:r>
        <w:rPr>
          <w:sz w:val="18"/>
          <w:vertAlign w:val="baseline"/>
        </w:rPr>
        <w:t>and</w:t>
      </w:r>
      <w:r>
        <w:rPr>
          <w:spacing w:val="-2"/>
          <w:sz w:val="18"/>
          <w:vertAlign w:val="baseline"/>
        </w:rPr>
        <w:t> </w:t>
      </w:r>
      <w:r>
        <w:rPr>
          <w:sz w:val="18"/>
          <w:vertAlign w:val="baseline"/>
        </w:rPr>
        <w:t>high</w:t>
      </w:r>
      <w:r>
        <w:rPr>
          <w:spacing w:val="-4"/>
          <w:sz w:val="18"/>
          <w:vertAlign w:val="baseline"/>
        </w:rPr>
        <w:t> </w:t>
      </w:r>
      <w:r>
        <w:rPr>
          <w:sz w:val="18"/>
          <w:vertAlign w:val="baseline"/>
        </w:rPr>
        <w:t>school</w:t>
      </w:r>
      <w:r>
        <w:rPr>
          <w:spacing w:val="-3"/>
          <w:sz w:val="18"/>
          <w:vertAlign w:val="baseline"/>
        </w:rPr>
        <w:t> </w:t>
      </w:r>
      <w:r>
        <w:rPr>
          <w:sz w:val="18"/>
          <w:vertAlign w:val="baseline"/>
        </w:rPr>
        <w:t>enrollment</w:t>
      </w:r>
      <w:r>
        <w:rPr>
          <w:spacing w:val="-4"/>
          <w:sz w:val="18"/>
          <w:vertAlign w:val="baseline"/>
        </w:rPr>
        <w:t> </w:t>
      </w:r>
      <w:r>
        <w:rPr>
          <w:sz w:val="18"/>
          <w:vertAlign w:val="baseline"/>
        </w:rPr>
        <w:t>for</w:t>
      </w:r>
      <w:r>
        <w:rPr>
          <w:spacing w:val="-3"/>
          <w:sz w:val="18"/>
          <w:vertAlign w:val="baseline"/>
        </w:rPr>
        <w:t> </w:t>
      </w:r>
      <w:r>
        <w:rPr>
          <w:sz w:val="18"/>
          <w:vertAlign w:val="baseline"/>
        </w:rPr>
        <w:t>undocumented</w:t>
      </w:r>
      <w:r>
        <w:rPr>
          <w:spacing w:val="-2"/>
          <w:sz w:val="18"/>
          <w:vertAlign w:val="baseline"/>
        </w:rPr>
        <w:t> youth.”</w:t>
      </w:r>
    </w:p>
    <w:p>
      <w:pPr>
        <w:spacing w:before="0"/>
        <w:ind w:left="463" w:right="0" w:firstLine="0"/>
        <w:jc w:val="left"/>
        <w:rPr>
          <w:sz w:val="18"/>
        </w:rPr>
      </w:pPr>
      <w:r>
        <w:rPr>
          <w:i/>
          <w:sz w:val="18"/>
        </w:rPr>
        <w:t>Latino</w:t>
      </w:r>
      <w:r>
        <w:rPr>
          <w:i/>
          <w:spacing w:val="-3"/>
          <w:sz w:val="18"/>
        </w:rPr>
        <w:t> </w:t>
      </w:r>
      <w:r>
        <w:rPr>
          <w:i/>
          <w:sz w:val="18"/>
        </w:rPr>
        <w:t>Studies</w:t>
      </w:r>
      <w:r>
        <w:rPr>
          <w:i/>
          <w:spacing w:val="-3"/>
          <w:sz w:val="18"/>
        </w:rPr>
        <w:t> </w:t>
      </w:r>
      <w:r>
        <w:rPr>
          <w:sz w:val="18"/>
        </w:rPr>
        <w:t>12,</w:t>
      </w:r>
      <w:r>
        <w:rPr>
          <w:spacing w:val="-2"/>
          <w:sz w:val="18"/>
        </w:rPr>
        <w:t> </w:t>
      </w:r>
      <w:r>
        <w:rPr>
          <w:sz w:val="18"/>
        </w:rPr>
        <w:t>no.</w:t>
      </w:r>
      <w:r>
        <w:rPr>
          <w:spacing w:val="-3"/>
          <w:sz w:val="18"/>
        </w:rPr>
        <w:t> </w:t>
      </w:r>
      <w:r>
        <w:rPr>
          <w:sz w:val="18"/>
        </w:rPr>
        <w:t>1</w:t>
      </w:r>
      <w:r>
        <w:rPr>
          <w:spacing w:val="-2"/>
          <w:sz w:val="18"/>
        </w:rPr>
        <w:t> </w:t>
      </w:r>
      <w:r>
        <w:rPr>
          <w:sz w:val="18"/>
        </w:rPr>
        <w:t>(2014):</w:t>
      </w:r>
      <w:r>
        <w:rPr>
          <w:spacing w:val="-3"/>
          <w:sz w:val="18"/>
        </w:rPr>
        <w:t> </w:t>
      </w:r>
      <w:r>
        <w:rPr>
          <w:sz w:val="18"/>
        </w:rPr>
        <w:t>65-</w:t>
      </w:r>
      <w:r>
        <w:rPr>
          <w:spacing w:val="-5"/>
          <w:sz w:val="18"/>
        </w:rPr>
        <w:t>87</w:t>
      </w:r>
    </w:p>
    <w:p>
      <w:pPr>
        <w:spacing w:after="0"/>
        <w:jc w:val="left"/>
        <w:rPr>
          <w:sz w:val="18"/>
        </w:rPr>
        <w:sectPr>
          <w:pgSz w:w="12240" w:h="15840"/>
          <w:pgMar w:header="805" w:footer="1208" w:top="1080" w:bottom="1460" w:left="980" w:right="1180"/>
        </w:sectPr>
      </w:pPr>
    </w:p>
    <w:p>
      <w:pPr>
        <w:pStyle w:val="BodyText"/>
        <w:rPr>
          <w:sz w:val="34"/>
        </w:rPr>
      </w:pPr>
    </w:p>
    <w:p>
      <w:pPr>
        <w:pStyle w:val="BodyText"/>
        <w:spacing w:before="237"/>
        <w:rPr>
          <w:sz w:val="34"/>
        </w:rPr>
      </w:pPr>
    </w:p>
    <w:p>
      <w:pPr>
        <w:spacing w:before="0"/>
        <w:ind w:left="323" w:right="0" w:firstLine="0"/>
        <w:jc w:val="left"/>
        <w:rPr>
          <w:sz w:val="34"/>
        </w:rPr>
      </w:pPr>
      <w:bookmarkStart w:name="Flyer Template for Reports Gianna, Theo " w:id="801"/>
      <w:bookmarkEnd w:id="801"/>
      <w:r>
        <w:rPr/>
      </w:r>
      <w:r>
        <w:rPr>
          <w:color w:val="5854A2"/>
          <w:w w:val="120"/>
          <w:sz w:val="34"/>
        </w:rPr>
        <w:t>COMMISSION</w:t>
      </w:r>
      <w:r>
        <w:rPr>
          <w:color w:val="5854A2"/>
          <w:spacing w:val="17"/>
          <w:w w:val="120"/>
          <w:sz w:val="34"/>
        </w:rPr>
        <w:t> </w:t>
      </w:r>
      <w:r>
        <w:rPr>
          <w:color w:val="5854A2"/>
          <w:w w:val="120"/>
          <w:sz w:val="34"/>
        </w:rPr>
        <w:t>ON</w:t>
      </w:r>
      <w:r>
        <w:rPr>
          <w:color w:val="5854A2"/>
          <w:spacing w:val="18"/>
          <w:w w:val="120"/>
          <w:sz w:val="34"/>
        </w:rPr>
        <w:t> </w:t>
      </w:r>
      <w:r>
        <w:rPr>
          <w:color w:val="5854A2"/>
          <w:w w:val="120"/>
          <w:sz w:val="34"/>
        </w:rPr>
        <w:t>LGBTQ</w:t>
      </w:r>
      <w:r>
        <w:rPr>
          <w:color w:val="5854A2"/>
          <w:spacing w:val="18"/>
          <w:w w:val="120"/>
          <w:sz w:val="34"/>
        </w:rPr>
        <w:t> </w:t>
      </w:r>
      <w:r>
        <w:rPr>
          <w:color w:val="5854A2"/>
          <w:spacing w:val="-2"/>
          <w:w w:val="120"/>
          <w:sz w:val="34"/>
        </w:rPr>
        <w:t>YOUTH</w:t>
      </w:r>
    </w:p>
    <w:p>
      <w:pPr>
        <w:spacing w:line="187" w:lineRule="auto" w:before="224"/>
        <w:ind w:left="323" w:right="3584" w:firstLine="0"/>
        <w:jc w:val="left"/>
        <w:rPr>
          <w:rFonts w:ascii="Arial Black"/>
          <w:sz w:val="45"/>
        </w:rPr>
      </w:pPr>
      <w:r>
        <w:rPr>
          <w:rFonts w:ascii="Arial Black"/>
          <w:color w:val="FFFFFF"/>
          <w:spacing w:val="-18"/>
          <w:sz w:val="45"/>
        </w:rPr>
        <w:t>INCLUSIVE</w:t>
      </w:r>
      <w:r>
        <w:rPr>
          <w:rFonts w:ascii="Arial Black"/>
          <w:color w:val="FFFFFF"/>
          <w:spacing w:val="-58"/>
          <w:sz w:val="45"/>
        </w:rPr>
        <w:t> </w:t>
      </w:r>
      <w:r>
        <w:rPr>
          <w:rFonts w:ascii="Arial Black"/>
          <w:color w:val="FFFFFF"/>
          <w:spacing w:val="-18"/>
          <w:sz w:val="45"/>
        </w:rPr>
        <w:t>SERVICE </w:t>
      </w:r>
      <w:r>
        <w:rPr>
          <w:rFonts w:ascii="Arial Black"/>
          <w:color w:val="FFFFFF"/>
          <w:spacing w:val="-14"/>
          <w:sz w:val="45"/>
        </w:rPr>
        <w:t>PROVISION</w:t>
      </w:r>
      <w:r>
        <w:rPr>
          <w:rFonts w:ascii="Arial Black"/>
          <w:color w:val="FFFFFF"/>
          <w:spacing w:val="-56"/>
          <w:sz w:val="45"/>
        </w:rPr>
        <w:t> </w:t>
      </w:r>
      <w:r>
        <w:rPr>
          <w:rFonts w:ascii="Arial Black"/>
          <w:color w:val="FFFFFF"/>
          <w:spacing w:val="-14"/>
          <w:sz w:val="45"/>
        </w:rPr>
        <w:t>FOR</w:t>
      </w:r>
      <w:r>
        <w:rPr>
          <w:rFonts w:ascii="Arial Black"/>
          <w:color w:val="FFFFFF"/>
          <w:spacing w:val="-56"/>
          <w:sz w:val="45"/>
        </w:rPr>
        <w:t> </w:t>
      </w:r>
      <w:r>
        <w:rPr>
          <w:rFonts w:ascii="Arial Black"/>
          <w:color w:val="FFFFFF"/>
          <w:spacing w:val="-14"/>
          <w:sz w:val="45"/>
        </w:rPr>
        <w:t>FOREIGN- </w:t>
      </w:r>
      <w:r>
        <w:rPr>
          <w:rFonts w:ascii="Arial Black"/>
          <w:color w:val="FFFFFF"/>
          <w:spacing w:val="-12"/>
          <w:sz w:val="45"/>
        </w:rPr>
        <w:t>BORN</w:t>
      </w:r>
      <w:r>
        <w:rPr>
          <w:rFonts w:ascii="Arial Black"/>
          <w:color w:val="FFFFFF"/>
          <w:spacing w:val="-56"/>
          <w:sz w:val="45"/>
        </w:rPr>
        <w:t> </w:t>
      </w:r>
      <w:r>
        <w:rPr>
          <w:rFonts w:ascii="Arial Black"/>
          <w:color w:val="FFFFFF"/>
          <w:spacing w:val="-12"/>
          <w:sz w:val="45"/>
        </w:rPr>
        <w:t>LGBTQ</w:t>
      </w:r>
      <w:r>
        <w:rPr>
          <w:rFonts w:ascii="Arial Black"/>
          <w:color w:val="FFFFFF"/>
          <w:spacing w:val="-56"/>
          <w:sz w:val="45"/>
        </w:rPr>
        <w:t> </w:t>
      </w:r>
      <w:r>
        <w:rPr>
          <w:rFonts w:ascii="Arial Black"/>
          <w:color w:val="FFFFFF"/>
          <w:spacing w:val="-12"/>
          <w:sz w:val="45"/>
        </w:rPr>
        <w:t>YOUTH</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45"/>
        <w:rPr>
          <w:rFonts w:ascii="Arial Black"/>
          <w:sz w:val="20"/>
        </w:rPr>
      </w:pPr>
    </w:p>
    <w:p>
      <w:pPr>
        <w:spacing w:after="0"/>
        <w:rPr>
          <w:rFonts w:ascii="Arial Black"/>
          <w:sz w:val="20"/>
        </w:rPr>
        <w:sectPr>
          <w:headerReference w:type="default" r:id="rId605"/>
          <w:footerReference w:type="default" r:id="rId606"/>
          <w:pgSz w:w="12240" w:h="15840"/>
          <w:pgMar w:header="0" w:footer="0" w:top="0" w:bottom="280" w:left="920" w:right="340"/>
        </w:sectPr>
      </w:pPr>
    </w:p>
    <w:p>
      <w:pPr>
        <w:pStyle w:val="Heading9"/>
        <w:rPr>
          <w:i/>
        </w:rPr>
      </w:pPr>
      <w:r>
        <w:rPr>
          <w:i/>
          <w:spacing w:val="11"/>
          <w:w w:val="125"/>
        </w:rPr>
        <w:t>ABOUT</w:t>
      </w:r>
    </w:p>
    <w:p>
      <w:pPr>
        <w:tabs>
          <w:tab w:pos="2094" w:val="left" w:leader="none"/>
          <w:tab w:pos="3983" w:val="left" w:leader="none"/>
        </w:tabs>
        <w:spacing w:line="278" w:lineRule="auto" w:before="62"/>
        <w:ind w:left="323" w:right="38" w:firstLine="0"/>
        <w:jc w:val="both"/>
        <w:rPr>
          <w:rFonts w:ascii="Georgia"/>
          <w:sz w:val="24"/>
        </w:rPr>
      </w:pPr>
      <w:r>
        <w:rPr/>
        <mc:AlternateContent>
          <mc:Choice Requires="wps">
            <w:drawing>
              <wp:anchor distT="0" distB="0" distL="0" distR="0" allowOverlap="1" layoutInCell="1" locked="0" behindDoc="1" simplePos="0" relativeHeight="482637312">
                <wp:simplePos x="0" y="0"/>
                <wp:positionH relativeFrom="page">
                  <wp:posOffset>655211</wp:posOffset>
                </wp:positionH>
                <wp:positionV relativeFrom="paragraph">
                  <wp:posOffset>2393121</wp:posOffset>
                </wp:positionV>
                <wp:extent cx="3473450" cy="2377440"/>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3473450" cy="2377440"/>
                          <a:chExt cx="3473450" cy="2377440"/>
                        </a:xfrm>
                      </wpg:grpSpPr>
                      <pic:pic>
                        <pic:nvPicPr>
                          <pic:cNvPr id="443" name="Image 443"/>
                          <pic:cNvPicPr/>
                        </pic:nvPicPr>
                        <pic:blipFill>
                          <a:blip r:embed="rId607" cstate="print"/>
                          <a:stretch>
                            <a:fillRect/>
                          </a:stretch>
                        </pic:blipFill>
                        <pic:spPr>
                          <a:xfrm>
                            <a:off x="0" y="0"/>
                            <a:ext cx="3473166" cy="2377354"/>
                          </a:xfrm>
                          <a:prstGeom prst="rect">
                            <a:avLst/>
                          </a:prstGeom>
                        </pic:spPr>
                      </pic:pic>
                      <wps:wsp>
                        <wps:cNvPr id="444" name="Textbox 444"/>
                        <wps:cNvSpPr txBox="1"/>
                        <wps:spPr>
                          <a:xfrm>
                            <a:off x="0" y="0"/>
                            <a:ext cx="3473450" cy="2377440"/>
                          </a:xfrm>
                          <a:prstGeom prst="rect">
                            <a:avLst/>
                          </a:prstGeom>
                        </wps:spPr>
                        <wps:txbx>
                          <w:txbxContent>
                            <w:p>
                              <w:pPr>
                                <w:spacing w:before="215"/>
                                <w:ind w:left="280" w:right="0" w:firstLine="0"/>
                                <w:jc w:val="left"/>
                                <w:rPr>
                                  <w:b/>
                                  <w:i/>
                                  <w:sz w:val="34"/>
                                </w:rPr>
                              </w:pPr>
                              <w:r>
                                <w:rPr>
                                  <w:b/>
                                  <w:i/>
                                  <w:spacing w:val="13"/>
                                  <w:w w:val="125"/>
                                  <w:sz w:val="34"/>
                                </w:rPr>
                                <w:t>RECOMMENDATIONS</w:t>
                              </w:r>
                            </w:p>
                            <w:p>
                              <w:pPr>
                                <w:spacing w:line="276" w:lineRule="auto" w:before="44"/>
                                <w:ind w:left="903" w:right="0" w:firstLine="0"/>
                                <w:jc w:val="left"/>
                                <w:rPr>
                                  <w:rFonts w:ascii="Georgia"/>
                                  <w:sz w:val="18"/>
                                </w:rPr>
                              </w:pPr>
                              <w:r>
                                <w:rPr>
                                  <w:rFonts w:ascii="Georgia"/>
                                  <w:w w:val="105"/>
                                  <w:sz w:val="18"/>
                                </w:rPr>
                                <w:t>Improve</w:t>
                              </w:r>
                              <w:r>
                                <w:rPr>
                                  <w:rFonts w:ascii="Georgia"/>
                                  <w:spacing w:val="-3"/>
                                  <w:w w:val="105"/>
                                  <w:sz w:val="18"/>
                                </w:rPr>
                                <w:t> </w:t>
                              </w:r>
                              <w:r>
                                <w:rPr>
                                  <w:rFonts w:ascii="Georgia"/>
                                  <w:w w:val="105"/>
                                  <w:sz w:val="18"/>
                                </w:rPr>
                                <w:t>the</w:t>
                              </w:r>
                              <w:r>
                                <w:rPr>
                                  <w:rFonts w:ascii="Georgia"/>
                                  <w:spacing w:val="-3"/>
                                  <w:w w:val="105"/>
                                  <w:sz w:val="18"/>
                                </w:rPr>
                                <w:t> </w:t>
                              </w:r>
                              <w:r>
                                <w:rPr>
                                  <w:rFonts w:ascii="Georgia"/>
                                  <w:w w:val="105"/>
                                  <w:sz w:val="18"/>
                                </w:rPr>
                                <w:t>availability</w:t>
                              </w:r>
                              <w:r>
                                <w:rPr>
                                  <w:rFonts w:ascii="Georgia"/>
                                  <w:spacing w:val="-3"/>
                                  <w:w w:val="105"/>
                                  <w:sz w:val="18"/>
                                </w:rPr>
                                <w:t> </w:t>
                              </w:r>
                              <w:r>
                                <w:rPr>
                                  <w:rFonts w:ascii="Georgia"/>
                                  <w:w w:val="105"/>
                                  <w:sz w:val="18"/>
                                </w:rPr>
                                <w:t>of</w:t>
                              </w:r>
                              <w:r>
                                <w:rPr>
                                  <w:rFonts w:ascii="Georgia"/>
                                  <w:spacing w:val="-3"/>
                                  <w:w w:val="105"/>
                                  <w:sz w:val="18"/>
                                </w:rPr>
                                <w:t> </w:t>
                              </w:r>
                              <w:r>
                                <w:rPr>
                                  <w:rFonts w:ascii="Georgia"/>
                                  <w:w w:val="105"/>
                                  <w:sz w:val="18"/>
                                </w:rPr>
                                <w:t>multilingual,</w:t>
                              </w:r>
                              <w:r>
                                <w:rPr>
                                  <w:rFonts w:ascii="Georgia"/>
                                  <w:spacing w:val="-3"/>
                                  <w:w w:val="105"/>
                                  <w:sz w:val="18"/>
                                </w:rPr>
                                <w:t> </w:t>
                              </w:r>
                              <w:r>
                                <w:rPr>
                                  <w:rFonts w:ascii="Georgia"/>
                                  <w:w w:val="105"/>
                                  <w:sz w:val="18"/>
                                </w:rPr>
                                <w:t>LGBTQ- affirming</w:t>
                              </w:r>
                              <w:r>
                                <w:rPr>
                                  <w:rFonts w:ascii="Georgia"/>
                                  <w:spacing w:val="-10"/>
                                  <w:w w:val="105"/>
                                  <w:sz w:val="18"/>
                                </w:rPr>
                                <w:t> </w:t>
                              </w:r>
                              <w:r>
                                <w:rPr>
                                  <w:rFonts w:ascii="Georgia"/>
                                  <w:w w:val="105"/>
                                  <w:sz w:val="18"/>
                                </w:rPr>
                                <w:t>services</w:t>
                              </w:r>
                              <w:r>
                                <w:rPr>
                                  <w:rFonts w:ascii="Georgia"/>
                                  <w:spacing w:val="-10"/>
                                  <w:w w:val="105"/>
                                  <w:sz w:val="18"/>
                                </w:rPr>
                                <w:t> </w:t>
                              </w:r>
                              <w:r>
                                <w:rPr>
                                  <w:rFonts w:ascii="Georgia"/>
                                  <w:w w:val="105"/>
                                  <w:sz w:val="18"/>
                                </w:rPr>
                                <w:t>for</w:t>
                              </w:r>
                              <w:r>
                                <w:rPr>
                                  <w:rFonts w:ascii="Georgia"/>
                                  <w:spacing w:val="-10"/>
                                  <w:w w:val="105"/>
                                  <w:sz w:val="18"/>
                                </w:rPr>
                                <w:t> </w:t>
                              </w:r>
                              <w:r>
                                <w:rPr>
                                  <w:rFonts w:ascii="Georgia"/>
                                  <w:w w:val="105"/>
                                  <w:sz w:val="18"/>
                                </w:rPr>
                                <w:t>foreign-born</w:t>
                              </w:r>
                              <w:r>
                                <w:rPr>
                                  <w:rFonts w:ascii="Georgia"/>
                                  <w:spacing w:val="-10"/>
                                  <w:w w:val="105"/>
                                  <w:sz w:val="18"/>
                                </w:rPr>
                                <w:t> </w:t>
                              </w:r>
                              <w:r>
                                <w:rPr>
                                  <w:rFonts w:ascii="Georgia"/>
                                  <w:w w:val="105"/>
                                  <w:sz w:val="18"/>
                                </w:rPr>
                                <w:t>residents,</w:t>
                              </w:r>
                              <w:r>
                                <w:rPr>
                                  <w:rFonts w:ascii="Georgia"/>
                                  <w:spacing w:val="-10"/>
                                  <w:w w:val="105"/>
                                  <w:sz w:val="18"/>
                                </w:rPr>
                                <w:t> </w:t>
                              </w:r>
                              <w:r>
                                <w:rPr>
                                  <w:rFonts w:ascii="Georgia"/>
                                  <w:w w:val="105"/>
                                  <w:sz w:val="18"/>
                                </w:rPr>
                                <w:t>and increase funding for existing programs.</w:t>
                              </w:r>
                            </w:p>
                            <w:p>
                              <w:pPr>
                                <w:spacing w:line="240" w:lineRule="auto" w:before="22"/>
                                <w:rPr>
                                  <w:rFonts w:ascii="Georgia"/>
                                  <w:sz w:val="18"/>
                                </w:rPr>
                              </w:pPr>
                            </w:p>
                            <w:p>
                              <w:pPr>
                                <w:spacing w:before="0"/>
                                <w:ind w:left="903" w:right="0" w:firstLine="0"/>
                                <w:jc w:val="left"/>
                                <w:rPr>
                                  <w:rFonts w:ascii="Georgia"/>
                                  <w:sz w:val="18"/>
                                </w:rPr>
                              </w:pPr>
                              <w:r>
                                <w:rPr>
                                  <w:rFonts w:ascii="Georgia"/>
                                  <w:sz w:val="18"/>
                                </w:rPr>
                                <w:t>Establish</w:t>
                              </w:r>
                              <w:r>
                                <w:rPr>
                                  <w:rFonts w:ascii="Georgia"/>
                                  <w:spacing w:val="11"/>
                                  <w:sz w:val="18"/>
                                </w:rPr>
                                <w:t> </w:t>
                              </w:r>
                              <w:r>
                                <w:rPr>
                                  <w:rFonts w:ascii="Georgia"/>
                                  <w:sz w:val="18"/>
                                </w:rPr>
                                <w:t>an</w:t>
                              </w:r>
                              <w:r>
                                <w:rPr>
                                  <w:rFonts w:ascii="Georgia"/>
                                  <w:spacing w:val="11"/>
                                  <w:sz w:val="18"/>
                                </w:rPr>
                                <w:t> </w:t>
                              </w:r>
                              <w:r>
                                <w:rPr>
                                  <w:rFonts w:ascii="Georgia"/>
                                  <w:sz w:val="18"/>
                                </w:rPr>
                                <w:t>LGBTQ</w:t>
                              </w:r>
                              <w:r>
                                <w:rPr>
                                  <w:rFonts w:ascii="Georgia"/>
                                  <w:spacing w:val="12"/>
                                  <w:sz w:val="18"/>
                                </w:rPr>
                                <w:t> </w:t>
                              </w:r>
                              <w:r>
                                <w:rPr>
                                  <w:rFonts w:ascii="Georgia"/>
                                  <w:sz w:val="18"/>
                                </w:rPr>
                                <w:t>Immigrant</w:t>
                              </w:r>
                              <w:r>
                                <w:rPr>
                                  <w:rFonts w:ascii="Georgia"/>
                                  <w:spacing w:val="11"/>
                                  <w:sz w:val="18"/>
                                </w:rPr>
                                <w:t> </w:t>
                              </w:r>
                              <w:r>
                                <w:rPr>
                                  <w:rFonts w:ascii="Georgia"/>
                                  <w:sz w:val="18"/>
                                </w:rPr>
                                <w:t>&amp;</w:t>
                              </w:r>
                              <w:r>
                                <w:rPr>
                                  <w:rFonts w:ascii="Georgia"/>
                                  <w:spacing w:val="12"/>
                                  <w:sz w:val="18"/>
                                </w:rPr>
                                <w:t> </w:t>
                              </w:r>
                              <w:r>
                                <w:rPr>
                                  <w:rFonts w:ascii="Georgia"/>
                                  <w:sz w:val="18"/>
                                </w:rPr>
                                <w:t>Refugee</w:t>
                              </w:r>
                              <w:r>
                                <w:rPr>
                                  <w:rFonts w:ascii="Georgia"/>
                                  <w:spacing w:val="11"/>
                                  <w:sz w:val="18"/>
                                </w:rPr>
                                <w:t> </w:t>
                              </w:r>
                              <w:r>
                                <w:rPr>
                                  <w:rFonts w:ascii="Georgia"/>
                                  <w:sz w:val="18"/>
                                </w:rPr>
                                <w:t>Task</w:t>
                              </w:r>
                              <w:r>
                                <w:rPr>
                                  <w:rFonts w:ascii="Georgia"/>
                                  <w:spacing w:val="12"/>
                                  <w:sz w:val="18"/>
                                </w:rPr>
                                <w:t> </w:t>
                              </w:r>
                              <w:r>
                                <w:rPr>
                                  <w:rFonts w:ascii="Georgia"/>
                                  <w:spacing w:val="-2"/>
                                  <w:sz w:val="18"/>
                                </w:rPr>
                                <w:t>Force.</w:t>
                              </w:r>
                            </w:p>
                            <w:p>
                              <w:pPr>
                                <w:spacing w:line="240" w:lineRule="auto" w:before="164"/>
                                <w:rPr>
                                  <w:rFonts w:ascii="Georgia"/>
                                  <w:sz w:val="18"/>
                                </w:rPr>
                              </w:pPr>
                            </w:p>
                            <w:p>
                              <w:pPr>
                                <w:spacing w:line="276" w:lineRule="auto" w:before="0"/>
                                <w:ind w:left="875" w:right="91" w:firstLine="0"/>
                                <w:jc w:val="left"/>
                                <w:rPr>
                                  <w:rFonts w:ascii="Georgia"/>
                                  <w:sz w:val="18"/>
                                </w:rPr>
                              </w:pPr>
                              <w:r>
                                <w:rPr>
                                  <w:rFonts w:ascii="Georgia"/>
                                  <w:w w:val="105"/>
                                  <w:sz w:val="18"/>
                                </w:rPr>
                                <w:t>Address</w:t>
                              </w:r>
                              <w:r>
                                <w:rPr>
                                  <w:rFonts w:ascii="Georgia"/>
                                  <w:spacing w:val="-12"/>
                                  <w:w w:val="105"/>
                                  <w:sz w:val="18"/>
                                </w:rPr>
                                <w:t> </w:t>
                              </w:r>
                              <w:r>
                                <w:rPr>
                                  <w:rFonts w:ascii="Georgia"/>
                                  <w:w w:val="105"/>
                                  <w:sz w:val="18"/>
                                </w:rPr>
                                <w:t>the</w:t>
                              </w:r>
                              <w:r>
                                <w:rPr>
                                  <w:rFonts w:ascii="Georgia"/>
                                  <w:spacing w:val="-11"/>
                                  <w:w w:val="105"/>
                                  <w:sz w:val="18"/>
                                </w:rPr>
                                <w:t> </w:t>
                              </w:r>
                              <w:r>
                                <w:rPr>
                                  <w:rFonts w:ascii="Georgia"/>
                                  <w:w w:val="105"/>
                                  <w:sz w:val="18"/>
                                </w:rPr>
                                <w:t>concerning</w:t>
                              </w:r>
                              <w:r>
                                <w:rPr>
                                  <w:rFonts w:ascii="Georgia"/>
                                  <w:spacing w:val="-12"/>
                                  <w:w w:val="105"/>
                                  <w:sz w:val="18"/>
                                </w:rPr>
                                <w:t> </w:t>
                              </w:r>
                              <w:r>
                                <w:rPr>
                                  <w:rFonts w:ascii="Georgia"/>
                                  <w:w w:val="105"/>
                                  <w:sz w:val="18"/>
                                </w:rPr>
                                <w:t>lack</w:t>
                              </w:r>
                              <w:r>
                                <w:rPr>
                                  <w:rFonts w:ascii="Georgia"/>
                                  <w:spacing w:val="-11"/>
                                  <w:w w:val="105"/>
                                  <w:sz w:val="18"/>
                                </w:rPr>
                                <w:t> </w:t>
                              </w:r>
                              <w:r>
                                <w:rPr>
                                  <w:rFonts w:ascii="Georgia"/>
                                  <w:w w:val="105"/>
                                  <w:sz w:val="18"/>
                                </w:rPr>
                                <w:t>of</w:t>
                              </w:r>
                              <w:r>
                                <w:rPr>
                                  <w:rFonts w:ascii="Georgia"/>
                                  <w:spacing w:val="-11"/>
                                  <w:w w:val="105"/>
                                  <w:sz w:val="18"/>
                                </w:rPr>
                                <w:t> </w:t>
                              </w:r>
                              <w:r>
                                <w:rPr>
                                  <w:rFonts w:ascii="Georgia"/>
                                  <w:w w:val="105"/>
                                  <w:sz w:val="18"/>
                                </w:rPr>
                                <w:t>SOGIE</w:t>
                              </w:r>
                              <w:r>
                                <w:rPr>
                                  <w:rFonts w:ascii="Georgia"/>
                                  <w:spacing w:val="-12"/>
                                  <w:w w:val="105"/>
                                  <w:sz w:val="18"/>
                                </w:rPr>
                                <w:t> </w:t>
                              </w:r>
                              <w:r>
                                <w:rPr>
                                  <w:rFonts w:ascii="Georgia"/>
                                  <w:w w:val="105"/>
                                  <w:sz w:val="18"/>
                                </w:rPr>
                                <w:t>data</w:t>
                              </w:r>
                              <w:r>
                                <w:rPr>
                                  <w:rFonts w:ascii="Georgia"/>
                                  <w:spacing w:val="-11"/>
                                  <w:w w:val="105"/>
                                  <w:sz w:val="18"/>
                                </w:rPr>
                                <w:t> </w:t>
                              </w:r>
                              <w:r>
                                <w:rPr>
                                  <w:rFonts w:ascii="Georgia"/>
                                  <w:w w:val="105"/>
                                  <w:sz w:val="18"/>
                                </w:rPr>
                                <w:t>collection at the state level.</w:t>
                              </w:r>
                            </w:p>
                            <w:p>
                              <w:pPr>
                                <w:spacing w:line="240" w:lineRule="auto" w:before="194"/>
                                <w:rPr>
                                  <w:rFonts w:ascii="Georgia"/>
                                  <w:sz w:val="18"/>
                                </w:rPr>
                              </w:pPr>
                            </w:p>
                            <w:p>
                              <w:pPr>
                                <w:spacing w:before="0"/>
                                <w:ind w:left="875" w:right="0" w:firstLine="0"/>
                                <w:jc w:val="left"/>
                                <w:rPr>
                                  <w:rFonts w:ascii="Georgia"/>
                                  <w:sz w:val="18"/>
                                </w:rPr>
                              </w:pPr>
                              <w:r>
                                <w:rPr>
                                  <w:rFonts w:ascii="Georgia"/>
                                  <w:w w:val="105"/>
                                  <w:sz w:val="18"/>
                                </w:rPr>
                                <w:t>Protect</w:t>
                              </w:r>
                              <w:r>
                                <w:rPr>
                                  <w:rFonts w:ascii="Georgia"/>
                                  <w:spacing w:val="-11"/>
                                  <w:w w:val="105"/>
                                  <w:sz w:val="18"/>
                                </w:rPr>
                                <w:t> </w:t>
                              </w:r>
                              <w:r>
                                <w:rPr>
                                  <w:rFonts w:ascii="Georgia"/>
                                  <w:w w:val="105"/>
                                  <w:sz w:val="18"/>
                                </w:rPr>
                                <w:t>and</w:t>
                              </w:r>
                              <w:r>
                                <w:rPr>
                                  <w:rFonts w:ascii="Georgia"/>
                                  <w:spacing w:val="-10"/>
                                  <w:w w:val="105"/>
                                  <w:sz w:val="18"/>
                                </w:rPr>
                                <w:t> </w:t>
                              </w:r>
                              <w:r>
                                <w:rPr>
                                  <w:rFonts w:ascii="Georgia"/>
                                  <w:w w:val="105"/>
                                  <w:sz w:val="18"/>
                                </w:rPr>
                                <w:t>support</w:t>
                              </w:r>
                              <w:r>
                                <w:rPr>
                                  <w:rFonts w:ascii="Georgia"/>
                                  <w:spacing w:val="-10"/>
                                  <w:w w:val="105"/>
                                  <w:sz w:val="18"/>
                                </w:rPr>
                                <w:t> </w:t>
                              </w:r>
                              <w:r>
                                <w:rPr>
                                  <w:rFonts w:ascii="Georgia"/>
                                  <w:w w:val="105"/>
                                  <w:sz w:val="18"/>
                                </w:rPr>
                                <w:t>undocumented</w:t>
                              </w:r>
                              <w:r>
                                <w:rPr>
                                  <w:rFonts w:ascii="Georgia"/>
                                  <w:spacing w:val="-10"/>
                                  <w:w w:val="105"/>
                                  <w:sz w:val="18"/>
                                </w:rPr>
                                <w:t> </w:t>
                              </w:r>
                              <w:r>
                                <w:rPr>
                                  <w:rFonts w:ascii="Georgia"/>
                                  <w:spacing w:val="-2"/>
                                  <w:w w:val="105"/>
                                  <w:sz w:val="18"/>
                                </w:rPr>
                                <w:t>youth.</w:t>
                              </w:r>
                            </w:p>
                          </w:txbxContent>
                        </wps:txbx>
                        <wps:bodyPr wrap="square" lIns="0" tIns="0" rIns="0" bIns="0" rtlCol="0">
                          <a:noAutofit/>
                        </wps:bodyPr>
                      </wps:wsp>
                    </wpg:wgp>
                  </a:graphicData>
                </a:graphic>
              </wp:anchor>
            </w:drawing>
          </mc:Choice>
          <mc:Fallback>
            <w:pict>
              <v:group style="position:absolute;margin-left:51.591461pt;margin-top:188.434769pt;width:273.5pt;height:187.2pt;mso-position-horizontal-relative:page;mso-position-vertical-relative:paragraph;z-index:-20679168" id="docshapegroup352" coordorigin="1032,3769" coordsize="5470,3744">
                <v:shape style="position:absolute;left:1031;top:3768;width:5470;height:3744" type="#_x0000_t75" id="docshape353" stroked="false">
                  <v:imagedata r:id="rId607" o:title=""/>
                </v:shape>
                <v:shape style="position:absolute;left:1031;top:3768;width:5470;height:3744" type="#_x0000_t202" id="docshape354" filled="false" stroked="false">
                  <v:textbox inset="0,0,0,0">
                    <w:txbxContent>
                      <w:p>
                        <w:pPr>
                          <w:spacing w:before="215"/>
                          <w:ind w:left="280" w:right="0" w:firstLine="0"/>
                          <w:jc w:val="left"/>
                          <w:rPr>
                            <w:b/>
                            <w:i/>
                            <w:sz w:val="34"/>
                          </w:rPr>
                        </w:pPr>
                        <w:r>
                          <w:rPr>
                            <w:b/>
                            <w:i/>
                            <w:spacing w:val="13"/>
                            <w:w w:val="125"/>
                            <w:sz w:val="34"/>
                          </w:rPr>
                          <w:t>RECOMMENDATIONS</w:t>
                        </w:r>
                      </w:p>
                      <w:p>
                        <w:pPr>
                          <w:spacing w:line="276" w:lineRule="auto" w:before="44"/>
                          <w:ind w:left="903" w:right="0" w:firstLine="0"/>
                          <w:jc w:val="left"/>
                          <w:rPr>
                            <w:rFonts w:ascii="Georgia"/>
                            <w:sz w:val="18"/>
                          </w:rPr>
                        </w:pPr>
                        <w:r>
                          <w:rPr>
                            <w:rFonts w:ascii="Georgia"/>
                            <w:w w:val="105"/>
                            <w:sz w:val="18"/>
                          </w:rPr>
                          <w:t>Improve</w:t>
                        </w:r>
                        <w:r>
                          <w:rPr>
                            <w:rFonts w:ascii="Georgia"/>
                            <w:spacing w:val="-3"/>
                            <w:w w:val="105"/>
                            <w:sz w:val="18"/>
                          </w:rPr>
                          <w:t> </w:t>
                        </w:r>
                        <w:r>
                          <w:rPr>
                            <w:rFonts w:ascii="Georgia"/>
                            <w:w w:val="105"/>
                            <w:sz w:val="18"/>
                          </w:rPr>
                          <w:t>the</w:t>
                        </w:r>
                        <w:r>
                          <w:rPr>
                            <w:rFonts w:ascii="Georgia"/>
                            <w:spacing w:val="-3"/>
                            <w:w w:val="105"/>
                            <w:sz w:val="18"/>
                          </w:rPr>
                          <w:t> </w:t>
                        </w:r>
                        <w:r>
                          <w:rPr>
                            <w:rFonts w:ascii="Georgia"/>
                            <w:w w:val="105"/>
                            <w:sz w:val="18"/>
                          </w:rPr>
                          <w:t>availability</w:t>
                        </w:r>
                        <w:r>
                          <w:rPr>
                            <w:rFonts w:ascii="Georgia"/>
                            <w:spacing w:val="-3"/>
                            <w:w w:val="105"/>
                            <w:sz w:val="18"/>
                          </w:rPr>
                          <w:t> </w:t>
                        </w:r>
                        <w:r>
                          <w:rPr>
                            <w:rFonts w:ascii="Georgia"/>
                            <w:w w:val="105"/>
                            <w:sz w:val="18"/>
                          </w:rPr>
                          <w:t>of</w:t>
                        </w:r>
                        <w:r>
                          <w:rPr>
                            <w:rFonts w:ascii="Georgia"/>
                            <w:spacing w:val="-3"/>
                            <w:w w:val="105"/>
                            <w:sz w:val="18"/>
                          </w:rPr>
                          <w:t> </w:t>
                        </w:r>
                        <w:r>
                          <w:rPr>
                            <w:rFonts w:ascii="Georgia"/>
                            <w:w w:val="105"/>
                            <w:sz w:val="18"/>
                          </w:rPr>
                          <w:t>multilingual,</w:t>
                        </w:r>
                        <w:r>
                          <w:rPr>
                            <w:rFonts w:ascii="Georgia"/>
                            <w:spacing w:val="-3"/>
                            <w:w w:val="105"/>
                            <w:sz w:val="18"/>
                          </w:rPr>
                          <w:t> </w:t>
                        </w:r>
                        <w:r>
                          <w:rPr>
                            <w:rFonts w:ascii="Georgia"/>
                            <w:w w:val="105"/>
                            <w:sz w:val="18"/>
                          </w:rPr>
                          <w:t>LGBTQ- affirming</w:t>
                        </w:r>
                        <w:r>
                          <w:rPr>
                            <w:rFonts w:ascii="Georgia"/>
                            <w:spacing w:val="-10"/>
                            <w:w w:val="105"/>
                            <w:sz w:val="18"/>
                          </w:rPr>
                          <w:t> </w:t>
                        </w:r>
                        <w:r>
                          <w:rPr>
                            <w:rFonts w:ascii="Georgia"/>
                            <w:w w:val="105"/>
                            <w:sz w:val="18"/>
                          </w:rPr>
                          <w:t>services</w:t>
                        </w:r>
                        <w:r>
                          <w:rPr>
                            <w:rFonts w:ascii="Georgia"/>
                            <w:spacing w:val="-10"/>
                            <w:w w:val="105"/>
                            <w:sz w:val="18"/>
                          </w:rPr>
                          <w:t> </w:t>
                        </w:r>
                        <w:r>
                          <w:rPr>
                            <w:rFonts w:ascii="Georgia"/>
                            <w:w w:val="105"/>
                            <w:sz w:val="18"/>
                          </w:rPr>
                          <w:t>for</w:t>
                        </w:r>
                        <w:r>
                          <w:rPr>
                            <w:rFonts w:ascii="Georgia"/>
                            <w:spacing w:val="-10"/>
                            <w:w w:val="105"/>
                            <w:sz w:val="18"/>
                          </w:rPr>
                          <w:t> </w:t>
                        </w:r>
                        <w:r>
                          <w:rPr>
                            <w:rFonts w:ascii="Georgia"/>
                            <w:w w:val="105"/>
                            <w:sz w:val="18"/>
                          </w:rPr>
                          <w:t>foreign-born</w:t>
                        </w:r>
                        <w:r>
                          <w:rPr>
                            <w:rFonts w:ascii="Georgia"/>
                            <w:spacing w:val="-10"/>
                            <w:w w:val="105"/>
                            <w:sz w:val="18"/>
                          </w:rPr>
                          <w:t> </w:t>
                        </w:r>
                        <w:r>
                          <w:rPr>
                            <w:rFonts w:ascii="Georgia"/>
                            <w:w w:val="105"/>
                            <w:sz w:val="18"/>
                          </w:rPr>
                          <w:t>residents,</w:t>
                        </w:r>
                        <w:r>
                          <w:rPr>
                            <w:rFonts w:ascii="Georgia"/>
                            <w:spacing w:val="-10"/>
                            <w:w w:val="105"/>
                            <w:sz w:val="18"/>
                          </w:rPr>
                          <w:t> </w:t>
                        </w:r>
                        <w:r>
                          <w:rPr>
                            <w:rFonts w:ascii="Georgia"/>
                            <w:w w:val="105"/>
                            <w:sz w:val="18"/>
                          </w:rPr>
                          <w:t>and increase funding for existing programs.</w:t>
                        </w:r>
                      </w:p>
                      <w:p>
                        <w:pPr>
                          <w:spacing w:line="240" w:lineRule="auto" w:before="22"/>
                          <w:rPr>
                            <w:rFonts w:ascii="Georgia"/>
                            <w:sz w:val="18"/>
                          </w:rPr>
                        </w:pPr>
                      </w:p>
                      <w:p>
                        <w:pPr>
                          <w:spacing w:before="0"/>
                          <w:ind w:left="903" w:right="0" w:firstLine="0"/>
                          <w:jc w:val="left"/>
                          <w:rPr>
                            <w:rFonts w:ascii="Georgia"/>
                            <w:sz w:val="18"/>
                          </w:rPr>
                        </w:pPr>
                        <w:r>
                          <w:rPr>
                            <w:rFonts w:ascii="Georgia"/>
                            <w:sz w:val="18"/>
                          </w:rPr>
                          <w:t>Establish</w:t>
                        </w:r>
                        <w:r>
                          <w:rPr>
                            <w:rFonts w:ascii="Georgia"/>
                            <w:spacing w:val="11"/>
                            <w:sz w:val="18"/>
                          </w:rPr>
                          <w:t> </w:t>
                        </w:r>
                        <w:r>
                          <w:rPr>
                            <w:rFonts w:ascii="Georgia"/>
                            <w:sz w:val="18"/>
                          </w:rPr>
                          <w:t>an</w:t>
                        </w:r>
                        <w:r>
                          <w:rPr>
                            <w:rFonts w:ascii="Georgia"/>
                            <w:spacing w:val="11"/>
                            <w:sz w:val="18"/>
                          </w:rPr>
                          <w:t> </w:t>
                        </w:r>
                        <w:r>
                          <w:rPr>
                            <w:rFonts w:ascii="Georgia"/>
                            <w:sz w:val="18"/>
                          </w:rPr>
                          <w:t>LGBTQ</w:t>
                        </w:r>
                        <w:r>
                          <w:rPr>
                            <w:rFonts w:ascii="Georgia"/>
                            <w:spacing w:val="12"/>
                            <w:sz w:val="18"/>
                          </w:rPr>
                          <w:t> </w:t>
                        </w:r>
                        <w:r>
                          <w:rPr>
                            <w:rFonts w:ascii="Georgia"/>
                            <w:sz w:val="18"/>
                          </w:rPr>
                          <w:t>Immigrant</w:t>
                        </w:r>
                        <w:r>
                          <w:rPr>
                            <w:rFonts w:ascii="Georgia"/>
                            <w:spacing w:val="11"/>
                            <w:sz w:val="18"/>
                          </w:rPr>
                          <w:t> </w:t>
                        </w:r>
                        <w:r>
                          <w:rPr>
                            <w:rFonts w:ascii="Georgia"/>
                            <w:sz w:val="18"/>
                          </w:rPr>
                          <w:t>&amp;</w:t>
                        </w:r>
                        <w:r>
                          <w:rPr>
                            <w:rFonts w:ascii="Georgia"/>
                            <w:spacing w:val="12"/>
                            <w:sz w:val="18"/>
                          </w:rPr>
                          <w:t> </w:t>
                        </w:r>
                        <w:r>
                          <w:rPr>
                            <w:rFonts w:ascii="Georgia"/>
                            <w:sz w:val="18"/>
                          </w:rPr>
                          <w:t>Refugee</w:t>
                        </w:r>
                        <w:r>
                          <w:rPr>
                            <w:rFonts w:ascii="Georgia"/>
                            <w:spacing w:val="11"/>
                            <w:sz w:val="18"/>
                          </w:rPr>
                          <w:t> </w:t>
                        </w:r>
                        <w:r>
                          <w:rPr>
                            <w:rFonts w:ascii="Georgia"/>
                            <w:sz w:val="18"/>
                          </w:rPr>
                          <w:t>Task</w:t>
                        </w:r>
                        <w:r>
                          <w:rPr>
                            <w:rFonts w:ascii="Georgia"/>
                            <w:spacing w:val="12"/>
                            <w:sz w:val="18"/>
                          </w:rPr>
                          <w:t> </w:t>
                        </w:r>
                        <w:r>
                          <w:rPr>
                            <w:rFonts w:ascii="Georgia"/>
                            <w:spacing w:val="-2"/>
                            <w:sz w:val="18"/>
                          </w:rPr>
                          <w:t>Force.</w:t>
                        </w:r>
                      </w:p>
                      <w:p>
                        <w:pPr>
                          <w:spacing w:line="240" w:lineRule="auto" w:before="164"/>
                          <w:rPr>
                            <w:rFonts w:ascii="Georgia"/>
                            <w:sz w:val="18"/>
                          </w:rPr>
                        </w:pPr>
                      </w:p>
                      <w:p>
                        <w:pPr>
                          <w:spacing w:line="276" w:lineRule="auto" w:before="0"/>
                          <w:ind w:left="875" w:right="91" w:firstLine="0"/>
                          <w:jc w:val="left"/>
                          <w:rPr>
                            <w:rFonts w:ascii="Georgia"/>
                            <w:sz w:val="18"/>
                          </w:rPr>
                        </w:pPr>
                        <w:r>
                          <w:rPr>
                            <w:rFonts w:ascii="Georgia"/>
                            <w:w w:val="105"/>
                            <w:sz w:val="18"/>
                          </w:rPr>
                          <w:t>Address</w:t>
                        </w:r>
                        <w:r>
                          <w:rPr>
                            <w:rFonts w:ascii="Georgia"/>
                            <w:spacing w:val="-12"/>
                            <w:w w:val="105"/>
                            <w:sz w:val="18"/>
                          </w:rPr>
                          <w:t> </w:t>
                        </w:r>
                        <w:r>
                          <w:rPr>
                            <w:rFonts w:ascii="Georgia"/>
                            <w:w w:val="105"/>
                            <w:sz w:val="18"/>
                          </w:rPr>
                          <w:t>the</w:t>
                        </w:r>
                        <w:r>
                          <w:rPr>
                            <w:rFonts w:ascii="Georgia"/>
                            <w:spacing w:val="-11"/>
                            <w:w w:val="105"/>
                            <w:sz w:val="18"/>
                          </w:rPr>
                          <w:t> </w:t>
                        </w:r>
                        <w:r>
                          <w:rPr>
                            <w:rFonts w:ascii="Georgia"/>
                            <w:w w:val="105"/>
                            <w:sz w:val="18"/>
                          </w:rPr>
                          <w:t>concerning</w:t>
                        </w:r>
                        <w:r>
                          <w:rPr>
                            <w:rFonts w:ascii="Georgia"/>
                            <w:spacing w:val="-12"/>
                            <w:w w:val="105"/>
                            <w:sz w:val="18"/>
                          </w:rPr>
                          <w:t> </w:t>
                        </w:r>
                        <w:r>
                          <w:rPr>
                            <w:rFonts w:ascii="Georgia"/>
                            <w:w w:val="105"/>
                            <w:sz w:val="18"/>
                          </w:rPr>
                          <w:t>lack</w:t>
                        </w:r>
                        <w:r>
                          <w:rPr>
                            <w:rFonts w:ascii="Georgia"/>
                            <w:spacing w:val="-11"/>
                            <w:w w:val="105"/>
                            <w:sz w:val="18"/>
                          </w:rPr>
                          <w:t> </w:t>
                        </w:r>
                        <w:r>
                          <w:rPr>
                            <w:rFonts w:ascii="Georgia"/>
                            <w:w w:val="105"/>
                            <w:sz w:val="18"/>
                          </w:rPr>
                          <w:t>of</w:t>
                        </w:r>
                        <w:r>
                          <w:rPr>
                            <w:rFonts w:ascii="Georgia"/>
                            <w:spacing w:val="-11"/>
                            <w:w w:val="105"/>
                            <w:sz w:val="18"/>
                          </w:rPr>
                          <w:t> </w:t>
                        </w:r>
                        <w:r>
                          <w:rPr>
                            <w:rFonts w:ascii="Georgia"/>
                            <w:w w:val="105"/>
                            <w:sz w:val="18"/>
                          </w:rPr>
                          <w:t>SOGIE</w:t>
                        </w:r>
                        <w:r>
                          <w:rPr>
                            <w:rFonts w:ascii="Georgia"/>
                            <w:spacing w:val="-12"/>
                            <w:w w:val="105"/>
                            <w:sz w:val="18"/>
                          </w:rPr>
                          <w:t> </w:t>
                        </w:r>
                        <w:r>
                          <w:rPr>
                            <w:rFonts w:ascii="Georgia"/>
                            <w:w w:val="105"/>
                            <w:sz w:val="18"/>
                          </w:rPr>
                          <w:t>data</w:t>
                        </w:r>
                        <w:r>
                          <w:rPr>
                            <w:rFonts w:ascii="Georgia"/>
                            <w:spacing w:val="-11"/>
                            <w:w w:val="105"/>
                            <w:sz w:val="18"/>
                          </w:rPr>
                          <w:t> </w:t>
                        </w:r>
                        <w:r>
                          <w:rPr>
                            <w:rFonts w:ascii="Georgia"/>
                            <w:w w:val="105"/>
                            <w:sz w:val="18"/>
                          </w:rPr>
                          <w:t>collection at the state level.</w:t>
                        </w:r>
                      </w:p>
                      <w:p>
                        <w:pPr>
                          <w:spacing w:line="240" w:lineRule="auto" w:before="194"/>
                          <w:rPr>
                            <w:rFonts w:ascii="Georgia"/>
                            <w:sz w:val="18"/>
                          </w:rPr>
                        </w:pPr>
                      </w:p>
                      <w:p>
                        <w:pPr>
                          <w:spacing w:before="0"/>
                          <w:ind w:left="875" w:right="0" w:firstLine="0"/>
                          <w:jc w:val="left"/>
                          <w:rPr>
                            <w:rFonts w:ascii="Georgia"/>
                            <w:sz w:val="18"/>
                          </w:rPr>
                        </w:pPr>
                        <w:r>
                          <w:rPr>
                            <w:rFonts w:ascii="Georgia"/>
                            <w:w w:val="105"/>
                            <w:sz w:val="18"/>
                          </w:rPr>
                          <w:t>Protect</w:t>
                        </w:r>
                        <w:r>
                          <w:rPr>
                            <w:rFonts w:ascii="Georgia"/>
                            <w:spacing w:val="-11"/>
                            <w:w w:val="105"/>
                            <w:sz w:val="18"/>
                          </w:rPr>
                          <w:t> </w:t>
                        </w:r>
                        <w:r>
                          <w:rPr>
                            <w:rFonts w:ascii="Georgia"/>
                            <w:w w:val="105"/>
                            <w:sz w:val="18"/>
                          </w:rPr>
                          <w:t>and</w:t>
                        </w:r>
                        <w:r>
                          <w:rPr>
                            <w:rFonts w:ascii="Georgia"/>
                            <w:spacing w:val="-10"/>
                            <w:w w:val="105"/>
                            <w:sz w:val="18"/>
                          </w:rPr>
                          <w:t> </w:t>
                        </w:r>
                        <w:r>
                          <w:rPr>
                            <w:rFonts w:ascii="Georgia"/>
                            <w:w w:val="105"/>
                            <w:sz w:val="18"/>
                          </w:rPr>
                          <w:t>support</w:t>
                        </w:r>
                        <w:r>
                          <w:rPr>
                            <w:rFonts w:ascii="Georgia"/>
                            <w:spacing w:val="-10"/>
                            <w:w w:val="105"/>
                            <w:sz w:val="18"/>
                          </w:rPr>
                          <w:t> </w:t>
                        </w:r>
                        <w:r>
                          <w:rPr>
                            <w:rFonts w:ascii="Georgia"/>
                            <w:w w:val="105"/>
                            <w:sz w:val="18"/>
                          </w:rPr>
                          <w:t>undocumented</w:t>
                        </w:r>
                        <w:r>
                          <w:rPr>
                            <w:rFonts w:ascii="Georgia"/>
                            <w:spacing w:val="-10"/>
                            <w:w w:val="105"/>
                            <w:sz w:val="18"/>
                          </w:rPr>
                          <w:t> </w:t>
                        </w:r>
                        <w:r>
                          <w:rPr>
                            <w:rFonts w:ascii="Georgia"/>
                            <w:spacing w:val="-2"/>
                            <w:w w:val="105"/>
                            <w:sz w:val="18"/>
                          </w:rPr>
                          <w:t>youth.</w:t>
                        </w:r>
                      </w:p>
                    </w:txbxContent>
                  </v:textbox>
                  <w10:wrap type="none"/>
                </v:shape>
                <w10:wrap type="none"/>
              </v:group>
            </w:pict>
          </mc:Fallback>
        </mc:AlternateContent>
      </w:r>
      <w:r>
        <w:rPr>
          <w:rFonts w:ascii="Georgia"/>
          <w:w w:val="105"/>
          <w:sz w:val="24"/>
        </w:rPr>
        <w:t>For</w:t>
      </w:r>
      <w:r>
        <w:rPr>
          <w:rFonts w:ascii="Georgia"/>
          <w:w w:val="105"/>
          <w:sz w:val="24"/>
        </w:rPr>
        <w:t> LGBTQ</w:t>
      </w:r>
      <w:r>
        <w:rPr>
          <w:rFonts w:ascii="Georgia"/>
          <w:w w:val="105"/>
          <w:sz w:val="24"/>
        </w:rPr>
        <w:t> foreign-born</w:t>
      </w:r>
      <w:r>
        <w:rPr>
          <w:rFonts w:ascii="Georgia"/>
          <w:w w:val="105"/>
          <w:sz w:val="24"/>
        </w:rPr>
        <w:t> youth</w:t>
      </w:r>
      <w:r>
        <w:rPr>
          <w:rFonts w:ascii="Georgia"/>
          <w:w w:val="105"/>
          <w:sz w:val="24"/>
        </w:rPr>
        <w:t> who</w:t>
      </w:r>
      <w:r>
        <w:rPr>
          <w:rFonts w:ascii="Georgia"/>
          <w:w w:val="105"/>
          <w:sz w:val="24"/>
        </w:rPr>
        <w:t> face discrimination</w:t>
      </w:r>
      <w:r>
        <w:rPr>
          <w:rFonts w:ascii="Georgia"/>
          <w:w w:val="105"/>
          <w:sz w:val="24"/>
        </w:rPr>
        <w:t> based</w:t>
      </w:r>
      <w:r>
        <w:rPr>
          <w:rFonts w:ascii="Georgia"/>
          <w:w w:val="105"/>
          <w:sz w:val="24"/>
        </w:rPr>
        <w:t> on</w:t>
      </w:r>
      <w:r>
        <w:rPr>
          <w:rFonts w:ascii="Georgia"/>
          <w:w w:val="105"/>
          <w:sz w:val="24"/>
        </w:rPr>
        <w:t> their</w:t>
      </w:r>
      <w:r>
        <w:rPr>
          <w:rFonts w:ascii="Georgia"/>
          <w:w w:val="105"/>
          <w:sz w:val="24"/>
        </w:rPr>
        <w:t> sexual orientation</w:t>
      </w:r>
      <w:r>
        <w:rPr>
          <w:rFonts w:ascii="Georgia"/>
          <w:w w:val="105"/>
          <w:sz w:val="24"/>
        </w:rPr>
        <w:t> and</w:t>
      </w:r>
      <w:r>
        <w:rPr>
          <w:rFonts w:ascii="Georgia"/>
          <w:w w:val="105"/>
          <w:sz w:val="24"/>
        </w:rPr>
        <w:t> gender</w:t>
      </w:r>
      <w:r>
        <w:rPr>
          <w:rFonts w:ascii="Georgia"/>
          <w:w w:val="105"/>
          <w:sz w:val="24"/>
        </w:rPr>
        <w:t> identity</w:t>
      </w:r>
      <w:r>
        <w:rPr>
          <w:rFonts w:ascii="Georgia"/>
          <w:w w:val="105"/>
          <w:sz w:val="24"/>
        </w:rPr>
        <w:t> as</w:t>
      </w:r>
      <w:r>
        <w:rPr>
          <w:rFonts w:ascii="Georgia"/>
          <w:w w:val="105"/>
          <w:sz w:val="24"/>
        </w:rPr>
        <w:t> well</w:t>
      </w:r>
      <w:r>
        <w:rPr>
          <w:rFonts w:ascii="Georgia"/>
          <w:w w:val="105"/>
          <w:sz w:val="24"/>
        </w:rPr>
        <w:t> as their</w:t>
      </w:r>
      <w:r>
        <w:rPr>
          <w:rFonts w:ascii="Georgia"/>
          <w:w w:val="105"/>
          <w:sz w:val="24"/>
        </w:rPr>
        <w:t> immigration</w:t>
      </w:r>
      <w:r>
        <w:rPr>
          <w:rFonts w:ascii="Georgia"/>
          <w:w w:val="105"/>
          <w:sz w:val="24"/>
        </w:rPr>
        <w:t> status,</w:t>
      </w:r>
      <w:r>
        <w:rPr>
          <w:rFonts w:ascii="Georgia"/>
          <w:w w:val="105"/>
          <w:sz w:val="24"/>
        </w:rPr>
        <w:t> the</w:t>
      </w:r>
      <w:r>
        <w:rPr>
          <w:rFonts w:ascii="Georgia"/>
          <w:w w:val="105"/>
          <w:sz w:val="24"/>
        </w:rPr>
        <w:t> state</w:t>
      </w:r>
      <w:r>
        <w:rPr>
          <w:rFonts w:ascii="Georgia"/>
          <w:w w:val="105"/>
          <w:sz w:val="24"/>
        </w:rPr>
        <w:t> of Massachusetts</w:t>
      </w:r>
      <w:r>
        <w:rPr>
          <w:rFonts w:ascii="Georgia"/>
          <w:w w:val="105"/>
          <w:sz w:val="24"/>
        </w:rPr>
        <w:t> must</w:t>
      </w:r>
      <w:r>
        <w:rPr>
          <w:rFonts w:ascii="Georgia"/>
          <w:w w:val="105"/>
          <w:sz w:val="24"/>
        </w:rPr>
        <w:t> work</w:t>
      </w:r>
      <w:r>
        <w:rPr>
          <w:rFonts w:ascii="Georgia"/>
          <w:w w:val="105"/>
          <w:sz w:val="24"/>
        </w:rPr>
        <w:t> to</w:t>
      </w:r>
      <w:r>
        <w:rPr>
          <w:rFonts w:ascii="Georgia"/>
          <w:w w:val="105"/>
          <w:sz w:val="24"/>
        </w:rPr>
        <w:t> remove</w:t>
      </w:r>
      <w:r>
        <w:rPr>
          <w:rFonts w:ascii="Georgia"/>
          <w:w w:val="105"/>
          <w:sz w:val="24"/>
        </w:rPr>
        <w:t> these barriers</w:t>
      </w:r>
      <w:r>
        <w:rPr>
          <w:rFonts w:ascii="Georgia"/>
          <w:spacing w:val="-16"/>
          <w:w w:val="105"/>
          <w:sz w:val="24"/>
        </w:rPr>
        <w:t> </w:t>
      </w:r>
      <w:r>
        <w:rPr>
          <w:rFonts w:ascii="Georgia"/>
          <w:w w:val="105"/>
          <w:sz w:val="24"/>
        </w:rPr>
        <w:t>to</w:t>
      </w:r>
      <w:r>
        <w:rPr>
          <w:rFonts w:ascii="Georgia"/>
          <w:spacing w:val="-15"/>
          <w:w w:val="105"/>
          <w:sz w:val="24"/>
        </w:rPr>
        <w:t> </w:t>
      </w:r>
      <w:r>
        <w:rPr>
          <w:rFonts w:ascii="Georgia"/>
          <w:w w:val="105"/>
          <w:sz w:val="24"/>
        </w:rPr>
        <w:t>integration.</w:t>
      </w:r>
      <w:r>
        <w:rPr>
          <w:rFonts w:ascii="Georgia"/>
          <w:spacing w:val="-15"/>
          <w:w w:val="105"/>
          <w:sz w:val="24"/>
        </w:rPr>
        <w:t> </w:t>
      </w:r>
      <w:r>
        <w:rPr>
          <w:rFonts w:ascii="Georgia"/>
          <w:w w:val="105"/>
          <w:sz w:val="24"/>
        </w:rPr>
        <w:t>To</w:t>
      </w:r>
      <w:r>
        <w:rPr>
          <w:rFonts w:ascii="Georgia"/>
          <w:spacing w:val="-15"/>
          <w:w w:val="105"/>
          <w:sz w:val="24"/>
        </w:rPr>
        <w:t> </w:t>
      </w:r>
      <w:r>
        <w:rPr>
          <w:rFonts w:ascii="Georgia"/>
          <w:w w:val="105"/>
          <w:sz w:val="24"/>
        </w:rPr>
        <w:t>ensure</w:t>
      </w:r>
      <w:r>
        <w:rPr>
          <w:rFonts w:ascii="Georgia"/>
          <w:spacing w:val="-15"/>
          <w:w w:val="105"/>
          <w:sz w:val="24"/>
        </w:rPr>
        <w:t> </w:t>
      </w:r>
      <w:r>
        <w:rPr>
          <w:rFonts w:ascii="Georgia"/>
          <w:w w:val="105"/>
          <w:sz w:val="24"/>
        </w:rPr>
        <w:t>that</w:t>
      </w:r>
      <w:r>
        <w:rPr>
          <w:rFonts w:ascii="Georgia"/>
          <w:spacing w:val="-16"/>
          <w:w w:val="105"/>
          <w:sz w:val="24"/>
        </w:rPr>
        <w:t> </w:t>
      </w:r>
      <w:r>
        <w:rPr>
          <w:rFonts w:ascii="Georgia"/>
          <w:w w:val="105"/>
          <w:sz w:val="24"/>
        </w:rPr>
        <w:t>LGBTQ youth</w:t>
      </w:r>
      <w:r>
        <w:rPr>
          <w:rFonts w:ascii="Georgia"/>
          <w:w w:val="105"/>
          <w:sz w:val="24"/>
        </w:rPr>
        <w:t> thrive,</w:t>
      </w:r>
      <w:r>
        <w:rPr>
          <w:rFonts w:ascii="Georgia"/>
          <w:w w:val="105"/>
          <w:sz w:val="24"/>
        </w:rPr>
        <w:t> it</w:t>
      </w:r>
      <w:r>
        <w:rPr>
          <w:rFonts w:ascii="Georgia"/>
          <w:w w:val="105"/>
          <w:sz w:val="24"/>
        </w:rPr>
        <w:t> is</w:t>
      </w:r>
      <w:r>
        <w:rPr>
          <w:rFonts w:ascii="Georgia"/>
          <w:w w:val="105"/>
          <w:sz w:val="24"/>
        </w:rPr>
        <w:t> critical</w:t>
      </w:r>
      <w:r>
        <w:rPr>
          <w:rFonts w:ascii="Georgia"/>
          <w:w w:val="105"/>
          <w:sz w:val="24"/>
        </w:rPr>
        <w:t> to</w:t>
      </w:r>
      <w:r>
        <w:rPr>
          <w:rFonts w:ascii="Georgia"/>
          <w:w w:val="105"/>
          <w:sz w:val="24"/>
        </w:rPr>
        <w:t> invest</w:t>
      </w:r>
      <w:r>
        <w:rPr>
          <w:rFonts w:ascii="Georgia"/>
          <w:w w:val="105"/>
          <w:sz w:val="24"/>
        </w:rPr>
        <w:t> in </w:t>
      </w:r>
      <w:r>
        <w:rPr>
          <w:rFonts w:ascii="Georgia"/>
          <w:spacing w:val="-2"/>
          <w:w w:val="105"/>
          <w:sz w:val="24"/>
        </w:rPr>
        <w:t>culturally</w:t>
      </w:r>
      <w:r>
        <w:rPr>
          <w:rFonts w:ascii="Georgia"/>
          <w:sz w:val="24"/>
        </w:rPr>
        <w:tab/>
      </w:r>
      <w:r>
        <w:rPr>
          <w:rFonts w:ascii="Georgia"/>
          <w:spacing w:val="-2"/>
          <w:w w:val="105"/>
          <w:sz w:val="24"/>
        </w:rPr>
        <w:t>competent</w:t>
      </w:r>
      <w:r>
        <w:rPr>
          <w:rFonts w:ascii="Georgia"/>
          <w:sz w:val="24"/>
        </w:rPr>
        <w:tab/>
      </w:r>
      <w:r>
        <w:rPr>
          <w:rFonts w:ascii="Georgia"/>
          <w:spacing w:val="-2"/>
          <w:w w:val="105"/>
          <w:sz w:val="24"/>
        </w:rPr>
        <w:t>immigration </w:t>
      </w:r>
      <w:r>
        <w:rPr>
          <w:rFonts w:ascii="Georgia"/>
          <w:w w:val="105"/>
          <w:sz w:val="24"/>
        </w:rPr>
        <w:t>integration</w:t>
      </w:r>
      <w:r>
        <w:rPr>
          <w:rFonts w:ascii="Georgia"/>
          <w:w w:val="105"/>
          <w:sz w:val="24"/>
        </w:rPr>
        <w:t> resources</w:t>
      </w:r>
      <w:r>
        <w:rPr>
          <w:rFonts w:ascii="Georgia"/>
          <w:w w:val="105"/>
          <w:sz w:val="24"/>
        </w:rPr>
        <w:t> that</w:t>
      </w:r>
      <w:r>
        <w:rPr>
          <w:rFonts w:ascii="Georgia"/>
          <w:w w:val="105"/>
          <w:sz w:val="24"/>
        </w:rPr>
        <w:t> are</w:t>
      </w:r>
      <w:r>
        <w:rPr>
          <w:rFonts w:ascii="Georgia"/>
          <w:w w:val="105"/>
          <w:sz w:val="24"/>
        </w:rPr>
        <w:t> responsive</w:t>
      </w:r>
      <w:r>
        <w:rPr>
          <w:rFonts w:ascii="Georgia"/>
          <w:w w:val="105"/>
          <w:sz w:val="24"/>
        </w:rPr>
        <w:t> to the needs of diverse communities.</w:t>
      </w:r>
    </w:p>
    <w:p>
      <w:pPr>
        <w:pStyle w:val="Heading2"/>
        <w:spacing w:line="1080" w:lineRule="exact" w:before="650"/>
        <w:ind w:left="1382"/>
      </w:pPr>
      <w:r>
        <w:rPr/>
        <w:br w:type="column"/>
      </w:r>
      <w:r>
        <w:rPr>
          <w:emboss/>
          <w:color w:val="001389"/>
          <w:w w:val="85"/>
        </w:rPr>
        <w:t>1</w:t>
      </w:r>
      <w:r>
        <w:rPr>
          <w:shadow w:val="0"/>
          <w:color w:val="001389"/>
          <w:spacing w:val="-10"/>
          <w:w w:val="85"/>
        </w:rPr>
        <w:t> </w:t>
      </w:r>
      <w:r>
        <w:rPr>
          <w:emboss/>
          <w:color w:val="001389"/>
          <w:spacing w:val="19"/>
          <w:w w:val="85"/>
        </w:rPr>
        <w:t>IN</w:t>
      </w:r>
      <w:r>
        <w:rPr>
          <w:shadow w:val="0"/>
          <w:color w:val="001389"/>
          <w:spacing w:val="-9"/>
          <w:w w:val="85"/>
        </w:rPr>
        <w:t> </w:t>
      </w:r>
      <w:r>
        <w:rPr>
          <w:emboss/>
          <w:color w:val="001389"/>
          <w:spacing w:val="-10"/>
          <w:w w:val="85"/>
        </w:rPr>
        <w:t>6</w:t>
      </w:r>
    </w:p>
    <w:p>
      <w:pPr>
        <w:pStyle w:val="BodyText"/>
        <w:spacing w:line="266" w:lineRule="auto"/>
        <w:ind w:left="1832" w:right="1267" w:hanging="886"/>
        <w:rPr>
          <w:rFonts w:ascii="Georgia"/>
        </w:rPr>
      </w:pPr>
      <w:r>
        <w:rPr>
          <w:rFonts w:ascii="Georgia"/>
        </w:rPr>
        <w:t>of Massachusetts residents </w:t>
      </w:r>
      <w:r>
        <w:rPr>
          <w:rFonts w:ascii="Georgia"/>
        </w:rPr>
        <w:t>are </w:t>
      </w:r>
      <w:r>
        <w:rPr>
          <w:rFonts w:ascii="Georgia"/>
          <w:spacing w:val="-2"/>
          <w:w w:val="105"/>
        </w:rPr>
        <w:t>foreign-born</w:t>
      </w:r>
    </w:p>
    <w:p>
      <w:pPr>
        <w:pStyle w:val="BodyText"/>
        <w:spacing w:before="213"/>
        <w:rPr>
          <w:rFonts w:ascii="Georgia"/>
        </w:rPr>
      </w:pPr>
    </w:p>
    <w:p>
      <w:pPr>
        <w:pStyle w:val="Heading2"/>
        <w:ind w:left="1620"/>
      </w:pPr>
      <w:r>
        <w:rPr>
          <w:emboss/>
          <w:color w:val="001389"/>
          <w:spacing w:val="20"/>
        </w:rPr>
        <w:t>30%</w:t>
      </w:r>
    </w:p>
    <w:p>
      <w:pPr>
        <w:pStyle w:val="BodyText"/>
        <w:spacing w:line="226" w:lineRule="exact"/>
        <w:ind w:left="214" w:right="657"/>
        <w:jc w:val="center"/>
        <w:rPr>
          <w:rFonts w:ascii="Georgia"/>
        </w:rPr>
      </w:pPr>
      <w:r>
        <w:rPr>
          <w:rFonts w:ascii="Georgia"/>
        </w:rPr>
        <w:t>of</w:t>
      </w:r>
      <w:r>
        <w:rPr>
          <w:rFonts w:ascii="Georgia"/>
          <w:spacing w:val="25"/>
        </w:rPr>
        <w:t> </w:t>
      </w:r>
      <w:r>
        <w:rPr>
          <w:rFonts w:ascii="Georgia"/>
        </w:rPr>
        <w:t>first-generation</w:t>
      </w:r>
      <w:r>
        <w:rPr>
          <w:rFonts w:ascii="Georgia"/>
          <w:spacing w:val="26"/>
        </w:rPr>
        <w:t> </w:t>
      </w:r>
      <w:r>
        <w:rPr>
          <w:rFonts w:ascii="Georgia"/>
          <w:spacing w:val="-4"/>
        </w:rPr>
        <w:t>LGBTQ</w:t>
      </w:r>
    </w:p>
    <w:p>
      <w:pPr>
        <w:pStyle w:val="BodyText"/>
        <w:spacing w:line="266" w:lineRule="auto" w:before="27"/>
        <w:ind w:left="323" w:right="767"/>
        <w:jc w:val="center"/>
        <w:rPr>
          <w:rFonts w:ascii="Georgia"/>
        </w:rPr>
      </w:pPr>
      <w:r>
        <w:rPr>
          <w:rFonts w:ascii="Georgia"/>
        </w:rPr>
        <w:t>youth worry about </w:t>
      </w:r>
      <w:r>
        <w:rPr>
          <w:rFonts w:ascii="Georgia"/>
        </w:rPr>
        <w:t>deportation "sometimes" or "a lot"</w:t>
      </w:r>
    </w:p>
    <w:p>
      <w:pPr>
        <w:pStyle w:val="BodyText"/>
        <w:spacing w:before="10"/>
        <w:rPr>
          <w:rFonts w:ascii="Georgia"/>
          <w:sz w:val="12"/>
        </w:rPr>
      </w:pPr>
      <w:r>
        <w:rPr/>
        <mc:AlternateContent>
          <mc:Choice Requires="wps">
            <w:drawing>
              <wp:anchor distT="0" distB="0" distL="0" distR="0" allowOverlap="1" layoutInCell="1" locked="0" behindDoc="1" simplePos="0" relativeHeight="487673344">
                <wp:simplePos x="0" y="0"/>
                <wp:positionH relativeFrom="page">
                  <wp:posOffset>4353803</wp:posOffset>
                </wp:positionH>
                <wp:positionV relativeFrom="paragraph">
                  <wp:posOffset>108298</wp:posOffset>
                </wp:positionV>
                <wp:extent cx="2773680"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a:graphicData>
                </a:graphic>
              </wp:anchor>
            </w:drawing>
          </mc:Choice>
          <mc:Fallback>
            <w:pict>
              <v:shape style="position:absolute;margin-left:342.819153pt;margin-top:8.527435pt;width:218.4pt;height:.1pt;mso-position-horizontal-relative:page;mso-position-vertical-relative:paragraph;z-index:-15643136;mso-wrap-distance-left:0;mso-wrap-distance-right:0" id="docshape355" coordorigin="6856,171" coordsize="4368,0" path="m6856,171l11224,171e" filled="false" stroked="true" strokeweight="2.25pt" strokecolor="#001389">
                <v:path arrowok="t"/>
                <v:stroke dashstyle="shortdash"/>
                <w10:wrap type="topAndBottom"/>
              </v:shape>
            </w:pict>
          </mc:Fallback>
        </mc:AlternateContent>
      </w:r>
    </w:p>
    <w:p>
      <w:pPr>
        <w:spacing w:line="994" w:lineRule="exact" w:before="83"/>
        <w:ind w:left="1211" w:right="0" w:firstLine="0"/>
        <w:jc w:val="left"/>
        <w:rPr>
          <w:rFonts w:ascii="Arial Black"/>
          <w:sz w:val="71"/>
        </w:rPr>
      </w:pPr>
      <w:r>
        <w:rPr>
          <w:rFonts w:ascii="Arial Black"/>
          <w:emboss/>
          <w:color w:val="001389"/>
          <w:w w:val="85"/>
          <w:sz w:val="71"/>
        </w:rPr>
        <w:t>1</w:t>
      </w:r>
      <w:r>
        <w:rPr>
          <w:rFonts w:ascii="Arial Black"/>
          <w:shadow w:val="0"/>
          <w:color w:val="001389"/>
          <w:spacing w:val="-6"/>
          <w:w w:val="85"/>
          <w:sz w:val="71"/>
        </w:rPr>
        <w:t> </w:t>
      </w:r>
      <w:r>
        <w:rPr>
          <w:rFonts w:ascii="Arial Black"/>
          <w:emboss/>
          <w:color w:val="001389"/>
          <w:spacing w:val="17"/>
          <w:w w:val="85"/>
          <w:sz w:val="71"/>
        </w:rPr>
        <w:t>IN</w:t>
      </w:r>
      <w:r>
        <w:rPr>
          <w:rFonts w:ascii="Arial Black"/>
          <w:shadow w:val="0"/>
          <w:color w:val="001389"/>
          <w:spacing w:val="-5"/>
          <w:w w:val="85"/>
          <w:sz w:val="71"/>
        </w:rPr>
        <w:t> </w:t>
      </w:r>
      <w:r>
        <w:rPr>
          <w:rFonts w:ascii="Arial Black"/>
          <w:emboss/>
          <w:color w:val="001389"/>
          <w:spacing w:val="10"/>
          <w:w w:val="85"/>
          <w:sz w:val="71"/>
        </w:rPr>
        <w:t>10</w:t>
      </w:r>
    </w:p>
    <w:p>
      <w:pPr>
        <w:pStyle w:val="BodyText"/>
        <w:spacing w:line="266" w:lineRule="auto"/>
        <w:ind w:left="203" w:right="657"/>
        <w:jc w:val="center"/>
        <w:rPr>
          <w:rFonts w:ascii="Georgia"/>
        </w:rPr>
      </w:pPr>
      <w:r>
        <w:rPr>
          <w:rFonts w:ascii="Georgia"/>
        </w:rPr>
        <w:t>of first-generation LGBTQ youth </w:t>
      </w:r>
      <w:r>
        <w:rPr>
          <w:rFonts w:ascii="Georgia"/>
        </w:rPr>
        <w:t>reported </w:t>
      </w:r>
      <w:r>
        <w:rPr>
          <w:rFonts w:ascii="Georgia"/>
          <w:w w:val="105"/>
        </w:rPr>
        <w:t>experiencing discrimination based on actual or perceived immigration status</w:t>
      </w:r>
    </w:p>
    <w:p>
      <w:pPr>
        <w:spacing w:after="0" w:line="266" w:lineRule="auto"/>
        <w:jc w:val="center"/>
        <w:rPr>
          <w:rFonts w:ascii="Georgia"/>
        </w:rPr>
        <w:sectPr>
          <w:type w:val="continuous"/>
          <w:pgSz w:w="12240" w:h="15840"/>
          <w:pgMar w:header="0" w:footer="0" w:top="1420" w:bottom="280" w:left="920" w:right="340"/>
          <w:cols w:num="2" w:equalWidth="0">
            <w:col w:w="5413" w:space="302"/>
            <w:col w:w="5265"/>
          </w:cols>
        </w:sectPr>
      </w:pPr>
    </w:p>
    <w:p>
      <w:pPr>
        <w:pStyle w:val="BodyText"/>
        <w:spacing w:before="148"/>
        <w:rPr>
          <w:rFonts w:ascii="Georgia"/>
          <w:sz w:val="20"/>
        </w:rPr>
      </w:pPr>
      <w:r>
        <w:rPr/>
        <mc:AlternateContent>
          <mc:Choice Requires="wps">
            <w:drawing>
              <wp:anchor distT="0" distB="0" distL="0" distR="0" allowOverlap="1" layoutInCell="1" locked="0" behindDoc="1" simplePos="0" relativeHeight="482636800">
                <wp:simplePos x="0" y="0"/>
                <wp:positionH relativeFrom="page">
                  <wp:posOffset>0</wp:posOffset>
                </wp:positionH>
                <wp:positionV relativeFrom="page">
                  <wp:posOffset>0</wp:posOffset>
                </wp:positionV>
                <wp:extent cx="7772400" cy="5502275"/>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7772400" cy="5502275"/>
                          <a:chExt cx="7772400" cy="5502275"/>
                        </a:xfrm>
                      </wpg:grpSpPr>
                      <pic:pic>
                        <pic:nvPicPr>
                          <pic:cNvPr id="447" name="Image 447"/>
                          <pic:cNvPicPr/>
                        </pic:nvPicPr>
                        <pic:blipFill>
                          <a:blip r:embed="rId608" cstate="print"/>
                          <a:stretch>
                            <a:fillRect/>
                          </a:stretch>
                        </pic:blipFill>
                        <pic:spPr>
                          <a:xfrm>
                            <a:off x="0" y="0"/>
                            <a:ext cx="7772399" cy="3121464"/>
                          </a:xfrm>
                          <a:prstGeom prst="rect">
                            <a:avLst/>
                          </a:prstGeom>
                        </pic:spPr>
                      </pic:pic>
                      <pic:pic>
                        <pic:nvPicPr>
                          <pic:cNvPr id="448" name="Image 448"/>
                          <pic:cNvPicPr/>
                        </pic:nvPicPr>
                        <pic:blipFill>
                          <a:blip r:embed="rId98" cstate="print"/>
                          <a:stretch>
                            <a:fillRect/>
                          </a:stretch>
                        </pic:blipFill>
                        <pic:spPr>
                          <a:xfrm>
                            <a:off x="5246801" y="735421"/>
                            <a:ext cx="1480888" cy="1480632"/>
                          </a:xfrm>
                          <a:prstGeom prst="rect">
                            <a:avLst/>
                          </a:prstGeom>
                        </pic:spPr>
                      </pic:pic>
                      <wps:wsp>
                        <wps:cNvPr id="449" name="Graphic 449"/>
                        <wps:cNvSpPr/>
                        <wps:spPr>
                          <a:xfrm>
                            <a:off x="5233056"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9" y="1486"/>
                                </a:lnTo>
                                <a:lnTo>
                                  <a:pt x="848519" y="5886"/>
                                </a:lnTo>
                                <a:lnTo>
                                  <a:pt x="894494" y="13110"/>
                                </a:lnTo>
                                <a:lnTo>
                                  <a:pt x="939513" y="23070"/>
                                </a:lnTo>
                                <a:lnTo>
                                  <a:pt x="954942" y="27493"/>
                                </a:lnTo>
                                <a:lnTo>
                                  <a:pt x="754061" y="27493"/>
                                </a:lnTo>
                                <a:lnTo>
                                  <a:pt x="706360" y="29041"/>
                                </a:lnTo>
                                <a:lnTo>
                                  <a:pt x="659473"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5" y="362147"/>
                                </a:lnTo>
                                <a:lnTo>
                                  <a:pt x="119388" y="400639"/>
                                </a:lnTo>
                                <a:lnTo>
                                  <a:pt x="98638" y="440619"/>
                                </a:lnTo>
                                <a:lnTo>
                                  <a:pt x="80342" y="481993"/>
                                </a:lnTo>
                                <a:lnTo>
                                  <a:pt x="64597" y="524662"/>
                                </a:lnTo>
                                <a:lnTo>
                                  <a:pt x="51475" y="568619"/>
                                </a:lnTo>
                                <a:lnTo>
                                  <a:pt x="41117" y="613638"/>
                                </a:lnTo>
                                <a:lnTo>
                                  <a:pt x="33609" y="659613"/>
                                </a:lnTo>
                                <a:lnTo>
                                  <a:pt x="29038"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5" y="1480635"/>
                                </a:lnTo>
                                <a:lnTo>
                                  <a:pt x="939512" y="1485050"/>
                                </a:lnTo>
                                <a:lnTo>
                                  <a:pt x="894493" y="1495009"/>
                                </a:lnTo>
                                <a:lnTo>
                                  <a:pt x="848519" y="1502233"/>
                                </a:lnTo>
                                <a:lnTo>
                                  <a:pt x="801678" y="1506633"/>
                                </a:lnTo>
                                <a:lnTo>
                                  <a:pt x="754061" y="1508119"/>
                                </a:lnTo>
                                <a:close/>
                              </a:path>
                              <a:path w="1508125" h="1508125">
                                <a:moveTo>
                                  <a:pt x="954915"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6" y="1340265"/>
                                </a:lnTo>
                                <a:lnTo>
                                  <a:pt x="1218110" y="1312732"/>
                                </a:lnTo>
                                <a:lnTo>
                                  <a:pt x="1251557" y="1283133"/>
                                </a:lnTo>
                                <a:lnTo>
                                  <a:pt x="1283128" y="1251562"/>
                                </a:lnTo>
                                <a:lnTo>
                                  <a:pt x="1312729" y="1218116"/>
                                </a:lnTo>
                                <a:lnTo>
                                  <a:pt x="1340261" y="1182892"/>
                                </a:lnTo>
                                <a:lnTo>
                                  <a:pt x="1365630"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5" y="524643"/>
                                </a:lnTo>
                                <a:lnTo>
                                  <a:pt x="1427785" y="481993"/>
                                </a:lnTo>
                                <a:lnTo>
                                  <a:pt x="1409488" y="440619"/>
                                </a:lnTo>
                                <a:lnTo>
                                  <a:pt x="1388738"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8"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3"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5" y="1480635"/>
                                </a:lnTo>
                                <a:close/>
                              </a:path>
                            </a:pathLst>
                          </a:custGeom>
                          <a:solidFill>
                            <a:srgbClr val="FFFFFF"/>
                          </a:solidFill>
                        </wps:spPr>
                        <wps:bodyPr wrap="square" lIns="0" tIns="0" rIns="0" bIns="0" rtlCol="0">
                          <a:prstTxWarp prst="textNoShape">
                            <a:avLst/>
                          </a:prstTxWarp>
                          <a:noAutofit/>
                        </wps:bodyPr>
                      </wps:wsp>
                      <pic:pic>
                        <pic:nvPicPr>
                          <pic:cNvPr id="450" name="Image 450"/>
                          <pic:cNvPicPr/>
                        </pic:nvPicPr>
                        <pic:blipFill>
                          <a:blip r:embed="rId609" cstate="print"/>
                          <a:stretch>
                            <a:fillRect/>
                          </a:stretch>
                        </pic:blipFill>
                        <pic:spPr>
                          <a:xfrm>
                            <a:off x="7202914" y="3012459"/>
                            <a:ext cx="75885" cy="92597"/>
                          </a:xfrm>
                          <a:prstGeom prst="rect">
                            <a:avLst/>
                          </a:prstGeom>
                        </pic:spPr>
                      </pic:pic>
                      <wps:wsp>
                        <wps:cNvPr id="451" name="Graphic 451"/>
                        <wps:cNvSpPr/>
                        <wps:spPr>
                          <a:xfrm>
                            <a:off x="6767590" y="3006313"/>
                            <a:ext cx="76200" cy="81915"/>
                          </a:xfrm>
                          <a:custGeom>
                            <a:avLst/>
                            <a:gdLst/>
                            <a:ahLst/>
                            <a:cxnLst/>
                            <a:rect l="l" t="t" r="r" b="b"/>
                            <a:pathLst>
                              <a:path w="76200" h="81915">
                                <a:moveTo>
                                  <a:pt x="35762" y="81850"/>
                                </a:moveTo>
                                <a:lnTo>
                                  <a:pt x="21169" y="77501"/>
                                </a:lnTo>
                                <a:lnTo>
                                  <a:pt x="9575" y="67803"/>
                                </a:lnTo>
                                <a:lnTo>
                                  <a:pt x="2133" y="54171"/>
                                </a:lnTo>
                                <a:lnTo>
                                  <a:pt x="0" y="38022"/>
                                </a:lnTo>
                                <a:lnTo>
                                  <a:pt x="3833" y="22324"/>
                                </a:lnTo>
                                <a:lnTo>
                                  <a:pt x="12661" y="9937"/>
                                </a:lnTo>
                                <a:lnTo>
                                  <a:pt x="25189" y="2087"/>
                                </a:lnTo>
                                <a:lnTo>
                                  <a:pt x="40123" y="0"/>
                                </a:lnTo>
                                <a:lnTo>
                                  <a:pt x="54714" y="4342"/>
                                </a:lnTo>
                                <a:lnTo>
                                  <a:pt x="66304" y="14038"/>
                                </a:lnTo>
                                <a:lnTo>
                                  <a:pt x="73742" y="27672"/>
                                </a:lnTo>
                                <a:lnTo>
                                  <a:pt x="75874" y="43828"/>
                                </a:lnTo>
                                <a:lnTo>
                                  <a:pt x="72046" y="59521"/>
                                </a:lnTo>
                                <a:lnTo>
                                  <a:pt x="63222" y="71909"/>
                                </a:lnTo>
                                <a:lnTo>
                                  <a:pt x="50695" y="79762"/>
                                </a:lnTo>
                                <a:lnTo>
                                  <a:pt x="35762" y="81850"/>
                                </a:lnTo>
                                <a:close/>
                              </a:path>
                            </a:pathLst>
                          </a:custGeom>
                          <a:solidFill>
                            <a:srgbClr val="242F33"/>
                          </a:solidFill>
                        </wps:spPr>
                        <wps:bodyPr wrap="square" lIns="0" tIns="0" rIns="0" bIns="0" rtlCol="0">
                          <a:prstTxWarp prst="textNoShape">
                            <a:avLst/>
                          </a:prstTxWarp>
                          <a:noAutofit/>
                        </wps:bodyPr>
                      </wps:wsp>
                      <wps:wsp>
                        <wps:cNvPr id="452" name="Graphic 452"/>
                        <wps:cNvSpPr/>
                        <wps:spPr>
                          <a:xfrm>
                            <a:off x="6812189" y="3019461"/>
                            <a:ext cx="31750" cy="67945"/>
                          </a:xfrm>
                          <a:custGeom>
                            <a:avLst/>
                            <a:gdLst/>
                            <a:ahLst/>
                            <a:cxnLst/>
                            <a:rect l="l" t="t" r="r" b="b"/>
                            <a:pathLst>
                              <a:path w="31750" h="67945">
                                <a:moveTo>
                                  <a:pt x="0" y="67466"/>
                                </a:moveTo>
                                <a:lnTo>
                                  <a:pt x="18720" y="32097"/>
                                </a:lnTo>
                                <a:lnTo>
                                  <a:pt x="15893" y="21316"/>
                                </a:lnTo>
                                <a:lnTo>
                                  <a:pt x="11732" y="13171"/>
                                </a:lnTo>
                                <a:lnTo>
                                  <a:pt x="8634" y="9000"/>
                                </a:lnTo>
                                <a:lnTo>
                                  <a:pt x="20641" y="0"/>
                                </a:lnTo>
                                <a:lnTo>
                                  <a:pt x="21706" y="890"/>
                                </a:lnTo>
                                <a:lnTo>
                                  <a:pt x="29143" y="14524"/>
                                </a:lnTo>
                                <a:lnTo>
                                  <a:pt x="31275" y="30680"/>
                                </a:lnTo>
                                <a:lnTo>
                                  <a:pt x="27448" y="46373"/>
                                </a:lnTo>
                                <a:lnTo>
                                  <a:pt x="18623" y="58760"/>
                                </a:lnTo>
                                <a:lnTo>
                                  <a:pt x="6097" y="66613"/>
                                </a:lnTo>
                                <a:lnTo>
                                  <a:pt x="0" y="67466"/>
                                </a:lnTo>
                                <a:close/>
                              </a:path>
                            </a:pathLst>
                          </a:custGeom>
                          <a:solidFill>
                            <a:srgbClr val="9A2F59"/>
                          </a:solidFill>
                        </wps:spPr>
                        <wps:bodyPr wrap="square" lIns="0" tIns="0" rIns="0" bIns="0" rtlCol="0">
                          <a:prstTxWarp prst="textNoShape">
                            <a:avLst/>
                          </a:prstTxWarp>
                          <a:noAutofit/>
                        </wps:bodyPr>
                      </wps:wsp>
                      <pic:pic>
                        <pic:nvPicPr>
                          <pic:cNvPr id="453" name="Image 453"/>
                          <pic:cNvPicPr/>
                        </pic:nvPicPr>
                        <pic:blipFill>
                          <a:blip r:embed="rId610" cstate="print"/>
                          <a:stretch>
                            <a:fillRect/>
                          </a:stretch>
                        </pic:blipFill>
                        <pic:spPr>
                          <a:xfrm>
                            <a:off x="7062223" y="3061602"/>
                            <a:ext cx="103158" cy="113200"/>
                          </a:xfrm>
                          <a:prstGeom prst="rect">
                            <a:avLst/>
                          </a:prstGeom>
                        </pic:spPr>
                      </pic:pic>
                      <wps:wsp>
                        <wps:cNvPr id="454" name="Graphic 454"/>
                        <wps:cNvSpPr/>
                        <wps:spPr>
                          <a:xfrm>
                            <a:off x="6661465" y="3022866"/>
                            <a:ext cx="93345" cy="97790"/>
                          </a:xfrm>
                          <a:custGeom>
                            <a:avLst/>
                            <a:gdLst/>
                            <a:ahLst/>
                            <a:cxnLst/>
                            <a:rect l="l" t="t" r="r" b="b"/>
                            <a:pathLst>
                              <a:path w="93345" h="97790">
                                <a:moveTo>
                                  <a:pt x="44075" y="97385"/>
                                </a:moveTo>
                                <a:lnTo>
                                  <a:pt x="26119" y="92168"/>
                                </a:lnTo>
                                <a:lnTo>
                                  <a:pt x="11841" y="80593"/>
                                </a:lnTo>
                                <a:lnTo>
                                  <a:pt x="2660" y="64350"/>
                                </a:lnTo>
                                <a:lnTo>
                                  <a:pt x="0" y="45128"/>
                                </a:lnTo>
                                <a:lnTo>
                                  <a:pt x="4679" y="26461"/>
                                </a:lnTo>
                                <a:lnTo>
                                  <a:pt x="15511" y="11747"/>
                                </a:lnTo>
                                <a:lnTo>
                                  <a:pt x="30904" y="2441"/>
                                </a:lnTo>
                                <a:lnTo>
                                  <a:pt x="49269" y="0"/>
                                </a:lnTo>
                                <a:lnTo>
                                  <a:pt x="67218" y="5221"/>
                                </a:lnTo>
                                <a:lnTo>
                                  <a:pt x="81493" y="16797"/>
                                </a:lnTo>
                                <a:lnTo>
                                  <a:pt x="90672" y="33041"/>
                                </a:lnTo>
                                <a:lnTo>
                                  <a:pt x="93332" y="52268"/>
                                </a:lnTo>
                                <a:lnTo>
                                  <a:pt x="88653" y="70929"/>
                                </a:lnTo>
                                <a:lnTo>
                                  <a:pt x="77823" y="85639"/>
                                </a:lnTo>
                                <a:lnTo>
                                  <a:pt x="62433" y="94943"/>
                                </a:lnTo>
                                <a:lnTo>
                                  <a:pt x="44075" y="97385"/>
                                </a:lnTo>
                                <a:close/>
                              </a:path>
                            </a:pathLst>
                          </a:custGeom>
                          <a:solidFill>
                            <a:srgbClr val="242F33"/>
                          </a:solidFill>
                        </wps:spPr>
                        <wps:bodyPr wrap="square" lIns="0" tIns="0" rIns="0" bIns="0" rtlCol="0">
                          <a:prstTxWarp prst="textNoShape">
                            <a:avLst/>
                          </a:prstTxWarp>
                          <a:noAutofit/>
                        </wps:bodyPr>
                      </wps:wsp>
                      <wps:wsp>
                        <wps:cNvPr id="455" name="Graphic 455"/>
                        <wps:cNvSpPr/>
                        <wps:spPr>
                          <a:xfrm>
                            <a:off x="6713082" y="3025215"/>
                            <a:ext cx="41275" cy="94615"/>
                          </a:xfrm>
                          <a:custGeom>
                            <a:avLst/>
                            <a:gdLst/>
                            <a:ahLst/>
                            <a:cxnLst/>
                            <a:rect l="l" t="t" r="r" b="b"/>
                            <a:pathLst>
                              <a:path w="41275" h="94615">
                                <a:moveTo>
                                  <a:pt x="0" y="94032"/>
                                </a:moveTo>
                                <a:lnTo>
                                  <a:pt x="9933" y="88565"/>
                                </a:lnTo>
                                <a:lnTo>
                                  <a:pt x="20886" y="76860"/>
                                </a:lnTo>
                                <a:lnTo>
                                  <a:pt x="27798" y="56849"/>
                                </a:lnTo>
                                <a:lnTo>
                                  <a:pt x="27115" y="40593"/>
                                </a:lnTo>
                                <a:lnTo>
                                  <a:pt x="21692" y="24344"/>
                                </a:lnTo>
                                <a:lnTo>
                                  <a:pt x="12431" y="10811"/>
                                </a:lnTo>
                                <a:lnTo>
                                  <a:pt x="232" y="2707"/>
                                </a:lnTo>
                                <a:lnTo>
                                  <a:pt x="5728" y="0"/>
                                </a:lnTo>
                                <a:lnTo>
                                  <a:pt x="15601" y="2872"/>
                                </a:lnTo>
                                <a:lnTo>
                                  <a:pt x="29876" y="14447"/>
                                </a:lnTo>
                                <a:lnTo>
                                  <a:pt x="37940" y="28718"/>
                                </a:lnTo>
                                <a:lnTo>
                                  <a:pt x="40982" y="52847"/>
                                </a:lnTo>
                                <a:lnTo>
                                  <a:pt x="39061" y="60504"/>
                                </a:lnTo>
                                <a:lnTo>
                                  <a:pt x="32740" y="74415"/>
                                </a:lnTo>
                                <a:lnTo>
                                  <a:pt x="26206" y="83290"/>
                                </a:lnTo>
                                <a:lnTo>
                                  <a:pt x="17820" y="88360"/>
                                </a:lnTo>
                                <a:lnTo>
                                  <a:pt x="548" y="93959"/>
                                </a:lnTo>
                                <a:lnTo>
                                  <a:pt x="0" y="94032"/>
                                </a:lnTo>
                                <a:close/>
                              </a:path>
                            </a:pathLst>
                          </a:custGeom>
                          <a:solidFill>
                            <a:srgbClr val="9A2F59"/>
                          </a:solidFill>
                        </wps:spPr>
                        <wps:bodyPr wrap="square" lIns="0" tIns="0" rIns="0" bIns="0" rtlCol="0">
                          <a:prstTxWarp prst="textNoShape">
                            <a:avLst/>
                          </a:prstTxWarp>
                          <a:noAutofit/>
                        </wps:bodyPr>
                      </wps:wsp>
                      <wps:wsp>
                        <wps:cNvPr id="456" name="Graphic 456"/>
                        <wps:cNvSpPr/>
                        <wps:spPr>
                          <a:xfrm>
                            <a:off x="6622351" y="2127282"/>
                            <a:ext cx="654685" cy="975360"/>
                          </a:xfrm>
                          <a:custGeom>
                            <a:avLst/>
                            <a:gdLst/>
                            <a:ahLst/>
                            <a:cxnLst/>
                            <a:rect l="l" t="t" r="r" b="b"/>
                            <a:pathLst>
                              <a:path w="654685" h="975360">
                                <a:moveTo>
                                  <a:pt x="489778" y="975165"/>
                                </a:moveTo>
                                <a:lnTo>
                                  <a:pt x="451001" y="972207"/>
                                </a:lnTo>
                                <a:lnTo>
                                  <a:pt x="399097" y="965960"/>
                                </a:lnTo>
                                <a:lnTo>
                                  <a:pt x="338448" y="957077"/>
                                </a:lnTo>
                                <a:lnTo>
                                  <a:pt x="273440" y="946212"/>
                                </a:lnTo>
                                <a:lnTo>
                                  <a:pt x="208454" y="934019"/>
                                </a:lnTo>
                                <a:lnTo>
                                  <a:pt x="147876" y="921153"/>
                                </a:lnTo>
                                <a:lnTo>
                                  <a:pt x="96087" y="908266"/>
                                </a:lnTo>
                                <a:lnTo>
                                  <a:pt x="57473" y="896013"/>
                                </a:lnTo>
                                <a:lnTo>
                                  <a:pt x="26759" y="868309"/>
                                </a:lnTo>
                                <a:lnTo>
                                  <a:pt x="12465" y="798937"/>
                                </a:lnTo>
                                <a:lnTo>
                                  <a:pt x="7570" y="749882"/>
                                </a:lnTo>
                                <a:lnTo>
                                  <a:pt x="4005" y="693633"/>
                                </a:lnTo>
                                <a:lnTo>
                                  <a:pt x="1642" y="631978"/>
                                </a:lnTo>
                                <a:lnTo>
                                  <a:pt x="349" y="566707"/>
                                </a:lnTo>
                                <a:lnTo>
                                  <a:pt x="0" y="499608"/>
                                </a:lnTo>
                                <a:lnTo>
                                  <a:pt x="463" y="432471"/>
                                </a:lnTo>
                                <a:lnTo>
                                  <a:pt x="1612" y="367084"/>
                                </a:lnTo>
                                <a:lnTo>
                                  <a:pt x="3316" y="305237"/>
                                </a:lnTo>
                                <a:lnTo>
                                  <a:pt x="5446" y="248718"/>
                                </a:lnTo>
                                <a:lnTo>
                                  <a:pt x="7874" y="199316"/>
                                </a:lnTo>
                                <a:lnTo>
                                  <a:pt x="10470" y="158820"/>
                                </a:lnTo>
                                <a:lnTo>
                                  <a:pt x="15651" y="111702"/>
                                </a:lnTo>
                                <a:lnTo>
                                  <a:pt x="66244" y="44471"/>
                                </a:lnTo>
                                <a:lnTo>
                                  <a:pt x="102752" y="16214"/>
                                </a:lnTo>
                                <a:lnTo>
                                  <a:pt x="163889" y="53"/>
                                </a:lnTo>
                                <a:lnTo>
                                  <a:pt x="206362" y="0"/>
                                </a:lnTo>
                                <a:lnTo>
                                  <a:pt x="256861" y="2454"/>
                                </a:lnTo>
                                <a:lnTo>
                                  <a:pt x="312844" y="7337"/>
                                </a:lnTo>
                                <a:lnTo>
                                  <a:pt x="371766" y="14568"/>
                                </a:lnTo>
                                <a:lnTo>
                                  <a:pt x="431083" y="24070"/>
                                </a:lnTo>
                                <a:lnTo>
                                  <a:pt x="488250" y="35761"/>
                                </a:lnTo>
                                <a:lnTo>
                                  <a:pt x="540723" y="49564"/>
                                </a:lnTo>
                                <a:lnTo>
                                  <a:pt x="585958" y="65398"/>
                                </a:lnTo>
                                <a:lnTo>
                                  <a:pt x="621410" y="83185"/>
                                </a:lnTo>
                                <a:lnTo>
                                  <a:pt x="652790" y="124298"/>
                                </a:lnTo>
                                <a:lnTo>
                                  <a:pt x="652833" y="156510"/>
                                </a:lnTo>
                                <a:lnTo>
                                  <a:pt x="653799" y="369956"/>
                                </a:lnTo>
                                <a:lnTo>
                                  <a:pt x="654027" y="433887"/>
                                </a:lnTo>
                                <a:lnTo>
                                  <a:pt x="654163" y="497816"/>
                                </a:lnTo>
                                <a:lnTo>
                                  <a:pt x="654166" y="559625"/>
                                </a:lnTo>
                                <a:lnTo>
                                  <a:pt x="653993" y="617199"/>
                                </a:lnTo>
                                <a:lnTo>
                                  <a:pt x="653602" y="668422"/>
                                </a:lnTo>
                                <a:lnTo>
                                  <a:pt x="652949" y="711179"/>
                                </a:lnTo>
                                <a:lnTo>
                                  <a:pt x="650352" y="778220"/>
                                </a:lnTo>
                                <a:lnTo>
                                  <a:pt x="646167" y="847834"/>
                                </a:lnTo>
                                <a:lnTo>
                                  <a:pt x="624602" y="915675"/>
                                </a:lnTo>
                                <a:lnTo>
                                  <a:pt x="584641" y="943408"/>
                                </a:lnTo>
                                <a:lnTo>
                                  <a:pt x="541020" y="963632"/>
                                </a:lnTo>
                                <a:lnTo>
                                  <a:pt x="511043" y="974180"/>
                                </a:lnTo>
                                <a:lnTo>
                                  <a:pt x="489778" y="975165"/>
                                </a:lnTo>
                                <a:close/>
                              </a:path>
                            </a:pathLst>
                          </a:custGeom>
                          <a:solidFill>
                            <a:srgbClr val="62ABAB"/>
                          </a:solidFill>
                        </wps:spPr>
                        <wps:bodyPr wrap="square" lIns="0" tIns="0" rIns="0" bIns="0" rtlCol="0">
                          <a:prstTxWarp prst="textNoShape">
                            <a:avLst/>
                          </a:prstTxWarp>
                          <a:noAutofit/>
                        </wps:bodyPr>
                      </wps:wsp>
                      <wps:wsp>
                        <wps:cNvPr id="457" name="Graphic 457"/>
                        <wps:cNvSpPr/>
                        <wps:spPr>
                          <a:xfrm>
                            <a:off x="6694560" y="2167137"/>
                            <a:ext cx="532765" cy="720090"/>
                          </a:xfrm>
                          <a:custGeom>
                            <a:avLst/>
                            <a:gdLst/>
                            <a:ahLst/>
                            <a:cxnLst/>
                            <a:rect l="l" t="t" r="r" b="b"/>
                            <a:pathLst>
                              <a:path w="532765" h="720090">
                                <a:moveTo>
                                  <a:pt x="0" y="0"/>
                                </a:moveTo>
                                <a:lnTo>
                                  <a:pt x="10759" y="1238"/>
                                </a:lnTo>
                                <a:lnTo>
                                  <a:pt x="39022" y="4525"/>
                                </a:lnTo>
                                <a:lnTo>
                                  <a:pt x="58866" y="6829"/>
                                </a:lnTo>
                                <a:lnTo>
                                  <a:pt x="86606" y="9796"/>
                                </a:lnTo>
                                <a:lnTo>
                                  <a:pt x="114363" y="12482"/>
                                </a:lnTo>
                                <a:lnTo>
                                  <a:pt x="142122" y="15131"/>
                                </a:lnTo>
                                <a:lnTo>
                                  <a:pt x="169869" y="17986"/>
                                </a:lnTo>
                                <a:lnTo>
                                  <a:pt x="203043" y="20798"/>
                                </a:lnTo>
                                <a:lnTo>
                                  <a:pt x="247807" y="24205"/>
                                </a:lnTo>
                                <a:lnTo>
                                  <a:pt x="299844" y="29205"/>
                                </a:lnTo>
                                <a:lnTo>
                                  <a:pt x="354842" y="36799"/>
                                </a:lnTo>
                                <a:lnTo>
                                  <a:pt x="408486" y="47987"/>
                                </a:lnTo>
                                <a:lnTo>
                                  <a:pt x="456463" y="63768"/>
                                </a:lnTo>
                                <a:lnTo>
                                  <a:pt x="494457" y="85143"/>
                                </a:lnTo>
                                <a:lnTo>
                                  <a:pt x="524407" y="137896"/>
                                </a:lnTo>
                                <a:lnTo>
                                  <a:pt x="528724" y="179318"/>
                                </a:lnTo>
                                <a:lnTo>
                                  <a:pt x="531369" y="233790"/>
                                </a:lnTo>
                                <a:lnTo>
                                  <a:pt x="532605" y="297726"/>
                                </a:lnTo>
                                <a:lnTo>
                                  <a:pt x="532694" y="367539"/>
                                </a:lnTo>
                                <a:lnTo>
                                  <a:pt x="531896" y="439643"/>
                                </a:lnTo>
                                <a:lnTo>
                                  <a:pt x="530475" y="510451"/>
                                </a:lnTo>
                                <a:lnTo>
                                  <a:pt x="528693" y="576378"/>
                                </a:lnTo>
                                <a:lnTo>
                                  <a:pt x="526811" y="633836"/>
                                </a:lnTo>
                                <a:lnTo>
                                  <a:pt x="525091" y="679240"/>
                                </a:lnTo>
                                <a:lnTo>
                                  <a:pt x="523795" y="709002"/>
                                </a:lnTo>
                                <a:lnTo>
                                  <a:pt x="523186" y="719536"/>
                                </a:lnTo>
                              </a:path>
                            </a:pathLst>
                          </a:custGeom>
                          <a:ln w="21950">
                            <a:solidFill>
                              <a:srgbClr val="242F33"/>
                            </a:solidFill>
                            <a:prstDash val="solid"/>
                          </a:ln>
                        </wps:spPr>
                        <wps:bodyPr wrap="square" lIns="0" tIns="0" rIns="0" bIns="0" rtlCol="0">
                          <a:prstTxWarp prst="textNoShape">
                            <a:avLst/>
                          </a:prstTxWarp>
                          <a:noAutofit/>
                        </wps:bodyPr>
                      </wps:wsp>
                      <wps:wsp>
                        <wps:cNvPr id="458" name="Graphic 458"/>
                        <wps:cNvSpPr/>
                        <wps:spPr>
                          <a:xfrm>
                            <a:off x="7132270" y="2261554"/>
                            <a:ext cx="134620" cy="798195"/>
                          </a:xfrm>
                          <a:custGeom>
                            <a:avLst/>
                            <a:gdLst/>
                            <a:ahLst/>
                            <a:cxnLst/>
                            <a:rect l="l" t="t" r="r" b="b"/>
                            <a:pathLst>
                              <a:path w="134620" h="798195">
                                <a:moveTo>
                                  <a:pt x="7680" y="140839"/>
                                </a:moveTo>
                                <a:lnTo>
                                  <a:pt x="8782" y="137701"/>
                                </a:lnTo>
                                <a:lnTo>
                                  <a:pt x="7117" y="147593"/>
                                </a:lnTo>
                                <a:lnTo>
                                  <a:pt x="6906" y="150988"/>
                                </a:lnTo>
                                <a:lnTo>
                                  <a:pt x="4904" y="192086"/>
                                </a:lnTo>
                                <a:lnTo>
                                  <a:pt x="3246" y="250577"/>
                                </a:lnTo>
                                <a:lnTo>
                                  <a:pt x="1474" y="322418"/>
                                </a:lnTo>
                                <a:lnTo>
                                  <a:pt x="855" y="358343"/>
                                </a:lnTo>
                                <a:lnTo>
                                  <a:pt x="859" y="406936"/>
                                </a:lnTo>
                                <a:lnTo>
                                  <a:pt x="1870" y="455790"/>
                                </a:lnTo>
                                <a:lnTo>
                                  <a:pt x="3448" y="504821"/>
                                </a:lnTo>
                                <a:lnTo>
                                  <a:pt x="5148" y="553942"/>
                                </a:lnTo>
                                <a:lnTo>
                                  <a:pt x="6529" y="603067"/>
                                </a:lnTo>
                                <a:lnTo>
                                  <a:pt x="7147" y="652110"/>
                                </a:lnTo>
                                <a:lnTo>
                                  <a:pt x="6560" y="700986"/>
                                </a:lnTo>
                                <a:lnTo>
                                  <a:pt x="4325" y="749609"/>
                                </a:lnTo>
                                <a:lnTo>
                                  <a:pt x="0" y="797893"/>
                                </a:lnTo>
                              </a:path>
                              <a:path w="134620" h="798195">
                                <a:moveTo>
                                  <a:pt x="134218" y="0"/>
                                </a:moveTo>
                                <a:lnTo>
                                  <a:pt x="103596" y="13173"/>
                                </a:lnTo>
                                <a:lnTo>
                                  <a:pt x="68979" y="35468"/>
                                </a:lnTo>
                                <a:lnTo>
                                  <a:pt x="35514" y="66330"/>
                                </a:lnTo>
                                <a:lnTo>
                                  <a:pt x="8348" y="105205"/>
                                </a:lnTo>
                              </a:path>
                            </a:pathLst>
                          </a:custGeom>
                          <a:ln w="10059">
                            <a:solidFill>
                              <a:srgbClr val="242F33"/>
                            </a:solidFill>
                            <a:prstDash val="solid"/>
                          </a:ln>
                        </wps:spPr>
                        <wps:bodyPr wrap="square" lIns="0" tIns="0" rIns="0" bIns="0" rtlCol="0">
                          <a:prstTxWarp prst="textNoShape">
                            <a:avLst/>
                          </a:prstTxWarp>
                          <a:noAutofit/>
                        </wps:bodyPr>
                      </wps:wsp>
                      <wps:wsp>
                        <wps:cNvPr id="459" name="Graphic 459"/>
                        <wps:cNvSpPr/>
                        <wps:spPr>
                          <a:xfrm>
                            <a:off x="6767727" y="2256066"/>
                            <a:ext cx="286385" cy="102235"/>
                          </a:xfrm>
                          <a:custGeom>
                            <a:avLst/>
                            <a:gdLst/>
                            <a:ahLst/>
                            <a:cxnLst/>
                            <a:rect l="l" t="t" r="r" b="b"/>
                            <a:pathLst>
                              <a:path w="286385" h="102235">
                                <a:moveTo>
                                  <a:pt x="259425" y="101913"/>
                                </a:moveTo>
                                <a:lnTo>
                                  <a:pt x="220332" y="96333"/>
                                </a:lnTo>
                                <a:lnTo>
                                  <a:pt x="133718" y="83150"/>
                                </a:lnTo>
                                <a:lnTo>
                                  <a:pt x="45584" y="67704"/>
                                </a:lnTo>
                                <a:lnTo>
                                  <a:pt x="1926" y="55334"/>
                                </a:lnTo>
                                <a:lnTo>
                                  <a:pt x="0" y="41892"/>
                                </a:lnTo>
                                <a:lnTo>
                                  <a:pt x="4626" y="24373"/>
                                </a:lnTo>
                                <a:lnTo>
                                  <a:pt x="12370" y="8651"/>
                                </a:lnTo>
                                <a:lnTo>
                                  <a:pt x="19796" y="595"/>
                                </a:lnTo>
                                <a:lnTo>
                                  <a:pt x="55049" y="0"/>
                                </a:lnTo>
                                <a:lnTo>
                                  <a:pt x="119769" y="6253"/>
                                </a:lnTo>
                                <a:lnTo>
                                  <a:pt x="193171" y="16347"/>
                                </a:lnTo>
                                <a:lnTo>
                                  <a:pt x="254472" y="27275"/>
                                </a:lnTo>
                                <a:lnTo>
                                  <a:pt x="282887" y="36030"/>
                                </a:lnTo>
                                <a:lnTo>
                                  <a:pt x="285925" y="50249"/>
                                </a:lnTo>
                                <a:lnTo>
                                  <a:pt x="282729" y="71088"/>
                                </a:lnTo>
                                <a:lnTo>
                                  <a:pt x="273746" y="90868"/>
                                </a:lnTo>
                                <a:lnTo>
                                  <a:pt x="259425" y="101913"/>
                                </a:lnTo>
                                <a:close/>
                              </a:path>
                            </a:pathLst>
                          </a:custGeom>
                          <a:solidFill>
                            <a:srgbClr val="294448"/>
                          </a:solidFill>
                        </wps:spPr>
                        <wps:bodyPr wrap="square" lIns="0" tIns="0" rIns="0" bIns="0" rtlCol="0">
                          <a:prstTxWarp prst="textNoShape">
                            <a:avLst/>
                          </a:prstTxWarp>
                          <a:noAutofit/>
                        </wps:bodyPr>
                      </wps:wsp>
                      <wps:wsp>
                        <wps:cNvPr id="460" name="Graphic 460"/>
                        <wps:cNvSpPr/>
                        <wps:spPr>
                          <a:xfrm>
                            <a:off x="6820559" y="2066526"/>
                            <a:ext cx="169545" cy="248285"/>
                          </a:xfrm>
                          <a:custGeom>
                            <a:avLst/>
                            <a:gdLst/>
                            <a:ahLst/>
                            <a:cxnLst/>
                            <a:rect l="l" t="t" r="r" b="b"/>
                            <a:pathLst>
                              <a:path w="169545" h="248285">
                                <a:moveTo>
                                  <a:pt x="169330" y="32262"/>
                                </a:moveTo>
                                <a:lnTo>
                                  <a:pt x="166398" y="247741"/>
                                </a:lnTo>
                              </a:path>
                              <a:path w="169545" h="248285">
                                <a:moveTo>
                                  <a:pt x="1389" y="0"/>
                                </a:moveTo>
                                <a:lnTo>
                                  <a:pt x="104" y="54259"/>
                                </a:lnTo>
                                <a:lnTo>
                                  <a:pt x="0" y="110674"/>
                                </a:lnTo>
                                <a:lnTo>
                                  <a:pt x="370" y="167261"/>
                                </a:lnTo>
                                <a:lnTo>
                                  <a:pt x="510" y="222034"/>
                                </a:lnTo>
                              </a:path>
                            </a:pathLst>
                          </a:custGeom>
                          <a:ln w="33831">
                            <a:solidFill>
                              <a:srgbClr val="171B1B"/>
                            </a:solidFill>
                            <a:prstDash val="solid"/>
                          </a:ln>
                        </wps:spPr>
                        <wps:bodyPr wrap="square" lIns="0" tIns="0" rIns="0" bIns="0" rtlCol="0">
                          <a:prstTxWarp prst="textNoShape">
                            <a:avLst/>
                          </a:prstTxWarp>
                          <a:noAutofit/>
                        </wps:bodyPr>
                      </wps:wsp>
                      <wps:wsp>
                        <wps:cNvPr id="461" name="Graphic 461"/>
                        <wps:cNvSpPr/>
                        <wps:spPr>
                          <a:xfrm>
                            <a:off x="6813624" y="2042333"/>
                            <a:ext cx="180340" cy="76835"/>
                          </a:xfrm>
                          <a:custGeom>
                            <a:avLst/>
                            <a:gdLst/>
                            <a:ahLst/>
                            <a:cxnLst/>
                            <a:rect l="l" t="t" r="r" b="b"/>
                            <a:pathLst>
                              <a:path w="180340" h="76835">
                                <a:moveTo>
                                  <a:pt x="1453" y="47945"/>
                                </a:moveTo>
                                <a:lnTo>
                                  <a:pt x="608" y="41915"/>
                                </a:lnTo>
                                <a:lnTo>
                                  <a:pt x="0" y="28088"/>
                                </a:lnTo>
                                <a:lnTo>
                                  <a:pt x="2522" y="12861"/>
                                </a:lnTo>
                                <a:lnTo>
                                  <a:pt x="11068" y="2630"/>
                                </a:lnTo>
                                <a:lnTo>
                                  <a:pt x="42438" y="0"/>
                                </a:lnTo>
                                <a:lnTo>
                                  <a:pt x="93363" y="3547"/>
                                </a:lnTo>
                                <a:lnTo>
                                  <a:pt x="142751" y="10859"/>
                                </a:lnTo>
                                <a:lnTo>
                                  <a:pt x="169511" y="19522"/>
                                </a:lnTo>
                                <a:lnTo>
                                  <a:pt x="177152" y="34720"/>
                                </a:lnTo>
                                <a:lnTo>
                                  <a:pt x="179729" y="53728"/>
                                </a:lnTo>
                                <a:lnTo>
                                  <a:pt x="179568" y="69962"/>
                                </a:lnTo>
                                <a:lnTo>
                                  <a:pt x="178997" y="76836"/>
                                </a:lnTo>
                              </a:path>
                            </a:pathLst>
                          </a:custGeom>
                          <a:ln w="59402">
                            <a:solidFill>
                              <a:srgbClr val="171B1B"/>
                            </a:solidFill>
                            <a:prstDash val="solid"/>
                          </a:ln>
                        </wps:spPr>
                        <wps:bodyPr wrap="square" lIns="0" tIns="0" rIns="0" bIns="0" rtlCol="0">
                          <a:prstTxWarp prst="textNoShape">
                            <a:avLst/>
                          </a:prstTxWarp>
                          <a:noAutofit/>
                        </wps:bodyPr>
                      </wps:wsp>
                      <pic:pic>
                        <pic:nvPicPr>
                          <pic:cNvPr id="462" name="Image 462"/>
                          <pic:cNvPicPr/>
                        </pic:nvPicPr>
                        <pic:blipFill>
                          <a:blip r:embed="rId611" cstate="print"/>
                          <a:stretch>
                            <a:fillRect/>
                          </a:stretch>
                        </pic:blipFill>
                        <pic:spPr>
                          <a:xfrm>
                            <a:off x="6743085" y="2557878"/>
                            <a:ext cx="68651" cy="93615"/>
                          </a:xfrm>
                          <a:prstGeom prst="rect">
                            <a:avLst/>
                          </a:prstGeom>
                        </pic:spPr>
                      </pic:pic>
                      <pic:pic>
                        <pic:nvPicPr>
                          <pic:cNvPr id="463" name="Image 463"/>
                          <pic:cNvPicPr/>
                        </pic:nvPicPr>
                        <pic:blipFill>
                          <a:blip r:embed="rId612" cstate="print"/>
                          <a:stretch>
                            <a:fillRect/>
                          </a:stretch>
                        </pic:blipFill>
                        <pic:spPr>
                          <a:xfrm>
                            <a:off x="6855084" y="2676264"/>
                            <a:ext cx="145428" cy="180043"/>
                          </a:xfrm>
                          <a:prstGeom prst="rect">
                            <a:avLst/>
                          </a:prstGeom>
                        </pic:spPr>
                      </pic:pic>
                      <wps:wsp>
                        <wps:cNvPr id="464" name="Graphic 464"/>
                        <wps:cNvSpPr/>
                        <wps:spPr>
                          <a:xfrm>
                            <a:off x="6647325" y="2196479"/>
                            <a:ext cx="610235" cy="650875"/>
                          </a:xfrm>
                          <a:custGeom>
                            <a:avLst/>
                            <a:gdLst/>
                            <a:ahLst/>
                            <a:cxnLst/>
                            <a:rect l="l" t="t" r="r" b="b"/>
                            <a:pathLst>
                              <a:path w="610235" h="650875">
                                <a:moveTo>
                                  <a:pt x="439614" y="426076"/>
                                </a:moveTo>
                                <a:lnTo>
                                  <a:pt x="439743" y="427820"/>
                                </a:lnTo>
                                <a:lnTo>
                                  <a:pt x="439755" y="428008"/>
                                </a:lnTo>
                                <a:lnTo>
                                  <a:pt x="440114" y="434932"/>
                                </a:lnTo>
                                <a:lnTo>
                                  <a:pt x="440252" y="441863"/>
                                </a:lnTo>
                                <a:lnTo>
                                  <a:pt x="440265" y="448797"/>
                                </a:lnTo>
                                <a:lnTo>
                                  <a:pt x="440248" y="455728"/>
                                </a:lnTo>
                              </a:path>
                              <a:path w="610235" h="650875">
                                <a:moveTo>
                                  <a:pt x="439825" y="480405"/>
                                </a:moveTo>
                                <a:lnTo>
                                  <a:pt x="439274" y="480674"/>
                                </a:lnTo>
                                <a:lnTo>
                                  <a:pt x="439544" y="482676"/>
                                </a:lnTo>
                                <a:lnTo>
                                  <a:pt x="439532" y="483121"/>
                                </a:lnTo>
                                <a:lnTo>
                                  <a:pt x="439443" y="492821"/>
                                </a:lnTo>
                                <a:lnTo>
                                  <a:pt x="439551" y="502530"/>
                                </a:lnTo>
                                <a:lnTo>
                                  <a:pt x="439705" y="512239"/>
                                </a:lnTo>
                                <a:lnTo>
                                  <a:pt x="439755" y="521939"/>
                                </a:lnTo>
                                <a:lnTo>
                                  <a:pt x="439373" y="554157"/>
                                </a:lnTo>
                                <a:lnTo>
                                  <a:pt x="438738" y="586371"/>
                                </a:lnTo>
                                <a:lnTo>
                                  <a:pt x="438142" y="618585"/>
                                </a:lnTo>
                                <a:lnTo>
                                  <a:pt x="437879" y="650803"/>
                                </a:lnTo>
                              </a:path>
                              <a:path w="610235" h="650875">
                                <a:moveTo>
                                  <a:pt x="541261" y="6953"/>
                                </a:moveTo>
                                <a:lnTo>
                                  <a:pt x="529254" y="1474"/>
                                </a:lnTo>
                                <a:lnTo>
                                  <a:pt x="526018" y="0"/>
                                </a:lnTo>
                              </a:path>
                              <a:path w="610235" h="650875">
                                <a:moveTo>
                                  <a:pt x="609619" y="47797"/>
                                </a:moveTo>
                                <a:lnTo>
                                  <a:pt x="602918" y="39713"/>
                                </a:lnTo>
                                <a:lnTo>
                                  <a:pt x="589103" y="29251"/>
                                </a:lnTo>
                                <a:lnTo>
                                  <a:pt x="572961" y="19548"/>
                                </a:lnTo>
                                <a:lnTo>
                                  <a:pt x="559282" y="13743"/>
                                </a:lnTo>
                              </a:path>
                              <a:path w="610235" h="650875">
                                <a:moveTo>
                                  <a:pt x="466864" y="139797"/>
                                </a:moveTo>
                                <a:lnTo>
                                  <a:pt x="465000" y="140429"/>
                                </a:lnTo>
                                <a:lnTo>
                                  <a:pt x="468916" y="136425"/>
                                </a:lnTo>
                                <a:lnTo>
                                  <a:pt x="470159" y="134892"/>
                                </a:lnTo>
                                <a:lnTo>
                                  <a:pt x="497823" y="105999"/>
                                </a:lnTo>
                                <a:lnTo>
                                  <a:pt x="506568" y="99069"/>
                                </a:lnTo>
                                <a:lnTo>
                                  <a:pt x="515899" y="92843"/>
                                </a:lnTo>
                              </a:path>
                              <a:path w="610235" h="650875">
                                <a:moveTo>
                                  <a:pt x="1102" y="97373"/>
                                </a:moveTo>
                                <a:lnTo>
                                  <a:pt x="504" y="97584"/>
                                </a:lnTo>
                                <a:lnTo>
                                  <a:pt x="773" y="100323"/>
                                </a:lnTo>
                                <a:lnTo>
                                  <a:pt x="773" y="100780"/>
                                </a:lnTo>
                                <a:lnTo>
                                  <a:pt x="652" y="110573"/>
                                </a:lnTo>
                                <a:lnTo>
                                  <a:pt x="386" y="120372"/>
                                </a:lnTo>
                                <a:lnTo>
                                  <a:pt x="120" y="130173"/>
                                </a:lnTo>
                                <a:lnTo>
                                  <a:pt x="0" y="139972"/>
                                </a:lnTo>
                              </a:path>
                            </a:pathLst>
                          </a:custGeom>
                          <a:ln w="11886">
                            <a:solidFill>
                              <a:srgbClr val="E3E7C1"/>
                            </a:solidFill>
                            <a:prstDash val="solid"/>
                          </a:ln>
                        </wps:spPr>
                        <wps:bodyPr wrap="square" lIns="0" tIns="0" rIns="0" bIns="0" rtlCol="0">
                          <a:prstTxWarp prst="textNoShape">
                            <a:avLst/>
                          </a:prstTxWarp>
                          <a:noAutofit/>
                        </wps:bodyPr>
                      </wps:wsp>
                      <pic:pic>
                        <pic:nvPicPr>
                          <pic:cNvPr id="465" name="Image 465"/>
                          <pic:cNvPicPr/>
                        </pic:nvPicPr>
                        <pic:blipFill>
                          <a:blip r:embed="rId613" cstate="print"/>
                          <a:stretch>
                            <a:fillRect/>
                          </a:stretch>
                        </pic:blipFill>
                        <pic:spPr>
                          <a:xfrm>
                            <a:off x="6648334" y="2189189"/>
                            <a:ext cx="64099" cy="70828"/>
                          </a:xfrm>
                          <a:prstGeom prst="rect">
                            <a:avLst/>
                          </a:prstGeom>
                        </pic:spPr>
                      </pic:pic>
                      <wps:wsp>
                        <wps:cNvPr id="466" name="Graphic 466"/>
                        <wps:cNvSpPr/>
                        <wps:spPr>
                          <a:xfrm>
                            <a:off x="7047437" y="2391565"/>
                            <a:ext cx="51435" cy="182245"/>
                          </a:xfrm>
                          <a:custGeom>
                            <a:avLst/>
                            <a:gdLst/>
                            <a:ahLst/>
                            <a:cxnLst/>
                            <a:rect l="l" t="t" r="r" b="b"/>
                            <a:pathLst>
                              <a:path w="51435" h="182245">
                                <a:moveTo>
                                  <a:pt x="0" y="0"/>
                                </a:moveTo>
                                <a:lnTo>
                                  <a:pt x="7970" y="1617"/>
                                </a:lnTo>
                                <a:lnTo>
                                  <a:pt x="25694" y="5739"/>
                                </a:lnTo>
                                <a:lnTo>
                                  <a:pt x="43363" y="12323"/>
                                </a:lnTo>
                                <a:lnTo>
                                  <a:pt x="51168" y="21328"/>
                                </a:lnTo>
                                <a:lnTo>
                                  <a:pt x="49359" y="68451"/>
                                </a:lnTo>
                                <a:lnTo>
                                  <a:pt x="47333" y="121125"/>
                                </a:lnTo>
                                <a:lnTo>
                                  <a:pt x="45683" y="163992"/>
                                </a:lnTo>
                                <a:lnTo>
                                  <a:pt x="45001" y="181694"/>
                                </a:lnTo>
                              </a:path>
                            </a:pathLst>
                          </a:custGeom>
                          <a:ln w="11894">
                            <a:solidFill>
                              <a:srgbClr val="E3E7C1"/>
                            </a:solidFill>
                            <a:prstDash val="solid"/>
                          </a:ln>
                        </wps:spPr>
                        <wps:bodyPr wrap="square" lIns="0" tIns="0" rIns="0" bIns="0" rtlCol="0">
                          <a:prstTxWarp prst="textNoShape">
                            <a:avLst/>
                          </a:prstTxWarp>
                          <a:noAutofit/>
                        </wps:bodyPr>
                      </wps:wsp>
                      <wps:wsp>
                        <wps:cNvPr id="467" name="Graphic 467"/>
                        <wps:cNvSpPr/>
                        <wps:spPr>
                          <a:xfrm>
                            <a:off x="6830041" y="2030436"/>
                            <a:ext cx="180340" cy="215265"/>
                          </a:xfrm>
                          <a:custGeom>
                            <a:avLst/>
                            <a:gdLst/>
                            <a:ahLst/>
                            <a:cxnLst/>
                            <a:rect l="l" t="t" r="r" b="b"/>
                            <a:pathLst>
                              <a:path w="180340" h="215265">
                                <a:moveTo>
                                  <a:pt x="1147" y="147020"/>
                                </a:moveTo>
                                <a:lnTo>
                                  <a:pt x="21" y="147605"/>
                                </a:lnTo>
                                <a:lnTo>
                                  <a:pt x="1065" y="155963"/>
                                </a:lnTo>
                                <a:lnTo>
                                  <a:pt x="1229" y="157263"/>
                                </a:lnTo>
                              </a:path>
                              <a:path w="180340" h="215265">
                                <a:moveTo>
                                  <a:pt x="1041" y="91192"/>
                                </a:moveTo>
                                <a:lnTo>
                                  <a:pt x="0" y="97837"/>
                                </a:lnTo>
                                <a:lnTo>
                                  <a:pt x="234" y="108572"/>
                                </a:lnTo>
                                <a:lnTo>
                                  <a:pt x="954" y="119792"/>
                                </a:lnTo>
                                <a:lnTo>
                                  <a:pt x="1370" y="127891"/>
                                </a:lnTo>
                              </a:path>
                              <a:path w="180340" h="215265">
                                <a:moveTo>
                                  <a:pt x="166731" y="192721"/>
                                </a:moveTo>
                                <a:lnTo>
                                  <a:pt x="167071" y="191914"/>
                                </a:lnTo>
                                <a:lnTo>
                                  <a:pt x="166778" y="194489"/>
                                </a:lnTo>
                                <a:lnTo>
                                  <a:pt x="166778" y="195367"/>
                                </a:lnTo>
                                <a:lnTo>
                                  <a:pt x="166778" y="196994"/>
                                </a:lnTo>
                                <a:lnTo>
                                  <a:pt x="166778" y="198621"/>
                                </a:lnTo>
                                <a:lnTo>
                                  <a:pt x="166778" y="200237"/>
                                </a:lnTo>
                                <a:lnTo>
                                  <a:pt x="166778" y="205130"/>
                                </a:lnTo>
                                <a:lnTo>
                                  <a:pt x="166403" y="210012"/>
                                </a:lnTo>
                                <a:lnTo>
                                  <a:pt x="166403" y="214893"/>
                                </a:lnTo>
                              </a:path>
                              <a:path w="180340" h="215265">
                                <a:moveTo>
                                  <a:pt x="168525" y="121348"/>
                                </a:moveTo>
                                <a:lnTo>
                                  <a:pt x="168548" y="120634"/>
                                </a:lnTo>
                                <a:lnTo>
                                  <a:pt x="168607" y="122764"/>
                                </a:lnTo>
                                <a:lnTo>
                                  <a:pt x="168630" y="123478"/>
                                </a:lnTo>
                                <a:lnTo>
                                  <a:pt x="168654" y="124672"/>
                                </a:lnTo>
                                <a:lnTo>
                                  <a:pt x="168642" y="125855"/>
                                </a:lnTo>
                                <a:lnTo>
                                  <a:pt x="168642" y="127049"/>
                                </a:lnTo>
                                <a:lnTo>
                                  <a:pt x="168642" y="131228"/>
                                </a:lnTo>
                                <a:lnTo>
                                  <a:pt x="168560" y="135407"/>
                                </a:lnTo>
                                <a:lnTo>
                                  <a:pt x="168501" y="139574"/>
                                </a:lnTo>
                                <a:lnTo>
                                  <a:pt x="168393" y="148791"/>
                                </a:lnTo>
                                <a:lnTo>
                                  <a:pt x="168337" y="158006"/>
                                </a:lnTo>
                                <a:lnTo>
                                  <a:pt x="168317" y="167221"/>
                                </a:lnTo>
                                <a:lnTo>
                                  <a:pt x="168314" y="176438"/>
                                </a:lnTo>
                              </a:path>
                              <a:path w="180340" h="215265">
                                <a:moveTo>
                                  <a:pt x="136714" y="1896"/>
                                </a:moveTo>
                                <a:lnTo>
                                  <a:pt x="137043" y="1943"/>
                                </a:lnTo>
                                <a:lnTo>
                                  <a:pt x="136058" y="1791"/>
                                </a:lnTo>
                                <a:lnTo>
                                  <a:pt x="135741" y="1732"/>
                                </a:lnTo>
                                <a:lnTo>
                                  <a:pt x="135038" y="1592"/>
                                </a:lnTo>
                                <a:lnTo>
                                  <a:pt x="134346" y="1416"/>
                                </a:lnTo>
                                <a:lnTo>
                                  <a:pt x="133654" y="1252"/>
                                </a:lnTo>
                                <a:lnTo>
                                  <a:pt x="131684" y="819"/>
                                </a:lnTo>
                                <a:lnTo>
                                  <a:pt x="129726" y="374"/>
                                </a:lnTo>
                                <a:lnTo>
                                  <a:pt x="127756" y="0"/>
                                </a:lnTo>
                              </a:path>
                              <a:path w="180340" h="215265">
                                <a:moveTo>
                                  <a:pt x="179898" y="34603"/>
                                </a:moveTo>
                                <a:lnTo>
                                  <a:pt x="152542" y="7707"/>
                                </a:lnTo>
                                <a:lnTo>
                                  <a:pt x="145239" y="5080"/>
                                </a:lnTo>
                              </a:path>
                            </a:pathLst>
                          </a:custGeom>
                          <a:ln w="4570">
                            <a:solidFill>
                              <a:srgbClr val="E3E7C1"/>
                            </a:solidFill>
                            <a:prstDash val="solid"/>
                          </a:ln>
                        </wps:spPr>
                        <wps:bodyPr wrap="square" lIns="0" tIns="0" rIns="0" bIns="0" rtlCol="0">
                          <a:prstTxWarp prst="textNoShape">
                            <a:avLst/>
                          </a:prstTxWarp>
                          <a:noAutofit/>
                        </wps:bodyPr>
                      </wps:wsp>
                      <wps:wsp>
                        <wps:cNvPr id="468" name="Graphic 468"/>
                        <wps:cNvSpPr/>
                        <wps:spPr>
                          <a:xfrm>
                            <a:off x="655211" y="2933569"/>
                            <a:ext cx="3471545" cy="2568575"/>
                          </a:xfrm>
                          <a:custGeom>
                            <a:avLst/>
                            <a:gdLst/>
                            <a:ahLst/>
                            <a:cxnLst/>
                            <a:rect l="l" t="t" r="r" b="b"/>
                            <a:pathLst>
                              <a:path w="3471545" h="2568575">
                                <a:moveTo>
                                  <a:pt x="3113780" y="2568150"/>
                                </a:moveTo>
                                <a:lnTo>
                                  <a:pt x="361948" y="2568150"/>
                                </a:lnTo>
                                <a:lnTo>
                                  <a:pt x="312835" y="2564846"/>
                                </a:lnTo>
                                <a:lnTo>
                                  <a:pt x="265729" y="2555221"/>
                                </a:lnTo>
                                <a:lnTo>
                                  <a:pt x="221062" y="2539706"/>
                                </a:lnTo>
                                <a:lnTo>
                                  <a:pt x="179266" y="2518733"/>
                                </a:lnTo>
                                <a:lnTo>
                                  <a:pt x="140773" y="2492733"/>
                                </a:lnTo>
                                <a:lnTo>
                                  <a:pt x="106012" y="2462138"/>
                                </a:lnTo>
                                <a:lnTo>
                                  <a:pt x="75416" y="2427377"/>
                                </a:lnTo>
                                <a:lnTo>
                                  <a:pt x="49416" y="2388883"/>
                                </a:lnTo>
                                <a:lnTo>
                                  <a:pt x="28443" y="2347087"/>
                                </a:lnTo>
                                <a:lnTo>
                                  <a:pt x="12929" y="2302421"/>
                                </a:lnTo>
                                <a:lnTo>
                                  <a:pt x="3304" y="2255315"/>
                                </a:lnTo>
                                <a:lnTo>
                                  <a:pt x="0" y="2206200"/>
                                </a:lnTo>
                                <a:lnTo>
                                  <a:pt x="0" y="361950"/>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9" y="0"/>
                                </a:lnTo>
                                <a:lnTo>
                                  <a:pt x="3162893" y="3304"/>
                                </a:lnTo>
                                <a:lnTo>
                                  <a:pt x="3209999" y="12929"/>
                                </a:lnTo>
                                <a:lnTo>
                                  <a:pt x="3254666" y="28443"/>
                                </a:lnTo>
                                <a:lnTo>
                                  <a:pt x="3296462" y="49416"/>
                                </a:lnTo>
                                <a:lnTo>
                                  <a:pt x="3334956" y="75416"/>
                                </a:lnTo>
                                <a:lnTo>
                                  <a:pt x="3369716" y="106012"/>
                                </a:lnTo>
                                <a:lnTo>
                                  <a:pt x="3400312" y="140773"/>
                                </a:lnTo>
                                <a:lnTo>
                                  <a:pt x="3426312" y="179266"/>
                                </a:lnTo>
                                <a:lnTo>
                                  <a:pt x="3447285" y="221062"/>
                                </a:lnTo>
                                <a:lnTo>
                                  <a:pt x="3462799" y="265729"/>
                                </a:lnTo>
                                <a:lnTo>
                                  <a:pt x="3471016" y="305940"/>
                                </a:lnTo>
                                <a:lnTo>
                                  <a:pt x="3471016" y="2262210"/>
                                </a:lnTo>
                                <a:lnTo>
                                  <a:pt x="3462799" y="2302421"/>
                                </a:lnTo>
                                <a:lnTo>
                                  <a:pt x="3447285" y="2347087"/>
                                </a:lnTo>
                                <a:lnTo>
                                  <a:pt x="3426312" y="2388883"/>
                                </a:lnTo>
                                <a:lnTo>
                                  <a:pt x="3400312" y="2427377"/>
                                </a:lnTo>
                                <a:lnTo>
                                  <a:pt x="3369716" y="2462138"/>
                                </a:lnTo>
                                <a:lnTo>
                                  <a:pt x="3334956" y="2492733"/>
                                </a:lnTo>
                                <a:lnTo>
                                  <a:pt x="3296462" y="2518733"/>
                                </a:lnTo>
                                <a:lnTo>
                                  <a:pt x="3254666" y="2539706"/>
                                </a:lnTo>
                                <a:lnTo>
                                  <a:pt x="3209999" y="2555221"/>
                                </a:lnTo>
                                <a:lnTo>
                                  <a:pt x="3162893" y="2564846"/>
                                </a:lnTo>
                                <a:lnTo>
                                  <a:pt x="3113780" y="2568150"/>
                                </a:lnTo>
                                <a:close/>
                              </a:path>
                            </a:pathLst>
                          </a:custGeom>
                          <a:solidFill>
                            <a:srgbClr val="29BED0">
                              <a:alpha val="55999"/>
                            </a:srgbClr>
                          </a:solidFill>
                        </wps:spPr>
                        <wps:bodyPr wrap="square" lIns="0" tIns="0" rIns="0" bIns="0" rtlCol="0">
                          <a:prstTxWarp prst="textNoShape">
                            <a:avLst/>
                          </a:prstTxWarp>
                          <a:noAutofit/>
                        </wps:bodyPr>
                      </wps:wsp>
                      <wps:wsp>
                        <wps:cNvPr id="469" name="Graphic 469"/>
                        <wps:cNvSpPr/>
                        <wps:spPr>
                          <a:xfrm>
                            <a:off x="4356887" y="4574713"/>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000025pt;margin-top:-.000022pt;width:612pt;height:433.25pt;mso-position-horizontal-relative:page;mso-position-vertical-relative:page;z-index:-20679680" id="docshapegroup356" coordorigin="0,0" coordsize="12240,8665">
                <v:shape style="position:absolute;left:0;top:0;width:12240;height:4916" type="#_x0000_t75" id="docshape357" stroked="false">
                  <v:imagedata r:id="rId608" o:title=""/>
                </v:shape>
                <v:shape style="position:absolute;left:8262;top:1158;width:2333;height:2332" type="#_x0000_t75" id="docshape358" stroked="false">
                  <v:imagedata r:id="rId98" o:title=""/>
                </v:shape>
                <v:shape style="position:absolute;left:8241;top:1136;width:2375;height:2375" id="docshape359" coordorigin="8241,1136" coordsize="2375,2375" path="m9429,3511l9354,3509,9280,3502,9207,3491,9136,3475,9067,3455,9000,3431,8934,3404,8871,3372,8809,3337,8751,3298,8694,3257,8640,3211,8589,3163,8541,3112,8496,3058,8454,3002,8415,2943,8380,2882,8349,2818,8321,2752,8297,2685,8277,2616,8262,2545,8250,2473,8243,2399,8241,2324,8243,2249,8250,2175,8262,2103,8277,2032,8297,1963,8321,1895,8349,1830,8380,1766,8415,1705,8454,1646,8496,1590,8541,1536,8589,1485,8640,1437,8694,1391,8751,1350,8809,1311,8871,1276,8934,1244,9000,1217,9067,1193,9136,1173,9207,1157,9280,1146,9354,1139,9429,1136,9504,1139,9577,1146,9650,1157,9721,1173,9745,1180,9429,1180,9353,1182,9280,1189,9207,1201,9136,1218,9067,1238,9000,1263,8935,1292,8872,1324,8811,1361,8753,1401,8698,1444,8645,1491,8595,1541,8549,1593,8505,1649,8465,1707,8429,1767,8396,1830,8368,1896,8343,1963,8322,2032,8306,2103,8294,2175,8287,2249,8284,2324,8287,2399,8294,2473,8306,2545,8322,2616,8343,2685,8368,2752,8396,2818,8429,2881,8465,2941,8505,2999,8549,3055,8595,3107,8645,3157,8698,3204,8753,3247,8811,3287,8872,3323,8935,3356,9000,3385,9067,3410,9136,3430,9207,3447,9280,3459,9353,3466,9429,3468,9745,3468,9721,3475,9650,3491,9577,3502,9504,3509,9429,3511xm9745,3468l9429,3468,9504,3466,9577,3459,9650,3447,9721,3430,9790,3410,9857,3385,9922,3356,9985,3323,10046,3287,10104,3247,10159,3204,10212,3157,10262,3107,10308,3055,10352,2999,10392,2941,10428,2881,10461,2818,10490,2752,10514,2685,10535,2616,10551,2545,10563,2473,10570,2399,10573,2324,10570,2249,10563,2175,10551,2103,10535,2032,10514,1963,10490,1896,10461,1830,10428,1767,10392,1707,10352,1649,10308,1593,10262,1541,10212,1491,10159,1444,10104,1401,10046,1361,9985,1324,9922,1292,9857,1263,9790,1238,9721,1218,9650,1201,9577,1189,9504,1182,9429,1180,9745,1180,9790,1193,9857,1217,9923,1244,9986,1276,10048,1311,10107,1350,10163,1391,10217,1437,10268,1485,10316,1536,10361,1590,10403,1646,10442,1705,10477,1766,10508,1830,10536,1896,10560,1963,10580,2032,10595,2103,10607,2175,10614,2249,10616,2324,10614,2399,10607,2473,10595,2545,10580,2616,10560,2685,10536,2753,10508,2818,10477,2882,10442,2943,10403,3002,10361,3058,10316,3112,10268,3163,10217,3211,10163,3257,10107,3298,10048,3337,9986,3372,9923,3404,9857,3431,9790,3455,9745,3468xe" filled="true" fillcolor="#ffffff" stroked="false">
                  <v:path arrowok="t"/>
                  <v:fill type="solid"/>
                </v:shape>
                <v:shape style="position:absolute;left:11343;top:4744;width:120;height:146" type="#_x0000_t75" id="docshape360" stroked="false">
                  <v:imagedata r:id="rId609" o:title=""/>
                </v:shape>
                <v:shape style="position:absolute;left:10657;top:4734;width:120;height:129" id="docshape361" coordorigin="10658,4734" coordsize="120,129" path="m10714,4863l10691,4856,10673,4841,10661,4820,10658,4794,10664,4770,10678,4750,10697,4738,10721,4734,10744,4741,10762,4756,10774,4778,10777,4803,10771,4828,10757,4848,10737,4860,10714,4863xe" filled="true" fillcolor="#242f33" stroked="false">
                  <v:path arrowok="t"/>
                  <v:fill type="solid"/>
                </v:shape>
                <v:shape style="position:absolute;left:10727;top:4755;width:50;height:107" id="docshape362" coordorigin="10728,4755" coordsize="50,107" path="m10728,4861l10757,4806,10753,4789,10746,4776,10741,4769,10760,4755,10762,4756,10774,4778,10777,4803,10771,4828,10757,4848,10737,4860,10728,4861xe" filled="true" fillcolor="#9a2f59" stroked="false">
                  <v:path arrowok="t"/>
                  <v:fill type="solid"/>
                </v:shape>
                <v:shape style="position:absolute;left:11121;top:4821;width:163;height:179" type="#_x0000_t75" id="docshape363" stroked="false">
                  <v:imagedata r:id="rId610" o:title=""/>
                </v:shape>
                <v:shape style="position:absolute;left:10490;top:4760;width:147;height:154" id="docshape364" coordorigin="10490,4760" coordsize="147,154" path="m10560,4914l10532,4906,10509,4887,10495,4862,10490,4831,10498,4802,10515,4779,10539,4764,10568,4760,10596,4769,10619,4787,10633,4812,10637,4843,10630,4872,10613,4895,10589,4910,10560,4914xe" filled="true" fillcolor="#242f33" stroked="false">
                  <v:path arrowok="t"/>
                  <v:fill type="solid"/>
                </v:shape>
                <v:shape style="position:absolute;left:10571;top:4764;width:65;height:149" id="docshape365" coordorigin="10572,4764" coordsize="65,149" path="m10572,4912l10587,4904,10605,4885,10616,4854,10614,4828,10606,4802,10591,4781,10572,4768,10581,4764,10596,4769,10619,4787,10632,4809,10636,4847,10633,4859,10623,4881,10613,4895,10600,4903,10573,4912,10572,4912xe" filled="true" fillcolor="#9a2f59" stroked="false">
                  <v:path arrowok="t"/>
                  <v:fill type="solid"/>
                </v:shape>
                <v:shape style="position:absolute;left:10428;top:3350;width:1031;height:1536" id="docshape366" coordorigin="10429,3350" coordsize="1031,1536" path="m11200,4886l11139,4881,11057,4871,10962,4857,10860,4840,10757,4821,10662,4801,10580,4780,10519,4761,10471,4717,10449,4608,10441,4531,10435,4442,10431,4345,10429,4243,10429,4137,10430,4031,10431,3928,10434,3831,10437,3742,10441,3664,10445,3600,10454,3526,10533,3420,10591,3376,10687,3350,10754,3350,10833,3354,10922,3362,11014,3373,11108,3388,11198,3406,11280,3428,11352,3453,11407,3481,11457,3546,11457,3597,11459,3933,11459,4033,11459,4134,11459,4231,11459,4322,11458,4403,11457,4470,11453,4576,11446,4685,11413,4792,11350,4836,11281,4868,11234,4884,11200,4886xe" filled="true" fillcolor="#62abab" stroked="false">
                  <v:path arrowok="t"/>
                  <v:fill type="solid"/>
                </v:shape>
                <v:shape style="position:absolute;left:10542;top:3412;width:839;height:1134" id="docshape367" coordorigin="10543,3413" coordsize="839,1134" path="m10543,3413l10560,3415,10604,3420,10635,3424,10679,3428,10723,3432,10766,3437,10810,3441,10862,3446,10933,3451,11015,3459,11101,3471,11186,3488,11261,3513,11321,3547,11368,3630,11375,3695,11379,3781,11381,3882,11382,3992,11380,4105,11378,4217,11375,4320,11372,4411,11370,4482,11367,4529,11367,4546e" filled="false" stroked="true" strokeweight="1.728398pt" strokecolor="#242f33">
                  <v:path arrowok="t"/>
                  <v:stroke dashstyle="solid"/>
                </v:shape>
                <v:shape style="position:absolute;left:11231;top:3561;width:212;height:1257" id="docshape368" coordorigin="11232,3562" coordsize="212,1257" path="m11244,3783l11246,3778,11243,3794,11243,3799,11242,3809,11242,3819,11241,3828,11240,3846,11240,3864,11239,3882,11239,3900,11237,3956,11236,4013,11234,4069,11233,4126,11233,4202,11235,4279,11237,4356,11240,4434,11242,4511,11243,4588,11242,4665,11239,4742,11232,4818m11443,3562l11395,3582,11341,3617,11288,3666,11245,3727e" filled="false" stroked="true" strokeweight=".792084pt" strokecolor="#242f33">
                  <v:path arrowok="t"/>
                  <v:stroke dashstyle="solid"/>
                </v:shape>
                <v:shape style="position:absolute;left:10657;top:3552;width:451;height:161" id="docshape369" coordorigin="10658,3553" coordsize="451,161" path="m11066,3713l11005,3705,10868,3684,10730,3659,10661,3640,10658,3619,10665,3591,10677,3566,10689,3554,10745,3553,10846,3563,10962,3579,11059,3596,11103,3610,11108,3632,11103,3665,11089,3696,11066,3713xe" filled="true" fillcolor="#294448" stroked="false">
                  <v:path arrowok="t"/>
                  <v:fill type="solid"/>
                </v:shape>
                <v:shape style="position:absolute;left:10741;top:3254;width:267;height:391" id="docshape370" coordorigin="10741,3254" coordsize="267,391" path="m11008,3305l11003,3645m10743,3254l10741,3340,10741,3429,10742,3518,10742,3604e" filled="false" stroked="true" strokeweight="2.663898pt" strokecolor="#171b1b">
                  <v:path arrowok="t"/>
                  <v:stroke dashstyle="solid"/>
                </v:shape>
                <v:shape style="position:absolute;left:10730;top:3216;width:284;height:121" id="docshape371" coordorigin="10730,3216" coordsize="284,121" path="m10732,3292l10731,3282,10730,3261,10734,3237,10748,3220,10797,3216,10877,3222,10955,3233,10997,3247,11009,3271,11013,3301,11013,3326,11012,3337e" filled="false" stroked="true" strokeweight="4.677398pt" strokecolor="#171b1b">
                  <v:path arrowok="t"/>
                  <v:stroke dashstyle="solid"/>
                </v:shape>
                <v:shape style="position:absolute;left:10619;top:4028;width:109;height:148" type="#_x0000_t75" id="docshape372" stroked="false">
                  <v:imagedata r:id="rId611" o:title=""/>
                </v:shape>
                <v:shape style="position:absolute;left:10795;top:4214;width:230;height:284" type="#_x0000_t75" id="docshape373" stroked="false">
                  <v:imagedata r:id="rId612" o:title=""/>
                </v:shape>
                <v:shape style="position:absolute;left:10468;top:3459;width:961;height:1025" id="docshape374" coordorigin="10468,3459" coordsize="961,1025" path="m11161,4130l11160,4130,11161,4133,11161,4133,11161,4144,11162,4155,11162,4166,11162,4177m11161,4216l11160,4216,11160,4219,11160,4220,11160,4235,11160,4250,11161,4266,11161,4281,11160,4332,11159,4382,11158,4433,11158,4484m11321,3470l11321,3470,11302,3461,11297,3459m11428,3534l11418,3522,11396,3505,11371,3490,11349,3481m11203,3679l11201,3680,11207,3674,11209,3671,11214,3664,11220,3657,11227,3650,11239,3638,11252,3626,11266,3615,11281,3605m10470,3612l10469,3613,10469,3617,10469,3618,10469,3633,10469,3649,10468,3664,10468,3679e" filled="false" stroked="true" strokeweight=".935907pt" strokecolor="#e3e7c1">
                  <v:path arrowok="t"/>
                  <v:stroke dashstyle="solid"/>
                </v:shape>
                <v:shape style="position:absolute;left:10469;top:3447;width:101;height:112" type="#_x0000_t75" id="docshape375" stroked="false">
                  <v:imagedata r:id="rId613" o:title=""/>
                </v:shape>
                <v:shape style="position:absolute;left:11098;top:3766;width:81;height:287" id="docshape376" coordorigin="11098,3766" coordsize="81,287" path="m11098,3766l11111,3769,11139,3775,11167,3786,11179,3800,11176,3874,11173,3957,11170,4025,11169,4052e" filled="false" stroked="true" strokeweight=".93655pt" strokecolor="#e3e7c1">
                  <v:path arrowok="t"/>
                  <v:stroke dashstyle="solid"/>
                </v:shape>
                <v:shape style="position:absolute;left:10755;top:3197;width:284;height:339" id="docshape377" coordorigin="10756,3198" coordsize="284,339" path="m10758,3429l10756,3430,10758,3443,10758,3445m10758,3341l10756,3352,10756,3369,10757,3386,10758,3399m11019,3501l11019,3500,11019,3504,11019,3505,11019,3508,11019,3510,11019,3513,11019,3521,11018,3528,11018,3536m11021,3389l11021,3388,11021,3391,11022,3392,11022,3394,11022,3396,11022,3398,11022,3404,11021,3411,11021,3417,11021,3432,11021,3446,11021,3461,11021,3475m10971,3201l10972,3201,10970,3200,10970,3200,10969,3200,10968,3200,10966,3200,10963,3199,10960,3198,10957,3198m11039,3252l11040,3253,11039,3250,11039,3249,11038,3247,11037,3245,11036,3243,11034,3238,11032,3232,11028,3227,11019,3219,11008,3214,10996,3210,10985,3206e" filled="false" stroked="true" strokeweight=".35991pt" strokecolor="#e3e7c1">
                  <v:path arrowok="t"/>
                  <v:stroke dashstyle="solid"/>
                </v:shape>
                <v:shape style="position:absolute;left:1031;top:4619;width:5467;height:4045" id="docshape378" coordorigin="1032,4620" coordsize="5467,4045" path="m5935,8664l1602,8664,1524,8659,1450,8644,1380,8619,1314,8586,1254,8545,1199,8497,1151,8442,1110,8382,1077,8316,1052,8246,1037,8171,1032,8094,1032,5190,1037,5112,1052,5038,1077,4968,1110,4902,1151,4841,1199,4787,1254,4739,1314,4698,1380,4665,1450,4640,1524,4625,1602,4620,5935,4620,6013,4625,6087,4640,6157,4665,6223,4698,6284,4739,6338,4787,6387,4841,6428,4902,6461,4968,6485,5038,6498,5102,6498,8182,6485,8246,6461,8316,6428,8382,6387,8442,6338,8497,6284,8545,6223,8586,6157,8619,6087,8644,6013,8659,5935,8664xe" filled="true" fillcolor="#29bed0" stroked="false">
                  <v:path arrowok="t"/>
                  <v:fill opacity="36700f" type="solid"/>
                </v:shape>
                <v:line style="position:absolute" from="6861,7204" to="11229,7204" stroked="true" strokeweight="2.25pt" strokecolor="#001389">
                  <v:stroke dashstyle="shortdash"/>
                </v:line>
                <w10:wrap type="none"/>
              </v:group>
            </w:pict>
          </mc:Fallback>
        </mc:AlternateContent>
      </w:r>
    </w:p>
    <w:p>
      <w:pPr>
        <w:tabs>
          <w:tab w:pos="6927" w:val="left" w:leader="none"/>
        </w:tabs>
        <w:spacing w:line="240" w:lineRule="auto"/>
        <w:ind w:left="111" w:right="0" w:firstLine="0"/>
        <w:rPr>
          <w:rFonts w:ascii="Georgia"/>
          <w:sz w:val="20"/>
        </w:rPr>
      </w:pPr>
      <w:r>
        <w:rPr>
          <w:rFonts w:ascii="Georgia"/>
          <w:position w:val="76"/>
          <w:sz w:val="20"/>
        </w:rPr>
        <mc:AlternateContent>
          <mc:Choice Requires="wps">
            <w:drawing>
              <wp:inline distT="0" distB="0" distL="0" distR="0">
                <wp:extent cx="3475354" cy="1085215"/>
                <wp:effectExtent l="0" t="0" r="0" b="634"/>
                <wp:docPr id="470" name="Group 470"/>
                <wp:cNvGraphicFramePr>
                  <a:graphicFrameLocks/>
                </wp:cNvGraphicFramePr>
                <a:graphic>
                  <a:graphicData uri="http://schemas.microsoft.com/office/word/2010/wordprocessingGroup">
                    <wpg:wgp>
                      <wpg:cNvPr id="470" name="Group 470"/>
                      <wpg:cNvGrpSpPr/>
                      <wpg:grpSpPr>
                        <a:xfrm>
                          <a:off x="0" y="0"/>
                          <a:ext cx="3475354" cy="1085215"/>
                          <a:chExt cx="3475354" cy="1085215"/>
                        </a:xfrm>
                      </wpg:grpSpPr>
                      <wps:wsp>
                        <wps:cNvPr id="471" name="Graphic 471"/>
                        <wps:cNvSpPr/>
                        <wps:spPr>
                          <a:xfrm>
                            <a:off x="0" y="0"/>
                            <a:ext cx="3475354" cy="1085215"/>
                          </a:xfrm>
                          <a:custGeom>
                            <a:avLst/>
                            <a:gdLst/>
                            <a:ahLst/>
                            <a:cxnLst/>
                            <a:rect l="l" t="t" r="r" b="b"/>
                            <a:pathLst>
                              <a:path w="3475354" h="1085215">
                                <a:moveTo>
                                  <a:pt x="3113779" y="1084970"/>
                                </a:moveTo>
                                <a:lnTo>
                                  <a:pt x="361949" y="1084970"/>
                                </a:lnTo>
                                <a:lnTo>
                                  <a:pt x="312835" y="1081666"/>
                                </a:lnTo>
                                <a:lnTo>
                                  <a:pt x="265729" y="1072041"/>
                                </a:lnTo>
                                <a:lnTo>
                                  <a:pt x="221062" y="1056526"/>
                                </a:lnTo>
                                <a:lnTo>
                                  <a:pt x="179266" y="1035553"/>
                                </a:lnTo>
                                <a:lnTo>
                                  <a:pt x="140773" y="1009553"/>
                                </a:lnTo>
                                <a:lnTo>
                                  <a:pt x="106012" y="978957"/>
                                </a:lnTo>
                                <a:lnTo>
                                  <a:pt x="75416" y="944197"/>
                                </a:lnTo>
                                <a:lnTo>
                                  <a:pt x="49416" y="905703"/>
                                </a:lnTo>
                                <a:lnTo>
                                  <a:pt x="28443" y="863907"/>
                                </a:lnTo>
                                <a:lnTo>
                                  <a:pt x="12929" y="819240"/>
                                </a:lnTo>
                                <a:lnTo>
                                  <a:pt x="3304" y="772134"/>
                                </a:lnTo>
                                <a:lnTo>
                                  <a:pt x="0" y="723020"/>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50" y="0"/>
                                </a:lnTo>
                                <a:lnTo>
                                  <a:pt x="3113778" y="0"/>
                                </a:lnTo>
                                <a:lnTo>
                                  <a:pt x="3162893" y="3304"/>
                                </a:lnTo>
                                <a:lnTo>
                                  <a:pt x="3209999" y="12929"/>
                                </a:lnTo>
                                <a:lnTo>
                                  <a:pt x="3254666" y="28443"/>
                                </a:lnTo>
                                <a:lnTo>
                                  <a:pt x="3296461" y="49416"/>
                                </a:lnTo>
                                <a:lnTo>
                                  <a:pt x="3334955" y="75416"/>
                                </a:lnTo>
                                <a:lnTo>
                                  <a:pt x="3369716" y="106012"/>
                                </a:lnTo>
                                <a:lnTo>
                                  <a:pt x="3400311" y="140773"/>
                                </a:lnTo>
                                <a:lnTo>
                                  <a:pt x="3426312" y="179266"/>
                                </a:lnTo>
                                <a:lnTo>
                                  <a:pt x="3447285" y="221062"/>
                                </a:lnTo>
                                <a:lnTo>
                                  <a:pt x="3462799" y="265729"/>
                                </a:lnTo>
                                <a:lnTo>
                                  <a:pt x="3472424" y="312835"/>
                                </a:lnTo>
                                <a:lnTo>
                                  <a:pt x="3475295" y="355504"/>
                                </a:lnTo>
                                <a:lnTo>
                                  <a:pt x="3475295" y="729465"/>
                                </a:lnTo>
                                <a:lnTo>
                                  <a:pt x="3472424" y="772134"/>
                                </a:lnTo>
                                <a:lnTo>
                                  <a:pt x="3462799" y="819240"/>
                                </a:lnTo>
                                <a:lnTo>
                                  <a:pt x="3447285" y="863907"/>
                                </a:lnTo>
                                <a:lnTo>
                                  <a:pt x="3426312" y="905703"/>
                                </a:lnTo>
                                <a:lnTo>
                                  <a:pt x="3400311" y="944197"/>
                                </a:lnTo>
                                <a:lnTo>
                                  <a:pt x="3369716" y="978957"/>
                                </a:lnTo>
                                <a:lnTo>
                                  <a:pt x="3334955" y="1009553"/>
                                </a:lnTo>
                                <a:lnTo>
                                  <a:pt x="3296461" y="1035553"/>
                                </a:lnTo>
                                <a:lnTo>
                                  <a:pt x="3254666" y="1056526"/>
                                </a:lnTo>
                                <a:lnTo>
                                  <a:pt x="3209999" y="1072041"/>
                                </a:lnTo>
                                <a:lnTo>
                                  <a:pt x="3162893" y="1081666"/>
                                </a:lnTo>
                                <a:lnTo>
                                  <a:pt x="3113779" y="1084970"/>
                                </a:lnTo>
                                <a:close/>
                              </a:path>
                            </a:pathLst>
                          </a:custGeom>
                          <a:solidFill>
                            <a:srgbClr val="29BED0">
                              <a:alpha val="55999"/>
                            </a:srgbClr>
                          </a:solidFill>
                        </wps:spPr>
                        <wps:bodyPr wrap="square" lIns="0" tIns="0" rIns="0" bIns="0" rtlCol="0">
                          <a:prstTxWarp prst="textNoShape">
                            <a:avLst/>
                          </a:prstTxWarp>
                          <a:noAutofit/>
                        </wps:bodyPr>
                      </wps:wsp>
                      <wps:wsp>
                        <wps:cNvPr id="472" name="Textbox 472"/>
                        <wps:cNvSpPr txBox="1"/>
                        <wps:spPr>
                          <a:xfrm>
                            <a:off x="0" y="0"/>
                            <a:ext cx="3475354" cy="1085215"/>
                          </a:xfrm>
                          <a:prstGeom prst="rect">
                            <a:avLst/>
                          </a:prstGeom>
                        </wps:spPr>
                        <wps:txbx>
                          <w:txbxContent>
                            <w:p>
                              <w:pPr>
                                <w:spacing w:before="86"/>
                                <w:ind w:left="251" w:right="0" w:firstLine="0"/>
                                <w:jc w:val="left"/>
                                <w:rPr>
                                  <w:b/>
                                  <w:i/>
                                  <w:sz w:val="34"/>
                                </w:rPr>
                              </w:pPr>
                              <w:r>
                                <w:rPr>
                                  <w:b/>
                                  <w:i/>
                                  <w:spacing w:val="11"/>
                                  <w:w w:val="130"/>
                                  <w:sz w:val="34"/>
                                </w:rPr>
                                <w:t>LEGISLATION</w:t>
                              </w:r>
                            </w:p>
                            <w:p>
                              <w:pPr>
                                <w:spacing w:line="271" w:lineRule="auto" w:before="89"/>
                                <w:ind w:left="280" w:right="275" w:firstLine="0"/>
                                <w:jc w:val="left"/>
                                <w:rPr>
                                  <w:rFonts w:ascii="Georgia"/>
                                  <w:sz w:val="21"/>
                                </w:rPr>
                              </w:pPr>
                              <w:r>
                                <w:rPr>
                                  <w:rFonts w:ascii="Georgia"/>
                                  <w:sz w:val="21"/>
                                </w:rPr>
                                <w:t>S. 1510/H.2288: Safe Communities Act S.817/H.1281:</w:t>
                              </w:r>
                              <w:r>
                                <w:rPr>
                                  <w:rFonts w:ascii="Georgia"/>
                                  <w:spacing w:val="-7"/>
                                  <w:sz w:val="21"/>
                                </w:rPr>
                                <w:t> </w:t>
                              </w:r>
                              <w:r>
                                <w:rPr>
                                  <w:rFonts w:ascii="Georgia"/>
                                  <w:sz w:val="21"/>
                                </w:rPr>
                                <w:t>Access</w:t>
                              </w:r>
                              <w:r>
                                <w:rPr>
                                  <w:rFonts w:ascii="Georgia"/>
                                  <w:spacing w:val="-7"/>
                                  <w:sz w:val="21"/>
                                </w:rPr>
                                <w:t> </w:t>
                              </w:r>
                              <w:r>
                                <w:rPr>
                                  <w:rFonts w:ascii="Georgia"/>
                                  <w:sz w:val="21"/>
                                </w:rPr>
                                <w:t>to</w:t>
                              </w:r>
                              <w:r>
                                <w:rPr>
                                  <w:rFonts w:ascii="Georgia"/>
                                  <w:spacing w:val="-7"/>
                                  <w:sz w:val="21"/>
                                </w:rPr>
                                <w:t> </w:t>
                              </w:r>
                              <w:r>
                                <w:rPr>
                                  <w:rFonts w:ascii="Georgia"/>
                                  <w:sz w:val="21"/>
                                </w:rPr>
                                <w:t>Higher</w:t>
                              </w:r>
                              <w:r>
                                <w:rPr>
                                  <w:rFonts w:ascii="Georgia"/>
                                  <w:spacing w:val="-7"/>
                                  <w:sz w:val="21"/>
                                </w:rPr>
                                <w:t> </w:t>
                              </w:r>
                              <w:r>
                                <w:rPr>
                                  <w:rFonts w:ascii="Georgia"/>
                                  <w:sz w:val="21"/>
                                </w:rPr>
                                <w:t>Education S.740/H.1237: MassHealth coverage</w:t>
                              </w:r>
                            </w:p>
                          </w:txbxContent>
                        </wps:txbx>
                        <wps:bodyPr wrap="square" lIns="0" tIns="0" rIns="0" bIns="0" rtlCol="0">
                          <a:noAutofit/>
                        </wps:bodyPr>
                      </wps:wsp>
                    </wpg:wgp>
                  </a:graphicData>
                </a:graphic>
              </wp:inline>
            </w:drawing>
          </mc:Choice>
          <mc:Fallback>
            <w:pict>
              <v:group style="width:273.650pt;height:85.45pt;mso-position-horizontal-relative:char;mso-position-vertical-relative:line" id="docshapegroup379" coordorigin="0,0" coordsize="5473,1709">
                <v:shape style="position:absolute;left:0;top:0;width:5473;height:1709" id="docshape380" coordorigin="0,0" coordsize="5473,1709" path="m4904,1709l570,1709,493,1703,418,1688,348,1664,282,1631,222,1590,167,1542,119,1487,78,1426,45,1360,20,1290,5,1216,0,1139,0,570,5,493,20,418,45,348,78,282,119,222,167,167,222,119,282,78,348,45,418,20,493,5,570,0,4904,0,4981,5,5055,20,5125,45,5191,78,5252,119,5307,167,5355,222,5396,282,5429,348,5453,418,5468,493,5473,560,5473,1149,5468,1216,5453,1290,5429,1360,5396,1426,5355,1487,5307,1542,5252,1590,5191,1631,5125,1664,5055,1688,4981,1703,4904,1709xe" filled="true" fillcolor="#29bed0" stroked="false">
                  <v:path arrowok="t"/>
                  <v:fill opacity="36700f" type="solid"/>
                </v:shape>
                <v:shape style="position:absolute;left:0;top:0;width:5473;height:1709" type="#_x0000_t202" id="docshape381" filled="false" stroked="false">
                  <v:textbox inset="0,0,0,0">
                    <w:txbxContent>
                      <w:p>
                        <w:pPr>
                          <w:spacing w:before="86"/>
                          <w:ind w:left="251" w:right="0" w:firstLine="0"/>
                          <w:jc w:val="left"/>
                          <w:rPr>
                            <w:b/>
                            <w:i/>
                            <w:sz w:val="34"/>
                          </w:rPr>
                        </w:pPr>
                        <w:r>
                          <w:rPr>
                            <w:b/>
                            <w:i/>
                            <w:spacing w:val="11"/>
                            <w:w w:val="130"/>
                            <w:sz w:val="34"/>
                          </w:rPr>
                          <w:t>LEGISLATION</w:t>
                        </w:r>
                      </w:p>
                      <w:p>
                        <w:pPr>
                          <w:spacing w:line="271" w:lineRule="auto" w:before="89"/>
                          <w:ind w:left="280" w:right="275" w:firstLine="0"/>
                          <w:jc w:val="left"/>
                          <w:rPr>
                            <w:rFonts w:ascii="Georgia"/>
                            <w:sz w:val="21"/>
                          </w:rPr>
                        </w:pPr>
                        <w:r>
                          <w:rPr>
                            <w:rFonts w:ascii="Georgia"/>
                            <w:sz w:val="21"/>
                          </w:rPr>
                          <w:t>S. 1510/H.2288: Safe Communities Act S.817/H.1281:</w:t>
                        </w:r>
                        <w:r>
                          <w:rPr>
                            <w:rFonts w:ascii="Georgia"/>
                            <w:spacing w:val="-7"/>
                            <w:sz w:val="21"/>
                          </w:rPr>
                          <w:t> </w:t>
                        </w:r>
                        <w:r>
                          <w:rPr>
                            <w:rFonts w:ascii="Georgia"/>
                            <w:sz w:val="21"/>
                          </w:rPr>
                          <w:t>Access</w:t>
                        </w:r>
                        <w:r>
                          <w:rPr>
                            <w:rFonts w:ascii="Georgia"/>
                            <w:spacing w:val="-7"/>
                            <w:sz w:val="21"/>
                          </w:rPr>
                          <w:t> </w:t>
                        </w:r>
                        <w:r>
                          <w:rPr>
                            <w:rFonts w:ascii="Georgia"/>
                            <w:sz w:val="21"/>
                          </w:rPr>
                          <w:t>to</w:t>
                        </w:r>
                        <w:r>
                          <w:rPr>
                            <w:rFonts w:ascii="Georgia"/>
                            <w:spacing w:val="-7"/>
                            <w:sz w:val="21"/>
                          </w:rPr>
                          <w:t> </w:t>
                        </w:r>
                        <w:r>
                          <w:rPr>
                            <w:rFonts w:ascii="Georgia"/>
                            <w:sz w:val="21"/>
                          </w:rPr>
                          <w:t>Higher</w:t>
                        </w:r>
                        <w:r>
                          <w:rPr>
                            <w:rFonts w:ascii="Georgia"/>
                            <w:spacing w:val="-7"/>
                            <w:sz w:val="21"/>
                          </w:rPr>
                          <w:t> </w:t>
                        </w:r>
                        <w:r>
                          <w:rPr>
                            <w:rFonts w:ascii="Georgia"/>
                            <w:sz w:val="21"/>
                          </w:rPr>
                          <w:t>Education S.740/H.1237: MassHealth coverage</w:t>
                        </w:r>
                      </w:p>
                    </w:txbxContent>
                  </v:textbox>
                  <w10:wrap type="none"/>
                </v:shape>
              </v:group>
            </w:pict>
          </mc:Fallback>
        </mc:AlternateContent>
      </w:r>
      <w:r>
        <w:rPr>
          <w:rFonts w:ascii="Georgia"/>
          <w:position w:val="76"/>
          <w:sz w:val="20"/>
        </w:rPr>
      </w:r>
      <w:r>
        <w:rPr>
          <w:rFonts w:ascii="Georgia"/>
          <w:position w:val="76"/>
          <w:sz w:val="20"/>
        </w:rPr>
        <w:tab/>
      </w:r>
      <w:r>
        <w:rPr>
          <w:rFonts w:ascii="Georgia"/>
          <w:sz w:val="20"/>
        </w:rPr>
        <w:drawing>
          <wp:inline distT="0" distB="0" distL="0" distR="0">
            <wp:extent cx="2448980" cy="2310288"/>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614" cstate="print"/>
                    <a:stretch>
                      <a:fillRect/>
                    </a:stretch>
                  </pic:blipFill>
                  <pic:spPr>
                    <a:xfrm>
                      <a:off x="0" y="0"/>
                      <a:ext cx="2448980" cy="2310288"/>
                    </a:xfrm>
                    <a:prstGeom prst="rect">
                      <a:avLst/>
                    </a:prstGeom>
                  </pic:spPr>
                </pic:pic>
              </a:graphicData>
            </a:graphic>
          </wp:inline>
        </w:drawing>
      </w:r>
      <w:r>
        <w:rPr>
          <w:rFonts w:ascii="Georgia"/>
          <w:sz w:val="20"/>
        </w:rPr>
      </w:r>
    </w:p>
    <w:p>
      <w:pPr>
        <w:spacing w:after="0" w:line="240" w:lineRule="auto"/>
        <w:rPr>
          <w:rFonts w:ascii="Georgia"/>
          <w:sz w:val="20"/>
        </w:rPr>
        <w:sectPr>
          <w:type w:val="continuous"/>
          <w:pgSz w:w="12240" w:h="15840"/>
          <w:pgMar w:header="0" w:footer="0" w:top="1420" w:bottom="280" w:left="920" w:right="340"/>
        </w:sectPr>
      </w:pPr>
    </w:p>
    <w:p>
      <w:pPr>
        <w:pStyle w:val="BodyText"/>
        <w:rPr>
          <w:rFonts w:ascii="Georgia"/>
          <w:sz w:val="20"/>
        </w:rPr>
      </w:pPr>
    </w:p>
    <w:p>
      <w:pPr>
        <w:pStyle w:val="BodyText"/>
        <w:spacing w:before="52"/>
        <w:rPr>
          <w:rFonts w:ascii="Georgia"/>
          <w:sz w:val="20"/>
        </w:rPr>
      </w:pPr>
    </w:p>
    <w:p>
      <w:pPr>
        <w:pStyle w:val="BodyText"/>
        <w:spacing w:line="20" w:lineRule="exact"/>
        <w:ind w:left="280"/>
        <w:rPr>
          <w:rFonts w:ascii="Georgia"/>
          <w:sz w:val="2"/>
        </w:rPr>
      </w:pPr>
      <w:r>
        <w:rPr>
          <w:rFonts w:ascii="Georgia"/>
          <w:sz w:val="2"/>
        </w:rPr>
        <mc:AlternateContent>
          <mc:Choice Requires="wps">
            <w:drawing>
              <wp:inline distT="0" distB="0" distL="0" distR="0">
                <wp:extent cx="6350" cy="12700"/>
                <wp:effectExtent l="0" t="0" r="0" b="0"/>
                <wp:docPr id="477" name="Group 477"/>
                <wp:cNvGraphicFramePr>
                  <a:graphicFrameLocks/>
                </wp:cNvGraphicFramePr>
                <a:graphic>
                  <a:graphicData uri="http://schemas.microsoft.com/office/word/2010/wordprocessingGroup">
                    <wpg:wgp>
                      <wpg:cNvPr id="477" name="Group 477"/>
                      <wpg:cNvGrpSpPr/>
                      <wpg:grpSpPr>
                        <a:xfrm>
                          <a:off x="0" y="0"/>
                          <a:ext cx="6350" cy="12700"/>
                          <a:chExt cx="6350" cy="12700"/>
                        </a:xfrm>
                      </wpg:grpSpPr>
                      <wps:wsp>
                        <wps:cNvPr id="478" name="Graphic 478"/>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470C4"/>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385" coordorigin="0,0" coordsize="10,20">
                <v:rect style="position:absolute;left:0;top:0;width:10;height:20" id="docshape386" filled="true" fillcolor="#4470c4" stroked="false">
                  <v:fill type="solid"/>
                </v:rect>
              </v:group>
            </w:pict>
          </mc:Fallback>
        </mc:AlternateContent>
      </w:r>
      <w:r>
        <w:rPr>
          <w:rFonts w:ascii="Georgia"/>
          <w:sz w:val="2"/>
        </w:rPr>
      </w:r>
    </w:p>
    <w:p>
      <w:pPr>
        <w:pStyle w:val="Heading7"/>
        <w:ind w:left="323"/>
      </w:pPr>
      <w:bookmarkStart w:name="FY 2025 - Environmental Justice - Final." w:id="802"/>
      <w:bookmarkEnd w:id="802"/>
      <w:r>
        <w:rPr/>
      </w:r>
      <w:bookmarkStart w:name="_bookmark542" w:id="803"/>
      <w:bookmarkEnd w:id="803"/>
      <w:r>
        <w:rPr/>
      </w:r>
      <w:hyperlink w:history="true" w:anchor="_bookmark3">
        <w:r>
          <w:rPr>
            <w:color w:val="365F91"/>
            <w:spacing w:val="-10"/>
          </w:rPr>
          <w:t>Understanding</w:t>
        </w:r>
        <w:r>
          <w:rPr>
            <w:color w:val="365F91"/>
            <w:spacing w:val="2"/>
          </w:rPr>
          <w:t> </w:t>
        </w:r>
        <w:r>
          <w:rPr>
            <w:color w:val="365F91"/>
            <w:spacing w:val="-10"/>
          </w:rPr>
          <w:t>Environmental</w:t>
        </w:r>
        <w:r>
          <w:rPr>
            <w:color w:val="365F91"/>
            <w:spacing w:val="1"/>
          </w:rPr>
          <w:t> </w:t>
        </w:r>
        <w:r>
          <w:rPr>
            <w:color w:val="365F91"/>
            <w:spacing w:val="-10"/>
          </w:rPr>
          <w:t>Justice</w:t>
        </w:r>
      </w:hyperlink>
    </w:p>
    <w:p>
      <w:pPr>
        <w:pStyle w:val="BodyText"/>
        <w:spacing w:before="145"/>
        <w:rPr>
          <w:sz w:val="20"/>
        </w:rPr>
      </w:pPr>
      <w:r>
        <w:rPr/>
        <mc:AlternateContent>
          <mc:Choice Requires="wps">
            <w:drawing>
              <wp:anchor distT="0" distB="0" distL="0" distR="0" allowOverlap="1" layoutInCell="1" locked="0" behindDoc="1" simplePos="0" relativeHeight="487675904">
                <wp:simplePos x="0" y="0"/>
                <wp:positionH relativeFrom="page">
                  <wp:posOffset>889000</wp:posOffset>
                </wp:positionH>
                <wp:positionV relativeFrom="paragraph">
                  <wp:posOffset>262419</wp:posOffset>
                </wp:positionV>
                <wp:extent cx="6350" cy="12700"/>
                <wp:effectExtent l="0" t="0" r="0" b="0"/>
                <wp:wrapTopAndBottom/>
                <wp:docPr id="479" name="Graphic 479"/>
                <wp:cNvGraphicFramePr>
                  <a:graphicFrameLocks/>
                </wp:cNvGraphicFramePr>
                <a:graphic>
                  <a:graphicData uri="http://schemas.microsoft.com/office/word/2010/wordprocessingShape">
                    <wps:wsp>
                      <wps:cNvPr id="479" name="Graphic 479"/>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470C4"/>
                        </a:solidFill>
                      </wps:spPr>
                      <wps:bodyPr wrap="square" lIns="0" tIns="0" rIns="0" bIns="0" rtlCol="0">
                        <a:prstTxWarp prst="textNoShape">
                          <a:avLst/>
                        </a:prstTxWarp>
                        <a:noAutofit/>
                      </wps:bodyPr>
                    </wps:wsp>
                  </a:graphicData>
                </a:graphic>
              </wp:anchor>
            </w:drawing>
          </mc:Choice>
          <mc:Fallback>
            <w:pict>
              <v:rect style="position:absolute;margin-left:70pt;margin-top:20.662937pt;width:.499pt;height:.96pt;mso-position-horizontal-relative:page;mso-position-vertical-relative:paragraph;z-index:-15640576;mso-wrap-distance-left:0;mso-wrap-distance-right:0" id="docshape387" filled="true" fillcolor="#4470c4" stroked="false">
                <v:fill type="solid"/>
                <w10:wrap type="topAndBottom"/>
              </v:rect>
            </w:pict>
          </mc:Fallback>
        </mc:AlternateContent>
      </w:r>
    </w:p>
    <w:p>
      <w:pPr>
        <w:spacing w:before="0"/>
        <w:ind w:left="323" w:right="0" w:firstLine="0"/>
        <w:jc w:val="left"/>
        <w:rPr>
          <w:sz w:val="28"/>
        </w:rPr>
      </w:pPr>
      <w:bookmarkStart w:name="Introduction" w:id="804"/>
      <w:bookmarkEnd w:id="804"/>
      <w:r>
        <w:rPr/>
      </w: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676416">
                <wp:simplePos x="0" y="0"/>
                <wp:positionH relativeFrom="page">
                  <wp:posOffset>897636</wp:posOffset>
                </wp:positionH>
                <wp:positionV relativeFrom="paragraph">
                  <wp:posOffset>45366</wp:posOffset>
                </wp:positionV>
                <wp:extent cx="5976620" cy="6350"/>
                <wp:effectExtent l="0" t="0" r="0" b="0"/>
                <wp:wrapTopAndBottom/>
                <wp:docPr id="480" name="Graphic 480"/>
                <wp:cNvGraphicFramePr>
                  <a:graphicFrameLocks/>
                </wp:cNvGraphicFramePr>
                <a:graphic>
                  <a:graphicData uri="http://schemas.microsoft.com/office/word/2010/wordprocessingShape">
                    <wps:wsp>
                      <wps:cNvPr id="480" name="Graphic 480"/>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2156pt;width:470.58pt;height:.481pt;mso-position-horizontal-relative:page;mso-position-vertical-relative:paragraph;z-index:-15640064;mso-wrap-distance-left:0;mso-wrap-distance-right:0" id="docshape388" filled="true" fillcolor="#4f81bc" stroked="false">
                <v:fill type="solid"/>
                <w10:wrap type="topAndBottom"/>
              </v:rect>
            </w:pict>
          </mc:Fallback>
        </mc:AlternateContent>
      </w:r>
    </w:p>
    <w:p>
      <w:pPr>
        <w:spacing w:line="276" w:lineRule="auto" w:before="241"/>
        <w:ind w:left="323" w:right="143" w:firstLine="0"/>
        <w:jc w:val="both"/>
        <w:rPr>
          <w:i/>
          <w:sz w:val="22"/>
        </w:rPr>
      </w:pPr>
      <w:bookmarkStart w:name="(first published in FY 2024 Annual Recom" w:id="805"/>
      <w:bookmarkEnd w:id="805"/>
      <w:r>
        <w:rPr/>
      </w:r>
      <w:r>
        <w:rPr>
          <w:i/>
          <w:sz w:val="22"/>
        </w:rPr>
        <w:t>(first published in FY 2024 Annual Recommendations Report, minor updates made to bring current to FY</w:t>
      </w:r>
      <w:r>
        <w:rPr>
          <w:i/>
          <w:sz w:val="22"/>
        </w:rPr>
        <w:t> </w:t>
      </w:r>
      <w:r>
        <w:rPr>
          <w:i/>
          <w:spacing w:val="-2"/>
          <w:sz w:val="22"/>
        </w:rPr>
        <w:t>2025)</w:t>
      </w:r>
    </w:p>
    <w:p>
      <w:pPr>
        <w:pStyle w:val="BodyText"/>
        <w:spacing w:line="276" w:lineRule="auto" w:before="241"/>
        <w:ind w:left="323" w:right="140"/>
        <w:jc w:val="both"/>
      </w:pPr>
      <w:r>
        <w:rPr/>
        <w:t>Research examining the environmental justice needs of LGBTQ communities is still emerging, but a growing body of evidence indicates that environmental justice is a key element of the complex web of inequities that impact the health and well-being of LGBTQ youth, particularly LGBTQ youth of color and Indigenous, immigrant, disabled, and low-income LGBTQ youth. The necessity of examining the undue environmental</w:t>
      </w:r>
      <w:r>
        <w:rPr>
          <w:spacing w:val="-2"/>
        </w:rPr>
        <w:t> </w:t>
      </w:r>
      <w:r>
        <w:rPr/>
        <w:t>burdens</w:t>
      </w:r>
      <w:r>
        <w:rPr>
          <w:spacing w:val="-1"/>
        </w:rPr>
        <w:t> </w:t>
      </w:r>
      <w:r>
        <w:rPr/>
        <w:t>placed</w:t>
      </w:r>
      <w:r>
        <w:rPr>
          <w:spacing w:val="-2"/>
        </w:rPr>
        <w:t> </w:t>
      </w:r>
      <w:r>
        <w:rPr/>
        <w:t>on</w:t>
      </w:r>
      <w:r>
        <w:rPr>
          <w:spacing w:val="-2"/>
        </w:rPr>
        <w:t> </w:t>
      </w:r>
      <w:r>
        <w:rPr/>
        <w:t>LGBTQ</w:t>
      </w:r>
      <w:r>
        <w:rPr>
          <w:spacing w:val="-2"/>
        </w:rPr>
        <w:t> </w:t>
      </w:r>
      <w:r>
        <w:rPr/>
        <w:t>youth</w:t>
      </w:r>
      <w:r>
        <w:rPr>
          <w:spacing w:val="-1"/>
        </w:rPr>
        <w:t> </w:t>
      </w:r>
      <w:r>
        <w:rPr/>
        <w:t>is</w:t>
      </w:r>
      <w:r>
        <w:rPr>
          <w:spacing w:val="-1"/>
        </w:rPr>
        <w:t> </w:t>
      </w:r>
      <w:r>
        <w:rPr/>
        <w:t>undeniable; exposure</w:t>
      </w:r>
      <w:r>
        <w:rPr>
          <w:spacing w:val="-2"/>
        </w:rPr>
        <w:t> </w:t>
      </w:r>
      <w:r>
        <w:rPr/>
        <w:t>to</w:t>
      </w:r>
      <w:r>
        <w:rPr>
          <w:spacing w:val="-1"/>
        </w:rPr>
        <w:t> </w:t>
      </w:r>
      <w:r>
        <w:rPr/>
        <w:t>environmental</w:t>
      </w:r>
      <w:r>
        <w:rPr>
          <w:spacing w:val="-2"/>
        </w:rPr>
        <w:t> </w:t>
      </w:r>
      <w:r>
        <w:rPr/>
        <w:t>stressors</w:t>
      </w:r>
      <w:r>
        <w:rPr>
          <w:spacing w:val="-1"/>
        </w:rPr>
        <w:t> </w:t>
      </w:r>
      <w:r>
        <w:rPr/>
        <w:t>such as</w:t>
      </w:r>
      <w:r>
        <w:rPr>
          <w:spacing w:val="-13"/>
        </w:rPr>
        <w:t> </w:t>
      </w:r>
      <w:r>
        <w:rPr/>
        <w:t>air</w:t>
      </w:r>
      <w:r>
        <w:rPr>
          <w:spacing w:val="-12"/>
        </w:rPr>
        <w:t> </w:t>
      </w:r>
      <w:r>
        <w:rPr/>
        <w:t>pollution</w:t>
      </w:r>
      <w:r>
        <w:rPr>
          <w:spacing w:val="-13"/>
        </w:rPr>
        <w:t> </w:t>
      </w:r>
      <w:r>
        <w:rPr/>
        <w:t>and</w:t>
      </w:r>
      <w:r>
        <w:rPr>
          <w:spacing w:val="-12"/>
        </w:rPr>
        <w:t> </w:t>
      </w:r>
      <w:r>
        <w:rPr/>
        <w:t>toxic</w:t>
      </w:r>
      <w:r>
        <w:rPr>
          <w:spacing w:val="-12"/>
        </w:rPr>
        <w:t> </w:t>
      </w:r>
      <w:r>
        <w:rPr/>
        <w:t>chemicals</w:t>
      </w:r>
      <w:r>
        <w:rPr>
          <w:spacing w:val="-11"/>
        </w:rPr>
        <w:t> </w:t>
      </w:r>
      <w:r>
        <w:rPr/>
        <w:t>exacerbates</w:t>
      </w:r>
      <w:r>
        <w:rPr>
          <w:spacing w:val="-12"/>
        </w:rPr>
        <w:t> </w:t>
      </w:r>
      <w:r>
        <w:rPr/>
        <w:t>the</w:t>
      </w:r>
      <w:r>
        <w:rPr>
          <w:spacing w:val="-12"/>
        </w:rPr>
        <w:t> </w:t>
      </w:r>
      <w:r>
        <w:rPr/>
        <w:t>health</w:t>
      </w:r>
      <w:r>
        <w:rPr>
          <w:spacing w:val="-13"/>
        </w:rPr>
        <w:t> </w:t>
      </w:r>
      <w:r>
        <w:rPr/>
        <w:t>and</w:t>
      </w:r>
      <w:r>
        <w:rPr>
          <w:spacing w:val="-12"/>
        </w:rPr>
        <w:t> </w:t>
      </w:r>
      <w:r>
        <w:rPr/>
        <w:t>economic</w:t>
      </w:r>
      <w:r>
        <w:rPr>
          <w:spacing w:val="-13"/>
        </w:rPr>
        <w:t> </w:t>
      </w:r>
      <w:r>
        <w:rPr/>
        <w:t>inequalities</w:t>
      </w:r>
      <w:r>
        <w:rPr>
          <w:spacing w:val="-12"/>
        </w:rPr>
        <w:t> </w:t>
      </w:r>
      <w:r>
        <w:rPr/>
        <w:t>LGBTQ</w:t>
      </w:r>
      <w:r>
        <w:rPr>
          <w:spacing w:val="-12"/>
        </w:rPr>
        <w:t> </w:t>
      </w:r>
      <w:r>
        <w:rPr/>
        <w:t>communities already face. Those who hold multiple marginalized identities, such as QTBIPOC youth, experience compounding effects from multiple overlapping systems of oppression.</w:t>
      </w:r>
    </w:p>
    <w:p>
      <w:pPr>
        <w:pStyle w:val="BodyText"/>
        <w:spacing w:line="276" w:lineRule="auto" w:before="239"/>
        <w:ind w:left="323" w:right="140"/>
        <w:jc w:val="both"/>
      </w:pPr>
      <w:r>
        <w:rPr/>
        <w:t>Developing a more complete picture of the burdens and injustices faced by LGBTQ youth in Massachusetts, a population which itself holds great diversity, requires bringing intersectionality to the forefront</w:t>
      </w:r>
      <w:r>
        <w:rPr>
          <w:spacing w:val="-7"/>
        </w:rPr>
        <w:t> </w:t>
      </w:r>
      <w:r>
        <w:rPr/>
        <w:t>and</w:t>
      </w:r>
      <w:r>
        <w:rPr>
          <w:spacing w:val="-5"/>
        </w:rPr>
        <w:t> </w:t>
      </w:r>
      <w:r>
        <w:rPr/>
        <w:t>understanding</w:t>
      </w:r>
      <w:r>
        <w:rPr>
          <w:spacing w:val="-7"/>
        </w:rPr>
        <w:t> </w:t>
      </w:r>
      <w:r>
        <w:rPr/>
        <w:t>the</w:t>
      </w:r>
      <w:r>
        <w:rPr>
          <w:spacing w:val="-7"/>
        </w:rPr>
        <w:t> </w:t>
      </w:r>
      <w:r>
        <w:rPr/>
        <w:t>interactions</w:t>
      </w:r>
      <w:r>
        <w:rPr>
          <w:spacing w:val="-6"/>
        </w:rPr>
        <w:t> </w:t>
      </w:r>
      <w:r>
        <w:rPr/>
        <w:t>between</w:t>
      </w:r>
      <w:r>
        <w:rPr>
          <w:spacing w:val="-7"/>
        </w:rPr>
        <w:t> </w:t>
      </w:r>
      <w:r>
        <w:rPr/>
        <w:t>the</w:t>
      </w:r>
      <w:r>
        <w:rPr>
          <w:spacing w:val="-7"/>
        </w:rPr>
        <w:t> </w:t>
      </w:r>
      <w:r>
        <w:rPr/>
        <w:t>multiple</w:t>
      </w:r>
      <w:r>
        <w:rPr>
          <w:spacing w:val="-7"/>
        </w:rPr>
        <w:t> </w:t>
      </w:r>
      <w:r>
        <w:rPr/>
        <w:t>social,</w:t>
      </w:r>
      <w:r>
        <w:rPr>
          <w:spacing w:val="-6"/>
        </w:rPr>
        <w:t> </w:t>
      </w:r>
      <w:r>
        <w:rPr/>
        <w:t>economic,</w:t>
      </w:r>
      <w:r>
        <w:rPr>
          <w:spacing w:val="-6"/>
        </w:rPr>
        <w:t> </w:t>
      </w:r>
      <w:r>
        <w:rPr/>
        <w:t>environmental,</w:t>
      </w:r>
      <w:r>
        <w:rPr>
          <w:spacing w:val="-6"/>
        </w:rPr>
        <w:t> </w:t>
      </w:r>
      <w:r>
        <w:rPr/>
        <w:t>and institutional systems that impact LGBTQ youth. As environmental justice and climate justice become increasingly high policy priorities in Massachusetts under the leadership of Governor Maura Healey, we must make sure that the needs of diverse LGBTQ communities are meaningfully incorporated into environmental and climate policymaking.</w:t>
      </w:r>
    </w:p>
    <w:p>
      <w:pPr>
        <w:pStyle w:val="BodyText"/>
        <w:spacing w:line="276" w:lineRule="auto" w:before="240"/>
        <w:ind w:left="323" w:right="142"/>
        <w:jc w:val="both"/>
      </w:pPr>
      <w:r>
        <w:rPr/>
        <w:t>In this section of the Commission’s annual report, the environmental justice needs of LGBTQ youth in Massachusetts</w:t>
      </w:r>
      <w:r>
        <w:rPr>
          <w:spacing w:val="-13"/>
        </w:rPr>
        <w:t> </w:t>
      </w:r>
      <w:r>
        <w:rPr/>
        <w:t>will</w:t>
      </w:r>
      <w:r>
        <w:rPr>
          <w:spacing w:val="-12"/>
        </w:rPr>
        <w:t> </w:t>
      </w:r>
      <w:r>
        <w:rPr/>
        <w:t>be</w:t>
      </w:r>
      <w:r>
        <w:rPr>
          <w:spacing w:val="-13"/>
        </w:rPr>
        <w:t> </w:t>
      </w:r>
      <w:r>
        <w:rPr/>
        <w:t>explored.</w:t>
      </w:r>
      <w:r>
        <w:rPr>
          <w:spacing w:val="-12"/>
        </w:rPr>
        <w:t> </w:t>
      </w:r>
      <w:r>
        <w:rPr/>
        <w:t>First,</w:t>
      </w:r>
      <w:r>
        <w:rPr>
          <w:spacing w:val="-13"/>
        </w:rPr>
        <w:t> </w:t>
      </w:r>
      <w:r>
        <w:rPr/>
        <w:t>we</w:t>
      </w:r>
      <w:r>
        <w:rPr>
          <w:spacing w:val="-12"/>
        </w:rPr>
        <w:t> </w:t>
      </w:r>
      <w:r>
        <w:rPr/>
        <w:t>will</w:t>
      </w:r>
      <w:r>
        <w:rPr>
          <w:spacing w:val="-13"/>
        </w:rPr>
        <w:t> </w:t>
      </w:r>
      <w:r>
        <w:rPr/>
        <w:t>review</w:t>
      </w:r>
      <w:r>
        <w:rPr>
          <w:spacing w:val="-12"/>
        </w:rPr>
        <w:t> </w:t>
      </w:r>
      <w:r>
        <w:rPr/>
        <w:t>what</w:t>
      </w:r>
      <w:r>
        <w:rPr>
          <w:spacing w:val="-12"/>
        </w:rPr>
        <w:t> </w:t>
      </w:r>
      <w:r>
        <w:rPr/>
        <w:t>is</w:t>
      </w:r>
      <w:r>
        <w:rPr>
          <w:spacing w:val="-13"/>
        </w:rPr>
        <w:t> </w:t>
      </w:r>
      <w:r>
        <w:rPr/>
        <w:t>meant</w:t>
      </w:r>
      <w:r>
        <w:rPr>
          <w:spacing w:val="-12"/>
        </w:rPr>
        <w:t> </w:t>
      </w:r>
      <w:r>
        <w:rPr/>
        <w:t>by</w:t>
      </w:r>
      <w:r>
        <w:rPr>
          <w:spacing w:val="-13"/>
        </w:rPr>
        <w:t> </w:t>
      </w:r>
      <w:r>
        <w:rPr/>
        <w:t>“environmental</w:t>
      </w:r>
      <w:r>
        <w:rPr>
          <w:spacing w:val="-12"/>
        </w:rPr>
        <w:t> </w:t>
      </w:r>
      <w:r>
        <w:rPr/>
        <w:t>justice”</w:t>
      </w:r>
      <w:r>
        <w:rPr>
          <w:spacing w:val="-12"/>
        </w:rPr>
        <w:t> </w:t>
      </w:r>
      <w:r>
        <w:rPr/>
        <w:t>and</w:t>
      </w:r>
      <w:r>
        <w:rPr>
          <w:spacing w:val="-12"/>
        </w:rPr>
        <w:t> </w:t>
      </w:r>
      <w:r>
        <w:rPr/>
        <w:t>discuss the importance of intersectionality in examining the needs of LGBTQ youth and understanding environmental</w:t>
      </w:r>
      <w:r>
        <w:rPr>
          <w:spacing w:val="-1"/>
        </w:rPr>
        <w:t> </w:t>
      </w:r>
      <w:r>
        <w:rPr/>
        <w:t>injustice. Next, two conceptual frameworks from public health – Cumulative Impacts and Social Determinants of Health – will be introduced to inform our understanding of how environmental exposures lead to outcomes in health and well-being. With these frameworks in mind, we will discuss certain environmental exposures which disproportionately affect LGBTQ populations, including ambient air</w:t>
      </w:r>
      <w:r>
        <w:rPr>
          <w:spacing w:val="-6"/>
        </w:rPr>
        <w:t> </w:t>
      </w:r>
      <w:r>
        <w:rPr/>
        <w:t>pollution,</w:t>
      </w:r>
      <w:r>
        <w:rPr>
          <w:spacing w:val="-5"/>
        </w:rPr>
        <w:t> </w:t>
      </w:r>
      <w:r>
        <w:rPr/>
        <w:t>secondhand</w:t>
      </w:r>
      <w:r>
        <w:rPr>
          <w:spacing w:val="-7"/>
        </w:rPr>
        <w:t> </w:t>
      </w:r>
      <w:r>
        <w:rPr/>
        <w:t>smoke,</w:t>
      </w:r>
      <w:r>
        <w:rPr>
          <w:spacing w:val="-6"/>
        </w:rPr>
        <w:t> </w:t>
      </w:r>
      <w:r>
        <w:rPr/>
        <w:t>and</w:t>
      </w:r>
      <w:r>
        <w:rPr>
          <w:spacing w:val="-5"/>
        </w:rPr>
        <w:t> </w:t>
      </w:r>
      <w:r>
        <w:rPr/>
        <w:t>toxic</w:t>
      </w:r>
      <w:r>
        <w:rPr>
          <w:spacing w:val="-6"/>
        </w:rPr>
        <w:t> </w:t>
      </w:r>
      <w:r>
        <w:rPr/>
        <w:t>chemicals</w:t>
      </w:r>
      <w:r>
        <w:rPr>
          <w:spacing w:val="-5"/>
        </w:rPr>
        <w:t> </w:t>
      </w:r>
      <w:r>
        <w:rPr/>
        <w:t>in</w:t>
      </w:r>
      <w:r>
        <w:rPr>
          <w:spacing w:val="-7"/>
        </w:rPr>
        <w:t> </w:t>
      </w:r>
      <w:r>
        <w:rPr/>
        <w:t>beauty</w:t>
      </w:r>
      <w:r>
        <w:rPr>
          <w:spacing w:val="-6"/>
        </w:rPr>
        <w:t> </w:t>
      </w:r>
      <w:r>
        <w:rPr/>
        <w:t>and</w:t>
      </w:r>
      <w:r>
        <w:rPr>
          <w:spacing w:val="-5"/>
        </w:rPr>
        <w:t> </w:t>
      </w:r>
      <w:r>
        <w:rPr/>
        <w:t>personal</w:t>
      </w:r>
      <w:r>
        <w:rPr>
          <w:spacing w:val="-6"/>
        </w:rPr>
        <w:t> </w:t>
      </w:r>
      <w:r>
        <w:rPr/>
        <w:t>care</w:t>
      </w:r>
      <w:r>
        <w:rPr>
          <w:spacing w:val="-7"/>
        </w:rPr>
        <w:t> </w:t>
      </w:r>
      <w:r>
        <w:rPr/>
        <w:t>products.</w:t>
      </w:r>
      <w:r>
        <w:rPr>
          <w:spacing w:val="-7"/>
        </w:rPr>
        <w:t> </w:t>
      </w:r>
      <w:r>
        <w:rPr/>
        <w:t>Next,</w:t>
      </w:r>
      <w:r>
        <w:rPr>
          <w:spacing w:val="-6"/>
        </w:rPr>
        <w:t> </w:t>
      </w:r>
      <w:r>
        <w:rPr/>
        <w:t>we</w:t>
      </w:r>
      <w:r>
        <w:rPr>
          <w:spacing w:val="-5"/>
        </w:rPr>
        <w:t> </w:t>
      </w:r>
      <w:r>
        <w:rPr/>
        <w:t>will investigate the links between disproportionate environmental exposures and health disparities, examining how underlying health challenges disproportionately affecting LGBTQ communities, barriers accessing health care, and other socioeconomic factors worsen the health impacts of exposure. Finally, we will discuss the disproportionate impacts of climate change on LGBTQ populations and the unique needs</w:t>
      </w:r>
      <w:r>
        <w:rPr>
          <w:spacing w:val="-8"/>
        </w:rPr>
        <w:t> </w:t>
      </w:r>
      <w:r>
        <w:rPr/>
        <w:t>of</w:t>
      </w:r>
      <w:r>
        <w:rPr>
          <w:spacing w:val="-9"/>
        </w:rPr>
        <w:t> </w:t>
      </w:r>
      <w:r>
        <w:rPr/>
        <w:t>LGBTQ</w:t>
      </w:r>
      <w:r>
        <w:rPr>
          <w:spacing w:val="-9"/>
        </w:rPr>
        <w:t> </w:t>
      </w:r>
      <w:r>
        <w:rPr/>
        <w:t>youth</w:t>
      </w:r>
      <w:r>
        <w:rPr>
          <w:spacing w:val="-9"/>
        </w:rPr>
        <w:t> </w:t>
      </w:r>
      <w:r>
        <w:rPr/>
        <w:t>related</w:t>
      </w:r>
      <w:r>
        <w:rPr>
          <w:spacing w:val="-9"/>
        </w:rPr>
        <w:t> </w:t>
      </w:r>
      <w:r>
        <w:rPr/>
        <w:t>to</w:t>
      </w:r>
      <w:r>
        <w:rPr>
          <w:spacing w:val="-7"/>
        </w:rPr>
        <w:t> </w:t>
      </w:r>
      <w:r>
        <w:rPr/>
        <w:t>climate</w:t>
      </w:r>
      <w:r>
        <w:rPr>
          <w:spacing w:val="-9"/>
        </w:rPr>
        <w:t> </w:t>
      </w:r>
      <w:r>
        <w:rPr/>
        <w:t>justice,</w:t>
      </w:r>
      <w:r>
        <w:rPr>
          <w:spacing w:val="-8"/>
        </w:rPr>
        <w:t> </w:t>
      </w:r>
      <w:r>
        <w:rPr/>
        <w:t>such</w:t>
      </w:r>
      <w:r>
        <w:rPr>
          <w:spacing w:val="-9"/>
        </w:rPr>
        <w:t> </w:t>
      </w:r>
      <w:r>
        <w:rPr/>
        <w:t>as</w:t>
      </w:r>
      <w:r>
        <w:rPr>
          <w:spacing w:val="-8"/>
        </w:rPr>
        <w:t> </w:t>
      </w:r>
      <w:r>
        <w:rPr/>
        <w:t>the</w:t>
      </w:r>
      <w:r>
        <w:rPr>
          <w:spacing w:val="-9"/>
        </w:rPr>
        <w:t> </w:t>
      </w:r>
      <w:r>
        <w:rPr/>
        <w:t>need</w:t>
      </w:r>
      <w:r>
        <w:rPr>
          <w:spacing w:val="-8"/>
        </w:rPr>
        <w:t> </w:t>
      </w:r>
      <w:r>
        <w:rPr/>
        <w:t>for</w:t>
      </w:r>
      <w:r>
        <w:rPr>
          <w:spacing w:val="-9"/>
        </w:rPr>
        <w:t> </w:t>
      </w:r>
      <w:r>
        <w:rPr/>
        <w:t>inclusive</w:t>
      </w:r>
      <w:r>
        <w:rPr>
          <w:spacing w:val="-8"/>
        </w:rPr>
        <w:t> </w:t>
      </w:r>
      <w:r>
        <w:rPr/>
        <w:t>disaster</w:t>
      </w:r>
      <w:r>
        <w:rPr>
          <w:spacing w:val="-9"/>
        </w:rPr>
        <w:t> </w:t>
      </w:r>
      <w:r>
        <w:rPr/>
        <w:t>response</w:t>
      </w:r>
      <w:r>
        <w:rPr>
          <w:spacing w:val="-9"/>
        </w:rPr>
        <w:t> </w:t>
      </w:r>
      <w:r>
        <w:rPr/>
        <w:t>systems.</w:t>
      </w:r>
    </w:p>
    <w:p>
      <w:pPr>
        <w:spacing w:after="0" w:line="276" w:lineRule="auto"/>
        <w:jc w:val="both"/>
        <w:sectPr>
          <w:headerReference w:type="default" r:id="rId615"/>
          <w:footerReference w:type="default" r:id="rId616"/>
          <w:pgSz w:w="12240" w:h="15840"/>
          <w:pgMar w:header="800" w:footer="1459" w:top="1300" w:bottom="1640" w:left="1120" w:right="1300"/>
          <w:pgNumType w:start="212"/>
        </w:sectPr>
      </w:pPr>
    </w:p>
    <w:p>
      <w:pPr>
        <w:spacing w:line="276" w:lineRule="auto" w:before="67"/>
        <w:ind w:left="323" w:right="0" w:firstLine="0"/>
        <w:jc w:val="left"/>
        <w:rPr>
          <w:sz w:val="28"/>
        </w:rPr>
      </w:pPr>
      <w:r>
        <w:rPr/>
        <mc:AlternateContent>
          <mc:Choice Requires="wps">
            <w:drawing>
              <wp:anchor distT="0" distB="0" distL="0" distR="0" allowOverlap="1" layoutInCell="1" locked="0" behindDoc="1" simplePos="0" relativeHeight="487676928">
                <wp:simplePos x="0" y="0"/>
                <wp:positionH relativeFrom="page">
                  <wp:posOffset>897636</wp:posOffset>
                </wp:positionH>
                <wp:positionV relativeFrom="paragraph">
                  <wp:posOffset>553973</wp:posOffset>
                </wp:positionV>
                <wp:extent cx="5976620" cy="6350"/>
                <wp:effectExtent l="0" t="0" r="0" b="0"/>
                <wp:wrapTopAndBottom/>
                <wp:docPr id="481" name="Graphic 481"/>
                <wp:cNvGraphicFramePr>
                  <a:graphicFrameLocks/>
                </wp:cNvGraphicFramePr>
                <a:graphic>
                  <a:graphicData uri="http://schemas.microsoft.com/office/word/2010/wordprocessingShape">
                    <wps:wsp>
                      <wps:cNvPr id="481" name="Graphic 481"/>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43.619999pt;width:470.58pt;height:.48pt;mso-position-horizontal-relative:page;mso-position-vertical-relative:paragraph;z-index:-15639552;mso-wrap-distance-left:0;mso-wrap-distance-right:0" id="docshape389" filled="true" fillcolor="#4f81bc" stroked="false">
                <v:fill type="solid"/>
                <w10:wrap type="topAndBottom"/>
              </v:rect>
            </w:pict>
          </mc:Fallback>
        </mc:AlternateContent>
      </w:r>
      <w:bookmarkStart w:name="FY2025 Recommendations to the Governor a" w:id="806"/>
      <w:bookmarkEnd w:id="806"/>
      <w:r>
        <w:rPr/>
      </w:r>
      <w:r>
        <w:rPr>
          <w:color w:val="365F91"/>
          <w:sz w:val="28"/>
        </w:rPr>
        <w:t>FY2025</w:t>
      </w:r>
      <w:r>
        <w:rPr>
          <w:color w:val="365F91"/>
          <w:spacing w:val="40"/>
          <w:sz w:val="28"/>
        </w:rPr>
        <w:t> </w:t>
      </w:r>
      <w:r>
        <w:rPr>
          <w:color w:val="365F91"/>
          <w:sz w:val="28"/>
        </w:rPr>
        <w:t>Recommendations</w:t>
      </w:r>
      <w:r>
        <w:rPr>
          <w:color w:val="365F91"/>
          <w:spacing w:val="40"/>
          <w:sz w:val="28"/>
        </w:rPr>
        <w:t> </w:t>
      </w:r>
      <w:r>
        <w:rPr>
          <w:color w:val="365F91"/>
          <w:sz w:val="28"/>
        </w:rPr>
        <w:t>to</w:t>
      </w:r>
      <w:r>
        <w:rPr>
          <w:color w:val="365F91"/>
          <w:spacing w:val="40"/>
          <w:sz w:val="28"/>
        </w:rPr>
        <w:t> </w:t>
      </w:r>
      <w:r>
        <w:rPr>
          <w:color w:val="365F91"/>
          <w:sz w:val="28"/>
        </w:rPr>
        <w:t>the</w:t>
      </w:r>
      <w:r>
        <w:rPr>
          <w:color w:val="365F91"/>
          <w:spacing w:val="40"/>
          <w:sz w:val="28"/>
        </w:rPr>
        <w:t> </w:t>
      </w:r>
      <w:r>
        <w:rPr>
          <w:color w:val="365F91"/>
          <w:sz w:val="28"/>
        </w:rPr>
        <w:t>Governor</w:t>
      </w:r>
      <w:r>
        <w:rPr>
          <w:color w:val="365F91"/>
          <w:spacing w:val="40"/>
          <w:sz w:val="28"/>
        </w:rPr>
        <w:t> </w:t>
      </w:r>
      <w:r>
        <w:rPr>
          <w:color w:val="365F91"/>
          <w:sz w:val="28"/>
        </w:rPr>
        <w:t>and</w:t>
      </w:r>
      <w:r>
        <w:rPr>
          <w:color w:val="365F91"/>
          <w:spacing w:val="40"/>
          <w:sz w:val="28"/>
        </w:rPr>
        <w:t> </w:t>
      </w:r>
      <w:r>
        <w:rPr>
          <w:color w:val="365F91"/>
          <w:sz w:val="28"/>
        </w:rPr>
        <w:t>Legislature</w:t>
      </w:r>
      <w:r>
        <w:rPr>
          <w:color w:val="365F91"/>
          <w:spacing w:val="40"/>
          <w:sz w:val="28"/>
        </w:rPr>
        <w:t> </w:t>
      </w:r>
      <w:r>
        <w:rPr>
          <w:color w:val="365F91"/>
          <w:sz w:val="28"/>
        </w:rPr>
        <w:t>on</w:t>
      </w:r>
      <w:r>
        <w:rPr>
          <w:color w:val="365F91"/>
          <w:spacing w:val="40"/>
          <w:sz w:val="28"/>
        </w:rPr>
        <w:t> </w:t>
      </w:r>
      <w:r>
        <w:rPr>
          <w:color w:val="365F91"/>
          <w:sz w:val="28"/>
        </w:rPr>
        <w:t>Environmental </w:t>
      </w:r>
      <w:r>
        <w:rPr>
          <w:color w:val="365F91"/>
          <w:spacing w:val="-2"/>
          <w:sz w:val="28"/>
        </w:rPr>
        <w:t>Justice</w:t>
      </w:r>
    </w:p>
    <w:p>
      <w:pPr>
        <w:numPr>
          <w:ilvl w:val="0"/>
          <w:numId w:val="28"/>
        </w:numPr>
        <w:tabs>
          <w:tab w:pos="551" w:val="left" w:leader="none"/>
        </w:tabs>
        <w:spacing w:line="276" w:lineRule="auto" w:before="241"/>
        <w:ind w:left="323" w:right="143" w:firstLine="0"/>
        <w:jc w:val="left"/>
        <w:rPr>
          <w:b/>
          <w:sz w:val="22"/>
        </w:rPr>
      </w:pPr>
      <w:bookmarkStart w:name="1. Expand existing policies and programs" w:id="807"/>
      <w:bookmarkEnd w:id="807"/>
      <w:r>
        <w:rPr/>
      </w:r>
      <w:r>
        <w:rPr>
          <w:b/>
          <w:sz w:val="22"/>
        </w:rPr>
        <w:t>Expand existing policies and programs addressing environmental inequities to include and address the unique impacts on LGBTQ youth across the Commonwealth.</w:t>
      </w:r>
    </w:p>
    <w:p>
      <w:pPr>
        <w:pStyle w:val="BodyText"/>
        <w:spacing w:line="276" w:lineRule="auto" w:before="241"/>
        <w:ind w:left="323" w:right="140"/>
        <w:jc w:val="both"/>
      </w:pPr>
      <w:r>
        <w:rPr/>
        <w:t>The Commission recommends that the Commonwealth examine and expand existing policies and programs working to address environmental inequities to ensure that this critical work is addressing unique</w:t>
      </w:r>
      <w:r>
        <w:rPr>
          <w:spacing w:val="-8"/>
        </w:rPr>
        <w:t> </w:t>
      </w:r>
      <w:r>
        <w:rPr/>
        <w:t>impacts</w:t>
      </w:r>
      <w:r>
        <w:rPr>
          <w:spacing w:val="-7"/>
        </w:rPr>
        <w:t> </w:t>
      </w:r>
      <w:r>
        <w:rPr/>
        <w:t>on</w:t>
      </w:r>
      <w:r>
        <w:rPr>
          <w:spacing w:val="-8"/>
        </w:rPr>
        <w:t> </w:t>
      </w:r>
      <w:r>
        <w:rPr/>
        <w:t>LGBTQ</w:t>
      </w:r>
      <w:r>
        <w:rPr>
          <w:spacing w:val="-7"/>
        </w:rPr>
        <w:t> </w:t>
      </w:r>
      <w:r>
        <w:rPr/>
        <w:t>youth,</w:t>
      </w:r>
      <w:r>
        <w:rPr>
          <w:spacing w:val="-7"/>
        </w:rPr>
        <w:t> </w:t>
      </w:r>
      <w:r>
        <w:rPr/>
        <w:t>particularly</w:t>
      </w:r>
      <w:r>
        <w:rPr>
          <w:spacing w:val="-7"/>
        </w:rPr>
        <w:t> </w:t>
      </w:r>
      <w:r>
        <w:rPr/>
        <w:t>BIPOC</w:t>
      </w:r>
      <w:r>
        <w:rPr>
          <w:spacing w:val="-7"/>
        </w:rPr>
        <w:t> </w:t>
      </w:r>
      <w:r>
        <w:rPr/>
        <w:t>youth,</w:t>
      </w:r>
      <w:r>
        <w:rPr>
          <w:spacing w:val="-7"/>
        </w:rPr>
        <w:t> </w:t>
      </w:r>
      <w:r>
        <w:rPr/>
        <w:t>youth</w:t>
      </w:r>
      <w:r>
        <w:rPr>
          <w:spacing w:val="-5"/>
        </w:rPr>
        <w:t> </w:t>
      </w:r>
      <w:r>
        <w:rPr/>
        <w:t>with</w:t>
      </w:r>
      <w:r>
        <w:rPr>
          <w:spacing w:val="-8"/>
        </w:rPr>
        <w:t> </w:t>
      </w:r>
      <w:r>
        <w:rPr/>
        <w:t>disabilities,</w:t>
      </w:r>
      <w:r>
        <w:rPr>
          <w:spacing w:val="-7"/>
        </w:rPr>
        <w:t> </w:t>
      </w:r>
      <w:r>
        <w:rPr/>
        <w:t>and</w:t>
      </w:r>
      <w:r>
        <w:rPr>
          <w:spacing w:val="-8"/>
        </w:rPr>
        <w:t> </w:t>
      </w:r>
      <w:r>
        <w:rPr/>
        <w:t>low-income</w:t>
      </w:r>
      <w:r>
        <w:rPr>
          <w:spacing w:val="-8"/>
        </w:rPr>
        <w:t> </w:t>
      </w:r>
      <w:r>
        <w:rPr/>
        <w:t>youth. In January 2023, Governor Maura Healey signed an Executive Order to establish the Office of Climate Innovation and Resilience to coordinate climate policy across state agencies and communities; the Commission urges this new office to center QTBIPOC communities in its work, and to take a broad understanding of how to tackle climate justice.</w:t>
      </w:r>
    </w:p>
    <w:p>
      <w:pPr>
        <w:numPr>
          <w:ilvl w:val="0"/>
          <w:numId w:val="28"/>
        </w:numPr>
        <w:tabs>
          <w:tab w:pos="899" w:val="left" w:leader="none"/>
        </w:tabs>
        <w:spacing w:line="276" w:lineRule="auto" w:before="239"/>
        <w:ind w:left="323" w:right="145" w:firstLine="139"/>
        <w:jc w:val="left"/>
        <w:rPr>
          <w:b/>
          <w:sz w:val="22"/>
        </w:rPr>
      </w:pPr>
      <w:bookmarkStart w:name="2. Promote QTBIPOC youth voice in enviro" w:id="808"/>
      <w:bookmarkEnd w:id="808"/>
      <w:r>
        <w:rPr/>
      </w:r>
      <w:r>
        <w:rPr>
          <w:b/>
          <w:sz w:val="22"/>
        </w:rPr>
        <w:t>Promote</w:t>
      </w:r>
      <w:r>
        <w:rPr>
          <w:b/>
          <w:spacing w:val="-13"/>
          <w:sz w:val="22"/>
        </w:rPr>
        <w:t> </w:t>
      </w:r>
      <w:r>
        <w:rPr>
          <w:b/>
          <w:sz w:val="22"/>
        </w:rPr>
        <w:t>QTBIPOC</w:t>
      </w:r>
      <w:r>
        <w:rPr>
          <w:b/>
          <w:spacing w:val="-12"/>
          <w:sz w:val="22"/>
        </w:rPr>
        <w:t> </w:t>
      </w:r>
      <w:r>
        <w:rPr>
          <w:b/>
          <w:sz w:val="22"/>
        </w:rPr>
        <w:t>youth</w:t>
      </w:r>
      <w:r>
        <w:rPr>
          <w:b/>
          <w:spacing w:val="-11"/>
          <w:sz w:val="22"/>
        </w:rPr>
        <w:t> </w:t>
      </w:r>
      <w:r>
        <w:rPr>
          <w:b/>
          <w:sz w:val="22"/>
        </w:rPr>
        <w:t>voice</w:t>
      </w:r>
      <w:r>
        <w:rPr>
          <w:b/>
          <w:spacing w:val="-13"/>
          <w:sz w:val="22"/>
        </w:rPr>
        <w:t> </w:t>
      </w:r>
      <w:r>
        <w:rPr>
          <w:b/>
          <w:sz w:val="22"/>
        </w:rPr>
        <w:t>in</w:t>
      </w:r>
      <w:r>
        <w:rPr>
          <w:b/>
          <w:spacing w:val="-11"/>
          <w:sz w:val="22"/>
        </w:rPr>
        <w:t> </w:t>
      </w:r>
      <w:r>
        <w:rPr>
          <w:b/>
          <w:sz w:val="22"/>
        </w:rPr>
        <w:t>environmental</w:t>
      </w:r>
      <w:r>
        <w:rPr>
          <w:b/>
          <w:spacing w:val="-12"/>
          <w:sz w:val="22"/>
        </w:rPr>
        <w:t> </w:t>
      </w:r>
      <w:r>
        <w:rPr>
          <w:b/>
          <w:sz w:val="22"/>
        </w:rPr>
        <w:t>justice</w:t>
      </w:r>
      <w:r>
        <w:rPr>
          <w:b/>
          <w:spacing w:val="-13"/>
          <w:sz w:val="22"/>
        </w:rPr>
        <w:t> </w:t>
      </w:r>
      <w:r>
        <w:rPr>
          <w:b/>
          <w:sz w:val="22"/>
        </w:rPr>
        <w:t>initiatives,</w:t>
      </w:r>
      <w:r>
        <w:rPr>
          <w:b/>
          <w:spacing w:val="-11"/>
          <w:sz w:val="22"/>
        </w:rPr>
        <w:t> </w:t>
      </w:r>
      <w:r>
        <w:rPr>
          <w:b/>
          <w:sz w:val="22"/>
        </w:rPr>
        <w:t>research,</w:t>
      </w:r>
      <w:r>
        <w:rPr>
          <w:b/>
          <w:spacing w:val="-12"/>
          <w:sz w:val="22"/>
        </w:rPr>
        <w:t> </w:t>
      </w:r>
      <w:r>
        <w:rPr>
          <w:b/>
          <w:sz w:val="22"/>
        </w:rPr>
        <w:t>working</w:t>
      </w:r>
      <w:r>
        <w:rPr>
          <w:b/>
          <w:spacing w:val="-13"/>
          <w:sz w:val="22"/>
        </w:rPr>
        <w:t> </w:t>
      </w:r>
      <w:r>
        <w:rPr>
          <w:b/>
          <w:sz w:val="22"/>
        </w:rPr>
        <w:t>groups,</w:t>
      </w:r>
      <w:r>
        <w:rPr>
          <w:b/>
          <w:spacing w:val="-10"/>
          <w:sz w:val="22"/>
        </w:rPr>
        <w:t> </w:t>
      </w:r>
      <w:r>
        <w:rPr>
          <w:b/>
          <w:sz w:val="22"/>
        </w:rPr>
        <w:t>and task forces.</w:t>
      </w:r>
    </w:p>
    <w:p>
      <w:pPr>
        <w:pStyle w:val="BodyText"/>
        <w:spacing w:line="276" w:lineRule="auto" w:before="240"/>
        <w:ind w:left="323" w:right="141"/>
        <w:jc w:val="both"/>
      </w:pPr>
      <w:r>
        <w:rPr/>
        <w:t>As the Commonwealth further explores its engagement in environmental and climate justice, the Commission strongly recommends that policymakers and agencies engage QTBIPOC youth in important discussions in recognition of their presence in environmental justice communities. Furthermore, the Commission advises that the state should engage LGBTQ youth in community-based participatory approaches when considering policies addressing toxic chemicals in makeup, and tobacco cessation </w:t>
      </w:r>
      <w:r>
        <w:rPr>
          <w:spacing w:val="-2"/>
        </w:rPr>
        <w:t>campaigns.</w:t>
      </w:r>
    </w:p>
    <w:p>
      <w:pPr>
        <w:numPr>
          <w:ilvl w:val="0"/>
          <w:numId w:val="28"/>
        </w:numPr>
        <w:tabs>
          <w:tab w:pos="321" w:val="left" w:leader="none"/>
        </w:tabs>
        <w:spacing w:before="240"/>
        <w:ind w:left="321" w:right="0" w:hanging="218"/>
        <w:jc w:val="left"/>
        <w:rPr>
          <w:b/>
          <w:sz w:val="22"/>
        </w:rPr>
      </w:pPr>
      <w:bookmarkStart w:name="3. Improve access to quality health care" w:id="809"/>
      <w:bookmarkEnd w:id="809"/>
      <w:r>
        <w:rPr/>
      </w:r>
      <w:r>
        <w:rPr>
          <w:b/>
          <w:sz w:val="22"/>
        </w:rPr>
        <w:t>Improve</w:t>
      </w:r>
      <w:r>
        <w:rPr>
          <w:b/>
          <w:spacing w:val="-8"/>
          <w:sz w:val="22"/>
        </w:rPr>
        <w:t> </w:t>
      </w:r>
      <w:r>
        <w:rPr>
          <w:b/>
          <w:sz w:val="22"/>
        </w:rPr>
        <w:t>access</w:t>
      </w:r>
      <w:r>
        <w:rPr>
          <w:b/>
          <w:spacing w:val="-9"/>
          <w:sz w:val="22"/>
        </w:rPr>
        <w:t> </w:t>
      </w:r>
      <w:r>
        <w:rPr>
          <w:b/>
          <w:sz w:val="22"/>
        </w:rPr>
        <w:t>to</w:t>
      </w:r>
      <w:r>
        <w:rPr>
          <w:b/>
          <w:spacing w:val="-7"/>
          <w:sz w:val="22"/>
        </w:rPr>
        <w:t> </w:t>
      </w:r>
      <w:r>
        <w:rPr>
          <w:b/>
          <w:sz w:val="22"/>
        </w:rPr>
        <w:t>quality</w:t>
      </w:r>
      <w:r>
        <w:rPr>
          <w:b/>
          <w:spacing w:val="-7"/>
          <w:sz w:val="22"/>
        </w:rPr>
        <w:t> </w:t>
      </w:r>
      <w:r>
        <w:rPr>
          <w:b/>
          <w:sz w:val="22"/>
        </w:rPr>
        <w:t>health</w:t>
      </w:r>
      <w:r>
        <w:rPr>
          <w:b/>
          <w:spacing w:val="-8"/>
          <w:sz w:val="22"/>
        </w:rPr>
        <w:t> </w:t>
      </w:r>
      <w:r>
        <w:rPr>
          <w:b/>
          <w:sz w:val="22"/>
        </w:rPr>
        <w:t>care,</w:t>
      </w:r>
      <w:r>
        <w:rPr>
          <w:b/>
          <w:spacing w:val="-7"/>
          <w:sz w:val="22"/>
        </w:rPr>
        <w:t> </w:t>
      </w:r>
      <w:r>
        <w:rPr>
          <w:b/>
          <w:sz w:val="22"/>
        </w:rPr>
        <w:t>affordable</w:t>
      </w:r>
      <w:r>
        <w:rPr>
          <w:b/>
          <w:spacing w:val="-8"/>
          <w:sz w:val="22"/>
        </w:rPr>
        <w:t> </w:t>
      </w:r>
      <w:r>
        <w:rPr>
          <w:b/>
          <w:sz w:val="22"/>
        </w:rPr>
        <w:t>housing,</w:t>
      </w:r>
      <w:r>
        <w:rPr>
          <w:b/>
          <w:spacing w:val="-8"/>
          <w:sz w:val="22"/>
        </w:rPr>
        <w:t> </w:t>
      </w:r>
      <w:r>
        <w:rPr>
          <w:b/>
          <w:sz w:val="22"/>
        </w:rPr>
        <w:t>and</w:t>
      </w:r>
      <w:r>
        <w:rPr>
          <w:b/>
          <w:spacing w:val="-7"/>
          <w:sz w:val="22"/>
        </w:rPr>
        <w:t> </w:t>
      </w:r>
      <w:r>
        <w:rPr>
          <w:b/>
          <w:sz w:val="22"/>
        </w:rPr>
        <w:t>stable</w:t>
      </w:r>
      <w:r>
        <w:rPr>
          <w:b/>
          <w:spacing w:val="-9"/>
          <w:sz w:val="22"/>
        </w:rPr>
        <w:t> </w:t>
      </w:r>
      <w:r>
        <w:rPr>
          <w:b/>
          <w:spacing w:val="-2"/>
          <w:sz w:val="22"/>
        </w:rPr>
        <w:t>income.</w:t>
      </w:r>
    </w:p>
    <w:p>
      <w:pPr>
        <w:pStyle w:val="BodyText"/>
        <w:spacing w:before="12"/>
        <w:rPr>
          <w:b/>
        </w:rPr>
      </w:pPr>
    </w:p>
    <w:p>
      <w:pPr>
        <w:pStyle w:val="BodyText"/>
        <w:spacing w:line="276" w:lineRule="auto"/>
        <w:ind w:left="323" w:right="142"/>
        <w:jc w:val="both"/>
      </w:pPr>
      <w:r>
        <w:rPr/>
        <w:t>As</w:t>
      </w:r>
      <w:r>
        <w:rPr>
          <w:spacing w:val="-6"/>
        </w:rPr>
        <w:t> </w:t>
      </w:r>
      <w:r>
        <w:rPr/>
        <w:t>detailed</w:t>
      </w:r>
      <w:r>
        <w:rPr>
          <w:spacing w:val="-5"/>
        </w:rPr>
        <w:t> </w:t>
      </w:r>
      <w:r>
        <w:rPr/>
        <w:t>throughout</w:t>
      </w:r>
      <w:r>
        <w:rPr>
          <w:spacing w:val="-7"/>
        </w:rPr>
        <w:t> </w:t>
      </w:r>
      <w:r>
        <w:rPr/>
        <w:t>the</w:t>
      </w:r>
      <w:r>
        <w:rPr>
          <w:spacing w:val="-5"/>
        </w:rPr>
        <w:t> </w:t>
      </w:r>
      <w:r>
        <w:rPr/>
        <w:t>annual</w:t>
      </w:r>
      <w:r>
        <w:rPr>
          <w:spacing w:val="-6"/>
        </w:rPr>
        <w:t> </w:t>
      </w:r>
      <w:r>
        <w:rPr/>
        <w:t>report,</w:t>
      </w:r>
      <w:r>
        <w:rPr>
          <w:spacing w:val="-6"/>
        </w:rPr>
        <w:t> </w:t>
      </w:r>
      <w:r>
        <w:rPr/>
        <w:t>LGBTQ</w:t>
      </w:r>
      <w:r>
        <w:rPr>
          <w:spacing w:val="-7"/>
        </w:rPr>
        <w:t> </w:t>
      </w:r>
      <w:r>
        <w:rPr/>
        <w:t>youth</w:t>
      </w:r>
      <w:r>
        <w:rPr>
          <w:spacing w:val="-7"/>
        </w:rPr>
        <w:t> </w:t>
      </w:r>
      <w:r>
        <w:rPr/>
        <w:t>well-being</w:t>
      </w:r>
      <w:r>
        <w:rPr>
          <w:spacing w:val="-7"/>
        </w:rPr>
        <w:t> </w:t>
      </w:r>
      <w:r>
        <w:rPr/>
        <w:t>is</w:t>
      </w:r>
      <w:r>
        <w:rPr>
          <w:spacing w:val="-6"/>
        </w:rPr>
        <w:t> </w:t>
      </w:r>
      <w:r>
        <w:rPr/>
        <w:t>affected</w:t>
      </w:r>
      <w:r>
        <w:rPr>
          <w:spacing w:val="-7"/>
        </w:rPr>
        <w:t> </w:t>
      </w:r>
      <w:r>
        <w:rPr/>
        <w:t>by</w:t>
      </w:r>
      <w:r>
        <w:rPr>
          <w:spacing w:val="-5"/>
        </w:rPr>
        <w:t> </w:t>
      </w:r>
      <w:r>
        <w:rPr/>
        <w:t>a</w:t>
      </w:r>
      <w:r>
        <w:rPr>
          <w:spacing w:val="-6"/>
        </w:rPr>
        <w:t> </w:t>
      </w:r>
      <w:r>
        <w:rPr/>
        <w:t>wide</w:t>
      </w:r>
      <w:r>
        <w:rPr>
          <w:spacing w:val="-7"/>
        </w:rPr>
        <w:t> </w:t>
      </w:r>
      <w:r>
        <w:rPr/>
        <w:t>array</w:t>
      </w:r>
      <w:r>
        <w:rPr>
          <w:spacing w:val="-6"/>
        </w:rPr>
        <w:t> </w:t>
      </w:r>
      <w:r>
        <w:rPr/>
        <w:t>of</w:t>
      </w:r>
      <w:r>
        <w:rPr>
          <w:spacing w:val="-6"/>
        </w:rPr>
        <w:t> </w:t>
      </w:r>
      <w:r>
        <w:rPr/>
        <w:t>systemic inequities. In order to best address environmental well-being for LGBTQ youth, the state must simultaneously improve access to quality health care; increase access to affordable, accessible, stable, and</w:t>
      </w:r>
      <w:r>
        <w:rPr>
          <w:spacing w:val="-1"/>
        </w:rPr>
        <w:t> </w:t>
      </w:r>
      <w:r>
        <w:rPr/>
        <w:t>safe</w:t>
      </w:r>
      <w:r>
        <w:rPr>
          <w:spacing w:val="-1"/>
        </w:rPr>
        <w:t> </w:t>
      </w:r>
      <w:r>
        <w:rPr/>
        <w:t>housing; and</w:t>
      </w:r>
      <w:r>
        <w:rPr>
          <w:spacing w:val="-1"/>
        </w:rPr>
        <w:t> </w:t>
      </w:r>
      <w:r>
        <w:rPr/>
        <w:t>address the</w:t>
      </w:r>
      <w:r>
        <w:rPr>
          <w:spacing w:val="-1"/>
        </w:rPr>
        <w:t> </w:t>
      </w:r>
      <w:r>
        <w:rPr/>
        <w:t>significant</w:t>
      </w:r>
      <w:r>
        <w:rPr>
          <w:spacing w:val="-1"/>
        </w:rPr>
        <w:t> </w:t>
      </w:r>
      <w:r>
        <w:rPr/>
        <w:t>wealth inequities disproportionately affecting BIPOC youth in Massachusetts.</w:t>
      </w:r>
    </w:p>
    <w:p>
      <w:pPr>
        <w:spacing w:before="240"/>
        <w:ind w:left="323" w:right="0" w:firstLine="0"/>
        <w:jc w:val="both"/>
        <w:rPr>
          <w:sz w:val="28"/>
        </w:rPr>
      </w:pPr>
      <w:bookmarkStart w:name="Research: Understanding Environmental Ju" w:id="810"/>
      <w:bookmarkEnd w:id="810"/>
      <w:r>
        <w:rPr/>
      </w:r>
      <w:r>
        <w:rPr>
          <w:color w:val="365F91"/>
          <w:sz w:val="28"/>
        </w:rPr>
        <w:t>Research:</w:t>
      </w:r>
      <w:r>
        <w:rPr>
          <w:color w:val="365F91"/>
          <w:spacing w:val="-13"/>
          <w:sz w:val="28"/>
        </w:rPr>
        <w:t> </w:t>
      </w:r>
      <w:r>
        <w:rPr>
          <w:color w:val="365F91"/>
          <w:sz w:val="28"/>
        </w:rPr>
        <w:t>Understanding</w:t>
      </w:r>
      <w:r>
        <w:rPr>
          <w:color w:val="365F91"/>
          <w:spacing w:val="-14"/>
          <w:sz w:val="28"/>
        </w:rPr>
        <w:t> </w:t>
      </w:r>
      <w:r>
        <w:rPr>
          <w:color w:val="365F91"/>
          <w:sz w:val="28"/>
        </w:rPr>
        <w:t>Environmental</w:t>
      </w:r>
      <w:r>
        <w:rPr>
          <w:color w:val="365F91"/>
          <w:spacing w:val="-14"/>
          <w:sz w:val="28"/>
        </w:rPr>
        <w:t> </w:t>
      </w:r>
      <w:r>
        <w:rPr>
          <w:color w:val="365F91"/>
          <w:sz w:val="28"/>
        </w:rPr>
        <w:t>Justice</w:t>
      </w:r>
      <w:r>
        <w:rPr>
          <w:color w:val="365F91"/>
          <w:spacing w:val="-14"/>
          <w:sz w:val="28"/>
        </w:rPr>
        <w:t> </w:t>
      </w:r>
      <w:r>
        <w:rPr>
          <w:color w:val="365F91"/>
          <w:sz w:val="28"/>
        </w:rPr>
        <w:t>and</w:t>
      </w:r>
      <w:r>
        <w:rPr>
          <w:color w:val="365F91"/>
          <w:spacing w:val="-14"/>
          <w:sz w:val="28"/>
        </w:rPr>
        <w:t> </w:t>
      </w:r>
      <w:r>
        <w:rPr>
          <w:color w:val="365F91"/>
          <w:sz w:val="28"/>
        </w:rPr>
        <w:t>LGBTQ</w:t>
      </w:r>
      <w:r>
        <w:rPr>
          <w:color w:val="365F91"/>
          <w:spacing w:val="-14"/>
          <w:sz w:val="28"/>
        </w:rPr>
        <w:t> </w:t>
      </w:r>
      <w:r>
        <w:rPr>
          <w:color w:val="365F91"/>
          <w:spacing w:val="-2"/>
          <w:sz w:val="28"/>
        </w:rPr>
        <w:t>Youth</w:t>
      </w:r>
    </w:p>
    <w:p>
      <w:pPr>
        <w:pStyle w:val="BodyText"/>
        <w:spacing w:before="9"/>
        <w:rPr>
          <w:sz w:val="3"/>
        </w:rPr>
      </w:pPr>
      <w:r>
        <w:rPr/>
        <mc:AlternateContent>
          <mc:Choice Requires="wps">
            <w:drawing>
              <wp:anchor distT="0" distB="0" distL="0" distR="0" allowOverlap="1" layoutInCell="1" locked="0" behindDoc="1" simplePos="0" relativeHeight="487677440">
                <wp:simplePos x="0" y="0"/>
                <wp:positionH relativeFrom="page">
                  <wp:posOffset>897636</wp:posOffset>
                </wp:positionH>
                <wp:positionV relativeFrom="paragraph">
                  <wp:posOffset>44742</wp:posOffset>
                </wp:positionV>
                <wp:extent cx="5976620" cy="6350"/>
                <wp:effectExtent l="0" t="0" r="0" b="0"/>
                <wp:wrapTopAndBottom/>
                <wp:docPr id="482" name="Graphic 482"/>
                <wp:cNvGraphicFramePr>
                  <a:graphicFrameLocks/>
                </wp:cNvGraphicFramePr>
                <a:graphic>
                  <a:graphicData uri="http://schemas.microsoft.com/office/word/2010/wordprocessingShape">
                    <wps:wsp>
                      <wps:cNvPr id="482" name="Graphic 482"/>
                      <wps:cNvSpPr/>
                      <wps:spPr>
                        <a:xfrm>
                          <a:off x="0" y="0"/>
                          <a:ext cx="5976620" cy="6350"/>
                        </a:xfrm>
                        <a:custGeom>
                          <a:avLst/>
                          <a:gdLst/>
                          <a:ahLst/>
                          <a:cxnLst/>
                          <a:rect l="l" t="t" r="r" b="b"/>
                          <a:pathLst>
                            <a:path w="5976620" h="6350">
                              <a:moveTo>
                                <a:pt x="5976366" y="0"/>
                              </a:moveTo>
                              <a:lnTo>
                                <a:pt x="0" y="0"/>
                              </a:lnTo>
                              <a:lnTo>
                                <a:pt x="0" y="6095"/>
                              </a:lnTo>
                              <a:lnTo>
                                <a:pt x="5976366" y="6095"/>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3008pt;width:470.58pt;height:.48pt;mso-position-horizontal-relative:page;mso-position-vertical-relative:paragraph;z-index:-15639040;mso-wrap-distance-left:0;mso-wrap-distance-right:0" id="docshape390" filled="true" fillcolor="#4f81bc" stroked="false">
                <v:fill type="solid"/>
                <w10:wrap type="topAndBottom"/>
              </v:rect>
            </w:pict>
          </mc:Fallback>
        </mc:AlternateContent>
      </w:r>
    </w:p>
    <w:p>
      <w:pPr>
        <w:pStyle w:val="BodyText"/>
        <w:spacing w:line="276" w:lineRule="auto" w:before="241"/>
        <w:ind w:left="323" w:right="139"/>
        <w:jc w:val="both"/>
      </w:pPr>
      <w:r>
        <w:rPr/>
        <w:t>Environmental justice describes the right of all people to be protected from environmental hazards and to enjoy the benefits of a clean, healthy environment. Historically, environmental justice organizing emerged</w:t>
      </w:r>
      <w:r>
        <w:rPr>
          <w:spacing w:val="-13"/>
        </w:rPr>
        <w:t> </w:t>
      </w:r>
      <w:r>
        <w:rPr/>
        <w:t>out</w:t>
      </w:r>
      <w:r>
        <w:rPr>
          <w:spacing w:val="-12"/>
        </w:rPr>
        <w:t> </w:t>
      </w:r>
      <w:r>
        <w:rPr/>
        <w:t>of</w:t>
      </w:r>
      <w:r>
        <w:rPr>
          <w:spacing w:val="-13"/>
        </w:rPr>
        <w:t> </w:t>
      </w:r>
      <w:r>
        <w:rPr/>
        <w:t>grassroots</w:t>
      </w:r>
      <w:r>
        <w:rPr>
          <w:spacing w:val="-12"/>
        </w:rPr>
        <w:t> </w:t>
      </w:r>
      <w:r>
        <w:rPr/>
        <w:t>activism</w:t>
      </w:r>
      <w:r>
        <w:rPr>
          <w:spacing w:val="-13"/>
        </w:rPr>
        <w:t> </w:t>
      </w:r>
      <w:r>
        <w:rPr/>
        <w:t>that</w:t>
      </w:r>
      <w:r>
        <w:rPr>
          <w:spacing w:val="-12"/>
        </w:rPr>
        <w:t> </w:t>
      </w:r>
      <w:r>
        <w:rPr/>
        <w:t>sought</w:t>
      </w:r>
      <w:r>
        <w:rPr>
          <w:spacing w:val="-13"/>
        </w:rPr>
        <w:t> </w:t>
      </w:r>
      <w:r>
        <w:rPr/>
        <w:t>to</w:t>
      </w:r>
      <w:r>
        <w:rPr>
          <w:spacing w:val="-12"/>
        </w:rPr>
        <w:t> </w:t>
      </w:r>
      <w:r>
        <w:rPr/>
        <w:t>address</w:t>
      </w:r>
      <w:r>
        <w:rPr>
          <w:spacing w:val="-12"/>
        </w:rPr>
        <w:t> </w:t>
      </w:r>
      <w:r>
        <w:rPr/>
        <w:t>the</w:t>
      </w:r>
      <w:r>
        <w:rPr>
          <w:spacing w:val="-13"/>
        </w:rPr>
        <w:t> </w:t>
      </w:r>
      <w:r>
        <w:rPr/>
        <w:t>unfair</w:t>
      </w:r>
      <w:r>
        <w:rPr>
          <w:spacing w:val="-12"/>
        </w:rPr>
        <w:t> </w:t>
      </w:r>
      <w:r>
        <w:rPr/>
        <w:t>exposure</w:t>
      </w:r>
      <w:r>
        <w:rPr>
          <w:spacing w:val="-13"/>
        </w:rPr>
        <w:t> </w:t>
      </w:r>
      <w:r>
        <w:rPr/>
        <w:t>of</w:t>
      </w:r>
      <w:r>
        <w:rPr>
          <w:spacing w:val="-12"/>
        </w:rPr>
        <w:t> </w:t>
      </w:r>
      <w:r>
        <w:rPr/>
        <w:t>poor,</w:t>
      </w:r>
      <w:r>
        <w:rPr>
          <w:spacing w:val="-13"/>
        </w:rPr>
        <w:t> </w:t>
      </w:r>
      <w:r>
        <w:rPr/>
        <w:t>Black</w:t>
      </w:r>
      <w:r>
        <w:rPr>
          <w:spacing w:val="-12"/>
        </w:rPr>
        <w:t> </w:t>
      </w:r>
      <w:r>
        <w:rPr/>
        <w:t>communities to industrial pollution and hazardous land uses through the lens of civil rights</w:t>
      </w:r>
      <w:hyperlink w:history="true" w:anchor="_bookmark543">
        <w:r>
          <w:rPr/>
          <w:t>.</w:t>
        </w:r>
        <w:r>
          <w:rPr>
            <w:vertAlign w:val="superscript"/>
          </w:rPr>
          <w:t>1</w:t>
        </w:r>
      </w:hyperlink>
      <w:r>
        <w:rPr>
          <w:vertAlign w:val="baseline"/>
        </w:rPr>
        <w:t> Environmental justice is also inextricably tied to Indigenous rights and movements for Landback.</w:t>
      </w:r>
      <w:hyperlink w:history="true" w:anchor="_bookmark543">
        <w:r>
          <w:rPr>
            <w:vertAlign w:val="superscript"/>
          </w:rPr>
          <w:t>2</w:t>
        </w:r>
      </w:hyperlink>
      <w:r>
        <w:rPr>
          <w:vertAlign w:val="baseline"/>
        </w:rPr>
        <w:t> Indigenous communities are leaders</w:t>
      </w:r>
      <w:r>
        <w:rPr>
          <w:spacing w:val="-5"/>
          <w:vertAlign w:val="baseline"/>
        </w:rPr>
        <w:t> </w:t>
      </w:r>
      <w:r>
        <w:rPr>
          <w:vertAlign w:val="baseline"/>
        </w:rPr>
        <w:t>in</w:t>
      </w:r>
      <w:r>
        <w:rPr>
          <w:spacing w:val="-4"/>
          <w:vertAlign w:val="baseline"/>
        </w:rPr>
        <w:t> </w:t>
      </w:r>
      <w:r>
        <w:rPr>
          <w:vertAlign w:val="baseline"/>
        </w:rPr>
        <w:t>fighting</w:t>
      </w:r>
      <w:r>
        <w:rPr>
          <w:spacing w:val="-4"/>
          <w:vertAlign w:val="baseline"/>
        </w:rPr>
        <w:t> </w:t>
      </w:r>
      <w:r>
        <w:rPr>
          <w:vertAlign w:val="baseline"/>
        </w:rPr>
        <w:t>fossil</w:t>
      </w:r>
      <w:r>
        <w:rPr>
          <w:spacing w:val="-5"/>
          <w:vertAlign w:val="baseline"/>
        </w:rPr>
        <w:t> </w:t>
      </w:r>
      <w:r>
        <w:rPr>
          <w:vertAlign w:val="baseline"/>
        </w:rPr>
        <w:t>fuel</w:t>
      </w:r>
      <w:r>
        <w:rPr>
          <w:spacing w:val="-5"/>
          <w:vertAlign w:val="baseline"/>
        </w:rPr>
        <w:t> </w:t>
      </w:r>
      <w:r>
        <w:rPr>
          <w:vertAlign w:val="baseline"/>
        </w:rPr>
        <w:t>expansion</w:t>
      </w:r>
      <w:r>
        <w:rPr>
          <w:spacing w:val="-4"/>
          <w:vertAlign w:val="baseline"/>
        </w:rPr>
        <w:t> </w:t>
      </w:r>
      <w:r>
        <w:rPr>
          <w:vertAlign w:val="baseline"/>
        </w:rPr>
        <w:t>and</w:t>
      </w:r>
      <w:r>
        <w:rPr>
          <w:spacing w:val="-6"/>
          <w:vertAlign w:val="baseline"/>
        </w:rPr>
        <w:t> </w:t>
      </w:r>
      <w:r>
        <w:rPr>
          <w:vertAlign w:val="baseline"/>
        </w:rPr>
        <w:t>industrial</w:t>
      </w:r>
      <w:r>
        <w:rPr>
          <w:spacing w:val="-4"/>
          <w:vertAlign w:val="baseline"/>
        </w:rPr>
        <w:t> </w:t>
      </w:r>
      <w:r>
        <w:rPr>
          <w:vertAlign w:val="baseline"/>
        </w:rPr>
        <w:t>pollution,</w:t>
      </w:r>
      <w:r>
        <w:rPr>
          <w:spacing w:val="-5"/>
          <w:vertAlign w:val="baseline"/>
        </w:rPr>
        <w:t> </w:t>
      </w:r>
      <w:r>
        <w:rPr>
          <w:vertAlign w:val="baseline"/>
        </w:rPr>
        <w:t>protecting</w:t>
      </w:r>
      <w:r>
        <w:rPr>
          <w:spacing w:val="-4"/>
          <w:vertAlign w:val="baseline"/>
        </w:rPr>
        <w:t> </w:t>
      </w:r>
      <w:r>
        <w:rPr>
          <w:vertAlign w:val="baseline"/>
        </w:rPr>
        <w:t>shared</w:t>
      </w:r>
      <w:r>
        <w:rPr>
          <w:spacing w:val="-6"/>
          <w:vertAlign w:val="baseline"/>
        </w:rPr>
        <w:t> </w:t>
      </w:r>
      <w:r>
        <w:rPr>
          <w:vertAlign w:val="baseline"/>
        </w:rPr>
        <w:t>resources</w:t>
      </w:r>
      <w:r>
        <w:rPr>
          <w:spacing w:val="-4"/>
          <w:vertAlign w:val="baseline"/>
        </w:rPr>
        <w:t> </w:t>
      </w:r>
      <w:r>
        <w:rPr>
          <w:vertAlign w:val="baseline"/>
        </w:rPr>
        <w:t>such</w:t>
      </w:r>
      <w:r>
        <w:rPr>
          <w:spacing w:val="-4"/>
          <w:vertAlign w:val="baseline"/>
        </w:rPr>
        <w:t> </w:t>
      </w:r>
      <w:r>
        <w:rPr>
          <w:vertAlign w:val="baseline"/>
        </w:rPr>
        <w:t>as</w:t>
      </w:r>
      <w:r>
        <w:rPr>
          <w:spacing w:val="-5"/>
          <w:vertAlign w:val="baseline"/>
        </w:rPr>
        <w:t> </w:t>
      </w:r>
      <w:r>
        <w:rPr>
          <w:vertAlign w:val="baseline"/>
        </w:rPr>
        <w:t>clear water,</w:t>
      </w:r>
      <w:r>
        <w:rPr>
          <w:spacing w:val="-10"/>
          <w:vertAlign w:val="baseline"/>
        </w:rPr>
        <w:t> </w:t>
      </w:r>
      <w:r>
        <w:rPr>
          <w:vertAlign w:val="baseline"/>
        </w:rPr>
        <w:t>and</w:t>
      </w:r>
      <w:r>
        <w:rPr>
          <w:spacing w:val="-9"/>
          <w:vertAlign w:val="baseline"/>
        </w:rPr>
        <w:t> </w:t>
      </w:r>
      <w:r>
        <w:rPr>
          <w:vertAlign w:val="baseline"/>
        </w:rPr>
        <w:t>stewarding</w:t>
      </w:r>
      <w:r>
        <w:rPr>
          <w:spacing w:val="-9"/>
          <w:vertAlign w:val="baseline"/>
        </w:rPr>
        <w:t> </w:t>
      </w:r>
      <w:r>
        <w:rPr>
          <w:vertAlign w:val="baseline"/>
        </w:rPr>
        <w:t>the</w:t>
      </w:r>
      <w:r>
        <w:rPr>
          <w:spacing w:val="-8"/>
          <w:vertAlign w:val="baseline"/>
        </w:rPr>
        <w:t> </w:t>
      </w:r>
      <w:r>
        <w:rPr>
          <w:vertAlign w:val="baseline"/>
        </w:rPr>
        <w:t>land</w:t>
      </w:r>
      <w:r>
        <w:rPr>
          <w:spacing w:val="-10"/>
          <w:vertAlign w:val="baseline"/>
        </w:rPr>
        <w:t> </w:t>
      </w:r>
      <w:r>
        <w:rPr>
          <w:vertAlign w:val="baseline"/>
        </w:rPr>
        <w:t>and</w:t>
      </w:r>
      <w:r>
        <w:rPr>
          <w:spacing w:val="-9"/>
          <w:vertAlign w:val="baseline"/>
        </w:rPr>
        <w:t> </w:t>
      </w:r>
      <w:r>
        <w:rPr>
          <w:vertAlign w:val="baseline"/>
        </w:rPr>
        <w:t>its</w:t>
      </w:r>
      <w:r>
        <w:rPr>
          <w:spacing w:val="-9"/>
          <w:vertAlign w:val="baseline"/>
        </w:rPr>
        <w:t> </w:t>
      </w:r>
      <w:r>
        <w:rPr>
          <w:vertAlign w:val="baseline"/>
        </w:rPr>
        <w:t>biological</w:t>
      </w:r>
      <w:r>
        <w:rPr>
          <w:spacing w:val="-10"/>
          <w:vertAlign w:val="baseline"/>
        </w:rPr>
        <w:t> </w:t>
      </w:r>
      <w:r>
        <w:rPr>
          <w:vertAlign w:val="baseline"/>
        </w:rPr>
        <w:t>diversity</w:t>
      </w:r>
      <w:r>
        <w:rPr>
          <w:spacing w:val="-10"/>
          <w:vertAlign w:val="baseline"/>
        </w:rPr>
        <w:t> </w:t>
      </w:r>
      <w:r>
        <w:rPr>
          <w:vertAlign w:val="baseline"/>
        </w:rPr>
        <w:t>in</w:t>
      </w:r>
      <w:r>
        <w:rPr>
          <w:spacing w:val="-9"/>
          <w:vertAlign w:val="baseline"/>
        </w:rPr>
        <w:t> </w:t>
      </w:r>
      <w:r>
        <w:rPr>
          <w:vertAlign w:val="baseline"/>
        </w:rPr>
        <w:t>Massachusetts,</w:t>
      </w:r>
      <w:r>
        <w:rPr>
          <w:spacing w:val="-9"/>
          <w:vertAlign w:val="baseline"/>
        </w:rPr>
        <w:t> </w:t>
      </w:r>
      <w:r>
        <w:rPr>
          <w:vertAlign w:val="baseline"/>
        </w:rPr>
        <w:t>the</w:t>
      </w:r>
      <w:r>
        <w:rPr>
          <w:spacing w:val="-8"/>
          <w:vertAlign w:val="baseline"/>
        </w:rPr>
        <w:t> </w:t>
      </w:r>
      <w:r>
        <w:rPr>
          <w:vertAlign w:val="baseline"/>
        </w:rPr>
        <w:t>United</w:t>
      </w:r>
      <w:r>
        <w:rPr>
          <w:spacing w:val="-9"/>
          <w:vertAlign w:val="baseline"/>
        </w:rPr>
        <w:t> </w:t>
      </w:r>
      <w:r>
        <w:rPr>
          <w:vertAlign w:val="baseline"/>
        </w:rPr>
        <w:t>States,</w:t>
      </w:r>
      <w:r>
        <w:rPr>
          <w:spacing w:val="-10"/>
          <w:vertAlign w:val="baseline"/>
        </w:rPr>
        <w:t> </w:t>
      </w:r>
      <w:r>
        <w:rPr>
          <w:vertAlign w:val="baseline"/>
        </w:rPr>
        <w:t>and</w:t>
      </w:r>
      <w:r>
        <w:rPr>
          <w:spacing w:val="-9"/>
          <w:vertAlign w:val="baseline"/>
        </w:rPr>
        <w:t> </w:t>
      </w:r>
      <w:r>
        <w:rPr>
          <w:vertAlign w:val="baseline"/>
        </w:rPr>
        <w:t>across the globe.</w:t>
      </w:r>
      <w:hyperlink w:history="true" w:anchor="_bookmark543">
        <w:r>
          <w:rPr>
            <w:vertAlign w:val="superscript"/>
          </w:rPr>
          <w:t>3</w:t>
        </w:r>
      </w:hyperlink>
      <w:hyperlink w:history="true" w:anchor="_bookmark544">
        <w:r>
          <w:rPr>
            <w:vertAlign w:val="superscript"/>
          </w:rPr>
          <w:t>,4</w:t>
        </w:r>
      </w:hyperlink>
      <w:r>
        <w:rPr>
          <w:vertAlign w:val="baseline"/>
        </w:rPr>
        <w:t> Restoring lands to Indigenous control is a crucial aspect of environmental justice</w:t>
      </w:r>
      <w:hyperlink w:history="true" w:anchor="_bookmark544">
        <w:r>
          <w:rPr>
            <w:vertAlign w:val="baseline"/>
          </w:rPr>
          <w:t>.</w:t>
        </w:r>
        <w:r>
          <w:rPr>
            <w:vertAlign w:val="superscript"/>
          </w:rPr>
          <w:t>5</w:t>
        </w:r>
      </w:hyperlink>
    </w:p>
    <w:p>
      <w:pPr>
        <w:spacing w:after="0" w:line="276" w:lineRule="auto"/>
        <w:jc w:val="both"/>
        <w:sectPr>
          <w:pgSz w:w="12240" w:h="15840"/>
          <w:pgMar w:header="800" w:footer="1459" w:top="1300" w:bottom="1680" w:left="1120" w:right="1300"/>
        </w:sectPr>
      </w:pPr>
    </w:p>
    <w:p>
      <w:pPr>
        <w:pStyle w:val="BodyText"/>
        <w:spacing w:line="276" w:lineRule="auto" w:before="67"/>
        <w:ind w:left="323" w:right="143"/>
        <w:jc w:val="both"/>
      </w:pPr>
      <w:bookmarkStart w:name="_bookmark543" w:id="811"/>
      <w:bookmarkEnd w:id="811"/>
      <w:r>
        <w:rPr/>
      </w:r>
      <w:r>
        <w:rPr/>
        <w:t>One of the tenets of environmental justice as defined by the Massachusetts Executive Office of Energy and Environmental Affairs (EEA) is the “equal protection and meaningful involvement of all people and communities” in the environmental policymaking process.</w:t>
      </w:r>
      <w:hyperlink w:history="true" w:anchor="_bookmark544">
        <w:r>
          <w:rPr>
            <w:vertAlign w:val="superscript"/>
          </w:rPr>
          <w:t>6</w:t>
        </w:r>
      </w:hyperlink>
      <w:r>
        <w:rPr>
          <w:vertAlign w:val="baseline"/>
        </w:rPr>
        <w:t> Environmental justice principles have been incorporated into policies and programs at the federal, state, and local level to help address the disproportionate share of environmental burdens experienced by low-income communities and communities of color and ensure a more equitable distribution of environmental assets, such as green space</w:t>
      </w:r>
      <w:hyperlink w:history="true" w:anchor="_bookmark544">
        <w:r>
          <w:rPr>
            <w:vertAlign w:val="baseline"/>
          </w:rPr>
          <w:t>.</w:t>
        </w:r>
        <w:r>
          <w:rPr>
            <w:vertAlign w:val="superscript"/>
          </w:rPr>
          <w:t>7</w:t>
        </w:r>
      </w:hyperlink>
      <w:r>
        <w:rPr>
          <w:vertAlign w:val="baseline"/>
        </w:rPr>
        <w:t> Many of these programs and policies rely on identifying “environmental justice populations” based</w:t>
      </w:r>
      <w:r>
        <w:rPr>
          <w:spacing w:val="-9"/>
          <w:vertAlign w:val="baseline"/>
        </w:rPr>
        <w:t> </w:t>
      </w:r>
      <w:r>
        <w:rPr>
          <w:vertAlign w:val="baseline"/>
        </w:rPr>
        <w:t>on</w:t>
      </w:r>
      <w:r>
        <w:rPr>
          <w:spacing w:val="-9"/>
          <w:vertAlign w:val="baseline"/>
        </w:rPr>
        <w:t> </w:t>
      </w:r>
      <w:r>
        <w:rPr>
          <w:vertAlign w:val="baseline"/>
        </w:rPr>
        <w:t>census</w:t>
      </w:r>
      <w:r>
        <w:rPr>
          <w:spacing w:val="-8"/>
          <w:vertAlign w:val="baseline"/>
        </w:rPr>
        <w:t> </w:t>
      </w:r>
      <w:r>
        <w:rPr>
          <w:vertAlign w:val="baseline"/>
        </w:rPr>
        <w:t>data</w:t>
      </w:r>
      <w:r>
        <w:rPr>
          <w:spacing w:val="-8"/>
          <w:vertAlign w:val="baseline"/>
        </w:rPr>
        <w:t> </w:t>
      </w:r>
      <w:r>
        <w:rPr>
          <w:vertAlign w:val="baseline"/>
        </w:rPr>
        <w:t>on</w:t>
      </w:r>
      <w:r>
        <w:rPr>
          <w:spacing w:val="-9"/>
          <w:vertAlign w:val="baseline"/>
        </w:rPr>
        <w:t> </w:t>
      </w:r>
      <w:r>
        <w:rPr>
          <w:vertAlign w:val="baseline"/>
        </w:rPr>
        <w:t>income,</w:t>
      </w:r>
      <w:r>
        <w:rPr>
          <w:spacing w:val="-8"/>
          <w:vertAlign w:val="baseline"/>
        </w:rPr>
        <w:t> </w:t>
      </w:r>
      <w:r>
        <w:rPr>
          <w:vertAlign w:val="baseline"/>
        </w:rPr>
        <w:t>race,</w:t>
      </w:r>
      <w:r>
        <w:rPr>
          <w:spacing w:val="-8"/>
          <w:vertAlign w:val="baseline"/>
        </w:rPr>
        <w:t> </w:t>
      </w:r>
      <w:r>
        <w:rPr>
          <w:vertAlign w:val="baseline"/>
        </w:rPr>
        <w:t>ethnicity,</w:t>
      </w:r>
      <w:r>
        <w:rPr>
          <w:spacing w:val="-8"/>
          <w:vertAlign w:val="baseline"/>
        </w:rPr>
        <w:t> </w:t>
      </w:r>
      <w:r>
        <w:rPr>
          <w:vertAlign w:val="baseline"/>
        </w:rPr>
        <w:t>and</w:t>
      </w:r>
      <w:r>
        <w:rPr>
          <w:spacing w:val="-8"/>
          <w:vertAlign w:val="baseline"/>
        </w:rPr>
        <w:t> </w:t>
      </w:r>
      <w:r>
        <w:rPr>
          <w:vertAlign w:val="baseline"/>
        </w:rPr>
        <w:t>English</w:t>
      </w:r>
      <w:r>
        <w:rPr>
          <w:spacing w:val="-9"/>
          <w:vertAlign w:val="baseline"/>
        </w:rPr>
        <w:t> </w:t>
      </w:r>
      <w:r>
        <w:rPr>
          <w:vertAlign w:val="baseline"/>
        </w:rPr>
        <w:t>language</w:t>
      </w:r>
      <w:r>
        <w:rPr>
          <w:spacing w:val="-9"/>
          <w:vertAlign w:val="baseline"/>
        </w:rPr>
        <w:t> </w:t>
      </w:r>
      <w:r>
        <w:rPr>
          <w:vertAlign w:val="baseline"/>
        </w:rPr>
        <w:t>proficiency</w:t>
      </w:r>
      <w:hyperlink w:history="true" w:anchor="_bookmark544">
        <w:r>
          <w:rPr>
            <w:vertAlign w:val="baseline"/>
          </w:rPr>
          <w:t>.</w:t>
        </w:r>
        <w:r>
          <w:rPr>
            <w:vertAlign w:val="superscript"/>
          </w:rPr>
          <w:t>8</w:t>
        </w:r>
      </w:hyperlink>
      <w:r>
        <w:rPr>
          <w:spacing w:val="-9"/>
          <w:vertAlign w:val="baseline"/>
        </w:rPr>
        <w:t> </w:t>
      </w:r>
      <w:r>
        <w:rPr>
          <w:vertAlign w:val="baseline"/>
        </w:rPr>
        <w:t>In</w:t>
      </w:r>
      <w:r>
        <w:rPr>
          <w:spacing w:val="-8"/>
          <w:vertAlign w:val="baseline"/>
        </w:rPr>
        <w:t> </w:t>
      </w:r>
      <w:r>
        <w:rPr>
          <w:vertAlign w:val="baseline"/>
        </w:rPr>
        <w:t>Massachusetts,</w:t>
      </w:r>
      <w:r>
        <w:rPr>
          <w:spacing w:val="-8"/>
          <w:vertAlign w:val="baseline"/>
        </w:rPr>
        <w:t> </w:t>
      </w:r>
      <w:r>
        <w:rPr>
          <w:vertAlign w:val="baseline"/>
        </w:rPr>
        <w:t>the EEA works to engage environmental justice populations in environmental decision-making, improve neighborhood</w:t>
      </w:r>
      <w:r>
        <w:rPr>
          <w:spacing w:val="-8"/>
          <w:vertAlign w:val="baseline"/>
        </w:rPr>
        <w:t> </w:t>
      </w:r>
      <w:r>
        <w:rPr>
          <w:vertAlign w:val="baseline"/>
        </w:rPr>
        <w:t>environmental</w:t>
      </w:r>
      <w:r>
        <w:rPr>
          <w:spacing w:val="-7"/>
          <w:vertAlign w:val="baseline"/>
        </w:rPr>
        <w:t> </w:t>
      </w:r>
      <w:r>
        <w:rPr>
          <w:vertAlign w:val="baseline"/>
        </w:rPr>
        <w:t>quality,</w:t>
      </w:r>
      <w:r>
        <w:rPr>
          <w:spacing w:val="-7"/>
          <w:vertAlign w:val="baseline"/>
        </w:rPr>
        <w:t> </w:t>
      </w:r>
      <w:r>
        <w:rPr>
          <w:vertAlign w:val="baseline"/>
        </w:rPr>
        <w:t>and</w:t>
      </w:r>
      <w:r>
        <w:rPr>
          <w:spacing w:val="-8"/>
          <w:vertAlign w:val="baseline"/>
        </w:rPr>
        <w:t> </w:t>
      </w:r>
      <w:r>
        <w:rPr>
          <w:vertAlign w:val="baseline"/>
        </w:rPr>
        <w:t>protect</w:t>
      </w:r>
      <w:r>
        <w:rPr>
          <w:spacing w:val="-7"/>
          <w:vertAlign w:val="baseline"/>
        </w:rPr>
        <w:t> </w:t>
      </w:r>
      <w:r>
        <w:rPr>
          <w:vertAlign w:val="baseline"/>
        </w:rPr>
        <w:t>communities</w:t>
      </w:r>
      <w:r>
        <w:rPr>
          <w:spacing w:val="-7"/>
          <w:vertAlign w:val="baseline"/>
        </w:rPr>
        <w:t> </w:t>
      </w:r>
      <w:r>
        <w:rPr>
          <w:vertAlign w:val="baseline"/>
        </w:rPr>
        <w:t>from</w:t>
      </w:r>
      <w:r>
        <w:rPr>
          <w:spacing w:val="-8"/>
          <w:vertAlign w:val="baseline"/>
        </w:rPr>
        <w:t> </w:t>
      </w:r>
      <w:r>
        <w:rPr>
          <w:vertAlign w:val="baseline"/>
        </w:rPr>
        <w:t>pollution</w:t>
      </w:r>
      <w:r>
        <w:rPr>
          <w:spacing w:val="-5"/>
          <w:vertAlign w:val="baseline"/>
        </w:rPr>
        <w:t> </w:t>
      </w:r>
      <w:r>
        <w:rPr>
          <w:vertAlign w:val="baseline"/>
        </w:rPr>
        <w:t>through</w:t>
      </w:r>
      <w:r>
        <w:rPr>
          <w:spacing w:val="-6"/>
          <w:vertAlign w:val="baseline"/>
        </w:rPr>
        <w:t> </w:t>
      </w:r>
      <w:r>
        <w:rPr>
          <w:vertAlign w:val="baseline"/>
        </w:rPr>
        <w:t>its</w:t>
      </w:r>
      <w:r>
        <w:rPr>
          <w:spacing w:val="-6"/>
          <w:vertAlign w:val="baseline"/>
        </w:rPr>
        <w:t> </w:t>
      </w:r>
      <w:r>
        <w:rPr>
          <w:vertAlign w:val="baseline"/>
        </w:rPr>
        <w:t>Environmental Justice Policy</w:t>
      </w:r>
      <w:hyperlink w:history="true" w:anchor="_bookmark544">
        <w:r>
          <w:rPr>
            <w:vertAlign w:val="baseline"/>
          </w:rPr>
          <w:t>.</w:t>
        </w:r>
        <w:r>
          <w:rPr>
            <w:vertAlign w:val="superscript"/>
          </w:rPr>
          <w:t>9</w:t>
        </w:r>
      </w:hyperlink>
    </w:p>
    <w:p>
      <w:pPr>
        <w:pStyle w:val="BodyText"/>
        <w:spacing w:line="276" w:lineRule="auto" w:before="240"/>
        <w:ind w:left="323" w:right="142"/>
        <w:jc w:val="both"/>
      </w:pPr>
      <w:bookmarkStart w:name="_bookmark544" w:id="812"/>
      <w:bookmarkEnd w:id="812"/>
      <w:r>
        <w:rPr/>
      </w:r>
      <w:r>
        <w:rPr/>
        <w:t>While environmental justice has traditionally focused on the disproportionate burdens faced by low- income communities of color, researchers and activists are increasingly recognizing disparities in the environment</w:t>
      </w:r>
      <w:r>
        <w:rPr>
          <w:spacing w:val="-7"/>
        </w:rPr>
        <w:t> </w:t>
      </w:r>
      <w:r>
        <w:rPr/>
        <w:t>based</w:t>
      </w:r>
      <w:r>
        <w:rPr>
          <w:spacing w:val="-8"/>
        </w:rPr>
        <w:t> </w:t>
      </w:r>
      <w:r>
        <w:rPr/>
        <w:t>on</w:t>
      </w:r>
      <w:r>
        <w:rPr>
          <w:spacing w:val="-7"/>
        </w:rPr>
        <w:t> </w:t>
      </w:r>
      <w:r>
        <w:rPr/>
        <w:t>many</w:t>
      </w:r>
      <w:r>
        <w:rPr>
          <w:spacing w:val="-8"/>
        </w:rPr>
        <w:t> </w:t>
      </w:r>
      <w:r>
        <w:rPr/>
        <w:t>axes</w:t>
      </w:r>
      <w:r>
        <w:rPr>
          <w:spacing w:val="-7"/>
        </w:rPr>
        <w:t> </w:t>
      </w:r>
      <w:r>
        <w:rPr/>
        <w:t>of</w:t>
      </w:r>
      <w:r>
        <w:rPr>
          <w:spacing w:val="-8"/>
        </w:rPr>
        <w:t> </w:t>
      </w:r>
      <w:r>
        <w:rPr/>
        <w:t>oppression,</w:t>
      </w:r>
      <w:r>
        <w:rPr>
          <w:spacing w:val="-7"/>
        </w:rPr>
        <w:t> </w:t>
      </w:r>
      <w:r>
        <w:rPr/>
        <w:t>such</w:t>
      </w:r>
      <w:r>
        <w:rPr>
          <w:spacing w:val="-8"/>
        </w:rPr>
        <w:t> </w:t>
      </w:r>
      <w:r>
        <w:rPr/>
        <w:t>as</w:t>
      </w:r>
      <w:r>
        <w:rPr>
          <w:spacing w:val="-7"/>
        </w:rPr>
        <w:t> </w:t>
      </w:r>
      <w:r>
        <w:rPr/>
        <w:t>gender,</w:t>
      </w:r>
      <w:r>
        <w:rPr>
          <w:spacing w:val="-7"/>
        </w:rPr>
        <w:t> </w:t>
      </w:r>
      <w:r>
        <w:rPr/>
        <w:t>age,</w:t>
      </w:r>
      <w:r>
        <w:rPr>
          <w:spacing w:val="-7"/>
        </w:rPr>
        <w:t> </w:t>
      </w:r>
      <w:r>
        <w:rPr/>
        <w:t>religion,</w:t>
      </w:r>
      <w:r>
        <w:rPr>
          <w:spacing w:val="-6"/>
        </w:rPr>
        <w:t> </w:t>
      </w:r>
      <w:r>
        <w:rPr/>
        <w:t>immigration</w:t>
      </w:r>
      <w:r>
        <w:rPr>
          <w:spacing w:val="-8"/>
        </w:rPr>
        <w:t> </w:t>
      </w:r>
      <w:r>
        <w:rPr/>
        <w:t>status,</w:t>
      </w:r>
      <w:r>
        <w:rPr>
          <w:spacing w:val="-7"/>
        </w:rPr>
        <w:t> </w:t>
      </w:r>
      <w:r>
        <w:rPr/>
        <w:t>ability, and</w:t>
      </w:r>
      <w:r>
        <w:rPr>
          <w:spacing w:val="-9"/>
        </w:rPr>
        <w:t> </w:t>
      </w:r>
      <w:r>
        <w:rPr/>
        <w:t>sexual</w:t>
      </w:r>
      <w:r>
        <w:rPr>
          <w:spacing w:val="-8"/>
        </w:rPr>
        <w:t> </w:t>
      </w:r>
      <w:r>
        <w:rPr/>
        <w:t>orientation</w:t>
      </w:r>
      <w:hyperlink w:history="true" w:anchor="_bookmark545">
        <w:r>
          <w:rPr/>
          <w:t>.</w:t>
        </w:r>
        <w:r>
          <w:rPr>
            <w:vertAlign w:val="superscript"/>
          </w:rPr>
          <w:t>10</w:t>
        </w:r>
      </w:hyperlink>
      <w:r>
        <w:rPr>
          <w:spacing w:val="-8"/>
          <w:vertAlign w:val="baseline"/>
        </w:rPr>
        <w:t> </w:t>
      </w:r>
      <w:r>
        <w:rPr>
          <w:vertAlign w:val="baseline"/>
        </w:rPr>
        <w:t>Intersectionality</w:t>
      </w:r>
      <w:r>
        <w:rPr>
          <w:spacing w:val="-9"/>
          <w:vertAlign w:val="baseline"/>
        </w:rPr>
        <w:t> </w:t>
      </w:r>
      <w:r>
        <w:rPr>
          <w:vertAlign w:val="baseline"/>
        </w:rPr>
        <w:t>reminds</w:t>
      </w:r>
      <w:r>
        <w:rPr>
          <w:spacing w:val="-7"/>
          <w:vertAlign w:val="baseline"/>
        </w:rPr>
        <w:t> </w:t>
      </w:r>
      <w:r>
        <w:rPr>
          <w:vertAlign w:val="baseline"/>
        </w:rPr>
        <w:t>us</w:t>
      </w:r>
      <w:r>
        <w:rPr>
          <w:spacing w:val="-6"/>
          <w:vertAlign w:val="baseline"/>
        </w:rPr>
        <w:t> </w:t>
      </w:r>
      <w:r>
        <w:rPr>
          <w:vertAlign w:val="baseline"/>
        </w:rPr>
        <w:t>that</w:t>
      </w:r>
      <w:r>
        <w:rPr>
          <w:spacing w:val="-8"/>
          <w:vertAlign w:val="baseline"/>
        </w:rPr>
        <w:t> </w:t>
      </w:r>
      <w:r>
        <w:rPr>
          <w:vertAlign w:val="baseline"/>
        </w:rPr>
        <w:t>examining</w:t>
      </w:r>
      <w:r>
        <w:rPr>
          <w:spacing w:val="-8"/>
          <w:vertAlign w:val="baseline"/>
        </w:rPr>
        <w:t> </w:t>
      </w:r>
      <w:r>
        <w:rPr>
          <w:vertAlign w:val="baseline"/>
        </w:rPr>
        <w:t>environmental</w:t>
      </w:r>
      <w:r>
        <w:rPr>
          <w:spacing w:val="-8"/>
          <w:vertAlign w:val="baseline"/>
        </w:rPr>
        <w:t> </w:t>
      </w:r>
      <w:r>
        <w:rPr>
          <w:vertAlign w:val="baseline"/>
        </w:rPr>
        <w:t>injustice</w:t>
      </w:r>
      <w:r>
        <w:rPr>
          <w:spacing w:val="-8"/>
          <w:vertAlign w:val="baseline"/>
        </w:rPr>
        <w:t> </w:t>
      </w:r>
      <w:r>
        <w:rPr>
          <w:vertAlign w:val="baseline"/>
        </w:rPr>
        <w:t>through</w:t>
      </w:r>
      <w:r>
        <w:rPr>
          <w:spacing w:val="-7"/>
          <w:vertAlign w:val="baseline"/>
        </w:rPr>
        <w:t> </w:t>
      </w:r>
      <w:r>
        <w:rPr>
          <w:vertAlign w:val="baseline"/>
        </w:rPr>
        <w:t>the lenses</w:t>
      </w:r>
      <w:r>
        <w:rPr>
          <w:spacing w:val="-4"/>
          <w:vertAlign w:val="baseline"/>
        </w:rPr>
        <w:t> </w:t>
      </w:r>
      <w:r>
        <w:rPr>
          <w:vertAlign w:val="baseline"/>
        </w:rPr>
        <w:t>of</w:t>
      </w:r>
      <w:r>
        <w:rPr>
          <w:spacing w:val="-4"/>
          <w:vertAlign w:val="baseline"/>
        </w:rPr>
        <w:t> </w:t>
      </w:r>
      <w:r>
        <w:rPr>
          <w:vertAlign w:val="baseline"/>
        </w:rPr>
        <w:t>race</w:t>
      </w:r>
      <w:r>
        <w:rPr>
          <w:spacing w:val="-3"/>
          <w:vertAlign w:val="baseline"/>
        </w:rPr>
        <w:t> </w:t>
      </w:r>
      <w:r>
        <w:rPr>
          <w:vertAlign w:val="baseline"/>
        </w:rPr>
        <w:t>and</w:t>
      </w:r>
      <w:r>
        <w:rPr>
          <w:spacing w:val="-3"/>
          <w:vertAlign w:val="baseline"/>
        </w:rPr>
        <w:t> </w:t>
      </w:r>
      <w:r>
        <w:rPr>
          <w:vertAlign w:val="baseline"/>
        </w:rPr>
        <w:t>class</w:t>
      </w:r>
      <w:r>
        <w:rPr>
          <w:spacing w:val="-4"/>
          <w:vertAlign w:val="baseline"/>
        </w:rPr>
        <w:t> </w:t>
      </w:r>
      <w:r>
        <w:rPr>
          <w:vertAlign w:val="baseline"/>
        </w:rPr>
        <w:t>alone</w:t>
      </w:r>
      <w:r>
        <w:rPr>
          <w:spacing w:val="-4"/>
          <w:vertAlign w:val="baseline"/>
        </w:rPr>
        <w:t> </w:t>
      </w:r>
      <w:r>
        <w:rPr>
          <w:vertAlign w:val="baseline"/>
        </w:rPr>
        <w:t>is</w:t>
      </w:r>
      <w:r>
        <w:rPr>
          <w:spacing w:val="-2"/>
          <w:vertAlign w:val="baseline"/>
        </w:rPr>
        <w:t> </w:t>
      </w:r>
      <w:r>
        <w:rPr>
          <w:vertAlign w:val="baseline"/>
        </w:rPr>
        <w:t>not</w:t>
      </w:r>
      <w:r>
        <w:rPr>
          <w:spacing w:val="-3"/>
          <w:vertAlign w:val="baseline"/>
        </w:rPr>
        <w:t> </w:t>
      </w:r>
      <w:r>
        <w:rPr>
          <w:vertAlign w:val="baseline"/>
        </w:rPr>
        <w:t>enough</w:t>
      </w:r>
      <w:r>
        <w:rPr>
          <w:spacing w:val="-5"/>
          <w:vertAlign w:val="baseline"/>
        </w:rPr>
        <w:t> </w:t>
      </w:r>
      <w:r>
        <w:rPr>
          <w:vertAlign w:val="baseline"/>
        </w:rPr>
        <w:t>–</w:t>
      </w:r>
      <w:r>
        <w:rPr>
          <w:spacing w:val="-3"/>
          <w:vertAlign w:val="baseline"/>
        </w:rPr>
        <w:t> </w:t>
      </w:r>
      <w:r>
        <w:rPr>
          <w:vertAlign w:val="baseline"/>
        </w:rPr>
        <w:t>we</w:t>
      </w:r>
      <w:r>
        <w:rPr>
          <w:spacing w:val="-3"/>
          <w:vertAlign w:val="baseline"/>
        </w:rPr>
        <w:t> </w:t>
      </w:r>
      <w:r>
        <w:rPr>
          <w:vertAlign w:val="baseline"/>
        </w:rPr>
        <w:t>must</w:t>
      </w:r>
      <w:r>
        <w:rPr>
          <w:spacing w:val="-5"/>
          <w:vertAlign w:val="baseline"/>
        </w:rPr>
        <w:t> </w:t>
      </w:r>
      <w:r>
        <w:rPr>
          <w:vertAlign w:val="baseline"/>
        </w:rPr>
        <w:t>consider</w:t>
      </w:r>
      <w:r>
        <w:rPr>
          <w:spacing w:val="-3"/>
          <w:vertAlign w:val="baseline"/>
        </w:rPr>
        <w:t> </w:t>
      </w:r>
      <w:r>
        <w:rPr>
          <w:vertAlign w:val="baseline"/>
        </w:rPr>
        <w:t>the</w:t>
      </w:r>
      <w:r>
        <w:rPr>
          <w:spacing w:val="-4"/>
          <w:vertAlign w:val="baseline"/>
        </w:rPr>
        <w:t> </w:t>
      </w:r>
      <w:r>
        <w:rPr>
          <w:vertAlign w:val="baseline"/>
        </w:rPr>
        <w:t>unique</w:t>
      </w:r>
      <w:r>
        <w:rPr>
          <w:spacing w:val="-3"/>
          <w:vertAlign w:val="baseline"/>
        </w:rPr>
        <w:t> </w:t>
      </w:r>
      <w:r>
        <w:rPr>
          <w:vertAlign w:val="baseline"/>
        </w:rPr>
        <w:t>environmental</w:t>
      </w:r>
      <w:r>
        <w:rPr>
          <w:spacing w:val="-3"/>
          <w:vertAlign w:val="baseline"/>
        </w:rPr>
        <w:t> </w:t>
      </w:r>
      <w:r>
        <w:rPr>
          <w:vertAlign w:val="baseline"/>
        </w:rPr>
        <w:t>injustices</w:t>
      </w:r>
      <w:r>
        <w:rPr>
          <w:spacing w:val="-3"/>
          <w:vertAlign w:val="baseline"/>
        </w:rPr>
        <w:t> </w:t>
      </w:r>
      <w:r>
        <w:rPr>
          <w:vertAlign w:val="baseline"/>
        </w:rPr>
        <w:t>that LGBTQ, Indigenous, immigrant, and disabled communities experience, and, most crucially of all, the compounding</w:t>
      </w:r>
      <w:r>
        <w:rPr>
          <w:spacing w:val="-4"/>
          <w:vertAlign w:val="baseline"/>
        </w:rPr>
        <w:t> </w:t>
      </w:r>
      <w:r>
        <w:rPr>
          <w:vertAlign w:val="baseline"/>
        </w:rPr>
        <w:t>injustices</w:t>
      </w:r>
      <w:r>
        <w:rPr>
          <w:spacing w:val="-2"/>
          <w:vertAlign w:val="baseline"/>
        </w:rPr>
        <w:t> </w:t>
      </w:r>
      <w:r>
        <w:rPr>
          <w:vertAlign w:val="baseline"/>
        </w:rPr>
        <w:t>experienced</w:t>
      </w:r>
      <w:r>
        <w:rPr>
          <w:spacing w:val="-4"/>
          <w:vertAlign w:val="baseline"/>
        </w:rPr>
        <w:t> </w:t>
      </w:r>
      <w:r>
        <w:rPr>
          <w:vertAlign w:val="baseline"/>
        </w:rPr>
        <w:t>by</w:t>
      </w:r>
      <w:r>
        <w:rPr>
          <w:spacing w:val="-4"/>
          <w:vertAlign w:val="baseline"/>
        </w:rPr>
        <w:t> </w:t>
      </w:r>
      <w:r>
        <w:rPr>
          <w:vertAlign w:val="baseline"/>
        </w:rPr>
        <w:t>people</w:t>
      </w:r>
      <w:r>
        <w:rPr>
          <w:spacing w:val="-3"/>
          <w:vertAlign w:val="baseline"/>
        </w:rPr>
        <w:t> </w:t>
      </w:r>
      <w:r>
        <w:rPr>
          <w:vertAlign w:val="baseline"/>
        </w:rPr>
        <w:t>who</w:t>
      </w:r>
      <w:r>
        <w:rPr>
          <w:spacing w:val="-2"/>
          <w:vertAlign w:val="baseline"/>
        </w:rPr>
        <w:t> </w:t>
      </w:r>
      <w:r>
        <w:rPr>
          <w:vertAlign w:val="baseline"/>
        </w:rPr>
        <w:t>hold</w:t>
      </w:r>
      <w:r>
        <w:rPr>
          <w:spacing w:val="-3"/>
          <w:vertAlign w:val="baseline"/>
        </w:rPr>
        <w:t> </w:t>
      </w:r>
      <w:r>
        <w:rPr>
          <w:vertAlign w:val="baseline"/>
        </w:rPr>
        <w:t>multiple</w:t>
      </w:r>
      <w:r>
        <w:rPr>
          <w:spacing w:val="-4"/>
          <w:vertAlign w:val="baseline"/>
        </w:rPr>
        <w:t> </w:t>
      </w:r>
      <w:r>
        <w:rPr>
          <w:vertAlign w:val="baseline"/>
        </w:rPr>
        <w:t>oppressed</w:t>
      </w:r>
      <w:r>
        <w:rPr>
          <w:spacing w:val="-3"/>
          <w:vertAlign w:val="baseline"/>
        </w:rPr>
        <w:t> </w:t>
      </w:r>
      <w:r>
        <w:rPr>
          <w:vertAlign w:val="baseline"/>
        </w:rPr>
        <w:t>identities,</w:t>
      </w:r>
      <w:r>
        <w:rPr>
          <w:spacing w:val="-4"/>
          <w:vertAlign w:val="baseline"/>
        </w:rPr>
        <w:t> </w:t>
      </w:r>
      <w:r>
        <w:rPr>
          <w:vertAlign w:val="baseline"/>
        </w:rPr>
        <w:t>such</w:t>
      </w:r>
      <w:r>
        <w:rPr>
          <w:spacing w:val="-4"/>
          <w:vertAlign w:val="baseline"/>
        </w:rPr>
        <w:t> </w:t>
      </w:r>
      <w:r>
        <w:rPr>
          <w:vertAlign w:val="baseline"/>
        </w:rPr>
        <w:t>as</w:t>
      </w:r>
      <w:r>
        <w:rPr>
          <w:spacing w:val="-4"/>
          <w:vertAlign w:val="baseline"/>
        </w:rPr>
        <w:t> </w:t>
      </w:r>
      <w:r>
        <w:rPr>
          <w:vertAlign w:val="baseline"/>
        </w:rPr>
        <w:t>QTBIPOC </w:t>
      </w:r>
      <w:r>
        <w:rPr>
          <w:spacing w:val="-2"/>
          <w:vertAlign w:val="baseline"/>
        </w:rPr>
        <w:t>youth</w:t>
      </w:r>
      <w:hyperlink w:history="true" w:anchor="_bookmark545">
        <w:r>
          <w:rPr>
            <w:spacing w:val="-2"/>
            <w:vertAlign w:val="baseline"/>
          </w:rPr>
          <w:t>.</w:t>
        </w:r>
        <w:r>
          <w:rPr>
            <w:spacing w:val="-2"/>
            <w:vertAlign w:val="superscript"/>
          </w:rPr>
          <w:t>11</w:t>
        </w:r>
      </w:hyperlink>
    </w:p>
    <w:p>
      <w:pPr>
        <w:spacing w:before="240"/>
        <w:ind w:left="323" w:right="0" w:firstLine="0"/>
        <w:jc w:val="both"/>
        <w:rPr>
          <w:sz w:val="28"/>
        </w:rPr>
      </w:pPr>
      <w:bookmarkStart w:name="Cumulative Impacts and Social Determinan" w:id="813"/>
      <w:bookmarkEnd w:id="813"/>
      <w:r>
        <w:rPr/>
      </w:r>
      <w:bookmarkStart w:name="_bookmark545" w:id="814"/>
      <w:bookmarkEnd w:id="814"/>
      <w:r>
        <w:rPr/>
      </w:r>
      <w:r>
        <w:rPr>
          <w:color w:val="365F91"/>
          <w:sz w:val="28"/>
        </w:rPr>
        <w:t>Cumulative</w:t>
      </w:r>
      <w:r>
        <w:rPr>
          <w:color w:val="365F91"/>
          <w:spacing w:val="-11"/>
          <w:sz w:val="28"/>
        </w:rPr>
        <w:t> </w:t>
      </w:r>
      <w:r>
        <w:rPr>
          <w:color w:val="365F91"/>
          <w:sz w:val="28"/>
        </w:rPr>
        <w:t>Impacts</w:t>
      </w:r>
      <w:r>
        <w:rPr>
          <w:color w:val="365F91"/>
          <w:spacing w:val="-11"/>
          <w:sz w:val="28"/>
        </w:rPr>
        <w:t> </w:t>
      </w:r>
      <w:r>
        <w:rPr>
          <w:color w:val="365F91"/>
          <w:sz w:val="28"/>
        </w:rPr>
        <w:t>and</w:t>
      </w:r>
      <w:r>
        <w:rPr>
          <w:color w:val="365F91"/>
          <w:spacing w:val="-11"/>
          <w:sz w:val="28"/>
        </w:rPr>
        <w:t> </w:t>
      </w:r>
      <w:r>
        <w:rPr>
          <w:color w:val="365F91"/>
          <w:sz w:val="28"/>
        </w:rPr>
        <w:t>Social</w:t>
      </w:r>
      <w:r>
        <w:rPr>
          <w:color w:val="365F91"/>
          <w:spacing w:val="-12"/>
          <w:sz w:val="28"/>
        </w:rPr>
        <w:t> </w:t>
      </w:r>
      <w:r>
        <w:rPr>
          <w:color w:val="365F91"/>
          <w:sz w:val="28"/>
        </w:rPr>
        <w:t>Determinants</w:t>
      </w:r>
      <w:r>
        <w:rPr>
          <w:color w:val="365F91"/>
          <w:spacing w:val="-10"/>
          <w:sz w:val="28"/>
        </w:rPr>
        <w:t> </w:t>
      </w:r>
      <w:r>
        <w:rPr>
          <w:color w:val="365F91"/>
          <w:sz w:val="28"/>
        </w:rPr>
        <w:t>of</w:t>
      </w:r>
      <w:r>
        <w:rPr>
          <w:color w:val="365F91"/>
          <w:spacing w:val="-11"/>
          <w:sz w:val="28"/>
        </w:rPr>
        <w:t> </w:t>
      </w:r>
      <w:r>
        <w:rPr>
          <w:color w:val="365F91"/>
          <w:spacing w:val="-2"/>
          <w:sz w:val="28"/>
        </w:rPr>
        <w:t>Health</w:t>
      </w:r>
    </w:p>
    <w:p>
      <w:pPr>
        <w:pStyle w:val="BodyText"/>
        <w:spacing w:line="276" w:lineRule="auto" w:before="291"/>
        <w:ind w:left="323" w:right="140"/>
        <w:jc w:val="both"/>
      </w:pPr>
      <w:bookmarkStart w:name="_bookmark546" w:id="815"/>
      <w:bookmarkEnd w:id="815"/>
      <w:r>
        <w:rPr/>
      </w:r>
      <w:r>
        <w:rPr/>
        <w:t>Before</w:t>
      </w:r>
      <w:r>
        <w:rPr>
          <w:spacing w:val="-8"/>
        </w:rPr>
        <w:t> </w:t>
      </w:r>
      <w:r>
        <w:rPr/>
        <w:t>we</w:t>
      </w:r>
      <w:r>
        <w:rPr>
          <w:spacing w:val="-8"/>
        </w:rPr>
        <w:t> </w:t>
      </w:r>
      <w:r>
        <w:rPr/>
        <w:t>explore</w:t>
      </w:r>
      <w:r>
        <w:rPr>
          <w:spacing w:val="-8"/>
        </w:rPr>
        <w:t> </w:t>
      </w:r>
      <w:r>
        <w:rPr/>
        <w:t>research</w:t>
      </w:r>
      <w:r>
        <w:rPr>
          <w:spacing w:val="-8"/>
        </w:rPr>
        <w:t> </w:t>
      </w:r>
      <w:r>
        <w:rPr/>
        <w:t>on</w:t>
      </w:r>
      <w:r>
        <w:rPr>
          <w:spacing w:val="-8"/>
        </w:rPr>
        <w:t> </w:t>
      </w:r>
      <w:r>
        <w:rPr/>
        <w:t>environmental</w:t>
      </w:r>
      <w:r>
        <w:rPr>
          <w:spacing w:val="-8"/>
        </w:rPr>
        <w:t> </w:t>
      </w:r>
      <w:r>
        <w:rPr/>
        <w:t>inequities</w:t>
      </w:r>
      <w:r>
        <w:rPr>
          <w:spacing w:val="-8"/>
        </w:rPr>
        <w:t> </w:t>
      </w:r>
      <w:r>
        <w:rPr/>
        <w:t>impacting</w:t>
      </w:r>
      <w:r>
        <w:rPr>
          <w:spacing w:val="-8"/>
        </w:rPr>
        <w:t> </w:t>
      </w:r>
      <w:r>
        <w:rPr/>
        <w:t>LGBTQ</w:t>
      </w:r>
      <w:r>
        <w:rPr>
          <w:spacing w:val="-8"/>
        </w:rPr>
        <w:t> </w:t>
      </w:r>
      <w:r>
        <w:rPr/>
        <w:t>youth,</w:t>
      </w:r>
      <w:r>
        <w:rPr>
          <w:spacing w:val="-8"/>
        </w:rPr>
        <w:t> </w:t>
      </w:r>
      <w:r>
        <w:rPr/>
        <w:t>let’s</w:t>
      </w:r>
      <w:r>
        <w:rPr>
          <w:spacing w:val="-8"/>
        </w:rPr>
        <w:t> </w:t>
      </w:r>
      <w:r>
        <w:rPr/>
        <w:t>first</w:t>
      </w:r>
      <w:r>
        <w:rPr>
          <w:spacing w:val="-8"/>
        </w:rPr>
        <w:t> </w:t>
      </w:r>
      <w:r>
        <w:rPr/>
        <w:t>consider</w:t>
      </w:r>
      <w:r>
        <w:rPr>
          <w:spacing w:val="-8"/>
        </w:rPr>
        <w:t> </w:t>
      </w:r>
      <w:r>
        <w:rPr/>
        <w:t>a</w:t>
      </w:r>
      <w:r>
        <w:rPr>
          <w:spacing w:val="-8"/>
        </w:rPr>
        <w:t> </w:t>
      </w:r>
      <w:r>
        <w:rPr/>
        <w:t>few frameworks from public health that may help us better understand the relationship between exposures to toxic chemicals in the environment and negative health impacts, particularly for communities facing multiple stressors such as LGBTQ youth. The relationship between exposure to pollution and the long- term impacts of that exposure on your health is rarely straightforward. First, there is often a time lag between the exposure and the development of a disease which makes it difficult to link the two. Furthermore, the long-term health conditions that are caused by toxic chemicals and environmental hazards</w:t>
      </w:r>
      <w:r>
        <w:rPr>
          <w:spacing w:val="-6"/>
        </w:rPr>
        <w:t> </w:t>
      </w:r>
      <w:r>
        <w:rPr/>
        <w:t>are</w:t>
      </w:r>
      <w:r>
        <w:rPr>
          <w:spacing w:val="-7"/>
        </w:rPr>
        <w:t> </w:t>
      </w:r>
      <w:r>
        <w:rPr/>
        <w:t>often</w:t>
      </w:r>
      <w:r>
        <w:rPr>
          <w:spacing w:val="-6"/>
        </w:rPr>
        <w:t> </w:t>
      </w:r>
      <w:r>
        <w:rPr/>
        <w:t>complex</w:t>
      </w:r>
      <w:r>
        <w:rPr>
          <w:spacing w:val="-6"/>
        </w:rPr>
        <w:t> </w:t>
      </w:r>
      <w:r>
        <w:rPr/>
        <w:t>and</w:t>
      </w:r>
      <w:r>
        <w:rPr>
          <w:spacing w:val="-7"/>
        </w:rPr>
        <w:t> </w:t>
      </w:r>
      <w:r>
        <w:rPr/>
        <w:t>influenced</w:t>
      </w:r>
      <w:r>
        <w:rPr>
          <w:spacing w:val="-7"/>
        </w:rPr>
        <w:t> </w:t>
      </w:r>
      <w:r>
        <w:rPr/>
        <w:t>by</w:t>
      </w:r>
      <w:r>
        <w:rPr>
          <w:spacing w:val="-5"/>
        </w:rPr>
        <w:t> </w:t>
      </w:r>
      <w:r>
        <w:rPr/>
        <w:t>many</w:t>
      </w:r>
      <w:r>
        <w:rPr>
          <w:spacing w:val="-6"/>
        </w:rPr>
        <w:t> </w:t>
      </w:r>
      <w:r>
        <w:rPr/>
        <w:t>genetic</w:t>
      </w:r>
      <w:r>
        <w:rPr>
          <w:spacing w:val="-7"/>
        </w:rPr>
        <w:t> </w:t>
      </w:r>
      <w:r>
        <w:rPr/>
        <w:t>and</w:t>
      </w:r>
      <w:r>
        <w:rPr>
          <w:spacing w:val="-5"/>
        </w:rPr>
        <w:t> </w:t>
      </w:r>
      <w:r>
        <w:rPr/>
        <w:t>environmental</w:t>
      </w:r>
      <w:r>
        <w:rPr>
          <w:spacing w:val="-5"/>
        </w:rPr>
        <w:t> </w:t>
      </w:r>
      <w:r>
        <w:rPr/>
        <w:t>risk</w:t>
      </w:r>
      <w:r>
        <w:rPr>
          <w:spacing w:val="-7"/>
        </w:rPr>
        <w:t> </w:t>
      </w:r>
      <w:r>
        <w:rPr/>
        <w:t>factors,</w:t>
      </w:r>
      <w:r>
        <w:rPr>
          <w:spacing w:val="-6"/>
        </w:rPr>
        <w:t> </w:t>
      </w:r>
      <w:r>
        <w:rPr/>
        <w:t>making</w:t>
      </w:r>
      <w:r>
        <w:rPr>
          <w:spacing w:val="-7"/>
        </w:rPr>
        <w:t> </w:t>
      </w:r>
      <w:r>
        <w:rPr/>
        <w:t>it</w:t>
      </w:r>
      <w:r>
        <w:rPr>
          <w:spacing w:val="-7"/>
        </w:rPr>
        <w:t> </w:t>
      </w:r>
      <w:r>
        <w:rPr/>
        <w:t>very difficult to prove that a specific exposure was the cause of a condition such as cancer or heart disease.</w:t>
      </w:r>
    </w:p>
    <w:p>
      <w:pPr>
        <w:pStyle w:val="BodyText"/>
        <w:spacing w:line="276" w:lineRule="auto" w:before="241"/>
        <w:ind w:left="323" w:right="143"/>
        <w:jc w:val="both"/>
      </w:pPr>
      <w:bookmarkStart w:name="_bookmark547" w:id="816"/>
      <w:bookmarkEnd w:id="816"/>
      <w:r>
        <w:rPr/>
      </w:r>
      <w:r>
        <w:rPr/>
        <w:t>To</w:t>
      </w:r>
      <w:r>
        <w:rPr>
          <w:spacing w:val="-8"/>
        </w:rPr>
        <w:t> </w:t>
      </w:r>
      <w:r>
        <w:rPr/>
        <w:t>make</w:t>
      </w:r>
      <w:r>
        <w:rPr>
          <w:spacing w:val="-8"/>
        </w:rPr>
        <w:t> </w:t>
      </w:r>
      <w:r>
        <w:rPr/>
        <w:t>matters</w:t>
      </w:r>
      <w:r>
        <w:rPr>
          <w:spacing w:val="-8"/>
        </w:rPr>
        <w:t> </w:t>
      </w:r>
      <w:r>
        <w:rPr/>
        <w:t>even</w:t>
      </w:r>
      <w:r>
        <w:rPr>
          <w:spacing w:val="-8"/>
        </w:rPr>
        <w:t> </w:t>
      </w:r>
      <w:r>
        <w:rPr/>
        <w:t>more</w:t>
      </w:r>
      <w:r>
        <w:rPr>
          <w:spacing w:val="-8"/>
        </w:rPr>
        <w:t> </w:t>
      </w:r>
      <w:r>
        <w:rPr/>
        <w:t>complicated,</w:t>
      </w:r>
      <w:r>
        <w:rPr>
          <w:spacing w:val="-8"/>
        </w:rPr>
        <w:t> </w:t>
      </w:r>
      <w:r>
        <w:rPr/>
        <w:t>most</w:t>
      </w:r>
      <w:r>
        <w:rPr>
          <w:spacing w:val="-8"/>
        </w:rPr>
        <w:t> </w:t>
      </w:r>
      <w:r>
        <w:rPr/>
        <w:t>people</w:t>
      </w:r>
      <w:r>
        <w:rPr>
          <w:spacing w:val="-8"/>
        </w:rPr>
        <w:t> </w:t>
      </w:r>
      <w:r>
        <w:rPr/>
        <w:t>are</w:t>
      </w:r>
      <w:r>
        <w:rPr>
          <w:spacing w:val="-8"/>
        </w:rPr>
        <w:t> </w:t>
      </w:r>
      <w:r>
        <w:rPr/>
        <w:t>exposed</w:t>
      </w:r>
      <w:r>
        <w:rPr>
          <w:spacing w:val="-8"/>
        </w:rPr>
        <w:t> </w:t>
      </w:r>
      <w:r>
        <w:rPr/>
        <w:t>to</w:t>
      </w:r>
      <w:r>
        <w:rPr>
          <w:spacing w:val="-7"/>
        </w:rPr>
        <w:t> </w:t>
      </w:r>
      <w:r>
        <w:rPr/>
        <w:t>many</w:t>
      </w:r>
      <w:r>
        <w:rPr>
          <w:spacing w:val="-7"/>
        </w:rPr>
        <w:t> </w:t>
      </w:r>
      <w:r>
        <w:rPr/>
        <w:t>chemicals</w:t>
      </w:r>
      <w:r>
        <w:rPr>
          <w:spacing w:val="-8"/>
        </w:rPr>
        <w:t> </w:t>
      </w:r>
      <w:r>
        <w:rPr/>
        <w:t>over</w:t>
      </w:r>
      <w:r>
        <w:rPr>
          <w:spacing w:val="-7"/>
        </w:rPr>
        <w:t> </w:t>
      </w:r>
      <w:r>
        <w:rPr/>
        <w:t>the</w:t>
      </w:r>
      <w:r>
        <w:rPr>
          <w:spacing w:val="-8"/>
        </w:rPr>
        <w:t> </w:t>
      </w:r>
      <w:r>
        <w:rPr/>
        <w:t>course</w:t>
      </w:r>
      <w:r>
        <w:rPr>
          <w:spacing w:val="-8"/>
        </w:rPr>
        <w:t> </w:t>
      </w:r>
      <w:r>
        <w:rPr/>
        <w:t>of their lifetime, and health conditions might not be caused by one specific exposure, but they may rather be</w:t>
      </w:r>
      <w:r>
        <w:rPr>
          <w:spacing w:val="-10"/>
        </w:rPr>
        <w:t> </w:t>
      </w:r>
      <w:r>
        <w:rPr/>
        <w:t>a</w:t>
      </w:r>
      <w:r>
        <w:rPr>
          <w:spacing w:val="-10"/>
        </w:rPr>
        <w:t> </w:t>
      </w:r>
      <w:r>
        <w:rPr/>
        <w:t>result</w:t>
      </w:r>
      <w:r>
        <w:rPr>
          <w:spacing w:val="-9"/>
        </w:rPr>
        <w:t> </w:t>
      </w:r>
      <w:r>
        <w:rPr/>
        <w:t>of</w:t>
      </w:r>
      <w:r>
        <w:rPr>
          <w:spacing w:val="-10"/>
        </w:rPr>
        <w:t> </w:t>
      </w:r>
      <w:r>
        <w:rPr/>
        <w:t>the</w:t>
      </w:r>
      <w:r>
        <w:rPr>
          <w:spacing w:val="-9"/>
        </w:rPr>
        <w:t> </w:t>
      </w:r>
      <w:r>
        <w:rPr/>
        <w:t>cumulative</w:t>
      </w:r>
      <w:r>
        <w:rPr>
          <w:spacing w:val="-10"/>
        </w:rPr>
        <w:t> </w:t>
      </w:r>
      <w:r>
        <w:rPr/>
        <w:t>impact</w:t>
      </w:r>
      <w:r>
        <w:rPr>
          <w:spacing w:val="-11"/>
        </w:rPr>
        <w:t> </w:t>
      </w:r>
      <w:r>
        <w:rPr/>
        <w:t>of</w:t>
      </w:r>
      <w:r>
        <w:rPr>
          <w:spacing w:val="-10"/>
        </w:rPr>
        <w:t> </w:t>
      </w:r>
      <w:r>
        <w:rPr/>
        <w:t>all</w:t>
      </w:r>
      <w:r>
        <w:rPr>
          <w:spacing w:val="-11"/>
        </w:rPr>
        <w:t> </w:t>
      </w:r>
      <w:r>
        <w:rPr/>
        <w:t>these</w:t>
      </w:r>
      <w:r>
        <w:rPr>
          <w:spacing w:val="-9"/>
        </w:rPr>
        <w:t> </w:t>
      </w:r>
      <w:r>
        <w:rPr/>
        <w:t>exposures</w:t>
      </w:r>
      <w:r>
        <w:rPr>
          <w:spacing w:val="-10"/>
        </w:rPr>
        <w:t> </w:t>
      </w:r>
      <w:r>
        <w:rPr/>
        <w:t>added</w:t>
      </w:r>
      <w:r>
        <w:rPr>
          <w:spacing w:val="-9"/>
        </w:rPr>
        <w:t> </w:t>
      </w:r>
      <w:r>
        <w:rPr/>
        <w:t>together</w:t>
      </w:r>
      <w:r>
        <w:rPr>
          <w:spacing w:val="-9"/>
        </w:rPr>
        <w:t> </w:t>
      </w:r>
      <w:r>
        <w:rPr/>
        <w:t>over</w:t>
      </w:r>
      <w:r>
        <w:rPr>
          <w:spacing w:val="-10"/>
        </w:rPr>
        <w:t> </w:t>
      </w:r>
      <w:r>
        <w:rPr/>
        <w:t>time.</w:t>
      </w:r>
      <w:r>
        <w:rPr>
          <w:spacing w:val="-11"/>
        </w:rPr>
        <w:t> </w:t>
      </w:r>
      <w:r>
        <w:rPr/>
        <w:t>There</w:t>
      </w:r>
      <w:r>
        <w:rPr>
          <w:spacing w:val="-10"/>
        </w:rPr>
        <w:t> </w:t>
      </w:r>
      <w:r>
        <w:rPr/>
        <w:t>are</w:t>
      </w:r>
      <w:r>
        <w:rPr>
          <w:spacing w:val="-10"/>
        </w:rPr>
        <w:t> </w:t>
      </w:r>
      <w:r>
        <w:rPr/>
        <w:t>also</w:t>
      </w:r>
      <w:r>
        <w:rPr>
          <w:spacing w:val="-10"/>
        </w:rPr>
        <w:t> </w:t>
      </w:r>
      <w:r>
        <w:rPr/>
        <w:t>many socioeconomic factors that play important mediating roles in determining the level of risk posed by exposure. For example, someone with stable access to food, housing, health care, and employment will likely be more resilient in the face of exposure than someone who faces barriers to accessing these resources.</w:t>
      </w:r>
      <w:r>
        <w:rPr>
          <w:spacing w:val="-9"/>
        </w:rPr>
        <w:t> </w:t>
      </w:r>
      <w:r>
        <w:rPr/>
        <w:t>So,</w:t>
      </w:r>
      <w:r>
        <w:rPr>
          <w:spacing w:val="-9"/>
        </w:rPr>
        <w:t> </w:t>
      </w:r>
      <w:r>
        <w:rPr/>
        <w:t>considering</w:t>
      </w:r>
      <w:r>
        <w:rPr>
          <w:spacing w:val="-8"/>
        </w:rPr>
        <w:t> </w:t>
      </w:r>
      <w:r>
        <w:rPr/>
        <w:t>these</w:t>
      </w:r>
      <w:r>
        <w:rPr>
          <w:spacing w:val="-8"/>
        </w:rPr>
        <w:t> </w:t>
      </w:r>
      <w:r>
        <w:rPr/>
        <w:t>complexities,</w:t>
      </w:r>
      <w:r>
        <w:rPr>
          <w:spacing w:val="-7"/>
        </w:rPr>
        <w:t> </w:t>
      </w:r>
      <w:r>
        <w:rPr/>
        <w:t>how</w:t>
      </w:r>
      <w:r>
        <w:rPr>
          <w:spacing w:val="-9"/>
        </w:rPr>
        <w:t> </w:t>
      </w:r>
      <w:r>
        <w:rPr/>
        <w:t>can</w:t>
      </w:r>
      <w:r>
        <w:rPr>
          <w:spacing w:val="-9"/>
        </w:rPr>
        <w:t> </w:t>
      </w:r>
      <w:r>
        <w:rPr/>
        <w:t>we</w:t>
      </w:r>
      <w:r>
        <w:rPr>
          <w:spacing w:val="-8"/>
        </w:rPr>
        <w:t> </w:t>
      </w:r>
      <w:r>
        <w:rPr/>
        <w:t>make</w:t>
      </w:r>
      <w:r>
        <w:rPr>
          <w:spacing w:val="-9"/>
        </w:rPr>
        <w:t> </w:t>
      </w:r>
      <w:r>
        <w:rPr/>
        <w:t>sense</w:t>
      </w:r>
      <w:r>
        <w:rPr>
          <w:spacing w:val="-9"/>
        </w:rPr>
        <w:t> </w:t>
      </w:r>
      <w:r>
        <w:rPr/>
        <w:t>of</w:t>
      </w:r>
      <w:r>
        <w:rPr>
          <w:spacing w:val="-8"/>
        </w:rPr>
        <w:t> </w:t>
      </w:r>
      <w:r>
        <w:rPr/>
        <w:t>the</w:t>
      </w:r>
      <w:r>
        <w:rPr>
          <w:spacing w:val="-8"/>
        </w:rPr>
        <w:t> </w:t>
      </w:r>
      <w:r>
        <w:rPr/>
        <w:t>impacts</w:t>
      </w:r>
      <w:r>
        <w:rPr>
          <w:spacing w:val="-8"/>
        </w:rPr>
        <w:t> </w:t>
      </w:r>
      <w:r>
        <w:rPr/>
        <w:t>of</w:t>
      </w:r>
      <w:r>
        <w:rPr>
          <w:spacing w:val="-8"/>
        </w:rPr>
        <w:t> </w:t>
      </w:r>
      <w:r>
        <w:rPr/>
        <w:t>the</w:t>
      </w:r>
      <w:r>
        <w:rPr>
          <w:spacing w:val="-9"/>
        </w:rPr>
        <w:t> </w:t>
      </w:r>
      <w:r>
        <w:rPr/>
        <w:t>environment on communities facing environmental injustice?</w:t>
      </w:r>
    </w:p>
    <w:p>
      <w:pPr>
        <w:spacing w:after="0" w:line="276" w:lineRule="auto"/>
        <w:jc w:val="both"/>
        <w:sectPr>
          <w:pgSz w:w="12240" w:h="15840"/>
          <w:pgMar w:header="800" w:footer="1459" w:top="1300" w:bottom="1700" w:left="1120" w:right="1300"/>
        </w:sectPr>
      </w:pPr>
    </w:p>
    <w:p>
      <w:pPr>
        <w:pStyle w:val="BodyText"/>
        <w:spacing w:line="276" w:lineRule="auto" w:before="67"/>
        <w:ind w:left="323" w:right="139"/>
        <w:jc w:val="both"/>
      </w:pPr>
      <w:bookmarkStart w:name="_bookmark548" w:id="817"/>
      <w:bookmarkEnd w:id="817"/>
      <w:r>
        <w:rPr/>
      </w:r>
      <w:r>
        <w:rPr/>
        <w:t>Cumulative Impacts and Social Determinants of Health are two frameworks from environmental and public</w:t>
      </w:r>
      <w:r>
        <w:rPr>
          <w:spacing w:val="-13"/>
        </w:rPr>
        <w:t> </w:t>
      </w:r>
      <w:r>
        <w:rPr/>
        <w:t>health</w:t>
      </w:r>
      <w:r>
        <w:rPr>
          <w:spacing w:val="-10"/>
        </w:rPr>
        <w:t> </w:t>
      </w:r>
      <w:r>
        <w:rPr/>
        <w:t>that</w:t>
      </w:r>
      <w:r>
        <w:rPr>
          <w:spacing w:val="-13"/>
        </w:rPr>
        <w:t> </w:t>
      </w:r>
      <w:r>
        <w:rPr/>
        <w:t>can</w:t>
      </w:r>
      <w:r>
        <w:rPr>
          <w:spacing w:val="-12"/>
        </w:rPr>
        <w:t> </w:t>
      </w:r>
      <w:r>
        <w:rPr/>
        <w:t>help</w:t>
      </w:r>
      <w:r>
        <w:rPr>
          <w:spacing w:val="-11"/>
        </w:rPr>
        <w:t> </w:t>
      </w:r>
      <w:r>
        <w:rPr/>
        <w:t>us</w:t>
      </w:r>
      <w:r>
        <w:rPr>
          <w:spacing w:val="-12"/>
        </w:rPr>
        <w:t> </w:t>
      </w:r>
      <w:r>
        <w:rPr/>
        <w:t>understand</w:t>
      </w:r>
      <w:r>
        <w:rPr>
          <w:spacing w:val="-13"/>
        </w:rPr>
        <w:t> </w:t>
      </w:r>
      <w:r>
        <w:rPr/>
        <w:t>the</w:t>
      </w:r>
      <w:r>
        <w:rPr>
          <w:spacing w:val="-12"/>
        </w:rPr>
        <w:t> </w:t>
      </w:r>
      <w:r>
        <w:rPr/>
        <w:t>relationship</w:t>
      </w:r>
      <w:r>
        <w:rPr>
          <w:spacing w:val="-12"/>
        </w:rPr>
        <w:t> </w:t>
      </w:r>
      <w:r>
        <w:rPr/>
        <w:t>between</w:t>
      </w:r>
      <w:r>
        <w:rPr>
          <w:spacing w:val="-11"/>
        </w:rPr>
        <w:t> </w:t>
      </w:r>
      <w:r>
        <w:rPr/>
        <w:t>exposure</w:t>
      </w:r>
      <w:r>
        <w:rPr>
          <w:spacing w:val="-13"/>
        </w:rPr>
        <w:t> </w:t>
      </w:r>
      <w:r>
        <w:rPr/>
        <w:t>to</w:t>
      </w:r>
      <w:r>
        <w:rPr>
          <w:spacing w:val="-10"/>
        </w:rPr>
        <w:t> </w:t>
      </w:r>
      <w:r>
        <w:rPr/>
        <w:t>pollution</w:t>
      </w:r>
      <w:r>
        <w:rPr>
          <w:spacing w:val="-13"/>
        </w:rPr>
        <w:t> </w:t>
      </w:r>
      <w:r>
        <w:rPr/>
        <w:t>and</w:t>
      </w:r>
      <w:r>
        <w:rPr>
          <w:spacing w:val="-10"/>
        </w:rPr>
        <w:t> </w:t>
      </w:r>
      <w:r>
        <w:rPr/>
        <w:t>detrimental long-term health outcomes. The Cumulative Impacts model of environmental health highlights the fact that,</w:t>
      </w:r>
      <w:r>
        <w:rPr>
          <w:spacing w:val="-1"/>
        </w:rPr>
        <w:t> </w:t>
      </w:r>
      <w:r>
        <w:rPr/>
        <w:t>in</w:t>
      </w:r>
      <w:r>
        <w:rPr>
          <w:spacing w:val="-1"/>
        </w:rPr>
        <w:t> </w:t>
      </w:r>
      <w:r>
        <w:rPr/>
        <w:t>the</w:t>
      </w:r>
      <w:r>
        <w:rPr>
          <w:spacing w:val="-2"/>
        </w:rPr>
        <w:t> </w:t>
      </w:r>
      <w:r>
        <w:rPr/>
        <w:t>real</w:t>
      </w:r>
      <w:r>
        <w:rPr>
          <w:spacing w:val="-2"/>
        </w:rPr>
        <w:t> </w:t>
      </w:r>
      <w:r>
        <w:rPr/>
        <w:t>world,</w:t>
      </w:r>
      <w:r>
        <w:rPr>
          <w:spacing w:val="-2"/>
        </w:rPr>
        <w:t> </w:t>
      </w:r>
      <w:r>
        <w:rPr/>
        <w:t>people</w:t>
      </w:r>
      <w:r>
        <w:rPr>
          <w:spacing w:val="-2"/>
        </w:rPr>
        <w:t> </w:t>
      </w:r>
      <w:r>
        <w:rPr/>
        <w:t>are</w:t>
      </w:r>
      <w:r>
        <w:rPr>
          <w:spacing w:val="-2"/>
        </w:rPr>
        <w:t> </w:t>
      </w:r>
      <w:r>
        <w:rPr/>
        <w:t>rarely</w:t>
      </w:r>
      <w:r>
        <w:rPr>
          <w:spacing w:val="-1"/>
        </w:rPr>
        <w:t> </w:t>
      </w:r>
      <w:r>
        <w:rPr/>
        <w:t>exposed</w:t>
      </w:r>
      <w:r>
        <w:rPr>
          <w:spacing w:val="-2"/>
        </w:rPr>
        <w:t> </w:t>
      </w:r>
      <w:r>
        <w:rPr/>
        <w:t>to</w:t>
      </w:r>
      <w:r>
        <w:rPr>
          <w:spacing w:val="-1"/>
        </w:rPr>
        <w:t> </w:t>
      </w:r>
      <w:r>
        <w:rPr/>
        <w:t>a single</w:t>
      </w:r>
      <w:r>
        <w:rPr>
          <w:spacing w:val="-2"/>
        </w:rPr>
        <w:t> </w:t>
      </w:r>
      <w:r>
        <w:rPr/>
        <w:t>pollutant</w:t>
      </w:r>
      <w:r>
        <w:rPr>
          <w:spacing w:val="-2"/>
        </w:rPr>
        <w:t> </w:t>
      </w:r>
      <w:r>
        <w:rPr/>
        <w:t>at</w:t>
      </w:r>
      <w:r>
        <w:rPr>
          <w:spacing w:val="-2"/>
        </w:rPr>
        <w:t> </w:t>
      </w:r>
      <w:r>
        <w:rPr/>
        <w:t>a</w:t>
      </w:r>
      <w:r>
        <w:rPr>
          <w:spacing w:val="-1"/>
        </w:rPr>
        <w:t> </w:t>
      </w:r>
      <w:r>
        <w:rPr/>
        <w:t>high</w:t>
      </w:r>
      <w:r>
        <w:rPr>
          <w:spacing w:val="-1"/>
        </w:rPr>
        <w:t> </w:t>
      </w:r>
      <w:r>
        <w:rPr/>
        <w:t>concentration,</w:t>
      </w:r>
      <w:r>
        <w:rPr>
          <w:spacing w:val="-2"/>
        </w:rPr>
        <w:t> </w:t>
      </w:r>
      <w:r>
        <w:rPr/>
        <w:t>but</w:t>
      </w:r>
      <w:r>
        <w:rPr>
          <w:spacing w:val="-2"/>
        </w:rPr>
        <w:t> </w:t>
      </w:r>
      <w:r>
        <w:rPr/>
        <w:t>rather accumulate multiple burdens of chemical exposures and non-chemical co-stressors from many different exposures over their lifespan. Non-chemical co-stressors refer to factors that can worsen the health impacts of exposure to pollution, such as access to health care, housing, and economic stability. The Cumulative Impacts approach reflects growing recognition that the health impacts of exposure to pollution must be examined in the context of socioeconomic status, preexisting health conditions, and other</w:t>
      </w:r>
      <w:r>
        <w:rPr>
          <w:spacing w:val="-8"/>
        </w:rPr>
        <w:t> </w:t>
      </w:r>
      <w:r>
        <w:rPr/>
        <w:t>environmental</w:t>
      </w:r>
      <w:r>
        <w:rPr>
          <w:spacing w:val="-8"/>
        </w:rPr>
        <w:t> </w:t>
      </w:r>
      <w:r>
        <w:rPr/>
        <w:t>stressors</w:t>
      </w:r>
      <w:r>
        <w:rPr>
          <w:spacing w:val="-7"/>
        </w:rPr>
        <w:t> </w:t>
      </w:r>
      <w:r>
        <w:rPr/>
        <w:t>such</w:t>
      </w:r>
      <w:r>
        <w:rPr>
          <w:spacing w:val="-8"/>
        </w:rPr>
        <w:t> </w:t>
      </w:r>
      <w:r>
        <w:rPr/>
        <w:t>as</w:t>
      </w:r>
      <w:r>
        <w:rPr>
          <w:spacing w:val="-7"/>
        </w:rPr>
        <w:t> </w:t>
      </w:r>
      <w:r>
        <w:rPr/>
        <w:t>extreme</w:t>
      </w:r>
      <w:r>
        <w:rPr>
          <w:spacing w:val="-7"/>
        </w:rPr>
        <w:t> </w:t>
      </w:r>
      <w:r>
        <w:rPr/>
        <w:t>temperatures</w:t>
      </w:r>
      <w:r>
        <w:rPr>
          <w:spacing w:val="-7"/>
        </w:rPr>
        <w:t> </w:t>
      </w:r>
      <w:r>
        <w:rPr/>
        <w:t>and</w:t>
      </w:r>
      <w:r>
        <w:rPr>
          <w:spacing w:val="-8"/>
        </w:rPr>
        <w:t> </w:t>
      </w:r>
      <w:r>
        <w:rPr/>
        <w:t>lack</w:t>
      </w:r>
      <w:r>
        <w:rPr>
          <w:spacing w:val="-8"/>
        </w:rPr>
        <w:t> </w:t>
      </w:r>
      <w:r>
        <w:rPr/>
        <w:t>of</w:t>
      </w:r>
      <w:r>
        <w:rPr>
          <w:spacing w:val="-8"/>
        </w:rPr>
        <w:t> </w:t>
      </w:r>
      <w:r>
        <w:rPr/>
        <w:t>access</w:t>
      </w:r>
      <w:r>
        <w:rPr>
          <w:spacing w:val="-7"/>
        </w:rPr>
        <w:t> </w:t>
      </w:r>
      <w:r>
        <w:rPr/>
        <w:t>to</w:t>
      </w:r>
      <w:r>
        <w:rPr>
          <w:spacing w:val="-7"/>
        </w:rPr>
        <w:t> </w:t>
      </w:r>
      <w:r>
        <w:rPr/>
        <w:t>green</w:t>
      </w:r>
      <w:r>
        <w:rPr>
          <w:spacing w:val="-8"/>
        </w:rPr>
        <w:t> </w:t>
      </w:r>
      <w:r>
        <w:rPr/>
        <w:t>space</w:t>
      </w:r>
      <w:r>
        <w:rPr>
          <w:spacing w:val="-8"/>
        </w:rPr>
        <w:t> </w:t>
      </w:r>
      <w:r>
        <w:rPr/>
        <w:t>which</w:t>
      </w:r>
      <w:r>
        <w:rPr>
          <w:spacing w:val="-8"/>
        </w:rPr>
        <w:t> </w:t>
      </w:r>
      <w:r>
        <w:rPr/>
        <w:t>can exacerbate the effects of exposure. </w:t>
      </w:r>
      <w:hyperlink w:history="true" w:anchor="_bookmark546">
        <w:r>
          <w:rPr>
            <w:vertAlign w:val="superscript"/>
          </w:rPr>
          <w:t>12</w:t>
        </w:r>
      </w:hyperlink>
      <w:r>
        <w:rPr>
          <w:vertAlign w:val="baseline"/>
        </w:rPr>
        <w:t> Communities experiencing a disproportionate burden of environmental health risks, often due to multiple environmental and socioeconomic stressors which act cumulatively to create persistent environmental health disparities, are sometimes referred to as “overburdened communities.”</w:t>
      </w:r>
      <w:hyperlink w:history="true" w:anchor="_bookmark546">
        <w:r>
          <w:rPr>
            <w:vertAlign w:val="superscript"/>
          </w:rPr>
          <w:t>13</w:t>
        </w:r>
      </w:hyperlink>
    </w:p>
    <w:p>
      <w:pPr>
        <w:pStyle w:val="BodyText"/>
        <w:spacing w:line="276" w:lineRule="auto" w:before="240"/>
        <w:ind w:left="323" w:right="141"/>
        <w:jc w:val="both"/>
      </w:pPr>
      <w:bookmarkStart w:name="_bookmark549" w:id="818"/>
      <w:bookmarkEnd w:id="818"/>
      <w:r>
        <w:rPr/>
      </w:r>
      <w:r>
        <w:rPr/>
        <w:t>Social</w:t>
      </w:r>
      <w:r>
        <w:rPr>
          <w:spacing w:val="-8"/>
        </w:rPr>
        <w:t> </w:t>
      </w:r>
      <w:r>
        <w:rPr/>
        <w:t>Determinants</w:t>
      </w:r>
      <w:r>
        <w:rPr>
          <w:spacing w:val="-6"/>
        </w:rPr>
        <w:t> </w:t>
      </w:r>
      <w:r>
        <w:rPr/>
        <w:t>of</w:t>
      </w:r>
      <w:r>
        <w:rPr>
          <w:spacing w:val="-7"/>
        </w:rPr>
        <w:t> </w:t>
      </w:r>
      <w:r>
        <w:rPr/>
        <w:t>Health</w:t>
      </w:r>
      <w:r>
        <w:rPr>
          <w:spacing w:val="-7"/>
        </w:rPr>
        <w:t> </w:t>
      </w:r>
      <w:r>
        <w:rPr/>
        <w:t>is</w:t>
      </w:r>
      <w:r>
        <w:rPr>
          <w:spacing w:val="-7"/>
        </w:rPr>
        <w:t> </w:t>
      </w:r>
      <w:r>
        <w:rPr/>
        <w:t>another</w:t>
      </w:r>
      <w:r>
        <w:rPr>
          <w:spacing w:val="-7"/>
        </w:rPr>
        <w:t> </w:t>
      </w:r>
      <w:r>
        <w:rPr/>
        <w:t>framework</w:t>
      </w:r>
      <w:r>
        <w:rPr>
          <w:spacing w:val="-7"/>
        </w:rPr>
        <w:t> </w:t>
      </w:r>
      <w:r>
        <w:rPr/>
        <w:t>that</w:t>
      </w:r>
      <w:r>
        <w:rPr>
          <w:spacing w:val="-7"/>
        </w:rPr>
        <w:t> </w:t>
      </w:r>
      <w:r>
        <w:rPr/>
        <w:t>describes</w:t>
      </w:r>
      <w:r>
        <w:rPr>
          <w:spacing w:val="-7"/>
        </w:rPr>
        <w:t> </w:t>
      </w:r>
      <w:r>
        <w:rPr/>
        <w:t>how</w:t>
      </w:r>
      <w:r>
        <w:rPr>
          <w:spacing w:val="-7"/>
        </w:rPr>
        <w:t> </w:t>
      </w:r>
      <w:r>
        <w:rPr/>
        <w:t>inequitable</w:t>
      </w:r>
      <w:r>
        <w:rPr>
          <w:spacing w:val="-8"/>
        </w:rPr>
        <w:t> </w:t>
      </w:r>
      <w:r>
        <w:rPr/>
        <w:t>social</w:t>
      </w:r>
      <w:r>
        <w:rPr>
          <w:spacing w:val="-6"/>
        </w:rPr>
        <w:t> </w:t>
      </w:r>
      <w:r>
        <w:rPr/>
        <w:t>systems</w:t>
      </w:r>
      <w:r>
        <w:rPr>
          <w:spacing w:val="-6"/>
        </w:rPr>
        <w:t> </w:t>
      </w:r>
      <w:r>
        <w:rPr/>
        <w:t>create conditions for health inequalities among marginalized populations</w:t>
      </w:r>
      <w:hyperlink w:history="true" w:anchor="_bookmark546">
        <w:r>
          <w:rPr/>
          <w:t>.</w:t>
        </w:r>
        <w:r>
          <w:rPr>
            <w:vertAlign w:val="superscript"/>
          </w:rPr>
          <w:t>14</w:t>
        </w:r>
      </w:hyperlink>
      <w:r>
        <w:rPr>
          <w:vertAlign w:val="baseline"/>
        </w:rPr>
        <w:t> Due to their marginalized status, residents of environmental justice communities may both bear a disproportionate burden of environmental health risk, and face additional barriers and burdens that contribute to worse health outcomes after exposure. </w:t>
      </w:r>
      <w:hyperlink w:history="true" w:anchor="_bookmark546">
        <w:r>
          <w:rPr>
            <w:vertAlign w:val="superscript"/>
          </w:rPr>
          <w:t>15</w:t>
        </w:r>
      </w:hyperlink>
      <w:r>
        <w:rPr>
          <w:vertAlign w:val="baseline"/>
        </w:rPr>
        <w:t> For example, inequitable social systems affecting LGBTQ youth impede economic stability, prevent access to health care, increase rates of homelessness, and contribute to preexisting mental and physical health burdens. These factors both increase the risk of exposure to harmful pollution and reduce the capacity to respond to environmental harm, such as by accessing necessary</w:t>
      </w:r>
      <w:r>
        <w:rPr>
          <w:spacing w:val="-5"/>
          <w:vertAlign w:val="baseline"/>
        </w:rPr>
        <w:t> </w:t>
      </w:r>
      <w:r>
        <w:rPr>
          <w:vertAlign w:val="baseline"/>
        </w:rPr>
        <w:t>health</w:t>
      </w:r>
      <w:r>
        <w:rPr>
          <w:spacing w:val="-6"/>
          <w:vertAlign w:val="baseline"/>
        </w:rPr>
        <w:t> </w:t>
      </w:r>
      <w:r>
        <w:rPr>
          <w:vertAlign w:val="baseline"/>
        </w:rPr>
        <w:t>care</w:t>
      </w:r>
      <w:hyperlink w:history="true" w:anchor="_bookmark546">
        <w:r>
          <w:rPr>
            <w:vertAlign w:val="baseline"/>
          </w:rPr>
          <w:t>.</w:t>
        </w:r>
        <w:r>
          <w:rPr>
            <w:vertAlign w:val="superscript"/>
          </w:rPr>
          <w:t>16</w:t>
        </w:r>
      </w:hyperlink>
      <w:r>
        <w:rPr>
          <w:spacing w:val="-6"/>
          <w:vertAlign w:val="baseline"/>
        </w:rPr>
        <w:t> </w:t>
      </w:r>
      <w:r>
        <w:rPr>
          <w:vertAlign w:val="baseline"/>
        </w:rPr>
        <w:t>Who</w:t>
      </w:r>
      <w:r>
        <w:rPr>
          <w:spacing w:val="-5"/>
          <w:vertAlign w:val="baseline"/>
        </w:rPr>
        <w:t> </w:t>
      </w:r>
      <w:r>
        <w:rPr>
          <w:vertAlign w:val="baseline"/>
        </w:rPr>
        <w:t>can</w:t>
      </w:r>
      <w:r>
        <w:rPr>
          <w:spacing w:val="-4"/>
          <w:vertAlign w:val="baseline"/>
        </w:rPr>
        <w:t> </w:t>
      </w:r>
      <w:r>
        <w:rPr>
          <w:vertAlign w:val="baseline"/>
        </w:rPr>
        <w:t>take</w:t>
      </w:r>
      <w:r>
        <w:rPr>
          <w:spacing w:val="-4"/>
          <w:vertAlign w:val="baseline"/>
        </w:rPr>
        <w:t> </w:t>
      </w:r>
      <w:r>
        <w:rPr>
          <w:vertAlign w:val="baseline"/>
        </w:rPr>
        <w:t>paid</w:t>
      </w:r>
      <w:r>
        <w:rPr>
          <w:spacing w:val="-6"/>
          <w:vertAlign w:val="baseline"/>
        </w:rPr>
        <w:t> </w:t>
      </w:r>
      <w:r>
        <w:rPr>
          <w:vertAlign w:val="baseline"/>
        </w:rPr>
        <w:t>time</w:t>
      </w:r>
      <w:r>
        <w:rPr>
          <w:spacing w:val="-6"/>
          <w:vertAlign w:val="baseline"/>
        </w:rPr>
        <w:t> </w:t>
      </w:r>
      <w:r>
        <w:rPr>
          <w:vertAlign w:val="baseline"/>
        </w:rPr>
        <w:t>off</w:t>
      </w:r>
      <w:r>
        <w:rPr>
          <w:spacing w:val="-4"/>
          <w:vertAlign w:val="baseline"/>
        </w:rPr>
        <w:t> </w:t>
      </w:r>
      <w:r>
        <w:rPr>
          <w:vertAlign w:val="baseline"/>
        </w:rPr>
        <w:t>work</w:t>
      </w:r>
      <w:r>
        <w:rPr>
          <w:spacing w:val="-6"/>
          <w:vertAlign w:val="baseline"/>
        </w:rPr>
        <w:t> </w:t>
      </w:r>
      <w:r>
        <w:rPr>
          <w:vertAlign w:val="baseline"/>
        </w:rPr>
        <w:t>due</w:t>
      </w:r>
      <w:r>
        <w:rPr>
          <w:spacing w:val="-4"/>
          <w:vertAlign w:val="baseline"/>
        </w:rPr>
        <w:t> </w:t>
      </w:r>
      <w:r>
        <w:rPr>
          <w:vertAlign w:val="baseline"/>
        </w:rPr>
        <w:t>to</w:t>
      </w:r>
      <w:r>
        <w:rPr>
          <w:spacing w:val="-5"/>
          <w:vertAlign w:val="baseline"/>
        </w:rPr>
        <w:t> </w:t>
      </w:r>
      <w:r>
        <w:rPr>
          <w:vertAlign w:val="baseline"/>
        </w:rPr>
        <w:t>a</w:t>
      </w:r>
      <w:r>
        <w:rPr>
          <w:spacing w:val="-4"/>
          <w:vertAlign w:val="baseline"/>
        </w:rPr>
        <w:t> </w:t>
      </w:r>
      <w:r>
        <w:rPr>
          <w:vertAlign w:val="baseline"/>
        </w:rPr>
        <w:t>medical</w:t>
      </w:r>
      <w:r>
        <w:rPr>
          <w:spacing w:val="-4"/>
          <w:vertAlign w:val="baseline"/>
        </w:rPr>
        <w:t> </w:t>
      </w:r>
      <w:r>
        <w:rPr>
          <w:vertAlign w:val="baseline"/>
        </w:rPr>
        <w:t>condition,</w:t>
      </w:r>
      <w:r>
        <w:rPr>
          <w:spacing w:val="-5"/>
          <w:vertAlign w:val="baseline"/>
        </w:rPr>
        <w:t> </w:t>
      </w:r>
      <w:r>
        <w:rPr>
          <w:vertAlign w:val="baseline"/>
        </w:rPr>
        <w:t>and</w:t>
      </w:r>
      <w:r>
        <w:rPr>
          <w:spacing w:val="-4"/>
          <w:vertAlign w:val="baseline"/>
        </w:rPr>
        <w:t> </w:t>
      </w:r>
      <w:r>
        <w:rPr>
          <w:vertAlign w:val="baseline"/>
        </w:rPr>
        <w:t>who</w:t>
      </w:r>
      <w:r>
        <w:rPr>
          <w:spacing w:val="-5"/>
          <w:vertAlign w:val="baseline"/>
        </w:rPr>
        <w:t> </w:t>
      </w:r>
      <w:r>
        <w:rPr>
          <w:vertAlign w:val="baseline"/>
        </w:rPr>
        <w:t>might</w:t>
      </w:r>
      <w:r>
        <w:rPr>
          <w:spacing w:val="-6"/>
          <w:vertAlign w:val="baseline"/>
        </w:rPr>
        <w:t> </w:t>
      </w:r>
      <w:r>
        <w:rPr>
          <w:vertAlign w:val="baseline"/>
        </w:rPr>
        <w:t>lose their</w:t>
      </w:r>
      <w:r>
        <w:rPr>
          <w:spacing w:val="-4"/>
          <w:vertAlign w:val="baseline"/>
        </w:rPr>
        <w:t> </w:t>
      </w:r>
      <w:r>
        <w:rPr>
          <w:vertAlign w:val="baseline"/>
        </w:rPr>
        <w:t>source</w:t>
      </w:r>
      <w:r>
        <w:rPr>
          <w:spacing w:val="-2"/>
          <w:vertAlign w:val="baseline"/>
        </w:rPr>
        <w:t> </w:t>
      </w:r>
      <w:r>
        <w:rPr>
          <w:vertAlign w:val="baseline"/>
        </w:rPr>
        <w:t>of</w:t>
      </w:r>
      <w:r>
        <w:rPr>
          <w:spacing w:val="-4"/>
          <w:vertAlign w:val="baseline"/>
        </w:rPr>
        <w:t> </w:t>
      </w:r>
      <w:r>
        <w:rPr>
          <w:vertAlign w:val="baseline"/>
        </w:rPr>
        <w:t>income</w:t>
      </w:r>
      <w:r>
        <w:rPr>
          <w:spacing w:val="-4"/>
          <w:vertAlign w:val="baseline"/>
        </w:rPr>
        <w:t> </w:t>
      </w:r>
      <w:r>
        <w:rPr>
          <w:vertAlign w:val="baseline"/>
        </w:rPr>
        <w:t>as</w:t>
      </w:r>
      <w:r>
        <w:rPr>
          <w:spacing w:val="-3"/>
          <w:vertAlign w:val="baseline"/>
        </w:rPr>
        <w:t> </w:t>
      </w:r>
      <w:r>
        <w:rPr>
          <w:vertAlign w:val="baseline"/>
        </w:rPr>
        <w:t>a</w:t>
      </w:r>
      <w:r>
        <w:rPr>
          <w:spacing w:val="-4"/>
          <w:vertAlign w:val="baseline"/>
        </w:rPr>
        <w:t> </w:t>
      </w:r>
      <w:r>
        <w:rPr>
          <w:vertAlign w:val="baseline"/>
        </w:rPr>
        <w:t>result?</w:t>
      </w:r>
      <w:r>
        <w:rPr>
          <w:spacing w:val="-4"/>
          <w:vertAlign w:val="baseline"/>
        </w:rPr>
        <w:t> </w:t>
      </w:r>
      <w:r>
        <w:rPr>
          <w:vertAlign w:val="baseline"/>
        </w:rPr>
        <w:t>Who</w:t>
      </w:r>
      <w:r>
        <w:rPr>
          <w:spacing w:val="-4"/>
          <w:vertAlign w:val="baseline"/>
        </w:rPr>
        <w:t> </w:t>
      </w:r>
      <w:r>
        <w:rPr>
          <w:vertAlign w:val="baseline"/>
        </w:rPr>
        <w:t>has</w:t>
      </w:r>
      <w:r>
        <w:rPr>
          <w:spacing w:val="-4"/>
          <w:vertAlign w:val="baseline"/>
        </w:rPr>
        <w:t> </w:t>
      </w:r>
      <w:r>
        <w:rPr>
          <w:vertAlign w:val="baseline"/>
        </w:rPr>
        <w:t>access</w:t>
      </w:r>
      <w:r>
        <w:rPr>
          <w:spacing w:val="-4"/>
          <w:vertAlign w:val="baseline"/>
        </w:rPr>
        <w:t> </w:t>
      </w:r>
      <w:r>
        <w:rPr>
          <w:vertAlign w:val="baseline"/>
        </w:rPr>
        <w:t>to</w:t>
      </w:r>
      <w:r>
        <w:rPr>
          <w:spacing w:val="-4"/>
          <w:vertAlign w:val="baseline"/>
        </w:rPr>
        <w:t> </w:t>
      </w:r>
      <w:r>
        <w:rPr>
          <w:vertAlign w:val="baseline"/>
        </w:rPr>
        <w:t>regular</w:t>
      </w:r>
      <w:r>
        <w:rPr>
          <w:spacing w:val="-4"/>
          <w:vertAlign w:val="baseline"/>
        </w:rPr>
        <w:t> </w:t>
      </w:r>
      <w:r>
        <w:rPr>
          <w:vertAlign w:val="baseline"/>
        </w:rPr>
        <w:t>cancer</w:t>
      </w:r>
      <w:r>
        <w:rPr>
          <w:spacing w:val="-4"/>
          <w:vertAlign w:val="baseline"/>
        </w:rPr>
        <w:t> </w:t>
      </w:r>
      <w:r>
        <w:rPr>
          <w:vertAlign w:val="baseline"/>
        </w:rPr>
        <w:t>screenings,</w:t>
      </w:r>
      <w:r>
        <w:rPr>
          <w:spacing w:val="-4"/>
          <w:vertAlign w:val="baseline"/>
        </w:rPr>
        <w:t> </w:t>
      </w:r>
      <w:r>
        <w:rPr>
          <w:vertAlign w:val="baseline"/>
        </w:rPr>
        <w:t>and</w:t>
      </w:r>
      <w:r>
        <w:rPr>
          <w:spacing w:val="-4"/>
          <w:vertAlign w:val="baseline"/>
        </w:rPr>
        <w:t> </w:t>
      </w:r>
      <w:r>
        <w:rPr>
          <w:vertAlign w:val="baseline"/>
        </w:rPr>
        <w:t>who</w:t>
      </w:r>
      <w:r>
        <w:rPr>
          <w:spacing w:val="-4"/>
          <w:vertAlign w:val="baseline"/>
        </w:rPr>
        <w:t> </w:t>
      </w:r>
      <w:r>
        <w:rPr>
          <w:vertAlign w:val="baseline"/>
        </w:rPr>
        <w:t>might</w:t>
      </w:r>
      <w:r>
        <w:rPr>
          <w:spacing w:val="-3"/>
          <w:vertAlign w:val="baseline"/>
        </w:rPr>
        <w:t> </w:t>
      </w:r>
      <w:r>
        <w:rPr>
          <w:vertAlign w:val="baseline"/>
        </w:rPr>
        <w:t>not</w:t>
      </w:r>
      <w:r>
        <w:rPr>
          <w:spacing w:val="-4"/>
          <w:vertAlign w:val="baseline"/>
        </w:rPr>
        <w:t> </w:t>
      </w:r>
      <w:r>
        <w:rPr>
          <w:vertAlign w:val="baseline"/>
        </w:rPr>
        <w:t>have regular access to a doctor, resulting in a later diagnosis? Who has greater access to green space, which has been shown to support mental and physical health? Social Determinants of Health reminds us that while it is important to examine disparities in who is exposed to pollution, exposure is only half of the story. We must also consider who experiences the conditions for health and wellbeing, and who is at greater</w:t>
      </w:r>
      <w:r>
        <w:rPr>
          <w:spacing w:val="-11"/>
          <w:vertAlign w:val="baseline"/>
        </w:rPr>
        <w:t> </w:t>
      </w:r>
      <w:r>
        <w:rPr>
          <w:vertAlign w:val="baseline"/>
        </w:rPr>
        <w:t>risk</w:t>
      </w:r>
      <w:r>
        <w:rPr>
          <w:spacing w:val="-10"/>
          <w:vertAlign w:val="baseline"/>
        </w:rPr>
        <w:t> </w:t>
      </w:r>
      <w:r>
        <w:rPr>
          <w:vertAlign w:val="baseline"/>
        </w:rPr>
        <w:t>of</w:t>
      </w:r>
      <w:r>
        <w:rPr>
          <w:spacing w:val="-11"/>
          <w:vertAlign w:val="baseline"/>
        </w:rPr>
        <w:t> </w:t>
      </w:r>
      <w:r>
        <w:rPr>
          <w:vertAlign w:val="baseline"/>
        </w:rPr>
        <w:t>harm</w:t>
      </w:r>
      <w:r>
        <w:rPr>
          <w:spacing w:val="-10"/>
          <w:vertAlign w:val="baseline"/>
        </w:rPr>
        <w:t> </w:t>
      </w:r>
      <w:r>
        <w:rPr>
          <w:vertAlign w:val="baseline"/>
        </w:rPr>
        <w:t>due</w:t>
      </w:r>
      <w:r>
        <w:rPr>
          <w:spacing w:val="-10"/>
          <w:vertAlign w:val="baseline"/>
        </w:rPr>
        <w:t> </w:t>
      </w:r>
      <w:r>
        <w:rPr>
          <w:vertAlign w:val="baseline"/>
        </w:rPr>
        <w:t>to</w:t>
      </w:r>
      <w:r>
        <w:rPr>
          <w:spacing w:val="-9"/>
          <w:vertAlign w:val="baseline"/>
        </w:rPr>
        <w:t> </w:t>
      </w:r>
      <w:r>
        <w:rPr>
          <w:vertAlign w:val="baseline"/>
        </w:rPr>
        <w:t>the</w:t>
      </w:r>
      <w:r>
        <w:rPr>
          <w:spacing w:val="-10"/>
          <w:vertAlign w:val="baseline"/>
        </w:rPr>
        <w:t> </w:t>
      </w:r>
      <w:r>
        <w:rPr>
          <w:vertAlign w:val="baseline"/>
        </w:rPr>
        <w:t>social</w:t>
      </w:r>
      <w:r>
        <w:rPr>
          <w:spacing w:val="-11"/>
          <w:vertAlign w:val="baseline"/>
        </w:rPr>
        <w:t> </w:t>
      </w:r>
      <w:r>
        <w:rPr>
          <w:vertAlign w:val="baseline"/>
        </w:rPr>
        <w:t>and</w:t>
      </w:r>
      <w:r>
        <w:rPr>
          <w:spacing w:val="-11"/>
          <w:vertAlign w:val="baseline"/>
        </w:rPr>
        <w:t> </w:t>
      </w:r>
      <w:r>
        <w:rPr>
          <w:vertAlign w:val="baseline"/>
        </w:rPr>
        <w:t>institutional</w:t>
      </w:r>
      <w:r>
        <w:rPr>
          <w:spacing w:val="-11"/>
          <w:vertAlign w:val="baseline"/>
        </w:rPr>
        <w:t> </w:t>
      </w:r>
      <w:r>
        <w:rPr>
          <w:vertAlign w:val="baseline"/>
        </w:rPr>
        <w:t>marginalization</w:t>
      </w:r>
      <w:r>
        <w:rPr>
          <w:spacing w:val="-11"/>
          <w:vertAlign w:val="baseline"/>
        </w:rPr>
        <w:t> </w:t>
      </w:r>
      <w:r>
        <w:rPr>
          <w:vertAlign w:val="baseline"/>
        </w:rPr>
        <w:t>that</w:t>
      </w:r>
      <w:r>
        <w:rPr>
          <w:spacing w:val="-12"/>
          <w:vertAlign w:val="baseline"/>
        </w:rPr>
        <w:t> </w:t>
      </w:r>
      <w:r>
        <w:rPr>
          <w:vertAlign w:val="baseline"/>
        </w:rPr>
        <w:t>accompanies</w:t>
      </w:r>
      <w:r>
        <w:rPr>
          <w:spacing w:val="-10"/>
          <w:vertAlign w:val="baseline"/>
        </w:rPr>
        <w:t> </w:t>
      </w:r>
      <w:r>
        <w:rPr>
          <w:vertAlign w:val="baseline"/>
        </w:rPr>
        <w:t>disproportionate </w:t>
      </w:r>
      <w:r>
        <w:rPr>
          <w:spacing w:val="-2"/>
          <w:vertAlign w:val="baseline"/>
        </w:rPr>
        <w:t>exposure.</w:t>
      </w:r>
    </w:p>
    <w:p>
      <w:pPr>
        <w:spacing w:before="240"/>
        <w:ind w:left="323" w:right="0" w:firstLine="0"/>
        <w:jc w:val="both"/>
        <w:rPr>
          <w:sz w:val="28"/>
        </w:rPr>
      </w:pPr>
      <w:bookmarkStart w:name="Data Limitations" w:id="819"/>
      <w:bookmarkEnd w:id="819"/>
      <w:r>
        <w:rPr/>
      </w:r>
      <w:bookmarkStart w:name="_bookmark550" w:id="820"/>
      <w:bookmarkEnd w:id="820"/>
      <w:r>
        <w:rPr/>
      </w:r>
      <w:r>
        <w:rPr>
          <w:color w:val="365F91"/>
          <w:sz w:val="28"/>
        </w:rPr>
        <w:t>Data</w:t>
      </w:r>
      <w:r>
        <w:rPr>
          <w:color w:val="365F91"/>
          <w:spacing w:val="-8"/>
          <w:sz w:val="28"/>
        </w:rPr>
        <w:t> </w:t>
      </w:r>
      <w:r>
        <w:rPr>
          <w:color w:val="365F91"/>
          <w:spacing w:val="-2"/>
          <w:sz w:val="28"/>
        </w:rPr>
        <w:t>Limitations</w:t>
      </w:r>
    </w:p>
    <w:p>
      <w:pPr>
        <w:pStyle w:val="BodyText"/>
        <w:spacing w:line="276" w:lineRule="auto" w:before="292"/>
        <w:ind w:left="323" w:right="139"/>
        <w:jc w:val="both"/>
      </w:pPr>
      <w:bookmarkStart w:name="_bookmark551" w:id="821"/>
      <w:bookmarkEnd w:id="821"/>
      <w:r>
        <w:rPr/>
      </w:r>
      <w:r>
        <w:rPr/>
        <w:t>Unfortunately, there are significant data gaps when it comes to examining the environmental justice needs of LGBTQ youth. Gender and sexuality are still not commonly considered as important factors in environmental justice research, and there are limited studies and data sources that explore the intersections of gender and sexuality with access to environmental benefits and exposure to hazards. Overall, there</w:t>
      </w:r>
      <w:r>
        <w:rPr>
          <w:spacing w:val="-1"/>
        </w:rPr>
        <w:t> </w:t>
      </w:r>
      <w:r>
        <w:rPr/>
        <w:t>is limited data on</w:t>
      </w:r>
      <w:r>
        <w:rPr>
          <w:spacing w:val="-1"/>
        </w:rPr>
        <w:t> </w:t>
      </w:r>
      <w:r>
        <w:rPr/>
        <w:t>where LGBTQ</w:t>
      </w:r>
      <w:r>
        <w:rPr>
          <w:spacing w:val="-1"/>
        </w:rPr>
        <w:t> </w:t>
      </w:r>
      <w:r>
        <w:rPr/>
        <w:t>people</w:t>
      </w:r>
      <w:r>
        <w:rPr>
          <w:spacing w:val="-1"/>
        </w:rPr>
        <w:t> </w:t>
      </w:r>
      <w:r>
        <w:rPr/>
        <w:t>live, which poses a challenge to understanding the environmental injustices faced by LGBTQ communities since much of environmental justice research depends</w:t>
      </w:r>
      <w:r>
        <w:rPr>
          <w:spacing w:val="-7"/>
        </w:rPr>
        <w:t> </w:t>
      </w:r>
      <w:r>
        <w:rPr/>
        <w:t>on</w:t>
      </w:r>
      <w:r>
        <w:rPr>
          <w:spacing w:val="-7"/>
        </w:rPr>
        <w:t> </w:t>
      </w:r>
      <w:r>
        <w:rPr/>
        <w:t>residence</w:t>
      </w:r>
      <w:r>
        <w:rPr>
          <w:spacing w:val="-7"/>
        </w:rPr>
        <w:t> </w:t>
      </w:r>
      <w:r>
        <w:rPr/>
        <w:t>data.</w:t>
      </w:r>
      <w:r>
        <w:rPr>
          <w:spacing w:val="-8"/>
        </w:rPr>
        <w:t> </w:t>
      </w:r>
      <w:r>
        <w:rPr/>
        <w:t>For</w:t>
      </w:r>
      <w:r>
        <w:rPr>
          <w:spacing w:val="-8"/>
        </w:rPr>
        <w:t> </w:t>
      </w:r>
      <w:r>
        <w:rPr/>
        <w:t>instance,</w:t>
      </w:r>
      <w:r>
        <w:rPr>
          <w:spacing w:val="-7"/>
        </w:rPr>
        <w:t> </w:t>
      </w:r>
      <w:r>
        <w:rPr/>
        <w:t>U.S.</w:t>
      </w:r>
      <w:r>
        <w:rPr>
          <w:spacing w:val="-7"/>
        </w:rPr>
        <w:t> </w:t>
      </w:r>
      <w:r>
        <w:rPr/>
        <w:t>Census</w:t>
      </w:r>
      <w:r>
        <w:rPr>
          <w:spacing w:val="-7"/>
        </w:rPr>
        <w:t> </w:t>
      </w:r>
      <w:r>
        <w:rPr/>
        <w:t>Bureau</w:t>
      </w:r>
      <w:r>
        <w:rPr>
          <w:spacing w:val="-7"/>
        </w:rPr>
        <w:t> </w:t>
      </w:r>
      <w:r>
        <w:rPr/>
        <w:t>data</w:t>
      </w:r>
      <w:r>
        <w:rPr>
          <w:spacing w:val="-6"/>
        </w:rPr>
        <w:t> </w:t>
      </w:r>
      <w:r>
        <w:rPr/>
        <w:t>is</w:t>
      </w:r>
      <w:r>
        <w:rPr>
          <w:spacing w:val="-7"/>
        </w:rPr>
        <w:t> </w:t>
      </w:r>
      <w:r>
        <w:rPr/>
        <w:t>widely</w:t>
      </w:r>
      <w:r>
        <w:rPr>
          <w:spacing w:val="-6"/>
        </w:rPr>
        <w:t> </w:t>
      </w:r>
      <w:r>
        <w:rPr/>
        <w:t>used</w:t>
      </w:r>
      <w:r>
        <w:rPr>
          <w:spacing w:val="-8"/>
        </w:rPr>
        <w:t> </w:t>
      </w:r>
      <w:r>
        <w:rPr/>
        <w:t>to</w:t>
      </w:r>
      <w:r>
        <w:rPr>
          <w:spacing w:val="-6"/>
        </w:rPr>
        <w:t> </w:t>
      </w:r>
      <w:r>
        <w:rPr/>
        <w:t>examine</w:t>
      </w:r>
      <w:r>
        <w:rPr>
          <w:spacing w:val="-5"/>
        </w:rPr>
        <w:t> </w:t>
      </w:r>
      <w:r>
        <w:rPr/>
        <w:t>disparities</w:t>
      </w:r>
      <w:r>
        <w:rPr>
          <w:spacing w:val="-7"/>
        </w:rPr>
        <w:t> </w:t>
      </w:r>
      <w:r>
        <w:rPr/>
        <w:t>in</w:t>
      </w:r>
    </w:p>
    <w:p>
      <w:pPr>
        <w:spacing w:after="0" w:line="276" w:lineRule="auto"/>
        <w:jc w:val="both"/>
        <w:sectPr>
          <w:pgSz w:w="12240" w:h="15840"/>
          <w:pgMar w:header="800" w:footer="1459" w:top="1300" w:bottom="1700" w:left="1120" w:right="1300"/>
        </w:sectPr>
      </w:pPr>
    </w:p>
    <w:p>
      <w:pPr>
        <w:pStyle w:val="BodyText"/>
        <w:spacing w:line="276" w:lineRule="auto" w:before="67"/>
        <w:ind w:left="3509" w:right="143"/>
        <w:jc w:val="both"/>
      </w:pPr>
      <w:r>
        <w:rPr/>
        <w:drawing>
          <wp:anchor distT="0" distB="0" distL="0" distR="0" allowOverlap="1" layoutInCell="1" locked="0" behindDoc="0" simplePos="0" relativeHeight="15818752">
            <wp:simplePos x="0" y="0"/>
            <wp:positionH relativeFrom="page">
              <wp:posOffset>825500</wp:posOffset>
            </wp:positionH>
            <wp:positionV relativeFrom="paragraph">
              <wp:posOffset>42672</wp:posOffset>
            </wp:positionV>
            <wp:extent cx="1997074" cy="2393949"/>
            <wp:effectExtent l="0" t="0" r="0" b="0"/>
            <wp:wrapNone/>
            <wp:docPr id="483" name="Image 483"/>
            <wp:cNvGraphicFramePr>
              <a:graphicFrameLocks/>
            </wp:cNvGraphicFramePr>
            <a:graphic>
              <a:graphicData uri="http://schemas.openxmlformats.org/drawingml/2006/picture">
                <pic:pic>
                  <pic:nvPicPr>
                    <pic:cNvPr id="483" name="Image 483"/>
                    <pic:cNvPicPr/>
                  </pic:nvPicPr>
                  <pic:blipFill>
                    <a:blip r:embed="rId617" cstate="print"/>
                    <a:stretch>
                      <a:fillRect/>
                    </a:stretch>
                  </pic:blipFill>
                  <pic:spPr>
                    <a:xfrm>
                      <a:off x="0" y="0"/>
                      <a:ext cx="1997074" cy="2393949"/>
                    </a:xfrm>
                    <a:prstGeom prst="rect">
                      <a:avLst/>
                    </a:prstGeom>
                  </pic:spPr>
                </pic:pic>
              </a:graphicData>
            </a:graphic>
          </wp:anchor>
        </w:drawing>
      </w:r>
      <w:r>
        <w:rPr/>
        <w:t>exposure to environmental hazards and access to environmental benefits and does not typically include expansive SOGIE (sexual orientation and gender identity/expression) data.</w:t>
      </w:r>
    </w:p>
    <w:p>
      <w:pPr>
        <w:pStyle w:val="BodyText"/>
        <w:spacing w:line="276" w:lineRule="auto" w:before="240"/>
        <w:ind w:left="3509" w:right="141"/>
        <w:jc w:val="both"/>
      </w:pPr>
      <w:r>
        <w:rPr/>
        <w:t>The</w:t>
      </w:r>
      <w:r>
        <w:rPr>
          <w:spacing w:val="-2"/>
        </w:rPr>
        <w:t> </w:t>
      </w:r>
      <w:r>
        <w:rPr/>
        <w:t>2020</w:t>
      </w:r>
      <w:r>
        <w:rPr>
          <w:spacing w:val="-1"/>
        </w:rPr>
        <w:t> </w:t>
      </w:r>
      <w:r>
        <w:rPr/>
        <w:t>Census</w:t>
      </w:r>
      <w:r>
        <w:rPr>
          <w:spacing w:val="-1"/>
        </w:rPr>
        <w:t> </w:t>
      </w:r>
      <w:r>
        <w:rPr/>
        <w:t>did</w:t>
      </w:r>
      <w:r>
        <w:rPr>
          <w:spacing w:val="-2"/>
        </w:rPr>
        <w:t> </w:t>
      </w:r>
      <w:r>
        <w:rPr/>
        <w:t>give</w:t>
      </w:r>
      <w:r>
        <w:rPr>
          <w:spacing w:val="-2"/>
        </w:rPr>
        <w:t> </w:t>
      </w:r>
      <w:r>
        <w:rPr/>
        <w:t>people</w:t>
      </w:r>
      <w:r>
        <w:rPr>
          <w:spacing w:val="-2"/>
        </w:rPr>
        <w:t> </w:t>
      </w:r>
      <w:r>
        <w:rPr/>
        <w:t>the</w:t>
      </w:r>
      <w:r>
        <w:rPr>
          <w:spacing w:val="-2"/>
        </w:rPr>
        <w:t> </w:t>
      </w:r>
      <w:r>
        <w:rPr/>
        <w:t>option</w:t>
      </w:r>
      <w:r>
        <w:rPr>
          <w:spacing w:val="-2"/>
        </w:rPr>
        <w:t> </w:t>
      </w:r>
      <w:r>
        <w:rPr/>
        <w:t>to</w:t>
      </w:r>
      <w:r>
        <w:rPr>
          <w:spacing w:val="-1"/>
        </w:rPr>
        <w:t> </w:t>
      </w:r>
      <w:r>
        <w:rPr/>
        <w:t>identify</w:t>
      </w:r>
      <w:r>
        <w:rPr>
          <w:spacing w:val="-1"/>
        </w:rPr>
        <w:t> </w:t>
      </w:r>
      <w:r>
        <w:rPr/>
        <w:t>a</w:t>
      </w:r>
      <w:r>
        <w:rPr>
          <w:spacing w:val="-1"/>
        </w:rPr>
        <w:t> </w:t>
      </w:r>
      <w:r>
        <w:rPr/>
        <w:t>relationship as same-sex for the first time, but this comes nowhere close to encompassing</w:t>
      </w:r>
      <w:r>
        <w:rPr>
          <w:spacing w:val="-12"/>
        </w:rPr>
        <w:t> </w:t>
      </w:r>
      <w:r>
        <w:rPr/>
        <w:t>the</w:t>
      </w:r>
      <w:r>
        <w:rPr>
          <w:spacing w:val="-12"/>
        </w:rPr>
        <w:t> </w:t>
      </w:r>
      <w:r>
        <w:rPr/>
        <w:t>diversity</w:t>
      </w:r>
      <w:r>
        <w:rPr>
          <w:spacing w:val="-12"/>
        </w:rPr>
        <w:t> </w:t>
      </w:r>
      <w:r>
        <w:rPr/>
        <w:t>of</w:t>
      </w:r>
      <w:r>
        <w:rPr>
          <w:spacing w:val="-12"/>
        </w:rPr>
        <w:t> </w:t>
      </w:r>
      <w:r>
        <w:rPr/>
        <w:t>LGBTQ</w:t>
      </w:r>
      <w:r>
        <w:rPr>
          <w:spacing w:val="-12"/>
        </w:rPr>
        <w:t> </w:t>
      </w:r>
      <w:r>
        <w:rPr/>
        <w:t>communities.</w:t>
      </w:r>
      <w:r>
        <w:rPr>
          <w:spacing w:val="-11"/>
        </w:rPr>
        <w:t> </w:t>
      </w:r>
      <w:r>
        <w:rPr/>
        <w:t>Data</w:t>
      </w:r>
      <w:r>
        <w:rPr>
          <w:spacing w:val="-12"/>
        </w:rPr>
        <w:t> </w:t>
      </w:r>
      <w:r>
        <w:rPr/>
        <w:t>on</w:t>
      </w:r>
      <w:r>
        <w:rPr>
          <w:spacing w:val="-12"/>
        </w:rPr>
        <w:t> </w:t>
      </w:r>
      <w:r>
        <w:rPr/>
        <w:t>same-sex households omits partners that don’t live together, single LGBTQ people,</w:t>
      </w:r>
      <w:r>
        <w:rPr>
          <w:spacing w:val="-1"/>
        </w:rPr>
        <w:t> </w:t>
      </w:r>
      <w:r>
        <w:rPr/>
        <w:t>most</w:t>
      </w:r>
      <w:r>
        <w:rPr>
          <w:spacing w:val="-2"/>
        </w:rPr>
        <w:t> </w:t>
      </w:r>
      <w:r>
        <w:rPr/>
        <w:t>LGBTQ</w:t>
      </w:r>
      <w:r>
        <w:rPr>
          <w:spacing w:val="-2"/>
        </w:rPr>
        <w:t> </w:t>
      </w:r>
      <w:r>
        <w:rPr/>
        <w:t>youth,</w:t>
      </w:r>
      <w:r>
        <w:rPr>
          <w:spacing w:val="-2"/>
        </w:rPr>
        <w:t> </w:t>
      </w:r>
      <w:r>
        <w:rPr/>
        <w:t>many</w:t>
      </w:r>
      <w:r>
        <w:rPr>
          <w:spacing w:val="-1"/>
        </w:rPr>
        <w:t> </w:t>
      </w:r>
      <w:r>
        <w:rPr/>
        <w:t>bisexual</w:t>
      </w:r>
      <w:r>
        <w:rPr>
          <w:spacing w:val="-3"/>
        </w:rPr>
        <w:t> </w:t>
      </w:r>
      <w:r>
        <w:rPr/>
        <w:t>and</w:t>
      </w:r>
      <w:r>
        <w:rPr>
          <w:spacing w:val="-2"/>
        </w:rPr>
        <w:t> </w:t>
      </w:r>
      <w:r>
        <w:rPr/>
        <w:t>trans people,</w:t>
      </w:r>
      <w:r>
        <w:rPr>
          <w:spacing w:val="-2"/>
        </w:rPr>
        <w:t> </w:t>
      </w:r>
      <w:r>
        <w:rPr/>
        <w:t>and</w:t>
      </w:r>
      <w:r>
        <w:rPr>
          <w:spacing w:val="-3"/>
        </w:rPr>
        <w:t> </w:t>
      </w:r>
      <w:r>
        <w:rPr/>
        <w:t>still operates within the gender binary, excluding nonbinary and intersex people</w:t>
      </w:r>
      <w:hyperlink w:history="true" w:anchor="_bookmark547">
        <w:r>
          <w:rPr/>
          <w:t>.</w:t>
        </w:r>
        <w:r>
          <w:rPr>
            <w:vertAlign w:val="superscript"/>
          </w:rPr>
          <w:t>17</w:t>
        </w:r>
      </w:hyperlink>
      <w:r>
        <w:rPr>
          <w:vertAlign w:val="baseline"/>
        </w:rPr>
        <w:t> Collecting more complete LGBTQ residence data will be crucial</w:t>
      </w:r>
      <w:r>
        <w:rPr>
          <w:spacing w:val="-1"/>
          <w:vertAlign w:val="baseline"/>
        </w:rPr>
        <w:t> </w:t>
      </w:r>
      <w:r>
        <w:rPr>
          <w:vertAlign w:val="baseline"/>
        </w:rPr>
        <w:t>for</w:t>
      </w:r>
      <w:r>
        <w:rPr>
          <w:spacing w:val="-2"/>
          <w:vertAlign w:val="baseline"/>
        </w:rPr>
        <w:t> </w:t>
      </w:r>
      <w:r>
        <w:rPr>
          <w:vertAlign w:val="baseline"/>
        </w:rPr>
        <w:t>deeper</w:t>
      </w:r>
      <w:r>
        <w:rPr>
          <w:spacing w:val="-2"/>
          <w:vertAlign w:val="baseline"/>
        </w:rPr>
        <w:t> </w:t>
      </w:r>
      <w:r>
        <w:rPr>
          <w:vertAlign w:val="baseline"/>
        </w:rPr>
        <w:t>analysis</w:t>
      </w:r>
      <w:r>
        <w:rPr>
          <w:spacing w:val="-1"/>
          <w:vertAlign w:val="baseline"/>
        </w:rPr>
        <w:t> </w:t>
      </w:r>
      <w:r>
        <w:rPr>
          <w:vertAlign w:val="baseline"/>
        </w:rPr>
        <w:t>of</w:t>
      </w:r>
      <w:r>
        <w:rPr>
          <w:spacing w:val="-2"/>
          <w:vertAlign w:val="baseline"/>
        </w:rPr>
        <w:t> </w:t>
      </w:r>
      <w:r>
        <w:rPr>
          <w:vertAlign w:val="baseline"/>
        </w:rPr>
        <w:t>environmental</w:t>
      </w:r>
      <w:r>
        <w:rPr>
          <w:spacing w:val="-1"/>
          <w:vertAlign w:val="baseline"/>
        </w:rPr>
        <w:t> </w:t>
      </w:r>
      <w:r>
        <w:rPr>
          <w:vertAlign w:val="baseline"/>
        </w:rPr>
        <w:t>disparities</w:t>
      </w:r>
      <w:r>
        <w:rPr>
          <w:spacing w:val="-2"/>
          <w:vertAlign w:val="baseline"/>
        </w:rPr>
        <w:t> </w:t>
      </w:r>
      <w:r>
        <w:rPr>
          <w:vertAlign w:val="baseline"/>
        </w:rPr>
        <w:t>facing</w:t>
      </w:r>
      <w:r>
        <w:rPr>
          <w:spacing w:val="-1"/>
          <w:vertAlign w:val="baseline"/>
        </w:rPr>
        <w:t> </w:t>
      </w:r>
      <w:r>
        <w:rPr>
          <w:vertAlign w:val="baseline"/>
        </w:rPr>
        <w:t>LGBTQ </w:t>
      </w:r>
      <w:r>
        <w:rPr>
          <w:spacing w:val="-2"/>
          <w:vertAlign w:val="baseline"/>
        </w:rPr>
        <w:t>youth.</w:t>
      </w:r>
    </w:p>
    <w:p>
      <w:pPr>
        <w:pStyle w:val="BodyText"/>
        <w:spacing w:line="276" w:lineRule="auto" w:before="240"/>
        <w:ind w:left="323" w:right="141"/>
        <w:jc w:val="both"/>
      </w:pPr>
      <w:bookmarkStart w:name="_bookmark552" w:id="822"/>
      <w:bookmarkEnd w:id="822"/>
      <w:r>
        <w:rPr/>
      </w:r>
      <w:r>
        <w:rPr/>
        <w:t>There are also numerous barriers to response when collecting data on sexuality and gender identity, particularly when surveying LGBTQ youth. LGBTQ people responding to a survey may not reveal their identity due to institutional discrimination, social stigma, or to maintain their safety. In addition, gender and</w:t>
      </w:r>
      <w:r>
        <w:rPr>
          <w:spacing w:val="-6"/>
        </w:rPr>
        <w:t> </w:t>
      </w:r>
      <w:r>
        <w:rPr/>
        <w:t>sexuality</w:t>
      </w:r>
      <w:r>
        <w:rPr>
          <w:spacing w:val="-4"/>
        </w:rPr>
        <w:t> </w:t>
      </w:r>
      <w:r>
        <w:rPr/>
        <w:t>are</w:t>
      </w:r>
      <w:r>
        <w:rPr>
          <w:spacing w:val="-6"/>
        </w:rPr>
        <w:t> </w:t>
      </w:r>
      <w:r>
        <w:rPr/>
        <w:t>fluid</w:t>
      </w:r>
      <w:r>
        <w:rPr>
          <w:spacing w:val="-4"/>
        </w:rPr>
        <w:t> </w:t>
      </w:r>
      <w:r>
        <w:rPr/>
        <w:t>and</w:t>
      </w:r>
      <w:r>
        <w:rPr>
          <w:spacing w:val="-3"/>
        </w:rPr>
        <w:t> </w:t>
      </w:r>
      <w:r>
        <w:rPr/>
        <w:t>people</w:t>
      </w:r>
      <w:r>
        <w:rPr>
          <w:spacing w:val="-4"/>
        </w:rPr>
        <w:t> </w:t>
      </w:r>
      <w:r>
        <w:rPr/>
        <w:t>may</w:t>
      </w:r>
      <w:r>
        <w:rPr>
          <w:spacing w:val="-4"/>
        </w:rPr>
        <w:t> </w:t>
      </w:r>
      <w:r>
        <w:rPr/>
        <w:t>change</w:t>
      </w:r>
      <w:r>
        <w:rPr>
          <w:spacing w:val="-4"/>
        </w:rPr>
        <w:t> </w:t>
      </w:r>
      <w:r>
        <w:rPr/>
        <w:t>how</w:t>
      </w:r>
      <w:r>
        <w:rPr>
          <w:spacing w:val="-5"/>
        </w:rPr>
        <w:t> </w:t>
      </w:r>
      <w:r>
        <w:rPr/>
        <w:t>they</w:t>
      </w:r>
      <w:r>
        <w:rPr>
          <w:spacing w:val="-5"/>
        </w:rPr>
        <w:t> </w:t>
      </w:r>
      <w:r>
        <w:rPr/>
        <w:t>identify</w:t>
      </w:r>
      <w:r>
        <w:rPr>
          <w:spacing w:val="-4"/>
        </w:rPr>
        <w:t> </w:t>
      </w:r>
      <w:r>
        <w:rPr/>
        <w:t>over</w:t>
      </w:r>
      <w:r>
        <w:rPr>
          <w:spacing w:val="-5"/>
        </w:rPr>
        <w:t> </w:t>
      </w:r>
      <w:r>
        <w:rPr/>
        <w:t>time.</w:t>
      </w:r>
      <w:r>
        <w:rPr>
          <w:spacing w:val="-4"/>
        </w:rPr>
        <w:t> </w:t>
      </w:r>
      <w:r>
        <w:rPr/>
        <w:t>The</w:t>
      </w:r>
      <w:r>
        <w:rPr>
          <w:spacing w:val="-3"/>
        </w:rPr>
        <w:t> </w:t>
      </w:r>
      <w:r>
        <w:rPr/>
        <w:t>process</w:t>
      </w:r>
      <w:r>
        <w:rPr>
          <w:spacing w:val="-5"/>
        </w:rPr>
        <w:t> </w:t>
      </w:r>
      <w:r>
        <w:rPr/>
        <w:t>of</w:t>
      </w:r>
      <w:r>
        <w:rPr>
          <w:spacing w:val="-5"/>
        </w:rPr>
        <w:t> </w:t>
      </w:r>
      <w:r>
        <w:rPr/>
        <w:t>exploring</w:t>
      </w:r>
      <w:r>
        <w:rPr>
          <w:spacing w:val="-6"/>
        </w:rPr>
        <w:t> </w:t>
      </w:r>
      <w:r>
        <w:rPr/>
        <w:t>how you relate to gender and sexuality, prefer to identify, and express yourself is a continuous, lifelong journey.</w:t>
      </w:r>
      <w:r>
        <w:rPr>
          <w:spacing w:val="-2"/>
        </w:rPr>
        <w:t> </w:t>
      </w:r>
      <w:r>
        <w:rPr/>
        <w:t>To</w:t>
      </w:r>
      <w:r>
        <w:rPr>
          <w:spacing w:val="-1"/>
        </w:rPr>
        <w:t> </w:t>
      </w:r>
      <w:r>
        <w:rPr/>
        <w:t>capture</w:t>
      </w:r>
      <w:r>
        <w:rPr>
          <w:spacing w:val="-1"/>
        </w:rPr>
        <w:t> </w:t>
      </w:r>
      <w:r>
        <w:rPr/>
        <w:t>the</w:t>
      </w:r>
      <w:r>
        <w:rPr>
          <w:spacing w:val="-1"/>
        </w:rPr>
        <w:t> </w:t>
      </w:r>
      <w:r>
        <w:rPr/>
        <w:t>complexity</w:t>
      </w:r>
      <w:r>
        <w:rPr>
          <w:spacing w:val="-1"/>
        </w:rPr>
        <w:t> </w:t>
      </w:r>
      <w:r>
        <w:rPr/>
        <w:t>of</w:t>
      </w:r>
      <w:r>
        <w:rPr>
          <w:spacing w:val="-1"/>
        </w:rPr>
        <w:t> </w:t>
      </w:r>
      <w:r>
        <w:rPr/>
        <w:t>LGBTQ</w:t>
      </w:r>
      <w:r>
        <w:rPr>
          <w:spacing w:val="-2"/>
        </w:rPr>
        <w:t> </w:t>
      </w:r>
      <w:r>
        <w:rPr/>
        <w:t>identities</w:t>
      </w:r>
      <w:r>
        <w:rPr>
          <w:spacing w:val="-1"/>
        </w:rPr>
        <w:t> </w:t>
      </w:r>
      <w:r>
        <w:rPr/>
        <w:t>and</w:t>
      </w:r>
      <w:r>
        <w:rPr>
          <w:spacing w:val="-2"/>
        </w:rPr>
        <w:t> </w:t>
      </w:r>
      <w:r>
        <w:rPr/>
        <w:t>experiences,</w:t>
      </w:r>
      <w:r>
        <w:rPr>
          <w:spacing w:val="-1"/>
        </w:rPr>
        <w:t> </w:t>
      </w:r>
      <w:r>
        <w:rPr/>
        <w:t>surveys</w:t>
      </w:r>
      <w:r>
        <w:rPr>
          <w:spacing w:val="-1"/>
        </w:rPr>
        <w:t> </w:t>
      </w:r>
      <w:r>
        <w:rPr/>
        <w:t>should</w:t>
      </w:r>
      <w:r>
        <w:rPr>
          <w:spacing w:val="-2"/>
        </w:rPr>
        <w:t> </w:t>
      </w:r>
      <w:r>
        <w:rPr/>
        <w:t>include</w:t>
      </w:r>
      <w:r>
        <w:rPr>
          <w:spacing w:val="-2"/>
        </w:rPr>
        <w:t> </w:t>
      </w:r>
      <w:r>
        <w:rPr/>
        <w:t>not</w:t>
      </w:r>
      <w:r>
        <w:rPr>
          <w:spacing w:val="-2"/>
        </w:rPr>
        <w:t> </w:t>
      </w:r>
      <w:r>
        <w:rPr/>
        <w:t>only identity but also attraction and behavior. Very few surveys currently do so. The Centers for Disease Control Youth Risk Behavior Survey provides a good example in its questions about both gender identity and sexual contacts but could also include questions about attraction to capture an even more comprehensive picture.</w:t>
      </w:r>
    </w:p>
    <w:p>
      <w:pPr>
        <w:pStyle w:val="BodyText"/>
        <w:spacing w:line="276" w:lineRule="auto" w:before="240"/>
        <w:ind w:left="323" w:right="140"/>
        <w:jc w:val="both"/>
      </w:pPr>
      <w:bookmarkStart w:name="_bookmark553" w:id="823"/>
      <w:bookmarkEnd w:id="823"/>
      <w:r>
        <w:rPr/>
      </w:r>
      <w:r>
        <w:rPr/>
        <w:t>Although more data explicitly exploring the intersections of gender and sexuality with environmental justice</w:t>
      </w:r>
      <w:r>
        <w:rPr>
          <w:spacing w:val="-13"/>
        </w:rPr>
        <w:t> </w:t>
      </w:r>
      <w:r>
        <w:rPr/>
        <w:t>is</w:t>
      </w:r>
      <w:r>
        <w:rPr>
          <w:spacing w:val="-12"/>
        </w:rPr>
        <w:t> </w:t>
      </w:r>
      <w:r>
        <w:rPr/>
        <w:t>urgently</w:t>
      </w:r>
      <w:r>
        <w:rPr>
          <w:spacing w:val="-13"/>
        </w:rPr>
        <w:t> </w:t>
      </w:r>
      <w:r>
        <w:rPr/>
        <w:t>needed,</w:t>
      </w:r>
      <w:r>
        <w:rPr>
          <w:spacing w:val="-12"/>
        </w:rPr>
        <w:t> </w:t>
      </w:r>
      <w:r>
        <w:rPr/>
        <w:t>we</w:t>
      </w:r>
      <w:r>
        <w:rPr>
          <w:spacing w:val="-13"/>
        </w:rPr>
        <w:t> </w:t>
      </w:r>
      <w:r>
        <w:rPr/>
        <w:t>can</w:t>
      </w:r>
      <w:r>
        <w:rPr>
          <w:spacing w:val="-12"/>
        </w:rPr>
        <w:t> </w:t>
      </w:r>
      <w:r>
        <w:rPr/>
        <w:t>begin</w:t>
      </w:r>
      <w:r>
        <w:rPr>
          <w:spacing w:val="-13"/>
        </w:rPr>
        <w:t> </w:t>
      </w:r>
      <w:r>
        <w:rPr/>
        <w:t>to</w:t>
      </w:r>
      <w:r>
        <w:rPr>
          <w:spacing w:val="-12"/>
        </w:rPr>
        <w:t> </w:t>
      </w:r>
      <w:r>
        <w:rPr/>
        <w:t>examine</w:t>
      </w:r>
      <w:r>
        <w:rPr>
          <w:spacing w:val="-12"/>
        </w:rPr>
        <w:t> </w:t>
      </w:r>
      <w:r>
        <w:rPr/>
        <w:t>the</w:t>
      </w:r>
      <w:r>
        <w:rPr>
          <w:spacing w:val="-13"/>
        </w:rPr>
        <w:t> </w:t>
      </w:r>
      <w:r>
        <w:rPr/>
        <w:t>environmental</w:t>
      </w:r>
      <w:r>
        <w:rPr>
          <w:spacing w:val="-12"/>
        </w:rPr>
        <w:t> </w:t>
      </w:r>
      <w:r>
        <w:rPr/>
        <w:t>justice</w:t>
      </w:r>
      <w:r>
        <w:rPr>
          <w:spacing w:val="-13"/>
        </w:rPr>
        <w:t> </w:t>
      </w:r>
      <w:r>
        <w:rPr/>
        <w:t>needs</w:t>
      </w:r>
      <w:r>
        <w:rPr>
          <w:spacing w:val="-12"/>
        </w:rPr>
        <w:t> </w:t>
      </w:r>
      <w:r>
        <w:rPr/>
        <w:t>of</w:t>
      </w:r>
      <w:r>
        <w:rPr>
          <w:spacing w:val="-13"/>
        </w:rPr>
        <w:t> </w:t>
      </w:r>
      <w:r>
        <w:rPr/>
        <w:t>LGBTQ</w:t>
      </w:r>
      <w:r>
        <w:rPr>
          <w:spacing w:val="-12"/>
        </w:rPr>
        <w:t> </w:t>
      </w:r>
      <w:r>
        <w:rPr/>
        <w:t>youth</w:t>
      </w:r>
      <w:r>
        <w:rPr>
          <w:spacing w:val="-12"/>
        </w:rPr>
        <w:t> </w:t>
      </w:r>
      <w:r>
        <w:rPr/>
        <w:t>using data</w:t>
      </w:r>
      <w:r>
        <w:rPr>
          <w:spacing w:val="-4"/>
        </w:rPr>
        <w:t> </w:t>
      </w:r>
      <w:r>
        <w:rPr/>
        <w:t>about</w:t>
      </w:r>
      <w:r>
        <w:rPr>
          <w:spacing w:val="-3"/>
        </w:rPr>
        <w:t> </w:t>
      </w:r>
      <w:r>
        <w:rPr/>
        <w:t>socioeconomic</w:t>
      </w:r>
      <w:r>
        <w:rPr>
          <w:spacing w:val="-4"/>
        </w:rPr>
        <w:t> </w:t>
      </w:r>
      <w:r>
        <w:rPr/>
        <w:t>factors</w:t>
      </w:r>
      <w:r>
        <w:rPr>
          <w:spacing w:val="-2"/>
        </w:rPr>
        <w:t> </w:t>
      </w:r>
      <w:r>
        <w:rPr/>
        <w:t>that</w:t>
      </w:r>
      <w:r>
        <w:rPr>
          <w:spacing w:val="-3"/>
        </w:rPr>
        <w:t> </w:t>
      </w:r>
      <w:r>
        <w:rPr/>
        <w:t>cause</w:t>
      </w:r>
      <w:r>
        <w:rPr>
          <w:spacing w:val="-4"/>
        </w:rPr>
        <w:t> </w:t>
      </w:r>
      <w:r>
        <w:rPr/>
        <w:t>LGBTQ</w:t>
      </w:r>
      <w:r>
        <w:rPr>
          <w:spacing w:val="-3"/>
        </w:rPr>
        <w:t> </w:t>
      </w:r>
      <w:r>
        <w:rPr/>
        <w:t>youth</w:t>
      </w:r>
      <w:r>
        <w:rPr>
          <w:spacing w:val="-3"/>
        </w:rPr>
        <w:t> </w:t>
      </w:r>
      <w:r>
        <w:rPr/>
        <w:t>to</w:t>
      </w:r>
      <w:r>
        <w:rPr>
          <w:spacing w:val="-2"/>
        </w:rPr>
        <w:t> </w:t>
      </w:r>
      <w:r>
        <w:rPr/>
        <w:t>be</w:t>
      </w:r>
      <w:r>
        <w:rPr>
          <w:spacing w:val="-2"/>
        </w:rPr>
        <w:t> </w:t>
      </w:r>
      <w:r>
        <w:rPr/>
        <w:t>disproportionately</w:t>
      </w:r>
      <w:r>
        <w:rPr>
          <w:spacing w:val="-3"/>
        </w:rPr>
        <w:t> </w:t>
      </w:r>
      <w:r>
        <w:rPr/>
        <w:t>exposed</w:t>
      </w:r>
      <w:r>
        <w:rPr>
          <w:spacing w:val="-3"/>
        </w:rPr>
        <w:t> </w:t>
      </w:r>
      <w:r>
        <w:rPr/>
        <w:t>to</w:t>
      </w:r>
      <w:r>
        <w:rPr>
          <w:spacing w:val="-3"/>
        </w:rPr>
        <w:t> </w:t>
      </w:r>
      <w:r>
        <w:rPr/>
        <w:t>pollution and social determinants of health that worsen the impacts of exposure. In addition, it is important to consider the value of multiple types of knowledge. Although data is a powerful tool, it also has many limitations and uncertainties. In the sections that follow, we will not only consider surveys and studies that</w:t>
      </w:r>
      <w:r>
        <w:rPr>
          <w:spacing w:val="-1"/>
        </w:rPr>
        <w:t> </w:t>
      </w:r>
      <w:r>
        <w:rPr/>
        <w:t>use</w:t>
      </w:r>
      <w:r>
        <w:rPr>
          <w:spacing w:val="-2"/>
        </w:rPr>
        <w:t> </w:t>
      </w:r>
      <w:r>
        <w:rPr/>
        <w:t>numerical</w:t>
      </w:r>
      <w:r>
        <w:rPr>
          <w:spacing w:val="-2"/>
        </w:rPr>
        <w:t> </w:t>
      </w:r>
      <w:r>
        <w:rPr/>
        <w:t>data to draw</w:t>
      </w:r>
      <w:r>
        <w:rPr>
          <w:spacing w:val="-2"/>
        </w:rPr>
        <w:t> </w:t>
      </w:r>
      <w:r>
        <w:rPr/>
        <w:t>conclusions,</w:t>
      </w:r>
      <w:r>
        <w:rPr>
          <w:spacing w:val="-2"/>
        </w:rPr>
        <w:t> </w:t>
      </w:r>
      <w:r>
        <w:rPr/>
        <w:t>but</w:t>
      </w:r>
      <w:r>
        <w:rPr>
          <w:spacing w:val="-2"/>
        </w:rPr>
        <w:t> </w:t>
      </w:r>
      <w:r>
        <w:rPr/>
        <w:t>also draw</w:t>
      </w:r>
      <w:r>
        <w:rPr>
          <w:spacing w:val="-2"/>
        </w:rPr>
        <w:t> </w:t>
      </w:r>
      <w:r>
        <w:rPr/>
        <w:t>on</w:t>
      </w:r>
      <w:r>
        <w:rPr>
          <w:spacing w:val="-2"/>
        </w:rPr>
        <w:t> </w:t>
      </w:r>
      <w:r>
        <w:rPr/>
        <w:t>experiential</w:t>
      </w:r>
      <w:r>
        <w:rPr>
          <w:spacing w:val="-2"/>
        </w:rPr>
        <w:t> </w:t>
      </w:r>
      <w:r>
        <w:rPr/>
        <w:t>knowledge</w:t>
      </w:r>
      <w:r>
        <w:rPr>
          <w:spacing w:val="-2"/>
        </w:rPr>
        <w:t> </w:t>
      </w:r>
      <w:r>
        <w:rPr/>
        <w:t>shared</w:t>
      </w:r>
      <w:r>
        <w:rPr>
          <w:spacing w:val="-1"/>
        </w:rPr>
        <w:t> </w:t>
      </w:r>
      <w:r>
        <w:rPr/>
        <w:t>directly</w:t>
      </w:r>
      <w:r>
        <w:rPr>
          <w:spacing w:val="-2"/>
        </w:rPr>
        <w:t> </w:t>
      </w:r>
      <w:r>
        <w:rPr/>
        <w:t>by community members.</w:t>
      </w:r>
    </w:p>
    <w:p>
      <w:pPr>
        <w:spacing w:before="240"/>
        <w:ind w:left="323" w:right="0" w:firstLine="0"/>
        <w:jc w:val="both"/>
        <w:rPr>
          <w:sz w:val="28"/>
        </w:rPr>
      </w:pPr>
      <w:bookmarkStart w:name="Exposure to Pollution and Environmental " w:id="824"/>
      <w:bookmarkEnd w:id="824"/>
      <w:r>
        <w:rPr/>
      </w:r>
      <w:r>
        <w:rPr>
          <w:color w:val="365F91"/>
          <w:sz w:val="28"/>
        </w:rPr>
        <w:t>Exposure</w:t>
      </w:r>
      <w:r>
        <w:rPr>
          <w:color w:val="365F91"/>
          <w:spacing w:val="-12"/>
          <w:sz w:val="28"/>
        </w:rPr>
        <w:t> </w:t>
      </w:r>
      <w:r>
        <w:rPr>
          <w:color w:val="365F91"/>
          <w:sz w:val="28"/>
        </w:rPr>
        <w:t>to</w:t>
      </w:r>
      <w:r>
        <w:rPr>
          <w:color w:val="365F91"/>
          <w:spacing w:val="-11"/>
          <w:sz w:val="28"/>
        </w:rPr>
        <w:t> </w:t>
      </w:r>
      <w:r>
        <w:rPr>
          <w:color w:val="365F91"/>
          <w:sz w:val="28"/>
        </w:rPr>
        <w:t>Pollution</w:t>
      </w:r>
      <w:r>
        <w:rPr>
          <w:color w:val="365F91"/>
          <w:spacing w:val="-11"/>
          <w:sz w:val="28"/>
        </w:rPr>
        <w:t> </w:t>
      </w:r>
      <w:r>
        <w:rPr>
          <w:color w:val="365F91"/>
          <w:sz w:val="28"/>
        </w:rPr>
        <w:t>and</w:t>
      </w:r>
      <w:r>
        <w:rPr>
          <w:color w:val="365F91"/>
          <w:spacing w:val="-12"/>
          <w:sz w:val="28"/>
        </w:rPr>
        <w:t> </w:t>
      </w:r>
      <w:r>
        <w:rPr>
          <w:color w:val="365F91"/>
          <w:sz w:val="28"/>
        </w:rPr>
        <w:t>Environmental</w:t>
      </w:r>
      <w:r>
        <w:rPr>
          <w:color w:val="365F91"/>
          <w:spacing w:val="-10"/>
          <w:sz w:val="28"/>
        </w:rPr>
        <w:t> </w:t>
      </w:r>
      <w:r>
        <w:rPr>
          <w:color w:val="365F91"/>
          <w:spacing w:val="-2"/>
          <w:sz w:val="28"/>
        </w:rPr>
        <w:t>Hazards</w:t>
      </w:r>
    </w:p>
    <w:p>
      <w:pPr>
        <w:pStyle w:val="BodyText"/>
        <w:spacing w:line="276" w:lineRule="auto" w:before="292"/>
        <w:ind w:left="323" w:right="142"/>
        <w:jc w:val="both"/>
      </w:pPr>
      <w:r>
        <w:rPr/>
        <w:t>Research on LGBTQ health disparities is vast but has historically left out the role of the physical environment</w:t>
      </w:r>
      <w:hyperlink w:history="true" w:anchor="_bookmark547">
        <w:r>
          <w:rPr/>
          <w:t>.</w:t>
        </w:r>
        <w:r>
          <w:rPr>
            <w:vertAlign w:val="superscript"/>
          </w:rPr>
          <w:t>18</w:t>
        </w:r>
      </w:hyperlink>
      <w:r>
        <w:rPr>
          <w:vertAlign w:val="baseline"/>
        </w:rPr>
        <w:t> However, there is mounting evidence that LGBTQ communities are disproportionately exposed to pollution and environmental hazards; it is especially important to consider the disproportionate</w:t>
      </w:r>
      <w:r>
        <w:rPr>
          <w:spacing w:val="-6"/>
          <w:vertAlign w:val="baseline"/>
        </w:rPr>
        <w:t> </w:t>
      </w:r>
      <w:r>
        <w:rPr>
          <w:vertAlign w:val="baseline"/>
        </w:rPr>
        <w:t>environmental</w:t>
      </w:r>
      <w:r>
        <w:rPr>
          <w:spacing w:val="-5"/>
          <w:vertAlign w:val="baseline"/>
        </w:rPr>
        <w:t> </w:t>
      </w:r>
      <w:r>
        <w:rPr>
          <w:vertAlign w:val="baseline"/>
        </w:rPr>
        <w:t>exposures</w:t>
      </w:r>
      <w:r>
        <w:rPr>
          <w:spacing w:val="-6"/>
          <w:vertAlign w:val="baseline"/>
        </w:rPr>
        <w:t> </w:t>
      </w:r>
      <w:r>
        <w:rPr>
          <w:vertAlign w:val="baseline"/>
        </w:rPr>
        <w:t>faced</w:t>
      </w:r>
      <w:r>
        <w:rPr>
          <w:spacing w:val="-5"/>
          <w:vertAlign w:val="baseline"/>
        </w:rPr>
        <w:t> </w:t>
      </w:r>
      <w:r>
        <w:rPr>
          <w:vertAlign w:val="baseline"/>
        </w:rPr>
        <w:t>by</w:t>
      </w:r>
      <w:r>
        <w:rPr>
          <w:spacing w:val="-5"/>
          <w:vertAlign w:val="baseline"/>
        </w:rPr>
        <w:t> </w:t>
      </w:r>
      <w:r>
        <w:rPr>
          <w:vertAlign w:val="baseline"/>
        </w:rPr>
        <w:t>LGBTQ</w:t>
      </w:r>
      <w:r>
        <w:rPr>
          <w:spacing w:val="-5"/>
          <w:vertAlign w:val="baseline"/>
        </w:rPr>
        <w:t> </w:t>
      </w:r>
      <w:r>
        <w:rPr>
          <w:vertAlign w:val="baseline"/>
        </w:rPr>
        <w:t>populations</w:t>
      </w:r>
      <w:r>
        <w:rPr>
          <w:spacing w:val="-6"/>
          <w:vertAlign w:val="baseline"/>
        </w:rPr>
        <w:t> </w:t>
      </w:r>
      <w:r>
        <w:rPr>
          <w:vertAlign w:val="baseline"/>
        </w:rPr>
        <w:t>affected</w:t>
      </w:r>
      <w:r>
        <w:rPr>
          <w:spacing w:val="-6"/>
          <w:vertAlign w:val="baseline"/>
        </w:rPr>
        <w:t> </w:t>
      </w:r>
      <w:r>
        <w:rPr>
          <w:vertAlign w:val="baseline"/>
        </w:rPr>
        <w:t>by</w:t>
      </w:r>
      <w:r>
        <w:rPr>
          <w:spacing w:val="-5"/>
          <w:vertAlign w:val="baseline"/>
        </w:rPr>
        <w:t> </w:t>
      </w:r>
      <w:r>
        <w:rPr>
          <w:vertAlign w:val="baseline"/>
        </w:rPr>
        <w:t>multiple</w:t>
      </w:r>
      <w:r>
        <w:rPr>
          <w:spacing w:val="-5"/>
          <w:vertAlign w:val="baseline"/>
        </w:rPr>
        <w:t> </w:t>
      </w:r>
      <w:r>
        <w:rPr>
          <w:vertAlign w:val="baseline"/>
        </w:rPr>
        <w:t>intersecting systems</w:t>
      </w:r>
      <w:r>
        <w:rPr>
          <w:spacing w:val="-5"/>
          <w:vertAlign w:val="baseline"/>
        </w:rPr>
        <w:t> </w:t>
      </w:r>
      <w:r>
        <w:rPr>
          <w:vertAlign w:val="baseline"/>
        </w:rPr>
        <w:t>of</w:t>
      </w:r>
      <w:r>
        <w:rPr>
          <w:spacing w:val="-5"/>
          <w:vertAlign w:val="baseline"/>
        </w:rPr>
        <w:t> </w:t>
      </w:r>
      <w:r>
        <w:rPr>
          <w:vertAlign w:val="baseline"/>
        </w:rPr>
        <w:t>oppression.</w:t>
      </w:r>
      <w:r>
        <w:rPr>
          <w:spacing w:val="-5"/>
          <w:vertAlign w:val="baseline"/>
        </w:rPr>
        <w:t> </w:t>
      </w:r>
      <w:r>
        <w:rPr>
          <w:vertAlign w:val="baseline"/>
        </w:rPr>
        <w:t>Research</w:t>
      </w:r>
      <w:r>
        <w:rPr>
          <w:spacing w:val="-5"/>
          <w:vertAlign w:val="baseline"/>
        </w:rPr>
        <w:t> </w:t>
      </w:r>
      <w:r>
        <w:rPr>
          <w:vertAlign w:val="baseline"/>
        </w:rPr>
        <w:t>and</w:t>
      </w:r>
      <w:r>
        <w:rPr>
          <w:spacing w:val="-5"/>
          <w:vertAlign w:val="baseline"/>
        </w:rPr>
        <w:t> </w:t>
      </w:r>
      <w:r>
        <w:rPr>
          <w:vertAlign w:val="baseline"/>
        </w:rPr>
        <w:t>organizing</w:t>
      </w:r>
      <w:r>
        <w:rPr>
          <w:spacing w:val="-5"/>
          <w:vertAlign w:val="baseline"/>
        </w:rPr>
        <w:t> </w:t>
      </w:r>
      <w:r>
        <w:rPr>
          <w:vertAlign w:val="baseline"/>
        </w:rPr>
        <w:t>around</w:t>
      </w:r>
      <w:r>
        <w:rPr>
          <w:spacing w:val="-5"/>
          <w:vertAlign w:val="baseline"/>
        </w:rPr>
        <w:t> </w:t>
      </w:r>
      <w:r>
        <w:rPr>
          <w:vertAlign w:val="baseline"/>
        </w:rPr>
        <w:t>disparities</w:t>
      </w:r>
      <w:r>
        <w:rPr>
          <w:spacing w:val="-4"/>
          <w:vertAlign w:val="baseline"/>
        </w:rPr>
        <w:t> </w:t>
      </w:r>
      <w:r>
        <w:rPr>
          <w:vertAlign w:val="baseline"/>
        </w:rPr>
        <w:t>in</w:t>
      </w:r>
      <w:r>
        <w:rPr>
          <w:spacing w:val="-5"/>
          <w:vertAlign w:val="baseline"/>
        </w:rPr>
        <w:t> </w:t>
      </w:r>
      <w:r>
        <w:rPr>
          <w:vertAlign w:val="baseline"/>
        </w:rPr>
        <w:t>exposures</w:t>
      </w:r>
      <w:r>
        <w:rPr>
          <w:spacing w:val="-4"/>
          <w:vertAlign w:val="baseline"/>
        </w:rPr>
        <w:t> </w:t>
      </w:r>
      <w:r>
        <w:rPr>
          <w:vertAlign w:val="baseline"/>
        </w:rPr>
        <w:t>based</w:t>
      </w:r>
      <w:r>
        <w:rPr>
          <w:spacing w:val="-5"/>
          <w:vertAlign w:val="baseline"/>
        </w:rPr>
        <w:t> </w:t>
      </w:r>
      <w:r>
        <w:rPr>
          <w:vertAlign w:val="baseline"/>
        </w:rPr>
        <w:t>on</w:t>
      </w:r>
      <w:r>
        <w:rPr>
          <w:spacing w:val="-5"/>
          <w:vertAlign w:val="baseline"/>
        </w:rPr>
        <w:t> </w:t>
      </w:r>
      <w:r>
        <w:rPr>
          <w:vertAlign w:val="baseline"/>
        </w:rPr>
        <w:t>race,</w:t>
      </w:r>
      <w:r>
        <w:rPr>
          <w:spacing w:val="-5"/>
          <w:vertAlign w:val="baseline"/>
        </w:rPr>
        <w:t> </w:t>
      </w:r>
      <w:r>
        <w:rPr>
          <w:vertAlign w:val="baseline"/>
        </w:rPr>
        <w:t>class,</w:t>
      </w:r>
      <w:r>
        <w:rPr>
          <w:spacing w:val="-5"/>
          <w:vertAlign w:val="baseline"/>
        </w:rPr>
        <w:t> </w:t>
      </w:r>
      <w:r>
        <w:rPr>
          <w:vertAlign w:val="baseline"/>
        </w:rPr>
        <w:t>and Indigeneity are</w:t>
      </w:r>
      <w:r>
        <w:rPr>
          <w:spacing w:val="-1"/>
          <w:vertAlign w:val="baseline"/>
        </w:rPr>
        <w:t> </w:t>
      </w:r>
      <w:r>
        <w:rPr>
          <w:vertAlign w:val="baseline"/>
        </w:rPr>
        <w:t>extensive</w:t>
      </w:r>
      <w:r>
        <w:rPr>
          <w:spacing w:val="-1"/>
          <w:vertAlign w:val="baseline"/>
        </w:rPr>
        <w:t> </w:t>
      </w:r>
      <w:r>
        <w:rPr>
          <w:vertAlign w:val="baseline"/>
        </w:rPr>
        <w:t>and</w:t>
      </w:r>
      <w:r>
        <w:rPr>
          <w:spacing w:val="-1"/>
          <w:vertAlign w:val="baseline"/>
        </w:rPr>
        <w:t> </w:t>
      </w:r>
      <w:r>
        <w:rPr>
          <w:vertAlign w:val="baseline"/>
        </w:rPr>
        <w:t>clearly demonstrate that</w:t>
      </w:r>
      <w:r>
        <w:rPr>
          <w:spacing w:val="-1"/>
          <w:vertAlign w:val="baseline"/>
        </w:rPr>
        <w:t> </w:t>
      </w:r>
      <w:r>
        <w:rPr>
          <w:vertAlign w:val="baseline"/>
        </w:rPr>
        <w:t>low-income</w:t>
      </w:r>
      <w:r>
        <w:rPr>
          <w:spacing w:val="-1"/>
          <w:vertAlign w:val="baseline"/>
        </w:rPr>
        <w:t> </w:t>
      </w:r>
      <w:r>
        <w:rPr>
          <w:vertAlign w:val="baseline"/>
        </w:rPr>
        <w:t>communities of color experience the</w:t>
      </w:r>
    </w:p>
    <w:p>
      <w:pPr>
        <w:spacing w:after="0" w:line="276" w:lineRule="auto"/>
        <w:jc w:val="both"/>
        <w:sectPr>
          <w:pgSz w:w="12240" w:h="15840"/>
          <w:pgMar w:header="800" w:footer="1459" w:top="1300" w:bottom="1700" w:left="1120" w:right="1300"/>
        </w:sectPr>
      </w:pPr>
    </w:p>
    <w:p>
      <w:pPr>
        <w:pStyle w:val="BodyText"/>
        <w:spacing w:line="276" w:lineRule="auto" w:before="67"/>
        <w:ind w:left="323" w:right="142"/>
        <w:jc w:val="both"/>
      </w:pPr>
      <w:r>
        <w:rPr/>
        <w:t>greatest exposure to pollution in the places they live, work, and play, as well as the consumer products they use. Black and Indigenous communities bear particularly high burdens of pollution and environmental health risk. When considering the impacts of environmental exposures on LGBTQ populations, it is crucial to highlight that QTBIPOC youth and low-income LGBTQ youth may experience multiple compounding burdens of environmental exposure.</w:t>
      </w:r>
    </w:p>
    <w:p>
      <w:pPr>
        <w:pStyle w:val="BodyText"/>
        <w:spacing w:line="276" w:lineRule="auto" w:before="240"/>
        <w:ind w:left="323" w:right="140"/>
        <w:jc w:val="both"/>
      </w:pPr>
      <w:r>
        <w:rPr/>
        <w:drawing>
          <wp:anchor distT="0" distB="0" distL="0" distR="0" allowOverlap="1" layoutInCell="1" locked="0" behindDoc="1" simplePos="0" relativeHeight="482640896">
            <wp:simplePos x="0" y="0"/>
            <wp:positionH relativeFrom="page">
              <wp:posOffset>4775835</wp:posOffset>
            </wp:positionH>
            <wp:positionV relativeFrom="paragraph">
              <wp:posOffset>807218</wp:posOffset>
            </wp:positionV>
            <wp:extent cx="2050414" cy="1927352"/>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618" cstate="print"/>
                    <a:stretch>
                      <a:fillRect/>
                    </a:stretch>
                  </pic:blipFill>
                  <pic:spPr>
                    <a:xfrm>
                      <a:off x="0" y="0"/>
                      <a:ext cx="2050414" cy="1927352"/>
                    </a:xfrm>
                    <a:prstGeom prst="rect">
                      <a:avLst/>
                    </a:prstGeom>
                  </pic:spPr>
                </pic:pic>
              </a:graphicData>
            </a:graphic>
          </wp:anchor>
        </w:drawing>
      </w:r>
      <w:r>
        <w:rPr/>
        <w:t>First,</w:t>
      </w:r>
      <w:r>
        <w:rPr>
          <w:spacing w:val="-6"/>
        </w:rPr>
        <w:t> </w:t>
      </w:r>
      <w:r>
        <w:rPr/>
        <w:t>there</w:t>
      </w:r>
      <w:r>
        <w:rPr>
          <w:spacing w:val="-7"/>
        </w:rPr>
        <w:t> </w:t>
      </w:r>
      <w:r>
        <w:rPr/>
        <w:t>is</w:t>
      </w:r>
      <w:r>
        <w:rPr>
          <w:spacing w:val="-4"/>
        </w:rPr>
        <w:t> </w:t>
      </w:r>
      <w:r>
        <w:rPr/>
        <w:t>growing</w:t>
      </w:r>
      <w:r>
        <w:rPr>
          <w:spacing w:val="-7"/>
        </w:rPr>
        <w:t> </w:t>
      </w:r>
      <w:r>
        <w:rPr/>
        <w:t>evidence</w:t>
      </w:r>
      <w:r>
        <w:rPr>
          <w:spacing w:val="-5"/>
        </w:rPr>
        <w:t> </w:t>
      </w:r>
      <w:r>
        <w:rPr/>
        <w:t>that</w:t>
      </w:r>
      <w:r>
        <w:rPr>
          <w:spacing w:val="-7"/>
        </w:rPr>
        <w:t> </w:t>
      </w:r>
      <w:r>
        <w:rPr/>
        <w:t>ambient</w:t>
      </w:r>
      <w:r>
        <w:rPr>
          <w:spacing w:val="-6"/>
        </w:rPr>
        <w:t> </w:t>
      </w:r>
      <w:r>
        <w:rPr/>
        <w:t>air</w:t>
      </w:r>
      <w:r>
        <w:rPr>
          <w:spacing w:val="-5"/>
        </w:rPr>
        <w:t> </w:t>
      </w:r>
      <w:r>
        <w:rPr/>
        <w:t>pollution</w:t>
      </w:r>
      <w:r>
        <w:rPr>
          <w:spacing w:val="-5"/>
        </w:rPr>
        <w:t> </w:t>
      </w:r>
      <w:r>
        <w:rPr/>
        <w:t>disproportionally</w:t>
      </w:r>
      <w:r>
        <w:rPr>
          <w:spacing w:val="-6"/>
        </w:rPr>
        <w:t> </w:t>
      </w:r>
      <w:r>
        <w:rPr/>
        <w:t>affects</w:t>
      </w:r>
      <w:r>
        <w:rPr>
          <w:spacing w:val="-5"/>
        </w:rPr>
        <w:t> </w:t>
      </w:r>
      <w:r>
        <w:rPr/>
        <w:t>LGBTQ</w:t>
      </w:r>
      <w:r>
        <w:rPr>
          <w:spacing w:val="-7"/>
        </w:rPr>
        <w:t> </w:t>
      </w:r>
      <w:r>
        <w:rPr/>
        <w:t>youth</w:t>
      </w:r>
      <w:r>
        <w:rPr>
          <w:spacing w:val="-5"/>
        </w:rPr>
        <w:t> </w:t>
      </w:r>
      <w:r>
        <w:rPr/>
        <w:t>because of the places LGBTQ people live. Due to higher rates of poverty compared to non-LGBTQ populations, LGBTQ people may be more likely to live in neighborhoods where they will face higher exposure to air pollution.</w:t>
      </w:r>
      <w:r>
        <w:rPr>
          <w:spacing w:val="40"/>
        </w:rPr>
        <w:t> </w:t>
      </w:r>
      <w:r>
        <w:rPr/>
        <w:t>In</w:t>
      </w:r>
      <w:r>
        <w:rPr>
          <w:spacing w:val="40"/>
        </w:rPr>
        <w:t> </w:t>
      </w:r>
      <w:r>
        <w:rPr/>
        <w:t>2021,</w:t>
      </w:r>
      <w:r>
        <w:rPr>
          <w:spacing w:val="40"/>
        </w:rPr>
        <w:t> </w:t>
      </w:r>
      <w:r>
        <w:rPr/>
        <w:t>survey</w:t>
      </w:r>
      <w:r>
        <w:rPr>
          <w:spacing w:val="40"/>
        </w:rPr>
        <w:t> </w:t>
      </w:r>
      <w:r>
        <w:rPr/>
        <w:t>data</w:t>
      </w:r>
      <w:r>
        <w:rPr>
          <w:spacing w:val="40"/>
        </w:rPr>
        <w:t> </w:t>
      </w:r>
      <w:r>
        <w:rPr/>
        <w:t>from</w:t>
      </w:r>
      <w:r>
        <w:rPr>
          <w:spacing w:val="40"/>
        </w:rPr>
        <w:t> </w:t>
      </w:r>
      <w:r>
        <w:rPr/>
        <w:t>the</w:t>
      </w:r>
      <w:r>
        <w:rPr>
          <w:spacing w:val="40"/>
        </w:rPr>
        <w:t> </w:t>
      </w:r>
      <w:r>
        <w:rPr/>
        <w:t>Behavioral</w:t>
      </w:r>
      <w:r>
        <w:rPr>
          <w:spacing w:val="40"/>
        </w:rPr>
        <w:t> </w:t>
      </w:r>
      <w:r>
        <w:rPr/>
        <w:t>Risk</w:t>
      </w:r>
      <w:r>
        <w:rPr>
          <w:spacing w:val="40"/>
        </w:rPr>
        <w:t> </w:t>
      </w:r>
      <w:r>
        <w:rPr/>
        <w:t>Factor</w:t>
      </w:r>
    </w:p>
    <w:p>
      <w:pPr>
        <w:pStyle w:val="BodyText"/>
        <w:spacing w:line="276" w:lineRule="auto"/>
        <w:ind w:left="323" w:right="3596"/>
        <w:jc w:val="both"/>
      </w:pPr>
      <w:r>
        <w:rPr/>
        <w:t>Surveillance System (BRFSS) and the U.S. Census Household Pulse System (HPS) showed that 17% of LGBTQ people, 21% of trans people, and 25% of LGBTQ people of color lived in poverty in the U.S., compared to 12% of non-LGBTQ people and 20% of non- LGBTQ people of color</w:t>
      </w:r>
      <w:hyperlink w:history="true" w:anchor="_bookmark547">
        <w:r>
          <w:rPr/>
          <w:t>.</w:t>
        </w:r>
        <w:r>
          <w:rPr>
            <w:vertAlign w:val="superscript"/>
          </w:rPr>
          <w:t>19</w:t>
        </w:r>
      </w:hyperlink>
      <w:r>
        <w:rPr>
          <w:vertAlign w:val="baseline"/>
        </w:rPr>
        <w:t> The last state-level analysis of LGBTQ poverty</w:t>
      </w:r>
      <w:r>
        <w:rPr>
          <w:spacing w:val="-13"/>
          <w:vertAlign w:val="baseline"/>
        </w:rPr>
        <w:t> </w:t>
      </w:r>
      <w:r>
        <w:rPr>
          <w:vertAlign w:val="baseline"/>
        </w:rPr>
        <w:t>rates</w:t>
      </w:r>
      <w:r>
        <w:rPr>
          <w:spacing w:val="-12"/>
          <w:vertAlign w:val="baseline"/>
        </w:rPr>
        <w:t> </w:t>
      </w:r>
      <w:r>
        <w:rPr>
          <w:vertAlign w:val="baseline"/>
        </w:rPr>
        <w:t>was</w:t>
      </w:r>
      <w:r>
        <w:rPr>
          <w:spacing w:val="-13"/>
          <w:vertAlign w:val="baseline"/>
        </w:rPr>
        <w:t> </w:t>
      </w:r>
      <w:r>
        <w:rPr>
          <w:vertAlign w:val="baseline"/>
        </w:rPr>
        <w:t>completed</w:t>
      </w:r>
      <w:r>
        <w:rPr>
          <w:spacing w:val="-12"/>
          <w:vertAlign w:val="baseline"/>
        </w:rPr>
        <w:t> </w:t>
      </w:r>
      <w:r>
        <w:rPr>
          <w:vertAlign w:val="baseline"/>
        </w:rPr>
        <w:t>in</w:t>
      </w:r>
      <w:r>
        <w:rPr>
          <w:spacing w:val="-13"/>
          <w:vertAlign w:val="baseline"/>
        </w:rPr>
        <w:t> </w:t>
      </w:r>
      <w:r>
        <w:rPr>
          <w:vertAlign w:val="baseline"/>
        </w:rPr>
        <w:t>2019</w:t>
      </w:r>
      <w:r>
        <w:rPr>
          <w:spacing w:val="-12"/>
          <w:vertAlign w:val="baseline"/>
        </w:rPr>
        <w:t> </w:t>
      </w:r>
      <w:r>
        <w:rPr>
          <w:vertAlign w:val="baseline"/>
        </w:rPr>
        <w:t>using</w:t>
      </w:r>
      <w:r>
        <w:rPr>
          <w:spacing w:val="-13"/>
          <w:vertAlign w:val="baseline"/>
        </w:rPr>
        <w:t> </w:t>
      </w:r>
      <w:r>
        <w:rPr>
          <w:vertAlign w:val="baseline"/>
        </w:rPr>
        <w:t>BRFSS</w:t>
      </w:r>
      <w:r>
        <w:rPr>
          <w:spacing w:val="-12"/>
          <w:vertAlign w:val="baseline"/>
        </w:rPr>
        <w:t> </w:t>
      </w:r>
      <w:r>
        <w:rPr>
          <w:vertAlign w:val="baseline"/>
        </w:rPr>
        <w:t>survey</w:t>
      </w:r>
      <w:r>
        <w:rPr>
          <w:spacing w:val="-12"/>
          <w:vertAlign w:val="baseline"/>
        </w:rPr>
        <w:t> </w:t>
      </w:r>
      <w:r>
        <w:rPr>
          <w:vertAlign w:val="baseline"/>
        </w:rPr>
        <w:t>data</w:t>
      </w:r>
      <w:r>
        <w:rPr>
          <w:spacing w:val="-13"/>
          <w:vertAlign w:val="baseline"/>
        </w:rPr>
        <w:t> </w:t>
      </w:r>
      <w:r>
        <w:rPr>
          <w:vertAlign w:val="baseline"/>
        </w:rPr>
        <w:t>from 2015-2017.</w:t>
      </w:r>
      <w:r>
        <w:rPr>
          <w:spacing w:val="-3"/>
          <w:vertAlign w:val="baseline"/>
        </w:rPr>
        <w:t> </w:t>
      </w:r>
      <w:r>
        <w:rPr>
          <w:vertAlign w:val="baseline"/>
        </w:rPr>
        <w:t>In</w:t>
      </w:r>
      <w:r>
        <w:rPr>
          <w:spacing w:val="-3"/>
          <w:vertAlign w:val="baseline"/>
        </w:rPr>
        <w:t> </w:t>
      </w:r>
      <w:r>
        <w:rPr>
          <w:vertAlign w:val="baseline"/>
        </w:rPr>
        <w:t>this</w:t>
      </w:r>
      <w:r>
        <w:rPr>
          <w:spacing w:val="-2"/>
          <w:vertAlign w:val="baseline"/>
        </w:rPr>
        <w:t> </w:t>
      </w:r>
      <w:r>
        <w:rPr>
          <w:vertAlign w:val="baseline"/>
        </w:rPr>
        <w:t>dataset,</w:t>
      </w:r>
      <w:r>
        <w:rPr>
          <w:spacing w:val="-2"/>
          <w:vertAlign w:val="baseline"/>
        </w:rPr>
        <w:t> </w:t>
      </w:r>
      <w:r>
        <w:rPr>
          <w:vertAlign w:val="baseline"/>
        </w:rPr>
        <w:t>the</w:t>
      </w:r>
      <w:r>
        <w:rPr>
          <w:spacing w:val="-1"/>
          <w:vertAlign w:val="baseline"/>
        </w:rPr>
        <w:t> </w:t>
      </w:r>
      <w:r>
        <w:rPr>
          <w:vertAlign w:val="baseline"/>
        </w:rPr>
        <w:t>poverty</w:t>
      </w:r>
      <w:r>
        <w:rPr>
          <w:spacing w:val="-1"/>
          <w:vertAlign w:val="baseline"/>
        </w:rPr>
        <w:t> </w:t>
      </w:r>
      <w:r>
        <w:rPr>
          <w:vertAlign w:val="baseline"/>
        </w:rPr>
        <w:t>rate</w:t>
      </w:r>
      <w:r>
        <w:rPr>
          <w:spacing w:val="-3"/>
          <w:vertAlign w:val="baseline"/>
        </w:rPr>
        <w:t> </w:t>
      </w:r>
      <w:r>
        <w:rPr>
          <w:vertAlign w:val="baseline"/>
        </w:rPr>
        <w:t>was</w:t>
      </w:r>
      <w:r>
        <w:rPr>
          <w:spacing w:val="-2"/>
          <w:vertAlign w:val="baseline"/>
        </w:rPr>
        <w:t> </w:t>
      </w:r>
      <w:r>
        <w:rPr>
          <w:vertAlign w:val="baseline"/>
        </w:rPr>
        <w:t>higher</w:t>
      </w:r>
      <w:r>
        <w:rPr>
          <w:spacing w:val="-2"/>
          <w:vertAlign w:val="baseline"/>
        </w:rPr>
        <w:t> </w:t>
      </w:r>
      <w:r>
        <w:rPr>
          <w:vertAlign w:val="baseline"/>
        </w:rPr>
        <w:t>for</w:t>
      </w:r>
      <w:r>
        <w:rPr>
          <w:spacing w:val="-2"/>
          <w:vertAlign w:val="baseline"/>
        </w:rPr>
        <w:t> </w:t>
      </w:r>
      <w:r>
        <w:rPr>
          <w:vertAlign w:val="baseline"/>
        </w:rPr>
        <w:t>LGBTQ people in Massachusetts (13%) than for cis straight people (9%), LGBTQ</w:t>
      </w:r>
      <w:r>
        <w:rPr>
          <w:spacing w:val="-4"/>
          <w:vertAlign w:val="baseline"/>
        </w:rPr>
        <w:t> </w:t>
      </w:r>
      <w:r>
        <w:rPr>
          <w:vertAlign w:val="baseline"/>
        </w:rPr>
        <w:t>people</w:t>
      </w:r>
      <w:r>
        <w:rPr>
          <w:spacing w:val="-5"/>
          <w:vertAlign w:val="baseline"/>
        </w:rPr>
        <w:t> </w:t>
      </w:r>
      <w:r>
        <w:rPr>
          <w:vertAlign w:val="baseline"/>
        </w:rPr>
        <w:t>of</w:t>
      </w:r>
      <w:r>
        <w:rPr>
          <w:spacing w:val="-4"/>
          <w:vertAlign w:val="baseline"/>
        </w:rPr>
        <w:t> </w:t>
      </w:r>
      <w:r>
        <w:rPr>
          <w:vertAlign w:val="baseline"/>
        </w:rPr>
        <w:t>color</w:t>
      </w:r>
      <w:r>
        <w:rPr>
          <w:spacing w:val="-5"/>
          <w:vertAlign w:val="baseline"/>
        </w:rPr>
        <w:t> </w:t>
      </w:r>
      <w:r>
        <w:rPr>
          <w:vertAlign w:val="baseline"/>
        </w:rPr>
        <w:t>(26%)</w:t>
      </w:r>
      <w:r>
        <w:rPr>
          <w:spacing w:val="-5"/>
          <w:vertAlign w:val="baseline"/>
        </w:rPr>
        <w:t> </w:t>
      </w:r>
      <w:r>
        <w:rPr>
          <w:vertAlign w:val="baseline"/>
        </w:rPr>
        <w:t>had</w:t>
      </w:r>
      <w:r>
        <w:rPr>
          <w:spacing w:val="-4"/>
          <w:vertAlign w:val="baseline"/>
        </w:rPr>
        <w:t> </w:t>
      </w:r>
      <w:r>
        <w:rPr>
          <w:vertAlign w:val="baseline"/>
        </w:rPr>
        <w:t>a</w:t>
      </w:r>
      <w:r>
        <w:rPr>
          <w:spacing w:val="-4"/>
          <w:vertAlign w:val="baseline"/>
        </w:rPr>
        <w:t> </w:t>
      </w:r>
      <w:r>
        <w:rPr>
          <w:vertAlign w:val="baseline"/>
        </w:rPr>
        <w:t>higher</w:t>
      </w:r>
      <w:r>
        <w:rPr>
          <w:spacing w:val="-5"/>
          <w:vertAlign w:val="baseline"/>
        </w:rPr>
        <w:t> </w:t>
      </w:r>
      <w:r>
        <w:rPr>
          <w:vertAlign w:val="baseline"/>
        </w:rPr>
        <w:t>poverty</w:t>
      </w:r>
      <w:r>
        <w:rPr>
          <w:spacing w:val="-4"/>
          <w:vertAlign w:val="baseline"/>
        </w:rPr>
        <w:t> </w:t>
      </w:r>
      <w:r>
        <w:rPr>
          <w:vertAlign w:val="baseline"/>
        </w:rPr>
        <w:t>rate</w:t>
      </w:r>
      <w:r>
        <w:rPr>
          <w:spacing w:val="-4"/>
          <w:vertAlign w:val="baseline"/>
        </w:rPr>
        <w:t> </w:t>
      </w:r>
      <w:r>
        <w:rPr>
          <w:vertAlign w:val="baseline"/>
        </w:rPr>
        <w:t>than</w:t>
      </w:r>
      <w:r>
        <w:rPr>
          <w:spacing w:val="-4"/>
          <w:vertAlign w:val="baseline"/>
        </w:rPr>
        <w:t> </w:t>
      </w:r>
      <w:r>
        <w:rPr>
          <w:vertAlign w:val="baseline"/>
        </w:rPr>
        <w:t>white LGBTQ</w:t>
      </w:r>
      <w:r>
        <w:rPr>
          <w:spacing w:val="19"/>
          <w:vertAlign w:val="baseline"/>
        </w:rPr>
        <w:t> </w:t>
      </w:r>
      <w:r>
        <w:rPr>
          <w:vertAlign w:val="baseline"/>
        </w:rPr>
        <w:t>people</w:t>
      </w:r>
      <w:r>
        <w:rPr>
          <w:spacing w:val="18"/>
          <w:vertAlign w:val="baseline"/>
        </w:rPr>
        <w:t> </w:t>
      </w:r>
      <w:r>
        <w:rPr>
          <w:vertAlign w:val="baseline"/>
        </w:rPr>
        <w:t>(9%),</w:t>
      </w:r>
      <w:r>
        <w:rPr>
          <w:spacing w:val="18"/>
          <w:vertAlign w:val="baseline"/>
        </w:rPr>
        <w:t> </w:t>
      </w:r>
      <w:r>
        <w:rPr>
          <w:vertAlign w:val="baseline"/>
        </w:rPr>
        <w:t>and</w:t>
      </w:r>
      <w:r>
        <w:rPr>
          <w:spacing w:val="20"/>
          <w:vertAlign w:val="baseline"/>
        </w:rPr>
        <w:t> </w:t>
      </w:r>
      <w:r>
        <w:rPr>
          <w:vertAlign w:val="baseline"/>
        </w:rPr>
        <w:t>LGBTQ</w:t>
      </w:r>
      <w:r>
        <w:rPr>
          <w:spacing w:val="19"/>
          <w:vertAlign w:val="baseline"/>
        </w:rPr>
        <w:t> </w:t>
      </w:r>
      <w:r>
        <w:rPr>
          <w:vertAlign w:val="baseline"/>
        </w:rPr>
        <w:t>people</w:t>
      </w:r>
      <w:r>
        <w:rPr>
          <w:spacing w:val="19"/>
          <w:vertAlign w:val="baseline"/>
        </w:rPr>
        <w:t> </w:t>
      </w:r>
      <w:r>
        <w:rPr>
          <w:vertAlign w:val="baseline"/>
        </w:rPr>
        <w:t>aged</w:t>
      </w:r>
      <w:r>
        <w:rPr>
          <w:spacing w:val="18"/>
          <w:vertAlign w:val="baseline"/>
        </w:rPr>
        <w:t> </w:t>
      </w:r>
      <w:r>
        <w:rPr>
          <w:vertAlign w:val="baseline"/>
        </w:rPr>
        <w:t>18-44</w:t>
      </w:r>
      <w:r>
        <w:rPr>
          <w:spacing w:val="21"/>
          <w:vertAlign w:val="baseline"/>
        </w:rPr>
        <w:t> </w:t>
      </w:r>
      <w:r>
        <w:rPr>
          <w:vertAlign w:val="baseline"/>
        </w:rPr>
        <w:t>(16%)</w:t>
      </w:r>
      <w:r>
        <w:rPr>
          <w:spacing w:val="18"/>
          <w:vertAlign w:val="baseline"/>
        </w:rPr>
        <w:t> </w:t>
      </w:r>
      <w:r>
        <w:rPr>
          <w:vertAlign w:val="baseline"/>
        </w:rPr>
        <w:t>had</w:t>
      </w:r>
      <w:r>
        <w:rPr>
          <w:spacing w:val="18"/>
          <w:vertAlign w:val="baseline"/>
        </w:rPr>
        <w:t> </w:t>
      </w:r>
      <w:r>
        <w:rPr>
          <w:spacing w:val="-10"/>
          <w:vertAlign w:val="baseline"/>
        </w:rPr>
        <w:t>a</w:t>
      </w:r>
    </w:p>
    <w:p>
      <w:pPr>
        <w:pStyle w:val="BodyText"/>
        <w:spacing w:line="276" w:lineRule="auto" w:before="1"/>
        <w:ind w:left="323" w:right="141" w:hanging="1"/>
        <w:jc w:val="both"/>
      </w:pPr>
      <w:r>
        <w:rPr/>
        <w:t>higher poverty rate than LGBTQ people aged 45 or older (8%)</w:t>
      </w:r>
      <w:hyperlink w:history="true" w:anchor="_bookmark547">
        <w:r>
          <w:rPr/>
          <w:t>.</w:t>
        </w:r>
        <w:r>
          <w:rPr>
            <w:vertAlign w:val="superscript"/>
          </w:rPr>
          <w:t>20</w:t>
        </w:r>
      </w:hyperlink>
      <w:r>
        <w:rPr>
          <w:vertAlign w:val="baseline"/>
        </w:rPr>
        <w:t> Disparities in exposure to ambient air pollution based on race and class are well-documented in Massachusetts and across the United States, further demonstrating that low-income QTBIPOC youth in particular face particularly disproportionate burdens of air pollution. There are many reasons why low-income and communities of color often face higher</w:t>
      </w:r>
      <w:r>
        <w:rPr>
          <w:spacing w:val="-10"/>
          <w:vertAlign w:val="baseline"/>
        </w:rPr>
        <w:t> </w:t>
      </w:r>
      <w:r>
        <w:rPr>
          <w:vertAlign w:val="baseline"/>
        </w:rPr>
        <w:t>exposure</w:t>
      </w:r>
      <w:r>
        <w:rPr>
          <w:spacing w:val="-11"/>
          <w:vertAlign w:val="baseline"/>
        </w:rPr>
        <w:t> </w:t>
      </w:r>
      <w:r>
        <w:rPr>
          <w:vertAlign w:val="baseline"/>
        </w:rPr>
        <w:t>to</w:t>
      </w:r>
      <w:r>
        <w:rPr>
          <w:spacing w:val="-9"/>
          <w:vertAlign w:val="baseline"/>
        </w:rPr>
        <w:t> </w:t>
      </w:r>
      <w:r>
        <w:rPr>
          <w:vertAlign w:val="baseline"/>
        </w:rPr>
        <w:t>pollutants,</w:t>
      </w:r>
      <w:r>
        <w:rPr>
          <w:spacing w:val="-11"/>
          <w:vertAlign w:val="baseline"/>
        </w:rPr>
        <w:t> </w:t>
      </w:r>
      <w:r>
        <w:rPr>
          <w:vertAlign w:val="baseline"/>
        </w:rPr>
        <w:t>including</w:t>
      </w:r>
      <w:r>
        <w:rPr>
          <w:spacing w:val="-10"/>
          <w:vertAlign w:val="baseline"/>
        </w:rPr>
        <w:t> </w:t>
      </w:r>
      <w:r>
        <w:rPr>
          <w:vertAlign w:val="baseline"/>
        </w:rPr>
        <w:t>discriminatory</w:t>
      </w:r>
      <w:r>
        <w:rPr>
          <w:spacing w:val="-11"/>
          <w:vertAlign w:val="baseline"/>
        </w:rPr>
        <w:t> </w:t>
      </w:r>
      <w:r>
        <w:rPr>
          <w:vertAlign w:val="baseline"/>
        </w:rPr>
        <w:t>housing</w:t>
      </w:r>
      <w:r>
        <w:rPr>
          <w:spacing w:val="-10"/>
          <w:vertAlign w:val="baseline"/>
        </w:rPr>
        <w:t> </w:t>
      </w:r>
      <w:r>
        <w:rPr>
          <w:vertAlign w:val="baseline"/>
        </w:rPr>
        <w:t>policies</w:t>
      </w:r>
      <w:r>
        <w:rPr>
          <w:spacing w:val="-11"/>
          <w:vertAlign w:val="baseline"/>
        </w:rPr>
        <w:t> </w:t>
      </w:r>
      <w:r>
        <w:rPr>
          <w:vertAlign w:val="baseline"/>
        </w:rPr>
        <w:t>and</w:t>
      </w:r>
      <w:r>
        <w:rPr>
          <w:spacing w:val="-10"/>
          <w:vertAlign w:val="baseline"/>
        </w:rPr>
        <w:t> </w:t>
      </w:r>
      <w:r>
        <w:rPr>
          <w:vertAlign w:val="baseline"/>
        </w:rPr>
        <w:t>urban</w:t>
      </w:r>
      <w:r>
        <w:rPr>
          <w:spacing w:val="-11"/>
          <w:vertAlign w:val="baseline"/>
        </w:rPr>
        <w:t> </w:t>
      </w:r>
      <w:r>
        <w:rPr>
          <w:vertAlign w:val="baseline"/>
        </w:rPr>
        <w:t>planning</w:t>
      </w:r>
      <w:r>
        <w:rPr>
          <w:spacing w:val="-10"/>
          <w:vertAlign w:val="baseline"/>
        </w:rPr>
        <w:t> </w:t>
      </w:r>
      <w:r>
        <w:rPr>
          <w:vertAlign w:val="baseline"/>
        </w:rPr>
        <w:t>decisions</w:t>
      </w:r>
      <w:r>
        <w:rPr>
          <w:spacing w:val="-11"/>
          <w:vertAlign w:val="baseline"/>
        </w:rPr>
        <w:t> </w:t>
      </w:r>
      <w:r>
        <w:rPr>
          <w:vertAlign w:val="baseline"/>
        </w:rPr>
        <w:t>that disproportionately</w:t>
      </w:r>
      <w:r>
        <w:rPr>
          <w:spacing w:val="-13"/>
          <w:vertAlign w:val="baseline"/>
        </w:rPr>
        <w:t> </w:t>
      </w:r>
      <w:r>
        <w:rPr>
          <w:vertAlign w:val="baseline"/>
        </w:rPr>
        <w:t>locate</w:t>
      </w:r>
      <w:r>
        <w:rPr>
          <w:spacing w:val="-12"/>
          <w:vertAlign w:val="baseline"/>
        </w:rPr>
        <w:t> </w:t>
      </w:r>
      <w:r>
        <w:rPr>
          <w:vertAlign w:val="baseline"/>
        </w:rPr>
        <w:t>hazardous</w:t>
      </w:r>
      <w:r>
        <w:rPr>
          <w:spacing w:val="-13"/>
          <w:vertAlign w:val="baseline"/>
        </w:rPr>
        <w:t> </w:t>
      </w:r>
      <w:r>
        <w:rPr>
          <w:vertAlign w:val="baseline"/>
        </w:rPr>
        <w:t>land</w:t>
      </w:r>
      <w:r>
        <w:rPr>
          <w:spacing w:val="-12"/>
          <w:vertAlign w:val="baseline"/>
        </w:rPr>
        <w:t> </w:t>
      </w:r>
      <w:r>
        <w:rPr>
          <w:vertAlign w:val="baseline"/>
        </w:rPr>
        <w:t>uses</w:t>
      </w:r>
      <w:r>
        <w:rPr>
          <w:spacing w:val="-13"/>
          <w:vertAlign w:val="baseline"/>
        </w:rPr>
        <w:t> </w:t>
      </w:r>
      <w:r>
        <w:rPr>
          <w:vertAlign w:val="baseline"/>
        </w:rPr>
        <w:t>such</w:t>
      </w:r>
      <w:r>
        <w:rPr>
          <w:spacing w:val="-12"/>
          <w:vertAlign w:val="baseline"/>
        </w:rPr>
        <w:t> </w:t>
      </w:r>
      <w:r>
        <w:rPr>
          <w:vertAlign w:val="baseline"/>
        </w:rPr>
        <w:t>as</w:t>
      </w:r>
      <w:r>
        <w:rPr>
          <w:spacing w:val="-13"/>
          <w:vertAlign w:val="baseline"/>
        </w:rPr>
        <w:t> </w:t>
      </w:r>
      <w:r>
        <w:rPr>
          <w:vertAlign w:val="baseline"/>
        </w:rPr>
        <w:t>landfills,</w:t>
      </w:r>
      <w:r>
        <w:rPr>
          <w:spacing w:val="-12"/>
          <w:vertAlign w:val="baseline"/>
        </w:rPr>
        <w:t> </w:t>
      </w:r>
      <w:r>
        <w:rPr>
          <w:vertAlign w:val="baseline"/>
        </w:rPr>
        <w:t>power</w:t>
      </w:r>
      <w:r>
        <w:rPr>
          <w:spacing w:val="-12"/>
          <w:vertAlign w:val="baseline"/>
        </w:rPr>
        <w:t> </w:t>
      </w:r>
      <w:r>
        <w:rPr>
          <w:vertAlign w:val="baseline"/>
        </w:rPr>
        <w:t>plants,</w:t>
      </w:r>
      <w:r>
        <w:rPr>
          <w:spacing w:val="-13"/>
          <w:vertAlign w:val="baseline"/>
        </w:rPr>
        <w:t> </w:t>
      </w:r>
      <w:r>
        <w:rPr>
          <w:vertAlign w:val="baseline"/>
        </w:rPr>
        <w:t>and</w:t>
      </w:r>
      <w:r>
        <w:rPr>
          <w:spacing w:val="-12"/>
          <w:vertAlign w:val="baseline"/>
        </w:rPr>
        <w:t> </w:t>
      </w:r>
      <w:r>
        <w:rPr>
          <w:vertAlign w:val="baseline"/>
        </w:rPr>
        <w:t>major</w:t>
      </w:r>
      <w:r>
        <w:rPr>
          <w:spacing w:val="-13"/>
          <w:vertAlign w:val="baseline"/>
        </w:rPr>
        <w:t> </w:t>
      </w:r>
      <w:r>
        <w:rPr>
          <w:vertAlign w:val="baseline"/>
        </w:rPr>
        <w:t>highways</w:t>
      </w:r>
      <w:r>
        <w:rPr>
          <w:spacing w:val="-12"/>
          <w:vertAlign w:val="baseline"/>
        </w:rPr>
        <w:t> </w:t>
      </w:r>
      <w:r>
        <w:rPr>
          <w:vertAlign w:val="baseline"/>
        </w:rPr>
        <w:t>in</w:t>
      </w:r>
      <w:r>
        <w:rPr>
          <w:spacing w:val="-13"/>
          <w:vertAlign w:val="baseline"/>
        </w:rPr>
        <w:t> </w:t>
      </w:r>
      <w:r>
        <w:rPr>
          <w:vertAlign w:val="baseline"/>
        </w:rPr>
        <w:t>lower income areas and communities of color</w:t>
      </w:r>
      <w:hyperlink w:history="true" w:anchor="_bookmark547">
        <w:r>
          <w:rPr>
            <w:vertAlign w:val="baseline"/>
          </w:rPr>
          <w:t>.</w:t>
        </w:r>
        <w:r>
          <w:rPr>
            <w:vertAlign w:val="superscript"/>
          </w:rPr>
          <w:t>21,</w:t>
        </w:r>
      </w:hyperlink>
      <w:r>
        <w:rPr>
          <w:vertAlign w:val="superscript"/>
        </w:rPr>
        <w:t>22</w:t>
      </w:r>
    </w:p>
    <w:p>
      <w:pPr>
        <w:pStyle w:val="BodyText"/>
        <w:spacing w:line="276" w:lineRule="auto" w:before="239"/>
        <w:ind w:left="323" w:right="140"/>
        <w:jc w:val="both"/>
      </w:pPr>
      <w:r>
        <w:rPr/>
        <w:t>Research directly relating</w:t>
      </w:r>
      <w:r>
        <w:rPr>
          <w:spacing w:val="-1"/>
        </w:rPr>
        <w:t> </w:t>
      </w:r>
      <w:r>
        <w:rPr/>
        <w:t>air pollution to the places where</w:t>
      </w:r>
      <w:r>
        <w:rPr>
          <w:spacing w:val="-1"/>
        </w:rPr>
        <w:t> </w:t>
      </w:r>
      <w:r>
        <w:rPr/>
        <w:t>LGBTQ people</w:t>
      </w:r>
      <w:r>
        <w:rPr>
          <w:spacing w:val="-1"/>
        </w:rPr>
        <w:t> </w:t>
      </w:r>
      <w:r>
        <w:rPr/>
        <w:t>live is limited, but two studies, one</w:t>
      </w:r>
      <w:r>
        <w:rPr>
          <w:spacing w:val="-4"/>
        </w:rPr>
        <w:t> </w:t>
      </w:r>
      <w:r>
        <w:rPr/>
        <w:t>focusing</w:t>
      </w:r>
      <w:r>
        <w:rPr>
          <w:spacing w:val="-3"/>
        </w:rPr>
        <w:t> </w:t>
      </w:r>
      <w:r>
        <w:rPr/>
        <w:t>on</w:t>
      </w:r>
      <w:r>
        <w:rPr>
          <w:spacing w:val="-4"/>
        </w:rPr>
        <w:t> </w:t>
      </w:r>
      <w:r>
        <w:rPr/>
        <w:t>Houston,</w:t>
      </w:r>
      <w:r>
        <w:rPr>
          <w:spacing w:val="-4"/>
        </w:rPr>
        <w:t> </w:t>
      </w:r>
      <w:r>
        <w:rPr/>
        <w:t>Texas,</w:t>
      </w:r>
      <w:r>
        <w:rPr>
          <w:spacing w:val="-4"/>
        </w:rPr>
        <w:t> </w:t>
      </w:r>
      <w:r>
        <w:rPr/>
        <w:t>and</w:t>
      </w:r>
      <w:r>
        <w:rPr>
          <w:spacing w:val="-4"/>
        </w:rPr>
        <w:t> </w:t>
      </w:r>
      <w:r>
        <w:rPr/>
        <w:t>one</w:t>
      </w:r>
      <w:r>
        <w:rPr>
          <w:spacing w:val="-4"/>
        </w:rPr>
        <w:t> </w:t>
      </w:r>
      <w:r>
        <w:rPr/>
        <w:t>examining</w:t>
      </w:r>
      <w:r>
        <w:rPr>
          <w:spacing w:val="-3"/>
        </w:rPr>
        <w:t> </w:t>
      </w:r>
      <w:r>
        <w:rPr/>
        <w:t>trends</w:t>
      </w:r>
      <w:r>
        <w:rPr>
          <w:spacing w:val="-4"/>
        </w:rPr>
        <w:t> </w:t>
      </w:r>
      <w:r>
        <w:rPr/>
        <w:t>on</w:t>
      </w:r>
      <w:r>
        <w:rPr>
          <w:spacing w:val="-4"/>
        </w:rPr>
        <w:t> </w:t>
      </w:r>
      <w:r>
        <w:rPr/>
        <w:t>a</w:t>
      </w:r>
      <w:r>
        <w:rPr>
          <w:spacing w:val="-4"/>
        </w:rPr>
        <w:t> </w:t>
      </w:r>
      <w:r>
        <w:rPr/>
        <w:t>national</w:t>
      </w:r>
      <w:r>
        <w:rPr>
          <w:spacing w:val="-4"/>
        </w:rPr>
        <w:t> </w:t>
      </w:r>
      <w:r>
        <w:rPr/>
        <w:t>scale,</w:t>
      </w:r>
      <w:r>
        <w:rPr>
          <w:spacing w:val="-4"/>
        </w:rPr>
        <w:t> </w:t>
      </w:r>
      <w:r>
        <w:rPr/>
        <w:t>have</w:t>
      </w:r>
      <w:r>
        <w:rPr>
          <w:spacing w:val="-4"/>
        </w:rPr>
        <w:t> </w:t>
      </w:r>
      <w:r>
        <w:rPr/>
        <w:t>used</w:t>
      </w:r>
      <w:r>
        <w:rPr>
          <w:spacing w:val="-4"/>
        </w:rPr>
        <w:t> </w:t>
      </w:r>
      <w:r>
        <w:rPr/>
        <w:t>census</w:t>
      </w:r>
      <w:r>
        <w:rPr>
          <w:spacing w:val="-4"/>
        </w:rPr>
        <w:t> </w:t>
      </w:r>
      <w:r>
        <w:rPr/>
        <w:t>data</w:t>
      </w:r>
      <w:r>
        <w:rPr>
          <w:spacing w:val="-4"/>
        </w:rPr>
        <w:t> </w:t>
      </w:r>
      <w:r>
        <w:rPr/>
        <w:t>on same-sex couples to examine the relationship between same-sex enclaves and air pollution.</w:t>
      </w:r>
      <w:hyperlink w:history="true" w:anchor="_bookmark548">
        <w:r>
          <w:rPr>
            <w:vertAlign w:val="superscript"/>
          </w:rPr>
          <w:t>23</w:t>
        </w:r>
      </w:hyperlink>
      <w:hyperlink w:history="true" w:anchor="_bookmark548">
        <w:r>
          <w:rPr>
            <w:vertAlign w:val="superscript"/>
          </w:rPr>
          <w:t>,24</w:t>
        </w:r>
      </w:hyperlink>
      <w:r>
        <w:rPr>
          <w:vertAlign w:val="baseline"/>
        </w:rPr>
        <w:t> These early analyses indicate that sexual orientation, even when accounting for race, is a strong indicator of living in an area with higher levels of air pollution. Similar disparities may exist for different types of neighborhood environmental exposures such as water and soil contamination and should be studied </w:t>
      </w:r>
      <w:r>
        <w:rPr>
          <w:spacing w:val="-2"/>
          <w:vertAlign w:val="baseline"/>
        </w:rPr>
        <w:t>further.</w:t>
      </w:r>
    </w:p>
    <w:p>
      <w:pPr>
        <w:pStyle w:val="BodyText"/>
        <w:spacing w:line="276" w:lineRule="auto" w:before="240"/>
        <w:ind w:left="323" w:right="141"/>
        <w:jc w:val="both"/>
      </w:pPr>
      <w:r>
        <w:rPr/>
        <w:t>Higher rates of homelessness and housing instability among LGBTQ youth may also result in greater exposure</w:t>
      </w:r>
      <w:r>
        <w:rPr>
          <w:spacing w:val="-2"/>
        </w:rPr>
        <w:t> </w:t>
      </w:r>
      <w:r>
        <w:rPr/>
        <w:t>to</w:t>
      </w:r>
      <w:r>
        <w:rPr>
          <w:spacing w:val="-1"/>
        </w:rPr>
        <w:t> </w:t>
      </w:r>
      <w:r>
        <w:rPr/>
        <w:t>environmental</w:t>
      </w:r>
      <w:r>
        <w:rPr>
          <w:spacing w:val="-2"/>
        </w:rPr>
        <w:t> </w:t>
      </w:r>
      <w:r>
        <w:rPr/>
        <w:t>hazards.</w:t>
      </w:r>
      <w:r>
        <w:rPr>
          <w:spacing w:val="-2"/>
        </w:rPr>
        <w:t> </w:t>
      </w:r>
      <w:r>
        <w:rPr/>
        <w:t>People</w:t>
      </w:r>
      <w:r>
        <w:rPr>
          <w:spacing w:val="-2"/>
        </w:rPr>
        <w:t> </w:t>
      </w:r>
      <w:r>
        <w:rPr/>
        <w:t>experiencing</w:t>
      </w:r>
      <w:r>
        <w:rPr>
          <w:spacing w:val="-2"/>
        </w:rPr>
        <w:t> </w:t>
      </w:r>
      <w:r>
        <w:rPr/>
        <w:t>homelessness</w:t>
      </w:r>
      <w:r>
        <w:rPr>
          <w:spacing w:val="-2"/>
        </w:rPr>
        <w:t> </w:t>
      </w:r>
      <w:r>
        <w:rPr/>
        <w:t>frequently</w:t>
      </w:r>
      <w:r>
        <w:rPr>
          <w:spacing w:val="-3"/>
        </w:rPr>
        <w:t> </w:t>
      </w:r>
      <w:r>
        <w:rPr/>
        <w:t>face</w:t>
      </w:r>
      <w:r>
        <w:rPr>
          <w:spacing w:val="-2"/>
        </w:rPr>
        <w:t> </w:t>
      </w:r>
      <w:r>
        <w:rPr/>
        <w:t>high</w:t>
      </w:r>
      <w:r>
        <w:rPr>
          <w:spacing w:val="-2"/>
        </w:rPr>
        <w:t> </w:t>
      </w:r>
      <w:r>
        <w:rPr/>
        <w:t>exposure</w:t>
      </w:r>
      <w:r>
        <w:rPr>
          <w:spacing w:val="-2"/>
        </w:rPr>
        <w:t> </w:t>
      </w:r>
      <w:r>
        <w:rPr/>
        <w:t>to ambient air pollution, soil contamination, and water pollution due to living outdoors, often near major roadways and other emission sources.</w:t>
      </w:r>
      <w:hyperlink w:history="true" w:anchor="_bookmark548">
        <w:r>
          <w:rPr>
            <w:vertAlign w:val="superscript"/>
          </w:rPr>
          <w:t>25</w:t>
        </w:r>
      </w:hyperlink>
      <w:r>
        <w:rPr>
          <w:vertAlign w:val="baseline"/>
        </w:rPr>
        <w:t> Criminalization worsens exposures, as police sweeps may force </w:t>
      </w:r>
      <w:r>
        <w:rPr>
          <w:spacing w:val="-2"/>
          <w:vertAlign w:val="baseline"/>
        </w:rPr>
        <w:t>people into more environmentally hazardous areas such as freeway underpasses.</w:t>
      </w:r>
      <w:hyperlink w:history="true" w:anchor="_bookmark548">
        <w:r>
          <w:rPr>
            <w:spacing w:val="-2"/>
            <w:vertAlign w:val="superscript"/>
          </w:rPr>
          <w:t>26</w:t>
        </w:r>
      </w:hyperlink>
      <w:r>
        <w:rPr>
          <w:spacing w:val="-2"/>
          <w:vertAlign w:val="baseline"/>
        </w:rPr>
        <w:t> LGBTQ youth are more </w:t>
      </w:r>
      <w:r>
        <w:rPr>
          <w:vertAlign w:val="baseline"/>
        </w:rPr>
        <w:t>likely</w:t>
      </w:r>
      <w:r>
        <w:rPr>
          <w:spacing w:val="15"/>
          <w:vertAlign w:val="baseline"/>
        </w:rPr>
        <w:t> </w:t>
      </w:r>
      <w:r>
        <w:rPr>
          <w:vertAlign w:val="baseline"/>
        </w:rPr>
        <w:t>to</w:t>
      </w:r>
      <w:r>
        <w:rPr>
          <w:spacing w:val="16"/>
          <w:vertAlign w:val="baseline"/>
        </w:rPr>
        <w:t> </w:t>
      </w:r>
      <w:r>
        <w:rPr>
          <w:vertAlign w:val="baseline"/>
        </w:rPr>
        <w:t>experience</w:t>
      </w:r>
      <w:r>
        <w:rPr>
          <w:spacing w:val="16"/>
          <w:vertAlign w:val="baseline"/>
        </w:rPr>
        <w:t> </w:t>
      </w:r>
      <w:r>
        <w:rPr>
          <w:vertAlign w:val="baseline"/>
        </w:rPr>
        <w:t>housing</w:t>
      </w:r>
      <w:r>
        <w:rPr>
          <w:spacing w:val="15"/>
          <w:vertAlign w:val="baseline"/>
        </w:rPr>
        <w:t> </w:t>
      </w:r>
      <w:r>
        <w:rPr>
          <w:vertAlign w:val="baseline"/>
        </w:rPr>
        <w:t>instability</w:t>
      </w:r>
      <w:r>
        <w:rPr>
          <w:spacing w:val="15"/>
          <w:vertAlign w:val="baseline"/>
        </w:rPr>
        <w:t> </w:t>
      </w:r>
      <w:r>
        <w:rPr>
          <w:vertAlign w:val="baseline"/>
        </w:rPr>
        <w:t>and</w:t>
      </w:r>
      <w:r>
        <w:rPr>
          <w:spacing w:val="15"/>
          <w:vertAlign w:val="baseline"/>
        </w:rPr>
        <w:t> </w:t>
      </w:r>
      <w:r>
        <w:rPr>
          <w:vertAlign w:val="baseline"/>
        </w:rPr>
        <w:t>homelessness</w:t>
      </w:r>
      <w:r>
        <w:rPr>
          <w:spacing w:val="16"/>
          <w:vertAlign w:val="baseline"/>
        </w:rPr>
        <w:t> </w:t>
      </w:r>
      <w:r>
        <w:rPr>
          <w:vertAlign w:val="baseline"/>
        </w:rPr>
        <w:t>in</w:t>
      </w:r>
      <w:r>
        <w:rPr>
          <w:spacing w:val="15"/>
          <w:vertAlign w:val="baseline"/>
        </w:rPr>
        <w:t> </w:t>
      </w:r>
      <w:r>
        <w:rPr>
          <w:vertAlign w:val="baseline"/>
        </w:rPr>
        <w:t>Massachusetts,</w:t>
      </w:r>
      <w:r>
        <w:rPr>
          <w:spacing w:val="15"/>
          <w:vertAlign w:val="baseline"/>
        </w:rPr>
        <w:t> </w:t>
      </w:r>
      <w:r>
        <w:rPr>
          <w:vertAlign w:val="baseline"/>
        </w:rPr>
        <w:t>and</w:t>
      </w:r>
      <w:r>
        <w:rPr>
          <w:spacing w:val="15"/>
          <w:vertAlign w:val="baseline"/>
        </w:rPr>
        <w:t> </w:t>
      </w:r>
      <w:r>
        <w:rPr>
          <w:vertAlign w:val="baseline"/>
        </w:rPr>
        <w:t>thus</w:t>
      </w:r>
      <w:r>
        <w:rPr>
          <w:spacing w:val="16"/>
          <w:vertAlign w:val="baseline"/>
        </w:rPr>
        <w:t> </w:t>
      </w:r>
      <w:r>
        <w:rPr>
          <w:vertAlign w:val="baseline"/>
        </w:rPr>
        <w:t>at</w:t>
      </w:r>
      <w:r>
        <w:rPr>
          <w:spacing w:val="16"/>
          <w:vertAlign w:val="baseline"/>
        </w:rPr>
        <w:t> </w:t>
      </w:r>
      <w:r>
        <w:rPr>
          <w:vertAlign w:val="baseline"/>
        </w:rPr>
        <w:t>greater</w:t>
      </w:r>
      <w:r>
        <w:rPr>
          <w:spacing w:val="15"/>
          <w:vertAlign w:val="baseline"/>
        </w:rPr>
        <w:t> </w:t>
      </w:r>
      <w:r>
        <w:rPr>
          <w:vertAlign w:val="baseline"/>
        </w:rPr>
        <w:t>risk</w:t>
      </w:r>
      <w:r>
        <w:rPr>
          <w:spacing w:val="15"/>
          <w:vertAlign w:val="baseline"/>
        </w:rPr>
        <w:t> </w:t>
      </w:r>
      <w:r>
        <w:rPr>
          <w:vertAlign w:val="baseline"/>
        </w:rPr>
        <w:t>of</w:t>
      </w:r>
    </w:p>
    <w:p>
      <w:pPr>
        <w:spacing w:after="0" w:line="276" w:lineRule="auto"/>
        <w:jc w:val="both"/>
        <w:sectPr>
          <w:pgSz w:w="12240" w:h="15840"/>
          <w:pgMar w:header="800" w:footer="1459" w:top="1300" w:bottom="1640" w:left="1120" w:right="1300"/>
        </w:sectPr>
      </w:pPr>
    </w:p>
    <w:p>
      <w:pPr>
        <w:pStyle w:val="BodyText"/>
        <w:spacing w:line="276" w:lineRule="auto" w:before="67"/>
        <w:ind w:left="323" w:right="143"/>
        <w:jc w:val="both"/>
      </w:pPr>
      <w:r>
        <w:rPr/>
        <w:t>facing</w:t>
      </w:r>
      <w:r>
        <w:rPr>
          <w:spacing w:val="-11"/>
        </w:rPr>
        <w:t> </w:t>
      </w:r>
      <w:r>
        <w:rPr/>
        <w:t>associated</w:t>
      </w:r>
      <w:r>
        <w:rPr>
          <w:spacing w:val="-11"/>
        </w:rPr>
        <w:t> </w:t>
      </w:r>
      <w:r>
        <w:rPr/>
        <w:t>environmental</w:t>
      </w:r>
      <w:r>
        <w:rPr>
          <w:spacing w:val="-11"/>
        </w:rPr>
        <w:t> </w:t>
      </w:r>
      <w:r>
        <w:rPr/>
        <w:t>injustices.</w:t>
      </w:r>
      <w:r>
        <w:rPr>
          <w:spacing w:val="-12"/>
        </w:rPr>
        <w:t> </w:t>
      </w:r>
      <w:r>
        <w:rPr/>
        <w:t>In</w:t>
      </w:r>
      <w:r>
        <w:rPr>
          <w:spacing w:val="-11"/>
        </w:rPr>
        <w:t> </w:t>
      </w:r>
      <w:r>
        <w:rPr/>
        <w:t>a</w:t>
      </w:r>
      <w:r>
        <w:rPr>
          <w:spacing w:val="-11"/>
        </w:rPr>
        <w:t> </w:t>
      </w:r>
      <w:r>
        <w:rPr/>
        <w:t>dataset</w:t>
      </w:r>
      <w:r>
        <w:rPr>
          <w:spacing w:val="-12"/>
        </w:rPr>
        <w:t> </w:t>
      </w:r>
      <w:r>
        <w:rPr/>
        <w:t>from</w:t>
      </w:r>
      <w:r>
        <w:rPr>
          <w:spacing w:val="-11"/>
        </w:rPr>
        <w:t> </w:t>
      </w:r>
      <w:r>
        <w:rPr/>
        <w:t>the</w:t>
      </w:r>
      <w:r>
        <w:rPr>
          <w:spacing w:val="-11"/>
        </w:rPr>
        <w:t> </w:t>
      </w:r>
      <w:r>
        <w:rPr/>
        <w:t>2022</w:t>
      </w:r>
      <w:r>
        <w:rPr>
          <w:spacing w:val="-11"/>
        </w:rPr>
        <w:t> </w:t>
      </w:r>
      <w:r>
        <w:rPr/>
        <w:t>Massachusetts</w:t>
      </w:r>
      <w:r>
        <w:rPr>
          <w:spacing w:val="-11"/>
        </w:rPr>
        <w:t> </w:t>
      </w:r>
      <w:r>
        <w:rPr/>
        <w:t>Youth</w:t>
      </w:r>
      <w:r>
        <w:rPr>
          <w:spacing w:val="-10"/>
        </w:rPr>
        <w:t> </w:t>
      </w:r>
      <w:r>
        <w:rPr/>
        <w:t>Count</w:t>
      </w:r>
      <w:r>
        <w:rPr>
          <w:spacing w:val="-12"/>
        </w:rPr>
        <w:t> </w:t>
      </w:r>
      <w:r>
        <w:rPr/>
        <w:t>annual survey which seeks to learn about the needs of youth who are unstably housed or experiencing homelessness, 12% of LGBTQ youth experiencing homelessness reported being unsheltered the night before</w:t>
      </w:r>
      <w:hyperlink w:history="true" w:anchor="_bookmark548">
        <w:r>
          <w:rPr/>
          <w:t>.</w:t>
        </w:r>
        <w:r>
          <w:rPr>
            <w:vertAlign w:val="superscript"/>
          </w:rPr>
          <w:t>27</w:t>
        </w:r>
      </w:hyperlink>
      <w:r>
        <w:rPr>
          <w:vertAlign w:val="baseline"/>
        </w:rPr>
        <w:t> Working to decrease rates of homelessness and housing instability among LGBTQ youth and improve access to services is vital to reducing unjust environmental exposures faced by LGBTQ youth.</w:t>
      </w:r>
    </w:p>
    <w:p>
      <w:pPr>
        <w:pStyle w:val="BodyText"/>
        <w:spacing w:line="276" w:lineRule="auto" w:before="241"/>
        <w:ind w:left="323" w:right="141"/>
        <w:jc w:val="both"/>
      </w:pPr>
      <w:r>
        <w:rPr/>
        <w:t>Exposure</w:t>
      </w:r>
      <w:r>
        <w:rPr>
          <w:spacing w:val="-10"/>
        </w:rPr>
        <w:t> </w:t>
      </w:r>
      <w:r>
        <w:rPr/>
        <w:t>to</w:t>
      </w:r>
      <w:r>
        <w:rPr>
          <w:spacing w:val="-9"/>
        </w:rPr>
        <w:t> </w:t>
      </w:r>
      <w:r>
        <w:rPr/>
        <w:t>tobacco</w:t>
      </w:r>
      <w:r>
        <w:rPr>
          <w:spacing w:val="-9"/>
        </w:rPr>
        <w:t> </w:t>
      </w:r>
      <w:r>
        <w:rPr/>
        <w:t>smoke</w:t>
      </w:r>
      <w:r>
        <w:rPr>
          <w:spacing w:val="-10"/>
        </w:rPr>
        <w:t> </w:t>
      </w:r>
      <w:r>
        <w:rPr/>
        <w:t>is</w:t>
      </w:r>
      <w:r>
        <w:rPr>
          <w:spacing w:val="-9"/>
        </w:rPr>
        <w:t> </w:t>
      </w:r>
      <w:r>
        <w:rPr/>
        <w:t>another</w:t>
      </w:r>
      <w:r>
        <w:rPr>
          <w:spacing w:val="-10"/>
        </w:rPr>
        <w:t> </w:t>
      </w:r>
      <w:r>
        <w:rPr/>
        <w:t>environmental</w:t>
      </w:r>
      <w:r>
        <w:rPr>
          <w:spacing w:val="-9"/>
        </w:rPr>
        <w:t> </w:t>
      </w:r>
      <w:r>
        <w:rPr/>
        <w:t>justice</w:t>
      </w:r>
      <w:r>
        <w:rPr>
          <w:spacing w:val="-9"/>
        </w:rPr>
        <w:t> </w:t>
      </w:r>
      <w:r>
        <w:rPr/>
        <w:t>concern</w:t>
      </w:r>
      <w:r>
        <w:rPr>
          <w:spacing w:val="-10"/>
        </w:rPr>
        <w:t> </w:t>
      </w:r>
      <w:r>
        <w:rPr/>
        <w:t>for</w:t>
      </w:r>
      <w:r>
        <w:rPr>
          <w:spacing w:val="-10"/>
        </w:rPr>
        <w:t> </w:t>
      </w:r>
      <w:r>
        <w:rPr/>
        <w:t>LGBTQ</w:t>
      </w:r>
      <w:r>
        <w:rPr>
          <w:spacing w:val="-9"/>
        </w:rPr>
        <w:t> </w:t>
      </w:r>
      <w:r>
        <w:rPr/>
        <w:t>youth.</w:t>
      </w:r>
      <w:r>
        <w:rPr>
          <w:spacing w:val="-10"/>
        </w:rPr>
        <w:t> </w:t>
      </w:r>
      <w:r>
        <w:rPr/>
        <w:t>Numerous</w:t>
      </w:r>
      <w:r>
        <w:rPr>
          <w:spacing w:val="-9"/>
        </w:rPr>
        <w:t> </w:t>
      </w:r>
      <w:r>
        <w:rPr/>
        <w:t>studies show that LGBTQ populations are more likely to smoke cigarettes than non-LGBTQ populations</w:t>
      </w:r>
      <w:hyperlink w:history="true" w:anchor="_bookmark548">
        <w:r>
          <w:rPr/>
          <w:t>.</w:t>
        </w:r>
        <w:r>
          <w:rPr>
            <w:vertAlign w:val="superscript"/>
          </w:rPr>
          <w:t>28</w:t>
        </w:r>
      </w:hyperlink>
      <w:r>
        <w:rPr>
          <w:vertAlign w:val="baseline"/>
        </w:rPr>
        <w:t> In Massachusetts,</w:t>
      </w:r>
      <w:r>
        <w:rPr>
          <w:spacing w:val="-9"/>
          <w:vertAlign w:val="baseline"/>
        </w:rPr>
        <w:t> </w:t>
      </w:r>
      <w:r>
        <w:rPr>
          <w:vertAlign w:val="baseline"/>
        </w:rPr>
        <w:t>the</w:t>
      </w:r>
      <w:r>
        <w:rPr>
          <w:spacing w:val="-9"/>
          <w:vertAlign w:val="baseline"/>
        </w:rPr>
        <w:t> </w:t>
      </w:r>
      <w:r>
        <w:rPr>
          <w:vertAlign w:val="baseline"/>
        </w:rPr>
        <w:t>2019</w:t>
      </w:r>
      <w:r>
        <w:rPr>
          <w:spacing w:val="-9"/>
          <w:vertAlign w:val="baseline"/>
        </w:rPr>
        <w:t> </w:t>
      </w:r>
      <w:r>
        <w:rPr>
          <w:vertAlign w:val="baseline"/>
        </w:rPr>
        <w:t>Youth</w:t>
      </w:r>
      <w:r>
        <w:rPr>
          <w:spacing w:val="-9"/>
          <w:vertAlign w:val="baseline"/>
        </w:rPr>
        <w:t> </w:t>
      </w:r>
      <w:r>
        <w:rPr>
          <w:vertAlign w:val="baseline"/>
        </w:rPr>
        <w:t>Risk</w:t>
      </w:r>
      <w:r>
        <w:rPr>
          <w:spacing w:val="-9"/>
          <w:vertAlign w:val="baseline"/>
        </w:rPr>
        <w:t> </w:t>
      </w:r>
      <w:r>
        <w:rPr>
          <w:vertAlign w:val="baseline"/>
        </w:rPr>
        <w:t>Behavior</w:t>
      </w:r>
      <w:r>
        <w:rPr>
          <w:spacing w:val="-9"/>
          <w:vertAlign w:val="baseline"/>
        </w:rPr>
        <w:t> </w:t>
      </w:r>
      <w:r>
        <w:rPr>
          <w:vertAlign w:val="baseline"/>
        </w:rPr>
        <w:t>Survey</w:t>
      </w:r>
      <w:r>
        <w:rPr>
          <w:spacing w:val="-9"/>
          <w:vertAlign w:val="baseline"/>
        </w:rPr>
        <w:t> </w:t>
      </w:r>
      <w:r>
        <w:rPr>
          <w:vertAlign w:val="baseline"/>
        </w:rPr>
        <w:t>(MYRBS)</w:t>
      </w:r>
      <w:r>
        <w:rPr>
          <w:spacing w:val="-9"/>
          <w:vertAlign w:val="baseline"/>
        </w:rPr>
        <w:t> </w:t>
      </w:r>
      <w:r>
        <w:rPr>
          <w:vertAlign w:val="baseline"/>
        </w:rPr>
        <w:t>data</w:t>
      </w:r>
      <w:r>
        <w:rPr>
          <w:spacing w:val="-8"/>
          <w:vertAlign w:val="baseline"/>
        </w:rPr>
        <w:t> </w:t>
      </w:r>
      <w:r>
        <w:rPr>
          <w:vertAlign w:val="baseline"/>
        </w:rPr>
        <w:t>showed</w:t>
      </w:r>
      <w:r>
        <w:rPr>
          <w:spacing w:val="-9"/>
          <w:vertAlign w:val="baseline"/>
        </w:rPr>
        <w:t> </w:t>
      </w:r>
      <w:r>
        <w:rPr>
          <w:vertAlign w:val="baseline"/>
        </w:rPr>
        <w:t>that</w:t>
      </w:r>
      <w:r>
        <w:rPr>
          <w:spacing w:val="-8"/>
          <w:vertAlign w:val="baseline"/>
        </w:rPr>
        <w:t> </w:t>
      </w:r>
      <w:r>
        <w:rPr>
          <w:vertAlign w:val="baseline"/>
        </w:rPr>
        <w:t>LGBTQ</w:t>
      </w:r>
      <w:r>
        <w:rPr>
          <w:spacing w:val="-9"/>
          <w:vertAlign w:val="baseline"/>
        </w:rPr>
        <w:t> </w:t>
      </w:r>
      <w:r>
        <w:rPr>
          <w:vertAlign w:val="baseline"/>
        </w:rPr>
        <w:t>youth</w:t>
      </w:r>
      <w:r>
        <w:rPr>
          <w:spacing w:val="-8"/>
          <w:vertAlign w:val="baseline"/>
        </w:rPr>
        <w:t> </w:t>
      </w:r>
      <w:r>
        <w:rPr>
          <w:vertAlign w:val="baseline"/>
        </w:rPr>
        <w:t>(12%)</w:t>
      </w:r>
      <w:r>
        <w:rPr>
          <w:spacing w:val="-9"/>
          <w:vertAlign w:val="baseline"/>
        </w:rPr>
        <w:t> </w:t>
      </w:r>
      <w:r>
        <w:rPr>
          <w:vertAlign w:val="baseline"/>
        </w:rPr>
        <w:t>were more likely to smoke cigarettes than non-LGBTQ youth (5%). </w:t>
      </w:r>
      <w:hyperlink w:history="true" w:anchor="_bookmark548">
        <w:r>
          <w:rPr>
            <w:vertAlign w:val="superscript"/>
          </w:rPr>
          <w:t>29</w:t>
        </w:r>
      </w:hyperlink>
      <w:r>
        <w:rPr>
          <w:vertAlign w:val="baseline"/>
        </w:rPr>
        <w:t> Higher rates of smoking in LGBTQ communities also mean higher exposure to secondhand smoke in the places where LGBTQ people live and socialize. One study in California found that LGBTQ people were twice as likely to be exposed to secondhand</w:t>
      </w:r>
      <w:r>
        <w:rPr>
          <w:spacing w:val="-13"/>
          <w:vertAlign w:val="baseline"/>
        </w:rPr>
        <w:t> </w:t>
      </w:r>
      <w:r>
        <w:rPr>
          <w:vertAlign w:val="baseline"/>
        </w:rPr>
        <w:t>smoke</w:t>
      </w:r>
      <w:r>
        <w:rPr>
          <w:spacing w:val="-12"/>
          <w:vertAlign w:val="baseline"/>
        </w:rPr>
        <w:t> </w:t>
      </w:r>
      <w:r>
        <w:rPr>
          <w:vertAlign w:val="baseline"/>
        </w:rPr>
        <w:t>in</w:t>
      </w:r>
      <w:r>
        <w:rPr>
          <w:spacing w:val="-13"/>
          <w:vertAlign w:val="baseline"/>
        </w:rPr>
        <w:t> </w:t>
      </w:r>
      <w:r>
        <w:rPr>
          <w:vertAlign w:val="baseline"/>
        </w:rPr>
        <w:t>their</w:t>
      </w:r>
      <w:r>
        <w:rPr>
          <w:spacing w:val="-12"/>
          <w:vertAlign w:val="baseline"/>
        </w:rPr>
        <w:t> </w:t>
      </w:r>
      <w:r>
        <w:rPr>
          <w:vertAlign w:val="baseline"/>
        </w:rPr>
        <w:t>household</w:t>
      </w:r>
      <w:hyperlink w:history="true" w:anchor="_bookmark548">
        <w:r>
          <w:rPr>
            <w:vertAlign w:val="baseline"/>
          </w:rPr>
          <w:t>.</w:t>
        </w:r>
        <w:r>
          <w:rPr>
            <w:vertAlign w:val="superscript"/>
          </w:rPr>
          <w:t>30</w:t>
        </w:r>
      </w:hyperlink>
      <w:r>
        <w:rPr>
          <w:spacing w:val="-13"/>
          <w:vertAlign w:val="baseline"/>
        </w:rPr>
        <w:t> </w:t>
      </w:r>
      <w:r>
        <w:rPr>
          <w:vertAlign w:val="baseline"/>
        </w:rPr>
        <w:t>Another</w:t>
      </w:r>
      <w:r>
        <w:rPr>
          <w:spacing w:val="-12"/>
          <w:vertAlign w:val="baseline"/>
        </w:rPr>
        <w:t> </w:t>
      </w:r>
      <w:r>
        <w:rPr>
          <w:vertAlign w:val="baseline"/>
        </w:rPr>
        <w:t>study</w:t>
      </w:r>
      <w:r>
        <w:rPr>
          <w:spacing w:val="-13"/>
          <w:vertAlign w:val="baseline"/>
        </w:rPr>
        <w:t> </w:t>
      </w:r>
      <w:r>
        <w:rPr>
          <w:vertAlign w:val="baseline"/>
        </w:rPr>
        <w:t>found</w:t>
      </w:r>
      <w:r>
        <w:rPr>
          <w:spacing w:val="-12"/>
          <w:vertAlign w:val="baseline"/>
        </w:rPr>
        <w:t> </w:t>
      </w:r>
      <w:r>
        <w:rPr>
          <w:vertAlign w:val="baseline"/>
        </w:rPr>
        <w:t>that</w:t>
      </w:r>
      <w:r>
        <w:rPr>
          <w:spacing w:val="-12"/>
          <w:vertAlign w:val="baseline"/>
        </w:rPr>
        <w:t> </w:t>
      </w:r>
      <w:r>
        <w:rPr>
          <w:vertAlign w:val="baseline"/>
        </w:rPr>
        <w:t>visitors</w:t>
      </w:r>
      <w:r>
        <w:rPr>
          <w:spacing w:val="-13"/>
          <w:vertAlign w:val="baseline"/>
        </w:rPr>
        <w:t> </w:t>
      </w:r>
      <w:r>
        <w:rPr>
          <w:vertAlign w:val="baseline"/>
        </w:rPr>
        <w:t>of</w:t>
      </w:r>
      <w:r>
        <w:rPr>
          <w:spacing w:val="-12"/>
          <w:vertAlign w:val="baseline"/>
        </w:rPr>
        <w:t> </w:t>
      </w:r>
      <w:r>
        <w:rPr>
          <w:vertAlign w:val="baseline"/>
        </w:rPr>
        <w:t>LGBTQ</w:t>
      </w:r>
      <w:r>
        <w:rPr>
          <w:spacing w:val="-13"/>
          <w:vertAlign w:val="baseline"/>
        </w:rPr>
        <w:t> </w:t>
      </w:r>
      <w:r>
        <w:rPr>
          <w:vertAlign w:val="baseline"/>
        </w:rPr>
        <w:t>bars</w:t>
      </w:r>
      <w:r>
        <w:rPr>
          <w:spacing w:val="-12"/>
          <w:vertAlign w:val="baseline"/>
        </w:rPr>
        <w:t> </w:t>
      </w:r>
      <w:r>
        <w:rPr>
          <w:vertAlign w:val="baseline"/>
        </w:rPr>
        <w:t>and</w:t>
      </w:r>
      <w:r>
        <w:rPr>
          <w:spacing w:val="-13"/>
          <w:vertAlign w:val="baseline"/>
        </w:rPr>
        <w:t> </w:t>
      </w:r>
      <w:r>
        <w:rPr>
          <w:vertAlign w:val="baseline"/>
        </w:rPr>
        <w:t>venues</w:t>
      </w:r>
      <w:r>
        <w:rPr>
          <w:spacing w:val="-12"/>
          <w:vertAlign w:val="baseline"/>
        </w:rPr>
        <w:t> </w:t>
      </w:r>
      <w:r>
        <w:rPr>
          <w:vertAlign w:val="baseline"/>
        </w:rPr>
        <w:t>were 38%</w:t>
      </w:r>
      <w:r>
        <w:rPr>
          <w:spacing w:val="-7"/>
          <w:vertAlign w:val="baseline"/>
        </w:rPr>
        <w:t> </w:t>
      </w:r>
      <w:r>
        <w:rPr>
          <w:vertAlign w:val="baseline"/>
        </w:rPr>
        <w:t>more</w:t>
      </w:r>
      <w:r>
        <w:rPr>
          <w:spacing w:val="-8"/>
          <w:vertAlign w:val="baseline"/>
        </w:rPr>
        <w:t> </w:t>
      </w:r>
      <w:r>
        <w:rPr>
          <w:vertAlign w:val="baseline"/>
        </w:rPr>
        <w:t>likely</w:t>
      </w:r>
      <w:r>
        <w:rPr>
          <w:spacing w:val="-7"/>
          <w:vertAlign w:val="baseline"/>
        </w:rPr>
        <w:t> </w:t>
      </w:r>
      <w:r>
        <w:rPr>
          <w:vertAlign w:val="baseline"/>
        </w:rPr>
        <w:t>to</w:t>
      </w:r>
      <w:r>
        <w:rPr>
          <w:spacing w:val="-7"/>
          <w:vertAlign w:val="baseline"/>
        </w:rPr>
        <w:t> </w:t>
      </w:r>
      <w:r>
        <w:rPr>
          <w:vertAlign w:val="baseline"/>
        </w:rPr>
        <w:t>be</w:t>
      </w:r>
      <w:r>
        <w:rPr>
          <w:spacing w:val="-6"/>
          <w:vertAlign w:val="baseline"/>
        </w:rPr>
        <w:t> </w:t>
      </w:r>
      <w:r>
        <w:rPr>
          <w:vertAlign w:val="baseline"/>
        </w:rPr>
        <w:t>exposed</w:t>
      </w:r>
      <w:r>
        <w:rPr>
          <w:spacing w:val="-8"/>
          <w:vertAlign w:val="baseline"/>
        </w:rPr>
        <w:t> </w:t>
      </w:r>
      <w:r>
        <w:rPr>
          <w:vertAlign w:val="baseline"/>
        </w:rPr>
        <w:t>to</w:t>
      </w:r>
      <w:r>
        <w:rPr>
          <w:spacing w:val="-7"/>
          <w:vertAlign w:val="baseline"/>
        </w:rPr>
        <w:t> </w:t>
      </w:r>
      <w:r>
        <w:rPr>
          <w:vertAlign w:val="baseline"/>
        </w:rPr>
        <w:t>secondhand</w:t>
      </w:r>
      <w:r>
        <w:rPr>
          <w:spacing w:val="-7"/>
          <w:vertAlign w:val="baseline"/>
        </w:rPr>
        <w:t> </w:t>
      </w:r>
      <w:r>
        <w:rPr>
          <w:vertAlign w:val="baseline"/>
        </w:rPr>
        <w:t>smoke</w:t>
      </w:r>
      <w:r>
        <w:rPr>
          <w:spacing w:val="-8"/>
          <w:vertAlign w:val="baseline"/>
        </w:rPr>
        <w:t> </w:t>
      </w:r>
      <w:r>
        <w:rPr>
          <w:vertAlign w:val="baseline"/>
        </w:rPr>
        <w:t>than</w:t>
      </w:r>
      <w:r>
        <w:rPr>
          <w:spacing w:val="-7"/>
          <w:vertAlign w:val="baseline"/>
        </w:rPr>
        <w:t> </w:t>
      </w:r>
      <w:r>
        <w:rPr>
          <w:vertAlign w:val="baseline"/>
        </w:rPr>
        <w:t>non-LGBTQ</w:t>
      </w:r>
      <w:r>
        <w:rPr>
          <w:spacing w:val="-8"/>
          <w:vertAlign w:val="baseline"/>
        </w:rPr>
        <w:t> </w:t>
      </w:r>
      <w:r>
        <w:rPr>
          <w:vertAlign w:val="baseline"/>
        </w:rPr>
        <w:t>venues</w:t>
      </w:r>
      <w:hyperlink w:history="true" w:anchor="_bookmark548">
        <w:r>
          <w:rPr>
            <w:vertAlign w:val="baseline"/>
          </w:rPr>
          <w:t>.</w:t>
        </w:r>
        <w:r>
          <w:rPr>
            <w:vertAlign w:val="superscript"/>
          </w:rPr>
          <w:t>31</w:t>
        </w:r>
      </w:hyperlink>
      <w:r>
        <w:rPr>
          <w:spacing w:val="-8"/>
          <w:vertAlign w:val="baseline"/>
        </w:rPr>
        <w:t> </w:t>
      </w:r>
      <w:r>
        <w:rPr>
          <w:vertAlign w:val="baseline"/>
        </w:rPr>
        <w:t>Exposure</w:t>
      </w:r>
      <w:r>
        <w:rPr>
          <w:spacing w:val="-7"/>
          <w:vertAlign w:val="baseline"/>
        </w:rPr>
        <w:t> </w:t>
      </w:r>
      <w:r>
        <w:rPr>
          <w:vertAlign w:val="baseline"/>
        </w:rPr>
        <w:t>to</w:t>
      </w:r>
      <w:r>
        <w:rPr>
          <w:spacing w:val="-7"/>
          <w:vertAlign w:val="baseline"/>
        </w:rPr>
        <w:t> </w:t>
      </w:r>
      <w:r>
        <w:rPr>
          <w:vertAlign w:val="baseline"/>
        </w:rPr>
        <w:t>secondhand smoke is associated with respiratory illnesses, cancer, and heart disease</w:t>
      </w:r>
      <w:hyperlink w:history="true" w:anchor="_bookmark549">
        <w:r>
          <w:rPr>
            <w:vertAlign w:val="baseline"/>
          </w:rPr>
          <w:t>.</w:t>
        </w:r>
        <w:r>
          <w:rPr>
            <w:vertAlign w:val="superscript"/>
          </w:rPr>
          <w:t>32</w:t>
        </w:r>
      </w:hyperlink>
    </w:p>
    <w:p>
      <w:pPr>
        <w:pStyle w:val="BodyText"/>
        <w:spacing w:line="276" w:lineRule="auto" w:before="239"/>
        <w:ind w:left="323" w:right="141"/>
        <w:jc w:val="both"/>
      </w:pPr>
      <w:r>
        <w:rPr/>
        <w:t>As further evidence of disproportionate exposure, health conditions linked to air pollution and secondhand smoke have been found at disproportionate rates among LGBTQ communities, including LGBTQ</w:t>
      </w:r>
      <w:r>
        <w:rPr>
          <w:spacing w:val="-5"/>
        </w:rPr>
        <w:t> </w:t>
      </w:r>
      <w:r>
        <w:rPr/>
        <w:t>youth.</w:t>
      </w:r>
      <w:r>
        <w:rPr>
          <w:spacing w:val="-5"/>
        </w:rPr>
        <w:t> </w:t>
      </w:r>
      <w:r>
        <w:rPr/>
        <w:t>Multiple</w:t>
      </w:r>
      <w:r>
        <w:rPr>
          <w:spacing w:val="-5"/>
        </w:rPr>
        <w:t> </w:t>
      </w:r>
      <w:r>
        <w:rPr/>
        <w:t>analyses</w:t>
      </w:r>
      <w:r>
        <w:rPr>
          <w:spacing w:val="-5"/>
        </w:rPr>
        <w:t> </w:t>
      </w:r>
      <w:r>
        <w:rPr/>
        <w:t>have</w:t>
      </w:r>
      <w:r>
        <w:rPr>
          <w:spacing w:val="-5"/>
        </w:rPr>
        <w:t> </w:t>
      </w:r>
      <w:r>
        <w:rPr/>
        <w:t>found</w:t>
      </w:r>
      <w:r>
        <w:rPr>
          <w:spacing w:val="-5"/>
        </w:rPr>
        <w:t> </w:t>
      </w:r>
      <w:r>
        <w:rPr/>
        <w:t>that</w:t>
      </w:r>
      <w:r>
        <w:rPr>
          <w:spacing w:val="-5"/>
        </w:rPr>
        <w:t> </w:t>
      </w:r>
      <w:r>
        <w:rPr/>
        <w:t>asthma</w:t>
      </w:r>
      <w:r>
        <w:rPr>
          <w:spacing w:val="-5"/>
        </w:rPr>
        <w:t> </w:t>
      </w:r>
      <w:r>
        <w:rPr/>
        <w:t>and</w:t>
      </w:r>
      <w:r>
        <w:rPr>
          <w:spacing w:val="-4"/>
        </w:rPr>
        <w:t> </w:t>
      </w:r>
      <w:r>
        <w:rPr/>
        <w:t>chronic</w:t>
      </w:r>
      <w:r>
        <w:rPr>
          <w:spacing w:val="-6"/>
        </w:rPr>
        <w:t> </w:t>
      </w:r>
      <w:r>
        <w:rPr/>
        <w:t>obstructive</w:t>
      </w:r>
      <w:r>
        <w:rPr>
          <w:spacing w:val="-5"/>
        </w:rPr>
        <w:t> </w:t>
      </w:r>
      <w:r>
        <w:rPr/>
        <w:t>pulmonary</w:t>
      </w:r>
      <w:r>
        <w:rPr>
          <w:spacing w:val="-4"/>
        </w:rPr>
        <w:t> </w:t>
      </w:r>
      <w:r>
        <w:rPr/>
        <w:t>disease,</w:t>
      </w:r>
      <w:r>
        <w:rPr>
          <w:spacing w:val="-5"/>
        </w:rPr>
        <w:t> </w:t>
      </w:r>
      <w:r>
        <w:rPr/>
        <w:t>two respiratory illnesses related to environmental exposures such as air pollution and smoking, disproportionately</w:t>
      </w:r>
      <w:r>
        <w:rPr>
          <w:spacing w:val="-1"/>
        </w:rPr>
        <w:t> </w:t>
      </w:r>
      <w:r>
        <w:rPr/>
        <w:t>affect</w:t>
      </w:r>
      <w:r>
        <w:rPr>
          <w:spacing w:val="-2"/>
        </w:rPr>
        <w:t> </w:t>
      </w:r>
      <w:r>
        <w:rPr/>
        <w:t>LGBTQ</w:t>
      </w:r>
      <w:r>
        <w:rPr>
          <w:spacing w:val="-1"/>
        </w:rPr>
        <w:t> </w:t>
      </w:r>
      <w:r>
        <w:rPr/>
        <w:t>populations</w:t>
      </w:r>
      <w:hyperlink w:history="true" w:anchor="_bookmark549">
        <w:r>
          <w:rPr/>
          <w:t>.</w:t>
        </w:r>
        <w:r>
          <w:rPr>
            <w:vertAlign w:val="superscript"/>
          </w:rPr>
          <w:t>33</w:t>
        </w:r>
      </w:hyperlink>
      <w:hyperlink w:history="true" w:anchor="_bookmark549">
        <w:r>
          <w:rPr>
            <w:vertAlign w:val="superscript"/>
          </w:rPr>
          <w:t>,34</w:t>
        </w:r>
      </w:hyperlink>
      <w:r>
        <w:rPr>
          <w:spacing w:val="-2"/>
          <w:vertAlign w:val="baseline"/>
        </w:rPr>
        <w:t> </w:t>
      </w:r>
      <w:hyperlink w:history="true" w:anchor="_bookmark549">
        <w:r>
          <w:rPr>
            <w:vertAlign w:val="superscript"/>
          </w:rPr>
          <w:t>,35</w:t>
        </w:r>
      </w:hyperlink>
      <w:hyperlink w:history="true" w:anchor="_bookmark549">
        <w:r>
          <w:rPr>
            <w:vertAlign w:val="superscript"/>
          </w:rPr>
          <w:t>,36</w:t>
        </w:r>
      </w:hyperlink>
      <w:r>
        <w:rPr>
          <w:spacing w:val="-1"/>
          <w:vertAlign w:val="baseline"/>
        </w:rPr>
        <w:t> </w:t>
      </w:r>
      <w:r>
        <w:rPr>
          <w:vertAlign w:val="baseline"/>
        </w:rPr>
        <w:t>One</w:t>
      </w:r>
      <w:r>
        <w:rPr>
          <w:spacing w:val="-2"/>
          <w:vertAlign w:val="baseline"/>
        </w:rPr>
        <w:t> </w:t>
      </w:r>
      <w:r>
        <w:rPr>
          <w:vertAlign w:val="baseline"/>
        </w:rPr>
        <w:t>study based</w:t>
      </w:r>
      <w:r>
        <w:rPr>
          <w:spacing w:val="-2"/>
          <w:vertAlign w:val="baseline"/>
        </w:rPr>
        <w:t> </w:t>
      </w:r>
      <w:r>
        <w:rPr>
          <w:vertAlign w:val="baseline"/>
        </w:rPr>
        <w:t>on</w:t>
      </w:r>
      <w:r>
        <w:rPr>
          <w:spacing w:val="-2"/>
          <w:vertAlign w:val="baseline"/>
        </w:rPr>
        <w:t> </w:t>
      </w:r>
      <w:r>
        <w:rPr>
          <w:vertAlign w:val="baseline"/>
        </w:rPr>
        <w:t>national</w:t>
      </w:r>
      <w:r>
        <w:rPr>
          <w:spacing w:val="-2"/>
          <w:vertAlign w:val="baseline"/>
        </w:rPr>
        <w:t> </w:t>
      </w:r>
      <w:r>
        <w:rPr>
          <w:vertAlign w:val="baseline"/>
        </w:rPr>
        <w:t>YRBS</w:t>
      </w:r>
      <w:r>
        <w:rPr>
          <w:spacing w:val="-1"/>
          <w:vertAlign w:val="baseline"/>
        </w:rPr>
        <w:t> </w:t>
      </w:r>
      <w:r>
        <w:rPr>
          <w:vertAlign w:val="baseline"/>
        </w:rPr>
        <w:t>data found</w:t>
      </w:r>
      <w:r>
        <w:rPr>
          <w:spacing w:val="-1"/>
          <w:vertAlign w:val="baseline"/>
        </w:rPr>
        <w:t> </w:t>
      </w:r>
      <w:r>
        <w:rPr>
          <w:vertAlign w:val="baseline"/>
        </w:rPr>
        <w:t>that rates of asthma are significantly higher among LGBTQ youth (28%) compared to non-LGBTQ youth (21%)</w:t>
      </w:r>
      <w:hyperlink w:history="true" w:anchor="_bookmark549">
        <w:r>
          <w:rPr>
            <w:vertAlign w:val="baseline"/>
          </w:rPr>
          <w:t>;</w:t>
        </w:r>
        <w:r>
          <w:rPr>
            <w:vertAlign w:val="superscript"/>
          </w:rPr>
          <w:t>37</w:t>
        </w:r>
      </w:hyperlink>
      <w:r>
        <w:rPr>
          <w:spacing w:val="-7"/>
          <w:vertAlign w:val="baseline"/>
        </w:rPr>
        <w:t> </w:t>
      </w:r>
      <w:r>
        <w:rPr>
          <w:vertAlign w:val="baseline"/>
        </w:rPr>
        <w:t>YBRS</w:t>
      </w:r>
      <w:r>
        <w:rPr>
          <w:spacing w:val="-5"/>
          <w:vertAlign w:val="baseline"/>
        </w:rPr>
        <w:t> </w:t>
      </w:r>
      <w:r>
        <w:rPr>
          <w:vertAlign w:val="baseline"/>
        </w:rPr>
        <w:t>data</w:t>
      </w:r>
      <w:r>
        <w:rPr>
          <w:spacing w:val="-6"/>
          <w:vertAlign w:val="baseline"/>
        </w:rPr>
        <w:t> </w:t>
      </w:r>
      <w:r>
        <w:rPr>
          <w:vertAlign w:val="baseline"/>
        </w:rPr>
        <w:t>on</w:t>
      </w:r>
      <w:r>
        <w:rPr>
          <w:spacing w:val="-7"/>
          <w:vertAlign w:val="baseline"/>
        </w:rPr>
        <w:t> </w:t>
      </w:r>
      <w:r>
        <w:rPr>
          <w:vertAlign w:val="baseline"/>
        </w:rPr>
        <w:t>asthma</w:t>
      </w:r>
      <w:r>
        <w:rPr>
          <w:spacing w:val="-6"/>
          <w:vertAlign w:val="baseline"/>
        </w:rPr>
        <w:t> </w:t>
      </w:r>
      <w:r>
        <w:rPr>
          <w:vertAlign w:val="baseline"/>
        </w:rPr>
        <w:t>rates</w:t>
      </w:r>
      <w:r>
        <w:rPr>
          <w:spacing w:val="-6"/>
          <w:vertAlign w:val="baseline"/>
        </w:rPr>
        <w:t> </w:t>
      </w:r>
      <w:r>
        <w:rPr>
          <w:vertAlign w:val="baseline"/>
        </w:rPr>
        <w:t>among</w:t>
      </w:r>
      <w:r>
        <w:rPr>
          <w:spacing w:val="-7"/>
          <w:vertAlign w:val="baseline"/>
        </w:rPr>
        <w:t> </w:t>
      </w:r>
      <w:r>
        <w:rPr>
          <w:vertAlign w:val="baseline"/>
        </w:rPr>
        <w:t>Massachusetts</w:t>
      </w:r>
      <w:r>
        <w:rPr>
          <w:spacing w:val="-6"/>
          <w:vertAlign w:val="baseline"/>
        </w:rPr>
        <w:t> </w:t>
      </w:r>
      <w:r>
        <w:rPr>
          <w:vertAlign w:val="baseline"/>
        </w:rPr>
        <w:t>youth</w:t>
      </w:r>
      <w:r>
        <w:rPr>
          <w:spacing w:val="-5"/>
          <w:vertAlign w:val="baseline"/>
        </w:rPr>
        <w:t> </w:t>
      </w:r>
      <w:r>
        <w:rPr>
          <w:vertAlign w:val="baseline"/>
        </w:rPr>
        <w:t>is</w:t>
      </w:r>
      <w:r>
        <w:rPr>
          <w:spacing w:val="-5"/>
          <w:vertAlign w:val="baseline"/>
        </w:rPr>
        <w:t> </w:t>
      </w:r>
      <w:r>
        <w:rPr>
          <w:vertAlign w:val="baseline"/>
        </w:rPr>
        <w:t>not</w:t>
      </w:r>
      <w:r>
        <w:rPr>
          <w:spacing w:val="-7"/>
          <w:vertAlign w:val="baseline"/>
        </w:rPr>
        <w:t> </w:t>
      </w:r>
      <w:r>
        <w:rPr>
          <w:vertAlign w:val="baseline"/>
        </w:rPr>
        <w:t>currently</w:t>
      </w:r>
      <w:r>
        <w:rPr>
          <w:spacing w:val="-4"/>
          <w:vertAlign w:val="baseline"/>
        </w:rPr>
        <w:t> </w:t>
      </w:r>
      <w:r>
        <w:rPr>
          <w:vertAlign w:val="baseline"/>
        </w:rPr>
        <w:t>available</w:t>
      </w:r>
      <w:hyperlink w:history="true" w:anchor="_bookmark549">
        <w:r>
          <w:rPr>
            <w:vertAlign w:val="baseline"/>
          </w:rPr>
          <w:t>.</w:t>
        </w:r>
        <w:r>
          <w:rPr>
            <w:vertAlign w:val="superscript"/>
          </w:rPr>
          <w:t>38</w:t>
        </w:r>
      </w:hyperlink>
      <w:r>
        <w:rPr>
          <w:spacing w:val="-7"/>
          <w:vertAlign w:val="baseline"/>
        </w:rPr>
        <w:t> </w:t>
      </w:r>
      <w:r>
        <w:rPr>
          <w:vertAlign w:val="baseline"/>
        </w:rPr>
        <w:t>Studies</w:t>
      </w:r>
      <w:r>
        <w:rPr>
          <w:spacing w:val="-6"/>
          <w:vertAlign w:val="baseline"/>
        </w:rPr>
        <w:t> </w:t>
      </w:r>
      <w:r>
        <w:rPr>
          <w:vertAlign w:val="baseline"/>
        </w:rPr>
        <w:t>have also found higher rates of cardiovascular diseases linked to environmental exposures in some LGBTQ </w:t>
      </w:r>
      <w:r>
        <w:rPr>
          <w:spacing w:val="-2"/>
          <w:vertAlign w:val="baseline"/>
        </w:rPr>
        <w:t>subpopulations</w:t>
      </w:r>
      <w:hyperlink w:history="true" w:anchor="_bookmark549">
        <w:r>
          <w:rPr>
            <w:spacing w:val="-2"/>
            <w:vertAlign w:val="baseline"/>
          </w:rPr>
          <w:t>.</w:t>
        </w:r>
        <w:r>
          <w:rPr>
            <w:spacing w:val="-2"/>
            <w:vertAlign w:val="superscript"/>
          </w:rPr>
          <w:t>39</w:t>
        </w:r>
      </w:hyperlink>
    </w:p>
    <w:p>
      <w:pPr>
        <w:spacing w:before="239"/>
        <w:ind w:left="323" w:right="0" w:firstLine="0"/>
        <w:jc w:val="both"/>
        <w:rPr>
          <w:sz w:val="28"/>
        </w:rPr>
      </w:pPr>
      <w:bookmarkStart w:name="Chemical Exposures from Beauty and Perso" w:id="825"/>
      <w:bookmarkEnd w:id="825"/>
      <w:r>
        <w:rPr/>
      </w:r>
      <w:r>
        <w:rPr>
          <w:color w:val="365F91"/>
          <w:sz w:val="28"/>
        </w:rPr>
        <w:t>Chemical</w:t>
      </w:r>
      <w:r>
        <w:rPr>
          <w:color w:val="365F91"/>
          <w:spacing w:val="-10"/>
          <w:sz w:val="28"/>
        </w:rPr>
        <w:t> </w:t>
      </w:r>
      <w:r>
        <w:rPr>
          <w:color w:val="365F91"/>
          <w:sz w:val="28"/>
        </w:rPr>
        <w:t>Exposures</w:t>
      </w:r>
      <w:r>
        <w:rPr>
          <w:color w:val="365F91"/>
          <w:spacing w:val="-10"/>
          <w:sz w:val="28"/>
        </w:rPr>
        <w:t> </w:t>
      </w:r>
      <w:r>
        <w:rPr>
          <w:color w:val="365F91"/>
          <w:sz w:val="28"/>
        </w:rPr>
        <w:t>from</w:t>
      </w:r>
      <w:r>
        <w:rPr>
          <w:color w:val="365F91"/>
          <w:spacing w:val="-9"/>
          <w:sz w:val="28"/>
        </w:rPr>
        <w:t> </w:t>
      </w:r>
      <w:r>
        <w:rPr>
          <w:color w:val="365F91"/>
          <w:sz w:val="28"/>
        </w:rPr>
        <w:t>Beauty</w:t>
      </w:r>
      <w:r>
        <w:rPr>
          <w:color w:val="365F91"/>
          <w:spacing w:val="-10"/>
          <w:sz w:val="28"/>
        </w:rPr>
        <w:t> </w:t>
      </w:r>
      <w:r>
        <w:rPr>
          <w:color w:val="365F91"/>
          <w:sz w:val="28"/>
        </w:rPr>
        <w:t>and</w:t>
      </w:r>
      <w:r>
        <w:rPr>
          <w:color w:val="365F91"/>
          <w:spacing w:val="-11"/>
          <w:sz w:val="28"/>
        </w:rPr>
        <w:t> </w:t>
      </w:r>
      <w:r>
        <w:rPr>
          <w:color w:val="365F91"/>
          <w:sz w:val="28"/>
        </w:rPr>
        <w:t>Personal</w:t>
      </w:r>
      <w:r>
        <w:rPr>
          <w:color w:val="365F91"/>
          <w:spacing w:val="-10"/>
          <w:sz w:val="28"/>
        </w:rPr>
        <w:t> </w:t>
      </w:r>
      <w:r>
        <w:rPr>
          <w:color w:val="365F91"/>
          <w:sz w:val="28"/>
        </w:rPr>
        <w:t>Care</w:t>
      </w:r>
      <w:r>
        <w:rPr>
          <w:color w:val="365F91"/>
          <w:spacing w:val="-9"/>
          <w:sz w:val="28"/>
        </w:rPr>
        <w:t> </w:t>
      </w:r>
      <w:r>
        <w:rPr>
          <w:color w:val="365F91"/>
          <w:spacing w:val="-2"/>
          <w:sz w:val="28"/>
        </w:rPr>
        <w:t>Products</w:t>
      </w:r>
    </w:p>
    <w:p>
      <w:pPr>
        <w:pStyle w:val="BodyText"/>
        <w:spacing w:line="276" w:lineRule="auto" w:before="293"/>
        <w:ind w:left="323" w:right="142"/>
        <w:jc w:val="both"/>
      </w:pPr>
      <w:r>
        <w:rPr/>
        <w:t>Consumer products such as beauty and personal care products are another source of environmental chemical</w:t>
      </w:r>
      <w:r>
        <w:rPr>
          <w:spacing w:val="-6"/>
        </w:rPr>
        <w:t> </w:t>
      </w:r>
      <w:r>
        <w:rPr/>
        <w:t>exposure</w:t>
      </w:r>
      <w:r>
        <w:rPr>
          <w:spacing w:val="-8"/>
        </w:rPr>
        <w:t> </w:t>
      </w:r>
      <w:r>
        <w:rPr/>
        <w:t>that</w:t>
      </w:r>
      <w:r>
        <w:rPr>
          <w:spacing w:val="-7"/>
        </w:rPr>
        <w:t> </w:t>
      </w:r>
      <w:r>
        <w:rPr/>
        <w:t>may</w:t>
      </w:r>
      <w:r>
        <w:rPr>
          <w:spacing w:val="-7"/>
        </w:rPr>
        <w:t> </w:t>
      </w:r>
      <w:r>
        <w:rPr/>
        <w:t>disproportionately</w:t>
      </w:r>
      <w:r>
        <w:rPr>
          <w:spacing w:val="-7"/>
        </w:rPr>
        <w:t> </w:t>
      </w:r>
      <w:r>
        <w:rPr/>
        <w:t>affect</w:t>
      </w:r>
      <w:r>
        <w:rPr>
          <w:spacing w:val="-8"/>
        </w:rPr>
        <w:t> </w:t>
      </w:r>
      <w:r>
        <w:rPr/>
        <w:t>LGBTQ</w:t>
      </w:r>
      <w:r>
        <w:rPr>
          <w:spacing w:val="-7"/>
        </w:rPr>
        <w:t> </w:t>
      </w:r>
      <w:r>
        <w:rPr/>
        <w:t>and</w:t>
      </w:r>
      <w:r>
        <w:rPr>
          <w:spacing w:val="-5"/>
        </w:rPr>
        <w:t> </w:t>
      </w:r>
      <w:r>
        <w:rPr/>
        <w:t>QTBIPOC</w:t>
      </w:r>
      <w:r>
        <w:rPr>
          <w:spacing w:val="-7"/>
        </w:rPr>
        <w:t> </w:t>
      </w:r>
      <w:r>
        <w:rPr/>
        <w:t>youth.</w:t>
      </w:r>
      <w:r>
        <w:rPr>
          <w:spacing w:val="-7"/>
        </w:rPr>
        <w:t> </w:t>
      </w:r>
      <w:r>
        <w:rPr/>
        <w:t>Many</w:t>
      </w:r>
      <w:r>
        <w:rPr>
          <w:spacing w:val="-6"/>
        </w:rPr>
        <w:t> </w:t>
      </w:r>
      <w:r>
        <w:rPr/>
        <w:t>beauty</w:t>
      </w:r>
      <w:r>
        <w:rPr>
          <w:spacing w:val="-6"/>
        </w:rPr>
        <w:t> </w:t>
      </w:r>
      <w:r>
        <w:rPr/>
        <w:t>products that are used and sold widely in the United States contain toxic chemicals that can harm health, such as phthalates, parabens, formaldehyde, lead, mercury, and other compounds that are linked to endocrine disruption,</w:t>
      </w:r>
      <w:r>
        <w:rPr>
          <w:spacing w:val="-1"/>
        </w:rPr>
        <w:t> </w:t>
      </w:r>
      <w:r>
        <w:rPr/>
        <w:t>cancer,</w:t>
      </w:r>
      <w:r>
        <w:rPr>
          <w:spacing w:val="-3"/>
        </w:rPr>
        <w:t> </w:t>
      </w:r>
      <w:r>
        <w:rPr/>
        <w:t>reproductive</w:t>
      </w:r>
      <w:r>
        <w:rPr>
          <w:spacing w:val="-2"/>
        </w:rPr>
        <w:t> </w:t>
      </w:r>
      <w:r>
        <w:rPr/>
        <w:t>harm,</w:t>
      </w:r>
      <w:r>
        <w:rPr>
          <w:spacing w:val="-3"/>
        </w:rPr>
        <w:t> </w:t>
      </w:r>
      <w:r>
        <w:rPr/>
        <w:t>and</w:t>
      </w:r>
      <w:r>
        <w:rPr>
          <w:spacing w:val="-3"/>
        </w:rPr>
        <w:t> </w:t>
      </w:r>
      <w:r>
        <w:rPr/>
        <w:t>neurodevelopmental</w:t>
      </w:r>
      <w:r>
        <w:rPr>
          <w:spacing w:val="-3"/>
        </w:rPr>
        <w:t> </w:t>
      </w:r>
      <w:r>
        <w:rPr/>
        <w:t>harm</w:t>
      </w:r>
      <w:r>
        <w:rPr>
          <w:spacing w:val="-3"/>
        </w:rPr>
        <w:t> </w:t>
      </w:r>
      <w:r>
        <w:rPr/>
        <w:t>in</w:t>
      </w:r>
      <w:r>
        <w:rPr>
          <w:spacing w:val="-2"/>
        </w:rPr>
        <w:t> </w:t>
      </w:r>
      <w:r>
        <w:rPr/>
        <w:t>children</w:t>
      </w:r>
      <w:hyperlink w:history="true" w:anchor="_bookmark549">
        <w:r>
          <w:rPr/>
          <w:t>.</w:t>
        </w:r>
        <w:r>
          <w:rPr>
            <w:vertAlign w:val="superscript"/>
          </w:rPr>
          <w:t>40</w:t>
        </w:r>
      </w:hyperlink>
      <w:r>
        <w:rPr>
          <w:spacing w:val="-2"/>
          <w:vertAlign w:val="baseline"/>
        </w:rPr>
        <w:t> </w:t>
      </w:r>
      <w:r>
        <w:rPr>
          <w:vertAlign w:val="baseline"/>
        </w:rPr>
        <w:t>A</w:t>
      </w:r>
      <w:r>
        <w:rPr>
          <w:spacing w:val="-3"/>
          <w:vertAlign w:val="baseline"/>
        </w:rPr>
        <w:t> </w:t>
      </w:r>
      <w:r>
        <w:rPr>
          <w:vertAlign w:val="baseline"/>
        </w:rPr>
        <w:t>new</w:t>
      </w:r>
      <w:r>
        <w:rPr>
          <w:spacing w:val="-2"/>
          <w:vertAlign w:val="baseline"/>
        </w:rPr>
        <w:t> </w:t>
      </w:r>
      <w:r>
        <w:rPr>
          <w:vertAlign w:val="baseline"/>
        </w:rPr>
        <w:t>study</w:t>
      </w:r>
      <w:r>
        <w:rPr>
          <w:spacing w:val="-3"/>
          <w:vertAlign w:val="baseline"/>
        </w:rPr>
        <w:t> </w:t>
      </w:r>
      <w:r>
        <w:rPr>
          <w:vertAlign w:val="baseline"/>
        </w:rPr>
        <w:t>in</w:t>
      </w:r>
      <w:r>
        <w:rPr>
          <w:spacing w:val="-3"/>
          <w:vertAlign w:val="baseline"/>
        </w:rPr>
        <w:t> </w:t>
      </w:r>
      <w:r>
        <w:rPr>
          <w:vertAlign w:val="baseline"/>
        </w:rPr>
        <w:t>2021 found that over half of cosmetic products sold in the US contain PFAS, a “forever chemical” associated with serious health conditions such as cancer and pregnancy complications</w:t>
      </w:r>
      <w:hyperlink w:history="true" w:anchor="_bookmark549">
        <w:r>
          <w:rPr>
            <w:vertAlign w:val="baseline"/>
          </w:rPr>
          <w:t>.</w:t>
        </w:r>
        <w:r>
          <w:rPr>
            <w:vertAlign w:val="superscript"/>
          </w:rPr>
          <w:t>41</w:t>
        </w:r>
      </w:hyperlink>
    </w:p>
    <w:p>
      <w:pPr>
        <w:pStyle w:val="BodyText"/>
        <w:spacing w:line="276" w:lineRule="auto" w:before="240"/>
        <w:ind w:left="323" w:right="142"/>
        <w:jc w:val="both"/>
      </w:pPr>
      <w:r>
        <w:rPr/>
        <w:t>The burdens of toxic chemical exposures from beauty and personal care products are not distributed equally. Socioeconomic factors, systemic racism, and societal norms impact the type and quality of products that people use, affecting their exposure to toxic chemicals and posing risks to their health</w:t>
      </w:r>
      <w:hyperlink w:history="true" w:anchor="_bookmark549">
        <w:r>
          <w:rPr/>
          <w:t>.</w:t>
        </w:r>
        <w:r>
          <w:rPr>
            <w:vertAlign w:val="superscript"/>
          </w:rPr>
          <w:t>42</w:t>
        </w:r>
      </w:hyperlink>
      <w:r>
        <w:rPr>
          <w:vertAlign w:val="baseline"/>
        </w:rPr>
        <w:t> Although much more research is needed in this area, LGBTQ people, particularly drag communities and LGBTQ youth, may face unequal chemical burdens from beauty and personal care products. In a 2021 discussion</w:t>
      </w:r>
      <w:r>
        <w:rPr>
          <w:spacing w:val="36"/>
          <w:vertAlign w:val="baseline"/>
        </w:rPr>
        <w:t> </w:t>
      </w:r>
      <w:r>
        <w:rPr>
          <w:vertAlign w:val="baseline"/>
        </w:rPr>
        <w:t>hosted</w:t>
      </w:r>
      <w:r>
        <w:rPr>
          <w:spacing w:val="36"/>
          <w:vertAlign w:val="baseline"/>
        </w:rPr>
        <w:t> </w:t>
      </w:r>
      <w:r>
        <w:rPr>
          <w:vertAlign w:val="baseline"/>
        </w:rPr>
        <w:t>by</w:t>
      </w:r>
      <w:r>
        <w:rPr>
          <w:spacing w:val="37"/>
          <w:vertAlign w:val="baseline"/>
        </w:rPr>
        <w:t> </w:t>
      </w:r>
      <w:r>
        <w:rPr>
          <w:vertAlign w:val="baseline"/>
        </w:rPr>
        <w:t>West</w:t>
      </w:r>
      <w:r>
        <w:rPr>
          <w:spacing w:val="35"/>
          <w:vertAlign w:val="baseline"/>
        </w:rPr>
        <w:t> </w:t>
      </w:r>
      <w:r>
        <w:rPr>
          <w:vertAlign w:val="baseline"/>
        </w:rPr>
        <w:t>Harlem</w:t>
      </w:r>
      <w:r>
        <w:rPr>
          <w:spacing w:val="37"/>
          <w:vertAlign w:val="baseline"/>
        </w:rPr>
        <w:t> </w:t>
      </w:r>
      <w:r>
        <w:rPr>
          <w:vertAlign w:val="baseline"/>
        </w:rPr>
        <w:t>Environmental</w:t>
      </w:r>
      <w:r>
        <w:rPr>
          <w:spacing w:val="38"/>
          <w:vertAlign w:val="baseline"/>
        </w:rPr>
        <w:t> </w:t>
      </w:r>
      <w:r>
        <w:rPr>
          <w:vertAlign w:val="baseline"/>
        </w:rPr>
        <w:t>Action,</w:t>
      </w:r>
      <w:r>
        <w:rPr>
          <w:spacing w:val="36"/>
          <w:vertAlign w:val="baseline"/>
        </w:rPr>
        <w:t> </w:t>
      </w:r>
      <w:r>
        <w:rPr>
          <w:vertAlign w:val="baseline"/>
        </w:rPr>
        <w:t>also</w:t>
      </w:r>
      <w:r>
        <w:rPr>
          <w:spacing w:val="38"/>
          <w:vertAlign w:val="baseline"/>
        </w:rPr>
        <w:t> </w:t>
      </w:r>
      <w:r>
        <w:rPr>
          <w:vertAlign w:val="baseline"/>
        </w:rPr>
        <w:t>known</w:t>
      </w:r>
      <w:r>
        <w:rPr>
          <w:spacing w:val="36"/>
          <w:vertAlign w:val="baseline"/>
        </w:rPr>
        <w:t> </w:t>
      </w:r>
      <w:r>
        <w:rPr>
          <w:vertAlign w:val="baseline"/>
        </w:rPr>
        <w:t>as</w:t>
      </w:r>
      <w:r>
        <w:rPr>
          <w:spacing w:val="36"/>
          <w:vertAlign w:val="baseline"/>
        </w:rPr>
        <w:t> </w:t>
      </w:r>
      <w:r>
        <w:rPr>
          <w:vertAlign w:val="baseline"/>
        </w:rPr>
        <w:t>WE</w:t>
      </w:r>
      <w:r>
        <w:rPr>
          <w:spacing w:val="35"/>
          <w:vertAlign w:val="baseline"/>
        </w:rPr>
        <w:t> </w:t>
      </w:r>
      <w:r>
        <w:rPr>
          <w:vertAlign w:val="baseline"/>
        </w:rPr>
        <w:t>ACT</w:t>
      </w:r>
      <w:r>
        <w:rPr>
          <w:spacing w:val="37"/>
          <w:vertAlign w:val="baseline"/>
        </w:rPr>
        <w:t> </w:t>
      </w:r>
      <w:r>
        <w:rPr>
          <w:vertAlign w:val="baseline"/>
        </w:rPr>
        <w:t>for</w:t>
      </w:r>
      <w:r>
        <w:rPr>
          <w:spacing w:val="36"/>
          <w:vertAlign w:val="baseline"/>
        </w:rPr>
        <w:t> </w:t>
      </w:r>
      <w:r>
        <w:rPr>
          <w:vertAlign w:val="baseline"/>
        </w:rPr>
        <w:t>Environmental</w:t>
      </w:r>
    </w:p>
    <w:p>
      <w:pPr>
        <w:spacing w:after="0" w:line="276" w:lineRule="auto"/>
        <w:jc w:val="both"/>
        <w:sectPr>
          <w:pgSz w:w="12240" w:h="15840"/>
          <w:pgMar w:header="800" w:footer="1459" w:top="1300" w:bottom="1700" w:left="1120" w:right="1300"/>
        </w:sectPr>
      </w:pPr>
    </w:p>
    <w:p>
      <w:pPr>
        <w:pStyle w:val="BodyText"/>
        <w:spacing w:line="276" w:lineRule="auto" w:before="67"/>
        <w:ind w:left="323" w:right="141"/>
        <w:jc w:val="both"/>
      </w:pPr>
      <w:r>
        <w:rPr/>
        <w:t>Justice, a panel of researchers, advocates, and queer drag performers discussed the impact of toxic chemicals found in beauty and personal care products on the queer community. For example, a panelist mentioned that young people who are first starting out in drag or are exploring gender expression may use cheaper products that contain more toxic chemicals due to budget and availability constraints</w:t>
      </w:r>
      <w:hyperlink w:history="true" w:anchor="_bookmark549">
        <w:r>
          <w:rPr/>
          <w:t>.</w:t>
        </w:r>
        <w:r>
          <w:rPr>
            <w:vertAlign w:val="superscript"/>
          </w:rPr>
          <w:t>43</w:t>
        </w:r>
      </w:hyperlink>
    </w:p>
    <w:p>
      <w:pPr>
        <w:pStyle w:val="BodyText"/>
        <w:spacing w:line="276" w:lineRule="auto" w:before="240"/>
        <w:ind w:left="323" w:right="141"/>
        <w:jc w:val="both"/>
      </w:pPr>
      <w:r>
        <w:rPr/>
        <w:t>As</w:t>
      </w:r>
      <w:r>
        <w:rPr>
          <w:spacing w:val="-4"/>
        </w:rPr>
        <w:t> </w:t>
      </w:r>
      <w:r>
        <w:rPr/>
        <w:t>an</w:t>
      </w:r>
      <w:r>
        <w:rPr>
          <w:spacing w:val="-3"/>
        </w:rPr>
        <w:t> </w:t>
      </w:r>
      <w:r>
        <w:rPr/>
        <w:t>increasing</w:t>
      </w:r>
      <w:r>
        <w:rPr>
          <w:spacing w:val="-3"/>
        </w:rPr>
        <w:t> </w:t>
      </w:r>
      <w:r>
        <w:rPr/>
        <w:t>number</w:t>
      </w:r>
      <w:r>
        <w:rPr>
          <w:spacing w:val="-3"/>
        </w:rPr>
        <w:t> </w:t>
      </w:r>
      <w:r>
        <w:rPr/>
        <w:t>of</w:t>
      </w:r>
      <w:r>
        <w:rPr>
          <w:spacing w:val="-3"/>
        </w:rPr>
        <w:t> </w:t>
      </w:r>
      <w:r>
        <w:rPr/>
        <w:t>studies</w:t>
      </w:r>
      <w:r>
        <w:rPr>
          <w:spacing w:val="-2"/>
        </w:rPr>
        <w:t> </w:t>
      </w:r>
      <w:r>
        <w:rPr/>
        <w:t>reveal</w:t>
      </w:r>
      <w:r>
        <w:rPr>
          <w:spacing w:val="-4"/>
        </w:rPr>
        <w:t> </w:t>
      </w:r>
      <w:r>
        <w:rPr/>
        <w:t>the</w:t>
      </w:r>
      <w:r>
        <w:rPr>
          <w:spacing w:val="-3"/>
        </w:rPr>
        <w:t> </w:t>
      </w:r>
      <w:r>
        <w:rPr/>
        <w:t>widespread</w:t>
      </w:r>
      <w:r>
        <w:rPr>
          <w:spacing w:val="-4"/>
        </w:rPr>
        <w:t> </w:t>
      </w:r>
      <w:r>
        <w:rPr/>
        <w:t>use</w:t>
      </w:r>
      <w:r>
        <w:rPr>
          <w:spacing w:val="-3"/>
        </w:rPr>
        <w:t> </w:t>
      </w:r>
      <w:r>
        <w:rPr/>
        <w:t>of</w:t>
      </w:r>
      <w:r>
        <w:rPr>
          <w:spacing w:val="-3"/>
        </w:rPr>
        <w:t> </w:t>
      </w:r>
      <w:r>
        <w:rPr/>
        <w:t>toxic</w:t>
      </w:r>
      <w:r>
        <w:rPr>
          <w:spacing w:val="-3"/>
        </w:rPr>
        <w:t> </w:t>
      </w:r>
      <w:r>
        <w:rPr/>
        <w:t>substances</w:t>
      </w:r>
      <w:r>
        <w:rPr>
          <w:spacing w:val="-4"/>
        </w:rPr>
        <w:t> </w:t>
      </w:r>
      <w:r>
        <w:rPr/>
        <w:t>in</w:t>
      </w:r>
      <w:r>
        <w:rPr>
          <w:spacing w:val="-3"/>
        </w:rPr>
        <w:t> </w:t>
      </w:r>
      <w:r>
        <w:rPr/>
        <w:t>beauty</w:t>
      </w:r>
      <w:r>
        <w:rPr>
          <w:spacing w:val="-2"/>
        </w:rPr>
        <w:t> </w:t>
      </w:r>
      <w:r>
        <w:rPr/>
        <w:t>and</w:t>
      </w:r>
      <w:r>
        <w:rPr>
          <w:spacing w:val="-3"/>
        </w:rPr>
        <w:t> </w:t>
      </w:r>
      <w:r>
        <w:rPr/>
        <w:t>personal care products sold in the U.S., many states are taking legislative action to ban toxic ingredients in cosmetics. Action at the state level is crucial to fill gaps posed by the federal government’s limited authority to regulate the cosmetics industry. In 2023, at least 12 states including Washington, Hawaii, Illinois, Massachusetts, Michigan, Nevada, New Jersey, New York, North Carolina, Oregon, Rhode Island, Texas, and Vermont are considering policies to restrict or require disclosure of toxic chemicals in cosmetics and personal care products.</w:t>
      </w:r>
      <w:hyperlink w:history="true" w:anchor="_bookmark550">
        <w:r>
          <w:rPr>
            <w:vertAlign w:val="superscript"/>
          </w:rPr>
          <w:t>44</w:t>
        </w:r>
      </w:hyperlink>
      <w:r>
        <w:rPr>
          <w:vertAlign w:val="baseline"/>
        </w:rPr>
        <w:t> Some states have already taken significant actions to regulate the safety of personal care products. California has passed several laws that regulate cosmetics ingredients and labeling, including the California Safe Cosmetics Act in 2005, the California Toxic-Free Cosmetic</w:t>
      </w:r>
      <w:r>
        <w:rPr>
          <w:spacing w:val="-5"/>
          <w:vertAlign w:val="baseline"/>
        </w:rPr>
        <w:t> </w:t>
      </w:r>
      <w:r>
        <w:rPr>
          <w:vertAlign w:val="baseline"/>
        </w:rPr>
        <w:t>Act</w:t>
      </w:r>
      <w:r>
        <w:rPr>
          <w:spacing w:val="-5"/>
          <w:vertAlign w:val="baseline"/>
        </w:rPr>
        <w:t> </w:t>
      </w:r>
      <w:r>
        <w:rPr>
          <w:vertAlign w:val="baseline"/>
        </w:rPr>
        <w:t>in</w:t>
      </w:r>
      <w:r>
        <w:rPr>
          <w:spacing w:val="-6"/>
          <w:vertAlign w:val="baseline"/>
        </w:rPr>
        <w:t> </w:t>
      </w:r>
      <w:r>
        <w:rPr>
          <w:vertAlign w:val="baseline"/>
        </w:rPr>
        <w:t>2020,</w:t>
      </w:r>
      <w:r>
        <w:rPr>
          <w:spacing w:val="-5"/>
          <w:vertAlign w:val="baseline"/>
        </w:rPr>
        <w:t> </w:t>
      </w:r>
      <w:r>
        <w:rPr>
          <w:vertAlign w:val="baseline"/>
        </w:rPr>
        <w:t>and</w:t>
      </w:r>
      <w:r>
        <w:rPr>
          <w:spacing w:val="-3"/>
          <w:vertAlign w:val="baseline"/>
        </w:rPr>
        <w:t> </w:t>
      </w:r>
      <w:r>
        <w:rPr>
          <w:vertAlign w:val="baseline"/>
        </w:rPr>
        <w:t>a</w:t>
      </w:r>
      <w:r>
        <w:rPr>
          <w:spacing w:val="-5"/>
          <w:vertAlign w:val="baseline"/>
        </w:rPr>
        <w:t> </w:t>
      </w:r>
      <w:r>
        <w:rPr>
          <w:vertAlign w:val="baseline"/>
        </w:rPr>
        <w:t>ban</w:t>
      </w:r>
      <w:r>
        <w:rPr>
          <w:spacing w:val="-4"/>
          <w:vertAlign w:val="baseline"/>
        </w:rPr>
        <w:t> </w:t>
      </w:r>
      <w:r>
        <w:rPr>
          <w:vertAlign w:val="baseline"/>
        </w:rPr>
        <w:t>on</w:t>
      </w:r>
      <w:r>
        <w:rPr>
          <w:spacing w:val="-4"/>
          <w:vertAlign w:val="baseline"/>
        </w:rPr>
        <w:t> </w:t>
      </w:r>
      <w:r>
        <w:rPr>
          <w:vertAlign w:val="baseline"/>
        </w:rPr>
        <w:t>PFAS</w:t>
      </w:r>
      <w:r>
        <w:rPr>
          <w:spacing w:val="-6"/>
          <w:vertAlign w:val="baseline"/>
        </w:rPr>
        <w:t> </w:t>
      </w:r>
      <w:r>
        <w:rPr>
          <w:vertAlign w:val="baseline"/>
        </w:rPr>
        <w:t>in</w:t>
      </w:r>
      <w:r>
        <w:rPr>
          <w:spacing w:val="-3"/>
          <w:vertAlign w:val="baseline"/>
        </w:rPr>
        <w:t> </w:t>
      </w:r>
      <w:r>
        <w:rPr>
          <w:vertAlign w:val="baseline"/>
        </w:rPr>
        <w:t>personal</w:t>
      </w:r>
      <w:r>
        <w:rPr>
          <w:spacing w:val="-4"/>
          <w:vertAlign w:val="baseline"/>
        </w:rPr>
        <w:t> </w:t>
      </w:r>
      <w:r>
        <w:rPr>
          <w:vertAlign w:val="baseline"/>
        </w:rPr>
        <w:t>care</w:t>
      </w:r>
      <w:r>
        <w:rPr>
          <w:spacing w:val="-4"/>
          <w:vertAlign w:val="baseline"/>
        </w:rPr>
        <w:t> </w:t>
      </w:r>
      <w:r>
        <w:rPr>
          <w:vertAlign w:val="baseline"/>
        </w:rPr>
        <w:t>products</w:t>
      </w:r>
      <w:hyperlink w:history="true" w:anchor="_bookmark550">
        <w:r>
          <w:rPr>
            <w:vertAlign w:val="baseline"/>
          </w:rPr>
          <w:t>.</w:t>
        </w:r>
        <w:r>
          <w:rPr>
            <w:vertAlign w:val="superscript"/>
          </w:rPr>
          <w:t>45</w:t>
        </w:r>
      </w:hyperlink>
      <w:r>
        <w:rPr>
          <w:spacing w:val="-4"/>
          <w:vertAlign w:val="baseline"/>
        </w:rPr>
        <w:t> </w:t>
      </w:r>
      <w:r>
        <w:rPr>
          <w:vertAlign w:val="baseline"/>
        </w:rPr>
        <w:t>In</w:t>
      </w:r>
      <w:r>
        <w:rPr>
          <w:spacing w:val="-4"/>
          <w:vertAlign w:val="baseline"/>
        </w:rPr>
        <w:t> </w:t>
      </w:r>
      <w:r>
        <w:rPr>
          <w:vertAlign w:val="baseline"/>
        </w:rPr>
        <w:t>Massachusetts,</w:t>
      </w:r>
      <w:r>
        <w:rPr>
          <w:spacing w:val="-4"/>
          <w:vertAlign w:val="baseline"/>
        </w:rPr>
        <w:t> </w:t>
      </w:r>
      <w:r>
        <w:rPr>
          <w:vertAlign w:val="baseline"/>
        </w:rPr>
        <w:t>a</w:t>
      </w:r>
      <w:r>
        <w:rPr>
          <w:spacing w:val="-4"/>
          <w:vertAlign w:val="baseline"/>
        </w:rPr>
        <w:t> </w:t>
      </w:r>
      <w:r>
        <w:rPr>
          <w:vertAlign w:val="baseline"/>
        </w:rPr>
        <w:t>bill</w:t>
      </w:r>
      <w:r>
        <w:rPr>
          <w:spacing w:val="-4"/>
          <w:vertAlign w:val="baseline"/>
        </w:rPr>
        <w:t> </w:t>
      </w:r>
      <w:r>
        <w:rPr>
          <w:vertAlign w:val="baseline"/>
        </w:rPr>
        <w:t>to</w:t>
      </w:r>
      <w:r>
        <w:rPr>
          <w:spacing w:val="-4"/>
          <w:vertAlign w:val="baseline"/>
        </w:rPr>
        <w:t> </w:t>
      </w:r>
      <w:r>
        <w:rPr>
          <w:vertAlign w:val="baseline"/>
        </w:rPr>
        <w:t>ban</w:t>
      </w:r>
      <w:r>
        <w:rPr>
          <w:spacing w:val="-4"/>
          <w:vertAlign w:val="baseline"/>
        </w:rPr>
        <w:t> </w:t>
      </w:r>
      <w:r>
        <w:rPr>
          <w:vertAlign w:val="baseline"/>
        </w:rPr>
        <w:t>PFAS from consumer products, including personal care products, was filed in February 2023</w:t>
      </w:r>
      <w:hyperlink w:history="true" w:anchor="_bookmark551">
        <w:r>
          <w:rPr>
            <w:vertAlign w:val="baseline"/>
          </w:rPr>
          <w:t>.</w:t>
        </w:r>
        <w:r>
          <w:rPr>
            <w:vertAlign w:val="superscript"/>
          </w:rPr>
          <w:t>46</w:t>
        </w:r>
      </w:hyperlink>
    </w:p>
    <w:p>
      <w:pPr>
        <w:spacing w:before="239"/>
        <w:ind w:left="323" w:right="0" w:firstLine="0"/>
        <w:jc w:val="both"/>
        <w:rPr>
          <w:sz w:val="28"/>
        </w:rPr>
      </w:pPr>
      <w:bookmarkStart w:name="From Environmental Exposures to Health O" w:id="826"/>
      <w:bookmarkEnd w:id="826"/>
      <w:r>
        <w:rPr/>
      </w:r>
      <w:r>
        <w:rPr>
          <w:color w:val="365F91"/>
          <w:sz w:val="28"/>
        </w:rPr>
        <w:t>From</w:t>
      </w:r>
      <w:r>
        <w:rPr>
          <w:color w:val="365F91"/>
          <w:spacing w:val="-12"/>
          <w:sz w:val="28"/>
        </w:rPr>
        <w:t> </w:t>
      </w:r>
      <w:r>
        <w:rPr>
          <w:color w:val="365F91"/>
          <w:sz w:val="28"/>
        </w:rPr>
        <w:t>Environmental</w:t>
      </w:r>
      <w:r>
        <w:rPr>
          <w:color w:val="365F91"/>
          <w:spacing w:val="-10"/>
          <w:sz w:val="28"/>
        </w:rPr>
        <w:t> </w:t>
      </w:r>
      <w:r>
        <w:rPr>
          <w:color w:val="365F91"/>
          <w:sz w:val="28"/>
        </w:rPr>
        <w:t>Exposures</w:t>
      </w:r>
      <w:r>
        <w:rPr>
          <w:color w:val="365F91"/>
          <w:spacing w:val="-11"/>
          <w:sz w:val="28"/>
        </w:rPr>
        <w:t> </w:t>
      </w:r>
      <w:r>
        <w:rPr>
          <w:color w:val="365F91"/>
          <w:sz w:val="28"/>
        </w:rPr>
        <w:t>to</w:t>
      </w:r>
      <w:r>
        <w:rPr>
          <w:color w:val="365F91"/>
          <w:spacing w:val="-11"/>
          <w:sz w:val="28"/>
        </w:rPr>
        <w:t> </w:t>
      </w:r>
      <w:r>
        <w:rPr>
          <w:color w:val="365F91"/>
          <w:sz w:val="28"/>
        </w:rPr>
        <w:t>Health</w:t>
      </w:r>
      <w:r>
        <w:rPr>
          <w:color w:val="365F91"/>
          <w:spacing w:val="-13"/>
          <w:sz w:val="28"/>
        </w:rPr>
        <w:t> </w:t>
      </w:r>
      <w:r>
        <w:rPr>
          <w:color w:val="365F91"/>
          <w:spacing w:val="-2"/>
          <w:sz w:val="28"/>
        </w:rPr>
        <w:t>Outcomes</w:t>
      </w:r>
    </w:p>
    <w:p>
      <w:pPr>
        <w:pStyle w:val="BodyText"/>
        <w:spacing w:line="276" w:lineRule="auto" w:before="293"/>
        <w:ind w:left="323" w:right="139"/>
        <w:jc w:val="both"/>
      </w:pPr>
      <w:r>
        <w:rPr/>
        <w:t>In addition to disparities in exposure, LGBTQ communities are likely to experience more serious health impacts from those exposures due to socioeconomic inequities and preexisting conditions. In epidemiology,</w:t>
      </w:r>
      <w:r>
        <w:rPr>
          <w:spacing w:val="-7"/>
        </w:rPr>
        <w:t> </w:t>
      </w:r>
      <w:r>
        <w:rPr/>
        <w:t>effect</w:t>
      </w:r>
      <w:r>
        <w:rPr>
          <w:spacing w:val="-7"/>
        </w:rPr>
        <w:t> </w:t>
      </w:r>
      <w:r>
        <w:rPr/>
        <w:t>modification</w:t>
      </w:r>
      <w:r>
        <w:rPr>
          <w:spacing w:val="-8"/>
        </w:rPr>
        <w:t> </w:t>
      </w:r>
      <w:r>
        <w:rPr/>
        <w:t>refers</w:t>
      </w:r>
      <w:r>
        <w:rPr>
          <w:spacing w:val="-6"/>
        </w:rPr>
        <w:t> </w:t>
      </w:r>
      <w:r>
        <w:rPr/>
        <w:t>to</w:t>
      </w:r>
      <w:r>
        <w:rPr>
          <w:spacing w:val="-7"/>
        </w:rPr>
        <w:t> </w:t>
      </w:r>
      <w:r>
        <w:rPr/>
        <w:t>a</w:t>
      </w:r>
      <w:r>
        <w:rPr>
          <w:spacing w:val="-7"/>
        </w:rPr>
        <w:t> </w:t>
      </w:r>
      <w:r>
        <w:rPr/>
        <w:t>situation</w:t>
      </w:r>
      <w:r>
        <w:rPr>
          <w:spacing w:val="-7"/>
        </w:rPr>
        <w:t> </w:t>
      </w:r>
      <w:r>
        <w:rPr/>
        <w:t>where</w:t>
      </w:r>
      <w:r>
        <w:rPr>
          <w:spacing w:val="-8"/>
        </w:rPr>
        <w:t> </w:t>
      </w:r>
      <w:r>
        <w:rPr/>
        <w:t>the</w:t>
      </w:r>
      <w:r>
        <w:rPr>
          <w:spacing w:val="-7"/>
        </w:rPr>
        <w:t> </w:t>
      </w:r>
      <w:r>
        <w:rPr/>
        <w:t>impact</w:t>
      </w:r>
      <w:r>
        <w:rPr>
          <w:spacing w:val="-7"/>
        </w:rPr>
        <w:t> </w:t>
      </w:r>
      <w:r>
        <w:rPr/>
        <w:t>that</w:t>
      </w:r>
      <w:r>
        <w:rPr>
          <w:spacing w:val="-7"/>
        </w:rPr>
        <w:t> </w:t>
      </w:r>
      <w:r>
        <w:rPr/>
        <w:t>an</w:t>
      </w:r>
      <w:r>
        <w:rPr>
          <w:spacing w:val="-7"/>
        </w:rPr>
        <w:t> </w:t>
      </w:r>
      <w:r>
        <w:rPr/>
        <w:t>exposure</w:t>
      </w:r>
      <w:r>
        <w:rPr>
          <w:spacing w:val="-8"/>
        </w:rPr>
        <w:t> </w:t>
      </w:r>
      <w:r>
        <w:rPr/>
        <w:t>has</w:t>
      </w:r>
      <w:r>
        <w:rPr>
          <w:spacing w:val="-7"/>
        </w:rPr>
        <w:t> </w:t>
      </w:r>
      <w:r>
        <w:rPr/>
        <w:t>on</w:t>
      </w:r>
      <w:r>
        <w:rPr>
          <w:spacing w:val="-8"/>
        </w:rPr>
        <w:t> </w:t>
      </w:r>
      <w:r>
        <w:rPr/>
        <w:t>a</w:t>
      </w:r>
      <w:r>
        <w:rPr>
          <w:spacing w:val="-7"/>
        </w:rPr>
        <w:t> </w:t>
      </w:r>
      <w:r>
        <w:rPr/>
        <w:t>health outcome is affected by a third variable, such as access to health care or a preexisting health condition. Not</w:t>
      </w:r>
      <w:r>
        <w:rPr>
          <w:spacing w:val="-13"/>
        </w:rPr>
        <w:t> </w:t>
      </w:r>
      <w:r>
        <w:rPr/>
        <w:t>only</w:t>
      </w:r>
      <w:r>
        <w:rPr>
          <w:spacing w:val="-12"/>
        </w:rPr>
        <w:t> </w:t>
      </w:r>
      <w:r>
        <w:rPr/>
        <w:t>do</w:t>
      </w:r>
      <w:r>
        <w:rPr>
          <w:spacing w:val="-13"/>
        </w:rPr>
        <w:t> </w:t>
      </w:r>
      <w:r>
        <w:rPr/>
        <w:t>LGBTQ</w:t>
      </w:r>
      <w:r>
        <w:rPr>
          <w:spacing w:val="-12"/>
        </w:rPr>
        <w:t> </w:t>
      </w:r>
      <w:r>
        <w:rPr/>
        <w:t>populations</w:t>
      </w:r>
      <w:r>
        <w:rPr>
          <w:spacing w:val="-13"/>
        </w:rPr>
        <w:t> </w:t>
      </w:r>
      <w:r>
        <w:rPr/>
        <w:t>experience</w:t>
      </w:r>
      <w:r>
        <w:rPr>
          <w:spacing w:val="-12"/>
        </w:rPr>
        <w:t> </w:t>
      </w:r>
      <w:r>
        <w:rPr/>
        <w:t>disproportionate</w:t>
      </w:r>
      <w:r>
        <w:rPr>
          <w:spacing w:val="-13"/>
        </w:rPr>
        <w:t> </w:t>
      </w:r>
      <w:r>
        <w:rPr/>
        <w:t>exposure</w:t>
      </w:r>
      <w:r>
        <w:rPr>
          <w:spacing w:val="-12"/>
        </w:rPr>
        <w:t> </w:t>
      </w:r>
      <w:r>
        <w:rPr/>
        <w:t>to</w:t>
      </w:r>
      <w:r>
        <w:rPr>
          <w:spacing w:val="-12"/>
        </w:rPr>
        <w:t> </w:t>
      </w:r>
      <w:r>
        <w:rPr/>
        <w:t>environmental</w:t>
      </w:r>
      <w:r>
        <w:rPr>
          <w:spacing w:val="-13"/>
        </w:rPr>
        <w:t> </w:t>
      </w:r>
      <w:r>
        <w:rPr/>
        <w:t>hazards,</w:t>
      </w:r>
      <w:r>
        <w:rPr>
          <w:spacing w:val="-12"/>
        </w:rPr>
        <w:t> </w:t>
      </w:r>
      <w:r>
        <w:rPr/>
        <w:t>but</w:t>
      </w:r>
      <w:r>
        <w:rPr>
          <w:spacing w:val="-13"/>
        </w:rPr>
        <w:t> </w:t>
      </w:r>
      <w:r>
        <w:rPr/>
        <w:t>they also likely experience more</w:t>
      </w:r>
      <w:r>
        <w:rPr>
          <w:spacing w:val="-1"/>
        </w:rPr>
        <w:t> </w:t>
      </w:r>
      <w:r>
        <w:rPr/>
        <w:t>severe health</w:t>
      </w:r>
      <w:r>
        <w:rPr>
          <w:spacing w:val="-1"/>
        </w:rPr>
        <w:t> </w:t>
      </w:r>
      <w:r>
        <w:rPr/>
        <w:t>outcomes from</w:t>
      </w:r>
      <w:r>
        <w:rPr>
          <w:spacing w:val="-1"/>
        </w:rPr>
        <w:t> </w:t>
      </w:r>
      <w:r>
        <w:rPr/>
        <w:t>those exposures. Underlying health conditions disproportionately</w:t>
      </w:r>
      <w:r>
        <w:rPr>
          <w:spacing w:val="-3"/>
        </w:rPr>
        <w:t> </w:t>
      </w:r>
      <w:r>
        <w:rPr/>
        <w:t>affecting</w:t>
      </w:r>
      <w:r>
        <w:rPr>
          <w:spacing w:val="-3"/>
        </w:rPr>
        <w:t> </w:t>
      </w:r>
      <w:r>
        <w:rPr/>
        <w:t>LGBTQ</w:t>
      </w:r>
      <w:r>
        <w:rPr>
          <w:spacing w:val="-2"/>
        </w:rPr>
        <w:t> </w:t>
      </w:r>
      <w:r>
        <w:rPr/>
        <w:t>communities,</w:t>
      </w:r>
      <w:r>
        <w:rPr>
          <w:spacing w:val="-2"/>
        </w:rPr>
        <w:t> </w:t>
      </w:r>
      <w:r>
        <w:rPr/>
        <w:t>challenges</w:t>
      </w:r>
      <w:r>
        <w:rPr>
          <w:spacing w:val="-2"/>
        </w:rPr>
        <w:t> </w:t>
      </w:r>
      <w:r>
        <w:rPr/>
        <w:t>accessing</w:t>
      </w:r>
      <w:r>
        <w:rPr>
          <w:spacing w:val="-3"/>
        </w:rPr>
        <w:t> </w:t>
      </w:r>
      <w:r>
        <w:rPr/>
        <w:t>health</w:t>
      </w:r>
      <w:r>
        <w:rPr>
          <w:spacing w:val="-3"/>
        </w:rPr>
        <w:t> </w:t>
      </w:r>
      <w:r>
        <w:rPr/>
        <w:t>care,</w:t>
      </w:r>
      <w:r>
        <w:rPr>
          <w:spacing w:val="-3"/>
        </w:rPr>
        <w:t> </w:t>
      </w:r>
      <w:r>
        <w:rPr/>
        <w:t>and</w:t>
      </w:r>
      <w:r>
        <w:rPr>
          <w:spacing w:val="-3"/>
        </w:rPr>
        <w:t> </w:t>
      </w:r>
      <w:r>
        <w:rPr/>
        <w:t>stressors</w:t>
      </w:r>
      <w:r>
        <w:rPr>
          <w:spacing w:val="-2"/>
        </w:rPr>
        <w:t> </w:t>
      </w:r>
      <w:r>
        <w:rPr/>
        <w:t>such</w:t>
      </w:r>
      <w:r>
        <w:rPr>
          <w:spacing w:val="-3"/>
        </w:rPr>
        <w:t> </w:t>
      </w:r>
      <w:r>
        <w:rPr/>
        <w:t>as economic instability and housing insecurity may worsen the health impacts of exposure. </w:t>
      </w:r>
      <w:hyperlink w:history="true" w:anchor="_bookmark551">
        <w:r>
          <w:rPr>
            <w:vertAlign w:val="superscript"/>
          </w:rPr>
          <w:t>47</w:t>
        </w:r>
      </w:hyperlink>
      <w:r>
        <w:rPr>
          <w:vertAlign w:val="baseline"/>
        </w:rPr>
        <w:t> Black, Indigenous, immigrant, disabled, and low-income LGBTQ communities facing the combined burdens of heightened environmental exposures and structural racism, colonialism, ableism, and poverty are particularly</w:t>
      </w:r>
      <w:r>
        <w:rPr>
          <w:spacing w:val="-5"/>
          <w:vertAlign w:val="baseline"/>
        </w:rPr>
        <w:t> </w:t>
      </w:r>
      <w:r>
        <w:rPr>
          <w:vertAlign w:val="baseline"/>
        </w:rPr>
        <w:t>at</w:t>
      </w:r>
      <w:r>
        <w:rPr>
          <w:spacing w:val="-6"/>
          <w:vertAlign w:val="baseline"/>
        </w:rPr>
        <w:t> </w:t>
      </w:r>
      <w:r>
        <w:rPr>
          <w:vertAlign w:val="baseline"/>
        </w:rPr>
        <w:t>risk</w:t>
      </w:r>
      <w:r>
        <w:rPr>
          <w:spacing w:val="-6"/>
          <w:vertAlign w:val="baseline"/>
        </w:rPr>
        <w:t> </w:t>
      </w:r>
      <w:r>
        <w:rPr>
          <w:vertAlign w:val="baseline"/>
        </w:rPr>
        <w:t>for</w:t>
      </w:r>
      <w:r>
        <w:rPr>
          <w:spacing w:val="-5"/>
          <w:vertAlign w:val="baseline"/>
        </w:rPr>
        <w:t> </w:t>
      </w:r>
      <w:r>
        <w:rPr>
          <w:vertAlign w:val="baseline"/>
        </w:rPr>
        <w:t>health</w:t>
      </w:r>
      <w:r>
        <w:rPr>
          <w:spacing w:val="-6"/>
          <w:vertAlign w:val="baseline"/>
        </w:rPr>
        <w:t> </w:t>
      </w:r>
      <w:r>
        <w:rPr>
          <w:vertAlign w:val="baseline"/>
        </w:rPr>
        <w:t>disparities.</w:t>
      </w:r>
      <w:r>
        <w:rPr>
          <w:spacing w:val="-4"/>
          <w:vertAlign w:val="baseline"/>
        </w:rPr>
        <w:t> </w:t>
      </w:r>
      <w:r>
        <w:rPr>
          <w:vertAlign w:val="baseline"/>
        </w:rPr>
        <w:t>For</w:t>
      </w:r>
      <w:r>
        <w:rPr>
          <w:spacing w:val="-5"/>
          <w:vertAlign w:val="baseline"/>
        </w:rPr>
        <w:t> </w:t>
      </w:r>
      <w:r>
        <w:rPr>
          <w:vertAlign w:val="baseline"/>
        </w:rPr>
        <w:t>example,</w:t>
      </w:r>
      <w:r>
        <w:rPr>
          <w:spacing w:val="-5"/>
          <w:vertAlign w:val="baseline"/>
        </w:rPr>
        <w:t> </w:t>
      </w:r>
      <w:r>
        <w:rPr>
          <w:vertAlign w:val="baseline"/>
        </w:rPr>
        <w:t>research</w:t>
      </w:r>
      <w:r>
        <w:rPr>
          <w:spacing w:val="-6"/>
          <w:vertAlign w:val="baseline"/>
        </w:rPr>
        <w:t> </w:t>
      </w:r>
      <w:r>
        <w:rPr>
          <w:vertAlign w:val="baseline"/>
        </w:rPr>
        <w:t>on</w:t>
      </w:r>
      <w:r>
        <w:rPr>
          <w:spacing w:val="-6"/>
          <w:vertAlign w:val="baseline"/>
        </w:rPr>
        <w:t> </w:t>
      </w:r>
      <w:r>
        <w:rPr>
          <w:vertAlign w:val="baseline"/>
        </w:rPr>
        <w:t>the</w:t>
      </w:r>
      <w:r>
        <w:rPr>
          <w:spacing w:val="-6"/>
          <w:vertAlign w:val="baseline"/>
        </w:rPr>
        <w:t> </w:t>
      </w:r>
      <w:r>
        <w:rPr>
          <w:vertAlign w:val="baseline"/>
        </w:rPr>
        <w:t>socioeconomic</w:t>
      </w:r>
      <w:r>
        <w:rPr>
          <w:spacing w:val="-6"/>
          <w:vertAlign w:val="baseline"/>
        </w:rPr>
        <w:t> </w:t>
      </w:r>
      <w:r>
        <w:rPr>
          <w:vertAlign w:val="baseline"/>
        </w:rPr>
        <w:t>status</w:t>
      </w:r>
      <w:r>
        <w:rPr>
          <w:spacing w:val="-5"/>
          <w:vertAlign w:val="baseline"/>
        </w:rPr>
        <w:t> </w:t>
      </w:r>
      <w:r>
        <w:rPr>
          <w:vertAlign w:val="baseline"/>
        </w:rPr>
        <w:t>of</w:t>
      </w:r>
      <w:r>
        <w:rPr>
          <w:spacing w:val="-5"/>
          <w:vertAlign w:val="baseline"/>
        </w:rPr>
        <w:t> </w:t>
      </w:r>
      <w:r>
        <w:rPr>
          <w:vertAlign w:val="baseline"/>
        </w:rPr>
        <w:t>Two-Spirit and</w:t>
      </w:r>
      <w:r>
        <w:rPr>
          <w:spacing w:val="-2"/>
          <w:vertAlign w:val="baseline"/>
        </w:rPr>
        <w:t> </w:t>
      </w:r>
      <w:r>
        <w:rPr>
          <w:vertAlign w:val="baseline"/>
        </w:rPr>
        <w:t>LGBTQ</w:t>
      </w:r>
      <w:r>
        <w:rPr>
          <w:spacing w:val="-1"/>
          <w:vertAlign w:val="baseline"/>
        </w:rPr>
        <w:t> </w:t>
      </w:r>
      <w:r>
        <w:rPr>
          <w:vertAlign w:val="baseline"/>
        </w:rPr>
        <w:t>Indigenous people</w:t>
      </w:r>
      <w:r>
        <w:rPr>
          <w:spacing w:val="-2"/>
          <w:vertAlign w:val="baseline"/>
        </w:rPr>
        <w:t> </w:t>
      </w:r>
      <w:r>
        <w:rPr>
          <w:vertAlign w:val="baseline"/>
        </w:rPr>
        <w:t>has</w:t>
      </w:r>
      <w:r>
        <w:rPr>
          <w:spacing w:val="-1"/>
          <w:vertAlign w:val="baseline"/>
        </w:rPr>
        <w:t> </w:t>
      </w:r>
      <w:r>
        <w:rPr>
          <w:vertAlign w:val="baseline"/>
        </w:rPr>
        <w:t>found</w:t>
      </w:r>
      <w:r>
        <w:rPr>
          <w:spacing w:val="-1"/>
          <w:vertAlign w:val="baseline"/>
        </w:rPr>
        <w:t> </w:t>
      </w:r>
      <w:r>
        <w:rPr>
          <w:vertAlign w:val="baseline"/>
        </w:rPr>
        <w:t>that</w:t>
      </w:r>
      <w:r>
        <w:rPr>
          <w:spacing w:val="-1"/>
          <w:vertAlign w:val="baseline"/>
        </w:rPr>
        <w:t> </w:t>
      </w:r>
      <w:r>
        <w:rPr>
          <w:vertAlign w:val="baseline"/>
        </w:rPr>
        <w:t>26%</w:t>
      </w:r>
      <w:r>
        <w:rPr>
          <w:spacing w:val="-2"/>
          <w:vertAlign w:val="baseline"/>
        </w:rPr>
        <w:t> </w:t>
      </w:r>
      <w:r>
        <w:rPr>
          <w:vertAlign w:val="baseline"/>
        </w:rPr>
        <w:t>are</w:t>
      </w:r>
      <w:r>
        <w:rPr>
          <w:spacing w:val="-1"/>
          <w:vertAlign w:val="baseline"/>
        </w:rPr>
        <w:t> </w:t>
      </w:r>
      <w:r>
        <w:rPr>
          <w:vertAlign w:val="baseline"/>
        </w:rPr>
        <w:t>unemployed,</w:t>
      </w:r>
      <w:r>
        <w:rPr>
          <w:spacing w:val="-2"/>
          <w:vertAlign w:val="baseline"/>
        </w:rPr>
        <w:t> </w:t>
      </w:r>
      <w:r>
        <w:rPr>
          <w:vertAlign w:val="baseline"/>
        </w:rPr>
        <w:t>55%</w:t>
      </w:r>
      <w:r>
        <w:rPr>
          <w:spacing w:val="-2"/>
          <w:vertAlign w:val="baseline"/>
        </w:rPr>
        <w:t> </w:t>
      </w:r>
      <w:r>
        <w:rPr>
          <w:vertAlign w:val="baseline"/>
        </w:rPr>
        <w:t>experience</w:t>
      </w:r>
      <w:r>
        <w:rPr>
          <w:spacing w:val="-2"/>
          <w:vertAlign w:val="baseline"/>
        </w:rPr>
        <w:t> </w:t>
      </w:r>
      <w:r>
        <w:rPr>
          <w:vertAlign w:val="baseline"/>
        </w:rPr>
        <w:t>food</w:t>
      </w:r>
      <w:r>
        <w:rPr>
          <w:spacing w:val="-1"/>
          <w:vertAlign w:val="baseline"/>
        </w:rPr>
        <w:t> </w:t>
      </w:r>
      <w:r>
        <w:rPr>
          <w:vertAlign w:val="baseline"/>
        </w:rPr>
        <w:t>insecurity,</w:t>
      </w:r>
      <w:r>
        <w:rPr>
          <w:spacing w:val="-2"/>
          <w:vertAlign w:val="baseline"/>
        </w:rPr>
        <w:t> </w:t>
      </w:r>
      <w:r>
        <w:rPr>
          <w:vertAlign w:val="baseline"/>
        </w:rPr>
        <w:t>and 23% live in extreme poverty due to discrimination, marginalization, stigmatization, and historical </w:t>
      </w:r>
      <w:r>
        <w:rPr>
          <w:spacing w:val="-2"/>
          <w:vertAlign w:val="baseline"/>
        </w:rPr>
        <w:t>trauma</w:t>
      </w:r>
      <w:hyperlink w:history="true" w:anchor="_bookmark551">
        <w:r>
          <w:rPr>
            <w:spacing w:val="-2"/>
            <w:vertAlign w:val="baseline"/>
          </w:rPr>
          <w:t>.</w:t>
        </w:r>
        <w:r>
          <w:rPr>
            <w:spacing w:val="-2"/>
            <w:vertAlign w:val="superscript"/>
          </w:rPr>
          <w:t>48,</w:t>
        </w:r>
      </w:hyperlink>
      <w:r>
        <w:rPr>
          <w:spacing w:val="-2"/>
          <w:vertAlign w:val="superscript"/>
        </w:rPr>
        <w:t>49</w:t>
      </w:r>
    </w:p>
    <w:p>
      <w:pPr>
        <w:pStyle w:val="BodyText"/>
        <w:spacing w:line="276" w:lineRule="auto" w:before="239"/>
        <w:ind w:left="323" w:right="140"/>
        <w:jc w:val="both"/>
      </w:pPr>
      <w:r>
        <w:rPr/>
        <w:t>Preexisting</w:t>
      </w:r>
      <w:r>
        <w:rPr>
          <w:spacing w:val="-1"/>
        </w:rPr>
        <w:t> </w:t>
      </w:r>
      <w:r>
        <w:rPr/>
        <w:t>health</w:t>
      </w:r>
      <w:r>
        <w:rPr>
          <w:spacing w:val="-2"/>
        </w:rPr>
        <w:t> </w:t>
      </w:r>
      <w:r>
        <w:rPr/>
        <w:t>conditions</w:t>
      </w:r>
      <w:r>
        <w:rPr>
          <w:spacing w:val="-1"/>
        </w:rPr>
        <w:t> </w:t>
      </w:r>
      <w:r>
        <w:rPr/>
        <w:t>among</w:t>
      </w:r>
      <w:r>
        <w:rPr>
          <w:spacing w:val="-2"/>
        </w:rPr>
        <w:t> </w:t>
      </w:r>
      <w:r>
        <w:rPr/>
        <w:t>LGBTQ+</w:t>
      </w:r>
      <w:r>
        <w:rPr>
          <w:spacing w:val="-1"/>
        </w:rPr>
        <w:t> </w:t>
      </w:r>
      <w:r>
        <w:rPr/>
        <w:t>populations,</w:t>
      </w:r>
      <w:r>
        <w:rPr>
          <w:spacing w:val="-2"/>
        </w:rPr>
        <w:t> </w:t>
      </w:r>
      <w:r>
        <w:rPr/>
        <w:t>such</w:t>
      </w:r>
      <w:r>
        <w:rPr>
          <w:spacing w:val="-1"/>
        </w:rPr>
        <w:t> </w:t>
      </w:r>
      <w:r>
        <w:rPr/>
        <w:t>as</w:t>
      </w:r>
      <w:r>
        <w:rPr>
          <w:spacing w:val="-2"/>
        </w:rPr>
        <w:t> </w:t>
      </w:r>
      <w:r>
        <w:rPr/>
        <w:t>HIV,</w:t>
      </w:r>
      <w:r>
        <w:rPr>
          <w:spacing w:val="-1"/>
        </w:rPr>
        <w:t> </w:t>
      </w:r>
      <w:r>
        <w:rPr/>
        <w:t>can</w:t>
      </w:r>
      <w:r>
        <w:rPr>
          <w:spacing w:val="-1"/>
        </w:rPr>
        <w:t> </w:t>
      </w:r>
      <w:r>
        <w:rPr/>
        <w:t>worsen</w:t>
      </w:r>
      <w:r>
        <w:rPr>
          <w:spacing w:val="-2"/>
        </w:rPr>
        <w:t> </w:t>
      </w:r>
      <w:r>
        <w:rPr/>
        <w:t>the</w:t>
      </w:r>
      <w:r>
        <w:rPr>
          <w:spacing w:val="-1"/>
        </w:rPr>
        <w:t> </w:t>
      </w:r>
      <w:r>
        <w:rPr/>
        <w:t>health</w:t>
      </w:r>
      <w:r>
        <w:rPr>
          <w:spacing w:val="-2"/>
        </w:rPr>
        <w:t> </w:t>
      </w:r>
      <w:r>
        <w:rPr/>
        <w:t>impacts</w:t>
      </w:r>
      <w:r>
        <w:rPr>
          <w:spacing w:val="-1"/>
        </w:rPr>
        <w:t> </w:t>
      </w:r>
      <w:r>
        <w:rPr/>
        <w:t>of pollution. Since HIV compromises the immune system, people with HIV are particularly susceptible to negative health consequences from exposure to environmental hazards such as air pollution. Numerous studies have investigated how exposure to air pollution exacerbates HIV; air pollution can cause and worsen conditions like pneumocystis pneumonia and tuberculosis (TB). One study linked exposure to particulate</w:t>
      </w:r>
      <w:r>
        <w:rPr>
          <w:spacing w:val="-13"/>
        </w:rPr>
        <w:t> </w:t>
      </w:r>
      <w:r>
        <w:rPr/>
        <w:t>matter,</w:t>
      </w:r>
      <w:r>
        <w:rPr>
          <w:spacing w:val="-12"/>
        </w:rPr>
        <w:t> </w:t>
      </w:r>
      <w:r>
        <w:rPr/>
        <w:t>nitrogen</w:t>
      </w:r>
      <w:r>
        <w:rPr>
          <w:spacing w:val="-13"/>
        </w:rPr>
        <w:t> </w:t>
      </w:r>
      <w:r>
        <w:rPr/>
        <w:t>dioxide</w:t>
      </w:r>
      <w:r>
        <w:rPr>
          <w:spacing w:val="-12"/>
        </w:rPr>
        <w:t> </w:t>
      </w:r>
      <w:r>
        <w:rPr/>
        <w:t>and</w:t>
      </w:r>
      <w:r>
        <w:rPr>
          <w:spacing w:val="-13"/>
        </w:rPr>
        <w:t> </w:t>
      </w:r>
      <w:r>
        <w:rPr/>
        <w:t>ozone,</w:t>
      </w:r>
      <w:r>
        <w:rPr>
          <w:spacing w:val="-12"/>
        </w:rPr>
        <w:t> </w:t>
      </w:r>
      <w:r>
        <w:rPr/>
        <w:t>three</w:t>
      </w:r>
      <w:r>
        <w:rPr>
          <w:spacing w:val="-13"/>
        </w:rPr>
        <w:t> </w:t>
      </w:r>
      <w:r>
        <w:rPr/>
        <w:t>of</w:t>
      </w:r>
      <w:r>
        <w:rPr>
          <w:spacing w:val="-12"/>
        </w:rPr>
        <w:t> </w:t>
      </w:r>
      <w:r>
        <w:rPr/>
        <w:t>the</w:t>
      </w:r>
      <w:r>
        <w:rPr>
          <w:spacing w:val="-12"/>
        </w:rPr>
        <w:t> </w:t>
      </w:r>
      <w:r>
        <w:rPr/>
        <w:t>most</w:t>
      </w:r>
      <w:r>
        <w:rPr>
          <w:spacing w:val="-13"/>
        </w:rPr>
        <w:t> </w:t>
      </w:r>
      <w:r>
        <w:rPr/>
        <w:t>common</w:t>
      </w:r>
      <w:r>
        <w:rPr>
          <w:spacing w:val="-12"/>
        </w:rPr>
        <w:t> </w:t>
      </w:r>
      <w:r>
        <w:rPr/>
        <w:t>air</w:t>
      </w:r>
      <w:r>
        <w:rPr>
          <w:spacing w:val="-13"/>
        </w:rPr>
        <w:t> </w:t>
      </w:r>
      <w:r>
        <w:rPr/>
        <w:t>pollutants,</w:t>
      </w:r>
      <w:r>
        <w:rPr>
          <w:spacing w:val="-12"/>
        </w:rPr>
        <w:t> </w:t>
      </w:r>
      <w:r>
        <w:rPr/>
        <w:t>with</w:t>
      </w:r>
      <w:r>
        <w:rPr>
          <w:spacing w:val="-13"/>
        </w:rPr>
        <w:t> </w:t>
      </w:r>
      <w:r>
        <w:rPr/>
        <w:t>pneumonia hospitalization in people with HIV.</w:t>
      </w:r>
      <w:r>
        <w:rPr>
          <w:vertAlign w:val="superscript"/>
        </w:rPr>
        <w:t>50</w:t>
      </w:r>
      <w:r>
        <w:rPr>
          <w:vertAlign w:val="baseline"/>
        </w:rPr>
        <w:t> Another found positive association between carbon monoxide and</w:t>
      </w:r>
    </w:p>
    <w:p>
      <w:pPr>
        <w:spacing w:after="0" w:line="276" w:lineRule="auto"/>
        <w:jc w:val="both"/>
        <w:sectPr>
          <w:pgSz w:w="12240" w:h="15840"/>
          <w:pgMar w:header="800" w:footer="1459" w:top="1300" w:bottom="1700" w:left="1120" w:right="1300"/>
        </w:sectPr>
      </w:pPr>
    </w:p>
    <w:p>
      <w:pPr>
        <w:pStyle w:val="BodyText"/>
        <w:spacing w:line="276" w:lineRule="auto" w:before="67"/>
        <w:ind w:left="323" w:right="141"/>
        <w:jc w:val="both"/>
      </w:pPr>
      <w:r>
        <w:rPr/>
        <w:t>nitrogen dioxide exposure and contracting TB.</w:t>
      </w:r>
      <w:r>
        <w:rPr>
          <w:vertAlign w:val="superscript"/>
        </w:rPr>
        <w:t>51</w:t>
      </w:r>
      <w:r>
        <w:rPr>
          <w:vertAlign w:val="baseline"/>
        </w:rPr>
        <w:t> Studies also suggest that the combined effects of air pollution and HIV may amplify the development of cardiovascular disease.</w:t>
      </w:r>
      <w:r>
        <w:rPr>
          <w:vertAlign w:val="superscript"/>
        </w:rPr>
        <w:t>52</w:t>
      </w:r>
    </w:p>
    <w:p>
      <w:pPr>
        <w:pStyle w:val="BodyText"/>
        <w:spacing w:line="276" w:lineRule="auto" w:before="241"/>
        <w:ind w:left="323" w:right="140"/>
        <w:jc w:val="both"/>
      </w:pPr>
      <w:r>
        <w:rPr/>
        <w:t>Hazardous environmental conditions can also exacerbate the high mental health burdens that LGBTQ youth already face. The link between environmental exposures and mental health challenges is understudied, but emerging research demonstrates that exposure to air pollution, noise pollution, extreme weather, and environmental disasters can increase the risk of mental health conditions such as depression.</w:t>
      </w:r>
      <w:r>
        <w:rPr>
          <w:vertAlign w:val="superscript"/>
        </w:rPr>
        <w:t>53</w:t>
      </w:r>
      <w:hyperlink w:history="true" w:anchor="_bookmark552">
        <w:r>
          <w:rPr>
            <w:vertAlign w:val="superscript"/>
          </w:rPr>
          <w:t>,54</w:t>
        </w:r>
      </w:hyperlink>
      <w:hyperlink w:history="true" w:anchor="_bookmark552">
        <w:r>
          <w:rPr>
            <w:vertAlign w:val="superscript"/>
          </w:rPr>
          <w:t>,55</w:t>
        </w:r>
      </w:hyperlink>
      <w:r>
        <w:rPr>
          <w:vertAlign w:val="baseline"/>
        </w:rPr>
        <w:t> More research into the connection between pollution exposure and mental health is extremely important for understanding the needs LGBTQ youth, who already face heightened risks to their mental health and wellbeing.</w:t>
      </w:r>
    </w:p>
    <w:p>
      <w:pPr>
        <w:pStyle w:val="BodyText"/>
        <w:spacing w:line="276" w:lineRule="auto" w:before="239"/>
        <w:ind w:left="323" w:right="140"/>
        <w:jc w:val="both"/>
      </w:pPr>
      <w:r>
        <w:rPr/>
        <w:t>In addition to risks from preexisting conditions, LGBTQ populations may have a decreased capacity to respond</w:t>
      </w:r>
      <w:r>
        <w:rPr>
          <w:spacing w:val="-12"/>
        </w:rPr>
        <w:t> </w:t>
      </w:r>
      <w:r>
        <w:rPr/>
        <w:t>to</w:t>
      </w:r>
      <w:r>
        <w:rPr>
          <w:spacing w:val="-12"/>
        </w:rPr>
        <w:t> </w:t>
      </w:r>
      <w:r>
        <w:rPr/>
        <w:t>the</w:t>
      </w:r>
      <w:r>
        <w:rPr>
          <w:spacing w:val="-13"/>
        </w:rPr>
        <w:t> </w:t>
      </w:r>
      <w:r>
        <w:rPr/>
        <w:t>health</w:t>
      </w:r>
      <w:r>
        <w:rPr>
          <w:spacing w:val="-11"/>
        </w:rPr>
        <w:t> </w:t>
      </w:r>
      <w:r>
        <w:rPr/>
        <w:t>impacts</w:t>
      </w:r>
      <w:r>
        <w:rPr>
          <w:spacing w:val="-12"/>
        </w:rPr>
        <w:t> </w:t>
      </w:r>
      <w:r>
        <w:rPr/>
        <w:t>of</w:t>
      </w:r>
      <w:r>
        <w:rPr>
          <w:spacing w:val="-11"/>
        </w:rPr>
        <w:t> </w:t>
      </w:r>
      <w:r>
        <w:rPr/>
        <w:t>pollution</w:t>
      </w:r>
      <w:r>
        <w:rPr>
          <w:spacing w:val="-13"/>
        </w:rPr>
        <w:t> </w:t>
      </w:r>
      <w:r>
        <w:rPr/>
        <w:t>due</w:t>
      </w:r>
      <w:r>
        <w:rPr>
          <w:spacing w:val="-11"/>
        </w:rPr>
        <w:t> </w:t>
      </w:r>
      <w:r>
        <w:rPr/>
        <w:t>to</w:t>
      </w:r>
      <w:r>
        <w:rPr>
          <w:spacing w:val="-11"/>
        </w:rPr>
        <w:t> </w:t>
      </w:r>
      <w:r>
        <w:rPr/>
        <w:t>barriers</w:t>
      </w:r>
      <w:r>
        <w:rPr>
          <w:spacing w:val="-12"/>
        </w:rPr>
        <w:t> </w:t>
      </w:r>
      <w:r>
        <w:rPr/>
        <w:t>to</w:t>
      </w:r>
      <w:r>
        <w:rPr>
          <w:spacing w:val="-12"/>
        </w:rPr>
        <w:t> </w:t>
      </w:r>
      <w:r>
        <w:rPr/>
        <w:t>obtaining</w:t>
      </w:r>
      <w:r>
        <w:rPr>
          <w:spacing w:val="-12"/>
        </w:rPr>
        <w:t> </w:t>
      </w:r>
      <w:r>
        <w:rPr/>
        <w:t>medical</w:t>
      </w:r>
      <w:r>
        <w:rPr>
          <w:spacing w:val="-11"/>
        </w:rPr>
        <w:t> </w:t>
      </w:r>
      <w:r>
        <w:rPr/>
        <w:t>care</w:t>
      </w:r>
      <w:r>
        <w:rPr>
          <w:spacing w:val="-13"/>
        </w:rPr>
        <w:t> </w:t>
      </w:r>
      <w:r>
        <w:rPr/>
        <w:t>and</w:t>
      </w:r>
      <w:r>
        <w:rPr>
          <w:spacing w:val="-11"/>
        </w:rPr>
        <w:t> </w:t>
      </w:r>
      <w:r>
        <w:rPr/>
        <w:t>difficulty</w:t>
      </w:r>
      <w:r>
        <w:rPr>
          <w:spacing w:val="-12"/>
        </w:rPr>
        <w:t> </w:t>
      </w:r>
      <w:r>
        <w:rPr/>
        <w:t>avoiding hazardous</w:t>
      </w:r>
      <w:r>
        <w:rPr>
          <w:spacing w:val="-11"/>
        </w:rPr>
        <w:t> </w:t>
      </w:r>
      <w:r>
        <w:rPr/>
        <w:t>environmental</w:t>
      </w:r>
      <w:r>
        <w:rPr>
          <w:spacing w:val="-10"/>
        </w:rPr>
        <w:t> </w:t>
      </w:r>
      <w:r>
        <w:rPr/>
        <w:t>conditions.</w:t>
      </w:r>
      <w:r>
        <w:rPr>
          <w:spacing w:val="-10"/>
        </w:rPr>
        <w:t> </w:t>
      </w:r>
      <w:r>
        <w:rPr/>
        <w:t>The</w:t>
      </w:r>
      <w:r>
        <w:rPr>
          <w:spacing w:val="-11"/>
        </w:rPr>
        <w:t> </w:t>
      </w:r>
      <w:r>
        <w:rPr/>
        <w:t>challenges</w:t>
      </w:r>
      <w:r>
        <w:rPr>
          <w:spacing w:val="-11"/>
        </w:rPr>
        <w:t> </w:t>
      </w:r>
      <w:r>
        <w:rPr/>
        <w:t>LGBTQ</w:t>
      </w:r>
      <w:r>
        <w:rPr>
          <w:spacing w:val="-10"/>
        </w:rPr>
        <w:t> </w:t>
      </w:r>
      <w:r>
        <w:rPr/>
        <w:t>people</w:t>
      </w:r>
      <w:r>
        <w:rPr>
          <w:spacing w:val="-9"/>
        </w:rPr>
        <w:t> </w:t>
      </w:r>
      <w:r>
        <w:rPr/>
        <w:t>often</w:t>
      </w:r>
      <w:r>
        <w:rPr>
          <w:spacing w:val="-11"/>
        </w:rPr>
        <w:t> </w:t>
      </w:r>
      <w:r>
        <w:rPr/>
        <w:t>face</w:t>
      </w:r>
      <w:r>
        <w:rPr>
          <w:spacing w:val="-11"/>
        </w:rPr>
        <w:t> </w:t>
      </w:r>
      <w:r>
        <w:rPr/>
        <w:t>in</w:t>
      </w:r>
      <w:r>
        <w:rPr>
          <w:spacing w:val="-11"/>
        </w:rPr>
        <w:t> </w:t>
      </w:r>
      <w:r>
        <w:rPr/>
        <w:t>receiving</w:t>
      </w:r>
      <w:r>
        <w:rPr>
          <w:spacing w:val="-11"/>
        </w:rPr>
        <w:t> </w:t>
      </w:r>
      <w:r>
        <w:rPr/>
        <w:t>health</w:t>
      </w:r>
      <w:r>
        <w:rPr>
          <w:spacing w:val="-10"/>
        </w:rPr>
        <w:t> </w:t>
      </w:r>
      <w:r>
        <w:rPr/>
        <w:t>care</w:t>
      </w:r>
      <w:r>
        <w:rPr>
          <w:spacing w:val="-11"/>
        </w:rPr>
        <w:t> </w:t>
      </w:r>
      <w:r>
        <w:rPr/>
        <w:t>are well-documented.</w:t>
      </w:r>
      <w:r>
        <w:rPr>
          <w:spacing w:val="-7"/>
        </w:rPr>
        <w:t> </w:t>
      </w:r>
      <w:r>
        <w:rPr/>
        <w:t>LGBTQ</w:t>
      </w:r>
      <w:r>
        <w:rPr>
          <w:spacing w:val="-4"/>
        </w:rPr>
        <w:t> </w:t>
      </w:r>
      <w:r>
        <w:rPr/>
        <w:t>people</w:t>
      </w:r>
      <w:r>
        <w:rPr>
          <w:spacing w:val="-7"/>
        </w:rPr>
        <w:t> </w:t>
      </w:r>
      <w:r>
        <w:rPr/>
        <w:t>are</w:t>
      </w:r>
      <w:r>
        <w:rPr>
          <w:spacing w:val="-5"/>
        </w:rPr>
        <w:t> </w:t>
      </w:r>
      <w:r>
        <w:rPr/>
        <w:t>less</w:t>
      </w:r>
      <w:r>
        <w:rPr>
          <w:spacing w:val="-6"/>
        </w:rPr>
        <w:t> </w:t>
      </w:r>
      <w:r>
        <w:rPr/>
        <w:t>likely</w:t>
      </w:r>
      <w:r>
        <w:rPr>
          <w:spacing w:val="-6"/>
        </w:rPr>
        <w:t> </w:t>
      </w:r>
      <w:r>
        <w:rPr/>
        <w:t>to</w:t>
      </w:r>
      <w:r>
        <w:rPr>
          <w:spacing w:val="-5"/>
        </w:rPr>
        <w:t> </w:t>
      </w:r>
      <w:r>
        <w:rPr/>
        <w:t>seek</w:t>
      </w:r>
      <w:r>
        <w:rPr>
          <w:spacing w:val="-7"/>
        </w:rPr>
        <w:t> </w:t>
      </w:r>
      <w:r>
        <w:rPr/>
        <w:t>medical</w:t>
      </w:r>
      <w:r>
        <w:rPr>
          <w:spacing w:val="-7"/>
        </w:rPr>
        <w:t> </w:t>
      </w:r>
      <w:r>
        <w:rPr/>
        <w:t>care</w:t>
      </w:r>
      <w:r>
        <w:rPr>
          <w:spacing w:val="-7"/>
        </w:rPr>
        <w:t> </w:t>
      </w:r>
      <w:r>
        <w:rPr/>
        <w:t>until</w:t>
      </w:r>
      <w:r>
        <w:rPr>
          <w:spacing w:val="-6"/>
        </w:rPr>
        <w:t> </w:t>
      </w:r>
      <w:r>
        <w:rPr/>
        <w:t>they</w:t>
      </w:r>
      <w:r>
        <w:rPr>
          <w:spacing w:val="-4"/>
        </w:rPr>
        <w:t> </w:t>
      </w:r>
      <w:r>
        <w:rPr/>
        <w:t>have</w:t>
      </w:r>
      <w:r>
        <w:rPr>
          <w:spacing w:val="-7"/>
        </w:rPr>
        <w:t> </w:t>
      </w:r>
      <w:r>
        <w:rPr/>
        <w:t>a</w:t>
      </w:r>
      <w:r>
        <w:rPr>
          <w:spacing w:val="-6"/>
        </w:rPr>
        <w:t> </w:t>
      </w:r>
      <w:r>
        <w:rPr/>
        <w:t>serious</w:t>
      </w:r>
      <w:r>
        <w:rPr>
          <w:spacing w:val="-6"/>
        </w:rPr>
        <w:t> </w:t>
      </w:r>
      <w:r>
        <w:rPr/>
        <w:t>health</w:t>
      </w:r>
      <w:r>
        <w:rPr>
          <w:spacing w:val="-6"/>
        </w:rPr>
        <w:t> </w:t>
      </w:r>
      <w:r>
        <w:rPr/>
        <w:t>issue because</w:t>
      </w:r>
      <w:r>
        <w:rPr>
          <w:spacing w:val="-4"/>
        </w:rPr>
        <w:t> </w:t>
      </w:r>
      <w:r>
        <w:rPr/>
        <w:t>of</w:t>
      </w:r>
      <w:r>
        <w:rPr>
          <w:spacing w:val="-4"/>
        </w:rPr>
        <w:t> </w:t>
      </w:r>
      <w:r>
        <w:rPr/>
        <w:t>fear</w:t>
      </w:r>
      <w:r>
        <w:rPr>
          <w:spacing w:val="-4"/>
        </w:rPr>
        <w:t> </w:t>
      </w:r>
      <w:r>
        <w:rPr/>
        <w:t>of</w:t>
      </w:r>
      <w:r>
        <w:rPr>
          <w:spacing w:val="-4"/>
        </w:rPr>
        <w:t> </w:t>
      </w:r>
      <w:r>
        <w:rPr/>
        <w:t>discrimination</w:t>
      </w:r>
      <w:r>
        <w:rPr>
          <w:spacing w:val="-4"/>
        </w:rPr>
        <w:t> </w:t>
      </w:r>
      <w:r>
        <w:rPr/>
        <w:t>or</w:t>
      </w:r>
      <w:r>
        <w:rPr>
          <w:spacing w:val="-4"/>
        </w:rPr>
        <w:t> </w:t>
      </w:r>
      <w:r>
        <w:rPr/>
        <w:t>costs</w:t>
      </w:r>
      <w:hyperlink w:history="true" w:anchor="_bookmark552">
        <w:r>
          <w:rPr/>
          <w:t>.</w:t>
        </w:r>
        <w:r>
          <w:rPr>
            <w:vertAlign w:val="superscript"/>
          </w:rPr>
          <w:t>56</w:t>
        </w:r>
      </w:hyperlink>
      <w:r>
        <w:rPr>
          <w:spacing w:val="-4"/>
          <w:vertAlign w:val="baseline"/>
        </w:rPr>
        <w:t> </w:t>
      </w:r>
      <w:r>
        <w:rPr>
          <w:vertAlign w:val="baseline"/>
        </w:rPr>
        <w:t>One</w:t>
      </w:r>
      <w:r>
        <w:rPr>
          <w:spacing w:val="-4"/>
          <w:vertAlign w:val="baseline"/>
        </w:rPr>
        <w:t> </w:t>
      </w:r>
      <w:r>
        <w:rPr>
          <w:vertAlign w:val="baseline"/>
        </w:rPr>
        <w:t>study</w:t>
      </w:r>
      <w:r>
        <w:rPr>
          <w:spacing w:val="-4"/>
          <w:vertAlign w:val="baseline"/>
        </w:rPr>
        <w:t> </w:t>
      </w:r>
      <w:r>
        <w:rPr>
          <w:vertAlign w:val="baseline"/>
        </w:rPr>
        <w:t>found</w:t>
      </w:r>
      <w:r>
        <w:rPr>
          <w:spacing w:val="-3"/>
          <w:vertAlign w:val="baseline"/>
        </w:rPr>
        <w:t> </w:t>
      </w:r>
      <w:r>
        <w:rPr>
          <w:vertAlign w:val="baseline"/>
        </w:rPr>
        <w:t>that</w:t>
      </w:r>
      <w:r>
        <w:rPr>
          <w:spacing w:val="-3"/>
          <w:vertAlign w:val="baseline"/>
        </w:rPr>
        <w:t> </w:t>
      </w:r>
      <w:r>
        <w:rPr>
          <w:vertAlign w:val="baseline"/>
        </w:rPr>
        <w:t>more</w:t>
      </w:r>
      <w:r>
        <w:rPr>
          <w:spacing w:val="-4"/>
          <w:vertAlign w:val="baseline"/>
        </w:rPr>
        <w:t> </w:t>
      </w:r>
      <w:r>
        <w:rPr>
          <w:vertAlign w:val="baseline"/>
        </w:rPr>
        <w:t>than</w:t>
      </w:r>
      <w:r>
        <w:rPr>
          <w:spacing w:val="-3"/>
          <w:vertAlign w:val="baseline"/>
        </w:rPr>
        <w:t> </w:t>
      </w:r>
      <w:r>
        <w:rPr>
          <w:vertAlign w:val="baseline"/>
        </w:rPr>
        <w:t>1</w:t>
      </w:r>
      <w:r>
        <w:rPr>
          <w:spacing w:val="-4"/>
          <w:vertAlign w:val="baseline"/>
        </w:rPr>
        <w:t> </w:t>
      </w:r>
      <w:r>
        <w:rPr>
          <w:vertAlign w:val="baseline"/>
        </w:rPr>
        <w:t>in</w:t>
      </w:r>
      <w:r>
        <w:rPr>
          <w:spacing w:val="-4"/>
          <w:vertAlign w:val="baseline"/>
        </w:rPr>
        <w:t> </w:t>
      </w:r>
      <w:r>
        <w:rPr>
          <w:vertAlign w:val="baseline"/>
        </w:rPr>
        <w:t>6</w:t>
      </w:r>
      <w:r>
        <w:rPr>
          <w:spacing w:val="-4"/>
          <w:vertAlign w:val="baseline"/>
        </w:rPr>
        <w:t> </w:t>
      </w:r>
      <w:r>
        <w:rPr>
          <w:vertAlign w:val="baseline"/>
        </w:rPr>
        <w:t>LGBTQ</w:t>
      </w:r>
      <w:r>
        <w:rPr>
          <w:spacing w:val="-4"/>
          <w:vertAlign w:val="baseline"/>
        </w:rPr>
        <w:t> </w:t>
      </w:r>
      <w:r>
        <w:rPr>
          <w:vertAlign w:val="baseline"/>
        </w:rPr>
        <w:t>adults</w:t>
      </w:r>
      <w:r>
        <w:rPr>
          <w:spacing w:val="-4"/>
          <w:vertAlign w:val="baseline"/>
        </w:rPr>
        <w:t> </w:t>
      </w:r>
      <w:r>
        <w:rPr>
          <w:vertAlign w:val="baseline"/>
        </w:rPr>
        <w:t>avoided seeking</w:t>
      </w:r>
      <w:r>
        <w:rPr>
          <w:spacing w:val="-8"/>
          <w:vertAlign w:val="baseline"/>
        </w:rPr>
        <w:t> </w:t>
      </w:r>
      <w:r>
        <w:rPr>
          <w:vertAlign w:val="baseline"/>
        </w:rPr>
        <w:t>health</w:t>
      </w:r>
      <w:r>
        <w:rPr>
          <w:spacing w:val="-9"/>
          <w:vertAlign w:val="baseline"/>
        </w:rPr>
        <w:t> </w:t>
      </w:r>
      <w:r>
        <w:rPr>
          <w:vertAlign w:val="baseline"/>
        </w:rPr>
        <w:t>care</w:t>
      </w:r>
      <w:r>
        <w:rPr>
          <w:spacing w:val="-8"/>
          <w:vertAlign w:val="baseline"/>
        </w:rPr>
        <w:t> </w:t>
      </w:r>
      <w:r>
        <w:rPr>
          <w:vertAlign w:val="baseline"/>
        </w:rPr>
        <w:t>because</w:t>
      </w:r>
      <w:r>
        <w:rPr>
          <w:spacing w:val="-9"/>
          <w:vertAlign w:val="baseline"/>
        </w:rPr>
        <w:t> </w:t>
      </w:r>
      <w:r>
        <w:rPr>
          <w:vertAlign w:val="baseline"/>
        </w:rPr>
        <w:t>of</w:t>
      </w:r>
      <w:r>
        <w:rPr>
          <w:spacing w:val="-9"/>
          <w:vertAlign w:val="baseline"/>
        </w:rPr>
        <w:t> </w:t>
      </w:r>
      <w:r>
        <w:rPr>
          <w:vertAlign w:val="baseline"/>
        </w:rPr>
        <w:t>anticipated</w:t>
      </w:r>
      <w:r>
        <w:rPr>
          <w:spacing w:val="-9"/>
          <w:vertAlign w:val="baseline"/>
        </w:rPr>
        <w:t> </w:t>
      </w:r>
      <w:r>
        <w:rPr>
          <w:vertAlign w:val="baseline"/>
        </w:rPr>
        <w:t>discrimination.</w:t>
      </w:r>
      <w:hyperlink w:history="true" w:anchor="_bookmark552">
        <w:r>
          <w:rPr>
            <w:vertAlign w:val="superscript"/>
          </w:rPr>
          <w:t>57</w:t>
        </w:r>
      </w:hyperlink>
      <w:r>
        <w:rPr>
          <w:spacing w:val="-9"/>
          <w:vertAlign w:val="baseline"/>
        </w:rPr>
        <w:t> </w:t>
      </w:r>
      <w:r>
        <w:rPr>
          <w:vertAlign w:val="baseline"/>
        </w:rPr>
        <w:t>Another</w:t>
      </w:r>
      <w:r>
        <w:rPr>
          <w:spacing w:val="-9"/>
          <w:vertAlign w:val="baseline"/>
        </w:rPr>
        <w:t> </w:t>
      </w:r>
      <w:r>
        <w:rPr>
          <w:vertAlign w:val="baseline"/>
        </w:rPr>
        <w:t>study</w:t>
      </w:r>
      <w:r>
        <w:rPr>
          <w:spacing w:val="-7"/>
          <w:vertAlign w:val="baseline"/>
        </w:rPr>
        <w:t> </w:t>
      </w:r>
      <w:r>
        <w:rPr>
          <w:vertAlign w:val="baseline"/>
        </w:rPr>
        <w:t>on</w:t>
      </w:r>
      <w:r>
        <w:rPr>
          <w:spacing w:val="-9"/>
          <w:vertAlign w:val="baseline"/>
        </w:rPr>
        <w:t> </w:t>
      </w:r>
      <w:r>
        <w:rPr>
          <w:vertAlign w:val="baseline"/>
        </w:rPr>
        <w:t>LGBTQ</w:t>
      </w:r>
      <w:r>
        <w:rPr>
          <w:spacing w:val="-9"/>
          <w:vertAlign w:val="baseline"/>
        </w:rPr>
        <w:t> </w:t>
      </w:r>
      <w:r>
        <w:rPr>
          <w:vertAlign w:val="baseline"/>
        </w:rPr>
        <w:t>youth’s</w:t>
      </w:r>
      <w:r>
        <w:rPr>
          <w:spacing w:val="-7"/>
          <w:vertAlign w:val="baseline"/>
        </w:rPr>
        <w:t> </w:t>
      </w:r>
      <w:r>
        <w:rPr>
          <w:vertAlign w:val="baseline"/>
        </w:rPr>
        <w:t>perceptions</w:t>
      </w:r>
    </w:p>
    <w:p>
      <w:pPr>
        <w:pStyle w:val="BodyText"/>
        <w:spacing w:line="276" w:lineRule="auto"/>
        <w:ind w:left="3469" w:right="140"/>
        <w:jc w:val="both"/>
      </w:pPr>
      <w:r>
        <w:rPr/>
        <w:drawing>
          <wp:anchor distT="0" distB="0" distL="0" distR="0" allowOverlap="1" layoutInCell="1" locked="0" behindDoc="0" simplePos="0" relativeHeight="15819776">
            <wp:simplePos x="0" y="0"/>
            <wp:positionH relativeFrom="page">
              <wp:posOffset>985008</wp:posOffset>
            </wp:positionH>
            <wp:positionV relativeFrom="paragraph">
              <wp:posOffset>20220</wp:posOffset>
            </wp:positionV>
            <wp:extent cx="1740288" cy="1613995"/>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619" cstate="print"/>
                    <a:stretch>
                      <a:fillRect/>
                    </a:stretch>
                  </pic:blipFill>
                  <pic:spPr>
                    <a:xfrm>
                      <a:off x="0" y="0"/>
                      <a:ext cx="1740288" cy="1613995"/>
                    </a:xfrm>
                    <a:prstGeom prst="rect">
                      <a:avLst/>
                    </a:prstGeom>
                  </pic:spPr>
                </pic:pic>
              </a:graphicData>
            </a:graphic>
          </wp:anchor>
        </w:drawing>
      </w:r>
      <w:r>
        <w:rPr/>
        <w:t>of health care revealed that most youth did not feel their health care needs were well met and expressed concerns about disrespectful behavior, poor communication, lack of confidentiality, and discrimination</w:t>
      </w:r>
      <w:hyperlink w:history="true" w:anchor="_bookmark552">
        <w:r>
          <w:rPr/>
          <w:t>.</w:t>
        </w:r>
        <w:r>
          <w:rPr>
            <w:vertAlign w:val="superscript"/>
          </w:rPr>
          <w:t>58</w:t>
        </w:r>
      </w:hyperlink>
      <w:r>
        <w:rPr>
          <w:vertAlign w:val="baseline"/>
        </w:rPr>
        <w:t> These realities place LGBTQ youth in a more vulnerable position when dealing with the health impacts of environmental exposures if they are less willing or able to access comprehensive health care. Higher rates of poverty, unemployment, and homelessness among LGBTQ youth can be additional barriers to </w:t>
      </w:r>
      <w:r>
        <w:rPr>
          <w:spacing w:val="-2"/>
          <w:vertAlign w:val="baseline"/>
        </w:rPr>
        <w:t>accessing</w:t>
      </w:r>
      <w:r>
        <w:rPr>
          <w:spacing w:val="-3"/>
          <w:vertAlign w:val="baseline"/>
        </w:rPr>
        <w:t> </w:t>
      </w:r>
      <w:r>
        <w:rPr>
          <w:spacing w:val="-2"/>
          <w:vertAlign w:val="baseline"/>
        </w:rPr>
        <w:t>adequate health</w:t>
      </w:r>
      <w:r>
        <w:rPr>
          <w:spacing w:val="-1"/>
          <w:vertAlign w:val="baseline"/>
        </w:rPr>
        <w:t> </w:t>
      </w:r>
      <w:r>
        <w:rPr>
          <w:spacing w:val="-2"/>
          <w:vertAlign w:val="baseline"/>
        </w:rPr>
        <w:t>care.</w:t>
      </w:r>
      <w:r>
        <w:rPr>
          <w:spacing w:val="-3"/>
          <w:vertAlign w:val="baseline"/>
        </w:rPr>
        <w:t> </w:t>
      </w:r>
      <w:r>
        <w:rPr>
          <w:spacing w:val="-2"/>
          <w:vertAlign w:val="baseline"/>
        </w:rPr>
        <w:t>As previously discussed,</w:t>
      </w:r>
      <w:r>
        <w:rPr>
          <w:spacing w:val="-3"/>
          <w:vertAlign w:val="baseline"/>
        </w:rPr>
        <w:t> </w:t>
      </w:r>
      <w:r>
        <w:rPr>
          <w:spacing w:val="-2"/>
          <w:vertAlign w:val="baseline"/>
        </w:rPr>
        <w:t>these factors</w:t>
      </w:r>
    </w:p>
    <w:p>
      <w:pPr>
        <w:pStyle w:val="BodyText"/>
        <w:spacing w:line="276" w:lineRule="auto"/>
        <w:ind w:left="323" w:right="146"/>
        <w:jc w:val="both"/>
      </w:pPr>
      <w:r>
        <w:rPr/>
        <w:t>may also force</w:t>
      </w:r>
      <w:r>
        <w:rPr>
          <w:spacing w:val="-1"/>
        </w:rPr>
        <w:t> </w:t>
      </w:r>
      <w:r>
        <w:rPr/>
        <w:t>LGBTQ youth to live in environmentally hazardous living situations or make it challenging for them to change hazardous conditions.</w:t>
      </w:r>
    </w:p>
    <w:p>
      <w:pPr>
        <w:pStyle w:val="BodyText"/>
        <w:spacing w:line="276" w:lineRule="auto" w:before="239"/>
        <w:ind w:left="323" w:right="142"/>
        <w:jc w:val="both"/>
      </w:pPr>
      <w:r>
        <w:rPr/>
        <w:t>All</w:t>
      </w:r>
      <w:r>
        <w:rPr>
          <w:spacing w:val="-11"/>
        </w:rPr>
        <w:t> </w:t>
      </w:r>
      <w:r>
        <w:rPr/>
        <w:t>in</w:t>
      </w:r>
      <w:r>
        <w:rPr>
          <w:spacing w:val="-12"/>
        </w:rPr>
        <w:t> </w:t>
      </w:r>
      <w:r>
        <w:rPr/>
        <w:t>all,</w:t>
      </w:r>
      <w:r>
        <w:rPr>
          <w:spacing w:val="-10"/>
        </w:rPr>
        <w:t> </w:t>
      </w:r>
      <w:r>
        <w:rPr/>
        <w:t>it</w:t>
      </w:r>
      <w:r>
        <w:rPr>
          <w:spacing w:val="-11"/>
        </w:rPr>
        <w:t> </w:t>
      </w:r>
      <w:r>
        <w:rPr/>
        <w:t>is</w:t>
      </w:r>
      <w:r>
        <w:rPr>
          <w:spacing w:val="-10"/>
        </w:rPr>
        <w:t> </w:t>
      </w:r>
      <w:r>
        <w:rPr/>
        <w:t>clear</w:t>
      </w:r>
      <w:r>
        <w:rPr>
          <w:spacing w:val="-11"/>
        </w:rPr>
        <w:t> </w:t>
      </w:r>
      <w:r>
        <w:rPr/>
        <w:t>that</w:t>
      </w:r>
      <w:r>
        <w:rPr>
          <w:spacing w:val="-11"/>
        </w:rPr>
        <w:t> </w:t>
      </w:r>
      <w:r>
        <w:rPr/>
        <w:t>LGBTQ</w:t>
      </w:r>
      <w:r>
        <w:rPr>
          <w:spacing w:val="-10"/>
        </w:rPr>
        <w:t> </w:t>
      </w:r>
      <w:r>
        <w:rPr/>
        <w:t>youth</w:t>
      </w:r>
      <w:r>
        <w:rPr>
          <w:spacing w:val="-9"/>
        </w:rPr>
        <w:t> </w:t>
      </w:r>
      <w:r>
        <w:rPr/>
        <w:t>not</w:t>
      </w:r>
      <w:r>
        <w:rPr>
          <w:spacing w:val="-9"/>
        </w:rPr>
        <w:t> </w:t>
      </w:r>
      <w:r>
        <w:rPr/>
        <w:t>only</w:t>
      </w:r>
      <w:r>
        <w:rPr>
          <w:spacing w:val="-11"/>
        </w:rPr>
        <w:t> </w:t>
      </w:r>
      <w:r>
        <w:rPr/>
        <w:t>face</w:t>
      </w:r>
      <w:r>
        <w:rPr>
          <w:spacing w:val="-9"/>
        </w:rPr>
        <w:t> </w:t>
      </w:r>
      <w:r>
        <w:rPr/>
        <w:t>higher</w:t>
      </w:r>
      <w:r>
        <w:rPr>
          <w:spacing w:val="-11"/>
        </w:rPr>
        <w:t> </w:t>
      </w:r>
      <w:r>
        <w:rPr/>
        <w:t>exposure</w:t>
      </w:r>
      <w:r>
        <w:rPr>
          <w:spacing w:val="-10"/>
        </w:rPr>
        <w:t> </w:t>
      </w:r>
      <w:r>
        <w:rPr/>
        <w:t>to</w:t>
      </w:r>
      <w:r>
        <w:rPr>
          <w:spacing w:val="-11"/>
        </w:rPr>
        <w:t> </w:t>
      </w:r>
      <w:r>
        <w:rPr/>
        <w:t>environmental</w:t>
      </w:r>
      <w:r>
        <w:rPr>
          <w:spacing w:val="-10"/>
        </w:rPr>
        <w:t> </w:t>
      </w:r>
      <w:r>
        <w:rPr/>
        <w:t>hazards</w:t>
      </w:r>
      <w:r>
        <w:rPr>
          <w:spacing w:val="-9"/>
        </w:rPr>
        <w:t> </w:t>
      </w:r>
      <w:r>
        <w:rPr/>
        <w:t>but</w:t>
      </w:r>
      <w:r>
        <w:rPr>
          <w:spacing w:val="-11"/>
        </w:rPr>
        <w:t> </w:t>
      </w:r>
      <w:r>
        <w:rPr/>
        <w:t>are</w:t>
      </w:r>
      <w:r>
        <w:rPr>
          <w:spacing w:val="-10"/>
        </w:rPr>
        <w:t> </w:t>
      </w:r>
      <w:r>
        <w:rPr/>
        <w:t>likely to experience worse health outcomes from those exposures due to these additional burdens and risk factors.</w:t>
      </w:r>
      <w:r>
        <w:rPr>
          <w:spacing w:val="-1"/>
        </w:rPr>
        <w:t> </w:t>
      </w:r>
      <w:r>
        <w:rPr/>
        <w:t>Holistic actions to decrease health disparities and support the wellbeing of LGBTQ youth such</w:t>
      </w:r>
      <w:r>
        <w:rPr>
          <w:spacing w:val="-1"/>
        </w:rPr>
        <w:t> </w:t>
      </w:r>
      <w:r>
        <w:rPr/>
        <w:t>as reducing</w:t>
      </w:r>
      <w:r>
        <w:rPr>
          <w:spacing w:val="-4"/>
        </w:rPr>
        <w:t> </w:t>
      </w:r>
      <w:r>
        <w:rPr/>
        <w:t>rates</w:t>
      </w:r>
      <w:r>
        <w:rPr>
          <w:spacing w:val="-4"/>
        </w:rPr>
        <w:t> </w:t>
      </w:r>
      <w:r>
        <w:rPr/>
        <w:t>of</w:t>
      </w:r>
      <w:r>
        <w:rPr>
          <w:spacing w:val="-4"/>
        </w:rPr>
        <w:t> </w:t>
      </w:r>
      <w:r>
        <w:rPr/>
        <w:t>poverty,</w:t>
      </w:r>
      <w:r>
        <w:rPr>
          <w:spacing w:val="-4"/>
        </w:rPr>
        <w:t> </w:t>
      </w:r>
      <w:r>
        <w:rPr/>
        <w:t>increasing</w:t>
      </w:r>
      <w:r>
        <w:rPr>
          <w:spacing w:val="-4"/>
        </w:rPr>
        <w:t> </w:t>
      </w:r>
      <w:r>
        <w:rPr/>
        <w:t>access</w:t>
      </w:r>
      <w:r>
        <w:rPr>
          <w:spacing w:val="-4"/>
        </w:rPr>
        <w:t> </w:t>
      </w:r>
      <w:r>
        <w:rPr/>
        <w:t>to</w:t>
      </w:r>
      <w:r>
        <w:rPr>
          <w:spacing w:val="-3"/>
        </w:rPr>
        <w:t> </w:t>
      </w:r>
      <w:r>
        <w:rPr/>
        <w:t>health</w:t>
      </w:r>
      <w:r>
        <w:rPr>
          <w:spacing w:val="-3"/>
        </w:rPr>
        <w:t> </w:t>
      </w:r>
      <w:r>
        <w:rPr/>
        <w:t>care,</w:t>
      </w:r>
      <w:r>
        <w:rPr>
          <w:spacing w:val="-4"/>
        </w:rPr>
        <w:t> </w:t>
      </w:r>
      <w:r>
        <w:rPr/>
        <w:t>and</w:t>
      </w:r>
      <w:r>
        <w:rPr>
          <w:spacing w:val="-4"/>
        </w:rPr>
        <w:t> </w:t>
      </w:r>
      <w:r>
        <w:rPr/>
        <w:t>ensuring</w:t>
      </w:r>
      <w:r>
        <w:rPr>
          <w:spacing w:val="-4"/>
        </w:rPr>
        <w:t> </w:t>
      </w:r>
      <w:r>
        <w:rPr/>
        <w:t>access</w:t>
      </w:r>
      <w:r>
        <w:rPr>
          <w:spacing w:val="-4"/>
        </w:rPr>
        <w:t> </w:t>
      </w:r>
      <w:r>
        <w:rPr/>
        <w:t>to</w:t>
      </w:r>
      <w:r>
        <w:rPr>
          <w:spacing w:val="-3"/>
        </w:rPr>
        <w:t> </w:t>
      </w:r>
      <w:r>
        <w:rPr/>
        <w:t>mental</w:t>
      </w:r>
      <w:r>
        <w:rPr>
          <w:spacing w:val="-3"/>
        </w:rPr>
        <w:t> </w:t>
      </w:r>
      <w:r>
        <w:rPr/>
        <w:t>health</w:t>
      </w:r>
      <w:r>
        <w:rPr>
          <w:spacing w:val="-4"/>
        </w:rPr>
        <w:t> </w:t>
      </w:r>
      <w:r>
        <w:rPr/>
        <w:t>support are crucial to working towards environmental justice.</w:t>
      </w:r>
    </w:p>
    <w:p>
      <w:pPr>
        <w:spacing w:before="240"/>
        <w:ind w:left="323" w:right="0" w:firstLine="0"/>
        <w:jc w:val="both"/>
        <w:rPr>
          <w:sz w:val="28"/>
        </w:rPr>
      </w:pPr>
      <w:bookmarkStart w:name="Climate Justice and Inclusive Disaster R" w:id="827"/>
      <w:bookmarkEnd w:id="827"/>
      <w:r>
        <w:rPr/>
      </w:r>
      <w:r>
        <w:rPr>
          <w:color w:val="365F91"/>
          <w:sz w:val="28"/>
        </w:rPr>
        <w:t>Climate</w:t>
      </w:r>
      <w:r>
        <w:rPr>
          <w:color w:val="365F91"/>
          <w:spacing w:val="-11"/>
          <w:sz w:val="28"/>
        </w:rPr>
        <w:t> </w:t>
      </w:r>
      <w:r>
        <w:rPr>
          <w:color w:val="365F91"/>
          <w:sz w:val="28"/>
        </w:rPr>
        <w:t>Justice</w:t>
      </w:r>
      <w:r>
        <w:rPr>
          <w:color w:val="365F91"/>
          <w:spacing w:val="-11"/>
          <w:sz w:val="28"/>
        </w:rPr>
        <w:t> </w:t>
      </w:r>
      <w:r>
        <w:rPr>
          <w:color w:val="365F91"/>
          <w:sz w:val="28"/>
        </w:rPr>
        <w:t>and</w:t>
      </w:r>
      <w:r>
        <w:rPr>
          <w:color w:val="365F91"/>
          <w:spacing w:val="-12"/>
          <w:sz w:val="28"/>
        </w:rPr>
        <w:t> </w:t>
      </w:r>
      <w:r>
        <w:rPr>
          <w:color w:val="365F91"/>
          <w:sz w:val="28"/>
        </w:rPr>
        <w:t>Inclusive</w:t>
      </w:r>
      <w:r>
        <w:rPr>
          <w:color w:val="365F91"/>
          <w:spacing w:val="-11"/>
          <w:sz w:val="28"/>
        </w:rPr>
        <w:t> </w:t>
      </w:r>
      <w:r>
        <w:rPr>
          <w:color w:val="365F91"/>
          <w:sz w:val="28"/>
        </w:rPr>
        <w:t>Disaster</w:t>
      </w:r>
      <w:r>
        <w:rPr>
          <w:color w:val="365F91"/>
          <w:spacing w:val="-11"/>
          <w:sz w:val="28"/>
        </w:rPr>
        <w:t> </w:t>
      </w:r>
      <w:r>
        <w:rPr>
          <w:color w:val="365F91"/>
          <w:spacing w:val="-2"/>
          <w:sz w:val="28"/>
        </w:rPr>
        <w:t>Response</w:t>
      </w:r>
    </w:p>
    <w:p>
      <w:pPr>
        <w:pStyle w:val="BodyText"/>
        <w:spacing w:line="276" w:lineRule="auto" w:before="293"/>
        <w:ind w:left="323" w:right="142"/>
        <w:jc w:val="both"/>
      </w:pPr>
      <w:r>
        <w:rPr/>
        <w:t>Climate justice is a framework that addresses the disproportionate impacts of climate change on historically marginalized groups. It is abundantly clear that the negative social, economic, and health impacts of climate change will disproportionately affect communities already facing marginalization; climate change will exacerbate existing inequalities. Globally, nationally, regionally, and locally, low- income</w:t>
      </w:r>
      <w:r>
        <w:rPr>
          <w:spacing w:val="-2"/>
        </w:rPr>
        <w:t> </w:t>
      </w:r>
      <w:r>
        <w:rPr/>
        <w:t>communities,</w:t>
      </w:r>
      <w:r>
        <w:rPr>
          <w:spacing w:val="-3"/>
        </w:rPr>
        <w:t> </w:t>
      </w:r>
      <w:r>
        <w:rPr/>
        <w:t>communities</w:t>
      </w:r>
      <w:r>
        <w:rPr>
          <w:spacing w:val="-2"/>
        </w:rPr>
        <w:t> </w:t>
      </w:r>
      <w:r>
        <w:rPr/>
        <w:t>of</w:t>
      </w:r>
      <w:r>
        <w:rPr>
          <w:spacing w:val="-2"/>
        </w:rPr>
        <w:t> </w:t>
      </w:r>
      <w:r>
        <w:rPr/>
        <w:t>color,</w:t>
      </w:r>
      <w:r>
        <w:rPr>
          <w:spacing w:val="-3"/>
        </w:rPr>
        <w:t> </w:t>
      </w:r>
      <w:r>
        <w:rPr/>
        <w:t>Indigenous</w:t>
      </w:r>
      <w:r>
        <w:rPr>
          <w:spacing w:val="-2"/>
        </w:rPr>
        <w:t> </w:t>
      </w:r>
      <w:r>
        <w:rPr/>
        <w:t>communities,</w:t>
      </w:r>
      <w:r>
        <w:rPr>
          <w:spacing w:val="-3"/>
        </w:rPr>
        <w:t> </w:t>
      </w:r>
      <w:r>
        <w:rPr/>
        <w:t>and</w:t>
      </w:r>
      <w:r>
        <w:rPr>
          <w:spacing w:val="-3"/>
        </w:rPr>
        <w:t> </w:t>
      </w:r>
      <w:r>
        <w:rPr/>
        <w:t>people</w:t>
      </w:r>
      <w:r>
        <w:rPr>
          <w:spacing w:val="-3"/>
        </w:rPr>
        <w:t> </w:t>
      </w:r>
      <w:r>
        <w:rPr/>
        <w:t>with</w:t>
      </w:r>
      <w:r>
        <w:rPr>
          <w:spacing w:val="-3"/>
        </w:rPr>
        <w:t> </w:t>
      </w:r>
      <w:r>
        <w:rPr/>
        <w:t>disabilities</w:t>
      </w:r>
      <w:r>
        <w:rPr>
          <w:spacing w:val="-2"/>
        </w:rPr>
        <w:t> </w:t>
      </w:r>
      <w:r>
        <w:rPr/>
        <w:t>are</w:t>
      </w:r>
      <w:r>
        <w:rPr>
          <w:spacing w:val="-3"/>
        </w:rPr>
        <w:t> </w:t>
      </w:r>
      <w:r>
        <w:rPr/>
        <w:t>on</w:t>
      </w:r>
    </w:p>
    <w:p>
      <w:pPr>
        <w:spacing w:after="0" w:line="276" w:lineRule="auto"/>
        <w:jc w:val="both"/>
        <w:sectPr>
          <w:pgSz w:w="12240" w:h="15840"/>
          <w:pgMar w:header="800" w:footer="1459" w:top="1300" w:bottom="1700" w:left="1120" w:right="1300"/>
        </w:sectPr>
      </w:pPr>
    </w:p>
    <w:p>
      <w:pPr>
        <w:pStyle w:val="BodyText"/>
        <w:spacing w:line="276" w:lineRule="auto" w:before="67"/>
        <w:ind w:left="323" w:right="139"/>
        <w:jc w:val="both"/>
      </w:pPr>
      <w:r>
        <w:rPr/>
        <w:t>the</w:t>
      </w:r>
      <w:r>
        <w:rPr>
          <w:spacing w:val="-1"/>
        </w:rPr>
        <w:t> </w:t>
      </w:r>
      <w:r>
        <w:rPr/>
        <w:t>frontline of climate</w:t>
      </w:r>
      <w:r>
        <w:rPr>
          <w:spacing w:val="-1"/>
        </w:rPr>
        <w:t> </w:t>
      </w:r>
      <w:r>
        <w:rPr/>
        <w:t>impacts such</w:t>
      </w:r>
      <w:r>
        <w:rPr>
          <w:spacing w:val="-1"/>
        </w:rPr>
        <w:t> </w:t>
      </w:r>
      <w:r>
        <w:rPr/>
        <w:t>as extreme weather, flooding, heat, poor air quality, access to food and clean water, and sea level rise. Not only are marginalized communities experiencing the worst impacts, but they also face barriers to adaptation and resilience</w:t>
      </w:r>
      <w:hyperlink w:history="true" w:anchor="_bookmark552">
        <w:r>
          <w:rPr/>
          <w:t>.</w:t>
        </w:r>
        <w:r>
          <w:rPr>
            <w:vertAlign w:val="superscript"/>
          </w:rPr>
          <w:t>59</w:t>
        </w:r>
      </w:hyperlink>
      <w:r>
        <w:rPr>
          <w:vertAlign w:val="baseline"/>
        </w:rPr>
        <w:t> In Massachusetts, climate justice and resilience is becoming a top policy priority, as evidenced by Governor Maura Healey’s Executive Order establishing the first ever Climate Chief position and Office of Climate Innovation and Resilience on her first day in office in January 2023. </w:t>
      </w:r>
      <w:hyperlink w:history="true" w:anchor="_bookmark552">
        <w:r>
          <w:rPr>
            <w:vertAlign w:val="superscript"/>
          </w:rPr>
          <w:t>60</w:t>
        </w:r>
      </w:hyperlink>
      <w:r>
        <w:rPr>
          <w:vertAlign w:val="baseline"/>
        </w:rPr>
        <w:t> LGBTQ youth are another key group that may be particularly vulnerable to the impacts of climate change, and unique considerations to include this population in climate justice efforts should be taken into account.</w:t>
      </w:r>
    </w:p>
    <w:p>
      <w:pPr>
        <w:pStyle w:val="BodyText"/>
        <w:spacing w:line="276" w:lineRule="auto" w:before="240"/>
        <w:ind w:left="323" w:right="140"/>
        <w:jc w:val="both"/>
      </w:pPr>
      <w:r>
        <w:rPr/>
        <w:t>First,</w:t>
      </w:r>
      <w:r>
        <w:rPr>
          <w:spacing w:val="-10"/>
        </w:rPr>
        <w:t> </w:t>
      </w:r>
      <w:r>
        <w:rPr/>
        <w:t>supporting</w:t>
      </w:r>
      <w:r>
        <w:rPr>
          <w:spacing w:val="-10"/>
        </w:rPr>
        <w:t> </w:t>
      </w:r>
      <w:r>
        <w:rPr/>
        <w:t>LGBTQ</w:t>
      </w:r>
      <w:r>
        <w:rPr>
          <w:spacing w:val="-11"/>
        </w:rPr>
        <w:t> </w:t>
      </w:r>
      <w:r>
        <w:rPr/>
        <w:t>youth</w:t>
      </w:r>
      <w:r>
        <w:rPr>
          <w:spacing w:val="-10"/>
        </w:rPr>
        <w:t> </w:t>
      </w:r>
      <w:r>
        <w:rPr/>
        <w:t>in</w:t>
      </w:r>
      <w:r>
        <w:rPr>
          <w:spacing w:val="-10"/>
        </w:rPr>
        <w:t> </w:t>
      </w:r>
      <w:r>
        <w:rPr/>
        <w:t>securing</w:t>
      </w:r>
      <w:r>
        <w:rPr>
          <w:spacing w:val="-11"/>
        </w:rPr>
        <w:t> </w:t>
      </w:r>
      <w:r>
        <w:rPr/>
        <w:t>stable</w:t>
      </w:r>
      <w:r>
        <w:rPr>
          <w:spacing w:val="-10"/>
        </w:rPr>
        <w:t> </w:t>
      </w:r>
      <w:r>
        <w:rPr/>
        <w:t>housing</w:t>
      </w:r>
      <w:r>
        <w:rPr>
          <w:spacing w:val="-10"/>
        </w:rPr>
        <w:t> </w:t>
      </w:r>
      <w:r>
        <w:rPr/>
        <w:t>and</w:t>
      </w:r>
      <w:r>
        <w:rPr>
          <w:spacing w:val="-10"/>
        </w:rPr>
        <w:t> </w:t>
      </w:r>
      <w:r>
        <w:rPr/>
        <w:t>economic</w:t>
      </w:r>
      <w:r>
        <w:rPr>
          <w:spacing w:val="-11"/>
        </w:rPr>
        <w:t> </w:t>
      </w:r>
      <w:r>
        <w:rPr/>
        <w:t>opportunities</w:t>
      </w:r>
      <w:r>
        <w:rPr>
          <w:spacing w:val="-10"/>
        </w:rPr>
        <w:t> </w:t>
      </w:r>
      <w:r>
        <w:rPr/>
        <w:t>is</w:t>
      </w:r>
      <w:r>
        <w:rPr>
          <w:spacing w:val="-10"/>
        </w:rPr>
        <w:t> </w:t>
      </w:r>
      <w:r>
        <w:rPr/>
        <w:t>crucial</w:t>
      </w:r>
      <w:r>
        <w:rPr>
          <w:spacing w:val="-10"/>
        </w:rPr>
        <w:t> </w:t>
      </w:r>
      <w:r>
        <w:rPr/>
        <w:t>for</w:t>
      </w:r>
      <w:r>
        <w:rPr>
          <w:spacing w:val="-10"/>
        </w:rPr>
        <w:t> </w:t>
      </w:r>
      <w:r>
        <w:rPr/>
        <w:t>climate justice. LGBTQ youth who are facing housing instability, experiencing homelessness, or living in less climate-resilient</w:t>
      </w:r>
      <w:r>
        <w:rPr>
          <w:spacing w:val="-3"/>
        </w:rPr>
        <w:t> </w:t>
      </w:r>
      <w:r>
        <w:rPr/>
        <w:t>areas</w:t>
      </w:r>
      <w:r>
        <w:rPr>
          <w:spacing w:val="-1"/>
        </w:rPr>
        <w:t> </w:t>
      </w:r>
      <w:r>
        <w:rPr/>
        <w:t>due</w:t>
      </w:r>
      <w:r>
        <w:rPr>
          <w:spacing w:val="-2"/>
        </w:rPr>
        <w:t> </w:t>
      </w:r>
      <w:r>
        <w:rPr/>
        <w:t>to</w:t>
      </w:r>
      <w:r>
        <w:rPr>
          <w:spacing w:val="-2"/>
        </w:rPr>
        <w:t> </w:t>
      </w:r>
      <w:r>
        <w:rPr/>
        <w:t>lower</w:t>
      </w:r>
      <w:r>
        <w:rPr>
          <w:spacing w:val="-1"/>
        </w:rPr>
        <w:t> </w:t>
      </w:r>
      <w:r>
        <w:rPr/>
        <w:t>economic</w:t>
      </w:r>
      <w:r>
        <w:rPr>
          <w:spacing w:val="-2"/>
        </w:rPr>
        <w:t> </w:t>
      </w:r>
      <w:r>
        <w:rPr/>
        <w:t>opportunities</w:t>
      </w:r>
      <w:r>
        <w:rPr>
          <w:spacing w:val="-1"/>
        </w:rPr>
        <w:t> </w:t>
      </w:r>
      <w:r>
        <w:rPr/>
        <w:t>may</w:t>
      </w:r>
      <w:r>
        <w:rPr>
          <w:spacing w:val="-3"/>
        </w:rPr>
        <w:t> </w:t>
      </w:r>
      <w:r>
        <w:rPr/>
        <w:t>face</w:t>
      </w:r>
      <w:r>
        <w:rPr>
          <w:spacing w:val="-3"/>
        </w:rPr>
        <w:t> </w:t>
      </w:r>
      <w:r>
        <w:rPr/>
        <w:t>greater</w:t>
      </w:r>
      <w:r>
        <w:rPr>
          <w:spacing w:val="-1"/>
        </w:rPr>
        <w:t> </w:t>
      </w:r>
      <w:r>
        <w:rPr/>
        <w:t>exposure</w:t>
      </w:r>
      <w:r>
        <w:rPr>
          <w:spacing w:val="-3"/>
        </w:rPr>
        <w:t> </w:t>
      </w:r>
      <w:r>
        <w:rPr/>
        <w:t>to</w:t>
      </w:r>
      <w:r>
        <w:rPr>
          <w:spacing w:val="-1"/>
        </w:rPr>
        <w:t> </w:t>
      </w:r>
      <w:r>
        <w:rPr/>
        <w:t>extreme</w:t>
      </w:r>
      <w:r>
        <w:rPr>
          <w:spacing w:val="-2"/>
        </w:rPr>
        <w:t> </w:t>
      </w:r>
      <w:r>
        <w:rPr/>
        <w:t>heat, flooding,</w:t>
      </w:r>
      <w:r>
        <w:rPr>
          <w:spacing w:val="-4"/>
        </w:rPr>
        <w:t> </w:t>
      </w:r>
      <w:r>
        <w:rPr/>
        <w:t>storms,</w:t>
      </w:r>
      <w:r>
        <w:rPr>
          <w:spacing w:val="-4"/>
        </w:rPr>
        <w:t> </w:t>
      </w:r>
      <w:r>
        <w:rPr/>
        <w:t>and</w:t>
      </w:r>
      <w:r>
        <w:rPr>
          <w:spacing w:val="-3"/>
        </w:rPr>
        <w:t> </w:t>
      </w:r>
      <w:r>
        <w:rPr/>
        <w:t>environmental</w:t>
      </w:r>
      <w:r>
        <w:rPr>
          <w:spacing w:val="-3"/>
        </w:rPr>
        <w:t> </w:t>
      </w:r>
      <w:r>
        <w:rPr/>
        <w:t>disasters</w:t>
      </w:r>
      <w:r>
        <w:rPr>
          <w:spacing w:val="-4"/>
        </w:rPr>
        <w:t> </w:t>
      </w:r>
      <w:r>
        <w:rPr/>
        <w:t>such</w:t>
      </w:r>
      <w:r>
        <w:rPr>
          <w:spacing w:val="-3"/>
        </w:rPr>
        <w:t> </w:t>
      </w:r>
      <w:r>
        <w:rPr/>
        <w:t>as</w:t>
      </w:r>
      <w:r>
        <w:rPr>
          <w:spacing w:val="-4"/>
        </w:rPr>
        <w:t> </w:t>
      </w:r>
      <w:r>
        <w:rPr/>
        <w:t>hurricanes</w:t>
      </w:r>
      <w:r>
        <w:rPr>
          <w:spacing w:val="-1"/>
        </w:rPr>
        <w:t> </w:t>
      </w:r>
      <w:r>
        <w:rPr/>
        <w:t>and</w:t>
      </w:r>
      <w:r>
        <w:rPr>
          <w:spacing w:val="-4"/>
        </w:rPr>
        <w:t> </w:t>
      </w:r>
      <w:r>
        <w:rPr/>
        <w:t>wildfires.</w:t>
      </w:r>
      <w:r>
        <w:rPr>
          <w:spacing w:val="-3"/>
        </w:rPr>
        <w:t> </w:t>
      </w:r>
      <w:r>
        <w:rPr/>
        <w:t>LGBTQ</w:t>
      </w:r>
      <w:r>
        <w:rPr>
          <w:spacing w:val="-3"/>
        </w:rPr>
        <w:t> </w:t>
      </w:r>
      <w:r>
        <w:rPr/>
        <w:t>communities</w:t>
      </w:r>
      <w:r>
        <w:rPr>
          <w:spacing w:val="-2"/>
        </w:rPr>
        <w:t> </w:t>
      </w:r>
      <w:r>
        <w:rPr/>
        <w:t>may also be more susceptible to the health impacts of climate change due to preexisting conditions and challenges accessing adequate health care. LGBTQ people who face barriers accessing medical care or who</w:t>
      </w:r>
      <w:r>
        <w:rPr>
          <w:spacing w:val="-10"/>
        </w:rPr>
        <w:t> </w:t>
      </w:r>
      <w:r>
        <w:rPr/>
        <w:t>have</w:t>
      </w:r>
      <w:r>
        <w:rPr>
          <w:spacing w:val="-10"/>
        </w:rPr>
        <w:t> </w:t>
      </w:r>
      <w:r>
        <w:rPr/>
        <w:t>preexisting</w:t>
      </w:r>
      <w:r>
        <w:rPr>
          <w:spacing w:val="-9"/>
        </w:rPr>
        <w:t> </w:t>
      </w:r>
      <w:r>
        <w:rPr/>
        <w:t>health</w:t>
      </w:r>
      <w:r>
        <w:rPr>
          <w:spacing w:val="-10"/>
        </w:rPr>
        <w:t> </w:t>
      </w:r>
      <w:r>
        <w:rPr/>
        <w:t>conditions</w:t>
      </w:r>
      <w:r>
        <w:rPr>
          <w:spacing w:val="-10"/>
        </w:rPr>
        <w:t> </w:t>
      </w:r>
      <w:r>
        <w:rPr/>
        <w:t>such</w:t>
      </w:r>
      <w:r>
        <w:rPr>
          <w:spacing w:val="-9"/>
        </w:rPr>
        <w:t> </w:t>
      </w:r>
      <w:r>
        <w:rPr/>
        <w:t>as</w:t>
      </w:r>
      <w:r>
        <w:rPr>
          <w:spacing w:val="-10"/>
        </w:rPr>
        <w:t> </w:t>
      </w:r>
      <w:r>
        <w:rPr/>
        <w:t>HIV</w:t>
      </w:r>
      <w:r>
        <w:rPr>
          <w:spacing w:val="-9"/>
        </w:rPr>
        <w:t> </w:t>
      </w:r>
      <w:r>
        <w:rPr/>
        <w:t>may</w:t>
      </w:r>
      <w:r>
        <w:rPr>
          <w:spacing w:val="-10"/>
        </w:rPr>
        <w:t> </w:t>
      </w:r>
      <w:r>
        <w:rPr/>
        <w:t>be</w:t>
      </w:r>
      <w:r>
        <w:rPr>
          <w:spacing w:val="-9"/>
        </w:rPr>
        <w:t> </w:t>
      </w:r>
      <w:r>
        <w:rPr/>
        <w:t>particularly</w:t>
      </w:r>
      <w:r>
        <w:rPr>
          <w:spacing w:val="-10"/>
        </w:rPr>
        <w:t> </w:t>
      </w:r>
      <w:r>
        <w:rPr/>
        <w:t>impacted</w:t>
      </w:r>
      <w:r>
        <w:rPr>
          <w:spacing w:val="-9"/>
        </w:rPr>
        <w:t> </w:t>
      </w:r>
      <w:r>
        <w:rPr/>
        <w:t>by</w:t>
      </w:r>
      <w:r>
        <w:rPr>
          <w:spacing w:val="-10"/>
        </w:rPr>
        <w:t> </w:t>
      </w:r>
      <w:r>
        <w:rPr/>
        <w:t>extreme</w:t>
      </w:r>
      <w:r>
        <w:rPr>
          <w:spacing w:val="-9"/>
        </w:rPr>
        <w:t> </w:t>
      </w:r>
      <w:r>
        <w:rPr/>
        <w:t>heat</w:t>
      </w:r>
      <w:r>
        <w:rPr>
          <w:spacing w:val="-11"/>
        </w:rPr>
        <w:t> </w:t>
      </w:r>
      <w:r>
        <w:rPr/>
        <w:t>or</w:t>
      </w:r>
      <w:r>
        <w:rPr>
          <w:spacing w:val="-10"/>
        </w:rPr>
        <w:t> </w:t>
      </w:r>
      <w:r>
        <w:rPr/>
        <w:t>poor air and water quality caused by environmental disasters. For instance, people with HIV may be more seriously affected by mold in their homes caused by water damage from flooding. </w:t>
      </w:r>
      <w:hyperlink w:history="true" w:anchor="_bookmark553">
        <w:r>
          <w:rPr>
            <w:vertAlign w:val="superscript"/>
          </w:rPr>
          <w:t>61</w:t>
        </w:r>
      </w:hyperlink>
      <w:r>
        <w:rPr>
          <w:vertAlign w:val="baseline"/>
        </w:rPr>
        <w:t> Environmental disasters and hardships due</w:t>
      </w:r>
      <w:r>
        <w:rPr>
          <w:spacing w:val="-1"/>
          <w:vertAlign w:val="baseline"/>
        </w:rPr>
        <w:t> </w:t>
      </w:r>
      <w:r>
        <w:rPr>
          <w:vertAlign w:val="baseline"/>
        </w:rPr>
        <w:t>to climate impacts can also have</w:t>
      </w:r>
      <w:r>
        <w:rPr>
          <w:spacing w:val="-1"/>
          <w:vertAlign w:val="baseline"/>
        </w:rPr>
        <w:t> </w:t>
      </w:r>
      <w:r>
        <w:rPr>
          <w:vertAlign w:val="baseline"/>
        </w:rPr>
        <w:t>immediate mental</w:t>
      </w:r>
      <w:r>
        <w:rPr>
          <w:spacing w:val="-1"/>
          <w:vertAlign w:val="baseline"/>
        </w:rPr>
        <w:t> </w:t>
      </w:r>
      <w:r>
        <w:rPr>
          <w:vertAlign w:val="baseline"/>
        </w:rPr>
        <w:t>health</w:t>
      </w:r>
      <w:r>
        <w:rPr>
          <w:spacing w:val="-1"/>
          <w:vertAlign w:val="baseline"/>
        </w:rPr>
        <w:t> </w:t>
      </w:r>
      <w:r>
        <w:rPr>
          <w:vertAlign w:val="baseline"/>
        </w:rPr>
        <w:t>impacts and may exacerbate existing mental health challenges LGBTQ populations face.</w:t>
      </w:r>
      <w:hyperlink w:history="true" w:anchor="_bookmark553">
        <w:r>
          <w:rPr>
            <w:vertAlign w:val="superscript"/>
          </w:rPr>
          <w:t>62</w:t>
        </w:r>
      </w:hyperlink>
    </w:p>
    <w:p>
      <w:pPr>
        <w:pStyle w:val="BodyText"/>
        <w:spacing w:line="276" w:lineRule="auto" w:before="240"/>
        <w:ind w:left="323" w:right="142"/>
        <w:jc w:val="both"/>
      </w:pPr>
      <w:r>
        <w:rPr/>
        <w:t>Discriminatory disaster response policies and services also cause LGBTQ communities to bear a greater burden of climate</w:t>
      </w:r>
      <w:r>
        <w:rPr>
          <w:spacing w:val="-1"/>
        </w:rPr>
        <w:t> </w:t>
      </w:r>
      <w:r>
        <w:rPr/>
        <w:t>impacts.</w:t>
      </w:r>
      <w:r>
        <w:rPr>
          <w:spacing w:val="-1"/>
        </w:rPr>
        <w:t> </w:t>
      </w:r>
      <w:r>
        <w:rPr/>
        <w:t>A growing</w:t>
      </w:r>
      <w:r>
        <w:rPr>
          <w:spacing w:val="-1"/>
        </w:rPr>
        <w:t> </w:t>
      </w:r>
      <w:r>
        <w:rPr/>
        <w:t>body of research</w:t>
      </w:r>
      <w:r>
        <w:rPr>
          <w:spacing w:val="-1"/>
        </w:rPr>
        <w:t> </w:t>
      </w:r>
      <w:r>
        <w:rPr/>
        <w:t>into the unique marginalization</w:t>
      </w:r>
      <w:r>
        <w:rPr>
          <w:spacing w:val="-1"/>
        </w:rPr>
        <w:t> </w:t>
      </w:r>
      <w:r>
        <w:rPr/>
        <w:t>and vulnerability LGBTQ populations face during environmental disasters demonstrates that LGBTQ populations bear greater</w:t>
      </w:r>
      <w:r>
        <w:rPr>
          <w:spacing w:val="-5"/>
        </w:rPr>
        <w:t> </w:t>
      </w:r>
      <w:r>
        <w:rPr/>
        <w:t>impacts</w:t>
      </w:r>
      <w:r>
        <w:rPr>
          <w:spacing w:val="-5"/>
        </w:rPr>
        <w:t> </w:t>
      </w:r>
      <w:r>
        <w:rPr/>
        <w:t>from</w:t>
      </w:r>
      <w:r>
        <w:rPr>
          <w:spacing w:val="-4"/>
        </w:rPr>
        <w:t> </w:t>
      </w:r>
      <w:r>
        <w:rPr/>
        <w:t>environmental</w:t>
      </w:r>
      <w:r>
        <w:rPr>
          <w:spacing w:val="-4"/>
        </w:rPr>
        <w:t> </w:t>
      </w:r>
      <w:r>
        <w:rPr/>
        <w:t>disasters</w:t>
      </w:r>
      <w:r>
        <w:rPr>
          <w:spacing w:val="-5"/>
        </w:rPr>
        <w:t> </w:t>
      </w:r>
      <w:r>
        <w:rPr/>
        <w:t>due</w:t>
      </w:r>
      <w:r>
        <w:rPr>
          <w:spacing w:val="-4"/>
        </w:rPr>
        <w:t> </w:t>
      </w:r>
      <w:r>
        <w:rPr/>
        <w:t>to</w:t>
      </w:r>
      <w:r>
        <w:rPr>
          <w:spacing w:val="-5"/>
        </w:rPr>
        <w:t> </w:t>
      </w:r>
      <w:r>
        <w:rPr/>
        <w:t>hindered</w:t>
      </w:r>
      <w:r>
        <w:rPr>
          <w:spacing w:val="-4"/>
        </w:rPr>
        <w:t> </w:t>
      </w:r>
      <w:r>
        <w:rPr/>
        <w:t>access</w:t>
      </w:r>
      <w:r>
        <w:rPr>
          <w:spacing w:val="-5"/>
        </w:rPr>
        <w:t> </w:t>
      </w:r>
      <w:r>
        <w:rPr/>
        <w:t>to</w:t>
      </w:r>
      <w:r>
        <w:rPr>
          <w:spacing w:val="-3"/>
        </w:rPr>
        <w:t> </w:t>
      </w:r>
      <w:r>
        <w:rPr/>
        <w:t>disaster</w:t>
      </w:r>
      <w:r>
        <w:rPr>
          <w:spacing w:val="-5"/>
        </w:rPr>
        <w:t> </w:t>
      </w:r>
      <w:r>
        <w:rPr/>
        <w:t>response</w:t>
      </w:r>
      <w:r>
        <w:rPr>
          <w:spacing w:val="-5"/>
        </w:rPr>
        <w:t> </w:t>
      </w:r>
      <w:r>
        <w:rPr/>
        <w:t>resources</w:t>
      </w:r>
      <w:r>
        <w:rPr>
          <w:spacing w:val="-5"/>
        </w:rPr>
        <w:t> </w:t>
      </w:r>
      <w:r>
        <w:rPr/>
        <w:t>and discrimination</w:t>
      </w:r>
      <w:r>
        <w:rPr>
          <w:spacing w:val="-9"/>
        </w:rPr>
        <w:t> </w:t>
      </w:r>
      <w:r>
        <w:rPr/>
        <w:t>from</w:t>
      </w:r>
      <w:r>
        <w:rPr>
          <w:spacing w:val="-8"/>
        </w:rPr>
        <w:t> </w:t>
      </w:r>
      <w:r>
        <w:rPr/>
        <w:t>disaster</w:t>
      </w:r>
      <w:r>
        <w:rPr>
          <w:spacing w:val="-9"/>
        </w:rPr>
        <w:t> </w:t>
      </w:r>
      <w:r>
        <w:rPr/>
        <w:t>response</w:t>
      </w:r>
      <w:r>
        <w:rPr>
          <w:spacing w:val="-8"/>
        </w:rPr>
        <w:t> </w:t>
      </w:r>
      <w:r>
        <w:rPr/>
        <w:t>services</w:t>
      </w:r>
      <w:hyperlink w:history="true" w:anchor="_bookmark553">
        <w:r>
          <w:rPr/>
          <w:t>.</w:t>
        </w:r>
        <w:r>
          <w:rPr>
            <w:vertAlign w:val="superscript"/>
          </w:rPr>
          <w:t>63</w:t>
        </w:r>
      </w:hyperlink>
      <w:hyperlink w:history="true" w:anchor="_bookmark553">
        <w:r>
          <w:rPr>
            <w:vertAlign w:val="superscript"/>
          </w:rPr>
          <w:t>,64</w:t>
        </w:r>
      </w:hyperlink>
      <w:r>
        <w:rPr>
          <w:spacing w:val="-7"/>
          <w:vertAlign w:val="baseline"/>
        </w:rPr>
        <w:t> </w:t>
      </w:r>
      <w:r>
        <w:rPr>
          <w:vertAlign w:val="baseline"/>
        </w:rPr>
        <w:t>For</w:t>
      </w:r>
      <w:r>
        <w:rPr>
          <w:spacing w:val="-9"/>
          <w:vertAlign w:val="baseline"/>
        </w:rPr>
        <w:t> </w:t>
      </w:r>
      <w:r>
        <w:rPr>
          <w:vertAlign w:val="baseline"/>
        </w:rPr>
        <w:t>example,</w:t>
      </w:r>
      <w:r>
        <w:rPr>
          <w:spacing w:val="-7"/>
          <w:vertAlign w:val="baseline"/>
        </w:rPr>
        <w:t> </w:t>
      </w:r>
      <w:r>
        <w:rPr>
          <w:vertAlign w:val="baseline"/>
        </w:rPr>
        <w:t>the</w:t>
      </w:r>
      <w:r>
        <w:rPr>
          <w:spacing w:val="-8"/>
          <w:vertAlign w:val="baseline"/>
        </w:rPr>
        <w:t> </w:t>
      </w:r>
      <w:r>
        <w:rPr>
          <w:vertAlign w:val="baseline"/>
        </w:rPr>
        <w:t>prevalence</w:t>
      </w:r>
      <w:r>
        <w:rPr>
          <w:spacing w:val="-9"/>
          <w:vertAlign w:val="baseline"/>
        </w:rPr>
        <w:t> </w:t>
      </w:r>
      <w:r>
        <w:rPr>
          <w:vertAlign w:val="baseline"/>
        </w:rPr>
        <w:t>of</w:t>
      </w:r>
      <w:r>
        <w:rPr>
          <w:spacing w:val="-7"/>
          <w:vertAlign w:val="baseline"/>
        </w:rPr>
        <w:t> </w:t>
      </w:r>
      <w:r>
        <w:rPr>
          <w:vertAlign w:val="baseline"/>
        </w:rPr>
        <w:t>religious</w:t>
      </w:r>
      <w:r>
        <w:rPr>
          <w:spacing w:val="-6"/>
          <w:vertAlign w:val="baseline"/>
        </w:rPr>
        <w:t> </w:t>
      </w:r>
      <w:r>
        <w:rPr>
          <w:vertAlign w:val="baseline"/>
        </w:rPr>
        <w:t>organizations in disaster relief services can be a barrier to access, particularly for trans individuals. </w:t>
      </w:r>
      <w:hyperlink w:history="true" w:anchor="_bookmark553">
        <w:r>
          <w:rPr>
            <w:vertAlign w:val="superscript"/>
          </w:rPr>
          <w:t>65</w:t>
        </w:r>
      </w:hyperlink>
      <w:r>
        <w:rPr>
          <w:vertAlign w:val="baseline"/>
        </w:rPr>
        <w:t> Furthermore, staying in an emergency shelter can be a dangerous and traumatic experience for some LGBTQ communities,</w:t>
      </w:r>
      <w:r>
        <w:rPr>
          <w:spacing w:val="-10"/>
          <w:vertAlign w:val="baseline"/>
        </w:rPr>
        <w:t> </w:t>
      </w:r>
      <w:r>
        <w:rPr>
          <w:vertAlign w:val="baseline"/>
        </w:rPr>
        <w:t>particularly</w:t>
      </w:r>
      <w:r>
        <w:rPr>
          <w:spacing w:val="-11"/>
          <w:vertAlign w:val="baseline"/>
        </w:rPr>
        <w:t> </w:t>
      </w:r>
      <w:r>
        <w:rPr>
          <w:vertAlign w:val="baseline"/>
        </w:rPr>
        <w:t>Black</w:t>
      </w:r>
      <w:r>
        <w:rPr>
          <w:spacing w:val="-11"/>
          <w:vertAlign w:val="baseline"/>
        </w:rPr>
        <w:t> </w:t>
      </w:r>
      <w:r>
        <w:rPr>
          <w:vertAlign w:val="baseline"/>
        </w:rPr>
        <w:t>trans</w:t>
      </w:r>
      <w:r>
        <w:rPr>
          <w:spacing w:val="-11"/>
          <w:vertAlign w:val="baseline"/>
        </w:rPr>
        <w:t> </w:t>
      </w:r>
      <w:r>
        <w:rPr>
          <w:vertAlign w:val="baseline"/>
        </w:rPr>
        <w:t>women.</w:t>
      </w:r>
      <w:r>
        <w:rPr>
          <w:spacing w:val="-10"/>
          <w:vertAlign w:val="baseline"/>
        </w:rPr>
        <w:t> </w:t>
      </w:r>
      <w:r>
        <w:rPr>
          <w:vertAlign w:val="baseline"/>
        </w:rPr>
        <w:t>In</w:t>
      </w:r>
      <w:r>
        <w:rPr>
          <w:spacing w:val="-11"/>
          <w:vertAlign w:val="baseline"/>
        </w:rPr>
        <w:t> </w:t>
      </w:r>
      <w:r>
        <w:rPr>
          <w:vertAlign w:val="baseline"/>
        </w:rPr>
        <w:t>one</w:t>
      </w:r>
      <w:r>
        <w:rPr>
          <w:spacing w:val="-11"/>
          <w:vertAlign w:val="baseline"/>
        </w:rPr>
        <w:t> </w:t>
      </w:r>
      <w:r>
        <w:rPr>
          <w:vertAlign w:val="baseline"/>
        </w:rPr>
        <w:t>reported</w:t>
      </w:r>
      <w:r>
        <w:rPr>
          <w:spacing w:val="-10"/>
          <w:vertAlign w:val="baseline"/>
        </w:rPr>
        <w:t> </w:t>
      </w:r>
      <w:r>
        <w:rPr>
          <w:vertAlign w:val="baseline"/>
        </w:rPr>
        <w:t>case</w:t>
      </w:r>
      <w:r>
        <w:rPr>
          <w:spacing w:val="-10"/>
          <w:vertAlign w:val="baseline"/>
        </w:rPr>
        <w:t> </w:t>
      </w:r>
      <w:r>
        <w:rPr>
          <w:vertAlign w:val="baseline"/>
        </w:rPr>
        <w:t>following</w:t>
      </w:r>
      <w:r>
        <w:rPr>
          <w:spacing w:val="-11"/>
          <w:vertAlign w:val="baseline"/>
        </w:rPr>
        <w:t> </w:t>
      </w:r>
      <w:r>
        <w:rPr>
          <w:vertAlign w:val="baseline"/>
        </w:rPr>
        <w:t>Hurricane</w:t>
      </w:r>
      <w:r>
        <w:rPr>
          <w:spacing w:val="-11"/>
          <w:vertAlign w:val="baseline"/>
        </w:rPr>
        <w:t> </w:t>
      </w:r>
      <w:r>
        <w:rPr>
          <w:vertAlign w:val="baseline"/>
        </w:rPr>
        <w:t>Katrina,</w:t>
      </w:r>
      <w:r>
        <w:rPr>
          <w:spacing w:val="-11"/>
          <w:vertAlign w:val="baseline"/>
        </w:rPr>
        <w:t> </w:t>
      </w:r>
      <w:r>
        <w:rPr>
          <w:vertAlign w:val="baseline"/>
        </w:rPr>
        <w:t>two</w:t>
      </w:r>
      <w:r>
        <w:rPr>
          <w:spacing w:val="-11"/>
          <w:vertAlign w:val="baseline"/>
        </w:rPr>
        <w:t> </w:t>
      </w:r>
      <w:r>
        <w:rPr>
          <w:vertAlign w:val="baseline"/>
        </w:rPr>
        <w:t>Black trans women were arrested after using the women’s restroom at an emergency shelter</w:t>
      </w:r>
      <w:hyperlink w:history="true" w:anchor="_bookmark553">
        <w:r>
          <w:rPr>
            <w:vertAlign w:val="baseline"/>
          </w:rPr>
          <w:t>.</w:t>
        </w:r>
        <w:r>
          <w:rPr>
            <w:vertAlign w:val="superscript"/>
          </w:rPr>
          <w:t>66</w:t>
        </w:r>
      </w:hyperlink>
      <w:r>
        <w:rPr>
          <w:vertAlign w:val="baseline"/>
        </w:rPr>
        <w:t> For trans and undocumented people, identification requirements can pose another barrier to accessing federal emergency relief services</w:t>
      </w:r>
      <w:hyperlink w:history="true" w:anchor="_bookmark553">
        <w:r>
          <w:rPr>
            <w:vertAlign w:val="baseline"/>
          </w:rPr>
          <w:t>.</w:t>
        </w:r>
        <w:r>
          <w:rPr>
            <w:vertAlign w:val="superscript"/>
          </w:rPr>
          <w:t>67</w:t>
        </w:r>
      </w:hyperlink>
    </w:p>
    <w:p>
      <w:pPr>
        <w:pStyle w:val="BodyText"/>
        <w:spacing w:line="276" w:lineRule="auto" w:before="240"/>
        <w:ind w:left="323" w:right="141"/>
        <w:jc w:val="both"/>
      </w:pPr>
      <w:r>
        <w:rPr/>
        <w:t>Lack</w:t>
      </w:r>
      <w:r>
        <w:rPr>
          <w:spacing w:val="-8"/>
        </w:rPr>
        <w:t> </w:t>
      </w:r>
      <w:r>
        <w:rPr/>
        <w:t>of</w:t>
      </w:r>
      <w:r>
        <w:rPr>
          <w:spacing w:val="-9"/>
        </w:rPr>
        <w:t> </w:t>
      </w:r>
      <w:r>
        <w:rPr/>
        <w:t>strong</w:t>
      </w:r>
      <w:r>
        <w:rPr>
          <w:spacing w:val="-9"/>
        </w:rPr>
        <w:t> </w:t>
      </w:r>
      <w:r>
        <w:rPr/>
        <w:t>legal</w:t>
      </w:r>
      <w:r>
        <w:rPr>
          <w:spacing w:val="-8"/>
        </w:rPr>
        <w:t> </w:t>
      </w:r>
      <w:r>
        <w:rPr/>
        <w:t>protections</w:t>
      </w:r>
      <w:r>
        <w:rPr>
          <w:spacing w:val="-8"/>
        </w:rPr>
        <w:t> </w:t>
      </w:r>
      <w:r>
        <w:rPr/>
        <w:t>for</w:t>
      </w:r>
      <w:r>
        <w:rPr>
          <w:spacing w:val="-9"/>
        </w:rPr>
        <w:t> </w:t>
      </w:r>
      <w:r>
        <w:rPr/>
        <w:t>LGBTQ</w:t>
      </w:r>
      <w:r>
        <w:rPr>
          <w:spacing w:val="-8"/>
        </w:rPr>
        <w:t> </w:t>
      </w:r>
      <w:r>
        <w:rPr/>
        <w:t>communities</w:t>
      </w:r>
      <w:r>
        <w:rPr>
          <w:spacing w:val="-8"/>
        </w:rPr>
        <w:t> </w:t>
      </w:r>
      <w:r>
        <w:rPr/>
        <w:t>in</w:t>
      </w:r>
      <w:r>
        <w:rPr>
          <w:spacing w:val="-8"/>
        </w:rPr>
        <w:t> </w:t>
      </w:r>
      <w:r>
        <w:rPr/>
        <w:t>disaster</w:t>
      </w:r>
      <w:r>
        <w:rPr>
          <w:spacing w:val="-8"/>
        </w:rPr>
        <w:t> </w:t>
      </w:r>
      <w:r>
        <w:rPr/>
        <w:t>response</w:t>
      </w:r>
      <w:r>
        <w:rPr>
          <w:spacing w:val="-8"/>
        </w:rPr>
        <w:t> </w:t>
      </w:r>
      <w:r>
        <w:rPr/>
        <w:t>programs</w:t>
      </w:r>
      <w:r>
        <w:rPr>
          <w:spacing w:val="-8"/>
        </w:rPr>
        <w:t> </w:t>
      </w:r>
      <w:r>
        <w:rPr/>
        <w:t>and</w:t>
      </w:r>
      <w:r>
        <w:rPr>
          <w:spacing w:val="-8"/>
        </w:rPr>
        <w:t> </w:t>
      </w:r>
      <w:r>
        <w:rPr/>
        <w:t>policies</w:t>
      </w:r>
      <w:r>
        <w:rPr>
          <w:spacing w:val="-8"/>
        </w:rPr>
        <w:t> </w:t>
      </w:r>
      <w:r>
        <w:rPr/>
        <w:t>allows discrimination in disaster response services to continue. However, laws protecting LGBTQ people from discrimination</w:t>
      </w:r>
      <w:r>
        <w:rPr>
          <w:spacing w:val="-1"/>
        </w:rPr>
        <w:t> </w:t>
      </w:r>
      <w:r>
        <w:rPr/>
        <w:t>and</w:t>
      </w:r>
      <w:r>
        <w:rPr>
          <w:spacing w:val="-1"/>
        </w:rPr>
        <w:t> </w:t>
      </w:r>
      <w:r>
        <w:rPr/>
        <w:t>requiring</w:t>
      </w:r>
      <w:r>
        <w:rPr>
          <w:spacing w:val="-1"/>
        </w:rPr>
        <w:t> </w:t>
      </w:r>
      <w:r>
        <w:rPr/>
        <w:t>local</w:t>
      </w:r>
      <w:r>
        <w:rPr>
          <w:spacing w:val="-1"/>
        </w:rPr>
        <w:t> </w:t>
      </w:r>
      <w:r>
        <w:rPr/>
        <w:t>governments to work</w:t>
      </w:r>
      <w:r>
        <w:rPr>
          <w:spacing w:val="-1"/>
        </w:rPr>
        <w:t> </w:t>
      </w:r>
      <w:r>
        <w:rPr/>
        <w:t>collaboratively with</w:t>
      </w:r>
      <w:r>
        <w:rPr>
          <w:spacing w:val="-1"/>
        </w:rPr>
        <w:t> </w:t>
      </w:r>
      <w:r>
        <w:rPr/>
        <w:t>LGBTQ</w:t>
      </w:r>
      <w:r>
        <w:rPr>
          <w:spacing w:val="-1"/>
        </w:rPr>
        <w:t> </w:t>
      </w:r>
      <w:r>
        <w:rPr/>
        <w:t>communities to plan for</w:t>
      </w:r>
      <w:r>
        <w:rPr>
          <w:spacing w:val="-11"/>
        </w:rPr>
        <w:t> </w:t>
      </w:r>
      <w:r>
        <w:rPr/>
        <w:t>disasters</w:t>
      </w:r>
      <w:r>
        <w:rPr>
          <w:spacing w:val="-11"/>
        </w:rPr>
        <w:t> </w:t>
      </w:r>
      <w:r>
        <w:rPr/>
        <w:t>can</w:t>
      </w:r>
      <w:r>
        <w:rPr>
          <w:spacing w:val="-12"/>
        </w:rPr>
        <w:t> </w:t>
      </w:r>
      <w:r>
        <w:rPr/>
        <w:t>be</w:t>
      </w:r>
      <w:r>
        <w:rPr>
          <w:spacing w:val="-10"/>
        </w:rPr>
        <w:t> </w:t>
      </w:r>
      <w:r>
        <w:rPr/>
        <w:t>passed</w:t>
      </w:r>
      <w:r>
        <w:rPr>
          <w:spacing w:val="-10"/>
        </w:rPr>
        <w:t> </w:t>
      </w:r>
      <w:r>
        <w:rPr/>
        <w:t>at</w:t>
      </w:r>
      <w:r>
        <w:rPr>
          <w:spacing w:val="-12"/>
        </w:rPr>
        <w:t> </w:t>
      </w:r>
      <w:r>
        <w:rPr/>
        <w:t>the</w:t>
      </w:r>
      <w:r>
        <w:rPr>
          <w:spacing w:val="-11"/>
        </w:rPr>
        <w:t> </w:t>
      </w:r>
      <w:r>
        <w:rPr/>
        <w:t>state</w:t>
      </w:r>
      <w:r>
        <w:rPr>
          <w:spacing w:val="-11"/>
        </w:rPr>
        <w:t> </w:t>
      </w:r>
      <w:r>
        <w:rPr/>
        <w:t>level.</w:t>
      </w:r>
      <w:r>
        <w:rPr>
          <w:spacing w:val="-12"/>
        </w:rPr>
        <w:t> </w:t>
      </w:r>
      <w:r>
        <w:rPr/>
        <w:t>In</w:t>
      </w:r>
      <w:r>
        <w:rPr>
          <w:spacing w:val="-10"/>
        </w:rPr>
        <w:t> </w:t>
      </w:r>
      <w:r>
        <w:rPr/>
        <w:t>2012,</w:t>
      </w:r>
      <w:r>
        <w:rPr>
          <w:spacing w:val="-11"/>
        </w:rPr>
        <w:t> </w:t>
      </w:r>
      <w:r>
        <w:rPr/>
        <w:t>the</w:t>
      </w:r>
      <w:r>
        <w:rPr>
          <w:spacing w:val="-11"/>
        </w:rPr>
        <w:t> </w:t>
      </w:r>
      <w:r>
        <w:rPr/>
        <w:t>Human</w:t>
      </w:r>
      <w:r>
        <w:rPr>
          <w:spacing w:val="-10"/>
        </w:rPr>
        <w:t> </w:t>
      </w:r>
      <w:r>
        <w:rPr/>
        <w:t>Rights</w:t>
      </w:r>
      <w:r>
        <w:rPr>
          <w:spacing w:val="-11"/>
        </w:rPr>
        <w:t> </w:t>
      </w:r>
      <w:r>
        <w:rPr/>
        <w:t>Campaign</w:t>
      </w:r>
      <w:r>
        <w:rPr>
          <w:spacing w:val="-12"/>
        </w:rPr>
        <w:t> </w:t>
      </w:r>
      <w:r>
        <w:rPr/>
        <w:t>(HRC)</w:t>
      </w:r>
      <w:r>
        <w:rPr>
          <w:spacing w:val="-11"/>
        </w:rPr>
        <w:t> </w:t>
      </w:r>
      <w:r>
        <w:rPr/>
        <w:t>released</w:t>
      </w:r>
      <w:r>
        <w:rPr>
          <w:spacing w:val="-12"/>
        </w:rPr>
        <w:t> </w:t>
      </w:r>
      <w:r>
        <w:rPr/>
        <w:t>a</w:t>
      </w:r>
      <w:r>
        <w:rPr>
          <w:spacing w:val="-11"/>
        </w:rPr>
        <w:t> </w:t>
      </w:r>
      <w:r>
        <w:rPr/>
        <w:t>report on</w:t>
      </w:r>
      <w:r>
        <w:rPr>
          <w:spacing w:val="-11"/>
        </w:rPr>
        <w:t> </w:t>
      </w:r>
      <w:r>
        <w:rPr/>
        <w:t>how</w:t>
      </w:r>
      <w:r>
        <w:rPr>
          <w:spacing w:val="-10"/>
        </w:rPr>
        <w:t> </w:t>
      </w:r>
      <w:r>
        <w:rPr/>
        <w:t>best</w:t>
      </w:r>
      <w:r>
        <w:rPr>
          <w:spacing w:val="-10"/>
        </w:rPr>
        <w:t> </w:t>
      </w:r>
      <w:r>
        <w:rPr/>
        <w:t>to</w:t>
      </w:r>
      <w:r>
        <w:rPr>
          <w:spacing w:val="-11"/>
        </w:rPr>
        <w:t> </w:t>
      </w:r>
      <w:r>
        <w:rPr/>
        <w:t>eliminate</w:t>
      </w:r>
      <w:r>
        <w:rPr>
          <w:spacing w:val="-10"/>
        </w:rPr>
        <w:t> </w:t>
      </w:r>
      <w:r>
        <w:rPr/>
        <w:t>discrimination</w:t>
      </w:r>
      <w:r>
        <w:rPr>
          <w:spacing w:val="-10"/>
        </w:rPr>
        <w:t> </w:t>
      </w:r>
      <w:r>
        <w:rPr/>
        <w:t>in</w:t>
      </w:r>
      <w:r>
        <w:rPr>
          <w:spacing w:val="-11"/>
        </w:rPr>
        <w:t> </w:t>
      </w:r>
      <w:r>
        <w:rPr/>
        <w:t>disaster</w:t>
      </w:r>
      <w:r>
        <w:rPr>
          <w:spacing w:val="-10"/>
        </w:rPr>
        <w:t> </w:t>
      </w:r>
      <w:r>
        <w:rPr/>
        <w:t>preparation</w:t>
      </w:r>
      <w:r>
        <w:rPr>
          <w:spacing w:val="-11"/>
        </w:rPr>
        <w:t> </w:t>
      </w:r>
      <w:r>
        <w:rPr/>
        <w:t>and</w:t>
      </w:r>
      <w:r>
        <w:rPr>
          <w:spacing w:val="-10"/>
        </w:rPr>
        <w:t> </w:t>
      </w:r>
      <w:r>
        <w:rPr/>
        <w:t>response</w:t>
      </w:r>
      <w:r>
        <w:rPr>
          <w:spacing w:val="-11"/>
        </w:rPr>
        <w:t> </w:t>
      </w:r>
      <w:r>
        <w:rPr/>
        <w:t>including</w:t>
      </w:r>
      <w:r>
        <w:rPr>
          <w:spacing w:val="-10"/>
        </w:rPr>
        <w:t> </w:t>
      </w:r>
      <w:r>
        <w:rPr/>
        <w:t>recommendations about</w:t>
      </w:r>
      <w:r>
        <w:rPr>
          <w:spacing w:val="-5"/>
        </w:rPr>
        <w:t> </w:t>
      </w:r>
      <w:r>
        <w:rPr/>
        <w:t>including</w:t>
      </w:r>
      <w:r>
        <w:rPr>
          <w:spacing w:val="-4"/>
        </w:rPr>
        <w:t> </w:t>
      </w:r>
      <w:r>
        <w:rPr/>
        <w:t>members</w:t>
      </w:r>
      <w:r>
        <w:rPr>
          <w:spacing w:val="-4"/>
        </w:rPr>
        <w:t> </w:t>
      </w:r>
      <w:r>
        <w:rPr/>
        <w:t>of</w:t>
      </w:r>
      <w:r>
        <w:rPr>
          <w:spacing w:val="-5"/>
        </w:rPr>
        <w:t> </w:t>
      </w:r>
      <w:r>
        <w:rPr/>
        <w:t>the</w:t>
      </w:r>
      <w:r>
        <w:rPr>
          <w:spacing w:val="-4"/>
        </w:rPr>
        <w:t> </w:t>
      </w:r>
      <w:r>
        <w:rPr/>
        <w:t>LGBTQ</w:t>
      </w:r>
      <w:r>
        <w:rPr>
          <w:spacing w:val="-4"/>
        </w:rPr>
        <w:t> </w:t>
      </w:r>
      <w:r>
        <w:rPr/>
        <w:t>community</w:t>
      </w:r>
      <w:r>
        <w:rPr>
          <w:spacing w:val="-4"/>
        </w:rPr>
        <w:t> </w:t>
      </w:r>
      <w:r>
        <w:rPr/>
        <w:t>in</w:t>
      </w:r>
      <w:r>
        <w:rPr>
          <w:spacing w:val="-4"/>
        </w:rPr>
        <w:t> </w:t>
      </w:r>
      <w:r>
        <w:rPr/>
        <w:t>the</w:t>
      </w:r>
      <w:r>
        <w:rPr>
          <w:spacing w:val="-4"/>
        </w:rPr>
        <w:t> </w:t>
      </w:r>
      <w:r>
        <w:rPr/>
        <w:t>disaster</w:t>
      </w:r>
      <w:r>
        <w:rPr>
          <w:spacing w:val="-4"/>
        </w:rPr>
        <w:t> </w:t>
      </w:r>
      <w:r>
        <w:rPr/>
        <w:t>response</w:t>
      </w:r>
      <w:r>
        <w:rPr>
          <w:spacing w:val="-4"/>
        </w:rPr>
        <w:t> </w:t>
      </w:r>
      <w:r>
        <w:rPr/>
        <w:t>planning</w:t>
      </w:r>
      <w:r>
        <w:rPr>
          <w:spacing w:val="-4"/>
        </w:rPr>
        <w:t> </w:t>
      </w:r>
      <w:r>
        <w:rPr/>
        <w:t>process,</w:t>
      </w:r>
      <w:r>
        <w:rPr>
          <w:spacing w:val="-5"/>
        </w:rPr>
        <w:t> </w:t>
      </w:r>
      <w:r>
        <w:rPr/>
        <w:t>respecting family structure and relationship status, and ensuring safety in emergency shelters.</w:t>
      </w:r>
      <w:hyperlink w:history="true" w:anchor="_bookmark553">
        <w:r>
          <w:rPr>
            <w:vertAlign w:val="superscript"/>
          </w:rPr>
          <w:t>68</w:t>
        </w:r>
      </w:hyperlink>
      <w:r>
        <w:rPr>
          <w:vertAlign w:val="baseline"/>
        </w:rPr>
        <w:t> Massachusetts has an opportunity to lead in this space by putting HRC’s guidance into action, since very few states or local governments have incorporated the recommendations into disaster response efforts so far.</w:t>
      </w:r>
    </w:p>
    <w:p>
      <w:pPr>
        <w:spacing w:after="0" w:line="276" w:lineRule="auto"/>
        <w:jc w:val="both"/>
        <w:sectPr>
          <w:pgSz w:w="12240" w:h="15840"/>
          <w:pgMar w:header="800" w:footer="1459" w:top="1300" w:bottom="1640" w:left="1120" w:right="1300"/>
        </w:sectPr>
      </w:pPr>
    </w:p>
    <w:p>
      <w:pPr>
        <w:pStyle w:val="BodyText"/>
        <w:spacing w:line="276" w:lineRule="auto" w:before="67"/>
        <w:ind w:left="323" w:right="141"/>
        <w:jc w:val="both"/>
      </w:pPr>
      <w:r>
        <w:rPr/>
        <w:t>The</w:t>
      </w:r>
      <w:r>
        <w:rPr>
          <w:spacing w:val="-6"/>
        </w:rPr>
        <w:t> </w:t>
      </w:r>
      <w:r>
        <w:rPr/>
        <w:t>importance</w:t>
      </w:r>
      <w:r>
        <w:rPr>
          <w:spacing w:val="-6"/>
        </w:rPr>
        <w:t> </w:t>
      </w:r>
      <w:r>
        <w:rPr/>
        <w:t>of</w:t>
      </w:r>
      <w:r>
        <w:rPr>
          <w:spacing w:val="-5"/>
        </w:rPr>
        <w:t> </w:t>
      </w:r>
      <w:r>
        <w:rPr/>
        <w:t>environmental</w:t>
      </w:r>
      <w:r>
        <w:rPr>
          <w:spacing w:val="-5"/>
        </w:rPr>
        <w:t> </w:t>
      </w:r>
      <w:r>
        <w:rPr/>
        <w:t>justice</w:t>
      </w:r>
      <w:r>
        <w:rPr>
          <w:spacing w:val="-6"/>
        </w:rPr>
        <w:t> </w:t>
      </w:r>
      <w:r>
        <w:rPr/>
        <w:t>to</w:t>
      </w:r>
      <w:r>
        <w:rPr>
          <w:spacing w:val="-5"/>
        </w:rPr>
        <w:t> </w:t>
      </w:r>
      <w:r>
        <w:rPr/>
        <w:t>the</w:t>
      </w:r>
      <w:r>
        <w:rPr>
          <w:spacing w:val="-5"/>
        </w:rPr>
        <w:t> </w:t>
      </w:r>
      <w:r>
        <w:rPr/>
        <w:t>health</w:t>
      </w:r>
      <w:r>
        <w:rPr>
          <w:spacing w:val="-6"/>
        </w:rPr>
        <w:t> </w:t>
      </w:r>
      <w:r>
        <w:rPr/>
        <w:t>and</w:t>
      </w:r>
      <w:r>
        <w:rPr>
          <w:spacing w:val="-6"/>
        </w:rPr>
        <w:t> </w:t>
      </w:r>
      <w:r>
        <w:rPr/>
        <w:t>wellbeing</w:t>
      </w:r>
      <w:r>
        <w:rPr>
          <w:spacing w:val="-6"/>
        </w:rPr>
        <w:t> </w:t>
      </w:r>
      <w:r>
        <w:rPr/>
        <w:t>of</w:t>
      </w:r>
      <w:r>
        <w:rPr>
          <w:spacing w:val="-5"/>
        </w:rPr>
        <w:t> </w:t>
      </w:r>
      <w:r>
        <w:rPr/>
        <w:t>LGBTQ</w:t>
      </w:r>
      <w:r>
        <w:rPr>
          <w:spacing w:val="-5"/>
        </w:rPr>
        <w:t> </w:t>
      </w:r>
      <w:r>
        <w:rPr/>
        <w:t>youth</w:t>
      </w:r>
      <w:r>
        <w:rPr>
          <w:spacing w:val="-6"/>
        </w:rPr>
        <w:t> </w:t>
      </w:r>
      <w:r>
        <w:rPr/>
        <w:t>is</w:t>
      </w:r>
      <w:r>
        <w:rPr>
          <w:spacing w:val="-5"/>
        </w:rPr>
        <w:t> </w:t>
      </w:r>
      <w:r>
        <w:rPr/>
        <w:t>abundantly</w:t>
      </w:r>
      <w:r>
        <w:rPr>
          <w:spacing w:val="-5"/>
        </w:rPr>
        <w:t> </w:t>
      </w:r>
      <w:r>
        <w:rPr/>
        <w:t>clear. The specific needs of LGBTQ populations must be incorporated into environmental and environmental justice policy in Massachusetts, particularly during this time of exciting innovation in environmental policymaking under the leadership of Governor Maura Healey. More research examining the environmental</w:t>
      </w:r>
      <w:r>
        <w:rPr>
          <w:spacing w:val="-12"/>
        </w:rPr>
        <w:t> </w:t>
      </w:r>
      <w:r>
        <w:rPr/>
        <w:t>justice</w:t>
      </w:r>
      <w:r>
        <w:rPr>
          <w:spacing w:val="-11"/>
        </w:rPr>
        <w:t> </w:t>
      </w:r>
      <w:r>
        <w:rPr/>
        <w:t>needs</w:t>
      </w:r>
      <w:r>
        <w:rPr>
          <w:spacing w:val="-12"/>
        </w:rPr>
        <w:t> </w:t>
      </w:r>
      <w:r>
        <w:rPr/>
        <w:t>of</w:t>
      </w:r>
      <w:r>
        <w:rPr>
          <w:spacing w:val="-12"/>
        </w:rPr>
        <w:t> </w:t>
      </w:r>
      <w:r>
        <w:rPr/>
        <w:t>LGBTQ</w:t>
      </w:r>
      <w:r>
        <w:rPr>
          <w:spacing w:val="-11"/>
        </w:rPr>
        <w:t> </w:t>
      </w:r>
      <w:r>
        <w:rPr/>
        <w:t>communities</w:t>
      </w:r>
      <w:r>
        <w:rPr>
          <w:spacing w:val="-12"/>
        </w:rPr>
        <w:t> </w:t>
      </w:r>
      <w:r>
        <w:rPr/>
        <w:t>is</w:t>
      </w:r>
      <w:r>
        <w:rPr>
          <w:spacing w:val="-12"/>
        </w:rPr>
        <w:t> </w:t>
      </w:r>
      <w:r>
        <w:rPr/>
        <w:t>needed</w:t>
      </w:r>
      <w:r>
        <w:rPr>
          <w:spacing w:val="-11"/>
        </w:rPr>
        <w:t> </w:t>
      </w:r>
      <w:r>
        <w:rPr/>
        <w:t>to</w:t>
      </w:r>
      <w:r>
        <w:rPr>
          <w:spacing w:val="-11"/>
        </w:rPr>
        <w:t> </w:t>
      </w:r>
      <w:r>
        <w:rPr/>
        <w:t>better</w:t>
      </w:r>
      <w:r>
        <w:rPr>
          <w:spacing w:val="-11"/>
        </w:rPr>
        <w:t> </w:t>
      </w:r>
      <w:r>
        <w:rPr/>
        <w:t>understand</w:t>
      </w:r>
      <w:r>
        <w:rPr>
          <w:spacing w:val="-13"/>
        </w:rPr>
        <w:t> </w:t>
      </w:r>
      <w:r>
        <w:rPr/>
        <w:t>the</w:t>
      </w:r>
      <w:r>
        <w:rPr>
          <w:spacing w:val="-10"/>
        </w:rPr>
        <w:t> </w:t>
      </w:r>
      <w:r>
        <w:rPr/>
        <w:t>unique</w:t>
      </w:r>
      <w:r>
        <w:rPr>
          <w:spacing w:val="-13"/>
        </w:rPr>
        <w:t> </w:t>
      </w:r>
      <w:r>
        <w:rPr/>
        <w:t>disparities in environmental exposures and health outcomes that LGBTQ communities face. However, existing </w:t>
      </w:r>
      <w:r>
        <w:rPr>
          <w:spacing w:val="-2"/>
        </w:rPr>
        <w:t>research</w:t>
      </w:r>
      <w:r>
        <w:rPr>
          <w:spacing w:val="-3"/>
        </w:rPr>
        <w:t> </w:t>
      </w:r>
      <w:r>
        <w:rPr>
          <w:spacing w:val="-2"/>
        </w:rPr>
        <w:t>clearly</w:t>
      </w:r>
      <w:r>
        <w:rPr>
          <w:spacing w:val="-3"/>
        </w:rPr>
        <w:t> </w:t>
      </w:r>
      <w:r>
        <w:rPr>
          <w:spacing w:val="-2"/>
        </w:rPr>
        <w:t>shows</w:t>
      </w:r>
      <w:r>
        <w:rPr>
          <w:spacing w:val="-3"/>
        </w:rPr>
        <w:t> </w:t>
      </w:r>
      <w:r>
        <w:rPr>
          <w:spacing w:val="-2"/>
        </w:rPr>
        <w:t>that</w:t>
      </w:r>
      <w:r>
        <w:rPr>
          <w:spacing w:val="-3"/>
        </w:rPr>
        <w:t> </w:t>
      </w:r>
      <w:r>
        <w:rPr>
          <w:spacing w:val="-2"/>
        </w:rPr>
        <w:t>environmental</w:t>
      </w:r>
      <w:r>
        <w:rPr>
          <w:spacing w:val="-3"/>
        </w:rPr>
        <w:t> </w:t>
      </w:r>
      <w:r>
        <w:rPr>
          <w:spacing w:val="-2"/>
        </w:rPr>
        <w:t>justice</w:t>
      </w:r>
      <w:r>
        <w:rPr>
          <w:spacing w:val="-3"/>
        </w:rPr>
        <w:t> </w:t>
      </w:r>
      <w:r>
        <w:rPr>
          <w:spacing w:val="-2"/>
        </w:rPr>
        <w:t>is</w:t>
      </w:r>
      <w:r>
        <w:rPr>
          <w:spacing w:val="-3"/>
        </w:rPr>
        <w:t> </w:t>
      </w:r>
      <w:r>
        <w:rPr>
          <w:spacing w:val="-2"/>
        </w:rPr>
        <w:t>a key</w:t>
      </w:r>
      <w:r>
        <w:rPr>
          <w:spacing w:val="-3"/>
        </w:rPr>
        <w:t> </w:t>
      </w:r>
      <w:r>
        <w:rPr>
          <w:spacing w:val="-2"/>
        </w:rPr>
        <w:t>element of</w:t>
      </w:r>
      <w:r>
        <w:rPr>
          <w:spacing w:val="-3"/>
        </w:rPr>
        <w:t> </w:t>
      </w:r>
      <w:r>
        <w:rPr>
          <w:spacing w:val="-2"/>
        </w:rPr>
        <w:t>the multifaceted</w:t>
      </w:r>
      <w:r>
        <w:rPr>
          <w:spacing w:val="-3"/>
        </w:rPr>
        <w:t> </w:t>
      </w:r>
      <w:r>
        <w:rPr>
          <w:spacing w:val="-2"/>
        </w:rPr>
        <w:t>system of</w:t>
      </w:r>
      <w:r>
        <w:rPr>
          <w:spacing w:val="-3"/>
        </w:rPr>
        <w:t> </w:t>
      </w:r>
      <w:r>
        <w:rPr>
          <w:spacing w:val="-2"/>
        </w:rPr>
        <w:t>inequities </w:t>
      </w:r>
      <w:r>
        <w:rPr/>
        <w:t>that impact the health and</w:t>
      </w:r>
      <w:r>
        <w:rPr>
          <w:spacing w:val="-1"/>
        </w:rPr>
        <w:t> </w:t>
      </w:r>
      <w:r>
        <w:rPr/>
        <w:t>wellbeing</w:t>
      </w:r>
      <w:r>
        <w:rPr>
          <w:spacing w:val="-1"/>
        </w:rPr>
        <w:t> </w:t>
      </w:r>
      <w:r>
        <w:rPr/>
        <w:t>of LGBTQ youth, particularly LGBTQ youth</w:t>
      </w:r>
      <w:r>
        <w:rPr>
          <w:spacing w:val="-1"/>
        </w:rPr>
        <w:t> </w:t>
      </w:r>
      <w:r>
        <w:rPr/>
        <w:t>of color and</w:t>
      </w:r>
      <w:r>
        <w:rPr>
          <w:spacing w:val="-1"/>
        </w:rPr>
        <w:t> </w:t>
      </w:r>
      <w:r>
        <w:rPr/>
        <w:t>Indigenous, immigrant, disabled, and low-income LGBTQ youth. By embracing the needs of QTBIPOC youth, Massachusetts can be a leader in working towards environmental justice for all.</w:t>
      </w:r>
    </w:p>
    <w:p>
      <w:pPr>
        <w:spacing w:before="240"/>
        <w:ind w:left="323" w:right="0" w:firstLine="0"/>
        <w:jc w:val="both"/>
        <w:rPr>
          <w:sz w:val="28"/>
        </w:rPr>
      </w:pPr>
      <w:bookmarkStart w:name="Acknowledgments &amp; Citations" w:id="828"/>
      <w:bookmarkEnd w:id="828"/>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9"/>
        <w:rPr>
          <w:sz w:val="3"/>
        </w:rPr>
      </w:pPr>
      <w:r>
        <w:rPr/>
        <mc:AlternateContent>
          <mc:Choice Requires="wps">
            <w:drawing>
              <wp:anchor distT="0" distB="0" distL="0" distR="0" allowOverlap="1" layoutInCell="1" locked="0" behindDoc="1" simplePos="0" relativeHeight="487679488">
                <wp:simplePos x="0" y="0"/>
                <wp:positionH relativeFrom="page">
                  <wp:posOffset>897636</wp:posOffset>
                </wp:positionH>
                <wp:positionV relativeFrom="paragraph">
                  <wp:posOffset>44719</wp:posOffset>
                </wp:positionV>
                <wp:extent cx="5976620" cy="6350"/>
                <wp:effectExtent l="0" t="0" r="0" b="0"/>
                <wp:wrapTopAndBottom/>
                <wp:docPr id="486" name="Graphic 486"/>
                <wp:cNvGraphicFramePr>
                  <a:graphicFrameLocks/>
                </wp:cNvGraphicFramePr>
                <a:graphic>
                  <a:graphicData uri="http://schemas.microsoft.com/office/word/2010/wordprocessingShape">
                    <wps:wsp>
                      <wps:cNvPr id="486" name="Graphic 486"/>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1211pt;width:470.58pt;height:.48pt;mso-position-horizontal-relative:page;mso-position-vertical-relative:paragraph;z-index:-15636992;mso-wrap-distance-left:0;mso-wrap-distance-right:0" id="docshape391" filled="true" fillcolor="#4f81bc" stroked="false">
                <v:fill type="solid"/>
                <w10:wrap type="topAndBottom"/>
              </v:rect>
            </w:pict>
          </mc:Fallback>
        </mc:AlternateContent>
      </w:r>
    </w:p>
    <w:p>
      <w:pPr>
        <w:spacing w:line="276" w:lineRule="auto" w:before="241"/>
        <w:ind w:left="323" w:right="74" w:firstLine="0"/>
        <w:jc w:val="left"/>
        <w:rPr>
          <w:i/>
          <w:sz w:val="21"/>
        </w:rPr>
      </w:pPr>
      <w:r>
        <w:rPr>
          <w:i/>
          <w:sz w:val="21"/>
        </w:rPr>
        <w:t>Acknowledgments:</w:t>
      </w:r>
      <w:r>
        <w:rPr>
          <w:i/>
          <w:spacing w:val="-12"/>
          <w:sz w:val="21"/>
        </w:rPr>
        <w:t> </w:t>
      </w:r>
      <w:r>
        <w:rPr>
          <w:i/>
          <w:sz w:val="21"/>
        </w:rPr>
        <w:t>Leija</w:t>
      </w:r>
      <w:r>
        <w:rPr>
          <w:i/>
          <w:spacing w:val="-11"/>
          <w:sz w:val="21"/>
        </w:rPr>
        <w:t> </w:t>
      </w:r>
      <w:r>
        <w:rPr>
          <w:i/>
          <w:sz w:val="21"/>
        </w:rPr>
        <w:t>Helling,</w:t>
      </w:r>
      <w:r>
        <w:rPr>
          <w:i/>
          <w:spacing w:val="-11"/>
          <w:sz w:val="21"/>
        </w:rPr>
        <w:t> </w:t>
      </w:r>
      <w:r>
        <w:rPr>
          <w:i/>
          <w:sz w:val="21"/>
        </w:rPr>
        <w:t>lead</w:t>
      </w:r>
      <w:r>
        <w:rPr>
          <w:i/>
          <w:spacing w:val="-11"/>
          <w:sz w:val="21"/>
        </w:rPr>
        <w:t> </w:t>
      </w:r>
      <w:r>
        <w:rPr>
          <w:i/>
          <w:sz w:val="21"/>
        </w:rPr>
        <w:t>researcher</w:t>
      </w:r>
      <w:r>
        <w:rPr>
          <w:i/>
          <w:spacing w:val="-11"/>
          <w:sz w:val="21"/>
        </w:rPr>
        <w:t> </w:t>
      </w:r>
      <w:r>
        <w:rPr>
          <w:i/>
          <w:sz w:val="21"/>
        </w:rPr>
        <w:t>and</w:t>
      </w:r>
      <w:r>
        <w:rPr>
          <w:i/>
          <w:spacing w:val="-11"/>
          <w:sz w:val="21"/>
        </w:rPr>
        <w:t> </w:t>
      </w:r>
      <w:r>
        <w:rPr>
          <w:i/>
          <w:sz w:val="21"/>
        </w:rPr>
        <w:t>author</w:t>
      </w:r>
      <w:r>
        <w:rPr>
          <w:i/>
          <w:spacing w:val="-11"/>
          <w:sz w:val="21"/>
        </w:rPr>
        <w:t> </w:t>
      </w:r>
      <w:r>
        <w:rPr>
          <w:i/>
          <w:sz w:val="21"/>
        </w:rPr>
        <w:t>(2023);</w:t>
      </w:r>
      <w:r>
        <w:rPr>
          <w:i/>
          <w:spacing w:val="-11"/>
          <w:sz w:val="21"/>
        </w:rPr>
        <w:t> </w:t>
      </w:r>
      <w:r>
        <w:rPr>
          <w:i/>
          <w:sz w:val="21"/>
        </w:rPr>
        <w:t>Avery</w:t>
      </w:r>
      <w:r>
        <w:rPr>
          <w:i/>
          <w:spacing w:val="-12"/>
          <w:sz w:val="21"/>
        </w:rPr>
        <w:t> </w:t>
      </w:r>
      <w:r>
        <w:rPr>
          <w:i/>
          <w:sz w:val="21"/>
        </w:rPr>
        <w:t>Barry,</w:t>
      </w:r>
      <w:r>
        <w:rPr>
          <w:i/>
          <w:spacing w:val="-11"/>
          <w:sz w:val="21"/>
        </w:rPr>
        <w:t> </w:t>
      </w:r>
      <w:r>
        <w:rPr>
          <w:i/>
          <w:sz w:val="21"/>
        </w:rPr>
        <w:t>secondary</w:t>
      </w:r>
      <w:r>
        <w:rPr>
          <w:i/>
          <w:spacing w:val="-12"/>
          <w:sz w:val="21"/>
        </w:rPr>
        <w:t> </w:t>
      </w:r>
      <w:r>
        <w:rPr>
          <w:i/>
          <w:sz w:val="21"/>
        </w:rPr>
        <w:t>researcher</w:t>
      </w:r>
      <w:r>
        <w:rPr>
          <w:i/>
          <w:spacing w:val="-11"/>
          <w:sz w:val="21"/>
        </w:rPr>
        <w:t> </w:t>
      </w:r>
      <w:r>
        <w:rPr>
          <w:i/>
          <w:sz w:val="21"/>
        </w:rPr>
        <w:t>&amp;</w:t>
      </w:r>
      <w:r>
        <w:rPr>
          <w:i/>
          <w:spacing w:val="-12"/>
          <w:sz w:val="21"/>
        </w:rPr>
        <w:t> </w:t>
      </w:r>
      <w:r>
        <w:rPr>
          <w:i/>
          <w:sz w:val="21"/>
        </w:rPr>
        <w:t>editor</w:t>
      </w:r>
      <w:r>
        <w:rPr>
          <w:i/>
          <w:sz w:val="21"/>
        </w:rPr>
        <w:t> </w:t>
      </w:r>
      <w:r>
        <w:rPr>
          <w:i/>
          <w:spacing w:val="-2"/>
          <w:sz w:val="21"/>
        </w:rPr>
        <w:t>(2024)</w:t>
      </w:r>
    </w:p>
    <w:p>
      <w:pPr>
        <w:pStyle w:val="BodyText"/>
        <w:rPr>
          <w:i/>
          <w:sz w:val="21"/>
        </w:rPr>
      </w:pPr>
    </w:p>
    <w:p>
      <w:pPr>
        <w:pStyle w:val="BodyText"/>
        <w:spacing w:before="2"/>
        <w:rPr>
          <w:i/>
          <w:sz w:val="21"/>
        </w:rPr>
      </w:pPr>
    </w:p>
    <w:p>
      <w:pPr>
        <w:spacing w:line="247" w:lineRule="auto" w:before="0"/>
        <w:ind w:left="323" w:right="3068" w:firstLine="0"/>
        <w:jc w:val="left"/>
        <w:rPr>
          <w:sz w:val="18"/>
        </w:rPr>
      </w:pPr>
      <w:r>
        <w:rPr>
          <w:sz w:val="18"/>
          <w:vertAlign w:val="superscript"/>
        </w:rPr>
        <w:t>1</w:t>
      </w:r>
      <w:r>
        <w:rPr>
          <w:spacing w:val="-12"/>
          <w:sz w:val="18"/>
          <w:vertAlign w:val="baseline"/>
        </w:rPr>
        <w:t> </w:t>
      </w:r>
      <w:r>
        <w:rPr>
          <w:sz w:val="18"/>
          <w:vertAlign w:val="baseline"/>
        </w:rPr>
        <w:t>OEJECR</w:t>
      </w:r>
      <w:r>
        <w:rPr>
          <w:spacing w:val="-4"/>
          <w:sz w:val="18"/>
          <w:vertAlign w:val="baseline"/>
        </w:rPr>
        <w:t> </w:t>
      </w:r>
      <w:r>
        <w:rPr>
          <w:sz w:val="18"/>
          <w:vertAlign w:val="baseline"/>
        </w:rPr>
        <w:t>US</w:t>
      </w:r>
      <w:r>
        <w:rPr>
          <w:spacing w:val="-3"/>
          <w:sz w:val="18"/>
          <w:vertAlign w:val="baseline"/>
        </w:rPr>
        <w:t> </w:t>
      </w:r>
      <w:r>
        <w:rPr>
          <w:sz w:val="18"/>
          <w:vertAlign w:val="baseline"/>
        </w:rPr>
        <w:t>EPA,</w:t>
      </w:r>
      <w:r>
        <w:rPr>
          <w:spacing w:val="-4"/>
          <w:sz w:val="18"/>
          <w:vertAlign w:val="baseline"/>
        </w:rPr>
        <w:t> </w:t>
      </w:r>
      <w:r>
        <w:rPr>
          <w:sz w:val="18"/>
          <w:vertAlign w:val="baseline"/>
        </w:rPr>
        <w:t>“Environmental</w:t>
      </w:r>
      <w:r>
        <w:rPr>
          <w:spacing w:val="-4"/>
          <w:sz w:val="18"/>
          <w:vertAlign w:val="baseline"/>
        </w:rPr>
        <w:t> </w:t>
      </w:r>
      <w:r>
        <w:rPr>
          <w:sz w:val="18"/>
          <w:vertAlign w:val="baseline"/>
        </w:rPr>
        <w:t>Justice</w:t>
      </w:r>
      <w:r>
        <w:rPr>
          <w:spacing w:val="-3"/>
          <w:sz w:val="18"/>
          <w:vertAlign w:val="baseline"/>
        </w:rPr>
        <w:t> </w:t>
      </w:r>
      <w:r>
        <w:rPr>
          <w:sz w:val="18"/>
          <w:vertAlign w:val="baseline"/>
        </w:rPr>
        <w:t>Timeline,”</w:t>
      </w:r>
      <w:r>
        <w:rPr>
          <w:spacing w:val="-3"/>
          <w:sz w:val="18"/>
          <w:vertAlign w:val="baseline"/>
        </w:rPr>
        <w:t> </w:t>
      </w:r>
      <w:r>
        <w:rPr>
          <w:sz w:val="18"/>
          <w:vertAlign w:val="baseline"/>
        </w:rPr>
        <w:t>Collections</w:t>
      </w:r>
      <w:r>
        <w:rPr>
          <w:spacing w:val="-3"/>
          <w:sz w:val="18"/>
          <w:vertAlign w:val="baseline"/>
        </w:rPr>
        <w:t> </w:t>
      </w:r>
      <w:r>
        <w:rPr>
          <w:sz w:val="18"/>
          <w:vertAlign w:val="baseline"/>
        </w:rPr>
        <w:t>and</w:t>
      </w:r>
      <w:r>
        <w:rPr>
          <w:spacing w:val="-3"/>
          <w:sz w:val="18"/>
          <w:vertAlign w:val="baseline"/>
        </w:rPr>
        <w:t> </w:t>
      </w:r>
      <w:r>
        <w:rPr>
          <w:sz w:val="18"/>
          <w:vertAlign w:val="baseline"/>
        </w:rPr>
        <w:t>Lists,</w:t>
      </w:r>
      <w:r>
        <w:rPr>
          <w:spacing w:val="-4"/>
          <w:sz w:val="18"/>
          <w:vertAlign w:val="baseline"/>
        </w:rPr>
        <w:t> </w:t>
      </w:r>
      <w:r>
        <w:rPr>
          <w:sz w:val="18"/>
          <w:vertAlign w:val="baseline"/>
        </w:rPr>
        <w:t>April</w:t>
      </w:r>
      <w:r>
        <w:rPr>
          <w:spacing w:val="-4"/>
          <w:sz w:val="18"/>
          <w:vertAlign w:val="baseline"/>
        </w:rPr>
        <w:t> </w:t>
      </w:r>
      <w:r>
        <w:rPr>
          <w:sz w:val="18"/>
          <w:vertAlign w:val="baseline"/>
        </w:rPr>
        <w:t>15,</w:t>
      </w:r>
      <w:r>
        <w:rPr>
          <w:spacing w:val="-4"/>
          <w:sz w:val="18"/>
          <w:vertAlign w:val="baseline"/>
        </w:rPr>
        <w:t> </w:t>
      </w:r>
      <w:r>
        <w:rPr>
          <w:sz w:val="18"/>
          <w:vertAlign w:val="baseline"/>
        </w:rPr>
        <w:t>2015, </w:t>
      </w:r>
      <w:r>
        <w:rPr>
          <w:spacing w:val="-2"/>
          <w:sz w:val="18"/>
          <w:vertAlign w:val="baseline"/>
        </w:rPr>
        <w:t>https://</w:t>
      </w:r>
      <w:hyperlink r:id="rId620">
        <w:r>
          <w:rPr>
            <w:spacing w:val="-2"/>
            <w:sz w:val="18"/>
            <w:vertAlign w:val="baseline"/>
          </w:rPr>
          <w:t>www.epa.gov/environmentaljustice/environmental-justice-timeline.</w:t>
        </w:r>
      </w:hyperlink>
    </w:p>
    <w:p>
      <w:pPr>
        <w:spacing w:before="12"/>
        <w:ind w:left="323" w:right="0" w:firstLine="0"/>
        <w:jc w:val="left"/>
        <w:rPr>
          <w:sz w:val="18"/>
        </w:rPr>
      </w:pPr>
      <w:r>
        <w:rPr>
          <w:sz w:val="18"/>
          <w:vertAlign w:val="superscript"/>
        </w:rPr>
        <w:t>2</w:t>
      </w:r>
      <w:r>
        <w:rPr>
          <w:spacing w:val="-12"/>
          <w:sz w:val="18"/>
          <w:vertAlign w:val="baseline"/>
        </w:rPr>
        <w:t> </w:t>
      </w:r>
      <w:r>
        <w:rPr>
          <w:sz w:val="18"/>
          <w:vertAlign w:val="baseline"/>
        </w:rPr>
        <w:t>“LANDBACK</w:t>
      </w:r>
      <w:r>
        <w:rPr>
          <w:spacing w:val="-3"/>
          <w:sz w:val="18"/>
          <w:vertAlign w:val="baseline"/>
        </w:rPr>
        <w:t> </w:t>
      </w:r>
      <w:r>
        <w:rPr>
          <w:sz w:val="18"/>
          <w:vertAlign w:val="baseline"/>
        </w:rPr>
        <w:t>Manifesto,”</w:t>
      </w:r>
      <w:r>
        <w:rPr>
          <w:spacing w:val="-2"/>
          <w:sz w:val="18"/>
          <w:vertAlign w:val="baseline"/>
        </w:rPr>
        <w:t> </w:t>
      </w:r>
      <w:r>
        <w:rPr>
          <w:sz w:val="18"/>
          <w:vertAlign w:val="baseline"/>
        </w:rPr>
        <w:t>LANDBACK,</w:t>
      </w:r>
      <w:r>
        <w:rPr>
          <w:spacing w:val="-2"/>
          <w:sz w:val="18"/>
          <w:vertAlign w:val="baseline"/>
        </w:rPr>
        <w:t> </w:t>
      </w:r>
      <w:r>
        <w:rPr>
          <w:sz w:val="18"/>
          <w:vertAlign w:val="baseline"/>
        </w:rPr>
        <w:t>accessed</w:t>
      </w:r>
      <w:r>
        <w:rPr>
          <w:spacing w:val="-3"/>
          <w:sz w:val="18"/>
          <w:vertAlign w:val="baseline"/>
        </w:rPr>
        <w:t> </w:t>
      </w:r>
      <w:r>
        <w:rPr>
          <w:sz w:val="18"/>
          <w:vertAlign w:val="baseline"/>
        </w:rPr>
        <w:t>April</w:t>
      </w:r>
      <w:r>
        <w:rPr>
          <w:spacing w:val="-2"/>
          <w:sz w:val="18"/>
          <w:vertAlign w:val="baseline"/>
        </w:rPr>
        <w:t> </w:t>
      </w:r>
      <w:r>
        <w:rPr>
          <w:sz w:val="18"/>
          <w:vertAlign w:val="baseline"/>
        </w:rPr>
        <w:t>2,</w:t>
      </w:r>
      <w:r>
        <w:rPr>
          <w:spacing w:val="-3"/>
          <w:sz w:val="18"/>
          <w:vertAlign w:val="baseline"/>
        </w:rPr>
        <w:t> </w:t>
      </w:r>
      <w:r>
        <w:rPr>
          <w:sz w:val="18"/>
          <w:vertAlign w:val="baseline"/>
        </w:rPr>
        <w:t>2023,</w:t>
      </w:r>
      <w:r>
        <w:rPr>
          <w:spacing w:val="-2"/>
          <w:sz w:val="18"/>
          <w:vertAlign w:val="baseline"/>
        </w:rPr>
        <w:t> https://landback.org/manifesto/.</w:t>
      </w:r>
    </w:p>
    <w:p>
      <w:pPr>
        <w:spacing w:before="23"/>
        <w:ind w:left="323" w:right="0" w:firstLine="0"/>
        <w:jc w:val="left"/>
        <w:rPr>
          <w:sz w:val="18"/>
        </w:rPr>
      </w:pPr>
      <w:r>
        <w:rPr>
          <w:sz w:val="18"/>
          <w:vertAlign w:val="superscript"/>
        </w:rPr>
        <w:t>3</w:t>
      </w:r>
      <w:r>
        <w:rPr>
          <w:spacing w:val="-12"/>
          <w:sz w:val="18"/>
          <w:vertAlign w:val="baseline"/>
        </w:rPr>
        <w:t> </w:t>
      </w:r>
      <w:r>
        <w:rPr>
          <w:sz w:val="18"/>
          <w:vertAlign w:val="baseline"/>
        </w:rPr>
        <w:t>“About</w:t>
      </w:r>
      <w:r>
        <w:rPr>
          <w:spacing w:val="-5"/>
          <w:sz w:val="18"/>
          <w:vertAlign w:val="baseline"/>
        </w:rPr>
        <w:t> </w:t>
      </w:r>
      <w:r>
        <w:rPr>
          <w:sz w:val="18"/>
          <w:vertAlign w:val="baseline"/>
        </w:rPr>
        <w:t>|</w:t>
      </w:r>
      <w:r>
        <w:rPr>
          <w:spacing w:val="-3"/>
          <w:sz w:val="18"/>
          <w:vertAlign w:val="baseline"/>
        </w:rPr>
        <w:t> </w:t>
      </w:r>
      <w:r>
        <w:rPr>
          <w:sz w:val="18"/>
          <w:vertAlign w:val="baseline"/>
        </w:rPr>
        <w:t>Indigenous</w:t>
      </w:r>
      <w:r>
        <w:rPr>
          <w:spacing w:val="-2"/>
          <w:sz w:val="18"/>
          <w:vertAlign w:val="baseline"/>
        </w:rPr>
        <w:t> </w:t>
      </w:r>
      <w:r>
        <w:rPr>
          <w:sz w:val="18"/>
          <w:vertAlign w:val="baseline"/>
        </w:rPr>
        <w:t>Environmental</w:t>
      </w:r>
      <w:r>
        <w:rPr>
          <w:spacing w:val="-3"/>
          <w:sz w:val="18"/>
          <w:vertAlign w:val="baseline"/>
        </w:rPr>
        <w:t> </w:t>
      </w:r>
      <w:r>
        <w:rPr>
          <w:sz w:val="18"/>
          <w:vertAlign w:val="baseline"/>
        </w:rPr>
        <w:t>Network,”</w:t>
      </w:r>
      <w:r>
        <w:rPr>
          <w:spacing w:val="-3"/>
          <w:sz w:val="18"/>
          <w:vertAlign w:val="baseline"/>
        </w:rPr>
        <w:t> </w:t>
      </w:r>
      <w:r>
        <w:rPr>
          <w:sz w:val="18"/>
          <w:vertAlign w:val="baseline"/>
        </w:rPr>
        <w:t>December</w:t>
      </w:r>
      <w:r>
        <w:rPr>
          <w:spacing w:val="-3"/>
          <w:sz w:val="18"/>
          <w:vertAlign w:val="baseline"/>
        </w:rPr>
        <w:t> </w:t>
      </w:r>
      <w:r>
        <w:rPr>
          <w:sz w:val="18"/>
          <w:vertAlign w:val="baseline"/>
        </w:rPr>
        <w:t>30,</w:t>
      </w:r>
      <w:r>
        <w:rPr>
          <w:spacing w:val="-3"/>
          <w:sz w:val="18"/>
          <w:vertAlign w:val="baseline"/>
        </w:rPr>
        <w:t> </w:t>
      </w:r>
      <w:r>
        <w:rPr>
          <w:sz w:val="18"/>
          <w:vertAlign w:val="baseline"/>
        </w:rPr>
        <w:t>2012,</w:t>
      </w:r>
      <w:r>
        <w:rPr>
          <w:spacing w:val="-3"/>
          <w:sz w:val="18"/>
          <w:vertAlign w:val="baseline"/>
        </w:rPr>
        <w:t> </w:t>
      </w:r>
      <w:r>
        <w:rPr>
          <w:spacing w:val="-2"/>
          <w:sz w:val="18"/>
          <w:vertAlign w:val="baseline"/>
        </w:rPr>
        <w:t>https://</w:t>
      </w:r>
      <w:hyperlink r:id="rId621">
        <w:r>
          <w:rPr>
            <w:spacing w:val="-2"/>
            <w:sz w:val="18"/>
            <w:vertAlign w:val="baseline"/>
          </w:rPr>
          <w:t>www.ienearth.org/about/.</w:t>
        </w:r>
      </w:hyperlink>
    </w:p>
    <w:p>
      <w:pPr>
        <w:spacing w:line="242" w:lineRule="auto" w:before="26"/>
        <w:ind w:left="323" w:right="393" w:firstLine="0"/>
        <w:jc w:val="left"/>
        <w:rPr>
          <w:sz w:val="18"/>
        </w:rPr>
      </w:pPr>
      <w:r>
        <w:rPr>
          <w:sz w:val="18"/>
          <w:vertAlign w:val="superscript"/>
        </w:rPr>
        <w:t>4</w:t>
      </w:r>
      <w:r>
        <w:rPr>
          <w:spacing w:val="-10"/>
          <w:sz w:val="18"/>
          <w:vertAlign w:val="baseline"/>
        </w:rPr>
        <w:t> </w:t>
      </w:r>
      <w:r>
        <w:rPr>
          <w:sz w:val="18"/>
          <w:vertAlign w:val="baseline"/>
        </w:rPr>
        <w:t>Eve Zuckoff, “On Martha’s Vineyard, Tribal Elders Work to Restore Land to Its Pre-Colonial State,” </w:t>
      </w:r>
      <w:r>
        <w:rPr>
          <w:i/>
          <w:sz w:val="18"/>
          <w:vertAlign w:val="baseline"/>
        </w:rPr>
        <w:t>NPR</w:t>
      </w:r>
      <w:r>
        <w:rPr>
          <w:sz w:val="18"/>
          <w:vertAlign w:val="baseline"/>
        </w:rPr>
        <w:t>, June 29, 2022, sec. National,</w:t>
      </w:r>
      <w:r>
        <w:rPr>
          <w:spacing w:val="-11"/>
          <w:sz w:val="18"/>
          <w:vertAlign w:val="baseline"/>
        </w:rPr>
        <w:t> </w:t>
      </w:r>
      <w:r>
        <w:rPr>
          <w:sz w:val="18"/>
          <w:vertAlign w:val="baseline"/>
        </w:rPr>
        <w:t>https://</w:t>
      </w:r>
      <w:hyperlink r:id="rId622">
        <w:r>
          <w:rPr>
            <w:sz w:val="18"/>
            <w:vertAlign w:val="baseline"/>
          </w:rPr>
          <w:t>www.npr.org/2022/06/29/1106404838/on-marthas-vineyard-tribal-elders-work-to-restore-land-to-its-pre-</w:t>
        </w:r>
      </w:hyperlink>
      <w:r>
        <w:rPr>
          <w:sz w:val="18"/>
          <w:vertAlign w:val="baseline"/>
        </w:rPr>
        <w:t> </w:t>
      </w:r>
      <w:r>
        <w:rPr>
          <w:spacing w:val="-2"/>
          <w:sz w:val="18"/>
          <w:vertAlign w:val="baseline"/>
        </w:rPr>
        <w:t>colonial-state.</w:t>
      </w:r>
    </w:p>
    <w:p>
      <w:pPr>
        <w:spacing w:line="247" w:lineRule="auto" w:before="17"/>
        <w:ind w:left="323" w:right="1447" w:firstLine="0"/>
        <w:jc w:val="left"/>
        <w:rPr>
          <w:sz w:val="18"/>
        </w:rPr>
      </w:pPr>
      <w:r>
        <w:rPr>
          <w:sz w:val="18"/>
          <w:vertAlign w:val="superscript"/>
        </w:rPr>
        <w:t>5</w:t>
      </w:r>
      <w:r>
        <w:rPr>
          <w:spacing w:val="-6"/>
          <w:sz w:val="18"/>
          <w:vertAlign w:val="baseline"/>
        </w:rPr>
        <w:t> </w:t>
      </w:r>
      <w:r>
        <w:rPr>
          <w:sz w:val="18"/>
          <w:vertAlign w:val="baseline"/>
        </w:rPr>
        <w:t>Dina Gilio-Whitaker, “Environmental Justice Is Only the Beginning,” </w:t>
      </w:r>
      <w:r>
        <w:rPr>
          <w:i/>
          <w:sz w:val="18"/>
          <w:vertAlign w:val="baseline"/>
        </w:rPr>
        <w:t>High Country News</w:t>
      </w:r>
      <w:r>
        <w:rPr>
          <w:sz w:val="18"/>
          <w:vertAlign w:val="baseline"/>
        </w:rPr>
        <w:t>, July 1, 2022, </w:t>
      </w:r>
      <w:r>
        <w:rPr>
          <w:spacing w:val="-2"/>
          <w:sz w:val="18"/>
          <w:vertAlign w:val="baseline"/>
        </w:rPr>
        <w:t>https://</w:t>
      </w:r>
      <w:hyperlink r:id="rId623">
        <w:r>
          <w:rPr>
            <w:spacing w:val="-2"/>
            <w:sz w:val="18"/>
            <w:vertAlign w:val="baseline"/>
          </w:rPr>
          <w:t>www.hcn.org/issues/54.7/indigenous-affairs-perspective-environmental-justice-is-only-the-beginning.</w:t>
        </w:r>
      </w:hyperlink>
    </w:p>
    <w:p>
      <w:pPr>
        <w:spacing w:line="247" w:lineRule="auto" w:before="11"/>
        <w:ind w:left="323" w:right="199" w:hanging="1"/>
        <w:jc w:val="left"/>
        <w:rPr>
          <w:sz w:val="18"/>
        </w:rPr>
      </w:pPr>
      <w:r>
        <w:rPr>
          <w:sz w:val="18"/>
          <w:vertAlign w:val="superscript"/>
        </w:rPr>
        <w:t>6</w:t>
      </w:r>
      <w:r>
        <w:rPr>
          <w:spacing w:val="-12"/>
          <w:sz w:val="18"/>
          <w:vertAlign w:val="baseline"/>
        </w:rPr>
        <w:t> </w:t>
      </w:r>
      <w:r>
        <w:rPr>
          <w:sz w:val="18"/>
          <w:vertAlign w:val="baseline"/>
        </w:rPr>
        <w:t>“Environmental</w:t>
      </w:r>
      <w:r>
        <w:rPr>
          <w:spacing w:val="-6"/>
          <w:sz w:val="18"/>
          <w:vertAlign w:val="baseline"/>
        </w:rPr>
        <w:t> </w:t>
      </w:r>
      <w:r>
        <w:rPr>
          <w:sz w:val="18"/>
          <w:vertAlign w:val="baseline"/>
        </w:rPr>
        <w:t>Justice</w:t>
      </w:r>
      <w:r>
        <w:rPr>
          <w:spacing w:val="-3"/>
          <w:sz w:val="18"/>
          <w:vertAlign w:val="baseline"/>
        </w:rPr>
        <w:t> </w:t>
      </w:r>
      <w:r>
        <w:rPr>
          <w:sz w:val="18"/>
          <w:vertAlign w:val="baseline"/>
        </w:rPr>
        <w:t>Policy</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February</w:t>
      </w:r>
      <w:r>
        <w:rPr>
          <w:spacing w:val="-3"/>
          <w:sz w:val="18"/>
          <w:vertAlign w:val="baseline"/>
        </w:rPr>
        <w:t> </w:t>
      </w:r>
      <w:r>
        <w:rPr>
          <w:sz w:val="18"/>
          <w:vertAlign w:val="baseline"/>
        </w:rPr>
        <w:t>5,</w:t>
      </w:r>
      <w:r>
        <w:rPr>
          <w:spacing w:val="-4"/>
          <w:sz w:val="18"/>
          <w:vertAlign w:val="baseline"/>
        </w:rPr>
        <w:t> </w:t>
      </w:r>
      <w:r>
        <w:rPr>
          <w:sz w:val="18"/>
          <w:vertAlign w:val="baseline"/>
        </w:rPr>
        <w:t>2023,</w:t>
      </w:r>
      <w:r>
        <w:rPr>
          <w:spacing w:val="-4"/>
          <w:sz w:val="18"/>
          <w:vertAlign w:val="baseline"/>
        </w:rPr>
        <w:t> </w:t>
      </w:r>
      <w:r>
        <w:rPr>
          <w:sz w:val="18"/>
          <w:vertAlign w:val="baseline"/>
        </w:rPr>
        <w:t>https://</w:t>
      </w:r>
      <w:hyperlink r:id="rId624">
        <w:r>
          <w:rPr>
            <w:sz w:val="18"/>
            <w:vertAlign w:val="baseline"/>
          </w:rPr>
          <w:t>www.mass.gov/service-details/environmental-</w:t>
        </w:r>
      </w:hyperlink>
      <w:r>
        <w:rPr>
          <w:sz w:val="18"/>
          <w:vertAlign w:val="baseline"/>
        </w:rPr>
        <w:t> </w:t>
      </w:r>
      <w:r>
        <w:rPr>
          <w:spacing w:val="-2"/>
          <w:sz w:val="18"/>
          <w:vertAlign w:val="baseline"/>
        </w:rPr>
        <w:t>justice-policy.</w:t>
      </w:r>
    </w:p>
    <w:p>
      <w:pPr>
        <w:spacing w:line="247" w:lineRule="auto" w:before="11"/>
        <w:ind w:left="323" w:right="1262" w:hanging="1"/>
        <w:jc w:val="left"/>
        <w:rPr>
          <w:sz w:val="18"/>
        </w:rPr>
      </w:pPr>
      <w:r>
        <w:rPr>
          <w:sz w:val="18"/>
          <w:vertAlign w:val="superscript"/>
        </w:rPr>
        <w:t>7</w:t>
      </w:r>
      <w:r>
        <w:rPr>
          <w:spacing w:val="-12"/>
          <w:sz w:val="18"/>
          <w:vertAlign w:val="baseline"/>
        </w:rPr>
        <w:t> </w:t>
      </w:r>
      <w:r>
        <w:rPr>
          <w:sz w:val="18"/>
          <w:vertAlign w:val="baseline"/>
        </w:rPr>
        <w:t>“Objectives</w:t>
      </w:r>
      <w:r>
        <w:rPr>
          <w:spacing w:val="-5"/>
          <w:sz w:val="18"/>
          <w:vertAlign w:val="baseline"/>
        </w:rPr>
        <w:t> </w:t>
      </w:r>
      <w:r>
        <w:rPr>
          <w:sz w:val="18"/>
          <w:vertAlign w:val="baseline"/>
        </w:rPr>
        <w:t>of</w:t>
      </w:r>
      <w:r>
        <w:rPr>
          <w:spacing w:val="-3"/>
          <w:sz w:val="18"/>
          <w:vertAlign w:val="baseline"/>
        </w:rPr>
        <w:t> </w:t>
      </w:r>
      <w:r>
        <w:rPr>
          <w:sz w:val="18"/>
          <w:vertAlign w:val="baseline"/>
        </w:rPr>
        <w:t>Environmental</w:t>
      </w:r>
      <w:r>
        <w:rPr>
          <w:spacing w:val="-4"/>
          <w:sz w:val="18"/>
          <w:vertAlign w:val="baseline"/>
        </w:rPr>
        <w:t> </w:t>
      </w:r>
      <w:r>
        <w:rPr>
          <w:sz w:val="18"/>
          <w:vertAlign w:val="baseline"/>
        </w:rPr>
        <w:t>Justice</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February</w:t>
      </w:r>
      <w:r>
        <w:rPr>
          <w:spacing w:val="-3"/>
          <w:sz w:val="18"/>
          <w:vertAlign w:val="baseline"/>
        </w:rPr>
        <w:t> </w:t>
      </w:r>
      <w:r>
        <w:rPr>
          <w:sz w:val="18"/>
          <w:vertAlign w:val="baseline"/>
        </w:rPr>
        <w:t>17,</w:t>
      </w:r>
      <w:r>
        <w:rPr>
          <w:spacing w:val="-4"/>
          <w:sz w:val="18"/>
          <w:vertAlign w:val="baseline"/>
        </w:rPr>
        <w:t> </w:t>
      </w:r>
      <w:r>
        <w:rPr>
          <w:sz w:val="18"/>
          <w:vertAlign w:val="baseline"/>
        </w:rPr>
        <w:t>2023,</w:t>
      </w:r>
      <w:r>
        <w:rPr>
          <w:spacing w:val="-3"/>
          <w:sz w:val="18"/>
          <w:vertAlign w:val="baseline"/>
        </w:rPr>
        <w:t> </w:t>
      </w:r>
      <w:r>
        <w:rPr>
          <w:sz w:val="18"/>
          <w:vertAlign w:val="baseline"/>
        </w:rPr>
        <w:t>https://</w:t>
      </w:r>
      <w:hyperlink r:id="rId625">
        <w:r>
          <w:rPr>
            <w:sz w:val="18"/>
            <w:vertAlign w:val="baseline"/>
          </w:rPr>
          <w:t>www.mass.gov/service-</w:t>
        </w:r>
      </w:hyperlink>
      <w:r>
        <w:rPr>
          <w:sz w:val="18"/>
          <w:vertAlign w:val="baseline"/>
        </w:rPr>
        <w:t> </w:t>
      </w:r>
      <w:r>
        <w:rPr>
          <w:spacing w:val="-2"/>
          <w:sz w:val="18"/>
          <w:vertAlign w:val="baseline"/>
        </w:rPr>
        <w:t>details/objectives-of-environmental-justice.</w:t>
      </w:r>
    </w:p>
    <w:p>
      <w:pPr>
        <w:spacing w:line="247" w:lineRule="auto" w:before="12"/>
        <w:ind w:left="323" w:right="278" w:hanging="1"/>
        <w:jc w:val="left"/>
        <w:rPr>
          <w:sz w:val="18"/>
        </w:rPr>
      </w:pPr>
      <w:r>
        <w:rPr>
          <w:sz w:val="18"/>
          <w:vertAlign w:val="superscript"/>
        </w:rPr>
        <w:t>8</w:t>
      </w:r>
      <w:r>
        <w:rPr>
          <w:spacing w:val="-12"/>
          <w:sz w:val="18"/>
          <w:vertAlign w:val="baseline"/>
        </w:rPr>
        <w:t> </w:t>
      </w:r>
      <w:r>
        <w:rPr>
          <w:sz w:val="18"/>
          <w:vertAlign w:val="baseline"/>
        </w:rPr>
        <w:t>“Environmental</w:t>
      </w:r>
      <w:r>
        <w:rPr>
          <w:spacing w:val="-6"/>
          <w:sz w:val="18"/>
          <w:vertAlign w:val="baseline"/>
        </w:rPr>
        <w:t> </w:t>
      </w:r>
      <w:r>
        <w:rPr>
          <w:sz w:val="18"/>
          <w:vertAlign w:val="baseline"/>
        </w:rPr>
        <w:t>Justice</w:t>
      </w:r>
      <w:r>
        <w:rPr>
          <w:spacing w:val="-3"/>
          <w:sz w:val="18"/>
          <w:vertAlign w:val="baseline"/>
        </w:rPr>
        <w:t> </w:t>
      </w:r>
      <w:r>
        <w:rPr>
          <w:sz w:val="18"/>
          <w:vertAlign w:val="baseline"/>
        </w:rPr>
        <w:t>Populations</w:t>
      </w:r>
      <w:r>
        <w:rPr>
          <w:spacing w:val="-3"/>
          <w:sz w:val="18"/>
          <w:vertAlign w:val="baseline"/>
        </w:rPr>
        <w:t> </w:t>
      </w:r>
      <w:r>
        <w:rPr>
          <w:sz w:val="18"/>
          <w:vertAlign w:val="baseline"/>
        </w:rPr>
        <w:t>in</w:t>
      </w:r>
      <w:r>
        <w:rPr>
          <w:spacing w:val="-3"/>
          <w:sz w:val="18"/>
          <w:vertAlign w:val="baseline"/>
        </w:rPr>
        <w:t> </w:t>
      </w:r>
      <w:r>
        <w:rPr>
          <w:sz w:val="18"/>
          <w:vertAlign w:val="baseline"/>
        </w:rPr>
        <w:t>Massachusetts</w:t>
      </w:r>
      <w:r>
        <w:rPr>
          <w:spacing w:val="-3"/>
          <w:sz w:val="18"/>
          <w:vertAlign w:val="baseline"/>
        </w:rPr>
        <w:t> </w:t>
      </w:r>
      <w:r>
        <w:rPr>
          <w:sz w:val="18"/>
          <w:vertAlign w:val="baseline"/>
        </w:rPr>
        <w:t>|</w:t>
      </w:r>
      <w:r>
        <w:rPr>
          <w:spacing w:val="-3"/>
          <w:sz w:val="18"/>
          <w:vertAlign w:val="baseline"/>
        </w:rPr>
        <w:t> </w:t>
      </w:r>
      <w:r>
        <w:rPr>
          <w:sz w:val="18"/>
          <w:vertAlign w:val="baseline"/>
        </w:rPr>
        <w:t>Mass.Gov,”</w:t>
      </w:r>
      <w:r>
        <w:rPr>
          <w:spacing w:val="-3"/>
          <w:sz w:val="18"/>
          <w:vertAlign w:val="baseline"/>
        </w:rPr>
        <w:t> </w:t>
      </w:r>
      <w:r>
        <w:rPr>
          <w:sz w:val="18"/>
          <w:vertAlign w:val="baseline"/>
        </w:rPr>
        <w:t>accessed</w:t>
      </w:r>
      <w:r>
        <w:rPr>
          <w:spacing w:val="-3"/>
          <w:sz w:val="18"/>
          <w:vertAlign w:val="baseline"/>
        </w:rPr>
        <w:t> </w:t>
      </w:r>
      <w:r>
        <w:rPr>
          <w:sz w:val="18"/>
          <w:vertAlign w:val="baseline"/>
        </w:rPr>
        <w:t>February</w:t>
      </w:r>
      <w:r>
        <w:rPr>
          <w:spacing w:val="-3"/>
          <w:sz w:val="18"/>
          <w:vertAlign w:val="baseline"/>
        </w:rPr>
        <w:t> </w:t>
      </w:r>
      <w:r>
        <w:rPr>
          <w:sz w:val="18"/>
          <w:vertAlign w:val="baseline"/>
        </w:rPr>
        <w:t>17,</w:t>
      </w:r>
      <w:r>
        <w:rPr>
          <w:spacing w:val="-4"/>
          <w:sz w:val="18"/>
          <w:vertAlign w:val="baseline"/>
        </w:rPr>
        <w:t> </w:t>
      </w:r>
      <w:r>
        <w:rPr>
          <w:sz w:val="18"/>
          <w:vertAlign w:val="baseline"/>
        </w:rPr>
        <w:t>2023,</w:t>
      </w:r>
      <w:r>
        <w:rPr>
          <w:spacing w:val="-3"/>
          <w:sz w:val="18"/>
          <w:vertAlign w:val="baseline"/>
        </w:rPr>
        <w:t> </w:t>
      </w:r>
      <w:r>
        <w:rPr>
          <w:sz w:val="18"/>
          <w:vertAlign w:val="baseline"/>
        </w:rPr>
        <w:t>https://</w:t>
      </w:r>
      <w:hyperlink r:id="rId163">
        <w:r>
          <w:rPr>
            <w:sz w:val="18"/>
            <w:vertAlign w:val="baseline"/>
          </w:rPr>
          <w:t>www.mass.gov/info-</w:t>
        </w:r>
      </w:hyperlink>
      <w:r>
        <w:rPr>
          <w:sz w:val="18"/>
          <w:vertAlign w:val="baseline"/>
        </w:rPr>
        <w:t> </w:t>
      </w:r>
      <w:r>
        <w:rPr>
          <w:spacing w:val="-2"/>
          <w:sz w:val="18"/>
          <w:vertAlign w:val="baseline"/>
        </w:rPr>
        <w:t>details/environmental-justice-populations-in-massachusetts.</w:t>
      </w:r>
    </w:p>
    <w:p>
      <w:pPr>
        <w:spacing w:before="11"/>
        <w:ind w:left="323" w:right="0" w:firstLine="0"/>
        <w:jc w:val="left"/>
        <w:rPr>
          <w:sz w:val="18"/>
        </w:rPr>
      </w:pPr>
      <w:r>
        <w:rPr>
          <w:sz w:val="18"/>
          <w:vertAlign w:val="superscript"/>
        </w:rPr>
        <w:t>9</w:t>
      </w:r>
      <w:r>
        <w:rPr>
          <w:spacing w:val="-12"/>
          <w:sz w:val="18"/>
          <w:vertAlign w:val="baseline"/>
        </w:rPr>
        <w:t> </w:t>
      </w:r>
      <w:r>
        <w:rPr>
          <w:sz w:val="18"/>
          <w:vertAlign w:val="baseline"/>
        </w:rPr>
        <w:t>“Objectives</w:t>
      </w:r>
      <w:r>
        <w:rPr>
          <w:spacing w:val="-3"/>
          <w:sz w:val="18"/>
          <w:vertAlign w:val="baseline"/>
        </w:rPr>
        <w:t> </w:t>
      </w:r>
      <w:r>
        <w:rPr>
          <w:sz w:val="18"/>
          <w:vertAlign w:val="baseline"/>
        </w:rPr>
        <w:t>of</w:t>
      </w:r>
      <w:r>
        <w:rPr>
          <w:spacing w:val="-2"/>
          <w:sz w:val="18"/>
          <w:vertAlign w:val="baseline"/>
        </w:rPr>
        <w:t> </w:t>
      </w:r>
      <w:r>
        <w:rPr>
          <w:sz w:val="18"/>
          <w:vertAlign w:val="baseline"/>
        </w:rPr>
        <w:t>Environmental</w:t>
      </w:r>
      <w:r>
        <w:rPr>
          <w:spacing w:val="-2"/>
          <w:sz w:val="18"/>
          <w:vertAlign w:val="baseline"/>
        </w:rPr>
        <w:t> </w:t>
      </w:r>
      <w:r>
        <w:rPr>
          <w:sz w:val="18"/>
          <w:vertAlign w:val="baseline"/>
        </w:rPr>
        <w:t>Justice</w:t>
      </w:r>
      <w:r>
        <w:rPr>
          <w:spacing w:val="-2"/>
          <w:sz w:val="18"/>
          <w:vertAlign w:val="baseline"/>
        </w:rPr>
        <w:t> </w:t>
      </w:r>
      <w:r>
        <w:rPr>
          <w:sz w:val="18"/>
          <w:vertAlign w:val="baseline"/>
        </w:rPr>
        <w:t>|</w:t>
      </w:r>
      <w:r>
        <w:rPr>
          <w:spacing w:val="-1"/>
          <w:sz w:val="18"/>
          <w:vertAlign w:val="baseline"/>
        </w:rPr>
        <w:t> </w:t>
      </w:r>
      <w:r>
        <w:rPr>
          <w:spacing w:val="-2"/>
          <w:sz w:val="18"/>
          <w:vertAlign w:val="baseline"/>
        </w:rPr>
        <w:t>Mass.Gov.”</w:t>
      </w:r>
    </w:p>
    <w:p>
      <w:pPr>
        <w:spacing w:line="244" w:lineRule="auto" w:before="24"/>
        <w:ind w:left="323" w:right="278" w:hanging="1"/>
        <w:jc w:val="left"/>
        <w:rPr>
          <w:sz w:val="18"/>
        </w:rPr>
      </w:pPr>
      <w:r>
        <w:rPr>
          <w:sz w:val="18"/>
          <w:vertAlign w:val="superscript"/>
        </w:rPr>
        <w:t>10</w:t>
      </w:r>
      <w:r>
        <w:rPr>
          <w:spacing w:val="-12"/>
          <w:sz w:val="18"/>
          <w:vertAlign w:val="baseline"/>
        </w:rPr>
        <w:t> </w:t>
      </w:r>
      <w:r>
        <w:rPr>
          <w:sz w:val="18"/>
          <w:vertAlign w:val="baseline"/>
        </w:rPr>
        <w:t>Timothy</w:t>
      </w:r>
      <w:r>
        <w:rPr>
          <w:spacing w:val="-3"/>
          <w:sz w:val="18"/>
          <w:vertAlign w:val="baseline"/>
        </w:rPr>
        <w:t> </w:t>
      </w:r>
      <w:r>
        <w:rPr>
          <w:sz w:val="18"/>
          <w:vertAlign w:val="baseline"/>
        </w:rPr>
        <w:t>W.</w:t>
      </w:r>
      <w:r>
        <w:rPr>
          <w:spacing w:val="-2"/>
          <w:sz w:val="18"/>
          <w:vertAlign w:val="baseline"/>
        </w:rPr>
        <w:t> </w:t>
      </w:r>
      <w:r>
        <w:rPr>
          <w:sz w:val="18"/>
          <w:vertAlign w:val="baseline"/>
        </w:rPr>
        <w:t>Collins,</w:t>
      </w:r>
      <w:r>
        <w:rPr>
          <w:spacing w:val="-3"/>
          <w:sz w:val="18"/>
          <w:vertAlign w:val="baseline"/>
        </w:rPr>
        <w:t> </w:t>
      </w:r>
      <w:r>
        <w:rPr>
          <w:sz w:val="18"/>
          <w:vertAlign w:val="baseline"/>
        </w:rPr>
        <w:t>Sara</w:t>
      </w:r>
      <w:r>
        <w:rPr>
          <w:spacing w:val="-2"/>
          <w:sz w:val="18"/>
          <w:vertAlign w:val="baseline"/>
        </w:rPr>
        <w:t> </w:t>
      </w:r>
      <w:r>
        <w:rPr>
          <w:sz w:val="18"/>
          <w:vertAlign w:val="baseline"/>
        </w:rPr>
        <w:t>E.</w:t>
      </w:r>
      <w:r>
        <w:rPr>
          <w:spacing w:val="-2"/>
          <w:sz w:val="18"/>
          <w:vertAlign w:val="baseline"/>
        </w:rPr>
        <w:t> </w:t>
      </w:r>
      <w:r>
        <w:rPr>
          <w:sz w:val="18"/>
          <w:vertAlign w:val="baseline"/>
        </w:rPr>
        <w:t>Grineski,</w:t>
      </w:r>
      <w:r>
        <w:rPr>
          <w:spacing w:val="-3"/>
          <w:sz w:val="18"/>
          <w:vertAlign w:val="baseline"/>
        </w:rPr>
        <w:t> </w:t>
      </w:r>
      <w:r>
        <w:rPr>
          <w:sz w:val="18"/>
          <w:vertAlign w:val="baseline"/>
        </w:rPr>
        <w:t>and</w:t>
      </w:r>
      <w:r>
        <w:rPr>
          <w:spacing w:val="-2"/>
          <w:sz w:val="18"/>
          <w:vertAlign w:val="baseline"/>
        </w:rPr>
        <w:t> </w:t>
      </w:r>
      <w:r>
        <w:rPr>
          <w:sz w:val="18"/>
          <w:vertAlign w:val="baseline"/>
        </w:rPr>
        <w:t>Danielle</w:t>
      </w:r>
      <w:r>
        <w:rPr>
          <w:spacing w:val="-2"/>
          <w:sz w:val="18"/>
          <w:vertAlign w:val="baseline"/>
        </w:rPr>
        <w:t> </w:t>
      </w:r>
      <w:r>
        <w:rPr>
          <w:sz w:val="18"/>
          <w:vertAlign w:val="baseline"/>
        </w:rPr>
        <w:t>X.</w:t>
      </w:r>
      <w:r>
        <w:rPr>
          <w:spacing w:val="-2"/>
          <w:sz w:val="18"/>
          <w:vertAlign w:val="baseline"/>
        </w:rPr>
        <w:t> </w:t>
      </w:r>
      <w:r>
        <w:rPr>
          <w:sz w:val="18"/>
          <w:vertAlign w:val="baseline"/>
        </w:rPr>
        <w:t>Morales,</w:t>
      </w:r>
      <w:r>
        <w:rPr>
          <w:spacing w:val="-3"/>
          <w:sz w:val="18"/>
          <w:vertAlign w:val="baseline"/>
        </w:rPr>
        <w:t> </w:t>
      </w:r>
      <w:r>
        <w:rPr>
          <w:sz w:val="18"/>
          <w:vertAlign w:val="baseline"/>
        </w:rPr>
        <w:t>“We</w:t>
      </w:r>
      <w:r>
        <w:rPr>
          <w:spacing w:val="-2"/>
          <w:sz w:val="18"/>
          <w:vertAlign w:val="baseline"/>
        </w:rPr>
        <w:t> </w:t>
      </w:r>
      <w:r>
        <w:rPr>
          <w:sz w:val="18"/>
          <w:vertAlign w:val="baseline"/>
        </w:rPr>
        <w:t>Need</w:t>
      </w:r>
      <w:r>
        <w:rPr>
          <w:spacing w:val="-2"/>
          <w:sz w:val="18"/>
          <w:vertAlign w:val="baseline"/>
        </w:rPr>
        <w:t> </w:t>
      </w:r>
      <w:r>
        <w:rPr>
          <w:sz w:val="18"/>
          <w:vertAlign w:val="baseline"/>
        </w:rPr>
        <w:t>Environmental</w:t>
      </w:r>
      <w:r>
        <w:rPr>
          <w:spacing w:val="-3"/>
          <w:sz w:val="18"/>
          <w:vertAlign w:val="baseline"/>
        </w:rPr>
        <w:t> </w:t>
      </w:r>
      <w:r>
        <w:rPr>
          <w:sz w:val="18"/>
          <w:vertAlign w:val="baseline"/>
        </w:rPr>
        <w:t>Health</w:t>
      </w:r>
      <w:r>
        <w:rPr>
          <w:spacing w:val="-2"/>
          <w:sz w:val="18"/>
          <w:vertAlign w:val="baseline"/>
        </w:rPr>
        <w:t> </w:t>
      </w:r>
      <w:r>
        <w:rPr>
          <w:sz w:val="18"/>
          <w:vertAlign w:val="baseline"/>
        </w:rPr>
        <w:t>Justice</w:t>
      </w:r>
      <w:r>
        <w:rPr>
          <w:spacing w:val="-2"/>
          <w:sz w:val="18"/>
          <w:vertAlign w:val="baseline"/>
        </w:rPr>
        <w:t> </w:t>
      </w:r>
      <w:r>
        <w:rPr>
          <w:sz w:val="18"/>
          <w:vertAlign w:val="baseline"/>
        </w:rPr>
        <w:t>Research</w:t>
      </w:r>
      <w:r>
        <w:rPr>
          <w:spacing w:val="-2"/>
          <w:sz w:val="18"/>
          <w:vertAlign w:val="baseline"/>
        </w:rPr>
        <w:t> </w:t>
      </w:r>
      <w:r>
        <w:rPr>
          <w:sz w:val="18"/>
          <w:vertAlign w:val="baseline"/>
        </w:rPr>
        <w:t>and</w:t>
      </w:r>
      <w:r>
        <w:rPr>
          <w:spacing w:val="-2"/>
          <w:sz w:val="18"/>
          <w:vertAlign w:val="baseline"/>
        </w:rPr>
        <w:t> </w:t>
      </w:r>
      <w:r>
        <w:rPr>
          <w:sz w:val="18"/>
          <w:vertAlign w:val="baseline"/>
        </w:rPr>
        <w:t>Action for LGBTQ+ People,” </w:t>
      </w:r>
      <w:r>
        <w:rPr>
          <w:i/>
          <w:sz w:val="18"/>
          <w:vertAlign w:val="baseline"/>
        </w:rPr>
        <w:t>American Journal of Public Health </w:t>
      </w:r>
      <w:r>
        <w:rPr>
          <w:sz w:val="18"/>
          <w:vertAlign w:val="baseline"/>
        </w:rPr>
        <w:t>112, no. 1 (January 2022): 54–56, </w:t>
      </w:r>
      <w:r>
        <w:rPr>
          <w:spacing w:val="-2"/>
          <w:sz w:val="18"/>
          <w:vertAlign w:val="baseline"/>
        </w:rPr>
        <w:t>https://doi.org/10.2105/AJPH.2021.306477.</w:t>
      </w:r>
    </w:p>
    <w:p>
      <w:pPr>
        <w:spacing w:line="247" w:lineRule="auto" w:before="12"/>
        <w:ind w:left="323" w:right="74" w:hanging="1"/>
        <w:jc w:val="left"/>
        <w:rPr>
          <w:sz w:val="18"/>
        </w:rPr>
      </w:pPr>
      <w:r>
        <w:rPr>
          <w:sz w:val="18"/>
          <w:vertAlign w:val="superscript"/>
        </w:rPr>
        <w:t>11</w:t>
      </w:r>
      <w:r>
        <w:rPr>
          <w:spacing w:val="-12"/>
          <w:sz w:val="18"/>
          <w:vertAlign w:val="baseline"/>
        </w:rPr>
        <w:t> </w:t>
      </w:r>
      <w:r>
        <w:rPr>
          <w:sz w:val="18"/>
          <w:vertAlign w:val="baseline"/>
        </w:rPr>
        <w:t>Kimberlé</w:t>
      </w:r>
      <w:r>
        <w:rPr>
          <w:spacing w:val="-3"/>
          <w:sz w:val="18"/>
          <w:vertAlign w:val="baseline"/>
        </w:rPr>
        <w:t> </w:t>
      </w:r>
      <w:r>
        <w:rPr>
          <w:sz w:val="18"/>
          <w:vertAlign w:val="baseline"/>
        </w:rPr>
        <w:t>Crenshaw,</w:t>
      </w:r>
      <w:r>
        <w:rPr>
          <w:spacing w:val="-3"/>
          <w:sz w:val="18"/>
          <w:vertAlign w:val="baseline"/>
        </w:rPr>
        <w:t> </w:t>
      </w:r>
      <w:r>
        <w:rPr>
          <w:sz w:val="18"/>
          <w:vertAlign w:val="baseline"/>
        </w:rPr>
        <w:t>“Kimberlé</w:t>
      </w:r>
      <w:r>
        <w:rPr>
          <w:spacing w:val="-2"/>
          <w:sz w:val="18"/>
          <w:vertAlign w:val="baseline"/>
        </w:rPr>
        <w:t> </w:t>
      </w:r>
      <w:r>
        <w:rPr>
          <w:sz w:val="18"/>
          <w:vertAlign w:val="baseline"/>
        </w:rPr>
        <w:t>Crenshaw:</w:t>
      </w:r>
      <w:r>
        <w:rPr>
          <w:spacing w:val="-2"/>
          <w:sz w:val="18"/>
          <w:vertAlign w:val="baseline"/>
        </w:rPr>
        <w:t> </w:t>
      </w:r>
      <w:r>
        <w:rPr>
          <w:sz w:val="18"/>
          <w:vertAlign w:val="baseline"/>
        </w:rPr>
        <w:t>The</w:t>
      </w:r>
      <w:r>
        <w:rPr>
          <w:spacing w:val="-3"/>
          <w:sz w:val="18"/>
          <w:vertAlign w:val="baseline"/>
        </w:rPr>
        <w:t> </w:t>
      </w:r>
      <w:r>
        <w:rPr>
          <w:sz w:val="18"/>
          <w:vertAlign w:val="baseline"/>
        </w:rPr>
        <w:t>Urgency</w:t>
      </w:r>
      <w:r>
        <w:rPr>
          <w:spacing w:val="-2"/>
          <w:sz w:val="18"/>
          <w:vertAlign w:val="baseline"/>
        </w:rPr>
        <w:t> </w:t>
      </w:r>
      <w:r>
        <w:rPr>
          <w:sz w:val="18"/>
          <w:vertAlign w:val="baseline"/>
        </w:rPr>
        <w:t>of</w:t>
      </w:r>
      <w:r>
        <w:rPr>
          <w:spacing w:val="-2"/>
          <w:sz w:val="18"/>
          <w:vertAlign w:val="baseline"/>
        </w:rPr>
        <w:t> </w:t>
      </w:r>
      <w:r>
        <w:rPr>
          <w:sz w:val="18"/>
          <w:vertAlign w:val="baseline"/>
        </w:rPr>
        <w:t>Intersectionality</w:t>
      </w:r>
      <w:r>
        <w:rPr>
          <w:spacing w:val="-2"/>
          <w:sz w:val="18"/>
          <w:vertAlign w:val="baseline"/>
        </w:rPr>
        <w:t> </w:t>
      </w:r>
      <w:r>
        <w:rPr>
          <w:sz w:val="18"/>
          <w:vertAlign w:val="baseline"/>
        </w:rPr>
        <w:t>|</w:t>
      </w:r>
      <w:r>
        <w:rPr>
          <w:spacing w:val="-2"/>
          <w:sz w:val="18"/>
          <w:vertAlign w:val="baseline"/>
        </w:rPr>
        <w:t> </w:t>
      </w:r>
      <w:r>
        <w:rPr>
          <w:sz w:val="18"/>
          <w:vertAlign w:val="baseline"/>
        </w:rPr>
        <w:t>TED</w:t>
      </w:r>
      <w:r>
        <w:rPr>
          <w:spacing w:val="-3"/>
          <w:sz w:val="18"/>
          <w:vertAlign w:val="baseline"/>
        </w:rPr>
        <w:t> </w:t>
      </w:r>
      <w:r>
        <w:rPr>
          <w:sz w:val="18"/>
          <w:vertAlign w:val="baseline"/>
        </w:rPr>
        <w:t>Talk,”</w:t>
      </w:r>
      <w:r>
        <w:rPr>
          <w:spacing w:val="-2"/>
          <w:sz w:val="18"/>
          <w:vertAlign w:val="baseline"/>
        </w:rPr>
        <w:t> </w:t>
      </w:r>
      <w:r>
        <w:rPr>
          <w:sz w:val="18"/>
          <w:vertAlign w:val="baseline"/>
        </w:rPr>
        <w:t>accessed</w:t>
      </w:r>
      <w:r>
        <w:rPr>
          <w:spacing w:val="-2"/>
          <w:sz w:val="18"/>
          <w:vertAlign w:val="baseline"/>
        </w:rPr>
        <w:t> </w:t>
      </w:r>
      <w:r>
        <w:rPr>
          <w:sz w:val="18"/>
          <w:vertAlign w:val="baseline"/>
        </w:rPr>
        <w:t>February</w:t>
      </w:r>
      <w:r>
        <w:rPr>
          <w:spacing w:val="-2"/>
          <w:sz w:val="18"/>
          <w:vertAlign w:val="baseline"/>
        </w:rPr>
        <w:t> </w:t>
      </w:r>
      <w:r>
        <w:rPr>
          <w:sz w:val="18"/>
          <w:vertAlign w:val="baseline"/>
        </w:rPr>
        <w:t>17,</w:t>
      </w:r>
      <w:r>
        <w:rPr>
          <w:spacing w:val="-3"/>
          <w:sz w:val="18"/>
          <w:vertAlign w:val="baseline"/>
        </w:rPr>
        <w:t> </w:t>
      </w:r>
      <w:r>
        <w:rPr>
          <w:sz w:val="18"/>
          <w:vertAlign w:val="baseline"/>
        </w:rPr>
        <w:t>2023, </w:t>
      </w:r>
      <w:r>
        <w:rPr>
          <w:spacing w:val="-2"/>
          <w:sz w:val="18"/>
          <w:vertAlign w:val="baseline"/>
        </w:rPr>
        <w:t>https://</w:t>
      </w:r>
      <w:hyperlink r:id="rId626">
        <w:r>
          <w:rPr>
            <w:spacing w:val="-2"/>
            <w:sz w:val="18"/>
            <w:vertAlign w:val="baseline"/>
          </w:rPr>
          <w:t>www.ted.com/talks/kimberle_crenshaw_the_urgency_of_intersectionality.</w:t>
        </w:r>
      </w:hyperlink>
    </w:p>
    <w:p>
      <w:pPr>
        <w:spacing w:line="244" w:lineRule="auto" w:before="10"/>
        <w:ind w:left="323" w:right="653" w:hanging="1"/>
        <w:jc w:val="left"/>
        <w:rPr>
          <w:sz w:val="18"/>
        </w:rPr>
      </w:pPr>
      <w:r>
        <w:rPr>
          <w:sz w:val="18"/>
          <w:vertAlign w:val="superscript"/>
        </w:rPr>
        <w:t>12</w:t>
      </w:r>
      <w:r>
        <w:rPr>
          <w:spacing w:val="-12"/>
          <w:sz w:val="18"/>
          <w:vertAlign w:val="baseline"/>
        </w:rPr>
        <w:t> </w:t>
      </w:r>
      <w:r>
        <w:rPr>
          <w:sz w:val="18"/>
          <w:vertAlign w:val="baseline"/>
        </w:rPr>
        <w:t>ORD</w:t>
      </w:r>
      <w:r>
        <w:rPr>
          <w:spacing w:val="-4"/>
          <w:sz w:val="18"/>
          <w:vertAlign w:val="baseline"/>
        </w:rPr>
        <w:t> </w:t>
      </w:r>
      <w:r>
        <w:rPr>
          <w:sz w:val="18"/>
          <w:vertAlign w:val="baseline"/>
        </w:rPr>
        <w:t>US</w:t>
      </w:r>
      <w:r>
        <w:rPr>
          <w:spacing w:val="-1"/>
          <w:sz w:val="18"/>
          <w:vertAlign w:val="baseline"/>
        </w:rPr>
        <w:t> </w:t>
      </w:r>
      <w:r>
        <w:rPr>
          <w:sz w:val="18"/>
          <w:vertAlign w:val="baseline"/>
        </w:rPr>
        <w:t>EPA,</w:t>
      </w:r>
      <w:r>
        <w:rPr>
          <w:spacing w:val="-3"/>
          <w:sz w:val="18"/>
          <w:vertAlign w:val="baseline"/>
        </w:rPr>
        <w:t> </w:t>
      </w:r>
      <w:r>
        <w:rPr>
          <w:sz w:val="18"/>
          <w:vertAlign w:val="baseline"/>
        </w:rPr>
        <w:t>“EPA</w:t>
      </w:r>
      <w:r>
        <w:rPr>
          <w:spacing w:val="-2"/>
          <w:sz w:val="18"/>
          <w:vertAlign w:val="baseline"/>
        </w:rPr>
        <w:t> </w:t>
      </w:r>
      <w:r>
        <w:rPr>
          <w:sz w:val="18"/>
          <w:vertAlign w:val="baseline"/>
        </w:rPr>
        <w:t>Researchers</w:t>
      </w:r>
      <w:r>
        <w:rPr>
          <w:spacing w:val="-3"/>
          <w:sz w:val="18"/>
          <w:vertAlign w:val="baseline"/>
        </w:rPr>
        <w:t> </w:t>
      </w:r>
      <w:r>
        <w:rPr>
          <w:sz w:val="18"/>
          <w:vertAlign w:val="baseline"/>
        </w:rPr>
        <w:t>Release</w:t>
      </w:r>
      <w:r>
        <w:rPr>
          <w:spacing w:val="-2"/>
          <w:sz w:val="18"/>
          <w:vertAlign w:val="baseline"/>
        </w:rPr>
        <w:t> </w:t>
      </w:r>
      <w:r>
        <w:rPr>
          <w:sz w:val="18"/>
          <w:vertAlign w:val="baseline"/>
        </w:rPr>
        <w:t>Cumulative</w:t>
      </w:r>
      <w:r>
        <w:rPr>
          <w:spacing w:val="-2"/>
          <w:sz w:val="18"/>
          <w:vertAlign w:val="baseline"/>
        </w:rPr>
        <w:t> </w:t>
      </w:r>
      <w:r>
        <w:rPr>
          <w:sz w:val="18"/>
          <w:vertAlign w:val="baseline"/>
        </w:rPr>
        <w:t>Impacts</w:t>
      </w:r>
      <w:r>
        <w:rPr>
          <w:spacing w:val="-2"/>
          <w:sz w:val="18"/>
          <w:vertAlign w:val="baseline"/>
        </w:rPr>
        <w:t> </w:t>
      </w:r>
      <w:r>
        <w:rPr>
          <w:sz w:val="18"/>
          <w:vertAlign w:val="baseline"/>
        </w:rPr>
        <w:t>Report,</w:t>
      </w:r>
      <w:r>
        <w:rPr>
          <w:spacing w:val="-3"/>
          <w:sz w:val="18"/>
          <w:vertAlign w:val="baseline"/>
        </w:rPr>
        <w:t> </w:t>
      </w:r>
      <w:r>
        <w:rPr>
          <w:sz w:val="18"/>
          <w:vertAlign w:val="baseline"/>
        </w:rPr>
        <w:t>Prioritizing</w:t>
      </w:r>
      <w:r>
        <w:rPr>
          <w:spacing w:val="-2"/>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in</w:t>
      </w:r>
      <w:r>
        <w:rPr>
          <w:spacing w:val="-2"/>
          <w:sz w:val="18"/>
          <w:vertAlign w:val="baseline"/>
        </w:rPr>
        <w:t> </w:t>
      </w:r>
      <w:r>
        <w:rPr>
          <w:sz w:val="18"/>
          <w:vertAlign w:val="baseline"/>
        </w:rPr>
        <w:t>New</w:t>
      </w:r>
      <w:r>
        <w:rPr>
          <w:spacing w:val="-3"/>
          <w:sz w:val="18"/>
          <w:vertAlign w:val="baseline"/>
        </w:rPr>
        <w:t> </w:t>
      </w:r>
      <w:r>
        <w:rPr>
          <w:sz w:val="18"/>
          <w:vertAlign w:val="baseline"/>
        </w:rPr>
        <w:t>Research Cycle,” Overviews and Factsheets, October 11, 2022, https://</w:t>
      </w:r>
      <w:hyperlink r:id="rId627">
        <w:r>
          <w:rPr>
            <w:sz w:val="18"/>
            <w:vertAlign w:val="baseline"/>
          </w:rPr>
          <w:t>www.epa.gov/sciencematters/epa-researchers-release-</w:t>
        </w:r>
      </w:hyperlink>
      <w:r>
        <w:rPr>
          <w:sz w:val="18"/>
          <w:vertAlign w:val="baseline"/>
        </w:rPr>
        <w:t> </w:t>
      </w:r>
      <w:r>
        <w:rPr>
          <w:spacing w:val="-2"/>
          <w:sz w:val="18"/>
          <w:vertAlign w:val="baseline"/>
        </w:rPr>
        <w:t>cumulative-impacts-report-prioritizing-environmental-justice.</w:t>
      </w:r>
    </w:p>
    <w:p>
      <w:pPr>
        <w:spacing w:line="247" w:lineRule="auto" w:before="12"/>
        <w:ind w:left="323" w:right="74" w:firstLine="0"/>
        <w:jc w:val="left"/>
        <w:rPr>
          <w:sz w:val="18"/>
        </w:rPr>
      </w:pPr>
      <w:r>
        <w:rPr>
          <w:sz w:val="18"/>
          <w:vertAlign w:val="superscript"/>
        </w:rPr>
        <w:t>13</w:t>
      </w:r>
      <w:r>
        <w:rPr>
          <w:spacing w:val="-12"/>
          <w:sz w:val="18"/>
          <w:vertAlign w:val="baseline"/>
        </w:rPr>
        <w:t> </w:t>
      </w:r>
      <w:r>
        <w:rPr>
          <w:sz w:val="18"/>
          <w:vertAlign w:val="baseline"/>
        </w:rPr>
        <w:t>OEJECR</w:t>
      </w:r>
      <w:r>
        <w:rPr>
          <w:spacing w:val="-4"/>
          <w:sz w:val="18"/>
          <w:vertAlign w:val="baseline"/>
        </w:rPr>
        <w:t> </w:t>
      </w:r>
      <w:r>
        <w:rPr>
          <w:sz w:val="18"/>
          <w:vertAlign w:val="baseline"/>
        </w:rPr>
        <w:t>US</w:t>
      </w:r>
      <w:r>
        <w:rPr>
          <w:spacing w:val="-1"/>
          <w:sz w:val="18"/>
          <w:vertAlign w:val="baseline"/>
        </w:rPr>
        <w:t> </w:t>
      </w:r>
      <w:r>
        <w:rPr>
          <w:sz w:val="18"/>
          <w:vertAlign w:val="baseline"/>
        </w:rPr>
        <w:t>EPA,</w:t>
      </w:r>
      <w:r>
        <w:rPr>
          <w:spacing w:val="-3"/>
          <w:sz w:val="18"/>
          <w:vertAlign w:val="baseline"/>
        </w:rPr>
        <w:t> </w:t>
      </w:r>
      <w:r>
        <w:rPr>
          <w:sz w:val="18"/>
          <w:vertAlign w:val="baseline"/>
        </w:rPr>
        <w:t>“EJ</w:t>
      </w:r>
      <w:r>
        <w:rPr>
          <w:spacing w:val="-2"/>
          <w:sz w:val="18"/>
          <w:vertAlign w:val="baseline"/>
        </w:rPr>
        <w:t> </w:t>
      </w:r>
      <w:r>
        <w:rPr>
          <w:sz w:val="18"/>
          <w:vertAlign w:val="baseline"/>
        </w:rPr>
        <w:t>2020</w:t>
      </w:r>
      <w:r>
        <w:rPr>
          <w:spacing w:val="-2"/>
          <w:sz w:val="18"/>
          <w:vertAlign w:val="baseline"/>
        </w:rPr>
        <w:t> </w:t>
      </w:r>
      <w:r>
        <w:rPr>
          <w:sz w:val="18"/>
          <w:vertAlign w:val="baseline"/>
        </w:rPr>
        <w:t>Glossary,”</w:t>
      </w:r>
      <w:r>
        <w:rPr>
          <w:spacing w:val="-2"/>
          <w:sz w:val="18"/>
          <w:vertAlign w:val="baseline"/>
        </w:rPr>
        <w:t> </w:t>
      </w:r>
      <w:r>
        <w:rPr>
          <w:sz w:val="18"/>
          <w:vertAlign w:val="baseline"/>
        </w:rPr>
        <w:t>Data</w:t>
      </w:r>
      <w:r>
        <w:rPr>
          <w:spacing w:val="-2"/>
          <w:sz w:val="18"/>
          <w:vertAlign w:val="baseline"/>
        </w:rPr>
        <w:t> </w:t>
      </w:r>
      <w:r>
        <w:rPr>
          <w:sz w:val="18"/>
          <w:vertAlign w:val="baseline"/>
        </w:rPr>
        <w:t>and</w:t>
      </w:r>
      <w:r>
        <w:rPr>
          <w:spacing w:val="-3"/>
          <w:sz w:val="18"/>
          <w:vertAlign w:val="baseline"/>
        </w:rPr>
        <w:t> </w:t>
      </w:r>
      <w:r>
        <w:rPr>
          <w:sz w:val="18"/>
          <w:vertAlign w:val="baseline"/>
        </w:rPr>
        <w:t>Tools,</w:t>
      </w:r>
      <w:r>
        <w:rPr>
          <w:spacing w:val="-3"/>
          <w:sz w:val="18"/>
          <w:vertAlign w:val="baseline"/>
        </w:rPr>
        <w:t> </w:t>
      </w:r>
      <w:r>
        <w:rPr>
          <w:sz w:val="18"/>
          <w:vertAlign w:val="baseline"/>
        </w:rPr>
        <w:t>October</w:t>
      </w:r>
      <w:r>
        <w:rPr>
          <w:spacing w:val="-3"/>
          <w:sz w:val="18"/>
          <w:vertAlign w:val="baseline"/>
        </w:rPr>
        <w:t> </w:t>
      </w:r>
      <w:r>
        <w:rPr>
          <w:sz w:val="18"/>
          <w:vertAlign w:val="baseline"/>
        </w:rPr>
        <w:t>20,</w:t>
      </w:r>
      <w:r>
        <w:rPr>
          <w:spacing w:val="-3"/>
          <w:sz w:val="18"/>
          <w:vertAlign w:val="baseline"/>
        </w:rPr>
        <w:t> </w:t>
      </w:r>
      <w:r>
        <w:rPr>
          <w:sz w:val="18"/>
          <w:vertAlign w:val="baseline"/>
        </w:rPr>
        <w:t>2016,</w:t>
      </w:r>
      <w:r>
        <w:rPr>
          <w:spacing w:val="-3"/>
          <w:sz w:val="18"/>
          <w:vertAlign w:val="baseline"/>
        </w:rPr>
        <w:t> </w:t>
      </w:r>
      <w:r>
        <w:rPr>
          <w:sz w:val="18"/>
          <w:vertAlign w:val="baseline"/>
        </w:rPr>
        <w:t>https://</w:t>
      </w:r>
      <w:hyperlink r:id="rId628">
        <w:r>
          <w:rPr>
            <w:sz w:val="18"/>
            <w:vertAlign w:val="baseline"/>
          </w:rPr>
          <w:t>www.epa.gov/environmentaljustice/ej-2020-</w:t>
        </w:r>
      </w:hyperlink>
      <w:r>
        <w:rPr>
          <w:sz w:val="18"/>
          <w:vertAlign w:val="baseline"/>
        </w:rPr>
        <w:t> </w:t>
      </w:r>
      <w:r>
        <w:rPr>
          <w:spacing w:val="-2"/>
          <w:sz w:val="18"/>
          <w:vertAlign w:val="baseline"/>
        </w:rPr>
        <w:t>glossary.</w:t>
      </w:r>
    </w:p>
    <w:p>
      <w:pPr>
        <w:spacing w:line="247" w:lineRule="auto" w:before="11"/>
        <w:ind w:left="323" w:right="2212" w:hanging="1"/>
        <w:jc w:val="left"/>
        <w:rPr>
          <w:sz w:val="18"/>
        </w:rPr>
      </w:pPr>
      <w:r>
        <w:rPr>
          <w:sz w:val="18"/>
          <w:vertAlign w:val="superscript"/>
        </w:rPr>
        <w:t>14</w:t>
      </w:r>
      <w:r>
        <w:rPr>
          <w:spacing w:val="-12"/>
          <w:sz w:val="18"/>
          <w:vertAlign w:val="baseline"/>
        </w:rPr>
        <w:t> </w:t>
      </w:r>
      <w:r>
        <w:rPr>
          <w:sz w:val="18"/>
          <w:vertAlign w:val="baseline"/>
        </w:rPr>
        <w:t>“Social</w:t>
      </w:r>
      <w:r>
        <w:rPr>
          <w:spacing w:val="-4"/>
          <w:sz w:val="18"/>
          <w:vertAlign w:val="baseline"/>
        </w:rPr>
        <w:t> </w:t>
      </w:r>
      <w:r>
        <w:rPr>
          <w:sz w:val="18"/>
          <w:vertAlign w:val="baseline"/>
        </w:rPr>
        <w:t>Determinants</w:t>
      </w:r>
      <w:r>
        <w:rPr>
          <w:spacing w:val="-2"/>
          <w:sz w:val="18"/>
          <w:vertAlign w:val="baseline"/>
        </w:rPr>
        <w:t> </w:t>
      </w:r>
      <w:r>
        <w:rPr>
          <w:sz w:val="18"/>
          <w:vertAlign w:val="baseline"/>
        </w:rPr>
        <w:t>of</w:t>
      </w:r>
      <w:r>
        <w:rPr>
          <w:spacing w:val="-2"/>
          <w:sz w:val="18"/>
          <w:vertAlign w:val="baseline"/>
        </w:rPr>
        <w:t> </w:t>
      </w:r>
      <w:r>
        <w:rPr>
          <w:sz w:val="18"/>
          <w:vertAlign w:val="baseline"/>
        </w:rPr>
        <w:t>Health</w:t>
      </w:r>
      <w:r>
        <w:rPr>
          <w:spacing w:val="-2"/>
          <w:sz w:val="18"/>
          <w:vertAlign w:val="baseline"/>
        </w:rPr>
        <w:t> </w:t>
      </w:r>
      <w:r>
        <w:rPr>
          <w:sz w:val="18"/>
          <w:vertAlign w:val="baseline"/>
        </w:rPr>
        <w:t>-</w:t>
      </w:r>
      <w:r>
        <w:rPr>
          <w:spacing w:val="-2"/>
          <w:sz w:val="18"/>
          <w:vertAlign w:val="baseline"/>
        </w:rPr>
        <w:t> </w:t>
      </w:r>
      <w:r>
        <w:rPr>
          <w:sz w:val="18"/>
          <w:vertAlign w:val="baseline"/>
        </w:rPr>
        <w:t>Healthy</w:t>
      </w:r>
      <w:r>
        <w:rPr>
          <w:spacing w:val="-2"/>
          <w:sz w:val="18"/>
          <w:vertAlign w:val="baseline"/>
        </w:rPr>
        <w:t> </w:t>
      </w:r>
      <w:r>
        <w:rPr>
          <w:sz w:val="18"/>
          <w:vertAlign w:val="baseline"/>
        </w:rPr>
        <w:t>People</w:t>
      </w:r>
      <w:r>
        <w:rPr>
          <w:spacing w:val="-2"/>
          <w:sz w:val="18"/>
          <w:vertAlign w:val="baseline"/>
        </w:rPr>
        <w:t> </w:t>
      </w:r>
      <w:r>
        <w:rPr>
          <w:sz w:val="18"/>
          <w:vertAlign w:val="baseline"/>
        </w:rPr>
        <w:t>2030</w:t>
      </w:r>
      <w:r>
        <w:rPr>
          <w:spacing w:val="-2"/>
          <w:sz w:val="18"/>
          <w:vertAlign w:val="baseline"/>
        </w:rPr>
        <w:t> </w:t>
      </w:r>
      <w:r>
        <w:rPr>
          <w:sz w:val="18"/>
          <w:vertAlign w:val="baseline"/>
        </w:rPr>
        <w:t>|</w:t>
      </w:r>
      <w:r>
        <w:rPr>
          <w:spacing w:val="-2"/>
          <w:sz w:val="18"/>
          <w:vertAlign w:val="baseline"/>
        </w:rPr>
        <w:t> </w:t>
      </w:r>
      <w:r>
        <w:rPr>
          <w:sz w:val="18"/>
          <w:vertAlign w:val="baseline"/>
        </w:rPr>
        <w:t>Health.Gov,”</w:t>
      </w:r>
      <w:r>
        <w:rPr>
          <w:spacing w:val="-2"/>
          <w:sz w:val="18"/>
          <w:vertAlign w:val="baseline"/>
        </w:rPr>
        <w:t> </w:t>
      </w:r>
      <w:r>
        <w:rPr>
          <w:sz w:val="18"/>
          <w:vertAlign w:val="baseline"/>
        </w:rPr>
        <w:t>accessed</w:t>
      </w:r>
      <w:r>
        <w:rPr>
          <w:spacing w:val="-5"/>
          <w:sz w:val="18"/>
          <w:vertAlign w:val="baseline"/>
        </w:rPr>
        <w:t> </w:t>
      </w:r>
      <w:r>
        <w:rPr>
          <w:sz w:val="18"/>
          <w:vertAlign w:val="baseline"/>
        </w:rPr>
        <w:t>February</w:t>
      </w:r>
      <w:r>
        <w:rPr>
          <w:spacing w:val="-2"/>
          <w:sz w:val="18"/>
          <w:vertAlign w:val="baseline"/>
        </w:rPr>
        <w:t> </w:t>
      </w:r>
      <w:r>
        <w:rPr>
          <w:sz w:val="18"/>
          <w:vertAlign w:val="baseline"/>
        </w:rPr>
        <w:t>17,</w:t>
      </w:r>
      <w:r>
        <w:rPr>
          <w:spacing w:val="-3"/>
          <w:sz w:val="18"/>
          <w:vertAlign w:val="baseline"/>
        </w:rPr>
        <w:t> </w:t>
      </w:r>
      <w:r>
        <w:rPr>
          <w:sz w:val="18"/>
          <w:vertAlign w:val="baseline"/>
        </w:rPr>
        <w:t>2023, </w:t>
      </w:r>
      <w:r>
        <w:rPr>
          <w:spacing w:val="-2"/>
          <w:sz w:val="18"/>
          <w:vertAlign w:val="baseline"/>
        </w:rPr>
        <w:t>https://health.gov/healthypeople/priority-areas/social-determinants-health.</w:t>
      </w:r>
    </w:p>
    <w:p>
      <w:pPr>
        <w:spacing w:line="244" w:lineRule="auto" w:before="11"/>
        <w:ind w:left="323" w:right="213" w:hanging="1"/>
        <w:jc w:val="both"/>
        <w:rPr>
          <w:sz w:val="18"/>
        </w:rPr>
      </w:pPr>
      <w:r>
        <w:rPr>
          <w:sz w:val="18"/>
          <w:vertAlign w:val="superscript"/>
        </w:rPr>
        <w:t>15</w:t>
      </w:r>
      <w:r>
        <w:rPr>
          <w:spacing w:val="-11"/>
          <w:sz w:val="18"/>
          <w:vertAlign w:val="baseline"/>
        </w:rPr>
        <w:t> </w:t>
      </w:r>
      <w:r>
        <w:rPr>
          <w:sz w:val="18"/>
          <w:vertAlign w:val="baseline"/>
        </w:rPr>
        <w:t>John</w:t>
      </w:r>
      <w:r>
        <w:rPr>
          <w:spacing w:val="-4"/>
          <w:sz w:val="18"/>
          <w:vertAlign w:val="baseline"/>
        </w:rPr>
        <w:t> </w:t>
      </w:r>
      <w:r>
        <w:rPr>
          <w:sz w:val="18"/>
          <w:vertAlign w:val="baseline"/>
        </w:rPr>
        <w:t>D.</w:t>
      </w:r>
      <w:r>
        <w:rPr>
          <w:spacing w:val="-2"/>
          <w:sz w:val="18"/>
          <w:vertAlign w:val="baseline"/>
        </w:rPr>
        <w:t> </w:t>
      </w:r>
      <w:r>
        <w:rPr>
          <w:sz w:val="18"/>
          <w:vertAlign w:val="baseline"/>
        </w:rPr>
        <w:t>Prochaska</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“Social</w:t>
      </w:r>
      <w:r>
        <w:rPr>
          <w:spacing w:val="-3"/>
          <w:sz w:val="18"/>
          <w:vertAlign w:val="baseline"/>
        </w:rPr>
        <w:t> </w:t>
      </w:r>
      <w:r>
        <w:rPr>
          <w:sz w:val="18"/>
          <w:vertAlign w:val="baseline"/>
        </w:rPr>
        <w:t>Determinants</w:t>
      </w:r>
      <w:r>
        <w:rPr>
          <w:spacing w:val="-2"/>
          <w:sz w:val="18"/>
          <w:vertAlign w:val="baseline"/>
        </w:rPr>
        <w:t> </w:t>
      </w:r>
      <w:r>
        <w:rPr>
          <w:sz w:val="18"/>
          <w:vertAlign w:val="baseline"/>
        </w:rPr>
        <w:t>of</w:t>
      </w:r>
      <w:r>
        <w:rPr>
          <w:spacing w:val="-2"/>
          <w:sz w:val="18"/>
          <w:vertAlign w:val="baseline"/>
        </w:rPr>
        <w:t> </w:t>
      </w:r>
      <w:r>
        <w:rPr>
          <w:sz w:val="18"/>
          <w:vertAlign w:val="baseline"/>
        </w:rPr>
        <w:t>Health</w:t>
      </w:r>
      <w:r>
        <w:rPr>
          <w:spacing w:val="-2"/>
          <w:sz w:val="18"/>
          <w:vertAlign w:val="baseline"/>
        </w:rPr>
        <w:t> </w:t>
      </w:r>
      <w:r>
        <w:rPr>
          <w:sz w:val="18"/>
          <w:vertAlign w:val="baseline"/>
        </w:rPr>
        <w:t>in</w:t>
      </w:r>
      <w:r>
        <w:rPr>
          <w:spacing w:val="-2"/>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Communities:</w:t>
      </w:r>
      <w:r>
        <w:rPr>
          <w:spacing w:val="-4"/>
          <w:sz w:val="18"/>
          <w:vertAlign w:val="baseline"/>
        </w:rPr>
        <w:t> </w:t>
      </w:r>
      <w:r>
        <w:rPr>
          <w:sz w:val="18"/>
          <w:vertAlign w:val="baseline"/>
        </w:rPr>
        <w:t>Examining</w:t>
      </w:r>
      <w:r>
        <w:rPr>
          <w:spacing w:val="-2"/>
          <w:sz w:val="18"/>
          <w:vertAlign w:val="baseline"/>
        </w:rPr>
        <w:t> </w:t>
      </w:r>
      <w:r>
        <w:rPr>
          <w:sz w:val="18"/>
          <w:vertAlign w:val="baseline"/>
        </w:rPr>
        <w:t>Cumulative</w:t>
      </w:r>
      <w:r>
        <w:rPr>
          <w:spacing w:val="-2"/>
          <w:sz w:val="18"/>
          <w:vertAlign w:val="baseline"/>
        </w:rPr>
        <w:t> </w:t>
      </w:r>
      <w:r>
        <w:rPr>
          <w:sz w:val="18"/>
          <w:vertAlign w:val="baseline"/>
        </w:rPr>
        <w:t>Risk</w:t>
      </w:r>
      <w:r>
        <w:rPr>
          <w:spacing w:val="-3"/>
          <w:sz w:val="18"/>
          <w:vertAlign w:val="baseline"/>
        </w:rPr>
        <w:t> </w:t>
      </w:r>
      <w:r>
        <w:rPr>
          <w:sz w:val="18"/>
          <w:vertAlign w:val="baseline"/>
        </w:rPr>
        <w:t>in Terms</w:t>
      </w:r>
      <w:r>
        <w:rPr>
          <w:spacing w:val="-1"/>
          <w:sz w:val="18"/>
          <w:vertAlign w:val="baseline"/>
        </w:rPr>
        <w:t> </w:t>
      </w:r>
      <w:r>
        <w:rPr>
          <w:sz w:val="18"/>
          <w:vertAlign w:val="baseline"/>
        </w:rPr>
        <w:t>of</w:t>
      </w:r>
      <w:r>
        <w:rPr>
          <w:spacing w:val="-1"/>
          <w:sz w:val="18"/>
          <w:vertAlign w:val="baseline"/>
        </w:rPr>
        <w:t> </w:t>
      </w:r>
      <w:r>
        <w:rPr>
          <w:sz w:val="18"/>
          <w:vertAlign w:val="baseline"/>
        </w:rPr>
        <w:t>Environmental</w:t>
      </w:r>
      <w:r>
        <w:rPr>
          <w:spacing w:val="-2"/>
          <w:sz w:val="18"/>
          <w:vertAlign w:val="baseline"/>
        </w:rPr>
        <w:t> </w:t>
      </w:r>
      <w:r>
        <w:rPr>
          <w:sz w:val="18"/>
          <w:vertAlign w:val="baseline"/>
        </w:rPr>
        <w:t>Exposures</w:t>
      </w:r>
      <w:r>
        <w:rPr>
          <w:spacing w:val="-1"/>
          <w:sz w:val="18"/>
          <w:vertAlign w:val="baseline"/>
        </w:rPr>
        <w:t> </w:t>
      </w:r>
      <w:r>
        <w:rPr>
          <w:sz w:val="18"/>
          <w:vertAlign w:val="baseline"/>
        </w:rPr>
        <w:t>and</w:t>
      </w:r>
      <w:r>
        <w:rPr>
          <w:spacing w:val="-1"/>
          <w:sz w:val="18"/>
          <w:vertAlign w:val="baseline"/>
        </w:rPr>
        <w:t> </w:t>
      </w:r>
      <w:r>
        <w:rPr>
          <w:sz w:val="18"/>
          <w:vertAlign w:val="baseline"/>
        </w:rPr>
        <w:t>Social</w:t>
      </w:r>
      <w:r>
        <w:rPr>
          <w:spacing w:val="-2"/>
          <w:sz w:val="18"/>
          <w:vertAlign w:val="baseline"/>
        </w:rPr>
        <w:t> </w:t>
      </w:r>
      <w:r>
        <w:rPr>
          <w:sz w:val="18"/>
          <w:vertAlign w:val="baseline"/>
        </w:rPr>
        <w:t>Determinants</w:t>
      </w:r>
      <w:r>
        <w:rPr>
          <w:spacing w:val="-1"/>
          <w:sz w:val="18"/>
          <w:vertAlign w:val="baseline"/>
        </w:rPr>
        <w:t> </w:t>
      </w:r>
      <w:r>
        <w:rPr>
          <w:sz w:val="18"/>
          <w:vertAlign w:val="baseline"/>
        </w:rPr>
        <w:t>of</w:t>
      </w:r>
      <w:r>
        <w:rPr>
          <w:spacing w:val="-2"/>
          <w:sz w:val="18"/>
          <w:vertAlign w:val="baseline"/>
        </w:rPr>
        <w:t> </w:t>
      </w:r>
      <w:r>
        <w:rPr>
          <w:sz w:val="18"/>
          <w:vertAlign w:val="baseline"/>
        </w:rPr>
        <w:t>Health,”</w:t>
      </w:r>
      <w:r>
        <w:rPr>
          <w:spacing w:val="-1"/>
          <w:sz w:val="18"/>
          <w:vertAlign w:val="baseline"/>
        </w:rPr>
        <w:t> </w:t>
      </w:r>
      <w:r>
        <w:rPr>
          <w:i/>
          <w:sz w:val="18"/>
          <w:vertAlign w:val="baseline"/>
        </w:rPr>
        <w:t>Human and</w:t>
      </w:r>
      <w:r>
        <w:rPr>
          <w:i/>
          <w:spacing w:val="-1"/>
          <w:sz w:val="18"/>
          <w:vertAlign w:val="baseline"/>
        </w:rPr>
        <w:t> </w:t>
      </w:r>
      <w:r>
        <w:rPr>
          <w:i/>
          <w:sz w:val="18"/>
          <w:vertAlign w:val="baseline"/>
        </w:rPr>
        <w:t>Ecological</w:t>
      </w:r>
      <w:r>
        <w:rPr>
          <w:i/>
          <w:spacing w:val="-2"/>
          <w:sz w:val="18"/>
          <w:vertAlign w:val="baseline"/>
        </w:rPr>
        <w:t> </w:t>
      </w:r>
      <w:r>
        <w:rPr>
          <w:i/>
          <w:sz w:val="18"/>
          <w:vertAlign w:val="baseline"/>
        </w:rPr>
        <w:t>Risk</w:t>
      </w:r>
      <w:r>
        <w:rPr>
          <w:i/>
          <w:spacing w:val="-2"/>
          <w:sz w:val="18"/>
          <w:vertAlign w:val="baseline"/>
        </w:rPr>
        <w:t> </w:t>
      </w:r>
      <w:r>
        <w:rPr>
          <w:i/>
          <w:sz w:val="18"/>
          <w:vertAlign w:val="baseline"/>
        </w:rPr>
        <w:t>Assessment:</w:t>
      </w:r>
      <w:r>
        <w:rPr>
          <w:i/>
          <w:spacing w:val="-1"/>
          <w:sz w:val="18"/>
          <w:vertAlign w:val="baseline"/>
        </w:rPr>
        <w:t> </w:t>
      </w:r>
      <w:r>
        <w:rPr>
          <w:i/>
          <w:sz w:val="18"/>
          <w:vertAlign w:val="baseline"/>
        </w:rPr>
        <w:t>HERA</w:t>
      </w:r>
      <w:r>
        <w:rPr>
          <w:i/>
          <w:spacing w:val="-1"/>
          <w:sz w:val="18"/>
          <w:vertAlign w:val="baseline"/>
        </w:rPr>
        <w:t> </w:t>
      </w:r>
      <w:r>
        <w:rPr>
          <w:sz w:val="18"/>
          <w:vertAlign w:val="baseline"/>
        </w:rPr>
        <w:t>20,</w:t>
      </w:r>
      <w:r>
        <w:rPr>
          <w:spacing w:val="-2"/>
          <w:sz w:val="18"/>
          <w:vertAlign w:val="baseline"/>
        </w:rPr>
        <w:t> </w:t>
      </w:r>
      <w:r>
        <w:rPr>
          <w:sz w:val="18"/>
          <w:vertAlign w:val="baseline"/>
        </w:rPr>
        <w:t>no.</w:t>
      </w:r>
      <w:r>
        <w:rPr>
          <w:spacing w:val="-1"/>
          <w:sz w:val="18"/>
          <w:vertAlign w:val="baseline"/>
        </w:rPr>
        <w:t> </w:t>
      </w:r>
      <w:r>
        <w:rPr>
          <w:sz w:val="18"/>
          <w:vertAlign w:val="baseline"/>
        </w:rPr>
        <w:t>4 (2014): 980–94, https://doi.org/10.1080/10807039.2013.805957.</w:t>
      </w:r>
    </w:p>
    <w:p>
      <w:pPr>
        <w:spacing w:line="247" w:lineRule="auto" w:before="12"/>
        <w:ind w:left="323" w:right="275" w:hanging="1"/>
        <w:jc w:val="both"/>
        <w:rPr>
          <w:sz w:val="18"/>
        </w:rPr>
      </w:pPr>
      <w:r>
        <w:rPr>
          <w:sz w:val="18"/>
          <w:vertAlign w:val="superscript"/>
        </w:rPr>
        <w:t>16</w:t>
      </w:r>
      <w:r>
        <w:rPr>
          <w:spacing w:val="-11"/>
          <w:sz w:val="18"/>
          <w:vertAlign w:val="baseline"/>
        </w:rPr>
        <w:t> </w:t>
      </w:r>
      <w:r>
        <w:rPr>
          <w:sz w:val="18"/>
          <w:vertAlign w:val="baseline"/>
        </w:rPr>
        <w:t>Leo</w:t>
      </w:r>
      <w:r>
        <w:rPr>
          <w:spacing w:val="-3"/>
          <w:sz w:val="18"/>
          <w:vertAlign w:val="baseline"/>
        </w:rPr>
        <w:t> </w:t>
      </w:r>
      <w:r>
        <w:rPr>
          <w:sz w:val="18"/>
          <w:vertAlign w:val="baseline"/>
        </w:rPr>
        <w:t>Goldsmith</w:t>
      </w:r>
      <w:r>
        <w:rPr>
          <w:spacing w:val="-2"/>
          <w:sz w:val="18"/>
          <w:vertAlign w:val="baseline"/>
        </w:rPr>
        <w:t> </w:t>
      </w:r>
      <w:r>
        <w:rPr>
          <w:sz w:val="18"/>
          <w:vertAlign w:val="baseline"/>
        </w:rPr>
        <w:t>and</w:t>
      </w:r>
      <w:r>
        <w:rPr>
          <w:spacing w:val="-2"/>
          <w:sz w:val="18"/>
          <w:vertAlign w:val="baseline"/>
        </w:rPr>
        <w:t> </w:t>
      </w:r>
      <w:r>
        <w:rPr>
          <w:sz w:val="18"/>
          <w:vertAlign w:val="baseline"/>
        </w:rPr>
        <w:t>Michelle</w:t>
      </w:r>
      <w:r>
        <w:rPr>
          <w:spacing w:val="-2"/>
          <w:sz w:val="18"/>
          <w:vertAlign w:val="baseline"/>
        </w:rPr>
        <w:t> </w:t>
      </w:r>
      <w:r>
        <w:rPr>
          <w:sz w:val="18"/>
          <w:vertAlign w:val="baseline"/>
        </w:rPr>
        <w:t>L.</w:t>
      </w:r>
      <w:r>
        <w:rPr>
          <w:spacing w:val="-2"/>
          <w:sz w:val="18"/>
          <w:vertAlign w:val="baseline"/>
        </w:rPr>
        <w:t> </w:t>
      </w:r>
      <w:r>
        <w:rPr>
          <w:sz w:val="18"/>
          <w:vertAlign w:val="baseline"/>
        </w:rPr>
        <w:t>Bell,</w:t>
      </w:r>
      <w:r>
        <w:rPr>
          <w:spacing w:val="-3"/>
          <w:sz w:val="18"/>
          <w:vertAlign w:val="baseline"/>
        </w:rPr>
        <w:t> </w:t>
      </w:r>
      <w:r>
        <w:rPr>
          <w:sz w:val="18"/>
          <w:vertAlign w:val="baseline"/>
        </w:rPr>
        <w:t>“Queering</w:t>
      </w:r>
      <w:r>
        <w:rPr>
          <w:spacing w:val="-3"/>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Unequal</w:t>
      </w:r>
      <w:r>
        <w:rPr>
          <w:spacing w:val="-3"/>
          <w:sz w:val="18"/>
          <w:vertAlign w:val="baseline"/>
        </w:rPr>
        <w:t> </w:t>
      </w:r>
      <w:r>
        <w:rPr>
          <w:sz w:val="18"/>
          <w:vertAlign w:val="baseline"/>
        </w:rPr>
        <w:t>Environmental</w:t>
      </w:r>
      <w:r>
        <w:rPr>
          <w:spacing w:val="-3"/>
          <w:sz w:val="18"/>
          <w:vertAlign w:val="baseline"/>
        </w:rPr>
        <w:t> </w:t>
      </w:r>
      <w:r>
        <w:rPr>
          <w:sz w:val="18"/>
          <w:vertAlign w:val="baseline"/>
        </w:rPr>
        <w:t>Health</w:t>
      </w:r>
      <w:r>
        <w:rPr>
          <w:spacing w:val="-2"/>
          <w:sz w:val="18"/>
          <w:vertAlign w:val="baseline"/>
        </w:rPr>
        <w:t> </w:t>
      </w:r>
      <w:r>
        <w:rPr>
          <w:sz w:val="18"/>
          <w:vertAlign w:val="baseline"/>
        </w:rPr>
        <w:t>Burden</w:t>
      </w:r>
      <w:r>
        <w:rPr>
          <w:spacing w:val="-2"/>
          <w:sz w:val="18"/>
          <w:vertAlign w:val="baseline"/>
        </w:rPr>
        <w:t> </w:t>
      </w:r>
      <w:r>
        <w:rPr>
          <w:sz w:val="18"/>
          <w:vertAlign w:val="baseline"/>
        </w:rPr>
        <w:t>on</w:t>
      </w:r>
      <w:r>
        <w:rPr>
          <w:spacing w:val="-3"/>
          <w:sz w:val="18"/>
          <w:vertAlign w:val="baseline"/>
        </w:rPr>
        <w:t> </w:t>
      </w:r>
      <w:r>
        <w:rPr>
          <w:sz w:val="18"/>
          <w:vertAlign w:val="baseline"/>
        </w:rPr>
        <w:t>the</w:t>
      </w:r>
      <w:r>
        <w:rPr>
          <w:spacing w:val="-2"/>
          <w:sz w:val="18"/>
          <w:vertAlign w:val="baseline"/>
        </w:rPr>
        <w:t> </w:t>
      </w:r>
      <w:r>
        <w:rPr>
          <w:sz w:val="18"/>
          <w:vertAlign w:val="baseline"/>
        </w:rPr>
        <w:t>LGBTQ+ Community,”</w:t>
      </w:r>
      <w:r>
        <w:rPr>
          <w:spacing w:val="-3"/>
          <w:sz w:val="18"/>
          <w:vertAlign w:val="baseline"/>
        </w:rPr>
        <w:t> </w:t>
      </w:r>
      <w:r>
        <w:rPr>
          <w:i/>
          <w:sz w:val="18"/>
          <w:vertAlign w:val="baseline"/>
        </w:rPr>
        <w:t>American</w:t>
      </w:r>
      <w:r>
        <w:rPr>
          <w:i/>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3"/>
          <w:sz w:val="18"/>
          <w:vertAlign w:val="baseline"/>
        </w:rPr>
        <w:t> </w:t>
      </w:r>
      <w:r>
        <w:rPr>
          <w:i/>
          <w:sz w:val="18"/>
          <w:vertAlign w:val="baseline"/>
        </w:rPr>
        <w:t>Public</w:t>
      </w:r>
      <w:r>
        <w:rPr>
          <w:i/>
          <w:spacing w:val="-4"/>
          <w:sz w:val="18"/>
          <w:vertAlign w:val="baseline"/>
        </w:rPr>
        <w:t> </w:t>
      </w:r>
      <w:r>
        <w:rPr>
          <w:i/>
          <w:sz w:val="18"/>
          <w:vertAlign w:val="baseline"/>
        </w:rPr>
        <w:t>Health</w:t>
      </w:r>
      <w:r>
        <w:rPr>
          <w:i/>
          <w:spacing w:val="-3"/>
          <w:sz w:val="18"/>
          <w:vertAlign w:val="baseline"/>
        </w:rPr>
        <w:t> </w:t>
      </w:r>
      <w:r>
        <w:rPr>
          <w:sz w:val="18"/>
          <w:vertAlign w:val="baseline"/>
        </w:rPr>
        <w:t>112,</w:t>
      </w:r>
      <w:r>
        <w:rPr>
          <w:spacing w:val="-4"/>
          <w:sz w:val="18"/>
          <w:vertAlign w:val="baseline"/>
        </w:rPr>
        <w:t> </w:t>
      </w:r>
      <w:r>
        <w:rPr>
          <w:sz w:val="18"/>
          <w:vertAlign w:val="baseline"/>
        </w:rPr>
        <w:t>no.</w:t>
      </w:r>
      <w:r>
        <w:rPr>
          <w:spacing w:val="-3"/>
          <w:sz w:val="18"/>
          <w:vertAlign w:val="baseline"/>
        </w:rPr>
        <w:t> </w:t>
      </w:r>
      <w:r>
        <w:rPr>
          <w:sz w:val="18"/>
          <w:vertAlign w:val="baseline"/>
        </w:rPr>
        <w:t>1</w:t>
      </w:r>
      <w:r>
        <w:rPr>
          <w:spacing w:val="-3"/>
          <w:sz w:val="18"/>
          <w:vertAlign w:val="baseline"/>
        </w:rPr>
        <w:t> </w:t>
      </w:r>
      <w:r>
        <w:rPr>
          <w:sz w:val="18"/>
          <w:vertAlign w:val="baseline"/>
        </w:rPr>
        <w:t>(January</w:t>
      </w:r>
      <w:r>
        <w:rPr>
          <w:spacing w:val="-3"/>
          <w:sz w:val="18"/>
          <w:vertAlign w:val="baseline"/>
        </w:rPr>
        <w:t> </w:t>
      </w:r>
      <w:r>
        <w:rPr>
          <w:sz w:val="18"/>
          <w:vertAlign w:val="baseline"/>
        </w:rPr>
        <w:t>2022):</w:t>
      </w:r>
      <w:r>
        <w:rPr>
          <w:spacing w:val="-3"/>
          <w:sz w:val="18"/>
          <w:vertAlign w:val="baseline"/>
        </w:rPr>
        <w:t> </w:t>
      </w:r>
      <w:r>
        <w:rPr>
          <w:sz w:val="18"/>
          <w:vertAlign w:val="baseline"/>
        </w:rPr>
        <w:t>79–87,</w:t>
      </w:r>
      <w:r>
        <w:rPr>
          <w:spacing w:val="-4"/>
          <w:sz w:val="18"/>
          <w:vertAlign w:val="baseline"/>
        </w:rPr>
        <w:t> </w:t>
      </w:r>
      <w:r>
        <w:rPr>
          <w:sz w:val="18"/>
          <w:vertAlign w:val="baseline"/>
        </w:rPr>
        <w:t>https://doi.org/10.2105/AJPH.2021.306406.</w:t>
      </w:r>
    </w:p>
    <w:p>
      <w:pPr>
        <w:spacing w:after="0" w:line="247" w:lineRule="auto"/>
        <w:jc w:val="both"/>
        <w:rPr>
          <w:sz w:val="18"/>
        </w:rPr>
        <w:sectPr>
          <w:pgSz w:w="12240" w:h="15840"/>
          <w:pgMar w:header="800" w:footer="1459" w:top="1300" w:bottom="1660" w:left="1120" w:right="1300"/>
        </w:sectPr>
      </w:pPr>
    </w:p>
    <w:p>
      <w:pPr>
        <w:spacing w:line="247" w:lineRule="auto" w:before="85"/>
        <w:ind w:left="323" w:right="0" w:firstLine="0"/>
        <w:jc w:val="left"/>
        <w:rPr>
          <w:sz w:val="18"/>
        </w:rPr>
      </w:pPr>
      <w:r>
        <w:rPr>
          <w:sz w:val="18"/>
          <w:vertAlign w:val="superscript"/>
        </w:rPr>
        <w:t>17</w:t>
      </w:r>
      <w:r>
        <w:rPr>
          <w:spacing w:val="-12"/>
          <w:sz w:val="18"/>
          <w:vertAlign w:val="baseline"/>
        </w:rPr>
        <w:t> </w:t>
      </w:r>
      <w:r>
        <w:rPr>
          <w:sz w:val="18"/>
          <w:vertAlign w:val="baseline"/>
        </w:rPr>
        <w:t>Leo</w:t>
      </w:r>
      <w:r>
        <w:rPr>
          <w:spacing w:val="-2"/>
          <w:sz w:val="18"/>
          <w:vertAlign w:val="baseline"/>
        </w:rPr>
        <w:t> </w:t>
      </w:r>
      <w:r>
        <w:rPr>
          <w:sz w:val="18"/>
          <w:vertAlign w:val="baseline"/>
        </w:rPr>
        <w:t>Goldsmith</w:t>
      </w:r>
      <w:r>
        <w:rPr>
          <w:spacing w:val="-2"/>
          <w:sz w:val="18"/>
          <w:vertAlign w:val="baseline"/>
        </w:rPr>
        <w:t> </w:t>
      </w:r>
      <w:r>
        <w:rPr>
          <w:sz w:val="18"/>
          <w:vertAlign w:val="baseline"/>
        </w:rPr>
        <w:t>and</w:t>
      </w:r>
      <w:r>
        <w:rPr>
          <w:spacing w:val="-2"/>
          <w:sz w:val="18"/>
          <w:vertAlign w:val="baseline"/>
        </w:rPr>
        <w:t> </w:t>
      </w:r>
      <w:r>
        <w:rPr>
          <w:sz w:val="18"/>
          <w:vertAlign w:val="baseline"/>
        </w:rPr>
        <w:t>Michelle</w:t>
      </w:r>
      <w:r>
        <w:rPr>
          <w:spacing w:val="-2"/>
          <w:sz w:val="18"/>
          <w:vertAlign w:val="baseline"/>
        </w:rPr>
        <w:t> </w:t>
      </w:r>
      <w:r>
        <w:rPr>
          <w:sz w:val="18"/>
          <w:vertAlign w:val="baseline"/>
        </w:rPr>
        <w:t>L.</w:t>
      </w:r>
      <w:r>
        <w:rPr>
          <w:spacing w:val="-2"/>
          <w:sz w:val="18"/>
          <w:vertAlign w:val="baseline"/>
        </w:rPr>
        <w:t> </w:t>
      </w:r>
      <w:r>
        <w:rPr>
          <w:sz w:val="18"/>
          <w:vertAlign w:val="baseline"/>
        </w:rPr>
        <w:t>Bell,</w:t>
      </w:r>
      <w:r>
        <w:rPr>
          <w:spacing w:val="-3"/>
          <w:sz w:val="18"/>
          <w:vertAlign w:val="baseline"/>
        </w:rPr>
        <w:t> </w:t>
      </w:r>
      <w:r>
        <w:rPr>
          <w:sz w:val="18"/>
          <w:vertAlign w:val="baseline"/>
        </w:rPr>
        <w:t>“Queering</w:t>
      </w:r>
      <w:r>
        <w:rPr>
          <w:spacing w:val="-3"/>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Unequal</w:t>
      </w:r>
      <w:r>
        <w:rPr>
          <w:spacing w:val="-3"/>
          <w:sz w:val="18"/>
          <w:vertAlign w:val="baseline"/>
        </w:rPr>
        <w:t> </w:t>
      </w:r>
      <w:r>
        <w:rPr>
          <w:sz w:val="18"/>
          <w:vertAlign w:val="baseline"/>
        </w:rPr>
        <w:t>Environmental</w:t>
      </w:r>
      <w:r>
        <w:rPr>
          <w:spacing w:val="-3"/>
          <w:sz w:val="18"/>
          <w:vertAlign w:val="baseline"/>
        </w:rPr>
        <w:t> </w:t>
      </w:r>
      <w:r>
        <w:rPr>
          <w:sz w:val="18"/>
          <w:vertAlign w:val="baseline"/>
        </w:rPr>
        <w:t>Health</w:t>
      </w:r>
      <w:r>
        <w:rPr>
          <w:spacing w:val="-2"/>
          <w:sz w:val="18"/>
          <w:vertAlign w:val="baseline"/>
        </w:rPr>
        <w:t> </w:t>
      </w:r>
      <w:r>
        <w:rPr>
          <w:sz w:val="18"/>
          <w:vertAlign w:val="baseline"/>
        </w:rPr>
        <w:t>Burden</w:t>
      </w:r>
      <w:r>
        <w:rPr>
          <w:spacing w:val="-2"/>
          <w:sz w:val="18"/>
          <w:vertAlign w:val="baseline"/>
        </w:rPr>
        <w:t> </w:t>
      </w:r>
      <w:r>
        <w:rPr>
          <w:sz w:val="18"/>
          <w:vertAlign w:val="baseline"/>
        </w:rPr>
        <w:t>on</w:t>
      </w:r>
      <w:r>
        <w:rPr>
          <w:spacing w:val="-3"/>
          <w:sz w:val="18"/>
          <w:vertAlign w:val="baseline"/>
        </w:rPr>
        <w:t> </w:t>
      </w:r>
      <w:r>
        <w:rPr>
          <w:sz w:val="18"/>
          <w:vertAlign w:val="baseline"/>
        </w:rPr>
        <w:t>the</w:t>
      </w:r>
      <w:r>
        <w:rPr>
          <w:spacing w:val="-2"/>
          <w:sz w:val="18"/>
          <w:vertAlign w:val="baseline"/>
        </w:rPr>
        <w:t> </w:t>
      </w:r>
      <w:r>
        <w:rPr>
          <w:sz w:val="18"/>
          <w:vertAlign w:val="baseline"/>
        </w:rPr>
        <w:t>LGBTQ+ Community,”</w:t>
      </w:r>
      <w:r>
        <w:rPr>
          <w:spacing w:val="-5"/>
          <w:sz w:val="18"/>
          <w:vertAlign w:val="baseline"/>
        </w:rPr>
        <w:t> </w:t>
      </w:r>
      <w:r>
        <w:rPr>
          <w:i/>
          <w:sz w:val="18"/>
          <w:vertAlign w:val="baseline"/>
        </w:rPr>
        <w:t>American</w:t>
      </w:r>
      <w:r>
        <w:rPr>
          <w:i/>
          <w:spacing w:val="-2"/>
          <w:sz w:val="18"/>
          <w:vertAlign w:val="baseline"/>
        </w:rPr>
        <w:t> </w:t>
      </w:r>
      <w:r>
        <w:rPr>
          <w:i/>
          <w:sz w:val="18"/>
          <w:vertAlign w:val="baseline"/>
        </w:rPr>
        <w:t>Journal</w:t>
      </w:r>
      <w:r>
        <w:rPr>
          <w:i/>
          <w:spacing w:val="-2"/>
          <w:sz w:val="18"/>
          <w:vertAlign w:val="baseline"/>
        </w:rPr>
        <w:t> </w:t>
      </w:r>
      <w:r>
        <w:rPr>
          <w:i/>
          <w:sz w:val="18"/>
          <w:vertAlign w:val="baseline"/>
        </w:rPr>
        <w:t>of</w:t>
      </w:r>
      <w:r>
        <w:rPr>
          <w:i/>
          <w:spacing w:val="-3"/>
          <w:sz w:val="18"/>
          <w:vertAlign w:val="baseline"/>
        </w:rPr>
        <w:t> </w:t>
      </w:r>
      <w:r>
        <w:rPr>
          <w:i/>
          <w:sz w:val="18"/>
          <w:vertAlign w:val="baseline"/>
        </w:rPr>
        <w:t>Public</w:t>
      </w:r>
      <w:r>
        <w:rPr>
          <w:i/>
          <w:spacing w:val="-3"/>
          <w:sz w:val="18"/>
          <w:vertAlign w:val="baseline"/>
        </w:rPr>
        <w:t> </w:t>
      </w:r>
      <w:r>
        <w:rPr>
          <w:i/>
          <w:sz w:val="18"/>
          <w:vertAlign w:val="baseline"/>
        </w:rPr>
        <w:t>Health</w:t>
      </w:r>
      <w:r>
        <w:rPr>
          <w:i/>
          <w:spacing w:val="-2"/>
          <w:sz w:val="18"/>
          <w:vertAlign w:val="baseline"/>
        </w:rPr>
        <w:t> </w:t>
      </w:r>
      <w:r>
        <w:rPr>
          <w:sz w:val="18"/>
          <w:vertAlign w:val="baseline"/>
        </w:rPr>
        <w:t>112,</w:t>
      </w:r>
      <w:r>
        <w:rPr>
          <w:spacing w:val="-3"/>
          <w:sz w:val="18"/>
          <w:vertAlign w:val="baseline"/>
        </w:rPr>
        <w:t> </w:t>
      </w:r>
      <w:r>
        <w:rPr>
          <w:sz w:val="18"/>
          <w:vertAlign w:val="baseline"/>
        </w:rPr>
        <w:t>no.</w:t>
      </w:r>
      <w:r>
        <w:rPr>
          <w:spacing w:val="-2"/>
          <w:sz w:val="18"/>
          <w:vertAlign w:val="baseline"/>
        </w:rPr>
        <w:t> </w:t>
      </w:r>
      <w:r>
        <w:rPr>
          <w:sz w:val="18"/>
          <w:vertAlign w:val="baseline"/>
        </w:rPr>
        <w:t>1</w:t>
      </w:r>
      <w:r>
        <w:rPr>
          <w:spacing w:val="-3"/>
          <w:sz w:val="18"/>
          <w:vertAlign w:val="baseline"/>
        </w:rPr>
        <w:t> </w:t>
      </w:r>
      <w:r>
        <w:rPr>
          <w:sz w:val="18"/>
          <w:vertAlign w:val="baseline"/>
        </w:rPr>
        <w:t>(January</w:t>
      </w:r>
      <w:r>
        <w:rPr>
          <w:spacing w:val="-2"/>
          <w:sz w:val="18"/>
          <w:vertAlign w:val="baseline"/>
        </w:rPr>
        <w:t> </w:t>
      </w:r>
      <w:r>
        <w:rPr>
          <w:sz w:val="18"/>
          <w:vertAlign w:val="baseline"/>
        </w:rPr>
        <w:t>2022):</w:t>
      </w:r>
      <w:r>
        <w:rPr>
          <w:spacing w:val="-2"/>
          <w:sz w:val="18"/>
          <w:vertAlign w:val="baseline"/>
        </w:rPr>
        <w:t> </w:t>
      </w:r>
      <w:r>
        <w:rPr>
          <w:sz w:val="18"/>
          <w:vertAlign w:val="baseline"/>
        </w:rPr>
        <w:t>79–87,</w:t>
      </w:r>
      <w:r>
        <w:rPr>
          <w:spacing w:val="-3"/>
          <w:sz w:val="18"/>
          <w:vertAlign w:val="baseline"/>
        </w:rPr>
        <w:t> </w:t>
      </w:r>
      <w:r>
        <w:rPr>
          <w:spacing w:val="-2"/>
          <w:sz w:val="18"/>
          <w:vertAlign w:val="baseline"/>
        </w:rPr>
        <w:t>https://doi.org/10.2105/AJPH.2021.306406.</w:t>
      </w:r>
    </w:p>
    <w:p>
      <w:pPr>
        <w:spacing w:before="12"/>
        <w:ind w:left="323" w:right="0" w:firstLine="0"/>
        <w:jc w:val="left"/>
        <w:rPr>
          <w:sz w:val="18"/>
        </w:rPr>
      </w:pPr>
      <w:r>
        <w:rPr>
          <w:sz w:val="18"/>
          <w:vertAlign w:val="superscript"/>
        </w:rPr>
        <w:t>18</w:t>
      </w:r>
      <w:r>
        <w:rPr>
          <w:spacing w:val="-12"/>
          <w:sz w:val="18"/>
          <w:vertAlign w:val="baseline"/>
        </w:rPr>
        <w:t> </w:t>
      </w:r>
      <w:r>
        <w:rPr>
          <w:sz w:val="18"/>
          <w:vertAlign w:val="baseline"/>
        </w:rPr>
        <w:t>Collins,</w:t>
      </w:r>
      <w:r>
        <w:rPr>
          <w:spacing w:val="-5"/>
          <w:sz w:val="18"/>
          <w:vertAlign w:val="baseline"/>
        </w:rPr>
        <w:t> </w:t>
      </w:r>
      <w:r>
        <w:rPr>
          <w:sz w:val="18"/>
          <w:vertAlign w:val="baseline"/>
        </w:rPr>
        <w:t>Grineski,</w:t>
      </w:r>
      <w:r>
        <w:rPr>
          <w:spacing w:val="-2"/>
          <w:sz w:val="18"/>
          <w:vertAlign w:val="baseline"/>
        </w:rPr>
        <w:t> </w:t>
      </w:r>
      <w:r>
        <w:rPr>
          <w:sz w:val="18"/>
          <w:vertAlign w:val="baseline"/>
        </w:rPr>
        <w:t>and</w:t>
      </w:r>
      <w:r>
        <w:rPr>
          <w:spacing w:val="-2"/>
          <w:sz w:val="18"/>
          <w:vertAlign w:val="baseline"/>
        </w:rPr>
        <w:t> </w:t>
      </w:r>
      <w:r>
        <w:rPr>
          <w:sz w:val="18"/>
          <w:vertAlign w:val="baseline"/>
        </w:rPr>
        <w:t>Morales,</w:t>
      </w:r>
      <w:r>
        <w:rPr>
          <w:spacing w:val="-2"/>
          <w:sz w:val="18"/>
          <w:vertAlign w:val="baseline"/>
        </w:rPr>
        <w:t> </w:t>
      </w:r>
      <w:r>
        <w:rPr>
          <w:sz w:val="18"/>
          <w:vertAlign w:val="baseline"/>
        </w:rPr>
        <w:t>“We</w:t>
      </w:r>
      <w:r>
        <w:rPr>
          <w:spacing w:val="-2"/>
          <w:sz w:val="18"/>
          <w:vertAlign w:val="baseline"/>
        </w:rPr>
        <w:t> </w:t>
      </w:r>
      <w:r>
        <w:rPr>
          <w:sz w:val="18"/>
          <w:vertAlign w:val="baseline"/>
        </w:rPr>
        <w:t>Need</w:t>
      </w:r>
      <w:r>
        <w:rPr>
          <w:spacing w:val="-2"/>
          <w:sz w:val="18"/>
          <w:vertAlign w:val="baseline"/>
        </w:rPr>
        <w:t> </w:t>
      </w:r>
      <w:r>
        <w:rPr>
          <w:sz w:val="18"/>
          <w:vertAlign w:val="baseline"/>
        </w:rPr>
        <w:t>Environmental</w:t>
      </w:r>
      <w:r>
        <w:rPr>
          <w:spacing w:val="-2"/>
          <w:sz w:val="18"/>
          <w:vertAlign w:val="baseline"/>
        </w:rPr>
        <w:t> </w:t>
      </w:r>
      <w:r>
        <w:rPr>
          <w:sz w:val="18"/>
          <w:vertAlign w:val="baseline"/>
        </w:rPr>
        <w:t>Health</w:t>
      </w:r>
      <w:r>
        <w:rPr>
          <w:spacing w:val="-2"/>
          <w:sz w:val="18"/>
          <w:vertAlign w:val="baseline"/>
        </w:rPr>
        <w:t> </w:t>
      </w:r>
      <w:r>
        <w:rPr>
          <w:sz w:val="18"/>
          <w:vertAlign w:val="baseline"/>
        </w:rPr>
        <w:t>Justice</w:t>
      </w:r>
      <w:r>
        <w:rPr>
          <w:spacing w:val="-2"/>
          <w:sz w:val="18"/>
          <w:vertAlign w:val="baseline"/>
        </w:rPr>
        <w:t> </w:t>
      </w:r>
      <w:r>
        <w:rPr>
          <w:sz w:val="18"/>
          <w:vertAlign w:val="baseline"/>
        </w:rPr>
        <w:t>Research</w:t>
      </w:r>
      <w:r>
        <w:rPr>
          <w:spacing w:val="-2"/>
          <w:sz w:val="18"/>
          <w:vertAlign w:val="baseline"/>
        </w:rPr>
        <w:t> </w:t>
      </w:r>
      <w:r>
        <w:rPr>
          <w:sz w:val="18"/>
          <w:vertAlign w:val="baseline"/>
        </w:rPr>
        <w:t>and</w:t>
      </w:r>
      <w:r>
        <w:rPr>
          <w:spacing w:val="-2"/>
          <w:sz w:val="18"/>
          <w:vertAlign w:val="baseline"/>
        </w:rPr>
        <w:t> </w:t>
      </w:r>
      <w:r>
        <w:rPr>
          <w:sz w:val="18"/>
          <w:vertAlign w:val="baseline"/>
        </w:rPr>
        <w:t>Action</w:t>
      </w:r>
      <w:r>
        <w:rPr>
          <w:spacing w:val="-1"/>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People.”</w:t>
      </w:r>
    </w:p>
    <w:p>
      <w:pPr>
        <w:spacing w:line="252" w:lineRule="auto" w:before="24"/>
        <w:ind w:left="323" w:right="164" w:firstLine="0"/>
        <w:jc w:val="left"/>
        <w:rPr>
          <w:sz w:val="18"/>
        </w:rPr>
      </w:pPr>
      <w:r>
        <w:rPr>
          <w:sz w:val="18"/>
          <w:vertAlign w:val="superscript"/>
        </w:rPr>
        <w:t>19</w:t>
      </w:r>
      <w:r>
        <w:rPr>
          <w:spacing w:val="-8"/>
          <w:sz w:val="18"/>
          <w:vertAlign w:val="baseline"/>
        </w:rPr>
        <w:t> </w:t>
      </w:r>
      <w:r>
        <w:rPr>
          <w:sz w:val="18"/>
          <w:vertAlign w:val="baseline"/>
        </w:rPr>
        <w:t>Bianca D M Wilson et al., “LGBTQ Poverty in the United States: Trends at the Onset of COVID-19” (Williams Institute, UCLA School</w:t>
      </w:r>
      <w:r>
        <w:rPr>
          <w:spacing w:val="-8"/>
          <w:sz w:val="18"/>
          <w:vertAlign w:val="baseline"/>
        </w:rPr>
        <w:t> </w:t>
      </w:r>
      <w:r>
        <w:rPr>
          <w:sz w:val="18"/>
          <w:vertAlign w:val="baseline"/>
        </w:rPr>
        <w:t>of</w:t>
      </w:r>
      <w:r>
        <w:rPr>
          <w:spacing w:val="-7"/>
          <w:sz w:val="18"/>
          <w:vertAlign w:val="baseline"/>
        </w:rPr>
        <w:t> </w:t>
      </w:r>
      <w:r>
        <w:rPr>
          <w:sz w:val="18"/>
          <w:vertAlign w:val="baseline"/>
        </w:rPr>
        <w:t>Law,</w:t>
      </w:r>
      <w:r>
        <w:rPr>
          <w:spacing w:val="-8"/>
          <w:sz w:val="18"/>
          <w:vertAlign w:val="baseline"/>
        </w:rPr>
        <w:t> </w:t>
      </w:r>
      <w:r>
        <w:rPr>
          <w:sz w:val="18"/>
          <w:vertAlign w:val="baseline"/>
        </w:rPr>
        <w:t>February</w:t>
      </w:r>
      <w:r>
        <w:rPr>
          <w:spacing w:val="-7"/>
          <w:sz w:val="18"/>
          <w:vertAlign w:val="baseline"/>
        </w:rPr>
        <w:t> </w:t>
      </w:r>
      <w:r>
        <w:rPr>
          <w:sz w:val="18"/>
          <w:vertAlign w:val="baseline"/>
        </w:rPr>
        <w:t>2023),</w:t>
      </w:r>
      <w:r>
        <w:rPr>
          <w:spacing w:val="-8"/>
          <w:sz w:val="18"/>
          <w:vertAlign w:val="baseline"/>
        </w:rPr>
        <w:t> </w:t>
      </w:r>
      <w:r>
        <w:rPr>
          <w:sz w:val="18"/>
          <w:vertAlign w:val="baseline"/>
        </w:rPr>
        <w:t>https://williamsinstitute.law.ucla.edu/wp-content/uploads/LGBT-Poverty-COVID-Feb-2023.pdf. </w:t>
      </w:r>
      <w:r>
        <w:rPr>
          <w:sz w:val="18"/>
          <w:vertAlign w:val="superscript"/>
        </w:rPr>
        <w:t>20</w:t>
      </w:r>
      <w:r>
        <w:rPr>
          <w:spacing w:val="-8"/>
          <w:sz w:val="18"/>
          <w:vertAlign w:val="baseline"/>
        </w:rPr>
        <w:t> </w:t>
      </w:r>
      <w:r>
        <w:rPr>
          <w:sz w:val="18"/>
          <w:vertAlign w:val="baseline"/>
        </w:rPr>
        <w:t>Soon Kyu Cho, M.V. Lee Badgett, and Bianca D.M. Wilson, “State Profiles of LGBT Poverty in the United States” (Williams Institute, UCLA School of Law, December 2019), https://doi.org/10.4324/9780429397868-75.</w:t>
      </w:r>
    </w:p>
    <w:p>
      <w:pPr>
        <w:spacing w:line="247" w:lineRule="auto" w:before="4"/>
        <w:ind w:left="323" w:right="2066" w:hanging="1"/>
        <w:jc w:val="left"/>
        <w:rPr>
          <w:sz w:val="18"/>
        </w:rPr>
      </w:pPr>
      <w:r>
        <w:rPr>
          <w:sz w:val="18"/>
          <w:vertAlign w:val="superscript"/>
        </w:rPr>
        <w:t>21</w:t>
      </w:r>
      <w:r>
        <w:rPr>
          <w:spacing w:val="-12"/>
          <w:sz w:val="18"/>
          <w:vertAlign w:val="baseline"/>
        </w:rPr>
        <w:t> </w:t>
      </w:r>
      <w:r>
        <w:rPr>
          <w:sz w:val="18"/>
          <w:vertAlign w:val="baseline"/>
        </w:rPr>
        <w:t>American</w:t>
      </w:r>
      <w:r>
        <w:rPr>
          <w:spacing w:val="-3"/>
          <w:sz w:val="18"/>
          <w:vertAlign w:val="baseline"/>
        </w:rPr>
        <w:t> </w:t>
      </w:r>
      <w:r>
        <w:rPr>
          <w:sz w:val="18"/>
          <w:vertAlign w:val="baseline"/>
        </w:rPr>
        <w:t>Lung</w:t>
      </w:r>
      <w:r>
        <w:rPr>
          <w:spacing w:val="-2"/>
          <w:sz w:val="18"/>
          <w:vertAlign w:val="baseline"/>
        </w:rPr>
        <w:t> </w:t>
      </w:r>
      <w:r>
        <w:rPr>
          <w:sz w:val="18"/>
          <w:vertAlign w:val="baseline"/>
        </w:rPr>
        <w:t>Association,</w:t>
      </w:r>
      <w:r>
        <w:rPr>
          <w:spacing w:val="-3"/>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Impact</w:t>
      </w:r>
      <w:r>
        <w:rPr>
          <w:spacing w:val="-3"/>
          <w:sz w:val="18"/>
          <w:vertAlign w:val="baseline"/>
        </w:rPr>
        <w:t> </w:t>
      </w:r>
      <w:r>
        <w:rPr>
          <w:sz w:val="18"/>
          <w:vertAlign w:val="baseline"/>
        </w:rPr>
        <w:t>of</w:t>
      </w:r>
      <w:r>
        <w:rPr>
          <w:spacing w:val="-2"/>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accessed</w:t>
      </w:r>
      <w:r>
        <w:rPr>
          <w:spacing w:val="-2"/>
          <w:sz w:val="18"/>
          <w:vertAlign w:val="baseline"/>
        </w:rPr>
        <w:t> </w:t>
      </w:r>
      <w:r>
        <w:rPr>
          <w:sz w:val="18"/>
          <w:vertAlign w:val="baseline"/>
        </w:rPr>
        <w:t>February</w:t>
      </w:r>
      <w:r>
        <w:rPr>
          <w:spacing w:val="-2"/>
          <w:sz w:val="18"/>
          <w:vertAlign w:val="baseline"/>
        </w:rPr>
        <w:t> </w:t>
      </w:r>
      <w:r>
        <w:rPr>
          <w:sz w:val="18"/>
          <w:vertAlign w:val="baseline"/>
        </w:rPr>
        <w:t>19,</w:t>
      </w:r>
      <w:r>
        <w:rPr>
          <w:spacing w:val="-4"/>
          <w:sz w:val="18"/>
          <w:vertAlign w:val="baseline"/>
        </w:rPr>
        <w:t> </w:t>
      </w:r>
      <w:r>
        <w:rPr>
          <w:sz w:val="18"/>
          <w:vertAlign w:val="baseline"/>
        </w:rPr>
        <w:t>2023, </w:t>
      </w:r>
      <w:r>
        <w:rPr>
          <w:spacing w:val="-2"/>
          <w:sz w:val="18"/>
          <w:vertAlign w:val="baseline"/>
        </w:rPr>
        <w:t>https://</w:t>
      </w:r>
      <w:hyperlink r:id="rId629">
        <w:r>
          <w:rPr>
            <w:spacing w:val="-2"/>
            <w:sz w:val="18"/>
            <w:vertAlign w:val="baseline"/>
          </w:rPr>
          <w:t>www.lung.org/clean-air/outdoors/who-is-at-risk/disparities</w:t>
        </w:r>
      </w:hyperlink>
    </w:p>
    <w:p>
      <w:pPr>
        <w:spacing w:before="12"/>
        <w:ind w:left="323" w:right="0" w:firstLine="0"/>
        <w:jc w:val="left"/>
        <w:rPr>
          <w:sz w:val="18"/>
        </w:rPr>
      </w:pPr>
      <w:r>
        <w:rPr>
          <w:sz w:val="18"/>
          <w:vertAlign w:val="superscript"/>
        </w:rPr>
        <w:t>22</w:t>
      </w:r>
      <w:r>
        <w:rPr>
          <w:spacing w:val="-12"/>
          <w:sz w:val="18"/>
          <w:vertAlign w:val="baseline"/>
        </w:rPr>
        <w:t> </w:t>
      </w:r>
      <w:r>
        <w:rPr>
          <w:sz w:val="18"/>
          <w:vertAlign w:val="baseline"/>
        </w:rPr>
        <w:t>Jiawen</w:t>
      </w:r>
      <w:r>
        <w:rPr>
          <w:spacing w:val="-3"/>
          <w:sz w:val="18"/>
          <w:vertAlign w:val="baseline"/>
        </w:rPr>
        <w:t> </w:t>
      </w:r>
      <w:r>
        <w:rPr>
          <w:sz w:val="18"/>
          <w:vertAlign w:val="baseline"/>
        </w:rPr>
        <w:t>Liu</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“Disparities</w:t>
      </w:r>
      <w:r>
        <w:rPr>
          <w:spacing w:val="-2"/>
          <w:sz w:val="18"/>
          <w:vertAlign w:val="baseline"/>
        </w:rPr>
        <w:t> </w:t>
      </w:r>
      <w:r>
        <w:rPr>
          <w:sz w:val="18"/>
          <w:vertAlign w:val="baseline"/>
        </w:rPr>
        <w:t>in</w:t>
      </w:r>
      <w:r>
        <w:rPr>
          <w:spacing w:val="-2"/>
          <w:sz w:val="18"/>
          <w:vertAlign w:val="baseline"/>
        </w:rPr>
        <w:t> </w:t>
      </w:r>
      <w:r>
        <w:rPr>
          <w:sz w:val="18"/>
          <w:vertAlign w:val="baseline"/>
        </w:rPr>
        <w:t>Air</w:t>
      </w:r>
      <w:r>
        <w:rPr>
          <w:spacing w:val="-2"/>
          <w:sz w:val="18"/>
          <w:vertAlign w:val="baseline"/>
        </w:rPr>
        <w:t> </w:t>
      </w:r>
      <w:r>
        <w:rPr>
          <w:sz w:val="18"/>
          <w:vertAlign w:val="baseline"/>
        </w:rPr>
        <w:t>Pollution</w:t>
      </w:r>
      <w:r>
        <w:rPr>
          <w:spacing w:val="-2"/>
          <w:sz w:val="18"/>
          <w:vertAlign w:val="baseline"/>
        </w:rPr>
        <w:t> </w:t>
      </w:r>
      <w:r>
        <w:rPr>
          <w:sz w:val="18"/>
          <w:vertAlign w:val="baseline"/>
        </w:rPr>
        <w:t>Exposure</w:t>
      </w:r>
      <w:r>
        <w:rPr>
          <w:spacing w:val="-2"/>
          <w:sz w:val="18"/>
          <w:vertAlign w:val="baseline"/>
        </w:rPr>
        <w:t> </w:t>
      </w:r>
      <w:r>
        <w:rPr>
          <w:sz w:val="18"/>
          <w:vertAlign w:val="baseline"/>
        </w:rPr>
        <w:t>in</w:t>
      </w:r>
      <w:r>
        <w:rPr>
          <w:spacing w:val="-1"/>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1"/>
          <w:sz w:val="18"/>
          <w:vertAlign w:val="baseline"/>
        </w:rPr>
        <w:t> </w:t>
      </w:r>
      <w:r>
        <w:rPr>
          <w:sz w:val="18"/>
          <w:vertAlign w:val="baseline"/>
        </w:rPr>
        <w:t>by</w:t>
      </w:r>
      <w:r>
        <w:rPr>
          <w:spacing w:val="-2"/>
          <w:sz w:val="18"/>
          <w:vertAlign w:val="baseline"/>
        </w:rPr>
        <w:t> </w:t>
      </w:r>
      <w:r>
        <w:rPr>
          <w:sz w:val="18"/>
          <w:vertAlign w:val="baseline"/>
        </w:rPr>
        <w:t>Race/Ethnicity</w:t>
      </w:r>
      <w:r>
        <w:rPr>
          <w:spacing w:val="-2"/>
          <w:sz w:val="18"/>
          <w:vertAlign w:val="baseline"/>
        </w:rPr>
        <w:t> </w:t>
      </w:r>
      <w:r>
        <w:rPr>
          <w:sz w:val="18"/>
          <w:vertAlign w:val="baseline"/>
        </w:rPr>
        <w:t>and</w:t>
      </w:r>
      <w:r>
        <w:rPr>
          <w:spacing w:val="-1"/>
          <w:sz w:val="18"/>
          <w:vertAlign w:val="baseline"/>
        </w:rPr>
        <w:t> </w:t>
      </w:r>
      <w:r>
        <w:rPr>
          <w:sz w:val="18"/>
          <w:vertAlign w:val="baseline"/>
        </w:rPr>
        <w:t>Income,</w:t>
      </w:r>
      <w:r>
        <w:rPr>
          <w:spacing w:val="-3"/>
          <w:sz w:val="18"/>
          <w:vertAlign w:val="baseline"/>
        </w:rPr>
        <w:t> </w:t>
      </w:r>
      <w:r>
        <w:rPr>
          <w:spacing w:val="-2"/>
          <w:sz w:val="18"/>
          <w:vertAlign w:val="baseline"/>
        </w:rPr>
        <w:t>1990–2010,”</w:t>
      </w:r>
    </w:p>
    <w:p>
      <w:pPr>
        <w:spacing w:before="6"/>
        <w:ind w:left="323" w:right="0" w:firstLine="0"/>
        <w:jc w:val="left"/>
        <w:rPr>
          <w:sz w:val="18"/>
        </w:rPr>
      </w:pPr>
      <w:r>
        <w:rPr>
          <w:i/>
          <w:sz w:val="18"/>
        </w:rPr>
        <w:t>Environmental</w:t>
      </w:r>
      <w:r>
        <w:rPr>
          <w:i/>
          <w:spacing w:val="-5"/>
          <w:sz w:val="18"/>
        </w:rPr>
        <w:t> </w:t>
      </w:r>
      <w:r>
        <w:rPr>
          <w:i/>
          <w:sz w:val="18"/>
        </w:rPr>
        <w:t>Health</w:t>
      </w:r>
      <w:r>
        <w:rPr>
          <w:i/>
          <w:spacing w:val="-2"/>
          <w:sz w:val="18"/>
        </w:rPr>
        <w:t> </w:t>
      </w:r>
      <w:r>
        <w:rPr>
          <w:i/>
          <w:sz w:val="18"/>
        </w:rPr>
        <w:t>Perspectives</w:t>
      </w:r>
      <w:r>
        <w:rPr>
          <w:i/>
          <w:spacing w:val="-3"/>
          <w:sz w:val="18"/>
        </w:rPr>
        <w:t> </w:t>
      </w:r>
      <w:r>
        <w:rPr>
          <w:sz w:val="18"/>
        </w:rPr>
        <w:t>129,</w:t>
      </w:r>
      <w:r>
        <w:rPr>
          <w:spacing w:val="-3"/>
          <w:sz w:val="18"/>
        </w:rPr>
        <w:t> </w:t>
      </w:r>
      <w:r>
        <w:rPr>
          <w:sz w:val="18"/>
        </w:rPr>
        <w:t>no.</w:t>
      </w:r>
      <w:r>
        <w:rPr>
          <w:spacing w:val="-3"/>
          <w:sz w:val="18"/>
        </w:rPr>
        <w:t> </w:t>
      </w:r>
      <w:r>
        <w:rPr>
          <w:sz w:val="18"/>
        </w:rPr>
        <w:t>12</w:t>
      </w:r>
      <w:r>
        <w:rPr>
          <w:spacing w:val="-2"/>
          <w:sz w:val="18"/>
        </w:rPr>
        <w:t> </w:t>
      </w:r>
      <w:r>
        <w:rPr>
          <w:sz w:val="18"/>
        </w:rPr>
        <w:t>(n.d.):</w:t>
      </w:r>
      <w:r>
        <w:rPr>
          <w:spacing w:val="-2"/>
          <w:sz w:val="18"/>
        </w:rPr>
        <w:t> </w:t>
      </w:r>
      <w:r>
        <w:rPr>
          <w:sz w:val="18"/>
        </w:rPr>
        <w:t>127005,</w:t>
      </w:r>
      <w:r>
        <w:rPr>
          <w:spacing w:val="-3"/>
          <w:sz w:val="18"/>
        </w:rPr>
        <w:t> </w:t>
      </w:r>
      <w:r>
        <w:rPr>
          <w:spacing w:val="-2"/>
          <w:sz w:val="18"/>
        </w:rPr>
        <w:t>https://doi.org/10.1289/EHP8584.</w:t>
      </w:r>
    </w:p>
    <w:p>
      <w:pPr>
        <w:spacing w:line="244" w:lineRule="auto" w:before="18"/>
        <w:ind w:left="323" w:right="74" w:hanging="1"/>
        <w:jc w:val="left"/>
        <w:rPr>
          <w:sz w:val="18"/>
        </w:rPr>
      </w:pPr>
      <w:r>
        <w:rPr>
          <w:sz w:val="18"/>
          <w:vertAlign w:val="superscript"/>
        </w:rPr>
        <w:t>23</w:t>
      </w:r>
      <w:r>
        <w:rPr>
          <w:spacing w:val="-6"/>
          <w:sz w:val="18"/>
          <w:vertAlign w:val="baseline"/>
        </w:rPr>
        <w:t> </w:t>
      </w:r>
      <w:r>
        <w:rPr>
          <w:sz w:val="18"/>
          <w:vertAlign w:val="baseline"/>
        </w:rPr>
        <w:t>Timothy W. Collins, Sara E. Grineski, and Danielle X. Morales, “Sexual Orientation, Gender, and Environmental Injustice: Unequal</w:t>
      </w:r>
      <w:r>
        <w:rPr>
          <w:spacing w:val="-3"/>
          <w:sz w:val="18"/>
          <w:vertAlign w:val="baseline"/>
        </w:rPr>
        <w:t> </w:t>
      </w:r>
      <w:r>
        <w:rPr>
          <w:sz w:val="18"/>
          <w:vertAlign w:val="baseline"/>
        </w:rPr>
        <w:t>Carcinogenic</w:t>
      </w:r>
      <w:r>
        <w:rPr>
          <w:spacing w:val="-3"/>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Risks</w:t>
      </w:r>
      <w:r>
        <w:rPr>
          <w:spacing w:val="-2"/>
          <w:sz w:val="18"/>
          <w:vertAlign w:val="baseline"/>
        </w:rPr>
        <w:t> </w:t>
      </w:r>
      <w:r>
        <w:rPr>
          <w:sz w:val="18"/>
          <w:vertAlign w:val="baseline"/>
        </w:rPr>
        <w:t>in</w:t>
      </w:r>
      <w:r>
        <w:rPr>
          <w:spacing w:val="-2"/>
          <w:sz w:val="18"/>
          <w:vertAlign w:val="baseline"/>
        </w:rPr>
        <w:t> </w:t>
      </w:r>
      <w:r>
        <w:rPr>
          <w:sz w:val="18"/>
          <w:vertAlign w:val="baseline"/>
        </w:rPr>
        <w:t>Greater</w:t>
      </w:r>
      <w:r>
        <w:rPr>
          <w:spacing w:val="-3"/>
          <w:sz w:val="18"/>
          <w:vertAlign w:val="baseline"/>
        </w:rPr>
        <w:t> </w:t>
      </w:r>
      <w:r>
        <w:rPr>
          <w:sz w:val="18"/>
          <w:vertAlign w:val="baseline"/>
        </w:rPr>
        <w:t>Houston,”</w:t>
      </w:r>
      <w:r>
        <w:rPr>
          <w:spacing w:val="-2"/>
          <w:sz w:val="18"/>
          <w:vertAlign w:val="baseline"/>
        </w:rPr>
        <w:t> </w:t>
      </w:r>
      <w:r>
        <w:rPr>
          <w:i/>
          <w:sz w:val="18"/>
          <w:vertAlign w:val="baseline"/>
        </w:rPr>
        <w:t>Annals</w:t>
      </w:r>
      <w:r>
        <w:rPr>
          <w:i/>
          <w:spacing w:val="-3"/>
          <w:sz w:val="18"/>
          <w:vertAlign w:val="baseline"/>
        </w:rPr>
        <w:t> </w:t>
      </w:r>
      <w:r>
        <w:rPr>
          <w:i/>
          <w:sz w:val="18"/>
          <w:vertAlign w:val="baseline"/>
        </w:rPr>
        <w:t>of</w:t>
      </w:r>
      <w:r>
        <w:rPr>
          <w:i/>
          <w:spacing w:val="-2"/>
          <w:sz w:val="18"/>
          <w:vertAlign w:val="baseline"/>
        </w:rPr>
        <w:t> </w:t>
      </w:r>
      <w:r>
        <w:rPr>
          <w:i/>
          <w:sz w:val="18"/>
          <w:vertAlign w:val="baseline"/>
        </w:rPr>
        <w:t>the</w:t>
      </w:r>
      <w:r>
        <w:rPr>
          <w:i/>
          <w:spacing w:val="-2"/>
          <w:sz w:val="18"/>
          <w:vertAlign w:val="baseline"/>
        </w:rPr>
        <w:t> </w:t>
      </w:r>
      <w:r>
        <w:rPr>
          <w:i/>
          <w:sz w:val="18"/>
          <w:vertAlign w:val="baseline"/>
        </w:rPr>
        <w:t>American</w:t>
      </w:r>
      <w:r>
        <w:rPr>
          <w:i/>
          <w:spacing w:val="-3"/>
          <w:sz w:val="18"/>
          <w:vertAlign w:val="baseline"/>
        </w:rPr>
        <w:t> </w:t>
      </w:r>
      <w:r>
        <w:rPr>
          <w:i/>
          <w:sz w:val="18"/>
          <w:vertAlign w:val="baseline"/>
        </w:rPr>
        <w:t>Association</w:t>
      </w:r>
      <w:r>
        <w:rPr>
          <w:i/>
          <w:spacing w:val="-1"/>
          <w:sz w:val="18"/>
          <w:vertAlign w:val="baseline"/>
        </w:rPr>
        <w:t> </w:t>
      </w:r>
      <w:r>
        <w:rPr>
          <w:i/>
          <w:sz w:val="18"/>
          <w:vertAlign w:val="baseline"/>
        </w:rPr>
        <w:t>of</w:t>
      </w:r>
      <w:r>
        <w:rPr>
          <w:i/>
          <w:spacing w:val="-2"/>
          <w:sz w:val="18"/>
          <w:vertAlign w:val="baseline"/>
        </w:rPr>
        <w:t> </w:t>
      </w:r>
      <w:r>
        <w:rPr>
          <w:i/>
          <w:sz w:val="18"/>
          <w:vertAlign w:val="baseline"/>
        </w:rPr>
        <w:t>Geographers</w:t>
      </w:r>
      <w:r>
        <w:rPr>
          <w:i/>
          <w:spacing w:val="-3"/>
          <w:sz w:val="18"/>
          <w:vertAlign w:val="baseline"/>
        </w:rPr>
        <w:t> </w:t>
      </w:r>
      <w:r>
        <w:rPr>
          <w:sz w:val="18"/>
          <w:vertAlign w:val="baseline"/>
        </w:rPr>
        <w:t>107,</w:t>
      </w:r>
      <w:r>
        <w:rPr>
          <w:spacing w:val="-3"/>
          <w:sz w:val="18"/>
          <w:vertAlign w:val="baseline"/>
        </w:rPr>
        <w:t> </w:t>
      </w:r>
      <w:r>
        <w:rPr>
          <w:sz w:val="18"/>
          <w:vertAlign w:val="baseline"/>
        </w:rPr>
        <w:t>no.</w:t>
      </w:r>
      <w:r>
        <w:rPr>
          <w:spacing w:val="-2"/>
          <w:sz w:val="18"/>
          <w:vertAlign w:val="baseline"/>
        </w:rPr>
        <w:t> </w:t>
      </w:r>
      <w:r>
        <w:rPr>
          <w:sz w:val="18"/>
          <w:vertAlign w:val="baseline"/>
        </w:rPr>
        <w:t>1 (January 2, 2017): 72–92, https://doi.org/10.1080/24694452.2016.1218270.</w:t>
      </w:r>
    </w:p>
    <w:p>
      <w:pPr>
        <w:spacing w:line="242" w:lineRule="auto" w:before="12"/>
        <w:ind w:left="323" w:right="164" w:firstLine="0"/>
        <w:jc w:val="left"/>
        <w:rPr>
          <w:sz w:val="18"/>
        </w:rPr>
      </w:pPr>
      <w:r>
        <w:rPr>
          <w:sz w:val="18"/>
          <w:vertAlign w:val="superscript"/>
        </w:rPr>
        <w:t>24</w:t>
      </w:r>
      <w:r>
        <w:rPr>
          <w:spacing w:val="-12"/>
          <w:sz w:val="18"/>
          <w:vertAlign w:val="baseline"/>
        </w:rPr>
        <w:t> </w:t>
      </w:r>
      <w:r>
        <w:rPr>
          <w:sz w:val="18"/>
          <w:vertAlign w:val="baseline"/>
        </w:rPr>
        <w:t>Timothy</w:t>
      </w:r>
      <w:r>
        <w:rPr>
          <w:spacing w:val="-3"/>
          <w:sz w:val="18"/>
          <w:vertAlign w:val="baseline"/>
        </w:rPr>
        <w:t> </w:t>
      </w:r>
      <w:r>
        <w:rPr>
          <w:sz w:val="18"/>
          <w:vertAlign w:val="baseline"/>
        </w:rPr>
        <w:t>W.</w:t>
      </w:r>
      <w:r>
        <w:rPr>
          <w:spacing w:val="-2"/>
          <w:sz w:val="18"/>
          <w:vertAlign w:val="baseline"/>
        </w:rPr>
        <w:t> </w:t>
      </w:r>
      <w:r>
        <w:rPr>
          <w:sz w:val="18"/>
          <w:vertAlign w:val="baseline"/>
        </w:rPr>
        <w:t>Collins,</w:t>
      </w:r>
      <w:r>
        <w:rPr>
          <w:spacing w:val="-3"/>
          <w:sz w:val="18"/>
          <w:vertAlign w:val="baseline"/>
        </w:rPr>
        <w:t> </w:t>
      </w:r>
      <w:r>
        <w:rPr>
          <w:sz w:val="18"/>
          <w:vertAlign w:val="baseline"/>
        </w:rPr>
        <w:t>Sara</w:t>
      </w:r>
      <w:r>
        <w:rPr>
          <w:spacing w:val="-2"/>
          <w:sz w:val="18"/>
          <w:vertAlign w:val="baseline"/>
        </w:rPr>
        <w:t> </w:t>
      </w:r>
      <w:r>
        <w:rPr>
          <w:sz w:val="18"/>
          <w:vertAlign w:val="baseline"/>
        </w:rPr>
        <w:t>E.</w:t>
      </w:r>
      <w:r>
        <w:rPr>
          <w:spacing w:val="-2"/>
          <w:sz w:val="18"/>
          <w:vertAlign w:val="baseline"/>
        </w:rPr>
        <w:t> </w:t>
      </w:r>
      <w:r>
        <w:rPr>
          <w:sz w:val="18"/>
          <w:vertAlign w:val="baseline"/>
        </w:rPr>
        <w:t>Grineski,</w:t>
      </w:r>
      <w:r>
        <w:rPr>
          <w:spacing w:val="-3"/>
          <w:sz w:val="18"/>
          <w:vertAlign w:val="baseline"/>
        </w:rPr>
        <w:t> </w:t>
      </w:r>
      <w:r>
        <w:rPr>
          <w:sz w:val="18"/>
          <w:vertAlign w:val="baseline"/>
        </w:rPr>
        <w:t>and</w:t>
      </w:r>
      <w:r>
        <w:rPr>
          <w:spacing w:val="-2"/>
          <w:sz w:val="18"/>
          <w:vertAlign w:val="baseline"/>
        </w:rPr>
        <w:t> </w:t>
      </w:r>
      <w:r>
        <w:rPr>
          <w:sz w:val="18"/>
          <w:vertAlign w:val="baseline"/>
        </w:rPr>
        <w:t>Danielle</w:t>
      </w:r>
      <w:r>
        <w:rPr>
          <w:spacing w:val="-2"/>
          <w:sz w:val="18"/>
          <w:vertAlign w:val="baseline"/>
        </w:rPr>
        <w:t> </w:t>
      </w:r>
      <w:r>
        <w:rPr>
          <w:sz w:val="18"/>
          <w:vertAlign w:val="baseline"/>
        </w:rPr>
        <w:t>X.</w:t>
      </w:r>
      <w:r>
        <w:rPr>
          <w:spacing w:val="-2"/>
          <w:sz w:val="18"/>
          <w:vertAlign w:val="baseline"/>
        </w:rPr>
        <w:t> </w:t>
      </w:r>
      <w:r>
        <w:rPr>
          <w:sz w:val="18"/>
          <w:vertAlign w:val="baseline"/>
        </w:rPr>
        <w:t>Morales,</w:t>
      </w:r>
      <w:r>
        <w:rPr>
          <w:spacing w:val="-3"/>
          <w:sz w:val="18"/>
          <w:vertAlign w:val="baseline"/>
        </w:rPr>
        <w:t> </w:t>
      </w:r>
      <w:r>
        <w:rPr>
          <w:sz w:val="18"/>
          <w:vertAlign w:val="baseline"/>
        </w:rPr>
        <w:t>“Environmental</w:t>
      </w:r>
      <w:r>
        <w:rPr>
          <w:spacing w:val="-3"/>
          <w:sz w:val="18"/>
          <w:vertAlign w:val="baseline"/>
        </w:rPr>
        <w:t> </w:t>
      </w:r>
      <w:r>
        <w:rPr>
          <w:sz w:val="18"/>
          <w:vertAlign w:val="baseline"/>
        </w:rPr>
        <w:t>Injustice</w:t>
      </w:r>
      <w:r>
        <w:rPr>
          <w:spacing w:val="-2"/>
          <w:sz w:val="18"/>
          <w:vertAlign w:val="baseline"/>
        </w:rPr>
        <w:t> </w:t>
      </w:r>
      <w:r>
        <w:rPr>
          <w:sz w:val="18"/>
          <w:vertAlign w:val="baseline"/>
        </w:rPr>
        <w:t>and</w:t>
      </w:r>
      <w:r>
        <w:rPr>
          <w:spacing w:val="-2"/>
          <w:sz w:val="18"/>
          <w:vertAlign w:val="baseline"/>
        </w:rPr>
        <w:t> </w:t>
      </w:r>
      <w:r>
        <w:rPr>
          <w:sz w:val="18"/>
          <w:vertAlign w:val="baseline"/>
        </w:rPr>
        <w:t>Sexual</w:t>
      </w:r>
      <w:r>
        <w:rPr>
          <w:spacing w:val="-3"/>
          <w:sz w:val="18"/>
          <w:vertAlign w:val="baseline"/>
        </w:rPr>
        <w:t> </w:t>
      </w:r>
      <w:r>
        <w:rPr>
          <w:sz w:val="18"/>
          <w:vertAlign w:val="baseline"/>
        </w:rPr>
        <w:t>Minority</w:t>
      </w:r>
      <w:r>
        <w:rPr>
          <w:spacing w:val="-2"/>
          <w:sz w:val="18"/>
          <w:vertAlign w:val="baseline"/>
        </w:rPr>
        <w:t> </w:t>
      </w:r>
      <w:r>
        <w:rPr>
          <w:sz w:val="18"/>
          <w:vertAlign w:val="baseline"/>
        </w:rPr>
        <w:t>Health</w:t>
      </w:r>
      <w:r>
        <w:rPr>
          <w:spacing w:val="-2"/>
          <w:sz w:val="18"/>
          <w:vertAlign w:val="baseline"/>
        </w:rPr>
        <w:t> </w:t>
      </w:r>
      <w:r>
        <w:rPr>
          <w:sz w:val="18"/>
          <w:vertAlign w:val="baseline"/>
        </w:rPr>
        <w:t>Disparities: A National Study of Inequitable Health Risks from Air Pollution among Same-Sex Partners,” </w:t>
      </w:r>
      <w:r>
        <w:rPr>
          <w:i/>
          <w:sz w:val="18"/>
          <w:vertAlign w:val="baseline"/>
        </w:rPr>
        <w:t>Social Science &amp; Medicine </w:t>
      </w:r>
      <w:r>
        <w:rPr>
          <w:sz w:val="18"/>
          <w:vertAlign w:val="baseline"/>
        </w:rPr>
        <w:t>191 (October 1, 2017): 38–47, https://doi.org/10.1016/j.socscimed.2017.08.040.</w:t>
      </w:r>
    </w:p>
    <w:p>
      <w:pPr>
        <w:spacing w:before="18"/>
        <w:ind w:left="323" w:right="0" w:firstLine="0"/>
        <w:jc w:val="left"/>
        <w:rPr>
          <w:sz w:val="18"/>
        </w:rPr>
      </w:pPr>
      <w:r>
        <w:rPr>
          <w:sz w:val="18"/>
          <w:vertAlign w:val="superscript"/>
        </w:rPr>
        <w:t>25</w:t>
      </w:r>
      <w:r>
        <w:rPr>
          <w:spacing w:val="-12"/>
          <w:sz w:val="18"/>
          <w:vertAlign w:val="baseline"/>
        </w:rPr>
        <w:t> </w:t>
      </w:r>
      <w:r>
        <w:rPr>
          <w:sz w:val="18"/>
          <w:vertAlign w:val="baseline"/>
        </w:rPr>
        <w:t>Maeve</w:t>
      </w:r>
      <w:r>
        <w:rPr>
          <w:spacing w:val="-3"/>
          <w:sz w:val="18"/>
          <w:vertAlign w:val="baseline"/>
        </w:rPr>
        <w:t> </w:t>
      </w:r>
      <w:r>
        <w:rPr>
          <w:sz w:val="18"/>
          <w:vertAlign w:val="baseline"/>
        </w:rPr>
        <w:t>G.</w:t>
      </w:r>
      <w:r>
        <w:rPr>
          <w:spacing w:val="-2"/>
          <w:sz w:val="18"/>
          <w:vertAlign w:val="baseline"/>
        </w:rPr>
        <w:t> </w:t>
      </w:r>
      <w:r>
        <w:rPr>
          <w:sz w:val="18"/>
          <w:vertAlign w:val="baseline"/>
        </w:rPr>
        <w:t>MacMurdo</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“Ambient</w:t>
      </w:r>
      <w:r>
        <w:rPr>
          <w:spacing w:val="-3"/>
          <w:sz w:val="18"/>
          <w:vertAlign w:val="baseline"/>
        </w:rPr>
        <w:t> </w:t>
      </w:r>
      <w:r>
        <w:rPr>
          <w:sz w:val="18"/>
          <w:vertAlign w:val="baseline"/>
        </w:rPr>
        <w:t>Air</w:t>
      </w:r>
      <w:r>
        <w:rPr>
          <w:spacing w:val="-3"/>
          <w:sz w:val="18"/>
          <w:vertAlign w:val="baseline"/>
        </w:rPr>
        <w:t> </w:t>
      </w:r>
      <w:r>
        <w:rPr>
          <w:sz w:val="18"/>
          <w:vertAlign w:val="baseline"/>
        </w:rPr>
        <w:t>Pollution</w:t>
      </w:r>
      <w:r>
        <w:rPr>
          <w:spacing w:val="-1"/>
          <w:sz w:val="18"/>
          <w:vertAlign w:val="baseline"/>
        </w:rPr>
        <w:t> </w:t>
      </w:r>
      <w:r>
        <w:rPr>
          <w:sz w:val="18"/>
          <w:vertAlign w:val="baseline"/>
        </w:rPr>
        <w:t>Exposure</w:t>
      </w:r>
      <w:r>
        <w:rPr>
          <w:spacing w:val="-2"/>
          <w:sz w:val="18"/>
          <w:vertAlign w:val="baseline"/>
        </w:rPr>
        <w:t> </w:t>
      </w:r>
      <w:r>
        <w:rPr>
          <w:sz w:val="18"/>
          <w:vertAlign w:val="baseline"/>
        </w:rPr>
        <w:t>among</w:t>
      </w:r>
      <w:r>
        <w:rPr>
          <w:spacing w:val="-2"/>
          <w:sz w:val="18"/>
          <w:vertAlign w:val="baseline"/>
        </w:rPr>
        <w:t> </w:t>
      </w:r>
      <w:r>
        <w:rPr>
          <w:sz w:val="18"/>
          <w:vertAlign w:val="baseline"/>
        </w:rPr>
        <w:t>Individuals</w:t>
      </w:r>
      <w:r>
        <w:rPr>
          <w:spacing w:val="-2"/>
          <w:sz w:val="18"/>
          <w:vertAlign w:val="baseline"/>
        </w:rPr>
        <w:t> </w:t>
      </w:r>
      <w:r>
        <w:rPr>
          <w:sz w:val="18"/>
          <w:vertAlign w:val="baseline"/>
        </w:rPr>
        <w:t>Experiencing</w:t>
      </w:r>
      <w:r>
        <w:rPr>
          <w:spacing w:val="-1"/>
          <w:sz w:val="18"/>
          <w:vertAlign w:val="baseline"/>
        </w:rPr>
        <w:t> </w:t>
      </w:r>
      <w:r>
        <w:rPr>
          <w:sz w:val="18"/>
          <w:vertAlign w:val="baseline"/>
        </w:rPr>
        <w:t>Unsheltered</w:t>
      </w:r>
      <w:r>
        <w:rPr>
          <w:spacing w:val="-2"/>
          <w:sz w:val="18"/>
          <w:vertAlign w:val="baseline"/>
        </w:rPr>
        <w:t> Homelessness,”</w:t>
      </w:r>
    </w:p>
    <w:p>
      <w:pPr>
        <w:spacing w:before="6"/>
        <w:ind w:left="323" w:right="0" w:firstLine="0"/>
        <w:jc w:val="left"/>
        <w:rPr>
          <w:sz w:val="18"/>
        </w:rPr>
      </w:pPr>
      <w:r>
        <w:rPr>
          <w:i/>
          <w:sz w:val="18"/>
        </w:rPr>
        <w:t>Environmental</w:t>
      </w:r>
      <w:r>
        <w:rPr>
          <w:i/>
          <w:spacing w:val="-5"/>
          <w:sz w:val="18"/>
        </w:rPr>
        <w:t> </w:t>
      </w:r>
      <w:r>
        <w:rPr>
          <w:i/>
          <w:sz w:val="18"/>
        </w:rPr>
        <w:t>Health</w:t>
      </w:r>
      <w:r>
        <w:rPr>
          <w:i/>
          <w:spacing w:val="-2"/>
          <w:sz w:val="18"/>
        </w:rPr>
        <w:t> </w:t>
      </w:r>
      <w:r>
        <w:rPr>
          <w:i/>
          <w:sz w:val="18"/>
        </w:rPr>
        <w:t>Perspectives</w:t>
      </w:r>
      <w:r>
        <w:rPr>
          <w:i/>
          <w:spacing w:val="-4"/>
          <w:sz w:val="18"/>
        </w:rPr>
        <w:t> </w:t>
      </w:r>
      <w:r>
        <w:rPr>
          <w:sz w:val="18"/>
        </w:rPr>
        <w:t>130,</w:t>
      </w:r>
      <w:r>
        <w:rPr>
          <w:spacing w:val="-3"/>
          <w:sz w:val="18"/>
        </w:rPr>
        <w:t> </w:t>
      </w:r>
      <w:r>
        <w:rPr>
          <w:sz w:val="18"/>
        </w:rPr>
        <w:t>no.</w:t>
      </w:r>
      <w:r>
        <w:rPr>
          <w:spacing w:val="-2"/>
          <w:sz w:val="18"/>
        </w:rPr>
        <w:t> </w:t>
      </w:r>
      <w:r>
        <w:rPr>
          <w:sz w:val="18"/>
        </w:rPr>
        <w:t>2</w:t>
      </w:r>
      <w:r>
        <w:rPr>
          <w:spacing w:val="-3"/>
          <w:sz w:val="18"/>
        </w:rPr>
        <w:t> </w:t>
      </w:r>
      <w:r>
        <w:rPr>
          <w:sz w:val="18"/>
        </w:rPr>
        <w:t>(n.d.):</w:t>
      </w:r>
      <w:r>
        <w:rPr>
          <w:spacing w:val="-2"/>
          <w:sz w:val="18"/>
        </w:rPr>
        <w:t> </w:t>
      </w:r>
      <w:r>
        <w:rPr>
          <w:sz w:val="18"/>
        </w:rPr>
        <w:t>027701,</w:t>
      </w:r>
      <w:r>
        <w:rPr>
          <w:spacing w:val="-3"/>
          <w:sz w:val="18"/>
        </w:rPr>
        <w:t> </w:t>
      </w:r>
      <w:r>
        <w:rPr>
          <w:spacing w:val="-2"/>
          <w:sz w:val="18"/>
        </w:rPr>
        <w:t>https://doi.org/10.1289/EHP10414.</w:t>
      </w:r>
    </w:p>
    <w:p>
      <w:pPr>
        <w:spacing w:line="244" w:lineRule="auto" w:before="18"/>
        <w:ind w:left="323" w:right="74" w:hanging="1"/>
        <w:jc w:val="left"/>
        <w:rPr>
          <w:sz w:val="18"/>
        </w:rPr>
      </w:pPr>
      <w:r>
        <w:rPr>
          <w:sz w:val="18"/>
          <w:vertAlign w:val="superscript"/>
        </w:rPr>
        <w:t>26</w:t>
      </w:r>
      <w:r>
        <w:rPr>
          <w:spacing w:val="-12"/>
          <w:sz w:val="18"/>
          <w:vertAlign w:val="baseline"/>
        </w:rPr>
        <w:t> </w:t>
      </w:r>
      <w:r>
        <w:rPr>
          <w:sz w:val="18"/>
          <w:vertAlign w:val="baseline"/>
        </w:rPr>
        <w:t>Erin</w:t>
      </w:r>
      <w:r>
        <w:rPr>
          <w:spacing w:val="-3"/>
          <w:sz w:val="18"/>
          <w:vertAlign w:val="baseline"/>
        </w:rPr>
        <w:t> </w:t>
      </w:r>
      <w:r>
        <w:rPr>
          <w:sz w:val="18"/>
          <w:vertAlign w:val="baseline"/>
        </w:rPr>
        <w:t>Goodling,</w:t>
      </w:r>
      <w:r>
        <w:rPr>
          <w:spacing w:val="-2"/>
          <w:sz w:val="18"/>
          <w:vertAlign w:val="baseline"/>
        </w:rPr>
        <w:t> </w:t>
      </w:r>
      <w:r>
        <w:rPr>
          <w:sz w:val="18"/>
          <w:vertAlign w:val="baseline"/>
        </w:rPr>
        <w:t>“Intersecting</w:t>
      </w:r>
      <w:r>
        <w:rPr>
          <w:spacing w:val="-2"/>
          <w:sz w:val="18"/>
          <w:vertAlign w:val="baseline"/>
        </w:rPr>
        <w:t> </w:t>
      </w:r>
      <w:r>
        <w:rPr>
          <w:sz w:val="18"/>
          <w:vertAlign w:val="baseline"/>
        </w:rPr>
        <w:t>Hazards,</w:t>
      </w:r>
      <w:r>
        <w:rPr>
          <w:spacing w:val="-3"/>
          <w:sz w:val="18"/>
          <w:vertAlign w:val="baseline"/>
        </w:rPr>
        <w:t> </w:t>
      </w:r>
      <w:r>
        <w:rPr>
          <w:sz w:val="18"/>
          <w:vertAlign w:val="baseline"/>
        </w:rPr>
        <w:t>Intersectional</w:t>
      </w:r>
      <w:r>
        <w:rPr>
          <w:spacing w:val="-3"/>
          <w:sz w:val="18"/>
          <w:vertAlign w:val="baseline"/>
        </w:rPr>
        <w:t> </w:t>
      </w:r>
      <w:r>
        <w:rPr>
          <w:sz w:val="18"/>
          <w:vertAlign w:val="baseline"/>
        </w:rPr>
        <w:t>Identities:</w:t>
      </w:r>
      <w:r>
        <w:rPr>
          <w:spacing w:val="-2"/>
          <w:sz w:val="18"/>
          <w:vertAlign w:val="baseline"/>
        </w:rPr>
        <w:t> </w:t>
      </w:r>
      <w:r>
        <w:rPr>
          <w:sz w:val="18"/>
          <w:vertAlign w:val="baseline"/>
        </w:rPr>
        <w:t>A</w:t>
      </w:r>
      <w:r>
        <w:rPr>
          <w:spacing w:val="-2"/>
          <w:sz w:val="18"/>
          <w:vertAlign w:val="baseline"/>
        </w:rPr>
        <w:t> </w:t>
      </w:r>
      <w:r>
        <w:rPr>
          <w:sz w:val="18"/>
          <w:vertAlign w:val="baseline"/>
        </w:rPr>
        <w:t>Baseline</w:t>
      </w:r>
      <w:r>
        <w:rPr>
          <w:spacing w:val="-2"/>
          <w:sz w:val="18"/>
          <w:vertAlign w:val="baseline"/>
        </w:rPr>
        <w:t> </w:t>
      </w:r>
      <w:r>
        <w:rPr>
          <w:sz w:val="18"/>
          <w:vertAlign w:val="baseline"/>
        </w:rPr>
        <w:t>Critical</w:t>
      </w:r>
      <w:r>
        <w:rPr>
          <w:spacing w:val="-3"/>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Analysis</w:t>
      </w:r>
      <w:r>
        <w:rPr>
          <w:spacing w:val="-2"/>
          <w:sz w:val="18"/>
          <w:vertAlign w:val="baseline"/>
        </w:rPr>
        <w:t> </w:t>
      </w:r>
      <w:r>
        <w:rPr>
          <w:sz w:val="18"/>
          <w:vertAlign w:val="baseline"/>
        </w:rPr>
        <w:t>of</w:t>
      </w:r>
      <w:r>
        <w:rPr>
          <w:spacing w:val="-2"/>
          <w:sz w:val="18"/>
          <w:vertAlign w:val="baseline"/>
        </w:rPr>
        <w:t> </w:t>
      </w:r>
      <w:r>
        <w:rPr>
          <w:sz w:val="18"/>
          <w:vertAlign w:val="baseline"/>
        </w:rPr>
        <w:t>US Homelessness,” </w:t>
      </w:r>
      <w:r>
        <w:rPr>
          <w:i/>
          <w:sz w:val="18"/>
          <w:vertAlign w:val="baseline"/>
        </w:rPr>
        <w:t>Environment and Planning E: Nature and Space </w:t>
      </w:r>
      <w:r>
        <w:rPr>
          <w:sz w:val="18"/>
          <w:vertAlign w:val="baseline"/>
        </w:rPr>
        <w:t>3, no. 3 (September 1, 2020): 833–56, </w:t>
      </w:r>
      <w:r>
        <w:rPr>
          <w:spacing w:val="-2"/>
          <w:sz w:val="18"/>
          <w:vertAlign w:val="baseline"/>
        </w:rPr>
        <w:t>https://doi.org/10.1177/2514848619892433.</w:t>
      </w:r>
    </w:p>
    <w:p>
      <w:pPr>
        <w:spacing w:line="247" w:lineRule="auto" w:before="11"/>
        <w:ind w:left="323" w:right="1866" w:hanging="1"/>
        <w:jc w:val="left"/>
        <w:rPr>
          <w:sz w:val="18"/>
        </w:rPr>
      </w:pPr>
      <w:r>
        <w:rPr>
          <w:sz w:val="18"/>
          <w:vertAlign w:val="superscript"/>
        </w:rPr>
        <w:t>27</w:t>
      </w:r>
      <w:r>
        <w:rPr>
          <w:spacing w:val="-12"/>
          <w:sz w:val="18"/>
          <w:vertAlign w:val="baseline"/>
        </w:rPr>
        <w:t> </w:t>
      </w:r>
      <w:r>
        <w:rPr>
          <w:sz w:val="18"/>
          <w:vertAlign w:val="baseline"/>
        </w:rPr>
        <w:t>Massachusetts</w:t>
      </w:r>
      <w:r>
        <w:rPr>
          <w:spacing w:val="-5"/>
          <w:sz w:val="18"/>
          <w:vertAlign w:val="baseline"/>
        </w:rPr>
        <w:t> </w:t>
      </w:r>
      <w:r>
        <w:rPr>
          <w:sz w:val="18"/>
          <w:vertAlign w:val="baseline"/>
        </w:rPr>
        <w:t>Commission</w:t>
      </w:r>
      <w:r>
        <w:rPr>
          <w:spacing w:val="-3"/>
          <w:sz w:val="18"/>
          <w:vertAlign w:val="baseline"/>
        </w:rPr>
        <w:t> </w:t>
      </w:r>
      <w:r>
        <w:rPr>
          <w:sz w:val="18"/>
          <w:vertAlign w:val="baseline"/>
        </w:rPr>
        <w:t>on</w:t>
      </w:r>
      <w:r>
        <w:rPr>
          <w:spacing w:val="-3"/>
          <w:sz w:val="18"/>
          <w:vertAlign w:val="baseline"/>
        </w:rPr>
        <w:t> </w:t>
      </w:r>
      <w:r>
        <w:rPr>
          <w:sz w:val="18"/>
          <w:vertAlign w:val="baseline"/>
        </w:rPr>
        <w:t>Unaccompanied</w:t>
      </w:r>
      <w:r>
        <w:rPr>
          <w:spacing w:val="-3"/>
          <w:sz w:val="18"/>
          <w:vertAlign w:val="baseline"/>
        </w:rPr>
        <w:t> </w:t>
      </w:r>
      <w:r>
        <w:rPr>
          <w:sz w:val="18"/>
          <w:vertAlign w:val="baseline"/>
        </w:rPr>
        <w:t>Homeless</w:t>
      </w:r>
      <w:r>
        <w:rPr>
          <w:spacing w:val="-3"/>
          <w:sz w:val="18"/>
          <w:vertAlign w:val="baseline"/>
        </w:rPr>
        <w:t> </w:t>
      </w:r>
      <w:r>
        <w:rPr>
          <w:sz w:val="18"/>
          <w:vertAlign w:val="baseline"/>
        </w:rPr>
        <w:t>Youth,</w:t>
      </w:r>
      <w:r>
        <w:rPr>
          <w:spacing w:val="-4"/>
          <w:sz w:val="18"/>
          <w:vertAlign w:val="baseline"/>
        </w:rPr>
        <w:t> </w:t>
      </w:r>
      <w:r>
        <w:rPr>
          <w:sz w:val="18"/>
          <w:vertAlign w:val="baseline"/>
        </w:rPr>
        <w:t>“Massachusetts</w:t>
      </w:r>
      <w:r>
        <w:rPr>
          <w:spacing w:val="-3"/>
          <w:sz w:val="18"/>
          <w:vertAlign w:val="baseline"/>
        </w:rPr>
        <w:t> </w:t>
      </w:r>
      <w:r>
        <w:rPr>
          <w:sz w:val="18"/>
          <w:vertAlign w:val="baseline"/>
        </w:rPr>
        <w:t>Youth</w:t>
      </w:r>
      <w:r>
        <w:rPr>
          <w:spacing w:val="-3"/>
          <w:sz w:val="18"/>
          <w:vertAlign w:val="baseline"/>
        </w:rPr>
        <w:t> </w:t>
      </w:r>
      <w:r>
        <w:rPr>
          <w:sz w:val="18"/>
          <w:vertAlign w:val="baseline"/>
        </w:rPr>
        <w:t>Count,”</w:t>
      </w:r>
      <w:r>
        <w:rPr>
          <w:spacing w:val="-3"/>
          <w:sz w:val="18"/>
          <w:vertAlign w:val="baseline"/>
        </w:rPr>
        <w:t> </w:t>
      </w:r>
      <w:r>
        <w:rPr>
          <w:sz w:val="18"/>
          <w:vertAlign w:val="baseline"/>
        </w:rPr>
        <w:t>2022, </w:t>
      </w:r>
      <w:r>
        <w:rPr>
          <w:spacing w:val="-2"/>
          <w:sz w:val="18"/>
          <w:vertAlign w:val="baseline"/>
        </w:rPr>
        <w:t>https://</w:t>
      </w:r>
      <w:hyperlink r:id="rId630">
        <w:r>
          <w:rPr>
            <w:spacing w:val="-2"/>
            <w:sz w:val="18"/>
            <w:vertAlign w:val="baseline"/>
          </w:rPr>
          <w:t>www.mass.gov/doc/2022-massachusetts-youth-count/download.</w:t>
        </w:r>
      </w:hyperlink>
    </w:p>
    <w:p>
      <w:pPr>
        <w:spacing w:line="247" w:lineRule="auto" w:before="11"/>
        <w:ind w:left="323" w:right="74" w:hanging="1"/>
        <w:jc w:val="left"/>
        <w:rPr>
          <w:sz w:val="18"/>
        </w:rPr>
      </w:pPr>
      <w:r>
        <w:rPr>
          <w:sz w:val="18"/>
          <w:vertAlign w:val="superscript"/>
        </w:rPr>
        <w:t>28</w:t>
      </w:r>
      <w:r>
        <w:rPr>
          <w:spacing w:val="-12"/>
          <w:sz w:val="18"/>
          <w:vertAlign w:val="baseline"/>
        </w:rPr>
        <w:t> </w:t>
      </w:r>
      <w:r>
        <w:rPr>
          <w:sz w:val="18"/>
          <w:vertAlign w:val="baseline"/>
        </w:rPr>
        <w:t>CDCTobaccoFree,</w:t>
      </w:r>
      <w:r>
        <w:rPr>
          <w:spacing w:val="-4"/>
          <w:sz w:val="18"/>
          <w:vertAlign w:val="baseline"/>
        </w:rPr>
        <w:t> </w:t>
      </w:r>
      <w:r>
        <w:rPr>
          <w:sz w:val="18"/>
          <w:vertAlign w:val="baseline"/>
        </w:rPr>
        <w:t>“LGBTQ+</w:t>
      </w:r>
      <w:r>
        <w:rPr>
          <w:spacing w:val="-2"/>
          <w:sz w:val="18"/>
          <w:vertAlign w:val="baseline"/>
        </w:rPr>
        <w:t> </w:t>
      </w:r>
      <w:r>
        <w:rPr>
          <w:sz w:val="18"/>
          <w:vertAlign w:val="baseline"/>
        </w:rPr>
        <w:t>People</w:t>
      </w:r>
      <w:r>
        <w:rPr>
          <w:spacing w:val="-2"/>
          <w:sz w:val="18"/>
          <w:vertAlign w:val="baseline"/>
        </w:rPr>
        <w:t> </w:t>
      </w:r>
      <w:r>
        <w:rPr>
          <w:sz w:val="18"/>
          <w:vertAlign w:val="baseline"/>
        </w:rPr>
        <w:t>and</w:t>
      </w:r>
      <w:r>
        <w:rPr>
          <w:spacing w:val="-2"/>
          <w:sz w:val="18"/>
          <w:vertAlign w:val="baseline"/>
        </w:rPr>
        <w:t> </w:t>
      </w:r>
      <w:r>
        <w:rPr>
          <w:sz w:val="18"/>
          <w:vertAlign w:val="baseline"/>
        </w:rPr>
        <w:t>Commercial</w:t>
      </w:r>
      <w:r>
        <w:rPr>
          <w:spacing w:val="-3"/>
          <w:sz w:val="18"/>
          <w:vertAlign w:val="baseline"/>
        </w:rPr>
        <w:t> </w:t>
      </w:r>
      <w:r>
        <w:rPr>
          <w:sz w:val="18"/>
          <w:vertAlign w:val="baseline"/>
        </w:rPr>
        <w:t>Tobacco:</w:t>
      </w:r>
      <w:r>
        <w:rPr>
          <w:spacing w:val="-1"/>
          <w:sz w:val="18"/>
          <w:vertAlign w:val="baseline"/>
        </w:rPr>
        <w:t> </w:t>
      </w:r>
      <w:r>
        <w:rPr>
          <w:sz w:val="18"/>
          <w:vertAlign w:val="baseline"/>
        </w:rPr>
        <w:t>Health</w:t>
      </w:r>
      <w:r>
        <w:rPr>
          <w:spacing w:val="-2"/>
          <w:sz w:val="18"/>
          <w:vertAlign w:val="baseline"/>
        </w:rPr>
        <w:t> </w:t>
      </w:r>
      <w:r>
        <w:rPr>
          <w:sz w:val="18"/>
          <w:vertAlign w:val="baseline"/>
        </w:rPr>
        <w:t>Disparities</w:t>
      </w:r>
      <w:r>
        <w:rPr>
          <w:spacing w:val="-2"/>
          <w:sz w:val="18"/>
          <w:vertAlign w:val="baseline"/>
        </w:rPr>
        <w:t> </w:t>
      </w:r>
      <w:r>
        <w:rPr>
          <w:sz w:val="18"/>
          <w:vertAlign w:val="baseline"/>
        </w:rPr>
        <w:t>and</w:t>
      </w:r>
      <w:r>
        <w:rPr>
          <w:spacing w:val="-2"/>
          <w:sz w:val="18"/>
          <w:vertAlign w:val="baseline"/>
        </w:rPr>
        <w:t> </w:t>
      </w:r>
      <w:r>
        <w:rPr>
          <w:sz w:val="18"/>
          <w:vertAlign w:val="baseline"/>
        </w:rPr>
        <w:t>Ways</w:t>
      </w:r>
      <w:r>
        <w:rPr>
          <w:spacing w:val="-2"/>
          <w:sz w:val="18"/>
          <w:vertAlign w:val="baseline"/>
        </w:rPr>
        <w:t> </w:t>
      </w:r>
      <w:r>
        <w:rPr>
          <w:sz w:val="18"/>
          <w:vertAlign w:val="baseline"/>
        </w:rPr>
        <w:t>to</w:t>
      </w:r>
      <w:r>
        <w:rPr>
          <w:spacing w:val="-2"/>
          <w:sz w:val="18"/>
          <w:vertAlign w:val="baseline"/>
        </w:rPr>
        <w:t> </w:t>
      </w:r>
      <w:r>
        <w:rPr>
          <w:sz w:val="18"/>
          <w:vertAlign w:val="baseline"/>
        </w:rPr>
        <w:t>Advance</w:t>
      </w:r>
      <w:r>
        <w:rPr>
          <w:spacing w:val="-2"/>
          <w:sz w:val="18"/>
          <w:vertAlign w:val="baseline"/>
        </w:rPr>
        <w:t> </w:t>
      </w:r>
      <w:r>
        <w:rPr>
          <w:sz w:val="18"/>
          <w:vertAlign w:val="baseline"/>
        </w:rPr>
        <w:t>Health</w:t>
      </w:r>
      <w:r>
        <w:rPr>
          <w:spacing w:val="-2"/>
          <w:sz w:val="18"/>
          <w:vertAlign w:val="baseline"/>
        </w:rPr>
        <w:t> </w:t>
      </w:r>
      <w:r>
        <w:rPr>
          <w:sz w:val="18"/>
          <w:vertAlign w:val="baseline"/>
        </w:rPr>
        <w:t>Equity,”</w:t>
      </w:r>
      <w:r>
        <w:rPr>
          <w:spacing w:val="-2"/>
          <w:sz w:val="18"/>
          <w:vertAlign w:val="baseline"/>
        </w:rPr>
        <w:t> </w:t>
      </w:r>
      <w:r>
        <w:rPr>
          <w:sz w:val="18"/>
          <w:vertAlign w:val="baseline"/>
        </w:rPr>
        <w:t>Centers for Disease Control and Prevention, June 24, 2022, https://</w:t>
      </w:r>
      <w:hyperlink r:id="rId631">
        <w:r>
          <w:rPr>
            <w:sz w:val="18"/>
            <w:vertAlign w:val="baseline"/>
          </w:rPr>
          <w:t>www.cdc.gov/tobacco/health-equity/lgbtq/index.html.</w:t>
        </w:r>
      </w:hyperlink>
    </w:p>
    <w:p>
      <w:pPr>
        <w:spacing w:line="247" w:lineRule="auto" w:before="12"/>
        <w:ind w:left="323" w:right="3068" w:hanging="1"/>
        <w:jc w:val="left"/>
        <w:rPr>
          <w:sz w:val="18"/>
        </w:rPr>
      </w:pPr>
      <w:r>
        <w:rPr>
          <w:sz w:val="18"/>
          <w:vertAlign w:val="superscript"/>
        </w:rPr>
        <w:t>29</w:t>
      </w:r>
      <w:r>
        <w:rPr>
          <w:spacing w:val="-12"/>
          <w:sz w:val="18"/>
          <w:vertAlign w:val="baseline"/>
        </w:rPr>
        <w:t> </w:t>
      </w:r>
      <w:r>
        <w:rPr>
          <w:sz w:val="18"/>
          <w:vertAlign w:val="baseline"/>
        </w:rPr>
        <w:t>“Youth</w:t>
      </w:r>
      <w:r>
        <w:rPr>
          <w:spacing w:val="-5"/>
          <w:sz w:val="18"/>
          <w:vertAlign w:val="baseline"/>
        </w:rPr>
        <w:t> </w:t>
      </w:r>
      <w:r>
        <w:rPr>
          <w:sz w:val="18"/>
          <w:vertAlign w:val="baseline"/>
        </w:rPr>
        <w:t>Risk</w:t>
      </w:r>
      <w:r>
        <w:rPr>
          <w:spacing w:val="-4"/>
          <w:sz w:val="18"/>
          <w:vertAlign w:val="baseline"/>
        </w:rPr>
        <w:t> </w:t>
      </w:r>
      <w:r>
        <w:rPr>
          <w:sz w:val="18"/>
          <w:vertAlign w:val="baseline"/>
        </w:rPr>
        <w:t>Behavior</w:t>
      </w:r>
      <w:r>
        <w:rPr>
          <w:spacing w:val="-4"/>
          <w:sz w:val="18"/>
          <w:vertAlign w:val="baseline"/>
        </w:rPr>
        <w:t> </w:t>
      </w:r>
      <w:r>
        <w:rPr>
          <w:sz w:val="18"/>
          <w:vertAlign w:val="baseline"/>
        </w:rPr>
        <w:t>Surveillance</w:t>
      </w:r>
      <w:r>
        <w:rPr>
          <w:spacing w:val="-3"/>
          <w:sz w:val="18"/>
          <w:vertAlign w:val="baseline"/>
        </w:rPr>
        <w:t> </w:t>
      </w:r>
      <w:r>
        <w:rPr>
          <w:sz w:val="18"/>
          <w:vertAlign w:val="baseline"/>
        </w:rPr>
        <w:t>System</w:t>
      </w:r>
      <w:r>
        <w:rPr>
          <w:spacing w:val="-4"/>
          <w:sz w:val="18"/>
          <w:vertAlign w:val="baseline"/>
        </w:rPr>
        <w:t> </w:t>
      </w:r>
      <w:r>
        <w:rPr>
          <w:sz w:val="18"/>
          <w:vertAlign w:val="baseline"/>
        </w:rPr>
        <w:t>(YBSS),”</w:t>
      </w:r>
      <w:r>
        <w:rPr>
          <w:spacing w:val="-3"/>
          <w:sz w:val="18"/>
          <w:vertAlign w:val="baseline"/>
        </w:rPr>
        <w:t> </w:t>
      </w:r>
      <w:r>
        <w:rPr>
          <w:sz w:val="18"/>
          <w:vertAlign w:val="baseline"/>
        </w:rPr>
        <w:t>January</w:t>
      </w:r>
      <w:r>
        <w:rPr>
          <w:spacing w:val="-3"/>
          <w:sz w:val="18"/>
          <w:vertAlign w:val="baseline"/>
        </w:rPr>
        <w:t> </w:t>
      </w:r>
      <w:r>
        <w:rPr>
          <w:sz w:val="18"/>
          <w:vertAlign w:val="baseline"/>
        </w:rPr>
        <w:t>18,</w:t>
      </w:r>
      <w:r>
        <w:rPr>
          <w:spacing w:val="-5"/>
          <w:sz w:val="18"/>
          <w:vertAlign w:val="baseline"/>
        </w:rPr>
        <w:t> </w:t>
      </w:r>
      <w:r>
        <w:rPr>
          <w:sz w:val="18"/>
          <w:vertAlign w:val="baseline"/>
        </w:rPr>
        <w:t>2023, </w:t>
      </w:r>
      <w:r>
        <w:rPr>
          <w:spacing w:val="-2"/>
          <w:sz w:val="18"/>
          <w:vertAlign w:val="baseline"/>
        </w:rPr>
        <w:t>https</w:t>
      </w:r>
      <w:hyperlink r:id="rId632">
        <w:r>
          <w:rPr>
            <w:spacing w:val="-2"/>
            <w:sz w:val="18"/>
            <w:vertAlign w:val="baseline"/>
          </w:rPr>
          <w:t>://w</w:t>
        </w:r>
      </w:hyperlink>
      <w:r>
        <w:rPr>
          <w:spacing w:val="-2"/>
          <w:sz w:val="18"/>
          <w:vertAlign w:val="baseline"/>
        </w:rPr>
        <w:t>ww</w:t>
      </w:r>
      <w:hyperlink r:id="rId632">
        <w:r>
          <w:rPr>
            <w:spacing w:val="-2"/>
            <w:sz w:val="18"/>
            <w:vertAlign w:val="baseline"/>
          </w:rPr>
          <w:t>.cdc.gov/healthyyouth/data/yrbs/index.htm.</w:t>
        </w:r>
      </w:hyperlink>
    </w:p>
    <w:p>
      <w:pPr>
        <w:spacing w:before="10"/>
        <w:ind w:left="323" w:right="0" w:firstLine="0"/>
        <w:jc w:val="left"/>
        <w:rPr>
          <w:sz w:val="18"/>
        </w:rPr>
      </w:pPr>
      <w:r>
        <w:rPr>
          <w:sz w:val="18"/>
          <w:vertAlign w:val="superscript"/>
        </w:rPr>
        <w:t>30</w:t>
      </w:r>
      <w:r>
        <w:rPr>
          <w:spacing w:val="-12"/>
          <w:sz w:val="18"/>
          <w:vertAlign w:val="baseline"/>
        </w:rPr>
        <w:t> </w:t>
      </w:r>
      <w:r>
        <w:rPr>
          <w:sz w:val="18"/>
          <w:vertAlign w:val="baseline"/>
        </w:rPr>
        <w:t>Wendy</w:t>
      </w:r>
      <w:r>
        <w:rPr>
          <w:spacing w:val="-3"/>
          <w:sz w:val="18"/>
          <w:vertAlign w:val="baseline"/>
        </w:rPr>
        <w:t> </w:t>
      </w:r>
      <w:r>
        <w:rPr>
          <w:sz w:val="18"/>
          <w:vertAlign w:val="baseline"/>
        </w:rPr>
        <w:t>B.</w:t>
      </w:r>
      <w:r>
        <w:rPr>
          <w:spacing w:val="-1"/>
          <w:sz w:val="18"/>
          <w:vertAlign w:val="baseline"/>
        </w:rPr>
        <w:t> </w:t>
      </w:r>
      <w:r>
        <w:rPr>
          <w:sz w:val="18"/>
          <w:vertAlign w:val="baseline"/>
        </w:rPr>
        <w:t>Max</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2"/>
          <w:sz w:val="18"/>
          <w:vertAlign w:val="baseline"/>
        </w:rPr>
        <w:t> </w:t>
      </w:r>
      <w:r>
        <w:rPr>
          <w:sz w:val="18"/>
          <w:vertAlign w:val="baseline"/>
        </w:rPr>
        <w:t>“Sexual</w:t>
      </w:r>
      <w:r>
        <w:rPr>
          <w:spacing w:val="-2"/>
          <w:sz w:val="18"/>
          <w:vertAlign w:val="baseline"/>
        </w:rPr>
        <w:t> </w:t>
      </w:r>
      <w:r>
        <w:rPr>
          <w:sz w:val="18"/>
          <w:vertAlign w:val="baseline"/>
        </w:rPr>
        <w:t>Identity</w:t>
      </w:r>
      <w:r>
        <w:rPr>
          <w:spacing w:val="-1"/>
          <w:sz w:val="18"/>
          <w:vertAlign w:val="baseline"/>
        </w:rPr>
        <w:t> </w:t>
      </w:r>
      <w:r>
        <w:rPr>
          <w:sz w:val="18"/>
          <w:vertAlign w:val="baseline"/>
        </w:rPr>
        <w:t>Disparities</w:t>
      </w:r>
      <w:r>
        <w:rPr>
          <w:spacing w:val="-2"/>
          <w:sz w:val="18"/>
          <w:vertAlign w:val="baseline"/>
        </w:rPr>
        <w:t> </w:t>
      </w:r>
      <w:r>
        <w:rPr>
          <w:sz w:val="18"/>
          <w:vertAlign w:val="baseline"/>
        </w:rPr>
        <w:t>in</w:t>
      </w:r>
      <w:r>
        <w:rPr>
          <w:spacing w:val="-1"/>
          <w:sz w:val="18"/>
          <w:vertAlign w:val="baseline"/>
        </w:rPr>
        <w:t> </w:t>
      </w:r>
      <w:r>
        <w:rPr>
          <w:sz w:val="18"/>
          <w:vertAlign w:val="baseline"/>
        </w:rPr>
        <w:t>Smoking</w:t>
      </w:r>
      <w:r>
        <w:rPr>
          <w:spacing w:val="-1"/>
          <w:sz w:val="18"/>
          <w:vertAlign w:val="baseline"/>
        </w:rPr>
        <w:t> </w:t>
      </w:r>
      <w:r>
        <w:rPr>
          <w:sz w:val="18"/>
          <w:vertAlign w:val="baseline"/>
        </w:rPr>
        <w:t>and</w:t>
      </w:r>
      <w:r>
        <w:rPr>
          <w:spacing w:val="-3"/>
          <w:sz w:val="18"/>
          <w:vertAlign w:val="baseline"/>
        </w:rPr>
        <w:t> </w:t>
      </w:r>
      <w:r>
        <w:rPr>
          <w:sz w:val="18"/>
          <w:vertAlign w:val="baseline"/>
        </w:rPr>
        <w:t>Secondhand</w:t>
      </w:r>
      <w:r>
        <w:rPr>
          <w:spacing w:val="-1"/>
          <w:sz w:val="18"/>
          <w:vertAlign w:val="baseline"/>
        </w:rPr>
        <w:t> </w:t>
      </w:r>
      <w:r>
        <w:rPr>
          <w:sz w:val="18"/>
          <w:vertAlign w:val="baseline"/>
        </w:rPr>
        <w:t>Smoke</w:t>
      </w:r>
      <w:r>
        <w:rPr>
          <w:spacing w:val="-1"/>
          <w:sz w:val="18"/>
          <w:vertAlign w:val="baseline"/>
        </w:rPr>
        <w:t> </w:t>
      </w:r>
      <w:r>
        <w:rPr>
          <w:sz w:val="18"/>
          <w:vertAlign w:val="baseline"/>
        </w:rPr>
        <w:t>Exposure</w:t>
      </w:r>
      <w:r>
        <w:rPr>
          <w:spacing w:val="-1"/>
          <w:sz w:val="18"/>
          <w:vertAlign w:val="baseline"/>
        </w:rPr>
        <w:t> </w:t>
      </w:r>
      <w:r>
        <w:rPr>
          <w:sz w:val="18"/>
          <w:vertAlign w:val="baseline"/>
        </w:rPr>
        <w:t>in</w:t>
      </w:r>
      <w:r>
        <w:rPr>
          <w:spacing w:val="-3"/>
          <w:sz w:val="18"/>
          <w:vertAlign w:val="baseline"/>
        </w:rPr>
        <w:t> </w:t>
      </w:r>
      <w:r>
        <w:rPr>
          <w:sz w:val="18"/>
          <w:vertAlign w:val="baseline"/>
        </w:rPr>
        <w:t>California:</w:t>
      </w:r>
      <w:r>
        <w:rPr>
          <w:spacing w:val="-1"/>
          <w:sz w:val="18"/>
          <w:vertAlign w:val="baseline"/>
        </w:rPr>
        <w:t> </w:t>
      </w:r>
      <w:r>
        <w:rPr>
          <w:spacing w:val="-2"/>
          <w:sz w:val="18"/>
          <w:vertAlign w:val="baseline"/>
        </w:rPr>
        <w:t>2003–2013,”</w:t>
      </w:r>
    </w:p>
    <w:p>
      <w:pPr>
        <w:spacing w:before="7"/>
        <w:ind w:left="323" w:right="0" w:firstLine="0"/>
        <w:jc w:val="left"/>
        <w:rPr>
          <w:sz w:val="18"/>
        </w:rPr>
      </w:pPr>
      <w:r>
        <w:rPr>
          <w:i/>
          <w:sz w:val="18"/>
        </w:rPr>
        <w:t>American</w:t>
      </w:r>
      <w:r>
        <w:rPr>
          <w:i/>
          <w:spacing w:val="-4"/>
          <w:sz w:val="18"/>
        </w:rPr>
        <w:t> </w:t>
      </w:r>
      <w:r>
        <w:rPr>
          <w:i/>
          <w:sz w:val="18"/>
        </w:rPr>
        <w:t>Journal</w:t>
      </w:r>
      <w:r>
        <w:rPr>
          <w:i/>
          <w:spacing w:val="-3"/>
          <w:sz w:val="18"/>
        </w:rPr>
        <w:t> </w:t>
      </w:r>
      <w:r>
        <w:rPr>
          <w:i/>
          <w:sz w:val="18"/>
        </w:rPr>
        <w:t>of</w:t>
      </w:r>
      <w:r>
        <w:rPr>
          <w:i/>
          <w:spacing w:val="-2"/>
          <w:sz w:val="18"/>
        </w:rPr>
        <w:t> </w:t>
      </w:r>
      <w:r>
        <w:rPr>
          <w:i/>
          <w:sz w:val="18"/>
        </w:rPr>
        <w:t>Public</w:t>
      </w:r>
      <w:r>
        <w:rPr>
          <w:i/>
          <w:spacing w:val="-3"/>
          <w:sz w:val="18"/>
        </w:rPr>
        <w:t> </w:t>
      </w:r>
      <w:r>
        <w:rPr>
          <w:i/>
          <w:sz w:val="18"/>
        </w:rPr>
        <w:t>Health</w:t>
      </w:r>
      <w:r>
        <w:rPr>
          <w:i/>
          <w:spacing w:val="-2"/>
          <w:sz w:val="18"/>
        </w:rPr>
        <w:t> </w:t>
      </w:r>
      <w:r>
        <w:rPr>
          <w:sz w:val="18"/>
        </w:rPr>
        <w:t>106,</w:t>
      </w:r>
      <w:r>
        <w:rPr>
          <w:spacing w:val="-2"/>
          <w:sz w:val="18"/>
        </w:rPr>
        <w:t> </w:t>
      </w:r>
      <w:r>
        <w:rPr>
          <w:sz w:val="18"/>
        </w:rPr>
        <w:t>no.</w:t>
      </w:r>
      <w:r>
        <w:rPr>
          <w:spacing w:val="-2"/>
          <w:sz w:val="18"/>
        </w:rPr>
        <w:t> </w:t>
      </w:r>
      <w:r>
        <w:rPr>
          <w:sz w:val="18"/>
        </w:rPr>
        <w:t>6</w:t>
      </w:r>
      <w:r>
        <w:rPr>
          <w:spacing w:val="-2"/>
          <w:sz w:val="18"/>
        </w:rPr>
        <w:t> </w:t>
      </w:r>
      <w:r>
        <w:rPr>
          <w:sz w:val="18"/>
        </w:rPr>
        <w:t>(June</w:t>
      </w:r>
      <w:r>
        <w:rPr>
          <w:spacing w:val="-2"/>
          <w:sz w:val="18"/>
        </w:rPr>
        <w:t> </w:t>
      </w:r>
      <w:r>
        <w:rPr>
          <w:sz w:val="18"/>
        </w:rPr>
        <w:t>2016):</w:t>
      </w:r>
      <w:r>
        <w:rPr>
          <w:spacing w:val="-2"/>
          <w:sz w:val="18"/>
        </w:rPr>
        <w:t> </w:t>
      </w:r>
      <w:r>
        <w:rPr>
          <w:sz w:val="18"/>
        </w:rPr>
        <w:t>1136–42,</w:t>
      </w:r>
      <w:r>
        <w:rPr>
          <w:spacing w:val="-2"/>
          <w:sz w:val="18"/>
        </w:rPr>
        <w:t> https://doi.org/10.2105/AJPH.2016.303071.</w:t>
      </w:r>
    </w:p>
    <w:p>
      <w:pPr>
        <w:spacing w:before="18"/>
        <w:ind w:left="323" w:right="0" w:firstLine="0"/>
        <w:jc w:val="left"/>
        <w:rPr>
          <w:sz w:val="18"/>
        </w:rPr>
      </w:pPr>
      <w:r>
        <w:rPr>
          <w:sz w:val="18"/>
          <w:vertAlign w:val="superscript"/>
        </w:rPr>
        <w:t>31</w:t>
      </w:r>
      <w:r>
        <w:rPr>
          <w:spacing w:val="-12"/>
          <w:sz w:val="18"/>
          <w:vertAlign w:val="baseline"/>
        </w:rPr>
        <w:t> </w:t>
      </w:r>
      <w:r>
        <w:rPr>
          <w:sz w:val="18"/>
          <w:vertAlign w:val="baseline"/>
        </w:rPr>
        <w:t>Amanda</w:t>
      </w:r>
      <w:r>
        <w:rPr>
          <w:spacing w:val="-3"/>
          <w:sz w:val="18"/>
          <w:vertAlign w:val="baseline"/>
        </w:rPr>
        <w:t> </w:t>
      </w:r>
      <w:r>
        <w:rPr>
          <w:sz w:val="18"/>
          <w:vertAlign w:val="baseline"/>
        </w:rPr>
        <w:t>Fallin</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3"/>
          <w:sz w:val="18"/>
          <w:vertAlign w:val="baseline"/>
        </w:rPr>
        <w:t> </w:t>
      </w:r>
      <w:r>
        <w:rPr>
          <w:sz w:val="18"/>
          <w:vertAlign w:val="baseline"/>
        </w:rPr>
        <w:t>“Secondhand</w:t>
      </w:r>
      <w:r>
        <w:rPr>
          <w:spacing w:val="-1"/>
          <w:sz w:val="18"/>
          <w:vertAlign w:val="baseline"/>
        </w:rPr>
        <w:t> </w:t>
      </w:r>
      <w:r>
        <w:rPr>
          <w:sz w:val="18"/>
          <w:vertAlign w:val="baseline"/>
        </w:rPr>
        <w:t>Smoke</w:t>
      </w:r>
      <w:r>
        <w:rPr>
          <w:spacing w:val="-1"/>
          <w:sz w:val="18"/>
          <w:vertAlign w:val="baseline"/>
        </w:rPr>
        <w:t> </w:t>
      </w:r>
      <w:r>
        <w:rPr>
          <w:sz w:val="18"/>
          <w:vertAlign w:val="baseline"/>
        </w:rPr>
        <w:t>Exposure</w:t>
      </w:r>
      <w:r>
        <w:rPr>
          <w:spacing w:val="-2"/>
          <w:sz w:val="18"/>
          <w:vertAlign w:val="baseline"/>
        </w:rPr>
        <w:t> </w:t>
      </w:r>
      <w:r>
        <w:rPr>
          <w:sz w:val="18"/>
          <w:vertAlign w:val="baseline"/>
        </w:rPr>
        <w:t>Among</w:t>
      </w:r>
      <w:r>
        <w:rPr>
          <w:spacing w:val="-1"/>
          <w:sz w:val="18"/>
          <w:vertAlign w:val="baseline"/>
        </w:rPr>
        <w:t> </w:t>
      </w:r>
      <w:r>
        <w:rPr>
          <w:sz w:val="18"/>
          <w:vertAlign w:val="baseline"/>
        </w:rPr>
        <w:t>Young</w:t>
      </w:r>
      <w:r>
        <w:rPr>
          <w:spacing w:val="-1"/>
          <w:sz w:val="18"/>
          <w:vertAlign w:val="baseline"/>
        </w:rPr>
        <w:t> </w:t>
      </w:r>
      <w:r>
        <w:rPr>
          <w:sz w:val="18"/>
          <w:vertAlign w:val="baseline"/>
        </w:rPr>
        <w:t>Adult</w:t>
      </w:r>
      <w:r>
        <w:rPr>
          <w:spacing w:val="-2"/>
          <w:sz w:val="18"/>
          <w:vertAlign w:val="baseline"/>
        </w:rPr>
        <w:t> </w:t>
      </w:r>
      <w:r>
        <w:rPr>
          <w:sz w:val="18"/>
          <w:vertAlign w:val="baseline"/>
        </w:rPr>
        <w:t>Sexual</w:t>
      </w:r>
      <w:r>
        <w:rPr>
          <w:spacing w:val="-3"/>
          <w:sz w:val="18"/>
          <w:vertAlign w:val="baseline"/>
        </w:rPr>
        <w:t> </w:t>
      </w:r>
      <w:r>
        <w:rPr>
          <w:sz w:val="18"/>
          <w:vertAlign w:val="baseline"/>
        </w:rPr>
        <w:t>Minority</w:t>
      </w:r>
      <w:r>
        <w:rPr>
          <w:spacing w:val="-1"/>
          <w:sz w:val="18"/>
          <w:vertAlign w:val="baseline"/>
        </w:rPr>
        <w:t> </w:t>
      </w:r>
      <w:r>
        <w:rPr>
          <w:sz w:val="18"/>
          <w:vertAlign w:val="baseline"/>
        </w:rPr>
        <w:t>Bar</w:t>
      </w:r>
      <w:r>
        <w:rPr>
          <w:spacing w:val="-2"/>
          <w:sz w:val="18"/>
          <w:vertAlign w:val="baseline"/>
        </w:rPr>
        <w:t> </w:t>
      </w:r>
      <w:r>
        <w:rPr>
          <w:sz w:val="18"/>
          <w:vertAlign w:val="baseline"/>
        </w:rPr>
        <w:t>and</w:t>
      </w:r>
      <w:r>
        <w:rPr>
          <w:spacing w:val="-2"/>
          <w:sz w:val="18"/>
          <w:vertAlign w:val="baseline"/>
        </w:rPr>
        <w:t> </w:t>
      </w:r>
      <w:r>
        <w:rPr>
          <w:sz w:val="18"/>
          <w:vertAlign w:val="baseline"/>
        </w:rPr>
        <w:t>Nightclub</w:t>
      </w:r>
      <w:r>
        <w:rPr>
          <w:spacing w:val="-1"/>
          <w:sz w:val="18"/>
          <w:vertAlign w:val="baseline"/>
        </w:rPr>
        <w:t> </w:t>
      </w:r>
      <w:r>
        <w:rPr>
          <w:spacing w:val="-2"/>
          <w:sz w:val="18"/>
          <w:vertAlign w:val="baseline"/>
        </w:rPr>
        <w:t>Patrons,”</w:t>
      </w:r>
    </w:p>
    <w:p>
      <w:pPr>
        <w:spacing w:before="6"/>
        <w:ind w:left="323" w:right="0" w:firstLine="0"/>
        <w:jc w:val="left"/>
        <w:rPr>
          <w:sz w:val="18"/>
        </w:rPr>
      </w:pPr>
      <w:r>
        <w:rPr>
          <w:i/>
          <w:sz w:val="18"/>
        </w:rPr>
        <w:t>American</w:t>
      </w:r>
      <w:r>
        <w:rPr>
          <w:i/>
          <w:spacing w:val="-3"/>
          <w:sz w:val="18"/>
        </w:rPr>
        <w:t> </w:t>
      </w:r>
      <w:r>
        <w:rPr>
          <w:i/>
          <w:sz w:val="18"/>
        </w:rPr>
        <w:t>Journal</w:t>
      </w:r>
      <w:r>
        <w:rPr>
          <w:i/>
          <w:spacing w:val="-2"/>
          <w:sz w:val="18"/>
        </w:rPr>
        <w:t> </w:t>
      </w:r>
      <w:r>
        <w:rPr>
          <w:i/>
          <w:sz w:val="18"/>
        </w:rPr>
        <w:t>of</w:t>
      </w:r>
      <w:r>
        <w:rPr>
          <w:i/>
          <w:spacing w:val="-2"/>
          <w:sz w:val="18"/>
        </w:rPr>
        <w:t> </w:t>
      </w:r>
      <w:r>
        <w:rPr>
          <w:i/>
          <w:sz w:val="18"/>
        </w:rPr>
        <w:t>Public</w:t>
      </w:r>
      <w:r>
        <w:rPr>
          <w:i/>
          <w:spacing w:val="-3"/>
          <w:sz w:val="18"/>
        </w:rPr>
        <w:t> </w:t>
      </w:r>
      <w:r>
        <w:rPr>
          <w:i/>
          <w:sz w:val="18"/>
        </w:rPr>
        <w:t>Health</w:t>
      </w:r>
      <w:r>
        <w:rPr>
          <w:i/>
          <w:spacing w:val="-2"/>
          <w:sz w:val="18"/>
        </w:rPr>
        <w:t> </w:t>
      </w:r>
      <w:r>
        <w:rPr>
          <w:sz w:val="18"/>
        </w:rPr>
        <w:t>104,</w:t>
      </w:r>
      <w:r>
        <w:rPr>
          <w:spacing w:val="-3"/>
          <w:sz w:val="18"/>
        </w:rPr>
        <w:t> </w:t>
      </w:r>
      <w:r>
        <w:rPr>
          <w:sz w:val="18"/>
        </w:rPr>
        <w:t>no.</w:t>
      </w:r>
      <w:r>
        <w:rPr>
          <w:spacing w:val="-2"/>
          <w:sz w:val="18"/>
        </w:rPr>
        <w:t> </w:t>
      </w:r>
      <w:r>
        <w:rPr>
          <w:sz w:val="18"/>
        </w:rPr>
        <w:t>2</w:t>
      </w:r>
      <w:r>
        <w:rPr>
          <w:spacing w:val="-2"/>
          <w:sz w:val="18"/>
        </w:rPr>
        <w:t> </w:t>
      </w:r>
      <w:r>
        <w:rPr>
          <w:sz w:val="18"/>
        </w:rPr>
        <w:t>(February</w:t>
      </w:r>
      <w:r>
        <w:rPr>
          <w:spacing w:val="-3"/>
          <w:sz w:val="18"/>
        </w:rPr>
        <w:t> </w:t>
      </w:r>
      <w:r>
        <w:rPr>
          <w:sz w:val="18"/>
        </w:rPr>
        <w:t>2014):</w:t>
      </w:r>
      <w:r>
        <w:rPr>
          <w:spacing w:val="-2"/>
          <w:sz w:val="18"/>
        </w:rPr>
        <w:t> </w:t>
      </w:r>
      <w:r>
        <w:rPr>
          <w:sz w:val="18"/>
        </w:rPr>
        <w:t>e148–53,</w:t>
      </w:r>
      <w:r>
        <w:rPr>
          <w:spacing w:val="-2"/>
          <w:sz w:val="18"/>
        </w:rPr>
        <w:t> https://doi.org/10.2105/AJPH.2013.301657.</w:t>
      </w:r>
    </w:p>
    <w:p>
      <w:pPr>
        <w:spacing w:before="19"/>
        <w:ind w:left="323" w:right="0" w:firstLine="0"/>
        <w:jc w:val="left"/>
        <w:rPr>
          <w:sz w:val="18"/>
        </w:rPr>
      </w:pPr>
      <w:r>
        <w:rPr>
          <w:sz w:val="18"/>
          <w:vertAlign w:val="superscript"/>
        </w:rPr>
        <w:t>32</w:t>
      </w:r>
      <w:r>
        <w:rPr>
          <w:spacing w:val="-12"/>
          <w:sz w:val="18"/>
          <w:vertAlign w:val="baseline"/>
        </w:rPr>
        <w:t> </w:t>
      </w:r>
      <w:r>
        <w:rPr>
          <w:sz w:val="18"/>
          <w:vertAlign w:val="baseline"/>
        </w:rPr>
        <w:t>Goldsmith</w:t>
      </w:r>
      <w:r>
        <w:rPr>
          <w:spacing w:val="-2"/>
          <w:sz w:val="18"/>
          <w:vertAlign w:val="baseline"/>
        </w:rPr>
        <w:t> </w:t>
      </w:r>
      <w:r>
        <w:rPr>
          <w:sz w:val="18"/>
          <w:vertAlign w:val="baseline"/>
        </w:rPr>
        <w:t>and</w:t>
      </w:r>
      <w:r>
        <w:rPr>
          <w:spacing w:val="-1"/>
          <w:sz w:val="18"/>
          <w:vertAlign w:val="baseline"/>
        </w:rPr>
        <w:t> </w:t>
      </w:r>
      <w:r>
        <w:rPr>
          <w:sz w:val="18"/>
          <w:vertAlign w:val="baseline"/>
        </w:rPr>
        <w:t>Bell,</w:t>
      </w:r>
      <w:r>
        <w:rPr>
          <w:spacing w:val="-2"/>
          <w:sz w:val="18"/>
          <w:vertAlign w:val="baseline"/>
        </w:rPr>
        <w:t> </w:t>
      </w:r>
      <w:r>
        <w:rPr>
          <w:sz w:val="18"/>
          <w:vertAlign w:val="baseline"/>
        </w:rPr>
        <w:t>“Queering</w:t>
      </w:r>
      <w:r>
        <w:rPr>
          <w:spacing w:val="-1"/>
          <w:sz w:val="18"/>
          <w:vertAlign w:val="baseline"/>
        </w:rPr>
        <w:t> </w:t>
      </w:r>
      <w:r>
        <w:rPr>
          <w:sz w:val="18"/>
          <w:vertAlign w:val="baseline"/>
        </w:rPr>
        <w:t>Environmental</w:t>
      </w:r>
      <w:r>
        <w:rPr>
          <w:spacing w:val="-2"/>
          <w:sz w:val="18"/>
          <w:vertAlign w:val="baseline"/>
        </w:rPr>
        <w:t> Justice.”</w:t>
      </w:r>
    </w:p>
    <w:p>
      <w:pPr>
        <w:spacing w:line="244" w:lineRule="auto" w:before="24"/>
        <w:ind w:left="323" w:right="299" w:hanging="1"/>
        <w:jc w:val="left"/>
        <w:rPr>
          <w:sz w:val="18"/>
        </w:rPr>
      </w:pPr>
      <w:r>
        <w:rPr>
          <w:sz w:val="18"/>
          <w:vertAlign w:val="superscript"/>
        </w:rPr>
        <w:t>33</w:t>
      </w:r>
      <w:r>
        <w:rPr>
          <w:spacing w:val="-6"/>
          <w:sz w:val="18"/>
          <w:vertAlign w:val="baseline"/>
        </w:rPr>
        <w:t> </w:t>
      </w:r>
      <w:r>
        <w:rPr>
          <w:sz w:val="18"/>
          <w:vertAlign w:val="baseline"/>
        </w:rPr>
        <w:t>“CDC Confirms LGB People at Greater Risk of COVID-19,” Human Rights Campaign, February 4, 2021, </w:t>
      </w:r>
      <w:r>
        <w:rPr>
          <w:spacing w:val="-2"/>
          <w:sz w:val="18"/>
          <w:vertAlign w:val="baseline"/>
        </w:rPr>
        <w:t>https://</w:t>
      </w:r>
      <w:hyperlink r:id="rId633">
        <w:r>
          <w:rPr>
            <w:spacing w:val="-2"/>
            <w:sz w:val="18"/>
            <w:vertAlign w:val="baseline"/>
          </w:rPr>
          <w:t>www.hrc.org/press-releases/cdc-releases-report-confirming-lesbian-gay-and-bisexual-people-at-greater-risk-of-covid-</w:t>
        </w:r>
      </w:hyperlink>
      <w:r>
        <w:rPr>
          <w:spacing w:val="40"/>
          <w:sz w:val="18"/>
          <w:vertAlign w:val="baseline"/>
        </w:rPr>
        <w:t> </w:t>
      </w:r>
      <w:r>
        <w:rPr>
          <w:spacing w:val="-2"/>
          <w:sz w:val="18"/>
          <w:vertAlign w:val="baseline"/>
        </w:rPr>
        <w:t>19-illness-calls-for-more-data-collection.</w:t>
      </w:r>
    </w:p>
    <w:p>
      <w:pPr>
        <w:spacing w:line="242" w:lineRule="auto" w:before="12"/>
        <w:ind w:left="323" w:right="0" w:hanging="1"/>
        <w:jc w:val="left"/>
        <w:rPr>
          <w:sz w:val="18"/>
        </w:rPr>
      </w:pPr>
      <w:r>
        <w:rPr>
          <w:sz w:val="18"/>
          <w:vertAlign w:val="superscript"/>
        </w:rPr>
        <w:t>34</w:t>
      </w:r>
      <w:r>
        <w:rPr>
          <w:spacing w:val="-12"/>
          <w:sz w:val="18"/>
          <w:vertAlign w:val="baseline"/>
        </w:rPr>
        <w:t> </w:t>
      </w:r>
      <w:r>
        <w:rPr>
          <w:sz w:val="18"/>
          <w:vertAlign w:val="baseline"/>
        </w:rPr>
        <w:t>John</w:t>
      </w:r>
      <w:r>
        <w:rPr>
          <w:spacing w:val="-3"/>
          <w:sz w:val="18"/>
          <w:vertAlign w:val="baseline"/>
        </w:rPr>
        <w:t> </w:t>
      </w:r>
      <w:r>
        <w:rPr>
          <w:sz w:val="18"/>
          <w:vertAlign w:val="baseline"/>
        </w:rPr>
        <w:t>R.</w:t>
      </w:r>
      <w:r>
        <w:rPr>
          <w:spacing w:val="-2"/>
          <w:sz w:val="18"/>
          <w:vertAlign w:val="baseline"/>
        </w:rPr>
        <w:t> </w:t>
      </w:r>
      <w:r>
        <w:rPr>
          <w:sz w:val="18"/>
          <w:vertAlign w:val="baseline"/>
        </w:rPr>
        <w:t>Blosnich</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“Asthma</w:t>
      </w:r>
      <w:r>
        <w:rPr>
          <w:spacing w:val="-2"/>
          <w:sz w:val="18"/>
          <w:vertAlign w:val="baseline"/>
        </w:rPr>
        <w:t> </w:t>
      </w:r>
      <w:r>
        <w:rPr>
          <w:sz w:val="18"/>
          <w:vertAlign w:val="baseline"/>
        </w:rPr>
        <w:t>Disparities</w:t>
      </w:r>
      <w:r>
        <w:rPr>
          <w:spacing w:val="-2"/>
          <w:sz w:val="18"/>
          <w:vertAlign w:val="baseline"/>
        </w:rPr>
        <w:t> </w:t>
      </w:r>
      <w:r>
        <w:rPr>
          <w:sz w:val="18"/>
          <w:vertAlign w:val="baseline"/>
        </w:rPr>
        <w:t>and</w:t>
      </w:r>
      <w:r>
        <w:rPr>
          <w:spacing w:val="-2"/>
          <w:sz w:val="18"/>
          <w:vertAlign w:val="baseline"/>
        </w:rPr>
        <w:t> </w:t>
      </w:r>
      <w:r>
        <w:rPr>
          <w:sz w:val="18"/>
          <w:vertAlign w:val="baseline"/>
        </w:rPr>
        <w:t>Within-Group</w:t>
      </w:r>
      <w:r>
        <w:rPr>
          <w:spacing w:val="-2"/>
          <w:sz w:val="18"/>
          <w:vertAlign w:val="baseline"/>
        </w:rPr>
        <w:t> </w:t>
      </w:r>
      <w:r>
        <w:rPr>
          <w:sz w:val="18"/>
          <w:vertAlign w:val="baseline"/>
        </w:rPr>
        <w:t>Differences</w:t>
      </w:r>
      <w:r>
        <w:rPr>
          <w:spacing w:val="-2"/>
          <w:sz w:val="18"/>
          <w:vertAlign w:val="baseline"/>
        </w:rPr>
        <w:t> </w:t>
      </w:r>
      <w:r>
        <w:rPr>
          <w:sz w:val="18"/>
          <w:vertAlign w:val="baseline"/>
        </w:rPr>
        <w:t>in</w:t>
      </w:r>
      <w:r>
        <w:rPr>
          <w:spacing w:val="-2"/>
          <w:sz w:val="18"/>
          <w:vertAlign w:val="baseline"/>
        </w:rPr>
        <w:t> </w:t>
      </w:r>
      <w:r>
        <w:rPr>
          <w:sz w:val="18"/>
          <w:vertAlign w:val="baseline"/>
        </w:rPr>
        <w:t>a</w:t>
      </w:r>
      <w:r>
        <w:rPr>
          <w:spacing w:val="-2"/>
          <w:sz w:val="18"/>
          <w:vertAlign w:val="baseline"/>
        </w:rPr>
        <w:t> </w:t>
      </w:r>
      <w:r>
        <w:rPr>
          <w:sz w:val="18"/>
          <w:vertAlign w:val="baseline"/>
        </w:rPr>
        <w:t>National,</w:t>
      </w:r>
      <w:r>
        <w:rPr>
          <w:spacing w:val="-3"/>
          <w:sz w:val="18"/>
          <w:vertAlign w:val="baseline"/>
        </w:rPr>
        <w:t> </w:t>
      </w:r>
      <w:r>
        <w:rPr>
          <w:sz w:val="18"/>
          <w:vertAlign w:val="baseline"/>
        </w:rPr>
        <w:t>Probability</w:t>
      </w:r>
      <w:r>
        <w:rPr>
          <w:spacing w:val="-2"/>
          <w:sz w:val="18"/>
          <w:vertAlign w:val="baseline"/>
        </w:rPr>
        <w:t> </w:t>
      </w:r>
      <w:r>
        <w:rPr>
          <w:sz w:val="18"/>
          <w:vertAlign w:val="baseline"/>
        </w:rPr>
        <w:t>Sample</w:t>
      </w:r>
      <w:r>
        <w:rPr>
          <w:spacing w:val="-2"/>
          <w:sz w:val="18"/>
          <w:vertAlign w:val="baseline"/>
        </w:rPr>
        <w:t> </w:t>
      </w:r>
      <w:r>
        <w:rPr>
          <w:sz w:val="18"/>
          <w:vertAlign w:val="baseline"/>
        </w:rPr>
        <w:t>of</w:t>
      </w:r>
      <w:r>
        <w:rPr>
          <w:spacing w:val="-2"/>
          <w:sz w:val="18"/>
          <w:vertAlign w:val="baseline"/>
        </w:rPr>
        <w:t> </w:t>
      </w:r>
      <w:r>
        <w:rPr>
          <w:sz w:val="18"/>
          <w:vertAlign w:val="baseline"/>
        </w:rPr>
        <w:t>Same-Sex Partnered Adults,” </w:t>
      </w:r>
      <w:r>
        <w:rPr>
          <w:i/>
          <w:sz w:val="18"/>
          <w:vertAlign w:val="baseline"/>
        </w:rPr>
        <w:t>American Journal of Public Health </w:t>
      </w:r>
      <w:r>
        <w:rPr>
          <w:sz w:val="18"/>
          <w:vertAlign w:val="baseline"/>
        </w:rPr>
        <w:t>103, no. 9 (September 2013): e83-87, </w:t>
      </w:r>
      <w:r>
        <w:rPr>
          <w:spacing w:val="-2"/>
          <w:sz w:val="18"/>
          <w:vertAlign w:val="baseline"/>
        </w:rPr>
        <w:t>https://doi.org/10.2105/AJPH.2013.301217.</w:t>
      </w:r>
    </w:p>
    <w:p>
      <w:pPr>
        <w:spacing w:line="247" w:lineRule="auto" w:before="17"/>
        <w:ind w:left="323" w:right="0" w:hanging="1"/>
        <w:jc w:val="left"/>
        <w:rPr>
          <w:sz w:val="18"/>
        </w:rPr>
      </w:pPr>
      <w:r>
        <w:rPr>
          <w:sz w:val="18"/>
          <w:vertAlign w:val="superscript"/>
        </w:rPr>
        <w:t>35</w:t>
      </w:r>
      <w:r>
        <w:rPr>
          <w:spacing w:val="-12"/>
          <w:sz w:val="18"/>
          <w:vertAlign w:val="baseline"/>
        </w:rPr>
        <w:t> </w:t>
      </w:r>
      <w:r>
        <w:rPr>
          <w:sz w:val="18"/>
          <w:vertAlign w:val="baseline"/>
        </w:rPr>
        <w:t>Jason</w:t>
      </w:r>
      <w:r>
        <w:rPr>
          <w:spacing w:val="-3"/>
          <w:sz w:val="18"/>
          <w:vertAlign w:val="baseline"/>
        </w:rPr>
        <w:t> </w:t>
      </w:r>
      <w:r>
        <w:rPr>
          <w:sz w:val="18"/>
          <w:vertAlign w:val="baseline"/>
        </w:rPr>
        <w:t>M.</w:t>
      </w:r>
      <w:r>
        <w:rPr>
          <w:spacing w:val="-2"/>
          <w:sz w:val="18"/>
          <w:vertAlign w:val="baseline"/>
        </w:rPr>
        <w:t> </w:t>
      </w:r>
      <w:r>
        <w:rPr>
          <w:sz w:val="18"/>
          <w:vertAlign w:val="baseline"/>
        </w:rPr>
        <w:t>Nagata</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“Disparities</w:t>
      </w:r>
      <w:r>
        <w:rPr>
          <w:spacing w:val="-2"/>
          <w:sz w:val="18"/>
          <w:vertAlign w:val="baseline"/>
        </w:rPr>
        <w:t> </w:t>
      </w:r>
      <w:r>
        <w:rPr>
          <w:sz w:val="18"/>
          <w:vertAlign w:val="baseline"/>
        </w:rPr>
        <w:t>across</w:t>
      </w:r>
      <w:r>
        <w:rPr>
          <w:spacing w:val="-2"/>
          <w:sz w:val="18"/>
          <w:vertAlign w:val="baseline"/>
        </w:rPr>
        <w:t> </w:t>
      </w:r>
      <w:r>
        <w:rPr>
          <w:sz w:val="18"/>
          <w:vertAlign w:val="baseline"/>
        </w:rPr>
        <w:t>Sexual</w:t>
      </w:r>
      <w:r>
        <w:rPr>
          <w:spacing w:val="-3"/>
          <w:sz w:val="18"/>
          <w:vertAlign w:val="baseline"/>
        </w:rPr>
        <w:t> </w:t>
      </w:r>
      <w:r>
        <w:rPr>
          <w:sz w:val="18"/>
          <w:vertAlign w:val="baseline"/>
        </w:rPr>
        <w:t>Orientation</w:t>
      </w:r>
      <w:r>
        <w:rPr>
          <w:spacing w:val="-1"/>
          <w:sz w:val="18"/>
          <w:vertAlign w:val="baseline"/>
        </w:rPr>
        <w:t> </w:t>
      </w:r>
      <w:r>
        <w:rPr>
          <w:sz w:val="18"/>
          <w:vertAlign w:val="baseline"/>
        </w:rPr>
        <w:t>in</w:t>
      </w:r>
      <w:r>
        <w:rPr>
          <w:spacing w:val="-2"/>
          <w:sz w:val="18"/>
          <w:vertAlign w:val="baseline"/>
        </w:rPr>
        <w:t> </w:t>
      </w:r>
      <w:r>
        <w:rPr>
          <w:sz w:val="18"/>
          <w:vertAlign w:val="baseline"/>
        </w:rPr>
        <w:t>Obstructive</w:t>
      </w:r>
      <w:r>
        <w:rPr>
          <w:spacing w:val="-2"/>
          <w:sz w:val="18"/>
          <w:vertAlign w:val="baseline"/>
        </w:rPr>
        <w:t> </w:t>
      </w:r>
      <w:r>
        <w:rPr>
          <w:sz w:val="18"/>
          <w:vertAlign w:val="baseline"/>
        </w:rPr>
        <w:t>Airway</w:t>
      </w:r>
      <w:r>
        <w:rPr>
          <w:spacing w:val="-2"/>
          <w:sz w:val="18"/>
          <w:vertAlign w:val="baseline"/>
        </w:rPr>
        <w:t> </w:t>
      </w:r>
      <w:r>
        <w:rPr>
          <w:sz w:val="18"/>
          <w:vertAlign w:val="baseline"/>
        </w:rPr>
        <w:t>Disease</w:t>
      </w:r>
      <w:r>
        <w:rPr>
          <w:spacing w:val="-2"/>
          <w:sz w:val="18"/>
          <w:vertAlign w:val="baseline"/>
        </w:rPr>
        <w:t> </w:t>
      </w:r>
      <w:r>
        <w:rPr>
          <w:sz w:val="18"/>
          <w:vertAlign w:val="baseline"/>
        </w:rPr>
        <w:t>among</w:t>
      </w:r>
      <w:r>
        <w:rPr>
          <w:spacing w:val="-2"/>
          <w:sz w:val="18"/>
          <w:vertAlign w:val="baseline"/>
        </w:rPr>
        <w:t> </w:t>
      </w:r>
      <w:r>
        <w:rPr>
          <w:sz w:val="18"/>
          <w:vertAlign w:val="baseline"/>
        </w:rPr>
        <w:t>U.S.</w:t>
      </w:r>
      <w:r>
        <w:rPr>
          <w:spacing w:val="-2"/>
          <w:sz w:val="18"/>
          <w:vertAlign w:val="baseline"/>
        </w:rPr>
        <w:t> </w:t>
      </w:r>
      <w:r>
        <w:rPr>
          <w:sz w:val="18"/>
          <w:vertAlign w:val="baseline"/>
        </w:rPr>
        <w:t>Adults,”</w:t>
      </w:r>
      <w:r>
        <w:rPr>
          <w:spacing w:val="-2"/>
          <w:sz w:val="18"/>
          <w:vertAlign w:val="baseline"/>
        </w:rPr>
        <w:t> </w:t>
      </w:r>
      <w:r>
        <w:rPr>
          <w:i/>
          <w:sz w:val="18"/>
          <w:vertAlign w:val="baseline"/>
        </w:rPr>
        <w:t>Annals</w:t>
      </w:r>
      <w:r>
        <w:rPr>
          <w:i/>
          <w:spacing w:val="-3"/>
          <w:sz w:val="18"/>
          <w:vertAlign w:val="baseline"/>
        </w:rPr>
        <w:t> </w:t>
      </w:r>
      <w:r>
        <w:rPr>
          <w:i/>
          <w:sz w:val="18"/>
          <w:vertAlign w:val="baseline"/>
        </w:rPr>
        <w:t>of</w:t>
      </w:r>
      <w:r>
        <w:rPr>
          <w:i/>
          <w:spacing w:val="-2"/>
          <w:sz w:val="18"/>
          <w:vertAlign w:val="baseline"/>
        </w:rPr>
        <w:t> </w:t>
      </w:r>
      <w:r>
        <w:rPr>
          <w:i/>
          <w:sz w:val="18"/>
          <w:vertAlign w:val="baseline"/>
        </w:rPr>
        <w:t>the</w:t>
      </w:r>
      <w:r>
        <w:rPr>
          <w:i/>
          <w:sz w:val="18"/>
          <w:vertAlign w:val="baseline"/>
        </w:rPr>
        <w:t> American Thoracic Society </w:t>
      </w:r>
      <w:r>
        <w:rPr>
          <w:sz w:val="18"/>
          <w:vertAlign w:val="baseline"/>
        </w:rPr>
        <w:t>19, no. 3 (March 2022): 500–503, https://doi.org/10.1513/AnnalsATS.202104-513RL.</w:t>
      </w:r>
    </w:p>
    <w:p>
      <w:pPr>
        <w:spacing w:before="11"/>
        <w:ind w:left="323" w:right="0" w:firstLine="0"/>
        <w:jc w:val="left"/>
        <w:rPr>
          <w:sz w:val="18"/>
        </w:rPr>
      </w:pPr>
      <w:r>
        <w:rPr>
          <w:sz w:val="18"/>
          <w:vertAlign w:val="superscript"/>
        </w:rPr>
        <w:t>36</w:t>
      </w:r>
      <w:r>
        <w:rPr>
          <w:spacing w:val="-12"/>
          <w:sz w:val="18"/>
          <w:vertAlign w:val="baseline"/>
        </w:rPr>
        <w:t> </w:t>
      </w:r>
      <w:r>
        <w:rPr>
          <w:sz w:val="18"/>
          <w:vertAlign w:val="baseline"/>
        </w:rPr>
        <w:t>Brian</w:t>
      </w:r>
      <w:r>
        <w:rPr>
          <w:spacing w:val="-3"/>
          <w:sz w:val="18"/>
          <w:vertAlign w:val="baseline"/>
        </w:rPr>
        <w:t> </w:t>
      </w:r>
      <w:r>
        <w:rPr>
          <w:sz w:val="18"/>
          <w:vertAlign w:val="baseline"/>
        </w:rPr>
        <w:t>W.</w:t>
      </w:r>
      <w:r>
        <w:rPr>
          <w:spacing w:val="-1"/>
          <w:sz w:val="18"/>
          <w:vertAlign w:val="baseline"/>
        </w:rPr>
        <w:t> </w:t>
      </w:r>
      <w:r>
        <w:rPr>
          <w:sz w:val="18"/>
          <w:vertAlign w:val="baseline"/>
        </w:rPr>
        <w:t>Ward,</w:t>
      </w:r>
      <w:r>
        <w:rPr>
          <w:spacing w:val="-3"/>
          <w:sz w:val="18"/>
          <w:vertAlign w:val="baseline"/>
        </w:rPr>
        <w:t> </w:t>
      </w:r>
      <w:r>
        <w:rPr>
          <w:sz w:val="18"/>
          <w:vertAlign w:val="baseline"/>
        </w:rPr>
        <w:t>“Selected</w:t>
      </w:r>
      <w:r>
        <w:rPr>
          <w:spacing w:val="-1"/>
          <w:sz w:val="18"/>
          <w:vertAlign w:val="baseline"/>
        </w:rPr>
        <w:t> </w:t>
      </w:r>
      <w:r>
        <w:rPr>
          <w:sz w:val="18"/>
          <w:vertAlign w:val="baseline"/>
        </w:rPr>
        <w:t>Diagnosed</w:t>
      </w:r>
      <w:r>
        <w:rPr>
          <w:spacing w:val="-3"/>
          <w:sz w:val="18"/>
          <w:vertAlign w:val="baseline"/>
        </w:rPr>
        <w:t> </w:t>
      </w:r>
      <w:r>
        <w:rPr>
          <w:sz w:val="18"/>
          <w:vertAlign w:val="baseline"/>
        </w:rPr>
        <w:t>Chronic</w:t>
      </w:r>
      <w:r>
        <w:rPr>
          <w:spacing w:val="-2"/>
          <w:sz w:val="18"/>
          <w:vertAlign w:val="baseline"/>
        </w:rPr>
        <w:t> </w:t>
      </w:r>
      <w:r>
        <w:rPr>
          <w:sz w:val="18"/>
          <w:vertAlign w:val="baseline"/>
        </w:rPr>
        <w:t>Conditions</w:t>
      </w:r>
      <w:r>
        <w:rPr>
          <w:spacing w:val="-2"/>
          <w:sz w:val="18"/>
          <w:vertAlign w:val="baseline"/>
        </w:rPr>
        <w:t> </w:t>
      </w:r>
      <w:r>
        <w:rPr>
          <w:sz w:val="18"/>
          <w:vertAlign w:val="baseline"/>
        </w:rPr>
        <w:t>by</w:t>
      </w:r>
      <w:r>
        <w:rPr>
          <w:spacing w:val="-1"/>
          <w:sz w:val="18"/>
          <w:vertAlign w:val="baseline"/>
        </w:rPr>
        <w:t> </w:t>
      </w:r>
      <w:r>
        <w:rPr>
          <w:sz w:val="18"/>
          <w:vertAlign w:val="baseline"/>
        </w:rPr>
        <w:t>Sexual</w:t>
      </w:r>
      <w:r>
        <w:rPr>
          <w:spacing w:val="-3"/>
          <w:sz w:val="18"/>
          <w:vertAlign w:val="baseline"/>
        </w:rPr>
        <w:t> </w:t>
      </w:r>
      <w:r>
        <w:rPr>
          <w:sz w:val="18"/>
          <w:vertAlign w:val="baseline"/>
        </w:rPr>
        <w:t>Orientation:</w:t>
      </w:r>
      <w:r>
        <w:rPr>
          <w:spacing w:val="-1"/>
          <w:sz w:val="18"/>
          <w:vertAlign w:val="baseline"/>
        </w:rPr>
        <w:t> </w:t>
      </w:r>
      <w:r>
        <w:rPr>
          <w:sz w:val="18"/>
          <w:vertAlign w:val="baseline"/>
        </w:rPr>
        <w:t>A</w:t>
      </w:r>
      <w:r>
        <w:rPr>
          <w:spacing w:val="-2"/>
          <w:sz w:val="18"/>
          <w:vertAlign w:val="baseline"/>
        </w:rPr>
        <w:t> </w:t>
      </w:r>
      <w:r>
        <w:rPr>
          <w:sz w:val="18"/>
          <w:vertAlign w:val="baseline"/>
        </w:rPr>
        <w:t>National</w:t>
      </w:r>
      <w:r>
        <w:rPr>
          <w:spacing w:val="-2"/>
          <w:sz w:val="18"/>
          <w:vertAlign w:val="baseline"/>
        </w:rPr>
        <w:t> </w:t>
      </w:r>
      <w:r>
        <w:rPr>
          <w:sz w:val="18"/>
          <w:vertAlign w:val="baseline"/>
        </w:rPr>
        <w:t>Study</w:t>
      </w:r>
      <w:r>
        <w:rPr>
          <w:spacing w:val="-2"/>
          <w:sz w:val="18"/>
          <w:vertAlign w:val="baseline"/>
        </w:rPr>
        <w:t> </w:t>
      </w:r>
      <w:r>
        <w:rPr>
          <w:sz w:val="18"/>
          <w:vertAlign w:val="baseline"/>
        </w:rPr>
        <w:t>of</w:t>
      </w:r>
      <w:r>
        <w:rPr>
          <w:spacing w:val="-1"/>
          <w:sz w:val="18"/>
          <w:vertAlign w:val="baseline"/>
        </w:rPr>
        <w:t> </w:t>
      </w:r>
      <w:r>
        <w:rPr>
          <w:sz w:val="18"/>
          <w:vertAlign w:val="baseline"/>
        </w:rPr>
        <w:t>US</w:t>
      </w:r>
      <w:r>
        <w:rPr>
          <w:spacing w:val="-2"/>
          <w:sz w:val="18"/>
          <w:vertAlign w:val="baseline"/>
        </w:rPr>
        <w:t> </w:t>
      </w:r>
      <w:r>
        <w:rPr>
          <w:sz w:val="18"/>
          <w:vertAlign w:val="baseline"/>
        </w:rPr>
        <w:t>Adults,</w:t>
      </w:r>
      <w:r>
        <w:rPr>
          <w:spacing w:val="-2"/>
          <w:sz w:val="18"/>
          <w:vertAlign w:val="baseline"/>
        </w:rPr>
        <w:t> 2013,”</w:t>
      </w:r>
    </w:p>
    <w:p>
      <w:pPr>
        <w:spacing w:before="6"/>
        <w:ind w:left="323" w:right="0" w:firstLine="0"/>
        <w:jc w:val="left"/>
        <w:rPr>
          <w:sz w:val="18"/>
        </w:rPr>
      </w:pPr>
      <w:r>
        <w:rPr>
          <w:i/>
          <w:sz w:val="18"/>
        </w:rPr>
        <w:t>Preventing</w:t>
      </w:r>
      <w:r>
        <w:rPr>
          <w:i/>
          <w:spacing w:val="-4"/>
          <w:sz w:val="18"/>
        </w:rPr>
        <w:t> </w:t>
      </w:r>
      <w:r>
        <w:rPr>
          <w:i/>
          <w:sz w:val="18"/>
        </w:rPr>
        <w:t>Chronic</w:t>
      </w:r>
      <w:r>
        <w:rPr>
          <w:i/>
          <w:spacing w:val="-4"/>
          <w:sz w:val="18"/>
        </w:rPr>
        <w:t> </w:t>
      </w:r>
      <w:r>
        <w:rPr>
          <w:i/>
          <w:sz w:val="18"/>
        </w:rPr>
        <w:t>Disease</w:t>
      </w:r>
      <w:r>
        <w:rPr>
          <w:i/>
          <w:spacing w:val="-4"/>
          <w:sz w:val="18"/>
        </w:rPr>
        <w:t> </w:t>
      </w:r>
      <w:r>
        <w:rPr>
          <w:sz w:val="18"/>
        </w:rPr>
        <w:t>12</w:t>
      </w:r>
      <w:r>
        <w:rPr>
          <w:spacing w:val="-3"/>
          <w:sz w:val="18"/>
        </w:rPr>
        <w:t> </w:t>
      </w:r>
      <w:r>
        <w:rPr>
          <w:sz w:val="18"/>
        </w:rPr>
        <w:t>(2015),</w:t>
      </w:r>
      <w:r>
        <w:rPr>
          <w:spacing w:val="-4"/>
          <w:sz w:val="18"/>
        </w:rPr>
        <w:t> </w:t>
      </w:r>
      <w:r>
        <w:rPr>
          <w:spacing w:val="-2"/>
          <w:sz w:val="18"/>
        </w:rPr>
        <w:t>https://doi.org/10.5888/pcd12.150292.</w:t>
      </w:r>
    </w:p>
    <w:p>
      <w:pPr>
        <w:spacing w:before="18"/>
        <w:ind w:left="323" w:right="0" w:firstLine="0"/>
        <w:jc w:val="left"/>
        <w:rPr>
          <w:sz w:val="18"/>
        </w:rPr>
      </w:pPr>
      <w:r>
        <w:rPr>
          <w:sz w:val="18"/>
          <w:vertAlign w:val="superscript"/>
        </w:rPr>
        <w:t>37</w:t>
      </w:r>
      <w:r>
        <w:rPr>
          <w:spacing w:val="-12"/>
          <w:sz w:val="18"/>
          <w:vertAlign w:val="baseline"/>
        </w:rPr>
        <w:t> </w:t>
      </w:r>
      <w:r>
        <w:rPr>
          <w:sz w:val="18"/>
          <w:vertAlign w:val="baseline"/>
        </w:rPr>
        <w:t>Cindy</w:t>
      </w:r>
      <w:r>
        <w:rPr>
          <w:spacing w:val="-2"/>
          <w:sz w:val="18"/>
          <w:vertAlign w:val="baseline"/>
        </w:rPr>
        <w:t> </w:t>
      </w:r>
      <w:r>
        <w:rPr>
          <w:sz w:val="18"/>
          <w:vertAlign w:val="baseline"/>
        </w:rPr>
        <w:t>B.</w:t>
      </w:r>
      <w:r>
        <w:rPr>
          <w:spacing w:val="-1"/>
          <w:sz w:val="18"/>
          <w:vertAlign w:val="baseline"/>
        </w:rPr>
        <w:t> </w:t>
      </w:r>
      <w:r>
        <w:rPr>
          <w:sz w:val="18"/>
          <w:vertAlign w:val="baseline"/>
        </w:rPr>
        <w:t>Veldhuis</w:t>
      </w:r>
      <w:r>
        <w:rPr>
          <w:spacing w:val="-1"/>
          <w:sz w:val="18"/>
          <w:vertAlign w:val="baseline"/>
        </w:rPr>
        <w:t> </w:t>
      </w:r>
      <w:r>
        <w:rPr>
          <w:sz w:val="18"/>
          <w:vertAlign w:val="baseline"/>
        </w:rPr>
        <w:t>et</w:t>
      </w:r>
      <w:r>
        <w:rPr>
          <w:spacing w:val="-2"/>
          <w:sz w:val="18"/>
          <w:vertAlign w:val="baseline"/>
        </w:rPr>
        <w:t> </w:t>
      </w:r>
      <w:r>
        <w:rPr>
          <w:sz w:val="18"/>
          <w:vertAlign w:val="baseline"/>
        </w:rPr>
        <w:t>al.,</w:t>
      </w:r>
      <w:r>
        <w:rPr>
          <w:spacing w:val="-2"/>
          <w:sz w:val="18"/>
          <w:vertAlign w:val="baseline"/>
        </w:rPr>
        <w:t> </w:t>
      </w:r>
      <w:r>
        <w:rPr>
          <w:sz w:val="18"/>
          <w:vertAlign w:val="baseline"/>
        </w:rPr>
        <w:t>“The</w:t>
      </w:r>
      <w:r>
        <w:rPr>
          <w:spacing w:val="-1"/>
          <w:sz w:val="18"/>
          <w:vertAlign w:val="baseline"/>
        </w:rPr>
        <w:t> </w:t>
      </w:r>
      <w:r>
        <w:rPr>
          <w:sz w:val="18"/>
          <w:vertAlign w:val="baseline"/>
        </w:rPr>
        <w:t>Association</w:t>
      </w:r>
      <w:r>
        <w:rPr>
          <w:spacing w:val="-2"/>
          <w:sz w:val="18"/>
          <w:vertAlign w:val="baseline"/>
        </w:rPr>
        <w:t> </w:t>
      </w:r>
      <w:r>
        <w:rPr>
          <w:sz w:val="18"/>
          <w:vertAlign w:val="baseline"/>
        </w:rPr>
        <w:t>of</w:t>
      </w:r>
      <w:r>
        <w:rPr>
          <w:spacing w:val="-1"/>
          <w:sz w:val="18"/>
          <w:vertAlign w:val="baseline"/>
        </w:rPr>
        <w:t> </w:t>
      </w:r>
      <w:r>
        <w:rPr>
          <w:sz w:val="18"/>
          <w:vertAlign w:val="baseline"/>
        </w:rPr>
        <w:t>Asthma,</w:t>
      </w:r>
      <w:r>
        <w:rPr>
          <w:spacing w:val="-2"/>
          <w:sz w:val="18"/>
          <w:vertAlign w:val="baseline"/>
        </w:rPr>
        <w:t> </w:t>
      </w:r>
      <w:r>
        <w:rPr>
          <w:sz w:val="18"/>
          <w:vertAlign w:val="baseline"/>
        </w:rPr>
        <w:t>Sexual</w:t>
      </w:r>
      <w:r>
        <w:rPr>
          <w:spacing w:val="-2"/>
          <w:sz w:val="18"/>
          <w:vertAlign w:val="baseline"/>
        </w:rPr>
        <w:t> </w:t>
      </w:r>
      <w:r>
        <w:rPr>
          <w:sz w:val="18"/>
          <w:vertAlign w:val="baseline"/>
        </w:rPr>
        <w:t>Identity,</w:t>
      </w:r>
      <w:r>
        <w:rPr>
          <w:spacing w:val="-2"/>
          <w:sz w:val="18"/>
          <w:vertAlign w:val="baseline"/>
        </w:rPr>
        <w:t> </w:t>
      </w:r>
      <w:r>
        <w:rPr>
          <w:sz w:val="18"/>
          <w:vertAlign w:val="baseline"/>
        </w:rPr>
        <w:t>and</w:t>
      </w:r>
      <w:r>
        <w:rPr>
          <w:spacing w:val="-1"/>
          <w:sz w:val="18"/>
          <w:vertAlign w:val="baseline"/>
        </w:rPr>
        <w:t> </w:t>
      </w:r>
      <w:r>
        <w:rPr>
          <w:sz w:val="18"/>
          <w:vertAlign w:val="baseline"/>
        </w:rPr>
        <w:t>Inhaled</w:t>
      </w:r>
      <w:r>
        <w:rPr>
          <w:spacing w:val="-1"/>
          <w:sz w:val="18"/>
          <w:vertAlign w:val="baseline"/>
        </w:rPr>
        <w:t> </w:t>
      </w:r>
      <w:r>
        <w:rPr>
          <w:sz w:val="18"/>
          <w:vertAlign w:val="baseline"/>
        </w:rPr>
        <w:t>Substance</w:t>
      </w:r>
      <w:r>
        <w:rPr>
          <w:spacing w:val="-1"/>
          <w:sz w:val="18"/>
          <w:vertAlign w:val="baseline"/>
        </w:rPr>
        <w:t> </w:t>
      </w:r>
      <w:r>
        <w:rPr>
          <w:sz w:val="18"/>
          <w:vertAlign w:val="baseline"/>
        </w:rPr>
        <w:t>Use</w:t>
      </w:r>
      <w:r>
        <w:rPr>
          <w:spacing w:val="-2"/>
          <w:sz w:val="18"/>
          <w:vertAlign w:val="baseline"/>
        </w:rPr>
        <w:t> </w:t>
      </w:r>
      <w:r>
        <w:rPr>
          <w:sz w:val="18"/>
          <w:vertAlign w:val="baseline"/>
        </w:rPr>
        <w:t>among</w:t>
      </w:r>
      <w:r>
        <w:rPr>
          <w:spacing w:val="-1"/>
          <w:sz w:val="18"/>
          <w:vertAlign w:val="baseline"/>
        </w:rPr>
        <w:t> </w:t>
      </w:r>
      <w:r>
        <w:rPr>
          <w:sz w:val="18"/>
          <w:vertAlign w:val="baseline"/>
        </w:rPr>
        <w:t>U.S.</w:t>
      </w:r>
      <w:r>
        <w:rPr>
          <w:spacing w:val="-1"/>
          <w:sz w:val="18"/>
          <w:vertAlign w:val="baseline"/>
        </w:rPr>
        <w:t> </w:t>
      </w:r>
      <w:r>
        <w:rPr>
          <w:spacing w:val="-2"/>
          <w:sz w:val="18"/>
          <w:vertAlign w:val="baseline"/>
        </w:rPr>
        <w:t>Adolescents,”</w:t>
      </w:r>
    </w:p>
    <w:p>
      <w:pPr>
        <w:spacing w:before="7"/>
        <w:ind w:left="323" w:right="0" w:firstLine="0"/>
        <w:jc w:val="left"/>
        <w:rPr>
          <w:sz w:val="18"/>
        </w:rPr>
      </w:pPr>
      <w:r>
        <w:rPr>
          <w:i/>
          <w:sz w:val="18"/>
        </w:rPr>
        <w:t>Annals</w:t>
      </w:r>
      <w:r>
        <w:rPr>
          <w:i/>
          <w:spacing w:val="-7"/>
          <w:sz w:val="18"/>
        </w:rPr>
        <w:t> </w:t>
      </w:r>
      <w:r>
        <w:rPr>
          <w:i/>
          <w:sz w:val="18"/>
        </w:rPr>
        <w:t>of</w:t>
      </w:r>
      <w:r>
        <w:rPr>
          <w:i/>
          <w:spacing w:val="-3"/>
          <w:sz w:val="18"/>
        </w:rPr>
        <w:t> </w:t>
      </w:r>
      <w:r>
        <w:rPr>
          <w:i/>
          <w:sz w:val="18"/>
        </w:rPr>
        <w:t>the</w:t>
      </w:r>
      <w:r>
        <w:rPr>
          <w:i/>
          <w:spacing w:val="-3"/>
          <w:sz w:val="18"/>
        </w:rPr>
        <w:t> </w:t>
      </w:r>
      <w:r>
        <w:rPr>
          <w:i/>
          <w:sz w:val="18"/>
        </w:rPr>
        <w:t>American</w:t>
      </w:r>
      <w:r>
        <w:rPr>
          <w:i/>
          <w:spacing w:val="-4"/>
          <w:sz w:val="18"/>
        </w:rPr>
        <w:t> </w:t>
      </w:r>
      <w:r>
        <w:rPr>
          <w:i/>
          <w:sz w:val="18"/>
        </w:rPr>
        <w:t>Thoracic</w:t>
      </w:r>
      <w:r>
        <w:rPr>
          <w:i/>
          <w:spacing w:val="-4"/>
          <w:sz w:val="18"/>
        </w:rPr>
        <w:t> </w:t>
      </w:r>
      <w:r>
        <w:rPr>
          <w:i/>
          <w:sz w:val="18"/>
        </w:rPr>
        <w:t>Society</w:t>
      </w:r>
      <w:r>
        <w:rPr>
          <w:i/>
          <w:spacing w:val="-3"/>
          <w:sz w:val="18"/>
        </w:rPr>
        <w:t> </w:t>
      </w:r>
      <w:r>
        <w:rPr>
          <w:sz w:val="18"/>
        </w:rPr>
        <w:t>18,</w:t>
      </w:r>
      <w:r>
        <w:rPr>
          <w:spacing w:val="-5"/>
          <w:sz w:val="18"/>
        </w:rPr>
        <w:t> </w:t>
      </w:r>
      <w:r>
        <w:rPr>
          <w:sz w:val="18"/>
        </w:rPr>
        <w:t>no.</w:t>
      </w:r>
      <w:r>
        <w:rPr>
          <w:spacing w:val="-2"/>
          <w:sz w:val="18"/>
        </w:rPr>
        <w:t> </w:t>
      </w:r>
      <w:r>
        <w:rPr>
          <w:sz w:val="18"/>
        </w:rPr>
        <w:t>2</w:t>
      </w:r>
      <w:r>
        <w:rPr>
          <w:spacing w:val="-4"/>
          <w:sz w:val="18"/>
        </w:rPr>
        <w:t> </w:t>
      </w:r>
      <w:r>
        <w:rPr>
          <w:sz w:val="18"/>
        </w:rPr>
        <w:t>(February</w:t>
      </w:r>
      <w:r>
        <w:rPr>
          <w:spacing w:val="-3"/>
          <w:sz w:val="18"/>
        </w:rPr>
        <w:t> </w:t>
      </w:r>
      <w:r>
        <w:rPr>
          <w:sz w:val="18"/>
        </w:rPr>
        <w:t>2021):</w:t>
      </w:r>
      <w:r>
        <w:rPr>
          <w:spacing w:val="-3"/>
          <w:sz w:val="18"/>
        </w:rPr>
        <w:t> </w:t>
      </w:r>
      <w:r>
        <w:rPr>
          <w:sz w:val="18"/>
        </w:rPr>
        <w:t>273–80,</w:t>
      </w:r>
      <w:r>
        <w:rPr>
          <w:spacing w:val="-4"/>
          <w:sz w:val="18"/>
        </w:rPr>
        <w:t> </w:t>
      </w:r>
      <w:r>
        <w:rPr>
          <w:sz w:val="18"/>
        </w:rPr>
        <w:t>https://doi.org/10.1513/AnnalsATS.202001-</w:t>
      </w:r>
      <w:r>
        <w:rPr>
          <w:spacing w:val="-2"/>
          <w:sz w:val="18"/>
        </w:rPr>
        <w:t>062OC.</w:t>
      </w:r>
    </w:p>
    <w:p>
      <w:pPr>
        <w:spacing w:before="18"/>
        <w:ind w:left="323" w:right="0" w:firstLine="0"/>
        <w:jc w:val="left"/>
        <w:rPr>
          <w:sz w:val="18"/>
        </w:rPr>
      </w:pPr>
      <w:r>
        <w:rPr>
          <w:sz w:val="18"/>
          <w:vertAlign w:val="superscript"/>
        </w:rPr>
        <w:t>38</w:t>
      </w:r>
      <w:r>
        <w:rPr>
          <w:spacing w:val="-12"/>
          <w:sz w:val="18"/>
          <w:vertAlign w:val="baseline"/>
        </w:rPr>
        <w:t> </w:t>
      </w:r>
      <w:r>
        <w:rPr>
          <w:sz w:val="18"/>
          <w:vertAlign w:val="baseline"/>
        </w:rPr>
        <w:t>“Youth</w:t>
      </w:r>
      <w:r>
        <w:rPr>
          <w:spacing w:val="-2"/>
          <w:sz w:val="18"/>
          <w:vertAlign w:val="baseline"/>
        </w:rPr>
        <w:t> </w:t>
      </w:r>
      <w:r>
        <w:rPr>
          <w:sz w:val="18"/>
          <w:vertAlign w:val="baseline"/>
        </w:rPr>
        <w:t>Risk</w:t>
      </w:r>
      <w:r>
        <w:rPr>
          <w:spacing w:val="-2"/>
          <w:sz w:val="18"/>
          <w:vertAlign w:val="baseline"/>
        </w:rPr>
        <w:t> </w:t>
      </w:r>
      <w:r>
        <w:rPr>
          <w:sz w:val="18"/>
          <w:vertAlign w:val="baseline"/>
        </w:rPr>
        <w:t>Behavior</w:t>
      </w:r>
      <w:r>
        <w:rPr>
          <w:spacing w:val="-1"/>
          <w:sz w:val="18"/>
          <w:vertAlign w:val="baseline"/>
        </w:rPr>
        <w:t> </w:t>
      </w:r>
      <w:r>
        <w:rPr>
          <w:sz w:val="18"/>
          <w:vertAlign w:val="baseline"/>
        </w:rPr>
        <w:t>Surveillance</w:t>
      </w:r>
      <w:r>
        <w:rPr>
          <w:spacing w:val="-1"/>
          <w:sz w:val="18"/>
          <w:vertAlign w:val="baseline"/>
        </w:rPr>
        <w:t> </w:t>
      </w:r>
      <w:r>
        <w:rPr>
          <w:sz w:val="18"/>
          <w:vertAlign w:val="baseline"/>
        </w:rPr>
        <w:t>System</w:t>
      </w:r>
      <w:r>
        <w:rPr>
          <w:spacing w:val="-2"/>
          <w:sz w:val="18"/>
          <w:vertAlign w:val="baseline"/>
        </w:rPr>
        <w:t> (YBSS).”</w:t>
      </w:r>
    </w:p>
    <w:p>
      <w:pPr>
        <w:spacing w:line="244" w:lineRule="auto" w:before="24"/>
        <w:ind w:left="323" w:right="146" w:hanging="1"/>
        <w:jc w:val="left"/>
        <w:rPr>
          <w:sz w:val="18"/>
        </w:rPr>
      </w:pPr>
      <w:r>
        <w:rPr>
          <w:sz w:val="18"/>
          <w:vertAlign w:val="superscript"/>
        </w:rPr>
        <w:t>39</w:t>
      </w:r>
      <w:r>
        <w:rPr>
          <w:spacing w:val="-12"/>
          <w:sz w:val="18"/>
          <w:vertAlign w:val="baseline"/>
        </w:rPr>
        <w:t> </w:t>
      </w:r>
      <w:r>
        <w:rPr>
          <w:sz w:val="18"/>
          <w:vertAlign w:val="baseline"/>
        </w:rPr>
        <w:t>Catherine</w:t>
      </w:r>
      <w:r>
        <w:rPr>
          <w:spacing w:val="-3"/>
          <w:sz w:val="18"/>
          <w:vertAlign w:val="baseline"/>
        </w:rPr>
        <w:t> </w:t>
      </w:r>
      <w:r>
        <w:rPr>
          <w:sz w:val="18"/>
          <w:vertAlign w:val="baseline"/>
        </w:rPr>
        <w:t>Meads</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“Systematic</w:t>
      </w:r>
      <w:r>
        <w:rPr>
          <w:spacing w:val="-3"/>
          <w:sz w:val="18"/>
          <w:vertAlign w:val="baseline"/>
        </w:rPr>
        <w:t> </w:t>
      </w:r>
      <w:r>
        <w:rPr>
          <w:sz w:val="18"/>
          <w:vertAlign w:val="baseline"/>
        </w:rPr>
        <w:t>Review</w:t>
      </w:r>
      <w:r>
        <w:rPr>
          <w:spacing w:val="-3"/>
          <w:sz w:val="18"/>
          <w:vertAlign w:val="baseline"/>
        </w:rPr>
        <w:t> </w:t>
      </w:r>
      <w:r>
        <w:rPr>
          <w:sz w:val="18"/>
          <w:vertAlign w:val="baseline"/>
        </w:rPr>
        <w:t>and</w:t>
      </w:r>
      <w:r>
        <w:rPr>
          <w:spacing w:val="-2"/>
          <w:sz w:val="18"/>
          <w:vertAlign w:val="baseline"/>
        </w:rPr>
        <w:t> </w:t>
      </w:r>
      <w:r>
        <w:rPr>
          <w:sz w:val="18"/>
          <w:vertAlign w:val="baseline"/>
        </w:rPr>
        <w:t>Meta-Analysis</w:t>
      </w:r>
      <w:r>
        <w:rPr>
          <w:spacing w:val="-3"/>
          <w:sz w:val="18"/>
          <w:vertAlign w:val="baseline"/>
        </w:rPr>
        <w:t> </w:t>
      </w:r>
      <w:r>
        <w:rPr>
          <w:sz w:val="18"/>
          <w:vertAlign w:val="baseline"/>
        </w:rPr>
        <w:t>of</w:t>
      </w:r>
      <w:r>
        <w:rPr>
          <w:spacing w:val="-2"/>
          <w:sz w:val="18"/>
          <w:vertAlign w:val="baseline"/>
        </w:rPr>
        <w:t> </w:t>
      </w:r>
      <w:r>
        <w:rPr>
          <w:sz w:val="18"/>
          <w:vertAlign w:val="baseline"/>
        </w:rPr>
        <w:t>Diabetes</w:t>
      </w:r>
      <w:r>
        <w:rPr>
          <w:spacing w:val="-2"/>
          <w:sz w:val="18"/>
          <w:vertAlign w:val="baseline"/>
        </w:rPr>
        <w:t> </w:t>
      </w:r>
      <w:r>
        <w:rPr>
          <w:sz w:val="18"/>
          <w:vertAlign w:val="baseline"/>
        </w:rPr>
        <w:t>Mellitus,</w:t>
      </w:r>
      <w:r>
        <w:rPr>
          <w:spacing w:val="-3"/>
          <w:sz w:val="18"/>
          <w:vertAlign w:val="baseline"/>
        </w:rPr>
        <w:t> </w:t>
      </w:r>
      <w:r>
        <w:rPr>
          <w:sz w:val="18"/>
          <w:vertAlign w:val="baseline"/>
        </w:rPr>
        <w:t>Cardiovascular</w:t>
      </w:r>
      <w:r>
        <w:rPr>
          <w:spacing w:val="-3"/>
          <w:sz w:val="18"/>
          <w:vertAlign w:val="baseline"/>
        </w:rPr>
        <w:t> </w:t>
      </w:r>
      <w:r>
        <w:rPr>
          <w:sz w:val="18"/>
          <w:vertAlign w:val="baseline"/>
        </w:rPr>
        <w:t>and</w:t>
      </w:r>
      <w:r>
        <w:rPr>
          <w:spacing w:val="-2"/>
          <w:sz w:val="18"/>
          <w:vertAlign w:val="baseline"/>
        </w:rPr>
        <w:t> </w:t>
      </w:r>
      <w:r>
        <w:rPr>
          <w:sz w:val="18"/>
          <w:vertAlign w:val="baseline"/>
        </w:rPr>
        <w:t>Respiratory</w:t>
      </w:r>
      <w:r>
        <w:rPr>
          <w:spacing w:val="-2"/>
          <w:sz w:val="18"/>
          <w:vertAlign w:val="baseline"/>
        </w:rPr>
        <w:t> </w:t>
      </w:r>
      <w:r>
        <w:rPr>
          <w:sz w:val="18"/>
          <w:vertAlign w:val="baseline"/>
        </w:rPr>
        <w:t>Condition Epidemiology in Sexual Minority Women,” </w:t>
      </w:r>
      <w:r>
        <w:rPr>
          <w:i/>
          <w:sz w:val="18"/>
          <w:vertAlign w:val="baseline"/>
        </w:rPr>
        <w:t>BMJ Open </w:t>
      </w:r>
      <w:r>
        <w:rPr>
          <w:sz w:val="18"/>
          <w:vertAlign w:val="baseline"/>
        </w:rPr>
        <w:t>8, no. 4 (April 17, 2018): e020776, https://doi.org/10.1136/bmjopen- </w:t>
      </w:r>
      <w:r>
        <w:rPr>
          <w:spacing w:val="-2"/>
          <w:sz w:val="18"/>
          <w:vertAlign w:val="baseline"/>
        </w:rPr>
        <w:t>2017-020776.</w:t>
      </w:r>
    </w:p>
    <w:p>
      <w:pPr>
        <w:spacing w:before="12"/>
        <w:ind w:left="323" w:right="0" w:firstLine="0"/>
        <w:jc w:val="left"/>
        <w:rPr>
          <w:sz w:val="18"/>
        </w:rPr>
      </w:pPr>
      <w:r>
        <w:rPr>
          <w:sz w:val="18"/>
          <w:vertAlign w:val="superscript"/>
        </w:rPr>
        <w:t>40</w:t>
      </w:r>
      <w:r>
        <w:rPr>
          <w:spacing w:val="-12"/>
          <w:sz w:val="18"/>
          <w:vertAlign w:val="baseline"/>
        </w:rPr>
        <w:t> </w:t>
      </w:r>
      <w:r>
        <w:rPr>
          <w:i/>
          <w:sz w:val="18"/>
          <w:vertAlign w:val="baseline"/>
        </w:rPr>
        <w:t>Toxics</w:t>
      </w:r>
      <w:r>
        <w:rPr>
          <w:i/>
          <w:spacing w:val="-3"/>
          <w:sz w:val="18"/>
          <w:vertAlign w:val="baseline"/>
        </w:rPr>
        <w:t> </w:t>
      </w:r>
      <w:r>
        <w:rPr>
          <w:i/>
          <w:sz w:val="18"/>
          <w:vertAlign w:val="baseline"/>
        </w:rPr>
        <w:t>Are</w:t>
      </w:r>
      <w:r>
        <w:rPr>
          <w:i/>
          <w:spacing w:val="-1"/>
          <w:sz w:val="18"/>
          <w:vertAlign w:val="baseline"/>
        </w:rPr>
        <w:t> </w:t>
      </w:r>
      <w:r>
        <w:rPr>
          <w:i/>
          <w:sz w:val="18"/>
          <w:vertAlign w:val="baseline"/>
        </w:rPr>
        <w:t>a</w:t>
      </w:r>
      <w:r>
        <w:rPr>
          <w:i/>
          <w:spacing w:val="-2"/>
          <w:sz w:val="18"/>
          <w:vertAlign w:val="baseline"/>
        </w:rPr>
        <w:t> </w:t>
      </w:r>
      <w:r>
        <w:rPr>
          <w:i/>
          <w:sz w:val="18"/>
          <w:vertAlign w:val="baseline"/>
        </w:rPr>
        <w:t>Drag:</w:t>
      </w:r>
      <w:r>
        <w:rPr>
          <w:i/>
          <w:spacing w:val="-1"/>
          <w:sz w:val="18"/>
          <w:vertAlign w:val="baseline"/>
        </w:rPr>
        <w:t> </w:t>
      </w:r>
      <w:r>
        <w:rPr>
          <w:i/>
          <w:sz w:val="18"/>
          <w:vertAlign w:val="baseline"/>
        </w:rPr>
        <w:t>June</w:t>
      </w:r>
      <w:r>
        <w:rPr>
          <w:i/>
          <w:spacing w:val="-1"/>
          <w:sz w:val="18"/>
          <w:vertAlign w:val="baseline"/>
        </w:rPr>
        <w:t> </w:t>
      </w:r>
      <w:r>
        <w:rPr>
          <w:i/>
          <w:sz w:val="18"/>
          <w:vertAlign w:val="baseline"/>
        </w:rPr>
        <w:t>2021</w:t>
      </w:r>
      <w:r>
        <w:rPr>
          <w:i/>
          <w:spacing w:val="-1"/>
          <w:sz w:val="18"/>
          <w:vertAlign w:val="baseline"/>
        </w:rPr>
        <w:t> </w:t>
      </w:r>
      <w:r>
        <w:rPr>
          <w:i/>
          <w:sz w:val="18"/>
          <w:vertAlign w:val="baseline"/>
        </w:rPr>
        <w:t>Uptown</w:t>
      </w:r>
      <w:r>
        <w:rPr>
          <w:i/>
          <w:spacing w:val="-2"/>
          <w:sz w:val="18"/>
          <w:vertAlign w:val="baseline"/>
        </w:rPr>
        <w:t> </w:t>
      </w:r>
      <w:r>
        <w:rPr>
          <w:i/>
          <w:sz w:val="18"/>
          <w:vertAlign w:val="baseline"/>
        </w:rPr>
        <w:t>Chats</w:t>
      </w:r>
      <w:r>
        <w:rPr>
          <w:sz w:val="18"/>
          <w:vertAlign w:val="baseline"/>
        </w:rPr>
        <w:t>,</w:t>
      </w:r>
      <w:r>
        <w:rPr>
          <w:spacing w:val="-2"/>
          <w:sz w:val="18"/>
          <w:vertAlign w:val="baseline"/>
        </w:rPr>
        <w:t> </w:t>
      </w:r>
      <w:r>
        <w:rPr>
          <w:sz w:val="18"/>
          <w:vertAlign w:val="baseline"/>
        </w:rPr>
        <w:t>2021,</w:t>
      </w:r>
      <w:r>
        <w:rPr>
          <w:spacing w:val="-2"/>
          <w:sz w:val="18"/>
          <w:vertAlign w:val="baseline"/>
        </w:rPr>
        <w:t> https://</w:t>
      </w:r>
      <w:hyperlink r:id="rId634">
        <w:r>
          <w:rPr>
            <w:spacing w:val="-2"/>
            <w:sz w:val="18"/>
            <w:vertAlign w:val="baseline"/>
          </w:rPr>
          <w:t>www.youtube.com/watch?v=1jgchaRTc_Y.</w:t>
        </w:r>
      </w:hyperlink>
    </w:p>
    <w:p>
      <w:pPr>
        <w:spacing w:line="252" w:lineRule="auto" w:before="25"/>
        <w:ind w:left="323" w:right="187" w:firstLine="0"/>
        <w:jc w:val="left"/>
        <w:rPr>
          <w:sz w:val="18"/>
        </w:rPr>
      </w:pPr>
      <w:r>
        <w:rPr>
          <w:sz w:val="18"/>
          <w:vertAlign w:val="superscript"/>
        </w:rPr>
        <w:t>41</w:t>
      </w:r>
      <w:r>
        <w:rPr>
          <w:spacing w:val="-6"/>
          <w:sz w:val="18"/>
          <w:vertAlign w:val="baseline"/>
        </w:rPr>
        <w:t> </w:t>
      </w:r>
      <w:r>
        <w:rPr>
          <w:sz w:val="18"/>
          <w:vertAlign w:val="baseline"/>
        </w:rPr>
        <w:t>“Study: Half of US Cosmetics Contain Toxic Chemicals | AP News,” accessed March 13, 2023, </w:t>
      </w:r>
      <w:r>
        <w:rPr>
          <w:spacing w:val="-2"/>
          <w:sz w:val="18"/>
          <w:vertAlign w:val="baseline"/>
        </w:rPr>
        <w:t>https://apnews.com/article/canada-science-health-business-government-and-politics-769d9740a0ddc8a4fe72619885511a23.</w:t>
      </w:r>
      <w:r>
        <w:rPr>
          <w:spacing w:val="80"/>
          <w:sz w:val="18"/>
          <w:vertAlign w:val="baseline"/>
        </w:rPr>
        <w:t>  </w:t>
      </w:r>
      <w:r>
        <w:rPr>
          <w:sz w:val="18"/>
          <w:vertAlign w:val="superscript"/>
        </w:rPr>
        <w:t>42</w:t>
      </w:r>
      <w:r>
        <w:rPr>
          <w:spacing w:val="-12"/>
          <w:sz w:val="18"/>
          <w:vertAlign w:val="baseline"/>
        </w:rPr>
        <w:t> </w:t>
      </w:r>
      <w:r>
        <w:rPr>
          <w:sz w:val="18"/>
          <w:vertAlign w:val="baseline"/>
        </w:rPr>
        <w:t>Jasmine</w:t>
      </w:r>
      <w:r>
        <w:rPr>
          <w:spacing w:val="-3"/>
          <w:sz w:val="18"/>
          <w:vertAlign w:val="baseline"/>
        </w:rPr>
        <w:t> </w:t>
      </w:r>
      <w:r>
        <w:rPr>
          <w:sz w:val="18"/>
          <w:vertAlign w:val="baseline"/>
        </w:rPr>
        <w:t>A.</w:t>
      </w:r>
      <w:r>
        <w:rPr>
          <w:spacing w:val="-2"/>
          <w:sz w:val="18"/>
          <w:vertAlign w:val="baseline"/>
        </w:rPr>
        <w:t> </w:t>
      </w:r>
      <w:r>
        <w:rPr>
          <w:sz w:val="18"/>
          <w:vertAlign w:val="baseline"/>
        </w:rPr>
        <w:t>McDonald</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“The</w:t>
      </w:r>
      <w:r>
        <w:rPr>
          <w:spacing w:val="-2"/>
          <w:sz w:val="18"/>
          <w:vertAlign w:val="baseline"/>
        </w:rPr>
        <w:t> </w:t>
      </w:r>
      <w:r>
        <w:rPr>
          <w:sz w:val="18"/>
          <w:vertAlign w:val="baseline"/>
        </w:rPr>
        <w:t>Environmental</w:t>
      </w:r>
      <w:r>
        <w:rPr>
          <w:spacing w:val="-3"/>
          <w:sz w:val="18"/>
          <w:vertAlign w:val="baseline"/>
        </w:rPr>
        <w:t> </w:t>
      </w:r>
      <w:r>
        <w:rPr>
          <w:sz w:val="18"/>
          <w:vertAlign w:val="baseline"/>
        </w:rPr>
        <w:t>Injustice</w:t>
      </w:r>
      <w:r>
        <w:rPr>
          <w:spacing w:val="-2"/>
          <w:sz w:val="18"/>
          <w:vertAlign w:val="baseline"/>
        </w:rPr>
        <w:t> </w:t>
      </w:r>
      <w:r>
        <w:rPr>
          <w:sz w:val="18"/>
          <w:vertAlign w:val="baseline"/>
        </w:rPr>
        <w:t>of</w:t>
      </w:r>
      <w:r>
        <w:rPr>
          <w:spacing w:val="-2"/>
          <w:sz w:val="18"/>
          <w:vertAlign w:val="baseline"/>
        </w:rPr>
        <w:t> </w:t>
      </w:r>
      <w:r>
        <w:rPr>
          <w:sz w:val="18"/>
          <w:vertAlign w:val="baseline"/>
        </w:rPr>
        <w:t>Beauty</w:t>
      </w:r>
      <w:r>
        <w:rPr>
          <w:spacing w:val="-2"/>
          <w:sz w:val="18"/>
          <w:vertAlign w:val="baseline"/>
        </w:rPr>
        <w:t> </w:t>
      </w:r>
      <w:r>
        <w:rPr>
          <w:sz w:val="18"/>
          <w:vertAlign w:val="baseline"/>
        </w:rPr>
        <w:t>Products:</w:t>
      </w:r>
      <w:r>
        <w:rPr>
          <w:spacing w:val="-2"/>
          <w:sz w:val="18"/>
          <w:vertAlign w:val="baseline"/>
        </w:rPr>
        <w:t> </w:t>
      </w:r>
      <w:r>
        <w:rPr>
          <w:sz w:val="18"/>
          <w:vertAlign w:val="baseline"/>
        </w:rPr>
        <w:t>Toward</w:t>
      </w:r>
      <w:r>
        <w:rPr>
          <w:spacing w:val="-2"/>
          <w:sz w:val="18"/>
          <w:vertAlign w:val="baseline"/>
        </w:rPr>
        <w:t> </w:t>
      </w:r>
      <w:r>
        <w:rPr>
          <w:sz w:val="18"/>
          <w:vertAlign w:val="baseline"/>
        </w:rPr>
        <w:t>Clean</w:t>
      </w:r>
      <w:r>
        <w:rPr>
          <w:spacing w:val="-2"/>
          <w:sz w:val="18"/>
          <w:vertAlign w:val="baseline"/>
        </w:rPr>
        <w:t> </w:t>
      </w:r>
      <w:r>
        <w:rPr>
          <w:sz w:val="18"/>
          <w:vertAlign w:val="baseline"/>
        </w:rPr>
        <w:t>and</w:t>
      </w:r>
      <w:r>
        <w:rPr>
          <w:spacing w:val="-2"/>
          <w:sz w:val="18"/>
          <w:vertAlign w:val="baseline"/>
        </w:rPr>
        <w:t> </w:t>
      </w:r>
      <w:r>
        <w:rPr>
          <w:sz w:val="18"/>
          <w:vertAlign w:val="baseline"/>
        </w:rPr>
        <w:t>Equitable</w:t>
      </w:r>
      <w:r>
        <w:rPr>
          <w:spacing w:val="-2"/>
          <w:sz w:val="18"/>
          <w:vertAlign w:val="baseline"/>
        </w:rPr>
        <w:t> </w:t>
      </w:r>
      <w:r>
        <w:rPr>
          <w:sz w:val="18"/>
          <w:vertAlign w:val="baseline"/>
        </w:rPr>
        <w:t>Beauty,”</w:t>
      </w:r>
      <w:r>
        <w:rPr>
          <w:spacing w:val="-2"/>
          <w:sz w:val="18"/>
          <w:vertAlign w:val="baseline"/>
        </w:rPr>
        <w:t> </w:t>
      </w:r>
      <w:r>
        <w:rPr>
          <w:i/>
          <w:sz w:val="18"/>
          <w:vertAlign w:val="baseline"/>
        </w:rPr>
        <w:t>American</w:t>
      </w:r>
      <w:r>
        <w:rPr>
          <w:i/>
          <w:sz w:val="18"/>
          <w:vertAlign w:val="baseline"/>
        </w:rPr>
        <w:t> Journal of Public Health </w:t>
      </w:r>
      <w:r>
        <w:rPr>
          <w:sz w:val="18"/>
          <w:vertAlign w:val="baseline"/>
        </w:rPr>
        <w:t>112, no. 1 (January 2022): 50–53, https://doi.org/10.2105/AJPH.2021.306606.</w:t>
      </w:r>
    </w:p>
    <w:p>
      <w:pPr>
        <w:spacing w:after="0" w:line="252" w:lineRule="auto"/>
        <w:jc w:val="left"/>
        <w:rPr>
          <w:sz w:val="18"/>
        </w:rPr>
        <w:sectPr>
          <w:pgSz w:w="12240" w:h="15840"/>
          <w:pgMar w:header="800" w:footer="1459" w:top="1300" w:bottom="1700" w:left="1120" w:right="1300"/>
        </w:sectPr>
      </w:pPr>
    </w:p>
    <w:p>
      <w:pPr>
        <w:spacing w:before="85"/>
        <w:ind w:left="323" w:right="0" w:firstLine="0"/>
        <w:jc w:val="left"/>
        <w:rPr>
          <w:sz w:val="18"/>
        </w:rPr>
      </w:pPr>
      <w:r>
        <w:rPr>
          <w:sz w:val="18"/>
          <w:vertAlign w:val="superscript"/>
        </w:rPr>
        <w:t>43</w:t>
      </w:r>
      <w:r>
        <w:rPr>
          <w:spacing w:val="-11"/>
          <w:sz w:val="18"/>
          <w:vertAlign w:val="baseline"/>
        </w:rPr>
        <w:t> </w:t>
      </w:r>
      <w:r>
        <w:rPr>
          <w:i/>
          <w:sz w:val="18"/>
          <w:vertAlign w:val="baseline"/>
        </w:rPr>
        <w:t>Toxics Are</w:t>
      </w:r>
      <w:r>
        <w:rPr>
          <w:i/>
          <w:spacing w:val="2"/>
          <w:sz w:val="18"/>
          <w:vertAlign w:val="baseline"/>
        </w:rPr>
        <w:t> </w:t>
      </w:r>
      <w:r>
        <w:rPr>
          <w:i/>
          <w:sz w:val="18"/>
          <w:vertAlign w:val="baseline"/>
        </w:rPr>
        <w:t>a</w:t>
      </w:r>
      <w:r>
        <w:rPr>
          <w:i/>
          <w:spacing w:val="1"/>
          <w:sz w:val="18"/>
          <w:vertAlign w:val="baseline"/>
        </w:rPr>
        <w:t> </w:t>
      </w:r>
      <w:r>
        <w:rPr>
          <w:i/>
          <w:spacing w:val="-2"/>
          <w:sz w:val="18"/>
          <w:vertAlign w:val="baseline"/>
        </w:rPr>
        <w:t>Drag</w:t>
      </w:r>
      <w:r>
        <w:rPr>
          <w:spacing w:val="-2"/>
          <w:sz w:val="18"/>
          <w:vertAlign w:val="baseline"/>
        </w:rPr>
        <w:t>.</w:t>
      </w:r>
    </w:p>
    <w:p>
      <w:pPr>
        <w:spacing w:line="244" w:lineRule="auto" w:before="24"/>
        <w:ind w:left="323" w:right="456" w:hanging="1"/>
        <w:jc w:val="left"/>
        <w:rPr>
          <w:sz w:val="18"/>
        </w:rPr>
      </w:pPr>
      <w:r>
        <w:rPr>
          <w:sz w:val="18"/>
          <w:vertAlign w:val="superscript"/>
        </w:rPr>
        <w:t>44</w:t>
      </w:r>
      <w:r>
        <w:rPr>
          <w:spacing w:val="-7"/>
          <w:sz w:val="18"/>
          <w:vertAlign w:val="baseline"/>
        </w:rPr>
        <w:t> </w:t>
      </w:r>
      <w:r>
        <w:rPr>
          <w:sz w:val="18"/>
          <w:vertAlign w:val="baseline"/>
        </w:rPr>
        <w:t>Michael Scaturro, “States Seek Crackdown on Toxic Ingredients in Cosmetics to Close Gaps in Federal Oversight,” </w:t>
      </w:r>
      <w:r>
        <w:rPr>
          <w:i/>
          <w:sz w:val="18"/>
          <w:vertAlign w:val="baseline"/>
        </w:rPr>
        <w:t>Kaiser</w:t>
      </w:r>
      <w:r>
        <w:rPr>
          <w:i/>
          <w:sz w:val="18"/>
          <w:vertAlign w:val="baseline"/>
        </w:rPr>
        <w:t> Health</w:t>
      </w:r>
      <w:r>
        <w:rPr>
          <w:i/>
          <w:spacing w:val="-8"/>
          <w:sz w:val="18"/>
          <w:vertAlign w:val="baseline"/>
        </w:rPr>
        <w:t> </w:t>
      </w:r>
      <w:r>
        <w:rPr>
          <w:i/>
          <w:sz w:val="18"/>
          <w:vertAlign w:val="baseline"/>
        </w:rPr>
        <w:t>News</w:t>
      </w:r>
      <w:r>
        <w:rPr>
          <w:sz w:val="18"/>
          <w:vertAlign w:val="baseline"/>
        </w:rPr>
        <w:t>,</w:t>
      </w:r>
      <w:r>
        <w:rPr>
          <w:spacing w:val="-8"/>
          <w:sz w:val="18"/>
          <w:vertAlign w:val="baseline"/>
        </w:rPr>
        <w:t> </w:t>
      </w:r>
      <w:r>
        <w:rPr>
          <w:sz w:val="18"/>
          <w:vertAlign w:val="baseline"/>
        </w:rPr>
        <w:t>February</w:t>
      </w:r>
      <w:r>
        <w:rPr>
          <w:spacing w:val="-8"/>
          <w:sz w:val="18"/>
          <w:vertAlign w:val="baseline"/>
        </w:rPr>
        <w:t> </w:t>
      </w:r>
      <w:r>
        <w:rPr>
          <w:sz w:val="18"/>
          <w:vertAlign w:val="baseline"/>
        </w:rPr>
        <w:t>23,</w:t>
      </w:r>
      <w:r>
        <w:rPr>
          <w:spacing w:val="-8"/>
          <w:sz w:val="18"/>
          <w:vertAlign w:val="baseline"/>
        </w:rPr>
        <w:t> </w:t>
      </w:r>
      <w:r>
        <w:rPr>
          <w:sz w:val="18"/>
          <w:vertAlign w:val="baseline"/>
        </w:rPr>
        <w:t>2023,</w:t>
      </w:r>
      <w:r>
        <w:rPr>
          <w:spacing w:val="-8"/>
          <w:sz w:val="18"/>
          <w:vertAlign w:val="baseline"/>
        </w:rPr>
        <w:t> </w:t>
      </w:r>
      <w:r>
        <w:rPr>
          <w:sz w:val="18"/>
          <w:vertAlign w:val="baseline"/>
        </w:rPr>
        <w:t>https://khn.org/news/article/states-seek-crackdown-on-toxic-ingredients-in-cosmetics-to- </w:t>
      </w:r>
      <w:r>
        <w:rPr>
          <w:spacing w:val="-2"/>
          <w:sz w:val="18"/>
          <w:vertAlign w:val="baseline"/>
        </w:rPr>
        <w:t>close-gaps-in-federal-oversight/.</w:t>
      </w:r>
    </w:p>
    <w:p>
      <w:pPr>
        <w:spacing w:line="247" w:lineRule="auto" w:before="12"/>
        <w:ind w:left="323" w:right="1032" w:firstLine="0"/>
        <w:jc w:val="left"/>
        <w:rPr>
          <w:sz w:val="18"/>
        </w:rPr>
      </w:pPr>
      <w:r>
        <w:rPr>
          <w:sz w:val="18"/>
          <w:vertAlign w:val="superscript"/>
        </w:rPr>
        <w:t>45</w:t>
      </w:r>
      <w:r>
        <w:rPr>
          <w:spacing w:val="-12"/>
          <w:sz w:val="18"/>
          <w:vertAlign w:val="baseline"/>
        </w:rPr>
        <w:t> </w:t>
      </w:r>
      <w:r>
        <w:rPr>
          <w:sz w:val="18"/>
          <w:vertAlign w:val="baseline"/>
        </w:rPr>
        <w:t>“Safer</w:t>
      </w:r>
      <w:r>
        <w:rPr>
          <w:spacing w:val="-3"/>
          <w:sz w:val="18"/>
          <w:vertAlign w:val="baseline"/>
        </w:rPr>
        <w:t> </w:t>
      </w:r>
      <w:r>
        <w:rPr>
          <w:sz w:val="18"/>
          <w:vertAlign w:val="baseline"/>
        </w:rPr>
        <w:t>Beauty</w:t>
      </w:r>
      <w:r>
        <w:rPr>
          <w:spacing w:val="-3"/>
          <w:sz w:val="18"/>
          <w:vertAlign w:val="baseline"/>
        </w:rPr>
        <w:t> </w:t>
      </w:r>
      <w:r>
        <w:rPr>
          <w:sz w:val="18"/>
          <w:vertAlign w:val="baseline"/>
        </w:rPr>
        <w:t>&amp;</w:t>
      </w:r>
      <w:r>
        <w:rPr>
          <w:spacing w:val="-3"/>
          <w:sz w:val="18"/>
          <w:vertAlign w:val="baseline"/>
        </w:rPr>
        <w:t> </w:t>
      </w:r>
      <w:r>
        <w:rPr>
          <w:sz w:val="18"/>
          <w:vertAlign w:val="baseline"/>
        </w:rPr>
        <w:t>Cosmetics</w:t>
      </w:r>
      <w:r>
        <w:rPr>
          <w:spacing w:val="-2"/>
          <w:sz w:val="18"/>
          <w:vertAlign w:val="baseline"/>
        </w:rPr>
        <w:t> </w:t>
      </w:r>
      <w:r>
        <w:rPr>
          <w:sz w:val="18"/>
          <w:vertAlign w:val="baseline"/>
        </w:rPr>
        <w:t>State</w:t>
      </w:r>
      <w:r>
        <w:rPr>
          <w:spacing w:val="-2"/>
          <w:sz w:val="18"/>
          <w:vertAlign w:val="baseline"/>
        </w:rPr>
        <w:t> </w:t>
      </w:r>
      <w:r>
        <w:rPr>
          <w:sz w:val="18"/>
          <w:vertAlign w:val="baseline"/>
        </w:rPr>
        <w:t>Laws,”</w:t>
      </w:r>
      <w:r>
        <w:rPr>
          <w:spacing w:val="-2"/>
          <w:sz w:val="18"/>
          <w:vertAlign w:val="baseline"/>
        </w:rPr>
        <w:t> </w:t>
      </w:r>
      <w:r>
        <w:rPr>
          <w:i/>
          <w:sz w:val="18"/>
          <w:vertAlign w:val="baseline"/>
        </w:rPr>
        <w:t>Breast</w:t>
      </w:r>
      <w:r>
        <w:rPr>
          <w:i/>
          <w:spacing w:val="-3"/>
          <w:sz w:val="18"/>
          <w:vertAlign w:val="baseline"/>
        </w:rPr>
        <w:t> </w:t>
      </w:r>
      <w:r>
        <w:rPr>
          <w:i/>
          <w:sz w:val="18"/>
          <w:vertAlign w:val="baseline"/>
        </w:rPr>
        <w:t>Cancer</w:t>
      </w:r>
      <w:r>
        <w:rPr>
          <w:i/>
          <w:spacing w:val="-3"/>
          <w:sz w:val="18"/>
          <w:vertAlign w:val="baseline"/>
        </w:rPr>
        <w:t> </w:t>
      </w:r>
      <w:r>
        <w:rPr>
          <w:i/>
          <w:sz w:val="18"/>
          <w:vertAlign w:val="baseline"/>
        </w:rPr>
        <w:t>Prevention</w:t>
      </w:r>
      <w:r>
        <w:rPr>
          <w:i/>
          <w:spacing w:val="-2"/>
          <w:sz w:val="18"/>
          <w:vertAlign w:val="baseline"/>
        </w:rPr>
        <w:t> </w:t>
      </w:r>
      <w:r>
        <w:rPr>
          <w:i/>
          <w:sz w:val="18"/>
          <w:vertAlign w:val="baseline"/>
        </w:rPr>
        <w:t>Partners</w:t>
      </w:r>
      <w:r>
        <w:rPr>
          <w:i/>
          <w:spacing w:val="-3"/>
          <w:sz w:val="18"/>
          <w:vertAlign w:val="baseline"/>
        </w:rPr>
        <w:t> </w:t>
      </w:r>
      <w:r>
        <w:rPr>
          <w:i/>
          <w:sz w:val="18"/>
          <w:vertAlign w:val="baseline"/>
        </w:rPr>
        <w:t>(BCPP)</w:t>
      </w:r>
      <w:r>
        <w:rPr>
          <w:i/>
          <w:spacing w:val="-3"/>
          <w:sz w:val="18"/>
          <w:vertAlign w:val="baseline"/>
        </w:rPr>
        <w:t> </w:t>
      </w:r>
      <w:r>
        <w:rPr>
          <w:sz w:val="18"/>
          <w:vertAlign w:val="baseline"/>
        </w:rPr>
        <w:t>(blog),</w:t>
      </w:r>
      <w:r>
        <w:rPr>
          <w:spacing w:val="-3"/>
          <w:sz w:val="18"/>
          <w:vertAlign w:val="baseline"/>
        </w:rPr>
        <w:t> </w:t>
      </w:r>
      <w:r>
        <w:rPr>
          <w:sz w:val="18"/>
          <w:vertAlign w:val="baseline"/>
        </w:rPr>
        <w:t>accessed</w:t>
      </w:r>
      <w:r>
        <w:rPr>
          <w:spacing w:val="-2"/>
          <w:sz w:val="18"/>
          <w:vertAlign w:val="baseline"/>
        </w:rPr>
        <w:t> </w:t>
      </w:r>
      <w:r>
        <w:rPr>
          <w:sz w:val="18"/>
          <w:vertAlign w:val="baseline"/>
        </w:rPr>
        <w:t>March</w:t>
      </w:r>
      <w:r>
        <w:rPr>
          <w:spacing w:val="-2"/>
          <w:sz w:val="18"/>
          <w:vertAlign w:val="baseline"/>
        </w:rPr>
        <w:t> </w:t>
      </w:r>
      <w:r>
        <w:rPr>
          <w:sz w:val="18"/>
          <w:vertAlign w:val="baseline"/>
        </w:rPr>
        <w:t>6,</w:t>
      </w:r>
      <w:r>
        <w:rPr>
          <w:spacing w:val="-3"/>
          <w:sz w:val="18"/>
          <w:vertAlign w:val="baseline"/>
        </w:rPr>
        <w:t> </w:t>
      </w:r>
      <w:r>
        <w:rPr>
          <w:sz w:val="18"/>
          <w:vertAlign w:val="baseline"/>
        </w:rPr>
        <w:t>2023, </w:t>
      </w:r>
      <w:r>
        <w:rPr>
          <w:spacing w:val="-2"/>
          <w:sz w:val="18"/>
          <w:vertAlign w:val="baseline"/>
        </w:rPr>
        <w:t>https://</w:t>
      </w:r>
      <w:hyperlink r:id="rId635">
        <w:r>
          <w:rPr>
            <w:spacing w:val="-2"/>
            <w:sz w:val="18"/>
            <w:vertAlign w:val="baseline"/>
          </w:rPr>
          <w:t>www.bcpp.org/resource/safer-beauty-and-cosmetics-state-laws/.</w:t>
        </w:r>
      </w:hyperlink>
    </w:p>
    <w:p>
      <w:pPr>
        <w:spacing w:before="11"/>
        <w:ind w:left="323" w:right="0" w:firstLine="0"/>
        <w:jc w:val="left"/>
        <w:rPr>
          <w:sz w:val="18"/>
        </w:rPr>
      </w:pPr>
      <w:r>
        <w:rPr>
          <w:sz w:val="18"/>
          <w:vertAlign w:val="superscript"/>
        </w:rPr>
        <w:t>46</w:t>
      </w:r>
      <w:r>
        <w:rPr>
          <w:spacing w:val="-12"/>
          <w:sz w:val="18"/>
          <w:vertAlign w:val="baseline"/>
        </w:rPr>
        <w:t> </w:t>
      </w:r>
      <w:r>
        <w:rPr>
          <w:sz w:val="18"/>
          <w:vertAlign w:val="baseline"/>
        </w:rPr>
        <w:t>“Bill</w:t>
      </w:r>
      <w:r>
        <w:rPr>
          <w:spacing w:val="-1"/>
          <w:sz w:val="18"/>
          <w:vertAlign w:val="baseline"/>
        </w:rPr>
        <w:t> </w:t>
      </w:r>
      <w:r>
        <w:rPr>
          <w:sz w:val="18"/>
          <w:vertAlign w:val="baseline"/>
        </w:rPr>
        <w:t>H.2197,” accessed March 13,</w:t>
      </w:r>
      <w:r>
        <w:rPr>
          <w:spacing w:val="-1"/>
          <w:sz w:val="18"/>
          <w:vertAlign w:val="baseline"/>
        </w:rPr>
        <w:t> </w:t>
      </w:r>
      <w:r>
        <w:rPr>
          <w:sz w:val="18"/>
          <w:vertAlign w:val="baseline"/>
        </w:rPr>
        <w:t>2023,</w:t>
      </w:r>
      <w:r>
        <w:rPr>
          <w:spacing w:val="-1"/>
          <w:sz w:val="18"/>
          <w:vertAlign w:val="baseline"/>
        </w:rPr>
        <w:t> </w:t>
      </w:r>
      <w:r>
        <w:rPr>
          <w:spacing w:val="-2"/>
          <w:sz w:val="18"/>
          <w:vertAlign w:val="baseline"/>
        </w:rPr>
        <w:t>https://malegislature.gov/Bills/193/HD3324.</w:t>
      </w:r>
    </w:p>
    <w:p>
      <w:pPr>
        <w:spacing w:line="247" w:lineRule="auto" w:before="24"/>
        <w:ind w:left="323" w:right="218" w:firstLine="0"/>
        <w:jc w:val="left"/>
        <w:rPr>
          <w:sz w:val="18"/>
        </w:rPr>
      </w:pPr>
      <w:r>
        <w:rPr>
          <w:sz w:val="18"/>
          <w:vertAlign w:val="superscript"/>
        </w:rPr>
        <w:t>47</w:t>
      </w:r>
      <w:r>
        <w:rPr>
          <w:spacing w:val="-12"/>
          <w:sz w:val="18"/>
          <w:vertAlign w:val="baseline"/>
        </w:rPr>
        <w:t> </w:t>
      </w:r>
      <w:r>
        <w:rPr>
          <w:sz w:val="18"/>
          <w:vertAlign w:val="baseline"/>
        </w:rPr>
        <w:t>Leo</w:t>
      </w:r>
      <w:r>
        <w:rPr>
          <w:spacing w:val="-2"/>
          <w:sz w:val="18"/>
          <w:vertAlign w:val="baseline"/>
        </w:rPr>
        <w:t> </w:t>
      </w:r>
      <w:r>
        <w:rPr>
          <w:sz w:val="18"/>
          <w:vertAlign w:val="baseline"/>
        </w:rPr>
        <w:t>Goldsmith</w:t>
      </w:r>
      <w:r>
        <w:rPr>
          <w:spacing w:val="-2"/>
          <w:sz w:val="18"/>
          <w:vertAlign w:val="baseline"/>
        </w:rPr>
        <w:t> </w:t>
      </w:r>
      <w:r>
        <w:rPr>
          <w:sz w:val="18"/>
          <w:vertAlign w:val="baseline"/>
        </w:rPr>
        <w:t>and</w:t>
      </w:r>
      <w:r>
        <w:rPr>
          <w:spacing w:val="-2"/>
          <w:sz w:val="18"/>
          <w:vertAlign w:val="baseline"/>
        </w:rPr>
        <w:t> </w:t>
      </w:r>
      <w:r>
        <w:rPr>
          <w:sz w:val="18"/>
          <w:vertAlign w:val="baseline"/>
        </w:rPr>
        <w:t>Michelle</w:t>
      </w:r>
      <w:r>
        <w:rPr>
          <w:spacing w:val="-2"/>
          <w:sz w:val="18"/>
          <w:vertAlign w:val="baseline"/>
        </w:rPr>
        <w:t> </w:t>
      </w:r>
      <w:r>
        <w:rPr>
          <w:sz w:val="18"/>
          <w:vertAlign w:val="baseline"/>
        </w:rPr>
        <w:t>L.</w:t>
      </w:r>
      <w:r>
        <w:rPr>
          <w:spacing w:val="-2"/>
          <w:sz w:val="18"/>
          <w:vertAlign w:val="baseline"/>
        </w:rPr>
        <w:t> </w:t>
      </w:r>
      <w:r>
        <w:rPr>
          <w:sz w:val="18"/>
          <w:vertAlign w:val="baseline"/>
        </w:rPr>
        <w:t>Bell,</w:t>
      </w:r>
      <w:r>
        <w:rPr>
          <w:spacing w:val="-3"/>
          <w:sz w:val="18"/>
          <w:vertAlign w:val="baseline"/>
        </w:rPr>
        <w:t> </w:t>
      </w:r>
      <w:r>
        <w:rPr>
          <w:sz w:val="18"/>
          <w:vertAlign w:val="baseline"/>
        </w:rPr>
        <w:t>“Queering</w:t>
      </w:r>
      <w:r>
        <w:rPr>
          <w:spacing w:val="-3"/>
          <w:sz w:val="18"/>
          <w:vertAlign w:val="baseline"/>
        </w:rPr>
        <w:t> </w:t>
      </w:r>
      <w:r>
        <w:rPr>
          <w:sz w:val="18"/>
          <w:vertAlign w:val="baseline"/>
        </w:rPr>
        <w:t>Environmental</w:t>
      </w:r>
      <w:r>
        <w:rPr>
          <w:spacing w:val="-3"/>
          <w:sz w:val="18"/>
          <w:vertAlign w:val="baseline"/>
        </w:rPr>
        <w:t> </w:t>
      </w:r>
      <w:r>
        <w:rPr>
          <w:sz w:val="18"/>
          <w:vertAlign w:val="baseline"/>
        </w:rPr>
        <w:t>Justice:</w:t>
      </w:r>
      <w:r>
        <w:rPr>
          <w:spacing w:val="-2"/>
          <w:sz w:val="18"/>
          <w:vertAlign w:val="baseline"/>
        </w:rPr>
        <w:t> </w:t>
      </w:r>
      <w:r>
        <w:rPr>
          <w:sz w:val="18"/>
          <w:vertAlign w:val="baseline"/>
        </w:rPr>
        <w:t>Unequal</w:t>
      </w:r>
      <w:r>
        <w:rPr>
          <w:spacing w:val="-3"/>
          <w:sz w:val="18"/>
          <w:vertAlign w:val="baseline"/>
        </w:rPr>
        <w:t> </w:t>
      </w:r>
      <w:r>
        <w:rPr>
          <w:sz w:val="18"/>
          <w:vertAlign w:val="baseline"/>
        </w:rPr>
        <w:t>Environmental</w:t>
      </w:r>
      <w:r>
        <w:rPr>
          <w:spacing w:val="-3"/>
          <w:sz w:val="18"/>
          <w:vertAlign w:val="baseline"/>
        </w:rPr>
        <w:t> </w:t>
      </w:r>
      <w:r>
        <w:rPr>
          <w:sz w:val="18"/>
          <w:vertAlign w:val="baseline"/>
        </w:rPr>
        <w:t>Health</w:t>
      </w:r>
      <w:r>
        <w:rPr>
          <w:spacing w:val="-2"/>
          <w:sz w:val="18"/>
          <w:vertAlign w:val="baseline"/>
        </w:rPr>
        <w:t> </w:t>
      </w:r>
      <w:r>
        <w:rPr>
          <w:sz w:val="18"/>
          <w:vertAlign w:val="baseline"/>
        </w:rPr>
        <w:t>Burden</w:t>
      </w:r>
      <w:r>
        <w:rPr>
          <w:spacing w:val="-2"/>
          <w:sz w:val="18"/>
          <w:vertAlign w:val="baseline"/>
        </w:rPr>
        <w:t> </w:t>
      </w:r>
      <w:r>
        <w:rPr>
          <w:sz w:val="18"/>
          <w:vertAlign w:val="baseline"/>
        </w:rPr>
        <w:t>on</w:t>
      </w:r>
      <w:r>
        <w:rPr>
          <w:spacing w:val="-3"/>
          <w:sz w:val="18"/>
          <w:vertAlign w:val="baseline"/>
        </w:rPr>
        <w:t> </w:t>
      </w:r>
      <w:r>
        <w:rPr>
          <w:sz w:val="18"/>
          <w:vertAlign w:val="baseline"/>
        </w:rPr>
        <w:t>the</w:t>
      </w:r>
      <w:r>
        <w:rPr>
          <w:spacing w:val="-2"/>
          <w:sz w:val="18"/>
          <w:vertAlign w:val="baseline"/>
        </w:rPr>
        <w:t> </w:t>
      </w:r>
      <w:r>
        <w:rPr>
          <w:sz w:val="18"/>
          <w:vertAlign w:val="baseline"/>
        </w:rPr>
        <w:t>LGBTQ+ Community,”</w:t>
      </w:r>
      <w:r>
        <w:rPr>
          <w:spacing w:val="-3"/>
          <w:sz w:val="18"/>
          <w:vertAlign w:val="baseline"/>
        </w:rPr>
        <w:t> </w:t>
      </w:r>
      <w:r>
        <w:rPr>
          <w:i/>
          <w:sz w:val="18"/>
          <w:vertAlign w:val="baseline"/>
        </w:rPr>
        <w:t>American</w:t>
      </w:r>
      <w:r>
        <w:rPr>
          <w:i/>
          <w:spacing w:val="-3"/>
          <w:sz w:val="18"/>
          <w:vertAlign w:val="baseline"/>
        </w:rPr>
        <w:t> </w:t>
      </w:r>
      <w:r>
        <w:rPr>
          <w:i/>
          <w:sz w:val="18"/>
          <w:vertAlign w:val="baseline"/>
        </w:rPr>
        <w:t>Journal</w:t>
      </w:r>
      <w:r>
        <w:rPr>
          <w:i/>
          <w:spacing w:val="-3"/>
          <w:sz w:val="18"/>
          <w:vertAlign w:val="baseline"/>
        </w:rPr>
        <w:t> </w:t>
      </w:r>
      <w:r>
        <w:rPr>
          <w:i/>
          <w:sz w:val="18"/>
          <w:vertAlign w:val="baseline"/>
        </w:rPr>
        <w:t>of</w:t>
      </w:r>
      <w:r>
        <w:rPr>
          <w:i/>
          <w:spacing w:val="-3"/>
          <w:sz w:val="18"/>
          <w:vertAlign w:val="baseline"/>
        </w:rPr>
        <w:t> </w:t>
      </w:r>
      <w:r>
        <w:rPr>
          <w:i/>
          <w:sz w:val="18"/>
          <w:vertAlign w:val="baseline"/>
        </w:rPr>
        <w:t>Public</w:t>
      </w:r>
      <w:r>
        <w:rPr>
          <w:i/>
          <w:spacing w:val="-4"/>
          <w:sz w:val="18"/>
          <w:vertAlign w:val="baseline"/>
        </w:rPr>
        <w:t> </w:t>
      </w:r>
      <w:r>
        <w:rPr>
          <w:i/>
          <w:sz w:val="18"/>
          <w:vertAlign w:val="baseline"/>
        </w:rPr>
        <w:t>Health</w:t>
      </w:r>
      <w:r>
        <w:rPr>
          <w:i/>
          <w:spacing w:val="-3"/>
          <w:sz w:val="18"/>
          <w:vertAlign w:val="baseline"/>
        </w:rPr>
        <w:t> </w:t>
      </w:r>
      <w:r>
        <w:rPr>
          <w:sz w:val="18"/>
          <w:vertAlign w:val="baseline"/>
        </w:rPr>
        <w:t>112,</w:t>
      </w:r>
      <w:r>
        <w:rPr>
          <w:spacing w:val="-4"/>
          <w:sz w:val="18"/>
          <w:vertAlign w:val="baseline"/>
        </w:rPr>
        <w:t> </w:t>
      </w:r>
      <w:r>
        <w:rPr>
          <w:sz w:val="18"/>
          <w:vertAlign w:val="baseline"/>
        </w:rPr>
        <w:t>no.</w:t>
      </w:r>
      <w:r>
        <w:rPr>
          <w:spacing w:val="-3"/>
          <w:sz w:val="18"/>
          <w:vertAlign w:val="baseline"/>
        </w:rPr>
        <w:t> </w:t>
      </w:r>
      <w:r>
        <w:rPr>
          <w:sz w:val="18"/>
          <w:vertAlign w:val="baseline"/>
        </w:rPr>
        <w:t>1</w:t>
      </w:r>
      <w:r>
        <w:rPr>
          <w:spacing w:val="-3"/>
          <w:sz w:val="18"/>
          <w:vertAlign w:val="baseline"/>
        </w:rPr>
        <w:t> </w:t>
      </w:r>
      <w:r>
        <w:rPr>
          <w:sz w:val="18"/>
          <w:vertAlign w:val="baseline"/>
        </w:rPr>
        <w:t>(January</w:t>
      </w:r>
      <w:r>
        <w:rPr>
          <w:spacing w:val="-3"/>
          <w:sz w:val="18"/>
          <w:vertAlign w:val="baseline"/>
        </w:rPr>
        <w:t> </w:t>
      </w:r>
      <w:r>
        <w:rPr>
          <w:sz w:val="18"/>
          <w:vertAlign w:val="baseline"/>
        </w:rPr>
        <w:t>2022):</w:t>
      </w:r>
      <w:r>
        <w:rPr>
          <w:spacing w:val="-3"/>
          <w:sz w:val="18"/>
          <w:vertAlign w:val="baseline"/>
        </w:rPr>
        <w:t> </w:t>
      </w:r>
      <w:r>
        <w:rPr>
          <w:sz w:val="18"/>
          <w:vertAlign w:val="baseline"/>
        </w:rPr>
        <w:t>79–87,</w:t>
      </w:r>
      <w:r>
        <w:rPr>
          <w:spacing w:val="-4"/>
          <w:sz w:val="18"/>
          <w:vertAlign w:val="baseline"/>
        </w:rPr>
        <w:t> </w:t>
      </w:r>
      <w:r>
        <w:rPr>
          <w:sz w:val="18"/>
          <w:vertAlign w:val="baseline"/>
        </w:rPr>
        <w:t>https://doi.org/10.2105/AJPH.2021.306406. </w:t>
      </w:r>
      <w:r>
        <w:rPr>
          <w:sz w:val="18"/>
          <w:vertAlign w:val="superscript"/>
        </w:rPr>
        <w:t>48</w:t>
      </w:r>
      <w:r>
        <w:rPr>
          <w:spacing w:val="-7"/>
          <w:sz w:val="18"/>
          <w:vertAlign w:val="baseline"/>
        </w:rPr>
        <w:t> </w:t>
      </w:r>
      <w:r>
        <w:rPr>
          <w:sz w:val="18"/>
          <w:vertAlign w:val="baseline"/>
        </w:rPr>
        <w:t>National Congress of American Indians Policy Research Center, “A Spotlight on Two Spirit (Native LGBT) Communities,” accessed April 2, 2023, https://</w:t>
      </w:r>
      <w:hyperlink r:id="rId636">
        <w:r>
          <w:rPr>
            <w:sz w:val="18"/>
            <w:vertAlign w:val="baseline"/>
          </w:rPr>
          <w:t>www.ncai.org/policy-research-center/research-data/prc-</w:t>
        </w:r>
      </w:hyperlink>
      <w:r>
        <w:rPr>
          <w:sz w:val="18"/>
          <w:vertAlign w:val="baseline"/>
        </w:rPr>
        <w:t> </w:t>
      </w:r>
      <w:r>
        <w:rPr>
          <w:spacing w:val="-2"/>
          <w:sz w:val="18"/>
          <w:vertAlign w:val="baseline"/>
        </w:rPr>
        <w:t>publications/A_Spotlight_on_Native_LGBT.pdf</w:t>
      </w:r>
    </w:p>
    <w:p>
      <w:pPr>
        <w:spacing w:line="244" w:lineRule="auto" w:before="16"/>
        <w:ind w:left="323" w:right="494" w:hanging="1"/>
        <w:jc w:val="left"/>
        <w:rPr>
          <w:sz w:val="18"/>
        </w:rPr>
      </w:pPr>
      <w:r>
        <w:rPr>
          <w:sz w:val="18"/>
          <w:vertAlign w:val="superscript"/>
        </w:rPr>
        <w:t>49</w:t>
      </w:r>
      <w:r>
        <w:rPr>
          <w:spacing w:val="-12"/>
          <w:sz w:val="18"/>
          <w:vertAlign w:val="baseline"/>
        </w:rPr>
        <w:t> </w:t>
      </w:r>
      <w:r>
        <w:rPr>
          <w:sz w:val="18"/>
          <w:vertAlign w:val="baseline"/>
        </w:rPr>
        <w:t>The</w:t>
      </w:r>
      <w:r>
        <w:rPr>
          <w:spacing w:val="-3"/>
          <w:sz w:val="18"/>
          <w:vertAlign w:val="baseline"/>
        </w:rPr>
        <w:t> </w:t>
      </w:r>
      <w:r>
        <w:rPr>
          <w:sz w:val="18"/>
          <w:vertAlign w:val="baseline"/>
        </w:rPr>
        <w:t>Fenway</w:t>
      </w:r>
      <w:r>
        <w:rPr>
          <w:spacing w:val="-2"/>
          <w:sz w:val="18"/>
          <w:vertAlign w:val="baseline"/>
        </w:rPr>
        <w:t> </w:t>
      </w:r>
      <w:r>
        <w:rPr>
          <w:sz w:val="18"/>
          <w:vertAlign w:val="baseline"/>
        </w:rPr>
        <w:t>Institute,</w:t>
      </w:r>
      <w:r>
        <w:rPr>
          <w:spacing w:val="-3"/>
          <w:sz w:val="18"/>
          <w:vertAlign w:val="baseline"/>
        </w:rPr>
        <w:t> </w:t>
      </w:r>
      <w:r>
        <w:rPr>
          <w:sz w:val="18"/>
          <w:vertAlign w:val="baseline"/>
        </w:rPr>
        <w:t>“Health</w:t>
      </w:r>
      <w:r>
        <w:rPr>
          <w:spacing w:val="-1"/>
          <w:sz w:val="18"/>
          <w:vertAlign w:val="baseline"/>
        </w:rPr>
        <w:t> </w:t>
      </w:r>
      <w:r>
        <w:rPr>
          <w:sz w:val="18"/>
          <w:vertAlign w:val="baseline"/>
        </w:rPr>
        <w:t>Care</w:t>
      </w:r>
      <w:r>
        <w:rPr>
          <w:spacing w:val="-2"/>
          <w:sz w:val="18"/>
          <w:vertAlign w:val="baseline"/>
        </w:rPr>
        <w:t> </w:t>
      </w:r>
      <w:r>
        <w:rPr>
          <w:sz w:val="18"/>
          <w:vertAlign w:val="baseline"/>
        </w:rPr>
        <w:t>Considerations</w:t>
      </w:r>
      <w:r>
        <w:rPr>
          <w:spacing w:val="-2"/>
          <w:sz w:val="18"/>
          <w:vertAlign w:val="baseline"/>
        </w:rPr>
        <w:t> </w:t>
      </w:r>
      <w:r>
        <w:rPr>
          <w:sz w:val="18"/>
          <w:vertAlign w:val="baseline"/>
        </w:rPr>
        <w:t>for</w:t>
      </w:r>
      <w:r>
        <w:rPr>
          <w:spacing w:val="-3"/>
          <w:sz w:val="18"/>
          <w:vertAlign w:val="baseline"/>
        </w:rPr>
        <w:t> </w:t>
      </w:r>
      <w:r>
        <w:rPr>
          <w:sz w:val="18"/>
          <w:vertAlign w:val="baseline"/>
        </w:rPr>
        <w:t>Two</w:t>
      </w:r>
      <w:r>
        <w:rPr>
          <w:spacing w:val="-2"/>
          <w:sz w:val="18"/>
          <w:vertAlign w:val="baseline"/>
        </w:rPr>
        <w:t> </w:t>
      </w:r>
      <w:r>
        <w:rPr>
          <w:sz w:val="18"/>
          <w:vertAlign w:val="baseline"/>
        </w:rPr>
        <w:t>Spirit</w:t>
      </w:r>
      <w:r>
        <w:rPr>
          <w:spacing w:val="-3"/>
          <w:sz w:val="18"/>
          <w:vertAlign w:val="baseline"/>
        </w:rPr>
        <w:t> </w:t>
      </w:r>
      <w:r>
        <w:rPr>
          <w:sz w:val="18"/>
          <w:vertAlign w:val="baseline"/>
        </w:rPr>
        <w:t>and</w:t>
      </w:r>
      <w:r>
        <w:rPr>
          <w:spacing w:val="-2"/>
          <w:sz w:val="18"/>
          <w:vertAlign w:val="baseline"/>
        </w:rPr>
        <w:t> </w:t>
      </w:r>
      <w:r>
        <w:rPr>
          <w:sz w:val="18"/>
          <w:vertAlign w:val="baseline"/>
        </w:rPr>
        <w:t>LGBTQIA+</w:t>
      </w:r>
      <w:r>
        <w:rPr>
          <w:spacing w:val="-3"/>
          <w:sz w:val="18"/>
          <w:vertAlign w:val="baseline"/>
        </w:rPr>
        <w:t> </w:t>
      </w:r>
      <w:r>
        <w:rPr>
          <w:sz w:val="18"/>
          <w:vertAlign w:val="baseline"/>
        </w:rPr>
        <w:t>Indigenous</w:t>
      </w:r>
      <w:r>
        <w:rPr>
          <w:spacing w:val="-2"/>
          <w:sz w:val="18"/>
          <w:vertAlign w:val="baseline"/>
        </w:rPr>
        <w:t> </w:t>
      </w:r>
      <w:r>
        <w:rPr>
          <w:sz w:val="18"/>
          <w:vertAlign w:val="baseline"/>
        </w:rPr>
        <w:t>Communities,”</w:t>
      </w:r>
      <w:r>
        <w:rPr>
          <w:spacing w:val="-2"/>
          <w:sz w:val="18"/>
          <w:vertAlign w:val="baseline"/>
        </w:rPr>
        <w:t> </w:t>
      </w:r>
      <w:r>
        <w:rPr>
          <w:sz w:val="18"/>
          <w:vertAlign w:val="baseline"/>
        </w:rPr>
        <w:t>January</w:t>
      </w:r>
      <w:r>
        <w:rPr>
          <w:spacing w:val="-2"/>
          <w:sz w:val="18"/>
          <w:vertAlign w:val="baseline"/>
        </w:rPr>
        <w:t> </w:t>
      </w:r>
      <w:r>
        <w:rPr>
          <w:sz w:val="18"/>
          <w:vertAlign w:val="baseline"/>
        </w:rPr>
        <w:t>2022, </w:t>
      </w:r>
      <w:r>
        <w:rPr>
          <w:spacing w:val="-2"/>
          <w:sz w:val="18"/>
          <w:vertAlign w:val="baseline"/>
        </w:rPr>
        <w:t>https://</w:t>
      </w:r>
      <w:hyperlink r:id="rId637">
        <w:r>
          <w:rPr>
            <w:spacing w:val="-2"/>
            <w:sz w:val="18"/>
            <w:vertAlign w:val="baseline"/>
          </w:rPr>
          <w:t>www.lgbtqiahealtheducation.org/publication/health-care-considerations-for-two-spirit-and-lgbtqia-indigenous-</w:t>
        </w:r>
      </w:hyperlink>
      <w:r>
        <w:rPr>
          <w:sz w:val="18"/>
          <w:vertAlign w:val="baseline"/>
        </w:rPr>
        <w:t> </w:t>
      </w:r>
      <w:r>
        <w:rPr>
          <w:spacing w:val="-2"/>
          <w:sz w:val="18"/>
          <w:vertAlign w:val="baseline"/>
        </w:rPr>
        <w:t>communities/.</w:t>
      </w:r>
    </w:p>
    <w:p>
      <w:pPr>
        <w:spacing w:line="247" w:lineRule="auto" w:before="12"/>
        <w:ind w:left="323" w:right="164" w:hanging="1"/>
        <w:jc w:val="left"/>
        <w:rPr>
          <w:sz w:val="18"/>
        </w:rPr>
      </w:pPr>
      <w:r>
        <w:rPr>
          <w:sz w:val="18"/>
          <w:vertAlign w:val="superscript"/>
        </w:rPr>
        <w:t>50</w:t>
      </w:r>
      <w:r>
        <w:rPr>
          <w:spacing w:val="-12"/>
          <w:sz w:val="18"/>
          <w:vertAlign w:val="baseline"/>
        </w:rPr>
        <w:t> </w:t>
      </w:r>
      <w:r>
        <w:rPr>
          <w:sz w:val="18"/>
          <w:vertAlign w:val="baseline"/>
        </w:rPr>
        <w:t>Alejandro</w:t>
      </w:r>
      <w:r>
        <w:rPr>
          <w:spacing w:val="-3"/>
          <w:sz w:val="18"/>
          <w:vertAlign w:val="baseline"/>
        </w:rPr>
        <w:t> </w:t>
      </w:r>
      <w:r>
        <w:rPr>
          <w:sz w:val="18"/>
          <w:vertAlign w:val="baseline"/>
        </w:rPr>
        <w:t>Alvaro-Meca</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“Pneumocystis</w:t>
      </w:r>
      <w:r>
        <w:rPr>
          <w:spacing w:val="-3"/>
          <w:sz w:val="18"/>
          <w:vertAlign w:val="baseline"/>
        </w:rPr>
        <w:t> </w:t>
      </w:r>
      <w:r>
        <w:rPr>
          <w:sz w:val="18"/>
          <w:vertAlign w:val="baseline"/>
        </w:rPr>
        <w:t>Pneumonia</w:t>
      </w:r>
      <w:r>
        <w:rPr>
          <w:spacing w:val="-2"/>
          <w:sz w:val="18"/>
          <w:vertAlign w:val="baseline"/>
        </w:rPr>
        <w:t> </w:t>
      </w:r>
      <w:r>
        <w:rPr>
          <w:sz w:val="18"/>
          <w:vertAlign w:val="baseline"/>
        </w:rPr>
        <w:t>in</w:t>
      </w:r>
      <w:r>
        <w:rPr>
          <w:spacing w:val="-2"/>
          <w:sz w:val="18"/>
          <w:vertAlign w:val="baseline"/>
        </w:rPr>
        <w:t> </w:t>
      </w:r>
      <w:r>
        <w:rPr>
          <w:sz w:val="18"/>
          <w:vertAlign w:val="baseline"/>
        </w:rPr>
        <w:t>HIV-Positive</w:t>
      </w:r>
      <w:r>
        <w:rPr>
          <w:spacing w:val="-2"/>
          <w:sz w:val="18"/>
          <w:vertAlign w:val="baseline"/>
        </w:rPr>
        <w:t> </w:t>
      </w:r>
      <w:r>
        <w:rPr>
          <w:sz w:val="18"/>
          <w:vertAlign w:val="baseline"/>
        </w:rPr>
        <w:t>Patients</w:t>
      </w:r>
      <w:r>
        <w:rPr>
          <w:spacing w:val="-2"/>
          <w:sz w:val="18"/>
          <w:vertAlign w:val="baseline"/>
        </w:rPr>
        <w:t> </w:t>
      </w:r>
      <w:r>
        <w:rPr>
          <w:sz w:val="18"/>
          <w:vertAlign w:val="baseline"/>
        </w:rPr>
        <w:t>in</w:t>
      </w:r>
      <w:r>
        <w:rPr>
          <w:spacing w:val="-2"/>
          <w:sz w:val="18"/>
          <w:vertAlign w:val="baseline"/>
        </w:rPr>
        <w:t> </w:t>
      </w:r>
      <w:r>
        <w:rPr>
          <w:sz w:val="18"/>
          <w:vertAlign w:val="baseline"/>
        </w:rPr>
        <w:t>Spain:</w:t>
      </w:r>
      <w:r>
        <w:rPr>
          <w:spacing w:val="-2"/>
          <w:sz w:val="18"/>
          <w:vertAlign w:val="baseline"/>
        </w:rPr>
        <w:t> </w:t>
      </w:r>
      <w:r>
        <w:rPr>
          <w:sz w:val="18"/>
          <w:vertAlign w:val="baseline"/>
        </w:rPr>
        <w:t>Epidemiology</w:t>
      </w:r>
      <w:r>
        <w:rPr>
          <w:spacing w:val="-2"/>
          <w:sz w:val="18"/>
          <w:vertAlign w:val="baseline"/>
        </w:rPr>
        <w:t> </w:t>
      </w:r>
      <w:r>
        <w:rPr>
          <w:sz w:val="18"/>
          <w:vertAlign w:val="baseline"/>
        </w:rPr>
        <w:t>and</w:t>
      </w:r>
      <w:r>
        <w:rPr>
          <w:spacing w:val="-2"/>
          <w:sz w:val="18"/>
          <w:vertAlign w:val="baseline"/>
        </w:rPr>
        <w:t> </w:t>
      </w:r>
      <w:r>
        <w:rPr>
          <w:sz w:val="18"/>
          <w:vertAlign w:val="baseline"/>
        </w:rPr>
        <w:t>Environmental Risk Factors,” </w:t>
      </w:r>
      <w:r>
        <w:rPr>
          <w:i/>
          <w:sz w:val="18"/>
          <w:vertAlign w:val="baseline"/>
        </w:rPr>
        <w:t>Journal of the International AIDS Society </w:t>
      </w:r>
      <w:r>
        <w:rPr>
          <w:sz w:val="18"/>
          <w:vertAlign w:val="baseline"/>
        </w:rPr>
        <w:t>18, no. 1 (2015): 19906, https://doi.org/10.7448/IAS.18.1.19906.</w:t>
      </w:r>
    </w:p>
    <w:p>
      <w:pPr>
        <w:spacing w:line="242" w:lineRule="auto" w:before="11"/>
        <w:ind w:left="323" w:right="278" w:hanging="1"/>
        <w:jc w:val="left"/>
        <w:rPr>
          <w:sz w:val="18"/>
        </w:rPr>
      </w:pPr>
      <w:r>
        <w:rPr>
          <w:sz w:val="18"/>
          <w:vertAlign w:val="superscript"/>
        </w:rPr>
        <w:t>51</w:t>
      </w:r>
      <w:r>
        <w:rPr>
          <w:spacing w:val="-12"/>
          <w:sz w:val="18"/>
          <w:vertAlign w:val="baseline"/>
        </w:rPr>
        <w:t> </w:t>
      </w:r>
      <w:r>
        <w:rPr>
          <w:sz w:val="18"/>
          <w:vertAlign w:val="baseline"/>
        </w:rPr>
        <w:t>Geneé</w:t>
      </w:r>
      <w:r>
        <w:rPr>
          <w:spacing w:val="-3"/>
          <w:sz w:val="18"/>
          <w:vertAlign w:val="baseline"/>
        </w:rPr>
        <w:t> </w:t>
      </w:r>
      <w:r>
        <w:rPr>
          <w:sz w:val="18"/>
          <w:vertAlign w:val="baseline"/>
        </w:rPr>
        <w:t>S.</w:t>
      </w:r>
      <w:r>
        <w:rPr>
          <w:spacing w:val="-2"/>
          <w:sz w:val="18"/>
          <w:vertAlign w:val="baseline"/>
        </w:rPr>
        <w:t> </w:t>
      </w:r>
      <w:r>
        <w:rPr>
          <w:sz w:val="18"/>
          <w:vertAlign w:val="baseline"/>
        </w:rPr>
        <w:t>Smith</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and</w:t>
      </w:r>
      <w:r>
        <w:rPr>
          <w:spacing w:val="-2"/>
          <w:sz w:val="18"/>
          <w:vertAlign w:val="baseline"/>
        </w:rPr>
        <w:t> </w:t>
      </w:r>
      <w:r>
        <w:rPr>
          <w:sz w:val="18"/>
          <w:vertAlign w:val="baseline"/>
        </w:rPr>
        <w:t>Pulmonary</w:t>
      </w:r>
      <w:r>
        <w:rPr>
          <w:spacing w:val="-2"/>
          <w:sz w:val="18"/>
          <w:vertAlign w:val="baseline"/>
        </w:rPr>
        <w:t> </w:t>
      </w:r>
      <w:r>
        <w:rPr>
          <w:sz w:val="18"/>
          <w:vertAlign w:val="baseline"/>
        </w:rPr>
        <w:t>Tuberculosis:</w:t>
      </w:r>
      <w:r>
        <w:rPr>
          <w:spacing w:val="-2"/>
          <w:sz w:val="18"/>
          <w:vertAlign w:val="baseline"/>
        </w:rPr>
        <w:t> </w:t>
      </w:r>
      <w:r>
        <w:rPr>
          <w:sz w:val="18"/>
          <w:vertAlign w:val="baseline"/>
        </w:rPr>
        <w:t>A</w:t>
      </w:r>
      <w:r>
        <w:rPr>
          <w:spacing w:val="-2"/>
          <w:sz w:val="18"/>
          <w:vertAlign w:val="baseline"/>
        </w:rPr>
        <w:t> </w:t>
      </w:r>
      <w:r>
        <w:rPr>
          <w:sz w:val="18"/>
          <w:vertAlign w:val="baseline"/>
        </w:rPr>
        <w:t>Nested</w:t>
      </w:r>
      <w:r>
        <w:rPr>
          <w:spacing w:val="-2"/>
          <w:sz w:val="18"/>
          <w:vertAlign w:val="baseline"/>
        </w:rPr>
        <w:t> </w:t>
      </w:r>
      <w:r>
        <w:rPr>
          <w:sz w:val="18"/>
          <w:vertAlign w:val="baseline"/>
        </w:rPr>
        <w:t>Case–Control</w:t>
      </w:r>
      <w:r>
        <w:rPr>
          <w:spacing w:val="-3"/>
          <w:sz w:val="18"/>
          <w:vertAlign w:val="baseline"/>
        </w:rPr>
        <w:t> </w:t>
      </w:r>
      <w:r>
        <w:rPr>
          <w:sz w:val="18"/>
          <w:vertAlign w:val="baseline"/>
        </w:rPr>
        <w:t>Study</w:t>
      </w:r>
      <w:r>
        <w:rPr>
          <w:spacing w:val="-2"/>
          <w:sz w:val="18"/>
          <w:vertAlign w:val="baseline"/>
        </w:rPr>
        <w:t> </w:t>
      </w:r>
      <w:r>
        <w:rPr>
          <w:sz w:val="18"/>
          <w:vertAlign w:val="baseline"/>
        </w:rPr>
        <w:t>among</w:t>
      </w:r>
      <w:r>
        <w:rPr>
          <w:spacing w:val="-2"/>
          <w:sz w:val="18"/>
          <w:vertAlign w:val="baseline"/>
        </w:rPr>
        <w:t> </w:t>
      </w:r>
      <w:r>
        <w:rPr>
          <w:sz w:val="18"/>
          <w:vertAlign w:val="baseline"/>
        </w:rPr>
        <w:t>Members</w:t>
      </w:r>
      <w:r>
        <w:rPr>
          <w:spacing w:val="-3"/>
          <w:sz w:val="18"/>
          <w:vertAlign w:val="baseline"/>
        </w:rPr>
        <w:t> </w:t>
      </w:r>
      <w:r>
        <w:rPr>
          <w:sz w:val="18"/>
          <w:vertAlign w:val="baseline"/>
        </w:rPr>
        <w:t>of</w:t>
      </w:r>
      <w:r>
        <w:rPr>
          <w:spacing w:val="-2"/>
          <w:sz w:val="18"/>
          <w:vertAlign w:val="baseline"/>
        </w:rPr>
        <w:t> </w:t>
      </w:r>
      <w:r>
        <w:rPr>
          <w:sz w:val="18"/>
          <w:vertAlign w:val="baseline"/>
        </w:rPr>
        <w:t>a Northern California Health Plan,” </w:t>
      </w:r>
      <w:r>
        <w:rPr>
          <w:i/>
          <w:sz w:val="18"/>
          <w:vertAlign w:val="baseline"/>
        </w:rPr>
        <w:t>Environmental Health Perspectives </w:t>
      </w:r>
      <w:r>
        <w:rPr>
          <w:sz w:val="18"/>
          <w:vertAlign w:val="baseline"/>
        </w:rPr>
        <w:t>124, no. 6 (June 2016): 761–68, </w:t>
      </w:r>
      <w:r>
        <w:rPr>
          <w:spacing w:val="-2"/>
          <w:sz w:val="18"/>
          <w:vertAlign w:val="baseline"/>
        </w:rPr>
        <w:t>https://doi.org/10.1289/ehp.1408166.</w:t>
      </w:r>
    </w:p>
    <w:p>
      <w:pPr>
        <w:spacing w:line="247" w:lineRule="auto" w:before="17"/>
        <w:ind w:left="323" w:right="0" w:hanging="1"/>
        <w:jc w:val="left"/>
        <w:rPr>
          <w:sz w:val="18"/>
        </w:rPr>
      </w:pPr>
      <w:r>
        <w:rPr>
          <w:sz w:val="18"/>
          <w:vertAlign w:val="superscript"/>
        </w:rPr>
        <w:t>52</w:t>
      </w:r>
      <w:r>
        <w:rPr>
          <w:spacing w:val="-12"/>
          <w:sz w:val="18"/>
          <w:vertAlign w:val="baseline"/>
        </w:rPr>
        <w:t> </w:t>
      </w:r>
      <w:r>
        <w:rPr>
          <w:sz w:val="18"/>
          <w:vertAlign w:val="baseline"/>
        </w:rPr>
        <w:t>Sophia</w:t>
      </w:r>
      <w:r>
        <w:rPr>
          <w:spacing w:val="-3"/>
          <w:sz w:val="18"/>
          <w:vertAlign w:val="baseline"/>
        </w:rPr>
        <w:t> </w:t>
      </w:r>
      <w:r>
        <w:rPr>
          <w:sz w:val="18"/>
          <w:vertAlign w:val="baseline"/>
        </w:rPr>
        <w:t>Toe</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“Ambient</w:t>
      </w:r>
      <w:r>
        <w:rPr>
          <w:spacing w:val="-3"/>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Is</w:t>
      </w:r>
      <w:r>
        <w:rPr>
          <w:spacing w:val="-2"/>
          <w:sz w:val="18"/>
          <w:vertAlign w:val="baseline"/>
        </w:rPr>
        <w:t> </w:t>
      </w:r>
      <w:r>
        <w:rPr>
          <w:sz w:val="18"/>
          <w:vertAlign w:val="baseline"/>
        </w:rPr>
        <w:t>Associated</w:t>
      </w:r>
      <w:r>
        <w:rPr>
          <w:spacing w:val="-2"/>
          <w:sz w:val="18"/>
          <w:vertAlign w:val="baseline"/>
        </w:rPr>
        <w:t> </w:t>
      </w:r>
      <w:r>
        <w:rPr>
          <w:sz w:val="18"/>
          <w:vertAlign w:val="baseline"/>
        </w:rPr>
        <w:t>with</w:t>
      </w:r>
      <w:r>
        <w:rPr>
          <w:spacing w:val="-2"/>
          <w:sz w:val="18"/>
          <w:vertAlign w:val="baseline"/>
        </w:rPr>
        <w:t> </w:t>
      </w:r>
      <w:r>
        <w:rPr>
          <w:sz w:val="18"/>
          <w:vertAlign w:val="baseline"/>
        </w:rPr>
        <w:t>Vascular</w:t>
      </w:r>
      <w:r>
        <w:rPr>
          <w:spacing w:val="-3"/>
          <w:sz w:val="18"/>
          <w:vertAlign w:val="baseline"/>
        </w:rPr>
        <w:t> </w:t>
      </w:r>
      <w:r>
        <w:rPr>
          <w:sz w:val="18"/>
          <w:vertAlign w:val="baseline"/>
        </w:rPr>
        <w:t>Disease</w:t>
      </w:r>
      <w:r>
        <w:rPr>
          <w:spacing w:val="-2"/>
          <w:sz w:val="18"/>
          <w:vertAlign w:val="baseline"/>
        </w:rPr>
        <w:t> </w:t>
      </w:r>
      <w:r>
        <w:rPr>
          <w:sz w:val="18"/>
          <w:vertAlign w:val="baseline"/>
        </w:rPr>
        <w:t>in</w:t>
      </w:r>
      <w:r>
        <w:rPr>
          <w:spacing w:val="-2"/>
          <w:sz w:val="18"/>
          <w:vertAlign w:val="baseline"/>
        </w:rPr>
        <w:t> </w:t>
      </w:r>
      <w:r>
        <w:rPr>
          <w:sz w:val="18"/>
          <w:vertAlign w:val="baseline"/>
        </w:rPr>
        <w:t>Ugandan</w:t>
      </w:r>
      <w:r>
        <w:rPr>
          <w:spacing w:val="-2"/>
          <w:sz w:val="18"/>
          <w:vertAlign w:val="baseline"/>
        </w:rPr>
        <w:t> </w:t>
      </w:r>
      <w:r>
        <w:rPr>
          <w:sz w:val="18"/>
          <w:vertAlign w:val="baseline"/>
        </w:rPr>
        <w:t>HIV-Positive</w:t>
      </w:r>
      <w:r>
        <w:rPr>
          <w:spacing w:val="-2"/>
          <w:sz w:val="18"/>
          <w:vertAlign w:val="baseline"/>
        </w:rPr>
        <w:t> </w:t>
      </w:r>
      <w:r>
        <w:rPr>
          <w:sz w:val="18"/>
          <w:vertAlign w:val="baseline"/>
        </w:rPr>
        <w:t>Adolescents,”</w:t>
      </w:r>
      <w:r>
        <w:rPr>
          <w:spacing w:val="-2"/>
          <w:sz w:val="18"/>
          <w:vertAlign w:val="baseline"/>
        </w:rPr>
        <w:t> </w:t>
      </w:r>
      <w:r>
        <w:rPr>
          <w:i/>
          <w:sz w:val="18"/>
          <w:vertAlign w:val="baseline"/>
        </w:rPr>
        <w:t>AIDS</w:t>
      </w:r>
      <w:r>
        <w:rPr>
          <w:i/>
          <w:sz w:val="18"/>
          <w:vertAlign w:val="baseline"/>
        </w:rPr>
        <w:t> (London, England) </w:t>
      </w:r>
      <w:r>
        <w:rPr>
          <w:sz w:val="18"/>
          <w:vertAlign w:val="baseline"/>
        </w:rPr>
        <w:t>36, no. 6 (May 1, 2022): 863–70, https://doi.org/10.1097/QAD.0000000000003186.</w:t>
      </w:r>
    </w:p>
    <w:p>
      <w:pPr>
        <w:spacing w:line="242" w:lineRule="auto" w:before="12"/>
        <w:ind w:left="323" w:right="74" w:hanging="1"/>
        <w:jc w:val="left"/>
        <w:rPr>
          <w:sz w:val="18"/>
        </w:rPr>
      </w:pPr>
      <w:r>
        <w:rPr>
          <w:sz w:val="18"/>
          <w:vertAlign w:val="superscript"/>
        </w:rPr>
        <w:t>53</w:t>
      </w:r>
      <w:r>
        <w:rPr>
          <w:spacing w:val="-12"/>
          <w:sz w:val="18"/>
          <w:vertAlign w:val="baseline"/>
        </w:rPr>
        <w:t> </w:t>
      </w:r>
      <w:r>
        <w:rPr>
          <w:sz w:val="18"/>
          <w:vertAlign w:val="baseline"/>
        </w:rPr>
        <w:t>Cristina</w:t>
      </w:r>
      <w:r>
        <w:rPr>
          <w:spacing w:val="-2"/>
          <w:sz w:val="18"/>
          <w:vertAlign w:val="baseline"/>
        </w:rPr>
        <w:t> </w:t>
      </w:r>
      <w:r>
        <w:rPr>
          <w:sz w:val="18"/>
          <w:vertAlign w:val="baseline"/>
        </w:rPr>
        <w:t>Vert</w:t>
      </w:r>
      <w:r>
        <w:rPr>
          <w:spacing w:val="-3"/>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“Effect</w:t>
      </w:r>
      <w:r>
        <w:rPr>
          <w:spacing w:val="-3"/>
          <w:sz w:val="18"/>
          <w:vertAlign w:val="baseline"/>
        </w:rPr>
        <w:t> </w:t>
      </w:r>
      <w:r>
        <w:rPr>
          <w:sz w:val="18"/>
          <w:vertAlign w:val="baseline"/>
        </w:rPr>
        <w:t>of</w:t>
      </w:r>
      <w:r>
        <w:rPr>
          <w:spacing w:val="-2"/>
          <w:sz w:val="18"/>
          <w:vertAlign w:val="baseline"/>
        </w:rPr>
        <w:t> </w:t>
      </w:r>
      <w:r>
        <w:rPr>
          <w:sz w:val="18"/>
          <w:vertAlign w:val="baseline"/>
        </w:rPr>
        <w:t>Long-Term</w:t>
      </w:r>
      <w:r>
        <w:rPr>
          <w:spacing w:val="-2"/>
          <w:sz w:val="18"/>
          <w:vertAlign w:val="baseline"/>
        </w:rPr>
        <w:t> </w:t>
      </w:r>
      <w:r>
        <w:rPr>
          <w:sz w:val="18"/>
          <w:vertAlign w:val="baseline"/>
        </w:rPr>
        <w:t>Exposure</w:t>
      </w:r>
      <w:r>
        <w:rPr>
          <w:spacing w:val="-2"/>
          <w:sz w:val="18"/>
          <w:vertAlign w:val="baseline"/>
        </w:rPr>
        <w:t> </w:t>
      </w:r>
      <w:r>
        <w:rPr>
          <w:sz w:val="18"/>
          <w:vertAlign w:val="baseline"/>
        </w:rPr>
        <w:t>to</w:t>
      </w:r>
      <w:r>
        <w:rPr>
          <w:spacing w:val="-2"/>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on</w:t>
      </w:r>
      <w:r>
        <w:rPr>
          <w:spacing w:val="-2"/>
          <w:sz w:val="18"/>
          <w:vertAlign w:val="baseline"/>
        </w:rPr>
        <w:t> </w:t>
      </w:r>
      <w:r>
        <w:rPr>
          <w:sz w:val="18"/>
          <w:vertAlign w:val="baseline"/>
        </w:rPr>
        <w:t>Anxiety</w:t>
      </w:r>
      <w:r>
        <w:rPr>
          <w:spacing w:val="-2"/>
          <w:sz w:val="18"/>
          <w:vertAlign w:val="baseline"/>
        </w:rPr>
        <w:t> </w:t>
      </w:r>
      <w:r>
        <w:rPr>
          <w:sz w:val="18"/>
          <w:vertAlign w:val="baseline"/>
        </w:rPr>
        <w:t>and</w:t>
      </w:r>
      <w:r>
        <w:rPr>
          <w:spacing w:val="-2"/>
          <w:sz w:val="18"/>
          <w:vertAlign w:val="baseline"/>
        </w:rPr>
        <w:t> </w:t>
      </w:r>
      <w:r>
        <w:rPr>
          <w:sz w:val="18"/>
          <w:vertAlign w:val="baseline"/>
        </w:rPr>
        <w:t>Depression</w:t>
      </w:r>
      <w:r>
        <w:rPr>
          <w:spacing w:val="-2"/>
          <w:sz w:val="18"/>
          <w:vertAlign w:val="baseline"/>
        </w:rPr>
        <w:t> </w:t>
      </w:r>
      <w:r>
        <w:rPr>
          <w:sz w:val="18"/>
          <w:vertAlign w:val="baseline"/>
        </w:rPr>
        <w:t>in</w:t>
      </w:r>
      <w:r>
        <w:rPr>
          <w:spacing w:val="-2"/>
          <w:sz w:val="18"/>
          <w:vertAlign w:val="baseline"/>
        </w:rPr>
        <w:t> </w:t>
      </w:r>
      <w:r>
        <w:rPr>
          <w:sz w:val="18"/>
          <w:vertAlign w:val="baseline"/>
        </w:rPr>
        <w:t>Adults:</w:t>
      </w:r>
      <w:r>
        <w:rPr>
          <w:spacing w:val="-2"/>
          <w:sz w:val="18"/>
          <w:vertAlign w:val="baseline"/>
        </w:rPr>
        <w:t> </w:t>
      </w:r>
      <w:r>
        <w:rPr>
          <w:sz w:val="18"/>
          <w:vertAlign w:val="baseline"/>
        </w:rPr>
        <w:t>A</w:t>
      </w:r>
      <w:r>
        <w:rPr>
          <w:spacing w:val="-2"/>
          <w:sz w:val="18"/>
          <w:vertAlign w:val="baseline"/>
        </w:rPr>
        <w:t> </w:t>
      </w:r>
      <w:r>
        <w:rPr>
          <w:sz w:val="18"/>
          <w:vertAlign w:val="baseline"/>
        </w:rPr>
        <w:t>Cross-Sectional Study,” </w:t>
      </w:r>
      <w:r>
        <w:rPr>
          <w:i/>
          <w:sz w:val="18"/>
          <w:vertAlign w:val="baseline"/>
        </w:rPr>
        <w:t>International Journal of Hygiene and Environmental Health </w:t>
      </w:r>
      <w:r>
        <w:rPr>
          <w:sz w:val="18"/>
          <w:vertAlign w:val="baseline"/>
        </w:rPr>
        <w:t>220, no. 6 (August 1, 2017): 1074–80, </w:t>
      </w:r>
      <w:r>
        <w:rPr>
          <w:spacing w:val="-2"/>
          <w:sz w:val="18"/>
          <w:vertAlign w:val="baseline"/>
        </w:rPr>
        <w:t>https://doi.org/10.1016/j.ijheh.2017.06.009.</w:t>
      </w:r>
    </w:p>
    <w:p>
      <w:pPr>
        <w:spacing w:line="244" w:lineRule="auto" w:before="17"/>
        <w:ind w:left="323" w:right="155" w:hanging="1"/>
        <w:jc w:val="both"/>
        <w:rPr>
          <w:sz w:val="18"/>
        </w:rPr>
      </w:pPr>
      <w:r>
        <w:rPr>
          <w:sz w:val="18"/>
          <w:vertAlign w:val="superscript"/>
        </w:rPr>
        <w:t>54</w:t>
      </w:r>
      <w:r>
        <w:rPr>
          <w:spacing w:val="-11"/>
          <w:sz w:val="18"/>
          <w:vertAlign w:val="baseline"/>
        </w:rPr>
        <w:t> </w:t>
      </w:r>
      <w:r>
        <w:rPr>
          <w:sz w:val="18"/>
          <w:vertAlign w:val="baseline"/>
        </w:rPr>
        <w:t>Joanne</w:t>
      </w:r>
      <w:r>
        <w:rPr>
          <w:spacing w:val="-4"/>
          <w:sz w:val="18"/>
          <w:vertAlign w:val="baseline"/>
        </w:rPr>
        <w:t> </w:t>
      </w:r>
      <w:r>
        <w:rPr>
          <w:sz w:val="18"/>
          <w:vertAlign w:val="baseline"/>
        </w:rPr>
        <w:t>B.</w:t>
      </w:r>
      <w:r>
        <w:rPr>
          <w:spacing w:val="-3"/>
          <w:sz w:val="18"/>
          <w:vertAlign w:val="baseline"/>
        </w:rPr>
        <w:t> </w:t>
      </w:r>
      <w:r>
        <w:rPr>
          <w:sz w:val="18"/>
          <w:vertAlign w:val="baseline"/>
        </w:rPr>
        <w:t>Newbury</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“Association</w:t>
      </w:r>
      <w:r>
        <w:rPr>
          <w:spacing w:val="-2"/>
          <w:sz w:val="18"/>
          <w:vertAlign w:val="baseline"/>
        </w:rPr>
        <w:t> </w:t>
      </w:r>
      <w:r>
        <w:rPr>
          <w:sz w:val="18"/>
          <w:vertAlign w:val="baseline"/>
        </w:rPr>
        <w:t>between</w:t>
      </w:r>
      <w:r>
        <w:rPr>
          <w:spacing w:val="-2"/>
          <w:sz w:val="18"/>
          <w:vertAlign w:val="baseline"/>
        </w:rPr>
        <w:t> </w:t>
      </w:r>
      <w:r>
        <w:rPr>
          <w:sz w:val="18"/>
          <w:vertAlign w:val="baseline"/>
        </w:rPr>
        <w:t>Air</w:t>
      </w:r>
      <w:r>
        <w:rPr>
          <w:spacing w:val="-3"/>
          <w:sz w:val="18"/>
          <w:vertAlign w:val="baseline"/>
        </w:rPr>
        <w:t> </w:t>
      </w:r>
      <w:r>
        <w:rPr>
          <w:sz w:val="18"/>
          <w:vertAlign w:val="baseline"/>
        </w:rPr>
        <w:t>Pollution</w:t>
      </w:r>
      <w:r>
        <w:rPr>
          <w:spacing w:val="-2"/>
          <w:sz w:val="18"/>
          <w:vertAlign w:val="baseline"/>
        </w:rPr>
        <w:t> </w:t>
      </w:r>
      <w:r>
        <w:rPr>
          <w:sz w:val="18"/>
          <w:vertAlign w:val="baseline"/>
        </w:rPr>
        <w:t>Exposure</w:t>
      </w:r>
      <w:r>
        <w:rPr>
          <w:spacing w:val="-2"/>
          <w:sz w:val="18"/>
          <w:vertAlign w:val="baseline"/>
        </w:rPr>
        <w:t> </w:t>
      </w:r>
      <w:r>
        <w:rPr>
          <w:sz w:val="18"/>
          <w:vertAlign w:val="baseline"/>
        </w:rPr>
        <w:t>and</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Service</w:t>
      </w:r>
      <w:r>
        <w:rPr>
          <w:spacing w:val="-2"/>
          <w:sz w:val="18"/>
          <w:vertAlign w:val="baseline"/>
        </w:rPr>
        <w:t> </w:t>
      </w:r>
      <w:r>
        <w:rPr>
          <w:sz w:val="18"/>
          <w:vertAlign w:val="baseline"/>
        </w:rPr>
        <w:t>Use</w:t>
      </w:r>
      <w:r>
        <w:rPr>
          <w:spacing w:val="-2"/>
          <w:sz w:val="18"/>
          <w:vertAlign w:val="baseline"/>
        </w:rPr>
        <w:t> </w:t>
      </w:r>
      <w:r>
        <w:rPr>
          <w:sz w:val="18"/>
          <w:vertAlign w:val="baseline"/>
        </w:rPr>
        <w:t>among</w:t>
      </w:r>
      <w:r>
        <w:rPr>
          <w:spacing w:val="-3"/>
          <w:sz w:val="18"/>
          <w:vertAlign w:val="baseline"/>
        </w:rPr>
        <w:t> </w:t>
      </w:r>
      <w:r>
        <w:rPr>
          <w:sz w:val="18"/>
          <w:vertAlign w:val="baseline"/>
        </w:rPr>
        <w:t>Individuals</w:t>
      </w:r>
      <w:r>
        <w:rPr>
          <w:spacing w:val="-2"/>
          <w:sz w:val="18"/>
          <w:vertAlign w:val="baseline"/>
        </w:rPr>
        <w:t> </w:t>
      </w:r>
      <w:r>
        <w:rPr>
          <w:sz w:val="18"/>
          <w:vertAlign w:val="baseline"/>
        </w:rPr>
        <w:t>with First</w:t>
      </w:r>
      <w:r>
        <w:rPr>
          <w:spacing w:val="-2"/>
          <w:sz w:val="18"/>
          <w:vertAlign w:val="baseline"/>
        </w:rPr>
        <w:t> </w:t>
      </w:r>
      <w:r>
        <w:rPr>
          <w:sz w:val="18"/>
          <w:vertAlign w:val="baseline"/>
        </w:rPr>
        <w:t>Presentations</w:t>
      </w:r>
      <w:r>
        <w:rPr>
          <w:spacing w:val="-1"/>
          <w:sz w:val="18"/>
          <w:vertAlign w:val="baseline"/>
        </w:rPr>
        <w:t> </w:t>
      </w:r>
      <w:r>
        <w:rPr>
          <w:sz w:val="18"/>
          <w:vertAlign w:val="baseline"/>
        </w:rPr>
        <w:t>of</w:t>
      </w:r>
      <w:r>
        <w:rPr>
          <w:spacing w:val="-1"/>
          <w:sz w:val="18"/>
          <w:vertAlign w:val="baseline"/>
        </w:rPr>
        <w:t> </w:t>
      </w:r>
      <w:r>
        <w:rPr>
          <w:sz w:val="18"/>
          <w:vertAlign w:val="baseline"/>
        </w:rPr>
        <w:t>Psychotic</w:t>
      </w:r>
      <w:r>
        <w:rPr>
          <w:spacing w:val="-2"/>
          <w:sz w:val="18"/>
          <w:vertAlign w:val="baseline"/>
        </w:rPr>
        <w:t> </w:t>
      </w:r>
      <w:r>
        <w:rPr>
          <w:sz w:val="18"/>
          <w:vertAlign w:val="baseline"/>
        </w:rPr>
        <w:t>and</w:t>
      </w:r>
      <w:r>
        <w:rPr>
          <w:spacing w:val="-1"/>
          <w:sz w:val="18"/>
          <w:vertAlign w:val="baseline"/>
        </w:rPr>
        <w:t> </w:t>
      </w:r>
      <w:r>
        <w:rPr>
          <w:sz w:val="18"/>
          <w:vertAlign w:val="baseline"/>
        </w:rPr>
        <w:t>Mood</w:t>
      </w:r>
      <w:r>
        <w:rPr>
          <w:spacing w:val="-1"/>
          <w:sz w:val="18"/>
          <w:vertAlign w:val="baseline"/>
        </w:rPr>
        <w:t> </w:t>
      </w:r>
      <w:r>
        <w:rPr>
          <w:sz w:val="18"/>
          <w:vertAlign w:val="baseline"/>
        </w:rPr>
        <w:t>Disorders:</w:t>
      </w:r>
      <w:r>
        <w:rPr>
          <w:spacing w:val="-1"/>
          <w:sz w:val="18"/>
          <w:vertAlign w:val="baseline"/>
        </w:rPr>
        <w:t> </w:t>
      </w:r>
      <w:r>
        <w:rPr>
          <w:sz w:val="18"/>
          <w:vertAlign w:val="baseline"/>
        </w:rPr>
        <w:t>Retrospective</w:t>
      </w:r>
      <w:r>
        <w:rPr>
          <w:spacing w:val="-1"/>
          <w:sz w:val="18"/>
          <w:vertAlign w:val="baseline"/>
        </w:rPr>
        <w:t> </w:t>
      </w:r>
      <w:r>
        <w:rPr>
          <w:sz w:val="18"/>
          <w:vertAlign w:val="baseline"/>
        </w:rPr>
        <w:t>Cohort</w:t>
      </w:r>
      <w:r>
        <w:rPr>
          <w:spacing w:val="-2"/>
          <w:sz w:val="18"/>
          <w:vertAlign w:val="baseline"/>
        </w:rPr>
        <w:t> </w:t>
      </w:r>
      <w:r>
        <w:rPr>
          <w:sz w:val="18"/>
          <w:vertAlign w:val="baseline"/>
        </w:rPr>
        <w:t>Study,”</w:t>
      </w:r>
      <w:r>
        <w:rPr>
          <w:spacing w:val="-1"/>
          <w:sz w:val="18"/>
          <w:vertAlign w:val="baseline"/>
        </w:rPr>
        <w:t> </w:t>
      </w:r>
      <w:r>
        <w:rPr>
          <w:i/>
          <w:sz w:val="18"/>
          <w:vertAlign w:val="baseline"/>
        </w:rPr>
        <w:t>The</w:t>
      </w:r>
      <w:r>
        <w:rPr>
          <w:i/>
          <w:spacing w:val="-1"/>
          <w:sz w:val="18"/>
          <w:vertAlign w:val="baseline"/>
        </w:rPr>
        <w:t> </w:t>
      </w:r>
      <w:r>
        <w:rPr>
          <w:i/>
          <w:sz w:val="18"/>
          <w:vertAlign w:val="baseline"/>
        </w:rPr>
        <w:t>British</w:t>
      </w:r>
      <w:r>
        <w:rPr>
          <w:i/>
          <w:spacing w:val="-2"/>
          <w:sz w:val="18"/>
          <w:vertAlign w:val="baseline"/>
        </w:rPr>
        <w:t> </w:t>
      </w:r>
      <w:r>
        <w:rPr>
          <w:i/>
          <w:sz w:val="18"/>
          <w:vertAlign w:val="baseline"/>
        </w:rPr>
        <w:t>Journal</w:t>
      </w:r>
      <w:r>
        <w:rPr>
          <w:i/>
          <w:spacing w:val="-2"/>
          <w:sz w:val="18"/>
          <w:vertAlign w:val="baseline"/>
        </w:rPr>
        <w:t> </w:t>
      </w:r>
      <w:r>
        <w:rPr>
          <w:i/>
          <w:sz w:val="18"/>
          <w:vertAlign w:val="baseline"/>
        </w:rPr>
        <w:t>of</w:t>
      </w:r>
      <w:r>
        <w:rPr>
          <w:i/>
          <w:spacing w:val="-1"/>
          <w:sz w:val="18"/>
          <w:vertAlign w:val="baseline"/>
        </w:rPr>
        <w:t> </w:t>
      </w:r>
      <w:r>
        <w:rPr>
          <w:i/>
          <w:sz w:val="18"/>
          <w:vertAlign w:val="baseline"/>
        </w:rPr>
        <w:t>Psychiatry:</w:t>
      </w:r>
      <w:r>
        <w:rPr>
          <w:i/>
          <w:spacing w:val="-1"/>
          <w:sz w:val="18"/>
          <w:vertAlign w:val="baseline"/>
        </w:rPr>
        <w:t> </w:t>
      </w:r>
      <w:r>
        <w:rPr>
          <w:i/>
          <w:sz w:val="18"/>
          <w:vertAlign w:val="baseline"/>
        </w:rPr>
        <w:t>The</w:t>
      </w:r>
      <w:r>
        <w:rPr>
          <w:i/>
          <w:spacing w:val="-1"/>
          <w:sz w:val="18"/>
          <w:vertAlign w:val="baseline"/>
        </w:rPr>
        <w:t> </w:t>
      </w:r>
      <w:r>
        <w:rPr>
          <w:i/>
          <w:sz w:val="18"/>
          <w:vertAlign w:val="baseline"/>
        </w:rPr>
        <w:t>Journal</w:t>
      </w:r>
      <w:r>
        <w:rPr>
          <w:i/>
          <w:sz w:val="18"/>
          <w:vertAlign w:val="baseline"/>
        </w:rPr>
        <w:t> of Mental Science </w:t>
      </w:r>
      <w:r>
        <w:rPr>
          <w:sz w:val="18"/>
          <w:vertAlign w:val="baseline"/>
        </w:rPr>
        <w:t>219, no. 6 (December 2021): 678–85, https://doi.org/10.1192/bjp.2021.119.</w:t>
      </w:r>
    </w:p>
    <w:p>
      <w:pPr>
        <w:spacing w:line="247" w:lineRule="auto" w:before="12"/>
        <w:ind w:left="323" w:right="164" w:hanging="1"/>
        <w:jc w:val="left"/>
        <w:rPr>
          <w:sz w:val="18"/>
        </w:rPr>
      </w:pPr>
      <w:r>
        <w:rPr>
          <w:sz w:val="18"/>
          <w:vertAlign w:val="superscript"/>
        </w:rPr>
        <w:t>55</w:t>
      </w:r>
      <w:r>
        <w:rPr>
          <w:spacing w:val="-12"/>
          <w:sz w:val="18"/>
          <w:vertAlign w:val="baseline"/>
        </w:rPr>
        <w:t> </w:t>
      </w:r>
      <w:r>
        <w:rPr>
          <w:sz w:val="18"/>
          <w:vertAlign w:val="baseline"/>
        </w:rPr>
        <w:t>Antonio</w:t>
      </w:r>
      <w:r>
        <w:rPr>
          <w:spacing w:val="-3"/>
          <w:sz w:val="18"/>
          <w:vertAlign w:val="baseline"/>
        </w:rPr>
        <w:t> </w:t>
      </w:r>
      <w:r>
        <w:rPr>
          <w:sz w:val="18"/>
          <w:vertAlign w:val="baseline"/>
        </w:rPr>
        <w:t>Ventriglio</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“Environmental</w:t>
      </w:r>
      <w:r>
        <w:rPr>
          <w:spacing w:val="-3"/>
          <w:sz w:val="18"/>
          <w:vertAlign w:val="baseline"/>
        </w:rPr>
        <w:t> </w:t>
      </w:r>
      <w:r>
        <w:rPr>
          <w:sz w:val="18"/>
          <w:vertAlign w:val="baseline"/>
        </w:rPr>
        <w:t>Pollution</w:t>
      </w:r>
      <w:r>
        <w:rPr>
          <w:spacing w:val="-2"/>
          <w:sz w:val="18"/>
          <w:vertAlign w:val="baseline"/>
        </w:rPr>
        <w:t> </w:t>
      </w:r>
      <w:r>
        <w:rPr>
          <w:sz w:val="18"/>
          <w:vertAlign w:val="baseline"/>
        </w:rPr>
        <w:t>and</w:t>
      </w:r>
      <w:r>
        <w:rPr>
          <w:spacing w:val="-2"/>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A</w:t>
      </w:r>
      <w:r>
        <w:rPr>
          <w:spacing w:val="-2"/>
          <w:sz w:val="18"/>
          <w:vertAlign w:val="baseline"/>
        </w:rPr>
        <w:t> </w:t>
      </w:r>
      <w:r>
        <w:rPr>
          <w:sz w:val="18"/>
          <w:vertAlign w:val="baseline"/>
        </w:rPr>
        <w:t>Narrative</w:t>
      </w:r>
      <w:r>
        <w:rPr>
          <w:spacing w:val="-2"/>
          <w:sz w:val="18"/>
          <w:vertAlign w:val="baseline"/>
        </w:rPr>
        <w:t> </w:t>
      </w:r>
      <w:r>
        <w:rPr>
          <w:sz w:val="18"/>
          <w:vertAlign w:val="baseline"/>
        </w:rPr>
        <w:t>Review</w:t>
      </w:r>
      <w:r>
        <w:rPr>
          <w:spacing w:val="-3"/>
          <w:sz w:val="18"/>
          <w:vertAlign w:val="baseline"/>
        </w:rPr>
        <w:t> </w:t>
      </w:r>
      <w:r>
        <w:rPr>
          <w:sz w:val="18"/>
          <w:vertAlign w:val="baseline"/>
        </w:rPr>
        <w:t>of</w:t>
      </w:r>
      <w:r>
        <w:rPr>
          <w:spacing w:val="-2"/>
          <w:sz w:val="18"/>
          <w:vertAlign w:val="baseline"/>
        </w:rPr>
        <w:t> </w:t>
      </w:r>
      <w:r>
        <w:rPr>
          <w:sz w:val="18"/>
          <w:vertAlign w:val="baseline"/>
        </w:rPr>
        <w:t>Literature,”</w:t>
      </w:r>
      <w:r>
        <w:rPr>
          <w:spacing w:val="-2"/>
          <w:sz w:val="18"/>
          <w:vertAlign w:val="baseline"/>
        </w:rPr>
        <w:t> </w:t>
      </w:r>
      <w:r>
        <w:rPr>
          <w:i/>
          <w:sz w:val="18"/>
          <w:vertAlign w:val="baseline"/>
        </w:rPr>
        <w:t>CNS</w:t>
      </w:r>
      <w:r>
        <w:rPr>
          <w:i/>
          <w:spacing w:val="-2"/>
          <w:sz w:val="18"/>
          <w:vertAlign w:val="baseline"/>
        </w:rPr>
        <w:t> </w:t>
      </w:r>
      <w:r>
        <w:rPr>
          <w:i/>
          <w:sz w:val="18"/>
          <w:vertAlign w:val="baseline"/>
        </w:rPr>
        <w:t>Spectrums</w:t>
      </w:r>
      <w:r>
        <w:rPr>
          <w:i/>
          <w:spacing w:val="-3"/>
          <w:sz w:val="18"/>
          <w:vertAlign w:val="baseline"/>
        </w:rPr>
        <w:t> </w:t>
      </w:r>
      <w:r>
        <w:rPr>
          <w:sz w:val="18"/>
          <w:vertAlign w:val="baseline"/>
        </w:rPr>
        <w:t>26, no. 1 (February 2021): 51–61, https://doi.org/10.1017/S1092852920001303.</w:t>
      </w:r>
    </w:p>
    <w:p>
      <w:pPr>
        <w:spacing w:line="242" w:lineRule="auto" w:before="11"/>
        <w:ind w:left="323" w:right="74" w:hanging="1"/>
        <w:jc w:val="left"/>
        <w:rPr>
          <w:sz w:val="18"/>
        </w:rPr>
      </w:pPr>
      <w:r>
        <w:rPr>
          <w:sz w:val="18"/>
          <w:vertAlign w:val="superscript"/>
        </w:rPr>
        <w:t>56</w:t>
      </w:r>
      <w:r>
        <w:rPr>
          <w:spacing w:val="-12"/>
          <w:sz w:val="18"/>
          <w:vertAlign w:val="baseline"/>
        </w:rPr>
        <w:t> </w:t>
      </w:r>
      <w:r>
        <w:rPr>
          <w:sz w:val="18"/>
          <w:vertAlign w:val="baseline"/>
        </w:rPr>
        <w:t>Gwendolyn</w:t>
      </w:r>
      <w:r>
        <w:rPr>
          <w:spacing w:val="-2"/>
          <w:sz w:val="18"/>
          <w:vertAlign w:val="baseline"/>
        </w:rPr>
        <w:t> </w:t>
      </w:r>
      <w:r>
        <w:rPr>
          <w:sz w:val="18"/>
          <w:vertAlign w:val="baseline"/>
        </w:rPr>
        <w:t>P.</w:t>
      </w:r>
      <w:r>
        <w:rPr>
          <w:spacing w:val="-4"/>
          <w:sz w:val="18"/>
          <w:vertAlign w:val="baseline"/>
        </w:rPr>
        <w:t> </w:t>
      </w:r>
      <w:r>
        <w:rPr>
          <w:sz w:val="18"/>
          <w:vertAlign w:val="baseline"/>
        </w:rPr>
        <w:t>Quinn</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Transgender,</w:t>
      </w:r>
      <w:r>
        <w:rPr>
          <w:spacing w:val="-3"/>
          <w:sz w:val="18"/>
          <w:vertAlign w:val="baseline"/>
        </w:rPr>
        <w:t> </w:t>
      </w:r>
      <w:r>
        <w:rPr>
          <w:sz w:val="18"/>
          <w:vertAlign w:val="baseline"/>
        </w:rPr>
        <w:t>Queer/Questioning</w:t>
      </w:r>
      <w:r>
        <w:rPr>
          <w:spacing w:val="-2"/>
          <w:sz w:val="18"/>
          <w:vertAlign w:val="baseline"/>
        </w:rPr>
        <w:t> </w:t>
      </w:r>
      <w:r>
        <w:rPr>
          <w:sz w:val="18"/>
          <w:vertAlign w:val="baseline"/>
        </w:rPr>
        <w:t>(LGBTQ)</w:t>
      </w:r>
      <w:r>
        <w:rPr>
          <w:spacing w:val="-3"/>
          <w:sz w:val="18"/>
          <w:vertAlign w:val="baseline"/>
        </w:rPr>
        <w:t> </w:t>
      </w:r>
      <w:r>
        <w:rPr>
          <w:sz w:val="18"/>
          <w:vertAlign w:val="baseline"/>
        </w:rPr>
        <w:t>Perceptions</w:t>
      </w:r>
      <w:r>
        <w:rPr>
          <w:spacing w:val="-2"/>
          <w:sz w:val="18"/>
          <w:vertAlign w:val="baseline"/>
        </w:rPr>
        <w:t> </w:t>
      </w:r>
      <w:r>
        <w:rPr>
          <w:sz w:val="18"/>
          <w:vertAlign w:val="baseline"/>
        </w:rPr>
        <w:t>and</w:t>
      </w:r>
      <w:r>
        <w:rPr>
          <w:spacing w:val="-2"/>
          <w:sz w:val="18"/>
          <w:vertAlign w:val="baseline"/>
        </w:rPr>
        <w:t> </w:t>
      </w:r>
      <w:r>
        <w:rPr>
          <w:sz w:val="18"/>
          <w:vertAlign w:val="baseline"/>
        </w:rPr>
        <w:t>Health</w:t>
      </w:r>
      <w:r>
        <w:rPr>
          <w:spacing w:val="-2"/>
          <w:sz w:val="18"/>
          <w:vertAlign w:val="baseline"/>
        </w:rPr>
        <w:t> </w:t>
      </w:r>
      <w:r>
        <w:rPr>
          <w:sz w:val="18"/>
          <w:vertAlign w:val="baseline"/>
        </w:rPr>
        <w:t>Care Experiences,” </w:t>
      </w:r>
      <w:r>
        <w:rPr>
          <w:i/>
          <w:sz w:val="18"/>
          <w:vertAlign w:val="baseline"/>
        </w:rPr>
        <w:t>Journal of Gay &amp; Lesbian Social Services </w:t>
      </w:r>
      <w:r>
        <w:rPr>
          <w:sz w:val="18"/>
          <w:vertAlign w:val="baseline"/>
        </w:rPr>
        <w:t>27, no. 2 (April 3, 2015): 246–61, </w:t>
      </w:r>
      <w:r>
        <w:rPr>
          <w:spacing w:val="-2"/>
          <w:sz w:val="18"/>
          <w:vertAlign w:val="baseline"/>
        </w:rPr>
        <w:t>https://doi.org/10.1080/10538720.2015.1022273.</w:t>
      </w:r>
    </w:p>
    <w:p>
      <w:pPr>
        <w:spacing w:line="247" w:lineRule="auto" w:before="18"/>
        <w:ind w:left="323" w:right="74" w:hanging="1"/>
        <w:jc w:val="left"/>
        <w:rPr>
          <w:sz w:val="18"/>
        </w:rPr>
      </w:pPr>
      <w:r>
        <w:rPr>
          <w:sz w:val="18"/>
          <w:vertAlign w:val="superscript"/>
        </w:rPr>
        <w:t>57</w:t>
      </w:r>
      <w:r>
        <w:rPr>
          <w:spacing w:val="-12"/>
          <w:sz w:val="18"/>
          <w:vertAlign w:val="baseline"/>
        </w:rPr>
        <w:t> </w:t>
      </w:r>
      <w:r>
        <w:rPr>
          <w:sz w:val="18"/>
          <w:vertAlign w:val="baseline"/>
        </w:rPr>
        <w:t>Logan</w:t>
      </w:r>
      <w:r>
        <w:rPr>
          <w:spacing w:val="-2"/>
          <w:sz w:val="18"/>
          <w:vertAlign w:val="baseline"/>
        </w:rPr>
        <w:t> </w:t>
      </w:r>
      <w:r>
        <w:rPr>
          <w:sz w:val="18"/>
          <w:vertAlign w:val="baseline"/>
        </w:rPr>
        <w:t>S.</w:t>
      </w:r>
      <w:r>
        <w:rPr>
          <w:spacing w:val="-2"/>
          <w:sz w:val="18"/>
          <w:vertAlign w:val="baseline"/>
        </w:rPr>
        <w:t> </w:t>
      </w:r>
      <w:r>
        <w:rPr>
          <w:sz w:val="18"/>
          <w:vertAlign w:val="baseline"/>
        </w:rPr>
        <w:t>Casey</w:t>
      </w:r>
      <w:r>
        <w:rPr>
          <w:spacing w:val="-2"/>
          <w:sz w:val="18"/>
          <w:vertAlign w:val="baseline"/>
        </w:rPr>
        <w:t> </w:t>
      </w:r>
      <w:r>
        <w:rPr>
          <w:sz w:val="18"/>
          <w:vertAlign w:val="baseline"/>
        </w:rPr>
        <w:t>et</w:t>
      </w:r>
      <w:r>
        <w:rPr>
          <w:spacing w:val="-3"/>
          <w:sz w:val="18"/>
          <w:vertAlign w:val="baseline"/>
        </w:rPr>
        <w:t> </w:t>
      </w:r>
      <w:r>
        <w:rPr>
          <w:sz w:val="18"/>
          <w:vertAlign w:val="baseline"/>
        </w:rPr>
        <w:t>al.,</w:t>
      </w:r>
      <w:r>
        <w:rPr>
          <w:spacing w:val="-3"/>
          <w:sz w:val="18"/>
          <w:vertAlign w:val="baseline"/>
        </w:rPr>
        <w:t> </w:t>
      </w:r>
      <w:r>
        <w:rPr>
          <w:sz w:val="18"/>
          <w:vertAlign w:val="baseline"/>
        </w:rPr>
        <w:t>“Discrimination</w:t>
      </w:r>
      <w:r>
        <w:rPr>
          <w:spacing w:val="-2"/>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United</w:t>
      </w:r>
      <w:r>
        <w:rPr>
          <w:spacing w:val="-2"/>
          <w:sz w:val="18"/>
          <w:vertAlign w:val="baseline"/>
        </w:rPr>
        <w:t> </w:t>
      </w:r>
      <w:r>
        <w:rPr>
          <w:sz w:val="18"/>
          <w:vertAlign w:val="baseline"/>
        </w:rPr>
        <w:t>States:</w:t>
      </w:r>
      <w:r>
        <w:rPr>
          <w:spacing w:val="-2"/>
          <w:sz w:val="18"/>
          <w:vertAlign w:val="baseline"/>
        </w:rPr>
        <w:t> </w:t>
      </w:r>
      <w:r>
        <w:rPr>
          <w:sz w:val="18"/>
          <w:vertAlign w:val="baseline"/>
        </w:rPr>
        <w:t>Experiences</w:t>
      </w:r>
      <w:r>
        <w:rPr>
          <w:spacing w:val="-2"/>
          <w:sz w:val="18"/>
          <w:vertAlign w:val="baseline"/>
        </w:rPr>
        <w:t> </w:t>
      </w:r>
      <w:r>
        <w:rPr>
          <w:sz w:val="18"/>
          <w:vertAlign w:val="baseline"/>
        </w:rPr>
        <w:t>of</w:t>
      </w:r>
      <w:r>
        <w:rPr>
          <w:spacing w:val="-2"/>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Transgender,</w:t>
      </w:r>
      <w:r>
        <w:rPr>
          <w:spacing w:val="-3"/>
          <w:sz w:val="18"/>
          <w:vertAlign w:val="baseline"/>
        </w:rPr>
        <w:t> </w:t>
      </w:r>
      <w:r>
        <w:rPr>
          <w:sz w:val="18"/>
          <w:vertAlign w:val="baseline"/>
        </w:rPr>
        <w:t>and</w:t>
      </w:r>
      <w:r>
        <w:rPr>
          <w:spacing w:val="-2"/>
          <w:sz w:val="18"/>
          <w:vertAlign w:val="baseline"/>
        </w:rPr>
        <w:t> </w:t>
      </w:r>
      <w:r>
        <w:rPr>
          <w:sz w:val="18"/>
          <w:vertAlign w:val="baseline"/>
        </w:rPr>
        <w:t>Queer Americans,” </w:t>
      </w:r>
      <w:r>
        <w:rPr>
          <w:i/>
          <w:sz w:val="18"/>
          <w:vertAlign w:val="baseline"/>
        </w:rPr>
        <w:t>Health Services Research </w:t>
      </w:r>
      <w:r>
        <w:rPr>
          <w:sz w:val="18"/>
          <w:vertAlign w:val="baseline"/>
        </w:rPr>
        <w:t>54, no. S2 (2019): 1454–66, https://doi.org/10.1111/1475-6773.13229.</w:t>
      </w:r>
    </w:p>
    <w:p>
      <w:pPr>
        <w:spacing w:line="247" w:lineRule="auto" w:before="11"/>
        <w:ind w:left="323" w:right="213" w:hanging="1"/>
        <w:jc w:val="left"/>
        <w:rPr>
          <w:sz w:val="18"/>
        </w:rPr>
      </w:pPr>
      <w:r>
        <w:rPr>
          <w:sz w:val="18"/>
          <w:vertAlign w:val="superscript"/>
        </w:rPr>
        <w:t>58</w:t>
      </w:r>
      <w:r>
        <w:rPr>
          <w:spacing w:val="-12"/>
          <w:sz w:val="18"/>
          <w:vertAlign w:val="baseline"/>
        </w:rPr>
        <w:t> </w:t>
      </w:r>
      <w:r>
        <w:rPr>
          <w:sz w:val="18"/>
          <w:vertAlign w:val="baseline"/>
        </w:rPr>
        <w:t>Barbara</w:t>
      </w:r>
      <w:r>
        <w:rPr>
          <w:spacing w:val="-2"/>
          <w:sz w:val="18"/>
          <w:vertAlign w:val="baseline"/>
        </w:rPr>
        <w:t> </w:t>
      </w:r>
      <w:r>
        <w:rPr>
          <w:sz w:val="18"/>
          <w:vertAlign w:val="baseline"/>
        </w:rPr>
        <w:t>K.</w:t>
      </w:r>
      <w:r>
        <w:rPr>
          <w:spacing w:val="-2"/>
          <w:sz w:val="18"/>
          <w:vertAlign w:val="baseline"/>
        </w:rPr>
        <w:t> </w:t>
      </w:r>
      <w:r>
        <w:rPr>
          <w:sz w:val="18"/>
          <w:vertAlign w:val="baseline"/>
        </w:rPr>
        <w:t>Snyder,</w:t>
      </w:r>
      <w:r>
        <w:rPr>
          <w:spacing w:val="-3"/>
          <w:sz w:val="18"/>
          <w:vertAlign w:val="baseline"/>
        </w:rPr>
        <w:t> </w:t>
      </w:r>
      <w:r>
        <w:rPr>
          <w:sz w:val="18"/>
          <w:vertAlign w:val="baseline"/>
        </w:rPr>
        <w:t>Gail</w:t>
      </w:r>
      <w:r>
        <w:rPr>
          <w:spacing w:val="-3"/>
          <w:sz w:val="18"/>
          <w:vertAlign w:val="baseline"/>
        </w:rPr>
        <w:t> </w:t>
      </w:r>
      <w:r>
        <w:rPr>
          <w:sz w:val="18"/>
          <w:vertAlign w:val="baseline"/>
        </w:rPr>
        <w:t>D.</w:t>
      </w:r>
      <w:r>
        <w:rPr>
          <w:spacing w:val="-2"/>
          <w:sz w:val="18"/>
          <w:vertAlign w:val="baseline"/>
        </w:rPr>
        <w:t> </w:t>
      </w:r>
      <w:r>
        <w:rPr>
          <w:sz w:val="18"/>
          <w:vertAlign w:val="baseline"/>
        </w:rPr>
        <w:t>Burack,</w:t>
      </w:r>
      <w:r>
        <w:rPr>
          <w:spacing w:val="-3"/>
          <w:sz w:val="18"/>
          <w:vertAlign w:val="baseline"/>
        </w:rPr>
        <w:t> </w:t>
      </w:r>
      <w:r>
        <w:rPr>
          <w:sz w:val="18"/>
          <w:vertAlign w:val="baseline"/>
        </w:rPr>
        <w:t>and</w:t>
      </w:r>
      <w:r>
        <w:rPr>
          <w:spacing w:val="-2"/>
          <w:sz w:val="18"/>
          <w:vertAlign w:val="baseline"/>
        </w:rPr>
        <w:t> </w:t>
      </w:r>
      <w:r>
        <w:rPr>
          <w:sz w:val="18"/>
          <w:vertAlign w:val="baseline"/>
        </w:rPr>
        <w:t>Anna</w:t>
      </w:r>
      <w:r>
        <w:rPr>
          <w:spacing w:val="-2"/>
          <w:sz w:val="18"/>
          <w:vertAlign w:val="baseline"/>
        </w:rPr>
        <w:t> </w:t>
      </w:r>
      <w:r>
        <w:rPr>
          <w:sz w:val="18"/>
          <w:vertAlign w:val="baseline"/>
        </w:rPr>
        <w:t>Petrova,</w:t>
      </w:r>
      <w:r>
        <w:rPr>
          <w:spacing w:val="-3"/>
          <w:sz w:val="18"/>
          <w:vertAlign w:val="baseline"/>
        </w:rPr>
        <w:t> </w:t>
      </w:r>
      <w:r>
        <w:rPr>
          <w:sz w:val="18"/>
          <w:vertAlign w:val="baseline"/>
        </w:rPr>
        <w:t>“LGBTQ</w:t>
      </w:r>
      <w:r>
        <w:rPr>
          <w:spacing w:val="-2"/>
          <w:sz w:val="18"/>
          <w:vertAlign w:val="baseline"/>
        </w:rPr>
        <w:t> </w:t>
      </w:r>
      <w:r>
        <w:rPr>
          <w:sz w:val="18"/>
          <w:vertAlign w:val="baseline"/>
        </w:rPr>
        <w:t>Youth’s</w:t>
      </w:r>
      <w:r>
        <w:rPr>
          <w:spacing w:val="-2"/>
          <w:sz w:val="18"/>
          <w:vertAlign w:val="baseline"/>
        </w:rPr>
        <w:t> </w:t>
      </w:r>
      <w:r>
        <w:rPr>
          <w:sz w:val="18"/>
          <w:vertAlign w:val="baseline"/>
        </w:rPr>
        <w:t>Perceptions</w:t>
      </w:r>
      <w:r>
        <w:rPr>
          <w:spacing w:val="-2"/>
          <w:sz w:val="18"/>
          <w:vertAlign w:val="baseline"/>
        </w:rPr>
        <w:t> </w:t>
      </w:r>
      <w:r>
        <w:rPr>
          <w:sz w:val="18"/>
          <w:vertAlign w:val="baseline"/>
        </w:rPr>
        <w:t>of</w:t>
      </w:r>
      <w:r>
        <w:rPr>
          <w:spacing w:val="-2"/>
          <w:sz w:val="18"/>
          <w:vertAlign w:val="baseline"/>
        </w:rPr>
        <w:t> </w:t>
      </w:r>
      <w:r>
        <w:rPr>
          <w:sz w:val="18"/>
          <w:vertAlign w:val="baseline"/>
        </w:rPr>
        <w:t>Primary</w:t>
      </w:r>
      <w:r>
        <w:rPr>
          <w:spacing w:val="-2"/>
          <w:sz w:val="18"/>
          <w:vertAlign w:val="baseline"/>
        </w:rPr>
        <w:t> </w:t>
      </w:r>
      <w:r>
        <w:rPr>
          <w:sz w:val="18"/>
          <w:vertAlign w:val="baseline"/>
        </w:rPr>
        <w:t>Care,”</w:t>
      </w:r>
      <w:r>
        <w:rPr>
          <w:spacing w:val="-2"/>
          <w:sz w:val="18"/>
          <w:vertAlign w:val="baseline"/>
        </w:rPr>
        <w:t> </w:t>
      </w:r>
      <w:r>
        <w:rPr>
          <w:i/>
          <w:sz w:val="18"/>
          <w:vertAlign w:val="baseline"/>
        </w:rPr>
        <w:t>Clinical</w:t>
      </w:r>
      <w:r>
        <w:rPr>
          <w:i/>
          <w:spacing w:val="-3"/>
          <w:sz w:val="18"/>
          <w:vertAlign w:val="baseline"/>
        </w:rPr>
        <w:t> </w:t>
      </w:r>
      <w:r>
        <w:rPr>
          <w:i/>
          <w:sz w:val="18"/>
          <w:vertAlign w:val="baseline"/>
        </w:rPr>
        <w:t>Pediatrics</w:t>
      </w:r>
      <w:r>
        <w:rPr>
          <w:i/>
          <w:spacing w:val="-3"/>
          <w:sz w:val="18"/>
          <w:vertAlign w:val="baseline"/>
        </w:rPr>
        <w:t> </w:t>
      </w:r>
      <w:r>
        <w:rPr>
          <w:sz w:val="18"/>
          <w:vertAlign w:val="baseline"/>
        </w:rPr>
        <w:t>56,</w:t>
      </w:r>
      <w:r>
        <w:rPr>
          <w:spacing w:val="-3"/>
          <w:sz w:val="18"/>
          <w:vertAlign w:val="baseline"/>
        </w:rPr>
        <w:t> </w:t>
      </w:r>
      <w:r>
        <w:rPr>
          <w:sz w:val="18"/>
          <w:vertAlign w:val="baseline"/>
        </w:rPr>
        <w:t>no. 5 (May 1, 2017): 443–50, https://doi.org/10.1177/0009922816673306.</w:t>
      </w:r>
    </w:p>
    <w:p>
      <w:pPr>
        <w:spacing w:before="11"/>
        <w:ind w:left="323" w:right="0" w:firstLine="0"/>
        <w:jc w:val="left"/>
        <w:rPr>
          <w:sz w:val="18"/>
        </w:rPr>
      </w:pPr>
      <w:r>
        <w:rPr>
          <w:sz w:val="18"/>
          <w:vertAlign w:val="superscript"/>
        </w:rPr>
        <w:t>59</w:t>
      </w:r>
      <w:r>
        <w:rPr>
          <w:spacing w:val="-12"/>
          <w:sz w:val="18"/>
          <w:vertAlign w:val="baseline"/>
        </w:rPr>
        <w:t> </w:t>
      </w:r>
      <w:r>
        <w:rPr>
          <w:sz w:val="18"/>
          <w:vertAlign w:val="baseline"/>
        </w:rPr>
        <w:t>“Environment</w:t>
      </w:r>
      <w:r>
        <w:rPr>
          <w:spacing w:val="-8"/>
          <w:sz w:val="18"/>
          <w:vertAlign w:val="baseline"/>
        </w:rPr>
        <w:t> </w:t>
      </w:r>
      <w:r>
        <w:rPr>
          <w:sz w:val="18"/>
          <w:vertAlign w:val="baseline"/>
        </w:rPr>
        <w:t>&amp;</w:t>
      </w:r>
      <w:r>
        <w:rPr>
          <w:spacing w:val="-5"/>
          <w:sz w:val="18"/>
          <w:vertAlign w:val="baseline"/>
        </w:rPr>
        <w:t> </w:t>
      </w:r>
      <w:r>
        <w:rPr>
          <w:sz w:val="18"/>
          <w:vertAlign w:val="baseline"/>
        </w:rPr>
        <w:t>Climate</w:t>
      </w:r>
      <w:r>
        <w:rPr>
          <w:spacing w:val="-5"/>
          <w:sz w:val="18"/>
          <w:vertAlign w:val="baseline"/>
        </w:rPr>
        <w:t> </w:t>
      </w:r>
      <w:r>
        <w:rPr>
          <w:sz w:val="18"/>
          <w:vertAlign w:val="baseline"/>
        </w:rPr>
        <w:t>Justice,”</w:t>
      </w:r>
      <w:r>
        <w:rPr>
          <w:spacing w:val="-4"/>
          <w:sz w:val="18"/>
          <w:vertAlign w:val="baseline"/>
        </w:rPr>
        <w:t> </w:t>
      </w:r>
      <w:r>
        <w:rPr>
          <w:sz w:val="18"/>
          <w:vertAlign w:val="baseline"/>
        </w:rPr>
        <w:t>accessed</w:t>
      </w:r>
      <w:r>
        <w:rPr>
          <w:spacing w:val="-4"/>
          <w:sz w:val="18"/>
          <w:vertAlign w:val="baseline"/>
        </w:rPr>
        <w:t> </w:t>
      </w:r>
      <w:r>
        <w:rPr>
          <w:sz w:val="18"/>
          <w:vertAlign w:val="baseline"/>
        </w:rPr>
        <w:t>February</w:t>
      </w:r>
      <w:r>
        <w:rPr>
          <w:spacing w:val="-4"/>
          <w:sz w:val="18"/>
          <w:vertAlign w:val="baseline"/>
        </w:rPr>
        <w:t> </w:t>
      </w:r>
      <w:r>
        <w:rPr>
          <w:sz w:val="18"/>
          <w:vertAlign w:val="baseline"/>
        </w:rPr>
        <w:t>17,</w:t>
      </w:r>
      <w:r>
        <w:rPr>
          <w:spacing w:val="-5"/>
          <w:sz w:val="18"/>
          <w:vertAlign w:val="baseline"/>
        </w:rPr>
        <w:t> </w:t>
      </w:r>
      <w:r>
        <w:rPr>
          <w:sz w:val="18"/>
          <w:vertAlign w:val="baseline"/>
        </w:rPr>
        <w:t>2023,</w:t>
      </w:r>
      <w:r>
        <w:rPr>
          <w:spacing w:val="-4"/>
          <w:sz w:val="18"/>
          <w:vertAlign w:val="baseline"/>
        </w:rPr>
        <w:t> </w:t>
      </w:r>
      <w:r>
        <w:rPr>
          <w:sz w:val="18"/>
          <w:vertAlign w:val="baseline"/>
        </w:rPr>
        <w:t>https://naacp.org/know-issues/environmental-climate-</w:t>
      </w:r>
      <w:r>
        <w:rPr>
          <w:spacing w:val="-2"/>
          <w:sz w:val="18"/>
          <w:vertAlign w:val="baseline"/>
        </w:rPr>
        <w:t>justice.</w:t>
      </w:r>
    </w:p>
    <w:p>
      <w:pPr>
        <w:spacing w:line="247" w:lineRule="auto" w:before="25"/>
        <w:ind w:left="323" w:right="164" w:firstLine="0"/>
        <w:jc w:val="left"/>
        <w:rPr>
          <w:sz w:val="18"/>
        </w:rPr>
      </w:pPr>
      <w:r>
        <w:rPr>
          <w:sz w:val="18"/>
          <w:vertAlign w:val="superscript"/>
        </w:rPr>
        <w:t>60</w:t>
      </w:r>
      <w:r>
        <w:rPr>
          <w:spacing w:val="-12"/>
          <w:sz w:val="18"/>
          <w:vertAlign w:val="baseline"/>
        </w:rPr>
        <w:t> </w:t>
      </w:r>
      <w:r>
        <w:rPr>
          <w:sz w:val="18"/>
          <w:vertAlign w:val="baseline"/>
        </w:rPr>
        <w:t>“Governor</w:t>
      </w:r>
      <w:r>
        <w:rPr>
          <w:spacing w:val="-4"/>
          <w:sz w:val="18"/>
          <w:vertAlign w:val="baseline"/>
        </w:rPr>
        <w:t> </w:t>
      </w:r>
      <w:r>
        <w:rPr>
          <w:sz w:val="18"/>
          <w:vertAlign w:val="baseline"/>
        </w:rPr>
        <w:t>Healey</w:t>
      </w:r>
      <w:r>
        <w:rPr>
          <w:spacing w:val="-2"/>
          <w:sz w:val="18"/>
          <w:vertAlign w:val="baseline"/>
        </w:rPr>
        <w:t> </w:t>
      </w:r>
      <w:r>
        <w:rPr>
          <w:sz w:val="18"/>
          <w:vertAlign w:val="baseline"/>
        </w:rPr>
        <w:t>Signs</w:t>
      </w:r>
      <w:r>
        <w:rPr>
          <w:spacing w:val="-2"/>
          <w:sz w:val="18"/>
          <w:vertAlign w:val="baseline"/>
        </w:rPr>
        <w:t> </w:t>
      </w:r>
      <w:r>
        <w:rPr>
          <w:sz w:val="18"/>
          <w:vertAlign w:val="baseline"/>
        </w:rPr>
        <w:t>Executive</w:t>
      </w:r>
      <w:r>
        <w:rPr>
          <w:spacing w:val="-2"/>
          <w:sz w:val="18"/>
          <w:vertAlign w:val="baseline"/>
        </w:rPr>
        <w:t> </w:t>
      </w:r>
      <w:r>
        <w:rPr>
          <w:sz w:val="18"/>
          <w:vertAlign w:val="baseline"/>
        </w:rPr>
        <w:t>Order</w:t>
      </w:r>
      <w:r>
        <w:rPr>
          <w:spacing w:val="-3"/>
          <w:sz w:val="18"/>
          <w:vertAlign w:val="baseline"/>
        </w:rPr>
        <w:t> </w:t>
      </w:r>
      <w:r>
        <w:rPr>
          <w:sz w:val="18"/>
          <w:vertAlign w:val="baseline"/>
        </w:rPr>
        <w:t>Creating</w:t>
      </w:r>
      <w:r>
        <w:rPr>
          <w:spacing w:val="-2"/>
          <w:sz w:val="18"/>
          <w:vertAlign w:val="baseline"/>
        </w:rPr>
        <w:t> </w:t>
      </w:r>
      <w:r>
        <w:rPr>
          <w:sz w:val="18"/>
          <w:vertAlign w:val="baseline"/>
        </w:rPr>
        <w:t>Massachusetts’</w:t>
      </w:r>
      <w:r>
        <w:rPr>
          <w:spacing w:val="-3"/>
          <w:sz w:val="18"/>
          <w:vertAlign w:val="baseline"/>
        </w:rPr>
        <w:t> </w:t>
      </w:r>
      <w:r>
        <w:rPr>
          <w:sz w:val="18"/>
          <w:vertAlign w:val="baseline"/>
        </w:rPr>
        <w:t>First</w:t>
      </w:r>
      <w:r>
        <w:rPr>
          <w:spacing w:val="-3"/>
          <w:sz w:val="18"/>
          <w:vertAlign w:val="baseline"/>
        </w:rPr>
        <w:t> </w:t>
      </w:r>
      <w:r>
        <w:rPr>
          <w:sz w:val="18"/>
          <w:vertAlign w:val="baseline"/>
        </w:rPr>
        <w:t>Ever</w:t>
      </w:r>
      <w:r>
        <w:rPr>
          <w:spacing w:val="-3"/>
          <w:sz w:val="18"/>
          <w:vertAlign w:val="baseline"/>
        </w:rPr>
        <w:t> </w:t>
      </w:r>
      <w:r>
        <w:rPr>
          <w:sz w:val="18"/>
          <w:vertAlign w:val="baseline"/>
        </w:rPr>
        <w:t>Climate</w:t>
      </w:r>
      <w:r>
        <w:rPr>
          <w:spacing w:val="-2"/>
          <w:sz w:val="18"/>
          <w:vertAlign w:val="baseline"/>
        </w:rPr>
        <w:t> </w:t>
      </w:r>
      <w:r>
        <w:rPr>
          <w:sz w:val="18"/>
          <w:vertAlign w:val="baseline"/>
        </w:rPr>
        <w:t>Chief</w:t>
      </w:r>
      <w:r>
        <w:rPr>
          <w:spacing w:val="-2"/>
          <w:sz w:val="18"/>
          <w:vertAlign w:val="baseline"/>
        </w:rPr>
        <w:t> </w:t>
      </w:r>
      <w:r>
        <w:rPr>
          <w:sz w:val="18"/>
          <w:vertAlign w:val="baseline"/>
        </w:rPr>
        <w:t>|</w:t>
      </w:r>
      <w:r>
        <w:rPr>
          <w:spacing w:val="-2"/>
          <w:sz w:val="18"/>
          <w:vertAlign w:val="baseline"/>
        </w:rPr>
        <w:t> </w:t>
      </w:r>
      <w:r>
        <w:rPr>
          <w:sz w:val="18"/>
          <w:vertAlign w:val="baseline"/>
        </w:rPr>
        <w:t>Mass.Gov,”</w:t>
      </w:r>
      <w:r>
        <w:rPr>
          <w:spacing w:val="-2"/>
          <w:sz w:val="18"/>
          <w:vertAlign w:val="baseline"/>
        </w:rPr>
        <w:t> </w:t>
      </w:r>
      <w:r>
        <w:rPr>
          <w:sz w:val="18"/>
          <w:vertAlign w:val="baseline"/>
        </w:rPr>
        <w:t>accessed</w:t>
      </w:r>
      <w:r>
        <w:rPr>
          <w:spacing w:val="-2"/>
          <w:sz w:val="18"/>
          <w:vertAlign w:val="baseline"/>
        </w:rPr>
        <w:t> </w:t>
      </w:r>
      <w:r>
        <w:rPr>
          <w:sz w:val="18"/>
          <w:vertAlign w:val="baseline"/>
        </w:rPr>
        <w:t>March</w:t>
      </w:r>
      <w:r>
        <w:rPr>
          <w:spacing w:val="-2"/>
          <w:sz w:val="18"/>
          <w:vertAlign w:val="baseline"/>
        </w:rPr>
        <w:t> </w:t>
      </w:r>
      <w:r>
        <w:rPr>
          <w:sz w:val="18"/>
          <w:vertAlign w:val="baseline"/>
        </w:rPr>
        <w:t>14, 2023,</w:t>
      </w:r>
      <w:r>
        <w:rPr>
          <w:spacing w:val="-2"/>
          <w:sz w:val="18"/>
          <w:vertAlign w:val="baseline"/>
        </w:rPr>
        <w:t> </w:t>
      </w:r>
      <w:r>
        <w:rPr>
          <w:sz w:val="18"/>
          <w:vertAlign w:val="baseline"/>
        </w:rPr>
        <w:t>https://</w:t>
      </w:r>
      <w:hyperlink r:id="rId638">
        <w:r>
          <w:rPr>
            <w:sz w:val="18"/>
            <w:vertAlign w:val="baseline"/>
          </w:rPr>
          <w:t>www.mass.gov/news/governor-healey-signs-executive-order-creating-massachusetts-first-ever-climate-chief.</w:t>
        </w:r>
      </w:hyperlink>
    </w:p>
    <w:p>
      <w:pPr>
        <w:spacing w:before="10"/>
        <w:ind w:left="323" w:right="0" w:firstLine="0"/>
        <w:jc w:val="left"/>
        <w:rPr>
          <w:sz w:val="18"/>
        </w:rPr>
      </w:pPr>
      <w:r>
        <w:rPr>
          <w:sz w:val="18"/>
          <w:vertAlign w:val="superscript"/>
        </w:rPr>
        <w:t>61</w:t>
      </w:r>
      <w:r>
        <w:rPr>
          <w:spacing w:val="-12"/>
          <w:sz w:val="18"/>
          <w:vertAlign w:val="baseline"/>
        </w:rPr>
        <w:t> </w:t>
      </w:r>
      <w:r>
        <w:rPr>
          <w:sz w:val="18"/>
          <w:vertAlign w:val="baseline"/>
        </w:rPr>
        <w:t>Goldsmith</w:t>
      </w:r>
      <w:r>
        <w:rPr>
          <w:spacing w:val="-2"/>
          <w:sz w:val="18"/>
          <w:vertAlign w:val="baseline"/>
        </w:rPr>
        <w:t> </w:t>
      </w:r>
      <w:r>
        <w:rPr>
          <w:sz w:val="18"/>
          <w:vertAlign w:val="baseline"/>
        </w:rPr>
        <w:t>and</w:t>
      </w:r>
      <w:r>
        <w:rPr>
          <w:spacing w:val="-1"/>
          <w:sz w:val="18"/>
          <w:vertAlign w:val="baseline"/>
        </w:rPr>
        <w:t> </w:t>
      </w:r>
      <w:r>
        <w:rPr>
          <w:sz w:val="18"/>
          <w:vertAlign w:val="baseline"/>
        </w:rPr>
        <w:t>Bell,</w:t>
      </w:r>
      <w:r>
        <w:rPr>
          <w:spacing w:val="-2"/>
          <w:sz w:val="18"/>
          <w:vertAlign w:val="baseline"/>
        </w:rPr>
        <w:t> </w:t>
      </w:r>
      <w:r>
        <w:rPr>
          <w:sz w:val="18"/>
          <w:vertAlign w:val="baseline"/>
        </w:rPr>
        <w:t>“Queering</w:t>
      </w:r>
      <w:r>
        <w:rPr>
          <w:spacing w:val="-1"/>
          <w:sz w:val="18"/>
          <w:vertAlign w:val="baseline"/>
        </w:rPr>
        <w:t> </w:t>
      </w:r>
      <w:r>
        <w:rPr>
          <w:sz w:val="18"/>
          <w:vertAlign w:val="baseline"/>
        </w:rPr>
        <w:t>Environmental</w:t>
      </w:r>
      <w:r>
        <w:rPr>
          <w:spacing w:val="-2"/>
          <w:sz w:val="18"/>
          <w:vertAlign w:val="baseline"/>
        </w:rPr>
        <w:t> Justice.”</w:t>
      </w:r>
    </w:p>
    <w:p>
      <w:pPr>
        <w:spacing w:line="247" w:lineRule="auto" w:before="26"/>
        <w:ind w:left="323" w:right="0" w:hanging="1"/>
        <w:jc w:val="left"/>
        <w:rPr>
          <w:sz w:val="18"/>
        </w:rPr>
      </w:pPr>
      <w:r>
        <w:rPr>
          <w:sz w:val="18"/>
          <w:vertAlign w:val="superscript"/>
        </w:rPr>
        <w:t>62</w:t>
      </w:r>
      <w:r>
        <w:rPr>
          <w:spacing w:val="-12"/>
          <w:sz w:val="18"/>
          <w:vertAlign w:val="baseline"/>
        </w:rPr>
        <w:t> </w:t>
      </w:r>
      <w:r>
        <w:rPr>
          <w:sz w:val="18"/>
          <w:vertAlign w:val="baseline"/>
        </w:rPr>
        <w:t>American</w:t>
      </w:r>
      <w:r>
        <w:rPr>
          <w:spacing w:val="-3"/>
          <w:sz w:val="18"/>
          <w:vertAlign w:val="baseline"/>
        </w:rPr>
        <w:t> </w:t>
      </w:r>
      <w:r>
        <w:rPr>
          <w:sz w:val="18"/>
          <w:vertAlign w:val="baseline"/>
        </w:rPr>
        <w:t>Psychological</w:t>
      </w:r>
      <w:r>
        <w:rPr>
          <w:spacing w:val="-3"/>
          <w:sz w:val="18"/>
          <w:vertAlign w:val="baseline"/>
        </w:rPr>
        <w:t> </w:t>
      </w:r>
      <w:r>
        <w:rPr>
          <w:sz w:val="18"/>
          <w:vertAlign w:val="baseline"/>
        </w:rPr>
        <w:t>Association</w:t>
      </w:r>
      <w:r>
        <w:rPr>
          <w:spacing w:val="-2"/>
          <w:sz w:val="18"/>
          <w:vertAlign w:val="baseline"/>
        </w:rPr>
        <w:t> </w:t>
      </w:r>
      <w:r>
        <w:rPr>
          <w:sz w:val="18"/>
          <w:vertAlign w:val="baseline"/>
        </w:rPr>
        <w:t>and</w:t>
      </w:r>
      <w:r>
        <w:rPr>
          <w:spacing w:val="-2"/>
          <w:sz w:val="18"/>
          <w:vertAlign w:val="baseline"/>
        </w:rPr>
        <w:t> </w:t>
      </w:r>
      <w:r>
        <w:rPr>
          <w:sz w:val="18"/>
          <w:vertAlign w:val="baseline"/>
        </w:rPr>
        <w:t>ecoAmerica,</w:t>
      </w:r>
      <w:r>
        <w:rPr>
          <w:spacing w:val="-3"/>
          <w:sz w:val="18"/>
          <w:vertAlign w:val="baseline"/>
        </w:rPr>
        <w:t> </w:t>
      </w:r>
      <w:r>
        <w:rPr>
          <w:sz w:val="18"/>
          <w:vertAlign w:val="baseline"/>
        </w:rPr>
        <w:t>“Mental</w:t>
      </w:r>
      <w:r>
        <w:rPr>
          <w:spacing w:val="-2"/>
          <w:sz w:val="18"/>
          <w:vertAlign w:val="baseline"/>
        </w:rPr>
        <w:t> </w:t>
      </w:r>
      <w:r>
        <w:rPr>
          <w:sz w:val="18"/>
          <w:vertAlign w:val="baseline"/>
        </w:rPr>
        <w:t>Health</w:t>
      </w:r>
      <w:r>
        <w:rPr>
          <w:spacing w:val="-2"/>
          <w:sz w:val="18"/>
          <w:vertAlign w:val="baseline"/>
        </w:rPr>
        <w:t> </w:t>
      </w:r>
      <w:r>
        <w:rPr>
          <w:sz w:val="18"/>
          <w:vertAlign w:val="baseline"/>
        </w:rPr>
        <w:t>and</w:t>
      </w:r>
      <w:r>
        <w:rPr>
          <w:spacing w:val="-2"/>
          <w:sz w:val="18"/>
          <w:vertAlign w:val="baseline"/>
        </w:rPr>
        <w:t> </w:t>
      </w:r>
      <w:r>
        <w:rPr>
          <w:sz w:val="18"/>
          <w:vertAlign w:val="baseline"/>
        </w:rPr>
        <w:t>Our</w:t>
      </w:r>
      <w:r>
        <w:rPr>
          <w:spacing w:val="-3"/>
          <w:sz w:val="18"/>
          <w:vertAlign w:val="baseline"/>
        </w:rPr>
        <w:t> </w:t>
      </w:r>
      <w:r>
        <w:rPr>
          <w:sz w:val="18"/>
          <w:vertAlign w:val="baseline"/>
        </w:rPr>
        <w:t>Changing</w:t>
      </w:r>
      <w:r>
        <w:rPr>
          <w:spacing w:val="-2"/>
          <w:sz w:val="18"/>
          <w:vertAlign w:val="baseline"/>
        </w:rPr>
        <w:t> </w:t>
      </w:r>
      <w:r>
        <w:rPr>
          <w:sz w:val="18"/>
          <w:vertAlign w:val="baseline"/>
        </w:rPr>
        <w:t>Climate:</w:t>
      </w:r>
      <w:r>
        <w:rPr>
          <w:spacing w:val="-2"/>
          <w:sz w:val="18"/>
          <w:vertAlign w:val="baseline"/>
        </w:rPr>
        <w:t> </w:t>
      </w:r>
      <w:r>
        <w:rPr>
          <w:sz w:val="18"/>
          <w:vertAlign w:val="baseline"/>
        </w:rPr>
        <w:t>Impacts,</w:t>
      </w:r>
      <w:r>
        <w:rPr>
          <w:spacing w:val="-3"/>
          <w:sz w:val="18"/>
          <w:vertAlign w:val="baseline"/>
        </w:rPr>
        <w:t> </w:t>
      </w:r>
      <w:r>
        <w:rPr>
          <w:sz w:val="18"/>
          <w:vertAlign w:val="baseline"/>
        </w:rPr>
        <w:t>Implications,</w:t>
      </w:r>
      <w:r>
        <w:rPr>
          <w:spacing w:val="-3"/>
          <w:sz w:val="18"/>
          <w:vertAlign w:val="baseline"/>
        </w:rPr>
        <w:t> </w:t>
      </w:r>
      <w:r>
        <w:rPr>
          <w:sz w:val="18"/>
          <w:vertAlign w:val="baseline"/>
        </w:rPr>
        <w:t>and Guidance: (503122017-001)” (American Psychological Association, 2017), https://doi.org/10.1037/e503122017-001.</w:t>
      </w:r>
    </w:p>
    <w:p>
      <w:pPr>
        <w:spacing w:line="247" w:lineRule="auto" w:before="10"/>
        <w:ind w:left="323" w:right="74" w:hanging="1"/>
        <w:jc w:val="left"/>
        <w:rPr>
          <w:sz w:val="18"/>
        </w:rPr>
      </w:pPr>
      <w:r>
        <w:rPr>
          <w:sz w:val="18"/>
          <w:vertAlign w:val="superscript"/>
        </w:rPr>
        <w:t>63</w:t>
      </w:r>
      <w:r>
        <w:rPr>
          <w:spacing w:val="-12"/>
          <w:sz w:val="18"/>
          <w:vertAlign w:val="baseline"/>
        </w:rPr>
        <w:t> </w:t>
      </w:r>
      <w:r>
        <w:rPr>
          <w:sz w:val="18"/>
          <w:vertAlign w:val="baseline"/>
        </w:rPr>
        <w:t>Leo</w:t>
      </w:r>
      <w:r>
        <w:rPr>
          <w:spacing w:val="-3"/>
          <w:sz w:val="18"/>
          <w:vertAlign w:val="baseline"/>
        </w:rPr>
        <w:t> </w:t>
      </w:r>
      <w:r>
        <w:rPr>
          <w:sz w:val="18"/>
          <w:vertAlign w:val="baseline"/>
        </w:rPr>
        <w:t>Goldsmith,</w:t>
      </w:r>
      <w:r>
        <w:rPr>
          <w:spacing w:val="-3"/>
          <w:sz w:val="18"/>
          <w:vertAlign w:val="baseline"/>
        </w:rPr>
        <w:t> </w:t>
      </w:r>
      <w:r>
        <w:rPr>
          <w:sz w:val="18"/>
          <w:vertAlign w:val="baseline"/>
        </w:rPr>
        <w:t>Vanessa</w:t>
      </w:r>
      <w:r>
        <w:rPr>
          <w:spacing w:val="-2"/>
          <w:sz w:val="18"/>
          <w:vertAlign w:val="baseline"/>
        </w:rPr>
        <w:t> </w:t>
      </w:r>
      <w:r>
        <w:rPr>
          <w:sz w:val="18"/>
          <w:vertAlign w:val="baseline"/>
        </w:rPr>
        <w:t>Raditz,</w:t>
      </w:r>
      <w:r>
        <w:rPr>
          <w:spacing w:val="-3"/>
          <w:sz w:val="18"/>
          <w:vertAlign w:val="baseline"/>
        </w:rPr>
        <w:t> </w:t>
      </w:r>
      <w:r>
        <w:rPr>
          <w:sz w:val="18"/>
          <w:vertAlign w:val="baseline"/>
        </w:rPr>
        <w:t>and</w:t>
      </w:r>
      <w:r>
        <w:rPr>
          <w:spacing w:val="-2"/>
          <w:sz w:val="18"/>
          <w:vertAlign w:val="baseline"/>
        </w:rPr>
        <w:t> </w:t>
      </w:r>
      <w:r>
        <w:rPr>
          <w:sz w:val="18"/>
          <w:vertAlign w:val="baseline"/>
        </w:rPr>
        <w:t>Michael</w:t>
      </w:r>
      <w:r>
        <w:rPr>
          <w:spacing w:val="-3"/>
          <w:sz w:val="18"/>
          <w:vertAlign w:val="baseline"/>
        </w:rPr>
        <w:t> </w:t>
      </w:r>
      <w:r>
        <w:rPr>
          <w:sz w:val="18"/>
          <w:vertAlign w:val="baseline"/>
        </w:rPr>
        <w:t>Méndez,</w:t>
      </w:r>
      <w:r>
        <w:rPr>
          <w:spacing w:val="-3"/>
          <w:sz w:val="18"/>
          <w:vertAlign w:val="baseline"/>
        </w:rPr>
        <w:t> </w:t>
      </w:r>
      <w:r>
        <w:rPr>
          <w:sz w:val="18"/>
          <w:vertAlign w:val="baseline"/>
        </w:rPr>
        <w:t>“Queer</w:t>
      </w:r>
      <w:r>
        <w:rPr>
          <w:spacing w:val="-3"/>
          <w:sz w:val="18"/>
          <w:vertAlign w:val="baseline"/>
        </w:rPr>
        <w:t> </w:t>
      </w:r>
      <w:r>
        <w:rPr>
          <w:sz w:val="18"/>
          <w:vertAlign w:val="baseline"/>
        </w:rPr>
        <w:t>and</w:t>
      </w:r>
      <w:r>
        <w:rPr>
          <w:spacing w:val="-2"/>
          <w:sz w:val="18"/>
          <w:vertAlign w:val="baseline"/>
        </w:rPr>
        <w:t> </w:t>
      </w:r>
      <w:r>
        <w:rPr>
          <w:sz w:val="18"/>
          <w:vertAlign w:val="baseline"/>
        </w:rPr>
        <w:t>Present</w:t>
      </w:r>
      <w:r>
        <w:rPr>
          <w:spacing w:val="-3"/>
          <w:sz w:val="18"/>
          <w:vertAlign w:val="baseline"/>
        </w:rPr>
        <w:t> </w:t>
      </w:r>
      <w:r>
        <w:rPr>
          <w:sz w:val="18"/>
          <w:vertAlign w:val="baseline"/>
        </w:rPr>
        <w:t>Danger:</w:t>
      </w:r>
      <w:r>
        <w:rPr>
          <w:spacing w:val="-2"/>
          <w:sz w:val="18"/>
          <w:vertAlign w:val="baseline"/>
        </w:rPr>
        <w:t> </w:t>
      </w:r>
      <w:r>
        <w:rPr>
          <w:sz w:val="18"/>
          <w:vertAlign w:val="baseline"/>
        </w:rPr>
        <w:t>Understanding</w:t>
      </w:r>
      <w:r>
        <w:rPr>
          <w:spacing w:val="-2"/>
          <w:sz w:val="18"/>
          <w:vertAlign w:val="baseline"/>
        </w:rPr>
        <w:t> </w:t>
      </w:r>
      <w:r>
        <w:rPr>
          <w:sz w:val="18"/>
          <w:vertAlign w:val="baseline"/>
        </w:rPr>
        <w:t>the</w:t>
      </w:r>
      <w:r>
        <w:rPr>
          <w:spacing w:val="-2"/>
          <w:sz w:val="18"/>
          <w:vertAlign w:val="baseline"/>
        </w:rPr>
        <w:t> </w:t>
      </w:r>
      <w:r>
        <w:rPr>
          <w:sz w:val="18"/>
          <w:vertAlign w:val="baseline"/>
        </w:rPr>
        <w:t>Disparate</w:t>
      </w:r>
      <w:r>
        <w:rPr>
          <w:spacing w:val="-2"/>
          <w:sz w:val="18"/>
          <w:vertAlign w:val="baseline"/>
        </w:rPr>
        <w:t> </w:t>
      </w:r>
      <w:r>
        <w:rPr>
          <w:sz w:val="18"/>
          <w:vertAlign w:val="baseline"/>
        </w:rPr>
        <w:t>Impacts</w:t>
      </w:r>
      <w:r>
        <w:rPr>
          <w:spacing w:val="-2"/>
          <w:sz w:val="18"/>
          <w:vertAlign w:val="baseline"/>
        </w:rPr>
        <w:t> </w:t>
      </w:r>
      <w:r>
        <w:rPr>
          <w:sz w:val="18"/>
          <w:vertAlign w:val="baseline"/>
        </w:rPr>
        <w:t>of Disasters on LGBTQ+ Communities,” </w:t>
      </w:r>
      <w:r>
        <w:rPr>
          <w:i/>
          <w:sz w:val="18"/>
          <w:vertAlign w:val="baseline"/>
        </w:rPr>
        <w:t>Disasters </w:t>
      </w:r>
      <w:r>
        <w:rPr>
          <w:sz w:val="18"/>
          <w:vertAlign w:val="baseline"/>
        </w:rPr>
        <w:t>46, no. 4 (2022): 946–73, https://doi.org/10.1111/disa.12509.</w:t>
      </w:r>
    </w:p>
    <w:p>
      <w:pPr>
        <w:spacing w:line="244" w:lineRule="auto" w:before="12"/>
        <w:ind w:left="323" w:right="74" w:hanging="1"/>
        <w:jc w:val="left"/>
        <w:rPr>
          <w:sz w:val="18"/>
        </w:rPr>
      </w:pPr>
      <w:r>
        <w:rPr>
          <w:sz w:val="18"/>
          <w:vertAlign w:val="superscript"/>
        </w:rPr>
        <w:t>64</w:t>
      </w:r>
      <w:r>
        <w:rPr>
          <w:spacing w:val="-12"/>
          <w:sz w:val="18"/>
          <w:vertAlign w:val="baseline"/>
        </w:rPr>
        <w:t> </w:t>
      </w:r>
      <w:r>
        <w:rPr>
          <w:sz w:val="18"/>
          <w:vertAlign w:val="baseline"/>
        </w:rPr>
        <w:t>Dale</w:t>
      </w:r>
      <w:r>
        <w:rPr>
          <w:spacing w:val="-2"/>
          <w:sz w:val="18"/>
          <w:vertAlign w:val="baseline"/>
        </w:rPr>
        <w:t> </w:t>
      </w:r>
      <w:r>
        <w:rPr>
          <w:sz w:val="18"/>
          <w:vertAlign w:val="baseline"/>
        </w:rPr>
        <w:t>Dominey-Howes,</w:t>
      </w:r>
      <w:r>
        <w:rPr>
          <w:spacing w:val="-3"/>
          <w:sz w:val="18"/>
          <w:vertAlign w:val="baseline"/>
        </w:rPr>
        <w:t> </w:t>
      </w:r>
      <w:r>
        <w:rPr>
          <w:sz w:val="18"/>
          <w:vertAlign w:val="baseline"/>
        </w:rPr>
        <w:t>Andrew</w:t>
      </w:r>
      <w:r>
        <w:rPr>
          <w:spacing w:val="-3"/>
          <w:sz w:val="18"/>
          <w:vertAlign w:val="baseline"/>
        </w:rPr>
        <w:t> </w:t>
      </w:r>
      <w:r>
        <w:rPr>
          <w:sz w:val="18"/>
          <w:vertAlign w:val="baseline"/>
        </w:rPr>
        <w:t>Gorman-Murray,</w:t>
      </w:r>
      <w:r>
        <w:rPr>
          <w:spacing w:val="-3"/>
          <w:sz w:val="18"/>
          <w:vertAlign w:val="baseline"/>
        </w:rPr>
        <w:t> </w:t>
      </w:r>
      <w:r>
        <w:rPr>
          <w:sz w:val="18"/>
          <w:vertAlign w:val="baseline"/>
        </w:rPr>
        <w:t>and</w:t>
      </w:r>
      <w:r>
        <w:rPr>
          <w:spacing w:val="-2"/>
          <w:sz w:val="18"/>
          <w:vertAlign w:val="baseline"/>
        </w:rPr>
        <w:t> </w:t>
      </w:r>
      <w:r>
        <w:rPr>
          <w:sz w:val="18"/>
          <w:vertAlign w:val="baseline"/>
        </w:rPr>
        <w:t>Scott</w:t>
      </w:r>
      <w:r>
        <w:rPr>
          <w:spacing w:val="-3"/>
          <w:sz w:val="18"/>
          <w:vertAlign w:val="baseline"/>
        </w:rPr>
        <w:t> </w:t>
      </w:r>
      <w:r>
        <w:rPr>
          <w:sz w:val="18"/>
          <w:vertAlign w:val="baseline"/>
        </w:rPr>
        <w:t>McKinnon,</w:t>
      </w:r>
      <w:r>
        <w:rPr>
          <w:spacing w:val="-3"/>
          <w:sz w:val="18"/>
          <w:vertAlign w:val="baseline"/>
        </w:rPr>
        <w:t> </w:t>
      </w:r>
      <w:r>
        <w:rPr>
          <w:sz w:val="18"/>
          <w:vertAlign w:val="baseline"/>
        </w:rPr>
        <w:t>“Queering</w:t>
      </w:r>
      <w:r>
        <w:rPr>
          <w:spacing w:val="-2"/>
          <w:sz w:val="18"/>
          <w:vertAlign w:val="baseline"/>
        </w:rPr>
        <w:t> </w:t>
      </w:r>
      <w:r>
        <w:rPr>
          <w:sz w:val="18"/>
          <w:vertAlign w:val="baseline"/>
        </w:rPr>
        <w:t>Disasters:</w:t>
      </w:r>
      <w:r>
        <w:rPr>
          <w:spacing w:val="-2"/>
          <w:sz w:val="18"/>
          <w:vertAlign w:val="baseline"/>
        </w:rPr>
        <w:t> </w:t>
      </w:r>
      <w:r>
        <w:rPr>
          <w:sz w:val="18"/>
          <w:vertAlign w:val="baseline"/>
        </w:rPr>
        <w:t>On</w:t>
      </w:r>
      <w:r>
        <w:rPr>
          <w:spacing w:val="-2"/>
          <w:sz w:val="18"/>
          <w:vertAlign w:val="baseline"/>
        </w:rPr>
        <w:t> </w:t>
      </w:r>
      <w:r>
        <w:rPr>
          <w:sz w:val="18"/>
          <w:vertAlign w:val="baseline"/>
        </w:rPr>
        <w:t>the</w:t>
      </w:r>
      <w:r>
        <w:rPr>
          <w:spacing w:val="-2"/>
          <w:sz w:val="18"/>
          <w:vertAlign w:val="baseline"/>
        </w:rPr>
        <w:t> </w:t>
      </w:r>
      <w:r>
        <w:rPr>
          <w:sz w:val="18"/>
          <w:vertAlign w:val="baseline"/>
        </w:rPr>
        <w:t>Need</w:t>
      </w:r>
      <w:r>
        <w:rPr>
          <w:spacing w:val="-2"/>
          <w:sz w:val="18"/>
          <w:vertAlign w:val="baseline"/>
        </w:rPr>
        <w:t> </w:t>
      </w:r>
      <w:r>
        <w:rPr>
          <w:sz w:val="18"/>
          <w:vertAlign w:val="baseline"/>
        </w:rPr>
        <w:t>to</w:t>
      </w:r>
      <w:r>
        <w:rPr>
          <w:spacing w:val="-2"/>
          <w:sz w:val="18"/>
          <w:vertAlign w:val="baseline"/>
        </w:rPr>
        <w:t> </w:t>
      </w:r>
      <w:r>
        <w:rPr>
          <w:sz w:val="18"/>
          <w:vertAlign w:val="baseline"/>
        </w:rPr>
        <w:t>Account</w:t>
      </w:r>
      <w:r>
        <w:rPr>
          <w:spacing w:val="-3"/>
          <w:sz w:val="18"/>
          <w:vertAlign w:val="baseline"/>
        </w:rPr>
        <w:t> </w:t>
      </w:r>
      <w:r>
        <w:rPr>
          <w:sz w:val="18"/>
          <w:vertAlign w:val="baseline"/>
        </w:rPr>
        <w:t>for</w:t>
      </w:r>
      <w:r>
        <w:rPr>
          <w:spacing w:val="-3"/>
          <w:sz w:val="18"/>
          <w:vertAlign w:val="baseline"/>
        </w:rPr>
        <w:t> </w:t>
      </w:r>
      <w:r>
        <w:rPr>
          <w:sz w:val="18"/>
          <w:vertAlign w:val="baseline"/>
        </w:rPr>
        <w:t>LGBTI Experiences in Natural Disaster Contexts,” </w:t>
      </w:r>
      <w:r>
        <w:rPr>
          <w:i/>
          <w:sz w:val="18"/>
          <w:vertAlign w:val="baseline"/>
        </w:rPr>
        <w:t>Gender, Place &amp; Culture </w:t>
      </w:r>
      <w:r>
        <w:rPr>
          <w:sz w:val="18"/>
          <w:vertAlign w:val="baseline"/>
        </w:rPr>
        <w:t>21, no. 7 (August 9, 2014): 905–18, </w:t>
      </w:r>
      <w:r>
        <w:rPr>
          <w:spacing w:val="-2"/>
          <w:sz w:val="18"/>
          <w:vertAlign w:val="baseline"/>
        </w:rPr>
        <w:t>https://doi.org/10.1080/0966369X.2013.802673.</w:t>
      </w:r>
    </w:p>
    <w:p>
      <w:pPr>
        <w:spacing w:before="12"/>
        <w:ind w:left="323" w:right="0" w:firstLine="0"/>
        <w:jc w:val="left"/>
        <w:rPr>
          <w:sz w:val="18"/>
        </w:rPr>
      </w:pPr>
      <w:r>
        <w:rPr>
          <w:sz w:val="18"/>
          <w:vertAlign w:val="superscript"/>
        </w:rPr>
        <w:t>65</w:t>
      </w:r>
      <w:r>
        <w:rPr>
          <w:spacing w:val="-12"/>
          <w:sz w:val="18"/>
          <w:vertAlign w:val="baseline"/>
        </w:rPr>
        <w:t> </w:t>
      </w:r>
      <w:r>
        <w:rPr>
          <w:sz w:val="18"/>
          <w:vertAlign w:val="baseline"/>
        </w:rPr>
        <w:t>Goldsmith,</w:t>
      </w:r>
      <w:r>
        <w:rPr>
          <w:spacing w:val="-2"/>
          <w:sz w:val="18"/>
          <w:vertAlign w:val="baseline"/>
        </w:rPr>
        <w:t> </w:t>
      </w:r>
      <w:r>
        <w:rPr>
          <w:sz w:val="18"/>
          <w:vertAlign w:val="baseline"/>
        </w:rPr>
        <w:t>Raditz,</w:t>
      </w:r>
      <w:r>
        <w:rPr>
          <w:spacing w:val="-1"/>
          <w:sz w:val="18"/>
          <w:vertAlign w:val="baseline"/>
        </w:rPr>
        <w:t> </w:t>
      </w:r>
      <w:r>
        <w:rPr>
          <w:sz w:val="18"/>
          <w:vertAlign w:val="baseline"/>
        </w:rPr>
        <w:t>and Méndez,</w:t>
      </w:r>
      <w:r>
        <w:rPr>
          <w:spacing w:val="-1"/>
          <w:sz w:val="18"/>
          <w:vertAlign w:val="baseline"/>
        </w:rPr>
        <w:t> </w:t>
      </w:r>
      <w:r>
        <w:rPr>
          <w:sz w:val="18"/>
          <w:vertAlign w:val="baseline"/>
        </w:rPr>
        <w:t>“Queer</w:t>
      </w:r>
      <w:r>
        <w:rPr>
          <w:spacing w:val="-2"/>
          <w:sz w:val="18"/>
          <w:vertAlign w:val="baseline"/>
        </w:rPr>
        <w:t> </w:t>
      </w:r>
      <w:r>
        <w:rPr>
          <w:sz w:val="18"/>
          <w:vertAlign w:val="baseline"/>
        </w:rPr>
        <w:t>and</w:t>
      </w:r>
      <w:r>
        <w:rPr>
          <w:spacing w:val="-1"/>
          <w:sz w:val="18"/>
          <w:vertAlign w:val="baseline"/>
        </w:rPr>
        <w:t> </w:t>
      </w:r>
      <w:r>
        <w:rPr>
          <w:sz w:val="18"/>
          <w:vertAlign w:val="baseline"/>
        </w:rPr>
        <w:t>Present</w:t>
      </w:r>
      <w:r>
        <w:rPr>
          <w:spacing w:val="-1"/>
          <w:sz w:val="18"/>
          <w:vertAlign w:val="baseline"/>
        </w:rPr>
        <w:t> </w:t>
      </w:r>
      <w:r>
        <w:rPr>
          <w:spacing w:val="-2"/>
          <w:sz w:val="18"/>
          <w:vertAlign w:val="baseline"/>
        </w:rPr>
        <w:t>Danger.”</w:t>
      </w:r>
    </w:p>
    <w:p>
      <w:pPr>
        <w:spacing w:line="247" w:lineRule="auto" w:before="23"/>
        <w:ind w:left="323" w:right="1561" w:firstLine="0"/>
        <w:jc w:val="left"/>
        <w:rPr>
          <w:sz w:val="18"/>
        </w:rPr>
      </w:pPr>
      <w:r>
        <w:rPr>
          <w:sz w:val="18"/>
          <w:vertAlign w:val="superscript"/>
        </w:rPr>
        <w:t>66</w:t>
      </w:r>
      <w:r>
        <w:rPr>
          <w:spacing w:val="-1"/>
          <w:sz w:val="18"/>
          <w:vertAlign w:val="baseline"/>
        </w:rPr>
        <w:t> </w:t>
      </w:r>
      <w:r>
        <w:rPr>
          <w:sz w:val="18"/>
          <w:vertAlign w:val="baseline"/>
        </w:rPr>
        <w:t>“Transgender Evacuee Survives All Obstacles,” accessed March 14, 2023, </w:t>
      </w:r>
      <w:r>
        <w:rPr>
          <w:spacing w:val="-2"/>
          <w:sz w:val="18"/>
          <w:vertAlign w:val="baseline"/>
        </w:rPr>
        <w:t>https://</w:t>
      </w:r>
      <w:hyperlink r:id="rId639">
        <w:r>
          <w:rPr>
            <w:spacing w:val="-2"/>
            <w:sz w:val="18"/>
            <w:vertAlign w:val="baseline"/>
          </w:rPr>
          <w:t>www.chron.com/news/hurricanes/article/Transgender-evacuee-survives-all-obstacles-1931933.php.</w:t>
        </w:r>
      </w:hyperlink>
    </w:p>
    <w:p>
      <w:pPr>
        <w:spacing w:before="12"/>
        <w:ind w:left="323" w:right="0" w:firstLine="0"/>
        <w:jc w:val="left"/>
        <w:rPr>
          <w:sz w:val="18"/>
        </w:rPr>
      </w:pPr>
      <w:r>
        <w:rPr>
          <w:sz w:val="18"/>
          <w:vertAlign w:val="superscript"/>
        </w:rPr>
        <w:t>67</w:t>
      </w:r>
      <w:r>
        <w:rPr>
          <w:spacing w:val="-12"/>
          <w:sz w:val="18"/>
          <w:vertAlign w:val="baseline"/>
        </w:rPr>
        <w:t> </w:t>
      </w:r>
      <w:r>
        <w:rPr>
          <w:sz w:val="18"/>
          <w:vertAlign w:val="baseline"/>
        </w:rPr>
        <w:t>Goldsmith,</w:t>
      </w:r>
      <w:r>
        <w:rPr>
          <w:spacing w:val="-2"/>
          <w:sz w:val="18"/>
          <w:vertAlign w:val="baseline"/>
        </w:rPr>
        <w:t> </w:t>
      </w:r>
      <w:r>
        <w:rPr>
          <w:sz w:val="18"/>
          <w:vertAlign w:val="baseline"/>
        </w:rPr>
        <w:t>Raditz,</w:t>
      </w:r>
      <w:r>
        <w:rPr>
          <w:spacing w:val="-1"/>
          <w:sz w:val="18"/>
          <w:vertAlign w:val="baseline"/>
        </w:rPr>
        <w:t> </w:t>
      </w:r>
      <w:r>
        <w:rPr>
          <w:sz w:val="18"/>
          <w:vertAlign w:val="baseline"/>
        </w:rPr>
        <w:t>and Méndez,</w:t>
      </w:r>
      <w:r>
        <w:rPr>
          <w:spacing w:val="-1"/>
          <w:sz w:val="18"/>
          <w:vertAlign w:val="baseline"/>
        </w:rPr>
        <w:t> </w:t>
      </w:r>
      <w:r>
        <w:rPr>
          <w:sz w:val="18"/>
          <w:vertAlign w:val="baseline"/>
        </w:rPr>
        <w:t>“Queer</w:t>
      </w:r>
      <w:r>
        <w:rPr>
          <w:spacing w:val="-2"/>
          <w:sz w:val="18"/>
          <w:vertAlign w:val="baseline"/>
        </w:rPr>
        <w:t> </w:t>
      </w:r>
      <w:r>
        <w:rPr>
          <w:sz w:val="18"/>
          <w:vertAlign w:val="baseline"/>
        </w:rPr>
        <w:t>and</w:t>
      </w:r>
      <w:r>
        <w:rPr>
          <w:spacing w:val="-1"/>
          <w:sz w:val="18"/>
          <w:vertAlign w:val="baseline"/>
        </w:rPr>
        <w:t> </w:t>
      </w:r>
      <w:r>
        <w:rPr>
          <w:sz w:val="18"/>
          <w:vertAlign w:val="baseline"/>
        </w:rPr>
        <w:t>Present</w:t>
      </w:r>
      <w:r>
        <w:rPr>
          <w:spacing w:val="-1"/>
          <w:sz w:val="18"/>
          <w:vertAlign w:val="baseline"/>
        </w:rPr>
        <w:t> </w:t>
      </w:r>
      <w:r>
        <w:rPr>
          <w:spacing w:val="-2"/>
          <w:sz w:val="18"/>
          <w:vertAlign w:val="baseline"/>
        </w:rPr>
        <w:t>Danger.”</w:t>
      </w:r>
    </w:p>
    <w:p>
      <w:pPr>
        <w:spacing w:line="247" w:lineRule="auto" w:before="24"/>
        <w:ind w:left="323" w:right="393" w:hanging="1"/>
        <w:jc w:val="left"/>
        <w:rPr>
          <w:sz w:val="18"/>
        </w:rPr>
      </w:pPr>
      <w:r>
        <w:rPr>
          <w:sz w:val="18"/>
          <w:vertAlign w:val="superscript"/>
        </w:rPr>
        <w:t>68</w:t>
      </w:r>
      <w:r>
        <w:rPr>
          <w:spacing w:val="-12"/>
          <w:sz w:val="18"/>
          <w:vertAlign w:val="baseline"/>
        </w:rPr>
        <w:t> </w:t>
      </w:r>
      <w:r>
        <w:rPr>
          <w:sz w:val="18"/>
          <w:vertAlign w:val="baseline"/>
        </w:rPr>
        <w:t>Human</w:t>
      </w:r>
      <w:r>
        <w:rPr>
          <w:spacing w:val="-3"/>
          <w:sz w:val="18"/>
          <w:vertAlign w:val="baseline"/>
        </w:rPr>
        <w:t> </w:t>
      </w:r>
      <w:r>
        <w:rPr>
          <w:sz w:val="18"/>
          <w:vertAlign w:val="baseline"/>
        </w:rPr>
        <w:t>Rights</w:t>
      </w:r>
      <w:r>
        <w:rPr>
          <w:spacing w:val="-2"/>
          <w:sz w:val="18"/>
          <w:vertAlign w:val="baseline"/>
        </w:rPr>
        <w:t> </w:t>
      </w:r>
      <w:r>
        <w:rPr>
          <w:sz w:val="18"/>
          <w:vertAlign w:val="baseline"/>
        </w:rPr>
        <w:t>Campaign,</w:t>
      </w:r>
      <w:r>
        <w:rPr>
          <w:spacing w:val="-3"/>
          <w:sz w:val="18"/>
          <w:vertAlign w:val="baseline"/>
        </w:rPr>
        <w:t> </w:t>
      </w:r>
      <w:r>
        <w:rPr>
          <w:sz w:val="18"/>
          <w:vertAlign w:val="baseline"/>
        </w:rPr>
        <w:t>“Working</w:t>
      </w:r>
      <w:r>
        <w:rPr>
          <w:spacing w:val="-2"/>
          <w:sz w:val="18"/>
          <w:vertAlign w:val="baseline"/>
        </w:rPr>
        <w:t> </w:t>
      </w:r>
      <w:r>
        <w:rPr>
          <w:sz w:val="18"/>
          <w:vertAlign w:val="baseline"/>
        </w:rPr>
        <w:t>with</w:t>
      </w:r>
      <w:r>
        <w:rPr>
          <w:spacing w:val="-2"/>
          <w:sz w:val="18"/>
          <w:vertAlign w:val="baseline"/>
        </w:rPr>
        <w:t> </w:t>
      </w:r>
      <w:r>
        <w:rPr>
          <w:sz w:val="18"/>
          <w:vertAlign w:val="baseline"/>
        </w:rPr>
        <w:t>the</w:t>
      </w:r>
      <w:r>
        <w:rPr>
          <w:spacing w:val="-2"/>
          <w:sz w:val="18"/>
          <w:vertAlign w:val="baseline"/>
        </w:rPr>
        <w:t> </w:t>
      </w:r>
      <w:r>
        <w:rPr>
          <w:sz w:val="18"/>
          <w:vertAlign w:val="baseline"/>
        </w:rPr>
        <w:t>LGBTQ</w:t>
      </w:r>
      <w:r>
        <w:rPr>
          <w:spacing w:val="-2"/>
          <w:sz w:val="18"/>
          <w:vertAlign w:val="baseline"/>
        </w:rPr>
        <w:t> </w:t>
      </w:r>
      <w:r>
        <w:rPr>
          <w:sz w:val="18"/>
          <w:vertAlign w:val="baseline"/>
        </w:rPr>
        <w:t>Community:</w:t>
      </w:r>
      <w:r>
        <w:rPr>
          <w:spacing w:val="-2"/>
          <w:sz w:val="18"/>
          <w:vertAlign w:val="baseline"/>
        </w:rPr>
        <w:t> </w:t>
      </w:r>
      <w:r>
        <w:rPr>
          <w:sz w:val="18"/>
          <w:vertAlign w:val="baseline"/>
        </w:rPr>
        <w:t>A</w:t>
      </w:r>
      <w:r>
        <w:rPr>
          <w:spacing w:val="-2"/>
          <w:sz w:val="18"/>
          <w:vertAlign w:val="baseline"/>
        </w:rPr>
        <w:t> </w:t>
      </w:r>
      <w:r>
        <w:rPr>
          <w:sz w:val="18"/>
          <w:vertAlign w:val="baseline"/>
        </w:rPr>
        <w:t>Cultural</w:t>
      </w:r>
      <w:r>
        <w:rPr>
          <w:spacing w:val="-3"/>
          <w:sz w:val="18"/>
          <w:vertAlign w:val="baseline"/>
        </w:rPr>
        <w:t> </w:t>
      </w:r>
      <w:r>
        <w:rPr>
          <w:sz w:val="18"/>
          <w:vertAlign w:val="baseline"/>
        </w:rPr>
        <w:t>Competence</w:t>
      </w:r>
      <w:r>
        <w:rPr>
          <w:spacing w:val="-2"/>
          <w:sz w:val="18"/>
          <w:vertAlign w:val="baseline"/>
        </w:rPr>
        <w:t> </w:t>
      </w:r>
      <w:r>
        <w:rPr>
          <w:sz w:val="18"/>
          <w:vertAlign w:val="baseline"/>
        </w:rPr>
        <w:t>Guide</w:t>
      </w:r>
      <w:r>
        <w:rPr>
          <w:spacing w:val="-2"/>
          <w:sz w:val="18"/>
          <w:vertAlign w:val="baseline"/>
        </w:rPr>
        <w:t> </w:t>
      </w:r>
      <w:r>
        <w:rPr>
          <w:sz w:val="18"/>
          <w:vertAlign w:val="baseline"/>
        </w:rPr>
        <w:t>for</w:t>
      </w:r>
      <w:r>
        <w:rPr>
          <w:spacing w:val="-3"/>
          <w:sz w:val="18"/>
          <w:vertAlign w:val="baseline"/>
        </w:rPr>
        <w:t> </w:t>
      </w:r>
      <w:r>
        <w:rPr>
          <w:sz w:val="18"/>
          <w:vertAlign w:val="baseline"/>
        </w:rPr>
        <w:t>Emergency</w:t>
      </w:r>
      <w:r>
        <w:rPr>
          <w:spacing w:val="-2"/>
          <w:sz w:val="18"/>
          <w:vertAlign w:val="baseline"/>
        </w:rPr>
        <w:t> </w:t>
      </w:r>
      <w:r>
        <w:rPr>
          <w:sz w:val="18"/>
          <w:vertAlign w:val="baseline"/>
        </w:rPr>
        <w:t>Responders and Volunteers,” 2012, https://assets2.hrc.org/files/assets/resources/EmergencyResponders_-_LGBT_Competency.pdf.</w:t>
      </w:r>
    </w:p>
    <w:p>
      <w:pPr>
        <w:spacing w:after="0" w:line="247" w:lineRule="auto"/>
        <w:jc w:val="left"/>
        <w:rPr>
          <w:sz w:val="18"/>
        </w:rPr>
        <w:sectPr>
          <w:pgSz w:w="12240" w:h="15840"/>
          <w:pgMar w:header="800" w:footer="1459" w:top="1300" w:bottom="1720" w:left="1120" w:right="1300"/>
        </w:sectPr>
      </w:pPr>
    </w:p>
    <w:p>
      <w:pPr>
        <w:pStyle w:val="BodyText"/>
        <w:rPr>
          <w:sz w:val="34"/>
        </w:rPr>
      </w:pPr>
    </w:p>
    <w:p>
      <w:pPr>
        <w:pStyle w:val="BodyText"/>
        <w:spacing w:before="243"/>
        <w:rPr>
          <w:sz w:val="34"/>
        </w:rPr>
      </w:pPr>
    </w:p>
    <w:p>
      <w:pPr>
        <w:spacing w:before="1"/>
        <w:ind w:left="474" w:right="0" w:firstLine="0"/>
        <w:jc w:val="left"/>
        <w:rPr>
          <w:sz w:val="34"/>
        </w:rPr>
      </w:pPr>
      <w:bookmarkStart w:name="Flyer Template for Reports Gianna, Theo " w:id="829"/>
      <w:bookmarkEnd w:id="829"/>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5"/>
        <w:spacing w:line="213" w:lineRule="auto" w:before="139"/>
      </w:pPr>
      <w:r>
        <w:rPr>
          <w:color w:val="FFFFFF"/>
          <w:spacing w:val="-2"/>
          <w:w w:val="90"/>
        </w:rPr>
        <w:t>ENVIRONMENTAL </w:t>
      </w:r>
      <w:r>
        <w:rPr>
          <w:color w:val="FFFFFF"/>
          <w:spacing w:val="-26"/>
        </w:rPr>
        <w:t>JUSTICE</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02"/>
        <w:rPr>
          <w:rFonts w:ascii="Verdana"/>
          <w:b/>
          <w:sz w:val="20"/>
        </w:rPr>
      </w:pPr>
    </w:p>
    <w:p>
      <w:pPr>
        <w:spacing w:after="0"/>
        <w:rPr>
          <w:rFonts w:ascii="Verdana"/>
          <w:sz w:val="20"/>
        </w:rPr>
        <w:sectPr>
          <w:headerReference w:type="default" r:id="rId640"/>
          <w:footerReference w:type="default" r:id="rId641"/>
          <w:pgSz w:w="12240" w:h="15840"/>
          <w:pgMar w:header="0" w:footer="0" w:top="0" w:bottom="280" w:left="1120" w:right="340"/>
        </w:sectPr>
      </w:pPr>
    </w:p>
    <w:p>
      <w:pPr>
        <w:pStyle w:val="Heading9"/>
        <w:ind w:left="123"/>
        <w:rPr>
          <w:i/>
        </w:rPr>
      </w:pPr>
      <w:r>
        <w:rPr>
          <w:i/>
          <w:spacing w:val="11"/>
          <w:w w:val="125"/>
        </w:rPr>
        <w:t>ABOUT</w:t>
      </w:r>
    </w:p>
    <w:p>
      <w:pPr>
        <w:spacing w:line="278" w:lineRule="auto" w:before="12"/>
        <w:ind w:left="123" w:right="38" w:firstLine="0"/>
        <w:jc w:val="both"/>
        <w:rPr>
          <w:rFonts w:ascii="Georgia"/>
          <w:sz w:val="19"/>
        </w:rPr>
      </w:pPr>
      <w:r>
        <w:rPr>
          <w:rFonts w:ascii="Georgia"/>
          <w:w w:val="105"/>
          <w:sz w:val="19"/>
        </w:rPr>
        <w:t>Environmental</w:t>
      </w:r>
      <w:r>
        <w:rPr>
          <w:rFonts w:ascii="Georgia"/>
          <w:w w:val="105"/>
          <w:sz w:val="19"/>
        </w:rPr>
        <w:t> justice</w:t>
      </w:r>
      <w:r>
        <w:rPr>
          <w:rFonts w:ascii="Georgia"/>
          <w:w w:val="105"/>
          <w:sz w:val="19"/>
        </w:rPr>
        <w:t> is</w:t>
      </w:r>
      <w:r>
        <w:rPr>
          <w:rFonts w:ascii="Georgia"/>
          <w:w w:val="105"/>
          <w:sz w:val="19"/>
        </w:rPr>
        <w:t> a</w:t>
      </w:r>
      <w:r>
        <w:rPr>
          <w:rFonts w:ascii="Georgia"/>
          <w:w w:val="105"/>
          <w:sz w:val="19"/>
        </w:rPr>
        <w:t> key</w:t>
      </w:r>
      <w:r>
        <w:rPr>
          <w:rFonts w:ascii="Georgia"/>
          <w:w w:val="105"/>
          <w:sz w:val="19"/>
        </w:rPr>
        <w:t> element</w:t>
      </w:r>
      <w:r>
        <w:rPr>
          <w:rFonts w:ascii="Georgia"/>
          <w:w w:val="105"/>
          <w:sz w:val="19"/>
        </w:rPr>
        <w:t> of</w:t>
      </w:r>
      <w:r>
        <w:rPr>
          <w:rFonts w:ascii="Georgia"/>
          <w:w w:val="105"/>
          <w:sz w:val="19"/>
        </w:rPr>
        <w:t> the</w:t>
      </w:r>
      <w:r>
        <w:rPr>
          <w:rFonts w:ascii="Georgia"/>
          <w:w w:val="105"/>
          <w:sz w:val="19"/>
        </w:rPr>
        <w:t> </w:t>
      </w:r>
      <w:r>
        <w:rPr>
          <w:rFonts w:ascii="Georgia"/>
          <w:w w:val="105"/>
          <w:sz w:val="19"/>
        </w:rPr>
        <w:t>complex</w:t>
      </w:r>
      <w:r>
        <w:rPr>
          <w:rFonts w:ascii="Georgia"/>
          <w:spacing w:val="40"/>
          <w:w w:val="105"/>
          <w:sz w:val="19"/>
        </w:rPr>
        <w:t> </w:t>
      </w:r>
      <w:r>
        <w:rPr>
          <w:rFonts w:ascii="Georgia"/>
          <w:w w:val="105"/>
          <w:sz w:val="19"/>
        </w:rPr>
        <w:t>web of inequities that impact the health and well-being of LGBTQ</w:t>
      </w:r>
      <w:r>
        <w:rPr>
          <w:rFonts w:ascii="Georgia"/>
          <w:w w:val="105"/>
          <w:sz w:val="19"/>
        </w:rPr>
        <w:t> youth,</w:t>
      </w:r>
      <w:r>
        <w:rPr>
          <w:rFonts w:ascii="Georgia"/>
          <w:w w:val="105"/>
          <w:sz w:val="19"/>
        </w:rPr>
        <w:t> particularly</w:t>
      </w:r>
      <w:r>
        <w:rPr>
          <w:rFonts w:ascii="Georgia"/>
          <w:w w:val="105"/>
          <w:sz w:val="19"/>
        </w:rPr>
        <w:t> LGBTQ</w:t>
      </w:r>
      <w:r>
        <w:rPr>
          <w:rFonts w:ascii="Georgia"/>
          <w:w w:val="105"/>
          <w:sz w:val="19"/>
        </w:rPr>
        <w:t> youth</w:t>
      </w:r>
      <w:r>
        <w:rPr>
          <w:rFonts w:ascii="Georgia"/>
          <w:w w:val="105"/>
          <w:sz w:val="19"/>
        </w:rPr>
        <w:t> of</w:t>
      </w:r>
      <w:r>
        <w:rPr>
          <w:rFonts w:ascii="Georgia"/>
          <w:w w:val="105"/>
          <w:sz w:val="19"/>
        </w:rPr>
        <w:t> color</w:t>
      </w:r>
      <w:r>
        <w:rPr>
          <w:rFonts w:ascii="Georgia"/>
          <w:w w:val="105"/>
          <w:sz w:val="19"/>
        </w:rPr>
        <w:t> and Indigenous,</w:t>
      </w:r>
      <w:r>
        <w:rPr>
          <w:rFonts w:ascii="Georgia"/>
          <w:spacing w:val="-6"/>
          <w:w w:val="105"/>
          <w:sz w:val="19"/>
        </w:rPr>
        <w:t> </w:t>
      </w:r>
      <w:r>
        <w:rPr>
          <w:rFonts w:ascii="Georgia"/>
          <w:w w:val="105"/>
          <w:sz w:val="19"/>
        </w:rPr>
        <w:t>immigrant,</w:t>
      </w:r>
      <w:r>
        <w:rPr>
          <w:rFonts w:ascii="Georgia"/>
          <w:spacing w:val="-6"/>
          <w:w w:val="105"/>
          <w:sz w:val="19"/>
        </w:rPr>
        <w:t> </w:t>
      </w:r>
      <w:r>
        <w:rPr>
          <w:rFonts w:ascii="Georgia"/>
          <w:w w:val="105"/>
          <w:sz w:val="19"/>
        </w:rPr>
        <w:t>disabled,</w:t>
      </w:r>
      <w:r>
        <w:rPr>
          <w:rFonts w:ascii="Georgia"/>
          <w:spacing w:val="-6"/>
          <w:w w:val="105"/>
          <w:sz w:val="19"/>
        </w:rPr>
        <w:t> </w:t>
      </w:r>
      <w:r>
        <w:rPr>
          <w:rFonts w:ascii="Georgia"/>
          <w:w w:val="105"/>
          <w:sz w:val="19"/>
        </w:rPr>
        <w:t>and</w:t>
      </w:r>
      <w:r>
        <w:rPr>
          <w:rFonts w:ascii="Georgia"/>
          <w:spacing w:val="-6"/>
          <w:w w:val="105"/>
          <w:sz w:val="19"/>
        </w:rPr>
        <w:t> </w:t>
      </w:r>
      <w:r>
        <w:rPr>
          <w:rFonts w:ascii="Georgia"/>
          <w:w w:val="105"/>
          <w:sz w:val="19"/>
        </w:rPr>
        <w:t>low-income</w:t>
      </w:r>
      <w:r>
        <w:rPr>
          <w:rFonts w:ascii="Georgia"/>
          <w:spacing w:val="-6"/>
          <w:w w:val="105"/>
          <w:sz w:val="19"/>
        </w:rPr>
        <w:t> </w:t>
      </w:r>
      <w:r>
        <w:rPr>
          <w:rFonts w:ascii="Georgia"/>
          <w:w w:val="105"/>
          <w:sz w:val="19"/>
        </w:rPr>
        <w:t>LGBTQ youth.</w:t>
      </w:r>
      <w:r>
        <w:rPr>
          <w:rFonts w:ascii="Georgia"/>
          <w:w w:val="105"/>
          <w:sz w:val="19"/>
        </w:rPr>
        <w:t> The</w:t>
      </w:r>
      <w:r>
        <w:rPr>
          <w:rFonts w:ascii="Georgia"/>
          <w:w w:val="105"/>
          <w:sz w:val="19"/>
        </w:rPr>
        <w:t> necessity</w:t>
      </w:r>
      <w:r>
        <w:rPr>
          <w:rFonts w:ascii="Georgia"/>
          <w:w w:val="105"/>
          <w:sz w:val="19"/>
        </w:rPr>
        <w:t> of</w:t>
      </w:r>
      <w:r>
        <w:rPr>
          <w:rFonts w:ascii="Georgia"/>
          <w:w w:val="105"/>
          <w:sz w:val="19"/>
        </w:rPr>
        <w:t> examining</w:t>
      </w:r>
      <w:r>
        <w:rPr>
          <w:rFonts w:ascii="Georgia"/>
          <w:w w:val="105"/>
          <w:sz w:val="19"/>
        </w:rPr>
        <w:t> the</w:t>
      </w:r>
      <w:r>
        <w:rPr>
          <w:rFonts w:ascii="Georgia"/>
          <w:w w:val="105"/>
          <w:sz w:val="19"/>
        </w:rPr>
        <w:t> undue environmental</w:t>
      </w:r>
      <w:r>
        <w:rPr>
          <w:rFonts w:ascii="Georgia"/>
          <w:w w:val="105"/>
          <w:sz w:val="19"/>
        </w:rPr>
        <w:t> burdens</w:t>
      </w:r>
      <w:r>
        <w:rPr>
          <w:rFonts w:ascii="Georgia"/>
          <w:w w:val="105"/>
          <w:sz w:val="19"/>
        </w:rPr>
        <w:t> placed</w:t>
      </w:r>
      <w:r>
        <w:rPr>
          <w:rFonts w:ascii="Georgia"/>
          <w:w w:val="105"/>
          <w:sz w:val="19"/>
        </w:rPr>
        <w:t> on</w:t>
      </w:r>
      <w:r>
        <w:rPr>
          <w:rFonts w:ascii="Georgia"/>
          <w:w w:val="105"/>
          <w:sz w:val="19"/>
        </w:rPr>
        <w:t> LGBTQ</w:t>
      </w:r>
      <w:r>
        <w:rPr>
          <w:rFonts w:ascii="Georgia"/>
          <w:w w:val="105"/>
          <w:sz w:val="19"/>
        </w:rPr>
        <w:t> youth</w:t>
      </w:r>
      <w:r>
        <w:rPr>
          <w:rFonts w:ascii="Georgia"/>
          <w:w w:val="105"/>
          <w:sz w:val="19"/>
        </w:rPr>
        <w:t> is undeniable;</w:t>
      </w:r>
      <w:r>
        <w:rPr>
          <w:rFonts w:ascii="Georgia"/>
          <w:w w:val="105"/>
          <w:sz w:val="19"/>
        </w:rPr>
        <w:t> exposure</w:t>
      </w:r>
      <w:r>
        <w:rPr>
          <w:rFonts w:ascii="Georgia"/>
          <w:w w:val="105"/>
          <w:sz w:val="19"/>
        </w:rPr>
        <w:t> to</w:t>
      </w:r>
      <w:r>
        <w:rPr>
          <w:rFonts w:ascii="Georgia"/>
          <w:w w:val="105"/>
          <w:sz w:val="19"/>
        </w:rPr>
        <w:t> environmental</w:t>
      </w:r>
      <w:r>
        <w:rPr>
          <w:rFonts w:ascii="Georgia"/>
          <w:w w:val="105"/>
          <w:sz w:val="19"/>
        </w:rPr>
        <w:t> stressors</w:t>
      </w:r>
      <w:r>
        <w:rPr>
          <w:rFonts w:ascii="Georgia"/>
          <w:w w:val="105"/>
          <w:sz w:val="19"/>
        </w:rPr>
        <w:t> such</w:t>
      </w:r>
      <w:r>
        <w:rPr>
          <w:rFonts w:ascii="Georgia"/>
          <w:w w:val="105"/>
          <w:sz w:val="19"/>
        </w:rPr>
        <w:t> as air</w:t>
      </w:r>
      <w:r>
        <w:rPr>
          <w:rFonts w:ascii="Georgia"/>
          <w:w w:val="105"/>
          <w:sz w:val="19"/>
        </w:rPr>
        <w:t> pollution</w:t>
      </w:r>
      <w:r>
        <w:rPr>
          <w:rFonts w:ascii="Georgia"/>
          <w:w w:val="105"/>
          <w:sz w:val="19"/>
        </w:rPr>
        <w:t> and</w:t>
      </w:r>
      <w:r>
        <w:rPr>
          <w:rFonts w:ascii="Georgia"/>
          <w:w w:val="105"/>
          <w:sz w:val="19"/>
        </w:rPr>
        <w:t> toxic</w:t>
      </w:r>
      <w:r>
        <w:rPr>
          <w:rFonts w:ascii="Georgia"/>
          <w:w w:val="105"/>
          <w:sz w:val="19"/>
        </w:rPr>
        <w:t> chemicals</w:t>
      </w:r>
      <w:r>
        <w:rPr>
          <w:rFonts w:ascii="Georgia"/>
          <w:w w:val="105"/>
          <w:sz w:val="19"/>
        </w:rPr>
        <w:t> exacerbates</w:t>
      </w:r>
      <w:r>
        <w:rPr>
          <w:rFonts w:ascii="Georgia"/>
          <w:w w:val="105"/>
          <w:sz w:val="19"/>
        </w:rPr>
        <w:t> the</w:t>
      </w:r>
      <w:r>
        <w:rPr>
          <w:rFonts w:ascii="Georgia"/>
          <w:w w:val="105"/>
          <w:sz w:val="19"/>
        </w:rPr>
        <w:t> health and</w:t>
      </w:r>
      <w:r>
        <w:rPr>
          <w:rFonts w:ascii="Georgia"/>
          <w:w w:val="105"/>
          <w:sz w:val="19"/>
        </w:rPr>
        <w:t> economic</w:t>
      </w:r>
      <w:r>
        <w:rPr>
          <w:rFonts w:ascii="Georgia"/>
          <w:w w:val="105"/>
          <w:sz w:val="19"/>
        </w:rPr>
        <w:t> inequalities</w:t>
      </w:r>
      <w:r>
        <w:rPr>
          <w:rFonts w:ascii="Georgia"/>
          <w:w w:val="105"/>
          <w:sz w:val="19"/>
        </w:rPr>
        <w:t> LGBTQ</w:t>
      </w:r>
      <w:r>
        <w:rPr>
          <w:rFonts w:ascii="Georgia"/>
          <w:w w:val="105"/>
          <w:sz w:val="19"/>
        </w:rPr>
        <w:t> communities</w:t>
      </w:r>
      <w:r>
        <w:rPr>
          <w:rFonts w:ascii="Georgia"/>
          <w:w w:val="105"/>
          <w:sz w:val="19"/>
        </w:rPr>
        <w:t> already face.</w:t>
      </w:r>
      <w:r>
        <w:rPr>
          <w:rFonts w:ascii="Georgia"/>
          <w:w w:val="105"/>
          <w:sz w:val="19"/>
        </w:rPr>
        <w:t> QTBIPOC</w:t>
      </w:r>
      <w:r>
        <w:rPr>
          <w:rFonts w:ascii="Georgia"/>
          <w:w w:val="105"/>
          <w:sz w:val="19"/>
        </w:rPr>
        <w:t> youth</w:t>
      </w:r>
      <w:r>
        <w:rPr>
          <w:rFonts w:ascii="Georgia"/>
          <w:w w:val="105"/>
          <w:sz w:val="19"/>
        </w:rPr>
        <w:t> experience</w:t>
      </w:r>
      <w:r>
        <w:rPr>
          <w:rFonts w:ascii="Georgia"/>
          <w:w w:val="105"/>
          <w:sz w:val="19"/>
        </w:rPr>
        <w:t> compounding</w:t>
      </w:r>
      <w:r>
        <w:rPr>
          <w:rFonts w:ascii="Georgia"/>
          <w:w w:val="105"/>
          <w:sz w:val="19"/>
        </w:rPr>
        <w:t> effects from</w:t>
      </w:r>
      <w:r>
        <w:rPr>
          <w:rFonts w:ascii="Georgia"/>
          <w:w w:val="105"/>
          <w:sz w:val="19"/>
        </w:rPr>
        <w:t> multiple</w:t>
      </w:r>
      <w:r>
        <w:rPr>
          <w:rFonts w:ascii="Georgia"/>
          <w:w w:val="105"/>
          <w:sz w:val="19"/>
        </w:rPr>
        <w:t> overlapping</w:t>
      </w:r>
      <w:r>
        <w:rPr>
          <w:rFonts w:ascii="Georgia"/>
          <w:w w:val="105"/>
          <w:sz w:val="19"/>
        </w:rPr>
        <w:t> systems</w:t>
      </w:r>
      <w:r>
        <w:rPr>
          <w:rFonts w:ascii="Georgia"/>
          <w:w w:val="105"/>
          <w:sz w:val="19"/>
        </w:rPr>
        <w:t> of</w:t>
      </w:r>
      <w:r>
        <w:rPr>
          <w:rFonts w:ascii="Georgia"/>
          <w:w w:val="105"/>
          <w:sz w:val="19"/>
        </w:rPr>
        <w:t> oppression. Developing</w:t>
      </w:r>
      <w:r>
        <w:rPr>
          <w:rFonts w:ascii="Georgia"/>
          <w:w w:val="105"/>
          <w:sz w:val="19"/>
        </w:rPr>
        <w:t> a</w:t>
      </w:r>
      <w:r>
        <w:rPr>
          <w:rFonts w:ascii="Georgia"/>
          <w:w w:val="105"/>
          <w:sz w:val="19"/>
        </w:rPr>
        <w:t> more</w:t>
      </w:r>
      <w:r>
        <w:rPr>
          <w:rFonts w:ascii="Georgia"/>
          <w:w w:val="105"/>
          <w:sz w:val="19"/>
        </w:rPr>
        <w:t> complete</w:t>
      </w:r>
      <w:r>
        <w:rPr>
          <w:rFonts w:ascii="Georgia"/>
          <w:w w:val="105"/>
          <w:sz w:val="19"/>
        </w:rPr>
        <w:t> picture</w:t>
      </w:r>
      <w:r>
        <w:rPr>
          <w:rFonts w:ascii="Georgia"/>
          <w:w w:val="105"/>
          <w:sz w:val="19"/>
        </w:rPr>
        <w:t> of</w:t>
      </w:r>
      <w:r>
        <w:rPr>
          <w:rFonts w:ascii="Georgia"/>
          <w:w w:val="105"/>
          <w:sz w:val="19"/>
        </w:rPr>
        <w:t> the</w:t>
      </w:r>
      <w:r>
        <w:rPr>
          <w:rFonts w:ascii="Georgia"/>
          <w:w w:val="105"/>
          <w:sz w:val="19"/>
        </w:rPr>
        <w:t> burdens</w:t>
      </w:r>
      <w:r>
        <w:rPr>
          <w:rFonts w:ascii="Georgia"/>
          <w:w w:val="105"/>
          <w:sz w:val="19"/>
        </w:rPr>
        <w:t> and injustices</w:t>
      </w:r>
      <w:r>
        <w:rPr>
          <w:rFonts w:ascii="Georgia"/>
          <w:w w:val="105"/>
          <w:sz w:val="19"/>
        </w:rPr>
        <w:t> faced</w:t>
      </w:r>
      <w:r>
        <w:rPr>
          <w:rFonts w:ascii="Georgia"/>
          <w:w w:val="105"/>
          <w:sz w:val="19"/>
        </w:rPr>
        <w:t> by</w:t>
      </w:r>
      <w:r>
        <w:rPr>
          <w:rFonts w:ascii="Georgia"/>
          <w:w w:val="105"/>
          <w:sz w:val="19"/>
        </w:rPr>
        <w:t> LGBTQ</w:t>
      </w:r>
      <w:r>
        <w:rPr>
          <w:rFonts w:ascii="Georgia"/>
          <w:w w:val="105"/>
          <w:sz w:val="19"/>
        </w:rPr>
        <w:t> youth</w:t>
      </w:r>
      <w:r>
        <w:rPr>
          <w:rFonts w:ascii="Georgia"/>
          <w:w w:val="105"/>
          <w:sz w:val="19"/>
        </w:rPr>
        <w:t> in</w:t>
      </w:r>
      <w:r>
        <w:rPr>
          <w:rFonts w:ascii="Georgia"/>
          <w:w w:val="105"/>
          <w:sz w:val="19"/>
        </w:rPr>
        <w:t> Massachusetts requires</w:t>
      </w:r>
      <w:r>
        <w:rPr>
          <w:rFonts w:ascii="Georgia"/>
          <w:w w:val="105"/>
          <w:sz w:val="19"/>
        </w:rPr>
        <w:t> bringing</w:t>
      </w:r>
      <w:r>
        <w:rPr>
          <w:rFonts w:ascii="Georgia"/>
          <w:w w:val="105"/>
          <w:sz w:val="19"/>
        </w:rPr>
        <w:t> intersectionality</w:t>
      </w:r>
      <w:r>
        <w:rPr>
          <w:rFonts w:ascii="Georgia"/>
          <w:w w:val="105"/>
          <w:sz w:val="19"/>
        </w:rPr>
        <w:t> to</w:t>
      </w:r>
      <w:r>
        <w:rPr>
          <w:rFonts w:ascii="Georgia"/>
          <w:w w:val="105"/>
          <w:sz w:val="19"/>
        </w:rPr>
        <w:t> the</w:t>
      </w:r>
      <w:r>
        <w:rPr>
          <w:rFonts w:ascii="Georgia"/>
          <w:w w:val="105"/>
          <w:sz w:val="19"/>
        </w:rPr>
        <w:t> forefront</w:t>
      </w:r>
      <w:r>
        <w:rPr>
          <w:rFonts w:ascii="Georgia"/>
          <w:w w:val="105"/>
          <w:sz w:val="19"/>
        </w:rPr>
        <w:t> and understanding</w:t>
      </w:r>
      <w:r>
        <w:rPr>
          <w:rFonts w:ascii="Georgia"/>
          <w:w w:val="105"/>
          <w:sz w:val="19"/>
        </w:rPr>
        <w:t> the</w:t>
      </w:r>
      <w:r>
        <w:rPr>
          <w:rFonts w:ascii="Georgia"/>
          <w:w w:val="105"/>
          <w:sz w:val="19"/>
        </w:rPr>
        <w:t> interactions</w:t>
      </w:r>
      <w:r>
        <w:rPr>
          <w:rFonts w:ascii="Georgia"/>
          <w:w w:val="105"/>
          <w:sz w:val="19"/>
        </w:rPr>
        <w:t> between</w:t>
      </w:r>
      <w:r>
        <w:rPr>
          <w:rFonts w:ascii="Georgia"/>
          <w:w w:val="105"/>
          <w:sz w:val="19"/>
        </w:rPr>
        <w:t> the</w:t>
      </w:r>
      <w:r>
        <w:rPr>
          <w:rFonts w:ascii="Georgia"/>
          <w:w w:val="105"/>
          <w:sz w:val="19"/>
        </w:rPr>
        <w:t> multiple social,</w:t>
      </w:r>
      <w:r>
        <w:rPr>
          <w:rFonts w:ascii="Georgia"/>
          <w:spacing w:val="-13"/>
          <w:w w:val="105"/>
          <w:sz w:val="19"/>
        </w:rPr>
        <w:t> </w:t>
      </w:r>
      <w:r>
        <w:rPr>
          <w:rFonts w:ascii="Georgia"/>
          <w:w w:val="105"/>
          <w:sz w:val="19"/>
        </w:rPr>
        <w:t>economic,</w:t>
      </w:r>
      <w:r>
        <w:rPr>
          <w:rFonts w:ascii="Georgia"/>
          <w:spacing w:val="-12"/>
          <w:w w:val="105"/>
          <w:sz w:val="19"/>
        </w:rPr>
        <w:t> </w:t>
      </w:r>
      <w:r>
        <w:rPr>
          <w:rFonts w:ascii="Georgia"/>
          <w:w w:val="105"/>
          <w:sz w:val="19"/>
        </w:rPr>
        <w:t>environmental,</w:t>
      </w:r>
      <w:r>
        <w:rPr>
          <w:rFonts w:ascii="Georgia"/>
          <w:spacing w:val="-12"/>
          <w:w w:val="105"/>
          <w:sz w:val="19"/>
        </w:rPr>
        <w:t> </w:t>
      </w:r>
      <w:r>
        <w:rPr>
          <w:rFonts w:ascii="Georgia"/>
          <w:w w:val="105"/>
          <w:sz w:val="19"/>
        </w:rPr>
        <w:t>and</w:t>
      </w:r>
      <w:r>
        <w:rPr>
          <w:rFonts w:ascii="Georgia"/>
          <w:spacing w:val="-12"/>
          <w:w w:val="105"/>
          <w:sz w:val="19"/>
        </w:rPr>
        <w:t> </w:t>
      </w:r>
      <w:r>
        <w:rPr>
          <w:rFonts w:ascii="Georgia"/>
          <w:w w:val="105"/>
          <w:sz w:val="19"/>
        </w:rPr>
        <w:t>institutional</w:t>
      </w:r>
      <w:r>
        <w:rPr>
          <w:rFonts w:ascii="Georgia"/>
          <w:spacing w:val="-12"/>
          <w:w w:val="105"/>
          <w:sz w:val="19"/>
        </w:rPr>
        <w:t> </w:t>
      </w:r>
      <w:r>
        <w:rPr>
          <w:rFonts w:ascii="Georgia"/>
          <w:w w:val="105"/>
          <w:sz w:val="19"/>
        </w:rPr>
        <w:t>systems that impact LGBTQ youth.</w:t>
      </w:r>
    </w:p>
    <w:p>
      <w:pPr>
        <w:spacing w:before="475"/>
        <w:ind w:left="0" w:right="286" w:firstLine="0"/>
        <w:jc w:val="center"/>
        <w:rPr>
          <w:rFonts w:ascii="Verdana"/>
          <w:b/>
          <w:sz w:val="61"/>
        </w:rPr>
      </w:pPr>
      <w:r>
        <w:rPr/>
        <w:br w:type="column"/>
      </w:r>
      <w:r>
        <w:rPr>
          <w:rFonts w:ascii="Verdana"/>
          <w:b/>
          <w:emboss/>
          <w:color w:val="00BE62"/>
          <w:spacing w:val="15"/>
          <w:w w:val="85"/>
          <w:sz w:val="61"/>
        </w:rPr>
        <w:t>38%</w:t>
      </w:r>
    </w:p>
    <w:p>
      <w:pPr>
        <w:spacing w:line="278" w:lineRule="auto" w:before="26"/>
        <w:ind w:left="504" w:right="989" w:firstLine="0"/>
        <w:jc w:val="center"/>
        <w:rPr>
          <w:rFonts w:ascii="Georgia"/>
          <w:sz w:val="20"/>
        </w:rPr>
      </w:pPr>
      <w:r>
        <w:rPr>
          <w:rFonts w:ascii="Georgia"/>
          <w:w w:val="105"/>
          <w:sz w:val="20"/>
        </w:rPr>
        <w:t>more</w:t>
      </w:r>
      <w:r>
        <w:rPr>
          <w:rFonts w:ascii="Georgia"/>
          <w:spacing w:val="-12"/>
          <w:w w:val="105"/>
          <w:sz w:val="20"/>
        </w:rPr>
        <w:t> </w:t>
      </w:r>
      <w:r>
        <w:rPr>
          <w:rFonts w:ascii="Georgia"/>
          <w:w w:val="105"/>
          <w:sz w:val="20"/>
        </w:rPr>
        <w:t>likely</w:t>
      </w:r>
      <w:r>
        <w:rPr>
          <w:rFonts w:ascii="Georgia"/>
          <w:spacing w:val="-12"/>
          <w:w w:val="105"/>
          <w:sz w:val="20"/>
        </w:rPr>
        <w:t> </w:t>
      </w:r>
      <w:r>
        <w:rPr>
          <w:rFonts w:ascii="Georgia"/>
          <w:w w:val="105"/>
          <w:sz w:val="20"/>
        </w:rPr>
        <w:t>to</w:t>
      </w:r>
      <w:r>
        <w:rPr>
          <w:rFonts w:ascii="Georgia"/>
          <w:spacing w:val="-13"/>
          <w:w w:val="105"/>
          <w:sz w:val="20"/>
        </w:rPr>
        <w:t> </w:t>
      </w:r>
      <w:r>
        <w:rPr>
          <w:rFonts w:ascii="Georgia"/>
          <w:w w:val="105"/>
          <w:sz w:val="20"/>
        </w:rPr>
        <w:t>be</w:t>
      </w:r>
      <w:r>
        <w:rPr>
          <w:rFonts w:ascii="Georgia"/>
          <w:spacing w:val="-12"/>
          <w:w w:val="105"/>
          <w:sz w:val="20"/>
        </w:rPr>
        <w:t> </w:t>
      </w:r>
      <w:r>
        <w:rPr>
          <w:rFonts w:ascii="Georgia"/>
          <w:w w:val="105"/>
          <w:sz w:val="20"/>
        </w:rPr>
        <w:t>exposed</w:t>
      </w:r>
      <w:r>
        <w:rPr>
          <w:rFonts w:ascii="Georgia"/>
          <w:spacing w:val="-12"/>
          <w:w w:val="105"/>
          <w:sz w:val="20"/>
        </w:rPr>
        <w:t> </w:t>
      </w:r>
      <w:r>
        <w:rPr>
          <w:rFonts w:ascii="Georgia"/>
          <w:w w:val="105"/>
          <w:sz w:val="20"/>
        </w:rPr>
        <w:t>to</w:t>
      </w:r>
      <w:r>
        <w:rPr>
          <w:rFonts w:ascii="Georgia"/>
          <w:spacing w:val="-12"/>
          <w:w w:val="105"/>
          <w:sz w:val="20"/>
        </w:rPr>
        <w:t> </w:t>
      </w:r>
      <w:r>
        <w:rPr>
          <w:rFonts w:ascii="Georgia"/>
          <w:w w:val="105"/>
          <w:sz w:val="20"/>
        </w:rPr>
        <w:t>second- hand</w:t>
      </w:r>
      <w:r>
        <w:rPr>
          <w:rFonts w:ascii="Georgia"/>
          <w:spacing w:val="-6"/>
          <w:w w:val="105"/>
          <w:sz w:val="20"/>
        </w:rPr>
        <w:t> </w:t>
      </w:r>
      <w:r>
        <w:rPr>
          <w:rFonts w:ascii="Georgia"/>
          <w:w w:val="105"/>
          <w:sz w:val="20"/>
        </w:rPr>
        <w:t>smoke</w:t>
      </w:r>
      <w:r>
        <w:rPr>
          <w:rFonts w:ascii="Georgia"/>
          <w:spacing w:val="-6"/>
          <w:w w:val="105"/>
          <w:sz w:val="20"/>
        </w:rPr>
        <w:t> </w:t>
      </w:r>
      <w:r>
        <w:rPr>
          <w:rFonts w:ascii="Georgia"/>
          <w:w w:val="105"/>
          <w:sz w:val="20"/>
        </w:rPr>
        <w:t>in</w:t>
      </w:r>
      <w:r>
        <w:rPr>
          <w:rFonts w:ascii="Georgia"/>
          <w:spacing w:val="-6"/>
          <w:w w:val="105"/>
          <w:sz w:val="20"/>
        </w:rPr>
        <w:t> </w:t>
      </w:r>
      <w:r>
        <w:rPr>
          <w:rFonts w:ascii="Georgia"/>
          <w:w w:val="105"/>
          <w:sz w:val="20"/>
        </w:rPr>
        <w:t>LGBTQ</w:t>
      </w:r>
      <w:r>
        <w:rPr>
          <w:rFonts w:ascii="Georgia"/>
          <w:spacing w:val="-6"/>
          <w:w w:val="105"/>
          <w:sz w:val="20"/>
        </w:rPr>
        <w:t> </w:t>
      </w:r>
      <w:r>
        <w:rPr>
          <w:rFonts w:ascii="Georgia"/>
          <w:w w:val="105"/>
          <w:sz w:val="20"/>
        </w:rPr>
        <w:t>bars/venues than in non-LGBTQ bars</w:t>
      </w:r>
    </w:p>
    <w:p>
      <w:pPr>
        <w:pStyle w:val="BodyText"/>
        <w:rPr>
          <w:rFonts w:ascii="Georgia"/>
          <w:sz w:val="20"/>
        </w:rPr>
      </w:pPr>
    </w:p>
    <w:p>
      <w:pPr>
        <w:pStyle w:val="BodyText"/>
        <w:spacing w:before="176"/>
        <w:rPr>
          <w:rFonts w:ascii="Georgia"/>
          <w:sz w:val="20"/>
        </w:rPr>
      </w:pPr>
    </w:p>
    <w:p>
      <w:pPr>
        <w:pStyle w:val="Heading6"/>
      </w:pPr>
      <w:r>
        <w:rPr>
          <w:emboss/>
          <w:color w:val="00BE62"/>
          <w:spacing w:val="15"/>
          <w:w w:val="85"/>
        </w:rPr>
        <w:t>29%</w:t>
      </w:r>
    </w:p>
    <w:p>
      <w:pPr>
        <w:spacing w:line="278" w:lineRule="auto" w:before="36"/>
        <w:ind w:left="771" w:right="1240" w:firstLine="0"/>
        <w:jc w:val="center"/>
        <w:rPr>
          <w:rFonts w:ascii="Georgia"/>
          <w:sz w:val="20"/>
        </w:rPr>
      </w:pPr>
      <w:r>
        <w:rPr>
          <w:rFonts w:ascii="Georgia"/>
          <w:spacing w:val="-2"/>
          <w:w w:val="105"/>
          <w:sz w:val="20"/>
        </w:rPr>
        <w:t>of</w:t>
      </w:r>
      <w:r>
        <w:rPr>
          <w:rFonts w:ascii="Georgia"/>
          <w:spacing w:val="-11"/>
          <w:w w:val="105"/>
          <w:sz w:val="20"/>
        </w:rPr>
        <w:t> </w:t>
      </w:r>
      <w:r>
        <w:rPr>
          <w:rFonts w:ascii="Georgia"/>
          <w:spacing w:val="-2"/>
          <w:w w:val="105"/>
          <w:sz w:val="20"/>
        </w:rPr>
        <w:t>LGBTQ</w:t>
      </w:r>
      <w:r>
        <w:rPr>
          <w:rFonts w:ascii="Georgia"/>
          <w:spacing w:val="-11"/>
          <w:w w:val="105"/>
          <w:sz w:val="20"/>
        </w:rPr>
        <w:t> </w:t>
      </w:r>
      <w:r>
        <w:rPr>
          <w:rFonts w:ascii="Georgia"/>
          <w:spacing w:val="-2"/>
          <w:w w:val="105"/>
          <w:sz w:val="20"/>
        </w:rPr>
        <w:t>youth</w:t>
      </w:r>
      <w:r>
        <w:rPr>
          <w:rFonts w:ascii="Georgia"/>
          <w:spacing w:val="-10"/>
          <w:w w:val="105"/>
          <w:sz w:val="20"/>
        </w:rPr>
        <w:t> </w:t>
      </w:r>
      <w:r>
        <w:rPr>
          <w:rFonts w:ascii="Georgia"/>
          <w:spacing w:val="-2"/>
          <w:w w:val="105"/>
          <w:sz w:val="20"/>
        </w:rPr>
        <w:t>suffer</w:t>
      </w:r>
      <w:r>
        <w:rPr>
          <w:rFonts w:ascii="Georgia"/>
          <w:spacing w:val="-11"/>
          <w:w w:val="105"/>
          <w:sz w:val="20"/>
        </w:rPr>
        <w:t> </w:t>
      </w:r>
      <w:r>
        <w:rPr>
          <w:rFonts w:ascii="Georgia"/>
          <w:spacing w:val="-2"/>
          <w:w w:val="105"/>
          <w:sz w:val="20"/>
        </w:rPr>
        <w:t>from asthma</w:t>
      </w:r>
    </w:p>
    <w:p>
      <w:pPr>
        <w:pStyle w:val="BodyText"/>
        <w:rPr>
          <w:rFonts w:ascii="Georgia"/>
          <w:sz w:val="20"/>
        </w:rPr>
      </w:pPr>
    </w:p>
    <w:p>
      <w:pPr>
        <w:pStyle w:val="BodyText"/>
        <w:spacing w:before="138"/>
        <w:rPr>
          <w:rFonts w:ascii="Georgia"/>
          <w:sz w:val="20"/>
        </w:rPr>
      </w:pPr>
    </w:p>
    <w:p>
      <w:pPr>
        <w:pStyle w:val="Heading6"/>
        <w:spacing w:before="1"/>
      </w:pPr>
      <w:r>
        <w:rPr>
          <w:emboss/>
          <w:color w:val="00BE62"/>
          <w:spacing w:val="15"/>
          <w:w w:val="85"/>
        </w:rPr>
        <w:t>23%</w:t>
      </w:r>
    </w:p>
    <w:p>
      <w:pPr>
        <w:spacing w:line="278" w:lineRule="auto" w:before="21"/>
        <w:ind w:left="100" w:right="608" w:firstLine="0"/>
        <w:jc w:val="center"/>
        <w:rPr>
          <w:rFonts w:ascii="Georgia"/>
          <w:sz w:val="20"/>
        </w:rPr>
      </w:pPr>
      <w:r>
        <w:rPr>
          <w:rFonts w:ascii="Georgia"/>
          <w:sz w:val="20"/>
        </w:rPr>
        <w:t>of Two-Spirit and LGBTQ Indigenous people live </w:t>
      </w:r>
      <w:r>
        <w:rPr>
          <w:rFonts w:ascii="Georgia"/>
          <w:w w:val="105"/>
          <w:sz w:val="20"/>
        </w:rPr>
        <w:t>in extreme poverty due to discrimination, marginalization, stigmatization, and historical </w:t>
      </w:r>
      <w:r>
        <w:rPr>
          <w:rFonts w:ascii="Georgia"/>
          <w:spacing w:val="-2"/>
          <w:w w:val="105"/>
          <w:sz w:val="20"/>
        </w:rPr>
        <w:t>trauma</w:t>
      </w:r>
    </w:p>
    <w:p>
      <w:pPr>
        <w:spacing w:after="0" w:line="278" w:lineRule="auto"/>
        <w:jc w:val="center"/>
        <w:rPr>
          <w:rFonts w:ascii="Georgia"/>
          <w:sz w:val="20"/>
        </w:rPr>
        <w:sectPr>
          <w:type w:val="continuous"/>
          <w:pgSz w:w="12240" w:h="15840"/>
          <w:pgMar w:header="0" w:footer="0" w:top="1420" w:bottom="280" w:left="1120" w:right="340"/>
          <w:cols w:num="2" w:equalWidth="0">
            <w:col w:w="5279" w:space="339"/>
            <w:col w:w="5162"/>
          </w:cols>
        </w:sectPr>
      </w:pPr>
    </w:p>
    <w:p>
      <w:pPr>
        <w:pStyle w:val="BodyText"/>
        <w:spacing w:before="148"/>
        <w:rPr>
          <w:rFonts w:ascii="Georgia"/>
          <w:sz w:val="20"/>
        </w:rPr>
      </w:pPr>
      <w:r>
        <w:rPr/>
        <mc:AlternateContent>
          <mc:Choice Requires="wps">
            <w:drawing>
              <wp:anchor distT="0" distB="0" distL="0" distR="0" allowOverlap="1" layoutInCell="1" locked="0" behindDoc="1" simplePos="0" relativeHeight="482642432">
                <wp:simplePos x="0" y="0"/>
                <wp:positionH relativeFrom="page">
                  <wp:posOffset>0</wp:posOffset>
                </wp:positionH>
                <wp:positionV relativeFrom="page">
                  <wp:posOffset>0</wp:posOffset>
                </wp:positionV>
                <wp:extent cx="7772400" cy="6118225"/>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7772400" cy="6118225"/>
                          <a:chExt cx="7772400" cy="6118225"/>
                        </a:xfrm>
                      </wpg:grpSpPr>
                      <pic:pic>
                        <pic:nvPicPr>
                          <pic:cNvPr id="488" name="Image 488"/>
                          <pic:cNvPicPr/>
                        </pic:nvPicPr>
                        <pic:blipFill>
                          <a:blip r:embed="rId642" cstate="print"/>
                          <a:stretch>
                            <a:fillRect/>
                          </a:stretch>
                        </pic:blipFill>
                        <pic:spPr>
                          <a:xfrm>
                            <a:off x="0" y="0"/>
                            <a:ext cx="7772400" cy="3193597"/>
                          </a:xfrm>
                          <a:prstGeom prst="rect">
                            <a:avLst/>
                          </a:prstGeom>
                        </pic:spPr>
                      </pic:pic>
                      <pic:pic>
                        <pic:nvPicPr>
                          <pic:cNvPr id="489" name="Image 489"/>
                          <pic:cNvPicPr/>
                        </pic:nvPicPr>
                        <pic:blipFill>
                          <a:blip r:embed="rId98" cstate="print"/>
                          <a:stretch>
                            <a:fillRect/>
                          </a:stretch>
                        </pic:blipFill>
                        <pic:spPr>
                          <a:xfrm>
                            <a:off x="5597591" y="648796"/>
                            <a:ext cx="1480887" cy="1480632"/>
                          </a:xfrm>
                          <a:prstGeom prst="rect">
                            <a:avLst/>
                          </a:prstGeom>
                        </pic:spPr>
                      </pic:pic>
                      <wps:wsp>
                        <wps:cNvPr id="490" name="Graphic 490"/>
                        <wps:cNvSpPr/>
                        <wps:spPr>
                          <a:xfrm>
                            <a:off x="5583845" y="635043"/>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7" y="1346223"/>
                                </a:lnTo>
                                <a:lnTo>
                                  <a:pt x="253523" y="1317586"/>
                                </a:lnTo>
                                <a:lnTo>
                                  <a:pt x="221106" y="1287014"/>
                                </a:lnTo>
                                <a:lnTo>
                                  <a:pt x="190534" y="1254598"/>
                                </a:lnTo>
                                <a:lnTo>
                                  <a:pt x="161896" y="1220425"/>
                                </a:lnTo>
                                <a:lnTo>
                                  <a:pt x="135282" y="1184584"/>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3"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5" y="119389"/>
                                </a:lnTo>
                                <a:lnTo>
                                  <a:pt x="362143" y="142496"/>
                                </a:lnTo>
                                <a:lnTo>
                                  <a:pt x="325237" y="167865"/>
                                </a:lnTo>
                                <a:lnTo>
                                  <a:pt x="290013" y="195397"/>
                                </a:lnTo>
                                <a:lnTo>
                                  <a:pt x="256567" y="224997"/>
                                </a:lnTo>
                                <a:lnTo>
                                  <a:pt x="224996" y="256569"/>
                                </a:lnTo>
                                <a:lnTo>
                                  <a:pt x="195396" y="290015"/>
                                </a:lnTo>
                                <a:lnTo>
                                  <a:pt x="167864" y="325240"/>
                                </a:lnTo>
                                <a:lnTo>
                                  <a:pt x="142496" y="362147"/>
                                </a:lnTo>
                                <a:lnTo>
                                  <a:pt x="119388" y="400638"/>
                                </a:lnTo>
                                <a:lnTo>
                                  <a:pt x="98638" y="440619"/>
                                </a:lnTo>
                                <a:lnTo>
                                  <a:pt x="80342" y="481993"/>
                                </a:lnTo>
                                <a:lnTo>
                                  <a:pt x="64597" y="524662"/>
                                </a:lnTo>
                                <a:lnTo>
                                  <a:pt x="51476" y="568619"/>
                                </a:lnTo>
                                <a:lnTo>
                                  <a:pt x="41117" y="613638"/>
                                </a:lnTo>
                                <a:lnTo>
                                  <a:pt x="33610" y="659612"/>
                                </a:lnTo>
                                <a:lnTo>
                                  <a:pt x="29039" y="706453"/>
                                </a:lnTo>
                                <a:lnTo>
                                  <a:pt x="27493" y="754070"/>
                                </a:lnTo>
                                <a:lnTo>
                                  <a:pt x="29047" y="801771"/>
                                </a:lnTo>
                                <a:lnTo>
                                  <a:pt x="33631" y="848659"/>
                                </a:lnTo>
                                <a:lnTo>
                                  <a:pt x="41149" y="894637"/>
                                </a:lnTo>
                                <a:lnTo>
                                  <a:pt x="51502" y="939608"/>
                                </a:lnTo>
                                <a:lnTo>
                                  <a:pt x="64602" y="983492"/>
                                </a:lnTo>
                                <a:lnTo>
                                  <a:pt x="80341" y="1026142"/>
                                </a:lnTo>
                                <a:lnTo>
                                  <a:pt x="98639" y="1067517"/>
                                </a:lnTo>
                                <a:lnTo>
                                  <a:pt x="119389"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0"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2"/>
                                </a:lnTo>
                                <a:lnTo>
                                  <a:pt x="1182886" y="1340265"/>
                                </a:lnTo>
                                <a:lnTo>
                                  <a:pt x="1218110" y="1312732"/>
                                </a:lnTo>
                                <a:lnTo>
                                  <a:pt x="1251557" y="1283133"/>
                                </a:lnTo>
                                <a:lnTo>
                                  <a:pt x="1283128" y="1251562"/>
                                </a:lnTo>
                                <a:lnTo>
                                  <a:pt x="1312729" y="1218116"/>
                                </a:lnTo>
                                <a:lnTo>
                                  <a:pt x="1340261" y="1182892"/>
                                </a:lnTo>
                                <a:lnTo>
                                  <a:pt x="1365630" y="1145986"/>
                                </a:lnTo>
                                <a:lnTo>
                                  <a:pt x="1388738" y="1107494"/>
                                </a:lnTo>
                                <a:lnTo>
                                  <a:pt x="1409488" y="1067514"/>
                                </a:lnTo>
                                <a:lnTo>
                                  <a:pt x="1427785" y="1026142"/>
                                </a:lnTo>
                                <a:lnTo>
                                  <a:pt x="1443530" y="983473"/>
                                </a:lnTo>
                                <a:lnTo>
                                  <a:pt x="1456652" y="939517"/>
                                </a:lnTo>
                                <a:lnTo>
                                  <a:pt x="1467011" y="894499"/>
                                </a:lnTo>
                                <a:lnTo>
                                  <a:pt x="1474518" y="848526"/>
                                </a:lnTo>
                                <a:lnTo>
                                  <a:pt x="1479089" y="801686"/>
                                </a:lnTo>
                                <a:lnTo>
                                  <a:pt x="1480635" y="754070"/>
                                </a:lnTo>
                                <a:lnTo>
                                  <a:pt x="1479081" y="706368"/>
                                </a:lnTo>
                                <a:lnTo>
                                  <a:pt x="1474497" y="659480"/>
                                </a:lnTo>
                                <a:lnTo>
                                  <a:pt x="1466979" y="613502"/>
                                </a:lnTo>
                                <a:lnTo>
                                  <a:pt x="1456626" y="568530"/>
                                </a:lnTo>
                                <a:lnTo>
                                  <a:pt x="1443525" y="524643"/>
                                </a:lnTo>
                                <a:lnTo>
                                  <a:pt x="1427785" y="481993"/>
                                </a:lnTo>
                                <a:lnTo>
                                  <a:pt x="1409488" y="440619"/>
                                </a:lnTo>
                                <a:lnTo>
                                  <a:pt x="1388738" y="400638"/>
                                </a:lnTo>
                                <a:lnTo>
                                  <a:pt x="1365630" y="362147"/>
                                </a:lnTo>
                                <a:lnTo>
                                  <a:pt x="1340262" y="325240"/>
                                </a:lnTo>
                                <a:lnTo>
                                  <a:pt x="1312729" y="290015"/>
                                </a:lnTo>
                                <a:lnTo>
                                  <a:pt x="1283129" y="256569"/>
                                </a:lnTo>
                                <a:lnTo>
                                  <a:pt x="1251557" y="224997"/>
                                </a:lnTo>
                                <a:lnTo>
                                  <a:pt x="1218111" y="195397"/>
                                </a:lnTo>
                                <a:lnTo>
                                  <a:pt x="1182886" y="167865"/>
                                </a:lnTo>
                                <a:lnTo>
                                  <a:pt x="1145980" y="142496"/>
                                </a:lnTo>
                                <a:lnTo>
                                  <a:pt x="1107488" y="119389"/>
                                </a:lnTo>
                                <a:lnTo>
                                  <a:pt x="1067507" y="98639"/>
                                </a:lnTo>
                                <a:lnTo>
                                  <a:pt x="1026134" y="80342"/>
                                </a:lnTo>
                                <a:lnTo>
                                  <a:pt x="983465" y="64596"/>
                                </a:lnTo>
                                <a:lnTo>
                                  <a:pt x="939597" y="51496"/>
                                </a:lnTo>
                                <a:lnTo>
                                  <a:pt x="894626" y="41139"/>
                                </a:lnTo>
                                <a:lnTo>
                                  <a:pt x="848649" y="33622"/>
                                </a:lnTo>
                                <a:lnTo>
                                  <a:pt x="801761"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2"/>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3" y="1067952"/>
                                </a:lnTo>
                                <a:lnTo>
                                  <a:pt x="1419642" y="1108260"/>
                                </a:lnTo>
                                <a:lnTo>
                                  <a:pt x="1397341" y="1147167"/>
                                </a:lnTo>
                                <a:lnTo>
                                  <a:pt x="1372839" y="1184586"/>
                                </a:lnTo>
                                <a:lnTo>
                                  <a:pt x="1346224" y="1220426"/>
                                </a:lnTo>
                                <a:lnTo>
                                  <a:pt x="1317587" y="1254599"/>
                                </a:lnTo>
                                <a:lnTo>
                                  <a:pt x="1287015" y="1287015"/>
                                </a:lnTo>
                                <a:lnTo>
                                  <a:pt x="1254598" y="1317587"/>
                                </a:lnTo>
                                <a:lnTo>
                                  <a:pt x="1220424" y="1346224"/>
                                </a:lnTo>
                                <a:lnTo>
                                  <a:pt x="1184584" y="1372838"/>
                                </a:lnTo>
                                <a:lnTo>
                                  <a:pt x="1147165" y="1397340"/>
                                </a:lnTo>
                                <a:lnTo>
                                  <a:pt x="1108257" y="1419640"/>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655212" y="2933570"/>
                            <a:ext cx="3470910" cy="3184525"/>
                          </a:xfrm>
                          <a:custGeom>
                            <a:avLst/>
                            <a:gdLst/>
                            <a:ahLst/>
                            <a:cxnLst/>
                            <a:rect l="l" t="t" r="r" b="b"/>
                            <a:pathLst>
                              <a:path w="3470910" h="3184525">
                                <a:moveTo>
                                  <a:pt x="3113778" y="3184473"/>
                                </a:moveTo>
                                <a:lnTo>
                                  <a:pt x="361949" y="3184473"/>
                                </a:lnTo>
                                <a:lnTo>
                                  <a:pt x="312835" y="3181169"/>
                                </a:lnTo>
                                <a:lnTo>
                                  <a:pt x="265729" y="3171544"/>
                                </a:lnTo>
                                <a:lnTo>
                                  <a:pt x="221062" y="3156029"/>
                                </a:lnTo>
                                <a:lnTo>
                                  <a:pt x="179266" y="3135056"/>
                                </a:lnTo>
                                <a:lnTo>
                                  <a:pt x="140773" y="3109056"/>
                                </a:lnTo>
                                <a:lnTo>
                                  <a:pt x="106012" y="3078460"/>
                                </a:lnTo>
                                <a:lnTo>
                                  <a:pt x="75416" y="3043700"/>
                                </a:lnTo>
                                <a:lnTo>
                                  <a:pt x="49416" y="3005206"/>
                                </a:lnTo>
                                <a:lnTo>
                                  <a:pt x="28443" y="2963410"/>
                                </a:lnTo>
                                <a:lnTo>
                                  <a:pt x="12929" y="2918744"/>
                                </a:lnTo>
                                <a:lnTo>
                                  <a:pt x="3304" y="2871637"/>
                                </a:lnTo>
                                <a:lnTo>
                                  <a:pt x="0" y="2822523"/>
                                </a:lnTo>
                                <a:lnTo>
                                  <a:pt x="0" y="361949"/>
                                </a:lnTo>
                                <a:lnTo>
                                  <a:pt x="3304" y="312835"/>
                                </a:lnTo>
                                <a:lnTo>
                                  <a:pt x="12929" y="265729"/>
                                </a:lnTo>
                                <a:lnTo>
                                  <a:pt x="28443" y="221062"/>
                                </a:lnTo>
                                <a:lnTo>
                                  <a:pt x="49416" y="179266"/>
                                </a:lnTo>
                                <a:lnTo>
                                  <a:pt x="75416" y="140773"/>
                                </a:lnTo>
                                <a:lnTo>
                                  <a:pt x="106012" y="106012"/>
                                </a:lnTo>
                                <a:lnTo>
                                  <a:pt x="140773" y="75416"/>
                                </a:lnTo>
                                <a:lnTo>
                                  <a:pt x="179266" y="49416"/>
                                </a:lnTo>
                                <a:lnTo>
                                  <a:pt x="221062" y="28443"/>
                                </a:lnTo>
                                <a:lnTo>
                                  <a:pt x="265729" y="12929"/>
                                </a:lnTo>
                                <a:lnTo>
                                  <a:pt x="312835" y="3304"/>
                                </a:lnTo>
                                <a:lnTo>
                                  <a:pt x="361949" y="0"/>
                                </a:lnTo>
                                <a:lnTo>
                                  <a:pt x="3113778" y="0"/>
                                </a:lnTo>
                                <a:lnTo>
                                  <a:pt x="3162892" y="3304"/>
                                </a:lnTo>
                                <a:lnTo>
                                  <a:pt x="3209999" y="12929"/>
                                </a:lnTo>
                                <a:lnTo>
                                  <a:pt x="3254665" y="28443"/>
                                </a:lnTo>
                                <a:lnTo>
                                  <a:pt x="3296461" y="49416"/>
                                </a:lnTo>
                                <a:lnTo>
                                  <a:pt x="3334955" y="75416"/>
                                </a:lnTo>
                                <a:lnTo>
                                  <a:pt x="3369715" y="106012"/>
                                </a:lnTo>
                                <a:lnTo>
                                  <a:pt x="3400311" y="140773"/>
                                </a:lnTo>
                                <a:lnTo>
                                  <a:pt x="3426311" y="179266"/>
                                </a:lnTo>
                                <a:lnTo>
                                  <a:pt x="3447284" y="221062"/>
                                </a:lnTo>
                                <a:lnTo>
                                  <a:pt x="3462799" y="265729"/>
                                </a:lnTo>
                                <a:lnTo>
                                  <a:pt x="3470578" y="303802"/>
                                </a:lnTo>
                                <a:lnTo>
                                  <a:pt x="3470578" y="2880671"/>
                                </a:lnTo>
                                <a:lnTo>
                                  <a:pt x="3462799" y="2918744"/>
                                </a:lnTo>
                                <a:lnTo>
                                  <a:pt x="3447284" y="2963410"/>
                                </a:lnTo>
                                <a:lnTo>
                                  <a:pt x="3426311" y="3005206"/>
                                </a:lnTo>
                                <a:lnTo>
                                  <a:pt x="3400311" y="3043700"/>
                                </a:lnTo>
                                <a:lnTo>
                                  <a:pt x="3369715" y="3078460"/>
                                </a:lnTo>
                                <a:lnTo>
                                  <a:pt x="3334955" y="3109056"/>
                                </a:lnTo>
                                <a:lnTo>
                                  <a:pt x="3296461" y="3135056"/>
                                </a:lnTo>
                                <a:lnTo>
                                  <a:pt x="3254665" y="3156029"/>
                                </a:lnTo>
                                <a:lnTo>
                                  <a:pt x="3209999" y="3171544"/>
                                </a:lnTo>
                                <a:lnTo>
                                  <a:pt x="3162892" y="3181169"/>
                                </a:lnTo>
                                <a:lnTo>
                                  <a:pt x="3113778" y="3184473"/>
                                </a:lnTo>
                                <a:close/>
                              </a:path>
                            </a:pathLst>
                          </a:custGeom>
                          <a:solidFill>
                            <a:srgbClr val="00BE62">
                              <a:alpha val="55999"/>
                            </a:srgbClr>
                          </a:solidFill>
                        </wps:spPr>
                        <wps:bodyPr wrap="square" lIns="0" tIns="0" rIns="0" bIns="0" rtlCol="0">
                          <a:prstTxWarp prst="textNoShape">
                            <a:avLst/>
                          </a:prstTxWarp>
                          <a:noAutofit/>
                        </wps:bodyPr>
                      </wps:wsp>
                      <wps:wsp>
                        <wps:cNvPr id="492" name="Graphic 492"/>
                        <wps:cNvSpPr/>
                        <wps:spPr>
                          <a:xfrm>
                            <a:off x="4381134" y="4442463"/>
                            <a:ext cx="2773680" cy="1270"/>
                          </a:xfrm>
                          <a:custGeom>
                            <a:avLst/>
                            <a:gdLst/>
                            <a:ahLst/>
                            <a:cxnLst/>
                            <a:rect l="l" t="t" r="r" b="b"/>
                            <a:pathLst>
                              <a:path w="2773680" h="0">
                                <a:moveTo>
                                  <a:pt x="0" y="0"/>
                                </a:moveTo>
                                <a:lnTo>
                                  <a:pt x="2773600" y="0"/>
                                </a:lnTo>
                              </a:path>
                            </a:pathLst>
                          </a:custGeom>
                          <a:ln w="28574">
                            <a:solidFill>
                              <a:srgbClr val="1B6A4E"/>
                            </a:solidFill>
                            <a:prstDash val="sysDash"/>
                          </a:ln>
                        </wps:spPr>
                        <wps:bodyPr wrap="square" lIns="0" tIns="0" rIns="0" bIns="0" rtlCol="0">
                          <a:prstTxWarp prst="textNoShape">
                            <a:avLst/>
                          </a:prstTxWarp>
                          <a:noAutofit/>
                        </wps:bodyPr>
                      </wps:wsp>
                      <wps:wsp>
                        <wps:cNvPr id="493" name="Graphic 493"/>
                        <wps:cNvSpPr/>
                        <wps:spPr>
                          <a:xfrm>
                            <a:off x="4356888" y="5673677"/>
                            <a:ext cx="2773680" cy="1270"/>
                          </a:xfrm>
                          <a:custGeom>
                            <a:avLst/>
                            <a:gdLst/>
                            <a:ahLst/>
                            <a:cxnLst/>
                            <a:rect l="l" t="t" r="r" b="b"/>
                            <a:pathLst>
                              <a:path w="2773680" h="0">
                                <a:moveTo>
                                  <a:pt x="0" y="0"/>
                                </a:moveTo>
                                <a:lnTo>
                                  <a:pt x="2773600" y="0"/>
                                </a:lnTo>
                              </a:path>
                            </a:pathLst>
                          </a:custGeom>
                          <a:ln w="28574">
                            <a:solidFill>
                              <a:srgbClr val="1B6A4E"/>
                            </a:solidFill>
                            <a:prstDash val="sysDash"/>
                          </a:ln>
                        </wps:spPr>
                        <wps:bodyPr wrap="square" lIns="0" tIns="0" rIns="0" bIns="0" rtlCol="0">
                          <a:prstTxWarp prst="textNoShape">
                            <a:avLst/>
                          </a:prstTxWarp>
                          <a:noAutofit/>
                        </wps:bodyPr>
                      </wps:wsp>
                      <wps:wsp>
                        <wps:cNvPr id="494" name="Graphic 494"/>
                        <wps:cNvSpPr/>
                        <wps:spPr>
                          <a:xfrm>
                            <a:off x="4130968" y="1835302"/>
                            <a:ext cx="952500" cy="1043305"/>
                          </a:xfrm>
                          <a:custGeom>
                            <a:avLst/>
                            <a:gdLst/>
                            <a:ahLst/>
                            <a:cxnLst/>
                            <a:rect l="l" t="t" r="r" b="b"/>
                            <a:pathLst>
                              <a:path w="952500" h="1043305">
                                <a:moveTo>
                                  <a:pt x="491896" y="656310"/>
                                </a:moveTo>
                                <a:lnTo>
                                  <a:pt x="470128" y="636295"/>
                                </a:lnTo>
                                <a:lnTo>
                                  <a:pt x="466369" y="632409"/>
                                </a:lnTo>
                                <a:lnTo>
                                  <a:pt x="432308" y="673912"/>
                                </a:lnTo>
                                <a:lnTo>
                                  <a:pt x="406692" y="714235"/>
                                </a:lnTo>
                                <a:lnTo>
                                  <a:pt x="388543" y="754659"/>
                                </a:lnTo>
                                <a:lnTo>
                                  <a:pt x="376910" y="796493"/>
                                </a:lnTo>
                                <a:lnTo>
                                  <a:pt x="370801" y="841032"/>
                                </a:lnTo>
                                <a:lnTo>
                                  <a:pt x="361569" y="818349"/>
                                </a:lnTo>
                                <a:lnTo>
                                  <a:pt x="348068" y="790943"/>
                                </a:lnTo>
                                <a:lnTo>
                                  <a:pt x="329666" y="760107"/>
                                </a:lnTo>
                                <a:lnTo>
                                  <a:pt x="305765" y="727113"/>
                                </a:lnTo>
                                <a:lnTo>
                                  <a:pt x="304063" y="733018"/>
                                </a:lnTo>
                                <a:lnTo>
                                  <a:pt x="299999" y="743407"/>
                                </a:lnTo>
                                <a:lnTo>
                                  <a:pt x="270459" y="706996"/>
                                </a:lnTo>
                                <a:lnTo>
                                  <a:pt x="234645" y="670229"/>
                                </a:lnTo>
                                <a:lnTo>
                                  <a:pt x="192024" y="634441"/>
                                </a:lnTo>
                                <a:lnTo>
                                  <a:pt x="142062" y="600964"/>
                                </a:lnTo>
                                <a:lnTo>
                                  <a:pt x="194424" y="628929"/>
                                </a:lnTo>
                                <a:lnTo>
                                  <a:pt x="238734" y="660171"/>
                                </a:lnTo>
                                <a:lnTo>
                                  <a:pt x="275640" y="693356"/>
                                </a:lnTo>
                                <a:lnTo>
                                  <a:pt x="305765" y="727113"/>
                                </a:lnTo>
                                <a:lnTo>
                                  <a:pt x="306768" y="724738"/>
                                </a:lnTo>
                                <a:lnTo>
                                  <a:pt x="307174" y="723239"/>
                                </a:lnTo>
                                <a:lnTo>
                                  <a:pt x="287985" y="586473"/>
                                </a:lnTo>
                                <a:lnTo>
                                  <a:pt x="179197" y="525246"/>
                                </a:lnTo>
                                <a:lnTo>
                                  <a:pt x="57594" y="510120"/>
                                </a:lnTo>
                                <a:lnTo>
                                  <a:pt x="0" y="511619"/>
                                </a:lnTo>
                                <a:lnTo>
                                  <a:pt x="8559" y="525462"/>
                                </a:lnTo>
                                <a:lnTo>
                                  <a:pt x="29552" y="562419"/>
                                </a:lnTo>
                                <a:lnTo>
                                  <a:pt x="55968" y="615708"/>
                                </a:lnTo>
                                <a:lnTo>
                                  <a:pt x="80784" y="678510"/>
                                </a:lnTo>
                                <a:lnTo>
                                  <a:pt x="97790" y="715175"/>
                                </a:lnTo>
                                <a:lnTo>
                                  <a:pt x="122237" y="748055"/>
                                </a:lnTo>
                                <a:lnTo>
                                  <a:pt x="151892" y="774966"/>
                                </a:lnTo>
                                <a:lnTo>
                                  <a:pt x="184518" y="793724"/>
                                </a:lnTo>
                                <a:lnTo>
                                  <a:pt x="217881" y="802132"/>
                                </a:lnTo>
                                <a:lnTo>
                                  <a:pt x="249732" y="798004"/>
                                </a:lnTo>
                                <a:lnTo>
                                  <a:pt x="277863" y="779170"/>
                                </a:lnTo>
                                <a:lnTo>
                                  <a:pt x="299999" y="743432"/>
                                </a:lnTo>
                                <a:lnTo>
                                  <a:pt x="324497" y="784415"/>
                                </a:lnTo>
                                <a:lnTo>
                                  <a:pt x="341858" y="826236"/>
                                </a:lnTo>
                                <a:lnTo>
                                  <a:pt x="361607" y="887742"/>
                                </a:lnTo>
                                <a:lnTo>
                                  <a:pt x="362788" y="930643"/>
                                </a:lnTo>
                                <a:lnTo>
                                  <a:pt x="365823" y="966533"/>
                                </a:lnTo>
                                <a:lnTo>
                                  <a:pt x="374269" y="1037374"/>
                                </a:lnTo>
                                <a:lnTo>
                                  <a:pt x="379806" y="1039964"/>
                                </a:lnTo>
                                <a:lnTo>
                                  <a:pt x="392722" y="1042809"/>
                                </a:lnTo>
                                <a:lnTo>
                                  <a:pt x="407428" y="1038529"/>
                                </a:lnTo>
                                <a:lnTo>
                                  <a:pt x="418363" y="1019733"/>
                                </a:lnTo>
                                <a:lnTo>
                                  <a:pt x="411340" y="999375"/>
                                </a:lnTo>
                                <a:lnTo>
                                  <a:pt x="405866" y="964793"/>
                                </a:lnTo>
                                <a:lnTo>
                                  <a:pt x="403504" y="919518"/>
                                </a:lnTo>
                                <a:lnTo>
                                  <a:pt x="405777" y="867092"/>
                                </a:lnTo>
                                <a:lnTo>
                                  <a:pt x="414223" y="811022"/>
                                </a:lnTo>
                                <a:lnTo>
                                  <a:pt x="430364" y="754849"/>
                                </a:lnTo>
                                <a:lnTo>
                                  <a:pt x="455752" y="702094"/>
                                </a:lnTo>
                                <a:lnTo>
                                  <a:pt x="491896" y="656310"/>
                                </a:lnTo>
                                <a:close/>
                              </a:path>
                              <a:path w="952500" h="1043305">
                                <a:moveTo>
                                  <a:pt x="951966" y="277444"/>
                                </a:moveTo>
                                <a:lnTo>
                                  <a:pt x="948055" y="228663"/>
                                </a:lnTo>
                                <a:lnTo>
                                  <a:pt x="940079" y="180238"/>
                                </a:lnTo>
                                <a:lnTo>
                                  <a:pt x="927950" y="132664"/>
                                </a:lnTo>
                                <a:lnTo>
                                  <a:pt x="911567" y="86423"/>
                                </a:lnTo>
                                <a:lnTo>
                                  <a:pt x="890816" y="42037"/>
                                </a:lnTo>
                                <a:lnTo>
                                  <a:pt x="865606" y="0"/>
                                </a:lnTo>
                                <a:lnTo>
                                  <a:pt x="824407" y="62903"/>
                                </a:lnTo>
                                <a:lnTo>
                                  <a:pt x="787590" y="109956"/>
                                </a:lnTo>
                                <a:lnTo>
                                  <a:pt x="753503" y="144272"/>
                                </a:lnTo>
                                <a:lnTo>
                                  <a:pt x="720547" y="168998"/>
                                </a:lnTo>
                                <a:lnTo>
                                  <a:pt x="651510" y="202082"/>
                                </a:lnTo>
                                <a:lnTo>
                                  <a:pt x="612190" y="216700"/>
                                </a:lnTo>
                                <a:lnTo>
                                  <a:pt x="567486" y="234200"/>
                                </a:lnTo>
                                <a:lnTo>
                                  <a:pt x="505383" y="273024"/>
                                </a:lnTo>
                                <a:lnTo>
                                  <a:pt x="476034" y="300748"/>
                                </a:lnTo>
                                <a:lnTo>
                                  <a:pt x="449313" y="332778"/>
                                </a:lnTo>
                                <a:lnTo>
                                  <a:pt x="426377" y="368185"/>
                                </a:lnTo>
                                <a:lnTo>
                                  <a:pt x="408343" y="406031"/>
                                </a:lnTo>
                                <a:lnTo>
                                  <a:pt x="396354" y="445389"/>
                                </a:lnTo>
                                <a:lnTo>
                                  <a:pt x="391553" y="485317"/>
                                </a:lnTo>
                                <a:lnTo>
                                  <a:pt x="395046" y="524891"/>
                                </a:lnTo>
                                <a:lnTo>
                                  <a:pt x="407987" y="563181"/>
                                </a:lnTo>
                                <a:lnTo>
                                  <a:pt x="431507" y="599262"/>
                                </a:lnTo>
                                <a:lnTo>
                                  <a:pt x="466750" y="632180"/>
                                </a:lnTo>
                                <a:lnTo>
                                  <a:pt x="511619" y="583031"/>
                                </a:lnTo>
                                <a:lnTo>
                                  <a:pt x="542201" y="552196"/>
                                </a:lnTo>
                                <a:lnTo>
                                  <a:pt x="567270" y="530364"/>
                                </a:lnTo>
                                <a:lnTo>
                                  <a:pt x="595591" y="508292"/>
                                </a:lnTo>
                                <a:lnTo>
                                  <a:pt x="583819" y="447979"/>
                                </a:lnTo>
                                <a:lnTo>
                                  <a:pt x="592848" y="382168"/>
                                </a:lnTo>
                                <a:lnTo>
                                  <a:pt x="608596" y="329209"/>
                                </a:lnTo>
                                <a:lnTo>
                                  <a:pt x="616978" y="307467"/>
                                </a:lnTo>
                                <a:lnTo>
                                  <a:pt x="608203" y="379463"/>
                                </a:lnTo>
                                <a:lnTo>
                                  <a:pt x="609574" y="435635"/>
                                </a:lnTo>
                                <a:lnTo>
                                  <a:pt x="615226" y="472884"/>
                                </a:lnTo>
                                <a:lnTo>
                                  <a:pt x="619226" y="488124"/>
                                </a:lnTo>
                                <a:lnTo>
                                  <a:pt x="670001" y="451573"/>
                                </a:lnTo>
                                <a:lnTo>
                                  <a:pt x="702221" y="425627"/>
                                </a:lnTo>
                                <a:lnTo>
                                  <a:pt x="731989" y="396278"/>
                                </a:lnTo>
                                <a:lnTo>
                                  <a:pt x="726973" y="344728"/>
                                </a:lnTo>
                                <a:lnTo>
                                  <a:pt x="736384" y="298513"/>
                                </a:lnTo>
                                <a:lnTo>
                                  <a:pt x="749719" y="265214"/>
                                </a:lnTo>
                                <a:lnTo>
                                  <a:pt x="756500" y="252425"/>
                                </a:lnTo>
                                <a:lnTo>
                                  <a:pt x="751319" y="284784"/>
                                </a:lnTo>
                                <a:lnTo>
                                  <a:pt x="749642" y="320370"/>
                                </a:lnTo>
                                <a:lnTo>
                                  <a:pt x="754748" y="366064"/>
                                </a:lnTo>
                                <a:lnTo>
                                  <a:pt x="796505" y="298310"/>
                                </a:lnTo>
                                <a:lnTo>
                                  <a:pt x="824725" y="240919"/>
                                </a:lnTo>
                                <a:lnTo>
                                  <a:pt x="840689" y="201168"/>
                                </a:lnTo>
                                <a:lnTo>
                                  <a:pt x="845718" y="186296"/>
                                </a:lnTo>
                                <a:lnTo>
                                  <a:pt x="845121" y="202577"/>
                                </a:lnTo>
                                <a:lnTo>
                                  <a:pt x="838593" y="246037"/>
                                </a:lnTo>
                                <a:lnTo>
                                  <a:pt x="819023" y="308648"/>
                                </a:lnTo>
                                <a:lnTo>
                                  <a:pt x="779322" y="382371"/>
                                </a:lnTo>
                                <a:lnTo>
                                  <a:pt x="823709" y="376250"/>
                                </a:lnTo>
                                <a:lnTo>
                                  <a:pt x="856056" y="366102"/>
                                </a:lnTo>
                                <a:lnTo>
                                  <a:pt x="876173" y="356870"/>
                                </a:lnTo>
                                <a:lnTo>
                                  <a:pt x="883869" y="353517"/>
                                </a:lnTo>
                                <a:lnTo>
                                  <a:pt x="873709" y="362902"/>
                                </a:lnTo>
                                <a:lnTo>
                                  <a:pt x="846099" y="383387"/>
                                </a:lnTo>
                                <a:lnTo>
                                  <a:pt x="805332" y="403466"/>
                                </a:lnTo>
                                <a:lnTo>
                                  <a:pt x="755688" y="411632"/>
                                </a:lnTo>
                                <a:lnTo>
                                  <a:pt x="727837" y="441464"/>
                                </a:lnTo>
                                <a:lnTo>
                                  <a:pt x="690930" y="473176"/>
                                </a:lnTo>
                                <a:lnTo>
                                  <a:pt x="657860" y="499021"/>
                                </a:lnTo>
                                <a:lnTo>
                                  <a:pt x="641502" y="511289"/>
                                </a:lnTo>
                                <a:lnTo>
                                  <a:pt x="666330" y="516445"/>
                                </a:lnTo>
                                <a:lnTo>
                                  <a:pt x="704811" y="520166"/>
                                </a:lnTo>
                                <a:lnTo>
                                  <a:pt x="754900" y="518566"/>
                                </a:lnTo>
                                <a:lnTo>
                                  <a:pt x="814552" y="507758"/>
                                </a:lnTo>
                                <a:lnTo>
                                  <a:pt x="793711" y="515861"/>
                                </a:lnTo>
                                <a:lnTo>
                                  <a:pt x="742556" y="531545"/>
                                </a:lnTo>
                                <a:lnTo>
                                  <a:pt x="678167" y="541807"/>
                                </a:lnTo>
                                <a:lnTo>
                                  <a:pt x="617601" y="533692"/>
                                </a:lnTo>
                                <a:lnTo>
                                  <a:pt x="574675" y="570547"/>
                                </a:lnTo>
                                <a:lnTo>
                                  <a:pt x="543890" y="599986"/>
                                </a:lnTo>
                                <a:lnTo>
                                  <a:pt x="518528" y="626935"/>
                                </a:lnTo>
                                <a:lnTo>
                                  <a:pt x="491896" y="656310"/>
                                </a:lnTo>
                                <a:lnTo>
                                  <a:pt x="510260" y="670407"/>
                                </a:lnTo>
                                <a:lnTo>
                                  <a:pt x="563257" y="701268"/>
                                </a:lnTo>
                                <a:lnTo>
                                  <a:pt x="633552" y="721880"/>
                                </a:lnTo>
                                <a:lnTo>
                                  <a:pt x="673519" y="723201"/>
                                </a:lnTo>
                                <a:lnTo>
                                  <a:pt x="715797" y="715759"/>
                                </a:lnTo>
                                <a:lnTo>
                                  <a:pt x="759739" y="697496"/>
                                </a:lnTo>
                                <a:lnTo>
                                  <a:pt x="804672" y="666356"/>
                                </a:lnTo>
                                <a:lnTo>
                                  <a:pt x="849922" y="620255"/>
                                </a:lnTo>
                                <a:lnTo>
                                  <a:pt x="874674" y="586663"/>
                                </a:lnTo>
                                <a:lnTo>
                                  <a:pt x="896213" y="549440"/>
                                </a:lnTo>
                                <a:lnTo>
                                  <a:pt x="914425" y="509054"/>
                                </a:lnTo>
                                <a:lnTo>
                                  <a:pt x="929208" y="466026"/>
                                </a:lnTo>
                                <a:lnTo>
                                  <a:pt x="940460" y="420852"/>
                                </a:lnTo>
                                <a:lnTo>
                                  <a:pt x="948067" y="374027"/>
                                </a:lnTo>
                                <a:lnTo>
                                  <a:pt x="951941" y="326059"/>
                                </a:lnTo>
                                <a:lnTo>
                                  <a:pt x="951966" y="2774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52pt;margin-top:-.000032pt;width:612pt;height:481.75pt;mso-position-horizontal-relative:page;mso-position-vertical-relative:page;z-index:-20674048" id="docshapegroup392" coordorigin="0,0" coordsize="12240,9635">
                <v:shape style="position:absolute;left:0;top:0;width:12240;height:5030" type="#_x0000_t75" id="docshape393" stroked="false">
                  <v:imagedata r:id="rId642" o:title=""/>
                </v:shape>
                <v:shape style="position:absolute;left:8815;top:1021;width:2333;height:2332" type="#_x0000_t75" id="docshape394" stroked="false">
                  <v:imagedata r:id="rId98" o:title=""/>
                </v:shape>
                <v:shape style="position:absolute;left:8793;top:1000;width:2375;height:2375" id="docshape395" coordorigin="8793,1000" coordsize="2375,2375" path="m9981,3375l9906,3373,9832,3366,9760,3354,9689,3339,9620,3319,9552,3295,9487,3267,9423,3236,9362,3201,9303,3162,9247,3120,9193,3075,9142,3027,9094,2976,9048,2922,9007,2866,8968,2807,8933,2745,8901,2682,8873,2616,8850,2549,8830,2480,8814,2409,8803,2336,8796,2263,8793,2188,8796,2112,8803,2039,8814,1966,8830,1895,8850,1826,8874,1759,8901,1693,8933,1630,8968,1569,9007,1510,9048,1453,9094,1399,9142,1348,9193,1300,9247,1255,9303,1213,9362,1175,9423,1139,9487,1108,9552,1080,9620,1056,9689,1036,9760,1021,9832,1009,9906,1002,9981,1000,10056,1002,10130,1009,10202,1021,10273,1036,10297,1043,9981,1043,9906,1046,9832,1053,9760,1065,9689,1081,9620,1102,9552,1127,9487,1155,9424,1188,9364,1224,9306,1264,9250,1308,9198,1354,9148,1404,9101,1457,9058,1512,9018,1570,8981,1631,8949,1694,8920,1759,8895,1826,8875,1896,8858,1966,8846,2039,8839,2113,8837,2188,8839,2263,8846,2337,8858,2409,8875,2480,8895,2549,8920,2616,8949,2681,8981,2744,9018,2805,9058,2863,9101,2918,9148,2971,9198,3021,9250,3067,9306,3111,9364,3151,9424,3187,9487,3220,9552,3249,9620,3273,9689,3294,9760,3310,9832,3322,9906,3329,9981,3332,10297,3332,10273,3339,10202,3354,10130,3366,10056,3373,9981,3375xm10297,3332l9981,3332,10056,3329,10130,3322,10202,3310,10273,3294,10342,3273,10409,3249,10475,3220,10538,3187,10598,3151,10656,3111,10712,3067,10764,3021,10814,2971,10861,2918,10904,2863,10944,2805,10980,2744,11013,2681,11042,2616,11067,2549,11087,2480,11104,2409,11116,2336,11123,2263,11125,2188,11123,2112,11116,2039,11104,1966,11087,1895,11067,1826,11042,1759,11013,1694,10980,1631,10944,1570,10904,1512,10861,1457,10814,1404,10764,1354,10712,1308,10656,1264,10598,1224,10538,1188,10475,1155,10409,1127,10342,1102,10273,1081,10202,1065,10130,1053,10056,1046,9981,1043,10297,1043,10342,1056,10410,1080,10475,1108,10539,1139,10600,1175,10659,1213,10715,1255,10769,1300,10820,1348,10868,1399,10913,1453,10955,1510,10994,1569,11029,1630,11061,1693,11088,1759,11112,1826,11132,1896,11148,1966,11159,2039,11166,2113,11168,2188,11166,2263,11159,2337,11148,2409,11132,2480,11112,2549,11088,2616,11061,2682,11029,2745,10994,2807,10955,2866,10913,2922,10868,2976,10820,3027,10769,3075,10715,3120,10659,3162,10600,3201,10539,3236,10475,3267,10410,3295,10342,3319,10297,3332xe" filled="true" fillcolor="#ffffff" stroked="false">
                  <v:path arrowok="t"/>
                  <v:fill type="solid"/>
                </v:shape>
                <v:shape style="position:absolute;left:1031;top:4619;width:5466;height:5015" id="docshape396" coordorigin="1032,4620" coordsize="5466,5015" path="m5935,9635l1602,9635,1524,9630,1450,9614,1380,9590,1314,9557,1254,9516,1199,9468,1151,9413,1110,9352,1077,9287,1052,9216,1037,9142,1032,9065,1032,5190,1037,5112,1052,5038,1077,4968,1110,4902,1151,4841,1199,4787,1254,4739,1314,4698,1380,4665,1450,4640,1524,4625,1602,4620,5935,4620,6013,4625,6087,4640,6157,4665,6223,4698,6284,4739,6338,4787,6387,4841,6428,4902,6461,4968,6485,5038,6497,5098,6497,9156,6485,9216,6461,9287,6428,9352,6387,9413,6338,9468,6284,9516,6223,9557,6157,9590,6087,9614,6013,9630,5935,9635xe" filled="true" fillcolor="#00be62" stroked="false">
                  <v:path arrowok="t"/>
                  <v:fill opacity="36700f" type="solid"/>
                </v:shape>
                <v:line style="position:absolute" from="6899,6996" to="11267,6996" stroked="true" strokeweight="2.25pt" strokecolor="#1b6a4e">
                  <v:stroke dashstyle="shortdash"/>
                </v:line>
                <v:line style="position:absolute" from="6861,8935" to="11229,8935" stroked="true" strokeweight="2.25pt" strokecolor="#1b6a4e">
                  <v:stroke dashstyle="shortdash"/>
                </v:line>
                <v:shape style="position:absolute;left:6505;top:2890;width:1500;height:1643" id="docshape397" coordorigin="6505,2890" coordsize="1500,1643" path="m7280,3924l7246,3892,7240,3886,7186,3952,7146,4015,7117,4079,7099,4145,7089,4215,7075,4179,7054,4136,7025,4087,6987,4035,6984,4045,6978,4061,6931,4004,6875,3946,6808,3889,6729,3837,6812,3881,6881,3930,6940,3982,6987,4035,6987,4035,6989,4032,6989,4029,6959,3814,6788,3717,6596,3694,6505,3696,6519,3718,6552,3776,6594,3860,6633,3959,6659,4016,6698,4068,6745,4111,6796,4140,6849,4153,6899,4147,6943,4117,6978,4061,7016,4126,7044,4191,7075,4288,7077,4356,7082,4412,7095,4524,7104,4528,7124,4532,7147,4526,7164,4496,7153,4464,7145,4410,7141,4338,7144,4256,7158,4167,7183,4079,7223,3996,7280,3924xm8005,3327l7998,3250,7986,3174,7967,3099,7941,3026,7908,2956,7869,2890,7804,2989,7746,3063,7692,3117,7640,3156,7588,3185,7531,3208,7470,3231,7399,3259,7350,3285,7301,3320,7255,3364,7213,3414,7177,3470,7149,3530,7130,3592,7122,3655,7128,3717,7148,3777,7185,3834,7241,3886,7311,3808,7359,3760,7399,3725,7443,3691,7425,3596,7439,3492,7464,3409,7477,3374,7463,3488,7465,3576,7474,3635,7481,3659,7561,3601,7611,3561,7658,3514,7650,3433,7665,3360,7686,3308,7697,3288,7689,3339,7686,3395,7694,3467,7760,3360,7804,3270,7829,3207,7837,3184,7836,3209,7826,3278,7795,3376,7733,3492,7803,3483,7854,3467,7885,3452,7897,3447,7881,3462,7838,3494,7774,3526,7696,3538,7652,3585,7594,3635,7541,3676,7516,3695,7555,3704,7615,3709,7694,3707,7788,3690,7755,3703,7675,3727,7573,3743,7478,3731,7410,3789,7362,3835,7322,3878,7280,3924,7309,3946,7347,3971,7392,3995,7445,4014,7503,4027,7566,4029,7633,4017,7702,3989,7773,3940,7844,3867,7883,3814,7917,3755,7946,3692,7969,3624,7987,3553,7998,3479,8005,3404,8005,3327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1312">
                <wp:simplePos x="0" y="0"/>
                <wp:positionH relativeFrom="page">
                  <wp:posOffset>335597</wp:posOffset>
                </wp:positionH>
                <wp:positionV relativeFrom="page">
                  <wp:posOffset>6241307</wp:posOffset>
                </wp:positionV>
                <wp:extent cx="3795395" cy="3142615"/>
                <wp:effectExtent l="0" t="0" r="0" b="0"/>
                <wp:wrapNone/>
                <wp:docPr id="495" name="Group 495"/>
                <wp:cNvGraphicFramePr>
                  <a:graphicFrameLocks/>
                </wp:cNvGraphicFramePr>
                <a:graphic>
                  <a:graphicData uri="http://schemas.microsoft.com/office/word/2010/wordprocessingGroup">
                    <wpg:wgp>
                      <wpg:cNvPr id="495" name="Group 495"/>
                      <wpg:cNvGrpSpPr/>
                      <wpg:grpSpPr>
                        <a:xfrm>
                          <a:off x="0" y="0"/>
                          <a:ext cx="3795395" cy="3142615"/>
                          <a:chExt cx="3795395" cy="3142615"/>
                        </a:xfrm>
                      </wpg:grpSpPr>
                      <pic:pic>
                        <pic:nvPicPr>
                          <pic:cNvPr id="496" name="Image 496"/>
                          <pic:cNvPicPr/>
                        </pic:nvPicPr>
                        <pic:blipFill>
                          <a:blip r:embed="rId643" cstate="print"/>
                          <a:stretch>
                            <a:fillRect/>
                          </a:stretch>
                        </pic:blipFill>
                        <pic:spPr>
                          <a:xfrm>
                            <a:off x="0" y="0"/>
                            <a:ext cx="3795342" cy="3142465"/>
                          </a:xfrm>
                          <a:prstGeom prst="rect">
                            <a:avLst/>
                          </a:prstGeom>
                        </pic:spPr>
                      </pic:pic>
                      <wps:wsp>
                        <wps:cNvPr id="497" name="Textbox 497"/>
                        <wps:cNvSpPr txBox="1"/>
                        <wps:spPr>
                          <a:xfrm>
                            <a:off x="441415" y="82468"/>
                            <a:ext cx="3189605" cy="942975"/>
                          </a:xfrm>
                          <a:prstGeom prst="rect">
                            <a:avLst/>
                          </a:prstGeom>
                        </wps:spPr>
                        <wps:txbx>
                          <w:txbxContent>
                            <w:p>
                              <w:pPr>
                                <w:spacing w:before="26"/>
                                <w:ind w:left="20" w:right="0" w:firstLine="0"/>
                                <w:jc w:val="left"/>
                                <w:rPr>
                                  <w:b/>
                                  <w:i/>
                                  <w:sz w:val="34"/>
                                </w:rPr>
                              </w:pPr>
                              <w:r>
                                <w:rPr>
                                  <w:b/>
                                  <w:i/>
                                  <w:spacing w:val="13"/>
                                  <w:w w:val="125"/>
                                  <w:sz w:val="34"/>
                                </w:rPr>
                                <w:t>RECOMMENDATIONS</w:t>
                              </w:r>
                            </w:p>
                            <w:p>
                              <w:pPr>
                                <w:spacing w:line="278" w:lineRule="auto" w:before="292"/>
                                <w:ind w:left="818" w:right="0" w:firstLine="0"/>
                                <w:jc w:val="left"/>
                                <w:rPr>
                                  <w:rFonts w:ascii="Georgia"/>
                                  <w:sz w:val="19"/>
                                </w:rPr>
                              </w:pPr>
                              <w:r>
                                <w:rPr>
                                  <w:rFonts w:ascii="Georgia"/>
                                  <w:w w:val="105"/>
                                  <w:sz w:val="19"/>
                                </w:rPr>
                                <w:t>Expand existing policies and programs addressing</w:t>
                              </w:r>
                              <w:r>
                                <w:rPr>
                                  <w:rFonts w:ascii="Georgia"/>
                                  <w:spacing w:val="-13"/>
                                  <w:w w:val="105"/>
                                  <w:sz w:val="19"/>
                                </w:rPr>
                                <w:t> </w:t>
                              </w:r>
                              <w:r>
                                <w:rPr>
                                  <w:rFonts w:ascii="Georgia"/>
                                  <w:w w:val="105"/>
                                  <w:sz w:val="19"/>
                                </w:rPr>
                                <w:t>environmental</w:t>
                              </w:r>
                              <w:r>
                                <w:rPr>
                                  <w:rFonts w:ascii="Georgia"/>
                                  <w:spacing w:val="-12"/>
                                  <w:w w:val="105"/>
                                  <w:sz w:val="19"/>
                                </w:rPr>
                                <w:t> </w:t>
                              </w:r>
                              <w:r>
                                <w:rPr>
                                  <w:rFonts w:ascii="Georgia"/>
                                  <w:w w:val="105"/>
                                  <w:sz w:val="19"/>
                                </w:rPr>
                                <w:t>inequities</w:t>
                              </w:r>
                              <w:r>
                                <w:rPr>
                                  <w:rFonts w:ascii="Georgia"/>
                                  <w:spacing w:val="-12"/>
                                  <w:w w:val="105"/>
                                  <w:sz w:val="19"/>
                                </w:rPr>
                                <w:t> </w:t>
                              </w:r>
                              <w:r>
                                <w:rPr>
                                  <w:rFonts w:ascii="Georgia"/>
                                  <w:w w:val="105"/>
                                  <w:sz w:val="19"/>
                                </w:rPr>
                                <w:t>to</w:t>
                              </w:r>
                              <w:r>
                                <w:rPr>
                                  <w:rFonts w:ascii="Georgia"/>
                                  <w:spacing w:val="-12"/>
                                  <w:w w:val="105"/>
                                  <w:sz w:val="19"/>
                                </w:rPr>
                                <w:t> </w:t>
                              </w:r>
                              <w:r>
                                <w:rPr>
                                  <w:rFonts w:ascii="Georgia"/>
                                  <w:w w:val="105"/>
                                  <w:sz w:val="19"/>
                                </w:rPr>
                                <w:t>include and</w:t>
                              </w:r>
                              <w:r>
                                <w:rPr>
                                  <w:rFonts w:ascii="Georgia"/>
                                  <w:spacing w:val="40"/>
                                  <w:w w:val="105"/>
                                  <w:sz w:val="19"/>
                                </w:rPr>
                                <w:t> </w:t>
                              </w:r>
                              <w:r>
                                <w:rPr>
                                  <w:rFonts w:ascii="Georgia"/>
                                  <w:w w:val="105"/>
                                  <w:sz w:val="19"/>
                                </w:rPr>
                                <w:t>LGBTQ</w:t>
                              </w:r>
                              <w:r>
                                <w:rPr>
                                  <w:rFonts w:ascii="Georgia"/>
                                  <w:spacing w:val="-1"/>
                                  <w:w w:val="105"/>
                                  <w:sz w:val="19"/>
                                </w:rPr>
                                <w:t> </w:t>
                              </w:r>
                              <w:r>
                                <w:rPr>
                                  <w:rFonts w:ascii="Georgia"/>
                                  <w:w w:val="105"/>
                                  <w:sz w:val="19"/>
                                </w:rPr>
                                <w:t>youth</w:t>
                              </w:r>
                              <w:r>
                                <w:rPr>
                                  <w:rFonts w:ascii="Georgia"/>
                                  <w:spacing w:val="-1"/>
                                  <w:w w:val="105"/>
                                  <w:sz w:val="19"/>
                                </w:rPr>
                                <w:t> </w:t>
                              </w:r>
                              <w:r>
                                <w:rPr>
                                  <w:rFonts w:ascii="Georgia"/>
                                  <w:w w:val="105"/>
                                  <w:sz w:val="19"/>
                                </w:rPr>
                                <w:t>across</w:t>
                              </w:r>
                              <w:r>
                                <w:rPr>
                                  <w:rFonts w:ascii="Georgia"/>
                                  <w:spacing w:val="-1"/>
                                  <w:w w:val="105"/>
                                  <w:sz w:val="19"/>
                                </w:rPr>
                                <w:t> </w:t>
                              </w:r>
                              <w:r>
                                <w:rPr>
                                  <w:rFonts w:ascii="Georgia"/>
                                  <w:w w:val="105"/>
                                  <w:sz w:val="19"/>
                                </w:rPr>
                                <w:t>the</w:t>
                              </w:r>
                              <w:r>
                                <w:rPr>
                                  <w:rFonts w:ascii="Georgia"/>
                                  <w:spacing w:val="-1"/>
                                  <w:w w:val="105"/>
                                  <w:sz w:val="19"/>
                                </w:rPr>
                                <w:t> </w:t>
                              </w:r>
                              <w:r>
                                <w:rPr>
                                  <w:rFonts w:ascii="Georgia"/>
                                  <w:w w:val="105"/>
                                  <w:sz w:val="19"/>
                                </w:rPr>
                                <w:t>Commonwealth.</w:t>
                              </w:r>
                            </w:p>
                          </w:txbxContent>
                        </wps:txbx>
                        <wps:bodyPr wrap="square" lIns="0" tIns="0" rIns="0" bIns="0" rtlCol="0">
                          <a:noAutofit/>
                        </wps:bodyPr>
                      </wps:wsp>
                      <wps:wsp>
                        <wps:cNvPr id="498" name="Textbox 498"/>
                        <wps:cNvSpPr txBox="1"/>
                        <wps:spPr>
                          <a:xfrm>
                            <a:off x="948261" y="1376055"/>
                            <a:ext cx="1834514" cy="166370"/>
                          </a:xfrm>
                          <a:prstGeom prst="rect">
                            <a:avLst/>
                          </a:prstGeom>
                        </wps:spPr>
                        <wps:txbx>
                          <w:txbxContent>
                            <w:p>
                              <w:pPr>
                                <w:spacing w:before="22"/>
                                <w:ind w:left="20" w:right="0" w:firstLine="0"/>
                                <w:jc w:val="left"/>
                                <w:rPr>
                                  <w:rFonts w:ascii="Georgia"/>
                                  <w:sz w:val="19"/>
                                </w:rPr>
                              </w:pPr>
                              <w:r>
                                <w:rPr>
                                  <w:rFonts w:ascii="Georgia"/>
                                  <w:sz w:val="19"/>
                                </w:rPr>
                                <w:t>Promote</w:t>
                              </w:r>
                              <w:r>
                                <w:rPr>
                                  <w:rFonts w:ascii="Georgia"/>
                                  <w:spacing w:val="16"/>
                                  <w:sz w:val="19"/>
                                </w:rPr>
                                <w:t> </w:t>
                              </w:r>
                              <w:r>
                                <w:rPr>
                                  <w:rFonts w:ascii="Georgia"/>
                                  <w:sz w:val="19"/>
                                </w:rPr>
                                <w:t>QTBIPOC</w:t>
                              </w:r>
                              <w:r>
                                <w:rPr>
                                  <w:rFonts w:ascii="Georgia"/>
                                  <w:spacing w:val="16"/>
                                  <w:sz w:val="19"/>
                                </w:rPr>
                                <w:t> </w:t>
                              </w:r>
                              <w:r>
                                <w:rPr>
                                  <w:rFonts w:ascii="Georgia"/>
                                  <w:sz w:val="19"/>
                                </w:rPr>
                                <w:t>youth</w:t>
                              </w:r>
                              <w:r>
                                <w:rPr>
                                  <w:rFonts w:ascii="Georgia"/>
                                  <w:spacing w:val="16"/>
                                  <w:sz w:val="19"/>
                                </w:rPr>
                                <w:t> </w:t>
                              </w:r>
                              <w:r>
                                <w:rPr>
                                  <w:rFonts w:ascii="Georgia"/>
                                  <w:spacing w:val="-2"/>
                                  <w:sz w:val="19"/>
                                </w:rPr>
                                <w:t>voices.</w:t>
                              </w:r>
                            </w:p>
                          </w:txbxContent>
                        </wps:txbx>
                        <wps:bodyPr wrap="square" lIns="0" tIns="0" rIns="0" bIns="0" rtlCol="0">
                          <a:noAutofit/>
                        </wps:bodyPr>
                      </wps:wsp>
                      <wps:wsp>
                        <wps:cNvPr id="499" name="Textbox 499"/>
                        <wps:cNvSpPr txBox="1"/>
                        <wps:spPr>
                          <a:xfrm>
                            <a:off x="948261" y="1858658"/>
                            <a:ext cx="2159000" cy="325120"/>
                          </a:xfrm>
                          <a:prstGeom prst="rect">
                            <a:avLst/>
                          </a:prstGeom>
                        </wps:spPr>
                        <wps:txbx>
                          <w:txbxContent>
                            <w:p>
                              <w:pPr>
                                <w:spacing w:line="278" w:lineRule="auto" w:before="10"/>
                                <w:ind w:left="20" w:right="38" w:firstLine="0"/>
                                <w:jc w:val="left"/>
                                <w:rPr>
                                  <w:rFonts w:ascii="Georgia"/>
                                  <w:sz w:val="19"/>
                                </w:rPr>
                              </w:pPr>
                              <w:r>
                                <w:rPr>
                                  <w:rFonts w:ascii="Georgia"/>
                                  <w:w w:val="105"/>
                                  <w:sz w:val="19"/>
                                </w:rPr>
                                <w:t>Improve</w:t>
                              </w:r>
                              <w:r>
                                <w:rPr>
                                  <w:rFonts w:ascii="Georgia"/>
                                  <w:spacing w:val="-2"/>
                                  <w:w w:val="105"/>
                                  <w:sz w:val="19"/>
                                </w:rPr>
                                <w:t> </w:t>
                              </w:r>
                              <w:r>
                                <w:rPr>
                                  <w:rFonts w:ascii="Georgia"/>
                                  <w:w w:val="105"/>
                                  <w:sz w:val="19"/>
                                </w:rPr>
                                <w:t>access</w:t>
                              </w:r>
                              <w:r>
                                <w:rPr>
                                  <w:rFonts w:ascii="Georgia"/>
                                  <w:spacing w:val="-2"/>
                                  <w:w w:val="105"/>
                                  <w:sz w:val="19"/>
                                </w:rPr>
                                <w:t> </w:t>
                              </w:r>
                              <w:r>
                                <w:rPr>
                                  <w:rFonts w:ascii="Georgia"/>
                                  <w:w w:val="105"/>
                                  <w:sz w:val="19"/>
                                </w:rPr>
                                <w:t>to</w:t>
                              </w:r>
                              <w:r>
                                <w:rPr>
                                  <w:rFonts w:ascii="Georgia"/>
                                  <w:spacing w:val="-2"/>
                                  <w:w w:val="105"/>
                                  <w:sz w:val="19"/>
                                </w:rPr>
                                <w:t> </w:t>
                              </w:r>
                              <w:r>
                                <w:rPr>
                                  <w:rFonts w:ascii="Georgia"/>
                                  <w:w w:val="105"/>
                                  <w:sz w:val="19"/>
                                </w:rPr>
                                <w:t>quality</w:t>
                              </w:r>
                              <w:r>
                                <w:rPr>
                                  <w:rFonts w:ascii="Georgia"/>
                                  <w:spacing w:val="-2"/>
                                  <w:w w:val="105"/>
                                  <w:sz w:val="19"/>
                                </w:rPr>
                                <w:t> </w:t>
                              </w:r>
                              <w:r>
                                <w:rPr>
                                  <w:rFonts w:ascii="Georgia"/>
                                  <w:w w:val="105"/>
                                  <w:sz w:val="19"/>
                                </w:rPr>
                                <w:t>health</w:t>
                              </w:r>
                              <w:r>
                                <w:rPr>
                                  <w:rFonts w:ascii="Georgia"/>
                                  <w:spacing w:val="-2"/>
                                  <w:w w:val="105"/>
                                  <w:sz w:val="19"/>
                                </w:rPr>
                                <w:t> </w:t>
                              </w:r>
                              <w:r>
                                <w:rPr>
                                  <w:rFonts w:ascii="Georgia"/>
                                  <w:w w:val="105"/>
                                  <w:sz w:val="19"/>
                                </w:rPr>
                                <w:t>care, </w:t>
                              </w:r>
                              <w:r>
                                <w:rPr>
                                  <w:rFonts w:ascii="Georgia"/>
                                  <w:spacing w:val="-2"/>
                                  <w:w w:val="105"/>
                                  <w:sz w:val="19"/>
                                </w:rPr>
                                <w:t>affordable</w:t>
                              </w:r>
                              <w:r>
                                <w:rPr>
                                  <w:rFonts w:ascii="Georgia"/>
                                  <w:spacing w:val="-9"/>
                                  <w:w w:val="105"/>
                                  <w:sz w:val="19"/>
                                </w:rPr>
                                <w:t> </w:t>
                              </w:r>
                              <w:r>
                                <w:rPr>
                                  <w:rFonts w:ascii="Georgia"/>
                                  <w:spacing w:val="-2"/>
                                  <w:w w:val="105"/>
                                  <w:sz w:val="19"/>
                                </w:rPr>
                                <w:t>housing,</w:t>
                              </w:r>
                              <w:r>
                                <w:rPr>
                                  <w:rFonts w:ascii="Georgia"/>
                                  <w:spacing w:val="-9"/>
                                  <w:w w:val="105"/>
                                  <w:sz w:val="19"/>
                                </w:rPr>
                                <w:t> </w:t>
                              </w:r>
                              <w:r>
                                <w:rPr>
                                  <w:rFonts w:ascii="Georgia"/>
                                  <w:spacing w:val="-2"/>
                                  <w:w w:val="105"/>
                                  <w:sz w:val="19"/>
                                </w:rPr>
                                <w:t>and</w:t>
                              </w:r>
                              <w:r>
                                <w:rPr>
                                  <w:rFonts w:ascii="Georgia"/>
                                  <w:spacing w:val="-9"/>
                                  <w:w w:val="105"/>
                                  <w:sz w:val="19"/>
                                </w:rPr>
                                <w:t> </w:t>
                              </w:r>
                              <w:r>
                                <w:rPr>
                                  <w:rFonts w:ascii="Georgia"/>
                                  <w:spacing w:val="-2"/>
                                  <w:w w:val="105"/>
                                  <w:sz w:val="19"/>
                                </w:rPr>
                                <w:t>stable</w:t>
                              </w:r>
                              <w:r>
                                <w:rPr>
                                  <w:rFonts w:ascii="Georgia"/>
                                  <w:spacing w:val="-9"/>
                                  <w:w w:val="105"/>
                                  <w:sz w:val="19"/>
                                </w:rPr>
                                <w:t> </w:t>
                              </w:r>
                              <w:r>
                                <w:rPr>
                                  <w:rFonts w:ascii="Georgia"/>
                                  <w:spacing w:val="-2"/>
                                  <w:w w:val="105"/>
                                  <w:sz w:val="19"/>
                                </w:rPr>
                                <w:t>income.</w:t>
                              </w:r>
                            </w:p>
                          </w:txbxContent>
                        </wps:txbx>
                        <wps:bodyPr wrap="square" lIns="0" tIns="0" rIns="0" bIns="0" rtlCol="0">
                          <a:noAutofit/>
                        </wps:bodyPr>
                      </wps:wsp>
                    </wpg:wgp>
                  </a:graphicData>
                </a:graphic>
              </wp:anchor>
            </w:drawing>
          </mc:Choice>
          <mc:Fallback>
            <w:pict>
              <v:group style="position:absolute;margin-left:26.424976pt;margin-top:491.441559pt;width:298.850pt;height:247.45pt;mso-position-horizontal-relative:page;mso-position-vertical-relative:page;z-index:15821312" id="docshapegroup398" coordorigin="528,9829" coordsize="5977,4949">
                <v:shape style="position:absolute;left:528;top:9828;width:5977;height:4949" type="#_x0000_t75" id="docshape399" stroked="false">
                  <v:imagedata r:id="rId643" o:title=""/>
                </v:shape>
                <v:shape style="position:absolute;left:1223;top:9958;width:5023;height:1485" type="#_x0000_t202" id="docshape400" filled="false" stroked="false">
                  <v:textbox inset="0,0,0,0">
                    <w:txbxContent>
                      <w:p>
                        <w:pPr>
                          <w:spacing w:before="26"/>
                          <w:ind w:left="20" w:right="0" w:firstLine="0"/>
                          <w:jc w:val="left"/>
                          <w:rPr>
                            <w:b/>
                            <w:i/>
                            <w:sz w:val="34"/>
                          </w:rPr>
                        </w:pPr>
                        <w:r>
                          <w:rPr>
                            <w:b/>
                            <w:i/>
                            <w:spacing w:val="13"/>
                            <w:w w:val="125"/>
                            <w:sz w:val="34"/>
                          </w:rPr>
                          <w:t>RECOMMENDATIONS</w:t>
                        </w:r>
                      </w:p>
                      <w:p>
                        <w:pPr>
                          <w:spacing w:line="278" w:lineRule="auto" w:before="292"/>
                          <w:ind w:left="818" w:right="0" w:firstLine="0"/>
                          <w:jc w:val="left"/>
                          <w:rPr>
                            <w:rFonts w:ascii="Georgia"/>
                            <w:sz w:val="19"/>
                          </w:rPr>
                        </w:pPr>
                        <w:r>
                          <w:rPr>
                            <w:rFonts w:ascii="Georgia"/>
                            <w:w w:val="105"/>
                            <w:sz w:val="19"/>
                          </w:rPr>
                          <w:t>Expand existing policies and programs addressing</w:t>
                        </w:r>
                        <w:r>
                          <w:rPr>
                            <w:rFonts w:ascii="Georgia"/>
                            <w:spacing w:val="-13"/>
                            <w:w w:val="105"/>
                            <w:sz w:val="19"/>
                          </w:rPr>
                          <w:t> </w:t>
                        </w:r>
                        <w:r>
                          <w:rPr>
                            <w:rFonts w:ascii="Georgia"/>
                            <w:w w:val="105"/>
                            <w:sz w:val="19"/>
                          </w:rPr>
                          <w:t>environmental</w:t>
                        </w:r>
                        <w:r>
                          <w:rPr>
                            <w:rFonts w:ascii="Georgia"/>
                            <w:spacing w:val="-12"/>
                            <w:w w:val="105"/>
                            <w:sz w:val="19"/>
                          </w:rPr>
                          <w:t> </w:t>
                        </w:r>
                        <w:r>
                          <w:rPr>
                            <w:rFonts w:ascii="Georgia"/>
                            <w:w w:val="105"/>
                            <w:sz w:val="19"/>
                          </w:rPr>
                          <w:t>inequities</w:t>
                        </w:r>
                        <w:r>
                          <w:rPr>
                            <w:rFonts w:ascii="Georgia"/>
                            <w:spacing w:val="-12"/>
                            <w:w w:val="105"/>
                            <w:sz w:val="19"/>
                          </w:rPr>
                          <w:t> </w:t>
                        </w:r>
                        <w:r>
                          <w:rPr>
                            <w:rFonts w:ascii="Georgia"/>
                            <w:w w:val="105"/>
                            <w:sz w:val="19"/>
                          </w:rPr>
                          <w:t>to</w:t>
                        </w:r>
                        <w:r>
                          <w:rPr>
                            <w:rFonts w:ascii="Georgia"/>
                            <w:spacing w:val="-12"/>
                            <w:w w:val="105"/>
                            <w:sz w:val="19"/>
                          </w:rPr>
                          <w:t> </w:t>
                        </w:r>
                        <w:r>
                          <w:rPr>
                            <w:rFonts w:ascii="Georgia"/>
                            <w:w w:val="105"/>
                            <w:sz w:val="19"/>
                          </w:rPr>
                          <w:t>include and</w:t>
                        </w:r>
                        <w:r>
                          <w:rPr>
                            <w:rFonts w:ascii="Georgia"/>
                            <w:spacing w:val="40"/>
                            <w:w w:val="105"/>
                            <w:sz w:val="19"/>
                          </w:rPr>
                          <w:t> </w:t>
                        </w:r>
                        <w:r>
                          <w:rPr>
                            <w:rFonts w:ascii="Georgia"/>
                            <w:w w:val="105"/>
                            <w:sz w:val="19"/>
                          </w:rPr>
                          <w:t>LGBTQ</w:t>
                        </w:r>
                        <w:r>
                          <w:rPr>
                            <w:rFonts w:ascii="Georgia"/>
                            <w:spacing w:val="-1"/>
                            <w:w w:val="105"/>
                            <w:sz w:val="19"/>
                          </w:rPr>
                          <w:t> </w:t>
                        </w:r>
                        <w:r>
                          <w:rPr>
                            <w:rFonts w:ascii="Georgia"/>
                            <w:w w:val="105"/>
                            <w:sz w:val="19"/>
                          </w:rPr>
                          <w:t>youth</w:t>
                        </w:r>
                        <w:r>
                          <w:rPr>
                            <w:rFonts w:ascii="Georgia"/>
                            <w:spacing w:val="-1"/>
                            <w:w w:val="105"/>
                            <w:sz w:val="19"/>
                          </w:rPr>
                          <w:t> </w:t>
                        </w:r>
                        <w:r>
                          <w:rPr>
                            <w:rFonts w:ascii="Georgia"/>
                            <w:w w:val="105"/>
                            <w:sz w:val="19"/>
                          </w:rPr>
                          <w:t>across</w:t>
                        </w:r>
                        <w:r>
                          <w:rPr>
                            <w:rFonts w:ascii="Georgia"/>
                            <w:spacing w:val="-1"/>
                            <w:w w:val="105"/>
                            <w:sz w:val="19"/>
                          </w:rPr>
                          <w:t> </w:t>
                        </w:r>
                        <w:r>
                          <w:rPr>
                            <w:rFonts w:ascii="Georgia"/>
                            <w:w w:val="105"/>
                            <w:sz w:val="19"/>
                          </w:rPr>
                          <w:t>the</w:t>
                        </w:r>
                        <w:r>
                          <w:rPr>
                            <w:rFonts w:ascii="Georgia"/>
                            <w:spacing w:val="-1"/>
                            <w:w w:val="105"/>
                            <w:sz w:val="19"/>
                          </w:rPr>
                          <w:t> </w:t>
                        </w:r>
                        <w:r>
                          <w:rPr>
                            <w:rFonts w:ascii="Georgia"/>
                            <w:w w:val="105"/>
                            <w:sz w:val="19"/>
                          </w:rPr>
                          <w:t>Commonwealth.</w:t>
                        </w:r>
                      </w:p>
                    </w:txbxContent>
                  </v:textbox>
                  <w10:wrap type="none"/>
                </v:shape>
                <v:shape style="position:absolute;left:2021;top:11995;width:2889;height:262" type="#_x0000_t202" id="docshape401" filled="false" stroked="false">
                  <v:textbox inset="0,0,0,0">
                    <w:txbxContent>
                      <w:p>
                        <w:pPr>
                          <w:spacing w:before="22"/>
                          <w:ind w:left="20" w:right="0" w:firstLine="0"/>
                          <w:jc w:val="left"/>
                          <w:rPr>
                            <w:rFonts w:ascii="Georgia"/>
                            <w:sz w:val="19"/>
                          </w:rPr>
                        </w:pPr>
                        <w:r>
                          <w:rPr>
                            <w:rFonts w:ascii="Georgia"/>
                            <w:sz w:val="19"/>
                          </w:rPr>
                          <w:t>Promote</w:t>
                        </w:r>
                        <w:r>
                          <w:rPr>
                            <w:rFonts w:ascii="Georgia"/>
                            <w:spacing w:val="16"/>
                            <w:sz w:val="19"/>
                          </w:rPr>
                          <w:t> </w:t>
                        </w:r>
                        <w:r>
                          <w:rPr>
                            <w:rFonts w:ascii="Georgia"/>
                            <w:sz w:val="19"/>
                          </w:rPr>
                          <w:t>QTBIPOC</w:t>
                        </w:r>
                        <w:r>
                          <w:rPr>
                            <w:rFonts w:ascii="Georgia"/>
                            <w:spacing w:val="16"/>
                            <w:sz w:val="19"/>
                          </w:rPr>
                          <w:t> </w:t>
                        </w:r>
                        <w:r>
                          <w:rPr>
                            <w:rFonts w:ascii="Georgia"/>
                            <w:sz w:val="19"/>
                          </w:rPr>
                          <w:t>youth</w:t>
                        </w:r>
                        <w:r>
                          <w:rPr>
                            <w:rFonts w:ascii="Georgia"/>
                            <w:spacing w:val="16"/>
                            <w:sz w:val="19"/>
                          </w:rPr>
                          <w:t> </w:t>
                        </w:r>
                        <w:r>
                          <w:rPr>
                            <w:rFonts w:ascii="Georgia"/>
                            <w:spacing w:val="-2"/>
                            <w:sz w:val="19"/>
                          </w:rPr>
                          <w:t>voices.</w:t>
                        </w:r>
                      </w:p>
                    </w:txbxContent>
                  </v:textbox>
                  <w10:wrap type="none"/>
                </v:shape>
                <v:shape style="position:absolute;left:2021;top:12755;width:3400;height:512" type="#_x0000_t202" id="docshape402" filled="false" stroked="false">
                  <v:textbox inset="0,0,0,0">
                    <w:txbxContent>
                      <w:p>
                        <w:pPr>
                          <w:spacing w:line="278" w:lineRule="auto" w:before="10"/>
                          <w:ind w:left="20" w:right="38" w:firstLine="0"/>
                          <w:jc w:val="left"/>
                          <w:rPr>
                            <w:rFonts w:ascii="Georgia"/>
                            <w:sz w:val="19"/>
                          </w:rPr>
                        </w:pPr>
                        <w:r>
                          <w:rPr>
                            <w:rFonts w:ascii="Georgia"/>
                            <w:w w:val="105"/>
                            <w:sz w:val="19"/>
                          </w:rPr>
                          <w:t>Improve</w:t>
                        </w:r>
                        <w:r>
                          <w:rPr>
                            <w:rFonts w:ascii="Georgia"/>
                            <w:spacing w:val="-2"/>
                            <w:w w:val="105"/>
                            <w:sz w:val="19"/>
                          </w:rPr>
                          <w:t> </w:t>
                        </w:r>
                        <w:r>
                          <w:rPr>
                            <w:rFonts w:ascii="Georgia"/>
                            <w:w w:val="105"/>
                            <w:sz w:val="19"/>
                          </w:rPr>
                          <w:t>access</w:t>
                        </w:r>
                        <w:r>
                          <w:rPr>
                            <w:rFonts w:ascii="Georgia"/>
                            <w:spacing w:val="-2"/>
                            <w:w w:val="105"/>
                            <w:sz w:val="19"/>
                          </w:rPr>
                          <w:t> </w:t>
                        </w:r>
                        <w:r>
                          <w:rPr>
                            <w:rFonts w:ascii="Georgia"/>
                            <w:w w:val="105"/>
                            <w:sz w:val="19"/>
                          </w:rPr>
                          <w:t>to</w:t>
                        </w:r>
                        <w:r>
                          <w:rPr>
                            <w:rFonts w:ascii="Georgia"/>
                            <w:spacing w:val="-2"/>
                            <w:w w:val="105"/>
                            <w:sz w:val="19"/>
                          </w:rPr>
                          <w:t> </w:t>
                        </w:r>
                        <w:r>
                          <w:rPr>
                            <w:rFonts w:ascii="Georgia"/>
                            <w:w w:val="105"/>
                            <w:sz w:val="19"/>
                          </w:rPr>
                          <w:t>quality</w:t>
                        </w:r>
                        <w:r>
                          <w:rPr>
                            <w:rFonts w:ascii="Georgia"/>
                            <w:spacing w:val="-2"/>
                            <w:w w:val="105"/>
                            <w:sz w:val="19"/>
                          </w:rPr>
                          <w:t> </w:t>
                        </w:r>
                        <w:r>
                          <w:rPr>
                            <w:rFonts w:ascii="Georgia"/>
                            <w:w w:val="105"/>
                            <w:sz w:val="19"/>
                          </w:rPr>
                          <w:t>health</w:t>
                        </w:r>
                        <w:r>
                          <w:rPr>
                            <w:rFonts w:ascii="Georgia"/>
                            <w:spacing w:val="-2"/>
                            <w:w w:val="105"/>
                            <w:sz w:val="19"/>
                          </w:rPr>
                          <w:t> </w:t>
                        </w:r>
                        <w:r>
                          <w:rPr>
                            <w:rFonts w:ascii="Georgia"/>
                            <w:w w:val="105"/>
                            <w:sz w:val="19"/>
                          </w:rPr>
                          <w:t>care, </w:t>
                        </w:r>
                        <w:r>
                          <w:rPr>
                            <w:rFonts w:ascii="Georgia"/>
                            <w:spacing w:val="-2"/>
                            <w:w w:val="105"/>
                            <w:sz w:val="19"/>
                          </w:rPr>
                          <w:t>affordable</w:t>
                        </w:r>
                        <w:r>
                          <w:rPr>
                            <w:rFonts w:ascii="Georgia"/>
                            <w:spacing w:val="-9"/>
                            <w:w w:val="105"/>
                            <w:sz w:val="19"/>
                          </w:rPr>
                          <w:t> </w:t>
                        </w:r>
                        <w:r>
                          <w:rPr>
                            <w:rFonts w:ascii="Georgia"/>
                            <w:spacing w:val="-2"/>
                            <w:w w:val="105"/>
                            <w:sz w:val="19"/>
                          </w:rPr>
                          <w:t>housing,</w:t>
                        </w:r>
                        <w:r>
                          <w:rPr>
                            <w:rFonts w:ascii="Georgia"/>
                            <w:spacing w:val="-9"/>
                            <w:w w:val="105"/>
                            <w:sz w:val="19"/>
                          </w:rPr>
                          <w:t> </w:t>
                        </w:r>
                        <w:r>
                          <w:rPr>
                            <w:rFonts w:ascii="Georgia"/>
                            <w:spacing w:val="-2"/>
                            <w:w w:val="105"/>
                            <w:sz w:val="19"/>
                          </w:rPr>
                          <w:t>and</w:t>
                        </w:r>
                        <w:r>
                          <w:rPr>
                            <w:rFonts w:ascii="Georgia"/>
                            <w:spacing w:val="-9"/>
                            <w:w w:val="105"/>
                            <w:sz w:val="19"/>
                          </w:rPr>
                          <w:t> </w:t>
                        </w:r>
                        <w:r>
                          <w:rPr>
                            <w:rFonts w:ascii="Georgia"/>
                            <w:spacing w:val="-2"/>
                            <w:w w:val="105"/>
                            <w:sz w:val="19"/>
                          </w:rPr>
                          <w:t>stable</w:t>
                        </w:r>
                        <w:r>
                          <w:rPr>
                            <w:rFonts w:ascii="Georgia"/>
                            <w:spacing w:val="-9"/>
                            <w:w w:val="105"/>
                            <w:sz w:val="19"/>
                          </w:rPr>
                          <w:t> </w:t>
                        </w:r>
                        <w:r>
                          <w:rPr>
                            <w:rFonts w:ascii="Georgia"/>
                            <w:spacing w:val="-2"/>
                            <w:w w:val="105"/>
                            <w:sz w:val="19"/>
                          </w:rPr>
                          <w:t>income.</w:t>
                        </w:r>
                      </w:p>
                    </w:txbxContent>
                  </v:textbox>
                  <w10:wrap type="none"/>
                </v:shape>
                <w10:wrap type="none"/>
              </v:group>
            </w:pict>
          </mc:Fallback>
        </mc:AlternateContent>
      </w:r>
    </w:p>
    <w:p>
      <w:pPr>
        <w:pStyle w:val="BodyText"/>
        <w:ind w:left="6077"/>
        <w:rPr>
          <w:rFonts w:ascii="Georgia"/>
          <w:sz w:val="20"/>
        </w:rPr>
      </w:pPr>
      <w:r>
        <w:rPr>
          <w:rFonts w:ascii="Georgia"/>
          <w:sz w:val="20"/>
        </w:rPr>
        <w:drawing>
          <wp:inline distT="0" distB="0" distL="0" distR="0">
            <wp:extent cx="2865345" cy="2454973"/>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644" cstate="print"/>
                    <a:stretch>
                      <a:fillRect/>
                    </a:stretch>
                  </pic:blipFill>
                  <pic:spPr>
                    <a:xfrm>
                      <a:off x="0" y="0"/>
                      <a:ext cx="2865345" cy="2454973"/>
                    </a:xfrm>
                    <a:prstGeom prst="rect">
                      <a:avLst/>
                    </a:prstGeom>
                  </pic:spPr>
                </pic:pic>
              </a:graphicData>
            </a:graphic>
          </wp:inline>
        </w:drawing>
      </w:r>
      <w:r>
        <w:rPr>
          <w:rFonts w:ascii="Georgia"/>
          <w:sz w:val="20"/>
        </w:rPr>
      </w:r>
    </w:p>
    <w:p>
      <w:pPr>
        <w:spacing w:after="0"/>
        <w:rPr>
          <w:rFonts w:ascii="Georgia"/>
          <w:sz w:val="20"/>
        </w:rPr>
        <w:sectPr>
          <w:type w:val="continuous"/>
          <w:pgSz w:w="12240" w:h="15840"/>
          <w:pgMar w:header="0" w:footer="0" w:top="1420" w:bottom="280" w:left="1120" w:right="340"/>
        </w:sectPr>
      </w:pPr>
    </w:p>
    <w:p>
      <w:pPr>
        <w:pStyle w:val="Heading7"/>
        <w:spacing w:before="286"/>
        <w:ind w:left="464"/>
      </w:pPr>
      <w:bookmarkStart w:name="FY 2025 - Economic - Review.pdf" w:id="830"/>
      <w:bookmarkEnd w:id="830"/>
      <w:r>
        <w:rPr/>
      </w:r>
      <w:bookmarkStart w:name="_bookmark554" w:id="831"/>
      <w:bookmarkEnd w:id="831"/>
      <w:r>
        <w:rPr/>
      </w:r>
      <w:hyperlink w:history="true" w:anchor="_bookmark3">
        <w:r>
          <w:rPr>
            <w:color w:val="365F91"/>
            <w:spacing w:val="-10"/>
          </w:rPr>
          <w:t>Examining</w:t>
        </w:r>
        <w:r>
          <w:rPr>
            <w:color w:val="365F91"/>
            <w:spacing w:val="-2"/>
          </w:rPr>
          <w:t> </w:t>
        </w:r>
        <w:r>
          <w:rPr>
            <w:color w:val="365F91"/>
            <w:spacing w:val="-10"/>
          </w:rPr>
          <w:t>Economic</w:t>
        </w:r>
        <w:r>
          <w:rPr>
            <w:color w:val="365F91"/>
          </w:rPr>
          <w:t> </w:t>
        </w:r>
        <w:r>
          <w:rPr>
            <w:color w:val="365F91"/>
            <w:spacing w:val="-10"/>
          </w:rPr>
          <w:t>Justice</w:t>
        </w:r>
      </w:hyperlink>
    </w:p>
    <w:p>
      <w:pPr>
        <w:spacing w:before="314"/>
        <w:ind w:left="464" w:right="0" w:firstLine="0"/>
        <w:jc w:val="left"/>
        <w:rPr>
          <w:sz w:val="28"/>
        </w:rPr>
      </w:pPr>
      <w:bookmarkStart w:name="Introduction" w:id="832"/>
      <w:bookmarkEnd w:id="832"/>
      <w:r>
        <w:rPr/>
      </w: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681024">
                <wp:simplePos x="0" y="0"/>
                <wp:positionH relativeFrom="page">
                  <wp:posOffset>986789</wp:posOffset>
                </wp:positionH>
                <wp:positionV relativeFrom="paragraph">
                  <wp:posOffset>44578</wp:posOffset>
                </wp:positionV>
                <wp:extent cx="5799455" cy="6350"/>
                <wp:effectExtent l="0" t="0" r="0" b="0"/>
                <wp:wrapTopAndBottom/>
                <wp:docPr id="504" name="Graphic 504"/>
                <wp:cNvGraphicFramePr>
                  <a:graphicFrameLocks/>
                </wp:cNvGraphicFramePr>
                <a:graphic>
                  <a:graphicData uri="http://schemas.microsoft.com/office/word/2010/wordprocessingShape">
                    <wps:wsp>
                      <wps:cNvPr id="504" name="Graphic 504"/>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10094pt;width:456.601pt;height:.481pt;mso-position-horizontal-relative:page;mso-position-vertical-relative:paragraph;z-index:-15635456;mso-wrap-distance-left:0;mso-wrap-distance-right:0" id="docshape406" filled="true" fillcolor="#4f81bc" stroked="false">
                <v:fill type="solid"/>
                <w10:wrap type="topAndBottom"/>
              </v:rect>
            </w:pict>
          </mc:Fallback>
        </mc:AlternateContent>
      </w:r>
    </w:p>
    <w:p>
      <w:pPr>
        <w:spacing w:line="276" w:lineRule="auto" w:before="241"/>
        <w:ind w:left="463" w:right="199" w:firstLine="0"/>
        <w:jc w:val="both"/>
        <w:rPr>
          <w:sz w:val="21"/>
        </w:rPr>
      </w:pPr>
      <w:r>
        <w:rPr>
          <w:sz w:val="21"/>
        </w:rPr>
        <w:t>LGBTQ</w:t>
      </w:r>
      <w:r>
        <w:rPr>
          <w:spacing w:val="-2"/>
          <w:sz w:val="21"/>
        </w:rPr>
        <w:t> </w:t>
      </w:r>
      <w:r>
        <w:rPr>
          <w:sz w:val="21"/>
        </w:rPr>
        <w:t>youth</w:t>
      </w:r>
      <w:r>
        <w:rPr>
          <w:spacing w:val="-3"/>
          <w:sz w:val="21"/>
        </w:rPr>
        <w:t> </w:t>
      </w:r>
      <w:r>
        <w:rPr>
          <w:sz w:val="21"/>
        </w:rPr>
        <w:t>in</w:t>
      </w:r>
      <w:r>
        <w:rPr>
          <w:spacing w:val="-2"/>
          <w:sz w:val="21"/>
        </w:rPr>
        <w:t> </w:t>
      </w:r>
      <w:r>
        <w:rPr>
          <w:sz w:val="21"/>
        </w:rPr>
        <w:t>Massachusetts</w:t>
      </w:r>
      <w:r>
        <w:rPr>
          <w:spacing w:val="-2"/>
          <w:sz w:val="21"/>
        </w:rPr>
        <w:t> </w:t>
      </w:r>
      <w:r>
        <w:rPr>
          <w:sz w:val="21"/>
        </w:rPr>
        <w:t>face</w:t>
      </w:r>
      <w:r>
        <w:rPr>
          <w:spacing w:val="-3"/>
          <w:sz w:val="21"/>
        </w:rPr>
        <w:t> </w:t>
      </w:r>
      <w:r>
        <w:rPr>
          <w:sz w:val="21"/>
        </w:rPr>
        <w:t>several</w:t>
      </w:r>
      <w:r>
        <w:rPr>
          <w:spacing w:val="-2"/>
          <w:sz w:val="21"/>
        </w:rPr>
        <w:t> </w:t>
      </w:r>
      <w:r>
        <w:rPr>
          <w:sz w:val="21"/>
        </w:rPr>
        <w:t>barriers</w:t>
      </w:r>
      <w:r>
        <w:rPr>
          <w:spacing w:val="-4"/>
          <w:sz w:val="21"/>
        </w:rPr>
        <w:t> </w:t>
      </w:r>
      <w:r>
        <w:rPr>
          <w:sz w:val="21"/>
        </w:rPr>
        <w:t>to</w:t>
      </w:r>
      <w:r>
        <w:rPr>
          <w:spacing w:val="-3"/>
          <w:sz w:val="21"/>
        </w:rPr>
        <w:t> </w:t>
      </w:r>
      <w:r>
        <w:rPr>
          <w:sz w:val="21"/>
        </w:rPr>
        <w:t>economic</w:t>
      </w:r>
      <w:r>
        <w:rPr>
          <w:spacing w:val="-2"/>
          <w:sz w:val="21"/>
        </w:rPr>
        <w:t> </w:t>
      </w:r>
      <w:r>
        <w:rPr>
          <w:sz w:val="21"/>
        </w:rPr>
        <w:t>success,</w:t>
      </w:r>
      <w:r>
        <w:rPr>
          <w:spacing w:val="-1"/>
          <w:sz w:val="21"/>
        </w:rPr>
        <w:t> </w:t>
      </w:r>
      <w:r>
        <w:rPr>
          <w:sz w:val="21"/>
        </w:rPr>
        <w:t>ranging</w:t>
      </w:r>
      <w:r>
        <w:rPr>
          <w:spacing w:val="-2"/>
          <w:sz w:val="21"/>
        </w:rPr>
        <w:t> </w:t>
      </w:r>
      <w:r>
        <w:rPr>
          <w:sz w:val="21"/>
        </w:rPr>
        <w:t>from</w:t>
      </w:r>
      <w:r>
        <w:rPr>
          <w:spacing w:val="-2"/>
          <w:sz w:val="21"/>
        </w:rPr>
        <w:t> </w:t>
      </w:r>
      <w:r>
        <w:rPr>
          <w:sz w:val="21"/>
        </w:rPr>
        <w:t>lack</w:t>
      </w:r>
      <w:r>
        <w:rPr>
          <w:spacing w:val="-2"/>
          <w:sz w:val="21"/>
        </w:rPr>
        <w:t> </w:t>
      </w:r>
      <w:r>
        <w:rPr>
          <w:sz w:val="21"/>
        </w:rPr>
        <w:t>of</w:t>
      </w:r>
      <w:r>
        <w:rPr>
          <w:spacing w:val="-2"/>
          <w:sz w:val="21"/>
        </w:rPr>
        <w:t> </w:t>
      </w:r>
      <w:r>
        <w:rPr>
          <w:sz w:val="21"/>
        </w:rPr>
        <w:t>educational and</w:t>
      </w:r>
      <w:r>
        <w:rPr>
          <w:spacing w:val="-5"/>
          <w:sz w:val="21"/>
        </w:rPr>
        <w:t> </w:t>
      </w:r>
      <w:r>
        <w:rPr>
          <w:sz w:val="21"/>
        </w:rPr>
        <w:t>career</w:t>
      </w:r>
      <w:r>
        <w:rPr>
          <w:spacing w:val="-5"/>
          <w:sz w:val="21"/>
        </w:rPr>
        <w:t> </w:t>
      </w:r>
      <w:r>
        <w:rPr>
          <w:sz w:val="21"/>
        </w:rPr>
        <w:t>readiness</w:t>
      </w:r>
      <w:r>
        <w:rPr>
          <w:spacing w:val="-6"/>
          <w:sz w:val="21"/>
        </w:rPr>
        <w:t> </w:t>
      </w:r>
      <w:r>
        <w:rPr>
          <w:sz w:val="21"/>
        </w:rPr>
        <w:t>resources</w:t>
      </w:r>
      <w:r>
        <w:rPr>
          <w:spacing w:val="-6"/>
          <w:sz w:val="21"/>
        </w:rPr>
        <w:t> </w:t>
      </w:r>
      <w:r>
        <w:rPr>
          <w:sz w:val="21"/>
        </w:rPr>
        <w:t>to</w:t>
      </w:r>
      <w:r>
        <w:rPr>
          <w:spacing w:val="-6"/>
          <w:sz w:val="21"/>
        </w:rPr>
        <w:t> </w:t>
      </w:r>
      <w:r>
        <w:rPr>
          <w:sz w:val="21"/>
        </w:rPr>
        <w:t>discrimination</w:t>
      </w:r>
      <w:r>
        <w:rPr>
          <w:spacing w:val="-5"/>
          <w:sz w:val="21"/>
        </w:rPr>
        <w:t> </w:t>
      </w:r>
      <w:r>
        <w:rPr>
          <w:sz w:val="21"/>
        </w:rPr>
        <w:t>based</w:t>
      </w:r>
      <w:r>
        <w:rPr>
          <w:spacing w:val="-5"/>
          <w:sz w:val="21"/>
        </w:rPr>
        <w:t> </w:t>
      </w:r>
      <w:r>
        <w:rPr>
          <w:sz w:val="21"/>
        </w:rPr>
        <w:t>on</w:t>
      </w:r>
      <w:r>
        <w:rPr>
          <w:spacing w:val="-5"/>
          <w:sz w:val="21"/>
        </w:rPr>
        <w:t> </w:t>
      </w:r>
      <w:r>
        <w:rPr>
          <w:sz w:val="21"/>
        </w:rPr>
        <w:t>their</w:t>
      </w:r>
      <w:r>
        <w:rPr>
          <w:spacing w:val="-5"/>
          <w:sz w:val="21"/>
        </w:rPr>
        <w:t> </w:t>
      </w:r>
      <w:r>
        <w:rPr>
          <w:sz w:val="21"/>
        </w:rPr>
        <w:t>LGBTQ</w:t>
      </w:r>
      <w:r>
        <w:rPr>
          <w:spacing w:val="-5"/>
          <w:sz w:val="21"/>
        </w:rPr>
        <w:t> </w:t>
      </w:r>
      <w:r>
        <w:rPr>
          <w:sz w:val="21"/>
        </w:rPr>
        <w:t>identity.</w:t>
      </w:r>
      <w:r>
        <w:rPr>
          <w:spacing w:val="-6"/>
          <w:sz w:val="21"/>
        </w:rPr>
        <w:t> </w:t>
      </w:r>
      <w:r>
        <w:rPr>
          <w:sz w:val="21"/>
        </w:rPr>
        <w:t>LGBTQ</w:t>
      </w:r>
      <w:r>
        <w:rPr>
          <w:spacing w:val="-5"/>
          <w:sz w:val="21"/>
        </w:rPr>
        <w:t> </w:t>
      </w:r>
      <w:r>
        <w:rPr>
          <w:sz w:val="21"/>
        </w:rPr>
        <w:t>youth</w:t>
      </w:r>
      <w:r>
        <w:rPr>
          <w:spacing w:val="-5"/>
          <w:sz w:val="21"/>
        </w:rPr>
        <w:t> </w:t>
      </w:r>
      <w:r>
        <w:rPr>
          <w:sz w:val="21"/>
        </w:rPr>
        <w:t>have</w:t>
      </w:r>
      <w:r>
        <w:rPr>
          <w:spacing w:val="-5"/>
          <w:sz w:val="21"/>
        </w:rPr>
        <w:t> </w:t>
      </w:r>
      <w:r>
        <w:rPr>
          <w:sz w:val="21"/>
        </w:rPr>
        <w:t>diverse identities and needs that must be addressed in education to sufficiently prepare them for the workforce. LGBTQ youth are overrepresented in the foster care system due to a lack of supportive homes, are more likely to age out of the foster care system than their cisgender and straight peers and are more likely to experience homelessness when aging out of the foster care system. Youth in the juvenile justice system, including LGBTQ youth, lack quality instruction, educational materials, and support in transitioning out of the</w:t>
      </w:r>
      <w:r>
        <w:rPr>
          <w:spacing w:val="-12"/>
          <w:sz w:val="21"/>
        </w:rPr>
        <w:t> </w:t>
      </w:r>
      <w:r>
        <w:rPr>
          <w:sz w:val="21"/>
        </w:rPr>
        <w:t>system</w:t>
      </w:r>
      <w:r>
        <w:rPr>
          <w:spacing w:val="-11"/>
          <w:sz w:val="21"/>
        </w:rPr>
        <w:t> </w:t>
      </w:r>
      <w:r>
        <w:rPr>
          <w:sz w:val="21"/>
        </w:rPr>
        <w:t>to</w:t>
      </w:r>
      <w:r>
        <w:rPr>
          <w:spacing w:val="-12"/>
          <w:sz w:val="21"/>
        </w:rPr>
        <w:t> </w:t>
      </w:r>
      <w:r>
        <w:rPr>
          <w:sz w:val="21"/>
        </w:rPr>
        <w:t>employment.</w:t>
      </w:r>
      <w:r>
        <w:rPr>
          <w:spacing w:val="-12"/>
          <w:sz w:val="21"/>
        </w:rPr>
        <w:t> </w:t>
      </w:r>
      <w:r>
        <w:rPr>
          <w:sz w:val="21"/>
        </w:rPr>
        <w:t>LGBTQ</w:t>
      </w:r>
      <w:r>
        <w:rPr>
          <w:spacing w:val="-11"/>
          <w:sz w:val="21"/>
        </w:rPr>
        <w:t> </w:t>
      </w:r>
      <w:r>
        <w:rPr>
          <w:sz w:val="21"/>
        </w:rPr>
        <w:t>youth</w:t>
      </w:r>
      <w:r>
        <w:rPr>
          <w:spacing w:val="-12"/>
          <w:sz w:val="21"/>
        </w:rPr>
        <w:t> </w:t>
      </w:r>
      <w:r>
        <w:rPr>
          <w:sz w:val="21"/>
        </w:rPr>
        <w:t>who</w:t>
      </w:r>
      <w:r>
        <w:rPr>
          <w:spacing w:val="-12"/>
          <w:sz w:val="21"/>
        </w:rPr>
        <w:t> </w:t>
      </w:r>
      <w:r>
        <w:rPr>
          <w:sz w:val="21"/>
        </w:rPr>
        <w:t>are</w:t>
      </w:r>
      <w:r>
        <w:rPr>
          <w:spacing w:val="-11"/>
          <w:sz w:val="21"/>
        </w:rPr>
        <w:t> </w:t>
      </w:r>
      <w:r>
        <w:rPr>
          <w:sz w:val="21"/>
        </w:rPr>
        <w:t>immigrants,</w:t>
      </w:r>
      <w:r>
        <w:rPr>
          <w:spacing w:val="-11"/>
          <w:sz w:val="21"/>
        </w:rPr>
        <w:t> </w:t>
      </w:r>
      <w:r>
        <w:rPr>
          <w:sz w:val="21"/>
        </w:rPr>
        <w:t>children</w:t>
      </w:r>
      <w:r>
        <w:rPr>
          <w:spacing w:val="-11"/>
          <w:sz w:val="21"/>
        </w:rPr>
        <w:t> </w:t>
      </w:r>
      <w:r>
        <w:rPr>
          <w:sz w:val="21"/>
        </w:rPr>
        <w:t>of</w:t>
      </w:r>
      <w:r>
        <w:rPr>
          <w:spacing w:val="-12"/>
          <w:sz w:val="21"/>
        </w:rPr>
        <w:t> </w:t>
      </w:r>
      <w:r>
        <w:rPr>
          <w:sz w:val="21"/>
        </w:rPr>
        <w:t>immigrants,</w:t>
      </w:r>
      <w:r>
        <w:rPr>
          <w:spacing w:val="-11"/>
          <w:sz w:val="21"/>
        </w:rPr>
        <w:t> </w:t>
      </w:r>
      <w:r>
        <w:rPr>
          <w:sz w:val="21"/>
        </w:rPr>
        <w:t>or</w:t>
      </w:r>
      <w:r>
        <w:rPr>
          <w:spacing w:val="-11"/>
          <w:sz w:val="21"/>
        </w:rPr>
        <w:t> </w:t>
      </w:r>
      <w:r>
        <w:rPr>
          <w:sz w:val="21"/>
        </w:rPr>
        <w:t>refugees</w:t>
      </w:r>
      <w:r>
        <w:rPr>
          <w:spacing w:val="-12"/>
          <w:sz w:val="21"/>
        </w:rPr>
        <w:t> </w:t>
      </w:r>
      <w:r>
        <w:rPr>
          <w:sz w:val="21"/>
        </w:rPr>
        <w:t>may</w:t>
      </w:r>
      <w:r>
        <w:rPr>
          <w:spacing w:val="-12"/>
          <w:sz w:val="21"/>
        </w:rPr>
        <w:t> </w:t>
      </w:r>
      <w:r>
        <w:rPr>
          <w:sz w:val="21"/>
        </w:rPr>
        <w:t>face language</w:t>
      </w:r>
      <w:r>
        <w:rPr>
          <w:spacing w:val="-1"/>
          <w:sz w:val="21"/>
        </w:rPr>
        <w:t> </w:t>
      </w:r>
      <w:r>
        <w:rPr>
          <w:sz w:val="21"/>
        </w:rPr>
        <w:t>barriers</w:t>
      </w:r>
      <w:r>
        <w:rPr>
          <w:spacing w:val="-1"/>
          <w:sz w:val="21"/>
        </w:rPr>
        <w:t> </w:t>
      </w:r>
      <w:r>
        <w:rPr>
          <w:sz w:val="21"/>
        </w:rPr>
        <w:t>to</w:t>
      </w:r>
      <w:r>
        <w:rPr>
          <w:spacing w:val="-1"/>
          <w:sz w:val="21"/>
        </w:rPr>
        <w:t> </w:t>
      </w:r>
      <w:r>
        <w:rPr>
          <w:sz w:val="21"/>
        </w:rPr>
        <w:t>education</w:t>
      </w:r>
      <w:r>
        <w:rPr>
          <w:spacing w:val="-1"/>
          <w:sz w:val="21"/>
        </w:rPr>
        <w:t> </w:t>
      </w:r>
      <w:r>
        <w:rPr>
          <w:sz w:val="21"/>
        </w:rPr>
        <w:t>and</w:t>
      </w:r>
      <w:r>
        <w:rPr>
          <w:spacing w:val="-1"/>
          <w:sz w:val="21"/>
        </w:rPr>
        <w:t> </w:t>
      </w:r>
      <w:r>
        <w:rPr>
          <w:sz w:val="21"/>
        </w:rPr>
        <w:t>employment, which</w:t>
      </w:r>
      <w:r>
        <w:rPr>
          <w:spacing w:val="-3"/>
          <w:sz w:val="21"/>
        </w:rPr>
        <w:t> </w:t>
      </w:r>
      <w:r>
        <w:rPr>
          <w:sz w:val="21"/>
        </w:rPr>
        <w:t>limit their</w:t>
      </w:r>
      <w:r>
        <w:rPr>
          <w:spacing w:val="-2"/>
          <w:sz w:val="21"/>
        </w:rPr>
        <w:t> </w:t>
      </w:r>
      <w:r>
        <w:rPr>
          <w:sz w:val="21"/>
        </w:rPr>
        <w:t>access</w:t>
      </w:r>
      <w:r>
        <w:rPr>
          <w:spacing w:val="-1"/>
          <w:sz w:val="21"/>
        </w:rPr>
        <w:t> </w:t>
      </w:r>
      <w:r>
        <w:rPr>
          <w:sz w:val="21"/>
        </w:rPr>
        <w:t>to</w:t>
      </w:r>
      <w:r>
        <w:rPr>
          <w:spacing w:val="-1"/>
          <w:sz w:val="21"/>
        </w:rPr>
        <w:t> </w:t>
      </w:r>
      <w:r>
        <w:rPr>
          <w:sz w:val="21"/>
        </w:rPr>
        <w:t>employment opportunities.</w:t>
      </w:r>
      <w:r>
        <w:rPr>
          <w:spacing w:val="-1"/>
          <w:sz w:val="21"/>
        </w:rPr>
        <w:t> </w:t>
      </w:r>
      <w:r>
        <w:rPr>
          <w:sz w:val="21"/>
        </w:rPr>
        <w:t>In general, LGBTQ high school students lack appropriate resources on career readiness and navigating being LGBTQ in the workplace.</w:t>
      </w:r>
    </w:p>
    <w:p>
      <w:pPr>
        <w:spacing w:line="276" w:lineRule="auto" w:before="242"/>
        <w:ind w:left="463" w:right="198" w:firstLine="0"/>
        <w:jc w:val="both"/>
        <w:rPr>
          <w:sz w:val="21"/>
        </w:rPr>
      </w:pPr>
      <w:r>
        <w:rPr>
          <w:sz w:val="21"/>
        </w:rPr>
        <w:t>Once they transition from education to the labor force, LGBTQ youth experience higher unemployment rates</w:t>
      </w:r>
      <w:r>
        <w:rPr>
          <w:spacing w:val="-5"/>
          <w:sz w:val="21"/>
        </w:rPr>
        <w:t> </w:t>
      </w:r>
      <w:r>
        <w:rPr>
          <w:sz w:val="21"/>
        </w:rPr>
        <w:t>than</w:t>
      </w:r>
      <w:r>
        <w:rPr>
          <w:spacing w:val="-4"/>
          <w:sz w:val="21"/>
        </w:rPr>
        <w:t> </w:t>
      </w:r>
      <w:r>
        <w:rPr>
          <w:sz w:val="21"/>
        </w:rPr>
        <w:t>their</w:t>
      </w:r>
      <w:r>
        <w:rPr>
          <w:spacing w:val="-4"/>
          <w:sz w:val="21"/>
        </w:rPr>
        <w:t> </w:t>
      </w:r>
      <w:r>
        <w:rPr>
          <w:sz w:val="21"/>
        </w:rPr>
        <w:t>cisgender</w:t>
      </w:r>
      <w:r>
        <w:rPr>
          <w:spacing w:val="-4"/>
          <w:sz w:val="21"/>
        </w:rPr>
        <w:t> </w:t>
      </w:r>
      <w:r>
        <w:rPr>
          <w:sz w:val="21"/>
        </w:rPr>
        <w:t>and</w:t>
      </w:r>
      <w:r>
        <w:rPr>
          <w:spacing w:val="-4"/>
          <w:sz w:val="21"/>
        </w:rPr>
        <w:t> </w:t>
      </w:r>
      <w:r>
        <w:rPr>
          <w:sz w:val="21"/>
        </w:rPr>
        <w:t>straight</w:t>
      </w:r>
      <w:r>
        <w:rPr>
          <w:spacing w:val="-4"/>
          <w:sz w:val="21"/>
        </w:rPr>
        <w:t> </w:t>
      </w:r>
      <w:r>
        <w:rPr>
          <w:sz w:val="21"/>
        </w:rPr>
        <w:t>peers</w:t>
      </w:r>
      <w:r>
        <w:rPr>
          <w:spacing w:val="-5"/>
          <w:sz w:val="21"/>
        </w:rPr>
        <w:t> </w:t>
      </w:r>
      <w:r>
        <w:rPr>
          <w:sz w:val="21"/>
        </w:rPr>
        <w:t>due</w:t>
      </w:r>
      <w:r>
        <w:rPr>
          <w:spacing w:val="-4"/>
          <w:sz w:val="21"/>
        </w:rPr>
        <w:t> </w:t>
      </w:r>
      <w:r>
        <w:rPr>
          <w:sz w:val="21"/>
        </w:rPr>
        <w:t>to</w:t>
      </w:r>
      <w:r>
        <w:rPr>
          <w:spacing w:val="-5"/>
          <w:sz w:val="21"/>
        </w:rPr>
        <w:t> </w:t>
      </w:r>
      <w:r>
        <w:rPr>
          <w:sz w:val="21"/>
        </w:rPr>
        <w:t>several</w:t>
      </w:r>
      <w:r>
        <w:rPr>
          <w:spacing w:val="-5"/>
          <w:sz w:val="21"/>
        </w:rPr>
        <w:t> </w:t>
      </w:r>
      <w:r>
        <w:rPr>
          <w:sz w:val="21"/>
        </w:rPr>
        <w:t>factors,</w:t>
      </w:r>
      <w:r>
        <w:rPr>
          <w:spacing w:val="-4"/>
          <w:sz w:val="21"/>
        </w:rPr>
        <w:t> </w:t>
      </w:r>
      <w:r>
        <w:rPr>
          <w:sz w:val="21"/>
        </w:rPr>
        <w:t>and</w:t>
      </w:r>
      <w:r>
        <w:rPr>
          <w:spacing w:val="-4"/>
          <w:sz w:val="21"/>
        </w:rPr>
        <w:t> </w:t>
      </w:r>
      <w:r>
        <w:rPr>
          <w:sz w:val="21"/>
        </w:rPr>
        <w:t>often</w:t>
      </w:r>
      <w:r>
        <w:rPr>
          <w:spacing w:val="-4"/>
          <w:sz w:val="21"/>
        </w:rPr>
        <w:t> </w:t>
      </w:r>
      <w:r>
        <w:rPr>
          <w:sz w:val="21"/>
        </w:rPr>
        <w:t>face</w:t>
      </w:r>
      <w:r>
        <w:rPr>
          <w:spacing w:val="-3"/>
          <w:sz w:val="21"/>
        </w:rPr>
        <w:t> </w:t>
      </w:r>
      <w:r>
        <w:rPr>
          <w:sz w:val="21"/>
        </w:rPr>
        <w:t>discrimination</w:t>
      </w:r>
      <w:r>
        <w:rPr>
          <w:spacing w:val="-4"/>
          <w:sz w:val="21"/>
        </w:rPr>
        <w:t> </w:t>
      </w:r>
      <w:r>
        <w:rPr>
          <w:sz w:val="21"/>
        </w:rPr>
        <w:t>based</w:t>
      </w:r>
      <w:r>
        <w:rPr>
          <w:spacing w:val="-4"/>
          <w:sz w:val="21"/>
        </w:rPr>
        <w:t> </w:t>
      </w:r>
      <w:r>
        <w:rPr>
          <w:sz w:val="21"/>
        </w:rPr>
        <w:t>on their</w:t>
      </w:r>
      <w:r>
        <w:rPr>
          <w:spacing w:val="-4"/>
          <w:sz w:val="21"/>
        </w:rPr>
        <w:t> </w:t>
      </w:r>
      <w:r>
        <w:rPr>
          <w:sz w:val="21"/>
        </w:rPr>
        <w:t>race</w:t>
      </w:r>
      <w:r>
        <w:rPr>
          <w:spacing w:val="-4"/>
          <w:sz w:val="21"/>
        </w:rPr>
        <w:t> </w:t>
      </w:r>
      <w:r>
        <w:rPr>
          <w:sz w:val="21"/>
        </w:rPr>
        <w:t>and</w:t>
      </w:r>
      <w:r>
        <w:rPr>
          <w:spacing w:val="-4"/>
          <w:sz w:val="21"/>
        </w:rPr>
        <w:t> </w:t>
      </w:r>
      <w:r>
        <w:rPr>
          <w:sz w:val="21"/>
        </w:rPr>
        <w:t>gender</w:t>
      </w:r>
      <w:r>
        <w:rPr>
          <w:spacing w:val="-4"/>
          <w:sz w:val="21"/>
        </w:rPr>
        <w:t> </w:t>
      </w:r>
      <w:r>
        <w:rPr>
          <w:sz w:val="21"/>
        </w:rPr>
        <w:t>identity,</w:t>
      </w:r>
      <w:r>
        <w:rPr>
          <w:spacing w:val="-4"/>
          <w:sz w:val="21"/>
        </w:rPr>
        <w:t> </w:t>
      </w:r>
      <w:r>
        <w:rPr>
          <w:sz w:val="21"/>
        </w:rPr>
        <w:t>which</w:t>
      </w:r>
      <w:r>
        <w:rPr>
          <w:spacing w:val="-4"/>
          <w:sz w:val="21"/>
        </w:rPr>
        <w:t> </w:t>
      </w:r>
      <w:r>
        <w:rPr>
          <w:sz w:val="21"/>
        </w:rPr>
        <w:t>makes</w:t>
      </w:r>
      <w:r>
        <w:rPr>
          <w:spacing w:val="-4"/>
          <w:sz w:val="21"/>
        </w:rPr>
        <w:t> </w:t>
      </w:r>
      <w:r>
        <w:rPr>
          <w:sz w:val="21"/>
        </w:rPr>
        <w:t>it</w:t>
      </w:r>
      <w:r>
        <w:rPr>
          <w:spacing w:val="-4"/>
          <w:sz w:val="21"/>
        </w:rPr>
        <w:t> </w:t>
      </w:r>
      <w:r>
        <w:rPr>
          <w:sz w:val="21"/>
        </w:rPr>
        <w:t>difficult</w:t>
      </w:r>
      <w:r>
        <w:rPr>
          <w:spacing w:val="-4"/>
          <w:sz w:val="21"/>
        </w:rPr>
        <w:t> </w:t>
      </w:r>
      <w:r>
        <w:rPr>
          <w:sz w:val="21"/>
        </w:rPr>
        <w:t>to</w:t>
      </w:r>
      <w:r>
        <w:rPr>
          <w:spacing w:val="-4"/>
          <w:sz w:val="21"/>
        </w:rPr>
        <w:t> </w:t>
      </w:r>
      <w:r>
        <w:rPr>
          <w:sz w:val="21"/>
        </w:rPr>
        <w:t>obtain</w:t>
      </w:r>
      <w:r>
        <w:rPr>
          <w:spacing w:val="-4"/>
          <w:sz w:val="21"/>
        </w:rPr>
        <w:t> </w:t>
      </w:r>
      <w:r>
        <w:rPr>
          <w:sz w:val="21"/>
        </w:rPr>
        <w:t>employment</w:t>
      </w:r>
      <w:r>
        <w:rPr>
          <w:spacing w:val="-4"/>
          <w:sz w:val="21"/>
        </w:rPr>
        <w:t> </w:t>
      </w:r>
      <w:r>
        <w:rPr>
          <w:sz w:val="21"/>
        </w:rPr>
        <w:t>and</w:t>
      </w:r>
      <w:r>
        <w:rPr>
          <w:spacing w:val="-6"/>
          <w:sz w:val="21"/>
        </w:rPr>
        <w:t> </w:t>
      </w:r>
      <w:r>
        <w:rPr>
          <w:sz w:val="21"/>
        </w:rPr>
        <w:t>maintain</w:t>
      </w:r>
      <w:r>
        <w:rPr>
          <w:spacing w:val="-4"/>
          <w:sz w:val="21"/>
        </w:rPr>
        <w:t> </w:t>
      </w:r>
      <w:r>
        <w:rPr>
          <w:sz w:val="21"/>
        </w:rPr>
        <w:t>job</w:t>
      </w:r>
      <w:r>
        <w:rPr>
          <w:spacing w:val="-4"/>
          <w:sz w:val="21"/>
        </w:rPr>
        <w:t> </w:t>
      </w:r>
      <w:r>
        <w:rPr>
          <w:sz w:val="21"/>
        </w:rPr>
        <w:t>stability.</w:t>
      </w:r>
      <w:r>
        <w:rPr>
          <w:spacing w:val="-4"/>
          <w:sz w:val="21"/>
        </w:rPr>
        <w:t> </w:t>
      </w:r>
      <w:r>
        <w:rPr>
          <w:sz w:val="21"/>
        </w:rPr>
        <w:t>As a result, LGBTQ youth can experience homelessness or housing instability at a higher rate than their cisgender and straight counterparts, which makes it difficult to obtain work or job stability. In Massachusetts</w:t>
      </w:r>
      <w:r>
        <w:rPr>
          <w:spacing w:val="-8"/>
          <w:sz w:val="21"/>
        </w:rPr>
        <w:t> </w:t>
      </w:r>
      <w:r>
        <w:rPr>
          <w:sz w:val="21"/>
        </w:rPr>
        <w:t>in</w:t>
      </w:r>
      <w:r>
        <w:rPr>
          <w:spacing w:val="-8"/>
          <w:sz w:val="21"/>
        </w:rPr>
        <w:t> </w:t>
      </w:r>
      <w:r>
        <w:rPr>
          <w:sz w:val="21"/>
        </w:rPr>
        <w:t>general,</w:t>
      </w:r>
      <w:r>
        <w:rPr>
          <w:spacing w:val="-7"/>
          <w:sz w:val="21"/>
        </w:rPr>
        <w:t> </w:t>
      </w:r>
      <w:r>
        <w:rPr>
          <w:sz w:val="21"/>
        </w:rPr>
        <w:t>there</w:t>
      </w:r>
      <w:r>
        <w:rPr>
          <w:spacing w:val="-8"/>
          <w:sz w:val="21"/>
        </w:rPr>
        <w:t> </w:t>
      </w:r>
      <w:r>
        <w:rPr>
          <w:sz w:val="21"/>
        </w:rPr>
        <w:t>is</w:t>
      </w:r>
      <w:r>
        <w:rPr>
          <w:spacing w:val="-8"/>
          <w:sz w:val="21"/>
        </w:rPr>
        <w:t> </w:t>
      </w:r>
      <w:r>
        <w:rPr>
          <w:sz w:val="21"/>
        </w:rPr>
        <w:t>a</w:t>
      </w:r>
      <w:r>
        <w:rPr>
          <w:spacing w:val="-7"/>
          <w:sz w:val="21"/>
        </w:rPr>
        <w:t> </w:t>
      </w:r>
      <w:r>
        <w:rPr>
          <w:sz w:val="21"/>
        </w:rPr>
        <w:t>concentration</w:t>
      </w:r>
      <w:r>
        <w:rPr>
          <w:spacing w:val="-8"/>
          <w:sz w:val="21"/>
        </w:rPr>
        <w:t> </w:t>
      </w:r>
      <w:r>
        <w:rPr>
          <w:sz w:val="21"/>
        </w:rPr>
        <w:t>of</w:t>
      </w:r>
      <w:r>
        <w:rPr>
          <w:spacing w:val="-8"/>
          <w:sz w:val="21"/>
        </w:rPr>
        <w:t> </w:t>
      </w:r>
      <w:r>
        <w:rPr>
          <w:sz w:val="21"/>
        </w:rPr>
        <w:t>job</w:t>
      </w:r>
      <w:r>
        <w:rPr>
          <w:spacing w:val="-8"/>
          <w:sz w:val="21"/>
        </w:rPr>
        <w:t> </w:t>
      </w:r>
      <w:r>
        <w:rPr>
          <w:sz w:val="21"/>
        </w:rPr>
        <w:t>opportunities</w:t>
      </w:r>
      <w:r>
        <w:rPr>
          <w:spacing w:val="-8"/>
          <w:sz w:val="21"/>
        </w:rPr>
        <w:t> </w:t>
      </w:r>
      <w:r>
        <w:rPr>
          <w:sz w:val="21"/>
        </w:rPr>
        <w:t>in</w:t>
      </w:r>
      <w:r>
        <w:rPr>
          <w:spacing w:val="-8"/>
          <w:sz w:val="21"/>
        </w:rPr>
        <w:t> </w:t>
      </w:r>
      <w:r>
        <w:rPr>
          <w:sz w:val="21"/>
        </w:rPr>
        <w:t>the</w:t>
      </w:r>
      <w:r>
        <w:rPr>
          <w:spacing w:val="-9"/>
          <w:sz w:val="21"/>
        </w:rPr>
        <w:t> </w:t>
      </w:r>
      <w:r>
        <w:rPr>
          <w:sz w:val="21"/>
        </w:rPr>
        <w:t>metro</w:t>
      </w:r>
      <w:r>
        <w:rPr>
          <w:spacing w:val="-8"/>
          <w:sz w:val="21"/>
        </w:rPr>
        <w:t> </w:t>
      </w:r>
      <w:r>
        <w:rPr>
          <w:sz w:val="21"/>
        </w:rPr>
        <w:t>Boston</w:t>
      </w:r>
      <w:r>
        <w:rPr>
          <w:spacing w:val="-8"/>
          <w:sz w:val="21"/>
        </w:rPr>
        <w:t> </w:t>
      </w:r>
      <w:r>
        <w:rPr>
          <w:sz w:val="21"/>
        </w:rPr>
        <w:t>area.</w:t>
      </w:r>
      <w:r>
        <w:rPr>
          <w:spacing w:val="-8"/>
          <w:sz w:val="21"/>
        </w:rPr>
        <w:t> </w:t>
      </w:r>
      <w:r>
        <w:rPr>
          <w:sz w:val="21"/>
        </w:rPr>
        <w:t>However, there</w:t>
      </w:r>
      <w:r>
        <w:rPr>
          <w:spacing w:val="-3"/>
          <w:sz w:val="21"/>
        </w:rPr>
        <w:t> </w:t>
      </w:r>
      <w:r>
        <w:rPr>
          <w:sz w:val="21"/>
        </w:rPr>
        <w:t>is</w:t>
      </w:r>
      <w:r>
        <w:rPr>
          <w:spacing w:val="-3"/>
          <w:sz w:val="21"/>
        </w:rPr>
        <w:t> </w:t>
      </w:r>
      <w:r>
        <w:rPr>
          <w:sz w:val="21"/>
        </w:rPr>
        <w:t>limited</w:t>
      </w:r>
      <w:r>
        <w:rPr>
          <w:spacing w:val="-3"/>
          <w:sz w:val="21"/>
        </w:rPr>
        <w:t> </w:t>
      </w:r>
      <w:r>
        <w:rPr>
          <w:sz w:val="21"/>
        </w:rPr>
        <w:t>access</w:t>
      </w:r>
      <w:r>
        <w:rPr>
          <w:spacing w:val="-4"/>
          <w:sz w:val="21"/>
        </w:rPr>
        <w:t> </w:t>
      </w:r>
      <w:r>
        <w:rPr>
          <w:sz w:val="21"/>
        </w:rPr>
        <w:t>to</w:t>
      </w:r>
      <w:r>
        <w:rPr>
          <w:spacing w:val="-4"/>
          <w:sz w:val="21"/>
        </w:rPr>
        <w:t> </w:t>
      </w:r>
      <w:r>
        <w:rPr>
          <w:sz w:val="21"/>
        </w:rPr>
        <w:t>public</w:t>
      </w:r>
      <w:r>
        <w:rPr>
          <w:spacing w:val="-3"/>
          <w:sz w:val="21"/>
        </w:rPr>
        <w:t> </w:t>
      </w:r>
      <w:r>
        <w:rPr>
          <w:sz w:val="21"/>
        </w:rPr>
        <w:t>transportation</w:t>
      </w:r>
      <w:r>
        <w:rPr>
          <w:spacing w:val="-3"/>
          <w:sz w:val="21"/>
        </w:rPr>
        <w:t> </w:t>
      </w:r>
      <w:r>
        <w:rPr>
          <w:sz w:val="21"/>
        </w:rPr>
        <w:t>from</w:t>
      </w:r>
      <w:r>
        <w:rPr>
          <w:spacing w:val="-3"/>
          <w:sz w:val="21"/>
        </w:rPr>
        <w:t> </w:t>
      </w:r>
      <w:r>
        <w:rPr>
          <w:sz w:val="21"/>
        </w:rPr>
        <w:t>suburban</w:t>
      </w:r>
      <w:r>
        <w:rPr>
          <w:spacing w:val="-3"/>
          <w:sz w:val="21"/>
        </w:rPr>
        <w:t> </w:t>
      </w:r>
      <w:r>
        <w:rPr>
          <w:sz w:val="21"/>
        </w:rPr>
        <w:t>and</w:t>
      </w:r>
      <w:r>
        <w:rPr>
          <w:spacing w:val="-3"/>
          <w:sz w:val="21"/>
        </w:rPr>
        <w:t> </w:t>
      </w:r>
      <w:r>
        <w:rPr>
          <w:sz w:val="21"/>
        </w:rPr>
        <w:t>rural</w:t>
      </w:r>
      <w:r>
        <w:rPr>
          <w:spacing w:val="-3"/>
          <w:sz w:val="21"/>
        </w:rPr>
        <w:t> </w:t>
      </w:r>
      <w:r>
        <w:rPr>
          <w:sz w:val="21"/>
        </w:rPr>
        <w:t>areas,</w:t>
      </w:r>
      <w:r>
        <w:rPr>
          <w:spacing w:val="-4"/>
          <w:sz w:val="21"/>
        </w:rPr>
        <w:t> </w:t>
      </w:r>
      <w:r>
        <w:rPr>
          <w:sz w:val="21"/>
        </w:rPr>
        <w:t>a</w:t>
      </w:r>
      <w:r>
        <w:rPr>
          <w:spacing w:val="-4"/>
          <w:sz w:val="21"/>
        </w:rPr>
        <w:t> </w:t>
      </w:r>
      <w:r>
        <w:rPr>
          <w:sz w:val="21"/>
        </w:rPr>
        <w:t>shift</w:t>
      </w:r>
      <w:r>
        <w:rPr>
          <w:spacing w:val="-3"/>
          <w:sz w:val="21"/>
        </w:rPr>
        <w:t> </w:t>
      </w:r>
      <w:r>
        <w:rPr>
          <w:sz w:val="21"/>
        </w:rPr>
        <w:t>from</w:t>
      </w:r>
      <w:r>
        <w:rPr>
          <w:spacing w:val="-3"/>
          <w:sz w:val="21"/>
        </w:rPr>
        <w:t> </w:t>
      </w:r>
      <w:r>
        <w:rPr>
          <w:sz w:val="21"/>
        </w:rPr>
        <w:t>remote</w:t>
      </w:r>
      <w:r>
        <w:rPr>
          <w:spacing w:val="-3"/>
          <w:sz w:val="21"/>
        </w:rPr>
        <w:t> </w:t>
      </w:r>
      <w:r>
        <w:rPr>
          <w:sz w:val="21"/>
        </w:rPr>
        <w:t>work</w:t>
      </w:r>
      <w:r>
        <w:rPr>
          <w:spacing w:val="-4"/>
          <w:sz w:val="21"/>
        </w:rPr>
        <w:t> </w:t>
      </w:r>
      <w:r>
        <w:rPr>
          <w:sz w:val="21"/>
        </w:rPr>
        <w:t>to in-person or hybrid work, and a lack of accessible public transportation for youth with disabilities. This makes</w:t>
      </w:r>
      <w:r>
        <w:rPr>
          <w:spacing w:val="-12"/>
          <w:sz w:val="21"/>
        </w:rPr>
        <w:t> </w:t>
      </w:r>
      <w:r>
        <w:rPr>
          <w:sz w:val="21"/>
        </w:rPr>
        <w:t>it</w:t>
      </w:r>
      <w:r>
        <w:rPr>
          <w:spacing w:val="-12"/>
          <w:sz w:val="21"/>
        </w:rPr>
        <w:t> </w:t>
      </w:r>
      <w:r>
        <w:rPr>
          <w:sz w:val="21"/>
        </w:rPr>
        <w:t>difficult</w:t>
      </w:r>
      <w:r>
        <w:rPr>
          <w:spacing w:val="-12"/>
          <w:sz w:val="21"/>
        </w:rPr>
        <w:t> </w:t>
      </w:r>
      <w:r>
        <w:rPr>
          <w:sz w:val="21"/>
        </w:rPr>
        <w:t>for</w:t>
      </w:r>
      <w:r>
        <w:rPr>
          <w:spacing w:val="-11"/>
          <w:sz w:val="21"/>
        </w:rPr>
        <w:t> </w:t>
      </w:r>
      <w:r>
        <w:rPr>
          <w:sz w:val="21"/>
        </w:rPr>
        <w:t>those</w:t>
      </w:r>
      <w:r>
        <w:rPr>
          <w:spacing w:val="-12"/>
          <w:sz w:val="21"/>
        </w:rPr>
        <w:t> </w:t>
      </w:r>
      <w:r>
        <w:rPr>
          <w:sz w:val="21"/>
        </w:rPr>
        <w:t>who</w:t>
      </w:r>
      <w:r>
        <w:rPr>
          <w:spacing w:val="-12"/>
          <w:sz w:val="21"/>
        </w:rPr>
        <w:t> </w:t>
      </w:r>
      <w:r>
        <w:rPr>
          <w:sz w:val="21"/>
        </w:rPr>
        <w:t>already</w:t>
      </w:r>
      <w:r>
        <w:rPr>
          <w:spacing w:val="-12"/>
          <w:sz w:val="21"/>
        </w:rPr>
        <w:t> </w:t>
      </w:r>
      <w:r>
        <w:rPr>
          <w:sz w:val="21"/>
        </w:rPr>
        <w:t>face</w:t>
      </w:r>
      <w:r>
        <w:rPr>
          <w:spacing w:val="-12"/>
          <w:sz w:val="21"/>
        </w:rPr>
        <w:t> </w:t>
      </w:r>
      <w:r>
        <w:rPr>
          <w:sz w:val="21"/>
        </w:rPr>
        <w:t>a</w:t>
      </w:r>
      <w:r>
        <w:rPr>
          <w:spacing w:val="-11"/>
          <w:sz w:val="21"/>
        </w:rPr>
        <w:t> </w:t>
      </w:r>
      <w:r>
        <w:rPr>
          <w:sz w:val="21"/>
        </w:rPr>
        <w:t>lack</w:t>
      </w:r>
      <w:r>
        <w:rPr>
          <w:spacing w:val="-12"/>
          <w:sz w:val="21"/>
        </w:rPr>
        <w:t> </w:t>
      </w:r>
      <w:r>
        <w:rPr>
          <w:sz w:val="21"/>
        </w:rPr>
        <w:t>of</w:t>
      </w:r>
      <w:r>
        <w:rPr>
          <w:spacing w:val="-12"/>
          <w:sz w:val="21"/>
        </w:rPr>
        <w:t> </w:t>
      </w:r>
      <w:r>
        <w:rPr>
          <w:sz w:val="21"/>
        </w:rPr>
        <w:t>career</w:t>
      </w:r>
      <w:r>
        <w:rPr>
          <w:spacing w:val="-11"/>
          <w:sz w:val="21"/>
        </w:rPr>
        <w:t> </w:t>
      </w:r>
      <w:r>
        <w:rPr>
          <w:sz w:val="21"/>
        </w:rPr>
        <w:t>opportunities</w:t>
      </w:r>
      <w:r>
        <w:rPr>
          <w:spacing w:val="-12"/>
          <w:sz w:val="21"/>
        </w:rPr>
        <w:t> </w:t>
      </w:r>
      <w:r>
        <w:rPr>
          <w:sz w:val="21"/>
        </w:rPr>
        <w:t>based</w:t>
      </w:r>
      <w:r>
        <w:rPr>
          <w:spacing w:val="-11"/>
          <w:sz w:val="21"/>
        </w:rPr>
        <w:t> </w:t>
      </w:r>
      <w:r>
        <w:rPr>
          <w:sz w:val="21"/>
        </w:rPr>
        <w:t>on</w:t>
      </w:r>
      <w:r>
        <w:rPr>
          <w:spacing w:val="-11"/>
          <w:sz w:val="21"/>
        </w:rPr>
        <w:t> </w:t>
      </w:r>
      <w:r>
        <w:rPr>
          <w:sz w:val="21"/>
        </w:rPr>
        <w:t>their</w:t>
      </w:r>
      <w:r>
        <w:rPr>
          <w:spacing w:val="-12"/>
          <w:sz w:val="21"/>
        </w:rPr>
        <w:t> </w:t>
      </w:r>
      <w:r>
        <w:rPr>
          <w:sz w:val="21"/>
        </w:rPr>
        <w:t>location,</w:t>
      </w:r>
      <w:r>
        <w:rPr>
          <w:spacing w:val="-12"/>
          <w:sz w:val="21"/>
        </w:rPr>
        <w:t> </w:t>
      </w:r>
      <w:r>
        <w:rPr>
          <w:sz w:val="21"/>
        </w:rPr>
        <w:t>especially those</w:t>
      </w:r>
      <w:r>
        <w:rPr>
          <w:spacing w:val="-7"/>
          <w:sz w:val="21"/>
        </w:rPr>
        <w:t> </w:t>
      </w:r>
      <w:r>
        <w:rPr>
          <w:sz w:val="21"/>
        </w:rPr>
        <w:t>in</w:t>
      </w:r>
      <w:r>
        <w:rPr>
          <w:spacing w:val="-8"/>
          <w:sz w:val="21"/>
        </w:rPr>
        <w:t> </w:t>
      </w:r>
      <w:r>
        <w:rPr>
          <w:sz w:val="21"/>
        </w:rPr>
        <w:t>Western</w:t>
      </w:r>
      <w:r>
        <w:rPr>
          <w:spacing w:val="-7"/>
          <w:sz w:val="21"/>
        </w:rPr>
        <w:t> </w:t>
      </w:r>
      <w:r>
        <w:rPr>
          <w:sz w:val="21"/>
        </w:rPr>
        <w:t>Mass</w:t>
      </w:r>
      <w:r>
        <w:rPr>
          <w:spacing w:val="-8"/>
          <w:sz w:val="21"/>
        </w:rPr>
        <w:t> </w:t>
      </w:r>
      <w:r>
        <w:rPr>
          <w:sz w:val="21"/>
        </w:rPr>
        <w:t>and</w:t>
      </w:r>
      <w:r>
        <w:rPr>
          <w:spacing w:val="-8"/>
          <w:sz w:val="21"/>
        </w:rPr>
        <w:t> </w:t>
      </w:r>
      <w:r>
        <w:rPr>
          <w:sz w:val="21"/>
        </w:rPr>
        <w:t>rural</w:t>
      </w:r>
      <w:r>
        <w:rPr>
          <w:spacing w:val="-7"/>
          <w:sz w:val="21"/>
        </w:rPr>
        <w:t> </w:t>
      </w:r>
      <w:r>
        <w:rPr>
          <w:sz w:val="21"/>
        </w:rPr>
        <w:t>areas,</w:t>
      </w:r>
      <w:r>
        <w:rPr>
          <w:spacing w:val="-7"/>
          <w:sz w:val="21"/>
        </w:rPr>
        <w:t> </w:t>
      </w:r>
      <w:r>
        <w:rPr>
          <w:sz w:val="21"/>
        </w:rPr>
        <w:t>to</w:t>
      </w:r>
      <w:r>
        <w:rPr>
          <w:spacing w:val="-8"/>
          <w:sz w:val="21"/>
        </w:rPr>
        <w:t> </w:t>
      </w:r>
      <w:r>
        <w:rPr>
          <w:sz w:val="21"/>
        </w:rPr>
        <w:t>obtain</w:t>
      </w:r>
      <w:r>
        <w:rPr>
          <w:spacing w:val="-8"/>
          <w:sz w:val="21"/>
        </w:rPr>
        <w:t> </w:t>
      </w:r>
      <w:r>
        <w:rPr>
          <w:sz w:val="21"/>
        </w:rPr>
        <w:t>employment</w:t>
      </w:r>
      <w:r>
        <w:rPr>
          <w:spacing w:val="-6"/>
          <w:sz w:val="21"/>
        </w:rPr>
        <w:t> </w:t>
      </w:r>
      <w:r>
        <w:rPr>
          <w:sz w:val="21"/>
        </w:rPr>
        <w:t>above</w:t>
      </w:r>
      <w:r>
        <w:rPr>
          <w:spacing w:val="-8"/>
          <w:sz w:val="21"/>
        </w:rPr>
        <w:t> </w:t>
      </w:r>
      <w:r>
        <w:rPr>
          <w:sz w:val="21"/>
        </w:rPr>
        <w:t>entry-level,</w:t>
      </w:r>
      <w:r>
        <w:rPr>
          <w:spacing w:val="-7"/>
          <w:sz w:val="21"/>
        </w:rPr>
        <w:t> </w:t>
      </w:r>
      <w:r>
        <w:rPr>
          <w:sz w:val="21"/>
        </w:rPr>
        <w:t>minimum</w:t>
      </w:r>
      <w:r>
        <w:rPr>
          <w:spacing w:val="-6"/>
          <w:sz w:val="21"/>
        </w:rPr>
        <w:t> </w:t>
      </w:r>
      <w:r>
        <w:rPr>
          <w:sz w:val="21"/>
        </w:rPr>
        <w:t>wage</w:t>
      </w:r>
      <w:r>
        <w:rPr>
          <w:spacing w:val="-8"/>
          <w:sz w:val="21"/>
        </w:rPr>
        <w:t> </w:t>
      </w:r>
      <w:r>
        <w:rPr>
          <w:sz w:val="21"/>
        </w:rPr>
        <w:t>positions. For LGBTQ youth who do not have the financial support of their families based on their identity, it is not possible to cover the expenses for commuting into Boston for work or renting an apartment near public </w:t>
      </w:r>
      <w:r>
        <w:rPr>
          <w:spacing w:val="-2"/>
          <w:sz w:val="21"/>
        </w:rPr>
        <w:t>transportation.</w:t>
      </w:r>
    </w:p>
    <w:p>
      <w:pPr>
        <w:spacing w:line="276" w:lineRule="auto" w:before="239"/>
        <w:ind w:left="463" w:right="201" w:firstLine="0"/>
        <w:jc w:val="both"/>
        <w:rPr>
          <w:sz w:val="21"/>
        </w:rPr>
      </w:pPr>
      <w:r>
        <w:rPr>
          <w:sz w:val="21"/>
        </w:rPr>
        <w:t>The MA legislature must engage in initiatives to remove barriers to employment, foster career readiness, and to support LGBTQ youth’s transition</w:t>
      </w:r>
      <w:r>
        <w:rPr>
          <w:spacing w:val="-1"/>
          <w:sz w:val="21"/>
        </w:rPr>
        <w:t> </w:t>
      </w:r>
      <w:r>
        <w:rPr>
          <w:sz w:val="21"/>
        </w:rPr>
        <w:t>to the labor force so that the Commonwealth is a place where all youth can thrive - both holistically and economically.</w:t>
      </w:r>
    </w:p>
    <w:p>
      <w:pPr>
        <w:spacing w:before="239"/>
        <w:ind w:left="464" w:right="0" w:firstLine="0"/>
        <w:jc w:val="both"/>
        <w:rPr>
          <w:sz w:val="28"/>
        </w:rPr>
      </w:pPr>
      <w:bookmarkStart w:name="FY 2025 Recommendations on Economic Just" w:id="833"/>
      <w:bookmarkEnd w:id="833"/>
      <w:r>
        <w:rPr/>
      </w:r>
      <w:r>
        <w:rPr>
          <w:color w:val="365F91"/>
          <w:sz w:val="28"/>
        </w:rPr>
        <w:t>FY</w:t>
      </w:r>
      <w:r>
        <w:rPr>
          <w:color w:val="365F91"/>
          <w:spacing w:val="-12"/>
          <w:sz w:val="28"/>
        </w:rPr>
        <w:t> </w:t>
      </w:r>
      <w:r>
        <w:rPr>
          <w:color w:val="365F91"/>
          <w:sz w:val="28"/>
        </w:rPr>
        <w:t>2025</w:t>
      </w:r>
      <w:r>
        <w:rPr>
          <w:color w:val="365F91"/>
          <w:spacing w:val="-11"/>
          <w:sz w:val="28"/>
        </w:rPr>
        <w:t> </w:t>
      </w:r>
      <w:r>
        <w:rPr>
          <w:color w:val="365F91"/>
          <w:sz w:val="28"/>
        </w:rPr>
        <w:t>Recommendations</w:t>
      </w:r>
      <w:r>
        <w:rPr>
          <w:color w:val="365F91"/>
          <w:spacing w:val="-11"/>
          <w:sz w:val="28"/>
        </w:rPr>
        <w:t> </w:t>
      </w:r>
      <w:r>
        <w:rPr>
          <w:color w:val="365F91"/>
          <w:sz w:val="28"/>
        </w:rPr>
        <w:t>on</w:t>
      </w:r>
      <w:r>
        <w:rPr>
          <w:color w:val="365F91"/>
          <w:spacing w:val="-11"/>
          <w:sz w:val="28"/>
        </w:rPr>
        <w:t> </w:t>
      </w:r>
      <w:r>
        <w:rPr>
          <w:color w:val="365F91"/>
          <w:sz w:val="28"/>
        </w:rPr>
        <w:t>Economic</w:t>
      </w:r>
      <w:r>
        <w:rPr>
          <w:color w:val="365F91"/>
          <w:spacing w:val="-11"/>
          <w:sz w:val="28"/>
        </w:rPr>
        <w:t> </w:t>
      </w:r>
      <w:r>
        <w:rPr>
          <w:color w:val="365F91"/>
          <w:spacing w:val="-2"/>
          <w:sz w:val="28"/>
        </w:rPr>
        <w:t>Justice</w:t>
      </w:r>
    </w:p>
    <w:p>
      <w:pPr>
        <w:pStyle w:val="BodyText"/>
        <w:spacing w:before="10"/>
        <w:rPr>
          <w:sz w:val="3"/>
        </w:rPr>
      </w:pPr>
      <w:r>
        <w:rPr/>
        <mc:AlternateContent>
          <mc:Choice Requires="wps">
            <w:drawing>
              <wp:anchor distT="0" distB="0" distL="0" distR="0" allowOverlap="1" layoutInCell="1" locked="0" behindDoc="1" simplePos="0" relativeHeight="487681536">
                <wp:simplePos x="0" y="0"/>
                <wp:positionH relativeFrom="page">
                  <wp:posOffset>986789</wp:posOffset>
                </wp:positionH>
                <wp:positionV relativeFrom="paragraph">
                  <wp:posOffset>45217</wp:posOffset>
                </wp:positionV>
                <wp:extent cx="5799455" cy="6350"/>
                <wp:effectExtent l="0" t="0" r="0" b="0"/>
                <wp:wrapTopAndBottom/>
                <wp:docPr id="505" name="Graphic 505"/>
                <wp:cNvGraphicFramePr>
                  <a:graphicFrameLocks/>
                </wp:cNvGraphicFramePr>
                <a:graphic>
                  <a:graphicData uri="http://schemas.microsoft.com/office/word/2010/wordprocessingShape">
                    <wps:wsp>
                      <wps:cNvPr id="505" name="Graphic 505"/>
                      <wps:cNvSpPr/>
                      <wps:spPr>
                        <a:xfrm>
                          <a:off x="0" y="0"/>
                          <a:ext cx="5799455" cy="6350"/>
                        </a:xfrm>
                        <a:custGeom>
                          <a:avLst/>
                          <a:gdLst/>
                          <a:ahLst/>
                          <a:cxnLst/>
                          <a:rect l="l" t="t" r="r" b="b"/>
                          <a:pathLst>
                            <a:path w="5799455" h="6350">
                              <a:moveTo>
                                <a:pt x="5798832" y="0"/>
                              </a:moveTo>
                              <a:lnTo>
                                <a:pt x="0" y="0"/>
                              </a:lnTo>
                              <a:lnTo>
                                <a:pt x="0" y="6095"/>
                              </a:lnTo>
                              <a:lnTo>
                                <a:pt x="5798832" y="6095"/>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6042pt;width:456.601pt;height:.48pt;mso-position-horizontal-relative:page;mso-position-vertical-relative:paragraph;z-index:-15634944;mso-wrap-distance-left:0;mso-wrap-distance-right:0" id="docshape407" filled="true" fillcolor="#4f81bc" stroked="false">
                <v:fill type="solid"/>
                <w10:wrap type="topAndBottom"/>
              </v:rect>
            </w:pict>
          </mc:Fallback>
        </mc:AlternateContent>
      </w:r>
    </w:p>
    <w:p>
      <w:pPr>
        <w:pStyle w:val="ListParagraph"/>
        <w:numPr>
          <w:ilvl w:val="0"/>
          <w:numId w:val="29"/>
        </w:numPr>
        <w:tabs>
          <w:tab w:pos="463" w:val="left" w:leader="none"/>
        </w:tabs>
        <w:spacing w:line="240" w:lineRule="auto" w:before="241" w:after="0"/>
        <w:ind w:left="463" w:right="0" w:hanging="359"/>
        <w:jc w:val="left"/>
        <w:rPr>
          <w:b/>
          <w:sz w:val="21"/>
        </w:rPr>
      </w:pPr>
      <w:r>
        <w:rPr>
          <w:b/>
          <w:sz w:val="21"/>
        </w:rPr>
        <w:t>Improve</w:t>
      </w:r>
      <w:r>
        <w:rPr>
          <w:b/>
          <w:spacing w:val="-6"/>
          <w:sz w:val="21"/>
        </w:rPr>
        <w:t> </w:t>
      </w:r>
      <w:r>
        <w:rPr>
          <w:b/>
          <w:sz w:val="21"/>
        </w:rPr>
        <w:t>access</w:t>
      </w:r>
      <w:r>
        <w:rPr>
          <w:b/>
          <w:spacing w:val="-3"/>
          <w:sz w:val="21"/>
        </w:rPr>
        <w:t> </w:t>
      </w:r>
      <w:r>
        <w:rPr>
          <w:b/>
          <w:sz w:val="21"/>
        </w:rPr>
        <w:t>to</w:t>
      </w:r>
      <w:r>
        <w:rPr>
          <w:b/>
          <w:spacing w:val="-4"/>
          <w:sz w:val="21"/>
        </w:rPr>
        <w:t> </w:t>
      </w:r>
      <w:r>
        <w:rPr>
          <w:b/>
          <w:sz w:val="21"/>
        </w:rPr>
        <w:t>LGBTQ-affirming</w:t>
      </w:r>
      <w:r>
        <w:rPr>
          <w:b/>
          <w:spacing w:val="-4"/>
          <w:sz w:val="21"/>
        </w:rPr>
        <w:t> </w:t>
      </w:r>
      <w:r>
        <w:rPr>
          <w:b/>
          <w:sz w:val="21"/>
        </w:rPr>
        <w:t>job</w:t>
      </w:r>
      <w:r>
        <w:rPr>
          <w:b/>
          <w:spacing w:val="-3"/>
          <w:sz w:val="21"/>
        </w:rPr>
        <w:t> </w:t>
      </w:r>
      <w:r>
        <w:rPr>
          <w:b/>
          <w:sz w:val="21"/>
        </w:rPr>
        <w:t>and</w:t>
      </w:r>
      <w:r>
        <w:rPr>
          <w:b/>
          <w:spacing w:val="-3"/>
          <w:sz w:val="21"/>
        </w:rPr>
        <w:t> </w:t>
      </w:r>
      <w:r>
        <w:rPr>
          <w:b/>
          <w:sz w:val="21"/>
        </w:rPr>
        <w:t>professional</w:t>
      </w:r>
      <w:r>
        <w:rPr>
          <w:b/>
          <w:spacing w:val="-3"/>
          <w:sz w:val="21"/>
        </w:rPr>
        <w:t> </w:t>
      </w:r>
      <w:r>
        <w:rPr>
          <w:b/>
          <w:sz w:val="21"/>
        </w:rPr>
        <w:t>development</w:t>
      </w:r>
      <w:r>
        <w:rPr>
          <w:b/>
          <w:spacing w:val="-3"/>
          <w:sz w:val="21"/>
        </w:rPr>
        <w:t> </w:t>
      </w:r>
      <w:r>
        <w:rPr>
          <w:b/>
          <w:sz w:val="21"/>
        </w:rPr>
        <w:t>opportunities</w:t>
      </w:r>
      <w:r>
        <w:rPr>
          <w:b/>
          <w:spacing w:val="-3"/>
          <w:sz w:val="21"/>
        </w:rPr>
        <w:t> </w:t>
      </w:r>
      <w:r>
        <w:rPr>
          <w:b/>
          <w:sz w:val="21"/>
        </w:rPr>
        <w:t>in</w:t>
      </w:r>
      <w:r>
        <w:rPr>
          <w:b/>
          <w:spacing w:val="-3"/>
          <w:sz w:val="21"/>
        </w:rPr>
        <w:t> </w:t>
      </w:r>
      <w:r>
        <w:rPr>
          <w:b/>
          <w:sz w:val="21"/>
        </w:rPr>
        <w:t>rural</w:t>
      </w:r>
      <w:r>
        <w:rPr>
          <w:b/>
          <w:spacing w:val="-3"/>
          <w:sz w:val="21"/>
        </w:rPr>
        <w:t> </w:t>
      </w:r>
      <w:r>
        <w:rPr>
          <w:b/>
          <w:spacing w:val="-2"/>
          <w:sz w:val="21"/>
        </w:rPr>
        <w:t>areas.</w:t>
      </w:r>
    </w:p>
    <w:p>
      <w:pPr>
        <w:pStyle w:val="BodyText"/>
        <w:spacing w:before="23"/>
        <w:rPr>
          <w:b/>
          <w:sz w:val="21"/>
        </w:rPr>
      </w:pPr>
    </w:p>
    <w:p>
      <w:pPr>
        <w:spacing w:line="276" w:lineRule="auto" w:before="0"/>
        <w:ind w:left="464" w:right="200" w:firstLine="0"/>
        <w:jc w:val="both"/>
        <w:rPr>
          <w:sz w:val="21"/>
        </w:rPr>
      </w:pPr>
      <w:r>
        <w:rPr>
          <w:sz w:val="21"/>
        </w:rPr>
        <w:t>As noted repeatedly throughout this report, access to LGBTQ-affirming job opportunities can be limited even in</w:t>
      </w:r>
      <w:r>
        <w:rPr>
          <w:spacing w:val="-1"/>
          <w:sz w:val="21"/>
        </w:rPr>
        <w:t> </w:t>
      </w:r>
      <w:r>
        <w:rPr>
          <w:sz w:val="21"/>
        </w:rPr>
        <w:t>Massachusetts, particularly for young people outside of the</w:t>
      </w:r>
      <w:r>
        <w:rPr>
          <w:spacing w:val="-2"/>
          <w:sz w:val="21"/>
        </w:rPr>
        <w:t> </w:t>
      </w:r>
      <w:r>
        <w:rPr>
          <w:sz w:val="21"/>
        </w:rPr>
        <w:t>Greater Boston area.</w:t>
      </w:r>
      <w:r>
        <w:rPr>
          <w:spacing w:val="-1"/>
          <w:sz w:val="21"/>
        </w:rPr>
        <w:t> </w:t>
      </w:r>
      <w:r>
        <w:rPr>
          <w:sz w:val="21"/>
        </w:rPr>
        <w:t>The Commission </w:t>
      </w:r>
      <w:r>
        <w:rPr>
          <w:spacing w:val="-2"/>
          <w:sz w:val="21"/>
        </w:rPr>
        <w:t>highly</w:t>
      </w:r>
      <w:r>
        <w:rPr>
          <w:spacing w:val="-5"/>
          <w:sz w:val="21"/>
        </w:rPr>
        <w:t> </w:t>
      </w:r>
      <w:r>
        <w:rPr>
          <w:spacing w:val="-2"/>
          <w:sz w:val="21"/>
        </w:rPr>
        <w:t>recommends</w:t>
      </w:r>
      <w:r>
        <w:rPr>
          <w:spacing w:val="-3"/>
          <w:sz w:val="21"/>
        </w:rPr>
        <w:t> </w:t>
      </w:r>
      <w:r>
        <w:rPr>
          <w:spacing w:val="-2"/>
          <w:sz w:val="21"/>
        </w:rPr>
        <w:t>that</w:t>
      </w:r>
      <w:r>
        <w:rPr>
          <w:spacing w:val="-1"/>
          <w:sz w:val="21"/>
        </w:rPr>
        <w:t> </w:t>
      </w:r>
      <w:r>
        <w:rPr>
          <w:spacing w:val="-2"/>
          <w:sz w:val="21"/>
        </w:rPr>
        <w:t>the</w:t>
      </w:r>
      <w:r>
        <w:rPr>
          <w:spacing w:val="-3"/>
          <w:sz w:val="21"/>
        </w:rPr>
        <w:t> </w:t>
      </w:r>
      <w:r>
        <w:rPr>
          <w:spacing w:val="-2"/>
          <w:sz w:val="21"/>
        </w:rPr>
        <w:t>state work to help</w:t>
      </w:r>
      <w:r>
        <w:rPr>
          <w:spacing w:val="-3"/>
          <w:sz w:val="21"/>
        </w:rPr>
        <w:t> </w:t>
      </w:r>
      <w:r>
        <w:rPr>
          <w:spacing w:val="-2"/>
          <w:sz w:val="21"/>
        </w:rPr>
        <w:t>create</w:t>
      </w:r>
      <w:r>
        <w:rPr>
          <w:spacing w:val="-3"/>
          <w:sz w:val="21"/>
        </w:rPr>
        <w:t> </w:t>
      </w:r>
      <w:r>
        <w:rPr>
          <w:spacing w:val="-2"/>
          <w:sz w:val="21"/>
        </w:rPr>
        <w:t>and fund</w:t>
      </w:r>
      <w:r>
        <w:rPr>
          <w:spacing w:val="-3"/>
          <w:sz w:val="21"/>
        </w:rPr>
        <w:t> </w:t>
      </w:r>
      <w:r>
        <w:rPr>
          <w:spacing w:val="-2"/>
          <w:sz w:val="21"/>
        </w:rPr>
        <w:t>new programming</w:t>
      </w:r>
      <w:r>
        <w:rPr>
          <w:spacing w:val="-3"/>
          <w:sz w:val="21"/>
        </w:rPr>
        <w:t> </w:t>
      </w:r>
      <w:r>
        <w:rPr>
          <w:spacing w:val="-2"/>
          <w:sz w:val="21"/>
        </w:rPr>
        <w:t>that</w:t>
      </w:r>
      <w:r>
        <w:rPr>
          <w:spacing w:val="-1"/>
          <w:sz w:val="21"/>
        </w:rPr>
        <w:t> </w:t>
      </w:r>
      <w:r>
        <w:rPr>
          <w:spacing w:val="-2"/>
          <w:sz w:val="21"/>
        </w:rPr>
        <w:t>helps</w:t>
      </w:r>
      <w:r>
        <w:rPr>
          <w:spacing w:val="-3"/>
          <w:sz w:val="21"/>
        </w:rPr>
        <w:t> </w:t>
      </w:r>
      <w:r>
        <w:rPr>
          <w:spacing w:val="-2"/>
          <w:sz w:val="21"/>
        </w:rPr>
        <w:t>connect</w:t>
      </w:r>
      <w:r>
        <w:rPr>
          <w:spacing w:val="-1"/>
          <w:sz w:val="21"/>
        </w:rPr>
        <w:t> </w:t>
      </w:r>
      <w:r>
        <w:rPr>
          <w:spacing w:val="-2"/>
          <w:sz w:val="21"/>
        </w:rPr>
        <w:t>young</w:t>
      </w:r>
    </w:p>
    <w:p>
      <w:pPr>
        <w:spacing w:after="0" w:line="276" w:lineRule="auto"/>
        <w:jc w:val="both"/>
        <w:rPr>
          <w:sz w:val="21"/>
        </w:rPr>
        <w:sectPr>
          <w:headerReference w:type="default" r:id="rId645"/>
          <w:footerReference w:type="default" r:id="rId646"/>
          <w:pgSz w:w="12240" w:h="15840"/>
          <w:pgMar w:header="763" w:footer="1041" w:top="1380" w:bottom="1240" w:left="1120" w:right="1380"/>
          <w:pgNumType w:start="226"/>
        </w:sectPr>
      </w:pPr>
    </w:p>
    <w:p>
      <w:pPr>
        <w:spacing w:line="276" w:lineRule="auto" w:before="47"/>
        <w:ind w:left="464" w:right="200" w:hanging="1"/>
        <w:jc w:val="both"/>
        <w:rPr>
          <w:sz w:val="21"/>
        </w:rPr>
      </w:pPr>
      <w:r>
        <w:rPr>
          <w:sz w:val="21"/>
        </w:rPr>
        <w:t>people</w:t>
      </w:r>
      <w:r>
        <w:rPr>
          <w:spacing w:val="-4"/>
          <w:sz w:val="21"/>
        </w:rPr>
        <w:t> </w:t>
      </w:r>
      <w:r>
        <w:rPr>
          <w:sz w:val="21"/>
        </w:rPr>
        <w:t>to</w:t>
      </w:r>
      <w:r>
        <w:rPr>
          <w:spacing w:val="-4"/>
          <w:sz w:val="21"/>
        </w:rPr>
        <w:t> </w:t>
      </w:r>
      <w:r>
        <w:rPr>
          <w:sz w:val="21"/>
        </w:rPr>
        <w:t>new</w:t>
      </w:r>
      <w:r>
        <w:rPr>
          <w:spacing w:val="-4"/>
          <w:sz w:val="21"/>
        </w:rPr>
        <w:t> </w:t>
      </w:r>
      <w:r>
        <w:rPr>
          <w:sz w:val="21"/>
        </w:rPr>
        <w:t>career</w:t>
      </w:r>
      <w:r>
        <w:rPr>
          <w:spacing w:val="-4"/>
          <w:sz w:val="21"/>
        </w:rPr>
        <w:t> </w:t>
      </w:r>
      <w:r>
        <w:rPr>
          <w:sz w:val="21"/>
        </w:rPr>
        <w:t>opportunities,</w:t>
      </w:r>
      <w:r>
        <w:rPr>
          <w:spacing w:val="-4"/>
          <w:sz w:val="21"/>
        </w:rPr>
        <w:t> </w:t>
      </w:r>
      <w:r>
        <w:rPr>
          <w:sz w:val="21"/>
        </w:rPr>
        <w:t>or</w:t>
      </w:r>
      <w:r>
        <w:rPr>
          <w:spacing w:val="-4"/>
          <w:sz w:val="21"/>
        </w:rPr>
        <w:t> </w:t>
      </w:r>
      <w:r>
        <w:rPr>
          <w:sz w:val="21"/>
        </w:rPr>
        <w:t>low-cost</w:t>
      </w:r>
      <w:r>
        <w:rPr>
          <w:spacing w:val="-4"/>
          <w:sz w:val="21"/>
        </w:rPr>
        <w:t> </w:t>
      </w:r>
      <w:r>
        <w:rPr>
          <w:sz w:val="21"/>
        </w:rPr>
        <w:t>transportation</w:t>
      </w:r>
      <w:r>
        <w:rPr>
          <w:spacing w:val="-4"/>
          <w:sz w:val="21"/>
        </w:rPr>
        <w:t> </w:t>
      </w:r>
      <w:r>
        <w:rPr>
          <w:sz w:val="21"/>
        </w:rPr>
        <w:t>options.</w:t>
      </w:r>
      <w:r>
        <w:rPr>
          <w:spacing w:val="-4"/>
          <w:sz w:val="21"/>
        </w:rPr>
        <w:t> </w:t>
      </w:r>
      <w:r>
        <w:rPr>
          <w:sz w:val="21"/>
        </w:rPr>
        <w:t>Additionally,</w:t>
      </w:r>
      <w:r>
        <w:rPr>
          <w:spacing w:val="-3"/>
          <w:sz w:val="21"/>
        </w:rPr>
        <w:t> </w:t>
      </w:r>
      <w:r>
        <w:rPr>
          <w:sz w:val="21"/>
        </w:rPr>
        <w:t>supporting</w:t>
      </w:r>
      <w:r>
        <w:rPr>
          <w:spacing w:val="-4"/>
          <w:sz w:val="21"/>
        </w:rPr>
        <w:t> </w:t>
      </w:r>
      <w:r>
        <w:rPr>
          <w:sz w:val="21"/>
        </w:rPr>
        <w:t>programs that</w:t>
      </w:r>
      <w:r>
        <w:rPr>
          <w:spacing w:val="-2"/>
          <w:sz w:val="21"/>
        </w:rPr>
        <w:t> </w:t>
      </w:r>
      <w:r>
        <w:rPr>
          <w:sz w:val="21"/>
        </w:rPr>
        <w:t>offer</w:t>
      </w:r>
      <w:r>
        <w:rPr>
          <w:spacing w:val="-3"/>
          <w:sz w:val="21"/>
        </w:rPr>
        <w:t> </w:t>
      </w:r>
      <w:r>
        <w:rPr>
          <w:sz w:val="21"/>
        </w:rPr>
        <w:t>career</w:t>
      </w:r>
      <w:r>
        <w:rPr>
          <w:spacing w:val="-3"/>
          <w:sz w:val="21"/>
        </w:rPr>
        <w:t> </w:t>
      </w:r>
      <w:r>
        <w:rPr>
          <w:sz w:val="21"/>
        </w:rPr>
        <w:t>mentoring</w:t>
      </w:r>
      <w:r>
        <w:rPr>
          <w:spacing w:val="-3"/>
          <w:sz w:val="21"/>
        </w:rPr>
        <w:t> </w:t>
      </w:r>
      <w:r>
        <w:rPr>
          <w:sz w:val="21"/>
        </w:rPr>
        <w:t>are</w:t>
      </w:r>
      <w:r>
        <w:rPr>
          <w:spacing w:val="-3"/>
          <w:sz w:val="21"/>
        </w:rPr>
        <w:t> </w:t>
      </w:r>
      <w:r>
        <w:rPr>
          <w:sz w:val="21"/>
        </w:rPr>
        <w:t>essential</w:t>
      </w:r>
      <w:r>
        <w:rPr>
          <w:spacing w:val="-4"/>
          <w:sz w:val="21"/>
        </w:rPr>
        <w:t> </w:t>
      </w:r>
      <w:r>
        <w:rPr>
          <w:sz w:val="21"/>
        </w:rPr>
        <w:t>to</w:t>
      </w:r>
      <w:r>
        <w:rPr>
          <w:spacing w:val="-3"/>
          <w:sz w:val="21"/>
        </w:rPr>
        <w:t> </w:t>
      </w:r>
      <w:r>
        <w:rPr>
          <w:sz w:val="21"/>
        </w:rPr>
        <w:t>helping</w:t>
      </w:r>
      <w:r>
        <w:rPr>
          <w:spacing w:val="-3"/>
          <w:sz w:val="21"/>
        </w:rPr>
        <w:t> </w:t>
      </w:r>
      <w:r>
        <w:rPr>
          <w:sz w:val="21"/>
        </w:rPr>
        <w:t>young</w:t>
      </w:r>
      <w:r>
        <w:rPr>
          <w:spacing w:val="-3"/>
          <w:sz w:val="21"/>
        </w:rPr>
        <w:t> </w:t>
      </w:r>
      <w:r>
        <w:rPr>
          <w:sz w:val="21"/>
        </w:rPr>
        <w:t>people</w:t>
      </w:r>
      <w:r>
        <w:rPr>
          <w:spacing w:val="-3"/>
          <w:sz w:val="21"/>
        </w:rPr>
        <w:t> </w:t>
      </w:r>
      <w:r>
        <w:rPr>
          <w:sz w:val="21"/>
        </w:rPr>
        <w:t>build</w:t>
      </w:r>
      <w:r>
        <w:rPr>
          <w:spacing w:val="-3"/>
          <w:sz w:val="21"/>
        </w:rPr>
        <w:t> </w:t>
      </w:r>
      <w:r>
        <w:rPr>
          <w:sz w:val="21"/>
        </w:rPr>
        <w:t>their</w:t>
      </w:r>
      <w:r>
        <w:rPr>
          <w:spacing w:val="-3"/>
          <w:sz w:val="21"/>
        </w:rPr>
        <w:t> </w:t>
      </w:r>
      <w:r>
        <w:rPr>
          <w:sz w:val="21"/>
        </w:rPr>
        <w:t>skills</w:t>
      </w:r>
      <w:r>
        <w:rPr>
          <w:spacing w:val="-3"/>
          <w:sz w:val="21"/>
        </w:rPr>
        <w:t> </w:t>
      </w:r>
      <w:r>
        <w:rPr>
          <w:sz w:val="21"/>
        </w:rPr>
        <w:t>and</w:t>
      </w:r>
      <w:r>
        <w:rPr>
          <w:spacing w:val="-3"/>
          <w:sz w:val="21"/>
        </w:rPr>
        <w:t> </w:t>
      </w:r>
      <w:r>
        <w:rPr>
          <w:sz w:val="21"/>
        </w:rPr>
        <w:t>resume</w:t>
      </w:r>
      <w:r>
        <w:rPr>
          <w:spacing w:val="-3"/>
          <w:sz w:val="21"/>
        </w:rPr>
        <w:t> </w:t>
      </w:r>
      <w:r>
        <w:rPr>
          <w:sz w:val="21"/>
        </w:rPr>
        <w:t>experience.</w:t>
      </w:r>
    </w:p>
    <w:p>
      <w:pPr>
        <w:pStyle w:val="ListParagraph"/>
        <w:numPr>
          <w:ilvl w:val="0"/>
          <w:numId w:val="29"/>
        </w:numPr>
        <w:tabs>
          <w:tab w:pos="463" w:val="left" w:leader="none"/>
        </w:tabs>
        <w:spacing w:line="240" w:lineRule="auto" w:before="240" w:after="0"/>
        <w:ind w:left="463" w:right="0" w:hanging="359"/>
        <w:jc w:val="left"/>
        <w:rPr>
          <w:b/>
          <w:sz w:val="21"/>
        </w:rPr>
      </w:pPr>
      <w:r>
        <w:rPr>
          <w:b/>
          <w:sz w:val="21"/>
        </w:rPr>
        <w:t>Improve</w:t>
      </w:r>
      <w:r>
        <w:rPr>
          <w:b/>
          <w:spacing w:val="-3"/>
          <w:sz w:val="21"/>
        </w:rPr>
        <w:t> </w:t>
      </w:r>
      <w:r>
        <w:rPr>
          <w:b/>
          <w:sz w:val="21"/>
        </w:rPr>
        <w:t>independent</w:t>
      </w:r>
      <w:r>
        <w:rPr>
          <w:b/>
          <w:spacing w:val="-3"/>
          <w:sz w:val="21"/>
        </w:rPr>
        <w:t> </w:t>
      </w:r>
      <w:r>
        <w:rPr>
          <w:b/>
          <w:sz w:val="21"/>
        </w:rPr>
        <w:t>living</w:t>
      </w:r>
      <w:r>
        <w:rPr>
          <w:b/>
          <w:spacing w:val="-3"/>
          <w:sz w:val="21"/>
        </w:rPr>
        <w:t> </w:t>
      </w:r>
      <w:r>
        <w:rPr>
          <w:b/>
          <w:sz w:val="21"/>
        </w:rPr>
        <w:t>support</w:t>
      </w:r>
      <w:r>
        <w:rPr>
          <w:b/>
          <w:spacing w:val="-1"/>
          <w:sz w:val="21"/>
        </w:rPr>
        <w:t> </w:t>
      </w:r>
      <w:r>
        <w:rPr>
          <w:b/>
          <w:sz w:val="21"/>
        </w:rPr>
        <w:t>for</w:t>
      </w:r>
      <w:r>
        <w:rPr>
          <w:b/>
          <w:spacing w:val="-4"/>
          <w:sz w:val="21"/>
        </w:rPr>
        <w:t> </w:t>
      </w:r>
      <w:r>
        <w:rPr>
          <w:b/>
          <w:sz w:val="21"/>
        </w:rPr>
        <w:t>transition-age</w:t>
      </w:r>
      <w:r>
        <w:rPr>
          <w:b/>
          <w:spacing w:val="-3"/>
          <w:sz w:val="21"/>
        </w:rPr>
        <w:t> </w:t>
      </w:r>
      <w:r>
        <w:rPr>
          <w:b/>
          <w:sz w:val="21"/>
        </w:rPr>
        <w:t>foster</w:t>
      </w:r>
      <w:r>
        <w:rPr>
          <w:b/>
          <w:spacing w:val="-2"/>
          <w:sz w:val="21"/>
        </w:rPr>
        <w:t> youth.</w:t>
      </w:r>
    </w:p>
    <w:p>
      <w:pPr>
        <w:pStyle w:val="BodyText"/>
        <w:spacing w:before="22"/>
        <w:rPr>
          <w:b/>
          <w:sz w:val="21"/>
        </w:rPr>
      </w:pPr>
    </w:p>
    <w:p>
      <w:pPr>
        <w:spacing w:line="276" w:lineRule="auto" w:before="1"/>
        <w:ind w:left="464" w:right="200" w:firstLine="0"/>
        <w:jc w:val="both"/>
        <w:rPr>
          <w:sz w:val="21"/>
        </w:rPr>
      </w:pPr>
      <w:r>
        <w:rPr>
          <w:sz w:val="21"/>
        </w:rPr>
        <w:t>Transition-aged</w:t>
      </w:r>
      <w:r>
        <w:rPr>
          <w:spacing w:val="-11"/>
          <w:sz w:val="21"/>
        </w:rPr>
        <w:t> </w:t>
      </w:r>
      <w:r>
        <w:rPr>
          <w:sz w:val="21"/>
        </w:rPr>
        <w:t>foster</w:t>
      </w:r>
      <w:r>
        <w:rPr>
          <w:spacing w:val="-11"/>
          <w:sz w:val="21"/>
        </w:rPr>
        <w:t> </w:t>
      </w:r>
      <w:r>
        <w:rPr>
          <w:sz w:val="21"/>
        </w:rPr>
        <w:t>youth</w:t>
      </w:r>
      <w:r>
        <w:rPr>
          <w:spacing w:val="-11"/>
          <w:sz w:val="21"/>
        </w:rPr>
        <w:t> </w:t>
      </w:r>
      <w:r>
        <w:rPr>
          <w:sz w:val="21"/>
        </w:rPr>
        <w:t>often</w:t>
      </w:r>
      <w:r>
        <w:rPr>
          <w:spacing w:val="-11"/>
          <w:sz w:val="21"/>
        </w:rPr>
        <w:t> </w:t>
      </w:r>
      <w:r>
        <w:rPr>
          <w:sz w:val="21"/>
        </w:rPr>
        <w:t>face</w:t>
      </w:r>
      <w:r>
        <w:rPr>
          <w:spacing w:val="-11"/>
          <w:sz w:val="21"/>
        </w:rPr>
        <w:t> </w:t>
      </w:r>
      <w:r>
        <w:rPr>
          <w:sz w:val="21"/>
        </w:rPr>
        <w:t>some</w:t>
      </w:r>
      <w:r>
        <w:rPr>
          <w:spacing w:val="-11"/>
          <w:sz w:val="21"/>
        </w:rPr>
        <w:t> </w:t>
      </w:r>
      <w:r>
        <w:rPr>
          <w:sz w:val="21"/>
        </w:rPr>
        <w:t>of</w:t>
      </w:r>
      <w:r>
        <w:rPr>
          <w:spacing w:val="-12"/>
          <w:sz w:val="21"/>
        </w:rPr>
        <w:t> </w:t>
      </w:r>
      <w:r>
        <w:rPr>
          <w:sz w:val="21"/>
        </w:rPr>
        <w:t>the</w:t>
      </w:r>
      <w:r>
        <w:rPr>
          <w:spacing w:val="-11"/>
          <w:sz w:val="21"/>
        </w:rPr>
        <w:t> </w:t>
      </w:r>
      <w:r>
        <w:rPr>
          <w:sz w:val="21"/>
        </w:rPr>
        <w:t>highest</w:t>
      </w:r>
      <w:r>
        <w:rPr>
          <w:spacing w:val="-11"/>
          <w:sz w:val="21"/>
        </w:rPr>
        <w:t> </w:t>
      </w:r>
      <w:r>
        <w:rPr>
          <w:sz w:val="21"/>
        </w:rPr>
        <w:t>disparities</w:t>
      </w:r>
      <w:r>
        <w:rPr>
          <w:spacing w:val="-12"/>
          <w:sz w:val="21"/>
        </w:rPr>
        <w:t> </w:t>
      </w:r>
      <w:r>
        <w:rPr>
          <w:sz w:val="21"/>
        </w:rPr>
        <w:t>in</w:t>
      </w:r>
      <w:r>
        <w:rPr>
          <w:spacing w:val="-11"/>
          <w:sz w:val="21"/>
        </w:rPr>
        <w:t> </w:t>
      </w:r>
      <w:r>
        <w:rPr>
          <w:sz w:val="21"/>
        </w:rPr>
        <w:t>health,</w:t>
      </w:r>
      <w:r>
        <w:rPr>
          <w:spacing w:val="-11"/>
          <w:sz w:val="21"/>
        </w:rPr>
        <w:t> </w:t>
      </w:r>
      <w:r>
        <w:rPr>
          <w:sz w:val="21"/>
        </w:rPr>
        <w:t>employment,</w:t>
      </w:r>
      <w:r>
        <w:rPr>
          <w:spacing w:val="-11"/>
          <w:sz w:val="21"/>
        </w:rPr>
        <w:t> </w:t>
      </w:r>
      <w:r>
        <w:rPr>
          <w:sz w:val="21"/>
        </w:rPr>
        <w:t>housing,</w:t>
      </w:r>
      <w:r>
        <w:rPr>
          <w:spacing w:val="-11"/>
          <w:sz w:val="21"/>
        </w:rPr>
        <w:t> </w:t>
      </w:r>
      <w:r>
        <w:rPr>
          <w:sz w:val="21"/>
        </w:rPr>
        <w:t>and more across Massachusetts. It is critical that youth who are transitioning out of state services, especially the Department of Children &amp; Families, are given the support needed to find affirming employment, understand financial planning, and get support with their education. Additionally, ensuring that trans and nonbinary youth have their documentation in order with any gender marker or name changes is essential to helping youth reduce experiences of discrimination when job-hunting.</w:t>
      </w:r>
    </w:p>
    <w:p>
      <w:pPr>
        <w:pStyle w:val="ListParagraph"/>
        <w:numPr>
          <w:ilvl w:val="0"/>
          <w:numId w:val="29"/>
        </w:numPr>
        <w:tabs>
          <w:tab w:pos="463" w:val="left" w:leader="none"/>
        </w:tabs>
        <w:spacing w:line="240" w:lineRule="auto" w:before="240" w:after="0"/>
        <w:ind w:left="463" w:right="0" w:hanging="359"/>
        <w:jc w:val="left"/>
        <w:rPr>
          <w:b/>
          <w:sz w:val="21"/>
        </w:rPr>
      </w:pPr>
      <w:r>
        <w:rPr>
          <w:b/>
          <w:sz w:val="21"/>
        </w:rPr>
        <w:t>Fund</w:t>
      </w:r>
      <w:r>
        <w:rPr>
          <w:b/>
          <w:spacing w:val="-6"/>
          <w:sz w:val="21"/>
        </w:rPr>
        <w:t> </w:t>
      </w:r>
      <w:r>
        <w:rPr>
          <w:b/>
          <w:sz w:val="21"/>
        </w:rPr>
        <w:t>employment</w:t>
      </w:r>
      <w:r>
        <w:rPr>
          <w:b/>
          <w:spacing w:val="-3"/>
          <w:sz w:val="21"/>
        </w:rPr>
        <w:t> </w:t>
      </w:r>
      <w:r>
        <w:rPr>
          <w:b/>
          <w:sz w:val="21"/>
        </w:rPr>
        <w:t>programming</w:t>
      </w:r>
      <w:r>
        <w:rPr>
          <w:b/>
          <w:spacing w:val="-3"/>
          <w:sz w:val="21"/>
        </w:rPr>
        <w:t> </w:t>
      </w:r>
      <w:r>
        <w:rPr>
          <w:b/>
          <w:sz w:val="21"/>
        </w:rPr>
        <w:t>designed</w:t>
      </w:r>
      <w:r>
        <w:rPr>
          <w:b/>
          <w:spacing w:val="-3"/>
          <w:sz w:val="21"/>
        </w:rPr>
        <w:t> </w:t>
      </w:r>
      <w:r>
        <w:rPr>
          <w:b/>
          <w:sz w:val="21"/>
        </w:rPr>
        <w:t>to</w:t>
      </w:r>
      <w:r>
        <w:rPr>
          <w:b/>
          <w:spacing w:val="-3"/>
          <w:sz w:val="21"/>
        </w:rPr>
        <w:t> </w:t>
      </w:r>
      <w:r>
        <w:rPr>
          <w:b/>
          <w:sz w:val="21"/>
        </w:rPr>
        <w:t>support</w:t>
      </w:r>
      <w:r>
        <w:rPr>
          <w:b/>
          <w:spacing w:val="-4"/>
          <w:sz w:val="21"/>
        </w:rPr>
        <w:t> </w:t>
      </w:r>
      <w:r>
        <w:rPr>
          <w:b/>
          <w:sz w:val="21"/>
        </w:rPr>
        <w:t>LGBTQ</w:t>
      </w:r>
      <w:r>
        <w:rPr>
          <w:b/>
          <w:spacing w:val="-4"/>
          <w:sz w:val="21"/>
        </w:rPr>
        <w:t> </w:t>
      </w:r>
      <w:r>
        <w:rPr>
          <w:b/>
          <w:sz w:val="21"/>
        </w:rPr>
        <w:t>youth</w:t>
      </w:r>
      <w:r>
        <w:rPr>
          <w:b/>
          <w:spacing w:val="-3"/>
          <w:sz w:val="21"/>
        </w:rPr>
        <w:t> </w:t>
      </w:r>
      <w:r>
        <w:rPr>
          <w:b/>
          <w:sz w:val="21"/>
        </w:rPr>
        <w:t>experiencing</w:t>
      </w:r>
      <w:r>
        <w:rPr>
          <w:b/>
          <w:spacing w:val="-3"/>
          <w:sz w:val="21"/>
        </w:rPr>
        <w:t> </w:t>
      </w:r>
      <w:r>
        <w:rPr>
          <w:b/>
          <w:spacing w:val="-2"/>
          <w:sz w:val="21"/>
        </w:rPr>
        <w:t>homelessness.</w:t>
      </w:r>
    </w:p>
    <w:p>
      <w:pPr>
        <w:pStyle w:val="BodyText"/>
        <w:spacing w:before="22"/>
        <w:rPr>
          <w:b/>
          <w:sz w:val="21"/>
        </w:rPr>
      </w:pPr>
    </w:p>
    <w:p>
      <w:pPr>
        <w:spacing w:line="276" w:lineRule="auto" w:before="0"/>
        <w:ind w:left="464" w:right="198" w:firstLine="0"/>
        <w:jc w:val="both"/>
        <w:rPr>
          <w:sz w:val="21"/>
        </w:rPr>
      </w:pPr>
      <w:r>
        <w:rPr>
          <w:sz w:val="21"/>
        </w:rPr>
        <w:t>Across several listening sessions that the Commission held in FY 2024 with LGBTQ young people experiencing homelessness, one of the top issues of concern was finding stable and LGBTQ-affirming employment. However, one of the biggest barriers to finding stable employment was their experiences of homelessness. Many of the participants in the sessions noted that it is often difficult to concentrate on a workday if they are also concerned about where they will be sleeping that night (whether that be on a friend’s</w:t>
      </w:r>
      <w:r>
        <w:rPr>
          <w:spacing w:val="-5"/>
          <w:sz w:val="21"/>
        </w:rPr>
        <w:t> </w:t>
      </w:r>
      <w:r>
        <w:rPr>
          <w:sz w:val="21"/>
        </w:rPr>
        <w:t>couch,</w:t>
      </w:r>
      <w:r>
        <w:rPr>
          <w:spacing w:val="-5"/>
          <w:sz w:val="21"/>
        </w:rPr>
        <w:t> </w:t>
      </w:r>
      <w:r>
        <w:rPr>
          <w:sz w:val="21"/>
        </w:rPr>
        <w:t>or</w:t>
      </w:r>
      <w:r>
        <w:rPr>
          <w:spacing w:val="-5"/>
          <w:sz w:val="21"/>
        </w:rPr>
        <w:t> </w:t>
      </w:r>
      <w:r>
        <w:rPr>
          <w:sz w:val="21"/>
        </w:rPr>
        <w:t>a</w:t>
      </w:r>
      <w:r>
        <w:rPr>
          <w:spacing w:val="-5"/>
          <w:sz w:val="21"/>
        </w:rPr>
        <w:t> </w:t>
      </w:r>
      <w:r>
        <w:rPr>
          <w:sz w:val="21"/>
        </w:rPr>
        <w:t>shelter,</w:t>
      </w:r>
      <w:r>
        <w:rPr>
          <w:spacing w:val="-6"/>
          <w:sz w:val="21"/>
        </w:rPr>
        <w:t> </w:t>
      </w:r>
      <w:r>
        <w:rPr>
          <w:sz w:val="21"/>
        </w:rPr>
        <w:t>or</w:t>
      </w:r>
      <w:r>
        <w:rPr>
          <w:spacing w:val="-5"/>
          <w:sz w:val="21"/>
        </w:rPr>
        <w:t> </w:t>
      </w:r>
      <w:r>
        <w:rPr>
          <w:sz w:val="21"/>
        </w:rPr>
        <w:t>the</w:t>
      </w:r>
      <w:r>
        <w:rPr>
          <w:spacing w:val="-5"/>
          <w:sz w:val="21"/>
        </w:rPr>
        <w:t> </w:t>
      </w:r>
      <w:r>
        <w:rPr>
          <w:sz w:val="21"/>
        </w:rPr>
        <w:t>street).</w:t>
      </w:r>
      <w:r>
        <w:rPr>
          <w:spacing w:val="-7"/>
          <w:sz w:val="21"/>
        </w:rPr>
        <w:t> </w:t>
      </w:r>
      <w:r>
        <w:rPr>
          <w:sz w:val="21"/>
        </w:rPr>
        <w:t>Furthermore,</w:t>
      </w:r>
      <w:r>
        <w:rPr>
          <w:spacing w:val="-5"/>
          <w:sz w:val="21"/>
        </w:rPr>
        <w:t> </w:t>
      </w:r>
      <w:r>
        <w:rPr>
          <w:sz w:val="21"/>
        </w:rPr>
        <w:t>lack</w:t>
      </w:r>
      <w:r>
        <w:rPr>
          <w:spacing w:val="-5"/>
          <w:sz w:val="21"/>
        </w:rPr>
        <w:t> </w:t>
      </w:r>
      <w:r>
        <w:rPr>
          <w:sz w:val="21"/>
        </w:rPr>
        <w:t>of</w:t>
      </w:r>
      <w:r>
        <w:rPr>
          <w:spacing w:val="-5"/>
          <w:sz w:val="21"/>
        </w:rPr>
        <w:t> </w:t>
      </w:r>
      <w:r>
        <w:rPr>
          <w:sz w:val="21"/>
        </w:rPr>
        <w:t>access</w:t>
      </w:r>
      <w:r>
        <w:rPr>
          <w:spacing w:val="-6"/>
          <w:sz w:val="21"/>
        </w:rPr>
        <w:t> </w:t>
      </w:r>
      <w:r>
        <w:rPr>
          <w:sz w:val="21"/>
        </w:rPr>
        <w:t>to</w:t>
      </w:r>
      <w:r>
        <w:rPr>
          <w:spacing w:val="-5"/>
          <w:sz w:val="21"/>
        </w:rPr>
        <w:t> </w:t>
      </w:r>
      <w:r>
        <w:rPr>
          <w:sz w:val="21"/>
        </w:rPr>
        <w:t>appropriate</w:t>
      </w:r>
      <w:r>
        <w:rPr>
          <w:spacing w:val="-5"/>
          <w:sz w:val="21"/>
        </w:rPr>
        <w:t> </w:t>
      </w:r>
      <w:r>
        <w:rPr>
          <w:sz w:val="21"/>
        </w:rPr>
        <w:t>clothing,</w:t>
      </w:r>
      <w:r>
        <w:rPr>
          <w:spacing w:val="-5"/>
          <w:sz w:val="21"/>
        </w:rPr>
        <w:t> </w:t>
      </w:r>
      <w:r>
        <w:rPr>
          <w:sz w:val="21"/>
        </w:rPr>
        <w:t>hygiene</w:t>
      </w:r>
      <w:r>
        <w:rPr>
          <w:spacing w:val="-5"/>
          <w:sz w:val="21"/>
        </w:rPr>
        <w:t> </w:t>
      </w:r>
      <w:r>
        <w:rPr>
          <w:sz w:val="21"/>
        </w:rPr>
        <w:t>and gender-affirming</w:t>
      </w:r>
      <w:r>
        <w:rPr>
          <w:spacing w:val="-1"/>
          <w:sz w:val="21"/>
        </w:rPr>
        <w:t> </w:t>
      </w:r>
      <w:r>
        <w:rPr>
          <w:sz w:val="21"/>
        </w:rPr>
        <w:t>products, lack of</w:t>
      </w:r>
      <w:r>
        <w:rPr>
          <w:spacing w:val="-2"/>
          <w:sz w:val="21"/>
        </w:rPr>
        <w:t> </w:t>
      </w:r>
      <w:r>
        <w:rPr>
          <w:sz w:val="21"/>
        </w:rPr>
        <w:t>appropriate</w:t>
      </w:r>
      <w:r>
        <w:rPr>
          <w:spacing w:val="-1"/>
          <w:sz w:val="21"/>
        </w:rPr>
        <w:t> </w:t>
      </w:r>
      <w:r>
        <w:rPr>
          <w:sz w:val="21"/>
        </w:rPr>
        <w:t>documentation,</w:t>
      </w:r>
      <w:r>
        <w:rPr>
          <w:spacing w:val="-1"/>
          <w:sz w:val="21"/>
        </w:rPr>
        <w:t> </w:t>
      </w:r>
      <w:r>
        <w:rPr>
          <w:sz w:val="21"/>
        </w:rPr>
        <w:t>and</w:t>
      </w:r>
      <w:r>
        <w:rPr>
          <w:spacing w:val="-2"/>
          <w:sz w:val="21"/>
        </w:rPr>
        <w:t> </w:t>
      </w:r>
      <w:r>
        <w:rPr>
          <w:sz w:val="21"/>
        </w:rPr>
        <w:t>poor mental</w:t>
      </w:r>
      <w:r>
        <w:rPr>
          <w:spacing w:val="-2"/>
          <w:sz w:val="21"/>
        </w:rPr>
        <w:t> </w:t>
      </w:r>
      <w:r>
        <w:rPr>
          <w:sz w:val="21"/>
        </w:rPr>
        <w:t>health</w:t>
      </w:r>
      <w:r>
        <w:rPr>
          <w:spacing w:val="-1"/>
          <w:sz w:val="21"/>
        </w:rPr>
        <w:t> </w:t>
      </w:r>
      <w:r>
        <w:rPr>
          <w:sz w:val="21"/>
        </w:rPr>
        <w:t>were</w:t>
      </w:r>
      <w:r>
        <w:rPr>
          <w:spacing w:val="-2"/>
          <w:sz w:val="21"/>
        </w:rPr>
        <w:t> </w:t>
      </w:r>
      <w:r>
        <w:rPr>
          <w:sz w:val="21"/>
        </w:rPr>
        <w:t>also</w:t>
      </w:r>
      <w:r>
        <w:rPr>
          <w:spacing w:val="-1"/>
          <w:sz w:val="21"/>
        </w:rPr>
        <w:t> </w:t>
      </w:r>
      <w:r>
        <w:rPr>
          <w:sz w:val="21"/>
        </w:rPr>
        <w:t>listed</w:t>
      </w:r>
      <w:r>
        <w:rPr>
          <w:spacing w:val="-1"/>
          <w:sz w:val="21"/>
        </w:rPr>
        <w:t> </w:t>
      </w:r>
      <w:r>
        <w:rPr>
          <w:sz w:val="21"/>
        </w:rPr>
        <w:t>as significant barriers.</w:t>
      </w:r>
    </w:p>
    <w:p>
      <w:pPr>
        <w:spacing w:line="276" w:lineRule="auto" w:before="240"/>
        <w:ind w:left="464" w:right="201" w:firstLine="0"/>
        <w:jc w:val="both"/>
        <w:rPr>
          <w:sz w:val="21"/>
        </w:rPr>
      </w:pPr>
      <w:r>
        <w:rPr>
          <w:sz w:val="21"/>
        </w:rPr>
        <w:t>While</w:t>
      </w:r>
      <w:r>
        <w:rPr>
          <w:spacing w:val="-2"/>
          <w:sz w:val="21"/>
        </w:rPr>
        <w:t> </w:t>
      </w:r>
      <w:r>
        <w:rPr>
          <w:sz w:val="21"/>
        </w:rPr>
        <w:t>organizations</w:t>
      </w:r>
      <w:r>
        <w:rPr>
          <w:spacing w:val="-2"/>
          <w:sz w:val="21"/>
        </w:rPr>
        <w:t> </w:t>
      </w:r>
      <w:r>
        <w:rPr>
          <w:sz w:val="21"/>
        </w:rPr>
        <w:t>like</w:t>
      </w:r>
      <w:r>
        <w:rPr>
          <w:spacing w:val="-2"/>
          <w:sz w:val="21"/>
        </w:rPr>
        <w:t> </w:t>
      </w:r>
      <w:r>
        <w:rPr>
          <w:sz w:val="21"/>
        </w:rPr>
        <w:t>Breaktime</w:t>
      </w:r>
      <w:r>
        <w:rPr>
          <w:spacing w:val="-2"/>
          <w:sz w:val="21"/>
        </w:rPr>
        <w:t> </w:t>
      </w:r>
      <w:r>
        <w:rPr>
          <w:sz w:val="21"/>
        </w:rPr>
        <w:t>do</w:t>
      </w:r>
      <w:r>
        <w:rPr>
          <w:spacing w:val="-2"/>
          <w:sz w:val="21"/>
        </w:rPr>
        <w:t> </w:t>
      </w:r>
      <w:r>
        <w:rPr>
          <w:sz w:val="21"/>
        </w:rPr>
        <w:t>provide</w:t>
      </w:r>
      <w:r>
        <w:rPr>
          <w:spacing w:val="-2"/>
          <w:sz w:val="21"/>
        </w:rPr>
        <w:t> </w:t>
      </w:r>
      <w:r>
        <w:rPr>
          <w:sz w:val="21"/>
        </w:rPr>
        <w:t>employment</w:t>
      </w:r>
      <w:r>
        <w:rPr>
          <w:spacing w:val="-1"/>
          <w:sz w:val="21"/>
        </w:rPr>
        <w:t> </w:t>
      </w:r>
      <w:r>
        <w:rPr>
          <w:sz w:val="21"/>
        </w:rPr>
        <w:t>support</w:t>
      </w:r>
      <w:r>
        <w:rPr>
          <w:spacing w:val="-1"/>
          <w:sz w:val="21"/>
        </w:rPr>
        <w:t> </w:t>
      </w:r>
      <w:r>
        <w:rPr>
          <w:sz w:val="21"/>
        </w:rPr>
        <w:t>for</w:t>
      </w:r>
      <w:r>
        <w:rPr>
          <w:spacing w:val="-2"/>
          <w:sz w:val="21"/>
        </w:rPr>
        <w:t> </w:t>
      </w:r>
      <w:r>
        <w:rPr>
          <w:sz w:val="21"/>
        </w:rPr>
        <w:t>LGBTQ</w:t>
      </w:r>
      <w:r>
        <w:rPr>
          <w:spacing w:val="-2"/>
          <w:sz w:val="21"/>
        </w:rPr>
        <w:t> </w:t>
      </w:r>
      <w:r>
        <w:rPr>
          <w:sz w:val="21"/>
        </w:rPr>
        <w:t>young</w:t>
      </w:r>
      <w:r>
        <w:rPr>
          <w:spacing w:val="-2"/>
          <w:sz w:val="21"/>
        </w:rPr>
        <w:t> </w:t>
      </w:r>
      <w:r>
        <w:rPr>
          <w:sz w:val="21"/>
        </w:rPr>
        <w:t>people</w:t>
      </w:r>
      <w:r>
        <w:rPr>
          <w:spacing w:val="-2"/>
          <w:sz w:val="21"/>
        </w:rPr>
        <w:t> </w:t>
      </w:r>
      <w:r>
        <w:rPr>
          <w:sz w:val="21"/>
        </w:rPr>
        <w:t>experiencing homelessness, it is critical that the state broadens its understanding of what homelessness prevention resources and programming are and increases funding to help build capacity through new and existing support programs.</w:t>
      </w:r>
    </w:p>
    <w:p>
      <w:pPr>
        <w:spacing w:before="239"/>
        <w:ind w:left="464" w:right="0" w:firstLine="0"/>
        <w:jc w:val="both"/>
        <w:rPr>
          <w:sz w:val="28"/>
        </w:rPr>
      </w:pPr>
      <w:bookmarkStart w:name="Research on Economic Justice for LGBTQ Y" w:id="834"/>
      <w:bookmarkEnd w:id="834"/>
      <w:r>
        <w:rPr/>
      </w:r>
      <w:r>
        <w:rPr>
          <w:color w:val="365F91"/>
          <w:sz w:val="28"/>
        </w:rPr>
        <w:t>Research</w:t>
      </w:r>
      <w:r>
        <w:rPr>
          <w:color w:val="365F91"/>
          <w:spacing w:val="-10"/>
          <w:sz w:val="28"/>
        </w:rPr>
        <w:t> </w:t>
      </w:r>
      <w:r>
        <w:rPr>
          <w:color w:val="365F91"/>
          <w:sz w:val="28"/>
        </w:rPr>
        <w:t>on</w:t>
      </w:r>
      <w:r>
        <w:rPr>
          <w:color w:val="365F91"/>
          <w:spacing w:val="-9"/>
          <w:sz w:val="28"/>
        </w:rPr>
        <w:t> </w:t>
      </w:r>
      <w:r>
        <w:rPr>
          <w:color w:val="365F91"/>
          <w:sz w:val="28"/>
        </w:rPr>
        <w:t>Economic</w:t>
      </w:r>
      <w:r>
        <w:rPr>
          <w:color w:val="365F91"/>
          <w:spacing w:val="-9"/>
          <w:sz w:val="28"/>
        </w:rPr>
        <w:t> </w:t>
      </w:r>
      <w:r>
        <w:rPr>
          <w:color w:val="365F91"/>
          <w:sz w:val="28"/>
        </w:rPr>
        <w:t>Justice</w:t>
      </w:r>
      <w:r>
        <w:rPr>
          <w:color w:val="365F91"/>
          <w:spacing w:val="-8"/>
          <w:sz w:val="28"/>
        </w:rPr>
        <w:t> </w:t>
      </w:r>
      <w:r>
        <w:rPr>
          <w:color w:val="365F91"/>
          <w:sz w:val="28"/>
        </w:rPr>
        <w:t>for</w:t>
      </w:r>
      <w:r>
        <w:rPr>
          <w:color w:val="365F91"/>
          <w:spacing w:val="-10"/>
          <w:sz w:val="28"/>
        </w:rPr>
        <w:t> </w:t>
      </w:r>
      <w:r>
        <w:rPr>
          <w:color w:val="365F91"/>
          <w:sz w:val="28"/>
        </w:rPr>
        <w:t>LGBTQ</w:t>
      </w:r>
      <w:r>
        <w:rPr>
          <w:color w:val="365F91"/>
          <w:spacing w:val="-8"/>
          <w:sz w:val="28"/>
        </w:rPr>
        <w:t> </w:t>
      </w:r>
      <w:r>
        <w:rPr>
          <w:color w:val="365F91"/>
          <w:spacing w:val="-2"/>
          <w:sz w:val="28"/>
        </w:rPr>
        <w:t>Youth</w:t>
      </w:r>
    </w:p>
    <w:p>
      <w:pPr>
        <w:pStyle w:val="BodyText"/>
        <w:spacing w:before="9"/>
        <w:rPr>
          <w:sz w:val="3"/>
        </w:rPr>
      </w:pPr>
      <w:r>
        <w:rPr/>
        <mc:AlternateContent>
          <mc:Choice Requires="wps">
            <w:drawing>
              <wp:anchor distT="0" distB="0" distL="0" distR="0" allowOverlap="1" layoutInCell="1" locked="0" behindDoc="1" simplePos="0" relativeHeight="487682048">
                <wp:simplePos x="0" y="0"/>
                <wp:positionH relativeFrom="page">
                  <wp:posOffset>986789</wp:posOffset>
                </wp:positionH>
                <wp:positionV relativeFrom="paragraph">
                  <wp:posOffset>44777</wp:posOffset>
                </wp:positionV>
                <wp:extent cx="5799455" cy="6350"/>
                <wp:effectExtent l="0" t="0" r="0" b="0"/>
                <wp:wrapTopAndBottom/>
                <wp:docPr id="506" name="Graphic 506"/>
                <wp:cNvGraphicFramePr>
                  <a:graphicFrameLocks/>
                </wp:cNvGraphicFramePr>
                <a:graphic>
                  <a:graphicData uri="http://schemas.microsoft.com/office/word/2010/wordprocessingShape">
                    <wps:wsp>
                      <wps:cNvPr id="506" name="Graphic 506"/>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2582pt;width:456.601pt;height:.48pt;mso-position-horizontal-relative:page;mso-position-vertical-relative:paragraph;z-index:-15634432;mso-wrap-distance-left:0;mso-wrap-distance-right:0" id="docshape408" filled="true" fillcolor="#4f81bc" stroked="false">
                <v:fill type="solid"/>
                <w10:wrap type="topAndBottom"/>
              </v:rect>
            </w:pict>
          </mc:Fallback>
        </mc:AlternateContent>
      </w:r>
    </w:p>
    <w:p>
      <w:pPr>
        <w:spacing w:before="241"/>
        <w:ind w:left="464" w:right="0" w:firstLine="0"/>
        <w:jc w:val="left"/>
        <w:rPr>
          <w:sz w:val="28"/>
        </w:rPr>
      </w:pPr>
      <w:bookmarkStart w:name="Employment" w:id="835"/>
      <w:bookmarkEnd w:id="835"/>
      <w:r>
        <w:rPr/>
      </w:r>
      <w:r>
        <w:rPr>
          <w:color w:val="365F91"/>
          <w:spacing w:val="-2"/>
          <w:sz w:val="28"/>
        </w:rPr>
        <w:t>Employment</w:t>
      </w:r>
    </w:p>
    <w:p>
      <w:pPr>
        <w:spacing w:line="276" w:lineRule="auto" w:before="292"/>
        <w:ind w:left="463" w:right="199" w:firstLine="0"/>
        <w:jc w:val="both"/>
        <w:rPr>
          <w:sz w:val="21"/>
        </w:rPr>
      </w:pPr>
      <w:r>
        <w:rPr>
          <w:sz w:val="21"/>
        </w:rPr>
        <w:t>LGBTQ youth, especially QTBIPOC youth, reported higher unemployment rates than their cisgender and straight counterparts. According to the 2022 US Trans Survey, transgender individuals reported an 18% unemployment rate from October to December 2022compared to the national average of 3.6% in Q4 of 2022</w:t>
      </w:r>
      <w:hyperlink w:history="true" w:anchor="_bookmark555">
        <w:r>
          <w:rPr>
            <w:sz w:val="21"/>
            <w:vertAlign w:val="superscript"/>
          </w:rPr>
          <w:t>1</w:t>
        </w:r>
      </w:hyperlink>
      <w:r>
        <w:rPr>
          <w:sz w:val="21"/>
          <w:vertAlign w:val="baseline"/>
        </w:rPr>
        <w:t>;</w:t>
      </w:r>
      <w:r>
        <w:rPr>
          <w:spacing w:val="-9"/>
          <w:sz w:val="21"/>
          <w:vertAlign w:val="baseline"/>
        </w:rPr>
        <w:t> </w:t>
      </w:r>
      <w:r>
        <w:rPr>
          <w:sz w:val="21"/>
          <w:vertAlign w:val="baseline"/>
        </w:rPr>
        <w:t>34%</w:t>
      </w:r>
      <w:r>
        <w:rPr>
          <w:spacing w:val="-9"/>
          <w:sz w:val="21"/>
          <w:vertAlign w:val="baseline"/>
        </w:rPr>
        <w:t> </w:t>
      </w:r>
      <w:r>
        <w:rPr>
          <w:sz w:val="21"/>
          <w:vertAlign w:val="baseline"/>
        </w:rPr>
        <w:t>of</w:t>
      </w:r>
      <w:r>
        <w:rPr>
          <w:spacing w:val="-10"/>
          <w:sz w:val="21"/>
          <w:vertAlign w:val="baseline"/>
        </w:rPr>
        <w:t> </w:t>
      </w:r>
      <w:r>
        <w:rPr>
          <w:sz w:val="21"/>
          <w:vertAlign w:val="baseline"/>
        </w:rPr>
        <w:t>transgender</w:t>
      </w:r>
      <w:r>
        <w:rPr>
          <w:spacing w:val="-9"/>
          <w:sz w:val="21"/>
          <w:vertAlign w:val="baseline"/>
        </w:rPr>
        <w:t> </w:t>
      </w:r>
      <w:r>
        <w:rPr>
          <w:sz w:val="21"/>
          <w:vertAlign w:val="baseline"/>
        </w:rPr>
        <w:t>individuals</w:t>
      </w:r>
      <w:r>
        <w:rPr>
          <w:spacing w:val="-10"/>
          <w:sz w:val="21"/>
          <w:vertAlign w:val="baseline"/>
        </w:rPr>
        <w:t> </w:t>
      </w:r>
      <w:r>
        <w:rPr>
          <w:sz w:val="21"/>
          <w:vertAlign w:val="baseline"/>
        </w:rPr>
        <w:t>reported</w:t>
      </w:r>
      <w:r>
        <w:rPr>
          <w:spacing w:val="-9"/>
          <w:sz w:val="21"/>
          <w:vertAlign w:val="baseline"/>
        </w:rPr>
        <w:t> </w:t>
      </w:r>
      <w:r>
        <w:rPr>
          <w:sz w:val="21"/>
          <w:vertAlign w:val="baseline"/>
        </w:rPr>
        <w:t>living</w:t>
      </w:r>
      <w:r>
        <w:rPr>
          <w:spacing w:val="-10"/>
          <w:sz w:val="21"/>
          <w:vertAlign w:val="baseline"/>
        </w:rPr>
        <w:t> </w:t>
      </w:r>
      <w:r>
        <w:rPr>
          <w:sz w:val="21"/>
          <w:vertAlign w:val="baseline"/>
        </w:rPr>
        <w:t>in</w:t>
      </w:r>
      <w:r>
        <w:rPr>
          <w:spacing w:val="-9"/>
          <w:sz w:val="21"/>
          <w:vertAlign w:val="baseline"/>
        </w:rPr>
        <w:t> </w:t>
      </w:r>
      <w:r>
        <w:rPr>
          <w:sz w:val="21"/>
          <w:vertAlign w:val="baseline"/>
        </w:rPr>
        <w:t>poverty</w:t>
      </w:r>
      <w:r>
        <w:rPr>
          <w:spacing w:val="-10"/>
          <w:sz w:val="21"/>
          <w:vertAlign w:val="baseline"/>
        </w:rPr>
        <w:t> </w:t>
      </w:r>
      <w:r>
        <w:rPr>
          <w:sz w:val="21"/>
          <w:vertAlign w:val="baseline"/>
        </w:rPr>
        <w:t>in</w:t>
      </w:r>
      <w:r>
        <w:rPr>
          <w:spacing w:val="-9"/>
          <w:sz w:val="21"/>
          <w:vertAlign w:val="baseline"/>
        </w:rPr>
        <w:t> </w:t>
      </w:r>
      <w:r>
        <w:rPr>
          <w:sz w:val="21"/>
          <w:vertAlign w:val="baseline"/>
        </w:rPr>
        <w:t>2022</w:t>
      </w:r>
      <w:hyperlink w:history="true" w:anchor="_bookmark556">
        <w:r>
          <w:rPr>
            <w:sz w:val="21"/>
            <w:vertAlign w:val="superscript"/>
          </w:rPr>
          <w:t>2</w:t>
        </w:r>
      </w:hyperlink>
      <w:r>
        <w:rPr>
          <w:spacing w:val="38"/>
          <w:sz w:val="21"/>
          <w:vertAlign w:val="baseline"/>
        </w:rPr>
        <w:t> </w:t>
      </w:r>
      <w:r>
        <w:rPr>
          <w:sz w:val="21"/>
          <w:vertAlign w:val="baseline"/>
        </w:rPr>
        <w:t>compared</w:t>
      </w:r>
      <w:r>
        <w:rPr>
          <w:spacing w:val="-9"/>
          <w:sz w:val="21"/>
          <w:vertAlign w:val="baseline"/>
        </w:rPr>
        <w:t> </w:t>
      </w:r>
      <w:r>
        <w:rPr>
          <w:sz w:val="21"/>
          <w:vertAlign w:val="baseline"/>
        </w:rPr>
        <w:t>to</w:t>
      </w:r>
      <w:r>
        <w:rPr>
          <w:spacing w:val="-11"/>
          <w:sz w:val="21"/>
          <w:vertAlign w:val="baseline"/>
        </w:rPr>
        <w:t> </w:t>
      </w:r>
      <w:r>
        <w:rPr>
          <w:sz w:val="21"/>
          <w:vertAlign w:val="baseline"/>
        </w:rPr>
        <w:t>the</w:t>
      </w:r>
      <w:r>
        <w:rPr>
          <w:spacing w:val="-9"/>
          <w:sz w:val="21"/>
          <w:vertAlign w:val="baseline"/>
        </w:rPr>
        <w:t> </w:t>
      </w:r>
      <w:r>
        <w:rPr>
          <w:sz w:val="21"/>
          <w:vertAlign w:val="baseline"/>
        </w:rPr>
        <w:t>national</w:t>
      </w:r>
      <w:r>
        <w:rPr>
          <w:spacing w:val="-9"/>
          <w:sz w:val="21"/>
          <w:vertAlign w:val="baseline"/>
        </w:rPr>
        <w:t> </w:t>
      </w:r>
      <w:r>
        <w:rPr>
          <w:sz w:val="21"/>
          <w:vertAlign w:val="baseline"/>
        </w:rPr>
        <w:t>poverty rate of</w:t>
      </w:r>
      <w:r>
        <w:rPr>
          <w:spacing w:val="-2"/>
          <w:sz w:val="21"/>
          <w:vertAlign w:val="baseline"/>
        </w:rPr>
        <w:t> </w:t>
      </w:r>
      <w:r>
        <w:rPr>
          <w:sz w:val="21"/>
          <w:vertAlign w:val="baseline"/>
        </w:rPr>
        <w:t>11.5%</w:t>
      </w:r>
      <w:r>
        <w:rPr>
          <w:spacing w:val="-2"/>
          <w:sz w:val="21"/>
          <w:vertAlign w:val="baseline"/>
        </w:rPr>
        <w:t> </w:t>
      </w:r>
      <w:r>
        <w:rPr>
          <w:sz w:val="21"/>
          <w:vertAlign w:val="baseline"/>
        </w:rPr>
        <w:t>in 2022</w:t>
      </w:r>
      <w:hyperlink w:history="true" w:anchor="_bookmark557">
        <w:r>
          <w:rPr>
            <w:sz w:val="21"/>
            <w:vertAlign w:val="superscript"/>
          </w:rPr>
          <w:t>3</w:t>
        </w:r>
      </w:hyperlink>
      <w:r>
        <w:rPr>
          <w:sz w:val="21"/>
          <w:vertAlign w:val="baseline"/>
        </w:rPr>
        <w:t>. The</w:t>
      </w:r>
      <w:r>
        <w:rPr>
          <w:spacing w:val="-1"/>
          <w:sz w:val="21"/>
          <w:vertAlign w:val="baseline"/>
        </w:rPr>
        <w:t> </w:t>
      </w:r>
      <w:r>
        <w:rPr>
          <w:sz w:val="21"/>
          <w:vertAlign w:val="baseline"/>
        </w:rPr>
        <w:t>Bureau of</w:t>
      </w:r>
      <w:r>
        <w:rPr>
          <w:spacing w:val="-1"/>
          <w:sz w:val="21"/>
          <w:vertAlign w:val="baseline"/>
        </w:rPr>
        <w:t> </w:t>
      </w:r>
      <w:r>
        <w:rPr>
          <w:sz w:val="21"/>
          <w:vertAlign w:val="baseline"/>
        </w:rPr>
        <w:t>Labor Statistics still</w:t>
      </w:r>
      <w:r>
        <w:rPr>
          <w:spacing w:val="-1"/>
          <w:sz w:val="21"/>
          <w:vertAlign w:val="baseline"/>
        </w:rPr>
        <w:t> </w:t>
      </w:r>
      <w:r>
        <w:rPr>
          <w:sz w:val="21"/>
          <w:vertAlign w:val="baseline"/>
        </w:rPr>
        <w:t>does not</w:t>
      </w:r>
      <w:r>
        <w:rPr>
          <w:spacing w:val="-1"/>
          <w:sz w:val="21"/>
          <w:vertAlign w:val="baseline"/>
        </w:rPr>
        <w:t> </w:t>
      </w:r>
      <w:r>
        <w:rPr>
          <w:sz w:val="21"/>
          <w:vertAlign w:val="baseline"/>
        </w:rPr>
        <w:t>collect data</w:t>
      </w:r>
      <w:r>
        <w:rPr>
          <w:spacing w:val="-1"/>
          <w:sz w:val="21"/>
          <w:vertAlign w:val="baseline"/>
        </w:rPr>
        <w:t> </w:t>
      </w:r>
      <w:r>
        <w:rPr>
          <w:sz w:val="21"/>
          <w:vertAlign w:val="baseline"/>
        </w:rPr>
        <w:t>on</w:t>
      </w:r>
      <w:r>
        <w:rPr>
          <w:spacing w:val="-1"/>
          <w:sz w:val="21"/>
          <w:vertAlign w:val="baseline"/>
        </w:rPr>
        <w:t> </w:t>
      </w:r>
      <w:r>
        <w:rPr>
          <w:sz w:val="21"/>
          <w:vertAlign w:val="baseline"/>
        </w:rPr>
        <w:t>LGBTQ identity</w:t>
      </w:r>
      <w:r>
        <w:rPr>
          <w:spacing w:val="-1"/>
          <w:sz w:val="21"/>
          <w:vertAlign w:val="baseline"/>
        </w:rPr>
        <w:t> </w:t>
      </w:r>
      <w:r>
        <w:rPr>
          <w:sz w:val="21"/>
          <w:vertAlign w:val="baseline"/>
        </w:rPr>
        <w:t>on</w:t>
      </w:r>
      <w:r>
        <w:rPr>
          <w:spacing w:val="-1"/>
          <w:sz w:val="21"/>
          <w:vertAlign w:val="baseline"/>
        </w:rPr>
        <w:t> </w:t>
      </w:r>
      <w:r>
        <w:rPr>
          <w:sz w:val="21"/>
          <w:vertAlign w:val="baseline"/>
        </w:rPr>
        <w:t>most of</w:t>
      </w:r>
      <w:r>
        <w:rPr>
          <w:spacing w:val="-6"/>
          <w:sz w:val="21"/>
          <w:vertAlign w:val="baseline"/>
        </w:rPr>
        <w:t> </w:t>
      </w:r>
      <w:r>
        <w:rPr>
          <w:sz w:val="21"/>
          <w:vertAlign w:val="baseline"/>
        </w:rPr>
        <w:t>its</w:t>
      </w:r>
      <w:r>
        <w:rPr>
          <w:spacing w:val="-6"/>
          <w:sz w:val="21"/>
          <w:vertAlign w:val="baseline"/>
        </w:rPr>
        <w:t> </w:t>
      </w:r>
      <w:r>
        <w:rPr>
          <w:sz w:val="21"/>
          <w:vertAlign w:val="baseline"/>
        </w:rPr>
        <w:t>surveys,</w:t>
      </w:r>
      <w:r>
        <w:rPr>
          <w:spacing w:val="-4"/>
          <w:sz w:val="21"/>
          <w:vertAlign w:val="baseline"/>
        </w:rPr>
        <w:t> </w:t>
      </w:r>
      <w:r>
        <w:rPr>
          <w:sz w:val="21"/>
          <w:vertAlign w:val="baseline"/>
        </w:rPr>
        <w:t>making</w:t>
      </w:r>
      <w:r>
        <w:rPr>
          <w:spacing w:val="-6"/>
          <w:sz w:val="21"/>
          <w:vertAlign w:val="baseline"/>
        </w:rPr>
        <w:t> </w:t>
      </w:r>
      <w:r>
        <w:rPr>
          <w:sz w:val="21"/>
          <w:vertAlign w:val="baseline"/>
        </w:rPr>
        <w:t>it</w:t>
      </w:r>
      <w:r>
        <w:rPr>
          <w:spacing w:val="-5"/>
          <w:sz w:val="21"/>
          <w:vertAlign w:val="baseline"/>
        </w:rPr>
        <w:t> </w:t>
      </w:r>
      <w:r>
        <w:rPr>
          <w:sz w:val="21"/>
          <w:vertAlign w:val="baseline"/>
        </w:rPr>
        <w:t>difficult</w:t>
      </w:r>
      <w:r>
        <w:rPr>
          <w:spacing w:val="-5"/>
          <w:sz w:val="21"/>
          <w:vertAlign w:val="baseline"/>
        </w:rPr>
        <w:t> </w:t>
      </w:r>
      <w:r>
        <w:rPr>
          <w:sz w:val="21"/>
          <w:vertAlign w:val="baseline"/>
        </w:rPr>
        <w:t>to</w:t>
      </w:r>
      <w:r>
        <w:rPr>
          <w:spacing w:val="-6"/>
          <w:sz w:val="21"/>
          <w:vertAlign w:val="baseline"/>
        </w:rPr>
        <w:t> </w:t>
      </w:r>
      <w:r>
        <w:rPr>
          <w:sz w:val="21"/>
          <w:vertAlign w:val="baseline"/>
        </w:rPr>
        <w:t>generate</w:t>
      </w:r>
      <w:r>
        <w:rPr>
          <w:spacing w:val="-6"/>
          <w:sz w:val="21"/>
          <w:vertAlign w:val="baseline"/>
        </w:rPr>
        <w:t> </w:t>
      </w:r>
      <w:r>
        <w:rPr>
          <w:sz w:val="21"/>
          <w:vertAlign w:val="baseline"/>
        </w:rPr>
        <w:t>exact</w:t>
      </w:r>
      <w:r>
        <w:rPr>
          <w:spacing w:val="-5"/>
          <w:sz w:val="21"/>
          <w:vertAlign w:val="baseline"/>
        </w:rPr>
        <w:t> </w:t>
      </w:r>
      <w:r>
        <w:rPr>
          <w:sz w:val="21"/>
          <w:vertAlign w:val="baseline"/>
        </w:rPr>
        <w:t>unemployment</w:t>
      </w:r>
      <w:r>
        <w:rPr>
          <w:spacing w:val="-5"/>
          <w:sz w:val="21"/>
          <w:vertAlign w:val="baseline"/>
        </w:rPr>
        <w:t> </w:t>
      </w:r>
      <w:r>
        <w:rPr>
          <w:sz w:val="21"/>
          <w:vertAlign w:val="baseline"/>
        </w:rPr>
        <w:t>rates</w:t>
      </w:r>
      <w:r>
        <w:rPr>
          <w:spacing w:val="-6"/>
          <w:sz w:val="21"/>
          <w:vertAlign w:val="baseline"/>
        </w:rPr>
        <w:t> </w:t>
      </w:r>
      <w:r>
        <w:rPr>
          <w:sz w:val="21"/>
          <w:vertAlign w:val="baseline"/>
        </w:rPr>
        <w:t>for</w:t>
      </w:r>
      <w:r>
        <w:rPr>
          <w:spacing w:val="-6"/>
          <w:sz w:val="21"/>
          <w:vertAlign w:val="baseline"/>
        </w:rPr>
        <w:t> </w:t>
      </w:r>
      <w:r>
        <w:rPr>
          <w:sz w:val="21"/>
          <w:vertAlign w:val="baseline"/>
        </w:rPr>
        <w:t>LGBTQ</w:t>
      </w:r>
      <w:r>
        <w:rPr>
          <w:spacing w:val="-5"/>
          <w:sz w:val="21"/>
          <w:vertAlign w:val="baseline"/>
        </w:rPr>
        <w:t> </w:t>
      </w:r>
      <w:r>
        <w:rPr>
          <w:sz w:val="21"/>
          <w:vertAlign w:val="baseline"/>
        </w:rPr>
        <w:t>youth</w:t>
      </w:r>
      <w:r>
        <w:rPr>
          <w:spacing w:val="-6"/>
          <w:sz w:val="21"/>
          <w:vertAlign w:val="baseline"/>
        </w:rPr>
        <w:t> </w:t>
      </w:r>
      <w:r>
        <w:rPr>
          <w:sz w:val="21"/>
          <w:vertAlign w:val="baseline"/>
        </w:rPr>
        <w:t>in</w:t>
      </w:r>
      <w:r>
        <w:rPr>
          <w:spacing w:val="-6"/>
          <w:sz w:val="21"/>
          <w:vertAlign w:val="baseline"/>
        </w:rPr>
        <w:t> </w:t>
      </w:r>
      <w:r>
        <w:rPr>
          <w:sz w:val="21"/>
          <w:vertAlign w:val="baseline"/>
        </w:rPr>
        <w:t>Massachusetts. There is data that show higher unemployment rates for other at-risk groups: people of color, foreign-born individuals,</w:t>
      </w:r>
      <w:r>
        <w:rPr>
          <w:spacing w:val="-6"/>
          <w:sz w:val="21"/>
          <w:vertAlign w:val="baseline"/>
        </w:rPr>
        <w:t> </w:t>
      </w:r>
      <w:r>
        <w:rPr>
          <w:sz w:val="21"/>
          <w:vertAlign w:val="baseline"/>
        </w:rPr>
        <w:t>justice-involved</w:t>
      </w:r>
      <w:r>
        <w:rPr>
          <w:spacing w:val="-7"/>
          <w:sz w:val="21"/>
          <w:vertAlign w:val="baseline"/>
        </w:rPr>
        <w:t> </w:t>
      </w:r>
      <w:r>
        <w:rPr>
          <w:sz w:val="21"/>
          <w:vertAlign w:val="baseline"/>
        </w:rPr>
        <w:t>individuals,</w:t>
      </w:r>
      <w:r>
        <w:rPr>
          <w:spacing w:val="-6"/>
          <w:sz w:val="21"/>
          <w:vertAlign w:val="baseline"/>
        </w:rPr>
        <w:t> </w:t>
      </w:r>
      <w:r>
        <w:rPr>
          <w:sz w:val="21"/>
          <w:vertAlign w:val="baseline"/>
        </w:rPr>
        <w:t>individuals</w:t>
      </w:r>
      <w:r>
        <w:rPr>
          <w:spacing w:val="-7"/>
          <w:sz w:val="21"/>
          <w:vertAlign w:val="baseline"/>
        </w:rPr>
        <w:t> </w:t>
      </w:r>
      <w:r>
        <w:rPr>
          <w:sz w:val="21"/>
          <w:vertAlign w:val="baseline"/>
        </w:rPr>
        <w:t>with</w:t>
      </w:r>
      <w:r>
        <w:rPr>
          <w:spacing w:val="-7"/>
          <w:sz w:val="21"/>
          <w:vertAlign w:val="baseline"/>
        </w:rPr>
        <w:t> </w:t>
      </w:r>
      <w:r>
        <w:rPr>
          <w:sz w:val="21"/>
          <w:vertAlign w:val="baseline"/>
        </w:rPr>
        <w:t>disabilities,</w:t>
      </w:r>
      <w:r>
        <w:rPr>
          <w:spacing w:val="-6"/>
          <w:sz w:val="21"/>
          <w:vertAlign w:val="baseline"/>
        </w:rPr>
        <w:t> </w:t>
      </w:r>
      <w:r>
        <w:rPr>
          <w:sz w:val="21"/>
          <w:vertAlign w:val="baseline"/>
        </w:rPr>
        <w:t>and</w:t>
      </w:r>
      <w:r>
        <w:rPr>
          <w:spacing w:val="-7"/>
          <w:sz w:val="21"/>
          <w:vertAlign w:val="baseline"/>
        </w:rPr>
        <w:t> </w:t>
      </w:r>
      <w:r>
        <w:rPr>
          <w:sz w:val="21"/>
          <w:vertAlign w:val="baseline"/>
        </w:rPr>
        <w:t>youth</w:t>
      </w:r>
      <w:r>
        <w:rPr>
          <w:spacing w:val="-7"/>
          <w:sz w:val="21"/>
          <w:vertAlign w:val="baseline"/>
        </w:rPr>
        <w:t> </w:t>
      </w:r>
      <w:r>
        <w:rPr>
          <w:sz w:val="21"/>
          <w:vertAlign w:val="baseline"/>
        </w:rPr>
        <w:t>between</w:t>
      </w:r>
      <w:r>
        <w:rPr>
          <w:spacing w:val="-7"/>
          <w:sz w:val="21"/>
          <w:vertAlign w:val="baseline"/>
        </w:rPr>
        <w:t> </w:t>
      </w:r>
      <w:r>
        <w:rPr>
          <w:sz w:val="21"/>
          <w:vertAlign w:val="baseline"/>
        </w:rPr>
        <w:t>the</w:t>
      </w:r>
      <w:r>
        <w:rPr>
          <w:spacing w:val="-7"/>
          <w:sz w:val="21"/>
          <w:vertAlign w:val="baseline"/>
        </w:rPr>
        <w:t> </w:t>
      </w:r>
      <w:r>
        <w:rPr>
          <w:sz w:val="21"/>
          <w:vertAlign w:val="baseline"/>
        </w:rPr>
        <w:t>ages</w:t>
      </w:r>
      <w:r>
        <w:rPr>
          <w:spacing w:val="-7"/>
          <w:sz w:val="21"/>
          <w:vertAlign w:val="baseline"/>
        </w:rPr>
        <w:t> </w:t>
      </w:r>
      <w:r>
        <w:rPr>
          <w:sz w:val="21"/>
          <w:vertAlign w:val="baseline"/>
        </w:rPr>
        <w:t>of</w:t>
      </w:r>
      <w:r>
        <w:rPr>
          <w:spacing w:val="-7"/>
          <w:sz w:val="21"/>
          <w:vertAlign w:val="baseline"/>
        </w:rPr>
        <w:t> </w:t>
      </w:r>
      <w:r>
        <w:rPr>
          <w:sz w:val="21"/>
          <w:vertAlign w:val="baseline"/>
        </w:rPr>
        <w:t>18-24.</w:t>
      </w:r>
      <w:hyperlink w:history="true" w:anchor="_bookmark558">
        <w:r>
          <w:rPr>
            <w:sz w:val="21"/>
            <w:vertAlign w:val="superscript"/>
          </w:rPr>
          <w:t>4</w:t>
        </w:r>
      </w:hyperlink>
    </w:p>
    <w:p>
      <w:pPr>
        <w:spacing w:line="276" w:lineRule="auto" w:before="240"/>
        <w:ind w:left="463" w:right="202" w:firstLine="0"/>
        <w:jc w:val="both"/>
        <w:rPr>
          <w:sz w:val="21"/>
        </w:rPr>
      </w:pPr>
      <w:r>
        <w:rPr>
          <w:sz w:val="21"/>
        </w:rPr>
        <w:t>Considering</w:t>
      </w:r>
      <w:r>
        <w:rPr>
          <w:spacing w:val="-7"/>
          <w:sz w:val="21"/>
        </w:rPr>
        <w:t> </w:t>
      </w:r>
      <w:r>
        <w:rPr>
          <w:sz w:val="21"/>
        </w:rPr>
        <w:t>the</w:t>
      </w:r>
      <w:r>
        <w:rPr>
          <w:spacing w:val="-7"/>
          <w:sz w:val="21"/>
        </w:rPr>
        <w:t> </w:t>
      </w:r>
      <w:r>
        <w:rPr>
          <w:sz w:val="21"/>
        </w:rPr>
        <w:t>labor</w:t>
      </w:r>
      <w:r>
        <w:rPr>
          <w:spacing w:val="-7"/>
          <w:sz w:val="21"/>
        </w:rPr>
        <w:t> </w:t>
      </w:r>
      <w:r>
        <w:rPr>
          <w:sz w:val="21"/>
        </w:rPr>
        <w:t>shortage</w:t>
      </w:r>
      <w:r>
        <w:rPr>
          <w:spacing w:val="-7"/>
          <w:sz w:val="21"/>
        </w:rPr>
        <w:t> </w:t>
      </w:r>
      <w:r>
        <w:rPr>
          <w:sz w:val="21"/>
        </w:rPr>
        <w:t>in</w:t>
      </w:r>
      <w:r>
        <w:rPr>
          <w:spacing w:val="-8"/>
          <w:sz w:val="21"/>
        </w:rPr>
        <w:t> </w:t>
      </w:r>
      <w:r>
        <w:rPr>
          <w:sz w:val="21"/>
        </w:rPr>
        <w:t>Massachusetts,</w:t>
      </w:r>
      <w:r>
        <w:rPr>
          <w:spacing w:val="-6"/>
          <w:sz w:val="21"/>
        </w:rPr>
        <w:t> </w:t>
      </w:r>
      <w:r>
        <w:rPr>
          <w:sz w:val="21"/>
        </w:rPr>
        <w:t>the</w:t>
      </w:r>
      <w:r>
        <w:rPr>
          <w:spacing w:val="-8"/>
          <w:sz w:val="21"/>
        </w:rPr>
        <w:t> </w:t>
      </w:r>
      <w:r>
        <w:rPr>
          <w:sz w:val="21"/>
        </w:rPr>
        <w:t>Commission</w:t>
      </w:r>
      <w:r>
        <w:rPr>
          <w:spacing w:val="-7"/>
          <w:sz w:val="21"/>
        </w:rPr>
        <w:t> </w:t>
      </w:r>
      <w:r>
        <w:rPr>
          <w:sz w:val="21"/>
        </w:rPr>
        <w:t>highlights</w:t>
      </w:r>
      <w:r>
        <w:rPr>
          <w:spacing w:val="-7"/>
          <w:sz w:val="21"/>
        </w:rPr>
        <w:t> </w:t>
      </w:r>
      <w:r>
        <w:rPr>
          <w:sz w:val="21"/>
        </w:rPr>
        <w:t>the</w:t>
      </w:r>
      <w:r>
        <w:rPr>
          <w:spacing w:val="-7"/>
          <w:sz w:val="21"/>
        </w:rPr>
        <w:t> </w:t>
      </w:r>
      <w:r>
        <w:rPr>
          <w:sz w:val="21"/>
        </w:rPr>
        <w:t>need</w:t>
      </w:r>
      <w:r>
        <w:rPr>
          <w:spacing w:val="-7"/>
          <w:sz w:val="21"/>
        </w:rPr>
        <w:t> </w:t>
      </w:r>
      <w:r>
        <w:rPr>
          <w:sz w:val="21"/>
        </w:rPr>
        <w:t>for</w:t>
      </w:r>
      <w:r>
        <w:rPr>
          <w:spacing w:val="-7"/>
          <w:sz w:val="21"/>
        </w:rPr>
        <w:t> </w:t>
      </w:r>
      <w:r>
        <w:rPr>
          <w:sz w:val="21"/>
        </w:rPr>
        <w:t>efforts</w:t>
      </w:r>
      <w:r>
        <w:rPr>
          <w:spacing w:val="-7"/>
          <w:sz w:val="21"/>
        </w:rPr>
        <w:t> </w:t>
      </w:r>
      <w:r>
        <w:rPr>
          <w:sz w:val="21"/>
        </w:rPr>
        <w:t>to</w:t>
      </w:r>
      <w:r>
        <w:rPr>
          <w:spacing w:val="-8"/>
          <w:sz w:val="21"/>
        </w:rPr>
        <w:t> </w:t>
      </w:r>
      <w:r>
        <w:rPr>
          <w:sz w:val="21"/>
        </w:rPr>
        <w:t>employ workers from these marginalized groups, among which LGBTQ youth are disproportionately represented. Barriers</w:t>
      </w:r>
      <w:r>
        <w:rPr>
          <w:spacing w:val="40"/>
          <w:sz w:val="21"/>
        </w:rPr>
        <w:t> </w:t>
      </w:r>
      <w:r>
        <w:rPr>
          <w:sz w:val="21"/>
        </w:rPr>
        <w:t>to</w:t>
      </w:r>
      <w:r>
        <w:rPr>
          <w:spacing w:val="40"/>
          <w:sz w:val="21"/>
        </w:rPr>
        <w:t> </w:t>
      </w:r>
      <w:r>
        <w:rPr>
          <w:sz w:val="21"/>
        </w:rPr>
        <w:t>these</w:t>
      </w:r>
      <w:r>
        <w:rPr>
          <w:spacing w:val="40"/>
          <w:sz w:val="21"/>
        </w:rPr>
        <w:t> </w:t>
      </w:r>
      <w:r>
        <w:rPr>
          <w:sz w:val="21"/>
        </w:rPr>
        <w:t>groups</w:t>
      </w:r>
      <w:r>
        <w:rPr>
          <w:spacing w:val="60"/>
          <w:sz w:val="21"/>
        </w:rPr>
        <w:t> </w:t>
      </w:r>
      <w:r>
        <w:rPr>
          <w:sz w:val="21"/>
        </w:rPr>
        <w:t>include</w:t>
      </w:r>
      <w:r>
        <w:rPr>
          <w:spacing w:val="40"/>
          <w:sz w:val="21"/>
        </w:rPr>
        <w:t> </w:t>
      </w:r>
      <w:r>
        <w:rPr>
          <w:sz w:val="21"/>
        </w:rPr>
        <w:t>English</w:t>
      </w:r>
      <w:r>
        <w:rPr>
          <w:spacing w:val="40"/>
          <w:sz w:val="21"/>
        </w:rPr>
        <w:t> </w:t>
      </w:r>
      <w:r>
        <w:rPr>
          <w:sz w:val="21"/>
        </w:rPr>
        <w:t>language</w:t>
      </w:r>
      <w:r>
        <w:rPr>
          <w:spacing w:val="40"/>
          <w:sz w:val="21"/>
        </w:rPr>
        <w:t> </w:t>
      </w:r>
      <w:r>
        <w:rPr>
          <w:sz w:val="21"/>
        </w:rPr>
        <w:t>speaking</w:t>
      </w:r>
      <w:r>
        <w:rPr>
          <w:spacing w:val="40"/>
          <w:sz w:val="21"/>
        </w:rPr>
        <w:t> </w:t>
      </w:r>
      <w:r>
        <w:rPr>
          <w:sz w:val="21"/>
        </w:rPr>
        <w:t>requirements,</w:t>
      </w:r>
      <w:r>
        <w:rPr>
          <w:spacing w:val="40"/>
          <w:sz w:val="21"/>
        </w:rPr>
        <w:t> </w:t>
      </w:r>
      <w:r>
        <w:rPr>
          <w:sz w:val="21"/>
        </w:rPr>
        <w:t>requirements</w:t>
      </w:r>
      <w:r>
        <w:rPr>
          <w:spacing w:val="40"/>
          <w:sz w:val="21"/>
        </w:rPr>
        <w:t> </w:t>
      </w:r>
      <w:r>
        <w:rPr>
          <w:sz w:val="21"/>
        </w:rPr>
        <w:t>prohibiting</w:t>
      </w:r>
    </w:p>
    <w:p>
      <w:pPr>
        <w:spacing w:after="0" w:line="276" w:lineRule="auto"/>
        <w:jc w:val="both"/>
        <w:rPr>
          <w:sz w:val="21"/>
        </w:rPr>
        <w:sectPr>
          <w:pgSz w:w="12240" w:h="15840"/>
          <w:pgMar w:header="763" w:footer="1041" w:top="1380" w:bottom="1240" w:left="1120" w:right="1380"/>
        </w:sectPr>
      </w:pPr>
    </w:p>
    <w:p>
      <w:pPr>
        <w:spacing w:line="276" w:lineRule="auto" w:before="47"/>
        <w:ind w:left="463" w:right="199" w:firstLine="0"/>
        <w:jc w:val="both"/>
        <w:rPr>
          <w:sz w:val="21"/>
        </w:rPr>
      </w:pPr>
      <w:r>
        <w:rPr>
          <w:sz w:val="21"/>
        </w:rPr>
        <w:t>individuals with a criminal record, accessible transportation, and access to healthcare. Solutions to removing</w:t>
      </w:r>
      <w:r>
        <w:rPr>
          <w:spacing w:val="-2"/>
          <w:sz w:val="21"/>
        </w:rPr>
        <w:t> </w:t>
      </w:r>
      <w:r>
        <w:rPr>
          <w:sz w:val="21"/>
        </w:rPr>
        <w:t>these</w:t>
      </w:r>
      <w:r>
        <w:rPr>
          <w:spacing w:val="-2"/>
          <w:sz w:val="21"/>
        </w:rPr>
        <w:t> </w:t>
      </w:r>
      <w:r>
        <w:rPr>
          <w:sz w:val="21"/>
        </w:rPr>
        <w:t>barriers</w:t>
      </w:r>
      <w:r>
        <w:rPr>
          <w:spacing w:val="-2"/>
          <w:sz w:val="21"/>
        </w:rPr>
        <w:t> </w:t>
      </w:r>
      <w:r>
        <w:rPr>
          <w:sz w:val="21"/>
        </w:rPr>
        <w:t>include</w:t>
      </w:r>
      <w:r>
        <w:rPr>
          <w:spacing w:val="-2"/>
          <w:sz w:val="21"/>
        </w:rPr>
        <w:t> </w:t>
      </w:r>
      <w:r>
        <w:rPr>
          <w:sz w:val="21"/>
        </w:rPr>
        <w:t>funding</w:t>
      </w:r>
      <w:r>
        <w:rPr>
          <w:spacing w:val="-2"/>
          <w:sz w:val="21"/>
        </w:rPr>
        <w:t> </w:t>
      </w:r>
      <w:r>
        <w:rPr>
          <w:sz w:val="21"/>
        </w:rPr>
        <w:t>English</w:t>
      </w:r>
      <w:r>
        <w:rPr>
          <w:spacing w:val="-1"/>
          <w:sz w:val="21"/>
        </w:rPr>
        <w:t> </w:t>
      </w:r>
      <w:r>
        <w:rPr>
          <w:sz w:val="21"/>
        </w:rPr>
        <w:t>language</w:t>
      </w:r>
      <w:r>
        <w:rPr>
          <w:spacing w:val="-2"/>
          <w:sz w:val="21"/>
        </w:rPr>
        <w:t> </w:t>
      </w:r>
      <w:r>
        <w:rPr>
          <w:sz w:val="21"/>
        </w:rPr>
        <w:t>programs,</w:t>
      </w:r>
      <w:r>
        <w:rPr>
          <w:spacing w:val="-1"/>
          <w:sz w:val="21"/>
        </w:rPr>
        <w:t> </w:t>
      </w:r>
      <w:r>
        <w:rPr>
          <w:sz w:val="21"/>
        </w:rPr>
        <w:t>onboarding</w:t>
      </w:r>
      <w:r>
        <w:rPr>
          <w:spacing w:val="-2"/>
          <w:sz w:val="21"/>
        </w:rPr>
        <w:t> </w:t>
      </w:r>
      <w:r>
        <w:rPr>
          <w:sz w:val="21"/>
        </w:rPr>
        <w:t>and</w:t>
      </w:r>
      <w:r>
        <w:rPr>
          <w:spacing w:val="-1"/>
          <w:sz w:val="21"/>
        </w:rPr>
        <w:t> </w:t>
      </w:r>
      <w:r>
        <w:rPr>
          <w:sz w:val="21"/>
        </w:rPr>
        <w:t>training</w:t>
      </w:r>
      <w:r>
        <w:rPr>
          <w:spacing w:val="-2"/>
          <w:sz w:val="21"/>
        </w:rPr>
        <w:t> </w:t>
      </w:r>
      <w:r>
        <w:rPr>
          <w:sz w:val="21"/>
        </w:rPr>
        <w:t>that</w:t>
      </w:r>
      <w:r>
        <w:rPr>
          <w:spacing w:val="-2"/>
          <w:sz w:val="21"/>
        </w:rPr>
        <w:t> </w:t>
      </w:r>
      <w:r>
        <w:rPr>
          <w:sz w:val="21"/>
        </w:rPr>
        <w:t>includes teaching</w:t>
      </w:r>
      <w:r>
        <w:rPr>
          <w:spacing w:val="-11"/>
          <w:sz w:val="21"/>
        </w:rPr>
        <w:t> </w:t>
      </w:r>
      <w:r>
        <w:rPr>
          <w:sz w:val="21"/>
        </w:rPr>
        <w:t>career</w:t>
      </w:r>
      <w:r>
        <w:rPr>
          <w:spacing w:val="-10"/>
          <w:sz w:val="21"/>
        </w:rPr>
        <w:t> </w:t>
      </w:r>
      <w:r>
        <w:rPr>
          <w:sz w:val="21"/>
        </w:rPr>
        <w:t>specific</w:t>
      </w:r>
      <w:r>
        <w:rPr>
          <w:spacing w:val="-10"/>
          <w:sz w:val="21"/>
        </w:rPr>
        <w:t> </w:t>
      </w:r>
      <w:r>
        <w:rPr>
          <w:sz w:val="21"/>
        </w:rPr>
        <w:t>English</w:t>
      </w:r>
      <w:r>
        <w:rPr>
          <w:spacing w:val="-10"/>
          <w:sz w:val="21"/>
        </w:rPr>
        <w:t> </w:t>
      </w:r>
      <w:r>
        <w:rPr>
          <w:sz w:val="21"/>
        </w:rPr>
        <w:t>terminology,</w:t>
      </w:r>
      <w:r>
        <w:rPr>
          <w:spacing w:val="-10"/>
          <w:sz w:val="21"/>
        </w:rPr>
        <w:t> </w:t>
      </w:r>
      <w:r>
        <w:rPr>
          <w:sz w:val="21"/>
        </w:rPr>
        <w:t>removing</w:t>
      </w:r>
      <w:r>
        <w:rPr>
          <w:spacing w:val="-11"/>
          <w:sz w:val="21"/>
        </w:rPr>
        <w:t> </w:t>
      </w:r>
      <w:r>
        <w:rPr>
          <w:sz w:val="21"/>
        </w:rPr>
        <w:t>requirements</w:t>
      </w:r>
      <w:r>
        <w:rPr>
          <w:spacing w:val="-11"/>
          <w:sz w:val="21"/>
        </w:rPr>
        <w:t> </w:t>
      </w:r>
      <w:r>
        <w:rPr>
          <w:sz w:val="21"/>
        </w:rPr>
        <w:t>prohibiting</w:t>
      </w:r>
      <w:r>
        <w:rPr>
          <w:spacing w:val="28"/>
          <w:sz w:val="21"/>
        </w:rPr>
        <w:t> </w:t>
      </w:r>
      <w:r>
        <w:rPr>
          <w:sz w:val="21"/>
        </w:rPr>
        <w:t>individuals</w:t>
      </w:r>
      <w:r>
        <w:rPr>
          <w:spacing w:val="-11"/>
          <w:sz w:val="21"/>
        </w:rPr>
        <w:t> </w:t>
      </w:r>
      <w:r>
        <w:rPr>
          <w:sz w:val="21"/>
        </w:rPr>
        <w:t>with</w:t>
      </w:r>
      <w:r>
        <w:rPr>
          <w:spacing w:val="-10"/>
          <w:sz w:val="21"/>
        </w:rPr>
        <w:t> </w:t>
      </w:r>
      <w:r>
        <w:rPr>
          <w:sz w:val="21"/>
        </w:rPr>
        <w:t>a</w:t>
      </w:r>
      <w:r>
        <w:rPr>
          <w:spacing w:val="-10"/>
          <w:sz w:val="21"/>
        </w:rPr>
        <w:t> </w:t>
      </w:r>
      <w:r>
        <w:rPr>
          <w:sz w:val="21"/>
        </w:rPr>
        <w:t>criminal record from working, improving transportation to be more accessible, and professional development.</w:t>
      </w:r>
      <w:hyperlink w:history="true" w:anchor="_bookmark559">
        <w:r>
          <w:rPr>
            <w:sz w:val="21"/>
            <w:vertAlign w:val="superscript"/>
          </w:rPr>
          <w:t>5</w:t>
        </w:r>
      </w:hyperlink>
      <w:r>
        <w:rPr>
          <w:sz w:val="21"/>
          <w:vertAlign w:val="baseline"/>
        </w:rPr>
        <w:t> Additional support for LGBTQ youth seeking employment should be put into place, such as professional development</w:t>
      </w:r>
      <w:r>
        <w:rPr>
          <w:spacing w:val="-9"/>
          <w:sz w:val="21"/>
          <w:vertAlign w:val="baseline"/>
        </w:rPr>
        <w:t> </w:t>
      </w:r>
      <w:r>
        <w:rPr>
          <w:sz w:val="21"/>
          <w:vertAlign w:val="baseline"/>
        </w:rPr>
        <w:t>tailored</w:t>
      </w:r>
      <w:r>
        <w:rPr>
          <w:spacing w:val="-9"/>
          <w:sz w:val="21"/>
          <w:vertAlign w:val="baseline"/>
        </w:rPr>
        <w:t> </w:t>
      </w:r>
      <w:r>
        <w:rPr>
          <w:sz w:val="21"/>
          <w:vertAlign w:val="baseline"/>
        </w:rPr>
        <w:t>to</w:t>
      </w:r>
      <w:r>
        <w:rPr>
          <w:spacing w:val="-9"/>
          <w:sz w:val="21"/>
          <w:vertAlign w:val="baseline"/>
        </w:rPr>
        <w:t> </w:t>
      </w:r>
      <w:r>
        <w:rPr>
          <w:sz w:val="21"/>
          <w:vertAlign w:val="baseline"/>
        </w:rPr>
        <w:t>LGBTQ</w:t>
      </w:r>
      <w:r>
        <w:rPr>
          <w:spacing w:val="-9"/>
          <w:sz w:val="21"/>
          <w:vertAlign w:val="baseline"/>
        </w:rPr>
        <w:t> </w:t>
      </w:r>
      <w:r>
        <w:rPr>
          <w:sz w:val="21"/>
          <w:vertAlign w:val="baseline"/>
        </w:rPr>
        <w:t>identity</w:t>
      </w:r>
      <w:r>
        <w:rPr>
          <w:spacing w:val="-9"/>
          <w:sz w:val="21"/>
          <w:vertAlign w:val="baseline"/>
        </w:rPr>
        <w:t> </w:t>
      </w:r>
      <w:r>
        <w:rPr>
          <w:sz w:val="21"/>
          <w:vertAlign w:val="baseline"/>
        </w:rPr>
        <w:t>and</w:t>
      </w:r>
      <w:r>
        <w:rPr>
          <w:spacing w:val="-9"/>
          <w:sz w:val="21"/>
          <w:vertAlign w:val="baseline"/>
        </w:rPr>
        <w:t> </w:t>
      </w:r>
      <w:r>
        <w:rPr>
          <w:sz w:val="21"/>
          <w:vertAlign w:val="baseline"/>
        </w:rPr>
        <w:t>initiatives</w:t>
      </w:r>
      <w:r>
        <w:rPr>
          <w:spacing w:val="-9"/>
          <w:sz w:val="21"/>
          <w:vertAlign w:val="baseline"/>
        </w:rPr>
        <w:t> </w:t>
      </w:r>
      <w:r>
        <w:rPr>
          <w:sz w:val="21"/>
          <w:vertAlign w:val="baseline"/>
        </w:rPr>
        <w:t>connecting</w:t>
      </w:r>
      <w:r>
        <w:rPr>
          <w:spacing w:val="-9"/>
          <w:sz w:val="21"/>
          <w:vertAlign w:val="baseline"/>
        </w:rPr>
        <w:t> </w:t>
      </w:r>
      <w:r>
        <w:rPr>
          <w:sz w:val="21"/>
          <w:vertAlign w:val="baseline"/>
        </w:rPr>
        <w:t>LGBTQ</w:t>
      </w:r>
      <w:r>
        <w:rPr>
          <w:spacing w:val="-9"/>
          <w:sz w:val="21"/>
          <w:vertAlign w:val="baseline"/>
        </w:rPr>
        <w:t> </w:t>
      </w:r>
      <w:r>
        <w:rPr>
          <w:sz w:val="21"/>
          <w:vertAlign w:val="baseline"/>
        </w:rPr>
        <w:t>youth</w:t>
      </w:r>
      <w:r>
        <w:rPr>
          <w:spacing w:val="-9"/>
          <w:sz w:val="21"/>
          <w:vertAlign w:val="baseline"/>
        </w:rPr>
        <w:t> </w:t>
      </w:r>
      <w:r>
        <w:rPr>
          <w:sz w:val="21"/>
          <w:vertAlign w:val="baseline"/>
        </w:rPr>
        <w:t>with</w:t>
      </w:r>
      <w:r>
        <w:rPr>
          <w:spacing w:val="-9"/>
          <w:sz w:val="21"/>
          <w:vertAlign w:val="baseline"/>
        </w:rPr>
        <w:t> </w:t>
      </w:r>
      <w:r>
        <w:rPr>
          <w:sz w:val="21"/>
          <w:vertAlign w:val="baseline"/>
        </w:rPr>
        <w:t>supportive</w:t>
      </w:r>
      <w:r>
        <w:rPr>
          <w:spacing w:val="-9"/>
          <w:sz w:val="21"/>
          <w:vertAlign w:val="baseline"/>
        </w:rPr>
        <w:t> </w:t>
      </w:r>
      <w:r>
        <w:rPr>
          <w:sz w:val="21"/>
          <w:vertAlign w:val="baseline"/>
        </w:rPr>
        <w:t>employers and LGBTQ owned businesses. Organizations such as the Human Rights Campaign offer resources for employers to make their workplaces more inclusive environments and for professional development for LGBTQ workers, such as mentorship. Making workplaces LGBTQ inclusive and safe will help recruit and retain LGBTQ talent.</w:t>
      </w:r>
    </w:p>
    <w:p>
      <w:pPr>
        <w:spacing w:line="276" w:lineRule="auto" w:before="241"/>
        <w:ind w:left="463" w:right="200" w:firstLine="0"/>
        <w:jc w:val="both"/>
        <w:rPr>
          <w:sz w:val="21"/>
        </w:rPr>
      </w:pPr>
      <w:r>
        <w:rPr>
          <w:sz w:val="21"/>
        </w:rPr>
        <w:t>Employment is essential for economic security for LGBTQ youth who are more likely than their peers to experience homelessness and adverse health conditions. For example, a 2022 employment intervention study found that employment reduced the risk of contracting HIV among young men who have sex with men and transgender youth of color </w:t>
      </w:r>
      <w:hyperlink w:history="true" w:anchor="_bookmark560">
        <w:r>
          <w:rPr>
            <w:sz w:val="21"/>
            <w:vertAlign w:val="superscript"/>
          </w:rPr>
          <w:t>6</w:t>
        </w:r>
      </w:hyperlink>
      <w:r>
        <w:rPr>
          <w:sz w:val="21"/>
          <w:vertAlign w:val="baseline"/>
        </w:rPr>
        <w:t> by preventing homelessness and exposure to HIV through transactional sex work among LGBTQ youth of color participants.</w:t>
      </w:r>
    </w:p>
    <w:p>
      <w:pPr>
        <w:spacing w:line="276" w:lineRule="auto" w:before="239"/>
        <w:ind w:left="463" w:right="197" w:firstLine="0"/>
        <w:jc w:val="both"/>
        <w:rPr>
          <w:sz w:val="21"/>
        </w:rPr>
      </w:pPr>
      <w:r>
        <w:rPr>
          <w:sz w:val="21"/>
        </w:rPr>
        <w:t>LGBTQ</w:t>
      </w:r>
      <w:r>
        <w:rPr>
          <w:spacing w:val="-9"/>
          <w:sz w:val="21"/>
        </w:rPr>
        <w:t> </w:t>
      </w:r>
      <w:r>
        <w:rPr>
          <w:sz w:val="21"/>
        </w:rPr>
        <w:t>individuals</w:t>
      </w:r>
      <w:r>
        <w:rPr>
          <w:spacing w:val="-10"/>
          <w:sz w:val="21"/>
        </w:rPr>
        <w:t> </w:t>
      </w:r>
      <w:r>
        <w:rPr>
          <w:sz w:val="21"/>
        </w:rPr>
        <w:t>face</w:t>
      </w:r>
      <w:r>
        <w:rPr>
          <w:spacing w:val="-9"/>
          <w:sz w:val="21"/>
        </w:rPr>
        <w:t> </w:t>
      </w:r>
      <w:r>
        <w:rPr>
          <w:sz w:val="21"/>
        </w:rPr>
        <w:t>hiring</w:t>
      </w:r>
      <w:r>
        <w:rPr>
          <w:spacing w:val="-9"/>
          <w:sz w:val="21"/>
        </w:rPr>
        <w:t> </w:t>
      </w:r>
      <w:r>
        <w:rPr>
          <w:sz w:val="21"/>
        </w:rPr>
        <w:t>discrimination</w:t>
      </w:r>
      <w:r>
        <w:rPr>
          <w:spacing w:val="-9"/>
          <w:sz w:val="21"/>
        </w:rPr>
        <w:t> </w:t>
      </w:r>
      <w:r>
        <w:rPr>
          <w:sz w:val="21"/>
        </w:rPr>
        <w:t>in</w:t>
      </w:r>
      <w:r>
        <w:rPr>
          <w:spacing w:val="-9"/>
          <w:sz w:val="21"/>
        </w:rPr>
        <w:t> </w:t>
      </w:r>
      <w:r>
        <w:rPr>
          <w:sz w:val="21"/>
        </w:rPr>
        <w:t>various</w:t>
      </w:r>
      <w:r>
        <w:rPr>
          <w:spacing w:val="-10"/>
          <w:sz w:val="21"/>
        </w:rPr>
        <w:t> </w:t>
      </w:r>
      <w:r>
        <w:rPr>
          <w:sz w:val="21"/>
        </w:rPr>
        <w:t>stages,</w:t>
      </w:r>
      <w:r>
        <w:rPr>
          <w:spacing w:val="-9"/>
          <w:sz w:val="21"/>
        </w:rPr>
        <w:t> </w:t>
      </w:r>
      <w:r>
        <w:rPr>
          <w:sz w:val="21"/>
        </w:rPr>
        <w:t>from</w:t>
      </w:r>
      <w:r>
        <w:rPr>
          <w:spacing w:val="-9"/>
          <w:sz w:val="21"/>
        </w:rPr>
        <w:t> </w:t>
      </w:r>
      <w:r>
        <w:rPr>
          <w:sz w:val="21"/>
        </w:rPr>
        <w:t>submitting</w:t>
      </w:r>
      <w:r>
        <w:rPr>
          <w:spacing w:val="-9"/>
          <w:sz w:val="21"/>
        </w:rPr>
        <w:t> </w:t>
      </w:r>
      <w:r>
        <w:rPr>
          <w:sz w:val="21"/>
        </w:rPr>
        <w:t>an</w:t>
      </w:r>
      <w:r>
        <w:rPr>
          <w:spacing w:val="-9"/>
          <w:sz w:val="21"/>
        </w:rPr>
        <w:t> </w:t>
      </w:r>
      <w:r>
        <w:rPr>
          <w:sz w:val="21"/>
        </w:rPr>
        <w:t>online</w:t>
      </w:r>
      <w:r>
        <w:rPr>
          <w:spacing w:val="-9"/>
          <w:sz w:val="21"/>
        </w:rPr>
        <w:t> </w:t>
      </w:r>
      <w:r>
        <w:rPr>
          <w:sz w:val="21"/>
        </w:rPr>
        <w:t>to</w:t>
      </w:r>
      <w:r>
        <w:rPr>
          <w:spacing w:val="-9"/>
          <w:sz w:val="21"/>
        </w:rPr>
        <w:t> </w:t>
      </w:r>
      <w:r>
        <w:rPr>
          <w:sz w:val="21"/>
        </w:rPr>
        <w:t>interviewing</w:t>
      </w:r>
      <w:r>
        <w:rPr>
          <w:spacing w:val="-9"/>
          <w:sz w:val="21"/>
        </w:rPr>
        <w:t> </w:t>
      </w:r>
      <w:r>
        <w:rPr>
          <w:sz w:val="21"/>
        </w:rPr>
        <w:t>for a position in person. Recent field experiments in economics show that there is hiring discrimination based on gender identity. Transgender women applying to entry-level positions were 6% less likely to receive a callback</w:t>
      </w:r>
      <w:r>
        <w:rPr>
          <w:spacing w:val="-5"/>
          <w:sz w:val="21"/>
        </w:rPr>
        <w:t> </w:t>
      </w:r>
      <w:r>
        <w:rPr>
          <w:sz w:val="21"/>
        </w:rPr>
        <w:t>(interview</w:t>
      </w:r>
      <w:r>
        <w:rPr>
          <w:spacing w:val="-6"/>
          <w:sz w:val="21"/>
        </w:rPr>
        <w:t> </w:t>
      </w:r>
      <w:r>
        <w:rPr>
          <w:sz w:val="21"/>
        </w:rPr>
        <w:t>invitation</w:t>
      </w:r>
      <w:r>
        <w:rPr>
          <w:spacing w:val="-5"/>
          <w:sz w:val="21"/>
        </w:rPr>
        <w:t> </w:t>
      </w:r>
      <w:r>
        <w:rPr>
          <w:sz w:val="21"/>
        </w:rPr>
        <w:t>or</w:t>
      </w:r>
      <w:r>
        <w:rPr>
          <w:spacing w:val="-5"/>
          <w:sz w:val="21"/>
        </w:rPr>
        <w:t> </w:t>
      </w:r>
      <w:r>
        <w:rPr>
          <w:sz w:val="21"/>
        </w:rPr>
        <w:t>job</w:t>
      </w:r>
      <w:r>
        <w:rPr>
          <w:spacing w:val="-7"/>
          <w:sz w:val="21"/>
        </w:rPr>
        <w:t> </w:t>
      </w:r>
      <w:r>
        <w:rPr>
          <w:sz w:val="21"/>
        </w:rPr>
        <w:t>offer)</w:t>
      </w:r>
      <w:r>
        <w:rPr>
          <w:spacing w:val="-5"/>
          <w:sz w:val="21"/>
        </w:rPr>
        <w:t> </w:t>
      </w:r>
      <w:r>
        <w:rPr>
          <w:sz w:val="21"/>
        </w:rPr>
        <w:t>from</w:t>
      </w:r>
      <w:r>
        <w:rPr>
          <w:spacing w:val="-5"/>
          <w:sz w:val="21"/>
        </w:rPr>
        <w:t> </w:t>
      </w:r>
      <w:r>
        <w:rPr>
          <w:sz w:val="21"/>
        </w:rPr>
        <w:t>an</w:t>
      </w:r>
      <w:r>
        <w:rPr>
          <w:spacing w:val="-5"/>
          <w:sz w:val="21"/>
        </w:rPr>
        <w:t> </w:t>
      </w:r>
      <w:r>
        <w:rPr>
          <w:sz w:val="21"/>
        </w:rPr>
        <w:t>employer</w:t>
      </w:r>
      <w:r>
        <w:rPr>
          <w:spacing w:val="-5"/>
          <w:sz w:val="21"/>
        </w:rPr>
        <w:t> </w:t>
      </w:r>
      <w:r>
        <w:rPr>
          <w:sz w:val="21"/>
        </w:rPr>
        <w:t>than</w:t>
      </w:r>
      <w:r>
        <w:rPr>
          <w:spacing w:val="-7"/>
          <w:sz w:val="21"/>
        </w:rPr>
        <w:t> </w:t>
      </w:r>
      <w:r>
        <w:rPr>
          <w:sz w:val="21"/>
        </w:rPr>
        <w:t>cisgender</w:t>
      </w:r>
      <w:r>
        <w:rPr>
          <w:spacing w:val="-5"/>
          <w:sz w:val="21"/>
        </w:rPr>
        <w:t> </w:t>
      </w:r>
      <w:r>
        <w:rPr>
          <w:sz w:val="21"/>
        </w:rPr>
        <w:t>men,</w:t>
      </w:r>
      <w:r>
        <w:rPr>
          <w:spacing w:val="-6"/>
          <w:sz w:val="21"/>
        </w:rPr>
        <w:t> </w:t>
      </w:r>
      <w:r>
        <w:rPr>
          <w:sz w:val="21"/>
        </w:rPr>
        <w:t>facing</w:t>
      </w:r>
      <w:r>
        <w:rPr>
          <w:spacing w:val="-6"/>
          <w:sz w:val="21"/>
        </w:rPr>
        <w:t> </w:t>
      </w:r>
      <w:r>
        <w:rPr>
          <w:sz w:val="21"/>
        </w:rPr>
        <w:t>a</w:t>
      </w:r>
      <w:r>
        <w:rPr>
          <w:spacing w:val="-5"/>
          <w:sz w:val="21"/>
        </w:rPr>
        <w:t> </w:t>
      </w:r>
      <w:r>
        <w:rPr>
          <w:sz w:val="21"/>
        </w:rPr>
        <w:t>penalty</w:t>
      </w:r>
      <w:r>
        <w:rPr>
          <w:spacing w:val="-7"/>
          <w:sz w:val="21"/>
        </w:rPr>
        <w:t> </w:t>
      </w:r>
      <w:r>
        <w:rPr>
          <w:sz w:val="21"/>
        </w:rPr>
        <w:t>for</w:t>
      </w:r>
      <w:r>
        <w:rPr>
          <w:spacing w:val="-5"/>
          <w:sz w:val="21"/>
        </w:rPr>
        <w:t> </w:t>
      </w:r>
      <w:r>
        <w:rPr>
          <w:sz w:val="21"/>
        </w:rPr>
        <w:t>being transgender and a penalty for being a woman,</w:t>
      </w:r>
      <w:r>
        <w:rPr>
          <w:spacing w:val="-12"/>
          <w:sz w:val="21"/>
        </w:rPr>
        <w:t> </w:t>
      </w:r>
      <w:hyperlink w:history="true" w:anchor="_bookmark561">
        <w:r>
          <w:rPr>
            <w:sz w:val="21"/>
            <w:vertAlign w:val="superscript"/>
          </w:rPr>
          <w:t>7</w:t>
        </w:r>
      </w:hyperlink>
      <w:r>
        <w:rPr>
          <w:sz w:val="21"/>
          <w:vertAlign w:val="baseline"/>
        </w:rPr>
        <w:t> while nonbinary applicants who included they/them pronouns</w:t>
      </w:r>
      <w:r>
        <w:rPr>
          <w:spacing w:val="-11"/>
          <w:sz w:val="21"/>
          <w:vertAlign w:val="baseline"/>
        </w:rPr>
        <w:t> </w:t>
      </w:r>
      <w:r>
        <w:rPr>
          <w:sz w:val="21"/>
          <w:vertAlign w:val="baseline"/>
        </w:rPr>
        <w:t>on</w:t>
      </w:r>
      <w:r>
        <w:rPr>
          <w:spacing w:val="-10"/>
          <w:sz w:val="21"/>
          <w:vertAlign w:val="baseline"/>
        </w:rPr>
        <w:t> </w:t>
      </w:r>
      <w:r>
        <w:rPr>
          <w:sz w:val="21"/>
          <w:vertAlign w:val="baseline"/>
        </w:rPr>
        <w:t>their</w:t>
      </w:r>
      <w:r>
        <w:rPr>
          <w:spacing w:val="-10"/>
          <w:sz w:val="21"/>
          <w:vertAlign w:val="baseline"/>
        </w:rPr>
        <w:t> </w:t>
      </w:r>
      <w:r>
        <w:rPr>
          <w:sz w:val="21"/>
          <w:vertAlign w:val="baseline"/>
        </w:rPr>
        <w:t>resumes</w:t>
      </w:r>
      <w:r>
        <w:rPr>
          <w:spacing w:val="-12"/>
          <w:sz w:val="21"/>
          <w:vertAlign w:val="baseline"/>
        </w:rPr>
        <w:t> </w:t>
      </w:r>
      <w:r>
        <w:rPr>
          <w:sz w:val="21"/>
          <w:vertAlign w:val="baseline"/>
        </w:rPr>
        <w:t>were</w:t>
      </w:r>
      <w:r>
        <w:rPr>
          <w:spacing w:val="-10"/>
          <w:sz w:val="21"/>
          <w:vertAlign w:val="baseline"/>
        </w:rPr>
        <w:t> </w:t>
      </w:r>
      <w:r>
        <w:rPr>
          <w:sz w:val="21"/>
          <w:vertAlign w:val="baseline"/>
        </w:rPr>
        <w:t>5.4%</w:t>
      </w:r>
      <w:r>
        <w:rPr>
          <w:spacing w:val="-12"/>
          <w:sz w:val="21"/>
          <w:vertAlign w:val="baseline"/>
        </w:rPr>
        <w:t> </w:t>
      </w:r>
      <w:r>
        <w:rPr>
          <w:sz w:val="21"/>
          <w:vertAlign w:val="baseline"/>
        </w:rPr>
        <w:t>less</w:t>
      </w:r>
      <w:r>
        <w:rPr>
          <w:spacing w:val="-11"/>
          <w:sz w:val="21"/>
          <w:vertAlign w:val="baseline"/>
        </w:rPr>
        <w:t> </w:t>
      </w:r>
      <w:r>
        <w:rPr>
          <w:sz w:val="21"/>
          <w:vertAlign w:val="baseline"/>
        </w:rPr>
        <w:t>likely</w:t>
      </w:r>
      <w:r>
        <w:rPr>
          <w:spacing w:val="-11"/>
          <w:sz w:val="21"/>
          <w:vertAlign w:val="baseline"/>
        </w:rPr>
        <w:t> </w:t>
      </w:r>
      <w:r>
        <w:rPr>
          <w:sz w:val="21"/>
          <w:vertAlign w:val="baseline"/>
        </w:rPr>
        <w:t>to</w:t>
      </w:r>
      <w:r>
        <w:rPr>
          <w:spacing w:val="-12"/>
          <w:sz w:val="21"/>
          <w:vertAlign w:val="baseline"/>
        </w:rPr>
        <w:t> </w:t>
      </w:r>
      <w:r>
        <w:rPr>
          <w:sz w:val="21"/>
          <w:vertAlign w:val="baseline"/>
        </w:rPr>
        <w:t>receive</w:t>
      </w:r>
      <w:r>
        <w:rPr>
          <w:spacing w:val="-10"/>
          <w:sz w:val="21"/>
          <w:vertAlign w:val="baseline"/>
        </w:rPr>
        <w:t> </w:t>
      </w:r>
      <w:r>
        <w:rPr>
          <w:sz w:val="21"/>
          <w:vertAlign w:val="baseline"/>
        </w:rPr>
        <w:t>a</w:t>
      </w:r>
      <w:r>
        <w:rPr>
          <w:spacing w:val="-11"/>
          <w:sz w:val="21"/>
          <w:vertAlign w:val="baseline"/>
        </w:rPr>
        <w:t> </w:t>
      </w:r>
      <w:r>
        <w:rPr>
          <w:sz w:val="21"/>
          <w:vertAlign w:val="baseline"/>
        </w:rPr>
        <w:t>callback</w:t>
      </w:r>
      <w:r>
        <w:rPr>
          <w:spacing w:val="-11"/>
          <w:sz w:val="21"/>
          <w:vertAlign w:val="baseline"/>
        </w:rPr>
        <w:t> </w:t>
      </w:r>
      <w:r>
        <w:rPr>
          <w:sz w:val="21"/>
          <w:vertAlign w:val="baseline"/>
        </w:rPr>
        <w:t>than</w:t>
      </w:r>
      <w:r>
        <w:rPr>
          <w:spacing w:val="-10"/>
          <w:sz w:val="21"/>
          <w:vertAlign w:val="baseline"/>
        </w:rPr>
        <w:t> </w:t>
      </w:r>
      <w:r>
        <w:rPr>
          <w:sz w:val="21"/>
          <w:vertAlign w:val="baseline"/>
        </w:rPr>
        <w:t>cisgender</w:t>
      </w:r>
      <w:r>
        <w:rPr>
          <w:spacing w:val="-11"/>
          <w:sz w:val="21"/>
          <w:vertAlign w:val="baseline"/>
        </w:rPr>
        <w:t> </w:t>
      </w:r>
      <w:r>
        <w:rPr>
          <w:sz w:val="21"/>
          <w:vertAlign w:val="baseline"/>
        </w:rPr>
        <w:t>applicants.</w:t>
      </w:r>
      <w:hyperlink w:history="true" w:anchor="_bookmark562">
        <w:r>
          <w:rPr>
            <w:sz w:val="21"/>
            <w:vertAlign w:val="superscript"/>
          </w:rPr>
          <w:t>8</w:t>
        </w:r>
      </w:hyperlink>
      <w:r>
        <w:rPr>
          <w:spacing w:val="-2"/>
          <w:sz w:val="21"/>
          <w:vertAlign w:val="baseline"/>
        </w:rPr>
        <w:t> </w:t>
      </w:r>
      <w:r>
        <w:rPr>
          <w:sz w:val="21"/>
          <w:vertAlign w:val="baseline"/>
        </w:rPr>
        <w:t>In</w:t>
      </w:r>
      <w:r>
        <w:rPr>
          <w:spacing w:val="-12"/>
          <w:sz w:val="21"/>
          <w:vertAlign w:val="baseline"/>
        </w:rPr>
        <w:t> </w:t>
      </w:r>
      <w:r>
        <w:rPr>
          <w:sz w:val="21"/>
          <w:vertAlign w:val="baseline"/>
        </w:rPr>
        <w:t>addition to discrimination based on LGBTQ identity, employers discriminate based on race: employers were 30% more likely to hire white workers than Black workers.</w:t>
      </w:r>
      <w:hyperlink w:history="true" w:anchor="_bookmark563">
        <w:r>
          <w:rPr>
            <w:sz w:val="21"/>
            <w:vertAlign w:val="superscript"/>
          </w:rPr>
          <w:t>9</w:t>
        </w:r>
      </w:hyperlink>
      <w:r>
        <w:rPr>
          <w:spacing w:val="-2"/>
          <w:sz w:val="21"/>
          <w:vertAlign w:val="baseline"/>
        </w:rPr>
        <w:t> </w:t>
      </w:r>
      <w:r>
        <w:rPr>
          <w:sz w:val="21"/>
          <w:vertAlign w:val="baseline"/>
        </w:rPr>
        <w:t>LGBTQ individuals who hold multiple marginalized identities face increased discrimination when searching for a position.</w:t>
      </w:r>
    </w:p>
    <w:p>
      <w:pPr>
        <w:spacing w:line="276" w:lineRule="auto" w:before="240"/>
        <w:ind w:left="464" w:right="200" w:firstLine="0"/>
        <w:jc w:val="both"/>
        <w:rPr>
          <w:sz w:val="21"/>
        </w:rPr>
      </w:pPr>
      <w:r>
        <w:rPr>
          <w:sz w:val="21"/>
        </w:rPr>
        <w:t>Discrimination makes workplaces unsafe for LGBTQ individuals due to customer prejudice that is not addressed</w:t>
      </w:r>
      <w:r>
        <w:rPr>
          <w:spacing w:val="-3"/>
          <w:sz w:val="21"/>
        </w:rPr>
        <w:t> </w:t>
      </w:r>
      <w:r>
        <w:rPr>
          <w:sz w:val="21"/>
        </w:rPr>
        <w:t>properly</w:t>
      </w:r>
      <w:r>
        <w:rPr>
          <w:spacing w:val="-3"/>
          <w:sz w:val="21"/>
        </w:rPr>
        <w:t> </w:t>
      </w:r>
      <w:r>
        <w:rPr>
          <w:sz w:val="21"/>
        </w:rPr>
        <w:t>by</w:t>
      </w:r>
      <w:r>
        <w:rPr>
          <w:spacing w:val="-3"/>
          <w:sz w:val="21"/>
        </w:rPr>
        <w:t> </w:t>
      </w:r>
      <w:r>
        <w:rPr>
          <w:sz w:val="21"/>
        </w:rPr>
        <w:t>management</w:t>
      </w:r>
      <w:r>
        <w:rPr>
          <w:spacing w:val="-2"/>
          <w:sz w:val="21"/>
        </w:rPr>
        <w:t> </w:t>
      </w:r>
      <w:r>
        <w:rPr>
          <w:sz w:val="21"/>
        </w:rPr>
        <w:t>which</w:t>
      </w:r>
      <w:r>
        <w:rPr>
          <w:spacing w:val="-4"/>
          <w:sz w:val="21"/>
        </w:rPr>
        <w:t> </w:t>
      </w:r>
      <w:r>
        <w:rPr>
          <w:sz w:val="21"/>
        </w:rPr>
        <w:t>values</w:t>
      </w:r>
      <w:r>
        <w:rPr>
          <w:spacing w:val="-3"/>
          <w:sz w:val="21"/>
        </w:rPr>
        <w:t> </w:t>
      </w:r>
      <w:r>
        <w:rPr>
          <w:sz w:val="21"/>
        </w:rPr>
        <w:t>profitability</w:t>
      </w:r>
      <w:r>
        <w:rPr>
          <w:spacing w:val="-3"/>
          <w:sz w:val="21"/>
        </w:rPr>
        <w:t> </w:t>
      </w:r>
      <w:r>
        <w:rPr>
          <w:sz w:val="21"/>
        </w:rPr>
        <w:t>and</w:t>
      </w:r>
      <w:r>
        <w:rPr>
          <w:spacing w:val="-3"/>
          <w:sz w:val="21"/>
        </w:rPr>
        <w:t> </w:t>
      </w:r>
      <w:r>
        <w:rPr>
          <w:sz w:val="21"/>
        </w:rPr>
        <w:t>customer</w:t>
      </w:r>
      <w:r>
        <w:rPr>
          <w:spacing w:val="-3"/>
          <w:sz w:val="21"/>
        </w:rPr>
        <w:t> </w:t>
      </w:r>
      <w:r>
        <w:rPr>
          <w:sz w:val="21"/>
        </w:rPr>
        <w:t>satisfaction</w:t>
      </w:r>
      <w:r>
        <w:rPr>
          <w:spacing w:val="-3"/>
          <w:sz w:val="21"/>
        </w:rPr>
        <w:t> </w:t>
      </w:r>
      <w:r>
        <w:rPr>
          <w:sz w:val="21"/>
        </w:rPr>
        <w:t>over</w:t>
      </w:r>
      <w:r>
        <w:rPr>
          <w:spacing w:val="-3"/>
          <w:sz w:val="21"/>
        </w:rPr>
        <w:t> </w:t>
      </w:r>
      <w:r>
        <w:rPr>
          <w:sz w:val="21"/>
        </w:rPr>
        <w:t>the</w:t>
      </w:r>
      <w:r>
        <w:rPr>
          <w:spacing w:val="-3"/>
          <w:sz w:val="21"/>
        </w:rPr>
        <w:t> </w:t>
      </w:r>
      <w:r>
        <w:rPr>
          <w:sz w:val="21"/>
        </w:rPr>
        <w:t>safety</w:t>
      </w:r>
      <w:r>
        <w:rPr>
          <w:spacing w:val="-3"/>
          <w:sz w:val="21"/>
        </w:rPr>
        <w:t> </w:t>
      </w:r>
      <w:r>
        <w:rPr>
          <w:sz w:val="21"/>
        </w:rPr>
        <w:t>of their</w:t>
      </w:r>
      <w:r>
        <w:rPr>
          <w:spacing w:val="-7"/>
          <w:sz w:val="21"/>
        </w:rPr>
        <w:t> </w:t>
      </w:r>
      <w:r>
        <w:rPr>
          <w:sz w:val="21"/>
        </w:rPr>
        <w:t>staff.</w:t>
      </w:r>
      <w:hyperlink w:history="true" w:anchor="_bookmark564">
        <w:r>
          <w:rPr>
            <w:sz w:val="21"/>
            <w:vertAlign w:val="superscript"/>
          </w:rPr>
          <w:t>10</w:t>
        </w:r>
      </w:hyperlink>
      <w:r>
        <w:rPr>
          <w:spacing w:val="-2"/>
          <w:sz w:val="21"/>
          <w:vertAlign w:val="baseline"/>
        </w:rPr>
        <w:t> </w:t>
      </w:r>
      <w:r>
        <w:rPr>
          <w:sz w:val="21"/>
          <w:vertAlign w:val="baseline"/>
        </w:rPr>
        <w:t>In</w:t>
      </w:r>
      <w:r>
        <w:rPr>
          <w:spacing w:val="-9"/>
          <w:sz w:val="21"/>
          <w:vertAlign w:val="baseline"/>
        </w:rPr>
        <w:t> </w:t>
      </w:r>
      <w:r>
        <w:rPr>
          <w:sz w:val="21"/>
          <w:vertAlign w:val="baseline"/>
        </w:rPr>
        <w:t>many</w:t>
      </w:r>
      <w:r>
        <w:rPr>
          <w:spacing w:val="-7"/>
          <w:sz w:val="21"/>
          <w:vertAlign w:val="baseline"/>
        </w:rPr>
        <w:t> </w:t>
      </w:r>
      <w:r>
        <w:rPr>
          <w:sz w:val="21"/>
          <w:vertAlign w:val="baseline"/>
        </w:rPr>
        <w:t>cases,</w:t>
      </w:r>
      <w:r>
        <w:rPr>
          <w:spacing w:val="-8"/>
          <w:sz w:val="21"/>
          <w:vertAlign w:val="baseline"/>
        </w:rPr>
        <w:t> </w:t>
      </w:r>
      <w:r>
        <w:rPr>
          <w:sz w:val="21"/>
          <w:vertAlign w:val="baseline"/>
        </w:rPr>
        <w:t>managers</w:t>
      </w:r>
      <w:r>
        <w:rPr>
          <w:spacing w:val="-7"/>
          <w:sz w:val="21"/>
          <w:vertAlign w:val="baseline"/>
        </w:rPr>
        <w:t> </w:t>
      </w:r>
      <w:r>
        <w:rPr>
          <w:sz w:val="21"/>
          <w:vertAlign w:val="baseline"/>
        </w:rPr>
        <w:t>turn</w:t>
      </w:r>
      <w:r>
        <w:rPr>
          <w:spacing w:val="-7"/>
          <w:sz w:val="21"/>
          <w:vertAlign w:val="baseline"/>
        </w:rPr>
        <w:t> </w:t>
      </w:r>
      <w:r>
        <w:rPr>
          <w:sz w:val="21"/>
          <w:vertAlign w:val="baseline"/>
        </w:rPr>
        <w:t>a</w:t>
      </w:r>
      <w:r>
        <w:rPr>
          <w:spacing w:val="-8"/>
          <w:sz w:val="21"/>
          <w:vertAlign w:val="baseline"/>
        </w:rPr>
        <w:t> </w:t>
      </w:r>
      <w:r>
        <w:rPr>
          <w:sz w:val="21"/>
          <w:vertAlign w:val="baseline"/>
        </w:rPr>
        <w:t>blind</w:t>
      </w:r>
      <w:r>
        <w:rPr>
          <w:spacing w:val="-7"/>
          <w:sz w:val="21"/>
          <w:vertAlign w:val="baseline"/>
        </w:rPr>
        <w:t> </w:t>
      </w:r>
      <w:r>
        <w:rPr>
          <w:sz w:val="21"/>
          <w:vertAlign w:val="baseline"/>
        </w:rPr>
        <w:t>eye</w:t>
      </w:r>
      <w:r>
        <w:rPr>
          <w:spacing w:val="-8"/>
          <w:sz w:val="21"/>
          <w:vertAlign w:val="baseline"/>
        </w:rPr>
        <w:t> </w:t>
      </w:r>
      <w:r>
        <w:rPr>
          <w:sz w:val="21"/>
          <w:vertAlign w:val="baseline"/>
        </w:rPr>
        <w:t>when</w:t>
      </w:r>
      <w:r>
        <w:rPr>
          <w:spacing w:val="-7"/>
          <w:sz w:val="21"/>
          <w:vertAlign w:val="baseline"/>
        </w:rPr>
        <w:t> </w:t>
      </w:r>
      <w:r>
        <w:rPr>
          <w:sz w:val="21"/>
          <w:vertAlign w:val="baseline"/>
        </w:rPr>
        <w:t>customers</w:t>
      </w:r>
      <w:r>
        <w:rPr>
          <w:spacing w:val="-7"/>
          <w:sz w:val="21"/>
          <w:vertAlign w:val="baseline"/>
        </w:rPr>
        <w:t> </w:t>
      </w:r>
      <w:r>
        <w:rPr>
          <w:sz w:val="21"/>
          <w:vertAlign w:val="baseline"/>
        </w:rPr>
        <w:t>harass</w:t>
      </w:r>
      <w:r>
        <w:rPr>
          <w:spacing w:val="-7"/>
          <w:sz w:val="21"/>
          <w:vertAlign w:val="baseline"/>
        </w:rPr>
        <w:t> </w:t>
      </w:r>
      <w:r>
        <w:rPr>
          <w:sz w:val="21"/>
          <w:vertAlign w:val="baseline"/>
        </w:rPr>
        <w:t>and</w:t>
      </w:r>
      <w:r>
        <w:rPr>
          <w:spacing w:val="-8"/>
          <w:sz w:val="21"/>
          <w:vertAlign w:val="baseline"/>
        </w:rPr>
        <w:t> </w:t>
      </w:r>
      <w:r>
        <w:rPr>
          <w:sz w:val="21"/>
          <w:vertAlign w:val="baseline"/>
        </w:rPr>
        <w:t>show</w:t>
      </w:r>
      <w:r>
        <w:rPr>
          <w:spacing w:val="-7"/>
          <w:sz w:val="21"/>
          <w:vertAlign w:val="baseline"/>
        </w:rPr>
        <w:t> </w:t>
      </w:r>
      <w:r>
        <w:rPr>
          <w:sz w:val="21"/>
          <w:vertAlign w:val="baseline"/>
        </w:rPr>
        <w:t>aggression</w:t>
      </w:r>
      <w:r>
        <w:rPr>
          <w:spacing w:val="-7"/>
          <w:sz w:val="21"/>
          <w:vertAlign w:val="baseline"/>
        </w:rPr>
        <w:t> </w:t>
      </w:r>
      <w:r>
        <w:rPr>
          <w:sz w:val="21"/>
          <w:vertAlign w:val="baseline"/>
        </w:rPr>
        <w:t>toward LGBTQ employees who display non-normative gender and sexual identities.</w:t>
      </w:r>
    </w:p>
    <w:p>
      <w:pPr>
        <w:spacing w:line="276" w:lineRule="auto" w:before="241"/>
        <w:ind w:left="464" w:right="199" w:firstLine="0"/>
        <w:jc w:val="both"/>
        <w:rPr>
          <w:sz w:val="21"/>
        </w:rPr>
      </w:pPr>
      <w:r>
        <w:rPr>
          <w:sz w:val="21"/>
        </w:rPr>
        <w:t>There is recorded occupational segregation for LGB men and women, which is higher in occupations dominated by the same gender, for younger workers, and for workers without a college degree.</w:t>
      </w:r>
      <w:hyperlink w:history="true" w:anchor="_bookmark565">
        <w:r>
          <w:rPr>
            <w:sz w:val="21"/>
            <w:vertAlign w:val="superscript"/>
          </w:rPr>
          <w:t>11</w:t>
        </w:r>
      </w:hyperlink>
      <w:r>
        <w:rPr>
          <w:sz w:val="21"/>
          <w:vertAlign w:val="baseline"/>
        </w:rPr>
        <w:t> LGB youth</w:t>
      </w:r>
      <w:r>
        <w:rPr>
          <w:spacing w:val="-1"/>
          <w:sz w:val="21"/>
          <w:vertAlign w:val="baseline"/>
        </w:rPr>
        <w:t> </w:t>
      </w:r>
      <w:r>
        <w:rPr>
          <w:sz w:val="21"/>
          <w:vertAlign w:val="baseline"/>
        </w:rPr>
        <w:t>may</w:t>
      </w:r>
      <w:r>
        <w:rPr>
          <w:spacing w:val="-1"/>
          <w:sz w:val="21"/>
          <w:vertAlign w:val="baseline"/>
        </w:rPr>
        <w:t> </w:t>
      </w:r>
      <w:r>
        <w:rPr>
          <w:sz w:val="21"/>
          <w:vertAlign w:val="baseline"/>
        </w:rPr>
        <w:t>experience</w:t>
      </w:r>
      <w:r>
        <w:rPr>
          <w:spacing w:val="-1"/>
          <w:sz w:val="21"/>
          <w:vertAlign w:val="baseline"/>
        </w:rPr>
        <w:t> </w:t>
      </w:r>
      <w:r>
        <w:rPr>
          <w:sz w:val="21"/>
          <w:vertAlign w:val="baseline"/>
        </w:rPr>
        <w:t>this</w:t>
      </w:r>
      <w:r>
        <w:rPr>
          <w:spacing w:val="-2"/>
          <w:sz w:val="21"/>
          <w:vertAlign w:val="baseline"/>
        </w:rPr>
        <w:t> </w:t>
      </w:r>
      <w:r>
        <w:rPr>
          <w:sz w:val="21"/>
          <w:vertAlign w:val="baseline"/>
        </w:rPr>
        <w:t>segregation</w:t>
      </w:r>
      <w:r>
        <w:rPr>
          <w:spacing w:val="-1"/>
          <w:sz w:val="21"/>
          <w:vertAlign w:val="baseline"/>
        </w:rPr>
        <w:t> </w:t>
      </w:r>
      <w:r>
        <w:rPr>
          <w:sz w:val="21"/>
          <w:vertAlign w:val="baseline"/>
        </w:rPr>
        <w:t>more</w:t>
      </w:r>
      <w:r>
        <w:rPr>
          <w:spacing w:val="-1"/>
          <w:sz w:val="21"/>
          <w:vertAlign w:val="baseline"/>
        </w:rPr>
        <w:t> </w:t>
      </w:r>
      <w:r>
        <w:rPr>
          <w:sz w:val="21"/>
          <w:vertAlign w:val="baseline"/>
        </w:rPr>
        <w:t>than</w:t>
      </w:r>
      <w:r>
        <w:rPr>
          <w:spacing w:val="-2"/>
          <w:sz w:val="21"/>
          <w:vertAlign w:val="baseline"/>
        </w:rPr>
        <w:t> </w:t>
      </w:r>
      <w:r>
        <w:rPr>
          <w:sz w:val="21"/>
          <w:vertAlign w:val="baseline"/>
        </w:rPr>
        <w:t>LGB</w:t>
      </w:r>
      <w:r>
        <w:rPr>
          <w:spacing w:val="-2"/>
          <w:sz w:val="21"/>
          <w:vertAlign w:val="baseline"/>
        </w:rPr>
        <w:t> </w:t>
      </w:r>
      <w:r>
        <w:rPr>
          <w:sz w:val="21"/>
          <w:vertAlign w:val="baseline"/>
        </w:rPr>
        <w:t>adults</w:t>
      </w:r>
      <w:r>
        <w:rPr>
          <w:spacing w:val="-1"/>
          <w:sz w:val="21"/>
          <w:vertAlign w:val="baseline"/>
        </w:rPr>
        <w:t> </w:t>
      </w:r>
      <w:r>
        <w:rPr>
          <w:sz w:val="21"/>
          <w:vertAlign w:val="baseline"/>
        </w:rPr>
        <w:t>because</w:t>
      </w:r>
      <w:r>
        <w:rPr>
          <w:spacing w:val="-1"/>
          <w:sz w:val="21"/>
          <w:vertAlign w:val="baseline"/>
        </w:rPr>
        <w:t> </w:t>
      </w:r>
      <w:r>
        <w:rPr>
          <w:sz w:val="21"/>
          <w:vertAlign w:val="baseline"/>
        </w:rPr>
        <w:t>of</w:t>
      </w:r>
      <w:r>
        <w:rPr>
          <w:spacing w:val="-1"/>
          <w:sz w:val="21"/>
          <w:vertAlign w:val="baseline"/>
        </w:rPr>
        <w:t> </w:t>
      </w:r>
      <w:r>
        <w:rPr>
          <w:sz w:val="21"/>
          <w:vertAlign w:val="baseline"/>
        </w:rPr>
        <w:t>their</w:t>
      </w:r>
      <w:r>
        <w:rPr>
          <w:spacing w:val="-1"/>
          <w:sz w:val="21"/>
          <w:vertAlign w:val="baseline"/>
        </w:rPr>
        <w:t> </w:t>
      </w:r>
      <w:r>
        <w:rPr>
          <w:sz w:val="21"/>
          <w:vertAlign w:val="baseline"/>
        </w:rPr>
        <w:t>age</w:t>
      </w:r>
      <w:r>
        <w:rPr>
          <w:spacing w:val="-2"/>
          <w:sz w:val="21"/>
          <w:vertAlign w:val="baseline"/>
        </w:rPr>
        <w:t> </w:t>
      </w:r>
      <w:r>
        <w:rPr>
          <w:sz w:val="21"/>
          <w:vertAlign w:val="baseline"/>
        </w:rPr>
        <w:t>and</w:t>
      </w:r>
      <w:r>
        <w:rPr>
          <w:spacing w:val="-1"/>
          <w:sz w:val="21"/>
          <w:vertAlign w:val="baseline"/>
        </w:rPr>
        <w:t> </w:t>
      </w:r>
      <w:r>
        <w:rPr>
          <w:sz w:val="21"/>
          <w:vertAlign w:val="baseline"/>
        </w:rPr>
        <w:t>the</w:t>
      </w:r>
      <w:r>
        <w:rPr>
          <w:spacing w:val="-2"/>
          <w:sz w:val="21"/>
          <w:vertAlign w:val="baseline"/>
        </w:rPr>
        <w:t> </w:t>
      </w:r>
      <w:r>
        <w:rPr>
          <w:sz w:val="21"/>
          <w:vertAlign w:val="baseline"/>
        </w:rPr>
        <w:t>amount of</w:t>
      </w:r>
      <w:r>
        <w:rPr>
          <w:spacing w:val="-1"/>
          <w:sz w:val="21"/>
          <w:vertAlign w:val="baseline"/>
        </w:rPr>
        <w:t> </w:t>
      </w:r>
      <w:r>
        <w:rPr>
          <w:sz w:val="21"/>
          <w:vertAlign w:val="baseline"/>
        </w:rPr>
        <w:t>time required</w:t>
      </w:r>
      <w:r>
        <w:rPr>
          <w:spacing w:val="-11"/>
          <w:sz w:val="21"/>
          <w:vertAlign w:val="baseline"/>
        </w:rPr>
        <w:t> </w:t>
      </w:r>
      <w:r>
        <w:rPr>
          <w:sz w:val="21"/>
          <w:vertAlign w:val="baseline"/>
        </w:rPr>
        <w:t>to</w:t>
      </w:r>
      <w:r>
        <w:rPr>
          <w:spacing w:val="-12"/>
          <w:sz w:val="21"/>
          <w:vertAlign w:val="baseline"/>
        </w:rPr>
        <w:t> </w:t>
      </w:r>
      <w:r>
        <w:rPr>
          <w:sz w:val="21"/>
          <w:vertAlign w:val="baseline"/>
        </w:rPr>
        <w:t>obtain</w:t>
      </w:r>
      <w:r>
        <w:rPr>
          <w:spacing w:val="-11"/>
          <w:sz w:val="21"/>
          <w:vertAlign w:val="baseline"/>
        </w:rPr>
        <w:t> </w:t>
      </w:r>
      <w:r>
        <w:rPr>
          <w:sz w:val="21"/>
          <w:vertAlign w:val="baseline"/>
        </w:rPr>
        <w:t>a</w:t>
      </w:r>
      <w:r>
        <w:rPr>
          <w:spacing w:val="-11"/>
          <w:sz w:val="21"/>
          <w:vertAlign w:val="baseline"/>
        </w:rPr>
        <w:t> </w:t>
      </w:r>
      <w:r>
        <w:rPr>
          <w:sz w:val="21"/>
          <w:vertAlign w:val="baseline"/>
        </w:rPr>
        <w:t>college</w:t>
      </w:r>
      <w:r>
        <w:rPr>
          <w:spacing w:val="-12"/>
          <w:sz w:val="21"/>
          <w:vertAlign w:val="baseline"/>
        </w:rPr>
        <w:t> </w:t>
      </w:r>
      <w:r>
        <w:rPr>
          <w:sz w:val="21"/>
          <w:vertAlign w:val="baseline"/>
        </w:rPr>
        <w:t>degree.</w:t>
      </w:r>
      <w:r>
        <w:rPr>
          <w:spacing w:val="-11"/>
          <w:sz w:val="21"/>
          <w:vertAlign w:val="baseline"/>
        </w:rPr>
        <w:t> </w:t>
      </w:r>
      <w:r>
        <w:rPr>
          <w:sz w:val="21"/>
          <w:vertAlign w:val="baseline"/>
        </w:rPr>
        <w:t>This</w:t>
      </w:r>
      <w:r>
        <w:rPr>
          <w:spacing w:val="-12"/>
          <w:sz w:val="21"/>
          <w:vertAlign w:val="baseline"/>
        </w:rPr>
        <w:t> </w:t>
      </w:r>
      <w:r>
        <w:rPr>
          <w:sz w:val="21"/>
          <w:vertAlign w:val="baseline"/>
        </w:rPr>
        <w:t>segregation</w:t>
      </w:r>
      <w:r>
        <w:rPr>
          <w:spacing w:val="-11"/>
          <w:sz w:val="21"/>
          <w:vertAlign w:val="baseline"/>
        </w:rPr>
        <w:t> </w:t>
      </w:r>
      <w:r>
        <w:rPr>
          <w:sz w:val="21"/>
          <w:vertAlign w:val="baseline"/>
        </w:rPr>
        <w:t>and</w:t>
      </w:r>
      <w:r>
        <w:rPr>
          <w:spacing w:val="-11"/>
          <w:sz w:val="21"/>
          <w:vertAlign w:val="baseline"/>
        </w:rPr>
        <w:t> </w:t>
      </w:r>
      <w:r>
        <w:rPr>
          <w:sz w:val="21"/>
          <w:vertAlign w:val="baseline"/>
        </w:rPr>
        <w:t>hiring</w:t>
      </w:r>
      <w:r>
        <w:rPr>
          <w:spacing w:val="-12"/>
          <w:sz w:val="21"/>
          <w:vertAlign w:val="baseline"/>
        </w:rPr>
        <w:t> </w:t>
      </w:r>
      <w:r>
        <w:rPr>
          <w:sz w:val="21"/>
          <w:vertAlign w:val="baseline"/>
        </w:rPr>
        <w:t>discrimination</w:t>
      </w:r>
      <w:r>
        <w:rPr>
          <w:spacing w:val="-11"/>
          <w:sz w:val="21"/>
          <w:vertAlign w:val="baseline"/>
        </w:rPr>
        <w:t> </w:t>
      </w:r>
      <w:r>
        <w:rPr>
          <w:sz w:val="21"/>
          <w:vertAlign w:val="baseline"/>
        </w:rPr>
        <w:t>against</w:t>
      </w:r>
      <w:r>
        <w:rPr>
          <w:spacing w:val="-11"/>
          <w:sz w:val="21"/>
          <w:vertAlign w:val="baseline"/>
        </w:rPr>
        <w:t> </w:t>
      </w:r>
      <w:r>
        <w:rPr>
          <w:sz w:val="21"/>
          <w:vertAlign w:val="baseline"/>
        </w:rPr>
        <w:t>LGB</w:t>
      </w:r>
      <w:r>
        <w:rPr>
          <w:spacing w:val="-12"/>
          <w:sz w:val="21"/>
          <w:vertAlign w:val="baseline"/>
        </w:rPr>
        <w:t> </w:t>
      </w:r>
      <w:r>
        <w:rPr>
          <w:sz w:val="21"/>
          <w:vertAlign w:val="baseline"/>
        </w:rPr>
        <w:t>men</w:t>
      </w:r>
      <w:r>
        <w:rPr>
          <w:spacing w:val="-12"/>
          <w:sz w:val="21"/>
          <w:vertAlign w:val="baseline"/>
        </w:rPr>
        <w:t> </w:t>
      </w:r>
      <w:r>
        <w:rPr>
          <w:sz w:val="21"/>
          <w:vertAlign w:val="baseline"/>
        </w:rPr>
        <w:t>and</w:t>
      </w:r>
      <w:r>
        <w:rPr>
          <w:spacing w:val="-11"/>
          <w:sz w:val="21"/>
          <w:vertAlign w:val="baseline"/>
        </w:rPr>
        <w:t> </w:t>
      </w:r>
      <w:r>
        <w:rPr>
          <w:sz w:val="21"/>
          <w:vertAlign w:val="baseline"/>
        </w:rPr>
        <w:t>women may be caused by occupational contexts that evoke stereotypes about sexual orientation (Mishel 2020). For example,</w:t>
      </w:r>
      <w:r>
        <w:rPr>
          <w:spacing w:val="-1"/>
          <w:sz w:val="21"/>
          <w:vertAlign w:val="baseline"/>
        </w:rPr>
        <w:t> </w:t>
      </w:r>
      <w:r>
        <w:rPr>
          <w:sz w:val="21"/>
          <w:vertAlign w:val="baseline"/>
        </w:rPr>
        <w:t>there is</w:t>
      </w:r>
      <w:r>
        <w:rPr>
          <w:spacing w:val="-1"/>
          <w:sz w:val="21"/>
          <w:vertAlign w:val="baseline"/>
        </w:rPr>
        <w:t> </w:t>
      </w:r>
      <w:r>
        <w:rPr>
          <w:sz w:val="21"/>
          <w:vertAlign w:val="baseline"/>
        </w:rPr>
        <w:t>more</w:t>
      </w:r>
      <w:r>
        <w:rPr>
          <w:spacing w:val="-1"/>
          <w:sz w:val="21"/>
          <w:vertAlign w:val="baseline"/>
        </w:rPr>
        <w:t> </w:t>
      </w:r>
      <w:r>
        <w:rPr>
          <w:sz w:val="21"/>
          <w:vertAlign w:val="baseline"/>
        </w:rPr>
        <w:t>acceptance</w:t>
      </w:r>
      <w:r>
        <w:rPr>
          <w:spacing w:val="-1"/>
          <w:sz w:val="21"/>
          <w:vertAlign w:val="baseline"/>
        </w:rPr>
        <w:t> </w:t>
      </w:r>
      <w:r>
        <w:rPr>
          <w:sz w:val="21"/>
          <w:vertAlign w:val="baseline"/>
        </w:rPr>
        <w:t>of gay</w:t>
      </w:r>
      <w:r>
        <w:rPr>
          <w:spacing w:val="-1"/>
          <w:sz w:val="21"/>
          <w:vertAlign w:val="baseline"/>
        </w:rPr>
        <w:t> </w:t>
      </w:r>
      <w:r>
        <w:rPr>
          <w:sz w:val="21"/>
          <w:vertAlign w:val="baseline"/>
        </w:rPr>
        <w:t>men in women-dominated fields than straight men because of stereotypes about gay men being more feminine.</w:t>
      </w:r>
    </w:p>
    <w:p>
      <w:pPr>
        <w:spacing w:line="276" w:lineRule="auto" w:before="239"/>
        <w:ind w:left="463" w:right="199" w:firstLine="0"/>
        <w:jc w:val="both"/>
        <w:rPr>
          <w:sz w:val="21"/>
        </w:rPr>
      </w:pPr>
      <w:r>
        <w:rPr>
          <w:sz w:val="21"/>
        </w:rPr>
        <w:t>In</w:t>
      </w:r>
      <w:r>
        <w:rPr>
          <w:spacing w:val="-12"/>
          <w:sz w:val="21"/>
        </w:rPr>
        <w:t> </w:t>
      </w:r>
      <w:r>
        <w:rPr>
          <w:sz w:val="21"/>
        </w:rPr>
        <w:t>addition</w:t>
      </w:r>
      <w:r>
        <w:rPr>
          <w:spacing w:val="-12"/>
          <w:sz w:val="21"/>
        </w:rPr>
        <w:t> </w:t>
      </w:r>
      <w:r>
        <w:rPr>
          <w:sz w:val="21"/>
        </w:rPr>
        <w:t>to</w:t>
      </w:r>
      <w:r>
        <w:rPr>
          <w:spacing w:val="-12"/>
          <w:sz w:val="21"/>
        </w:rPr>
        <w:t> </w:t>
      </w:r>
      <w:r>
        <w:rPr>
          <w:sz w:val="21"/>
        </w:rPr>
        <w:t>employment</w:t>
      </w:r>
      <w:r>
        <w:rPr>
          <w:spacing w:val="-12"/>
          <w:sz w:val="21"/>
        </w:rPr>
        <w:t> </w:t>
      </w:r>
      <w:r>
        <w:rPr>
          <w:sz w:val="21"/>
        </w:rPr>
        <w:t>discrimination,</w:t>
      </w:r>
      <w:r>
        <w:rPr>
          <w:spacing w:val="-12"/>
          <w:sz w:val="21"/>
        </w:rPr>
        <w:t> </w:t>
      </w:r>
      <w:r>
        <w:rPr>
          <w:sz w:val="21"/>
        </w:rPr>
        <w:t>LGBTQ</w:t>
      </w:r>
      <w:r>
        <w:rPr>
          <w:spacing w:val="-12"/>
          <w:sz w:val="21"/>
        </w:rPr>
        <w:t> </w:t>
      </w:r>
      <w:r>
        <w:rPr>
          <w:sz w:val="21"/>
        </w:rPr>
        <w:t>youth</w:t>
      </w:r>
      <w:r>
        <w:rPr>
          <w:spacing w:val="-12"/>
          <w:sz w:val="21"/>
        </w:rPr>
        <w:t> </w:t>
      </w:r>
      <w:r>
        <w:rPr>
          <w:sz w:val="21"/>
        </w:rPr>
        <w:t>experience</w:t>
      </w:r>
      <w:r>
        <w:rPr>
          <w:spacing w:val="-11"/>
          <w:sz w:val="21"/>
        </w:rPr>
        <w:t> </w:t>
      </w:r>
      <w:r>
        <w:rPr>
          <w:sz w:val="21"/>
        </w:rPr>
        <w:t>lower</w:t>
      </w:r>
      <w:r>
        <w:rPr>
          <w:spacing w:val="-12"/>
          <w:sz w:val="21"/>
        </w:rPr>
        <w:t> </w:t>
      </w:r>
      <w:r>
        <w:rPr>
          <w:sz w:val="21"/>
        </w:rPr>
        <w:t>earnings</w:t>
      </w:r>
      <w:r>
        <w:rPr>
          <w:spacing w:val="-12"/>
          <w:sz w:val="21"/>
        </w:rPr>
        <w:t> </w:t>
      </w:r>
      <w:r>
        <w:rPr>
          <w:sz w:val="21"/>
        </w:rPr>
        <w:t>than</w:t>
      </w:r>
      <w:r>
        <w:rPr>
          <w:spacing w:val="-12"/>
          <w:sz w:val="21"/>
        </w:rPr>
        <w:t> </w:t>
      </w:r>
      <w:r>
        <w:rPr>
          <w:sz w:val="21"/>
        </w:rPr>
        <w:t>their</w:t>
      </w:r>
      <w:r>
        <w:rPr>
          <w:spacing w:val="-12"/>
          <w:sz w:val="21"/>
        </w:rPr>
        <w:t> </w:t>
      </w:r>
      <w:r>
        <w:rPr>
          <w:sz w:val="21"/>
        </w:rPr>
        <w:t>cisgender</w:t>
      </w:r>
      <w:r>
        <w:rPr>
          <w:spacing w:val="-12"/>
          <w:sz w:val="21"/>
        </w:rPr>
        <w:t> </w:t>
      </w:r>
      <w:r>
        <w:rPr>
          <w:sz w:val="21"/>
        </w:rPr>
        <w:t>and straight counterparts. Specifically, there</w:t>
      </w:r>
      <w:r>
        <w:rPr>
          <w:spacing w:val="-1"/>
          <w:sz w:val="21"/>
        </w:rPr>
        <w:t> </w:t>
      </w:r>
      <w:r>
        <w:rPr>
          <w:sz w:val="21"/>
        </w:rPr>
        <w:t>are wage penalties for gay</w:t>
      </w:r>
      <w:r>
        <w:rPr>
          <w:spacing w:val="-1"/>
          <w:sz w:val="21"/>
        </w:rPr>
        <w:t> </w:t>
      </w:r>
      <w:r>
        <w:rPr>
          <w:sz w:val="21"/>
        </w:rPr>
        <w:t>men, bisexual</w:t>
      </w:r>
      <w:r>
        <w:rPr>
          <w:spacing w:val="-2"/>
          <w:sz w:val="21"/>
        </w:rPr>
        <w:t> </w:t>
      </w:r>
      <w:r>
        <w:rPr>
          <w:sz w:val="21"/>
        </w:rPr>
        <w:t>men, bisexual</w:t>
      </w:r>
      <w:r>
        <w:rPr>
          <w:spacing w:val="-1"/>
          <w:sz w:val="21"/>
        </w:rPr>
        <w:t> </w:t>
      </w:r>
      <w:r>
        <w:rPr>
          <w:sz w:val="21"/>
        </w:rPr>
        <w:t>women,</w:t>
      </w:r>
      <w:hyperlink w:history="true" w:anchor="_bookmark566">
        <w:r>
          <w:rPr>
            <w:sz w:val="21"/>
            <w:vertAlign w:val="superscript"/>
          </w:rPr>
          <w:t>12</w:t>
        </w:r>
      </w:hyperlink>
      <w:r>
        <w:rPr>
          <w:sz w:val="21"/>
          <w:vertAlign w:val="baseline"/>
        </w:rPr>
        <w:t> and</w:t>
      </w:r>
      <w:r>
        <w:rPr>
          <w:spacing w:val="-1"/>
          <w:sz w:val="21"/>
          <w:vertAlign w:val="baseline"/>
        </w:rPr>
        <w:t> </w:t>
      </w:r>
      <w:r>
        <w:rPr>
          <w:sz w:val="21"/>
          <w:vertAlign w:val="baseline"/>
        </w:rPr>
        <w:t>transgender</w:t>
      </w:r>
      <w:r>
        <w:rPr>
          <w:spacing w:val="-1"/>
          <w:sz w:val="21"/>
          <w:vertAlign w:val="baseline"/>
        </w:rPr>
        <w:t> </w:t>
      </w:r>
      <w:r>
        <w:rPr>
          <w:sz w:val="21"/>
          <w:vertAlign w:val="baseline"/>
        </w:rPr>
        <w:t>individuals.</w:t>
      </w:r>
      <w:hyperlink w:history="true" w:anchor="_bookmark567">
        <w:r>
          <w:rPr>
            <w:sz w:val="21"/>
            <w:vertAlign w:val="superscript"/>
          </w:rPr>
          <w:t>13</w:t>
        </w:r>
      </w:hyperlink>
      <w:r>
        <w:rPr>
          <w:spacing w:val="-2"/>
          <w:sz w:val="21"/>
          <w:vertAlign w:val="baseline"/>
        </w:rPr>
        <w:t> </w:t>
      </w:r>
      <w:r>
        <w:rPr>
          <w:sz w:val="21"/>
          <w:vertAlign w:val="baseline"/>
        </w:rPr>
        <w:t>Women, especially</w:t>
      </w:r>
      <w:r>
        <w:rPr>
          <w:spacing w:val="-1"/>
          <w:sz w:val="21"/>
          <w:vertAlign w:val="baseline"/>
        </w:rPr>
        <w:t> </w:t>
      </w:r>
      <w:r>
        <w:rPr>
          <w:sz w:val="21"/>
          <w:vertAlign w:val="baseline"/>
        </w:rPr>
        <w:t>Black</w:t>
      </w:r>
      <w:r>
        <w:rPr>
          <w:spacing w:val="-1"/>
          <w:sz w:val="21"/>
          <w:vertAlign w:val="baseline"/>
        </w:rPr>
        <w:t> </w:t>
      </w:r>
      <w:r>
        <w:rPr>
          <w:sz w:val="21"/>
          <w:vertAlign w:val="baseline"/>
        </w:rPr>
        <w:t>and</w:t>
      </w:r>
      <w:r>
        <w:rPr>
          <w:spacing w:val="-1"/>
          <w:sz w:val="21"/>
          <w:vertAlign w:val="baseline"/>
        </w:rPr>
        <w:t> </w:t>
      </w:r>
      <w:r>
        <w:rPr>
          <w:sz w:val="21"/>
          <w:vertAlign w:val="baseline"/>
        </w:rPr>
        <w:t>Latinx</w:t>
      </w:r>
      <w:r>
        <w:rPr>
          <w:spacing w:val="-1"/>
          <w:sz w:val="21"/>
          <w:vertAlign w:val="baseline"/>
        </w:rPr>
        <w:t> </w:t>
      </w:r>
      <w:r>
        <w:rPr>
          <w:sz w:val="21"/>
          <w:vertAlign w:val="baseline"/>
        </w:rPr>
        <w:t>women, earned</w:t>
      </w:r>
      <w:r>
        <w:rPr>
          <w:spacing w:val="-2"/>
          <w:sz w:val="21"/>
          <w:vertAlign w:val="baseline"/>
        </w:rPr>
        <w:t> </w:t>
      </w:r>
      <w:r>
        <w:rPr>
          <w:sz w:val="21"/>
          <w:vertAlign w:val="baseline"/>
        </w:rPr>
        <w:t>less</w:t>
      </w:r>
      <w:r>
        <w:rPr>
          <w:spacing w:val="-1"/>
          <w:sz w:val="21"/>
          <w:vertAlign w:val="baseline"/>
        </w:rPr>
        <w:t> </w:t>
      </w:r>
      <w:r>
        <w:rPr>
          <w:sz w:val="21"/>
          <w:vertAlign w:val="baseline"/>
        </w:rPr>
        <w:t>in</w:t>
      </w:r>
      <w:r>
        <w:rPr>
          <w:spacing w:val="-1"/>
          <w:sz w:val="21"/>
          <w:vertAlign w:val="baseline"/>
        </w:rPr>
        <w:t> </w:t>
      </w:r>
      <w:r>
        <w:rPr>
          <w:sz w:val="21"/>
          <w:vertAlign w:val="baseline"/>
        </w:rPr>
        <w:t>2023</w:t>
      </w:r>
      <w:r>
        <w:rPr>
          <w:spacing w:val="-2"/>
          <w:sz w:val="21"/>
          <w:vertAlign w:val="baseline"/>
        </w:rPr>
        <w:t> </w:t>
      </w:r>
      <w:r>
        <w:rPr>
          <w:sz w:val="21"/>
          <w:vertAlign w:val="baseline"/>
        </w:rPr>
        <w:t>than</w:t>
      </w:r>
      <w:r>
        <w:rPr>
          <w:spacing w:val="-1"/>
          <w:sz w:val="21"/>
          <w:vertAlign w:val="baseline"/>
        </w:rPr>
        <w:t> </w:t>
      </w:r>
      <w:r>
        <w:rPr>
          <w:sz w:val="21"/>
          <w:vertAlign w:val="baseline"/>
        </w:rPr>
        <w:t>white men.</w:t>
      </w:r>
      <w:r>
        <w:rPr>
          <w:spacing w:val="-12"/>
          <w:sz w:val="21"/>
          <w:vertAlign w:val="baseline"/>
        </w:rPr>
        <w:t> </w:t>
      </w:r>
      <w:hyperlink w:history="true" w:anchor="_bookmark568">
        <w:r>
          <w:rPr>
            <w:sz w:val="21"/>
            <w:vertAlign w:val="superscript"/>
          </w:rPr>
          <w:t>14</w:t>
        </w:r>
      </w:hyperlink>
      <w:r>
        <w:rPr>
          <w:sz w:val="21"/>
          <w:vertAlign w:val="baseline"/>
        </w:rPr>
        <w:t> As a diverse group, LGBTQ youth may also be impacted by the recorded wage penalties for women,</w:t>
      </w:r>
      <w:hyperlink w:history="true" w:anchor="_bookmark569">
        <w:r>
          <w:rPr>
            <w:sz w:val="21"/>
            <w:vertAlign w:val="superscript"/>
          </w:rPr>
          <w:t>15</w:t>
        </w:r>
      </w:hyperlink>
      <w:r>
        <w:rPr>
          <w:spacing w:val="-2"/>
          <w:sz w:val="21"/>
          <w:vertAlign w:val="baseline"/>
        </w:rPr>
        <w:t> </w:t>
      </w:r>
      <w:r>
        <w:rPr>
          <w:sz w:val="21"/>
          <w:vertAlign w:val="baseline"/>
        </w:rPr>
        <w:t>people</w:t>
      </w:r>
      <w:r>
        <w:rPr>
          <w:spacing w:val="16"/>
          <w:sz w:val="21"/>
          <w:vertAlign w:val="baseline"/>
        </w:rPr>
        <w:t> </w:t>
      </w:r>
      <w:r>
        <w:rPr>
          <w:sz w:val="21"/>
          <w:vertAlign w:val="baseline"/>
        </w:rPr>
        <w:t>of</w:t>
      </w:r>
      <w:r>
        <w:rPr>
          <w:spacing w:val="15"/>
          <w:sz w:val="21"/>
          <w:vertAlign w:val="baseline"/>
        </w:rPr>
        <w:t> </w:t>
      </w:r>
      <w:r>
        <w:rPr>
          <w:sz w:val="21"/>
          <w:vertAlign w:val="baseline"/>
        </w:rPr>
        <w:t>color,</w:t>
      </w:r>
      <w:r>
        <w:rPr>
          <w:spacing w:val="16"/>
          <w:sz w:val="21"/>
          <w:vertAlign w:val="baseline"/>
        </w:rPr>
        <w:t> </w:t>
      </w:r>
      <w:r>
        <w:rPr>
          <w:sz w:val="21"/>
          <w:vertAlign w:val="baseline"/>
        </w:rPr>
        <w:t>immigrants,</w:t>
      </w:r>
      <w:r>
        <w:rPr>
          <w:spacing w:val="16"/>
          <w:sz w:val="21"/>
          <w:vertAlign w:val="baseline"/>
        </w:rPr>
        <w:t> </w:t>
      </w:r>
      <w:r>
        <w:rPr>
          <w:sz w:val="21"/>
          <w:vertAlign w:val="baseline"/>
        </w:rPr>
        <w:t>and</w:t>
      </w:r>
      <w:r>
        <w:rPr>
          <w:spacing w:val="15"/>
          <w:sz w:val="21"/>
          <w:vertAlign w:val="baseline"/>
        </w:rPr>
        <w:t> </w:t>
      </w:r>
      <w:r>
        <w:rPr>
          <w:sz w:val="21"/>
          <w:vertAlign w:val="baseline"/>
        </w:rPr>
        <w:t>individuals</w:t>
      </w:r>
      <w:r>
        <w:rPr>
          <w:spacing w:val="15"/>
          <w:sz w:val="21"/>
          <w:vertAlign w:val="baseline"/>
        </w:rPr>
        <w:t> </w:t>
      </w:r>
      <w:r>
        <w:rPr>
          <w:sz w:val="21"/>
          <w:vertAlign w:val="baseline"/>
        </w:rPr>
        <w:t>with</w:t>
      </w:r>
      <w:r>
        <w:rPr>
          <w:spacing w:val="16"/>
          <w:sz w:val="21"/>
          <w:vertAlign w:val="baseline"/>
        </w:rPr>
        <w:t> </w:t>
      </w:r>
      <w:r>
        <w:rPr>
          <w:sz w:val="21"/>
          <w:vertAlign w:val="baseline"/>
        </w:rPr>
        <w:t>a</w:t>
      </w:r>
      <w:r>
        <w:rPr>
          <w:spacing w:val="15"/>
          <w:sz w:val="21"/>
          <w:vertAlign w:val="baseline"/>
        </w:rPr>
        <w:t> </w:t>
      </w:r>
      <w:r>
        <w:rPr>
          <w:sz w:val="21"/>
          <w:vertAlign w:val="baseline"/>
        </w:rPr>
        <w:t>disability.</w:t>
      </w:r>
      <w:r>
        <w:rPr>
          <w:spacing w:val="16"/>
          <w:sz w:val="21"/>
          <w:vertAlign w:val="baseline"/>
        </w:rPr>
        <w:t> </w:t>
      </w:r>
      <w:r>
        <w:rPr>
          <w:sz w:val="21"/>
          <w:vertAlign w:val="baseline"/>
        </w:rPr>
        <w:t>LGBTQ</w:t>
      </w:r>
      <w:r>
        <w:rPr>
          <w:spacing w:val="16"/>
          <w:sz w:val="21"/>
          <w:vertAlign w:val="baseline"/>
        </w:rPr>
        <w:t> </w:t>
      </w:r>
      <w:r>
        <w:rPr>
          <w:sz w:val="21"/>
          <w:vertAlign w:val="baseline"/>
        </w:rPr>
        <w:t>youth</w:t>
      </w:r>
      <w:r>
        <w:rPr>
          <w:spacing w:val="16"/>
          <w:sz w:val="21"/>
          <w:vertAlign w:val="baseline"/>
        </w:rPr>
        <w:t> </w:t>
      </w:r>
      <w:r>
        <w:rPr>
          <w:sz w:val="21"/>
          <w:vertAlign w:val="baseline"/>
        </w:rPr>
        <w:t>who</w:t>
      </w:r>
      <w:r>
        <w:rPr>
          <w:spacing w:val="16"/>
          <w:sz w:val="21"/>
          <w:vertAlign w:val="baseline"/>
        </w:rPr>
        <w:t> </w:t>
      </w:r>
      <w:r>
        <w:rPr>
          <w:sz w:val="21"/>
          <w:vertAlign w:val="baseline"/>
        </w:rPr>
        <w:t>hold</w:t>
      </w:r>
      <w:r>
        <w:rPr>
          <w:spacing w:val="15"/>
          <w:sz w:val="21"/>
          <w:vertAlign w:val="baseline"/>
        </w:rPr>
        <w:t> </w:t>
      </w:r>
      <w:r>
        <w:rPr>
          <w:sz w:val="21"/>
          <w:vertAlign w:val="baseline"/>
        </w:rPr>
        <w:t>multiple</w:t>
      </w:r>
    </w:p>
    <w:p>
      <w:pPr>
        <w:spacing w:after="0" w:line="276" w:lineRule="auto"/>
        <w:jc w:val="both"/>
        <w:rPr>
          <w:sz w:val="21"/>
        </w:rPr>
        <w:sectPr>
          <w:pgSz w:w="12240" w:h="15840"/>
          <w:pgMar w:header="763" w:footer="1041" w:top="1380" w:bottom="1240" w:left="1120" w:right="1380"/>
        </w:sectPr>
      </w:pPr>
    </w:p>
    <w:p>
      <w:pPr>
        <w:spacing w:line="276" w:lineRule="auto" w:before="47"/>
        <w:ind w:left="464" w:right="200" w:firstLine="0"/>
        <w:jc w:val="both"/>
        <w:rPr>
          <w:sz w:val="21"/>
        </w:rPr>
      </w:pPr>
      <w:r>
        <w:rPr>
          <w:sz w:val="21"/>
        </w:rPr>
        <w:t>marginalized identities experience a significant negative impact on earnings from aggregated wage </w:t>
      </w:r>
      <w:r>
        <w:rPr>
          <w:spacing w:val="-2"/>
          <w:sz w:val="21"/>
        </w:rPr>
        <w:t>penalties.</w:t>
      </w:r>
    </w:p>
    <w:p>
      <w:pPr>
        <w:spacing w:before="239"/>
        <w:ind w:left="464" w:right="0" w:firstLine="0"/>
        <w:jc w:val="left"/>
        <w:rPr>
          <w:sz w:val="28"/>
        </w:rPr>
      </w:pPr>
      <w:bookmarkStart w:name="Geography" w:id="836"/>
      <w:bookmarkEnd w:id="836"/>
      <w:r>
        <w:rPr/>
      </w:r>
      <w:r>
        <w:rPr>
          <w:color w:val="365F91"/>
          <w:spacing w:val="-2"/>
          <w:sz w:val="28"/>
        </w:rPr>
        <w:t>Geography</w:t>
      </w:r>
    </w:p>
    <w:p>
      <w:pPr>
        <w:spacing w:line="276" w:lineRule="auto" w:before="293"/>
        <w:ind w:left="464" w:right="199" w:firstLine="0"/>
        <w:jc w:val="both"/>
        <w:rPr>
          <w:sz w:val="21"/>
        </w:rPr>
      </w:pPr>
      <w:r>
        <w:rPr>
          <w:sz w:val="21"/>
        </w:rPr>
        <w:t>Another</w:t>
      </w:r>
      <w:r>
        <w:rPr>
          <w:spacing w:val="-2"/>
          <w:sz w:val="21"/>
        </w:rPr>
        <w:t> </w:t>
      </w:r>
      <w:r>
        <w:rPr>
          <w:sz w:val="21"/>
        </w:rPr>
        <w:t>barrier</w:t>
      </w:r>
      <w:r>
        <w:rPr>
          <w:spacing w:val="-2"/>
          <w:sz w:val="21"/>
        </w:rPr>
        <w:t> </w:t>
      </w:r>
      <w:r>
        <w:rPr>
          <w:sz w:val="21"/>
        </w:rPr>
        <w:t>to</w:t>
      </w:r>
      <w:r>
        <w:rPr>
          <w:spacing w:val="-2"/>
          <w:sz w:val="21"/>
        </w:rPr>
        <w:t> </w:t>
      </w:r>
      <w:r>
        <w:rPr>
          <w:sz w:val="21"/>
        </w:rPr>
        <w:t>employment</w:t>
      </w:r>
      <w:r>
        <w:rPr>
          <w:spacing w:val="-1"/>
          <w:sz w:val="21"/>
        </w:rPr>
        <w:t> </w:t>
      </w:r>
      <w:r>
        <w:rPr>
          <w:sz w:val="21"/>
        </w:rPr>
        <w:t>and</w:t>
      </w:r>
      <w:r>
        <w:rPr>
          <w:spacing w:val="-3"/>
          <w:sz w:val="21"/>
        </w:rPr>
        <w:t> </w:t>
      </w:r>
      <w:r>
        <w:rPr>
          <w:sz w:val="21"/>
        </w:rPr>
        <w:t>job</w:t>
      </w:r>
      <w:r>
        <w:rPr>
          <w:spacing w:val="-3"/>
          <w:sz w:val="21"/>
        </w:rPr>
        <w:t> </w:t>
      </w:r>
      <w:r>
        <w:rPr>
          <w:sz w:val="21"/>
        </w:rPr>
        <w:t>opportunities</w:t>
      </w:r>
      <w:r>
        <w:rPr>
          <w:spacing w:val="-2"/>
          <w:sz w:val="21"/>
        </w:rPr>
        <w:t> </w:t>
      </w:r>
      <w:r>
        <w:rPr>
          <w:sz w:val="21"/>
        </w:rPr>
        <w:t>is</w:t>
      </w:r>
      <w:r>
        <w:rPr>
          <w:spacing w:val="-2"/>
          <w:sz w:val="21"/>
        </w:rPr>
        <w:t> </w:t>
      </w:r>
      <w:r>
        <w:rPr>
          <w:sz w:val="21"/>
        </w:rPr>
        <w:t>geographical</w:t>
      </w:r>
      <w:r>
        <w:rPr>
          <w:spacing w:val="-2"/>
          <w:sz w:val="21"/>
        </w:rPr>
        <w:t> </w:t>
      </w:r>
      <w:r>
        <w:rPr>
          <w:sz w:val="21"/>
        </w:rPr>
        <w:t>location.</w:t>
      </w:r>
      <w:r>
        <w:rPr>
          <w:spacing w:val="-2"/>
          <w:sz w:val="21"/>
        </w:rPr>
        <w:t> </w:t>
      </w:r>
      <w:r>
        <w:rPr>
          <w:sz w:val="21"/>
        </w:rPr>
        <w:t>The</w:t>
      </w:r>
      <w:r>
        <w:rPr>
          <w:spacing w:val="-2"/>
          <w:sz w:val="21"/>
        </w:rPr>
        <w:t> </w:t>
      </w:r>
      <w:r>
        <w:rPr>
          <w:sz w:val="21"/>
        </w:rPr>
        <w:t>economic</w:t>
      </w:r>
      <w:r>
        <w:rPr>
          <w:spacing w:val="-2"/>
          <w:sz w:val="21"/>
        </w:rPr>
        <w:t> </w:t>
      </w:r>
      <w:r>
        <w:rPr>
          <w:sz w:val="21"/>
        </w:rPr>
        <w:t>outcomes</w:t>
      </w:r>
      <w:r>
        <w:rPr>
          <w:spacing w:val="-2"/>
          <w:sz w:val="21"/>
        </w:rPr>
        <w:t> </w:t>
      </w:r>
      <w:r>
        <w:rPr>
          <w:sz w:val="21"/>
        </w:rPr>
        <w:t>of youth may vary based on their location within the Commonwealth. In January 2024, the unemployment rate for the metro Boston area was 3.2%,while it was</w:t>
      </w:r>
      <w:r>
        <w:rPr>
          <w:spacing w:val="-1"/>
          <w:sz w:val="21"/>
        </w:rPr>
        <w:t> </w:t>
      </w:r>
      <w:r>
        <w:rPr>
          <w:sz w:val="21"/>
        </w:rPr>
        <w:t>4.1% for the</w:t>
      </w:r>
      <w:r>
        <w:rPr>
          <w:spacing w:val="-1"/>
          <w:sz w:val="21"/>
        </w:rPr>
        <w:t> </w:t>
      </w:r>
      <w:r>
        <w:rPr>
          <w:sz w:val="21"/>
        </w:rPr>
        <w:t>metro Springfield area.</w:t>
      </w:r>
      <w:hyperlink w:history="true" w:anchor="_bookmark570">
        <w:r>
          <w:rPr>
            <w:sz w:val="21"/>
            <w:vertAlign w:val="superscript"/>
          </w:rPr>
          <w:t>16</w:t>
        </w:r>
      </w:hyperlink>
      <w:r>
        <w:rPr>
          <w:spacing w:val="-2"/>
          <w:sz w:val="21"/>
          <w:vertAlign w:val="baseline"/>
        </w:rPr>
        <w:t> </w:t>
      </w:r>
      <w:r>
        <w:rPr>
          <w:sz w:val="21"/>
          <w:vertAlign w:val="baseline"/>
        </w:rPr>
        <w:t>There is a lack of</w:t>
      </w:r>
      <w:r>
        <w:rPr>
          <w:spacing w:val="-1"/>
          <w:sz w:val="21"/>
          <w:vertAlign w:val="baseline"/>
        </w:rPr>
        <w:t> </w:t>
      </w:r>
      <w:r>
        <w:rPr>
          <w:sz w:val="21"/>
          <w:vertAlign w:val="baseline"/>
        </w:rPr>
        <w:t>recent data</w:t>
      </w:r>
      <w:r>
        <w:rPr>
          <w:spacing w:val="-2"/>
          <w:sz w:val="21"/>
          <w:vertAlign w:val="baseline"/>
        </w:rPr>
        <w:t> </w:t>
      </w:r>
      <w:r>
        <w:rPr>
          <w:sz w:val="21"/>
          <w:vertAlign w:val="baseline"/>
        </w:rPr>
        <w:t>on</w:t>
      </w:r>
      <w:r>
        <w:rPr>
          <w:spacing w:val="-2"/>
          <w:sz w:val="21"/>
          <w:vertAlign w:val="baseline"/>
        </w:rPr>
        <w:t> </w:t>
      </w:r>
      <w:r>
        <w:rPr>
          <w:sz w:val="21"/>
          <w:vertAlign w:val="baseline"/>
        </w:rPr>
        <w:t>unemployment rates</w:t>
      </w:r>
      <w:r>
        <w:rPr>
          <w:spacing w:val="-2"/>
          <w:sz w:val="21"/>
          <w:vertAlign w:val="baseline"/>
        </w:rPr>
        <w:t> </w:t>
      </w:r>
      <w:r>
        <w:rPr>
          <w:sz w:val="21"/>
          <w:vertAlign w:val="baseline"/>
        </w:rPr>
        <w:t>and income</w:t>
      </w:r>
      <w:r>
        <w:rPr>
          <w:spacing w:val="-2"/>
          <w:sz w:val="21"/>
          <w:vertAlign w:val="baseline"/>
        </w:rPr>
        <w:t> </w:t>
      </w:r>
      <w:r>
        <w:rPr>
          <w:sz w:val="21"/>
          <w:vertAlign w:val="baseline"/>
        </w:rPr>
        <w:t>that</w:t>
      </w:r>
      <w:r>
        <w:rPr>
          <w:spacing w:val="-1"/>
          <w:sz w:val="21"/>
          <w:vertAlign w:val="baseline"/>
        </w:rPr>
        <w:t> </w:t>
      </w:r>
      <w:r>
        <w:rPr>
          <w:sz w:val="21"/>
          <w:vertAlign w:val="baseline"/>
        </w:rPr>
        <w:t>include</w:t>
      </w:r>
      <w:r>
        <w:rPr>
          <w:spacing w:val="-2"/>
          <w:sz w:val="21"/>
          <w:vertAlign w:val="baseline"/>
        </w:rPr>
        <w:t> </w:t>
      </w:r>
      <w:r>
        <w:rPr>
          <w:sz w:val="21"/>
          <w:vertAlign w:val="baseline"/>
        </w:rPr>
        <w:t>demographics</w:t>
      </w:r>
      <w:r>
        <w:rPr>
          <w:spacing w:val="-1"/>
          <w:sz w:val="21"/>
          <w:vertAlign w:val="baseline"/>
        </w:rPr>
        <w:t> </w:t>
      </w:r>
      <w:r>
        <w:rPr>
          <w:sz w:val="21"/>
          <w:vertAlign w:val="baseline"/>
        </w:rPr>
        <w:t>such</w:t>
      </w:r>
      <w:r>
        <w:rPr>
          <w:spacing w:val="-2"/>
          <w:sz w:val="21"/>
          <w:vertAlign w:val="baseline"/>
        </w:rPr>
        <w:t> </w:t>
      </w:r>
      <w:r>
        <w:rPr>
          <w:sz w:val="21"/>
          <w:vertAlign w:val="baseline"/>
        </w:rPr>
        <w:t>as</w:t>
      </w:r>
      <w:r>
        <w:rPr>
          <w:spacing w:val="-1"/>
          <w:sz w:val="21"/>
          <w:vertAlign w:val="baseline"/>
        </w:rPr>
        <w:t> </w:t>
      </w:r>
      <w:r>
        <w:rPr>
          <w:sz w:val="21"/>
          <w:vertAlign w:val="baseline"/>
        </w:rPr>
        <w:t>LGBTQ identity</w:t>
      </w:r>
      <w:r>
        <w:rPr>
          <w:spacing w:val="-1"/>
          <w:sz w:val="21"/>
          <w:vertAlign w:val="baseline"/>
        </w:rPr>
        <w:t> </w:t>
      </w:r>
      <w:r>
        <w:rPr>
          <w:sz w:val="21"/>
          <w:vertAlign w:val="baseline"/>
        </w:rPr>
        <w:t>and race throughout the regions of the state. There is a trend of greater economic performance in the metro Boston</w:t>
      </w:r>
      <w:r>
        <w:rPr>
          <w:spacing w:val="-6"/>
          <w:sz w:val="21"/>
          <w:vertAlign w:val="baseline"/>
        </w:rPr>
        <w:t> </w:t>
      </w:r>
      <w:r>
        <w:rPr>
          <w:sz w:val="21"/>
          <w:vertAlign w:val="baseline"/>
        </w:rPr>
        <w:t>area</w:t>
      </w:r>
      <w:r>
        <w:rPr>
          <w:spacing w:val="-5"/>
          <w:sz w:val="21"/>
          <w:vertAlign w:val="baseline"/>
        </w:rPr>
        <w:t> </w:t>
      </w:r>
      <w:r>
        <w:rPr>
          <w:sz w:val="21"/>
          <w:vertAlign w:val="baseline"/>
        </w:rPr>
        <w:t>which</w:t>
      </w:r>
      <w:r>
        <w:rPr>
          <w:spacing w:val="-6"/>
          <w:sz w:val="21"/>
          <w:vertAlign w:val="baseline"/>
        </w:rPr>
        <w:t> </w:t>
      </w:r>
      <w:r>
        <w:rPr>
          <w:sz w:val="21"/>
          <w:vertAlign w:val="baseline"/>
        </w:rPr>
        <w:t>has</w:t>
      </w:r>
      <w:r>
        <w:rPr>
          <w:spacing w:val="-6"/>
          <w:sz w:val="21"/>
          <w:vertAlign w:val="baseline"/>
        </w:rPr>
        <w:t> </w:t>
      </w:r>
      <w:r>
        <w:rPr>
          <w:sz w:val="21"/>
          <w:vertAlign w:val="baseline"/>
        </w:rPr>
        <w:t>a</w:t>
      </w:r>
      <w:r>
        <w:rPr>
          <w:spacing w:val="-5"/>
          <w:sz w:val="21"/>
          <w:vertAlign w:val="baseline"/>
        </w:rPr>
        <w:t> </w:t>
      </w:r>
      <w:r>
        <w:rPr>
          <w:sz w:val="21"/>
          <w:vertAlign w:val="baseline"/>
        </w:rPr>
        <w:t>large</w:t>
      </w:r>
      <w:r>
        <w:rPr>
          <w:spacing w:val="-6"/>
          <w:sz w:val="21"/>
          <w:vertAlign w:val="baseline"/>
        </w:rPr>
        <w:t> </w:t>
      </w:r>
      <w:r>
        <w:rPr>
          <w:sz w:val="21"/>
          <w:vertAlign w:val="baseline"/>
        </w:rPr>
        <w:t>share</w:t>
      </w:r>
      <w:r>
        <w:rPr>
          <w:spacing w:val="-6"/>
          <w:sz w:val="21"/>
          <w:vertAlign w:val="baseline"/>
        </w:rPr>
        <w:t> </w:t>
      </w:r>
      <w:r>
        <w:rPr>
          <w:sz w:val="21"/>
          <w:vertAlign w:val="baseline"/>
        </w:rPr>
        <w:t>of</w:t>
      </w:r>
      <w:r>
        <w:rPr>
          <w:spacing w:val="-6"/>
          <w:sz w:val="21"/>
          <w:vertAlign w:val="baseline"/>
        </w:rPr>
        <w:t> </w:t>
      </w:r>
      <w:r>
        <w:rPr>
          <w:sz w:val="21"/>
          <w:vertAlign w:val="baseline"/>
        </w:rPr>
        <w:t>the</w:t>
      </w:r>
      <w:r>
        <w:rPr>
          <w:spacing w:val="-7"/>
          <w:sz w:val="21"/>
          <w:vertAlign w:val="baseline"/>
        </w:rPr>
        <w:t> </w:t>
      </w:r>
      <w:r>
        <w:rPr>
          <w:sz w:val="21"/>
          <w:vertAlign w:val="baseline"/>
        </w:rPr>
        <w:t>professional,</w:t>
      </w:r>
      <w:r>
        <w:rPr>
          <w:spacing w:val="-5"/>
          <w:sz w:val="21"/>
          <w:vertAlign w:val="baseline"/>
        </w:rPr>
        <w:t> </w:t>
      </w:r>
      <w:r>
        <w:rPr>
          <w:sz w:val="21"/>
          <w:vertAlign w:val="baseline"/>
        </w:rPr>
        <w:t>scientific,</w:t>
      </w:r>
      <w:r>
        <w:rPr>
          <w:spacing w:val="-5"/>
          <w:sz w:val="21"/>
          <w:vertAlign w:val="baseline"/>
        </w:rPr>
        <w:t> </w:t>
      </w:r>
      <w:r>
        <w:rPr>
          <w:sz w:val="21"/>
          <w:vertAlign w:val="baseline"/>
        </w:rPr>
        <w:t>and</w:t>
      </w:r>
      <w:r>
        <w:rPr>
          <w:spacing w:val="-6"/>
          <w:sz w:val="21"/>
          <w:vertAlign w:val="baseline"/>
        </w:rPr>
        <w:t> </w:t>
      </w:r>
      <w:r>
        <w:rPr>
          <w:sz w:val="21"/>
          <w:vertAlign w:val="baseline"/>
        </w:rPr>
        <w:t>technical</w:t>
      </w:r>
      <w:r>
        <w:rPr>
          <w:spacing w:val="-6"/>
          <w:sz w:val="21"/>
          <w:vertAlign w:val="baseline"/>
        </w:rPr>
        <w:t> </w:t>
      </w:r>
      <w:r>
        <w:rPr>
          <w:sz w:val="21"/>
          <w:vertAlign w:val="baseline"/>
        </w:rPr>
        <w:t>services</w:t>
      </w:r>
      <w:r>
        <w:rPr>
          <w:spacing w:val="-6"/>
          <w:sz w:val="21"/>
          <w:vertAlign w:val="baseline"/>
        </w:rPr>
        <w:t> </w:t>
      </w:r>
      <w:r>
        <w:rPr>
          <w:sz w:val="21"/>
          <w:vertAlign w:val="baseline"/>
        </w:rPr>
        <w:t>sector</w:t>
      </w:r>
      <w:r>
        <w:rPr>
          <w:spacing w:val="-6"/>
          <w:sz w:val="21"/>
          <w:vertAlign w:val="baseline"/>
        </w:rPr>
        <w:t> </w:t>
      </w:r>
      <w:r>
        <w:rPr>
          <w:sz w:val="21"/>
          <w:vertAlign w:val="baseline"/>
        </w:rPr>
        <w:t>of</w:t>
      </w:r>
      <w:r>
        <w:rPr>
          <w:spacing w:val="-6"/>
          <w:sz w:val="21"/>
          <w:vertAlign w:val="baseline"/>
        </w:rPr>
        <w:t> </w:t>
      </w:r>
      <w:r>
        <w:rPr>
          <w:sz w:val="21"/>
          <w:vertAlign w:val="baseline"/>
        </w:rPr>
        <w:t>the</w:t>
      </w:r>
      <w:r>
        <w:rPr>
          <w:spacing w:val="-6"/>
          <w:sz w:val="21"/>
          <w:vertAlign w:val="baseline"/>
        </w:rPr>
        <w:t> </w:t>
      </w:r>
      <w:r>
        <w:rPr>
          <w:sz w:val="21"/>
          <w:vertAlign w:val="baseline"/>
        </w:rPr>
        <w:t>state with its growth in life sciences research, technology, and remote work.</w:t>
      </w:r>
      <w:hyperlink w:history="true" w:anchor="_bookmark571">
        <w:r>
          <w:rPr>
            <w:sz w:val="21"/>
            <w:vertAlign w:val="superscript"/>
          </w:rPr>
          <w:t>17</w:t>
        </w:r>
      </w:hyperlink>
    </w:p>
    <w:p>
      <w:pPr>
        <w:spacing w:line="276" w:lineRule="auto" w:before="240"/>
        <w:ind w:left="464" w:right="200" w:firstLine="0"/>
        <w:jc w:val="both"/>
        <w:rPr>
          <w:sz w:val="21"/>
        </w:rPr>
      </w:pPr>
      <w:r>
        <w:rPr>
          <w:sz w:val="21"/>
        </w:rPr>
        <w:t>In</w:t>
      </w:r>
      <w:r>
        <w:rPr>
          <w:spacing w:val="-1"/>
          <w:sz w:val="21"/>
        </w:rPr>
        <w:t> </w:t>
      </w:r>
      <w:r>
        <w:rPr>
          <w:sz w:val="21"/>
        </w:rPr>
        <w:t>contrast with</w:t>
      </w:r>
      <w:r>
        <w:rPr>
          <w:spacing w:val="-1"/>
          <w:sz w:val="21"/>
        </w:rPr>
        <w:t> </w:t>
      </w:r>
      <w:r>
        <w:rPr>
          <w:sz w:val="21"/>
        </w:rPr>
        <w:t>the</w:t>
      </w:r>
      <w:r>
        <w:rPr>
          <w:spacing w:val="-2"/>
          <w:sz w:val="21"/>
        </w:rPr>
        <w:t> </w:t>
      </w:r>
      <w:r>
        <w:rPr>
          <w:sz w:val="21"/>
        </w:rPr>
        <w:t>economic</w:t>
      </w:r>
      <w:r>
        <w:rPr>
          <w:spacing w:val="-1"/>
          <w:sz w:val="21"/>
        </w:rPr>
        <w:t> </w:t>
      </w:r>
      <w:r>
        <w:rPr>
          <w:sz w:val="21"/>
        </w:rPr>
        <w:t>growth</w:t>
      </w:r>
      <w:r>
        <w:rPr>
          <w:spacing w:val="-1"/>
          <w:sz w:val="21"/>
        </w:rPr>
        <w:t> </w:t>
      </w:r>
      <w:r>
        <w:rPr>
          <w:sz w:val="21"/>
        </w:rPr>
        <w:t>in</w:t>
      </w:r>
      <w:r>
        <w:rPr>
          <w:spacing w:val="-2"/>
          <w:sz w:val="21"/>
        </w:rPr>
        <w:t> </w:t>
      </w:r>
      <w:r>
        <w:rPr>
          <w:sz w:val="21"/>
        </w:rPr>
        <w:t>metro</w:t>
      </w:r>
      <w:r>
        <w:rPr>
          <w:spacing w:val="-1"/>
          <w:sz w:val="21"/>
        </w:rPr>
        <w:t> </w:t>
      </w:r>
      <w:r>
        <w:rPr>
          <w:sz w:val="21"/>
        </w:rPr>
        <w:t>Boston, Western</w:t>
      </w:r>
      <w:r>
        <w:rPr>
          <w:spacing w:val="-1"/>
          <w:sz w:val="21"/>
        </w:rPr>
        <w:t> </w:t>
      </w:r>
      <w:r>
        <w:rPr>
          <w:sz w:val="21"/>
        </w:rPr>
        <w:t>MA</w:t>
      </w:r>
      <w:r>
        <w:rPr>
          <w:spacing w:val="-3"/>
          <w:sz w:val="21"/>
        </w:rPr>
        <w:t> </w:t>
      </w:r>
      <w:r>
        <w:rPr>
          <w:sz w:val="21"/>
        </w:rPr>
        <w:t>and</w:t>
      </w:r>
      <w:r>
        <w:rPr>
          <w:spacing w:val="-1"/>
          <w:sz w:val="21"/>
        </w:rPr>
        <w:t> </w:t>
      </w:r>
      <w:r>
        <w:rPr>
          <w:sz w:val="21"/>
        </w:rPr>
        <w:t>the</w:t>
      </w:r>
      <w:r>
        <w:rPr>
          <w:spacing w:val="-1"/>
          <w:sz w:val="21"/>
        </w:rPr>
        <w:t> </w:t>
      </w:r>
      <w:r>
        <w:rPr>
          <w:sz w:val="21"/>
        </w:rPr>
        <w:t>Cape</w:t>
      </w:r>
      <w:r>
        <w:rPr>
          <w:spacing w:val="-3"/>
          <w:sz w:val="21"/>
        </w:rPr>
        <w:t> </w:t>
      </w:r>
      <w:r>
        <w:rPr>
          <w:sz w:val="21"/>
        </w:rPr>
        <w:t>and</w:t>
      </w:r>
      <w:r>
        <w:rPr>
          <w:spacing w:val="-1"/>
          <w:sz w:val="21"/>
        </w:rPr>
        <w:t> </w:t>
      </w:r>
      <w:r>
        <w:rPr>
          <w:sz w:val="21"/>
        </w:rPr>
        <w:t>Islands</w:t>
      </w:r>
      <w:r>
        <w:rPr>
          <w:spacing w:val="-1"/>
          <w:sz w:val="21"/>
        </w:rPr>
        <w:t> </w:t>
      </w:r>
      <w:r>
        <w:rPr>
          <w:sz w:val="21"/>
        </w:rPr>
        <w:t>region</w:t>
      </w:r>
      <w:r>
        <w:rPr>
          <w:spacing w:val="-1"/>
          <w:sz w:val="21"/>
        </w:rPr>
        <w:t> </w:t>
      </w:r>
      <w:r>
        <w:rPr>
          <w:sz w:val="21"/>
        </w:rPr>
        <w:t>have lagged behind other regions in overall performance and employment opportunities.</w:t>
      </w:r>
      <w:r>
        <w:rPr>
          <w:spacing w:val="-12"/>
          <w:sz w:val="21"/>
        </w:rPr>
        <w:t> </w:t>
      </w:r>
      <w:hyperlink w:history="true" w:anchor="_bookmark572">
        <w:r>
          <w:rPr>
            <w:sz w:val="21"/>
            <w:vertAlign w:val="superscript"/>
          </w:rPr>
          <w:t>18</w:t>
        </w:r>
      </w:hyperlink>
      <w:r>
        <w:rPr>
          <w:sz w:val="21"/>
          <w:vertAlign w:val="baseline"/>
        </w:rPr>
        <w:t> The lack of job opportunities in these regions may lead many workers to commute to Boston for work. This lack of affordable public transportation may prevent youth, who are at the start of their careers and do not have significant</w:t>
      </w:r>
      <w:r>
        <w:rPr>
          <w:spacing w:val="-10"/>
          <w:sz w:val="21"/>
          <w:vertAlign w:val="baseline"/>
        </w:rPr>
        <w:t> </w:t>
      </w:r>
      <w:r>
        <w:rPr>
          <w:sz w:val="21"/>
          <w:vertAlign w:val="baseline"/>
        </w:rPr>
        <w:t>savings,</w:t>
      </w:r>
      <w:r>
        <w:rPr>
          <w:spacing w:val="-10"/>
          <w:sz w:val="21"/>
          <w:vertAlign w:val="baseline"/>
        </w:rPr>
        <w:t> </w:t>
      </w:r>
      <w:r>
        <w:rPr>
          <w:sz w:val="21"/>
          <w:vertAlign w:val="baseline"/>
        </w:rPr>
        <w:t>from</w:t>
      </w:r>
      <w:r>
        <w:rPr>
          <w:spacing w:val="-10"/>
          <w:sz w:val="21"/>
          <w:vertAlign w:val="baseline"/>
        </w:rPr>
        <w:t> </w:t>
      </w:r>
      <w:r>
        <w:rPr>
          <w:sz w:val="21"/>
          <w:vertAlign w:val="baseline"/>
        </w:rPr>
        <w:t>obtaining</w:t>
      </w:r>
      <w:r>
        <w:rPr>
          <w:spacing w:val="-11"/>
          <w:sz w:val="21"/>
          <w:vertAlign w:val="baseline"/>
        </w:rPr>
        <w:t> </w:t>
      </w:r>
      <w:r>
        <w:rPr>
          <w:sz w:val="21"/>
          <w:vertAlign w:val="baseline"/>
        </w:rPr>
        <w:t>a</w:t>
      </w:r>
      <w:r>
        <w:rPr>
          <w:spacing w:val="-10"/>
          <w:sz w:val="21"/>
          <w:vertAlign w:val="baseline"/>
        </w:rPr>
        <w:t> </w:t>
      </w:r>
      <w:r>
        <w:rPr>
          <w:sz w:val="21"/>
          <w:vertAlign w:val="baseline"/>
        </w:rPr>
        <w:t>job</w:t>
      </w:r>
      <w:r>
        <w:rPr>
          <w:spacing w:val="-10"/>
          <w:sz w:val="21"/>
          <w:vertAlign w:val="baseline"/>
        </w:rPr>
        <w:t> </w:t>
      </w:r>
      <w:r>
        <w:rPr>
          <w:sz w:val="21"/>
          <w:vertAlign w:val="baseline"/>
        </w:rPr>
        <w:t>that</w:t>
      </w:r>
      <w:r>
        <w:rPr>
          <w:spacing w:val="-10"/>
          <w:sz w:val="21"/>
          <w:vertAlign w:val="baseline"/>
        </w:rPr>
        <w:t> </w:t>
      </w:r>
      <w:r>
        <w:rPr>
          <w:sz w:val="21"/>
          <w:vertAlign w:val="baseline"/>
        </w:rPr>
        <w:t>leads</w:t>
      </w:r>
      <w:r>
        <w:rPr>
          <w:spacing w:val="-11"/>
          <w:sz w:val="21"/>
          <w:vertAlign w:val="baseline"/>
        </w:rPr>
        <w:t> </w:t>
      </w:r>
      <w:r>
        <w:rPr>
          <w:sz w:val="21"/>
          <w:vertAlign w:val="baseline"/>
        </w:rPr>
        <w:t>to</w:t>
      </w:r>
      <w:r>
        <w:rPr>
          <w:spacing w:val="-11"/>
          <w:sz w:val="21"/>
          <w:vertAlign w:val="baseline"/>
        </w:rPr>
        <w:t> </w:t>
      </w:r>
      <w:r>
        <w:rPr>
          <w:sz w:val="21"/>
          <w:vertAlign w:val="baseline"/>
        </w:rPr>
        <w:t>a</w:t>
      </w:r>
      <w:r>
        <w:rPr>
          <w:spacing w:val="-10"/>
          <w:sz w:val="21"/>
          <w:vertAlign w:val="baseline"/>
        </w:rPr>
        <w:t> </w:t>
      </w:r>
      <w:r>
        <w:rPr>
          <w:sz w:val="21"/>
          <w:vertAlign w:val="baseline"/>
        </w:rPr>
        <w:t>better</w:t>
      </w:r>
      <w:r>
        <w:rPr>
          <w:spacing w:val="-10"/>
          <w:sz w:val="21"/>
          <w:vertAlign w:val="baseline"/>
        </w:rPr>
        <w:t> </w:t>
      </w:r>
      <w:r>
        <w:rPr>
          <w:sz w:val="21"/>
          <w:vertAlign w:val="baseline"/>
        </w:rPr>
        <w:t>career</w:t>
      </w:r>
      <w:r>
        <w:rPr>
          <w:spacing w:val="-12"/>
          <w:sz w:val="21"/>
          <w:vertAlign w:val="baseline"/>
        </w:rPr>
        <w:t> </w:t>
      </w:r>
      <w:r>
        <w:rPr>
          <w:sz w:val="21"/>
          <w:vertAlign w:val="baseline"/>
        </w:rPr>
        <w:t>trajectory</w:t>
      </w:r>
      <w:r>
        <w:rPr>
          <w:spacing w:val="-11"/>
          <w:sz w:val="21"/>
          <w:vertAlign w:val="baseline"/>
        </w:rPr>
        <w:t> </w:t>
      </w:r>
      <w:r>
        <w:rPr>
          <w:sz w:val="21"/>
          <w:vertAlign w:val="baseline"/>
        </w:rPr>
        <w:t>in</w:t>
      </w:r>
      <w:r>
        <w:rPr>
          <w:spacing w:val="-10"/>
          <w:sz w:val="21"/>
          <w:vertAlign w:val="baseline"/>
        </w:rPr>
        <w:t> </w:t>
      </w:r>
      <w:r>
        <w:rPr>
          <w:sz w:val="21"/>
          <w:vertAlign w:val="baseline"/>
        </w:rPr>
        <w:t>Boston.</w:t>
      </w:r>
      <w:r>
        <w:rPr>
          <w:spacing w:val="-10"/>
          <w:sz w:val="21"/>
          <w:vertAlign w:val="baseline"/>
        </w:rPr>
        <w:t> </w:t>
      </w:r>
      <w:r>
        <w:rPr>
          <w:sz w:val="21"/>
          <w:vertAlign w:val="baseline"/>
        </w:rPr>
        <w:t>Remote</w:t>
      </w:r>
      <w:r>
        <w:rPr>
          <w:spacing w:val="-10"/>
          <w:sz w:val="21"/>
          <w:vertAlign w:val="baseline"/>
        </w:rPr>
        <w:t> </w:t>
      </w:r>
      <w:r>
        <w:rPr>
          <w:sz w:val="21"/>
          <w:vertAlign w:val="baseline"/>
        </w:rPr>
        <w:t>work</w:t>
      </w:r>
      <w:r>
        <w:rPr>
          <w:spacing w:val="-10"/>
          <w:sz w:val="21"/>
          <w:vertAlign w:val="baseline"/>
        </w:rPr>
        <w:t> </w:t>
      </w:r>
      <w:r>
        <w:rPr>
          <w:sz w:val="21"/>
          <w:vertAlign w:val="baseline"/>
        </w:rPr>
        <w:t>may remove the geographical barrier to employment; however, many companies have adopted hybrid schedules or are in favor of implementing return-to-office plans by the end of the year.</w:t>
      </w:r>
      <w:hyperlink w:history="true" w:anchor="_bookmark573">
        <w:r>
          <w:rPr>
            <w:sz w:val="21"/>
            <w:vertAlign w:val="superscript"/>
          </w:rPr>
          <w:t>19</w:t>
        </w:r>
      </w:hyperlink>
    </w:p>
    <w:p>
      <w:pPr>
        <w:spacing w:before="239"/>
        <w:ind w:left="464" w:right="0" w:firstLine="0"/>
        <w:jc w:val="left"/>
        <w:rPr>
          <w:sz w:val="28"/>
        </w:rPr>
      </w:pPr>
      <w:bookmarkStart w:name="Transportation" w:id="837"/>
      <w:bookmarkEnd w:id="837"/>
      <w:r>
        <w:rPr/>
      </w:r>
      <w:r>
        <w:rPr>
          <w:color w:val="365F91"/>
          <w:spacing w:val="-2"/>
          <w:sz w:val="28"/>
        </w:rPr>
        <w:t>Transportation</w:t>
      </w:r>
    </w:p>
    <w:p>
      <w:pPr>
        <w:spacing w:line="276" w:lineRule="auto" w:before="292"/>
        <w:ind w:left="464" w:right="200" w:firstLine="0"/>
        <w:jc w:val="both"/>
        <w:rPr>
          <w:sz w:val="21"/>
        </w:rPr>
      </w:pPr>
      <w:r>
        <w:rPr>
          <w:sz w:val="21"/>
        </w:rPr>
        <w:t>With</w:t>
      </w:r>
      <w:r>
        <w:rPr>
          <w:spacing w:val="-8"/>
          <w:sz w:val="21"/>
        </w:rPr>
        <w:t> </w:t>
      </w:r>
      <w:r>
        <w:rPr>
          <w:sz w:val="21"/>
        </w:rPr>
        <w:t>the</w:t>
      </w:r>
      <w:r>
        <w:rPr>
          <w:spacing w:val="-9"/>
          <w:sz w:val="21"/>
        </w:rPr>
        <w:t> </w:t>
      </w:r>
      <w:r>
        <w:rPr>
          <w:sz w:val="21"/>
        </w:rPr>
        <w:t>many</w:t>
      </w:r>
      <w:r>
        <w:rPr>
          <w:spacing w:val="-8"/>
          <w:sz w:val="21"/>
        </w:rPr>
        <w:t> </w:t>
      </w:r>
      <w:r>
        <w:rPr>
          <w:sz w:val="21"/>
        </w:rPr>
        <w:t>employment</w:t>
      </w:r>
      <w:r>
        <w:rPr>
          <w:spacing w:val="-7"/>
          <w:sz w:val="21"/>
        </w:rPr>
        <w:t> </w:t>
      </w:r>
      <w:r>
        <w:rPr>
          <w:sz w:val="21"/>
        </w:rPr>
        <w:t>opportunities</w:t>
      </w:r>
      <w:r>
        <w:rPr>
          <w:spacing w:val="-8"/>
          <w:sz w:val="21"/>
        </w:rPr>
        <w:t> </w:t>
      </w:r>
      <w:r>
        <w:rPr>
          <w:sz w:val="21"/>
        </w:rPr>
        <w:t>in</w:t>
      </w:r>
      <w:r>
        <w:rPr>
          <w:spacing w:val="-8"/>
          <w:sz w:val="21"/>
        </w:rPr>
        <w:t> </w:t>
      </w:r>
      <w:r>
        <w:rPr>
          <w:sz w:val="21"/>
        </w:rPr>
        <w:t>Boston,</w:t>
      </w:r>
      <w:r>
        <w:rPr>
          <w:spacing w:val="-7"/>
          <w:sz w:val="21"/>
        </w:rPr>
        <w:t> </w:t>
      </w:r>
      <w:r>
        <w:rPr>
          <w:sz w:val="21"/>
        </w:rPr>
        <w:t>workers</w:t>
      </w:r>
      <w:r>
        <w:rPr>
          <w:spacing w:val="-8"/>
          <w:sz w:val="21"/>
        </w:rPr>
        <w:t> </w:t>
      </w:r>
      <w:r>
        <w:rPr>
          <w:sz w:val="21"/>
        </w:rPr>
        <w:t>from</w:t>
      </w:r>
      <w:r>
        <w:rPr>
          <w:spacing w:val="-7"/>
          <w:sz w:val="21"/>
        </w:rPr>
        <w:t> </w:t>
      </w:r>
      <w:r>
        <w:rPr>
          <w:sz w:val="21"/>
        </w:rPr>
        <w:t>throughout</w:t>
      </w:r>
      <w:r>
        <w:rPr>
          <w:spacing w:val="-7"/>
          <w:sz w:val="21"/>
        </w:rPr>
        <w:t> </w:t>
      </w:r>
      <w:r>
        <w:rPr>
          <w:sz w:val="21"/>
        </w:rPr>
        <w:t>the</w:t>
      </w:r>
      <w:r>
        <w:rPr>
          <w:spacing w:val="-8"/>
          <w:sz w:val="21"/>
        </w:rPr>
        <w:t> </w:t>
      </w:r>
      <w:r>
        <w:rPr>
          <w:sz w:val="21"/>
        </w:rPr>
        <w:t>state</w:t>
      </w:r>
      <w:r>
        <w:rPr>
          <w:spacing w:val="-8"/>
          <w:sz w:val="21"/>
        </w:rPr>
        <w:t> </w:t>
      </w:r>
      <w:r>
        <w:rPr>
          <w:sz w:val="21"/>
        </w:rPr>
        <w:t>commute</w:t>
      </w:r>
      <w:r>
        <w:rPr>
          <w:spacing w:val="-9"/>
          <w:sz w:val="21"/>
        </w:rPr>
        <w:t> </w:t>
      </w:r>
      <w:r>
        <w:rPr>
          <w:sz w:val="21"/>
        </w:rPr>
        <w:t>into</w:t>
      </w:r>
      <w:r>
        <w:rPr>
          <w:spacing w:val="-8"/>
          <w:sz w:val="21"/>
        </w:rPr>
        <w:t> </w:t>
      </w:r>
      <w:r>
        <w:rPr>
          <w:sz w:val="21"/>
        </w:rPr>
        <w:t>the city for work, which has proven to be a barrier to employment. Riders of the MBTA have increasingly experienced frequent station shutdowns, slow zones, train breakdowns, line closures, and infrequent service.</w:t>
      </w:r>
      <w:hyperlink w:history="true" w:anchor="_bookmark574">
        <w:r>
          <w:rPr>
            <w:sz w:val="21"/>
            <w:vertAlign w:val="superscript"/>
          </w:rPr>
          <w:t>20</w:t>
        </w:r>
      </w:hyperlink>
      <w:r>
        <w:rPr>
          <w:spacing w:val="-2"/>
          <w:sz w:val="21"/>
          <w:vertAlign w:val="baseline"/>
        </w:rPr>
        <w:t> </w:t>
      </w:r>
      <w:r>
        <w:rPr>
          <w:sz w:val="21"/>
          <w:vertAlign w:val="baseline"/>
        </w:rPr>
        <w:t>Buses that transport commuters between closed stations are frequently blocked by traffic and parked</w:t>
      </w:r>
      <w:r>
        <w:rPr>
          <w:spacing w:val="-4"/>
          <w:sz w:val="21"/>
          <w:vertAlign w:val="baseline"/>
        </w:rPr>
        <w:t> </w:t>
      </w:r>
      <w:r>
        <w:rPr>
          <w:sz w:val="21"/>
          <w:vertAlign w:val="baseline"/>
        </w:rPr>
        <w:t>cars.</w:t>
      </w:r>
      <w:hyperlink w:history="true" w:anchor="_bookmark575">
        <w:r>
          <w:rPr>
            <w:sz w:val="21"/>
            <w:vertAlign w:val="superscript"/>
          </w:rPr>
          <w:t>21</w:t>
        </w:r>
      </w:hyperlink>
      <w:r>
        <w:rPr>
          <w:spacing w:val="-2"/>
          <w:sz w:val="21"/>
          <w:vertAlign w:val="baseline"/>
        </w:rPr>
        <w:t> </w:t>
      </w:r>
      <w:r>
        <w:rPr>
          <w:sz w:val="21"/>
          <w:vertAlign w:val="baseline"/>
        </w:rPr>
        <w:t>The</w:t>
      </w:r>
      <w:r>
        <w:rPr>
          <w:spacing w:val="-4"/>
          <w:sz w:val="21"/>
          <w:vertAlign w:val="baseline"/>
        </w:rPr>
        <w:t> </w:t>
      </w:r>
      <w:r>
        <w:rPr>
          <w:sz w:val="21"/>
          <w:vertAlign w:val="baseline"/>
        </w:rPr>
        <w:t>unreliability</w:t>
      </w:r>
      <w:r>
        <w:rPr>
          <w:spacing w:val="-5"/>
          <w:sz w:val="21"/>
          <w:vertAlign w:val="baseline"/>
        </w:rPr>
        <w:t> </w:t>
      </w:r>
      <w:r>
        <w:rPr>
          <w:sz w:val="21"/>
          <w:vertAlign w:val="baseline"/>
        </w:rPr>
        <w:t>of</w:t>
      </w:r>
      <w:r>
        <w:rPr>
          <w:spacing w:val="-5"/>
          <w:sz w:val="21"/>
          <w:vertAlign w:val="baseline"/>
        </w:rPr>
        <w:t> </w:t>
      </w:r>
      <w:r>
        <w:rPr>
          <w:sz w:val="21"/>
          <w:vertAlign w:val="baseline"/>
        </w:rPr>
        <w:t>the</w:t>
      </w:r>
      <w:r>
        <w:rPr>
          <w:spacing w:val="-6"/>
          <w:sz w:val="21"/>
          <w:vertAlign w:val="baseline"/>
        </w:rPr>
        <w:t> </w:t>
      </w:r>
      <w:r>
        <w:rPr>
          <w:sz w:val="21"/>
          <w:vertAlign w:val="baseline"/>
        </w:rPr>
        <w:t>MBTA</w:t>
      </w:r>
      <w:r>
        <w:rPr>
          <w:spacing w:val="-5"/>
          <w:sz w:val="21"/>
          <w:vertAlign w:val="baseline"/>
        </w:rPr>
        <w:t> </w:t>
      </w:r>
      <w:r>
        <w:rPr>
          <w:sz w:val="21"/>
          <w:vertAlign w:val="baseline"/>
        </w:rPr>
        <w:t>makes</w:t>
      </w:r>
      <w:r>
        <w:rPr>
          <w:spacing w:val="-5"/>
          <w:sz w:val="21"/>
          <w:vertAlign w:val="baseline"/>
        </w:rPr>
        <w:t> </w:t>
      </w:r>
      <w:r>
        <w:rPr>
          <w:sz w:val="21"/>
          <w:vertAlign w:val="baseline"/>
        </w:rPr>
        <w:t>it</w:t>
      </w:r>
      <w:r>
        <w:rPr>
          <w:spacing w:val="-5"/>
          <w:sz w:val="21"/>
          <w:vertAlign w:val="baseline"/>
        </w:rPr>
        <w:t> </w:t>
      </w:r>
      <w:r>
        <w:rPr>
          <w:sz w:val="21"/>
          <w:vertAlign w:val="baseline"/>
        </w:rPr>
        <w:t>difficult</w:t>
      </w:r>
      <w:r>
        <w:rPr>
          <w:spacing w:val="-4"/>
          <w:sz w:val="21"/>
          <w:vertAlign w:val="baseline"/>
        </w:rPr>
        <w:t> </w:t>
      </w:r>
      <w:r>
        <w:rPr>
          <w:sz w:val="21"/>
          <w:vertAlign w:val="baseline"/>
        </w:rPr>
        <w:t>to</w:t>
      </w:r>
      <w:r>
        <w:rPr>
          <w:spacing w:val="-6"/>
          <w:sz w:val="21"/>
          <w:vertAlign w:val="baseline"/>
        </w:rPr>
        <w:t> </w:t>
      </w:r>
      <w:r>
        <w:rPr>
          <w:sz w:val="21"/>
          <w:vertAlign w:val="baseline"/>
        </w:rPr>
        <w:t>use</w:t>
      </w:r>
      <w:r>
        <w:rPr>
          <w:spacing w:val="-4"/>
          <w:sz w:val="21"/>
          <w:vertAlign w:val="baseline"/>
        </w:rPr>
        <w:t> </w:t>
      </w:r>
      <w:r>
        <w:rPr>
          <w:sz w:val="21"/>
          <w:vertAlign w:val="baseline"/>
        </w:rPr>
        <w:t>public</w:t>
      </w:r>
      <w:r>
        <w:rPr>
          <w:spacing w:val="-4"/>
          <w:sz w:val="21"/>
          <w:vertAlign w:val="baseline"/>
        </w:rPr>
        <w:t> </w:t>
      </w:r>
      <w:r>
        <w:rPr>
          <w:sz w:val="21"/>
          <w:vertAlign w:val="baseline"/>
        </w:rPr>
        <w:t>transportation</w:t>
      </w:r>
      <w:r>
        <w:rPr>
          <w:spacing w:val="-4"/>
          <w:sz w:val="21"/>
          <w:vertAlign w:val="baseline"/>
        </w:rPr>
        <w:t> </w:t>
      </w:r>
      <w:r>
        <w:rPr>
          <w:sz w:val="21"/>
          <w:vertAlign w:val="baseline"/>
        </w:rPr>
        <w:t>to</w:t>
      </w:r>
      <w:r>
        <w:rPr>
          <w:spacing w:val="-5"/>
          <w:sz w:val="21"/>
          <w:vertAlign w:val="baseline"/>
        </w:rPr>
        <w:t> </w:t>
      </w:r>
      <w:r>
        <w:rPr>
          <w:sz w:val="21"/>
          <w:vertAlign w:val="baseline"/>
        </w:rPr>
        <w:t>commute</w:t>
      </w:r>
      <w:r>
        <w:rPr>
          <w:spacing w:val="-4"/>
          <w:sz w:val="21"/>
          <w:vertAlign w:val="baseline"/>
        </w:rPr>
        <w:t> </w:t>
      </w:r>
      <w:r>
        <w:rPr>
          <w:sz w:val="21"/>
          <w:vertAlign w:val="baseline"/>
        </w:rPr>
        <w:t>into Boston or, for those who live in the city, outside of Boston for work. In a Boston Globe interview, several MBTA</w:t>
      </w:r>
      <w:r>
        <w:rPr>
          <w:spacing w:val="-2"/>
          <w:sz w:val="21"/>
          <w:vertAlign w:val="baseline"/>
        </w:rPr>
        <w:t> </w:t>
      </w:r>
      <w:r>
        <w:rPr>
          <w:sz w:val="21"/>
          <w:vertAlign w:val="baseline"/>
        </w:rPr>
        <w:t>commuters</w:t>
      </w:r>
      <w:r>
        <w:rPr>
          <w:spacing w:val="-2"/>
          <w:sz w:val="21"/>
          <w:vertAlign w:val="baseline"/>
        </w:rPr>
        <w:t> </w:t>
      </w:r>
      <w:r>
        <w:rPr>
          <w:sz w:val="21"/>
          <w:vertAlign w:val="baseline"/>
        </w:rPr>
        <w:t>commented</w:t>
      </w:r>
      <w:r>
        <w:rPr>
          <w:spacing w:val="-2"/>
          <w:sz w:val="21"/>
          <w:vertAlign w:val="baseline"/>
        </w:rPr>
        <w:t> </w:t>
      </w:r>
      <w:r>
        <w:rPr>
          <w:sz w:val="21"/>
          <w:vertAlign w:val="baseline"/>
        </w:rPr>
        <w:t>on</w:t>
      </w:r>
      <w:r>
        <w:rPr>
          <w:spacing w:val="-2"/>
          <w:sz w:val="21"/>
          <w:vertAlign w:val="baseline"/>
        </w:rPr>
        <w:t> </w:t>
      </w:r>
      <w:r>
        <w:rPr>
          <w:sz w:val="21"/>
          <w:vertAlign w:val="baseline"/>
        </w:rPr>
        <w:t>the</w:t>
      </w:r>
      <w:r>
        <w:rPr>
          <w:spacing w:val="-3"/>
          <w:sz w:val="21"/>
          <w:vertAlign w:val="baseline"/>
        </w:rPr>
        <w:t> </w:t>
      </w:r>
      <w:r>
        <w:rPr>
          <w:sz w:val="21"/>
          <w:vertAlign w:val="baseline"/>
        </w:rPr>
        <w:t>recent</w:t>
      </w:r>
      <w:r>
        <w:rPr>
          <w:spacing w:val="-1"/>
          <w:sz w:val="21"/>
          <w:vertAlign w:val="baseline"/>
        </w:rPr>
        <w:t> </w:t>
      </w:r>
      <w:r>
        <w:rPr>
          <w:sz w:val="21"/>
          <w:vertAlign w:val="baseline"/>
        </w:rPr>
        <w:t>difficulties</w:t>
      </w:r>
      <w:r>
        <w:rPr>
          <w:spacing w:val="-1"/>
          <w:sz w:val="21"/>
          <w:vertAlign w:val="baseline"/>
        </w:rPr>
        <w:t> </w:t>
      </w:r>
      <w:r>
        <w:rPr>
          <w:sz w:val="21"/>
          <w:vertAlign w:val="baseline"/>
        </w:rPr>
        <w:t>of</w:t>
      </w:r>
      <w:r>
        <w:rPr>
          <w:spacing w:val="-2"/>
          <w:sz w:val="21"/>
          <w:vertAlign w:val="baseline"/>
        </w:rPr>
        <w:t> </w:t>
      </w:r>
      <w:r>
        <w:rPr>
          <w:sz w:val="21"/>
          <w:vertAlign w:val="baseline"/>
        </w:rPr>
        <w:t>traveling</w:t>
      </w:r>
      <w:r>
        <w:rPr>
          <w:spacing w:val="-2"/>
          <w:sz w:val="21"/>
          <w:vertAlign w:val="baseline"/>
        </w:rPr>
        <w:t> </w:t>
      </w:r>
      <w:r>
        <w:rPr>
          <w:sz w:val="21"/>
          <w:vertAlign w:val="baseline"/>
        </w:rPr>
        <w:t>to</w:t>
      </w:r>
      <w:r>
        <w:rPr>
          <w:spacing w:val="-2"/>
          <w:sz w:val="21"/>
          <w:vertAlign w:val="baseline"/>
        </w:rPr>
        <w:t> </w:t>
      </w:r>
      <w:r>
        <w:rPr>
          <w:sz w:val="21"/>
          <w:vertAlign w:val="baseline"/>
        </w:rPr>
        <w:t>work</w:t>
      </w:r>
      <w:r>
        <w:rPr>
          <w:spacing w:val="-1"/>
          <w:sz w:val="21"/>
          <w:vertAlign w:val="baseline"/>
        </w:rPr>
        <w:t> </w:t>
      </w:r>
      <w:r>
        <w:rPr>
          <w:sz w:val="21"/>
          <w:vertAlign w:val="baseline"/>
        </w:rPr>
        <w:t>in</w:t>
      </w:r>
      <w:r>
        <w:rPr>
          <w:spacing w:val="-2"/>
          <w:sz w:val="21"/>
          <w:vertAlign w:val="baseline"/>
        </w:rPr>
        <w:t> </w:t>
      </w:r>
      <w:r>
        <w:rPr>
          <w:sz w:val="21"/>
          <w:vertAlign w:val="baseline"/>
        </w:rPr>
        <w:t>Boston</w:t>
      </w:r>
      <w:r>
        <w:rPr>
          <w:spacing w:val="-2"/>
          <w:sz w:val="21"/>
          <w:vertAlign w:val="baseline"/>
        </w:rPr>
        <w:t> </w:t>
      </w:r>
      <w:r>
        <w:rPr>
          <w:sz w:val="21"/>
          <w:vertAlign w:val="baseline"/>
        </w:rPr>
        <w:t>and</w:t>
      </w:r>
      <w:r>
        <w:rPr>
          <w:spacing w:val="-2"/>
          <w:sz w:val="21"/>
          <w:vertAlign w:val="baseline"/>
        </w:rPr>
        <w:t> </w:t>
      </w:r>
      <w:r>
        <w:rPr>
          <w:sz w:val="21"/>
          <w:vertAlign w:val="baseline"/>
        </w:rPr>
        <w:t>shared</w:t>
      </w:r>
      <w:r>
        <w:rPr>
          <w:spacing w:val="-3"/>
          <w:sz w:val="21"/>
          <w:vertAlign w:val="baseline"/>
        </w:rPr>
        <w:t> </w:t>
      </w:r>
      <w:r>
        <w:rPr>
          <w:sz w:val="21"/>
          <w:vertAlign w:val="baseline"/>
        </w:rPr>
        <w:t>plans</w:t>
      </w:r>
      <w:r>
        <w:rPr>
          <w:spacing w:val="-2"/>
          <w:sz w:val="21"/>
          <w:vertAlign w:val="baseline"/>
        </w:rPr>
        <w:t> </w:t>
      </w:r>
      <w:r>
        <w:rPr>
          <w:sz w:val="21"/>
          <w:vertAlign w:val="baseline"/>
        </w:rPr>
        <w:t>of moving to cities that have more reliable transportation, even in inclement weather.</w:t>
      </w:r>
      <w:hyperlink w:history="true" w:anchor="_bookmark576">
        <w:r>
          <w:rPr>
            <w:sz w:val="21"/>
            <w:vertAlign w:val="superscript"/>
          </w:rPr>
          <w:t>22</w:t>
        </w:r>
      </w:hyperlink>
      <w:r>
        <w:rPr>
          <w:spacing w:val="-2"/>
          <w:sz w:val="21"/>
          <w:vertAlign w:val="baseline"/>
        </w:rPr>
        <w:t> </w:t>
      </w:r>
      <w:r>
        <w:rPr>
          <w:sz w:val="21"/>
          <w:vertAlign w:val="baseline"/>
        </w:rPr>
        <w:t>The unreliability of the</w:t>
      </w:r>
      <w:r>
        <w:rPr>
          <w:spacing w:val="-8"/>
          <w:sz w:val="21"/>
          <w:vertAlign w:val="baseline"/>
        </w:rPr>
        <w:t> </w:t>
      </w:r>
      <w:r>
        <w:rPr>
          <w:sz w:val="21"/>
          <w:vertAlign w:val="baseline"/>
        </w:rPr>
        <w:t>MBTA</w:t>
      </w:r>
      <w:r>
        <w:rPr>
          <w:spacing w:val="-7"/>
          <w:sz w:val="21"/>
          <w:vertAlign w:val="baseline"/>
        </w:rPr>
        <w:t> </w:t>
      </w:r>
      <w:r>
        <w:rPr>
          <w:sz w:val="21"/>
          <w:vertAlign w:val="baseline"/>
        </w:rPr>
        <w:t>risks</w:t>
      </w:r>
      <w:r>
        <w:rPr>
          <w:spacing w:val="-7"/>
          <w:sz w:val="21"/>
          <w:vertAlign w:val="baseline"/>
        </w:rPr>
        <w:t> </w:t>
      </w:r>
      <w:r>
        <w:rPr>
          <w:sz w:val="21"/>
          <w:vertAlign w:val="baseline"/>
        </w:rPr>
        <w:t>losing</w:t>
      </w:r>
      <w:r>
        <w:rPr>
          <w:spacing w:val="-7"/>
          <w:sz w:val="21"/>
          <w:vertAlign w:val="baseline"/>
        </w:rPr>
        <w:t> </w:t>
      </w:r>
      <w:r>
        <w:rPr>
          <w:sz w:val="21"/>
          <w:vertAlign w:val="baseline"/>
        </w:rPr>
        <w:t>workers</w:t>
      </w:r>
      <w:r>
        <w:rPr>
          <w:spacing w:val="-7"/>
          <w:sz w:val="21"/>
          <w:vertAlign w:val="baseline"/>
        </w:rPr>
        <w:t> </w:t>
      </w:r>
      <w:r>
        <w:rPr>
          <w:sz w:val="21"/>
          <w:vertAlign w:val="baseline"/>
        </w:rPr>
        <w:t>from</w:t>
      </w:r>
      <w:r>
        <w:rPr>
          <w:spacing w:val="-6"/>
          <w:sz w:val="21"/>
          <w:vertAlign w:val="baseline"/>
        </w:rPr>
        <w:t> </w:t>
      </w:r>
      <w:r>
        <w:rPr>
          <w:sz w:val="21"/>
          <w:vertAlign w:val="baseline"/>
        </w:rPr>
        <w:t>out</w:t>
      </w:r>
      <w:r>
        <w:rPr>
          <w:spacing w:val="-7"/>
          <w:sz w:val="21"/>
          <w:vertAlign w:val="baseline"/>
        </w:rPr>
        <w:t> </w:t>
      </w:r>
      <w:r>
        <w:rPr>
          <w:sz w:val="21"/>
          <w:vertAlign w:val="baseline"/>
        </w:rPr>
        <w:t>of</w:t>
      </w:r>
      <w:r>
        <w:rPr>
          <w:spacing w:val="-8"/>
          <w:sz w:val="21"/>
          <w:vertAlign w:val="baseline"/>
        </w:rPr>
        <w:t> </w:t>
      </w:r>
      <w:r>
        <w:rPr>
          <w:sz w:val="21"/>
          <w:vertAlign w:val="baseline"/>
        </w:rPr>
        <w:t>the</w:t>
      </w:r>
      <w:r>
        <w:rPr>
          <w:spacing w:val="-7"/>
          <w:sz w:val="21"/>
          <w:vertAlign w:val="baseline"/>
        </w:rPr>
        <w:t> </w:t>
      </w:r>
      <w:r>
        <w:rPr>
          <w:sz w:val="21"/>
          <w:vertAlign w:val="baseline"/>
        </w:rPr>
        <w:t>city,</w:t>
      </w:r>
      <w:r>
        <w:rPr>
          <w:spacing w:val="-7"/>
          <w:sz w:val="21"/>
          <w:vertAlign w:val="baseline"/>
        </w:rPr>
        <w:t> </w:t>
      </w:r>
      <w:r>
        <w:rPr>
          <w:sz w:val="21"/>
          <w:vertAlign w:val="baseline"/>
        </w:rPr>
        <w:t>especially</w:t>
      </w:r>
      <w:r>
        <w:rPr>
          <w:spacing w:val="-7"/>
          <w:sz w:val="21"/>
          <w:vertAlign w:val="baseline"/>
        </w:rPr>
        <w:t> </w:t>
      </w:r>
      <w:r>
        <w:rPr>
          <w:sz w:val="21"/>
          <w:vertAlign w:val="baseline"/>
        </w:rPr>
        <w:t>those</w:t>
      </w:r>
      <w:r>
        <w:rPr>
          <w:spacing w:val="-7"/>
          <w:sz w:val="21"/>
          <w:vertAlign w:val="baseline"/>
        </w:rPr>
        <w:t> </w:t>
      </w:r>
      <w:r>
        <w:rPr>
          <w:sz w:val="21"/>
          <w:vertAlign w:val="baseline"/>
        </w:rPr>
        <w:t>without</w:t>
      </w:r>
      <w:r>
        <w:rPr>
          <w:spacing w:val="-6"/>
          <w:sz w:val="21"/>
          <w:vertAlign w:val="baseline"/>
        </w:rPr>
        <w:t> </w:t>
      </w:r>
      <w:r>
        <w:rPr>
          <w:sz w:val="21"/>
          <w:vertAlign w:val="baseline"/>
        </w:rPr>
        <w:t>other</w:t>
      </w:r>
      <w:r>
        <w:rPr>
          <w:spacing w:val="-8"/>
          <w:sz w:val="21"/>
          <w:vertAlign w:val="baseline"/>
        </w:rPr>
        <w:t> </w:t>
      </w:r>
      <w:r>
        <w:rPr>
          <w:sz w:val="21"/>
          <w:vertAlign w:val="baseline"/>
        </w:rPr>
        <w:t>means</w:t>
      </w:r>
      <w:r>
        <w:rPr>
          <w:spacing w:val="-7"/>
          <w:sz w:val="21"/>
          <w:vertAlign w:val="baseline"/>
        </w:rPr>
        <w:t> </w:t>
      </w:r>
      <w:r>
        <w:rPr>
          <w:sz w:val="21"/>
          <w:vertAlign w:val="baseline"/>
        </w:rPr>
        <w:t>of</w:t>
      </w:r>
      <w:r>
        <w:rPr>
          <w:spacing w:val="-7"/>
          <w:sz w:val="21"/>
          <w:vertAlign w:val="baseline"/>
        </w:rPr>
        <w:t> </w:t>
      </w:r>
      <w:r>
        <w:rPr>
          <w:sz w:val="21"/>
          <w:vertAlign w:val="baseline"/>
        </w:rPr>
        <w:t>transportation.</w:t>
      </w:r>
    </w:p>
    <w:p>
      <w:pPr>
        <w:spacing w:line="276" w:lineRule="auto" w:before="240"/>
        <w:ind w:left="464" w:right="199" w:firstLine="0"/>
        <w:jc w:val="both"/>
        <w:rPr>
          <w:sz w:val="21"/>
        </w:rPr>
      </w:pPr>
      <w:r>
        <w:rPr>
          <w:sz w:val="21"/>
        </w:rPr>
        <w:t>For</w:t>
      </w:r>
      <w:r>
        <w:rPr>
          <w:spacing w:val="-9"/>
          <w:sz w:val="21"/>
        </w:rPr>
        <w:t> </w:t>
      </w:r>
      <w:r>
        <w:rPr>
          <w:sz w:val="21"/>
        </w:rPr>
        <w:t>youth</w:t>
      </w:r>
      <w:r>
        <w:rPr>
          <w:spacing w:val="-9"/>
          <w:sz w:val="21"/>
        </w:rPr>
        <w:t> </w:t>
      </w:r>
      <w:r>
        <w:rPr>
          <w:sz w:val="21"/>
        </w:rPr>
        <w:t>who</w:t>
      </w:r>
      <w:r>
        <w:rPr>
          <w:spacing w:val="-9"/>
          <w:sz w:val="21"/>
        </w:rPr>
        <w:t> </w:t>
      </w:r>
      <w:r>
        <w:rPr>
          <w:sz w:val="21"/>
        </w:rPr>
        <w:t>come</w:t>
      </w:r>
      <w:r>
        <w:rPr>
          <w:spacing w:val="-9"/>
          <w:sz w:val="21"/>
        </w:rPr>
        <w:t> </w:t>
      </w:r>
      <w:r>
        <w:rPr>
          <w:sz w:val="21"/>
        </w:rPr>
        <w:t>from</w:t>
      </w:r>
      <w:r>
        <w:rPr>
          <w:spacing w:val="-9"/>
          <w:sz w:val="21"/>
        </w:rPr>
        <w:t> </w:t>
      </w:r>
      <w:r>
        <w:rPr>
          <w:sz w:val="21"/>
        </w:rPr>
        <w:t>low-income</w:t>
      </w:r>
      <w:r>
        <w:rPr>
          <w:spacing w:val="-9"/>
          <w:sz w:val="21"/>
        </w:rPr>
        <w:t> </w:t>
      </w:r>
      <w:r>
        <w:rPr>
          <w:sz w:val="21"/>
        </w:rPr>
        <w:t>socio-economic</w:t>
      </w:r>
      <w:r>
        <w:rPr>
          <w:spacing w:val="-9"/>
          <w:sz w:val="21"/>
        </w:rPr>
        <w:t> </w:t>
      </w:r>
      <w:r>
        <w:rPr>
          <w:sz w:val="21"/>
        </w:rPr>
        <w:t>backgrounds</w:t>
      </w:r>
      <w:r>
        <w:rPr>
          <w:spacing w:val="-9"/>
          <w:sz w:val="21"/>
        </w:rPr>
        <w:t> </w:t>
      </w:r>
      <w:r>
        <w:rPr>
          <w:sz w:val="21"/>
        </w:rPr>
        <w:t>and</w:t>
      </w:r>
      <w:r>
        <w:rPr>
          <w:spacing w:val="-9"/>
          <w:sz w:val="21"/>
        </w:rPr>
        <w:t> </w:t>
      </w:r>
      <w:r>
        <w:rPr>
          <w:sz w:val="21"/>
        </w:rPr>
        <w:t>for</w:t>
      </w:r>
      <w:r>
        <w:rPr>
          <w:spacing w:val="-9"/>
          <w:sz w:val="21"/>
        </w:rPr>
        <w:t> </w:t>
      </w:r>
      <w:r>
        <w:rPr>
          <w:sz w:val="21"/>
        </w:rPr>
        <w:t>those</w:t>
      </w:r>
      <w:r>
        <w:rPr>
          <w:spacing w:val="-9"/>
          <w:sz w:val="21"/>
        </w:rPr>
        <w:t> </w:t>
      </w:r>
      <w:r>
        <w:rPr>
          <w:sz w:val="21"/>
        </w:rPr>
        <w:t>without</w:t>
      </w:r>
      <w:r>
        <w:rPr>
          <w:spacing w:val="-9"/>
          <w:sz w:val="21"/>
        </w:rPr>
        <w:t> </w:t>
      </w:r>
      <w:r>
        <w:rPr>
          <w:sz w:val="21"/>
        </w:rPr>
        <w:t>familial</w:t>
      </w:r>
      <w:r>
        <w:rPr>
          <w:spacing w:val="-9"/>
          <w:sz w:val="21"/>
        </w:rPr>
        <w:t> </w:t>
      </w:r>
      <w:r>
        <w:rPr>
          <w:sz w:val="21"/>
        </w:rPr>
        <w:t>support, such as LGBTQ youth who have been rejected by their families based on their identity, purchasing a car is not</w:t>
      </w:r>
      <w:r>
        <w:rPr>
          <w:spacing w:val="-12"/>
          <w:sz w:val="21"/>
        </w:rPr>
        <w:t> </w:t>
      </w:r>
      <w:r>
        <w:rPr>
          <w:sz w:val="21"/>
        </w:rPr>
        <w:t>an</w:t>
      </w:r>
      <w:r>
        <w:rPr>
          <w:spacing w:val="-12"/>
          <w:sz w:val="21"/>
        </w:rPr>
        <w:t> </w:t>
      </w:r>
      <w:r>
        <w:rPr>
          <w:sz w:val="21"/>
        </w:rPr>
        <w:t>option.</w:t>
      </w:r>
      <w:r>
        <w:rPr>
          <w:spacing w:val="-12"/>
          <w:sz w:val="21"/>
        </w:rPr>
        <w:t> </w:t>
      </w:r>
      <w:r>
        <w:rPr>
          <w:sz w:val="21"/>
        </w:rPr>
        <w:t>The</w:t>
      </w:r>
      <w:r>
        <w:rPr>
          <w:spacing w:val="-12"/>
          <w:sz w:val="21"/>
        </w:rPr>
        <w:t> </w:t>
      </w:r>
      <w:r>
        <w:rPr>
          <w:sz w:val="21"/>
        </w:rPr>
        <w:t>reliance</w:t>
      </w:r>
      <w:r>
        <w:rPr>
          <w:spacing w:val="-12"/>
          <w:sz w:val="21"/>
        </w:rPr>
        <w:t> </w:t>
      </w:r>
      <w:r>
        <w:rPr>
          <w:sz w:val="21"/>
        </w:rPr>
        <w:t>of</w:t>
      </w:r>
      <w:r>
        <w:rPr>
          <w:spacing w:val="-12"/>
          <w:sz w:val="21"/>
        </w:rPr>
        <w:t> </w:t>
      </w:r>
      <w:r>
        <w:rPr>
          <w:sz w:val="21"/>
        </w:rPr>
        <w:t>marginalized</w:t>
      </w:r>
      <w:r>
        <w:rPr>
          <w:spacing w:val="-12"/>
          <w:sz w:val="21"/>
        </w:rPr>
        <w:t> </w:t>
      </w:r>
      <w:r>
        <w:rPr>
          <w:sz w:val="21"/>
        </w:rPr>
        <w:t>youth</w:t>
      </w:r>
      <w:r>
        <w:rPr>
          <w:spacing w:val="-11"/>
          <w:sz w:val="21"/>
        </w:rPr>
        <w:t> </w:t>
      </w:r>
      <w:r>
        <w:rPr>
          <w:sz w:val="21"/>
        </w:rPr>
        <w:t>on</w:t>
      </w:r>
      <w:r>
        <w:rPr>
          <w:spacing w:val="-12"/>
          <w:sz w:val="21"/>
        </w:rPr>
        <w:t> </w:t>
      </w:r>
      <w:r>
        <w:rPr>
          <w:sz w:val="21"/>
        </w:rPr>
        <w:t>public</w:t>
      </w:r>
      <w:r>
        <w:rPr>
          <w:spacing w:val="-12"/>
          <w:sz w:val="21"/>
        </w:rPr>
        <w:t> </w:t>
      </w:r>
      <w:r>
        <w:rPr>
          <w:sz w:val="21"/>
        </w:rPr>
        <w:t>transportation</w:t>
      </w:r>
      <w:r>
        <w:rPr>
          <w:spacing w:val="-12"/>
          <w:sz w:val="21"/>
        </w:rPr>
        <w:t> </w:t>
      </w:r>
      <w:r>
        <w:rPr>
          <w:sz w:val="21"/>
        </w:rPr>
        <w:t>underscores</w:t>
      </w:r>
      <w:r>
        <w:rPr>
          <w:spacing w:val="-12"/>
          <w:sz w:val="21"/>
        </w:rPr>
        <w:t> </w:t>
      </w:r>
      <w:r>
        <w:rPr>
          <w:sz w:val="21"/>
        </w:rPr>
        <w:t>the</w:t>
      </w:r>
      <w:r>
        <w:rPr>
          <w:spacing w:val="-12"/>
          <w:sz w:val="21"/>
        </w:rPr>
        <w:t> </w:t>
      </w:r>
      <w:r>
        <w:rPr>
          <w:sz w:val="21"/>
        </w:rPr>
        <w:t>need</w:t>
      </w:r>
      <w:r>
        <w:rPr>
          <w:spacing w:val="-12"/>
          <w:sz w:val="21"/>
        </w:rPr>
        <w:t> </w:t>
      </w:r>
      <w:r>
        <w:rPr>
          <w:sz w:val="21"/>
        </w:rPr>
        <w:t>to</w:t>
      </w:r>
      <w:r>
        <w:rPr>
          <w:spacing w:val="-12"/>
          <w:sz w:val="21"/>
        </w:rPr>
        <w:t> </w:t>
      </w:r>
      <w:r>
        <w:rPr>
          <w:sz w:val="21"/>
        </w:rPr>
        <w:t>improve the</w:t>
      </w:r>
      <w:r>
        <w:rPr>
          <w:spacing w:val="-8"/>
          <w:sz w:val="21"/>
        </w:rPr>
        <w:t> </w:t>
      </w:r>
      <w:r>
        <w:rPr>
          <w:sz w:val="21"/>
        </w:rPr>
        <w:t>MBTA</w:t>
      </w:r>
      <w:r>
        <w:rPr>
          <w:spacing w:val="-8"/>
          <w:sz w:val="21"/>
        </w:rPr>
        <w:t> </w:t>
      </w:r>
      <w:r>
        <w:rPr>
          <w:sz w:val="21"/>
        </w:rPr>
        <w:t>and</w:t>
      </w:r>
      <w:r>
        <w:rPr>
          <w:spacing w:val="-8"/>
          <w:sz w:val="21"/>
        </w:rPr>
        <w:t> </w:t>
      </w:r>
      <w:r>
        <w:rPr>
          <w:sz w:val="21"/>
        </w:rPr>
        <w:t>provide</w:t>
      </w:r>
      <w:r>
        <w:rPr>
          <w:spacing w:val="-8"/>
          <w:sz w:val="21"/>
        </w:rPr>
        <w:t> </w:t>
      </w:r>
      <w:r>
        <w:rPr>
          <w:sz w:val="21"/>
        </w:rPr>
        <w:t>additional</w:t>
      </w:r>
      <w:r>
        <w:rPr>
          <w:spacing w:val="-8"/>
          <w:sz w:val="21"/>
        </w:rPr>
        <w:t> </w:t>
      </w:r>
      <w:r>
        <w:rPr>
          <w:sz w:val="21"/>
        </w:rPr>
        <w:t>means</w:t>
      </w:r>
      <w:r>
        <w:rPr>
          <w:spacing w:val="-8"/>
          <w:sz w:val="21"/>
        </w:rPr>
        <w:t> </w:t>
      </w:r>
      <w:r>
        <w:rPr>
          <w:sz w:val="21"/>
        </w:rPr>
        <w:t>of</w:t>
      </w:r>
      <w:r>
        <w:rPr>
          <w:spacing w:val="-8"/>
          <w:sz w:val="21"/>
        </w:rPr>
        <w:t> </w:t>
      </w:r>
      <w:r>
        <w:rPr>
          <w:sz w:val="21"/>
        </w:rPr>
        <w:t>public</w:t>
      </w:r>
      <w:r>
        <w:rPr>
          <w:spacing w:val="-8"/>
          <w:sz w:val="21"/>
        </w:rPr>
        <w:t> </w:t>
      </w:r>
      <w:r>
        <w:rPr>
          <w:sz w:val="21"/>
        </w:rPr>
        <w:t>transit</w:t>
      </w:r>
      <w:r>
        <w:rPr>
          <w:spacing w:val="-8"/>
          <w:sz w:val="21"/>
        </w:rPr>
        <w:t> </w:t>
      </w:r>
      <w:r>
        <w:rPr>
          <w:sz w:val="21"/>
        </w:rPr>
        <w:t>until</w:t>
      </w:r>
      <w:r>
        <w:rPr>
          <w:spacing w:val="-8"/>
          <w:sz w:val="21"/>
        </w:rPr>
        <w:t> </w:t>
      </w:r>
      <w:r>
        <w:rPr>
          <w:sz w:val="21"/>
        </w:rPr>
        <w:t>improvements</w:t>
      </w:r>
      <w:r>
        <w:rPr>
          <w:spacing w:val="-8"/>
          <w:sz w:val="21"/>
        </w:rPr>
        <w:t> </w:t>
      </w:r>
      <w:r>
        <w:rPr>
          <w:sz w:val="21"/>
        </w:rPr>
        <w:t>have</w:t>
      </w:r>
      <w:r>
        <w:rPr>
          <w:spacing w:val="-8"/>
          <w:sz w:val="21"/>
        </w:rPr>
        <w:t> </w:t>
      </w:r>
      <w:r>
        <w:rPr>
          <w:sz w:val="21"/>
        </w:rPr>
        <w:t>been</w:t>
      </w:r>
      <w:r>
        <w:rPr>
          <w:spacing w:val="-8"/>
          <w:sz w:val="21"/>
        </w:rPr>
        <w:t> </w:t>
      </w:r>
      <w:r>
        <w:rPr>
          <w:sz w:val="21"/>
        </w:rPr>
        <w:t>fully</w:t>
      </w:r>
      <w:r>
        <w:rPr>
          <w:spacing w:val="-8"/>
          <w:sz w:val="21"/>
        </w:rPr>
        <w:t> </w:t>
      </w:r>
      <w:r>
        <w:rPr>
          <w:sz w:val="21"/>
        </w:rPr>
        <w:t>implemented. Considering</w:t>
      </w:r>
      <w:r>
        <w:rPr>
          <w:spacing w:val="-4"/>
          <w:sz w:val="21"/>
        </w:rPr>
        <w:t> </w:t>
      </w:r>
      <w:r>
        <w:rPr>
          <w:sz w:val="21"/>
        </w:rPr>
        <w:t>that</w:t>
      </w:r>
      <w:r>
        <w:rPr>
          <w:spacing w:val="-4"/>
          <w:sz w:val="21"/>
        </w:rPr>
        <w:t> </w:t>
      </w:r>
      <w:r>
        <w:rPr>
          <w:sz w:val="21"/>
        </w:rPr>
        <w:t>the</w:t>
      </w:r>
      <w:r>
        <w:rPr>
          <w:spacing w:val="-4"/>
          <w:sz w:val="21"/>
        </w:rPr>
        <w:t> </w:t>
      </w:r>
      <w:r>
        <w:rPr>
          <w:sz w:val="21"/>
        </w:rPr>
        <w:t>MBTA</w:t>
      </w:r>
      <w:r>
        <w:rPr>
          <w:spacing w:val="-5"/>
          <w:sz w:val="21"/>
        </w:rPr>
        <w:t> </w:t>
      </w:r>
      <w:r>
        <w:rPr>
          <w:sz w:val="21"/>
        </w:rPr>
        <w:t>reported</w:t>
      </w:r>
      <w:r>
        <w:rPr>
          <w:spacing w:val="-3"/>
          <w:sz w:val="21"/>
        </w:rPr>
        <w:t> </w:t>
      </w:r>
      <w:r>
        <w:rPr>
          <w:sz w:val="21"/>
        </w:rPr>
        <w:t>needing</w:t>
      </w:r>
      <w:r>
        <w:rPr>
          <w:spacing w:val="-4"/>
          <w:sz w:val="21"/>
        </w:rPr>
        <w:t> </w:t>
      </w:r>
      <w:r>
        <w:rPr>
          <w:sz w:val="21"/>
        </w:rPr>
        <w:t>$24.5</w:t>
      </w:r>
      <w:r>
        <w:rPr>
          <w:spacing w:val="-3"/>
          <w:sz w:val="21"/>
        </w:rPr>
        <w:t> </w:t>
      </w:r>
      <w:r>
        <w:rPr>
          <w:sz w:val="21"/>
        </w:rPr>
        <w:t>billion</w:t>
      </w:r>
      <w:r>
        <w:rPr>
          <w:spacing w:val="-3"/>
          <w:sz w:val="21"/>
        </w:rPr>
        <w:t> </w:t>
      </w:r>
      <w:r>
        <w:rPr>
          <w:sz w:val="21"/>
        </w:rPr>
        <w:t>to</w:t>
      </w:r>
      <w:r>
        <w:rPr>
          <w:spacing w:val="-3"/>
          <w:sz w:val="21"/>
        </w:rPr>
        <w:t> </w:t>
      </w:r>
      <w:r>
        <w:rPr>
          <w:sz w:val="21"/>
        </w:rPr>
        <w:t>fully</w:t>
      </w:r>
      <w:r>
        <w:rPr>
          <w:spacing w:val="-5"/>
          <w:sz w:val="21"/>
        </w:rPr>
        <w:t> </w:t>
      </w:r>
      <w:r>
        <w:rPr>
          <w:sz w:val="21"/>
        </w:rPr>
        <w:t>repair</w:t>
      </w:r>
      <w:r>
        <w:rPr>
          <w:spacing w:val="-3"/>
          <w:sz w:val="21"/>
        </w:rPr>
        <w:t> </w:t>
      </w:r>
      <w:r>
        <w:rPr>
          <w:sz w:val="21"/>
        </w:rPr>
        <w:t>its</w:t>
      </w:r>
      <w:r>
        <w:rPr>
          <w:spacing w:val="-5"/>
          <w:sz w:val="21"/>
        </w:rPr>
        <w:t> </w:t>
      </w:r>
      <w:r>
        <w:rPr>
          <w:sz w:val="21"/>
        </w:rPr>
        <w:t>system,</w:t>
      </w:r>
      <w:hyperlink w:history="true" w:anchor="_bookmark577">
        <w:r>
          <w:rPr>
            <w:sz w:val="21"/>
            <w:vertAlign w:val="superscript"/>
          </w:rPr>
          <w:t>23</w:t>
        </w:r>
      </w:hyperlink>
      <w:r>
        <w:rPr>
          <w:spacing w:val="-2"/>
          <w:sz w:val="21"/>
          <w:vertAlign w:val="baseline"/>
        </w:rPr>
        <w:t> </w:t>
      </w:r>
      <w:r>
        <w:rPr>
          <w:sz w:val="21"/>
          <w:vertAlign w:val="baseline"/>
        </w:rPr>
        <w:t>commuters</w:t>
      </w:r>
      <w:r>
        <w:rPr>
          <w:spacing w:val="-5"/>
          <w:sz w:val="21"/>
          <w:vertAlign w:val="baseline"/>
        </w:rPr>
        <w:t> </w:t>
      </w:r>
      <w:r>
        <w:rPr>
          <w:sz w:val="21"/>
          <w:vertAlign w:val="baseline"/>
        </w:rPr>
        <w:t>will</w:t>
      </w:r>
      <w:r>
        <w:rPr>
          <w:spacing w:val="-3"/>
          <w:sz w:val="21"/>
          <w:vertAlign w:val="baseline"/>
        </w:rPr>
        <w:t> </w:t>
      </w:r>
      <w:r>
        <w:rPr>
          <w:sz w:val="21"/>
          <w:vertAlign w:val="baseline"/>
        </w:rPr>
        <w:t>likely suffer from public transportation issues for the near future.</w:t>
      </w:r>
    </w:p>
    <w:p>
      <w:pPr>
        <w:spacing w:line="276" w:lineRule="auto" w:before="240"/>
        <w:ind w:left="464" w:right="199" w:firstLine="0"/>
        <w:jc w:val="both"/>
        <w:rPr>
          <w:sz w:val="21"/>
        </w:rPr>
      </w:pPr>
      <w:r>
        <w:rPr>
          <w:sz w:val="21"/>
        </w:rPr>
        <w:t>Public</w:t>
      </w:r>
      <w:r>
        <w:rPr>
          <w:spacing w:val="-4"/>
          <w:sz w:val="21"/>
        </w:rPr>
        <w:t> </w:t>
      </w:r>
      <w:r>
        <w:rPr>
          <w:sz w:val="21"/>
        </w:rPr>
        <w:t>transportation</w:t>
      </w:r>
      <w:r>
        <w:rPr>
          <w:spacing w:val="-4"/>
          <w:sz w:val="21"/>
        </w:rPr>
        <w:t> </w:t>
      </w:r>
      <w:r>
        <w:rPr>
          <w:sz w:val="21"/>
        </w:rPr>
        <w:t>is</w:t>
      </w:r>
      <w:r>
        <w:rPr>
          <w:spacing w:val="-5"/>
          <w:sz w:val="21"/>
        </w:rPr>
        <w:t> </w:t>
      </w:r>
      <w:r>
        <w:rPr>
          <w:sz w:val="21"/>
        </w:rPr>
        <w:t>even</w:t>
      </w:r>
      <w:r>
        <w:rPr>
          <w:spacing w:val="-5"/>
          <w:sz w:val="21"/>
        </w:rPr>
        <w:t> </w:t>
      </w:r>
      <w:r>
        <w:rPr>
          <w:sz w:val="21"/>
        </w:rPr>
        <w:t>less</w:t>
      </w:r>
      <w:r>
        <w:rPr>
          <w:spacing w:val="-5"/>
          <w:sz w:val="21"/>
        </w:rPr>
        <w:t> </w:t>
      </w:r>
      <w:r>
        <w:rPr>
          <w:sz w:val="21"/>
        </w:rPr>
        <w:t>accessible</w:t>
      </w:r>
      <w:r>
        <w:rPr>
          <w:spacing w:val="-4"/>
          <w:sz w:val="21"/>
        </w:rPr>
        <w:t> </w:t>
      </w:r>
      <w:r>
        <w:rPr>
          <w:sz w:val="21"/>
        </w:rPr>
        <w:t>for</w:t>
      </w:r>
      <w:r>
        <w:rPr>
          <w:spacing w:val="-4"/>
          <w:sz w:val="21"/>
        </w:rPr>
        <w:t> </w:t>
      </w:r>
      <w:r>
        <w:rPr>
          <w:sz w:val="21"/>
        </w:rPr>
        <w:t>those</w:t>
      </w:r>
      <w:r>
        <w:rPr>
          <w:spacing w:val="-4"/>
          <w:sz w:val="21"/>
        </w:rPr>
        <w:t> </w:t>
      </w:r>
      <w:r>
        <w:rPr>
          <w:sz w:val="21"/>
        </w:rPr>
        <w:t>in</w:t>
      </w:r>
      <w:r>
        <w:rPr>
          <w:spacing w:val="-5"/>
          <w:sz w:val="21"/>
        </w:rPr>
        <w:t> </w:t>
      </w:r>
      <w:r>
        <w:rPr>
          <w:sz w:val="21"/>
        </w:rPr>
        <w:t>Western</w:t>
      </w:r>
      <w:r>
        <w:rPr>
          <w:spacing w:val="-4"/>
          <w:sz w:val="21"/>
        </w:rPr>
        <w:t> </w:t>
      </w:r>
      <w:r>
        <w:rPr>
          <w:sz w:val="21"/>
        </w:rPr>
        <w:t>MA</w:t>
      </w:r>
      <w:r>
        <w:rPr>
          <w:spacing w:val="-6"/>
          <w:sz w:val="21"/>
        </w:rPr>
        <w:t> </w:t>
      </w:r>
      <w:r>
        <w:rPr>
          <w:sz w:val="21"/>
        </w:rPr>
        <w:t>and</w:t>
      </w:r>
      <w:r>
        <w:rPr>
          <w:spacing w:val="-4"/>
          <w:sz w:val="21"/>
        </w:rPr>
        <w:t> </w:t>
      </w:r>
      <w:r>
        <w:rPr>
          <w:sz w:val="21"/>
        </w:rPr>
        <w:t>rural</w:t>
      </w:r>
      <w:r>
        <w:rPr>
          <w:spacing w:val="-6"/>
          <w:sz w:val="21"/>
        </w:rPr>
        <w:t> </w:t>
      </w:r>
      <w:r>
        <w:rPr>
          <w:sz w:val="21"/>
        </w:rPr>
        <w:t>areas.</w:t>
      </w:r>
      <w:r>
        <w:rPr>
          <w:spacing w:val="-4"/>
          <w:sz w:val="21"/>
        </w:rPr>
        <w:t> </w:t>
      </w:r>
      <w:r>
        <w:rPr>
          <w:sz w:val="21"/>
        </w:rPr>
        <w:t>Those</w:t>
      </w:r>
      <w:r>
        <w:rPr>
          <w:spacing w:val="-4"/>
          <w:sz w:val="21"/>
        </w:rPr>
        <w:t> </w:t>
      </w:r>
      <w:r>
        <w:rPr>
          <w:sz w:val="21"/>
        </w:rPr>
        <w:t>who</w:t>
      </w:r>
      <w:r>
        <w:rPr>
          <w:spacing w:val="-4"/>
          <w:sz w:val="21"/>
        </w:rPr>
        <w:t> </w:t>
      </w:r>
      <w:r>
        <w:rPr>
          <w:sz w:val="21"/>
        </w:rPr>
        <w:t>commute to Boston for work may have to drive</w:t>
      </w:r>
      <w:r>
        <w:rPr>
          <w:spacing w:val="-1"/>
          <w:sz w:val="21"/>
        </w:rPr>
        <w:t> </w:t>
      </w:r>
      <w:r>
        <w:rPr>
          <w:sz w:val="21"/>
        </w:rPr>
        <w:t>hundreds of miles and spend</w:t>
      </w:r>
      <w:r>
        <w:rPr>
          <w:spacing w:val="-1"/>
          <w:sz w:val="21"/>
        </w:rPr>
        <w:t> </w:t>
      </w:r>
      <w:r>
        <w:rPr>
          <w:sz w:val="21"/>
        </w:rPr>
        <w:t>hundreds of dollars on gas alone every week, before even taking into consideration the cost of parking.</w:t>
      </w:r>
      <w:hyperlink w:history="true" w:anchor="_bookmark578">
        <w:r>
          <w:rPr>
            <w:sz w:val="21"/>
            <w:vertAlign w:val="superscript"/>
          </w:rPr>
          <w:t>24</w:t>
        </w:r>
      </w:hyperlink>
      <w:r>
        <w:rPr>
          <w:spacing w:val="-1"/>
          <w:sz w:val="21"/>
          <w:vertAlign w:val="baseline"/>
        </w:rPr>
        <w:t> </w:t>
      </w:r>
      <w:r>
        <w:rPr>
          <w:sz w:val="21"/>
          <w:vertAlign w:val="baseline"/>
        </w:rPr>
        <w:t>With the contrast between job market growth</w:t>
      </w:r>
      <w:r>
        <w:rPr>
          <w:spacing w:val="24"/>
          <w:sz w:val="21"/>
          <w:vertAlign w:val="baseline"/>
        </w:rPr>
        <w:t> </w:t>
      </w:r>
      <w:r>
        <w:rPr>
          <w:sz w:val="21"/>
          <w:vertAlign w:val="baseline"/>
        </w:rPr>
        <w:t>in</w:t>
      </w:r>
      <w:r>
        <w:rPr>
          <w:spacing w:val="24"/>
          <w:sz w:val="21"/>
          <w:vertAlign w:val="baseline"/>
        </w:rPr>
        <w:t> </w:t>
      </w:r>
      <w:r>
        <w:rPr>
          <w:sz w:val="21"/>
          <w:vertAlign w:val="baseline"/>
        </w:rPr>
        <w:t>Boston</w:t>
      </w:r>
      <w:r>
        <w:rPr>
          <w:spacing w:val="24"/>
          <w:sz w:val="21"/>
          <w:vertAlign w:val="baseline"/>
        </w:rPr>
        <w:t> </w:t>
      </w:r>
      <w:r>
        <w:rPr>
          <w:sz w:val="21"/>
          <w:vertAlign w:val="baseline"/>
        </w:rPr>
        <w:t>and</w:t>
      </w:r>
      <w:r>
        <w:rPr>
          <w:spacing w:val="23"/>
          <w:sz w:val="21"/>
          <w:vertAlign w:val="baseline"/>
        </w:rPr>
        <w:t> </w:t>
      </w:r>
      <w:r>
        <w:rPr>
          <w:sz w:val="21"/>
          <w:vertAlign w:val="baseline"/>
        </w:rPr>
        <w:t>decline</w:t>
      </w:r>
      <w:r>
        <w:rPr>
          <w:spacing w:val="24"/>
          <w:sz w:val="21"/>
          <w:vertAlign w:val="baseline"/>
        </w:rPr>
        <w:t> </w:t>
      </w:r>
      <w:r>
        <w:rPr>
          <w:sz w:val="21"/>
          <w:vertAlign w:val="baseline"/>
        </w:rPr>
        <w:t>in</w:t>
      </w:r>
      <w:r>
        <w:rPr>
          <w:spacing w:val="24"/>
          <w:sz w:val="21"/>
          <w:vertAlign w:val="baseline"/>
        </w:rPr>
        <w:t> </w:t>
      </w:r>
      <w:r>
        <w:rPr>
          <w:sz w:val="21"/>
          <w:vertAlign w:val="baseline"/>
        </w:rPr>
        <w:t>Western</w:t>
      </w:r>
      <w:r>
        <w:rPr>
          <w:spacing w:val="24"/>
          <w:sz w:val="21"/>
          <w:vertAlign w:val="baseline"/>
        </w:rPr>
        <w:t> </w:t>
      </w:r>
      <w:r>
        <w:rPr>
          <w:sz w:val="21"/>
          <w:vertAlign w:val="baseline"/>
        </w:rPr>
        <w:t>MA,</w:t>
      </w:r>
      <w:r>
        <w:rPr>
          <w:spacing w:val="23"/>
          <w:sz w:val="21"/>
          <w:vertAlign w:val="baseline"/>
        </w:rPr>
        <w:t> </w:t>
      </w:r>
      <w:r>
        <w:rPr>
          <w:sz w:val="21"/>
          <w:vertAlign w:val="baseline"/>
        </w:rPr>
        <w:t>workers</w:t>
      </w:r>
      <w:r>
        <w:rPr>
          <w:spacing w:val="23"/>
          <w:sz w:val="21"/>
          <w:vertAlign w:val="baseline"/>
        </w:rPr>
        <w:t> </w:t>
      </w:r>
      <w:r>
        <w:rPr>
          <w:sz w:val="21"/>
          <w:vertAlign w:val="baseline"/>
        </w:rPr>
        <w:t>who</w:t>
      </w:r>
      <w:r>
        <w:rPr>
          <w:spacing w:val="24"/>
          <w:sz w:val="21"/>
          <w:vertAlign w:val="baseline"/>
        </w:rPr>
        <w:t> </w:t>
      </w:r>
      <w:r>
        <w:rPr>
          <w:sz w:val="21"/>
          <w:vertAlign w:val="baseline"/>
        </w:rPr>
        <w:t>seek</w:t>
      </w:r>
      <w:r>
        <w:rPr>
          <w:spacing w:val="24"/>
          <w:sz w:val="21"/>
          <w:vertAlign w:val="baseline"/>
        </w:rPr>
        <w:t> </w:t>
      </w:r>
      <w:r>
        <w:rPr>
          <w:sz w:val="21"/>
          <w:vertAlign w:val="baseline"/>
        </w:rPr>
        <w:t>a</w:t>
      </w:r>
      <w:r>
        <w:rPr>
          <w:spacing w:val="23"/>
          <w:sz w:val="21"/>
          <w:vertAlign w:val="baseline"/>
        </w:rPr>
        <w:t> </w:t>
      </w:r>
      <w:r>
        <w:rPr>
          <w:sz w:val="21"/>
          <w:vertAlign w:val="baseline"/>
        </w:rPr>
        <w:t>career</w:t>
      </w:r>
      <w:r>
        <w:rPr>
          <w:spacing w:val="24"/>
          <w:sz w:val="21"/>
          <w:vertAlign w:val="baseline"/>
        </w:rPr>
        <w:t> </w:t>
      </w:r>
      <w:r>
        <w:rPr>
          <w:sz w:val="21"/>
          <w:vertAlign w:val="baseline"/>
        </w:rPr>
        <w:t>instead</w:t>
      </w:r>
      <w:r>
        <w:rPr>
          <w:spacing w:val="24"/>
          <w:sz w:val="21"/>
          <w:vertAlign w:val="baseline"/>
        </w:rPr>
        <w:t> </w:t>
      </w:r>
      <w:r>
        <w:rPr>
          <w:sz w:val="21"/>
          <w:vertAlign w:val="baseline"/>
        </w:rPr>
        <w:t>of</w:t>
      </w:r>
      <w:r>
        <w:rPr>
          <w:spacing w:val="23"/>
          <w:sz w:val="21"/>
          <w:vertAlign w:val="baseline"/>
        </w:rPr>
        <w:t> </w:t>
      </w:r>
      <w:r>
        <w:rPr>
          <w:sz w:val="21"/>
          <w:vertAlign w:val="baseline"/>
        </w:rPr>
        <w:t>a</w:t>
      </w:r>
      <w:r>
        <w:rPr>
          <w:spacing w:val="23"/>
          <w:sz w:val="21"/>
          <w:vertAlign w:val="baseline"/>
        </w:rPr>
        <w:t> </w:t>
      </w:r>
      <w:r>
        <w:rPr>
          <w:sz w:val="21"/>
          <w:vertAlign w:val="baseline"/>
        </w:rPr>
        <w:t>minimum</w:t>
      </w:r>
      <w:r>
        <w:rPr>
          <w:spacing w:val="24"/>
          <w:sz w:val="21"/>
          <w:vertAlign w:val="baseline"/>
        </w:rPr>
        <w:t> </w:t>
      </w:r>
      <w:r>
        <w:rPr>
          <w:sz w:val="21"/>
          <w:vertAlign w:val="baseline"/>
        </w:rPr>
        <w:t>wage</w:t>
      </w:r>
    </w:p>
    <w:p>
      <w:pPr>
        <w:spacing w:after="0" w:line="276" w:lineRule="auto"/>
        <w:jc w:val="both"/>
        <w:rPr>
          <w:sz w:val="21"/>
        </w:rPr>
        <w:sectPr>
          <w:pgSz w:w="12240" w:h="15840"/>
          <w:pgMar w:header="763" w:footer="1041" w:top="1380" w:bottom="1240" w:left="1120" w:right="1380"/>
        </w:sectPr>
      </w:pPr>
    </w:p>
    <w:p>
      <w:pPr>
        <w:spacing w:line="276" w:lineRule="auto" w:before="47"/>
        <w:ind w:left="464" w:right="199" w:hanging="1"/>
        <w:jc w:val="both"/>
        <w:rPr>
          <w:sz w:val="21"/>
        </w:rPr>
      </w:pPr>
      <w:r>
        <w:rPr>
          <w:sz w:val="21"/>
        </w:rPr>
        <w:t>position may have no option but to commute to the city; this leaves behind those from marginalized communities</w:t>
      </w:r>
      <w:r>
        <w:rPr>
          <w:spacing w:val="-5"/>
          <w:sz w:val="21"/>
        </w:rPr>
        <w:t> </w:t>
      </w:r>
      <w:r>
        <w:rPr>
          <w:sz w:val="21"/>
        </w:rPr>
        <w:t>in</w:t>
      </w:r>
      <w:r>
        <w:rPr>
          <w:spacing w:val="-4"/>
          <w:sz w:val="21"/>
        </w:rPr>
        <w:t> </w:t>
      </w:r>
      <w:r>
        <w:rPr>
          <w:sz w:val="21"/>
        </w:rPr>
        <w:t>Western</w:t>
      </w:r>
      <w:r>
        <w:rPr>
          <w:spacing w:val="-6"/>
          <w:sz w:val="21"/>
        </w:rPr>
        <w:t> </w:t>
      </w:r>
      <w:r>
        <w:rPr>
          <w:sz w:val="21"/>
        </w:rPr>
        <w:t>MA</w:t>
      </w:r>
      <w:r>
        <w:rPr>
          <w:spacing w:val="-5"/>
          <w:sz w:val="21"/>
        </w:rPr>
        <w:t> </w:t>
      </w:r>
      <w:r>
        <w:rPr>
          <w:sz w:val="21"/>
        </w:rPr>
        <w:t>and</w:t>
      </w:r>
      <w:r>
        <w:rPr>
          <w:spacing w:val="-4"/>
          <w:sz w:val="21"/>
        </w:rPr>
        <w:t> </w:t>
      </w:r>
      <w:r>
        <w:rPr>
          <w:sz w:val="21"/>
        </w:rPr>
        <w:t>rural</w:t>
      </w:r>
      <w:r>
        <w:rPr>
          <w:spacing w:val="-6"/>
          <w:sz w:val="21"/>
        </w:rPr>
        <w:t> </w:t>
      </w:r>
      <w:r>
        <w:rPr>
          <w:sz w:val="21"/>
        </w:rPr>
        <w:t>areas</w:t>
      </w:r>
      <w:r>
        <w:rPr>
          <w:spacing w:val="-5"/>
          <w:sz w:val="21"/>
        </w:rPr>
        <w:t> </w:t>
      </w:r>
      <w:r>
        <w:rPr>
          <w:sz w:val="21"/>
        </w:rPr>
        <w:t>who</w:t>
      </w:r>
      <w:r>
        <w:rPr>
          <w:spacing w:val="-5"/>
          <w:sz w:val="21"/>
        </w:rPr>
        <w:t> </w:t>
      </w:r>
      <w:r>
        <w:rPr>
          <w:sz w:val="21"/>
        </w:rPr>
        <w:t>cannot</w:t>
      </w:r>
      <w:r>
        <w:rPr>
          <w:spacing w:val="-4"/>
          <w:sz w:val="21"/>
        </w:rPr>
        <w:t> </w:t>
      </w:r>
      <w:r>
        <w:rPr>
          <w:sz w:val="21"/>
        </w:rPr>
        <w:t>finance</w:t>
      </w:r>
      <w:r>
        <w:rPr>
          <w:spacing w:val="-4"/>
          <w:sz w:val="21"/>
        </w:rPr>
        <w:t> </w:t>
      </w:r>
      <w:r>
        <w:rPr>
          <w:sz w:val="21"/>
        </w:rPr>
        <w:t>a</w:t>
      </w:r>
      <w:r>
        <w:rPr>
          <w:spacing w:val="-5"/>
          <w:sz w:val="21"/>
        </w:rPr>
        <w:t> </w:t>
      </w:r>
      <w:r>
        <w:rPr>
          <w:sz w:val="21"/>
        </w:rPr>
        <w:t>car,</w:t>
      </w:r>
      <w:r>
        <w:rPr>
          <w:spacing w:val="-4"/>
          <w:sz w:val="21"/>
        </w:rPr>
        <w:t> </w:t>
      </w:r>
      <w:r>
        <w:rPr>
          <w:sz w:val="21"/>
        </w:rPr>
        <w:t>driving</w:t>
      </w:r>
      <w:r>
        <w:rPr>
          <w:spacing w:val="-5"/>
          <w:sz w:val="21"/>
        </w:rPr>
        <w:t> </w:t>
      </w:r>
      <w:r>
        <w:rPr>
          <w:sz w:val="21"/>
        </w:rPr>
        <w:t>hundreds</w:t>
      </w:r>
      <w:r>
        <w:rPr>
          <w:spacing w:val="-5"/>
          <w:sz w:val="21"/>
        </w:rPr>
        <w:t> </w:t>
      </w:r>
      <w:r>
        <w:rPr>
          <w:sz w:val="21"/>
        </w:rPr>
        <w:t>of</w:t>
      </w:r>
      <w:r>
        <w:rPr>
          <w:spacing w:val="-5"/>
          <w:sz w:val="21"/>
        </w:rPr>
        <w:t> </w:t>
      </w:r>
      <w:r>
        <w:rPr>
          <w:sz w:val="21"/>
        </w:rPr>
        <w:t>miles</w:t>
      </w:r>
      <w:r>
        <w:rPr>
          <w:spacing w:val="-5"/>
          <w:sz w:val="21"/>
        </w:rPr>
        <w:t> </w:t>
      </w:r>
      <w:r>
        <w:rPr>
          <w:sz w:val="21"/>
        </w:rPr>
        <w:t>per</w:t>
      </w:r>
      <w:r>
        <w:rPr>
          <w:spacing w:val="-4"/>
          <w:sz w:val="21"/>
        </w:rPr>
        <w:t> </w:t>
      </w:r>
      <w:r>
        <w:rPr>
          <w:sz w:val="21"/>
        </w:rPr>
        <w:t>week, and the high cost of parking in Boston. Youth workers in high school and at the start of their careers may lack</w:t>
      </w:r>
      <w:r>
        <w:rPr>
          <w:spacing w:val="-3"/>
          <w:sz w:val="21"/>
        </w:rPr>
        <w:t> </w:t>
      </w:r>
      <w:r>
        <w:rPr>
          <w:sz w:val="21"/>
        </w:rPr>
        <w:t>the</w:t>
      </w:r>
      <w:r>
        <w:rPr>
          <w:spacing w:val="-3"/>
          <w:sz w:val="21"/>
        </w:rPr>
        <w:t> </w:t>
      </w:r>
      <w:r>
        <w:rPr>
          <w:sz w:val="21"/>
        </w:rPr>
        <w:t>resources</w:t>
      </w:r>
      <w:r>
        <w:rPr>
          <w:spacing w:val="-4"/>
          <w:sz w:val="21"/>
        </w:rPr>
        <w:t> </w:t>
      </w:r>
      <w:r>
        <w:rPr>
          <w:sz w:val="21"/>
        </w:rPr>
        <w:t>necessary</w:t>
      </w:r>
      <w:r>
        <w:rPr>
          <w:spacing w:val="-3"/>
          <w:sz w:val="21"/>
        </w:rPr>
        <w:t> </w:t>
      </w:r>
      <w:r>
        <w:rPr>
          <w:sz w:val="21"/>
        </w:rPr>
        <w:t>to</w:t>
      </w:r>
      <w:r>
        <w:rPr>
          <w:spacing w:val="-3"/>
          <w:sz w:val="21"/>
        </w:rPr>
        <w:t> </w:t>
      </w:r>
      <w:r>
        <w:rPr>
          <w:sz w:val="21"/>
        </w:rPr>
        <w:t>regularly</w:t>
      </w:r>
      <w:r>
        <w:rPr>
          <w:spacing w:val="-2"/>
          <w:sz w:val="21"/>
        </w:rPr>
        <w:t> </w:t>
      </w:r>
      <w:r>
        <w:rPr>
          <w:sz w:val="21"/>
        </w:rPr>
        <w:t>commute</w:t>
      </w:r>
      <w:r>
        <w:rPr>
          <w:spacing w:val="-3"/>
          <w:sz w:val="21"/>
        </w:rPr>
        <w:t> </w:t>
      </w:r>
      <w:r>
        <w:rPr>
          <w:sz w:val="21"/>
        </w:rPr>
        <w:t>to</w:t>
      </w:r>
      <w:r>
        <w:rPr>
          <w:spacing w:val="-3"/>
          <w:sz w:val="21"/>
        </w:rPr>
        <w:t> </w:t>
      </w:r>
      <w:r>
        <w:rPr>
          <w:sz w:val="21"/>
        </w:rPr>
        <w:t>the</w:t>
      </w:r>
      <w:r>
        <w:rPr>
          <w:spacing w:val="-3"/>
          <w:sz w:val="21"/>
        </w:rPr>
        <w:t> </w:t>
      </w:r>
      <w:r>
        <w:rPr>
          <w:sz w:val="21"/>
        </w:rPr>
        <w:t>city.</w:t>
      </w:r>
      <w:r>
        <w:rPr>
          <w:spacing w:val="-3"/>
          <w:sz w:val="21"/>
        </w:rPr>
        <w:t> </w:t>
      </w:r>
      <w:r>
        <w:rPr>
          <w:sz w:val="21"/>
        </w:rPr>
        <w:t>Additional</w:t>
      </w:r>
      <w:r>
        <w:rPr>
          <w:spacing w:val="-3"/>
          <w:sz w:val="21"/>
        </w:rPr>
        <w:t> </w:t>
      </w:r>
      <w:r>
        <w:rPr>
          <w:sz w:val="21"/>
        </w:rPr>
        <w:t>resources</w:t>
      </w:r>
      <w:r>
        <w:rPr>
          <w:spacing w:val="-4"/>
          <w:sz w:val="21"/>
        </w:rPr>
        <w:t> </w:t>
      </w:r>
      <w:r>
        <w:rPr>
          <w:sz w:val="21"/>
        </w:rPr>
        <w:t>should</w:t>
      </w:r>
      <w:r>
        <w:rPr>
          <w:spacing w:val="-3"/>
          <w:sz w:val="21"/>
        </w:rPr>
        <w:t> </w:t>
      </w:r>
      <w:r>
        <w:rPr>
          <w:sz w:val="21"/>
        </w:rPr>
        <w:t>be</w:t>
      </w:r>
      <w:r>
        <w:rPr>
          <w:spacing w:val="-3"/>
          <w:sz w:val="21"/>
        </w:rPr>
        <w:t> </w:t>
      </w:r>
      <w:r>
        <w:rPr>
          <w:sz w:val="21"/>
        </w:rPr>
        <w:t>provided</w:t>
      </w:r>
      <w:r>
        <w:rPr>
          <w:spacing w:val="-3"/>
          <w:sz w:val="21"/>
        </w:rPr>
        <w:t> </w:t>
      </w:r>
      <w:r>
        <w:rPr>
          <w:sz w:val="21"/>
        </w:rPr>
        <w:t>for employment transportation in support of workplace development for youth.</w:t>
      </w:r>
    </w:p>
    <w:p>
      <w:pPr>
        <w:spacing w:before="239"/>
        <w:ind w:left="464" w:right="0" w:firstLine="0"/>
        <w:jc w:val="both"/>
        <w:rPr>
          <w:sz w:val="28"/>
        </w:rPr>
      </w:pPr>
      <w:bookmarkStart w:name="Housing and Rental Markets" w:id="838"/>
      <w:bookmarkEnd w:id="838"/>
      <w:r>
        <w:rPr/>
      </w:r>
      <w:r>
        <w:rPr>
          <w:color w:val="365F91"/>
          <w:sz w:val="28"/>
        </w:rPr>
        <w:t>Housing</w:t>
      </w:r>
      <w:r>
        <w:rPr>
          <w:color w:val="365F91"/>
          <w:spacing w:val="-9"/>
          <w:sz w:val="28"/>
        </w:rPr>
        <w:t> </w:t>
      </w:r>
      <w:r>
        <w:rPr>
          <w:color w:val="365F91"/>
          <w:sz w:val="28"/>
        </w:rPr>
        <w:t>and</w:t>
      </w:r>
      <w:r>
        <w:rPr>
          <w:color w:val="365F91"/>
          <w:spacing w:val="-10"/>
          <w:sz w:val="28"/>
        </w:rPr>
        <w:t> </w:t>
      </w:r>
      <w:r>
        <w:rPr>
          <w:color w:val="365F91"/>
          <w:sz w:val="28"/>
        </w:rPr>
        <w:t>Rental</w:t>
      </w:r>
      <w:r>
        <w:rPr>
          <w:color w:val="365F91"/>
          <w:spacing w:val="-7"/>
          <w:sz w:val="28"/>
        </w:rPr>
        <w:t> </w:t>
      </w:r>
      <w:r>
        <w:rPr>
          <w:color w:val="365F91"/>
          <w:spacing w:val="-2"/>
          <w:sz w:val="28"/>
        </w:rPr>
        <w:t>Markets</w:t>
      </w:r>
    </w:p>
    <w:p>
      <w:pPr>
        <w:spacing w:line="276" w:lineRule="auto" w:before="293"/>
        <w:ind w:left="463" w:right="201" w:firstLine="0"/>
        <w:jc w:val="both"/>
        <w:rPr>
          <w:sz w:val="21"/>
        </w:rPr>
      </w:pPr>
      <w:r>
        <w:rPr>
          <w:sz w:val="21"/>
        </w:rPr>
        <w:t>Despite the difficulties of commuting into the city, many choose the commute over the increasingly expensive costs of buying a home or renting an apartment in or near Boston. The MA housing market has seen</w:t>
      </w:r>
      <w:r>
        <w:rPr>
          <w:spacing w:val="-7"/>
          <w:sz w:val="21"/>
        </w:rPr>
        <w:t> </w:t>
      </w:r>
      <w:r>
        <w:rPr>
          <w:sz w:val="21"/>
        </w:rPr>
        <w:t>a</w:t>
      </w:r>
      <w:r>
        <w:rPr>
          <w:spacing w:val="-6"/>
          <w:sz w:val="21"/>
        </w:rPr>
        <w:t> </w:t>
      </w:r>
      <w:r>
        <w:rPr>
          <w:sz w:val="21"/>
        </w:rPr>
        <w:t>9.7%</w:t>
      </w:r>
      <w:r>
        <w:rPr>
          <w:spacing w:val="-8"/>
          <w:sz w:val="21"/>
        </w:rPr>
        <w:t> </w:t>
      </w:r>
      <w:r>
        <w:rPr>
          <w:sz w:val="21"/>
        </w:rPr>
        <w:t>increase</w:t>
      </w:r>
      <w:r>
        <w:rPr>
          <w:spacing w:val="-7"/>
          <w:sz w:val="21"/>
        </w:rPr>
        <w:t> </w:t>
      </w:r>
      <w:r>
        <w:rPr>
          <w:sz w:val="21"/>
        </w:rPr>
        <w:t>in</w:t>
      </w:r>
      <w:r>
        <w:rPr>
          <w:spacing w:val="-7"/>
          <w:sz w:val="21"/>
        </w:rPr>
        <w:t> </w:t>
      </w:r>
      <w:r>
        <w:rPr>
          <w:sz w:val="21"/>
        </w:rPr>
        <w:t>the</w:t>
      </w:r>
      <w:r>
        <w:rPr>
          <w:spacing w:val="-9"/>
          <w:sz w:val="21"/>
        </w:rPr>
        <w:t> </w:t>
      </w:r>
      <w:r>
        <w:rPr>
          <w:sz w:val="21"/>
        </w:rPr>
        <w:t>median</w:t>
      </w:r>
      <w:r>
        <w:rPr>
          <w:spacing w:val="-7"/>
          <w:sz w:val="21"/>
        </w:rPr>
        <w:t> </w:t>
      </w:r>
      <w:r>
        <w:rPr>
          <w:sz w:val="21"/>
        </w:rPr>
        <w:t>price</w:t>
      </w:r>
      <w:r>
        <w:rPr>
          <w:spacing w:val="-8"/>
          <w:sz w:val="21"/>
        </w:rPr>
        <w:t> </w:t>
      </w:r>
      <w:r>
        <w:rPr>
          <w:sz w:val="21"/>
        </w:rPr>
        <w:t>of</w:t>
      </w:r>
      <w:r>
        <w:rPr>
          <w:spacing w:val="-7"/>
          <w:sz w:val="21"/>
        </w:rPr>
        <w:t> </w:t>
      </w:r>
      <w:r>
        <w:rPr>
          <w:sz w:val="21"/>
        </w:rPr>
        <w:t>homes</w:t>
      </w:r>
      <w:r>
        <w:rPr>
          <w:spacing w:val="-7"/>
          <w:sz w:val="21"/>
        </w:rPr>
        <w:t> </w:t>
      </w:r>
      <w:r>
        <w:rPr>
          <w:sz w:val="21"/>
        </w:rPr>
        <w:t>in</w:t>
      </w:r>
      <w:r>
        <w:rPr>
          <w:spacing w:val="-7"/>
          <w:sz w:val="21"/>
        </w:rPr>
        <w:t> </w:t>
      </w:r>
      <w:r>
        <w:rPr>
          <w:sz w:val="21"/>
        </w:rPr>
        <w:t>February</w:t>
      </w:r>
      <w:r>
        <w:rPr>
          <w:spacing w:val="-7"/>
          <w:sz w:val="21"/>
        </w:rPr>
        <w:t> </w:t>
      </w:r>
      <w:r>
        <w:rPr>
          <w:sz w:val="21"/>
        </w:rPr>
        <w:t>2024</w:t>
      </w:r>
      <w:r>
        <w:rPr>
          <w:spacing w:val="-9"/>
          <w:sz w:val="21"/>
        </w:rPr>
        <w:t> </w:t>
      </w:r>
      <w:r>
        <w:rPr>
          <w:sz w:val="21"/>
        </w:rPr>
        <w:t>since</w:t>
      </w:r>
      <w:r>
        <w:rPr>
          <w:spacing w:val="-7"/>
          <w:sz w:val="21"/>
        </w:rPr>
        <w:t> </w:t>
      </w:r>
      <w:r>
        <w:rPr>
          <w:sz w:val="21"/>
        </w:rPr>
        <w:t>February</w:t>
      </w:r>
      <w:r>
        <w:rPr>
          <w:spacing w:val="-7"/>
          <w:sz w:val="21"/>
        </w:rPr>
        <w:t> </w:t>
      </w:r>
      <w:r>
        <w:rPr>
          <w:sz w:val="21"/>
        </w:rPr>
        <w:t>2023,</w:t>
      </w:r>
      <w:hyperlink w:history="true" w:anchor="_bookmark579">
        <w:r>
          <w:rPr>
            <w:sz w:val="21"/>
            <w:vertAlign w:val="superscript"/>
          </w:rPr>
          <w:t>25</w:t>
        </w:r>
      </w:hyperlink>
      <w:r>
        <w:rPr>
          <w:spacing w:val="-2"/>
          <w:sz w:val="21"/>
          <w:vertAlign w:val="baseline"/>
        </w:rPr>
        <w:t> </w:t>
      </w:r>
      <w:r>
        <w:rPr>
          <w:sz w:val="21"/>
          <w:vertAlign w:val="baseline"/>
        </w:rPr>
        <w:t>the</w:t>
      </w:r>
      <w:r>
        <w:rPr>
          <w:spacing w:val="-7"/>
          <w:sz w:val="21"/>
          <w:vertAlign w:val="baseline"/>
        </w:rPr>
        <w:t> </w:t>
      </w:r>
      <w:r>
        <w:rPr>
          <w:sz w:val="21"/>
          <w:vertAlign w:val="baseline"/>
        </w:rPr>
        <w:t>demand</w:t>
      </w:r>
      <w:r>
        <w:rPr>
          <w:spacing w:val="-7"/>
          <w:sz w:val="21"/>
          <w:vertAlign w:val="baseline"/>
        </w:rPr>
        <w:t> </w:t>
      </w:r>
      <w:r>
        <w:rPr>
          <w:sz w:val="21"/>
          <w:vertAlign w:val="baseline"/>
        </w:rPr>
        <w:t>for homes greatly outpaces the supply of them,</w:t>
      </w:r>
      <w:hyperlink w:history="true" w:anchor="_bookmark580">
        <w:r>
          <w:rPr>
            <w:sz w:val="21"/>
            <w:vertAlign w:val="superscript"/>
          </w:rPr>
          <w:t>26</w:t>
        </w:r>
      </w:hyperlink>
      <w:r>
        <w:rPr>
          <w:spacing w:val="-1"/>
          <w:sz w:val="21"/>
          <w:vertAlign w:val="baseline"/>
        </w:rPr>
        <w:t> </w:t>
      </w:r>
      <w:r>
        <w:rPr>
          <w:sz w:val="21"/>
          <w:vertAlign w:val="baseline"/>
        </w:rPr>
        <w:t>and mortgage rates more than doubling in 2023.</w:t>
      </w:r>
      <w:hyperlink w:history="true" w:anchor="_bookmark581">
        <w:r>
          <w:rPr>
            <w:sz w:val="21"/>
            <w:vertAlign w:val="superscript"/>
          </w:rPr>
          <w:t>27</w:t>
        </w:r>
      </w:hyperlink>
      <w:r>
        <w:rPr>
          <w:spacing w:val="-1"/>
          <w:sz w:val="21"/>
          <w:vertAlign w:val="baseline"/>
        </w:rPr>
        <w:t> </w:t>
      </w:r>
      <w:r>
        <w:rPr>
          <w:sz w:val="21"/>
          <w:vertAlign w:val="baseline"/>
        </w:rPr>
        <w:t>A recent Redfin study reveals that homebuyers in the metro Boston area need</w:t>
      </w:r>
      <w:r>
        <w:rPr>
          <w:spacing w:val="-1"/>
          <w:sz w:val="21"/>
          <w:vertAlign w:val="baseline"/>
        </w:rPr>
        <w:t> </w:t>
      </w:r>
      <w:r>
        <w:rPr>
          <w:sz w:val="21"/>
          <w:vertAlign w:val="baseline"/>
        </w:rPr>
        <w:t>a salary of $194k to afford a median priced home, while that number is $119k in the area around Worcester.</w:t>
      </w:r>
      <w:hyperlink w:history="true" w:anchor="_bookmark582">
        <w:r>
          <w:rPr>
            <w:sz w:val="21"/>
            <w:vertAlign w:val="superscript"/>
          </w:rPr>
          <w:t>28</w:t>
        </w:r>
      </w:hyperlink>
      <w:r>
        <w:rPr>
          <w:spacing w:val="-2"/>
          <w:sz w:val="21"/>
          <w:vertAlign w:val="baseline"/>
        </w:rPr>
        <w:t> </w:t>
      </w:r>
      <w:r>
        <w:rPr>
          <w:sz w:val="21"/>
          <w:vertAlign w:val="baseline"/>
        </w:rPr>
        <w:t>These salaries are difficult for youth to obtain: the median salary for Generation Z (ages 18-27) is $40k,</w:t>
      </w:r>
      <w:hyperlink w:history="true" w:anchor="_bookmark583">
        <w:r>
          <w:rPr>
            <w:sz w:val="21"/>
            <w:vertAlign w:val="superscript"/>
          </w:rPr>
          <w:t>29</w:t>
        </w:r>
      </w:hyperlink>
      <w:r>
        <w:rPr>
          <w:spacing w:val="-1"/>
          <w:sz w:val="21"/>
          <w:vertAlign w:val="baseline"/>
        </w:rPr>
        <w:t> </w:t>
      </w:r>
      <w:r>
        <w:rPr>
          <w:sz w:val="21"/>
          <w:vertAlign w:val="baseline"/>
        </w:rPr>
        <w:t>making it difficult for youth to put down</w:t>
      </w:r>
      <w:r>
        <w:rPr>
          <w:spacing w:val="-1"/>
          <w:sz w:val="21"/>
          <w:vertAlign w:val="baseline"/>
        </w:rPr>
        <w:t> </w:t>
      </w:r>
      <w:r>
        <w:rPr>
          <w:sz w:val="21"/>
          <w:vertAlign w:val="baseline"/>
        </w:rPr>
        <w:t>a</w:t>
      </w:r>
      <w:r>
        <w:rPr>
          <w:spacing w:val="-1"/>
          <w:sz w:val="21"/>
          <w:vertAlign w:val="baseline"/>
        </w:rPr>
        <w:t> </w:t>
      </w:r>
      <w:r>
        <w:rPr>
          <w:sz w:val="21"/>
          <w:vertAlign w:val="baseline"/>
        </w:rPr>
        <w:t>deposit on a</w:t>
      </w:r>
      <w:r>
        <w:rPr>
          <w:spacing w:val="-1"/>
          <w:sz w:val="21"/>
          <w:vertAlign w:val="baseline"/>
        </w:rPr>
        <w:t> </w:t>
      </w:r>
      <w:r>
        <w:rPr>
          <w:sz w:val="21"/>
          <w:vertAlign w:val="baseline"/>
        </w:rPr>
        <w:t>house and pay a</w:t>
      </w:r>
      <w:r>
        <w:rPr>
          <w:spacing w:val="-2"/>
          <w:sz w:val="21"/>
          <w:vertAlign w:val="baseline"/>
        </w:rPr>
        <w:t> </w:t>
      </w:r>
      <w:r>
        <w:rPr>
          <w:sz w:val="21"/>
          <w:vertAlign w:val="baseline"/>
        </w:rPr>
        <w:t>mortgage on their own. The</w:t>
      </w:r>
      <w:r>
        <w:rPr>
          <w:spacing w:val="-1"/>
          <w:sz w:val="21"/>
          <w:vertAlign w:val="baseline"/>
        </w:rPr>
        <w:t> </w:t>
      </w:r>
      <w:r>
        <w:rPr>
          <w:sz w:val="21"/>
          <w:vertAlign w:val="baseline"/>
        </w:rPr>
        <w:t>median salary</w:t>
      </w:r>
      <w:r>
        <w:rPr>
          <w:spacing w:val="-1"/>
          <w:sz w:val="21"/>
          <w:vertAlign w:val="baseline"/>
        </w:rPr>
        <w:t> </w:t>
      </w:r>
      <w:r>
        <w:rPr>
          <w:sz w:val="21"/>
          <w:vertAlign w:val="baseline"/>
        </w:rPr>
        <w:t>of householders ages 18-25 is $54k compared to the state median salary of $94k.</w:t>
      </w:r>
      <w:hyperlink w:history="true" w:anchor="_bookmark584">
        <w:r>
          <w:rPr>
            <w:sz w:val="21"/>
            <w:vertAlign w:val="superscript"/>
          </w:rPr>
          <w:t>30</w:t>
        </w:r>
      </w:hyperlink>
      <w:r>
        <w:rPr>
          <w:spacing w:val="-1"/>
          <w:sz w:val="21"/>
          <w:vertAlign w:val="baseline"/>
        </w:rPr>
        <w:t> </w:t>
      </w:r>
      <w:r>
        <w:rPr>
          <w:sz w:val="21"/>
          <w:vertAlign w:val="baseline"/>
        </w:rPr>
        <w:t>Massachusetts is the state with the lowest homeownership</w:t>
      </w:r>
      <w:r>
        <w:rPr>
          <w:spacing w:val="-1"/>
          <w:sz w:val="21"/>
          <w:vertAlign w:val="baseline"/>
        </w:rPr>
        <w:t> </w:t>
      </w:r>
      <w:r>
        <w:rPr>
          <w:sz w:val="21"/>
          <w:vertAlign w:val="baseline"/>
        </w:rPr>
        <w:t>rate</w:t>
      </w:r>
      <w:r>
        <w:rPr>
          <w:spacing w:val="-1"/>
          <w:sz w:val="21"/>
          <w:vertAlign w:val="baseline"/>
        </w:rPr>
        <w:t> </w:t>
      </w:r>
      <w:r>
        <w:rPr>
          <w:sz w:val="21"/>
          <w:vertAlign w:val="baseline"/>
        </w:rPr>
        <w:t>for Generation</w:t>
      </w:r>
      <w:r>
        <w:rPr>
          <w:spacing w:val="-1"/>
          <w:sz w:val="21"/>
          <w:vertAlign w:val="baseline"/>
        </w:rPr>
        <w:t> </w:t>
      </w:r>
      <w:r>
        <w:rPr>
          <w:sz w:val="21"/>
          <w:vertAlign w:val="baseline"/>
        </w:rPr>
        <w:t>Z in</w:t>
      </w:r>
      <w:r>
        <w:rPr>
          <w:spacing w:val="-2"/>
          <w:sz w:val="21"/>
          <w:vertAlign w:val="baseline"/>
        </w:rPr>
        <w:t> </w:t>
      </w:r>
      <w:r>
        <w:rPr>
          <w:sz w:val="21"/>
          <w:vertAlign w:val="baseline"/>
        </w:rPr>
        <w:t>the</w:t>
      </w:r>
      <w:r>
        <w:rPr>
          <w:spacing w:val="-1"/>
          <w:sz w:val="21"/>
          <w:vertAlign w:val="baseline"/>
        </w:rPr>
        <w:t> </w:t>
      </w:r>
      <w:r>
        <w:rPr>
          <w:sz w:val="21"/>
          <w:vertAlign w:val="baseline"/>
        </w:rPr>
        <w:t>country</w:t>
      </w:r>
      <w:r>
        <w:rPr>
          <w:spacing w:val="-1"/>
          <w:sz w:val="21"/>
          <w:vertAlign w:val="baseline"/>
        </w:rPr>
        <w:t> </w:t>
      </w:r>
      <w:r>
        <w:rPr>
          <w:sz w:val="21"/>
          <w:vertAlign w:val="baseline"/>
        </w:rPr>
        <w:t>at 9.7%, according</w:t>
      </w:r>
      <w:r>
        <w:rPr>
          <w:spacing w:val="-1"/>
          <w:sz w:val="21"/>
          <w:vertAlign w:val="baseline"/>
        </w:rPr>
        <w:t> </w:t>
      </w:r>
      <w:r>
        <w:rPr>
          <w:sz w:val="21"/>
          <w:vertAlign w:val="baseline"/>
        </w:rPr>
        <w:t>to</w:t>
      </w:r>
      <w:r>
        <w:rPr>
          <w:spacing w:val="-1"/>
          <w:sz w:val="21"/>
          <w:vertAlign w:val="baseline"/>
        </w:rPr>
        <w:t> </w:t>
      </w:r>
      <w:r>
        <w:rPr>
          <w:sz w:val="21"/>
          <w:vertAlign w:val="baseline"/>
        </w:rPr>
        <w:t>the</w:t>
      </w:r>
      <w:r>
        <w:rPr>
          <w:spacing w:val="-2"/>
          <w:sz w:val="21"/>
          <w:vertAlign w:val="baseline"/>
        </w:rPr>
        <w:t> </w:t>
      </w:r>
      <w:r>
        <w:rPr>
          <w:sz w:val="21"/>
          <w:vertAlign w:val="baseline"/>
        </w:rPr>
        <w:t>2020 American</w:t>
      </w:r>
      <w:r>
        <w:rPr>
          <w:spacing w:val="-1"/>
          <w:sz w:val="21"/>
          <w:vertAlign w:val="baseline"/>
        </w:rPr>
        <w:t> </w:t>
      </w:r>
      <w:r>
        <w:rPr>
          <w:sz w:val="21"/>
          <w:vertAlign w:val="baseline"/>
        </w:rPr>
        <w:t>Community </w:t>
      </w:r>
      <w:r>
        <w:rPr>
          <w:spacing w:val="-2"/>
          <w:sz w:val="21"/>
          <w:vertAlign w:val="baseline"/>
        </w:rPr>
        <w:t>Survey.</w:t>
      </w:r>
      <w:hyperlink w:history="true" w:anchor="_bookmark585">
        <w:r>
          <w:rPr>
            <w:spacing w:val="-2"/>
            <w:sz w:val="21"/>
            <w:vertAlign w:val="superscript"/>
          </w:rPr>
          <w:t>31</w:t>
        </w:r>
      </w:hyperlink>
    </w:p>
    <w:p>
      <w:pPr>
        <w:pStyle w:val="BodyText"/>
        <w:spacing w:before="1"/>
        <w:rPr>
          <w:sz w:val="6"/>
        </w:rPr>
      </w:pPr>
      <w:r>
        <w:rPr/>
        <w:drawing>
          <wp:anchor distT="0" distB="0" distL="0" distR="0" allowOverlap="1" layoutInCell="1" locked="0" behindDoc="1" simplePos="0" relativeHeight="487682560">
            <wp:simplePos x="0" y="0"/>
            <wp:positionH relativeFrom="page">
              <wp:posOffset>1713934</wp:posOffset>
            </wp:positionH>
            <wp:positionV relativeFrom="paragraph">
              <wp:posOffset>62862</wp:posOffset>
            </wp:positionV>
            <wp:extent cx="4378958" cy="2047875"/>
            <wp:effectExtent l="0" t="0" r="0" b="0"/>
            <wp:wrapTopAndBottom/>
            <wp:docPr id="507" name="Image 507"/>
            <wp:cNvGraphicFramePr>
              <a:graphicFrameLocks/>
            </wp:cNvGraphicFramePr>
            <a:graphic>
              <a:graphicData uri="http://schemas.openxmlformats.org/drawingml/2006/picture">
                <pic:pic>
                  <pic:nvPicPr>
                    <pic:cNvPr id="507" name="Image 507"/>
                    <pic:cNvPicPr/>
                  </pic:nvPicPr>
                  <pic:blipFill>
                    <a:blip r:embed="rId647" cstate="print"/>
                    <a:stretch>
                      <a:fillRect/>
                    </a:stretch>
                  </pic:blipFill>
                  <pic:spPr>
                    <a:xfrm>
                      <a:off x="0" y="0"/>
                      <a:ext cx="4378958" cy="2047875"/>
                    </a:xfrm>
                    <a:prstGeom prst="rect">
                      <a:avLst/>
                    </a:prstGeom>
                  </pic:spPr>
                </pic:pic>
              </a:graphicData>
            </a:graphic>
          </wp:anchor>
        </w:drawing>
      </w:r>
    </w:p>
    <w:p>
      <w:pPr>
        <w:pStyle w:val="BodyText"/>
        <w:rPr>
          <w:sz w:val="21"/>
        </w:rPr>
      </w:pPr>
    </w:p>
    <w:p>
      <w:pPr>
        <w:pStyle w:val="BodyText"/>
        <w:spacing w:before="50"/>
        <w:rPr>
          <w:sz w:val="21"/>
        </w:rPr>
      </w:pPr>
    </w:p>
    <w:p>
      <w:pPr>
        <w:spacing w:line="276" w:lineRule="auto" w:before="1"/>
        <w:ind w:left="463" w:right="199" w:firstLine="0"/>
        <w:jc w:val="both"/>
        <w:rPr>
          <w:sz w:val="21"/>
        </w:rPr>
      </w:pPr>
      <w:r>
        <w:rPr>
          <w:sz w:val="21"/>
        </w:rPr>
        <w:t>Boston’s rental market is the third most expensive in the entire country according to Apartment Advisor, beat only by New York City and Jersey City. The prices of renting an apartment in Boston have increased from</w:t>
      </w:r>
      <w:r>
        <w:rPr>
          <w:spacing w:val="-8"/>
          <w:sz w:val="21"/>
        </w:rPr>
        <w:t> </w:t>
      </w:r>
      <w:r>
        <w:rPr>
          <w:sz w:val="21"/>
        </w:rPr>
        <w:t>January</w:t>
      </w:r>
      <w:r>
        <w:rPr>
          <w:spacing w:val="-8"/>
          <w:sz w:val="21"/>
        </w:rPr>
        <w:t> </w:t>
      </w:r>
      <w:r>
        <w:rPr>
          <w:sz w:val="21"/>
        </w:rPr>
        <w:t>2023</w:t>
      </w:r>
      <w:r>
        <w:rPr>
          <w:spacing w:val="-9"/>
          <w:sz w:val="21"/>
        </w:rPr>
        <w:t> </w:t>
      </w:r>
      <w:r>
        <w:rPr>
          <w:sz w:val="21"/>
        </w:rPr>
        <w:t>to</w:t>
      </w:r>
      <w:r>
        <w:rPr>
          <w:spacing w:val="-8"/>
          <w:sz w:val="21"/>
        </w:rPr>
        <w:t> </w:t>
      </w:r>
      <w:r>
        <w:rPr>
          <w:sz w:val="21"/>
        </w:rPr>
        <w:t>January</w:t>
      </w:r>
      <w:r>
        <w:rPr>
          <w:spacing w:val="-8"/>
          <w:sz w:val="21"/>
        </w:rPr>
        <w:t> </w:t>
      </w:r>
      <w:r>
        <w:rPr>
          <w:sz w:val="21"/>
        </w:rPr>
        <w:t>2024,</w:t>
      </w:r>
      <w:r>
        <w:rPr>
          <w:spacing w:val="-8"/>
          <w:sz w:val="21"/>
        </w:rPr>
        <w:t> </w:t>
      </w:r>
      <w:r>
        <w:rPr>
          <w:sz w:val="21"/>
        </w:rPr>
        <w:t>notably</w:t>
      </w:r>
      <w:r>
        <w:rPr>
          <w:spacing w:val="-8"/>
          <w:sz w:val="21"/>
        </w:rPr>
        <w:t> </w:t>
      </w:r>
      <w:r>
        <w:rPr>
          <w:sz w:val="21"/>
        </w:rPr>
        <w:t>with</w:t>
      </w:r>
      <w:r>
        <w:rPr>
          <w:spacing w:val="-8"/>
          <w:sz w:val="21"/>
        </w:rPr>
        <w:t> </w:t>
      </w:r>
      <w:r>
        <w:rPr>
          <w:sz w:val="21"/>
        </w:rPr>
        <w:t>the</w:t>
      </w:r>
      <w:r>
        <w:rPr>
          <w:spacing w:val="-8"/>
          <w:sz w:val="21"/>
        </w:rPr>
        <w:t> </w:t>
      </w:r>
      <w:r>
        <w:rPr>
          <w:sz w:val="21"/>
        </w:rPr>
        <w:t>prices</w:t>
      </w:r>
      <w:r>
        <w:rPr>
          <w:spacing w:val="-9"/>
          <w:sz w:val="21"/>
        </w:rPr>
        <w:t> </w:t>
      </w:r>
      <w:r>
        <w:rPr>
          <w:sz w:val="21"/>
        </w:rPr>
        <w:t>of</w:t>
      </w:r>
      <w:r>
        <w:rPr>
          <w:spacing w:val="-8"/>
          <w:sz w:val="21"/>
        </w:rPr>
        <w:t> </w:t>
      </w:r>
      <w:r>
        <w:rPr>
          <w:sz w:val="21"/>
        </w:rPr>
        <w:t>2-bedroom</w:t>
      </w:r>
      <w:r>
        <w:rPr>
          <w:spacing w:val="-8"/>
          <w:sz w:val="21"/>
        </w:rPr>
        <w:t> </w:t>
      </w:r>
      <w:r>
        <w:rPr>
          <w:sz w:val="21"/>
        </w:rPr>
        <w:t>apartments</w:t>
      </w:r>
      <w:r>
        <w:rPr>
          <w:spacing w:val="-8"/>
          <w:sz w:val="21"/>
        </w:rPr>
        <w:t> </w:t>
      </w:r>
      <w:r>
        <w:rPr>
          <w:sz w:val="21"/>
        </w:rPr>
        <w:t>increasing</w:t>
      </w:r>
      <w:r>
        <w:rPr>
          <w:spacing w:val="-7"/>
          <w:sz w:val="21"/>
        </w:rPr>
        <w:t> </w:t>
      </w:r>
      <w:r>
        <w:rPr>
          <w:sz w:val="21"/>
        </w:rPr>
        <w:t>by</w:t>
      </w:r>
      <w:r>
        <w:rPr>
          <w:spacing w:val="-8"/>
          <w:sz w:val="21"/>
        </w:rPr>
        <w:t> </w:t>
      </w:r>
      <w:r>
        <w:rPr>
          <w:sz w:val="21"/>
        </w:rPr>
        <w:t>8%</w:t>
      </w:r>
      <w:r>
        <w:rPr>
          <w:spacing w:val="-8"/>
          <w:sz w:val="21"/>
        </w:rPr>
        <w:t> </w:t>
      </w:r>
      <w:r>
        <w:rPr>
          <w:sz w:val="21"/>
        </w:rPr>
        <w:t>and 3-bedroom-plus</w:t>
      </w:r>
      <w:r>
        <w:rPr>
          <w:spacing w:val="-1"/>
          <w:sz w:val="21"/>
        </w:rPr>
        <w:t> </w:t>
      </w:r>
      <w:r>
        <w:rPr>
          <w:sz w:val="21"/>
        </w:rPr>
        <w:t>apartments</w:t>
      </w:r>
      <w:r>
        <w:rPr>
          <w:spacing w:val="-1"/>
          <w:sz w:val="21"/>
        </w:rPr>
        <w:t> </w:t>
      </w:r>
      <w:r>
        <w:rPr>
          <w:sz w:val="21"/>
        </w:rPr>
        <w:t>increasing</w:t>
      </w:r>
      <w:r>
        <w:rPr>
          <w:spacing w:val="-1"/>
          <w:sz w:val="21"/>
        </w:rPr>
        <w:t> </w:t>
      </w:r>
      <w:r>
        <w:rPr>
          <w:sz w:val="21"/>
        </w:rPr>
        <w:t>by</w:t>
      </w:r>
      <w:r>
        <w:rPr>
          <w:spacing w:val="-1"/>
          <w:sz w:val="21"/>
        </w:rPr>
        <w:t> </w:t>
      </w:r>
      <w:r>
        <w:rPr>
          <w:sz w:val="21"/>
        </w:rPr>
        <w:t>17%.</w:t>
      </w:r>
      <w:hyperlink w:history="true" w:anchor="_bookmark586">
        <w:r>
          <w:rPr>
            <w:sz w:val="21"/>
            <w:vertAlign w:val="superscript"/>
          </w:rPr>
          <w:t>32</w:t>
        </w:r>
      </w:hyperlink>
      <w:r>
        <w:rPr>
          <w:spacing w:val="-2"/>
          <w:sz w:val="21"/>
          <w:vertAlign w:val="baseline"/>
        </w:rPr>
        <w:t> </w:t>
      </w:r>
      <w:r>
        <w:rPr>
          <w:sz w:val="21"/>
          <w:vertAlign w:val="baseline"/>
        </w:rPr>
        <w:t>The</w:t>
      </w:r>
      <w:r>
        <w:rPr>
          <w:spacing w:val="-1"/>
          <w:sz w:val="21"/>
          <w:vertAlign w:val="baseline"/>
        </w:rPr>
        <w:t> </w:t>
      </w:r>
      <w:r>
        <w:rPr>
          <w:sz w:val="21"/>
          <w:vertAlign w:val="baseline"/>
        </w:rPr>
        <w:t>high</w:t>
      </w:r>
      <w:r>
        <w:rPr>
          <w:spacing w:val="-1"/>
          <w:sz w:val="21"/>
          <w:vertAlign w:val="baseline"/>
        </w:rPr>
        <w:t> </w:t>
      </w:r>
      <w:r>
        <w:rPr>
          <w:sz w:val="21"/>
          <w:vertAlign w:val="baseline"/>
        </w:rPr>
        <w:t>prices</w:t>
      </w:r>
      <w:r>
        <w:rPr>
          <w:spacing w:val="-1"/>
          <w:sz w:val="21"/>
          <w:vertAlign w:val="baseline"/>
        </w:rPr>
        <w:t> </w:t>
      </w:r>
      <w:r>
        <w:rPr>
          <w:sz w:val="21"/>
          <w:vertAlign w:val="baseline"/>
        </w:rPr>
        <w:t>of</w:t>
      </w:r>
      <w:r>
        <w:rPr>
          <w:spacing w:val="-1"/>
          <w:sz w:val="21"/>
          <w:vertAlign w:val="baseline"/>
        </w:rPr>
        <w:t> </w:t>
      </w:r>
      <w:r>
        <w:rPr>
          <w:sz w:val="21"/>
          <w:vertAlign w:val="baseline"/>
        </w:rPr>
        <w:t>apartments</w:t>
      </w:r>
      <w:r>
        <w:rPr>
          <w:spacing w:val="-1"/>
          <w:sz w:val="21"/>
          <w:vertAlign w:val="baseline"/>
        </w:rPr>
        <w:t> </w:t>
      </w:r>
      <w:r>
        <w:rPr>
          <w:sz w:val="21"/>
          <w:vertAlign w:val="baseline"/>
        </w:rPr>
        <w:t>in</w:t>
      </w:r>
      <w:r>
        <w:rPr>
          <w:spacing w:val="-2"/>
          <w:sz w:val="21"/>
          <w:vertAlign w:val="baseline"/>
        </w:rPr>
        <w:t> </w:t>
      </w:r>
      <w:r>
        <w:rPr>
          <w:sz w:val="21"/>
          <w:vertAlign w:val="baseline"/>
        </w:rPr>
        <w:t>the</w:t>
      </w:r>
      <w:r>
        <w:rPr>
          <w:spacing w:val="-1"/>
          <w:sz w:val="21"/>
          <w:vertAlign w:val="baseline"/>
        </w:rPr>
        <w:t> </w:t>
      </w:r>
      <w:r>
        <w:rPr>
          <w:sz w:val="21"/>
          <w:vertAlign w:val="baseline"/>
        </w:rPr>
        <w:t>city</w:t>
      </w:r>
      <w:r>
        <w:rPr>
          <w:spacing w:val="-1"/>
          <w:sz w:val="21"/>
          <w:vertAlign w:val="baseline"/>
        </w:rPr>
        <w:t> </w:t>
      </w:r>
      <w:r>
        <w:rPr>
          <w:sz w:val="21"/>
          <w:vertAlign w:val="baseline"/>
        </w:rPr>
        <w:t>make</w:t>
      </w:r>
      <w:r>
        <w:rPr>
          <w:spacing w:val="-1"/>
          <w:sz w:val="21"/>
          <w:vertAlign w:val="baseline"/>
        </w:rPr>
        <w:t> </w:t>
      </w:r>
      <w:r>
        <w:rPr>
          <w:sz w:val="21"/>
          <w:vertAlign w:val="baseline"/>
        </w:rPr>
        <w:t>it difficult for youth starting their careers to live close to a job in the city where the most opportunities for employment</w:t>
      </w:r>
      <w:r>
        <w:rPr>
          <w:spacing w:val="-11"/>
          <w:sz w:val="21"/>
          <w:vertAlign w:val="baseline"/>
        </w:rPr>
        <w:t> </w:t>
      </w:r>
      <w:r>
        <w:rPr>
          <w:sz w:val="21"/>
          <w:vertAlign w:val="baseline"/>
        </w:rPr>
        <w:t>are.</w:t>
      </w:r>
      <w:r>
        <w:rPr>
          <w:spacing w:val="-10"/>
          <w:sz w:val="21"/>
          <w:vertAlign w:val="baseline"/>
        </w:rPr>
        <w:t> </w:t>
      </w:r>
      <w:r>
        <w:rPr>
          <w:sz w:val="21"/>
          <w:vertAlign w:val="baseline"/>
        </w:rPr>
        <w:t>This</w:t>
      </w:r>
      <w:r>
        <w:rPr>
          <w:spacing w:val="-11"/>
          <w:sz w:val="21"/>
          <w:vertAlign w:val="baseline"/>
        </w:rPr>
        <w:t> </w:t>
      </w:r>
      <w:r>
        <w:rPr>
          <w:sz w:val="21"/>
          <w:vertAlign w:val="baseline"/>
        </w:rPr>
        <w:t>pushes</w:t>
      </w:r>
      <w:r>
        <w:rPr>
          <w:spacing w:val="-11"/>
          <w:sz w:val="21"/>
          <w:vertAlign w:val="baseline"/>
        </w:rPr>
        <w:t> </w:t>
      </w:r>
      <w:r>
        <w:rPr>
          <w:sz w:val="21"/>
          <w:vertAlign w:val="baseline"/>
        </w:rPr>
        <w:t>them</w:t>
      </w:r>
      <w:r>
        <w:rPr>
          <w:spacing w:val="-11"/>
          <w:sz w:val="21"/>
          <w:vertAlign w:val="baseline"/>
        </w:rPr>
        <w:t> </w:t>
      </w:r>
      <w:r>
        <w:rPr>
          <w:sz w:val="21"/>
          <w:vertAlign w:val="baseline"/>
        </w:rPr>
        <w:t>farther</w:t>
      </w:r>
      <w:r>
        <w:rPr>
          <w:spacing w:val="-10"/>
          <w:sz w:val="21"/>
          <w:vertAlign w:val="baseline"/>
        </w:rPr>
        <w:t> </w:t>
      </w:r>
      <w:r>
        <w:rPr>
          <w:sz w:val="21"/>
          <w:vertAlign w:val="baseline"/>
        </w:rPr>
        <w:t>away</w:t>
      </w:r>
      <w:r>
        <w:rPr>
          <w:spacing w:val="-12"/>
          <w:sz w:val="21"/>
          <w:vertAlign w:val="baseline"/>
        </w:rPr>
        <w:t> </w:t>
      </w:r>
      <w:r>
        <w:rPr>
          <w:sz w:val="21"/>
          <w:vertAlign w:val="baseline"/>
        </w:rPr>
        <w:t>from</w:t>
      </w:r>
      <w:r>
        <w:rPr>
          <w:spacing w:val="-11"/>
          <w:sz w:val="21"/>
          <w:vertAlign w:val="baseline"/>
        </w:rPr>
        <w:t> </w:t>
      </w:r>
      <w:r>
        <w:rPr>
          <w:sz w:val="21"/>
          <w:vertAlign w:val="baseline"/>
        </w:rPr>
        <w:t>employment</w:t>
      </w:r>
      <w:r>
        <w:rPr>
          <w:spacing w:val="-11"/>
          <w:sz w:val="21"/>
          <w:vertAlign w:val="baseline"/>
        </w:rPr>
        <w:t> </w:t>
      </w:r>
      <w:r>
        <w:rPr>
          <w:sz w:val="21"/>
          <w:vertAlign w:val="baseline"/>
        </w:rPr>
        <w:t>opportunities,</w:t>
      </w:r>
      <w:r>
        <w:rPr>
          <w:spacing w:val="-10"/>
          <w:sz w:val="21"/>
          <w:vertAlign w:val="baseline"/>
        </w:rPr>
        <w:t> </w:t>
      </w:r>
      <w:r>
        <w:rPr>
          <w:sz w:val="21"/>
          <w:vertAlign w:val="baseline"/>
        </w:rPr>
        <w:t>makes</w:t>
      </w:r>
      <w:r>
        <w:rPr>
          <w:spacing w:val="-11"/>
          <w:sz w:val="21"/>
          <w:vertAlign w:val="baseline"/>
        </w:rPr>
        <w:t> </w:t>
      </w:r>
      <w:r>
        <w:rPr>
          <w:sz w:val="21"/>
          <w:vertAlign w:val="baseline"/>
        </w:rPr>
        <w:t>them</w:t>
      </w:r>
      <w:r>
        <w:rPr>
          <w:spacing w:val="-11"/>
          <w:sz w:val="21"/>
          <w:vertAlign w:val="baseline"/>
        </w:rPr>
        <w:t> </w:t>
      </w:r>
      <w:r>
        <w:rPr>
          <w:sz w:val="21"/>
          <w:vertAlign w:val="baseline"/>
        </w:rPr>
        <w:t>spend</w:t>
      </w:r>
      <w:r>
        <w:rPr>
          <w:spacing w:val="-10"/>
          <w:sz w:val="21"/>
          <w:vertAlign w:val="baseline"/>
        </w:rPr>
        <w:t> </w:t>
      </w:r>
      <w:r>
        <w:rPr>
          <w:sz w:val="21"/>
          <w:vertAlign w:val="baseline"/>
        </w:rPr>
        <w:t>more on commuting to work, and makes them save less to buy a home.</w:t>
      </w:r>
    </w:p>
    <w:p>
      <w:pPr>
        <w:spacing w:line="276" w:lineRule="auto" w:before="240"/>
        <w:ind w:left="463" w:right="200" w:firstLine="0"/>
        <w:jc w:val="both"/>
        <w:rPr>
          <w:sz w:val="21"/>
        </w:rPr>
      </w:pPr>
      <w:r>
        <w:rPr>
          <w:sz w:val="21"/>
        </w:rPr>
        <w:t>The</w:t>
      </w:r>
      <w:r>
        <w:rPr>
          <w:spacing w:val="-12"/>
          <w:sz w:val="21"/>
        </w:rPr>
        <w:t> </w:t>
      </w:r>
      <w:r>
        <w:rPr>
          <w:sz w:val="21"/>
        </w:rPr>
        <w:t>high</w:t>
      </w:r>
      <w:r>
        <w:rPr>
          <w:spacing w:val="-11"/>
          <w:sz w:val="21"/>
        </w:rPr>
        <w:t> </w:t>
      </w:r>
      <w:r>
        <w:rPr>
          <w:sz w:val="21"/>
        </w:rPr>
        <w:t>prices</w:t>
      </w:r>
      <w:r>
        <w:rPr>
          <w:spacing w:val="-12"/>
          <w:sz w:val="21"/>
        </w:rPr>
        <w:t> </w:t>
      </w:r>
      <w:r>
        <w:rPr>
          <w:sz w:val="21"/>
        </w:rPr>
        <w:t>of</w:t>
      </w:r>
      <w:r>
        <w:rPr>
          <w:spacing w:val="-12"/>
          <w:sz w:val="21"/>
        </w:rPr>
        <w:t> </w:t>
      </w:r>
      <w:r>
        <w:rPr>
          <w:sz w:val="21"/>
        </w:rPr>
        <w:t>buying</w:t>
      </w:r>
      <w:r>
        <w:rPr>
          <w:spacing w:val="-12"/>
          <w:sz w:val="21"/>
        </w:rPr>
        <w:t> </w:t>
      </w:r>
      <w:r>
        <w:rPr>
          <w:sz w:val="21"/>
        </w:rPr>
        <w:t>a</w:t>
      </w:r>
      <w:r>
        <w:rPr>
          <w:spacing w:val="-10"/>
          <w:sz w:val="21"/>
        </w:rPr>
        <w:t> </w:t>
      </w:r>
      <w:r>
        <w:rPr>
          <w:sz w:val="21"/>
        </w:rPr>
        <w:t>home</w:t>
      </w:r>
      <w:r>
        <w:rPr>
          <w:spacing w:val="-12"/>
          <w:sz w:val="21"/>
        </w:rPr>
        <w:t> </w:t>
      </w:r>
      <w:r>
        <w:rPr>
          <w:sz w:val="21"/>
        </w:rPr>
        <w:t>or</w:t>
      </w:r>
      <w:r>
        <w:rPr>
          <w:spacing w:val="-11"/>
          <w:sz w:val="21"/>
        </w:rPr>
        <w:t> </w:t>
      </w:r>
      <w:r>
        <w:rPr>
          <w:sz w:val="21"/>
        </w:rPr>
        <w:t>renting</w:t>
      </w:r>
      <w:r>
        <w:rPr>
          <w:spacing w:val="-12"/>
          <w:sz w:val="21"/>
        </w:rPr>
        <w:t> </w:t>
      </w:r>
      <w:r>
        <w:rPr>
          <w:sz w:val="21"/>
        </w:rPr>
        <w:t>an</w:t>
      </w:r>
      <w:r>
        <w:rPr>
          <w:spacing w:val="-11"/>
          <w:sz w:val="21"/>
        </w:rPr>
        <w:t> </w:t>
      </w:r>
      <w:r>
        <w:rPr>
          <w:sz w:val="21"/>
        </w:rPr>
        <w:t>apartment</w:t>
      </w:r>
      <w:r>
        <w:rPr>
          <w:spacing w:val="-11"/>
          <w:sz w:val="21"/>
        </w:rPr>
        <w:t> </w:t>
      </w:r>
      <w:r>
        <w:rPr>
          <w:sz w:val="21"/>
        </w:rPr>
        <w:t>have</w:t>
      </w:r>
      <w:r>
        <w:rPr>
          <w:spacing w:val="-12"/>
          <w:sz w:val="21"/>
        </w:rPr>
        <w:t> </w:t>
      </w:r>
      <w:r>
        <w:rPr>
          <w:sz w:val="21"/>
        </w:rPr>
        <w:t>driven</w:t>
      </w:r>
      <w:r>
        <w:rPr>
          <w:spacing w:val="-11"/>
          <w:sz w:val="21"/>
        </w:rPr>
        <w:t> </w:t>
      </w:r>
      <w:r>
        <w:rPr>
          <w:sz w:val="21"/>
        </w:rPr>
        <w:t>many</w:t>
      </w:r>
      <w:r>
        <w:rPr>
          <w:spacing w:val="-12"/>
          <w:sz w:val="21"/>
        </w:rPr>
        <w:t> </w:t>
      </w:r>
      <w:r>
        <w:rPr>
          <w:sz w:val="21"/>
        </w:rPr>
        <w:t>youth</w:t>
      </w:r>
      <w:r>
        <w:rPr>
          <w:spacing w:val="-11"/>
          <w:sz w:val="21"/>
        </w:rPr>
        <w:t> </w:t>
      </w:r>
      <w:r>
        <w:rPr>
          <w:sz w:val="21"/>
        </w:rPr>
        <w:t>to</w:t>
      </w:r>
      <w:r>
        <w:rPr>
          <w:spacing w:val="-12"/>
          <w:sz w:val="21"/>
        </w:rPr>
        <w:t> </w:t>
      </w:r>
      <w:r>
        <w:rPr>
          <w:sz w:val="21"/>
        </w:rPr>
        <w:t>live</w:t>
      </w:r>
      <w:r>
        <w:rPr>
          <w:spacing w:val="-12"/>
          <w:sz w:val="21"/>
        </w:rPr>
        <w:t> </w:t>
      </w:r>
      <w:r>
        <w:rPr>
          <w:sz w:val="21"/>
        </w:rPr>
        <w:t>with</w:t>
      </w:r>
      <w:r>
        <w:rPr>
          <w:spacing w:val="-11"/>
          <w:sz w:val="21"/>
        </w:rPr>
        <w:t> </w:t>
      </w:r>
      <w:r>
        <w:rPr>
          <w:sz w:val="21"/>
        </w:rPr>
        <w:t>their</w:t>
      </w:r>
      <w:r>
        <w:rPr>
          <w:spacing w:val="-12"/>
          <w:sz w:val="21"/>
        </w:rPr>
        <w:t> </w:t>
      </w:r>
      <w:r>
        <w:rPr>
          <w:sz w:val="21"/>
        </w:rPr>
        <w:t>parents. The percentage of youth aged 18-24 in</w:t>
      </w:r>
      <w:r>
        <w:rPr>
          <w:spacing w:val="-1"/>
          <w:sz w:val="21"/>
        </w:rPr>
        <w:t> </w:t>
      </w:r>
      <w:r>
        <w:rPr>
          <w:sz w:val="21"/>
        </w:rPr>
        <w:t>the US who live</w:t>
      </w:r>
      <w:r>
        <w:rPr>
          <w:spacing w:val="-1"/>
          <w:sz w:val="21"/>
        </w:rPr>
        <w:t> </w:t>
      </w:r>
      <w:r>
        <w:rPr>
          <w:sz w:val="21"/>
        </w:rPr>
        <w:t>with their</w:t>
      </w:r>
      <w:r>
        <w:rPr>
          <w:spacing w:val="-1"/>
          <w:sz w:val="21"/>
        </w:rPr>
        <w:t> </w:t>
      </w:r>
      <w:r>
        <w:rPr>
          <w:sz w:val="21"/>
        </w:rPr>
        <w:t>parents has increased from 63% to</w:t>
      </w:r>
      <w:r>
        <w:rPr>
          <w:spacing w:val="-1"/>
          <w:sz w:val="21"/>
        </w:rPr>
        <w:t> </w:t>
      </w:r>
      <w:r>
        <w:rPr>
          <w:sz w:val="21"/>
        </w:rPr>
        <w:t>71%, which</w:t>
      </w:r>
      <w:r>
        <w:rPr>
          <w:spacing w:val="-2"/>
          <w:sz w:val="21"/>
        </w:rPr>
        <w:t> </w:t>
      </w:r>
      <w:r>
        <w:rPr>
          <w:sz w:val="21"/>
        </w:rPr>
        <w:t>is</w:t>
      </w:r>
      <w:r>
        <w:rPr>
          <w:spacing w:val="-3"/>
          <w:sz w:val="21"/>
        </w:rPr>
        <w:t> </w:t>
      </w:r>
      <w:r>
        <w:rPr>
          <w:sz w:val="21"/>
        </w:rPr>
        <w:t>a</w:t>
      </w:r>
      <w:r>
        <w:rPr>
          <w:spacing w:val="-2"/>
          <w:sz w:val="21"/>
        </w:rPr>
        <w:t> </w:t>
      </w:r>
      <w:r>
        <w:rPr>
          <w:sz w:val="21"/>
        </w:rPr>
        <w:t>level</w:t>
      </w:r>
      <w:r>
        <w:rPr>
          <w:spacing w:val="-2"/>
          <w:sz w:val="21"/>
        </w:rPr>
        <w:t> </w:t>
      </w:r>
      <w:r>
        <w:rPr>
          <w:sz w:val="21"/>
        </w:rPr>
        <w:t>not</w:t>
      </w:r>
      <w:r>
        <w:rPr>
          <w:spacing w:val="-2"/>
          <w:sz w:val="21"/>
        </w:rPr>
        <w:t> </w:t>
      </w:r>
      <w:r>
        <w:rPr>
          <w:sz w:val="21"/>
        </w:rPr>
        <w:t>seen</w:t>
      </w:r>
      <w:r>
        <w:rPr>
          <w:spacing w:val="-2"/>
          <w:sz w:val="21"/>
        </w:rPr>
        <w:t> </w:t>
      </w:r>
      <w:r>
        <w:rPr>
          <w:sz w:val="21"/>
        </w:rPr>
        <w:t>since</w:t>
      </w:r>
      <w:r>
        <w:rPr>
          <w:spacing w:val="-2"/>
          <w:sz w:val="21"/>
        </w:rPr>
        <w:t> </w:t>
      </w:r>
      <w:r>
        <w:rPr>
          <w:sz w:val="21"/>
        </w:rPr>
        <w:t>the</w:t>
      </w:r>
      <w:r>
        <w:rPr>
          <w:spacing w:val="-2"/>
          <w:sz w:val="21"/>
        </w:rPr>
        <w:t> </w:t>
      </w:r>
      <w:r>
        <w:rPr>
          <w:sz w:val="21"/>
        </w:rPr>
        <w:t>Great</w:t>
      </w:r>
      <w:r>
        <w:rPr>
          <w:spacing w:val="-3"/>
          <w:sz w:val="21"/>
        </w:rPr>
        <w:t> </w:t>
      </w:r>
      <w:r>
        <w:rPr>
          <w:sz w:val="21"/>
        </w:rPr>
        <w:t>Depression.</w:t>
      </w:r>
      <w:hyperlink w:history="true" w:anchor="_bookmark587">
        <w:r>
          <w:rPr>
            <w:sz w:val="21"/>
            <w:vertAlign w:val="superscript"/>
          </w:rPr>
          <w:t>33</w:t>
        </w:r>
      </w:hyperlink>
      <w:r>
        <w:rPr>
          <w:spacing w:val="-1"/>
          <w:sz w:val="21"/>
          <w:vertAlign w:val="baseline"/>
        </w:rPr>
        <w:t> </w:t>
      </w:r>
      <w:r>
        <w:rPr>
          <w:sz w:val="21"/>
          <w:vertAlign w:val="baseline"/>
        </w:rPr>
        <w:t>For</w:t>
      </w:r>
      <w:r>
        <w:rPr>
          <w:spacing w:val="-2"/>
          <w:sz w:val="21"/>
          <w:vertAlign w:val="baseline"/>
        </w:rPr>
        <w:t> </w:t>
      </w:r>
      <w:r>
        <w:rPr>
          <w:sz w:val="21"/>
          <w:vertAlign w:val="baseline"/>
        </w:rPr>
        <w:t>LGBTQ</w:t>
      </w:r>
      <w:r>
        <w:rPr>
          <w:spacing w:val="-2"/>
          <w:sz w:val="21"/>
          <w:vertAlign w:val="baseline"/>
        </w:rPr>
        <w:t> </w:t>
      </w:r>
      <w:r>
        <w:rPr>
          <w:sz w:val="21"/>
          <w:vertAlign w:val="baseline"/>
        </w:rPr>
        <w:t>youth</w:t>
      </w:r>
      <w:r>
        <w:rPr>
          <w:spacing w:val="-2"/>
          <w:sz w:val="21"/>
          <w:vertAlign w:val="baseline"/>
        </w:rPr>
        <w:t> </w:t>
      </w:r>
      <w:r>
        <w:rPr>
          <w:sz w:val="21"/>
          <w:vertAlign w:val="baseline"/>
        </w:rPr>
        <w:t>who</w:t>
      </w:r>
      <w:r>
        <w:rPr>
          <w:spacing w:val="-2"/>
          <w:sz w:val="21"/>
          <w:vertAlign w:val="baseline"/>
        </w:rPr>
        <w:t> </w:t>
      </w:r>
      <w:r>
        <w:rPr>
          <w:sz w:val="21"/>
          <w:vertAlign w:val="baseline"/>
        </w:rPr>
        <w:t>are</w:t>
      </w:r>
      <w:r>
        <w:rPr>
          <w:spacing w:val="-2"/>
          <w:sz w:val="21"/>
          <w:vertAlign w:val="baseline"/>
        </w:rPr>
        <w:t> </w:t>
      </w:r>
      <w:r>
        <w:rPr>
          <w:sz w:val="21"/>
          <w:vertAlign w:val="baseline"/>
        </w:rPr>
        <w:t>kicked</w:t>
      </w:r>
      <w:r>
        <w:rPr>
          <w:spacing w:val="-2"/>
          <w:sz w:val="21"/>
          <w:vertAlign w:val="baseline"/>
        </w:rPr>
        <w:t> </w:t>
      </w:r>
      <w:r>
        <w:rPr>
          <w:sz w:val="21"/>
          <w:vertAlign w:val="baseline"/>
        </w:rPr>
        <w:t>out</w:t>
      </w:r>
      <w:r>
        <w:rPr>
          <w:spacing w:val="-2"/>
          <w:sz w:val="21"/>
          <w:vertAlign w:val="baseline"/>
        </w:rPr>
        <w:t> </w:t>
      </w:r>
      <w:r>
        <w:rPr>
          <w:sz w:val="21"/>
          <w:vertAlign w:val="baseline"/>
        </w:rPr>
        <w:t>or</w:t>
      </w:r>
      <w:r>
        <w:rPr>
          <w:spacing w:val="-2"/>
          <w:sz w:val="21"/>
          <w:vertAlign w:val="baseline"/>
        </w:rPr>
        <w:t> </w:t>
      </w:r>
      <w:r>
        <w:rPr>
          <w:sz w:val="21"/>
          <w:vertAlign w:val="baseline"/>
        </w:rPr>
        <w:t>cut</w:t>
      </w:r>
      <w:r>
        <w:rPr>
          <w:spacing w:val="-3"/>
          <w:sz w:val="21"/>
          <w:vertAlign w:val="baseline"/>
        </w:rPr>
        <w:t> </w:t>
      </w:r>
      <w:r>
        <w:rPr>
          <w:sz w:val="21"/>
          <w:vertAlign w:val="baseline"/>
        </w:rPr>
        <w:t>off</w:t>
      </w:r>
      <w:r>
        <w:rPr>
          <w:spacing w:val="-3"/>
          <w:sz w:val="21"/>
          <w:vertAlign w:val="baseline"/>
        </w:rPr>
        <w:t> </w:t>
      </w:r>
      <w:r>
        <w:rPr>
          <w:sz w:val="21"/>
          <w:vertAlign w:val="baseline"/>
        </w:rPr>
        <w:t>from financial support by their parents due to their gender identity or sexual orientation, living with family may</w:t>
      </w:r>
    </w:p>
    <w:p>
      <w:pPr>
        <w:spacing w:after="0" w:line="276" w:lineRule="auto"/>
        <w:jc w:val="both"/>
        <w:rPr>
          <w:sz w:val="21"/>
        </w:rPr>
        <w:sectPr>
          <w:pgSz w:w="12240" w:h="15840"/>
          <w:pgMar w:header="763" w:footer="1041" w:top="1380" w:bottom="1240" w:left="1120" w:right="1380"/>
        </w:sectPr>
      </w:pPr>
    </w:p>
    <w:p>
      <w:pPr>
        <w:spacing w:line="276" w:lineRule="auto" w:before="47"/>
        <w:ind w:left="464" w:right="201" w:firstLine="0"/>
        <w:jc w:val="both"/>
        <w:rPr>
          <w:sz w:val="21"/>
        </w:rPr>
      </w:pPr>
      <w:r>
        <w:rPr>
          <w:sz w:val="21"/>
        </w:rPr>
        <w:t>not be an option. According to a report by the Trevor Project, 28% of LGBTQ youth reported experiencing </w:t>
      </w:r>
      <w:r>
        <w:rPr>
          <w:spacing w:val="-2"/>
          <w:sz w:val="21"/>
        </w:rPr>
        <w:t>homelessness or</w:t>
      </w:r>
      <w:r>
        <w:rPr>
          <w:spacing w:val="-3"/>
          <w:sz w:val="21"/>
        </w:rPr>
        <w:t> </w:t>
      </w:r>
      <w:r>
        <w:rPr>
          <w:spacing w:val="-2"/>
          <w:sz w:val="21"/>
        </w:rPr>
        <w:t>housing</w:t>
      </w:r>
      <w:r>
        <w:rPr>
          <w:spacing w:val="-3"/>
          <w:sz w:val="21"/>
        </w:rPr>
        <w:t> </w:t>
      </w:r>
      <w:r>
        <w:rPr>
          <w:spacing w:val="-2"/>
          <w:sz w:val="21"/>
        </w:rPr>
        <w:t>instability,</w:t>
      </w:r>
      <w:r>
        <w:rPr>
          <w:spacing w:val="-3"/>
          <w:sz w:val="21"/>
        </w:rPr>
        <w:t> </w:t>
      </w:r>
      <w:r>
        <w:rPr>
          <w:spacing w:val="-2"/>
          <w:sz w:val="21"/>
        </w:rPr>
        <w:t>over</w:t>
      </w:r>
      <w:r>
        <w:rPr>
          <w:spacing w:val="-3"/>
          <w:sz w:val="21"/>
        </w:rPr>
        <w:t> </w:t>
      </w:r>
      <w:r>
        <w:rPr>
          <w:spacing w:val="-2"/>
          <w:sz w:val="21"/>
        </w:rPr>
        <w:t>8%</w:t>
      </w:r>
      <w:r>
        <w:rPr>
          <w:spacing w:val="-3"/>
          <w:sz w:val="21"/>
        </w:rPr>
        <w:t> </w:t>
      </w:r>
      <w:r>
        <w:rPr>
          <w:spacing w:val="-2"/>
          <w:sz w:val="21"/>
        </w:rPr>
        <w:t>reported</w:t>
      </w:r>
      <w:r>
        <w:rPr>
          <w:spacing w:val="-3"/>
          <w:sz w:val="21"/>
        </w:rPr>
        <w:t> </w:t>
      </w:r>
      <w:r>
        <w:rPr>
          <w:spacing w:val="-2"/>
          <w:sz w:val="21"/>
        </w:rPr>
        <w:t>running</w:t>
      </w:r>
      <w:r>
        <w:rPr>
          <w:spacing w:val="-3"/>
          <w:sz w:val="21"/>
        </w:rPr>
        <w:t> </w:t>
      </w:r>
      <w:r>
        <w:rPr>
          <w:spacing w:val="-2"/>
          <w:sz w:val="21"/>
        </w:rPr>
        <w:t>away</w:t>
      </w:r>
      <w:r>
        <w:rPr>
          <w:spacing w:val="-3"/>
          <w:sz w:val="21"/>
        </w:rPr>
        <w:t> </w:t>
      </w:r>
      <w:r>
        <w:rPr>
          <w:spacing w:val="-2"/>
          <w:sz w:val="21"/>
        </w:rPr>
        <w:t>from</w:t>
      </w:r>
      <w:r>
        <w:rPr>
          <w:spacing w:val="-3"/>
          <w:sz w:val="21"/>
        </w:rPr>
        <w:t> </w:t>
      </w:r>
      <w:r>
        <w:rPr>
          <w:spacing w:val="-2"/>
          <w:sz w:val="21"/>
        </w:rPr>
        <w:t>home</w:t>
      </w:r>
      <w:r>
        <w:rPr>
          <w:spacing w:val="-3"/>
          <w:sz w:val="21"/>
        </w:rPr>
        <w:t> </w:t>
      </w:r>
      <w:r>
        <w:rPr>
          <w:spacing w:val="-2"/>
          <w:sz w:val="21"/>
        </w:rPr>
        <w:t>due</w:t>
      </w:r>
      <w:r>
        <w:rPr>
          <w:spacing w:val="-4"/>
          <w:sz w:val="21"/>
        </w:rPr>
        <w:t> </w:t>
      </w:r>
      <w:r>
        <w:rPr>
          <w:spacing w:val="-2"/>
          <w:sz w:val="21"/>
        </w:rPr>
        <w:t>to</w:t>
      </w:r>
      <w:r>
        <w:rPr>
          <w:spacing w:val="-3"/>
          <w:sz w:val="21"/>
        </w:rPr>
        <w:t> </w:t>
      </w:r>
      <w:r>
        <w:rPr>
          <w:spacing w:val="-2"/>
          <w:sz w:val="21"/>
        </w:rPr>
        <w:t>fear</w:t>
      </w:r>
      <w:r>
        <w:rPr>
          <w:spacing w:val="-3"/>
          <w:sz w:val="21"/>
        </w:rPr>
        <w:t> </w:t>
      </w:r>
      <w:r>
        <w:rPr>
          <w:spacing w:val="-2"/>
          <w:sz w:val="21"/>
        </w:rPr>
        <w:t>of</w:t>
      </w:r>
      <w:r>
        <w:rPr>
          <w:spacing w:val="-4"/>
          <w:sz w:val="21"/>
        </w:rPr>
        <w:t> </w:t>
      </w:r>
      <w:r>
        <w:rPr>
          <w:spacing w:val="-2"/>
          <w:sz w:val="21"/>
        </w:rPr>
        <w:t>mistreatment </w:t>
      </w:r>
      <w:r>
        <w:rPr>
          <w:sz w:val="21"/>
        </w:rPr>
        <w:t>due</w:t>
      </w:r>
      <w:r>
        <w:rPr>
          <w:spacing w:val="-8"/>
          <w:sz w:val="21"/>
        </w:rPr>
        <w:t> </w:t>
      </w:r>
      <w:r>
        <w:rPr>
          <w:sz w:val="21"/>
        </w:rPr>
        <w:t>to</w:t>
      </w:r>
      <w:r>
        <w:rPr>
          <w:spacing w:val="-10"/>
          <w:sz w:val="21"/>
        </w:rPr>
        <w:t> </w:t>
      </w:r>
      <w:r>
        <w:rPr>
          <w:sz w:val="21"/>
        </w:rPr>
        <w:t>their</w:t>
      </w:r>
      <w:r>
        <w:rPr>
          <w:spacing w:val="-8"/>
          <w:sz w:val="21"/>
        </w:rPr>
        <w:t> </w:t>
      </w:r>
      <w:r>
        <w:rPr>
          <w:sz w:val="21"/>
        </w:rPr>
        <w:t>LGBTQ</w:t>
      </w:r>
      <w:r>
        <w:rPr>
          <w:spacing w:val="-8"/>
          <w:sz w:val="21"/>
        </w:rPr>
        <w:t> </w:t>
      </w:r>
      <w:r>
        <w:rPr>
          <w:sz w:val="21"/>
        </w:rPr>
        <w:t>identities,</w:t>
      </w:r>
      <w:r>
        <w:rPr>
          <w:spacing w:val="-8"/>
          <w:sz w:val="21"/>
        </w:rPr>
        <w:t> </w:t>
      </w:r>
      <w:r>
        <w:rPr>
          <w:sz w:val="21"/>
        </w:rPr>
        <w:t>and</w:t>
      </w:r>
      <w:r>
        <w:rPr>
          <w:spacing w:val="-9"/>
          <w:sz w:val="21"/>
        </w:rPr>
        <w:t> </w:t>
      </w:r>
      <w:r>
        <w:rPr>
          <w:sz w:val="21"/>
        </w:rPr>
        <w:t>5%</w:t>
      </w:r>
      <w:r>
        <w:rPr>
          <w:spacing w:val="-8"/>
          <w:sz w:val="21"/>
        </w:rPr>
        <w:t> </w:t>
      </w:r>
      <w:r>
        <w:rPr>
          <w:sz w:val="21"/>
        </w:rPr>
        <w:t>reported</w:t>
      </w:r>
      <w:r>
        <w:rPr>
          <w:spacing w:val="-8"/>
          <w:sz w:val="21"/>
        </w:rPr>
        <w:t> </w:t>
      </w:r>
      <w:r>
        <w:rPr>
          <w:sz w:val="21"/>
        </w:rPr>
        <w:t>being</w:t>
      </w:r>
      <w:r>
        <w:rPr>
          <w:spacing w:val="-10"/>
          <w:sz w:val="21"/>
        </w:rPr>
        <w:t> </w:t>
      </w:r>
      <w:r>
        <w:rPr>
          <w:sz w:val="21"/>
        </w:rPr>
        <w:t>kicked</w:t>
      </w:r>
      <w:r>
        <w:rPr>
          <w:spacing w:val="-8"/>
          <w:sz w:val="21"/>
        </w:rPr>
        <w:t> </w:t>
      </w:r>
      <w:r>
        <w:rPr>
          <w:sz w:val="21"/>
        </w:rPr>
        <w:t>out</w:t>
      </w:r>
      <w:r>
        <w:rPr>
          <w:spacing w:val="-9"/>
          <w:sz w:val="21"/>
        </w:rPr>
        <w:t> </w:t>
      </w:r>
      <w:r>
        <w:rPr>
          <w:sz w:val="21"/>
        </w:rPr>
        <w:t>or</w:t>
      </w:r>
      <w:r>
        <w:rPr>
          <w:spacing w:val="-9"/>
          <w:sz w:val="21"/>
        </w:rPr>
        <w:t> </w:t>
      </w:r>
      <w:r>
        <w:rPr>
          <w:sz w:val="21"/>
        </w:rPr>
        <w:t>abandoned</w:t>
      </w:r>
      <w:r>
        <w:rPr>
          <w:spacing w:val="-8"/>
          <w:sz w:val="21"/>
        </w:rPr>
        <w:t> </w:t>
      </w:r>
      <w:r>
        <w:rPr>
          <w:sz w:val="21"/>
        </w:rPr>
        <w:t>by</w:t>
      </w:r>
      <w:r>
        <w:rPr>
          <w:spacing w:val="-9"/>
          <w:sz w:val="21"/>
        </w:rPr>
        <w:t> </w:t>
      </w:r>
      <w:r>
        <w:rPr>
          <w:sz w:val="21"/>
        </w:rPr>
        <w:t>parents</w:t>
      </w:r>
      <w:r>
        <w:rPr>
          <w:spacing w:val="-9"/>
          <w:sz w:val="21"/>
        </w:rPr>
        <w:t> </w:t>
      </w:r>
      <w:r>
        <w:rPr>
          <w:sz w:val="21"/>
        </w:rPr>
        <w:t>or</w:t>
      </w:r>
      <w:r>
        <w:rPr>
          <w:spacing w:val="-8"/>
          <w:sz w:val="21"/>
        </w:rPr>
        <w:t> </w:t>
      </w:r>
      <w:r>
        <w:rPr>
          <w:sz w:val="21"/>
        </w:rPr>
        <w:t>caregivers</w:t>
      </w:r>
      <w:r>
        <w:rPr>
          <w:spacing w:val="-9"/>
          <w:sz w:val="21"/>
        </w:rPr>
        <w:t> </w:t>
      </w:r>
      <w:r>
        <w:rPr>
          <w:sz w:val="21"/>
        </w:rPr>
        <w:t>due to their LGBTQ identities.</w:t>
      </w:r>
      <w:hyperlink w:history="true" w:anchor="_bookmark588">
        <w:r>
          <w:rPr>
            <w:sz w:val="21"/>
            <w:vertAlign w:val="superscript"/>
          </w:rPr>
          <w:t>34</w:t>
        </w:r>
      </w:hyperlink>
      <w:r>
        <w:rPr>
          <w:spacing w:val="-2"/>
          <w:sz w:val="21"/>
          <w:vertAlign w:val="baseline"/>
        </w:rPr>
        <w:t> </w:t>
      </w:r>
      <w:r>
        <w:rPr>
          <w:sz w:val="21"/>
          <w:vertAlign w:val="baseline"/>
        </w:rPr>
        <w:t>Buying a house and renting an apartment are more difficult for LGBTQ youth who</w:t>
      </w:r>
      <w:r>
        <w:rPr>
          <w:spacing w:val="-2"/>
          <w:sz w:val="21"/>
          <w:vertAlign w:val="baseline"/>
        </w:rPr>
        <w:t> </w:t>
      </w:r>
      <w:r>
        <w:rPr>
          <w:sz w:val="21"/>
          <w:vertAlign w:val="baseline"/>
        </w:rPr>
        <w:t>suffer</w:t>
      </w:r>
      <w:r>
        <w:rPr>
          <w:spacing w:val="-2"/>
          <w:sz w:val="21"/>
          <w:vertAlign w:val="baseline"/>
        </w:rPr>
        <w:t> </w:t>
      </w:r>
      <w:r>
        <w:rPr>
          <w:sz w:val="21"/>
          <w:vertAlign w:val="baseline"/>
        </w:rPr>
        <w:t>from</w:t>
      </w:r>
      <w:r>
        <w:rPr>
          <w:spacing w:val="-2"/>
          <w:sz w:val="21"/>
          <w:vertAlign w:val="baseline"/>
        </w:rPr>
        <w:t> </w:t>
      </w:r>
      <w:r>
        <w:rPr>
          <w:sz w:val="21"/>
          <w:vertAlign w:val="baseline"/>
        </w:rPr>
        <w:t>a</w:t>
      </w:r>
      <w:r>
        <w:rPr>
          <w:spacing w:val="-3"/>
          <w:sz w:val="21"/>
          <w:vertAlign w:val="baseline"/>
        </w:rPr>
        <w:t> </w:t>
      </w:r>
      <w:r>
        <w:rPr>
          <w:sz w:val="21"/>
          <w:vertAlign w:val="baseline"/>
        </w:rPr>
        <w:t>higher</w:t>
      </w:r>
      <w:r>
        <w:rPr>
          <w:spacing w:val="-3"/>
          <w:sz w:val="21"/>
          <w:vertAlign w:val="baseline"/>
        </w:rPr>
        <w:t> </w:t>
      </w:r>
      <w:r>
        <w:rPr>
          <w:sz w:val="21"/>
          <w:vertAlign w:val="baseline"/>
        </w:rPr>
        <w:t>unemployment</w:t>
      </w:r>
      <w:r>
        <w:rPr>
          <w:spacing w:val="-1"/>
          <w:sz w:val="21"/>
          <w:vertAlign w:val="baseline"/>
        </w:rPr>
        <w:t> </w:t>
      </w:r>
      <w:r>
        <w:rPr>
          <w:sz w:val="21"/>
          <w:vertAlign w:val="baseline"/>
        </w:rPr>
        <w:t>rate,</w:t>
      </w:r>
      <w:r>
        <w:rPr>
          <w:spacing w:val="-3"/>
          <w:sz w:val="21"/>
          <w:vertAlign w:val="baseline"/>
        </w:rPr>
        <w:t> </w:t>
      </w:r>
      <w:r>
        <w:rPr>
          <w:sz w:val="21"/>
          <w:vertAlign w:val="baseline"/>
        </w:rPr>
        <w:t>a</w:t>
      </w:r>
      <w:r>
        <w:rPr>
          <w:spacing w:val="-3"/>
          <w:sz w:val="21"/>
          <w:vertAlign w:val="baseline"/>
        </w:rPr>
        <w:t> </w:t>
      </w:r>
      <w:r>
        <w:rPr>
          <w:sz w:val="21"/>
          <w:vertAlign w:val="baseline"/>
        </w:rPr>
        <w:t>lower</w:t>
      </w:r>
      <w:r>
        <w:rPr>
          <w:spacing w:val="-2"/>
          <w:sz w:val="21"/>
          <w:vertAlign w:val="baseline"/>
        </w:rPr>
        <w:t> </w:t>
      </w:r>
      <w:r>
        <w:rPr>
          <w:sz w:val="21"/>
          <w:vertAlign w:val="baseline"/>
        </w:rPr>
        <w:t>income</w:t>
      </w:r>
      <w:r>
        <w:rPr>
          <w:spacing w:val="-2"/>
          <w:sz w:val="21"/>
          <w:vertAlign w:val="baseline"/>
        </w:rPr>
        <w:t> </w:t>
      </w:r>
      <w:r>
        <w:rPr>
          <w:sz w:val="21"/>
          <w:vertAlign w:val="baseline"/>
        </w:rPr>
        <w:t>than</w:t>
      </w:r>
      <w:r>
        <w:rPr>
          <w:spacing w:val="-4"/>
          <w:sz w:val="21"/>
          <w:vertAlign w:val="baseline"/>
        </w:rPr>
        <w:t> </w:t>
      </w:r>
      <w:r>
        <w:rPr>
          <w:sz w:val="21"/>
          <w:vertAlign w:val="baseline"/>
        </w:rPr>
        <w:t>their</w:t>
      </w:r>
      <w:r>
        <w:rPr>
          <w:spacing w:val="-2"/>
          <w:sz w:val="21"/>
          <w:vertAlign w:val="baseline"/>
        </w:rPr>
        <w:t> </w:t>
      </w:r>
      <w:r>
        <w:rPr>
          <w:sz w:val="21"/>
          <w:vertAlign w:val="baseline"/>
        </w:rPr>
        <w:t>cisgender</w:t>
      </w:r>
      <w:r>
        <w:rPr>
          <w:spacing w:val="-3"/>
          <w:sz w:val="21"/>
          <w:vertAlign w:val="baseline"/>
        </w:rPr>
        <w:t> </w:t>
      </w:r>
      <w:r>
        <w:rPr>
          <w:sz w:val="21"/>
          <w:vertAlign w:val="baseline"/>
        </w:rPr>
        <w:t>and</w:t>
      </w:r>
      <w:r>
        <w:rPr>
          <w:spacing w:val="-2"/>
          <w:sz w:val="21"/>
          <w:vertAlign w:val="baseline"/>
        </w:rPr>
        <w:t> </w:t>
      </w:r>
      <w:r>
        <w:rPr>
          <w:sz w:val="21"/>
          <w:vertAlign w:val="baseline"/>
        </w:rPr>
        <w:t>straight</w:t>
      </w:r>
      <w:r>
        <w:rPr>
          <w:spacing w:val="-3"/>
          <w:sz w:val="21"/>
          <w:vertAlign w:val="baseline"/>
        </w:rPr>
        <w:t> </w:t>
      </w:r>
      <w:r>
        <w:rPr>
          <w:sz w:val="21"/>
          <w:vertAlign w:val="baseline"/>
        </w:rPr>
        <w:t>peers,</w:t>
      </w:r>
      <w:r>
        <w:rPr>
          <w:spacing w:val="-1"/>
          <w:sz w:val="21"/>
          <w:vertAlign w:val="baseline"/>
        </w:rPr>
        <w:t> </w:t>
      </w:r>
      <w:r>
        <w:rPr>
          <w:sz w:val="21"/>
          <w:vertAlign w:val="baseline"/>
        </w:rPr>
        <w:t>and a higher risk of youth homelessness.</w:t>
      </w:r>
    </w:p>
    <w:p>
      <w:pPr>
        <w:spacing w:line="276" w:lineRule="auto" w:before="240"/>
        <w:ind w:left="463" w:right="200" w:firstLine="0"/>
        <w:jc w:val="both"/>
        <w:rPr>
          <w:sz w:val="21"/>
        </w:rPr>
      </w:pPr>
      <w:r>
        <w:rPr>
          <w:sz w:val="21"/>
        </w:rPr>
        <w:t>In</w:t>
      </w:r>
      <w:r>
        <w:rPr>
          <w:spacing w:val="-11"/>
          <w:sz w:val="21"/>
        </w:rPr>
        <w:t> </w:t>
      </w:r>
      <w:r>
        <w:rPr>
          <w:sz w:val="21"/>
        </w:rPr>
        <w:t>fall</w:t>
      </w:r>
      <w:r>
        <w:rPr>
          <w:spacing w:val="-11"/>
          <w:sz w:val="21"/>
        </w:rPr>
        <w:t> </w:t>
      </w:r>
      <w:r>
        <w:rPr>
          <w:sz w:val="21"/>
        </w:rPr>
        <w:t>2023,</w:t>
      </w:r>
      <w:r>
        <w:rPr>
          <w:spacing w:val="-12"/>
          <w:sz w:val="21"/>
        </w:rPr>
        <w:t> </w:t>
      </w:r>
      <w:r>
        <w:rPr>
          <w:sz w:val="21"/>
        </w:rPr>
        <w:t>Governor</w:t>
      </w:r>
      <w:r>
        <w:rPr>
          <w:spacing w:val="-10"/>
          <w:sz w:val="21"/>
        </w:rPr>
        <w:t> </w:t>
      </w:r>
      <w:r>
        <w:rPr>
          <w:sz w:val="21"/>
        </w:rPr>
        <w:t>Maura</w:t>
      </w:r>
      <w:r>
        <w:rPr>
          <w:spacing w:val="-11"/>
          <w:sz w:val="21"/>
        </w:rPr>
        <w:t> </w:t>
      </w:r>
      <w:r>
        <w:rPr>
          <w:sz w:val="21"/>
        </w:rPr>
        <w:t>Healey</w:t>
      </w:r>
      <w:r>
        <w:rPr>
          <w:spacing w:val="-12"/>
          <w:sz w:val="21"/>
        </w:rPr>
        <w:t> </w:t>
      </w:r>
      <w:r>
        <w:rPr>
          <w:sz w:val="21"/>
        </w:rPr>
        <w:t>introduced</w:t>
      </w:r>
      <w:r>
        <w:rPr>
          <w:spacing w:val="-10"/>
          <w:sz w:val="21"/>
        </w:rPr>
        <w:t> </w:t>
      </w:r>
      <w:r>
        <w:rPr>
          <w:sz w:val="21"/>
        </w:rPr>
        <w:t>the</w:t>
      </w:r>
      <w:r>
        <w:rPr>
          <w:spacing w:val="-12"/>
          <w:sz w:val="21"/>
        </w:rPr>
        <w:t> </w:t>
      </w:r>
      <w:r>
        <w:rPr>
          <w:sz w:val="21"/>
        </w:rPr>
        <w:t>Affordable</w:t>
      </w:r>
      <w:r>
        <w:rPr>
          <w:spacing w:val="-10"/>
          <w:sz w:val="21"/>
        </w:rPr>
        <w:t> </w:t>
      </w:r>
      <w:r>
        <w:rPr>
          <w:sz w:val="21"/>
        </w:rPr>
        <w:t>Homes</w:t>
      </w:r>
      <w:r>
        <w:rPr>
          <w:spacing w:val="-12"/>
          <w:sz w:val="21"/>
        </w:rPr>
        <w:t> </w:t>
      </w:r>
      <w:r>
        <w:rPr>
          <w:sz w:val="21"/>
        </w:rPr>
        <w:t>Act,</w:t>
      </w:r>
      <w:r>
        <w:rPr>
          <w:spacing w:val="-10"/>
          <w:sz w:val="21"/>
        </w:rPr>
        <w:t> </w:t>
      </w:r>
      <w:r>
        <w:rPr>
          <w:sz w:val="21"/>
        </w:rPr>
        <w:t>a</w:t>
      </w:r>
      <w:r>
        <w:rPr>
          <w:spacing w:val="-12"/>
          <w:sz w:val="21"/>
        </w:rPr>
        <w:t> </w:t>
      </w:r>
      <w:r>
        <w:rPr>
          <w:sz w:val="21"/>
        </w:rPr>
        <w:t>bill</w:t>
      </w:r>
      <w:r>
        <w:rPr>
          <w:spacing w:val="-12"/>
          <w:sz w:val="21"/>
        </w:rPr>
        <w:t> </w:t>
      </w:r>
      <w:r>
        <w:rPr>
          <w:sz w:val="21"/>
        </w:rPr>
        <w:t>that</w:t>
      </w:r>
      <w:r>
        <w:rPr>
          <w:spacing w:val="-10"/>
          <w:sz w:val="21"/>
        </w:rPr>
        <w:t> </w:t>
      </w:r>
      <w:r>
        <w:rPr>
          <w:sz w:val="21"/>
        </w:rPr>
        <w:t>would</w:t>
      </w:r>
      <w:r>
        <w:rPr>
          <w:spacing w:val="-11"/>
          <w:sz w:val="21"/>
        </w:rPr>
        <w:t> </w:t>
      </w:r>
      <w:r>
        <w:rPr>
          <w:sz w:val="21"/>
        </w:rPr>
        <w:t>spend</w:t>
      </w:r>
      <w:r>
        <w:rPr>
          <w:spacing w:val="-12"/>
          <w:sz w:val="21"/>
        </w:rPr>
        <w:t> </w:t>
      </w:r>
      <w:r>
        <w:rPr>
          <w:sz w:val="21"/>
        </w:rPr>
        <w:t>$4</w:t>
      </w:r>
      <w:r>
        <w:rPr>
          <w:spacing w:val="-11"/>
          <w:sz w:val="21"/>
        </w:rPr>
        <w:t> </w:t>
      </w:r>
      <w:r>
        <w:rPr>
          <w:sz w:val="21"/>
        </w:rPr>
        <w:t>billion on creating over 40,000 units of accessible housing.</w:t>
      </w:r>
      <w:hyperlink w:history="true" w:anchor="_bookmark589">
        <w:r>
          <w:rPr>
            <w:sz w:val="21"/>
            <w:vertAlign w:val="superscript"/>
          </w:rPr>
          <w:t>35</w:t>
        </w:r>
      </w:hyperlink>
      <w:r>
        <w:rPr>
          <w:sz w:val="21"/>
          <w:vertAlign w:val="baseline"/>
        </w:rPr>
        <w:t> Governor Healey’s goal is to increase affordable housing for everyone, especially for first-time homebuyers and renters.</w:t>
      </w:r>
      <w:hyperlink w:history="true" w:anchor="_bookmark590">
        <w:r>
          <w:rPr>
            <w:sz w:val="21"/>
            <w:vertAlign w:val="superscript"/>
          </w:rPr>
          <w:t>36</w:t>
        </w:r>
      </w:hyperlink>
      <w:r>
        <w:rPr>
          <w:spacing w:val="-2"/>
          <w:sz w:val="21"/>
          <w:vertAlign w:val="baseline"/>
        </w:rPr>
        <w:t> </w:t>
      </w:r>
      <w:r>
        <w:rPr>
          <w:sz w:val="21"/>
          <w:vertAlign w:val="baseline"/>
        </w:rPr>
        <w:t>Affordable housing, especially that in the city or close to public transportation, will reduce the barriers to employment for LGBTQ youth.</w:t>
      </w:r>
    </w:p>
    <w:p>
      <w:pPr>
        <w:spacing w:before="240"/>
        <w:ind w:left="464" w:right="0" w:firstLine="0"/>
        <w:jc w:val="left"/>
        <w:rPr>
          <w:sz w:val="28"/>
        </w:rPr>
      </w:pPr>
      <w:bookmarkStart w:name="Education" w:id="839"/>
      <w:bookmarkEnd w:id="839"/>
      <w:r>
        <w:rPr/>
      </w:r>
      <w:r>
        <w:rPr>
          <w:color w:val="365F91"/>
          <w:spacing w:val="-2"/>
          <w:sz w:val="28"/>
        </w:rPr>
        <w:t>Education</w:t>
      </w:r>
    </w:p>
    <w:p>
      <w:pPr>
        <w:spacing w:line="276" w:lineRule="auto" w:before="291"/>
        <w:ind w:left="463" w:right="200" w:firstLine="0"/>
        <w:jc w:val="both"/>
        <w:rPr>
          <w:sz w:val="21"/>
        </w:rPr>
      </w:pPr>
      <w:r>
        <w:rPr>
          <w:sz w:val="21"/>
        </w:rPr>
        <w:t>Education is an important determinant of economic outcomes for youth. According to the US Bureau of Labor Statistics, those with a high school diploma earn 25% more than those with less than a high school diploma and have an unemployment rate of 4% compared to 5.5% for those with less than a high school diploma.</w:t>
      </w:r>
      <w:hyperlink w:history="true" w:anchor="_bookmark591">
        <w:r>
          <w:rPr>
            <w:sz w:val="21"/>
            <w:vertAlign w:val="superscript"/>
          </w:rPr>
          <w:t>37</w:t>
        </w:r>
      </w:hyperlink>
      <w:r>
        <w:rPr>
          <w:sz w:val="21"/>
          <w:vertAlign w:val="baseline"/>
        </w:rPr>
        <w:t> LGBTQ youth may have a more difficult time finishing high school than their cisgender and straight peers due</w:t>
      </w:r>
      <w:r>
        <w:rPr>
          <w:spacing w:val="-1"/>
          <w:sz w:val="21"/>
          <w:vertAlign w:val="baseline"/>
        </w:rPr>
        <w:t> </w:t>
      </w:r>
      <w:r>
        <w:rPr>
          <w:sz w:val="21"/>
          <w:vertAlign w:val="baseline"/>
        </w:rPr>
        <w:t>to educational exclusion, which includes discrimination, bullying, and harsher discipline for LGBTQ youth, specifically those who are Black, Latinx, Native, and Indigenous.</w:t>
      </w:r>
      <w:hyperlink w:history="true" w:anchor="_bookmark592">
        <w:r>
          <w:rPr>
            <w:sz w:val="21"/>
            <w:vertAlign w:val="superscript"/>
          </w:rPr>
          <w:t>38</w:t>
        </w:r>
      </w:hyperlink>
    </w:p>
    <w:p>
      <w:pPr>
        <w:spacing w:line="276" w:lineRule="auto" w:before="240"/>
        <w:ind w:left="464" w:right="198" w:firstLine="0"/>
        <w:jc w:val="both"/>
        <w:rPr>
          <w:sz w:val="21"/>
        </w:rPr>
      </w:pPr>
      <w:r>
        <w:rPr>
          <w:sz w:val="21"/>
        </w:rPr>
        <w:t>A promising alternative to traditional high school is technical or vocational education. While technical education</w:t>
      </w:r>
      <w:r>
        <w:rPr>
          <w:spacing w:val="-11"/>
          <w:sz w:val="21"/>
        </w:rPr>
        <w:t> </w:t>
      </w:r>
      <w:r>
        <w:rPr>
          <w:sz w:val="21"/>
        </w:rPr>
        <w:t>offers</w:t>
      </w:r>
      <w:r>
        <w:rPr>
          <w:spacing w:val="-11"/>
          <w:sz w:val="21"/>
        </w:rPr>
        <w:t> </w:t>
      </w:r>
      <w:r>
        <w:rPr>
          <w:sz w:val="21"/>
        </w:rPr>
        <w:t>various</w:t>
      </w:r>
      <w:r>
        <w:rPr>
          <w:spacing w:val="-11"/>
          <w:sz w:val="21"/>
        </w:rPr>
        <w:t> </w:t>
      </w:r>
      <w:r>
        <w:rPr>
          <w:sz w:val="21"/>
        </w:rPr>
        <w:t>benefits</w:t>
      </w:r>
      <w:r>
        <w:rPr>
          <w:spacing w:val="-11"/>
          <w:sz w:val="21"/>
        </w:rPr>
        <w:t> </w:t>
      </w:r>
      <w:r>
        <w:rPr>
          <w:sz w:val="21"/>
        </w:rPr>
        <w:t>such</w:t>
      </w:r>
      <w:r>
        <w:rPr>
          <w:spacing w:val="-11"/>
          <w:sz w:val="21"/>
        </w:rPr>
        <w:t> </w:t>
      </w:r>
      <w:r>
        <w:rPr>
          <w:sz w:val="21"/>
        </w:rPr>
        <w:t>as</w:t>
      </w:r>
      <w:r>
        <w:rPr>
          <w:spacing w:val="-11"/>
          <w:sz w:val="21"/>
        </w:rPr>
        <w:t> </w:t>
      </w:r>
      <w:r>
        <w:rPr>
          <w:sz w:val="21"/>
        </w:rPr>
        <w:t>increased</w:t>
      </w:r>
      <w:r>
        <w:rPr>
          <w:spacing w:val="-11"/>
          <w:sz w:val="21"/>
        </w:rPr>
        <w:t> </w:t>
      </w:r>
      <w:r>
        <w:rPr>
          <w:sz w:val="21"/>
        </w:rPr>
        <w:t>earnings</w:t>
      </w:r>
      <w:r>
        <w:rPr>
          <w:spacing w:val="-11"/>
          <w:sz w:val="21"/>
        </w:rPr>
        <w:t> </w:t>
      </w:r>
      <w:r>
        <w:rPr>
          <w:sz w:val="21"/>
        </w:rPr>
        <w:t>without</w:t>
      </w:r>
      <w:r>
        <w:rPr>
          <w:spacing w:val="-11"/>
          <w:sz w:val="21"/>
        </w:rPr>
        <w:t> </w:t>
      </w:r>
      <w:r>
        <w:rPr>
          <w:sz w:val="21"/>
        </w:rPr>
        <w:t>a</w:t>
      </w:r>
      <w:r>
        <w:rPr>
          <w:spacing w:val="-11"/>
          <w:sz w:val="21"/>
        </w:rPr>
        <w:t> </w:t>
      </w:r>
      <w:r>
        <w:rPr>
          <w:sz w:val="21"/>
        </w:rPr>
        <w:t>college</w:t>
      </w:r>
      <w:r>
        <w:rPr>
          <w:spacing w:val="-11"/>
          <w:sz w:val="21"/>
        </w:rPr>
        <w:t> </w:t>
      </w:r>
      <w:r>
        <w:rPr>
          <w:sz w:val="21"/>
        </w:rPr>
        <w:t>degree,</w:t>
      </w:r>
      <w:r>
        <w:rPr>
          <w:spacing w:val="-11"/>
          <w:sz w:val="21"/>
        </w:rPr>
        <w:t> </w:t>
      </w:r>
      <w:r>
        <w:rPr>
          <w:sz w:val="21"/>
        </w:rPr>
        <w:t>MA</w:t>
      </w:r>
      <w:r>
        <w:rPr>
          <w:spacing w:val="-11"/>
          <w:sz w:val="21"/>
        </w:rPr>
        <w:t> </w:t>
      </w:r>
      <w:r>
        <w:rPr>
          <w:sz w:val="21"/>
        </w:rPr>
        <w:t>technical</w:t>
      </w:r>
      <w:r>
        <w:rPr>
          <w:spacing w:val="-11"/>
          <w:sz w:val="21"/>
        </w:rPr>
        <w:t> </w:t>
      </w:r>
      <w:r>
        <w:rPr>
          <w:sz w:val="21"/>
        </w:rPr>
        <w:t>schools have a shortage of seats and have discriminated against vulnerable youth populations, including youth of color,</w:t>
      </w:r>
      <w:r>
        <w:rPr>
          <w:spacing w:val="-8"/>
          <w:sz w:val="21"/>
        </w:rPr>
        <w:t> </w:t>
      </w:r>
      <w:r>
        <w:rPr>
          <w:sz w:val="21"/>
        </w:rPr>
        <w:t>youth</w:t>
      </w:r>
      <w:r>
        <w:rPr>
          <w:spacing w:val="-8"/>
          <w:sz w:val="21"/>
        </w:rPr>
        <w:t> </w:t>
      </w:r>
      <w:r>
        <w:rPr>
          <w:sz w:val="21"/>
        </w:rPr>
        <w:t>from</w:t>
      </w:r>
      <w:r>
        <w:rPr>
          <w:spacing w:val="-8"/>
          <w:sz w:val="21"/>
        </w:rPr>
        <w:t> </w:t>
      </w:r>
      <w:r>
        <w:rPr>
          <w:sz w:val="21"/>
        </w:rPr>
        <w:t>low-income</w:t>
      </w:r>
      <w:r>
        <w:rPr>
          <w:spacing w:val="-8"/>
          <w:sz w:val="21"/>
        </w:rPr>
        <w:t> </w:t>
      </w:r>
      <w:r>
        <w:rPr>
          <w:sz w:val="21"/>
        </w:rPr>
        <w:t>families,</w:t>
      </w:r>
      <w:r>
        <w:rPr>
          <w:spacing w:val="-8"/>
          <w:sz w:val="21"/>
        </w:rPr>
        <w:t> </w:t>
      </w:r>
      <w:r>
        <w:rPr>
          <w:sz w:val="21"/>
        </w:rPr>
        <w:t>English</w:t>
      </w:r>
      <w:r>
        <w:rPr>
          <w:spacing w:val="-8"/>
          <w:sz w:val="21"/>
        </w:rPr>
        <w:t> </w:t>
      </w:r>
      <w:r>
        <w:rPr>
          <w:sz w:val="21"/>
        </w:rPr>
        <w:t>language</w:t>
      </w:r>
      <w:r>
        <w:rPr>
          <w:spacing w:val="-8"/>
          <w:sz w:val="21"/>
        </w:rPr>
        <w:t> </w:t>
      </w:r>
      <w:r>
        <w:rPr>
          <w:sz w:val="21"/>
        </w:rPr>
        <w:t>learners,</w:t>
      </w:r>
      <w:r>
        <w:rPr>
          <w:spacing w:val="-8"/>
          <w:sz w:val="21"/>
        </w:rPr>
        <w:t> </w:t>
      </w:r>
      <w:r>
        <w:rPr>
          <w:sz w:val="21"/>
        </w:rPr>
        <w:t>and</w:t>
      </w:r>
      <w:r>
        <w:rPr>
          <w:spacing w:val="-8"/>
          <w:sz w:val="21"/>
        </w:rPr>
        <w:t> </w:t>
      </w:r>
      <w:r>
        <w:rPr>
          <w:sz w:val="21"/>
        </w:rPr>
        <w:t>students</w:t>
      </w:r>
      <w:r>
        <w:rPr>
          <w:spacing w:val="-9"/>
          <w:sz w:val="21"/>
        </w:rPr>
        <w:t> </w:t>
      </w:r>
      <w:r>
        <w:rPr>
          <w:sz w:val="21"/>
        </w:rPr>
        <w:t>with</w:t>
      </w:r>
      <w:r>
        <w:rPr>
          <w:spacing w:val="-9"/>
          <w:sz w:val="21"/>
        </w:rPr>
        <w:t> </w:t>
      </w:r>
      <w:r>
        <w:rPr>
          <w:sz w:val="21"/>
        </w:rPr>
        <w:t>disabilities.</w:t>
      </w:r>
      <w:hyperlink w:history="true" w:anchor="_bookmark593">
        <w:r>
          <w:rPr>
            <w:sz w:val="21"/>
            <w:vertAlign w:val="superscript"/>
          </w:rPr>
          <w:t>39</w:t>
        </w:r>
      </w:hyperlink>
      <w:r>
        <w:rPr>
          <w:spacing w:val="-2"/>
          <w:sz w:val="21"/>
          <w:vertAlign w:val="baseline"/>
        </w:rPr>
        <w:t> </w:t>
      </w:r>
      <w:r>
        <w:rPr>
          <w:sz w:val="21"/>
          <w:vertAlign w:val="baseline"/>
        </w:rPr>
        <w:t>Although there is recorded discrimination in the admissions process for MA technical schools, there has not been research into anti-LGBTQ discrimination. This should be investigated considering the history of discrimination against other at-risk youth in the admissions process.</w:t>
      </w:r>
    </w:p>
    <w:p>
      <w:pPr>
        <w:spacing w:line="276" w:lineRule="auto" w:before="241"/>
        <w:ind w:left="464" w:right="201" w:firstLine="0"/>
        <w:jc w:val="both"/>
        <w:rPr>
          <w:sz w:val="21"/>
        </w:rPr>
      </w:pPr>
      <w:r>
        <w:rPr/>
        <w:drawing>
          <wp:anchor distT="0" distB="0" distL="0" distR="0" allowOverlap="1" layoutInCell="1" locked="0" behindDoc="0" simplePos="0" relativeHeight="15823872">
            <wp:simplePos x="0" y="0"/>
            <wp:positionH relativeFrom="page">
              <wp:posOffset>3966369</wp:posOffset>
            </wp:positionH>
            <wp:positionV relativeFrom="paragraph">
              <wp:posOffset>662312</wp:posOffset>
            </wp:positionV>
            <wp:extent cx="2854183" cy="1496901"/>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648" cstate="print"/>
                    <a:stretch>
                      <a:fillRect/>
                    </a:stretch>
                  </pic:blipFill>
                  <pic:spPr>
                    <a:xfrm>
                      <a:off x="0" y="0"/>
                      <a:ext cx="2854183" cy="1496901"/>
                    </a:xfrm>
                    <a:prstGeom prst="rect">
                      <a:avLst/>
                    </a:prstGeom>
                  </pic:spPr>
                </pic:pic>
              </a:graphicData>
            </a:graphic>
          </wp:anchor>
        </w:drawing>
      </w:r>
      <w:r>
        <w:rPr>
          <w:sz w:val="21"/>
        </w:rPr>
        <w:t>In addition to obtaining a diploma, there are benefits to attending higher education. According to the US Bureau of Labor Statistics, those with a college degree earn about 67% more than those with only a high school diploma and have an unemployment rate of</w:t>
      </w:r>
    </w:p>
    <w:p>
      <w:pPr>
        <w:spacing w:line="276" w:lineRule="auto" w:before="0"/>
        <w:ind w:left="464" w:right="4945" w:firstLine="0"/>
        <w:jc w:val="both"/>
        <w:rPr>
          <w:sz w:val="21"/>
        </w:rPr>
      </w:pPr>
      <w:r>
        <w:rPr>
          <w:sz w:val="21"/>
        </w:rPr>
        <w:t>2.2% compared to 4% for those with only a high school diploma. </w:t>
      </w:r>
      <w:hyperlink w:history="true" w:anchor="_bookmark594">
        <w:r>
          <w:rPr>
            <w:sz w:val="21"/>
            <w:vertAlign w:val="superscript"/>
          </w:rPr>
          <w:t>40</w:t>
        </w:r>
      </w:hyperlink>
      <w:r>
        <w:rPr>
          <w:sz w:val="21"/>
          <w:vertAlign w:val="baseline"/>
        </w:rPr>
        <w:t> There are many barriers to higher education, such as the high cost of tuition which causes many students to take out loans and potentially go into debt. In November 2023, Governor Maura Healey announced a financial aid expansion for MA students who attend MA community</w:t>
      </w:r>
      <w:r>
        <w:rPr>
          <w:spacing w:val="-12"/>
          <w:sz w:val="21"/>
          <w:vertAlign w:val="baseline"/>
        </w:rPr>
        <w:t> </w:t>
      </w:r>
      <w:r>
        <w:rPr>
          <w:sz w:val="21"/>
          <w:vertAlign w:val="baseline"/>
        </w:rPr>
        <w:t>colleges,</w:t>
      </w:r>
      <w:r>
        <w:rPr>
          <w:spacing w:val="-11"/>
          <w:sz w:val="21"/>
          <w:vertAlign w:val="baseline"/>
        </w:rPr>
        <w:t> </w:t>
      </w:r>
      <w:r>
        <w:rPr>
          <w:sz w:val="21"/>
          <w:vertAlign w:val="baseline"/>
        </w:rPr>
        <w:t>MA</w:t>
      </w:r>
      <w:r>
        <w:rPr>
          <w:spacing w:val="-12"/>
          <w:sz w:val="21"/>
          <w:vertAlign w:val="baseline"/>
        </w:rPr>
        <w:t> </w:t>
      </w:r>
      <w:r>
        <w:rPr>
          <w:sz w:val="21"/>
          <w:vertAlign w:val="baseline"/>
        </w:rPr>
        <w:t>state</w:t>
      </w:r>
      <w:r>
        <w:rPr>
          <w:spacing w:val="-12"/>
          <w:sz w:val="21"/>
          <w:vertAlign w:val="baseline"/>
        </w:rPr>
        <w:t> </w:t>
      </w:r>
      <w:r>
        <w:rPr>
          <w:sz w:val="21"/>
          <w:vertAlign w:val="baseline"/>
        </w:rPr>
        <w:t>universities,</w:t>
      </w:r>
      <w:r>
        <w:rPr>
          <w:spacing w:val="-11"/>
          <w:sz w:val="21"/>
          <w:vertAlign w:val="baseline"/>
        </w:rPr>
        <w:t> </w:t>
      </w:r>
      <w:r>
        <w:rPr>
          <w:sz w:val="21"/>
          <w:vertAlign w:val="baseline"/>
        </w:rPr>
        <w:t>and</w:t>
      </w:r>
      <w:r>
        <w:rPr>
          <w:spacing w:val="-12"/>
          <w:sz w:val="21"/>
          <w:vertAlign w:val="baseline"/>
        </w:rPr>
        <w:t> </w:t>
      </w:r>
      <w:r>
        <w:rPr>
          <w:sz w:val="21"/>
          <w:vertAlign w:val="baseline"/>
        </w:rPr>
        <w:t>the University</w:t>
      </w:r>
      <w:r>
        <w:rPr>
          <w:spacing w:val="6"/>
          <w:sz w:val="21"/>
          <w:vertAlign w:val="baseline"/>
        </w:rPr>
        <w:t> </w:t>
      </w:r>
      <w:r>
        <w:rPr>
          <w:sz w:val="21"/>
          <w:vertAlign w:val="baseline"/>
        </w:rPr>
        <w:t>of</w:t>
      </w:r>
      <w:r>
        <w:rPr>
          <w:spacing w:val="10"/>
          <w:sz w:val="21"/>
          <w:vertAlign w:val="baseline"/>
        </w:rPr>
        <w:t> </w:t>
      </w:r>
      <w:r>
        <w:rPr>
          <w:sz w:val="21"/>
          <w:vertAlign w:val="baseline"/>
        </w:rPr>
        <w:t>Massachusetts.</w:t>
      </w:r>
      <w:r>
        <w:rPr>
          <w:spacing w:val="8"/>
          <w:sz w:val="21"/>
          <w:vertAlign w:val="baseline"/>
        </w:rPr>
        <w:t> </w:t>
      </w:r>
      <w:r>
        <w:rPr>
          <w:sz w:val="21"/>
          <w:vertAlign w:val="baseline"/>
        </w:rPr>
        <w:t>This</w:t>
      </w:r>
      <w:r>
        <w:rPr>
          <w:spacing w:val="9"/>
          <w:sz w:val="21"/>
          <w:vertAlign w:val="baseline"/>
        </w:rPr>
        <w:t> </w:t>
      </w:r>
      <w:r>
        <w:rPr>
          <w:sz w:val="21"/>
          <w:vertAlign w:val="baseline"/>
        </w:rPr>
        <w:t>MASSGrant</w:t>
      </w:r>
      <w:r>
        <w:rPr>
          <w:spacing w:val="10"/>
          <w:sz w:val="21"/>
          <w:vertAlign w:val="baseline"/>
        </w:rPr>
        <w:t> </w:t>
      </w:r>
      <w:r>
        <w:rPr>
          <w:spacing w:val="-4"/>
          <w:sz w:val="21"/>
          <w:vertAlign w:val="baseline"/>
        </w:rPr>
        <w:t>Plus</w:t>
      </w:r>
    </w:p>
    <w:p>
      <w:pPr>
        <w:spacing w:line="276" w:lineRule="auto" w:before="0"/>
        <w:ind w:left="464" w:right="199" w:firstLine="0"/>
        <w:jc w:val="both"/>
        <w:rPr>
          <w:sz w:val="21"/>
        </w:rPr>
      </w:pPr>
      <w:r>
        <w:rPr>
          <w:sz w:val="21"/>
        </w:rPr>
        <w:t>Expansion program will cover tuition, fees, books, and supply-costs for Pell-Grant eligible students and reduce</w:t>
      </w:r>
      <w:r>
        <w:rPr>
          <w:spacing w:val="-4"/>
          <w:sz w:val="21"/>
        </w:rPr>
        <w:t> </w:t>
      </w:r>
      <w:r>
        <w:rPr>
          <w:sz w:val="21"/>
        </w:rPr>
        <w:t>expenses</w:t>
      </w:r>
      <w:r>
        <w:rPr>
          <w:spacing w:val="-5"/>
          <w:sz w:val="21"/>
        </w:rPr>
        <w:t> </w:t>
      </w:r>
      <w:r>
        <w:rPr>
          <w:sz w:val="21"/>
        </w:rPr>
        <w:t>for</w:t>
      </w:r>
      <w:r>
        <w:rPr>
          <w:spacing w:val="-4"/>
          <w:sz w:val="21"/>
        </w:rPr>
        <w:t> </w:t>
      </w:r>
      <w:r>
        <w:rPr>
          <w:sz w:val="21"/>
        </w:rPr>
        <w:t>middle-income</w:t>
      </w:r>
      <w:r>
        <w:rPr>
          <w:spacing w:val="-4"/>
          <w:sz w:val="21"/>
        </w:rPr>
        <w:t> </w:t>
      </w:r>
      <w:r>
        <w:rPr>
          <w:sz w:val="21"/>
        </w:rPr>
        <w:t>students</w:t>
      </w:r>
      <w:r>
        <w:rPr>
          <w:spacing w:val="-5"/>
          <w:sz w:val="21"/>
        </w:rPr>
        <w:t> </w:t>
      </w:r>
      <w:r>
        <w:rPr>
          <w:sz w:val="21"/>
        </w:rPr>
        <w:t>by</w:t>
      </w:r>
      <w:r>
        <w:rPr>
          <w:spacing w:val="-5"/>
          <w:sz w:val="21"/>
        </w:rPr>
        <w:t> </w:t>
      </w:r>
      <w:r>
        <w:rPr>
          <w:sz w:val="21"/>
        </w:rPr>
        <w:t>up</w:t>
      </w:r>
      <w:r>
        <w:rPr>
          <w:spacing w:val="-4"/>
          <w:sz w:val="21"/>
        </w:rPr>
        <w:t> </w:t>
      </w:r>
      <w:r>
        <w:rPr>
          <w:sz w:val="21"/>
        </w:rPr>
        <w:t>to</w:t>
      </w:r>
      <w:r>
        <w:rPr>
          <w:spacing w:val="-6"/>
          <w:sz w:val="21"/>
        </w:rPr>
        <w:t> </w:t>
      </w:r>
      <w:r>
        <w:rPr>
          <w:sz w:val="21"/>
        </w:rPr>
        <w:t>50%.</w:t>
      </w:r>
      <w:hyperlink w:history="true" w:anchor="_bookmark595">
        <w:r>
          <w:rPr>
            <w:sz w:val="21"/>
            <w:vertAlign w:val="superscript"/>
          </w:rPr>
          <w:t>41</w:t>
        </w:r>
      </w:hyperlink>
      <w:r>
        <w:rPr>
          <w:spacing w:val="-2"/>
          <w:sz w:val="21"/>
          <w:vertAlign w:val="baseline"/>
        </w:rPr>
        <w:t> </w:t>
      </w:r>
      <w:r>
        <w:rPr>
          <w:sz w:val="21"/>
          <w:vertAlign w:val="baseline"/>
        </w:rPr>
        <w:t>Providing</w:t>
      </w:r>
      <w:r>
        <w:rPr>
          <w:spacing w:val="-4"/>
          <w:sz w:val="21"/>
          <w:vertAlign w:val="baseline"/>
        </w:rPr>
        <w:t> </w:t>
      </w:r>
      <w:r>
        <w:rPr>
          <w:sz w:val="21"/>
          <w:vertAlign w:val="baseline"/>
        </w:rPr>
        <w:t>this</w:t>
      </w:r>
      <w:r>
        <w:rPr>
          <w:spacing w:val="-5"/>
          <w:sz w:val="21"/>
          <w:vertAlign w:val="baseline"/>
        </w:rPr>
        <w:t> </w:t>
      </w:r>
      <w:r>
        <w:rPr>
          <w:sz w:val="21"/>
          <w:vertAlign w:val="baseline"/>
        </w:rPr>
        <w:t>kind</w:t>
      </w:r>
      <w:r>
        <w:rPr>
          <w:spacing w:val="-4"/>
          <w:sz w:val="21"/>
          <w:vertAlign w:val="baseline"/>
        </w:rPr>
        <w:t> </w:t>
      </w:r>
      <w:r>
        <w:rPr>
          <w:sz w:val="21"/>
          <w:vertAlign w:val="baseline"/>
        </w:rPr>
        <w:t>of</w:t>
      </w:r>
      <w:r>
        <w:rPr>
          <w:spacing w:val="-5"/>
          <w:sz w:val="21"/>
          <w:vertAlign w:val="baseline"/>
        </w:rPr>
        <w:t> </w:t>
      </w:r>
      <w:r>
        <w:rPr>
          <w:sz w:val="21"/>
          <w:vertAlign w:val="baseline"/>
        </w:rPr>
        <w:t>support</w:t>
      </w:r>
      <w:r>
        <w:rPr>
          <w:spacing w:val="-4"/>
          <w:sz w:val="21"/>
          <w:vertAlign w:val="baseline"/>
        </w:rPr>
        <w:t> </w:t>
      </w:r>
      <w:r>
        <w:rPr>
          <w:sz w:val="21"/>
          <w:vertAlign w:val="baseline"/>
        </w:rPr>
        <w:t>and</w:t>
      </w:r>
      <w:r>
        <w:rPr>
          <w:spacing w:val="-4"/>
          <w:sz w:val="21"/>
          <w:vertAlign w:val="baseline"/>
        </w:rPr>
        <w:t> </w:t>
      </w:r>
      <w:r>
        <w:rPr>
          <w:sz w:val="21"/>
          <w:vertAlign w:val="baseline"/>
        </w:rPr>
        <w:t>decreasing</w:t>
      </w:r>
    </w:p>
    <w:p>
      <w:pPr>
        <w:spacing w:after="0" w:line="276" w:lineRule="auto"/>
        <w:jc w:val="both"/>
        <w:rPr>
          <w:sz w:val="21"/>
        </w:rPr>
        <w:sectPr>
          <w:pgSz w:w="12240" w:h="15840"/>
          <w:pgMar w:header="763" w:footer="1041" w:top="1380" w:bottom="1240" w:left="1120" w:right="1380"/>
        </w:sectPr>
      </w:pPr>
    </w:p>
    <w:p>
      <w:pPr>
        <w:spacing w:line="276" w:lineRule="auto" w:before="47"/>
        <w:ind w:left="464" w:right="201" w:firstLine="0"/>
        <w:jc w:val="both"/>
        <w:rPr>
          <w:sz w:val="21"/>
        </w:rPr>
      </w:pPr>
      <w:r>
        <w:rPr>
          <w:sz w:val="21"/>
        </w:rPr>
        <w:t>the barriers to higher education will lead to better economic outcomes for youth overall and youth from marginalized communities.</w:t>
      </w:r>
    </w:p>
    <w:p>
      <w:pPr>
        <w:spacing w:line="276" w:lineRule="auto" w:before="240"/>
        <w:ind w:left="463" w:right="199" w:firstLine="0"/>
        <w:jc w:val="both"/>
        <w:rPr>
          <w:sz w:val="21"/>
        </w:rPr>
      </w:pPr>
      <w:r>
        <w:rPr>
          <w:sz w:val="21"/>
        </w:rPr>
        <w:t>Youth with disabilities and immigrant youth may need additional resources to succeed academically and transition</w:t>
      </w:r>
      <w:r>
        <w:rPr>
          <w:spacing w:val="-12"/>
          <w:sz w:val="21"/>
        </w:rPr>
        <w:t> </w:t>
      </w:r>
      <w:r>
        <w:rPr>
          <w:sz w:val="21"/>
        </w:rPr>
        <w:t>to</w:t>
      </w:r>
      <w:r>
        <w:rPr>
          <w:spacing w:val="-12"/>
          <w:sz w:val="21"/>
        </w:rPr>
        <w:t> </w:t>
      </w:r>
      <w:r>
        <w:rPr>
          <w:sz w:val="21"/>
        </w:rPr>
        <w:t>the</w:t>
      </w:r>
      <w:r>
        <w:rPr>
          <w:spacing w:val="-12"/>
          <w:sz w:val="21"/>
        </w:rPr>
        <w:t> </w:t>
      </w:r>
      <w:r>
        <w:rPr>
          <w:sz w:val="21"/>
        </w:rPr>
        <w:t>workforce</w:t>
      </w:r>
      <w:r>
        <w:rPr>
          <w:spacing w:val="-12"/>
          <w:sz w:val="21"/>
        </w:rPr>
        <w:t> </w:t>
      </w:r>
      <w:r>
        <w:rPr>
          <w:sz w:val="21"/>
        </w:rPr>
        <w:t>or</w:t>
      </w:r>
      <w:r>
        <w:rPr>
          <w:spacing w:val="-12"/>
          <w:sz w:val="21"/>
        </w:rPr>
        <w:t> </w:t>
      </w:r>
      <w:r>
        <w:rPr>
          <w:sz w:val="21"/>
        </w:rPr>
        <w:t>to</w:t>
      </w:r>
      <w:r>
        <w:rPr>
          <w:spacing w:val="-12"/>
          <w:sz w:val="21"/>
        </w:rPr>
        <w:t> </w:t>
      </w:r>
      <w:r>
        <w:rPr>
          <w:sz w:val="21"/>
        </w:rPr>
        <w:t>higher</w:t>
      </w:r>
      <w:r>
        <w:rPr>
          <w:spacing w:val="-12"/>
          <w:sz w:val="21"/>
        </w:rPr>
        <w:t> </w:t>
      </w:r>
      <w:r>
        <w:rPr>
          <w:sz w:val="21"/>
        </w:rPr>
        <w:t>education.</w:t>
      </w:r>
      <w:r>
        <w:rPr>
          <w:spacing w:val="-11"/>
          <w:sz w:val="21"/>
        </w:rPr>
        <w:t> </w:t>
      </w:r>
      <w:r>
        <w:rPr>
          <w:sz w:val="21"/>
        </w:rPr>
        <w:t>DESE</w:t>
      </w:r>
      <w:r>
        <w:rPr>
          <w:spacing w:val="-12"/>
          <w:sz w:val="21"/>
        </w:rPr>
        <w:t> </w:t>
      </w:r>
      <w:r>
        <w:rPr>
          <w:sz w:val="21"/>
        </w:rPr>
        <w:t>provides</w:t>
      </w:r>
      <w:r>
        <w:rPr>
          <w:spacing w:val="-12"/>
          <w:sz w:val="21"/>
        </w:rPr>
        <w:t> </w:t>
      </w:r>
      <w:r>
        <w:rPr>
          <w:sz w:val="21"/>
        </w:rPr>
        <w:t>educational</w:t>
      </w:r>
      <w:r>
        <w:rPr>
          <w:spacing w:val="-12"/>
          <w:sz w:val="21"/>
        </w:rPr>
        <w:t> </w:t>
      </w:r>
      <w:r>
        <w:rPr>
          <w:sz w:val="21"/>
        </w:rPr>
        <w:t>resources</w:t>
      </w:r>
      <w:r>
        <w:rPr>
          <w:spacing w:val="-12"/>
          <w:sz w:val="21"/>
        </w:rPr>
        <w:t> </w:t>
      </w:r>
      <w:r>
        <w:rPr>
          <w:sz w:val="21"/>
        </w:rPr>
        <w:t>to</w:t>
      </w:r>
      <w:r>
        <w:rPr>
          <w:spacing w:val="-12"/>
          <w:sz w:val="21"/>
        </w:rPr>
        <w:t> </w:t>
      </w:r>
      <w:r>
        <w:rPr>
          <w:sz w:val="21"/>
        </w:rPr>
        <w:t>support</w:t>
      </w:r>
      <w:r>
        <w:rPr>
          <w:spacing w:val="-12"/>
          <w:sz w:val="21"/>
        </w:rPr>
        <w:t> </w:t>
      </w:r>
      <w:r>
        <w:rPr>
          <w:sz w:val="21"/>
        </w:rPr>
        <w:t>students with disabilities and ensure that education is</w:t>
      </w:r>
      <w:r>
        <w:rPr>
          <w:spacing w:val="-1"/>
          <w:sz w:val="21"/>
        </w:rPr>
        <w:t> </w:t>
      </w:r>
      <w:r>
        <w:rPr>
          <w:sz w:val="21"/>
        </w:rPr>
        <w:t>accessible. Bilingual education and English language learning (ELL) are critical to the academic success of immigrant youth.</w:t>
      </w:r>
      <w:hyperlink w:history="true" w:anchor="_bookmark596">
        <w:r>
          <w:rPr>
            <w:sz w:val="21"/>
            <w:vertAlign w:val="superscript"/>
          </w:rPr>
          <w:t>42</w:t>
        </w:r>
      </w:hyperlink>
      <w:r>
        <w:rPr>
          <w:spacing w:val="-1"/>
          <w:sz w:val="21"/>
          <w:vertAlign w:val="baseline"/>
        </w:rPr>
        <w:t> </w:t>
      </w:r>
      <w:r>
        <w:rPr>
          <w:sz w:val="21"/>
          <w:vertAlign w:val="baseline"/>
        </w:rPr>
        <w:t>In addition to ELL, schools must provide resources for the social-emotional and trauma-informed needs of immigrant youth and youth who are refugees.</w:t>
      </w:r>
      <w:hyperlink w:history="true" w:anchor="_bookmark597">
        <w:r>
          <w:rPr>
            <w:sz w:val="21"/>
            <w:vertAlign w:val="superscript"/>
          </w:rPr>
          <w:t>43</w:t>
        </w:r>
      </w:hyperlink>
      <w:r>
        <w:rPr>
          <w:spacing w:val="-7"/>
          <w:sz w:val="21"/>
          <w:vertAlign w:val="baseline"/>
        </w:rPr>
        <w:t> </w:t>
      </w:r>
      <w:r>
        <w:rPr>
          <w:sz w:val="21"/>
          <w:vertAlign w:val="baseline"/>
        </w:rPr>
        <w:t>DESE</w:t>
      </w:r>
      <w:r>
        <w:rPr>
          <w:spacing w:val="-12"/>
          <w:sz w:val="21"/>
          <w:vertAlign w:val="baseline"/>
        </w:rPr>
        <w:t> </w:t>
      </w:r>
      <w:r>
        <w:rPr>
          <w:sz w:val="21"/>
          <w:vertAlign w:val="baseline"/>
        </w:rPr>
        <w:t>provides</w:t>
      </w:r>
      <w:r>
        <w:rPr>
          <w:spacing w:val="-12"/>
          <w:sz w:val="21"/>
          <w:vertAlign w:val="baseline"/>
        </w:rPr>
        <w:t> </w:t>
      </w:r>
      <w:r>
        <w:rPr>
          <w:sz w:val="21"/>
          <w:vertAlign w:val="baseline"/>
        </w:rPr>
        <w:t>educational</w:t>
      </w:r>
      <w:r>
        <w:rPr>
          <w:spacing w:val="-12"/>
          <w:sz w:val="21"/>
          <w:vertAlign w:val="baseline"/>
        </w:rPr>
        <w:t> </w:t>
      </w:r>
      <w:r>
        <w:rPr>
          <w:sz w:val="21"/>
          <w:vertAlign w:val="baseline"/>
        </w:rPr>
        <w:t>resources</w:t>
      </w:r>
      <w:r>
        <w:rPr>
          <w:spacing w:val="-11"/>
          <w:sz w:val="21"/>
          <w:vertAlign w:val="baseline"/>
        </w:rPr>
        <w:t> </w:t>
      </w:r>
      <w:r>
        <w:rPr>
          <w:sz w:val="21"/>
          <w:vertAlign w:val="baseline"/>
        </w:rPr>
        <w:t>for</w:t>
      </w:r>
      <w:r>
        <w:rPr>
          <w:spacing w:val="-12"/>
          <w:sz w:val="21"/>
          <w:vertAlign w:val="baseline"/>
        </w:rPr>
        <w:t> </w:t>
      </w:r>
      <w:r>
        <w:rPr>
          <w:sz w:val="21"/>
          <w:vertAlign w:val="baseline"/>
        </w:rPr>
        <w:t>educators</w:t>
      </w:r>
      <w:r>
        <w:rPr>
          <w:spacing w:val="-12"/>
          <w:sz w:val="21"/>
          <w:vertAlign w:val="baseline"/>
        </w:rPr>
        <w:t> </w:t>
      </w:r>
      <w:r>
        <w:rPr>
          <w:sz w:val="21"/>
          <w:vertAlign w:val="baseline"/>
        </w:rPr>
        <w:t>and</w:t>
      </w:r>
      <w:r>
        <w:rPr>
          <w:spacing w:val="-12"/>
          <w:sz w:val="21"/>
          <w:vertAlign w:val="baseline"/>
        </w:rPr>
        <w:t> </w:t>
      </w:r>
      <w:r>
        <w:rPr>
          <w:sz w:val="21"/>
          <w:vertAlign w:val="baseline"/>
        </w:rPr>
        <w:t>immigrant</w:t>
      </w:r>
      <w:r>
        <w:rPr>
          <w:spacing w:val="-11"/>
          <w:sz w:val="21"/>
          <w:vertAlign w:val="baseline"/>
        </w:rPr>
        <w:t> </w:t>
      </w:r>
      <w:r>
        <w:rPr>
          <w:sz w:val="21"/>
          <w:vertAlign w:val="baseline"/>
        </w:rPr>
        <w:t>youth</w:t>
      </w:r>
      <w:r>
        <w:rPr>
          <w:spacing w:val="-12"/>
          <w:sz w:val="21"/>
          <w:vertAlign w:val="baseline"/>
        </w:rPr>
        <w:t> </w:t>
      </w:r>
      <w:r>
        <w:rPr>
          <w:sz w:val="21"/>
          <w:vertAlign w:val="baseline"/>
        </w:rPr>
        <w:t>and</w:t>
      </w:r>
      <w:r>
        <w:rPr>
          <w:spacing w:val="-12"/>
          <w:sz w:val="21"/>
          <w:vertAlign w:val="baseline"/>
        </w:rPr>
        <w:t> </w:t>
      </w:r>
      <w:r>
        <w:rPr>
          <w:sz w:val="21"/>
          <w:vertAlign w:val="baseline"/>
        </w:rPr>
        <w:t>should</w:t>
      </w:r>
      <w:r>
        <w:rPr>
          <w:spacing w:val="-11"/>
          <w:sz w:val="21"/>
          <w:vertAlign w:val="baseline"/>
        </w:rPr>
        <w:t> </w:t>
      </w:r>
      <w:r>
        <w:rPr>
          <w:sz w:val="21"/>
          <w:vertAlign w:val="baseline"/>
        </w:rPr>
        <w:t>ensure</w:t>
      </w:r>
      <w:r>
        <w:rPr>
          <w:spacing w:val="-12"/>
          <w:sz w:val="21"/>
          <w:vertAlign w:val="baseline"/>
        </w:rPr>
        <w:t> </w:t>
      </w:r>
      <w:r>
        <w:rPr>
          <w:sz w:val="21"/>
          <w:vertAlign w:val="baseline"/>
        </w:rPr>
        <w:t>that all schools have funding to appropriately support immigrant youth.</w:t>
      </w:r>
    </w:p>
    <w:p>
      <w:pPr>
        <w:spacing w:before="240"/>
        <w:ind w:left="464" w:right="0" w:firstLine="0"/>
        <w:jc w:val="both"/>
        <w:rPr>
          <w:sz w:val="28"/>
        </w:rPr>
      </w:pPr>
      <w:bookmarkStart w:name="Foster Care System" w:id="840"/>
      <w:bookmarkEnd w:id="840"/>
      <w:r>
        <w:rPr/>
      </w:r>
      <w:r>
        <w:rPr>
          <w:color w:val="365F91"/>
          <w:sz w:val="28"/>
        </w:rPr>
        <w:t>Foster</w:t>
      </w:r>
      <w:r>
        <w:rPr>
          <w:color w:val="365F91"/>
          <w:spacing w:val="-9"/>
          <w:sz w:val="28"/>
        </w:rPr>
        <w:t> </w:t>
      </w:r>
      <w:r>
        <w:rPr>
          <w:color w:val="365F91"/>
          <w:sz w:val="28"/>
        </w:rPr>
        <w:t>Care</w:t>
      </w:r>
      <w:r>
        <w:rPr>
          <w:color w:val="365F91"/>
          <w:spacing w:val="-7"/>
          <w:sz w:val="28"/>
        </w:rPr>
        <w:t> </w:t>
      </w:r>
      <w:r>
        <w:rPr>
          <w:color w:val="365F91"/>
          <w:spacing w:val="-2"/>
          <w:sz w:val="28"/>
        </w:rPr>
        <w:t>System</w:t>
      </w:r>
    </w:p>
    <w:p>
      <w:pPr>
        <w:spacing w:line="276" w:lineRule="auto" w:before="292"/>
        <w:ind w:left="464" w:right="200" w:hanging="1"/>
        <w:jc w:val="both"/>
        <w:rPr>
          <w:sz w:val="21"/>
        </w:rPr>
      </w:pPr>
      <w:r>
        <w:rPr>
          <w:sz w:val="21"/>
        </w:rPr>
        <w:t>Two specific groups of at-risk youth that warrant additional resources are youth in the foster care system and</w:t>
      </w:r>
      <w:r>
        <w:rPr>
          <w:spacing w:val="-6"/>
          <w:sz w:val="21"/>
        </w:rPr>
        <w:t> </w:t>
      </w:r>
      <w:r>
        <w:rPr>
          <w:sz w:val="21"/>
        </w:rPr>
        <w:t>those</w:t>
      </w:r>
      <w:r>
        <w:rPr>
          <w:spacing w:val="-6"/>
          <w:sz w:val="21"/>
        </w:rPr>
        <w:t> </w:t>
      </w:r>
      <w:r>
        <w:rPr>
          <w:sz w:val="21"/>
        </w:rPr>
        <w:t>who</w:t>
      </w:r>
      <w:r>
        <w:rPr>
          <w:spacing w:val="-6"/>
          <w:sz w:val="21"/>
        </w:rPr>
        <w:t> </w:t>
      </w:r>
      <w:r>
        <w:rPr>
          <w:sz w:val="21"/>
        </w:rPr>
        <w:t>are</w:t>
      </w:r>
      <w:r>
        <w:rPr>
          <w:spacing w:val="-6"/>
          <w:sz w:val="21"/>
        </w:rPr>
        <w:t> </w:t>
      </w:r>
      <w:r>
        <w:rPr>
          <w:sz w:val="21"/>
        </w:rPr>
        <w:t>justice-involved.</w:t>
      </w:r>
      <w:r>
        <w:rPr>
          <w:spacing w:val="-6"/>
          <w:sz w:val="21"/>
        </w:rPr>
        <w:t> </w:t>
      </w:r>
      <w:r>
        <w:rPr>
          <w:sz w:val="21"/>
        </w:rPr>
        <w:t>LGBTQ</w:t>
      </w:r>
      <w:r>
        <w:rPr>
          <w:spacing w:val="-5"/>
          <w:sz w:val="21"/>
        </w:rPr>
        <w:t> </w:t>
      </w:r>
      <w:r>
        <w:rPr>
          <w:sz w:val="21"/>
        </w:rPr>
        <w:t>youth</w:t>
      </w:r>
      <w:r>
        <w:rPr>
          <w:spacing w:val="-6"/>
          <w:sz w:val="21"/>
        </w:rPr>
        <w:t> </w:t>
      </w:r>
      <w:r>
        <w:rPr>
          <w:sz w:val="21"/>
        </w:rPr>
        <w:t>and</w:t>
      </w:r>
      <w:r>
        <w:rPr>
          <w:spacing w:val="-7"/>
          <w:sz w:val="21"/>
        </w:rPr>
        <w:t> </w:t>
      </w:r>
      <w:r>
        <w:rPr>
          <w:sz w:val="21"/>
        </w:rPr>
        <w:t>youth</w:t>
      </w:r>
      <w:r>
        <w:rPr>
          <w:spacing w:val="-6"/>
          <w:sz w:val="21"/>
        </w:rPr>
        <w:t> </w:t>
      </w:r>
      <w:r>
        <w:rPr>
          <w:sz w:val="21"/>
        </w:rPr>
        <w:t>of</w:t>
      </w:r>
      <w:r>
        <w:rPr>
          <w:spacing w:val="-6"/>
          <w:sz w:val="21"/>
        </w:rPr>
        <w:t> </w:t>
      </w:r>
      <w:r>
        <w:rPr>
          <w:sz w:val="21"/>
        </w:rPr>
        <w:t>color</w:t>
      </w:r>
      <w:r>
        <w:rPr>
          <w:spacing w:val="-6"/>
          <w:sz w:val="21"/>
        </w:rPr>
        <w:t> </w:t>
      </w:r>
      <w:r>
        <w:rPr>
          <w:sz w:val="21"/>
        </w:rPr>
        <w:t>are</w:t>
      </w:r>
      <w:r>
        <w:rPr>
          <w:spacing w:val="-6"/>
          <w:sz w:val="21"/>
        </w:rPr>
        <w:t> </w:t>
      </w:r>
      <w:r>
        <w:rPr>
          <w:sz w:val="21"/>
        </w:rPr>
        <w:t>overrepresented</w:t>
      </w:r>
      <w:r>
        <w:rPr>
          <w:spacing w:val="-6"/>
          <w:sz w:val="21"/>
        </w:rPr>
        <w:t> </w:t>
      </w:r>
      <w:r>
        <w:rPr>
          <w:sz w:val="21"/>
        </w:rPr>
        <w:t>in</w:t>
      </w:r>
      <w:r>
        <w:rPr>
          <w:spacing w:val="-6"/>
          <w:sz w:val="21"/>
        </w:rPr>
        <w:t> </w:t>
      </w:r>
      <w:r>
        <w:rPr>
          <w:sz w:val="21"/>
        </w:rPr>
        <w:t>the</w:t>
      </w:r>
      <w:r>
        <w:rPr>
          <w:spacing w:val="-6"/>
          <w:sz w:val="21"/>
        </w:rPr>
        <w:t> </w:t>
      </w:r>
      <w:r>
        <w:rPr>
          <w:sz w:val="21"/>
        </w:rPr>
        <w:t>foster</w:t>
      </w:r>
      <w:r>
        <w:rPr>
          <w:spacing w:val="-6"/>
          <w:sz w:val="21"/>
        </w:rPr>
        <w:t> </w:t>
      </w:r>
      <w:r>
        <w:rPr>
          <w:sz w:val="21"/>
        </w:rPr>
        <w:t>care system and are underserved because of a lack of LGBTQ supportive homes.</w:t>
      </w:r>
      <w:r>
        <w:rPr>
          <w:spacing w:val="-3"/>
          <w:sz w:val="21"/>
        </w:rPr>
        <w:t> </w:t>
      </w:r>
      <w:hyperlink w:history="true" w:anchor="_bookmark598">
        <w:r>
          <w:rPr>
            <w:sz w:val="21"/>
            <w:vertAlign w:val="superscript"/>
          </w:rPr>
          <w:t>44</w:t>
        </w:r>
      </w:hyperlink>
      <w:r>
        <w:rPr>
          <w:sz w:val="21"/>
          <w:vertAlign w:val="baseline"/>
        </w:rPr>
        <w:t> Most LGBTQ youth transitioning out of the foster care system reported not having sufficient resources for a successful transition to high education or employment. Those LGBTQ youth lacked guidance and support for their sexual orientation and gender identity, LGBTQ safe spaces, access to healthcare such as gender affirming care</w:t>
      </w:r>
      <w:r>
        <w:rPr>
          <w:spacing w:val="-3"/>
          <w:sz w:val="21"/>
          <w:vertAlign w:val="baseline"/>
        </w:rPr>
        <w:t> </w:t>
      </w:r>
      <w:r>
        <w:rPr>
          <w:sz w:val="21"/>
          <w:vertAlign w:val="baseline"/>
        </w:rPr>
        <w:t>and</w:t>
      </w:r>
      <w:r>
        <w:rPr>
          <w:spacing w:val="-4"/>
          <w:sz w:val="21"/>
          <w:vertAlign w:val="baseline"/>
        </w:rPr>
        <w:t> </w:t>
      </w:r>
      <w:r>
        <w:rPr>
          <w:sz w:val="21"/>
          <w:vertAlign w:val="baseline"/>
        </w:rPr>
        <w:t>HIV/STI</w:t>
      </w:r>
      <w:r>
        <w:rPr>
          <w:spacing w:val="-3"/>
          <w:sz w:val="21"/>
          <w:vertAlign w:val="baseline"/>
        </w:rPr>
        <w:t> </w:t>
      </w:r>
      <w:r>
        <w:rPr>
          <w:sz w:val="21"/>
          <w:vertAlign w:val="baseline"/>
        </w:rPr>
        <w:t>prevention,</w:t>
      </w:r>
      <w:r>
        <w:rPr>
          <w:spacing w:val="-2"/>
          <w:sz w:val="21"/>
          <w:vertAlign w:val="baseline"/>
        </w:rPr>
        <w:t> </w:t>
      </w:r>
      <w:r>
        <w:rPr>
          <w:sz w:val="21"/>
          <w:vertAlign w:val="baseline"/>
        </w:rPr>
        <w:t>and</w:t>
      </w:r>
      <w:r>
        <w:rPr>
          <w:spacing w:val="-3"/>
          <w:sz w:val="21"/>
          <w:vertAlign w:val="baseline"/>
        </w:rPr>
        <w:t> </w:t>
      </w:r>
      <w:r>
        <w:rPr>
          <w:sz w:val="21"/>
          <w:vertAlign w:val="baseline"/>
        </w:rPr>
        <w:t>experienced</w:t>
      </w:r>
      <w:r>
        <w:rPr>
          <w:spacing w:val="-3"/>
          <w:sz w:val="21"/>
          <w:vertAlign w:val="baseline"/>
        </w:rPr>
        <w:t> </w:t>
      </w:r>
      <w:r>
        <w:rPr>
          <w:sz w:val="21"/>
          <w:vertAlign w:val="baseline"/>
        </w:rPr>
        <w:t>threats</w:t>
      </w:r>
      <w:r>
        <w:rPr>
          <w:spacing w:val="-5"/>
          <w:sz w:val="21"/>
          <w:vertAlign w:val="baseline"/>
        </w:rPr>
        <w:t> </w:t>
      </w:r>
      <w:r>
        <w:rPr>
          <w:sz w:val="21"/>
          <w:vertAlign w:val="baseline"/>
        </w:rPr>
        <w:t>to</w:t>
      </w:r>
      <w:r>
        <w:rPr>
          <w:spacing w:val="-3"/>
          <w:sz w:val="21"/>
          <w:vertAlign w:val="baseline"/>
        </w:rPr>
        <w:t> </w:t>
      </w:r>
      <w:r>
        <w:rPr>
          <w:sz w:val="21"/>
          <w:vertAlign w:val="baseline"/>
        </w:rPr>
        <w:t>health</w:t>
      </w:r>
      <w:r>
        <w:rPr>
          <w:spacing w:val="-4"/>
          <w:sz w:val="21"/>
          <w:vertAlign w:val="baseline"/>
        </w:rPr>
        <w:t> </w:t>
      </w:r>
      <w:r>
        <w:rPr>
          <w:sz w:val="21"/>
          <w:vertAlign w:val="baseline"/>
        </w:rPr>
        <w:t>and</w:t>
      </w:r>
      <w:r>
        <w:rPr>
          <w:spacing w:val="-4"/>
          <w:sz w:val="21"/>
          <w:vertAlign w:val="baseline"/>
        </w:rPr>
        <w:t> </w:t>
      </w:r>
      <w:r>
        <w:rPr>
          <w:sz w:val="21"/>
          <w:vertAlign w:val="baseline"/>
        </w:rPr>
        <w:t>safety</w:t>
      </w:r>
      <w:r>
        <w:rPr>
          <w:spacing w:val="-3"/>
          <w:sz w:val="21"/>
          <w:vertAlign w:val="baseline"/>
        </w:rPr>
        <w:t> </w:t>
      </w:r>
      <w:r>
        <w:rPr>
          <w:sz w:val="21"/>
          <w:vertAlign w:val="baseline"/>
        </w:rPr>
        <w:t>within</w:t>
      </w:r>
      <w:r>
        <w:rPr>
          <w:spacing w:val="-4"/>
          <w:sz w:val="21"/>
          <w:vertAlign w:val="baseline"/>
        </w:rPr>
        <w:t> </w:t>
      </w:r>
      <w:r>
        <w:rPr>
          <w:sz w:val="21"/>
          <w:vertAlign w:val="baseline"/>
        </w:rPr>
        <w:t>and</w:t>
      </w:r>
      <w:r>
        <w:rPr>
          <w:spacing w:val="-3"/>
          <w:sz w:val="21"/>
          <w:vertAlign w:val="baseline"/>
        </w:rPr>
        <w:t> </w:t>
      </w:r>
      <w:r>
        <w:rPr>
          <w:sz w:val="21"/>
          <w:vertAlign w:val="baseline"/>
        </w:rPr>
        <w:t>outside</w:t>
      </w:r>
      <w:r>
        <w:rPr>
          <w:spacing w:val="-3"/>
          <w:sz w:val="21"/>
          <w:vertAlign w:val="baseline"/>
        </w:rPr>
        <w:t> </w:t>
      </w:r>
      <w:r>
        <w:rPr>
          <w:sz w:val="21"/>
          <w:vertAlign w:val="baseline"/>
        </w:rPr>
        <w:t>of</w:t>
      </w:r>
      <w:r>
        <w:rPr>
          <w:spacing w:val="-6"/>
          <w:sz w:val="21"/>
          <w:vertAlign w:val="baseline"/>
        </w:rPr>
        <w:t> </w:t>
      </w:r>
      <w:r>
        <w:rPr>
          <w:sz w:val="21"/>
          <w:vertAlign w:val="baseline"/>
        </w:rPr>
        <w:t>the</w:t>
      </w:r>
      <w:r>
        <w:rPr>
          <w:spacing w:val="-3"/>
          <w:sz w:val="21"/>
          <w:vertAlign w:val="baseline"/>
        </w:rPr>
        <w:t> </w:t>
      </w:r>
      <w:r>
        <w:rPr>
          <w:sz w:val="21"/>
          <w:vertAlign w:val="baseline"/>
        </w:rPr>
        <w:t>foster care system.</w:t>
      </w:r>
      <w:hyperlink w:history="true" w:anchor="_bookmark599">
        <w:r>
          <w:rPr>
            <w:sz w:val="21"/>
            <w:vertAlign w:val="superscript"/>
          </w:rPr>
          <w:t>45</w:t>
        </w:r>
      </w:hyperlink>
      <w:r>
        <w:rPr>
          <w:spacing w:val="-2"/>
          <w:sz w:val="21"/>
          <w:vertAlign w:val="baseline"/>
        </w:rPr>
        <w:t> </w:t>
      </w:r>
      <w:r>
        <w:rPr>
          <w:sz w:val="21"/>
          <w:vertAlign w:val="baseline"/>
        </w:rPr>
        <w:t>There should be research into the transition of LGBTQ youth out of the foster care system and</w:t>
      </w:r>
      <w:r>
        <w:rPr>
          <w:spacing w:val="-10"/>
          <w:sz w:val="21"/>
          <w:vertAlign w:val="baseline"/>
        </w:rPr>
        <w:t> </w:t>
      </w:r>
      <w:r>
        <w:rPr>
          <w:sz w:val="21"/>
          <w:vertAlign w:val="baseline"/>
        </w:rPr>
        <w:t>resources</w:t>
      </w:r>
      <w:r>
        <w:rPr>
          <w:spacing w:val="-10"/>
          <w:sz w:val="21"/>
          <w:vertAlign w:val="baseline"/>
        </w:rPr>
        <w:t> </w:t>
      </w:r>
      <w:r>
        <w:rPr>
          <w:sz w:val="21"/>
          <w:vertAlign w:val="baseline"/>
        </w:rPr>
        <w:t>that</w:t>
      </w:r>
      <w:r>
        <w:rPr>
          <w:spacing w:val="-11"/>
          <w:sz w:val="21"/>
          <w:vertAlign w:val="baseline"/>
        </w:rPr>
        <w:t> </w:t>
      </w:r>
      <w:r>
        <w:rPr>
          <w:sz w:val="21"/>
          <w:vertAlign w:val="baseline"/>
        </w:rPr>
        <w:t>make</w:t>
      </w:r>
      <w:r>
        <w:rPr>
          <w:spacing w:val="-11"/>
          <w:sz w:val="21"/>
          <w:vertAlign w:val="baseline"/>
        </w:rPr>
        <w:t> </w:t>
      </w:r>
      <w:r>
        <w:rPr>
          <w:sz w:val="21"/>
          <w:vertAlign w:val="baseline"/>
        </w:rPr>
        <w:t>the</w:t>
      </w:r>
      <w:r>
        <w:rPr>
          <w:spacing w:val="-11"/>
          <w:sz w:val="21"/>
          <w:vertAlign w:val="baseline"/>
        </w:rPr>
        <w:t> </w:t>
      </w:r>
      <w:r>
        <w:rPr>
          <w:sz w:val="21"/>
          <w:vertAlign w:val="baseline"/>
        </w:rPr>
        <w:t>transition</w:t>
      </w:r>
      <w:r>
        <w:rPr>
          <w:spacing w:val="-10"/>
          <w:sz w:val="21"/>
          <w:vertAlign w:val="baseline"/>
        </w:rPr>
        <w:t> </w:t>
      </w:r>
      <w:r>
        <w:rPr>
          <w:sz w:val="21"/>
          <w:vertAlign w:val="baseline"/>
        </w:rPr>
        <w:t>more</w:t>
      </w:r>
      <w:r>
        <w:rPr>
          <w:spacing w:val="-10"/>
          <w:sz w:val="21"/>
          <w:vertAlign w:val="baseline"/>
        </w:rPr>
        <w:t> </w:t>
      </w:r>
      <w:r>
        <w:rPr>
          <w:sz w:val="21"/>
          <w:vertAlign w:val="baseline"/>
        </w:rPr>
        <w:t>successful.</w:t>
      </w:r>
      <w:r>
        <w:rPr>
          <w:spacing w:val="-10"/>
          <w:sz w:val="21"/>
          <w:vertAlign w:val="baseline"/>
        </w:rPr>
        <w:t> </w:t>
      </w:r>
      <w:r>
        <w:rPr>
          <w:sz w:val="21"/>
          <w:vertAlign w:val="baseline"/>
        </w:rPr>
        <w:t>Research</w:t>
      </w:r>
      <w:r>
        <w:rPr>
          <w:spacing w:val="-10"/>
          <w:sz w:val="21"/>
          <w:vertAlign w:val="baseline"/>
        </w:rPr>
        <w:t> </w:t>
      </w:r>
      <w:r>
        <w:rPr>
          <w:sz w:val="21"/>
          <w:vertAlign w:val="baseline"/>
        </w:rPr>
        <w:t>on</w:t>
      </w:r>
      <w:r>
        <w:rPr>
          <w:spacing w:val="-10"/>
          <w:sz w:val="21"/>
          <w:vertAlign w:val="baseline"/>
        </w:rPr>
        <w:t> </w:t>
      </w:r>
      <w:r>
        <w:rPr>
          <w:sz w:val="21"/>
          <w:vertAlign w:val="baseline"/>
        </w:rPr>
        <w:t>statistics</w:t>
      </w:r>
      <w:r>
        <w:rPr>
          <w:spacing w:val="-11"/>
          <w:sz w:val="21"/>
          <w:vertAlign w:val="baseline"/>
        </w:rPr>
        <w:t> </w:t>
      </w:r>
      <w:r>
        <w:rPr>
          <w:sz w:val="21"/>
          <w:vertAlign w:val="baseline"/>
        </w:rPr>
        <w:t>such</w:t>
      </w:r>
      <w:r>
        <w:rPr>
          <w:spacing w:val="-11"/>
          <w:sz w:val="21"/>
          <w:vertAlign w:val="baseline"/>
        </w:rPr>
        <w:t> </w:t>
      </w:r>
      <w:r>
        <w:rPr>
          <w:sz w:val="21"/>
          <w:vertAlign w:val="baseline"/>
        </w:rPr>
        <w:t>as</w:t>
      </w:r>
      <w:r>
        <w:rPr>
          <w:spacing w:val="-11"/>
          <w:sz w:val="21"/>
          <w:vertAlign w:val="baseline"/>
        </w:rPr>
        <w:t> </w:t>
      </w:r>
      <w:r>
        <w:rPr>
          <w:sz w:val="21"/>
          <w:vertAlign w:val="baseline"/>
        </w:rPr>
        <w:t>unemployment</w:t>
      </w:r>
      <w:r>
        <w:rPr>
          <w:spacing w:val="-10"/>
          <w:sz w:val="21"/>
          <w:vertAlign w:val="baseline"/>
        </w:rPr>
        <w:t> </w:t>
      </w:r>
      <w:r>
        <w:rPr>
          <w:sz w:val="21"/>
          <w:vertAlign w:val="baseline"/>
        </w:rPr>
        <w:t>rates over time after leaving the foster care system and the median income of youth who leave the foster care system would be helpful. Additional research into the intersectionality between gender identity, sexual orientation, and race would help identify and address the issues that LGBTQ youth and LGBTQ youth of color face in the foster care system.</w:t>
      </w:r>
    </w:p>
    <w:p>
      <w:pPr>
        <w:spacing w:line="276" w:lineRule="auto" w:before="240"/>
        <w:ind w:left="464" w:right="198" w:firstLine="0"/>
        <w:jc w:val="both"/>
        <w:rPr>
          <w:sz w:val="21"/>
        </w:rPr>
      </w:pPr>
      <w:r>
        <w:rPr>
          <w:sz w:val="21"/>
        </w:rPr>
        <w:t>Youth with disabilities are overrepresented in the foster care system and need additional resources and support for transition to higher education and employment.</w:t>
      </w:r>
      <w:hyperlink w:history="true" w:anchor="_bookmark600">
        <w:r>
          <w:rPr>
            <w:sz w:val="21"/>
            <w:vertAlign w:val="superscript"/>
          </w:rPr>
          <w:t>46</w:t>
        </w:r>
      </w:hyperlink>
      <w:r>
        <w:rPr>
          <w:spacing w:val="-2"/>
          <w:sz w:val="21"/>
          <w:vertAlign w:val="baseline"/>
        </w:rPr>
        <w:t> </w:t>
      </w:r>
      <w:r>
        <w:rPr>
          <w:sz w:val="21"/>
          <w:vertAlign w:val="baseline"/>
        </w:rPr>
        <w:t>There is a higher rate of LGBTQ youth with disabilities than among cisgender and straight youth, so this issue has a greater impact on LGBTQ youth in foster care, who already face issues and a lack of resources related to their gender identity and sexual orientation. A 2023 Disability Law Center (DLC) report exposed the diversion of millions of dollars in SSA benefits</w:t>
      </w:r>
      <w:r>
        <w:rPr>
          <w:spacing w:val="-1"/>
          <w:sz w:val="21"/>
          <w:vertAlign w:val="baseline"/>
        </w:rPr>
        <w:t> </w:t>
      </w:r>
      <w:r>
        <w:rPr>
          <w:sz w:val="21"/>
          <w:vertAlign w:val="baseline"/>
        </w:rPr>
        <w:t>for</w:t>
      </w:r>
      <w:r>
        <w:rPr>
          <w:spacing w:val="-2"/>
          <w:sz w:val="21"/>
          <w:vertAlign w:val="baseline"/>
        </w:rPr>
        <w:t> </w:t>
      </w:r>
      <w:r>
        <w:rPr>
          <w:sz w:val="21"/>
          <w:vertAlign w:val="baseline"/>
        </w:rPr>
        <w:t>youth</w:t>
      </w:r>
      <w:r>
        <w:rPr>
          <w:spacing w:val="-1"/>
          <w:sz w:val="21"/>
          <w:vertAlign w:val="baseline"/>
        </w:rPr>
        <w:t> </w:t>
      </w:r>
      <w:r>
        <w:rPr>
          <w:sz w:val="21"/>
          <w:vertAlign w:val="baseline"/>
        </w:rPr>
        <w:t>in</w:t>
      </w:r>
      <w:r>
        <w:rPr>
          <w:spacing w:val="-2"/>
          <w:sz w:val="21"/>
          <w:vertAlign w:val="baseline"/>
        </w:rPr>
        <w:t> </w:t>
      </w:r>
      <w:r>
        <w:rPr>
          <w:sz w:val="21"/>
          <w:vertAlign w:val="baseline"/>
        </w:rPr>
        <w:t>foster</w:t>
      </w:r>
      <w:r>
        <w:rPr>
          <w:spacing w:val="-2"/>
          <w:sz w:val="21"/>
          <w:vertAlign w:val="baseline"/>
        </w:rPr>
        <w:t> </w:t>
      </w:r>
      <w:r>
        <w:rPr>
          <w:sz w:val="21"/>
          <w:vertAlign w:val="baseline"/>
        </w:rPr>
        <w:t>care</w:t>
      </w:r>
      <w:r>
        <w:rPr>
          <w:spacing w:val="-1"/>
          <w:sz w:val="21"/>
          <w:vertAlign w:val="baseline"/>
        </w:rPr>
        <w:t> </w:t>
      </w:r>
      <w:r>
        <w:rPr>
          <w:sz w:val="21"/>
          <w:vertAlign w:val="baseline"/>
        </w:rPr>
        <w:t>to</w:t>
      </w:r>
      <w:r>
        <w:rPr>
          <w:spacing w:val="-2"/>
          <w:sz w:val="21"/>
          <w:vertAlign w:val="baseline"/>
        </w:rPr>
        <w:t> </w:t>
      </w:r>
      <w:r>
        <w:rPr>
          <w:sz w:val="21"/>
          <w:vertAlign w:val="baseline"/>
        </w:rPr>
        <w:t>Massachusetts’s</w:t>
      </w:r>
      <w:r>
        <w:rPr>
          <w:spacing w:val="-1"/>
          <w:sz w:val="21"/>
          <w:vertAlign w:val="baseline"/>
        </w:rPr>
        <w:t> </w:t>
      </w:r>
      <w:r>
        <w:rPr>
          <w:sz w:val="21"/>
          <w:vertAlign w:val="baseline"/>
        </w:rPr>
        <w:t>general</w:t>
      </w:r>
      <w:r>
        <w:rPr>
          <w:spacing w:val="-2"/>
          <w:sz w:val="21"/>
          <w:vertAlign w:val="baseline"/>
        </w:rPr>
        <w:t> </w:t>
      </w:r>
      <w:r>
        <w:rPr>
          <w:sz w:val="21"/>
          <w:vertAlign w:val="baseline"/>
        </w:rPr>
        <w:t>fund.</w:t>
      </w:r>
      <w:r>
        <w:rPr>
          <w:spacing w:val="-1"/>
          <w:sz w:val="21"/>
          <w:vertAlign w:val="baseline"/>
        </w:rPr>
        <w:t> </w:t>
      </w:r>
      <w:r>
        <w:rPr>
          <w:sz w:val="21"/>
          <w:vertAlign w:val="baseline"/>
        </w:rPr>
        <w:t>DLC</w:t>
      </w:r>
      <w:r>
        <w:rPr>
          <w:spacing w:val="-2"/>
          <w:sz w:val="21"/>
          <w:vertAlign w:val="baseline"/>
        </w:rPr>
        <w:t> </w:t>
      </w:r>
      <w:r>
        <w:rPr>
          <w:sz w:val="21"/>
          <w:vertAlign w:val="baseline"/>
        </w:rPr>
        <w:t>recommended</w:t>
      </w:r>
      <w:r>
        <w:rPr>
          <w:spacing w:val="-1"/>
          <w:sz w:val="21"/>
          <w:vertAlign w:val="baseline"/>
        </w:rPr>
        <w:t> </w:t>
      </w:r>
      <w:r>
        <w:rPr>
          <w:sz w:val="21"/>
          <w:vertAlign w:val="baseline"/>
        </w:rPr>
        <w:t>ending</w:t>
      </w:r>
      <w:r>
        <w:rPr>
          <w:spacing w:val="-2"/>
          <w:sz w:val="21"/>
          <w:vertAlign w:val="baseline"/>
        </w:rPr>
        <w:t> </w:t>
      </w:r>
      <w:r>
        <w:rPr>
          <w:sz w:val="21"/>
          <w:vertAlign w:val="baseline"/>
        </w:rPr>
        <w:t>that</w:t>
      </w:r>
      <w:r>
        <w:rPr>
          <w:spacing w:val="-2"/>
          <w:sz w:val="21"/>
          <w:vertAlign w:val="baseline"/>
        </w:rPr>
        <w:t> </w:t>
      </w:r>
      <w:r>
        <w:rPr>
          <w:sz w:val="21"/>
          <w:vertAlign w:val="baseline"/>
        </w:rPr>
        <w:t>practice, protecting</w:t>
      </w:r>
      <w:r>
        <w:rPr>
          <w:spacing w:val="-12"/>
          <w:sz w:val="21"/>
          <w:vertAlign w:val="baseline"/>
        </w:rPr>
        <w:t> </w:t>
      </w:r>
      <w:r>
        <w:rPr>
          <w:sz w:val="21"/>
          <w:vertAlign w:val="baseline"/>
        </w:rPr>
        <w:t>assets</w:t>
      </w:r>
      <w:r>
        <w:rPr>
          <w:spacing w:val="-12"/>
          <w:sz w:val="21"/>
          <w:vertAlign w:val="baseline"/>
        </w:rPr>
        <w:t> </w:t>
      </w:r>
      <w:r>
        <w:rPr>
          <w:sz w:val="21"/>
          <w:vertAlign w:val="baseline"/>
        </w:rPr>
        <w:t>for</w:t>
      </w:r>
      <w:r>
        <w:rPr>
          <w:spacing w:val="-12"/>
          <w:sz w:val="21"/>
          <w:vertAlign w:val="baseline"/>
        </w:rPr>
        <w:t> </w:t>
      </w:r>
      <w:r>
        <w:rPr>
          <w:sz w:val="21"/>
          <w:vertAlign w:val="baseline"/>
        </w:rPr>
        <w:t>youth’s</w:t>
      </w:r>
      <w:r>
        <w:rPr>
          <w:spacing w:val="-12"/>
          <w:sz w:val="21"/>
          <w:vertAlign w:val="baseline"/>
        </w:rPr>
        <w:t> </w:t>
      </w:r>
      <w:r>
        <w:rPr>
          <w:sz w:val="21"/>
          <w:vertAlign w:val="baseline"/>
        </w:rPr>
        <w:t>futures,</w:t>
      </w:r>
      <w:r>
        <w:rPr>
          <w:spacing w:val="-12"/>
          <w:sz w:val="21"/>
          <w:vertAlign w:val="baseline"/>
        </w:rPr>
        <w:t> </w:t>
      </w:r>
      <w:r>
        <w:rPr>
          <w:sz w:val="21"/>
          <w:vertAlign w:val="baseline"/>
        </w:rPr>
        <w:t>and</w:t>
      </w:r>
      <w:r>
        <w:rPr>
          <w:spacing w:val="-12"/>
          <w:sz w:val="21"/>
          <w:vertAlign w:val="baseline"/>
        </w:rPr>
        <w:t> </w:t>
      </w:r>
      <w:r>
        <w:rPr>
          <w:sz w:val="21"/>
          <w:vertAlign w:val="baseline"/>
        </w:rPr>
        <w:t>making</w:t>
      </w:r>
      <w:r>
        <w:rPr>
          <w:spacing w:val="-12"/>
          <w:sz w:val="21"/>
          <w:vertAlign w:val="baseline"/>
        </w:rPr>
        <w:t> </w:t>
      </w:r>
      <w:r>
        <w:rPr>
          <w:sz w:val="21"/>
          <w:vertAlign w:val="baseline"/>
        </w:rPr>
        <w:t>the</w:t>
      </w:r>
      <w:r>
        <w:rPr>
          <w:spacing w:val="-11"/>
          <w:sz w:val="21"/>
          <w:vertAlign w:val="baseline"/>
        </w:rPr>
        <w:t> </w:t>
      </w:r>
      <w:r>
        <w:rPr>
          <w:sz w:val="21"/>
          <w:vertAlign w:val="baseline"/>
        </w:rPr>
        <w:t>process</w:t>
      </w:r>
      <w:r>
        <w:rPr>
          <w:spacing w:val="-12"/>
          <w:sz w:val="21"/>
          <w:vertAlign w:val="baseline"/>
        </w:rPr>
        <w:t> </w:t>
      </w:r>
      <w:r>
        <w:rPr>
          <w:sz w:val="21"/>
          <w:vertAlign w:val="baseline"/>
        </w:rPr>
        <w:t>of</w:t>
      </w:r>
      <w:r>
        <w:rPr>
          <w:spacing w:val="-12"/>
          <w:sz w:val="21"/>
          <w:vertAlign w:val="baseline"/>
        </w:rPr>
        <w:t> </w:t>
      </w:r>
      <w:r>
        <w:rPr>
          <w:sz w:val="21"/>
          <w:vertAlign w:val="baseline"/>
        </w:rPr>
        <w:t>distributing</w:t>
      </w:r>
      <w:r>
        <w:rPr>
          <w:spacing w:val="-12"/>
          <w:sz w:val="21"/>
          <w:vertAlign w:val="baseline"/>
        </w:rPr>
        <w:t> </w:t>
      </w:r>
      <w:r>
        <w:rPr>
          <w:sz w:val="21"/>
          <w:vertAlign w:val="baseline"/>
        </w:rPr>
        <w:t>benefits</w:t>
      </w:r>
      <w:r>
        <w:rPr>
          <w:spacing w:val="-12"/>
          <w:sz w:val="21"/>
          <w:vertAlign w:val="baseline"/>
        </w:rPr>
        <w:t> </w:t>
      </w:r>
      <w:r>
        <w:rPr>
          <w:sz w:val="21"/>
          <w:vertAlign w:val="baseline"/>
        </w:rPr>
        <w:t>transparent</w:t>
      </w:r>
      <w:r>
        <w:rPr>
          <w:spacing w:val="-12"/>
          <w:sz w:val="21"/>
          <w:vertAlign w:val="baseline"/>
        </w:rPr>
        <w:t> </w:t>
      </w:r>
      <w:r>
        <w:rPr>
          <w:sz w:val="21"/>
          <w:vertAlign w:val="baseline"/>
        </w:rPr>
        <w:t>to</w:t>
      </w:r>
      <w:r>
        <w:rPr>
          <w:spacing w:val="-12"/>
          <w:sz w:val="21"/>
          <w:vertAlign w:val="baseline"/>
        </w:rPr>
        <w:t> </w:t>
      </w:r>
      <w:r>
        <w:rPr>
          <w:sz w:val="21"/>
          <w:vertAlign w:val="baseline"/>
        </w:rPr>
        <w:t>children and foster parents.</w:t>
      </w:r>
      <w:hyperlink w:history="true" w:anchor="_bookmark601">
        <w:r>
          <w:rPr>
            <w:sz w:val="21"/>
            <w:vertAlign w:val="superscript"/>
          </w:rPr>
          <w:t>47</w:t>
        </w:r>
      </w:hyperlink>
      <w:r>
        <w:rPr>
          <w:spacing w:val="-2"/>
          <w:sz w:val="21"/>
          <w:vertAlign w:val="baseline"/>
        </w:rPr>
        <w:t> </w:t>
      </w:r>
      <w:r>
        <w:rPr>
          <w:sz w:val="21"/>
          <w:vertAlign w:val="baseline"/>
        </w:rPr>
        <w:t>The removal of funds from vulnerable youth populations in the foster care system (namely youth of color, LGBTQ youth, and youth with disabilities) must be rectified as those youth need significantly more resources than the foster care system currently offers them.</w:t>
      </w:r>
    </w:p>
    <w:p>
      <w:pPr>
        <w:spacing w:line="276" w:lineRule="auto" w:before="240"/>
        <w:ind w:left="463" w:right="199" w:firstLine="0"/>
        <w:jc w:val="both"/>
        <w:rPr>
          <w:sz w:val="21"/>
        </w:rPr>
      </w:pPr>
      <w:r>
        <w:rPr>
          <w:sz w:val="21"/>
        </w:rPr>
        <w:t>When compared to their peers, youth transitioning out of the foster care system have less stable employment, work fewer hours, and</w:t>
      </w:r>
      <w:r>
        <w:rPr>
          <w:spacing w:val="-1"/>
          <w:sz w:val="21"/>
        </w:rPr>
        <w:t> </w:t>
      </w:r>
      <w:r>
        <w:rPr>
          <w:sz w:val="21"/>
        </w:rPr>
        <w:t>earn less.</w:t>
      </w:r>
      <w:hyperlink w:history="true" w:anchor="_bookmark602">
        <w:r>
          <w:rPr>
            <w:sz w:val="21"/>
            <w:vertAlign w:val="superscript"/>
          </w:rPr>
          <w:t>48</w:t>
        </w:r>
      </w:hyperlink>
      <w:r>
        <w:rPr>
          <w:spacing w:val="-2"/>
          <w:sz w:val="21"/>
          <w:vertAlign w:val="baseline"/>
        </w:rPr>
        <w:t> </w:t>
      </w:r>
      <w:r>
        <w:rPr>
          <w:sz w:val="21"/>
          <w:vertAlign w:val="baseline"/>
        </w:rPr>
        <w:t>Only</w:t>
      </w:r>
      <w:r>
        <w:rPr>
          <w:spacing w:val="-1"/>
          <w:sz w:val="21"/>
          <w:vertAlign w:val="baseline"/>
        </w:rPr>
        <w:t> </w:t>
      </w:r>
      <w:r>
        <w:rPr>
          <w:sz w:val="21"/>
          <w:vertAlign w:val="baseline"/>
        </w:rPr>
        <w:t>58% of youth</w:t>
      </w:r>
      <w:r>
        <w:rPr>
          <w:spacing w:val="-1"/>
          <w:sz w:val="21"/>
          <w:vertAlign w:val="baseline"/>
        </w:rPr>
        <w:t> </w:t>
      </w:r>
      <w:r>
        <w:rPr>
          <w:sz w:val="21"/>
          <w:vertAlign w:val="baseline"/>
        </w:rPr>
        <w:t>who age out of</w:t>
      </w:r>
      <w:r>
        <w:rPr>
          <w:spacing w:val="-2"/>
          <w:sz w:val="21"/>
          <w:vertAlign w:val="baseline"/>
        </w:rPr>
        <w:t> </w:t>
      </w:r>
      <w:r>
        <w:rPr>
          <w:sz w:val="21"/>
          <w:vertAlign w:val="baseline"/>
        </w:rPr>
        <w:t>foster care earn a</w:t>
      </w:r>
      <w:r>
        <w:rPr>
          <w:spacing w:val="-1"/>
          <w:sz w:val="21"/>
          <w:vertAlign w:val="baseline"/>
        </w:rPr>
        <w:t> </w:t>
      </w:r>
      <w:r>
        <w:rPr>
          <w:sz w:val="21"/>
          <w:vertAlign w:val="baseline"/>
        </w:rPr>
        <w:t>high school diploma compared to 87% of their peers and only 8% earn a college degree by age 26. Only 46% of youth who age out of foster care are employed by age 24, though the employment may be unstable, and 36% experience homelessness at least once before age 26.</w:t>
      </w:r>
      <w:hyperlink w:history="true" w:anchor="_bookmark603">
        <w:r>
          <w:rPr>
            <w:sz w:val="21"/>
            <w:vertAlign w:val="superscript"/>
          </w:rPr>
          <w:t>49</w:t>
        </w:r>
      </w:hyperlink>
      <w:r>
        <w:rPr>
          <w:spacing w:val="-1"/>
          <w:sz w:val="21"/>
          <w:vertAlign w:val="baseline"/>
        </w:rPr>
        <w:t> </w:t>
      </w:r>
      <w:r>
        <w:rPr>
          <w:sz w:val="21"/>
          <w:vertAlign w:val="baseline"/>
        </w:rPr>
        <w:t>The lack of educational attainment of youth who</w:t>
      </w:r>
      <w:r>
        <w:rPr>
          <w:spacing w:val="31"/>
          <w:sz w:val="21"/>
          <w:vertAlign w:val="baseline"/>
        </w:rPr>
        <w:t> </w:t>
      </w:r>
      <w:r>
        <w:rPr>
          <w:sz w:val="21"/>
          <w:vertAlign w:val="baseline"/>
        </w:rPr>
        <w:t>age</w:t>
      </w:r>
      <w:r>
        <w:rPr>
          <w:spacing w:val="31"/>
          <w:sz w:val="21"/>
          <w:vertAlign w:val="baseline"/>
        </w:rPr>
        <w:t> </w:t>
      </w:r>
      <w:r>
        <w:rPr>
          <w:sz w:val="21"/>
          <w:vertAlign w:val="baseline"/>
        </w:rPr>
        <w:t>out</w:t>
      </w:r>
      <w:r>
        <w:rPr>
          <w:spacing w:val="31"/>
          <w:sz w:val="21"/>
          <w:vertAlign w:val="baseline"/>
        </w:rPr>
        <w:t> </w:t>
      </w:r>
      <w:r>
        <w:rPr>
          <w:sz w:val="21"/>
          <w:vertAlign w:val="baseline"/>
        </w:rPr>
        <w:t>of</w:t>
      </w:r>
      <w:r>
        <w:rPr>
          <w:spacing w:val="30"/>
          <w:sz w:val="21"/>
          <w:vertAlign w:val="baseline"/>
        </w:rPr>
        <w:t> </w:t>
      </w:r>
      <w:r>
        <w:rPr>
          <w:sz w:val="21"/>
          <w:vertAlign w:val="baseline"/>
        </w:rPr>
        <w:t>foster</w:t>
      </w:r>
      <w:r>
        <w:rPr>
          <w:spacing w:val="31"/>
          <w:sz w:val="21"/>
          <w:vertAlign w:val="baseline"/>
        </w:rPr>
        <w:t> </w:t>
      </w:r>
      <w:r>
        <w:rPr>
          <w:sz w:val="21"/>
          <w:vertAlign w:val="baseline"/>
        </w:rPr>
        <w:t>care</w:t>
      </w:r>
      <w:r>
        <w:rPr>
          <w:spacing w:val="31"/>
          <w:sz w:val="21"/>
          <w:vertAlign w:val="baseline"/>
        </w:rPr>
        <w:t> </w:t>
      </w:r>
      <w:r>
        <w:rPr>
          <w:sz w:val="21"/>
          <w:vertAlign w:val="baseline"/>
        </w:rPr>
        <w:t>is</w:t>
      </w:r>
      <w:r>
        <w:rPr>
          <w:spacing w:val="30"/>
          <w:sz w:val="21"/>
          <w:vertAlign w:val="baseline"/>
        </w:rPr>
        <w:t> </w:t>
      </w:r>
      <w:r>
        <w:rPr>
          <w:sz w:val="21"/>
          <w:vertAlign w:val="baseline"/>
        </w:rPr>
        <w:t>a</w:t>
      </w:r>
      <w:r>
        <w:rPr>
          <w:spacing w:val="31"/>
          <w:sz w:val="21"/>
          <w:vertAlign w:val="baseline"/>
        </w:rPr>
        <w:t> </w:t>
      </w:r>
      <w:r>
        <w:rPr>
          <w:sz w:val="21"/>
          <w:vertAlign w:val="baseline"/>
        </w:rPr>
        <w:t>clear</w:t>
      </w:r>
      <w:r>
        <w:rPr>
          <w:spacing w:val="31"/>
          <w:sz w:val="21"/>
          <w:vertAlign w:val="baseline"/>
        </w:rPr>
        <w:t> </w:t>
      </w:r>
      <w:r>
        <w:rPr>
          <w:sz w:val="21"/>
          <w:vertAlign w:val="baseline"/>
        </w:rPr>
        <w:t>failing</w:t>
      </w:r>
      <w:r>
        <w:rPr>
          <w:spacing w:val="31"/>
          <w:sz w:val="21"/>
          <w:vertAlign w:val="baseline"/>
        </w:rPr>
        <w:t> </w:t>
      </w:r>
      <w:r>
        <w:rPr>
          <w:sz w:val="21"/>
          <w:vertAlign w:val="baseline"/>
        </w:rPr>
        <w:t>of</w:t>
      </w:r>
      <w:r>
        <w:rPr>
          <w:spacing w:val="31"/>
          <w:sz w:val="21"/>
          <w:vertAlign w:val="baseline"/>
        </w:rPr>
        <w:t> </w:t>
      </w:r>
      <w:r>
        <w:rPr>
          <w:sz w:val="21"/>
          <w:vertAlign w:val="baseline"/>
        </w:rPr>
        <w:t>the</w:t>
      </w:r>
      <w:r>
        <w:rPr>
          <w:spacing w:val="31"/>
          <w:sz w:val="21"/>
          <w:vertAlign w:val="baseline"/>
        </w:rPr>
        <w:t> </w:t>
      </w:r>
      <w:r>
        <w:rPr>
          <w:sz w:val="21"/>
          <w:vertAlign w:val="baseline"/>
        </w:rPr>
        <w:t>system</w:t>
      </w:r>
      <w:r>
        <w:rPr>
          <w:spacing w:val="31"/>
          <w:sz w:val="21"/>
          <w:vertAlign w:val="baseline"/>
        </w:rPr>
        <w:t> </w:t>
      </w:r>
      <w:r>
        <w:rPr>
          <w:sz w:val="21"/>
          <w:vertAlign w:val="baseline"/>
        </w:rPr>
        <w:t>and</w:t>
      </w:r>
      <w:r>
        <w:rPr>
          <w:spacing w:val="31"/>
          <w:sz w:val="21"/>
          <w:vertAlign w:val="baseline"/>
        </w:rPr>
        <w:t> </w:t>
      </w:r>
      <w:r>
        <w:rPr>
          <w:sz w:val="21"/>
          <w:vertAlign w:val="baseline"/>
        </w:rPr>
        <w:t>negatively</w:t>
      </w:r>
      <w:r>
        <w:rPr>
          <w:spacing w:val="31"/>
          <w:sz w:val="21"/>
          <w:vertAlign w:val="baseline"/>
        </w:rPr>
        <w:t> </w:t>
      </w:r>
      <w:r>
        <w:rPr>
          <w:sz w:val="21"/>
          <w:vertAlign w:val="baseline"/>
        </w:rPr>
        <w:t>affects</w:t>
      </w:r>
      <w:r>
        <w:rPr>
          <w:spacing w:val="32"/>
          <w:sz w:val="21"/>
          <w:vertAlign w:val="baseline"/>
        </w:rPr>
        <w:t> </w:t>
      </w:r>
      <w:r>
        <w:rPr>
          <w:sz w:val="21"/>
          <w:vertAlign w:val="baseline"/>
        </w:rPr>
        <w:t>prospects</w:t>
      </w:r>
      <w:r>
        <w:rPr>
          <w:spacing w:val="30"/>
          <w:sz w:val="21"/>
          <w:vertAlign w:val="baseline"/>
        </w:rPr>
        <w:t> </w:t>
      </w:r>
      <w:r>
        <w:rPr>
          <w:sz w:val="21"/>
          <w:vertAlign w:val="baseline"/>
        </w:rPr>
        <w:t>for</w:t>
      </w:r>
      <w:r>
        <w:rPr>
          <w:spacing w:val="31"/>
          <w:sz w:val="21"/>
          <w:vertAlign w:val="baseline"/>
        </w:rPr>
        <w:t> </w:t>
      </w:r>
      <w:r>
        <w:rPr>
          <w:sz w:val="21"/>
          <w:vertAlign w:val="baseline"/>
        </w:rPr>
        <w:t>future</w:t>
      </w:r>
    </w:p>
    <w:p>
      <w:pPr>
        <w:spacing w:after="0" w:line="276" w:lineRule="auto"/>
        <w:jc w:val="both"/>
        <w:rPr>
          <w:sz w:val="21"/>
        </w:rPr>
        <w:sectPr>
          <w:pgSz w:w="12240" w:h="15840"/>
          <w:pgMar w:header="763" w:footer="1041" w:top="1380" w:bottom="1240" w:left="1120" w:right="1380"/>
        </w:sectPr>
      </w:pPr>
    </w:p>
    <w:p>
      <w:pPr>
        <w:spacing w:line="276" w:lineRule="auto" w:before="47"/>
        <w:ind w:left="464" w:right="199" w:firstLine="0"/>
        <w:jc w:val="both"/>
        <w:rPr>
          <w:sz w:val="21"/>
        </w:rPr>
      </w:pPr>
      <w:r>
        <w:rPr>
          <w:sz w:val="21"/>
        </w:rPr>
        <w:t>employment. Youth in the foster care system need more resources to obtain a high school or technical degree,</w:t>
      </w:r>
      <w:r>
        <w:rPr>
          <w:spacing w:val="-2"/>
          <w:sz w:val="21"/>
        </w:rPr>
        <w:t> </w:t>
      </w:r>
      <w:r>
        <w:rPr>
          <w:sz w:val="21"/>
        </w:rPr>
        <w:t>learn</w:t>
      </w:r>
      <w:r>
        <w:rPr>
          <w:spacing w:val="-4"/>
          <w:sz w:val="21"/>
        </w:rPr>
        <w:t> </w:t>
      </w:r>
      <w:r>
        <w:rPr>
          <w:sz w:val="21"/>
        </w:rPr>
        <w:t>career</w:t>
      </w:r>
      <w:r>
        <w:rPr>
          <w:spacing w:val="-3"/>
          <w:sz w:val="21"/>
        </w:rPr>
        <w:t> </w:t>
      </w:r>
      <w:r>
        <w:rPr>
          <w:sz w:val="21"/>
        </w:rPr>
        <w:t>readiness</w:t>
      </w:r>
      <w:r>
        <w:rPr>
          <w:spacing w:val="-4"/>
          <w:sz w:val="21"/>
        </w:rPr>
        <w:t> </w:t>
      </w:r>
      <w:r>
        <w:rPr>
          <w:sz w:val="21"/>
        </w:rPr>
        <w:t>skills,</w:t>
      </w:r>
      <w:r>
        <w:rPr>
          <w:spacing w:val="-3"/>
          <w:sz w:val="21"/>
        </w:rPr>
        <w:t> </w:t>
      </w:r>
      <w:r>
        <w:rPr>
          <w:sz w:val="21"/>
        </w:rPr>
        <w:t>and</w:t>
      </w:r>
      <w:r>
        <w:rPr>
          <w:spacing w:val="-3"/>
          <w:sz w:val="21"/>
        </w:rPr>
        <w:t> </w:t>
      </w:r>
      <w:r>
        <w:rPr>
          <w:sz w:val="21"/>
        </w:rPr>
        <w:t>successfully</w:t>
      </w:r>
      <w:r>
        <w:rPr>
          <w:spacing w:val="-3"/>
          <w:sz w:val="21"/>
        </w:rPr>
        <w:t> </w:t>
      </w:r>
      <w:r>
        <w:rPr>
          <w:sz w:val="21"/>
        </w:rPr>
        <w:t>transition</w:t>
      </w:r>
      <w:r>
        <w:rPr>
          <w:spacing w:val="-3"/>
          <w:sz w:val="21"/>
        </w:rPr>
        <w:t> </w:t>
      </w:r>
      <w:r>
        <w:rPr>
          <w:sz w:val="21"/>
        </w:rPr>
        <w:t>out</w:t>
      </w:r>
      <w:r>
        <w:rPr>
          <w:spacing w:val="-3"/>
          <w:sz w:val="21"/>
        </w:rPr>
        <w:t> </w:t>
      </w:r>
      <w:r>
        <w:rPr>
          <w:sz w:val="21"/>
        </w:rPr>
        <w:t>of</w:t>
      </w:r>
      <w:r>
        <w:rPr>
          <w:spacing w:val="-3"/>
          <w:sz w:val="21"/>
        </w:rPr>
        <w:t> </w:t>
      </w:r>
      <w:r>
        <w:rPr>
          <w:sz w:val="21"/>
        </w:rPr>
        <w:t>the</w:t>
      </w:r>
      <w:r>
        <w:rPr>
          <w:spacing w:val="-3"/>
          <w:sz w:val="21"/>
        </w:rPr>
        <w:t> </w:t>
      </w:r>
      <w:r>
        <w:rPr>
          <w:sz w:val="21"/>
        </w:rPr>
        <w:t>system</w:t>
      </w:r>
      <w:r>
        <w:rPr>
          <w:spacing w:val="-3"/>
          <w:sz w:val="21"/>
        </w:rPr>
        <w:t> </w:t>
      </w:r>
      <w:r>
        <w:rPr>
          <w:sz w:val="21"/>
        </w:rPr>
        <w:t>into</w:t>
      </w:r>
      <w:r>
        <w:rPr>
          <w:spacing w:val="-3"/>
          <w:sz w:val="21"/>
        </w:rPr>
        <w:t> </w:t>
      </w:r>
      <w:r>
        <w:rPr>
          <w:sz w:val="21"/>
        </w:rPr>
        <w:t>stable</w:t>
      </w:r>
      <w:r>
        <w:rPr>
          <w:spacing w:val="-3"/>
          <w:sz w:val="21"/>
        </w:rPr>
        <w:t> </w:t>
      </w:r>
      <w:r>
        <w:rPr>
          <w:sz w:val="21"/>
        </w:rPr>
        <w:t>employment.</w:t>
      </w:r>
    </w:p>
    <w:p>
      <w:pPr>
        <w:spacing w:before="239"/>
        <w:ind w:left="464" w:right="0" w:firstLine="0"/>
        <w:jc w:val="both"/>
        <w:rPr>
          <w:sz w:val="28"/>
        </w:rPr>
      </w:pPr>
      <w:bookmarkStart w:name="Juvenile Justice" w:id="841"/>
      <w:bookmarkEnd w:id="841"/>
      <w:r>
        <w:rPr/>
      </w:r>
      <w:r>
        <w:rPr>
          <w:color w:val="365F91"/>
          <w:sz w:val="28"/>
        </w:rPr>
        <w:t>Juvenile</w:t>
      </w:r>
      <w:r>
        <w:rPr>
          <w:color w:val="365F91"/>
          <w:spacing w:val="-13"/>
          <w:sz w:val="28"/>
        </w:rPr>
        <w:t> </w:t>
      </w:r>
      <w:r>
        <w:rPr>
          <w:color w:val="365F91"/>
          <w:spacing w:val="-2"/>
          <w:sz w:val="28"/>
        </w:rPr>
        <w:t>Justice</w:t>
      </w:r>
    </w:p>
    <w:p>
      <w:pPr>
        <w:spacing w:line="276" w:lineRule="auto" w:before="293"/>
        <w:ind w:left="463" w:right="201" w:firstLine="0"/>
        <w:jc w:val="both"/>
        <w:rPr>
          <w:sz w:val="21"/>
        </w:rPr>
      </w:pPr>
      <w:r>
        <w:rPr>
          <w:sz w:val="21"/>
        </w:rPr>
        <w:t>Similarly, a lack of high-quality educational materials and instruction in the juvenile justice system contributes to poor educational and career outcomes for justice-involved youth. </w:t>
      </w:r>
      <w:hyperlink w:history="true" w:anchor="_bookmark604">
        <w:r>
          <w:rPr>
            <w:sz w:val="21"/>
            <w:vertAlign w:val="superscript"/>
          </w:rPr>
          <w:t>50</w:t>
        </w:r>
      </w:hyperlink>
      <w:r>
        <w:rPr>
          <w:sz w:val="21"/>
          <w:vertAlign w:val="baseline"/>
        </w:rPr>
        <w:t> Developing a standardized curriculum and recruiting and retaining high quality instruction will help prepare justice- involved youth for their transition to education and employment after release. There is a lack of research on the impact of high-quality education and career readiness resources on marginalized youth in the juvenile justice system.</w:t>
      </w:r>
    </w:p>
    <w:p>
      <w:pPr>
        <w:spacing w:line="276" w:lineRule="auto" w:before="240"/>
        <w:ind w:left="463" w:right="199" w:firstLine="0"/>
        <w:jc w:val="both"/>
        <w:rPr>
          <w:sz w:val="21"/>
        </w:rPr>
      </w:pPr>
      <w:r>
        <w:rPr>
          <w:sz w:val="21"/>
        </w:rPr>
        <w:t>Justice-involved individuals face hiring discrimination and higher unemployment rates. Formerly incarcerated individuals in the US were found to have an unemployment rate of 62-65% during the four years after release, with no more than 40% of them employed at the same time; 33% of them found no employment in the first four years after release. In contrast, the peak unemployment rate for the US population during 2020 was 15%. The median weekly earnings for formerly incarcerated individuals was</w:t>
      </w:r>
    </w:p>
    <w:p>
      <w:pPr>
        <w:spacing w:line="276" w:lineRule="auto" w:before="0"/>
        <w:ind w:left="464" w:right="201" w:firstLine="0"/>
        <w:jc w:val="both"/>
        <w:rPr>
          <w:sz w:val="21"/>
        </w:rPr>
      </w:pPr>
      <w:r>
        <w:rPr>
          <w:sz w:val="21"/>
        </w:rPr>
        <w:t>$269</w:t>
      </w:r>
      <w:r>
        <w:rPr>
          <w:spacing w:val="-3"/>
          <w:sz w:val="21"/>
        </w:rPr>
        <w:t> </w:t>
      </w:r>
      <w:r>
        <w:rPr>
          <w:sz w:val="21"/>
        </w:rPr>
        <w:t>during</w:t>
      </w:r>
      <w:r>
        <w:rPr>
          <w:spacing w:val="-2"/>
          <w:sz w:val="21"/>
        </w:rPr>
        <w:t> </w:t>
      </w:r>
      <w:r>
        <w:rPr>
          <w:sz w:val="21"/>
        </w:rPr>
        <w:t>their</w:t>
      </w:r>
      <w:r>
        <w:rPr>
          <w:spacing w:val="-2"/>
          <w:sz w:val="21"/>
        </w:rPr>
        <w:t> </w:t>
      </w:r>
      <w:r>
        <w:rPr>
          <w:sz w:val="21"/>
        </w:rPr>
        <w:t>first</w:t>
      </w:r>
      <w:r>
        <w:rPr>
          <w:spacing w:val="-2"/>
          <w:sz w:val="21"/>
        </w:rPr>
        <w:t> </w:t>
      </w:r>
      <w:r>
        <w:rPr>
          <w:sz w:val="21"/>
        </w:rPr>
        <w:t>year</w:t>
      </w:r>
      <w:r>
        <w:rPr>
          <w:spacing w:val="-3"/>
          <w:sz w:val="21"/>
        </w:rPr>
        <w:t> </w:t>
      </w:r>
      <w:r>
        <w:rPr>
          <w:sz w:val="21"/>
        </w:rPr>
        <w:t>after</w:t>
      </w:r>
      <w:r>
        <w:rPr>
          <w:spacing w:val="-2"/>
          <w:sz w:val="21"/>
        </w:rPr>
        <w:t> </w:t>
      </w:r>
      <w:r>
        <w:rPr>
          <w:sz w:val="21"/>
        </w:rPr>
        <w:t>release,</w:t>
      </w:r>
      <w:r>
        <w:rPr>
          <w:spacing w:val="-3"/>
          <w:sz w:val="21"/>
        </w:rPr>
        <w:t> </w:t>
      </w:r>
      <w:r>
        <w:rPr>
          <w:sz w:val="21"/>
        </w:rPr>
        <w:t>compared</w:t>
      </w:r>
      <w:r>
        <w:rPr>
          <w:spacing w:val="-2"/>
          <w:sz w:val="21"/>
        </w:rPr>
        <w:t> </w:t>
      </w:r>
      <w:r>
        <w:rPr>
          <w:sz w:val="21"/>
        </w:rPr>
        <w:t>to</w:t>
      </w:r>
      <w:r>
        <w:rPr>
          <w:spacing w:val="-4"/>
          <w:sz w:val="21"/>
        </w:rPr>
        <w:t> </w:t>
      </w:r>
      <w:r>
        <w:rPr>
          <w:sz w:val="21"/>
        </w:rPr>
        <w:t>$507</w:t>
      </w:r>
      <w:r>
        <w:rPr>
          <w:spacing w:val="-3"/>
          <w:sz w:val="21"/>
        </w:rPr>
        <w:t> </w:t>
      </w:r>
      <w:r>
        <w:rPr>
          <w:sz w:val="21"/>
        </w:rPr>
        <w:t>for</w:t>
      </w:r>
      <w:r>
        <w:rPr>
          <w:spacing w:val="-2"/>
          <w:sz w:val="21"/>
        </w:rPr>
        <w:t> </w:t>
      </w:r>
      <w:r>
        <w:rPr>
          <w:sz w:val="21"/>
        </w:rPr>
        <w:t>the</w:t>
      </w:r>
      <w:r>
        <w:rPr>
          <w:spacing w:val="-2"/>
          <w:sz w:val="21"/>
        </w:rPr>
        <w:t> </w:t>
      </w:r>
      <w:r>
        <w:rPr>
          <w:sz w:val="21"/>
        </w:rPr>
        <w:t>general</w:t>
      </w:r>
      <w:r>
        <w:rPr>
          <w:spacing w:val="-2"/>
          <w:sz w:val="21"/>
        </w:rPr>
        <w:t> </w:t>
      </w:r>
      <w:r>
        <w:rPr>
          <w:sz w:val="21"/>
        </w:rPr>
        <w:t>population.</w:t>
      </w:r>
      <w:hyperlink w:history="true" w:anchor="_bookmark605">
        <w:r>
          <w:rPr>
            <w:sz w:val="21"/>
            <w:vertAlign w:val="superscript"/>
          </w:rPr>
          <w:t>51</w:t>
        </w:r>
      </w:hyperlink>
      <w:r>
        <w:rPr>
          <w:spacing w:val="-2"/>
          <w:sz w:val="21"/>
          <w:vertAlign w:val="baseline"/>
        </w:rPr>
        <w:t> </w:t>
      </w:r>
      <w:r>
        <w:rPr>
          <w:sz w:val="21"/>
          <w:vertAlign w:val="baseline"/>
        </w:rPr>
        <w:t>The</w:t>
      </w:r>
      <w:r>
        <w:rPr>
          <w:spacing w:val="-2"/>
          <w:sz w:val="21"/>
          <w:vertAlign w:val="baseline"/>
        </w:rPr>
        <w:t> </w:t>
      </w:r>
      <w:r>
        <w:rPr>
          <w:sz w:val="21"/>
          <w:vertAlign w:val="baseline"/>
        </w:rPr>
        <w:t>disparities</w:t>
      </w:r>
      <w:r>
        <w:rPr>
          <w:spacing w:val="-2"/>
          <w:sz w:val="21"/>
          <w:vertAlign w:val="baseline"/>
        </w:rPr>
        <w:t> </w:t>
      </w:r>
      <w:r>
        <w:rPr>
          <w:sz w:val="21"/>
          <w:vertAlign w:val="baseline"/>
        </w:rPr>
        <w:t>in employment and income between formerly incarcerated individuals and the general population show the barriers that justice-involved persons face in the labor market.</w:t>
      </w:r>
    </w:p>
    <w:p>
      <w:pPr>
        <w:spacing w:line="276" w:lineRule="auto" w:before="239"/>
        <w:ind w:left="464" w:right="198" w:firstLine="0"/>
        <w:jc w:val="both"/>
        <w:rPr>
          <w:sz w:val="21"/>
        </w:rPr>
      </w:pPr>
      <w:r>
        <w:rPr>
          <w:sz w:val="21"/>
        </w:rPr>
        <w:t>Unsuccessful reentry into society and unemployment may lead to recidivism, while employment stability has</w:t>
      </w:r>
      <w:r>
        <w:rPr>
          <w:spacing w:val="-8"/>
          <w:sz w:val="21"/>
        </w:rPr>
        <w:t> </w:t>
      </w:r>
      <w:r>
        <w:rPr>
          <w:sz w:val="21"/>
        </w:rPr>
        <w:t>been</w:t>
      </w:r>
      <w:r>
        <w:rPr>
          <w:spacing w:val="-8"/>
          <w:sz w:val="21"/>
        </w:rPr>
        <w:t> </w:t>
      </w:r>
      <w:r>
        <w:rPr>
          <w:sz w:val="21"/>
        </w:rPr>
        <w:t>shown</w:t>
      </w:r>
      <w:r>
        <w:rPr>
          <w:spacing w:val="-8"/>
          <w:sz w:val="21"/>
        </w:rPr>
        <w:t> </w:t>
      </w:r>
      <w:r>
        <w:rPr>
          <w:sz w:val="21"/>
        </w:rPr>
        <w:t>to</w:t>
      </w:r>
      <w:r>
        <w:rPr>
          <w:spacing w:val="-8"/>
          <w:sz w:val="21"/>
        </w:rPr>
        <w:t> </w:t>
      </w:r>
      <w:r>
        <w:rPr>
          <w:sz w:val="21"/>
        </w:rPr>
        <w:t>reduce</w:t>
      </w:r>
      <w:r>
        <w:rPr>
          <w:spacing w:val="-9"/>
          <w:sz w:val="21"/>
        </w:rPr>
        <w:t> </w:t>
      </w:r>
      <w:r>
        <w:rPr>
          <w:sz w:val="21"/>
        </w:rPr>
        <w:t>recidivism.</w:t>
      </w:r>
      <w:hyperlink w:history="true" w:anchor="_bookmark606">
        <w:r>
          <w:rPr>
            <w:sz w:val="21"/>
            <w:vertAlign w:val="superscript"/>
          </w:rPr>
          <w:t>52</w:t>
        </w:r>
      </w:hyperlink>
      <w:r>
        <w:rPr>
          <w:spacing w:val="-2"/>
          <w:sz w:val="21"/>
          <w:vertAlign w:val="baseline"/>
        </w:rPr>
        <w:t> </w:t>
      </w:r>
      <w:r>
        <w:rPr>
          <w:sz w:val="21"/>
          <w:vertAlign w:val="baseline"/>
        </w:rPr>
        <w:t>A</w:t>
      </w:r>
      <w:r>
        <w:rPr>
          <w:spacing w:val="-8"/>
          <w:sz w:val="21"/>
          <w:vertAlign w:val="baseline"/>
        </w:rPr>
        <w:t> </w:t>
      </w:r>
      <w:r>
        <w:rPr>
          <w:sz w:val="21"/>
          <w:vertAlign w:val="baseline"/>
        </w:rPr>
        <w:t>2023</w:t>
      </w:r>
      <w:r>
        <w:rPr>
          <w:spacing w:val="-9"/>
          <w:sz w:val="21"/>
          <w:vertAlign w:val="baseline"/>
        </w:rPr>
        <w:t> </w:t>
      </w:r>
      <w:r>
        <w:rPr>
          <w:sz w:val="21"/>
          <w:vertAlign w:val="baseline"/>
        </w:rPr>
        <w:t>study</w:t>
      </w:r>
      <w:r>
        <w:rPr>
          <w:spacing w:val="-8"/>
          <w:sz w:val="21"/>
          <w:vertAlign w:val="baseline"/>
        </w:rPr>
        <w:t> </w:t>
      </w:r>
      <w:r>
        <w:rPr>
          <w:sz w:val="21"/>
          <w:vertAlign w:val="baseline"/>
        </w:rPr>
        <w:t>found</w:t>
      </w:r>
      <w:r>
        <w:rPr>
          <w:spacing w:val="-8"/>
          <w:sz w:val="21"/>
          <w:vertAlign w:val="baseline"/>
        </w:rPr>
        <w:t> </w:t>
      </w:r>
      <w:r>
        <w:rPr>
          <w:sz w:val="21"/>
          <w:vertAlign w:val="baseline"/>
        </w:rPr>
        <w:t>that</w:t>
      </w:r>
      <w:r>
        <w:rPr>
          <w:spacing w:val="-7"/>
          <w:sz w:val="21"/>
          <w:vertAlign w:val="baseline"/>
        </w:rPr>
        <w:t> </w:t>
      </w:r>
      <w:r>
        <w:rPr>
          <w:sz w:val="21"/>
          <w:vertAlign w:val="baseline"/>
        </w:rPr>
        <w:t>Adverse</w:t>
      </w:r>
      <w:r>
        <w:rPr>
          <w:spacing w:val="-8"/>
          <w:sz w:val="21"/>
          <w:vertAlign w:val="baseline"/>
        </w:rPr>
        <w:t> </w:t>
      </w:r>
      <w:r>
        <w:rPr>
          <w:sz w:val="21"/>
          <w:vertAlign w:val="baseline"/>
        </w:rPr>
        <w:t>Childhood</w:t>
      </w:r>
      <w:r>
        <w:rPr>
          <w:spacing w:val="-7"/>
          <w:sz w:val="21"/>
          <w:vertAlign w:val="baseline"/>
        </w:rPr>
        <w:t> </w:t>
      </w:r>
      <w:r>
        <w:rPr>
          <w:sz w:val="21"/>
          <w:vertAlign w:val="baseline"/>
        </w:rPr>
        <w:t>Experiences</w:t>
      </w:r>
      <w:r>
        <w:rPr>
          <w:spacing w:val="-8"/>
          <w:sz w:val="21"/>
          <w:vertAlign w:val="baseline"/>
        </w:rPr>
        <w:t> </w:t>
      </w:r>
      <w:r>
        <w:rPr>
          <w:sz w:val="21"/>
          <w:vertAlign w:val="baseline"/>
        </w:rPr>
        <w:t>(ACEs),</w:t>
      </w:r>
      <w:r>
        <w:rPr>
          <w:spacing w:val="-8"/>
          <w:sz w:val="21"/>
          <w:vertAlign w:val="baseline"/>
        </w:rPr>
        <w:t> </w:t>
      </w:r>
      <w:r>
        <w:rPr>
          <w:sz w:val="21"/>
          <w:vertAlign w:val="baseline"/>
        </w:rPr>
        <w:t>i.e. traumatic</w:t>
      </w:r>
      <w:r>
        <w:rPr>
          <w:spacing w:val="-11"/>
          <w:sz w:val="21"/>
          <w:vertAlign w:val="baseline"/>
        </w:rPr>
        <w:t> </w:t>
      </w:r>
      <w:r>
        <w:rPr>
          <w:sz w:val="21"/>
          <w:vertAlign w:val="baseline"/>
        </w:rPr>
        <w:t>events</w:t>
      </w:r>
      <w:r>
        <w:rPr>
          <w:spacing w:val="-12"/>
          <w:sz w:val="21"/>
          <w:vertAlign w:val="baseline"/>
        </w:rPr>
        <w:t> </w:t>
      </w:r>
      <w:r>
        <w:rPr>
          <w:sz w:val="21"/>
          <w:vertAlign w:val="baseline"/>
        </w:rPr>
        <w:t>experienced</w:t>
      </w:r>
      <w:r>
        <w:rPr>
          <w:spacing w:val="-10"/>
          <w:sz w:val="21"/>
          <w:vertAlign w:val="baseline"/>
        </w:rPr>
        <w:t> </w:t>
      </w:r>
      <w:r>
        <w:rPr>
          <w:sz w:val="21"/>
          <w:vertAlign w:val="baseline"/>
        </w:rPr>
        <w:t>as</w:t>
      </w:r>
      <w:r>
        <w:rPr>
          <w:spacing w:val="-12"/>
          <w:sz w:val="21"/>
          <w:vertAlign w:val="baseline"/>
        </w:rPr>
        <w:t> </w:t>
      </w:r>
      <w:r>
        <w:rPr>
          <w:sz w:val="21"/>
          <w:vertAlign w:val="baseline"/>
        </w:rPr>
        <w:t>a</w:t>
      </w:r>
      <w:r>
        <w:rPr>
          <w:spacing w:val="-10"/>
          <w:sz w:val="21"/>
          <w:vertAlign w:val="baseline"/>
        </w:rPr>
        <w:t> </w:t>
      </w:r>
      <w:r>
        <w:rPr>
          <w:sz w:val="21"/>
          <w:vertAlign w:val="baseline"/>
        </w:rPr>
        <w:t>minor,</w:t>
      </w:r>
      <w:r>
        <w:rPr>
          <w:spacing w:val="-12"/>
          <w:sz w:val="21"/>
          <w:vertAlign w:val="baseline"/>
        </w:rPr>
        <w:t> </w:t>
      </w:r>
      <w:r>
        <w:rPr>
          <w:sz w:val="21"/>
          <w:vertAlign w:val="baseline"/>
        </w:rPr>
        <w:t>are</w:t>
      </w:r>
      <w:r>
        <w:rPr>
          <w:spacing w:val="-10"/>
          <w:sz w:val="21"/>
          <w:vertAlign w:val="baseline"/>
        </w:rPr>
        <w:t> </w:t>
      </w:r>
      <w:r>
        <w:rPr>
          <w:sz w:val="21"/>
          <w:vertAlign w:val="baseline"/>
        </w:rPr>
        <w:t>more</w:t>
      </w:r>
      <w:r>
        <w:rPr>
          <w:spacing w:val="-11"/>
          <w:sz w:val="21"/>
          <w:vertAlign w:val="baseline"/>
        </w:rPr>
        <w:t> </w:t>
      </w:r>
      <w:r>
        <w:rPr>
          <w:sz w:val="21"/>
          <w:vertAlign w:val="baseline"/>
        </w:rPr>
        <w:t>common</w:t>
      </w:r>
      <w:r>
        <w:rPr>
          <w:spacing w:val="-11"/>
          <w:sz w:val="21"/>
          <w:vertAlign w:val="baseline"/>
        </w:rPr>
        <w:t> </w:t>
      </w:r>
      <w:r>
        <w:rPr>
          <w:sz w:val="21"/>
          <w:vertAlign w:val="baseline"/>
        </w:rPr>
        <w:t>among</w:t>
      </w:r>
      <w:r>
        <w:rPr>
          <w:spacing w:val="-12"/>
          <w:sz w:val="21"/>
          <w:vertAlign w:val="baseline"/>
        </w:rPr>
        <w:t> </w:t>
      </w:r>
      <w:r>
        <w:rPr>
          <w:sz w:val="21"/>
          <w:vertAlign w:val="baseline"/>
        </w:rPr>
        <w:t>youth</w:t>
      </w:r>
      <w:r>
        <w:rPr>
          <w:spacing w:val="-10"/>
          <w:sz w:val="21"/>
          <w:vertAlign w:val="baseline"/>
        </w:rPr>
        <w:t> </w:t>
      </w:r>
      <w:r>
        <w:rPr>
          <w:sz w:val="21"/>
          <w:vertAlign w:val="baseline"/>
        </w:rPr>
        <w:t>in</w:t>
      </w:r>
      <w:r>
        <w:rPr>
          <w:spacing w:val="-11"/>
          <w:sz w:val="21"/>
          <w:vertAlign w:val="baseline"/>
        </w:rPr>
        <w:t> </w:t>
      </w:r>
      <w:r>
        <w:rPr>
          <w:sz w:val="21"/>
          <w:vertAlign w:val="baseline"/>
        </w:rPr>
        <w:t>the</w:t>
      </w:r>
      <w:r>
        <w:rPr>
          <w:spacing w:val="-11"/>
          <w:sz w:val="21"/>
          <w:vertAlign w:val="baseline"/>
        </w:rPr>
        <w:t> </w:t>
      </w:r>
      <w:r>
        <w:rPr>
          <w:sz w:val="21"/>
          <w:vertAlign w:val="baseline"/>
        </w:rPr>
        <w:t>justice</w:t>
      </w:r>
      <w:r>
        <w:rPr>
          <w:spacing w:val="-11"/>
          <w:sz w:val="21"/>
          <w:vertAlign w:val="baseline"/>
        </w:rPr>
        <w:t> </w:t>
      </w:r>
      <w:r>
        <w:rPr>
          <w:sz w:val="21"/>
          <w:vertAlign w:val="baseline"/>
        </w:rPr>
        <w:t>system.</w:t>
      </w:r>
      <w:r>
        <w:rPr>
          <w:spacing w:val="-11"/>
          <w:sz w:val="21"/>
          <w:vertAlign w:val="baseline"/>
        </w:rPr>
        <w:t> </w:t>
      </w:r>
      <w:r>
        <w:rPr>
          <w:sz w:val="21"/>
          <w:vertAlign w:val="baseline"/>
        </w:rPr>
        <w:t>Developing programs to address the impact and</w:t>
      </w:r>
      <w:r>
        <w:rPr>
          <w:spacing w:val="-1"/>
          <w:sz w:val="21"/>
          <w:vertAlign w:val="baseline"/>
        </w:rPr>
        <w:t> </w:t>
      </w:r>
      <w:r>
        <w:rPr>
          <w:sz w:val="21"/>
          <w:vertAlign w:val="baseline"/>
        </w:rPr>
        <w:t>trauma of ACEs among justice-involved youth may help reduce youth recidivism.</w:t>
      </w:r>
      <w:hyperlink w:history="true" w:anchor="_bookmark607">
        <w:r>
          <w:rPr>
            <w:sz w:val="21"/>
            <w:vertAlign w:val="superscript"/>
          </w:rPr>
          <w:t>53</w:t>
        </w:r>
      </w:hyperlink>
      <w:r>
        <w:rPr>
          <w:spacing w:val="-2"/>
          <w:sz w:val="21"/>
          <w:vertAlign w:val="baseline"/>
        </w:rPr>
        <w:t> </w:t>
      </w:r>
      <w:r>
        <w:rPr>
          <w:sz w:val="21"/>
          <w:vertAlign w:val="baseline"/>
        </w:rPr>
        <w:t>Increasing services and funding for transition support programs would assist justice-involved youth in finding and maintaining employment. For example, the</w:t>
      </w:r>
      <w:r>
        <w:rPr>
          <w:spacing w:val="-1"/>
          <w:sz w:val="21"/>
          <w:vertAlign w:val="baseline"/>
        </w:rPr>
        <w:t> </w:t>
      </w:r>
      <w:r>
        <w:rPr>
          <w:sz w:val="21"/>
          <w:vertAlign w:val="baseline"/>
        </w:rPr>
        <w:t>Department of Youth Services works with Commonwealth Corporation to offer Residential Work Programs that connect justice-involved youth with employment and housing, educational services, and career readiness training.</w:t>
      </w:r>
    </w:p>
    <w:p>
      <w:pPr>
        <w:spacing w:line="276" w:lineRule="auto" w:before="241"/>
        <w:ind w:left="463" w:right="199" w:firstLine="0"/>
        <w:jc w:val="both"/>
        <w:rPr>
          <w:sz w:val="21"/>
        </w:rPr>
      </w:pPr>
      <w:r>
        <w:rPr>
          <w:sz w:val="21"/>
        </w:rPr>
        <w:t>Certain youth face higher rates and an increased risk of recidivism, including Black non-Latinx, Latinx, and multiracial non-Latinx youth and justice-involved youth with psychiatric and substance problems.</w:t>
      </w:r>
      <w:r>
        <w:rPr>
          <w:spacing w:val="-2"/>
          <w:sz w:val="21"/>
        </w:rPr>
        <w:t> </w:t>
      </w:r>
      <w:hyperlink w:history="true" w:anchor="_bookmark608">
        <w:r>
          <w:rPr>
            <w:sz w:val="21"/>
            <w:vertAlign w:val="superscript"/>
          </w:rPr>
          <w:t>54</w:t>
        </w:r>
      </w:hyperlink>
      <w:r>
        <w:rPr>
          <w:sz w:val="21"/>
          <w:vertAlign w:val="baseline"/>
        </w:rPr>
        <w:t> Implementing mental health and rehabilitation programs into the juvenile justice system may reduce the risk of recidivism. Black individuals are overrepresented in the justice system due to racial discrimination and systemic bias. </w:t>
      </w:r>
      <w:hyperlink w:history="true" w:anchor="_bookmark609">
        <w:r>
          <w:rPr>
            <w:sz w:val="21"/>
            <w:vertAlign w:val="superscript"/>
          </w:rPr>
          <w:t>55</w:t>
        </w:r>
      </w:hyperlink>
      <w:r>
        <w:rPr>
          <w:sz w:val="21"/>
          <w:vertAlign w:val="baseline"/>
        </w:rPr>
        <w:t> Racial discrimination compounded with discrimination against justice-involved individuals has a significant impact on formerly incarcerated Black individuals.</w:t>
      </w:r>
    </w:p>
    <w:p>
      <w:pPr>
        <w:spacing w:line="276" w:lineRule="auto" w:before="240"/>
        <w:ind w:left="464" w:right="198" w:firstLine="0"/>
        <w:jc w:val="both"/>
        <w:rPr>
          <w:sz w:val="21"/>
        </w:rPr>
      </w:pPr>
      <w:r>
        <w:rPr>
          <w:sz w:val="21"/>
        </w:rPr>
        <w:t>Specifically in MA, racial disparities persist in the justice</w:t>
      </w:r>
      <w:r>
        <w:rPr>
          <w:spacing w:val="-1"/>
          <w:sz w:val="21"/>
        </w:rPr>
        <w:t> </w:t>
      </w:r>
      <w:r>
        <w:rPr>
          <w:sz w:val="21"/>
        </w:rPr>
        <w:t>system years after former Governor Charlie Baker signed</w:t>
      </w:r>
      <w:r>
        <w:rPr>
          <w:spacing w:val="-7"/>
          <w:sz w:val="21"/>
        </w:rPr>
        <w:t> </w:t>
      </w:r>
      <w:r>
        <w:rPr>
          <w:sz w:val="21"/>
        </w:rPr>
        <w:t>legislation</w:t>
      </w:r>
      <w:r>
        <w:rPr>
          <w:spacing w:val="-7"/>
          <w:sz w:val="21"/>
        </w:rPr>
        <w:t> </w:t>
      </w:r>
      <w:r>
        <w:rPr>
          <w:sz w:val="21"/>
        </w:rPr>
        <w:t>to</w:t>
      </w:r>
      <w:r>
        <w:rPr>
          <w:spacing w:val="-7"/>
          <w:sz w:val="21"/>
        </w:rPr>
        <w:t> </w:t>
      </w:r>
      <w:r>
        <w:rPr>
          <w:sz w:val="21"/>
        </w:rPr>
        <w:t>reform</w:t>
      </w:r>
      <w:r>
        <w:rPr>
          <w:spacing w:val="-5"/>
          <w:sz w:val="21"/>
        </w:rPr>
        <w:t> </w:t>
      </w:r>
      <w:r>
        <w:rPr>
          <w:sz w:val="21"/>
        </w:rPr>
        <w:t>the</w:t>
      </w:r>
      <w:r>
        <w:rPr>
          <w:spacing w:val="-7"/>
          <w:sz w:val="21"/>
        </w:rPr>
        <w:t> </w:t>
      </w:r>
      <w:r>
        <w:rPr>
          <w:sz w:val="21"/>
        </w:rPr>
        <w:t>justice</w:t>
      </w:r>
      <w:r>
        <w:rPr>
          <w:spacing w:val="-7"/>
          <w:sz w:val="21"/>
        </w:rPr>
        <w:t> </w:t>
      </w:r>
      <w:r>
        <w:rPr>
          <w:sz w:val="21"/>
        </w:rPr>
        <w:t>system</w:t>
      </w:r>
      <w:r>
        <w:rPr>
          <w:spacing w:val="-6"/>
          <w:sz w:val="21"/>
        </w:rPr>
        <w:t> </w:t>
      </w:r>
      <w:r>
        <w:rPr>
          <w:sz w:val="21"/>
        </w:rPr>
        <w:t>according</w:t>
      </w:r>
      <w:r>
        <w:rPr>
          <w:spacing w:val="-7"/>
          <w:sz w:val="21"/>
        </w:rPr>
        <w:t> </w:t>
      </w:r>
      <w:r>
        <w:rPr>
          <w:sz w:val="21"/>
        </w:rPr>
        <w:t>to</w:t>
      </w:r>
      <w:r>
        <w:rPr>
          <w:spacing w:val="-7"/>
          <w:sz w:val="21"/>
        </w:rPr>
        <w:t> </w:t>
      </w:r>
      <w:r>
        <w:rPr>
          <w:sz w:val="21"/>
        </w:rPr>
        <w:t>a</w:t>
      </w:r>
      <w:r>
        <w:rPr>
          <w:spacing w:val="-6"/>
          <w:sz w:val="21"/>
        </w:rPr>
        <w:t> </w:t>
      </w:r>
      <w:r>
        <w:rPr>
          <w:sz w:val="21"/>
        </w:rPr>
        <w:t>new</w:t>
      </w:r>
      <w:r>
        <w:rPr>
          <w:spacing w:val="-7"/>
          <w:sz w:val="21"/>
        </w:rPr>
        <w:t> </w:t>
      </w:r>
      <w:r>
        <w:rPr>
          <w:sz w:val="21"/>
        </w:rPr>
        <w:t>report</w:t>
      </w:r>
      <w:r>
        <w:rPr>
          <w:spacing w:val="-6"/>
          <w:sz w:val="21"/>
        </w:rPr>
        <w:t> </w:t>
      </w:r>
      <w:r>
        <w:rPr>
          <w:sz w:val="21"/>
        </w:rPr>
        <w:t>by</w:t>
      </w:r>
      <w:r>
        <w:rPr>
          <w:spacing w:val="-7"/>
          <w:sz w:val="21"/>
        </w:rPr>
        <w:t> </w:t>
      </w:r>
      <w:r>
        <w:rPr>
          <w:sz w:val="21"/>
        </w:rPr>
        <w:t>the</w:t>
      </w:r>
      <w:r>
        <w:rPr>
          <w:spacing w:val="-7"/>
          <w:sz w:val="21"/>
        </w:rPr>
        <w:t> </w:t>
      </w:r>
      <w:r>
        <w:rPr>
          <w:sz w:val="21"/>
        </w:rPr>
        <w:t>Massachusetts</w:t>
      </w:r>
      <w:r>
        <w:rPr>
          <w:spacing w:val="-7"/>
          <w:sz w:val="21"/>
        </w:rPr>
        <w:t> </w:t>
      </w:r>
      <w:r>
        <w:rPr>
          <w:sz w:val="21"/>
        </w:rPr>
        <w:t>Institute</w:t>
      </w:r>
      <w:r>
        <w:rPr>
          <w:spacing w:val="-7"/>
          <w:sz w:val="21"/>
        </w:rPr>
        <w:t> </w:t>
      </w:r>
      <w:r>
        <w:rPr>
          <w:sz w:val="21"/>
        </w:rPr>
        <w:t>for a New Commonwealth.</w:t>
      </w:r>
      <w:hyperlink w:history="true" w:anchor="_bookmark610">
        <w:r>
          <w:rPr>
            <w:sz w:val="21"/>
            <w:vertAlign w:val="superscript"/>
          </w:rPr>
          <w:t>56</w:t>
        </w:r>
      </w:hyperlink>
      <w:r>
        <w:rPr>
          <w:spacing w:val="-1"/>
          <w:sz w:val="21"/>
          <w:vertAlign w:val="baseline"/>
        </w:rPr>
        <w:t> </w:t>
      </w:r>
      <w:r>
        <w:rPr>
          <w:sz w:val="21"/>
          <w:vertAlign w:val="baseline"/>
        </w:rPr>
        <w:t>Since 2018, MA incarceration rates fell faster than the national average for all races; however, the rates for white people decreased by 40% compared to 32% for Latinx individuals and 21%</w:t>
      </w:r>
      <w:r>
        <w:rPr>
          <w:spacing w:val="-4"/>
          <w:sz w:val="21"/>
          <w:vertAlign w:val="baseline"/>
        </w:rPr>
        <w:t> </w:t>
      </w:r>
      <w:r>
        <w:rPr>
          <w:sz w:val="21"/>
          <w:vertAlign w:val="baseline"/>
        </w:rPr>
        <w:t>for</w:t>
      </w:r>
      <w:r>
        <w:rPr>
          <w:spacing w:val="-4"/>
          <w:sz w:val="21"/>
          <w:vertAlign w:val="baseline"/>
        </w:rPr>
        <w:t> </w:t>
      </w:r>
      <w:r>
        <w:rPr>
          <w:sz w:val="21"/>
          <w:vertAlign w:val="baseline"/>
        </w:rPr>
        <w:t>Black</w:t>
      </w:r>
      <w:r>
        <w:rPr>
          <w:spacing w:val="-5"/>
          <w:sz w:val="21"/>
          <w:vertAlign w:val="baseline"/>
        </w:rPr>
        <w:t> </w:t>
      </w:r>
      <w:r>
        <w:rPr>
          <w:sz w:val="21"/>
          <w:vertAlign w:val="baseline"/>
        </w:rPr>
        <w:t>individuals.</w:t>
      </w:r>
      <w:r>
        <w:rPr>
          <w:spacing w:val="-4"/>
          <w:sz w:val="21"/>
          <w:vertAlign w:val="baseline"/>
        </w:rPr>
        <w:t> </w:t>
      </w:r>
      <w:r>
        <w:rPr>
          <w:sz w:val="21"/>
          <w:vertAlign w:val="baseline"/>
        </w:rPr>
        <w:t>There</w:t>
      </w:r>
      <w:r>
        <w:rPr>
          <w:spacing w:val="-4"/>
          <w:sz w:val="21"/>
          <w:vertAlign w:val="baseline"/>
        </w:rPr>
        <w:t> </w:t>
      </w:r>
      <w:r>
        <w:rPr>
          <w:sz w:val="21"/>
          <w:vertAlign w:val="baseline"/>
        </w:rPr>
        <w:t>have</w:t>
      </w:r>
      <w:r>
        <w:rPr>
          <w:spacing w:val="-4"/>
          <w:sz w:val="21"/>
          <w:vertAlign w:val="baseline"/>
        </w:rPr>
        <w:t> </w:t>
      </w:r>
      <w:r>
        <w:rPr>
          <w:sz w:val="21"/>
          <w:vertAlign w:val="baseline"/>
        </w:rPr>
        <w:t>been</w:t>
      </w:r>
      <w:r>
        <w:rPr>
          <w:spacing w:val="-4"/>
          <w:sz w:val="21"/>
          <w:vertAlign w:val="baseline"/>
        </w:rPr>
        <w:t> </w:t>
      </w:r>
      <w:r>
        <w:rPr>
          <w:sz w:val="21"/>
          <w:vertAlign w:val="baseline"/>
        </w:rPr>
        <w:t>significant</w:t>
      </w:r>
      <w:r>
        <w:rPr>
          <w:spacing w:val="-4"/>
          <w:sz w:val="21"/>
          <w:vertAlign w:val="baseline"/>
        </w:rPr>
        <w:t> </w:t>
      </w:r>
      <w:r>
        <w:rPr>
          <w:sz w:val="21"/>
          <w:vertAlign w:val="baseline"/>
        </w:rPr>
        <w:t>improvements</w:t>
      </w:r>
      <w:r>
        <w:rPr>
          <w:spacing w:val="-5"/>
          <w:sz w:val="21"/>
          <w:vertAlign w:val="baseline"/>
        </w:rPr>
        <w:t> </w:t>
      </w:r>
      <w:r>
        <w:rPr>
          <w:sz w:val="21"/>
          <w:vertAlign w:val="baseline"/>
        </w:rPr>
        <w:t>in</w:t>
      </w:r>
      <w:r>
        <w:rPr>
          <w:spacing w:val="-4"/>
          <w:sz w:val="21"/>
          <w:vertAlign w:val="baseline"/>
        </w:rPr>
        <w:t> </w:t>
      </w:r>
      <w:r>
        <w:rPr>
          <w:sz w:val="21"/>
          <w:vertAlign w:val="baseline"/>
        </w:rPr>
        <w:t>the</w:t>
      </w:r>
      <w:r>
        <w:rPr>
          <w:spacing w:val="-4"/>
          <w:sz w:val="21"/>
          <w:vertAlign w:val="baseline"/>
        </w:rPr>
        <w:t> </w:t>
      </w:r>
      <w:r>
        <w:rPr>
          <w:sz w:val="21"/>
          <w:vertAlign w:val="baseline"/>
        </w:rPr>
        <w:t>criminal</w:t>
      </w:r>
      <w:r>
        <w:rPr>
          <w:spacing w:val="-5"/>
          <w:sz w:val="21"/>
          <w:vertAlign w:val="baseline"/>
        </w:rPr>
        <w:t> </w:t>
      </w:r>
      <w:r>
        <w:rPr>
          <w:sz w:val="21"/>
          <w:vertAlign w:val="baseline"/>
        </w:rPr>
        <w:t>justice</w:t>
      </w:r>
      <w:r>
        <w:rPr>
          <w:spacing w:val="-4"/>
          <w:sz w:val="21"/>
          <w:vertAlign w:val="baseline"/>
        </w:rPr>
        <w:t> </w:t>
      </w:r>
      <w:r>
        <w:rPr>
          <w:sz w:val="21"/>
          <w:vertAlign w:val="baseline"/>
        </w:rPr>
        <w:t>system,</w:t>
      </w:r>
      <w:r>
        <w:rPr>
          <w:spacing w:val="-4"/>
          <w:sz w:val="21"/>
          <w:vertAlign w:val="baseline"/>
        </w:rPr>
        <w:t> </w:t>
      </w:r>
      <w:r>
        <w:rPr>
          <w:sz w:val="21"/>
          <w:vertAlign w:val="baseline"/>
        </w:rPr>
        <w:t>though there are still various issues that need to be addressed.</w:t>
      </w:r>
    </w:p>
    <w:p>
      <w:pPr>
        <w:spacing w:after="0" w:line="276" w:lineRule="auto"/>
        <w:jc w:val="both"/>
        <w:rPr>
          <w:sz w:val="21"/>
        </w:rPr>
        <w:sectPr>
          <w:pgSz w:w="12240" w:h="15840"/>
          <w:pgMar w:header="763" w:footer="1041" w:top="1380" w:bottom="1240" w:left="1120" w:right="1380"/>
        </w:sectPr>
      </w:pPr>
    </w:p>
    <w:p>
      <w:pPr>
        <w:spacing w:before="47"/>
        <w:ind w:left="464" w:right="0" w:firstLine="0"/>
        <w:jc w:val="both"/>
        <w:rPr>
          <w:sz w:val="28"/>
        </w:rPr>
      </w:pPr>
      <w:bookmarkStart w:name="Impact of Anti-LGBTQ Bills &amp; Legislation" w:id="842"/>
      <w:bookmarkEnd w:id="842"/>
      <w:r>
        <w:rPr/>
      </w:r>
      <w:r>
        <w:rPr>
          <w:color w:val="365F91"/>
          <w:sz w:val="28"/>
        </w:rPr>
        <w:t>Impact</w:t>
      </w:r>
      <w:r>
        <w:rPr>
          <w:color w:val="365F91"/>
          <w:spacing w:val="-7"/>
          <w:sz w:val="28"/>
        </w:rPr>
        <w:t> </w:t>
      </w:r>
      <w:r>
        <w:rPr>
          <w:color w:val="365F91"/>
          <w:sz w:val="28"/>
        </w:rPr>
        <w:t>of</w:t>
      </w:r>
      <w:r>
        <w:rPr>
          <w:color w:val="365F91"/>
          <w:spacing w:val="-7"/>
          <w:sz w:val="28"/>
        </w:rPr>
        <w:t> </w:t>
      </w:r>
      <w:r>
        <w:rPr>
          <w:color w:val="365F91"/>
          <w:sz w:val="28"/>
        </w:rPr>
        <w:t>Anti-LGBTQ</w:t>
      </w:r>
      <w:r>
        <w:rPr>
          <w:color w:val="365F91"/>
          <w:spacing w:val="-7"/>
          <w:sz w:val="28"/>
        </w:rPr>
        <w:t> </w:t>
      </w:r>
      <w:r>
        <w:rPr>
          <w:color w:val="365F91"/>
          <w:sz w:val="28"/>
        </w:rPr>
        <w:t>Bills</w:t>
      </w:r>
      <w:r>
        <w:rPr>
          <w:color w:val="365F91"/>
          <w:spacing w:val="-7"/>
          <w:sz w:val="28"/>
        </w:rPr>
        <w:t> </w:t>
      </w:r>
      <w:r>
        <w:rPr>
          <w:color w:val="365F91"/>
          <w:sz w:val="28"/>
        </w:rPr>
        <w:t>&amp;</w:t>
      </w:r>
      <w:r>
        <w:rPr>
          <w:color w:val="365F91"/>
          <w:spacing w:val="-7"/>
          <w:sz w:val="28"/>
        </w:rPr>
        <w:t> </w:t>
      </w:r>
      <w:r>
        <w:rPr>
          <w:color w:val="365F91"/>
          <w:spacing w:val="-2"/>
          <w:sz w:val="28"/>
        </w:rPr>
        <w:t>Legislation</w:t>
      </w:r>
    </w:p>
    <w:p>
      <w:pPr>
        <w:spacing w:line="276" w:lineRule="auto" w:before="292"/>
        <w:ind w:left="463" w:right="197" w:firstLine="0"/>
        <w:jc w:val="both"/>
        <w:rPr>
          <w:sz w:val="21"/>
        </w:rPr>
      </w:pPr>
      <w:r>
        <w:rPr>
          <w:sz w:val="21"/>
        </w:rPr>
        <w:t>Anti-LGBTQ legislation has been rampant across the US, with a record high of 510 anti-LGBTQ bills being introduced into state legislatures in 2023, which is three times the number of that in 2022. Of those 510 bills, 84 have been passed in 23 different states.</w:t>
      </w:r>
      <w:hyperlink w:history="true" w:anchor="_bookmark611">
        <w:r>
          <w:rPr>
            <w:sz w:val="21"/>
            <w:vertAlign w:val="superscript"/>
          </w:rPr>
          <w:t>57</w:t>
        </w:r>
      </w:hyperlink>
      <w:r>
        <w:rPr>
          <w:sz w:val="21"/>
          <w:vertAlign w:val="baseline"/>
        </w:rPr>
        <w:t> There has also been an increase in anti-LGBTQ hate crimes and violence across the country: the FBI’s Annual Crime Report for 2022 revealed an increase in violence</w:t>
      </w:r>
      <w:r>
        <w:rPr>
          <w:spacing w:val="-8"/>
          <w:sz w:val="21"/>
          <w:vertAlign w:val="baseline"/>
        </w:rPr>
        <w:t> </w:t>
      </w:r>
      <w:r>
        <w:rPr>
          <w:sz w:val="21"/>
          <w:vertAlign w:val="baseline"/>
        </w:rPr>
        <w:t>based</w:t>
      </w:r>
      <w:r>
        <w:rPr>
          <w:spacing w:val="-8"/>
          <w:sz w:val="21"/>
          <w:vertAlign w:val="baseline"/>
        </w:rPr>
        <w:t> </w:t>
      </w:r>
      <w:r>
        <w:rPr>
          <w:sz w:val="21"/>
          <w:vertAlign w:val="baseline"/>
        </w:rPr>
        <w:t>on</w:t>
      </w:r>
      <w:r>
        <w:rPr>
          <w:spacing w:val="-8"/>
          <w:sz w:val="21"/>
          <w:vertAlign w:val="baseline"/>
        </w:rPr>
        <w:t> </w:t>
      </w:r>
      <w:r>
        <w:rPr>
          <w:sz w:val="21"/>
          <w:vertAlign w:val="baseline"/>
        </w:rPr>
        <w:t>sexual</w:t>
      </w:r>
      <w:r>
        <w:rPr>
          <w:spacing w:val="-9"/>
          <w:sz w:val="21"/>
          <w:vertAlign w:val="baseline"/>
        </w:rPr>
        <w:t> </w:t>
      </w:r>
      <w:r>
        <w:rPr>
          <w:sz w:val="21"/>
          <w:vertAlign w:val="baseline"/>
        </w:rPr>
        <w:t>orientation</w:t>
      </w:r>
      <w:r>
        <w:rPr>
          <w:spacing w:val="-8"/>
          <w:sz w:val="21"/>
          <w:vertAlign w:val="baseline"/>
        </w:rPr>
        <w:t> </w:t>
      </w:r>
      <w:r>
        <w:rPr>
          <w:sz w:val="21"/>
          <w:vertAlign w:val="baseline"/>
        </w:rPr>
        <w:t>and</w:t>
      </w:r>
      <w:r>
        <w:rPr>
          <w:spacing w:val="-9"/>
          <w:sz w:val="21"/>
          <w:vertAlign w:val="baseline"/>
        </w:rPr>
        <w:t> </w:t>
      </w:r>
      <w:r>
        <w:rPr>
          <w:sz w:val="21"/>
          <w:vertAlign w:val="baseline"/>
        </w:rPr>
        <w:t>gender</w:t>
      </w:r>
      <w:r>
        <w:rPr>
          <w:spacing w:val="-8"/>
          <w:sz w:val="21"/>
          <w:vertAlign w:val="baseline"/>
        </w:rPr>
        <w:t> </w:t>
      </w:r>
      <w:r>
        <w:rPr>
          <w:sz w:val="21"/>
          <w:vertAlign w:val="baseline"/>
        </w:rPr>
        <w:t>identity.</w:t>
      </w:r>
      <w:hyperlink w:history="true" w:anchor="_bookmark612">
        <w:r>
          <w:rPr>
            <w:sz w:val="21"/>
            <w:vertAlign w:val="superscript"/>
          </w:rPr>
          <w:t>58</w:t>
        </w:r>
      </w:hyperlink>
      <w:r>
        <w:rPr>
          <w:spacing w:val="-2"/>
          <w:sz w:val="21"/>
          <w:vertAlign w:val="baseline"/>
        </w:rPr>
        <w:t> </w:t>
      </w:r>
      <w:r>
        <w:rPr>
          <w:sz w:val="21"/>
          <w:vertAlign w:val="baseline"/>
        </w:rPr>
        <w:t>This</w:t>
      </w:r>
      <w:r>
        <w:rPr>
          <w:spacing w:val="-8"/>
          <w:sz w:val="21"/>
          <w:vertAlign w:val="baseline"/>
        </w:rPr>
        <w:t> </w:t>
      </w:r>
      <w:r>
        <w:rPr>
          <w:sz w:val="21"/>
          <w:vertAlign w:val="baseline"/>
        </w:rPr>
        <w:t>treatment</w:t>
      </w:r>
      <w:r>
        <w:rPr>
          <w:spacing w:val="-8"/>
          <w:sz w:val="21"/>
          <w:vertAlign w:val="baseline"/>
        </w:rPr>
        <w:t> </w:t>
      </w:r>
      <w:r>
        <w:rPr>
          <w:sz w:val="21"/>
          <w:vertAlign w:val="baseline"/>
        </w:rPr>
        <w:t>of</w:t>
      </w:r>
      <w:r>
        <w:rPr>
          <w:spacing w:val="-8"/>
          <w:sz w:val="21"/>
          <w:vertAlign w:val="baseline"/>
        </w:rPr>
        <w:t> </w:t>
      </w:r>
      <w:r>
        <w:rPr>
          <w:sz w:val="21"/>
          <w:vertAlign w:val="baseline"/>
        </w:rPr>
        <w:t>LGBTQ</w:t>
      </w:r>
      <w:r>
        <w:rPr>
          <w:spacing w:val="-8"/>
          <w:sz w:val="21"/>
          <w:vertAlign w:val="baseline"/>
        </w:rPr>
        <w:t> </w:t>
      </w:r>
      <w:r>
        <w:rPr>
          <w:sz w:val="21"/>
          <w:vertAlign w:val="baseline"/>
        </w:rPr>
        <w:t>individuals</w:t>
      </w:r>
      <w:r>
        <w:rPr>
          <w:spacing w:val="-9"/>
          <w:sz w:val="21"/>
          <w:vertAlign w:val="baseline"/>
        </w:rPr>
        <w:t> </w:t>
      </w:r>
      <w:r>
        <w:rPr>
          <w:sz w:val="21"/>
          <w:vertAlign w:val="baseline"/>
        </w:rPr>
        <w:t>has</w:t>
      </w:r>
      <w:r>
        <w:rPr>
          <w:spacing w:val="-8"/>
          <w:sz w:val="21"/>
          <w:vertAlign w:val="baseline"/>
        </w:rPr>
        <w:t> </w:t>
      </w:r>
      <w:r>
        <w:rPr>
          <w:sz w:val="21"/>
          <w:vertAlign w:val="baseline"/>
        </w:rPr>
        <w:t>caused many individuals and families to move from states that are unsafe for LGBTQ individuals to states that are much more accepting.</w:t>
      </w:r>
    </w:p>
    <w:p>
      <w:pPr>
        <w:spacing w:line="276" w:lineRule="auto" w:before="239"/>
        <w:ind w:left="463" w:right="199" w:firstLine="0"/>
        <w:jc w:val="both"/>
        <w:rPr>
          <w:sz w:val="21"/>
        </w:rPr>
      </w:pPr>
      <w:r>
        <w:rPr>
          <w:sz w:val="21"/>
        </w:rPr>
        <w:t>According to the 2022 USTS preliminary findings, 10% of respondents moved to another area because of discrimination, and 5% moved to another state after their own state considered or passed legislation restricting their access to healthcare or bathrooms;</w:t>
      </w:r>
      <w:r>
        <w:rPr>
          <w:spacing w:val="-12"/>
          <w:sz w:val="21"/>
        </w:rPr>
        <w:t> </w:t>
      </w:r>
      <w:hyperlink w:history="true" w:anchor="_bookmark613">
        <w:r>
          <w:rPr>
            <w:sz w:val="21"/>
            <w:vertAlign w:val="superscript"/>
          </w:rPr>
          <w:t>59</w:t>
        </w:r>
      </w:hyperlink>
      <w:r>
        <w:rPr>
          <w:sz w:val="21"/>
          <w:vertAlign w:val="baseline"/>
        </w:rPr>
        <w:t> 47% of transgender and non-binary individuals recorded</w:t>
      </w:r>
      <w:r>
        <w:rPr>
          <w:spacing w:val="-9"/>
          <w:sz w:val="21"/>
          <w:vertAlign w:val="baseline"/>
        </w:rPr>
        <w:t> </w:t>
      </w:r>
      <w:r>
        <w:rPr>
          <w:sz w:val="21"/>
          <w:vertAlign w:val="baseline"/>
        </w:rPr>
        <w:t>wanting</w:t>
      </w:r>
      <w:r>
        <w:rPr>
          <w:spacing w:val="-10"/>
          <w:sz w:val="21"/>
          <w:vertAlign w:val="baseline"/>
        </w:rPr>
        <w:t> </w:t>
      </w:r>
      <w:r>
        <w:rPr>
          <w:sz w:val="21"/>
          <w:vertAlign w:val="baseline"/>
        </w:rPr>
        <w:t>to</w:t>
      </w:r>
      <w:r>
        <w:rPr>
          <w:spacing w:val="-11"/>
          <w:sz w:val="21"/>
          <w:vertAlign w:val="baseline"/>
        </w:rPr>
        <w:t> </w:t>
      </w:r>
      <w:r>
        <w:rPr>
          <w:sz w:val="21"/>
          <w:vertAlign w:val="baseline"/>
        </w:rPr>
        <w:t>leave</w:t>
      </w:r>
      <w:r>
        <w:rPr>
          <w:spacing w:val="-10"/>
          <w:sz w:val="21"/>
          <w:vertAlign w:val="baseline"/>
        </w:rPr>
        <w:t> </w:t>
      </w:r>
      <w:r>
        <w:rPr>
          <w:sz w:val="21"/>
          <w:vertAlign w:val="baseline"/>
        </w:rPr>
        <w:t>their</w:t>
      </w:r>
      <w:r>
        <w:rPr>
          <w:spacing w:val="-9"/>
          <w:sz w:val="21"/>
          <w:vertAlign w:val="baseline"/>
        </w:rPr>
        <w:t> </w:t>
      </w:r>
      <w:r>
        <w:rPr>
          <w:sz w:val="21"/>
          <w:vertAlign w:val="baseline"/>
        </w:rPr>
        <w:t>states</w:t>
      </w:r>
      <w:r>
        <w:rPr>
          <w:spacing w:val="-10"/>
          <w:sz w:val="21"/>
          <w:vertAlign w:val="baseline"/>
        </w:rPr>
        <w:t> </w:t>
      </w:r>
      <w:r>
        <w:rPr>
          <w:sz w:val="21"/>
          <w:vertAlign w:val="baseline"/>
        </w:rPr>
        <w:t>due</w:t>
      </w:r>
      <w:r>
        <w:rPr>
          <w:spacing w:val="-9"/>
          <w:sz w:val="21"/>
          <w:vertAlign w:val="baseline"/>
        </w:rPr>
        <w:t> </w:t>
      </w:r>
      <w:r>
        <w:rPr>
          <w:sz w:val="21"/>
          <w:vertAlign w:val="baseline"/>
        </w:rPr>
        <w:t>to</w:t>
      </w:r>
      <w:r>
        <w:rPr>
          <w:spacing w:val="-11"/>
          <w:sz w:val="21"/>
          <w:vertAlign w:val="baseline"/>
        </w:rPr>
        <w:t> </w:t>
      </w:r>
      <w:r>
        <w:rPr>
          <w:sz w:val="21"/>
          <w:vertAlign w:val="baseline"/>
        </w:rPr>
        <w:t>anti-LGBTQ</w:t>
      </w:r>
      <w:r>
        <w:rPr>
          <w:spacing w:val="-9"/>
          <w:sz w:val="21"/>
          <w:vertAlign w:val="baseline"/>
        </w:rPr>
        <w:t> </w:t>
      </w:r>
      <w:r>
        <w:rPr>
          <w:sz w:val="21"/>
          <w:vertAlign w:val="baseline"/>
        </w:rPr>
        <w:t>legislation.</w:t>
      </w:r>
      <w:hyperlink w:history="true" w:anchor="_bookmark614">
        <w:r>
          <w:rPr>
            <w:sz w:val="21"/>
            <w:vertAlign w:val="superscript"/>
          </w:rPr>
          <w:t>60</w:t>
        </w:r>
      </w:hyperlink>
      <w:r>
        <w:rPr>
          <w:spacing w:val="-3"/>
          <w:sz w:val="21"/>
          <w:vertAlign w:val="baseline"/>
        </w:rPr>
        <w:t> </w:t>
      </w:r>
      <w:r>
        <w:rPr>
          <w:sz w:val="21"/>
          <w:vertAlign w:val="baseline"/>
        </w:rPr>
        <w:t>The</w:t>
      </w:r>
      <w:r>
        <w:rPr>
          <w:spacing w:val="-9"/>
          <w:sz w:val="21"/>
          <w:vertAlign w:val="baseline"/>
        </w:rPr>
        <w:t> </w:t>
      </w:r>
      <w:r>
        <w:rPr>
          <w:sz w:val="21"/>
          <w:vertAlign w:val="baseline"/>
        </w:rPr>
        <w:t>number</w:t>
      </w:r>
      <w:r>
        <w:rPr>
          <w:spacing w:val="-10"/>
          <w:sz w:val="21"/>
          <w:vertAlign w:val="baseline"/>
        </w:rPr>
        <w:t> </w:t>
      </w:r>
      <w:r>
        <w:rPr>
          <w:sz w:val="21"/>
          <w:vertAlign w:val="baseline"/>
        </w:rPr>
        <w:t>of</w:t>
      </w:r>
      <w:r>
        <w:rPr>
          <w:spacing w:val="-10"/>
          <w:sz w:val="21"/>
          <w:vertAlign w:val="baseline"/>
        </w:rPr>
        <w:t> </w:t>
      </w:r>
      <w:r>
        <w:rPr>
          <w:sz w:val="21"/>
          <w:vertAlign w:val="baseline"/>
        </w:rPr>
        <w:t>anti-transgender</w:t>
      </w:r>
      <w:r>
        <w:rPr>
          <w:spacing w:val="-9"/>
          <w:sz w:val="21"/>
          <w:vertAlign w:val="baseline"/>
        </w:rPr>
        <w:t> </w:t>
      </w:r>
      <w:r>
        <w:rPr>
          <w:sz w:val="21"/>
          <w:vertAlign w:val="baseline"/>
        </w:rPr>
        <w:t>bills that</w:t>
      </w:r>
      <w:r>
        <w:rPr>
          <w:spacing w:val="-1"/>
          <w:sz w:val="21"/>
          <w:vertAlign w:val="baseline"/>
        </w:rPr>
        <w:t> </w:t>
      </w:r>
      <w:r>
        <w:rPr>
          <w:sz w:val="21"/>
          <w:vertAlign w:val="baseline"/>
        </w:rPr>
        <w:t>have</w:t>
      </w:r>
      <w:r>
        <w:rPr>
          <w:spacing w:val="-2"/>
          <w:sz w:val="21"/>
          <w:vertAlign w:val="baseline"/>
        </w:rPr>
        <w:t> </w:t>
      </w:r>
      <w:r>
        <w:rPr>
          <w:sz w:val="21"/>
          <w:vertAlign w:val="baseline"/>
        </w:rPr>
        <w:t>been</w:t>
      </w:r>
      <w:r>
        <w:rPr>
          <w:spacing w:val="-2"/>
          <w:sz w:val="21"/>
          <w:vertAlign w:val="baseline"/>
        </w:rPr>
        <w:t> </w:t>
      </w:r>
      <w:r>
        <w:rPr>
          <w:sz w:val="21"/>
          <w:vertAlign w:val="baseline"/>
        </w:rPr>
        <w:t>passed</w:t>
      </w:r>
      <w:r>
        <w:rPr>
          <w:spacing w:val="-2"/>
          <w:sz w:val="21"/>
          <w:vertAlign w:val="baseline"/>
        </w:rPr>
        <w:t> </w:t>
      </w:r>
      <w:r>
        <w:rPr>
          <w:sz w:val="21"/>
          <w:vertAlign w:val="baseline"/>
        </w:rPr>
        <w:t>and</w:t>
      </w:r>
      <w:r>
        <w:rPr>
          <w:spacing w:val="-2"/>
          <w:sz w:val="21"/>
          <w:vertAlign w:val="baseline"/>
        </w:rPr>
        <w:t> </w:t>
      </w:r>
      <w:r>
        <w:rPr>
          <w:sz w:val="21"/>
          <w:vertAlign w:val="baseline"/>
        </w:rPr>
        <w:t>the</w:t>
      </w:r>
      <w:r>
        <w:rPr>
          <w:spacing w:val="-2"/>
          <w:sz w:val="21"/>
          <w:vertAlign w:val="baseline"/>
        </w:rPr>
        <w:t> </w:t>
      </w:r>
      <w:r>
        <w:rPr>
          <w:sz w:val="21"/>
          <w:vertAlign w:val="baseline"/>
        </w:rPr>
        <w:t>number</w:t>
      </w:r>
      <w:r>
        <w:rPr>
          <w:spacing w:val="-2"/>
          <w:sz w:val="21"/>
          <w:vertAlign w:val="baseline"/>
        </w:rPr>
        <w:t> </w:t>
      </w:r>
      <w:r>
        <w:rPr>
          <w:sz w:val="21"/>
          <w:vertAlign w:val="baseline"/>
        </w:rPr>
        <w:t>that</w:t>
      </w:r>
      <w:r>
        <w:rPr>
          <w:spacing w:val="-1"/>
          <w:sz w:val="21"/>
          <w:vertAlign w:val="baseline"/>
        </w:rPr>
        <w:t> </w:t>
      </w:r>
      <w:r>
        <w:rPr>
          <w:sz w:val="21"/>
          <w:vertAlign w:val="baseline"/>
        </w:rPr>
        <w:t>have</w:t>
      </w:r>
      <w:r>
        <w:rPr>
          <w:spacing w:val="-2"/>
          <w:sz w:val="21"/>
          <w:vertAlign w:val="baseline"/>
        </w:rPr>
        <w:t> </w:t>
      </w:r>
      <w:r>
        <w:rPr>
          <w:sz w:val="21"/>
          <w:vertAlign w:val="baseline"/>
        </w:rPr>
        <w:t>been</w:t>
      </w:r>
      <w:r>
        <w:rPr>
          <w:spacing w:val="-3"/>
          <w:sz w:val="21"/>
          <w:vertAlign w:val="baseline"/>
        </w:rPr>
        <w:t> </w:t>
      </w:r>
      <w:r>
        <w:rPr>
          <w:sz w:val="21"/>
          <w:vertAlign w:val="baseline"/>
        </w:rPr>
        <w:t>enacted</w:t>
      </w:r>
      <w:r>
        <w:rPr>
          <w:spacing w:val="-2"/>
          <w:sz w:val="21"/>
          <w:vertAlign w:val="baseline"/>
        </w:rPr>
        <w:t> </w:t>
      </w:r>
      <w:r>
        <w:rPr>
          <w:sz w:val="21"/>
          <w:vertAlign w:val="baseline"/>
        </w:rPr>
        <w:t>have</w:t>
      </w:r>
      <w:r>
        <w:rPr>
          <w:spacing w:val="-3"/>
          <w:sz w:val="21"/>
          <w:vertAlign w:val="baseline"/>
        </w:rPr>
        <w:t> </w:t>
      </w:r>
      <w:r>
        <w:rPr>
          <w:sz w:val="21"/>
          <w:vertAlign w:val="baseline"/>
        </w:rPr>
        <w:t>significantly</w:t>
      </w:r>
      <w:r>
        <w:rPr>
          <w:spacing w:val="-2"/>
          <w:sz w:val="21"/>
          <w:vertAlign w:val="baseline"/>
        </w:rPr>
        <w:t> </w:t>
      </w:r>
      <w:r>
        <w:rPr>
          <w:sz w:val="21"/>
          <w:vertAlign w:val="baseline"/>
        </w:rPr>
        <w:t>increased</w:t>
      </w:r>
      <w:r>
        <w:rPr>
          <w:spacing w:val="-2"/>
          <w:sz w:val="21"/>
          <w:vertAlign w:val="baseline"/>
        </w:rPr>
        <w:t> </w:t>
      </w:r>
      <w:r>
        <w:rPr>
          <w:sz w:val="21"/>
          <w:vertAlign w:val="baseline"/>
        </w:rPr>
        <w:t>in</w:t>
      </w:r>
      <w:r>
        <w:rPr>
          <w:spacing w:val="-2"/>
          <w:sz w:val="21"/>
          <w:vertAlign w:val="baseline"/>
        </w:rPr>
        <w:t> </w:t>
      </w:r>
      <w:r>
        <w:rPr>
          <w:sz w:val="21"/>
          <w:vertAlign w:val="baseline"/>
        </w:rPr>
        <w:t>2023</w:t>
      </w:r>
      <w:r>
        <w:rPr>
          <w:spacing w:val="-2"/>
          <w:sz w:val="21"/>
          <w:vertAlign w:val="baseline"/>
        </w:rPr>
        <w:t> </w:t>
      </w:r>
      <w:r>
        <w:rPr>
          <w:sz w:val="21"/>
          <w:vertAlign w:val="baseline"/>
        </w:rPr>
        <w:t>and</w:t>
      </w:r>
      <w:r>
        <w:rPr>
          <w:spacing w:val="-2"/>
          <w:sz w:val="21"/>
          <w:vertAlign w:val="baseline"/>
        </w:rPr>
        <w:t> </w:t>
      </w:r>
      <w:r>
        <w:rPr>
          <w:sz w:val="21"/>
          <w:vertAlign w:val="baseline"/>
        </w:rPr>
        <w:t>in 2024 thus far.</w:t>
      </w:r>
      <w:hyperlink w:history="true" w:anchor="_bookmark615">
        <w:r>
          <w:rPr>
            <w:sz w:val="21"/>
            <w:vertAlign w:val="superscript"/>
          </w:rPr>
          <w:t>61</w:t>
        </w:r>
      </w:hyperlink>
    </w:p>
    <w:p>
      <w:pPr>
        <w:pStyle w:val="BodyText"/>
        <w:spacing w:before="8"/>
        <w:rPr>
          <w:sz w:val="7"/>
        </w:rPr>
      </w:pPr>
      <w:r>
        <w:rPr/>
        <w:drawing>
          <wp:anchor distT="0" distB="0" distL="0" distR="0" allowOverlap="1" layoutInCell="1" locked="0" behindDoc="1" simplePos="0" relativeHeight="487683584">
            <wp:simplePos x="0" y="0"/>
            <wp:positionH relativeFrom="page">
              <wp:posOffset>1472564</wp:posOffset>
            </wp:positionH>
            <wp:positionV relativeFrom="paragraph">
              <wp:posOffset>74657</wp:posOffset>
            </wp:positionV>
            <wp:extent cx="4859739" cy="1776983"/>
            <wp:effectExtent l="0" t="0" r="0" b="0"/>
            <wp:wrapTopAndBottom/>
            <wp:docPr id="509" name="Image 509" descr="A close-up of a weight scale  Description automatically generated "/>
            <wp:cNvGraphicFramePr>
              <a:graphicFrameLocks/>
            </wp:cNvGraphicFramePr>
            <a:graphic>
              <a:graphicData uri="http://schemas.openxmlformats.org/drawingml/2006/picture">
                <pic:pic>
                  <pic:nvPicPr>
                    <pic:cNvPr id="509" name="Image 509" descr="A close-up of a weight scale  Description automatically generated "/>
                    <pic:cNvPicPr/>
                  </pic:nvPicPr>
                  <pic:blipFill>
                    <a:blip r:embed="rId649" cstate="print"/>
                    <a:stretch>
                      <a:fillRect/>
                    </a:stretch>
                  </pic:blipFill>
                  <pic:spPr>
                    <a:xfrm>
                      <a:off x="0" y="0"/>
                      <a:ext cx="4859739" cy="1776983"/>
                    </a:xfrm>
                    <a:prstGeom prst="rect">
                      <a:avLst/>
                    </a:prstGeom>
                  </pic:spPr>
                </pic:pic>
              </a:graphicData>
            </a:graphic>
          </wp:anchor>
        </w:drawing>
      </w:r>
    </w:p>
    <w:p>
      <w:pPr>
        <w:pStyle w:val="BodyText"/>
        <w:spacing w:before="254"/>
        <w:rPr>
          <w:sz w:val="21"/>
        </w:rPr>
      </w:pPr>
    </w:p>
    <w:p>
      <w:pPr>
        <w:spacing w:line="276" w:lineRule="auto" w:before="0"/>
        <w:ind w:left="464" w:right="197" w:firstLine="0"/>
        <w:jc w:val="both"/>
        <w:rPr>
          <w:sz w:val="21"/>
        </w:rPr>
      </w:pPr>
      <w:r>
        <w:rPr>
          <w:sz w:val="21"/>
        </w:rPr>
        <w:t>There is a gap in data on LGBTQ individuals and families with LGBTQ youth who have fled their states due to anti-LGBTQ discrimination and legislation. There should be research into the experiences of LGBTQ individuals and families with LGBTQ youth who have moved due to anti-LGBTQ legislation, including the impact of</w:t>
      </w:r>
      <w:r>
        <w:rPr>
          <w:spacing w:val="-1"/>
          <w:sz w:val="21"/>
        </w:rPr>
        <w:t> </w:t>
      </w:r>
      <w:r>
        <w:rPr>
          <w:sz w:val="21"/>
        </w:rPr>
        <w:t>moving</w:t>
      </w:r>
      <w:r>
        <w:rPr>
          <w:spacing w:val="-1"/>
          <w:sz w:val="21"/>
        </w:rPr>
        <w:t> </w:t>
      </w:r>
      <w:r>
        <w:rPr>
          <w:sz w:val="21"/>
        </w:rPr>
        <w:t>on their income, personal</w:t>
      </w:r>
      <w:r>
        <w:rPr>
          <w:spacing w:val="-1"/>
          <w:sz w:val="21"/>
        </w:rPr>
        <w:t> </w:t>
      </w:r>
      <w:r>
        <w:rPr>
          <w:sz w:val="21"/>
        </w:rPr>
        <w:t>finance, and</w:t>
      </w:r>
      <w:r>
        <w:rPr>
          <w:spacing w:val="-1"/>
          <w:sz w:val="21"/>
        </w:rPr>
        <w:t> </w:t>
      </w:r>
      <w:r>
        <w:rPr>
          <w:sz w:val="21"/>
        </w:rPr>
        <w:t>access</w:t>
      </w:r>
      <w:r>
        <w:rPr>
          <w:spacing w:val="-1"/>
          <w:sz w:val="21"/>
        </w:rPr>
        <w:t> </w:t>
      </w:r>
      <w:r>
        <w:rPr>
          <w:sz w:val="21"/>
        </w:rPr>
        <w:t>to</w:t>
      </w:r>
      <w:r>
        <w:rPr>
          <w:spacing w:val="-1"/>
          <w:sz w:val="21"/>
        </w:rPr>
        <w:t> </w:t>
      </w:r>
      <w:r>
        <w:rPr>
          <w:sz w:val="21"/>
        </w:rPr>
        <w:t>healthcare.</w:t>
      </w:r>
      <w:r>
        <w:rPr>
          <w:spacing w:val="-1"/>
          <w:sz w:val="21"/>
        </w:rPr>
        <w:t> </w:t>
      </w:r>
      <w:r>
        <w:rPr>
          <w:sz w:val="21"/>
        </w:rPr>
        <w:t>Costs</w:t>
      </w:r>
      <w:r>
        <w:rPr>
          <w:spacing w:val="-1"/>
          <w:sz w:val="21"/>
        </w:rPr>
        <w:t> </w:t>
      </w:r>
      <w:r>
        <w:rPr>
          <w:sz w:val="21"/>
        </w:rPr>
        <w:t>of</w:t>
      </w:r>
      <w:r>
        <w:rPr>
          <w:spacing w:val="-1"/>
          <w:sz w:val="21"/>
        </w:rPr>
        <w:t> </w:t>
      </w:r>
      <w:r>
        <w:rPr>
          <w:sz w:val="21"/>
        </w:rPr>
        <w:t>living</w:t>
      </w:r>
      <w:r>
        <w:rPr>
          <w:spacing w:val="-1"/>
          <w:sz w:val="21"/>
        </w:rPr>
        <w:t> </w:t>
      </w:r>
      <w:r>
        <w:rPr>
          <w:sz w:val="21"/>
        </w:rPr>
        <w:t>are</w:t>
      </w:r>
      <w:r>
        <w:rPr>
          <w:spacing w:val="-1"/>
          <w:sz w:val="21"/>
        </w:rPr>
        <w:t> </w:t>
      </w:r>
      <w:r>
        <w:rPr>
          <w:sz w:val="21"/>
        </w:rPr>
        <w:t>generally more expensive in blue states which may be the destination of LGBTQ individuals and families evading conservative, anti-LGBTQ legislation.</w:t>
      </w:r>
      <w:hyperlink w:history="true" w:anchor="_bookmark616">
        <w:r>
          <w:rPr>
            <w:sz w:val="21"/>
            <w:vertAlign w:val="superscript"/>
          </w:rPr>
          <w:t>62</w:t>
        </w:r>
      </w:hyperlink>
      <w:r>
        <w:rPr>
          <w:spacing w:val="-2"/>
          <w:sz w:val="21"/>
          <w:vertAlign w:val="baseline"/>
        </w:rPr>
        <w:t> </w:t>
      </w:r>
      <w:r>
        <w:rPr>
          <w:sz w:val="21"/>
          <w:vertAlign w:val="baseline"/>
        </w:rPr>
        <w:t>Socio-economic status may be a barrier to LGBTQ individuals and families with LGBTQ youth who seek to escape anti-LGBTQ legislation.</w:t>
      </w:r>
    </w:p>
    <w:p>
      <w:pPr>
        <w:spacing w:line="276" w:lineRule="auto" w:before="240"/>
        <w:ind w:left="464" w:right="199" w:firstLine="0"/>
        <w:jc w:val="both"/>
        <w:rPr>
          <w:sz w:val="21"/>
        </w:rPr>
      </w:pPr>
      <w:r>
        <w:rPr>
          <w:sz w:val="21"/>
        </w:rPr>
        <w:t>Massachusetts has been a leader in LGBTQ rights since it became the first state to legalize same-gender marriage in 2003. The state was ranked the eleventh safest state for LGBTQ individuals in 2023 according to SafeHome</w:t>
      </w:r>
      <w:hyperlink w:history="true" w:anchor="_bookmark617">
        <w:r>
          <w:rPr>
            <w:sz w:val="21"/>
            <w:vertAlign w:val="superscript"/>
          </w:rPr>
          <w:t>63</w:t>
        </w:r>
      </w:hyperlink>
      <w:r>
        <w:rPr>
          <w:sz w:val="21"/>
          <w:vertAlign w:val="baseline"/>
        </w:rPr>
        <w:t> and received a strong score on the HRC’s 2023 State Equality Index,</w:t>
      </w:r>
      <w:hyperlink w:history="true" w:anchor="_bookmark618">
        <w:r>
          <w:rPr>
            <w:sz w:val="21"/>
            <w:vertAlign w:val="superscript"/>
          </w:rPr>
          <w:t>64</w:t>
        </w:r>
      </w:hyperlink>
      <w:r>
        <w:rPr>
          <w:sz w:val="21"/>
          <w:vertAlign w:val="baseline"/>
        </w:rPr>
        <w:t> which makes it a destination for LGBTQ individuals selecting a new state as their home. Governor Healey has advertised Massachusetts in states with anti-LGBTQ legislation, such as Florida and Texas. The advertisements are pride-themed</w:t>
      </w:r>
      <w:r>
        <w:rPr>
          <w:spacing w:val="-10"/>
          <w:sz w:val="21"/>
          <w:vertAlign w:val="baseline"/>
        </w:rPr>
        <w:t> </w:t>
      </w:r>
      <w:r>
        <w:rPr>
          <w:sz w:val="21"/>
          <w:vertAlign w:val="baseline"/>
        </w:rPr>
        <w:t>with</w:t>
      </w:r>
      <w:r>
        <w:rPr>
          <w:spacing w:val="-9"/>
          <w:sz w:val="21"/>
          <w:vertAlign w:val="baseline"/>
        </w:rPr>
        <w:t> </w:t>
      </w:r>
      <w:r>
        <w:rPr>
          <w:sz w:val="21"/>
          <w:vertAlign w:val="baseline"/>
        </w:rPr>
        <w:t>the</w:t>
      </w:r>
      <w:r>
        <w:rPr>
          <w:spacing w:val="-9"/>
          <w:sz w:val="21"/>
          <w:vertAlign w:val="baseline"/>
        </w:rPr>
        <w:t> </w:t>
      </w:r>
      <w:r>
        <w:rPr>
          <w:sz w:val="21"/>
          <w:vertAlign w:val="baseline"/>
        </w:rPr>
        <w:t>slogan</w:t>
      </w:r>
      <w:r>
        <w:rPr>
          <w:spacing w:val="-9"/>
          <w:sz w:val="21"/>
          <w:vertAlign w:val="baseline"/>
        </w:rPr>
        <w:t> </w:t>
      </w:r>
      <w:r>
        <w:rPr>
          <w:sz w:val="21"/>
          <w:vertAlign w:val="baseline"/>
        </w:rPr>
        <w:t>“Massachusetts:</w:t>
      </w:r>
      <w:r>
        <w:rPr>
          <w:spacing w:val="-9"/>
          <w:sz w:val="21"/>
          <w:vertAlign w:val="baseline"/>
        </w:rPr>
        <w:t> </w:t>
      </w:r>
      <w:r>
        <w:rPr>
          <w:sz w:val="21"/>
          <w:vertAlign w:val="baseline"/>
        </w:rPr>
        <w:t>For</w:t>
      </w:r>
      <w:r>
        <w:rPr>
          <w:spacing w:val="-9"/>
          <w:sz w:val="21"/>
          <w:vertAlign w:val="baseline"/>
        </w:rPr>
        <w:t> </w:t>
      </w:r>
      <w:r>
        <w:rPr>
          <w:sz w:val="21"/>
          <w:vertAlign w:val="baseline"/>
        </w:rPr>
        <w:t>us</w:t>
      </w:r>
      <w:r>
        <w:rPr>
          <w:spacing w:val="-9"/>
          <w:sz w:val="21"/>
          <w:vertAlign w:val="baseline"/>
        </w:rPr>
        <w:t> </w:t>
      </w:r>
      <w:r>
        <w:rPr>
          <w:sz w:val="21"/>
          <w:vertAlign w:val="baseline"/>
        </w:rPr>
        <w:t>all”.</w:t>
      </w:r>
      <w:r>
        <w:rPr>
          <w:spacing w:val="-9"/>
          <w:sz w:val="21"/>
          <w:vertAlign w:val="baseline"/>
        </w:rPr>
        <w:t> </w:t>
      </w:r>
      <w:r>
        <w:rPr>
          <w:sz w:val="21"/>
          <w:vertAlign w:val="baseline"/>
        </w:rPr>
        <w:t>LGBTQ</w:t>
      </w:r>
      <w:r>
        <w:rPr>
          <w:spacing w:val="-9"/>
          <w:sz w:val="21"/>
          <w:vertAlign w:val="baseline"/>
        </w:rPr>
        <w:t> </w:t>
      </w:r>
      <w:r>
        <w:rPr>
          <w:sz w:val="21"/>
          <w:vertAlign w:val="baseline"/>
        </w:rPr>
        <w:t>advocacy</w:t>
      </w:r>
      <w:r>
        <w:rPr>
          <w:spacing w:val="-9"/>
          <w:sz w:val="21"/>
          <w:vertAlign w:val="baseline"/>
        </w:rPr>
        <w:t> </w:t>
      </w:r>
      <w:r>
        <w:rPr>
          <w:sz w:val="21"/>
          <w:vertAlign w:val="baseline"/>
        </w:rPr>
        <w:t>groups</w:t>
      </w:r>
      <w:r>
        <w:rPr>
          <w:spacing w:val="-9"/>
          <w:sz w:val="21"/>
          <w:vertAlign w:val="baseline"/>
        </w:rPr>
        <w:t> </w:t>
      </w:r>
      <w:r>
        <w:rPr>
          <w:sz w:val="21"/>
          <w:vertAlign w:val="baseline"/>
        </w:rPr>
        <w:t>in</w:t>
      </w:r>
      <w:r>
        <w:rPr>
          <w:spacing w:val="-9"/>
          <w:sz w:val="21"/>
          <w:vertAlign w:val="baseline"/>
        </w:rPr>
        <w:t> </w:t>
      </w:r>
      <w:r>
        <w:rPr>
          <w:sz w:val="21"/>
          <w:vertAlign w:val="baseline"/>
        </w:rPr>
        <w:t>Boston</w:t>
      </w:r>
      <w:r>
        <w:rPr>
          <w:spacing w:val="-9"/>
          <w:sz w:val="21"/>
          <w:vertAlign w:val="baseline"/>
        </w:rPr>
        <w:t> </w:t>
      </w:r>
      <w:r>
        <w:rPr>
          <w:sz w:val="21"/>
          <w:vertAlign w:val="baseline"/>
        </w:rPr>
        <w:t>have</w:t>
      </w:r>
      <w:r>
        <w:rPr>
          <w:spacing w:val="-9"/>
          <w:sz w:val="21"/>
          <w:vertAlign w:val="baseline"/>
        </w:rPr>
        <w:t> </w:t>
      </w:r>
      <w:r>
        <w:rPr>
          <w:sz w:val="21"/>
          <w:vertAlign w:val="baseline"/>
        </w:rPr>
        <w:t>reported an</w:t>
      </w:r>
      <w:r>
        <w:rPr>
          <w:spacing w:val="-8"/>
          <w:sz w:val="21"/>
          <w:vertAlign w:val="baseline"/>
        </w:rPr>
        <w:t> </w:t>
      </w:r>
      <w:r>
        <w:rPr>
          <w:sz w:val="21"/>
          <w:vertAlign w:val="baseline"/>
        </w:rPr>
        <w:t>influx</w:t>
      </w:r>
      <w:r>
        <w:rPr>
          <w:spacing w:val="-7"/>
          <w:sz w:val="21"/>
          <w:vertAlign w:val="baseline"/>
        </w:rPr>
        <w:t> </w:t>
      </w:r>
      <w:r>
        <w:rPr>
          <w:sz w:val="21"/>
          <w:vertAlign w:val="baseline"/>
        </w:rPr>
        <w:t>of</w:t>
      </w:r>
      <w:r>
        <w:rPr>
          <w:spacing w:val="-8"/>
          <w:sz w:val="21"/>
          <w:vertAlign w:val="baseline"/>
        </w:rPr>
        <w:t> </w:t>
      </w:r>
      <w:r>
        <w:rPr>
          <w:sz w:val="21"/>
          <w:vertAlign w:val="baseline"/>
        </w:rPr>
        <w:t>LGBTQ</w:t>
      </w:r>
      <w:r>
        <w:rPr>
          <w:spacing w:val="-7"/>
          <w:sz w:val="21"/>
          <w:vertAlign w:val="baseline"/>
        </w:rPr>
        <w:t> </w:t>
      </w:r>
      <w:r>
        <w:rPr>
          <w:sz w:val="21"/>
          <w:vertAlign w:val="baseline"/>
        </w:rPr>
        <w:t>people</w:t>
      </w:r>
      <w:r>
        <w:rPr>
          <w:spacing w:val="-8"/>
          <w:sz w:val="21"/>
          <w:vertAlign w:val="baseline"/>
        </w:rPr>
        <w:t> </w:t>
      </w:r>
      <w:r>
        <w:rPr>
          <w:sz w:val="21"/>
          <w:vertAlign w:val="baseline"/>
        </w:rPr>
        <w:t>relocating</w:t>
      </w:r>
      <w:r>
        <w:rPr>
          <w:spacing w:val="-8"/>
          <w:sz w:val="21"/>
          <w:vertAlign w:val="baseline"/>
        </w:rPr>
        <w:t> </w:t>
      </w:r>
      <w:r>
        <w:rPr>
          <w:sz w:val="21"/>
          <w:vertAlign w:val="baseline"/>
        </w:rPr>
        <w:t>to</w:t>
      </w:r>
      <w:r>
        <w:rPr>
          <w:spacing w:val="-8"/>
          <w:sz w:val="21"/>
          <w:vertAlign w:val="baseline"/>
        </w:rPr>
        <w:t> </w:t>
      </w:r>
      <w:r>
        <w:rPr>
          <w:sz w:val="21"/>
          <w:vertAlign w:val="baseline"/>
        </w:rPr>
        <w:t>the</w:t>
      </w:r>
      <w:r>
        <w:rPr>
          <w:spacing w:val="-8"/>
          <w:sz w:val="21"/>
          <w:vertAlign w:val="baseline"/>
        </w:rPr>
        <w:t> </w:t>
      </w:r>
      <w:r>
        <w:rPr>
          <w:sz w:val="21"/>
          <w:vertAlign w:val="baseline"/>
        </w:rPr>
        <w:t>state,</w:t>
      </w:r>
      <w:r>
        <w:rPr>
          <w:spacing w:val="-8"/>
          <w:sz w:val="21"/>
          <w:vertAlign w:val="baseline"/>
        </w:rPr>
        <w:t> </w:t>
      </w:r>
      <w:r>
        <w:rPr>
          <w:sz w:val="21"/>
          <w:vertAlign w:val="baseline"/>
        </w:rPr>
        <w:t>showing</w:t>
      </w:r>
      <w:r>
        <w:rPr>
          <w:spacing w:val="-8"/>
          <w:sz w:val="21"/>
          <w:vertAlign w:val="baseline"/>
        </w:rPr>
        <w:t> </w:t>
      </w:r>
      <w:r>
        <w:rPr>
          <w:sz w:val="21"/>
          <w:vertAlign w:val="baseline"/>
        </w:rPr>
        <w:t>their</w:t>
      </w:r>
      <w:r>
        <w:rPr>
          <w:spacing w:val="-8"/>
          <w:sz w:val="21"/>
          <w:vertAlign w:val="baseline"/>
        </w:rPr>
        <w:t> </w:t>
      </w:r>
      <w:r>
        <w:rPr>
          <w:sz w:val="21"/>
          <w:vertAlign w:val="baseline"/>
        </w:rPr>
        <w:t>demand</w:t>
      </w:r>
      <w:r>
        <w:rPr>
          <w:spacing w:val="-8"/>
          <w:sz w:val="21"/>
          <w:vertAlign w:val="baseline"/>
        </w:rPr>
        <w:t> </w:t>
      </w:r>
      <w:r>
        <w:rPr>
          <w:sz w:val="21"/>
          <w:vertAlign w:val="baseline"/>
        </w:rPr>
        <w:t>for</w:t>
      </w:r>
      <w:r>
        <w:rPr>
          <w:spacing w:val="-8"/>
          <w:sz w:val="21"/>
          <w:vertAlign w:val="baseline"/>
        </w:rPr>
        <w:t> </w:t>
      </w:r>
      <w:r>
        <w:rPr>
          <w:sz w:val="21"/>
          <w:vertAlign w:val="baseline"/>
        </w:rPr>
        <w:t>states</w:t>
      </w:r>
      <w:r>
        <w:rPr>
          <w:spacing w:val="-8"/>
          <w:sz w:val="21"/>
          <w:vertAlign w:val="baseline"/>
        </w:rPr>
        <w:t> </w:t>
      </w:r>
      <w:r>
        <w:rPr>
          <w:sz w:val="21"/>
          <w:vertAlign w:val="baseline"/>
        </w:rPr>
        <w:t>that</w:t>
      </w:r>
      <w:r>
        <w:rPr>
          <w:spacing w:val="-7"/>
          <w:sz w:val="21"/>
          <w:vertAlign w:val="baseline"/>
        </w:rPr>
        <w:t> </w:t>
      </w:r>
      <w:r>
        <w:rPr>
          <w:sz w:val="21"/>
          <w:vertAlign w:val="baseline"/>
        </w:rPr>
        <w:t>are</w:t>
      </w:r>
      <w:r>
        <w:rPr>
          <w:spacing w:val="-8"/>
          <w:sz w:val="21"/>
          <w:vertAlign w:val="baseline"/>
        </w:rPr>
        <w:t> </w:t>
      </w:r>
      <w:r>
        <w:rPr>
          <w:sz w:val="21"/>
          <w:vertAlign w:val="baseline"/>
        </w:rPr>
        <w:t>LGBTQ</w:t>
      </w:r>
      <w:r>
        <w:rPr>
          <w:spacing w:val="-7"/>
          <w:sz w:val="21"/>
          <w:vertAlign w:val="baseline"/>
        </w:rPr>
        <w:t> </w:t>
      </w:r>
      <w:r>
        <w:rPr>
          <w:sz w:val="21"/>
          <w:vertAlign w:val="baseline"/>
        </w:rPr>
        <w:t>inclusive</w:t>
      </w:r>
    </w:p>
    <w:p>
      <w:pPr>
        <w:spacing w:after="0" w:line="276" w:lineRule="auto"/>
        <w:jc w:val="both"/>
        <w:rPr>
          <w:sz w:val="21"/>
        </w:rPr>
        <w:sectPr>
          <w:pgSz w:w="12240" w:h="15840"/>
          <w:pgMar w:header="763" w:footer="1041" w:top="1380" w:bottom="1240" w:left="1120" w:right="1380"/>
        </w:sectPr>
      </w:pPr>
    </w:p>
    <w:p>
      <w:pPr>
        <w:spacing w:line="276" w:lineRule="auto" w:before="47"/>
        <w:ind w:left="464" w:right="201" w:firstLine="0"/>
        <w:jc w:val="both"/>
        <w:rPr>
          <w:sz w:val="21"/>
        </w:rPr>
      </w:pPr>
      <w:r>
        <w:rPr>
          <w:sz w:val="21"/>
        </w:rPr>
        <w:t>and</w:t>
      </w:r>
      <w:r>
        <w:rPr>
          <w:spacing w:val="-10"/>
          <w:sz w:val="21"/>
        </w:rPr>
        <w:t> </w:t>
      </w:r>
      <w:r>
        <w:rPr>
          <w:sz w:val="21"/>
        </w:rPr>
        <w:t>safe.</w:t>
      </w:r>
      <w:r>
        <w:rPr>
          <w:spacing w:val="-10"/>
          <w:sz w:val="21"/>
        </w:rPr>
        <w:t> </w:t>
      </w:r>
      <w:r>
        <w:rPr>
          <w:sz w:val="21"/>
        </w:rPr>
        <w:t>These</w:t>
      </w:r>
      <w:r>
        <w:rPr>
          <w:spacing w:val="-10"/>
          <w:sz w:val="21"/>
        </w:rPr>
        <w:t> </w:t>
      </w:r>
      <w:r>
        <w:rPr>
          <w:sz w:val="21"/>
        </w:rPr>
        <w:t>people</w:t>
      </w:r>
      <w:r>
        <w:rPr>
          <w:spacing w:val="-10"/>
          <w:sz w:val="21"/>
        </w:rPr>
        <w:t> </w:t>
      </w:r>
      <w:r>
        <w:rPr>
          <w:sz w:val="21"/>
        </w:rPr>
        <w:t>include</w:t>
      </w:r>
      <w:r>
        <w:rPr>
          <w:spacing w:val="-10"/>
          <w:sz w:val="21"/>
        </w:rPr>
        <w:t> </w:t>
      </w:r>
      <w:r>
        <w:rPr>
          <w:sz w:val="21"/>
        </w:rPr>
        <w:t>LGBTQ</w:t>
      </w:r>
      <w:r>
        <w:rPr>
          <w:spacing w:val="-10"/>
          <w:sz w:val="21"/>
        </w:rPr>
        <w:t> </w:t>
      </w:r>
      <w:r>
        <w:rPr>
          <w:sz w:val="21"/>
        </w:rPr>
        <w:t>parents</w:t>
      </w:r>
      <w:r>
        <w:rPr>
          <w:spacing w:val="-11"/>
          <w:sz w:val="21"/>
        </w:rPr>
        <w:t> </w:t>
      </w:r>
      <w:r>
        <w:rPr>
          <w:sz w:val="21"/>
        </w:rPr>
        <w:t>whose</w:t>
      </w:r>
      <w:r>
        <w:rPr>
          <w:spacing w:val="-10"/>
          <w:sz w:val="21"/>
        </w:rPr>
        <w:t> </w:t>
      </w:r>
      <w:r>
        <w:rPr>
          <w:sz w:val="21"/>
        </w:rPr>
        <w:t>children</w:t>
      </w:r>
      <w:r>
        <w:rPr>
          <w:spacing w:val="-10"/>
          <w:sz w:val="21"/>
        </w:rPr>
        <w:t> </w:t>
      </w:r>
      <w:r>
        <w:rPr>
          <w:sz w:val="21"/>
        </w:rPr>
        <w:t>are</w:t>
      </w:r>
      <w:r>
        <w:rPr>
          <w:spacing w:val="-10"/>
          <w:sz w:val="21"/>
        </w:rPr>
        <w:t> </w:t>
      </w:r>
      <w:r>
        <w:rPr>
          <w:sz w:val="21"/>
        </w:rPr>
        <w:t>bullied</w:t>
      </w:r>
      <w:r>
        <w:rPr>
          <w:spacing w:val="-10"/>
          <w:sz w:val="21"/>
        </w:rPr>
        <w:t> </w:t>
      </w:r>
      <w:r>
        <w:rPr>
          <w:sz w:val="21"/>
        </w:rPr>
        <w:t>based</w:t>
      </w:r>
      <w:r>
        <w:rPr>
          <w:spacing w:val="-10"/>
          <w:sz w:val="21"/>
        </w:rPr>
        <w:t> </w:t>
      </w:r>
      <w:r>
        <w:rPr>
          <w:sz w:val="21"/>
        </w:rPr>
        <w:t>on</w:t>
      </w:r>
      <w:r>
        <w:rPr>
          <w:spacing w:val="-10"/>
          <w:sz w:val="21"/>
        </w:rPr>
        <w:t> </w:t>
      </w:r>
      <w:r>
        <w:rPr>
          <w:sz w:val="21"/>
        </w:rPr>
        <w:t>their</w:t>
      </w:r>
      <w:r>
        <w:rPr>
          <w:spacing w:val="-10"/>
          <w:sz w:val="21"/>
        </w:rPr>
        <w:t> </w:t>
      </w:r>
      <w:r>
        <w:rPr>
          <w:sz w:val="21"/>
        </w:rPr>
        <w:t>parents’</w:t>
      </w:r>
      <w:r>
        <w:rPr>
          <w:spacing w:val="-10"/>
          <w:sz w:val="21"/>
        </w:rPr>
        <w:t> </w:t>
      </w:r>
      <w:r>
        <w:rPr>
          <w:sz w:val="21"/>
        </w:rPr>
        <w:t>identities, parents of LGBTQ youth, and LGBTQ young adults.</w:t>
      </w:r>
      <w:hyperlink w:history="true" w:anchor="_bookmark619">
        <w:r>
          <w:rPr>
            <w:sz w:val="21"/>
            <w:vertAlign w:val="superscript"/>
          </w:rPr>
          <w:t>65</w:t>
        </w:r>
      </w:hyperlink>
    </w:p>
    <w:p>
      <w:pPr>
        <w:spacing w:line="276" w:lineRule="auto" w:before="240"/>
        <w:ind w:left="463" w:right="199" w:firstLine="0"/>
        <w:jc w:val="both"/>
        <w:rPr>
          <w:sz w:val="21"/>
        </w:rPr>
      </w:pPr>
      <w:r>
        <w:rPr>
          <w:sz w:val="21"/>
        </w:rPr>
        <w:t>However, the costs of living, particularly housing and rent, may deter LGBTQ individuals and families with LGBTQ youth from choosing Massachusetts as their new home. Efforts to create more affordable housing and accessible transportation will not only provide opportunities for those in the state, but also tap into LGBTQ talent from outside the state.</w:t>
      </w:r>
    </w:p>
    <w:p>
      <w:pPr>
        <w:pStyle w:val="Heading8"/>
        <w:spacing w:before="240"/>
      </w:pPr>
      <w:bookmarkStart w:name="Conclusion" w:id="843"/>
      <w:bookmarkEnd w:id="843"/>
      <w:r>
        <w:rPr/>
      </w:r>
      <w:r>
        <w:rPr>
          <w:color w:val="365F91"/>
          <w:spacing w:val="-2"/>
        </w:rPr>
        <w:t>Conclusion</w:t>
      </w:r>
    </w:p>
    <w:p>
      <w:pPr>
        <w:pStyle w:val="BodyText"/>
        <w:spacing w:before="1"/>
        <w:rPr>
          <w:sz w:val="5"/>
        </w:rPr>
      </w:pPr>
      <w:r>
        <w:rPr/>
        <mc:AlternateContent>
          <mc:Choice Requires="wps">
            <w:drawing>
              <wp:anchor distT="0" distB="0" distL="0" distR="0" allowOverlap="1" layoutInCell="1" locked="0" behindDoc="1" simplePos="0" relativeHeight="487684096">
                <wp:simplePos x="0" y="0"/>
                <wp:positionH relativeFrom="page">
                  <wp:posOffset>986789</wp:posOffset>
                </wp:positionH>
                <wp:positionV relativeFrom="paragraph">
                  <wp:posOffset>54754</wp:posOffset>
                </wp:positionV>
                <wp:extent cx="5799455" cy="6350"/>
                <wp:effectExtent l="0" t="0" r="0" b="0"/>
                <wp:wrapTopAndBottom/>
                <wp:docPr id="510" name="Graphic 510"/>
                <wp:cNvGraphicFramePr>
                  <a:graphicFrameLocks/>
                </wp:cNvGraphicFramePr>
                <a:graphic>
                  <a:graphicData uri="http://schemas.microsoft.com/office/word/2010/wordprocessingShape">
                    <wps:wsp>
                      <wps:cNvPr id="510" name="Graphic 510"/>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4.311402pt;width:456.601pt;height:.481pt;mso-position-horizontal-relative:page;mso-position-vertical-relative:paragraph;z-index:-15632384;mso-wrap-distance-left:0;mso-wrap-distance-right:0" id="docshape409" filled="true" fillcolor="#4f81bc" stroked="false">
                <v:fill type="solid"/>
                <w10:wrap type="topAndBottom"/>
              </v:rect>
            </w:pict>
          </mc:Fallback>
        </mc:AlternateContent>
      </w:r>
    </w:p>
    <w:p>
      <w:pPr>
        <w:spacing w:line="276" w:lineRule="auto" w:before="240"/>
        <w:ind w:left="464" w:right="201" w:firstLine="0"/>
        <w:jc w:val="both"/>
        <w:rPr>
          <w:sz w:val="21"/>
        </w:rPr>
      </w:pPr>
      <w:r>
        <w:rPr>
          <w:sz w:val="21"/>
        </w:rPr>
        <w:t>The unique economy of Massachusetts has many barriers for LGBTQ youth to thrive economically. These barriers include job opportunities clustered in Boston, the extremely</w:t>
      </w:r>
      <w:r>
        <w:rPr>
          <w:spacing w:val="-1"/>
          <w:sz w:val="21"/>
        </w:rPr>
        <w:t> </w:t>
      </w:r>
      <w:r>
        <w:rPr>
          <w:sz w:val="21"/>
        </w:rPr>
        <w:t>high costs of housing and rent in and near the city, and the failure of public transportation (namely the MBTA), which together make it difficult for youth from marginalized communities and youth from low-income backgrounds to start a career, especially without parental support.</w:t>
      </w:r>
    </w:p>
    <w:p>
      <w:pPr>
        <w:spacing w:line="276" w:lineRule="auto" w:before="240"/>
        <w:ind w:left="464" w:right="200" w:firstLine="0"/>
        <w:jc w:val="both"/>
        <w:rPr>
          <w:sz w:val="21"/>
        </w:rPr>
      </w:pPr>
      <w:r>
        <w:rPr>
          <w:sz w:val="21"/>
        </w:rPr>
        <w:t>LGBTQ youth</w:t>
      </w:r>
      <w:r>
        <w:rPr>
          <w:spacing w:val="-3"/>
          <w:sz w:val="21"/>
        </w:rPr>
        <w:t> </w:t>
      </w:r>
      <w:r>
        <w:rPr>
          <w:sz w:val="21"/>
        </w:rPr>
        <w:t>need additional</w:t>
      </w:r>
      <w:r>
        <w:rPr>
          <w:spacing w:val="-1"/>
          <w:sz w:val="21"/>
        </w:rPr>
        <w:t> </w:t>
      </w:r>
      <w:r>
        <w:rPr>
          <w:sz w:val="21"/>
        </w:rPr>
        <w:t>resources</w:t>
      </w:r>
      <w:r>
        <w:rPr>
          <w:spacing w:val="-1"/>
          <w:sz w:val="21"/>
        </w:rPr>
        <w:t> </w:t>
      </w:r>
      <w:r>
        <w:rPr>
          <w:sz w:val="21"/>
        </w:rPr>
        <w:t>and government enforcement of</w:t>
      </w:r>
      <w:r>
        <w:rPr>
          <w:spacing w:val="-2"/>
          <w:sz w:val="21"/>
        </w:rPr>
        <w:t> </w:t>
      </w:r>
      <w:r>
        <w:rPr>
          <w:sz w:val="21"/>
        </w:rPr>
        <w:t>anti-discrimination laws</w:t>
      </w:r>
      <w:r>
        <w:rPr>
          <w:spacing w:val="-1"/>
          <w:sz w:val="21"/>
        </w:rPr>
        <w:t> </w:t>
      </w:r>
      <w:r>
        <w:rPr>
          <w:sz w:val="21"/>
        </w:rPr>
        <w:t>in order to have better economic outcomes. Economic disparities for LGBTQ youth include greater unemployment rates and lower earnings than their cisgender and straight peers. LGBTQ youth who are Black, Latinx, transgender, have disabilities, in the foster care system, and justice-involved face additional struggles in succeeding academically, transitioning to the workforce, and obtaining employment stability. More research is necessary to understand the barriers to employment for youth with multiple marginalized identities and to address them with the appropriate resources.</w:t>
      </w:r>
    </w:p>
    <w:p>
      <w:pPr>
        <w:spacing w:before="240"/>
        <w:ind w:left="464" w:right="0" w:firstLine="0"/>
        <w:jc w:val="both"/>
        <w:rPr>
          <w:sz w:val="28"/>
        </w:rPr>
      </w:pPr>
      <w:bookmarkStart w:name="Resources for LGBTQ Youth" w:id="844"/>
      <w:bookmarkEnd w:id="844"/>
      <w:r>
        <w:rPr/>
      </w:r>
      <w:r>
        <w:rPr>
          <w:color w:val="365F91"/>
          <w:sz w:val="28"/>
        </w:rPr>
        <w:t>Resources</w:t>
      </w:r>
      <w:r>
        <w:rPr>
          <w:color w:val="365F91"/>
          <w:spacing w:val="-9"/>
          <w:sz w:val="28"/>
        </w:rPr>
        <w:t> </w:t>
      </w:r>
      <w:r>
        <w:rPr>
          <w:color w:val="365F91"/>
          <w:sz w:val="28"/>
        </w:rPr>
        <w:t>for</w:t>
      </w:r>
      <w:r>
        <w:rPr>
          <w:color w:val="365F91"/>
          <w:spacing w:val="-11"/>
          <w:sz w:val="28"/>
        </w:rPr>
        <w:t> </w:t>
      </w:r>
      <w:r>
        <w:rPr>
          <w:color w:val="365F91"/>
          <w:sz w:val="28"/>
        </w:rPr>
        <w:t>LGBTQ</w:t>
      </w:r>
      <w:r>
        <w:rPr>
          <w:color w:val="365F91"/>
          <w:spacing w:val="-9"/>
          <w:sz w:val="28"/>
        </w:rPr>
        <w:t> </w:t>
      </w:r>
      <w:r>
        <w:rPr>
          <w:color w:val="365F91"/>
          <w:spacing w:val="-2"/>
          <w:sz w:val="28"/>
        </w:rPr>
        <w:t>Youth</w:t>
      </w:r>
    </w:p>
    <w:p>
      <w:pPr>
        <w:pStyle w:val="BodyText"/>
        <w:spacing w:before="10"/>
        <w:rPr>
          <w:sz w:val="3"/>
        </w:rPr>
      </w:pPr>
      <w:r>
        <w:rPr/>
        <mc:AlternateContent>
          <mc:Choice Requires="wps">
            <w:drawing>
              <wp:anchor distT="0" distB="0" distL="0" distR="0" allowOverlap="1" layoutInCell="1" locked="0" behindDoc="1" simplePos="0" relativeHeight="487684608">
                <wp:simplePos x="0" y="0"/>
                <wp:positionH relativeFrom="page">
                  <wp:posOffset>986789</wp:posOffset>
                </wp:positionH>
                <wp:positionV relativeFrom="paragraph">
                  <wp:posOffset>45075</wp:posOffset>
                </wp:positionV>
                <wp:extent cx="5799455" cy="635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49273pt;width:456.601pt;height:.481pt;mso-position-horizontal-relative:page;mso-position-vertical-relative:paragraph;z-index:-15631872;mso-wrap-distance-left:0;mso-wrap-distance-right:0" id="docshape410" filled="true" fillcolor="#4f81bc" stroked="false">
                <v:fill type="solid"/>
                <w10:wrap type="topAndBottom"/>
              </v:rect>
            </w:pict>
          </mc:Fallback>
        </mc:AlternateContent>
      </w:r>
    </w:p>
    <w:p>
      <w:pPr>
        <w:pStyle w:val="BodyText"/>
        <w:spacing w:before="3"/>
        <w:rPr>
          <w:sz w:val="26"/>
        </w:rPr>
      </w:pPr>
    </w:p>
    <w:p>
      <w:pPr>
        <w:spacing w:before="1"/>
        <w:ind w:left="619" w:right="0" w:firstLine="0"/>
        <w:jc w:val="center"/>
        <w:rPr>
          <w:sz w:val="26"/>
        </w:rPr>
      </w:pPr>
      <w:bookmarkStart w:name="LGBTQ job fairs" w:id="845"/>
      <w:bookmarkEnd w:id="845"/>
      <w:r>
        <w:rPr/>
      </w:r>
      <w:r>
        <w:rPr>
          <w:color w:val="404040"/>
          <w:sz w:val="26"/>
        </w:rPr>
        <w:t>LGBTQ</w:t>
      </w:r>
      <w:r>
        <w:rPr>
          <w:color w:val="404040"/>
          <w:spacing w:val="-5"/>
          <w:sz w:val="26"/>
        </w:rPr>
        <w:t> </w:t>
      </w:r>
      <w:r>
        <w:rPr>
          <w:color w:val="404040"/>
          <w:sz w:val="26"/>
        </w:rPr>
        <w:t>job</w:t>
      </w:r>
      <w:r>
        <w:rPr>
          <w:color w:val="404040"/>
          <w:spacing w:val="-3"/>
          <w:sz w:val="26"/>
        </w:rPr>
        <w:t> </w:t>
      </w:r>
      <w:r>
        <w:rPr>
          <w:color w:val="404040"/>
          <w:spacing w:val="-2"/>
          <w:sz w:val="26"/>
        </w:rPr>
        <w:t>fairs</w:t>
      </w:r>
    </w:p>
    <w:p>
      <w:pPr>
        <w:spacing w:before="128"/>
        <w:ind w:left="619" w:right="0" w:firstLine="0"/>
        <w:jc w:val="center"/>
        <w:rPr>
          <w:sz w:val="21"/>
        </w:rPr>
      </w:pPr>
      <w:r>
        <w:rPr>
          <w:sz w:val="21"/>
        </w:rPr>
        <w:t>Massachusetts</w:t>
      </w:r>
      <w:r>
        <w:rPr>
          <w:spacing w:val="-3"/>
          <w:sz w:val="21"/>
        </w:rPr>
        <w:t> </w:t>
      </w:r>
      <w:r>
        <w:rPr>
          <w:sz w:val="21"/>
        </w:rPr>
        <w:t>LGBT</w:t>
      </w:r>
      <w:r>
        <w:rPr>
          <w:spacing w:val="-2"/>
          <w:sz w:val="21"/>
        </w:rPr>
        <w:t> </w:t>
      </w:r>
      <w:r>
        <w:rPr>
          <w:sz w:val="21"/>
        </w:rPr>
        <w:t>Chamber</w:t>
      </w:r>
      <w:r>
        <w:rPr>
          <w:spacing w:val="-3"/>
          <w:sz w:val="21"/>
        </w:rPr>
        <w:t> </w:t>
      </w:r>
      <w:r>
        <w:rPr>
          <w:sz w:val="21"/>
        </w:rPr>
        <w:t>of</w:t>
      </w:r>
      <w:r>
        <w:rPr>
          <w:spacing w:val="-2"/>
          <w:sz w:val="21"/>
        </w:rPr>
        <w:t> Commerce</w:t>
      </w:r>
    </w:p>
    <w:p>
      <w:pPr>
        <w:spacing w:before="117"/>
        <w:ind w:left="620" w:right="0" w:firstLine="0"/>
        <w:jc w:val="center"/>
        <w:rPr>
          <w:sz w:val="26"/>
        </w:rPr>
      </w:pPr>
      <w:bookmarkStart w:name="LGBTQ Career Development &amp; Personal Fina" w:id="846"/>
      <w:bookmarkEnd w:id="846"/>
      <w:r>
        <w:rPr/>
      </w:r>
      <w:r>
        <w:rPr>
          <w:color w:val="404040"/>
          <w:sz w:val="26"/>
        </w:rPr>
        <w:t>LGBTQ</w:t>
      </w:r>
      <w:r>
        <w:rPr>
          <w:color w:val="404040"/>
          <w:spacing w:val="-7"/>
          <w:sz w:val="26"/>
        </w:rPr>
        <w:t> </w:t>
      </w:r>
      <w:r>
        <w:rPr>
          <w:color w:val="404040"/>
          <w:sz w:val="26"/>
        </w:rPr>
        <w:t>Career</w:t>
      </w:r>
      <w:r>
        <w:rPr>
          <w:color w:val="404040"/>
          <w:spacing w:val="-4"/>
          <w:sz w:val="26"/>
        </w:rPr>
        <w:t> </w:t>
      </w:r>
      <w:r>
        <w:rPr>
          <w:color w:val="404040"/>
          <w:sz w:val="26"/>
        </w:rPr>
        <w:t>Development</w:t>
      </w:r>
      <w:r>
        <w:rPr>
          <w:color w:val="404040"/>
          <w:spacing w:val="-3"/>
          <w:sz w:val="26"/>
        </w:rPr>
        <w:t> </w:t>
      </w:r>
      <w:r>
        <w:rPr>
          <w:color w:val="404040"/>
          <w:sz w:val="26"/>
        </w:rPr>
        <w:t>&amp;</w:t>
      </w:r>
      <w:r>
        <w:rPr>
          <w:color w:val="404040"/>
          <w:spacing w:val="-4"/>
          <w:sz w:val="26"/>
        </w:rPr>
        <w:t> </w:t>
      </w:r>
      <w:r>
        <w:rPr>
          <w:color w:val="404040"/>
          <w:sz w:val="26"/>
        </w:rPr>
        <w:t>Personal</w:t>
      </w:r>
      <w:r>
        <w:rPr>
          <w:color w:val="404040"/>
          <w:spacing w:val="-4"/>
          <w:sz w:val="26"/>
        </w:rPr>
        <w:t> </w:t>
      </w:r>
      <w:r>
        <w:rPr>
          <w:color w:val="404040"/>
          <w:spacing w:val="-2"/>
          <w:sz w:val="26"/>
        </w:rPr>
        <w:t>Finance</w:t>
      </w:r>
    </w:p>
    <w:p>
      <w:pPr>
        <w:spacing w:before="129"/>
        <w:ind w:left="827" w:right="925" w:firstLine="0"/>
        <w:jc w:val="center"/>
        <w:rPr>
          <w:sz w:val="21"/>
        </w:rPr>
      </w:pPr>
      <w:r>
        <w:rPr>
          <w:sz w:val="21"/>
        </w:rPr>
        <w:t>Out</w:t>
      </w:r>
      <w:r>
        <w:rPr>
          <w:spacing w:val="-5"/>
          <w:sz w:val="21"/>
        </w:rPr>
        <w:t> </w:t>
      </w:r>
      <w:r>
        <w:rPr>
          <w:sz w:val="21"/>
        </w:rPr>
        <w:t>and</w:t>
      </w:r>
      <w:r>
        <w:rPr>
          <w:spacing w:val="-5"/>
          <w:sz w:val="21"/>
        </w:rPr>
        <w:t> </w:t>
      </w:r>
      <w:r>
        <w:rPr>
          <w:sz w:val="21"/>
        </w:rPr>
        <w:t>Equal</w:t>
      </w:r>
      <w:r>
        <w:rPr>
          <w:spacing w:val="-5"/>
          <w:sz w:val="21"/>
        </w:rPr>
        <w:t> </w:t>
      </w:r>
      <w:hyperlink r:id="rId650">
        <w:r>
          <w:rPr>
            <w:color w:val="1154CC"/>
            <w:sz w:val="21"/>
            <w:u w:val="single" w:color="1154CC"/>
          </w:rPr>
          <w:t>https://outandequal.org/toolkits-</w:t>
        </w:r>
        <w:r>
          <w:rPr>
            <w:color w:val="1154CC"/>
            <w:spacing w:val="-2"/>
            <w:sz w:val="21"/>
            <w:u w:val="single" w:color="1154CC"/>
          </w:rPr>
          <w:t>guides/</w:t>
        </w:r>
      </w:hyperlink>
    </w:p>
    <w:p>
      <w:pPr>
        <w:spacing w:line="350" w:lineRule="auto" w:before="118"/>
        <w:ind w:left="827" w:right="925" w:firstLine="0"/>
        <w:jc w:val="center"/>
        <w:rPr>
          <w:sz w:val="21"/>
        </w:rPr>
      </w:pPr>
      <w:r>
        <w:rPr>
          <w:sz w:val="21"/>
        </w:rPr>
        <w:t>LGBTQ</w:t>
      </w:r>
      <w:r>
        <w:rPr>
          <w:spacing w:val="-12"/>
          <w:sz w:val="21"/>
        </w:rPr>
        <w:t> </w:t>
      </w:r>
      <w:r>
        <w:rPr>
          <w:sz w:val="21"/>
        </w:rPr>
        <w:t>Financial</w:t>
      </w:r>
      <w:r>
        <w:rPr>
          <w:spacing w:val="-12"/>
          <w:sz w:val="21"/>
        </w:rPr>
        <w:t> </w:t>
      </w:r>
      <w:r>
        <w:rPr>
          <w:sz w:val="21"/>
        </w:rPr>
        <w:t>Planning</w:t>
      </w:r>
      <w:r>
        <w:rPr>
          <w:spacing w:val="-12"/>
          <w:sz w:val="21"/>
        </w:rPr>
        <w:t> </w:t>
      </w:r>
      <w:hyperlink r:id="rId651">
        <w:r>
          <w:rPr>
            <w:color w:val="1154CC"/>
            <w:sz w:val="21"/>
            <w:u w:val="single" w:color="1154CC"/>
          </w:rPr>
          <w:t>https://www.nerdwallet.com/l/lgbtq-financial-planning-guide</w:t>
        </w:r>
      </w:hyperlink>
      <w:r>
        <w:rPr>
          <w:color w:val="1154CC"/>
          <w:sz w:val="21"/>
          <w:u w:val="none"/>
        </w:rPr>
        <w:t> </w:t>
      </w:r>
      <w:r>
        <w:rPr>
          <w:sz w:val="21"/>
          <w:u w:val="none"/>
        </w:rPr>
        <w:t>LGBTQ Friendly Job Websites</w:t>
      </w:r>
    </w:p>
    <w:p>
      <w:pPr>
        <w:spacing w:line="350" w:lineRule="auto" w:before="2"/>
        <w:ind w:left="3432" w:right="2645" w:hanging="573"/>
        <w:jc w:val="left"/>
        <w:rPr>
          <w:sz w:val="21"/>
        </w:rPr>
      </w:pPr>
      <w:r>
        <w:rPr>
          <w:sz w:val="21"/>
        </w:rPr>
        <w:t>LGBT</w:t>
      </w:r>
      <w:r>
        <w:rPr>
          <w:spacing w:val="-12"/>
          <w:sz w:val="21"/>
        </w:rPr>
        <w:t> </w:t>
      </w:r>
      <w:r>
        <w:rPr>
          <w:sz w:val="21"/>
        </w:rPr>
        <w:t>Connect</w:t>
      </w:r>
      <w:r>
        <w:rPr>
          <w:spacing w:val="-12"/>
          <w:sz w:val="21"/>
        </w:rPr>
        <w:t> </w:t>
      </w:r>
      <w:hyperlink r:id="rId652">
        <w:r>
          <w:rPr>
            <w:color w:val="1154CC"/>
            <w:sz w:val="21"/>
            <w:u w:val="single" w:color="1154CC"/>
          </w:rPr>
          <w:t>https://www.lgbtconnect.com/</w:t>
        </w:r>
      </w:hyperlink>
      <w:r>
        <w:rPr>
          <w:color w:val="1154CC"/>
          <w:sz w:val="21"/>
          <w:u w:val="none"/>
        </w:rPr>
        <w:t> </w:t>
      </w:r>
      <w:r>
        <w:rPr>
          <w:sz w:val="21"/>
          <w:u w:val="none"/>
        </w:rPr>
        <w:t>Pink Jobs </w:t>
      </w:r>
      <w:hyperlink r:id="rId653">
        <w:r>
          <w:rPr>
            <w:color w:val="1154CC"/>
            <w:sz w:val="21"/>
            <w:u w:val="single" w:color="1154CC"/>
          </w:rPr>
          <w:t>https://pink-jobs.com/</w:t>
        </w:r>
      </w:hyperlink>
    </w:p>
    <w:p>
      <w:pPr>
        <w:pStyle w:val="BodyText"/>
        <w:spacing w:before="57"/>
        <w:rPr>
          <w:sz w:val="26"/>
        </w:rPr>
      </w:pPr>
    </w:p>
    <w:p>
      <w:pPr>
        <w:spacing w:before="0"/>
        <w:ind w:left="619" w:right="0" w:firstLine="0"/>
        <w:jc w:val="center"/>
        <w:rPr>
          <w:sz w:val="26"/>
        </w:rPr>
      </w:pPr>
      <w:bookmarkStart w:name="College Scholarships" w:id="847"/>
      <w:bookmarkEnd w:id="847"/>
      <w:r>
        <w:rPr/>
      </w:r>
      <w:r>
        <w:rPr>
          <w:color w:val="404040"/>
          <w:sz w:val="26"/>
        </w:rPr>
        <w:t>College</w:t>
      </w:r>
      <w:r>
        <w:rPr>
          <w:color w:val="404040"/>
          <w:spacing w:val="-6"/>
          <w:sz w:val="26"/>
        </w:rPr>
        <w:t> </w:t>
      </w:r>
      <w:r>
        <w:rPr>
          <w:color w:val="404040"/>
          <w:spacing w:val="-2"/>
          <w:sz w:val="26"/>
        </w:rPr>
        <w:t>Scholarships</w:t>
      </w:r>
    </w:p>
    <w:p>
      <w:pPr>
        <w:spacing w:before="129"/>
        <w:ind w:left="827" w:right="925" w:firstLine="0"/>
        <w:jc w:val="center"/>
        <w:rPr>
          <w:sz w:val="21"/>
        </w:rPr>
      </w:pPr>
      <w:r>
        <w:rPr>
          <w:sz w:val="21"/>
        </w:rPr>
        <w:t>BAGLY</w:t>
      </w:r>
      <w:r>
        <w:rPr>
          <w:spacing w:val="-4"/>
          <w:sz w:val="21"/>
        </w:rPr>
        <w:t> </w:t>
      </w:r>
      <w:r>
        <w:rPr>
          <w:sz w:val="21"/>
        </w:rPr>
        <w:t>resources</w:t>
      </w:r>
      <w:r>
        <w:rPr>
          <w:spacing w:val="-4"/>
          <w:sz w:val="21"/>
        </w:rPr>
        <w:t> </w:t>
      </w:r>
      <w:r>
        <w:rPr>
          <w:sz w:val="21"/>
        </w:rPr>
        <w:t>page</w:t>
      </w:r>
      <w:r>
        <w:rPr>
          <w:spacing w:val="-3"/>
          <w:sz w:val="21"/>
        </w:rPr>
        <w:t> </w:t>
      </w:r>
      <w:r>
        <w:rPr>
          <w:sz w:val="21"/>
        </w:rPr>
        <w:t>highlights</w:t>
      </w:r>
      <w:r>
        <w:rPr>
          <w:spacing w:val="-4"/>
          <w:sz w:val="21"/>
        </w:rPr>
        <w:t> </w:t>
      </w:r>
      <w:r>
        <w:rPr>
          <w:sz w:val="21"/>
        </w:rPr>
        <w:t>MA</w:t>
      </w:r>
      <w:r>
        <w:rPr>
          <w:spacing w:val="-3"/>
          <w:sz w:val="21"/>
        </w:rPr>
        <w:t> </w:t>
      </w:r>
      <w:r>
        <w:rPr>
          <w:sz w:val="21"/>
        </w:rPr>
        <w:t>specific</w:t>
      </w:r>
      <w:r>
        <w:rPr>
          <w:spacing w:val="-3"/>
          <w:sz w:val="21"/>
        </w:rPr>
        <w:t> </w:t>
      </w:r>
      <w:r>
        <w:rPr>
          <w:sz w:val="21"/>
        </w:rPr>
        <w:t>scholarships</w:t>
      </w:r>
      <w:r>
        <w:rPr>
          <w:spacing w:val="-3"/>
          <w:sz w:val="21"/>
        </w:rPr>
        <w:t> </w:t>
      </w:r>
      <w:r>
        <w:rPr>
          <w:sz w:val="21"/>
        </w:rPr>
        <w:t>for</w:t>
      </w:r>
      <w:r>
        <w:rPr>
          <w:spacing w:val="-3"/>
          <w:sz w:val="21"/>
        </w:rPr>
        <w:t> </w:t>
      </w:r>
      <w:r>
        <w:rPr>
          <w:sz w:val="21"/>
        </w:rPr>
        <w:t>LGBTQ</w:t>
      </w:r>
      <w:r>
        <w:rPr>
          <w:spacing w:val="-3"/>
          <w:sz w:val="21"/>
        </w:rPr>
        <w:t> </w:t>
      </w:r>
      <w:r>
        <w:rPr>
          <w:spacing w:val="-2"/>
          <w:sz w:val="21"/>
        </w:rPr>
        <w:t>youth</w:t>
      </w:r>
    </w:p>
    <w:p>
      <w:pPr>
        <w:spacing w:line="350" w:lineRule="auto" w:before="118"/>
        <w:ind w:left="828" w:right="925" w:firstLine="0"/>
        <w:jc w:val="center"/>
        <w:rPr>
          <w:sz w:val="21"/>
        </w:rPr>
      </w:pPr>
      <w:r>
        <w:rPr>
          <w:sz w:val="21"/>
        </w:rPr>
        <w:t>HRC</w:t>
      </w:r>
      <w:r>
        <w:rPr>
          <w:spacing w:val="-4"/>
          <w:sz w:val="21"/>
        </w:rPr>
        <w:t> </w:t>
      </w:r>
      <w:r>
        <w:rPr>
          <w:sz w:val="21"/>
        </w:rPr>
        <w:t>LGBTQ+</w:t>
      </w:r>
      <w:r>
        <w:rPr>
          <w:spacing w:val="-4"/>
          <w:sz w:val="21"/>
        </w:rPr>
        <w:t> </w:t>
      </w:r>
      <w:r>
        <w:rPr>
          <w:sz w:val="21"/>
        </w:rPr>
        <w:t>Student</w:t>
      </w:r>
      <w:r>
        <w:rPr>
          <w:spacing w:val="-4"/>
          <w:sz w:val="21"/>
        </w:rPr>
        <w:t> </w:t>
      </w:r>
      <w:r>
        <w:rPr>
          <w:sz w:val="21"/>
        </w:rPr>
        <w:t>Scholarship</w:t>
      </w:r>
      <w:r>
        <w:rPr>
          <w:spacing w:val="-4"/>
          <w:sz w:val="21"/>
        </w:rPr>
        <w:t> </w:t>
      </w:r>
      <w:r>
        <w:rPr>
          <w:sz w:val="21"/>
        </w:rPr>
        <w:t>Database</w:t>
      </w:r>
      <w:r>
        <w:rPr>
          <w:spacing w:val="-4"/>
          <w:sz w:val="21"/>
        </w:rPr>
        <w:t> </w:t>
      </w:r>
      <w:r>
        <w:rPr>
          <w:sz w:val="21"/>
        </w:rPr>
        <w:t>for</w:t>
      </w:r>
      <w:r>
        <w:rPr>
          <w:spacing w:val="-4"/>
          <w:sz w:val="21"/>
        </w:rPr>
        <w:t> </w:t>
      </w:r>
      <w:r>
        <w:rPr>
          <w:sz w:val="21"/>
        </w:rPr>
        <w:t>undergraduate</w:t>
      </w:r>
      <w:r>
        <w:rPr>
          <w:spacing w:val="-4"/>
          <w:sz w:val="21"/>
        </w:rPr>
        <w:t> </w:t>
      </w:r>
      <w:r>
        <w:rPr>
          <w:sz w:val="21"/>
        </w:rPr>
        <w:t>and</w:t>
      </w:r>
      <w:r>
        <w:rPr>
          <w:spacing w:val="-4"/>
          <w:sz w:val="21"/>
        </w:rPr>
        <w:t> </w:t>
      </w:r>
      <w:r>
        <w:rPr>
          <w:sz w:val="21"/>
        </w:rPr>
        <w:t>graduate</w:t>
      </w:r>
      <w:r>
        <w:rPr>
          <w:spacing w:val="-4"/>
          <w:sz w:val="21"/>
        </w:rPr>
        <w:t> </w:t>
      </w:r>
      <w:r>
        <w:rPr>
          <w:sz w:val="21"/>
        </w:rPr>
        <w:t>students MCLGBTQY Jeff Perrotti LGBTQ+ Leadership Award</w:t>
      </w:r>
    </w:p>
    <w:p>
      <w:pPr>
        <w:spacing w:after="0" w:line="350" w:lineRule="auto"/>
        <w:jc w:val="center"/>
        <w:rPr>
          <w:sz w:val="21"/>
        </w:rPr>
        <w:sectPr>
          <w:pgSz w:w="12240" w:h="15840"/>
          <w:pgMar w:header="763" w:footer="1041" w:top="1380" w:bottom="1240" w:left="1120" w:right="1380"/>
        </w:sectPr>
      </w:pPr>
    </w:p>
    <w:p>
      <w:pPr>
        <w:spacing w:before="46"/>
        <w:ind w:left="619" w:right="0" w:firstLine="0"/>
        <w:jc w:val="center"/>
        <w:rPr>
          <w:sz w:val="26"/>
        </w:rPr>
      </w:pPr>
      <w:bookmarkStart w:name="Food" w:id="848"/>
      <w:bookmarkEnd w:id="848"/>
      <w:r>
        <w:rPr/>
      </w:r>
      <w:r>
        <w:rPr>
          <w:color w:val="404040"/>
          <w:spacing w:val="-4"/>
          <w:sz w:val="26"/>
        </w:rPr>
        <w:t>Food</w:t>
      </w:r>
    </w:p>
    <w:p>
      <w:pPr>
        <w:spacing w:before="129"/>
        <w:ind w:left="828" w:right="925" w:firstLine="0"/>
        <w:jc w:val="center"/>
        <w:rPr>
          <w:sz w:val="21"/>
        </w:rPr>
      </w:pPr>
      <w:r>
        <w:rPr>
          <w:sz w:val="21"/>
        </w:rPr>
        <w:t>Project</w:t>
      </w:r>
      <w:r>
        <w:rPr>
          <w:spacing w:val="-7"/>
          <w:sz w:val="21"/>
        </w:rPr>
        <w:t> </w:t>
      </w:r>
      <w:r>
        <w:rPr>
          <w:sz w:val="21"/>
        </w:rPr>
        <w:t>Bread</w:t>
      </w:r>
      <w:r>
        <w:rPr>
          <w:spacing w:val="-9"/>
          <w:sz w:val="21"/>
        </w:rPr>
        <w:t> </w:t>
      </w:r>
      <w:r>
        <w:rPr>
          <w:sz w:val="21"/>
        </w:rPr>
        <w:t>FoodSource</w:t>
      </w:r>
      <w:r>
        <w:rPr>
          <w:spacing w:val="-8"/>
          <w:sz w:val="21"/>
        </w:rPr>
        <w:t> </w:t>
      </w:r>
      <w:r>
        <w:rPr>
          <w:sz w:val="21"/>
        </w:rPr>
        <w:t>Hotline</w:t>
      </w:r>
      <w:r>
        <w:rPr>
          <w:spacing w:val="-7"/>
          <w:sz w:val="21"/>
        </w:rPr>
        <w:t> </w:t>
      </w:r>
      <w:hyperlink r:id="rId654">
        <w:r>
          <w:rPr>
            <w:color w:val="1154CC"/>
            <w:sz w:val="21"/>
            <w:u w:val="single" w:color="1154CC"/>
          </w:rPr>
          <w:t>https://www.projectbread.org/get-</w:t>
        </w:r>
        <w:r>
          <w:rPr>
            <w:color w:val="1154CC"/>
            <w:spacing w:val="-4"/>
            <w:sz w:val="21"/>
            <w:u w:val="single" w:color="1154CC"/>
          </w:rPr>
          <w:t>help</w:t>
        </w:r>
      </w:hyperlink>
    </w:p>
    <w:p>
      <w:pPr>
        <w:pStyle w:val="BodyText"/>
        <w:spacing w:before="230"/>
        <w:rPr>
          <w:sz w:val="28"/>
        </w:rPr>
      </w:pPr>
    </w:p>
    <w:p>
      <w:pPr>
        <w:spacing w:before="0"/>
        <w:ind w:left="464" w:right="0" w:firstLine="0"/>
        <w:jc w:val="left"/>
        <w:rPr>
          <w:sz w:val="28"/>
        </w:rPr>
      </w:pPr>
      <w:bookmarkStart w:name="Acknowledgments &amp; Citations" w:id="849"/>
      <w:bookmarkEnd w:id="849"/>
      <w:r>
        <w:rPr/>
      </w:r>
      <w:r>
        <w:rPr>
          <w:color w:val="365F91"/>
          <w:sz w:val="28"/>
        </w:rPr>
        <w:t>Acknowledgments</w:t>
      </w:r>
      <w:r>
        <w:rPr>
          <w:color w:val="365F91"/>
          <w:spacing w:val="-15"/>
          <w:sz w:val="28"/>
        </w:rPr>
        <w:t> </w:t>
      </w:r>
      <w:r>
        <w:rPr>
          <w:color w:val="365F91"/>
          <w:sz w:val="28"/>
        </w:rPr>
        <w:t>&amp;</w:t>
      </w:r>
      <w:r>
        <w:rPr>
          <w:color w:val="365F91"/>
          <w:spacing w:val="-14"/>
          <w:sz w:val="28"/>
        </w:rPr>
        <w:t> </w:t>
      </w:r>
      <w:r>
        <w:rPr>
          <w:color w:val="365F91"/>
          <w:spacing w:val="-2"/>
          <w:sz w:val="28"/>
        </w:rPr>
        <w:t>Citations</w:t>
      </w:r>
    </w:p>
    <w:p>
      <w:pPr>
        <w:pStyle w:val="BodyText"/>
        <w:spacing w:before="11"/>
        <w:rPr>
          <w:sz w:val="3"/>
        </w:rPr>
      </w:pPr>
      <w:r>
        <w:rPr/>
        <mc:AlternateContent>
          <mc:Choice Requires="wps">
            <w:drawing>
              <wp:anchor distT="0" distB="0" distL="0" distR="0" allowOverlap="1" layoutInCell="1" locked="0" behindDoc="1" simplePos="0" relativeHeight="487685120">
                <wp:simplePos x="0" y="0"/>
                <wp:positionH relativeFrom="page">
                  <wp:posOffset>986789</wp:posOffset>
                </wp:positionH>
                <wp:positionV relativeFrom="paragraph">
                  <wp:posOffset>45691</wp:posOffset>
                </wp:positionV>
                <wp:extent cx="5799455" cy="6350"/>
                <wp:effectExtent l="0" t="0" r="0" b="0"/>
                <wp:wrapTopAndBottom/>
                <wp:docPr id="512" name="Graphic 512"/>
                <wp:cNvGraphicFramePr>
                  <a:graphicFrameLocks/>
                </wp:cNvGraphicFramePr>
                <a:graphic>
                  <a:graphicData uri="http://schemas.microsoft.com/office/word/2010/wordprocessingShape">
                    <wps:wsp>
                      <wps:cNvPr id="512" name="Graphic 512"/>
                      <wps:cNvSpPr/>
                      <wps:spPr>
                        <a:xfrm>
                          <a:off x="0" y="0"/>
                          <a:ext cx="5799455" cy="6350"/>
                        </a:xfrm>
                        <a:custGeom>
                          <a:avLst/>
                          <a:gdLst/>
                          <a:ahLst/>
                          <a:cxnLst/>
                          <a:rect l="l" t="t" r="r" b="b"/>
                          <a:pathLst>
                            <a:path w="5799455" h="6350">
                              <a:moveTo>
                                <a:pt x="5798832" y="0"/>
                              </a:moveTo>
                              <a:lnTo>
                                <a:pt x="0" y="0"/>
                              </a:lnTo>
                              <a:lnTo>
                                <a:pt x="0" y="6108"/>
                              </a:lnTo>
                              <a:lnTo>
                                <a:pt x="5798832" y="6108"/>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97789pt;width:456.601pt;height:.481pt;mso-position-horizontal-relative:page;mso-position-vertical-relative:paragraph;z-index:-15631360;mso-wrap-distance-left:0;mso-wrap-distance-right:0" id="docshape411" filled="true" fillcolor="#4f81bc" stroked="false">
                <v:fill type="solid"/>
                <w10:wrap type="topAndBottom"/>
              </v:rect>
            </w:pict>
          </mc:Fallback>
        </mc:AlternateContent>
      </w:r>
    </w:p>
    <w:p>
      <w:pPr>
        <w:spacing w:before="241"/>
        <w:ind w:left="464" w:right="0" w:firstLine="0"/>
        <w:jc w:val="left"/>
        <w:rPr>
          <w:i/>
          <w:sz w:val="21"/>
        </w:rPr>
      </w:pPr>
      <w:r>
        <w:rPr>
          <w:i/>
          <w:sz w:val="21"/>
        </w:rPr>
        <w:t>Acknowledgments:</w:t>
      </w:r>
      <w:r>
        <w:rPr>
          <w:i/>
          <w:spacing w:val="-3"/>
          <w:sz w:val="21"/>
        </w:rPr>
        <w:t> </w:t>
      </w:r>
      <w:r>
        <w:rPr>
          <w:i/>
          <w:sz w:val="21"/>
        </w:rPr>
        <w:t>Ivy</w:t>
      </w:r>
      <w:r>
        <w:rPr>
          <w:i/>
          <w:spacing w:val="-3"/>
          <w:sz w:val="21"/>
        </w:rPr>
        <w:t> </w:t>
      </w:r>
      <w:r>
        <w:rPr>
          <w:i/>
          <w:sz w:val="21"/>
        </w:rPr>
        <w:t>Stanton,</w:t>
      </w:r>
      <w:r>
        <w:rPr>
          <w:i/>
          <w:spacing w:val="-2"/>
          <w:sz w:val="21"/>
        </w:rPr>
        <w:t> </w:t>
      </w:r>
      <w:r>
        <w:rPr>
          <w:i/>
          <w:sz w:val="21"/>
        </w:rPr>
        <w:t>lead</w:t>
      </w:r>
      <w:r>
        <w:rPr>
          <w:i/>
          <w:spacing w:val="-3"/>
          <w:sz w:val="21"/>
        </w:rPr>
        <w:t> </w:t>
      </w:r>
      <w:r>
        <w:rPr>
          <w:i/>
          <w:sz w:val="21"/>
        </w:rPr>
        <w:t>researcher</w:t>
      </w:r>
      <w:r>
        <w:rPr>
          <w:i/>
          <w:spacing w:val="-3"/>
          <w:sz w:val="21"/>
        </w:rPr>
        <w:t> </w:t>
      </w:r>
      <w:r>
        <w:rPr>
          <w:i/>
          <w:sz w:val="21"/>
        </w:rPr>
        <w:t>and</w:t>
      </w:r>
      <w:r>
        <w:rPr>
          <w:i/>
          <w:spacing w:val="-3"/>
          <w:sz w:val="21"/>
        </w:rPr>
        <w:t> </w:t>
      </w:r>
      <w:r>
        <w:rPr>
          <w:i/>
          <w:spacing w:val="-2"/>
          <w:sz w:val="21"/>
        </w:rPr>
        <w:t>author</w:t>
      </w:r>
    </w:p>
    <w:p>
      <w:pPr>
        <w:pStyle w:val="BodyText"/>
        <w:rPr>
          <w:i/>
          <w:sz w:val="21"/>
        </w:rPr>
      </w:pPr>
    </w:p>
    <w:p>
      <w:pPr>
        <w:pStyle w:val="BodyText"/>
        <w:spacing w:before="12"/>
        <w:rPr>
          <w:i/>
          <w:sz w:val="21"/>
        </w:rPr>
      </w:pPr>
    </w:p>
    <w:p>
      <w:pPr>
        <w:spacing w:before="0"/>
        <w:ind w:left="464" w:right="232" w:firstLine="0"/>
        <w:jc w:val="left"/>
        <w:rPr>
          <w:sz w:val="18"/>
        </w:rPr>
      </w:pPr>
      <w:bookmarkStart w:name="_bookmark555" w:id="850"/>
      <w:bookmarkEnd w:id="850"/>
      <w:r>
        <w:rPr/>
      </w:r>
      <w:r>
        <w:rPr>
          <w:sz w:val="18"/>
          <w:vertAlign w:val="superscript"/>
        </w:rPr>
        <w:t>1</w:t>
      </w:r>
      <w:r>
        <w:rPr>
          <w:sz w:val="18"/>
          <w:vertAlign w:val="baseline"/>
        </w:rPr>
        <w:t> Bureau of Labor Statistics: Monthly Labor Review (June 2023).</w:t>
      </w:r>
      <w:r>
        <w:rPr>
          <w:spacing w:val="40"/>
          <w:sz w:val="18"/>
          <w:vertAlign w:val="baseline"/>
        </w:rPr>
        <w:t> </w:t>
      </w:r>
      <w:r>
        <w:rPr>
          <w:spacing w:val="-2"/>
          <w:sz w:val="18"/>
          <w:vertAlign w:val="baseline"/>
        </w:rPr>
        <w:t>https:</w:t>
      </w:r>
      <w:hyperlink r:id="rId655">
        <w:r>
          <w:rPr>
            <w:spacing w:val="-2"/>
            <w:sz w:val="18"/>
            <w:vertAlign w:val="baseline"/>
          </w:rPr>
          <w:t>//www.bls.gov/opub/mlr/2023/article/unemployment-rate-returned-to-its-prepandemic-level-in-</w:t>
        </w:r>
      </w:hyperlink>
      <w:r>
        <w:rPr>
          <w:sz w:val="18"/>
          <w:vertAlign w:val="baseline"/>
        </w:rPr>
        <w:t> </w:t>
      </w:r>
      <w:r>
        <w:rPr>
          <w:spacing w:val="-2"/>
          <w:sz w:val="18"/>
          <w:vertAlign w:val="baseline"/>
        </w:rPr>
        <w:t>2022.htm#:~:text=The%20number%20of%20unemployed%20people%20was%205.9%20million%20in%20the,the%20fourth</w:t>
      </w:r>
    </w:p>
    <w:p>
      <w:pPr>
        <w:spacing w:line="219" w:lineRule="exact" w:before="0"/>
        <w:ind w:left="464" w:right="0" w:firstLine="0"/>
        <w:jc w:val="left"/>
        <w:rPr>
          <w:sz w:val="18"/>
        </w:rPr>
      </w:pPr>
      <w:r>
        <w:rPr>
          <w:spacing w:val="-2"/>
          <w:sz w:val="18"/>
        </w:rPr>
        <w:t>%20quarter%20of%202021.</w:t>
      </w:r>
    </w:p>
    <w:p>
      <w:pPr>
        <w:spacing w:before="0"/>
        <w:ind w:left="464" w:right="0" w:firstLine="0"/>
        <w:jc w:val="left"/>
        <w:rPr>
          <w:sz w:val="18"/>
        </w:rPr>
      </w:pPr>
      <w:bookmarkStart w:name="_bookmark556" w:id="851"/>
      <w:bookmarkEnd w:id="851"/>
      <w:r>
        <w:rPr/>
      </w:r>
      <w:r>
        <w:rPr>
          <w:sz w:val="18"/>
          <w:vertAlign w:val="superscript"/>
        </w:rPr>
        <w:t>2</w:t>
      </w:r>
      <w:r>
        <w:rPr>
          <w:spacing w:val="-2"/>
          <w:sz w:val="18"/>
          <w:vertAlign w:val="baseline"/>
        </w:rPr>
        <w:t> </w:t>
      </w:r>
      <w:r>
        <w:rPr>
          <w:sz w:val="18"/>
          <w:vertAlign w:val="baseline"/>
        </w:rPr>
        <w:t>Rummler,</w:t>
      </w:r>
      <w:r>
        <w:rPr>
          <w:spacing w:val="-3"/>
          <w:sz w:val="18"/>
          <w:vertAlign w:val="baseline"/>
        </w:rPr>
        <w:t> </w:t>
      </w:r>
      <w:r>
        <w:rPr>
          <w:sz w:val="18"/>
          <w:vertAlign w:val="baseline"/>
        </w:rPr>
        <w:t>Kate,</w:t>
      </w:r>
      <w:r>
        <w:rPr>
          <w:spacing w:val="-3"/>
          <w:sz w:val="18"/>
          <w:vertAlign w:val="baseline"/>
        </w:rPr>
        <w:t> </w:t>
      </w:r>
      <w:r>
        <w:rPr>
          <w:sz w:val="18"/>
          <w:vertAlign w:val="baseline"/>
        </w:rPr>
        <w:t>and</w:t>
      </w:r>
      <w:r>
        <w:rPr>
          <w:spacing w:val="-2"/>
          <w:sz w:val="18"/>
          <w:vertAlign w:val="baseline"/>
        </w:rPr>
        <w:t> </w:t>
      </w:r>
      <w:r>
        <w:rPr>
          <w:sz w:val="18"/>
          <w:vertAlign w:val="baseline"/>
        </w:rPr>
        <w:t>Orion</w:t>
      </w:r>
      <w:r>
        <w:rPr>
          <w:spacing w:val="-2"/>
          <w:sz w:val="18"/>
          <w:vertAlign w:val="baseline"/>
        </w:rPr>
        <w:t> </w:t>
      </w:r>
      <w:r>
        <w:rPr>
          <w:sz w:val="18"/>
          <w:vertAlign w:val="baseline"/>
        </w:rPr>
        <w:t>Sosin.</w:t>
      </w:r>
      <w:r>
        <w:rPr>
          <w:spacing w:val="-2"/>
          <w:sz w:val="18"/>
          <w:vertAlign w:val="baseline"/>
        </w:rPr>
        <w:t> </w:t>
      </w:r>
      <w:r>
        <w:rPr>
          <w:sz w:val="18"/>
          <w:vertAlign w:val="baseline"/>
        </w:rPr>
        <w:t>“Has</w:t>
      </w:r>
      <w:r>
        <w:rPr>
          <w:spacing w:val="-2"/>
          <w:sz w:val="18"/>
          <w:vertAlign w:val="baseline"/>
        </w:rPr>
        <w:t> </w:t>
      </w:r>
      <w:r>
        <w:rPr>
          <w:sz w:val="18"/>
          <w:vertAlign w:val="baseline"/>
        </w:rPr>
        <w:t>Life</w:t>
      </w:r>
      <w:r>
        <w:rPr>
          <w:spacing w:val="-2"/>
          <w:sz w:val="18"/>
          <w:vertAlign w:val="baseline"/>
        </w:rPr>
        <w:t> </w:t>
      </w:r>
      <w:r>
        <w:rPr>
          <w:sz w:val="18"/>
          <w:vertAlign w:val="baseline"/>
        </w:rPr>
        <w:t>Improved</w:t>
      </w:r>
      <w:r>
        <w:rPr>
          <w:spacing w:val="-2"/>
          <w:sz w:val="18"/>
          <w:vertAlign w:val="baseline"/>
        </w:rPr>
        <w:t> </w:t>
      </w:r>
      <w:r>
        <w:rPr>
          <w:sz w:val="18"/>
          <w:vertAlign w:val="baseline"/>
        </w:rPr>
        <w:t>for</w:t>
      </w:r>
      <w:r>
        <w:rPr>
          <w:spacing w:val="-3"/>
          <w:sz w:val="18"/>
          <w:vertAlign w:val="baseline"/>
        </w:rPr>
        <w:t> </w:t>
      </w:r>
      <w:r>
        <w:rPr>
          <w:sz w:val="18"/>
          <w:vertAlign w:val="baseline"/>
        </w:rPr>
        <w:t>Transgender</w:t>
      </w:r>
      <w:r>
        <w:rPr>
          <w:spacing w:val="-3"/>
          <w:sz w:val="18"/>
          <w:vertAlign w:val="baseline"/>
        </w:rPr>
        <w:t> </w:t>
      </w:r>
      <w:r>
        <w:rPr>
          <w:sz w:val="18"/>
          <w:vertAlign w:val="baseline"/>
        </w:rPr>
        <w:t>Americans</w:t>
      </w:r>
      <w:r>
        <w:rPr>
          <w:spacing w:val="-3"/>
          <w:sz w:val="18"/>
          <w:vertAlign w:val="baseline"/>
        </w:rPr>
        <w:t> </w:t>
      </w:r>
      <w:r>
        <w:rPr>
          <w:sz w:val="18"/>
          <w:vertAlign w:val="baseline"/>
        </w:rPr>
        <w:t>in</w:t>
      </w:r>
      <w:r>
        <w:rPr>
          <w:spacing w:val="-2"/>
          <w:sz w:val="18"/>
          <w:vertAlign w:val="baseline"/>
        </w:rPr>
        <w:t> </w:t>
      </w:r>
      <w:r>
        <w:rPr>
          <w:sz w:val="18"/>
          <w:vertAlign w:val="baseline"/>
        </w:rPr>
        <w:t>the</w:t>
      </w:r>
      <w:r>
        <w:rPr>
          <w:spacing w:val="-2"/>
          <w:sz w:val="18"/>
          <w:vertAlign w:val="baseline"/>
        </w:rPr>
        <w:t> </w:t>
      </w:r>
      <w:r>
        <w:rPr>
          <w:sz w:val="18"/>
          <w:vertAlign w:val="baseline"/>
        </w:rPr>
        <w:t>Last</w:t>
      </w:r>
      <w:r>
        <w:rPr>
          <w:spacing w:val="-3"/>
          <w:sz w:val="18"/>
          <w:vertAlign w:val="baseline"/>
        </w:rPr>
        <w:t> </w:t>
      </w:r>
      <w:r>
        <w:rPr>
          <w:sz w:val="18"/>
          <w:vertAlign w:val="baseline"/>
        </w:rPr>
        <w:t>10</w:t>
      </w:r>
      <w:r>
        <w:rPr>
          <w:spacing w:val="-2"/>
          <w:sz w:val="18"/>
          <w:vertAlign w:val="baseline"/>
        </w:rPr>
        <w:t> </w:t>
      </w:r>
      <w:r>
        <w:rPr>
          <w:sz w:val="18"/>
          <w:vertAlign w:val="baseline"/>
        </w:rPr>
        <w:t>Years?</w:t>
      </w:r>
      <w:r>
        <w:rPr>
          <w:spacing w:val="-2"/>
          <w:sz w:val="18"/>
          <w:vertAlign w:val="baseline"/>
        </w:rPr>
        <w:t> </w:t>
      </w:r>
      <w:r>
        <w:rPr>
          <w:sz w:val="18"/>
          <w:vertAlign w:val="baseline"/>
        </w:rPr>
        <w:t>Not</w:t>
      </w:r>
      <w:r>
        <w:rPr>
          <w:spacing w:val="-3"/>
          <w:sz w:val="18"/>
          <w:vertAlign w:val="baseline"/>
        </w:rPr>
        <w:t> </w:t>
      </w:r>
      <w:r>
        <w:rPr>
          <w:sz w:val="18"/>
          <w:vertAlign w:val="baseline"/>
        </w:rPr>
        <w:t>Really.”</w:t>
      </w:r>
      <w:r>
        <w:rPr>
          <w:spacing w:val="-2"/>
          <w:sz w:val="18"/>
          <w:vertAlign w:val="baseline"/>
        </w:rPr>
        <w:t> </w:t>
      </w:r>
      <w:r>
        <w:rPr>
          <w:sz w:val="18"/>
          <w:vertAlign w:val="baseline"/>
        </w:rPr>
        <w:t>The</w:t>
      </w:r>
      <w:r>
        <w:rPr>
          <w:spacing w:val="-2"/>
          <w:sz w:val="18"/>
          <w:vertAlign w:val="baseline"/>
        </w:rPr>
        <w:t> </w:t>
      </w:r>
      <w:r>
        <w:rPr>
          <w:sz w:val="18"/>
          <w:vertAlign w:val="baseline"/>
        </w:rPr>
        <w:t>19th (February 7, 2024). https://19thnews.org/2024/02/transgender-americans-life-economic-health-issues-survey/.</w:t>
      </w:r>
    </w:p>
    <w:p>
      <w:pPr>
        <w:spacing w:before="0"/>
        <w:ind w:left="464" w:right="0" w:hanging="1"/>
        <w:jc w:val="left"/>
        <w:rPr>
          <w:sz w:val="18"/>
        </w:rPr>
      </w:pPr>
      <w:bookmarkStart w:name="_bookmark557" w:id="852"/>
      <w:bookmarkEnd w:id="852"/>
      <w:r>
        <w:rPr/>
      </w:r>
      <w:r>
        <w:rPr>
          <w:sz w:val="18"/>
          <w:vertAlign w:val="superscript"/>
        </w:rPr>
        <w:t>3</w:t>
      </w:r>
      <w:r>
        <w:rPr>
          <w:spacing w:val="-5"/>
          <w:sz w:val="18"/>
          <w:vertAlign w:val="baseline"/>
        </w:rPr>
        <w:t> </w:t>
      </w:r>
      <w:r>
        <w:rPr>
          <w:sz w:val="18"/>
          <w:vertAlign w:val="baseline"/>
        </w:rPr>
        <w:t>US</w:t>
      </w:r>
      <w:r>
        <w:rPr>
          <w:spacing w:val="-5"/>
          <w:sz w:val="18"/>
          <w:vertAlign w:val="baseline"/>
        </w:rPr>
        <w:t> </w:t>
      </w:r>
      <w:r>
        <w:rPr>
          <w:sz w:val="18"/>
          <w:vertAlign w:val="baseline"/>
        </w:rPr>
        <w:t>Census</w:t>
      </w:r>
      <w:r>
        <w:rPr>
          <w:spacing w:val="-6"/>
          <w:sz w:val="18"/>
          <w:vertAlign w:val="baseline"/>
        </w:rPr>
        <w:t> </w:t>
      </w:r>
      <w:r>
        <w:rPr>
          <w:sz w:val="18"/>
          <w:vertAlign w:val="baseline"/>
        </w:rPr>
        <w:t>Bureau:</w:t>
      </w:r>
      <w:r>
        <w:rPr>
          <w:spacing w:val="-5"/>
          <w:sz w:val="18"/>
          <w:vertAlign w:val="baseline"/>
        </w:rPr>
        <w:t> </w:t>
      </w:r>
      <w:r>
        <w:rPr>
          <w:sz w:val="18"/>
          <w:vertAlign w:val="baseline"/>
        </w:rPr>
        <w:t>Press</w:t>
      </w:r>
      <w:r>
        <w:rPr>
          <w:spacing w:val="-5"/>
          <w:sz w:val="18"/>
          <w:vertAlign w:val="baseline"/>
        </w:rPr>
        <w:t> </w:t>
      </w:r>
      <w:r>
        <w:rPr>
          <w:sz w:val="18"/>
          <w:vertAlign w:val="baseline"/>
        </w:rPr>
        <w:t>Release</w:t>
      </w:r>
      <w:r>
        <w:rPr>
          <w:spacing w:val="-5"/>
          <w:sz w:val="18"/>
          <w:vertAlign w:val="baseline"/>
        </w:rPr>
        <w:t> </w:t>
      </w:r>
      <w:r>
        <w:rPr>
          <w:sz w:val="18"/>
          <w:vertAlign w:val="baseline"/>
        </w:rPr>
        <w:t>(January</w:t>
      </w:r>
      <w:r>
        <w:rPr>
          <w:spacing w:val="-5"/>
          <w:sz w:val="18"/>
          <w:vertAlign w:val="baseline"/>
        </w:rPr>
        <w:t> </w:t>
      </w:r>
      <w:r>
        <w:rPr>
          <w:sz w:val="18"/>
          <w:vertAlign w:val="baseline"/>
        </w:rPr>
        <w:t>2024).</w:t>
      </w:r>
      <w:r>
        <w:rPr>
          <w:spacing w:val="-5"/>
          <w:sz w:val="18"/>
          <w:vertAlign w:val="baseline"/>
        </w:rPr>
        <w:t> </w:t>
      </w:r>
      <w:r>
        <w:rPr>
          <w:sz w:val="18"/>
          <w:vertAlign w:val="baseline"/>
        </w:rPr>
        <w:t>https:</w:t>
      </w:r>
      <w:hyperlink r:id="rId656">
        <w:r>
          <w:rPr>
            <w:sz w:val="18"/>
            <w:vertAlign w:val="baseline"/>
          </w:rPr>
          <w:t>//www.census.gov/newsroom/stories/poverty-awareness-</w:t>
        </w:r>
      </w:hyperlink>
      <w:r>
        <w:rPr>
          <w:sz w:val="18"/>
          <w:vertAlign w:val="baseline"/>
        </w:rPr>
        <w:t> </w:t>
      </w:r>
      <w:r>
        <w:rPr>
          <w:spacing w:val="-2"/>
          <w:sz w:val="18"/>
          <w:vertAlign w:val="baseline"/>
        </w:rPr>
        <w:t>month.html#:~:text=Official%20Poverty%20Measure,decreased%20between%202021%20and%202022.</w:t>
      </w:r>
    </w:p>
    <w:p>
      <w:pPr>
        <w:spacing w:before="0"/>
        <w:ind w:left="464" w:right="601" w:firstLine="0"/>
        <w:jc w:val="left"/>
        <w:rPr>
          <w:sz w:val="18"/>
        </w:rPr>
      </w:pPr>
      <w:bookmarkStart w:name="_bookmark558" w:id="853"/>
      <w:bookmarkEnd w:id="853"/>
      <w:r>
        <w:rPr/>
      </w:r>
      <w:r>
        <w:rPr>
          <w:sz w:val="18"/>
          <w:vertAlign w:val="superscript"/>
        </w:rPr>
        <w:t>4</w:t>
      </w:r>
      <w:r>
        <w:rPr>
          <w:sz w:val="18"/>
          <w:vertAlign w:val="baseline"/>
        </w:rPr>
        <w:t> Rubin, Jerry and Ayanna Warrington. “Addressing the Labor Shortage in Massachusetts: Engaging Untapped Talent.” Harvard:</w:t>
      </w:r>
      <w:r>
        <w:rPr>
          <w:spacing w:val="-5"/>
          <w:sz w:val="18"/>
          <w:vertAlign w:val="baseline"/>
        </w:rPr>
        <w:t> </w:t>
      </w:r>
      <w:r>
        <w:rPr>
          <w:sz w:val="18"/>
          <w:vertAlign w:val="baseline"/>
        </w:rPr>
        <w:t>The</w:t>
      </w:r>
      <w:r>
        <w:rPr>
          <w:spacing w:val="-5"/>
          <w:sz w:val="18"/>
          <w:vertAlign w:val="baseline"/>
        </w:rPr>
        <w:t> </w:t>
      </w:r>
      <w:r>
        <w:rPr>
          <w:sz w:val="18"/>
          <w:vertAlign w:val="baseline"/>
        </w:rPr>
        <w:t>Project</w:t>
      </w:r>
      <w:r>
        <w:rPr>
          <w:spacing w:val="-6"/>
          <w:sz w:val="18"/>
          <w:vertAlign w:val="baseline"/>
        </w:rPr>
        <w:t> </w:t>
      </w:r>
      <w:r>
        <w:rPr>
          <w:sz w:val="18"/>
          <w:vertAlign w:val="baseline"/>
        </w:rPr>
        <w:t>on</w:t>
      </w:r>
      <w:r>
        <w:rPr>
          <w:spacing w:val="-5"/>
          <w:sz w:val="18"/>
          <w:vertAlign w:val="baseline"/>
        </w:rPr>
        <w:t> </w:t>
      </w:r>
      <w:r>
        <w:rPr>
          <w:sz w:val="18"/>
          <w:vertAlign w:val="baseline"/>
        </w:rPr>
        <w:t>Workforce</w:t>
      </w:r>
      <w:r>
        <w:rPr>
          <w:spacing w:val="-5"/>
          <w:sz w:val="18"/>
          <w:vertAlign w:val="baseline"/>
        </w:rPr>
        <w:t> </w:t>
      </w:r>
      <w:r>
        <w:rPr>
          <w:sz w:val="18"/>
          <w:vertAlign w:val="baseline"/>
        </w:rPr>
        <w:t>(September</w:t>
      </w:r>
      <w:r>
        <w:rPr>
          <w:spacing w:val="-6"/>
          <w:sz w:val="18"/>
          <w:vertAlign w:val="baseline"/>
        </w:rPr>
        <w:t> </w:t>
      </w:r>
      <w:r>
        <w:rPr>
          <w:sz w:val="18"/>
          <w:vertAlign w:val="baseline"/>
        </w:rPr>
        <w:t>5,</w:t>
      </w:r>
      <w:r>
        <w:rPr>
          <w:spacing w:val="-6"/>
          <w:sz w:val="18"/>
          <w:vertAlign w:val="baseline"/>
        </w:rPr>
        <w:t> </w:t>
      </w:r>
      <w:r>
        <w:rPr>
          <w:sz w:val="18"/>
          <w:vertAlign w:val="baseline"/>
        </w:rPr>
        <w:t>2023).</w:t>
      </w:r>
      <w:r>
        <w:rPr>
          <w:spacing w:val="-5"/>
          <w:sz w:val="18"/>
          <w:vertAlign w:val="baseline"/>
        </w:rPr>
        <w:t> </w:t>
      </w:r>
      <w:r>
        <w:rPr>
          <w:sz w:val="18"/>
          <w:vertAlign w:val="baseline"/>
        </w:rPr>
        <w:t>https:</w:t>
      </w:r>
      <w:hyperlink r:id="rId657">
        <w:r>
          <w:rPr>
            <w:sz w:val="18"/>
            <w:vertAlign w:val="baseline"/>
          </w:rPr>
          <w:t>//www.pw.hks.harvard.edu/post/addressing-the-labor-</w:t>
        </w:r>
      </w:hyperlink>
      <w:r>
        <w:rPr>
          <w:sz w:val="18"/>
          <w:vertAlign w:val="baseline"/>
        </w:rPr>
        <w:t> </w:t>
      </w:r>
      <w:r>
        <w:rPr>
          <w:spacing w:val="-2"/>
          <w:sz w:val="18"/>
          <w:vertAlign w:val="baseline"/>
        </w:rPr>
        <w:t>shortage-in-massachusetts.</w:t>
      </w:r>
    </w:p>
    <w:p>
      <w:pPr>
        <w:spacing w:before="1"/>
        <w:ind w:left="464" w:right="601" w:firstLine="0"/>
        <w:jc w:val="left"/>
        <w:rPr>
          <w:sz w:val="18"/>
        </w:rPr>
      </w:pPr>
      <w:bookmarkStart w:name="_bookmark559" w:id="854"/>
      <w:bookmarkEnd w:id="854"/>
      <w:r>
        <w:rPr/>
      </w:r>
      <w:r>
        <w:rPr>
          <w:sz w:val="18"/>
          <w:vertAlign w:val="superscript"/>
        </w:rPr>
        <w:t>5</w:t>
      </w:r>
      <w:r>
        <w:rPr>
          <w:sz w:val="18"/>
          <w:vertAlign w:val="baseline"/>
        </w:rPr>
        <w:t> Rubin, Jerry and Ayanna Warrington. “Addressing the Labor Shortage in Massachusetts: Engaging Untapped Talent.” Harvard:</w:t>
      </w:r>
      <w:r>
        <w:rPr>
          <w:spacing w:val="-5"/>
          <w:sz w:val="18"/>
          <w:vertAlign w:val="baseline"/>
        </w:rPr>
        <w:t> </w:t>
      </w:r>
      <w:r>
        <w:rPr>
          <w:sz w:val="18"/>
          <w:vertAlign w:val="baseline"/>
        </w:rPr>
        <w:t>The</w:t>
      </w:r>
      <w:r>
        <w:rPr>
          <w:spacing w:val="-5"/>
          <w:sz w:val="18"/>
          <w:vertAlign w:val="baseline"/>
        </w:rPr>
        <w:t> </w:t>
      </w:r>
      <w:r>
        <w:rPr>
          <w:sz w:val="18"/>
          <w:vertAlign w:val="baseline"/>
        </w:rPr>
        <w:t>Project</w:t>
      </w:r>
      <w:r>
        <w:rPr>
          <w:spacing w:val="-6"/>
          <w:sz w:val="18"/>
          <w:vertAlign w:val="baseline"/>
        </w:rPr>
        <w:t> </w:t>
      </w:r>
      <w:r>
        <w:rPr>
          <w:sz w:val="18"/>
          <w:vertAlign w:val="baseline"/>
        </w:rPr>
        <w:t>on</w:t>
      </w:r>
      <w:r>
        <w:rPr>
          <w:spacing w:val="-5"/>
          <w:sz w:val="18"/>
          <w:vertAlign w:val="baseline"/>
        </w:rPr>
        <w:t> </w:t>
      </w:r>
      <w:r>
        <w:rPr>
          <w:sz w:val="18"/>
          <w:vertAlign w:val="baseline"/>
        </w:rPr>
        <w:t>Workforce</w:t>
      </w:r>
      <w:r>
        <w:rPr>
          <w:spacing w:val="-5"/>
          <w:sz w:val="18"/>
          <w:vertAlign w:val="baseline"/>
        </w:rPr>
        <w:t> </w:t>
      </w:r>
      <w:r>
        <w:rPr>
          <w:sz w:val="18"/>
          <w:vertAlign w:val="baseline"/>
        </w:rPr>
        <w:t>(September</w:t>
      </w:r>
      <w:r>
        <w:rPr>
          <w:spacing w:val="-6"/>
          <w:sz w:val="18"/>
          <w:vertAlign w:val="baseline"/>
        </w:rPr>
        <w:t> </w:t>
      </w:r>
      <w:r>
        <w:rPr>
          <w:sz w:val="18"/>
          <w:vertAlign w:val="baseline"/>
        </w:rPr>
        <w:t>5,</w:t>
      </w:r>
      <w:r>
        <w:rPr>
          <w:spacing w:val="-6"/>
          <w:sz w:val="18"/>
          <w:vertAlign w:val="baseline"/>
        </w:rPr>
        <w:t> </w:t>
      </w:r>
      <w:r>
        <w:rPr>
          <w:sz w:val="18"/>
          <w:vertAlign w:val="baseline"/>
        </w:rPr>
        <w:t>2023).</w:t>
      </w:r>
      <w:r>
        <w:rPr>
          <w:spacing w:val="-5"/>
          <w:sz w:val="18"/>
          <w:vertAlign w:val="baseline"/>
        </w:rPr>
        <w:t> </w:t>
      </w:r>
      <w:r>
        <w:rPr>
          <w:sz w:val="18"/>
          <w:vertAlign w:val="baseline"/>
        </w:rPr>
        <w:t>https:</w:t>
      </w:r>
      <w:hyperlink r:id="rId657">
        <w:r>
          <w:rPr>
            <w:sz w:val="18"/>
            <w:vertAlign w:val="baseline"/>
          </w:rPr>
          <w:t>//www.pw.hks.harvard.edu/post/addressing-the-labor-</w:t>
        </w:r>
      </w:hyperlink>
      <w:r>
        <w:rPr>
          <w:sz w:val="18"/>
          <w:vertAlign w:val="baseline"/>
        </w:rPr>
        <w:t> </w:t>
      </w:r>
      <w:r>
        <w:rPr>
          <w:spacing w:val="-2"/>
          <w:sz w:val="18"/>
          <w:vertAlign w:val="baseline"/>
        </w:rPr>
        <w:t>shortage-in-massachusetts.</w:t>
      </w:r>
    </w:p>
    <w:p>
      <w:pPr>
        <w:spacing w:before="0"/>
        <w:ind w:left="464" w:right="353" w:firstLine="0"/>
        <w:jc w:val="left"/>
        <w:rPr>
          <w:sz w:val="18"/>
        </w:rPr>
      </w:pPr>
      <w:bookmarkStart w:name="_bookmark560" w:id="855"/>
      <w:bookmarkEnd w:id="855"/>
      <w:r>
        <w:rPr/>
      </w:r>
      <w:r>
        <w:rPr>
          <w:sz w:val="18"/>
          <w:vertAlign w:val="superscript"/>
        </w:rPr>
        <w:t>6</w:t>
      </w:r>
      <w:r>
        <w:rPr>
          <w:spacing w:val="-2"/>
          <w:sz w:val="18"/>
          <w:vertAlign w:val="baseline"/>
        </w:rPr>
        <w:t> </w:t>
      </w:r>
      <w:r>
        <w:rPr>
          <w:sz w:val="18"/>
          <w:vertAlign w:val="baseline"/>
        </w:rPr>
        <w:t>Hill,</w:t>
      </w:r>
      <w:r>
        <w:rPr>
          <w:spacing w:val="-3"/>
          <w:sz w:val="18"/>
          <w:vertAlign w:val="baseline"/>
        </w:rPr>
        <w:t> </w:t>
      </w:r>
      <w:r>
        <w:rPr>
          <w:sz w:val="18"/>
          <w:vertAlign w:val="baseline"/>
        </w:rPr>
        <w:t>Brandon</w:t>
      </w:r>
      <w:r>
        <w:rPr>
          <w:spacing w:val="-2"/>
          <w:sz w:val="18"/>
          <w:vertAlign w:val="baseline"/>
        </w:rPr>
        <w:t> </w:t>
      </w:r>
      <w:r>
        <w:rPr>
          <w:sz w:val="18"/>
          <w:vertAlign w:val="baseline"/>
        </w:rPr>
        <w:t>J.,</w:t>
      </w:r>
      <w:r>
        <w:rPr>
          <w:spacing w:val="-3"/>
          <w:sz w:val="18"/>
          <w:vertAlign w:val="baseline"/>
        </w:rPr>
        <w:t> </w:t>
      </w:r>
      <w:r>
        <w:rPr>
          <w:sz w:val="18"/>
          <w:vertAlign w:val="baseline"/>
        </w:rPr>
        <w:t>Darnell</w:t>
      </w:r>
      <w:r>
        <w:rPr>
          <w:spacing w:val="-3"/>
          <w:sz w:val="18"/>
          <w:vertAlign w:val="baseline"/>
        </w:rPr>
        <w:t> </w:t>
      </w:r>
      <w:r>
        <w:rPr>
          <w:sz w:val="18"/>
          <w:vertAlign w:val="baseline"/>
        </w:rPr>
        <w:t>N.</w:t>
      </w:r>
      <w:r>
        <w:rPr>
          <w:spacing w:val="-2"/>
          <w:sz w:val="18"/>
          <w:vertAlign w:val="baseline"/>
        </w:rPr>
        <w:t> </w:t>
      </w:r>
      <w:r>
        <w:rPr>
          <w:sz w:val="18"/>
          <w:vertAlign w:val="baseline"/>
        </w:rPr>
        <w:t>Motley,</w:t>
      </w:r>
      <w:r>
        <w:rPr>
          <w:spacing w:val="-3"/>
          <w:sz w:val="18"/>
          <w:vertAlign w:val="baseline"/>
        </w:rPr>
        <w:t> </w:t>
      </w:r>
      <w:r>
        <w:rPr>
          <w:sz w:val="18"/>
          <w:vertAlign w:val="baseline"/>
        </w:rPr>
        <w:t>Kris</w:t>
      </w:r>
      <w:r>
        <w:rPr>
          <w:spacing w:val="-2"/>
          <w:sz w:val="18"/>
          <w:vertAlign w:val="baseline"/>
        </w:rPr>
        <w:t> </w:t>
      </w:r>
      <w:r>
        <w:rPr>
          <w:sz w:val="18"/>
          <w:vertAlign w:val="baseline"/>
        </w:rPr>
        <w:t>Rosentel,</w:t>
      </w:r>
      <w:r>
        <w:rPr>
          <w:spacing w:val="-2"/>
          <w:sz w:val="18"/>
          <w:vertAlign w:val="baseline"/>
        </w:rPr>
        <w:t> </w:t>
      </w:r>
      <w:r>
        <w:rPr>
          <w:sz w:val="18"/>
          <w:vertAlign w:val="baseline"/>
        </w:rPr>
        <w:t>Alicia</w:t>
      </w:r>
      <w:r>
        <w:rPr>
          <w:spacing w:val="-2"/>
          <w:sz w:val="18"/>
          <w:vertAlign w:val="baseline"/>
        </w:rPr>
        <w:t> </w:t>
      </w:r>
      <w:r>
        <w:rPr>
          <w:sz w:val="18"/>
          <w:vertAlign w:val="baseline"/>
        </w:rPr>
        <w:t>VandeVusse,</w:t>
      </w:r>
      <w:r>
        <w:rPr>
          <w:spacing w:val="-3"/>
          <w:sz w:val="18"/>
          <w:vertAlign w:val="baseline"/>
        </w:rPr>
        <w:t> </w:t>
      </w:r>
      <w:r>
        <w:rPr>
          <w:sz w:val="18"/>
          <w:vertAlign w:val="baseline"/>
        </w:rPr>
        <w:t>Robert</w:t>
      </w:r>
      <w:r>
        <w:rPr>
          <w:spacing w:val="-3"/>
          <w:sz w:val="18"/>
          <w:vertAlign w:val="baseline"/>
        </w:rPr>
        <w:t> </w:t>
      </w:r>
      <w:r>
        <w:rPr>
          <w:sz w:val="18"/>
          <w:vertAlign w:val="baseline"/>
        </w:rPr>
        <w:t>Garofalo,</w:t>
      </w:r>
      <w:r>
        <w:rPr>
          <w:spacing w:val="-3"/>
          <w:sz w:val="18"/>
          <w:vertAlign w:val="baseline"/>
        </w:rPr>
        <w:t> </w:t>
      </w:r>
      <w:r>
        <w:rPr>
          <w:sz w:val="18"/>
          <w:vertAlign w:val="baseline"/>
        </w:rPr>
        <w:t>Lisa</w:t>
      </w:r>
      <w:r>
        <w:rPr>
          <w:spacing w:val="-2"/>
          <w:sz w:val="18"/>
          <w:vertAlign w:val="baseline"/>
        </w:rPr>
        <w:t> </w:t>
      </w:r>
      <w:r>
        <w:rPr>
          <w:sz w:val="18"/>
          <w:vertAlign w:val="baseline"/>
        </w:rPr>
        <w:t>M.</w:t>
      </w:r>
      <w:r>
        <w:rPr>
          <w:spacing w:val="-2"/>
          <w:sz w:val="18"/>
          <w:vertAlign w:val="baseline"/>
        </w:rPr>
        <w:t> </w:t>
      </w:r>
      <w:r>
        <w:rPr>
          <w:sz w:val="18"/>
          <w:vertAlign w:val="baseline"/>
        </w:rPr>
        <w:t>Kuhns,</w:t>
      </w:r>
      <w:r>
        <w:rPr>
          <w:spacing w:val="-3"/>
          <w:sz w:val="18"/>
          <w:vertAlign w:val="baseline"/>
        </w:rPr>
        <w:t> </w:t>
      </w:r>
      <w:r>
        <w:rPr>
          <w:sz w:val="18"/>
          <w:vertAlign w:val="baseline"/>
        </w:rPr>
        <w:t>Michele</w:t>
      </w:r>
      <w:r>
        <w:rPr>
          <w:spacing w:val="-2"/>
          <w:sz w:val="18"/>
          <w:vertAlign w:val="baseline"/>
        </w:rPr>
        <w:t> </w:t>
      </w:r>
      <w:r>
        <w:rPr>
          <w:sz w:val="18"/>
          <w:vertAlign w:val="baseline"/>
        </w:rPr>
        <w:t>D.</w:t>
      </w:r>
      <w:r>
        <w:rPr>
          <w:spacing w:val="-2"/>
          <w:sz w:val="18"/>
          <w:vertAlign w:val="baseline"/>
        </w:rPr>
        <w:t> </w:t>
      </w:r>
      <w:r>
        <w:rPr>
          <w:sz w:val="18"/>
          <w:vertAlign w:val="baseline"/>
        </w:rPr>
        <w:t>Kipke,</w:t>
      </w:r>
      <w:r>
        <w:rPr>
          <w:spacing w:val="-3"/>
          <w:sz w:val="18"/>
          <w:vertAlign w:val="baseline"/>
        </w:rPr>
        <w:t> </w:t>
      </w:r>
      <w:r>
        <w:rPr>
          <w:sz w:val="18"/>
          <w:vertAlign w:val="baseline"/>
        </w:rPr>
        <w:t>et al. “Work2Prevent, an Employment Intervention Program as HIV</w:t>
      </w:r>
      <w:r>
        <w:rPr>
          <w:spacing w:val="-1"/>
          <w:sz w:val="18"/>
          <w:vertAlign w:val="baseline"/>
        </w:rPr>
        <w:t> </w:t>
      </w:r>
      <w:r>
        <w:rPr>
          <w:sz w:val="18"/>
          <w:vertAlign w:val="baseline"/>
        </w:rPr>
        <w:t>Prevention for Young Men Who</w:t>
      </w:r>
      <w:r>
        <w:rPr>
          <w:spacing w:val="-1"/>
          <w:sz w:val="18"/>
          <w:vertAlign w:val="baseline"/>
        </w:rPr>
        <w:t> </w:t>
      </w:r>
      <w:r>
        <w:rPr>
          <w:sz w:val="18"/>
          <w:vertAlign w:val="baseline"/>
        </w:rPr>
        <w:t>Have Sex With Men and Transgender Youth of Color (Phase 3): Protocol for a Single-Arm Community-Based Trial to Assess Feasibility and Acceptability in a Real-World Setting.” JMIR Research Protocols 9, no. 9 (September 11, 2020): e18051. </w:t>
      </w:r>
      <w:r>
        <w:rPr>
          <w:spacing w:val="-2"/>
          <w:sz w:val="18"/>
          <w:vertAlign w:val="baseline"/>
        </w:rPr>
        <w:t>https://doi.org/10.2196/18051.</w:t>
      </w:r>
    </w:p>
    <w:p>
      <w:pPr>
        <w:spacing w:before="0"/>
        <w:ind w:left="464" w:right="0" w:firstLine="0"/>
        <w:jc w:val="left"/>
        <w:rPr>
          <w:sz w:val="18"/>
        </w:rPr>
      </w:pPr>
      <w:bookmarkStart w:name="_bookmark561" w:id="856"/>
      <w:bookmarkEnd w:id="856"/>
      <w:r>
        <w:rPr/>
      </w:r>
      <w:r>
        <w:rPr>
          <w:sz w:val="18"/>
          <w:vertAlign w:val="superscript"/>
        </w:rPr>
        <w:t>7</w:t>
      </w:r>
      <w:r>
        <w:rPr>
          <w:spacing w:val="-5"/>
          <w:sz w:val="18"/>
          <w:vertAlign w:val="baseline"/>
        </w:rPr>
        <w:t> </w:t>
      </w:r>
      <w:r>
        <w:rPr>
          <w:sz w:val="18"/>
          <w:vertAlign w:val="baseline"/>
        </w:rPr>
        <w:t>Stanton,</w:t>
      </w:r>
      <w:r>
        <w:rPr>
          <w:spacing w:val="-3"/>
          <w:sz w:val="18"/>
          <w:vertAlign w:val="baseline"/>
        </w:rPr>
        <w:t> </w:t>
      </w:r>
      <w:r>
        <w:rPr>
          <w:sz w:val="18"/>
          <w:vertAlign w:val="baseline"/>
        </w:rPr>
        <w:t>Ivy.</w:t>
      </w:r>
      <w:r>
        <w:rPr>
          <w:spacing w:val="-3"/>
          <w:sz w:val="18"/>
          <w:vertAlign w:val="baseline"/>
        </w:rPr>
        <w:t> </w:t>
      </w:r>
      <w:r>
        <w:rPr>
          <w:sz w:val="18"/>
          <w:vertAlign w:val="baseline"/>
        </w:rPr>
        <w:t>“Hiring</w:t>
      </w:r>
      <w:r>
        <w:rPr>
          <w:spacing w:val="-3"/>
          <w:sz w:val="18"/>
          <w:vertAlign w:val="baseline"/>
        </w:rPr>
        <w:t> </w:t>
      </w:r>
      <w:r>
        <w:rPr>
          <w:sz w:val="18"/>
          <w:vertAlign w:val="baseline"/>
        </w:rPr>
        <w:t>Discrimination</w:t>
      </w:r>
      <w:r>
        <w:rPr>
          <w:spacing w:val="-2"/>
          <w:sz w:val="18"/>
          <w:vertAlign w:val="baseline"/>
        </w:rPr>
        <w:t> </w:t>
      </w:r>
      <w:r>
        <w:rPr>
          <w:sz w:val="18"/>
          <w:vertAlign w:val="baseline"/>
        </w:rPr>
        <w:t>against</w:t>
      </w:r>
      <w:r>
        <w:rPr>
          <w:spacing w:val="-3"/>
          <w:sz w:val="18"/>
          <w:vertAlign w:val="baseline"/>
        </w:rPr>
        <w:t> </w:t>
      </w:r>
      <w:r>
        <w:rPr>
          <w:sz w:val="18"/>
          <w:vertAlign w:val="baseline"/>
        </w:rPr>
        <w:t>Transgender</w:t>
      </w:r>
      <w:r>
        <w:rPr>
          <w:spacing w:val="-4"/>
          <w:sz w:val="18"/>
          <w:vertAlign w:val="baseline"/>
        </w:rPr>
        <w:t> </w:t>
      </w:r>
      <w:r>
        <w:rPr>
          <w:sz w:val="18"/>
          <w:vertAlign w:val="baseline"/>
        </w:rPr>
        <w:t>Individuals</w:t>
      </w:r>
      <w:r>
        <w:rPr>
          <w:spacing w:val="-2"/>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US</w:t>
      </w:r>
      <w:r>
        <w:rPr>
          <w:spacing w:val="-2"/>
          <w:sz w:val="18"/>
          <w:vertAlign w:val="baseline"/>
        </w:rPr>
        <w:t> </w:t>
      </w:r>
      <w:r>
        <w:rPr>
          <w:sz w:val="18"/>
          <w:vertAlign w:val="baseline"/>
        </w:rPr>
        <w:t>Labor</w:t>
      </w:r>
      <w:r>
        <w:rPr>
          <w:spacing w:val="-4"/>
          <w:sz w:val="18"/>
          <w:vertAlign w:val="baseline"/>
        </w:rPr>
        <w:t> </w:t>
      </w:r>
      <w:r>
        <w:rPr>
          <w:sz w:val="18"/>
          <w:vertAlign w:val="baseline"/>
        </w:rPr>
        <w:t>Market.”</w:t>
      </w:r>
      <w:r>
        <w:rPr>
          <w:spacing w:val="-2"/>
          <w:sz w:val="18"/>
          <w:vertAlign w:val="baseline"/>
        </w:rPr>
        <w:t> </w:t>
      </w:r>
      <w:r>
        <w:rPr>
          <w:sz w:val="18"/>
          <w:vertAlign w:val="baseline"/>
        </w:rPr>
        <w:t>(April</w:t>
      </w:r>
      <w:r>
        <w:rPr>
          <w:spacing w:val="-3"/>
          <w:sz w:val="18"/>
          <w:vertAlign w:val="baseline"/>
        </w:rPr>
        <w:t> </w:t>
      </w:r>
      <w:r>
        <w:rPr>
          <w:spacing w:val="-2"/>
          <w:sz w:val="18"/>
          <w:vertAlign w:val="baseline"/>
        </w:rPr>
        <w:t>2023).</w:t>
      </w:r>
    </w:p>
    <w:p>
      <w:pPr>
        <w:spacing w:before="0"/>
        <w:ind w:left="464" w:right="0" w:firstLine="0"/>
        <w:jc w:val="left"/>
        <w:rPr>
          <w:sz w:val="18"/>
        </w:rPr>
      </w:pPr>
      <w:bookmarkStart w:name="_bookmark562" w:id="857"/>
      <w:bookmarkEnd w:id="857"/>
      <w:r>
        <w:rPr/>
      </w:r>
      <w:r>
        <w:rPr>
          <w:sz w:val="18"/>
          <w:vertAlign w:val="superscript"/>
        </w:rPr>
        <w:t>8</w:t>
      </w:r>
      <w:r>
        <w:rPr>
          <w:spacing w:val="-2"/>
          <w:sz w:val="18"/>
          <w:vertAlign w:val="baseline"/>
        </w:rPr>
        <w:t> </w:t>
      </w:r>
      <w:r>
        <w:rPr>
          <w:sz w:val="18"/>
          <w:vertAlign w:val="baseline"/>
        </w:rPr>
        <w:t>Eames,</w:t>
      </w:r>
      <w:r>
        <w:rPr>
          <w:spacing w:val="-3"/>
          <w:sz w:val="18"/>
          <w:vertAlign w:val="baseline"/>
        </w:rPr>
        <w:t> </w:t>
      </w:r>
      <w:r>
        <w:rPr>
          <w:sz w:val="18"/>
          <w:vertAlign w:val="baseline"/>
        </w:rPr>
        <w:t>Taryn.</w:t>
      </w:r>
      <w:r>
        <w:rPr>
          <w:spacing w:val="-2"/>
          <w:sz w:val="18"/>
          <w:vertAlign w:val="baseline"/>
        </w:rPr>
        <w:t> </w:t>
      </w:r>
      <w:r>
        <w:rPr>
          <w:sz w:val="18"/>
          <w:vertAlign w:val="baseline"/>
        </w:rPr>
        <w:t>“Taryn</w:t>
      </w:r>
      <w:r>
        <w:rPr>
          <w:spacing w:val="-2"/>
          <w:sz w:val="18"/>
          <w:vertAlign w:val="baseline"/>
        </w:rPr>
        <w:t> </w:t>
      </w:r>
      <w:r>
        <w:rPr>
          <w:sz w:val="18"/>
          <w:vertAlign w:val="baseline"/>
        </w:rPr>
        <w:t>versus</w:t>
      </w:r>
      <w:r>
        <w:rPr>
          <w:spacing w:val="-2"/>
          <w:sz w:val="18"/>
          <w:vertAlign w:val="baseline"/>
        </w:rPr>
        <w:t> </w:t>
      </w:r>
      <w:r>
        <w:rPr>
          <w:sz w:val="18"/>
          <w:vertAlign w:val="baseline"/>
        </w:rPr>
        <w:t>Taryn</w:t>
      </w:r>
      <w:r>
        <w:rPr>
          <w:spacing w:val="-2"/>
          <w:sz w:val="18"/>
          <w:vertAlign w:val="baseline"/>
        </w:rPr>
        <w:t> </w:t>
      </w:r>
      <w:r>
        <w:rPr>
          <w:sz w:val="18"/>
          <w:vertAlign w:val="baseline"/>
        </w:rPr>
        <w:t>(she/her)</w:t>
      </w:r>
      <w:r>
        <w:rPr>
          <w:spacing w:val="-2"/>
          <w:sz w:val="18"/>
          <w:vertAlign w:val="baseline"/>
        </w:rPr>
        <w:t> </w:t>
      </w:r>
      <w:r>
        <w:rPr>
          <w:sz w:val="18"/>
          <w:vertAlign w:val="baseline"/>
        </w:rPr>
        <w:t>versus</w:t>
      </w:r>
      <w:r>
        <w:rPr>
          <w:spacing w:val="-2"/>
          <w:sz w:val="18"/>
          <w:vertAlign w:val="baseline"/>
        </w:rPr>
        <w:t> </w:t>
      </w:r>
      <w:r>
        <w:rPr>
          <w:sz w:val="18"/>
          <w:vertAlign w:val="baseline"/>
        </w:rPr>
        <w:t>Taryn</w:t>
      </w:r>
      <w:r>
        <w:rPr>
          <w:spacing w:val="-3"/>
          <w:sz w:val="18"/>
          <w:vertAlign w:val="baseline"/>
        </w:rPr>
        <w:t> </w:t>
      </w:r>
      <w:r>
        <w:rPr>
          <w:sz w:val="18"/>
          <w:vertAlign w:val="baseline"/>
        </w:rPr>
        <w:t>(they/them):</w:t>
      </w:r>
      <w:r>
        <w:rPr>
          <w:spacing w:val="-2"/>
          <w:sz w:val="18"/>
          <w:vertAlign w:val="baseline"/>
        </w:rPr>
        <w:t> </w:t>
      </w:r>
      <w:r>
        <w:rPr>
          <w:sz w:val="18"/>
          <w:vertAlign w:val="baseline"/>
        </w:rPr>
        <w:t>A</w:t>
      </w:r>
      <w:r>
        <w:rPr>
          <w:spacing w:val="-2"/>
          <w:sz w:val="18"/>
          <w:vertAlign w:val="baseline"/>
        </w:rPr>
        <w:t> </w:t>
      </w:r>
      <w:r>
        <w:rPr>
          <w:sz w:val="18"/>
          <w:vertAlign w:val="baseline"/>
        </w:rPr>
        <w:t>Field</w:t>
      </w:r>
      <w:r>
        <w:rPr>
          <w:spacing w:val="-2"/>
          <w:sz w:val="18"/>
          <w:vertAlign w:val="baseline"/>
        </w:rPr>
        <w:t> </w:t>
      </w:r>
      <w:r>
        <w:rPr>
          <w:sz w:val="18"/>
          <w:vertAlign w:val="baseline"/>
        </w:rPr>
        <w:t>Experiment</w:t>
      </w:r>
      <w:r>
        <w:rPr>
          <w:spacing w:val="-3"/>
          <w:sz w:val="18"/>
          <w:vertAlign w:val="baseline"/>
        </w:rPr>
        <w:t> </w:t>
      </w:r>
      <w:r>
        <w:rPr>
          <w:sz w:val="18"/>
          <w:vertAlign w:val="baseline"/>
        </w:rPr>
        <w:t>on</w:t>
      </w:r>
      <w:r>
        <w:rPr>
          <w:spacing w:val="-2"/>
          <w:sz w:val="18"/>
          <w:vertAlign w:val="baseline"/>
        </w:rPr>
        <w:t> </w:t>
      </w:r>
      <w:r>
        <w:rPr>
          <w:sz w:val="18"/>
          <w:vertAlign w:val="baseline"/>
        </w:rPr>
        <w:t>Pronoun</w:t>
      </w:r>
      <w:r>
        <w:rPr>
          <w:spacing w:val="-2"/>
          <w:sz w:val="18"/>
          <w:vertAlign w:val="baseline"/>
        </w:rPr>
        <w:t> </w:t>
      </w:r>
      <w:r>
        <w:rPr>
          <w:sz w:val="18"/>
          <w:vertAlign w:val="baseline"/>
        </w:rPr>
        <w:t>Disclosure</w:t>
      </w:r>
      <w:r>
        <w:rPr>
          <w:spacing w:val="-2"/>
          <w:sz w:val="18"/>
          <w:vertAlign w:val="baseline"/>
        </w:rPr>
        <w:t> </w:t>
      </w:r>
      <w:r>
        <w:rPr>
          <w:sz w:val="18"/>
          <w:vertAlign w:val="baseline"/>
        </w:rPr>
        <w:t>and Nonbinary Hiring Discrimination” (January 14, 2024). </w:t>
      </w:r>
      <w:hyperlink r:id="rId658">
        <w:r>
          <w:rPr>
            <w:sz w:val="18"/>
            <w:vertAlign w:val="baseline"/>
          </w:rPr>
          <w:t>http://dx.doi.org/10.2139/ssrn.4694653.</w:t>
        </w:r>
      </w:hyperlink>
    </w:p>
    <w:p>
      <w:pPr>
        <w:spacing w:before="0"/>
        <w:ind w:left="464" w:right="249" w:hanging="1"/>
        <w:jc w:val="left"/>
        <w:rPr>
          <w:sz w:val="18"/>
        </w:rPr>
      </w:pPr>
      <w:bookmarkStart w:name="_bookmark563" w:id="858"/>
      <w:bookmarkEnd w:id="858"/>
      <w:r>
        <w:rPr/>
      </w:r>
      <w:r>
        <w:rPr>
          <w:sz w:val="18"/>
          <w:vertAlign w:val="superscript"/>
        </w:rPr>
        <w:t>9</w:t>
      </w:r>
      <w:r>
        <w:rPr>
          <w:spacing w:val="-3"/>
          <w:sz w:val="18"/>
          <w:vertAlign w:val="baseline"/>
        </w:rPr>
        <w:t> </w:t>
      </w:r>
      <w:r>
        <w:rPr>
          <w:sz w:val="18"/>
          <w:vertAlign w:val="baseline"/>
        </w:rPr>
        <w:t>Abel,</w:t>
      </w:r>
      <w:r>
        <w:rPr>
          <w:spacing w:val="-4"/>
          <w:sz w:val="18"/>
          <w:vertAlign w:val="baseline"/>
        </w:rPr>
        <w:t> </w:t>
      </w:r>
      <w:r>
        <w:rPr>
          <w:sz w:val="18"/>
          <w:vertAlign w:val="baseline"/>
        </w:rPr>
        <w:t>Martin,</w:t>
      </w:r>
      <w:r>
        <w:rPr>
          <w:spacing w:val="-4"/>
          <w:sz w:val="18"/>
          <w:vertAlign w:val="baseline"/>
        </w:rPr>
        <w:t> </w:t>
      </w:r>
      <w:r>
        <w:rPr>
          <w:sz w:val="18"/>
          <w:vertAlign w:val="baseline"/>
        </w:rPr>
        <w:t>and</w:t>
      </w:r>
      <w:r>
        <w:rPr>
          <w:spacing w:val="-3"/>
          <w:sz w:val="18"/>
          <w:vertAlign w:val="baseline"/>
        </w:rPr>
        <w:t> </w:t>
      </w:r>
      <w:r>
        <w:rPr>
          <w:sz w:val="18"/>
          <w:vertAlign w:val="baseline"/>
        </w:rPr>
        <w:t>Rulof</w:t>
      </w:r>
      <w:r>
        <w:rPr>
          <w:spacing w:val="-3"/>
          <w:sz w:val="18"/>
          <w:vertAlign w:val="baseline"/>
        </w:rPr>
        <w:t> </w:t>
      </w:r>
      <w:r>
        <w:rPr>
          <w:sz w:val="18"/>
          <w:vertAlign w:val="baseline"/>
        </w:rPr>
        <w:t>Burger.</w:t>
      </w:r>
      <w:r>
        <w:rPr>
          <w:spacing w:val="-3"/>
          <w:sz w:val="18"/>
          <w:vertAlign w:val="baseline"/>
        </w:rPr>
        <w:t> </w:t>
      </w:r>
      <w:r>
        <w:rPr>
          <w:sz w:val="18"/>
          <w:vertAlign w:val="baseline"/>
        </w:rPr>
        <w:t>“Unpacking</w:t>
      </w:r>
      <w:r>
        <w:rPr>
          <w:spacing w:val="-3"/>
          <w:sz w:val="18"/>
          <w:vertAlign w:val="baseline"/>
        </w:rPr>
        <w:t> </w:t>
      </w:r>
      <w:r>
        <w:rPr>
          <w:sz w:val="18"/>
          <w:vertAlign w:val="baseline"/>
        </w:rPr>
        <w:t>Name-Based</w:t>
      </w:r>
      <w:r>
        <w:rPr>
          <w:spacing w:val="-3"/>
          <w:sz w:val="18"/>
          <w:vertAlign w:val="baseline"/>
        </w:rPr>
        <w:t> </w:t>
      </w:r>
      <w:r>
        <w:rPr>
          <w:sz w:val="18"/>
          <w:vertAlign w:val="baseline"/>
        </w:rPr>
        <w:t>Race</w:t>
      </w:r>
      <w:r>
        <w:rPr>
          <w:spacing w:val="-3"/>
          <w:sz w:val="18"/>
          <w:vertAlign w:val="baseline"/>
        </w:rPr>
        <w:t> </w:t>
      </w:r>
      <w:r>
        <w:rPr>
          <w:sz w:val="18"/>
          <w:vertAlign w:val="baseline"/>
        </w:rPr>
        <w:t>Discrimination.”</w:t>
      </w:r>
      <w:r>
        <w:rPr>
          <w:spacing w:val="-3"/>
          <w:sz w:val="18"/>
          <w:vertAlign w:val="baseline"/>
        </w:rPr>
        <w:t> </w:t>
      </w:r>
      <w:r>
        <w:rPr>
          <w:sz w:val="18"/>
          <w:vertAlign w:val="baseline"/>
        </w:rPr>
        <w:t>SSRN,</w:t>
      </w:r>
      <w:r>
        <w:rPr>
          <w:spacing w:val="-4"/>
          <w:sz w:val="18"/>
          <w:vertAlign w:val="baseline"/>
        </w:rPr>
        <w:t> </w:t>
      </w:r>
      <w:r>
        <w:rPr>
          <w:sz w:val="18"/>
          <w:vertAlign w:val="baseline"/>
        </w:rPr>
        <w:t>IZA</w:t>
      </w:r>
      <w:r>
        <w:rPr>
          <w:spacing w:val="-3"/>
          <w:sz w:val="18"/>
          <w:vertAlign w:val="baseline"/>
        </w:rPr>
        <w:t> </w:t>
      </w:r>
      <w:r>
        <w:rPr>
          <w:sz w:val="18"/>
          <w:vertAlign w:val="baseline"/>
        </w:rPr>
        <w:t>Institute</w:t>
      </w:r>
      <w:r>
        <w:rPr>
          <w:spacing w:val="-3"/>
          <w:sz w:val="18"/>
          <w:vertAlign w:val="baseline"/>
        </w:rPr>
        <w:t> </w:t>
      </w:r>
      <w:r>
        <w:rPr>
          <w:sz w:val="18"/>
          <w:vertAlign w:val="baseline"/>
        </w:rPr>
        <w:t>of</w:t>
      </w:r>
      <w:r>
        <w:rPr>
          <w:spacing w:val="-3"/>
          <w:sz w:val="18"/>
          <w:vertAlign w:val="baseline"/>
        </w:rPr>
        <w:t> </w:t>
      </w:r>
      <w:r>
        <w:rPr>
          <w:sz w:val="18"/>
          <w:vertAlign w:val="baseline"/>
        </w:rPr>
        <w:t>Labor</w:t>
      </w:r>
      <w:r>
        <w:rPr>
          <w:spacing w:val="-4"/>
          <w:sz w:val="18"/>
          <w:vertAlign w:val="baseline"/>
        </w:rPr>
        <w:t> </w:t>
      </w:r>
      <w:r>
        <w:rPr>
          <w:sz w:val="18"/>
          <w:vertAlign w:val="baseline"/>
        </w:rPr>
        <w:t>Economics (June 24, 2023). papers.ssrn.com/sol3/papers.cfm?abstract_id=4490163.</w:t>
      </w:r>
    </w:p>
    <w:p>
      <w:pPr>
        <w:spacing w:before="0"/>
        <w:ind w:left="463" w:right="232" w:firstLine="0"/>
        <w:jc w:val="left"/>
        <w:rPr>
          <w:sz w:val="18"/>
        </w:rPr>
      </w:pPr>
      <w:bookmarkStart w:name="_bookmark564" w:id="859"/>
      <w:bookmarkEnd w:id="859"/>
      <w:r>
        <w:rPr/>
      </w:r>
      <w:r>
        <w:rPr>
          <w:sz w:val="18"/>
          <w:vertAlign w:val="superscript"/>
        </w:rPr>
        <w:t>10</w:t>
      </w:r>
      <w:r>
        <w:rPr>
          <w:spacing w:val="-2"/>
          <w:sz w:val="18"/>
          <w:vertAlign w:val="baseline"/>
        </w:rPr>
        <w:t> </w:t>
      </w:r>
      <w:r>
        <w:rPr>
          <w:sz w:val="18"/>
          <w:vertAlign w:val="baseline"/>
        </w:rPr>
        <w:t>Mills,</w:t>
      </w:r>
      <w:r>
        <w:rPr>
          <w:spacing w:val="-3"/>
          <w:sz w:val="18"/>
          <w:vertAlign w:val="baseline"/>
        </w:rPr>
        <w:t> </w:t>
      </w:r>
      <w:r>
        <w:rPr>
          <w:sz w:val="18"/>
          <w:vertAlign w:val="baseline"/>
        </w:rPr>
        <w:t>Suzanne,</w:t>
      </w:r>
      <w:r>
        <w:rPr>
          <w:spacing w:val="-3"/>
          <w:sz w:val="18"/>
          <w:vertAlign w:val="baseline"/>
        </w:rPr>
        <w:t> </w:t>
      </w:r>
      <w:r>
        <w:rPr>
          <w:sz w:val="18"/>
          <w:vertAlign w:val="baseline"/>
        </w:rPr>
        <w:t>and</w:t>
      </w:r>
      <w:r>
        <w:rPr>
          <w:spacing w:val="-2"/>
          <w:sz w:val="18"/>
          <w:vertAlign w:val="baseline"/>
        </w:rPr>
        <w:t> </w:t>
      </w:r>
      <w:r>
        <w:rPr>
          <w:sz w:val="18"/>
          <w:vertAlign w:val="baseline"/>
        </w:rPr>
        <w:t>Benjamin</w:t>
      </w:r>
      <w:r>
        <w:rPr>
          <w:spacing w:val="-2"/>
          <w:sz w:val="18"/>
          <w:vertAlign w:val="baseline"/>
        </w:rPr>
        <w:t> </w:t>
      </w:r>
      <w:r>
        <w:rPr>
          <w:sz w:val="18"/>
          <w:vertAlign w:val="baseline"/>
        </w:rPr>
        <w:t>Owens.</w:t>
      </w:r>
      <w:r>
        <w:rPr>
          <w:spacing w:val="-2"/>
          <w:sz w:val="18"/>
          <w:vertAlign w:val="baseline"/>
        </w:rPr>
        <w:t> </w:t>
      </w:r>
      <w:r>
        <w:rPr>
          <w:sz w:val="18"/>
          <w:vertAlign w:val="baseline"/>
        </w:rPr>
        <w:t>“Customer</w:t>
      </w:r>
      <w:r>
        <w:rPr>
          <w:spacing w:val="-3"/>
          <w:sz w:val="18"/>
          <w:vertAlign w:val="baseline"/>
        </w:rPr>
        <w:t> </w:t>
      </w:r>
      <w:r>
        <w:rPr>
          <w:sz w:val="18"/>
          <w:vertAlign w:val="baseline"/>
        </w:rPr>
        <w:t>Abuse</w:t>
      </w:r>
      <w:r>
        <w:rPr>
          <w:spacing w:val="-2"/>
          <w:sz w:val="18"/>
          <w:vertAlign w:val="baseline"/>
        </w:rPr>
        <w:t> </w:t>
      </w:r>
      <w:r>
        <w:rPr>
          <w:sz w:val="18"/>
          <w:vertAlign w:val="baseline"/>
        </w:rPr>
        <w:t>and</w:t>
      </w:r>
      <w:r>
        <w:rPr>
          <w:spacing w:val="-2"/>
          <w:sz w:val="18"/>
          <w:vertAlign w:val="baseline"/>
        </w:rPr>
        <w:t> </w:t>
      </w:r>
      <w:r>
        <w:rPr>
          <w:sz w:val="18"/>
          <w:vertAlign w:val="baseline"/>
        </w:rPr>
        <w:t>Aggression</w:t>
      </w:r>
      <w:r>
        <w:rPr>
          <w:spacing w:val="-2"/>
          <w:sz w:val="18"/>
          <w:vertAlign w:val="baseline"/>
        </w:rPr>
        <w:t> </w:t>
      </w:r>
      <w:r>
        <w:rPr>
          <w:sz w:val="18"/>
          <w:vertAlign w:val="baseline"/>
        </w:rPr>
        <w:t>as</w:t>
      </w:r>
      <w:r>
        <w:rPr>
          <w:spacing w:val="-2"/>
          <w:sz w:val="18"/>
          <w:vertAlign w:val="baseline"/>
        </w:rPr>
        <w:t> </w:t>
      </w:r>
      <w:r>
        <w:rPr>
          <w:sz w:val="18"/>
          <w:vertAlign w:val="baseline"/>
        </w:rPr>
        <w:t>Labour</w:t>
      </w:r>
      <w:r>
        <w:rPr>
          <w:spacing w:val="-3"/>
          <w:sz w:val="18"/>
          <w:vertAlign w:val="baseline"/>
        </w:rPr>
        <w:t> </w:t>
      </w:r>
      <w:r>
        <w:rPr>
          <w:sz w:val="18"/>
          <w:vertAlign w:val="baseline"/>
        </w:rPr>
        <w:t>Control</w:t>
      </w:r>
      <w:r>
        <w:rPr>
          <w:spacing w:val="-3"/>
          <w:sz w:val="18"/>
          <w:vertAlign w:val="baseline"/>
        </w:rPr>
        <w:t> </w:t>
      </w:r>
      <w:r>
        <w:rPr>
          <w:sz w:val="18"/>
          <w:vertAlign w:val="baseline"/>
        </w:rPr>
        <w:t>Among</w:t>
      </w:r>
      <w:r>
        <w:rPr>
          <w:spacing w:val="-2"/>
          <w:sz w:val="18"/>
          <w:vertAlign w:val="baseline"/>
        </w:rPr>
        <w:t> </w:t>
      </w:r>
      <w:r>
        <w:rPr>
          <w:sz w:val="18"/>
          <w:vertAlign w:val="baseline"/>
        </w:rPr>
        <w:t>LGBT</w:t>
      </w:r>
      <w:r>
        <w:rPr>
          <w:spacing w:val="-2"/>
          <w:sz w:val="18"/>
          <w:vertAlign w:val="baseline"/>
        </w:rPr>
        <w:t> </w:t>
      </w:r>
      <w:r>
        <w:rPr>
          <w:sz w:val="18"/>
          <w:vertAlign w:val="baseline"/>
        </w:rPr>
        <w:t>Workers</w:t>
      </w:r>
      <w:r>
        <w:rPr>
          <w:spacing w:val="-2"/>
          <w:sz w:val="18"/>
          <w:vertAlign w:val="baseline"/>
        </w:rPr>
        <w:t> </w:t>
      </w:r>
      <w:r>
        <w:rPr>
          <w:sz w:val="18"/>
          <w:vertAlign w:val="baseline"/>
        </w:rPr>
        <w:t>in</w:t>
      </w:r>
      <w:r>
        <w:rPr>
          <w:spacing w:val="-2"/>
          <w:sz w:val="18"/>
          <w:vertAlign w:val="baseline"/>
        </w:rPr>
        <w:t> </w:t>
      </w:r>
      <w:r>
        <w:rPr>
          <w:sz w:val="18"/>
          <w:vertAlign w:val="baseline"/>
        </w:rPr>
        <w:t>Low- Wage Services.” Work, Employment and Society 37, no. 3 (June 1, 2023): 776–93. </w:t>
      </w:r>
      <w:r>
        <w:rPr>
          <w:spacing w:val="-2"/>
          <w:sz w:val="18"/>
          <w:vertAlign w:val="baseline"/>
        </w:rPr>
        <w:t>https://doi.org/10.1177/09500170211045843.</w:t>
      </w:r>
    </w:p>
    <w:p>
      <w:pPr>
        <w:spacing w:before="0"/>
        <w:ind w:left="464" w:right="232" w:hanging="1"/>
        <w:jc w:val="left"/>
        <w:rPr>
          <w:sz w:val="18"/>
        </w:rPr>
      </w:pPr>
      <w:bookmarkStart w:name="_bookmark565" w:id="860"/>
      <w:bookmarkEnd w:id="860"/>
      <w:r>
        <w:rPr/>
      </w:r>
      <w:r>
        <w:rPr>
          <w:sz w:val="18"/>
          <w:vertAlign w:val="superscript"/>
        </w:rPr>
        <w:t>11</w:t>
      </w:r>
      <w:r>
        <w:rPr>
          <w:spacing w:val="-3"/>
          <w:sz w:val="18"/>
          <w:vertAlign w:val="baseline"/>
        </w:rPr>
        <w:t> </w:t>
      </w:r>
      <w:r>
        <w:rPr>
          <w:sz w:val="18"/>
          <w:vertAlign w:val="baseline"/>
        </w:rPr>
        <w:t>Finnigan,</w:t>
      </w:r>
      <w:r>
        <w:rPr>
          <w:spacing w:val="-4"/>
          <w:sz w:val="18"/>
          <w:vertAlign w:val="baseline"/>
        </w:rPr>
        <w:t> </w:t>
      </w:r>
      <w:r>
        <w:rPr>
          <w:sz w:val="18"/>
          <w:vertAlign w:val="baseline"/>
        </w:rPr>
        <w:t>Ryan.</w:t>
      </w:r>
      <w:r>
        <w:rPr>
          <w:spacing w:val="-3"/>
          <w:sz w:val="18"/>
          <w:vertAlign w:val="baseline"/>
        </w:rPr>
        <w:t> </w:t>
      </w:r>
      <w:r>
        <w:rPr>
          <w:sz w:val="18"/>
          <w:vertAlign w:val="baseline"/>
        </w:rPr>
        <w:t>“Rainbow-Collar</w:t>
      </w:r>
      <w:r>
        <w:rPr>
          <w:spacing w:val="-2"/>
          <w:sz w:val="18"/>
          <w:vertAlign w:val="baseline"/>
        </w:rPr>
        <w:t> </w:t>
      </w:r>
      <w:r>
        <w:rPr>
          <w:sz w:val="18"/>
          <w:vertAlign w:val="baseline"/>
        </w:rPr>
        <w:t>Jobs?</w:t>
      </w:r>
      <w:r>
        <w:rPr>
          <w:spacing w:val="-3"/>
          <w:sz w:val="18"/>
          <w:vertAlign w:val="baseline"/>
        </w:rPr>
        <w:t> </w:t>
      </w:r>
      <w:r>
        <w:rPr>
          <w:sz w:val="18"/>
          <w:vertAlign w:val="baseline"/>
        </w:rPr>
        <w:t>Occupational</w:t>
      </w:r>
      <w:r>
        <w:rPr>
          <w:spacing w:val="-4"/>
          <w:sz w:val="18"/>
          <w:vertAlign w:val="baseline"/>
        </w:rPr>
        <w:t> </w:t>
      </w:r>
      <w:r>
        <w:rPr>
          <w:sz w:val="18"/>
          <w:vertAlign w:val="baseline"/>
        </w:rPr>
        <w:t>Segregation</w:t>
      </w:r>
      <w:r>
        <w:rPr>
          <w:spacing w:val="-4"/>
          <w:sz w:val="18"/>
          <w:vertAlign w:val="baseline"/>
        </w:rPr>
        <w:t> </w:t>
      </w:r>
      <w:r>
        <w:rPr>
          <w:sz w:val="18"/>
          <w:vertAlign w:val="baseline"/>
        </w:rPr>
        <w:t>by</w:t>
      </w:r>
      <w:r>
        <w:rPr>
          <w:spacing w:val="-3"/>
          <w:sz w:val="18"/>
          <w:vertAlign w:val="baseline"/>
        </w:rPr>
        <w:t> </w:t>
      </w:r>
      <w:r>
        <w:rPr>
          <w:sz w:val="18"/>
          <w:vertAlign w:val="baseline"/>
        </w:rPr>
        <w:t>Sexual</w:t>
      </w:r>
      <w:r>
        <w:rPr>
          <w:spacing w:val="-4"/>
          <w:sz w:val="18"/>
          <w:vertAlign w:val="baseline"/>
        </w:rPr>
        <w:t> </w:t>
      </w:r>
      <w:r>
        <w:rPr>
          <w:sz w:val="18"/>
          <w:vertAlign w:val="baseline"/>
        </w:rPr>
        <w:t>Orientation</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United</w:t>
      </w:r>
      <w:r>
        <w:rPr>
          <w:spacing w:val="-3"/>
          <w:sz w:val="18"/>
          <w:vertAlign w:val="baseline"/>
        </w:rPr>
        <w:t> </w:t>
      </w:r>
      <w:r>
        <w:rPr>
          <w:sz w:val="18"/>
          <w:vertAlign w:val="baseline"/>
        </w:rPr>
        <w:t>States.”</w:t>
      </w:r>
      <w:r>
        <w:rPr>
          <w:spacing w:val="-4"/>
          <w:sz w:val="18"/>
          <w:vertAlign w:val="baseline"/>
        </w:rPr>
        <w:t> </w:t>
      </w:r>
      <w:r>
        <w:rPr>
          <w:sz w:val="18"/>
          <w:vertAlign w:val="baseline"/>
        </w:rPr>
        <w:t>Socius</w:t>
      </w:r>
      <w:r>
        <w:rPr>
          <w:spacing w:val="-3"/>
          <w:sz w:val="18"/>
          <w:vertAlign w:val="baseline"/>
        </w:rPr>
        <w:t> </w:t>
      </w:r>
      <w:r>
        <w:rPr>
          <w:sz w:val="18"/>
          <w:vertAlign w:val="baseline"/>
        </w:rPr>
        <w:t>6 (January 1, 2020): 2378023120954795. https://doi.org/10.1177/2378023120954795.</w:t>
      </w:r>
    </w:p>
    <w:p>
      <w:pPr>
        <w:spacing w:before="0"/>
        <w:ind w:left="464" w:right="249" w:firstLine="0"/>
        <w:jc w:val="left"/>
        <w:rPr>
          <w:sz w:val="18"/>
        </w:rPr>
      </w:pPr>
      <w:bookmarkStart w:name="_bookmark566" w:id="861"/>
      <w:bookmarkEnd w:id="861"/>
      <w:r>
        <w:rPr/>
      </w:r>
      <w:r>
        <w:rPr>
          <w:sz w:val="18"/>
          <w:vertAlign w:val="superscript"/>
        </w:rPr>
        <w:t>12</w:t>
      </w:r>
      <w:r>
        <w:rPr>
          <w:spacing w:val="-3"/>
          <w:sz w:val="18"/>
          <w:vertAlign w:val="baseline"/>
        </w:rPr>
        <w:t> </w:t>
      </w:r>
      <w:r>
        <w:rPr>
          <w:sz w:val="18"/>
          <w:vertAlign w:val="baseline"/>
        </w:rPr>
        <w:t>Drydakis,</w:t>
      </w:r>
      <w:r>
        <w:rPr>
          <w:spacing w:val="-4"/>
          <w:sz w:val="18"/>
          <w:vertAlign w:val="baseline"/>
        </w:rPr>
        <w:t> </w:t>
      </w:r>
      <w:r>
        <w:rPr>
          <w:sz w:val="18"/>
          <w:vertAlign w:val="baseline"/>
        </w:rPr>
        <w:t>Nick.</w:t>
      </w:r>
      <w:r>
        <w:rPr>
          <w:spacing w:val="-2"/>
          <w:sz w:val="18"/>
          <w:vertAlign w:val="baseline"/>
        </w:rPr>
        <w:t> </w:t>
      </w:r>
      <w:r>
        <w:rPr>
          <w:sz w:val="18"/>
          <w:vertAlign w:val="baseline"/>
        </w:rPr>
        <w:t>“Sexual</w:t>
      </w:r>
      <w:r>
        <w:rPr>
          <w:spacing w:val="-4"/>
          <w:sz w:val="18"/>
          <w:vertAlign w:val="baseline"/>
        </w:rPr>
        <w:t> </w:t>
      </w:r>
      <w:r>
        <w:rPr>
          <w:sz w:val="18"/>
          <w:vertAlign w:val="baseline"/>
        </w:rPr>
        <w:t>Orientation</w:t>
      </w:r>
      <w:r>
        <w:rPr>
          <w:spacing w:val="-3"/>
          <w:sz w:val="18"/>
          <w:vertAlign w:val="baseline"/>
        </w:rPr>
        <w:t> </w:t>
      </w:r>
      <w:r>
        <w:rPr>
          <w:sz w:val="18"/>
          <w:vertAlign w:val="baseline"/>
        </w:rPr>
        <w:t>and</w:t>
      </w:r>
      <w:r>
        <w:rPr>
          <w:spacing w:val="-3"/>
          <w:sz w:val="18"/>
          <w:vertAlign w:val="baseline"/>
        </w:rPr>
        <w:t> </w:t>
      </w:r>
      <w:r>
        <w:rPr>
          <w:sz w:val="18"/>
          <w:vertAlign w:val="baseline"/>
        </w:rPr>
        <w:t>Earnings:</w:t>
      </w:r>
      <w:r>
        <w:rPr>
          <w:spacing w:val="-3"/>
          <w:sz w:val="18"/>
          <w:vertAlign w:val="baseline"/>
        </w:rPr>
        <w:t> </w:t>
      </w:r>
      <w:r>
        <w:rPr>
          <w:sz w:val="18"/>
          <w:vertAlign w:val="baseline"/>
        </w:rPr>
        <w:t>A</w:t>
      </w:r>
      <w:r>
        <w:rPr>
          <w:spacing w:val="-3"/>
          <w:sz w:val="18"/>
          <w:vertAlign w:val="baseline"/>
        </w:rPr>
        <w:t> </w:t>
      </w:r>
      <w:r>
        <w:rPr>
          <w:sz w:val="18"/>
          <w:vertAlign w:val="baseline"/>
        </w:rPr>
        <w:t>Meta-Analysis</w:t>
      </w:r>
      <w:r>
        <w:rPr>
          <w:spacing w:val="-3"/>
          <w:sz w:val="18"/>
          <w:vertAlign w:val="baseline"/>
        </w:rPr>
        <w:t> </w:t>
      </w:r>
      <w:r>
        <w:rPr>
          <w:sz w:val="18"/>
          <w:vertAlign w:val="baseline"/>
        </w:rPr>
        <w:t>2012–2020.”</w:t>
      </w:r>
      <w:r>
        <w:rPr>
          <w:spacing w:val="-3"/>
          <w:sz w:val="18"/>
          <w:vertAlign w:val="baseline"/>
        </w:rPr>
        <w:t> </w:t>
      </w:r>
      <w:r>
        <w:rPr>
          <w:sz w:val="18"/>
          <w:vertAlign w:val="baseline"/>
        </w:rPr>
        <w:t>Journal</w:t>
      </w:r>
      <w:r>
        <w:rPr>
          <w:spacing w:val="-4"/>
          <w:sz w:val="18"/>
          <w:vertAlign w:val="baseline"/>
        </w:rPr>
        <w:t> </w:t>
      </w:r>
      <w:r>
        <w:rPr>
          <w:sz w:val="18"/>
          <w:vertAlign w:val="baseline"/>
        </w:rPr>
        <w:t>of</w:t>
      </w:r>
      <w:r>
        <w:rPr>
          <w:spacing w:val="-3"/>
          <w:sz w:val="18"/>
          <w:vertAlign w:val="baseline"/>
        </w:rPr>
        <w:t> </w:t>
      </w:r>
      <w:r>
        <w:rPr>
          <w:sz w:val="18"/>
          <w:vertAlign w:val="baseline"/>
        </w:rPr>
        <w:t>Population</w:t>
      </w:r>
      <w:r>
        <w:rPr>
          <w:spacing w:val="-3"/>
          <w:sz w:val="18"/>
          <w:vertAlign w:val="baseline"/>
        </w:rPr>
        <w:t> </w:t>
      </w:r>
      <w:r>
        <w:rPr>
          <w:sz w:val="18"/>
          <w:vertAlign w:val="baseline"/>
        </w:rPr>
        <w:t>Economics</w:t>
      </w:r>
      <w:r>
        <w:rPr>
          <w:spacing w:val="-3"/>
          <w:sz w:val="18"/>
          <w:vertAlign w:val="baseline"/>
        </w:rPr>
        <w:t> </w:t>
      </w:r>
      <w:r>
        <w:rPr>
          <w:sz w:val="18"/>
          <w:vertAlign w:val="baseline"/>
        </w:rPr>
        <w:t>35,</w:t>
      </w:r>
      <w:r>
        <w:rPr>
          <w:spacing w:val="-4"/>
          <w:sz w:val="18"/>
          <w:vertAlign w:val="baseline"/>
        </w:rPr>
        <w:t> </w:t>
      </w:r>
      <w:r>
        <w:rPr>
          <w:sz w:val="18"/>
          <w:vertAlign w:val="baseline"/>
        </w:rPr>
        <w:t>no.</w:t>
      </w:r>
      <w:r>
        <w:rPr>
          <w:spacing w:val="-3"/>
          <w:sz w:val="18"/>
          <w:vertAlign w:val="baseline"/>
        </w:rPr>
        <w:t> </w:t>
      </w:r>
      <w:r>
        <w:rPr>
          <w:sz w:val="18"/>
          <w:vertAlign w:val="baseline"/>
        </w:rPr>
        <w:t>2 (April 1, 2022): 409–40. https://doi.org/10.1007/s00148-021-00862-1.</w:t>
      </w:r>
    </w:p>
    <w:p>
      <w:pPr>
        <w:spacing w:before="0"/>
        <w:ind w:left="463" w:right="232" w:firstLine="0"/>
        <w:jc w:val="left"/>
        <w:rPr>
          <w:sz w:val="18"/>
        </w:rPr>
      </w:pPr>
      <w:bookmarkStart w:name="_bookmark567" w:id="862"/>
      <w:bookmarkEnd w:id="862"/>
      <w:r>
        <w:rPr/>
      </w:r>
      <w:r>
        <w:rPr>
          <w:sz w:val="18"/>
          <w:vertAlign w:val="superscript"/>
        </w:rPr>
        <w:t>13</w:t>
      </w:r>
      <w:r>
        <w:rPr>
          <w:spacing w:val="-2"/>
          <w:sz w:val="18"/>
          <w:vertAlign w:val="baseline"/>
        </w:rPr>
        <w:t> </w:t>
      </w:r>
      <w:r>
        <w:rPr>
          <w:sz w:val="18"/>
          <w:vertAlign w:val="baseline"/>
        </w:rPr>
        <w:t>Carpenter,</w:t>
      </w:r>
      <w:r>
        <w:rPr>
          <w:spacing w:val="-3"/>
          <w:sz w:val="18"/>
          <w:vertAlign w:val="baseline"/>
        </w:rPr>
        <w:t> </w:t>
      </w:r>
      <w:r>
        <w:rPr>
          <w:sz w:val="18"/>
          <w:vertAlign w:val="baseline"/>
        </w:rPr>
        <w:t>Christopher</w:t>
      </w:r>
      <w:r>
        <w:rPr>
          <w:spacing w:val="-3"/>
          <w:sz w:val="18"/>
          <w:vertAlign w:val="baseline"/>
        </w:rPr>
        <w:t> </w:t>
      </w:r>
      <w:r>
        <w:rPr>
          <w:sz w:val="18"/>
          <w:vertAlign w:val="baseline"/>
        </w:rPr>
        <w:t>S.,</w:t>
      </w:r>
      <w:r>
        <w:rPr>
          <w:spacing w:val="-3"/>
          <w:sz w:val="18"/>
          <w:vertAlign w:val="baseline"/>
        </w:rPr>
        <w:t> </w:t>
      </w:r>
      <w:r>
        <w:rPr>
          <w:sz w:val="18"/>
          <w:vertAlign w:val="baseline"/>
        </w:rPr>
        <w:t>Samuel</w:t>
      </w:r>
      <w:r>
        <w:rPr>
          <w:spacing w:val="-3"/>
          <w:sz w:val="18"/>
          <w:vertAlign w:val="baseline"/>
        </w:rPr>
        <w:t> </w:t>
      </w:r>
      <w:r>
        <w:rPr>
          <w:sz w:val="18"/>
          <w:vertAlign w:val="baseline"/>
        </w:rPr>
        <w:t>T.</w:t>
      </w:r>
      <w:r>
        <w:rPr>
          <w:spacing w:val="-2"/>
          <w:sz w:val="18"/>
          <w:vertAlign w:val="baseline"/>
        </w:rPr>
        <w:t> </w:t>
      </w:r>
      <w:r>
        <w:rPr>
          <w:sz w:val="18"/>
          <w:vertAlign w:val="baseline"/>
        </w:rPr>
        <w:t>Eppink,</w:t>
      </w:r>
      <w:r>
        <w:rPr>
          <w:spacing w:val="-3"/>
          <w:sz w:val="18"/>
          <w:vertAlign w:val="baseline"/>
        </w:rPr>
        <w:t> </w:t>
      </w:r>
      <w:r>
        <w:rPr>
          <w:sz w:val="18"/>
          <w:vertAlign w:val="baseline"/>
        </w:rPr>
        <w:t>and</w:t>
      </w:r>
      <w:r>
        <w:rPr>
          <w:spacing w:val="-2"/>
          <w:sz w:val="18"/>
          <w:vertAlign w:val="baseline"/>
        </w:rPr>
        <w:t> </w:t>
      </w:r>
      <w:r>
        <w:rPr>
          <w:sz w:val="18"/>
          <w:vertAlign w:val="baseline"/>
        </w:rPr>
        <w:t>Gilbert</w:t>
      </w:r>
      <w:r>
        <w:rPr>
          <w:spacing w:val="-3"/>
          <w:sz w:val="18"/>
          <w:vertAlign w:val="baseline"/>
        </w:rPr>
        <w:t> </w:t>
      </w:r>
      <w:r>
        <w:rPr>
          <w:sz w:val="18"/>
          <w:vertAlign w:val="baseline"/>
        </w:rPr>
        <w:t>Gonzales.</w:t>
      </w:r>
      <w:r>
        <w:rPr>
          <w:spacing w:val="-2"/>
          <w:sz w:val="18"/>
          <w:vertAlign w:val="baseline"/>
        </w:rPr>
        <w:t> </w:t>
      </w:r>
      <w:r>
        <w:rPr>
          <w:sz w:val="18"/>
          <w:vertAlign w:val="baseline"/>
        </w:rPr>
        <w:t>“Transgender</w:t>
      </w:r>
      <w:r>
        <w:rPr>
          <w:spacing w:val="-3"/>
          <w:sz w:val="18"/>
          <w:vertAlign w:val="baseline"/>
        </w:rPr>
        <w:t> </w:t>
      </w:r>
      <w:r>
        <w:rPr>
          <w:sz w:val="18"/>
          <w:vertAlign w:val="baseline"/>
        </w:rPr>
        <w:t>Status,</w:t>
      </w:r>
      <w:r>
        <w:rPr>
          <w:spacing w:val="-3"/>
          <w:sz w:val="18"/>
          <w:vertAlign w:val="baseline"/>
        </w:rPr>
        <w:t> </w:t>
      </w:r>
      <w:r>
        <w:rPr>
          <w:sz w:val="18"/>
          <w:vertAlign w:val="baseline"/>
        </w:rPr>
        <w:t>Gender</w:t>
      </w:r>
      <w:r>
        <w:rPr>
          <w:spacing w:val="-3"/>
          <w:sz w:val="18"/>
          <w:vertAlign w:val="baseline"/>
        </w:rPr>
        <w:t> </w:t>
      </w:r>
      <w:r>
        <w:rPr>
          <w:sz w:val="18"/>
          <w:vertAlign w:val="baseline"/>
        </w:rPr>
        <w:t>Identity,</w:t>
      </w:r>
      <w:r>
        <w:rPr>
          <w:spacing w:val="-3"/>
          <w:sz w:val="18"/>
          <w:vertAlign w:val="baseline"/>
        </w:rPr>
        <w:t> </w:t>
      </w:r>
      <w:r>
        <w:rPr>
          <w:sz w:val="18"/>
          <w:vertAlign w:val="baseline"/>
        </w:rPr>
        <w:t>and Socioeconomic Outcomes in the United States.” ILR Review 73, no. 3 (May 2020): 573–99. </w:t>
      </w:r>
      <w:r>
        <w:rPr>
          <w:spacing w:val="-2"/>
          <w:sz w:val="18"/>
          <w:vertAlign w:val="baseline"/>
        </w:rPr>
        <w:t>https://doi.org/10.1177/0019793920902776.</w:t>
      </w:r>
    </w:p>
    <w:p>
      <w:pPr>
        <w:spacing w:before="0"/>
        <w:ind w:left="464" w:right="249" w:firstLine="0"/>
        <w:jc w:val="left"/>
        <w:rPr>
          <w:sz w:val="18"/>
        </w:rPr>
      </w:pPr>
      <w:bookmarkStart w:name="_bookmark568" w:id="863"/>
      <w:bookmarkEnd w:id="863"/>
      <w:r>
        <w:rPr/>
      </w:r>
      <w:r>
        <w:rPr>
          <w:sz w:val="18"/>
          <w:vertAlign w:val="superscript"/>
        </w:rPr>
        <w:t>14</w:t>
      </w:r>
      <w:r>
        <w:rPr>
          <w:sz w:val="18"/>
          <w:vertAlign w:val="baseline"/>
        </w:rPr>
        <w:t> Gould, Elise. “Gender Wage Gap Persists in 2023: Women Are Paid Roughly 22% Less than Men on Average.” Economic Policy</w:t>
      </w:r>
      <w:r>
        <w:rPr>
          <w:spacing w:val="-8"/>
          <w:sz w:val="18"/>
          <w:vertAlign w:val="baseline"/>
        </w:rPr>
        <w:t> </w:t>
      </w:r>
      <w:r>
        <w:rPr>
          <w:sz w:val="18"/>
          <w:vertAlign w:val="baseline"/>
        </w:rPr>
        <w:t>Institute</w:t>
      </w:r>
      <w:r>
        <w:rPr>
          <w:spacing w:val="-8"/>
          <w:sz w:val="18"/>
          <w:vertAlign w:val="baseline"/>
        </w:rPr>
        <w:t> </w:t>
      </w:r>
      <w:r>
        <w:rPr>
          <w:sz w:val="18"/>
          <w:vertAlign w:val="baseline"/>
        </w:rPr>
        <w:t>(March</w:t>
      </w:r>
      <w:r>
        <w:rPr>
          <w:spacing w:val="-8"/>
          <w:sz w:val="18"/>
          <w:vertAlign w:val="baseline"/>
        </w:rPr>
        <w:t> </w:t>
      </w:r>
      <w:r>
        <w:rPr>
          <w:sz w:val="18"/>
          <w:vertAlign w:val="baseline"/>
        </w:rPr>
        <w:t>8,</w:t>
      </w:r>
      <w:r>
        <w:rPr>
          <w:spacing w:val="-9"/>
          <w:sz w:val="18"/>
          <w:vertAlign w:val="baseline"/>
        </w:rPr>
        <w:t> </w:t>
      </w:r>
      <w:r>
        <w:rPr>
          <w:sz w:val="18"/>
          <w:vertAlign w:val="baseline"/>
        </w:rPr>
        <w:t>2024).</w:t>
      </w:r>
      <w:r>
        <w:rPr>
          <w:spacing w:val="-8"/>
          <w:sz w:val="18"/>
          <w:vertAlign w:val="baseline"/>
        </w:rPr>
        <w:t> </w:t>
      </w:r>
      <w:r>
        <w:rPr>
          <w:sz w:val="18"/>
          <w:vertAlign w:val="baseline"/>
        </w:rPr>
        <w:t>https:</w:t>
      </w:r>
      <w:hyperlink r:id="rId659">
        <w:r>
          <w:rPr>
            <w:sz w:val="18"/>
            <w:vertAlign w:val="baseline"/>
          </w:rPr>
          <w:t>//www.epi.org/blog/gender-wage-gap-persists-in-2023-women-are-paid-roughly-22-</w:t>
        </w:r>
      </w:hyperlink>
      <w:r>
        <w:rPr>
          <w:sz w:val="18"/>
          <w:vertAlign w:val="baseline"/>
        </w:rPr>
        <w:t> </w:t>
      </w:r>
      <w:r>
        <w:rPr>
          <w:spacing w:val="-2"/>
          <w:sz w:val="18"/>
          <w:vertAlign w:val="baseline"/>
        </w:rPr>
        <w:t>less-than-men-on-average/.</w:t>
      </w:r>
    </w:p>
    <w:p>
      <w:pPr>
        <w:spacing w:before="0"/>
        <w:ind w:left="464" w:right="249" w:firstLine="0"/>
        <w:jc w:val="left"/>
        <w:rPr>
          <w:sz w:val="18"/>
        </w:rPr>
      </w:pPr>
      <w:bookmarkStart w:name="_bookmark569" w:id="864"/>
      <w:bookmarkEnd w:id="864"/>
      <w:r>
        <w:rPr/>
      </w:r>
      <w:r>
        <w:rPr>
          <w:sz w:val="18"/>
          <w:vertAlign w:val="superscript"/>
        </w:rPr>
        <w:t>15</w:t>
      </w:r>
      <w:r>
        <w:rPr>
          <w:sz w:val="18"/>
          <w:vertAlign w:val="baseline"/>
        </w:rPr>
        <w:t> Gould, Elise. “Gender Wage Gap Persists in 2023: Women Are Paid Roughly 22% Less than Men on Average.” Economic Policy</w:t>
      </w:r>
      <w:r>
        <w:rPr>
          <w:spacing w:val="-8"/>
          <w:sz w:val="18"/>
          <w:vertAlign w:val="baseline"/>
        </w:rPr>
        <w:t> </w:t>
      </w:r>
      <w:r>
        <w:rPr>
          <w:sz w:val="18"/>
          <w:vertAlign w:val="baseline"/>
        </w:rPr>
        <w:t>Institute</w:t>
      </w:r>
      <w:r>
        <w:rPr>
          <w:spacing w:val="-8"/>
          <w:sz w:val="18"/>
          <w:vertAlign w:val="baseline"/>
        </w:rPr>
        <w:t> </w:t>
      </w:r>
      <w:r>
        <w:rPr>
          <w:sz w:val="18"/>
          <w:vertAlign w:val="baseline"/>
        </w:rPr>
        <w:t>(March</w:t>
      </w:r>
      <w:r>
        <w:rPr>
          <w:spacing w:val="-8"/>
          <w:sz w:val="18"/>
          <w:vertAlign w:val="baseline"/>
        </w:rPr>
        <w:t> </w:t>
      </w:r>
      <w:r>
        <w:rPr>
          <w:sz w:val="18"/>
          <w:vertAlign w:val="baseline"/>
        </w:rPr>
        <w:t>8,</w:t>
      </w:r>
      <w:r>
        <w:rPr>
          <w:spacing w:val="-9"/>
          <w:sz w:val="18"/>
          <w:vertAlign w:val="baseline"/>
        </w:rPr>
        <w:t> </w:t>
      </w:r>
      <w:r>
        <w:rPr>
          <w:sz w:val="18"/>
          <w:vertAlign w:val="baseline"/>
        </w:rPr>
        <w:t>2024).</w:t>
      </w:r>
      <w:r>
        <w:rPr>
          <w:spacing w:val="-8"/>
          <w:sz w:val="18"/>
          <w:vertAlign w:val="baseline"/>
        </w:rPr>
        <w:t> </w:t>
      </w:r>
      <w:r>
        <w:rPr>
          <w:sz w:val="18"/>
          <w:vertAlign w:val="baseline"/>
        </w:rPr>
        <w:t>https:</w:t>
      </w:r>
      <w:hyperlink r:id="rId659">
        <w:r>
          <w:rPr>
            <w:sz w:val="18"/>
            <w:vertAlign w:val="baseline"/>
          </w:rPr>
          <w:t>//www.epi.org/blog/gender-wage-gap-persists-in-2023-women-are-paid-roughly-22-</w:t>
        </w:r>
      </w:hyperlink>
      <w:r>
        <w:rPr>
          <w:sz w:val="18"/>
          <w:vertAlign w:val="baseline"/>
        </w:rPr>
        <w:t> </w:t>
      </w:r>
      <w:r>
        <w:rPr>
          <w:spacing w:val="-2"/>
          <w:sz w:val="18"/>
          <w:vertAlign w:val="baseline"/>
        </w:rPr>
        <w:t>less-than-men-on-average/.</w:t>
      </w:r>
    </w:p>
    <w:p>
      <w:pPr>
        <w:spacing w:before="0"/>
        <w:ind w:left="464" w:right="0" w:firstLine="0"/>
        <w:jc w:val="left"/>
        <w:rPr>
          <w:sz w:val="18"/>
        </w:rPr>
      </w:pPr>
      <w:bookmarkStart w:name="_bookmark570" w:id="865"/>
      <w:bookmarkEnd w:id="865"/>
      <w:r>
        <w:rPr/>
      </w:r>
      <w:r>
        <w:rPr>
          <w:sz w:val="18"/>
          <w:vertAlign w:val="superscript"/>
        </w:rPr>
        <w:t>16</w:t>
      </w:r>
      <w:r>
        <w:rPr>
          <w:sz w:val="18"/>
          <w:vertAlign w:val="baseline"/>
        </w:rPr>
        <w:t> Bureau of Labor Statistics. “Economy at a Glance: Boston-Cambridge-Quincy, MA-NH.” (2024). </w:t>
      </w:r>
      <w:hyperlink r:id="rId660">
        <w:r>
          <w:rPr>
            <w:color w:val="0000FF"/>
            <w:sz w:val="18"/>
            <w:u w:val="single" w:color="0000FF"/>
            <w:vertAlign w:val="baseline"/>
          </w:rPr>
          <w:t>https://www.bls.gov/eag/eag.ma_boston_mn.htm</w:t>
        </w:r>
        <w:r>
          <w:rPr>
            <w:sz w:val="18"/>
            <w:u w:val="none"/>
            <w:vertAlign w:val="baseline"/>
          </w:rPr>
          <w:t>;</w:t>
        </w:r>
      </w:hyperlink>
      <w:r>
        <w:rPr>
          <w:spacing w:val="-4"/>
          <w:sz w:val="18"/>
          <w:u w:val="none"/>
          <w:vertAlign w:val="baseline"/>
        </w:rPr>
        <w:t> </w:t>
      </w:r>
      <w:r>
        <w:rPr>
          <w:sz w:val="18"/>
          <w:u w:val="none"/>
          <w:vertAlign w:val="baseline"/>
        </w:rPr>
        <w:t>Bureau</w:t>
      </w:r>
      <w:r>
        <w:rPr>
          <w:spacing w:val="-4"/>
          <w:sz w:val="18"/>
          <w:u w:val="none"/>
          <w:vertAlign w:val="baseline"/>
        </w:rPr>
        <w:t> </w:t>
      </w:r>
      <w:r>
        <w:rPr>
          <w:sz w:val="18"/>
          <w:u w:val="none"/>
          <w:vertAlign w:val="baseline"/>
        </w:rPr>
        <w:t>of</w:t>
      </w:r>
      <w:r>
        <w:rPr>
          <w:spacing w:val="-4"/>
          <w:sz w:val="18"/>
          <w:u w:val="none"/>
          <w:vertAlign w:val="baseline"/>
        </w:rPr>
        <w:t> </w:t>
      </w:r>
      <w:r>
        <w:rPr>
          <w:sz w:val="18"/>
          <w:u w:val="none"/>
          <w:vertAlign w:val="baseline"/>
        </w:rPr>
        <w:t>Labor</w:t>
      </w:r>
      <w:r>
        <w:rPr>
          <w:spacing w:val="-5"/>
          <w:sz w:val="18"/>
          <w:u w:val="none"/>
          <w:vertAlign w:val="baseline"/>
        </w:rPr>
        <w:t> </w:t>
      </w:r>
      <w:r>
        <w:rPr>
          <w:sz w:val="18"/>
          <w:u w:val="none"/>
          <w:vertAlign w:val="baseline"/>
        </w:rPr>
        <w:t>Statistics.</w:t>
      </w:r>
      <w:r>
        <w:rPr>
          <w:spacing w:val="-4"/>
          <w:sz w:val="18"/>
          <w:u w:val="none"/>
          <w:vertAlign w:val="baseline"/>
        </w:rPr>
        <w:t> </w:t>
      </w:r>
      <w:r>
        <w:rPr>
          <w:sz w:val="18"/>
          <w:u w:val="none"/>
          <w:vertAlign w:val="baseline"/>
        </w:rPr>
        <w:t>“Economy</w:t>
      </w:r>
      <w:r>
        <w:rPr>
          <w:spacing w:val="-4"/>
          <w:sz w:val="18"/>
          <w:u w:val="none"/>
          <w:vertAlign w:val="baseline"/>
        </w:rPr>
        <w:t> </w:t>
      </w:r>
      <w:r>
        <w:rPr>
          <w:sz w:val="18"/>
          <w:u w:val="none"/>
          <w:vertAlign w:val="baseline"/>
        </w:rPr>
        <w:t>at</w:t>
      </w:r>
      <w:r>
        <w:rPr>
          <w:spacing w:val="-5"/>
          <w:sz w:val="18"/>
          <w:u w:val="none"/>
          <w:vertAlign w:val="baseline"/>
        </w:rPr>
        <w:t> </w:t>
      </w:r>
      <w:r>
        <w:rPr>
          <w:sz w:val="18"/>
          <w:u w:val="none"/>
          <w:vertAlign w:val="baseline"/>
        </w:rPr>
        <w:t>a</w:t>
      </w:r>
      <w:r>
        <w:rPr>
          <w:spacing w:val="-4"/>
          <w:sz w:val="18"/>
          <w:u w:val="none"/>
          <w:vertAlign w:val="baseline"/>
        </w:rPr>
        <w:t> </w:t>
      </w:r>
      <w:r>
        <w:rPr>
          <w:sz w:val="18"/>
          <w:u w:val="none"/>
          <w:vertAlign w:val="baseline"/>
        </w:rPr>
        <w:t>Glance:</w:t>
      </w:r>
      <w:r>
        <w:rPr>
          <w:spacing w:val="-4"/>
          <w:sz w:val="18"/>
          <w:u w:val="none"/>
          <w:vertAlign w:val="baseline"/>
        </w:rPr>
        <w:t> </w:t>
      </w:r>
      <w:r>
        <w:rPr>
          <w:sz w:val="18"/>
          <w:u w:val="none"/>
          <w:vertAlign w:val="baseline"/>
        </w:rPr>
        <w:t>Springfield,</w:t>
      </w:r>
      <w:r>
        <w:rPr>
          <w:spacing w:val="-5"/>
          <w:sz w:val="18"/>
          <w:u w:val="none"/>
          <w:vertAlign w:val="baseline"/>
        </w:rPr>
        <w:t> </w:t>
      </w:r>
      <w:r>
        <w:rPr>
          <w:sz w:val="18"/>
          <w:u w:val="none"/>
          <w:vertAlign w:val="baseline"/>
        </w:rPr>
        <w:t>MA-CT.” (2024). https://</w:t>
      </w:r>
      <w:hyperlink r:id="rId661">
        <w:r>
          <w:rPr>
            <w:sz w:val="18"/>
            <w:u w:val="none"/>
            <w:vertAlign w:val="baseline"/>
          </w:rPr>
          <w:t>www.bls.gov/eag/eag.ma_springfield_mn.htm</w:t>
        </w:r>
      </w:hyperlink>
    </w:p>
    <w:p>
      <w:pPr>
        <w:spacing w:before="0"/>
        <w:ind w:left="464" w:right="353" w:hanging="1"/>
        <w:jc w:val="left"/>
        <w:rPr>
          <w:sz w:val="18"/>
        </w:rPr>
      </w:pPr>
      <w:bookmarkStart w:name="_bookmark571" w:id="866"/>
      <w:bookmarkEnd w:id="866"/>
      <w:r>
        <w:rPr/>
      </w:r>
      <w:r>
        <w:rPr>
          <w:sz w:val="18"/>
          <w:vertAlign w:val="superscript"/>
        </w:rPr>
        <w:t>17</w:t>
      </w:r>
      <w:r>
        <w:rPr>
          <w:spacing w:val="-3"/>
          <w:sz w:val="18"/>
          <w:vertAlign w:val="baseline"/>
        </w:rPr>
        <w:t> </w:t>
      </w:r>
      <w:r>
        <w:rPr>
          <w:sz w:val="18"/>
          <w:vertAlign w:val="baseline"/>
        </w:rPr>
        <w:t>Rembert,</w:t>
      </w:r>
      <w:r>
        <w:rPr>
          <w:spacing w:val="-4"/>
          <w:sz w:val="18"/>
          <w:vertAlign w:val="baseline"/>
        </w:rPr>
        <w:t> </w:t>
      </w:r>
      <w:r>
        <w:rPr>
          <w:sz w:val="18"/>
          <w:vertAlign w:val="baseline"/>
        </w:rPr>
        <w:t>Mark,</w:t>
      </w:r>
      <w:r>
        <w:rPr>
          <w:spacing w:val="-3"/>
          <w:sz w:val="18"/>
          <w:vertAlign w:val="baseline"/>
        </w:rPr>
        <w:t> </w:t>
      </w:r>
      <w:r>
        <w:rPr>
          <w:sz w:val="18"/>
          <w:vertAlign w:val="baseline"/>
        </w:rPr>
        <w:t>David</w:t>
      </w:r>
      <w:r>
        <w:rPr>
          <w:spacing w:val="-3"/>
          <w:sz w:val="18"/>
          <w:vertAlign w:val="baseline"/>
        </w:rPr>
        <w:t> </w:t>
      </w:r>
      <w:r>
        <w:rPr>
          <w:sz w:val="18"/>
          <w:vertAlign w:val="baseline"/>
        </w:rPr>
        <w:t>Jan,</w:t>
      </w:r>
      <w:r>
        <w:rPr>
          <w:spacing w:val="-4"/>
          <w:sz w:val="18"/>
          <w:vertAlign w:val="baseline"/>
        </w:rPr>
        <w:t> </w:t>
      </w:r>
      <w:r>
        <w:rPr>
          <w:sz w:val="18"/>
          <w:vertAlign w:val="baseline"/>
        </w:rPr>
        <w:t>and</w:t>
      </w:r>
      <w:r>
        <w:rPr>
          <w:spacing w:val="-4"/>
          <w:sz w:val="18"/>
          <w:vertAlign w:val="baseline"/>
        </w:rPr>
        <w:t> </w:t>
      </w:r>
      <w:r>
        <w:rPr>
          <w:sz w:val="18"/>
          <w:vertAlign w:val="baseline"/>
        </w:rPr>
        <w:t>Victor</w:t>
      </w:r>
      <w:r>
        <w:rPr>
          <w:spacing w:val="-4"/>
          <w:sz w:val="18"/>
          <w:vertAlign w:val="baseline"/>
        </w:rPr>
        <w:t> </w:t>
      </w:r>
      <w:r>
        <w:rPr>
          <w:sz w:val="18"/>
          <w:vertAlign w:val="baseline"/>
        </w:rPr>
        <w:t>Owusu.</w:t>
      </w:r>
      <w:r>
        <w:rPr>
          <w:spacing w:val="-3"/>
          <w:sz w:val="18"/>
          <w:vertAlign w:val="baseline"/>
        </w:rPr>
        <w:t> </w:t>
      </w:r>
      <w:r>
        <w:rPr>
          <w:sz w:val="18"/>
          <w:vertAlign w:val="baseline"/>
        </w:rPr>
        <w:t>“Annual</w:t>
      </w:r>
      <w:r>
        <w:rPr>
          <w:spacing w:val="-4"/>
          <w:sz w:val="18"/>
          <w:vertAlign w:val="baseline"/>
        </w:rPr>
        <w:t> </w:t>
      </w:r>
      <w:r>
        <w:rPr>
          <w:sz w:val="18"/>
          <w:vertAlign w:val="baseline"/>
        </w:rPr>
        <w:t>Economic</w:t>
      </w:r>
      <w:r>
        <w:rPr>
          <w:spacing w:val="-4"/>
          <w:sz w:val="18"/>
          <w:vertAlign w:val="baseline"/>
        </w:rPr>
        <w:t> </w:t>
      </w:r>
      <w:r>
        <w:rPr>
          <w:sz w:val="18"/>
          <w:vertAlign w:val="baseline"/>
        </w:rPr>
        <w:t>Analysis</w:t>
      </w:r>
      <w:r>
        <w:rPr>
          <w:spacing w:val="-3"/>
          <w:sz w:val="18"/>
          <w:vertAlign w:val="baseline"/>
        </w:rPr>
        <w:t> </w:t>
      </w:r>
      <w:r>
        <w:rPr>
          <w:sz w:val="18"/>
          <w:vertAlign w:val="baseline"/>
        </w:rPr>
        <w:t>Report.”</w:t>
      </w:r>
      <w:r>
        <w:rPr>
          <w:spacing w:val="-3"/>
          <w:sz w:val="18"/>
          <w:vertAlign w:val="baseline"/>
        </w:rPr>
        <w:t> </w:t>
      </w:r>
      <w:r>
        <w:rPr>
          <w:sz w:val="18"/>
          <w:vertAlign w:val="baseline"/>
        </w:rPr>
        <w:t>Oct.</w:t>
      </w:r>
      <w:r>
        <w:rPr>
          <w:spacing w:val="-3"/>
          <w:sz w:val="18"/>
          <w:vertAlign w:val="baseline"/>
        </w:rPr>
        <w:t> </w:t>
      </w:r>
      <w:r>
        <w:rPr>
          <w:sz w:val="18"/>
          <w:vertAlign w:val="baseline"/>
        </w:rPr>
        <w:t>2023,</w:t>
      </w:r>
      <w:r>
        <w:rPr>
          <w:spacing w:val="-4"/>
          <w:sz w:val="18"/>
          <w:vertAlign w:val="baseline"/>
        </w:rPr>
        <w:t> </w:t>
      </w:r>
      <w:hyperlink r:id="rId662">
        <w:r>
          <w:rPr>
            <w:sz w:val="18"/>
            <w:vertAlign w:val="baseline"/>
          </w:rPr>
          <w:t>www.mass.gov/doc/2022-</w:t>
        </w:r>
      </w:hyperlink>
      <w:r>
        <w:rPr>
          <w:sz w:val="18"/>
          <w:vertAlign w:val="baseline"/>
        </w:rPr>
        <w:t> </w:t>
      </w:r>
      <w:r>
        <w:rPr>
          <w:spacing w:val="-2"/>
          <w:sz w:val="18"/>
          <w:vertAlign w:val="baseline"/>
        </w:rPr>
        <w:t>annual-economic-analysis-report/download.</w:t>
      </w:r>
    </w:p>
    <w:p>
      <w:pPr>
        <w:spacing w:after="0"/>
        <w:jc w:val="left"/>
        <w:rPr>
          <w:sz w:val="18"/>
        </w:rPr>
        <w:sectPr>
          <w:pgSz w:w="12240" w:h="15840"/>
          <w:pgMar w:header="763" w:footer="1041" w:top="1380" w:bottom="1240" w:left="1120" w:right="1380"/>
        </w:sectPr>
      </w:pPr>
    </w:p>
    <w:p>
      <w:pPr>
        <w:pStyle w:val="BodyText"/>
        <w:spacing w:before="73"/>
        <w:rPr>
          <w:sz w:val="18"/>
        </w:rPr>
      </w:pPr>
    </w:p>
    <w:p>
      <w:pPr>
        <w:spacing w:before="0"/>
        <w:ind w:left="464" w:right="353" w:hanging="1"/>
        <w:jc w:val="left"/>
        <w:rPr>
          <w:sz w:val="18"/>
        </w:rPr>
      </w:pPr>
      <w:bookmarkStart w:name="_bookmark572" w:id="867"/>
      <w:bookmarkEnd w:id="867"/>
      <w:r>
        <w:rPr/>
      </w:r>
      <w:r>
        <w:rPr>
          <w:sz w:val="18"/>
          <w:vertAlign w:val="superscript"/>
        </w:rPr>
        <w:t>18</w:t>
      </w:r>
      <w:r>
        <w:rPr>
          <w:spacing w:val="-3"/>
          <w:sz w:val="18"/>
          <w:vertAlign w:val="baseline"/>
        </w:rPr>
        <w:t> </w:t>
      </w:r>
      <w:r>
        <w:rPr>
          <w:sz w:val="18"/>
          <w:vertAlign w:val="baseline"/>
        </w:rPr>
        <w:t>Rembert,</w:t>
      </w:r>
      <w:r>
        <w:rPr>
          <w:spacing w:val="-4"/>
          <w:sz w:val="18"/>
          <w:vertAlign w:val="baseline"/>
        </w:rPr>
        <w:t> </w:t>
      </w:r>
      <w:r>
        <w:rPr>
          <w:sz w:val="18"/>
          <w:vertAlign w:val="baseline"/>
        </w:rPr>
        <w:t>Mark,</w:t>
      </w:r>
      <w:r>
        <w:rPr>
          <w:spacing w:val="-3"/>
          <w:sz w:val="18"/>
          <w:vertAlign w:val="baseline"/>
        </w:rPr>
        <w:t> </w:t>
      </w:r>
      <w:r>
        <w:rPr>
          <w:sz w:val="18"/>
          <w:vertAlign w:val="baseline"/>
        </w:rPr>
        <w:t>David</w:t>
      </w:r>
      <w:r>
        <w:rPr>
          <w:spacing w:val="-3"/>
          <w:sz w:val="18"/>
          <w:vertAlign w:val="baseline"/>
        </w:rPr>
        <w:t> </w:t>
      </w:r>
      <w:r>
        <w:rPr>
          <w:sz w:val="18"/>
          <w:vertAlign w:val="baseline"/>
        </w:rPr>
        <w:t>Jan,</w:t>
      </w:r>
      <w:r>
        <w:rPr>
          <w:spacing w:val="-4"/>
          <w:sz w:val="18"/>
          <w:vertAlign w:val="baseline"/>
        </w:rPr>
        <w:t> </w:t>
      </w:r>
      <w:r>
        <w:rPr>
          <w:sz w:val="18"/>
          <w:vertAlign w:val="baseline"/>
        </w:rPr>
        <w:t>and</w:t>
      </w:r>
      <w:r>
        <w:rPr>
          <w:spacing w:val="-4"/>
          <w:sz w:val="18"/>
          <w:vertAlign w:val="baseline"/>
        </w:rPr>
        <w:t> </w:t>
      </w:r>
      <w:r>
        <w:rPr>
          <w:sz w:val="18"/>
          <w:vertAlign w:val="baseline"/>
        </w:rPr>
        <w:t>Victor</w:t>
      </w:r>
      <w:r>
        <w:rPr>
          <w:spacing w:val="-4"/>
          <w:sz w:val="18"/>
          <w:vertAlign w:val="baseline"/>
        </w:rPr>
        <w:t> </w:t>
      </w:r>
      <w:r>
        <w:rPr>
          <w:sz w:val="18"/>
          <w:vertAlign w:val="baseline"/>
        </w:rPr>
        <w:t>Owusu.</w:t>
      </w:r>
      <w:r>
        <w:rPr>
          <w:spacing w:val="-3"/>
          <w:sz w:val="18"/>
          <w:vertAlign w:val="baseline"/>
        </w:rPr>
        <w:t> </w:t>
      </w:r>
      <w:r>
        <w:rPr>
          <w:sz w:val="18"/>
          <w:vertAlign w:val="baseline"/>
        </w:rPr>
        <w:t>“Annual</w:t>
      </w:r>
      <w:r>
        <w:rPr>
          <w:spacing w:val="-4"/>
          <w:sz w:val="18"/>
          <w:vertAlign w:val="baseline"/>
        </w:rPr>
        <w:t> </w:t>
      </w:r>
      <w:r>
        <w:rPr>
          <w:sz w:val="18"/>
          <w:vertAlign w:val="baseline"/>
        </w:rPr>
        <w:t>Economic</w:t>
      </w:r>
      <w:r>
        <w:rPr>
          <w:spacing w:val="-4"/>
          <w:sz w:val="18"/>
          <w:vertAlign w:val="baseline"/>
        </w:rPr>
        <w:t> </w:t>
      </w:r>
      <w:r>
        <w:rPr>
          <w:sz w:val="18"/>
          <w:vertAlign w:val="baseline"/>
        </w:rPr>
        <w:t>Analysis</w:t>
      </w:r>
      <w:r>
        <w:rPr>
          <w:spacing w:val="-3"/>
          <w:sz w:val="18"/>
          <w:vertAlign w:val="baseline"/>
        </w:rPr>
        <w:t> </w:t>
      </w:r>
      <w:r>
        <w:rPr>
          <w:sz w:val="18"/>
          <w:vertAlign w:val="baseline"/>
        </w:rPr>
        <w:t>Report.”</w:t>
      </w:r>
      <w:r>
        <w:rPr>
          <w:spacing w:val="-3"/>
          <w:sz w:val="18"/>
          <w:vertAlign w:val="baseline"/>
        </w:rPr>
        <w:t> </w:t>
      </w:r>
      <w:r>
        <w:rPr>
          <w:sz w:val="18"/>
          <w:vertAlign w:val="baseline"/>
        </w:rPr>
        <w:t>Oct.</w:t>
      </w:r>
      <w:r>
        <w:rPr>
          <w:spacing w:val="-3"/>
          <w:sz w:val="18"/>
          <w:vertAlign w:val="baseline"/>
        </w:rPr>
        <w:t> </w:t>
      </w:r>
      <w:r>
        <w:rPr>
          <w:sz w:val="18"/>
          <w:vertAlign w:val="baseline"/>
        </w:rPr>
        <w:t>2023,</w:t>
      </w:r>
      <w:r>
        <w:rPr>
          <w:spacing w:val="-4"/>
          <w:sz w:val="18"/>
          <w:vertAlign w:val="baseline"/>
        </w:rPr>
        <w:t> </w:t>
      </w:r>
      <w:hyperlink r:id="rId662">
        <w:r>
          <w:rPr>
            <w:sz w:val="18"/>
            <w:vertAlign w:val="baseline"/>
          </w:rPr>
          <w:t>www.mass.gov/doc/2022-</w:t>
        </w:r>
      </w:hyperlink>
      <w:r>
        <w:rPr>
          <w:sz w:val="18"/>
          <w:vertAlign w:val="baseline"/>
        </w:rPr>
        <w:t> </w:t>
      </w:r>
      <w:r>
        <w:rPr>
          <w:spacing w:val="-2"/>
          <w:sz w:val="18"/>
          <w:vertAlign w:val="baseline"/>
        </w:rPr>
        <w:t>annual-economic-analysis-report/download.</w:t>
      </w:r>
    </w:p>
    <w:p>
      <w:pPr>
        <w:spacing w:before="0"/>
        <w:ind w:left="464" w:right="2019" w:firstLine="0"/>
        <w:jc w:val="left"/>
        <w:rPr>
          <w:sz w:val="18"/>
        </w:rPr>
      </w:pPr>
      <w:bookmarkStart w:name="_bookmark573" w:id="868"/>
      <w:bookmarkEnd w:id="868"/>
      <w:r>
        <w:rPr/>
      </w:r>
      <w:r>
        <w:rPr>
          <w:sz w:val="18"/>
          <w:vertAlign w:val="superscript"/>
        </w:rPr>
        <w:t>19</w:t>
      </w:r>
      <w:r>
        <w:rPr>
          <w:spacing w:val="-3"/>
          <w:sz w:val="18"/>
          <w:vertAlign w:val="baseline"/>
        </w:rPr>
        <w:t> </w:t>
      </w:r>
      <w:r>
        <w:rPr>
          <w:sz w:val="18"/>
          <w:vertAlign w:val="baseline"/>
        </w:rPr>
        <w:t>Osei,</w:t>
      </w:r>
      <w:r>
        <w:rPr>
          <w:spacing w:val="-4"/>
          <w:sz w:val="18"/>
          <w:vertAlign w:val="baseline"/>
        </w:rPr>
        <w:t> </w:t>
      </w:r>
      <w:r>
        <w:rPr>
          <w:sz w:val="18"/>
          <w:vertAlign w:val="baseline"/>
        </w:rPr>
        <w:t>Zipporah.</w:t>
      </w:r>
      <w:r>
        <w:rPr>
          <w:spacing w:val="-3"/>
          <w:sz w:val="18"/>
          <w:vertAlign w:val="baseline"/>
        </w:rPr>
        <w:t> </w:t>
      </w:r>
      <w:r>
        <w:rPr>
          <w:sz w:val="18"/>
          <w:vertAlign w:val="baseline"/>
        </w:rPr>
        <w:t>“Tell</w:t>
      </w:r>
      <w:r>
        <w:rPr>
          <w:spacing w:val="-4"/>
          <w:sz w:val="18"/>
          <w:vertAlign w:val="baseline"/>
        </w:rPr>
        <w:t> </w:t>
      </w:r>
      <w:r>
        <w:rPr>
          <w:sz w:val="18"/>
          <w:vertAlign w:val="baseline"/>
        </w:rPr>
        <w:t>Us:</w:t>
      </w:r>
      <w:r>
        <w:rPr>
          <w:spacing w:val="-3"/>
          <w:sz w:val="18"/>
          <w:vertAlign w:val="baseline"/>
        </w:rPr>
        <w:t> </w:t>
      </w:r>
      <w:r>
        <w:rPr>
          <w:sz w:val="18"/>
          <w:vertAlign w:val="baseline"/>
        </w:rPr>
        <w:t>Should</w:t>
      </w:r>
      <w:r>
        <w:rPr>
          <w:spacing w:val="-3"/>
          <w:sz w:val="18"/>
          <w:vertAlign w:val="baseline"/>
        </w:rPr>
        <w:t> </w:t>
      </w:r>
      <w:r>
        <w:rPr>
          <w:sz w:val="18"/>
          <w:vertAlign w:val="baseline"/>
        </w:rPr>
        <w:t>We</w:t>
      </w:r>
      <w:r>
        <w:rPr>
          <w:spacing w:val="-3"/>
          <w:sz w:val="18"/>
          <w:vertAlign w:val="baseline"/>
        </w:rPr>
        <w:t> </w:t>
      </w:r>
      <w:r>
        <w:rPr>
          <w:sz w:val="18"/>
          <w:vertAlign w:val="baseline"/>
        </w:rPr>
        <w:t>Say</w:t>
      </w:r>
      <w:r>
        <w:rPr>
          <w:spacing w:val="-3"/>
          <w:sz w:val="18"/>
          <w:vertAlign w:val="baseline"/>
        </w:rPr>
        <w:t> </w:t>
      </w:r>
      <w:r>
        <w:rPr>
          <w:sz w:val="18"/>
          <w:vertAlign w:val="baseline"/>
        </w:rPr>
        <w:t>Goodbye</w:t>
      </w:r>
      <w:r>
        <w:rPr>
          <w:spacing w:val="-3"/>
          <w:sz w:val="18"/>
          <w:vertAlign w:val="baseline"/>
        </w:rPr>
        <w:t> </w:t>
      </w:r>
      <w:r>
        <w:rPr>
          <w:sz w:val="18"/>
          <w:vertAlign w:val="baseline"/>
        </w:rPr>
        <w:t>to</w:t>
      </w:r>
      <w:r>
        <w:rPr>
          <w:spacing w:val="-3"/>
          <w:sz w:val="18"/>
          <w:vertAlign w:val="baseline"/>
        </w:rPr>
        <w:t> </w:t>
      </w:r>
      <w:r>
        <w:rPr>
          <w:sz w:val="18"/>
          <w:vertAlign w:val="baseline"/>
        </w:rPr>
        <w:t>Remote</w:t>
      </w:r>
      <w:r>
        <w:rPr>
          <w:spacing w:val="-3"/>
          <w:sz w:val="18"/>
          <w:vertAlign w:val="baseline"/>
        </w:rPr>
        <w:t> </w:t>
      </w:r>
      <w:r>
        <w:rPr>
          <w:sz w:val="18"/>
          <w:vertAlign w:val="baseline"/>
        </w:rPr>
        <w:t>Work?”</w:t>
      </w:r>
      <w:r>
        <w:rPr>
          <w:spacing w:val="-3"/>
          <w:sz w:val="18"/>
          <w:vertAlign w:val="baseline"/>
        </w:rPr>
        <w:t> </w:t>
      </w:r>
      <w:r>
        <w:rPr>
          <w:sz w:val="18"/>
          <w:vertAlign w:val="baseline"/>
        </w:rPr>
        <w:t>Boston.com</w:t>
      </w:r>
      <w:r>
        <w:rPr>
          <w:spacing w:val="-4"/>
          <w:sz w:val="18"/>
          <w:vertAlign w:val="baseline"/>
        </w:rPr>
        <w:t> </w:t>
      </w:r>
      <w:r>
        <w:rPr>
          <w:sz w:val="18"/>
          <w:vertAlign w:val="baseline"/>
        </w:rPr>
        <w:t>(Feb.</w:t>
      </w:r>
      <w:r>
        <w:rPr>
          <w:spacing w:val="-3"/>
          <w:sz w:val="18"/>
          <w:vertAlign w:val="baseline"/>
        </w:rPr>
        <w:t> </w:t>
      </w:r>
      <w:r>
        <w:rPr>
          <w:sz w:val="18"/>
          <w:vertAlign w:val="baseline"/>
        </w:rPr>
        <w:t>21,</w:t>
      </w:r>
      <w:r>
        <w:rPr>
          <w:spacing w:val="-4"/>
          <w:sz w:val="18"/>
          <w:vertAlign w:val="baseline"/>
        </w:rPr>
        <w:t> </w:t>
      </w:r>
      <w:r>
        <w:rPr>
          <w:sz w:val="18"/>
          <w:vertAlign w:val="baseline"/>
        </w:rPr>
        <w:t>2024). </w:t>
      </w:r>
      <w:bookmarkStart w:name="_bookmark574" w:id="869"/>
      <w:bookmarkEnd w:id="869"/>
      <w:r>
        <w:rPr>
          <w:spacing w:val="-2"/>
          <w:sz w:val="18"/>
          <w:vertAlign w:val="baseline"/>
        </w:rPr>
        <w:t>h</w:t>
      </w:r>
      <w:r>
        <w:rPr>
          <w:spacing w:val="-2"/>
          <w:sz w:val="18"/>
          <w:vertAlign w:val="baseline"/>
        </w:rPr>
        <w:t>ttps:</w:t>
      </w:r>
      <w:hyperlink r:id="rId663">
        <w:r>
          <w:rPr>
            <w:spacing w:val="-2"/>
            <w:sz w:val="18"/>
            <w:vertAlign w:val="baseline"/>
          </w:rPr>
          <w:t>//www.boston.com/community/tell-us/should-we-say-goodbye-to-remote-work/.</w:t>
        </w:r>
      </w:hyperlink>
    </w:p>
    <w:p>
      <w:pPr>
        <w:spacing w:before="1"/>
        <w:ind w:left="464" w:right="393" w:hanging="1"/>
        <w:jc w:val="left"/>
        <w:rPr>
          <w:sz w:val="18"/>
        </w:rPr>
      </w:pPr>
      <w:r>
        <w:rPr>
          <w:sz w:val="18"/>
          <w:vertAlign w:val="superscript"/>
        </w:rPr>
        <w:t>20</w:t>
      </w:r>
      <w:r>
        <w:rPr>
          <w:spacing w:val="-2"/>
          <w:sz w:val="18"/>
          <w:vertAlign w:val="baseline"/>
        </w:rPr>
        <w:t> </w:t>
      </w:r>
      <w:r>
        <w:rPr>
          <w:sz w:val="18"/>
          <w:vertAlign w:val="baseline"/>
        </w:rPr>
        <w:t>Nanos,</w:t>
      </w:r>
      <w:r>
        <w:rPr>
          <w:spacing w:val="-3"/>
          <w:sz w:val="18"/>
          <w:vertAlign w:val="baseline"/>
        </w:rPr>
        <w:t> </w:t>
      </w:r>
      <w:r>
        <w:rPr>
          <w:sz w:val="18"/>
          <w:vertAlign w:val="baseline"/>
        </w:rPr>
        <w:t>Janelle.</w:t>
      </w:r>
      <w:r>
        <w:rPr>
          <w:spacing w:val="-3"/>
          <w:sz w:val="18"/>
          <w:vertAlign w:val="baseline"/>
        </w:rPr>
        <w:t> </w:t>
      </w:r>
      <w:r>
        <w:rPr>
          <w:sz w:val="18"/>
          <w:vertAlign w:val="baseline"/>
        </w:rPr>
        <w:t>“MBTA</w:t>
      </w:r>
      <w:r>
        <w:rPr>
          <w:spacing w:val="-2"/>
          <w:sz w:val="18"/>
          <w:vertAlign w:val="baseline"/>
        </w:rPr>
        <w:t> </w:t>
      </w:r>
      <w:r>
        <w:rPr>
          <w:sz w:val="18"/>
          <w:vertAlign w:val="baseline"/>
        </w:rPr>
        <w:t>Riders</w:t>
      </w:r>
      <w:r>
        <w:rPr>
          <w:spacing w:val="-2"/>
          <w:sz w:val="18"/>
          <w:vertAlign w:val="baseline"/>
        </w:rPr>
        <w:t> </w:t>
      </w:r>
      <w:r>
        <w:rPr>
          <w:sz w:val="18"/>
          <w:vertAlign w:val="baseline"/>
        </w:rPr>
        <w:t>Are</w:t>
      </w:r>
      <w:r>
        <w:rPr>
          <w:spacing w:val="-2"/>
          <w:sz w:val="18"/>
          <w:vertAlign w:val="baseline"/>
        </w:rPr>
        <w:t> </w:t>
      </w:r>
      <w:r>
        <w:rPr>
          <w:sz w:val="18"/>
          <w:vertAlign w:val="baseline"/>
        </w:rPr>
        <w:t>Tired,</w:t>
      </w:r>
      <w:r>
        <w:rPr>
          <w:spacing w:val="-3"/>
          <w:sz w:val="18"/>
          <w:vertAlign w:val="baseline"/>
        </w:rPr>
        <w:t> </w:t>
      </w:r>
      <w:r>
        <w:rPr>
          <w:sz w:val="18"/>
          <w:vertAlign w:val="baseline"/>
        </w:rPr>
        <w:t>Fed</w:t>
      </w:r>
      <w:r>
        <w:rPr>
          <w:spacing w:val="-2"/>
          <w:sz w:val="18"/>
          <w:vertAlign w:val="baseline"/>
        </w:rPr>
        <w:t> </w:t>
      </w:r>
      <w:r>
        <w:rPr>
          <w:sz w:val="18"/>
          <w:vertAlign w:val="baseline"/>
        </w:rPr>
        <w:t>up</w:t>
      </w:r>
      <w:r>
        <w:rPr>
          <w:spacing w:val="-2"/>
          <w:sz w:val="18"/>
          <w:vertAlign w:val="baseline"/>
        </w:rPr>
        <w:t> </w:t>
      </w:r>
      <w:r>
        <w:rPr>
          <w:sz w:val="18"/>
          <w:vertAlign w:val="baseline"/>
        </w:rPr>
        <w:t>-</w:t>
      </w:r>
      <w:r>
        <w:rPr>
          <w:spacing w:val="-4"/>
          <w:sz w:val="18"/>
          <w:vertAlign w:val="baseline"/>
        </w:rPr>
        <w:t> </w:t>
      </w:r>
      <w:r>
        <w:rPr>
          <w:sz w:val="18"/>
          <w:vertAlign w:val="baseline"/>
        </w:rPr>
        <w:t>and</w:t>
      </w:r>
      <w:r>
        <w:rPr>
          <w:spacing w:val="-2"/>
          <w:sz w:val="18"/>
          <w:vertAlign w:val="baseline"/>
        </w:rPr>
        <w:t> </w:t>
      </w:r>
      <w:r>
        <w:rPr>
          <w:sz w:val="18"/>
          <w:vertAlign w:val="baseline"/>
        </w:rPr>
        <w:t>Essential.</w:t>
      </w:r>
      <w:r>
        <w:rPr>
          <w:spacing w:val="-2"/>
          <w:sz w:val="18"/>
          <w:vertAlign w:val="baseline"/>
        </w:rPr>
        <w:t> </w:t>
      </w:r>
      <w:r>
        <w:rPr>
          <w:sz w:val="18"/>
          <w:vertAlign w:val="baseline"/>
        </w:rPr>
        <w:t>They’re</w:t>
      </w:r>
      <w:r>
        <w:rPr>
          <w:spacing w:val="-2"/>
          <w:sz w:val="18"/>
          <w:vertAlign w:val="baseline"/>
        </w:rPr>
        <w:t> </w:t>
      </w:r>
      <w:r>
        <w:rPr>
          <w:sz w:val="18"/>
          <w:vertAlign w:val="baseline"/>
        </w:rPr>
        <w:t>Our</w:t>
      </w:r>
      <w:r>
        <w:rPr>
          <w:spacing w:val="-3"/>
          <w:sz w:val="18"/>
          <w:vertAlign w:val="baseline"/>
        </w:rPr>
        <w:t> </w:t>
      </w:r>
      <w:r>
        <w:rPr>
          <w:sz w:val="18"/>
          <w:vertAlign w:val="baseline"/>
        </w:rPr>
        <w:t>Bostonians</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Year.”</w:t>
      </w:r>
      <w:r>
        <w:rPr>
          <w:spacing w:val="-2"/>
          <w:sz w:val="18"/>
          <w:vertAlign w:val="baseline"/>
        </w:rPr>
        <w:t> </w:t>
      </w:r>
      <w:r>
        <w:rPr>
          <w:sz w:val="18"/>
          <w:vertAlign w:val="baseline"/>
        </w:rPr>
        <w:t>BostonGlobe.Com, The Boston Globe (December 20, 2023). </w:t>
      </w:r>
      <w:hyperlink r:id="rId664">
        <w:r>
          <w:rPr>
            <w:sz w:val="18"/>
            <w:vertAlign w:val="baseline"/>
          </w:rPr>
          <w:t>www.bostonglobe.com/2023/12/12/magazine/bostonians-of-the-year-the-</w:t>
        </w:r>
      </w:hyperlink>
      <w:r>
        <w:rPr>
          <w:sz w:val="18"/>
          <w:vertAlign w:val="baseline"/>
        </w:rPr>
        <w:t> </w:t>
      </w:r>
      <w:r>
        <w:rPr>
          <w:spacing w:val="-2"/>
          <w:sz w:val="18"/>
          <w:vertAlign w:val="baseline"/>
        </w:rPr>
        <w:t>beleaguered-essential-mbta-commuter/</w:t>
      </w:r>
    </w:p>
    <w:p>
      <w:pPr>
        <w:spacing w:before="0"/>
        <w:ind w:left="464" w:right="232" w:firstLine="0"/>
        <w:jc w:val="left"/>
        <w:rPr>
          <w:sz w:val="18"/>
        </w:rPr>
      </w:pPr>
      <w:bookmarkStart w:name="_bookmark575" w:id="870"/>
      <w:bookmarkEnd w:id="870"/>
      <w:r>
        <w:rPr/>
      </w:r>
      <w:r>
        <w:rPr>
          <w:sz w:val="18"/>
          <w:vertAlign w:val="superscript"/>
        </w:rPr>
        <w:t>21</w:t>
      </w:r>
      <w:r>
        <w:rPr>
          <w:spacing w:val="-2"/>
          <w:sz w:val="18"/>
          <w:vertAlign w:val="baseline"/>
        </w:rPr>
        <w:t> </w:t>
      </w:r>
      <w:r>
        <w:rPr>
          <w:sz w:val="18"/>
          <w:vertAlign w:val="baseline"/>
        </w:rPr>
        <w:t>Dolven,</w:t>
      </w:r>
      <w:r>
        <w:rPr>
          <w:spacing w:val="-3"/>
          <w:sz w:val="18"/>
          <w:vertAlign w:val="baseline"/>
        </w:rPr>
        <w:t> </w:t>
      </w:r>
      <w:r>
        <w:rPr>
          <w:sz w:val="18"/>
          <w:vertAlign w:val="baseline"/>
        </w:rPr>
        <w:t>Taylor.</w:t>
      </w:r>
      <w:r>
        <w:rPr>
          <w:spacing w:val="-1"/>
          <w:sz w:val="18"/>
          <w:vertAlign w:val="baseline"/>
        </w:rPr>
        <w:t> </w:t>
      </w:r>
      <w:r>
        <w:rPr>
          <w:sz w:val="18"/>
          <w:vertAlign w:val="baseline"/>
        </w:rPr>
        <w:t>“In</w:t>
      </w:r>
      <w:r>
        <w:rPr>
          <w:spacing w:val="-2"/>
          <w:sz w:val="18"/>
          <w:vertAlign w:val="baseline"/>
        </w:rPr>
        <w:t> </w:t>
      </w:r>
      <w:r>
        <w:rPr>
          <w:sz w:val="18"/>
          <w:vertAlign w:val="baseline"/>
        </w:rPr>
        <w:t>Boston,</w:t>
      </w:r>
      <w:r>
        <w:rPr>
          <w:spacing w:val="-3"/>
          <w:sz w:val="18"/>
          <w:vertAlign w:val="baseline"/>
        </w:rPr>
        <w:t> </w:t>
      </w:r>
      <w:r>
        <w:rPr>
          <w:sz w:val="18"/>
          <w:vertAlign w:val="baseline"/>
        </w:rPr>
        <w:t>Parked</w:t>
      </w:r>
      <w:r>
        <w:rPr>
          <w:spacing w:val="-2"/>
          <w:sz w:val="18"/>
          <w:vertAlign w:val="baseline"/>
        </w:rPr>
        <w:t> </w:t>
      </w:r>
      <w:r>
        <w:rPr>
          <w:sz w:val="18"/>
          <w:vertAlign w:val="baseline"/>
        </w:rPr>
        <w:t>Cars</w:t>
      </w:r>
      <w:r>
        <w:rPr>
          <w:spacing w:val="-2"/>
          <w:sz w:val="18"/>
          <w:vertAlign w:val="baseline"/>
        </w:rPr>
        <w:t> </w:t>
      </w:r>
      <w:r>
        <w:rPr>
          <w:sz w:val="18"/>
          <w:vertAlign w:val="baseline"/>
        </w:rPr>
        <w:t>Regularly</w:t>
      </w:r>
      <w:r>
        <w:rPr>
          <w:spacing w:val="-2"/>
          <w:sz w:val="18"/>
          <w:vertAlign w:val="baseline"/>
        </w:rPr>
        <w:t> </w:t>
      </w:r>
      <w:r>
        <w:rPr>
          <w:sz w:val="18"/>
          <w:vertAlign w:val="baseline"/>
        </w:rPr>
        <w:t>Block</w:t>
      </w:r>
      <w:r>
        <w:rPr>
          <w:spacing w:val="-3"/>
          <w:sz w:val="18"/>
          <w:vertAlign w:val="baseline"/>
        </w:rPr>
        <w:t> </w:t>
      </w:r>
      <w:r>
        <w:rPr>
          <w:sz w:val="18"/>
          <w:vertAlign w:val="baseline"/>
        </w:rPr>
        <w:t>Buses.</w:t>
      </w:r>
      <w:r>
        <w:rPr>
          <w:spacing w:val="-2"/>
          <w:sz w:val="18"/>
          <w:vertAlign w:val="baseline"/>
        </w:rPr>
        <w:t> </w:t>
      </w:r>
      <w:r>
        <w:rPr>
          <w:sz w:val="18"/>
          <w:vertAlign w:val="baseline"/>
        </w:rPr>
        <w:t>Other</w:t>
      </w:r>
      <w:r>
        <w:rPr>
          <w:spacing w:val="-3"/>
          <w:sz w:val="18"/>
          <w:vertAlign w:val="baseline"/>
        </w:rPr>
        <w:t> </w:t>
      </w:r>
      <w:r>
        <w:rPr>
          <w:sz w:val="18"/>
          <w:vertAlign w:val="baseline"/>
        </w:rPr>
        <w:t>Cities</w:t>
      </w:r>
      <w:r>
        <w:rPr>
          <w:spacing w:val="-2"/>
          <w:sz w:val="18"/>
          <w:vertAlign w:val="baseline"/>
        </w:rPr>
        <w:t> </w:t>
      </w:r>
      <w:r>
        <w:rPr>
          <w:sz w:val="18"/>
          <w:vertAlign w:val="baseline"/>
        </w:rPr>
        <w:t>Show:</w:t>
      </w:r>
      <w:r>
        <w:rPr>
          <w:spacing w:val="-2"/>
          <w:sz w:val="18"/>
          <w:vertAlign w:val="baseline"/>
        </w:rPr>
        <w:t> </w:t>
      </w:r>
      <w:r>
        <w:rPr>
          <w:sz w:val="18"/>
          <w:vertAlign w:val="baseline"/>
        </w:rPr>
        <w:t>It</w:t>
      </w:r>
      <w:r>
        <w:rPr>
          <w:spacing w:val="-3"/>
          <w:sz w:val="18"/>
          <w:vertAlign w:val="baseline"/>
        </w:rPr>
        <w:t> </w:t>
      </w:r>
      <w:r>
        <w:rPr>
          <w:sz w:val="18"/>
          <w:vertAlign w:val="baseline"/>
        </w:rPr>
        <w:t>Doesn’t</w:t>
      </w:r>
      <w:r>
        <w:rPr>
          <w:spacing w:val="-3"/>
          <w:sz w:val="18"/>
          <w:vertAlign w:val="baseline"/>
        </w:rPr>
        <w:t> </w:t>
      </w:r>
      <w:r>
        <w:rPr>
          <w:sz w:val="18"/>
          <w:vertAlign w:val="baseline"/>
        </w:rPr>
        <w:t>Have</w:t>
      </w:r>
      <w:r>
        <w:rPr>
          <w:spacing w:val="-2"/>
          <w:sz w:val="18"/>
          <w:vertAlign w:val="baseline"/>
        </w:rPr>
        <w:t> </w:t>
      </w:r>
      <w:r>
        <w:rPr>
          <w:sz w:val="18"/>
          <w:vertAlign w:val="baseline"/>
        </w:rPr>
        <w:t>to</w:t>
      </w:r>
      <w:r>
        <w:rPr>
          <w:spacing w:val="-2"/>
          <w:sz w:val="18"/>
          <w:vertAlign w:val="baseline"/>
        </w:rPr>
        <w:t> </w:t>
      </w:r>
      <w:r>
        <w:rPr>
          <w:sz w:val="18"/>
          <w:vertAlign w:val="baseline"/>
        </w:rPr>
        <w:t>Be</w:t>
      </w:r>
      <w:r>
        <w:rPr>
          <w:spacing w:val="-2"/>
          <w:sz w:val="18"/>
          <w:vertAlign w:val="baseline"/>
        </w:rPr>
        <w:t> </w:t>
      </w:r>
      <w:r>
        <w:rPr>
          <w:sz w:val="18"/>
          <w:vertAlign w:val="baseline"/>
        </w:rPr>
        <w:t>This</w:t>
      </w:r>
      <w:r>
        <w:rPr>
          <w:spacing w:val="-2"/>
          <w:sz w:val="18"/>
          <w:vertAlign w:val="baseline"/>
        </w:rPr>
        <w:t> </w:t>
      </w:r>
      <w:r>
        <w:rPr>
          <w:sz w:val="18"/>
          <w:vertAlign w:val="baseline"/>
        </w:rPr>
        <w:t>Way.”</w:t>
      </w:r>
      <w:r>
        <w:rPr>
          <w:spacing w:val="-2"/>
          <w:sz w:val="18"/>
          <w:vertAlign w:val="baseline"/>
        </w:rPr>
        <w:t> </w:t>
      </w:r>
      <w:r>
        <w:rPr>
          <w:sz w:val="18"/>
          <w:vertAlign w:val="baseline"/>
        </w:rPr>
        <w:t>The Boston Globe (March 26, 2024). </w:t>
      </w:r>
      <w:hyperlink r:id="rId665">
        <w:r>
          <w:rPr>
            <w:sz w:val="18"/>
            <w:vertAlign w:val="baseline"/>
          </w:rPr>
          <w:t>www.bostonglobe.com/2024/03/26/metro/cameras-on-buses-to-unblock-lanes/</w:t>
        </w:r>
      </w:hyperlink>
    </w:p>
    <w:p>
      <w:pPr>
        <w:spacing w:before="0"/>
        <w:ind w:left="463" w:right="478" w:firstLine="0"/>
        <w:jc w:val="left"/>
        <w:rPr>
          <w:sz w:val="18"/>
        </w:rPr>
      </w:pPr>
      <w:bookmarkStart w:name="_bookmark576" w:id="871"/>
      <w:bookmarkEnd w:id="871"/>
      <w:r>
        <w:rPr/>
      </w:r>
      <w:r>
        <w:rPr>
          <w:sz w:val="18"/>
          <w:vertAlign w:val="superscript"/>
        </w:rPr>
        <w:t>22</w:t>
      </w:r>
      <w:r>
        <w:rPr>
          <w:sz w:val="18"/>
          <w:vertAlign w:val="baseline"/>
        </w:rPr>
        <w:t> Miller, Kara. “‘You Can’t Cure Cancer When You’re Sitting in Traffic’: The MBTA Poses a Problem for Mass. Competitiveness.”</w:t>
      </w:r>
      <w:r>
        <w:rPr>
          <w:spacing w:val="-6"/>
          <w:sz w:val="18"/>
          <w:vertAlign w:val="baseline"/>
        </w:rPr>
        <w:t> </w:t>
      </w:r>
      <w:r>
        <w:rPr>
          <w:sz w:val="18"/>
          <w:vertAlign w:val="baseline"/>
        </w:rPr>
        <w:t>The</w:t>
      </w:r>
      <w:r>
        <w:rPr>
          <w:spacing w:val="-6"/>
          <w:sz w:val="18"/>
          <w:vertAlign w:val="baseline"/>
        </w:rPr>
        <w:t> </w:t>
      </w:r>
      <w:r>
        <w:rPr>
          <w:sz w:val="18"/>
          <w:vertAlign w:val="baseline"/>
        </w:rPr>
        <w:t>Boston</w:t>
      </w:r>
      <w:r>
        <w:rPr>
          <w:spacing w:val="-6"/>
          <w:sz w:val="18"/>
          <w:vertAlign w:val="baseline"/>
        </w:rPr>
        <w:t> </w:t>
      </w:r>
      <w:r>
        <w:rPr>
          <w:sz w:val="18"/>
          <w:vertAlign w:val="baseline"/>
        </w:rPr>
        <w:t>Globe</w:t>
      </w:r>
      <w:r>
        <w:rPr>
          <w:spacing w:val="-6"/>
          <w:sz w:val="18"/>
          <w:vertAlign w:val="baseline"/>
        </w:rPr>
        <w:t> </w:t>
      </w:r>
      <w:r>
        <w:rPr>
          <w:sz w:val="18"/>
          <w:vertAlign w:val="baseline"/>
        </w:rPr>
        <w:t>(November</w:t>
      </w:r>
      <w:r>
        <w:rPr>
          <w:spacing w:val="-6"/>
          <w:sz w:val="18"/>
          <w:vertAlign w:val="baseline"/>
        </w:rPr>
        <w:t> </w:t>
      </w:r>
      <w:r>
        <w:rPr>
          <w:sz w:val="18"/>
          <w:vertAlign w:val="baseline"/>
        </w:rPr>
        <w:t>12,</w:t>
      </w:r>
      <w:r>
        <w:rPr>
          <w:spacing w:val="-6"/>
          <w:sz w:val="18"/>
          <w:vertAlign w:val="baseline"/>
        </w:rPr>
        <w:t> </w:t>
      </w:r>
      <w:r>
        <w:rPr>
          <w:sz w:val="18"/>
          <w:vertAlign w:val="baseline"/>
        </w:rPr>
        <w:t>2023).</w:t>
      </w:r>
      <w:r>
        <w:rPr>
          <w:spacing w:val="-6"/>
          <w:sz w:val="18"/>
          <w:vertAlign w:val="baseline"/>
        </w:rPr>
        <w:t> </w:t>
      </w:r>
      <w:hyperlink r:id="rId666">
        <w:r>
          <w:rPr>
            <w:sz w:val="18"/>
            <w:vertAlign w:val="baseline"/>
          </w:rPr>
          <w:t>www.bostonglobe.com/2023/11/10/business/mbta-kendall-</w:t>
        </w:r>
      </w:hyperlink>
      <w:r>
        <w:rPr>
          <w:sz w:val="18"/>
          <w:vertAlign w:val="baseline"/>
        </w:rPr>
        <w:t> </w:t>
      </w:r>
      <w:r>
        <w:rPr>
          <w:spacing w:val="-2"/>
          <w:sz w:val="18"/>
          <w:vertAlign w:val="baseline"/>
        </w:rPr>
        <w:t>square-red-line/</w:t>
      </w:r>
    </w:p>
    <w:p>
      <w:pPr>
        <w:spacing w:before="0"/>
        <w:ind w:left="464" w:right="249" w:firstLine="0"/>
        <w:jc w:val="left"/>
        <w:rPr>
          <w:sz w:val="18"/>
        </w:rPr>
      </w:pPr>
      <w:bookmarkStart w:name="_bookmark577" w:id="872"/>
      <w:bookmarkEnd w:id="872"/>
      <w:r>
        <w:rPr/>
      </w:r>
      <w:r>
        <w:rPr>
          <w:sz w:val="18"/>
          <w:vertAlign w:val="superscript"/>
        </w:rPr>
        <w:t>23</w:t>
      </w:r>
      <w:r>
        <w:rPr>
          <w:spacing w:val="-2"/>
          <w:sz w:val="18"/>
          <w:vertAlign w:val="baseline"/>
        </w:rPr>
        <w:t> </w:t>
      </w:r>
      <w:r>
        <w:rPr>
          <w:sz w:val="18"/>
          <w:vertAlign w:val="baseline"/>
        </w:rPr>
        <w:t>Dolven,</w:t>
      </w:r>
      <w:r>
        <w:rPr>
          <w:spacing w:val="-3"/>
          <w:sz w:val="18"/>
          <w:vertAlign w:val="baseline"/>
        </w:rPr>
        <w:t> </w:t>
      </w:r>
      <w:r>
        <w:rPr>
          <w:sz w:val="18"/>
          <w:vertAlign w:val="baseline"/>
        </w:rPr>
        <w:t>Taylor,</w:t>
      </w:r>
      <w:r>
        <w:rPr>
          <w:spacing w:val="-2"/>
          <w:sz w:val="18"/>
          <w:vertAlign w:val="baseline"/>
        </w:rPr>
        <w:t> </w:t>
      </w:r>
      <w:r>
        <w:rPr>
          <w:sz w:val="18"/>
          <w:vertAlign w:val="baseline"/>
        </w:rPr>
        <w:t>and</w:t>
      </w:r>
      <w:r>
        <w:rPr>
          <w:spacing w:val="-2"/>
          <w:sz w:val="18"/>
          <w:vertAlign w:val="baseline"/>
        </w:rPr>
        <w:t> </w:t>
      </w:r>
      <w:r>
        <w:rPr>
          <w:sz w:val="18"/>
          <w:vertAlign w:val="baseline"/>
        </w:rPr>
        <w:t>Laura</w:t>
      </w:r>
      <w:r>
        <w:rPr>
          <w:spacing w:val="-2"/>
          <w:sz w:val="18"/>
          <w:vertAlign w:val="baseline"/>
        </w:rPr>
        <w:t> </w:t>
      </w:r>
      <w:r>
        <w:rPr>
          <w:sz w:val="18"/>
          <w:vertAlign w:val="baseline"/>
        </w:rPr>
        <w:t>Crimaldi.</w:t>
      </w:r>
      <w:r>
        <w:rPr>
          <w:spacing w:val="-2"/>
          <w:sz w:val="18"/>
          <w:vertAlign w:val="baseline"/>
        </w:rPr>
        <w:t> </w:t>
      </w:r>
      <w:r>
        <w:rPr>
          <w:sz w:val="18"/>
          <w:vertAlign w:val="baseline"/>
        </w:rPr>
        <w:t>“MBTA</w:t>
      </w:r>
      <w:r>
        <w:rPr>
          <w:spacing w:val="-2"/>
          <w:sz w:val="18"/>
          <w:vertAlign w:val="baseline"/>
        </w:rPr>
        <w:t> </w:t>
      </w:r>
      <w:r>
        <w:rPr>
          <w:sz w:val="18"/>
          <w:vertAlign w:val="baseline"/>
        </w:rPr>
        <w:t>Says</w:t>
      </w:r>
      <w:r>
        <w:rPr>
          <w:spacing w:val="-3"/>
          <w:sz w:val="18"/>
          <w:vertAlign w:val="baseline"/>
        </w:rPr>
        <w:t> </w:t>
      </w:r>
      <w:r>
        <w:rPr>
          <w:sz w:val="18"/>
          <w:vertAlign w:val="baseline"/>
        </w:rPr>
        <w:t>It</w:t>
      </w:r>
      <w:r>
        <w:rPr>
          <w:spacing w:val="-3"/>
          <w:sz w:val="18"/>
          <w:vertAlign w:val="baseline"/>
        </w:rPr>
        <w:t> </w:t>
      </w:r>
      <w:r>
        <w:rPr>
          <w:sz w:val="18"/>
          <w:vertAlign w:val="baseline"/>
        </w:rPr>
        <w:t>Needs</w:t>
      </w:r>
      <w:r>
        <w:rPr>
          <w:spacing w:val="-2"/>
          <w:sz w:val="18"/>
          <w:vertAlign w:val="baseline"/>
        </w:rPr>
        <w:t> </w:t>
      </w:r>
      <w:r>
        <w:rPr>
          <w:sz w:val="18"/>
          <w:vertAlign w:val="baseline"/>
        </w:rPr>
        <w:t>at</w:t>
      </w:r>
      <w:r>
        <w:rPr>
          <w:spacing w:val="-3"/>
          <w:sz w:val="18"/>
          <w:vertAlign w:val="baseline"/>
        </w:rPr>
        <w:t> </w:t>
      </w:r>
      <w:r>
        <w:rPr>
          <w:sz w:val="18"/>
          <w:vertAlign w:val="baseline"/>
        </w:rPr>
        <w:t>Least</w:t>
      </w:r>
      <w:r>
        <w:rPr>
          <w:spacing w:val="-4"/>
          <w:sz w:val="18"/>
          <w:vertAlign w:val="baseline"/>
        </w:rPr>
        <w:t> </w:t>
      </w:r>
      <w:r>
        <w:rPr>
          <w:sz w:val="18"/>
          <w:vertAlign w:val="baseline"/>
        </w:rPr>
        <w:t>$24.5</w:t>
      </w:r>
      <w:r>
        <w:rPr>
          <w:spacing w:val="-2"/>
          <w:sz w:val="18"/>
          <w:vertAlign w:val="baseline"/>
        </w:rPr>
        <w:t> </w:t>
      </w:r>
      <w:r>
        <w:rPr>
          <w:sz w:val="18"/>
          <w:vertAlign w:val="baseline"/>
        </w:rPr>
        <w:t>Billion</w:t>
      </w:r>
      <w:r>
        <w:rPr>
          <w:spacing w:val="-2"/>
          <w:sz w:val="18"/>
          <w:vertAlign w:val="baseline"/>
        </w:rPr>
        <w:t> </w:t>
      </w:r>
      <w:r>
        <w:rPr>
          <w:sz w:val="18"/>
          <w:vertAlign w:val="baseline"/>
        </w:rPr>
        <w:t>to</w:t>
      </w:r>
      <w:r>
        <w:rPr>
          <w:spacing w:val="-1"/>
          <w:sz w:val="18"/>
          <w:vertAlign w:val="baseline"/>
        </w:rPr>
        <w:t> </w:t>
      </w:r>
      <w:r>
        <w:rPr>
          <w:sz w:val="18"/>
          <w:vertAlign w:val="baseline"/>
        </w:rPr>
        <w:t>Repair</w:t>
      </w:r>
      <w:r>
        <w:rPr>
          <w:spacing w:val="-3"/>
          <w:sz w:val="18"/>
          <w:vertAlign w:val="baseline"/>
        </w:rPr>
        <w:t> </w:t>
      </w:r>
      <w:r>
        <w:rPr>
          <w:sz w:val="18"/>
          <w:vertAlign w:val="baseline"/>
        </w:rPr>
        <w:t>Its</w:t>
      </w:r>
      <w:r>
        <w:rPr>
          <w:spacing w:val="-2"/>
          <w:sz w:val="18"/>
          <w:vertAlign w:val="baseline"/>
        </w:rPr>
        <w:t> </w:t>
      </w:r>
      <w:r>
        <w:rPr>
          <w:sz w:val="18"/>
          <w:vertAlign w:val="baseline"/>
        </w:rPr>
        <w:t>Troubled</w:t>
      </w:r>
      <w:r>
        <w:rPr>
          <w:spacing w:val="-2"/>
          <w:sz w:val="18"/>
          <w:vertAlign w:val="baseline"/>
        </w:rPr>
        <w:t> </w:t>
      </w:r>
      <w:r>
        <w:rPr>
          <w:sz w:val="18"/>
          <w:vertAlign w:val="baseline"/>
        </w:rPr>
        <w:t>System.”</w:t>
      </w:r>
      <w:r>
        <w:rPr>
          <w:spacing w:val="-2"/>
          <w:sz w:val="18"/>
          <w:vertAlign w:val="baseline"/>
        </w:rPr>
        <w:t> </w:t>
      </w:r>
      <w:r>
        <w:rPr>
          <w:sz w:val="18"/>
          <w:vertAlign w:val="baseline"/>
        </w:rPr>
        <w:t>The</w:t>
      </w:r>
      <w:r>
        <w:rPr>
          <w:spacing w:val="-4"/>
          <w:sz w:val="18"/>
          <w:vertAlign w:val="baseline"/>
        </w:rPr>
        <w:t> </w:t>
      </w:r>
      <w:r>
        <w:rPr>
          <w:sz w:val="18"/>
          <w:vertAlign w:val="baseline"/>
        </w:rPr>
        <w:t>Boston Globe (November 16, 2023). </w:t>
      </w:r>
      <w:hyperlink r:id="rId667">
        <w:r>
          <w:rPr>
            <w:sz w:val="18"/>
            <w:vertAlign w:val="baseline"/>
          </w:rPr>
          <w:t>www.bostonglobe.com/2023/11/16/metro/cost-to-fix-mbta/</w:t>
        </w:r>
      </w:hyperlink>
    </w:p>
    <w:p>
      <w:pPr>
        <w:spacing w:before="0"/>
        <w:ind w:left="464" w:right="500" w:firstLine="0"/>
        <w:jc w:val="both"/>
        <w:rPr>
          <w:sz w:val="18"/>
        </w:rPr>
      </w:pPr>
      <w:bookmarkStart w:name="_bookmark578" w:id="873"/>
      <w:bookmarkEnd w:id="873"/>
      <w:r>
        <w:rPr/>
      </w:r>
      <w:r>
        <w:rPr>
          <w:sz w:val="18"/>
          <w:vertAlign w:val="superscript"/>
        </w:rPr>
        <w:t>24</w:t>
      </w:r>
      <w:r>
        <w:rPr>
          <w:spacing w:val="-2"/>
          <w:sz w:val="18"/>
          <w:vertAlign w:val="baseline"/>
        </w:rPr>
        <w:t> </w:t>
      </w:r>
      <w:r>
        <w:rPr>
          <w:sz w:val="18"/>
          <w:vertAlign w:val="baseline"/>
        </w:rPr>
        <w:t>Stening,</w:t>
      </w:r>
      <w:r>
        <w:rPr>
          <w:spacing w:val="-3"/>
          <w:sz w:val="18"/>
          <w:vertAlign w:val="baseline"/>
        </w:rPr>
        <w:t> </w:t>
      </w:r>
      <w:r>
        <w:rPr>
          <w:sz w:val="18"/>
          <w:vertAlign w:val="baseline"/>
        </w:rPr>
        <w:t>Tanner.</w:t>
      </w:r>
      <w:r>
        <w:rPr>
          <w:spacing w:val="-2"/>
          <w:sz w:val="18"/>
          <w:vertAlign w:val="baseline"/>
        </w:rPr>
        <w:t> </w:t>
      </w:r>
      <w:r>
        <w:rPr>
          <w:sz w:val="18"/>
          <w:vertAlign w:val="baseline"/>
        </w:rPr>
        <w:t>“He</w:t>
      </w:r>
      <w:r>
        <w:rPr>
          <w:spacing w:val="-2"/>
          <w:sz w:val="18"/>
          <w:vertAlign w:val="baseline"/>
        </w:rPr>
        <w:t> </w:t>
      </w:r>
      <w:r>
        <w:rPr>
          <w:sz w:val="18"/>
          <w:vertAlign w:val="baseline"/>
        </w:rPr>
        <w:t>Spends</w:t>
      </w:r>
      <w:r>
        <w:rPr>
          <w:spacing w:val="-2"/>
          <w:sz w:val="18"/>
          <w:vertAlign w:val="baseline"/>
        </w:rPr>
        <w:t> </w:t>
      </w:r>
      <w:r>
        <w:rPr>
          <w:sz w:val="18"/>
          <w:vertAlign w:val="baseline"/>
        </w:rPr>
        <w:t>$230</w:t>
      </w:r>
      <w:r>
        <w:rPr>
          <w:spacing w:val="-2"/>
          <w:sz w:val="18"/>
          <w:vertAlign w:val="baseline"/>
        </w:rPr>
        <w:t> </w:t>
      </w:r>
      <w:r>
        <w:rPr>
          <w:sz w:val="18"/>
          <w:vertAlign w:val="baseline"/>
        </w:rPr>
        <w:t>a</w:t>
      </w:r>
      <w:r>
        <w:rPr>
          <w:spacing w:val="-2"/>
          <w:sz w:val="18"/>
          <w:vertAlign w:val="baseline"/>
        </w:rPr>
        <w:t> </w:t>
      </w:r>
      <w:r>
        <w:rPr>
          <w:sz w:val="18"/>
          <w:vertAlign w:val="baseline"/>
        </w:rPr>
        <w:t>Week</w:t>
      </w:r>
      <w:r>
        <w:rPr>
          <w:spacing w:val="-3"/>
          <w:sz w:val="18"/>
          <w:vertAlign w:val="baseline"/>
        </w:rPr>
        <w:t> </w:t>
      </w:r>
      <w:r>
        <w:rPr>
          <w:sz w:val="18"/>
          <w:vertAlign w:val="baseline"/>
        </w:rPr>
        <w:t>to</w:t>
      </w:r>
      <w:r>
        <w:rPr>
          <w:spacing w:val="-2"/>
          <w:sz w:val="18"/>
          <w:vertAlign w:val="baseline"/>
        </w:rPr>
        <w:t> </w:t>
      </w:r>
      <w:r>
        <w:rPr>
          <w:sz w:val="18"/>
          <w:vertAlign w:val="baseline"/>
        </w:rPr>
        <w:t>Get</w:t>
      </w:r>
      <w:r>
        <w:rPr>
          <w:spacing w:val="-3"/>
          <w:sz w:val="18"/>
          <w:vertAlign w:val="baseline"/>
        </w:rPr>
        <w:t> </w:t>
      </w:r>
      <w:r>
        <w:rPr>
          <w:sz w:val="18"/>
          <w:vertAlign w:val="baseline"/>
        </w:rPr>
        <w:t>from</w:t>
      </w:r>
      <w:r>
        <w:rPr>
          <w:spacing w:val="-2"/>
          <w:sz w:val="18"/>
          <w:vertAlign w:val="baseline"/>
        </w:rPr>
        <w:t> </w:t>
      </w:r>
      <w:r>
        <w:rPr>
          <w:sz w:val="18"/>
          <w:vertAlign w:val="baseline"/>
        </w:rPr>
        <w:t>Western</w:t>
      </w:r>
      <w:r>
        <w:rPr>
          <w:spacing w:val="-2"/>
          <w:sz w:val="18"/>
          <w:vertAlign w:val="baseline"/>
        </w:rPr>
        <w:t> </w:t>
      </w:r>
      <w:r>
        <w:rPr>
          <w:sz w:val="18"/>
          <w:vertAlign w:val="baseline"/>
        </w:rPr>
        <w:t>Mass.</w:t>
      </w:r>
      <w:r>
        <w:rPr>
          <w:spacing w:val="-2"/>
          <w:sz w:val="18"/>
          <w:vertAlign w:val="baseline"/>
        </w:rPr>
        <w:t> </w:t>
      </w:r>
      <w:r>
        <w:rPr>
          <w:sz w:val="18"/>
          <w:vertAlign w:val="baseline"/>
        </w:rPr>
        <w:t>to</w:t>
      </w:r>
      <w:r>
        <w:rPr>
          <w:spacing w:val="-2"/>
          <w:sz w:val="18"/>
          <w:vertAlign w:val="baseline"/>
        </w:rPr>
        <w:t> </w:t>
      </w:r>
      <w:r>
        <w:rPr>
          <w:sz w:val="18"/>
          <w:vertAlign w:val="baseline"/>
        </w:rPr>
        <w:t>Boston</w:t>
      </w:r>
      <w:r>
        <w:rPr>
          <w:spacing w:val="-3"/>
          <w:sz w:val="18"/>
          <w:vertAlign w:val="baseline"/>
        </w:rPr>
        <w:t> </w:t>
      </w:r>
      <w:r>
        <w:rPr>
          <w:sz w:val="18"/>
          <w:vertAlign w:val="baseline"/>
        </w:rPr>
        <w:t>and</w:t>
      </w:r>
      <w:r>
        <w:rPr>
          <w:spacing w:val="-2"/>
          <w:sz w:val="18"/>
          <w:vertAlign w:val="baseline"/>
        </w:rPr>
        <w:t> </w:t>
      </w:r>
      <w:r>
        <w:rPr>
          <w:sz w:val="18"/>
          <w:vertAlign w:val="baseline"/>
        </w:rPr>
        <w:t>He’s</w:t>
      </w:r>
      <w:r>
        <w:rPr>
          <w:spacing w:val="-2"/>
          <w:sz w:val="18"/>
          <w:vertAlign w:val="baseline"/>
        </w:rPr>
        <w:t> </w:t>
      </w:r>
      <w:r>
        <w:rPr>
          <w:sz w:val="18"/>
          <w:vertAlign w:val="baseline"/>
        </w:rPr>
        <w:t>Not</w:t>
      </w:r>
      <w:r>
        <w:rPr>
          <w:spacing w:val="-3"/>
          <w:sz w:val="18"/>
          <w:vertAlign w:val="baseline"/>
        </w:rPr>
        <w:t> </w:t>
      </w:r>
      <w:r>
        <w:rPr>
          <w:sz w:val="18"/>
          <w:vertAlign w:val="baseline"/>
        </w:rPr>
        <w:t>Alone;</w:t>
      </w:r>
      <w:r>
        <w:rPr>
          <w:spacing w:val="-2"/>
          <w:sz w:val="18"/>
          <w:vertAlign w:val="baseline"/>
        </w:rPr>
        <w:t> </w:t>
      </w:r>
      <w:r>
        <w:rPr>
          <w:sz w:val="18"/>
          <w:vertAlign w:val="baseline"/>
        </w:rPr>
        <w:t>Meet</w:t>
      </w:r>
      <w:r>
        <w:rPr>
          <w:spacing w:val="-3"/>
          <w:sz w:val="18"/>
          <w:vertAlign w:val="baseline"/>
        </w:rPr>
        <w:t> </w:t>
      </w:r>
      <w:r>
        <w:rPr>
          <w:sz w:val="18"/>
          <w:vertAlign w:val="baseline"/>
        </w:rPr>
        <w:t>One</w:t>
      </w:r>
      <w:r>
        <w:rPr>
          <w:spacing w:val="-2"/>
          <w:sz w:val="18"/>
          <w:vertAlign w:val="baseline"/>
        </w:rPr>
        <w:t> </w:t>
      </w:r>
      <w:r>
        <w:rPr>
          <w:sz w:val="18"/>
          <w:vertAlign w:val="baseline"/>
        </w:rPr>
        <w:t>of</w:t>
      </w:r>
      <w:r>
        <w:rPr>
          <w:spacing w:val="-3"/>
          <w:sz w:val="18"/>
          <w:vertAlign w:val="baseline"/>
        </w:rPr>
        <w:t> </w:t>
      </w:r>
      <w:r>
        <w:rPr>
          <w:sz w:val="18"/>
          <w:vertAlign w:val="baseline"/>
        </w:rPr>
        <w:t>the State’s</w:t>
      </w:r>
      <w:r>
        <w:rPr>
          <w:spacing w:val="-1"/>
          <w:sz w:val="18"/>
          <w:vertAlign w:val="baseline"/>
        </w:rPr>
        <w:t> </w:t>
      </w:r>
      <w:r>
        <w:rPr>
          <w:sz w:val="18"/>
          <w:vertAlign w:val="baseline"/>
        </w:rPr>
        <w:t>More</w:t>
      </w:r>
      <w:r>
        <w:rPr>
          <w:spacing w:val="-1"/>
          <w:sz w:val="18"/>
          <w:vertAlign w:val="baseline"/>
        </w:rPr>
        <w:t> </w:t>
      </w:r>
      <w:r>
        <w:rPr>
          <w:sz w:val="18"/>
          <w:vertAlign w:val="baseline"/>
        </w:rPr>
        <w:t>than</w:t>
      </w:r>
      <w:r>
        <w:rPr>
          <w:spacing w:val="-1"/>
          <w:sz w:val="18"/>
          <w:vertAlign w:val="baseline"/>
        </w:rPr>
        <w:t> </w:t>
      </w:r>
      <w:r>
        <w:rPr>
          <w:sz w:val="18"/>
          <w:vertAlign w:val="baseline"/>
        </w:rPr>
        <w:t>10,000</w:t>
      </w:r>
      <w:r>
        <w:rPr>
          <w:spacing w:val="-1"/>
          <w:sz w:val="18"/>
          <w:vertAlign w:val="baseline"/>
        </w:rPr>
        <w:t> </w:t>
      </w:r>
      <w:r>
        <w:rPr>
          <w:sz w:val="18"/>
          <w:vertAlign w:val="baseline"/>
        </w:rPr>
        <w:t>‘Super</w:t>
      </w:r>
      <w:r>
        <w:rPr>
          <w:spacing w:val="-2"/>
          <w:sz w:val="18"/>
          <w:vertAlign w:val="baseline"/>
        </w:rPr>
        <w:t> </w:t>
      </w:r>
      <w:r>
        <w:rPr>
          <w:sz w:val="18"/>
          <w:vertAlign w:val="baseline"/>
        </w:rPr>
        <w:t>Commuters.’”</w:t>
      </w:r>
      <w:r>
        <w:rPr>
          <w:spacing w:val="-1"/>
          <w:sz w:val="18"/>
          <w:vertAlign w:val="baseline"/>
        </w:rPr>
        <w:t> </w:t>
      </w:r>
      <w:r>
        <w:rPr>
          <w:sz w:val="18"/>
          <w:vertAlign w:val="baseline"/>
        </w:rPr>
        <w:t>Masslive,</w:t>
      </w:r>
      <w:r>
        <w:rPr>
          <w:spacing w:val="-2"/>
          <w:sz w:val="18"/>
          <w:vertAlign w:val="baseline"/>
        </w:rPr>
        <w:t> </w:t>
      </w:r>
      <w:r>
        <w:rPr>
          <w:sz w:val="18"/>
          <w:vertAlign w:val="baseline"/>
        </w:rPr>
        <w:t>(November</w:t>
      </w:r>
      <w:r>
        <w:rPr>
          <w:spacing w:val="-2"/>
          <w:sz w:val="18"/>
          <w:vertAlign w:val="baseline"/>
        </w:rPr>
        <w:t> </w:t>
      </w:r>
      <w:r>
        <w:rPr>
          <w:sz w:val="18"/>
          <w:vertAlign w:val="baseline"/>
        </w:rPr>
        <w:t>12,</w:t>
      </w:r>
      <w:r>
        <w:rPr>
          <w:spacing w:val="-2"/>
          <w:sz w:val="18"/>
          <w:vertAlign w:val="baseline"/>
        </w:rPr>
        <w:t> </w:t>
      </w:r>
      <w:r>
        <w:rPr>
          <w:sz w:val="18"/>
          <w:vertAlign w:val="baseline"/>
        </w:rPr>
        <w:t>2019).</w:t>
      </w:r>
      <w:r>
        <w:rPr>
          <w:spacing w:val="-1"/>
          <w:sz w:val="18"/>
          <w:vertAlign w:val="baseline"/>
        </w:rPr>
        <w:t> </w:t>
      </w:r>
      <w:hyperlink r:id="rId668">
        <w:r>
          <w:rPr>
            <w:sz w:val="18"/>
            <w:vertAlign w:val="baseline"/>
          </w:rPr>
          <w:t>www.masslive.com/traffic/2019/11/he-</w:t>
        </w:r>
      </w:hyperlink>
      <w:r>
        <w:rPr>
          <w:sz w:val="18"/>
          <w:vertAlign w:val="baseline"/>
        </w:rPr>
        <w:t> </w:t>
      </w:r>
      <w:r>
        <w:rPr>
          <w:spacing w:val="-2"/>
          <w:sz w:val="18"/>
          <w:vertAlign w:val="baseline"/>
        </w:rPr>
        <w:t>spends-230-a-week-to-get-from-western-mass-to-boston-and-hes-not-alone-meet-one-of-the-states-more-than-10000-</w:t>
      </w:r>
      <w:r>
        <w:rPr>
          <w:sz w:val="18"/>
          <w:vertAlign w:val="baseline"/>
        </w:rPr>
        <w:t> </w:t>
      </w:r>
      <w:r>
        <w:rPr>
          <w:spacing w:val="-2"/>
          <w:sz w:val="18"/>
          <w:vertAlign w:val="baseline"/>
        </w:rPr>
        <w:t>super-commuters.html</w:t>
      </w:r>
    </w:p>
    <w:p>
      <w:pPr>
        <w:spacing w:before="0"/>
        <w:ind w:left="464" w:right="3774" w:firstLine="0"/>
        <w:jc w:val="left"/>
        <w:rPr>
          <w:sz w:val="18"/>
        </w:rPr>
      </w:pPr>
      <w:bookmarkStart w:name="_bookmark579" w:id="874"/>
      <w:bookmarkEnd w:id="874"/>
      <w:r>
        <w:rPr/>
      </w:r>
      <w:r>
        <w:rPr>
          <w:sz w:val="18"/>
          <w:vertAlign w:val="superscript"/>
        </w:rPr>
        <w:t>25</w:t>
      </w:r>
      <w:r>
        <w:rPr>
          <w:spacing w:val="-4"/>
          <w:sz w:val="18"/>
          <w:vertAlign w:val="baseline"/>
        </w:rPr>
        <w:t> </w:t>
      </w:r>
      <w:r>
        <w:rPr>
          <w:sz w:val="18"/>
          <w:vertAlign w:val="baseline"/>
        </w:rPr>
        <w:t>Redfin.</w:t>
      </w:r>
      <w:r>
        <w:rPr>
          <w:spacing w:val="-4"/>
          <w:sz w:val="18"/>
          <w:vertAlign w:val="baseline"/>
        </w:rPr>
        <w:t> </w:t>
      </w:r>
      <w:r>
        <w:rPr>
          <w:sz w:val="18"/>
          <w:vertAlign w:val="baseline"/>
        </w:rPr>
        <w:t>“Massachusetts</w:t>
      </w:r>
      <w:r>
        <w:rPr>
          <w:spacing w:val="-4"/>
          <w:sz w:val="18"/>
          <w:vertAlign w:val="baseline"/>
        </w:rPr>
        <w:t> </w:t>
      </w:r>
      <w:r>
        <w:rPr>
          <w:sz w:val="18"/>
          <w:vertAlign w:val="baseline"/>
        </w:rPr>
        <w:t>Housing</w:t>
      </w:r>
      <w:r>
        <w:rPr>
          <w:spacing w:val="-5"/>
          <w:sz w:val="18"/>
          <w:vertAlign w:val="baseline"/>
        </w:rPr>
        <w:t> </w:t>
      </w:r>
      <w:r>
        <w:rPr>
          <w:sz w:val="18"/>
          <w:vertAlign w:val="baseline"/>
        </w:rPr>
        <w:t>Market:</w:t>
      </w:r>
      <w:r>
        <w:rPr>
          <w:spacing w:val="-4"/>
          <w:sz w:val="18"/>
          <w:vertAlign w:val="baseline"/>
        </w:rPr>
        <w:t> </w:t>
      </w:r>
      <w:r>
        <w:rPr>
          <w:sz w:val="18"/>
          <w:vertAlign w:val="baseline"/>
        </w:rPr>
        <w:t>House</w:t>
      </w:r>
      <w:r>
        <w:rPr>
          <w:spacing w:val="-4"/>
          <w:sz w:val="18"/>
          <w:vertAlign w:val="baseline"/>
        </w:rPr>
        <w:t> </w:t>
      </w:r>
      <w:r>
        <w:rPr>
          <w:sz w:val="18"/>
          <w:vertAlign w:val="baseline"/>
        </w:rPr>
        <w:t>Prices</w:t>
      </w:r>
      <w:r>
        <w:rPr>
          <w:spacing w:val="-4"/>
          <w:sz w:val="18"/>
          <w:vertAlign w:val="baseline"/>
        </w:rPr>
        <w:t> </w:t>
      </w:r>
      <w:r>
        <w:rPr>
          <w:sz w:val="18"/>
          <w:vertAlign w:val="baseline"/>
        </w:rPr>
        <w:t>&amp;</w:t>
      </w:r>
      <w:r>
        <w:rPr>
          <w:spacing w:val="-5"/>
          <w:sz w:val="18"/>
          <w:vertAlign w:val="baseline"/>
        </w:rPr>
        <w:t> </w:t>
      </w:r>
      <w:r>
        <w:rPr>
          <w:sz w:val="18"/>
          <w:vertAlign w:val="baseline"/>
        </w:rPr>
        <w:t>Trends.”</w:t>
      </w:r>
      <w:r>
        <w:rPr>
          <w:spacing w:val="-5"/>
          <w:sz w:val="18"/>
          <w:vertAlign w:val="baseline"/>
        </w:rPr>
        <w:t> </w:t>
      </w:r>
      <w:r>
        <w:rPr>
          <w:sz w:val="18"/>
          <w:vertAlign w:val="baseline"/>
        </w:rPr>
        <w:t>(2024). </w:t>
      </w:r>
      <w:r>
        <w:rPr>
          <w:spacing w:val="-2"/>
          <w:sz w:val="18"/>
          <w:vertAlign w:val="baseline"/>
        </w:rPr>
        <w:t>https:</w:t>
      </w:r>
      <w:hyperlink r:id="rId669">
        <w:r>
          <w:rPr>
            <w:spacing w:val="-2"/>
            <w:sz w:val="18"/>
            <w:vertAlign w:val="baseline"/>
          </w:rPr>
          <w:t>//www.redfin.com/state/Massachusetts/housing-market.</w:t>
        </w:r>
      </w:hyperlink>
    </w:p>
    <w:p>
      <w:pPr>
        <w:spacing w:before="0"/>
        <w:ind w:left="464" w:right="1829" w:hanging="1"/>
        <w:jc w:val="left"/>
        <w:rPr>
          <w:sz w:val="18"/>
        </w:rPr>
      </w:pPr>
      <w:bookmarkStart w:name="_bookmark580" w:id="875"/>
      <w:bookmarkEnd w:id="875"/>
      <w:r>
        <w:rPr/>
      </w:r>
      <w:r>
        <w:rPr>
          <w:sz w:val="18"/>
          <w:vertAlign w:val="superscript"/>
        </w:rPr>
        <w:t>26</w:t>
      </w:r>
      <w:r>
        <w:rPr>
          <w:spacing w:val="-2"/>
          <w:sz w:val="18"/>
          <w:vertAlign w:val="baseline"/>
        </w:rPr>
        <w:t> </w:t>
      </w:r>
      <w:r>
        <w:rPr>
          <w:sz w:val="18"/>
          <w:vertAlign w:val="baseline"/>
        </w:rPr>
        <w:t>Riley,</w:t>
      </w:r>
      <w:r>
        <w:rPr>
          <w:spacing w:val="-3"/>
          <w:sz w:val="18"/>
          <w:vertAlign w:val="baseline"/>
        </w:rPr>
        <w:t> </w:t>
      </w:r>
      <w:r>
        <w:rPr>
          <w:sz w:val="18"/>
          <w:vertAlign w:val="baseline"/>
        </w:rPr>
        <w:t>Neal.</w:t>
      </w:r>
      <w:r>
        <w:rPr>
          <w:spacing w:val="-2"/>
          <w:sz w:val="18"/>
          <w:vertAlign w:val="baseline"/>
        </w:rPr>
        <w:t> </w:t>
      </w:r>
      <w:r>
        <w:rPr>
          <w:sz w:val="18"/>
          <w:vertAlign w:val="baseline"/>
        </w:rPr>
        <w:t>“Massachusetts</w:t>
      </w:r>
      <w:r>
        <w:rPr>
          <w:spacing w:val="-3"/>
          <w:sz w:val="18"/>
          <w:vertAlign w:val="baseline"/>
        </w:rPr>
        <w:t> </w:t>
      </w:r>
      <w:r>
        <w:rPr>
          <w:sz w:val="18"/>
          <w:vertAlign w:val="baseline"/>
        </w:rPr>
        <w:t>Sees</w:t>
      </w:r>
      <w:r>
        <w:rPr>
          <w:spacing w:val="-3"/>
          <w:sz w:val="18"/>
          <w:vertAlign w:val="baseline"/>
        </w:rPr>
        <w:t> </w:t>
      </w:r>
      <w:r>
        <w:rPr>
          <w:sz w:val="18"/>
          <w:vertAlign w:val="baseline"/>
        </w:rPr>
        <w:t>‘Staggering’</w:t>
      </w:r>
      <w:r>
        <w:rPr>
          <w:spacing w:val="-3"/>
          <w:sz w:val="18"/>
          <w:vertAlign w:val="baseline"/>
        </w:rPr>
        <w:t> </w:t>
      </w:r>
      <w:r>
        <w:rPr>
          <w:sz w:val="18"/>
          <w:vertAlign w:val="baseline"/>
        </w:rPr>
        <w:t>Drop</w:t>
      </w:r>
      <w:r>
        <w:rPr>
          <w:spacing w:val="-2"/>
          <w:sz w:val="18"/>
          <w:vertAlign w:val="baseline"/>
        </w:rPr>
        <w:t> </w:t>
      </w:r>
      <w:r>
        <w:rPr>
          <w:sz w:val="18"/>
          <w:vertAlign w:val="baseline"/>
        </w:rPr>
        <w:t>in</w:t>
      </w:r>
      <w:r>
        <w:rPr>
          <w:spacing w:val="-2"/>
          <w:sz w:val="18"/>
          <w:vertAlign w:val="baseline"/>
        </w:rPr>
        <w:t> </w:t>
      </w:r>
      <w:r>
        <w:rPr>
          <w:sz w:val="18"/>
          <w:vertAlign w:val="baseline"/>
        </w:rPr>
        <w:t>Home</w:t>
      </w:r>
      <w:r>
        <w:rPr>
          <w:spacing w:val="-2"/>
          <w:sz w:val="18"/>
          <w:vertAlign w:val="baseline"/>
        </w:rPr>
        <w:t> </w:t>
      </w:r>
      <w:r>
        <w:rPr>
          <w:sz w:val="18"/>
          <w:vertAlign w:val="baseline"/>
        </w:rPr>
        <w:t>Sales</w:t>
      </w:r>
      <w:r>
        <w:rPr>
          <w:spacing w:val="-4"/>
          <w:sz w:val="18"/>
          <w:vertAlign w:val="baseline"/>
        </w:rPr>
        <w:t> </w:t>
      </w:r>
      <w:r>
        <w:rPr>
          <w:sz w:val="18"/>
          <w:vertAlign w:val="baseline"/>
        </w:rPr>
        <w:t>-</w:t>
      </w:r>
      <w:r>
        <w:rPr>
          <w:spacing w:val="-2"/>
          <w:sz w:val="18"/>
          <w:vertAlign w:val="baseline"/>
        </w:rPr>
        <w:t> </w:t>
      </w:r>
      <w:r>
        <w:rPr>
          <w:sz w:val="18"/>
          <w:vertAlign w:val="baseline"/>
        </w:rPr>
        <w:t>CBS</w:t>
      </w:r>
      <w:r>
        <w:rPr>
          <w:spacing w:val="-2"/>
          <w:sz w:val="18"/>
          <w:vertAlign w:val="baseline"/>
        </w:rPr>
        <w:t> </w:t>
      </w:r>
      <w:r>
        <w:rPr>
          <w:sz w:val="18"/>
          <w:vertAlign w:val="baseline"/>
        </w:rPr>
        <w:t>Boston.”</w:t>
      </w:r>
      <w:r>
        <w:rPr>
          <w:spacing w:val="-2"/>
          <w:sz w:val="18"/>
          <w:vertAlign w:val="baseline"/>
        </w:rPr>
        <w:t> </w:t>
      </w:r>
      <w:r>
        <w:rPr>
          <w:sz w:val="18"/>
          <w:vertAlign w:val="baseline"/>
        </w:rPr>
        <w:t>(January</w:t>
      </w:r>
      <w:r>
        <w:rPr>
          <w:spacing w:val="-2"/>
          <w:sz w:val="18"/>
          <w:vertAlign w:val="baseline"/>
        </w:rPr>
        <w:t> </w:t>
      </w:r>
      <w:r>
        <w:rPr>
          <w:sz w:val="18"/>
          <w:vertAlign w:val="baseline"/>
        </w:rPr>
        <w:t>17,</w:t>
      </w:r>
      <w:r>
        <w:rPr>
          <w:spacing w:val="-3"/>
          <w:sz w:val="18"/>
          <w:vertAlign w:val="baseline"/>
        </w:rPr>
        <w:t> </w:t>
      </w:r>
      <w:r>
        <w:rPr>
          <w:sz w:val="18"/>
          <w:vertAlign w:val="baseline"/>
        </w:rPr>
        <w:t>2024). </w:t>
      </w:r>
      <w:r>
        <w:rPr>
          <w:spacing w:val="-2"/>
          <w:sz w:val="18"/>
          <w:vertAlign w:val="baseline"/>
        </w:rPr>
        <w:t>https:</w:t>
      </w:r>
      <w:hyperlink r:id="rId670">
        <w:r>
          <w:rPr>
            <w:spacing w:val="-2"/>
            <w:sz w:val="18"/>
            <w:vertAlign w:val="baseline"/>
          </w:rPr>
          <w:t>//www.cbsnews.com/boston/news/massachusetts-home-sales-prices-2023/</w:t>
        </w:r>
      </w:hyperlink>
    </w:p>
    <w:p>
      <w:pPr>
        <w:spacing w:before="0"/>
        <w:ind w:left="464" w:right="3774" w:firstLine="0"/>
        <w:jc w:val="left"/>
        <w:rPr>
          <w:sz w:val="18"/>
        </w:rPr>
      </w:pPr>
      <w:bookmarkStart w:name="_bookmark581" w:id="876"/>
      <w:bookmarkEnd w:id="876"/>
      <w:r>
        <w:rPr/>
      </w:r>
      <w:r>
        <w:rPr>
          <w:sz w:val="18"/>
          <w:vertAlign w:val="superscript"/>
        </w:rPr>
        <w:t>27</w:t>
      </w:r>
      <w:r>
        <w:rPr>
          <w:spacing w:val="-4"/>
          <w:sz w:val="18"/>
          <w:vertAlign w:val="baseline"/>
        </w:rPr>
        <w:t> </w:t>
      </w:r>
      <w:r>
        <w:rPr>
          <w:sz w:val="18"/>
          <w:vertAlign w:val="baseline"/>
        </w:rPr>
        <w:t>Redfin.</w:t>
      </w:r>
      <w:r>
        <w:rPr>
          <w:spacing w:val="-4"/>
          <w:sz w:val="18"/>
          <w:vertAlign w:val="baseline"/>
        </w:rPr>
        <w:t> </w:t>
      </w:r>
      <w:r>
        <w:rPr>
          <w:sz w:val="18"/>
          <w:vertAlign w:val="baseline"/>
        </w:rPr>
        <w:t>“Massachusetts</w:t>
      </w:r>
      <w:r>
        <w:rPr>
          <w:spacing w:val="-4"/>
          <w:sz w:val="18"/>
          <w:vertAlign w:val="baseline"/>
        </w:rPr>
        <w:t> </w:t>
      </w:r>
      <w:r>
        <w:rPr>
          <w:sz w:val="18"/>
          <w:vertAlign w:val="baseline"/>
        </w:rPr>
        <w:t>Housing</w:t>
      </w:r>
      <w:r>
        <w:rPr>
          <w:spacing w:val="-5"/>
          <w:sz w:val="18"/>
          <w:vertAlign w:val="baseline"/>
        </w:rPr>
        <w:t> </w:t>
      </w:r>
      <w:r>
        <w:rPr>
          <w:sz w:val="18"/>
          <w:vertAlign w:val="baseline"/>
        </w:rPr>
        <w:t>Market:</w:t>
      </w:r>
      <w:r>
        <w:rPr>
          <w:spacing w:val="-4"/>
          <w:sz w:val="18"/>
          <w:vertAlign w:val="baseline"/>
        </w:rPr>
        <w:t> </w:t>
      </w:r>
      <w:r>
        <w:rPr>
          <w:sz w:val="18"/>
          <w:vertAlign w:val="baseline"/>
        </w:rPr>
        <w:t>House</w:t>
      </w:r>
      <w:r>
        <w:rPr>
          <w:spacing w:val="-4"/>
          <w:sz w:val="18"/>
          <w:vertAlign w:val="baseline"/>
        </w:rPr>
        <w:t> </w:t>
      </w:r>
      <w:r>
        <w:rPr>
          <w:sz w:val="18"/>
          <w:vertAlign w:val="baseline"/>
        </w:rPr>
        <w:t>Prices</w:t>
      </w:r>
      <w:r>
        <w:rPr>
          <w:spacing w:val="-4"/>
          <w:sz w:val="18"/>
          <w:vertAlign w:val="baseline"/>
        </w:rPr>
        <w:t> </w:t>
      </w:r>
      <w:r>
        <w:rPr>
          <w:sz w:val="18"/>
          <w:vertAlign w:val="baseline"/>
        </w:rPr>
        <w:t>&amp;</w:t>
      </w:r>
      <w:r>
        <w:rPr>
          <w:spacing w:val="-5"/>
          <w:sz w:val="18"/>
          <w:vertAlign w:val="baseline"/>
        </w:rPr>
        <w:t> </w:t>
      </w:r>
      <w:r>
        <w:rPr>
          <w:sz w:val="18"/>
          <w:vertAlign w:val="baseline"/>
        </w:rPr>
        <w:t>Trends.”</w:t>
      </w:r>
      <w:r>
        <w:rPr>
          <w:spacing w:val="-5"/>
          <w:sz w:val="18"/>
          <w:vertAlign w:val="baseline"/>
        </w:rPr>
        <w:t> </w:t>
      </w:r>
      <w:r>
        <w:rPr>
          <w:sz w:val="18"/>
          <w:vertAlign w:val="baseline"/>
        </w:rPr>
        <w:t>(2024). </w:t>
      </w:r>
      <w:r>
        <w:rPr>
          <w:spacing w:val="-2"/>
          <w:sz w:val="18"/>
          <w:vertAlign w:val="baseline"/>
        </w:rPr>
        <w:t>https:</w:t>
      </w:r>
      <w:hyperlink r:id="rId669">
        <w:r>
          <w:rPr>
            <w:spacing w:val="-2"/>
            <w:sz w:val="18"/>
            <w:vertAlign w:val="baseline"/>
          </w:rPr>
          <w:t>//www.redfin.com/state/Massachusetts/housing-market.</w:t>
        </w:r>
      </w:hyperlink>
    </w:p>
    <w:p>
      <w:pPr>
        <w:spacing w:before="0"/>
        <w:ind w:left="464" w:right="1787" w:hanging="1"/>
        <w:jc w:val="left"/>
        <w:rPr>
          <w:sz w:val="18"/>
        </w:rPr>
      </w:pPr>
      <w:bookmarkStart w:name="_bookmark582" w:id="877"/>
      <w:bookmarkEnd w:id="877"/>
      <w:r>
        <w:rPr/>
      </w:r>
      <w:r>
        <w:rPr>
          <w:sz w:val="18"/>
          <w:vertAlign w:val="superscript"/>
        </w:rPr>
        <w:t>28</w:t>
      </w:r>
      <w:r>
        <w:rPr>
          <w:spacing w:val="36"/>
          <w:sz w:val="18"/>
          <w:vertAlign w:val="baseline"/>
        </w:rPr>
        <w:t> </w:t>
      </w:r>
      <w:r>
        <w:rPr>
          <w:sz w:val="18"/>
          <w:vertAlign w:val="baseline"/>
        </w:rPr>
        <w:t>Riley,</w:t>
      </w:r>
      <w:r>
        <w:rPr>
          <w:spacing w:val="-3"/>
          <w:sz w:val="18"/>
          <w:vertAlign w:val="baseline"/>
        </w:rPr>
        <w:t> </w:t>
      </w:r>
      <w:r>
        <w:rPr>
          <w:sz w:val="18"/>
          <w:vertAlign w:val="baseline"/>
        </w:rPr>
        <w:t>Neal.</w:t>
      </w:r>
      <w:r>
        <w:rPr>
          <w:spacing w:val="-2"/>
          <w:sz w:val="18"/>
          <w:vertAlign w:val="baseline"/>
        </w:rPr>
        <w:t> </w:t>
      </w:r>
      <w:r>
        <w:rPr>
          <w:sz w:val="18"/>
          <w:vertAlign w:val="baseline"/>
        </w:rPr>
        <w:t>“Massachusetts</w:t>
      </w:r>
      <w:r>
        <w:rPr>
          <w:spacing w:val="-2"/>
          <w:sz w:val="18"/>
          <w:vertAlign w:val="baseline"/>
        </w:rPr>
        <w:t> </w:t>
      </w:r>
      <w:r>
        <w:rPr>
          <w:sz w:val="18"/>
          <w:vertAlign w:val="baseline"/>
        </w:rPr>
        <w:t>Sees</w:t>
      </w:r>
      <w:r>
        <w:rPr>
          <w:spacing w:val="-2"/>
          <w:sz w:val="18"/>
          <w:vertAlign w:val="baseline"/>
        </w:rPr>
        <w:t> </w:t>
      </w:r>
      <w:r>
        <w:rPr>
          <w:sz w:val="18"/>
          <w:vertAlign w:val="baseline"/>
        </w:rPr>
        <w:t>‘Staggering’</w:t>
      </w:r>
      <w:r>
        <w:rPr>
          <w:spacing w:val="-3"/>
          <w:sz w:val="18"/>
          <w:vertAlign w:val="baseline"/>
        </w:rPr>
        <w:t> </w:t>
      </w:r>
      <w:r>
        <w:rPr>
          <w:sz w:val="18"/>
          <w:vertAlign w:val="baseline"/>
        </w:rPr>
        <w:t>Drop</w:t>
      </w:r>
      <w:r>
        <w:rPr>
          <w:spacing w:val="-2"/>
          <w:sz w:val="18"/>
          <w:vertAlign w:val="baseline"/>
        </w:rPr>
        <w:t> </w:t>
      </w:r>
      <w:r>
        <w:rPr>
          <w:sz w:val="18"/>
          <w:vertAlign w:val="baseline"/>
        </w:rPr>
        <w:t>in</w:t>
      </w:r>
      <w:r>
        <w:rPr>
          <w:spacing w:val="-2"/>
          <w:sz w:val="18"/>
          <w:vertAlign w:val="baseline"/>
        </w:rPr>
        <w:t> </w:t>
      </w:r>
      <w:r>
        <w:rPr>
          <w:sz w:val="18"/>
          <w:vertAlign w:val="baseline"/>
        </w:rPr>
        <w:t>Home</w:t>
      </w:r>
      <w:r>
        <w:rPr>
          <w:spacing w:val="-2"/>
          <w:sz w:val="18"/>
          <w:vertAlign w:val="baseline"/>
        </w:rPr>
        <w:t> </w:t>
      </w:r>
      <w:r>
        <w:rPr>
          <w:sz w:val="18"/>
          <w:vertAlign w:val="baseline"/>
        </w:rPr>
        <w:t>Sales</w:t>
      </w:r>
      <w:r>
        <w:rPr>
          <w:spacing w:val="-2"/>
          <w:sz w:val="18"/>
          <w:vertAlign w:val="baseline"/>
        </w:rPr>
        <w:t> </w:t>
      </w:r>
      <w:r>
        <w:rPr>
          <w:sz w:val="18"/>
          <w:vertAlign w:val="baseline"/>
        </w:rPr>
        <w:t>-</w:t>
      </w:r>
      <w:r>
        <w:rPr>
          <w:spacing w:val="-3"/>
          <w:sz w:val="18"/>
          <w:vertAlign w:val="baseline"/>
        </w:rPr>
        <w:t> </w:t>
      </w:r>
      <w:r>
        <w:rPr>
          <w:sz w:val="18"/>
          <w:vertAlign w:val="baseline"/>
        </w:rPr>
        <w:t>CBS</w:t>
      </w:r>
      <w:r>
        <w:rPr>
          <w:spacing w:val="-3"/>
          <w:sz w:val="18"/>
          <w:vertAlign w:val="baseline"/>
        </w:rPr>
        <w:t> </w:t>
      </w:r>
      <w:r>
        <w:rPr>
          <w:sz w:val="18"/>
          <w:vertAlign w:val="baseline"/>
        </w:rPr>
        <w:t>Boston.”</w:t>
      </w:r>
      <w:r>
        <w:rPr>
          <w:spacing w:val="-2"/>
          <w:sz w:val="18"/>
          <w:vertAlign w:val="baseline"/>
        </w:rPr>
        <w:t> </w:t>
      </w:r>
      <w:r>
        <w:rPr>
          <w:sz w:val="18"/>
          <w:vertAlign w:val="baseline"/>
        </w:rPr>
        <w:t>(January</w:t>
      </w:r>
      <w:r>
        <w:rPr>
          <w:spacing w:val="-2"/>
          <w:sz w:val="18"/>
          <w:vertAlign w:val="baseline"/>
        </w:rPr>
        <w:t> </w:t>
      </w:r>
      <w:r>
        <w:rPr>
          <w:sz w:val="18"/>
          <w:vertAlign w:val="baseline"/>
        </w:rPr>
        <w:t>17,</w:t>
      </w:r>
      <w:r>
        <w:rPr>
          <w:spacing w:val="-3"/>
          <w:sz w:val="18"/>
          <w:vertAlign w:val="baseline"/>
        </w:rPr>
        <w:t> </w:t>
      </w:r>
      <w:r>
        <w:rPr>
          <w:sz w:val="18"/>
          <w:vertAlign w:val="baseline"/>
        </w:rPr>
        <w:t>2024). </w:t>
      </w:r>
      <w:r>
        <w:rPr>
          <w:spacing w:val="-2"/>
          <w:sz w:val="18"/>
          <w:vertAlign w:val="baseline"/>
        </w:rPr>
        <w:t>https:</w:t>
      </w:r>
      <w:hyperlink r:id="rId670">
        <w:r>
          <w:rPr>
            <w:spacing w:val="-2"/>
            <w:sz w:val="18"/>
            <w:vertAlign w:val="baseline"/>
          </w:rPr>
          <w:t>//www.cbsnews.com/boston/news/massachusetts-home-sales-prices-2023/</w:t>
        </w:r>
      </w:hyperlink>
    </w:p>
    <w:p>
      <w:pPr>
        <w:spacing w:before="0"/>
        <w:ind w:left="464" w:right="386" w:firstLine="0"/>
        <w:jc w:val="both"/>
        <w:rPr>
          <w:sz w:val="18"/>
        </w:rPr>
      </w:pPr>
      <w:bookmarkStart w:name="_bookmark583" w:id="878"/>
      <w:bookmarkEnd w:id="878"/>
      <w:r>
        <w:rPr/>
      </w:r>
      <w:r>
        <w:rPr>
          <w:sz w:val="18"/>
          <w:vertAlign w:val="superscript"/>
        </w:rPr>
        <w:t>29</w:t>
      </w:r>
      <w:r>
        <w:rPr>
          <w:spacing w:val="-2"/>
          <w:sz w:val="18"/>
          <w:vertAlign w:val="baseline"/>
        </w:rPr>
        <w:t> </w:t>
      </w:r>
      <w:r>
        <w:rPr>
          <w:sz w:val="18"/>
          <w:vertAlign w:val="baseline"/>
        </w:rPr>
        <w:t>Stefanescu,</w:t>
      </w:r>
      <w:r>
        <w:rPr>
          <w:spacing w:val="-3"/>
          <w:sz w:val="18"/>
          <w:vertAlign w:val="baseline"/>
        </w:rPr>
        <w:t> </w:t>
      </w:r>
      <w:r>
        <w:rPr>
          <w:sz w:val="18"/>
          <w:vertAlign w:val="baseline"/>
        </w:rPr>
        <w:t>Victor.</w:t>
      </w:r>
      <w:r>
        <w:rPr>
          <w:spacing w:val="-2"/>
          <w:sz w:val="18"/>
          <w:vertAlign w:val="baseline"/>
        </w:rPr>
        <w:t> </w:t>
      </w:r>
      <w:r>
        <w:rPr>
          <w:sz w:val="18"/>
          <w:vertAlign w:val="baseline"/>
        </w:rPr>
        <w:t>“Boston</w:t>
      </w:r>
      <w:r>
        <w:rPr>
          <w:spacing w:val="-2"/>
          <w:sz w:val="18"/>
          <w:vertAlign w:val="baseline"/>
        </w:rPr>
        <w:t> </w:t>
      </w:r>
      <w:r>
        <w:rPr>
          <w:sz w:val="18"/>
          <w:vertAlign w:val="baseline"/>
        </w:rPr>
        <w:t>Ranked</w:t>
      </w:r>
      <w:r>
        <w:rPr>
          <w:spacing w:val="-2"/>
          <w:sz w:val="18"/>
          <w:vertAlign w:val="baseline"/>
        </w:rPr>
        <w:t> </w:t>
      </w:r>
      <w:r>
        <w:rPr>
          <w:sz w:val="18"/>
          <w:vertAlign w:val="baseline"/>
        </w:rPr>
        <w:t>among</w:t>
      </w:r>
      <w:r>
        <w:rPr>
          <w:spacing w:val="-2"/>
          <w:sz w:val="18"/>
          <w:vertAlign w:val="baseline"/>
        </w:rPr>
        <w:t> </w:t>
      </w:r>
      <w:r>
        <w:rPr>
          <w:sz w:val="18"/>
          <w:vertAlign w:val="baseline"/>
        </w:rPr>
        <w:t>the</w:t>
      </w:r>
      <w:r>
        <w:rPr>
          <w:spacing w:val="-2"/>
          <w:sz w:val="18"/>
          <w:vertAlign w:val="baseline"/>
        </w:rPr>
        <w:t> </w:t>
      </w:r>
      <w:r>
        <w:rPr>
          <w:sz w:val="18"/>
          <w:vertAlign w:val="baseline"/>
        </w:rPr>
        <w:t>Toughest</w:t>
      </w:r>
      <w:r>
        <w:rPr>
          <w:spacing w:val="-3"/>
          <w:sz w:val="18"/>
          <w:vertAlign w:val="baseline"/>
        </w:rPr>
        <w:t> </w:t>
      </w:r>
      <w:r>
        <w:rPr>
          <w:sz w:val="18"/>
          <w:vertAlign w:val="baseline"/>
        </w:rPr>
        <w:t>Cities</w:t>
      </w:r>
      <w:r>
        <w:rPr>
          <w:spacing w:val="-2"/>
          <w:sz w:val="18"/>
          <w:vertAlign w:val="baseline"/>
        </w:rPr>
        <w:t> </w:t>
      </w:r>
      <w:r>
        <w:rPr>
          <w:sz w:val="18"/>
          <w:vertAlign w:val="baseline"/>
        </w:rPr>
        <w:t>for</w:t>
      </w:r>
      <w:r>
        <w:rPr>
          <w:spacing w:val="-3"/>
          <w:sz w:val="18"/>
          <w:vertAlign w:val="baseline"/>
        </w:rPr>
        <w:t> </w:t>
      </w:r>
      <w:r>
        <w:rPr>
          <w:sz w:val="18"/>
          <w:vertAlign w:val="baseline"/>
        </w:rPr>
        <w:t>Gen</w:t>
      </w:r>
      <w:r>
        <w:rPr>
          <w:spacing w:val="-2"/>
          <w:sz w:val="18"/>
          <w:vertAlign w:val="baseline"/>
        </w:rPr>
        <w:t> </w:t>
      </w:r>
      <w:r>
        <w:rPr>
          <w:sz w:val="18"/>
          <w:vertAlign w:val="baseline"/>
        </w:rPr>
        <w:t>Z</w:t>
      </w:r>
      <w:r>
        <w:rPr>
          <w:spacing w:val="-3"/>
          <w:sz w:val="18"/>
          <w:vertAlign w:val="baseline"/>
        </w:rPr>
        <w:t> </w:t>
      </w:r>
      <w:r>
        <w:rPr>
          <w:sz w:val="18"/>
          <w:vertAlign w:val="baseline"/>
        </w:rPr>
        <w:t>Home</w:t>
      </w:r>
      <w:r>
        <w:rPr>
          <w:spacing w:val="-2"/>
          <w:sz w:val="18"/>
          <w:vertAlign w:val="baseline"/>
        </w:rPr>
        <w:t> </w:t>
      </w:r>
      <w:r>
        <w:rPr>
          <w:sz w:val="18"/>
          <w:vertAlign w:val="baseline"/>
        </w:rPr>
        <w:t>Buyers.”</w:t>
      </w:r>
      <w:r>
        <w:rPr>
          <w:spacing w:val="-3"/>
          <w:sz w:val="18"/>
          <w:vertAlign w:val="baseline"/>
        </w:rPr>
        <w:t> </w:t>
      </w:r>
      <w:r>
        <w:rPr>
          <w:sz w:val="18"/>
          <w:vertAlign w:val="baseline"/>
        </w:rPr>
        <w:t>Boston.com,</w:t>
      </w:r>
      <w:r>
        <w:rPr>
          <w:spacing w:val="-3"/>
          <w:sz w:val="18"/>
          <w:vertAlign w:val="baseline"/>
        </w:rPr>
        <w:t> </w:t>
      </w:r>
      <w:r>
        <w:rPr>
          <w:sz w:val="18"/>
          <w:vertAlign w:val="baseline"/>
        </w:rPr>
        <w:t>The</w:t>
      </w:r>
      <w:r>
        <w:rPr>
          <w:spacing w:val="-2"/>
          <w:sz w:val="18"/>
          <w:vertAlign w:val="baseline"/>
        </w:rPr>
        <w:t> </w:t>
      </w:r>
      <w:r>
        <w:rPr>
          <w:sz w:val="18"/>
          <w:vertAlign w:val="baseline"/>
        </w:rPr>
        <w:t>Boston</w:t>
      </w:r>
      <w:r>
        <w:rPr>
          <w:spacing w:val="-3"/>
          <w:sz w:val="18"/>
          <w:vertAlign w:val="baseline"/>
        </w:rPr>
        <w:t> </w:t>
      </w:r>
      <w:r>
        <w:rPr>
          <w:sz w:val="18"/>
          <w:vertAlign w:val="baseline"/>
        </w:rPr>
        <w:t>Globe (February</w:t>
      </w:r>
      <w:r>
        <w:rPr>
          <w:spacing w:val="-3"/>
          <w:sz w:val="18"/>
          <w:vertAlign w:val="baseline"/>
        </w:rPr>
        <w:t> </w:t>
      </w:r>
      <w:r>
        <w:rPr>
          <w:sz w:val="18"/>
          <w:vertAlign w:val="baseline"/>
        </w:rPr>
        <w:t>6,</w:t>
      </w:r>
      <w:r>
        <w:rPr>
          <w:spacing w:val="-4"/>
          <w:sz w:val="18"/>
          <w:vertAlign w:val="baseline"/>
        </w:rPr>
        <w:t> </w:t>
      </w:r>
      <w:r>
        <w:rPr>
          <w:sz w:val="18"/>
          <w:vertAlign w:val="baseline"/>
        </w:rPr>
        <w:t>2024).</w:t>
      </w:r>
      <w:r>
        <w:rPr>
          <w:spacing w:val="-3"/>
          <w:sz w:val="18"/>
          <w:vertAlign w:val="baseline"/>
        </w:rPr>
        <w:t> </w:t>
      </w:r>
      <w:hyperlink r:id="rId671">
        <w:r>
          <w:rPr>
            <w:sz w:val="18"/>
            <w:vertAlign w:val="baseline"/>
          </w:rPr>
          <w:t>www.boston.com/real-estate/real-estate/2024/02/06/boston-ranked-among-the-toughest-cities-for-</w:t>
        </w:r>
      </w:hyperlink>
      <w:r>
        <w:rPr>
          <w:sz w:val="18"/>
          <w:vertAlign w:val="baseline"/>
        </w:rPr>
        <w:t> </w:t>
      </w:r>
      <w:r>
        <w:rPr>
          <w:spacing w:val="-2"/>
          <w:sz w:val="18"/>
          <w:vertAlign w:val="baseline"/>
        </w:rPr>
        <w:t>gen-z-home-buyers/</w:t>
      </w:r>
    </w:p>
    <w:p>
      <w:pPr>
        <w:spacing w:before="0"/>
        <w:ind w:left="464" w:right="2365" w:firstLine="0"/>
        <w:jc w:val="left"/>
        <w:rPr>
          <w:sz w:val="18"/>
        </w:rPr>
      </w:pPr>
      <w:bookmarkStart w:name="_bookmark584" w:id="879"/>
      <w:bookmarkEnd w:id="879"/>
      <w:r>
        <w:rPr/>
      </w:r>
      <w:r>
        <w:rPr>
          <w:sz w:val="18"/>
          <w:vertAlign w:val="superscript"/>
        </w:rPr>
        <w:t>30</w:t>
      </w:r>
      <w:r>
        <w:rPr>
          <w:spacing w:val="-4"/>
          <w:sz w:val="18"/>
          <w:vertAlign w:val="baseline"/>
        </w:rPr>
        <w:t> </w:t>
      </w:r>
      <w:r>
        <w:rPr>
          <w:sz w:val="18"/>
          <w:vertAlign w:val="baseline"/>
        </w:rPr>
        <w:t>Neilsberg</w:t>
      </w:r>
      <w:r>
        <w:rPr>
          <w:spacing w:val="-4"/>
          <w:sz w:val="18"/>
          <w:vertAlign w:val="baseline"/>
        </w:rPr>
        <w:t> </w:t>
      </w:r>
      <w:r>
        <w:rPr>
          <w:sz w:val="18"/>
          <w:vertAlign w:val="baseline"/>
        </w:rPr>
        <w:t>Research.</w:t>
      </w:r>
      <w:r>
        <w:rPr>
          <w:spacing w:val="-4"/>
          <w:sz w:val="18"/>
          <w:vertAlign w:val="baseline"/>
        </w:rPr>
        <w:t> </w:t>
      </w:r>
      <w:r>
        <w:rPr>
          <w:sz w:val="18"/>
          <w:vertAlign w:val="baseline"/>
        </w:rPr>
        <w:t>“Massachusetts</w:t>
      </w:r>
      <w:r>
        <w:rPr>
          <w:spacing w:val="-4"/>
          <w:sz w:val="18"/>
          <w:vertAlign w:val="baseline"/>
        </w:rPr>
        <w:t> </w:t>
      </w:r>
      <w:r>
        <w:rPr>
          <w:sz w:val="18"/>
          <w:vertAlign w:val="baseline"/>
        </w:rPr>
        <w:t>Median</w:t>
      </w:r>
      <w:r>
        <w:rPr>
          <w:spacing w:val="-4"/>
          <w:sz w:val="18"/>
          <w:vertAlign w:val="baseline"/>
        </w:rPr>
        <w:t> </w:t>
      </w:r>
      <w:r>
        <w:rPr>
          <w:sz w:val="18"/>
          <w:vertAlign w:val="baseline"/>
        </w:rPr>
        <w:t>Household</w:t>
      </w:r>
      <w:r>
        <w:rPr>
          <w:spacing w:val="-4"/>
          <w:sz w:val="18"/>
          <w:vertAlign w:val="baseline"/>
        </w:rPr>
        <w:t> </w:t>
      </w:r>
      <w:r>
        <w:rPr>
          <w:sz w:val="18"/>
          <w:vertAlign w:val="baseline"/>
        </w:rPr>
        <w:t>Income</w:t>
      </w:r>
      <w:r>
        <w:rPr>
          <w:spacing w:val="-4"/>
          <w:sz w:val="18"/>
          <w:vertAlign w:val="baseline"/>
        </w:rPr>
        <w:t> </w:t>
      </w:r>
      <w:r>
        <w:rPr>
          <w:sz w:val="18"/>
          <w:vertAlign w:val="baseline"/>
        </w:rPr>
        <w:t>by</w:t>
      </w:r>
      <w:r>
        <w:rPr>
          <w:spacing w:val="-4"/>
          <w:sz w:val="18"/>
          <w:vertAlign w:val="baseline"/>
        </w:rPr>
        <w:t> </w:t>
      </w:r>
      <w:r>
        <w:rPr>
          <w:sz w:val="18"/>
          <w:vertAlign w:val="baseline"/>
        </w:rPr>
        <w:t>Age.”</w:t>
      </w:r>
      <w:r>
        <w:rPr>
          <w:spacing w:val="-4"/>
          <w:sz w:val="18"/>
          <w:vertAlign w:val="baseline"/>
        </w:rPr>
        <w:t> </w:t>
      </w:r>
      <w:r>
        <w:rPr>
          <w:sz w:val="18"/>
          <w:vertAlign w:val="baseline"/>
        </w:rPr>
        <w:t>(January</w:t>
      </w:r>
      <w:r>
        <w:rPr>
          <w:spacing w:val="-5"/>
          <w:sz w:val="18"/>
          <w:vertAlign w:val="baseline"/>
        </w:rPr>
        <w:t> </w:t>
      </w:r>
      <w:r>
        <w:rPr>
          <w:sz w:val="18"/>
          <w:vertAlign w:val="baseline"/>
        </w:rPr>
        <w:t>10,</w:t>
      </w:r>
      <w:r>
        <w:rPr>
          <w:spacing w:val="-5"/>
          <w:sz w:val="18"/>
          <w:vertAlign w:val="baseline"/>
        </w:rPr>
        <w:t> </w:t>
      </w:r>
      <w:r>
        <w:rPr>
          <w:sz w:val="18"/>
          <w:vertAlign w:val="baseline"/>
        </w:rPr>
        <w:t>2024). </w:t>
      </w:r>
      <w:r>
        <w:rPr>
          <w:spacing w:val="-2"/>
          <w:sz w:val="18"/>
          <w:vertAlign w:val="baseline"/>
        </w:rPr>
        <w:t>https:</w:t>
      </w:r>
      <w:hyperlink r:id="rId672">
        <w:r>
          <w:rPr>
            <w:spacing w:val="-2"/>
            <w:sz w:val="18"/>
            <w:vertAlign w:val="baseline"/>
          </w:rPr>
          <w:t>//www.neilsberg.com/insights/massachusetts-median-household-income-by-age/</w:t>
        </w:r>
      </w:hyperlink>
    </w:p>
    <w:p>
      <w:pPr>
        <w:spacing w:before="0"/>
        <w:ind w:left="464" w:right="1830" w:firstLine="0"/>
        <w:jc w:val="left"/>
        <w:rPr>
          <w:sz w:val="18"/>
        </w:rPr>
      </w:pPr>
      <w:bookmarkStart w:name="_bookmark585" w:id="880"/>
      <w:bookmarkEnd w:id="880"/>
      <w:r>
        <w:rPr/>
      </w:r>
      <w:r>
        <w:rPr>
          <w:sz w:val="18"/>
          <w:vertAlign w:val="superscript"/>
        </w:rPr>
        <w:t>31</w:t>
      </w:r>
      <w:r>
        <w:rPr>
          <w:spacing w:val="-3"/>
          <w:sz w:val="18"/>
          <w:vertAlign w:val="baseline"/>
        </w:rPr>
        <w:t> </w:t>
      </w:r>
      <w:r>
        <w:rPr>
          <w:sz w:val="18"/>
          <w:vertAlign w:val="baseline"/>
        </w:rPr>
        <w:t>Thomas,</w:t>
      </w:r>
      <w:r>
        <w:rPr>
          <w:spacing w:val="-4"/>
          <w:sz w:val="18"/>
          <w:vertAlign w:val="baseline"/>
        </w:rPr>
        <w:t> </w:t>
      </w:r>
      <w:r>
        <w:rPr>
          <w:sz w:val="18"/>
          <w:vertAlign w:val="baseline"/>
        </w:rPr>
        <w:t>Lauren.</w:t>
      </w:r>
      <w:r>
        <w:rPr>
          <w:spacing w:val="-3"/>
          <w:sz w:val="18"/>
          <w:vertAlign w:val="baseline"/>
        </w:rPr>
        <w:t> </w:t>
      </w:r>
      <w:r>
        <w:rPr>
          <w:sz w:val="18"/>
          <w:vertAlign w:val="baseline"/>
        </w:rPr>
        <w:t>“Cities</w:t>
      </w:r>
      <w:r>
        <w:rPr>
          <w:spacing w:val="-3"/>
          <w:sz w:val="18"/>
          <w:vertAlign w:val="baseline"/>
        </w:rPr>
        <w:t> </w:t>
      </w:r>
      <w:r>
        <w:rPr>
          <w:sz w:val="18"/>
          <w:vertAlign w:val="baseline"/>
        </w:rPr>
        <w:t>with</w:t>
      </w:r>
      <w:r>
        <w:rPr>
          <w:spacing w:val="-3"/>
          <w:sz w:val="18"/>
          <w:vertAlign w:val="baseline"/>
        </w:rPr>
        <w:t> </w:t>
      </w:r>
      <w:r>
        <w:rPr>
          <w:sz w:val="18"/>
          <w:vertAlign w:val="baseline"/>
        </w:rPr>
        <w:t>the</w:t>
      </w:r>
      <w:r>
        <w:rPr>
          <w:spacing w:val="-3"/>
          <w:sz w:val="18"/>
          <w:vertAlign w:val="baseline"/>
        </w:rPr>
        <w:t> </w:t>
      </w:r>
      <w:r>
        <w:rPr>
          <w:sz w:val="18"/>
          <w:vertAlign w:val="baseline"/>
        </w:rPr>
        <w:t>Highest</w:t>
      </w:r>
      <w:r>
        <w:rPr>
          <w:spacing w:val="-4"/>
          <w:sz w:val="18"/>
          <w:vertAlign w:val="baseline"/>
        </w:rPr>
        <w:t> </w:t>
      </w:r>
      <w:r>
        <w:rPr>
          <w:sz w:val="18"/>
          <w:vertAlign w:val="baseline"/>
        </w:rPr>
        <w:t>Gen</w:t>
      </w:r>
      <w:r>
        <w:rPr>
          <w:spacing w:val="-3"/>
          <w:sz w:val="18"/>
          <w:vertAlign w:val="baseline"/>
        </w:rPr>
        <w:t> </w:t>
      </w:r>
      <w:r>
        <w:rPr>
          <w:sz w:val="18"/>
          <w:vertAlign w:val="baseline"/>
        </w:rPr>
        <w:t>Z</w:t>
      </w:r>
      <w:r>
        <w:rPr>
          <w:spacing w:val="-4"/>
          <w:sz w:val="18"/>
          <w:vertAlign w:val="baseline"/>
        </w:rPr>
        <w:t> </w:t>
      </w:r>
      <w:r>
        <w:rPr>
          <w:sz w:val="18"/>
          <w:vertAlign w:val="baseline"/>
        </w:rPr>
        <w:t>Homeownership</w:t>
      </w:r>
      <w:r>
        <w:rPr>
          <w:spacing w:val="-4"/>
          <w:sz w:val="18"/>
          <w:vertAlign w:val="baseline"/>
        </w:rPr>
        <w:t> </w:t>
      </w:r>
      <w:r>
        <w:rPr>
          <w:sz w:val="18"/>
          <w:vertAlign w:val="baseline"/>
        </w:rPr>
        <w:t>Rates.”</w:t>
      </w:r>
      <w:r>
        <w:rPr>
          <w:spacing w:val="-3"/>
          <w:sz w:val="18"/>
          <w:vertAlign w:val="baseline"/>
        </w:rPr>
        <w:t> </w:t>
      </w:r>
      <w:r>
        <w:rPr>
          <w:sz w:val="18"/>
          <w:vertAlign w:val="baseline"/>
        </w:rPr>
        <w:t>Porch.com</w:t>
      </w:r>
      <w:r>
        <w:rPr>
          <w:spacing w:val="-3"/>
          <w:sz w:val="18"/>
          <w:vertAlign w:val="baseline"/>
        </w:rPr>
        <w:t> </w:t>
      </w:r>
      <w:r>
        <w:rPr>
          <w:sz w:val="18"/>
          <w:vertAlign w:val="baseline"/>
        </w:rPr>
        <w:t>(June</w:t>
      </w:r>
      <w:r>
        <w:rPr>
          <w:spacing w:val="-3"/>
          <w:sz w:val="18"/>
          <w:vertAlign w:val="baseline"/>
        </w:rPr>
        <w:t> </w:t>
      </w:r>
      <w:r>
        <w:rPr>
          <w:sz w:val="18"/>
          <w:vertAlign w:val="baseline"/>
        </w:rPr>
        <w:t>21,</w:t>
      </w:r>
      <w:r>
        <w:rPr>
          <w:spacing w:val="-4"/>
          <w:sz w:val="18"/>
          <w:vertAlign w:val="baseline"/>
        </w:rPr>
        <w:t> </w:t>
      </w:r>
      <w:r>
        <w:rPr>
          <w:sz w:val="18"/>
          <w:vertAlign w:val="baseline"/>
        </w:rPr>
        <w:t>2022). </w:t>
      </w:r>
      <w:r>
        <w:rPr>
          <w:spacing w:val="-2"/>
          <w:sz w:val="18"/>
          <w:vertAlign w:val="baseline"/>
        </w:rPr>
        <w:t>porch.com/advice/cities-with-highest-gen-z-homeownership-rate.</w:t>
      </w:r>
    </w:p>
    <w:p>
      <w:pPr>
        <w:spacing w:before="0"/>
        <w:ind w:left="464" w:right="232" w:hanging="1"/>
        <w:jc w:val="left"/>
        <w:rPr>
          <w:sz w:val="18"/>
        </w:rPr>
      </w:pPr>
      <w:bookmarkStart w:name="_bookmark586" w:id="881"/>
      <w:bookmarkEnd w:id="881"/>
      <w:r>
        <w:rPr/>
      </w:r>
      <w:r>
        <w:rPr>
          <w:sz w:val="18"/>
          <w:vertAlign w:val="superscript"/>
        </w:rPr>
        <w:t>32</w:t>
      </w:r>
      <w:r>
        <w:rPr>
          <w:spacing w:val="-2"/>
          <w:sz w:val="18"/>
          <w:vertAlign w:val="baseline"/>
        </w:rPr>
        <w:t> </w:t>
      </w:r>
      <w:r>
        <w:rPr>
          <w:sz w:val="18"/>
          <w:vertAlign w:val="baseline"/>
        </w:rPr>
        <w:t>Woods,</w:t>
      </w:r>
      <w:r>
        <w:rPr>
          <w:spacing w:val="-3"/>
          <w:sz w:val="18"/>
          <w:vertAlign w:val="baseline"/>
        </w:rPr>
        <w:t> </w:t>
      </w:r>
      <w:r>
        <w:rPr>
          <w:sz w:val="18"/>
          <w:vertAlign w:val="baseline"/>
        </w:rPr>
        <w:t>Eileen,</w:t>
      </w:r>
      <w:r>
        <w:rPr>
          <w:spacing w:val="-2"/>
          <w:sz w:val="18"/>
          <w:vertAlign w:val="baseline"/>
        </w:rPr>
        <w:t> </w:t>
      </w:r>
      <w:r>
        <w:rPr>
          <w:sz w:val="18"/>
          <w:vertAlign w:val="baseline"/>
        </w:rPr>
        <w:t>“An</w:t>
      </w:r>
      <w:r>
        <w:rPr>
          <w:spacing w:val="-2"/>
          <w:sz w:val="18"/>
          <w:vertAlign w:val="baseline"/>
        </w:rPr>
        <w:t> </w:t>
      </w:r>
      <w:r>
        <w:rPr>
          <w:sz w:val="18"/>
          <w:vertAlign w:val="baseline"/>
        </w:rPr>
        <w:t>in-depth</w:t>
      </w:r>
      <w:r>
        <w:rPr>
          <w:spacing w:val="-2"/>
          <w:sz w:val="18"/>
          <w:vertAlign w:val="baseline"/>
        </w:rPr>
        <w:t> </w:t>
      </w:r>
      <w:r>
        <w:rPr>
          <w:sz w:val="18"/>
          <w:vertAlign w:val="baseline"/>
        </w:rPr>
        <w:t>look</w:t>
      </w:r>
      <w:r>
        <w:rPr>
          <w:spacing w:val="-3"/>
          <w:sz w:val="18"/>
          <w:vertAlign w:val="baseline"/>
        </w:rPr>
        <w:t> </w:t>
      </w:r>
      <w:r>
        <w:rPr>
          <w:sz w:val="18"/>
          <w:vertAlign w:val="baseline"/>
        </w:rPr>
        <w:t>at</w:t>
      </w:r>
      <w:r>
        <w:rPr>
          <w:spacing w:val="-3"/>
          <w:sz w:val="18"/>
          <w:vertAlign w:val="baseline"/>
        </w:rPr>
        <w:t> </w:t>
      </w:r>
      <w:r>
        <w:rPr>
          <w:sz w:val="18"/>
          <w:vertAlign w:val="baseline"/>
        </w:rPr>
        <w:t>the</w:t>
      </w:r>
      <w:r>
        <w:rPr>
          <w:spacing w:val="-2"/>
          <w:sz w:val="18"/>
          <w:vertAlign w:val="baseline"/>
        </w:rPr>
        <w:t> </w:t>
      </w:r>
      <w:r>
        <w:rPr>
          <w:sz w:val="18"/>
          <w:vertAlign w:val="baseline"/>
        </w:rPr>
        <w:t>Massachusetts</w:t>
      </w:r>
      <w:r>
        <w:rPr>
          <w:spacing w:val="-2"/>
          <w:sz w:val="18"/>
          <w:vertAlign w:val="baseline"/>
        </w:rPr>
        <w:t> </w:t>
      </w:r>
      <w:r>
        <w:rPr>
          <w:sz w:val="18"/>
          <w:vertAlign w:val="baseline"/>
        </w:rPr>
        <w:t>rental</w:t>
      </w:r>
      <w:r>
        <w:rPr>
          <w:spacing w:val="-3"/>
          <w:sz w:val="18"/>
          <w:vertAlign w:val="baseline"/>
        </w:rPr>
        <w:t> </w:t>
      </w:r>
      <w:r>
        <w:rPr>
          <w:sz w:val="18"/>
          <w:vertAlign w:val="baseline"/>
        </w:rPr>
        <w:t>market</w:t>
      </w:r>
      <w:r>
        <w:rPr>
          <w:spacing w:val="-3"/>
          <w:sz w:val="18"/>
          <w:vertAlign w:val="baseline"/>
        </w:rPr>
        <w:t> </w:t>
      </w:r>
      <w:r>
        <w:rPr>
          <w:sz w:val="18"/>
          <w:vertAlign w:val="baseline"/>
        </w:rPr>
        <w:t>(Jan.).”</w:t>
      </w:r>
      <w:r>
        <w:rPr>
          <w:spacing w:val="-2"/>
          <w:sz w:val="18"/>
          <w:vertAlign w:val="baseline"/>
        </w:rPr>
        <w:t> </w:t>
      </w:r>
      <w:r>
        <w:rPr>
          <w:sz w:val="18"/>
          <w:vertAlign w:val="baseline"/>
        </w:rPr>
        <w:t>Boston.com,</w:t>
      </w:r>
      <w:r>
        <w:rPr>
          <w:spacing w:val="-3"/>
          <w:sz w:val="18"/>
          <w:vertAlign w:val="baseline"/>
        </w:rPr>
        <w:t> </w:t>
      </w:r>
      <w:r>
        <w:rPr>
          <w:sz w:val="18"/>
          <w:vertAlign w:val="baseline"/>
        </w:rPr>
        <w:t>The</w:t>
      </w:r>
      <w:r>
        <w:rPr>
          <w:spacing w:val="-2"/>
          <w:sz w:val="18"/>
          <w:vertAlign w:val="baseline"/>
        </w:rPr>
        <w:t> </w:t>
      </w:r>
      <w:r>
        <w:rPr>
          <w:sz w:val="18"/>
          <w:vertAlign w:val="baseline"/>
        </w:rPr>
        <w:t>Boston</w:t>
      </w:r>
      <w:r>
        <w:rPr>
          <w:spacing w:val="-2"/>
          <w:sz w:val="18"/>
          <w:vertAlign w:val="baseline"/>
        </w:rPr>
        <w:t> </w:t>
      </w:r>
      <w:r>
        <w:rPr>
          <w:sz w:val="18"/>
          <w:vertAlign w:val="baseline"/>
        </w:rPr>
        <w:t>Globe</w:t>
      </w:r>
      <w:r>
        <w:rPr>
          <w:spacing w:val="-2"/>
          <w:sz w:val="18"/>
          <w:vertAlign w:val="baseline"/>
        </w:rPr>
        <w:t> </w:t>
      </w:r>
      <w:r>
        <w:rPr>
          <w:sz w:val="18"/>
          <w:vertAlign w:val="baseline"/>
        </w:rPr>
        <w:t>(January</w:t>
      </w:r>
      <w:r>
        <w:rPr>
          <w:spacing w:val="-2"/>
          <w:sz w:val="18"/>
          <w:vertAlign w:val="baseline"/>
        </w:rPr>
        <w:t> </w:t>
      </w:r>
      <w:r>
        <w:rPr>
          <w:sz w:val="18"/>
          <w:vertAlign w:val="baseline"/>
        </w:rPr>
        <w:t>4, 2024). https:</w:t>
      </w:r>
      <w:hyperlink r:id="rId673">
        <w:r>
          <w:rPr>
            <w:sz w:val="18"/>
            <w:vertAlign w:val="baseline"/>
          </w:rPr>
          <w:t>//www.boston.com/real-estate/renting/2024/01/04/an-in-depth-look-at-the-massachusetts-rental-market-</w:t>
        </w:r>
      </w:hyperlink>
      <w:r>
        <w:rPr>
          <w:sz w:val="18"/>
          <w:vertAlign w:val="baseline"/>
        </w:rPr>
        <w:t> </w:t>
      </w:r>
      <w:r>
        <w:rPr>
          <w:spacing w:val="-4"/>
          <w:sz w:val="18"/>
          <w:vertAlign w:val="baseline"/>
        </w:rPr>
        <w:t>jan/</w:t>
      </w:r>
    </w:p>
    <w:p>
      <w:pPr>
        <w:spacing w:before="0"/>
        <w:ind w:left="464" w:right="463" w:firstLine="0"/>
        <w:jc w:val="left"/>
        <w:rPr>
          <w:sz w:val="18"/>
        </w:rPr>
      </w:pPr>
      <w:bookmarkStart w:name="_bookmark587" w:id="882"/>
      <w:bookmarkEnd w:id="882"/>
      <w:r>
        <w:rPr/>
      </w:r>
      <w:r>
        <w:rPr>
          <w:sz w:val="18"/>
          <w:vertAlign w:val="superscript"/>
        </w:rPr>
        <w:t>33</w:t>
      </w:r>
      <w:r>
        <w:rPr>
          <w:sz w:val="18"/>
          <w:vertAlign w:val="baseline"/>
        </w:rPr>
        <w:t> Fry, Richard, Jeffrey S. Passel, and D’vera Cohn. “A Majority of Young Adults in the U.S. Live with Their Parents for the First</w:t>
      </w:r>
      <w:r>
        <w:rPr>
          <w:spacing w:val="-4"/>
          <w:sz w:val="18"/>
          <w:vertAlign w:val="baseline"/>
        </w:rPr>
        <w:t> </w:t>
      </w:r>
      <w:r>
        <w:rPr>
          <w:sz w:val="18"/>
          <w:vertAlign w:val="baseline"/>
        </w:rPr>
        <w:t>Time</w:t>
      </w:r>
      <w:r>
        <w:rPr>
          <w:spacing w:val="-3"/>
          <w:sz w:val="18"/>
          <w:vertAlign w:val="baseline"/>
        </w:rPr>
        <w:t> </w:t>
      </w:r>
      <w:r>
        <w:rPr>
          <w:sz w:val="18"/>
          <w:vertAlign w:val="baseline"/>
        </w:rPr>
        <w:t>since</w:t>
      </w:r>
      <w:r>
        <w:rPr>
          <w:spacing w:val="-3"/>
          <w:sz w:val="18"/>
          <w:vertAlign w:val="baseline"/>
        </w:rPr>
        <w:t> </w:t>
      </w:r>
      <w:r>
        <w:rPr>
          <w:sz w:val="18"/>
          <w:vertAlign w:val="baseline"/>
        </w:rPr>
        <w:t>the</w:t>
      </w:r>
      <w:r>
        <w:rPr>
          <w:spacing w:val="-3"/>
          <w:sz w:val="18"/>
          <w:vertAlign w:val="baseline"/>
        </w:rPr>
        <w:t> </w:t>
      </w:r>
      <w:r>
        <w:rPr>
          <w:sz w:val="18"/>
          <w:vertAlign w:val="baseline"/>
        </w:rPr>
        <w:t>Great</w:t>
      </w:r>
      <w:r>
        <w:rPr>
          <w:spacing w:val="-4"/>
          <w:sz w:val="18"/>
          <w:vertAlign w:val="baseline"/>
        </w:rPr>
        <w:t> </w:t>
      </w:r>
      <w:r>
        <w:rPr>
          <w:sz w:val="18"/>
          <w:vertAlign w:val="baseline"/>
        </w:rPr>
        <w:t>Depression.”</w:t>
      </w:r>
      <w:r>
        <w:rPr>
          <w:spacing w:val="-3"/>
          <w:sz w:val="18"/>
          <w:vertAlign w:val="baseline"/>
        </w:rPr>
        <w:t> </w:t>
      </w:r>
      <w:r>
        <w:rPr>
          <w:sz w:val="18"/>
          <w:vertAlign w:val="baseline"/>
        </w:rPr>
        <w:t>Pew</w:t>
      </w:r>
      <w:r>
        <w:rPr>
          <w:spacing w:val="-4"/>
          <w:sz w:val="18"/>
          <w:vertAlign w:val="baseline"/>
        </w:rPr>
        <w:t> </w:t>
      </w:r>
      <w:r>
        <w:rPr>
          <w:sz w:val="18"/>
          <w:vertAlign w:val="baseline"/>
        </w:rPr>
        <w:t>Research</w:t>
      </w:r>
      <w:r>
        <w:rPr>
          <w:spacing w:val="-3"/>
          <w:sz w:val="18"/>
          <w:vertAlign w:val="baseline"/>
        </w:rPr>
        <w:t> </w:t>
      </w:r>
      <w:r>
        <w:rPr>
          <w:sz w:val="18"/>
          <w:vertAlign w:val="baseline"/>
        </w:rPr>
        <w:t>Center</w:t>
      </w:r>
      <w:r>
        <w:rPr>
          <w:spacing w:val="-4"/>
          <w:sz w:val="18"/>
          <w:vertAlign w:val="baseline"/>
        </w:rPr>
        <w:t> </w:t>
      </w:r>
      <w:r>
        <w:rPr>
          <w:sz w:val="18"/>
          <w:vertAlign w:val="baseline"/>
        </w:rPr>
        <w:t>(September</w:t>
      </w:r>
      <w:r>
        <w:rPr>
          <w:spacing w:val="-4"/>
          <w:sz w:val="18"/>
          <w:vertAlign w:val="baseline"/>
        </w:rPr>
        <w:t> </w:t>
      </w:r>
      <w:r>
        <w:rPr>
          <w:sz w:val="18"/>
          <w:vertAlign w:val="baseline"/>
        </w:rPr>
        <w:t>4,</w:t>
      </w:r>
      <w:r>
        <w:rPr>
          <w:spacing w:val="-4"/>
          <w:sz w:val="18"/>
          <w:vertAlign w:val="baseline"/>
        </w:rPr>
        <w:t> </w:t>
      </w:r>
      <w:r>
        <w:rPr>
          <w:sz w:val="18"/>
          <w:vertAlign w:val="baseline"/>
        </w:rPr>
        <w:t>2020).</w:t>
      </w:r>
      <w:r>
        <w:rPr>
          <w:spacing w:val="-3"/>
          <w:sz w:val="18"/>
          <w:vertAlign w:val="baseline"/>
        </w:rPr>
        <w:t> </w:t>
      </w:r>
      <w:r>
        <w:rPr>
          <w:sz w:val="18"/>
          <w:vertAlign w:val="baseline"/>
        </w:rPr>
        <w:t>https:</w:t>
      </w:r>
      <w:hyperlink r:id="rId674">
        <w:r>
          <w:rPr>
            <w:sz w:val="18"/>
            <w:vertAlign w:val="baseline"/>
          </w:rPr>
          <w:t>//www.pewresearch.org/short-</w:t>
        </w:r>
      </w:hyperlink>
      <w:r>
        <w:rPr>
          <w:sz w:val="18"/>
          <w:vertAlign w:val="baseline"/>
        </w:rPr>
        <w:t> </w:t>
      </w:r>
      <w:r>
        <w:rPr>
          <w:spacing w:val="-2"/>
          <w:sz w:val="18"/>
          <w:vertAlign w:val="baseline"/>
        </w:rPr>
        <w:t>reads/2020/09/04/a-majority-of-young-adults-in-the-u-s-live-with-their-parents-for-the-first-time-since-the-great-</w:t>
      </w:r>
      <w:r>
        <w:rPr>
          <w:sz w:val="18"/>
          <w:vertAlign w:val="baseline"/>
        </w:rPr>
        <w:t> </w:t>
      </w:r>
      <w:r>
        <w:rPr>
          <w:spacing w:val="-2"/>
          <w:sz w:val="18"/>
          <w:vertAlign w:val="baseline"/>
        </w:rPr>
        <w:t>depression/</w:t>
      </w:r>
    </w:p>
    <w:p>
      <w:pPr>
        <w:spacing w:before="0"/>
        <w:ind w:left="464" w:right="249" w:firstLine="0"/>
        <w:jc w:val="left"/>
        <w:rPr>
          <w:sz w:val="18"/>
        </w:rPr>
      </w:pPr>
      <w:bookmarkStart w:name="_bookmark588" w:id="883"/>
      <w:bookmarkEnd w:id="883"/>
      <w:r>
        <w:rPr/>
      </w:r>
      <w:r>
        <w:rPr>
          <w:sz w:val="18"/>
          <w:vertAlign w:val="superscript"/>
        </w:rPr>
        <w:t>34</w:t>
      </w:r>
      <w:r>
        <w:rPr>
          <w:spacing w:val="-2"/>
          <w:sz w:val="18"/>
          <w:vertAlign w:val="baseline"/>
        </w:rPr>
        <w:t> </w:t>
      </w:r>
      <w:r>
        <w:rPr>
          <w:sz w:val="18"/>
          <w:vertAlign w:val="baseline"/>
        </w:rPr>
        <w:t>DeChants,</w:t>
      </w:r>
      <w:r>
        <w:rPr>
          <w:spacing w:val="-3"/>
          <w:sz w:val="18"/>
          <w:vertAlign w:val="baseline"/>
        </w:rPr>
        <w:t> </w:t>
      </w:r>
      <w:r>
        <w:rPr>
          <w:sz w:val="18"/>
          <w:vertAlign w:val="baseline"/>
        </w:rPr>
        <w:t>J.P.,</w:t>
      </w:r>
      <w:r>
        <w:rPr>
          <w:spacing w:val="-4"/>
          <w:sz w:val="18"/>
          <w:vertAlign w:val="baseline"/>
        </w:rPr>
        <w:t> </w:t>
      </w:r>
      <w:r>
        <w:rPr>
          <w:sz w:val="18"/>
          <w:vertAlign w:val="baseline"/>
        </w:rPr>
        <w:t>Green,</w:t>
      </w:r>
      <w:r>
        <w:rPr>
          <w:spacing w:val="-3"/>
          <w:sz w:val="18"/>
          <w:vertAlign w:val="baseline"/>
        </w:rPr>
        <w:t> </w:t>
      </w:r>
      <w:r>
        <w:rPr>
          <w:sz w:val="18"/>
          <w:vertAlign w:val="baseline"/>
        </w:rPr>
        <w:t>A.E.,</w:t>
      </w:r>
      <w:r>
        <w:rPr>
          <w:spacing w:val="-3"/>
          <w:sz w:val="18"/>
          <w:vertAlign w:val="baseline"/>
        </w:rPr>
        <w:t> </w:t>
      </w:r>
      <w:r>
        <w:rPr>
          <w:sz w:val="18"/>
          <w:vertAlign w:val="baseline"/>
        </w:rPr>
        <w:t>Price,</w:t>
      </w:r>
      <w:r>
        <w:rPr>
          <w:spacing w:val="-3"/>
          <w:sz w:val="18"/>
          <w:vertAlign w:val="baseline"/>
        </w:rPr>
        <w:t> </w:t>
      </w:r>
      <w:r>
        <w:rPr>
          <w:sz w:val="18"/>
          <w:vertAlign w:val="baseline"/>
        </w:rPr>
        <w:t>M.N,</w:t>
      </w:r>
      <w:r>
        <w:rPr>
          <w:spacing w:val="-3"/>
          <w:sz w:val="18"/>
          <w:vertAlign w:val="baseline"/>
        </w:rPr>
        <w:t> </w:t>
      </w:r>
      <w:r>
        <w:rPr>
          <w:sz w:val="18"/>
          <w:vertAlign w:val="baseline"/>
        </w:rPr>
        <w:t>&amp;</w:t>
      </w:r>
      <w:r>
        <w:rPr>
          <w:spacing w:val="-3"/>
          <w:sz w:val="18"/>
          <w:vertAlign w:val="baseline"/>
        </w:rPr>
        <w:t> </w:t>
      </w:r>
      <w:r>
        <w:rPr>
          <w:sz w:val="18"/>
          <w:vertAlign w:val="baseline"/>
        </w:rPr>
        <w:t>Davis,</w:t>
      </w:r>
      <w:r>
        <w:rPr>
          <w:spacing w:val="-2"/>
          <w:sz w:val="18"/>
          <w:vertAlign w:val="baseline"/>
        </w:rPr>
        <w:t> </w:t>
      </w:r>
      <w:r>
        <w:rPr>
          <w:sz w:val="18"/>
          <w:vertAlign w:val="baseline"/>
        </w:rPr>
        <w:t>C.K.</w:t>
      </w:r>
      <w:r>
        <w:rPr>
          <w:spacing w:val="-2"/>
          <w:sz w:val="18"/>
          <w:vertAlign w:val="baseline"/>
        </w:rPr>
        <w:t> </w:t>
      </w:r>
      <w:r>
        <w:rPr>
          <w:sz w:val="18"/>
          <w:vertAlign w:val="baseline"/>
        </w:rPr>
        <w:t>2021.</w:t>
      </w:r>
      <w:r>
        <w:rPr>
          <w:spacing w:val="-2"/>
          <w:sz w:val="18"/>
          <w:vertAlign w:val="baseline"/>
        </w:rPr>
        <w:t> </w:t>
      </w:r>
      <w:r>
        <w:rPr>
          <w:sz w:val="18"/>
          <w:vertAlign w:val="baseline"/>
        </w:rPr>
        <w:t>Homelessness</w:t>
      </w:r>
      <w:r>
        <w:rPr>
          <w:spacing w:val="-2"/>
          <w:sz w:val="18"/>
          <w:vertAlign w:val="baseline"/>
        </w:rPr>
        <w:t> </w:t>
      </w:r>
      <w:r>
        <w:rPr>
          <w:sz w:val="18"/>
          <w:vertAlign w:val="baseline"/>
        </w:rPr>
        <w:t>and</w:t>
      </w:r>
      <w:r>
        <w:rPr>
          <w:spacing w:val="-3"/>
          <w:sz w:val="18"/>
          <w:vertAlign w:val="baseline"/>
        </w:rPr>
        <w:t> </w:t>
      </w:r>
      <w:r>
        <w:rPr>
          <w:sz w:val="18"/>
          <w:vertAlign w:val="baseline"/>
        </w:rPr>
        <w:t>Housing</w:t>
      </w:r>
      <w:r>
        <w:rPr>
          <w:spacing w:val="-2"/>
          <w:sz w:val="18"/>
          <w:vertAlign w:val="baseline"/>
        </w:rPr>
        <w:t> </w:t>
      </w:r>
      <w:r>
        <w:rPr>
          <w:sz w:val="18"/>
          <w:vertAlign w:val="baseline"/>
        </w:rPr>
        <w:t>Instability</w:t>
      </w:r>
      <w:r>
        <w:rPr>
          <w:spacing w:val="-1"/>
          <w:sz w:val="18"/>
          <w:vertAlign w:val="baseline"/>
        </w:rPr>
        <w:t> </w:t>
      </w:r>
      <w:r>
        <w:rPr>
          <w:sz w:val="18"/>
          <w:vertAlign w:val="baseline"/>
        </w:rPr>
        <w:t>Among</w:t>
      </w:r>
      <w:r>
        <w:rPr>
          <w:spacing w:val="-2"/>
          <w:sz w:val="18"/>
          <w:vertAlign w:val="baseline"/>
        </w:rPr>
        <w:t> </w:t>
      </w:r>
      <w:r>
        <w:rPr>
          <w:sz w:val="18"/>
          <w:vertAlign w:val="baseline"/>
        </w:rPr>
        <w:t>LGBTQ</w:t>
      </w:r>
      <w:r>
        <w:rPr>
          <w:spacing w:val="-2"/>
          <w:sz w:val="18"/>
          <w:vertAlign w:val="baseline"/>
        </w:rPr>
        <w:t> </w:t>
      </w:r>
      <w:r>
        <w:rPr>
          <w:sz w:val="18"/>
          <w:vertAlign w:val="baseline"/>
        </w:rPr>
        <w:t>Youth. West Hollywood, CA The Trevor Project.</w:t>
      </w:r>
    </w:p>
    <w:p>
      <w:pPr>
        <w:spacing w:before="0"/>
        <w:ind w:left="464" w:right="276" w:firstLine="0"/>
        <w:jc w:val="left"/>
        <w:rPr>
          <w:sz w:val="18"/>
        </w:rPr>
      </w:pPr>
      <w:bookmarkStart w:name="_bookmark589" w:id="884"/>
      <w:bookmarkEnd w:id="884"/>
      <w:r>
        <w:rPr/>
      </w:r>
      <w:r>
        <w:rPr>
          <w:sz w:val="18"/>
          <w:vertAlign w:val="superscript"/>
        </w:rPr>
        <w:t>35</w:t>
      </w:r>
      <w:r>
        <w:rPr>
          <w:sz w:val="18"/>
          <w:vertAlign w:val="baseline"/>
        </w:rPr>
        <w:t> Lisinski, Chris. “Healey Unveils $4.1B Affordable Housing Act Aimed at Increasing Production, Lowering Costs.” NBC Boston</w:t>
      </w:r>
      <w:r>
        <w:rPr>
          <w:spacing w:val="-9"/>
          <w:sz w:val="18"/>
          <w:vertAlign w:val="baseline"/>
        </w:rPr>
        <w:t> </w:t>
      </w:r>
      <w:r>
        <w:rPr>
          <w:sz w:val="18"/>
          <w:vertAlign w:val="baseline"/>
        </w:rPr>
        <w:t>(October</w:t>
      </w:r>
      <w:r>
        <w:rPr>
          <w:spacing w:val="-10"/>
          <w:sz w:val="18"/>
          <w:vertAlign w:val="baseline"/>
        </w:rPr>
        <w:t> </w:t>
      </w:r>
      <w:r>
        <w:rPr>
          <w:sz w:val="18"/>
          <w:vertAlign w:val="baseline"/>
        </w:rPr>
        <w:t>18,</w:t>
      </w:r>
      <w:r>
        <w:rPr>
          <w:spacing w:val="-10"/>
          <w:sz w:val="18"/>
          <w:vertAlign w:val="baseline"/>
        </w:rPr>
        <w:t> </w:t>
      </w:r>
      <w:r>
        <w:rPr>
          <w:sz w:val="18"/>
          <w:vertAlign w:val="baseline"/>
        </w:rPr>
        <w:t>2023).</w:t>
      </w:r>
      <w:r>
        <w:rPr>
          <w:spacing w:val="-9"/>
          <w:sz w:val="18"/>
          <w:vertAlign w:val="baseline"/>
        </w:rPr>
        <w:t> </w:t>
      </w:r>
      <w:hyperlink r:id="rId675">
        <w:r>
          <w:rPr>
            <w:sz w:val="18"/>
            <w:vertAlign w:val="baseline"/>
          </w:rPr>
          <w:t>www.nbcboston.com/news/local/healey-to-unveil-4-1-billion-affordable-housing-act-aimed-at-</w:t>
        </w:r>
      </w:hyperlink>
      <w:r>
        <w:rPr>
          <w:sz w:val="18"/>
          <w:vertAlign w:val="baseline"/>
        </w:rPr>
        <w:t> </w:t>
      </w:r>
      <w:r>
        <w:rPr>
          <w:spacing w:val="-2"/>
          <w:sz w:val="18"/>
          <w:vertAlign w:val="baseline"/>
        </w:rPr>
        <w:t>increasing-production-lowering-costs/3163488/</w:t>
      </w:r>
    </w:p>
    <w:p>
      <w:pPr>
        <w:spacing w:before="0"/>
        <w:ind w:left="464" w:right="469" w:firstLine="0"/>
        <w:jc w:val="left"/>
        <w:rPr>
          <w:sz w:val="18"/>
        </w:rPr>
      </w:pPr>
      <w:bookmarkStart w:name="_bookmark590" w:id="885"/>
      <w:bookmarkEnd w:id="885"/>
      <w:r>
        <w:rPr/>
      </w:r>
      <w:r>
        <w:rPr>
          <w:sz w:val="18"/>
          <w:vertAlign w:val="superscript"/>
        </w:rPr>
        <w:t>36</w:t>
      </w:r>
      <w:r>
        <w:rPr>
          <w:sz w:val="18"/>
          <w:vertAlign w:val="baseline"/>
        </w:rPr>
        <w:t> Law, Jason, and Lindsey Thorpe. “Gov. Healey Discusses Goals for Housing Crisis, Childcare, MBTA at First State of the Commonwealth.”</w:t>
      </w:r>
      <w:r>
        <w:rPr>
          <w:spacing w:val="-5"/>
          <w:sz w:val="18"/>
          <w:vertAlign w:val="baseline"/>
        </w:rPr>
        <w:t> </w:t>
      </w:r>
      <w:r>
        <w:rPr>
          <w:sz w:val="18"/>
          <w:vertAlign w:val="baseline"/>
        </w:rPr>
        <w:t>Boston</w:t>
      </w:r>
      <w:r>
        <w:rPr>
          <w:spacing w:val="-5"/>
          <w:sz w:val="18"/>
          <w:vertAlign w:val="baseline"/>
        </w:rPr>
        <w:t> </w:t>
      </w:r>
      <w:r>
        <w:rPr>
          <w:sz w:val="18"/>
          <w:vertAlign w:val="baseline"/>
        </w:rPr>
        <w:t>25</w:t>
      </w:r>
      <w:r>
        <w:rPr>
          <w:spacing w:val="-5"/>
          <w:sz w:val="18"/>
          <w:vertAlign w:val="baseline"/>
        </w:rPr>
        <w:t> </w:t>
      </w:r>
      <w:r>
        <w:rPr>
          <w:sz w:val="18"/>
          <w:vertAlign w:val="baseline"/>
        </w:rPr>
        <w:t>News</w:t>
      </w:r>
      <w:r>
        <w:rPr>
          <w:spacing w:val="-5"/>
          <w:sz w:val="18"/>
          <w:vertAlign w:val="baseline"/>
        </w:rPr>
        <w:t> </w:t>
      </w:r>
      <w:r>
        <w:rPr>
          <w:sz w:val="18"/>
          <w:vertAlign w:val="baseline"/>
        </w:rPr>
        <w:t>(January</w:t>
      </w:r>
      <w:r>
        <w:rPr>
          <w:spacing w:val="-5"/>
          <w:sz w:val="18"/>
          <w:vertAlign w:val="baseline"/>
        </w:rPr>
        <w:t> </w:t>
      </w:r>
      <w:r>
        <w:rPr>
          <w:sz w:val="18"/>
          <w:vertAlign w:val="baseline"/>
        </w:rPr>
        <w:t>18,</w:t>
      </w:r>
      <w:r>
        <w:rPr>
          <w:spacing w:val="-6"/>
          <w:sz w:val="18"/>
          <w:vertAlign w:val="baseline"/>
        </w:rPr>
        <w:t> </w:t>
      </w:r>
      <w:r>
        <w:rPr>
          <w:sz w:val="18"/>
          <w:vertAlign w:val="baseline"/>
        </w:rPr>
        <w:t>2024).</w:t>
      </w:r>
      <w:r>
        <w:rPr>
          <w:spacing w:val="-5"/>
          <w:sz w:val="18"/>
          <w:vertAlign w:val="baseline"/>
        </w:rPr>
        <w:t> </w:t>
      </w:r>
      <w:hyperlink r:id="rId676">
        <w:r>
          <w:rPr>
            <w:sz w:val="18"/>
            <w:vertAlign w:val="baseline"/>
          </w:rPr>
          <w:t>www.boston25news.com/news/local/gov-healey-discusses-goals-</w:t>
        </w:r>
      </w:hyperlink>
      <w:r>
        <w:rPr>
          <w:sz w:val="18"/>
          <w:vertAlign w:val="baseline"/>
        </w:rPr>
        <w:t> </w:t>
      </w:r>
      <w:r>
        <w:rPr>
          <w:spacing w:val="-2"/>
          <w:sz w:val="18"/>
          <w:vertAlign w:val="baseline"/>
        </w:rPr>
        <w:t>housing-crisis-childcare-mbta-first-state-commonwealth/53U74VXLMBDL3CYJI4NE2XHXVE/</w:t>
      </w:r>
    </w:p>
    <w:p>
      <w:pPr>
        <w:spacing w:line="219" w:lineRule="exact" w:before="0"/>
        <w:ind w:left="464" w:right="0" w:firstLine="0"/>
        <w:jc w:val="left"/>
        <w:rPr>
          <w:sz w:val="18"/>
        </w:rPr>
      </w:pPr>
      <w:bookmarkStart w:name="_bookmark591" w:id="886"/>
      <w:bookmarkEnd w:id="886"/>
      <w:r>
        <w:rPr/>
      </w:r>
      <w:r>
        <w:rPr>
          <w:sz w:val="18"/>
          <w:vertAlign w:val="superscript"/>
        </w:rPr>
        <w:t>37</w:t>
      </w:r>
      <w:r>
        <w:rPr>
          <w:spacing w:val="-5"/>
          <w:sz w:val="18"/>
          <w:vertAlign w:val="baseline"/>
        </w:rPr>
        <w:t> </w:t>
      </w:r>
      <w:r>
        <w:rPr>
          <w:sz w:val="18"/>
          <w:vertAlign w:val="baseline"/>
        </w:rPr>
        <w:t>Bureau</w:t>
      </w:r>
      <w:r>
        <w:rPr>
          <w:spacing w:val="-2"/>
          <w:sz w:val="18"/>
          <w:vertAlign w:val="baseline"/>
        </w:rPr>
        <w:t> </w:t>
      </w:r>
      <w:r>
        <w:rPr>
          <w:sz w:val="18"/>
          <w:vertAlign w:val="baseline"/>
        </w:rPr>
        <w:t>of</w:t>
      </w:r>
      <w:r>
        <w:rPr>
          <w:spacing w:val="-2"/>
          <w:sz w:val="18"/>
          <w:vertAlign w:val="baseline"/>
        </w:rPr>
        <w:t> </w:t>
      </w:r>
      <w:r>
        <w:rPr>
          <w:sz w:val="18"/>
          <w:vertAlign w:val="baseline"/>
        </w:rPr>
        <w:t>Labor</w:t>
      </w:r>
      <w:r>
        <w:rPr>
          <w:spacing w:val="-2"/>
          <w:sz w:val="18"/>
          <w:vertAlign w:val="baseline"/>
        </w:rPr>
        <w:t> </w:t>
      </w:r>
      <w:r>
        <w:rPr>
          <w:sz w:val="18"/>
          <w:vertAlign w:val="baseline"/>
        </w:rPr>
        <w:t>Statistics.</w:t>
      </w:r>
      <w:r>
        <w:rPr>
          <w:spacing w:val="-3"/>
          <w:sz w:val="18"/>
          <w:vertAlign w:val="baseline"/>
        </w:rPr>
        <w:t> </w:t>
      </w:r>
      <w:r>
        <w:rPr>
          <w:sz w:val="18"/>
          <w:vertAlign w:val="baseline"/>
        </w:rPr>
        <w:t>“Education</w:t>
      </w:r>
      <w:r>
        <w:rPr>
          <w:spacing w:val="-2"/>
          <w:sz w:val="18"/>
          <w:vertAlign w:val="baseline"/>
        </w:rPr>
        <w:t> </w:t>
      </w:r>
      <w:r>
        <w:rPr>
          <w:sz w:val="18"/>
          <w:vertAlign w:val="baseline"/>
        </w:rPr>
        <w:t>Pays,</w:t>
      </w:r>
      <w:r>
        <w:rPr>
          <w:spacing w:val="-2"/>
          <w:sz w:val="18"/>
          <w:vertAlign w:val="baseline"/>
        </w:rPr>
        <w:t> </w:t>
      </w:r>
      <w:r>
        <w:rPr>
          <w:sz w:val="18"/>
          <w:vertAlign w:val="baseline"/>
        </w:rPr>
        <w:t>2022</w:t>
      </w:r>
      <w:r>
        <w:rPr>
          <w:spacing w:val="-3"/>
          <w:sz w:val="18"/>
          <w:vertAlign w:val="baseline"/>
        </w:rPr>
        <w:t> </w:t>
      </w:r>
      <w:r>
        <w:rPr>
          <w:sz w:val="18"/>
          <w:vertAlign w:val="baseline"/>
        </w:rPr>
        <w:t>:</w:t>
      </w:r>
      <w:r>
        <w:rPr>
          <w:spacing w:val="-2"/>
          <w:sz w:val="18"/>
          <w:vertAlign w:val="baseline"/>
        </w:rPr>
        <w:t> </w:t>
      </w:r>
      <w:r>
        <w:rPr>
          <w:sz w:val="18"/>
          <w:vertAlign w:val="baseline"/>
        </w:rPr>
        <w:t>Career</w:t>
      </w:r>
      <w:r>
        <w:rPr>
          <w:spacing w:val="-2"/>
          <w:sz w:val="18"/>
          <w:vertAlign w:val="baseline"/>
        </w:rPr>
        <w:t> </w:t>
      </w:r>
      <w:r>
        <w:rPr>
          <w:sz w:val="18"/>
          <w:vertAlign w:val="baseline"/>
        </w:rPr>
        <w:t>Outlook:</w:t>
      </w:r>
      <w:r>
        <w:rPr>
          <w:spacing w:val="-3"/>
          <w:sz w:val="18"/>
          <w:vertAlign w:val="baseline"/>
        </w:rPr>
        <w:t> </w:t>
      </w:r>
      <w:r>
        <w:rPr>
          <w:sz w:val="18"/>
          <w:vertAlign w:val="baseline"/>
        </w:rPr>
        <w:t>U.S.</w:t>
      </w:r>
      <w:r>
        <w:rPr>
          <w:spacing w:val="-2"/>
          <w:sz w:val="18"/>
          <w:vertAlign w:val="baseline"/>
        </w:rPr>
        <w:t> </w:t>
      </w:r>
      <w:r>
        <w:rPr>
          <w:sz w:val="18"/>
          <w:vertAlign w:val="baseline"/>
        </w:rPr>
        <w:t>Bureau</w:t>
      </w:r>
      <w:r>
        <w:rPr>
          <w:spacing w:val="-2"/>
          <w:sz w:val="18"/>
          <w:vertAlign w:val="baseline"/>
        </w:rPr>
        <w:t> </w:t>
      </w:r>
      <w:r>
        <w:rPr>
          <w:sz w:val="18"/>
          <w:vertAlign w:val="baseline"/>
        </w:rPr>
        <w:t>of</w:t>
      </w:r>
      <w:r>
        <w:rPr>
          <w:spacing w:val="-2"/>
          <w:sz w:val="18"/>
          <w:vertAlign w:val="baseline"/>
        </w:rPr>
        <w:t> </w:t>
      </w:r>
      <w:r>
        <w:rPr>
          <w:sz w:val="18"/>
          <w:vertAlign w:val="baseline"/>
        </w:rPr>
        <w:t>Labor</w:t>
      </w:r>
      <w:r>
        <w:rPr>
          <w:spacing w:val="-3"/>
          <w:sz w:val="18"/>
          <w:vertAlign w:val="baseline"/>
        </w:rPr>
        <w:t> </w:t>
      </w:r>
      <w:r>
        <w:rPr>
          <w:sz w:val="18"/>
          <w:vertAlign w:val="baseline"/>
        </w:rPr>
        <w:t>Statistics.”</w:t>
      </w:r>
      <w:r>
        <w:rPr>
          <w:spacing w:val="-2"/>
          <w:sz w:val="18"/>
          <w:vertAlign w:val="baseline"/>
        </w:rPr>
        <w:t> </w:t>
      </w:r>
      <w:r>
        <w:rPr>
          <w:sz w:val="18"/>
          <w:vertAlign w:val="baseline"/>
        </w:rPr>
        <w:t>(May</w:t>
      </w:r>
      <w:r>
        <w:rPr>
          <w:spacing w:val="-2"/>
          <w:sz w:val="18"/>
          <w:vertAlign w:val="baseline"/>
        </w:rPr>
        <w:t> 2023).</w:t>
      </w:r>
    </w:p>
    <w:p>
      <w:pPr>
        <w:spacing w:before="0"/>
        <w:ind w:left="464" w:right="0" w:firstLine="0"/>
        <w:jc w:val="left"/>
        <w:rPr>
          <w:sz w:val="18"/>
        </w:rPr>
      </w:pPr>
      <w:r>
        <w:rPr>
          <w:spacing w:val="-2"/>
          <w:sz w:val="18"/>
        </w:rPr>
        <w:t>https://</w:t>
      </w:r>
      <w:hyperlink r:id="rId677">
        <w:r>
          <w:rPr>
            <w:spacing w:val="-2"/>
            <w:sz w:val="18"/>
          </w:rPr>
          <w:t>www.bls.gov/careeroutlook/2023/data-on-display/education-pays.htm</w:t>
        </w:r>
      </w:hyperlink>
    </w:p>
    <w:p>
      <w:pPr>
        <w:spacing w:before="0"/>
        <w:ind w:left="464" w:right="887" w:firstLine="0"/>
        <w:jc w:val="left"/>
        <w:rPr>
          <w:sz w:val="18"/>
        </w:rPr>
      </w:pPr>
      <w:bookmarkStart w:name="_bookmark592" w:id="887"/>
      <w:bookmarkEnd w:id="887"/>
      <w:r>
        <w:rPr/>
      </w:r>
      <w:r>
        <w:rPr>
          <w:sz w:val="18"/>
          <w:vertAlign w:val="superscript"/>
        </w:rPr>
        <w:t>38</w:t>
      </w:r>
      <w:r>
        <w:rPr>
          <w:spacing w:val="-2"/>
          <w:sz w:val="18"/>
          <w:vertAlign w:val="baseline"/>
        </w:rPr>
        <w:t> </w:t>
      </w:r>
      <w:r>
        <w:rPr>
          <w:sz w:val="18"/>
          <w:vertAlign w:val="baseline"/>
        </w:rPr>
        <w:t>Kosciw,</w:t>
      </w:r>
      <w:r>
        <w:rPr>
          <w:spacing w:val="-3"/>
          <w:sz w:val="18"/>
          <w:vertAlign w:val="baseline"/>
        </w:rPr>
        <w:t> </w:t>
      </w:r>
      <w:r>
        <w:rPr>
          <w:sz w:val="18"/>
          <w:vertAlign w:val="baseline"/>
        </w:rPr>
        <w:t>Joseph</w:t>
      </w:r>
      <w:r>
        <w:rPr>
          <w:spacing w:val="-2"/>
          <w:sz w:val="18"/>
          <w:vertAlign w:val="baseline"/>
        </w:rPr>
        <w:t> </w:t>
      </w:r>
      <w:r>
        <w:rPr>
          <w:sz w:val="18"/>
          <w:vertAlign w:val="baseline"/>
        </w:rPr>
        <w:t>G.,</w:t>
      </w:r>
      <w:r>
        <w:rPr>
          <w:spacing w:val="-3"/>
          <w:sz w:val="18"/>
          <w:vertAlign w:val="baseline"/>
        </w:rPr>
        <w:t> </w:t>
      </w:r>
      <w:r>
        <w:rPr>
          <w:sz w:val="18"/>
          <w:vertAlign w:val="baseline"/>
        </w:rPr>
        <w:t>Caitlin</w:t>
      </w:r>
      <w:r>
        <w:rPr>
          <w:spacing w:val="-2"/>
          <w:sz w:val="18"/>
          <w:vertAlign w:val="baseline"/>
        </w:rPr>
        <w:t> </w:t>
      </w:r>
      <w:r>
        <w:rPr>
          <w:sz w:val="18"/>
          <w:vertAlign w:val="baseline"/>
        </w:rPr>
        <w:t>M.</w:t>
      </w:r>
      <w:r>
        <w:rPr>
          <w:spacing w:val="-2"/>
          <w:sz w:val="18"/>
          <w:vertAlign w:val="baseline"/>
        </w:rPr>
        <w:t> </w:t>
      </w:r>
      <w:r>
        <w:rPr>
          <w:sz w:val="18"/>
          <w:vertAlign w:val="baseline"/>
        </w:rPr>
        <w:t>Clark,</w:t>
      </w:r>
      <w:r>
        <w:rPr>
          <w:spacing w:val="-3"/>
          <w:sz w:val="18"/>
          <w:vertAlign w:val="baseline"/>
        </w:rPr>
        <w:t> </w:t>
      </w:r>
      <w:r>
        <w:rPr>
          <w:sz w:val="18"/>
          <w:vertAlign w:val="baseline"/>
        </w:rPr>
        <w:t>and</w:t>
      </w:r>
      <w:r>
        <w:rPr>
          <w:spacing w:val="-2"/>
          <w:sz w:val="18"/>
          <w:vertAlign w:val="baseline"/>
        </w:rPr>
        <w:t> </w:t>
      </w:r>
      <w:r>
        <w:rPr>
          <w:sz w:val="18"/>
          <w:vertAlign w:val="baseline"/>
        </w:rPr>
        <w:t>Leesh</w:t>
      </w:r>
      <w:r>
        <w:rPr>
          <w:spacing w:val="-2"/>
          <w:sz w:val="18"/>
          <w:vertAlign w:val="baseline"/>
        </w:rPr>
        <w:t> </w:t>
      </w:r>
      <w:r>
        <w:rPr>
          <w:sz w:val="18"/>
          <w:vertAlign w:val="baseline"/>
        </w:rPr>
        <w:t>Menard.</w:t>
      </w:r>
      <w:r>
        <w:rPr>
          <w:spacing w:val="-2"/>
          <w:sz w:val="18"/>
          <w:vertAlign w:val="baseline"/>
        </w:rPr>
        <w:t> </w:t>
      </w:r>
      <w:r>
        <w:rPr>
          <w:sz w:val="18"/>
          <w:vertAlign w:val="baseline"/>
        </w:rPr>
        <w:t>“The</w:t>
      </w:r>
      <w:r>
        <w:rPr>
          <w:spacing w:val="-2"/>
          <w:sz w:val="18"/>
          <w:vertAlign w:val="baseline"/>
        </w:rPr>
        <w:t> </w:t>
      </w:r>
      <w:r>
        <w:rPr>
          <w:sz w:val="18"/>
          <w:vertAlign w:val="baseline"/>
        </w:rPr>
        <w:t>2021</w:t>
      </w:r>
      <w:r>
        <w:rPr>
          <w:spacing w:val="-2"/>
          <w:sz w:val="18"/>
          <w:vertAlign w:val="baseline"/>
        </w:rPr>
        <w:t> </w:t>
      </w:r>
      <w:r>
        <w:rPr>
          <w:sz w:val="18"/>
          <w:vertAlign w:val="baseline"/>
        </w:rPr>
        <w:t>National</w:t>
      </w:r>
      <w:r>
        <w:rPr>
          <w:spacing w:val="-3"/>
          <w:sz w:val="18"/>
          <w:vertAlign w:val="baseline"/>
        </w:rPr>
        <w:t> </w:t>
      </w:r>
      <w:r>
        <w:rPr>
          <w:sz w:val="18"/>
          <w:vertAlign w:val="baseline"/>
        </w:rPr>
        <w:t>School</w:t>
      </w:r>
      <w:r>
        <w:rPr>
          <w:spacing w:val="-3"/>
          <w:sz w:val="18"/>
          <w:vertAlign w:val="baseline"/>
        </w:rPr>
        <w:t> </w:t>
      </w:r>
      <w:r>
        <w:rPr>
          <w:sz w:val="18"/>
          <w:vertAlign w:val="baseline"/>
        </w:rPr>
        <w:t>Climate</w:t>
      </w:r>
      <w:r>
        <w:rPr>
          <w:spacing w:val="-2"/>
          <w:sz w:val="18"/>
          <w:vertAlign w:val="baseline"/>
        </w:rPr>
        <w:t> </w:t>
      </w:r>
      <w:r>
        <w:rPr>
          <w:sz w:val="18"/>
          <w:vertAlign w:val="baseline"/>
        </w:rPr>
        <w:t>Survey.”</w:t>
      </w:r>
      <w:r>
        <w:rPr>
          <w:spacing w:val="-2"/>
          <w:sz w:val="18"/>
          <w:vertAlign w:val="baseline"/>
        </w:rPr>
        <w:t> </w:t>
      </w:r>
      <w:r>
        <w:rPr>
          <w:sz w:val="18"/>
          <w:vertAlign w:val="baseline"/>
        </w:rPr>
        <w:t>GLSEN,</w:t>
      </w:r>
      <w:r>
        <w:rPr>
          <w:spacing w:val="-3"/>
          <w:sz w:val="18"/>
          <w:vertAlign w:val="baseline"/>
        </w:rPr>
        <w:t> </w:t>
      </w:r>
      <w:r>
        <w:rPr>
          <w:sz w:val="18"/>
          <w:vertAlign w:val="baseline"/>
        </w:rPr>
        <w:t>2022. </w:t>
      </w:r>
      <w:r>
        <w:rPr>
          <w:spacing w:val="-2"/>
          <w:sz w:val="18"/>
          <w:vertAlign w:val="baseline"/>
        </w:rPr>
        <w:t>https://</w:t>
      </w:r>
      <w:hyperlink r:id="rId108">
        <w:r>
          <w:rPr>
            <w:spacing w:val="-2"/>
            <w:sz w:val="18"/>
            <w:vertAlign w:val="baseline"/>
          </w:rPr>
          <w:t>www.glsen.org/sites/default/files/2022-10/NSCS-2021-Full-Report.pdf</w:t>
        </w:r>
      </w:hyperlink>
    </w:p>
    <w:p>
      <w:pPr>
        <w:spacing w:before="0"/>
        <w:ind w:left="463" w:right="476" w:firstLine="0"/>
        <w:jc w:val="left"/>
        <w:rPr>
          <w:sz w:val="18"/>
        </w:rPr>
      </w:pPr>
      <w:bookmarkStart w:name="_bookmark593" w:id="888"/>
      <w:bookmarkEnd w:id="888"/>
      <w:r>
        <w:rPr/>
      </w:r>
      <w:r>
        <w:rPr>
          <w:sz w:val="18"/>
          <w:vertAlign w:val="superscript"/>
        </w:rPr>
        <w:t>39</w:t>
      </w:r>
      <w:r>
        <w:rPr>
          <w:sz w:val="18"/>
          <w:vertAlign w:val="baseline"/>
        </w:rPr>
        <w:t> McLaren, Mandy. “Mass. Vocational Schools Policy Violates Student Civil Rights, Complaint Says.” The Boston Globe (February</w:t>
      </w:r>
      <w:r>
        <w:rPr>
          <w:spacing w:val="-11"/>
          <w:sz w:val="18"/>
          <w:vertAlign w:val="baseline"/>
        </w:rPr>
        <w:t> </w:t>
      </w:r>
      <w:r>
        <w:rPr>
          <w:sz w:val="18"/>
          <w:vertAlign w:val="baseline"/>
        </w:rPr>
        <w:t>2,</w:t>
      </w:r>
      <w:r>
        <w:rPr>
          <w:spacing w:val="-10"/>
          <w:sz w:val="18"/>
          <w:vertAlign w:val="baseline"/>
        </w:rPr>
        <w:t> </w:t>
      </w:r>
      <w:r>
        <w:rPr>
          <w:sz w:val="18"/>
          <w:vertAlign w:val="baseline"/>
        </w:rPr>
        <w:t>2023).</w:t>
      </w:r>
      <w:r>
        <w:rPr>
          <w:spacing w:val="-10"/>
          <w:sz w:val="18"/>
          <w:vertAlign w:val="baseline"/>
        </w:rPr>
        <w:t> </w:t>
      </w:r>
      <w:r>
        <w:rPr>
          <w:sz w:val="18"/>
          <w:vertAlign w:val="baseline"/>
        </w:rPr>
        <w:t>https://</w:t>
      </w:r>
      <w:hyperlink r:id="rId678">
        <w:r>
          <w:rPr>
            <w:sz w:val="18"/>
            <w:vertAlign w:val="baseline"/>
          </w:rPr>
          <w:t>www.bostonglobe.com/2023/02/02/metro/mass-vocational-schools-policy-violates-student-</w:t>
        </w:r>
      </w:hyperlink>
      <w:r>
        <w:rPr>
          <w:sz w:val="18"/>
          <w:vertAlign w:val="baseline"/>
        </w:rPr>
        <w:t> </w:t>
      </w:r>
      <w:r>
        <w:rPr>
          <w:spacing w:val="-2"/>
          <w:sz w:val="18"/>
          <w:vertAlign w:val="baseline"/>
        </w:rPr>
        <w:t>civil-rights-complaint-says/</w:t>
      </w:r>
    </w:p>
    <w:p>
      <w:pPr>
        <w:spacing w:line="219" w:lineRule="exact" w:before="0"/>
        <w:ind w:left="464" w:right="0" w:firstLine="0"/>
        <w:jc w:val="left"/>
        <w:rPr>
          <w:sz w:val="18"/>
        </w:rPr>
      </w:pPr>
      <w:bookmarkStart w:name="_bookmark594" w:id="889"/>
      <w:bookmarkEnd w:id="889"/>
      <w:r>
        <w:rPr/>
      </w:r>
      <w:r>
        <w:rPr>
          <w:sz w:val="18"/>
          <w:vertAlign w:val="superscript"/>
        </w:rPr>
        <w:t>40</w:t>
      </w:r>
      <w:r>
        <w:rPr>
          <w:spacing w:val="-5"/>
          <w:sz w:val="18"/>
          <w:vertAlign w:val="baseline"/>
        </w:rPr>
        <w:t> </w:t>
      </w:r>
      <w:r>
        <w:rPr>
          <w:sz w:val="18"/>
          <w:vertAlign w:val="baseline"/>
        </w:rPr>
        <w:t>Bureau</w:t>
      </w:r>
      <w:r>
        <w:rPr>
          <w:spacing w:val="-2"/>
          <w:sz w:val="18"/>
          <w:vertAlign w:val="baseline"/>
        </w:rPr>
        <w:t> </w:t>
      </w:r>
      <w:r>
        <w:rPr>
          <w:sz w:val="18"/>
          <w:vertAlign w:val="baseline"/>
        </w:rPr>
        <w:t>of</w:t>
      </w:r>
      <w:r>
        <w:rPr>
          <w:spacing w:val="-2"/>
          <w:sz w:val="18"/>
          <w:vertAlign w:val="baseline"/>
        </w:rPr>
        <w:t> </w:t>
      </w:r>
      <w:r>
        <w:rPr>
          <w:sz w:val="18"/>
          <w:vertAlign w:val="baseline"/>
        </w:rPr>
        <w:t>Labor</w:t>
      </w:r>
      <w:r>
        <w:rPr>
          <w:spacing w:val="-2"/>
          <w:sz w:val="18"/>
          <w:vertAlign w:val="baseline"/>
        </w:rPr>
        <w:t> </w:t>
      </w:r>
      <w:r>
        <w:rPr>
          <w:sz w:val="18"/>
          <w:vertAlign w:val="baseline"/>
        </w:rPr>
        <w:t>Statistics.</w:t>
      </w:r>
      <w:r>
        <w:rPr>
          <w:spacing w:val="-3"/>
          <w:sz w:val="18"/>
          <w:vertAlign w:val="baseline"/>
        </w:rPr>
        <w:t> </w:t>
      </w:r>
      <w:r>
        <w:rPr>
          <w:sz w:val="18"/>
          <w:vertAlign w:val="baseline"/>
        </w:rPr>
        <w:t>“Education</w:t>
      </w:r>
      <w:r>
        <w:rPr>
          <w:spacing w:val="-2"/>
          <w:sz w:val="18"/>
          <w:vertAlign w:val="baseline"/>
        </w:rPr>
        <w:t> </w:t>
      </w:r>
      <w:r>
        <w:rPr>
          <w:sz w:val="18"/>
          <w:vertAlign w:val="baseline"/>
        </w:rPr>
        <w:t>Pays,</w:t>
      </w:r>
      <w:r>
        <w:rPr>
          <w:spacing w:val="-2"/>
          <w:sz w:val="18"/>
          <w:vertAlign w:val="baseline"/>
        </w:rPr>
        <w:t> </w:t>
      </w:r>
      <w:r>
        <w:rPr>
          <w:sz w:val="18"/>
          <w:vertAlign w:val="baseline"/>
        </w:rPr>
        <w:t>2022</w:t>
      </w:r>
      <w:r>
        <w:rPr>
          <w:spacing w:val="-3"/>
          <w:sz w:val="18"/>
          <w:vertAlign w:val="baseline"/>
        </w:rPr>
        <w:t> </w:t>
      </w:r>
      <w:r>
        <w:rPr>
          <w:sz w:val="18"/>
          <w:vertAlign w:val="baseline"/>
        </w:rPr>
        <w:t>:</w:t>
      </w:r>
      <w:r>
        <w:rPr>
          <w:spacing w:val="-2"/>
          <w:sz w:val="18"/>
          <w:vertAlign w:val="baseline"/>
        </w:rPr>
        <w:t> </w:t>
      </w:r>
      <w:r>
        <w:rPr>
          <w:sz w:val="18"/>
          <w:vertAlign w:val="baseline"/>
        </w:rPr>
        <w:t>Career</w:t>
      </w:r>
      <w:r>
        <w:rPr>
          <w:spacing w:val="-2"/>
          <w:sz w:val="18"/>
          <w:vertAlign w:val="baseline"/>
        </w:rPr>
        <w:t> </w:t>
      </w:r>
      <w:r>
        <w:rPr>
          <w:sz w:val="18"/>
          <w:vertAlign w:val="baseline"/>
        </w:rPr>
        <w:t>Outlook:</w:t>
      </w:r>
      <w:r>
        <w:rPr>
          <w:spacing w:val="-3"/>
          <w:sz w:val="18"/>
          <w:vertAlign w:val="baseline"/>
        </w:rPr>
        <w:t> </w:t>
      </w:r>
      <w:r>
        <w:rPr>
          <w:sz w:val="18"/>
          <w:vertAlign w:val="baseline"/>
        </w:rPr>
        <w:t>U.S.</w:t>
      </w:r>
      <w:r>
        <w:rPr>
          <w:spacing w:val="-2"/>
          <w:sz w:val="18"/>
          <w:vertAlign w:val="baseline"/>
        </w:rPr>
        <w:t> </w:t>
      </w:r>
      <w:r>
        <w:rPr>
          <w:sz w:val="18"/>
          <w:vertAlign w:val="baseline"/>
        </w:rPr>
        <w:t>Bureau</w:t>
      </w:r>
      <w:r>
        <w:rPr>
          <w:spacing w:val="-2"/>
          <w:sz w:val="18"/>
          <w:vertAlign w:val="baseline"/>
        </w:rPr>
        <w:t> </w:t>
      </w:r>
      <w:r>
        <w:rPr>
          <w:sz w:val="18"/>
          <w:vertAlign w:val="baseline"/>
        </w:rPr>
        <w:t>of</w:t>
      </w:r>
      <w:r>
        <w:rPr>
          <w:spacing w:val="-2"/>
          <w:sz w:val="18"/>
          <w:vertAlign w:val="baseline"/>
        </w:rPr>
        <w:t> </w:t>
      </w:r>
      <w:r>
        <w:rPr>
          <w:sz w:val="18"/>
          <w:vertAlign w:val="baseline"/>
        </w:rPr>
        <w:t>Labor</w:t>
      </w:r>
      <w:r>
        <w:rPr>
          <w:spacing w:val="-3"/>
          <w:sz w:val="18"/>
          <w:vertAlign w:val="baseline"/>
        </w:rPr>
        <w:t> </w:t>
      </w:r>
      <w:r>
        <w:rPr>
          <w:sz w:val="18"/>
          <w:vertAlign w:val="baseline"/>
        </w:rPr>
        <w:t>Statistics.”</w:t>
      </w:r>
      <w:r>
        <w:rPr>
          <w:spacing w:val="-2"/>
          <w:sz w:val="18"/>
          <w:vertAlign w:val="baseline"/>
        </w:rPr>
        <w:t> </w:t>
      </w:r>
      <w:r>
        <w:rPr>
          <w:sz w:val="18"/>
          <w:vertAlign w:val="baseline"/>
        </w:rPr>
        <w:t>(May</w:t>
      </w:r>
      <w:r>
        <w:rPr>
          <w:spacing w:val="-2"/>
          <w:sz w:val="18"/>
          <w:vertAlign w:val="baseline"/>
        </w:rPr>
        <w:t> 2023).</w:t>
      </w:r>
    </w:p>
    <w:p>
      <w:pPr>
        <w:spacing w:before="0"/>
        <w:ind w:left="464" w:right="0" w:firstLine="0"/>
        <w:jc w:val="left"/>
        <w:rPr>
          <w:sz w:val="18"/>
        </w:rPr>
      </w:pPr>
      <w:r>
        <w:rPr>
          <w:spacing w:val="-2"/>
          <w:sz w:val="18"/>
        </w:rPr>
        <w:t>https://</w:t>
      </w:r>
      <w:hyperlink r:id="rId677">
        <w:r>
          <w:rPr>
            <w:spacing w:val="-2"/>
            <w:sz w:val="18"/>
          </w:rPr>
          <w:t>www.bls.gov/careeroutlook/2023/data-on-display/education-pays.htm.</w:t>
        </w:r>
      </w:hyperlink>
    </w:p>
    <w:p>
      <w:pPr>
        <w:spacing w:after="0"/>
        <w:jc w:val="left"/>
        <w:rPr>
          <w:sz w:val="18"/>
        </w:rPr>
        <w:sectPr>
          <w:pgSz w:w="12240" w:h="15840"/>
          <w:pgMar w:header="763" w:footer="1041" w:top="1380" w:bottom="1240" w:left="1120" w:right="1380"/>
        </w:sectPr>
      </w:pPr>
    </w:p>
    <w:p>
      <w:pPr>
        <w:pStyle w:val="BodyText"/>
        <w:spacing w:before="73"/>
        <w:rPr>
          <w:sz w:val="18"/>
        </w:rPr>
      </w:pPr>
    </w:p>
    <w:p>
      <w:pPr>
        <w:spacing w:before="0"/>
        <w:ind w:left="464" w:right="354" w:hanging="1"/>
        <w:jc w:val="left"/>
        <w:rPr>
          <w:sz w:val="18"/>
        </w:rPr>
      </w:pPr>
      <w:bookmarkStart w:name="_bookmark595" w:id="890"/>
      <w:bookmarkEnd w:id="890"/>
      <w:r>
        <w:rPr/>
      </w:r>
      <w:r>
        <w:rPr>
          <w:sz w:val="18"/>
          <w:vertAlign w:val="superscript"/>
        </w:rPr>
        <w:t>41</w:t>
      </w:r>
      <w:r>
        <w:rPr>
          <w:sz w:val="18"/>
          <w:vertAlign w:val="baseline"/>
        </w:rPr>
        <w:t> “Healey-Driscoll Administration Announces Historic Financial Aid Expansion for Massachusetts Public College and University</w:t>
      </w:r>
      <w:r>
        <w:rPr>
          <w:spacing w:val="-6"/>
          <w:sz w:val="18"/>
          <w:vertAlign w:val="baseline"/>
        </w:rPr>
        <w:t> </w:t>
      </w:r>
      <w:r>
        <w:rPr>
          <w:sz w:val="18"/>
          <w:vertAlign w:val="baseline"/>
        </w:rPr>
        <w:t>Students</w:t>
      </w:r>
      <w:r>
        <w:rPr>
          <w:spacing w:val="-6"/>
          <w:sz w:val="18"/>
          <w:vertAlign w:val="baseline"/>
        </w:rPr>
        <w:t> </w:t>
      </w:r>
      <w:r>
        <w:rPr>
          <w:sz w:val="18"/>
          <w:vertAlign w:val="baseline"/>
        </w:rPr>
        <w:t>|</w:t>
      </w:r>
      <w:r>
        <w:rPr>
          <w:spacing w:val="-6"/>
          <w:sz w:val="18"/>
          <w:vertAlign w:val="baseline"/>
        </w:rPr>
        <w:t> </w:t>
      </w:r>
      <w:r>
        <w:rPr>
          <w:sz w:val="18"/>
          <w:vertAlign w:val="baseline"/>
        </w:rPr>
        <w:t>Mass.Gov”</w:t>
      </w:r>
      <w:r>
        <w:rPr>
          <w:spacing w:val="-7"/>
          <w:sz w:val="18"/>
          <w:vertAlign w:val="baseline"/>
        </w:rPr>
        <w:t> </w:t>
      </w:r>
      <w:r>
        <w:rPr>
          <w:sz w:val="18"/>
          <w:vertAlign w:val="baseline"/>
        </w:rPr>
        <w:t>(Nov.</w:t>
      </w:r>
      <w:r>
        <w:rPr>
          <w:spacing w:val="-6"/>
          <w:sz w:val="18"/>
          <w:vertAlign w:val="baseline"/>
        </w:rPr>
        <w:t> </w:t>
      </w:r>
      <w:r>
        <w:rPr>
          <w:sz w:val="18"/>
          <w:vertAlign w:val="baseline"/>
        </w:rPr>
        <w:t>15,</w:t>
      </w:r>
      <w:r>
        <w:rPr>
          <w:spacing w:val="-7"/>
          <w:sz w:val="18"/>
          <w:vertAlign w:val="baseline"/>
        </w:rPr>
        <w:t> </w:t>
      </w:r>
      <w:r>
        <w:rPr>
          <w:sz w:val="18"/>
          <w:vertAlign w:val="baseline"/>
        </w:rPr>
        <w:t>2023).</w:t>
      </w:r>
      <w:r>
        <w:rPr>
          <w:spacing w:val="-7"/>
          <w:sz w:val="18"/>
          <w:vertAlign w:val="baseline"/>
        </w:rPr>
        <w:t> </w:t>
      </w:r>
      <w:r>
        <w:rPr>
          <w:sz w:val="18"/>
          <w:vertAlign w:val="baseline"/>
        </w:rPr>
        <w:t>https:</w:t>
      </w:r>
      <w:hyperlink r:id="rId679">
        <w:r>
          <w:rPr>
            <w:sz w:val="18"/>
            <w:vertAlign w:val="baseline"/>
          </w:rPr>
          <w:t>//www.mass.gov/news/healey-driscoll-administration-announces-</w:t>
        </w:r>
      </w:hyperlink>
      <w:r>
        <w:rPr>
          <w:sz w:val="18"/>
          <w:vertAlign w:val="baseline"/>
        </w:rPr>
        <w:t> </w:t>
      </w:r>
      <w:r>
        <w:rPr>
          <w:spacing w:val="-2"/>
          <w:sz w:val="18"/>
          <w:vertAlign w:val="baseline"/>
        </w:rPr>
        <w:t>historic-financial-aid-expansion-for-massachusetts-public-college-and-university-students</w:t>
      </w:r>
    </w:p>
    <w:p>
      <w:pPr>
        <w:spacing w:before="0"/>
        <w:ind w:left="464" w:right="249" w:firstLine="0"/>
        <w:jc w:val="left"/>
        <w:rPr>
          <w:sz w:val="18"/>
        </w:rPr>
      </w:pPr>
      <w:bookmarkStart w:name="_bookmark596" w:id="891"/>
      <w:bookmarkEnd w:id="891"/>
      <w:r>
        <w:rPr/>
      </w:r>
      <w:r>
        <w:rPr>
          <w:sz w:val="18"/>
          <w:vertAlign w:val="superscript"/>
        </w:rPr>
        <w:t>42</w:t>
      </w:r>
      <w:r>
        <w:rPr>
          <w:spacing w:val="-2"/>
          <w:sz w:val="18"/>
          <w:vertAlign w:val="baseline"/>
        </w:rPr>
        <w:t> </w:t>
      </w:r>
      <w:r>
        <w:rPr>
          <w:sz w:val="18"/>
          <w:vertAlign w:val="baseline"/>
        </w:rPr>
        <w:t>Manspile,</w:t>
      </w:r>
      <w:r>
        <w:rPr>
          <w:spacing w:val="-3"/>
          <w:sz w:val="18"/>
          <w:vertAlign w:val="baseline"/>
        </w:rPr>
        <w:t> </w:t>
      </w:r>
      <w:r>
        <w:rPr>
          <w:sz w:val="18"/>
          <w:vertAlign w:val="baseline"/>
        </w:rPr>
        <w:t>Eleanor,</w:t>
      </w:r>
      <w:r>
        <w:rPr>
          <w:spacing w:val="-3"/>
          <w:sz w:val="18"/>
          <w:vertAlign w:val="baseline"/>
        </w:rPr>
        <w:t> </w:t>
      </w:r>
      <w:r>
        <w:rPr>
          <w:sz w:val="18"/>
          <w:vertAlign w:val="baseline"/>
        </w:rPr>
        <w:t>Matthew</w:t>
      </w:r>
      <w:r>
        <w:rPr>
          <w:spacing w:val="-3"/>
          <w:sz w:val="18"/>
          <w:vertAlign w:val="baseline"/>
        </w:rPr>
        <w:t> </w:t>
      </w:r>
      <w:r>
        <w:rPr>
          <w:sz w:val="18"/>
          <w:vertAlign w:val="baseline"/>
        </w:rPr>
        <w:t>N.</w:t>
      </w:r>
      <w:r>
        <w:rPr>
          <w:spacing w:val="-2"/>
          <w:sz w:val="18"/>
          <w:vertAlign w:val="baseline"/>
        </w:rPr>
        <w:t> </w:t>
      </w:r>
      <w:r>
        <w:rPr>
          <w:sz w:val="18"/>
          <w:vertAlign w:val="baseline"/>
        </w:rPr>
        <w:t>Atwood,</w:t>
      </w:r>
      <w:r>
        <w:rPr>
          <w:spacing w:val="-3"/>
          <w:sz w:val="18"/>
          <w:vertAlign w:val="baseline"/>
        </w:rPr>
        <w:t> </w:t>
      </w:r>
      <w:r>
        <w:rPr>
          <w:sz w:val="18"/>
          <w:vertAlign w:val="baseline"/>
        </w:rPr>
        <w:t>and</w:t>
      </w:r>
      <w:r>
        <w:rPr>
          <w:spacing w:val="-2"/>
          <w:sz w:val="18"/>
          <w:vertAlign w:val="baseline"/>
        </w:rPr>
        <w:t> </w:t>
      </w:r>
      <w:r>
        <w:rPr>
          <w:sz w:val="18"/>
          <w:vertAlign w:val="baseline"/>
        </w:rPr>
        <w:t>John</w:t>
      </w:r>
      <w:r>
        <w:rPr>
          <w:spacing w:val="-2"/>
          <w:sz w:val="18"/>
          <w:vertAlign w:val="baseline"/>
        </w:rPr>
        <w:t> </w:t>
      </w:r>
      <w:r>
        <w:rPr>
          <w:sz w:val="18"/>
          <w:vertAlign w:val="baseline"/>
        </w:rPr>
        <w:t>M.</w:t>
      </w:r>
      <w:r>
        <w:rPr>
          <w:spacing w:val="-2"/>
          <w:sz w:val="18"/>
          <w:vertAlign w:val="baseline"/>
        </w:rPr>
        <w:t> </w:t>
      </w:r>
      <w:r>
        <w:rPr>
          <w:sz w:val="18"/>
          <w:vertAlign w:val="baseline"/>
        </w:rPr>
        <w:t>Bridgeland.</w:t>
      </w:r>
      <w:r>
        <w:rPr>
          <w:spacing w:val="-3"/>
          <w:sz w:val="18"/>
          <w:vertAlign w:val="baseline"/>
        </w:rPr>
        <w:t> </w:t>
      </w:r>
      <w:r>
        <w:rPr>
          <w:sz w:val="18"/>
          <w:vertAlign w:val="baseline"/>
        </w:rPr>
        <w:t>“Immigrant</w:t>
      </w:r>
      <w:r>
        <w:rPr>
          <w:spacing w:val="-3"/>
          <w:sz w:val="18"/>
          <w:vertAlign w:val="baseline"/>
        </w:rPr>
        <w:t> </w:t>
      </w:r>
      <w:r>
        <w:rPr>
          <w:sz w:val="18"/>
          <w:vertAlign w:val="baseline"/>
        </w:rPr>
        <w:t>Students</w:t>
      </w:r>
      <w:r>
        <w:rPr>
          <w:spacing w:val="-2"/>
          <w:sz w:val="18"/>
          <w:vertAlign w:val="baseline"/>
        </w:rPr>
        <w:t> </w:t>
      </w:r>
      <w:r>
        <w:rPr>
          <w:sz w:val="18"/>
          <w:vertAlign w:val="baseline"/>
        </w:rPr>
        <w:t>and</w:t>
      </w:r>
      <w:r>
        <w:rPr>
          <w:spacing w:val="-3"/>
          <w:sz w:val="18"/>
          <w:vertAlign w:val="baseline"/>
        </w:rPr>
        <w:t> </w:t>
      </w:r>
      <w:r>
        <w:rPr>
          <w:sz w:val="18"/>
          <w:vertAlign w:val="baseline"/>
        </w:rPr>
        <w:t>English</w:t>
      </w:r>
      <w:r>
        <w:rPr>
          <w:spacing w:val="-2"/>
          <w:sz w:val="18"/>
          <w:vertAlign w:val="baseline"/>
        </w:rPr>
        <w:t> </w:t>
      </w:r>
      <w:r>
        <w:rPr>
          <w:sz w:val="18"/>
          <w:vertAlign w:val="baseline"/>
        </w:rPr>
        <w:t>Learners.”</w:t>
      </w:r>
      <w:r>
        <w:rPr>
          <w:spacing w:val="-3"/>
          <w:sz w:val="18"/>
          <w:vertAlign w:val="baseline"/>
        </w:rPr>
        <w:t> </w:t>
      </w:r>
      <w:r>
        <w:rPr>
          <w:sz w:val="18"/>
          <w:vertAlign w:val="baseline"/>
        </w:rPr>
        <w:t>Eric,</w:t>
      </w:r>
      <w:r>
        <w:rPr>
          <w:spacing w:val="-3"/>
          <w:sz w:val="18"/>
          <w:vertAlign w:val="baseline"/>
        </w:rPr>
        <w:t> </w:t>
      </w:r>
      <w:r>
        <w:rPr>
          <w:sz w:val="18"/>
          <w:vertAlign w:val="baseline"/>
        </w:rPr>
        <w:t>2021. </w:t>
      </w:r>
      <w:r>
        <w:rPr>
          <w:spacing w:val="-2"/>
          <w:sz w:val="18"/>
          <w:vertAlign w:val="baseline"/>
        </w:rPr>
        <w:t>files.eric.ed.gov/fulltext/ED614148.pdf</w:t>
      </w:r>
    </w:p>
    <w:p>
      <w:pPr>
        <w:spacing w:before="1"/>
        <w:ind w:left="464" w:right="232" w:hanging="1"/>
        <w:jc w:val="left"/>
        <w:rPr>
          <w:sz w:val="18"/>
        </w:rPr>
      </w:pPr>
      <w:bookmarkStart w:name="_bookmark597" w:id="892"/>
      <w:bookmarkEnd w:id="892"/>
      <w:r>
        <w:rPr/>
      </w:r>
      <w:r>
        <w:rPr>
          <w:sz w:val="18"/>
          <w:vertAlign w:val="superscript"/>
        </w:rPr>
        <w:t>43</w:t>
      </w:r>
      <w:r>
        <w:rPr>
          <w:spacing w:val="-3"/>
          <w:sz w:val="18"/>
          <w:vertAlign w:val="baseline"/>
        </w:rPr>
        <w:t> </w:t>
      </w:r>
      <w:r>
        <w:rPr>
          <w:sz w:val="18"/>
          <w:vertAlign w:val="baseline"/>
        </w:rPr>
        <w:t>Anderson,</w:t>
      </w:r>
      <w:r>
        <w:rPr>
          <w:spacing w:val="-3"/>
          <w:sz w:val="18"/>
          <w:vertAlign w:val="baseline"/>
        </w:rPr>
        <w:t> </w:t>
      </w:r>
      <w:r>
        <w:rPr>
          <w:sz w:val="18"/>
          <w:vertAlign w:val="baseline"/>
        </w:rPr>
        <w:t>Jill.</w:t>
      </w:r>
      <w:r>
        <w:rPr>
          <w:spacing w:val="-3"/>
          <w:sz w:val="18"/>
          <w:vertAlign w:val="baseline"/>
        </w:rPr>
        <w:t> </w:t>
      </w:r>
      <w:r>
        <w:rPr>
          <w:sz w:val="18"/>
          <w:vertAlign w:val="baseline"/>
        </w:rPr>
        <w:t>“The</w:t>
      </w:r>
      <w:r>
        <w:rPr>
          <w:spacing w:val="-3"/>
          <w:sz w:val="18"/>
          <w:vertAlign w:val="baseline"/>
        </w:rPr>
        <w:t> </w:t>
      </w:r>
      <w:r>
        <w:rPr>
          <w:sz w:val="18"/>
          <w:vertAlign w:val="baseline"/>
        </w:rPr>
        <w:t>Social-Emotional</w:t>
      </w:r>
      <w:r>
        <w:rPr>
          <w:spacing w:val="-3"/>
          <w:sz w:val="18"/>
          <w:vertAlign w:val="baseline"/>
        </w:rPr>
        <w:t> </w:t>
      </w:r>
      <w:r>
        <w:rPr>
          <w:sz w:val="18"/>
          <w:vertAlign w:val="baseline"/>
        </w:rPr>
        <w:t>Needs</w:t>
      </w:r>
      <w:r>
        <w:rPr>
          <w:spacing w:val="-3"/>
          <w:sz w:val="18"/>
          <w:vertAlign w:val="baseline"/>
        </w:rPr>
        <w:t> </w:t>
      </w:r>
      <w:r>
        <w:rPr>
          <w:sz w:val="18"/>
          <w:vertAlign w:val="baseline"/>
        </w:rPr>
        <w:t>of</w:t>
      </w:r>
      <w:r>
        <w:rPr>
          <w:spacing w:val="-3"/>
          <w:sz w:val="18"/>
          <w:vertAlign w:val="baseline"/>
        </w:rPr>
        <w:t> </w:t>
      </w:r>
      <w:r>
        <w:rPr>
          <w:sz w:val="18"/>
          <w:vertAlign w:val="baseline"/>
        </w:rPr>
        <w:t>Immigrant</w:t>
      </w:r>
      <w:r>
        <w:rPr>
          <w:spacing w:val="-3"/>
          <w:sz w:val="18"/>
          <w:vertAlign w:val="baseline"/>
        </w:rPr>
        <w:t> </w:t>
      </w:r>
      <w:r>
        <w:rPr>
          <w:sz w:val="18"/>
          <w:vertAlign w:val="baseline"/>
        </w:rPr>
        <w:t>Children</w:t>
      </w:r>
      <w:r>
        <w:rPr>
          <w:spacing w:val="-3"/>
          <w:sz w:val="18"/>
          <w:vertAlign w:val="baseline"/>
        </w:rPr>
        <w:t> </w:t>
      </w:r>
      <w:r>
        <w:rPr>
          <w:sz w:val="18"/>
          <w:vertAlign w:val="baseline"/>
        </w:rPr>
        <w:t>|</w:t>
      </w:r>
      <w:r>
        <w:rPr>
          <w:spacing w:val="-3"/>
          <w:sz w:val="18"/>
          <w:vertAlign w:val="baseline"/>
        </w:rPr>
        <w:t> </w:t>
      </w:r>
      <w:r>
        <w:rPr>
          <w:sz w:val="18"/>
          <w:vertAlign w:val="baseline"/>
        </w:rPr>
        <w:t>Harvard</w:t>
      </w:r>
      <w:r>
        <w:rPr>
          <w:spacing w:val="-3"/>
          <w:sz w:val="18"/>
          <w:vertAlign w:val="baseline"/>
        </w:rPr>
        <w:t> </w:t>
      </w:r>
      <w:r>
        <w:rPr>
          <w:sz w:val="18"/>
          <w:vertAlign w:val="baseline"/>
        </w:rPr>
        <w:t>Graduate</w:t>
      </w:r>
      <w:r>
        <w:rPr>
          <w:spacing w:val="-3"/>
          <w:sz w:val="18"/>
          <w:vertAlign w:val="baseline"/>
        </w:rPr>
        <w:t> </w:t>
      </w:r>
      <w:r>
        <w:rPr>
          <w:sz w:val="18"/>
          <w:vertAlign w:val="baseline"/>
        </w:rPr>
        <w:t>School</w:t>
      </w:r>
      <w:r>
        <w:rPr>
          <w:spacing w:val="-3"/>
          <w:sz w:val="18"/>
          <w:vertAlign w:val="baseline"/>
        </w:rPr>
        <w:t> </w:t>
      </w:r>
      <w:r>
        <w:rPr>
          <w:sz w:val="18"/>
          <w:vertAlign w:val="baseline"/>
        </w:rPr>
        <w:t>of</w:t>
      </w:r>
      <w:r>
        <w:rPr>
          <w:spacing w:val="-3"/>
          <w:sz w:val="18"/>
          <w:vertAlign w:val="baseline"/>
        </w:rPr>
        <w:t> </w:t>
      </w:r>
      <w:r>
        <w:rPr>
          <w:sz w:val="18"/>
          <w:vertAlign w:val="baseline"/>
        </w:rPr>
        <w:t>Education”</w:t>
      </w:r>
      <w:r>
        <w:rPr>
          <w:spacing w:val="-3"/>
          <w:sz w:val="18"/>
          <w:vertAlign w:val="baseline"/>
        </w:rPr>
        <w:t> </w:t>
      </w:r>
      <w:r>
        <w:rPr>
          <w:sz w:val="18"/>
          <w:vertAlign w:val="baseline"/>
        </w:rPr>
        <w:t>(Feb.</w:t>
      </w:r>
      <w:r>
        <w:rPr>
          <w:spacing w:val="-3"/>
          <w:sz w:val="18"/>
          <w:vertAlign w:val="baseline"/>
        </w:rPr>
        <w:t> </w:t>
      </w:r>
      <w:r>
        <w:rPr>
          <w:sz w:val="18"/>
          <w:vertAlign w:val="baseline"/>
        </w:rPr>
        <w:t>23, 2023). https:</w:t>
      </w:r>
      <w:hyperlink r:id="rId680">
        <w:r>
          <w:rPr>
            <w:sz w:val="18"/>
            <w:vertAlign w:val="baseline"/>
          </w:rPr>
          <w:t>//www.gse.harvard.edu/ideas/edcast/23/02/what-do-immigrant-students-need-it-isnt-just-ell</w:t>
        </w:r>
      </w:hyperlink>
    </w:p>
    <w:p>
      <w:pPr>
        <w:spacing w:before="0"/>
        <w:ind w:left="463" w:right="249" w:firstLine="0"/>
        <w:jc w:val="left"/>
        <w:rPr>
          <w:sz w:val="18"/>
        </w:rPr>
      </w:pPr>
      <w:bookmarkStart w:name="_bookmark598" w:id="893"/>
      <w:bookmarkEnd w:id="893"/>
      <w:r>
        <w:rPr/>
      </w:r>
      <w:r>
        <w:rPr>
          <w:sz w:val="18"/>
          <w:vertAlign w:val="superscript"/>
        </w:rPr>
        <w:t>44</w:t>
      </w:r>
      <w:r>
        <w:rPr>
          <w:spacing w:val="-3"/>
          <w:sz w:val="18"/>
          <w:vertAlign w:val="baseline"/>
        </w:rPr>
        <w:t> </w:t>
      </w:r>
      <w:r>
        <w:rPr>
          <w:sz w:val="18"/>
          <w:vertAlign w:val="baseline"/>
        </w:rPr>
        <w:t>Grooms,</w:t>
      </w:r>
      <w:r>
        <w:rPr>
          <w:spacing w:val="-3"/>
          <w:sz w:val="18"/>
          <w:vertAlign w:val="baseline"/>
        </w:rPr>
        <w:t> </w:t>
      </w:r>
      <w:r>
        <w:rPr>
          <w:sz w:val="18"/>
          <w:vertAlign w:val="baseline"/>
        </w:rPr>
        <w:t>Jevay.</w:t>
      </w:r>
      <w:r>
        <w:rPr>
          <w:spacing w:val="-3"/>
          <w:sz w:val="18"/>
          <w:vertAlign w:val="baseline"/>
        </w:rPr>
        <w:t> </w:t>
      </w:r>
      <w:r>
        <w:rPr>
          <w:sz w:val="18"/>
          <w:vertAlign w:val="baseline"/>
        </w:rPr>
        <w:t>“No</w:t>
      </w:r>
      <w:r>
        <w:rPr>
          <w:spacing w:val="-3"/>
          <w:sz w:val="18"/>
          <w:vertAlign w:val="baseline"/>
        </w:rPr>
        <w:t> </w:t>
      </w:r>
      <w:r>
        <w:rPr>
          <w:sz w:val="18"/>
          <w:vertAlign w:val="baseline"/>
        </w:rPr>
        <w:t>Home</w:t>
      </w:r>
      <w:r>
        <w:rPr>
          <w:spacing w:val="-3"/>
          <w:sz w:val="18"/>
          <w:vertAlign w:val="baseline"/>
        </w:rPr>
        <w:t> </w:t>
      </w:r>
      <w:r>
        <w:rPr>
          <w:sz w:val="18"/>
          <w:vertAlign w:val="baseline"/>
        </w:rPr>
        <w:t>and</w:t>
      </w:r>
      <w:r>
        <w:rPr>
          <w:spacing w:val="-3"/>
          <w:sz w:val="18"/>
          <w:vertAlign w:val="baseline"/>
        </w:rPr>
        <w:t> </w:t>
      </w:r>
      <w:r>
        <w:rPr>
          <w:sz w:val="18"/>
          <w:vertAlign w:val="baseline"/>
        </w:rPr>
        <w:t>No</w:t>
      </w:r>
      <w:r>
        <w:rPr>
          <w:spacing w:val="-3"/>
          <w:sz w:val="18"/>
          <w:vertAlign w:val="baseline"/>
        </w:rPr>
        <w:t> </w:t>
      </w:r>
      <w:r>
        <w:rPr>
          <w:sz w:val="18"/>
          <w:vertAlign w:val="baseline"/>
        </w:rPr>
        <w:t>Acceptance:</w:t>
      </w:r>
      <w:r>
        <w:rPr>
          <w:spacing w:val="-3"/>
          <w:sz w:val="18"/>
          <w:vertAlign w:val="baseline"/>
        </w:rPr>
        <w:t> </w:t>
      </w:r>
      <w:r>
        <w:rPr>
          <w:sz w:val="18"/>
          <w:vertAlign w:val="baseline"/>
        </w:rPr>
        <w:t>Exploring</w:t>
      </w:r>
      <w:r>
        <w:rPr>
          <w:spacing w:val="-3"/>
          <w:sz w:val="18"/>
          <w:vertAlign w:val="baseline"/>
        </w:rPr>
        <w:t> </w:t>
      </w:r>
      <w:r>
        <w:rPr>
          <w:sz w:val="18"/>
          <w:vertAlign w:val="baseline"/>
        </w:rPr>
        <w:t>the</w:t>
      </w:r>
      <w:r>
        <w:rPr>
          <w:spacing w:val="-3"/>
          <w:sz w:val="18"/>
          <w:vertAlign w:val="baseline"/>
        </w:rPr>
        <w:t> </w:t>
      </w:r>
      <w:r>
        <w:rPr>
          <w:sz w:val="18"/>
          <w:vertAlign w:val="baseline"/>
        </w:rPr>
        <w:t>Intersectionality</w:t>
      </w:r>
      <w:r>
        <w:rPr>
          <w:spacing w:val="-3"/>
          <w:sz w:val="18"/>
          <w:vertAlign w:val="baseline"/>
        </w:rPr>
        <w:t> </w:t>
      </w:r>
      <w:r>
        <w:rPr>
          <w:sz w:val="18"/>
          <w:vertAlign w:val="baseline"/>
        </w:rPr>
        <w:t>of</w:t>
      </w:r>
      <w:r>
        <w:rPr>
          <w:spacing w:val="-2"/>
          <w:sz w:val="18"/>
          <w:vertAlign w:val="baseline"/>
        </w:rPr>
        <w:t> </w:t>
      </w:r>
      <w:r>
        <w:rPr>
          <w:sz w:val="18"/>
          <w:vertAlign w:val="baseline"/>
        </w:rPr>
        <w:t>Sexual/Gender</w:t>
      </w:r>
      <w:r>
        <w:rPr>
          <w:spacing w:val="-3"/>
          <w:sz w:val="18"/>
          <w:vertAlign w:val="baseline"/>
        </w:rPr>
        <w:t> </w:t>
      </w:r>
      <w:r>
        <w:rPr>
          <w:sz w:val="18"/>
          <w:vertAlign w:val="baseline"/>
        </w:rPr>
        <w:t>Identities</w:t>
      </w:r>
      <w:r>
        <w:rPr>
          <w:spacing w:val="-3"/>
          <w:sz w:val="18"/>
          <w:vertAlign w:val="baseline"/>
        </w:rPr>
        <w:t> </w:t>
      </w:r>
      <w:r>
        <w:rPr>
          <w:sz w:val="18"/>
          <w:vertAlign w:val="baseline"/>
        </w:rPr>
        <w:t>(LGBTQ)</w:t>
      </w:r>
      <w:r>
        <w:rPr>
          <w:spacing w:val="-3"/>
          <w:sz w:val="18"/>
          <w:vertAlign w:val="baseline"/>
        </w:rPr>
        <w:t> </w:t>
      </w:r>
      <w:r>
        <w:rPr>
          <w:sz w:val="18"/>
          <w:vertAlign w:val="baseline"/>
        </w:rPr>
        <w:t>and Race in the Foster Care System.” The Review of Black Political Economy 47, no. 2 (June 1, 2020): 177–93. </w:t>
      </w:r>
      <w:r>
        <w:rPr>
          <w:spacing w:val="-2"/>
          <w:sz w:val="18"/>
          <w:vertAlign w:val="baseline"/>
        </w:rPr>
        <w:t>https://doi.org/10.1177/0034644620911381</w:t>
      </w:r>
    </w:p>
    <w:p>
      <w:pPr>
        <w:spacing w:before="0"/>
        <w:ind w:left="464" w:right="249" w:firstLine="0"/>
        <w:jc w:val="left"/>
        <w:rPr>
          <w:sz w:val="18"/>
        </w:rPr>
      </w:pPr>
      <w:bookmarkStart w:name="_bookmark599" w:id="894"/>
      <w:bookmarkEnd w:id="894"/>
      <w:r>
        <w:rPr/>
      </w:r>
      <w:r>
        <w:rPr>
          <w:sz w:val="18"/>
          <w:vertAlign w:val="superscript"/>
        </w:rPr>
        <w:t>45</w:t>
      </w:r>
      <w:r>
        <w:rPr>
          <w:spacing w:val="-2"/>
          <w:sz w:val="18"/>
          <w:vertAlign w:val="baseline"/>
        </w:rPr>
        <w:t> </w:t>
      </w:r>
      <w:r>
        <w:rPr>
          <w:sz w:val="18"/>
          <w:vertAlign w:val="baseline"/>
        </w:rPr>
        <w:t>Paul,</w:t>
      </w:r>
      <w:r>
        <w:rPr>
          <w:spacing w:val="-3"/>
          <w:sz w:val="18"/>
          <w:vertAlign w:val="baseline"/>
        </w:rPr>
        <w:t> </w:t>
      </w:r>
      <w:r>
        <w:rPr>
          <w:sz w:val="18"/>
          <w:vertAlign w:val="baseline"/>
        </w:rPr>
        <w:t>June</w:t>
      </w:r>
      <w:r>
        <w:rPr>
          <w:spacing w:val="-2"/>
          <w:sz w:val="18"/>
          <w:vertAlign w:val="baseline"/>
        </w:rPr>
        <w:t> </w:t>
      </w:r>
      <w:r>
        <w:rPr>
          <w:sz w:val="18"/>
          <w:vertAlign w:val="baseline"/>
        </w:rPr>
        <w:t>C.</w:t>
      </w:r>
      <w:r>
        <w:rPr>
          <w:spacing w:val="-3"/>
          <w:sz w:val="18"/>
          <w:vertAlign w:val="baseline"/>
        </w:rPr>
        <w:t> </w:t>
      </w:r>
      <w:r>
        <w:rPr>
          <w:sz w:val="18"/>
          <w:vertAlign w:val="baseline"/>
        </w:rPr>
        <w:t>“Exploring</w:t>
      </w:r>
      <w:r>
        <w:rPr>
          <w:spacing w:val="-2"/>
          <w:sz w:val="18"/>
          <w:vertAlign w:val="baseline"/>
        </w:rPr>
        <w:t> </w:t>
      </w:r>
      <w:r>
        <w:rPr>
          <w:sz w:val="18"/>
          <w:vertAlign w:val="baseline"/>
        </w:rPr>
        <w:t>support</w:t>
      </w:r>
      <w:r>
        <w:rPr>
          <w:spacing w:val="-3"/>
          <w:sz w:val="18"/>
          <w:vertAlign w:val="baseline"/>
        </w:rPr>
        <w:t> </w:t>
      </w:r>
      <w:r>
        <w:rPr>
          <w:sz w:val="18"/>
          <w:vertAlign w:val="baseline"/>
        </w:rPr>
        <w:t>for</w:t>
      </w:r>
      <w:r>
        <w:rPr>
          <w:spacing w:val="-3"/>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sz w:val="18"/>
          <w:vertAlign w:val="baseline"/>
        </w:rPr>
        <w:t>transitioning</w:t>
      </w:r>
      <w:r>
        <w:rPr>
          <w:spacing w:val="-2"/>
          <w:sz w:val="18"/>
          <w:vertAlign w:val="baseline"/>
        </w:rPr>
        <w:t> </w:t>
      </w:r>
      <w:r>
        <w:rPr>
          <w:sz w:val="18"/>
          <w:vertAlign w:val="baseline"/>
        </w:rPr>
        <w:t>from</w:t>
      </w:r>
      <w:r>
        <w:rPr>
          <w:spacing w:val="-2"/>
          <w:sz w:val="18"/>
          <w:vertAlign w:val="baseline"/>
        </w:rPr>
        <w:t> </w:t>
      </w:r>
      <w:r>
        <w:rPr>
          <w:sz w:val="18"/>
          <w:vertAlign w:val="baseline"/>
        </w:rPr>
        <w:t>foster</w:t>
      </w:r>
      <w:r>
        <w:rPr>
          <w:spacing w:val="-3"/>
          <w:sz w:val="18"/>
          <w:vertAlign w:val="baseline"/>
        </w:rPr>
        <w:t> </w:t>
      </w:r>
      <w:r>
        <w:rPr>
          <w:sz w:val="18"/>
          <w:vertAlign w:val="baseline"/>
        </w:rPr>
        <w:t>care</w:t>
      </w:r>
      <w:r>
        <w:rPr>
          <w:spacing w:val="-2"/>
          <w:sz w:val="18"/>
          <w:vertAlign w:val="baseline"/>
        </w:rPr>
        <w:t> </w:t>
      </w:r>
      <w:r>
        <w:rPr>
          <w:sz w:val="18"/>
          <w:vertAlign w:val="baseline"/>
        </w:rPr>
        <w:t>into</w:t>
      </w:r>
      <w:r>
        <w:rPr>
          <w:spacing w:val="-2"/>
          <w:sz w:val="18"/>
          <w:vertAlign w:val="baseline"/>
        </w:rPr>
        <w:t> </w:t>
      </w:r>
      <w:r>
        <w:rPr>
          <w:sz w:val="18"/>
          <w:vertAlign w:val="baseline"/>
        </w:rPr>
        <w:t>emerging</w:t>
      </w:r>
      <w:r>
        <w:rPr>
          <w:spacing w:val="-2"/>
          <w:sz w:val="18"/>
          <w:vertAlign w:val="baseline"/>
        </w:rPr>
        <w:t> </w:t>
      </w:r>
      <w:r>
        <w:rPr>
          <w:sz w:val="18"/>
          <w:vertAlign w:val="baseline"/>
        </w:rPr>
        <w:t>adulthood.”</w:t>
      </w:r>
      <w:r>
        <w:rPr>
          <w:spacing w:val="-2"/>
          <w:sz w:val="18"/>
          <w:vertAlign w:val="baseline"/>
        </w:rPr>
        <w:t> </w:t>
      </w:r>
      <w:r>
        <w:rPr>
          <w:sz w:val="18"/>
          <w:vertAlign w:val="baseline"/>
        </w:rPr>
        <w:t>Children</w:t>
      </w:r>
      <w:r>
        <w:rPr>
          <w:spacing w:val="-2"/>
          <w:sz w:val="18"/>
          <w:vertAlign w:val="baseline"/>
        </w:rPr>
        <w:t> </w:t>
      </w:r>
      <w:r>
        <w:rPr>
          <w:sz w:val="18"/>
          <w:vertAlign w:val="baseline"/>
        </w:rPr>
        <w:t>and Youth Services Review 119 (2020): 105481. https://doi.org/10.1016/j.childyouth.2020.105481</w:t>
      </w:r>
    </w:p>
    <w:p>
      <w:pPr>
        <w:spacing w:before="0"/>
        <w:ind w:left="464" w:right="61" w:firstLine="0"/>
        <w:jc w:val="left"/>
        <w:rPr>
          <w:sz w:val="18"/>
        </w:rPr>
      </w:pPr>
      <w:bookmarkStart w:name="_bookmark600" w:id="895"/>
      <w:bookmarkEnd w:id="895"/>
      <w:r>
        <w:rPr/>
      </w:r>
      <w:r>
        <w:rPr>
          <w:sz w:val="18"/>
          <w:vertAlign w:val="superscript"/>
        </w:rPr>
        <w:t>46</w:t>
      </w:r>
      <w:r>
        <w:rPr>
          <w:sz w:val="18"/>
          <w:vertAlign w:val="baseline"/>
        </w:rPr>
        <w:t> Cheatham, Leah P., Karen A. Randolph, and Laura D. Boltz. “Youth with Disabilities Transitioning from Foster Care: Examining</w:t>
      </w:r>
      <w:r>
        <w:rPr>
          <w:spacing w:val="-3"/>
          <w:sz w:val="18"/>
          <w:vertAlign w:val="baseline"/>
        </w:rPr>
        <w:t> </w:t>
      </w:r>
      <w:r>
        <w:rPr>
          <w:sz w:val="18"/>
          <w:vertAlign w:val="baseline"/>
        </w:rPr>
        <w:t>Prevalence</w:t>
      </w:r>
      <w:r>
        <w:rPr>
          <w:spacing w:val="-3"/>
          <w:sz w:val="18"/>
          <w:vertAlign w:val="baseline"/>
        </w:rPr>
        <w:t> </w:t>
      </w:r>
      <w:r>
        <w:rPr>
          <w:sz w:val="18"/>
          <w:vertAlign w:val="baseline"/>
        </w:rPr>
        <w:t>and</w:t>
      </w:r>
      <w:r>
        <w:rPr>
          <w:spacing w:val="-3"/>
          <w:sz w:val="18"/>
          <w:vertAlign w:val="baseline"/>
        </w:rPr>
        <w:t> </w:t>
      </w:r>
      <w:r>
        <w:rPr>
          <w:sz w:val="18"/>
          <w:vertAlign w:val="baseline"/>
        </w:rPr>
        <w:t>Predicting</w:t>
      </w:r>
      <w:r>
        <w:rPr>
          <w:spacing w:val="-3"/>
          <w:sz w:val="18"/>
          <w:vertAlign w:val="baseline"/>
        </w:rPr>
        <w:t> </w:t>
      </w:r>
      <w:r>
        <w:rPr>
          <w:sz w:val="18"/>
          <w:vertAlign w:val="baseline"/>
        </w:rPr>
        <w:t>Positive</w:t>
      </w:r>
      <w:r>
        <w:rPr>
          <w:spacing w:val="-3"/>
          <w:sz w:val="18"/>
          <w:vertAlign w:val="baseline"/>
        </w:rPr>
        <w:t> </w:t>
      </w:r>
      <w:r>
        <w:rPr>
          <w:sz w:val="18"/>
          <w:vertAlign w:val="baseline"/>
        </w:rPr>
        <w:t>Outcomes.”</w:t>
      </w:r>
      <w:r>
        <w:rPr>
          <w:spacing w:val="-3"/>
          <w:sz w:val="18"/>
          <w:vertAlign w:val="baseline"/>
        </w:rPr>
        <w:t> </w:t>
      </w:r>
      <w:r>
        <w:rPr>
          <w:sz w:val="18"/>
          <w:vertAlign w:val="baseline"/>
        </w:rPr>
        <w:t>Children</w:t>
      </w:r>
      <w:r>
        <w:rPr>
          <w:spacing w:val="-3"/>
          <w:sz w:val="18"/>
          <w:vertAlign w:val="baseline"/>
        </w:rPr>
        <w:t> </w:t>
      </w:r>
      <w:r>
        <w:rPr>
          <w:sz w:val="18"/>
          <w:vertAlign w:val="baseline"/>
        </w:rPr>
        <w:t>and</w:t>
      </w:r>
      <w:r>
        <w:rPr>
          <w:spacing w:val="-3"/>
          <w:sz w:val="18"/>
          <w:vertAlign w:val="baseline"/>
        </w:rPr>
        <w:t> </w:t>
      </w:r>
      <w:r>
        <w:rPr>
          <w:sz w:val="18"/>
          <w:vertAlign w:val="baseline"/>
        </w:rPr>
        <w:t>Youth</w:t>
      </w:r>
      <w:r>
        <w:rPr>
          <w:spacing w:val="-3"/>
          <w:sz w:val="18"/>
          <w:vertAlign w:val="baseline"/>
        </w:rPr>
        <w:t> </w:t>
      </w:r>
      <w:r>
        <w:rPr>
          <w:sz w:val="18"/>
          <w:vertAlign w:val="baseline"/>
        </w:rPr>
        <w:t>Services</w:t>
      </w:r>
      <w:r>
        <w:rPr>
          <w:spacing w:val="-3"/>
          <w:sz w:val="18"/>
          <w:vertAlign w:val="baseline"/>
        </w:rPr>
        <w:t> </w:t>
      </w:r>
      <w:r>
        <w:rPr>
          <w:sz w:val="18"/>
          <w:vertAlign w:val="baseline"/>
        </w:rPr>
        <w:t>Review</w:t>
      </w:r>
      <w:r>
        <w:rPr>
          <w:spacing w:val="-4"/>
          <w:sz w:val="18"/>
          <w:vertAlign w:val="baseline"/>
        </w:rPr>
        <w:t> </w:t>
      </w:r>
      <w:r>
        <w:rPr>
          <w:sz w:val="18"/>
          <w:vertAlign w:val="baseline"/>
        </w:rPr>
        <w:t>110</w:t>
      </w:r>
      <w:r>
        <w:rPr>
          <w:spacing w:val="-3"/>
          <w:sz w:val="18"/>
          <w:vertAlign w:val="baseline"/>
        </w:rPr>
        <w:t> </w:t>
      </w:r>
      <w:r>
        <w:rPr>
          <w:sz w:val="18"/>
          <w:vertAlign w:val="baseline"/>
        </w:rPr>
        <w:t>(March</w:t>
      </w:r>
      <w:r>
        <w:rPr>
          <w:spacing w:val="-3"/>
          <w:sz w:val="18"/>
          <w:vertAlign w:val="baseline"/>
        </w:rPr>
        <w:t> </w:t>
      </w:r>
      <w:r>
        <w:rPr>
          <w:sz w:val="18"/>
          <w:vertAlign w:val="baseline"/>
        </w:rPr>
        <w:t>1,</w:t>
      </w:r>
      <w:r>
        <w:rPr>
          <w:spacing w:val="-4"/>
          <w:sz w:val="18"/>
          <w:vertAlign w:val="baseline"/>
        </w:rPr>
        <w:t> </w:t>
      </w:r>
      <w:r>
        <w:rPr>
          <w:sz w:val="18"/>
          <w:vertAlign w:val="baseline"/>
        </w:rPr>
        <w:t>2020):</w:t>
      </w:r>
      <w:r>
        <w:rPr>
          <w:spacing w:val="-3"/>
          <w:sz w:val="18"/>
          <w:vertAlign w:val="baseline"/>
        </w:rPr>
        <w:t> </w:t>
      </w:r>
      <w:r>
        <w:rPr>
          <w:sz w:val="18"/>
          <w:vertAlign w:val="baseline"/>
        </w:rPr>
        <w:t>104777. </w:t>
      </w:r>
      <w:r>
        <w:rPr>
          <w:spacing w:val="-2"/>
          <w:sz w:val="18"/>
          <w:vertAlign w:val="baseline"/>
        </w:rPr>
        <w:t>https://doi.org/10.1016/j.childyouth.2020.104777</w:t>
      </w:r>
    </w:p>
    <w:p>
      <w:pPr>
        <w:spacing w:before="0"/>
        <w:ind w:left="464" w:right="241" w:firstLine="0"/>
        <w:jc w:val="left"/>
        <w:rPr>
          <w:sz w:val="18"/>
        </w:rPr>
      </w:pPr>
      <w:bookmarkStart w:name="_bookmark601" w:id="896"/>
      <w:bookmarkEnd w:id="896"/>
      <w:r>
        <w:rPr/>
      </w:r>
      <w:r>
        <w:rPr>
          <w:sz w:val="18"/>
          <w:vertAlign w:val="superscript"/>
        </w:rPr>
        <w:t>47</w:t>
      </w:r>
      <w:r>
        <w:rPr>
          <w:spacing w:val="-2"/>
          <w:sz w:val="18"/>
          <w:vertAlign w:val="baseline"/>
        </w:rPr>
        <w:t> </w:t>
      </w:r>
      <w:r>
        <w:rPr>
          <w:sz w:val="18"/>
          <w:vertAlign w:val="baseline"/>
        </w:rPr>
        <w:t>Glassman,</w:t>
      </w:r>
      <w:r>
        <w:rPr>
          <w:spacing w:val="-3"/>
          <w:sz w:val="18"/>
          <w:vertAlign w:val="baseline"/>
        </w:rPr>
        <w:t> </w:t>
      </w:r>
      <w:r>
        <w:rPr>
          <w:sz w:val="18"/>
          <w:vertAlign w:val="baseline"/>
        </w:rPr>
        <w:t>Rick.</w:t>
      </w:r>
      <w:r>
        <w:rPr>
          <w:spacing w:val="-2"/>
          <w:sz w:val="18"/>
          <w:vertAlign w:val="baseline"/>
        </w:rPr>
        <w:t> </w:t>
      </w:r>
      <w:r>
        <w:rPr>
          <w:sz w:val="18"/>
          <w:vertAlign w:val="baseline"/>
        </w:rPr>
        <w:t>“DLC</w:t>
      </w:r>
      <w:r>
        <w:rPr>
          <w:spacing w:val="-2"/>
          <w:sz w:val="18"/>
          <w:vertAlign w:val="baseline"/>
        </w:rPr>
        <w:t> </w:t>
      </w:r>
      <w:r>
        <w:rPr>
          <w:sz w:val="18"/>
          <w:vertAlign w:val="baseline"/>
        </w:rPr>
        <w:t>Report</w:t>
      </w:r>
      <w:r>
        <w:rPr>
          <w:spacing w:val="-3"/>
          <w:sz w:val="18"/>
          <w:vertAlign w:val="baseline"/>
        </w:rPr>
        <w:t> </w:t>
      </w:r>
      <w:r>
        <w:rPr>
          <w:sz w:val="18"/>
          <w:vertAlign w:val="baseline"/>
        </w:rPr>
        <w:t>Exposes</w:t>
      </w:r>
      <w:r>
        <w:rPr>
          <w:spacing w:val="-3"/>
          <w:sz w:val="18"/>
          <w:vertAlign w:val="baseline"/>
        </w:rPr>
        <w:t> </w:t>
      </w:r>
      <w:r>
        <w:rPr>
          <w:sz w:val="18"/>
          <w:vertAlign w:val="baseline"/>
        </w:rPr>
        <w:t>Practice</w:t>
      </w:r>
      <w:r>
        <w:rPr>
          <w:spacing w:val="-2"/>
          <w:sz w:val="18"/>
          <w:vertAlign w:val="baseline"/>
        </w:rPr>
        <w:t> </w:t>
      </w:r>
      <w:r>
        <w:rPr>
          <w:sz w:val="18"/>
          <w:vertAlign w:val="baseline"/>
        </w:rPr>
        <w:t>of</w:t>
      </w:r>
      <w:r>
        <w:rPr>
          <w:spacing w:val="-2"/>
          <w:sz w:val="18"/>
          <w:vertAlign w:val="baseline"/>
        </w:rPr>
        <w:t> </w:t>
      </w:r>
      <w:r>
        <w:rPr>
          <w:sz w:val="18"/>
          <w:vertAlign w:val="baseline"/>
        </w:rPr>
        <w:t>Diverting</w:t>
      </w:r>
      <w:r>
        <w:rPr>
          <w:spacing w:val="-2"/>
          <w:sz w:val="18"/>
          <w:vertAlign w:val="baseline"/>
        </w:rPr>
        <w:t> </w:t>
      </w:r>
      <w:r>
        <w:rPr>
          <w:sz w:val="18"/>
          <w:vertAlign w:val="baseline"/>
        </w:rPr>
        <w:t>Millions</w:t>
      </w:r>
      <w:r>
        <w:rPr>
          <w:spacing w:val="-2"/>
          <w:sz w:val="18"/>
          <w:vertAlign w:val="baseline"/>
        </w:rPr>
        <w:t> </w:t>
      </w:r>
      <w:r>
        <w:rPr>
          <w:sz w:val="18"/>
          <w:vertAlign w:val="baseline"/>
        </w:rPr>
        <w:t>Annually</w:t>
      </w:r>
      <w:r>
        <w:rPr>
          <w:spacing w:val="-2"/>
          <w:sz w:val="18"/>
          <w:vertAlign w:val="baseline"/>
        </w:rPr>
        <w:t> </w:t>
      </w:r>
      <w:r>
        <w:rPr>
          <w:sz w:val="18"/>
          <w:vertAlign w:val="baseline"/>
        </w:rPr>
        <w:t>of</w:t>
      </w:r>
      <w:r>
        <w:rPr>
          <w:spacing w:val="-2"/>
          <w:sz w:val="18"/>
          <w:vertAlign w:val="baseline"/>
        </w:rPr>
        <w:t> </w:t>
      </w:r>
      <w:r>
        <w:rPr>
          <w:sz w:val="18"/>
          <w:vertAlign w:val="baseline"/>
        </w:rPr>
        <w:t>SSA</w:t>
      </w:r>
      <w:r>
        <w:rPr>
          <w:spacing w:val="-2"/>
          <w:sz w:val="18"/>
          <w:vertAlign w:val="baseline"/>
        </w:rPr>
        <w:t> </w:t>
      </w:r>
      <w:r>
        <w:rPr>
          <w:sz w:val="18"/>
          <w:vertAlign w:val="baseline"/>
        </w:rPr>
        <w:t>Benefits</w:t>
      </w:r>
      <w:r>
        <w:rPr>
          <w:spacing w:val="-2"/>
          <w:sz w:val="18"/>
          <w:vertAlign w:val="baseline"/>
        </w:rPr>
        <w:t> </w:t>
      </w:r>
      <w:r>
        <w:rPr>
          <w:sz w:val="18"/>
          <w:vertAlign w:val="baseline"/>
        </w:rPr>
        <w:t>from</w:t>
      </w:r>
      <w:r>
        <w:rPr>
          <w:spacing w:val="-3"/>
          <w:sz w:val="18"/>
          <w:vertAlign w:val="baseline"/>
        </w:rPr>
        <w:t> </w:t>
      </w:r>
      <w:r>
        <w:rPr>
          <w:sz w:val="18"/>
          <w:vertAlign w:val="baseline"/>
        </w:rPr>
        <w:t>Vulnerable</w:t>
      </w:r>
      <w:r>
        <w:rPr>
          <w:spacing w:val="-2"/>
          <w:sz w:val="18"/>
          <w:vertAlign w:val="baseline"/>
        </w:rPr>
        <w:t> </w:t>
      </w:r>
      <w:r>
        <w:rPr>
          <w:sz w:val="18"/>
          <w:vertAlign w:val="baseline"/>
        </w:rPr>
        <w:t>Foster</w:t>
      </w:r>
      <w:r>
        <w:rPr>
          <w:spacing w:val="-3"/>
          <w:sz w:val="18"/>
          <w:vertAlign w:val="baseline"/>
        </w:rPr>
        <w:t> </w:t>
      </w:r>
      <w:r>
        <w:rPr>
          <w:sz w:val="18"/>
          <w:vertAlign w:val="baseline"/>
        </w:rPr>
        <w:t>Youth in Massachusetts.” Disability Law Center (September 26, 2023). https:</w:t>
      </w:r>
      <w:hyperlink r:id="rId681">
        <w:r>
          <w:rPr>
            <w:sz w:val="18"/>
            <w:vertAlign w:val="baseline"/>
          </w:rPr>
          <w:t>//www.dlc-ma.org/2023/09/26/dlc-calls-on-dcf-to-</w:t>
        </w:r>
      </w:hyperlink>
      <w:r>
        <w:rPr>
          <w:sz w:val="18"/>
          <w:vertAlign w:val="baseline"/>
        </w:rPr>
        <w:t> </w:t>
      </w:r>
      <w:r>
        <w:rPr>
          <w:spacing w:val="-2"/>
          <w:sz w:val="18"/>
          <w:vertAlign w:val="baseline"/>
        </w:rPr>
        <w:t>stop-taking-ssa-benefits-pf-youth-in-foster-care/</w:t>
      </w:r>
    </w:p>
    <w:p>
      <w:pPr>
        <w:spacing w:before="0"/>
        <w:ind w:left="463" w:right="714" w:firstLine="0"/>
        <w:jc w:val="left"/>
        <w:rPr>
          <w:sz w:val="18"/>
        </w:rPr>
      </w:pPr>
      <w:bookmarkStart w:name="_bookmark602" w:id="897"/>
      <w:bookmarkEnd w:id="897"/>
      <w:r>
        <w:rPr/>
      </w:r>
      <w:r>
        <w:rPr>
          <w:sz w:val="18"/>
          <w:vertAlign w:val="superscript"/>
        </w:rPr>
        <w:t>48</w:t>
      </w:r>
      <w:r>
        <w:rPr>
          <w:spacing w:val="-3"/>
          <w:sz w:val="18"/>
          <w:vertAlign w:val="baseline"/>
        </w:rPr>
        <w:t> </w:t>
      </w:r>
      <w:r>
        <w:rPr>
          <w:sz w:val="18"/>
          <w:vertAlign w:val="baseline"/>
        </w:rPr>
        <w:t>Lansing,</w:t>
      </w:r>
      <w:r>
        <w:rPr>
          <w:spacing w:val="-3"/>
          <w:sz w:val="18"/>
          <w:vertAlign w:val="baseline"/>
        </w:rPr>
        <w:t> </w:t>
      </w:r>
      <w:r>
        <w:rPr>
          <w:sz w:val="18"/>
          <w:vertAlign w:val="baseline"/>
        </w:rPr>
        <w:t>Jiffy,</w:t>
      </w:r>
      <w:r>
        <w:rPr>
          <w:spacing w:val="-3"/>
          <w:sz w:val="18"/>
          <w:vertAlign w:val="baseline"/>
        </w:rPr>
        <w:t> </w:t>
      </w:r>
      <w:r>
        <w:rPr>
          <w:sz w:val="18"/>
          <w:vertAlign w:val="baseline"/>
        </w:rPr>
        <w:t>Hannah</w:t>
      </w:r>
      <w:r>
        <w:rPr>
          <w:spacing w:val="-3"/>
          <w:sz w:val="18"/>
          <w:vertAlign w:val="baseline"/>
        </w:rPr>
        <w:t> </w:t>
      </w:r>
      <w:r>
        <w:rPr>
          <w:sz w:val="18"/>
          <w:vertAlign w:val="baseline"/>
        </w:rPr>
        <w:t>Sumiko</w:t>
      </w:r>
      <w:r>
        <w:rPr>
          <w:spacing w:val="-3"/>
          <w:sz w:val="18"/>
          <w:vertAlign w:val="baseline"/>
        </w:rPr>
        <w:t> </w:t>
      </w:r>
      <w:r>
        <w:rPr>
          <w:sz w:val="18"/>
          <w:vertAlign w:val="baseline"/>
        </w:rPr>
        <w:t>Daly,</w:t>
      </w:r>
      <w:r>
        <w:rPr>
          <w:spacing w:val="-3"/>
          <w:sz w:val="18"/>
          <w:vertAlign w:val="baseline"/>
        </w:rPr>
        <w:t> </w:t>
      </w:r>
      <w:r>
        <w:rPr>
          <w:sz w:val="18"/>
          <w:vertAlign w:val="baseline"/>
        </w:rPr>
        <w:t>and</w:t>
      </w:r>
      <w:r>
        <w:rPr>
          <w:spacing w:val="-3"/>
          <w:sz w:val="18"/>
          <w:vertAlign w:val="baseline"/>
        </w:rPr>
        <w:t> </w:t>
      </w:r>
      <w:r>
        <w:rPr>
          <w:sz w:val="18"/>
          <w:vertAlign w:val="baseline"/>
        </w:rPr>
        <w:t>Michael</w:t>
      </w:r>
      <w:r>
        <w:rPr>
          <w:spacing w:val="-3"/>
          <w:sz w:val="18"/>
          <w:vertAlign w:val="baseline"/>
        </w:rPr>
        <w:t> </w:t>
      </w:r>
      <w:r>
        <w:rPr>
          <w:sz w:val="18"/>
          <w:vertAlign w:val="baseline"/>
        </w:rPr>
        <w:t>Pergamit.</w:t>
      </w:r>
      <w:r>
        <w:rPr>
          <w:spacing w:val="-3"/>
          <w:sz w:val="18"/>
          <w:vertAlign w:val="baseline"/>
        </w:rPr>
        <w:t> </w:t>
      </w:r>
      <w:r>
        <w:rPr>
          <w:sz w:val="18"/>
          <w:vertAlign w:val="baseline"/>
        </w:rPr>
        <w:t>“How</w:t>
      </w:r>
      <w:r>
        <w:rPr>
          <w:spacing w:val="-3"/>
          <w:sz w:val="18"/>
          <w:vertAlign w:val="baseline"/>
        </w:rPr>
        <w:t> </w:t>
      </w:r>
      <w:r>
        <w:rPr>
          <w:sz w:val="18"/>
          <w:vertAlign w:val="baseline"/>
        </w:rPr>
        <w:t>Employment</w:t>
      </w:r>
      <w:r>
        <w:rPr>
          <w:spacing w:val="-3"/>
          <w:sz w:val="18"/>
          <w:vertAlign w:val="baseline"/>
        </w:rPr>
        <w:t> </w:t>
      </w:r>
      <w:r>
        <w:rPr>
          <w:sz w:val="18"/>
          <w:vertAlign w:val="baseline"/>
        </w:rPr>
        <w:t>Programs</w:t>
      </w:r>
      <w:r>
        <w:rPr>
          <w:spacing w:val="-3"/>
          <w:sz w:val="18"/>
          <w:vertAlign w:val="baseline"/>
        </w:rPr>
        <w:t> </w:t>
      </w:r>
      <w:r>
        <w:rPr>
          <w:sz w:val="18"/>
          <w:vertAlign w:val="baseline"/>
        </w:rPr>
        <w:t>Can</w:t>
      </w:r>
      <w:r>
        <w:rPr>
          <w:spacing w:val="-3"/>
          <w:sz w:val="18"/>
          <w:vertAlign w:val="baseline"/>
        </w:rPr>
        <w:t> </w:t>
      </w:r>
      <w:r>
        <w:rPr>
          <w:sz w:val="18"/>
          <w:vertAlign w:val="baseline"/>
        </w:rPr>
        <w:t>Support</w:t>
      </w:r>
      <w:r>
        <w:rPr>
          <w:spacing w:val="-3"/>
          <w:sz w:val="18"/>
          <w:vertAlign w:val="baseline"/>
        </w:rPr>
        <w:t> </w:t>
      </w:r>
      <w:r>
        <w:rPr>
          <w:sz w:val="18"/>
          <w:vertAlign w:val="baseline"/>
        </w:rPr>
        <w:t>Young</w:t>
      </w:r>
      <w:r>
        <w:rPr>
          <w:spacing w:val="-3"/>
          <w:sz w:val="18"/>
          <w:vertAlign w:val="baseline"/>
        </w:rPr>
        <w:t> </w:t>
      </w:r>
      <w:r>
        <w:rPr>
          <w:sz w:val="18"/>
          <w:vertAlign w:val="baseline"/>
        </w:rPr>
        <w:t>People Transitioning out of Foster Care.” Urban Institute (September 20, 2021). </w:t>
      </w:r>
      <w:hyperlink r:id="rId682">
        <w:r>
          <w:rPr>
            <w:sz w:val="18"/>
            <w:vertAlign w:val="baseline"/>
          </w:rPr>
          <w:t>www.urban.org/research/publication/how-</w:t>
        </w:r>
      </w:hyperlink>
      <w:r>
        <w:rPr>
          <w:sz w:val="18"/>
          <w:vertAlign w:val="baseline"/>
        </w:rPr>
        <w:t> </w:t>
      </w:r>
      <w:r>
        <w:rPr>
          <w:spacing w:val="-2"/>
          <w:sz w:val="18"/>
          <w:vertAlign w:val="baseline"/>
        </w:rPr>
        <w:t>employment-programs-can-support-young-people-transitioning-out-foster-care</w:t>
      </w:r>
    </w:p>
    <w:p>
      <w:pPr>
        <w:spacing w:before="0"/>
        <w:ind w:left="464" w:right="294" w:firstLine="0"/>
        <w:jc w:val="both"/>
        <w:rPr>
          <w:sz w:val="18"/>
        </w:rPr>
      </w:pPr>
      <w:bookmarkStart w:name="_bookmark603" w:id="898"/>
      <w:bookmarkEnd w:id="898"/>
      <w:r>
        <w:rPr/>
      </w:r>
      <w:r>
        <w:rPr>
          <w:sz w:val="18"/>
          <w:vertAlign w:val="superscript"/>
        </w:rPr>
        <w:t>49</w:t>
      </w:r>
      <w:r>
        <w:rPr>
          <w:spacing w:val="-1"/>
          <w:sz w:val="18"/>
          <w:vertAlign w:val="baseline"/>
        </w:rPr>
        <w:t> </w:t>
      </w:r>
      <w:r>
        <w:rPr>
          <w:sz w:val="18"/>
          <w:vertAlign w:val="baseline"/>
        </w:rPr>
        <w:t>Ackman,</w:t>
      </w:r>
      <w:r>
        <w:rPr>
          <w:spacing w:val="-2"/>
          <w:sz w:val="18"/>
          <w:vertAlign w:val="baseline"/>
        </w:rPr>
        <w:t> </w:t>
      </w:r>
      <w:r>
        <w:rPr>
          <w:sz w:val="18"/>
          <w:vertAlign w:val="baseline"/>
        </w:rPr>
        <w:t>Paige.</w:t>
      </w:r>
      <w:r>
        <w:rPr>
          <w:spacing w:val="-3"/>
          <w:sz w:val="18"/>
          <w:vertAlign w:val="baseline"/>
        </w:rPr>
        <w:t> </w:t>
      </w:r>
      <w:r>
        <w:rPr>
          <w:sz w:val="18"/>
          <w:vertAlign w:val="baseline"/>
        </w:rPr>
        <w:t>“Bowling</w:t>
      </w:r>
      <w:r>
        <w:rPr>
          <w:spacing w:val="-1"/>
          <w:sz w:val="18"/>
          <w:vertAlign w:val="baseline"/>
        </w:rPr>
        <w:t> </w:t>
      </w:r>
      <w:r>
        <w:rPr>
          <w:sz w:val="18"/>
          <w:vertAlign w:val="baseline"/>
        </w:rPr>
        <w:t>with</w:t>
      </w:r>
      <w:r>
        <w:rPr>
          <w:spacing w:val="-1"/>
          <w:sz w:val="18"/>
          <w:vertAlign w:val="baseline"/>
        </w:rPr>
        <w:t> </w:t>
      </w:r>
      <w:r>
        <w:rPr>
          <w:sz w:val="18"/>
          <w:vertAlign w:val="baseline"/>
        </w:rPr>
        <w:t>Bumpers:</w:t>
      </w:r>
      <w:r>
        <w:rPr>
          <w:spacing w:val="-1"/>
          <w:sz w:val="18"/>
          <w:vertAlign w:val="baseline"/>
        </w:rPr>
        <w:t> </w:t>
      </w:r>
      <w:r>
        <w:rPr>
          <w:sz w:val="18"/>
          <w:vertAlign w:val="baseline"/>
        </w:rPr>
        <w:t>Increasing</w:t>
      </w:r>
      <w:r>
        <w:rPr>
          <w:spacing w:val="-1"/>
          <w:sz w:val="18"/>
          <w:vertAlign w:val="baseline"/>
        </w:rPr>
        <w:t> </w:t>
      </w:r>
      <w:r>
        <w:rPr>
          <w:sz w:val="18"/>
          <w:vertAlign w:val="baseline"/>
        </w:rPr>
        <w:t>Social</w:t>
      </w:r>
      <w:r>
        <w:rPr>
          <w:spacing w:val="-2"/>
          <w:sz w:val="18"/>
          <w:vertAlign w:val="baseline"/>
        </w:rPr>
        <w:t> </w:t>
      </w:r>
      <w:r>
        <w:rPr>
          <w:sz w:val="18"/>
          <w:vertAlign w:val="baseline"/>
        </w:rPr>
        <w:t>Capital</w:t>
      </w:r>
      <w:r>
        <w:rPr>
          <w:spacing w:val="-1"/>
          <w:sz w:val="18"/>
          <w:vertAlign w:val="baseline"/>
        </w:rPr>
        <w:t> </w:t>
      </w:r>
      <w:r>
        <w:rPr>
          <w:sz w:val="18"/>
          <w:vertAlign w:val="baseline"/>
        </w:rPr>
        <w:t>for</w:t>
      </w:r>
      <w:r>
        <w:rPr>
          <w:spacing w:val="-2"/>
          <w:sz w:val="18"/>
          <w:vertAlign w:val="baseline"/>
        </w:rPr>
        <w:t> </w:t>
      </w:r>
      <w:r>
        <w:rPr>
          <w:sz w:val="18"/>
          <w:vertAlign w:val="baseline"/>
        </w:rPr>
        <w:t>Foster</w:t>
      </w:r>
      <w:r>
        <w:rPr>
          <w:spacing w:val="-2"/>
          <w:sz w:val="18"/>
          <w:vertAlign w:val="baseline"/>
        </w:rPr>
        <w:t> </w:t>
      </w:r>
      <w:r>
        <w:rPr>
          <w:sz w:val="18"/>
          <w:vertAlign w:val="baseline"/>
        </w:rPr>
        <w:t>Care</w:t>
      </w:r>
      <w:r>
        <w:rPr>
          <w:spacing w:val="-2"/>
          <w:sz w:val="18"/>
          <w:vertAlign w:val="baseline"/>
        </w:rPr>
        <w:t> </w:t>
      </w:r>
      <w:r>
        <w:rPr>
          <w:sz w:val="18"/>
          <w:vertAlign w:val="baseline"/>
        </w:rPr>
        <w:t>Youth.”</w:t>
      </w:r>
      <w:r>
        <w:rPr>
          <w:spacing w:val="-1"/>
          <w:sz w:val="18"/>
          <w:vertAlign w:val="baseline"/>
        </w:rPr>
        <w:t> </w:t>
      </w:r>
      <w:r>
        <w:rPr>
          <w:sz w:val="18"/>
          <w:vertAlign w:val="baseline"/>
        </w:rPr>
        <w:t>Georgetown</w:t>
      </w:r>
      <w:r>
        <w:rPr>
          <w:spacing w:val="-1"/>
          <w:sz w:val="18"/>
          <w:vertAlign w:val="baseline"/>
        </w:rPr>
        <w:t> </w:t>
      </w:r>
      <w:r>
        <w:rPr>
          <w:sz w:val="18"/>
          <w:vertAlign w:val="baseline"/>
        </w:rPr>
        <w:t>Journal</w:t>
      </w:r>
      <w:r>
        <w:rPr>
          <w:spacing w:val="-2"/>
          <w:sz w:val="18"/>
          <w:vertAlign w:val="baseline"/>
        </w:rPr>
        <w:t> </w:t>
      </w:r>
      <w:r>
        <w:rPr>
          <w:sz w:val="18"/>
          <w:vertAlign w:val="baseline"/>
        </w:rPr>
        <w:t>on</w:t>
      </w:r>
      <w:r>
        <w:rPr>
          <w:spacing w:val="-1"/>
          <w:sz w:val="18"/>
          <w:vertAlign w:val="baseline"/>
        </w:rPr>
        <w:t> </w:t>
      </w:r>
      <w:r>
        <w:rPr>
          <w:sz w:val="18"/>
          <w:vertAlign w:val="baseline"/>
        </w:rPr>
        <w:t>Poverty Law</w:t>
      </w:r>
      <w:r>
        <w:rPr>
          <w:spacing w:val="-7"/>
          <w:sz w:val="18"/>
          <w:vertAlign w:val="baseline"/>
        </w:rPr>
        <w:t> </w:t>
      </w:r>
      <w:r>
        <w:rPr>
          <w:sz w:val="18"/>
          <w:vertAlign w:val="baseline"/>
        </w:rPr>
        <w:t>&amp;</w:t>
      </w:r>
      <w:r>
        <w:rPr>
          <w:spacing w:val="-7"/>
          <w:sz w:val="18"/>
          <w:vertAlign w:val="baseline"/>
        </w:rPr>
        <w:t> </w:t>
      </w:r>
      <w:r>
        <w:rPr>
          <w:sz w:val="18"/>
          <w:vertAlign w:val="baseline"/>
        </w:rPr>
        <w:t>Policy</w:t>
      </w:r>
      <w:r>
        <w:rPr>
          <w:spacing w:val="-7"/>
          <w:sz w:val="18"/>
          <w:vertAlign w:val="baseline"/>
        </w:rPr>
        <w:t> </w:t>
      </w:r>
      <w:r>
        <w:rPr>
          <w:sz w:val="18"/>
          <w:vertAlign w:val="baseline"/>
        </w:rPr>
        <w:t>(January</w:t>
      </w:r>
      <w:r>
        <w:rPr>
          <w:spacing w:val="-7"/>
          <w:sz w:val="18"/>
          <w:vertAlign w:val="baseline"/>
        </w:rPr>
        <w:t> </w:t>
      </w:r>
      <w:r>
        <w:rPr>
          <w:sz w:val="18"/>
          <w:vertAlign w:val="baseline"/>
        </w:rPr>
        <w:t>31,</w:t>
      </w:r>
      <w:r>
        <w:rPr>
          <w:spacing w:val="-7"/>
          <w:sz w:val="18"/>
          <w:vertAlign w:val="baseline"/>
        </w:rPr>
        <w:t> </w:t>
      </w:r>
      <w:r>
        <w:rPr>
          <w:sz w:val="18"/>
          <w:vertAlign w:val="baseline"/>
        </w:rPr>
        <w:t>2023).</w:t>
      </w:r>
      <w:r>
        <w:rPr>
          <w:spacing w:val="-7"/>
          <w:sz w:val="18"/>
          <w:vertAlign w:val="baseline"/>
        </w:rPr>
        <w:t> </w:t>
      </w:r>
      <w:hyperlink r:id="rId683">
        <w:r>
          <w:rPr>
            <w:sz w:val="18"/>
            <w:vertAlign w:val="baseline"/>
          </w:rPr>
          <w:t>www.law.georgetown.edu/poverty-journal/blog/bowling-with-bumpers-increasing-social-</w:t>
        </w:r>
      </w:hyperlink>
      <w:r>
        <w:rPr>
          <w:sz w:val="18"/>
          <w:vertAlign w:val="baseline"/>
        </w:rPr>
        <w:t> </w:t>
      </w:r>
      <w:r>
        <w:rPr>
          <w:spacing w:val="-2"/>
          <w:sz w:val="18"/>
          <w:vertAlign w:val="baseline"/>
        </w:rPr>
        <w:t>capital-for-foster-care-youth/</w:t>
      </w:r>
    </w:p>
    <w:p>
      <w:pPr>
        <w:spacing w:before="0"/>
        <w:ind w:left="463" w:right="232" w:firstLine="0"/>
        <w:jc w:val="left"/>
        <w:rPr>
          <w:sz w:val="18"/>
        </w:rPr>
      </w:pPr>
      <w:bookmarkStart w:name="_bookmark604" w:id="899"/>
      <w:bookmarkEnd w:id="899"/>
      <w:r>
        <w:rPr/>
      </w:r>
      <w:r>
        <w:rPr>
          <w:sz w:val="18"/>
          <w:vertAlign w:val="superscript"/>
        </w:rPr>
        <w:t>50</w:t>
      </w:r>
      <w:r>
        <w:rPr>
          <w:sz w:val="18"/>
          <w:vertAlign w:val="baseline"/>
        </w:rPr>
        <w:t> Hunter, Ally, Heather Griller Clark, Loretta Mason-Williams, and Joseph Calvin Gagnon. “Curriculum, Instruction, and Promoting</w:t>
      </w:r>
      <w:r>
        <w:rPr>
          <w:spacing w:val="-3"/>
          <w:sz w:val="18"/>
          <w:vertAlign w:val="baseline"/>
        </w:rPr>
        <w:t> </w:t>
      </w:r>
      <w:r>
        <w:rPr>
          <w:sz w:val="18"/>
          <w:vertAlign w:val="baseline"/>
        </w:rPr>
        <w:t>College</w:t>
      </w:r>
      <w:r>
        <w:rPr>
          <w:spacing w:val="-3"/>
          <w:sz w:val="18"/>
          <w:vertAlign w:val="baseline"/>
        </w:rPr>
        <w:t> </w:t>
      </w:r>
      <w:r>
        <w:rPr>
          <w:sz w:val="18"/>
          <w:vertAlign w:val="baseline"/>
        </w:rPr>
        <w:t>and</w:t>
      </w:r>
      <w:r>
        <w:rPr>
          <w:spacing w:val="-4"/>
          <w:sz w:val="18"/>
          <w:vertAlign w:val="baseline"/>
        </w:rPr>
        <w:t> </w:t>
      </w:r>
      <w:r>
        <w:rPr>
          <w:sz w:val="18"/>
          <w:vertAlign w:val="baseline"/>
        </w:rPr>
        <w:t>Career</w:t>
      </w:r>
      <w:r>
        <w:rPr>
          <w:spacing w:val="-4"/>
          <w:sz w:val="18"/>
          <w:vertAlign w:val="baseline"/>
        </w:rPr>
        <w:t> </w:t>
      </w:r>
      <w:r>
        <w:rPr>
          <w:sz w:val="18"/>
          <w:vertAlign w:val="baseline"/>
        </w:rPr>
        <w:t>Readiness</w:t>
      </w:r>
      <w:r>
        <w:rPr>
          <w:spacing w:val="-3"/>
          <w:sz w:val="18"/>
          <w:vertAlign w:val="baseline"/>
        </w:rPr>
        <w:t> </w:t>
      </w:r>
      <w:r>
        <w:rPr>
          <w:sz w:val="18"/>
          <w:vertAlign w:val="baseline"/>
        </w:rPr>
        <w:t>for</w:t>
      </w:r>
      <w:r>
        <w:rPr>
          <w:spacing w:val="-4"/>
          <w:sz w:val="18"/>
          <w:vertAlign w:val="baseline"/>
        </w:rPr>
        <w:t> </w:t>
      </w:r>
      <w:r>
        <w:rPr>
          <w:sz w:val="18"/>
          <w:vertAlign w:val="baseline"/>
        </w:rPr>
        <w:t>Incarcerated</w:t>
      </w:r>
      <w:r>
        <w:rPr>
          <w:spacing w:val="-3"/>
          <w:sz w:val="18"/>
          <w:vertAlign w:val="baseline"/>
        </w:rPr>
        <w:t> </w:t>
      </w:r>
      <w:r>
        <w:rPr>
          <w:sz w:val="18"/>
          <w:vertAlign w:val="baseline"/>
        </w:rPr>
        <w:t>Youth:</w:t>
      </w:r>
      <w:r>
        <w:rPr>
          <w:spacing w:val="-3"/>
          <w:sz w:val="18"/>
          <w:vertAlign w:val="baseline"/>
        </w:rPr>
        <w:t> </w:t>
      </w:r>
      <w:r>
        <w:rPr>
          <w:sz w:val="18"/>
          <w:vertAlign w:val="baseline"/>
        </w:rPr>
        <w:t>A</w:t>
      </w:r>
      <w:r>
        <w:rPr>
          <w:spacing w:val="-3"/>
          <w:sz w:val="18"/>
          <w:vertAlign w:val="baseline"/>
        </w:rPr>
        <w:t> </w:t>
      </w:r>
      <w:r>
        <w:rPr>
          <w:sz w:val="18"/>
          <w:vertAlign w:val="baseline"/>
        </w:rPr>
        <w:t>Literature</w:t>
      </w:r>
      <w:r>
        <w:rPr>
          <w:spacing w:val="-3"/>
          <w:sz w:val="18"/>
          <w:vertAlign w:val="baseline"/>
        </w:rPr>
        <w:t> </w:t>
      </w:r>
      <w:r>
        <w:rPr>
          <w:sz w:val="18"/>
          <w:vertAlign w:val="baseline"/>
        </w:rPr>
        <w:t>Review.”</w:t>
      </w:r>
      <w:r>
        <w:rPr>
          <w:spacing w:val="-3"/>
          <w:sz w:val="18"/>
          <w:vertAlign w:val="baseline"/>
        </w:rPr>
        <w:t> </w:t>
      </w:r>
      <w:r>
        <w:rPr>
          <w:sz w:val="18"/>
          <w:vertAlign w:val="baseline"/>
        </w:rPr>
        <w:t>American</w:t>
      </w:r>
      <w:r>
        <w:rPr>
          <w:spacing w:val="-3"/>
          <w:sz w:val="18"/>
          <w:vertAlign w:val="baseline"/>
        </w:rPr>
        <w:t> </w:t>
      </w:r>
      <w:r>
        <w:rPr>
          <w:sz w:val="18"/>
          <w:vertAlign w:val="baseline"/>
        </w:rPr>
        <w:t>Journal</w:t>
      </w:r>
      <w:r>
        <w:rPr>
          <w:spacing w:val="-4"/>
          <w:sz w:val="18"/>
          <w:vertAlign w:val="baseline"/>
        </w:rPr>
        <w:t> </w:t>
      </w:r>
      <w:r>
        <w:rPr>
          <w:sz w:val="18"/>
          <w:vertAlign w:val="baseline"/>
        </w:rPr>
        <w:t>of</w:t>
      </w:r>
      <w:r>
        <w:rPr>
          <w:spacing w:val="-3"/>
          <w:sz w:val="18"/>
          <w:vertAlign w:val="baseline"/>
        </w:rPr>
        <w:t> </w:t>
      </w:r>
      <w:r>
        <w:rPr>
          <w:sz w:val="18"/>
          <w:vertAlign w:val="baseline"/>
        </w:rPr>
        <w:t>Orthopsychiatry 92, no. 4 (2022): 418–28. https://doi.org/10.1037/ort0000623</w:t>
      </w:r>
    </w:p>
    <w:p>
      <w:pPr>
        <w:spacing w:before="0"/>
        <w:ind w:left="464" w:right="0" w:firstLine="0"/>
        <w:jc w:val="left"/>
        <w:rPr>
          <w:sz w:val="18"/>
        </w:rPr>
      </w:pPr>
      <w:bookmarkStart w:name="_bookmark605" w:id="900"/>
      <w:bookmarkEnd w:id="900"/>
      <w:r>
        <w:rPr/>
      </w:r>
      <w:r>
        <w:rPr>
          <w:sz w:val="18"/>
          <w:vertAlign w:val="superscript"/>
        </w:rPr>
        <w:t>51</w:t>
      </w:r>
      <w:r>
        <w:rPr>
          <w:spacing w:val="-3"/>
          <w:sz w:val="18"/>
          <w:vertAlign w:val="baseline"/>
        </w:rPr>
        <w:t> </w:t>
      </w:r>
      <w:r>
        <w:rPr>
          <w:sz w:val="18"/>
          <w:vertAlign w:val="baseline"/>
        </w:rPr>
        <w:t>Wang,</w:t>
      </w:r>
      <w:r>
        <w:rPr>
          <w:spacing w:val="-3"/>
          <w:sz w:val="18"/>
          <w:vertAlign w:val="baseline"/>
        </w:rPr>
        <w:t> </w:t>
      </w:r>
      <w:r>
        <w:rPr>
          <w:sz w:val="18"/>
          <w:vertAlign w:val="baseline"/>
        </w:rPr>
        <w:t>Leah,</w:t>
      </w:r>
      <w:r>
        <w:rPr>
          <w:spacing w:val="-3"/>
          <w:sz w:val="18"/>
          <w:vertAlign w:val="baseline"/>
        </w:rPr>
        <w:t> </w:t>
      </w:r>
      <w:r>
        <w:rPr>
          <w:sz w:val="18"/>
          <w:vertAlign w:val="baseline"/>
        </w:rPr>
        <w:t>and</w:t>
      </w:r>
      <w:r>
        <w:rPr>
          <w:spacing w:val="-3"/>
          <w:sz w:val="18"/>
          <w:vertAlign w:val="baseline"/>
        </w:rPr>
        <w:t> </w:t>
      </w:r>
      <w:r>
        <w:rPr>
          <w:sz w:val="18"/>
          <w:vertAlign w:val="baseline"/>
        </w:rPr>
        <w:t>Wanda</w:t>
      </w:r>
      <w:r>
        <w:rPr>
          <w:spacing w:val="-3"/>
          <w:sz w:val="18"/>
          <w:vertAlign w:val="baseline"/>
        </w:rPr>
        <w:t> </w:t>
      </w:r>
      <w:r>
        <w:rPr>
          <w:sz w:val="18"/>
          <w:vertAlign w:val="baseline"/>
        </w:rPr>
        <w:t>Bertram.</w:t>
      </w:r>
      <w:r>
        <w:rPr>
          <w:spacing w:val="-3"/>
          <w:sz w:val="18"/>
          <w:vertAlign w:val="baseline"/>
        </w:rPr>
        <w:t> </w:t>
      </w:r>
      <w:r>
        <w:rPr>
          <w:sz w:val="18"/>
          <w:vertAlign w:val="baseline"/>
        </w:rPr>
        <w:t>“New</w:t>
      </w:r>
      <w:r>
        <w:rPr>
          <w:spacing w:val="-3"/>
          <w:sz w:val="18"/>
          <w:vertAlign w:val="baseline"/>
        </w:rPr>
        <w:t> </w:t>
      </w:r>
      <w:r>
        <w:rPr>
          <w:sz w:val="18"/>
          <w:vertAlign w:val="baseline"/>
        </w:rPr>
        <w:t>Data</w:t>
      </w:r>
      <w:r>
        <w:rPr>
          <w:spacing w:val="-3"/>
          <w:sz w:val="18"/>
          <w:vertAlign w:val="baseline"/>
        </w:rPr>
        <w:t> </w:t>
      </w:r>
      <w:r>
        <w:rPr>
          <w:sz w:val="18"/>
          <w:vertAlign w:val="baseline"/>
        </w:rPr>
        <w:t>on</w:t>
      </w:r>
      <w:r>
        <w:rPr>
          <w:spacing w:val="-3"/>
          <w:sz w:val="18"/>
          <w:vertAlign w:val="baseline"/>
        </w:rPr>
        <w:t> </w:t>
      </w:r>
      <w:r>
        <w:rPr>
          <w:sz w:val="18"/>
          <w:vertAlign w:val="baseline"/>
        </w:rPr>
        <w:t>Formerly</w:t>
      </w:r>
      <w:r>
        <w:rPr>
          <w:spacing w:val="-3"/>
          <w:sz w:val="18"/>
          <w:vertAlign w:val="baseline"/>
        </w:rPr>
        <w:t> </w:t>
      </w:r>
      <w:r>
        <w:rPr>
          <w:sz w:val="18"/>
          <w:vertAlign w:val="baseline"/>
        </w:rPr>
        <w:t>Incarcerated</w:t>
      </w:r>
      <w:r>
        <w:rPr>
          <w:spacing w:val="-3"/>
          <w:sz w:val="18"/>
          <w:vertAlign w:val="baseline"/>
        </w:rPr>
        <w:t> </w:t>
      </w:r>
      <w:r>
        <w:rPr>
          <w:sz w:val="18"/>
          <w:vertAlign w:val="baseline"/>
        </w:rPr>
        <w:t>People’s</w:t>
      </w:r>
      <w:r>
        <w:rPr>
          <w:spacing w:val="-3"/>
          <w:sz w:val="18"/>
          <w:vertAlign w:val="baseline"/>
        </w:rPr>
        <w:t> </w:t>
      </w:r>
      <w:r>
        <w:rPr>
          <w:sz w:val="18"/>
          <w:vertAlign w:val="baseline"/>
        </w:rPr>
        <w:t>Employment</w:t>
      </w:r>
      <w:r>
        <w:rPr>
          <w:spacing w:val="-3"/>
          <w:sz w:val="18"/>
          <w:vertAlign w:val="baseline"/>
        </w:rPr>
        <w:t> </w:t>
      </w:r>
      <w:r>
        <w:rPr>
          <w:sz w:val="18"/>
          <w:vertAlign w:val="baseline"/>
        </w:rPr>
        <w:t>Reveal</w:t>
      </w:r>
      <w:r>
        <w:rPr>
          <w:spacing w:val="-3"/>
          <w:sz w:val="18"/>
          <w:vertAlign w:val="baseline"/>
        </w:rPr>
        <w:t> </w:t>
      </w:r>
      <w:r>
        <w:rPr>
          <w:sz w:val="18"/>
          <w:vertAlign w:val="baseline"/>
        </w:rPr>
        <w:t>Labor</w:t>
      </w:r>
      <w:r>
        <w:rPr>
          <w:spacing w:val="-3"/>
          <w:sz w:val="18"/>
          <w:vertAlign w:val="baseline"/>
        </w:rPr>
        <w:t> </w:t>
      </w:r>
      <w:r>
        <w:rPr>
          <w:sz w:val="18"/>
          <w:vertAlign w:val="baseline"/>
        </w:rPr>
        <w:t>Market Injustices.” Prison Policy Initiative (February 8, 2022). </w:t>
      </w:r>
      <w:hyperlink r:id="rId684">
        <w:r>
          <w:rPr>
            <w:sz w:val="18"/>
            <w:vertAlign w:val="baseline"/>
          </w:rPr>
          <w:t>www.prisonpolicy.org/blog/2022/02/08/employment/</w:t>
        </w:r>
      </w:hyperlink>
    </w:p>
    <w:p>
      <w:pPr>
        <w:spacing w:before="0"/>
        <w:ind w:left="463" w:right="232" w:firstLine="0"/>
        <w:jc w:val="left"/>
        <w:rPr>
          <w:sz w:val="18"/>
        </w:rPr>
      </w:pPr>
      <w:bookmarkStart w:name="_bookmark606" w:id="901"/>
      <w:bookmarkEnd w:id="901"/>
      <w:r>
        <w:rPr/>
      </w:r>
      <w:r>
        <w:rPr>
          <w:sz w:val="18"/>
          <w:vertAlign w:val="superscript"/>
        </w:rPr>
        <w:t>52</w:t>
      </w:r>
      <w:r>
        <w:rPr>
          <w:spacing w:val="-3"/>
          <w:sz w:val="18"/>
          <w:vertAlign w:val="baseline"/>
        </w:rPr>
        <w:t> </w:t>
      </w:r>
      <w:r>
        <w:rPr>
          <w:sz w:val="18"/>
          <w:vertAlign w:val="baseline"/>
        </w:rPr>
        <w:t>Kolbeck,</w:t>
      </w:r>
      <w:r>
        <w:rPr>
          <w:spacing w:val="-3"/>
          <w:sz w:val="18"/>
          <w:vertAlign w:val="baseline"/>
        </w:rPr>
        <w:t> </w:t>
      </w:r>
      <w:r>
        <w:rPr>
          <w:sz w:val="18"/>
          <w:vertAlign w:val="baseline"/>
        </w:rPr>
        <w:t>Simon,</w:t>
      </w:r>
      <w:r>
        <w:rPr>
          <w:spacing w:val="-3"/>
          <w:sz w:val="18"/>
          <w:vertAlign w:val="baseline"/>
        </w:rPr>
        <w:t> </w:t>
      </w:r>
      <w:r>
        <w:rPr>
          <w:sz w:val="18"/>
          <w:vertAlign w:val="baseline"/>
        </w:rPr>
        <w:t>Steven</w:t>
      </w:r>
      <w:r>
        <w:rPr>
          <w:spacing w:val="-3"/>
          <w:sz w:val="18"/>
          <w:vertAlign w:val="baseline"/>
        </w:rPr>
        <w:t> </w:t>
      </w:r>
      <w:r>
        <w:rPr>
          <w:sz w:val="18"/>
          <w:vertAlign w:val="baseline"/>
        </w:rPr>
        <w:t>Lopez,</w:t>
      </w:r>
      <w:r>
        <w:rPr>
          <w:spacing w:val="-3"/>
          <w:sz w:val="18"/>
          <w:vertAlign w:val="baseline"/>
        </w:rPr>
        <w:t> </w:t>
      </w:r>
      <w:r>
        <w:rPr>
          <w:sz w:val="18"/>
          <w:vertAlign w:val="baseline"/>
        </w:rPr>
        <w:t>and</w:t>
      </w:r>
      <w:r>
        <w:rPr>
          <w:spacing w:val="-3"/>
          <w:sz w:val="18"/>
          <w:vertAlign w:val="baseline"/>
        </w:rPr>
        <w:t> </w:t>
      </w:r>
      <w:r>
        <w:rPr>
          <w:sz w:val="18"/>
          <w:vertAlign w:val="baseline"/>
        </w:rPr>
        <w:t>Paul</w:t>
      </w:r>
      <w:r>
        <w:rPr>
          <w:spacing w:val="-3"/>
          <w:sz w:val="18"/>
          <w:vertAlign w:val="baseline"/>
        </w:rPr>
        <w:t> </w:t>
      </w:r>
      <w:r>
        <w:rPr>
          <w:sz w:val="18"/>
          <w:vertAlign w:val="baseline"/>
        </w:rPr>
        <w:t>Bellair.</w:t>
      </w:r>
      <w:r>
        <w:rPr>
          <w:spacing w:val="-3"/>
          <w:sz w:val="18"/>
          <w:vertAlign w:val="baseline"/>
        </w:rPr>
        <w:t> </w:t>
      </w:r>
      <w:r>
        <w:rPr>
          <w:sz w:val="18"/>
          <w:vertAlign w:val="baseline"/>
        </w:rPr>
        <w:t>“Does</w:t>
      </w:r>
      <w:r>
        <w:rPr>
          <w:spacing w:val="-3"/>
          <w:sz w:val="18"/>
          <w:vertAlign w:val="baseline"/>
        </w:rPr>
        <w:t> </w:t>
      </w:r>
      <w:r>
        <w:rPr>
          <w:sz w:val="18"/>
          <w:vertAlign w:val="baseline"/>
        </w:rPr>
        <w:t>Stable</w:t>
      </w:r>
      <w:r>
        <w:rPr>
          <w:spacing w:val="-3"/>
          <w:sz w:val="18"/>
          <w:vertAlign w:val="baseline"/>
        </w:rPr>
        <w:t> </w:t>
      </w:r>
      <w:r>
        <w:rPr>
          <w:sz w:val="18"/>
          <w:vertAlign w:val="baseline"/>
        </w:rPr>
        <w:t>Employment</w:t>
      </w:r>
      <w:r>
        <w:rPr>
          <w:spacing w:val="-3"/>
          <w:sz w:val="18"/>
          <w:vertAlign w:val="baseline"/>
        </w:rPr>
        <w:t> </w:t>
      </w:r>
      <w:r>
        <w:rPr>
          <w:sz w:val="18"/>
          <w:vertAlign w:val="baseline"/>
        </w:rPr>
        <w:t>after</w:t>
      </w:r>
      <w:r>
        <w:rPr>
          <w:spacing w:val="-3"/>
          <w:sz w:val="18"/>
          <w:vertAlign w:val="baseline"/>
        </w:rPr>
        <w:t> </w:t>
      </w:r>
      <w:r>
        <w:rPr>
          <w:sz w:val="18"/>
          <w:vertAlign w:val="baseline"/>
        </w:rPr>
        <w:t>Prison</w:t>
      </w:r>
      <w:r>
        <w:rPr>
          <w:spacing w:val="-3"/>
          <w:sz w:val="18"/>
          <w:vertAlign w:val="baseline"/>
        </w:rPr>
        <w:t> </w:t>
      </w:r>
      <w:r>
        <w:rPr>
          <w:sz w:val="18"/>
          <w:vertAlign w:val="baseline"/>
        </w:rPr>
        <w:t>Reduce</w:t>
      </w:r>
      <w:r>
        <w:rPr>
          <w:spacing w:val="-3"/>
          <w:sz w:val="18"/>
          <w:vertAlign w:val="baseline"/>
        </w:rPr>
        <w:t> </w:t>
      </w:r>
      <w:r>
        <w:rPr>
          <w:sz w:val="18"/>
          <w:vertAlign w:val="baseline"/>
        </w:rPr>
        <w:t>Recidivism</w:t>
      </w:r>
      <w:r>
        <w:rPr>
          <w:spacing w:val="-3"/>
          <w:sz w:val="18"/>
          <w:vertAlign w:val="baseline"/>
        </w:rPr>
        <w:t> </w:t>
      </w:r>
      <w:r>
        <w:rPr>
          <w:sz w:val="18"/>
          <w:vertAlign w:val="baseline"/>
        </w:rPr>
        <w:t>Irrespective</w:t>
      </w:r>
      <w:r>
        <w:rPr>
          <w:spacing w:val="-3"/>
          <w:sz w:val="18"/>
          <w:vertAlign w:val="baseline"/>
        </w:rPr>
        <w:t> </w:t>
      </w:r>
      <w:r>
        <w:rPr>
          <w:sz w:val="18"/>
          <w:vertAlign w:val="baseline"/>
        </w:rPr>
        <w:t>of Prior Employment and Offending?” Justice Quarterly 41, no. 1 (January 2, 2024): 38–61. </w:t>
      </w:r>
      <w:r>
        <w:rPr>
          <w:spacing w:val="-2"/>
          <w:sz w:val="18"/>
          <w:vertAlign w:val="baseline"/>
        </w:rPr>
        <w:t>https://doi.org/10.1080/07418825.2023.2201330</w:t>
      </w:r>
    </w:p>
    <w:p>
      <w:pPr>
        <w:spacing w:before="0"/>
        <w:ind w:left="463" w:right="249" w:firstLine="0"/>
        <w:jc w:val="left"/>
        <w:rPr>
          <w:sz w:val="18"/>
        </w:rPr>
      </w:pPr>
      <w:bookmarkStart w:name="_bookmark607" w:id="902"/>
      <w:bookmarkEnd w:id="902"/>
      <w:r>
        <w:rPr/>
      </w:r>
      <w:r>
        <w:rPr>
          <w:sz w:val="18"/>
          <w:vertAlign w:val="superscript"/>
        </w:rPr>
        <w:t>53</w:t>
      </w:r>
      <w:r>
        <w:rPr>
          <w:spacing w:val="-2"/>
          <w:sz w:val="18"/>
          <w:vertAlign w:val="baseline"/>
        </w:rPr>
        <w:t> </w:t>
      </w:r>
      <w:r>
        <w:rPr>
          <w:sz w:val="18"/>
          <w:vertAlign w:val="baseline"/>
        </w:rPr>
        <w:t>Astridge,</w:t>
      </w:r>
      <w:r>
        <w:rPr>
          <w:spacing w:val="-3"/>
          <w:sz w:val="18"/>
          <w:vertAlign w:val="baseline"/>
        </w:rPr>
        <w:t> </w:t>
      </w:r>
      <w:r>
        <w:rPr>
          <w:sz w:val="18"/>
          <w:vertAlign w:val="baseline"/>
        </w:rPr>
        <w:t>Belinda,</w:t>
      </w:r>
      <w:r>
        <w:rPr>
          <w:spacing w:val="-3"/>
          <w:sz w:val="18"/>
          <w:vertAlign w:val="baseline"/>
        </w:rPr>
        <w:t> </w:t>
      </w:r>
      <w:r>
        <w:rPr>
          <w:sz w:val="18"/>
          <w:vertAlign w:val="baseline"/>
        </w:rPr>
        <w:t>Wendy</w:t>
      </w:r>
      <w:r>
        <w:rPr>
          <w:spacing w:val="-2"/>
          <w:sz w:val="18"/>
          <w:vertAlign w:val="baseline"/>
        </w:rPr>
        <w:t> </w:t>
      </w:r>
      <w:r>
        <w:rPr>
          <w:sz w:val="18"/>
          <w:vertAlign w:val="baseline"/>
        </w:rPr>
        <w:t>Wen</w:t>
      </w:r>
      <w:r>
        <w:rPr>
          <w:spacing w:val="-2"/>
          <w:sz w:val="18"/>
          <w:vertAlign w:val="baseline"/>
        </w:rPr>
        <w:t> </w:t>
      </w:r>
      <w:r>
        <w:rPr>
          <w:sz w:val="18"/>
          <w:vertAlign w:val="baseline"/>
        </w:rPr>
        <w:t>Li,</w:t>
      </w:r>
      <w:r>
        <w:rPr>
          <w:spacing w:val="-3"/>
          <w:sz w:val="18"/>
          <w:vertAlign w:val="baseline"/>
        </w:rPr>
        <w:t> </w:t>
      </w:r>
      <w:r>
        <w:rPr>
          <w:sz w:val="18"/>
          <w:vertAlign w:val="baseline"/>
        </w:rPr>
        <w:t>Brett</w:t>
      </w:r>
      <w:r>
        <w:rPr>
          <w:spacing w:val="-3"/>
          <w:sz w:val="18"/>
          <w:vertAlign w:val="baseline"/>
        </w:rPr>
        <w:t> </w:t>
      </w:r>
      <w:r>
        <w:rPr>
          <w:sz w:val="18"/>
          <w:vertAlign w:val="baseline"/>
        </w:rPr>
        <w:t>McDermott,</w:t>
      </w:r>
      <w:r>
        <w:rPr>
          <w:spacing w:val="-3"/>
          <w:sz w:val="18"/>
          <w:vertAlign w:val="baseline"/>
        </w:rPr>
        <w:t> </w:t>
      </w:r>
      <w:r>
        <w:rPr>
          <w:sz w:val="18"/>
          <w:vertAlign w:val="baseline"/>
        </w:rPr>
        <w:t>and</w:t>
      </w:r>
      <w:r>
        <w:rPr>
          <w:spacing w:val="-2"/>
          <w:sz w:val="18"/>
          <w:vertAlign w:val="baseline"/>
        </w:rPr>
        <w:t> </w:t>
      </w:r>
      <w:r>
        <w:rPr>
          <w:sz w:val="18"/>
          <w:vertAlign w:val="baseline"/>
        </w:rPr>
        <w:t>Carlo</w:t>
      </w:r>
      <w:r>
        <w:rPr>
          <w:spacing w:val="-2"/>
          <w:sz w:val="18"/>
          <w:vertAlign w:val="baseline"/>
        </w:rPr>
        <w:t> </w:t>
      </w:r>
      <w:r>
        <w:rPr>
          <w:sz w:val="18"/>
          <w:vertAlign w:val="baseline"/>
        </w:rPr>
        <w:t>Longhitano.</w:t>
      </w:r>
      <w:r>
        <w:rPr>
          <w:spacing w:val="-2"/>
          <w:sz w:val="18"/>
          <w:vertAlign w:val="baseline"/>
        </w:rPr>
        <w:t> </w:t>
      </w:r>
      <w:r>
        <w:rPr>
          <w:sz w:val="18"/>
          <w:vertAlign w:val="baseline"/>
        </w:rPr>
        <w:t>“A</w:t>
      </w:r>
      <w:r>
        <w:rPr>
          <w:spacing w:val="-2"/>
          <w:sz w:val="18"/>
          <w:vertAlign w:val="baseline"/>
        </w:rPr>
        <w:t> </w:t>
      </w:r>
      <w:r>
        <w:rPr>
          <w:sz w:val="18"/>
          <w:vertAlign w:val="baseline"/>
        </w:rPr>
        <w:t>Systematic</w:t>
      </w:r>
      <w:r>
        <w:rPr>
          <w:spacing w:val="-3"/>
          <w:sz w:val="18"/>
          <w:vertAlign w:val="baseline"/>
        </w:rPr>
        <w:t> </w:t>
      </w:r>
      <w:r>
        <w:rPr>
          <w:sz w:val="18"/>
          <w:vertAlign w:val="baseline"/>
        </w:rPr>
        <w:t>Review</w:t>
      </w:r>
      <w:r>
        <w:rPr>
          <w:spacing w:val="-1"/>
          <w:sz w:val="18"/>
          <w:vertAlign w:val="baseline"/>
        </w:rPr>
        <w:t> </w:t>
      </w:r>
      <w:r>
        <w:rPr>
          <w:sz w:val="18"/>
          <w:vertAlign w:val="baseline"/>
        </w:rPr>
        <w:t>and</w:t>
      </w:r>
      <w:r>
        <w:rPr>
          <w:spacing w:val="-2"/>
          <w:sz w:val="18"/>
          <w:vertAlign w:val="baseline"/>
        </w:rPr>
        <w:t> </w:t>
      </w:r>
      <w:r>
        <w:rPr>
          <w:sz w:val="18"/>
          <w:vertAlign w:val="baseline"/>
        </w:rPr>
        <w:t>Meta-Analysis</w:t>
      </w:r>
      <w:r>
        <w:rPr>
          <w:spacing w:val="-2"/>
          <w:sz w:val="18"/>
          <w:vertAlign w:val="baseline"/>
        </w:rPr>
        <w:t> </w:t>
      </w:r>
      <w:r>
        <w:rPr>
          <w:sz w:val="18"/>
          <w:vertAlign w:val="baseline"/>
        </w:rPr>
        <w:t>on Adverse Childhood Experiences: Prevalence in Youth Offenders and Their Effects on Youth Recidivism.” Child Abuse &amp; Neglect 140 (June 1, 2023): 106055. https://doi.org/10.1016/j.chiabu.2023.106055</w:t>
      </w:r>
    </w:p>
    <w:p>
      <w:pPr>
        <w:spacing w:before="0"/>
        <w:ind w:left="463" w:right="215" w:firstLine="0"/>
        <w:jc w:val="left"/>
        <w:rPr>
          <w:sz w:val="18"/>
        </w:rPr>
      </w:pPr>
      <w:bookmarkStart w:name="_bookmark608" w:id="903"/>
      <w:bookmarkEnd w:id="903"/>
      <w:r>
        <w:rPr/>
      </w:r>
      <w:r>
        <w:rPr>
          <w:sz w:val="18"/>
          <w:vertAlign w:val="superscript"/>
        </w:rPr>
        <w:t>54</w:t>
      </w:r>
      <w:r>
        <w:rPr>
          <w:sz w:val="18"/>
          <w:vertAlign w:val="baseline"/>
        </w:rPr>
        <w:t> Ordorica, Catalina, Emily Dauria, Kathleen Kemp, Brandon Marshall, Johanna Folk, Marina Tolou-Shams, and Evan Holloway.</w:t>
      </w:r>
      <w:r>
        <w:rPr>
          <w:spacing w:val="-3"/>
          <w:sz w:val="18"/>
          <w:vertAlign w:val="baseline"/>
        </w:rPr>
        <w:t> </w:t>
      </w:r>
      <w:r>
        <w:rPr>
          <w:sz w:val="18"/>
          <w:vertAlign w:val="baseline"/>
        </w:rPr>
        <w:t>“Psychiatric</w:t>
      </w:r>
      <w:r>
        <w:rPr>
          <w:spacing w:val="-4"/>
          <w:sz w:val="18"/>
          <w:vertAlign w:val="baseline"/>
        </w:rPr>
        <w:t> </w:t>
      </w:r>
      <w:r>
        <w:rPr>
          <w:sz w:val="18"/>
          <w:vertAlign w:val="baseline"/>
        </w:rPr>
        <w:t>and</w:t>
      </w:r>
      <w:r>
        <w:rPr>
          <w:spacing w:val="-3"/>
          <w:sz w:val="18"/>
          <w:vertAlign w:val="baseline"/>
        </w:rPr>
        <w:t> </w:t>
      </w:r>
      <w:r>
        <w:rPr>
          <w:sz w:val="18"/>
          <w:vertAlign w:val="baseline"/>
        </w:rPr>
        <w:t>Substance-Related</w:t>
      </w:r>
      <w:r>
        <w:rPr>
          <w:spacing w:val="-3"/>
          <w:sz w:val="18"/>
          <w:vertAlign w:val="baseline"/>
        </w:rPr>
        <w:t> </w:t>
      </w:r>
      <w:r>
        <w:rPr>
          <w:sz w:val="18"/>
          <w:vertAlign w:val="baseline"/>
        </w:rPr>
        <w:t>Problems</w:t>
      </w:r>
      <w:r>
        <w:rPr>
          <w:spacing w:val="-3"/>
          <w:sz w:val="18"/>
          <w:vertAlign w:val="baseline"/>
        </w:rPr>
        <w:t> </w:t>
      </w:r>
      <w:r>
        <w:rPr>
          <w:sz w:val="18"/>
          <w:vertAlign w:val="baseline"/>
        </w:rPr>
        <w:t>Predict</w:t>
      </w:r>
      <w:r>
        <w:rPr>
          <w:spacing w:val="-4"/>
          <w:sz w:val="18"/>
          <w:vertAlign w:val="baseline"/>
        </w:rPr>
        <w:t> </w:t>
      </w:r>
      <w:r>
        <w:rPr>
          <w:sz w:val="18"/>
          <w:vertAlign w:val="baseline"/>
        </w:rPr>
        <w:t>Recidivism</w:t>
      </w:r>
      <w:r>
        <w:rPr>
          <w:spacing w:val="-3"/>
          <w:sz w:val="18"/>
          <w:vertAlign w:val="baseline"/>
        </w:rPr>
        <w:t> </w:t>
      </w:r>
      <w:r>
        <w:rPr>
          <w:sz w:val="18"/>
          <w:vertAlign w:val="baseline"/>
        </w:rPr>
        <w:t>for</w:t>
      </w:r>
      <w:r>
        <w:rPr>
          <w:spacing w:val="-4"/>
          <w:sz w:val="18"/>
          <w:vertAlign w:val="baseline"/>
        </w:rPr>
        <w:t> </w:t>
      </w:r>
      <w:r>
        <w:rPr>
          <w:sz w:val="18"/>
          <w:vertAlign w:val="baseline"/>
        </w:rPr>
        <w:t>First-Time</w:t>
      </w:r>
      <w:r>
        <w:rPr>
          <w:spacing w:val="-3"/>
          <w:sz w:val="18"/>
          <w:vertAlign w:val="baseline"/>
        </w:rPr>
        <w:t> </w:t>
      </w:r>
      <w:r>
        <w:rPr>
          <w:sz w:val="18"/>
          <w:vertAlign w:val="baseline"/>
        </w:rPr>
        <w:t>Justice-Involved</w:t>
      </w:r>
      <w:r>
        <w:rPr>
          <w:spacing w:val="-3"/>
          <w:sz w:val="18"/>
          <w:vertAlign w:val="baseline"/>
        </w:rPr>
        <w:t> </w:t>
      </w:r>
      <w:r>
        <w:rPr>
          <w:sz w:val="18"/>
          <w:vertAlign w:val="baseline"/>
        </w:rPr>
        <w:t>Youth.”</w:t>
      </w:r>
      <w:r>
        <w:rPr>
          <w:spacing w:val="-4"/>
          <w:sz w:val="18"/>
          <w:vertAlign w:val="baseline"/>
        </w:rPr>
        <w:t> </w:t>
      </w:r>
      <w:r>
        <w:rPr>
          <w:sz w:val="18"/>
          <w:vertAlign w:val="baseline"/>
        </w:rPr>
        <w:t>Journal</w:t>
      </w:r>
      <w:r>
        <w:rPr>
          <w:spacing w:val="-4"/>
          <w:sz w:val="18"/>
          <w:vertAlign w:val="baseline"/>
        </w:rPr>
        <w:t> </w:t>
      </w:r>
      <w:r>
        <w:rPr>
          <w:sz w:val="18"/>
          <w:vertAlign w:val="baseline"/>
        </w:rPr>
        <w:t>of the American Academy of Psychiatry and the Law 51, no. 1 (March 1, 2023). https://doi.org/10.29158/JAAPL.220028-21</w:t>
      </w:r>
    </w:p>
    <w:p>
      <w:pPr>
        <w:spacing w:before="0"/>
        <w:ind w:left="464" w:right="601" w:firstLine="0"/>
        <w:jc w:val="left"/>
        <w:rPr>
          <w:sz w:val="18"/>
        </w:rPr>
      </w:pPr>
      <w:bookmarkStart w:name="_bookmark609" w:id="904"/>
      <w:bookmarkEnd w:id="904"/>
      <w:r>
        <w:rPr/>
      </w:r>
      <w:r>
        <w:rPr>
          <w:sz w:val="18"/>
          <w:vertAlign w:val="superscript"/>
        </w:rPr>
        <w:t>55</w:t>
      </w:r>
      <w:r>
        <w:rPr>
          <w:spacing w:val="-3"/>
          <w:sz w:val="18"/>
          <w:vertAlign w:val="baseline"/>
        </w:rPr>
        <w:t> </w:t>
      </w:r>
      <w:r>
        <w:rPr>
          <w:sz w:val="18"/>
          <w:vertAlign w:val="baseline"/>
        </w:rPr>
        <w:t>Kleinman,</w:t>
      </w:r>
      <w:r>
        <w:rPr>
          <w:spacing w:val="-4"/>
          <w:sz w:val="18"/>
          <w:vertAlign w:val="baseline"/>
        </w:rPr>
        <w:t> </w:t>
      </w:r>
      <w:r>
        <w:rPr>
          <w:sz w:val="18"/>
          <w:vertAlign w:val="baseline"/>
        </w:rPr>
        <w:t>Rachel,</w:t>
      </w:r>
      <w:r>
        <w:rPr>
          <w:spacing w:val="-4"/>
          <w:sz w:val="18"/>
          <w:vertAlign w:val="baseline"/>
        </w:rPr>
        <w:t> </w:t>
      </w:r>
      <w:r>
        <w:rPr>
          <w:sz w:val="18"/>
          <w:vertAlign w:val="baseline"/>
        </w:rPr>
        <w:t>and</w:t>
      </w:r>
      <w:r>
        <w:rPr>
          <w:spacing w:val="-3"/>
          <w:sz w:val="18"/>
          <w:vertAlign w:val="baseline"/>
        </w:rPr>
        <w:t> </w:t>
      </w:r>
      <w:r>
        <w:rPr>
          <w:sz w:val="18"/>
          <w:vertAlign w:val="baseline"/>
        </w:rPr>
        <w:t>Sandhya</w:t>
      </w:r>
      <w:r>
        <w:rPr>
          <w:spacing w:val="-4"/>
          <w:sz w:val="18"/>
          <w:vertAlign w:val="baseline"/>
        </w:rPr>
        <w:t> </w:t>
      </w:r>
      <w:r>
        <w:rPr>
          <w:sz w:val="18"/>
          <w:vertAlign w:val="baseline"/>
        </w:rPr>
        <w:t>Kajeepeta.</w:t>
      </w:r>
      <w:r>
        <w:rPr>
          <w:spacing w:val="-3"/>
          <w:sz w:val="18"/>
          <w:vertAlign w:val="baseline"/>
        </w:rPr>
        <w:t> </w:t>
      </w:r>
      <w:r>
        <w:rPr>
          <w:sz w:val="18"/>
          <w:vertAlign w:val="baseline"/>
        </w:rPr>
        <w:t>“Barred</w:t>
      </w:r>
      <w:r>
        <w:rPr>
          <w:spacing w:val="-3"/>
          <w:sz w:val="18"/>
          <w:vertAlign w:val="baseline"/>
        </w:rPr>
        <w:t> </w:t>
      </w:r>
      <w:r>
        <w:rPr>
          <w:sz w:val="18"/>
          <w:vertAlign w:val="baseline"/>
        </w:rPr>
        <w:t>from</w:t>
      </w:r>
      <w:r>
        <w:rPr>
          <w:spacing w:val="-3"/>
          <w:sz w:val="18"/>
          <w:vertAlign w:val="baseline"/>
        </w:rPr>
        <w:t> </w:t>
      </w:r>
      <w:r>
        <w:rPr>
          <w:sz w:val="18"/>
          <w:vertAlign w:val="baseline"/>
        </w:rPr>
        <w:t>Work:</w:t>
      </w:r>
      <w:r>
        <w:rPr>
          <w:spacing w:val="-3"/>
          <w:sz w:val="18"/>
          <w:vertAlign w:val="baseline"/>
        </w:rPr>
        <w:t> </w:t>
      </w:r>
      <w:r>
        <w:rPr>
          <w:sz w:val="18"/>
          <w:vertAlign w:val="baseline"/>
        </w:rPr>
        <w:t>The</w:t>
      </w:r>
      <w:r>
        <w:rPr>
          <w:spacing w:val="-3"/>
          <w:sz w:val="18"/>
          <w:vertAlign w:val="baseline"/>
        </w:rPr>
        <w:t> </w:t>
      </w:r>
      <w:r>
        <w:rPr>
          <w:sz w:val="18"/>
          <w:vertAlign w:val="baseline"/>
        </w:rPr>
        <w:t>Discriminatory</w:t>
      </w:r>
      <w:r>
        <w:rPr>
          <w:spacing w:val="-3"/>
          <w:sz w:val="18"/>
          <w:vertAlign w:val="baseline"/>
        </w:rPr>
        <w:t> </w:t>
      </w:r>
      <w:r>
        <w:rPr>
          <w:sz w:val="18"/>
          <w:vertAlign w:val="baseline"/>
        </w:rPr>
        <w:t>Impacts</w:t>
      </w:r>
      <w:r>
        <w:rPr>
          <w:spacing w:val="-3"/>
          <w:sz w:val="18"/>
          <w:vertAlign w:val="baseline"/>
        </w:rPr>
        <w:t> </w:t>
      </w:r>
      <w:r>
        <w:rPr>
          <w:sz w:val="18"/>
          <w:vertAlign w:val="baseline"/>
        </w:rPr>
        <w:t>of</w:t>
      </w:r>
      <w:r>
        <w:rPr>
          <w:spacing w:val="-3"/>
          <w:sz w:val="18"/>
          <w:vertAlign w:val="baseline"/>
        </w:rPr>
        <w:t> </w:t>
      </w:r>
      <w:r>
        <w:rPr>
          <w:sz w:val="18"/>
          <w:vertAlign w:val="baseline"/>
        </w:rPr>
        <w:t>Criminal</w:t>
      </w:r>
      <w:r>
        <w:rPr>
          <w:spacing w:val="-4"/>
          <w:sz w:val="18"/>
          <w:vertAlign w:val="baseline"/>
        </w:rPr>
        <w:t> </w:t>
      </w:r>
      <w:r>
        <w:rPr>
          <w:sz w:val="18"/>
          <w:vertAlign w:val="baseline"/>
        </w:rPr>
        <w:t>Background Checks in Employment.” SSRN Scholarly Paper. Rochester, NY (April 1, 2023). https://doi.org/10.2139/ssrn.4721988</w:t>
      </w:r>
    </w:p>
    <w:p>
      <w:pPr>
        <w:spacing w:before="0"/>
        <w:ind w:left="464" w:right="644" w:firstLine="0"/>
        <w:jc w:val="both"/>
        <w:rPr>
          <w:sz w:val="18"/>
        </w:rPr>
      </w:pPr>
      <w:bookmarkStart w:name="_bookmark610" w:id="905"/>
      <w:bookmarkEnd w:id="905"/>
      <w:r>
        <w:rPr/>
      </w:r>
      <w:r>
        <w:rPr>
          <w:sz w:val="18"/>
          <w:vertAlign w:val="superscript"/>
        </w:rPr>
        <w:t>56</w:t>
      </w:r>
      <w:r>
        <w:rPr>
          <w:spacing w:val="-2"/>
          <w:sz w:val="18"/>
          <w:vertAlign w:val="baseline"/>
        </w:rPr>
        <w:t> </w:t>
      </w:r>
      <w:r>
        <w:rPr>
          <w:sz w:val="18"/>
          <w:vertAlign w:val="baseline"/>
        </w:rPr>
        <w:t>McKim,</w:t>
      </w:r>
      <w:r>
        <w:rPr>
          <w:spacing w:val="-3"/>
          <w:sz w:val="18"/>
          <w:vertAlign w:val="baseline"/>
        </w:rPr>
        <w:t> </w:t>
      </w:r>
      <w:r>
        <w:rPr>
          <w:sz w:val="18"/>
          <w:vertAlign w:val="baseline"/>
        </w:rPr>
        <w:t>Jenifer</w:t>
      </w:r>
      <w:r>
        <w:rPr>
          <w:spacing w:val="-3"/>
          <w:sz w:val="18"/>
          <w:vertAlign w:val="baseline"/>
        </w:rPr>
        <w:t> </w:t>
      </w:r>
      <w:r>
        <w:rPr>
          <w:sz w:val="18"/>
          <w:vertAlign w:val="baseline"/>
        </w:rPr>
        <w:t>B.</w:t>
      </w:r>
      <w:r>
        <w:rPr>
          <w:spacing w:val="-2"/>
          <w:sz w:val="18"/>
          <w:vertAlign w:val="baseline"/>
        </w:rPr>
        <w:t> </w:t>
      </w:r>
      <w:r>
        <w:rPr>
          <w:sz w:val="18"/>
          <w:vertAlign w:val="baseline"/>
        </w:rPr>
        <w:t>“Five</w:t>
      </w:r>
      <w:r>
        <w:rPr>
          <w:spacing w:val="-2"/>
          <w:sz w:val="18"/>
          <w:vertAlign w:val="baseline"/>
        </w:rPr>
        <w:t> </w:t>
      </w:r>
      <w:r>
        <w:rPr>
          <w:sz w:val="18"/>
          <w:vertAlign w:val="baseline"/>
        </w:rPr>
        <w:t>Years</w:t>
      </w:r>
      <w:r>
        <w:rPr>
          <w:spacing w:val="-2"/>
          <w:sz w:val="18"/>
          <w:vertAlign w:val="baseline"/>
        </w:rPr>
        <w:t> </w:t>
      </w:r>
      <w:r>
        <w:rPr>
          <w:sz w:val="18"/>
          <w:vertAlign w:val="baseline"/>
        </w:rPr>
        <w:t>after</w:t>
      </w:r>
      <w:r>
        <w:rPr>
          <w:spacing w:val="-3"/>
          <w:sz w:val="18"/>
          <w:vertAlign w:val="baseline"/>
        </w:rPr>
        <w:t> </w:t>
      </w:r>
      <w:r>
        <w:rPr>
          <w:sz w:val="18"/>
          <w:vertAlign w:val="baseline"/>
        </w:rPr>
        <w:t>Landmark</w:t>
      </w:r>
      <w:r>
        <w:rPr>
          <w:spacing w:val="-3"/>
          <w:sz w:val="18"/>
          <w:vertAlign w:val="baseline"/>
        </w:rPr>
        <w:t> </w:t>
      </w:r>
      <w:r>
        <w:rPr>
          <w:sz w:val="18"/>
          <w:vertAlign w:val="baseline"/>
        </w:rPr>
        <w:t>Criminal</w:t>
      </w:r>
      <w:r>
        <w:rPr>
          <w:spacing w:val="-3"/>
          <w:sz w:val="18"/>
          <w:vertAlign w:val="baseline"/>
        </w:rPr>
        <w:t> </w:t>
      </w:r>
      <w:r>
        <w:rPr>
          <w:sz w:val="18"/>
          <w:vertAlign w:val="baseline"/>
        </w:rPr>
        <w:t>Justice</w:t>
      </w:r>
      <w:r>
        <w:rPr>
          <w:spacing w:val="-2"/>
          <w:sz w:val="18"/>
          <w:vertAlign w:val="baseline"/>
        </w:rPr>
        <w:t> </w:t>
      </w:r>
      <w:r>
        <w:rPr>
          <w:sz w:val="18"/>
          <w:vertAlign w:val="baseline"/>
        </w:rPr>
        <w:t>Reform,</w:t>
      </w:r>
      <w:r>
        <w:rPr>
          <w:spacing w:val="-3"/>
          <w:sz w:val="18"/>
          <w:vertAlign w:val="baseline"/>
        </w:rPr>
        <w:t> </w:t>
      </w:r>
      <w:r>
        <w:rPr>
          <w:sz w:val="18"/>
          <w:vertAlign w:val="baseline"/>
        </w:rPr>
        <w:t>Prison</w:t>
      </w:r>
      <w:r>
        <w:rPr>
          <w:spacing w:val="-2"/>
          <w:sz w:val="18"/>
          <w:vertAlign w:val="baseline"/>
        </w:rPr>
        <w:t> </w:t>
      </w:r>
      <w:r>
        <w:rPr>
          <w:sz w:val="18"/>
          <w:vertAlign w:val="baseline"/>
        </w:rPr>
        <w:t>Racial</w:t>
      </w:r>
      <w:r>
        <w:rPr>
          <w:spacing w:val="-3"/>
          <w:sz w:val="18"/>
          <w:vertAlign w:val="baseline"/>
        </w:rPr>
        <w:t> </w:t>
      </w:r>
      <w:r>
        <w:rPr>
          <w:sz w:val="18"/>
          <w:vertAlign w:val="baseline"/>
        </w:rPr>
        <w:t>Disparities</w:t>
      </w:r>
      <w:r>
        <w:rPr>
          <w:spacing w:val="-2"/>
          <w:sz w:val="18"/>
          <w:vertAlign w:val="baseline"/>
        </w:rPr>
        <w:t> </w:t>
      </w:r>
      <w:r>
        <w:rPr>
          <w:sz w:val="18"/>
          <w:vertAlign w:val="baseline"/>
        </w:rPr>
        <w:t>Widen</w:t>
      </w:r>
      <w:r>
        <w:rPr>
          <w:spacing w:val="-2"/>
          <w:sz w:val="18"/>
          <w:vertAlign w:val="baseline"/>
        </w:rPr>
        <w:t> </w:t>
      </w:r>
      <w:r>
        <w:rPr>
          <w:sz w:val="18"/>
          <w:vertAlign w:val="baseline"/>
        </w:rPr>
        <w:t>in</w:t>
      </w:r>
      <w:r>
        <w:rPr>
          <w:spacing w:val="-2"/>
          <w:sz w:val="18"/>
          <w:vertAlign w:val="baseline"/>
        </w:rPr>
        <w:t> </w:t>
      </w:r>
      <w:r>
        <w:rPr>
          <w:sz w:val="18"/>
          <w:vertAlign w:val="baseline"/>
        </w:rPr>
        <w:t>Mass.”</w:t>
      </w:r>
      <w:r>
        <w:rPr>
          <w:spacing w:val="-2"/>
          <w:sz w:val="18"/>
          <w:vertAlign w:val="baseline"/>
        </w:rPr>
        <w:t> </w:t>
      </w:r>
      <w:r>
        <w:rPr>
          <w:sz w:val="18"/>
          <w:vertAlign w:val="baseline"/>
        </w:rPr>
        <w:t>GBH (January</w:t>
      </w:r>
      <w:r>
        <w:rPr>
          <w:spacing w:val="-11"/>
          <w:sz w:val="18"/>
          <w:vertAlign w:val="baseline"/>
        </w:rPr>
        <w:t> </w:t>
      </w:r>
      <w:r>
        <w:rPr>
          <w:sz w:val="18"/>
          <w:vertAlign w:val="baseline"/>
        </w:rPr>
        <w:t>24,</w:t>
      </w:r>
      <w:r>
        <w:rPr>
          <w:spacing w:val="-10"/>
          <w:sz w:val="18"/>
          <w:vertAlign w:val="baseline"/>
        </w:rPr>
        <w:t> </w:t>
      </w:r>
      <w:r>
        <w:rPr>
          <w:sz w:val="18"/>
          <w:vertAlign w:val="baseline"/>
        </w:rPr>
        <w:t>2024).</w:t>
      </w:r>
      <w:r>
        <w:rPr>
          <w:spacing w:val="-10"/>
          <w:sz w:val="18"/>
          <w:vertAlign w:val="baseline"/>
        </w:rPr>
        <w:t> </w:t>
      </w:r>
      <w:r>
        <w:rPr>
          <w:sz w:val="18"/>
          <w:vertAlign w:val="baseline"/>
        </w:rPr>
        <w:t>https:</w:t>
      </w:r>
      <w:hyperlink r:id="rId685">
        <w:r>
          <w:rPr>
            <w:sz w:val="18"/>
            <w:vertAlign w:val="baseline"/>
          </w:rPr>
          <w:t>//www.wgbh.org/news/local/2024-01-24/five-years-after-landmark-criminal-justice-reform-</w:t>
        </w:r>
      </w:hyperlink>
      <w:r>
        <w:rPr>
          <w:sz w:val="18"/>
          <w:vertAlign w:val="baseline"/>
        </w:rPr>
        <w:t> </w:t>
      </w:r>
      <w:r>
        <w:rPr>
          <w:spacing w:val="-2"/>
          <w:sz w:val="18"/>
          <w:vertAlign w:val="baseline"/>
        </w:rPr>
        <w:t>prison-racial-disparities-widen-in-mass</w:t>
      </w:r>
    </w:p>
    <w:p>
      <w:pPr>
        <w:spacing w:before="0"/>
        <w:ind w:left="464" w:right="677" w:hanging="1"/>
        <w:jc w:val="both"/>
        <w:rPr>
          <w:sz w:val="18"/>
        </w:rPr>
      </w:pPr>
      <w:bookmarkStart w:name="_bookmark611" w:id="906"/>
      <w:bookmarkEnd w:id="906"/>
      <w:r>
        <w:rPr/>
      </w:r>
      <w:r>
        <w:rPr>
          <w:sz w:val="18"/>
          <w:vertAlign w:val="superscript"/>
        </w:rPr>
        <w:t>57</w:t>
      </w:r>
      <w:r>
        <w:rPr>
          <w:spacing w:val="-2"/>
          <w:sz w:val="18"/>
          <w:vertAlign w:val="baseline"/>
        </w:rPr>
        <w:t> </w:t>
      </w:r>
      <w:r>
        <w:rPr>
          <w:sz w:val="18"/>
          <w:vertAlign w:val="baseline"/>
        </w:rPr>
        <w:t>Choi,</w:t>
      </w:r>
      <w:r>
        <w:rPr>
          <w:spacing w:val="-3"/>
          <w:sz w:val="18"/>
          <w:vertAlign w:val="baseline"/>
        </w:rPr>
        <w:t> </w:t>
      </w:r>
      <w:r>
        <w:rPr>
          <w:sz w:val="18"/>
          <w:vertAlign w:val="baseline"/>
        </w:rPr>
        <w:t>Annette.</w:t>
      </w:r>
      <w:r>
        <w:rPr>
          <w:spacing w:val="-2"/>
          <w:sz w:val="18"/>
          <w:vertAlign w:val="baseline"/>
        </w:rPr>
        <w:t> </w:t>
      </w:r>
      <w:r>
        <w:rPr>
          <w:sz w:val="18"/>
          <w:vertAlign w:val="baseline"/>
        </w:rPr>
        <w:t>“Record</w:t>
      </w:r>
      <w:r>
        <w:rPr>
          <w:spacing w:val="-2"/>
          <w:sz w:val="18"/>
          <w:vertAlign w:val="baseline"/>
        </w:rPr>
        <w:t> </w:t>
      </w:r>
      <w:r>
        <w:rPr>
          <w:sz w:val="18"/>
          <w:vertAlign w:val="baseline"/>
        </w:rPr>
        <w:t>Number</w:t>
      </w:r>
      <w:r>
        <w:rPr>
          <w:spacing w:val="-3"/>
          <w:sz w:val="18"/>
          <w:vertAlign w:val="baseline"/>
        </w:rPr>
        <w:t> </w:t>
      </w:r>
      <w:r>
        <w:rPr>
          <w:sz w:val="18"/>
          <w:vertAlign w:val="baseline"/>
        </w:rPr>
        <w:t>of</w:t>
      </w:r>
      <w:r>
        <w:rPr>
          <w:spacing w:val="-2"/>
          <w:sz w:val="18"/>
          <w:vertAlign w:val="baseline"/>
        </w:rPr>
        <w:t> </w:t>
      </w:r>
      <w:r>
        <w:rPr>
          <w:sz w:val="18"/>
          <w:vertAlign w:val="baseline"/>
        </w:rPr>
        <w:t>Anti-LGBTQ</w:t>
      </w:r>
      <w:r>
        <w:rPr>
          <w:spacing w:val="-2"/>
          <w:sz w:val="18"/>
          <w:vertAlign w:val="baseline"/>
        </w:rPr>
        <w:t> </w:t>
      </w:r>
      <w:r>
        <w:rPr>
          <w:sz w:val="18"/>
          <w:vertAlign w:val="baseline"/>
        </w:rPr>
        <w:t>Bills</w:t>
      </w:r>
      <w:r>
        <w:rPr>
          <w:spacing w:val="-2"/>
          <w:sz w:val="18"/>
          <w:vertAlign w:val="baseline"/>
        </w:rPr>
        <w:t> </w:t>
      </w:r>
      <w:r>
        <w:rPr>
          <w:sz w:val="18"/>
          <w:vertAlign w:val="baseline"/>
        </w:rPr>
        <w:t>Were</w:t>
      </w:r>
      <w:r>
        <w:rPr>
          <w:spacing w:val="-2"/>
          <w:sz w:val="18"/>
          <w:vertAlign w:val="baseline"/>
        </w:rPr>
        <w:t> </w:t>
      </w:r>
      <w:r>
        <w:rPr>
          <w:sz w:val="18"/>
          <w:vertAlign w:val="baseline"/>
        </w:rPr>
        <w:t>Introduced</w:t>
      </w:r>
      <w:r>
        <w:rPr>
          <w:spacing w:val="-2"/>
          <w:sz w:val="18"/>
          <w:vertAlign w:val="baseline"/>
        </w:rPr>
        <w:t> </w:t>
      </w:r>
      <w:r>
        <w:rPr>
          <w:sz w:val="18"/>
          <w:vertAlign w:val="baseline"/>
        </w:rPr>
        <w:t>in</w:t>
      </w:r>
      <w:r>
        <w:rPr>
          <w:spacing w:val="-2"/>
          <w:sz w:val="18"/>
          <w:vertAlign w:val="baseline"/>
        </w:rPr>
        <w:t> </w:t>
      </w:r>
      <w:r>
        <w:rPr>
          <w:sz w:val="18"/>
          <w:vertAlign w:val="baseline"/>
        </w:rPr>
        <w:t>2023</w:t>
      </w:r>
      <w:r>
        <w:rPr>
          <w:spacing w:val="-2"/>
          <w:sz w:val="18"/>
          <w:vertAlign w:val="baseline"/>
        </w:rPr>
        <w:t> </w:t>
      </w:r>
      <w:r>
        <w:rPr>
          <w:sz w:val="18"/>
          <w:vertAlign w:val="baseline"/>
        </w:rPr>
        <w:t>|</w:t>
      </w:r>
      <w:r>
        <w:rPr>
          <w:spacing w:val="-2"/>
          <w:sz w:val="18"/>
          <w:vertAlign w:val="baseline"/>
        </w:rPr>
        <w:t> </w:t>
      </w:r>
      <w:r>
        <w:rPr>
          <w:sz w:val="18"/>
          <w:vertAlign w:val="baseline"/>
        </w:rPr>
        <w:t>CNN</w:t>
      </w:r>
      <w:r>
        <w:rPr>
          <w:spacing w:val="-2"/>
          <w:sz w:val="18"/>
          <w:vertAlign w:val="baseline"/>
        </w:rPr>
        <w:t> </w:t>
      </w:r>
      <w:r>
        <w:rPr>
          <w:sz w:val="18"/>
          <w:vertAlign w:val="baseline"/>
        </w:rPr>
        <w:t>Politics.”</w:t>
      </w:r>
      <w:r>
        <w:rPr>
          <w:spacing w:val="-2"/>
          <w:sz w:val="18"/>
          <w:vertAlign w:val="baseline"/>
        </w:rPr>
        <w:t> </w:t>
      </w:r>
      <w:r>
        <w:rPr>
          <w:sz w:val="18"/>
          <w:vertAlign w:val="baseline"/>
        </w:rPr>
        <w:t>CNN,</w:t>
      </w:r>
      <w:r>
        <w:rPr>
          <w:spacing w:val="-2"/>
          <w:sz w:val="18"/>
          <w:vertAlign w:val="baseline"/>
        </w:rPr>
        <w:t> </w:t>
      </w:r>
      <w:r>
        <w:rPr>
          <w:sz w:val="18"/>
          <w:vertAlign w:val="baseline"/>
        </w:rPr>
        <w:t>January</w:t>
      </w:r>
      <w:r>
        <w:rPr>
          <w:spacing w:val="-2"/>
          <w:sz w:val="18"/>
          <w:vertAlign w:val="baseline"/>
        </w:rPr>
        <w:t> </w:t>
      </w:r>
      <w:r>
        <w:rPr>
          <w:sz w:val="18"/>
          <w:vertAlign w:val="baseline"/>
        </w:rPr>
        <w:t>3,</w:t>
      </w:r>
      <w:r>
        <w:rPr>
          <w:spacing w:val="-3"/>
          <w:sz w:val="18"/>
          <w:vertAlign w:val="baseline"/>
        </w:rPr>
        <w:t> </w:t>
      </w:r>
      <w:r>
        <w:rPr>
          <w:sz w:val="18"/>
          <w:vertAlign w:val="baseline"/>
        </w:rPr>
        <w:t>2024. </w:t>
      </w:r>
      <w:r>
        <w:rPr>
          <w:spacing w:val="-2"/>
          <w:sz w:val="18"/>
          <w:vertAlign w:val="baseline"/>
        </w:rPr>
        <w:t>https:</w:t>
      </w:r>
      <w:hyperlink r:id="rId686">
        <w:r>
          <w:rPr>
            <w:spacing w:val="-2"/>
            <w:sz w:val="18"/>
            <w:vertAlign w:val="baseline"/>
          </w:rPr>
          <w:t>//www.cnn.com/politics/anti-lgbtq-plus-state-bill-rights-dg/index.html</w:t>
        </w:r>
      </w:hyperlink>
    </w:p>
    <w:p>
      <w:pPr>
        <w:spacing w:before="0"/>
        <w:ind w:left="464" w:right="215" w:hanging="1"/>
        <w:jc w:val="left"/>
        <w:rPr>
          <w:sz w:val="18"/>
        </w:rPr>
      </w:pPr>
      <w:bookmarkStart w:name="_bookmark612" w:id="907"/>
      <w:bookmarkEnd w:id="907"/>
      <w:r>
        <w:rPr/>
      </w:r>
      <w:r>
        <w:rPr>
          <w:sz w:val="18"/>
          <w:vertAlign w:val="superscript"/>
        </w:rPr>
        <w:t>58</w:t>
      </w:r>
      <w:r>
        <w:rPr>
          <w:spacing w:val="-2"/>
          <w:sz w:val="18"/>
          <w:vertAlign w:val="baseline"/>
        </w:rPr>
        <w:t> </w:t>
      </w:r>
      <w:r>
        <w:rPr>
          <w:sz w:val="18"/>
          <w:vertAlign w:val="baseline"/>
        </w:rPr>
        <w:t>Luneau,</w:t>
      </w:r>
      <w:r>
        <w:rPr>
          <w:spacing w:val="-3"/>
          <w:sz w:val="18"/>
          <w:vertAlign w:val="baseline"/>
        </w:rPr>
        <w:t> </w:t>
      </w:r>
      <w:r>
        <w:rPr>
          <w:sz w:val="18"/>
          <w:vertAlign w:val="baseline"/>
        </w:rPr>
        <w:t>Delphine.</w:t>
      </w:r>
      <w:r>
        <w:rPr>
          <w:spacing w:val="-2"/>
          <w:sz w:val="18"/>
          <w:vertAlign w:val="baseline"/>
        </w:rPr>
        <w:t> </w:t>
      </w:r>
      <w:r>
        <w:rPr>
          <w:sz w:val="18"/>
          <w:vertAlign w:val="baseline"/>
        </w:rPr>
        <w:t>“FBI’s</w:t>
      </w:r>
      <w:r>
        <w:rPr>
          <w:spacing w:val="-2"/>
          <w:sz w:val="18"/>
          <w:vertAlign w:val="baseline"/>
        </w:rPr>
        <w:t> </w:t>
      </w:r>
      <w:r>
        <w:rPr>
          <w:sz w:val="18"/>
          <w:vertAlign w:val="baseline"/>
        </w:rPr>
        <w:t>Annual</w:t>
      </w:r>
      <w:r>
        <w:rPr>
          <w:spacing w:val="-4"/>
          <w:sz w:val="18"/>
          <w:vertAlign w:val="baseline"/>
        </w:rPr>
        <w:t> </w:t>
      </w:r>
      <w:r>
        <w:rPr>
          <w:sz w:val="18"/>
          <w:vertAlign w:val="baseline"/>
        </w:rPr>
        <w:t>Crime</w:t>
      </w:r>
      <w:r>
        <w:rPr>
          <w:spacing w:val="-2"/>
          <w:sz w:val="18"/>
          <w:vertAlign w:val="baseline"/>
        </w:rPr>
        <w:t> </w:t>
      </w:r>
      <w:r>
        <w:rPr>
          <w:sz w:val="18"/>
          <w:vertAlign w:val="baseline"/>
        </w:rPr>
        <w:t>Report</w:t>
      </w:r>
      <w:r>
        <w:rPr>
          <w:spacing w:val="-3"/>
          <w:sz w:val="18"/>
          <w:vertAlign w:val="baseline"/>
        </w:rPr>
        <w:t> </w:t>
      </w:r>
      <w:r>
        <w:rPr>
          <w:sz w:val="18"/>
          <w:vertAlign w:val="baseline"/>
        </w:rPr>
        <w:t>-</w:t>
      </w:r>
      <w:r>
        <w:rPr>
          <w:spacing w:val="-2"/>
          <w:sz w:val="18"/>
          <w:vertAlign w:val="baseline"/>
        </w:rPr>
        <w:t> </w:t>
      </w:r>
      <w:r>
        <w:rPr>
          <w:sz w:val="18"/>
          <w:vertAlign w:val="baseline"/>
        </w:rPr>
        <w:t>amid</w:t>
      </w:r>
      <w:r>
        <w:rPr>
          <w:spacing w:val="-2"/>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Emergency,</w:t>
      </w:r>
      <w:r>
        <w:rPr>
          <w:spacing w:val="-3"/>
          <w:sz w:val="18"/>
          <w:vertAlign w:val="baseline"/>
        </w:rPr>
        <w:t> </w:t>
      </w:r>
      <w:r>
        <w:rPr>
          <w:sz w:val="18"/>
          <w:vertAlign w:val="baseline"/>
        </w:rPr>
        <w:t>Anti-LGBTQ+</w:t>
      </w:r>
      <w:r>
        <w:rPr>
          <w:spacing w:val="-2"/>
          <w:sz w:val="18"/>
          <w:vertAlign w:val="baseline"/>
        </w:rPr>
        <w:t> </w:t>
      </w:r>
      <w:r>
        <w:rPr>
          <w:sz w:val="18"/>
          <w:vertAlign w:val="baseline"/>
        </w:rPr>
        <w:t>Hate</w:t>
      </w:r>
      <w:r>
        <w:rPr>
          <w:spacing w:val="-2"/>
          <w:sz w:val="18"/>
          <w:vertAlign w:val="baseline"/>
        </w:rPr>
        <w:t> </w:t>
      </w:r>
      <w:r>
        <w:rPr>
          <w:sz w:val="18"/>
          <w:vertAlign w:val="baseline"/>
        </w:rPr>
        <w:t>Crimes</w:t>
      </w:r>
      <w:r>
        <w:rPr>
          <w:spacing w:val="-2"/>
          <w:sz w:val="18"/>
          <w:vertAlign w:val="baseline"/>
        </w:rPr>
        <w:t> </w:t>
      </w:r>
      <w:r>
        <w:rPr>
          <w:sz w:val="18"/>
          <w:vertAlign w:val="baseline"/>
        </w:rPr>
        <w:t>Hit</w:t>
      </w:r>
      <w:r>
        <w:rPr>
          <w:spacing w:val="-3"/>
          <w:sz w:val="18"/>
          <w:vertAlign w:val="baseline"/>
        </w:rPr>
        <w:t> </w:t>
      </w:r>
      <w:r>
        <w:rPr>
          <w:sz w:val="18"/>
          <w:vertAlign w:val="baseline"/>
        </w:rPr>
        <w:t>Staggering</w:t>
      </w:r>
      <w:r>
        <w:rPr>
          <w:spacing w:val="-3"/>
          <w:sz w:val="18"/>
          <w:vertAlign w:val="baseline"/>
        </w:rPr>
        <w:t> </w:t>
      </w:r>
      <w:r>
        <w:rPr>
          <w:sz w:val="18"/>
          <w:vertAlign w:val="baseline"/>
        </w:rPr>
        <w:t>Record Highs.” Human Rights Campaign, Oct. 16 2023. </w:t>
      </w:r>
      <w:hyperlink r:id="rId687">
        <w:r>
          <w:rPr>
            <w:sz w:val="18"/>
            <w:vertAlign w:val="baseline"/>
          </w:rPr>
          <w:t>www.hrc.org/press-releases/fbis-annual-crime-report-amid-state-of-</w:t>
        </w:r>
      </w:hyperlink>
      <w:r>
        <w:rPr>
          <w:sz w:val="18"/>
          <w:vertAlign w:val="baseline"/>
        </w:rPr>
        <w:t> </w:t>
      </w:r>
      <w:r>
        <w:rPr>
          <w:spacing w:val="-2"/>
          <w:sz w:val="18"/>
          <w:vertAlign w:val="baseline"/>
        </w:rPr>
        <w:t>emergency-anti-lgbtq-hate-crimes-hit-staggering-record-highs</w:t>
      </w:r>
    </w:p>
    <w:p>
      <w:pPr>
        <w:spacing w:before="0"/>
        <w:ind w:left="464" w:right="462" w:hanging="1"/>
        <w:jc w:val="left"/>
        <w:rPr>
          <w:sz w:val="18"/>
        </w:rPr>
      </w:pPr>
      <w:bookmarkStart w:name="_bookmark613" w:id="908"/>
      <w:bookmarkEnd w:id="908"/>
      <w:r>
        <w:rPr/>
      </w:r>
      <w:r>
        <w:rPr>
          <w:sz w:val="18"/>
          <w:vertAlign w:val="superscript"/>
        </w:rPr>
        <w:t>59</w:t>
      </w:r>
      <w:r>
        <w:rPr>
          <w:spacing w:val="-2"/>
          <w:sz w:val="18"/>
          <w:vertAlign w:val="baseline"/>
        </w:rPr>
        <w:t> </w:t>
      </w:r>
      <w:r>
        <w:rPr>
          <w:sz w:val="18"/>
          <w:vertAlign w:val="baseline"/>
        </w:rPr>
        <w:t>James,</w:t>
      </w:r>
      <w:r>
        <w:rPr>
          <w:spacing w:val="-3"/>
          <w:sz w:val="18"/>
          <w:vertAlign w:val="baseline"/>
        </w:rPr>
        <w:t> </w:t>
      </w:r>
      <w:r>
        <w:rPr>
          <w:sz w:val="18"/>
          <w:vertAlign w:val="baseline"/>
        </w:rPr>
        <w:t>Sandy</w:t>
      </w:r>
      <w:r>
        <w:rPr>
          <w:spacing w:val="-2"/>
          <w:sz w:val="18"/>
          <w:vertAlign w:val="baseline"/>
        </w:rPr>
        <w:t> </w:t>
      </w:r>
      <w:r>
        <w:rPr>
          <w:sz w:val="18"/>
          <w:vertAlign w:val="baseline"/>
        </w:rPr>
        <w:t>E.,</w:t>
      </w:r>
      <w:r>
        <w:rPr>
          <w:spacing w:val="-3"/>
          <w:sz w:val="18"/>
          <w:vertAlign w:val="baseline"/>
        </w:rPr>
        <w:t> </w:t>
      </w:r>
      <w:r>
        <w:rPr>
          <w:sz w:val="18"/>
          <w:vertAlign w:val="baseline"/>
        </w:rPr>
        <w:t>Jody</w:t>
      </w:r>
      <w:r>
        <w:rPr>
          <w:spacing w:val="-2"/>
          <w:sz w:val="18"/>
          <w:vertAlign w:val="baseline"/>
        </w:rPr>
        <w:t> </w:t>
      </w:r>
      <w:r>
        <w:rPr>
          <w:sz w:val="18"/>
          <w:vertAlign w:val="baseline"/>
        </w:rPr>
        <w:t>L.</w:t>
      </w:r>
      <w:r>
        <w:rPr>
          <w:spacing w:val="-2"/>
          <w:sz w:val="18"/>
          <w:vertAlign w:val="baseline"/>
        </w:rPr>
        <w:t> </w:t>
      </w:r>
      <w:r>
        <w:rPr>
          <w:sz w:val="18"/>
          <w:vertAlign w:val="baseline"/>
        </w:rPr>
        <w:t>Herman,</w:t>
      </w:r>
      <w:r>
        <w:rPr>
          <w:spacing w:val="-3"/>
          <w:sz w:val="18"/>
          <w:vertAlign w:val="baseline"/>
        </w:rPr>
        <w:t> </w:t>
      </w:r>
      <w:r>
        <w:rPr>
          <w:sz w:val="18"/>
          <w:vertAlign w:val="baseline"/>
        </w:rPr>
        <w:t>Laura</w:t>
      </w:r>
      <w:r>
        <w:rPr>
          <w:spacing w:val="-2"/>
          <w:sz w:val="18"/>
          <w:vertAlign w:val="baseline"/>
        </w:rPr>
        <w:t> </w:t>
      </w:r>
      <w:r>
        <w:rPr>
          <w:sz w:val="18"/>
          <w:vertAlign w:val="baseline"/>
        </w:rPr>
        <w:t>E.</w:t>
      </w:r>
      <w:r>
        <w:rPr>
          <w:spacing w:val="-2"/>
          <w:sz w:val="18"/>
          <w:vertAlign w:val="baseline"/>
        </w:rPr>
        <w:t> </w:t>
      </w:r>
      <w:r>
        <w:rPr>
          <w:sz w:val="18"/>
          <w:vertAlign w:val="baseline"/>
        </w:rPr>
        <w:t>Durso,</w:t>
      </w:r>
      <w:r>
        <w:rPr>
          <w:spacing w:val="-2"/>
          <w:sz w:val="18"/>
          <w:vertAlign w:val="baseline"/>
        </w:rPr>
        <w:t> </w:t>
      </w:r>
      <w:r>
        <w:rPr>
          <w:sz w:val="18"/>
          <w:vertAlign w:val="baseline"/>
        </w:rPr>
        <w:t>and</w:t>
      </w:r>
      <w:r>
        <w:rPr>
          <w:spacing w:val="-2"/>
          <w:sz w:val="18"/>
          <w:vertAlign w:val="baseline"/>
        </w:rPr>
        <w:t> </w:t>
      </w:r>
      <w:r>
        <w:rPr>
          <w:sz w:val="18"/>
          <w:vertAlign w:val="baseline"/>
        </w:rPr>
        <w:t>Rodrigo</w:t>
      </w:r>
      <w:r>
        <w:rPr>
          <w:spacing w:val="-2"/>
          <w:sz w:val="18"/>
          <w:vertAlign w:val="baseline"/>
        </w:rPr>
        <w:t> </w:t>
      </w:r>
      <w:r>
        <w:rPr>
          <w:sz w:val="18"/>
          <w:vertAlign w:val="baseline"/>
        </w:rPr>
        <w:t>Heng-Lehtinen.</w:t>
      </w:r>
      <w:r>
        <w:rPr>
          <w:spacing w:val="-3"/>
          <w:sz w:val="18"/>
          <w:vertAlign w:val="baseline"/>
        </w:rPr>
        <w:t> </w:t>
      </w:r>
      <w:r>
        <w:rPr>
          <w:sz w:val="18"/>
          <w:vertAlign w:val="baseline"/>
        </w:rPr>
        <w:t>“Early</w:t>
      </w:r>
      <w:r>
        <w:rPr>
          <w:spacing w:val="-2"/>
          <w:sz w:val="18"/>
          <w:vertAlign w:val="baseline"/>
        </w:rPr>
        <w:t> </w:t>
      </w:r>
      <w:r>
        <w:rPr>
          <w:sz w:val="18"/>
          <w:vertAlign w:val="baseline"/>
        </w:rPr>
        <w:t>Insights:</w:t>
      </w:r>
      <w:r>
        <w:rPr>
          <w:spacing w:val="-2"/>
          <w:sz w:val="18"/>
          <w:vertAlign w:val="baseline"/>
        </w:rPr>
        <w:t> </w:t>
      </w:r>
      <w:r>
        <w:rPr>
          <w:sz w:val="18"/>
          <w:vertAlign w:val="baseline"/>
        </w:rPr>
        <w:t>A</w:t>
      </w:r>
      <w:r>
        <w:rPr>
          <w:spacing w:val="-2"/>
          <w:sz w:val="18"/>
          <w:vertAlign w:val="baseline"/>
        </w:rPr>
        <w:t> </w:t>
      </w:r>
      <w:r>
        <w:rPr>
          <w:sz w:val="18"/>
          <w:vertAlign w:val="baseline"/>
        </w:rPr>
        <w:t>Report</w:t>
      </w:r>
      <w:r>
        <w:rPr>
          <w:spacing w:val="-3"/>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2022</w:t>
      </w:r>
      <w:r>
        <w:rPr>
          <w:spacing w:val="-2"/>
          <w:sz w:val="18"/>
          <w:vertAlign w:val="baseline"/>
        </w:rPr>
        <w:t> </w:t>
      </w:r>
      <w:r>
        <w:rPr>
          <w:sz w:val="18"/>
          <w:vertAlign w:val="baseline"/>
        </w:rPr>
        <w:t>U.S. Transgender Survey.” National Center for Transgender Equality (February 2024). </w:t>
      </w:r>
      <w:r>
        <w:rPr>
          <w:spacing w:val="-2"/>
          <w:sz w:val="18"/>
          <w:vertAlign w:val="baseline"/>
        </w:rPr>
        <w:t>https://transequality.org/sites/default/files/2024-02/2022%20USTS%20Early%20Insights%20Report_FINAL.pdf</w:t>
      </w:r>
    </w:p>
    <w:p>
      <w:pPr>
        <w:spacing w:before="0"/>
        <w:ind w:left="464" w:right="207" w:hanging="1"/>
        <w:jc w:val="left"/>
        <w:rPr>
          <w:sz w:val="18"/>
        </w:rPr>
      </w:pPr>
      <w:bookmarkStart w:name="_bookmark614" w:id="909"/>
      <w:bookmarkEnd w:id="909"/>
      <w:r>
        <w:rPr/>
      </w:r>
      <w:r>
        <w:rPr>
          <w:sz w:val="18"/>
          <w:vertAlign w:val="superscript"/>
        </w:rPr>
        <w:t>60</w:t>
      </w:r>
      <w:r>
        <w:rPr>
          <w:sz w:val="18"/>
          <w:vertAlign w:val="baseline"/>
        </w:rPr>
        <w:t> Migdon, Brooke. “Half of Trans People in US Have Considered Moving out of State Because of Anti-LGBTQ Laws: Survey.” The</w:t>
      </w:r>
      <w:r>
        <w:rPr>
          <w:spacing w:val="-8"/>
          <w:sz w:val="18"/>
          <w:vertAlign w:val="baseline"/>
        </w:rPr>
        <w:t> </w:t>
      </w:r>
      <w:r>
        <w:rPr>
          <w:sz w:val="18"/>
          <w:vertAlign w:val="baseline"/>
        </w:rPr>
        <w:t>Hill</w:t>
      </w:r>
      <w:r>
        <w:rPr>
          <w:spacing w:val="-8"/>
          <w:sz w:val="18"/>
          <w:vertAlign w:val="baseline"/>
        </w:rPr>
        <w:t> </w:t>
      </w:r>
      <w:r>
        <w:rPr>
          <w:sz w:val="18"/>
          <w:vertAlign w:val="baseline"/>
        </w:rPr>
        <w:t>(February</w:t>
      </w:r>
      <w:r>
        <w:rPr>
          <w:spacing w:val="-8"/>
          <w:sz w:val="18"/>
          <w:vertAlign w:val="baseline"/>
        </w:rPr>
        <w:t> </w:t>
      </w:r>
      <w:r>
        <w:rPr>
          <w:sz w:val="18"/>
          <w:vertAlign w:val="baseline"/>
        </w:rPr>
        <w:t>7,</w:t>
      </w:r>
      <w:r>
        <w:rPr>
          <w:spacing w:val="-8"/>
          <w:sz w:val="18"/>
          <w:vertAlign w:val="baseline"/>
        </w:rPr>
        <w:t> </w:t>
      </w:r>
      <w:r>
        <w:rPr>
          <w:sz w:val="18"/>
          <w:vertAlign w:val="baseline"/>
        </w:rPr>
        <w:t>2024).</w:t>
      </w:r>
      <w:r>
        <w:rPr>
          <w:spacing w:val="-8"/>
          <w:sz w:val="18"/>
          <w:vertAlign w:val="baseline"/>
        </w:rPr>
        <w:t> </w:t>
      </w:r>
      <w:r>
        <w:rPr>
          <w:sz w:val="18"/>
          <w:vertAlign w:val="baseline"/>
        </w:rPr>
        <w:t>thehill.com/policy/healthcare/4452248-half-of-trans-people-in-us-have-considered-moving-out- </w:t>
      </w:r>
      <w:r>
        <w:rPr>
          <w:spacing w:val="-2"/>
          <w:sz w:val="18"/>
          <w:vertAlign w:val="baseline"/>
        </w:rPr>
        <w:t>of-state-because-of-anti-lgbtq-laws-survey/</w:t>
      </w:r>
    </w:p>
    <w:p>
      <w:pPr>
        <w:spacing w:line="219" w:lineRule="exact" w:before="0"/>
        <w:ind w:left="464" w:right="0" w:firstLine="0"/>
        <w:jc w:val="left"/>
        <w:rPr>
          <w:sz w:val="18"/>
        </w:rPr>
      </w:pPr>
      <w:bookmarkStart w:name="_bookmark615" w:id="910"/>
      <w:bookmarkEnd w:id="910"/>
      <w:r>
        <w:rPr/>
      </w:r>
      <w:r>
        <w:rPr>
          <w:sz w:val="18"/>
          <w:vertAlign w:val="superscript"/>
        </w:rPr>
        <w:t>61</w:t>
      </w:r>
      <w:r>
        <w:rPr>
          <w:spacing w:val="-4"/>
          <w:sz w:val="18"/>
          <w:vertAlign w:val="baseline"/>
        </w:rPr>
        <w:t> </w:t>
      </w:r>
      <w:r>
        <w:rPr>
          <w:sz w:val="18"/>
          <w:vertAlign w:val="baseline"/>
        </w:rPr>
        <w:t>Trans</w:t>
      </w:r>
      <w:r>
        <w:rPr>
          <w:spacing w:val="-3"/>
          <w:sz w:val="18"/>
          <w:vertAlign w:val="baseline"/>
        </w:rPr>
        <w:t> </w:t>
      </w:r>
      <w:r>
        <w:rPr>
          <w:sz w:val="18"/>
          <w:vertAlign w:val="baseline"/>
        </w:rPr>
        <w:t>Legislation</w:t>
      </w:r>
      <w:r>
        <w:rPr>
          <w:spacing w:val="-3"/>
          <w:sz w:val="18"/>
          <w:vertAlign w:val="baseline"/>
        </w:rPr>
        <w:t> </w:t>
      </w:r>
      <w:r>
        <w:rPr>
          <w:sz w:val="18"/>
          <w:vertAlign w:val="baseline"/>
        </w:rPr>
        <w:t>Tracker.</w:t>
      </w:r>
      <w:r>
        <w:rPr>
          <w:spacing w:val="-3"/>
          <w:sz w:val="18"/>
          <w:vertAlign w:val="baseline"/>
        </w:rPr>
        <w:t> </w:t>
      </w:r>
      <w:r>
        <w:rPr>
          <w:spacing w:val="-2"/>
          <w:sz w:val="18"/>
          <w:vertAlign w:val="baseline"/>
        </w:rPr>
        <w:t>https://translegislation.com/</w:t>
      </w:r>
    </w:p>
    <w:p>
      <w:pPr>
        <w:spacing w:before="0"/>
        <w:ind w:left="464" w:right="0" w:firstLine="0"/>
        <w:jc w:val="left"/>
        <w:rPr>
          <w:sz w:val="18"/>
        </w:rPr>
      </w:pPr>
      <w:bookmarkStart w:name="_bookmark616" w:id="911"/>
      <w:bookmarkEnd w:id="911"/>
      <w:r>
        <w:rPr/>
      </w:r>
      <w:r>
        <w:rPr>
          <w:sz w:val="18"/>
          <w:vertAlign w:val="superscript"/>
        </w:rPr>
        <w:t>62</w:t>
      </w:r>
      <w:r>
        <w:rPr>
          <w:spacing w:val="-6"/>
          <w:sz w:val="18"/>
          <w:vertAlign w:val="baseline"/>
        </w:rPr>
        <w:t> </w:t>
      </w:r>
      <w:r>
        <w:rPr>
          <w:sz w:val="18"/>
          <w:vertAlign w:val="baseline"/>
        </w:rPr>
        <w:t>US</w:t>
      </w:r>
      <w:r>
        <w:rPr>
          <w:spacing w:val="-4"/>
          <w:sz w:val="18"/>
          <w:vertAlign w:val="baseline"/>
        </w:rPr>
        <w:t> </w:t>
      </w:r>
      <w:r>
        <w:rPr>
          <w:sz w:val="18"/>
          <w:vertAlign w:val="baseline"/>
        </w:rPr>
        <w:t>News.</w:t>
      </w:r>
      <w:r>
        <w:rPr>
          <w:spacing w:val="-3"/>
          <w:sz w:val="18"/>
          <w:vertAlign w:val="baseline"/>
        </w:rPr>
        <w:t> </w:t>
      </w:r>
      <w:r>
        <w:rPr>
          <w:sz w:val="18"/>
          <w:vertAlign w:val="baseline"/>
        </w:rPr>
        <w:t>“Cost</w:t>
      </w:r>
      <w:r>
        <w:rPr>
          <w:spacing w:val="-6"/>
          <w:sz w:val="18"/>
          <w:vertAlign w:val="baseline"/>
        </w:rPr>
        <w:t> </w:t>
      </w:r>
      <w:r>
        <w:rPr>
          <w:sz w:val="18"/>
          <w:vertAlign w:val="baseline"/>
        </w:rPr>
        <w:t>of</w:t>
      </w:r>
      <w:r>
        <w:rPr>
          <w:spacing w:val="-3"/>
          <w:sz w:val="18"/>
          <w:vertAlign w:val="baseline"/>
        </w:rPr>
        <w:t> </w:t>
      </w:r>
      <w:r>
        <w:rPr>
          <w:sz w:val="18"/>
          <w:vertAlign w:val="baseline"/>
        </w:rPr>
        <w:t>Living.”</w:t>
      </w:r>
      <w:r>
        <w:rPr>
          <w:spacing w:val="-4"/>
          <w:sz w:val="18"/>
          <w:vertAlign w:val="baseline"/>
        </w:rPr>
        <w:t> </w:t>
      </w:r>
      <w:r>
        <w:rPr>
          <w:sz w:val="18"/>
          <w:vertAlign w:val="baseline"/>
        </w:rPr>
        <w:t>(2023).</w:t>
      </w:r>
      <w:r>
        <w:rPr>
          <w:spacing w:val="-3"/>
          <w:sz w:val="18"/>
          <w:vertAlign w:val="baseline"/>
        </w:rPr>
        <w:t> </w:t>
      </w:r>
      <w:r>
        <w:rPr>
          <w:sz w:val="18"/>
          <w:vertAlign w:val="baseline"/>
        </w:rPr>
        <w:t>https:</w:t>
      </w:r>
      <w:hyperlink r:id="rId688">
        <w:r>
          <w:rPr>
            <w:sz w:val="18"/>
            <w:vertAlign w:val="baseline"/>
          </w:rPr>
          <w:t>//www.usnews.com/news/best-</w:t>
        </w:r>
        <w:r>
          <w:rPr>
            <w:spacing w:val="-2"/>
            <w:sz w:val="18"/>
            <w:vertAlign w:val="baseline"/>
          </w:rPr>
          <w:t>states/articles/methodology</w:t>
        </w:r>
      </w:hyperlink>
    </w:p>
    <w:p>
      <w:pPr>
        <w:spacing w:before="0"/>
        <w:ind w:left="464" w:right="2164" w:firstLine="0"/>
        <w:jc w:val="left"/>
        <w:rPr>
          <w:sz w:val="18"/>
        </w:rPr>
      </w:pPr>
      <w:bookmarkStart w:name="_bookmark617" w:id="912"/>
      <w:bookmarkEnd w:id="912"/>
      <w:r>
        <w:rPr/>
      </w:r>
      <w:r>
        <w:rPr>
          <w:sz w:val="18"/>
          <w:vertAlign w:val="superscript"/>
        </w:rPr>
        <w:t>63</w:t>
      </w:r>
      <w:r>
        <w:rPr>
          <w:spacing w:val="-3"/>
          <w:sz w:val="18"/>
          <w:vertAlign w:val="baseline"/>
        </w:rPr>
        <w:t> </w:t>
      </w:r>
      <w:r>
        <w:rPr>
          <w:sz w:val="18"/>
          <w:vertAlign w:val="baseline"/>
        </w:rPr>
        <w:t>Gabriele,</w:t>
      </w:r>
      <w:r>
        <w:rPr>
          <w:spacing w:val="-4"/>
          <w:sz w:val="18"/>
          <w:vertAlign w:val="baseline"/>
        </w:rPr>
        <w:t> </w:t>
      </w:r>
      <w:r>
        <w:rPr>
          <w:sz w:val="18"/>
          <w:vertAlign w:val="baseline"/>
        </w:rPr>
        <w:t>Rob.</w:t>
      </w:r>
      <w:r>
        <w:rPr>
          <w:spacing w:val="-3"/>
          <w:sz w:val="18"/>
          <w:vertAlign w:val="baseline"/>
        </w:rPr>
        <w:t> </w:t>
      </w:r>
      <w:r>
        <w:rPr>
          <w:sz w:val="18"/>
          <w:vertAlign w:val="baseline"/>
        </w:rPr>
        <w:t>“2023</w:t>
      </w:r>
      <w:r>
        <w:rPr>
          <w:spacing w:val="-3"/>
          <w:sz w:val="18"/>
          <w:vertAlign w:val="baseline"/>
        </w:rPr>
        <w:t> </w:t>
      </w:r>
      <w:r>
        <w:rPr>
          <w:sz w:val="18"/>
          <w:vertAlign w:val="baseline"/>
        </w:rPr>
        <w:t>LGBTQ+</w:t>
      </w:r>
      <w:r>
        <w:rPr>
          <w:spacing w:val="-3"/>
          <w:sz w:val="18"/>
          <w:vertAlign w:val="baseline"/>
        </w:rPr>
        <w:t> </w:t>
      </w:r>
      <w:r>
        <w:rPr>
          <w:sz w:val="18"/>
          <w:vertAlign w:val="baseline"/>
        </w:rPr>
        <w:t>State</w:t>
      </w:r>
      <w:r>
        <w:rPr>
          <w:spacing w:val="-3"/>
          <w:sz w:val="18"/>
          <w:vertAlign w:val="baseline"/>
        </w:rPr>
        <w:t> </w:t>
      </w:r>
      <w:r>
        <w:rPr>
          <w:sz w:val="18"/>
          <w:vertAlign w:val="baseline"/>
        </w:rPr>
        <w:t>Safety</w:t>
      </w:r>
      <w:r>
        <w:rPr>
          <w:spacing w:val="-3"/>
          <w:sz w:val="18"/>
          <w:vertAlign w:val="baseline"/>
        </w:rPr>
        <w:t> </w:t>
      </w:r>
      <w:r>
        <w:rPr>
          <w:sz w:val="18"/>
          <w:vertAlign w:val="baseline"/>
        </w:rPr>
        <w:t>Rankings.”</w:t>
      </w:r>
      <w:r>
        <w:rPr>
          <w:spacing w:val="-3"/>
          <w:sz w:val="18"/>
          <w:vertAlign w:val="baseline"/>
        </w:rPr>
        <w:t> </w:t>
      </w:r>
      <w:r>
        <w:rPr>
          <w:sz w:val="18"/>
          <w:vertAlign w:val="baseline"/>
        </w:rPr>
        <w:t>SafeHome.org.</w:t>
      </w:r>
      <w:r>
        <w:rPr>
          <w:spacing w:val="-3"/>
          <w:sz w:val="18"/>
          <w:vertAlign w:val="baseline"/>
        </w:rPr>
        <w:t> </w:t>
      </w:r>
      <w:r>
        <w:rPr>
          <w:sz w:val="18"/>
          <w:vertAlign w:val="baseline"/>
        </w:rPr>
        <w:t>Accessed</w:t>
      </w:r>
      <w:r>
        <w:rPr>
          <w:spacing w:val="-3"/>
          <w:sz w:val="18"/>
          <w:vertAlign w:val="baseline"/>
        </w:rPr>
        <w:t> </w:t>
      </w:r>
      <w:r>
        <w:rPr>
          <w:sz w:val="18"/>
          <w:vertAlign w:val="baseline"/>
        </w:rPr>
        <w:t>March</w:t>
      </w:r>
      <w:r>
        <w:rPr>
          <w:spacing w:val="-3"/>
          <w:sz w:val="18"/>
          <w:vertAlign w:val="baseline"/>
        </w:rPr>
        <w:t> </w:t>
      </w:r>
      <w:r>
        <w:rPr>
          <w:sz w:val="18"/>
          <w:vertAlign w:val="baseline"/>
        </w:rPr>
        <w:t>25,</w:t>
      </w:r>
      <w:r>
        <w:rPr>
          <w:spacing w:val="-4"/>
          <w:sz w:val="18"/>
          <w:vertAlign w:val="baseline"/>
        </w:rPr>
        <w:t> </w:t>
      </w:r>
      <w:r>
        <w:rPr>
          <w:sz w:val="18"/>
          <w:vertAlign w:val="baseline"/>
        </w:rPr>
        <w:t>2024. </w:t>
      </w:r>
      <w:r>
        <w:rPr>
          <w:spacing w:val="-2"/>
          <w:sz w:val="18"/>
          <w:vertAlign w:val="baseline"/>
        </w:rPr>
        <w:t>https:</w:t>
      </w:r>
      <w:hyperlink r:id="rId689">
        <w:r>
          <w:rPr>
            <w:spacing w:val="-2"/>
            <w:sz w:val="18"/>
            <w:vertAlign w:val="baseline"/>
          </w:rPr>
          <w:t>//www.safehome.org/data/lgbtq-state-safety-rankings/</w:t>
        </w:r>
      </w:hyperlink>
    </w:p>
    <w:p>
      <w:pPr>
        <w:spacing w:after="0"/>
        <w:jc w:val="left"/>
        <w:rPr>
          <w:sz w:val="18"/>
        </w:rPr>
        <w:sectPr>
          <w:pgSz w:w="12240" w:h="15840"/>
          <w:pgMar w:header="763" w:footer="1041" w:top="1380" w:bottom="1240" w:left="1120" w:right="1380"/>
        </w:sectPr>
      </w:pPr>
    </w:p>
    <w:p>
      <w:pPr>
        <w:pStyle w:val="BodyText"/>
        <w:spacing w:before="73"/>
        <w:rPr>
          <w:sz w:val="18"/>
        </w:rPr>
      </w:pPr>
    </w:p>
    <w:p>
      <w:pPr>
        <w:spacing w:before="0"/>
        <w:ind w:left="464" w:right="215" w:hanging="1"/>
        <w:jc w:val="left"/>
        <w:rPr>
          <w:sz w:val="18"/>
        </w:rPr>
      </w:pPr>
      <w:bookmarkStart w:name="_bookmark618" w:id="913"/>
      <w:bookmarkEnd w:id="913"/>
      <w:r>
        <w:rPr/>
      </w:r>
      <w:r>
        <w:rPr>
          <w:sz w:val="18"/>
          <w:vertAlign w:val="superscript"/>
        </w:rPr>
        <w:t>64</w:t>
      </w:r>
      <w:r>
        <w:rPr>
          <w:spacing w:val="-2"/>
          <w:sz w:val="18"/>
          <w:vertAlign w:val="baseline"/>
        </w:rPr>
        <w:t> </w:t>
      </w:r>
      <w:r>
        <w:rPr>
          <w:sz w:val="18"/>
          <w:vertAlign w:val="baseline"/>
        </w:rPr>
        <w:t>Luneau,</w:t>
      </w:r>
      <w:r>
        <w:rPr>
          <w:spacing w:val="-3"/>
          <w:sz w:val="18"/>
          <w:vertAlign w:val="baseline"/>
        </w:rPr>
        <w:t> </w:t>
      </w:r>
      <w:r>
        <w:rPr>
          <w:sz w:val="18"/>
          <w:vertAlign w:val="baseline"/>
        </w:rPr>
        <w:t>Delphine.</w:t>
      </w:r>
      <w:r>
        <w:rPr>
          <w:spacing w:val="-2"/>
          <w:sz w:val="18"/>
          <w:vertAlign w:val="baseline"/>
        </w:rPr>
        <w:t> </w:t>
      </w:r>
      <w:r>
        <w:rPr>
          <w:sz w:val="18"/>
          <w:vertAlign w:val="baseline"/>
        </w:rPr>
        <w:t>“FBI’s</w:t>
      </w:r>
      <w:r>
        <w:rPr>
          <w:spacing w:val="-2"/>
          <w:sz w:val="18"/>
          <w:vertAlign w:val="baseline"/>
        </w:rPr>
        <w:t> </w:t>
      </w:r>
      <w:r>
        <w:rPr>
          <w:sz w:val="18"/>
          <w:vertAlign w:val="baseline"/>
        </w:rPr>
        <w:t>Annual</w:t>
      </w:r>
      <w:r>
        <w:rPr>
          <w:spacing w:val="-4"/>
          <w:sz w:val="18"/>
          <w:vertAlign w:val="baseline"/>
        </w:rPr>
        <w:t> </w:t>
      </w:r>
      <w:r>
        <w:rPr>
          <w:sz w:val="18"/>
          <w:vertAlign w:val="baseline"/>
        </w:rPr>
        <w:t>Crime</w:t>
      </w:r>
      <w:r>
        <w:rPr>
          <w:spacing w:val="-2"/>
          <w:sz w:val="18"/>
          <w:vertAlign w:val="baseline"/>
        </w:rPr>
        <w:t> </w:t>
      </w:r>
      <w:r>
        <w:rPr>
          <w:sz w:val="18"/>
          <w:vertAlign w:val="baseline"/>
        </w:rPr>
        <w:t>Report</w:t>
      </w:r>
      <w:r>
        <w:rPr>
          <w:spacing w:val="-3"/>
          <w:sz w:val="18"/>
          <w:vertAlign w:val="baseline"/>
        </w:rPr>
        <w:t> </w:t>
      </w:r>
      <w:r>
        <w:rPr>
          <w:sz w:val="18"/>
          <w:vertAlign w:val="baseline"/>
        </w:rPr>
        <w:t>-</w:t>
      </w:r>
      <w:r>
        <w:rPr>
          <w:spacing w:val="-2"/>
          <w:sz w:val="18"/>
          <w:vertAlign w:val="baseline"/>
        </w:rPr>
        <w:t> </w:t>
      </w:r>
      <w:r>
        <w:rPr>
          <w:sz w:val="18"/>
          <w:vertAlign w:val="baseline"/>
        </w:rPr>
        <w:t>amid</w:t>
      </w:r>
      <w:r>
        <w:rPr>
          <w:spacing w:val="-2"/>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Emergency,</w:t>
      </w:r>
      <w:r>
        <w:rPr>
          <w:spacing w:val="-3"/>
          <w:sz w:val="18"/>
          <w:vertAlign w:val="baseline"/>
        </w:rPr>
        <w:t> </w:t>
      </w:r>
      <w:r>
        <w:rPr>
          <w:sz w:val="18"/>
          <w:vertAlign w:val="baseline"/>
        </w:rPr>
        <w:t>Anti-LGBTQ+</w:t>
      </w:r>
      <w:r>
        <w:rPr>
          <w:spacing w:val="-2"/>
          <w:sz w:val="18"/>
          <w:vertAlign w:val="baseline"/>
        </w:rPr>
        <w:t> </w:t>
      </w:r>
      <w:r>
        <w:rPr>
          <w:sz w:val="18"/>
          <w:vertAlign w:val="baseline"/>
        </w:rPr>
        <w:t>Hate</w:t>
      </w:r>
      <w:r>
        <w:rPr>
          <w:spacing w:val="-2"/>
          <w:sz w:val="18"/>
          <w:vertAlign w:val="baseline"/>
        </w:rPr>
        <w:t> </w:t>
      </w:r>
      <w:r>
        <w:rPr>
          <w:sz w:val="18"/>
          <w:vertAlign w:val="baseline"/>
        </w:rPr>
        <w:t>Crimes</w:t>
      </w:r>
      <w:r>
        <w:rPr>
          <w:spacing w:val="-2"/>
          <w:sz w:val="18"/>
          <w:vertAlign w:val="baseline"/>
        </w:rPr>
        <w:t> </w:t>
      </w:r>
      <w:r>
        <w:rPr>
          <w:sz w:val="18"/>
          <w:vertAlign w:val="baseline"/>
        </w:rPr>
        <w:t>Hit</w:t>
      </w:r>
      <w:r>
        <w:rPr>
          <w:spacing w:val="-3"/>
          <w:sz w:val="18"/>
          <w:vertAlign w:val="baseline"/>
        </w:rPr>
        <w:t> </w:t>
      </w:r>
      <w:r>
        <w:rPr>
          <w:sz w:val="18"/>
          <w:vertAlign w:val="baseline"/>
        </w:rPr>
        <w:t>Staggering</w:t>
      </w:r>
      <w:r>
        <w:rPr>
          <w:spacing w:val="-3"/>
          <w:sz w:val="18"/>
          <w:vertAlign w:val="baseline"/>
        </w:rPr>
        <w:t> </w:t>
      </w:r>
      <w:r>
        <w:rPr>
          <w:sz w:val="18"/>
          <w:vertAlign w:val="baseline"/>
        </w:rPr>
        <w:t>Record Highs.” Human Rights Campaign, Oct. 16 2023. </w:t>
      </w:r>
      <w:hyperlink r:id="rId687">
        <w:r>
          <w:rPr>
            <w:sz w:val="18"/>
            <w:vertAlign w:val="baseline"/>
          </w:rPr>
          <w:t>www.hrc.org/press-releases/fbis-annual-crime-report-amid-state-of-</w:t>
        </w:r>
      </w:hyperlink>
      <w:r>
        <w:rPr>
          <w:sz w:val="18"/>
          <w:vertAlign w:val="baseline"/>
        </w:rPr>
        <w:t> </w:t>
      </w:r>
      <w:r>
        <w:rPr>
          <w:spacing w:val="-2"/>
          <w:sz w:val="18"/>
          <w:vertAlign w:val="baseline"/>
        </w:rPr>
        <w:t>emergency-anti-lgbtq-hate-crimes-hit-staggering-record-highs</w:t>
      </w:r>
    </w:p>
    <w:p>
      <w:pPr>
        <w:spacing w:before="0"/>
        <w:ind w:left="464" w:right="0" w:firstLine="0"/>
        <w:jc w:val="left"/>
        <w:rPr>
          <w:sz w:val="18"/>
        </w:rPr>
      </w:pPr>
      <w:bookmarkStart w:name="_bookmark619" w:id="914"/>
      <w:bookmarkEnd w:id="914"/>
      <w:r>
        <w:rPr/>
      </w:r>
      <w:r>
        <w:rPr>
          <w:sz w:val="18"/>
          <w:vertAlign w:val="superscript"/>
        </w:rPr>
        <w:t>65</w:t>
      </w:r>
      <w:r>
        <w:rPr>
          <w:spacing w:val="-2"/>
          <w:sz w:val="18"/>
          <w:vertAlign w:val="baseline"/>
        </w:rPr>
        <w:t> </w:t>
      </w:r>
      <w:r>
        <w:rPr>
          <w:sz w:val="18"/>
          <w:vertAlign w:val="baseline"/>
        </w:rPr>
        <w:t>Karedes,</w:t>
      </w:r>
      <w:r>
        <w:rPr>
          <w:spacing w:val="-3"/>
          <w:sz w:val="18"/>
          <w:vertAlign w:val="baseline"/>
        </w:rPr>
        <w:t> </w:t>
      </w:r>
      <w:r>
        <w:rPr>
          <w:sz w:val="18"/>
          <w:vertAlign w:val="baseline"/>
        </w:rPr>
        <w:t>Drew.</w:t>
      </w:r>
      <w:r>
        <w:rPr>
          <w:spacing w:val="-3"/>
          <w:sz w:val="18"/>
          <w:vertAlign w:val="baseline"/>
        </w:rPr>
        <w:t> </w:t>
      </w:r>
      <w:r>
        <w:rPr>
          <w:sz w:val="18"/>
          <w:vertAlign w:val="baseline"/>
        </w:rPr>
        <w:t>“‘I</w:t>
      </w:r>
      <w:r>
        <w:rPr>
          <w:spacing w:val="-2"/>
          <w:sz w:val="18"/>
          <w:vertAlign w:val="baseline"/>
        </w:rPr>
        <w:t> </w:t>
      </w:r>
      <w:r>
        <w:rPr>
          <w:sz w:val="18"/>
          <w:vertAlign w:val="baseline"/>
        </w:rPr>
        <w:t>Need</w:t>
      </w:r>
      <w:r>
        <w:rPr>
          <w:spacing w:val="-2"/>
          <w:sz w:val="18"/>
          <w:vertAlign w:val="baseline"/>
        </w:rPr>
        <w:t> </w:t>
      </w:r>
      <w:r>
        <w:rPr>
          <w:sz w:val="18"/>
          <w:vertAlign w:val="baseline"/>
        </w:rPr>
        <w:t>to</w:t>
      </w:r>
      <w:r>
        <w:rPr>
          <w:spacing w:val="-2"/>
          <w:sz w:val="18"/>
          <w:vertAlign w:val="baseline"/>
        </w:rPr>
        <w:t> </w:t>
      </w:r>
      <w:r>
        <w:rPr>
          <w:sz w:val="18"/>
          <w:vertAlign w:val="baseline"/>
        </w:rPr>
        <w:t>Leave!’</w:t>
      </w:r>
      <w:r>
        <w:rPr>
          <w:spacing w:val="-3"/>
          <w:sz w:val="18"/>
          <w:vertAlign w:val="baseline"/>
        </w:rPr>
        <w:t> </w:t>
      </w:r>
      <w:r>
        <w:rPr>
          <w:sz w:val="18"/>
          <w:vertAlign w:val="baseline"/>
        </w:rPr>
        <w:t>Massachusetts</w:t>
      </w:r>
      <w:r>
        <w:rPr>
          <w:spacing w:val="-2"/>
          <w:sz w:val="18"/>
          <w:vertAlign w:val="baseline"/>
        </w:rPr>
        <w:t> </w:t>
      </w:r>
      <w:r>
        <w:rPr>
          <w:sz w:val="18"/>
          <w:vertAlign w:val="baseline"/>
        </w:rPr>
        <w:t>Attracts</w:t>
      </w:r>
      <w:r>
        <w:rPr>
          <w:spacing w:val="-2"/>
          <w:sz w:val="18"/>
          <w:vertAlign w:val="baseline"/>
        </w:rPr>
        <w:t> </w:t>
      </w:r>
      <w:r>
        <w:rPr>
          <w:sz w:val="18"/>
          <w:vertAlign w:val="baseline"/>
        </w:rPr>
        <w:t>LGBTQ</w:t>
      </w:r>
      <w:r>
        <w:rPr>
          <w:spacing w:val="-2"/>
          <w:sz w:val="18"/>
          <w:vertAlign w:val="baseline"/>
        </w:rPr>
        <w:t> </w:t>
      </w:r>
      <w:r>
        <w:rPr>
          <w:sz w:val="18"/>
          <w:vertAlign w:val="baseline"/>
        </w:rPr>
        <w:t>People</w:t>
      </w:r>
      <w:r>
        <w:rPr>
          <w:spacing w:val="-2"/>
          <w:sz w:val="18"/>
          <w:vertAlign w:val="baseline"/>
        </w:rPr>
        <w:t> </w:t>
      </w:r>
      <w:r>
        <w:rPr>
          <w:sz w:val="18"/>
          <w:vertAlign w:val="baseline"/>
        </w:rPr>
        <w:t>Fleeing</w:t>
      </w:r>
      <w:r>
        <w:rPr>
          <w:spacing w:val="-2"/>
          <w:sz w:val="18"/>
          <w:vertAlign w:val="baseline"/>
        </w:rPr>
        <w:t> </w:t>
      </w:r>
      <w:r>
        <w:rPr>
          <w:sz w:val="18"/>
          <w:vertAlign w:val="baseline"/>
        </w:rPr>
        <w:t>Red</w:t>
      </w:r>
      <w:r>
        <w:rPr>
          <w:spacing w:val="-2"/>
          <w:sz w:val="18"/>
          <w:vertAlign w:val="baseline"/>
        </w:rPr>
        <w:t> </w:t>
      </w:r>
      <w:r>
        <w:rPr>
          <w:sz w:val="18"/>
          <w:vertAlign w:val="baseline"/>
        </w:rPr>
        <w:t>States.”</w:t>
      </w:r>
      <w:r>
        <w:rPr>
          <w:spacing w:val="-2"/>
          <w:sz w:val="18"/>
          <w:vertAlign w:val="baseline"/>
        </w:rPr>
        <w:t> </w:t>
      </w:r>
      <w:r>
        <w:rPr>
          <w:sz w:val="18"/>
          <w:vertAlign w:val="baseline"/>
        </w:rPr>
        <w:t>Boston</w:t>
      </w:r>
      <w:r>
        <w:rPr>
          <w:spacing w:val="-2"/>
          <w:sz w:val="18"/>
          <w:vertAlign w:val="baseline"/>
        </w:rPr>
        <w:t> </w:t>
      </w:r>
      <w:r>
        <w:rPr>
          <w:sz w:val="18"/>
          <w:vertAlign w:val="baseline"/>
        </w:rPr>
        <w:t>25</w:t>
      </w:r>
      <w:r>
        <w:rPr>
          <w:spacing w:val="-2"/>
          <w:sz w:val="18"/>
          <w:vertAlign w:val="baseline"/>
        </w:rPr>
        <w:t> </w:t>
      </w:r>
      <w:r>
        <w:rPr>
          <w:sz w:val="18"/>
          <w:vertAlign w:val="baseline"/>
        </w:rPr>
        <w:t>News</w:t>
      </w:r>
      <w:r>
        <w:rPr>
          <w:spacing w:val="-2"/>
          <w:sz w:val="18"/>
          <w:vertAlign w:val="baseline"/>
        </w:rPr>
        <w:t> </w:t>
      </w:r>
      <w:r>
        <w:rPr>
          <w:sz w:val="18"/>
          <w:vertAlign w:val="baseline"/>
        </w:rPr>
        <w:t>(June</w:t>
      </w:r>
      <w:r>
        <w:rPr>
          <w:spacing w:val="-2"/>
          <w:sz w:val="18"/>
          <w:vertAlign w:val="baseline"/>
        </w:rPr>
        <w:t> </w:t>
      </w:r>
      <w:r>
        <w:rPr>
          <w:sz w:val="18"/>
          <w:vertAlign w:val="baseline"/>
        </w:rPr>
        <w:t>30, 2023). </w:t>
      </w:r>
      <w:hyperlink r:id="rId690">
        <w:r>
          <w:rPr>
            <w:sz w:val="18"/>
            <w:vertAlign w:val="baseline"/>
          </w:rPr>
          <w:t>www.boston25news.com/news/local/i-need-leave-massachusetts-attracts-lgbtq-people-fleeing-red-</w:t>
        </w:r>
      </w:hyperlink>
      <w:r>
        <w:rPr>
          <w:sz w:val="18"/>
          <w:vertAlign w:val="baseline"/>
        </w:rPr>
        <w:t> </w:t>
      </w:r>
      <w:r>
        <w:rPr>
          <w:spacing w:val="-2"/>
          <w:sz w:val="18"/>
          <w:vertAlign w:val="baseline"/>
        </w:rPr>
        <w:t>states/EV54J53HG5CODDLW3AUQZZ3QJI/</w:t>
      </w:r>
    </w:p>
    <w:p>
      <w:pPr>
        <w:spacing w:after="0"/>
        <w:jc w:val="left"/>
        <w:rPr>
          <w:sz w:val="18"/>
        </w:rPr>
        <w:sectPr>
          <w:pgSz w:w="12240" w:h="15840"/>
          <w:pgMar w:header="763" w:footer="1041" w:top="1380" w:bottom="1240" w:left="1120" w:right="1380"/>
        </w:sectPr>
      </w:pPr>
    </w:p>
    <w:p>
      <w:pPr>
        <w:spacing w:line="400" w:lineRule="exact" w:before="94"/>
        <w:ind w:left="514" w:right="0" w:firstLine="0"/>
        <w:jc w:val="left"/>
        <w:rPr>
          <w:sz w:val="34"/>
        </w:rPr>
      </w:pPr>
      <w:bookmarkStart w:name="Flyer Template for Reports Gianna, Theo " w:id="915"/>
      <w:bookmarkEnd w:id="915"/>
      <w:r>
        <w:rPr/>
      </w:r>
      <w:r>
        <w:rPr>
          <w:color w:val="FFFFFF"/>
          <w:w w:val="120"/>
          <w:sz w:val="34"/>
        </w:rPr>
        <w:t>COMMISSION</w:t>
      </w:r>
      <w:r>
        <w:rPr>
          <w:color w:val="FFFFFF"/>
          <w:spacing w:val="17"/>
          <w:w w:val="120"/>
          <w:sz w:val="34"/>
        </w:rPr>
        <w:t> </w:t>
      </w:r>
      <w:r>
        <w:rPr>
          <w:color w:val="FFFFFF"/>
          <w:w w:val="120"/>
          <w:sz w:val="34"/>
        </w:rPr>
        <w:t>ON</w:t>
      </w:r>
      <w:r>
        <w:rPr>
          <w:color w:val="FFFFFF"/>
          <w:spacing w:val="17"/>
          <w:w w:val="120"/>
          <w:sz w:val="34"/>
        </w:rPr>
        <w:t> </w:t>
      </w:r>
      <w:r>
        <w:rPr>
          <w:color w:val="FFFFFF"/>
          <w:w w:val="120"/>
          <w:sz w:val="34"/>
        </w:rPr>
        <w:t>LGBTQ</w:t>
      </w:r>
      <w:r>
        <w:rPr>
          <w:color w:val="FFFFFF"/>
          <w:spacing w:val="17"/>
          <w:w w:val="120"/>
          <w:sz w:val="34"/>
        </w:rPr>
        <w:t> </w:t>
      </w:r>
      <w:r>
        <w:rPr>
          <w:color w:val="FFFFFF"/>
          <w:spacing w:val="-2"/>
          <w:w w:val="120"/>
          <w:sz w:val="34"/>
        </w:rPr>
        <w:t>YOUTH</w:t>
      </w:r>
    </w:p>
    <w:p>
      <w:pPr>
        <w:pStyle w:val="Heading5"/>
        <w:spacing w:line="213" w:lineRule="auto"/>
        <w:ind w:left="514" w:right="4769"/>
      </w:pPr>
      <w:r>
        <w:rPr>
          <w:color w:val="FFFFFF"/>
          <w:spacing w:val="-26"/>
        </w:rPr>
        <w:t>ECONOMIC JUSTICE</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7"/>
        <w:rPr>
          <w:rFonts w:ascii="Verdana"/>
          <w:b/>
          <w:sz w:val="20"/>
        </w:rPr>
      </w:pPr>
    </w:p>
    <w:p>
      <w:pPr>
        <w:spacing w:after="0"/>
        <w:rPr>
          <w:rFonts w:ascii="Verdana"/>
          <w:sz w:val="20"/>
        </w:rPr>
        <w:sectPr>
          <w:headerReference w:type="default" r:id="rId691"/>
          <w:footerReference w:type="default" r:id="rId692"/>
          <w:pgSz w:w="12240" w:h="15840"/>
          <w:pgMar w:header="0" w:footer="0" w:top="980" w:bottom="280" w:left="1080" w:right="1020"/>
        </w:sectPr>
      </w:pPr>
    </w:p>
    <w:p>
      <w:pPr>
        <w:pStyle w:val="Heading9"/>
        <w:ind w:left="163"/>
        <w:rPr>
          <w:i/>
        </w:rPr>
      </w:pPr>
      <w:r>
        <w:rPr>
          <w:i/>
          <w:spacing w:val="11"/>
          <w:w w:val="125"/>
        </w:rPr>
        <w:t>ABOUT</w:t>
      </w:r>
    </w:p>
    <w:p>
      <w:pPr>
        <w:spacing w:line="268" w:lineRule="auto" w:before="45"/>
        <w:ind w:left="163" w:right="38" w:firstLine="0"/>
        <w:jc w:val="both"/>
        <w:rPr>
          <w:rFonts w:ascii="Georgia"/>
          <w:sz w:val="24"/>
        </w:rPr>
      </w:pPr>
      <w:r>
        <w:rPr>
          <w:rFonts w:ascii="Georgia"/>
          <w:sz w:val="24"/>
        </w:rPr>
        <w:t>LGBTQ youth in Massachusetts face several barriers to economic success, ranging from</w:t>
      </w:r>
      <w:r>
        <w:rPr>
          <w:rFonts w:ascii="Georgia"/>
          <w:spacing w:val="80"/>
          <w:w w:val="150"/>
          <w:sz w:val="24"/>
        </w:rPr>
        <w:t> </w:t>
      </w:r>
      <w:r>
        <w:rPr>
          <w:rFonts w:ascii="Georgia"/>
          <w:sz w:val="24"/>
        </w:rPr>
        <w:t>lack of educational and career readiness resources to discrimination based on their LGBTQ identity. LGBTQ youth have diverse identities and needs that must be addressed in education to sufficiently prepare them for the </w:t>
      </w:r>
      <w:r>
        <w:rPr>
          <w:rFonts w:ascii="Georgia"/>
          <w:spacing w:val="-2"/>
          <w:sz w:val="24"/>
        </w:rPr>
        <w:t>workforce.</w:t>
      </w:r>
    </w:p>
    <w:p>
      <w:pPr>
        <w:pStyle w:val="BodyText"/>
        <w:rPr>
          <w:rFonts w:ascii="Georgia"/>
          <w:sz w:val="24"/>
        </w:rPr>
      </w:pPr>
    </w:p>
    <w:p>
      <w:pPr>
        <w:pStyle w:val="BodyText"/>
        <w:rPr>
          <w:rFonts w:ascii="Georgia"/>
          <w:sz w:val="24"/>
        </w:rPr>
      </w:pPr>
    </w:p>
    <w:p>
      <w:pPr>
        <w:pStyle w:val="BodyText"/>
        <w:rPr>
          <w:rFonts w:ascii="Georgia"/>
          <w:sz w:val="24"/>
        </w:rPr>
      </w:pPr>
    </w:p>
    <w:p>
      <w:pPr>
        <w:pStyle w:val="BodyText"/>
        <w:rPr>
          <w:rFonts w:ascii="Georgia"/>
          <w:sz w:val="24"/>
        </w:rPr>
      </w:pPr>
    </w:p>
    <w:p>
      <w:pPr>
        <w:pStyle w:val="BodyText"/>
        <w:rPr>
          <w:rFonts w:ascii="Georgia"/>
          <w:sz w:val="24"/>
        </w:rPr>
      </w:pPr>
    </w:p>
    <w:p>
      <w:pPr>
        <w:pStyle w:val="BodyText"/>
        <w:rPr>
          <w:rFonts w:ascii="Georgia"/>
          <w:sz w:val="24"/>
        </w:rPr>
      </w:pPr>
    </w:p>
    <w:p>
      <w:pPr>
        <w:pStyle w:val="BodyText"/>
        <w:spacing w:before="31"/>
        <w:rPr>
          <w:rFonts w:ascii="Georgia"/>
          <w:sz w:val="24"/>
        </w:rPr>
      </w:pPr>
    </w:p>
    <w:p>
      <w:pPr>
        <w:pStyle w:val="Heading9"/>
        <w:spacing w:before="1"/>
        <w:ind w:left="103"/>
        <w:rPr>
          <w:i/>
        </w:rPr>
      </w:pPr>
      <w:r>
        <w:rPr>
          <w:i/>
          <w:spacing w:val="13"/>
          <w:w w:val="125"/>
        </w:rPr>
        <w:t>RECOMMENDATIONS</w:t>
      </w:r>
    </w:p>
    <w:p>
      <w:pPr>
        <w:pStyle w:val="BodyText"/>
        <w:spacing w:before="4"/>
        <w:rPr>
          <w:b/>
          <w:i/>
          <w:sz w:val="34"/>
        </w:rPr>
      </w:pPr>
    </w:p>
    <w:p>
      <w:pPr>
        <w:spacing w:line="278" w:lineRule="auto" w:before="0"/>
        <w:ind w:left="1019" w:right="101" w:firstLine="0"/>
        <w:jc w:val="left"/>
        <w:rPr>
          <w:rFonts w:ascii="Georgia"/>
          <w:sz w:val="19"/>
        </w:rPr>
      </w:pPr>
      <w:r>
        <w:rPr>
          <w:rFonts w:ascii="Georgia"/>
          <w:spacing w:val="-2"/>
          <w:w w:val="105"/>
          <w:sz w:val="19"/>
        </w:rPr>
        <w:t>Improve</w:t>
      </w:r>
      <w:r>
        <w:rPr>
          <w:rFonts w:ascii="Georgia"/>
          <w:spacing w:val="-9"/>
          <w:w w:val="105"/>
          <w:sz w:val="19"/>
        </w:rPr>
        <w:t> </w:t>
      </w:r>
      <w:r>
        <w:rPr>
          <w:rFonts w:ascii="Georgia"/>
          <w:spacing w:val="-2"/>
          <w:w w:val="105"/>
          <w:sz w:val="19"/>
        </w:rPr>
        <w:t>access</w:t>
      </w:r>
      <w:r>
        <w:rPr>
          <w:rFonts w:ascii="Georgia"/>
          <w:spacing w:val="-9"/>
          <w:w w:val="105"/>
          <w:sz w:val="19"/>
        </w:rPr>
        <w:t> </w:t>
      </w:r>
      <w:r>
        <w:rPr>
          <w:rFonts w:ascii="Georgia"/>
          <w:spacing w:val="-2"/>
          <w:w w:val="105"/>
          <w:sz w:val="19"/>
        </w:rPr>
        <w:t>to</w:t>
      </w:r>
      <w:r>
        <w:rPr>
          <w:rFonts w:ascii="Georgia"/>
          <w:spacing w:val="-9"/>
          <w:w w:val="105"/>
          <w:sz w:val="19"/>
        </w:rPr>
        <w:t> </w:t>
      </w:r>
      <w:r>
        <w:rPr>
          <w:rFonts w:ascii="Georgia"/>
          <w:spacing w:val="-2"/>
          <w:w w:val="105"/>
          <w:sz w:val="19"/>
        </w:rPr>
        <w:t>LGBTQ-affirming</w:t>
      </w:r>
      <w:r>
        <w:rPr>
          <w:rFonts w:ascii="Georgia"/>
          <w:spacing w:val="-9"/>
          <w:w w:val="105"/>
          <w:sz w:val="19"/>
        </w:rPr>
        <w:t> </w:t>
      </w:r>
      <w:r>
        <w:rPr>
          <w:rFonts w:ascii="Georgia"/>
          <w:spacing w:val="-2"/>
          <w:w w:val="105"/>
          <w:sz w:val="19"/>
        </w:rPr>
        <w:t>job</w:t>
      </w:r>
      <w:r>
        <w:rPr>
          <w:rFonts w:ascii="Georgia"/>
          <w:spacing w:val="-9"/>
          <w:w w:val="105"/>
          <w:sz w:val="19"/>
        </w:rPr>
        <w:t> </w:t>
      </w:r>
      <w:r>
        <w:rPr>
          <w:rFonts w:ascii="Georgia"/>
          <w:spacing w:val="-2"/>
          <w:w w:val="105"/>
          <w:sz w:val="19"/>
        </w:rPr>
        <w:t>and </w:t>
      </w:r>
      <w:r>
        <w:rPr>
          <w:rFonts w:ascii="Georgia"/>
          <w:w w:val="105"/>
          <w:sz w:val="19"/>
        </w:rPr>
        <w:t>professional development opportunities in rural</w:t>
      </w:r>
      <w:r>
        <w:rPr>
          <w:rFonts w:ascii="Georgia"/>
          <w:spacing w:val="-3"/>
          <w:w w:val="105"/>
          <w:sz w:val="19"/>
        </w:rPr>
        <w:t> </w:t>
      </w:r>
      <w:r>
        <w:rPr>
          <w:rFonts w:ascii="Georgia"/>
          <w:w w:val="105"/>
          <w:sz w:val="19"/>
        </w:rPr>
        <w:t>areas.</w:t>
      </w:r>
    </w:p>
    <w:p>
      <w:pPr>
        <w:pStyle w:val="BodyText"/>
        <w:rPr>
          <w:rFonts w:ascii="Georgia"/>
          <w:sz w:val="19"/>
        </w:rPr>
      </w:pPr>
    </w:p>
    <w:p>
      <w:pPr>
        <w:pStyle w:val="BodyText"/>
        <w:spacing w:before="35"/>
        <w:rPr>
          <w:rFonts w:ascii="Georgia"/>
          <w:sz w:val="19"/>
        </w:rPr>
      </w:pPr>
    </w:p>
    <w:p>
      <w:pPr>
        <w:spacing w:line="278" w:lineRule="auto" w:before="0"/>
        <w:ind w:left="1019" w:right="774" w:firstLine="0"/>
        <w:jc w:val="left"/>
        <w:rPr>
          <w:rFonts w:ascii="Georgia"/>
          <w:sz w:val="19"/>
        </w:rPr>
      </w:pPr>
      <w:r>
        <w:rPr>
          <w:rFonts w:ascii="Georgia"/>
          <w:w w:val="105"/>
          <w:sz w:val="19"/>
        </w:rPr>
        <w:t>Improve</w:t>
      </w:r>
      <w:r>
        <w:rPr>
          <w:rFonts w:ascii="Georgia"/>
          <w:spacing w:val="-13"/>
          <w:w w:val="105"/>
          <w:sz w:val="19"/>
        </w:rPr>
        <w:t> </w:t>
      </w:r>
      <w:r>
        <w:rPr>
          <w:rFonts w:ascii="Georgia"/>
          <w:w w:val="105"/>
          <w:sz w:val="19"/>
        </w:rPr>
        <w:t>independent</w:t>
      </w:r>
      <w:r>
        <w:rPr>
          <w:rFonts w:ascii="Georgia"/>
          <w:spacing w:val="-12"/>
          <w:w w:val="105"/>
          <w:sz w:val="19"/>
        </w:rPr>
        <w:t> </w:t>
      </w:r>
      <w:r>
        <w:rPr>
          <w:rFonts w:ascii="Georgia"/>
          <w:w w:val="105"/>
          <w:sz w:val="19"/>
        </w:rPr>
        <w:t>living</w:t>
      </w:r>
      <w:r>
        <w:rPr>
          <w:rFonts w:ascii="Georgia"/>
          <w:spacing w:val="-12"/>
          <w:w w:val="105"/>
          <w:sz w:val="19"/>
        </w:rPr>
        <w:t> </w:t>
      </w:r>
      <w:r>
        <w:rPr>
          <w:rFonts w:ascii="Georgia"/>
          <w:w w:val="105"/>
          <w:sz w:val="19"/>
        </w:rPr>
        <w:t>support</w:t>
      </w:r>
      <w:r>
        <w:rPr>
          <w:rFonts w:ascii="Georgia"/>
          <w:spacing w:val="-12"/>
          <w:w w:val="105"/>
          <w:sz w:val="19"/>
        </w:rPr>
        <w:t> </w:t>
      </w:r>
      <w:r>
        <w:rPr>
          <w:rFonts w:ascii="Georgia"/>
          <w:w w:val="105"/>
          <w:sz w:val="19"/>
        </w:rPr>
        <w:t>for transition-age foster youth.</w:t>
      </w:r>
    </w:p>
    <w:p>
      <w:pPr>
        <w:spacing w:before="772"/>
        <w:ind w:left="1460" w:right="0" w:firstLine="0"/>
        <w:jc w:val="left"/>
        <w:rPr>
          <w:rFonts w:ascii="Verdana"/>
          <w:b/>
          <w:sz w:val="75"/>
        </w:rPr>
      </w:pPr>
      <w:r>
        <w:rPr/>
        <w:br w:type="column"/>
      </w:r>
      <w:r>
        <w:rPr>
          <w:rFonts w:ascii="Verdana"/>
          <w:b/>
          <w:emboss/>
          <w:color w:val="202E59"/>
          <w:spacing w:val="19"/>
          <w:w w:val="80"/>
          <w:sz w:val="75"/>
        </w:rPr>
        <w:t>34%</w:t>
      </w:r>
    </w:p>
    <w:p>
      <w:pPr>
        <w:spacing w:line="268" w:lineRule="auto" w:before="168"/>
        <w:ind w:left="578" w:right="502" w:firstLine="0"/>
        <w:jc w:val="center"/>
        <w:rPr>
          <w:rFonts w:ascii="Georgia"/>
          <w:sz w:val="24"/>
        </w:rPr>
      </w:pPr>
      <w:r>
        <w:rPr/>
        <mc:AlternateContent>
          <mc:Choice Requires="wps">
            <w:drawing>
              <wp:anchor distT="0" distB="0" distL="0" distR="0" allowOverlap="1" layoutInCell="1" locked="0" behindDoc="0" simplePos="0" relativeHeight="15826944">
                <wp:simplePos x="0" y="0"/>
                <wp:positionH relativeFrom="page">
                  <wp:posOffset>4356887</wp:posOffset>
                </wp:positionH>
                <wp:positionV relativeFrom="paragraph">
                  <wp:posOffset>762568</wp:posOffset>
                </wp:positionV>
                <wp:extent cx="2773680" cy="127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944" from="343.062012pt,60.044785pt" to="561.455786pt,60.044785pt" stroked="true" strokeweight="2.25pt" strokecolor="#001389">
                <v:stroke dashstyle="shortdash"/>
                <w10:wrap type="none"/>
              </v:line>
            </w:pict>
          </mc:Fallback>
        </mc:AlternateContent>
      </w:r>
      <w:r>
        <w:rPr>
          <w:rFonts w:ascii="Georgia"/>
          <w:sz w:val="24"/>
        </w:rPr>
        <w:t>of trans individuals across the nation reported living in poverty in 2022</w:t>
      </w:r>
    </w:p>
    <w:p>
      <w:pPr>
        <w:pStyle w:val="BodyText"/>
        <w:spacing w:before="79"/>
        <w:rPr>
          <w:rFonts w:ascii="Georgia"/>
          <w:sz w:val="24"/>
        </w:rPr>
      </w:pPr>
    </w:p>
    <w:p>
      <w:pPr>
        <w:pStyle w:val="Heading3"/>
        <w:ind w:left="1400"/>
      </w:pPr>
      <w:r>
        <w:rPr>
          <w:emboss/>
          <w:color w:val="202E59"/>
          <w:spacing w:val="19"/>
        </w:rPr>
        <w:t>3RD</w:t>
      </w:r>
    </w:p>
    <w:p>
      <w:pPr>
        <w:spacing w:line="268" w:lineRule="auto" w:before="47"/>
        <w:ind w:left="246" w:right="247" w:firstLine="0"/>
        <w:jc w:val="center"/>
        <w:rPr>
          <w:rFonts w:ascii="Georgia" w:hAnsi="Georgia"/>
          <w:sz w:val="24"/>
        </w:rPr>
      </w:pPr>
      <w:r>
        <w:rPr>
          <w:rFonts w:ascii="Georgia" w:hAnsi="Georgia"/>
          <w:sz w:val="24"/>
        </w:rPr>
        <w:t>Boston’s rental market is the third </w:t>
      </w:r>
      <w:r>
        <w:rPr>
          <w:rFonts w:ascii="Georgia" w:hAnsi="Georgia"/>
          <w:w w:val="105"/>
          <w:sz w:val="24"/>
        </w:rPr>
        <w:t>most expensive in the entire </w:t>
      </w:r>
      <w:r>
        <w:rPr>
          <w:rFonts w:ascii="Georgia" w:hAnsi="Georgia"/>
          <w:spacing w:val="-2"/>
          <w:w w:val="105"/>
          <w:sz w:val="24"/>
        </w:rPr>
        <w:t>country</w:t>
      </w:r>
    </w:p>
    <w:p>
      <w:pPr>
        <w:pStyle w:val="BodyText"/>
        <w:spacing w:before="234"/>
        <w:rPr>
          <w:rFonts w:ascii="Georgia"/>
          <w:sz w:val="24"/>
        </w:rPr>
      </w:pPr>
    </w:p>
    <w:p>
      <w:pPr>
        <w:pStyle w:val="Heading3"/>
        <w:ind w:left="1593"/>
      </w:pPr>
      <w:r>
        <w:rPr>
          <w:emboss/>
          <w:color w:val="202E59"/>
          <w:spacing w:val="19"/>
          <w:w w:val="70"/>
        </w:rPr>
        <w:t>71%</w:t>
      </w:r>
    </w:p>
    <w:p>
      <w:pPr>
        <w:spacing w:line="268" w:lineRule="auto" w:before="63"/>
        <w:ind w:left="103" w:right="103" w:hanging="1"/>
        <w:jc w:val="center"/>
        <w:rPr>
          <w:rFonts w:ascii="Georgia"/>
          <w:sz w:val="24"/>
        </w:rPr>
      </w:pPr>
      <w:r>
        <w:rPr>
          <w:rFonts w:ascii="Georgia"/>
          <w:sz w:val="24"/>
        </w:rPr>
        <w:t>of young people 18-24 in the US live with their parents rather than buying a home or renting</w:t>
      </w:r>
    </w:p>
    <w:p>
      <w:pPr>
        <w:spacing w:after="0" w:line="268" w:lineRule="auto"/>
        <w:jc w:val="center"/>
        <w:rPr>
          <w:rFonts w:ascii="Georgia"/>
          <w:sz w:val="24"/>
        </w:rPr>
        <w:sectPr>
          <w:type w:val="continuous"/>
          <w:pgSz w:w="12240" w:h="15840"/>
          <w:pgMar w:header="0" w:footer="0" w:top="1420" w:bottom="280" w:left="1080" w:right="1020"/>
          <w:cols w:num="2" w:equalWidth="0">
            <w:col w:w="5274" w:space="442"/>
            <w:col w:w="4424"/>
          </w:cols>
        </w:sectPr>
      </w:pPr>
    </w:p>
    <w:p>
      <w:pPr>
        <w:pStyle w:val="BodyText"/>
        <w:spacing w:before="151"/>
        <w:rPr>
          <w:rFonts w:ascii="Georgia"/>
          <w:sz w:val="19"/>
        </w:rPr>
      </w:pPr>
      <w:r>
        <w:rPr/>
        <mc:AlternateContent>
          <mc:Choice Requires="wps">
            <w:drawing>
              <wp:anchor distT="0" distB="0" distL="0" distR="0" allowOverlap="1" layoutInCell="1" locked="0" behindDoc="1" simplePos="0" relativeHeight="482648064">
                <wp:simplePos x="0" y="0"/>
                <wp:positionH relativeFrom="page">
                  <wp:posOffset>0</wp:posOffset>
                </wp:positionH>
                <wp:positionV relativeFrom="page">
                  <wp:posOffset>0</wp:posOffset>
                </wp:positionV>
                <wp:extent cx="7772400" cy="1005840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7772400" cy="10058400"/>
                          <a:chExt cx="7772400" cy="10058400"/>
                        </a:xfrm>
                      </wpg:grpSpPr>
                      <pic:pic>
                        <pic:nvPicPr>
                          <pic:cNvPr id="515" name="Image 515"/>
                          <pic:cNvPicPr/>
                        </pic:nvPicPr>
                        <pic:blipFill>
                          <a:blip r:embed="rId693" cstate="print"/>
                          <a:stretch>
                            <a:fillRect/>
                          </a:stretch>
                        </pic:blipFill>
                        <pic:spPr>
                          <a:xfrm>
                            <a:off x="0" y="0"/>
                            <a:ext cx="7772400" cy="3022921"/>
                          </a:xfrm>
                          <a:prstGeom prst="rect">
                            <a:avLst/>
                          </a:prstGeom>
                        </pic:spPr>
                      </pic:pic>
                      <pic:pic>
                        <pic:nvPicPr>
                          <pic:cNvPr id="516" name="Image 516"/>
                          <pic:cNvPicPr/>
                        </pic:nvPicPr>
                        <pic:blipFill>
                          <a:blip r:embed="rId98" cstate="print"/>
                          <a:stretch>
                            <a:fillRect/>
                          </a:stretch>
                        </pic:blipFill>
                        <pic:spPr>
                          <a:xfrm>
                            <a:off x="4978373" y="735421"/>
                            <a:ext cx="1480888" cy="1480632"/>
                          </a:xfrm>
                          <a:prstGeom prst="rect">
                            <a:avLst/>
                          </a:prstGeom>
                        </pic:spPr>
                      </pic:pic>
                      <wps:wsp>
                        <wps:cNvPr id="517" name="Graphic 517"/>
                        <wps:cNvSpPr/>
                        <wps:spPr>
                          <a:xfrm>
                            <a:off x="4964628" y="721667"/>
                            <a:ext cx="1508125" cy="1508125"/>
                          </a:xfrm>
                          <a:custGeom>
                            <a:avLst/>
                            <a:gdLst/>
                            <a:ahLst/>
                            <a:cxnLst/>
                            <a:rect l="l" t="t" r="r" b="b"/>
                            <a:pathLst>
                              <a:path w="1508125" h="1508125">
                                <a:moveTo>
                                  <a:pt x="754061" y="1508119"/>
                                </a:moveTo>
                                <a:lnTo>
                                  <a:pt x="706443" y="1506633"/>
                                </a:lnTo>
                                <a:lnTo>
                                  <a:pt x="659603" y="1502233"/>
                                </a:lnTo>
                                <a:lnTo>
                                  <a:pt x="613628" y="1495009"/>
                                </a:lnTo>
                                <a:lnTo>
                                  <a:pt x="568609" y="1485050"/>
                                </a:lnTo>
                                <a:lnTo>
                                  <a:pt x="524634" y="1472444"/>
                                </a:lnTo>
                                <a:lnTo>
                                  <a:pt x="481792" y="1457281"/>
                                </a:lnTo>
                                <a:lnTo>
                                  <a:pt x="440173" y="1439650"/>
                                </a:lnTo>
                                <a:lnTo>
                                  <a:pt x="399864" y="1419640"/>
                                </a:lnTo>
                                <a:lnTo>
                                  <a:pt x="360956" y="1397339"/>
                                </a:lnTo>
                                <a:lnTo>
                                  <a:pt x="323537" y="1372837"/>
                                </a:lnTo>
                                <a:lnTo>
                                  <a:pt x="287696" y="1346223"/>
                                </a:lnTo>
                                <a:lnTo>
                                  <a:pt x="253523" y="1317586"/>
                                </a:lnTo>
                                <a:lnTo>
                                  <a:pt x="221106" y="1287014"/>
                                </a:lnTo>
                                <a:lnTo>
                                  <a:pt x="190534" y="1254598"/>
                                </a:lnTo>
                                <a:lnTo>
                                  <a:pt x="161896" y="1220425"/>
                                </a:lnTo>
                                <a:lnTo>
                                  <a:pt x="135282" y="1184585"/>
                                </a:lnTo>
                                <a:lnTo>
                                  <a:pt x="110780" y="1147166"/>
                                </a:lnTo>
                                <a:lnTo>
                                  <a:pt x="88479" y="1108259"/>
                                </a:lnTo>
                                <a:lnTo>
                                  <a:pt x="68468" y="1067951"/>
                                </a:lnTo>
                                <a:lnTo>
                                  <a:pt x="50770" y="1026142"/>
                                </a:lnTo>
                                <a:lnTo>
                                  <a:pt x="35669" y="983473"/>
                                </a:lnTo>
                                <a:lnTo>
                                  <a:pt x="23075" y="939517"/>
                                </a:lnTo>
                                <a:lnTo>
                                  <a:pt x="13118" y="894499"/>
                                </a:lnTo>
                                <a:lnTo>
                                  <a:pt x="5894" y="848526"/>
                                </a:lnTo>
                                <a:lnTo>
                                  <a:pt x="1491" y="801686"/>
                                </a:lnTo>
                                <a:lnTo>
                                  <a:pt x="0" y="754070"/>
                                </a:lnTo>
                                <a:lnTo>
                                  <a:pt x="1494" y="706368"/>
                                </a:lnTo>
                                <a:lnTo>
                                  <a:pt x="5906" y="659480"/>
                                </a:lnTo>
                                <a:lnTo>
                                  <a:pt x="13140" y="613502"/>
                                </a:lnTo>
                                <a:lnTo>
                                  <a:pt x="23094" y="568530"/>
                                </a:lnTo>
                                <a:lnTo>
                                  <a:pt x="35676" y="524643"/>
                                </a:lnTo>
                                <a:lnTo>
                                  <a:pt x="50851" y="481801"/>
                                </a:lnTo>
                                <a:lnTo>
                                  <a:pt x="68470" y="440181"/>
                                </a:lnTo>
                                <a:lnTo>
                                  <a:pt x="88480" y="399872"/>
                                </a:lnTo>
                                <a:lnTo>
                                  <a:pt x="110781" y="360964"/>
                                </a:lnTo>
                                <a:lnTo>
                                  <a:pt x="135284" y="323544"/>
                                </a:lnTo>
                                <a:lnTo>
                                  <a:pt x="161898" y="287703"/>
                                </a:lnTo>
                                <a:lnTo>
                                  <a:pt x="190536" y="253529"/>
                                </a:lnTo>
                                <a:lnTo>
                                  <a:pt x="221108" y="221111"/>
                                </a:lnTo>
                                <a:lnTo>
                                  <a:pt x="253526" y="190539"/>
                                </a:lnTo>
                                <a:lnTo>
                                  <a:pt x="287699" y="161901"/>
                                </a:lnTo>
                                <a:lnTo>
                                  <a:pt x="323540" y="135286"/>
                                </a:lnTo>
                                <a:lnTo>
                                  <a:pt x="360959" y="110783"/>
                                </a:lnTo>
                                <a:lnTo>
                                  <a:pt x="399867" y="88482"/>
                                </a:lnTo>
                                <a:lnTo>
                                  <a:pt x="440175" y="68471"/>
                                </a:lnTo>
                                <a:lnTo>
                                  <a:pt x="481795" y="50839"/>
                                </a:lnTo>
                                <a:lnTo>
                                  <a:pt x="524636" y="35676"/>
                                </a:lnTo>
                                <a:lnTo>
                                  <a:pt x="568611" y="23070"/>
                                </a:lnTo>
                                <a:lnTo>
                                  <a:pt x="613630" y="13110"/>
                                </a:lnTo>
                                <a:lnTo>
                                  <a:pt x="659604" y="5886"/>
                                </a:lnTo>
                                <a:lnTo>
                                  <a:pt x="706444" y="1486"/>
                                </a:lnTo>
                                <a:lnTo>
                                  <a:pt x="754061" y="0"/>
                                </a:lnTo>
                                <a:lnTo>
                                  <a:pt x="801678" y="1486"/>
                                </a:lnTo>
                                <a:lnTo>
                                  <a:pt x="848519" y="5886"/>
                                </a:lnTo>
                                <a:lnTo>
                                  <a:pt x="894494" y="13110"/>
                                </a:lnTo>
                                <a:lnTo>
                                  <a:pt x="939513" y="23070"/>
                                </a:lnTo>
                                <a:lnTo>
                                  <a:pt x="954942" y="27493"/>
                                </a:lnTo>
                                <a:lnTo>
                                  <a:pt x="754061" y="27493"/>
                                </a:lnTo>
                                <a:lnTo>
                                  <a:pt x="706360" y="29041"/>
                                </a:lnTo>
                                <a:lnTo>
                                  <a:pt x="659472" y="33622"/>
                                </a:lnTo>
                                <a:lnTo>
                                  <a:pt x="613495" y="41139"/>
                                </a:lnTo>
                                <a:lnTo>
                                  <a:pt x="568524" y="51496"/>
                                </a:lnTo>
                                <a:lnTo>
                                  <a:pt x="524656" y="64596"/>
                                </a:lnTo>
                                <a:lnTo>
                                  <a:pt x="481987" y="80342"/>
                                </a:lnTo>
                                <a:lnTo>
                                  <a:pt x="440615" y="98639"/>
                                </a:lnTo>
                                <a:lnTo>
                                  <a:pt x="400634" y="119389"/>
                                </a:lnTo>
                                <a:lnTo>
                                  <a:pt x="362143" y="142496"/>
                                </a:lnTo>
                                <a:lnTo>
                                  <a:pt x="325237" y="167865"/>
                                </a:lnTo>
                                <a:lnTo>
                                  <a:pt x="290013" y="195397"/>
                                </a:lnTo>
                                <a:lnTo>
                                  <a:pt x="256567" y="224997"/>
                                </a:lnTo>
                                <a:lnTo>
                                  <a:pt x="224996" y="256569"/>
                                </a:lnTo>
                                <a:lnTo>
                                  <a:pt x="195396" y="290015"/>
                                </a:lnTo>
                                <a:lnTo>
                                  <a:pt x="167863" y="325240"/>
                                </a:lnTo>
                                <a:lnTo>
                                  <a:pt x="142496" y="362147"/>
                                </a:lnTo>
                                <a:lnTo>
                                  <a:pt x="119388" y="400639"/>
                                </a:lnTo>
                                <a:lnTo>
                                  <a:pt x="98638" y="440619"/>
                                </a:lnTo>
                                <a:lnTo>
                                  <a:pt x="80342" y="481993"/>
                                </a:lnTo>
                                <a:lnTo>
                                  <a:pt x="64597" y="524662"/>
                                </a:lnTo>
                                <a:lnTo>
                                  <a:pt x="51475" y="568619"/>
                                </a:lnTo>
                                <a:lnTo>
                                  <a:pt x="41117" y="613638"/>
                                </a:lnTo>
                                <a:lnTo>
                                  <a:pt x="33609" y="659613"/>
                                </a:lnTo>
                                <a:lnTo>
                                  <a:pt x="29039" y="706453"/>
                                </a:lnTo>
                                <a:lnTo>
                                  <a:pt x="27493" y="754070"/>
                                </a:lnTo>
                                <a:lnTo>
                                  <a:pt x="29047" y="801771"/>
                                </a:lnTo>
                                <a:lnTo>
                                  <a:pt x="33631" y="848659"/>
                                </a:lnTo>
                                <a:lnTo>
                                  <a:pt x="41148" y="894637"/>
                                </a:lnTo>
                                <a:lnTo>
                                  <a:pt x="51502" y="939608"/>
                                </a:lnTo>
                                <a:lnTo>
                                  <a:pt x="64602" y="983492"/>
                                </a:lnTo>
                                <a:lnTo>
                                  <a:pt x="80341" y="1026142"/>
                                </a:lnTo>
                                <a:lnTo>
                                  <a:pt x="98638" y="1067517"/>
                                </a:lnTo>
                                <a:lnTo>
                                  <a:pt x="119388" y="1107497"/>
                                </a:lnTo>
                                <a:lnTo>
                                  <a:pt x="142496" y="1145988"/>
                                </a:lnTo>
                                <a:lnTo>
                                  <a:pt x="167864" y="1182894"/>
                                </a:lnTo>
                                <a:lnTo>
                                  <a:pt x="195396" y="1218118"/>
                                </a:lnTo>
                                <a:lnTo>
                                  <a:pt x="224996" y="1251564"/>
                                </a:lnTo>
                                <a:lnTo>
                                  <a:pt x="256567" y="1283135"/>
                                </a:lnTo>
                                <a:lnTo>
                                  <a:pt x="290013" y="1312734"/>
                                </a:lnTo>
                                <a:lnTo>
                                  <a:pt x="325237" y="1340266"/>
                                </a:lnTo>
                                <a:lnTo>
                                  <a:pt x="362143" y="1365634"/>
                                </a:lnTo>
                                <a:lnTo>
                                  <a:pt x="400635" y="1388741"/>
                                </a:lnTo>
                                <a:lnTo>
                                  <a:pt x="440615" y="1409491"/>
                                </a:lnTo>
                                <a:lnTo>
                                  <a:pt x="481988" y="1427787"/>
                                </a:lnTo>
                                <a:lnTo>
                                  <a:pt x="524656" y="1443533"/>
                                </a:lnTo>
                                <a:lnTo>
                                  <a:pt x="568524" y="1456632"/>
                                </a:lnTo>
                                <a:lnTo>
                                  <a:pt x="613495" y="1466989"/>
                                </a:lnTo>
                                <a:lnTo>
                                  <a:pt x="659473" y="1474506"/>
                                </a:lnTo>
                                <a:lnTo>
                                  <a:pt x="706361" y="1479087"/>
                                </a:lnTo>
                                <a:lnTo>
                                  <a:pt x="754061" y="1480635"/>
                                </a:lnTo>
                                <a:lnTo>
                                  <a:pt x="954914" y="1480635"/>
                                </a:lnTo>
                                <a:lnTo>
                                  <a:pt x="939512" y="1485050"/>
                                </a:lnTo>
                                <a:lnTo>
                                  <a:pt x="894493" y="1495009"/>
                                </a:lnTo>
                                <a:lnTo>
                                  <a:pt x="848519" y="1502233"/>
                                </a:lnTo>
                                <a:lnTo>
                                  <a:pt x="801678" y="1506633"/>
                                </a:lnTo>
                                <a:lnTo>
                                  <a:pt x="754061" y="1508119"/>
                                </a:lnTo>
                                <a:close/>
                              </a:path>
                              <a:path w="1508125" h="1508125">
                                <a:moveTo>
                                  <a:pt x="954914" y="1480635"/>
                                </a:moveTo>
                                <a:lnTo>
                                  <a:pt x="754061" y="1480635"/>
                                </a:lnTo>
                                <a:lnTo>
                                  <a:pt x="801761" y="1479087"/>
                                </a:lnTo>
                                <a:lnTo>
                                  <a:pt x="848648" y="1474506"/>
                                </a:lnTo>
                                <a:lnTo>
                                  <a:pt x="894626" y="1466989"/>
                                </a:lnTo>
                                <a:lnTo>
                                  <a:pt x="939597" y="1456632"/>
                                </a:lnTo>
                                <a:lnTo>
                                  <a:pt x="983465" y="1443532"/>
                                </a:lnTo>
                                <a:lnTo>
                                  <a:pt x="1026134" y="1427786"/>
                                </a:lnTo>
                                <a:lnTo>
                                  <a:pt x="1067507" y="1409490"/>
                                </a:lnTo>
                                <a:lnTo>
                                  <a:pt x="1107487" y="1388740"/>
                                </a:lnTo>
                                <a:lnTo>
                                  <a:pt x="1145979" y="1365633"/>
                                </a:lnTo>
                                <a:lnTo>
                                  <a:pt x="1182885" y="1340265"/>
                                </a:lnTo>
                                <a:lnTo>
                                  <a:pt x="1218110" y="1312732"/>
                                </a:lnTo>
                                <a:lnTo>
                                  <a:pt x="1251556" y="1283133"/>
                                </a:lnTo>
                                <a:lnTo>
                                  <a:pt x="1283128" y="1251562"/>
                                </a:lnTo>
                                <a:lnTo>
                                  <a:pt x="1312728" y="1218116"/>
                                </a:lnTo>
                                <a:lnTo>
                                  <a:pt x="1340261" y="1182892"/>
                                </a:lnTo>
                                <a:lnTo>
                                  <a:pt x="1365629" y="1145986"/>
                                </a:lnTo>
                                <a:lnTo>
                                  <a:pt x="1388737" y="1107494"/>
                                </a:lnTo>
                                <a:lnTo>
                                  <a:pt x="1409488" y="1067514"/>
                                </a:lnTo>
                                <a:lnTo>
                                  <a:pt x="1427785" y="1026142"/>
                                </a:lnTo>
                                <a:lnTo>
                                  <a:pt x="1443530" y="983473"/>
                                </a:lnTo>
                                <a:lnTo>
                                  <a:pt x="1456652" y="939517"/>
                                </a:lnTo>
                                <a:lnTo>
                                  <a:pt x="1467010" y="894499"/>
                                </a:lnTo>
                                <a:lnTo>
                                  <a:pt x="1474518" y="848526"/>
                                </a:lnTo>
                                <a:lnTo>
                                  <a:pt x="1479089" y="801686"/>
                                </a:lnTo>
                                <a:lnTo>
                                  <a:pt x="1480635" y="754070"/>
                                </a:lnTo>
                                <a:lnTo>
                                  <a:pt x="1479081" y="706368"/>
                                </a:lnTo>
                                <a:lnTo>
                                  <a:pt x="1474497" y="659480"/>
                                </a:lnTo>
                                <a:lnTo>
                                  <a:pt x="1466979" y="613502"/>
                                </a:lnTo>
                                <a:lnTo>
                                  <a:pt x="1456625" y="568530"/>
                                </a:lnTo>
                                <a:lnTo>
                                  <a:pt x="1443524" y="524643"/>
                                </a:lnTo>
                                <a:lnTo>
                                  <a:pt x="1427785" y="481993"/>
                                </a:lnTo>
                                <a:lnTo>
                                  <a:pt x="1409488" y="440619"/>
                                </a:lnTo>
                                <a:lnTo>
                                  <a:pt x="1388737" y="400639"/>
                                </a:lnTo>
                                <a:lnTo>
                                  <a:pt x="1365630" y="362147"/>
                                </a:lnTo>
                                <a:lnTo>
                                  <a:pt x="1340261" y="325240"/>
                                </a:lnTo>
                                <a:lnTo>
                                  <a:pt x="1312729" y="290015"/>
                                </a:lnTo>
                                <a:lnTo>
                                  <a:pt x="1283128" y="256569"/>
                                </a:lnTo>
                                <a:lnTo>
                                  <a:pt x="1251557" y="224997"/>
                                </a:lnTo>
                                <a:lnTo>
                                  <a:pt x="1218110" y="195397"/>
                                </a:lnTo>
                                <a:lnTo>
                                  <a:pt x="1182886" y="167865"/>
                                </a:lnTo>
                                <a:lnTo>
                                  <a:pt x="1145979" y="142496"/>
                                </a:lnTo>
                                <a:lnTo>
                                  <a:pt x="1107487" y="119389"/>
                                </a:lnTo>
                                <a:lnTo>
                                  <a:pt x="1067507" y="98639"/>
                                </a:lnTo>
                                <a:lnTo>
                                  <a:pt x="1026134" y="80342"/>
                                </a:lnTo>
                                <a:lnTo>
                                  <a:pt x="983465" y="64596"/>
                                </a:lnTo>
                                <a:lnTo>
                                  <a:pt x="939597" y="51496"/>
                                </a:lnTo>
                                <a:lnTo>
                                  <a:pt x="894626" y="41139"/>
                                </a:lnTo>
                                <a:lnTo>
                                  <a:pt x="848649" y="33622"/>
                                </a:lnTo>
                                <a:lnTo>
                                  <a:pt x="801762" y="29041"/>
                                </a:lnTo>
                                <a:lnTo>
                                  <a:pt x="754061" y="27493"/>
                                </a:lnTo>
                                <a:lnTo>
                                  <a:pt x="954942" y="27493"/>
                                </a:lnTo>
                                <a:lnTo>
                                  <a:pt x="1026330" y="50839"/>
                                </a:lnTo>
                                <a:lnTo>
                                  <a:pt x="1067949" y="68471"/>
                                </a:lnTo>
                                <a:lnTo>
                                  <a:pt x="1108258" y="88482"/>
                                </a:lnTo>
                                <a:lnTo>
                                  <a:pt x="1147166" y="110784"/>
                                </a:lnTo>
                                <a:lnTo>
                                  <a:pt x="1184585" y="135287"/>
                                </a:lnTo>
                                <a:lnTo>
                                  <a:pt x="1220425" y="161902"/>
                                </a:lnTo>
                                <a:lnTo>
                                  <a:pt x="1254599" y="190540"/>
                                </a:lnTo>
                                <a:lnTo>
                                  <a:pt x="1287016" y="221113"/>
                                </a:lnTo>
                                <a:lnTo>
                                  <a:pt x="1317588" y="253530"/>
                                </a:lnTo>
                                <a:lnTo>
                                  <a:pt x="1346225" y="287704"/>
                                </a:lnTo>
                                <a:lnTo>
                                  <a:pt x="1372840" y="323546"/>
                                </a:lnTo>
                                <a:lnTo>
                                  <a:pt x="1397342" y="360965"/>
                                </a:lnTo>
                                <a:lnTo>
                                  <a:pt x="1419643" y="399874"/>
                                </a:lnTo>
                                <a:lnTo>
                                  <a:pt x="1439653" y="440182"/>
                                </a:lnTo>
                                <a:lnTo>
                                  <a:pt x="1457352" y="481993"/>
                                </a:lnTo>
                                <a:lnTo>
                                  <a:pt x="1472452" y="524662"/>
                                </a:lnTo>
                                <a:lnTo>
                                  <a:pt x="1485047" y="568619"/>
                                </a:lnTo>
                                <a:lnTo>
                                  <a:pt x="1495003" y="613638"/>
                                </a:lnTo>
                                <a:lnTo>
                                  <a:pt x="1502228" y="659613"/>
                                </a:lnTo>
                                <a:lnTo>
                                  <a:pt x="1506630" y="706453"/>
                                </a:lnTo>
                                <a:lnTo>
                                  <a:pt x="1508122" y="754070"/>
                                </a:lnTo>
                                <a:lnTo>
                                  <a:pt x="1506628" y="801771"/>
                                </a:lnTo>
                                <a:lnTo>
                                  <a:pt x="1502215" y="848659"/>
                                </a:lnTo>
                                <a:lnTo>
                                  <a:pt x="1494982" y="894637"/>
                                </a:lnTo>
                                <a:lnTo>
                                  <a:pt x="1485027" y="939608"/>
                                </a:lnTo>
                                <a:lnTo>
                                  <a:pt x="1472446" y="983492"/>
                                </a:lnTo>
                                <a:lnTo>
                                  <a:pt x="1457271" y="1026333"/>
                                </a:lnTo>
                                <a:lnTo>
                                  <a:pt x="1439652" y="1067952"/>
                                </a:lnTo>
                                <a:lnTo>
                                  <a:pt x="1419642" y="1108260"/>
                                </a:lnTo>
                                <a:lnTo>
                                  <a:pt x="1397341" y="1147168"/>
                                </a:lnTo>
                                <a:lnTo>
                                  <a:pt x="1372839" y="1184586"/>
                                </a:lnTo>
                                <a:lnTo>
                                  <a:pt x="1346224" y="1220426"/>
                                </a:lnTo>
                                <a:lnTo>
                                  <a:pt x="1317587" y="1254599"/>
                                </a:lnTo>
                                <a:lnTo>
                                  <a:pt x="1287015" y="1287016"/>
                                </a:lnTo>
                                <a:lnTo>
                                  <a:pt x="1254598" y="1317587"/>
                                </a:lnTo>
                                <a:lnTo>
                                  <a:pt x="1220424" y="1346224"/>
                                </a:lnTo>
                                <a:lnTo>
                                  <a:pt x="1184584" y="1372838"/>
                                </a:lnTo>
                                <a:lnTo>
                                  <a:pt x="1147165" y="1397340"/>
                                </a:lnTo>
                                <a:lnTo>
                                  <a:pt x="1108257" y="1419641"/>
                                </a:lnTo>
                                <a:lnTo>
                                  <a:pt x="1067948" y="1439651"/>
                                </a:lnTo>
                                <a:lnTo>
                                  <a:pt x="1026329" y="1457282"/>
                                </a:lnTo>
                                <a:lnTo>
                                  <a:pt x="983487" y="1472445"/>
                                </a:lnTo>
                                <a:lnTo>
                                  <a:pt x="954914" y="1480635"/>
                                </a:lnTo>
                                <a:close/>
                              </a:path>
                            </a:pathLst>
                          </a:custGeom>
                          <a:solidFill>
                            <a:srgbClr val="FFFFFF"/>
                          </a:solidFill>
                        </wps:spPr>
                        <wps:bodyPr wrap="square" lIns="0" tIns="0" rIns="0" bIns="0" rtlCol="0">
                          <a:prstTxWarp prst="textNoShape">
                            <a:avLst/>
                          </a:prstTxWarp>
                          <a:noAutofit/>
                        </wps:bodyPr>
                      </wps:wsp>
                      <pic:pic>
                        <pic:nvPicPr>
                          <pic:cNvPr id="518" name="Image 518"/>
                          <pic:cNvPicPr/>
                        </pic:nvPicPr>
                        <pic:blipFill>
                          <a:blip r:embed="rId694" cstate="print"/>
                          <a:stretch>
                            <a:fillRect/>
                          </a:stretch>
                        </pic:blipFill>
                        <pic:spPr>
                          <a:xfrm>
                            <a:off x="655210" y="2933569"/>
                            <a:ext cx="3540309" cy="5897721"/>
                          </a:xfrm>
                          <a:prstGeom prst="rect">
                            <a:avLst/>
                          </a:prstGeom>
                        </pic:spPr>
                      </pic:pic>
                      <wps:wsp>
                        <wps:cNvPr id="519" name="Graphic 519"/>
                        <wps:cNvSpPr/>
                        <wps:spPr>
                          <a:xfrm>
                            <a:off x="4356887" y="6308688"/>
                            <a:ext cx="2773680" cy="1270"/>
                          </a:xfrm>
                          <a:custGeom>
                            <a:avLst/>
                            <a:gdLst/>
                            <a:ahLst/>
                            <a:cxnLst/>
                            <a:rect l="l" t="t" r="r" b="b"/>
                            <a:pathLst>
                              <a:path w="2773680" h="0">
                                <a:moveTo>
                                  <a:pt x="0" y="0"/>
                                </a:moveTo>
                                <a:lnTo>
                                  <a:pt x="2773600" y="0"/>
                                </a:lnTo>
                              </a:path>
                            </a:pathLst>
                          </a:custGeom>
                          <a:ln w="28574">
                            <a:solidFill>
                              <a:srgbClr val="001389"/>
                            </a:solidFill>
                            <a:prstDash val="sysDash"/>
                          </a:ln>
                        </wps:spPr>
                        <wps:bodyPr wrap="square" lIns="0" tIns="0" rIns="0" bIns="0" rtlCol="0">
                          <a:prstTxWarp prst="textNoShape">
                            <a:avLst/>
                          </a:prstTxWarp>
                          <a:noAutofit/>
                        </wps:bodyPr>
                      </wps:wsp>
                      <pic:pic>
                        <pic:nvPicPr>
                          <pic:cNvPr id="520" name="Image 520"/>
                          <pic:cNvPicPr/>
                        </pic:nvPicPr>
                        <pic:blipFill>
                          <a:blip r:embed="rId695" cstate="print"/>
                          <a:stretch>
                            <a:fillRect/>
                          </a:stretch>
                        </pic:blipFill>
                        <pic:spPr>
                          <a:xfrm>
                            <a:off x="6491609" y="3245348"/>
                            <a:ext cx="761914" cy="730249"/>
                          </a:xfrm>
                          <a:prstGeom prst="rect">
                            <a:avLst/>
                          </a:prstGeom>
                        </pic:spPr>
                      </pic:pic>
                      <pic:pic>
                        <pic:nvPicPr>
                          <pic:cNvPr id="521" name="Image 521"/>
                          <pic:cNvPicPr/>
                        </pic:nvPicPr>
                        <pic:blipFill>
                          <a:blip r:embed="rId696" cstate="print"/>
                          <a:stretch>
                            <a:fillRect/>
                          </a:stretch>
                        </pic:blipFill>
                        <pic:spPr>
                          <a:xfrm>
                            <a:off x="5333415" y="7772417"/>
                            <a:ext cx="2438984" cy="2285983"/>
                          </a:xfrm>
                          <a:prstGeom prst="rect">
                            <a:avLst/>
                          </a:prstGeom>
                        </pic:spPr>
                      </pic:pic>
                    </wpg:wgp>
                  </a:graphicData>
                </a:graphic>
              </wp:anchor>
            </w:drawing>
          </mc:Choice>
          <mc:Fallback>
            <w:pict>
              <v:group style="position:absolute;margin-left:.000059pt;margin-top:-.000053pt;width:612pt;height:792pt;mso-position-horizontal-relative:page;mso-position-vertical-relative:page;z-index:-20668416" id="docshapegroup412" coordorigin="0,0" coordsize="12240,15840">
                <v:shape style="position:absolute;left:0;top:0;width:12240;height:4761" type="#_x0000_t75" id="docshape413" stroked="false">
                  <v:imagedata r:id="rId693" o:title=""/>
                </v:shape>
                <v:shape style="position:absolute;left:7839;top:1158;width:2333;height:2332" type="#_x0000_t75" id="docshape414" stroked="false">
                  <v:imagedata r:id="rId98" o:title=""/>
                </v:shape>
                <v:shape style="position:absolute;left:7818;top:1136;width:2375;height:2375" id="docshape415" coordorigin="7818,1136" coordsize="2375,2375" path="m9006,3511l8931,3509,8857,3502,8785,3491,8714,3475,8645,3455,8577,3431,8511,3404,8448,3372,8387,3337,8328,3298,8271,3257,8218,3211,8167,3163,8118,3112,8073,3058,8031,3002,7993,2943,7958,2882,7926,2818,7898,2752,7874,2685,7855,2616,7839,2545,7828,2473,7821,2399,7818,2324,7821,2249,7828,2175,7839,2103,7855,2032,7874,1963,7898,1895,7926,1830,7958,1766,7993,1705,8031,1646,8073,1590,8118,1536,8167,1485,8218,1437,8271,1391,8328,1350,8387,1311,8448,1276,8512,1244,8577,1217,8645,1193,8714,1173,8785,1157,8857,1146,8931,1139,9006,1136,9081,1139,9155,1146,9227,1157,9298,1173,9322,1180,9006,1180,8931,1182,8857,1189,8784,1201,8714,1218,8645,1238,8577,1263,8512,1292,8449,1324,8389,1361,8330,1401,8275,1444,8222,1491,8173,1541,8126,1593,8083,1649,8043,1707,8006,1767,7974,1830,7945,1896,7920,1963,7899,2032,7883,2103,7871,2175,7864,2249,7862,2324,7864,2399,7871,2473,7883,2545,7899,2616,7920,2685,7945,2752,7974,2818,8006,2881,8043,2941,8083,2999,8126,3055,8173,3107,8222,3157,8275,3204,8330,3247,8389,3287,8449,3323,8512,3356,8577,3385,8645,3410,8714,3430,8784,3447,8857,3459,8931,3466,9006,3468,9322,3468,9298,3475,9227,3491,9155,3502,9081,3509,9006,3511xm9322,3468l9006,3468,9081,3466,9155,3459,9227,3447,9298,3430,9367,3410,9434,3385,9499,3356,9562,3323,9623,3287,9681,3247,9737,3204,9789,3157,9839,3107,9886,3055,9929,2999,9969,2941,10005,2881,10038,2818,10067,2752,10092,2685,10112,2616,10129,2545,10140,2473,10148,2399,10150,2324,10148,2249,10140,2175,10129,2103,10112,2032,10092,1963,10067,1896,10038,1830,10005,1767,9969,1707,9929,1649,9886,1593,9839,1541,9789,1491,9737,1444,9681,1401,9623,1361,9562,1324,9499,1292,9434,1263,9367,1238,9298,1218,9227,1201,9155,1189,9081,1182,9006,1180,9322,1180,9367,1193,9435,1217,9500,1244,9564,1276,9625,1311,9684,1350,9740,1391,9794,1437,9845,1485,9893,1536,9938,1590,9980,1646,10019,1705,10054,1766,10085,1830,10113,1896,10137,1963,10157,2032,10173,2103,10184,2175,10191,2249,10193,2324,10191,2399,10184,2473,10173,2545,10157,2616,10137,2685,10113,2753,10085,2818,10054,2882,10019,2943,9980,3002,9938,3058,9893,3112,9845,3163,9794,3211,9740,3257,9684,3298,9625,3337,9564,3372,9500,3404,9435,3431,9367,3455,9322,3468xe" filled="true" fillcolor="#ffffff" stroked="false">
                  <v:path arrowok="t"/>
                  <v:fill type="solid"/>
                </v:shape>
                <v:shape style="position:absolute;left:1031;top:4619;width:5576;height:9288" type="#_x0000_t75" id="docshape416" stroked="false">
                  <v:imagedata r:id="rId694" o:title=""/>
                </v:shape>
                <v:line style="position:absolute" from="6861,9935" to="11229,9935" stroked="true" strokeweight="2.25pt" strokecolor="#001389">
                  <v:stroke dashstyle="shortdash"/>
                </v:line>
                <v:shape style="position:absolute;left:10223;top:5110;width:1200;height:1150" type="#_x0000_t75" id="docshape417" stroked="false">
                  <v:imagedata r:id="rId695" o:title=""/>
                </v:shape>
                <v:shape style="position:absolute;left:8399;top:12240;width:3841;height:3600" type="#_x0000_t75" id="docshape418" stroked="false">
                  <v:imagedata r:id="rId696" o:title=""/>
                </v:shape>
                <w10:wrap type="none"/>
              </v:group>
            </w:pict>
          </mc:Fallback>
        </mc:AlternateContent>
      </w:r>
    </w:p>
    <w:p>
      <w:pPr>
        <w:spacing w:line="278" w:lineRule="auto" w:before="1"/>
        <w:ind w:left="1019" w:right="4769" w:firstLine="0"/>
        <w:jc w:val="left"/>
        <w:rPr>
          <w:rFonts w:ascii="Georgia"/>
          <w:sz w:val="19"/>
        </w:rPr>
      </w:pPr>
      <w:r>
        <w:rPr>
          <w:rFonts w:ascii="Georgia"/>
          <w:spacing w:val="-2"/>
          <w:w w:val="105"/>
          <w:sz w:val="19"/>
        </w:rPr>
        <w:t>Fund</w:t>
      </w:r>
      <w:r>
        <w:rPr>
          <w:rFonts w:ascii="Georgia"/>
          <w:spacing w:val="-3"/>
          <w:w w:val="105"/>
          <w:sz w:val="19"/>
        </w:rPr>
        <w:t> </w:t>
      </w:r>
      <w:r>
        <w:rPr>
          <w:rFonts w:ascii="Georgia"/>
          <w:spacing w:val="-2"/>
          <w:w w:val="105"/>
          <w:sz w:val="19"/>
        </w:rPr>
        <w:t>employment</w:t>
      </w:r>
      <w:r>
        <w:rPr>
          <w:rFonts w:ascii="Georgia"/>
          <w:spacing w:val="-3"/>
          <w:w w:val="105"/>
          <w:sz w:val="19"/>
        </w:rPr>
        <w:t> </w:t>
      </w:r>
      <w:r>
        <w:rPr>
          <w:rFonts w:ascii="Georgia"/>
          <w:spacing w:val="-2"/>
          <w:w w:val="105"/>
          <w:sz w:val="19"/>
        </w:rPr>
        <w:t>programming</w:t>
      </w:r>
      <w:r>
        <w:rPr>
          <w:rFonts w:ascii="Georgia"/>
          <w:spacing w:val="-3"/>
          <w:w w:val="105"/>
          <w:sz w:val="19"/>
        </w:rPr>
        <w:t> </w:t>
      </w:r>
      <w:r>
        <w:rPr>
          <w:rFonts w:ascii="Georgia"/>
          <w:spacing w:val="-2"/>
          <w:w w:val="105"/>
          <w:sz w:val="19"/>
        </w:rPr>
        <w:t>designed</w:t>
      </w:r>
      <w:r>
        <w:rPr>
          <w:rFonts w:ascii="Georgia"/>
          <w:spacing w:val="-3"/>
          <w:w w:val="105"/>
          <w:sz w:val="19"/>
        </w:rPr>
        <w:t> </w:t>
      </w:r>
      <w:r>
        <w:rPr>
          <w:rFonts w:ascii="Georgia"/>
          <w:spacing w:val="-2"/>
          <w:w w:val="105"/>
          <w:sz w:val="19"/>
        </w:rPr>
        <w:t>to </w:t>
      </w:r>
      <w:r>
        <w:rPr>
          <w:rFonts w:ascii="Georgia"/>
          <w:w w:val="105"/>
          <w:sz w:val="19"/>
        </w:rPr>
        <w:t>support LGBTQ youth experiencing </w:t>
      </w:r>
      <w:r>
        <w:rPr>
          <w:rFonts w:ascii="Georgia"/>
          <w:spacing w:val="-2"/>
          <w:w w:val="105"/>
          <w:sz w:val="19"/>
        </w:rPr>
        <w:t>homelessness.</w:t>
      </w:r>
    </w:p>
    <w:p>
      <w:pPr>
        <w:spacing w:after="0" w:line="278" w:lineRule="auto"/>
        <w:jc w:val="left"/>
        <w:rPr>
          <w:rFonts w:ascii="Georgia"/>
          <w:sz w:val="19"/>
        </w:rPr>
        <w:sectPr>
          <w:type w:val="continuous"/>
          <w:pgSz w:w="12240" w:h="15840"/>
          <w:pgMar w:header="0" w:footer="0" w:top="1420" w:bottom="280" w:left="1080" w:right="1020"/>
        </w:sectPr>
      </w:pPr>
    </w:p>
    <w:p>
      <w:pPr>
        <w:pStyle w:val="Heading7"/>
        <w:spacing w:before="338"/>
      </w:pPr>
      <w:bookmarkStart w:name="FY 2025 - EBS - Final.pdf" w:id="916"/>
      <w:bookmarkEnd w:id="916"/>
      <w:r>
        <w:rPr/>
      </w:r>
      <w:bookmarkStart w:name="_bookmark620" w:id="917"/>
      <w:bookmarkEnd w:id="917"/>
      <w:r>
        <w:rPr/>
      </w:r>
      <w:hyperlink w:history="true" w:anchor="_bookmark3">
        <w:r>
          <w:rPr>
            <w:color w:val="365F91"/>
            <w:spacing w:val="-8"/>
          </w:rPr>
          <w:t>Eliminating</w:t>
        </w:r>
        <w:r>
          <w:rPr>
            <w:color w:val="365F91"/>
            <w:spacing w:val="-15"/>
          </w:rPr>
          <w:t> </w:t>
        </w:r>
        <w:r>
          <w:rPr>
            <w:color w:val="365F91"/>
            <w:spacing w:val="-8"/>
          </w:rPr>
          <w:t>Barriers</w:t>
        </w:r>
        <w:r>
          <w:rPr>
            <w:color w:val="365F91"/>
            <w:spacing w:val="-16"/>
          </w:rPr>
          <w:t> </w:t>
        </w:r>
        <w:r>
          <w:rPr>
            <w:color w:val="365F91"/>
            <w:spacing w:val="-8"/>
          </w:rPr>
          <w:t>to</w:t>
        </w:r>
        <w:r>
          <w:rPr>
            <w:color w:val="365F91"/>
            <w:spacing w:val="-14"/>
          </w:rPr>
          <w:t> </w:t>
        </w:r>
        <w:r>
          <w:rPr>
            <w:color w:val="365F91"/>
            <w:spacing w:val="-8"/>
          </w:rPr>
          <w:t>Service</w:t>
        </w:r>
      </w:hyperlink>
    </w:p>
    <w:p>
      <w:pPr>
        <w:spacing w:before="314"/>
        <w:ind w:left="483" w:right="0" w:firstLine="0"/>
        <w:jc w:val="left"/>
        <w:rPr>
          <w:sz w:val="28"/>
        </w:rPr>
      </w:pPr>
      <w:bookmarkStart w:name="Introduction" w:id="918"/>
      <w:bookmarkEnd w:id="918"/>
      <w:r>
        <w:rPr/>
      </w: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686656">
                <wp:simplePos x="0" y="0"/>
                <wp:positionH relativeFrom="page">
                  <wp:posOffset>897636</wp:posOffset>
                </wp:positionH>
                <wp:positionV relativeFrom="paragraph">
                  <wp:posOffset>44324</wp:posOffset>
                </wp:positionV>
                <wp:extent cx="5976620" cy="6350"/>
                <wp:effectExtent l="0" t="0" r="0" b="0"/>
                <wp:wrapTopAndBottom/>
                <wp:docPr id="525" name="Graphic 525"/>
                <wp:cNvGraphicFramePr>
                  <a:graphicFrameLocks/>
                </wp:cNvGraphicFramePr>
                <a:graphic>
                  <a:graphicData uri="http://schemas.microsoft.com/office/word/2010/wordprocessingShape">
                    <wps:wsp>
                      <wps:cNvPr id="525" name="Graphic 525"/>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490094pt;width:470.58pt;height:.481pt;mso-position-horizontal-relative:page;mso-position-vertical-relative:paragraph;z-index:-15629824;mso-wrap-distance-left:0;mso-wrap-distance-right:0" id="docshape422" filled="true" fillcolor="#4f81bc" stroked="false">
                <v:fill type="solid"/>
                <w10:wrap type="topAndBottom"/>
              </v:rect>
            </w:pict>
          </mc:Fallback>
        </mc:AlternateContent>
      </w:r>
    </w:p>
    <w:p>
      <w:pPr>
        <w:pStyle w:val="BodyText"/>
        <w:spacing w:line="276" w:lineRule="auto" w:before="241"/>
        <w:ind w:left="483" w:right="344"/>
        <w:jc w:val="both"/>
      </w:pPr>
      <w:bookmarkStart w:name="(first published in FY 2024 Annual Recom" w:id="919"/>
      <w:bookmarkEnd w:id="919"/>
      <w:r>
        <w:rPr/>
      </w:r>
      <w:r>
        <w:rPr/>
        <w:t>(first</w:t>
      </w:r>
      <w:r>
        <w:rPr>
          <w:spacing w:val="-2"/>
        </w:rPr>
        <w:t> </w:t>
      </w:r>
      <w:r>
        <w:rPr/>
        <w:t>published</w:t>
      </w:r>
      <w:r>
        <w:rPr>
          <w:spacing w:val="-1"/>
        </w:rPr>
        <w:t> </w:t>
      </w:r>
      <w:r>
        <w:rPr/>
        <w:t>in</w:t>
      </w:r>
      <w:r>
        <w:rPr>
          <w:spacing w:val="-1"/>
        </w:rPr>
        <w:t> </w:t>
      </w:r>
      <w:r>
        <w:rPr/>
        <w:t>FY</w:t>
      </w:r>
      <w:r>
        <w:rPr>
          <w:spacing w:val="-1"/>
        </w:rPr>
        <w:t> </w:t>
      </w:r>
      <w:r>
        <w:rPr/>
        <w:t>2024 Annual Recommendations</w:t>
      </w:r>
      <w:r>
        <w:rPr>
          <w:spacing w:val="-1"/>
        </w:rPr>
        <w:t> </w:t>
      </w:r>
      <w:r>
        <w:rPr/>
        <w:t>Report, minor</w:t>
      </w:r>
      <w:r>
        <w:rPr>
          <w:spacing w:val="-1"/>
        </w:rPr>
        <w:t> </w:t>
      </w:r>
      <w:r>
        <w:rPr/>
        <w:t>updates made</w:t>
      </w:r>
      <w:r>
        <w:rPr>
          <w:spacing w:val="-1"/>
        </w:rPr>
        <w:t> </w:t>
      </w:r>
      <w:r>
        <w:rPr/>
        <w:t>to bring current</w:t>
      </w:r>
      <w:r>
        <w:rPr>
          <w:spacing w:val="-1"/>
        </w:rPr>
        <w:t> </w:t>
      </w:r>
      <w:r>
        <w:rPr/>
        <w:t>to FY </w:t>
      </w:r>
      <w:r>
        <w:rPr>
          <w:spacing w:val="-2"/>
        </w:rPr>
        <w:t>2025)</w:t>
      </w:r>
    </w:p>
    <w:p>
      <w:pPr>
        <w:spacing w:line="276" w:lineRule="auto" w:before="241"/>
        <w:ind w:left="483" w:right="341" w:firstLine="0"/>
        <w:jc w:val="both"/>
        <w:rPr>
          <w:sz w:val="21"/>
        </w:rPr>
      </w:pPr>
      <w:r>
        <w:rPr>
          <w:sz w:val="21"/>
        </w:rPr>
        <w:t>Supporting and affirming LGBTQ youth in Massachusetts requires an integrated and comprehensive effort by all state systems, leaders, educators, providers, and advocates. In the development of the Commission’s FY 2024 annual report, it noted many overarching themes of gaps in data collection, a greater need for mandatory and comprehensive trainings, and expanded policy development across the state. Throughout</w:t>
      </w:r>
      <w:r>
        <w:rPr>
          <w:spacing w:val="40"/>
          <w:sz w:val="21"/>
        </w:rPr>
        <w:t> </w:t>
      </w:r>
      <w:r>
        <w:rPr>
          <w:sz w:val="21"/>
        </w:rPr>
        <w:t>this report, the Commission has highlighted numerous areas in its core sections and below agency sections that</w:t>
      </w:r>
      <w:r>
        <w:rPr>
          <w:spacing w:val="-5"/>
          <w:sz w:val="21"/>
        </w:rPr>
        <w:t> </w:t>
      </w:r>
      <w:r>
        <w:rPr>
          <w:sz w:val="21"/>
        </w:rPr>
        <w:t>Massachusetts</w:t>
      </w:r>
      <w:r>
        <w:rPr>
          <w:spacing w:val="-7"/>
          <w:sz w:val="21"/>
        </w:rPr>
        <w:t> </w:t>
      </w:r>
      <w:r>
        <w:rPr>
          <w:sz w:val="21"/>
        </w:rPr>
        <w:t>must</w:t>
      </w:r>
      <w:r>
        <w:rPr>
          <w:spacing w:val="-4"/>
          <w:sz w:val="21"/>
        </w:rPr>
        <w:t> </w:t>
      </w:r>
      <w:r>
        <w:rPr>
          <w:sz w:val="21"/>
        </w:rPr>
        <w:t>address</w:t>
      </w:r>
      <w:r>
        <w:rPr>
          <w:spacing w:val="-7"/>
          <w:sz w:val="21"/>
        </w:rPr>
        <w:t> </w:t>
      </w:r>
      <w:r>
        <w:rPr>
          <w:sz w:val="21"/>
        </w:rPr>
        <w:t>to</w:t>
      </w:r>
      <w:r>
        <w:rPr>
          <w:spacing w:val="-4"/>
          <w:sz w:val="21"/>
        </w:rPr>
        <w:t> </w:t>
      </w:r>
      <w:r>
        <w:rPr>
          <w:sz w:val="21"/>
        </w:rPr>
        <w:t>better</w:t>
      </w:r>
      <w:r>
        <w:rPr>
          <w:spacing w:val="-4"/>
          <w:sz w:val="21"/>
        </w:rPr>
        <w:t> </w:t>
      </w:r>
      <w:r>
        <w:rPr>
          <w:sz w:val="21"/>
        </w:rPr>
        <w:t>support</w:t>
      </w:r>
      <w:r>
        <w:rPr>
          <w:spacing w:val="-5"/>
          <w:sz w:val="21"/>
        </w:rPr>
        <w:t> </w:t>
      </w:r>
      <w:r>
        <w:rPr>
          <w:sz w:val="21"/>
        </w:rPr>
        <w:t>the</w:t>
      </w:r>
      <w:r>
        <w:rPr>
          <w:spacing w:val="-5"/>
          <w:sz w:val="21"/>
        </w:rPr>
        <w:t> </w:t>
      </w:r>
      <w:r>
        <w:rPr>
          <w:sz w:val="21"/>
        </w:rPr>
        <w:t>overall</w:t>
      </w:r>
      <w:r>
        <w:rPr>
          <w:spacing w:val="-5"/>
          <w:sz w:val="21"/>
        </w:rPr>
        <w:t> </w:t>
      </w:r>
      <w:r>
        <w:rPr>
          <w:sz w:val="21"/>
        </w:rPr>
        <w:t>well-being</w:t>
      </w:r>
      <w:r>
        <w:rPr>
          <w:spacing w:val="-4"/>
          <w:sz w:val="21"/>
        </w:rPr>
        <w:t> </w:t>
      </w:r>
      <w:r>
        <w:rPr>
          <w:sz w:val="21"/>
        </w:rPr>
        <w:t>of</w:t>
      </w:r>
      <w:r>
        <w:rPr>
          <w:spacing w:val="-7"/>
          <w:sz w:val="21"/>
        </w:rPr>
        <w:t> </w:t>
      </w:r>
      <w:r>
        <w:rPr>
          <w:sz w:val="21"/>
        </w:rPr>
        <w:t>LGBTQ youth and families.</w:t>
      </w:r>
    </w:p>
    <w:p>
      <w:pPr>
        <w:spacing w:line="276" w:lineRule="auto" w:before="240"/>
        <w:ind w:left="482" w:right="340" w:firstLine="0"/>
        <w:jc w:val="both"/>
        <w:rPr>
          <w:sz w:val="21"/>
        </w:rPr>
      </w:pPr>
      <w:r>
        <w:rPr>
          <w:sz w:val="21"/>
        </w:rPr>
        <w:t>This</w:t>
      </w:r>
      <w:r>
        <w:rPr>
          <w:spacing w:val="-1"/>
          <w:sz w:val="21"/>
        </w:rPr>
        <w:t> </w:t>
      </w:r>
      <w:r>
        <w:rPr>
          <w:sz w:val="21"/>
        </w:rPr>
        <w:t>section</w:t>
      </w:r>
      <w:r>
        <w:rPr>
          <w:spacing w:val="-1"/>
          <w:sz w:val="21"/>
        </w:rPr>
        <w:t> </w:t>
      </w:r>
      <w:r>
        <w:rPr>
          <w:sz w:val="21"/>
        </w:rPr>
        <w:t>provides</w:t>
      </w:r>
      <w:r>
        <w:rPr>
          <w:spacing w:val="-1"/>
          <w:sz w:val="21"/>
        </w:rPr>
        <w:t> </w:t>
      </w:r>
      <w:r>
        <w:rPr>
          <w:sz w:val="21"/>
        </w:rPr>
        <w:t>an overview</w:t>
      </w:r>
      <w:r>
        <w:rPr>
          <w:spacing w:val="-2"/>
          <w:sz w:val="21"/>
        </w:rPr>
        <w:t> </w:t>
      </w:r>
      <w:r>
        <w:rPr>
          <w:sz w:val="21"/>
        </w:rPr>
        <w:t>of</w:t>
      </w:r>
      <w:r>
        <w:rPr>
          <w:spacing w:val="-1"/>
          <w:sz w:val="21"/>
        </w:rPr>
        <w:t> </w:t>
      </w:r>
      <w:r>
        <w:rPr>
          <w:sz w:val="21"/>
        </w:rPr>
        <w:t>the</w:t>
      </w:r>
      <w:r>
        <w:rPr>
          <w:spacing w:val="-2"/>
          <w:sz w:val="21"/>
        </w:rPr>
        <w:t> </w:t>
      </w:r>
      <w:r>
        <w:rPr>
          <w:sz w:val="21"/>
        </w:rPr>
        <w:t>Commission’s</w:t>
      </w:r>
      <w:r>
        <w:rPr>
          <w:spacing w:val="-2"/>
          <w:sz w:val="21"/>
        </w:rPr>
        <w:t> </w:t>
      </w:r>
      <w:r>
        <w:rPr>
          <w:sz w:val="21"/>
        </w:rPr>
        <w:t>recommendations</w:t>
      </w:r>
      <w:r>
        <w:rPr>
          <w:spacing w:val="-2"/>
          <w:sz w:val="21"/>
        </w:rPr>
        <w:t> </w:t>
      </w:r>
      <w:r>
        <w:rPr>
          <w:sz w:val="21"/>
        </w:rPr>
        <w:t>on</w:t>
      </w:r>
      <w:r>
        <w:rPr>
          <w:spacing w:val="-1"/>
          <w:sz w:val="21"/>
        </w:rPr>
        <w:t> </w:t>
      </w:r>
      <w:r>
        <w:rPr>
          <w:sz w:val="21"/>
        </w:rPr>
        <w:t>thematic</w:t>
      </w:r>
      <w:r>
        <w:rPr>
          <w:spacing w:val="-3"/>
          <w:sz w:val="21"/>
        </w:rPr>
        <w:t> </w:t>
      </w:r>
      <w:r>
        <w:rPr>
          <w:sz w:val="21"/>
        </w:rPr>
        <w:t>areas</w:t>
      </w:r>
      <w:r>
        <w:rPr>
          <w:spacing w:val="-1"/>
          <w:sz w:val="21"/>
        </w:rPr>
        <w:t> </w:t>
      </w:r>
      <w:r>
        <w:rPr>
          <w:sz w:val="21"/>
        </w:rPr>
        <w:t>applicable</w:t>
      </w:r>
      <w:r>
        <w:rPr>
          <w:spacing w:val="-1"/>
          <w:sz w:val="21"/>
        </w:rPr>
        <w:t> </w:t>
      </w:r>
      <w:r>
        <w:rPr>
          <w:sz w:val="21"/>
        </w:rPr>
        <w:t>to the whole state, as well as suggested revisions to existing</w:t>
      </w:r>
      <w:r>
        <w:rPr>
          <w:spacing w:val="-1"/>
          <w:sz w:val="21"/>
        </w:rPr>
        <w:t> </w:t>
      </w:r>
      <w:r>
        <w:rPr>
          <w:sz w:val="21"/>
        </w:rPr>
        <w:t>Massachusetts laws. With</w:t>
      </w:r>
      <w:r>
        <w:rPr>
          <w:spacing w:val="-1"/>
          <w:sz w:val="21"/>
        </w:rPr>
        <w:t> </w:t>
      </w:r>
      <w:r>
        <w:rPr>
          <w:sz w:val="21"/>
        </w:rPr>
        <w:t>this section, the Commission advises the state on recommendations that broadly intersect the core sections of the Commission’s annual report and the below agency recommendations to affirm and support LGBTQ youth. The Commission appreciates the ongoing collaboration opportunities with its community and agency</w:t>
      </w:r>
      <w:r>
        <w:rPr>
          <w:spacing w:val="-1"/>
          <w:sz w:val="21"/>
        </w:rPr>
        <w:t> </w:t>
      </w:r>
      <w:r>
        <w:rPr>
          <w:sz w:val="21"/>
        </w:rPr>
        <w:t>partners, legislators, and youth into FY 2025.</w:t>
      </w:r>
    </w:p>
    <w:p>
      <w:pPr>
        <w:spacing w:before="239"/>
        <w:ind w:left="483" w:right="0" w:firstLine="0"/>
        <w:jc w:val="both"/>
        <w:rPr>
          <w:sz w:val="28"/>
        </w:rPr>
      </w:pPr>
      <w:bookmarkStart w:name="FY 2025 Expanded Recommendations to the " w:id="920"/>
      <w:bookmarkEnd w:id="920"/>
      <w:r>
        <w:rPr/>
      </w:r>
      <w:r>
        <w:rPr>
          <w:color w:val="365F91"/>
          <w:sz w:val="28"/>
        </w:rPr>
        <w:t>FY</w:t>
      </w:r>
      <w:r>
        <w:rPr>
          <w:color w:val="365F91"/>
          <w:spacing w:val="-11"/>
          <w:sz w:val="28"/>
        </w:rPr>
        <w:t> </w:t>
      </w:r>
      <w:r>
        <w:rPr>
          <w:color w:val="365F91"/>
          <w:sz w:val="28"/>
        </w:rPr>
        <w:t>2025</w:t>
      </w:r>
      <w:r>
        <w:rPr>
          <w:color w:val="365F91"/>
          <w:spacing w:val="-10"/>
          <w:sz w:val="28"/>
        </w:rPr>
        <w:t> </w:t>
      </w:r>
      <w:r>
        <w:rPr>
          <w:color w:val="365F91"/>
          <w:sz w:val="28"/>
        </w:rPr>
        <w:t>Expanded</w:t>
      </w:r>
      <w:r>
        <w:rPr>
          <w:color w:val="365F91"/>
          <w:spacing w:val="-12"/>
          <w:sz w:val="28"/>
        </w:rPr>
        <w:t> </w:t>
      </w:r>
      <w:r>
        <w:rPr>
          <w:color w:val="365F91"/>
          <w:sz w:val="28"/>
        </w:rPr>
        <w:t>Recommendations</w:t>
      </w:r>
      <w:r>
        <w:rPr>
          <w:color w:val="365F91"/>
          <w:spacing w:val="-10"/>
          <w:sz w:val="28"/>
        </w:rPr>
        <w:t> </w:t>
      </w:r>
      <w:r>
        <w:rPr>
          <w:color w:val="365F91"/>
          <w:sz w:val="28"/>
        </w:rPr>
        <w:t>to</w:t>
      </w:r>
      <w:r>
        <w:rPr>
          <w:color w:val="365F91"/>
          <w:spacing w:val="-11"/>
          <w:sz w:val="28"/>
        </w:rPr>
        <w:t> </w:t>
      </w:r>
      <w:r>
        <w:rPr>
          <w:color w:val="365F91"/>
          <w:sz w:val="28"/>
        </w:rPr>
        <w:t>the</w:t>
      </w:r>
      <w:r>
        <w:rPr>
          <w:color w:val="365F91"/>
          <w:spacing w:val="-10"/>
          <w:sz w:val="28"/>
        </w:rPr>
        <w:t> </w:t>
      </w:r>
      <w:r>
        <w:rPr>
          <w:color w:val="365F91"/>
          <w:sz w:val="28"/>
        </w:rPr>
        <w:t>Commonwealth</w:t>
      </w:r>
      <w:r>
        <w:rPr>
          <w:color w:val="365F91"/>
          <w:spacing w:val="-10"/>
          <w:sz w:val="28"/>
        </w:rPr>
        <w:t> </w:t>
      </w:r>
      <w:r>
        <w:rPr>
          <w:color w:val="365F91"/>
          <w:sz w:val="28"/>
        </w:rPr>
        <w:t>of</w:t>
      </w:r>
      <w:r>
        <w:rPr>
          <w:color w:val="365F91"/>
          <w:spacing w:val="-10"/>
          <w:sz w:val="28"/>
        </w:rPr>
        <w:t> </w:t>
      </w:r>
      <w:r>
        <w:rPr>
          <w:color w:val="365F91"/>
          <w:spacing w:val="-2"/>
          <w:sz w:val="28"/>
        </w:rPr>
        <w:t>Massachusetts</w:t>
      </w:r>
    </w:p>
    <w:p>
      <w:pPr>
        <w:pStyle w:val="BodyText"/>
        <w:spacing w:before="10"/>
        <w:rPr>
          <w:sz w:val="3"/>
        </w:rPr>
      </w:pPr>
      <w:r>
        <w:rPr/>
        <mc:AlternateContent>
          <mc:Choice Requires="wps">
            <w:drawing>
              <wp:anchor distT="0" distB="0" distL="0" distR="0" allowOverlap="1" layoutInCell="1" locked="0" behindDoc="1" simplePos="0" relativeHeight="487687168">
                <wp:simplePos x="0" y="0"/>
                <wp:positionH relativeFrom="page">
                  <wp:posOffset>897636</wp:posOffset>
                </wp:positionH>
                <wp:positionV relativeFrom="paragraph">
                  <wp:posOffset>45421</wp:posOffset>
                </wp:positionV>
                <wp:extent cx="5976620" cy="6350"/>
                <wp:effectExtent l="0" t="0" r="0" b="0"/>
                <wp:wrapTopAndBottom/>
                <wp:docPr id="526" name="Graphic 526"/>
                <wp:cNvGraphicFramePr>
                  <a:graphicFrameLocks/>
                </wp:cNvGraphicFramePr>
                <a:graphic>
                  <a:graphicData uri="http://schemas.microsoft.com/office/word/2010/wordprocessingShape">
                    <wps:wsp>
                      <wps:cNvPr id="526" name="Graphic 526"/>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6484pt;width:470.58pt;height:.48pt;mso-position-horizontal-relative:page;mso-position-vertical-relative:paragraph;z-index:-15629312;mso-wrap-distance-left:0;mso-wrap-distance-right:0" id="docshape423" filled="true" fillcolor="#4f81bc" stroked="false">
                <v:fill type="solid"/>
                <w10:wrap type="topAndBottom"/>
              </v:rect>
            </w:pict>
          </mc:Fallback>
        </mc:AlternateContent>
      </w:r>
    </w:p>
    <w:p>
      <w:pPr>
        <w:numPr>
          <w:ilvl w:val="0"/>
          <w:numId w:val="30"/>
        </w:numPr>
        <w:tabs>
          <w:tab w:pos="481" w:val="left" w:leader="none"/>
          <w:tab w:pos="483" w:val="left" w:leader="none"/>
        </w:tabs>
        <w:spacing w:line="276" w:lineRule="auto" w:before="241"/>
        <w:ind w:left="483" w:right="343" w:hanging="360"/>
        <w:jc w:val="both"/>
        <w:rPr>
          <w:b/>
          <w:sz w:val="22"/>
        </w:rPr>
      </w:pPr>
      <w:r>
        <w:rPr>
          <w:b/>
          <w:sz w:val="22"/>
        </w:rPr>
        <w:t>Improve and standardize SOGIE data collection practices to allow for more cross-agency data analysis and</w:t>
      </w:r>
      <w:r>
        <w:rPr>
          <w:b/>
          <w:spacing w:val="-1"/>
          <w:sz w:val="22"/>
        </w:rPr>
        <w:t> </w:t>
      </w:r>
      <w:r>
        <w:rPr>
          <w:b/>
          <w:sz w:val="22"/>
        </w:rPr>
        <w:t>develop</w:t>
      </w:r>
      <w:r>
        <w:rPr>
          <w:b/>
          <w:spacing w:val="-1"/>
          <w:sz w:val="22"/>
        </w:rPr>
        <w:t> </w:t>
      </w:r>
      <w:r>
        <w:rPr>
          <w:b/>
          <w:sz w:val="22"/>
        </w:rPr>
        <w:t>a</w:t>
      </w:r>
      <w:r>
        <w:rPr>
          <w:b/>
          <w:spacing w:val="-1"/>
          <w:sz w:val="22"/>
        </w:rPr>
        <w:t> </w:t>
      </w:r>
      <w:r>
        <w:rPr>
          <w:b/>
          <w:sz w:val="22"/>
        </w:rPr>
        <w:t>plan</w:t>
      </w:r>
      <w:r>
        <w:rPr>
          <w:b/>
          <w:spacing w:val="-1"/>
          <w:sz w:val="22"/>
        </w:rPr>
        <w:t> </w:t>
      </w:r>
      <w:r>
        <w:rPr>
          <w:b/>
          <w:sz w:val="22"/>
        </w:rPr>
        <w:t>to</w:t>
      </w:r>
      <w:r>
        <w:rPr>
          <w:b/>
          <w:spacing w:val="-1"/>
          <w:sz w:val="22"/>
        </w:rPr>
        <w:t> </w:t>
      </w:r>
      <w:r>
        <w:rPr>
          <w:b/>
          <w:sz w:val="22"/>
        </w:rPr>
        <w:t>update</w:t>
      </w:r>
      <w:r>
        <w:rPr>
          <w:b/>
          <w:spacing w:val="-1"/>
          <w:sz w:val="22"/>
        </w:rPr>
        <w:t> </w:t>
      </w:r>
      <w:r>
        <w:rPr>
          <w:b/>
          <w:sz w:val="22"/>
        </w:rPr>
        <w:t>all</w:t>
      </w:r>
      <w:r>
        <w:rPr>
          <w:b/>
          <w:spacing w:val="-1"/>
          <w:sz w:val="22"/>
        </w:rPr>
        <w:t> </w:t>
      </w:r>
      <w:r>
        <w:rPr>
          <w:b/>
          <w:sz w:val="22"/>
        </w:rPr>
        <w:t>relevant</w:t>
      </w:r>
      <w:r>
        <w:rPr>
          <w:b/>
          <w:spacing w:val="-1"/>
          <w:sz w:val="22"/>
        </w:rPr>
        <w:t> </w:t>
      </w:r>
      <w:r>
        <w:rPr>
          <w:b/>
          <w:sz w:val="22"/>
        </w:rPr>
        <w:t>state</w:t>
      </w:r>
      <w:r>
        <w:rPr>
          <w:b/>
          <w:spacing w:val="-1"/>
          <w:sz w:val="22"/>
        </w:rPr>
        <w:t> </w:t>
      </w:r>
      <w:r>
        <w:rPr>
          <w:b/>
          <w:sz w:val="22"/>
        </w:rPr>
        <w:t>forms</w:t>
      </w:r>
      <w:r>
        <w:rPr>
          <w:b/>
          <w:spacing w:val="-1"/>
          <w:sz w:val="22"/>
        </w:rPr>
        <w:t> </w:t>
      </w:r>
      <w:r>
        <w:rPr>
          <w:b/>
          <w:sz w:val="22"/>
        </w:rPr>
        <w:t>asking about</w:t>
      </w:r>
      <w:r>
        <w:rPr>
          <w:b/>
          <w:spacing w:val="-1"/>
          <w:sz w:val="22"/>
        </w:rPr>
        <w:t> </w:t>
      </w:r>
      <w:r>
        <w:rPr>
          <w:b/>
          <w:sz w:val="22"/>
        </w:rPr>
        <w:t>sex,</w:t>
      </w:r>
      <w:r>
        <w:rPr>
          <w:b/>
          <w:spacing w:val="-1"/>
          <w:sz w:val="22"/>
        </w:rPr>
        <w:t> </w:t>
      </w:r>
      <w:r>
        <w:rPr>
          <w:b/>
          <w:sz w:val="22"/>
        </w:rPr>
        <w:t>gender,</w:t>
      </w:r>
      <w:r>
        <w:rPr>
          <w:b/>
          <w:spacing w:val="-1"/>
          <w:sz w:val="22"/>
        </w:rPr>
        <w:t> </w:t>
      </w:r>
      <w:r>
        <w:rPr>
          <w:b/>
          <w:sz w:val="22"/>
        </w:rPr>
        <w:t>and</w:t>
      </w:r>
      <w:r>
        <w:rPr>
          <w:b/>
          <w:spacing w:val="-1"/>
          <w:sz w:val="22"/>
        </w:rPr>
        <w:t> </w:t>
      </w:r>
      <w:r>
        <w:rPr>
          <w:b/>
          <w:sz w:val="22"/>
        </w:rPr>
        <w:t>sexual orientation </w:t>
      </w:r>
      <w:r>
        <w:rPr>
          <w:b/>
          <w:spacing w:val="-2"/>
          <w:sz w:val="22"/>
        </w:rPr>
        <w:t>demographics.</w:t>
      </w:r>
    </w:p>
    <w:p>
      <w:pPr>
        <w:pStyle w:val="BodyText"/>
        <w:spacing w:line="276" w:lineRule="auto" w:before="240"/>
        <w:ind w:left="483" w:right="342"/>
        <w:jc w:val="both"/>
      </w:pPr>
      <w:r>
        <w:rPr/>
        <w:t>One of the core aspects of the Commission’s work with state agencies is to advise on best practices for SOGIE data collection through state forms and survey development. As language naturally develops among LGBTQ communities, data collection standards must also continuously evolve to remain appropriately</w:t>
      </w:r>
      <w:r>
        <w:rPr>
          <w:spacing w:val="-7"/>
        </w:rPr>
        <w:t> </w:t>
      </w:r>
      <w:r>
        <w:rPr/>
        <w:t>inclusive</w:t>
      </w:r>
      <w:r>
        <w:rPr>
          <w:spacing w:val="-10"/>
        </w:rPr>
        <w:t> </w:t>
      </w:r>
      <w:r>
        <w:rPr/>
        <w:t>of</w:t>
      </w:r>
      <w:r>
        <w:rPr>
          <w:spacing w:val="-9"/>
        </w:rPr>
        <w:t> </w:t>
      </w:r>
      <w:r>
        <w:rPr/>
        <w:t>LGBTQ</w:t>
      </w:r>
      <w:r>
        <w:rPr>
          <w:spacing w:val="-9"/>
        </w:rPr>
        <w:t> </w:t>
      </w:r>
      <w:r>
        <w:rPr/>
        <w:t>identities.</w:t>
      </w:r>
      <w:r>
        <w:rPr>
          <w:spacing w:val="-10"/>
        </w:rPr>
        <w:t> </w:t>
      </w:r>
      <w:r>
        <w:rPr/>
        <w:t>The</w:t>
      </w:r>
      <w:r>
        <w:rPr>
          <w:spacing w:val="-8"/>
        </w:rPr>
        <w:t> </w:t>
      </w:r>
      <w:r>
        <w:rPr/>
        <w:t>Commission</w:t>
      </w:r>
      <w:r>
        <w:rPr>
          <w:spacing w:val="-10"/>
        </w:rPr>
        <w:t> </w:t>
      </w:r>
      <w:r>
        <w:rPr/>
        <w:t>appreciates</w:t>
      </w:r>
      <w:r>
        <w:rPr>
          <w:spacing w:val="-9"/>
        </w:rPr>
        <w:t> </w:t>
      </w:r>
      <w:r>
        <w:rPr/>
        <w:t>the</w:t>
      </w:r>
      <w:r>
        <w:rPr>
          <w:spacing w:val="-8"/>
        </w:rPr>
        <w:t> </w:t>
      </w:r>
      <w:r>
        <w:rPr/>
        <w:t>dedication</w:t>
      </w:r>
      <w:r>
        <w:rPr>
          <w:spacing w:val="-9"/>
        </w:rPr>
        <w:t> </w:t>
      </w:r>
      <w:r>
        <w:rPr/>
        <w:t>that</w:t>
      </w:r>
      <w:r>
        <w:rPr>
          <w:spacing w:val="-9"/>
        </w:rPr>
        <w:t> </w:t>
      </w:r>
      <w:r>
        <w:rPr/>
        <w:t>several</w:t>
      </w:r>
      <w:r>
        <w:rPr>
          <w:spacing w:val="-10"/>
        </w:rPr>
        <w:t> </w:t>
      </w:r>
      <w:r>
        <w:rPr/>
        <w:t>state agencies and lawmakers have shown in updating internal systems and state laws to allow for the </w:t>
      </w:r>
      <w:r>
        <w:rPr>
          <w:spacing w:val="-2"/>
        </w:rPr>
        <w:t>expansion of SOGIE</w:t>
      </w:r>
      <w:r>
        <w:rPr>
          <w:spacing w:val="-4"/>
        </w:rPr>
        <w:t> </w:t>
      </w:r>
      <w:r>
        <w:rPr>
          <w:spacing w:val="-2"/>
        </w:rPr>
        <w:t>data collection where relevant.</w:t>
      </w:r>
      <w:r>
        <w:rPr>
          <w:spacing w:val="-4"/>
        </w:rPr>
        <w:t> </w:t>
      </w:r>
      <w:r>
        <w:rPr>
          <w:spacing w:val="-2"/>
        </w:rPr>
        <w:t>The Commission understands</w:t>
      </w:r>
      <w:r>
        <w:rPr>
          <w:spacing w:val="-4"/>
        </w:rPr>
        <w:t> </w:t>
      </w:r>
      <w:r>
        <w:rPr>
          <w:spacing w:val="-2"/>
        </w:rPr>
        <w:t>that there are numerous </w:t>
      </w:r>
      <w:r>
        <w:rPr/>
        <w:t>scenarios where it is inappropriate for the state to ask about sexual orientation in its service provision, but further notes that many, many state forms and systems look for demographic information on biological sex, rather than gender identity. The Federal Evidence Agenda on LGBTQI+ Equity serves as a helpful guide for agencies looking to improve their data collection</w:t>
      </w:r>
      <w:hyperlink w:history="true" w:anchor="_bookmark621">
        <w:r>
          <w:rPr/>
          <w:t>.</w:t>
        </w:r>
        <w:r>
          <w:rPr>
            <w:vertAlign w:val="superscript"/>
          </w:rPr>
          <w:t>1</w:t>
        </w:r>
      </w:hyperlink>
    </w:p>
    <w:p>
      <w:pPr>
        <w:pStyle w:val="BodyText"/>
        <w:spacing w:line="276" w:lineRule="auto" w:before="241"/>
        <w:ind w:left="483" w:right="340"/>
        <w:jc w:val="both"/>
      </w:pPr>
      <w:r>
        <w:rPr/>
        <w:t>The Commission’s overarching recommendation is that the state must improve its SOGIE data collection in all relevant areas to better understand the number of LGBTQ individuals receiving services and disparities in access or care. One possibility is for the Governor or legislature to create a statewide task force</w:t>
      </w:r>
      <w:r>
        <w:rPr>
          <w:spacing w:val="26"/>
        </w:rPr>
        <w:t> </w:t>
      </w:r>
      <w:r>
        <w:rPr/>
        <w:t>or</w:t>
      </w:r>
      <w:r>
        <w:rPr>
          <w:spacing w:val="27"/>
        </w:rPr>
        <w:t> </w:t>
      </w:r>
      <w:r>
        <w:rPr/>
        <w:t>committee</w:t>
      </w:r>
      <w:r>
        <w:rPr>
          <w:spacing w:val="27"/>
        </w:rPr>
        <w:t> </w:t>
      </w:r>
      <w:r>
        <w:rPr/>
        <w:t>to</w:t>
      </w:r>
      <w:r>
        <w:rPr>
          <w:spacing w:val="27"/>
        </w:rPr>
        <w:t> </w:t>
      </w:r>
      <w:r>
        <w:rPr/>
        <w:t>examine</w:t>
      </w:r>
      <w:r>
        <w:rPr>
          <w:spacing w:val="27"/>
        </w:rPr>
        <w:t> </w:t>
      </w:r>
      <w:r>
        <w:rPr/>
        <w:t>SOGIE</w:t>
      </w:r>
      <w:r>
        <w:rPr>
          <w:spacing w:val="27"/>
        </w:rPr>
        <w:t> </w:t>
      </w:r>
      <w:r>
        <w:rPr/>
        <w:t>data</w:t>
      </w:r>
      <w:r>
        <w:rPr>
          <w:spacing w:val="28"/>
        </w:rPr>
        <w:t> </w:t>
      </w:r>
      <w:r>
        <w:rPr/>
        <w:t>collection</w:t>
      </w:r>
      <w:r>
        <w:rPr>
          <w:spacing w:val="26"/>
        </w:rPr>
        <w:t> </w:t>
      </w:r>
      <w:r>
        <w:rPr/>
        <w:t>standards</w:t>
      </w:r>
      <w:r>
        <w:rPr>
          <w:spacing w:val="28"/>
        </w:rPr>
        <w:t> </w:t>
      </w:r>
      <w:r>
        <w:rPr/>
        <w:t>across</w:t>
      </w:r>
      <w:r>
        <w:rPr>
          <w:spacing w:val="27"/>
        </w:rPr>
        <w:t> </w:t>
      </w:r>
      <w:r>
        <w:rPr/>
        <w:t>agencies,</w:t>
      </w:r>
      <w:r>
        <w:rPr>
          <w:spacing w:val="27"/>
        </w:rPr>
        <w:t> </w:t>
      </w:r>
      <w:r>
        <w:rPr/>
        <w:t>investigate</w:t>
      </w:r>
      <w:r>
        <w:rPr>
          <w:spacing w:val="26"/>
        </w:rPr>
        <w:t> </w:t>
      </w:r>
      <w:r>
        <w:rPr/>
        <w:t>areas</w:t>
      </w:r>
      <w:r>
        <w:rPr>
          <w:spacing w:val="27"/>
        </w:rPr>
        <w:t> </w:t>
      </w:r>
      <w:r>
        <w:rPr/>
        <w:t>of</w:t>
      </w:r>
    </w:p>
    <w:p>
      <w:pPr>
        <w:spacing w:after="0" w:line="276" w:lineRule="auto"/>
        <w:jc w:val="both"/>
        <w:sectPr>
          <w:headerReference w:type="default" r:id="rId697"/>
          <w:footerReference w:type="default" r:id="rId698"/>
          <w:pgSz w:w="12240" w:h="15840"/>
          <w:pgMar w:header="771" w:footer="1427" w:top="980" w:bottom="1620" w:left="960" w:right="1100"/>
          <w:pgNumType w:start="241"/>
        </w:sectPr>
      </w:pPr>
    </w:p>
    <w:p>
      <w:pPr>
        <w:pStyle w:val="BodyText"/>
        <w:spacing w:line="276" w:lineRule="auto" w:before="99"/>
        <w:ind w:left="483" w:right="343"/>
        <w:jc w:val="both"/>
      </w:pPr>
      <w:r>
        <w:rPr/>
        <w:t>improvement, and create work plans for state agencies to work on internally. The Commission advises that</w:t>
      </w:r>
      <w:r>
        <w:rPr>
          <w:spacing w:val="-12"/>
        </w:rPr>
        <w:t> </w:t>
      </w:r>
      <w:r>
        <w:rPr/>
        <w:t>a</w:t>
      </w:r>
      <w:r>
        <w:rPr>
          <w:spacing w:val="-11"/>
        </w:rPr>
        <w:t> </w:t>
      </w:r>
      <w:r>
        <w:rPr/>
        <w:t>priority</w:t>
      </w:r>
      <w:r>
        <w:rPr>
          <w:spacing w:val="-12"/>
        </w:rPr>
        <w:t> </w:t>
      </w:r>
      <w:r>
        <w:rPr/>
        <w:t>of</w:t>
      </w:r>
      <w:r>
        <w:rPr>
          <w:spacing w:val="-11"/>
        </w:rPr>
        <w:t> </w:t>
      </w:r>
      <w:r>
        <w:rPr/>
        <w:t>the</w:t>
      </w:r>
      <w:r>
        <w:rPr>
          <w:spacing w:val="-10"/>
        </w:rPr>
        <w:t> </w:t>
      </w:r>
      <w:r>
        <w:rPr/>
        <w:t>task</w:t>
      </w:r>
      <w:r>
        <w:rPr>
          <w:spacing w:val="-12"/>
        </w:rPr>
        <w:t> </w:t>
      </w:r>
      <w:r>
        <w:rPr/>
        <w:t>force</w:t>
      </w:r>
      <w:r>
        <w:rPr>
          <w:spacing w:val="-11"/>
        </w:rPr>
        <w:t> </w:t>
      </w:r>
      <w:r>
        <w:rPr/>
        <w:t>-</w:t>
      </w:r>
      <w:r>
        <w:rPr>
          <w:spacing w:val="-11"/>
        </w:rPr>
        <w:t> </w:t>
      </w:r>
      <w:r>
        <w:rPr/>
        <w:t>or</w:t>
      </w:r>
      <w:r>
        <w:rPr>
          <w:spacing w:val="-11"/>
        </w:rPr>
        <w:t> </w:t>
      </w:r>
      <w:r>
        <w:rPr/>
        <w:t>state</w:t>
      </w:r>
      <w:r>
        <w:rPr>
          <w:spacing w:val="-9"/>
        </w:rPr>
        <w:t> </w:t>
      </w:r>
      <w:r>
        <w:rPr/>
        <w:t>agencies</w:t>
      </w:r>
      <w:r>
        <w:rPr>
          <w:spacing w:val="-10"/>
        </w:rPr>
        <w:t> </w:t>
      </w:r>
      <w:r>
        <w:rPr/>
        <w:t>-</w:t>
      </w:r>
      <w:r>
        <w:rPr>
          <w:spacing w:val="-12"/>
        </w:rPr>
        <w:t> </w:t>
      </w:r>
      <w:r>
        <w:rPr/>
        <w:t>should</w:t>
      </w:r>
      <w:r>
        <w:rPr>
          <w:spacing w:val="-12"/>
        </w:rPr>
        <w:t> </w:t>
      </w:r>
      <w:r>
        <w:rPr/>
        <w:t>be</w:t>
      </w:r>
      <w:r>
        <w:rPr>
          <w:spacing w:val="-10"/>
        </w:rPr>
        <w:t> </w:t>
      </w:r>
      <w:r>
        <w:rPr/>
        <w:t>to</w:t>
      </w:r>
      <w:r>
        <w:rPr>
          <w:spacing w:val="-10"/>
        </w:rPr>
        <w:t> </w:t>
      </w:r>
      <w:r>
        <w:rPr/>
        <w:t>collaborate</w:t>
      </w:r>
      <w:r>
        <w:rPr>
          <w:spacing w:val="-13"/>
        </w:rPr>
        <w:t> </w:t>
      </w:r>
      <w:r>
        <w:rPr/>
        <w:t>on</w:t>
      </w:r>
      <w:r>
        <w:rPr>
          <w:spacing w:val="-10"/>
        </w:rPr>
        <w:t> </w:t>
      </w:r>
      <w:r>
        <w:rPr/>
        <w:t>the</w:t>
      </w:r>
      <w:r>
        <w:rPr>
          <w:spacing w:val="-13"/>
        </w:rPr>
        <w:t> </w:t>
      </w:r>
      <w:r>
        <w:rPr/>
        <w:t>development</w:t>
      </w:r>
      <w:r>
        <w:rPr>
          <w:spacing w:val="-11"/>
        </w:rPr>
        <w:t> </w:t>
      </w:r>
      <w:r>
        <w:rPr/>
        <w:t>or</w:t>
      </w:r>
      <w:r>
        <w:rPr>
          <w:spacing w:val="-11"/>
        </w:rPr>
        <w:t> </w:t>
      </w:r>
      <w:r>
        <w:rPr/>
        <w:t>review of data standards to better standardize, offer feedback, and overall improve data collection to allow for cross-agency analysis, and</w:t>
      </w:r>
      <w:r>
        <w:rPr>
          <w:spacing w:val="-1"/>
        </w:rPr>
        <w:t> </w:t>
      </w:r>
      <w:r>
        <w:rPr/>
        <w:t>identify gaps in</w:t>
      </w:r>
      <w:r>
        <w:rPr>
          <w:spacing w:val="-1"/>
        </w:rPr>
        <w:t> </w:t>
      </w:r>
      <w:r>
        <w:rPr/>
        <w:t>data collection.</w:t>
      </w:r>
      <w:r>
        <w:rPr>
          <w:spacing w:val="-1"/>
        </w:rPr>
        <w:t> </w:t>
      </w:r>
      <w:r>
        <w:rPr/>
        <w:t>As the</w:t>
      </w:r>
      <w:r>
        <w:rPr>
          <w:spacing w:val="-1"/>
        </w:rPr>
        <w:t> </w:t>
      </w:r>
      <w:r>
        <w:rPr/>
        <w:t>Commission</w:t>
      </w:r>
      <w:r>
        <w:rPr>
          <w:spacing w:val="-1"/>
        </w:rPr>
        <w:t> </w:t>
      </w:r>
      <w:r>
        <w:rPr/>
        <w:t>has noted</w:t>
      </w:r>
      <w:r>
        <w:rPr>
          <w:spacing w:val="-1"/>
        </w:rPr>
        <w:t> </w:t>
      </w:r>
      <w:r>
        <w:rPr/>
        <w:t>throughout this annual</w:t>
      </w:r>
      <w:r>
        <w:rPr>
          <w:spacing w:val="-6"/>
        </w:rPr>
        <w:t> </w:t>
      </w:r>
      <w:r>
        <w:rPr/>
        <w:t>report,</w:t>
      </w:r>
      <w:r>
        <w:rPr>
          <w:spacing w:val="-7"/>
        </w:rPr>
        <w:t> </w:t>
      </w:r>
      <w:r>
        <w:rPr/>
        <w:t>there</w:t>
      </w:r>
      <w:r>
        <w:rPr>
          <w:spacing w:val="-6"/>
        </w:rPr>
        <w:t> </w:t>
      </w:r>
      <w:r>
        <w:rPr/>
        <w:t>are</w:t>
      </w:r>
      <w:r>
        <w:rPr>
          <w:spacing w:val="-8"/>
        </w:rPr>
        <w:t> </w:t>
      </w:r>
      <w:r>
        <w:rPr/>
        <w:t>several</w:t>
      </w:r>
      <w:r>
        <w:rPr>
          <w:spacing w:val="-7"/>
        </w:rPr>
        <w:t> </w:t>
      </w:r>
      <w:r>
        <w:rPr/>
        <w:t>critical</w:t>
      </w:r>
      <w:r>
        <w:rPr>
          <w:spacing w:val="-5"/>
        </w:rPr>
        <w:t> </w:t>
      </w:r>
      <w:r>
        <w:rPr/>
        <w:t>areas</w:t>
      </w:r>
      <w:r>
        <w:rPr>
          <w:spacing w:val="-7"/>
        </w:rPr>
        <w:t> </w:t>
      </w:r>
      <w:r>
        <w:rPr/>
        <w:t>of</w:t>
      </w:r>
      <w:r>
        <w:rPr>
          <w:spacing w:val="-7"/>
        </w:rPr>
        <w:t> </w:t>
      </w:r>
      <w:r>
        <w:rPr/>
        <w:t>missing</w:t>
      </w:r>
      <w:r>
        <w:rPr>
          <w:spacing w:val="-6"/>
        </w:rPr>
        <w:t> </w:t>
      </w:r>
      <w:r>
        <w:rPr/>
        <w:t>data,</w:t>
      </w:r>
      <w:r>
        <w:rPr>
          <w:spacing w:val="-7"/>
        </w:rPr>
        <w:t> </w:t>
      </w:r>
      <w:r>
        <w:rPr/>
        <w:t>including</w:t>
      </w:r>
      <w:r>
        <w:rPr>
          <w:spacing w:val="-7"/>
        </w:rPr>
        <w:t> </w:t>
      </w:r>
      <w:r>
        <w:rPr/>
        <w:t>on</w:t>
      </w:r>
      <w:r>
        <w:rPr>
          <w:spacing w:val="-8"/>
        </w:rPr>
        <w:t> </w:t>
      </w:r>
      <w:r>
        <w:rPr/>
        <w:t>LGBTQ</w:t>
      </w:r>
      <w:r>
        <w:rPr>
          <w:spacing w:val="-9"/>
        </w:rPr>
        <w:t> </w:t>
      </w:r>
      <w:r>
        <w:rPr/>
        <w:t>foreign-born</w:t>
      </w:r>
      <w:r>
        <w:rPr>
          <w:spacing w:val="-9"/>
        </w:rPr>
        <w:t> </w:t>
      </w:r>
      <w:r>
        <w:rPr/>
        <w:t>youth</w:t>
      </w:r>
      <w:r>
        <w:rPr>
          <w:spacing w:val="-7"/>
        </w:rPr>
        <w:t> </w:t>
      </w:r>
      <w:r>
        <w:rPr/>
        <w:t>and LGBTQ pregnancy care.</w:t>
      </w:r>
    </w:p>
    <w:p>
      <w:pPr>
        <w:pStyle w:val="BodyText"/>
        <w:spacing w:line="276" w:lineRule="auto" w:before="239"/>
        <w:ind w:left="484" w:right="342" w:hanging="1"/>
        <w:jc w:val="both"/>
      </w:pPr>
      <w:r>
        <w:rPr/>
        <w:t>The</w:t>
      </w:r>
      <w:r>
        <w:rPr>
          <w:spacing w:val="-3"/>
        </w:rPr>
        <w:t> </w:t>
      </w:r>
      <w:r>
        <w:rPr/>
        <w:t>Commission</w:t>
      </w:r>
      <w:r>
        <w:rPr>
          <w:spacing w:val="-4"/>
        </w:rPr>
        <w:t> </w:t>
      </w:r>
      <w:r>
        <w:rPr/>
        <w:t>attends</w:t>
      </w:r>
      <w:r>
        <w:rPr>
          <w:spacing w:val="-2"/>
        </w:rPr>
        <w:t> </w:t>
      </w:r>
      <w:r>
        <w:rPr/>
        <w:t>a</w:t>
      </w:r>
      <w:r>
        <w:rPr>
          <w:spacing w:val="-2"/>
        </w:rPr>
        <w:t> </w:t>
      </w:r>
      <w:r>
        <w:rPr/>
        <w:t>quarterly</w:t>
      </w:r>
      <w:r>
        <w:rPr>
          <w:spacing w:val="-1"/>
        </w:rPr>
        <w:t> </w:t>
      </w:r>
      <w:r>
        <w:rPr/>
        <w:t>EOHHS</w:t>
      </w:r>
      <w:r>
        <w:rPr>
          <w:spacing w:val="-4"/>
        </w:rPr>
        <w:t> </w:t>
      </w:r>
      <w:r>
        <w:rPr/>
        <w:t>Interagency</w:t>
      </w:r>
      <w:r>
        <w:rPr>
          <w:spacing w:val="-2"/>
        </w:rPr>
        <w:t> </w:t>
      </w:r>
      <w:r>
        <w:rPr/>
        <w:t>Working</w:t>
      </w:r>
      <w:r>
        <w:rPr>
          <w:spacing w:val="-3"/>
        </w:rPr>
        <w:t> </w:t>
      </w:r>
      <w:r>
        <w:rPr/>
        <w:t>Group</w:t>
      </w:r>
      <w:r>
        <w:rPr>
          <w:spacing w:val="-4"/>
        </w:rPr>
        <w:t> </w:t>
      </w:r>
      <w:r>
        <w:rPr/>
        <w:t>which</w:t>
      </w:r>
      <w:r>
        <w:rPr>
          <w:spacing w:val="-3"/>
        </w:rPr>
        <w:t> </w:t>
      </w:r>
      <w:r>
        <w:rPr/>
        <w:t>works</w:t>
      </w:r>
      <w:r>
        <w:rPr>
          <w:spacing w:val="-3"/>
        </w:rPr>
        <w:t> </w:t>
      </w:r>
      <w:r>
        <w:rPr/>
        <w:t>to</w:t>
      </w:r>
      <w:r>
        <w:rPr>
          <w:spacing w:val="-2"/>
        </w:rPr>
        <w:t> </w:t>
      </w:r>
      <w:r>
        <w:rPr/>
        <w:t>provide</w:t>
      </w:r>
      <w:r>
        <w:rPr>
          <w:spacing w:val="-3"/>
        </w:rPr>
        <w:t> </w:t>
      </w:r>
      <w:r>
        <w:rPr/>
        <w:t>updates on progress towards the Commission’s recommendations and identifies problems and solutions collaboratively. The Commission advises that a much larger cross-secretariat semi-annual meeting could occur with more state agencies to better identify systemic barriers and administrative (or legislative) solutions, including for data collection.</w:t>
      </w:r>
    </w:p>
    <w:p>
      <w:pPr>
        <w:numPr>
          <w:ilvl w:val="0"/>
          <w:numId w:val="30"/>
        </w:numPr>
        <w:tabs>
          <w:tab w:pos="482" w:val="left" w:leader="none"/>
          <w:tab w:pos="484" w:val="left" w:leader="none"/>
        </w:tabs>
        <w:spacing w:line="276" w:lineRule="auto" w:before="241"/>
        <w:ind w:left="484" w:right="340" w:hanging="360"/>
        <w:jc w:val="left"/>
        <w:rPr>
          <w:b/>
          <w:sz w:val="22"/>
        </w:rPr>
      </w:pPr>
      <w:bookmarkStart w:name="2. Mandate that all state agencies devel" w:id="921"/>
      <w:bookmarkEnd w:id="921"/>
      <w:r>
        <w:rPr>
          <w:b/>
          <w:sz w:val="22"/>
        </w:rPr>
        <w:t>M</w:t>
      </w:r>
      <w:r>
        <w:rPr>
          <w:b/>
          <w:sz w:val="22"/>
        </w:rPr>
        <w:t>andate that all state agencies develop a nondiscrimination policy, and a plan to review all relevant internal policies to ensure LGBTQ-inclusivity.</w:t>
      </w:r>
    </w:p>
    <w:p>
      <w:pPr>
        <w:pStyle w:val="BodyText"/>
        <w:spacing w:line="276" w:lineRule="auto" w:before="240"/>
        <w:ind w:left="483" w:right="342" w:firstLine="1"/>
        <w:jc w:val="both"/>
      </w:pPr>
      <w:r>
        <w:rPr/>
        <w:t>As historically discussed, as well as through several of this year’s FY 2024 agency recommendations, the Commission</w:t>
      </w:r>
      <w:r>
        <w:rPr>
          <w:spacing w:val="-7"/>
        </w:rPr>
        <w:t> </w:t>
      </w:r>
      <w:r>
        <w:rPr/>
        <w:t>advises</w:t>
      </w:r>
      <w:r>
        <w:rPr>
          <w:spacing w:val="-6"/>
        </w:rPr>
        <w:t> </w:t>
      </w:r>
      <w:r>
        <w:rPr/>
        <w:t>that</w:t>
      </w:r>
      <w:r>
        <w:rPr>
          <w:spacing w:val="-7"/>
        </w:rPr>
        <w:t> </w:t>
      </w:r>
      <w:r>
        <w:rPr/>
        <w:t>all</w:t>
      </w:r>
      <w:r>
        <w:rPr>
          <w:spacing w:val="-7"/>
        </w:rPr>
        <w:t> </w:t>
      </w:r>
      <w:r>
        <w:rPr/>
        <w:t>agencies</w:t>
      </w:r>
      <w:r>
        <w:rPr>
          <w:spacing w:val="-7"/>
        </w:rPr>
        <w:t> </w:t>
      </w:r>
      <w:r>
        <w:rPr/>
        <w:t>have</w:t>
      </w:r>
      <w:r>
        <w:rPr>
          <w:spacing w:val="-6"/>
        </w:rPr>
        <w:t> </w:t>
      </w:r>
      <w:r>
        <w:rPr/>
        <w:t>an</w:t>
      </w:r>
      <w:r>
        <w:rPr>
          <w:spacing w:val="-9"/>
        </w:rPr>
        <w:t> </w:t>
      </w:r>
      <w:r>
        <w:rPr/>
        <w:t>explicit</w:t>
      </w:r>
      <w:r>
        <w:rPr>
          <w:spacing w:val="-7"/>
        </w:rPr>
        <w:t> </w:t>
      </w:r>
      <w:r>
        <w:rPr/>
        <w:t>nondiscrimination</w:t>
      </w:r>
      <w:r>
        <w:rPr>
          <w:spacing w:val="-8"/>
        </w:rPr>
        <w:t> </w:t>
      </w:r>
      <w:r>
        <w:rPr/>
        <w:t>policy</w:t>
      </w:r>
      <w:r>
        <w:rPr>
          <w:spacing w:val="-6"/>
        </w:rPr>
        <w:t> </w:t>
      </w:r>
      <w:r>
        <w:rPr/>
        <w:t>that</w:t>
      </w:r>
      <w:r>
        <w:rPr>
          <w:spacing w:val="-7"/>
        </w:rPr>
        <w:t> </w:t>
      </w:r>
      <w:r>
        <w:rPr/>
        <w:t>is</w:t>
      </w:r>
      <w:r>
        <w:rPr>
          <w:spacing w:val="-6"/>
        </w:rPr>
        <w:t> </w:t>
      </w:r>
      <w:r>
        <w:rPr/>
        <w:t>publicly</w:t>
      </w:r>
      <w:r>
        <w:rPr>
          <w:spacing w:val="-5"/>
        </w:rPr>
        <w:t> </w:t>
      </w:r>
      <w:r>
        <w:rPr/>
        <w:t>available</w:t>
      </w:r>
      <w:r>
        <w:rPr>
          <w:spacing w:val="-7"/>
        </w:rPr>
        <w:t> </w:t>
      </w:r>
      <w:r>
        <w:rPr/>
        <w:t>to indicate the agency’s commitment to supporting its LGBTQ clients, employees, and contractors. The Commission supports </w:t>
      </w:r>
      <w:r>
        <w:rPr>
          <w:i/>
        </w:rPr>
        <w:t>An Act Relative to Nondiscrimination </w:t>
      </w:r>
      <w:r>
        <w:rPr/>
        <w:t>(</w:t>
      </w:r>
      <w:hyperlink r:id="rId699">
        <w:r>
          <w:rPr>
            <w:u w:val="single" w:color="1153CC"/>
          </w:rPr>
          <w:t>S.1160</w:t>
        </w:r>
      </w:hyperlink>
      <w:r>
        <w:rPr>
          <w:u w:val="none"/>
        </w:rPr>
        <w:t>), which would require all state agencies</w:t>
      </w:r>
      <w:r>
        <w:rPr>
          <w:spacing w:val="-6"/>
          <w:u w:val="none"/>
        </w:rPr>
        <w:t> </w:t>
      </w:r>
      <w:r>
        <w:rPr>
          <w:u w:val="none"/>
        </w:rPr>
        <w:t>to</w:t>
      </w:r>
      <w:r>
        <w:rPr>
          <w:spacing w:val="-6"/>
          <w:u w:val="none"/>
        </w:rPr>
        <w:t> </w:t>
      </w:r>
      <w:r>
        <w:rPr>
          <w:u w:val="none"/>
        </w:rPr>
        <w:t>develop</w:t>
      </w:r>
      <w:r>
        <w:rPr>
          <w:spacing w:val="-6"/>
          <w:u w:val="none"/>
        </w:rPr>
        <w:t> </w:t>
      </w:r>
      <w:r>
        <w:rPr>
          <w:u w:val="none"/>
        </w:rPr>
        <w:t>and</w:t>
      </w:r>
      <w:r>
        <w:rPr>
          <w:spacing w:val="-8"/>
          <w:u w:val="none"/>
        </w:rPr>
        <w:t> </w:t>
      </w:r>
      <w:r>
        <w:rPr>
          <w:u w:val="none"/>
        </w:rPr>
        <w:t>implement</w:t>
      </w:r>
      <w:r>
        <w:rPr>
          <w:spacing w:val="-6"/>
          <w:u w:val="none"/>
        </w:rPr>
        <w:t> </w:t>
      </w:r>
      <w:r>
        <w:rPr>
          <w:u w:val="none"/>
        </w:rPr>
        <w:t>a</w:t>
      </w:r>
      <w:r>
        <w:rPr>
          <w:spacing w:val="-6"/>
          <w:u w:val="none"/>
        </w:rPr>
        <w:t> </w:t>
      </w:r>
      <w:r>
        <w:rPr>
          <w:u w:val="none"/>
        </w:rPr>
        <w:t>plan</w:t>
      </w:r>
      <w:r>
        <w:rPr>
          <w:spacing w:val="-6"/>
          <w:u w:val="none"/>
        </w:rPr>
        <w:t> </w:t>
      </w:r>
      <w:r>
        <w:rPr>
          <w:u w:val="none"/>
        </w:rPr>
        <w:t>to</w:t>
      </w:r>
      <w:r>
        <w:rPr>
          <w:spacing w:val="-6"/>
          <w:u w:val="none"/>
        </w:rPr>
        <w:t> </w:t>
      </w:r>
      <w:r>
        <w:rPr>
          <w:u w:val="none"/>
        </w:rPr>
        <w:t>create</w:t>
      </w:r>
      <w:r>
        <w:rPr>
          <w:spacing w:val="-7"/>
          <w:u w:val="none"/>
        </w:rPr>
        <w:t> </w:t>
      </w:r>
      <w:r>
        <w:rPr>
          <w:u w:val="none"/>
        </w:rPr>
        <w:t>a</w:t>
      </w:r>
      <w:r>
        <w:rPr>
          <w:spacing w:val="-6"/>
          <w:u w:val="none"/>
        </w:rPr>
        <w:t> </w:t>
      </w:r>
      <w:r>
        <w:rPr>
          <w:u w:val="none"/>
        </w:rPr>
        <w:t>nondiscrimination</w:t>
      </w:r>
      <w:r>
        <w:rPr>
          <w:spacing w:val="-6"/>
          <w:u w:val="none"/>
        </w:rPr>
        <w:t> </w:t>
      </w:r>
      <w:r>
        <w:rPr>
          <w:u w:val="none"/>
        </w:rPr>
        <w:t>policy,</w:t>
      </w:r>
      <w:r>
        <w:rPr>
          <w:spacing w:val="-6"/>
          <w:u w:val="none"/>
        </w:rPr>
        <w:t> </w:t>
      </w:r>
      <w:r>
        <w:rPr>
          <w:u w:val="none"/>
        </w:rPr>
        <w:t>as</w:t>
      </w:r>
      <w:r>
        <w:rPr>
          <w:spacing w:val="-6"/>
          <w:u w:val="none"/>
        </w:rPr>
        <w:t> </w:t>
      </w:r>
      <w:r>
        <w:rPr>
          <w:u w:val="none"/>
        </w:rPr>
        <w:t>well</w:t>
      </w:r>
      <w:r>
        <w:rPr>
          <w:spacing w:val="-6"/>
          <w:u w:val="none"/>
        </w:rPr>
        <w:t> </w:t>
      </w:r>
      <w:r>
        <w:rPr>
          <w:u w:val="none"/>
        </w:rPr>
        <w:t>as</w:t>
      </w:r>
      <w:r>
        <w:rPr>
          <w:spacing w:val="-6"/>
          <w:u w:val="none"/>
        </w:rPr>
        <w:t> </w:t>
      </w:r>
      <w:r>
        <w:rPr>
          <w:u w:val="none"/>
        </w:rPr>
        <w:t>a</w:t>
      </w:r>
      <w:r>
        <w:rPr>
          <w:spacing w:val="-6"/>
          <w:u w:val="none"/>
        </w:rPr>
        <w:t> </w:t>
      </w:r>
      <w:r>
        <w:rPr>
          <w:u w:val="none"/>
        </w:rPr>
        <w:t>plan</w:t>
      </w:r>
      <w:r>
        <w:rPr>
          <w:spacing w:val="-8"/>
          <w:u w:val="none"/>
        </w:rPr>
        <w:t> </w:t>
      </w:r>
      <w:r>
        <w:rPr>
          <w:u w:val="none"/>
        </w:rPr>
        <w:t>detailing recourse</w:t>
      </w:r>
      <w:r>
        <w:rPr>
          <w:spacing w:val="-13"/>
          <w:u w:val="none"/>
        </w:rPr>
        <w:t> </w:t>
      </w:r>
      <w:r>
        <w:rPr>
          <w:u w:val="none"/>
        </w:rPr>
        <w:t>in</w:t>
      </w:r>
      <w:r>
        <w:rPr>
          <w:spacing w:val="-12"/>
          <w:u w:val="none"/>
        </w:rPr>
        <w:t> </w:t>
      </w:r>
      <w:r>
        <w:rPr>
          <w:u w:val="none"/>
        </w:rPr>
        <w:t>the</w:t>
      </w:r>
      <w:r>
        <w:rPr>
          <w:spacing w:val="-13"/>
          <w:u w:val="none"/>
        </w:rPr>
        <w:t> </w:t>
      </w:r>
      <w:r>
        <w:rPr>
          <w:u w:val="none"/>
        </w:rPr>
        <w:t>case</w:t>
      </w:r>
      <w:r>
        <w:rPr>
          <w:spacing w:val="-12"/>
          <w:u w:val="none"/>
        </w:rPr>
        <w:t> </w:t>
      </w:r>
      <w:r>
        <w:rPr>
          <w:u w:val="none"/>
        </w:rPr>
        <w:t>of</w:t>
      </w:r>
      <w:r>
        <w:rPr>
          <w:spacing w:val="-13"/>
          <w:u w:val="none"/>
        </w:rPr>
        <w:t> </w:t>
      </w:r>
      <w:r>
        <w:rPr>
          <w:u w:val="none"/>
        </w:rPr>
        <w:t>discrimination</w:t>
      </w:r>
      <w:r>
        <w:rPr>
          <w:spacing w:val="-12"/>
          <w:u w:val="none"/>
        </w:rPr>
        <w:t> </w:t>
      </w:r>
      <w:r>
        <w:rPr>
          <w:u w:val="none"/>
        </w:rPr>
        <w:t>and</w:t>
      </w:r>
      <w:r>
        <w:rPr>
          <w:spacing w:val="-13"/>
          <w:u w:val="none"/>
        </w:rPr>
        <w:t> </w:t>
      </w:r>
      <w:r>
        <w:rPr>
          <w:u w:val="none"/>
        </w:rPr>
        <w:t>timelines</w:t>
      </w:r>
      <w:r>
        <w:rPr>
          <w:spacing w:val="-12"/>
          <w:u w:val="none"/>
        </w:rPr>
        <w:t> </w:t>
      </w:r>
      <w:r>
        <w:rPr>
          <w:u w:val="none"/>
        </w:rPr>
        <w:t>for</w:t>
      </w:r>
      <w:r>
        <w:rPr>
          <w:spacing w:val="-12"/>
          <w:u w:val="none"/>
        </w:rPr>
        <w:t> </w:t>
      </w:r>
      <w:r>
        <w:rPr>
          <w:u w:val="none"/>
        </w:rPr>
        <w:t>personnel</w:t>
      </w:r>
      <w:r>
        <w:rPr>
          <w:spacing w:val="-13"/>
          <w:u w:val="none"/>
        </w:rPr>
        <w:t> </w:t>
      </w:r>
      <w:r>
        <w:rPr>
          <w:u w:val="none"/>
        </w:rPr>
        <w:t>training</w:t>
      </w:r>
      <w:r>
        <w:rPr>
          <w:spacing w:val="-12"/>
          <w:u w:val="none"/>
        </w:rPr>
        <w:t> </w:t>
      </w:r>
      <w:r>
        <w:rPr>
          <w:u w:val="none"/>
        </w:rPr>
        <w:t>on</w:t>
      </w:r>
      <w:r>
        <w:rPr>
          <w:spacing w:val="-12"/>
          <w:u w:val="none"/>
        </w:rPr>
        <w:t> </w:t>
      </w:r>
      <w:r>
        <w:rPr>
          <w:u w:val="none"/>
        </w:rPr>
        <w:t>nondiscrimination</w:t>
      </w:r>
      <w:r>
        <w:rPr>
          <w:spacing w:val="-13"/>
          <w:u w:val="none"/>
        </w:rPr>
        <w:t> </w:t>
      </w:r>
      <w:r>
        <w:rPr>
          <w:u w:val="none"/>
        </w:rPr>
        <w:t>and</w:t>
      </w:r>
      <w:r>
        <w:rPr>
          <w:spacing w:val="-12"/>
          <w:u w:val="none"/>
        </w:rPr>
        <w:t> </w:t>
      </w:r>
      <w:r>
        <w:rPr>
          <w:u w:val="none"/>
        </w:rPr>
        <w:t>equal </w:t>
      </w:r>
      <w:r>
        <w:rPr>
          <w:spacing w:val="-2"/>
          <w:u w:val="none"/>
        </w:rPr>
        <w:t>access.</w:t>
      </w:r>
    </w:p>
    <w:p>
      <w:pPr>
        <w:numPr>
          <w:ilvl w:val="0"/>
          <w:numId w:val="30"/>
        </w:numPr>
        <w:tabs>
          <w:tab w:pos="481" w:val="left" w:leader="none"/>
        </w:tabs>
        <w:spacing w:before="240"/>
        <w:ind w:left="481" w:right="0" w:hanging="358"/>
        <w:jc w:val="left"/>
        <w:rPr>
          <w:b/>
          <w:sz w:val="22"/>
        </w:rPr>
      </w:pPr>
      <w:bookmarkStart w:name="3. Ensure that all agencies are providin" w:id="922"/>
      <w:bookmarkEnd w:id="922"/>
      <w:r>
        <w:rPr>
          <w:b/>
          <w:sz w:val="22"/>
        </w:rPr>
        <w:t>E</w:t>
      </w:r>
      <w:r>
        <w:rPr>
          <w:b/>
          <w:sz w:val="22"/>
        </w:rPr>
        <w:t>nsure</w:t>
      </w:r>
      <w:r>
        <w:rPr>
          <w:b/>
          <w:spacing w:val="-9"/>
          <w:sz w:val="22"/>
        </w:rPr>
        <w:t> </w:t>
      </w:r>
      <w:r>
        <w:rPr>
          <w:b/>
          <w:sz w:val="22"/>
        </w:rPr>
        <w:t>that</w:t>
      </w:r>
      <w:r>
        <w:rPr>
          <w:b/>
          <w:spacing w:val="-9"/>
          <w:sz w:val="22"/>
        </w:rPr>
        <w:t> </w:t>
      </w:r>
      <w:r>
        <w:rPr>
          <w:b/>
          <w:sz w:val="22"/>
        </w:rPr>
        <w:t>all</w:t>
      </w:r>
      <w:r>
        <w:rPr>
          <w:b/>
          <w:spacing w:val="-9"/>
          <w:sz w:val="22"/>
        </w:rPr>
        <w:t> </w:t>
      </w:r>
      <w:r>
        <w:rPr>
          <w:b/>
          <w:sz w:val="22"/>
        </w:rPr>
        <w:t>agencies</w:t>
      </w:r>
      <w:r>
        <w:rPr>
          <w:b/>
          <w:spacing w:val="-9"/>
          <w:sz w:val="22"/>
        </w:rPr>
        <w:t> </w:t>
      </w:r>
      <w:r>
        <w:rPr>
          <w:b/>
          <w:sz w:val="22"/>
        </w:rPr>
        <w:t>are</w:t>
      </w:r>
      <w:r>
        <w:rPr>
          <w:b/>
          <w:spacing w:val="-10"/>
          <w:sz w:val="22"/>
        </w:rPr>
        <w:t> </w:t>
      </w:r>
      <w:r>
        <w:rPr>
          <w:b/>
          <w:sz w:val="22"/>
        </w:rPr>
        <w:t>providing</w:t>
      </w:r>
      <w:r>
        <w:rPr>
          <w:b/>
          <w:spacing w:val="-7"/>
          <w:sz w:val="22"/>
        </w:rPr>
        <w:t> </w:t>
      </w:r>
      <w:r>
        <w:rPr>
          <w:b/>
          <w:sz w:val="22"/>
        </w:rPr>
        <w:t>mandated</w:t>
      </w:r>
      <w:r>
        <w:rPr>
          <w:b/>
          <w:spacing w:val="-8"/>
          <w:sz w:val="22"/>
        </w:rPr>
        <w:t> </w:t>
      </w:r>
      <w:r>
        <w:rPr>
          <w:b/>
          <w:sz w:val="22"/>
        </w:rPr>
        <w:t>LGBTQ</w:t>
      </w:r>
      <w:r>
        <w:rPr>
          <w:b/>
          <w:spacing w:val="-9"/>
          <w:sz w:val="22"/>
        </w:rPr>
        <w:t> </w:t>
      </w:r>
      <w:r>
        <w:rPr>
          <w:b/>
          <w:sz w:val="22"/>
        </w:rPr>
        <w:t>cultural</w:t>
      </w:r>
      <w:r>
        <w:rPr>
          <w:b/>
          <w:spacing w:val="-8"/>
          <w:sz w:val="22"/>
        </w:rPr>
        <w:t> </w:t>
      </w:r>
      <w:r>
        <w:rPr>
          <w:b/>
          <w:sz w:val="22"/>
        </w:rPr>
        <w:t>awareness</w:t>
      </w:r>
      <w:r>
        <w:rPr>
          <w:b/>
          <w:spacing w:val="-8"/>
          <w:sz w:val="22"/>
        </w:rPr>
        <w:t> </w:t>
      </w:r>
      <w:r>
        <w:rPr>
          <w:b/>
          <w:spacing w:val="-2"/>
          <w:sz w:val="22"/>
        </w:rPr>
        <w:t>trainings.</w:t>
      </w:r>
    </w:p>
    <w:p>
      <w:pPr>
        <w:pStyle w:val="BodyText"/>
        <w:spacing w:before="12"/>
        <w:rPr>
          <w:b/>
        </w:rPr>
      </w:pPr>
    </w:p>
    <w:p>
      <w:pPr>
        <w:pStyle w:val="BodyText"/>
        <w:spacing w:line="276" w:lineRule="auto"/>
        <w:ind w:left="482" w:right="338"/>
        <w:jc w:val="both"/>
      </w:pPr>
      <w:r>
        <w:rPr/>
        <w:t>The Commission recommends that all agencies engage their employees and contracted providers in mandatory,</w:t>
      </w:r>
      <w:r>
        <w:rPr>
          <w:spacing w:val="-13"/>
        </w:rPr>
        <w:t> </w:t>
      </w:r>
      <w:r>
        <w:rPr/>
        <w:t>recurring,</w:t>
      </w:r>
      <w:r>
        <w:rPr>
          <w:spacing w:val="-12"/>
        </w:rPr>
        <w:t> </w:t>
      </w:r>
      <w:r>
        <w:rPr/>
        <w:t>and</w:t>
      </w:r>
      <w:r>
        <w:rPr>
          <w:spacing w:val="-13"/>
        </w:rPr>
        <w:t> </w:t>
      </w:r>
      <w:r>
        <w:rPr/>
        <w:t>in-person</w:t>
      </w:r>
      <w:r>
        <w:rPr>
          <w:spacing w:val="-12"/>
        </w:rPr>
        <w:t> </w:t>
      </w:r>
      <w:r>
        <w:rPr/>
        <w:t>LGBTQ</w:t>
      </w:r>
      <w:r>
        <w:rPr>
          <w:spacing w:val="-13"/>
        </w:rPr>
        <w:t> </w:t>
      </w:r>
      <w:r>
        <w:rPr/>
        <w:t>cultural</w:t>
      </w:r>
      <w:r>
        <w:rPr>
          <w:spacing w:val="-12"/>
        </w:rPr>
        <w:t> </w:t>
      </w:r>
      <w:r>
        <w:rPr/>
        <w:t>awareness</w:t>
      </w:r>
      <w:r>
        <w:rPr>
          <w:spacing w:val="-13"/>
        </w:rPr>
        <w:t> </w:t>
      </w:r>
      <w:r>
        <w:rPr/>
        <w:t>trainings.</w:t>
      </w:r>
      <w:r>
        <w:rPr>
          <w:spacing w:val="-12"/>
        </w:rPr>
        <w:t> </w:t>
      </w:r>
      <w:r>
        <w:rPr/>
        <w:t>The</w:t>
      </w:r>
      <w:r>
        <w:rPr>
          <w:spacing w:val="-12"/>
        </w:rPr>
        <w:t> </w:t>
      </w:r>
      <w:r>
        <w:rPr/>
        <w:t>Commission</w:t>
      </w:r>
      <w:r>
        <w:rPr>
          <w:spacing w:val="-13"/>
        </w:rPr>
        <w:t> </w:t>
      </w:r>
      <w:r>
        <w:rPr/>
        <w:t>appreciates</w:t>
      </w:r>
      <w:r>
        <w:rPr>
          <w:spacing w:val="-12"/>
        </w:rPr>
        <w:t> </w:t>
      </w:r>
      <w:r>
        <w:rPr/>
        <w:t>the additions of LGBTQ-inclusive practices in various statewide online training portals for onboarding and annual reviews and is excited to continue working with state agencies on further development of online curriculum units for state employees. However, extensive research has shown the benefits of recurring, scenario-based and in-person professional development opportunities particularly for direct service and client-facing providers. It is essential that state employees and contractors can deliver competent, equitable, and affirming services to LGBTQ clients and residents, and learn how to work professionally and</w:t>
      </w:r>
      <w:r>
        <w:rPr>
          <w:spacing w:val="-13"/>
        </w:rPr>
        <w:t> </w:t>
      </w:r>
      <w:r>
        <w:rPr/>
        <w:t>respectfully</w:t>
      </w:r>
      <w:r>
        <w:rPr>
          <w:spacing w:val="-12"/>
        </w:rPr>
        <w:t> </w:t>
      </w:r>
      <w:r>
        <w:rPr/>
        <w:t>with</w:t>
      </w:r>
      <w:r>
        <w:rPr>
          <w:spacing w:val="-13"/>
        </w:rPr>
        <w:t> </w:t>
      </w:r>
      <w:r>
        <w:rPr/>
        <w:t>LGBTQ</w:t>
      </w:r>
      <w:r>
        <w:rPr>
          <w:spacing w:val="-12"/>
        </w:rPr>
        <w:t> </w:t>
      </w:r>
      <w:r>
        <w:rPr/>
        <w:t>colleagues.</w:t>
      </w:r>
      <w:r>
        <w:rPr>
          <w:spacing w:val="-13"/>
        </w:rPr>
        <w:t> </w:t>
      </w:r>
      <w:r>
        <w:rPr/>
        <w:t>Additionally,</w:t>
      </w:r>
      <w:r>
        <w:rPr>
          <w:spacing w:val="-12"/>
        </w:rPr>
        <w:t> </w:t>
      </w:r>
      <w:r>
        <w:rPr/>
        <w:t>as</w:t>
      </w:r>
      <w:r>
        <w:rPr>
          <w:spacing w:val="-13"/>
        </w:rPr>
        <w:t> </w:t>
      </w:r>
      <w:r>
        <w:rPr/>
        <w:t>is</w:t>
      </w:r>
      <w:r>
        <w:rPr>
          <w:spacing w:val="-12"/>
        </w:rPr>
        <w:t> </w:t>
      </w:r>
      <w:r>
        <w:rPr/>
        <w:t>true</w:t>
      </w:r>
      <w:r>
        <w:rPr>
          <w:spacing w:val="-12"/>
        </w:rPr>
        <w:t> </w:t>
      </w:r>
      <w:r>
        <w:rPr/>
        <w:t>with</w:t>
      </w:r>
      <w:r>
        <w:rPr>
          <w:spacing w:val="-13"/>
        </w:rPr>
        <w:t> </w:t>
      </w:r>
      <w:r>
        <w:rPr/>
        <w:t>the</w:t>
      </w:r>
      <w:r>
        <w:rPr>
          <w:spacing w:val="-12"/>
        </w:rPr>
        <w:t> </w:t>
      </w:r>
      <w:r>
        <w:rPr/>
        <w:t>Commission’s</w:t>
      </w:r>
      <w:r>
        <w:rPr>
          <w:spacing w:val="-13"/>
        </w:rPr>
        <w:t> </w:t>
      </w:r>
      <w:r>
        <w:rPr/>
        <w:t>training</w:t>
      </w:r>
      <w:r>
        <w:rPr>
          <w:spacing w:val="-12"/>
        </w:rPr>
        <w:t> </w:t>
      </w:r>
      <w:r>
        <w:rPr/>
        <w:t>curriculum, training opportunities should center concepts of intersectionality and issues particular to QTBIPOC communities. The Commission believes that by uplifting the most marginalized youth among us, we can uplift all youth.</w:t>
      </w:r>
    </w:p>
    <w:p>
      <w:pPr>
        <w:pStyle w:val="BodyText"/>
        <w:spacing w:line="276" w:lineRule="auto" w:before="239"/>
        <w:ind w:left="483" w:right="343"/>
        <w:jc w:val="both"/>
      </w:pPr>
      <w:r>
        <w:rPr/>
        <w:t>While this year, the Commission’s FY 2025 recommendations covers 19 secretariats and state agencies, there are additional agencies that the Commission works with and has yet to issue recommendations to – or has in the past issued recommendations – but partners with on trainings. For example, for several years until FY 2025, the Commission issued specific recommendations to the Registry of Motor Vehicles</w:t>
      </w:r>
    </w:p>
    <w:p>
      <w:pPr>
        <w:spacing w:after="0" w:line="276" w:lineRule="auto"/>
        <w:jc w:val="both"/>
        <w:sectPr>
          <w:pgSz w:w="12240" w:h="15840"/>
          <w:pgMar w:header="771" w:footer="1427" w:top="980" w:bottom="1620" w:left="960" w:right="1100"/>
        </w:sectPr>
      </w:pPr>
    </w:p>
    <w:p>
      <w:pPr>
        <w:pStyle w:val="BodyText"/>
        <w:spacing w:line="276" w:lineRule="auto" w:before="99"/>
        <w:ind w:left="483" w:right="343"/>
        <w:jc w:val="both"/>
      </w:pPr>
      <w:r>
        <w:rPr/>
        <w:t>(RMV); the Commission has been pleased with RMV’s progress on its past recommendations, detailed out in previous iterations of this report. However, despite removing its agency section from this year’s report, the Commission continues to recommend that the RMV – and other state agencies working or serving Massachusetts youth – provide LGBTQ cultural trainings to their employees.</w:t>
      </w:r>
    </w:p>
    <w:p>
      <w:pPr>
        <w:pStyle w:val="BodyText"/>
        <w:spacing w:line="276" w:lineRule="auto" w:before="239"/>
        <w:ind w:left="483" w:right="342"/>
        <w:jc w:val="both"/>
      </w:pPr>
      <w:r>
        <w:rPr/>
        <w:t>For the last few years, the Commission has been grateful for the support and collaboration with the Executive Office of Health and Human Services (EOHHS) on the development and implementation of a statewide LGBTQ training curriculum. In November of 2022, the Commission and EOHHS officially launched</w:t>
      </w:r>
      <w:r>
        <w:rPr>
          <w:spacing w:val="-2"/>
        </w:rPr>
        <w:t> </w:t>
      </w:r>
      <w:r>
        <w:rPr/>
        <w:t>a</w:t>
      </w:r>
      <w:r>
        <w:rPr>
          <w:spacing w:val="-1"/>
        </w:rPr>
        <w:t> </w:t>
      </w:r>
      <w:r>
        <w:rPr/>
        <w:t>statewide</w:t>
      </w:r>
      <w:r>
        <w:rPr>
          <w:spacing w:val="-2"/>
        </w:rPr>
        <w:t> </w:t>
      </w:r>
      <w:r>
        <w:rPr/>
        <w:t>agency</w:t>
      </w:r>
      <w:r>
        <w:rPr>
          <w:spacing w:val="-3"/>
        </w:rPr>
        <w:t> </w:t>
      </w:r>
      <w:r>
        <w:rPr/>
        <w:t>training</w:t>
      </w:r>
      <w:r>
        <w:rPr>
          <w:spacing w:val="-2"/>
        </w:rPr>
        <w:t> </w:t>
      </w:r>
      <w:r>
        <w:rPr/>
        <w:t>request</w:t>
      </w:r>
      <w:r>
        <w:rPr>
          <w:spacing w:val="-3"/>
        </w:rPr>
        <w:t> </w:t>
      </w:r>
      <w:r>
        <w:rPr/>
        <w:t>system</w:t>
      </w:r>
      <w:r>
        <w:rPr>
          <w:spacing w:val="-1"/>
        </w:rPr>
        <w:t> </w:t>
      </w:r>
      <w:r>
        <w:rPr/>
        <w:t>and</w:t>
      </w:r>
      <w:r>
        <w:rPr>
          <w:spacing w:val="-2"/>
        </w:rPr>
        <w:t> </w:t>
      </w:r>
      <w:r>
        <w:rPr/>
        <w:t>have</w:t>
      </w:r>
      <w:r>
        <w:rPr>
          <w:spacing w:val="-3"/>
        </w:rPr>
        <w:t> </w:t>
      </w:r>
      <w:r>
        <w:rPr/>
        <w:t>launched</w:t>
      </w:r>
      <w:r>
        <w:rPr>
          <w:spacing w:val="-3"/>
        </w:rPr>
        <w:t> </w:t>
      </w:r>
      <w:r>
        <w:rPr/>
        <w:t>a</w:t>
      </w:r>
      <w:r>
        <w:rPr>
          <w:spacing w:val="-3"/>
        </w:rPr>
        <w:t> </w:t>
      </w:r>
      <w:r>
        <w:rPr/>
        <w:t>brand</w:t>
      </w:r>
      <w:r>
        <w:rPr>
          <w:spacing w:val="-4"/>
        </w:rPr>
        <w:t> </w:t>
      </w:r>
      <w:r>
        <w:rPr/>
        <w:t>new</w:t>
      </w:r>
      <w:r>
        <w:rPr>
          <w:spacing w:val="-2"/>
        </w:rPr>
        <w:t> </w:t>
      </w:r>
      <w:r>
        <w:rPr/>
        <w:t>series</w:t>
      </w:r>
      <w:r>
        <w:rPr>
          <w:spacing w:val="-1"/>
        </w:rPr>
        <w:t> </w:t>
      </w:r>
      <w:r>
        <w:rPr/>
        <w:t>of</w:t>
      </w:r>
      <w:r>
        <w:rPr>
          <w:spacing w:val="-4"/>
        </w:rPr>
        <w:t> </w:t>
      </w:r>
      <w:r>
        <w:rPr/>
        <w:t>train-the- trainer</w:t>
      </w:r>
      <w:r>
        <w:rPr>
          <w:spacing w:val="-9"/>
        </w:rPr>
        <w:t> </w:t>
      </w:r>
      <w:r>
        <w:rPr/>
        <w:t>sessions</w:t>
      </w:r>
      <w:r>
        <w:rPr>
          <w:spacing w:val="-8"/>
        </w:rPr>
        <w:t> </w:t>
      </w:r>
      <w:r>
        <w:rPr/>
        <w:t>to</w:t>
      </w:r>
      <w:r>
        <w:rPr>
          <w:spacing w:val="-8"/>
        </w:rPr>
        <w:t> </w:t>
      </w:r>
      <w:r>
        <w:rPr/>
        <w:t>build</w:t>
      </w:r>
      <w:r>
        <w:rPr>
          <w:spacing w:val="-8"/>
        </w:rPr>
        <w:t> </w:t>
      </w:r>
      <w:r>
        <w:rPr/>
        <w:t>internal</w:t>
      </w:r>
      <w:r>
        <w:rPr>
          <w:spacing w:val="-9"/>
        </w:rPr>
        <w:t> </w:t>
      </w:r>
      <w:r>
        <w:rPr/>
        <w:t>training</w:t>
      </w:r>
      <w:r>
        <w:rPr>
          <w:spacing w:val="-8"/>
        </w:rPr>
        <w:t> </w:t>
      </w:r>
      <w:r>
        <w:rPr/>
        <w:t>capacity</w:t>
      </w:r>
      <w:r>
        <w:rPr>
          <w:spacing w:val="-9"/>
        </w:rPr>
        <w:t> </w:t>
      </w:r>
      <w:r>
        <w:rPr/>
        <w:t>within</w:t>
      </w:r>
      <w:r>
        <w:rPr>
          <w:spacing w:val="-9"/>
        </w:rPr>
        <w:t> </w:t>
      </w:r>
      <w:r>
        <w:rPr/>
        <w:t>seven</w:t>
      </w:r>
      <w:r>
        <w:rPr>
          <w:spacing w:val="-9"/>
        </w:rPr>
        <w:t> </w:t>
      </w:r>
      <w:r>
        <w:rPr/>
        <w:t>state</w:t>
      </w:r>
      <w:r>
        <w:rPr>
          <w:spacing w:val="-9"/>
        </w:rPr>
        <w:t> </w:t>
      </w:r>
      <w:r>
        <w:rPr/>
        <w:t>agencies</w:t>
      </w:r>
      <w:r>
        <w:rPr>
          <w:spacing w:val="-2"/>
        </w:rPr>
        <w:t> </w:t>
      </w:r>
      <w:r>
        <w:rPr/>
        <w:t>–</w:t>
      </w:r>
      <w:r>
        <w:rPr>
          <w:spacing w:val="-4"/>
        </w:rPr>
        <w:t> </w:t>
      </w:r>
      <w:r>
        <w:rPr/>
        <w:t>a</w:t>
      </w:r>
      <w:r>
        <w:rPr>
          <w:spacing w:val="-1"/>
        </w:rPr>
        <w:t> </w:t>
      </w:r>
      <w:r>
        <w:rPr/>
        <w:t>new</w:t>
      </w:r>
      <w:r>
        <w:rPr>
          <w:spacing w:val="-4"/>
        </w:rPr>
        <w:t> </w:t>
      </w:r>
      <w:r>
        <w:rPr/>
        <w:t>round</w:t>
      </w:r>
      <w:r>
        <w:rPr>
          <w:spacing w:val="-4"/>
        </w:rPr>
        <w:t> </w:t>
      </w:r>
      <w:r>
        <w:rPr/>
        <w:t>of</w:t>
      </w:r>
      <w:r>
        <w:rPr>
          <w:spacing w:val="-3"/>
        </w:rPr>
        <w:t> </w:t>
      </w:r>
      <w:r>
        <w:rPr/>
        <w:t>which</w:t>
      </w:r>
      <w:r>
        <w:rPr>
          <w:spacing w:val="-4"/>
        </w:rPr>
        <w:t> </w:t>
      </w:r>
      <w:r>
        <w:rPr/>
        <w:t>will begin in FY 2025. The Commission has further begun conversations with the Department of Early Education and Care (EEC) and the Executive Office of Public Safety and Services (EOPSS) for trainings of which some were able to take place in FY 2024 and will continue into FY 2025. In FY 2025, the Commission hopes to build on this system by partnering with health-based community organizations, medical facilities, and state agencies to launch a training initiative to support health care providers improve</w:t>
      </w:r>
      <w:r>
        <w:rPr>
          <w:spacing w:val="-3"/>
        </w:rPr>
        <w:t> </w:t>
      </w:r>
      <w:r>
        <w:rPr/>
        <w:t>their</w:t>
      </w:r>
      <w:r>
        <w:rPr>
          <w:spacing w:val="-3"/>
        </w:rPr>
        <w:t> </w:t>
      </w:r>
      <w:r>
        <w:rPr/>
        <w:t>services</w:t>
      </w:r>
      <w:r>
        <w:rPr>
          <w:spacing w:val="-3"/>
        </w:rPr>
        <w:t> </w:t>
      </w:r>
      <w:r>
        <w:rPr/>
        <w:t>for</w:t>
      </w:r>
      <w:r>
        <w:rPr>
          <w:spacing w:val="-3"/>
        </w:rPr>
        <w:t> </w:t>
      </w:r>
      <w:r>
        <w:rPr/>
        <w:t>LGBTQ</w:t>
      </w:r>
      <w:r>
        <w:rPr>
          <w:spacing w:val="-3"/>
        </w:rPr>
        <w:t> </w:t>
      </w:r>
      <w:r>
        <w:rPr/>
        <w:t>youth,</w:t>
      </w:r>
      <w:r>
        <w:rPr>
          <w:spacing w:val="-2"/>
        </w:rPr>
        <w:t> </w:t>
      </w:r>
      <w:r>
        <w:rPr/>
        <w:t>particularly</w:t>
      </w:r>
      <w:r>
        <w:rPr>
          <w:spacing w:val="-3"/>
        </w:rPr>
        <w:t> </w:t>
      </w:r>
      <w:r>
        <w:rPr/>
        <w:t>in</w:t>
      </w:r>
      <w:r>
        <w:rPr>
          <w:spacing w:val="-3"/>
        </w:rPr>
        <w:t> </w:t>
      </w:r>
      <w:r>
        <w:rPr/>
        <w:t>areas</w:t>
      </w:r>
      <w:r>
        <w:rPr>
          <w:spacing w:val="-3"/>
        </w:rPr>
        <w:t> </w:t>
      </w:r>
      <w:r>
        <w:rPr/>
        <w:t>of</w:t>
      </w:r>
      <w:r>
        <w:rPr>
          <w:spacing w:val="-3"/>
        </w:rPr>
        <w:t> </w:t>
      </w:r>
      <w:r>
        <w:rPr/>
        <w:t>mental</w:t>
      </w:r>
      <w:r>
        <w:rPr>
          <w:spacing w:val="-3"/>
        </w:rPr>
        <w:t> </w:t>
      </w:r>
      <w:r>
        <w:rPr/>
        <w:t>health</w:t>
      </w:r>
      <w:r>
        <w:rPr>
          <w:spacing w:val="-3"/>
        </w:rPr>
        <w:t> </w:t>
      </w:r>
      <w:r>
        <w:rPr/>
        <w:t>and</w:t>
      </w:r>
      <w:r>
        <w:rPr>
          <w:spacing w:val="-3"/>
        </w:rPr>
        <w:t> </w:t>
      </w:r>
      <w:r>
        <w:rPr/>
        <w:t>gender-affirming</w:t>
      </w:r>
      <w:r>
        <w:rPr>
          <w:spacing w:val="-3"/>
        </w:rPr>
        <w:t> </w:t>
      </w:r>
      <w:r>
        <w:rPr/>
        <w:t>care.</w:t>
      </w:r>
    </w:p>
    <w:p>
      <w:pPr>
        <w:numPr>
          <w:ilvl w:val="0"/>
          <w:numId w:val="30"/>
        </w:numPr>
        <w:tabs>
          <w:tab w:pos="481" w:val="left" w:leader="none"/>
          <w:tab w:pos="483" w:val="left" w:leader="none"/>
        </w:tabs>
        <w:spacing w:line="276" w:lineRule="auto" w:before="240"/>
        <w:ind w:left="483" w:right="345" w:hanging="360"/>
        <w:jc w:val="left"/>
        <w:rPr>
          <w:b/>
          <w:sz w:val="22"/>
        </w:rPr>
      </w:pPr>
      <w:bookmarkStart w:name="4. Develop a Youth Risk Behavior Survey " w:id="923"/>
      <w:bookmarkEnd w:id="923"/>
      <w:r>
        <w:rPr>
          <w:b/>
          <w:sz w:val="22"/>
        </w:rPr>
        <w:t>De</w:t>
      </w:r>
      <w:r>
        <w:rPr>
          <w:b/>
          <w:sz w:val="22"/>
        </w:rPr>
        <w:t>velop a Youth Risk Behavior Survey at the middle-school level and conduct an assessment on the</w:t>
      </w:r>
      <w:r>
        <w:rPr>
          <w:b/>
          <w:spacing w:val="40"/>
          <w:sz w:val="22"/>
        </w:rPr>
        <w:t> </w:t>
      </w:r>
      <w:r>
        <w:rPr>
          <w:b/>
          <w:sz w:val="22"/>
        </w:rPr>
        <w:t>needs of parents and elementary school educators.</w:t>
      </w:r>
    </w:p>
    <w:p>
      <w:pPr>
        <w:pStyle w:val="BodyText"/>
        <w:spacing w:line="276" w:lineRule="auto" w:before="240"/>
        <w:ind w:left="484" w:right="342" w:hanging="1"/>
        <w:jc w:val="both"/>
      </w:pPr>
      <w:r>
        <w:rPr/>
        <w:t>The</w:t>
      </w:r>
      <w:r>
        <w:rPr>
          <w:spacing w:val="-2"/>
        </w:rPr>
        <w:t> </w:t>
      </w:r>
      <w:r>
        <w:rPr/>
        <w:t>Commission</w:t>
      </w:r>
      <w:r>
        <w:rPr>
          <w:spacing w:val="-4"/>
        </w:rPr>
        <w:t> </w:t>
      </w:r>
      <w:r>
        <w:rPr/>
        <w:t>recommends</w:t>
      </w:r>
      <w:r>
        <w:rPr>
          <w:spacing w:val="-1"/>
        </w:rPr>
        <w:t> </w:t>
      </w:r>
      <w:r>
        <w:rPr/>
        <w:t>that</w:t>
      </w:r>
      <w:r>
        <w:rPr>
          <w:spacing w:val="-2"/>
        </w:rPr>
        <w:t> </w:t>
      </w:r>
      <w:r>
        <w:rPr/>
        <w:t>the</w:t>
      </w:r>
      <w:r>
        <w:rPr>
          <w:spacing w:val="-3"/>
        </w:rPr>
        <w:t> </w:t>
      </w:r>
      <w:r>
        <w:rPr/>
        <w:t>state</w:t>
      </w:r>
      <w:r>
        <w:rPr>
          <w:spacing w:val="-3"/>
        </w:rPr>
        <w:t> </w:t>
      </w:r>
      <w:r>
        <w:rPr/>
        <w:t>develop</w:t>
      </w:r>
      <w:r>
        <w:rPr>
          <w:spacing w:val="-2"/>
        </w:rPr>
        <w:t> </w:t>
      </w:r>
      <w:r>
        <w:rPr/>
        <w:t>and</w:t>
      </w:r>
      <w:r>
        <w:rPr>
          <w:spacing w:val="-3"/>
        </w:rPr>
        <w:t> </w:t>
      </w:r>
      <w:r>
        <w:rPr/>
        <w:t>conduct</w:t>
      </w:r>
      <w:r>
        <w:rPr>
          <w:spacing w:val="-2"/>
        </w:rPr>
        <w:t> </w:t>
      </w:r>
      <w:r>
        <w:rPr/>
        <w:t>a</w:t>
      </w:r>
      <w:r>
        <w:rPr>
          <w:spacing w:val="-4"/>
        </w:rPr>
        <w:t> </w:t>
      </w:r>
      <w:r>
        <w:rPr/>
        <w:t>biannual</w:t>
      </w:r>
      <w:r>
        <w:rPr>
          <w:spacing w:val="-3"/>
        </w:rPr>
        <w:t> </w:t>
      </w:r>
      <w:r>
        <w:rPr/>
        <w:t>Youth</w:t>
      </w:r>
      <w:r>
        <w:rPr>
          <w:spacing w:val="-2"/>
        </w:rPr>
        <w:t> </w:t>
      </w:r>
      <w:r>
        <w:rPr/>
        <w:t>Risk</w:t>
      </w:r>
      <w:r>
        <w:rPr>
          <w:spacing w:val="-3"/>
        </w:rPr>
        <w:t> </w:t>
      </w:r>
      <w:r>
        <w:rPr/>
        <w:t>Behavior</w:t>
      </w:r>
      <w:r>
        <w:rPr>
          <w:spacing w:val="-3"/>
        </w:rPr>
        <w:t> </w:t>
      </w:r>
      <w:r>
        <w:rPr/>
        <w:t>Survey at the middle-school level to better capture experiences of LGBTQ youth in public middle schools. As discussed throughout this annual report, the Massachusetts Youth Risk Behavior Survey (MYRBS) is one of</w:t>
      </w:r>
      <w:r>
        <w:rPr>
          <w:spacing w:val="-3"/>
        </w:rPr>
        <w:t> </w:t>
      </w:r>
      <w:r>
        <w:rPr/>
        <w:t>the</w:t>
      </w:r>
      <w:r>
        <w:rPr>
          <w:spacing w:val="-2"/>
        </w:rPr>
        <w:t> </w:t>
      </w:r>
      <w:r>
        <w:rPr/>
        <w:t>largest</w:t>
      </w:r>
      <w:r>
        <w:rPr>
          <w:spacing w:val="-2"/>
        </w:rPr>
        <w:t> </w:t>
      </w:r>
      <w:r>
        <w:rPr/>
        <w:t>statewide</w:t>
      </w:r>
      <w:r>
        <w:rPr>
          <w:spacing w:val="-2"/>
        </w:rPr>
        <w:t> </w:t>
      </w:r>
      <w:r>
        <w:rPr/>
        <w:t>data</w:t>
      </w:r>
      <w:r>
        <w:rPr>
          <w:spacing w:val="-3"/>
        </w:rPr>
        <w:t> </w:t>
      </w:r>
      <w:r>
        <w:rPr/>
        <w:t>sources</w:t>
      </w:r>
      <w:r>
        <w:rPr>
          <w:spacing w:val="-2"/>
        </w:rPr>
        <w:t> </w:t>
      </w:r>
      <w:r>
        <w:rPr/>
        <w:t>on</w:t>
      </w:r>
      <w:r>
        <w:rPr>
          <w:spacing w:val="-2"/>
        </w:rPr>
        <w:t> </w:t>
      </w:r>
      <w:r>
        <w:rPr/>
        <w:t>LGBTQ</w:t>
      </w:r>
      <w:r>
        <w:rPr>
          <w:spacing w:val="-3"/>
        </w:rPr>
        <w:t> </w:t>
      </w:r>
      <w:r>
        <w:rPr/>
        <w:t>youth</w:t>
      </w:r>
      <w:r>
        <w:rPr>
          <w:spacing w:val="-2"/>
        </w:rPr>
        <w:t> </w:t>
      </w:r>
      <w:r>
        <w:rPr/>
        <w:t>experiences at</w:t>
      </w:r>
      <w:r>
        <w:rPr>
          <w:spacing w:val="-2"/>
        </w:rPr>
        <w:t> </w:t>
      </w:r>
      <w:r>
        <w:rPr/>
        <w:t>the</w:t>
      </w:r>
      <w:r>
        <w:rPr>
          <w:spacing w:val="-2"/>
        </w:rPr>
        <w:t> </w:t>
      </w:r>
      <w:r>
        <w:rPr/>
        <w:t>high</w:t>
      </w:r>
      <w:r>
        <w:rPr>
          <w:spacing w:val="-2"/>
        </w:rPr>
        <w:t> </w:t>
      </w:r>
      <w:r>
        <w:rPr/>
        <w:t>school</w:t>
      </w:r>
      <w:r>
        <w:rPr>
          <w:spacing w:val="-3"/>
        </w:rPr>
        <w:t> </w:t>
      </w:r>
      <w:r>
        <w:rPr/>
        <w:t>level.</w:t>
      </w:r>
      <w:r>
        <w:rPr>
          <w:spacing w:val="-1"/>
        </w:rPr>
        <w:t> </w:t>
      </w:r>
      <w:r>
        <w:rPr/>
        <w:t>The</w:t>
      </w:r>
      <w:r>
        <w:rPr>
          <w:spacing w:val="-3"/>
        </w:rPr>
        <w:t> </w:t>
      </w:r>
      <w:r>
        <w:rPr/>
        <w:t>MYRBS</w:t>
      </w:r>
      <w:r>
        <w:rPr>
          <w:spacing w:val="-3"/>
        </w:rPr>
        <w:t> </w:t>
      </w:r>
      <w:r>
        <w:rPr/>
        <w:t>is conducted by the Department of Elementary and Secondary Education (DESE) in collaboration with the Department of Public Health (DPH) and the Centers for Disease Control and Prevention (CDC) on odd numbered years in randomly-selected high schools. The survey provides a wide array of questions on health and sexual behaviors which help determine strategies and plans to improving the health and education of youth across the state</w:t>
      </w:r>
      <w:bookmarkStart w:name="_bookmark621" w:id="924"/>
      <w:bookmarkEnd w:id="924"/>
      <w:r>
        <w:rPr/>
        <w:t>.</w:t>
      </w:r>
    </w:p>
    <w:p>
      <w:pPr>
        <w:pStyle w:val="BodyText"/>
        <w:spacing w:line="276" w:lineRule="auto" w:before="239"/>
        <w:ind w:left="485" w:right="341" w:hanging="1"/>
        <w:jc w:val="both"/>
      </w:pPr>
      <w:r>
        <w:rPr/>
        <w:t>However,</w:t>
      </w:r>
      <w:r>
        <w:rPr>
          <w:spacing w:val="-2"/>
        </w:rPr>
        <w:t> </w:t>
      </w:r>
      <w:r>
        <w:rPr/>
        <w:t>for</w:t>
      </w:r>
      <w:r>
        <w:rPr>
          <w:spacing w:val="-1"/>
        </w:rPr>
        <w:t> </w:t>
      </w:r>
      <w:r>
        <w:rPr/>
        <w:t>several</w:t>
      </w:r>
      <w:r>
        <w:rPr>
          <w:spacing w:val="-3"/>
        </w:rPr>
        <w:t> </w:t>
      </w:r>
      <w:r>
        <w:rPr/>
        <w:t>years,</w:t>
      </w:r>
      <w:r>
        <w:rPr>
          <w:spacing w:val="-3"/>
        </w:rPr>
        <w:t> </w:t>
      </w:r>
      <w:r>
        <w:rPr/>
        <w:t>the</w:t>
      </w:r>
      <w:r>
        <w:rPr>
          <w:spacing w:val="-2"/>
        </w:rPr>
        <w:t> </w:t>
      </w:r>
      <w:r>
        <w:rPr/>
        <w:t>Commission</w:t>
      </w:r>
      <w:r>
        <w:rPr>
          <w:spacing w:val="-2"/>
        </w:rPr>
        <w:t> </w:t>
      </w:r>
      <w:r>
        <w:rPr/>
        <w:t>has</w:t>
      </w:r>
      <w:r>
        <w:rPr>
          <w:spacing w:val="-1"/>
        </w:rPr>
        <w:t> </w:t>
      </w:r>
      <w:r>
        <w:rPr/>
        <w:t>discussed</w:t>
      </w:r>
      <w:r>
        <w:rPr>
          <w:spacing w:val="-2"/>
        </w:rPr>
        <w:t> </w:t>
      </w:r>
      <w:r>
        <w:rPr/>
        <w:t>the</w:t>
      </w:r>
      <w:r>
        <w:rPr>
          <w:spacing w:val="-2"/>
        </w:rPr>
        <w:t> </w:t>
      </w:r>
      <w:r>
        <w:rPr/>
        <w:t>benefits</w:t>
      </w:r>
      <w:r>
        <w:rPr>
          <w:spacing w:val="-3"/>
        </w:rPr>
        <w:t> </w:t>
      </w:r>
      <w:r>
        <w:rPr/>
        <w:t>of</w:t>
      </w:r>
      <w:r>
        <w:rPr>
          <w:spacing w:val="-2"/>
        </w:rPr>
        <w:t> </w:t>
      </w:r>
      <w:r>
        <w:rPr/>
        <w:t>developing</w:t>
      </w:r>
      <w:r>
        <w:rPr>
          <w:spacing w:val="-2"/>
        </w:rPr>
        <w:t> </w:t>
      </w:r>
      <w:r>
        <w:rPr/>
        <w:t>a statewide</w:t>
      </w:r>
      <w:r>
        <w:rPr>
          <w:spacing w:val="-1"/>
        </w:rPr>
        <w:t> </w:t>
      </w:r>
      <w:r>
        <w:rPr/>
        <w:t>middle school survey to better understand and address risk behaviors occurring during early adolescence. According to the 2021 Trevor Project survey, bullying was reported much more often by LGBTQ middle </w:t>
      </w:r>
      <w:bookmarkStart w:name="_bookmark622" w:id="925"/>
      <w:bookmarkEnd w:id="925"/>
      <w:r>
        <w:rPr/>
        <w:t>s</w:t>
      </w:r>
      <w:r>
        <w:rPr/>
        <w:t>chool students at 65%, compared to 49% high school students. Among these middle school youth, 29% attempted</w:t>
      </w:r>
      <w:r>
        <w:rPr>
          <w:spacing w:val="-3"/>
        </w:rPr>
        <w:t> </w:t>
      </w:r>
      <w:r>
        <w:rPr/>
        <w:t>suicide</w:t>
      </w:r>
      <w:r>
        <w:rPr>
          <w:spacing w:val="-1"/>
        </w:rPr>
        <w:t> </w:t>
      </w:r>
      <w:r>
        <w:rPr/>
        <w:t>in</w:t>
      </w:r>
      <w:r>
        <w:rPr>
          <w:spacing w:val="-3"/>
        </w:rPr>
        <w:t> </w:t>
      </w:r>
      <w:r>
        <w:rPr/>
        <w:t>the</w:t>
      </w:r>
      <w:r>
        <w:rPr>
          <w:spacing w:val="-2"/>
        </w:rPr>
        <w:t> </w:t>
      </w:r>
      <w:r>
        <w:rPr/>
        <w:t>past</w:t>
      </w:r>
      <w:r>
        <w:rPr>
          <w:spacing w:val="-2"/>
        </w:rPr>
        <w:t> </w:t>
      </w:r>
      <w:r>
        <w:rPr/>
        <w:t>year</w:t>
      </w:r>
      <w:r>
        <w:rPr>
          <w:spacing w:val="-1"/>
        </w:rPr>
        <w:t> </w:t>
      </w:r>
      <w:r>
        <w:rPr/>
        <w:t>due</w:t>
      </w:r>
      <w:r>
        <w:rPr>
          <w:spacing w:val="-1"/>
        </w:rPr>
        <w:t> </w:t>
      </w:r>
      <w:r>
        <w:rPr/>
        <w:t>to</w:t>
      </w:r>
      <w:r>
        <w:rPr>
          <w:spacing w:val="-1"/>
        </w:rPr>
        <w:t> </w:t>
      </w:r>
      <w:r>
        <w:rPr/>
        <w:t>experiences</w:t>
      </w:r>
      <w:r>
        <w:rPr>
          <w:spacing w:val="-1"/>
        </w:rPr>
        <w:t> </w:t>
      </w:r>
      <w:r>
        <w:rPr/>
        <w:t>with</w:t>
      </w:r>
      <w:r>
        <w:rPr>
          <w:spacing w:val="-2"/>
        </w:rPr>
        <w:t> </w:t>
      </w:r>
      <w:r>
        <w:rPr/>
        <w:t>in-person</w:t>
      </w:r>
      <w:r>
        <w:rPr>
          <w:spacing w:val="-3"/>
        </w:rPr>
        <w:t> </w:t>
      </w:r>
      <w:r>
        <w:rPr/>
        <w:t>or</w:t>
      </w:r>
      <w:r>
        <w:rPr>
          <w:spacing w:val="-3"/>
        </w:rPr>
        <w:t> </w:t>
      </w:r>
      <w:r>
        <w:rPr/>
        <w:t>cyberbullying, compared</w:t>
      </w:r>
      <w:r>
        <w:rPr>
          <w:spacing w:val="-2"/>
        </w:rPr>
        <w:t> </w:t>
      </w:r>
      <w:r>
        <w:rPr/>
        <w:t>to</w:t>
      </w:r>
      <w:r>
        <w:rPr>
          <w:spacing w:val="-1"/>
        </w:rPr>
        <w:t> </w:t>
      </w:r>
      <w:r>
        <w:rPr/>
        <w:t>25% of high school students</w:t>
      </w:r>
      <w:hyperlink w:history="true" w:anchor="_bookmark622">
        <w:r>
          <w:rPr/>
          <w:t>.</w:t>
        </w:r>
        <w:r>
          <w:rPr>
            <w:vertAlign w:val="superscript"/>
          </w:rPr>
          <w:t>2</w:t>
        </w:r>
      </w:hyperlink>
    </w:p>
    <w:p>
      <w:pPr>
        <w:numPr>
          <w:ilvl w:val="0"/>
          <w:numId w:val="30"/>
        </w:numPr>
        <w:tabs>
          <w:tab w:pos="481" w:val="left" w:leader="none"/>
        </w:tabs>
        <w:spacing w:before="242"/>
        <w:ind w:left="481" w:right="0" w:hanging="358"/>
        <w:jc w:val="left"/>
        <w:rPr>
          <w:b/>
          <w:sz w:val="22"/>
        </w:rPr>
      </w:pPr>
      <w:bookmarkStart w:name="5. Codify provisions to allow residents " w:id="926"/>
      <w:bookmarkEnd w:id="926"/>
      <w:r>
        <w:rPr>
          <w:b/>
          <w:sz w:val="22"/>
        </w:rPr>
        <w:t>C</w:t>
      </w:r>
      <w:r>
        <w:rPr>
          <w:b/>
          <w:sz w:val="22"/>
        </w:rPr>
        <w:t>odify</w:t>
      </w:r>
      <w:r>
        <w:rPr>
          <w:b/>
          <w:spacing w:val="-6"/>
          <w:sz w:val="22"/>
        </w:rPr>
        <w:t> </w:t>
      </w:r>
      <w:r>
        <w:rPr>
          <w:b/>
          <w:sz w:val="22"/>
        </w:rPr>
        <w:t>provisions</w:t>
      </w:r>
      <w:r>
        <w:rPr>
          <w:b/>
          <w:spacing w:val="-7"/>
          <w:sz w:val="22"/>
        </w:rPr>
        <w:t> </w:t>
      </w:r>
      <w:r>
        <w:rPr>
          <w:b/>
          <w:sz w:val="22"/>
        </w:rPr>
        <w:t>to</w:t>
      </w:r>
      <w:r>
        <w:rPr>
          <w:b/>
          <w:spacing w:val="-6"/>
          <w:sz w:val="22"/>
        </w:rPr>
        <w:t> </w:t>
      </w:r>
      <w:r>
        <w:rPr>
          <w:b/>
          <w:sz w:val="22"/>
        </w:rPr>
        <w:t>allow</w:t>
      </w:r>
      <w:r>
        <w:rPr>
          <w:b/>
          <w:spacing w:val="-7"/>
          <w:sz w:val="22"/>
        </w:rPr>
        <w:t> </w:t>
      </w:r>
      <w:r>
        <w:rPr>
          <w:b/>
          <w:sz w:val="22"/>
        </w:rPr>
        <w:t>residents</w:t>
      </w:r>
      <w:r>
        <w:rPr>
          <w:b/>
          <w:spacing w:val="-7"/>
          <w:sz w:val="22"/>
        </w:rPr>
        <w:t> </w:t>
      </w:r>
      <w:r>
        <w:rPr>
          <w:b/>
          <w:sz w:val="22"/>
        </w:rPr>
        <w:t>to</w:t>
      </w:r>
      <w:r>
        <w:rPr>
          <w:b/>
          <w:spacing w:val="-7"/>
          <w:sz w:val="22"/>
        </w:rPr>
        <w:t> </w:t>
      </w:r>
      <w:r>
        <w:rPr>
          <w:b/>
          <w:sz w:val="22"/>
        </w:rPr>
        <w:t>change</w:t>
      </w:r>
      <w:r>
        <w:rPr>
          <w:b/>
          <w:spacing w:val="-7"/>
          <w:sz w:val="22"/>
        </w:rPr>
        <w:t> </w:t>
      </w:r>
      <w:r>
        <w:rPr>
          <w:b/>
          <w:sz w:val="22"/>
        </w:rPr>
        <w:t>gender</w:t>
      </w:r>
      <w:r>
        <w:rPr>
          <w:b/>
          <w:spacing w:val="-7"/>
          <w:sz w:val="22"/>
        </w:rPr>
        <w:t> </w:t>
      </w:r>
      <w:r>
        <w:rPr>
          <w:b/>
          <w:sz w:val="22"/>
        </w:rPr>
        <w:t>markers</w:t>
      </w:r>
      <w:r>
        <w:rPr>
          <w:b/>
          <w:spacing w:val="-7"/>
          <w:sz w:val="22"/>
        </w:rPr>
        <w:t> </w:t>
      </w:r>
      <w:r>
        <w:rPr>
          <w:b/>
          <w:sz w:val="22"/>
        </w:rPr>
        <w:t>on</w:t>
      </w:r>
      <w:r>
        <w:rPr>
          <w:b/>
          <w:spacing w:val="-6"/>
          <w:sz w:val="22"/>
        </w:rPr>
        <w:t> </w:t>
      </w:r>
      <w:r>
        <w:rPr>
          <w:b/>
          <w:sz w:val="22"/>
        </w:rPr>
        <w:t>birth</w:t>
      </w:r>
      <w:r>
        <w:rPr>
          <w:b/>
          <w:spacing w:val="-7"/>
          <w:sz w:val="22"/>
        </w:rPr>
        <w:t> </w:t>
      </w:r>
      <w:r>
        <w:rPr>
          <w:b/>
          <w:spacing w:val="-2"/>
          <w:sz w:val="22"/>
        </w:rPr>
        <w:t>certificates.</w:t>
      </w:r>
    </w:p>
    <w:p>
      <w:pPr>
        <w:pStyle w:val="BodyText"/>
        <w:spacing w:before="11"/>
        <w:rPr>
          <w:b/>
        </w:rPr>
      </w:pPr>
    </w:p>
    <w:p>
      <w:pPr>
        <w:pStyle w:val="BodyText"/>
        <w:spacing w:line="276" w:lineRule="auto" w:before="1"/>
        <w:ind w:left="483" w:right="342"/>
        <w:jc w:val="both"/>
      </w:pPr>
      <w:r>
        <w:rPr/>
        <w:t>As noted throughout this annual report, youth without access to appropriate identification documents experience higher rates of mental distress, and barriers to services or affirming care. The Commission supports and encourages the passage of </w:t>
      </w:r>
      <w:r>
        <w:rPr>
          <w:i/>
        </w:rPr>
        <w:t>An Act Relative to Gender Identity on Massachusetts</w:t>
      </w:r>
      <w:r>
        <w:rPr>
          <w:i/>
        </w:rPr>
        <w:t> Identification</w:t>
      </w:r>
      <w:r>
        <w:rPr>
          <w:i/>
          <w:spacing w:val="-13"/>
        </w:rPr>
        <w:t> </w:t>
      </w:r>
      <w:r>
        <w:rPr/>
        <w:t>(</w:t>
      </w:r>
      <w:hyperlink r:id="rId700">
        <w:r>
          <w:rPr>
            <w:u w:val="single" w:color="1153CC"/>
          </w:rPr>
          <w:t>S.2207</w:t>
        </w:r>
      </w:hyperlink>
      <w:r>
        <w:rPr>
          <w:u w:val="none"/>
        </w:rPr>
        <w:t>/</w:t>
      </w:r>
      <w:hyperlink r:id="rId701">
        <w:r>
          <w:rPr>
            <w:u w:val="single" w:color="1153CC"/>
          </w:rPr>
          <w:t>H.3017</w:t>
        </w:r>
      </w:hyperlink>
      <w:r>
        <w:rPr>
          <w:u w:val="none"/>
        </w:rPr>
        <w:t>),</w:t>
      </w:r>
      <w:r>
        <w:rPr>
          <w:spacing w:val="-12"/>
          <w:u w:val="none"/>
        </w:rPr>
        <w:t> </w:t>
      </w:r>
      <w:r>
        <w:rPr>
          <w:u w:val="none"/>
        </w:rPr>
        <w:t>also</w:t>
      </w:r>
      <w:r>
        <w:rPr>
          <w:spacing w:val="-13"/>
          <w:u w:val="none"/>
        </w:rPr>
        <w:t> </w:t>
      </w:r>
      <w:r>
        <w:rPr>
          <w:u w:val="none"/>
        </w:rPr>
        <w:t>known</w:t>
      </w:r>
      <w:r>
        <w:rPr>
          <w:spacing w:val="-12"/>
          <w:u w:val="none"/>
        </w:rPr>
        <w:t> </w:t>
      </w:r>
      <w:r>
        <w:rPr>
          <w:u w:val="none"/>
        </w:rPr>
        <w:t>as</w:t>
      </w:r>
      <w:r>
        <w:rPr>
          <w:spacing w:val="-13"/>
          <w:u w:val="none"/>
        </w:rPr>
        <w:t> </w:t>
      </w:r>
      <w:r>
        <w:rPr>
          <w:u w:val="none"/>
        </w:rPr>
        <w:t>the</w:t>
      </w:r>
      <w:r>
        <w:rPr>
          <w:spacing w:val="-12"/>
          <w:u w:val="none"/>
        </w:rPr>
        <w:t> </w:t>
      </w:r>
      <w:r>
        <w:rPr>
          <w:u w:val="none"/>
        </w:rPr>
        <w:t>Gender</w:t>
      </w:r>
      <w:r>
        <w:rPr>
          <w:spacing w:val="-13"/>
          <w:u w:val="none"/>
        </w:rPr>
        <w:t> </w:t>
      </w:r>
      <w:r>
        <w:rPr>
          <w:u w:val="none"/>
        </w:rPr>
        <w:t>“X”</w:t>
      </w:r>
      <w:r>
        <w:rPr>
          <w:spacing w:val="-12"/>
          <w:u w:val="none"/>
        </w:rPr>
        <w:t> </w:t>
      </w:r>
      <w:r>
        <w:rPr>
          <w:u w:val="none"/>
        </w:rPr>
        <w:t>bill,</w:t>
      </w:r>
      <w:r>
        <w:rPr>
          <w:spacing w:val="-12"/>
          <w:u w:val="none"/>
        </w:rPr>
        <w:t> </w:t>
      </w:r>
      <w:r>
        <w:rPr>
          <w:u w:val="none"/>
        </w:rPr>
        <w:t>which</w:t>
      </w:r>
      <w:r>
        <w:rPr>
          <w:spacing w:val="-13"/>
          <w:u w:val="none"/>
        </w:rPr>
        <w:t> </w:t>
      </w:r>
      <w:r>
        <w:rPr>
          <w:u w:val="none"/>
        </w:rPr>
        <w:t>would</w:t>
      </w:r>
      <w:r>
        <w:rPr>
          <w:spacing w:val="-12"/>
          <w:u w:val="none"/>
        </w:rPr>
        <w:t> </w:t>
      </w:r>
      <w:r>
        <w:rPr>
          <w:u w:val="none"/>
        </w:rPr>
        <w:t>allow</w:t>
      </w:r>
      <w:r>
        <w:rPr>
          <w:spacing w:val="-12"/>
          <w:u w:val="none"/>
        </w:rPr>
        <w:t> </w:t>
      </w:r>
      <w:r>
        <w:rPr>
          <w:u w:val="none"/>
        </w:rPr>
        <w:t>individuals</w:t>
      </w:r>
      <w:r>
        <w:rPr>
          <w:spacing w:val="-13"/>
          <w:u w:val="none"/>
        </w:rPr>
        <w:t> </w:t>
      </w:r>
      <w:r>
        <w:rPr>
          <w:u w:val="none"/>
        </w:rPr>
        <w:t>to</w:t>
      </w:r>
      <w:r>
        <w:rPr>
          <w:spacing w:val="-10"/>
          <w:u w:val="none"/>
        </w:rPr>
        <w:t> </w:t>
      </w:r>
      <w:r>
        <w:rPr>
          <w:u w:val="none"/>
        </w:rPr>
        <w:t>change</w:t>
      </w:r>
    </w:p>
    <w:p>
      <w:pPr>
        <w:spacing w:after="0" w:line="276" w:lineRule="auto"/>
        <w:jc w:val="both"/>
        <w:sectPr>
          <w:pgSz w:w="12240" w:h="15840"/>
          <w:pgMar w:header="771" w:footer="1427" w:top="980" w:bottom="1620" w:left="960" w:right="1100"/>
        </w:sectPr>
      </w:pPr>
    </w:p>
    <w:p>
      <w:pPr>
        <w:pStyle w:val="BodyText"/>
        <w:spacing w:line="276" w:lineRule="auto" w:before="99"/>
        <w:ind w:left="483" w:right="341"/>
        <w:jc w:val="both"/>
      </w:pPr>
      <w:r>
        <w:rPr/>
        <w:t>their gender designation on a birth certificate to a nonbinary “X” marker without requiring medical documentation,</w:t>
      </w:r>
      <w:r>
        <w:rPr>
          <w:spacing w:val="-3"/>
        </w:rPr>
        <w:t> </w:t>
      </w:r>
      <w:r>
        <w:rPr/>
        <w:t>court</w:t>
      </w:r>
      <w:r>
        <w:rPr>
          <w:spacing w:val="-1"/>
        </w:rPr>
        <w:t> </w:t>
      </w:r>
      <w:r>
        <w:rPr/>
        <w:t>order,</w:t>
      </w:r>
      <w:r>
        <w:rPr>
          <w:spacing w:val="-3"/>
        </w:rPr>
        <w:t> </w:t>
      </w:r>
      <w:r>
        <w:rPr/>
        <w:t>or</w:t>
      </w:r>
      <w:r>
        <w:rPr>
          <w:spacing w:val="-2"/>
        </w:rPr>
        <w:t> </w:t>
      </w:r>
      <w:r>
        <w:rPr/>
        <w:t>proof</w:t>
      </w:r>
      <w:r>
        <w:rPr>
          <w:spacing w:val="-3"/>
        </w:rPr>
        <w:t> </w:t>
      </w:r>
      <w:r>
        <w:rPr/>
        <w:t>of</w:t>
      </w:r>
      <w:r>
        <w:rPr>
          <w:spacing w:val="-3"/>
        </w:rPr>
        <w:t> </w:t>
      </w:r>
      <w:r>
        <w:rPr/>
        <w:t>name</w:t>
      </w:r>
      <w:r>
        <w:rPr>
          <w:spacing w:val="-1"/>
        </w:rPr>
        <w:t> </w:t>
      </w:r>
      <w:r>
        <w:rPr/>
        <w:t>change.</w:t>
      </w:r>
      <w:r>
        <w:rPr>
          <w:spacing w:val="-3"/>
        </w:rPr>
        <w:t> </w:t>
      </w:r>
      <w:r>
        <w:rPr/>
        <w:t>Furthermore,</w:t>
      </w:r>
      <w:r>
        <w:rPr>
          <w:spacing w:val="-3"/>
        </w:rPr>
        <w:t> </w:t>
      </w:r>
      <w:r>
        <w:rPr/>
        <w:t>the</w:t>
      </w:r>
      <w:r>
        <w:rPr>
          <w:spacing w:val="-2"/>
        </w:rPr>
        <w:t> </w:t>
      </w:r>
      <w:r>
        <w:rPr/>
        <w:t>bill</w:t>
      </w:r>
      <w:r>
        <w:rPr>
          <w:spacing w:val="-2"/>
        </w:rPr>
        <w:t> </w:t>
      </w:r>
      <w:r>
        <w:rPr/>
        <w:t>would</w:t>
      </w:r>
      <w:r>
        <w:rPr>
          <w:spacing w:val="-3"/>
        </w:rPr>
        <w:t> </w:t>
      </w:r>
      <w:r>
        <w:rPr/>
        <w:t>require</w:t>
      </w:r>
      <w:r>
        <w:rPr>
          <w:spacing w:val="-2"/>
        </w:rPr>
        <w:t> </w:t>
      </w:r>
      <w:r>
        <w:rPr/>
        <w:t>the</w:t>
      </w:r>
      <w:r>
        <w:rPr>
          <w:spacing w:val="-2"/>
        </w:rPr>
        <w:t> </w:t>
      </w:r>
      <w:r>
        <w:rPr/>
        <w:t>Secretary of</w:t>
      </w:r>
      <w:r>
        <w:rPr>
          <w:spacing w:val="-3"/>
        </w:rPr>
        <w:t> </w:t>
      </w:r>
      <w:r>
        <w:rPr/>
        <w:t>Administration</w:t>
      </w:r>
      <w:r>
        <w:rPr>
          <w:spacing w:val="-3"/>
        </w:rPr>
        <w:t> </w:t>
      </w:r>
      <w:r>
        <w:rPr/>
        <w:t>and</w:t>
      </w:r>
      <w:r>
        <w:rPr>
          <w:spacing w:val="-2"/>
        </w:rPr>
        <w:t> </w:t>
      </w:r>
      <w:r>
        <w:rPr/>
        <w:t>Finance</w:t>
      </w:r>
      <w:r>
        <w:rPr>
          <w:spacing w:val="-2"/>
        </w:rPr>
        <w:t> </w:t>
      </w:r>
      <w:r>
        <w:rPr/>
        <w:t>(A&amp;F)</w:t>
      </w:r>
      <w:r>
        <w:rPr>
          <w:spacing w:val="-1"/>
        </w:rPr>
        <w:t> </w:t>
      </w:r>
      <w:r>
        <w:rPr/>
        <w:t>to develop</w:t>
      </w:r>
      <w:r>
        <w:rPr>
          <w:spacing w:val="-3"/>
        </w:rPr>
        <w:t> </w:t>
      </w:r>
      <w:r>
        <w:rPr/>
        <w:t>a</w:t>
      </w:r>
      <w:r>
        <w:rPr>
          <w:spacing w:val="-2"/>
        </w:rPr>
        <w:t> </w:t>
      </w:r>
      <w:r>
        <w:rPr/>
        <w:t>plan</w:t>
      </w:r>
      <w:r>
        <w:rPr>
          <w:spacing w:val="-3"/>
        </w:rPr>
        <w:t> </w:t>
      </w:r>
      <w:r>
        <w:rPr/>
        <w:t>to</w:t>
      </w:r>
      <w:r>
        <w:rPr>
          <w:spacing w:val="-1"/>
        </w:rPr>
        <w:t> </w:t>
      </w:r>
      <w:r>
        <w:rPr/>
        <w:t>ensure</w:t>
      </w:r>
      <w:r>
        <w:rPr>
          <w:spacing w:val="-2"/>
        </w:rPr>
        <w:t> </w:t>
      </w:r>
      <w:r>
        <w:rPr/>
        <w:t>that</w:t>
      </w:r>
      <w:r>
        <w:rPr>
          <w:spacing w:val="-2"/>
        </w:rPr>
        <w:t> </w:t>
      </w:r>
      <w:r>
        <w:rPr/>
        <w:t>any</w:t>
      </w:r>
      <w:r>
        <w:rPr>
          <w:spacing w:val="-2"/>
        </w:rPr>
        <w:t> </w:t>
      </w:r>
      <w:r>
        <w:rPr/>
        <w:t>state</w:t>
      </w:r>
      <w:r>
        <w:rPr>
          <w:spacing w:val="-1"/>
        </w:rPr>
        <w:t> </w:t>
      </w:r>
      <w:r>
        <w:rPr/>
        <w:t>form</w:t>
      </w:r>
      <w:r>
        <w:rPr>
          <w:spacing w:val="-4"/>
        </w:rPr>
        <w:t> </w:t>
      </w:r>
      <w:r>
        <w:rPr/>
        <w:t>or</w:t>
      </w:r>
      <w:r>
        <w:rPr>
          <w:spacing w:val="-2"/>
        </w:rPr>
        <w:t> </w:t>
      </w:r>
      <w:r>
        <w:rPr/>
        <w:t>document</w:t>
      </w:r>
      <w:r>
        <w:rPr>
          <w:spacing w:val="-1"/>
        </w:rPr>
        <w:t> </w:t>
      </w:r>
      <w:r>
        <w:rPr/>
        <w:t>asking about gender would provide opportunities for gender markers other than just male or female. The bill would further require youth-serving state agencies to develop processes to assist youth in their care update their documentation.</w:t>
      </w:r>
    </w:p>
    <w:p>
      <w:pPr>
        <w:numPr>
          <w:ilvl w:val="0"/>
          <w:numId w:val="30"/>
        </w:numPr>
        <w:tabs>
          <w:tab w:pos="483" w:val="left" w:leader="none"/>
        </w:tabs>
        <w:spacing w:before="239"/>
        <w:ind w:left="483" w:right="0" w:hanging="358"/>
        <w:jc w:val="left"/>
        <w:rPr>
          <w:b/>
          <w:sz w:val="22"/>
        </w:rPr>
      </w:pPr>
      <w:bookmarkStart w:name="6. Update the state plumbing code to all" w:id="927"/>
      <w:bookmarkEnd w:id="927"/>
      <w:r>
        <w:rPr>
          <w:b/>
          <w:sz w:val="22"/>
        </w:rPr>
        <w:t>U</w:t>
      </w:r>
      <w:r>
        <w:rPr>
          <w:b/>
          <w:sz w:val="22"/>
        </w:rPr>
        <w:t>pdate</w:t>
      </w:r>
      <w:r>
        <w:rPr>
          <w:b/>
          <w:spacing w:val="-7"/>
          <w:sz w:val="22"/>
        </w:rPr>
        <w:t> </w:t>
      </w:r>
      <w:r>
        <w:rPr>
          <w:b/>
          <w:sz w:val="22"/>
        </w:rPr>
        <w:t>the</w:t>
      </w:r>
      <w:r>
        <w:rPr>
          <w:b/>
          <w:spacing w:val="-6"/>
          <w:sz w:val="22"/>
        </w:rPr>
        <w:t> </w:t>
      </w:r>
      <w:r>
        <w:rPr>
          <w:b/>
          <w:sz w:val="22"/>
        </w:rPr>
        <w:t>state</w:t>
      </w:r>
      <w:r>
        <w:rPr>
          <w:b/>
          <w:spacing w:val="-7"/>
          <w:sz w:val="22"/>
        </w:rPr>
        <w:t> </w:t>
      </w:r>
      <w:r>
        <w:rPr>
          <w:b/>
          <w:sz w:val="22"/>
        </w:rPr>
        <w:t>plumbing</w:t>
      </w:r>
      <w:r>
        <w:rPr>
          <w:b/>
          <w:spacing w:val="-7"/>
          <w:sz w:val="22"/>
        </w:rPr>
        <w:t> </w:t>
      </w:r>
      <w:r>
        <w:rPr>
          <w:b/>
          <w:sz w:val="22"/>
        </w:rPr>
        <w:t>code</w:t>
      </w:r>
      <w:r>
        <w:rPr>
          <w:b/>
          <w:spacing w:val="-6"/>
          <w:sz w:val="22"/>
        </w:rPr>
        <w:t> </w:t>
      </w:r>
      <w:r>
        <w:rPr>
          <w:b/>
          <w:sz w:val="22"/>
        </w:rPr>
        <w:t>to</w:t>
      </w:r>
      <w:r>
        <w:rPr>
          <w:b/>
          <w:spacing w:val="-6"/>
          <w:sz w:val="22"/>
        </w:rPr>
        <w:t> </w:t>
      </w:r>
      <w:r>
        <w:rPr>
          <w:b/>
          <w:sz w:val="22"/>
        </w:rPr>
        <w:t>allow</w:t>
      </w:r>
      <w:r>
        <w:rPr>
          <w:b/>
          <w:spacing w:val="-8"/>
          <w:sz w:val="22"/>
        </w:rPr>
        <w:t> </w:t>
      </w:r>
      <w:r>
        <w:rPr>
          <w:b/>
          <w:sz w:val="22"/>
        </w:rPr>
        <w:t>for</w:t>
      </w:r>
      <w:r>
        <w:rPr>
          <w:b/>
          <w:spacing w:val="-6"/>
          <w:sz w:val="22"/>
        </w:rPr>
        <w:t> </w:t>
      </w:r>
      <w:r>
        <w:rPr>
          <w:b/>
          <w:sz w:val="22"/>
        </w:rPr>
        <w:t>the</w:t>
      </w:r>
      <w:r>
        <w:rPr>
          <w:b/>
          <w:spacing w:val="-6"/>
          <w:sz w:val="22"/>
        </w:rPr>
        <w:t> </w:t>
      </w:r>
      <w:r>
        <w:rPr>
          <w:b/>
          <w:sz w:val="22"/>
        </w:rPr>
        <w:t>creation</w:t>
      </w:r>
      <w:r>
        <w:rPr>
          <w:b/>
          <w:spacing w:val="-7"/>
          <w:sz w:val="22"/>
        </w:rPr>
        <w:t> </w:t>
      </w:r>
      <w:r>
        <w:rPr>
          <w:b/>
          <w:sz w:val="22"/>
        </w:rPr>
        <w:t>of</w:t>
      </w:r>
      <w:r>
        <w:rPr>
          <w:b/>
          <w:spacing w:val="-6"/>
          <w:sz w:val="22"/>
        </w:rPr>
        <w:t> </w:t>
      </w:r>
      <w:r>
        <w:rPr>
          <w:b/>
          <w:sz w:val="22"/>
        </w:rPr>
        <w:t>multi-stall</w:t>
      </w:r>
      <w:r>
        <w:rPr>
          <w:b/>
          <w:spacing w:val="-6"/>
          <w:sz w:val="22"/>
        </w:rPr>
        <w:t> </w:t>
      </w:r>
      <w:r>
        <w:rPr>
          <w:b/>
          <w:sz w:val="22"/>
        </w:rPr>
        <w:t>all</w:t>
      </w:r>
      <w:r>
        <w:rPr>
          <w:b/>
          <w:spacing w:val="-7"/>
          <w:sz w:val="22"/>
        </w:rPr>
        <w:t> </w:t>
      </w:r>
      <w:r>
        <w:rPr>
          <w:b/>
          <w:sz w:val="22"/>
        </w:rPr>
        <w:t>gender</w:t>
      </w:r>
      <w:r>
        <w:rPr>
          <w:b/>
          <w:spacing w:val="-7"/>
          <w:sz w:val="22"/>
        </w:rPr>
        <w:t> </w:t>
      </w:r>
      <w:r>
        <w:rPr>
          <w:b/>
          <w:spacing w:val="-2"/>
          <w:sz w:val="22"/>
        </w:rPr>
        <w:t>restrooms.</w:t>
      </w:r>
    </w:p>
    <w:p>
      <w:pPr>
        <w:pStyle w:val="BodyText"/>
        <w:spacing w:before="13"/>
        <w:rPr>
          <w:b/>
        </w:rPr>
      </w:pPr>
    </w:p>
    <w:p>
      <w:pPr>
        <w:pStyle w:val="BodyText"/>
        <w:spacing w:line="276" w:lineRule="auto"/>
        <w:ind w:left="483" w:right="342" w:firstLine="1"/>
        <w:jc w:val="both"/>
      </w:pPr>
      <w:r>
        <w:rPr/>
        <w:t>The Commission was delighted to hear that in late 2023 the Board of State Examiners of Plumbers and Gas Fitters updated the Uniform State Plumbing Code to allow for the creation of gender-neutral restrooms in Massachusetts buildings. The Commission continues to recommend that the legislature pass </w:t>
      </w:r>
      <w:r>
        <w:rPr>
          <w:i/>
        </w:rPr>
        <w:t>An Act Establishing Gender-Neutral Bathrooms </w:t>
      </w:r>
      <w:r>
        <w:rPr/>
        <w:t>(</w:t>
      </w:r>
      <w:hyperlink r:id="rId702">
        <w:r>
          <w:rPr>
            <w:u w:val="single" w:color="1153CC"/>
          </w:rPr>
          <w:t>S.1978</w:t>
        </w:r>
      </w:hyperlink>
      <w:r>
        <w:rPr>
          <w:u w:val="none"/>
        </w:rPr>
        <w:t>/</w:t>
      </w:r>
      <w:hyperlink r:id="rId703">
        <w:r>
          <w:rPr>
            <w:u w:val="single" w:color="1153CC"/>
          </w:rPr>
          <w:t>H.3019</w:t>
        </w:r>
      </w:hyperlink>
      <w:r>
        <w:rPr>
          <w:u w:val="none"/>
        </w:rPr>
        <w:t>) which would now codify this update from the Board to allow multi-stall all gender restrooms to be built, regardless of whether the building is new construction or the bathroom is being renovated</w:t>
      </w:r>
      <w:r>
        <w:rPr>
          <w:spacing w:val="-2"/>
          <w:u w:val="none"/>
        </w:rPr>
        <w:t> </w:t>
      </w:r>
      <w:r>
        <w:rPr>
          <w:u w:val="none"/>
        </w:rPr>
        <w:t>or alternated in an</w:t>
      </w:r>
      <w:r>
        <w:rPr>
          <w:spacing w:val="-2"/>
          <w:u w:val="none"/>
        </w:rPr>
        <w:t> </w:t>
      </w:r>
      <w:r>
        <w:rPr>
          <w:u w:val="none"/>
        </w:rPr>
        <w:t>existing building.</w:t>
      </w:r>
      <w:r>
        <w:rPr>
          <w:spacing w:val="-1"/>
          <w:u w:val="none"/>
        </w:rPr>
        <w:t> </w:t>
      </w:r>
      <w:r>
        <w:rPr>
          <w:u w:val="none"/>
        </w:rPr>
        <w:t>By codifying this plumbing code update, the bill would allow for schools, state agencies, and businesses to create restroom spaces that benefit not only trans and gender expansive youth, but also caregivers to better assist their children and individual with caregivers to assist with disabilities.</w:t>
      </w:r>
    </w:p>
    <w:p>
      <w:pPr>
        <w:numPr>
          <w:ilvl w:val="0"/>
          <w:numId w:val="30"/>
        </w:numPr>
        <w:tabs>
          <w:tab w:pos="481" w:val="left" w:leader="none"/>
        </w:tabs>
        <w:spacing w:before="240"/>
        <w:ind w:left="481" w:right="0" w:hanging="358"/>
        <w:jc w:val="left"/>
        <w:rPr>
          <w:b/>
          <w:sz w:val="22"/>
        </w:rPr>
      </w:pPr>
      <w:bookmarkStart w:name="7. Eliminate archaic homophobic and tran" w:id="928"/>
      <w:bookmarkEnd w:id="928"/>
      <w:r>
        <w:rPr>
          <w:b/>
          <w:sz w:val="22"/>
        </w:rPr>
        <w:t>E</w:t>
      </w:r>
      <w:r>
        <w:rPr>
          <w:b/>
          <w:sz w:val="22"/>
        </w:rPr>
        <w:t>liminate</w:t>
      </w:r>
      <w:r>
        <w:rPr>
          <w:b/>
          <w:spacing w:val="-10"/>
          <w:sz w:val="22"/>
        </w:rPr>
        <w:t> </w:t>
      </w:r>
      <w:r>
        <w:rPr>
          <w:b/>
          <w:sz w:val="22"/>
        </w:rPr>
        <w:t>archaic</w:t>
      </w:r>
      <w:r>
        <w:rPr>
          <w:b/>
          <w:spacing w:val="-11"/>
          <w:sz w:val="22"/>
        </w:rPr>
        <w:t> </w:t>
      </w:r>
      <w:r>
        <w:rPr>
          <w:b/>
          <w:sz w:val="22"/>
        </w:rPr>
        <w:t>homophobic</w:t>
      </w:r>
      <w:r>
        <w:rPr>
          <w:b/>
          <w:spacing w:val="-9"/>
          <w:sz w:val="22"/>
        </w:rPr>
        <w:t> </w:t>
      </w:r>
      <w:r>
        <w:rPr>
          <w:b/>
          <w:sz w:val="22"/>
        </w:rPr>
        <w:t>and</w:t>
      </w:r>
      <w:r>
        <w:rPr>
          <w:b/>
          <w:spacing w:val="-10"/>
          <w:sz w:val="22"/>
        </w:rPr>
        <w:t> </w:t>
      </w:r>
      <w:r>
        <w:rPr>
          <w:b/>
          <w:sz w:val="22"/>
        </w:rPr>
        <w:t>transphobic</w:t>
      </w:r>
      <w:r>
        <w:rPr>
          <w:b/>
          <w:spacing w:val="-11"/>
          <w:sz w:val="22"/>
        </w:rPr>
        <w:t> </w:t>
      </w:r>
      <w:r>
        <w:rPr>
          <w:b/>
          <w:sz w:val="22"/>
        </w:rPr>
        <w:t>language</w:t>
      </w:r>
      <w:r>
        <w:rPr>
          <w:b/>
          <w:spacing w:val="-10"/>
          <w:sz w:val="22"/>
        </w:rPr>
        <w:t> </w:t>
      </w:r>
      <w:r>
        <w:rPr>
          <w:b/>
          <w:sz w:val="22"/>
        </w:rPr>
        <w:t>in</w:t>
      </w:r>
      <w:r>
        <w:rPr>
          <w:b/>
          <w:spacing w:val="-10"/>
          <w:sz w:val="22"/>
        </w:rPr>
        <w:t> </w:t>
      </w:r>
      <w:r>
        <w:rPr>
          <w:b/>
          <w:sz w:val="22"/>
        </w:rPr>
        <w:t>the</w:t>
      </w:r>
      <w:r>
        <w:rPr>
          <w:b/>
          <w:spacing w:val="-10"/>
          <w:sz w:val="22"/>
        </w:rPr>
        <w:t> </w:t>
      </w:r>
      <w:r>
        <w:rPr>
          <w:b/>
          <w:sz w:val="22"/>
        </w:rPr>
        <w:t>Massachusetts</w:t>
      </w:r>
      <w:r>
        <w:rPr>
          <w:b/>
          <w:spacing w:val="-10"/>
          <w:sz w:val="22"/>
        </w:rPr>
        <w:t> </w:t>
      </w:r>
      <w:r>
        <w:rPr>
          <w:b/>
          <w:sz w:val="22"/>
        </w:rPr>
        <w:t>General</w:t>
      </w:r>
      <w:r>
        <w:rPr>
          <w:b/>
          <w:spacing w:val="-10"/>
          <w:sz w:val="22"/>
        </w:rPr>
        <w:t> </w:t>
      </w:r>
      <w:r>
        <w:rPr>
          <w:b/>
          <w:spacing w:val="-2"/>
          <w:sz w:val="22"/>
        </w:rPr>
        <w:t>Laws.</w:t>
      </w:r>
    </w:p>
    <w:p>
      <w:pPr>
        <w:pStyle w:val="BodyText"/>
        <w:spacing w:before="11"/>
        <w:rPr>
          <w:b/>
        </w:rPr>
      </w:pPr>
    </w:p>
    <w:p>
      <w:pPr>
        <w:pStyle w:val="BodyText"/>
        <w:spacing w:line="276" w:lineRule="auto"/>
        <w:ind w:left="483" w:right="340"/>
        <w:jc w:val="both"/>
      </w:pPr>
      <w:r>
        <w:rPr/>
        <w:t>The Commission recommends that Massachusetts establish a permanent commission or task force directed to review the laws and statues of the Commonwealth to eliminate archaic and inequitable homophobic</w:t>
      </w:r>
      <w:r>
        <w:rPr>
          <w:spacing w:val="-6"/>
        </w:rPr>
        <w:t> </w:t>
      </w:r>
      <w:r>
        <w:rPr/>
        <w:t>and</w:t>
      </w:r>
      <w:r>
        <w:rPr>
          <w:spacing w:val="-7"/>
        </w:rPr>
        <w:t> </w:t>
      </w:r>
      <w:r>
        <w:rPr/>
        <w:t>transphobic</w:t>
      </w:r>
      <w:r>
        <w:rPr>
          <w:spacing w:val="-7"/>
        </w:rPr>
        <w:t> </w:t>
      </w:r>
      <w:r>
        <w:rPr/>
        <w:t>language.</w:t>
      </w:r>
      <w:r>
        <w:rPr>
          <w:spacing w:val="-7"/>
        </w:rPr>
        <w:t> </w:t>
      </w:r>
      <w:r>
        <w:rPr/>
        <w:t>As</w:t>
      </w:r>
      <w:r>
        <w:rPr>
          <w:spacing w:val="-6"/>
        </w:rPr>
        <w:t> </w:t>
      </w:r>
      <w:r>
        <w:rPr/>
        <w:t>anti-LGBTQ</w:t>
      </w:r>
      <w:r>
        <w:rPr>
          <w:spacing w:val="-7"/>
        </w:rPr>
        <w:t> </w:t>
      </w:r>
      <w:r>
        <w:rPr/>
        <w:t>rhetoric</w:t>
      </w:r>
      <w:r>
        <w:rPr>
          <w:spacing w:val="-7"/>
        </w:rPr>
        <w:t> </w:t>
      </w:r>
      <w:r>
        <w:rPr/>
        <w:t>and</w:t>
      </w:r>
      <w:r>
        <w:rPr>
          <w:spacing w:val="-8"/>
        </w:rPr>
        <w:t> </w:t>
      </w:r>
      <w:r>
        <w:rPr/>
        <w:t>legislation</w:t>
      </w:r>
      <w:r>
        <w:rPr>
          <w:spacing w:val="-7"/>
        </w:rPr>
        <w:t> </w:t>
      </w:r>
      <w:r>
        <w:rPr/>
        <w:t>continues</w:t>
      </w:r>
      <w:r>
        <w:rPr>
          <w:spacing w:val="-7"/>
        </w:rPr>
        <w:t> </w:t>
      </w:r>
      <w:r>
        <w:rPr/>
        <w:t>to</w:t>
      </w:r>
      <w:r>
        <w:rPr>
          <w:spacing w:val="-6"/>
        </w:rPr>
        <w:t> </w:t>
      </w:r>
      <w:r>
        <w:rPr/>
        <w:t>sweep</w:t>
      </w:r>
      <w:r>
        <w:rPr>
          <w:spacing w:val="-7"/>
        </w:rPr>
        <w:t> </w:t>
      </w:r>
      <w:r>
        <w:rPr/>
        <w:t>across the nation and in Massachusetts, it is essential for lawmakers to eliminate laws that - while likely not enforceable</w:t>
      </w:r>
      <w:r>
        <w:rPr>
          <w:spacing w:val="-2"/>
        </w:rPr>
        <w:t> </w:t>
      </w:r>
      <w:r>
        <w:rPr/>
        <w:t>in</w:t>
      </w:r>
      <w:r>
        <w:rPr>
          <w:spacing w:val="-3"/>
        </w:rPr>
        <w:t> </w:t>
      </w:r>
      <w:r>
        <w:rPr/>
        <w:t>the</w:t>
      </w:r>
      <w:r>
        <w:rPr>
          <w:spacing w:val="-3"/>
        </w:rPr>
        <w:t> </w:t>
      </w:r>
      <w:r>
        <w:rPr/>
        <w:t>modern</w:t>
      </w:r>
      <w:r>
        <w:rPr>
          <w:spacing w:val="-3"/>
        </w:rPr>
        <w:t> </w:t>
      </w:r>
      <w:r>
        <w:rPr/>
        <w:t>day</w:t>
      </w:r>
      <w:r>
        <w:rPr>
          <w:spacing w:val="-3"/>
        </w:rPr>
        <w:t> </w:t>
      </w:r>
      <w:r>
        <w:rPr/>
        <w:t>-</w:t>
      </w:r>
      <w:r>
        <w:rPr>
          <w:spacing w:val="-2"/>
        </w:rPr>
        <w:t> </w:t>
      </w:r>
      <w:r>
        <w:rPr/>
        <w:t>still</w:t>
      </w:r>
      <w:r>
        <w:rPr>
          <w:spacing w:val="-3"/>
        </w:rPr>
        <w:t> </w:t>
      </w:r>
      <w:r>
        <w:rPr/>
        <w:t>remain</w:t>
      </w:r>
      <w:r>
        <w:rPr>
          <w:spacing w:val="-3"/>
        </w:rPr>
        <w:t> </w:t>
      </w:r>
      <w:r>
        <w:rPr/>
        <w:t>on</w:t>
      </w:r>
      <w:r>
        <w:rPr>
          <w:spacing w:val="-4"/>
        </w:rPr>
        <w:t> </w:t>
      </w:r>
      <w:r>
        <w:rPr/>
        <w:t>the</w:t>
      </w:r>
      <w:r>
        <w:rPr>
          <w:spacing w:val="-2"/>
        </w:rPr>
        <w:t> </w:t>
      </w:r>
      <w:r>
        <w:rPr/>
        <w:t>books</w:t>
      </w:r>
      <w:r>
        <w:rPr>
          <w:spacing w:val="-2"/>
        </w:rPr>
        <w:t> </w:t>
      </w:r>
      <w:r>
        <w:rPr/>
        <w:t>as</w:t>
      </w:r>
      <w:r>
        <w:rPr>
          <w:spacing w:val="-3"/>
        </w:rPr>
        <w:t> </w:t>
      </w:r>
      <w:r>
        <w:rPr/>
        <w:t>a</w:t>
      </w:r>
      <w:r>
        <w:rPr>
          <w:spacing w:val="-3"/>
        </w:rPr>
        <w:t> </w:t>
      </w:r>
      <w:r>
        <w:rPr/>
        <w:t>living</w:t>
      </w:r>
      <w:r>
        <w:rPr>
          <w:spacing w:val="-4"/>
        </w:rPr>
        <w:t> </w:t>
      </w:r>
      <w:r>
        <w:rPr/>
        <w:t>reminder</w:t>
      </w:r>
      <w:r>
        <w:rPr>
          <w:spacing w:val="-1"/>
        </w:rPr>
        <w:t> </w:t>
      </w:r>
      <w:r>
        <w:rPr/>
        <w:t>of</w:t>
      </w:r>
      <w:r>
        <w:rPr>
          <w:spacing w:val="-3"/>
        </w:rPr>
        <w:t> </w:t>
      </w:r>
      <w:r>
        <w:rPr/>
        <w:t>the</w:t>
      </w:r>
      <w:r>
        <w:rPr>
          <w:spacing w:val="-2"/>
        </w:rPr>
        <w:t> </w:t>
      </w:r>
      <w:r>
        <w:rPr/>
        <w:t>legal</w:t>
      </w:r>
      <w:r>
        <w:rPr>
          <w:spacing w:val="-2"/>
        </w:rPr>
        <w:t> </w:t>
      </w:r>
      <w:r>
        <w:rPr/>
        <w:t>attacks</w:t>
      </w:r>
      <w:r>
        <w:rPr>
          <w:spacing w:val="-2"/>
        </w:rPr>
        <w:t> </w:t>
      </w:r>
      <w:r>
        <w:rPr/>
        <w:t>against LGBTQ communities.</w:t>
      </w:r>
    </w:p>
    <w:p>
      <w:pPr>
        <w:pStyle w:val="BodyText"/>
      </w:pPr>
    </w:p>
    <w:p>
      <w:pPr>
        <w:pStyle w:val="BodyText"/>
        <w:spacing w:before="237"/>
      </w:pPr>
    </w:p>
    <w:p>
      <w:pPr>
        <w:spacing w:before="1"/>
        <w:ind w:left="483" w:right="342" w:hanging="2"/>
        <w:jc w:val="both"/>
        <w:rPr>
          <w:sz w:val="18"/>
        </w:rPr>
      </w:pPr>
      <w:r>
        <w:rPr>
          <w:position w:val="5"/>
          <w:sz w:val="12"/>
        </w:rPr>
        <w:t>1 </w:t>
      </w:r>
      <w:r>
        <w:rPr>
          <w:sz w:val="18"/>
        </w:rPr>
        <w:t>“FACT SHEET: Biden-Harris Administration</w:t>
      </w:r>
      <w:r>
        <w:rPr>
          <w:spacing w:val="-1"/>
          <w:sz w:val="18"/>
        </w:rPr>
        <w:t> </w:t>
      </w:r>
      <w:r>
        <w:rPr>
          <w:sz w:val="18"/>
        </w:rPr>
        <w:t>Releases</w:t>
      </w:r>
      <w:r>
        <w:rPr>
          <w:spacing w:val="-1"/>
          <w:sz w:val="18"/>
        </w:rPr>
        <w:t> </w:t>
      </w:r>
      <w:r>
        <w:rPr>
          <w:sz w:val="18"/>
        </w:rPr>
        <w:t>First-Ever Federal</w:t>
      </w:r>
      <w:r>
        <w:rPr>
          <w:spacing w:val="-2"/>
          <w:sz w:val="18"/>
        </w:rPr>
        <w:t> </w:t>
      </w:r>
      <w:r>
        <w:rPr>
          <w:sz w:val="18"/>
        </w:rPr>
        <w:t>Evidence Agenda</w:t>
      </w:r>
      <w:r>
        <w:rPr>
          <w:spacing w:val="-1"/>
          <w:sz w:val="18"/>
        </w:rPr>
        <w:t> </w:t>
      </w:r>
      <w:r>
        <w:rPr>
          <w:sz w:val="18"/>
        </w:rPr>
        <w:t>on</w:t>
      </w:r>
      <w:r>
        <w:rPr>
          <w:spacing w:val="-1"/>
          <w:sz w:val="18"/>
        </w:rPr>
        <w:t> </w:t>
      </w:r>
      <w:r>
        <w:rPr>
          <w:sz w:val="18"/>
        </w:rPr>
        <w:t>LGBTQI+ Equity</w:t>
      </w:r>
      <w:r>
        <w:rPr>
          <w:spacing w:val="-1"/>
          <w:sz w:val="18"/>
        </w:rPr>
        <w:t> </w:t>
      </w:r>
      <w:r>
        <w:rPr>
          <w:sz w:val="18"/>
        </w:rPr>
        <w:t>|</w:t>
      </w:r>
      <w:r>
        <w:rPr>
          <w:spacing w:val="-1"/>
          <w:sz w:val="18"/>
        </w:rPr>
        <w:t> </w:t>
      </w:r>
      <w:r>
        <w:rPr>
          <w:sz w:val="18"/>
        </w:rPr>
        <w:t>OSTP,”</w:t>
      </w:r>
      <w:r>
        <w:rPr>
          <w:spacing w:val="-3"/>
          <w:sz w:val="18"/>
        </w:rPr>
        <w:t> </w:t>
      </w:r>
      <w:r>
        <w:rPr>
          <w:sz w:val="18"/>
        </w:rPr>
        <w:t>The</w:t>
      </w:r>
      <w:r>
        <w:rPr>
          <w:spacing w:val="-3"/>
          <w:sz w:val="18"/>
        </w:rPr>
        <w:t> </w:t>
      </w:r>
      <w:r>
        <w:rPr>
          <w:sz w:val="18"/>
        </w:rPr>
        <w:t>White House, January 24, 2023, https://</w:t>
      </w:r>
      <w:hyperlink r:id="rId704">
        <w:r>
          <w:rPr>
            <w:sz w:val="18"/>
          </w:rPr>
          <w:t>www.whitehouse.gov/ostp/news-updates/2023/01/24/fact-sheet-biden-harris-</w:t>
        </w:r>
      </w:hyperlink>
      <w:r>
        <w:rPr>
          <w:sz w:val="18"/>
        </w:rPr>
        <w:t> </w:t>
      </w:r>
      <w:r>
        <w:rPr>
          <w:spacing w:val="-2"/>
          <w:sz w:val="18"/>
        </w:rPr>
        <w:t>administration-releases-first-ever-federal-evidence-agenda-on-lgbtqi-equity/.</w:t>
      </w:r>
    </w:p>
    <w:p>
      <w:pPr>
        <w:spacing w:before="0"/>
        <w:ind w:left="483" w:right="341" w:firstLine="0"/>
        <w:jc w:val="both"/>
        <w:rPr>
          <w:sz w:val="18"/>
        </w:rPr>
      </w:pPr>
      <w:r>
        <w:rPr>
          <w:position w:val="5"/>
          <w:sz w:val="12"/>
        </w:rPr>
        <w:t>2</w:t>
      </w:r>
      <w:r>
        <w:rPr>
          <w:spacing w:val="40"/>
          <w:position w:val="5"/>
          <w:sz w:val="12"/>
        </w:rPr>
        <w:t> </w:t>
      </w:r>
      <w:r>
        <w:rPr>
          <w:sz w:val="18"/>
        </w:rPr>
        <w:t>“Bullying and Suicide Risk among LGBTQ Youth,” </w:t>
      </w:r>
      <w:r>
        <w:rPr>
          <w:i/>
          <w:sz w:val="18"/>
        </w:rPr>
        <w:t>The Trevor Project </w:t>
      </w:r>
      <w:r>
        <w:rPr>
          <w:sz w:val="18"/>
        </w:rPr>
        <w:t>(blog), October 14, 2021, </w:t>
      </w:r>
      <w:r>
        <w:rPr>
          <w:spacing w:val="-2"/>
          <w:sz w:val="18"/>
        </w:rPr>
        <w:t>https://</w:t>
      </w:r>
      <w:hyperlink r:id="rId705">
        <w:r>
          <w:rPr>
            <w:spacing w:val="-2"/>
            <w:sz w:val="18"/>
          </w:rPr>
          <w:t>www.thetrevorproject.org/research-briefs/bullying-and-suicide-risk-among-lgbtq-youth/.</w:t>
        </w:r>
      </w:hyperlink>
    </w:p>
    <w:p>
      <w:pPr>
        <w:spacing w:after="0"/>
        <w:jc w:val="both"/>
        <w:rPr>
          <w:sz w:val="18"/>
        </w:rPr>
        <w:sectPr>
          <w:pgSz w:w="12240" w:h="15840"/>
          <w:pgMar w:header="771" w:footer="1427" w:top="980" w:bottom="1620" w:left="960" w:right="1100"/>
        </w:sectPr>
      </w:pPr>
    </w:p>
    <w:p>
      <w:pPr>
        <w:pStyle w:val="BodyText"/>
        <w:rPr>
          <w:sz w:val="20"/>
        </w:rPr>
      </w:pPr>
    </w:p>
    <w:p>
      <w:pPr>
        <w:pStyle w:val="BodyText"/>
        <w:spacing w:before="49"/>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530" name="Group 530"/>
                <wp:cNvGraphicFramePr>
                  <a:graphicFrameLocks/>
                </wp:cNvGraphicFramePr>
                <a:graphic>
                  <a:graphicData uri="http://schemas.microsoft.com/office/word/2010/wordprocessingGroup">
                    <wpg:wgp>
                      <wpg:cNvPr id="530" name="Group 530"/>
                      <wpg:cNvGrpSpPr/>
                      <wpg:grpSpPr>
                        <a:xfrm>
                          <a:off x="0" y="0"/>
                          <a:ext cx="6350" cy="12700"/>
                          <a:chExt cx="6350" cy="12700"/>
                        </a:xfrm>
                      </wpg:grpSpPr>
                      <wps:wsp>
                        <wps:cNvPr id="531" name="Graphic 531"/>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427" coordorigin="0,0" coordsize="10,20">
                <v:rect style="position:absolute;left:0;top:0;width:10;height:20" id="docshape428" filled="true" fillcolor="#4f81bb" stroked="false">
                  <v:fill type="solid"/>
                </v:rect>
              </v:group>
            </w:pict>
          </mc:Fallback>
        </mc:AlternateContent>
      </w:r>
      <w:r>
        <w:rPr>
          <w:sz w:val="2"/>
        </w:rPr>
      </w:r>
    </w:p>
    <w:p>
      <w:pPr>
        <w:pStyle w:val="Heading7"/>
        <w:jc w:val="both"/>
      </w:pPr>
      <w:bookmarkStart w:name="Pages from Binder2.pdf" w:id="929"/>
      <w:bookmarkEnd w:id="929"/>
      <w:r>
        <w:rPr/>
      </w:r>
      <w:bookmarkStart w:name="_bookmark623" w:id="930"/>
      <w:bookmarkEnd w:id="930"/>
      <w:r>
        <w:rPr/>
      </w:r>
      <w:hyperlink w:history="true" w:anchor="_bookmark3">
        <w:r>
          <w:rPr>
            <w:color w:val="365F91"/>
            <w:spacing w:val="-8"/>
          </w:rPr>
          <w:t>Executive</w:t>
        </w:r>
        <w:r>
          <w:rPr>
            <w:color w:val="365F91"/>
            <w:spacing w:val="-14"/>
          </w:rPr>
          <w:t> </w:t>
        </w:r>
        <w:r>
          <w:rPr>
            <w:color w:val="365F91"/>
            <w:spacing w:val="-8"/>
          </w:rPr>
          <w:t>Office</w:t>
        </w:r>
        <w:r>
          <w:rPr>
            <w:color w:val="365F91"/>
            <w:spacing w:val="-13"/>
          </w:rPr>
          <w:t> </w:t>
        </w:r>
        <w:r>
          <w:rPr>
            <w:color w:val="365F91"/>
            <w:spacing w:val="-8"/>
          </w:rPr>
          <w:t>of</w:t>
        </w:r>
        <w:r>
          <w:rPr>
            <w:color w:val="365F91"/>
            <w:spacing w:val="-14"/>
          </w:rPr>
          <w:t> </w:t>
        </w:r>
        <w:r>
          <w:rPr>
            <w:color w:val="365F91"/>
            <w:spacing w:val="-8"/>
          </w:rPr>
          <w:t>Education</w:t>
        </w:r>
        <w:r>
          <w:rPr>
            <w:color w:val="365F91"/>
            <w:spacing w:val="-12"/>
          </w:rPr>
          <w:t> </w:t>
        </w:r>
        <w:r>
          <w:rPr>
            <w:color w:val="365F91"/>
            <w:spacing w:val="-8"/>
          </w:rPr>
          <w:t>Recommendations</w:t>
        </w:r>
      </w:hyperlink>
    </w:p>
    <w:p>
      <w:pPr>
        <w:pStyle w:val="BodyText"/>
        <w:spacing w:line="276" w:lineRule="auto" w:before="314"/>
        <w:ind w:left="483" w:right="344"/>
        <w:jc w:val="both"/>
      </w:pPr>
      <w:r>
        <w:rPr/>
        <w:t>The Commission has for many years enjoyed a particularly strong relationship with the Department of Elementary and Secondary Education (DESE). The work of the Commission is closely tied to that of DESE through the Commission’s founding legislation, the funding it receives to implement anti-bullying work, and the relationships that the Safe Schools Program—which today is co-sponsored by the Commission and DESE—has forged with the Department. More recently, the Commission has also developed fruitful relationships with the Department of Early Education and Care (EEC) and the Department of Higher Education (DHE), both of which are represented along with DESE in the sections that follow.</w:t>
      </w:r>
    </w:p>
    <w:p>
      <w:pPr>
        <w:pStyle w:val="BodyText"/>
        <w:spacing w:line="276" w:lineRule="auto" w:before="239"/>
        <w:ind w:left="483" w:right="340"/>
        <w:jc w:val="both"/>
      </w:pPr>
      <w:r>
        <w:rPr/>
        <w:t>The Commission looks forward to increasing its collaboration with and between these three agencies to ensure that the policies it recommends have maximum effect. For example, public school students in Massachusetts</w:t>
      </w:r>
      <w:r>
        <w:rPr>
          <w:spacing w:val="-2"/>
        </w:rPr>
        <w:t> </w:t>
      </w:r>
      <w:r>
        <w:rPr/>
        <w:t>can</w:t>
      </w:r>
      <w:r>
        <w:rPr>
          <w:spacing w:val="-1"/>
        </w:rPr>
        <w:t> </w:t>
      </w:r>
      <w:r>
        <w:rPr/>
        <w:t>presently</w:t>
      </w:r>
      <w:r>
        <w:rPr>
          <w:spacing w:val="-2"/>
        </w:rPr>
        <w:t> </w:t>
      </w:r>
      <w:r>
        <w:rPr/>
        <w:t>elect</w:t>
      </w:r>
      <w:r>
        <w:rPr>
          <w:spacing w:val="-1"/>
        </w:rPr>
        <w:t> </w:t>
      </w:r>
      <w:r>
        <w:rPr/>
        <w:t>to</w:t>
      </w:r>
      <w:r>
        <w:rPr>
          <w:spacing w:val="-1"/>
        </w:rPr>
        <w:t> </w:t>
      </w:r>
      <w:r>
        <w:rPr/>
        <w:t>use</w:t>
      </w:r>
      <w:r>
        <w:rPr>
          <w:spacing w:val="-2"/>
        </w:rPr>
        <w:t> </w:t>
      </w:r>
      <w:r>
        <w:rPr/>
        <w:t>a</w:t>
      </w:r>
      <w:r>
        <w:rPr>
          <w:spacing w:val="-1"/>
        </w:rPr>
        <w:t> </w:t>
      </w:r>
      <w:r>
        <w:rPr/>
        <w:t>third,</w:t>
      </w:r>
      <w:r>
        <w:rPr>
          <w:spacing w:val="-2"/>
        </w:rPr>
        <w:t> </w:t>
      </w:r>
      <w:r>
        <w:rPr/>
        <w:t>nonbinary</w:t>
      </w:r>
      <w:r>
        <w:rPr>
          <w:spacing w:val="-2"/>
        </w:rPr>
        <w:t> </w:t>
      </w:r>
      <w:r>
        <w:rPr/>
        <w:t>gender</w:t>
      </w:r>
      <w:r>
        <w:rPr>
          <w:spacing w:val="-2"/>
        </w:rPr>
        <w:t> </w:t>
      </w:r>
      <w:r>
        <w:rPr/>
        <w:t>marker</w:t>
      </w:r>
      <w:r>
        <w:rPr>
          <w:spacing w:val="-2"/>
        </w:rPr>
        <w:t> </w:t>
      </w:r>
      <w:r>
        <w:rPr/>
        <w:t>in</w:t>
      </w:r>
      <w:r>
        <w:rPr>
          <w:spacing w:val="-2"/>
        </w:rPr>
        <w:t> </w:t>
      </w:r>
      <w:r>
        <w:rPr/>
        <w:t>lieu</w:t>
      </w:r>
      <w:r>
        <w:rPr>
          <w:spacing w:val="-2"/>
        </w:rPr>
        <w:t> </w:t>
      </w:r>
      <w:r>
        <w:rPr/>
        <w:t>of</w:t>
      </w:r>
      <w:r>
        <w:rPr>
          <w:spacing w:val="-2"/>
        </w:rPr>
        <w:t> </w:t>
      </w:r>
      <w:r>
        <w:rPr/>
        <w:t>“male” or</w:t>
      </w:r>
      <w:r>
        <w:rPr>
          <w:spacing w:val="-2"/>
        </w:rPr>
        <w:t> </w:t>
      </w:r>
      <w:r>
        <w:rPr/>
        <w:t>“female,” due</w:t>
      </w:r>
      <w:r>
        <w:rPr>
          <w:spacing w:val="-8"/>
        </w:rPr>
        <w:t> </w:t>
      </w:r>
      <w:r>
        <w:rPr/>
        <w:t>to</w:t>
      </w:r>
      <w:r>
        <w:rPr>
          <w:spacing w:val="-7"/>
        </w:rPr>
        <w:t> </w:t>
      </w:r>
      <w:r>
        <w:rPr/>
        <w:t>a</w:t>
      </w:r>
      <w:r>
        <w:rPr>
          <w:spacing w:val="-7"/>
        </w:rPr>
        <w:t> </w:t>
      </w:r>
      <w:r>
        <w:rPr/>
        <w:t>policy</w:t>
      </w:r>
      <w:r>
        <w:rPr>
          <w:spacing w:val="-9"/>
        </w:rPr>
        <w:t> </w:t>
      </w:r>
      <w:r>
        <w:rPr/>
        <w:t>change</w:t>
      </w:r>
      <w:r>
        <w:rPr>
          <w:spacing w:val="-8"/>
        </w:rPr>
        <w:t> </w:t>
      </w:r>
      <w:r>
        <w:rPr/>
        <w:t>at</w:t>
      </w:r>
      <w:r>
        <w:rPr>
          <w:spacing w:val="-8"/>
        </w:rPr>
        <w:t> </w:t>
      </w:r>
      <w:r>
        <w:rPr/>
        <w:t>DESE.</w:t>
      </w:r>
      <w:r>
        <w:rPr>
          <w:spacing w:val="-8"/>
        </w:rPr>
        <w:t> </w:t>
      </w:r>
      <w:r>
        <w:rPr/>
        <w:t>However,</w:t>
      </w:r>
      <w:r>
        <w:rPr>
          <w:spacing w:val="-9"/>
        </w:rPr>
        <w:t> </w:t>
      </w:r>
      <w:r>
        <w:rPr/>
        <w:t>many</w:t>
      </w:r>
      <w:r>
        <w:rPr>
          <w:spacing w:val="-6"/>
        </w:rPr>
        <w:t> </w:t>
      </w:r>
      <w:r>
        <w:rPr/>
        <w:t>colleges</w:t>
      </w:r>
      <w:r>
        <w:rPr>
          <w:spacing w:val="-8"/>
        </w:rPr>
        <w:t> </w:t>
      </w:r>
      <w:r>
        <w:rPr/>
        <w:t>and</w:t>
      </w:r>
      <w:r>
        <w:rPr>
          <w:spacing w:val="-8"/>
        </w:rPr>
        <w:t> </w:t>
      </w:r>
      <w:r>
        <w:rPr/>
        <w:t>universities</w:t>
      </w:r>
      <w:r>
        <w:rPr>
          <w:spacing w:val="-8"/>
        </w:rPr>
        <w:t> </w:t>
      </w:r>
      <w:r>
        <w:rPr/>
        <w:t>in</w:t>
      </w:r>
      <w:r>
        <w:rPr>
          <w:spacing w:val="-7"/>
        </w:rPr>
        <w:t> </w:t>
      </w:r>
      <w:r>
        <w:rPr/>
        <w:t>the</w:t>
      </w:r>
      <w:r>
        <w:rPr>
          <w:spacing w:val="-8"/>
        </w:rPr>
        <w:t> </w:t>
      </w:r>
      <w:r>
        <w:rPr/>
        <w:t>state</w:t>
      </w:r>
      <w:r>
        <w:rPr>
          <w:spacing w:val="-8"/>
        </w:rPr>
        <w:t> </w:t>
      </w:r>
      <w:r>
        <w:rPr/>
        <w:t>do</w:t>
      </w:r>
      <w:r>
        <w:rPr>
          <w:spacing w:val="-8"/>
        </w:rPr>
        <w:t> </w:t>
      </w:r>
      <w:r>
        <w:rPr/>
        <w:t>not</w:t>
      </w:r>
      <w:r>
        <w:rPr>
          <w:spacing w:val="-9"/>
        </w:rPr>
        <w:t> </w:t>
      </w:r>
      <w:r>
        <w:rPr/>
        <w:t>offer</w:t>
      </w:r>
      <w:r>
        <w:rPr>
          <w:spacing w:val="-9"/>
        </w:rPr>
        <w:t> </w:t>
      </w:r>
      <w:r>
        <w:rPr/>
        <w:t>a</w:t>
      </w:r>
      <w:r>
        <w:rPr>
          <w:spacing w:val="-7"/>
        </w:rPr>
        <w:t> </w:t>
      </w:r>
      <w:r>
        <w:rPr/>
        <w:t>similar option, leaving open an opportunity that DHE and the Commission could potentially work together to support. This is but one example of how increasing collaboration and coordination of the Commission’s recommendations to EEC, DESE, and DHE could improve service delivery for all three agencies and have an even greater impact for the Commonwealth’s LGBTQ youth.</w:t>
      </w:r>
    </w:p>
    <w:p>
      <w:pPr>
        <w:pStyle w:val="BodyText"/>
        <w:rPr>
          <w:sz w:val="20"/>
        </w:rPr>
      </w:pPr>
    </w:p>
    <w:p>
      <w:pPr>
        <w:pStyle w:val="BodyText"/>
        <w:spacing w:before="127"/>
        <w:rPr>
          <w:sz w:val="20"/>
        </w:rPr>
      </w:pPr>
      <w:r>
        <w:rPr/>
        <mc:AlternateContent>
          <mc:Choice Requires="wps">
            <w:drawing>
              <wp:anchor distT="0" distB="0" distL="0" distR="0" allowOverlap="1" layoutInCell="1" locked="0" behindDoc="1" simplePos="0" relativeHeight="487688192">
                <wp:simplePos x="0" y="0"/>
                <wp:positionH relativeFrom="page">
                  <wp:posOffset>889000</wp:posOffset>
                </wp:positionH>
                <wp:positionV relativeFrom="paragraph">
                  <wp:posOffset>251529</wp:posOffset>
                </wp:positionV>
                <wp:extent cx="6350" cy="12700"/>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9.805489pt;width:.499pt;height:.959pt;mso-position-horizontal-relative:page;mso-position-vertical-relative:paragraph;z-index:-15628288;mso-wrap-distance-left:0;mso-wrap-distance-right:0" id="docshape429" filled="true" fillcolor="#4f81bb" stroked="false">
                <v:fill type="solid"/>
                <w10:wrap type="topAndBottom"/>
              </v:rect>
            </w:pict>
          </mc:Fallback>
        </mc:AlternateContent>
      </w:r>
    </w:p>
    <w:p>
      <w:pPr>
        <w:pStyle w:val="Heading7"/>
        <w:jc w:val="both"/>
      </w:pPr>
      <w:hyperlink w:history="true" w:anchor="_bookmark4">
        <w:r>
          <w:rPr>
            <w:color w:val="365F91"/>
            <w:spacing w:val="-8"/>
          </w:rPr>
          <w:t>Department</w:t>
        </w:r>
        <w:r>
          <w:rPr>
            <w:color w:val="365F91"/>
            <w:spacing w:val="-15"/>
          </w:rPr>
          <w:t> </w:t>
        </w:r>
        <w:r>
          <w:rPr>
            <w:color w:val="365F91"/>
            <w:spacing w:val="-8"/>
          </w:rPr>
          <w:t>of</w:t>
        </w:r>
        <w:r>
          <w:rPr>
            <w:color w:val="365F91"/>
            <w:spacing w:val="-15"/>
          </w:rPr>
          <w:t> </w:t>
        </w:r>
        <w:r>
          <w:rPr>
            <w:color w:val="365F91"/>
            <w:spacing w:val="-8"/>
          </w:rPr>
          <w:t>Early</w:t>
        </w:r>
        <w:r>
          <w:rPr>
            <w:color w:val="365F91"/>
            <w:spacing w:val="-14"/>
          </w:rPr>
          <w:t> </w:t>
        </w:r>
        <w:r>
          <w:rPr>
            <w:color w:val="365F91"/>
            <w:spacing w:val="-8"/>
          </w:rPr>
          <w:t>Education</w:t>
        </w:r>
        <w:r>
          <w:rPr>
            <w:color w:val="365F91"/>
            <w:spacing w:val="-16"/>
          </w:rPr>
          <w:t> </w:t>
        </w:r>
        <w:r>
          <w:rPr>
            <w:color w:val="365F91"/>
            <w:spacing w:val="-8"/>
          </w:rPr>
          <w:t>and</w:t>
        </w:r>
        <w:r>
          <w:rPr>
            <w:color w:val="365F91"/>
            <w:spacing w:val="-13"/>
          </w:rPr>
          <w:t> </w:t>
        </w:r>
        <w:r>
          <w:rPr>
            <w:color w:val="365F91"/>
            <w:spacing w:val="-8"/>
          </w:rPr>
          <w:t>Care</w:t>
        </w:r>
      </w:hyperlink>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88704">
                <wp:simplePos x="0" y="0"/>
                <wp:positionH relativeFrom="page">
                  <wp:posOffset>889000</wp:posOffset>
                </wp:positionH>
                <wp:positionV relativeFrom="paragraph">
                  <wp:posOffset>260298</wp:posOffset>
                </wp:positionV>
                <wp:extent cx="6350" cy="12700"/>
                <wp:effectExtent l="0" t="0" r="0" b="0"/>
                <wp:wrapTopAndBottom/>
                <wp:docPr id="533" name="Graphic 533"/>
                <wp:cNvGraphicFramePr>
                  <a:graphicFrameLocks/>
                </wp:cNvGraphicFramePr>
                <a:graphic>
                  <a:graphicData uri="http://schemas.microsoft.com/office/word/2010/wordprocessingShape">
                    <wps:wsp>
                      <wps:cNvPr id="533" name="Graphic 533"/>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495907pt;width:.499pt;height:.959pt;mso-position-horizontal-relative:page;mso-position-vertical-relative:paragraph;z-index:-15627776;mso-wrap-distance-left:0;mso-wrap-distance-right:0" id="docshape430" filled="true" fillcolor="#4f81bb" stroked="false">
                <v:fill type="solid"/>
                <w10:wrap type="topAndBottom"/>
              </v:rect>
            </w:pict>
          </mc:Fallback>
        </mc:AlternateContent>
      </w:r>
    </w:p>
    <w:p>
      <w:pPr>
        <w:spacing w:before="0"/>
        <w:ind w:left="483" w:right="0" w:firstLine="0"/>
        <w:jc w:val="both"/>
        <w:rPr>
          <w:sz w:val="28"/>
        </w:rPr>
      </w:pPr>
      <w:r>
        <w:rPr>
          <w:color w:val="365F91"/>
          <w:sz w:val="28"/>
        </w:rPr>
        <w:t>FY2025</w:t>
      </w:r>
      <w:r>
        <w:rPr>
          <w:color w:val="365F91"/>
          <w:spacing w:val="-13"/>
          <w:sz w:val="28"/>
        </w:rPr>
        <w:t> </w:t>
      </w:r>
      <w:r>
        <w:rPr>
          <w:color w:val="365F91"/>
          <w:spacing w:val="-2"/>
          <w:sz w:val="28"/>
        </w:rPr>
        <w:t>Recommendations</w:t>
      </w:r>
    </w:p>
    <w:p>
      <w:pPr>
        <w:pStyle w:val="BodyText"/>
        <w:spacing w:before="11"/>
        <w:rPr>
          <w:sz w:val="3"/>
        </w:rPr>
      </w:pPr>
      <w:r>
        <w:rPr/>
        <mc:AlternateContent>
          <mc:Choice Requires="wps">
            <w:drawing>
              <wp:anchor distT="0" distB="0" distL="0" distR="0" allowOverlap="1" layoutInCell="1" locked="0" behindDoc="1" simplePos="0" relativeHeight="487689216">
                <wp:simplePos x="0" y="0"/>
                <wp:positionH relativeFrom="page">
                  <wp:posOffset>897636</wp:posOffset>
                </wp:positionH>
                <wp:positionV relativeFrom="paragraph">
                  <wp:posOffset>45594</wp:posOffset>
                </wp:positionV>
                <wp:extent cx="5976620" cy="6350"/>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90156pt;width:470.58pt;height:.48pt;mso-position-horizontal-relative:page;mso-position-vertical-relative:paragraph;z-index:-15627264;mso-wrap-distance-left:0;mso-wrap-distance-right:0" id="docshape431" filled="true" fillcolor="#4f81bc" stroked="false">
                <v:fill type="solid"/>
                <w10:wrap type="topAndBottom"/>
              </v:rect>
            </w:pict>
          </mc:Fallback>
        </mc:AlternateContent>
      </w:r>
    </w:p>
    <w:p>
      <w:pPr>
        <w:pStyle w:val="ListParagraph"/>
        <w:numPr>
          <w:ilvl w:val="1"/>
          <w:numId w:val="30"/>
        </w:numPr>
        <w:tabs>
          <w:tab w:pos="1059" w:val="left" w:leader="none"/>
        </w:tabs>
        <w:spacing w:line="276" w:lineRule="auto" w:before="241" w:after="0"/>
        <w:ind w:left="1059" w:right="343" w:hanging="360"/>
        <w:jc w:val="both"/>
        <w:rPr>
          <w:sz w:val="22"/>
        </w:rPr>
      </w:pPr>
      <w:r>
        <w:rPr>
          <w:sz w:val="22"/>
        </w:rPr>
        <w:t>Develop</w:t>
      </w:r>
      <w:r>
        <w:rPr>
          <w:spacing w:val="-13"/>
          <w:sz w:val="22"/>
        </w:rPr>
        <w:t> </w:t>
      </w:r>
      <w:r>
        <w:rPr>
          <w:sz w:val="22"/>
        </w:rPr>
        <w:t>an</w:t>
      </w:r>
      <w:r>
        <w:rPr>
          <w:spacing w:val="-12"/>
          <w:sz w:val="22"/>
        </w:rPr>
        <w:t> </w:t>
      </w:r>
      <w:r>
        <w:rPr>
          <w:sz w:val="22"/>
        </w:rPr>
        <w:t>online</w:t>
      </w:r>
      <w:r>
        <w:rPr>
          <w:spacing w:val="-13"/>
          <w:sz w:val="22"/>
        </w:rPr>
        <w:t> </w:t>
      </w:r>
      <w:r>
        <w:rPr>
          <w:sz w:val="22"/>
        </w:rPr>
        <w:t>training</w:t>
      </w:r>
      <w:r>
        <w:rPr>
          <w:spacing w:val="-12"/>
          <w:sz w:val="22"/>
        </w:rPr>
        <w:t> </w:t>
      </w:r>
      <w:r>
        <w:rPr>
          <w:sz w:val="22"/>
        </w:rPr>
        <w:t>module</w:t>
      </w:r>
      <w:r>
        <w:rPr>
          <w:spacing w:val="-13"/>
          <w:sz w:val="22"/>
        </w:rPr>
        <w:t> </w:t>
      </w:r>
      <w:r>
        <w:rPr>
          <w:sz w:val="22"/>
        </w:rPr>
        <w:t>on</w:t>
      </w:r>
      <w:r>
        <w:rPr>
          <w:spacing w:val="-12"/>
          <w:sz w:val="22"/>
        </w:rPr>
        <w:t> </w:t>
      </w:r>
      <w:r>
        <w:rPr>
          <w:sz w:val="22"/>
        </w:rPr>
        <w:t>best</w:t>
      </w:r>
      <w:r>
        <w:rPr>
          <w:spacing w:val="-13"/>
          <w:sz w:val="22"/>
        </w:rPr>
        <w:t> </w:t>
      </w:r>
      <w:r>
        <w:rPr>
          <w:sz w:val="22"/>
        </w:rPr>
        <w:t>practices</w:t>
      </w:r>
      <w:r>
        <w:rPr>
          <w:spacing w:val="-12"/>
          <w:sz w:val="22"/>
        </w:rPr>
        <w:t> </w:t>
      </w:r>
      <w:r>
        <w:rPr>
          <w:sz w:val="22"/>
        </w:rPr>
        <w:t>for</w:t>
      </w:r>
      <w:r>
        <w:rPr>
          <w:spacing w:val="-12"/>
          <w:sz w:val="22"/>
        </w:rPr>
        <w:t> </w:t>
      </w:r>
      <w:r>
        <w:rPr>
          <w:sz w:val="22"/>
        </w:rPr>
        <w:t>serving</w:t>
      </w:r>
      <w:r>
        <w:rPr>
          <w:spacing w:val="-13"/>
          <w:sz w:val="22"/>
        </w:rPr>
        <w:t> </w:t>
      </w:r>
      <w:r>
        <w:rPr>
          <w:sz w:val="22"/>
        </w:rPr>
        <w:t>LGBTQ</w:t>
      </w:r>
      <w:r>
        <w:rPr>
          <w:spacing w:val="-12"/>
          <w:sz w:val="22"/>
        </w:rPr>
        <w:t> </w:t>
      </w:r>
      <w:r>
        <w:rPr>
          <w:sz w:val="22"/>
        </w:rPr>
        <w:t>youth</w:t>
      </w:r>
      <w:r>
        <w:rPr>
          <w:spacing w:val="-13"/>
          <w:sz w:val="22"/>
        </w:rPr>
        <w:t> </w:t>
      </w:r>
      <w:r>
        <w:rPr>
          <w:sz w:val="22"/>
        </w:rPr>
        <w:t>and</w:t>
      </w:r>
      <w:r>
        <w:rPr>
          <w:spacing w:val="-12"/>
          <w:sz w:val="22"/>
        </w:rPr>
        <w:t> </w:t>
      </w:r>
      <w:r>
        <w:rPr>
          <w:sz w:val="22"/>
        </w:rPr>
        <w:t>families,</w:t>
      </w:r>
      <w:r>
        <w:rPr>
          <w:spacing w:val="-13"/>
          <w:sz w:val="22"/>
        </w:rPr>
        <w:t> </w:t>
      </w:r>
      <w:r>
        <w:rPr>
          <w:sz w:val="22"/>
        </w:rPr>
        <w:t>and</w:t>
      </w:r>
      <w:r>
        <w:rPr>
          <w:spacing w:val="-12"/>
          <w:sz w:val="22"/>
        </w:rPr>
        <w:t> </w:t>
      </w:r>
      <w:r>
        <w:rPr>
          <w:sz w:val="22"/>
        </w:rPr>
        <w:t>offer in-person cultural awareness trainings for EEC staff.</w:t>
      </w:r>
    </w:p>
    <w:p>
      <w:pPr>
        <w:pStyle w:val="ListParagraph"/>
        <w:numPr>
          <w:ilvl w:val="1"/>
          <w:numId w:val="30"/>
        </w:numPr>
        <w:tabs>
          <w:tab w:pos="1058" w:val="left" w:leader="none"/>
        </w:tabs>
        <w:spacing w:line="268" w:lineRule="exact" w:before="0" w:after="0"/>
        <w:ind w:left="1058" w:right="0" w:hanging="359"/>
        <w:jc w:val="both"/>
        <w:rPr>
          <w:sz w:val="22"/>
        </w:rPr>
      </w:pPr>
      <w:r>
        <w:rPr>
          <w:sz w:val="22"/>
        </w:rPr>
        <w:t>Clarify</w:t>
      </w:r>
      <w:r>
        <w:rPr>
          <w:spacing w:val="-8"/>
          <w:sz w:val="22"/>
        </w:rPr>
        <w:t> </w:t>
      </w:r>
      <w:r>
        <w:rPr>
          <w:sz w:val="22"/>
        </w:rPr>
        <w:t>that</w:t>
      </w:r>
      <w:r>
        <w:rPr>
          <w:spacing w:val="-7"/>
          <w:sz w:val="22"/>
        </w:rPr>
        <w:t> </w:t>
      </w:r>
      <w:r>
        <w:rPr>
          <w:sz w:val="22"/>
        </w:rPr>
        <w:t>providers</w:t>
      </w:r>
      <w:r>
        <w:rPr>
          <w:spacing w:val="-8"/>
          <w:sz w:val="22"/>
        </w:rPr>
        <w:t> </w:t>
      </w:r>
      <w:r>
        <w:rPr>
          <w:sz w:val="22"/>
        </w:rPr>
        <w:t>can</w:t>
      </w:r>
      <w:r>
        <w:rPr>
          <w:spacing w:val="-8"/>
          <w:sz w:val="22"/>
        </w:rPr>
        <w:t> </w:t>
      </w:r>
      <w:r>
        <w:rPr>
          <w:sz w:val="22"/>
        </w:rPr>
        <w:t>and</w:t>
      </w:r>
      <w:r>
        <w:rPr>
          <w:spacing w:val="-8"/>
          <w:sz w:val="22"/>
        </w:rPr>
        <w:t> </w:t>
      </w:r>
      <w:r>
        <w:rPr>
          <w:sz w:val="22"/>
        </w:rPr>
        <w:t>should</w:t>
      </w:r>
      <w:r>
        <w:rPr>
          <w:spacing w:val="-7"/>
          <w:sz w:val="22"/>
        </w:rPr>
        <w:t> </w:t>
      </w:r>
      <w:r>
        <w:rPr>
          <w:sz w:val="22"/>
        </w:rPr>
        <w:t>house</w:t>
      </w:r>
      <w:r>
        <w:rPr>
          <w:spacing w:val="-7"/>
          <w:sz w:val="22"/>
        </w:rPr>
        <w:t> </w:t>
      </w:r>
      <w:r>
        <w:rPr>
          <w:sz w:val="22"/>
        </w:rPr>
        <w:t>transgender</w:t>
      </w:r>
      <w:r>
        <w:rPr>
          <w:spacing w:val="-8"/>
          <w:sz w:val="22"/>
        </w:rPr>
        <w:t> </w:t>
      </w:r>
      <w:r>
        <w:rPr>
          <w:sz w:val="22"/>
        </w:rPr>
        <w:t>youth</w:t>
      </w:r>
      <w:r>
        <w:rPr>
          <w:spacing w:val="-8"/>
          <w:sz w:val="22"/>
        </w:rPr>
        <w:t> </w:t>
      </w:r>
      <w:r>
        <w:rPr>
          <w:sz w:val="22"/>
        </w:rPr>
        <w:t>based</w:t>
      </w:r>
      <w:r>
        <w:rPr>
          <w:spacing w:val="-8"/>
          <w:sz w:val="22"/>
        </w:rPr>
        <w:t> </w:t>
      </w:r>
      <w:r>
        <w:rPr>
          <w:sz w:val="22"/>
        </w:rPr>
        <w:t>on</w:t>
      </w:r>
      <w:r>
        <w:rPr>
          <w:spacing w:val="-7"/>
          <w:sz w:val="22"/>
        </w:rPr>
        <w:t> </w:t>
      </w:r>
      <w:r>
        <w:rPr>
          <w:sz w:val="22"/>
        </w:rPr>
        <w:t>their</w:t>
      </w:r>
      <w:r>
        <w:rPr>
          <w:spacing w:val="-7"/>
          <w:sz w:val="22"/>
        </w:rPr>
        <w:t> </w:t>
      </w:r>
      <w:r>
        <w:rPr>
          <w:sz w:val="22"/>
        </w:rPr>
        <w:t>gender</w:t>
      </w:r>
      <w:r>
        <w:rPr>
          <w:spacing w:val="-8"/>
          <w:sz w:val="22"/>
        </w:rPr>
        <w:t> </w:t>
      </w:r>
      <w:r>
        <w:rPr>
          <w:spacing w:val="-2"/>
          <w:sz w:val="22"/>
        </w:rPr>
        <w:t>identity.</w:t>
      </w:r>
    </w:p>
    <w:p>
      <w:pPr>
        <w:pStyle w:val="ListParagraph"/>
        <w:numPr>
          <w:ilvl w:val="1"/>
          <w:numId w:val="30"/>
        </w:numPr>
        <w:tabs>
          <w:tab w:pos="1059" w:val="left" w:leader="none"/>
        </w:tabs>
        <w:spacing w:line="276" w:lineRule="auto" w:before="41" w:after="0"/>
        <w:ind w:left="1059" w:right="344" w:hanging="360"/>
        <w:jc w:val="both"/>
        <w:rPr>
          <w:sz w:val="22"/>
        </w:rPr>
      </w:pPr>
      <w:r>
        <w:rPr>
          <w:sz w:val="22"/>
        </w:rPr>
        <w:t>Continue to collaborate with the Department of Elementary and Secondary Education (DESE) and other state agencies on the Statewide Family Engagement Framework (prenatal through post- secondary) to ensure that LGBTQ content and family diversity are well-represented.</w:t>
      </w:r>
    </w:p>
    <w:p>
      <w:pPr>
        <w:pStyle w:val="ListParagraph"/>
        <w:numPr>
          <w:ilvl w:val="1"/>
          <w:numId w:val="30"/>
        </w:numPr>
        <w:tabs>
          <w:tab w:pos="1058" w:val="left" w:leader="none"/>
        </w:tabs>
        <w:spacing w:line="240" w:lineRule="auto" w:before="0" w:after="0"/>
        <w:ind w:left="1058" w:right="0" w:hanging="359"/>
        <w:jc w:val="both"/>
        <w:rPr>
          <w:sz w:val="22"/>
        </w:rPr>
      </w:pPr>
      <w:r>
        <w:rPr>
          <w:sz w:val="22"/>
        </w:rPr>
        <w:t>Include</w:t>
      </w:r>
      <w:r>
        <w:rPr>
          <w:spacing w:val="-8"/>
          <w:sz w:val="22"/>
        </w:rPr>
        <w:t> </w:t>
      </w:r>
      <w:r>
        <w:rPr>
          <w:sz w:val="22"/>
        </w:rPr>
        <w:t>a</w:t>
      </w:r>
      <w:r>
        <w:rPr>
          <w:spacing w:val="-7"/>
          <w:sz w:val="22"/>
        </w:rPr>
        <w:t> </w:t>
      </w:r>
      <w:r>
        <w:rPr>
          <w:sz w:val="22"/>
        </w:rPr>
        <w:t>non-binary</w:t>
      </w:r>
      <w:r>
        <w:rPr>
          <w:spacing w:val="-8"/>
          <w:sz w:val="22"/>
        </w:rPr>
        <w:t> </w:t>
      </w:r>
      <w:r>
        <w:rPr>
          <w:sz w:val="22"/>
        </w:rPr>
        <w:t>gender</w:t>
      </w:r>
      <w:r>
        <w:rPr>
          <w:spacing w:val="-8"/>
          <w:sz w:val="22"/>
        </w:rPr>
        <w:t> </w:t>
      </w:r>
      <w:r>
        <w:rPr>
          <w:sz w:val="22"/>
        </w:rPr>
        <w:t>marker</w:t>
      </w:r>
      <w:r>
        <w:rPr>
          <w:spacing w:val="-7"/>
          <w:sz w:val="22"/>
        </w:rPr>
        <w:t> </w:t>
      </w:r>
      <w:r>
        <w:rPr>
          <w:sz w:val="22"/>
        </w:rPr>
        <w:t>option</w:t>
      </w:r>
      <w:r>
        <w:rPr>
          <w:spacing w:val="-8"/>
          <w:sz w:val="22"/>
        </w:rPr>
        <w:t> </w:t>
      </w:r>
      <w:r>
        <w:rPr>
          <w:sz w:val="22"/>
        </w:rPr>
        <w:t>during</w:t>
      </w:r>
      <w:r>
        <w:rPr>
          <w:spacing w:val="-7"/>
          <w:sz w:val="22"/>
        </w:rPr>
        <w:t> </w:t>
      </w:r>
      <w:r>
        <w:rPr>
          <w:sz w:val="22"/>
        </w:rPr>
        <w:t>the</w:t>
      </w:r>
      <w:r>
        <w:rPr>
          <w:spacing w:val="-8"/>
          <w:sz w:val="22"/>
        </w:rPr>
        <w:t> </w:t>
      </w:r>
      <w:r>
        <w:rPr>
          <w:sz w:val="22"/>
        </w:rPr>
        <w:t>development</w:t>
      </w:r>
      <w:r>
        <w:rPr>
          <w:spacing w:val="-8"/>
          <w:sz w:val="22"/>
        </w:rPr>
        <w:t> </w:t>
      </w:r>
      <w:r>
        <w:rPr>
          <w:sz w:val="22"/>
        </w:rPr>
        <w:t>of</w:t>
      </w:r>
      <w:r>
        <w:rPr>
          <w:spacing w:val="-7"/>
          <w:sz w:val="22"/>
        </w:rPr>
        <w:t> </w:t>
      </w:r>
      <w:r>
        <w:rPr>
          <w:sz w:val="22"/>
        </w:rPr>
        <w:t>EEC’s</w:t>
      </w:r>
      <w:r>
        <w:rPr>
          <w:spacing w:val="-8"/>
          <w:sz w:val="22"/>
        </w:rPr>
        <w:t> </w:t>
      </w:r>
      <w:r>
        <w:rPr>
          <w:sz w:val="22"/>
        </w:rPr>
        <w:t>online</w:t>
      </w:r>
      <w:r>
        <w:rPr>
          <w:spacing w:val="-8"/>
          <w:sz w:val="22"/>
        </w:rPr>
        <w:t> </w:t>
      </w:r>
      <w:r>
        <w:rPr>
          <w:spacing w:val="-2"/>
          <w:sz w:val="22"/>
        </w:rPr>
        <w:t>applications.</w:t>
      </w:r>
    </w:p>
    <w:p>
      <w:pPr>
        <w:pStyle w:val="ListParagraph"/>
        <w:numPr>
          <w:ilvl w:val="1"/>
          <w:numId w:val="30"/>
        </w:numPr>
        <w:tabs>
          <w:tab w:pos="1058" w:val="left" w:leader="none"/>
        </w:tabs>
        <w:spacing w:line="240" w:lineRule="auto" w:before="40" w:after="0"/>
        <w:ind w:left="1058" w:right="0" w:hanging="359"/>
        <w:jc w:val="both"/>
        <w:rPr>
          <w:sz w:val="22"/>
        </w:rPr>
      </w:pPr>
      <w:r>
        <w:rPr>
          <w:sz w:val="22"/>
        </w:rPr>
        <w:t>Share</w:t>
      </w:r>
      <w:r>
        <w:rPr>
          <w:spacing w:val="-9"/>
          <w:sz w:val="22"/>
        </w:rPr>
        <w:t> </w:t>
      </w:r>
      <w:r>
        <w:rPr>
          <w:sz w:val="22"/>
        </w:rPr>
        <w:t>information</w:t>
      </w:r>
      <w:r>
        <w:rPr>
          <w:spacing w:val="-8"/>
          <w:sz w:val="22"/>
        </w:rPr>
        <w:t> </w:t>
      </w:r>
      <w:r>
        <w:rPr>
          <w:sz w:val="22"/>
        </w:rPr>
        <w:t>and</w:t>
      </w:r>
      <w:r>
        <w:rPr>
          <w:spacing w:val="-8"/>
          <w:sz w:val="22"/>
        </w:rPr>
        <w:t> </w:t>
      </w:r>
      <w:r>
        <w:rPr>
          <w:sz w:val="22"/>
        </w:rPr>
        <w:t>best</w:t>
      </w:r>
      <w:r>
        <w:rPr>
          <w:spacing w:val="-8"/>
          <w:sz w:val="22"/>
        </w:rPr>
        <w:t> </w:t>
      </w:r>
      <w:r>
        <w:rPr>
          <w:sz w:val="22"/>
        </w:rPr>
        <w:t>practices</w:t>
      </w:r>
      <w:r>
        <w:rPr>
          <w:spacing w:val="-9"/>
          <w:sz w:val="22"/>
        </w:rPr>
        <w:t> </w:t>
      </w:r>
      <w:r>
        <w:rPr>
          <w:sz w:val="22"/>
        </w:rPr>
        <w:t>related</w:t>
      </w:r>
      <w:r>
        <w:rPr>
          <w:spacing w:val="-7"/>
          <w:sz w:val="22"/>
        </w:rPr>
        <w:t> </w:t>
      </w:r>
      <w:r>
        <w:rPr>
          <w:sz w:val="22"/>
        </w:rPr>
        <w:t>to</w:t>
      </w:r>
      <w:r>
        <w:rPr>
          <w:spacing w:val="-8"/>
          <w:sz w:val="22"/>
        </w:rPr>
        <w:t> </w:t>
      </w:r>
      <w:r>
        <w:rPr>
          <w:sz w:val="22"/>
        </w:rPr>
        <w:t>early</w:t>
      </w:r>
      <w:r>
        <w:rPr>
          <w:spacing w:val="-8"/>
          <w:sz w:val="22"/>
        </w:rPr>
        <w:t> </w:t>
      </w:r>
      <w:r>
        <w:rPr>
          <w:sz w:val="22"/>
        </w:rPr>
        <w:t>education</w:t>
      </w:r>
      <w:r>
        <w:rPr>
          <w:spacing w:val="-8"/>
          <w:sz w:val="22"/>
        </w:rPr>
        <w:t> </w:t>
      </w:r>
      <w:r>
        <w:rPr>
          <w:spacing w:val="-2"/>
          <w:sz w:val="22"/>
        </w:rPr>
        <w:t>populations.</w:t>
      </w:r>
    </w:p>
    <w:p>
      <w:pPr>
        <w:pStyle w:val="BodyText"/>
        <w:spacing w:before="10"/>
      </w:pPr>
    </w:p>
    <w:p>
      <w:pPr>
        <w:spacing w:before="1"/>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689728">
                <wp:simplePos x="0" y="0"/>
                <wp:positionH relativeFrom="page">
                  <wp:posOffset>897636</wp:posOffset>
                </wp:positionH>
                <wp:positionV relativeFrom="paragraph">
                  <wp:posOffset>45199</wp:posOffset>
                </wp:positionV>
                <wp:extent cx="5976620" cy="6350"/>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59053pt;width:470.58pt;height:.48pt;mso-position-horizontal-relative:page;mso-position-vertical-relative:paragraph;z-index:-15626752;mso-wrap-distance-left:0;mso-wrap-distance-right:0" id="docshape432" filled="true" fillcolor="#4f81bc" stroked="false">
                <v:fill type="solid"/>
                <w10:wrap type="topAndBottom"/>
              </v:rect>
            </w:pict>
          </mc:Fallback>
        </mc:AlternateContent>
      </w:r>
    </w:p>
    <w:p>
      <w:pPr>
        <w:pStyle w:val="BodyText"/>
        <w:spacing w:line="276" w:lineRule="auto" w:before="241"/>
        <w:ind w:left="483" w:right="342"/>
        <w:jc w:val="both"/>
      </w:pPr>
      <w:r>
        <w:rPr/>
        <w:t>The Department of Early Education and Care (EEC) not only provides guidance on early education, but also assists teenage parents, and licenses child-serving organizations that work with the state government, including temporary shelters and foster homes. The Commission has worked with EEC for several years and is appreciative of EEC’s commitment to youth of all ages under its care.</w:t>
      </w:r>
    </w:p>
    <w:p>
      <w:pPr>
        <w:spacing w:after="0" w:line="276" w:lineRule="auto"/>
        <w:jc w:val="both"/>
        <w:sectPr>
          <w:headerReference w:type="default" r:id="rId706"/>
          <w:footerReference w:type="default" r:id="rId707"/>
          <w:pgSz w:w="12240" w:h="15840"/>
          <w:pgMar w:header="804" w:footer="1250" w:top="1000" w:bottom="1440" w:left="960" w:right="1100"/>
        </w:sectPr>
      </w:pPr>
    </w:p>
    <w:p>
      <w:pPr>
        <w:pStyle w:val="BodyText"/>
        <w:spacing w:line="276" w:lineRule="auto" w:before="139"/>
        <w:ind w:left="483" w:right="342"/>
        <w:jc w:val="both"/>
      </w:pPr>
      <w:r>
        <w:rPr/>
        <w:t>EEC</w:t>
      </w:r>
      <w:r>
        <w:rPr>
          <w:spacing w:val="-5"/>
        </w:rPr>
        <w:t> </w:t>
      </w:r>
      <w:r>
        <w:rPr/>
        <w:t>is</w:t>
      </w:r>
      <w:r>
        <w:rPr>
          <w:spacing w:val="-6"/>
        </w:rPr>
        <w:t> </w:t>
      </w:r>
      <w:r>
        <w:rPr/>
        <w:t>well-positioned</w:t>
      </w:r>
      <w:r>
        <w:rPr>
          <w:spacing w:val="-6"/>
        </w:rPr>
        <w:t> </w:t>
      </w:r>
      <w:r>
        <w:rPr/>
        <w:t>to</w:t>
      </w:r>
      <w:r>
        <w:rPr>
          <w:spacing w:val="-6"/>
        </w:rPr>
        <w:t> </w:t>
      </w:r>
      <w:r>
        <w:rPr/>
        <w:t>support</w:t>
      </w:r>
      <w:r>
        <w:rPr>
          <w:spacing w:val="-6"/>
        </w:rPr>
        <w:t> </w:t>
      </w:r>
      <w:r>
        <w:rPr/>
        <w:t>youth</w:t>
      </w:r>
      <w:r>
        <w:rPr>
          <w:spacing w:val="-4"/>
        </w:rPr>
        <w:t> </w:t>
      </w:r>
      <w:r>
        <w:rPr/>
        <w:t>in</w:t>
      </w:r>
      <w:r>
        <w:rPr>
          <w:spacing w:val="-7"/>
        </w:rPr>
        <w:t> </w:t>
      </w:r>
      <w:r>
        <w:rPr/>
        <w:t>early</w:t>
      </w:r>
      <w:r>
        <w:rPr>
          <w:spacing w:val="-5"/>
        </w:rPr>
        <w:t> </w:t>
      </w:r>
      <w:r>
        <w:rPr/>
        <w:t>education</w:t>
      </w:r>
      <w:r>
        <w:rPr>
          <w:spacing w:val="-7"/>
        </w:rPr>
        <w:t> </w:t>
      </w:r>
      <w:r>
        <w:rPr/>
        <w:t>programs,</w:t>
      </w:r>
      <w:r>
        <w:rPr>
          <w:spacing w:val="-6"/>
        </w:rPr>
        <w:t> </w:t>
      </w:r>
      <w:r>
        <w:rPr/>
        <w:t>as</w:t>
      </w:r>
      <w:r>
        <w:rPr>
          <w:spacing w:val="-6"/>
        </w:rPr>
        <w:t> </w:t>
      </w:r>
      <w:r>
        <w:rPr/>
        <w:t>well</w:t>
      </w:r>
      <w:r>
        <w:rPr>
          <w:spacing w:val="-5"/>
        </w:rPr>
        <w:t> </w:t>
      </w:r>
      <w:r>
        <w:rPr/>
        <w:t>as</w:t>
      </w:r>
      <w:r>
        <w:rPr>
          <w:spacing w:val="-5"/>
        </w:rPr>
        <w:t> </w:t>
      </w:r>
      <w:r>
        <w:rPr/>
        <w:t>LGBTQ</w:t>
      </w:r>
      <w:r>
        <w:rPr>
          <w:spacing w:val="-6"/>
        </w:rPr>
        <w:t> </w:t>
      </w:r>
      <w:r>
        <w:rPr/>
        <w:t>youth</w:t>
      </w:r>
      <w:r>
        <w:rPr>
          <w:spacing w:val="-6"/>
        </w:rPr>
        <w:t> </w:t>
      </w:r>
      <w:r>
        <w:rPr/>
        <w:t>impacted</w:t>
      </w:r>
      <w:r>
        <w:rPr>
          <w:spacing w:val="-6"/>
        </w:rPr>
        <w:t> </w:t>
      </w:r>
      <w:r>
        <w:rPr/>
        <w:t>by systemic oppression through its process of licensing child-serving organizations, including temporary shelters and foster homes. The Commission continues to hear that agencies managing group homes are unsure of best practices for serving LGBTQ youth, and that they believe existing licensing requirements are a barrier to housing transgender young people according to their gender identity rather than sex assigned at birth.</w:t>
      </w:r>
    </w:p>
    <w:p>
      <w:pPr>
        <w:pStyle w:val="BodyText"/>
        <w:spacing w:line="276" w:lineRule="auto" w:before="239"/>
        <w:ind w:left="483" w:right="345" w:firstLine="50"/>
        <w:jc w:val="both"/>
      </w:pPr>
      <w:r>
        <w:rPr/>
        <w:t>Beyond the recommendations issued below, the Commission looks forward to working with EEC to examine</w:t>
      </w:r>
      <w:r>
        <w:rPr>
          <w:spacing w:val="-13"/>
        </w:rPr>
        <w:t> </w:t>
      </w:r>
      <w:r>
        <w:rPr/>
        <w:t>how</w:t>
      </w:r>
      <w:r>
        <w:rPr>
          <w:spacing w:val="-12"/>
        </w:rPr>
        <w:t> </w:t>
      </w:r>
      <w:r>
        <w:rPr/>
        <w:t>LGBTQ</w:t>
      </w:r>
      <w:r>
        <w:rPr>
          <w:spacing w:val="-13"/>
        </w:rPr>
        <w:t> </w:t>
      </w:r>
      <w:r>
        <w:rPr/>
        <w:t>competencies</w:t>
      </w:r>
      <w:r>
        <w:rPr>
          <w:spacing w:val="-12"/>
        </w:rPr>
        <w:t> </w:t>
      </w:r>
      <w:r>
        <w:rPr/>
        <w:t>might</w:t>
      </w:r>
      <w:r>
        <w:rPr>
          <w:spacing w:val="-13"/>
        </w:rPr>
        <w:t> </w:t>
      </w:r>
      <w:r>
        <w:rPr/>
        <w:t>be</w:t>
      </w:r>
      <w:r>
        <w:rPr>
          <w:spacing w:val="-12"/>
        </w:rPr>
        <w:t> </w:t>
      </w:r>
      <w:r>
        <w:rPr/>
        <w:t>included</w:t>
      </w:r>
      <w:r>
        <w:rPr>
          <w:spacing w:val="-13"/>
        </w:rPr>
        <w:t> </w:t>
      </w:r>
      <w:r>
        <w:rPr/>
        <w:t>in</w:t>
      </w:r>
      <w:r>
        <w:rPr>
          <w:spacing w:val="-12"/>
        </w:rPr>
        <w:t> </w:t>
      </w:r>
      <w:r>
        <w:rPr/>
        <w:t>the</w:t>
      </w:r>
      <w:r>
        <w:rPr>
          <w:spacing w:val="-12"/>
        </w:rPr>
        <w:t> </w:t>
      </w:r>
      <w:r>
        <w:rPr/>
        <w:t>Professional</w:t>
      </w:r>
      <w:r>
        <w:rPr>
          <w:spacing w:val="-13"/>
        </w:rPr>
        <w:t> </w:t>
      </w:r>
      <w:r>
        <w:rPr/>
        <w:t>Qualifications</w:t>
      </w:r>
      <w:r>
        <w:rPr>
          <w:spacing w:val="-12"/>
        </w:rPr>
        <w:t> </w:t>
      </w:r>
      <w:r>
        <w:rPr/>
        <w:t>Registry</w:t>
      </w:r>
      <w:r>
        <w:rPr>
          <w:spacing w:val="-13"/>
        </w:rPr>
        <w:t> </w:t>
      </w:r>
      <w:r>
        <w:rPr/>
        <w:t>database.</w:t>
      </w:r>
    </w:p>
    <w:p>
      <w:pPr>
        <w:pStyle w:val="BodyText"/>
      </w:pPr>
    </w:p>
    <w:p>
      <w:pPr>
        <w:pStyle w:val="BodyText"/>
        <w:spacing w:before="63"/>
      </w:pPr>
    </w:p>
    <w:p>
      <w:pPr>
        <w:spacing w:before="0"/>
        <w:ind w:left="483" w:right="0" w:firstLine="0"/>
        <w:jc w:val="both"/>
        <w:rPr>
          <w:sz w:val="28"/>
        </w:rPr>
      </w:pPr>
      <w:r>
        <w:rPr>
          <w:color w:val="365F91"/>
          <w:sz w:val="28"/>
        </w:rPr>
        <w:t>FY</w:t>
      </w:r>
      <w:r>
        <w:rPr>
          <w:color w:val="365F91"/>
          <w:spacing w:val="-8"/>
          <w:sz w:val="28"/>
        </w:rPr>
        <w:t> </w:t>
      </w:r>
      <w:r>
        <w:rPr>
          <w:color w:val="365F91"/>
          <w:sz w:val="28"/>
        </w:rPr>
        <w:t>2025</w:t>
      </w:r>
      <w:r>
        <w:rPr>
          <w:color w:val="365F91"/>
          <w:spacing w:val="-8"/>
          <w:sz w:val="28"/>
        </w:rPr>
        <w:t> </w:t>
      </w:r>
      <w:r>
        <w:rPr>
          <w:color w:val="365F91"/>
          <w:sz w:val="28"/>
        </w:rPr>
        <w:t>Expanded</w:t>
      </w:r>
      <w:r>
        <w:rPr>
          <w:color w:val="365F91"/>
          <w:spacing w:val="-9"/>
          <w:sz w:val="28"/>
        </w:rPr>
        <w:t> </w:t>
      </w:r>
      <w:r>
        <w:rPr>
          <w:color w:val="365F91"/>
          <w:sz w:val="28"/>
        </w:rPr>
        <w:t>EEC</w:t>
      </w:r>
      <w:r>
        <w:rPr>
          <w:color w:val="365F91"/>
          <w:spacing w:val="-8"/>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690240">
                <wp:simplePos x="0" y="0"/>
                <wp:positionH relativeFrom="page">
                  <wp:posOffset>897636</wp:posOffset>
                </wp:positionH>
                <wp:positionV relativeFrom="paragraph">
                  <wp:posOffset>44507</wp:posOffset>
                </wp:positionV>
                <wp:extent cx="5976620" cy="6350"/>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4531pt;width:470.58pt;height:.48pt;mso-position-horizontal-relative:page;mso-position-vertical-relative:paragraph;z-index:-15626240;mso-wrap-distance-left:0;mso-wrap-distance-right:0" id="docshape433" filled="true" fillcolor="#4f81bc" stroked="false">
                <v:fill type="solid"/>
                <w10:wrap type="topAndBottom"/>
              </v:rect>
            </w:pict>
          </mc:Fallback>
        </mc:AlternateContent>
      </w:r>
    </w:p>
    <w:p>
      <w:pPr>
        <w:numPr>
          <w:ilvl w:val="0"/>
          <w:numId w:val="31"/>
        </w:numPr>
        <w:tabs>
          <w:tab w:pos="481" w:val="left" w:leader="none"/>
          <w:tab w:pos="483" w:val="left" w:leader="none"/>
        </w:tabs>
        <w:spacing w:line="276" w:lineRule="auto" w:before="241"/>
        <w:ind w:left="483" w:right="345" w:hanging="360"/>
        <w:jc w:val="left"/>
        <w:rPr>
          <w:b/>
          <w:sz w:val="22"/>
        </w:rPr>
      </w:pPr>
      <w:r>
        <w:rPr>
          <w:b/>
          <w:sz w:val="22"/>
        </w:rPr>
        <w:t>Develop</w:t>
      </w:r>
      <w:r>
        <w:rPr>
          <w:b/>
          <w:spacing w:val="-8"/>
          <w:sz w:val="22"/>
        </w:rPr>
        <w:t> </w:t>
      </w:r>
      <w:r>
        <w:rPr>
          <w:b/>
          <w:sz w:val="22"/>
        </w:rPr>
        <w:t>an</w:t>
      </w:r>
      <w:r>
        <w:rPr>
          <w:b/>
          <w:spacing w:val="-8"/>
          <w:sz w:val="22"/>
        </w:rPr>
        <w:t> </w:t>
      </w:r>
      <w:r>
        <w:rPr>
          <w:b/>
          <w:sz w:val="22"/>
        </w:rPr>
        <w:t>online</w:t>
      </w:r>
      <w:r>
        <w:rPr>
          <w:b/>
          <w:spacing w:val="-8"/>
          <w:sz w:val="22"/>
        </w:rPr>
        <w:t> </w:t>
      </w:r>
      <w:r>
        <w:rPr>
          <w:b/>
          <w:sz w:val="22"/>
        </w:rPr>
        <w:t>training</w:t>
      </w:r>
      <w:r>
        <w:rPr>
          <w:b/>
          <w:spacing w:val="-7"/>
          <w:sz w:val="22"/>
        </w:rPr>
        <w:t> </w:t>
      </w:r>
      <w:r>
        <w:rPr>
          <w:b/>
          <w:sz w:val="22"/>
        </w:rPr>
        <w:t>module</w:t>
      </w:r>
      <w:r>
        <w:rPr>
          <w:b/>
          <w:spacing w:val="-8"/>
          <w:sz w:val="22"/>
        </w:rPr>
        <w:t> </w:t>
      </w:r>
      <w:r>
        <w:rPr>
          <w:b/>
          <w:sz w:val="22"/>
        </w:rPr>
        <w:t>on</w:t>
      </w:r>
      <w:r>
        <w:rPr>
          <w:b/>
          <w:spacing w:val="-8"/>
          <w:sz w:val="22"/>
        </w:rPr>
        <w:t> </w:t>
      </w:r>
      <w:r>
        <w:rPr>
          <w:b/>
          <w:sz w:val="22"/>
        </w:rPr>
        <w:t>best</w:t>
      </w:r>
      <w:r>
        <w:rPr>
          <w:b/>
          <w:spacing w:val="-8"/>
          <w:sz w:val="22"/>
        </w:rPr>
        <w:t> </w:t>
      </w:r>
      <w:r>
        <w:rPr>
          <w:b/>
          <w:sz w:val="22"/>
        </w:rPr>
        <w:t>practices</w:t>
      </w:r>
      <w:r>
        <w:rPr>
          <w:b/>
          <w:spacing w:val="-8"/>
          <w:sz w:val="22"/>
        </w:rPr>
        <w:t> </w:t>
      </w:r>
      <w:r>
        <w:rPr>
          <w:b/>
          <w:sz w:val="22"/>
        </w:rPr>
        <w:t>for</w:t>
      </w:r>
      <w:r>
        <w:rPr>
          <w:b/>
          <w:spacing w:val="-9"/>
          <w:sz w:val="22"/>
        </w:rPr>
        <w:t> </w:t>
      </w:r>
      <w:r>
        <w:rPr>
          <w:b/>
          <w:sz w:val="22"/>
        </w:rPr>
        <w:t>serving</w:t>
      </w:r>
      <w:r>
        <w:rPr>
          <w:b/>
          <w:spacing w:val="-7"/>
          <w:sz w:val="22"/>
        </w:rPr>
        <w:t> </w:t>
      </w:r>
      <w:r>
        <w:rPr>
          <w:b/>
          <w:sz w:val="22"/>
        </w:rPr>
        <w:t>LGBTQ</w:t>
      </w:r>
      <w:r>
        <w:rPr>
          <w:b/>
          <w:spacing w:val="-8"/>
          <w:sz w:val="22"/>
        </w:rPr>
        <w:t> </w:t>
      </w:r>
      <w:r>
        <w:rPr>
          <w:b/>
          <w:sz w:val="22"/>
        </w:rPr>
        <w:t>youth</w:t>
      </w:r>
      <w:r>
        <w:rPr>
          <w:b/>
          <w:spacing w:val="-8"/>
          <w:sz w:val="22"/>
        </w:rPr>
        <w:t> </w:t>
      </w:r>
      <w:r>
        <w:rPr>
          <w:b/>
          <w:sz w:val="22"/>
        </w:rPr>
        <w:t>and</w:t>
      </w:r>
      <w:r>
        <w:rPr>
          <w:b/>
          <w:spacing w:val="-8"/>
          <w:sz w:val="22"/>
        </w:rPr>
        <w:t> </w:t>
      </w:r>
      <w:r>
        <w:rPr>
          <w:b/>
          <w:sz w:val="22"/>
        </w:rPr>
        <w:t>families,</w:t>
      </w:r>
      <w:r>
        <w:rPr>
          <w:b/>
          <w:spacing w:val="-8"/>
          <w:sz w:val="22"/>
        </w:rPr>
        <w:t> </w:t>
      </w:r>
      <w:r>
        <w:rPr>
          <w:b/>
          <w:sz w:val="22"/>
        </w:rPr>
        <w:t>and</w:t>
      </w:r>
      <w:r>
        <w:rPr>
          <w:b/>
          <w:spacing w:val="-8"/>
          <w:sz w:val="22"/>
        </w:rPr>
        <w:t> </w:t>
      </w:r>
      <w:r>
        <w:rPr>
          <w:b/>
          <w:sz w:val="22"/>
        </w:rPr>
        <w:t>offer</w:t>
      </w:r>
      <w:r>
        <w:rPr>
          <w:b/>
          <w:spacing w:val="-9"/>
          <w:sz w:val="22"/>
        </w:rPr>
        <w:t> </w:t>
      </w:r>
      <w:r>
        <w:rPr>
          <w:b/>
          <w:sz w:val="22"/>
        </w:rPr>
        <w:t>in- person cultural awareness trainings for EEC staff.</w:t>
      </w:r>
    </w:p>
    <w:p>
      <w:pPr>
        <w:pStyle w:val="BodyText"/>
        <w:spacing w:line="276" w:lineRule="auto" w:before="241"/>
        <w:ind w:left="483" w:right="343"/>
        <w:jc w:val="both"/>
      </w:pPr>
      <w:r>
        <w:rPr/>
        <w:t>Like many state agencies, EEC relies on online training modules for many of its trainings. Therefore, the Commission recommends that in the upcoming fiscal year EEC develops a regularly-updated module, or continuing</w:t>
      </w:r>
      <w:r>
        <w:rPr>
          <w:spacing w:val="-10"/>
        </w:rPr>
        <w:t> </w:t>
      </w:r>
      <w:r>
        <w:rPr/>
        <w:t>education</w:t>
      </w:r>
      <w:r>
        <w:rPr>
          <w:spacing w:val="-11"/>
        </w:rPr>
        <w:t> </w:t>
      </w:r>
      <w:r>
        <w:rPr/>
        <w:t>unit,</w:t>
      </w:r>
      <w:r>
        <w:rPr>
          <w:spacing w:val="-9"/>
        </w:rPr>
        <w:t> </w:t>
      </w:r>
      <w:r>
        <w:rPr/>
        <w:t>that</w:t>
      </w:r>
      <w:r>
        <w:rPr>
          <w:spacing w:val="-11"/>
        </w:rPr>
        <w:t> </w:t>
      </w:r>
      <w:r>
        <w:rPr/>
        <w:t>incorporates</w:t>
      </w:r>
      <w:r>
        <w:rPr>
          <w:spacing w:val="-10"/>
        </w:rPr>
        <w:t> </w:t>
      </w:r>
      <w:r>
        <w:rPr/>
        <w:t>agency-specific</w:t>
      </w:r>
      <w:r>
        <w:rPr>
          <w:spacing w:val="-11"/>
        </w:rPr>
        <w:t> </w:t>
      </w:r>
      <w:r>
        <w:rPr/>
        <w:t>information</w:t>
      </w:r>
      <w:r>
        <w:rPr>
          <w:spacing w:val="-11"/>
        </w:rPr>
        <w:t> </w:t>
      </w:r>
      <w:r>
        <w:rPr/>
        <w:t>around</w:t>
      </w:r>
      <w:r>
        <w:rPr>
          <w:spacing w:val="-10"/>
        </w:rPr>
        <w:t> </w:t>
      </w:r>
      <w:r>
        <w:rPr/>
        <w:t>supporting</w:t>
      </w:r>
      <w:r>
        <w:rPr>
          <w:spacing w:val="-11"/>
        </w:rPr>
        <w:t> </w:t>
      </w:r>
      <w:r>
        <w:rPr/>
        <w:t>LGBTQ</w:t>
      </w:r>
      <w:r>
        <w:rPr>
          <w:spacing w:val="-11"/>
        </w:rPr>
        <w:t> </w:t>
      </w:r>
      <w:r>
        <w:rPr/>
        <w:t>youth and families. The Commission and its Safe Schools Program have been in conversations for a handful of years</w:t>
      </w:r>
      <w:r>
        <w:rPr>
          <w:spacing w:val="-7"/>
        </w:rPr>
        <w:t> </w:t>
      </w:r>
      <w:r>
        <w:rPr/>
        <w:t>about</w:t>
      </w:r>
      <w:r>
        <w:rPr>
          <w:spacing w:val="-8"/>
        </w:rPr>
        <w:t> </w:t>
      </w:r>
      <w:r>
        <w:rPr/>
        <w:t>how</w:t>
      </w:r>
      <w:r>
        <w:rPr>
          <w:spacing w:val="-8"/>
        </w:rPr>
        <w:t> </w:t>
      </w:r>
      <w:r>
        <w:rPr/>
        <w:t>best</w:t>
      </w:r>
      <w:r>
        <w:rPr>
          <w:spacing w:val="-7"/>
        </w:rPr>
        <w:t> </w:t>
      </w:r>
      <w:r>
        <w:rPr/>
        <w:t>to</w:t>
      </w:r>
      <w:r>
        <w:rPr>
          <w:spacing w:val="-7"/>
        </w:rPr>
        <w:t> </w:t>
      </w:r>
      <w:r>
        <w:rPr/>
        <w:t>develop</w:t>
      </w:r>
      <w:r>
        <w:rPr>
          <w:spacing w:val="-8"/>
        </w:rPr>
        <w:t> </w:t>
      </w:r>
      <w:r>
        <w:rPr/>
        <w:t>this</w:t>
      </w:r>
      <w:r>
        <w:rPr>
          <w:spacing w:val="-6"/>
        </w:rPr>
        <w:t> </w:t>
      </w:r>
      <w:r>
        <w:rPr/>
        <w:t>training,</w:t>
      </w:r>
      <w:r>
        <w:rPr>
          <w:spacing w:val="-7"/>
        </w:rPr>
        <w:t> </w:t>
      </w:r>
      <w:r>
        <w:rPr/>
        <w:t>and</w:t>
      </w:r>
      <w:r>
        <w:rPr>
          <w:spacing w:val="-8"/>
        </w:rPr>
        <w:t> </w:t>
      </w:r>
      <w:r>
        <w:rPr/>
        <w:t>look</w:t>
      </w:r>
      <w:r>
        <w:rPr>
          <w:spacing w:val="-8"/>
        </w:rPr>
        <w:t> </w:t>
      </w:r>
      <w:r>
        <w:rPr/>
        <w:t>forward</w:t>
      </w:r>
      <w:r>
        <w:rPr>
          <w:spacing w:val="-8"/>
        </w:rPr>
        <w:t> </w:t>
      </w:r>
      <w:r>
        <w:rPr/>
        <w:t>to</w:t>
      </w:r>
      <w:r>
        <w:rPr>
          <w:spacing w:val="-6"/>
        </w:rPr>
        <w:t> </w:t>
      </w:r>
      <w:r>
        <w:rPr/>
        <w:t>continuing</w:t>
      </w:r>
      <w:r>
        <w:rPr>
          <w:spacing w:val="-7"/>
        </w:rPr>
        <w:t> </w:t>
      </w:r>
      <w:r>
        <w:rPr/>
        <w:t>to</w:t>
      </w:r>
      <w:r>
        <w:rPr>
          <w:spacing w:val="-6"/>
        </w:rPr>
        <w:t> </w:t>
      </w:r>
      <w:r>
        <w:rPr/>
        <w:t>support</w:t>
      </w:r>
      <w:r>
        <w:rPr>
          <w:spacing w:val="-8"/>
        </w:rPr>
        <w:t> </w:t>
      </w:r>
      <w:r>
        <w:rPr/>
        <w:t>as</w:t>
      </w:r>
      <w:r>
        <w:rPr>
          <w:spacing w:val="-6"/>
        </w:rPr>
        <w:t> </w:t>
      </w:r>
      <w:r>
        <w:rPr/>
        <w:t>EEC</w:t>
      </w:r>
      <w:r>
        <w:rPr>
          <w:spacing w:val="-7"/>
        </w:rPr>
        <w:t> </w:t>
      </w:r>
      <w:r>
        <w:rPr/>
        <w:t>navigates this development. The Commission has appreciated the opportunity to engage in conversations around this module development in FY 2024, and looks forward to continuing this partnership in FY 2025.</w:t>
      </w:r>
    </w:p>
    <w:p>
      <w:pPr>
        <w:pStyle w:val="BodyText"/>
        <w:spacing w:line="276" w:lineRule="auto" w:before="239"/>
        <w:ind w:left="483" w:right="343"/>
        <w:jc w:val="both"/>
      </w:pPr>
      <w:r>
        <w:rPr/>
        <w:t>Furthermore, the Commission recommends that EEC offer mandatory in-person LGBTQ cultural awareness trainings for its staff that includes information on best practices for creating safe, affirming, and</w:t>
      </w:r>
      <w:r>
        <w:rPr>
          <w:spacing w:val="-13"/>
        </w:rPr>
        <w:t> </w:t>
      </w:r>
      <w:r>
        <w:rPr/>
        <w:t>trauma-informed</w:t>
      </w:r>
      <w:r>
        <w:rPr>
          <w:spacing w:val="-12"/>
        </w:rPr>
        <w:t> </w:t>
      </w:r>
      <w:r>
        <w:rPr/>
        <w:t>environments</w:t>
      </w:r>
      <w:r>
        <w:rPr>
          <w:spacing w:val="-13"/>
        </w:rPr>
        <w:t> </w:t>
      </w:r>
      <w:r>
        <w:rPr/>
        <w:t>for</w:t>
      </w:r>
      <w:r>
        <w:rPr>
          <w:spacing w:val="-12"/>
        </w:rPr>
        <w:t> </w:t>
      </w:r>
      <w:r>
        <w:rPr/>
        <w:t>LGBTQ</w:t>
      </w:r>
      <w:r>
        <w:rPr>
          <w:spacing w:val="-13"/>
        </w:rPr>
        <w:t> </w:t>
      </w:r>
      <w:r>
        <w:rPr/>
        <w:t>youth</w:t>
      </w:r>
      <w:r>
        <w:rPr>
          <w:spacing w:val="-12"/>
        </w:rPr>
        <w:t> </w:t>
      </w:r>
      <w:r>
        <w:rPr/>
        <w:t>and</w:t>
      </w:r>
      <w:r>
        <w:rPr>
          <w:spacing w:val="-13"/>
        </w:rPr>
        <w:t> </w:t>
      </w:r>
      <w:r>
        <w:rPr/>
        <w:t>families.</w:t>
      </w:r>
      <w:r>
        <w:rPr>
          <w:spacing w:val="-12"/>
        </w:rPr>
        <w:t> </w:t>
      </w:r>
      <w:r>
        <w:rPr/>
        <w:t>Training</w:t>
      </w:r>
      <w:r>
        <w:rPr>
          <w:spacing w:val="-12"/>
        </w:rPr>
        <w:t> </w:t>
      </w:r>
      <w:r>
        <w:rPr/>
        <w:t>should</w:t>
      </w:r>
      <w:r>
        <w:rPr>
          <w:spacing w:val="-13"/>
        </w:rPr>
        <w:t> </w:t>
      </w:r>
      <w:r>
        <w:rPr/>
        <w:t>also</w:t>
      </w:r>
      <w:r>
        <w:rPr>
          <w:spacing w:val="-12"/>
        </w:rPr>
        <w:t> </w:t>
      </w:r>
      <w:r>
        <w:rPr/>
        <w:t>include</w:t>
      </w:r>
      <w:r>
        <w:rPr>
          <w:spacing w:val="-13"/>
        </w:rPr>
        <w:t> </w:t>
      </w:r>
      <w:r>
        <w:rPr/>
        <w:t>an</w:t>
      </w:r>
      <w:r>
        <w:rPr>
          <w:spacing w:val="-12"/>
        </w:rPr>
        <w:t> </w:t>
      </w:r>
      <w:r>
        <w:rPr/>
        <w:t>analysis of structural</w:t>
      </w:r>
      <w:r>
        <w:rPr>
          <w:spacing w:val="-1"/>
        </w:rPr>
        <w:t> </w:t>
      </w:r>
      <w:r>
        <w:rPr/>
        <w:t>issues and</w:t>
      </w:r>
      <w:r>
        <w:rPr>
          <w:spacing w:val="-1"/>
        </w:rPr>
        <w:t> </w:t>
      </w:r>
      <w:r>
        <w:rPr/>
        <w:t>systems of oppression</w:t>
      </w:r>
      <w:r>
        <w:rPr>
          <w:spacing w:val="-1"/>
        </w:rPr>
        <w:t> </w:t>
      </w:r>
      <w:r>
        <w:rPr/>
        <w:t>impacting LGBTQ</w:t>
      </w:r>
      <w:r>
        <w:rPr>
          <w:spacing w:val="-1"/>
        </w:rPr>
        <w:t> </w:t>
      </w:r>
      <w:r>
        <w:rPr/>
        <w:t>youth, and how EEC fits within</w:t>
      </w:r>
      <w:r>
        <w:rPr>
          <w:spacing w:val="-1"/>
        </w:rPr>
        <w:t> </w:t>
      </w:r>
      <w:r>
        <w:rPr/>
        <w:t>the</w:t>
      </w:r>
      <w:r>
        <w:rPr>
          <w:spacing w:val="-1"/>
        </w:rPr>
        <w:t> </w:t>
      </w:r>
      <w:r>
        <w:rPr/>
        <w:t>work of interrupting those systems. The Commission urges EEC to collaborate with community partners and other state agencies to ensure that educators and staff receive in-depth training and professional development on a recurring basis.</w:t>
      </w:r>
    </w:p>
    <w:p>
      <w:pPr>
        <w:numPr>
          <w:ilvl w:val="0"/>
          <w:numId w:val="31"/>
        </w:numPr>
        <w:tabs>
          <w:tab w:pos="481" w:val="left" w:leader="none"/>
        </w:tabs>
        <w:spacing w:before="240"/>
        <w:ind w:left="481" w:right="0" w:hanging="358"/>
        <w:jc w:val="left"/>
        <w:rPr>
          <w:b/>
          <w:sz w:val="22"/>
        </w:rPr>
      </w:pPr>
      <w:r>
        <w:rPr>
          <w:b/>
          <w:sz w:val="22"/>
        </w:rPr>
        <w:t>Clarify</w:t>
      </w:r>
      <w:r>
        <w:rPr>
          <w:b/>
          <w:spacing w:val="-7"/>
          <w:sz w:val="22"/>
        </w:rPr>
        <w:t> </w:t>
      </w:r>
      <w:r>
        <w:rPr>
          <w:b/>
          <w:sz w:val="22"/>
        </w:rPr>
        <w:t>that</w:t>
      </w:r>
      <w:r>
        <w:rPr>
          <w:b/>
          <w:spacing w:val="-8"/>
          <w:sz w:val="22"/>
        </w:rPr>
        <w:t> </w:t>
      </w:r>
      <w:r>
        <w:rPr>
          <w:b/>
          <w:sz w:val="22"/>
        </w:rPr>
        <w:t>providers</w:t>
      </w:r>
      <w:r>
        <w:rPr>
          <w:b/>
          <w:spacing w:val="-8"/>
          <w:sz w:val="22"/>
        </w:rPr>
        <w:t> </w:t>
      </w:r>
      <w:r>
        <w:rPr>
          <w:b/>
          <w:sz w:val="22"/>
        </w:rPr>
        <w:t>can</w:t>
      </w:r>
      <w:r>
        <w:rPr>
          <w:b/>
          <w:spacing w:val="-6"/>
          <w:sz w:val="22"/>
        </w:rPr>
        <w:t> </w:t>
      </w:r>
      <w:r>
        <w:rPr>
          <w:b/>
          <w:sz w:val="22"/>
        </w:rPr>
        <w:t>and</w:t>
      </w:r>
      <w:r>
        <w:rPr>
          <w:b/>
          <w:spacing w:val="-8"/>
          <w:sz w:val="22"/>
        </w:rPr>
        <w:t> </w:t>
      </w:r>
      <w:r>
        <w:rPr>
          <w:b/>
          <w:sz w:val="22"/>
        </w:rPr>
        <w:t>should</w:t>
      </w:r>
      <w:r>
        <w:rPr>
          <w:b/>
          <w:spacing w:val="-9"/>
          <w:sz w:val="22"/>
        </w:rPr>
        <w:t> </w:t>
      </w:r>
      <w:r>
        <w:rPr>
          <w:b/>
          <w:sz w:val="22"/>
        </w:rPr>
        <w:t>house</w:t>
      </w:r>
      <w:r>
        <w:rPr>
          <w:b/>
          <w:spacing w:val="-7"/>
          <w:sz w:val="22"/>
        </w:rPr>
        <w:t> </w:t>
      </w:r>
      <w:r>
        <w:rPr>
          <w:b/>
          <w:sz w:val="22"/>
        </w:rPr>
        <w:t>transgender</w:t>
      </w:r>
      <w:r>
        <w:rPr>
          <w:b/>
          <w:spacing w:val="-8"/>
          <w:sz w:val="22"/>
        </w:rPr>
        <w:t> </w:t>
      </w:r>
      <w:r>
        <w:rPr>
          <w:b/>
          <w:sz w:val="22"/>
        </w:rPr>
        <w:t>youth</w:t>
      </w:r>
      <w:r>
        <w:rPr>
          <w:b/>
          <w:spacing w:val="-8"/>
          <w:sz w:val="22"/>
        </w:rPr>
        <w:t> </w:t>
      </w:r>
      <w:r>
        <w:rPr>
          <w:b/>
          <w:sz w:val="22"/>
        </w:rPr>
        <w:t>based</w:t>
      </w:r>
      <w:r>
        <w:rPr>
          <w:b/>
          <w:spacing w:val="-7"/>
          <w:sz w:val="22"/>
        </w:rPr>
        <w:t> </w:t>
      </w:r>
      <w:r>
        <w:rPr>
          <w:b/>
          <w:sz w:val="22"/>
        </w:rPr>
        <w:t>on</w:t>
      </w:r>
      <w:r>
        <w:rPr>
          <w:b/>
          <w:spacing w:val="-8"/>
          <w:sz w:val="22"/>
        </w:rPr>
        <w:t> </w:t>
      </w:r>
      <w:r>
        <w:rPr>
          <w:b/>
          <w:sz w:val="22"/>
        </w:rPr>
        <w:t>their</w:t>
      </w:r>
      <w:r>
        <w:rPr>
          <w:b/>
          <w:spacing w:val="-8"/>
          <w:sz w:val="22"/>
        </w:rPr>
        <w:t> </w:t>
      </w:r>
      <w:r>
        <w:rPr>
          <w:b/>
          <w:sz w:val="22"/>
        </w:rPr>
        <w:t>gender</w:t>
      </w:r>
      <w:r>
        <w:rPr>
          <w:b/>
          <w:spacing w:val="-8"/>
          <w:sz w:val="22"/>
        </w:rPr>
        <w:t> </w:t>
      </w:r>
      <w:r>
        <w:rPr>
          <w:b/>
          <w:spacing w:val="-2"/>
          <w:sz w:val="22"/>
        </w:rPr>
        <w:t>identity.</w:t>
      </w:r>
    </w:p>
    <w:p>
      <w:pPr>
        <w:pStyle w:val="BodyText"/>
        <w:spacing w:before="11"/>
        <w:rPr>
          <w:b/>
        </w:rPr>
      </w:pPr>
    </w:p>
    <w:p>
      <w:pPr>
        <w:pStyle w:val="BodyText"/>
        <w:spacing w:line="276" w:lineRule="auto"/>
        <w:ind w:left="483" w:right="344"/>
        <w:jc w:val="both"/>
      </w:pPr>
      <w:r>
        <w:rPr/>
        <w:t>Without affirming placements, transgender young people experience barriers to success and stability. Where</w:t>
      </w:r>
      <w:r>
        <w:rPr>
          <w:spacing w:val="-13"/>
        </w:rPr>
        <w:t> </w:t>
      </w:r>
      <w:r>
        <w:rPr/>
        <w:t>relevant,</w:t>
      </w:r>
      <w:r>
        <w:rPr>
          <w:spacing w:val="-12"/>
        </w:rPr>
        <w:t> </w:t>
      </w:r>
      <w:r>
        <w:rPr/>
        <w:t>the</w:t>
      </w:r>
      <w:r>
        <w:rPr>
          <w:spacing w:val="-13"/>
        </w:rPr>
        <w:t> </w:t>
      </w:r>
      <w:r>
        <w:rPr/>
        <w:t>Commission</w:t>
      </w:r>
      <w:r>
        <w:rPr>
          <w:spacing w:val="-12"/>
        </w:rPr>
        <w:t> </w:t>
      </w:r>
      <w:r>
        <w:rPr/>
        <w:t>continues</w:t>
      </w:r>
      <w:r>
        <w:rPr>
          <w:spacing w:val="-13"/>
        </w:rPr>
        <w:t> </w:t>
      </w:r>
      <w:r>
        <w:rPr/>
        <w:t>to</w:t>
      </w:r>
      <w:r>
        <w:rPr>
          <w:spacing w:val="-12"/>
        </w:rPr>
        <w:t> </w:t>
      </w:r>
      <w:r>
        <w:rPr/>
        <w:t>recommend</w:t>
      </w:r>
      <w:r>
        <w:rPr>
          <w:spacing w:val="-13"/>
        </w:rPr>
        <w:t> </w:t>
      </w:r>
      <w:r>
        <w:rPr/>
        <w:t>that</w:t>
      </w:r>
      <w:r>
        <w:rPr>
          <w:spacing w:val="-12"/>
        </w:rPr>
        <w:t> </w:t>
      </w:r>
      <w:r>
        <w:rPr/>
        <w:t>EEC</w:t>
      </w:r>
      <w:r>
        <w:rPr>
          <w:spacing w:val="-12"/>
        </w:rPr>
        <w:t> </w:t>
      </w:r>
      <w:r>
        <w:rPr/>
        <w:t>update</w:t>
      </w:r>
      <w:r>
        <w:rPr>
          <w:spacing w:val="-13"/>
        </w:rPr>
        <w:t> </w:t>
      </w:r>
      <w:r>
        <w:rPr/>
        <w:t>the</w:t>
      </w:r>
      <w:r>
        <w:rPr>
          <w:spacing w:val="-12"/>
        </w:rPr>
        <w:t> </w:t>
      </w:r>
      <w:r>
        <w:rPr/>
        <w:t>Residential</w:t>
      </w:r>
      <w:r>
        <w:rPr>
          <w:spacing w:val="-13"/>
        </w:rPr>
        <w:t> </w:t>
      </w:r>
      <w:r>
        <w:rPr/>
        <w:t>and</w:t>
      </w:r>
      <w:r>
        <w:rPr>
          <w:spacing w:val="-12"/>
        </w:rPr>
        <w:t> </w:t>
      </w:r>
      <w:r>
        <w:rPr/>
        <w:t>Placement regulations to include protection against discrimination based on gender identity and to include youth voice and autonomy in decision-making around room assignments and programming. These updates would ensure that licensees make housing and placement decisions for transgender youth in residential programs based on their gender identities, consistent with best practices and the preferences of the young person. When any young person expresses safety-based concerns, EEC should support licensed programs in making individualized housing and placement decisions for the young person.</w:t>
      </w:r>
    </w:p>
    <w:p>
      <w:pPr>
        <w:pStyle w:val="BodyText"/>
        <w:spacing w:before="240"/>
        <w:ind w:left="483"/>
        <w:jc w:val="both"/>
      </w:pPr>
      <w:r>
        <w:rPr>
          <w:spacing w:val="-2"/>
        </w:rPr>
        <w:t>Specifically,</w:t>
      </w:r>
      <w:r>
        <w:rPr>
          <w:spacing w:val="5"/>
        </w:rPr>
        <w:t> </w:t>
      </w:r>
      <w:r>
        <w:rPr>
          <w:spacing w:val="-2"/>
        </w:rPr>
        <w:t>the</w:t>
      </w:r>
      <w:r>
        <w:rPr>
          <w:spacing w:val="5"/>
        </w:rPr>
        <w:t> </w:t>
      </w:r>
      <w:r>
        <w:rPr>
          <w:spacing w:val="-2"/>
        </w:rPr>
        <w:t>Commission</w:t>
      </w:r>
      <w:r>
        <w:rPr>
          <w:spacing w:val="6"/>
        </w:rPr>
        <w:t> </w:t>
      </w:r>
      <w:r>
        <w:rPr>
          <w:spacing w:val="-2"/>
        </w:rPr>
        <w:t>recommends</w:t>
      </w:r>
      <w:r>
        <w:rPr>
          <w:spacing w:val="5"/>
        </w:rPr>
        <w:t> </w:t>
      </w:r>
      <w:r>
        <w:rPr>
          <w:spacing w:val="-4"/>
        </w:rPr>
        <w:t>that:</w:t>
      </w:r>
    </w:p>
    <w:p>
      <w:pPr>
        <w:spacing w:after="0"/>
        <w:jc w:val="both"/>
        <w:sectPr>
          <w:pgSz w:w="12240" w:h="15840"/>
          <w:pgMar w:header="804" w:footer="1250" w:top="1000" w:bottom="1440" w:left="960" w:right="1100"/>
        </w:sectPr>
      </w:pPr>
    </w:p>
    <w:p>
      <w:pPr>
        <w:pStyle w:val="ListParagraph"/>
        <w:numPr>
          <w:ilvl w:val="1"/>
          <w:numId w:val="31"/>
        </w:numPr>
        <w:tabs>
          <w:tab w:pos="1137" w:val="left" w:leader="none"/>
        </w:tabs>
        <w:spacing w:line="240" w:lineRule="auto" w:before="138" w:after="0"/>
        <w:ind w:left="1137" w:right="0" w:hanging="360"/>
        <w:jc w:val="left"/>
        <w:rPr>
          <w:sz w:val="22"/>
        </w:rPr>
      </w:pPr>
      <w:r>
        <w:rPr>
          <w:sz w:val="22"/>
        </w:rPr>
        <w:t>EEC</w:t>
      </w:r>
      <w:r>
        <w:rPr>
          <w:spacing w:val="-7"/>
          <w:sz w:val="22"/>
        </w:rPr>
        <w:t> </w:t>
      </w:r>
      <w:r>
        <w:rPr>
          <w:sz w:val="22"/>
        </w:rPr>
        <w:t>update</w:t>
      </w:r>
      <w:r>
        <w:rPr>
          <w:spacing w:val="-7"/>
          <w:sz w:val="22"/>
        </w:rPr>
        <w:t> </w:t>
      </w:r>
      <w:r>
        <w:rPr>
          <w:sz w:val="22"/>
        </w:rPr>
        <w:t>the</w:t>
      </w:r>
      <w:r>
        <w:rPr>
          <w:spacing w:val="-7"/>
          <w:sz w:val="22"/>
        </w:rPr>
        <w:t> </w:t>
      </w:r>
      <w:r>
        <w:rPr>
          <w:sz w:val="22"/>
        </w:rPr>
        <w:t>Residential</w:t>
      </w:r>
      <w:r>
        <w:rPr>
          <w:spacing w:val="-8"/>
          <w:sz w:val="22"/>
        </w:rPr>
        <w:t> </w:t>
      </w:r>
      <w:r>
        <w:rPr>
          <w:sz w:val="22"/>
        </w:rPr>
        <w:t>and</w:t>
      </w:r>
      <w:r>
        <w:rPr>
          <w:spacing w:val="-8"/>
          <w:sz w:val="22"/>
        </w:rPr>
        <w:t> </w:t>
      </w:r>
      <w:r>
        <w:rPr>
          <w:sz w:val="22"/>
        </w:rPr>
        <w:t>Placement</w:t>
      </w:r>
      <w:r>
        <w:rPr>
          <w:spacing w:val="-7"/>
          <w:sz w:val="22"/>
        </w:rPr>
        <w:t> </w:t>
      </w:r>
      <w:r>
        <w:rPr>
          <w:sz w:val="22"/>
        </w:rPr>
        <w:t>regulation</w:t>
      </w:r>
      <w:r>
        <w:rPr>
          <w:spacing w:val="-8"/>
          <w:sz w:val="22"/>
        </w:rPr>
        <w:t> </w:t>
      </w:r>
      <w:r>
        <w:rPr>
          <w:sz w:val="22"/>
        </w:rPr>
        <w:t>3.04</w:t>
      </w:r>
      <w:r>
        <w:rPr>
          <w:spacing w:val="-8"/>
          <w:sz w:val="22"/>
        </w:rPr>
        <w:t> </w:t>
      </w:r>
      <w:r>
        <w:rPr>
          <w:sz w:val="22"/>
        </w:rPr>
        <w:t>(03)(l)</w:t>
      </w:r>
      <w:r>
        <w:rPr>
          <w:spacing w:val="-7"/>
          <w:sz w:val="22"/>
        </w:rPr>
        <w:t> </w:t>
      </w:r>
      <w:r>
        <w:rPr>
          <w:sz w:val="22"/>
        </w:rPr>
        <w:t>to</w:t>
      </w:r>
      <w:r>
        <w:rPr>
          <w:spacing w:val="-7"/>
          <w:sz w:val="22"/>
        </w:rPr>
        <w:t> </w:t>
      </w:r>
      <w:r>
        <w:rPr>
          <w:sz w:val="22"/>
        </w:rPr>
        <w:t>include</w:t>
      </w:r>
      <w:r>
        <w:rPr>
          <w:spacing w:val="-7"/>
          <w:sz w:val="22"/>
        </w:rPr>
        <w:t> </w:t>
      </w:r>
      <w:r>
        <w:rPr>
          <w:spacing w:val="-2"/>
          <w:sz w:val="22"/>
        </w:rPr>
        <w:t>discrimination</w:t>
      </w:r>
    </w:p>
    <w:p>
      <w:pPr>
        <w:pStyle w:val="BodyText"/>
        <w:spacing w:before="41"/>
        <w:ind w:left="135"/>
        <w:jc w:val="center"/>
      </w:pPr>
      <w:r>
        <w:rPr/>
        <w:t>protections</w:t>
      </w:r>
      <w:r>
        <w:rPr>
          <w:spacing w:val="-11"/>
        </w:rPr>
        <w:t> </w:t>
      </w:r>
      <w:r>
        <w:rPr/>
        <w:t>for</w:t>
      </w:r>
      <w:r>
        <w:rPr>
          <w:spacing w:val="-10"/>
        </w:rPr>
        <w:t> </w:t>
      </w:r>
      <w:r>
        <w:rPr/>
        <w:t>gender</w:t>
      </w:r>
      <w:r>
        <w:rPr>
          <w:spacing w:val="-10"/>
        </w:rPr>
        <w:t> </w:t>
      </w:r>
      <w:r>
        <w:rPr>
          <w:spacing w:val="-2"/>
        </w:rPr>
        <w:t>identity:</w:t>
      </w:r>
    </w:p>
    <w:p>
      <w:pPr>
        <w:pStyle w:val="BodyText"/>
        <w:spacing w:before="11"/>
      </w:pPr>
    </w:p>
    <w:p>
      <w:pPr>
        <w:spacing w:line="276" w:lineRule="auto" w:before="0"/>
        <w:ind w:left="876" w:right="734" w:firstLine="0"/>
        <w:jc w:val="center"/>
        <w:rPr>
          <w:i/>
          <w:sz w:val="22"/>
        </w:rPr>
      </w:pPr>
      <w:r>
        <w:rPr>
          <w:i/>
          <w:sz w:val="22"/>
        </w:rPr>
        <w:t>“(l) The licensee may not discriminate in providing services to children and their families on the</w:t>
      </w:r>
      <w:r>
        <w:rPr>
          <w:i/>
          <w:sz w:val="22"/>
        </w:rPr>
        <w:t> basis of race, religion, ethnic background, cultural heritage, national origin, marital status, sexual</w:t>
      </w:r>
      <w:r>
        <w:rPr>
          <w:i/>
          <w:spacing w:val="-4"/>
          <w:sz w:val="22"/>
        </w:rPr>
        <w:t> </w:t>
      </w:r>
      <w:r>
        <w:rPr>
          <w:i/>
          <w:sz w:val="22"/>
        </w:rPr>
        <w:t>orientation,</w:t>
      </w:r>
      <w:r>
        <w:rPr>
          <w:i/>
          <w:spacing w:val="-2"/>
          <w:sz w:val="22"/>
        </w:rPr>
        <w:t> </w:t>
      </w:r>
      <w:r>
        <w:rPr>
          <w:i/>
          <w:sz w:val="22"/>
        </w:rPr>
        <w:t>gender</w:t>
      </w:r>
      <w:r>
        <w:rPr>
          <w:i/>
          <w:spacing w:val="-3"/>
          <w:sz w:val="22"/>
        </w:rPr>
        <w:t> </w:t>
      </w:r>
      <w:r>
        <w:rPr>
          <w:i/>
          <w:sz w:val="22"/>
        </w:rPr>
        <w:t>identity,</w:t>
      </w:r>
      <w:r>
        <w:rPr>
          <w:i/>
          <w:spacing w:val="-2"/>
          <w:sz w:val="22"/>
        </w:rPr>
        <w:t> </w:t>
      </w:r>
      <w:r>
        <w:rPr>
          <w:i/>
          <w:sz w:val="22"/>
        </w:rPr>
        <w:t>or</w:t>
      </w:r>
      <w:r>
        <w:rPr>
          <w:i/>
          <w:spacing w:val="-4"/>
          <w:sz w:val="22"/>
        </w:rPr>
        <w:t> </w:t>
      </w:r>
      <w:r>
        <w:rPr>
          <w:i/>
          <w:sz w:val="22"/>
        </w:rPr>
        <w:t>disability,</w:t>
      </w:r>
      <w:r>
        <w:rPr>
          <w:i/>
          <w:spacing w:val="-4"/>
          <w:sz w:val="22"/>
        </w:rPr>
        <w:t> </w:t>
      </w:r>
      <w:r>
        <w:rPr>
          <w:i/>
          <w:sz w:val="22"/>
        </w:rPr>
        <w:t>or</w:t>
      </w:r>
      <w:r>
        <w:rPr>
          <w:i/>
          <w:spacing w:val="-4"/>
          <w:sz w:val="22"/>
        </w:rPr>
        <w:t> </w:t>
      </w:r>
      <w:r>
        <w:rPr>
          <w:i/>
          <w:sz w:val="22"/>
        </w:rPr>
        <w:t>in</w:t>
      </w:r>
      <w:r>
        <w:rPr>
          <w:i/>
          <w:spacing w:val="-3"/>
          <w:sz w:val="22"/>
        </w:rPr>
        <w:t> </w:t>
      </w:r>
      <w:r>
        <w:rPr>
          <w:i/>
          <w:sz w:val="22"/>
        </w:rPr>
        <w:t>approving</w:t>
      </w:r>
      <w:r>
        <w:rPr>
          <w:i/>
          <w:spacing w:val="-3"/>
          <w:sz w:val="22"/>
        </w:rPr>
        <w:t> </w:t>
      </w:r>
      <w:r>
        <w:rPr>
          <w:i/>
          <w:sz w:val="22"/>
        </w:rPr>
        <w:t>shelter</w:t>
      </w:r>
      <w:r>
        <w:rPr>
          <w:i/>
          <w:spacing w:val="-4"/>
          <w:sz w:val="22"/>
        </w:rPr>
        <w:t> </w:t>
      </w:r>
      <w:r>
        <w:rPr>
          <w:i/>
          <w:sz w:val="22"/>
        </w:rPr>
        <w:t>home</w:t>
      </w:r>
      <w:r>
        <w:rPr>
          <w:i/>
          <w:spacing w:val="-5"/>
          <w:sz w:val="22"/>
        </w:rPr>
        <w:t> </w:t>
      </w:r>
      <w:r>
        <w:rPr>
          <w:i/>
          <w:sz w:val="22"/>
        </w:rPr>
        <w:t>parent</w:t>
      </w:r>
      <w:r>
        <w:rPr>
          <w:i/>
          <w:spacing w:val="-3"/>
          <w:sz w:val="22"/>
        </w:rPr>
        <w:t> </w:t>
      </w:r>
      <w:r>
        <w:rPr>
          <w:i/>
          <w:sz w:val="22"/>
        </w:rPr>
        <w:t>applicants on the basis of age, sex, race, religion, ethnic background, cultural heritage, national origin, marital status, sexual orientation, gender identity or disability.”</w:t>
      </w:r>
    </w:p>
    <w:p>
      <w:pPr>
        <w:pStyle w:val="ListParagraph"/>
        <w:numPr>
          <w:ilvl w:val="1"/>
          <w:numId w:val="31"/>
        </w:numPr>
        <w:tabs>
          <w:tab w:pos="1100" w:val="left" w:leader="none"/>
          <w:tab w:pos="2828" w:val="left" w:leader="none"/>
        </w:tabs>
        <w:spacing w:line="276" w:lineRule="auto" w:before="239" w:after="0"/>
        <w:ind w:left="2828" w:right="959" w:hanging="2088"/>
        <w:jc w:val="left"/>
        <w:rPr>
          <w:sz w:val="22"/>
        </w:rPr>
      </w:pPr>
      <w:r>
        <w:rPr>
          <w:sz w:val="22"/>
        </w:rPr>
        <w:t>EEC</w:t>
      </w:r>
      <w:r>
        <w:rPr>
          <w:spacing w:val="-2"/>
          <w:sz w:val="22"/>
        </w:rPr>
        <w:t> </w:t>
      </w:r>
      <w:r>
        <w:rPr>
          <w:sz w:val="22"/>
        </w:rPr>
        <w:t>update</w:t>
      </w:r>
      <w:r>
        <w:rPr>
          <w:spacing w:val="-3"/>
          <w:sz w:val="22"/>
        </w:rPr>
        <w:t> </w:t>
      </w:r>
      <w:r>
        <w:rPr>
          <w:sz w:val="22"/>
        </w:rPr>
        <w:t>Residential</w:t>
      </w:r>
      <w:r>
        <w:rPr>
          <w:spacing w:val="-3"/>
          <w:sz w:val="22"/>
        </w:rPr>
        <w:t> </w:t>
      </w:r>
      <w:r>
        <w:rPr>
          <w:sz w:val="22"/>
        </w:rPr>
        <w:t>and</w:t>
      </w:r>
      <w:r>
        <w:rPr>
          <w:spacing w:val="-4"/>
          <w:sz w:val="22"/>
        </w:rPr>
        <w:t> </w:t>
      </w:r>
      <w:r>
        <w:rPr>
          <w:sz w:val="22"/>
        </w:rPr>
        <w:t>Placement</w:t>
      </w:r>
      <w:r>
        <w:rPr>
          <w:spacing w:val="-2"/>
          <w:sz w:val="22"/>
        </w:rPr>
        <w:t> </w:t>
      </w:r>
      <w:r>
        <w:rPr>
          <w:sz w:val="22"/>
        </w:rPr>
        <w:t>regulation</w:t>
      </w:r>
      <w:r>
        <w:rPr>
          <w:spacing w:val="-3"/>
          <w:sz w:val="22"/>
        </w:rPr>
        <w:t> </w:t>
      </w:r>
      <w:r>
        <w:rPr>
          <w:sz w:val="22"/>
        </w:rPr>
        <w:t>3.07(3)</w:t>
      </w:r>
      <w:r>
        <w:rPr>
          <w:spacing w:val="-3"/>
          <w:sz w:val="22"/>
        </w:rPr>
        <w:t> </w:t>
      </w:r>
      <w:r>
        <w:rPr>
          <w:sz w:val="22"/>
        </w:rPr>
        <w:t>to</w:t>
      </w:r>
      <w:r>
        <w:rPr>
          <w:spacing w:val="-3"/>
          <w:sz w:val="22"/>
        </w:rPr>
        <w:t> </w:t>
      </w:r>
      <w:r>
        <w:rPr>
          <w:sz w:val="22"/>
        </w:rPr>
        <w:t>include</w:t>
      </w:r>
      <w:r>
        <w:rPr>
          <w:spacing w:val="-4"/>
          <w:sz w:val="22"/>
        </w:rPr>
        <w:t> </w:t>
      </w:r>
      <w:r>
        <w:rPr>
          <w:sz w:val="22"/>
        </w:rPr>
        <w:t>youth</w:t>
      </w:r>
      <w:r>
        <w:rPr>
          <w:spacing w:val="-4"/>
          <w:sz w:val="22"/>
        </w:rPr>
        <w:t> </w:t>
      </w:r>
      <w:r>
        <w:rPr>
          <w:sz w:val="22"/>
        </w:rPr>
        <w:t>voice</w:t>
      </w:r>
      <w:r>
        <w:rPr>
          <w:spacing w:val="-4"/>
          <w:sz w:val="22"/>
        </w:rPr>
        <w:t> </w:t>
      </w:r>
      <w:r>
        <w:rPr>
          <w:sz w:val="22"/>
        </w:rPr>
        <w:t>in</w:t>
      </w:r>
      <w:r>
        <w:rPr>
          <w:spacing w:val="-3"/>
          <w:sz w:val="22"/>
        </w:rPr>
        <w:t> </w:t>
      </w:r>
      <w:r>
        <w:rPr>
          <w:sz w:val="22"/>
        </w:rPr>
        <w:t>decision making around room assignment and programming:</w:t>
      </w:r>
    </w:p>
    <w:p>
      <w:pPr>
        <w:spacing w:line="276" w:lineRule="auto" w:before="240"/>
        <w:ind w:left="1061" w:right="920" w:hanging="1"/>
        <w:jc w:val="center"/>
        <w:rPr>
          <w:i/>
          <w:sz w:val="22"/>
        </w:rPr>
      </w:pPr>
      <w:r>
        <w:rPr>
          <w:i/>
          <w:sz w:val="22"/>
        </w:rPr>
        <w:t>“(a) The licensee shall assure that all room assignments are appropriate, taking into</w:t>
      </w:r>
      <w:r>
        <w:rPr>
          <w:i/>
          <w:sz w:val="22"/>
        </w:rPr>
        <w:t> consideration</w:t>
      </w:r>
      <w:r>
        <w:rPr>
          <w:i/>
          <w:spacing w:val="-3"/>
          <w:sz w:val="22"/>
        </w:rPr>
        <w:t> </w:t>
      </w:r>
      <w:r>
        <w:rPr>
          <w:i/>
          <w:sz w:val="22"/>
        </w:rPr>
        <w:t>the</w:t>
      </w:r>
      <w:r>
        <w:rPr>
          <w:i/>
          <w:spacing w:val="-5"/>
          <w:sz w:val="22"/>
        </w:rPr>
        <w:t> </w:t>
      </w:r>
      <w:r>
        <w:rPr>
          <w:i/>
          <w:sz w:val="22"/>
        </w:rPr>
        <w:t>ages</w:t>
      </w:r>
      <w:r>
        <w:rPr>
          <w:i/>
          <w:spacing w:val="-4"/>
          <w:sz w:val="22"/>
        </w:rPr>
        <w:t> </w:t>
      </w:r>
      <w:r>
        <w:rPr>
          <w:i/>
          <w:sz w:val="22"/>
        </w:rPr>
        <w:t>and</w:t>
      </w:r>
      <w:r>
        <w:rPr>
          <w:i/>
          <w:spacing w:val="-3"/>
          <w:sz w:val="22"/>
        </w:rPr>
        <w:t> </w:t>
      </w:r>
      <w:r>
        <w:rPr>
          <w:i/>
          <w:sz w:val="22"/>
        </w:rPr>
        <w:t>needs</w:t>
      </w:r>
      <w:r>
        <w:rPr>
          <w:i/>
          <w:spacing w:val="-3"/>
          <w:sz w:val="22"/>
        </w:rPr>
        <w:t> </w:t>
      </w:r>
      <w:r>
        <w:rPr>
          <w:i/>
          <w:sz w:val="22"/>
        </w:rPr>
        <w:t>of</w:t>
      </w:r>
      <w:r>
        <w:rPr>
          <w:i/>
          <w:spacing w:val="-4"/>
          <w:sz w:val="22"/>
        </w:rPr>
        <w:t> </w:t>
      </w:r>
      <w:r>
        <w:rPr>
          <w:i/>
          <w:sz w:val="22"/>
        </w:rPr>
        <w:t>residents</w:t>
      </w:r>
      <w:r>
        <w:rPr>
          <w:i/>
          <w:spacing w:val="-3"/>
          <w:sz w:val="22"/>
        </w:rPr>
        <w:t> </w:t>
      </w:r>
      <w:r>
        <w:rPr>
          <w:i/>
          <w:sz w:val="22"/>
        </w:rPr>
        <w:t>by</w:t>
      </w:r>
      <w:r>
        <w:rPr>
          <w:i/>
          <w:spacing w:val="-4"/>
          <w:sz w:val="22"/>
        </w:rPr>
        <w:t> </w:t>
      </w:r>
      <w:r>
        <w:rPr>
          <w:i/>
          <w:sz w:val="22"/>
        </w:rPr>
        <w:t>collaborating</w:t>
      </w:r>
      <w:r>
        <w:rPr>
          <w:i/>
          <w:spacing w:val="-3"/>
          <w:sz w:val="22"/>
        </w:rPr>
        <w:t> </w:t>
      </w:r>
      <w:r>
        <w:rPr>
          <w:i/>
          <w:sz w:val="22"/>
        </w:rPr>
        <w:t>with</w:t>
      </w:r>
      <w:r>
        <w:rPr>
          <w:i/>
          <w:spacing w:val="-3"/>
          <w:sz w:val="22"/>
        </w:rPr>
        <w:t> </w:t>
      </w:r>
      <w:r>
        <w:rPr>
          <w:i/>
          <w:sz w:val="22"/>
        </w:rPr>
        <w:t>youth,</w:t>
      </w:r>
      <w:r>
        <w:rPr>
          <w:i/>
          <w:spacing w:val="-2"/>
          <w:sz w:val="22"/>
        </w:rPr>
        <w:t> </w:t>
      </w:r>
      <w:r>
        <w:rPr>
          <w:i/>
          <w:sz w:val="22"/>
        </w:rPr>
        <w:t>the</w:t>
      </w:r>
      <w:r>
        <w:rPr>
          <w:i/>
          <w:spacing w:val="-3"/>
          <w:sz w:val="22"/>
        </w:rPr>
        <w:t> </w:t>
      </w:r>
      <w:r>
        <w:rPr>
          <w:i/>
          <w:sz w:val="22"/>
        </w:rPr>
        <w:t>clinical</w:t>
      </w:r>
      <w:r>
        <w:rPr>
          <w:i/>
          <w:spacing w:val="-3"/>
          <w:sz w:val="22"/>
        </w:rPr>
        <w:t> </w:t>
      </w:r>
      <w:r>
        <w:rPr>
          <w:i/>
          <w:sz w:val="22"/>
        </w:rPr>
        <w:t>team, guardian and referral source.</w:t>
      </w:r>
    </w:p>
    <w:p>
      <w:pPr>
        <w:spacing w:line="276" w:lineRule="auto" w:before="241"/>
        <w:ind w:left="1939" w:right="661" w:hanging="1238"/>
        <w:jc w:val="left"/>
        <w:rPr>
          <w:i/>
          <w:sz w:val="22"/>
        </w:rPr>
      </w:pPr>
      <w:r>
        <w:rPr>
          <w:i/>
          <w:sz w:val="22"/>
        </w:rPr>
        <w:t>(b)</w:t>
      </w:r>
      <w:r>
        <w:rPr>
          <w:i/>
          <w:spacing w:val="-2"/>
          <w:sz w:val="22"/>
        </w:rPr>
        <w:t> </w:t>
      </w:r>
      <w:r>
        <w:rPr>
          <w:i/>
          <w:sz w:val="22"/>
        </w:rPr>
        <w:t>The</w:t>
      </w:r>
      <w:r>
        <w:rPr>
          <w:i/>
          <w:spacing w:val="-2"/>
          <w:sz w:val="22"/>
        </w:rPr>
        <w:t> </w:t>
      </w:r>
      <w:r>
        <w:rPr>
          <w:i/>
          <w:sz w:val="22"/>
        </w:rPr>
        <w:t>licensee</w:t>
      </w:r>
      <w:r>
        <w:rPr>
          <w:i/>
          <w:spacing w:val="-2"/>
          <w:sz w:val="22"/>
        </w:rPr>
        <w:t> </w:t>
      </w:r>
      <w:r>
        <w:rPr>
          <w:i/>
          <w:sz w:val="22"/>
        </w:rPr>
        <w:t>shall</w:t>
      </w:r>
      <w:r>
        <w:rPr>
          <w:i/>
          <w:spacing w:val="-3"/>
          <w:sz w:val="22"/>
        </w:rPr>
        <w:t> </w:t>
      </w:r>
      <w:r>
        <w:rPr>
          <w:i/>
          <w:sz w:val="22"/>
        </w:rPr>
        <w:t>assure</w:t>
      </w:r>
      <w:r>
        <w:rPr>
          <w:i/>
          <w:spacing w:val="-4"/>
          <w:sz w:val="22"/>
        </w:rPr>
        <w:t> </w:t>
      </w:r>
      <w:r>
        <w:rPr>
          <w:i/>
          <w:sz w:val="22"/>
        </w:rPr>
        <w:t>that</w:t>
      </w:r>
      <w:r>
        <w:rPr>
          <w:i/>
          <w:spacing w:val="-2"/>
          <w:sz w:val="22"/>
        </w:rPr>
        <w:t> </w:t>
      </w:r>
      <w:r>
        <w:rPr>
          <w:i/>
          <w:sz w:val="22"/>
        </w:rPr>
        <w:t>appropriate</w:t>
      </w:r>
      <w:r>
        <w:rPr>
          <w:i/>
          <w:spacing w:val="-2"/>
          <w:sz w:val="22"/>
        </w:rPr>
        <w:t> </w:t>
      </w:r>
      <w:r>
        <w:rPr>
          <w:i/>
          <w:sz w:val="22"/>
        </w:rPr>
        <w:t>programming</w:t>
      </w:r>
      <w:r>
        <w:rPr>
          <w:i/>
          <w:spacing w:val="-3"/>
          <w:sz w:val="22"/>
        </w:rPr>
        <w:t> </w:t>
      </w:r>
      <w:r>
        <w:rPr>
          <w:i/>
          <w:sz w:val="22"/>
        </w:rPr>
        <w:t>is</w:t>
      </w:r>
      <w:r>
        <w:rPr>
          <w:i/>
          <w:spacing w:val="-2"/>
          <w:sz w:val="22"/>
        </w:rPr>
        <w:t> </w:t>
      </w:r>
      <w:r>
        <w:rPr>
          <w:i/>
          <w:sz w:val="22"/>
        </w:rPr>
        <w:t>provided</w:t>
      </w:r>
      <w:r>
        <w:rPr>
          <w:i/>
          <w:spacing w:val="-3"/>
          <w:sz w:val="22"/>
        </w:rPr>
        <w:t> </w:t>
      </w:r>
      <w:r>
        <w:rPr>
          <w:i/>
          <w:sz w:val="22"/>
        </w:rPr>
        <w:t>for</w:t>
      </w:r>
      <w:r>
        <w:rPr>
          <w:i/>
          <w:spacing w:val="-2"/>
          <w:sz w:val="22"/>
        </w:rPr>
        <w:t> </w:t>
      </w:r>
      <w:r>
        <w:rPr>
          <w:i/>
          <w:sz w:val="22"/>
        </w:rPr>
        <w:t>each</w:t>
      </w:r>
      <w:r>
        <w:rPr>
          <w:i/>
          <w:spacing w:val="-3"/>
          <w:sz w:val="22"/>
        </w:rPr>
        <w:t> </w:t>
      </w:r>
      <w:r>
        <w:rPr>
          <w:i/>
          <w:sz w:val="22"/>
        </w:rPr>
        <w:t>age</w:t>
      </w:r>
      <w:r>
        <w:rPr>
          <w:i/>
          <w:spacing w:val="-4"/>
          <w:sz w:val="22"/>
        </w:rPr>
        <w:t> </w:t>
      </w:r>
      <w:r>
        <w:rPr>
          <w:i/>
          <w:sz w:val="22"/>
        </w:rPr>
        <w:t>group</w:t>
      </w:r>
      <w:r>
        <w:rPr>
          <w:i/>
          <w:spacing w:val="-2"/>
          <w:sz w:val="22"/>
        </w:rPr>
        <w:t> </w:t>
      </w:r>
      <w:r>
        <w:rPr>
          <w:i/>
          <w:sz w:val="22"/>
        </w:rPr>
        <w:t>served</w:t>
      </w:r>
      <w:r>
        <w:rPr>
          <w:i/>
          <w:sz w:val="22"/>
        </w:rPr>
        <w:t> by collaborating with youth, clinical team, guardian, and referral source.</w:t>
      </w:r>
    </w:p>
    <w:p>
      <w:pPr>
        <w:numPr>
          <w:ilvl w:val="0"/>
          <w:numId w:val="31"/>
        </w:numPr>
        <w:tabs>
          <w:tab w:pos="481" w:val="left" w:leader="none"/>
          <w:tab w:pos="483" w:val="left" w:leader="none"/>
        </w:tabs>
        <w:spacing w:line="276" w:lineRule="auto" w:before="239"/>
        <w:ind w:left="483" w:right="345" w:hanging="360"/>
        <w:jc w:val="both"/>
        <w:rPr>
          <w:b/>
          <w:sz w:val="22"/>
        </w:rPr>
      </w:pPr>
      <w:r>
        <w:rPr>
          <w:b/>
          <w:sz w:val="22"/>
        </w:rPr>
        <w:t>Continue</w:t>
      </w:r>
      <w:r>
        <w:rPr>
          <w:b/>
          <w:spacing w:val="-9"/>
          <w:sz w:val="22"/>
        </w:rPr>
        <w:t> </w:t>
      </w:r>
      <w:r>
        <w:rPr>
          <w:b/>
          <w:sz w:val="22"/>
        </w:rPr>
        <w:t>to</w:t>
      </w:r>
      <w:r>
        <w:rPr>
          <w:b/>
          <w:spacing w:val="-10"/>
          <w:sz w:val="22"/>
        </w:rPr>
        <w:t> </w:t>
      </w:r>
      <w:r>
        <w:rPr>
          <w:b/>
          <w:sz w:val="22"/>
        </w:rPr>
        <w:t>collaborate</w:t>
      </w:r>
      <w:r>
        <w:rPr>
          <w:b/>
          <w:spacing w:val="-9"/>
          <w:sz w:val="22"/>
        </w:rPr>
        <w:t> </w:t>
      </w:r>
      <w:r>
        <w:rPr>
          <w:b/>
          <w:sz w:val="22"/>
        </w:rPr>
        <w:t>with</w:t>
      </w:r>
      <w:r>
        <w:rPr>
          <w:b/>
          <w:spacing w:val="-9"/>
          <w:sz w:val="22"/>
        </w:rPr>
        <w:t> </w:t>
      </w:r>
      <w:r>
        <w:rPr>
          <w:b/>
          <w:sz w:val="22"/>
        </w:rPr>
        <w:t>the</w:t>
      </w:r>
      <w:r>
        <w:rPr>
          <w:b/>
          <w:spacing w:val="-9"/>
          <w:sz w:val="22"/>
        </w:rPr>
        <w:t> </w:t>
      </w:r>
      <w:r>
        <w:rPr>
          <w:b/>
          <w:sz w:val="22"/>
        </w:rPr>
        <w:t>Department</w:t>
      </w:r>
      <w:r>
        <w:rPr>
          <w:b/>
          <w:spacing w:val="-8"/>
          <w:sz w:val="22"/>
        </w:rPr>
        <w:t> </w:t>
      </w:r>
      <w:r>
        <w:rPr>
          <w:b/>
          <w:sz w:val="22"/>
        </w:rPr>
        <w:t>of</w:t>
      </w:r>
      <w:r>
        <w:rPr>
          <w:b/>
          <w:spacing w:val="-9"/>
          <w:sz w:val="22"/>
        </w:rPr>
        <w:t> </w:t>
      </w:r>
      <w:r>
        <w:rPr>
          <w:b/>
          <w:sz w:val="22"/>
        </w:rPr>
        <w:t>Elementary</w:t>
      </w:r>
      <w:r>
        <w:rPr>
          <w:b/>
          <w:spacing w:val="-8"/>
          <w:sz w:val="22"/>
        </w:rPr>
        <w:t> </w:t>
      </w:r>
      <w:r>
        <w:rPr>
          <w:b/>
          <w:sz w:val="22"/>
        </w:rPr>
        <w:t>and</w:t>
      </w:r>
      <w:r>
        <w:rPr>
          <w:b/>
          <w:spacing w:val="-9"/>
          <w:sz w:val="22"/>
        </w:rPr>
        <w:t> </w:t>
      </w:r>
      <w:r>
        <w:rPr>
          <w:b/>
          <w:sz w:val="22"/>
        </w:rPr>
        <w:t>Secondary</w:t>
      </w:r>
      <w:r>
        <w:rPr>
          <w:b/>
          <w:spacing w:val="-8"/>
          <w:sz w:val="22"/>
        </w:rPr>
        <w:t> </w:t>
      </w:r>
      <w:r>
        <w:rPr>
          <w:b/>
          <w:sz w:val="22"/>
        </w:rPr>
        <w:t>Education</w:t>
      </w:r>
      <w:r>
        <w:rPr>
          <w:b/>
          <w:spacing w:val="-9"/>
          <w:sz w:val="22"/>
        </w:rPr>
        <w:t> </w:t>
      </w:r>
      <w:r>
        <w:rPr>
          <w:b/>
          <w:sz w:val="22"/>
        </w:rPr>
        <w:t>(DESE)</w:t>
      </w:r>
      <w:r>
        <w:rPr>
          <w:b/>
          <w:spacing w:val="-9"/>
          <w:sz w:val="22"/>
        </w:rPr>
        <w:t> </w:t>
      </w:r>
      <w:r>
        <w:rPr>
          <w:b/>
          <w:sz w:val="22"/>
        </w:rPr>
        <w:t>and</w:t>
      </w:r>
      <w:r>
        <w:rPr>
          <w:b/>
          <w:spacing w:val="-9"/>
          <w:sz w:val="22"/>
        </w:rPr>
        <w:t> </w:t>
      </w:r>
      <w:r>
        <w:rPr>
          <w:b/>
          <w:sz w:val="22"/>
        </w:rPr>
        <w:t>other state</w:t>
      </w:r>
      <w:r>
        <w:rPr>
          <w:b/>
          <w:spacing w:val="-1"/>
          <w:sz w:val="22"/>
        </w:rPr>
        <w:t> </w:t>
      </w:r>
      <w:r>
        <w:rPr>
          <w:b/>
          <w:sz w:val="22"/>
        </w:rPr>
        <w:t>agencies</w:t>
      </w:r>
      <w:r>
        <w:rPr>
          <w:b/>
          <w:spacing w:val="-2"/>
          <w:sz w:val="22"/>
        </w:rPr>
        <w:t> </w:t>
      </w:r>
      <w:r>
        <w:rPr>
          <w:b/>
          <w:sz w:val="22"/>
        </w:rPr>
        <w:t>on</w:t>
      </w:r>
      <w:r>
        <w:rPr>
          <w:b/>
          <w:spacing w:val="-1"/>
          <w:sz w:val="22"/>
        </w:rPr>
        <w:t> </w:t>
      </w:r>
      <w:r>
        <w:rPr>
          <w:b/>
          <w:sz w:val="22"/>
        </w:rPr>
        <w:t>the</w:t>
      </w:r>
      <w:r>
        <w:rPr>
          <w:b/>
          <w:spacing w:val="-1"/>
          <w:sz w:val="22"/>
        </w:rPr>
        <w:t> </w:t>
      </w:r>
      <w:r>
        <w:rPr>
          <w:b/>
          <w:sz w:val="22"/>
        </w:rPr>
        <w:t>Statewide</w:t>
      </w:r>
      <w:r>
        <w:rPr>
          <w:b/>
          <w:spacing w:val="-2"/>
          <w:sz w:val="22"/>
        </w:rPr>
        <w:t> </w:t>
      </w:r>
      <w:r>
        <w:rPr>
          <w:b/>
          <w:sz w:val="22"/>
        </w:rPr>
        <w:t>Family</w:t>
      </w:r>
      <w:r>
        <w:rPr>
          <w:b/>
          <w:spacing w:val="-1"/>
          <w:sz w:val="22"/>
        </w:rPr>
        <w:t> </w:t>
      </w:r>
      <w:r>
        <w:rPr>
          <w:b/>
          <w:sz w:val="22"/>
        </w:rPr>
        <w:t>Engagement</w:t>
      </w:r>
      <w:r>
        <w:rPr>
          <w:b/>
          <w:spacing w:val="-1"/>
          <w:sz w:val="22"/>
        </w:rPr>
        <w:t> </w:t>
      </w:r>
      <w:r>
        <w:rPr>
          <w:b/>
          <w:sz w:val="22"/>
        </w:rPr>
        <w:t>Framework</w:t>
      </w:r>
      <w:r>
        <w:rPr>
          <w:b/>
          <w:spacing w:val="-1"/>
          <w:sz w:val="22"/>
        </w:rPr>
        <w:t> </w:t>
      </w:r>
      <w:r>
        <w:rPr>
          <w:b/>
          <w:sz w:val="22"/>
        </w:rPr>
        <w:t>(prenatal</w:t>
      </w:r>
      <w:r>
        <w:rPr>
          <w:b/>
          <w:spacing w:val="-2"/>
          <w:sz w:val="22"/>
        </w:rPr>
        <w:t> </w:t>
      </w:r>
      <w:r>
        <w:rPr>
          <w:b/>
          <w:sz w:val="22"/>
        </w:rPr>
        <w:t>through</w:t>
      </w:r>
      <w:r>
        <w:rPr>
          <w:b/>
          <w:spacing w:val="-2"/>
          <w:sz w:val="22"/>
        </w:rPr>
        <w:t> </w:t>
      </w:r>
      <w:r>
        <w:rPr>
          <w:b/>
          <w:sz w:val="22"/>
        </w:rPr>
        <w:t>post-</w:t>
      </w:r>
      <w:r>
        <w:rPr>
          <w:b/>
          <w:spacing w:val="-2"/>
          <w:sz w:val="22"/>
        </w:rPr>
        <w:t> </w:t>
      </w:r>
      <w:r>
        <w:rPr>
          <w:b/>
          <w:sz w:val="22"/>
        </w:rPr>
        <w:t>secondary)</w:t>
      </w:r>
      <w:r>
        <w:rPr>
          <w:b/>
          <w:spacing w:val="-1"/>
          <w:sz w:val="22"/>
        </w:rPr>
        <w:t> </w:t>
      </w:r>
      <w:r>
        <w:rPr>
          <w:b/>
          <w:sz w:val="22"/>
        </w:rPr>
        <w:t>to ensure that LGBTQ content and family diversity are well-represented.</w:t>
      </w:r>
    </w:p>
    <w:p>
      <w:pPr>
        <w:pStyle w:val="BodyText"/>
        <w:spacing w:line="276" w:lineRule="auto" w:before="240"/>
        <w:ind w:left="483" w:right="342"/>
        <w:jc w:val="both"/>
      </w:pPr>
      <w:r>
        <w:rPr/>
        <w:t>The</w:t>
      </w:r>
      <w:r>
        <w:rPr>
          <w:spacing w:val="-2"/>
        </w:rPr>
        <w:t> </w:t>
      </w:r>
      <w:r>
        <w:rPr/>
        <w:t>Commission</w:t>
      </w:r>
      <w:r>
        <w:rPr>
          <w:spacing w:val="-2"/>
        </w:rPr>
        <w:t> </w:t>
      </w:r>
      <w:r>
        <w:rPr/>
        <w:t>encourages</w:t>
      </w:r>
      <w:r>
        <w:rPr>
          <w:spacing w:val="-2"/>
        </w:rPr>
        <w:t> </w:t>
      </w:r>
      <w:r>
        <w:rPr/>
        <w:t>EEC</w:t>
      </w:r>
      <w:r>
        <w:rPr>
          <w:spacing w:val="-1"/>
        </w:rPr>
        <w:t> </w:t>
      </w:r>
      <w:r>
        <w:rPr/>
        <w:t>to</w:t>
      </w:r>
      <w:r>
        <w:rPr>
          <w:spacing w:val="-1"/>
        </w:rPr>
        <w:t> </w:t>
      </w:r>
      <w:r>
        <w:rPr/>
        <w:t>continue</w:t>
      </w:r>
      <w:r>
        <w:rPr>
          <w:spacing w:val="-2"/>
        </w:rPr>
        <w:t> </w:t>
      </w:r>
      <w:r>
        <w:rPr/>
        <w:t>its</w:t>
      </w:r>
      <w:r>
        <w:rPr>
          <w:spacing w:val="-1"/>
        </w:rPr>
        <w:t> </w:t>
      </w:r>
      <w:r>
        <w:rPr/>
        <w:t>collaboration</w:t>
      </w:r>
      <w:r>
        <w:rPr>
          <w:spacing w:val="-2"/>
        </w:rPr>
        <w:t> </w:t>
      </w:r>
      <w:r>
        <w:rPr/>
        <w:t>with</w:t>
      </w:r>
      <w:r>
        <w:rPr>
          <w:spacing w:val="-2"/>
        </w:rPr>
        <w:t> </w:t>
      </w:r>
      <w:r>
        <w:rPr/>
        <w:t>DESE</w:t>
      </w:r>
      <w:r>
        <w:rPr>
          <w:spacing w:val="-2"/>
        </w:rPr>
        <w:t> </w:t>
      </w:r>
      <w:r>
        <w:rPr/>
        <w:t>and</w:t>
      </w:r>
      <w:r>
        <w:rPr>
          <w:spacing w:val="-2"/>
        </w:rPr>
        <w:t> </w:t>
      </w:r>
      <w:r>
        <w:rPr/>
        <w:t>other</w:t>
      </w:r>
      <w:r>
        <w:rPr>
          <w:spacing w:val="-2"/>
        </w:rPr>
        <w:t> </w:t>
      </w:r>
      <w:r>
        <w:rPr/>
        <w:t>state</w:t>
      </w:r>
      <w:r>
        <w:rPr>
          <w:spacing w:val="-2"/>
        </w:rPr>
        <w:t> </w:t>
      </w:r>
      <w:r>
        <w:rPr/>
        <w:t>agencies</w:t>
      </w:r>
      <w:r>
        <w:rPr>
          <w:spacing w:val="-2"/>
        </w:rPr>
        <w:t> </w:t>
      </w:r>
      <w:r>
        <w:rPr/>
        <w:t>on</w:t>
      </w:r>
      <w:r>
        <w:rPr>
          <w:spacing w:val="-2"/>
        </w:rPr>
        <w:t> </w:t>
      </w:r>
      <w:r>
        <w:rPr/>
        <w:t>the Statewide Family Engagement Framework, </w:t>
      </w:r>
      <w:hyperlink r:id="rId708">
        <w:r>
          <w:rPr>
            <w:i/>
            <w:u w:val="single"/>
          </w:rPr>
          <w:t>STRENGTHENING</w:t>
        </w:r>
      </w:hyperlink>
      <w:r>
        <w:rPr>
          <w:i/>
          <w:u w:val="none"/>
        </w:rPr>
        <w:t> </w:t>
      </w:r>
      <w:hyperlink r:id="rId708">
        <w:r>
          <w:rPr>
            <w:i/>
            <w:u w:val="single"/>
          </w:rPr>
          <w:t>PARTNERSHIPS A Framework for Prenatal</w:t>
        </w:r>
      </w:hyperlink>
      <w:r>
        <w:rPr>
          <w:i/>
          <w:u w:val="none"/>
        </w:rPr>
        <w:t> </w:t>
      </w:r>
      <w:hyperlink r:id="rId708">
        <w:r>
          <w:rPr>
            <w:i/>
            <w:u w:val="single"/>
          </w:rPr>
          <w:t>through Young Adulthood Family Engagement</w:t>
        </w:r>
      </w:hyperlink>
      <w:r>
        <w:rPr>
          <w:i/>
          <w:u w:val="none"/>
        </w:rPr>
        <w:t> </w:t>
      </w:r>
      <w:hyperlink r:id="rId708">
        <w:r>
          <w:rPr>
            <w:i/>
            <w:u w:val="single"/>
          </w:rPr>
          <w:t>in Massachusetts</w:t>
        </w:r>
      </w:hyperlink>
      <w:hyperlink r:id="rId708">
        <w:r>
          <w:rPr>
            <w:u w:val="none"/>
          </w:rPr>
          <w:t>.</w:t>
        </w:r>
      </w:hyperlink>
      <w:r>
        <w:rPr>
          <w:u w:val="none"/>
        </w:rPr>
        <w:t> This effort was informed by affinity listening</w:t>
      </w:r>
      <w:r>
        <w:rPr>
          <w:spacing w:val="-7"/>
          <w:u w:val="none"/>
        </w:rPr>
        <w:t> </w:t>
      </w:r>
      <w:r>
        <w:rPr>
          <w:u w:val="none"/>
        </w:rPr>
        <w:t>groups</w:t>
      </w:r>
      <w:r>
        <w:rPr>
          <w:spacing w:val="-8"/>
          <w:u w:val="none"/>
        </w:rPr>
        <w:t> </w:t>
      </w:r>
      <w:r>
        <w:rPr>
          <w:u w:val="none"/>
        </w:rPr>
        <w:t>for</w:t>
      </w:r>
      <w:r>
        <w:rPr>
          <w:spacing w:val="-9"/>
          <w:u w:val="none"/>
        </w:rPr>
        <w:t> </w:t>
      </w:r>
      <w:r>
        <w:rPr>
          <w:u w:val="none"/>
        </w:rPr>
        <w:t>several</w:t>
      </w:r>
      <w:r>
        <w:rPr>
          <w:spacing w:val="-8"/>
          <w:u w:val="none"/>
        </w:rPr>
        <w:t> </w:t>
      </w:r>
      <w:r>
        <w:rPr>
          <w:u w:val="none"/>
        </w:rPr>
        <w:t>populations,</w:t>
      </w:r>
      <w:r>
        <w:rPr>
          <w:spacing w:val="-7"/>
          <w:u w:val="none"/>
        </w:rPr>
        <w:t> </w:t>
      </w:r>
      <w:r>
        <w:rPr>
          <w:u w:val="none"/>
        </w:rPr>
        <w:t>including</w:t>
      </w:r>
      <w:r>
        <w:rPr>
          <w:spacing w:val="-8"/>
          <w:u w:val="none"/>
        </w:rPr>
        <w:t> </w:t>
      </w:r>
      <w:r>
        <w:rPr>
          <w:u w:val="none"/>
        </w:rPr>
        <w:t>a</w:t>
      </w:r>
      <w:r>
        <w:rPr>
          <w:spacing w:val="-7"/>
          <w:u w:val="none"/>
        </w:rPr>
        <w:t> </w:t>
      </w:r>
      <w:r>
        <w:rPr>
          <w:u w:val="none"/>
        </w:rPr>
        <w:t>group</w:t>
      </w:r>
      <w:r>
        <w:rPr>
          <w:spacing w:val="-9"/>
          <w:u w:val="none"/>
        </w:rPr>
        <w:t> </w:t>
      </w:r>
      <w:r>
        <w:rPr>
          <w:u w:val="none"/>
        </w:rPr>
        <w:t>for</w:t>
      </w:r>
      <w:r>
        <w:rPr>
          <w:spacing w:val="-7"/>
          <w:u w:val="none"/>
        </w:rPr>
        <w:t> </w:t>
      </w:r>
      <w:r>
        <w:rPr>
          <w:u w:val="none"/>
        </w:rPr>
        <w:t>LGBTQ+</w:t>
      </w:r>
      <w:r>
        <w:rPr>
          <w:spacing w:val="-9"/>
          <w:u w:val="none"/>
        </w:rPr>
        <w:t> </w:t>
      </w:r>
      <w:r>
        <w:rPr>
          <w:u w:val="none"/>
        </w:rPr>
        <w:t>families</w:t>
      </w:r>
      <w:r>
        <w:rPr>
          <w:spacing w:val="-7"/>
          <w:u w:val="none"/>
        </w:rPr>
        <w:t> </w:t>
      </w:r>
      <w:r>
        <w:rPr>
          <w:u w:val="none"/>
        </w:rPr>
        <w:t>conducted</w:t>
      </w:r>
      <w:r>
        <w:rPr>
          <w:spacing w:val="-8"/>
          <w:u w:val="none"/>
        </w:rPr>
        <w:t> </w:t>
      </w:r>
      <w:r>
        <w:rPr>
          <w:u w:val="none"/>
        </w:rPr>
        <w:t>by</w:t>
      </w:r>
      <w:r>
        <w:rPr>
          <w:spacing w:val="-6"/>
          <w:u w:val="none"/>
        </w:rPr>
        <w:t> </w:t>
      </w:r>
      <w:r>
        <w:rPr>
          <w:u w:val="none"/>
        </w:rPr>
        <w:t>Jeff</w:t>
      </w:r>
      <w:r>
        <w:rPr>
          <w:spacing w:val="-9"/>
          <w:u w:val="none"/>
        </w:rPr>
        <w:t> </w:t>
      </w:r>
      <w:r>
        <w:rPr>
          <w:u w:val="none"/>
        </w:rPr>
        <w:t>Perrotti, Senior</w:t>
      </w:r>
      <w:r>
        <w:rPr>
          <w:spacing w:val="-13"/>
          <w:u w:val="none"/>
        </w:rPr>
        <w:t> </w:t>
      </w:r>
      <w:r>
        <w:rPr>
          <w:u w:val="none"/>
        </w:rPr>
        <w:t>Consultant</w:t>
      </w:r>
      <w:r>
        <w:rPr>
          <w:spacing w:val="-11"/>
          <w:u w:val="none"/>
        </w:rPr>
        <w:t> </w:t>
      </w:r>
      <w:r>
        <w:rPr>
          <w:u w:val="none"/>
        </w:rPr>
        <w:t>for</w:t>
      </w:r>
      <w:r>
        <w:rPr>
          <w:spacing w:val="-11"/>
          <w:u w:val="none"/>
        </w:rPr>
        <w:t> </w:t>
      </w:r>
      <w:r>
        <w:rPr>
          <w:u w:val="none"/>
        </w:rPr>
        <w:t>the</w:t>
      </w:r>
      <w:r>
        <w:rPr>
          <w:spacing w:val="-12"/>
          <w:u w:val="none"/>
        </w:rPr>
        <w:t> </w:t>
      </w:r>
      <w:r>
        <w:rPr>
          <w:u w:val="none"/>
        </w:rPr>
        <w:t>Safe</w:t>
      </w:r>
      <w:r>
        <w:rPr>
          <w:spacing w:val="-13"/>
          <w:u w:val="none"/>
        </w:rPr>
        <w:t> </w:t>
      </w:r>
      <w:r>
        <w:rPr>
          <w:u w:val="none"/>
        </w:rPr>
        <w:t>Schools</w:t>
      </w:r>
      <w:r>
        <w:rPr>
          <w:spacing w:val="-12"/>
          <w:u w:val="none"/>
        </w:rPr>
        <w:t> </w:t>
      </w:r>
      <w:r>
        <w:rPr>
          <w:u w:val="none"/>
        </w:rPr>
        <w:t>Program</w:t>
      </w:r>
      <w:r>
        <w:rPr>
          <w:spacing w:val="-13"/>
          <w:u w:val="none"/>
        </w:rPr>
        <w:t> </w:t>
      </w:r>
      <w:r>
        <w:rPr>
          <w:u w:val="none"/>
        </w:rPr>
        <w:t>for</w:t>
      </w:r>
      <w:r>
        <w:rPr>
          <w:spacing w:val="-11"/>
          <w:u w:val="none"/>
        </w:rPr>
        <w:t> </w:t>
      </w:r>
      <w:r>
        <w:rPr>
          <w:u w:val="none"/>
        </w:rPr>
        <w:t>LGBTQ</w:t>
      </w:r>
      <w:r>
        <w:rPr>
          <w:spacing w:val="-12"/>
          <w:u w:val="none"/>
        </w:rPr>
        <w:t> </w:t>
      </w:r>
      <w:r>
        <w:rPr>
          <w:u w:val="none"/>
        </w:rPr>
        <w:t>Students.</w:t>
      </w:r>
      <w:r>
        <w:rPr>
          <w:spacing w:val="-13"/>
          <w:u w:val="none"/>
        </w:rPr>
        <w:t> </w:t>
      </w:r>
      <w:r>
        <w:rPr>
          <w:u w:val="none"/>
        </w:rPr>
        <w:t>This</w:t>
      </w:r>
      <w:r>
        <w:rPr>
          <w:spacing w:val="-12"/>
          <w:u w:val="none"/>
        </w:rPr>
        <w:t> </w:t>
      </w:r>
      <w:r>
        <w:rPr>
          <w:u w:val="none"/>
        </w:rPr>
        <w:t>report</w:t>
      </w:r>
      <w:r>
        <w:rPr>
          <w:spacing w:val="-12"/>
          <w:u w:val="none"/>
        </w:rPr>
        <w:t> </w:t>
      </w:r>
      <w:r>
        <w:rPr>
          <w:u w:val="none"/>
        </w:rPr>
        <w:t>informs</w:t>
      </w:r>
      <w:r>
        <w:rPr>
          <w:spacing w:val="-12"/>
          <w:u w:val="none"/>
        </w:rPr>
        <w:t> </w:t>
      </w:r>
      <w:r>
        <w:rPr>
          <w:u w:val="none"/>
        </w:rPr>
        <w:t>the</w:t>
      </w:r>
      <w:r>
        <w:rPr>
          <w:spacing w:val="-12"/>
          <w:u w:val="none"/>
        </w:rPr>
        <w:t> </w:t>
      </w:r>
      <w:r>
        <w:rPr>
          <w:u w:val="none"/>
        </w:rPr>
        <w:t>Commission’s work</w:t>
      </w:r>
      <w:r>
        <w:rPr>
          <w:spacing w:val="-7"/>
          <w:u w:val="none"/>
        </w:rPr>
        <w:t> </w:t>
      </w:r>
      <w:r>
        <w:rPr>
          <w:u w:val="none"/>
        </w:rPr>
        <w:t>on</w:t>
      </w:r>
      <w:r>
        <w:rPr>
          <w:spacing w:val="-7"/>
          <w:u w:val="none"/>
        </w:rPr>
        <w:t> </w:t>
      </w:r>
      <w:r>
        <w:rPr>
          <w:u w:val="none"/>
        </w:rPr>
        <w:t>family</w:t>
      </w:r>
      <w:r>
        <w:rPr>
          <w:spacing w:val="-6"/>
          <w:u w:val="none"/>
        </w:rPr>
        <w:t> </w:t>
      </w:r>
      <w:r>
        <w:rPr>
          <w:u w:val="none"/>
        </w:rPr>
        <w:t>acceptance</w:t>
      </w:r>
      <w:r>
        <w:rPr>
          <w:spacing w:val="-6"/>
          <w:u w:val="none"/>
        </w:rPr>
        <w:t> </w:t>
      </w:r>
      <w:r>
        <w:rPr>
          <w:u w:val="none"/>
        </w:rPr>
        <w:t>which</w:t>
      </w:r>
      <w:r>
        <w:rPr>
          <w:spacing w:val="-6"/>
          <w:u w:val="none"/>
        </w:rPr>
        <w:t> </w:t>
      </w:r>
      <w:r>
        <w:rPr>
          <w:u w:val="none"/>
        </w:rPr>
        <w:t>is</w:t>
      </w:r>
      <w:r>
        <w:rPr>
          <w:spacing w:val="-6"/>
          <w:u w:val="none"/>
        </w:rPr>
        <w:t> </w:t>
      </w:r>
      <w:r>
        <w:rPr>
          <w:u w:val="none"/>
        </w:rPr>
        <w:t>important</w:t>
      </w:r>
      <w:r>
        <w:rPr>
          <w:spacing w:val="-7"/>
          <w:u w:val="none"/>
        </w:rPr>
        <w:t> </w:t>
      </w:r>
      <w:r>
        <w:rPr>
          <w:u w:val="none"/>
        </w:rPr>
        <w:t>for</w:t>
      </w:r>
      <w:r>
        <w:rPr>
          <w:spacing w:val="-6"/>
          <w:u w:val="none"/>
        </w:rPr>
        <w:t> </w:t>
      </w:r>
      <w:r>
        <w:rPr>
          <w:u w:val="none"/>
        </w:rPr>
        <w:t>reducing</w:t>
      </w:r>
      <w:r>
        <w:rPr>
          <w:spacing w:val="-6"/>
          <w:u w:val="none"/>
        </w:rPr>
        <w:t> </w:t>
      </w:r>
      <w:r>
        <w:rPr>
          <w:u w:val="none"/>
        </w:rPr>
        <w:t>family</w:t>
      </w:r>
      <w:r>
        <w:rPr>
          <w:spacing w:val="-6"/>
          <w:u w:val="none"/>
        </w:rPr>
        <w:t> </w:t>
      </w:r>
      <w:r>
        <w:rPr>
          <w:u w:val="none"/>
        </w:rPr>
        <w:t>rejection</w:t>
      </w:r>
      <w:r>
        <w:rPr>
          <w:spacing w:val="-7"/>
          <w:u w:val="none"/>
        </w:rPr>
        <w:t> </w:t>
      </w:r>
      <w:r>
        <w:rPr>
          <w:u w:val="none"/>
        </w:rPr>
        <w:t>of</w:t>
      </w:r>
      <w:r>
        <w:rPr>
          <w:spacing w:val="-5"/>
          <w:u w:val="none"/>
        </w:rPr>
        <w:t> </w:t>
      </w:r>
      <w:r>
        <w:rPr>
          <w:u w:val="none"/>
        </w:rPr>
        <w:t>LGBTQ</w:t>
      </w:r>
      <w:r>
        <w:rPr>
          <w:spacing w:val="-7"/>
          <w:u w:val="none"/>
        </w:rPr>
        <w:t> </w:t>
      </w:r>
      <w:r>
        <w:rPr>
          <w:u w:val="none"/>
        </w:rPr>
        <w:t>youth.</w:t>
      </w:r>
      <w:r>
        <w:rPr>
          <w:spacing w:val="-6"/>
          <w:u w:val="none"/>
        </w:rPr>
        <w:t> </w:t>
      </w:r>
      <w:r>
        <w:rPr>
          <w:u w:val="none"/>
        </w:rPr>
        <w:t>The</w:t>
      </w:r>
      <w:r>
        <w:rPr>
          <w:spacing w:val="-7"/>
          <w:u w:val="none"/>
        </w:rPr>
        <w:t> </w:t>
      </w:r>
      <w:r>
        <w:rPr>
          <w:u w:val="none"/>
        </w:rPr>
        <w:t>Office</w:t>
      </w:r>
      <w:r>
        <w:rPr>
          <w:spacing w:val="-7"/>
          <w:u w:val="none"/>
        </w:rPr>
        <w:t> </w:t>
      </w:r>
      <w:r>
        <w:rPr>
          <w:u w:val="none"/>
        </w:rPr>
        <w:t>of Student and Family Support also hosts a number of additional resources for family engagement </w:t>
      </w:r>
      <w:hyperlink r:id="rId709">
        <w:r>
          <w:rPr>
            <w:u w:val="single"/>
          </w:rPr>
          <w:t>on their</w:t>
        </w:r>
      </w:hyperlink>
      <w:r>
        <w:rPr>
          <w:u w:val="none"/>
        </w:rPr>
        <w:t> </w:t>
      </w:r>
      <w:hyperlink r:id="rId709">
        <w:r>
          <w:rPr>
            <w:spacing w:val="-2"/>
            <w:u w:val="single"/>
          </w:rPr>
          <w:t>website.</w:t>
        </w:r>
      </w:hyperlink>
    </w:p>
    <w:p>
      <w:pPr>
        <w:numPr>
          <w:ilvl w:val="0"/>
          <w:numId w:val="31"/>
        </w:numPr>
        <w:tabs>
          <w:tab w:pos="481" w:val="left" w:leader="none"/>
        </w:tabs>
        <w:spacing w:before="241"/>
        <w:ind w:left="481" w:right="0" w:hanging="358"/>
        <w:jc w:val="left"/>
        <w:rPr>
          <w:b/>
          <w:sz w:val="22"/>
        </w:rPr>
      </w:pPr>
      <w:r>
        <w:rPr>
          <w:b/>
          <w:sz w:val="22"/>
        </w:rPr>
        <w:t>Include</w:t>
      </w:r>
      <w:r>
        <w:rPr>
          <w:b/>
          <w:spacing w:val="-8"/>
          <w:sz w:val="22"/>
        </w:rPr>
        <w:t> </w:t>
      </w:r>
      <w:r>
        <w:rPr>
          <w:b/>
          <w:sz w:val="22"/>
        </w:rPr>
        <w:t>a</w:t>
      </w:r>
      <w:r>
        <w:rPr>
          <w:b/>
          <w:spacing w:val="-8"/>
          <w:sz w:val="22"/>
        </w:rPr>
        <w:t> </w:t>
      </w:r>
      <w:r>
        <w:rPr>
          <w:b/>
          <w:sz w:val="22"/>
        </w:rPr>
        <w:t>nonbinary</w:t>
      </w:r>
      <w:r>
        <w:rPr>
          <w:b/>
          <w:spacing w:val="-9"/>
          <w:sz w:val="22"/>
        </w:rPr>
        <w:t> </w:t>
      </w:r>
      <w:r>
        <w:rPr>
          <w:b/>
          <w:sz w:val="22"/>
        </w:rPr>
        <w:t>gender</w:t>
      </w:r>
      <w:r>
        <w:rPr>
          <w:b/>
          <w:spacing w:val="-9"/>
          <w:sz w:val="22"/>
        </w:rPr>
        <w:t> </w:t>
      </w:r>
      <w:r>
        <w:rPr>
          <w:b/>
          <w:sz w:val="22"/>
        </w:rPr>
        <w:t>marker</w:t>
      </w:r>
      <w:r>
        <w:rPr>
          <w:b/>
          <w:spacing w:val="-8"/>
          <w:sz w:val="22"/>
        </w:rPr>
        <w:t> </w:t>
      </w:r>
      <w:r>
        <w:rPr>
          <w:b/>
          <w:sz w:val="22"/>
        </w:rPr>
        <w:t>option</w:t>
      </w:r>
      <w:r>
        <w:rPr>
          <w:b/>
          <w:spacing w:val="-9"/>
          <w:sz w:val="22"/>
        </w:rPr>
        <w:t> </w:t>
      </w:r>
      <w:r>
        <w:rPr>
          <w:b/>
          <w:sz w:val="22"/>
        </w:rPr>
        <w:t>during</w:t>
      </w:r>
      <w:r>
        <w:rPr>
          <w:b/>
          <w:spacing w:val="-8"/>
          <w:sz w:val="22"/>
        </w:rPr>
        <w:t> </w:t>
      </w:r>
      <w:r>
        <w:rPr>
          <w:b/>
          <w:sz w:val="22"/>
        </w:rPr>
        <w:t>the</w:t>
      </w:r>
      <w:r>
        <w:rPr>
          <w:b/>
          <w:spacing w:val="-8"/>
          <w:sz w:val="22"/>
        </w:rPr>
        <w:t> </w:t>
      </w:r>
      <w:r>
        <w:rPr>
          <w:b/>
          <w:sz w:val="22"/>
        </w:rPr>
        <w:t>development</w:t>
      </w:r>
      <w:r>
        <w:rPr>
          <w:b/>
          <w:spacing w:val="-8"/>
          <w:sz w:val="22"/>
        </w:rPr>
        <w:t> </w:t>
      </w:r>
      <w:r>
        <w:rPr>
          <w:b/>
          <w:sz w:val="22"/>
        </w:rPr>
        <w:t>of</w:t>
      </w:r>
      <w:r>
        <w:rPr>
          <w:b/>
          <w:spacing w:val="-8"/>
          <w:sz w:val="22"/>
        </w:rPr>
        <w:t> </w:t>
      </w:r>
      <w:r>
        <w:rPr>
          <w:b/>
          <w:sz w:val="22"/>
        </w:rPr>
        <w:t>EEC’s</w:t>
      </w:r>
      <w:r>
        <w:rPr>
          <w:b/>
          <w:spacing w:val="-8"/>
          <w:sz w:val="22"/>
        </w:rPr>
        <w:t> </w:t>
      </w:r>
      <w:r>
        <w:rPr>
          <w:b/>
          <w:sz w:val="22"/>
        </w:rPr>
        <w:t>online</w:t>
      </w:r>
      <w:r>
        <w:rPr>
          <w:b/>
          <w:spacing w:val="-8"/>
          <w:sz w:val="22"/>
        </w:rPr>
        <w:t> </w:t>
      </w:r>
      <w:r>
        <w:rPr>
          <w:b/>
          <w:spacing w:val="-2"/>
          <w:sz w:val="22"/>
        </w:rPr>
        <w:t>applications.</w:t>
      </w:r>
    </w:p>
    <w:p>
      <w:pPr>
        <w:pStyle w:val="BodyText"/>
        <w:spacing w:before="12"/>
        <w:rPr>
          <w:b/>
        </w:rPr>
      </w:pPr>
    </w:p>
    <w:p>
      <w:pPr>
        <w:pStyle w:val="BodyText"/>
        <w:spacing w:line="276" w:lineRule="auto"/>
        <w:ind w:left="483" w:right="344"/>
        <w:jc w:val="both"/>
      </w:pPr>
      <w:r>
        <w:rPr/>
        <w:t>EEC created the option of a nonbinary gender marker for its new Professional Qualifications Registry database in FY 2021. This adds EEC to the growing number of state agencies within and beyond Massachusetts who are providing a third gender marker, including the Department of Elementary and Secondary</w:t>
      </w:r>
      <w:r>
        <w:rPr>
          <w:spacing w:val="-3"/>
        </w:rPr>
        <w:t> </w:t>
      </w:r>
      <w:r>
        <w:rPr/>
        <w:t>Education,</w:t>
      </w:r>
      <w:r>
        <w:rPr>
          <w:spacing w:val="-3"/>
        </w:rPr>
        <w:t> </w:t>
      </w:r>
      <w:r>
        <w:rPr/>
        <w:t>which</w:t>
      </w:r>
      <w:r>
        <w:rPr>
          <w:spacing w:val="-3"/>
        </w:rPr>
        <w:t> </w:t>
      </w:r>
      <w:r>
        <w:rPr/>
        <w:t>has</w:t>
      </w:r>
      <w:r>
        <w:rPr>
          <w:spacing w:val="-2"/>
        </w:rPr>
        <w:t> </w:t>
      </w:r>
      <w:r>
        <w:rPr/>
        <w:t>created</w:t>
      </w:r>
      <w:r>
        <w:rPr>
          <w:spacing w:val="-2"/>
        </w:rPr>
        <w:t> </w:t>
      </w:r>
      <w:r>
        <w:rPr/>
        <w:t>such</w:t>
      </w:r>
      <w:r>
        <w:rPr>
          <w:spacing w:val="-3"/>
        </w:rPr>
        <w:t> </w:t>
      </w:r>
      <w:r>
        <w:rPr/>
        <w:t>an</w:t>
      </w:r>
      <w:r>
        <w:rPr>
          <w:spacing w:val="-3"/>
        </w:rPr>
        <w:t> </w:t>
      </w:r>
      <w:r>
        <w:rPr/>
        <w:t>option</w:t>
      </w:r>
      <w:r>
        <w:rPr>
          <w:spacing w:val="-3"/>
        </w:rPr>
        <w:t> </w:t>
      </w:r>
      <w:r>
        <w:rPr/>
        <w:t>for</w:t>
      </w:r>
      <w:r>
        <w:rPr>
          <w:spacing w:val="-3"/>
        </w:rPr>
        <w:t> </w:t>
      </w:r>
      <w:r>
        <w:rPr/>
        <w:t>public</w:t>
      </w:r>
      <w:r>
        <w:rPr>
          <w:spacing w:val="-2"/>
        </w:rPr>
        <w:t> </w:t>
      </w:r>
      <w:r>
        <w:rPr/>
        <w:t>school</w:t>
      </w:r>
      <w:r>
        <w:rPr>
          <w:spacing w:val="-3"/>
        </w:rPr>
        <w:t> </w:t>
      </w:r>
      <w:r>
        <w:rPr/>
        <w:t>students.</w:t>
      </w:r>
      <w:r>
        <w:rPr>
          <w:spacing w:val="-3"/>
        </w:rPr>
        <w:t> </w:t>
      </w:r>
      <w:r>
        <w:rPr/>
        <w:t>Discussions</w:t>
      </w:r>
      <w:r>
        <w:rPr>
          <w:spacing w:val="-2"/>
        </w:rPr>
        <w:t> </w:t>
      </w:r>
      <w:r>
        <w:rPr/>
        <w:t>with</w:t>
      </w:r>
      <w:r>
        <w:rPr>
          <w:spacing w:val="-3"/>
        </w:rPr>
        <w:t> </w:t>
      </w:r>
      <w:r>
        <w:rPr/>
        <w:t>staff working on the registry have focused on better understanding the workforce being served to help with data collection to form a baseline data plan for recruitment retention. The EEC is also exploring opportunities to update its Educator Registry to better reflect LGBTQ identities. In its FY 2024 meetings, EEC shared that this project is well underway, and it is currently working on an audit of the system.</w:t>
      </w:r>
    </w:p>
    <w:p>
      <w:pPr>
        <w:spacing w:after="0" w:line="276" w:lineRule="auto"/>
        <w:jc w:val="both"/>
        <w:sectPr>
          <w:pgSz w:w="12240" w:h="15840"/>
          <w:pgMar w:header="804" w:footer="1250" w:top="1000" w:bottom="1460" w:left="960" w:right="1100"/>
        </w:sectPr>
      </w:pPr>
    </w:p>
    <w:p>
      <w:pPr>
        <w:numPr>
          <w:ilvl w:val="0"/>
          <w:numId w:val="31"/>
        </w:numPr>
        <w:tabs>
          <w:tab w:pos="481" w:val="left" w:leader="none"/>
        </w:tabs>
        <w:spacing w:before="139"/>
        <w:ind w:left="481" w:right="0" w:hanging="358"/>
        <w:jc w:val="left"/>
        <w:rPr>
          <w:b/>
          <w:sz w:val="22"/>
        </w:rPr>
      </w:pPr>
      <w:r>
        <w:rPr>
          <w:b/>
          <w:sz w:val="22"/>
        </w:rPr>
        <w:t>Share</w:t>
      </w:r>
      <w:r>
        <w:rPr>
          <w:b/>
          <w:spacing w:val="-9"/>
          <w:sz w:val="22"/>
        </w:rPr>
        <w:t> </w:t>
      </w:r>
      <w:r>
        <w:rPr>
          <w:b/>
          <w:sz w:val="22"/>
        </w:rPr>
        <w:t>information</w:t>
      </w:r>
      <w:r>
        <w:rPr>
          <w:b/>
          <w:spacing w:val="-8"/>
          <w:sz w:val="22"/>
        </w:rPr>
        <w:t> </w:t>
      </w:r>
      <w:r>
        <w:rPr>
          <w:b/>
          <w:sz w:val="22"/>
        </w:rPr>
        <w:t>and</w:t>
      </w:r>
      <w:r>
        <w:rPr>
          <w:b/>
          <w:spacing w:val="-8"/>
          <w:sz w:val="22"/>
        </w:rPr>
        <w:t> </w:t>
      </w:r>
      <w:r>
        <w:rPr>
          <w:b/>
          <w:sz w:val="22"/>
        </w:rPr>
        <w:t>best</w:t>
      </w:r>
      <w:r>
        <w:rPr>
          <w:b/>
          <w:spacing w:val="-7"/>
          <w:sz w:val="22"/>
        </w:rPr>
        <w:t> </w:t>
      </w:r>
      <w:r>
        <w:rPr>
          <w:b/>
          <w:sz w:val="22"/>
        </w:rPr>
        <w:t>practices</w:t>
      </w:r>
      <w:r>
        <w:rPr>
          <w:b/>
          <w:spacing w:val="-9"/>
          <w:sz w:val="22"/>
        </w:rPr>
        <w:t> </w:t>
      </w:r>
      <w:r>
        <w:rPr>
          <w:b/>
          <w:sz w:val="22"/>
        </w:rPr>
        <w:t>related</w:t>
      </w:r>
      <w:r>
        <w:rPr>
          <w:b/>
          <w:spacing w:val="-8"/>
          <w:sz w:val="22"/>
        </w:rPr>
        <w:t> </w:t>
      </w:r>
      <w:r>
        <w:rPr>
          <w:b/>
          <w:sz w:val="22"/>
        </w:rPr>
        <w:t>to</w:t>
      </w:r>
      <w:r>
        <w:rPr>
          <w:b/>
          <w:spacing w:val="-8"/>
          <w:sz w:val="22"/>
        </w:rPr>
        <w:t> </w:t>
      </w:r>
      <w:r>
        <w:rPr>
          <w:b/>
          <w:sz w:val="22"/>
        </w:rPr>
        <w:t>early</w:t>
      </w:r>
      <w:r>
        <w:rPr>
          <w:b/>
          <w:spacing w:val="-9"/>
          <w:sz w:val="22"/>
        </w:rPr>
        <w:t> </w:t>
      </w:r>
      <w:r>
        <w:rPr>
          <w:b/>
          <w:sz w:val="22"/>
        </w:rPr>
        <w:t>education</w:t>
      </w:r>
      <w:r>
        <w:rPr>
          <w:b/>
          <w:spacing w:val="-7"/>
          <w:sz w:val="22"/>
        </w:rPr>
        <w:t> </w:t>
      </w:r>
      <w:r>
        <w:rPr>
          <w:b/>
          <w:spacing w:val="-2"/>
          <w:sz w:val="22"/>
        </w:rPr>
        <w:t>populations.</w:t>
      </w:r>
    </w:p>
    <w:p>
      <w:pPr>
        <w:pStyle w:val="BodyText"/>
        <w:spacing w:before="11"/>
        <w:rPr>
          <w:b/>
        </w:rPr>
      </w:pPr>
    </w:p>
    <w:p>
      <w:pPr>
        <w:pStyle w:val="BodyText"/>
        <w:spacing w:line="276" w:lineRule="auto"/>
        <w:ind w:left="483" w:right="341"/>
        <w:jc w:val="both"/>
      </w:pPr>
      <w:r>
        <w:rPr/>
        <w:t>The Safe Schools Program for LGBTQ Students has received an increase in requests for elementary trainings, as well as requests for technical assistance related to the formation of Rainbow Clubs or GSA groups at the elementary level. The Commission invites EEC to continue sharing new research and best practices with the Safe Schools Program for LGBTQ Students in order to strengthen its training and technical assistance programming.</w:t>
      </w:r>
    </w:p>
    <w:p>
      <w:pPr>
        <w:pStyle w:val="BodyText"/>
      </w:pPr>
    </w:p>
    <w:p>
      <w:pPr>
        <w:pStyle w:val="BodyText"/>
        <w:spacing w:before="238"/>
      </w:pPr>
    </w:p>
    <w:p>
      <w:pPr>
        <w:spacing w:before="0"/>
        <w:ind w:left="483" w:right="0" w:firstLine="0"/>
        <w:jc w:val="both"/>
        <w:rPr>
          <w:i/>
          <w:sz w:val="21"/>
        </w:rPr>
      </w:pPr>
      <w:r>
        <w:rPr>
          <w:i/>
          <w:sz w:val="21"/>
        </w:rPr>
        <w:t>Acknowledgments:</w:t>
      </w:r>
      <w:r>
        <w:rPr>
          <w:i/>
          <w:spacing w:val="-5"/>
          <w:sz w:val="21"/>
        </w:rPr>
        <w:t> </w:t>
      </w:r>
      <w:r>
        <w:rPr>
          <w:i/>
          <w:sz w:val="21"/>
        </w:rPr>
        <w:t>The</w:t>
      </w:r>
      <w:r>
        <w:rPr>
          <w:i/>
          <w:spacing w:val="-1"/>
          <w:sz w:val="21"/>
        </w:rPr>
        <w:t> </w:t>
      </w:r>
      <w:r>
        <w:rPr>
          <w:i/>
          <w:sz w:val="21"/>
        </w:rPr>
        <w:t>Commission</w:t>
      </w:r>
      <w:r>
        <w:rPr>
          <w:i/>
          <w:spacing w:val="-2"/>
          <w:sz w:val="21"/>
        </w:rPr>
        <w:t> </w:t>
      </w:r>
      <w:r>
        <w:rPr>
          <w:i/>
          <w:sz w:val="21"/>
        </w:rPr>
        <w:t>appreciates</w:t>
      </w:r>
      <w:r>
        <w:rPr>
          <w:i/>
          <w:spacing w:val="-4"/>
          <w:sz w:val="21"/>
        </w:rPr>
        <w:t> </w:t>
      </w:r>
      <w:r>
        <w:rPr>
          <w:i/>
          <w:sz w:val="21"/>
        </w:rPr>
        <w:t>the</w:t>
      </w:r>
      <w:r>
        <w:rPr>
          <w:i/>
          <w:spacing w:val="-3"/>
          <w:sz w:val="21"/>
        </w:rPr>
        <w:t> </w:t>
      </w:r>
      <w:r>
        <w:rPr>
          <w:i/>
          <w:sz w:val="21"/>
        </w:rPr>
        <w:t>contributions</w:t>
      </w:r>
      <w:r>
        <w:rPr>
          <w:i/>
          <w:spacing w:val="-2"/>
          <w:sz w:val="21"/>
        </w:rPr>
        <w:t> </w:t>
      </w:r>
      <w:r>
        <w:rPr>
          <w:i/>
          <w:sz w:val="21"/>
        </w:rPr>
        <w:t>of</w:t>
      </w:r>
      <w:r>
        <w:rPr>
          <w:i/>
          <w:spacing w:val="-3"/>
          <w:sz w:val="21"/>
        </w:rPr>
        <w:t> </w:t>
      </w:r>
      <w:r>
        <w:rPr>
          <w:i/>
          <w:sz w:val="21"/>
        </w:rPr>
        <w:t>its</w:t>
      </w:r>
      <w:r>
        <w:rPr>
          <w:i/>
          <w:spacing w:val="-2"/>
          <w:sz w:val="21"/>
        </w:rPr>
        <w:t> </w:t>
      </w:r>
      <w:r>
        <w:rPr>
          <w:i/>
          <w:sz w:val="21"/>
        </w:rPr>
        <w:t>EEC</w:t>
      </w:r>
      <w:r>
        <w:rPr>
          <w:i/>
          <w:spacing w:val="-2"/>
          <w:sz w:val="21"/>
        </w:rPr>
        <w:t> </w:t>
      </w:r>
      <w:r>
        <w:rPr>
          <w:i/>
          <w:sz w:val="21"/>
        </w:rPr>
        <w:t>agency</w:t>
      </w:r>
      <w:r>
        <w:rPr>
          <w:i/>
          <w:spacing w:val="-2"/>
          <w:sz w:val="21"/>
        </w:rPr>
        <w:t> liaisons.</w:t>
      </w:r>
    </w:p>
    <w:p>
      <w:pPr>
        <w:spacing w:after="0"/>
        <w:jc w:val="both"/>
        <w:rPr>
          <w:sz w:val="21"/>
        </w:rPr>
        <w:sectPr>
          <w:pgSz w:w="12240" w:h="15840"/>
          <w:pgMar w:header="804" w:footer="1250" w:top="1000" w:bottom="1460" w:left="960" w:right="1100"/>
        </w:sectPr>
      </w:pPr>
    </w:p>
    <w:p>
      <w:pPr>
        <w:pStyle w:val="BodyText"/>
        <w:spacing w:before="1"/>
        <w:rPr>
          <w:i/>
          <w:sz w:val="40"/>
        </w:rPr>
      </w:pPr>
    </w:p>
    <w:p>
      <w:pPr>
        <w:pStyle w:val="Heading7"/>
        <w:ind w:left="624"/>
      </w:pPr>
      <w:bookmarkStart w:name="_bookmark624" w:id="931"/>
      <w:bookmarkEnd w:id="931"/>
      <w:r>
        <w:rPr/>
      </w:r>
      <w:hyperlink w:history="true" w:anchor="_bookmark5">
        <w:r>
          <w:rPr>
            <w:color w:val="365F91"/>
            <w:spacing w:val="-10"/>
          </w:rPr>
          <w:t>Department</w:t>
        </w:r>
        <w:r>
          <w:rPr>
            <w:color w:val="365F91"/>
            <w:spacing w:val="-4"/>
          </w:rPr>
          <w:t> </w:t>
        </w:r>
        <w:r>
          <w:rPr>
            <w:color w:val="365F91"/>
            <w:spacing w:val="-10"/>
          </w:rPr>
          <w:t>of</w:t>
        </w:r>
        <w:r>
          <w:rPr>
            <w:color w:val="365F91"/>
            <w:spacing w:val="-3"/>
          </w:rPr>
          <w:t> </w:t>
        </w:r>
        <w:r>
          <w:rPr>
            <w:color w:val="365F91"/>
            <w:spacing w:val="-10"/>
          </w:rPr>
          <w:t>Elementary</w:t>
        </w:r>
        <w:r>
          <w:rPr>
            <w:color w:val="365F91"/>
            <w:spacing w:val="-3"/>
          </w:rPr>
          <w:t> </w:t>
        </w:r>
        <w:r>
          <w:rPr>
            <w:color w:val="365F91"/>
            <w:spacing w:val="-10"/>
          </w:rPr>
          <w:t>and</w:t>
        </w:r>
        <w:r>
          <w:rPr>
            <w:color w:val="365F91"/>
            <w:spacing w:val="-4"/>
          </w:rPr>
          <w:t> </w:t>
        </w:r>
        <w:r>
          <w:rPr>
            <w:color w:val="365F91"/>
            <w:spacing w:val="-10"/>
          </w:rPr>
          <w:t>Secondary</w:t>
        </w:r>
        <w:r>
          <w:rPr>
            <w:color w:val="365F91"/>
            <w:spacing w:val="-3"/>
          </w:rPr>
          <w:t> </w:t>
        </w:r>
        <w:r>
          <w:rPr>
            <w:color w:val="365F91"/>
            <w:spacing w:val="-10"/>
          </w:rPr>
          <w:t>Education</w:t>
        </w:r>
      </w:hyperlink>
    </w:p>
    <w:p>
      <w:pPr>
        <w:spacing w:before="313"/>
        <w:ind w:left="687"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690752">
                <wp:simplePos x="0" y="0"/>
                <wp:positionH relativeFrom="page">
                  <wp:posOffset>986789</wp:posOffset>
                </wp:positionH>
                <wp:positionV relativeFrom="paragraph">
                  <wp:posOffset>44920</wp:posOffset>
                </wp:positionV>
                <wp:extent cx="5799455" cy="6350"/>
                <wp:effectExtent l="0" t="0" r="0" b="0"/>
                <wp:wrapTopAndBottom/>
                <wp:docPr id="540" name="Graphic 540"/>
                <wp:cNvGraphicFramePr>
                  <a:graphicFrameLocks/>
                </wp:cNvGraphicFramePr>
                <a:graphic>
                  <a:graphicData uri="http://schemas.microsoft.com/office/word/2010/wordprocessingShape">
                    <wps:wsp>
                      <wps:cNvPr id="540" name="Graphic 540"/>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37031pt;width:456.601pt;height:.48pt;mso-position-horizontal-relative:page;mso-position-vertical-relative:paragraph;z-index:-15625728;mso-wrap-distance-left:0;mso-wrap-distance-right:0" id="docshape437" filled="true" fillcolor="#4f81bc" stroked="false">
                <v:fill type="solid"/>
                <w10:wrap type="topAndBottom"/>
              </v:rect>
            </w:pict>
          </mc:Fallback>
        </mc:AlternateContent>
      </w:r>
    </w:p>
    <w:p>
      <w:pPr>
        <w:pStyle w:val="ListParagraph"/>
        <w:numPr>
          <w:ilvl w:val="0"/>
          <w:numId w:val="32"/>
        </w:numPr>
        <w:tabs>
          <w:tab w:pos="1559" w:val="left" w:leader="none"/>
        </w:tabs>
        <w:spacing w:line="276" w:lineRule="auto" w:before="241" w:after="0"/>
        <w:ind w:left="1559" w:right="481" w:hanging="360"/>
        <w:jc w:val="left"/>
        <w:rPr>
          <w:sz w:val="21"/>
        </w:rPr>
      </w:pPr>
      <w:r>
        <w:rPr>
          <w:sz w:val="21"/>
        </w:rPr>
        <w:t>Continue collaboration with</w:t>
      </w:r>
      <w:r>
        <w:rPr>
          <w:spacing w:val="-1"/>
          <w:sz w:val="21"/>
        </w:rPr>
        <w:t> </w:t>
      </w:r>
      <w:r>
        <w:rPr>
          <w:sz w:val="21"/>
        </w:rPr>
        <w:t>the Commission to jointly administer the</w:t>
      </w:r>
      <w:r>
        <w:rPr>
          <w:spacing w:val="-1"/>
          <w:sz w:val="21"/>
        </w:rPr>
        <w:t> </w:t>
      </w:r>
      <w:r>
        <w:rPr>
          <w:sz w:val="21"/>
        </w:rPr>
        <w:t>Safe Schools Program for LGBTQ Students.</w:t>
      </w:r>
    </w:p>
    <w:p>
      <w:pPr>
        <w:pStyle w:val="ListParagraph"/>
        <w:numPr>
          <w:ilvl w:val="0"/>
          <w:numId w:val="32"/>
        </w:numPr>
        <w:tabs>
          <w:tab w:pos="1559" w:val="left" w:leader="none"/>
        </w:tabs>
        <w:spacing w:line="240" w:lineRule="auto" w:before="1" w:after="0"/>
        <w:ind w:left="1559" w:right="0" w:hanging="360"/>
        <w:jc w:val="left"/>
        <w:rPr>
          <w:sz w:val="21"/>
        </w:rPr>
      </w:pPr>
      <w:r>
        <w:rPr>
          <w:sz w:val="21"/>
        </w:rPr>
        <w:t>Explore</w:t>
      </w:r>
      <w:r>
        <w:rPr>
          <w:spacing w:val="-5"/>
          <w:sz w:val="21"/>
        </w:rPr>
        <w:t> </w:t>
      </w:r>
      <w:r>
        <w:rPr>
          <w:sz w:val="21"/>
        </w:rPr>
        <w:t>increasing</w:t>
      </w:r>
      <w:r>
        <w:rPr>
          <w:spacing w:val="-2"/>
          <w:sz w:val="21"/>
        </w:rPr>
        <w:t> </w:t>
      </w:r>
      <w:r>
        <w:rPr>
          <w:sz w:val="21"/>
        </w:rPr>
        <w:t>data</w:t>
      </w:r>
      <w:r>
        <w:rPr>
          <w:spacing w:val="-3"/>
          <w:sz w:val="21"/>
        </w:rPr>
        <w:t> </w:t>
      </w:r>
      <w:r>
        <w:rPr>
          <w:sz w:val="21"/>
        </w:rPr>
        <w:t>on</w:t>
      </w:r>
      <w:r>
        <w:rPr>
          <w:spacing w:val="-2"/>
          <w:sz w:val="21"/>
        </w:rPr>
        <w:t> </w:t>
      </w:r>
      <w:r>
        <w:rPr>
          <w:sz w:val="21"/>
        </w:rPr>
        <w:t>sexual</w:t>
      </w:r>
      <w:r>
        <w:rPr>
          <w:spacing w:val="-3"/>
          <w:sz w:val="21"/>
        </w:rPr>
        <w:t> </w:t>
      </w:r>
      <w:r>
        <w:rPr>
          <w:sz w:val="21"/>
        </w:rPr>
        <w:t>orientation,</w:t>
      </w:r>
      <w:r>
        <w:rPr>
          <w:spacing w:val="-2"/>
          <w:sz w:val="21"/>
        </w:rPr>
        <w:t> </w:t>
      </w:r>
      <w:r>
        <w:rPr>
          <w:sz w:val="21"/>
        </w:rPr>
        <w:t>gender</w:t>
      </w:r>
      <w:r>
        <w:rPr>
          <w:spacing w:val="-2"/>
          <w:sz w:val="21"/>
        </w:rPr>
        <w:t> </w:t>
      </w:r>
      <w:r>
        <w:rPr>
          <w:sz w:val="21"/>
        </w:rPr>
        <w:t>identity,</w:t>
      </w:r>
      <w:r>
        <w:rPr>
          <w:spacing w:val="-3"/>
          <w:sz w:val="21"/>
        </w:rPr>
        <w:t> </w:t>
      </w:r>
      <w:r>
        <w:rPr>
          <w:sz w:val="21"/>
        </w:rPr>
        <w:t>and</w:t>
      </w:r>
      <w:r>
        <w:rPr>
          <w:spacing w:val="-3"/>
          <w:sz w:val="21"/>
        </w:rPr>
        <w:t> </w:t>
      </w:r>
      <w:r>
        <w:rPr>
          <w:sz w:val="21"/>
        </w:rPr>
        <w:t>gender</w:t>
      </w:r>
      <w:r>
        <w:rPr>
          <w:spacing w:val="-2"/>
          <w:sz w:val="21"/>
        </w:rPr>
        <w:t> expression.</w:t>
      </w:r>
    </w:p>
    <w:p>
      <w:pPr>
        <w:pStyle w:val="ListParagraph"/>
        <w:numPr>
          <w:ilvl w:val="0"/>
          <w:numId w:val="32"/>
        </w:numPr>
        <w:tabs>
          <w:tab w:pos="1559" w:val="left" w:leader="none"/>
        </w:tabs>
        <w:spacing w:line="240" w:lineRule="auto" w:before="38" w:after="0"/>
        <w:ind w:left="1559" w:right="0" w:hanging="360"/>
        <w:jc w:val="left"/>
        <w:rPr>
          <w:sz w:val="21"/>
        </w:rPr>
      </w:pPr>
      <w:r>
        <w:rPr>
          <w:sz w:val="21"/>
        </w:rPr>
        <w:t>Ensuring</w:t>
      </w:r>
      <w:r>
        <w:rPr>
          <w:spacing w:val="-6"/>
          <w:sz w:val="21"/>
        </w:rPr>
        <w:t> </w:t>
      </w:r>
      <w:r>
        <w:rPr>
          <w:sz w:val="21"/>
        </w:rPr>
        <w:t>LGBTQ</w:t>
      </w:r>
      <w:r>
        <w:rPr>
          <w:spacing w:val="-4"/>
          <w:sz w:val="21"/>
        </w:rPr>
        <w:t> </w:t>
      </w:r>
      <w:r>
        <w:rPr>
          <w:sz w:val="21"/>
        </w:rPr>
        <w:t>inclusivity</w:t>
      </w:r>
      <w:r>
        <w:rPr>
          <w:spacing w:val="-4"/>
          <w:sz w:val="21"/>
        </w:rPr>
        <w:t> </w:t>
      </w:r>
      <w:r>
        <w:rPr>
          <w:sz w:val="21"/>
        </w:rPr>
        <w:t>in</w:t>
      </w:r>
      <w:r>
        <w:rPr>
          <w:spacing w:val="-4"/>
          <w:sz w:val="21"/>
        </w:rPr>
        <w:t> </w:t>
      </w:r>
      <w:r>
        <w:rPr>
          <w:sz w:val="21"/>
        </w:rPr>
        <w:t>curriculum</w:t>
      </w:r>
      <w:r>
        <w:rPr>
          <w:spacing w:val="-4"/>
          <w:sz w:val="21"/>
        </w:rPr>
        <w:t> </w:t>
      </w:r>
      <w:r>
        <w:rPr>
          <w:spacing w:val="-2"/>
          <w:sz w:val="21"/>
        </w:rPr>
        <w:t>initiatives.</w:t>
      </w:r>
    </w:p>
    <w:p>
      <w:pPr>
        <w:pStyle w:val="ListParagraph"/>
        <w:numPr>
          <w:ilvl w:val="0"/>
          <w:numId w:val="32"/>
        </w:numPr>
        <w:tabs>
          <w:tab w:pos="1559" w:val="left" w:leader="none"/>
        </w:tabs>
        <w:spacing w:line="240" w:lineRule="auto" w:before="39" w:after="0"/>
        <w:ind w:left="1559" w:right="0" w:hanging="360"/>
        <w:jc w:val="left"/>
        <w:rPr>
          <w:sz w:val="21"/>
        </w:rPr>
      </w:pPr>
      <w:r>
        <w:rPr>
          <w:sz w:val="21"/>
        </w:rPr>
        <w:t>Develop</w:t>
      </w:r>
      <w:r>
        <w:rPr>
          <w:spacing w:val="-5"/>
          <w:sz w:val="21"/>
        </w:rPr>
        <w:t> </w:t>
      </w:r>
      <w:r>
        <w:rPr>
          <w:sz w:val="21"/>
        </w:rPr>
        <w:t>and</w:t>
      </w:r>
      <w:r>
        <w:rPr>
          <w:spacing w:val="-4"/>
          <w:sz w:val="21"/>
        </w:rPr>
        <w:t> </w:t>
      </w:r>
      <w:r>
        <w:rPr>
          <w:sz w:val="21"/>
        </w:rPr>
        <w:t>model</w:t>
      </w:r>
      <w:r>
        <w:rPr>
          <w:spacing w:val="-2"/>
          <w:sz w:val="21"/>
        </w:rPr>
        <w:t> </w:t>
      </w:r>
      <w:r>
        <w:rPr>
          <w:sz w:val="21"/>
        </w:rPr>
        <w:t>strategies</w:t>
      </w:r>
      <w:r>
        <w:rPr>
          <w:spacing w:val="-3"/>
          <w:sz w:val="21"/>
        </w:rPr>
        <w:t> </w:t>
      </w:r>
      <w:r>
        <w:rPr>
          <w:sz w:val="21"/>
        </w:rPr>
        <w:t>for</w:t>
      </w:r>
      <w:r>
        <w:rPr>
          <w:spacing w:val="-3"/>
          <w:sz w:val="21"/>
        </w:rPr>
        <w:t> </w:t>
      </w:r>
      <w:r>
        <w:rPr>
          <w:sz w:val="21"/>
        </w:rPr>
        <w:t>recruiting</w:t>
      </w:r>
      <w:r>
        <w:rPr>
          <w:spacing w:val="-2"/>
          <w:sz w:val="21"/>
        </w:rPr>
        <w:t> </w:t>
      </w:r>
      <w:r>
        <w:rPr>
          <w:sz w:val="21"/>
        </w:rPr>
        <w:t>and</w:t>
      </w:r>
      <w:r>
        <w:rPr>
          <w:spacing w:val="-3"/>
          <w:sz w:val="21"/>
        </w:rPr>
        <w:t> </w:t>
      </w:r>
      <w:r>
        <w:rPr>
          <w:sz w:val="21"/>
        </w:rPr>
        <w:t>retaining</w:t>
      </w:r>
      <w:r>
        <w:rPr>
          <w:spacing w:val="-3"/>
          <w:sz w:val="21"/>
        </w:rPr>
        <w:t> </w:t>
      </w:r>
      <w:r>
        <w:rPr>
          <w:sz w:val="21"/>
        </w:rPr>
        <w:t>a</w:t>
      </w:r>
      <w:r>
        <w:rPr>
          <w:spacing w:val="-2"/>
          <w:sz w:val="21"/>
        </w:rPr>
        <w:t> </w:t>
      </w:r>
      <w:r>
        <w:rPr>
          <w:sz w:val="21"/>
        </w:rPr>
        <w:t>diverse</w:t>
      </w:r>
      <w:r>
        <w:rPr>
          <w:spacing w:val="-3"/>
          <w:sz w:val="21"/>
        </w:rPr>
        <w:t> </w:t>
      </w:r>
      <w:r>
        <w:rPr>
          <w:sz w:val="21"/>
        </w:rPr>
        <w:t>workforce</w:t>
      </w:r>
      <w:r>
        <w:rPr>
          <w:spacing w:val="-3"/>
          <w:sz w:val="21"/>
        </w:rPr>
        <w:t> </w:t>
      </w:r>
      <w:r>
        <w:rPr>
          <w:sz w:val="21"/>
        </w:rPr>
        <w:t>in</w:t>
      </w:r>
      <w:r>
        <w:rPr>
          <w:spacing w:val="-2"/>
          <w:sz w:val="21"/>
        </w:rPr>
        <w:t> schools.</w:t>
      </w:r>
    </w:p>
    <w:p>
      <w:pPr>
        <w:pStyle w:val="ListParagraph"/>
        <w:numPr>
          <w:ilvl w:val="0"/>
          <w:numId w:val="32"/>
        </w:numPr>
        <w:tabs>
          <w:tab w:pos="1559" w:val="left" w:leader="none"/>
        </w:tabs>
        <w:spacing w:line="276" w:lineRule="auto" w:before="39" w:after="0"/>
        <w:ind w:left="1559" w:right="481" w:hanging="360"/>
        <w:jc w:val="left"/>
        <w:rPr>
          <w:sz w:val="21"/>
        </w:rPr>
      </w:pPr>
      <w:r>
        <w:rPr>
          <w:sz w:val="21"/>
        </w:rPr>
        <w:t>Partner</w:t>
      </w:r>
      <w:r>
        <w:rPr>
          <w:spacing w:val="40"/>
          <w:sz w:val="21"/>
        </w:rPr>
        <w:t> </w:t>
      </w:r>
      <w:r>
        <w:rPr>
          <w:sz w:val="21"/>
        </w:rPr>
        <w:t>with</w:t>
      </w:r>
      <w:r>
        <w:rPr>
          <w:spacing w:val="40"/>
          <w:sz w:val="21"/>
        </w:rPr>
        <w:t> </w:t>
      </w:r>
      <w:r>
        <w:rPr>
          <w:sz w:val="21"/>
        </w:rPr>
        <w:t>the</w:t>
      </w:r>
      <w:r>
        <w:rPr>
          <w:spacing w:val="40"/>
          <w:sz w:val="21"/>
        </w:rPr>
        <w:t> </w:t>
      </w:r>
      <w:r>
        <w:rPr>
          <w:sz w:val="21"/>
        </w:rPr>
        <w:t>Commission</w:t>
      </w:r>
      <w:r>
        <w:rPr>
          <w:spacing w:val="40"/>
          <w:sz w:val="21"/>
        </w:rPr>
        <w:t> </w:t>
      </w:r>
      <w:r>
        <w:rPr>
          <w:sz w:val="21"/>
        </w:rPr>
        <w:t>to</w:t>
      </w:r>
      <w:r>
        <w:rPr>
          <w:spacing w:val="40"/>
          <w:sz w:val="21"/>
        </w:rPr>
        <w:t> </w:t>
      </w:r>
      <w:r>
        <w:rPr>
          <w:sz w:val="21"/>
        </w:rPr>
        <w:t>better</w:t>
      </w:r>
      <w:r>
        <w:rPr>
          <w:spacing w:val="40"/>
          <w:sz w:val="21"/>
        </w:rPr>
        <w:t> </w:t>
      </w:r>
      <w:r>
        <w:rPr>
          <w:sz w:val="21"/>
        </w:rPr>
        <w:t>understand</w:t>
      </w:r>
      <w:r>
        <w:rPr>
          <w:spacing w:val="40"/>
          <w:sz w:val="21"/>
        </w:rPr>
        <w:t> </w:t>
      </w:r>
      <w:r>
        <w:rPr>
          <w:sz w:val="21"/>
        </w:rPr>
        <w:t>and</w:t>
      </w:r>
      <w:r>
        <w:rPr>
          <w:spacing w:val="40"/>
          <w:sz w:val="21"/>
        </w:rPr>
        <w:t> </w:t>
      </w:r>
      <w:r>
        <w:rPr>
          <w:sz w:val="21"/>
        </w:rPr>
        <w:t>meet</w:t>
      </w:r>
      <w:r>
        <w:rPr>
          <w:spacing w:val="40"/>
          <w:sz w:val="21"/>
        </w:rPr>
        <w:t> </w:t>
      </w:r>
      <w:r>
        <w:rPr>
          <w:sz w:val="21"/>
        </w:rPr>
        <w:t>the</w:t>
      </w:r>
      <w:r>
        <w:rPr>
          <w:spacing w:val="40"/>
          <w:sz w:val="21"/>
        </w:rPr>
        <w:t> </w:t>
      </w:r>
      <w:r>
        <w:rPr>
          <w:sz w:val="21"/>
        </w:rPr>
        <w:t>needs</w:t>
      </w:r>
      <w:r>
        <w:rPr>
          <w:spacing w:val="40"/>
          <w:sz w:val="21"/>
        </w:rPr>
        <w:t> </w:t>
      </w:r>
      <w:r>
        <w:rPr>
          <w:sz w:val="21"/>
        </w:rPr>
        <w:t>of</w:t>
      </w:r>
      <w:r>
        <w:rPr>
          <w:spacing w:val="40"/>
          <w:sz w:val="21"/>
        </w:rPr>
        <w:t> </w:t>
      </w:r>
      <w:r>
        <w:rPr>
          <w:sz w:val="21"/>
        </w:rPr>
        <w:t>BIPOC</w:t>
      </w:r>
      <w:r>
        <w:rPr>
          <w:spacing w:val="40"/>
          <w:sz w:val="21"/>
        </w:rPr>
        <w:t> </w:t>
      </w:r>
      <w:r>
        <w:rPr>
          <w:sz w:val="21"/>
        </w:rPr>
        <w:t>LGBTQ </w:t>
      </w:r>
      <w:r>
        <w:rPr>
          <w:spacing w:val="-2"/>
          <w:sz w:val="21"/>
        </w:rPr>
        <w:t>students.</w:t>
      </w:r>
    </w:p>
    <w:p>
      <w:pPr>
        <w:pStyle w:val="ListParagraph"/>
        <w:numPr>
          <w:ilvl w:val="0"/>
          <w:numId w:val="32"/>
        </w:numPr>
        <w:tabs>
          <w:tab w:pos="1559" w:val="left" w:leader="none"/>
        </w:tabs>
        <w:spacing w:line="276" w:lineRule="auto" w:before="0" w:after="0"/>
        <w:ind w:left="1559" w:right="482" w:hanging="361"/>
        <w:jc w:val="left"/>
        <w:rPr>
          <w:sz w:val="21"/>
        </w:rPr>
      </w:pPr>
      <w:r>
        <w:rPr>
          <w:sz w:val="21"/>
        </w:rPr>
        <w:t>Enhance</w:t>
      </w:r>
      <w:r>
        <w:rPr>
          <w:spacing w:val="40"/>
          <w:sz w:val="21"/>
        </w:rPr>
        <w:t> </w:t>
      </w:r>
      <w:r>
        <w:rPr>
          <w:sz w:val="21"/>
        </w:rPr>
        <w:t>internal</w:t>
      </w:r>
      <w:r>
        <w:rPr>
          <w:spacing w:val="40"/>
          <w:sz w:val="21"/>
        </w:rPr>
        <w:t> </w:t>
      </w:r>
      <w:r>
        <w:rPr>
          <w:sz w:val="21"/>
        </w:rPr>
        <w:t>and</w:t>
      </w:r>
      <w:r>
        <w:rPr>
          <w:spacing w:val="40"/>
          <w:sz w:val="21"/>
        </w:rPr>
        <w:t> </w:t>
      </w:r>
      <w:r>
        <w:rPr>
          <w:sz w:val="21"/>
        </w:rPr>
        <w:t>district-level</w:t>
      </w:r>
      <w:r>
        <w:rPr>
          <w:spacing w:val="40"/>
          <w:sz w:val="21"/>
        </w:rPr>
        <w:t> </w:t>
      </w:r>
      <w:r>
        <w:rPr>
          <w:sz w:val="21"/>
        </w:rPr>
        <w:t>capacity</w:t>
      </w:r>
      <w:r>
        <w:rPr>
          <w:spacing w:val="40"/>
          <w:sz w:val="21"/>
        </w:rPr>
        <w:t> </w:t>
      </w:r>
      <w:r>
        <w:rPr>
          <w:sz w:val="21"/>
        </w:rPr>
        <w:t>for</w:t>
      </w:r>
      <w:r>
        <w:rPr>
          <w:spacing w:val="40"/>
          <w:sz w:val="21"/>
        </w:rPr>
        <w:t> </w:t>
      </w:r>
      <w:r>
        <w:rPr>
          <w:sz w:val="21"/>
        </w:rPr>
        <w:t>LGBTQ</w:t>
      </w:r>
      <w:r>
        <w:rPr>
          <w:spacing w:val="40"/>
          <w:sz w:val="21"/>
        </w:rPr>
        <w:t> </w:t>
      </w:r>
      <w:r>
        <w:rPr>
          <w:sz w:val="21"/>
        </w:rPr>
        <w:t>inclusion</w:t>
      </w:r>
      <w:r>
        <w:rPr>
          <w:spacing w:val="40"/>
          <w:sz w:val="21"/>
        </w:rPr>
        <w:t> </w:t>
      </w:r>
      <w:r>
        <w:rPr>
          <w:sz w:val="21"/>
        </w:rPr>
        <w:t>trainings</w:t>
      </w:r>
      <w:r>
        <w:rPr>
          <w:spacing w:val="40"/>
          <w:sz w:val="21"/>
        </w:rPr>
        <w:t> </w:t>
      </w:r>
      <w:r>
        <w:rPr>
          <w:sz w:val="21"/>
        </w:rPr>
        <w:t>and</w:t>
      </w:r>
      <w:r>
        <w:rPr>
          <w:spacing w:val="40"/>
          <w:sz w:val="21"/>
        </w:rPr>
        <w:t> </w:t>
      </w:r>
      <w:r>
        <w:rPr>
          <w:sz w:val="21"/>
        </w:rPr>
        <w:t>professional </w:t>
      </w:r>
      <w:r>
        <w:rPr>
          <w:spacing w:val="-2"/>
          <w:sz w:val="21"/>
        </w:rPr>
        <w:t>development.</w:t>
      </w:r>
    </w:p>
    <w:p>
      <w:pPr>
        <w:pStyle w:val="ListParagraph"/>
        <w:numPr>
          <w:ilvl w:val="0"/>
          <w:numId w:val="32"/>
        </w:numPr>
        <w:tabs>
          <w:tab w:pos="1559" w:val="left" w:leader="none"/>
        </w:tabs>
        <w:spacing w:line="256" w:lineRule="exact" w:before="0" w:after="0"/>
        <w:ind w:left="1559" w:right="0" w:hanging="360"/>
        <w:jc w:val="left"/>
        <w:rPr>
          <w:sz w:val="21"/>
        </w:rPr>
      </w:pPr>
      <w:r>
        <w:rPr>
          <w:sz w:val="21"/>
        </w:rPr>
        <w:t>Continue</w:t>
      </w:r>
      <w:r>
        <w:rPr>
          <w:spacing w:val="-6"/>
          <w:sz w:val="21"/>
        </w:rPr>
        <w:t> </w:t>
      </w:r>
      <w:r>
        <w:rPr>
          <w:sz w:val="21"/>
        </w:rPr>
        <w:t>collaboration</w:t>
      </w:r>
      <w:r>
        <w:rPr>
          <w:spacing w:val="-3"/>
          <w:sz w:val="21"/>
        </w:rPr>
        <w:t> </w:t>
      </w:r>
      <w:r>
        <w:rPr>
          <w:sz w:val="21"/>
        </w:rPr>
        <w:t>to</w:t>
      </w:r>
      <w:r>
        <w:rPr>
          <w:spacing w:val="-3"/>
          <w:sz w:val="21"/>
        </w:rPr>
        <w:t> </w:t>
      </w:r>
      <w:r>
        <w:rPr>
          <w:sz w:val="21"/>
        </w:rPr>
        <w:t>support</w:t>
      </w:r>
      <w:r>
        <w:rPr>
          <w:spacing w:val="-4"/>
          <w:sz w:val="21"/>
        </w:rPr>
        <w:t> </w:t>
      </w:r>
      <w:r>
        <w:rPr>
          <w:sz w:val="21"/>
        </w:rPr>
        <w:t>nonbinary</w:t>
      </w:r>
      <w:r>
        <w:rPr>
          <w:spacing w:val="-3"/>
          <w:sz w:val="21"/>
        </w:rPr>
        <w:t> </w:t>
      </w:r>
      <w:r>
        <w:rPr>
          <w:sz w:val="21"/>
        </w:rPr>
        <w:t>students,</w:t>
      </w:r>
      <w:r>
        <w:rPr>
          <w:spacing w:val="-3"/>
          <w:sz w:val="21"/>
        </w:rPr>
        <w:t> </w:t>
      </w:r>
      <w:r>
        <w:rPr>
          <w:sz w:val="21"/>
        </w:rPr>
        <w:t>educators,</w:t>
      </w:r>
      <w:r>
        <w:rPr>
          <w:spacing w:val="-3"/>
          <w:sz w:val="21"/>
        </w:rPr>
        <w:t> </w:t>
      </w:r>
      <w:r>
        <w:rPr>
          <w:sz w:val="21"/>
        </w:rPr>
        <w:t>and</w:t>
      </w:r>
      <w:r>
        <w:rPr>
          <w:spacing w:val="-4"/>
          <w:sz w:val="21"/>
        </w:rPr>
        <w:t> </w:t>
      </w:r>
      <w:r>
        <w:rPr>
          <w:spacing w:val="-2"/>
          <w:sz w:val="21"/>
        </w:rPr>
        <w:t>staff.</w:t>
      </w:r>
    </w:p>
    <w:p>
      <w:pPr>
        <w:pStyle w:val="ListParagraph"/>
        <w:numPr>
          <w:ilvl w:val="0"/>
          <w:numId w:val="32"/>
        </w:numPr>
        <w:tabs>
          <w:tab w:pos="1559" w:val="left" w:leader="none"/>
        </w:tabs>
        <w:spacing w:line="276" w:lineRule="auto" w:before="38" w:after="0"/>
        <w:ind w:left="1559" w:right="482" w:hanging="360"/>
        <w:jc w:val="both"/>
        <w:rPr>
          <w:sz w:val="21"/>
        </w:rPr>
      </w:pPr>
      <w:r>
        <w:rPr>
          <w:sz w:val="21"/>
        </w:rPr>
        <w:t>Integrate LGBTQ+ identities into the District Standards and Indicators and the associated artifacts collected.</w:t>
      </w:r>
    </w:p>
    <w:p>
      <w:pPr>
        <w:pStyle w:val="ListParagraph"/>
        <w:numPr>
          <w:ilvl w:val="0"/>
          <w:numId w:val="32"/>
        </w:numPr>
        <w:tabs>
          <w:tab w:pos="1559" w:val="left" w:leader="none"/>
        </w:tabs>
        <w:spacing w:line="276" w:lineRule="auto" w:before="0" w:after="0"/>
        <w:ind w:left="1559" w:right="481" w:hanging="360"/>
        <w:jc w:val="both"/>
        <w:rPr>
          <w:sz w:val="21"/>
        </w:rPr>
      </w:pPr>
      <w:r>
        <w:rPr>
          <w:sz w:val="21"/>
        </w:rPr>
        <w:t>Collaborate with Massachusetts School Library Association, and the Massachusetts Board of Library Commissioners to address attacks on school-based content related to race and LGBTQ+ </w:t>
      </w:r>
      <w:r>
        <w:rPr>
          <w:spacing w:val="-2"/>
          <w:sz w:val="21"/>
        </w:rPr>
        <w:t>topics.</w:t>
      </w:r>
    </w:p>
    <w:p>
      <w:pPr>
        <w:pStyle w:val="ListParagraph"/>
        <w:numPr>
          <w:ilvl w:val="0"/>
          <w:numId w:val="32"/>
        </w:numPr>
        <w:tabs>
          <w:tab w:pos="1557" w:val="left" w:leader="none"/>
        </w:tabs>
        <w:spacing w:line="240" w:lineRule="auto" w:before="0" w:after="0"/>
        <w:ind w:left="1557" w:right="0" w:hanging="358"/>
        <w:jc w:val="both"/>
        <w:rPr>
          <w:sz w:val="21"/>
        </w:rPr>
      </w:pPr>
      <w:r>
        <w:rPr>
          <w:sz w:val="21"/>
        </w:rPr>
        <w:t>Invest</w:t>
      </w:r>
      <w:r>
        <w:rPr>
          <w:spacing w:val="-4"/>
          <w:sz w:val="21"/>
        </w:rPr>
        <w:t> </w:t>
      </w:r>
      <w:r>
        <w:rPr>
          <w:sz w:val="21"/>
        </w:rPr>
        <w:t>in</w:t>
      </w:r>
      <w:r>
        <w:rPr>
          <w:spacing w:val="-3"/>
          <w:sz w:val="21"/>
        </w:rPr>
        <w:t> </w:t>
      </w:r>
      <w:r>
        <w:rPr>
          <w:sz w:val="21"/>
        </w:rPr>
        <w:t>resources</w:t>
      </w:r>
      <w:r>
        <w:rPr>
          <w:spacing w:val="-2"/>
          <w:sz w:val="21"/>
        </w:rPr>
        <w:t> </w:t>
      </w:r>
      <w:r>
        <w:rPr>
          <w:sz w:val="21"/>
        </w:rPr>
        <w:t>and</w:t>
      </w:r>
      <w:r>
        <w:rPr>
          <w:spacing w:val="-3"/>
          <w:sz w:val="21"/>
        </w:rPr>
        <w:t> </w:t>
      </w:r>
      <w:r>
        <w:rPr>
          <w:sz w:val="21"/>
        </w:rPr>
        <w:t>support</w:t>
      </w:r>
      <w:r>
        <w:rPr>
          <w:spacing w:val="-3"/>
          <w:sz w:val="21"/>
        </w:rPr>
        <w:t> </w:t>
      </w:r>
      <w:r>
        <w:rPr>
          <w:sz w:val="21"/>
        </w:rPr>
        <w:t>for</w:t>
      </w:r>
      <w:r>
        <w:rPr>
          <w:spacing w:val="-2"/>
          <w:sz w:val="21"/>
        </w:rPr>
        <w:t> </w:t>
      </w:r>
      <w:r>
        <w:rPr>
          <w:sz w:val="21"/>
        </w:rPr>
        <w:t>family</w:t>
      </w:r>
      <w:r>
        <w:rPr>
          <w:spacing w:val="-3"/>
          <w:sz w:val="21"/>
        </w:rPr>
        <w:t> </w:t>
      </w:r>
      <w:r>
        <w:rPr>
          <w:sz w:val="21"/>
        </w:rPr>
        <w:t>liaisons</w:t>
      </w:r>
      <w:r>
        <w:rPr>
          <w:spacing w:val="-2"/>
          <w:sz w:val="21"/>
        </w:rPr>
        <w:t> </w:t>
      </w:r>
      <w:r>
        <w:rPr>
          <w:sz w:val="21"/>
        </w:rPr>
        <w:t>and</w:t>
      </w:r>
      <w:r>
        <w:rPr>
          <w:spacing w:val="-3"/>
          <w:sz w:val="21"/>
        </w:rPr>
        <w:t> </w:t>
      </w:r>
      <w:r>
        <w:rPr>
          <w:sz w:val="21"/>
        </w:rPr>
        <w:t>professional</w:t>
      </w:r>
      <w:r>
        <w:rPr>
          <w:spacing w:val="-2"/>
          <w:sz w:val="21"/>
        </w:rPr>
        <w:t> development.</w:t>
      </w:r>
    </w:p>
    <w:p>
      <w:pPr>
        <w:pStyle w:val="BodyText"/>
        <w:spacing w:before="21"/>
        <w:rPr>
          <w:sz w:val="21"/>
        </w:rPr>
      </w:pPr>
    </w:p>
    <w:p>
      <w:pPr>
        <w:spacing w:before="0"/>
        <w:ind w:left="624"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691264">
                <wp:simplePos x="0" y="0"/>
                <wp:positionH relativeFrom="page">
                  <wp:posOffset>986789</wp:posOffset>
                </wp:positionH>
                <wp:positionV relativeFrom="paragraph">
                  <wp:posOffset>44868</wp:posOffset>
                </wp:positionV>
                <wp:extent cx="5799455" cy="6350"/>
                <wp:effectExtent l="0" t="0" r="0" b="0"/>
                <wp:wrapTopAndBottom/>
                <wp:docPr id="541" name="Graphic 541"/>
                <wp:cNvGraphicFramePr>
                  <a:graphicFrameLocks/>
                </wp:cNvGraphicFramePr>
                <a:graphic>
                  <a:graphicData uri="http://schemas.microsoft.com/office/word/2010/wordprocessingShape">
                    <wps:wsp>
                      <wps:cNvPr id="541" name="Graphic 541"/>
                      <wps:cNvSpPr/>
                      <wps:spPr>
                        <a:xfrm>
                          <a:off x="0" y="0"/>
                          <a:ext cx="5799455" cy="6350"/>
                        </a:xfrm>
                        <a:custGeom>
                          <a:avLst/>
                          <a:gdLst/>
                          <a:ahLst/>
                          <a:cxnLst/>
                          <a:rect l="l" t="t" r="r" b="b"/>
                          <a:pathLst>
                            <a:path w="5799455" h="6350">
                              <a:moveTo>
                                <a:pt x="5798832" y="0"/>
                              </a:moveTo>
                              <a:lnTo>
                                <a:pt x="0" y="0"/>
                              </a:lnTo>
                              <a:lnTo>
                                <a:pt x="0" y="6096"/>
                              </a:lnTo>
                              <a:lnTo>
                                <a:pt x="5798832" y="6096"/>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32965pt;width:456.601pt;height:.48pt;mso-position-horizontal-relative:page;mso-position-vertical-relative:paragraph;z-index:-15625216;mso-wrap-distance-left:0;mso-wrap-distance-right:0" id="docshape438" filled="true" fillcolor="#4f81bc" stroked="false">
                <v:fill type="solid"/>
                <w10:wrap type="topAndBottom"/>
              </v:rect>
            </w:pict>
          </mc:Fallback>
        </mc:AlternateContent>
      </w:r>
    </w:p>
    <w:p>
      <w:pPr>
        <w:spacing w:line="276" w:lineRule="auto" w:before="241"/>
        <w:ind w:left="623" w:right="481" w:firstLine="0"/>
        <w:jc w:val="both"/>
        <w:rPr>
          <w:sz w:val="21"/>
        </w:rPr>
      </w:pPr>
      <w:r>
        <w:rPr>
          <w:sz w:val="21"/>
        </w:rPr>
        <w:t>The Commission maintains a strong working relationship with the Massachusetts Department of Elementary and Secondary Education (DESE). Central to this partnership is the Safe Schools Program for LGBTQ Students, a collaborative initiative established in 1993 by the Commission and DESE. This program continues to lead the nation in developing policies and programs that create safe and supportive environments for LGBTQ students.</w:t>
      </w:r>
    </w:p>
    <w:p>
      <w:pPr>
        <w:spacing w:line="276" w:lineRule="auto" w:before="241"/>
        <w:ind w:left="624" w:right="478" w:hanging="1"/>
        <w:jc w:val="both"/>
        <w:rPr>
          <w:sz w:val="21"/>
        </w:rPr>
      </w:pPr>
      <w:r>
        <w:rPr>
          <w:sz w:val="21"/>
        </w:rPr>
        <w:t>The Commission administers the Safe Schools Program with financial and in-kind support, as well as invaluable input and mentorship from DESE staff in the Student and Family Support Unit. Through this program, approximately 150 professional development trainings and workshops are conducted annually, focusing on addressing anti-LGBTQ bullying and creating safer learning environments in public schools. Additionally, the program handles nearly 175 technical assistance requests each year, providing schools with</w:t>
      </w:r>
      <w:r>
        <w:rPr>
          <w:spacing w:val="-12"/>
          <w:sz w:val="21"/>
        </w:rPr>
        <w:t> </w:t>
      </w:r>
      <w:r>
        <w:rPr>
          <w:sz w:val="21"/>
        </w:rPr>
        <w:t>on-demand</w:t>
      </w:r>
      <w:r>
        <w:rPr>
          <w:spacing w:val="-12"/>
          <w:sz w:val="21"/>
        </w:rPr>
        <w:t> </w:t>
      </w:r>
      <w:r>
        <w:rPr>
          <w:sz w:val="21"/>
        </w:rPr>
        <w:t>information,</w:t>
      </w:r>
      <w:r>
        <w:rPr>
          <w:spacing w:val="-11"/>
          <w:sz w:val="21"/>
        </w:rPr>
        <w:t> </w:t>
      </w:r>
      <w:r>
        <w:rPr>
          <w:sz w:val="21"/>
        </w:rPr>
        <w:t>best</w:t>
      </w:r>
      <w:r>
        <w:rPr>
          <w:spacing w:val="-12"/>
          <w:sz w:val="21"/>
        </w:rPr>
        <w:t> </w:t>
      </w:r>
      <w:r>
        <w:rPr>
          <w:sz w:val="21"/>
        </w:rPr>
        <w:t>practices,</w:t>
      </w:r>
      <w:r>
        <w:rPr>
          <w:spacing w:val="-11"/>
          <w:sz w:val="21"/>
        </w:rPr>
        <w:t> </w:t>
      </w:r>
      <w:r>
        <w:rPr>
          <w:sz w:val="21"/>
        </w:rPr>
        <w:t>and</w:t>
      </w:r>
      <w:r>
        <w:rPr>
          <w:spacing w:val="-12"/>
          <w:sz w:val="21"/>
        </w:rPr>
        <w:t> </w:t>
      </w:r>
      <w:r>
        <w:rPr>
          <w:sz w:val="21"/>
        </w:rPr>
        <w:t>support</w:t>
      </w:r>
      <w:r>
        <w:rPr>
          <w:spacing w:val="-11"/>
          <w:sz w:val="21"/>
        </w:rPr>
        <w:t> </w:t>
      </w:r>
      <w:r>
        <w:rPr>
          <w:sz w:val="21"/>
        </w:rPr>
        <w:t>for</w:t>
      </w:r>
      <w:r>
        <w:rPr>
          <w:spacing w:val="-11"/>
          <w:sz w:val="21"/>
        </w:rPr>
        <w:t> </w:t>
      </w:r>
      <w:r>
        <w:rPr>
          <w:sz w:val="21"/>
        </w:rPr>
        <w:t>addressing</w:t>
      </w:r>
      <w:r>
        <w:rPr>
          <w:spacing w:val="-12"/>
          <w:sz w:val="21"/>
        </w:rPr>
        <w:t> </w:t>
      </w:r>
      <w:r>
        <w:rPr>
          <w:sz w:val="21"/>
        </w:rPr>
        <w:t>complex</w:t>
      </w:r>
      <w:r>
        <w:rPr>
          <w:spacing w:val="-11"/>
          <w:sz w:val="21"/>
        </w:rPr>
        <w:t> </w:t>
      </w:r>
      <w:r>
        <w:rPr>
          <w:sz w:val="21"/>
        </w:rPr>
        <w:t>student</w:t>
      </w:r>
      <w:r>
        <w:rPr>
          <w:spacing w:val="-11"/>
          <w:sz w:val="21"/>
        </w:rPr>
        <w:t> </w:t>
      </w:r>
      <w:r>
        <w:rPr>
          <w:sz w:val="21"/>
        </w:rPr>
        <w:t>and</w:t>
      </w:r>
      <w:r>
        <w:rPr>
          <w:spacing w:val="-11"/>
          <w:sz w:val="21"/>
        </w:rPr>
        <w:t> </w:t>
      </w:r>
      <w:r>
        <w:rPr>
          <w:sz w:val="21"/>
        </w:rPr>
        <w:t>family</w:t>
      </w:r>
      <w:r>
        <w:rPr>
          <w:spacing w:val="-12"/>
          <w:sz w:val="21"/>
        </w:rPr>
        <w:t> </w:t>
      </w:r>
      <w:r>
        <w:rPr>
          <w:sz w:val="21"/>
        </w:rPr>
        <w:t>needs.</w:t>
      </w:r>
    </w:p>
    <w:p>
      <w:pPr>
        <w:spacing w:line="276" w:lineRule="auto" w:before="241"/>
        <w:ind w:left="624" w:right="477" w:firstLine="0"/>
        <w:jc w:val="both"/>
        <w:rPr>
          <w:sz w:val="21"/>
        </w:rPr>
      </w:pPr>
      <w:r>
        <w:rPr>
          <w:sz w:val="21"/>
        </w:rPr>
        <w:t>The</w:t>
      </w:r>
      <w:r>
        <w:rPr>
          <w:spacing w:val="-12"/>
          <w:sz w:val="21"/>
        </w:rPr>
        <w:t> </w:t>
      </w:r>
      <w:r>
        <w:rPr>
          <w:sz w:val="21"/>
        </w:rPr>
        <w:t>Program</w:t>
      </w:r>
      <w:r>
        <w:rPr>
          <w:spacing w:val="-12"/>
          <w:sz w:val="21"/>
        </w:rPr>
        <w:t> </w:t>
      </w:r>
      <w:r>
        <w:rPr>
          <w:sz w:val="21"/>
        </w:rPr>
        <w:t>also</w:t>
      </w:r>
      <w:r>
        <w:rPr>
          <w:spacing w:val="-12"/>
          <w:sz w:val="21"/>
        </w:rPr>
        <w:t> </w:t>
      </w:r>
      <w:r>
        <w:rPr>
          <w:sz w:val="21"/>
        </w:rPr>
        <w:t>oversees</w:t>
      </w:r>
      <w:r>
        <w:rPr>
          <w:spacing w:val="-12"/>
          <w:sz w:val="21"/>
        </w:rPr>
        <w:t> </w:t>
      </w:r>
      <w:r>
        <w:rPr>
          <w:sz w:val="21"/>
        </w:rPr>
        <w:t>the</w:t>
      </w:r>
      <w:r>
        <w:rPr>
          <w:spacing w:val="-12"/>
          <w:sz w:val="21"/>
        </w:rPr>
        <w:t> </w:t>
      </w:r>
      <w:r>
        <w:rPr>
          <w:sz w:val="21"/>
        </w:rPr>
        <w:t>GSA</w:t>
      </w:r>
      <w:r>
        <w:rPr>
          <w:spacing w:val="-12"/>
          <w:sz w:val="21"/>
        </w:rPr>
        <w:t> </w:t>
      </w:r>
      <w:r>
        <w:rPr>
          <w:sz w:val="21"/>
        </w:rPr>
        <w:t>Student</w:t>
      </w:r>
      <w:r>
        <w:rPr>
          <w:spacing w:val="-12"/>
          <w:sz w:val="21"/>
        </w:rPr>
        <w:t> </w:t>
      </w:r>
      <w:r>
        <w:rPr>
          <w:sz w:val="21"/>
        </w:rPr>
        <w:t>Leadership</w:t>
      </w:r>
      <w:r>
        <w:rPr>
          <w:spacing w:val="-11"/>
          <w:sz w:val="21"/>
        </w:rPr>
        <w:t> </w:t>
      </w:r>
      <w:r>
        <w:rPr>
          <w:sz w:val="21"/>
        </w:rPr>
        <w:t>Council,</w:t>
      </w:r>
      <w:r>
        <w:rPr>
          <w:spacing w:val="-12"/>
          <w:sz w:val="21"/>
        </w:rPr>
        <w:t> </w:t>
      </w:r>
      <w:r>
        <w:rPr>
          <w:sz w:val="21"/>
        </w:rPr>
        <w:t>which</w:t>
      </w:r>
      <w:r>
        <w:rPr>
          <w:spacing w:val="-12"/>
          <w:sz w:val="21"/>
        </w:rPr>
        <w:t> </w:t>
      </w:r>
      <w:r>
        <w:rPr>
          <w:sz w:val="21"/>
        </w:rPr>
        <w:t>includes</w:t>
      </w:r>
      <w:r>
        <w:rPr>
          <w:spacing w:val="-12"/>
          <w:sz w:val="21"/>
        </w:rPr>
        <w:t> </w:t>
      </w:r>
      <w:r>
        <w:rPr>
          <w:sz w:val="21"/>
        </w:rPr>
        <w:t>both</w:t>
      </w:r>
      <w:r>
        <w:rPr>
          <w:spacing w:val="-11"/>
          <w:sz w:val="21"/>
        </w:rPr>
        <w:t> </w:t>
      </w:r>
      <w:r>
        <w:rPr>
          <w:sz w:val="21"/>
        </w:rPr>
        <w:t>statewide</w:t>
      </w:r>
      <w:r>
        <w:rPr>
          <w:spacing w:val="-12"/>
          <w:sz w:val="21"/>
        </w:rPr>
        <w:t> </w:t>
      </w:r>
      <w:r>
        <w:rPr>
          <w:sz w:val="21"/>
        </w:rPr>
        <w:t>and</w:t>
      </w:r>
      <w:r>
        <w:rPr>
          <w:spacing w:val="-11"/>
          <w:sz w:val="21"/>
        </w:rPr>
        <w:t> </w:t>
      </w:r>
      <w:r>
        <w:rPr>
          <w:sz w:val="21"/>
        </w:rPr>
        <w:t>regional components that meet monthly. This council integrates student leadership and teacher professional development, consisting of students from all regions of the Commonwealth who are dedicated to developing</w:t>
      </w:r>
      <w:r>
        <w:rPr>
          <w:spacing w:val="-5"/>
          <w:sz w:val="21"/>
        </w:rPr>
        <w:t> </w:t>
      </w:r>
      <w:r>
        <w:rPr>
          <w:sz w:val="21"/>
        </w:rPr>
        <w:t>their</w:t>
      </w:r>
      <w:r>
        <w:rPr>
          <w:spacing w:val="-4"/>
          <w:sz w:val="21"/>
        </w:rPr>
        <w:t> </w:t>
      </w:r>
      <w:r>
        <w:rPr>
          <w:sz w:val="21"/>
        </w:rPr>
        <w:t>skills</w:t>
      </w:r>
      <w:r>
        <w:rPr>
          <w:spacing w:val="-5"/>
          <w:sz w:val="21"/>
        </w:rPr>
        <w:t> </w:t>
      </w:r>
      <w:r>
        <w:rPr>
          <w:sz w:val="21"/>
        </w:rPr>
        <w:t>to</w:t>
      </w:r>
      <w:r>
        <w:rPr>
          <w:spacing w:val="-4"/>
          <w:sz w:val="21"/>
        </w:rPr>
        <w:t> </w:t>
      </w:r>
      <w:r>
        <w:rPr>
          <w:sz w:val="21"/>
        </w:rPr>
        <w:t>positively</w:t>
      </w:r>
      <w:r>
        <w:rPr>
          <w:spacing w:val="-4"/>
          <w:sz w:val="21"/>
        </w:rPr>
        <w:t> </w:t>
      </w:r>
      <w:r>
        <w:rPr>
          <w:sz w:val="21"/>
        </w:rPr>
        <w:t>impact</w:t>
      </w:r>
      <w:r>
        <w:rPr>
          <w:spacing w:val="-4"/>
          <w:sz w:val="21"/>
        </w:rPr>
        <w:t> </w:t>
      </w:r>
      <w:r>
        <w:rPr>
          <w:sz w:val="21"/>
        </w:rPr>
        <w:t>inclusive</w:t>
      </w:r>
      <w:r>
        <w:rPr>
          <w:spacing w:val="-4"/>
          <w:sz w:val="21"/>
        </w:rPr>
        <w:t> </w:t>
      </w:r>
      <w:r>
        <w:rPr>
          <w:sz w:val="21"/>
        </w:rPr>
        <w:t>school</w:t>
      </w:r>
      <w:r>
        <w:rPr>
          <w:spacing w:val="-4"/>
          <w:sz w:val="21"/>
        </w:rPr>
        <w:t> </w:t>
      </w:r>
      <w:r>
        <w:rPr>
          <w:sz w:val="21"/>
        </w:rPr>
        <w:t>environments.</w:t>
      </w:r>
      <w:r>
        <w:rPr>
          <w:spacing w:val="-4"/>
          <w:sz w:val="21"/>
        </w:rPr>
        <w:t> </w:t>
      </w:r>
      <w:r>
        <w:rPr>
          <w:sz w:val="21"/>
        </w:rPr>
        <w:t>By</w:t>
      </w:r>
      <w:r>
        <w:rPr>
          <w:spacing w:val="-4"/>
          <w:sz w:val="21"/>
        </w:rPr>
        <w:t> </w:t>
      </w:r>
      <w:r>
        <w:rPr>
          <w:sz w:val="21"/>
        </w:rPr>
        <w:t>exchanging</w:t>
      </w:r>
      <w:r>
        <w:rPr>
          <w:spacing w:val="-5"/>
          <w:sz w:val="21"/>
        </w:rPr>
        <w:t> </w:t>
      </w:r>
      <w:r>
        <w:rPr>
          <w:sz w:val="21"/>
        </w:rPr>
        <w:t>insights</w:t>
      </w:r>
      <w:r>
        <w:rPr>
          <w:spacing w:val="-5"/>
          <w:sz w:val="21"/>
        </w:rPr>
        <w:t> </w:t>
      </w:r>
      <w:r>
        <w:rPr>
          <w:sz w:val="21"/>
        </w:rPr>
        <w:t>related</w:t>
      </w:r>
      <w:r>
        <w:rPr>
          <w:spacing w:val="-4"/>
          <w:sz w:val="21"/>
        </w:rPr>
        <w:t> </w:t>
      </w:r>
      <w:r>
        <w:rPr>
          <w:sz w:val="21"/>
        </w:rPr>
        <w:t>to LGBTQ+ and social equity issues, engaging in policy-related discussions, and collaborating with state and local</w:t>
      </w:r>
      <w:r>
        <w:rPr>
          <w:spacing w:val="-8"/>
          <w:sz w:val="21"/>
        </w:rPr>
        <w:t> </w:t>
      </w:r>
      <w:r>
        <w:rPr>
          <w:sz w:val="21"/>
        </w:rPr>
        <w:t>stakeholders,</w:t>
      </w:r>
      <w:r>
        <w:rPr>
          <w:spacing w:val="-8"/>
          <w:sz w:val="21"/>
        </w:rPr>
        <w:t> </w:t>
      </w:r>
      <w:r>
        <w:rPr>
          <w:sz w:val="21"/>
        </w:rPr>
        <w:t>the</w:t>
      </w:r>
      <w:r>
        <w:rPr>
          <w:spacing w:val="-8"/>
          <w:sz w:val="21"/>
        </w:rPr>
        <w:t> </w:t>
      </w:r>
      <w:r>
        <w:rPr>
          <w:sz w:val="21"/>
        </w:rPr>
        <w:t>council</w:t>
      </w:r>
      <w:r>
        <w:rPr>
          <w:spacing w:val="-8"/>
          <w:sz w:val="21"/>
        </w:rPr>
        <w:t> </w:t>
      </w:r>
      <w:r>
        <w:rPr>
          <w:sz w:val="21"/>
        </w:rPr>
        <w:t>aims</w:t>
      </w:r>
      <w:r>
        <w:rPr>
          <w:spacing w:val="-9"/>
          <w:sz w:val="21"/>
        </w:rPr>
        <w:t> </w:t>
      </w:r>
      <w:r>
        <w:rPr>
          <w:sz w:val="21"/>
        </w:rPr>
        <w:t>to</w:t>
      </w:r>
      <w:r>
        <w:rPr>
          <w:spacing w:val="-8"/>
          <w:sz w:val="21"/>
        </w:rPr>
        <w:t> </w:t>
      </w:r>
      <w:r>
        <w:rPr>
          <w:sz w:val="21"/>
        </w:rPr>
        <w:t>empower</w:t>
      </w:r>
      <w:r>
        <w:rPr>
          <w:spacing w:val="-8"/>
          <w:sz w:val="21"/>
        </w:rPr>
        <w:t> </w:t>
      </w:r>
      <w:r>
        <w:rPr>
          <w:sz w:val="21"/>
        </w:rPr>
        <w:t>and</w:t>
      </w:r>
      <w:r>
        <w:rPr>
          <w:spacing w:val="-8"/>
          <w:sz w:val="21"/>
        </w:rPr>
        <w:t> </w:t>
      </w:r>
      <w:r>
        <w:rPr>
          <w:sz w:val="21"/>
        </w:rPr>
        <w:t>amplify</w:t>
      </w:r>
      <w:r>
        <w:rPr>
          <w:spacing w:val="-8"/>
          <w:sz w:val="21"/>
        </w:rPr>
        <w:t> </w:t>
      </w:r>
      <w:r>
        <w:rPr>
          <w:sz w:val="21"/>
        </w:rPr>
        <w:t>student</w:t>
      </w:r>
      <w:r>
        <w:rPr>
          <w:spacing w:val="-8"/>
          <w:sz w:val="21"/>
        </w:rPr>
        <w:t> </w:t>
      </w:r>
      <w:r>
        <w:rPr>
          <w:sz w:val="21"/>
        </w:rPr>
        <w:t>voices</w:t>
      </w:r>
      <w:r>
        <w:rPr>
          <w:spacing w:val="-8"/>
          <w:sz w:val="21"/>
        </w:rPr>
        <w:t> </w:t>
      </w:r>
      <w:r>
        <w:rPr>
          <w:sz w:val="21"/>
        </w:rPr>
        <w:t>to</w:t>
      </w:r>
      <w:r>
        <w:rPr>
          <w:spacing w:val="-8"/>
          <w:sz w:val="21"/>
        </w:rPr>
        <w:t> </w:t>
      </w:r>
      <w:r>
        <w:rPr>
          <w:sz w:val="21"/>
        </w:rPr>
        <w:t>influence</w:t>
      </w:r>
      <w:r>
        <w:rPr>
          <w:spacing w:val="-8"/>
          <w:sz w:val="21"/>
        </w:rPr>
        <w:t> </w:t>
      </w:r>
      <w:r>
        <w:rPr>
          <w:sz w:val="21"/>
        </w:rPr>
        <w:t>school</w:t>
      </w:r>
      <w:r>
        <w:rPr>
          <w:spacing w:val="-8"/>
          <w:sz w:val="21"/>
        </w:rPr>
        <w:t> </w:t>
      </w:r>
      <w:r>
        <w:rPr>
          <w:sz w:val="21"/>
        </w:rPr>
        <w:t>climate</w:t>
      </w:r>
      <w:r>
        <w:rPr>
          <w:spacing w:val="-8"/>
          <w:sz w:val="21"/>
        </w:rPr>
        <w:t> </w:t>
      </w:r>
      <w:r>
        <w:rPr>
          <w:sz w:val="21"/>
        </w:rPr>
        <w:t>and foster a brighter educational future for all.</w:t>
      </w:r>
    </w:p>
    <w:p>
      <w:pPr>
        <w:spacing w:after="0" w:line="276" w:lineRule="auto"/>
        <w:jc w:val="both"/>
        <w:rPr>
          <w:sz w:val="21"/>
        </w:rPr>
        <w:sectPr>
          <w:headerReference w:type="default" r:id="rId710"/>
          <w:footerReference w:type="default" r:id="rId711"/>
          <w:pgSz w:w="12240" w:h="15840"/>
          <w:pgMar w:header="763" w:footer="1041" w:top="960" w:bottom="1240" w:left="960" w:right="1100"/>
        </w:sectPr>
      </w:pPr>
    </w:p>
    <w:p>
      <w:pPr>
        <w:spacing w:line="276" w:lineRule="auto" w:before="250"/>
        <w:ind w:left="624" w:right="479" w:firstLine="0"/>
        <w:jc w:val="both"/>
        <w:rPr>
          <w:sz w:val="21"/>
        </w:rPr>
      </w:pPr>
      <w:r>
        <w:rPr>
          <w:sz w:val="21"/>
        </w:rPr>
        <w:t>The</w:t>
      </w:r>
      <w:r>
        <w:rPr>
          <w:spacing w:val="-2"/>
          <w:sz w:val="21"/>
        </w:rPr>
        <w:t> </w:t>
      </w:r>
      <w:r>
        <w:rPr>
          <w:sz w:val="21"/>
        </w:rPr>
        <w:t>Commission</w:t>
      </w:r>
      <w:r>
        <w:rPr>
          <w:spacing w:val="-2"/>
          <w:sz w:val="21"/>
        </w:rPr>
        <w:t> </w:t>
      </w:r>
      <w:r>
        <w:rPr>
          <w:sz w:val="21"/>
        </w:rPr>
        <w:t>commends</w:t>
      </w:r>
      <w:r>
        <w:rPr>
          <w:spacing w:val="-2"/>
          <w:sz w:val="21"/>
        </w:rPr>
        <w:t> </w:t>
      </w:r>
      <w:r>
        <w:rPr>
          <w:sz w:val="21"/>
        </w:rPr>
        <w:t>DESE</w:t>
      </w:r>
      <w:r>
        <w:rPr>
          <w:spacing w:val="-2"/>
          <w:sz w:val="21"/>
        </w:rPr>
        <w:t> </w:t>
      </w:r>
      <w:r>
        <w:rPr>
          <w:sz w:val="21"/>
        </w:rPr>
        <w:t>and</w:t>
      </w:r>
      <w:r>
        <w:rPr>
          <w:spacing w:val="-2"/>
          <w:sz w:val="21"/>
        </w:rPr>
        <w:t> </w:t>
      </w:r>
      <w:r>
        <w:rPr>
          <w:sz w:val="21"/>
        </w:rPr>
        <w:t>the</w:t>
      </w:r>
      <w:r>
        <w:rPr>
          <w:spacing w:val="-2"/>
          <w:sz w:val="21"/>
        </w:rPr>
        <w:t> </w:t>
      </w:r>
      <w:r>
        <w:rPr>
          <w:sz w:val="21"/>
        </w:rPr>
        <w:t>Board</w:t>
      </w:r>
      <w:r>
        <w:rPr>
          <w:spacing w:val="-2"/>
          <w:sz w:val="21"/>
        </w:rPr>
        <w:t> </w:t>
      </w:r>
      <w:r>
        <w:rPr>
          <w:sz w:val="21"/>
        </w:rPr>
        <w:t>of</w:t>
      </w:r>
      <w:r>
        <w:rPr>
          <w:spacing w:val="-2"/>
          <w:sz w:val="21"/>
        </w:rPr>
        <w:t> </w:t>
      </w:r>
      <w:r>
        <w:rPr>
          <w:sz w:val="21"/>
        </w:rPr>
        <w:t>Elementary</w:t>
      </w:r>
      <w:r>
        <w:rPr>
          <w:spacing w:val="-2"/>
          <w:sz w:val="21"/>
        </w:rPr>
        <w:t> </w:t>
      </w:r>
      <w:r>
        <w:rPr>
          <w:sz w:val="21"/>
        </w:rPr>
        <w:t>and</w:t>
      </w:r>
      <w:r>
        <w:rPr>
          <w:spacing w:val="-3"/>
          <w:sz w:val="21"/>
        </w:rPr>
        <w:t> </w:t>
      </w:r>
      <w:r>
        <w:rPr>
          <w:sz w:val="21"/>
        </w:rPr>
        <w:t>Secondary</w:t>
      </w:r>
      <w:r>
        <w:rPr>
          <w:spacing w:val="-2"/>
          <w:sz w:val="21"/>
        </w:rPr>
        <w:t> </w:t>
      </w:r>
      <w:r>
        <w:rPr>
          <w:sz w:val="21"/>
        </w:rPr>
        <w:t>Education</w:t>
      </w:r>
      <w:r>
        <w:rPr>
          <w:spacing w:val="-2"/>
          <w:sz w:val="21"/>
        </w:rPr>
        <w:t> </w:t>
      </w:r>
      <w:r>
        <w:rPr>
          <w:sz w:val="21"/>
        </w:rPr>
        <w:t>for</w:t>
      </w:r>
      <w:r>
        <w:rPr>
          <w:spacing w:val="-2"/>
          <w:sz w:val="21"/>
        </w:rPr>
        <w:t> </w:t>
      </w:r>
      <w:r>
        <w:rPr>
          <w:sz w:val="21"/>
        </w:rPr>
        <w:t>updating</w:t>
      </w:r>
      <w:r>
        <w:rPr>
          <w:spacing w:val="-2"/>
          <w:sz w:val="21"/>
        </w:rPr>
        <w:t> </w:t>
      </w:r>
      <w:r>
        <w:rPr>
          <w:sz w:val="21"/>
        </w:rPr>
        <w:t>and approving the comprehensive health and physical education framework for the first time since 1999. The updated framework is inclusive, medically accurate, and developmentally and age-appropriate. It outlines standards for a comprehensive and LGBTQ+-inclusive health and physical education program, covering topics such as mental and emotional health; personal safety; physical health and hygiene; healthy relationships;</w:t>
      </w:r>
      <w:r>
        <w:rPr>
          <w:spacing w:val="-5"/>
          <w:sz w:val="21"/>
        </w:rPr>
        <w:t> </w:t>
      </w:r>
      <w:r>
        <w:rPr>
          <w:sz w:val="21"/>
        </w:rPr>
        <w:t>nutrition</w:t>
      </w:r>
      <w:r>
        <w:rPr>
          <w:spacing w:val="-7"/>
          <w:sz w:val="21"/>
        </w:rPr>
        <w:t> </w:t>
      </w:r>
      <w:r>
        <w:rPr>
          <w:sz w:val="21"/>
        </w:rPr>
        <w:t>and</w:t>
      </w:r>
      <w:r>
        <w:rPr>
          <w:spacing w:val="-8"/>
          <w:sz w:val="21"/>
        </w:rPr>
        <w:t> </w:t>
      </w:r>
      <w:r>
        <w:rPr>
          <w:sz w:val="21"/>
        </w:rPr>
        <w:t>balanced</w:t>
      </w:r>
      <w:r>
        <w:rPr>
          <w:spacing w:val="-7"/>
          <w:sz w:val="21"/>
        </w:rPr>
        <w:t> </w:t>
      </w:r>
      <w:r>
        <w:rPr>
          <w:sz w:val="21"/>
        </w:rPr>
        <w:t>eating;</w:t>
      </w:r>
      <w:r>
        <w:rPr>
          <w:spacing w:val="-6"/>
          <w:sz w:val="21"/>
        </w:rPr>
        <w:t> </w:t>
      </w:r>
      <w:r>
        <w:rPr>
          <w:sz w:val="21"/>
        </w:rPr>
        <w:t>physical</w:t>
      </w:r>
      <w:r>
        <w:rPr>
          <w:spacing w:val="-7"/>
          <w:sz w:val="21"/>
        </w:rPr>
        <w:t> </w:t>
      </w:r>
      <w:r>
        <w:rPr>
          <w:sz w:val="21"/>
        </w:rPr>
        <w:t>activity</w:t>
      </w:r>
      <w:r>
        <w:rPr>
          <w:spacing w:val="-7"/>
          <w:sz w:val="21"/>
        </w:rPr>
        <w:t> </w:t>
      </w:r>
      <w:r>
        <w:rPr>
          <w:sz w:val="21"/>
        </w:rPr>
        <w:t>and</w:t>
      </w:r>
      <w:r>
        <w:rPr>
          <w:spacing w:val="-7"/>
          <w:sz w:val="21"/>
        </w:rPr>
        <w:t> </w:t>
      </w:r>
      <w:r>
        <w:rPr>
          <w:sz w:val="21"/>
        </w:rPr>
        <w:t>fitness;</w:t>
      </w:r>
      <w:r>
        <w:rPr>
          <w:spacing w:val="-6"/>
          <w:sz w:val="21"/>
        </w:rPr>
        <w:t> </w:t>
      </w:r>
      <w:r>
        <w:rPr>
          <w:sz w:val="21"/>
        </w:rPr>
        <w:t>substance</w:t>
      </w:r>
      <w:r>
        <w:rPr>
          <w:spacing w:val="-7"/>
          <w:sz w:val="21"/>
        </w:rPr>
        <w:t> </w:t>
      </w:r>
      <w:r>
        <w:rPr>
          <w:sz w:val="21"/>
        </w:rPr>
        <w:t>use</w:t>
      </w:r>
      <w:r>
        <w:rPr>
          <w:spacing w:val="-7"/>
          <w:sz w:val="21"/>
        </w:rPr>
        <w:t> </w:t>
      </w:r>
      <w:r>
        <w:rPr>
          <w:sz w:val="21"/>
        </w:rPr>
        <w:t>and</w:t>
      </w:r>
      <w:r>
        <w:rPr>
          <w:spacing w:val="-7"/>
          <w:sz w:val="21"/>
        </w:rPr>
        <w:t> </w:t>
      </w:r>
      <w:r>
        <w:rPr>
          <w:sz w:val="21"/>
        </w:rPr>
        <w:t>misuse;</w:t>
      </w:r>
      <w:r>
        <w:rPr>
          <w:spacing w:val="-7"/>
          <w:sz w:val="21"/>
        </w:rPr>
        <w:t> </w:t>
      </w:r>
      <w:r>
        <w:rPr>
          <w:sz w:val="21"/>
        </w:rPr>
        <w:t>sexual health; and public, community, and environmental health.</w:t>
      </w:r>
    </w:p>
    <w:p>
      <w:pPr>
        <w:spacing w:line="276" w:lineRule="auto" w:before="240"/>
        <w:ind w:left="624" w:right="478" w:firstLine="0"/>
        <w:jc w:val="both"/>
        <w:rPr>
          <w:sz w:val="21"/>
        </w:rPr>
      </w:pPr>
      <w:r>
        <w:rPr>
          <w:sz w:val="21"/>
        </w:rPr>
        <w:t>Since establishing a Memorandum of Understanding (MOU) with DESE in 2013, the Safe Schools Program for LGBTQ Students has undertaken multiple initiatives, including training school personnel on bias-based bullying</w:t>
      </w:r>
      <w:r>
        <w:rPr>
          <w:spacing w:val="-6"/>
          <w:sz w:val="21"/>
        </w:rPr>
        <w:t> </w:t>
      </w:r>
      <w:r>
        <w:rPr>
          <w:sz w:val="21"/>
        </w:rPr>
        <w:t>and</w:t>
      </w:r>
      <w:r>
        <w:rPr>
          <w:spacing w:val="-6"/>
          <w:sz w:val="21"/>
        </w:rPr>
        <w:t> </w:t>
      </w:r>
      <w:r>
        <w:rPr>
          <w:sz w:val="21"/>
        </w:rPr>
        <w:t>providing</w:t>
      </w:r>
      <w:r>
        <w:rPr>
          <w:spacing w:val="-6"/>
          <w:sz w:val="21"/>
        </w:rPr>
        <w:t> </w:t>
      </w:r>
      <w:r>
        <w:rPr>
          <w:sz w:val="21"/>
        </w:rPr>
        <w:t>policy</w:t>
      </w:r>
      <w:r>
        <w:rPr>
          <w:spacing w:val="-6"/>
          <w:sz w:val="21"/>
        </w:rPr>
        <w:t> </w:t>
      </w:r>
      <w:r>
        <w:rPr>
          <w:sz w:val="21"/>
        </w:rPr>
        <w:t>guidance</w:t>
      </w:r>
      <w:r>
        <w:rPr>
          <w:spacing w:val="-6"/>
          <w:sz w:val="21"/>
        </w:rPr>
        <w:t> </w:t>
      </w:r>
      <w:r>
        <w:rPr>
          <w:sz w:val="21"/>
        </w:rPr>
        <w:t>to</w:t>
      </w:r>
      <w:r>
        <w:rPr>
          <w:spacing w:val="-6"/>
          <w:sz w:val="21"/>
        </w:rPr>
        <w:t> </w:t>
      </w:r>
      <w:r>
        <w:rPr>
          <w:sz w:val="21"/>
        </w:rPr>
        <w:t>implement</w:t>
      </w:r>
      <w:r>
        <w:rPr>
          <w:spacing w:val="-6"/>
          <w:sz w:val="21"/>
        </w:rPr>
        <w:t> </w:t>
      </w:r>
      <w:r>
        <w:rPr>
          <w:sz w:val="21"/>
        </w:rPr>
        <w:t>landmark</w:t>
      </w:r>
      <w:r>
        <w:rPr>
          <w:spacing w:val="-5"/>
          <w:sz w:val="21"/>
        </w:rPr>
        <w:t> </w:t>
      </w:r>
      <w:r>
        <w:rPr>
          <w:sz w:val="21"/>
        </w:rPr>
        <w:t>policies.</w:t>
      </w:r>
      <w:r>
        <w:rPr>
          <w:spacing w:val="-6"/>
          <w:sz w:val="21"/>
        </w:rPr>
        <w:t> </w:t>
      </w:r>
      <w:r>
        <w:rPr>
          <w:sz w:val="21"/>
        </w:rPr>
        <w:t>The</w:t>
      </w:r>
      <w:r>
        <w:rPr>
          <w:spacing w:val="-6"/>
          <w:sz w:val="21"/>
        </w:rPr>
        <w:t> </w:t>
      </w:r>
      <w:r>
        <w:rPr>
          <w:sz w:val="21"/>
        </w:rPr>
        <w:t>Commission</w:t>
      </w:r>
      <w:r>
        <w:rPr>
          <w:spacing w:val="-6"/>
          <w:sz w:val="21"/>
        </w:rPr>
        <w:t> </w:t>
      </w:r>
      <w:r>
        <w:rPr>
          <w:sz w:val="21"/>
        </w:rPr>
        <w:t>is</w:t>
      </w:r>
      <w:r>
        <w:rPr>
          <w:spacing w:val="-6"/>
          <w:sz w:val="21"/>
        </w:rPr>
        <w:t> </w:t>
      </w:r>
      <w:r>
        <w:rPr>
          <w:sz w:val="21"/>
        </w:rPr>
        <w:t>grateful</w:t>
      </w:r>
      <w:r>
        <w:rPr>
          <w:spacing w:val="-6"/>
          <w:sz w:val="21"/>
        </w:rPr>
        <w:t> </w:t>
      </w:r>
      <w:r>
        <w:rPr>
          <w:sz w:val="21"/>
        </w:rPr>
        <w:t>to</w:t>
      </w:r>
      <w:r>
        <w:rPr>
          <w:spacing w:val="-6"/>
          <w:sz w:val="21"/>
        </w:rPr>
        <w:t> </w:t>
      </w:r>
      <w:r>
        <w:rPr>
          <w:sz w:val="21"/>
        </w:rPr>
        <w:t>DESE for its leadership on these issues, the support of key staff, and the annual Commissioner’s letter to school administrators. Additionally, the Commission thanks DESE for providing space and support for the Safe Schools Program for LGBTQ Students.</w:t>
      </w:r>
    </w:p>
    <w:p>
      <w:pPr>
        <w:spacing w:line="276" w:lineRule="auto" w:before="240"/>
        <w:ind w:left="624" w:right="480" w:firstLine="0"/>
        <w:jc w:val="both"/>
        <w:rPr>
          <w:sz w:val="21"/>
        </w:rPr>
      </w:pPr>
      <w:r>
        <w:rPr>
          <w:sz w:val="21"/>
        </w:rPr>
        <w:t>Part of the MOU with DESE includes annual meetings with the DESE Commissioner and biennial presentations</w:t>
      </w:r>
      <w:r>
        <w:rPr>
          <w:spacing w:val="-7"/>
          <w:sz w:val="21"/>
        </w:rPr>
        <w:t> </w:t>
      </w:r>
      <w:r>
        <w:rPr>
          <w:sz w:val="21"/>
        </w:rPr>
        <w:t>to</w:t>
      </w:r>
      <w:r>
        <w:rPr>
          <w:spacing w:val="-7"/>
          <w:sz w:val="21"/>
        </w:rPr>
        <w:t> </w:t>
      </w:r>
      <w:r>
        <w:rPr>
          <w:sz w:val="21"/>
        </w:rPr>
        <w:t>the</w:t>
      </w:r>
      <w:r>
        <w:rPr>
          <w:spacing w:val="-7"/>
          <w:sz w:val="21"/>
        </w:rPr>
        <w:t> </w:t>
      </w:r>
      <w:r>
        <w:rPr>
          <w:sz w:val="21"/>
        </w:rPr>
        <w:t>Board</w:t>
      </w:r>
      <w:r>
        <w:rPr>
          <w:spacing w:val="-7"/>
          <w:sz w:val="21"/>
        </w:rPr>
        <w:t> </w:t>
      </w:r>
      <w:r>
        <w:rPr>
          <w:sz w:val="21"/>
        </w:rPr>
        <w:t>of</w:t>
      </w:r>
      <w:r>
        <w:rPr>
          <w:spacing w:val="-7"/>
          <w:sz w:val="21"/>
        </w:rPr>
        <w:t> </w:t>
      </w:r>
      <w:r>
        <w:rPr>
          <w:sz w:val="21"/>
        </w:rPr>
        <w:t>Elementary</w:t>
      </w:r>
      <w:r>
        <w:rPr>
          <w:spacing w:val="-6"/>
          <w:sz w:val="21"/>
        </w:rPr>
        <w:t> </w:t>
      </w:r>
      <w:r>
        <w:rPr>
          <w:sz w:val="21"/>
        </w:rPr>
        <w:t>and</w:t>
      </w:r>
      <w:r>
        <w:rPr>
          <w:spacing w:val="-7"/>
          <w:sz w:val="21"/>
        </w:rPr>
        <w:t> </w:t>
      </w:r>
      <w:r>
        <w:rPr>
          <w:sz w:val="21"/>
        </w:rPr>
        <w:t>Secondary</w:t>
      </w:r>
      <w:r>
        <w:rPr>
          <w:spacing w:val="-7"/>
          <w:sz w:val="21"/>
        </w:rPr>
        <w:t> </w:t>
      </w:r>
      <w:r>
        <w:rPr>
          <w:sz w:val="21"/>
        </w:rPr>
        <w:t>Education.</w:t>
      </w:r>
      <w:r>
        <w:rPr>
          <w:spacing w:val="-7"/>
          <w:sz w:val="21"/>
        </w:rPr>
        <w:t> </w:t>
      </w:r>
      <w:r>
        <w:rPr>
          <w:sz w:val="21"/>
        </w:rPr>
        <w:t>Acting</w:t>
      </w:r>
      <w:r>
        <w:rPr>
          <w:spacing w:val="-7"/>
          <w:sz w:val="21"/>
        </w:rPr>
        <w:t> </w:t>
      </w:r>
      <w:r>
        <w:rPr>
          <w:sz w:val="21"/>
        </w:rPr>
        <w:t>Commissioner</w:t>
      </w:r>
      <w:r>
        <w:rPr>
          <w:spacing w:val="-7"/>
          <w:sz w:val="21"/>
        </w:rPr>
        <w:t> </w:t>
      </w:r>
      <w:r>
        <w:rPr>
          <w:sz w:val="21"/>
        </w:rPr>
        <w:t>Russell</w:t>
      </w:r>
      <w:r>
        <w:rPr>
          <w:spacing w:val="-6"/>
          <w:sz w:val="21"/>
        </w:rPr>
        <w:t> </w:t>
      </w:r>
      <w:r>
        <w:rPr>
          <w:sz w:val="21"/>
        </w:rPr>
        <w:t>Johnston has</w:t>
      </w:r>
      <w:r>
        <w:rPr>
          <w:spacing w:val="-6"/>
          <w:sz w:val="21"/>
        </w:rPr>
        <w:t> </w:t>
      </w:r>
      <w:r>
        <w:rPr>
          <w:sz w:val="21"/>
        </w:rPr>
        <w:t>continued</w:t>
      </w:r>
      <w:r>
        <w:rPr>
          <w:spacing w:val="-5"/>
          <w:sz w:val="21"/>
        </w:rPr>
        <w:t> </w:t>
      </w:r>
      <w:r>
        <w:rPr>
          <w:sz w:val="21"/>
        </w:rPr>
        <w:t>to</w:t>
      </w:r>
      <w:r>
        <w:rPr>
          <w:spacing w:val="-6"/>
          <w:sz w:val="21"/>
        </w:rPr>
        <w:t> </w:t>
      </w:r>
      <w:r>
        <w:rPr>
          <w:sz w:val="21"/>
        </w:rPr>
        <w:t>support</w:t>
      </w:r>
      <w:r>
        <w:rPr>
          <w:spacing w:val="-6"/>
          <w:sz w:val="21"/>
        </w:rPr>
        <w:t> </w:t>
      </w:r>
      <w:r>
        <w:rPr>
          <w:sz w:val="21"/>
        </w:rPr>
        <w:t>the</w:t>
      </w:r>
      <w:r>
        <w:rPr>
          <w:spacing w:val="-5"/>
          <w:sz w:val="21"/>
        </w:rPr>
        <w:t> </w:t>
      </w:r>
      <w:r>
        <w:rPr>
          <w:sz w:val="21"/>
        </w:rPr>
        <w:t>Commission</w:t>
      </w:r>
      <w:r>
        <w:rPr>
          <w:spacing w:val="-4"/>
          <w:sz w:val="21"/>
        </w:rPr>
        <w:t> </w:t>
      </w:r>
      <w:r>
        <w:rPr>
          <w:sz w:val="21"/>
        </w:rPr>
        <w:t>and</w:t>
      </w:r>
      <w:r>
        <w:rPr>
          <w:spacing w:val="-6"/>
          <w:sz w:val="21"/>
        </w:rPr>
        <w:t> </w:t>
      </w:r>
      <w:r>
        <w:rPr>
          <w:sz w:val="21"/>
        </w:rPr>
        <w:t>the</w:t>
      </w:r>
      <w:r>
        <w:rPr>
          <w:spacing w:val="-5"/>
          <w:sz w:val="21"/>
        </w:rPr>
        <w:t> </w:t>
      </w:r>
      <w:r>
        <w:rPr>
          <w:sz w:val="21"/>
        </w:rPr>
        <w:t>Program.</w:t>
      </w:r>
      <w:r>
        <w:rPr>
          <w:spacing w:val="-6"/>
          <w:sz w:val="21"/>
        </w:rPr>
        <w:t> </w:t>
      </w:r>
      <w:r>
        <w:rPr>
          <w:sz w:val="21"/>
        </w:rPr>
        <w:t>In</w:t>
      </w:r>
      <w:r>
        <w:rPr>
          <w:spacing w:val="-5"/>
          <w:sz w:val="21"/>
        </w:rPr>
        <w:t> </w:t>
      </w:r>
      <w:r>
        <w:rPr>
          <w:sz w:val="21"/>
        </w:rPr>
        <w:t>April</w:t>
      </w:r>
      <w:r>
        <w:rPr>
          <w:spacing w:val="-5"/>
          <w:sz w:val="21"/>
        </w:rPr>
        <w:t> </w:t>
      </w:r>
      <w:r>
        <w:rPr>
          <w:sz w:val="21"/>
        </w:rPr>
        <w:t>2024,</w:t>
      </w:r>
      <w:r>
        <w:rPr>
          <w:spacing w:val="-6"/>
          <w:sz w:val="21"/>
        </w:rPr>
        <w:t> </w:t>
      </w:r>
      <w:r>
        <w:rPr>
          <w:sz w:val="21"/>
        </w:rPr>
        <w:t>the</w:t>
      </w:r>
      <w:r>
        <w:rPr>
          <w:spacing w:val="-7"/>
          <w:sz w:val="21"/>
        </w:rPr>
        <w:t> </w:t>
      </w:r>
      <w:r>
        <w:rPr>
          <w:sz w:val="21"/>
        </w:rPr>
        <w:t>biannual</w:t>
      </w:r>
      <w:r>
        <w:rPr>
          <w:spacing w:val="-5"/>
          <w:sz w:val="21"/>
        </w:rPr>
        <w:t> </w:t>
      </w:r>
      <w:r>
        <w:rPr>
          <w:sz w:val="21"/>
        </w:rPr>
        <w:t>presentation</w:t>
      </w:r>
      <w:r>
        <w:rPr>
          <w:spacing w:val="-5"/>
          <w:sz w:val="21"/>
        </w:rPr>
        <w:t> </w:t>
      </w:r>
      <w:r>
        <w:rPr>
          <w:sz w:val="21"/>
        </w:rPr>
        <w:t>to</w:t>
      </w:r>
      <w:r>
        <w:rPr>
          <w:spacing w:val="-6"/>
          <w:sz w:val="21"/>
        </w:rPr>
        <w:t> </w:t>
      </w:r>
      <w:r>
        <w:rPr>
          <w:sz w:val="21"/>
        </w:rPr>
        <w:t>the Board of Elementary and Secondary Education took place. Staff from the Safe Schools Program for LGBTQ Students</w:t>
      </w:r>
      <w:r>
        <w:rPr>
          <w:spacing w:val="-12"/>
          <w:sz w:val="21"/>
        </w:rPr>
        <w:t> </w:t>
      </w:r>
      <w:r>
        <w:rPr>
          <w:sz w:val="21"/>
        </w:rPr>
        <w:t>and</w:t>
      </w:r>
      <w:r>
        <w:rPr>
          <w:spacing w:val="-12"/>
          <w:sz w:val="21"/>
        </w:rPr>
        <w:t> </w:t>
      </w:r>
      <w:r>
        <w:rPr>
          <w:sz w:val="21"/>
        </w:rPr>
        <w:t>the</w:t>
      </w:r>
      <w:r>
        <w:rPr>
          <w:spacing w:val="-11"/>
          <w:sz w:val="21"/>
        </w:rPr>
        <w:t> </w:t>
      </w:r>
      <w:r>
        <w:rPr>
          <w:sz w:val="21"/>
        </w:rPr>
        <w:t>MA</w:t>
      </w:r>
      <w:r>
        <w:rPr>
          <w:spacing w:val="-12"/>
          <w:sz w:val="21"/>
        </w:rPr>
        <w:t> </w:t>
      </w:r>
      <w:r>
        <w:rPr>
          <w:sz w:val="21"/>
        </w:rPr>
        <w:t>Commission</w:t>
      </w:r>
      <w:r>
        <w:rPr>
          <w:spacing w:val="-11"/>
          <w:sz w:val="21"/>
        </w:rPr>
        <w:t> </w:t>
      </w:r>
      <w:r>
        <w:rPr>
          <w:sz w:val="21"/>
        </w:rPr>
        <w:t>on</w:t>
      </w:r>
      <w:r>
        <w:rPr>
          <w:spacing w:val="-11"/>
          <w:sz w:val="21"/>
        </w:rPr>
        <w:t> </w:t>
      </w:r>
      <w:r>
        <w:rPr>
          <w:sz w:val="21"/>
        </w:rPr>
        <w:t>LGBTQ</w:t>
      </w:r>
      <w:r>
        <w:rPr>
          <w:spacing w:val="-11"/>
          <w:sz w:val="21"/>
        </w:rPr>
        <w:t> </w:t>
      </w:r>
      <w:r>
        <w:rPr>
          <w:sz w:val="21"/>
        </w:rPr>
        <w:t>Youth,</w:t>
      </w:r>
      <w:r>
        <w:rPr>
          <w:spacing w:val="-12"/>
          <w:sz w:val="21"/>
        </w:rPr>
        <w:t> </w:t>
      </w:r>
      <w:r>
        <w:rPr>
          <w:sz w:val="21"/>
        </w:rPr>
        <w:t>along</w:t>
      </w:r>
      <w:r>
        <w:rPr>
          <w:spacing w:val="-12"/>
          <w:sz w:val="21"/>
        </w:rPr>
        <w:t> </w:t>
      </w:r>
      <w:r>
        <w:rPr>
          <w:sz w:val="21"/>
        </w:rPr>
        <w:t>with</w:t>
      </w:r>
      <w:r>
        <w:rPr>
          <w:spacing w:val="-11"/>
          <w:sz w:val="21"/>
        </w:rPr>
        <w:t> </w:t>
      </w:r>
      <w:r>
        <w:rPr>
          <w:sz w:val="21"/>
        </w:rPr>
        <w:t>a</w:t>
      </w:r>
      <w:r>
        <w:rPr>
          <w:spacing w:val="-12"/>
          <w:sz w:val="21"/>
        </w:rPr>
        <w:t> </w:t>
      </w:r>
      <w:r>
        <w:rPr>
          <w:sz w:val="21"/>
        </w:rPr>
        <w:t>district</w:t>
      </w:r>
      <w:r>
        <w:rPr>
          <w:spacing w:val="-11"/>
          <w:sz w:val="21"/>
        </w:rPr>
        <w:t> </w:t>
      </w:r>
      <w:r>
        <w:rPr>
          <w:sz w:val="21"/>
        </w:rPr>
        <w:t>superintendent</w:t>
      </w:r>
      <w:r>
        <w:rPr>
          <w:spacing w:val="-11"/>
          <w:sz w:val="21"/>
        </w:rPr>
        <w:t> </w:t>
      </w:r>
      <w:r>
        <w:rPr>
          <w:sz w:val="21"/>
        </w:rPr>
        <w:t>and</w:t>
      </w:r>
      <w:r>
        <w:rPr>
          <w:spacing w:val="-12"/>
          <w:sz w:val="21"/>
        </w:rPr>
        <w:t> </w:t>
      </w:r>
      <w:r>
        <w:rPr>
          <w:sz w:val="21"/>
        </w:rPr>
        <w:t>a</w:t>
      </w:r>
      <w:r>
        <w:rPr>
          <w:spacing w:val="-12"/>
          <w:sz w:val="21"/>
        </w:rPr>
        <w:t> </w:t>
      </w:r>
      <w:r>
        <w:rPr>
          <w:sz w:val="21"/>
        </w:rPr>
        <w:t>Boston</w:t>
      </w:r>
      <w:r>
        <w:rPr>
          <w:spacing w:val="-11"/>
          <w:sz w:val="21"/>
        </w:rPr>
        <w:t> </w:t>
      </w:r>
      <w:r>
        <w:rPr>
          <w:sz w:val="21"/>
        </w:rPr>
        <w:t>Public School high school student, discussed the increase in anti-LGBTQ actions within schools across the state. They shared important and effective strategies that can be implemented at both</w:t>
      </w:r>
      <w:r>
        <w:rPr>
          <w:spacing w:val="-1"/>
          <w:sz w:val="21"/>
        </w:rPr>
        <w:t> </w:t>
      </w:r>
      <w:r>
        <w:rPr>
          <w:sz w:val="21"/>
        </w:rPr>
        <w:t>the local and state levels to</w:t>
      </w:r>
      <w:r>
        <w:rPr>
          <w:spacing w:val="-1"/>
          <w:sz w:val="21"/>
        </w:rPr>
        <w:t> </w:t>
      </w:r>
      <w:r>
        <w:rPr>
          <w:sz w:val="21"/>
        </w:rPr>
        <w:t>create</w:t>
      </w:r>
      <w:r>
        <w:rPr>
          <w:spacing w:val="-2"/>
          <w:sz w:val="21"/>
        </w:rPr>
        <w:t> </w:t>
      </w:r>
      <w:r>
        <w:rPr>
          <w:sz w:val="21"/>
        </w:rPr>
        <w:t>and</w:t>
      </w:r>
      <w:r>
        <w:rPr>
          <w:spacing w:val="-3"/>
          <w:sz w:val="21"/>
        </w:rPr>
        <w:t> </w:t>
      </w:r>
      <w:r>
        <w:rPr>
          <w:sz w:val="21"/>
        </w:rPr>
        <w:t>enhance</w:t>
      </w:r>
      <w:r>
        <w:rPr>
          <w:spacing w:val="-1"/>
          <w:sz w:val="21"/>
        </w:rPr>
        <w:t> </w:t>
      </w:r>
      <w:r>
        <w:rPr>
          <w:sz w:val="21"/>
        </w:rPr>
        <w:t>safe</w:t>
      </w:r>
      <w:r>
        <w:rPr>
          <w:spacing w:val="-2"/>
          <w:sz w:val="21"/>
        </w:rPr>
        <w:t> </w:t>
      </w:r>
      <w:r>
        <w:rPr>
          <w:sz w:val="21"/>
        </w:rPr>
        <w:t>and</w:t>
      </w:r>
      <w:r>
        <w:rPr>
          <w:spacing w:val="-1"/>
          <w:sz w:val="21"/>
        </w:rPr>
        <w:t> </w:t>
      </w:r>
      <w:r>
        <w:rPr>
          <w:sz w:val="21"/>
        </w:rPr>
        <w:t>supportive</w:t>
      </w:r>
      <w:r>
        <w:rPr>
          <w:spacing w:val="-1"/>
          <w:sz w:val="21"/>
        </w:rPr>
        <w:t> </w:t>
      </w:r>
      <w:r>
        <w:rPr>
          <w:sz w:val="21"/>
        </w:rPr>
        <w:t>learning</w:t>
      </w:r>
      <w:r>
        <w:rPr>
          <w:spacing w:val="-1"/>
          <w:sz w:val="21"/>
        </w:rPr>
        <w:t> </w:t>
      </w:r>
      <w:r>
        <w:rPr>
          <w:sz w:val="21"/>
        </w:rPr>
        <w:t>environments</w:t>
      </w:r>
      <w:r>
        <w:rPr>
          <w:spacing w:val="-1"/>
          <w:sz w:val="21"/>
        </w:rPr>
        <w:t> </w:t>
      </w:r>
      <w:r>
        <w:rPr>
          <w:sz w:val="21"/>
        </w:rPr>
        <w:t>for</w:t>
      </w:r>
      <w:r>
        <w:rPr>
          <w:spacing w:val="-2"/>
          <w:sz w:val="21"/>
        </w:rPr>
        <w:t> </w:t>
      </w:r>
      <w:r>
        <w:rPr>
          <w:sz w:val="21"/>
        </w:rPr>
        <w:t>all</w:t>
      </w:r>
      <w:r>
        <w:rPr>
          <w:spacing w:val="-1"/>
          <w:sz w:val="21"/>
        </w:rPr>
        <w:t> </w:t>
      </w:r>
      <w:r>
        <w:rPr>
          <w:sz w:val="21"/>
        </w:rPr>
        <w:t>students,</w:t>
      </w:r>
      <w:r>
        <w:rPr>
          <w:spacing w:val="-1"/>
          <w:sz w:val="21"/>
        </w:rPr>
        <w:t> </w:t>
      </w:r>
      <w:r>
        <w:rPr>
          <w:sz w:val="21"/>
        </w:rPr>
        <w:t>particularly</w:t>
      </w:r>
      <w:r>
        <w:rPr>
          <w:spacing w:val="-1"/>
          <w:sz w:val="21"/>
        </w:rPr>
        <w:t> </w:t>
      </w:r>
      <w:r>
        <w:rPr>
          <w:sz w:val="21"/>
        </w:rPr>
        <w:t>focusing</w:t>
      </w:r>
      <w:r>
        <w:rPr>
          <w:spacing w:val="-1"/>
          <w:sz w:val="21"/>
        </w:rPr>
        <w:t> </w:t>
      </w:r>
      <w:r>
        <w:rPr>
          <w:sz w:val="21"/>
        </w:rPr>
        <w:t>on the wellbeing and success of LGBTQ+ students. They highlighted opportunities for DESE and the Board to maintain their leadership in protecting LGBTQ students in the Commonwealth.</w:t>
      </w:r>
    </w:p>
    <w:p>
      <w:pPr>
        <w:spacing w:line="276" w:lineRule="auto" w:before="241"/>
        <w:ind w:left="624" w:right="479" w:firstLine="0"/>
        <w:jc w:val="both"/>
        <w:rPr>
          <w:sz w:val="21"/>
        </w:rPr>
      </w:pPr>
      <w:r>
        <w:rPr>
          <w:sz w:val="21"/>
        </w:rPr>
        <w:t>Additionally, the presentation emphasized the Safe Schools Program for LGBTQ Students' alignment with DESE's Educational Vision, which focuses on advancing teaching and learning environments that are antiracist,</w:t>
      </w:r>
      <w:r>
        <w:rPr>
          <w:spacing w:val="-12"/>
          <w:sz w:val="21"/>
        </w:rPr>
        <w:t> </w:t>
      </w:r>
      <w:r>
        <w:rPr>
          <w:sz w:val="21"/>
        </w:rPr>
        <w:t>inclusive,</w:t>
      </w:r>
      <w:r>
        <w:rPr>
          <w:spacing w:val="-12"/>
          <w:sz w:val="21"/>
        </w:rPr>
        <w:t> </w:t>
      </w:r>
      <w:r>
        <w:rPr>
          <w:sz w:val="21"/>
        </w:rPr>
        <w:t>and</w:t>
      </w:r>
      <w:r>
        <w:rPr>
          <w:spacing w:val="-12"/>
          <w:sz w:val="21"/>
        </w:rPr>
        <w:t> </w:t>
      </w:r>
      <w:r>
        <w:rPr>
          <w:sz w:val="21"/>
        </w:rPr>
        <w:t>culturally</w:t>
      </w:r>
      <w:r>
        <w:rPr>
          <w:spacing w:val="-12"/>
          <w:sz w:val="21"/>
        </w:rPr>
        <w:t> </w:t>
      </w:r>
      <w:r>
        <w:rPr>
          <w:sz w:val="21"/>
        </w:rPr>
        <w:t>diverse.</w:t>
      </w:r>
      <w:r>
        <w:rPr>
          <w:spacing w:val="-12"/>
          <w:sz w:val="21"/>
        </w:rPr>
        <w:t> </w:t>
      </w:r>
      <w:r>
        <w:rPr>
          <w:sz w:val="21"/>
        </w:rPr>
        <w:t>It</w:t>
      </w:r>
      <w:r>
        <w:rPr>
          <w:spacing w:val="-12"/>
          <w:sz w:val="21"/>
        </w:rPr>
        <w:t> </w:t>
      </w:r>
      <w:r>
        <w:rPr>
          <w:sz w:val="21"/>
        </w:rPr>
        <w:t>highlighted</w:t>
      </w:r>
      <w:r>
        <w:rPr>
          <w:spacing w:val="-12"/>
          <w:sz w:val="21"/>
        </w:rPr>
        <w:t> </w:t>
      </w:r>
      <w:r>
        <w:rPr>
          <w:sz w:val="21"/>
        </w:rPr>
        <w:t>the</w:t>
      </w:r>
      <w:r>
        <w:rPr>
          <w:spacing w:val="-11"/>
          <w:sz w:val="21"/>
        </w:rPr>
        <w:t> </w:t>
      </w:r>
      <w:r>
        <w:rPr>
          <w:sz w:val="21"/>
        </w:rPr>
        <w:t>program’s</w:t>
      </w:r>
      <w:r>
        <w:rPr>
          <w:spacing w:val="-12"/>
          <w:sz w:val="21"/>
        </w:rPr>
        <w:t> </w:t>
      </w:r>
      <w:r>
        <w:rPr>
          <w:sz w:val="21"/>
        </w:rPr>
        <w:t>priority</w:t>
      </w:r>
      <w:r>
        <w:rPr>
          <w:spacing w:val="-12"/>
          <w:sz w:val="21"/>
        </w:rPr>
        <w:t> </w:t>
      </w:r>
      <w:r>
        <w:rPr>
          <w:sz w:val="21"/>
        </w:rPr>
        <w:t>to</w:t>
      </w:r>
      <w:r>
        <w:rPr>
          <w:spacing w:val="-12"/>
          <w:sz w:val="21"/>
        </w:rPr>
        <w:t> </w:t>
      </w:r>
      <w:r>
        <w:rPr>
          <w:sz w:val="21"/>
        </w:rPr>
        <w:t>acknowledge</w:t>
      </w:r>
      <w:r>
        <w:rPr>
          <w:spacing w:val="-12"/>
          <w:sz w:val="21"/>
        </w:rPr>
        <w:t> </w:t>
      </w:r>
      <w:r>
        <w:rPr>
          <w:sz w:val="21"/>
        </w:rPr>
        <w:t>and</w:t>
      </w:r>
      <w:r>
        <w:rPr>
          <w:spacing w:val="-12"/>
          <w:sz w:val="21"/>
        </w:rPr>
        <w:t> </w:t>
      </w:r>
      <w:r>
        <w:rPr>
          <w:sz w:val="21"/>
        </w:rPr>
        <w:t>support students and families, ensuring equitable opportunities and experiences for all students, especially those historically underserved due to race, gender, sexual orientation, or abilities. The Safe Schools Program supports DESE's strategic objectives, including nurturing the whole student so that all students feel connected</w:t>
      </w:r>
      <w:r>
        <w:rPr>
          <w:spacing w:val="-9"/>
          <w:sz w:val="21"/>
        </w:rPr>
        <w:t> </w:t>
      </w:r>
      <w:r>
        <w:rPr>
          <w:sz w:val="21"/>
        </w:rPr>
        <w:t>and</w:t>
      </w:r>
      <w:r>
        <w:rPr>
          <w:spacing w:val="-9"/>
          <w:sz w:val="21"/>
        </w:rPr>
        <w:t> </w:t>
      </w:r>
      <w:r>
        <w:rPr>
          <w:sz w:val="21"/>
        </w:rPr>
        <w:t>ready</w:t>
      </w:r>
      <w:r>
        <w:rPr>
          <w:spacing w:val="-9"/>
          <w:sz w:val="21"/>
        </w:rPr>
        <w:t> </w:t>
      </w:r>
      <w:r>
        <w:rPr>
          <w:sz w:val="21"/>
        </w:rPr>
        <w:t>to</w:t>
      </w:r>
      <w:r>
        <w:rPr>
          <w:spacing w:val="-10"/>
          <w:sz w:val="21"/>
        </w:rPr>
        <w:t> </w:t>
      </w:r>
      <w:r>
        <w:rPr>
          <w:sz w:val="21"/>
        </w:rPr>
        <w:t>learn.</w:t>
      </w:r>
      <w:r>
        <w:rPr>
          <w:spacing w:val="-9"/>
          <w:sz w:val="21"/>
        </w:rPr>
        <w:t> </w:t>
      </w:r>
      <w:r>
        <w:rPr>
          <w:sz w:val="21"/>
        </w:rPr>
        <w:t>The</w:t>
      </w:r>
      <w:r>
        <w:rPr>
          <w:spacing w:val="-9"/>
          <w:sz w:val="21"/>
        </w:rPr>
        <w:t> </w:t>
      </w:r>
      <w:r>
        <w:rPr>
          <w:sz w:val="21"/>
        </w:rPr>
        <w:t>Department</w:t>
      </w:r>
      <w:r>
        <w:rPr>
          <w:spacing w:val="-9"/>
          <w:sz w:val="21"/>
        </w:rPr>
        <w:t> </w:t>
      </w:r>
      <w:r>
        <w:rPr>
          <w:sz w:val="21"/>
        </w:rPr>
        <w:t>and</w:t>
      </w:r>
      <w:r>
        <w:rPr>
          <w:spacing w:val="-9"/>
          <w:sz w:val="21"/>
        </w:rPr>
        <w:t> </w:t>
      </w:r>
      <w:r>
        <w:rPr>
          <w:sz w:val="21"/>
        </w:rPr>
        <w:t>Commission</w:t>
      </w:r>
      <w:r>
        <w:rPr>
          <w:spacing w:val="-9"/>
          <w:sz w:val="21"/>
        </w:rPr>
        <w:t> </w:t>
      </w:r>
      <w:r>
        <w:rPr>
          <w:sz w:val="21"/>
        </w:rPr>
        <w:t>are</w:t>
      </w:r>
      <w:r>
        <w:rPr>
          <w:spacing w:val="-8"/>
          <w:sz w:val="21"/>
        </w:rPr>
        <w:t> </w:t>
      </w:r>
      <w:r>
        <w:rPr>
          <w:sz w:val="21"/>
        </w:rPr>
        <w:t>committed</w:t>
      </w:r>
      <w:r>
        <w:rPr>
          <w:spacing w:val="-9"/>
          <w:sz w:val="21"/>
        </w:rPr>
        <w:t> </w:t>
      </w:r>
      <w:r>
        <w:rPr>
          <w:sz w:val="21"/>
        </w:rPr>
        <w:t>to</w:t>
      </w:r>
      <w:r>
        <w:rPr>
          <w:spacing w:val="-11"/>
          <w:sz w:val="21"/>
        </w:rPr>
        <w:t> </w:t>
      </w:r>
      <w:r>
        <w:rPr>
          <w:sz w:val="21"/>
        </w:rPr>
        <w:t>continuing</w:t>
      </w:r>
      <w:r>
        <w:rPr>
          <w:spacing w:val="-10"/>
          <w:sz w:val="21"/>
        </w:rPr>
        <w:t> </w:t>
      </w:r>
      <w:r>
        <w:rPr>
          <w:sz w:val="21"/>
        </w:rPr>
        <w:t>this</w:t>
      </w:r>
      <w:r>
        <w:rPr>
          <w:spacing w:val="-10"/>
          <w:sz w:val="21"/>
        </w:rPr>
        <w:t> </w:t>
      </w:r>
      <w:r>
        <w:rPr>
          <w:sz w:val="21"/>
        </w:rPr>
        <w:t>work</w:t>
      </w:r>
      <w:r>
        <w:rPr>
          <w:spacing w:val="-9"/>
          <w:sz w:val="21"/>
        </w:rPr>
        <w:t> </w:t>
      </w:r>
      <w:r>
        <w:rPr>
          <w:sz w:val="21"/>
        </w:rPr>
        <w:t>and periodically meeting and presenting it to the Board, as outlined in the 2013 Memorandum of </w:t>
      </w:r>
      <w:r>
        <w:rPr>
          <w:spacing w:val="-2"/>
          <w:sz w:val="21"/>
        </w:rPr>
        <w:t>Understanding.</w:t>
      </w:r>
    </w:p>
    <w:p>
      <w:pPr>
        <w:spacing w:before="238"/>
        <w:ind w:left="624" w:right="0" w:firstLine="0"/>
        <w:jc w:val="both"/>
        <w:rPr>
          <w:sz w:val="28"/>
        </w:rPr>
      </w:pPr>
      <w:r>
        <w:rPr>
          <w:color w:val="365F91"/>
          <w:sz w:val="28"/>
        </w:rPr>
        <w:t>FY</w:t>
      </w:r>
      <w:r>
        <w:rPr>
          <w:color w:val="365F91"/>
          <w:spacing w:val="-9"/>
          <w:sz w:val="28"/>
        </w:rPr>
        <w:t> </w:t>
      </w:r>
      <w:r>
        <w:rPr>
          <w:color w:val="365F91"/>
          <w:sz w:val="28"/>
        </w:rPr>
        <w:t>2025</w:t>
      </w:r>
      <w:r>
        <w:rPr>
          <w:color w:val="365F91"/>
          <w:spacing w:val="-9"/>
          <w:sz w:val="28"/>
        </w:rPr>
        <w:t> </w:t>
      </w:r>
      <w:r>
        <w:rPr>
          <w:color w:val="365F91"/>
          <w:sz w:val="28"/>
        </w:rPr>
        <w:t>Expanded</w:t>
      </w:r>
      <w:r>
        <w:rPr>
          <w:color w:val="365F91"/>
          <w:spacing w:val="-9"/>
          <w:sz w:val="28"/>
        </w:rPr>
        <w:t> </w:t>
      </w:r>
      <w:r>
        <w:rPr>
          <w:color w:val="365F91"/>
          <w:sz w:val="28"/>
        </w:rPr>
        <w:t>DESE</w:t>
      </w:r>
      <w:r>
        <w:rPr>
          <w:color w:val="365F91"/>
          <w:spacing w:val="-9"/>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691776">
                <wp:simplePos x="0" y="0"/>
                <wp:positionH relativeFrom="page">
                  <wp:posOffset>986789</wp:posOffset>
                </wp:positionH>
                <wp:positionV relativeFrom="paragraph">
                  <wp:posOffset>45408</wp:posOffset>
                </wp:positionV>
                <wp:extent cx="5799455" cy="6350"/>
                <wp:effectExtent l="0" t="0" r="0" b="0"/>
                <wp:wrapTopAndBottom/>
                <wp:docPr id="542" name="Graphic 542"/>
                <wp:cNvGraphicFramePr>
                  <a:graphicFrameLocks/>
                </wp:cNvGraphicFramePr>
                <a:graphic>
                  <a:graphicData uri="http://schemas.microsoft.com/office/word/2010/wordprocessingShape">
                    <wps:wsp>
                      <wps:cNvPr id="542" name="Graphic 542"/>
                      <wps:cNvSpPr/>
                      <wps:spPr>
                        <a:xfrm>
                          <a:off x="0" y="0"/>
                          <a:ext cx="5799455" cy="6350"/>
                        </a:xfrm>
                        <a:custGeom>
                          <a:avLst/>
                          <a:gdLst/>
                          <a:ahLst/>
                          <a:cxnLst/>
                          <a:rect l="l" t="t" r="r" b="b"/>
                          <a:pathLst>
                            <a:path w="5799455" h="6350">
                              <a:moveTo>
                                <a:pt x="5798832" y="0"/>
                              </a:moveTo>
                              <a:lnTo>
                                <a:pt x="0" y="0"/>
                              </a:lnTo>
                              <a:lnTo>
                                <a:pt x="0" y="6095"/>
                              </a:lnTo>
                              <a:lnTo>
                                <a:pt x="5798832" y="6095"/>
                              </a:lnTo>
                              <a:lnTo>
                                <a:pt x="57988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7.699997pt;margin-top:3.575469pt;width:456.601pt;height:.48pt;mso-position-horizontal-relative:page;mso-position-vertical-relative:paragraph;z-index:-15624704;mso-wrap-distance-left:0;mso-wrap-distance-right:0" id="docshape439" filled="true" fillcolor="#4f81bc" stroked="false">
                <v:fill type="solid"/>
                <w10:wrap type="topAndBottom"/>
              </v:rect>
            </w:pict>
          </mc:Fallback>
        </mc:AlternateContent>
      </w:r>
    </w:p>
    <w:p>
      <w:pPr>
        <w:pStyle w:val="ListParagraph"/>
        <w:numPr>
          <w:ilvl w:val="0"/>
          <w:numId w:val="33"/>
        </w:numPr>
        <w:tabs>
          <w:tab w:pos="623" w:val="left" w:leader="none"/>
        </w:tabs>
        <w:spacing w:line="276" w:lineRule="auto" w:before="241" w:after="0"/>
        <w:ind w:left="623" w:right="481" w:hanging="360"/>
        <w:jc w:val="left"/>
        <w:rPr>
          <w:b/>
          <w:sz w:val="21"/>
        </w:rPr>
      </w:pPr>
      <w:r>
        <w:rPr>
          <w:b/>
          <w:sz w:val="21"/>
        </w:rPr>
        <w:t>Continue collaboration with the Commission to jointly administer the Safe Schools Program for LGBTQ </w:t>
      </w:r>
      <w:r>
        <w:rPr>
          <w:b/>
          <w:spacing w:val="-2"/>
          <w:sz w:val="21"/>
        </w:rPr>
        <w:t>Students.</w:t>
      </w:r>
    </w:p>
    <w:p>
      <w:pPr>
        <w:spacing w:line="276" w:lineRule="auto" w:before="240"/>
        <w:ind w:left="623" w:right="480" w:firstLine="0"/>
        <w:jc w:val="both"/>
        <w:rPr>
          <w:sz w:val="21"/>
        </w:rPr>
      </w:pPr>
      <w:r>
        <w:rPr>
          <w:sz w:val="21"/>
        </w:rPr>
        <w:t>LGBTQ students and families need safe and supportive learning environments, both in and out of the classroom. They may have unique needs based on race, ethnicity, age, disability, trauma experiences, and more. By leveraging the resources of the Safe Schools Program for LGBTQ Students, DESE is helping to address</w:t>
      </w:r>
      <w:r>
        <w:rPr>
          <w:spacing w:val="-7"/>
          <w:sz w:val="21"/>
        </w:rPr>
        <w:t> </w:t>
      </w:r>
      <w:r>
        <w:rPr>
          <w:sz w:val="21"/>
        </w:rPr>
        <w:t>these</w:t>
      </w:r>
      <w:r>
        <w:rPr>
          <w:spacing w:val="-5"/>
          <w:sz w:val="21"/>
        </w:rPr>
        <w:t> </w:t>
      </w:r>
      <w:r>
        <w:rPr>
          <w:sz w:val="21"/>
        </w:rPr>
        <w:t>needs</w:t>
      </w:r>
      <w:r>
        <w:rPr>
          <w:spacing w:val="-7"/>
          <w:sz w:val="21"/>
        </w:rPr>
        <w:t> </w:t>
      </w:r>
      <w:r>
        <w:rPr>
          <w:sz w:val="21"/>
        </w:rPr>
        <w:t>by</w:t>
      </w:r>
      <w:r>
        <w:rPr>
          <w:spacing w:val="-7"/>
          <w:sz w:val="21"/>
        </w:rPr>
        <w:t> </w:t>
      </w:r>
      <w:r>
        <w:rPr>
          <w:sz w:val="21"/>
        </w:rPr>
        <w:t>incorporating</w:t>
      </w:r>
      <w:r>
        <w:rPr>
          <w:spacing w:val="-7"/>
          <w:sz w:val="21"/>
        </w:rPr>
        <w:t> </w:t>
      </w:r>
      <w:r>
        <w:rPr>
          <w:sz w:val="21"/>
        </w:rPr>
        <w:t>LGBTQ</w:t>
      </w:r>
      <w:r>
        <w:rPr>
          <w:spacing w:val="-6"/>
          <w:sz w:val="21"/>
        </w:rPr>
        <w:t> </w:t>
      </w:r>
      <w:r>
        <w:rPr>
          <w:sz w:val="21"/>
        </w:rPr>
        <w:t>topics</w:t>
      </w:r>
      <w:r>
        <w:rPr>
          <w:spacing w:val="-7"/>
          <w:sz w:val="21"/>
        </w:rPr>
        <w:t> </w:t>
      </w:r>
      <w:r>
        <w:rPr>
          <w:sz w:val="21"/>
        </w:rPr>
        <w:t>in</w:t>
      </w:r>
      <w:r>
        <w:rPr>
          <w:spacing w:val="-7"/>
          <w:sz w:val="21"/>
        </w:rPr>
        <w:t> </w:t>
      </w:r>
      <w:r>
        <w:rPr>
          <w:sz w:val="21"/>
        </w:rPr>
        <w:t>statewide</w:t>
      </w:r>
      <w:r>
        <w:rPr>
          <w:spacing w:val="-7"/>
          <w:sz w:val="21"/>
        </w:rPr>
        <w:t> </w:t>
      </w:r>
      <w:r>
        <w:rPr>
          <w:sz w:val="21"/>
        </w:rPr>
        <w:t>and</w:t>
      </w:r>
      <w:r>
        <w:rPr>
          <w:spacing w:val="-7"/>
          <w:sz w:val="21"/>
        </w:rPr>
        <w:t> </w:t>
      </w:r>
      <w:r>
        <w:rPr>
          <w:sz w:val="21"/>
        </w:rPr>
        <w:t>district</w:t>
      </w:r>
      <w:r>
        <w:rPr>
          <w:spacing w:val="-6"/>
          <w:sz w:val="21"/>
        </w:rPr>
        <w:t> </w:t>
      </w:r>
      <w:r>
        <w:rPr>
          <w:sz w:val="21"/>
        </w:rPr>
        <w:t>and</w:t>
      </w:r>
      <w:r>
        <w:rPr>
          <w:spacing w:val="-7"/>
          <w:sz w:val="21"/>
        </w:rPr>
        <w:t> </w:t>
      </w:r>
      <w:r>
        <w:rPr>
          <w:sz w:val="21"/>
        </w:rPr>
        <w:t>school-based</w:t>
      </w:r>
      <w:r>
        <w:rPr>
          <w:spacing w:val="-7"/>
          <w:sz w:val="21"/>
        </w:rPr>
        <w:t> </w:t>
      </w:r>
      <w:r>
        <w:rPr>
          <w:sz w:val="21"/>
        </w:rPr>
        <w:t>professional</w:t>
      </w:r>
    </w:p>
    <w:p>
      <w:pPr>
        <w:spacing w:after="0" w:line="276" w:lineRule="auto"/>
        <w:jc w:val="both"/>
        <w:rPr>
          <w:sz w:val="21"/>
        </w:rPr>
        <w:sectPr>
          <w:pgSz w:w="12240" w:h="15840"/>
          <w:pgMar w:header="763" w:footer="1041" w:top="960" w:bottom="1240" w:left="960" w:right="1100"/>
        </w:sectPr>
      </w:pPr>
    </w:p>
    <w:p>
      <w:pPr>
        <w:spacing w:line="276" w:lineRule="auto" w:before="250"/>
        <w:ind w:left="624" w:right="481" w:firstLine="0"/>
        <w:jc w:val="both"/>
        <w:rPr>
          <w:sz w:val="21"/>
        </w:rPr>
      </w:pPr>
      <w:r>
        <w:rPr>
          <w:sz w:val="21"/>
        </w:rPr>
        <w:t>development</w:t>
      </w:r>
      <w:r>
        <w:rPr>
          <w:spacing w:val="-7"/>
          <w:sz w:val="21"/>
        </w:rPr>
        <w:t> </w:t>
      </w:r>
      <w:r>
        <w:rPr>
          <w:sz w:val="21"/>
        </w:rPr>
        <w:t>and</w:t>
      </w:r>
      <w:r>
        <w:rPr>
          <w:spacing w:val="-6"/>
          <w:sz w:val="21"/>
        </w:rPr>
        <w:t> </w:t>
      </w:r>
      <w:r>
        <w:rPr>
          <w:sz w:val="21"/>
        </w:rPr>
        <w:t>content</w:t>
      </w:r>
      <w:r>
        <w:rPr>
          <w:spacing w:val="-6"/>
          <w:sz w:val="21"/>
        </w:rPr>
        <w:t> </w:t>
      </w:r>
      <w:r>
        <w:rPr>
          <w:sz w:val="21"/>
        </w:rPr>
        <w:t>design.</w:t>
      </w:r>
      <w:r>
        <w:rPr>
          <w:spacing w:val="-7"/>
          <w:sz w:val="21"/>
        </w:rPr>
        <w:t> </w:t>
      </w:r>
      <w:r>
        <w:rPr>
          <w:sz w:val="21"/>
        </w:rPr>
        <w:t>The</w:t>
      </w:r>
      <w:r>
        <w:rPr>
          <w:spacing w:val="-6"/>
          <w:sz w:val="21"/>
        </w:rPr>
        <w:t> </w:t>
      </w:r>
      <w:r>
        <w:rPr>
          <w:sz w:val="21"/>
        </w:rPr>
        <w:t>Commission</w:t>
      </w:r>
      <w:r>
        <w:rPr>
          <w:spacing w:val="-6"/>
          <w:sz w:val="21"/>
        </w:rPr>
        <w:t> </w:t>
      </w:r>
      <w:r>
        <w:rPr>
          <w:sz w:val="21"/>
        </w:rPr>
        <w:t>recommends</w:t>
      </w:r>
      <w:r>
        <w:rPr>
          <w:spacing w:val="-7"/>
          <w:sz w:val="21"/>
        </w:rPr>
        <w:t> </w:t>
      </w:r>
      <w:r>
        <w:rPr>
          <w:sz w:val="21"/>
        </w:rPr>
        <w:t>that</w:t>
      </w:r>
      <w:r>
        <w:rPr>
          <w:spacing w:val="-6"/>
          <w:sz w:val="21"/>
        </w:rPr>
        <w:t> </w:t>
      </w:r>
      <w:r>
        <w:rPr>
          <w:sz w:val="21"/>
        </w:rPr>
        <w:t>DESE</w:t>
      </w:r>
      <w:r>
        <w:rPr>
          <w:spacing w:val="-7"/>
          <w:sz w:val="21"/>
        </w:rPr>
        <w:t> </w:t>
      </w:r>
      <w:r>
        <w:rPr>
          <w:sz w:val="21"/>
        </w:rPr>
        <w:t>continue</w:t>
      </w:r>
      <w:r>
        <w:rPr>
          <w:spacing w:val="-6"/>
          <w:sz w:val="21"/>
        </w:rPr>
        <w:t> </w:t>
      </w:r>
      <w:r>
        <w:rPr>
          <w:sz w:val="21"/>
        </w:rPr>
        <w:t>to</w:t>
      </w:r>
      <w:r>
        <w:rPr>
          <w:spacing w:val="-7"/>
          <w:sz w:val="21"/>
        </w:rPr>
        <w:t> </w:t>
      </w:r>
      <w:r>
        <w:rPr>
          <w:sz w:val="21"/>
        </w:rPr>
        <w:t>integrate</w:t>
      </w:r>
      <w:r>
        <w:rPr>
          <w:spacing w:val="-6"/>
          <w:sz w:val="21"/>
        </w:rPr>
        <w:t> </w:t>
      </w:r>
      <w:r>
        <w:rPr>
          <w:sz w:val="21"/>
        </w:rPr>
        <w:t>resources and personnel from the Safe Schools Program for LGBTQ Students into programmatic work in these areas to maximize the opportunities provided for LGBTQ students and families.</w:t>
      </w:r>
    </w:p>
    <w:p>
      <w:pPr>
        <w:spacing w:line="276" w:lineRule="auto" w:before="240"/>
        <w:ind w:left="623" w:right="478" w:firstLine="0"/>
        <w:jc w:val="both"/>
        <w:rPr>
          <w:sz w:val="21"/>
        </w:rPr>
      </w:pPr>
      <w:r>
        <w:rPr>
          <w:sz w:val="21"/>
        </w:rPr>
        <w:t>The staff of</w:t>
      </w:r>
      <w:r>
        <w:rPr>
          <w:spacing w:val="-1"/>
          <w:sz w:val="21"/>
        </w:rPr>
        <w:t> </w:t>
      </w:r>
      <w:r>
        <w:rPr>
          <w:sz w:val="21"/>
        </w:rPr>
        <w:t>the Safe Schools Program boasts a</w:t>
      </w:r>
      <w:r>
        <w:rPr>
          <w:spacing w:val="-1"/>
          <w:sz w:val="21"/>
        </w:rPr>
        <w:t> </w:t>
      </w:r>
      <w:r>
        <w:rPr>
          <w:sz w:val="21"/>
        </w:rPr>
        <w:t>diverse array of</w:t>
      </w:r>
      <w:r>
        <w:rPr>
          <w:spacing w:val="-1"/>
          <w:sz w:val="21"/>
        </w:rPr>
        <w:t> </w:t>
      </w:r>
      <w:r>
        <w:rPr>
          <w:sz w:val="21"/>
        </w:rPr>
        <w:t>knowledge and</w:t>
      </w:r>
      <w:r>
        <w:rPr>
          <w:spacing w:val="-1"/>
          <w:sz w:val="21"/>
        </w:rPr>
        <w:t> </w:t>
      </w:r>
      <w:r>
        <w:rPr>
          <w:sz w:val="21"/>
        </w:rPr>
        <w:t>skills, crucial</w:t>
      </w:r>
      <w:r>
        <w:rPr>
          <w:spacing w:val="-1"/>
          <w:sz w:val="21"/>
        </w:rPr>
        <w:t> </w:t>
      </w:r>
      <w:r>
        <w:rPr>
          <w:sz w:val="21"/>
        </w:rPr>
        <w:t>for addressing the</w:t>
      </w:r>
      <w:r>
        <w:rPr>
          <w:spacing w:val="-3"/>
          <w:sz w:val="21"/>
        </w:rPr>
        <w:t> </w:t>
      </w:r>
      <w:r>
        <w:rPr>
          <w:sz w:val="21"/>
        </w:rPr>
        <w:t>evolving</w:t>
      </w:r>
      <w:r>
        <w:rPr>
          <w:spacing w:val="-4"/>
          <w:sz w:val="21"/>
        </w:rPr>
        <w:t> </w:t>
      </w:r>
      <w:r>
        <w:rPr>
          <w:sz w:val="21"/>
        </w:rPr>
        <w:t>education</w:t>
      </w:r>
      <w:r>
        <w:rPr>
          <w:spacing w:val="-3"/>
          <w:sz w:val="21"/>
        </w:rPr>
        <w:t> </w:t>
      </w:r>
      <w:r>
        <w:rPr>
          <w:sz w:val="21"/>
        </w:rPr>
        <w:t>landscape.</w:t>
      </w:r>
      <w:r>
        <w:rPr>
          <w:spacing w:val="-3"/>
          <w:sz w:val="21"/>
        </w:rPr>
        <w:t> </w:t>
      </w:r>
      <w:r>
        <w:rPr>
          <w:sz w:val="21"/>
        </w:rPr>
        <w:t>Led</w:t>
      </w:r>
      <w:r>
        <w:rPr>
          <w:spacing w:val="-3"/>
          <w:sz w:val="21"/>
        </w:rPr>
        <w:t> </w:t>
      </w:r>
      <w:r>
        <w:rPr>
          <w:sz w:val="21"/>
        </w:rPr>
        <w:t>by</w:t>
      </w:r>
      <w:r>
        <w:rPr>
          <w:spacing w:val="-5"/>
          <w:sz w:val="21"/>
        </w:rPr>
        <w:t> </w:t>
      </w:r>
      <w:r>
        <w:rPr>
          <w:sz w:val="21"/>
        </w:rPr>
        <w:t>Director</w:t>
      </w:r>
      <w:r>
        <w:rPr>
          <w:spacing w:val="-3"/>
          <w:sz w:val="21"/>
        </w:rPr>
        <w:t> </w:t>
      </w:r>
      <w:r>
        <w:rPr>
          <w:sz w:val="21"/>
        </w:rPr>
        <w:t>Jason</w:t>
      </w:r>
      <w:r>
        <w:rPr>
          <w:spacing w:val="-3"/>
          <w:sz w:val="21"/>
        </w:rPr>
        <w:t> </w:t>
      </w:r>
      <w:r>
        <w:rPr>
          <w:sz w:val="21"/>
        </w:rPr>
        <w:t>Wheeler,</w:t>
      </w:r>
      <w:r>
        <w:rPr>
          <w:spacing w:val="-3"/>
          <w:sz w:val="21"/>
        </w:rPr>
        <w:t> </w:t>
      </w:r>
      <w:r>
        <w:rPr>
          <w:sz w:val="21"/>
        </w:rPr>
        <w:t>who</w:t>
      </w:r>
      <w:r>
        <w:rPr>
          <w:spacing w:val="-3"/>
          <w:sz w:val="21"/>
        </w:rPr>
        <w:t> </w:t>
      </w:r>
      <w:r>
        <w:rPr>
          <w:sz w:val="21"/>
        </w:rPr>
        <w:t>was</w:t>
      </w:r>
      <w:r>
        <w:rPr>
          <w:spacing w:val="-4"/>
          <w:sz w:val="21"/>
        </w:rPr>
        <w:t> </w:t>
      </w:r>
      <w:r>
        <w:rPr>
          <w:sz w:val="21"/>
        </w:rPr>
        <w:t>hired</w:t>
      </w:r>
      <w:r>
        <w:rPr>
          <w:spacing w:val="-3"/>
          <w:sz w:val="21"/>
        </w:rPr>
        <w:t> </w:t>
      </w:r>
      <w:r>
        <w:rPr>
          <w:sz w:val="21"/>
        </w:rPr>
        <w:t>in</w:t>
      </w:r>
      <w:r>
        <w:rPr>
          <w:spacing w:val="-3"/>
          <w:sz w:val="21"/>
        </w:rPr>
        <w:t> </w:t>
      </w:r>
      <w:r>
        <w:rPr>
          <w:sz w:val="21"/>
        </w:rPr>
        <w:t>August</w:t>
      </w:r>
      <w:r>
        <w:rPr>
          <w:spacing w:val="-3"/>
          <w:sz w:val="21"/>
        </w:rPr>
        <w:t> </w:t>
      </w:r>
      <w:r>
        <w:rPr>
          <w:sz w:val="21"/>
        </w:rPr>
        <w:t>2024,</w:t>
      </w:r>
      <w:r>
        <w:rPr>
          <w:spacing w:val="-4"/>
          <w:sz w:val="21"/>
        </w:rPr>
        <w:t> </w:t>
      </w:r>
      <w:r>
        <w:rPr>
          <w:sz w:val="21"/>
        </w:rPr>
        <w:t>the</w:t>
      </w:r>
      <w:r>
        <w:rPr>
          <w:spacing w:val="-3"/>
          <w:sz w:val="21"/>
        </w:rPr>
        <w:t> </w:t>
      </w:r>
      <w:r>
        <w:rPr>
          <w:sz w:val="21"/>
        </w:rPr>
        <w:t>team includes</w:t>
      </w:r>
      <w:r>
        <w:rPr>
          <w:spacing w:val="-8"/>
          <w:sz w:val="21"/>
        </w:rPr>
        <w:t> </w:t>
      </w:r>
      <w:r>
        <w:rPr>
          <w:sz w:val="21"/>
        </w:rPr>
        <w:t>Lead</w:t>
      </w:r>
      <w:r>
        <w:rPr>
          <w:spacing w:val="-8"/>
          <w:sz w:val="21"/>
        </w:rPr>
        <w:t> </w:t>
      </w:r>
      <w:r>
        <w:rPr>
          <w:sz w:val="21"/>
        </w:rPr>
        <w:t>Trainer</w:t>
      </w:r>
      <w:r>
        <w:rPr>
          <w:spacing w:val="-8"/>
          <w:sz w:val="21"/>
        </w:rPr>
        <w:t> </w:t>
      </w:r>
      <w:r>
        <w:rPr>
          <w:sz w:val="21"/>
        </w:rPr>
        <w:t>Landon</w:t>
      </w:r>
      <w:r>
        <w:rPr>
          <w:spacing w:val="-8"/>
          <w:sz w:val="21"/>
        </w:rPr>
        <w:t> </w:t>
      </w:r>
      <w:r>
        <w:rPr>
          <w:sz w:val="21"/>
        </w:rPr>
        <w:t>Callahan</w:t>
      </w:r>
      <w:r>
        <w:rPr>
          <w:spacing w:val="-8"/>
          <w:sz w:val="21"/>
        </w:rPr>
        <w:t> </w:t>
      </w:r>
      <w:r>
        <w:rPr>
          <w:sz w:val="21"/>
        </w:rPr>
        <w:t>and</w:t>
      </w:r>
      <w:r>
        <w:rPr>
          <w:spacing w:val="-8"/>
          <w:sz w:val="21"/>
        </w:rPr>
        <w:t> </w:t>
      </w:r>
      <w:r>
        <w:rPr>
          <w:sz w:val="21"/>
        </w:rPr>
        <w:t>Youth</w:t>
      </w:r>
      <w:r>
        <w:rPr>
          <w:spacing w:val="-8"/>
          <w:sz w:val="21"/>
        </w:rPr>
        <w:t> </w:t>
      </w:r>
      <w:r>
        <w:rPr>
          <w:sz w:val="21"/>
        </w:rPr>
        <w:t>Programs</w:t>
      </w:r>
      <w:r>
        <w:rPr>
          <w:spacing w:val="-8"/>
          <w:sz w:val="21"/>
        </w:rPr>
        <w:t> </w:t>
      </w:r>
      <w:r>
        <w:rPr>
          <w:sz w:val="21"/>
        </w:rPr>
        <w:t>Coordinator</w:t>
      </w:r>
      <w:r>
        <w:rPr>
          <w:spacing w:val="-8"/>
          <w:sz w:val="21"/>
        </w:rPr>
        <w:t> </w:t>
      </w:r>
      <w:r>
        <w:rPr>
          <w:sz w:val="21"/>
        </w:rPr>
        <w:t>Gabriel</w:t>
      </w:r>
      <w:r>
        <w:rPr>
          <w:spacing w:val="-8"/>
          <w:sz w:val="21"/>
        </w:rPr>
        <w:t> </w:t>
      </w:r>
      <w:r>
        <w:rPr>
          <w:sz w:val="21"/>
        </w:rPr>
        <w:t>Rivas</w:t>
      </w:r>
      <w:r>
        <w:rPr>
          <w:spacing w:val="-9"/>
          <w:sz w:val="21"/>
        </w:rPr>
        <w:t> </w:t>
      </w:r>
      <w:r>
        <w:rPr>
          <w:sz w:val="21"/>
        </w:rPr>
        <w:t>Orellana.</w:t>
      </w:r>
      <w:r>
        <w:rPr>
          <w:spacing w:val="-8"/>
          <w:sz w:val="21"/>
        </w:rPr>
        <w:t> </w:t>
      </w:r>
      <w:r>
        <w:rPr>
          <w:sz w:val="21"/>
        </w:rPr>
        <w:t>Under</w:t>
      </w:r>
      <w:r>
        <w:rPr>
          <w:spacing w:val="-8"/>
          <w:sz w:val="21"/>
        </w:rPr>
        <w:t> </w:t>
      </w:r>
      <w:r>
        <w:rPr>
          <w:sz w:val="21"/>
        </w:rPr>
        <w:t>their leadership, the</w:t>
      </w:r>
      <w:r>
        <w:rPr>
          <w:spacing w:val="-1"/>
          <w:sz w:val="21"/>
        </w:rPr>
        <w:t> </w:t>
      </w:r>
      <w:r>
        <w:rPr>
          <w:sz w:val="21"/>
        </w:rPr>
        <w:t>program possesses</w:t>
      </w:r>
      <w:r>
        <w:rPr>
          <w:spacing w:val="-1"/>
          <w:sz w:val="21"/>
        </w:rPr>
        <w:t> </w:t>
      </w:r>
      <w:r>
        <w:rPr>
          <w:sz w:val="21"/>
        </w:rPr>
        <w:t>a strong</w:t>
      </w:r>
      <w:r>
        <w:rPr>
          <w:spacing w:val="-1"/>
          <w:sz w:val="21"/>
        </w:rPr>
        <w:t> </w:t>
      </w:r>
      <w:r>
        <w:rPr>
          <w:sz w:val="21"/>
        </w:rPr>
        <w:t>capacity</w:t>
      </w:r>
      <w:r>
        <w:rPr>
          <w:spacing w:val="-1"/>
          <w:sz w:val="21"/>
        </w:rPr>
        <w:t> </w:t>
      </w:r>
      <w:r>
        <w:rPr>
          <w:sz w:val="21"/>
        </w:rPr>
        <w:t>to</w:t>
      </w:r>
      <w:r>
        <w:rPr>
          <w:spacing w:val="-2"/>
          <w:sz w:val="21"/>
        </w:rPr>
        <w:t> </w:t>
      </w:r>
      <w:r>
        <w:rPr>
          <w:sz w:val="21"/>
        </w:rPr>
        <w:t>navigate</w:t>
      </w:r>
      <w:r>
        <w:rPr>
          <w:spacing w:val="-2"/>
          <w:sz w:val="21"/>
        </w:rPr>
        <w:t> </w:t>
      </w:r>
      <w:r>
        <w:rPr>
          <w:sz w:val="21"/>
        </w:rPr>
        <w:t>the</w:t>
      </w:r>
      <w:r>
        <w:rPr>
          <w:spacing w:val="-1"/>
          <w:sz w:val="21"/>
        </w:rPr>
        <w:t> </w:t>
      </w:r>
      <w:r>
        <w:rPr>
          <w:sz w:val="21"/>
        </w:rPr>
        <w:t>increasing</w:t>
      </w:r>
      <w:r>
        <w:rPr>
          <w:spacing w:val="-1"/>
          <w:sz w:val="21"/>
        </w:rPr>
        <w:t> </w:t>
      </w:r>
      <w:r>
        <w:rPr>
          <w:sz w:val="21"/>
        </w:rPr>
        <w:t>external</w:t>
      </w:r>
      <w:r>
        <w:rPr>
          <w:spacing w:val="-1"/>
          <w:sz w:val="21"/>
        </w:rPr>
        <w:t> </w:t>
      </w:r>
      <w:r>
        <w:rPr>
          <w:sz w:val="21"/>
        </w:rPr>
        <w:t>challenges</w:t>
      </w:r>
      <w:r>
        <w:rPr>
          <w:spacing w:val="-1"/>
          <w:sz w:val="21"/>
        </w:rPr>
        <w:t> </w:t>
      </w:r>
      <w:r>
        <w:rPr>
          <w:sz w:val="21"/>
        </w:rPr>
        <w:t>related to LGBTQ+ and race-related content. Their combined expertise ensures the implementation of effective strategies and support systems, fostering safer and more inclusive school environments for all students.</w:t>
      </w:r>
    </w:p>
    <w:p>
      <w:pPr>
        <w:pStyle w:val="ListParagraph"/>
        <w:numPr>
          <w:ilvl w:val="0"/>
          <w:numId w:val="33"/>
        </w:numPr>
        <w:tabs>
          <w:tab w:pos="623" w:val="left" w:leader="none"/>
        </w:tabs>
        <w:spacing w:line="240" w:lineRule="auto" w:before="240" w:after="0"/>
        <w:ind w:left="623" w:right="0" w:hanging="359"/>
        <w:jc w:val="left"/>
        <w:rPr>
          <w:b/>
          <w:sz w:val="21"/>
        </w:rPr>
      </w:pPr>
      <w:r>
        <w:rPr>
          <w:b/>
          <w:sz w:val="21"/>
        </w:rPr>
        <w:t>Explore</w:t>
      </w:r>
      <w:r>
        <w:rPr>
          <w:b/>
          <w:spacing w:val="-5"/>
          <w:sz w:val="21"/>
        </w:rPr>
        <w:t> </w:t>
      </w:r>
      <w:r>
        <w:rPr>
          <w:b/>
          <w:sz w:val="21"/>
        </w:rPr>
        <w:t>increasing</w:t>
      </w:r>
      <w:r>
        <w:rPr>
          <w:b/>
          <w:spacing w:val="-2"/>
          <w:sz w:val="21"/>
        </w:rPr>
        <w:t> </w:t>
      </w:r>
      <w:r>
        <w:rPr>
          <w:b/>
          <w:sz w:val="21"/>
        </w:rPr>
        <w:t>data</w:t>
      </w:r>
      <w:r>
        <w:rPr>
          <w:b/>
          <w:spacing w:val="-2"/>
          <w:sz w:val="21"/>
        </w:rPr>
        <w:t> </w:t>
      </w:r>
      <w:r>
        <w:rPr>
          <w:b/>
          <w:sz w:val="21"/>
        </w:rPr>
        <w:t>on</w:t>
      </w:r>
      <w:r>
        <w:rPr>
          <w:b/>
          <w:spacing w:val="-3"/>
          <w:sz w:val="21"/>
        </w:rPr>
        <w:t> </w:t>
      </w:r>
      <w:r>
        <w:rPr>
          <w:b/>
          <w:sz w:val="21"/>
        </w:rPr>
        <w:t>sexual</w:t>
      </w:r>
      <w:r>
        <w:rPr>
          <w:b/>
          <w:spacing w:val="-3"/>
          <w:sz w:val="21"/>
        </w:rPr>
        <w:t> </w:t>
      </w:r>
      <w:r>
        <w:rPr>
          <w:b/>
          <w:sz w:val="21"/>
        </w:rPr>
        <w:t>orientation,</w:t>
      </w:r>
      <w:r>
        <w:rPr>
          <w:b/>
          <w:spacing w:val="-2"/>
          <w:sz w:val="21"/>
        </w:rPr>
        <w:t> </w:t>
      </w:r>
      <w:r>
        <w:rPr>
          <w:b/>
          <w:sz w:val="21"/>
        </w:rPr>
        <w:t>gender</w:t>
      </w:r>
      <w:r>
        <w:rPr>
          <w:b/>
          <w:spacing w:val="-3"/>
          <w:sz w:val="21"/>
        </w:rPr>
        <w:t> </w:t>
      </w:r>
      <w:r>
        <w:rPr>
          <w:b/>
          <w:sz w:val="21"/>
        </w:rPr>
        <w:t>identity,</w:t>
      </w:r>
      <w:r>
        <w:rPr>
          <w:b/>
          <w:spacing w:val="-2"/>
          <w:sz w:val="21"/>
        </w:rPr>
        <w:t> </w:t>
      </w:r>
      <w:r>
        <w:rPr>
          <w:b/>
          <w:sz w:val="21"/>
        </w:rPr>
        <w:t>and</w:t>
      </w:r>
      <w:r>
        <w:rPr>
          <w:b/>
          <w:spacing w:val="-3"/>
          <w:sz w:val="21"/>
        </w:rPr>
        <w:t> </w:t>
      </w:r>
      <w:r>
        <w:rPr>
          <w:b/>
          <w:spacing w:val="-2"/>
          <w:sz w:val="21"/>
        </w:rPr>
        <w:t>expression.</w:t>
      </w:r>
    </w:p>
    <w:p>
      <w:pPr>
        <w:pStyle w:val="BodyText"/>
        <w:spacing w:before="22"/>
        <w:rPr>
          <w:b/>
          <w:sz w:val="21"/>
        </w:rPr>
      </w:pPr>
    </w:p>
    <w:p>
      <w:pPr>
        <w:spacing w:line="276" w:lineRule="auto" w:before="0"/>
        <w:ind w:left="623" w:right="479" w:firstLine="0"/>
        <w:jc w:val="both"/>
        <w:rPr>
          <w:sz w:val="21"/>
        </w:rPr>
      </w:pPr>
      <w:r>
        <w:rPr>
          <w:sz w:val="21"/>
        </w:rPr>
        <w:t>Massachusetts has made significant progress in collecting data on sexual orientation, gender identity, and gender expression (SOGIE) among students, as included in the MYRBS. The Commission encourages DESE to continue exploring ways to enhance SOGIE data collection to better understand and serve LGBTQ </w:t>
      </w:r>
      <w:r>
        <w:rPr>
          <w:spacing w:val="-2"/>
          <w:sz w:val="21"/>
        </w:rPr>
        <w:t>students.</w:t>
      </w:r>
    </w:p>
    <w:p>
      <w:pPr>
        <w:spacing w:line="276" w:lineRule="auto" w:before="240"/>
        <w:ind w:left="623" w:right="479" w:firstLine="0"/>
        <w:jc w:val="both"/>
        <w:rPr>
          <w:sz w:val="21"/>
        </w:rPr>
      </w:pPr>
      <w:r>
        <w:rPr>
          <w:sz w:val="21"/>
        </w:rPr>
        <w:t>The Commission recommends biannual meetings between its Commission and Safe Schools staff and relevant DESE staff involved in data initiatives that include LGBTQ+ individuals, such as the YRBS, School Health Profiles, and VOCAL data. This will facilitate regular communication on improving measurement methods and proactively addressing changes in terminology that impact data collection. Additionally, the Commission advocates for increased funding to develop more comprehensive elementary and middle school measurements related to mental health and school climate.</w:t>
      </w:r>
    </w:p>
    <w:p>
      <w:pPr>
        <w:pStyle w:val="ListParagraph"/>
        <w:numPr>
          <w:ilvl w:val="0"/>
          <w:numId w:val="33"/>
        </w:numPr>
        <w:tabs>
          <w:tab w:pos="623" w:val="left" w:leader="none"/>
        </w:tabs>
        <w:spacing w:line="240" w:lineRule="auto" w:before="241" w:after="0"/>
        <w:ind w:left="623" w:right="0" w:hanging="359"/>
        <w:jc w:val="left"/>
        <w:rPr>
          <w:b/>
          <w:sz w:val="21"/>
        </w:rPr>
      </w:pPr>
      <w:r>
        <w:rPr>
          <w:b/>
          <w:sz w:val="21"/>
        </w:rPr>
        <w:t>Ensure</w:t>
      </w:r>
      <w:r>
        <w:rPr>
          <w:b/>
          <w:spacing w:val="-2"/>
          <w:sz w:val="21"/>
        </w:rPr>
        <w:t> </w:t>
      </w:r>
      <w:r>
        <w:rPr>
          <w:b/>
          <w:sz w:val="21"/>
        </w:rPr>
        <w:t>LGBTQ</w:t>
      </w:r>
      <w:r>
        <w:rPr>
          <w:b/>
          <w:spacing w:val="-3"/>
          <w:sz w:val="21"/>
        </w:rPr>
        <w:t> </w:t>
      </w:r>
      <w:r>
        <w:rPr>
          <w:b/>
          <w:sz w:val="21"/>
        </w:rPr>
        <w:t>inclusivity</w:t>
      </w:r>
      <w:r>
        <w:rPr>
          <w:b/>
          <w:spacing w:val="-3"/>
          <w:sz w:val="21"/>
        </w:rPr>
        <w:t> </w:t>
      </w:r>
      <w:r>
        <w:rPr>
          <w:b/>
          <w:sz w:val="21"/>
        </w:rPr>
        <w:t>in</w:t>
      </w:r>
      <w:r>
        <w:rPr>
          <w:b/>
          <w:spacing w:val="-3"/>
          <w:sz w:val="21"/>
        </w:rPr>
        <w:t> </w:t>
      </w:r>
      <w:r>
        <w:rPr>
          <w:b/>
          <w:sz w:val="21"/>
        </w:rPr>
        <w:t>curriculum</w:t>
      </w:r>
      <w:r>
        <w:rPr>
          <w:b/>
          <w:spacing w:val="-1"/>
          <w:sz w:val="21"/>
        </w:rPr>
        <w:t> </w:t>
      </w:r>
      <w:r>
        <w:rPr>
          <w:b/>
          <w:spacing w:val="-2"/>
          <w:sz w:val="21"/>
        </w:rPr>
        <w:t>initiatives.</w:t>
      </w:r>
    </w:p>
    <w:p>
      <w:pPr>
        <w:pStyle w:val="BodyText"/>
        <w:spacing w:before="22"/>
        <w:rPr>
          <w:b/>
          <w:sz w:val="21"/>
        </w:rPr>
      </w:pPr>
    </w:p>
    <w:p>
      <w:pPr>
        <w:spacing w:line="276" w:lineRule="auto" w:before="0"/>
        <w:ind w:left="623" w:right="478" w:firstLine="0"/>
        <w:jc w:val="both"/>
        <w:rPr>
          <w:sz w:val="21"/>
        </w:rPr>
      </w:pPr>
      <w:r>
        <w:rPr>
          <w:sz w:val="21"/>
        </w:rPr>
        <w:t>The</w:t>
      </w:r>
      <w:r>
        <w:rPr>
          <w:spacing w:val="-4"/>
          <w:sz w:val="21"/>
        </w:rPr>
        <w:t> </w:t>
      </w:r>
      <w:r>
        <w:rPr>
          <w:sz w:val="21"/>
        </w:rPr>
        <w:t>Commission</w:t>
      </w:r>
      <w:r>
        <w:rPr>
          <w:spacing w:val="-4"/>
          <w:sz w:val="21"/>
        </w:rPr>
        <w:t> </w:t>
      </w:r>
      <w:r>
        <w:rPr>
          <w:sz w:val="21"/>
        </w:rPr>
        <w:t>recommends</w:t>
      </w:r>
      <w:r>
        <w:rPr>
          <w:spacing w:val="-5"/>
          <w:sz w:val="21"/>
        </w:rPr>
        <w:t> </w:t>
      </w:r>
      <w:r>
        <w:rPr>
          <w:sz w:val="21"/>
        </w:rPr>
        <w:t>that</w:t>
      </w:r>
      <w:r>
        <w:rPr>
          <w:spacing w:val="-5"/>
          <w:sz w:val="21"/>
        </w:rPr>
        <w:t> </w:t>
      </w:r>
      <w:r>
        <w:rPr>
          <w:sz w:val="21"/>
        </w:rPr>
        <w:t>DESE</w:t>
      </w:r>
      <w:r>
        <w:rPr>
          <w:spacing w:val="-4"/>
          <w:sz w:val="21"/>
        </w:rPr>
        <w:t> </w:t>
      </w:r>
      <w:r>
        <w:rPr>
          <w:sz w:val="21"/>
        </w:rPr>
        <w:t>ensure</w:t>
      </w:r>
      <w:r>
        <w:rPr>
          <w:spacing w:val="-4"/>
          <w:sz w:val="21"/>
        </w:rPr>
        <w:t> </w:t>
      </w:r>
      <w:r>
        <w:rPr>
          <w:sz w:val="21"/>
        </w:rPr>
        <w:t>all</w:t>
      </w:r>
      <w:r>
        <w:rPr>
          <w:spacing w:val="-4"/>
          <w:sz w:val="21"/>
        </w:rPr>
        <w:t> </w:t>
      </w:r>
      <w:r>
        <w:rPr>
          <w:sz w:val="21"/>
        </w:rPr>
        <w:t>curriculum</w:t>
      </w:r>
      <w:r>
        <w:rPr>
          <w:spacing w:val="-4"/>
          <w:sz w:val="21"/>
        </w:rPr>
        <w:t> </w:t>
      </w:r>
      <w:r>
        <w:rPr>
          <w:sz w:val="21"/>
        </w:rPr>
        <w:t>initiatives,</w:t>
      </w:r>
      <w:r>
        <w:rPr>
          <w:spacing w:val="-3"/>
          <w:sz w:val="21"/>
        </w:rPr>
        <w:t> </w:t>
      </w:r>
      <w:r>
        <w:rPr>
          <w:sz w:val="21"/>
        </w:rPr>
        <w:t>including</w:t>
      </w:r>
      <w:r>
        <w:rPr>
          <w:spacing w:val="-4"/>
          <w:sz w:val="21"/>
        </w:rPr>
        <w:t> </w:t>
      </w:r>
      <w:r>
        <w:rPr>
          <w:sz w:val="21"/>
        </w:rPr>
        <w:t>curriculum</w:t>
      </w:r>
      <w:r>
        <w:rPr>
          <w:spacing w:val="-4"/>
          <w:sz w:val="21"/>
        </w:rPr>
        <w:t> </w:t>
      </w:r>
      <w:r>
        <w:rPr>
          <w:sz w:val="21"/>
        </w:rPr>
        <w:t>frameworks and instructional materials, are inclusive of LGBTQ identities and perspectives. This involves integrating LGBTQ topics and narratives across all subjects and grade levels to create a more inclusive and supportive educational environment for all students. Additionally, schools would benefit from further guidance and resources</w:t>
      </w:r>
      <w:r>
        <w:rPr>
          <w:spacing w:val="-11"/>
          <w:sz w:val="21"/>
        </w:rPr>
        <w:t> </w:t>
      </w:r>
      <w:r>
        <w:rPr>
          <w:sz w:val="21"/>
        </w:rPr>
        <w:t>for</w:t>
      </w:r>
      <w:r>
        <w:rPr>
          <w:spacing w:val="-10"/>
          <w:sz w:val="21"/>
        </w:rPr>
        <w:t> </w:t>
      </w:r>
      <w:r>
        <w:rPr>
          <w:sz w:val="21"/>
        </w:rPr>
        <w:t>educators</w:t>
      </w:r>
      <w:r>
        <w:rPr>
          <w:spacing w:val="-11"/>
          <w:sz w:val="21"/>
        </w:rPr>
        <w:t> </w:t>
      </w:r>
      <w:r>
        <w:rPr>
          <w:sz w:val="21"/>
        </w:rPr>
        <w:t>to</w:t>
      </w:r>
      <w:r>
        <w:rPr>
          <w:spacing w:val="-11"/>
          <w:sz w:val="21"/>
        </w:rPr>
        <w:t> </w:t>
      </w:r>
      <w:r>
        <w:rPr>
          <w:sz w:val="21"/>
        </w:rPr>
        <w:t>help</w:t>
      </w:r>
      <w:r>
        <w:rPr>
          <w:spacing w:val="-10"/>
          <w:sz w:val="21"/>
        </w:rPr>
        <w:t> </w:t>
      </w:r>
      <w:r>
        <w:rPr>
          <w:sz w:val="21"/>
        </w:rPr>
        <w:t>them</w:t>
      </w:r>
      <w:r>
        <w:rPr>
          <w:spacing w:val="-10"/>
          <w:sz w:val="21"/>
        </w:rPr>
        <w:t> </w:t>
      </w:r>
      <w:r>
        <w:rPr>
          <w:sz w:val="21"/>
        </w:rPr>
        <w:t>effectively</w:t>
      </w:r>
      <w:r>
        <w:rPr>
          <w:spacing w:val="-10"/>
          <w:sz w:val="21"/>
        </w:rPr>
        <w:t> </w:t>
      </w:r>
      <w:r>
        <w:rPr>
          <w:sz w:val="21"/>
        </w:rPr>
        <w:t>incorporate</w:t>
      </w:r>
      <w:r>
        <w:rPr>
          <w:spacing w:val="-10"/>
          <w:sz w:val="21"/>
        </w:rPr>
        <w:t> </w:t>
      </w:r>
      <w:r>
        <w:rPr>
          <w:sz w:val="21"/>
        </w:rPr>
        <w:t>LGBTQ</w:t>
      </w:r>
      <w:r>
        <w:rPr>
          <w:spacing w:val="-10"/>
          <w:sz w:val="21"/>
        </w:rPr>
        <w:t> </w:t>
      </w:r>
      <w:r>
        <w:rPr>
          <w:sz w:val="21"/>
        </w:rPr>
        <w:t>inclusivity</w:t>
      </w:r>
      <w:r>
        <w:rPr>
          <w:spacing w:val="-10"/>
          <w:sz w:val="21"/>
        </w:rPr>
        <w:t> </w:t>
      </w:r>
      <w:r>
        <w:rPr>
          <w:sz w:val="21"/>
        </w:rPr>
        <w:t>into</w:t>
      </w:r>
      <w:r>
        <w:rPr>
          <w:spacing w:val="-11"/>
          <w:sz w:val="21"/>
        </w:rPr>
        <w:t> </w:t>
      </w:r>
      <w:r>
        <w:rPr>
          <w:sz w:val="21"/>
        </w:rPr>
        <w:t>their</w:t>
      </w:r>
      <w:r>
        <w:rPr>
          <w:spacing w:val="-10"/>
          <w:sz w:val="21"/>
        </w:rPr>
        <w:t> </w:t>
      </w:r>
      <w:r>
        <w:rPr>
          <w:sz w:val="21"/>
        </w:rPr>
        <w:t>teaching</w:t>
      </w:r>
      <w:r>
        <w:rPr>
          <w:spacing w:val="-11"/>
          <w:sz w:val="21"/>
        </w:rPr>
        <w:t> </w:t>
      </w:r>
      <w:r>
        <w:rPr>
          <w:sz w:val="21"/>
        </w:rPr>
        <w:t>practices.</w:t>
      </w:r>
    </w:p>
    <w:p>
      <w:pPr>
        <w:spacing w:line="276" w:lineRule="auto" w:before="240"/>
        <w:ind w:left="623" w:right="481" w:firstLine="0"/>
        <w:jc w:val="both"/>
        <w:rPr>
          <w:sz w:val="21"/>
        </w:rPr>
      </w:pPr>
      <w:r>
        <w:rPr>
          <w:sz w:val="21"/>
        </w:rPr>
        <w:t>The</w:t>
      </w:r>
      <w:r>
        <w:rPr>
          <w:spacing w:val="-2"/>
          <w:sz w:val="21"/>
        </w:rPr>
        <w:t> </w:t>
      </w:r>
      <w:r>
        <w:rPr>
          <w:sz w:val="21"/>
        </w:rPr>
        <w:t>Commission</w:t>
      </w:r>
      <w:r>
        <w:rPr>
          <w:spacing w:val="-2"/>
          <w:sz w:val="21"/>
        </w:rPr>
        <w:t> </w:t>
      </w:r>
      <w:r>
        <w:rPr>
          <w:sz w:val="21"/>
        </w:rPr>
        <w:t>commends</w:t>
      </w:r>
      <w:r>
        <w:rPr>
          <w:spacing w:val="-2"/>
          <w:sz w:val="21"/>
        </w:rPr>
        <w:t> </w:t>
      </w:r>
      <w:r>
        <w:rPr>
          <w:sz w:val="21"/>
        </w:rPr>
        <w:t>DESE</w:t>
      </w:r>
      <w:r>
        <w:rPr>
          <w:spacing w:val="-2"/>
          <w:sz w:val="21"/>
        </w:rPr>
        <w:t> </w:t>
      </w:r>
      <w:r>
        <w:rPr>
          <w:sz w:val="21"/>
        </w:rPr>
        <w:t>and</w:t>
      </w:r>
      <w:r>
        <w:rPr>
          <w:spacing w:val="-2"/>
          <w:sz w:val="21"/>
        </w:rPr>
        <w:t> </w:t>
      </w:r>
      <w:r>
        <w:rPr>
          <w:sz w:val="21"/>
        </w:rPr>
        <w:t>the</w:t>
      </w:r>
      <w:r>
        <w:rPr>
          <w:spacing w:val="-3"/>
          <w:sz w:val="21"/>
        </w:rPr>
        <w:t> </w:t>
      </w:r>
      <w:r>
        <w:rPr>
          <w:sz w:val="21"/>
        </w:rPr>
        <w:t>Board</w:t>
      </w:r>
      <w:r>
        <w:rPr>
          <w:spacing w:val="-2"/>
          <w:sz w:val="21"/>
        </w:rPr>
        <w:t> </w:t>
      </w:r>
      <w:r>
        <w:rPr>
          <w:sz w:val="21"/>
        </w:rPr>
        <w:t>of</w:t>
      </w:r>
      <w:r>
        <w:rPr>
          <w:spacing w:val="-2"/>
          <w:sz w:val="21"/>
        </w:rPr>
        <w:t> </w:t>
      </w:r>
      <w:r>
        <w:rPr>
          <w:sz w:val="21"/>
        </w:rPr>
        <w:t>Elementary</w:t>
      </w:r>
      <w:r>
        <w:rPr>
          <w:spacing w:val="-2"/>
          <w:sz w:val="21"/>
        </w:rPr>
        <w:t> </w:t>
      </w:r>
      <w:r>
        <w:rPr>
          <w:sz w:val="21"/>
        </w:rPr>
        <w:t>and</w:t>
      </w:r>
      <w:r>
        <w:rPr>
          <w:spacing w:val="-4"/>
          <w:sz w:val="21"/>
        </w:rPr>
        <w:t> </w:t>
      </w:r>
      <w:r>
        <w:rPr>
          <w:sz w:val="21"/>
        </w:rPr>
        <w:t>Secondary</w:t>
      </w:r>
      <w:r>
        <w:rPr>
          <w:spacing w:val="-2"/>
          <w:sz w:val="21"/>
        </w:rPr>
        <w:t> </w:t>
      </w:r>
      <w:r>
        <w:rPr>
          <w:sz w:val="21"/>
        </w:rPr>
        <w:t>Education</w:t>
      </w:r>
      <w:r>
        <w:rPr>
          <w:spacing w:val="-2"/>
          <w:sz w:val="21"/>
        </w:rPr>
        <w:t> </w:t>
      </w:r>
      <w:r>
        <w:rPr>
          <w:sz w:val="21"/>
        </w:rPr>
        <w:t>for</w:t>
      </w:r>
      <w:r>
        <w:rPr>
          <w:spacing w:val="-2"/>
          <w:sz w:val="21"/>
        </w:rPr>
        <w:t> </w:t>
      </w:r>
      <w:r>
        <w:rPr>
          <w:sz w:val="21"/>
        </w:rPr>
        <w:t>updating</w:t>
      </w:r>
      <w:r>
        <w:rPr>
          <w:spacing w:val="-2"/>
          <w:sz w:val="21"/>
        </w:rPr>
        <w:t> </w:t>
      </w:r>
      <w:r>
        <w:rPr>
          <w:sz w:val="21"/>
        </w:rPr>
        <w:t>and approving the Comprehensive Health and Physical Education framework for the first time since 1999. The Safe Schools Program for LGBTQ Students is well-equipped to provide training and technical assistance as part of ongoing and broader implementation efforts, addressing frequently asked questions and practical </w:t>
      </w:r>
      <w:r>
        <w:rPr>
          <w:spacing w:val="-2"/>
          <w:sz w:val="21"/>
        </w:rPr>
        <w:t>application.</w:t>
      </w:r>
    </w:p>
    <w:p>
      <w:pPr>
        <w:pStyle w:val="ListParagraph"/>
        <w:numPr>
          <w:ilvl w:val="0"/>
          <w:numId w:val="33"/>
        </w:numPr>
        <w:tabs>
          <w:tab w:pos="623" w:val="left" w:leader="none"/>
        </w:tabs>
        <w:spacing w:line="240" w:lineRule="auto" w:before="240" w:after="0"/>
        <w:ind w:left="623" w:right="0" w:hanging="359"/>
        <w:jc w:val="left"/>
        <w:rPr>
          <w:b/>
          <w:sz w:val="21"/>
        </w:rPr>
      </w:pPr>
      <w:r>
        <w:rPr>
          <w:b/>
          <w:sz w:val="21"/>
        </w:rPr>
        <w:t>Develop</w:t>
      </w:r>
      <w:r>
        <w:rPr>
          <w:b/>
          <w:spacing w:val="-5"/>
          <w:sz w:val="21"/>
        </w:rPr>
        <w:t> </w:t>
      </w:r>
      <w:r>
        <w:rPr>
          <w:b/>
          <w:sz w:val="21"/>
        </w:rPr>
        <w:t>and</w:t>
      </w:r>
      <w:r>
        <w:rPr>
          <w:b/>
          <w:spacing w:val="-3"/>
          <w:sz w:val="21"/>
        </w:rPr>
        <w:t> </w:t>
      </w:r>
      <w:r>
        <w:rPr>
          <w:b/>
          <w:sz w:val="21"/>
        </w:rPr>
        <w:t>model</w:t>
      </w:r>
      <w:r>
        <w:rPr>
          <w:b/>
          <w:spacing w:val="-3"/>
          <w:sz w:val="21"/>
        </w:rPr>
        <w:t> </w:t>
      </w:r>
      <w:r>
        <w:rPr>
          <w:b/>
          <w:sz w:val="21"/>
        </w:rPr>
        <w:t>strategies</w:t>
      </w:r>
      <w:r>
        <w:rPr>
          <w:b/>
          <w:spacing w:val="-2"/>
          <w:sz w:val="21"/>
        </w:rPr>
        <w:t> </w:t>
      </w:r>
      <w:r>
        <w:rPr>
          <w:b/>
          <w:sz w:val="21"/>
        </w:rPr>
        <w:t>for</w:t>
      </w:r>
      <w:r>
        <w:rPr>
          <w:b/>
          <w:spacing w:val="-3"/>
          <w:sz w:val="21"/>
        </w:rPr>
        <w:t> </w:t>
      </w:r>
      <w:r>
        <w:rPr>
          <w:b/>
          <w:sz w:val="21"/>
        </w:rPr>
        <w:t>recruiting</w:t>
      </w:r>
      <w:r>
        <w:rPr>
          <w:b/>
          <w:spacing w:val="-3"/>
          <w:sz w:val="21"/>
        </w:rPr>
        <w:t> </w:t>
      </w:r>
      <w:r>
        <w:rPr>
          <w:b/>
          <w:sz w:val="21"/>
        </w:rPr>
        <w:t>and</w:t>
      </w:r>
      <w:r>
        <w:rPr>
          <w:b/>
          <w:spacing w:val="-2"/>
          <w:sz w:val="21"/>
        </w:rPr>
        <w:t> </w:t>
      </w:r>
      <w:r>
        <w:rPr>
          <w:b/>
          <w:sz w:val="21"/>
        </w:rPr>
        <w:t>retaining</w:t>
      </w:r>
      <w:r>
        <w:rPr>
          <w:b/>
          <w:spacing w:val="-3"/>
          <w:sz w:val="21"/>
        </w:rPr>
        <w:t> </w:t>
      </w:r>
      <w:r>
        <w:rPr>
          <w:b/>
          <w:sz w:val="21"/>
        </w:rPr>
        <w:t>a</w:t>
      </w:r>
      <w:r>
        <w:rPr>
          <w:b/>
          <w:spacing w:val="-3"/>
          <w:sz w:val="21"/>
        </w:rPr>
        <w:t> </w:t>
      </w:r>
      <w:r>
        <w:rPr>
          <w:b/>
          <w:sz w:val="21"/>
        </w:rPr>
        <w:t>diverse</w:t>
      </w:r>
      <w:r>
        <w:rPr>
          <w:b/>
          <w:spacing w:val="-3"/>
          <w:sz w:val="21"/>
        </w:rPr>
        <w:t> </w:t>
      </w:r>
      <w:r>
        <w:rPr>
          <w:b/>
          <w:sz w:val="21"/>
        </w:rPr>
        <w:t>workforce</w:t>
      </w:r>
      <w:r>
        <w:rPr>
          <w:b/>
          <w:spacing w:val="-3"/>
          <w:sz w:val="21"/>
        </w:rPr>
        <w:t> </w:t>
      </w:r>
      <w:r>
        <w:rPr>
          <w:b/>
          <w:sz w:val="21"/>
        </w:rPr>
        <w:t>in</w:t>
      </w:r>
      <w:r>
        <w:rPr>
          <w:b/>
          <w:spacing w:val="-2"/>
          <w:sz w:val="21"/>
        </w:rPr>
        <w:t> schools.</w:t>
      </w:r>
    </w:p>
    <w:p>
      <w:pPr>
        <w:pStyle w:val="BodyText"/>
        <w:spacing w:before="22"/>
        <w:rPr>
          <w:b/>
          <w:sz w:val="21"/>
        </w:rPr>
      </w:pPr>
    </w:p>
    <w:p>
      <w:pPr>
        <w:spacing w:line="276" w:lineRule="auto" w:before="0"/>
        <w:ind w:left="623" w:right="480" w:firstLine="0"/>
        <w:jc w:val="both"/>
        <w:rPr>
          <w:sz w:val="21"/>
        </w:rPr>
      </w:pPr>
      <w:r>
        <w:rPr>
          <w:sz w:val="21"/>
        </w:rPr>
        <w:t>The Commission recommends DESE develop and model strategies for recruiting and retaining a diverse workforce in schools, with a specific focus on including LGBTQ educators and professionals. This initiative should involve creating inclusive hiring practices, offering professional development opportunities on diversity</w:t>
      </w:r>
      <w:r>
        <w:rPr>
          <w:spacing w:val="64"/>
          <w:sz w:val="21"/>
        </w:rPr>
        <w:t> </w:t>
      </w:r>
      <w:r>
        <w:rPr>
          <w:sz w:val="21"/>
        </w:rPr>
        <w:t>and</w:t>
      </w:r>
      <w:r>
        <w:rPr>
          <w:spacing w:val="64"/>
          <w:sz w:val="21"/>
        </w:rPr>
        <w:t> </w:t>
      </w:r>
      <w:r>
        <w:rPr>
          <w:sz w:val="21"/>
        </w:rPr>
        <w:t>inclusion,</w:t>
      </w:r>
      <w:r>
        <w:rPr>
          <w:spacing w:val="64"/>
          <w:sz w:val="21"/>
        </w:rPr>
        <w:t> </w:t>
      </w:r>
      <w:r>
        <w:rPr>
          <w:sz w:val="21"/>
        </w:rPr>
        <w:t>and</w:t>
      </w:r>
      <w:r>
        <w:rPr>
          <w:spacing w:val="64"/>
          <w:sz w:val="21"/>
        </w:rPr>
        <w:t> </w:t>
      </w:r>
      <w:r>
        <w:rPr>
          <w:sz w:val="21"/>
        </w:rPr>
        <w:t>establishing</w:t>
      </w:r>
      <w:r>
        <w:rPr>
          <w:spacing w:val="63"/>
          <w:sz w:val="21"/>
        </w:rPr>
        <w:t> </w:t>
      </w:r>
      <w:r>
        <w:rPr>
          <w:sz w:val="21"/>
        </w:rPr>
        <w:t>and</w:t>
      </w:r>
      <w:r>
        <w:rPr>
          <w:spacing w:val="64"/>
          <w:sz w:val="21"/>
        </w:rPr>
        <w:t> </w:t>
      </w:r>
      <w:r>
        <w:rPr>
          <w:sz w:val="21"/>
        </w:rPr>
        <w:t>fostering</w:t>
      </w:r>
      <w:r>
        <w:rPr>
          <w:spacing w:val="63"/>
          <w:sz w:val="21"/>
        </w:rPr>
        <w:t> </w:t>
      </w:r>
      <w:r>
        <w:rPr>
          <w:sz w:val="21"/>
        </w:rPr>
        <w:t>ongoing</w:t>
      </w:r>
      <w:r>
        <w:rPr>
          <w:spacing w:val="65"/>
          <w:sz w:val="21"/>
        </w:rPr>
        <w:t> </w:t>
      </w:r>
      <w:r>
        <w:rPr>
          <w:sz w:val="21"/>
        </w:rPr>
        <w:t>support</w:t>
      </w:r>
      <w:r>
        <w:rPr>
          <w:spacing w:val="64"/>
          <w:sz w:val="21"/>
        </w:rPr>
        <w:t> </w:t>
      </w:r>
      <w:r>
        <w:rPr>
          <w:sz w:val="21"/>
        </w:rPr>
        <w:t>networks</w:t>
      </w:r>
      <w:r>
        <w:rPr>
          <w:spacing w:val="63"/>
          <w:sz w:val="21"/>
        </w:rPr>
        <w:t> </w:t>
      </w:r>
      <w:r>
        <w:rPr>
          <w:sz w:val="21"/>
        </w:rPr>
        <w:t>for</w:t>
      </w:r>
      <w:r>
        <w:rPr>
          <w:spacing w:val="64"/>
          <w:sz w:val="21"/>
        </w:rPr>
        <w:t> </w:t>
      </w:r>
      <w:r>
        <w:rPr>
          <w:sz w:val="21"/>
        </w:rPr>
        <w:t>LGBTQ</w:t>
      </w:r>
      <w:r>
        <w:rPr>
          <w:spacing w:val="64"/>
          <w:sz w:val="21"/>
        </w:rPr>
        <w:t> </w:t>
      </w:r>
      <w:r>
        <w:rPr>
          <w:sz w:val="21"/>
        </w:rPr>
        <w:t>staff.</w:t>
      </w:r>
    </w:p>
    <w:p>
      <w:pPr>
        <w:spacing w:after="0" w:line="276" w:lineRule="auto"/>
        <w:jc w:val="both"/>
        <w:rPr>
          <w:sz w:val="21"/>
        </w:rPr>
        <w:sectPr>
          <w:pgSz w:w="12240" w:h="15840"/>
          <w:pgMar w:header="763" w:footer="1041" w:top="960" w:bottom="1240" w:left="960" w:right="1100"/>
        </w:sectPr>
      </w:pPr>
    </w:p>
    <w:p>
      <w:pPr>
        <w:spacing w:line="276" w:lineRule="auto" w:before="250"/>
        <w:ind w:left="624" w:right="481" w:firstLine="0"/>
        <w:jc w:val="both"/>
        <w:rPr>
          <w:sz w:val="21"/>
        </w:rPr>
      </w:pPr>
      <w:r>
        <w:rPr>
          <w:sz w:val="21"/>
        </w:rPr>
        <w:t>Additionally, DESE should promote inclusive school cultures that value and celebrate diversity, ensuring that all educators and professionals feel supported and valued in their roles.</w:t>
      </w:r>
    </w:p>
    <w:p>
      <w:pPr>
        <w:spacing w:line="276" w:lineRule="auto" w:before="240"/>
        <w:ind w:left="623" w:right="483" w:firstLine="0"/>
        <w:jc w:val="both"/>
        <w:rPr>
          <w:sz w:val="21"/>
        </w:rPr>
      </w:pPr>
      <w:r>
        <w:rPr>
          <w:sz w:val="21"/>
        </w:rPr>
        <w:t>DESE’s Principles for Ensuring Safe and Supportive Learning Environments for Lesbian, Gay, Bisexual, Transgender, Queer, and Questioning (LGBTQ) Students state:</w:t>
      </w:r>
    </w:p>
    <w:p>
      <w:pPr>
        <w:spacing w:line="276" w:lineRule="auto" w:before="239"/>
        <w:ind w:left="650" w:right="509" w:firstLine="2"/>
        <w:jc w:val="center"/>
        <w:rPr>
          <w:rFonts w:ascii="Cambria" w:hAnsi="Cambria"/>
          <w:i/>
          <w:sz w:val="21"/>
        </w:rPr>
      </w:pPr>
      <w:r>
        <w:rPr>
          <w:rFonts w:ascii="Cambria" w:hAnsi="Cambria"/>
          <w:i/>
          <w:sz w:val="21"/>
        </w:rPr>
        <w:t>“Schools are encouraged to have a diverse workforce. To provide authentic role models for all students,</w:t>
      </w:r>
      <w:r>
        <w:rPr>
          <w:rFonts w:ascii="Cambria" w:hAnsi="Cambria"/>
          <w:i/>
          <w:sz w:val="21"/>
        </w:rPr>
        <w:t> schools</w:t>
      </w:r>
      <w:r>
        <w:rPr>
          <w:rFonts w:ascii="Cambria" w:hAnsi="Cambria"/>
          <w:i/>
          <w:spacing w:val="-3"/>
          <w:sz w:val="21"/>
        </w:rPr>
        <w:t> </w:t>
      </w:r>
      <w:r>
        <w:rPr>
          <w:rFonts w:ascii="Cambria" w:hAnsi="Cambria"/>
          <w:i/>
          <w:sz w:val="21"/>
        </w:rPr>
        <w:t>should</w:t>
      </w:r>
      <w:r>
        <w:rPr>
          <w:rFonts w:ascii="Cambria" w:hAnsi="Cambria"/>
          <w:i/>
          <w:spacing w:val="-3"/>
          <w:sz w:val="21"/>
        </w:rPr>
        <w:t> </w:t>
      </w:r>
      <w:r>
        <w:rPr>
          <w:rFonts w:ascii="Cambria" w:hAnsi="Cambria"/>
          <w:i/>
          <w:sz w:val="21"/>
        </w:rPr>
        <w:t>have</w:t>
      </w:r>
      <w:r>
        <w:rPr>
          <w:rFonts w:ascii="Cambria" w:hAnsi="Cambria"/>
          <w:i/>
          <w:spacing w:val="-4"/>
          <w:sz w:val="21"/>
        </w:rPr>
        <w:t> </w:t>
      </w:r>
      <w:r>
        <w:rPr>
          <w:rFonts w:ascii="Cambria" w:hAnsi="Cambria"/>
          <w:i/>
          <w:sz w:val="21"/>
        </w:rPr>
        <w:t>diverse</w:t>
      </w:r>
      <w:r>
        <w:rPr>
          <w:rFonts w:ascii="Cambria" w:hAnsi="Cambria"/>
          <w:i/>
          <w:spacing w:val="-3"/>
          <w:sz w:val="21"/>
        </w:rPr>
        <w:t> </w:t>
      </w:r>
      <w:r>
        <w:rPr>
          <w:rFonts w:ascii="Cambria" w:hAnsi="Cambria"/>
          <w:i/>
          <w:sz w:val="21"/>
        </w:rPr>
        <w:t>staff</w:t>
      </w:r>
      <w:r>
        <w:rPr>
          <w:rFonts w:ascii="Cambria" w:hAnsi="Cambria"/>
          <w:i/>
          <w:spacing w:val="-3"/>
          <w:sz w:val="21"/>
        </w:rPr>
        <w:t> </w:t>
      </w:r>
      <w:r>
        <w:rPr>
          <w:rFonts w:ascii="Cambria" w:hAnsi="Cambria"/>
          <w:i/>
          <w:sz w:val="21"/>
        </w:rPr>
        <w:t>who</w:t>
      </w:r>
      <w:r>
        <w:rPr>
          <w:rFonts w:ascii="Cambria" w:hAnsi="Cambria"/>
          <w:i/>
          <w:spacing w:val="-3"/>
          <w:sz w:val="21"/>
        </w:rPr>
        <w:t> </w:t>
      </w:r>
      <w:r>
        <w:rPr>
          <w:rFonts w:ascii="Cambria" w:hAnsi="Cambria"/>
          <w:i/>
          <w:sz w:val="21"/>
        </w:rPr>
        <w:t>reflect</w:t>
      </w:r>
      <w:r>
        <w:rPr>
          <w:rFonts w:ascii="Cambria" w:hAnsi="Cambria"/>
          <w:i/>
          <w:spacing w:val="-3"/>
          <w:sz w:val="21"/>
        </w:rPr>
        <w:t> </w:t>
      </w:r>
      <w:r>
        <w:rPr>
          <w:rFonts w:ascii="Cambria" w:hAnsi="Cambria"/>
          <w:i/>
          <w:sz w:val="21"/>
        </w:rPr>
        <w:t>the</w:t>
      </w:r>
      <w:r>
        <w:rPr>
          <w:rFonts w:ascii="Cambria" w:hAnsi="Cambria"/>
          <w:i/>
          <w:spacing w:val="-3"/>
          <w:sz w:val="21"/>
        </w:rPr>
        <w:t> </w:t>
      </w:r>
      <w:r>
        <w:rPr>
          <w:rFonts w:ascii="Cambria" w:hAnsi="Cambria"/>
          <w:i/>
          <w:sz w:val="21"/>
        </w:rPr>
        <w:t>protected</w:t>
      </w:r>
      <w:r>
        <w:rPr>
          <w:rFonts w:ascii="Cambria" w:hAnsi="Cambria"/>
          <w:i/>
          <w:spacing w:val="-3"/>
          <w:sz w:val="21"/>
        </w:rPr>
        <w:t> </w:t>
      </w:r>
      <w:r>
        <w:rPr>
          <w:rFonts w:ascii="Cambria" w:hAnsi="Cambria"/>
          <w:i/>
          <w:sz w:val="21"/>
        </w:rPr>
        <w:t>categories</w:t>
      </w:r>
      <w:r>
        <w:rPr>
          <w:rFonts w:ascii="Cambria" w:hAnsi="Cambria"/>
          <w:i/>
          <w:spacing w:val="-3"/>
          <w:sz w:val="21"/>
        </w:rPr>
        <w:t> </w:t>
      </w:r>
      <w:r>
        <w:rPr>
          <w:rFonts w:ascii="Cambria" w:hAnsi="Cambria"/>
          <w:i/>
          <w:sz w:val="21"/>
        </w:rPr>
        <w:t>in</w:t>
      </w:r>
      <w:r>
        <w:rPr>
          <w:rFonts w:ascii="Cambria" w:hAnsi="Cambria"/>
          <w:i/>
          <w:spacing w:val="-2"/>
          <w:sz w:val="21"/>
        </w:rPr>
        <w:t> </w:t>
      </w:r>
      <w:r>
        <w:rPr>
          <w:rFonts w:ascii="Cambria" w:hAnsi="Cambria"/>
          <w:i/>
          <w:sz w:val="21"/>
        </w:rPr>
        <w:t>the</w:t>
      </w:r>
      <w:r>
        <w:rPr>
          <w:rFonts w:ascii="Cambria" w:hAnsi="Cambria"/>
          <w:i/>
          <w:spacing w:val="-3"/>
          <w:sz w:val="21"/>
        </w:rPr>
        <w:t> </w:t>
      </w:r>
      <w:r>
        <w:rPr>
          <w:rFonts w:ascii="Cambria" w:hAnsi="Cambria"/>
          <w:i/>
          <w:sz w:val="21"/>
        </w:rPr>
        <w:t>Student</w:t>
      </w:r>
      <w:r>
        <w:rPr>
          <w:rFonts w:ascii="Cambria" w:hAnsi="Cambria"/>
          <w:i/>
          <w:spacing w:val="-3"/>
          <w:sz w:val="21"/>
        </w:rPr>
        <w:t> </w:t>
      </w:r>
      <w:r>
        <w:rPr>
          <w:rFonts w:ascii="Cambria" w:hAnsi="Cambria"/>
          <w:i/>
          <w:sz w:val="21"/>
        </w:rPr>
        <w:t>Anti-discrimination Law, including gender identity and sexual orientation. While employers cannot inquire about an applicant's sexual orientation or gender identity, it is important that school systems foster work environments where openly LGBTQ staff members feel safe, supported, and valued.”</w:t>
      </w:r>
    </w:p>
    <w:p>
      <w:pPr>
        <w:spacing w:line="276" w:lineRule="auto" w:before="241"/>
        <w:ind w:left="624" w:right="481" w:firstLine="0"/>
        <w:jc w:val="both"/>
        <w:rPr>
          <w:sz w:val="21"/>
        </w:rPr>
      </w:pPr>
      <w:r>
        <w:rPr>
          <w:sz w:val="21"/>
        </w:rPr>
        <w:t>In addition to ensuring that non-LGBTQ educators and staff are culturally responsive to LGBTQ issues, the Commission recommends that DESE explicitly state its commitment to fostering a diverse workforce by supporting</w:t>
      </w:r>
      <w:r>
        <w:rPr>
          <w:spacing w:val="-6"/>
          <w:sz w:val="21"/>
        </w:rPr>
        <w:t> </w:t>
      </w:r>
      <w:r>
        <w:rPr>
          <w:sz w:val="21"/>
        </w:rPr>
        <w:t>and</w:t>
      </w:r>
      <w:r>
        <w:rPr>
          <w:spacing w:val="-5"/>
          <w:sz w:val="21"/>
        </w:rPr>
        <w:t> </w:t>
      </w:r>
      <w:r>
        <w:rPr>
          <w:sz w:val="21"/>
        </w:rPr>
        <w:t>valuing</w:t>
      </w:r>
      <w:r>
        <w:rPr>
          <w:spacing w:val="-7"/>
          <w:sz w:val="21"/>
        </w:rPr>
        <w:t> </w:t>
      </w:r>
      <w:r>
        <w:rPr>
          <w:sz w:val="21"/>
        </w:rPr>
        <w:t>LGBTQ</w:t>
      </w:r>
      <w:r>
        <w:rPr>
          <w:spacing w:val="-5"/>
          <w:sz w:val="21"/>
        </w:rPr>
        <w:t> </w:t>
      </w:r>
      <w:r>
        <w:rPr>
          <w:sz w:val="21"/>
        </w:rPr>
        <w:t>educators.</w:t>
      </w:r>
      <w:r>
        <w:rPr>
          <w:spacing w:val="-6"/>
          <w:sz w:val="21"/>
        </w:rPr>
        <w:t> </w:t>
      </w:r>
      <w:r>
        <w:rPr>
          <w:sz w:val="21"/>
        </w:rPr>
        <w:t>We</w:t>
      </w:r>
      <w:r>
        <w:rPr>
          <w:spacing w:val="-7"/>
          <w:sz w:val="21"/>
        </w:rPr>
        <w:t> </w:t>
      </w:r>
      <w:r>
        <w:rPr>
          <w:sz w:val="21"/>
        </w:rPr>
        <w:t>commend</w:t>
      </w:r>
      <w:r>
        <w:rPr>
          <w:spacing w:val="-5"/>
          <w:sz w:val="21"/>
        </w:rPr>
        <w:t> </w:t>
      </w:r>
      <w:r>
        <w:rPr>
          <w:sz w:val="21"/>
        </w:rPr>
        <w:t>DESE</w:t>
      </w:r>
      <w:r>
        <w:rPr>
          <w:spacing w:val="-6"/>
          <w:sz w:val="21"/>
        </w:rPr>
        <w:t> </w:t>
      </w:r>
      <w:r>
        <w:rPr>
          <w:sz w:val="21"/>
        </w:rPr>
        <w:t>for</w:t>
      </w:r>
      <w:r>
        <w:rPr>
          <w:spacing w:val="-5"/>
          <w:sz w:val="21"/>
        </w:rPr>
        <w:t> </w:t>
      </w:r>
      <w:r>
        <w:rPr>
          <w:sz w:val="21"/>
        </w:rPr>
        <w:t>implementing</w:t>
      </w:r>
      <w:r>
        <w:rPr>
          <w:spacing w:val="-6"/>
          <w:sz w:val="21"/>
        </w:rPr>
        <w:t> </w:t>
      </w:r>
      <w:r>
        <w:rPr>
          <w:sz w:val="21"/>
        </w:rPr>
        <w:t>a</w:t>
      </w:r>
      <w:r>
        <w:rPr>
          <w:spacing w:val="-8"/>
          <w:sz w:val="21"/>
        </w:rPr>
        <w:t> </w:t>
      </w:r>
      <w:r>
        <w:rPr>
          <w:sz w:val="21"/>
        </w:rPr>
        <w:t>new</w:t>
      </w:r>
      <w:r>
        <w:rPr>
          <w:spacing w:val="-6"/>
          <w:sz w:val="21"/>
        </w:rPr>
        <w:t> </w:t>
      </w:r>
      <w:r>
        <w:rPr>
          <w:sz w:val="21"/>
        </w:rPr>
        <w:t>ELAR</w:t>
      </w:r>
      <w:r>
        <w:rPr>
          <w:spacing w:val="-5"/>
          <w:sz w:val="21"/>
        </w:rPr>
        <w:t> </w:t>
      </w:r>
      <w:r>
        <w:rPr>
          <w:sz w:val="21"/>
        </w:rPr>
        <w:t>system</w:t>
      </w:r>
      <w:r>
        <w:rPr>
          <w:spacing w:val="-6"/>
          <w:sz w:val="21"/>
        </w:rPr>
        <w:t> </w:t>
      </w:r>
      <w:r>
        <w:rPr>
          <w:sz w:val="21"/>
        </w:rPr>
        <w:t>(online licensure</w:t>
      </w:r>
      <w:r>
        <w:rPr>
          <w:spacing w:val="-1"/>
          <w:sz w:val="21"/>
        </w:rPr>
        <w:t> </w:t>
      </w:r>
      <w:r>
        <w:rPr>
          <w:sz w:val="21"/>
        </w:rPr>
        <w:t>program)</w:t>
      </w:r>
      <w:r>
        <w:rPr>
          <w:spacing w:val="-1"/>
          <w:sz w:val="21"/>
        </w:rPr>
        <w:t> </w:t>
      </w:r>
      <w:r>
        <w:rPr>
          <w:sz w:val="21"/>
        </w:rPr>
        <w:t>that now</w:t>
      </w:r>
      <w:r>
        <w:rPr>
          <w:spacing w:val="-1"/>
          <w:sz w:val="21"/>
        </w:rPr>
        <w:t> </w:t>
      </w:r>
      <w:r>
        <w:rPr>
          <w:sz w:val="21"/>
        </w:rPr>
        <w:t>offers</w:t>
      </w:r>
      <w:r>
        <w:rPr>
          <w:spacing w:val="-1"/>
          <w:sz w:val="21"/>
        </w:rPr>
        <w:t> </w:t>
      </w:r>
      <w:r>
        <w:rPr>
          <w:sz w:val="21"/>
        </w:rPr>
        <w:t>expanded</w:t>
      </w:r>
      <w:r>
        <w:rPr>
          <w:spacing w:val="-1"/>
          <w:sz w:val="21"/>
        </w:rPr>
        <w:t> </w:t>
      </w:r>
      <w:r>
        <w:rPr>
          <w:sz w:val="21"/>
        </w:rPr>
        <w:t>options, including</w:t>
      </w:r>
      <w:r>
        <w:rPr>
          <w:spacing w:val="-1"/>
          <w:sz w:val="21"/>
        </w:rPr>
        <w:t> </w:t>
      </w:r>
      <w:r>
        <w:rPr>
          <w:sz w:val="21"/>
        </w:rPr>
        <w:t>nonbinary</w:t>
      </w:r>
      <w:r>
        <w:rPr>
          <w:spacing w:val="-1"/>
          <w:sz w:val="21"/>
        </w:rPr>
        <w:t> </w:t>
      </w:r>
      <w:r>
        <w:rPr>
          <w:sz w:val="21"/>
        </w:rPr>
        <w:t>and</w:t>
      </w:r>
      <w:r>
        <w:rPr>
          <w:spacing w:val="-1"/>
          <w:sz w:val="21"/>
        </w:rPr>
        <w:t> </w:t>
      </w:r>
      <w:r>
        <w:rPr>
          <w:sz w:val="21"/>
        </w:rPr>
        <w:t>‘gender</w:t>
      </w:r>
      <w:r>
        <w:rPr>
          <w:spacing w:val="-1"/>
          <w:sz w:val="21"/>
        </w:rPr>
        <w:t> </w:t>
      </w:r>
      <w:r>
        <w:rPr>
          <w:sz w:val="21"/>
        </w:rPr>
        <w:t>not specified’.</w:t>
      </w:r>
      <w:r>
        <w:rPr>
          <w:spacing w:val="-1"/>
          <w:sz w:val="21"/>
        </w:rPr>
        <w:t> </w:t>
      </w:r>
      <w:r>
        <w:rPr>
          <w:sz w:val="21"/>
        </w:rPr>
        <w:t>The Education Personnel Information Management System (EPIMS) has offered a third gender marker since </w:t>
      </w:r>
      <w:r>
        <w:rPr>
          <w:spacing w:val="-2"/>
          <w:sz w:val="21"/>
        </w:rPr>
        <w:t>2016.</w:t>
      </w:r>
    </w:p>
    <w:p>
      <w:pPr>
        <w:pStyle w:val="ListParagraph"/>
        <w:numPr>
          <w:ilvl w:val="0"/>
          <w:numId w:val="33"/>
        </w:numPr>
        <w:tabs>
          <w:tab w:pos="623" w:val="left" w:leader="none"/>
        </w:tabs>
        <w:spacing w:line="240" w:lineRule="auto" w:before="240" w:after="0"/>
        <w:ind w:left="623" w:right="0" w:hanging="359"/>
        <w:jc w:val="left"/>
        <w:rPr>
          <w:b/>
          <w:sz w:val="21"/>
        </w:rPr>
      </w:pPr>
      <w:r>
        <w:rPr>
          <w:b/>
          <w:sz w:val="21"/>
        </w:rPr>
        <w:t>Partner</w:t>
      </w:r>
      <w:r>
        <w:rPr>
          <w:b/>
          <w:spacing w:val="-5"/>
          <w:sz w:val="21"/>
        </w:rPr>
        <w:t> </w:t>
      </w:r>
      <w:r>
        <w:rPr>
          <w:b/>
          <w:sz w:val="21"/>
        </w:rPr>
        <w:t>with</w:t>
      </w:r>
      <w:r>
        <w:rPr>
          <w:b/>
          <w:spacing w:val="-2"/>
          <w:sz w:val="21"/>
        </w:rPr>
        <w:t> </w:t>
      </w:r>
      <w:r>
        <w:rPr>
          <w:b/>
          <w:sz w:val="21"/>
        </w:rPr>
        <w:t>the</w:t>
      </w:r>
      <w:r>
        <w:rPr>
          <w:b/>
          <w:spacing w:val="-2"/>
          <w:sz w:val="21"/>
        </w:rPr>
        <w:t> </w:t>
      </w:r>
      <w:r>
        <w:rPr>
          <w:b/>
          <w:sz w:val="21"/>
        </w:rPr>
        <w:t>Commission</w:t>
      </w:r>
      <w:r>
        <w:rPr>
          <w:b/>
          <w:spacing w:val="-3"/>
          <w:sz w:val="21"/>
        </w:rPr>
        <w:t> </w:t>
      </w:r>
      <w:r>
        <w:rPr>
          <w:b/>
          <w:sz w:val="21"/>
        </w:rPr>
        <w:t>to</w:t>
      </w:r>
      <w:r>
        <w:rPr>
          <w:b/>
          <w:spacing w:val="-2"/>
          <w:sz w:val="21"/>
        </w:rPr>
        <w:t> </w:t>
      </w:r>
      <w:r>
        <w:rPr>
          <w:b/>
          <w:sz w:val="21"/>
        </w:rPr>
        <w:t>better</w:t>
      </w:r>
      <w:r>
        <w:rPr>
          <w:b/>
          <w:spacing w:val="-2"/>
          <w:sz w:val="21"/>
        </w:rPr>
        <w:t> </w:t>
      </w:r>
      <w:r>
        <w:rPr>
          <w:b/>
          <w:sz w:val="21"/>
        </w:rPr>
        <w:t>understand</w:t>
      </w:r>
      <w:r>
        <w:rPr>
          <w:b/>
          <w:spacing w:val="-2"/>
          <w:sz w:val="21"/>
        </w:rPr>
        <w:t> </w:t>
      </w:r>
      <w:r>
        <w:rPr>
          <w:b/>
          <w:sz w:val="21"/>
        </w:rPr>
        <w:t>and</w:t>
      </w:r>
      <w:r>
        <w:rPr>
          <w:b/>
          <w:spacing w:val="-4"/>
          <w:sz w:val="21"/>
        </w:rPr>
        <w:t> </w:t>
      </w:r>
      <w:r>
        <w:rPr>
          <w:b/>
          <w:sz w:val="21"/>
        </w:rPr>
        <w:t>meet</w:t>
      </w:r>
      <w:r>
        <w:rPr>
          <w:b/>
          <w:spacing w:val="-1"/>
          <w:sz w:val="21"/>
        </w:rPr>
        <w:t> </w:t>
      </w:r>
      <w:r>
        <w:rPr>
          <w:b/>
          <w:sz w:val="21"/>
        </w:rPr>
        <w:t>the</w:t>
      </w:r>
      <w:r>
        <w:rPr>
          <w:b/>
          <w:spacing w:val="-2"/>
          <w:sz w:val="21"/>
        </w:rPr>
        <w:t> </w:t>
      </w:r>
      <w:r>
        <w:rPr>
          <w:b/>
          <w:sz w:val="21"/>
        </w:rPr>
        <w:t>needs</w:t>
      </w:r>
      <w:r>
        <w:rPr>
          <w:b/>
          <w:spacing w:val="-3"/>
          <w:sz w:val="21"/>
        </w:rPr>
        <w:t> </w:t>
      </w:r>
      <w:r>
        <w:rPr>
          <w:b/>
          <w:sz w:val="21"/>
        </w:rPr>
        <w:t>of</w:t>
      </w:r>
      <w:r>
        <w:rPr>
          <w:b/>
          <w:spacing w:val="-2"/>
          <w:sz w:val="21"/>
        </w:rPr>
        <w:t> </w:t>
      </w:r>
      <w:r>
        <w:rPr>
          <w:b/>
          <w:sz w:val="21"/>
        </w:rPr>
        <w:t>BIPOC</w:t>
      </w:r>
      <w:r>
        <w:rPr>
          <w:b/>
          <w:spacing w:val="-2"/>
          <w:sz w:val="21"/>
        </w:rPr>
        <w:t> </w:t>
      </w:r>
      <w:r>
        <w:rPr>
          <w:b/>
          <w:sz w:val="21"/>
        </w:rPr>
        <w:t>LGBTQ</w:t>
      </w:r>
      <w:r>
        <w:rPr>
          <w:b/>
          <w:spacing w:val="-2"/>
          <w:sz w:val="21"/>
        </w:rPr>
        <w:t> students.</w:t>
      </w:r>
    </w:p>
    <w:p>
      <w:pPr>
        <w:pStyle w:val="BodyText"/>
        <w:spacing w:before="23"/>
        <w:rPr>
          <w:b/>
          <w:sz w:val="21"/>
        </w:rPr>
      </w:pPr>
    </w:p>
    <w:p>
      <w:pPr>
        <w:spacing w:line="276" w:lineRule="auto" w:before="0"/>
        <w:ind w:left="624" w:right="480" w:firstLine="0"/>
        <w:jc w:val="both"/>
        <w:rPr>
          <w:sz w:val="21"/>
        </w:rPr>
      </w:pPr>
      <w:r>
        <w:rPr>
          <w:sz w:val="21"/>
        </w:rPr>
        <w:t>Partner with the Commission to better understand and meet the needs of BIPOC LGBTQ students. The Commission recommends that DESE investigate how BIPOC LGBTQ students are affected by policies and practices that create barriers to a safe and successful learning experience and develop trauma-informed strategies and interventions to address these barriers. The Commission has been particularly concerned with</w:t>
      </w:r>
      <w:r>
        <w:rPr>
          <w:spacing w:val="-2"/>
          <w:sz w:val="21"/>
        </w:rPr>
        <w:t> </w:t>
      </w:r>
      <w:r>
        <w:rPr>
          <w:sz w:val="21"/>
        </w:rPr>
        <w:t>the</w:t>
      </w:r>
      <w:r>
        <w:rPr>
          <w:spacing w:val="-3"/>
          <w:sz w:val="21"/>
        </w:rPr>
        <w:t> </w:t>
      </w:r>
      <w:r>
        <w:rPr>
          <w:sz w:val="21"/>
        </w:rPr>
        <w:t>impact</w:t>
      </w:r>
      <w:r>
        <w:rPr>
          <w:spacing w:val="-1"/>
          <w:sz w:val="21"/>
        </w:rPr>
        <w:t> </w:t>
      </w:r>
      <w:r>
        <w:rPr>
          <w:sz w:val="21"/>
        </w:rPr>
        <w:t>of</w:t>
      </w:r>
      <w:r>
        <w:rPr>
          <w:spacing w:val="-2"/>
          <w:sz w:val="21"/>
        </w:rPr>
        <w:t> </w:t>
      </w:r>
      <w:r>
        <w:rPr>
          <w:sz w:val="21"/>
        </w:rPr>
        <w:t>the</w:t>
      </w:r>
      <w:r>
        <w:rPr>
          <w:spacing w:val="-3"/>
          <w:sz w:val="21"/>
        </w:rPr>
        <w:t> </w:t>
      </w:r>
      <w:r>
        <w:rPr>
          <w:sz w:val="21"/>
        </w:rPr>
        <w:t>school-to-prison</w:t>
      </w:r>
      <w:r>
        <w:rPr>
          <w:spacing w:val="-2"/>
          <w:sz w:val="21"/>
        </w:rPr>
        <w:t> </w:t>
      </w:r>
      <w:r>
        <w:rPr>
          <w:sz w:val="21"/>
        </w:rPr>
        <w:t>pipeline</w:t>
      </w:r>
      <w:r>
        <w:rPr>
          <w:spacing w:val="-2"/>
          <w:sz w:val="21"/>
        </w:rPr>
        <w:t> </w:t>
      </w:r>
      <w:r>
        <w:rPr>
          <w:sz w:val="21"/>
        </w:rPr>
        <w:t>on</w:t>
      </w:r>
      <w:r>
        <w:rPr>
          <w:spacing w:val="-2"/>
          <w:sz w:val="21"/>
        </w:rPr>
        <w:t> </w:t>
      </w:r>
      <w:r>
        <w:rPr>
          <w:sz w:val="21"/>
        </w:rPr>
        <w:t>BIPOC</w:t>
      </w:r>
      <w:r>
        <w:rPr>
          <w:spacing w:val="-2"/>
          <w:sz w:val="21"/>
        </w:rPr>
        <w:t> </w:t>
      </w:r>
      <w:r>
        <w:rPr>
          <w:sz w:val="21"/>
        </w:rPr>
        <w:t>LGBTQ</w:t>
      </w:r>
      <w:r>
        <w:rPr>
          <w:spacing w:val="-2"/>
          <w:sz w:val="21"/>
        </w:rPr>
        <w:t> </w:t>
      </w:r>
      <w:r>
        <w:rPr>
          <w:sz w:val="21"/>
        </w:rPr>
        <w:t>students</w:t>
      </w:r>
      <w:r>
        <w:rPr>
          <w:spacing w:val="-2"/>
          <w:sz w:val="21"/>
        </w:rPr>
        <w:t> </w:t>
      </w:r>
      <w:r>
        <w:rPr>
          <w:sz w:val="21"/>
        </w:rPr>
        <w:t>and</w:t>
      </w:r>
      <w:r>
        <w:rPr>
          <w:spacing w:val="-3"/>
          <w:sz w:val="21"/>
        </w:rPr>
        <w:t> </w:t>
      </w:r>
      <w:r>
        <w:rPr>
          <w:sz w:val="21"/>
        </w:rPr>
        <w:t>notes</w:t>
      </w:r>
      <w:r>
        <w:rPr>
          <w:spacing w:val="-2"/>
          <w:sz w:val="21"/>
        </w:rPr>
        <w:t> </w:t>
      </w:r>
      <w:r>
        <w:rPr>
          <w:sz w:val="21"/>
        </w:rPr>
        <w:t>that</w:t>
      </w:r>
      <w:r>
        <w:rPr>
          <w:spacing w:val="-3"/>
          <w:sz w:val="21"/>
        </w:rPr>
        <w:t> </w:t>
      </w:r>
      <w:r>
        <w:rPr>
          <w:sz w:val="21"/>
        </w:rPr>
        <w:t>DESE’s</w:t>
      </w:r>
      <w:r>
        <w:rPr>
          <w:spacing w:val="-2"/>
          <w:sz w:val="21"/>
        </w:rPr>
        <w:t> </w:t>
      </w:r>
      <w:r>
        <w:rPr>
          <w:sz w:val="21"/>
        </w:rPr>
        <w:t>guidance on supporting LGBTQ students calls on schools to examine how LGBTQ students are affected by related factors like disciplinary action and involvement in the juvenile justice system.</w:t>
      </w:r>
    </w:p>
    <w:p>
      <w:pPr>
        <w:spacing w:line="276" w:lineRule="auto" w:before="239"/>
        <w:ind w:left="624" w:right="480" w:firstLine="0"/>
        <w:jc w:val="both"/>
        <w:rPr>
          <w:sz w:val="21"/>
        </w:rPr>
      </w:pPr>
      <w:r>
        <w:rPr>
          <w:sz w:val="21"/>
        </w:rPr>
        <w:t>As</w:t>
      </w:r>
      <w:r>
        <w:rPr>
          <w:spacing w:val="-2"/>
          <w:sz w:val="21"/>
        </w:rPr>
        <w:t> </w:t>
      </w:r>
      <w:r>
        <w:rPr>
          <w:sz w:val="21"/>
        </w:rPr>
        <w:t>the</w:t>
      </w:r>
      <w:r>
        <w:rPr>
          <w:spacing w:val="-2"/>
          <w:sz w:val="21"/>
        </w:rPr>
        <w:t> </w:t>
      </w:r>
      <w:r>
        <w:rPr>
          <w:sz w:val="21"/>
        </w:rPr>
        <w:t>Commission</w:t>
      </w:r>
      <w:r>
        <w:rPr>
          <w:spacing w:val="-2"/>
          <w:sz w:val="21"/>
        </w:rPr>
        <w:t> </w:t>
      </w:r>
      <w:r>
        <w:rPr>
          <w:sz w:val="21"/>
        </w:rPr>
        <w:t>continues</w:t>
      </w:r>
      <w:r>
        <w:rPr>
          <w:spacing w:val="-2"/>
          <w:sz w:val="21"/>
        </w:rPr>
        <w:t> </w:t>
      </w:r>
      <w:r>
        <w:rPr>
          <w:sz w:val="21"/>
        </w:rPr>
        <w:t>to</w:t>
      </w:r>
      <w:r>
        <w:rPr>
          <w:spacing w:val="-2"/>
          <w:sz w:val="21"/>
        </w:rPr>
        <w:t> </w:t>
      </w:r>
      <w:r>
        <w:rPr>
          <w:sz w:val="21"/>
        </w:rPr>
        <w:t>carry</w:t>
      </w:r>
      <w:r>
        <w:rPr>
          <w:spacing w:val="-3"/>
          <w:sz w:val="21"/>
        </w:rPr>
        <w:t> </w:t>
      </w:r>
      <w:r>
        <w:rPr>
          <w:sz w:val="21"/>
        </w:rPr>
        <w:t>out</w:t>
      </w:r>
      <w:r>
        <w:rPr>
          <w:spacing w:val="-1"/>
          <w:sz w:val="21"/>
        </w:rPr>
        <w:t> </w:t>
      </w:r>
      <w:r>
        <w:rPr>
          <w:sz w:val="21"/>
        </w:rPr>
        <w:t>its</w:t>
      </w:r>
      <w:r>
        <w:rPr>
          <w:spacing w:val="-3"/>
          <w:sz w:val="21"/>
        </w:rPr>
        <w:t> </w:t>
      </w:r>
      <w:r>
        <w:rPr>
          <w:sz w:val="21"/>
        </w:rPr>
        <w:t>own</w:t>
      </w:r>
      <w:r>
        <w:rPr>
          <w:spacing w:val="-2"/>
          <w:sz w:val="21"/>
        </w:rPr>
        <w:t> </w:t>
      </w:r>
      <w:r>
        <w:rPr>
          <w:sz w:val="21"/>
        </w:rPr>
        <w:t>work</w:t>
      </w:r>
      <w:r>
        <w:rPr>
          <w:spacing w:val="-2"/>
          <w:sz w:val="21"/>
        </w:rPr>
        <w:t> </w:t>
      </w:r>
      <w:r>
        <w:rPr>
          <w:sz w:val="21"/>
        </w:rPr>
        <w:t>on</w:t>
      </w:r>
      <w:r>
        <w:rPr>
          <w:spacing w:val="-2"/>
          <w:sz w:val="21"/>
        </w:rPr>
        <w:t> </w:t>
      </w:r>
      <w:r>
        <w:rPr>
          <w:sz w:val="21"/>
        </w:rPr>
        <w:t>racial</w:t>
      </w:r>
      <w:r>
        <w:rPr>
          <w:spacing w:val="-2"/>
          <w:sz w:val="21"/>
        </w:rPr>
        <w:t> </w:t>
      </w:r>
      <w:r>
        <w:rPr>
          <w:sz w:val="21"/>
        </w:rPr>
        <w:t>justice,</w:t>
      </w:r>
      <w:r>
        <w:rPr>
          <w:spacing w:val="-1"/>
          <w:sz w:val="21"/>
        </w:rPr>
        <w:t> </w:t>
      </w:r>
      <w:r>
        <w:rPr>
          <w:sz w:val="21"/>
        </w:rPr>
        <w:t>it</w:t>
      </w:r>
      <w:r>
        <w:rPr>
          <w:spacing w:val="-3"/>
          <w:sz w:val="21"/>
        </w:rPr>
        <w:t> </w:t>
      </w:r>
      <w:r>
        <w:rPr>
          <w:sz w:val="21"/>
        </w:rPr>
        <w:t>looks</w:t>
      </w:r>
      <w:r>
        <w:rPr>
          <w:spacing w:val="-2"/>
          <w:sz w:val="21"/>
        </w:rPr>
        <w:t> </w:t>
      </w:r>
      <w:r>
        <w:rPr>
          <w:sz w:val="21"/>
        </w:rPr>
        <w:t>forward</w:t>
      </w:r>
      <w:r>
        <w:rPr>
          <w:spacing w:val="-2"/>
          <w:sz w:val="21"/>
        </w:rPr>
        <w:t> </w:t>
      </w:r>
      <w:r>
        <w:rPr>
          <w:sz w:val="21"/>
        </w:rPr>
        <w:t>to</w:t>
      </w:r>
      <w:r>
        <w:rPr>
          <w:spacing w:val="-3"/>
          <w:sz w:val="21"/>
        </w:rPr>
        <w:t> </w:t>
      </w:r>
      <w:r>
        <w:rPr>
          <w:sz w:val="21"/>
        </w:rPr>
        <w:t>continuing</w:t>
      </w:r>
      <w:r>
        <w:rPr>
          <w:spacing w:val="-2"/>
          <w:sz w:val="21"/>
        </w:rPr>
        <w:t> </w:t>
      </w:r>
      <w:r>
        <w:rPr>
          <w:sz w:val="21"/>
        </w:rPr>
        <w:t>this discussion with DESE, including how shared findings on the needs of BIPOC youth can inform the Safe Schools Program for LGBTQ Students delivery. The Safe Schools Program for LGBTQ Students has recently revised its training materials to place greater emphasis on racial equity and gender diversity for the 2024- 2025 school year. The program plans to conduct a training-of-trainers event in July 2024.</w:t>
      </w:r>
    </w:p>
    <w:p>
      <w:pPr>
        <w:spacing w:line="276" w:lineRule="auto" w:before="241"/>
        <w:ind w:left="624" w:right="478" w:firstLine="0"/>
        <w:jc w:val="both"/>
        <w:rPr>
          <w:sz w:val="21"/>
        </w:rPr>
      </w:pPr>
      <w:r>
        <w:rPr>
          <w:sz w:val="21"/>
        </w:rPr>
        <w:t>In</w:t>
      </w:r>
      <w:r>
        <w:rPr>
          <w:spacing w:val="-7"/>
          <w:sz w:val="21"/>
        </w:rPr>
        <w:t> </w:t>
      </w:r>
      <w:r>
        <w:rPr>
          <w:sz w:val="21"/>
        </w:rPr>
        <w:t>an</w:t>
      </w:r>
      <w:r>
        <w:rPr>
          <w:spacing w:val="-7"/>
          <w:sz w:val="21"/>
        </w:rPr>
        <w:t> </w:t>
      </w:r>
      <w:r>
        <w:rPr>
          <w:sz w:val="21"/>
        </w:rPr>
        <w:t>effort</w:t>
      </w:r>
      <w:r>
        <w:rPr>
          <w:spacing w:val="-6"/>
          <w:sz w:val="21"/>
        </w:rPr>
        <w:t> </w:t>
      </w:r>
      <w:r>
        <w:rPr>
          <w:sz w:val="21"/>
        </w:rPr>
        <w:t>to</w:t>
      </w:r>
      <w:r>
        <w:rPr>
          <w:spacing w:val="-8"/>
          <w:sz w:val="21"/>
        </w:rPr>
        <w:t> </w:t>
      </w:r>
      <w:r>
        <w:rPr>
          <w:sz w:val="21"/>
        </w:rPr>
        <w:t>reach</w:t>
      </w:r>
      <w:r>
        <w:rPr>
          <w:spacing w:val="-7"/>
          <w:sz w:val="21"/>
        </w:rPr>
        <w:t> </w:t>
      </w:r>
      <w:r>
        <w:rPr>
          <w:sz w:val="21"/>
        </w:rPr>
        <w:t>more</w:t>
      </w:r>
      <w:r>
        <w:rPr>
          <w:spacing w:val="-7"/>
          <w:sz w:val="21"/>
        </w:rPr>
        <w:t> </w:t>
      </w:r>
      <w:r>
        <w:rPr>
          <w:sz w:val="21"/>
        </w:rPr>
        <w:t>BIPOC</w:t>
      </w:r>
      <w:r>
        <w:rPr>
          <w:spacing w:val="-7"/>
          <w:sz w:val="21"/>
        </w:rPr>
        <w:t> </w:t>
      </w:r>
      <w:r>
        <w:rPr>
          <w:sz w:val="21"/>
        </w:rPr>
        <w:t>students</w:t>
      </w:r>
      <w:r>
        <w:rPr>
          <w:spacing w:val="-7"/>
          <w:sz w:val="21"/>
        </w:rPr>
        <w:t> </w:t>
      </w:r>
      <w:r>
        <w:rPr>
          <w:sz w:val="21"/>
        </w:rPr>
        <w:t>in</w:t>
      </w:r>
      <w:r>
        <w:rPr>
          <w:spacing w:val="-7"/>
          <w:sz w:val="21"/>
        </w:rPr>
        <w:t> </w:t>
      </w:r>
      <w:r>
        <w:rPr>
          <w:sz w:val="21"/>
        </w:rPr>
        <w:t>districts</w:t>
      </w:r>
      <w:r>
        <w:rPr>
          <w:spacing w:val="-7"/>
          <w:sz w:val="21"/>
        </w:rPr>
        <w:t> </w:t>
      </w:r>
      <w:r>
        <w:rPr>
          <w:sz w:val="21"/>
        </w:rPr>
        <w:t>across</w:t>
      </w:r>
      <w:r>
        <w:rPr>
          <w:spacing w:val="-7"/>
          <w:sz w:val="21"/>
        </w:rPr>
        <w:t> </w:t>
      </w:r>
      <w:r>
        <w:rPr>
          <w:sz w:val="21"/>
        </w:rPr>
        <w:t>the</w:t>
      </w:r>
      <w:r>
        <w:rPr>
          <w:spacing w:val="-7"/>
          <w:sz w:val="21"/>
        </w:rPr>
        <w:t> </w:t>
      </w:r>
      <w:r>
        <w:rPr>
          <w:sz w:val="21"/>
        </w:rPr>
        <w:t>state,</w:t>
      </w:r>
      <w:r>
        <w:rPr>
          <w:spacing w:val="-8"/>
          <w:sz w:val="21"/>
        </w:rPr>
        <w:t> </w:t>
      </w:r>
      <w:r>
        <w:rPr>
          <w:sz w:val="21"/>
        </w:rPr>
        <w:t>the</w:t>
      </w:r>
      <w:r>
        <w:rPr>
          <w:spacing w:val="-7"/>
          <w:sz w:val="21"/>
        </w:rPr>
        <w:t> </w:t>
      </w:r>
      <w:r>
        <w:rPr>
          <w:sz w:val="21"/>
        </w:rPr>
        <w:t>Commission</w:t>
      </w:r>
      <w:r>
        <w:rPr>
          <w:spacing w:val="-7"/>
          <w:sz w:val="21"/>
        </w:rPr>
        <w:t> </w:t>
      </w:r>
      <w:r>
        <w:rPr>
          <w:sz w:val="21"/>
        </w:rPr>
        <w:t>invites</w:t>
      </w:r>
      <w:r>
        <w:rPr>
          <w:spacing w:val="-7"/>
          <w:sz w:val="21"/>
        </w:rPr>
        <w:t> </w:t>
      </w:r>
      <w:r>
        <w:rPr>
          <w:sz w:val="21"/>
        </w:rPr>
        <w:t>DESE</w:t>
      </w:r>
      <w:r>
        <w:rPr>
          <w:spacing w:val="-7"/>
          <w:sz w:val="21"/>
        </w:rPr>
        <w:t> </w:t>
      </w:r>
      <w:r>
        <w:rPr>
          <w:sz w:val="21"/>
        </w:rPr>
        <w:t>to</w:t>
      </w:r>
      <w:r>
        <w:rPr>
          <w:spacing w:val="-7"/>
          <w:sz w:val="21"/>
        </w:rPr>
        <w:t> </w:t>
      </w:r>
      <w:r>
        <w:rPr>
          <w:sz w:val="21"/>
        </w:rPr>
        <w:t>work closely with the Safe Schools Program for LGBTQ Students in identifying an outreach plan for priority districts</w:t>
      </w:r>
      <w:r>
        <w:rPr>
          <w:spacing w:val="-1"/>
          <w:sz w:val="21"/>
        </w:rPr>
        <w:t> </w:t>
      </w:r>
      <w:r>
        <w:rPr>
          <w:sz w:val="21"/>
        </w:rPr>
        <w:t>for the</w:t>
      </w:r>
      <w:r>
        <w:rPr>
          <w:spacing w:val="-1"/>
          <w:sz w:val="21"/>
        </w:rPr>
        <w:t> </w:t>
      </w:r>
      <w:r>
        <w:rPr>
          <w:sz w:val="21"/>
        </w:rPr>
        <w:t>2024-2025</w:t>
      </w:r>
      <w:r>
        <w:rPr>
          <w:spacing w:val="-1"/>
          <w:sz w:val="21"/>
        </w:rPr>
        <w:t> </w:t>
      </w:r>
      <w:r>
        <w:rPr>
          <w:sz w:val="21"/>
        </w:rPr>
        <w:t>school</w:t>
      </w:r>
      <w:r>
        <w:rPr>
          <w:spacing w:val="-1"/>
          <w:sz w:val="21"/>
        </w:rPr>
        <w:t> </w:t>
      </w:r>
      <w:r>
        <w:rPr>
          <w:sz w:val="21"/>
        </w:rPr>
        <w:t>year.</w:t>
      </w:r>
      <w:r>
        <w:rPr>
          <w:spacing w:val="-1"/>
          <w:sz w:val="21"/>
        </w:rPr>
        <w:t> </w:t>
      </w:r>
      <w:r>
        <w:rPr>
          <w:sz w:val="21"/>
        </w:rPr>
        <w:t>This</w:t>
      </w:r>
      <w:r>
        <w:rPr>
          <w:spacing w:val="-1"/>
          <w:sz w:val="21"/>
        </w:rPr>
        <w:t> </w:t>
      </w:r>
      <w:r>
        <w:rPr>
          <w:sz w:val="21"/>
        </w:rPr>
        <w:t>would</w:t>
      </w:r>
      <w:r>
        <w:rPr>
          <w:spacing w:val="-1"/>
          <w:sz w:val="21"/>
        </w:rPr>
        <w:t> </w:t>
      </w:r>
      <w:r>
        <w:rPr>
          <w:sz w:val="21"/>
        </w:rPr>
        <w:t>include</w:t>
      </w:r>
      <w:r>
        <w:rPr>
          <w:spacing w:val="-1"/>
          <w:sz w:val="21"/>
        </w:rPr>
        <w:t> </w:t>
      </w:r>
      <w:r>
        <w:rPr>
          <w:sz w:val="21"/>
        </w:rPr>
        <w:t>creating</w:t>
      </w:r>
      <w:r>
        <w:rPr>
          <w:spacing w:val="-1"/>
          <w:sz w:val="21"/>
        </w:rPr>
        <w:t> </w:t>
      </w:r>
      <w:r>
        <w:rPr>
          <w:sz w:val="21"/>
        </w:rPr>
        <w:t>strategies</w:t>
      </w:r>
      <w:r>
        <w:rPr>
          <w:spacing w:val="-1"/>
          <w:sz w:val="21"/>
        </w:rPr>
        <w:t> </w:t>
      </w:r>
      <w:r>
        <w:rPr>
          <w:sz w:val="21"/>
        </w:rPr>
        <w:t>for increasing</w:t>
      </w:r>
      <w:r>
        <w:rPr>
          <w:spacing w:val="-1"/>
          <w:sz w:val="21"/>
        </w:rPr>
        <w:t> </w:t>
      </w:r>
      <w:r>
        <w:rPr>
          <w:sz w:val="21"/>
        </w:rPr>
        <w:t>attendance</w:t>
      </w:r>
      <w:r>
        <w:rPr>
          <w:spacing w:val="-1"/>
          <w:sz w:val="21"/>
        </w:rPr>
        <w:t> </w:t>
      </w:r>
      <w:r>
        <w:rPr>
          <w:sz w:val="21"/>
        </w:rPr>
        <w:t>at GSA Student Leadership Council meetings, providing training and technical assistance to districts, and understanding the landscape of BIPOC affinity student groups in schools across the state.</w:t>
      </w:r>
    </w:p>
    <w:p>
      <w:pPr>
        <w:pStyle w:val="ListParagraph"/>
        <w:numPr>
          <w:ilvl w:val="0"/>
          <w:numId w:val="33"/>
        </w:numPr>
        <w:tabs>
          <w:tab w:pos="623" w:val="left" w:leader="none"/>
        </w:tabs>
        <w:spacing w:line="240" w:lineRule="auto" w:before="240" w:after="0"/>
        <w:ind w:left="623" w:right="0" w:hanging="359"/>
        <w:jc w:val="left"/>
        <w:rPr>
          <w:b/>
          <w:sz w:val="21"/>
        </w:rPr>
      </w:pPr>
      <w:r>
        <w:rPr>
          <w:b/>
          <w:spacing w:val="-2"/>
          <w:sz w:val="21"/>
        </w:rPr>
        <w:t>Enhance</w:t>
      </w:r>
      <w:r>
        <w:rPr>
          <w:b/>
          <w:spacing w:val="-1"/>
          <w:sz w:val="21"/>
        </w:rPr>
        <w:t> </w:t>
      </w:r>
      <w:r>
        <w:rPr>
          <w:b/>
          <w:spacing w:val="-2"/>
          <w:sz w:val="21"/>
        </w:rPr>
        <w:t>internal</w:t>
      </w:r>
      <w:r>
        <w:rPr>
          <w:b/>
          <w:spacing w:val="1"/>
          <w:sz w:val="21"/>
        </w:rPr>
        <w:t> </w:t>
      </w:r>
      <w:r>
        <w:rPr>
          <w:b/>
          <w:spacing w:val="-2"/>
          <w:sz w:val="21"/>
        </w:rPr>
        <w:t>and</w:t>
      </w:r>
      <w:r>
        <w:rPr>
          <w:b/>
          <w:spacing w:val="1"/>
          <w:sz w:val="21"/>
        </w:rPr>
        <w:t> </w:t>
      </w:r>
      <w:r>
        <w:rPr>
          <w:b/>
          <w:spacing w:val="-2"/>
          <w:sz w:val="21"/>
        </w:rPr>
        <w:t>district-level</w:t>
      </w:r>
      <w:r>
        <w:rPr>
          <w:b/>
          <w:spacing w:val="1"/>
          <w:sz w:val="21"/>
        </w:rPr>
        <w:t> </w:t>
      </w:r>
      <w:r>
        <w:rPr>
          <w:b/>
          <w:spacing w:val="-2"/>
          <w:sz w:val="21"/>
        </w:rPr>
        <w:t>capacity</w:t>
      </w:r>
      <w:r>
        <w:rPr>
          <w:b/>
          <w:spacing w:val="1"/>
          <w:sz w:val="21"/>
        </w:rPr>
        <w:t> </w:t>
      </w:r>
      <w:r>
        <w:rPr>
          <w:b/>
          <w:spacing w:val="-2"/>
          <w:sz w:val="21"/>
        </w:rPr>
        <w:t>for</w:t>
      </w:r>
      <w:r>
        <w:rPr>
          <w:b/>
          <w:spacing w:val="1"/>
          <w:sz w:val="21"/>
        </w:rPr>
        <w:t> </w:t>
      </w:r>
      <w:r>
        <w:rPr>
          <w:b/>
          <w:spacing w:val="-2"/>
          <w:sz w:val="21"/>
        </w:rPr>
        <w:t>LGBTQ+</w:t>
      </w:r>
      <w:r>
        <w:rPr>
          <w:b/>
          <w:spacing w:val="1"/>
          <w:sz w:val="21"/>
        </w:rPr>
        <w:t> </w:t>
      </w:r>
      <w:r>
        <w:rPr>
          <w:b/>
          <w:spacing w:val="-2"/>
          <w:sz w:val="21"/>
        </w:rPr>
        <w:t>inclusion</w:t>
      </w:r>
      <w:r>
        <w:rPr>
          <w:b/>
          <w:spacing w:val="1"/>
          <w:sz w:val="21"/>
        </w:rPr>
        <w:t> </w:t>
      </w:r>
      <w:r>
        <w:rPr>
          <w:b/>
          <w:spacing w:val="-2"/>
          <w:sz w:val="21"/>
        </w:rPr>
        <w:t>trainings</w:t>
      </w:r>
      <w:r>
        <w:rPr>
          <w:b/>
          <w:spacing w:val="1"/>
          <w:sz w:val="21"/>
        </w:rPr>
        <w:t> </w:t>
      </w:r>
      <w:r>
        <w:rPr>
          <w:b/>
          <w:spacing w:val="-2"/>
          <w:sz w:val="21"/>
        </w:rPr>
        <w:t>and</w:t>
      </w:r>
      <w:r>
        <w:rPr>
          <w:b/>
          <w:spacing w:val="1"/>
          <w:sz w:val="21"/>
        </w:rPr>
        <w:t> </w:t>
      </w:r>
      <w:r>
        <w:rPr>
          <w:b/>
          <w:spacing w:val="-2"/>
          <w:sz w:val="21"/>
        </w:rPr>
        <w:t>professional</w:t>
      </w:r>
      <w:r>
        <w:rPr>
          <w:b/>
          <w:spacing w:val="1"/>
          <w:sz w:val="21"/>
        </w:rPr>
        <w:t> </w:t>
      </w:r>
      <w:r>
        <w:rPr>
          <w:b/>
          <w:spacing w:val="-2"/>
          <w:sz w:val="21"/>
        </w:rPr>
        <w:t>development.</w:t>
      </w:r>
    </w:p>
    <w:p>
      <w:pPr>
        <w:pStyle w:val="BodyText"/>
        <w:spacing w:before="23"/>
        <w:rPr>
          <w:b/>
          <w:sz w:val="21"/>
        </w:rPr>
      </w:pPr>
    </w:p>
    <w:p>
      <w:pPr>
        <w:spacing w:line="276" w:lineRule="auto" w:before="0"/>
        <w:ind w:left="624" w:right="481" w:firstLine="0"/>
        <w:jc w:val="both"/>
        <w:rPr>
          <w:sz w:val="21"/>
        </w:rPr>
      </w:pPr>
      <w:r>
        <w:rPr>
          <w:sz w:val="21"/>
        </w:rPr>
        <w:t>The Commission aims to collaborate with DESE to strengthen the Department's and individual school districts'</w:t>
      </w:r>
      <w:r>
        <w:rPr>
          <w:spacing w:val="-5"/>
          <w:sz w:val="21"/>
        </w:rPr>
        <w:t> </w:t>
      </w:r>
      <w:r>
        <w:rPr>
          <w:sz w:val="21"/>
        </w:rPr>
        <w:t>capacity</w:t>
      </w:r>
      <w:r>
        <w:rPr>
          <w:spacing w:val="-5"/>
          <w:sz w:val="21"/>
        </w:rPr>
        <w:t> </w:t>
      </w:r>
      <w:r>
        <w:rPr>
          <w:sz w:val="21"/>
        </w:rPr>
        <w:t>to</w:t>
      </w:r>
      <w:r>
        <w:rPr>
          <w:spacing w:val="-5"/>
          <w:sz w:val="21"/>
        </w:rPr>
        <w:t> </w:t>
      </w:r>
      <w:r>
        <w:rPr>
          <w:sz w:val="21"/>
        </w:rPr>
        <w:t>implement</w:t>
      </w:r>
      <w:r>
        <w:rPr>
          <w:spacing w:val="-5"/>
          <w:sz w:val="21"/>
        </w:rPr>
        <w:t> </w:t>
      </w:r>
      <w:r>
        <w:rPr>
          <w:sz w:val="21"/>
        </w:rPr>
        <w:t>initiatives</w:t>
      </w:r>
      <w:r>
        <w:rPr>
          <w:spacing w:val="-6"/>
          <w:sz w:val="21"/>
        </w:rPr>
        <w:t> </w:t>
      </w:r>
      <w:r>
        <w:rPr>
          <w:sz w:val="21"/>
        </w:rPr>
        <w:t>such</w:t>
      </w:r>
      <w:r>
        <w:rPr>
          <w:spacing w:val="-5"/>
          <w:sz w:val="21"/>
        </w:rPr>
        <w:t> </w:t>
      </w:r>
      <w:r>
        <w:rPr>
          <w:sz w:val="21"/>
        </w:rPr>
        <w:t>as</w:t>
      </w:r>
      <w:r>
        <w:rPr>
          <w:spacing w:val="-5"/>
          <w:sz w:val="21"/>
        </w:rPr>
        <w:t> </w:t>
      </w:r>
      <w:r>
        <w:rPr>
          <w:sz w:val="21"/>
        </w:rPr>
        <w:t>district-wide</w:t>
      </w:r>
      <w:r>
        <w:rPr>
          <w:spacing w:val="-5"/>
          <w:sz w:val="21"/>
        </w:rPr>
        <w:t> </w:t>
      </w:r>
      <w:r>
        <w:rPr>
          <w:sz w:val="21"/>
        </w:rPr>
        <w:t>LGBTQ+</w:t>
      </w:r>
      <w:r>
        <w:rPr>
          <w:spacing w:val="-5"/>
          <w:sz w:val="21"/>
        </w:rPr>
        <w:t> </w:t>
      </w:r>
      <w:r>
        <w:rPr>
          <w:sz w:val="21"/>
        </w:rPr>
        <w:t>inclusion</w:t>
      </w:r>
      <w:r>
        <w:rPr>
          <w:spacing w:val="-5"/>
          <w:sz w:val="21"/>
        </w:rPr>
        <w:t> </w:t>
      </w:r>
      <w:r>
        <w:rPr>
          <w:sz w:val="21"/>
        </w:rPr>
        <w:t>trainings,</w:t>
      </w:r>
      <w:r>
        <w:rPr>
          <w:spacing w:val="-5"/>
          <w:sz w:val="21"/>
        </w:rPr>
        <w:t> </w:t>
      </w:r>
      <w:r>
        <w:rPr>
          <w:sz w:val="21"/>
        </w:rPr>
        <w:t>superintendent training,</w:t>
      </w:r>
      <w:r>
        <w:rPr>
          <w:spacing w:val="-10"/>
          <w:sz w:val="21"/>
        </w:rPr>
        <w:t> </w:t>
      </w:r>
      <w:r>
        <w:rPr>
          <w:sz w:val="21"/>
        </w:rPr>
        <w:t>and</w:t>
      </w:r>
      <w:r>
        <w:rPr>
          <w:spacing w:val="-10"/>
          <w:sz w:val="21"/>
        </w:rPr>
        <w:t> </w:t>
      </w:r>
      <w:r>
        <w:rPr>
          <w:sz w:val="21"/>
        </w:rPr>
        <w:t>other</w:t>
      </w:r>
      <w:r>
        <w:rPr>
          <w:spacing w:val="-10"/>
          <w:sz w:val="21"/>
        </w:rPr>
        <w:t> </w:t>
      </w:r>
      <w:r>
        <w:rPr>
          <w:sz w:val="21"/>
        </w:rPr>
        <w:t>professional</w:t>
      </w:r>
      <w:r>
        <w:rPr>
          <w:spacing w:val="-10"/>
          <w:sz w:val="21"/>
        </w:rPr>
        <w:t> </w:t>
      </w:r>
      <w:r>
        <w:rPr>
          <w:sz w:val="21"/>
        </w:rPr>
        <w:t>development</w:t>
      </w:r>
      <w:r>
        <w:rPr>
          <w:spacing w:val="-10"/>
          <w:sz w:val="21"/>
        </w:rPr>
        <w:t> </w:t>
      </w:r>
      <w:r>
        <w:rPr>
          <w:sz w:val="21"/>
        </w:rPr>
        <w:t>related</w:t>
      </w:r>
      <w:r>
        <w:rPr>
          <w:spacing w:val="-11"/>
          <w:sz w:val="21"/>
        </w:rPr>
        <w:t> </w:t>
      </w:r>
      <w:r>
        <w:rPr>
          <w:sz w:val="21"/>
        </w:rPr>
        <w:t>to</w:t>
      </w:r>
      <w:r>
        <w:rPr>
          <w:spacing w:val="-12"/>
          <w:sz w:val="21"/>
        </w:rPr>
        <w:t> </w:t>
      </w:r>
      <w:r>
        <w:rPr>
          <w:sz w:val="21"/>
        </w:rPr>
        <w:t>LGBTQ</w:t>
      </w:r>
      <w:r>
        <w:rPr>
          <w:spacing w:val="-10"/>
          <w:sz w:val="21"/>
        </w:rPr>
        <w:t> </w:t>
      </w:r>
      <w:r>
        <w:rPr>
          <w:sz w:val="21"/>
        </w:rPr>
        <w:t>issues.</w:t>
      </w:r>
      <w:r>
        <w:rPr>
          <w:spacing w:val="-9"/>
          <w:sz w:val="21"/>
        </w:rPr>
        <w:t> </w:t>
      </w:r>
      <w:r>
        <w:rPr>
          <w:sz w:val="21"/>
        </w:rPr>
        <w:t>The</w:t>
      </w:r>
      <w:r>
        <w:rPr>
          <w:spacing w:val="-10"/>
          <w:sz w:val="21"/>
        </w:rPr>
        <w:t> </w:t>
      </w:r>
      <w:r>
        <w:rPr>
          <w:sz w:val="21"/>
        </w:rPr>
        <w:t>Safe</w:t>
      </w:r>
      <w:r>
        <w:rPr>
          <w:spacing w:val="-10"/>
          <w:sz w:val="21"/>
        </w:rPr>
        <w:t> </w:t>
      </w:r>
      <w:r>
        <w:rPr>
          <w:sz w:val="21"/>
        </w:rPr>
        <w:t>Schools</w:t>
      </w:r>
      <w:r>
        <w:rPr>
          <w:spacing w:val="-11"/>
          <w:sz w:val="21"/>
        </w:rPr>
        <w:t> </w:t>
      </w:r>
      <w:r>
        <w:rPr>
          <w:sz w:val="21"/>
        </w:rPr>
        <w:t>Program</w:t>
      </w:r>
      <w:r>
        <w:rPr>
          <w:spacing w:val="-10"/>
          <w:sz w:val="21"/>
        </w:rPr>
        <w:t> </w:t>
      </w:r>
      <w:r>
        <w:rPr>
          <w:sz w:val="21"/>
        </w:rPr>
        <w:t>for</w:t>
      </w:r>
      <w:r>
        <w:rPr>
          <w:spacing w:val="-10"/>
          <w:sz w:val="21"/>
        </w:rPr>
        <w:t> </w:t>
      </w:r>
      <w:r>
        <w:rPr>
          <w:sz w:val="21"/>
        </w:rPr>
        <w:t>LGBTQ</w:t>
      </w:r>
    </w:p>
    <w:p>
      <w:pPr>
        <w:spacing w:after="0" w:line="276" w:lineRule="auto"/>
        <w:jc w:val="both"/>
        <w:rPr>
          <w:sz w:val="21"/>
        </w:rPr>
        <w:sectPr>
          <w:pgSz w:w="12240" w:h="15840"/>
          <w:pgMar w:header="763" w:footer="1041" w:top="960" w:bottom="1240" w:left="960" w:right="1100"/>
        </w:sectPr>
      </w:pPr>
    </w:p>
    <w:p>
      <w:pPr>
        <w:spacing w:line="276" w:lineRule="auto" w:before="250"/>
        <w:ind w:left="624" w:right="481" w:firstLine="0"/>
        <w:jc w:val="both"/>
        <w:rPr>
          <w:sz w:val="21"/>
        </w:rPr>
      </w:pPr>
      <w:r>
        <w:rPr>
          <w:sz w:val="21"/>
        </w:rPr>
        <w:t>Students has expanded its ability to facilitate district-wide initiatives and looks forward to deepening collaborative opportunities with statewide associations. Together, the collaboration will lead to the creation of strategic approaches to support district leaders in fostering inclusive and supportive learning environments for LGBTQ students.</w:t>
      </w:r>
    </w:p>
    <w:p>
      <w:pPr>
        <w:pStyle w:val="ListParagraph"/>
        <w:numPr>
          <w:ilvl w:val="0"/>
          <w:numId w:val="33"/>
        </w:numPr>
        <w:tabs>
          <w:tab w:pos="623" w:val="left" w:leader="none"/>
        </w:tabs>
        <w:spacing w:line="240" w:lineRule="auto" w:before="239" w:after="0"/>
        <w:ind w:left="623" w:right="0" w:hanging="359"/>
        <w:jc w:val="left"/>
        <w:rPr>
          <w:b/>
          <w:sz w:val="21"/>
        </w:rPr>
      </w:pPr>
      <w:r>
        <w:rPr>
          <w:b/>
          <w:sz w:val="21"/>
        </w:rPr>
        <w:t>Continue</w:t>
      </w:r>
      <w:r>
        <w:rPr>
          <w:b/>
          <w:spacing w:val="-6"/>
          <w:sz w:val="21"/>
        </w:rPr>
        <w:t> </w:t>
      </w:r>
      <w:r>
        <w:rPr>
          <w:b/>
          <w:sz w:val="21"/>
        </w:rPr>
        <w:t>collaboration</w:t>
      </w:r>
      <w:r>
        <w:rPr>
          <w:b/>
          <w:spacing w:val="-3"/>
          <w:sz w:val="21"/>
        </w:rPr>
        <w:t> </w:t>
      </w:r>
      <w:r>
        <w:rPr>
          <w:b/>
          <w:sz w:val="21"/>
        </w:rPr>
        <w:t>to</w:t>
      </w:r>
      <w:r>
        <w:rPr>
          <w:b/>
          <w:spacing w:val="-3"/>
          <w:sz w:val="21"/>
        </w:rPr>
        <w:t> </w:t>
      </w:r>
      <w:r>
        <w:rPr>
          <w:b/>
          <w:sz w:val="21"/>
        </w:rPr>
        <w:t>support</w:t>
      </w:r>
      <w:r>
        <w:rPr>
          <w:b/>
          <w:spacing w:val="-3"/>
          <w:sz w:val="21"/>
        </w:rPr>
        <w:t> </w:t>
      </w:r>
      <w:r>
        <w:rPr>
          <w:b/>
          <w:sz w:val="21"/>
        </w:rPr>
        <w:t>nonbinary</w:t>
      </w:r>
      <w:r>
        <w:rPr>
          <w:b/>
          <w:spacing w:val="-4"/>
          <w:sz w:val="21"/>
        </w:rPr>
        <w:t> </w:t>
      </w:r>
      <w:r>
        <w:rPr>
          <w:b/>
          <w:sz w:val="21"/>
        </w:rPr>
        <w:t>students,</w:t>
      </w:r>
      <w:r>
        <w:rPr>
          <w:b/>
          <w:spacing w:val="-3"/>
          <w:sz w:val="21"/>
        </w:rPr>
        <w:t> </w:t>
      </w:r>
      <w:r>
        <w:rPr>
          <w:b/>
          <w:sz w:val="21"/>
        </w:rPr>
        <w:t>educators,</w:t>
      </w:r>
      <w:r>
        <w:rPr>
          <w:b/>
          <w:spacing w:val="-3"/>
          <w:sz w:val="21"/>
        </w:rPr>
        <w:t> </w:t>
      </w:r>
      <w:r>
        <w:rPr>
          <w:b/>
          <w:sz w:val="21"/>
        </w:rPr>
        <w:t>and</w:t>
      </w:r>
      <w:r>
        <w:rPr>
          <w:b/>
          <w:spacing w:val="-3"/>
          <w:sz w:val="21"/>
        </w:rPr>
        <w:t> </w:t>
      </w:r>
      <w:r>
        <w:rPr>
          <w:b/>
          <w:spacing w:val="-2"/>
          <w:sz w:val="21"/>
        </w:rPr>
        <w:t>staff.</w:t>
      </w:r>
    </w:p>
    <w:p>
      <w:pPr>
        <w:pStyle w:val="BodyText"/>
        <w:spacing w:before="23"/>
        <w:rPr>
          <w:b/>
          <w:sz w:val="21"/>
        </w:rPr>
      </w:pPr>
    </w:p>
    <w:p>
      <w:pPr>
        <w:spacing w:line="276" w:lineRule="auto" w:before="0"/>
        <w:ind w:left="624" w:right="479" w:firstLine="0"/>
        <w:jc w:val="both"/>
        <w:rPr>
          <w:sz w:val="21"/>
        </w:rPr>
      </w:pPr>
      <w:r>
        <w:rPr>
          <w:sz w:val="21"/>
        </w:rPr>
        <w:t>DESE</w:t>
      </w:r>
      <w:r>
        <w:rPr>
          <w:spacing w:val="-9"/>
          <w:sz w:val="21"/>
        </w:rPr>
        <w:t> </w:t>
      </w:r>
      <w:r>
        <w:rPr>
          <w:sz w:val="21"/>
        </w:rPr>
        <w:t>has</w:t>
      </w:r>
      <w:r>
        <w:rPr>
          <w:spacing w:val="-9"/>
          <w:sz w:val="21"/>
        </w:rPr>
        <w:t> </w:t>
      </w:r>
      <w:r>
        <w:rPr>
          <w:sz w:val="21"/>
        </w:rPr>
        <w:t>shown</w:t>
      </w:r>
      <w:r>
        <w:rPr>
          <w:spacing w:val="-9"/>
          <w:sz w:val="21"/>
        </w:rPr>
        <w:t> </w:t>
      </w:r>
      <w:r>
        <w:rPr>
          <w:sz w:val="21"/>
        </w:rPr>
        <w:t>a</w:t>
      </w:r>
      <w:r>
        <w:rPr>
          <w:spacing w:val="-9"/>
          <w:sz w:val="21"/>
        </w:rPr>
        <w:t> </w:t>
      </w:r>
      <w:r>
        <w:rPr>
          <w:sz w:val="21"/>
        </w:rPr>
        <w:t>strong</w:t>
      </w:r>
      <w:r>
        <w:rPr>
          <w:spacing w:val="-9"/>
          <w:sz w:val="21"/>
        </w:rPr>
        <w:t> </w:t>
      </w:r>
      <w:r>
        <w:rPr>
          <w:sz w:val="21"/>
        </w:rPr>
        <w:t>commitment</w:t>
      </w:r>
      <w:r>
        <w:rPr>
          <w:spacing w:val="-9"/>
          <w:sz w:val="21"/>
        </w:rPr>
        <w:t> </w:t>
      </w:r>
      <w:r>
        <w:rPr>
          <w:sz w:val="21"/>
        </w:rPr>
        <w:t>to</w:t>
      </w:r>
      <w:r>
        <w:rPr>
          <w:spacing w:val="-9"/>
          <w:sz w:val="21"/>
        </w:rPr>
        <w:t> </w:t>
      </w:r>
      <w:r>
        <w:rPr>
          <w:sz w:val="21"/>
        </w:rPr>
        <w:t>supporting</w:t>
      </w:r>
      <w:r>
        <w:rPr>
          <w:spacing w:val="-8"/>
          <w:sz w:val="21"/>
        </w:rPr>
        <w:t> </w:t>
      </w:r>
      <w:r>
        <w:rPr>
          <w:sz w:val="21"/>
        </w:rPr>
        <w:t>nonbinary</w:t>
      </w:r>
      <w:r>
        <w:rPr>
          <w:spacing w:val="-9"/>
          <w:sz w:val="21"/>
        </w:rPr>
        <w:t> </w:t>
      </w:r>
      <w:r>
        <w:rPr>
          <w:sz w:val="21"/>
        </w:rPr>
        <w:t>students</w:t>
      </w:r>
      <w:r>
        <w:rPr>
          <w:spacing w:val="-9"/>
          <w:sz w:val="21"/>
        </w:rPr>
        <w:t> </w:t>
      </w:r>
      <w:r>
        <w:rPr>
          <w:sz w:val="21"/>
        </w:rPr>
        <w:t>over</w:t>
      </w:r>
      <w:r>
        <w:rPr>
          <w:spacing w:val="-9"/>
          <w:sz w:val="21"/>
        </w:rPr>
        <w:t> </w:t>
      </w:r>
      <w:r>
        <w:rPr>
          <w:sz w:val="21"/>
        </w:rPr>
        <w:t>the</w:t>
      </w:r>
      <w:r>
        <w:rPr>
          <w:spacing w:val="-9"/>
          <w:sz w:val="21"/>
        </w:rPr>
        <w:t> </w:t>
      </w:r>
      <w:r>
        <w:rPr>
          <w:sz w:val="21"/>
        </w:rPr>
        <w:t>past</w:t>
      </w:r>
      <w:r>
        <w:rPr>
          <w:spacing w:val="-8"/>
          <w:sz w:val="21"/>
        </w:rPr>
        <w:t> </w:t>
      </w:r>
      <w:r>
        <w:rPr>
          <w:sz w:val="21"/>
        </w:rPr>
        <w:t>few</w:t>
      </w:r>
      <w:r>
        <w:rPr>
          <w:spacing w:val="-9"/>
          <w:sz w:val="21"/>
        </w:rPr>
        <w:t> </w:t>
      </w:r>
      <w:r>
        <w:rPr>
          <w:sz w:val="21"/>
        </w:rPr>
        <w:t>years.</w:t>
      </w:r>
      <w:r>
        <w:rPr>
          <w:spacing w:val="-9"/>
          <w:sz w:val="21"/>
        </w:rPr>
        <w:t> </w:t>
      </w:r>
      <w:r>
        <w:rPr>
          <w:sz w:val="21"/>
        </w:rPr>
        <w:t>Initiatives such as incorporating a nonbinary data element in the Student Information Management System (SIMS) and collecting data on gender identity and expression through the MYRBS have provided the Commonwealth with invaluable insights. The Commission recommends that DESE continue collaborating with the Commission, the GSA Student Leadership Council, and the Safe Schools Program for LGBTQ Students to develop new ways to support nonbinary students, educators, and staff in schools. The Commission recommends DESE explore additional methods to strengthen and update guidance related to supporting transgender students, with a specific emphasis on nonbinary students and those facing intersecting discrimination based on race, gender, disability, and other marginalized identities.</w:t>
      </w:r>
    </w:p>
    <w:p>
      <w:pPr>
        <w:pStyle w:val="ListParagraph"/>
        <w:numPr>
          <w:ilvl w:val="0"/>
          <w:numId w:val="33"/>
        </w:numPr>
        <w:tabs>
          <w:tab w:pos="623" w:val="left" w:leader="none"/>
        </w:tabs>
        <w:spacing w:line="276" w:lineRule="auto" w:before="240" w:after="0"/>
        <w:ind w:left="623" w:right="482" w:hanging="360"/>
        <w:jc w:val="left"/>
        <w:rPr>
          <w:b/>
          <w:sz w:val="21"/>
        </w:rPr>
      </w:pPr>
      <w:r>
        <w:rPr>
          <w:b/>
          <w:sz w:val="21"/>
        </w:rPr>
        <w:t>Integrate</w:t>
      </w:r>
      <w:r>
        <w:rPr>
          <w:b/>
          <w:spacing w:val="40"/>
          <w:sz w:val="21"/>
        </w:rPr>
        <w:t> </w:t>
      </w:r>
      <w:r>
        <w:rPr>
          <w:b/>
          <w:sz w:val="21"/>
        </w:rPr>
        <w:t>LGBTQ+</w:t>
      </w:r>
      <w:r>
        <w:rPr>
          <w:b/>
          <w:spacing w:val="40"/>
          <w:sz w:val="21"/>
        </w:rPr>
        <w:t> </w:t>
      </w:r>
      <w:r>
        <w:rPr>
          <w:b/>
          <w:sz w:val="21"/>
        </w:rPr>
        <w:t>identities</w:t>
      </w:r>
      <w:r>
        <w:rPr>
          <w:b/>
          <w:spacing w:val="40"/>
          <w:sz w:val="21"/>
        </w:rPr>
        <w:t> </w:t>
      </w:r>
      <w:r>
        <w:rPr>
          <w:b/>
          <w:sz w:val="21"/>
        </w:rPr>
        <w:t>into</w:t>
      </w:r>
      <w:r>
        <w:rPr>
          <w:b/>
          <w:spacing w:val="40"/>
          <w:sz w:val="21"/>
        </w:rPr>
        <w:t> </w:t>
      </w:r>
      <w:r>
        <w:rPr>
          <w:b/>
          <w:sz w:val="21"/>
        </w:rPr>
        <w:t>the</w:t>
      </w:r>
      <w:r>
        <w:rPr>
          <w:b/>
          <w:spacing w:val="40"/>
          <w:sz w:val="21"/>
        </w:rPr>
        <w:t> </w:t>
      </w:r>
      <w:r>
        <w:rPr>
          <w:b/>
          <w:sz w:val="21"/>
        </w:rPr>
        <w:t>District</w:t>
      </w:r>
      <w:r>
        <w:rPr>
          <w:b/>
          <w:spacing w:val="40"/>
          <w:sz w:val="21"/>
        </w:rPr>
        <w:t> </w:t>
      </w:r>
      <w:r>
        <w:rPr>
          <w:b/>
          <w:sz w:val="21"/>
        </w:rPr>
        <w:t>Standards</w:t>
      </w:r>
      <w:r>
        <w:rPr>
          <w:b/>
          <w:spacing w:val="40"/>
          <w:sz w:val="21"/>
        </w:rPr>
        <w:t> </w:t>
      </w:r>
      <w:r>
        <w:rPr>
          <w:b/>
          <w:sz w:val="21"/>
        </w:rPr>
        <w:t>and</w:t>
      </w:r>
      <w:r>
        <w:rPr>
          <w:b/>
          <w:spacing w:val="40"/>
          <w:sz w:val="21"/>
        </w:rPr>
        <w:t> </w:t>
      </w:r>
      <w:r>
        <w:rPr>
          <w:b/>
          <w:sz w:val="21"/>
        </w:rPr>
        <w:t>Indicators</w:t>
      </w:r>
      <w:r>
        <w:rPr>
          <w:b/>
          <w:spacing w:val="40"/>
          <w:sz w:val="21"/>
        </w:rPr>
        <w:t> </w:t>
      </w:r>
      <w:r>
        <w:rPr>
          <w:b/>
          <w:sz w:val="21"/>
        </w:rPr>
        <w:t>and</w:t>
      </w:r>
      <w:r>
        <w:rPr>
          <w:b/>
          <w:spacing w:val="40"/>
          <w:sz w:val="21"/>
        </w:rPr>
        <w:t> </w:t>
      </w:r>
      <w:r>
        <w:rPr>
          <w:b/>
          <w:sz w:val="21"/>
        </w:rPr>
        <w:t>the</w:t>
      </w:r>
      <w:r>
        <w:rPr>
          <w:b/>
          <w:spacing w:val="40"/>
          <w:sz w:val="21"/>
        </w:rPr>
        <w:t> </w:t>
      </w:r>
      <w:r>
        <w:rPr>
          <w:b/>
          <w:sz w:val="21"/>
        </w:rPr>
        <w:t>associated</w:t>
      </w:r>
      <w:r>
        <w:rPr>
          <w:b/>
          <w:spacing w:val="40"/>
          <w:sz w:val="21"/>
        </w:rPr>
        <w:t> </w:t>
      </w:r>
      <w:r>
        <w:rPr>
          <w:b/>
          <w:sz w:val="21"/>
        </w:rPr>
        <w:t>artifacts </w:t>
      </w:r>
      <w:r>
        <w:rPr>
          <w:b/>
          <w:spacing w:val="-2"/>
          <w:sz w:val="21"/>
        </w:rPr>
        <w:t>collected.</w:t>
      </w:r>
    </w:p>
    <w:p>
      <w:pPr>
        <w:spacing w:line="276" w:lineRule="auto" w:before="240"/>
        <w:ind w:left="623" w:right="481" w:firstLine="0"/>
        <w:jc w:val="both"/>
        <w:rPr>
          <w:sz w:val="21"/>
        </w:rPr>
      </w:pPr>
      <w:r>
        <w:rPr>
          <w:sz w:val="21"/>
        </w:rPr>
        <w:t>As DESE reviews and updates its District Standards and Indicators—the agency’s guiding document for defining effective school district policy and practice—it is recommended that a thoughtful approach be taken to further integrate LGBTQ+ identities into the standards and the associated artifacts collected. This is</w:t>
      </w:r>
      <w:r>
        <w:rPr>
          <w:spacing w:val="-9"/>
          <w:sz w:val="21"/>
        </w:rPr>
        <w:t> </w:t>
      </w:r>
      <w:r>
        <w:rPr>
          <w:sz w:val="21"/>
        </w:rPr>
        <w:t>crucial</w:t>
      </w:r>
      <w:r>
        <w:rPr>
          <w:spacing w:val="-8"/>
          <w:sz w:val="21"/>
        </w:rPr>
        <w:t> </w:t>
      </w:r>
      <w:r>
        <w:rPr>
          <w:sz w:val="21"/>
        </w:rPr>
        <w:t>for</w:t>
      </w:r>
      <w:r>
        <w:rPr>
          <w:spacing w:val="-7"/>
          <w:sz w:val="21"/>
        </w:rPr>
        <w:t> </w:t>
      </w:r>
      <w:r>
        <w:rPr>
          <w:sz w:val="21"/>
        </w:rPr>
        <w:t>the</w:t>
      </w:r>
      <w:r>
        <w:rPr>
          <w:spacing w:val="-8"/>
          <w:sz w:val="21"/>
        </w:rPr>
        <w:t> </w:t>
      </w:r>
      <w:r>
        <w:rPr>
          <w:sz w:val="21"/>
        </w:rPr>
        <w:t>focus</w:t>
      </w:r>
      <w:r>
        <w:rPr>
          <w:spacing w:val="-8"/>
          <w:sz w:val="21"/>
        </w:rPr>
        <w:t> </w:t>
      </w:r>
      <w:r>
        <w:rPr>
          <w:sz w:val="21"/>
        </w:rPr>
        <w:t>on</w:t>
      </w:r>
      <w:r>
        <w:rPr>
          <w:spacing w:val="-7"/>
          <w:sz w:val="21"/>
        </w:rPr>
        <w:t> </w:t>
      </w:r>
      <w:r>
        <w:rPr>
          <w:sz w:val="21"/>
        </w:rPr>
        <w:t>equity</w:t>
      </w:r>
      <w:r>
        <w:rPr>
          <w:spacing w:val="-8"/>
          <w:sz w:val="21"/>
        </w:rPr>
        <w:t> </w:t>
      </w:r>
      <w:r>
        <w:rPr>
          <w:sz w:val="21"/>
        </w:rPr>
        <w:t>that</w:t>
      </w:r>
      <w:r>
        <w:rPr>
          <w:spacing w:val="-8"/>
          <w:sz w:val="21"/>
        </w:rPr>
        <w:t> </w:t>
      </w:r>
      <w:r>
        <w:rPr>
          <w:sz w:val="21"/>
        </w:rPr>
        <w:t>all</w:t>
      </w:r>
      <w:r>
        <w:rPr>
          <w:spacing w:val="-8"/>
          <w:sz w:val="21"/>
        </w:rPr>
        <w:t> </w:t>
      </w:r>
      <w:r>
        <w:rPr>
          <w:sz w:val="21"/>
        </w:rPr>
        <w:t>school</w:t>
      </w:r>
      <w:r>
        <w:rPr>
          <w:spacing w:val="-8"/>
          <w:sz w:val="21"/>
        </w:rPr>
        <w:t> </w:t>
      </w:r>
      <w:r>
        <w:rPr>
          <w:sz w:val="21"/>
        </w:rPr>
        <w:t>districts</w:t>
      </w:r>
      <w:r>
        <w:rPr>
          <w:spacing w:val="-7"/>
          <w:sz w:val="21"/>
        </w:rPr>
        <w:t> </w:t>
      </w:r>
      <w:r>
        <w:rPr>
          <w:sz w:val="21"/>
        </w:rPr>
        <w:t>must</w:t>
      </w:r>
      <w:r>
        <w:rPr>
          <w:spacing w:val="-7"/>
          <w:sz w:val="21"/>
        </w:rPr>
        <w:t> </w:t>
      </w:r>
      <w:r>
        <w:rPr>
          <w:sz w:val="21"/>
        </w:rPr>
        <w:t>embrace</w:t>
      </w:r>
      <w:r>
        <w:rPr>
          <w:spacing w:val="-8"/>
          <w:sz w:val="21"/>
        </w:rPr>
        <w:t> </w:t>
      </w:r>
      <w:r>
        <w:rPr>
          <w:sz w:val="21"/>
        </w:rPr>
        <w:t>to</w:t>
      </w:r>
      <w:r>
        <w:rPr>
          <w:spacing w:val="-8"/>
          <w:sz w:val="21"/>
        </w:rPr>
        <w:t> </w:t>
      </w:r>
      <w:r>
        <w:rPr>
          <w:sz w:val="21"/>
        </w:rPr>
        <w:t>ensure</w:t>
      </w:r>
      <w:r>
        <w:rPr>
          <w:spacing w:val="-8"/>
          <w:sz w:val="21"/>
        </w:rPr>
        <w:t> </w:t>
      </w:r>
      <w:r>
        <w:rPr>
          <w:sz w:val="21"/>
        </w:rPr>
        <w:t>they</w:t>
      </w:r>
      <w:r>
        <w:rPr>
          <w:spacing w:val="-8"/>
          <w:sz w:val="21"/>
        </w:rPr>
        <w:t> </w:t>
      </w:r>
      <w:r>
        <w:rPr>
          <w:sz w:val="21"/>
        </w:rPr>
        <w:t>are</w:t>
      </w:r>
      <w:r>
        <w:rPr>
          <w:spacing w:val="-8"/>
          <w:sz w:val="21"/>
        </w:rPr>
        <w:t> </w:t>
      </w:r>
      <w:r>
        <w:rPr>
          <w:sz w:val="21"/>
        </w:rPr>
        <w:t>effectively</w:t>
      </w:r>
      <w:r>
        <w:rPr>
          <w:spacing w:val="-8"/>
          <w:sz w:val="21"/>
        </w:rPr>
        <w:t> </w:t>
      </w:r>
      <w:r>
        <w:rPr>
          <w:sz w:val="21"/>
        </w:rPr>
        <w:t>serving all students. The Safe Schools Program for LGBTQ Students can serve as a resource during the revision process and assist in developing resources to share with districts.</w:t>
      </w:r>
    </w:p>
    <w:p>
      <w:pPr>
        <w:pStyle w:val="ListParagraph"/>
        <w:numPr>
          <w:ilvl w:val="0"/>
          <w:numId w:val="33"/>
        </w:numPr>
        <w:tabs>
          <w:tab w:pos="623" w:val="left" w:leader="none"/>
        </w:tabs>
        <w:spacing w:line="276" w:lineRule="auto" w:before="240" w:after="0"/>
        <w:ind w:left="623" w:right="484" w:hanging="360"/>
        <w:jc w:val="left"/>
        <w:rPr>
          <w:b/>
          <w:sz w:val="21"/>
        </w:rPr>
      </w:pPr>
      <w:r>
        <w:rPr>
          <w:b/>
          <w:sz w:val="21"/>
        </w:rPr>
        <w:t>Collaborate</w:t>
      </w:r>
      <w:r>
        <w:rPr>
          <w:b/>
          <w:spacing w:val="32"/>
          <w:sz w:val="21"/>
        </w:rPr>
        <w:t> </w:t>
      </w:r>
      <w:r>
        <w:rPr>
          <w:b/>
          <w:sz w:val="21"/>
        </w:rPr>
        <w:t>with</w:t>
      </w:r>
      <w:r>
        <w:rPr>
          <w:b/>
          <w:spacing w:val="33"/>
          <w:sz w:val="21"/>
        </w:rPr>
        <w:t> </w:t>
      </w:r>
      <w:r>
        <w:rPr>
          <w:b/>
          <w:sz w:val="21"/>
        </w:rPr>
        <w:t>Massachusetts</w:t>
      </w:r>
      <w:r>
        <w:rPr>
          <w:b/>
          <w:spacing w:val="32"/>
          <w:sz w:val="21"/>
        </w:rPr>
        <w:t> </w:t>
      </w:r>
      <w:r>
        <w:rPr>
          <w:b/>
          <w:sz w:val="21"/>
        </w:rPr>
        <w:t>School</w:t>
      </w:r>
      <w:r>
        <w:rPr>
          <w:b/>
          <w:spacing w:val="33"/>
          <w:sz w:val="21"/>
        </w:rPr>
        <w:t> </w:t>
      </w:r>
      <w:r>
        <w:rPr>
          <w:b/>
          <w:sz w:val="21"/>
        </w:rPr>
        <w:t>Library</w:t>
      </w:r>
      <w:r>
        <w:rPr>
          <w:b/>
          <w:spacing w:val="33"/>
          <w:sz w:val="21"/>
        </w:rPr>
        <w:t> </w:t>
      </w:r>
      <w:r>
        <w:rPr>
          <w:b/>
          <w:sz w:val="21"/>
        </w:rPr>
        <w:t>Association,</w:t>
      </w:r>
      <w:r>
        <w:rPr>
          <w:b/>
          <w:spacing w:val="32"/>
          <w:sz w:val="21"/>
        </w:rPr>
        <w:t> </w:t>
      </w:r>
      <w:r>
        <w:rPr>
          <w:b/>
          <w:sz w:val="21"/>
        </w:rPr>
        <w:t>and</w:t>
      </w:r>
      <w:r>
        <w:rPr>
          <w:b/>
          <w:spacing w:val="33"/>
          <w:sz w:val="21"/>
        </w:rPr>
        <w:t> </w:t>
      </w:r>
      <w:r>
        <w:rPr>
          <w:b/>
          <w:sz w:val="21"/>
        </w:rPr>
        <w:t>the</w:t>
      </w:r>
      <w:r>
        <w:rPr>
          <w:b/>
          <w:spacing w:val="32"/>
          <w:sz w:val="21"/>
        </w:rPr>
        <w:t> </w:t>
      </w:r>
      <w:r>
        <w:rPr>
          <w:b/>
          <w:sz w:val="21"/>
        </w:rPr>
        <w:t>Massachusetts</w:t>
      </w:r>
      <w:r>
        <w:rPr>
          <w:b/>
          <w:spacing w:val="33"/>
          <w:sz w:val="21"/>
        </w:rPr>
        <w:t> </w:t>
      </w:r>
      <w:r>
        <w:rPr>
          <w:b/>
          <w:sz w:val="21"/>
        </w:rPr>
        <w:t>Board</w:t>
      </w:r>
      <w:r>
        <w:rPr>
          <w:b/>
          <w:spacing w:val="33"/>
          <w:sz w:val="21"/>
        </w:rPr>
        <w:t> </w:t>
      </w:r>
      <w:r>
        <w:rPr>
          <w:b/>
          <w:sz w:val="21"/>
        </w:rPr>
        <w:t>of</w:t>
      </w:r>
      <w:r>
        <w:rPr>
          <w:b/>
          <w:spacing w:val="32"/>
          <w:sz w:val="21"/>
        </w:rPr>
        <w:t> </w:t>
      </w:r>
      <w:r>
        <w:rPr>
          <w:b/>
          <w:sz w:val="21"/>
        </w:rPr>
        <w:t>Library Commissioners to address attacks on school-based content related to race and LGBTQ+ topics.</w:t>
      </w:r>
    </w:p>
    <w:p>
      <w:pPr>
        <w:spacing w:line="276" w:lineRule="auto" w:before="241"/>
        <w:ind w:left="624" w:right="479" w:firstLine="0"/>
        <w:jc w:val="both"/>
        <w:rPr>
          <w:sz w:val="21"/>
        </w:rPr>
      </w:pPr>
      <w:r>
        <w:rPr>
          <w:sz w:val="21"/>
        </w:rPr>
        <w:t>As</w:t>
      </w:r>
      <w:r>
        <w:rPr>
          <w:spacing w:val="-11"/>
          <w:sz w:val="21"/>
        </w:rPr>
        <w:t> </w:t>
      </w:r>
      <w:r>
        <w:rPr>
          <w:sz w:val="21"/>
        </w:rPr>
        <w:t>the</w:t>
      </w:r>
      <w:r>
        <w:rPr>
          <w:spacing w:val="-11"/>
          <w:sz w:val="21"/>
        </w:rPr>
        <w:t> </w:t>
      </w:r>
      <w:r>
        <w:rPr>
          <w:sz w:val="21"/>
        </w:rPr>
        <w:t>trend</w:t>
      </w:r>
      <w:r>
        <w:rPr>
          <w:spacing w:val="-11"/>
          <w:sz w:val="21"/>
        </w:rPr>
        <w:t> </w:t>
      </w:r>
      <w:r>
        <w:rPr>
          <w:sz w:val="21"/>
        </w:rPr>
        <w:t>of</w:t>
      </w:r>
      <w:r>
        <w:rPr>
          <w:spacing w:val="-11"/>
          <w:sz w:val="21"/>
        </w:rPr>
        <w:t> </w:t>
      </w:r>
      <w:r>
        <w:rPr>
          <w:sz w:val="21"/>
        </w:rPr>
        <w:t>attacking</w:t>
      </w:r>
      <w:r>
        <w:rPr>
          <w:spacing w:val="-11"/>
          <w:sz w:val="21"/>
        </w:rPr>
        <w:t> </w:t>
      </w:r>
      <w:r>
        <w:rPr>
          <w:sz w:val="21"/>
        </w:rPr>
        <w:t>school-based</w:t>
      </w:r>
      <w:r>
        <w:rPr>
          <w:spacing w:val="-10"/>
          <w:sz w:val="21"/>
        </w:rPr>
        <w:t> </w:t>
      </w:r>
      <w:r>
        <w:rPr>
          <w:sz w:val="21"/>
        </w:rPr>
        <w:t>content</w:t>
      </w:r>
      <w:r>
        <w:rPr>
          <w:spacing w:val="-11"/>
          <w:sz w:val="21"/>
        </w:rPr>
        <w:t> </w:t>
      </w:r>
      <w:r>
        <w:rPr>
          <w:sz w:val="21"/>
        </w:rPr>
        <w:t>related</w:t>
      </w:r>
      <w:r>
        <w:rPr>
          <w:spacing w:val="-11"/>
          <w:sz w:val="21"/>
        </w:rPr>
        <w:t> </w:t>
      </w:r>
      <w:r>
        <w:rPr>
          <w:sz w:val="21"/>
        </w:rPr>
        <w:t>to</w:t>
      </w:r>
      <w:r>
        <w:rPr>
          <w:spacing w:val="-12"/>
          <w:sz w:val="21"/>
        </w:rPr>
        <w:t> </w:t>
      </w:r>
      <w:r>
        <w:rPr>
          <w:sz w:val="21"/>
        </w:rPr>
        <w:t>race</w:t>
      </w:r>
      <w:r>
        <w:rPr>
          <w:spacing w:val="-11"/>
          <w:sz w:val="21"/>
        </w:rPr>
        <w:t> </w:t>
      </w:r>
      <w:r>
        <w:rPr>
          <w:sz w:val="21"/>
        </w:rPr>
        <w:t>and</w:t>
      </w:r>
      <w:r>
        <w:rPr>
          <w:spacing w:val="-11"/>
          <w:sz w:val="21"/>
        </w:rPr>
        <w:t> </w:t>
      </w:r>
      <w:r>
        <w:rPr>
          <w:sz w:val="21"/>
        </w:rPr>
        <w:t>LGBTQ+</w:t>
      </w:r>
      <w:r>
        <w:rPr>
          <w:spacing w:val="-10"/>
          <w:sz w:val="21"/>
        </w:rPr>
        <w:t> </w:t>
      </w:r>
      <w:r>
        <w:rPr>
          <w:sz w:val="21"/>
        </w:rPr>
        <w:t>topics</w:t>
      </w:r>
      <w:r>
        <w:rPr>
          <w:spacing w:val="-11"/>
          <w:sz w:val="21"/>
        </w:rPr>
        <w:t> </w:t>
      </w:r>
      <w:r>
        <w:rPr>
          <w:sz w:val="21"/>
        </w:rPr>
        <w:t>continues</w:t>
      </w:r>
      <w:r>
        <w:rPr>
          <w:spacing w:val="-11"/>
          <w:sz w:val="21"/>
        </w:rPr>
        <w:t> </w:t>
      </w:r>
      <w:r>
        <w:rPr>
          <w:sz w:val="21"/>
        </w:rPr>
        <w:t>throughout</w:t>
      </w:r>
      <w:r>
        <w:rPr>
          <w:spacing w:val="-10"/>
          <w:sz w:val="21"/>
        </w:rPr>
        <w:t> </w:t>
      </w:r>
      <w:r>
        <w:rPr>
          <w:sz w:val="21"/>
        </w:rPr>
        <w:t>the Commonwealth,</w:t>
      </w:r>
      <w:r>
        <w:rPr>
          <w:spacing w:val="-5"/>
          <w:sz w:val="21"/>
        </w:rPr>
        <w:t> </w:t>
      </w:r>
      <w:r>
        <w:rPr>
          <w:sz w:val="21"/>
        </w:rPr>
        <w:t>collaboration</w:t>
      </w:r>
      <w:r>
        <w:rPr>
          <w:spacing w:val="-5"/>
          <w:sz w:val="21"/>
        </w:rPr>
        <w:t> </w:t>
      </w:r>
      <w:r>
        <w:rPr>
          <w:sz w:val="21"/>
        </w:rPr>
        <w:t>among</w:t>
      </w:r>
      <w:r>
        <w:rPr>
          <w:spacing w:val="-6"/>
          <w:sz w:val="21"/>
        </w:rPr>
        <w:t> </w:t>
      </w:r>
      <w:r>
        <w:rPr>
          <w:sz w:val="21"/>
        </w:rPr>
        <w:t>the</w:t>
      </w:r>
      <w:r>
        <w:rPr>
          <w:spacing w:val="-5"/>
          <w:sz w:val="21"/>
        </w:rPr>
        <w:t> </w:t>
      </w:r>
      <w:r>
        <w:rPr>
          <w:sz w:val="21"/>
        </w:rPr>
        <w:t>Department</w:t>
      </w:r>
      <w:r>
        <w:rPr>
          <w:spacing w:val="-6"/>
          <w:sz w:val="21"/>
        </w:rPr>
        <w:t> </w:t>
      </w:r>
      <w:r>
        <w:rPr>
          <w:sz w:val="21"/>
        </w:rPr>
        <w:t>of</w:t>
      </w:r>
      <w:r>
        <w:rPr>
          <w:spacing w:val="-6"/>
          <w:sz w:val="21"/>
        </w:rPr>
        <w:t> </w:t>
      </w:r>
      <w:r>
        <w:rPr>
          <w:sz w:val="21"/>
        </w:rPr>
        <w:t>Elementary</w:t>
      </w:r>
      <w:r>
        <w:rPr>
          <w:spacing w:val="-5"/>
          <w:sz w:val="21"/>
        </w:rPr>
        <w:t> </w:t>
      </w:r>
      <w:r>
        <w:rPr>
          <w:sz w:val="21"/>
        </w:rPr>
        <w:t>and</w:t>
      </w:r>
      <w:r>
        <w:rPr>
          <w:spacing w:val="-5"/>
          <w:sz w:val="21"/>
        </w:rPr>
        <w:t> </w:t>
      </w:r>
      <w:r>
        <w:rPr>
          <w:sz w:val="21"/>
        </w:rPr>
        <w:t>Secondary</w:t>
      </w:r>
      <w:r>
        <w:rPr>
          <w:spacing w:val="-6"/>
          <w:sz w:val="21"/>
        </w:rPr>
        <w:t> </w:t>
      </w:r>
      <w:r>
        <w:rPr>
          <w:sz w:val="21"/>
        </w:rPr>
        <w:t>Education</w:t>
      </w:r>
      <w:r>
        <w:rPr>
          <w:spacing w:val="-5"/>
          <w:sz w:val="21"/>
        </w:rPr>
        <w:t> </w:t>
      </w:r>
      <w:r>
        <w:rPr>
          <w:sz w:val="21"/>
        </w:rPr>
        <w:t>(DESE),</w:t>
      </w:r>
      <w:r>
        <w:rPr>
          <w:spacing w:val="-5"/>
          <w:sz w:val="21"/>
        </w:rPr>
        <w:t> </w:t>
      </w:r>
      <w:r>
        <w:rPr>
          <w:sz w:val="21"/>
        </w:rPr>
        <w:t>the Massachusetts School Library Association, and</w:t>
      </w:r>
      <w:r>
        <w:rPr>
          <w:spacing w:val="-1"/>
          <w:sz w:val="21"/>
        </w:rPr>
        <w:t> </w:t>
      </w:r>
      <w:r>
        <w:rPr>
          <w:sz w:val="21"/>
        </w:rPr>
        <w:t>the Massachusetts Board of Library</w:t>
      </w:r>
      <w:r>
        <w:rPr>
          <w:spacing w:val="-1"/>
          <w:sz w:val="21"/>
        </w:rPr>
        <w:t> </w:t>
      </w:r>
      <w:r>
        <w:rPr>
          <w:sz w:val="21"/>
        </w:rPr>
        <w:t>Commissioners (MBLC) is essential. This partnership should include representatives from DESE’s Center for Instructional Support, the Office of Student and Family Support, and the Safe Schools Program for LGBTQ Students. A concerted effort</w:t>
      </w:r>
      <w:r>
        <w:rPr>
          <w:spacing w:val="-12"/>
          <w:sz w:val="21"/>
        </w:rPr>
        <w:t> </w:t>
      </w:r>
      <w:r>
        <w:rPr>
          <w:sz w:val="21"/>
        </w:rPr>
        <w:t>should</w:t>
      </w:r>
      <w:r>
        <w:rPr>
          <w:spacing w:val="-12"/>
          <w:sz w:val="21"/>
        </w:rPr>
        <w:t> </w:t>
      </w:r>
      <w:r>
        <w:rPr>
          <w:sz w:val="21"/>
        </w:rPr>
        <w:t>be</w:t>
      </w:r>
      <w:r>
        <w:rPr>
          <w:spacing w:val="-12"/>
          <w:sz w:val="21"/>
        </w:rPr>
        <w:t> </w:t>
      </w:r>
      <w:r>
        <w:rPr>
          <w:sz w:val="21"/>
        </w:rPr>
        <w:t>made</w:t>
      </w:r>
      <w:r>
        <w:rPr>
          <w:spacing w:val="-12"/>
          <w:sz w:val="21"/>
        </w:rPr>
        <w:t> </w:t>
      </w:r>
      <w:r>
        <w:rPr>
          <w:sz w:val="21"/>
        </w:rPr>
        <w:t>to</w:t>
      </w:r>
      <w:r>
        <w:rPr>
          <w:spacing w:val="-12"/>
          <w:sz w:val="21"/>
        </w:rPr>
        <w:t> </w:t>
      </w:r>
      <w:r>
        <w:rPr>
          <w:sz w:val="21"/>
        </w:rPr>
        <w:t>develop</w:t>
      </w:r>
      <w:r>
        <w:rPr>
          <w:spacing w:val="-12"/>
          <w:sz w:val="21"/>
        </w:rPr>
        <w:t> </w:t>
      </w:r>
      <w:r>
        <w:rPr>
          <w:sz w:val="21"/>
        </w:rPr>
        <w:t>strategies</w:t>
      </w:r>
      <w:r>
        <w:rPr>
          <w:spacing w:val="-12"/>
          <w:sz w:val="21"/>
        </w:rPr>
        <w:t> </w:t>
      </w:r>
      <w:r>
        <w:rPr>
          <w:sz w:val="21"/>
        </w:rPr>
        <w:t>and</w:t>
      </w:r>
      <w:r>
        <w:rPr>
          <w:spacing w:val="-11"/>
          <w:sz w:val="21"/>
        </w:rPr>
        <w:t> </w:t>
      </w:r>
      <w:r>
        <w:rPr>
          <w:sz w:val="21"/>
        </w:rPr>
        <w:t>best</w:t>
      </w:r>
      <w:r>
        <w:rPr>
          <w:spacing w:val="-12"/>
          <w:sz w:val="21"/>
        </w:rPr>
        <w:t> </w:t>
      </w:r>
      <w:r>
        <w:rPr>
          <w:sz w:val="21"/>
        </w:rPr>
        <w:t>practices</w:t>
      </w:r>
      <w:r>
        <w:rPr>
          <w:spacing w:val="-12"/>
          <w:sz w:val="21"/>
        </w:rPr>
        <w:t> </w:t>
      </w:r>
      <w:r>
        <w:rPr>
          <w:sz w:val="21"/>
        </w:rPr>
        <w:t>for</w:t>
      </w:r>
      <w:r>
        <w:rPr>
          <w:spacing w:val="-12"/>
          <w:sz w:val="21"/>
        </w:rPr>
        <w:t> </w:t>
      </w:r>
      <w:r>
        <w:rPr>
          <w:sz w:val="21"/>
        </w:rPr>
        <w:t>addressing</w:t>
      </w:r>
      <w:r>
        <w:rPr>
          <w:spacing w:val="-12"/>
          <w:sz w:val="21"/>
        </w:rPr>
        <w:t> </w:t>
      </w:r>
      <w:r>
        <w:rPr>
          <w:sz w:val="21"/>
        </w:rPr>
        <w:t>challenges</w:t>
      </w:r>
      <w:r>
        <w:rPr>
          <w:spacing w:val="-12"/>
          <w:sz w:val="21"/>
        </w:rPr>
        <w:t> </w:t>
      </w:r>
      <w:r>
        <w:rPr>
          <w:sz w:val="21"/>
        </w:rPr>
        <w:t>related</w:t>
      </w:r>
      <w:r>
        <w:rPr>
          <w:spacing w:val="-12"/>
          <w:sz w:val="21"/>
        </w:rPr>
        <w:t> </w:t>
      </w:r>
      <w:r>
        <w:rPr>
          <w:sz w:val="21"/>
        </w:rPr>
        <w:t>to</w:t>
      </w:r>
      <w:r>
        <w:rPr>
          <w:spacing w:val="-12"/>
          <w:sz w:val="21"/>
        </w:rPr>
        <w:t> </w:t>
      </w:r>
      <w:r>
        <w:rPr>
          <w:sz w:val="21"/>
        </w:rPr>
        <w:t>curricula and books, and to provide support and resources to educators and librarians.</w:t>
      </w:r>
    </w:p>
    <w:p>
      <w:pPr>
        <w:pStyle w:val="ListParagraph"/>
        <w:numPr>
          <w:ilvl w:val="0"/>
          <w:numId w:val="33"/>
        </w:numPr>
        <w:tabs>
          <w:tab w:pos="622" w:val="left" w:leader="none"/>
        </w:tabs>
        <w:spacing w:line="240" w:lineRule="auto" w:before="240" w:after="0"/>
        <w:ind w:left="622" w:right="0" w:hanging="358"/>
        <w:jc w:val="left"/>
        <w:rPr>
          <w:b/>
          <w:sz w:val="21"/>
        </w:rPr>
      </w:pPr>
      <w:r>
        <w:rPr>
          <w:b/>
          <w:sz w:val="21"/>
        </w:rPr>
        <w:t>Invest</w:t>
      </w:r>
      <w:r>
        <w:rPr>
          <w:b/>
          <w:spacing w:val="-6"/>
          <w:sz w:val="21"/>
        </w:rPr>
        <w:t> </w:t>
      </w:r>
      <w:r>
        <w:rPr>
          <w:b/>
          <w:sz w:val="21"/>
        </w:rPr>
        <w:t>in</w:t>
      </w:r>
      <w:r>
        <w:rPr>
          <w:b/>
          <w:spacing w:val="-3"/>
          <w:sz w:val="21"/>
        </w:rPr>
        <w:t> </w:t>
      </w:r>
      <w:r>
        <w:rPr>
          <w:b/>
          <w:sz w:val="21"/>
        </w:rPr>
        <w:t>resources</w:t>
      </w:r>
      <w:r>
        <w:rPr>
          <w:b/>
          <w:spacing w:val="-2"/>
          <w:sz w:val="21"/>
        </w:rPr>
        <w:t> </w:t>
      </w:r>
      <w:r>
        <w:rPr>
          <w:b/>
          <w:sz w:val="21"/>
        </w:rPr>
        <w:t>and</w:t>
      </w:r>
      <w:r>
        <w:rPr>
          <w:b/>
          <w:spacing w:val="-3"/>
          <w:sz w:val="21"/>
        </w:rPr>
        <w:t> </w:t>
      </w:r>
      <w:r>
        <w:rPr>
          <w:b/>
          <w:sz w:val="21"/>
        </w:rPr>
        <w:t>support</w:t>
      </w:r>
      <w:r>
        <w:rPr>
          <w:b/>
          <w:spacing w:val="-2"/>
          <w:sz w:val="21"/>
        </w:rPr>
        <w:t> </w:t>
      </w:r>
      <w:r>
        <w:rPr>
          <w:b/>
          <w:sz w:val="21"/>
        </w:rPr>
        <w:t>for</w:t>
      </w:r>
      <w:r>
        <w:rPr>
          <w:b/>
          <w:spacing w:val="-3"/>
          <w:sz w:val="21"/>
        </w:rPr>
        <w:t> </w:t>
      </w:r>
      <w:r>
        <w:rPr>
          <w:b/>
          <w:sz w:val="21"/>
        </w:rPr>
        <w:t>family</w:t>
      </w:r>
      <w:r>
        <w:rPr>
          <w:b/>
          <w:spacing w:val="-3"/>
          <w:sz w:val="21"/>
        </w:rPr>
        <w:t> </w:t>
      </w:r>
      <w:r>
        <w:rPr>
          <w:b/>
          <w:sz w:val="21"/>
        </w:rPr>
        <w:t>liaisons</w:t>
      </w:r>
      <w:r>
        <w:rPr>
          <w:b/>
          <w:spacing w:val="-2"/>
          <w:sz w:val="21"/>
        </w:rPr>
        <w:t> </w:t>
      </w:r>
      <w:r>
        <w:rPr>
          <w:b/>
          <w:sz w:val="21"/>
        </w:rPr>
        <w:t>and</w:t>
      </w:r>
      <w:r>
        <w:rPr>
          <w:b/>
          <w:spacing w:val="-4"/>
          <w:sz w:val="21"/>
        </w:rPr>
        <w:t> </w:t>
      </w:r>
      <w:r>
        <w:rPr>
          <w:b/>
          <w:sz w:val="21"/>
        </w:rPr>
        <w:t>professional</w:t>
      </w:r>
      <w:r>
        <w:rPr>
          <w:b/>
          <w:spacing w:val="-2"/>
          <w:sz w:val="21"/>
        </w:rPr>
        <w:t> development.</w:t>
      </w:r>
    </w:p>
    <w:p>
      <w:pPr>
        <w:pStyle w:val="BodyText"/>
        <w:spacing w:before="22"/>
        <w:rPr>
          <w:b/>
          <w:sz w:val="21"/>
        </w:rPr>
      </w:pPr>
    </w:p>
    <w:p>
      <w:pPr>
        <w:spacing w:line="276" w:lineRule="auto" w:before="0"/>
        <w:ind w:left="624" w:right="478" w:firstLine="0"/>
        <w:jc w:val="both"/>
        <w:rPr>
          <w:sz w:val="21"/>
        </w:rPr>
      </w:pPr>
      <w:r>
        <w:rPr>
          <w:sz w:val="21"/>
        </w:rPr>
        <w:t>DESE is committed to fostering an inclusive and supportive educational environment for all students and their</w:t>
      </w:r>
      <w:r>
        <w:rPr>
          <w:spacing w:val="-12"/>
          <w:sz w:val="21"/>
        </w:rPr>
        <w:t> </w:t>
      </w:r>
      <w:r>
        <w:rPr>
          <w:sz w:val="21"/>
        </w:rPr>
        <w:t>families.</w:t>
      </w:r>
      <w:r>
        <w:rPr>
          <w:spacing w:val="-12"/>
          <w:sz w:val="21"/>
        </w:rPr>
        <w:t> </w:t>
      </w:r>
      <w:r>
        <w:rPr>
          <w:sz w:val="21"/>
        </w:rPr>
        <w:t>To</w:t>
      </w:r>
      <w:r>
        <w:rPr>
          <w:spacing w:val="-12"/>
          <w:sz w:val="21"/>
        </w:rPr>
        <w:t> </w:t>
      </w:r>
      <w:r>
        <w:rPr>
          <w:sz w:val="21"/>
        </w:rPr>
        <w:t>enhance</w:t>
      </w:r>
      <w:r>
        <w:rPr>
          <w:spacing w:val="-12"/>
          <w:sz w:val="21"/>
        </w:rPr>
        <w:t> </w:t>
      </w:r>
      <w:r>
        <w:rPr>
          <w:sz w:val="21"/>
        </w:rPr>
        <w:t>family</w:t>
      </w:r>
      <w:r>
        <w:rPr>
          <w:spacing w:val="-12"/>
          <w:sz w:val="21"/>
        </w:rPr>
        <w:t> </w:t>
      </w:r>
      <w:r>
        <w:rPr>
          <w:sz w:val="21"/>
        </w:rPr>
        <w:t>engagement</w:t>
      </w:r>
      <w:r>
        <w:rPr>
          <w:spacing w:val="-12"/>
          <w:sz w:val="21"/>
        </w:rPr>
        <w:t> </w:t>
      </w:r>
      <w:r>
        <w:rPr>
          <w:sz w:val="21"/>
        </w:rPr>
        <w:t>and</w:t>
      </w:r>
      <w:r>
        <w:rPr>
          <w:spacing w:val="-12"/>
          <w:sz w:val="21"/>
        </w:rPr>
        <w:t> </w:t>
      </w:r>
      <w:r>
        <w:rPr>
          <w:sz w:val="21"/>
        </w:rPr>
        <w:t>ensure</w:t>
      </w:r>
      <w:r>
        <w:rPr>
          <w:spacing w:val="-11"/>
          <w:sz w:val="21"/>
        </w:rPr>
        <w:t> </w:t>
      </w:r>
      <w:r>
        <w:rPr>
          <w:sz w:val="21"/>
        </w:rPr>
        <w:t>LGBTQ</w:t>
      </w:r>
      <w:r>
        <w:rPr>
          <w:spacing w:val="-12"/>
          <w:sz w:val="21"/>
        </w:rPr>
        <w:t> </w:t>
      </w:r>
      <w:r>
        <w:rPr>
          <w:sz w:val="21"/>
        </w:rPr>
        <w:t>acceptance,</w:t>
      </w:r>
      <w:r>
        <w:rPr>
          <w:spacing w:val="-12"/>
          <w:sz w:val="21"/>
        </w:rPr>
        <w:t> </w:t>
      </w:r>
      <w:r>
        <w:rPr>
          <w:sz w:val="21"/>
        </w:rPr>
        <w:t>the</w:t>
      </w:r>
      <w:r>
        <w:rPr>
          <w:spacing w:val="-12"/>
          <w:sz w:val="21"/>
        </w:rPr>
        <w:t> </w:t>
      </w:r>
      <w:r>
        <w:rPr>
          <w:sz w:val="21"/>
        </w:rPr>
        <w:t>Commission</w:t>
      </w:r>
      <w:r>
        <w:rPr>
          <w:spacing w:val="-11"/>
          <w:sz w:val="21"/>
        </w:rPr>
        <w:t> </w:t>
      </w:r>
      <w:r>
        <w:rPr>
          <w:sz w:val="21"/>
        </w:rPr>
        <w:t>recommends DESE invest in resources and support for school and district family liaisons, as well as provide comprehensive professional development opportunities for school staff. Family engagement and LGBTQ acceptance are critical components of a positive school climate. Research shows that strong family-school partnerships</w:t>
      </w:r>
      <w:r>
        <w:rPr>
          <w:spacing w:val="21"/>
          <w:sz w:val="21"/>
        </w:rPr>
        <w:t> </w:t>
      </w:r>
      <w:r>
        <w:rPr>
          <w:sz w:val="21"/>
        </w:rPr>
        <w:t>contribute</w:t>
      </w:r>
      <w:r>
        <w:rPr>
          <w:spacing w:val="20"/>
          <w:sz w:val="21"/>
        </w:rPr>
        <w:t> </w:t>
      </w:r>
      <w:r>
        <w:rPr>
          <w:sz w:val="21"/>
        </w:rPr>
        <w:t>to</w:t>
      </w:r>
      <w:r>
        <w:rPr>
          <w:spacing w:val="20"/>
          <w:sz w:val="21"/>
        </w:rPr>
        <w:t> </w:t>
      </w:r>
      <w:r>
        <w:rPr>
          <w:sz w:val="21"/>
        </w:rPr>
        <w:t>improved</w:t>
      </w:r>
      <w:r>
        <w:rPr>
          <w:spacing w:val="22"/>
          <w:sz w:val="21"/>
        </w:rPr>
        <w:t> </w:t>
      </w:r>
      <w:r>
        <w:rPr>
          <w:sz w:val="21"/>
        </w:rPr>
        <w:t>student</w:t>
      </w:r>
      <w:r>
        <w:rPr>
          <w:spacing w:val="22"/>
          <w:sz w:val="21"/>
        </w:rPr>
        <w:t> </w:t>
      </w:r>
      <w:r>
        <w:rPr>
          <w:sz w:val="21"/>
        </w:rPr>
        <w:t>outcomes,</w:t>
      </w:r>
      <w:r>
        <w:rPr>
          <w:spacing w:val="22"/>
          <w:sz w:val="21"/>
        </w:rPr>
        <w:t> </w:t>
      </w:r>
      <w:r>
        <w:rPr>
          <w:sz w:val="21"/>
        </w:rPr>
        <w:t>including</w:t>
      </w:r>
      <w:r>
        <w:rPr>
          <w:spacing w:val="20"/>
          <w:sz w:val="21"/>
        </w:rPr>
        <w:t> </w:t>
      </w:r>
      <w:r>
        <w:rPr>
          <w:sz w:val="21"/>
        </w:rPr>
        <w:t>higher</w:t>
      </w:r>
      <w:r>
        <w:rPr>
          <w:spacing w:val="22"/>
          <w:sz w:val="21"/>
        </w:rPr>
        <w:t> </w:t>
      </w:r>
      <w:r>
        <w:rPr>
          <w:sz w:val="21"/>
        </w:rPr>
        <w:t>academic</w:t>
      </w:r>
      <w:r>
        <w:rPr>
          <w:spacing w:val="22"/>
          <w:sz w:val="21"/>
        </w:rPr>
        <w:t> </w:t>
      </w:r>
      <w:r>
        <w:rPr>
          <w:sz w:val="21"/>
        </w:rPr>
        <w:t>achievement,</w:t>
      </w:r>
      <w:r>
        <w:rPr>
          <w:spacing w:val="22"/>
          <w:sz w:val="21"/>
        </w:rPr>
        <w:t> </w:t>
      </w:r>
      <w:r>
        <w:rPr>
          <w:sz w:val="21"/>
        </w:rPr>
        <w:t>better</w:t>
      </w:r>
    </w:p>
    <w:p>
      <w:pPr>
        <w:spacing w:after="0" w:line="276" w:lineRule="auto"/>
        <w:jc w:val="both"/>
        <w:rPr>
          <w:sz w:val="21"/>
        </w:rPr>
        <w:sectPr>
          <w:pgSz w:w="12240" w:h="15840"/>
          <w:pgMar w:header="763" w:footer="1041" w:top="960" w:bottom="1240" w:left="960" w:right="1100"/>
        </w:sectPr>
      </w:pPr>
    </w:p>
    <w:p>
      <w:pPr>
        <w:spacing w:line="276" w:lineRule="auto" w:before="250"/>
        <w:ind w:left="624" w:right="480" w:hanging="1"/>
        <w:jc w:val="both"/>
        <w:rPr>
          <w:sz w:val="21"/>
        </w:rPr>
      </w:pPr>
      <w:r>
        <w:rPr>
          <w:sz w:val="21"/>
        </w:rPr>
        <w:t>attendance,</w:t>
      </w:r>
      <w:r>
        <w:rPr>
          <w:spacing w:val="-1"/>
          <w:sz w:val="21"/>
        </w:rPr>
        <w:t> </w:t>
      </w:r>
      <w:r>
        <w:rPr>
          <w:sz w:val="21"/>
        </w:rPr>
        <w:t>and</w:t>
      </w:r>
      <w:r>
        <w:rPr>
          <w:spacing w:val="-2"/>
          <w:sz w:val="21"/>
        </w:rPr>
        <w:t> </w:t>
      </w:r>
      <w:r>
        <w:rPr>
          <w:sz w:val="21"/>
        </w:rPr>
        <w:t>enhanced</w:t>
      </w:r>
      <w:r>
        <w:rPr>
          <w:spacing w:val="-4"/>
          <w:sz w:val="21"/>
        </w:rPr>
        <w:t> </w:t>
      </w:r>
      <w:r>
        <w:rPr>
          <w:sz w:val="21"/>
        </w:rPr>
        <w:t>social-emotional</w:t>
      </w:r>
      <w:r>
        <w:rPr>
          <w:spacing w:val="-2"/>
          <w:sz w:val="21"/>
        </w:rPr>
        <w:t> </w:t>
      </w:r>
      <w:r>
        <w:rPr>
          <w:sz w:val="21"/>
        </w:rPr>
        <w:t>well-being.</w:t>
      </w:r>
      <w:r>
        <w:rPr>
          <w:spacing w:val="-2"/>
          <w:sz w:val="21"/>
        </w:rPr>
        <w:t> </w:t>
      </w:r>
      <w:r>
        <w:rPr>
          <w:sz w:val="21"/>
        </w:rPr>
        <w:t>Additionally,</w:t>
      </w:r>
      <w:r>
        <w:rPr>
          <w:spacing w:val="-2"/>
          <w:sz w:val="21"/>
        </w:rPr>
        <w:t> </w:t>
      </w:r>
      <w:r>
        <w:rPr>
          <w:sz w:val="21"/>
        </w:rPr>
        <w:t>schools</w:t>
      </w:r>
      <w:r>
        <w:rPr>
          <w:spacing w:val="-2"/>
          <w:sz w:val="21"/>
        </w:rPr>
        <w:t> </w:t>
      </w:r>
      <w:r>
        <w:rPr>
          <w:sz w:val="21"/>
        </w:rPr>
        <w:t>that</w:t>
      </w:r>
      <w:r>
        <w:rPr>
          <w:spacing w:val="-2"/>
          <w:sz w:val="21"/>
        </w:rPr>
        <w:t> </w:t>
      </w:r>
      <w:r>
        <w:rPr>
          <w:sz w:val="21"/>
        </w:rPr>
        <w:t>actively</w:t>
      </w:r>
      <w:r>
        <w:rPr>
          <w:spacing w:val="-2"/>
          <w:sz w:val="21"/>
        </w:rPr>
        <w:t> </w:t>
      </w:r>
      <w:r>
        <w:rPr>
          <w:sz w:val="21"/>
        </w:rPr>
        <w:t>promote</w:t>
      </w:r>
      <w:r>
        <w:rPr>
          <w:spacing w:val="-2"/>
          <w:sz w:val="21"/>
        </w:rPr>
        <w:t> </w:t>
      </w:r>
      <w:r>
        <w:rPr>
          <w:sz w:val="21"/>
        </w:rPr>
        <w:t>LGBTQ acceptance create safer and more inclusive environments, reducing bullying and discrimination.</w:t>
      </w:r>
    </w:p>
    <w:p>
      <w:pPr>
        <w:spacing w:line="276" w:lineRule="auto" w:before="240"/>
        <w:ind w:left="624" w:right="477" w:firstLine="0"/>
        <w:jc w:val="both"/>
        <w:rPr>
          <w:sz w:val="21"/>
        </w:rPr>
      </w:pPr>
      <w:r>
        <w:rPr>
          <w:sz w:val="21"/>
        </w:rPr>
        <w:t>Specialized</w:t>
      </w:r>
      <w:r>
        <w:rPr>
          <w:spacing w:val="-11"/>
          <w:sz w:val="21"/>
        </w:rPr>
        <w:t> </w:t>
      </w:r>
      <w:r>
        <w:rPr>
          <w:sz w:val="21"/>
        </w:rPr>
        <w:t>training</w:t>
      </w:r>
      <w:r>
        <w:rPr>
          <w:spacing w:val="-12"/>
          <w:sz w:val="21"/>
        </w:rPr>
        <w:t> </w:t>
      </w:r>
      <w:r>
        <w:rPr>
          <w:sz w:val="21"/>
        </w:rPr>
        <w:t>should</w:t>
      </w:r>
      <w:r>
        <w:rPr>
          <w:spacing w:val="-11"/>
          <w:sz w:val="21"/>
        </w:rPr>
        <w:t> </w:t>
      </w:r>
      <w:r>
        <w:rPr>
          <w:sz w:val="21"/>
        </w:rPr>
        <w:t>be</w:t>
      </w:r>
      <w:r>
        <w:rPr>
          <w:spacing w:val="-11"/>
          <w:sz w:val="21"/>
        </w:rPr>
        <w:t> </w:t>
      </w:r>
      <w:r>
        <w:rPr>
          <w:sz w:val="21"/>
        </w:rPr>
        <w:t>offered</w:t>
      </w:r>
      <w:r>
        <w:rPr>
          <w:spacing w:val="-11"/>
          <w:sz w:val="21"/>
        </w:rPr>
        <w:t> </w:t>
      </w:r>
      <w:r>
        <w:rPr>
          <w:sz w:val="21"/>
        </w:rPr>
        <w:t>to</w:t>
      </w:r>
      <w:r>
        <w:rPr>
          <w:spacing w:val="-12"/>
          <w:sz w:val="21"/>
        </w:rPr>
        <w:t> </w:t>
      </w:r>
      <w:r>
        <w:rPr>
          <w:sz w:val="21"/>
        </w:rPr>
        <w:t>family</w:t>
      </w:r>
      <w:r>
        <w:rPr>
          <w:spacing w:val="-12"/>
          <w:sz w:val="21"/>
        </w:rPr>
        <w:t> </w:t>
      </w:r>
      <w:r>
        <w:rPr>
          <w:sz w:val="21"/>
        </w:rPr>
        <w:t>liaisons</w:t>
      </w:r>
      <w:r>
        <w:rPr>
          <w:spacing w:val="-12"/>
          <w:sz w:val="21"/>
        </w:rPr>
        <w:t> </w:t>
      </w:r>
      <w:r>
        <w:rPr>
          <w:sz w:val="21"/>
        </w:rPr>
        <w:t>on</w:t>
      </w:r>
      <w:r>
        <w:rPr>
          <w:spacing w:val="-10"/>
          <w:sz w:val="21"/>
        </w:rPr>
        <w:t> </w:t>
      </w:r>
      <w:r>
        <w:rPr>
          <w:sz w:val="21"/>
        </w:rPr>
        <w:t>best</w:t>
      </w:r>
      <w:r>
        <w:rPr>
          <w:spacing w:val="-12"/>
          <w:sz w:val="21"/>
        </w:rPr>
        <w:t> </w:t>
      </w:r>
      <w:r>
        <w:rPr>
          <w:sz w:val="21"/>
        </w:rPr>
        <w:t>practices</w:t>
      </w:r>
      <w:r>
        <w:rPr>
          <w:spacing w:val="-12"/>
          <w:sz w:val="21"/>
        </w:rPr>
        <w:t> </w:t>
      </w:r>
      <w:r>
        <w:rPr>
          <w:sz w:val="21"/>
        </w:rPr>
        <w:t>in</w:t>
      </w:r>
      <w:r>
        <w:rPr>
          <w:spacing w:val="-11"/>
          <w:sz w:val="21"/>
        </w:rPr>
        <w:t> </w:t>
      </w:r>
      <w:r>
        <w:rPr>
          <w:sz w:val="21"/>
        </w:rPr>
        <w:t>family</w:t>
      </w:r>
      <w:r>
        <w:rPr>
          <w:spacing w:val="-12"/>
          <w:sz w:val="21"/>
        </w:rPr>
        <w:t> </w:t>
      </w:r>
      <w:r>
        <w:rPr>
          <w:sz w:val="21"/>
        </w:rPr>
        <w:t>engagement,</w:t>
      </w:r>
      <w:r>
        <w:rPr>
          <w:spacing w:val="-11"/>
          <w:sz w:val="21"/>
        </w:rPr>
        <w:t> </w:t>
      </w:r>
      <w:r>
        <w:rPr>
          <w:sz w:val="21"/>
        </w:rPr>
        <w:t>with</w:t>
      </w:r>
      <w:r>
        <w:rPr>
          <w:spacing w:val="-11"/>
          <w:sz w:val="21"/>
        </w:rPr>
        <w:t> </w:t>
      </w:r>
      <w:r>
        <w:rPr>
          <w:sz w:val="21"/>
        </w:rPr>
        <w:t>a</w:t>
      </w:r>
      <w:r>
        <w:rPr>
          <w:spacing w:val="-12"/>
          <w:sz w:val="21"/>
        </w:rPr>
        <w:t> </w:t>
      </w:r>
      <w:r>
        <w:rPr>
          <w:sz w:val="21"/>
        </w:rPr>
        <w:t>focus on</w:t>
      </w:r>
      <w:r>
        <w:rPr>
          <w:spacing w:val="-12"/>
          <w:sz w:val="21"/>
        </w:rPr>
        <w:t> </w:t>
      </w:r>
      <w:r>
        <w:rPr>
          <w:sz w:val="21"/>
        </w:rPr>
        <w:t>supporting</w:t>
      </w:r>
      <w:r>
        <w:rPr>
          <w:spacing w:val="-12"/>
          <w:sz w:val="21"/>
        </w:rPr>
        <w:t> </w:t>
      </w:r>
      <w:r>
        <w:rPr>
          <w:sz w:val="21"/>
        </w:rPr>
        <w:t>diverse</w:t>
      </w:r>
      <w:r>
        <w:rPr>
          <w:spacing w:val="-12"/>
          <w:sz w:val="21"/>
        </w:rPr>
        <w:t> </w:t>
      </w:r>
      <w:r>
        <w:rPr>
          <w:sz w:val="21"/>
        </w:rPr>
        <w:t>families,</w:t>
      </w:r>
      <w:r>
        <w:rPr>
          <w:spacing w:val="-12"/>
          <w:sz w:val="21"/>
        </w:rPr>
        <w:t> </w:t>
      </w:r>
      <w:r>
        <w:rPr>
          <w:sz w:val="21"/>
        </w:rPr>
        <w:t>including</w:t>
      </w:r>
      <w:r>
        <w:rPr>
          <w:spacing w:val="-12"/>
          <w:sz w:val="21"/>
        </w:rPr>
        <w:t> </w:t>
      </w:r>
      <w:r>
        <w:rPr>
          <w:sz w:val="21"/>
        </w:rPr>
        <w:t>those</w:t>
      </w:r>
      <w:r>
        <w:rPr>
          <w:spacing w:val="-11"/>
          <w:sz w:val="21"/>
        </w:rPr>
        <w:t> </w:t>
      </w:r>
      <w:r>
        <w:rPr>
          <w:sz w:val="21"/>
        </w:rPr>
        <w:t>with</w:t>
      </w:r>
      <w:r>
        <w:rPr>
          <w:spacing w:val="-12"/>
          <w:sz w:val="21"/>
        </w:rPr>
        <w:t> </w:t>
      </w:r>
      <w:r>
        <w:rPr>
          <w:sz w:val="21"/>
        </w:rPr>
        <w:t>LGBTQ</w:t>
      </w:r>
      <w:r>
        <w:rPr>
          <w:spacing w:val="-11"/>
          <w:sz w:val="21"/>
        </w:rPr>
        <w:t> </w:t>
      </w:r>
      <w:r>
        <w:rPr>
          <w:sz w:val="21"/>
        </w:rPr>
        <w:t>members.</w:t>
      </w:r>
      <w:r>
        <w:rPr>
          <w:spacing w:val="-12"/>
          <w:sz w:val="21"/>
        </w:rPr>
        <w:t> </w:t>
      </w:r>
      <w:r>
        <w:rPr>
          <w:sz w:val="21"/>
        </w:rPr>
        <w:t>Developing</w:t>
      </w:r>
      <w:r>
        <w:rPr>
          <w:spacing w:val="-12"/>
          <w:sz w:val="21"/>
        </w:rPr>
        <w:t> </w:t>
      </w:r>
      <w:r>
        <w:rPr>
          <w:sz w:val="21"/>
        </w:rPr>
        <w:t>and</w:t>
      </w:r>
      <w:r>
        <w:rPr>
          <w:spacing w:val="-11"/>
          <w:sz w:val="21"/>
        </w:rPr>
        <w:t> </w:t>
      </w:r>
      <w:r>
        <w:rPr>
          <w:sz w:val="21"/>
        </w:rPr>
        <w:t>distributing</w:t>
      </w:r>
      <w:r>
        <w:rPr>
          <w:spacing w:val="-12"/>
          <w:sz w:val="21"/>
        </w:rPr>
        <w:t> </w:t>
      </w:r>
      <w:r>
        <w:rPr>
          <w:sz w:val="21"/>
        </w:rPr>
        <w:t>materials that family liaisons can use to educate families about LGBTQ issues and support services available within the school and community is also essential.</w:t>
      </w:r>
    </w:p>
    <w:p>
      <w:pPr>
        <w:spacing w:line="276" w:lineRule="auto" w:before="240"/>
        <w:ind w:left="624" w:right="481" w:firstLine="0"/>
        <w:jc w:val="both"/>
        <w:rPr>
          <w:sz w:val="21"/>
        </w:rPr>
      </w:pPr>
      <w:r>
        <w:rPr>
          <w:sz w:val="21"/>
        </w:rPr>
        <w:t>Professional development for school staff should include topics such as cultural competence, family engagement strategies, and LGBTQ acceptance. Encourage continuous learning by providing access to online courses, workshops, and conferences related to family engagement and LGBTQ issues.</w:t>
      </w:r>
    </w:p>
    <w:p>
      <w:pPr>
        <w:pStyle w:val="BodyText"/>
        <w:rPr>
          <w:sz w:val="21"/>
        </w:rPr>
      </w:pPr>
    </w:p>
    <w:p>
      <w:pPr>
        <w:pStyle w:val="BodyText"/>
        <w:rPr>
          <w:sz w:val="21"/>
        </w:rPr>
      </w:pPr>
    </w:p>
    <w:p>
      <w:pPr>
        <w:pStyle w:val="BodyText"/>
        <w:spacing w:before="5"/>
        <w:rPr>
          <w:sz w:val="21"/>
        </w:rPr>
      </w:pPr>
    </w:p>
    <w:p>
      <w:pPr>
        <w:spacing w:before="0"/>
        <w:ind w:left="624" w:right="0" w:firstLine="0"/>
        <w:jc w:val="both"/>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3"/>
          <w:sz w:val="21"/>
        </w:rPr>
        <w:t> </w:t>
      </w:r>
      <w:r>
        <w:rPr>
          <w:i/>
          <w:sz w:val="21"/>
        </w:rPr>
        <w:t>sincerely</w:t>
      </w:r>
      <w:r>
        <w:rPr>
          <w:i/>
          <w:spacing w:val="-3"/>
          <w:sz w:val="21"/>
        </w:rPr>
        <w:t> </w:t>
      </w:r>
      <w:r>
        <w:rPr>
          <w:i/>
          <w:sz w:val="21"/>
        </w:rPr>
        <w:t>appreciates</w:t>
      </w:r>
      <w:r>
        <w:rPr>
          <w:i/>
          <w:spacing w:val="-3"/>
          <w:sz w:val="21"/>
        </w:rPr>
        <w:t> </w:t>
      </w:r>
      <w:r>
        <w:rPr>
          <w:i/>
          <w:sz w:val="21"/>
        </w:rPr>
        <w:t>the</w:t>
      </w:r>
      <w:r>
        <w:rPr>
          <w:i/>
          <w:spacing w:val="-3"/>
          <w:sz w:val="21"/>
        </w:rPr>
        <w:t> </w:t>
      </w:r>
      <w:r>
        <w:rPr>
          <w:i/>
          <w:sz w:val="21"/>
        </w:rPr>
        <w:t>contributions</w:t>
      </w:r>
      <w:r>
        <w:rPr>
          <w:i/>
          <w:spacing w:val="-3"/>
          <w:sz w:val="21"/>
        </w:rPr>
        <w:t> </w:t>
      </w:r>
      <w:r>
        <w:rPr>
          <w:i/>
          <w:sz w:val="21"/>
        </w:rPr>
        <w:t>of</w:t>
      </w:r>
      <w:r>
        <w:rPr>
          <w:i/>
          <w:spacing w:val="-3"/>
          <w:sz w:val="21"/>
        </w:rPr>
        <w:t> </w:t>
      </w:r>
      <w:r>
        <w:rPr>
          <w:i/>
          <w:sz w:val="21"/>
        </w:rPr>
        <w:t>its</w:t>
      </w:r>
      <w:r>
        <w:rPr>
          <w:i/>
          <w:spacing w:val="-4"/>
          <w:sz w:val="21"/>
        </w:rPr>
        <w:t> </w:t>
      </w:r>
      <w:r>
        <w:rPr>
          <w:i/>
          <w:sz w:val="21"/>
        </w:rPr>
        <w:t>DESE</w:t>
      </w:r>
      <w:r>
        <w:rPr>
          <w:i/>
          <w:spacing w:val="-2"/>
          <w:sz w:val="21"/>
        </w:rPr>
        <w:t> liaisons.</w:t>
      </w:r>
    </w:p>
    <w:p>
      <w:pPr>
        <w:spacing w:after="0"/>
        <w:jc w:val="both"/>
        <w:rPr>
          <w:sz w:val="21"/>
        </w:rPr>
        <w:sectPr>
          <w:pgSz w:w="12240" w:h="15840"/>
          <w:pgMar w:header="763" w:footer="1041" w:top="960" w:bottom="1240" w:left="960" w:right="1100"/>
        </w:sectPr>
      </w:pPr>
    </w:p>
    <w:p>
      <w:pPr>
        <w:pStyle w:val="BodyText"/>
        <w:rPr>
          <w:i/>
          <w:sz w:val="20"/>
        </w:rPr>
      </w:pPr>
    </w:p>
    <w:p>
      <w:pPr>
        <w:pStyle w:val="BodyText"/>
        <w:spacing w:before="89"/>
        <w:rPr>
          <w:i/>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546" name="Group 546"/>
                <wp:cNvGraphicFramePr>
                  <a:graphicFrameLocks/>
                </wp:cNvGraphicFramePr>
                <a:graphic>
                  <a:graphicData uri="http://schemas.microsoft.com/office/word/2010/wordprocessingGroup">
                    <wpg:wgp>
                      <wpg:cNvPr id="546" name="Group 546"/>
                      <wpg:cNvGrpSpPr/>
                      <wpg:grpSpPr>
                        <a:xfrm>
                          <a:off x="0" y="0"/>
                          <a:ext cx="6350" cy="12700"/>
                          <a:chExt cx="6350" cy="12700"/>
                        </a:xfrm>
                      </wpg:grpSpPr>
                      <wps:wsp>
                        <wps:cNvPr id="547" name="Graphic 547"/>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443" coordorigin="0,0" coordsize="10,20">
                <v:rect style="position:absolute;left:0;top:0;width:10;height:20" id="docshape444" filled="true" fillcolor="#4f81bb" stroked="false">
                  <v:fill type="solid"/>
                </v:rect>
              </v:group>
            </w:pict>
          </mc:Fallback>
        </mc:AlternateContent>
      </w:r>
      <w:r>
        <w:rPr>
          <w:sz w:val="2"/>
        </w:rPr>
      </w:r>
    </w:p>
    <w:p>
      <w:pPr>
        <w:pStyle w:val="Heading7"/>
      </w:pPr>
      <w:bookmarkStart w:name="_bookmark625" w:id="932"/>
      <w:bookmarkEnd w:id="932"/>
      <w:r>
        <w:rPr/>
      </w:r>
      <w:hyperlink w:history="true" w:anchor="_bookmark6">
        <w:r>
          <w:rPr>
            <w:color w:val="365F91"/>
            <w:spacing w:val="-10"/>
          </w:rPr>
          <w:t>Department</w:t>
        </w:r>
        <w:r>
          <w:rPr>
            <w:color w:val="365F91"/>
            <w:spacing w:val="-4"/>
          </w:rPr>
          <w:t> </w:t>
        </w:r>
        <w:r>
          <w:rPr>
            <w:color w:val="365F91"/>
            <w:spacing w:val="-10"/>
          </w:rPr>
          <w:t>of</w:t>
        </w:r>
        <w:r>
          <w:rPr>
            <w:color w:val="365F91"/>
            <w:spacing w:val="-4"/>
          </w:rPr>
          <w:t> </w:t>
        </w:r>
        <w:r>
          <w:rPr>
            <w:color w:val="365F91"/>
            <w:spacing w:val="-10"/>
          </w:rPr>
          <w:t>Higher</w:t>
        </w:r>
        <w:r>
          <w:rPr>
            <w:color w:val="365F91"/>
            <w:spacing w:val="-4"/>
          </w:rPr>
          <w:t> </w:t>
        </w:r>
        <w:r>
          <w:rPr>
            <w:color w:val="365F91"/>
            <w:spacing w:val="-10"/>
          </w:rPr>
          <w:t>Education</w:t>
        </w:r>
      </w:hyperlink>
    </w:p>
    <w:p>
      <w:pPr>
        <w:pStyle w:val="BodyText"/>
        <w:spacing w:before="71"/>
        <w:rPr>
          <w:sz w:val="20"/>
        </w:rPr>
      </w:pPr>
      <w:r>
        <w:rPr/>
        <mc:AlternateContent>
          <mc:Choice Requires="wps">
            <w:drawing>
              <wp:anchor distT="0" distB="0" distL="0" distR="0" allowOverlap="1" layoutInCell="1" locked="0" behindDoc="1" simplePos="0" relativeHeight="487692800">
                <wp:simplePos x="0" y="0"/>
                <wp:positionH relativeFrom="page">
                  <wp:posOffset>889000</wp:posOffset>
                </wp:positionH>
                <wp:positionV relativeFrom="paragraph">
                  <wp:posOffset>215899</wp:posOffset>
                </wp:positionV>
                <wp:extent cx="6350" cy="12700"/>
                <wp:effectExtent l="0" t="0" r="0" b="0"/>
                <wp:wrapTopAndBottom/>
                <wp:docPr id="548" name="Graphic 548"/>
                <wp:cNvGraphicFramePr>
                  <a:graphicFrameLocks/>
                </wp:cNvGraphicFramePr>
                <a:graphic>
                  <a:graphicData uri="http://schemas.microsoft.com/office/word/2010/wordprocessingShape">
                    <wps:wsp>
                      <wps:cNvPr id="548" name="Graphic 548"/>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999937pt;width:.499pt;height:.959pt;mso-position-horizontal-relative:page;mso-position-vertical-relative:paragraph;z-index:-15623680;mso-wrap-distance-left:0;mso-wrap-distance-right:0" id="docshape445" filled="true" fillcolor="#4f81bb" stroked="false">
                <v:fill type="solid"/>
                <w10:wrap type="topAndBottom"/>
              </v:rect>
            </w:pict>
          </mc:Fallback>
        </mc:AlternateContent>
      </w:r>
    </w:p>
    <w:p>
      <w:pPr>
        <w:spacing w:before="1" w:after="20"/>
        <w:ind w:left="483" w:right="0" w:firstLine="0"/>
        <w:jc w:val="left"/>
        <w:rPr>
          <w:sz w:val="32"/>
        </w:rPr>
      </w:pPr>
      <w:r>
        <w:rPr>
          <w:color w:val="365F91"/>
          <w:sz w:val="32"/>
        </w:rPr>
        <w:t>FY</w:t>
      </w:r>
      <w:r>
        <w:rPr>
          <w:color w:val="365F91"/>
          <w:spacing w:val="-3"/>
          <w:sz w:val="32"/>
        </w:rPr>
        <w:t> </w:t>
      </w:r>
      <w:r>
        <w:rPr>
          <w:color w:val="365F91"/>
          <w:sz w:val="32"/>
        </w:rPr>
        <w:t>2025</w:t>
      </w:r>
      <w:r>
        <w:rPr>
          <w:color w:val="365F91"/>
          <w:spacing w:val="-1"/>
          <w:sz w:val="32"/>
        </w:rPr>
        <w:t> </w:t>
      </w:r>
      <w:r>
        <w:rPr>
          <w:color w:val="365F91"/>
          <w:spacing w:val="-2"/>
          <w:sz w:val="32"/>
        </w:rPr>
        <w:t>Recommendations</w:t>
      </w:r>
    </w:p>
    <w:p>
      <w:pPr>
        <w:pStyle w:val="BodyText"/>
        <w:spacing w:line="20" w:lineRule="exact"/>
        <w:ind w:left="453"/>
        <w:rPr>
          <w:sz w:val="2"/>
        </w:rPr>
      </w:pPr>
      <w:r>
        <w:rPr>
          <w:sz w:val="2"/>
        </w:rPr>
        <mc:AlternateContent>
          <mc:Choice Requires="wps">
            <w:drawing>
              <wp:inline distT="0" distB="0" distL="0" distR="0">
                <wp:extent cx="5976620" cy="6350"/>
                <wp:effectExtent l="0" t="0" r="0" b="0"/>
                <wp:docPr id="549" name="Group 549"/>
                <wp:cNvGraphicFramePr>
                  <a:graphicFrameLocks/>
                </wp:cNvGraphicFramePr>
                <a:graphic>
                  <a:graphicData uri="http://schemas.microsoft.com/office/word/2010/wordprocessingGroup">
                    <wpg:wgp>
                      <wpg:cNvPr id="549" name="Group 549"/>
                      <wpg:cNvGrpSpPr/>
                      <wpg:grpSpPr>
                        <a:xfrm>
                          <a:off x="0" y="0"/>
                          <a:ext cx="5976620" cy="6350"/>
                          <a:chExt cx="5976620" cy="6350"/>
                        </a:xfrm>
                      </wpg:grpSpPr>
                      <wps:wsp>
                        <wps:cNvPr id="550" name="Graphic 550"/>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70.6pt;height:.5pt;mso-position-horizontal-relative:char;mso-position-vertical-relative:line" id="docshapegroup446" coordorigin="0,0" coordsize="9412,10">
                <v:rect style="position:absolute;left:0;top:0;width:9412;height:10" id="docshape447" filled="true" fillcolor="#4f81bc" stroked="false">
                  <v:fill type="solid"/>
                </v:rect>
              </v:group>
            </w:pict>
          </mc:Fallback>
        </mc:AlternateContent>
      </w:r>
      <w:r>
        <w:rPr>
          <w:sz w:val="2"/>
        </w:rPr>
      </w:r>
    </w:p>
    <w:p>
      <w:pPr>
        <w:pStyle w:val="BodyText"/>
      </w:pPr>
    </w:p>
    <w:p>
      <w:pPr>
        <w:pStyle w:val="BodyText"/>
        <w:spacing w:before="27"/>
      </w:pPr>
    </w:p>
    <w:p>
      <w:pPr>
        <w:pStyle w:val="ListParagraph"/>
        <w:numPr>
          <w:ilvl w:val="1"/>
          <w:numId w:val="33"/>
        </w:numPr>
        <w:tabs>
          <w:tab w:pos="1057" w:val="left" w:leader="none"/>
          <w:tab w:pos="1059" w:val="left" w:leader="none"/>
        </w:tabs>
        <w:spacing w:line="276" w:lineRule="auto" w:before="1" w:after="0"/>
        <w:ind w:left="1059" w:right="630" w:hanging="361"/>
        <w:jc w:val="left"/>
        <w:rPr>
          <w:sz w:val="22"/>
        </w:rPr>
      </w:pPr>
      <w:r>
        <w:rPr>
          <w:sz w:val="22"/>
        </w:rPr>
        <w:t>Encourage</w:t>
      </w:r>
      <w:r>
        <w:rPr>
          <w:spacing w:val="-2"/>
          <w:sz w:val="22"/>
        </w:rPr>
        <w:t> </w:t>
      </w:r>
      <w:r>
        <w:rPr>
          <w:sz w:val="22"/>
        </w:rPr>
        <w:t>public</w:t>
      </w:r>
      <w:r>
        <w:rPr>
          <w:spacing w:val="-2"/>
          <w:sz w:val="22"/>
        </w:rPr>
        <w:t> </w:t>
      </w:r>
      <w:r>
        <w:rPr>
          <w:sz w:val="22"/>
        </w:rPr>
        <w:t>and</w:t>
      </w:r>
      <w:r>
        <w:rPr>
          <w:spacing w:val="-2"/>
          <w:sz w:val="22"/>
        </w:rPr>
        <w:t> </w:t>
      </w:r>
      <w:r>
        <w:rPr>
          <w:sz w:val="22"/>
        </w:rPr>
        <w:t>private</w:t>
      </w:r>
      <w:r>
        <w:rPr>
          <w:spacing w:val="-2"/>
          <w:sz w:val="22"/>
        </w:rPr>
        <w:t> </w:t>
      </w:r>
      <w:r>
        <w:rPr>
          <w:sz w:val="22"/>
        </w:rPr>
        <w:t>higher</w:t>
      </w:r>
      <w:r>
        <w:rPr>
          <w:spacing w:val="-1"/>
          <w:sz w:val="22"/>
        </w:rPr>
        <w:t> </w:t>
      </w:r>
      <w:r>
        <w:rPr>
          <w:sz w:val="22"/>
        </w:rPr>
        <w:t>education</w:t>
      </w:r>
      <w:r>
        <w:rPr>
          <w:spacing w:val="-2"/>
          <w:sz w:val="22"/>
        </w:rPr>
        <w:t> </w:t>
      </w:r>
      <w:r>
        <w:rPr>
          <w:sz w:val="22"/>
        </w:rPr>
        <w:t>institutions</w:t>
      </w:r>
      <w:r>
        <w:rPr>
          <w:spacing w:val="-1"/>
          <w:sz w:val="22"/>
        </w:rPr>
        <w:t> </w:t>
      </w:r>
      <w:r>
        <w:rPr>
          <w:sz w:val="22"/>
        </w:rPr>
        <w:t>to</w:t>
      </w:r>
      <w:r>
        <w:rPr>
          <w:spacing w:val="-1"/>
          <w:sz w:val="22"/>
        </w:rPr>
        <w:t> </w:t>
      </w:r>
      <w:r>
        <w:rPr>
          <w:sz w:val="22"/>
        </w:rPr>
        <w:t>enact</w:t>
      </w:r>
      <w:r>
        <w:rPr>
          <w:spacing w:val="-2"/>
          <w:sz w:val="22"/>
        </w:rPr>
        <w:t> </w:t>
      </w:r>
      <w:r>
        <w:rPr>
          <w:sz w:val="22"/>
        </w:rPr>
        <w:t>anti-discrimination</w:t>
      </w:r>
      <w:r>
        <w:rPr>
          <w:spacing w:val="-2"/>
          <w:sz w:val="22"/>
        </w:rPr>
        <w:t> </w:t>
      </w:r>
      <w:r>
        <w:rPr>
          <w:sz w:val="22"/>
        </w:rPr>
        <w:t>policies and</w:t>
      </w:r>
      <w:r>
        <w:rPr>
          <w:spacing w:val="-2"/>
          <w:sz w:val="22"/>
        </w:rPr>
        <w:t> </w:t>
      </w:r>
      <w:r>
        <w:rPr>
          <w:sz w:val="22"/>
        </w:rPr>
        <w:t>best</w:t>
      </w:r>
      <w:r>
        <w:rPr>
          <w:spacing w:val="-2"/>
          <w:sz w:val="22"/>
        </w:rPr>
        <w:t> </w:t>
      </w:r>
      <w:r>
        <w:rPr>
          <w:sz w:val="22"/>
        </w:rPr>
        <w:t>practices that</w:t>
      </w:r>
      <w:r>
        <w:rPr>
          <w:spacing w:val="-1"/>
          <w:sz w:val="22"/>
        </w:rPr>
        <w:t> </w:t>
      </w:r>
      <w:r>
        <w:rPr>
          <w:sz w:val="22"/>
        </w:rPr>
        <w:t>include</w:t>
      </w:r>
      <w:r>
        <w:rPr>
          <w:spacing w:val="-2"/>
          <w:sz w:val="22"/>
        </w:rPr>
        <w:t> </w:t>
      </w:r>
      <w:r>
        <w:rPr>
          <w:sz w:val="22"/>
        </w:rPr>
        <w:t>sex,</w:t>
      </w:r>
      <w:r>
        <w:rPr>
          <w:spacing w:val="-2"/>
          <w:sz w:val="22"/>
        </w:rPr>
        <w:t> </w:t>
      </w:r>
      <w:r>
        <w:rPr>
          <w:sz w:val="22"/>
        </w:rPr>
        <w:t>gender</w:t>
      </w:r>
      <w:r>
        <w:rPr>
          <w:spacing w:val="-2"/>
          <w:sz w:val="22"/>
        </w:rPr>
        <w:t> </w:t>
      </w:r>
      <w:r>
        <w:rPr>
          <w:sz w:val="22"/>
        </w:rPr>
        <w:t>identity, gender</w:t>
      </w:r>
      <w:r>
        <w:rPr>
          <w:spacing w:val="-1"/>
          <w:sz w:val="22"/>
        </w:rPr>
        <w:t> </w:t>
      </w:r>
      <w:r>
        <w:rPr>
          <w:sz w:val="22"/>
        </w:rPr>
        <w:t>expression,</w:t>
      </w:r>
      <w:r>
        <w:rPr>
          <w:spacing w:val="-2"/>
          <w:sz w:val="22"/>
        </w:rPr>
        <w:t> </w:t>
      </w:r>
      <w:r>
        <w:rPr>
          <w:sz w:val="22"/>
        </w:rPr>
        <w:t>and</w:t>
      </w:r>
      <w:r>
        <w:rPr>
          <w:spacing w:val="-2"/>
          <w:sz w:val="22"/>
        </w:rPr>
        <w:t> </w:t>
      </w:r>
      <w:r>
        <w:rPr>
          <w:sz w:val="22"/>
        </w:rPr>
        <w:t>sexual</w:t>
      </w:r>
      <w:r>
        <w:rPr>
          <w:spacing w:val="-2"/>
          <w:sz w:val="22"/>
        </w:rPr>
        <w:t> </w:t>
      </w:r>
      <w:r>
        <w:rPr>
          <w:sz w:val="22"/>
        </w:rPr>
        <w:t>orientation.</w:t>
      </w:r>
    </w:p>
    <w:p>
      <w:pPr>
        <w:pStyle w:val="ListParagraph"/>
        <w:numPr>
          <w:ilvl w:val="1"/>
          <w:numId w:val="33"/>
        </w:numPr>
        <w:tabs>
          <w:tab w:pos="1058" w:val="left" w:leader="none"/>
        </w:tabs>
        <w:spacing w:line="240" w:lineRule="auto" w:before="0" w:after="0"/>
        <w:ind w:left="1058" w:right="0" w:hanging="359"/>
        <w:jc w:val="left"/>
        <w:rPr>
          <w:sz w:val="22"/>
        </w:rPr>
      </w:pPr>
      <w:r>
        <w:rPr>
          <w:sz w:val="22"/>
        </w:rPr>
        <w:t>Develop</w:t>
      </w:r>
      <w:r>
        <w:rPr>
          <w:spacing w:val="-9"/>
          <w:sz w:val="22"/>
        </w:rPr>
        <w:t> </w:t>
      </w:r>
      <w:r>
        <w:rPr>
          <w:sz w:val="22"/>
        </w:rPr>
        <w:t>clear</w:t>
      </w:r>
      <w:r>
        <w:rPr>
          <w:spacing w:val="-7"/>
          <w:sz w:val="22"/>
        </w:rPr>
        <w:t> </w:t>
      </w:r>
      <w:r>
        <w:rPr>
          <w:sz w:val="22"/>
        </w:rPr>
        <w:t>guidance</w:t>
      </w:r>
      <w:r>
        <w:rPr>
          <w:spacing w:val="-8"/>
          <w:sz w:val="22"/>
        </w:rPr>
        <w:t> </w:t>
      </w:r>
      <w:r>
        <w:rPr>
          <w:sz w:val="22"/>
        </w:rPr>
        <w:t>on</w:t>
      </w:r>
      <w:r>
        <w:rPr>
          <w:spacing w:val="-7"/>
          <w:sz w:val="22"/>
        </w:rPr>
        <w:t> </w:t>
      </w:r>
      <w:r>
        <w:rPr>
          <w:sz w:val="22"/>
        </w:rPr>
        <w:t>best</w:t>
      </w:r>
      <w:r>
        <w:rPr>
          <w:spacing w:val="-9"/>
          <w:sz w:val="22"/>
        </w:rPr>
        <w:t> </w:t>
      </w:r>
      <w:r>
        <w:rPr>
          <w:sz w:val="22"/>
        </w:rPr>
        <w:t>practices</w:t>
      </w:r>
      <w:r>
        <w:rPr>
          <w:spacing w:val="-8"/>
          <w:sz w:val="22"/>
        </w:rPr>
        <w:t> </w:t>
      </w:r>
      <w:r>
        <w:rPr>
          <w:sz w:val="22"/>
        </w:rPr>
        <w:t>for</w:t>
      </w:r>
      <w:r>
        <w:rPr>
          <w:spacing w:val="-8"/>
          <w:sz w:val="22"/>
        </w:rPr>
        <w:t> </w:t>
      </w:r>
      <w:r>
        <w:rPr>
          <w:sz w:val="22"/>
        </w:rPr>
        <w:t>reporting</w:t>
      </w:r>
      <w:r>
        <w:rPr>
          <w:spacing w:val="-8"/>
          <w:sz w:val="22"/>
        </w:rPr>
        <w:t> </w:t>
      </w:r>
      <w:r>
        <w:rPr>
          <w:sz w:val="22"/>
        </w:rPr>
        <w:t>Campus</w:t>
      </w:r>
      <w:r>
        <w:rPr>
          <w:spacing w:val="-7"/>
          <w:sz w:val="22"/>
        </w:rPr>
        <w:t> </w:t>
      </w:r>
      <w:r>
        <w:rPr>
          <w:sz w:val="22"/>
        </w:rPr>
        <w:t>Sexual</w:t>
      </w:r>
      <w:r>
        <w:rPr>
          <w:spacing w:val="-8"/>
          <w:sz w:val="22"/>
        </w:rPr>
        <w:t> </w:t>
      </w:r>
      <w:r>
        <w:rPr>
          <w:sz w:val="22"/>
        </w:rPr>
        <w:t>Violence</w:t>
      </w:r>
      <w:r>
        <w:rPr>
          <w:spacing w:val="-8"/>
          <w:sz w:val="22"/>
        </w:rPr>
        <w:t> </w:t>
      </w:r>
      <w:r>
        <w:rPr>
          <w:sz w:val="22"/>
        </w:rPr>
        <w:t>Act</w:t>
      </w:r>
      <w:r>
        <w:rPr>
          <w:spacing w:val="-7"/>
          <w:sz w:val="22"/>
        </w:rPr>
        <w:t> </w:t>
      </w:r>
      <w:r>
        <w:rPr>
          <w:spacing w:val="-2"/>
          <w:sz w:val="22"/>
        </w:rPr>
        <w:t>data.</w:t>
      </w:r>
    </w:p>
    <w:p>
      <w:pPr>
        <w:pStyle w:val="ListParagraph"/>
        <w:numPr>
          <w:ilvl w:val="1"/>
          <w:numId w:val="33"/>
        </w:numPr>
        <w:tabs>
          <w:tab w:pos="1057" w:val="left" w:leader="none"/>
          <w:tab w:pos="1059" w:val="left" w:leader="none"/>
        </w:tabs>
        <w:spacing w:line="276" w:lineRule="auto" w:before="41" w:after="0"/>
        <w:ind w:left="1059" w:right="628" w:hanging="361"/>
        <w:jc w:val="left"/>
        <w:rPr>
          <w:sz w:val="22"/>
        </w:rPr>
      </w:pPr>
      <w:r>
        <w:rPr>
          <w:sz w:val="22"/>
        </w:rPr>
        <w:t>Host listening sessions to identify the unique needs of students related to community college access, housing, mental health, among other issues.</w:t>
      </w:r>
    </w:p>
    <w:p>
      <w:pPr>
        <w:pStyle w:val="ListParagraph"/>
        <w:numPr>
          <w:ilvl w:val="1"/>
          <w:numId w:val="33"/>
        </w:numPr>
        <w:tabs>
          <w:tab w:pos="1059" w:val="left" w:leader="none"/>
        </w:tabs>
        <w:spacing w:line="268" w:lineRule="exact" w:before="0" w:after="0"/>
        <w:ind w:left="1059" w:right="0" w:hanging="359"/>
        <w:jc w:val="left"/>
        <w:rPr>
          <w:sz w:val="22"/>
        </w:rPr>
      </w:pPr>
      <w:r>
        <w:rPr>
          <w:sz w:val="22"/>
        </w:rPr>
        <w:t>Collaborate</w:t>
      </w:r>
      <w:r>
        <w:rPr>
          <w:spacing w:val="-9"/>
          <w:sz w:val="22"/>
        </w:rPr>
        <w:t> </w:t>
      </w:r>
      <w:r>
        <w:rPr>
          <w:sz w:val="22"/>
        </w:rPr>
        <w:t>with</w:t>
      </w:r>
      <w:r>
        <w:rPr>
          <w:spacing w:val="-7"/>
          <w:sz w:val="22"/>
        </w:rPr>
        <w:t> </w:t>
      </w:r>
      <w:r>
        <w:rPr>
          <w:sz w:val="22"/>
        </w:rPr>
        <w:t>community</w:t>
      </w:r>
      <w:r>
        <w:rPr>
          <w:spacing w:val="-8"/>
          <w:sz w:val="22"/>
        </w:rPr>
        <w:t> </w:t>
      </w:r>
      <w:r>
        <w:rPr>
          <w:sz w:val="22"/>
        </w:rPr>
        <w:t>colleges</w:t>
      </w:r>
      <w:r>
        <w:rPr>
          <w:spacing w:val="-6"/>
          <w:sz w:val="22"/>
        </w:rPr>
        <w:t> </w:t>
      </w:r>
      <w:r>
        <w:rPr>
          <w:sz w:val="22"/>
        </w:rPr>
        <w:t>to</w:t>
      </w:r>
      <w:r>
        <w:rPr>
          <w:spacing w:val="-8"/>
          <w:sz w:val="22"/>
        </w:rPr>
        <w:t> </w:t>
      </w:r>
      <w:r>
        <w:rPr>
          <w:sz w:val="22"/>
        </w:rPr>
        <w:t>develop</w:t>
      </w:r>
      <w:r>
        <w:rPr>
          <w:spacing w:val="-7"/>
          <w:sz w:val="22"/>
        </w:rPr>
        <w:t> </w:t>
      </w:r>
      <w:r>
        <w:rPr>
          <w:sz w:val="22"/>
        </w:rPr>
        <w:t>resources</w:t>
      </w:r>
      <w:r>
        <w:rPr>
          <w:spacing w:val="-8"/>
          <w:sz w:val="22"/>
        </w:rPr>
        <w:t> </w:t>
      </w:r>
      <w:r>
        <w:rPr>
          <w:sz w:val="22"/>
        </w:rPr>
        <w:t>for</w:t>
      </w:r>
      <w:r>
        <w:rPr>
          <w:spacing w:val="-9"/>
          <w:sz w:val="22"/>
        </w:rPr>
        <w:t> </w:t>
      </w:r>
      <w:r>
        <w:rPr>
          <w:sz w:val="22"/>
        </w:rPr>
        <w:t>LGBTQ</w:t>
      </w:r>
      <w:r>
        <w:rPr>
          <w:spacing w:val="-7"/>
          <w:sz w:val="22"/>
        </w:rPr>
        <w:t> </w:t>
      </w:r>
      <w:r>
        <w:rPr>
          <w:sz w:val="22"/>
        </w:rPr>
        <w:t>youth</w:t>
      </w:r>
      <w:r>
        <w:rPr>
          <w:spacing w:val="-7"/>
          <w:sz w:val="22"/>
        </w:rPr>
        <w:t> </w:t>
      </w:r>
      <w:r>
        <w:rPr>
          <w:sz w:val="22"/>
        </w:rPr>
        <w:t>on</w:t>
      </w:r>
      <w:r>
        <w:rPr>
          <w:spacing w:val="-8"/>
          <w:sz w:val="22"/>
        </w:rPr>
        <w:t> </w:t>
      </w:r>
      <w:r>
        <w:rPr>
          <w:spacing w:val="-2"/>
          <w:sz w:val="22"/>
        </w:rPr>
        <w:t>campus.</w:t>
      </w:r>
    </w:p>
    <w:p>
      <w:pPr>
        <w:pStyle w:val="ListParagraph"/>
        <w:numPr>
          <w:ilvl w:val="1"/>
          <w:numId w:val="33"/>
        </w:numPr>
        <w:tabs>
          <w:tab w:pos="1059" w:val="left" w:leader="none"/>
        </w:tabs>
        <w:spacing w:line="240" w:lineRule="auto" w:before="41" w:after="0"/>
        <w:ind w:left="1059" w:right="0" w:hanging="359"/>
        <w:jc w:val="left"/>
        <w:rPr>
          <w:sz w:val="22"/>
        </w:rPr>
      </w:pPr>
      <w:r>
        <w:rPr>
          <w:sz w:val="22"/>
        </w:rPr>
        <w:t>Explore</w:t>
      </w:r>
      <w:r>
        <w:rPr>
          <w:spacing w:val="-9"/>
          <w:sz w:val="22"/>
        </w:rPr>
        <w:t> </w:t>
      </w:r>
      <w:r>
        <w:rPr>
          <w:sz w:val="22"/>
        </w:rPr>
        <w:t>opportunities</w:t>
      </w:r>
      <w:r>
        <w:rPr>
          <w:spacing w:val="-10"/>
          <w:sz w:val="22"/>
        </w:rPr>
        <w:t> </w:t>
      </w:r>
      <w:r>
        <w:rPr>
          <w:sz w:val="22"/>
        </w:rPr>
        <w:t>to</w:t>
      </w:r>
      <w:r>
        <w:rPr>
          <w:spacing w:val="-9"/>
          <w:sz w:val="22"/>
        </w:rPr>
        <w:t> </w:t>
      </w:r>
      <w:r>
        <w:rPr>
          <w:sz w:val="22"/>
        </w:rPr>
        <w:t>increase</w:t>
      </w:r>
      <w:r>
        <w:rPr>
          <w:spacing w:val="-9"/>
          <w:sz w:val="22"/>
        </w:rPr>
        <w:t> </w:t>
      </w:r>
      <w:r>
        <w:rPr>
          <w:sz w:val="22"/>
        </w:rPr>
        <w:t>funding</w:t>
      </w:r>
      <w:r>
        <w:rPr>
          <w:spacing w:val="-10"/>
          <w:sz w:val="22"/>
        </w:rPr>
        <w:t> </w:t>
      </w:r>
      <w:r>
        <w:rPr>
          <w:sz w:val="22"/>
        </w:rPr>
        <w:t>and</w:t>
      </w:r>
      <w:r>
        <w:rPr>
          <w:spacing w:val="-9"/>
          <w:sz w:val="22"/>
        </w:rPr>
        <w:t> </w:t>
      </w:r>
      <w:r>
        <w:rPr>
          <w:sz w:val="22"/>
        </w:rPr>
        <w:t>LGBTQ-inclusive</w:t>
      </w:r>
      <w:r>
        <w:rPr>
          <w:spacing w:val="-9"/>
          <w:sz w:val="22"/>
        </w:rPr>
        <w:t> </w:t>
      </w:r>
      <w:r>
        <w:rPr>
          <w:sz w:val="22"/>
        </w:rPr>
        <w:t>resources</w:t>
      </w:r>
      <w:r>
        <w:rPr>
          <w:spacing w:val="-9"/>
          <w:sz w:val="22"/>
        </w:rPr>
        <w:t> </w:t>
      </w:r>
      <w:r>
        <w:rPr>
          <w:sz w:val="22"/>
        </w:rPr>
        <w:t>on</w:t>
      </w:r>
      <w:r>
        <w:rPr>
          <w:spacing w:val="-9"/>
          <w:sz w:val="22"/>
        </w:rPr>
        <w:t> </w:t>
      </w:r>
      <w:r>
        <w:rPr>
          <w:sz w:val="22"/>
        </w:rPr>
        <w:t>public</w:t>
      </w:r>
      <w:r>
        <w:rPr>
          <w:spacing w:val="-9"/>
          <w:sz w:val="22"/>
        </w:rPr>
        <w:t> </w:t>
      </w:r>
      <w:r>
        <w:rPr>
          <w:spacing w:val="-2"/>
          <w:sz w:val="22"/>
        </w:rPr>
        <w:t>campuses.</w:t>
      </w:r>
    </w:p>
    <w:p>
      <w:pPr>
        <w:pStyle w:val="BodyText"/>
        <w:spacing w:before="231"/>
        <w:rPr>
          <w:sz w:val="20"/>
        </w:rPr>
      </w:pPr>
      <w:r>
        <w:rPr/>
        <mc:AlternateContent>
          <mc:Choice Requires="wps">
            <w:drawing>
              <wp:anchor distT="0" distB="0" distL="0" distR="0" allowOverlap="1" layoutInCell="1" locked="0" behindDoc="1" simplePos="0" relativeHeight="487693824">
                <wp:simplePos x="0" y="0"/>
                <wp:positionH relativeFrom="page">
                  <wp:posOffset>889000</wp:posOffset>
                </wp:positionH>
                <wp:positionV relativeFrom="paragraph">
                  <wp:posOffset>317292</wp:posOffset>
                </wp:positionV>
                <wp:extent cx="6350" cy="12700"/>
                <wp:effectExtent l="0" t="0" r="0" b="0"/>
                <wp:wrapTopAndBottom/>
                <wp:docPr id="551" name="Graphic 551"/>
                <wp:cNvGraphicFramePr>
                  <a:graphicFrameLocks/>
                </wp:cNvGraphicFramePr>
                <a:graphic>
                  <a:graphicData uri="http://schemas.microsoft.com/office/word/2010/wordprocessingShape">
                    <wps:wsp>
                      <wps:cNvPr id="551" name="Graphic 551"/>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4.98369pt;width:.499pt;height:.96pt;mso-position-horizontal-relative:page;mso-position-vertical-relative:paragraph;z-index:-15622656;mso-wrap-distance-left:0;mso-wrap-distance-right:0" id="docshape448" filled="true" fillcolor="#4f81bb" stroked="false">
                <v:fill type="solid"/>
                <w10:wrap type="topAndBottom"/>
              </v:rect>
            </w:pict>
          </mc:Fallback>
        </mc:AlternateContent>
      </w:r>
    </w:p>
    <w:p>
      <w:pPr>
        <w:spacing w:before="0" w:after="20"/>
        <w:ind w:left="483" w:right="0" w:firstLine="0"/>
        <w:jc w:val="left"/>
        <w:rPr>
          <w:sz w:val="28"/>
        </w:rPr>
      </w:pPr>
      <w:r>
        <w:rPr>
          <w:color w:val="365F91"/>
          <w:spacing w:val="-2"/>
          <w:sz w:val="28"/>
        </w:rPr>
        <w:t>Introduction</w:t>
      </w:r>
    </w:p>
    <w:p>
      <w:pPr>
        <w:pStyle w:val="BodyText"/>
        <w:spacing w:line="20" w:lineRule="exact"/>
        <w:ind w:left="453"/>
        <w:rPr>
          <w:sz w:val="2"/>
        </w:rPr>
      </w:pPr>
      <w:r>
        <w:rPr>
          <w:sz w:val="2"/>
        </w:rPr>
        <mc:AlternateContent>
          <mc:Choice Requires="wps">
            <w:drawing>
              <wp:inline distT="0" distB="0" distL="0" distR="0">
                <wp:extent cx="5976620" cy="6350"/>
                <wp:effectExtent l="0" t="0" r="0" b="0"/>
                <wp:docPr id="552" name="Group 552"/>
                <wp:cNvGraphicFramePr>
                  <a:graphicFrameLocks/>
                </wp:cNvGraphicFramePr>
                <a:graphic>
                  <a:graphicData uri="http://schemas.microsoft.com/office/word/2010/wordprocessingGroup">
                    <wpg:wgp>
                      <wpg:cNvPr id="552" name="Group 552"/>
                      <wpg:cNvGrpSpPr/>
                      <wpg:grpSpPr>
                        <a:xfrm>
                          <a:off x="0" y="0"/>
                          <a:ext cx="5976620" cy="6350"/>
                          <a:chExt cx="5976620" cy="6350"/>
                        </a:xfrm>
                      </wpg:grpSpPr>
                      <wps:wsp>
                        <wps:cNvPr id="553" name="Graphic 553"/>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70.6pt;height:.5pt;mso-position-horizontal-relative:char;mso-position-vertical-relative:line" id="docshapegroup449" coordorigin="0,0" coordsize="9412,10">
                <v:rect style="position:absolute;left:0;top:0;width:9412;height:10" id="docshape450" filled="true" fillcolor="#4f81bc" stroked="false">
                  <v:fill type="solid"/>
                </v:rect>
              </v:group>
            </w:pict>
          </mc:Fallback>
        </mc:AlternateContent>
      </w:r>
      <w:r>
        <w:rPr>
          <w:sz w:val="2"/>
        </w:rPr>
      </w:r>
    </w:p>
    <w:p>
      <w:pPr>
        <w:spacing w:line="276" w:lineRule="auto" w:before="230"/>
        <w:ind w:left="483" w:right="338" w:firstLine="0"/>
        <w:jc w:val="both"/>
        <w:rPr>
          <w:sz w:val="21"/>
        </w:rPr>
      </w:pPr>
      <w:r>
        <w:rPr>
          <w:sz w:val="21"/>
        </w:rPr>
        <w:t>The Department of Higher Education (DHE) offers vital educational opportunities to nearly 300,000 students at 15 community colleges, nine state universities, and the five campuses of the University of Massachusetts. DHE seeks to provide accessible and relevant programs that meet the changing individual and societal needs for education and employment in the Commonwealth. The Commission began meeting with DHE in 2013 to promote</w:t>
      </w:r>
      <w:r>
        <w:rPr>
          <w:spacing w:val="-3"/>
          <w:sz w:val="21"/>
        </w:rPr>
        <w:t> </w:t>
      </w:r>
      <w:r>
        <w:rPr>
          <w:sz w:val="21"/>
        </w:rPr>
        <w:t>inclusive</w:t>
      </w:r>
      <w:r>
        <w:rPr>
          <w:spacing w:val="-3"/>
          <w:sz w:val="21"/>
        </w:rPr>
        <w:t> </w:t>
      </w:r>
      <w:r>
        <w:rPr>
          <w:sz w:val="21"/>
        </w:rPr>
        <w:t>and</w:t>
      </w:r>
      <w:r>
        <w:rPr>
          <w:spacing w:val="-3"/>
          <w:sz w:val="21"/>
        </w:rPr>
        <w:t> </w:t>
      </w:r>
      <w:r>
        <w:rPr>
          <w:sz w:val="21"/>
        </w:rPr>
        <w:t>welcoming</w:t>
      </w:r>
      <w:r>
        <w:rPr>
          <w:spacing w:val="-3"/>
          <w:sz w:val="21"/>
        </w:rPr>
        <w:t> </w:t>
      </w:r>
      <w:r>
        <w:rPr>
          <w:sz w:val="21"/>
        </w:rPr>
        <w:t>campus</w:t>
      </w:r>
      <w:r>
        <w:rPr>
          <w:spacing w:val="-3"/>
          <w:sz w:val="21"/>
        </w:rPr>
        <w:t> </w:t>
      </w:r>
      <w:r>
        <w:rPr>
          <w:sz w:val="21"/>
        </w:rPr>
        <w:t>climates</w:t>
      </w:r>
      <w:r>
        <w:rPr>
          <w:spacing w:val="-4"/>
          <w:sz w:val="21"/>
        </w:rPr>
        <w:t> </w:t>
      </w:r>
      <w:r>
        <w:rPr>
          <w:sz w:val="21"/>
        </w:rPr>
        <w:t>and</w:t>
      </w:r>
      <w:r>
        <w:rPr>
          <w:spacing w:val="-3"/>
          <w:sz w:val="21"/>
        </w:rPr>
        <w:t> </w:t>
      </w:r>
      <w:r>
        <w:rPr>
          <w:sz w:val="21"/>
        </w:rPr>
        <w:t>to</w:t>
      </w:r>
      <w:r>
        <w:rPr>
          <w:spacing w:val="-3"/>
          <w:sz w:val="21"/>
        </w:rPr>
        <w:t> </w:t>
      </w:r>
      <w:r>
        <w:rPr>
          <w:sz w:val="21"/>
        </w:rPr>
        <w:t>improve</w:t>
      </w:r>
      <w:r>
        <w:rPr>
          <w:spacing w:val="-3"/>
          <w:sz w:val="21"/>
        </w:rPr>
        <w:t> </w:t>
      </w:r>
      <w:r>
        <w:rPr>
          <w:sz w:val="21"/>
        </w:rPr>
        <w:t>educational</w:t>
      </w:r>
      <w:r>
        <w:rPr>
          <w:spacing w:val="-3"/>
          <w:sz w:val="21"/>
        </w:rPr>
        <w:t> </w:t>
      </w:r>
      <w:r>
        <w:rPr>
          <w:sz w:val="21"/>
        </w:rPr>
        <w:t>outcomes</w:t>
      </w:r>
      <w:r>
        <w:rPr>
          <w:spacing w:val="-3"/>
          <w:sz w:val="21"/>
        </w:rPr>
        <w:t> </w:t>
      </w:r>
      <w:r>
        <w:rPr>
          <w:sz w:val="21"/>
        </w:rPr>
        <w:t>for</w:t>
      </w:r>
      <w:r>
        <w:rPr>
          <w:spacing w:val="-3"/>
          <w:sz w:val="21"/>
        </w:rPr>
        <w:t> </w:t>
      </w:r>
      <w:r>
        <w:rPr>
          <w:sz w:val="21"/>
        </w:rPr>
        <w:t>LGBTQ</w:t>
      </w:r>
      <w:r>
        <w:rPr>
          <w:spacing w:val="-3"/>
          <w:sz w:val="21"/>
        </w:rPr>
        <w:t> </w:t>
      </w:r>
      <w:r>
        <w:rPr>
          <w:sz w:val="21"/>
        </w:rPr>
        <w:t>students at the collegiate level. Through our work together, DHE has ensured that state campuses consider LGBTQ identities in model guidance and best practices; has updated its campus safety and violence prevention regulations; has committed to ensuring the protection of LGBTQ students and students of color; and has researched</w:t>
      </w:r>
      <w:r>
        <w:rPr>
          <w:spacing w:val="-6"/>
          <w:sz w:val="21"/>
        </w:rPr>
        <w:t> </w:t>
      </w:r>
      <w:r>
        <w:rPr>
          <w:sz w:val="21"/>
        </w:rPr>
        <w:t>the</w:t>
      </w:r>
      <w:r>
        <w:rPr>
          <w:spacing w:val="-6"/>
          <w:sz w:val="21"/>
        </w:rPr>
        <w:t> </w:t>
      </w:r>
      <w:r>
        <w:rPr>
          <w:sz w:val="21"/>
        </w:rPr>
        <w:t>inclusion</w:t>
      </w:r>
      <w:r>
        <w:rPr>
          <w:spacing w:val="-6"/>
          <w:sz w:val="21"/>
        </w:rPr>
        <w:t> </w:t>
      </w:r>
      <w:r>
        <w:rPr>
          <w:sz w:val="21"/>
        </w:rPr>
        <w:t>of</w:t>
      </w:r>
      <w:r>
        <w:rPr>
          <w:spacing w:val="-5"/>
          <w:sz w:val="21"/>
        </w:rPr>
        <w:t> </w:t>
      </w:r>
      <w:r>
        <w:rPr>
          <w:sz w:val="21"/>
        </w:rPr>
        <w:t>gender</w:t>
      </w:r>
      <w:r>
        <w:rPr>
          <w:spacing w:val="-6"/>
          <w:sz w:val="21"/>
        </w:rPr>
        <w:t> </w:t>
      </w:r>
      <w:r>
        <w:rPr>
          <w:sz w:val="21"/>
        </w:rPr>
        <w:t>identity</w:t>
      </w:r>
      <w:r>
        <w:rPr>
          <w:spacing w:val="-6"/>
          <w:sz w:val="21"/>
        </w:rPr>
        <w:t> </w:t>
      </w:r>
      <w:r>
        <w:rPr>
          <w:sz w:val="21"/>
        </w:rPr>
        <w:t>and</w:t>
      </w:r>
      <w:r>
        <w:rPr>
          <w:spacing w:val="-6"/>
          <w:sz w:val="21"/>
        </w:rPr>
        <w:t> </w:t>
      </w:r>
      <w:r>
        <w:rPr>
          <w:sz w:val="21"/>
        </w:rPr>
        <w:t>sexual</w:t>
      </w:r>
      <w:r>
        <w:rPr>
          <w:spacing w:val="-6"/>
          <w:sz w:val="21"/>
        </w:rPr>
        <w:t> </w:t>
      </w:r>
      <w:r>
        <w:rPr>
          <w:sz w:val="21"/>
        </w:rPr>
        <w:t>orientation</w:t>
      </w:r>
      <w:r>
        <w:rPr>
          <w:spacing w:val="-6"/>
          <w:sz w:val="21"/>
        </w:rPr>
        <w:t> </w:t>
      </w:r>
      <w:r>
        <w:rPr>
          <w:sz w:val="21"/>
        </w:rPr>
        <w:t>in</w:t>
      </w:r>
      <w:r>
        <w:rPr>
          <w:spacing w:val="-6"/>
          <w:sz w:val="21"/>
        </w:rPr>
        <w:t> </w:t>
      </w:r>
      <w:r>
        <w:rPr>
          <w:sz w:val="21"/>
        </w:rPr>
        <w:t>college</w:t>
      </w:r>
      <w:r>
        <w:rPr>
          <w:spacing w:val="-6"/>
          <w:sz w:val="21"/>
        </w:rPr>
        <w:t> </w:t>
      </w:r>
      <w:r>
        <w:rPr>
          <w:sz w:val="21"/>
        </w:rPr>
        <w:t>and</w:t>
      </w:r>
      <w:r>
        <w:rPr>
          <w:spacing w:val="-6"/>
          <w:sz w:val="21"/>
        </w:rPr>
        <w:t> </w:t>
      </w:r>
      <w:r>
        <w:rPr>
          <w:sz w:val="21"/>
        </w:rPr>
        <w:t>university</w:t>
      </w:r>
      <w:r>
        <w:rPr>
          <w:spacing w:val="-6"/>
          <w:sz w:val="21"/>
        </w:rPr>
        <w:t> </w:t>
      </w:r>
      <w:r>
        <w:rPr>
          <w:sz w:val="21"/>
        </w:rPr>
        <w:t>anti-discrimination </w:t>
      </w:r>
      <w:r>
        <w:rPr>
          <w:spacing w:val="-2"/>
          <w:sz w:val="21"/>
        </w:rPr>
        <w:t>statements.</w:t>
      </w:r>
    </w:p>
    <w:p>
      <w:pPr>
        <w:spacing w:line="276" w:lineRule="auto" w:before="242"/>
        <w:ind w:left="483" w:right="340" w:firstLine="0"/>
        <w:jc w:val="both"/>
        <w:rPr>
          <w:sz w:val="21"/>
        </w:rPr>
      </w:pPr>
      <w:r>
        <w:rPr>
          <w:sz w:val="21"/>
        </w:rPr>
        <w:t>LGBTQ students interact with every facet of the higher education system. Best practices in policies related to housing, bias incident reporting protocols, health services, health insurance plans, and changing identity documents are increasingly addressing LGBTQ student needs on campuses nationwide. The Commission is eager</w:t>
      </w:r>
      <w:r>
        <w:rPr>
          <w:spacing w:val="-8"/>
          <w:sz w:val="21"/>
        </w:rPr>
        <w:t> </w:t>
      </w:r>
      <w:r>
        <w:rPr>
          <w:sz w:val="21"/>
        </w:rPr>
        <w:t>to</w:t>
      </w:r>
      <w:r>
        <w:rPr>
          <w:spacing w:val="-8"/>
          <w:sz w:val="21"/>
        </w:rPr>
        <w:t> </w:t>
      </w:r>
      <w:r>
        <w:rPr>
          <w:sz w:val="21"/>
        </w:rPr>
        <w:t>work</w:t>
      </w:r>
      <w:r>
        <w:rPr>
          <w:spacing w:val="-7"/>
          <w:sz w:val="21"/>
        </w:rPr>
        <w:t> </w:t>
      </w:r>
      <w:r>
        <w:rPr>
          <w:sz w:val="21"/>
        </w:rPr>
        <w:t>with</w:t>
      </w:r>
      <w:r>
        <w:rPr>
          <w:spacing w:val="-8"/>
          <w:sz w:val="21"/>
        </w:rPr>
        <w:t> </w:t>
      </w:r>
      <w:r>
        <w:rPr>
          <w:sz w:val="21"/>
        </w:rPr>
        <w:t>DHE</w:t>
      </w:r>
      <w:r>
        <w:rPr>
          <w:spacing w:val="-9"/>
          <w:sz w:val="21"/>
        </w:rPr>
        <w:t> </w:t>
      </w:r>
      <w:r>
        <w:rPr>
          <w:sz w:val="21"/>
        </w:rPr>
        <w:t>to</w:t>
      </w:r>
      <w:r>
        <w:rPr>
          <w:spacing w:val="-8"/>
          <w:sz w:val="21"/>
        </w:rPr>
        <w:t> </w:t>
      </w:r>
      <w:r>
        <w:rPr>
          <w:sz w:val="21"/>
        </w:rPr>
        <w:t>ensure</w:t>
      </w:r>
      <w:r>
        <w:rPr>
          <w:spacing w:val="-8"/>
          <w:sz w:val="21"/>
        </w:rPr>
        <w:t> </w:t>
      </w:r>
      <w:r>
        <w:rPr>
          <w:sz w:val="21"/>
        </w:rPr>
        <w:t>that</w:t>
      </w:r>
      <w:r>
        <w:rPr>
          <w:spacing w:val="-8"/>
          <w:sz w:val="21"/>
        </w:rPr>
        <w:t> </w:t>
      </w:r>
      <w:r>
        <w:rPr>
          <w:sz w:val="21"/>
        </w:rPr>
        <w:t>Massachusetts</w:t>
      </w:r>
      <w:r>
        <w:rPr>
          <w:spacing w:val="-8"/>
          <w:sz w:val="21"/>
        </w:rPr>
        <w:t> </w:t>
      </w:r>
      <w:r>
        <w:rPr>
          <w:sz w:val="21"/>
        </w:rPr>
        <w:t>public</w:t>
      </w:r>
      <w:r>
        <w:rPr>
          <w:spacing w:val="-8"/>
          <w:sz w:val="21"/>
        </w:rPr>
        <w:t> </w:t>
      </w:r>
      <w:r>
        <w:rPr>
          <w:sz w:val="21"/>
        </w:rPr>
        <w:t>campuses</w:t>
      </w:r>
      <w:r>
        <w:rPr>
          <w:spacing w:val="-8"/>
          <w:sz w:val="21"/>
        </w:rPr>
        <w:t> </w:t>
      </w:r>
      <w:r>
        <w:rPr>
          <w:sz w:val="21"/>
        </w:rPr>
        <w:t>have</w:t>
      </w:r>
      <w:r>
        <w:rPr>
          <w:spacing w:val="-8"/>
          <w:sz w:val="21"/>
        </w:rPr>
        <w:t> </w:t>
      </w:r>
      <w:r>
        <w:rPr>
          <w:sz w:val="21"/>
        </w:rPr>
        <w:t>access</w:t>
      </w:r>
      <w:r>
        <w:rPr>
          <w:spacing w:val="-7"/>
          <w:sz w:val="21"/>
        </w:rPr>
        <w:t> </w:t>
      </w:r>
      <w:r>
        <w:rPr>
          <w:sz w:val="21"/>
        </w:rPr>
        <w:t>to</w:t>
      </w:r>
      <w:r>
        <w:rPr>
          <w:spacing w:val="-8"/>
          <w:sz w:val="21"/>
        </w:rPr>
        <w:t> </w:t>
      </w:r>
      <w:r>
        <w:rPr>
          <w:sz w:val="21"/>
        </w:rPr>
        <w:t>the</w:t>
      </w:r>
      <w:r>
        <w:rPr>
          <w:spacing w:val="-8"/>
          <w:sz w:val="21"/>
        </w:rPr>
        <w:t> </w:t>
      </w:r>
      <w:r>
        <w:rPr>
          <w:sz w:val="21"/>
        </w:rPr>
        <w:t>resources</w:t>
      </w:r>
      <w:r>
        <w:rPr>
          <w:spacing w:val="-8"/>
          <w:sz w:val="21"/>
        </w:rPr>
        <w:t> </w:t>
      </w:r>
      <w:r>
        <w:rPr>
          <w:sz w:val="21"/>
        </w:rPr>
        <w:t>they</w:t>
      </w:r>
      <w:r>
        <w:rPr>
          <w:spacing w:val="-8"/>
          <w:sz w:val="21"/>
        </w:rPr>
        <w:t> </w:t>
      </w:r>
      <w:r>
        <w:rPr>
          <w:sz w:val="21"/>
        </w:rPr>
        <w:t>need to</w:t>
      </w:r>
      <w:r>
        <w:rPr>
          <w:spacing w:val="-7"/>
          <w:sz w:val="21"/>
        </w:rPr>
        <w:t> </w:t>
      </w:r>
      <w:r>
        <w:rPr>
          <w:sz w:val="21"/>
        </w:rPr>
        <w:t>develop</w:t>
      </w:r>
      <w:r>
        <w:rPr>
          <w:spacing w:val="-7"/>
          <w:sz w:val="21"/>
        </w:rPr>
        <w:t> </w:t>
      </w:r>
      <w:r>
        <w:rPr>
          <w:sz w:val="21"/>
        </w:rPr>
        <w:t>the</w:t>
      </w:r>
      <w:r>
        <w:rPr>
          <w:spacing w:val="-7"/>
          <w:sz w:val="21"/>
        </w:rPr>
        <w:t> </w:t>
      </w:r>
      <w:r>
        <w:rPr>
          <w:sz w:val="21"/>
        </w:rPr>
        <w:t>internal</w:t>
      </w:r>
      <w:r>
        <w:rPr>
          <w:spacing w:val="-8"/>
          <w:sz w:val="21"/>
        </w:rPr>
        <w:t> </w:t>
      </w:r>
      <w:r>
        <w:rPr>
          <w:sz w:val="21"/>
        </w:rPr>
        <w:t>policies,</w:t>
      </w:r>
      <w:r>
        <w:rPr>
          <w:spacing w:val="-6"/>
          <w:sz w:val="21"/>
        </w:rPr>
        <w:t> </w:t>
      </w:r>
      <w:r>
        <w:rPr>
          <w:sz w:val="21"/>
        </w:rPr>
        <w:t>procedures,</w:t>
      </w:r>
      <w:r>
        <w:rPr>
          <w:spacing w:val="-6"/>
          <w:sz w:val="21"/>
        </w:rPr>
        <w:t> </w:t>
      </w:r>
      <w:r>
        <w:rPr>
          <w:sz w:val="21"/>
        </w:rPr>
        <w:t>and</w:t>
      </w:r>
      <w:r>
        <w:rPr>
          <w:spacing w:val="-8"/>
          <w:sz w:val="21"/>
        </w:rPr>
        <w:t> </w:t>
      </w:r>
      <w:r>
        <w:rPr>
          <w:sz w:val="21"/>
        </w:rPr>
        <w:t>best</w:t>
      </w:r>
      <w:r>
        <w:rPr>
          <w:spacing w:val="-6"/>
          <w:sz w:val="21"/>
        </w:rPr>
        <w:t> </w:t>
      </w:r>
      <w:r>
        <w:rPr>
          <w:sz w:val="21"/>
        </w:rPr>
        <w:t>practices</w:t>
      </w:r>
      <w:r>
        <w:rPr>
          <w:spacing w:val="-7"/>
          <w:sz w:val="21"/>
        </w:rPr>
        <w:t> </w:t>
      </w:r>
      <w:r>
        <w:rPr>
          <w:sz w:val="21"/>
        </w:rPr>
        <w:t>necessary</w:t>
      </w:r>
      <w:r>
        <w:rPr>
          <w:spacing w:val="-7"/>
          <w:sz w:val="21"/>
        </w:rPr>
        <w:t> </w:t>
      </w:r>
      <w:r>
        <w:rPr>
          <w:sz w:val="21"/>
        </w:rPr>
        <w:t>for</w:t>
      </w:r>
      <w:r>
        <w:rPr>
          <w:spacing w:val="-7"/>
          <w:sz w:val="21"/>
        </w:rPr>
        <w:t> </w:t>
      </w:r>
      <w:r>
        <w:rPr>
          <w:sz w:val="21"/>
        </w:rPr>
        <w:t>our</w:t>
      </w:r>
      <w:r>
        <w:rPr>
          <w:spacing w:val="-7"/>
          <w:sz w:val="21"/>
        </w:rPr>
        <w:t> </w:t>
      </w:r>
      <w:r>
        <w:rPr>
          <w:sz w:val="21"/>
        </w:rPr>
        <w:t>campuses</w:t>
      </w:r>
      <w:r>
        <w:rPr>
          <w:spacing w:val="-7"/>
          <w:sz w:val="21"/>
        </w:rPr>
        <w:t> </w:t>
      </w:r>
      <w:r>
        <w:rPr>
          <w:sz w:val="21"/>
        </w:rPr>
        <w:t>to</w:t>
      </w:r>
      <w:r>
        <w:rPr>
          <w:spacing w:val="-7"/>
          <w:sz w:val="21"/>
        </w:rPr>
        <w:t> </w:t>
      </w:r>
      <w:r>
        <w:rPr>
          <w:sz w:val="21"/>
        </w:rPr>
        <w:t>exceed</w:t>
      </w:r>
      <w:r>
        <w:rPr>
          <w:spacing w:val="-7"/>
          <w:sz w:val="21"/>
        </w:rPr>
        <w:t> </w:t>
      </w:r>
      <w:r>
        <w:rPr>
          <w:sz w:val="21"/>
        </w:rPr>
        <w:t>national standards for LGBTQ student support.</w:t>
      </w:r>
    </w:p>
    <w:p>
      <w:pPr>
        <w:pStyle w:val="BodyText"/>
        <w:spacing w:before="141"/>
        <w:rPr>
          <w:sz w:val="21"/>
        </w:rPr>
      </w:pPr>
    </w:p>
    <w:p>
      <w:pPr>
        <w:spacing w:before="0"/>
        <w:ind w:left="339" w:right="0" w:firstLine="0"/>
        <w:jc w:val="left"/>
        <w:rPr>
          <w:sz w:val="28"/>
        </w:rPr>
      </w:pPr>
      <w:r>
        <w:rPr/>
        <mc:AlternateContent>
          <mc:Choice Requires="wps">
            <w:drawing>
              <wp:anchor distT="0" distB="0" distL="0" distR="0" allowOverlap="1" layoutInCell="1" locked="0" behindDoc="1" simplePos="0" relativeHeight="487694848">
                <wp:simplePos x="0" y="0"/>
                <wp:positionH relativeFrom="page">
                  <wp:posOffset>806195</wp:posOffset>
                </wp:positionH>
                <wp:positionV relativeFrom="paragraph">
                  <wp:posOffset>230286</wp:posOffset>
                </wp:positionV>
                <wp:extent cx="6159500" cy="635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6159500" cy="6350"/>
                        </a:xfrm>
                        <a:custGeom>
                          <a:avLst/>
                          <a:gdLst/>
                          <a:ahLst/>
                          <a:cxnLst/>
                          <a:rect l="l" t="t" r="r" b="b"/>
                          <a:pathLst>
                            <a:path w="6159500" h="6350">
                              <a:moveTo>
                                <a:pt x="6159246" y="0"/>
                              </a:moveTo>
                              <a:lnTo>
                                <a:pt x="0" y="0"/>
                              </a:lnTo>
                              <a:lnTo>
                                <a:pt x="0" y="6095"/>
                              </a:lnTo>
                              <a:lnTo>
                                <a:pt x="6159246" y="6095"/>
                              </a:lnTo>
                              <a:lnTo>
                                <a:pt x="615924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18.132774pt;width:484.98pt;height:.48pt;mso-position-horizontal-relative:page;mso-position-vertical-relative:paragraph;z-index:-15621632;mso-wrap-distance-left:0;mso-wrap-distance-right:0" id="docshape451" filled="true" fillcolor="#4f81bc" stroked="false">
                <v:fill type="solid"/>
                <w10:wrap type="topAndBottom"/>
              </v:rect>
            </w:pict>
          </mc:Fallback>
        </mc:AlternateContent>
      </w:r>
      <w:r>
        <w:rPr>
          <w:color w:val="365F91"/>
          <w:sz w:val="28"/>
        </w:rPr>
        <w:t>FY</w:t>
      </w:r>
      <w:r>
        <w:rPr>
          <w:color w:val="365F91"/>
          <w:spacing w:val="-9"/>
          <w:sz w:val="28"/>
        </w:rPr>
        <w:t> </w:t>
      </w:r>
      <w:r>
        <w:rPr>
          <w:color w:val="365F91"/>
          <w:sz w:val="28"/>
        </w:rPr>
        <w:t>2025</w:t>
      </w:r>
      <w:r>
        <w:rPr>
          <w:color w:val="365F91"/>
          <w:spacing w:val="-8"/>
          <w:sz w:val="28"/>
        </w:rPr>
        <w:t> </w:t>
      </w:r>
      <w:r>
        <w:rPr>
          <w:color w:val="365F91"/>
          <w:sz w:val="28"/>
        </w:rPr>
        <w:t>Expanded</w:t>
      </w:r>
      <w:r>
        <w:rPr>
          <w:color w:val="365F91"/>
          <w:spacing w:val="-9"/>
          <w:sz w:val="28"/>
        </w:rPr>
        <w:t> </w:t>
      </w:r>
      <w:r>
        <w:rPr>
          <w:color w:val="365F91"/>
          <w:sz w:val="28"/>
        </w:rPr>
        <w:t>DHE</w:t>
      </w:r>
      <w:r>
        <w:rPr>
          <w:color w:val="365F91"/>
          <w:spacing w:val="-9"/>
          <w:sz w:val="28"/>
        </w:rPr>
        <w:t> </w:t>
      </w:r>
      <w:r>
        <w:rPr>
          <w:color w:val="365F91"/>
          <w:spacing w:val="-2"/>
          <w:sz w:val="28"/>
        </w:rPr>
        <w:t>Recommendations</w:t>
      </w:r>
    </w:p>
    <w:p>
      <w:pPr>
        <w:pStyle w:val="BodyText"/>
        <w:spacing w:before="227"/>
      </w:pPr>
    </w:p>
    <w:p>
      <w:pPr>
        <w:numPr>
          <w:ilvl w:val="0"/>
          <w:numId w:val="34"/>
        </w:numPr>
        <w:tabs>
          <w:tab w:pos="481" w:val="left" w:leader="none"/>
          <w:tab w:pos="483" w:val="left" w:leader="none"/>
        </w:tabs>
        <w:spacing w:line="276" w:lineRule="auto" w:before="0"/>
        <w:ind w:left="483" w:right="343" w:hanging="360"/>
        <w:jc w:val="left"/>
        <w:rPr>
          <w:b/>
          <w:sz w:val="22"/>
        </w:rPr>
      </w:pPr>
      <w:r>
        <w:rPr>
          <w:b/>
          <w:sz w:val="22"/>
        </w:rPr>
        <w:t>Encourage</w:t>
      </w:r>
      <w:r>
        <w:rPr>
          <w:b/>
          <w:spacing w:val="-13"/>
          <w:sz w:val="22"/>
        </w:rPr>
        <w:t> </w:t>
      </w:r>
      <w:r>
        <w:rPr>
          <w:b/>
          <w:sz w:val="22"/>
        </w:rPr>
        <w:t>public</w:t>
      </w:r>
      <w:r>
        <w:rPr>
          <w:b/>
          <w:spacing w:val="-13"/>
          <w:sz w:val="22"/>
        </w:rPr>
        <w:t> </w:t>
      </w:r>
      <w:r>
        <w:rPr>
          <w:b/>
          <w:sz w:val="22"/>
        </w:rPr>
        <w:t>and</w:t>
      </w:r>
      <w:r>
        <w:rPr>
          <w:b/>
          <w:spacing w:val="-12"/>
          <w:sz w:val="22"/>
        </w:rPr>
        <w:t> </w:t>
      </w:r>
      <w:r>
        <w:rPr>
          <w:b/>
          <w:sz w:val="22"/>
        </w:rPr>
        <w:t>private</w:t>
      </w:r>
      <w:r>
        <w:rPr>
          <w:b/>
          <w:spacing w:val="-13"/>
          <w:sz w:val="22"/>
        </w:rPr>
        <w:t> </w:t>
      </w:r>
      <w:r>
        <w:rPr>
          <w:b/>
          <w:sz w:val="22"/>
        </w:rPr>
        <w:t>higher</w:t>
      </w:r>
      <w:r>
        <w:rPr>
          <w:b/>
          <w:spacing w:val="-13"/>
          <w:sz w:val="22"/>
        </w:rPr>
        <w:t> </w:t>
      </w:r>
      <w:r>
        <w:rPr>
          <w:b/>
          <w:sz w:val="22"/>
        </w:rPr>
        <w:t>education</w:t>
      </w:r>
      <w:r>
        <w:rPr>
          <w:b/>
          <w:spacing w:val="-13"/>
          <w:sz w:val="22"/>
        </w:rPr>
        <w:t> </w:t>
      </w:r>
      <w:r>
        <w:rPr>
          <w:b/>
          <w:sz w:val="22"/>
        </w:rPr>
        <w:t>institutions</w:t>
      </w:r>
      <w:r>
        <w:rPr>
          <w:b/>
          <w:spacing w:val="-12"/>
          <w:sz w:val="22"/>
        </w:rPr>
        <w:t> </w:t>
      </w:r>
      <w:r>
        <w:rPr>
          <w:b/>
          <w:sz w:val="22"/>
        </w:rPr>
        <w:t>to</w:t>
      </w:r>
      <w:r>
        <w:rPr>
          <w:b/>
          <w:spacing w:val="-13"/>
          <w:sz w:val="22"/>
        </w:rPr>
        <w:t> </w:t>
      </w:r>
      <w:r>
        <w:rPr>
          <w:b/>
          <w:sz w:val="22"/>
        </w:rPr>
        <w:t>enact</w:t>
      </w:r>
      <w:r>
        <w:rPr>
          <w:b/>
          <w:spacing w:val="-14"/>
          <w:sz w:val="22"/>
        </w:rPr>
        <w:t> </w:t>
      </w:r>
      <w:r>
        <w:rPr>
          <w:b/>
          <w:sz w:val="22"/>
        </w:rPr>
        <w:t>anti-discrimination</w:t>
      </w:r>
      <w:r>
        <w:rPr>
          <w:b/>
          <w:spacing w:val="-13"/>
          <w:sz w:val="22"/>
        </w:rPr>
        <w:t> </w:t>
      </w:r>
      <w:r>
        <w:rPr>
          <w:b/>
          <w:sz w:val="22"/>
        </w:rPr>
        <w:t>policies</w:t>
      </w:r>
      <w:r>
        <w:rPr>
          <w:b/>
          <w:spacing w:val="-13"/>
          <w:sz w:val="22"/>
        </w:rPr>
        <w:t> </w:t>
      </w:r>
      <w:r>
        <w:rPr>
          <w:b/>
          <w:sz w:val="22"/>
        </w:rPr>
        <w:t>and</w:t>
      </w:r>
      <w:r>
        <w:rPr>
          <w:b/>
          <w:spacing w:val="-13"/>
          <w:sz w:val="22"/>
        </w:rPr>
        <w:t> </w:t>
      </w:r>
      <w:r>
        <w:rPr>
          <w:b/>
          <w:sz w:val="22"/>
        </w:rPr>
        <w:t>best practices that include sex, gender identity, gender expression, and sexual orientation.</w:t>
      </w:r>
    </w:p>
    <w:p>
      <w:pPr>
        <w:pStyle w:val="BodyText"/>
        <w:spacing w:line="276" w:lineRule="auto" w:before="241"/>
        <w:ind w:left="483"/>
      </w:pPr>
      <w:r>
        <w:rPr/>
        <w:t>As</w:t>
      </w:r>
      <w:r>
        <w:rPr>
          <w:spacing w:val="24"/>
        </w:rPr>
        <w:t> </w:t>
      </w:r>
      <w:r>
        <w:rPr/>
        <w:t>with</w:t>
      </w:r>
      <w:r>
        <w:rPr>
          <w:spacing w:val="25"/>
        </w:rPr>
        <w:t> </w:t>
      </w:r>
      <w:r>
        <w:rPr/>
        <w:t>younger</w:t>
      </w:r>
      <w:r>
        <w:rPr>
          <w:spacing w:val="24"/>
        </w:rPr>
        <w:t> </w:t>
      </w:r>
      <w:r>
        <w:rPr/>
        <w:t>students,</w:t>
      </w:r>
      <w:r>
        <w:rPr>
          <w:spacing w:val="24"/>
        </w:rPr>
        <w:t> </w:t>
      </w:r>
      <w:r>
        <w:rPr/>
        <w:t>scholars</w:t>
      </w:r>
      <w:r>
        <w:rPr>
          <w:spacing w:val="24"/>
        </w:rPr>
        <w:t> </w:t>
      </w:r>
      <w:r>
        <w:rPr/>
        <w:t>in</w:t>
      </w:r>
      <w:r>
        <w:rPr>
          <w:spacing w:val="26"/>
        </w:rPr>
        <w:t> </w:t>
      </w:r>
      <w:r>
        <w:rPr/>
        <w:t>higher</w:t>
      </w:r>
      <w:r>
        <w:rPr>
          <w:spacing w:val="25"/>
        </w:rPr>
        <w:t> </w:t>
      </w:r>
      <w:r>
        <w:rPr/>
        <w:t>education</w:t>
      </w:r>
      <w:r>
        <w:rPr>
          <w:spacing w:val="25"/>
        </w:rPr>
        <w:t> </w:t>
      </w:r>
      <w:r>
        <w:rPr/>
        <w:t>programs</w:t>
      </w:r>
      <w:r>
        <w:rPr>
          <w:spacing w:val="24"/>
        </w:rPr>
        <w:t> </w:t>
      </w:r>
      <w:r>
        <w:rPr/>
        <w:t>do</w:t>
      </w:r>
      <w:r>
        <w:rPr>
          <w:spacing w:val="26"/>
        </w:rPr>
        <w:t> </w:t>
      </w:r>
      <w:r>
        <w:rPr/>
        <w:t>best</w:t>
      </w:r>
      <w:r>
        <w:rPr>
          <w:spacing w:val="25"/>
        </w:rPr>
        <w:t> </w:t>
      </w:r>
      <w:r>
        <w:rPr/>
        <w:t>when</w:t>
      </w:r>
      <w:r>
        <w:rPr>
          <w:spacing w:val="25"/>
        </w:rPr>
        <w:t> </w:t>
      </w:r>
      <w:r>
        <w:rPr/>
        <w:t>their</w:t>
      </w:r>
      <w:r>
        <w:rPr>
          <w:spacing w:val="26"/>
        </w:rPr>
        <w:t> </w:t>
      </w:r>
      <w:r>
        <w:rPr/>
        <w:t>classrooms</w:t>
      </w:r>
      <w:r>
        <w:rPr>
          <w:spacing w:val="24"/>
        </w:rPr>
        <w:t> </w:t>
      </w:r>
      <w:r>
        <w:rPr/>
        <w:t>and campuses</w:t>
      </w:r>
      <w:r>
        <w:rPr>
          <w:spacing w:val="4"/>
        </w:rPr>
        <w:t> </w:t>
      </w:r>
      <w:r>
        <w:rPr/>
        <w:t>offer</w:t>
      </w:r>
      <w:r>
        <w:rPr>
          <w:spacing w:val="3"/>
        </w:rPr>
        <w:t> </w:t>
      </w:r>
      <w:r>
        <w:rPr/>
        <w:t>a</w:t>
      </w:r>
      <w:r>
        <w:rPr>
          <w:spacing w:val="3"/>
        </w:rPr>
        <w:t> </w:t>
      </w:r>
      <w:r>
        <w:rPr/>
        <w:t>safe</w:t>
      </w:r>
      <w:r>
        <w:rPr>
          <w:spacing w:val="4"/>
        </w:rPr>
        <w:t> </w:t>
      </w:r>
      <w:r>
        <w:rPr/>
        <w:t>and</w:t>
      </w:r>
      <w:r>
        <w:rPr>
          <w:spacing w:val="4"/>
        </w:rPr>
        <w:t> </w:t>
      </w:r>
      <w:r>
        <w:rPr/>
        <w:t>supportive</w:t>
      </w:r>
      <w:r>
        <w:rPr>
          <w:spacing w:val="4"/>
        </w:rPr>
        <w:t> </w:t>
      </w:r>
      <w:r>
        <w:rPr/>
        <w:t>climate</w:t>
      </w:r>
      <w:r>
        <w:rPr>
          <w:spacing w:val="3"/>
        </w:rPr>
        <w:t> </w:t>
      </w:r>
      <w:r>
        <w:rPr/>
        <w:t>free</w:t>
      </w:r>
      <w:r>
        <w:rPr>
          <w:spacing w:val="4"/>
        </w:rPr>
        <w:t> </w:t>
      </w:r>
      <w:r>
        <w:rPr/>
        <w:t>from</w:t>
      </w:r>
      <w:r>
        <w:rPr>
          <w:spacing w:val="4"/>
        </w:rPr>
        <w:t> </w:t>
      </w:r>
      <w:r>
        <w:rPr/>
        <w:t>violence,</w:t>
      </w:r>
      <w:r>
        <w:rPr>
          <w:spacing w:val="5"/>
        </w:rPr>
        <w:t> </w:t>
      </w:r>
      <w:r>
        <w:rPr/>
        <w:t>discrimination,</w:t>
      </w:r>
      <w:r>
        <w:rPr>
          <w:spacing w:val="3"/>
        </w:rPr>
        <w:t> </w:t>
      </w:r>
      <w:r>
        <w:rPr/>
        <w:t>or</w:t>
      </w:r>
      <w:r>
        <w:rPr>
          <w:spacing w:val="3"/>
        </w:rPr>
        <w:t> </w:t>
      </w:r>
      <w:r>
        <w:rPr/>
        <w:t>harassment.</w:t>
      </w:r>
      <w:r>
        <w:rPr>
          <w:spacing w:val="4"/>
        </w:rPr>
        <w:t> </w:t>
      </w:r>
      <w:r>
        <w:rPr/>
        <w:t>DHE</w:t>
      </w:r>
      <w:r>
        <w:rPr>
          <w:spacing w:val="4"/>
        </w:rPr>
        <w:t> </w:t>
      </w:r>
      <w:r>
        <w:rPr>
          <w:spacing w:val="-5"/>
        </w:rPr>
        <w:t>is</w:t>
      </w:r>
    </w:p>
    <w:p>
      <w:pPr>
        <w:spacing w:after="0" w:line="276" w:lineRule="auto"/>
        <w:sectPr>
          <w:headerReference w:type="default" r:id="rId712"/>
          <w:footerReference w:type="default" r:id="rId713"/>
          <w:pgSz w:w="12240" w:h="15840"/>
          <w:pgMar w:header="804" w:footer="1196" w:top="1000" w:bottom="1380" w:left="960" w:right="1100"/>
        </w:sectPr>
      </w:pPr>
    </w:p>
    <w:p>
      <w:pPr>
        <w:pStyle w:val="BodyText"/>
        <w:spacing w:line="276" w:lineRule="auto" w:before="139"/>
        <w:ind w:left="483" w:right="343"/>
        <w:jc w:val="both"/>
      </w:pPr>
      <w:r>
        <w:rPr/>
        <w:t>uniquely positioned to support institutions in establishing policies and guidance that provide campus professionals with the tools they need to support LGBTQ young people. While DHE has a limited role in the affairs of individual institutions, the Commission strongly urges DHE to act as a role model and encourage higher education institutions to pursue anti-discrimination policies above and beyond the baseline required by state law.</w:t>
      </w:r>
    </w:p>
    <w:p>
      <w:pPr>
        <w:pStyle w:val="BodyText"/>
        <w:spacing w:line="276" w:lineRule="auto" w:before="238"/>
        <w:ind w:left="483" w:right="341"/>
        <w:jc w:val="both"/>
      </w:pPr>
      <w:r>
        <w:rPr/>
        <w:t>In</w:t>
      </w:r>
      <w:r>
        <w:rPr>
          <w:spacing w:val="-10"/>
        </w:rPr>
        <w:t> </w:t>
      </w:r>
      <w:r>
        <w:rPr/>
        <w:t>DHE’s</w:t>
      </w:r>
      <w:r>
        <w:rPr>
          <w:spacing w:val="-10"/>
        </w:rPr>
        <w:t> </w:t>
      </w:r>
      <w:r>
        <w:rPr/>
        <w:t>recent</w:t>
      </w:r>
      <w:r>
        <w:rPr>
          <w:spacing w:val="-9"/>
        </w:rPr>
        <w:t> </w:t>
      </w:r>
      <w:r>
        <w:rPr/>
        <w:t>review</w:t>
      </w:r>
      <w:r>
        <w:rPr>
          <w:spacing w:val="-9"/>
        </w:rPr>
        <w:t> </w:t>
      </w:r>
      <w:r>
        <w:rPr/>
        <w:t>of</w:t>
      </w:r>
      <w:r>
        <w:rPr>
          <w:spacing w:val="-9"/>
        </w:rPr>
        <w:t> </w:t>
      </w:r>
      <w:r>
        <w:rPr/>
        <w:t>current</w:t>
      </w:r>
      <w:r>
        <w:rPr>
          <w:spacing w:val="-9"/>
        </w:rPr>
        <w:t> </w:t>
      </w:r>
      <w:r>
        <w:rPr/>
        <w:t>anti-discrimination</w:t>
      </w:r>
      <w:r>
        <w:rPr>
          <w:spacing w:val="-8"/>
        </w:rPr>
        <w:t> </w:t>
      </w:r>
      <w:r>
        <w:rPr/>
        <w:t>policies</w:t>
      </w:r>
      <w:r>
        <w:rPr>
          <w:spacing w:val="-9"/>
        </w:rPr>
        <w:t> </w:t>
      </w:r>
      <w:r>
        <w:rPr/>
        <w:t>in</w:t>
      </w:r>
      <w:r>
        <w:rPr>
          <w:spacing w:val="-9"/>
        </w:rPr>
        <w:t> </w:t>
      </w:r>
      <w:r>
        <w:rPr/>
        <w:t>place</w:t>
      </w:r>
      <w:r>
        <w:rPr>
          <w:spacing w:val="-9"/>
        </w:rPr>
        <w:t> </w:t>
      </w:r>
      <w:r>
        <w:rPr/>
        <w:t>at</w:t>
      </w:r>
      <w:r>
        <w:rPr>
          <w:spacing w:val="-9"/>
        </w:rPr>
        <w:t> </w:t>
      </w:r>
      <w:r>
        <w:rPr/>
        <w:t>all</w:t>
      </w:r>
      <w:r>
        <w:rPr>
          <w:spacing w:val="-9"/>
        </w:rPr>
        <w:t> </w:t>
      </w:r>
      <w:r>
        <w:rPr/>
        <w:t>115</w:t>
      </w:r>
      <w:r>
        <w:rPr>
          <w:spacing w:val="-9"/>
        </w:rPr>
        <w:t> </w:t>
      </w:r>
      <w:r>
        <w:rPr/>
        <w:t>public</w:t>
      </w:r>
      <w:r>
        <w:rPr>
          <w:spacing w:val="-10"/>
        </w:rPr>
        <w:t> </w:t>
      </w:r>
      <w:r>
        <w:rPr/>
        <w:t>and</w:t>
      </w:r>
      <w:r>
        <w:rPr>
          <w:spacing w:val="-9"/>
        </w:rPr>
        <w:t> </w:t>
      </w:r>
      <w:r>
        <w:rPr/>
        <w:t>private</w:t>
      </w:r>
      <w:r>
        <w:rPr>
          <w:spacing w:val="-9"/>
        </w:rPr>
        <w:t> </w:t>
      </w:r>
      <w:r>
        <w:rPr/>
        <w:t>colleges and</w:t>
      </w:r>
      <w:r>
        <w:rPr>
          <w:spacing w:val="-3"/>
        </w:rPr>
        <w:t> </w:t>
      </w:r>
      <w:r>
        <w:rPr/>
        <w:t>universities</w:t>
      </w:r>
      <w:r>
        <w:rPr>
          <w:spacing w:val="-3"/>
        </w:rPr>
        <w:t> </w:t>
      </w:r>
      <w:r>
        <w:rPr/>
        <w:t>located</w:t>
      </w:r>
      <w:r>
        <w:rPr>
          <w:spacing w:val="-3"/>
        </w:rPr>
        <w:t> </w:t>
      </w:r>
      <w:r>
        <w:rPr/>
        <w:t>and</w:t>
      </w:r>
      <w:r>
        <w:rPr>
          <w:spacing w:val="-3"/>
        </w:rPr>
        <w:t> </w:t>
      </w:r>
      <w:r>
        <w:rPr/>
        <w:t>operating</w:t>
      </w:r>
      <w:r>
        <w:rPr>
          <w:spacing w:val="-2"/>
        </w:rPr>
        <w:t> </w:t>
      </w:r>
      <w:r>
        <w:rPr/>
        <w:t>in</w:t>
      </w:r>
      <w:r>
        <w:rPr>
          <w:spacing w:val="-3"/>
        </w:rPr>
        <w:t> </w:t>
      </w:r>
      <w:r>
        <w:rPr/>
        <w:t>the</w:t>
      </w:r>
      <w:r>
        <w:rPr>
          <w:spacing w:val="-2"/>
        </w:rPr>
        <w:t> </w:t>
      </w:r>
      <w:r>
        <w:rPr/>
        <w:t>Commonwealth,</w:t>
      </w:r>
      <w:r>
        <w:rPr>
          <w:spacing w:val="-1"/>
        </w:rPr>
        <w:t> </w:t>
      </w:r>
      <w:r>
        <w:rPr/>
        <w:t>it</w:t>
      </w:r>
      <w:r>
        <w:rPr>
          <w:spacing w:val="-2"/>
        </w:rPr>
        <w:t> </w:t>
      </w:r>
      <w:r>
        <w:rPr/>
        <w:t>found</w:t>
      </w:r>
      <w:r>
        <w:rPr>
          <w:spacing w:val="-2"/>
        </w:rPr>
        <w:t> </w:t>
      </w:r>
      <w:r>
        <w:rPr/>
        <w:t>that</w:t>
      </w:r>
      <w:r>
        <w:rPr>
          <w:spacing w:val="-2"/>
        </w:rPr>
        <w:t> </w:t>
      </w:r>
      <w:r>
        <w:rPr/>
        <w:t>the</w:t>
      </w:r>
      <w:r>
        <w:rPr>
          <w:spacing w:val="-1"/>
        </w:rPr>
        <w:t> </w:t>
      </w:r>
      <w:r>
        <w:rPr/>
        <w:t>vast</w:t>
      </w:r>
      <w:r>
        <w:rPr>
          <w:spacing w:val="-3"/>
        </w:rPr>
        <w:t> </w:t>
      </w:r>
      <w:r>
        <w:rPr/>
        <w:t>majority</w:t>
      </w:r>
      <w:r>
        <w:rPr>
          <w:spacing w:val="-2"/>
        </w:rPr>
        <w:t> </w:t>
      </w:r>
      <w:r>
        <w:rPr/>
        <w:t>have</w:t>
      </w:r>
      <w:r>
        <w:rPr>
          <w:spacing w:val="-3"/>
        </w:rPr>
        <w:t> </w:t>
      </w:r>
      <w:r>
        <w:rPr/>
        <w:t>sexual orientation included in their anti-discrimination policy (103). However, less include gender (97), gender identity (88), sex (81), and even less for gender expression. This signals the opportunity for greater emphasis on and resources related to gender identity protections. The Commission urges DHE to create educational materials to inform</w:t>
      </w:r>
      <w:r>
        <w:rPr>
          <w:spacing w:val="-1"/>
        </w:rPr>
        <w:t> </w:t>
      </w:r>
      <w:r>
        <w:rPr/>
        <w:t>colleges and</w:t>
      </w:r>
      <w:r>
        <w:rPr>
          <w:spacing w:val="-1"/>
        </w:rPr>
        <w:t> </w:t>
      </w:r>
      <w:r>
        <w:rPr/>
        <w:t>universities of the</w:t>
      </w:r>
      <w:r>
        <w:rPr>
          <w:spacing w:val="-1"/>
        </w:rPr>
        <w:t> </w:t>
      </w:r>
      <w:r>
        <w:rPr/>
        <w:t>importance</w:t>
      </w:r>
      <w:r>
        <w:rPr>
          <w:spacing w:val="-1"/>
        </w:rPr>
        <w:t> </w:t>
      </w:r>
      <w:r>
        <w:rPr/>
        <w:t>of anti-discrimination</w:t>
      </w:r>
      <w:r>
        <w:rPr>
          <w:spacing w:val="-1"/>
        </w:rPr>
        <w:t> </w:t>
      </w:r>
      <w:r>
        <w:rPr/>
        <w:t>policy, including this data and sample statements.</w:t>
      </w:r>
    </w:p>
    <w:p>
      <w:pPr>
        <w:numPr>
          <w:ilvl w:val="0"/>
          <w:numId w:val="34"/>
        </w:numPr>
        <w:tabs>
          <w:tab w:pos="481" w:val="left" w:leader="none"/>
        </w:tabs>
        <w:spacing w:before="241"/>
        <w:ind w:left="481" w:right="0" w:hanging="358"/>
        <w:jc w:val="left"/>
        <w:rPr>
          <w:b/>
          <w:sz w:val="22"/>
        </w:rPr>
      </w:pPr>
      <w:r>
        <w:rPr>
          <w:b/>
          <w:sz w:val="22"/>
        </w:rPr>
        <w:t>Develop</w:t>
      </w:r>
      <w:r>
        <w:rPr>
          <w:b/>
          <w:spacing w:val="-8"/>
          <w:sz w:val="22"/>
        </w:rPr>
        <w:t> </w:t>
      </w:r>
      <w:r>
        <w:rPr>
          <w:b/>
          <w:sz w:val="22"/>
        </w:rPr>
        <w:t>clear</w:t>
      </w:r>
      <w:r>
        <w:rPr>
          <w:b/>
          <w:spacing w:val="-8"/>
          <w:sz w:val="22"/>
        </w:rPr>
        <w:t> </w:t>
      </w:r>
      <w:r>
        <w:rPr>
          <w:b/>
          <w:sz w:val="22"/>
        </w:rPr>
        <w:t>guidance</w:t>
      </w:r>
      <w:r>
        <w:rPr>
          <w:b/>
          <w:spacing w:val="-7"/>
          <w:sz w:val="22"/>
        </w:rPr>
        <w:t> </w:t>
      </w:r>
      <w:r>
        <w:rPr>
          <w:b/>
          <w:sz w:val="22"/>
        </w:rPr>
        <w:t>on</w:t>
      </w:r>
      <w:r>
        <w:rPr>
          <w:b/>
          <w:spacing w:val="-8"/>
          <w:sz w:val="22"/>
        </w:rPr>
        <w:t> </w:t>
      </w:r>
      <w:r>
        <w:rPr>
          <w:b/>
          <w:sz w:val="22"/>
        </w:rPr>
        <w:t>best</w:t>
      </w:r>
      <w:r>
        <w:rPr>
          <w:b/>
          <w:spacing w:val="-7"/>
          <w:sz w:val="22"/>
        </w:rPr>
        <w:t> </w:t>
      </w:r>
      <w:r>
        <w:rPr>
          <w:b/>
          <w:sz w:val="22"/>
        </w:rPr>
        <w:t>practices</w:t>
      </w:r>
      <w:r>
        <w:rPr>
          <w:b/>
          <w:spacing w:val="-8"/>
          <w:sz w:val="22"/>
        </w:rPr>
        <w:t> </w:t>
      </w:r>
      <w:r>
        <w:rPr>
          <w:b/>
          <w:sz w:val="22"/>
        </w:rPr>
        <w:t>for</w:t>
      </w:r>
      <w:r>
        <w:rPr>
          <w:b/>
          <w:spacing w:val="-7"/>
          <w:sz w:val="22"/>
        </w:rPr>
        <w:t> </w:t>
      </w:r>
      <w:r>
        <w:rPr>
          <w:b/>
          <w:sz w:val="22"/>
        </w:rPr>
        <w:t>reporting</w:t>
      </w:r>
      <w:r>
        <w:rPr>
          <w:b/>
          <w:spacing w:val="-7"/>
          <w:sz w:val="22"/>
        </w:rPr>
        <w:t> </w:t>
      </w:r>
      <w:r>
        <w:rPr>
          <w:b/>
          <w:sz w:val="22"/>
        </w:rPr>
        <w:t>out</w:t>
      </w:r>
      <w:r>
        <w:rPr>
          <w:b/>
          <w:spacing w:val="-8"/>
          <w:sz w:val="22"/>
        </w:rPr>
        <w:t> </w:t>
      </w:r>
      <w:r>
        <w:rPr>
          <w:b/>
          <w:sz w:val="22"/>
        </w:rPr>
        <w:t>Campus</w:t>
      </w:r>
      <w:r>
        <w:rPr>
          <w:b/>
          <w:spacing w:val="-8"/>
          <w:sz w:val="22"/>
        </w:rPr>
        <w:t> </w:t>
      </w:r>
      <w:r>
        <w:rPr>
          <w:b/>
          <w:sz w:val="22"/>
        </w:rPr>
        <w:t>Sexual</w:t>
      </w:r>
      <w:r>
        <w:rPr>
          <w:b/>
          <w:spacing w:val="-7"/>
          <w:sz w:val="22"/>
        </w:rPr>
        <w:t> </w:t>
      </w:r>
      <w:r>
        <w:rPr>
          <w:b/>
          <w:sz w:val="22"/>
        </w:rPr>
        <w:t>Assault</w:t>
      </w:r>
      <w:r>
        <w:rPr>
          <w:b/>
          <w:spacing w:val="-7"/>
          <w:sz w:val="22"/>
        </w:rPr>
        <w:t> </w:t>
      </w:r>
      <w:r>
        <w:rPr>
          <w:b/>
          <w:sz w:val="22"/>
        </w:rPr>
        <w:t>Law</w:t>
      </w:r>
      <w:r>
        <w:rPr>
          <w:b/>
          <w:spacing w:val="-7"/>
          <w:sz w:val="22"/>
        </w:rPr>
        <w:t> </w:t>
      </w:r>
      <w:r>
        <w:rPr>
          <w:b/>
          <w:spacing w:val="-2"/>
          <w:sz w:val="22"/>
        </w:rPr>
        <w:t>data.</w:t>
      </w:r>
    </w:p>
    <w:p>
      <w:pPr>
        <w:pStyle w:val="BodyText"/>
        <w:spacing w:before="11"/>
        <w:rPr>
          <w:b/>
        </w:rPr>
      </w:pPr>
    </w:p>
    <w:p>
      <w:pPr>
        <w:pStyle w:val="BodyText"/>
        <w:spacing w:line="276" w:lineRule="auto"/>
        <w:ind w:left="483" w:right="342"/>
        <w:jc w:val="both"/>
      </w:pPr>
      <w:r>
        <w:rPr/>
        <w:t>Over</w:t>
      </w:r>
      <w:r>
        <w:rPr>
          <w:spacing w:val="-8"/>
        </w:rPr>
        <w:t> </w:t>
      </w:r>
      <w:r>
        <w:rPr/>
        <w:t>the</w:t>
      </w:r>
      <w:r>
        <w:rPr>
          <w:spacing w:val="-8"/>
        </w:rPr>
        <w:t> </w:t>
      </w:r>
      <w:r>
        <w:rPr/>
        <w:t>last</w:t>
      </w:r>
      <w:r>
        <w:rPr>
          <w:spacing w:val="-7"/>
        </w:rPr>
        <w:t> </w:t>
      </w:r>
      <w:r>
        <w:rPr/>
        <w:t>few</w:t>
      </w:r>
      <w:r>
        <w:rPr>
          <w:spacing w:val="-8"/>
        </w:rPr>
        <w:t> </w:t>
      </w:r>
      <w:r>
        <w:rPr/>
        <w:t>years,</w:t>
      </w:r>
      <w:r>
        <w:rPr>
          <w:spacing w:val="-7"/>
        </w:rPr>
        <w:t> </w:t>
      </w:r>
      <w:r>
        <w:rPr/>
        <w:t>the</w:t>
      </w:r>
      <w:r>
        <w:rPr>
          <w:spacing w:val="-8"/>
        </w:rPr>
        <w:t> </w:t>
      </w:r>
      <w:r>
        <w:rPr/>
        <w:t>DHE</w:t>
      </w:r>
      <w:r>
        <w:rPr>
          <w:spacing w:val="-8"/>
        </w:rPr>
        <w:t> </w:t>
      </w:r>
      <w:r>
        <w:rPr/>
        <w:t>has</w:t>
      </w:r>
      <w:r>
        <w:rPr>
          <w:spacing w:val="-7"/>
        </w:rPr>
        <w:t> </w:t>
      </w:r>
      <w:r>
        <w:rPr/>
        <w:t>been</w:t>
      </w:r>
      <w:r>
        <w:rPr>
          <w:spacing w:val="-8"/>
        </w:rPr>
        <w:t> </w:t>
      </w:r>
      <w:r>
        <w:rPr/>
        <w:t>responsible</w:t>
      </w:r>
      <w:r>
        <w:rPr>
          <w:spacing w:val="-8"/>
        </w:rPr>
        <w:t> </w:t>
      </w:r>
      <w:r>
        <w:rPr/>
        <w:t>for</w:t>
      </w:r>
      <w:r>
        <w:rPr>
          <w:spacing w:val="-8"/>
        </w:rPr>
        <w:t> </w:t>
      </w:r>
      <w:r>
        <w:rPr/>
        <w:t>the</w:t>
      </w:r>
      <w:r>
        <w:rPr>
          <w:spacing w:val="-8"/>
        </w:rPr>
        <w:t> </w:t>
      </w:r>
      <w:r>
        <w:rPr/>
        <w:t>implementation</w:t>
      </w:r>
      <w:r>
        <w:rPr>
          <w:spacing w:val="-8"/>
        </w:rPr>
        <w:t> </w:t>
      </w:r>
      <w:r>
        <w:rPr/>
        <w:t>of</w:t>
      </w:r>
      <w:r>
        <w:rPr>
          <w:spacing w:val="-8"/>
        </w:rPr>
        <w:t> </w:t>
      </w:r>
      <w:r>
        <w:rPr/>
        <w:t>the</w:t>
      </w:r>
      <w:r>
        <w:rPr>
          <w:spacing w:val="-8"/>
        </w:rPr>
        <w:t> </w:t>
      </w:r>
      <w:r>
        <w:rPr/>
        <w:t>2021</w:t>
      </w:r>
      <w:r>
        <w:rPr>
          <w:spacing w:val="-8"/>
        </w:rPr>
        <w:t> </w:t>
      </w:r>
      <w:r>
        <w:rPr/>
        <w:t>Campus</w:t>
      </w:r>
      <w:r>
        <w:rPr>
          <w:spacing w:val="-7"/>
        </w:rPr>
        <w:t> </w:t>
      </w:r>
      <w:r>
        <w:rPr/>
        <w:t>Sexual Assault</w:t>
      </w:r>
      <w:r>
        <w:rPr>
          <w:spacing w:val="-5"/>
        </w:rPr>
        <w:t> </w:t>
      </w:r>
      <w:r>
        <w:rPr/>
        <w:t>Law,</w:t>
      </w:r>
      <w:r>
        <w:rPr>
          <w:spacing w:val="-2"/>
        </w:rPr>
        <w:t> </w:t>
      </w:r>
      <w:r>
        <w:rPr/>
        <w:t>part</w:t>
      </w:r>
      <w:r>
        <w:rPr>
          <w:spacing w:val="-5"/>
        </w:rPr>
        <w:t> </w:t>
      </w:r>
      <w:r>
        <w:rPr/>
        <w:t>of</w:t>
      </w:r>
      <w:r>
        <w:rPr>
          <w:spacing w:val="-4"/>
        </w:rPr>
        <w:t> </w:t>
      </w:r>
      <w:r>
        <w:rPr/>
        <w:t>which</w:t>
      </w:r>
      <w:r>
        <w:rPr>
          <w:spacing w:val="-4"/>
        </w:rPr>
        <w:t> </w:t>
      </w:r>
      <w:r>
        <w:rPr/>
        <w:t>requires</w:t>
      </w:r>
      <w:r>
        <w:rPr>
          <w:spacing w:val="-5"/>
        </w:rPr>
        <w:t> </w:t>
      </w:r>
      <w:r>
        <w:rPr/>
        <w:t>Massachusetts</w:t>
      </w:r>
      <w:r>
        <w:rPr>
          <w:spacing w:val="-3"/>
        </w:rPr>
        <w:t> </w:t>
      </w:r>
      <w:r>
        <w:rPr/>
        <w:t>higher</w:t>
      </w:r>
      <w:r>
        <w:rPr>
          <w:spacing w:val="-4"/>
        </w:rPr>
        <w:t> </w:t>
      </w:r>
      <w:r>
        <w:rPr/>
        <w:t>education</w:t>
      </w:r>
      <w:r>
        <w:rPr>
          <w:spacing w:val="-5"/>
        </w:rPr>
        <w:t> </w:t>
      </w:r>
      <w:r>
        <w:rPr/>
        <w:t>institutions</w:t>
      </w:r>
      <w:r>
        <w:rPr>
          <w:spacing w:val="-5"/>
        </w:rPr>
        <w:t> </w:t>
      </w:r>
      <w:r>
        <w:rPr/>
        <w:t>to</w:t>
      </w:r>
      <w:r>
        <w:rPr>
          <w:spacing w:val="-3"/>
        </w:rPr>
        <w:t> </w:t>
      </w:r>
      <w:r>
        <w:rPr/>
        <w:t>report</w:t>
      </w:r>
      <w:r>
        <w:rPr>
          <w:spacing w:val="-4"/>
        </w:rPr>
        <w:t> </w:t>
      </w:r>
      <w:r>
        <w:rPr/>
        <w:t>out</w:t>
      </w:r>
      <w:r>
        <w:rPr>
          <w:spacing w:val="-5"/>
        </w:rPr>
        <w:t> </w:t>
      </w:r>
      <w:r>
        <w:rPr/>
        <w:t>on</w:t>
      </w:r>
      <w:r>
        <w:rPr>
          <w:spacing w:val="-3"/>
        </w:rPr>
        <w:t> </w:t>
      </w:r>
      <w:r>
        <w:rPr/>
        <w:t>campus climate</w:t>
      </w:r>
      <w:r>
        <w:rPr>
          <w:spacing w:val="-2"/>
        </w:rPr>
        <w:t> </w:t>
      </w:r>
      <w:r>
        <w:rPr/>
        <w:t>surveys</w:t>
      </w:r>
      <w:r>
        <w:rPr>
          <w:spacing w:val="-1"/>
        </w:rPr>
        <w:t> </w:t>
      </w:r>
      <w:r>
        <w:rPr/>
        <w:t>by</w:t>
      </w:r>
      <w:r>
        <w:rPr>
          <w:spacing w:val="-2"/>
        </w:rPr>
        <w:t> </w:t>
      </w:r>
      <w:r>
        <w:rPr/>
        <w:t>August 1,</w:t>
      </w:r>
      <w:r>
        <w:rPr>
          <w:spacing w:val="-2"/>
        </w:rPr>
        <w:t> </w:t>
      </w:r>
      <w:r>
        <w:rPr/>
        <w:t>2025.</w:t>
      </w:r>
      <w:r>
        <w:rPr>
          <w:spacing w:val="-2"/>
        </w:rPr>
        <w:t> </w:t>
      </w:r>
      <w:r>
        <w:rPr/>
        <w:t>In</w:t>
      </w:r>
      <w:r>
        <w:rPr>
          <w:spacing w:val="-1"/>
        </w:rPr>
        <w:t> </w:t>
      </w:r>
      <w:r>
        <w:rPr/>
        <w:t>its</w:t>
      </w:r>
      <w:r>
        <w:rPr>
          <w:spacing w:val="-1"/>
        </w:rPr>
        <w:t> </w:t>
      </w:r>
      <w:r>
        <w:rPr/>
        <w:t>recent</w:t>
      </w:r>
      <w:r>
        <w:rPr>
          <w:spacing w:val="-1"/>
        </w:rPr>
        <w:t> </w:t>
      </w:r>
      <w:r>
        <w:rPr/>
        <w:t>FY</w:t>
      </w:r>
      <w:r>
        <w:rPr>
          <w:spacing w:val="-2"/>
        </w:rPr>
        <w:t> </w:t>
      </w:r>
      <w:r>
        <w:rPr/>
        <w:t>2024</w:t>
      </w:r>
      <w:r>
        <w:rPr>
          <w:spacing w:val="-2"/>
        </w:rPr>
        <w:t> </w:t>
      </w:r>
      <w:r>
        <w:rPr/>
        <w:t>meeting</w:t>
      </w:r>
      <w:r>
        <w:rPr>
          <w:spacing w:val="-1"/>
        </w:rPr>
        <w:t> </w:t>
      </w:r>
      <w:r>
        <w:rPr/>
        <w:t>with</w:t>
      </w:r>
      <w:r>
        <w:rPr>
          <w:spacing w:val="-1"/>
        </w:rPr>
        <w:t> </w:t>
      </w:r>
      <w:r>
        <w:rPr/>
        <w:t>the</w:t>
      </w:r>
      <w:r>
        <w:rPr>
          <w:spacing w:val="-1"/>
        </w:rPr>
        <w:t> </w:t>
      </w:r>
      <w:r>
        <w:rPr/>
        <w:t>Commission,</w:t>
      </w:r>
      <w:r>
        <w:rPr>
          <w:spacing w:val="-1"/>
        </w:rPr>
        <w:t> </w:t>
      </w:r>
      <w:r>
        <w:rPr/>
        <w:t>DHE</w:t>
      </w:r>
      <w:r>
        <w:rPr>
          <w:spacing w:val="-2"/>
        </w:rPr>
        <w:t> </w:t>
      </w:r>
      <w:r>
        <w:rPr/>
        <w:t>noted</w:t>
      </w:r>
      <w:r>
        <w:rPr>
          <w:spacing w:val="-1"/>
        </w:rPr>
        <w:t> </w:t>
      </w:r>
      <w:r>
        <w:rPr/>
        <w:t>that</w:t>
      </w:r>
      <w:r>
        <w:rPr>
          <w:spacing w:val="-1"/>
        </w:rPr>
        <w:t> </w:t>
      </w:r>
      <w:r>
        <w:rPr/>
        <w:t>it is</w:t>
      </w:r>
      <w:r>
        <w:rPr>
          <w:spacing w:val="-8"/>
        </w:rPr>
        <w:t> </w:t>
      </w:r>
      <w:r>
        <w:rPr/>
        <w:t>currently</w:t>
      </w:r>
      <w:r>
        <w:rPr>
          <w:spacing w:val="-8"/>
        </w:rPr>
        <w:t> </w:t>
      </w:r>
      <w:r>
        <w:rPr/>
        <w:t>working</w:t>
      </w:r>
      <w:r>
        <w:rPr>
          <w:spacing w:val="-9"/>
        </w:rPr>
        <w:t> </w:t>
      </w:r>
      <w:r>
        <w:rPr/>
        <w:t>on</w:t>
      </w:r>
      <w:r>
        <w:rPr>
          <w:spacing w:val="-8"/>
        </w:rPr>
        <w:t> </w:t>
      </w:r>
      <w:r>
        <w:rPr/>
        <w:t>guidance</w:t>
      </w:r>
      <w:r>
        <w:rPr>
          <w:spacing w:val="-8"/>
        </w:rPr>
        <w:t> </w:t>
      </w:r>
      <w:r>
        <w:rPr/>
        <w:t>around</w:t>
      </w:r>
      <w:r>
        <w:rPr>
          <w:spacing w:val="-8"/>
        </w:rPr>
        <w:t> </w:t>
      </w:r>
      <w:r>
        <w:rPr/>
        <w:t>how</w:t>
      </w:r>
      <w:r>
        <w:rPr>
          <w:spacing w:val="-8"/>
        </w:rPr>
        <w:t> </w:t>
      </w:r>
      <w:r>
        <w:rPr/>
        <w:t>to</w:t>
      </w:r>
      <w:r>
        <w:rPr>
          <w:spacing w:val="-7"/>
        </w:rPr>
        <w:t> </w:t>
      </w:r>
      <w:r>
        <w:rPr/>
        <w:t>post</w:t>
      </w:r>
      <w:r>
        <w:rPr>
          <w:spacing w:val="-8"/>
        </w:rPr>
        <w:t> </w:t>
      </w:r>
      <w:r>
        <w:rPr/>
        <w:t>the</w:t>
      </w:r>
      <w:r>
        <w:rPr>
          <w:spacing w:val="-9"/>
        </w:rPr>
        <w:t> </w:t>
      </w:r>
      <w:r>
        <w:rPr/>
        <w:t>results</w:t>
      </w:r>
      <w:r>
        <w:rPr>
          <w:spacing w:val="-8"/>
        </w:rPr>
        <w:t> </w:t>
      </w:r>
      <w:r>
        <w:rPr/>
        <w:t>of</w:t>
      </w:r>
      <w:r>
        <w:rPr>
          <w:spacing w:val="-8"/>
        </w:rPr>
        <w:t> </w:t>
      </w:r>
      <w:r>
        <w:rPr/>
        <w:t>the</w:t>
      </w:r>
      <w:r>
        <w:rPr>
          <w:spacing w:val="-9"/>
        </w:rPr>
        <w:t> </w:t>
      </w:r>
      <w:r>
        <w:rPr/>
        <w:t>surveys.</w:t>
      </w:r>
      <w:r>
        <w:rPr>
          <w:spacing w:val="-8"/>
        </w:rPr>
        <w:t> </w:t>
      </w:r>
      <w:r>
        <w:rPr/>
        <w:t>However,</w:t>
      </w:r>
      <w:r>
        <w:rPr>
          <w:spacing w:val="-9"/>
        </w:rPr>
        <w:t> </w:t>
      </w:r>
      <w:r>
        <w:rPr/>
        <w:t>the</w:t>
      </w:r>
      <w:r>
        <w:rPr>
          <w:spacing w:val="-7"/>
        </w:rPr>
        <w:t> </w:t>
      </w:r>
      <w:r>
        <w:rPr/>
        <w:t>DHE</w:t>
      </w:r>
      <w:r>
        <w:rPr>
          <w:spacing w:val="-9"/>
        </w:rPr>
        <w:t> </w:t>
      </w:r>
      <w:r>
        <w:rPr/>
        <w:t>further noted that there is currently no guidance on how schools should collect and report out the data, which has</w:t>
      </w:r>
      <w:r>
        <w:rPr>
          <w:spacing w:val="-3"/>
        </w:rPr>
        <w:t> </w:t>
      </w:r>
      <w:r>
        <w:rPr/>
        <w:t>led</w:t>
      </w:r>
      <w:r>
        <w:rPr>
          <w:spacing w:val="-3"/>
        </w:rPr>
        <w:t> </w:t>
      </w:r>
      <w:r>
        <w:rPr/>
        <w:t>to</w:t>
      </w:r>
      <w:r>
        <w:rPr>
          <w:spacing w:val="-2"/>
        </w:rPr>
        <w:t> </w:t>
      </w:r>
      <w:r>
        <w:rPr/>
        <w:t>several</w:t>
      </w:r>
      <w:r>
        <w:rPr>
          <w:spacing w:val="-3"/>
        </w:rPr>
        <w:t> </w:t>
      </w:r>
      <w:r>
        <w:rPr/>
        <w:t>issues</w:t>
      </w:r>
      <w:r>
        <w:rPr>
          <w:spacing w:val="-3"/>
        </w:rPr>
        <w:t> </w:t>
      </w:r>
      <w:r>
        <w:rPr/>
        <w:t>from</w:t>
      </w:r>
      <w:r>
        <w:rPr>
          <w:spacing w:val="-3"/>
        </w:rPr>
        <w:t> </w:t>
      </w:r>
      <w:r>
        <w:rPr/>
        <w:t>some</w:t>
      </w:r>
      <w:r>
        <w:rPr>
          <w:spacing w:val="-3"/>
        </w:rPr>
        <w:t> </w:t>
      </w:r>
      <w:r>
        <w:rPr/>
        <w:t>schools</w:t>
      </w:r>
      <w:r>
        <w:rPr>
          <w:spacing w:val="-3"/>
        </w:rPr>
        <w:t> </w:t>
      </w:r>
      <w:r>
        <w:rPr/>
        <w:t>that</w:t>
      </w:r>
      <w:r>
        <w:rPr>
          <w:spacing w:val="-3"/>
        </w:rPr>
        <w:t> </w:t>
      </w:r>
      <w:r>
        <w:rPr/>
        <w:t>could</w:t>
      </w:r>
      <w:r>
        <w:rPr>
          <w:spacing w:val="-3"/>
        </w:rPr>
        <w:t> </w:t>
      </w:r>
      <w:r>
        <w:rPr/>
        <w:t>have</w:t>
      </w:r>
      <w:r>
        <w:rPr>
          <w:spacing w:val="-3"/>
        </w:rPr>
        <w:t> </w:t>
      </w:r>
      <w:r>
        <w:rPr/>
        <w:t>compromised</w:t>
      </w:r>
      <w:r>
        <w:rPr>
          <w:spacing w:val="-3"/>
        </w:rPr>
        <w:t> </w:t>
      </w:r>
      <w:r>
        <w:rPr/>
        <w:t>the</w:t>
      </w:r>
      <w:r>
        <w:rPr>
          <w:spacing w:val="-3"/>
        </w:rPr>
        <w:t> </w:t>
      </w:r>
      <w:r>
        <w:rPr/>
        <w:t>privacy</w:t>
      </w:r>
      <w:r>
        <w:rPr>
          <w:spacing w:val="-3"/>
        </w:rPr>
        <w:t> </w:t>
      </w:r>
      <w:r>
        <w:rPr/>
        <w:t>and</w:t>
      </w:r>
      <w:r>
        <w:rPr>
          <w:spacing w:val="-3"/>
        </w:rPr>
        <w:t> </w:t>
      </w:r>
      <w:r>
        <w:rPr/>
        <w:t>confidentiality of students - particularly transgender and nonbinary students. The Commission recommends that DHE develop clear guidance around data collection and appropriate reporting to ensure that student confidentiality is protected.</w:t>
      </w:r>
    </w:p>
    <w:p>
      <w:pPr>
        <w:pStyle w:val="BodyText"/>
        <w:spacing w:line="276" w:lineRule="auto" w:before="240"/>
        <w:ind w:left="483" w:right="341"/>
        <w:jc w:val="both"/>
      </w:pPr>
      <w:r>
        <w:rPr/>
        <w:t>Furthermore, the Commission urges DHE to encourage institutions to make explicit provisions in their MOUs</w:t>
      </w:r>
      <w:r>
        <w:rPr>
          <w:spacing w:val="-10"/>
        </w:rPr>
        <w:t> </w:t>
      </w:r>
      <w:r>
        <w:rPr/>
        <w:t>that</w:t>
      </w:r>
      <w:r>
        <w:rPr>
          <w:spacing w:val="-10"/>
        </w:rPr>
        <w:t> </w:t>
      </w:r>
      <w:r>
        <w:rPr/>
        <w:t>provide</w:t>
      </w:r>
      <w:r>
        <w:rPr>
          <w:spacing w:val="-11"/>
        </w:rPr>
        <w:t> </w:t>
      </w:r>
      <w:r>
        <w:rPr/>
        <w:t>for</w:t>
      </w:r>
      <w:r>
        <w:rPr>
          <w:spacing w:val="-11"/>
        </w:rPr>
        <w:t> </w:t>
      </w:r>
      <w:r>
        <w:rPr/>
        <w:t>LGBTQ-specific</w:t>
      </w:r>
      <w:r>
        <w:rPr>
          <w:spacing w:val="-11"/>
        </w:rPr>
        <w:t> </w:t>
      </w:r>
      <w:r>
        <w:rPr/>
        <w:t>cultural</w:t>
      </w:r>
      <w:r>
        <w:rPr>
          <w:spacing w:val="-10"/>
        </w:rPr>
        <w:t> </w:t>
      </w:r>
      <w:r>
        <w:rPr/>
        <w:t>competency</w:t>
      </w:r>
      <w:r>
        <w:rPr>
          <w:spacing w:val="-10"/>
        </w:rPr>
        <w:t> </w:t>
      </w:r>
      <w:r>
        <w:rPr/>
        <w:t>trainings</w:t>
      </w:r>
      <w:r>
        <w:rPr>
          <w:spacing w:val="-11"/>
        </w:rPr>
        <w:t> </w:t>
      </w:r>
      <w:r>
        <w:rPr/>
        <w:t>around</w:t>
      </w:r>
      <w:r>
        <w:rPr>
          <w:spacing w:val="-9"/>
        </w:rPr>
        <w:t> </w:t>
      </w:r>
      <w:r>
        <w:rPr/>
        <w:t>the</w:t>
      </w:r>
      <w:r>
        <w:rPr>
          <w:spacing w:val="-11"/>
        </w:rPr>
        <w:t> </w:t>
      </w:r>
      <w:r>
        <w:rPr/>
        <w:t>delivery</w:t>
      </w:r>
      <w:r>
        <w:rPr>
          <w:spacing w:val="-11"/>
        </w:rPr>
        <w:t> </w:t>
      </w:r>
      <w:r>
        <w:rPr/>
        <w:t>of</w:t>
      </w:r>
      <w:r>
        <w:rPr>
          <w:spacing w:val="-10"/>
        </w:rPr>
        <w:t> </w:t>
      </w:r>
      <w:r>
        <w:rPr/>
        <w:t>sexual</w:t>
      </w:r>
      <w:r>
        <w:rPr>
          <w:spacing w:val="-10"/>
        </w:rPr>
        <w:t> </w:t>
      </w:r>
      <w:r>
        <w:rPr/>
        <w:t>assault services to LGBTQ students and employees.</w:t>
      </w:r>
    </w:p>
    <w:p>
      <w:pPr>
        <w:numPr>
          <w:ilvl w:val="0"/>
          <w:numId w:val="34"/>
        </w:numPr>
        <w:tabs>
          <w:tab w:pos="481" w:val="left" w:leader="none"/>
          <w:tab w:pos="483" w:val="left" w:leader="none"/>
        </w:tabs>
        <w:spacing w:line="276" w:lineRule="auto" w:before="240"/>
        <w:ind w:left="483" w:right="344" w:hanging="360"/>
        <w:jc w:val="left"/>
        <w:rPr>
          <w:b/>
          <w:sz w:val="22"/>
        </w:rPr>
      </w:pPr>
      <w:r>
        <w:rPr>
          <w:b/>
          <w:sz w:val="22"/>
        </w:rPr>
        <w:t>Host</w:t>
      </w:r>
      <w:r>
        <w:rPr>
          <w:b/>
          <w:spacing w:val="30"/>
          <w:sz w:val="22"/>
        </w:rPr>
        <w:t> </w:t>
      </w:r>
      <w:r>
        <w:rPr>
          <w:b/>
          <w:sz w:val="22"/>
        </w:rPr>
        <w:t>listening</w:t>
      </w:r>
      <w:r>
        <w:rPr>
          <w:b/>
          <w:spacing w:val="31"/>
          <w:sz w:val="22"/>
        </w:rPr>
        <w:t> </w:t>
      </w:r>
      <w:r>
        <w:rPr>
          <w:b/>
          <w:sz w:val="22"/>
        </w:rPr>
        <w:t>sessions</w:t>
      </w:r>
      <w:r>
        <w:rPr>
          <w:b/>
          <w:spacing w:val="31"/>
          <w:sz w:val="22"/>
        </w:rPr>
        <w:t> </w:t>
      </w:r>
      <w:r>
        <w:rPr>
          <w:b/>
          <w:sz w:val="22"/>
        </w:rPr>
        <w:t>to</w:t>
      </w:r>
      <w:r>
        <w:rPr>
          <w:b/>
          <w:spacing w:val="32"/>
          <w:sz w:val="22"/>
        </w:rPr>
        <w:t> </w:t>
      </w:r>
      <w:r>
        <w:rPr>
          <w:b/>
          <w:sz w:val="22"/>
        </w:rPr>
        <w:t>identify</w:t>
      </w:r>
      <w:r>
        <w:rPr>
          <w:b/>
          <w:spacing w:val="31"/>
          <w:sz w:val="22"/>
        </w:rPr>
        <w:t> </w:t>
      </w:r>
      <w:r>
        <w:rPr>
          <w:b/>
          <w:sz w:val="22"/>
        </w:rPr>
        <w:t>the</w:t>
      </w:r>
      <w:r>
        <w:rPr>
          <w:b/>
          <w:spacing w:val="32"/>
          <w:sz w:val="22"/>
        </w:rPr>
        <w:t> </w:t>
      </w:r>
      <w:r>
        <w:rPr>
          <w:b/>
          <w:sz w:val="22"/>
        </w:rPr>
        <w:t>unique</w:t>
      </w:r>
      <w:r>
        <w:rPr>
          <w:b/>
          <w:spacing w:val="31"/>
          <w:sz w:val="22"/>
        </w:rPr>
        <w:t> </w:t>
      </w:r>
      <w:r>
        <w:rPr>
          <w:b/>
          <w:sz w:val="22"/>
        </w:rPr>
        <w:t>needs</w:t>
      </w:r>
      <w:r>
        <w:rPr>
          <w:b/>
          <w:spacing w:val="31"/>
          <w:sz w:val="22"/>
        </w:rPr>
        <w:t> </w:t>
      </w:r>
      <w:r>
        <w:rPr>
          <w:b/>
          <w:sz w:val="22"/>
        </w:rPr>
        <w:t>of</w:t>
      </w:r>
      <w:r>
        <w:rPr>
          <w:b/>
          <w:spacing w:val="31"/>
          <w:sz w:val="22"/>
        </w:rPr>
        <w:t> </w:t>
      </w:r>
      <w:r>
        <w:rPr>
          <w:b/>
          <w:sz w:val="22"/>
        </w:rPr>
        <w:t>students</w:t>
      </w:r>
      <w:r>
        <w:rPr>
          <w:b/>
          <w:spacing w:val="31"/>
          <w:sz w:val="22"/>
        </w:rPr>
        <w:t> </w:t>
      </w:r>
      <w:r>
        <w:rPr>
          <w:b/>
          <w:sz w:val="22"/>
        </w:rPr>
        <w:t>and</w:t>
      </w:r>
      <w:r>
        <w:rPr>
          <w:b/>
          <w:spacing w:val="31"/>
          <w:sz w:val="22"/>
        </w:rPr>
        <w:t> </w:t>
      </w:r>
      <w:r>
        <w:rPr>
          <w:b/>
          <w:sz w:val="22"/>
        </w:rPr>
        <w:t>faculty</w:t>
      </w:r>
      <w:r>
        <w:rPr>
          <w:b/>
          <w:spacing w:val="31"/>
          <w:sz w:val="22"/>
        </w:rPr>
        <w:t> </w:t>
      </w:r>
      <w:r>
        <w:rPr>
          <w:b/>
          <w:sz w:val="22"/>
        </w:rPr>
        <w:t>related</w:t>
      </w:r>
      <w:r>
        <w:rPr>
          <w:b/>
          <w:spacing w:val="32"/>
          <w:sz w:val="22"/>
        </w:rPr>
        <w:t> </w:t>
      </w:r>
      <w:r>
        <w:rPr>
          <w:b/>
          <w:sz w:val="22"/>
        </w:rPr>
        <w:t>to</w:t>
      </w:r>
      <w:r>
        <w:rPr>
          <w:b/>
          <w:spacing w:val="32"/>
          <w:sz w:val="22"/>
        </w:rPr>
        <w:t> </w:t>
      </w:r>
      <w:r>
        <w:rPr>
          <w:b/>
          <w:sz w:val="22"/>
        </w:rPr>
        <w:t>community college access, housing, mental health, among other issues.</w:t>
      </w:r>
    </w:p>
    <w:p>
      <w:pPr>
        <w:pStyle w:val="BodyText"/>
        <w:spacing w:line="276" w:lineRule="auto" w:before="241"/>
        <w:ind w:left="483" w:right="343"/>
        <w:jc w:val="both"/>
      </w:pPr>
      <w:r>
        <w:rPr/>
        <w:t>The</w:t>
      </w:r>
      <w:r>
        <w:rPr>
          <w:spacing w:val="-2"/>
        </w:rPr>
        <w:t> </w:t>
      </w:r>
      <w:r>
        <w:rPr/>
        <w:t>Commission</w:t>
      </w:r>
      <w:r>
        <w:rPr>
          <w:spacing w:val="-3"/>
        </w:rPr>
        <w:t> </w:t>
      </w:r>
      <w:r>
        <w:rPr/>
        <w:t>recommends</w:t>
      </w:r>
      <w:r>
        <w:rPr>
          <w:spacing w:val="-2"/>
        </w:rPr>
        <w:t> </w:t>
      </w:r>
      <w:r>
        <w:rPr/>
        <w:t>that</w:t>
      </w:r>
      <w:r>
        <w:rPr>
          <w:spacing w:val="-2"/>
        </w:rPr>
        <w:t> </w:t>
      </w:r>
      <w:r>
        <w:rPr/>
        <w:t>DHE</w:t>
      </w:r>
      <w:r>
        <w:rPr>
          <w:spacing w:val="-1"/>
        </w:rPr>
        <w:t> </w:t>
      </w:r>
      <w:r>
        <w:rPr/>
        <w:t>host</w:t>
      </w:r>
      <w:r>
        <w:rPr>
          <w:spacing w:val="-3"/>
        </w:rPr>
        <w:t> </w:t>
      </w:r>
      <w:r>
        <w:rPr/>
        <w:t>listening</w:t>
      </w:r>
      <w:r>
        <w:rPr>
          <w:spacing w:val="-2"/>
        </w:rPr>
        <w:t> </w:t>
      </w:r>
      <w:r>
        <w:rPr/>
        <w:t>sessions</w:t>
      </w:r>
      <w:r>
        <w:rPr>
          <w:spacing w:val="-2"/>
        </w:rPr>
        <w:t> </w:t>
      </w:r>
      <w:r>
        <w:rPr/>
        <w:t>across</w:t>
      </w:r>
      <w:r>
        <w:rPr>
          <w:spacing w:val="-2"/>
        </w:rPr>
        <w:t> </w:t>
      </w:r>
      <w:r>
        <w:rPr/>
        <w:t>the</w:t>
      </w:r>
      <w:r>
        <w:rPr>
          <w:spacing w:val="-3"/>
        </w:rPr>
        <w:t> </w:t>
      </w:r>
      <w:r>
        <w:rPr/>
        <w:t>Commonwealth</w:t>
      </w:r>
      <w:r>
        <w:rPr>
          <w:spacing w:val="-2"/>
        </w:rPr>
        <w:t> </w:t>
      </w:r>
      <w:r>
        <w:rPr/>
        <w:t>to</w:t>
      </w:r>
      <w:r>
        <w:rPr>
          <w:spacing w:val="-2"/>
        </w:rPr>
        <w:t> </w:t>
      </w:r>
      <w:r>
        <w:rPr/>
        <w:t>identify</w:t>
      </w:r>
      <w:r>
        <w:rPr>
          <w:spacing w:val="-1"/>
        </w:rPr>
        <w:t> </w:t>
      </w:r>
      <w:r>
        <w:rPr/>
        <w:t>the unique needs of LGBTQ students, as well as faculty, as it relates to access in the areas of education, housing, and mental health. Furthermore, the Commission encourages DHE to examine the need for LGBTQ</w:t>
      </w:r>
      <w:r>
        <w:rPr>
          <w:spacing w:val="-5"/>
        </w:rPr>
        <w:t> </w:t>
      </w:r>
      <w:r>
        <w:rPr/>
        <w:t>cultural</w:t>
      </w:r>
      <w:r>
        <w:rPr>
          <w:spacing w:val="-6"/>
        </w:rPr>
        <w:t> </w:t>
      </w:r>
      <w:r>
        <w:rPr/>
        <w:t>competency</w:t>
      </w:r>
      <w:r>
        <w:rPr>
          <w:spacing w:val="-6"/>
        </w:rPr>
        <w:t> </w:t>
      </w:r>
      <w:r>
        <w:rPr/>
        <w:t>professional</w:t>
      </w:r>
      <w:r>
        <w:rPr>
          <w:spacing w:val="-6"/>
        </w:rPr>
        <w:t> </w:t>
      </w:r>
      <w:r>
        <w:rPr/>
        <w:t>development</w:t>
      </w:r>
      <w:r>
        <w:rPr>
          <w:spacing w:val="-7"/>
        </w:rPr>
        <w:t> </w:t>
      </w:r>
      <w:r>
        <w:rPr/>
        <w:t>for</w:t>
      </w:r>
      <w:r>
        <w:rPr>
          <w:spacing w:val="-6"/>
        </w:rPr>
        <w:t> </w:t>
      </w:r>
      <w:r>
        <w:rPr/>
        <w:t>college</w:t>
      </w:r>
      <w:r>
        <w:rPr>
          <w:spacing w:val="-7"/>
        </w:rPr>
        <w:t> </w:t>
      </w:r>
      <w:r>
        <w:rPr/>
        <w:t>staff</w:t>
      </w:r>
      <w:r>
        <w:rPr>
          <w:spacing w:val="-6"/>
        </w:rPr>
        <w:t> </w:t>
      </w:r>
      <w:r>
        <w:rPr/>
        <w:t>and</w:t>
      </w:r>
      <w:r>
        <w:rPr>
          <w:spacing w:val="-7"/>
        </w:rPr>
        <w:t> </w:t>
      </w:r>
      <w:r>
        <w:rPr/>
        <w:t>faculty,</w:t>
      </w:r>
      <w:r>
        <w:rPr>
          <w:spacing w:val="-6"/>
        </w:rPr>
        <w:t> </w:t>
      </w:r>
      <w:r>
        <w:rPr/>
        <w:t>and</w:t>
      </w:r>
      <w:r>
        <w:rPr>
          <w:spacing w:val="-7"/>
        </w:rPr>
        <w:t> </w:t>
      </w:r>
      <w:r>
        <w:rPr/>
        <w:t>guide</w:t>
      </w:r>
      <w:r>
        <w:rPr>
          <w:spacing w:val="-5"/>
        </w:rPr>
        <w:t> </w:t>
      </w:r>
      <w:r>
        <w:rPr/>
        <w:t>colleges</w:t>
      </w:r>
      <w:r>
        <w:rPr>
          <w:spacing w:val="-6"/>
        </w:rPr>
        <w:t> </w:t>
      </w:r>
      <w:r>
        <w:rPr/>
        <w:t>on the development of a strategic plan to address these needs.</w:t>
      </w:r>
    </w:p>
    <w:p>
      <w:pPr>
        <w:numPr>
          <w:ilvl w:val="0"/>
          <w:numId w:val="34"/>
        </w:numPr>
        <w:tabs>
          <w:tab w:pos="481" w:val="left" w:leader="none"/>
        </w:tabs>
        <w:spacing w:before="238"/>
        <w:ind w:left="481" w:right="0" w:hanging="358"/>
        <w:jc w:val="left"/>
        <w:rPr>
          <w:b/>
          <w:sz w:val="22"/>
        </w:rPr>
      </w:pPr>
      <w:r>
        <w:rPr>
          <w:b/>
          <w:sz w:val="22"/>
        </w:rPr>
        <w:t>Explore</w:t>
      </w:r>
      <w:r>
        <w:rPr>
          <w:b/>
          <w:spacing w:val="-10"/>
          <w:sz w:val="22"/>
        </w:rPr>
        <w:t> </w:t>
      </w:r>
      <w:r>
        <w:rPr>
          <w:b/>
          <w:sz w:val="22"/>
        </w:rPr>
        <w:t>opportunities</w:t>
      </w:r>
      <w:r>
        <w:rPr>
          <w:b/>
          <w:spacing w:val="-10"/>
          <w:sz w:val="22"/>
        </w:rPr>
        <w:t> </w:t>
      </w:r>
      <w:r>
        <w:rPr>
          <w:b/>
          <w:sz w:val="22"/>
        </w:rPr>
        <w:t>to</w:t>
      </w:r>
      <w:r>
        <w:rPr>
          <w:b/>
          <w:spacing w:val="-10"/>
          <w:sz w:val="22"/>
        </w:rPr>
        <w:t> </w:t>
      </w:r>
      <w:r>
        <w:rPr>
          <w:b/>
          <w:sz w:val="22"/>
        </w:rPr>
        <w:t>increase</w:t>
      </w:r>
      <w:r>
        <w:rPr>
          <w:b/>
          <w:spacing w:val="-10"/>
          <w:sz w:val="22"/>
        </w:rPr>
        <w:t> </w:t>
      </w:r>
      <w:r>
        <w:rPr>
          <w:b/>
          <w:sz w:val="22"/>
        </w:rPr>
        <w:t>funding</w:t>
      </w:r>
      <w:r>
        <w:rPr>
          <w:b/>
          <w:spacing w:val="-11"/>
          <w:sz w:val="22"/>
        </w:rPr>
        <w:t> </w:t>
      </w:r>
      <w:r>
        <w:rPr>
          <w:b/>
          <w:sz w:val="22"/>
        </w:rPr>
        <w:t>and</w:t>
      </w:r>
      <w:r>
        <w:rPr>
          <w:b/>
          <w:spacing w:val="-9"/>
          <w:sz w:val="22"/>
        </w:rPr>
        <w:t> </w:t>
      </w:r>
      <w:r>
        <w:rPr>
          <w:b/>
          <w:sz w:val="22"/>
        </w:rPr>
        <w:t>LGBTQ-inclusive</w:t>
      </w:r>
      <w:r>
        <w:rPr>
          <w:b/>
          <w:spacing w:val="-11"/>
          <w:sz w:val="22"/>
        </w:rPr>
        <w:t> </w:t>
      </w:r>
      <w:r>
        <w:rPr>
          <w:b/>
          <w:sz w:val="22"/>
        </w:rPr>
        <w:t>resources</w:t>
      </w:r>
      <w:r>
        <w:rPr>
          <w:b/>
          <w:spacing w:val="-10"/>
          <w:sz w:val="22"/>
        </w:rPr>
        <w:t> </w:t>
      </w:r>
      <w:r>
        <w:rPr>
          <w:b/>
          <w:sz w:val="22"/>
        </w:rPr>
        <w:t>on</w:t>
      </w:r>
      <w:r>
        <w:rPr>
          <w:b/>
          <w:spacing w:val="-10"/>
          <w:sz w:val="22"/>
        </w:rPr>
        <w:t> </w:t>
      </w:r>
      <w:r>
        <w:rPr>
          <w:b/>
          <w:sz w:val="22"/>
        </w:rPr>
        <w:t>public</w:t>
      </w:r>
      <w:r>
        <w:rPr>
          <w:b/>
          <w:spacing w:val="-10"/>
          <w:sz w:val="22"/>
        </w:rPr>
        <w:t> </w:t>
      </w:r>
      <w:r>
        <w:rPr>
          <w:b/>
          <w:spacing w:val="-2"/>
          <w:sz w:val="22"/>
        </w:rPr>
        <w:t>campuses.</w:t>
      </w:r>
    </w:p>
    <w:p>
      <w:pPr>
        <w:pStyle w:val="BodyText"/>
        <w:spacing w:before="13"/>
        <w:rPr>
          <w:b/>
        </w:rPr>
      </w:pPr>
    </w:p>
    <w:p>
      <w:pPr>
        <w:pStyle w:val="BodyText"/>
        <w:spacing w:line="276" w:lineRule="auto"/>
        <w:ind w:left="483" w:right="343"/>
        <w:jc w:val="both"/>
      </w:pPr>
      <w:r>
        <w:rPr/>
        <w:t>The Commission</w:t>
      </w:r>
      <w:r>
        <w:rPr>
          <w:spacing w:val="-2"/>
        </w:rPr>
        <w:t> </w:t>
      </w:r>
      <w:r>
        <w:rPr/>
        <w:t>recommends that</w:t>
      </w:r>
      <w:r>
        <w:rPr>
          <w:spacing w:val="-1"/>
        </w:rPr>
        <w:t> </w:t>
      </w:r>
      <w:r>
        <w:rPr/>
        <w:t>DHE partner</w:t>
      </w:r>
      <w:r>
        <w:rPr>
          <w:spacing w:val="-1"/>
        </w:rPr>
        <w:t> </w:t>
      </w:r>
      <w:r>
        <w:rPr/>
        <w:t>with</w:t>
      </w:r>
      <w:r>
        <w:rPr>
          <w:spacing w:val="-1"/>
        </w:rPr>
        <w:t> </w:t>
      </w:r>
      <w:r>
        <w:rPr/>
        <w:t>higher education</w:t>
      </w:r>
      <w:r>
        <w:rPr>
          <w:spacing w:val="-2"/>
        </w:rPr>
        <w:t> </w:t>
      </w:r>
      <w:r>
        <w:rPr/>
        <w:t>institutions</w:t>
      </w:r>
      <w:r>
        <w:rPr>
          <w:spacing w:val="-1"/>
        </w:rPr>
        <w:t> </w:t>
      </w:r>
      <w:r>
        <w:rPr/>
        <w:t>across</w:t>
      </w:r>
      <w:r>
        <w:rPr>
          <w:spacing w:val="-1"/>
        </w:rPr>
        <w:t> </w:t>
      </w:r>
      <w:r>
        <w:rPr/>
        <w:t>Massachusetts to</w:t>
      </w:r>
      <w:r>
        <w:rPr>
          <w:spacing w:val="-5"/>
        </w:rPr>
        <w:t> </w:t>
      </w:r>
      <w:r>
        <w:rPr/>
        <w:t>understand</w:t>
      </w:r>
      <w:r>
        <w:rPr>
          <w:spacing w:val="-5"/>
        </w:rPr>
        <w:t> </w:t>
      </w:r>
      <w:r>
        <w:rPr/>
        <w:t>the</w:t>
      </w:r>
      <w:r>
        <w:rPr>
          <w:spacing w:val="-5"/>
        </w:rPr>
        <w:t> </w:t>
      </w:r>
      <w:r>
        <w:rPr/>
        <w:t>specific</w:t>
      </w:r>
      <w:r>
        <w:rPr>
          <w:spacing w:val="-4"/>
        </w:rPr>
        <w:t> </w:t>
      </w:r>
      <w:r>
        <w:rPr/>
        <w:t>needs</w:t>
      </w:r>
      <w:r>
        <w:rPr>
          <w:spacing w:val="-5"/>
        </w:rPr>
        <w:t> </w:t>
      </w:r>
      <w:r>
        <w:rPr/>
        <w:t>of</w:t>
      </w:r>
      <w:r>
        <w:rPr>
          <w:spacing w:val="-5"/>
        </w:rPr>
        <w:t> </w:t>
      </w:r>
      <w:r>
        <w:rPr/>
        <w:t>LGBTQ</w:t>
      </w:r>
      <w:r>
        <w:rPr>
          <w:spacing w:val="-5"/>
        </w:rPr>
        <w:t> </w:t>
      </w:r>
      <w:r>
        <w:rPr/>
        <w:t>youth</w:t>
      </w:r>
      <w:r>
        <w:rPr>
          <w:spacing w:val="-4"/>
        </w:rPr>
        <w:t> </w:t>
      </w:r>
      <w:r>
        <w:rPr/>
        <w:t>and</w:t>
      </w:r>
      <w:r>
        <w:rPr>
          <w:spacing w:val="-4"/>
        </w:rPr>
        <w:t> </w:t>
      </w:r>
      <w:r>
        <w:rPr/>
        <w:t>provide</w:t>
      </w:r>
      <w:r>
        <w:rPr>
          <w:spacing w:val="-5"/>
        </w:rPr>
        <w:t> </w:t>
      </w:r>
      <w:r>
        <w:rPr/>
        <w:t>guidance</w:t>
      </w:r>
      <w:r>
        <w:rPr>
          <w:spacing w:val="-5"/>
        </w:rPr>
        <w:t> </w:t>
      </w:r>
      <w:r>
        <w:rPr/>
        <w:t>on</w:t>
      </w:r>
      <w:r>
        <w:rPr>
          <w:spacing w:val="-5"/>
        </w:rPr>
        <w:t> </w:t>
      </w:r>
      <w:r>
        <w:rPr/>
        <w:t>the</w:t>
      </w:r>
      <w:r>
        <w:rPr>
          <w:spacing w:val="-5"/>
        </w:rPr>
        <w:t> </w:t>
      </w:r>
      <w:r>
        <w:rPr/>
        <w:t>development</w:t>
      </w:r>
      <w:r>
        <w:rPr>
          <w:spacing w:val="-4"/>
        </w:rPr>
        <w:t> </w:t>
      </w:r>
      <w:r>
        <w:rPr/>
        <w:t>of</w:t>
      </w:r>
      <w:r>
        <w:rPr>
          <w:spacing w:val="-5"/>
        </w:rPr>
        <w:t> </w:t>
      </w:r>
      <w:r>
        <w:rPr/>
        <w:t>resources in</w:t>
      </w:r>
      <w:r>
        <w:rPr>
          <w:spacing w:val="36"/>
        </w:rPr>
        <w:t> </w:t>
      </w:r>
      <w:r>
        <w:rPr/>
        <w:t>partnership</w:t>
      </w:r>
      <w:r>
        <w:rPr>
          <w:spacing w:val="36"/>
        </w:rPr>
        <w:t> </w:t>
      </w:r>
      <w:r>
        <w:rPr/>
        <w:t>with</w:t>
      </w:r>
      <w:r>
        <w:rPr>
          <w:spacing w:val="37"/>
        </w:rPr>
        <w:t> </w:t>
      </w:r>
      <w:r>
        <w:rPr/>
        <w:t>colleges</w:t>
      </w:r>
      <w:r>
        <w:rPr>
          <w:spacing w:val="36"/>
        </w:rPr>
        <w:t> </w:t>
      </w:r>
      <w:r>
        <w:rPr/>
        <w:t>and</w:t>
      </w:r>
      <w:r>
        <w:rPr>
          <w:spacing w:val="37"/>
        </w:rPr>
        <w:t> </w:t>
      </w:r>
      <w:r>
        <w:rPr/>
        <w:t>youth.</w:t>
      </w:r>
      <w:r>
        <w:rPr>
          <w:spacing w:val="37"/>
        </w:rPr>
        <w:t> </w:t>
      </w:r>
      <w:r>
        <w:rPr/>
        <w:t>Furthermore,</w:t>
      </w:r>
      <w:r>
        <w:rPr>
          <w:spacing w:val="36"/>
        </w:rPr>
        <w:t> </w:t>
      </w:r>
      <w:r>
        <w:rPr/>
        <w:t>the</w:t>
      </w:r>
      <w:r>
        <w:rPr>
          <w:spacing w:val="37"/>
        </w:rPr>
        <w:t> </w:t>
      </w:r>
      <w:r>
        <w:rPr/>
        <w:t>Commission</w:t>
      </w:r>
      <w:r>
        <w:rPr>
          <w:spacing w:val="36"/>
        </w:rPr>
        <w:t> </w:t>
      </w:r>
      <w:r>
        <w:rPr/>
        <w:t>highlights</w:t>
      </w:r>
      <w:r>
        <w:rPr>
          <w:spacing w:val="38"/>
        </w:rPr>
        <w:t> </w:t>
      </w:r>
      <w:r>
        <w:rPr/>
        <w:t>the</w:t>
      </w:r>
      <w:r>
        <w:rPr>
          <w:spacing w:val="37"/>
        </w:rPr>
        <w:t> </w:t>
      </w:r>
      <w:r>
        <w:rPr/>
        <w:t>need</w:t>
      </w:r>
      <w:r>
        <w:rPr>
          <w:spacing w:val="37"/>
        </w:rPr>
        <w:t> </w:t>
      </w:r>
      <w:r>
        <w:rPr/>
        <w:t>to</w:t>
      </w:r>
      <w:r>
        <w:rPr>
          <w:spacing w:val="36"/>
        </w:rPr>
        <w:t> </w:t>
      </w:r>
      <w:r>
        <w:rPr/>
        <w:t>better</w:t>
      </w:r>
    </w:p>
    <w:p>
      <w:pPr>
        <w:spacing w:after="0" w:line="276" w:lineRule="auto"/>
        <w:jc w:val="both"/>
        <w:sectPr>
          <w:pgSz w:w="12240" w:h="15840"/>
          <w:pgMar w:header="804" w:footer="1196" w:top="1000" w:bottom="1460" w:left="960" w:right="1100"/>
        </w:sectPr>
      </w:pPr>
    </w:p>
    <w:p>
      <w:pPr>
        <w:pStyle w:val="BodyText"/>
        <w:spacing w:line="276" w:lineRule="auto" w:before="139"/>
        <w:ind w:left="483" w:right="314"/>
      </w:pPr>
      <w:r>
        <w:rPr/>
        <w:t>understand</w:t>
      </w:r>
      <w:r>
        <w:rPr>
          <w:spacing w:val="-8"/>
        </w:rPr>
        <w:t> </w:t>
      </w:r>
      <w:r>
        <w:rPr/>
        <w:t>the</w:t>
      </w:r>
      <w:r>
        <w:rPr>
          <w:spacing w:val="-8"/>
        </w:rPr>
        <w:t> </w:t>
      </w:r>
      <w:r>
        <w:rPr/>
        <w:t>distribution</w:t>
      </w:r>
      <w:r>
        <w:rPr>
          <w:spacing w:val="-8"/>
        </w:rPr>
        <w:t> </w:t>
      </w:r>
      <w:r>
        <w:rPr/>
        <w:t>of</w:t>
      </w:r>
      <w:r>
        <w:rPr>
          <w:spacing w:val="-7"/>
        </w:rPr>
        <w:t> </w:t>
      </w:r>
      <w:r>
        <w:rPr/>
        <w:t>financial</w:t>
      </w:r>
      <w:r>
        <w:rPr>
          <w:spacing w:val="-6"/>
        </w:rPr>
        <w:t> </w:t>
      </w:r>
      <w:r>
        <w:rPr/>
        <w:t>assistance</w:t>
      </w:r>
      <w:r>
        <w:rPr>
          <w:spacing w:val="-8"/>
        </w:rPr>
        <w:t> </w:t>
      </w:r>
      <w:r>
        <w:rPr/>
        <w:t>to</w:t>
      </w:r>
      <w:r>
        <w:rPr>
          <w:spacing w:val="-6"/>
        </w:rPr>
        <w:t> </w:t>
      </w:r>
      <w:r>
        <w:rPr/>
        <w:t>underrepresented</w:t>
      </w:r>
      <w:r>
        <w:rPr>
          <w:spacing w:val="-7"/>
        </w:rPr>
        <w:t> </w:t>
      </w:r>
      <w:r>
        <w:rPr/>
        <w:t>groups,</w:t>
      </w:r>
      <w:r>
        <w:rPr>
          <w:spacing w:val="-6"/>
        </w:rPr>
        <w:t> </w:t>
      </w:r>
      <w:r>
        <w:rPr/>
        <w:t>utilizing</w:t>
      </w:r>
      <w:r>
        <w:rPr>
          <w:spacing w:val="-7"/>
        </w:rPr>
        <w:t> </w:t>
      </w:r>
      <w:r>
        <w:rPr/>
        <w:t>this</w:t>
      </w:r>
      <w:r>
        <w:rPr>
          <w:spacing w:val="-6"/>
        </w:rPr>
        <w:t> </w:t>
      </w:r>
      <w:r>
        <w:rPr/>
        <w:t>data</w:t>
      </w:r>
      <w:r>
        <w:rPr>
          <w:spacing w:val="-7"/>
        </w:rPr>
        <w:t> </w:t>
      </w:r>
      <w:r>
        <w:rPr/>
        <w:t>to</w:t>
      </w:r>
      <w:r>
        <w:rPr>
          <w:spacing w:val="-7"/>
        </w:rPr>
        <w:t> </w:t>
      </w:r>
      <w:r>
        <w:rPr/>
        <w:t>offer more support for resources and increased funding.</w:t>
      </w:r>
    </w:p>
    <w:p>
      <w:pPr>
        <w:pStyle w:val="BodyText"/>
      </w:pPr>
    </w:p>
    <w:p>
      <w:pPr>
        <w:pStyle w:val="BodyText"/>
        <w:spacing w:before="116"/>
      </w:pPr>
    </w:p>
    <w:p>
      <w:pPr>
        <w:spacing w:before="1"/>
        <w:ind w:left="480" w:right="0" w:firstLine="0"/>
        <w:jc w:val="left"/>
        <w:rPr>
          <w:b/>
          <w:sz w:val="21"/>
        </w:rPr>
      </w:pPr>
      <w:r>
        <w:rPr>
          <w:b/>
          <w:spacing w:val="-2"/>
          <w:sz w:val="21"/>
        </w:rPr>
        <w:t>Citations</w:t>
      </w:r>
    </w:p>
    <w:p>
      <w:pPr>
        <w:spacing w:before="158"/>
        <w:ind w:left="480" w:right="528" w:hanging="1"/>
        <w:jc w:val="left"/>
        <w:rPr>
          <w:sz w:val="18"/>
        </w:rPr>
      </w:pPr>
      <w:r>
        <w:rPr>
          <w:sz w:val="18"/>
          <w:vertAlign w:val="superscript"/>
        </w:rPr>
        <w:t>1</w:t>
      </w:r>
      <w:r>
        <w:rPr>
          <w:spacing w:val="-13"/>
          <w:sz w:val="18"/>
          <w:vertAlign w:val="baseline"/>
        </w:rPr>
        <w:t> </w:t>
      </w:r>
      <w:r>
        <w:rPr>
          <w:sz w:val="18"/>
          <w:vertAlign w:val="baseline"/>
        </w:rPr>
        <w:t>Rankin,</w:t>
      </w:r>
      <w:r>
        <w:rPr>
          <w:spacing w:val="-3"/>
          <w:sz w:val="18"/>
          <w:vertAlign w:val="baseline"/>
        </w:rPr>
        <w:t> </w:t>
      </w:r>
      <w:r>
        <w:rPr>
          <w:sz w:val="18"/>
          <w:vertAlign w:val="baseline"/>
        </w:rPr>
        <w:t>S.,</w:t>
      </w:r>
      <w:r>
        <w:rPr>
          <w:spacing w:val="-3"/>
          <w:sz w:val="18"/>
          <w:vertAlign w:val="baseline"/>
        </w:rPr>
        <w:t> </w:t>
      </w:r>
      <w:r>
        <w:rPr>
          <w:sz w:val="18"/>
          <w:vertAlign w:val="baseline"/>
        </w:rPr>
        <w:t>Weber,</w:t>
      </w:r>
      <w:r>
        <w:rPr>
          <w:spacing w:val="-3"/>
          <w:sz w:val="18"/>
          <w:vertAlign w:val="baseline"/>
        </w:rPr>
        <w:t> </w:t>
      </w:r>
      <w:r>
        <w:rPr>
          <w:sz w:val="18"/>
          <w:vertAlign w:val="baseline"/>
        </w:rPr>
        <w:t>G.,</w:t>
      </w:r>
      <w:r>
        <w:rPr>
          <w:spacing w:val="-3"/>
          <w:sz w:val="18"/>
          <w:vertAlign w:val="baseline"/>
        </w:rPr>
        <w:t> </w:t>
      </w:r>
      <w:r>
        <w:rPr>
          <w:sz w:val="18"/>
          <w:vertAlign w:val="baseline"/>
        </w:rPr>
        <w:t>Blumenfeld,</w:t>
      </w:r>
      <w:r>
        <w:rPr>
          <w:spacing w:val="-3"/>
          <w:sz w:val="18"/>
          <w:vertAlign w:val="baseline"/>
        </w:rPr>
        <w:t> </w:t>
      </w:r>
      <w:r>
        <w:rPr>
          <w:sz w:val="18"/>
          <w:vertAlign w:val="baseline"/>
        </w:rPr>
        <w:t>W.,</w:t>
      </w:r>
      <w:r>
        <w:rPr>
          <w:spacing w:val="-2"/>
          <w:sz w:val="18"/>
          <w:vertAlign w:val="baseline"/>
        </w:rPr>
        <w:t> </w:t>
      </w:r>
      <w:r>
        <w:rPr>
          <w:sz w:val="18"/>
          <w:vertAlign w:val="baseline"/>
        </w:rPr>
        <w:t>&amp;</w:t>
      </w:r>
      <w:r>
        <w:rPr>
          <w:spacing w:val="-3"/>
          <w:sz w:val="18"/>
          <w:vertAlign w:val="baseline"/>
        </w:rPr>
        <w:t> </w:t>
      </w:r>
      <w:r>
        <w:rPr>
          <w:sz w:val="18"/>
          <w:vertAlign w:val="baseline"/>
        </w:rPr>
        <w:t>Frazer,</w:t>
      </w:r>
      <w:r>
        <w:rPr>
          <w:spacing w:val="-2"/>
          <w:sz w:val="18"/>
          <w:vertAlign w:val="baseline"/>
        </w:rPr>
        <w:t> </w:t>
      </w:r>
      <w:r>
        <w:rPr>
          <w:sz w:val="18"/>
          <w:vertAlign w:val="baseline"/>
        </w:rPr>
        <w:t>S.</w:t>
      </w:r>
      <w:r>
        <w:rPr>
          <w:spacing w:val="-2"/>
          <w:sz w:val="18"/>
          <w:vertAlign w:val="baseline"/>
        </w:rPr>
        <w:t> </w:t>
      </w:r>
      <w:r>
        <w:rPr>
          <w:sz w:val="18"/>
          <w:vertAlign w:val="baseline"/>
        </w:rPr>
        <w:t>(2010).</w:t>
      </w:r>
      <w:r>
        <w:rPr>
          <w:spacing w:val="-2"/>
          <w:sz w:val="18"/>
          <w:vertAlign w:val="baseline"/>
        </w:rPr>
        <w:t> </w:t>
      </w:r>
      <w:r>
        <w:rPr>
          <w:sz w:val="18"/>
          <w:vertAlign w:val="baseline"/>
        </w:rPr>
        <w:t>2010</w:t>
      </w:r>
      <w:r>
        <w:rPr>
          <w:spacing w:val="-4"/>
          <w:sz w:val="18"/>
          <w:vertAlign w:val="baseline"/>
        </w:rPr>
        <w:t> </w:t>
      </w:r>
      <w:r>
        <w:rPr>
          <w:sz w:val="18"/>
          <w:vertAlign w:val="baseline"/>
        </w:rPr>
        <w:t>state</w:t>
      </w:r>
      <w:r>
        <w:rPr>
          <w:spacing w:val="-2"/>
          <w:sz w:val="18"/>
          <w:vertAlign w:val="baseline"/>
        </w:rPr>
        <w:t> </w:t>
      </w:r>
      <w:r>
        <w:rPr>
          <w:sz w:val="18"/>
          <w:vertAlign w:val="baseline"/>
        </w:rPr>
        <w:t>of</w:t>
      </w:r>
      <w:r>
        <w:rPr>
          <w:spacing w:val="-2"/>
          <w:sz w:val="18"/>
          <w:vertAlign w:val="baseline"/>
        </w:rPr>
        <w:t> </w:t>
      </w:r>
      <w:r>
        <w:rPr>
          <w:sz w:val="18"/>
          <w:vertAlign w:val="baseline"/>
        </w:rPr>
        <w:t>higher</w:t>
      </w:r>
      <w:r>
        <w:rPr>
          <w:spacing w:val="-3"/>
          <w:sz w:val="18"/>
          <w:vertAlign w:val="baseline"/>
        </w:rPr>
        <w:t> </w:t>
      </w:r>
      <w:r>
        <w:rPr>
          <w:sz w:val="18"/>
          <w:vertAlign w:val="baseline"/>
        </w:rPr>
        <w:t>education</w:t>
      </w:r>
      <w:r>
        <w:rPr>
          <w:spacing w:val="-2"/>
          <w:sz w:val="18"/>
          <w:vertAlign w:val="baseline"/>
        </w:rPr>
        <w:t> </w:t>
      </w:r>
      <w:r>
        <w:rPr>
          <w:sz w:val="18"/>
          <w:vertAlign w:val="baseline"/>
        </w:rPr>
        <w:t>for</w:t>
      </w:r>
      <w:r>
        <w:rPr>
          <w:spacing w:val="-3"/>
          <w:sz w:val="18"/>
          <w:vertAlign w:val="baseline"/>
        </w:rPr>
        <w:t> </w:t>
      </w:r>
      <w:r>
        <w:rPr>
          <w:sz w:val="18"/>
          <w:vertAlign w:val="baseline"/>
        </w:rPr>
        <w:t>lesbian,</w:t>
      </w:r>
      <w:r>
        <w:rPr>
          <w:spacing w:val="-3"/>
          <w:sz w:val="18"/>
          <w:vertAlign w:val="baseline"/>
        </w:rPr>
        <w:t> </w:t>
      </w:r>
      <w:r>
        <w:rPr>
          <w:sz w:val="18"/>
          <w:vertAlign w:val="baseline"/>
        </w:rPr>
        <w:t>gay,</w:t>
      </w:r>
      <w:r>
        <w:rPr>
          <w:spacing w:val="-3"/>
          <w:sz w:val="18"/>
          <w:vertAlign w:val="baseline"/>
        </w:rPr>
        <w:t> </w:t>
      </w:r>
      <w:r>
        <w:rPr>
          <w:sz w:val="18"/>
          <w:vertAlign w:val="baseline"/>
        </w:rPr>
        <w:t>bisexual,</w:t>
      </w:r>
      <w:r>
        <w:rPr>
          <w:spacing w:val="-3"/>
          <w:sz w:val="18"/>
          <w:vertAlign w:val="baseline"/>
        </w:rPr>
        <w:t> </w:t>
      </w:r>
      <w:r>
        <w:rPr>
          <w:sz w:val="18"/>
          <w:vertAlign w:val="baseline"/>
        </w:rPr>
        <w:t>and transgender people. Campus Pride. Retrieved from </w:t>
      </w:r>
      <w:hyperlink r:id="rId714">
        <w:r>
          <w:rPr>
            <w:sz w:val="18"/>
            <w:vertAlign w:val="baseline"/>
          </w:rPr>
          <w:t>http://www.campuspride.org/</w:t>
        </w:r>
      </w:hyperlink>
      <w:r>
        <w:rPr>
          <w:sz w:val="18"/>
          <w:vertAlign w:val="baseline"/>
        </w:rPr>
        <w:t> </w:t>
      </w:r>
      <w:r>
        <w:rPr>
          <w:spacing w:val="-2"/>
          <w:sz w:val="18"/>
          <w:vertAlign w:val="baseline"/>
        </w:rPr>
        <w:t>Campus%20Pride%202010%20LGBT%20Report%20Summary.pdf</w:t>
      </w:r>
    </w:p>
    <w:p>
      <w:pPr>
        <w:spacing w:before="0"/>
        <w:ind w:left="480" w:right="1156" w:hanging="1"/>
        <w:jc w:val="left"/>
        <w:rPr>
          <w:sz w:val="18"/>
        </w:rPr>
      </w:pPr>
      <w:r>
        <w:rPr>
          <w:sz w:val="18"/>
          <w:vertAlign w:val="superscript"/>
        </w:rPr>
        <w:t>2</w:t>
      </w:r>
      <w:r>
        <w:rPr>
          <w:spacing w:val="-10"/>
          <w:sz w:val="18"/>
          <w:vertAlign w:val="baseline"/>
        </w:rPr>
        <w:t> </w:t>
      </w:r>
      <w:r>
        <w:rPr>
          <w:sz w:val="18"/>
          <w:vertAlign w:val="baseline"/>
        </w:rPr>
        <w:t>Lust, K. (2011). College Student Health Survey Report 2007–2011: Health and Health-Related Behaviors Minnesota Postsecondary</w:t>
      </w:r>
      <w:r>
        <w:rPr>
          <w:spacing w:val="-3"/>
          <w:sz w:val="18"/>
          <w:vertAlign w:val="baseline"/>
        </w:rPr>
        <w:t> </w:t>
      </w:r>
      <w:r>
        <w:rPr>
          <w:sz w:val="18"/>
          <w:vertAlign w:val="baseline"/>
        </w:rPr>
        <w:t>Lesbian,</w:t>
      </w:r>
      <w:r>
        <w:rPr>
          <w:spacing w:val="-4"/>
          <w:sz w:val="18"/>
          <w:vertAlign w:val="baseline"/>
        </w:rPr>
        <w:t> </w:t>
      </w:r>
      <w:r>
        <w:rPr>
          <w:sz w:val="18"/>
          <w:vertAlign w:val="baseline"/>
        </w:rPr>
        <w:t>Gay,</w:t>
      </w:r>
      <w:r>
        <w:rPr>
          <w:spacing w:val="-4"/>
          <w:sz w:val="18"/>
          <w:vertAlign w:val="baseline"/>
        </w:rPr>
        <w:t> </w:t>
      </w:r>
      <w:r>
        <w:rPr>
          <w:sz w:val="18"/>
          <w:vertAlign w:val="baseline"/>
        </w:rPr>
        <w:t>and</w:t>
      </w:r>
      <w:r>
        <w:rPr>
          <w:spacing w:val="-4"/>
          <w:sz w:val="18"/>
          <w:vertAlign w:val="baseline"/>
        </w:rPr>
        <w:t> </w:t>
      </w:r>
      <w:r>
        <w:rPr>
          <w:sz w:val="18"/>
          <w:vertAlign w:val="baseline"/>
        </w:rPr>
        <w:t>Bisexual</w:t>
      </w:r>
      <w:r>
        <w:rPr>
          <w:spacing w:val="-4"/>
          <w:sz w:val="18"/>
          <w:vertAlign w:val="baseline"/>
        </w:rPr>
        <w:t> </w:t>
      </w:r>
      <w:r>
        <w:rPr>
          <w:sz w:val="18"/>
          <w:vertAlign w:val="baseline"/>
        </w:rPr>
        <w:t>Students.</w:t>
      </w:r>
      <w:r>
        <w:rPr>
          <w:spacing w:val="-3"/>
          <w:sz w:val="18"/>
          <w:vertAlign w:val="baseline"/>
        </w:rPr>
        <w:t> </w:t>
      </w:r>
      <w:r>
        <w:rPr>
          <w:sz w:val="18"/>
          <w:vertAlign w:val="baseline"/>
        </w:rPr>
        <w:t>Boynton</w:t>
      </w:r>
      <w:r>
        <w:rPr>
          <w:spacing w:val="-3"/>
          <w:sz w:val="18"/>
          <w:vertAlign w:val="baseline"/>
        </w:rPr>
        <w:t> </w:t>
      </w:r>
      <w:r>
        <w:rPr>
          <w:sz w:val="18"/>
          <w:vertAlign w:val="baseline"/>
        </w:rPr>
        <w:t>Health</w:t>
      </w:r>
      <w:r>
        <w:rPr>
          <w:spacing w:val="-3"/>
          <w:sz w:val="18"/>
          <w:vertAlign w:val="baseline"/>
        </w:rPr>
        <w:t> </w:t>
      </w:r>
      <w:r>
        <w:rPr>
          <w:sz w:val="18"/>
          <w:vertAlign w:val="baseline"/>
        </w:rPr>
        <w:t>Service,</w:t>
      </w:r>
      <w:r>
        <w:rPr>
          <w:spacing w:val="-4"/>
          <w:sz w:val="18"/>
          <w:vertAlign w:val="baseline"/>
        </w:rPr>
        <w:t> </w:t>
      </w:r>
      <w:r>
        <w:rPr>
          <w:sz w:val="18"/>
          <w:vertAlign w:val="baseline"/>
        </w:rPr>
        <w:t>University</w:t>
      </w:r>
      <w:r>
        <w:rPr>
          <w:spacing w:val="-3"/>
          <w:sz w:val="18"/>
          <w:vertAlign w:val="baseline"/>
        </w:rPr>
        <w:t> </w:t>
      </w:r>
      <w:r>
        <w:rPr>
          <w:sz w:val="18"/>
          <w:vertAlign w:val="baseline"/>
        </w:rPr>
        <w:t>of</w:t>
      </w:r>
      <w:r>
        <w:rPr>
          <w:spacing w:val="-3"/>
          <w:sz w:val="18"/>
          <w:vertAlign w:val="baseline"/>
        </w:rPr>
        <w:t> </w:t>
      </w:r>
      <w:r>
        <w:rPr>
          <w:sz w:val="18"/>
          <w:vertAlign w:val="baseline"/>
        </w:rPr>
        <w:t>Minnesota.</w:t>
      </w:r>
      <w:r>
        <w:rPr>
          <w:spacing w:val="-3"/>
          <w:sz w:val="18"/>
          <w:vertAlign w:val="baseline"/>
        </w:rPr>
        <w:t> </w:t>
      </w:r>
      <w:r>
        <w:rPr>
          <w:sz w:val="18"/>
          <w:vertAlign w:val="baseline"/>
        </w:rPr>
        <w:t>Retrieved</w:t>
      </w:r>
      <w:r>
        <w:rPr>
          <w:spacing w:val="-3"/>
          <w:sz w:val="18"/>
          <w:vertAlign w:val="baseline"/>
        </w:rPr>
        <w:t> </w:t>
      </w:r>
      <w:r>
        <w:rPr>
          <w:sz w:val="18"/>
          <w:vertAlign w:val="baseline"/>
        </w:rPr>
        <w:t>from </w:t>
      </w:r>
      <w:hyperlink r:id="rId715">
        <w:r>
          <w:rPr>
            <w:spacing w:val="-2"/>
            <w:sz w:val="18"/>
            <w:vertAlign w:val="baseline"/>
          </w:rPr>
          <w:t>http://www.bhs.umn.edu/surveys/survey-results/2007-2011_LGB_CSHSReport.pdf</w:t>
        </w:r>
      </w:hyperlink>
    </w:p>
    <w:p>
      <w:pPr>
        <w:spacing w:line="219" w:lineRule="exact" w:before="0"/>
        <w:ind w:left="480" w:right="0" w:firstLine="0"/>
        <w:jc w:val="left"/>
        <w:rPr>
          <w:sz w:val="18"/>
        </w:rPr>
      </w:pPr>
      <w:r>
        <w:rPr>
          <w:sz w:val="18"/>
          <w:vertAlign w:val="superscript"/>
        </w:rPr>
        <w:t>3</w:t>
      </w:r>
      <w:r>
        <w:rPr>
          <w:spacing w:val="-15"/>
          <w:sz w:val="18"/>
          <w:vertAlign w:val="baseline"/>
        </w:rPr>
        <w:t> </w:t>
      </w:r>
      <w:r>
        <w:rPr>
          <w:sz w:val="18"/>
          <w:vertAlign w:val="baseline"/>
        </w:rPr>
        <w:t>Lust,</w:t>
      </w:r>
      <w:r>
        <w:rPr>
          <w:spacing w:val="-3"/>
          <w:sz w:val="18"/>
          <w:vertAlign w:val="baseline"/>
        </w:rPr>
        <w:t> </w:t>
      </w:r>
      <w:r>
        <w:rPr>
          <w:spacing w:val="-7"/>
          <w:sz w:val="18"/>
          <w:vertAlign w:val="baseline"/>
        </w:rPr>
        <w:t>K.</w:t>
      </w:r>
    </w:p>
    <w:p>
      <w:pPr>
        <w:spacing w:before="0"/>
        <w:ind w:left="480" w:right="314" w:hanging="1"/>
        <w:jc w:val="left"/>
        <w:rPr>
          <w:sz w:val="18"/>
        </w:rPr>
      </w:pPr>
      <w:r>
        <w:rPr>
          <w:sz w:val="18"/>
          <w:vertAlign w:val="superscript"/>
        </w:rPr>
        <w:t>4</w:t>
      </w:r>
      <w:r>
        <w:rPr>
          <w:spacing w:val="-13"/>
          <w:sz w:val="18"/>
          <w:vertAlign w:val="baseline"/>
        </w:rPr>
        <w:t> </w:t>
      </w:r>
      <w:r>
        <w:rPr>
          <w:color w:val="303030"/>
          <w:sz w:val="18"/>
          <w:vertAlign w:val="baseline"/>
        </w:rPr>
        <w:t>Heck,</w:t>
      </w:r>
      <w:r>
        <w:rPr>
          <w:color w:val="303030"/>
          <w:spacing w:val="-4"/>
          <w:sz w:val="18"/>
          <w:vertAlign w:val="baseline"/>
        </w:rPr>
        <w:t> </w:t>
      </w:r>
      <w:r>
        <w:rPr>
          <w:color w:val="303030"/>
          <w:sz w:val="18"/>
          <w:vertAlign w:val="baseline"/>
        </w:rPr>
        <w:t>N.</w:t>
      </w:r>
      <w:r>
        <w:rPr>
          <w:color w:val="303030"/>
          <w:spacing w:val="-2"/>
          <w:sz w:val="18"/>
          <w:vertAlign w:val="baseline"/>
        </w:rPr>
        <w:t> </w:t>
      </w:r>
      <w:r>
        <w:rPr>
          <w:color w:val="303030"/>
          <w:sz w:val="18"/>
          <w:vertAlign w:val="baseline"/>
        </w:rPr>
        <w:t>C.,</w:t>
      </w:r>
      <w:r>
        <w:rPr>
          <w:color w:val="303030"/>
          <w:spacing w:val="-3"/>
          <w:sz w:val="18"/>
          <w:vertAlign w:val="baseline"/>
        </w:rPr>
        <w:t> </w:t>
      </w:r>
      <w:r>
        <w:rPr>
          <w:color w:val="303030"/>
          <w:sz w:val="18"/>
          <w:vertAlign w:val="baseline"/>
        </w:rPr>
        <w:t>Poteat,</w:t>
      </w:r>
      <w:r>
        <w:rPr>
          <w:color w:val="303030"/>
          <w:spacing w:val="-3"/>
          <w:sz w:val="18"/>
          <w:vertAlign w:val="baseline"/>
        </w:rPr>
        <w:t> </w:t>
      </w:r>
      <w:r>
        <w:rPr>
          <w:color w:val="303030"/>
          <w:sz w:val="18"/>
          <w:vertAlign w:val="baseline"/>
        </w:rPr>
        <w:t>V.</w:t>
      </w:r>
      <w:r>
        <w:rPr>
          <w:color w:val="303030"/>
          <w:spacing w:val="-2"/>
          <w:sz w:val="18"/>
          <w:vertAlign w:val="baseline"/>
        </w:rPr>
        <w:t> </w:t>
      </w:r>
      <w:r>
        <w:rPr>
          <w:color w:val="303030"/>
          <w:sz w:val="18"/>
          <w:vertAlign w:val="baseline"/>
        </w:rPr>
        <w:t>P.,</w:t>
      </w:r>
      <w:r>
        <w:rPr>
          <w:color w:val="303030"/>
          <w:spacing w:val="-3"/>
          <w:sz w:val="18"/>
          <w:vertAlign w:val="baseline"/>
        </w:rPr>
        <w:t> </w:t>
      </w:r>
      <w:r>
        <w:rPr>
          <w:color w:val="303030"/>
          <w:sz w:val="18"/>
          <w:vertAlign w:val="baseline"/>
        </w:rPr>
        <w:t>&amp;</w:t>
      </w:r>
      <w:r>
        <w:rPr>
          <w:color w:val="303030"/>
          <w:spacing w:val="-3"/>
          <w:sz w:val="18"/>
          <w:vertAlign w:val="baseline"/>
        </w:rPr>
        <w:t> </w:t>
      </w:r>
      <w:r>
        <w:rPr>
          <w:color w:val="303030"/>
          <w:sz w:val="18"/>
          <w:vertAlign w:val="baseline"/>
        </w:rPr>
        <w:t>Goodenow,</w:t>
      </w:r>
      <w:r>
        <w:rPr>
          <w:color w:val="303030"/>
          <w:spacing w:val="-3"/>
          <w:sz w:val="18"/>
          <w:vertAlign w:val="baseline"/>
        </w:rPr>
        <w:t> </w:t>
      </w:r>
      <w:r>
        <w:rPr>
          <w:color w:val="303030"/>
          <w:sz w:val="18"/>
          <w:vertAlign w:val="baseline"/>
        </w:rPr>
        <w:t>C.</w:t>
      </w:r>
      <w:r>
        <w:rPr>
          <w:color w:val="303030"/>
          <w:spacing w:val="-2"/>
          <w:sz w:val="18"/>
          <w:vertAlign w:val="baseline"/>
        </w:rPr>
        <w:t> </w:t>
      </w:r>
      <w:r>
        <w:rPr>
          <w:color w:val="303030"/>
          <w:sz w:val="18"/>
          <w:vertAlign w:val="baseline"/>
        </w:rPr>
        <w:t>S.</w:t>
      </w:r>
      <w:r>
        <w:rPr>
          <w:color w:val="303030"/>
          <w:spacing w:val="-2"/>
          <w:sz w:val="18"/>
          <w:vertAlign w:val="baseline"/>
        </w:rPr>
        <w:t> </w:t>
      </w:r>
      <w:r>
        <w:rPr>
          <w:color w:val="303030"/>
          <w:sz w:val="18"/>
          <w:vertAlign w:val="baseline"/>
        </w:rPr>
        <w:t>(2016).</w:t>
      </w:r>
      <w:r>
        <w:rPr>
          <w:color w:val="303030"/>
          <w:spacing w:val="-2"/>
          <w:sz w:val="18"/>
          <w:vertAlign w:val="baseline"/>
        </w:rPr>
        <w:t> </w:t>
      </w:r>
      <w:r>
        <w:rPr>
          <w:color w:val="303030"/>
          <w:sz w:val="18"/>
          <w:vertAlign w:val="baseline"/>
        </w:rPr>
        <w:t>Advances</w:t>
      </w:r>
      <w:r>
        <w:rPr>
          <w:color w:val="303030"/>
          <w:spacing w:val="-2"/>
          <w:sz w:val="18"/>
          <w:vertAlign w:val="baseline"/>
        </w:rPr>
        <w:t> </w:t>
      </w:r>
      <w:r>
        <w:rPr>
          <w:color w:val="303030"/>
          <w:sz w:val="18"/>
          <w:vertAlign w:val="baseline"/>
        </w:rPr>
        <w:t>in</w:t>
      </w:r>
      <w:r>
        <w:rPr>
          <w:color w:val="303030"/>
          <w:spacing w:val="-3"/>
          <w:sz w:val="18"/>
          <w:vertAlign w:val="baseline"/>
        </w:rPr>
        <w:t> </w:t>
      </w:r>
      <w:r>
        <w:rPr>
          <w:color w:val="303030"/>
          <w:sz w:val="18"/>
          <w:vertAlign w:val="baseline"/>
        </w:rPr>
        <w:t>research</w:t>
      </w:r>
      <w:r>
        <w:rPr>
          <w:color w:val="303030"/>
          <w:spacing w:val="-2"/>
          <w:sz w:val="18"/>
          <w:vertAlign w:val="baseline"/>
        </w:rPr>
        <w:t> </w:t>
      </w:r>
      <w:r>
        <w:rPr>
          <w:color w:val="303030"/>
          <w:sz w:val="18"/>
          <w:vertAlign w:val="baseline"/>
        </w:rPr>
        <w:t>with</w:t>
      </w:r>
      <w:r>
        <w:rPr>
          <w:color w:val="303030"/>
          <w:spacing w:val="-2"/>
          <w:sz w:val="18"/>
          <w:vertAlign w:val="baseline"/>
        </w:rPr>
        <w:t> </w:t>
      </w:r>
      <w:r>
        <w:rPr>
          <w:color w:val="303030"/>
          <w:sz w:val="18"/>
          <w:vertAlign w:val="baseline"/>
        </w:rPr>
        <w:t>LGBTQ</w:t>
      </w:r>
      <w:r>
        <w:rPr>
          <w:color w:val="303030"/>
          <w:spacing w:val="-2"/>
          <w:sz w:val="18"/>
          <w:vertAlign w:val="baseline"/>
        </w:rPr>
        <w:t> </w:t>
      </w:r>
      <w:r>
        <w:rPr>
          <w:color w:val="303030"/>
          <w:sz w:val="18"/>
          <w:vertAlign w:val="baseline"/>
        </w:rPr>
        <w:t>youth</w:t>
      </w:r>
      <w:r>
        <w:rPr>
          <w:color w:val="303030"/>
          <w:spacing w:val="-2"/>
          <w:sz w:val="18"/>
          <w:vertAlign w:val="baseline"/>
        </w:rPr>
        <w:t> </w:t>
      </w:r>
      <w:r>
        <w:rPr>
          <w:color w:val="303030"/>
          <w:sz w:val="18"/>
          <w:vertAlign w:val="baseline"/>
        </w:rPr>
        <w:t>in</w:t>
      </w:r>
      <w:r>
        <w:rPr>
          <w:color w:val="303030"/>
          <w:spacing w:val="-2"/>
          <w:sz w:val="18"/>
          <w:vertAlign w:val="baseline"/>
        </w:rPr>
        <w:t> </w:t>
      </w:r>
      <w:r>
        <w:rPr>
          <w:color w:val="303030"/>
          <w:sz w:val="18"/>
          <w:vertAlign w:val="baseline"/>
        </w:rPr>
        <w:t>schools.</w:t>
      </w:r>
      <w:r>
        <w:rPr>
          <w:color w:val="303030"/>
          <w:spacing w:val="-2"/>
          <w:sz w:val="18"/>
          <w:vertAlign w:val="baseline"/>
        </w:rPr>
        <w:t> </w:t>
      </w:r>
      <w:r>
        <w:rPr>
          <w:i/>
          <w:color w:val="303030"/>
          <w:sz w:val="18"/>
          <w:vertAlign w:val="baseline"/>
        </w:rPr>
        <w:t>Psychology</w:t>
      </w:r>
      <w:r>
        <w:rPr>
          <w:i/>
          <w:color w:val="303030"/>
          <w:spacing w:val="-2"/>
          <w:sz w:val="18"/>
          <w:vertAlign w:val="baseline"/>
        </w:rPr>
        <w:t> </w:t>
      </w:r>
      <w:r>
        <w:rPr>
          <w:i/>
          <w:color w:val="303030"/>
          <w:sz w:val="18"/>
          <w:vertAlign w:val="baseline"/>
        </w:rPr>
        <w:t>of</w:t>
      </w:r>
      <w:r>
        <w:rPr>
          <w:i/>
          <w:color w:val="303030"/>
          <w:spacing w:val="-2"/>
          <w:sz w:val="18"/>
          <w:vertAlign w:val="baseline"/>
        </w:rPr>
        <w:t> </w:t>
      </w:r>
      <w:r>
        <w:rPr>
          <w:i/>
          <w:color w:val="303030"/>
          <w:sz w:val="18"/>
          <w:vertAlign w:val="baseline"/>
        </w:rPr>
        <w:t>Sexual</w:t>
      </w:r>
      <w:r>
        <w:rPr>
          <w:i/>
          <w:color w:val="303030"/>
          <w:sz w:val="18"/>
          <w:vertAlign w:val="baseline"/>
        </w:rPr>
        <w:t> Orientation and Gender Diversity, 3</w:t>
      </w:r>
      <w:r>
        <w:rPr>
          <w:color w:val="303030"/>
          <w:sz w:val="18"/>
          <w:vertAlign w:val="baseline"/>
        </w:rPr>
        <w:t>(4), 381–385. https://doi.org/10.1037/sgd0000206</w:t>
      </w:r>
    </w:p>
    <w:p>
      <w:pPr>
        <w:spacing w:before="1"/>
        <w:ind w:left="480" w:right="290" w:hanging="1"/>
        <w:jc w:val="left"/>
        <w:rPr>
          <w:sz w:val="18"/>
        </w:rPr>
      </w:pPr>
      <w:r>
        <w:rPr>
          <w:sz w:val="18"/>
          <w:vertAlign w:val="superscript"/>
        </w:rPr>
        <w:t>5</w:t>
      </w:r>
      <w:r>
        <w:rPr>
          <w:spacing w:val="-13"/>
          <w:sz w:val="18"/>
          <w:vertAlign w:val="baseline"/>
        </w:rPr>
        <w:t> </w:t>
      </w:r>
      <w:r>
        <w:rPr>
          <w:sz w:val="18"/>
          <w:vertAlign w:val="baseline"/>
        </w:rPr>
        <w:t>“Campus</w:t>
      </w:r>
      <w:r>
        <w:rPr>
          <w:spacing w:val="-4"/>
          <w:sz w:val="18"/>
          <w:vertAlign w:val="baseline"/>
        </w:rPr>
        <w:t> </w:t>
      </w:r>
      <w:r>
        <w:rPr>
          <w:sz w:val="18"/>
          <w:vertAlign w:val="baseline"/>
        </w:rPr>
        <w:t>Safety</w:t>
      </w:r>
      <w:r>
        <w:rPr>
          <w:spacing w:val="-2"/>
          <w:sz w:val="18"/>
          <w:vertAlign w:val="baseline"/>
        </w:rPr>
        <w:t> </w:t>
      </w:r>
      <w:r>
        <w:rPr>
          <w:sz w:val="18"/>
          <w:vertAlign w:val="baseline"/>
        </w:rPr>
        <w:t>&amp;</w:t>
      </w:r>
      <w:r>
        <w:rPr>
          <w:spacing w:val="-3"/>
          <w:sz w:val="18"/>
          <w:vertAlign w:val="baseline"/>
        </w:rPr>
        <w:t> </w:t>
      </w:r>
      <w:r>
        <w:rPr>
          <w:sz w:val="18"/>
          <w:vertAlign w:val="baseline"/>
        </w:rPr>
        <w:t>Violence</w:t>
      </w:r>
      <w:r>
        <w:rPr>
          <w:spacing w:val="-2"/>
          <w:sz w:val="18"/>
          <w:vertAlign w:val="baseline"/>
        </w:rPr>
        <w:t> </w:t>
      </w:r>
      <w:r>
        <w:rPr>
          <w:sz w:val="18"/>
          <w:vertAlign w:val="baseline"/>
        </w:rPr>
        <w:t>Prevention</w:t>
      </w:r>
      <w:r>
        <w:rPr>
          <w:spacing w:val="-2"/>
          <w:sz w:val="18"/>
          <w:vertAlign w:val="baseline"/>
        </w:rPr>
        <w:t> </w:t>
      </w:r>
      <w:r>
        <w:rPr>
          <w:sz w:val="18"/>
          <w:vertAlign w:val="baseline"/>
        </w:rPr>
        <w:t>/</w:t>
      </w:r>
      <w:r>
        <w:rPr>
          <w:spacing w:val="-2"/>
          <w:sz w:val="18"/>
          <w:vertAlign w:val="baseline"/>
        </w:rPr>
        <w:t> </w:t>
      </w:r>
      <w:r>
        <w:rPr>
          <w:sz w:val="18"/>
          <w:vertAlign w:val="baseline"/>
        </w:rPr>
        <w:t>Strategic</w:t>
      </w:r>
      <w:r>
        <w:rPr>
          <w:spacing w:val="-3"/>
          <w:sz w:val="18"/>
          <w:vertAlign w:val="baseline"/>
        </w:rPr>
        <w:t> </w:t>
      </w:r>
      <w:r>
        <w:rPr>
          <w:sz w:val="18"/>
          <w:vertAlign w:val="baseline"/>
        </w:rPr>
        <w:t>Initiatives</w:t>
      </w:r>
      <w:r>
        <w:rPr>
          <w:spacing w:val="-2"/>
          <w:sz w:val="18"/>
          <w:vertAlign w:val="baseline"/>
        </w:rPr>
        <w:t> </w:t>
      </w:r>
      <w:r>
        <w:rPr>
          <w:sz w:val="18"/>
          <w:vertAlign w:val="baseline"/>
        </w:rPr>
        <w:t>/</w:t>
      </w:r>
      <w:r>
        <w:rPr>
          <w:spacing w:val="-3"/>
          <w:sz w:val="18"/>
          <w:vertAlign w:val="baseline"/>
        </w:rPr>
        <w:t> </w:t>
      </w:r>
      <w:r>
        <w:rPr>
          <w:sz w:val="18"/>
          <w:vertAlign w:val="baseline"/>
        </w:rPr>
        <w:t>Massachusetts</w:t>
      </w:r>
      <w:r>
        <w:rPr>
          <w:spacing w:val="-3"/>
          <w:sz w:val="18"/>
          <w:vertAlign w:val="baseline"/>
        </w:rPr>
        <w:t> </w:t>
      </w:r>
      <w:r>
        <w:rPr>
          <w:sz w:val="18"/>
          <w:vertAlign w:val="baseline"/>
        </w:rPr>
        <w:t>Department</w:t>
      </w:r>
      <w:r>
        <w:rPr>
          <w:spacing w:val="-3"/>
          <w:sz w:val="18"/>
          <w:vertAlign w:val="baseline"/>
        </w:rPr>
        <w:t> </w:t>
      </w:r>
      <w:r>
        <w:rPr>
          <w:sz w:val="18"/>
          <w:vertAlign w:val="baseline"/>
        </w:rPr>
        <w:t>of</w:t>
      </w:r>
      <w:r>
        <w:rPr>
          <w:spacing w:val="-3"/>
          <w:sz w:val="18"/>
          <w:vertAlign w:val="baseline"/>
        </w:rPr>
        <w:t> </w:t>
      </w:r>
      <w:r>
        <w:rPr>
          <w:sz w:val="18"/>
          <w:vertAlign w:val="baseline"/>
        </w:rPr>
        <w:t>Higher</w:t>
      </w:r>
      <w:r>
        <w:rPr>
          <w:spacing w:val="-3"/>
          <w:sz w:val="18"/>
          <w:vertAlign w:val="baseline"/>
        </w:rPr>
        <w:t> </w:t>
      </w:r>
      <w:r>
        <w:rPr>
          <w:sz w:val="18"/>
          <w:vertAlign w:val="baseline"/>
        </w:rPr>
        <w:t>Education,”</w:t>
      </w:r>
      <w:r>
        <w:rPr>
          <w:spacing w:val="-2"/>
          <w:sz w:val="18"/>
          <w:vertAlign w:val="baseline"/>
        </w:rPr>
        <w:t> </w:t>
      </w:r>
      <w:r>
        <w:rPr>
          <w:sz w:val="18"/>
          <w:vertAlign w:val="baseline"/>
        </w:rPr>
        <w:t>accessed</w:t>
      </w:r>
      <w:r>
        <w:rPr>
          <w:spacing w:val="-2"/>
          <w:sz w:val="18"/>
          <w:vertAlign w:val="baseline"/>
        </w:rPr>
        <w:t> </w:t>
      </w:r>
      <w:r>
        <w:rPr>
          <w:sz w:val="18"/>
          <w:vertAlign w:val="baseline"/>
        </w:rPr>
        <w:t>April 25, 2023, https://</w:t>
      </w:r>
      <w:hyperlink r:id="rId716">
        <w:r>
          <w:rPr>
            <w:sz w:val="18"/>
            <w:vertAlign w:val="baseline"/>
          </w:rPr>
          <w:t>www.mass.edu/strategic/csvp.asp.</w:t>
        </w:r>
      </w:hyperlink>
    </w:p>
    <w:p>
      <w:pPr>
        <w:spacing w:line="219" w:lineRule="exact" w:before="0"/>
        <w:ind w:left="480" w:right="0" w:firstLine="0"/>
        <w:jc w:val="left"/>
        <w:rPr>
          <w:sz w:val="18"/>
        </w:rPr>
      </w:pPr>
      <w:r>
        <w:rPr>
          <w:sz w:val="18"/>
          <w:vertAlign w:val="superscript"/>
        </w:rPr>
        <w:t>6</w:t>
      </w:r>
      <w:r>
        <w:rPr>
          <w:spacing w:val="-13"/>
          <w:sz w:val="18"/>
          <w:vertAlign w:val="baseline"/>
        </w:rPr>
        <w:t> </w:t>
      </w:r>
      <w:r>
        <w:rPr>
          <w:sz w:val="18"/>
          <w:vertAlign w:val="baseline"/>
        </w:rPr>
        <w:t>“Campus</w:t>
      </w:r>
      <w:r>
        <w:rPr>
          <w:spacing w:val="-4"/>
          <w:sz w:val="18"/>
          <w:vertAlign w:val="baseline"/>
        </w:rPr>
        <w:t> </w:t>
      </w:r>
      <w:r>
        <w:rPr>
          <w:sz w:val="18"/>
          <w:vertAlign w:val="baseline"/>
        </w:rPr>
        <w:t>Pride</w:t>
      </w:r>
      <w:r>
        <w:rPr>
          <w:spacing w:val="-3"/>
          <w:sz w:val="18"/>
          <w:vertAlign w:val="baseline"/>
        </w:rPr>
        <w:t> </w:t>
      </w:r>
      <w:r>
        <w:rPr>
          <w:sz w:val="18"/>
          <w:vertAlign w:val="baseline"/>
        </w:rPr>
        <w:t>Index,”</w:t>
      </w:r>
      <w:r>
        <w:rPr>
          <w:spacing w:val="-2"/>
          <w:sz w:val="18"/>
          <w:vertAlign w:val="baseline"/>
        </w:rPr>
        <w:t> </w:t>
      </w:r>
      <w:r>
        <w:rPr>
          <w:sz w:val="18"/>
          <w:vertAlign w:val="baseline"/>
        </w:rPr>
        <w:t>accessed</w:t>
      </w:r>
      <w:r>
        <w:rPr>
          <w:spacing w:val="-2"/>
          <w:sz w:val="18"/>
          <w:vertAlign w:val="baseline"/>
        </w:rPr>
        <w:t> </w:t>
      </w:r>
      <w:r>
        <w:rPr>
          <w:sz w:val="18"/>
          <w:vertAlign w:val="baseline"/>
        </w:rPr>
        <w:t>January</w:t>
      </w:r>
      <w:r>
        <w:rPr>
          <w:spacing w:val="-2"/>
          <w:sz w:val="18"/>
          <w:vertAlign w:val="baseline"/>
        </w:rPr>
        <w:t> </w:t>
      </w:r>
      <w:r>
        <w:rPr>
          <w:sz w:val="18"/>
          <w:vertAlign w:val="baseline"/>
        </w:rPr>
        <w:t>5,</w:t>
      </w:r>
      <w:r>
        <w:rPr>
          <w:spacing w:val="-3"/>
          <w:sz w:val="18"/>
          <w:vertAlign w:val="baseline"/>
        </w:rPr>
        <w:t> </w:t>
      </w:r>
      <w:r>
        <w:rPr>
          <w:sz w:val="18"/>
          <w:vertAlign w:val="baseline"/>
        </w:rPr>
        <w:t>2023,</w:t>
      </w:r>
      <w:r>
        <w:rPr>
          <w:spacing w:val="-2"/>
          <w:sz w:val="18"/>
          <w:vertAlign w:val="baseline"/>
        </w:rPr>
        <w:t> https://</w:t>
      </w:r>
      <w:hyperlink r:id="rId717">
        <w:r>
          <w:rPr>
            <w:spacing w:val="-2"/>
            <w:sz w:val="18"/>
            <w:vertAlign w:val="baseline"/>
          </w:rPr>
          <w:t>www.campusprideindex.org/.</w:t>
        </w:r>
      </w:hyperlink>
    </w:p>
    <w:p>
      <w:pPr>
        <w:spacing w:before="0"/>
        <w:ind w:left="480" w:right="314" w:hanging="1"/>
        <w:jc w:val="left"/>
        <w:rPr>
          <w:sz w:val="18"/>
        </w:rPr>
      </w:pPr>
      <w:r>
        <w:rPr>
          <w:sz w:val="18"/>
          <w:vertAlign w:val="superscript"/>
        </w:rPr>
        <w:t>7</w:t>
      </w:r>
      <w:r>
        <w:rPr>
          <w:spacing w:val="-13"/>
          <w:sz w:val="18"/>
          <w:vertAlign w:val="baseline"/>
        </w:rPr>
        <w:t> </w:t>
      </w:r>
      <w:r>
        <w:rPr>
          <w:sz w:val="18"/>
          <w:vertAlign w:val="baseline"/>
        </w:rPr>
        <w:t>Alene</w:t>
      </w:r>
      <w:r>
        <w:rPr>
          <w:spacing w:val="-5"/>
          <w:sz w:val="18"/>
          <w:vertAlign w:val="baseline"/>
        </w:rPr>
        <w:t> </w:t>
      </w:r>
      <w:r>
        <w:rPr>
          <w:sz w:val="18"/>
          <w:vertAlign w:val="baseline"/>
        </w:rPr>
        <w:t>Bouranova,</w:t>
      </w:r>
      <w:r>
        <w:rPr>
          <w:spacing w:val="-3"/>
          <w:sz w:val="18"/>
          <w:vertAlign w:val="baseline"/>
        </w:rPr>
        <w:t> </w:t>
      </w:r>
      <w:r>
        <w:rPr>
          <w:sz w:val="18"/>
          <w:vertAlign w:val="baseline"/>
        </w:rPr>
        <w:t>“LGBTQIA+</w:t>
      </w:r>
      <w:r>
        <w:rPr>
          <w:spacing w:val="-2"/>
          <w:sz w:val="18"/>
          <w:vertAlign w:val="baseline"/>
        </w:rPr>
        <w:t> </w:t>
      </w:r>
      <w:r>
        <w:rPr>
          <w:sz w:val="18"/>
          <w:vertAlign w:val="baseline"/>
        </w:rPr>
        <w:t>BU</w:t>
      </w:r>
      <w:r>
        <w:rPr>
          <w:spacing w:val="-3"/>
          <w:sz w:val="18"/>
          <w:vertAlign w:val="baseline"/>
        </w:rPr>
        <w:t> </w:t>
      </w:r>
      <w:r>
        <w:rPr>
          <w:sz w:val="18"/>
          <w:vertAlign w:val="baseline"/>
        </w:rPr>
        <w:t>Student</w:t>
      </w:r>
      <w:r>
        <w:rPr>
          <w:spacing w:val="-3"/>
          <w:sz w:val="18"/>
          <w:vertAlign w:val="baseline"/>
        </w:rPr>
        <w:t> </w:t>
      </w:r>
      <w:r>
        <w:rPr>
          <w:sz w:val="18"/>
          <w:vertAlign w:val="baseline"/>
        </w:rPr>
        <w:t>Task</w:t>
      </w:r>
      <w:r>
        <w:rPr>
          <w:spacing w:val="-3"/>
          <w:sz w:val="18"/>
          <w:vertAlign w:val="baseline"/>
        </w:rPr>
        <w:t> </w:t>
      </w:r>
      <w:r>
        <w:rPr>
          <w:sz w:val="18"/>
          <w:vertAlign w:val="baseline"/>
        </w:rPr>
        <w:t>Force</w:t>
      </w:r>
      <w:r>
        <w:rPr>
          <w:spacing w:val="-2"/>
          <w:sz w:val="18"/>
          <w:vertAlign w:val="baseline"/>
        </w:rPr>
        <w:t> </w:t>
      </w:r>
      <w:r>
        <w:rPr>
          <w:sz w:val="18"/>
          <w:vertAlign w:val="baseline"/>
        </w:rPr>
        <w:t>Report</w:t>
      </w:r>
      <w:r>
        <w:rPr>
          <w:spacing w:val="-3"/>
          <w:sz w:val="18"/>
          <w:vertAlign w:val="baseline"/>
        </w:rPr>
        <w:t> </w:t>
      </w:r>
      <w:r>
        <w:rPr>
          <w:sz w:val="18"/>
          <w:vertAlign w:val="baseline"/>
        </w:rPr>
        <w:t>Makes</w:t>
      </w:r>
      <w:r>
        <w:rPr>
          <w:spacing w:val="-2"/>
          <w:sz w:val="18"/>
          <w:vertAlign w:val="baseline"/>
        </w:rPr>
        <w:t> </w:t>
      </w:r>
      <w:r>
        <w:rPr>
          <w:sz w:val="18"/>
          <w:vertAlign w:val="baseline"/>
        </w:rPr>
        <w:t>Recommendations</w:t>
      </w:r>
      <w:r>
        <w:rPr>
          <w:spacing w:val="-2"/>
          <w:sz w:val="18"/>
          <w:vertAlign w:val="baseline"/>
        </w:rPr>
        <w:t> </w:t>
      </w:r>
      <w:r>
        <w:rPr>
          <w:sz w:val="18"/>
          <w:vertAlign w:val="baseline"/>
        </w:rPr>
        <w:t>for</w:t>
      </w:r>
      <w:r>
        <w:rPr>
          <w:spacing w:val="-3"/>
          <w:sz w:val="18"/>
          <w:vertAlign w:val="baseline"/>
        </w:rPr>
        <w:t> </w:t>
      </w:r>
      <w:r>
        <w:rPr>
          <w:sz w:val="18"/>
          <w:vertAlign w:val="baseline"/>
        </w:rPr>
        <w:t>Achieving</w:t>
      </w:r>
      <w:r>
        <w:rPr>
          <w:spacing w:val="-2"/>
          <w:sz w:val="18"/>
          <w:vertAlign w:val="baseline"/>
        </w:rPr>
        <w:t> </w:t>
      </w:r>
      <w:r>
        <w:rPr>
          <w:sz w:val="18"/>
          <w:vertAlign w:val="baseline"/>
        </w:rPr>
        <w:t>a</w:t>
      </w:r>
      <w:r>
        <w:rPr>
          <w:spacing w:val="-2"/>
          <w:sz w:val="18"/>
          <w:vertAlign w:val="baseline"/>
        </w:rPr>
        <w:t> </w:t>
      </w:r>
      <w:r>
        <w:rPr>
          <w:sz w:val="18"/>
          <w:vertAlign w:val="baseline"/>
        </w:rPr>
        <w:t>More</w:t>
      </w:r>
      <w:r>
        <w:rPr>
          <w:spacing w:val="-2"/>
          <w:sz w:val="18"/>
          <w:vertAlign w:val="baseline"/>
        </w:rPr>
        <w:t> </w:t>
      </w:r>
      <w:r>
        <w:rPr>
          <w:sz w:val="18"/>
          <w:vertAlign w:val="baseline"/>
        </w:rPr>
        <w:t>Inclusive</w:t>
      </w:r>
      <w:r>
        <w:rPr>
          <w:spacing w:val="-2"/>
          <w:sz w:val="18"/>
          <w:vertAlign w:val="baseline"/>
        </w:rPr>
        <w:t> </w:t>
      </w:r>
      <w:r>
        <w:rPr>
          <w:sz w:val="18"/>
          <w:vertAlign w:val="baseline"/>
        </w:rPr>
        <w:t>BU,” Boston University, March 11, 2023, https://</w:t>
      </w:r>
      <w:hyperlink r:id="rId718">
        <w:r>
          <w:rPr>
            <w:sz w:val="18"/>
            <w:vertAlign w:val="baseline"/>
          </w:rPr>
          <w:t>www.bu.edu/articles/2023/lgbtqia-student-task-force-report-inclusive-bu/.</w:t>
        </w:r>
      </w:hyperlink>
    </w:p>
    <w:p>
      <w:pPr>
        <w:spacing w:before="0"/>
        <w:ind w:left="480" w:right="528" w:hanging="1"/>
        <w:jc w:val="left"/>
        <w:rPr>
          <w:sz w:val="18"/>
        </w:rPr>
      </w:pPr>
      <w:r>
        <w:rPr>
          <w:sz w:val="18"/>
          <w:vertAlign w:val="superscript"/>
        </w:rPr>
        <w:t>8</w:t>
      </w:r>
      <w:r>
        <w:rPr>
          <w:spacing w:val="-13"/>
          <w:sz w:val="18"/>
          <w:vertAlign w:val="baseline"/>
        </w:rPr>
        <w:t> </w:t>
      </w:r>
      <w:r>
        <w:rPr>
          <w:sz w:val="18"/>
          <w:vertAlign w:val="baseline"/>
        </w:rPr>
        <w:t>Alene</w:t>
      </w:r>
      <w:r>
        <w:rPr>
          <w:spacing w:val="-5"/>
          <w:sz w:val="18"/>
          <w:vertAlign w:val="baseline"/>
        </w:rPr>
        <w:t> </w:t>
      </w:r>
      <w:r>
        <w:rPr>
          <w:sz w:val="18"/>
          <w:vertAlign w:val="baseline"/>
        </w:rPr>
        <w:t>Bouranova,</w:t>
      </w:r>
      <w:r>
        <w:rPr>
          <w:spacing w:val="-4"/>
          <w:sz w:val="18"/>
          <w:vertAlign w:val="baseline"/>
        </w:rPr>
        <w:t> </w:t>
      </w:r>
      <w:r>
        <w:rPr>
          <w:sz w:val="18"/>
          <w:vertAlign w:val="baseline"/>
        </w:rPr>
        <w:t>“Boston</w:t>
      </w:r>
      <w:r>
        <w:rPr>
          <w:spacing w:val="-3"/>
          <w:sz w:val="18"/>
          <w:vertAlign w:val="baseline"/>
        </w:rPr>
        <w:t> </w:t>
      </w:r>
      <w:r>
        <w:rPr>
          <w:sz w:val="18"/>
          <w:vertAlign w:val="baseline"/>
        </w:rPr>
        <w:t>University</w:t>
      </w:r>
      <w:r>
        <w:rPr>
          <w:spacing w:val="-3"/>
          <w:sz w:val="18"/>
          <w:vertAlign w:val="baseline"/>
        </w:rPr>
        <w:t> </w:t>
      </w:r>
      <w:r>
        <w:rPr>
          <w:sz w:val="18"/>
          <w:vertAlign w:val="baseline"/>
        </w:rPr>
        <w:t>to</w:t>
      </w:r>
      <w:r>
        <w:rPr>
          <w:spacing w:val="-3"/>
          <w:sz w:val="18"/>
          <w:vertAlign w:val="baseline"/>
        </w:rPr>
        <w:t> </w:t>
      </w:r>
      <w:r>
        <w:rPr>
          <w:sz w:val="18"/>
          <w:vertAlign w:val="baseline"/>
        </w:rPr>
        <w:t>Open</w:t>
      </w:r>
      <w:r>
        <w:rPr>
          <w:spacing w:val="-3"/>
          <w:sz w:val="18"/>
          <w:vertAlign w:val="baseline"/>
        </w:rPr>
        <w:t> </w:t>
      </w:r>
      <w:r>
        <w:rPr>
          <w:sz w:val="18"/>
          <w:vertAlign w:val="baseline"/>
        </w:rPr>
        <w:t>New</w:t>
      </w:r>
      <w:r>
        <w:rPr>
          <w:spacing w:val="-4"/>
          <w:sz w:val="18"/>
          <w:vertAlign w:val="baseline"/>
        </w:rPr>
        <w:t> </w:t>
      </w:r>
      <w:r>
        <w:rPr>
          <w:sz w:val="18"/>
          <w:vertAlign w:val="baseline"/>
        </w:rPr>
        <w:t>LGBTQIA+</w:t>
      </w:r>
      <w:r>
        <w:rPr>
          <w:spacing w:val="-3"/>
          <w:sz w:val="18"/>
          <w:vertAlign w:val="baseline"/>
        </w:rPr>
        <w:t> </w:t>
      </w:r>
      <w:r>
        <w:rPr>
          <w:sz w:val="18"/>
          <w:vertAlign w:val="baseline"/>
        </w:rPr>
        <w:t>Student</w:t>
      </w:r>
      <w:r>
        <w:rPr>
          <w:spacing w:val="-4"/>
          <w:sz w:val="18"/>
          <w:vertAlign w:val="baseline"/>
        </w:rPr>
        <w:t> </w:t>
      </w:r>
      <w:r>
        <w:rPr>
          <w:sz w:val="18"/>
          <w:vertAlign w:val="baseline"/>
        </w:rPr>
        <w:t>Resource</w:t>
      </w:r>
      <w:r>
        <w:rPr>
          <w:spacing w:val="-4"/>
          <w:sz w:val="18"/>
          <w:vertAlign w:val="baseline"/>
        </w:rPr>
        <w:t> </w:t>
      </w:r>
      <w:r>
        <w:rPr>
          <w:sz w:val="18"/>
          <w:vertAlign w:val="baseline"/>
        </w:rPr>
        <w:t>Center,”</w:t>
      </w:r>
      <w:r>
        <w:rPr>
          <w:spacing w:val="-3"/>
          <w:sz w:val="18"/>
          <w:vertAlign w:val="baseline"/>
        </w:rPr>
        <w:t> </w:t>
      </w:r>
      <w:r>
        <w:rPr>
          <w:sz w:val="18"/>
          <w:vertAlign w:val="baseline"/>
        </w:rPr>
        <w:t>Boston</w:t>
      </w:r>
      <w:r>
        <w:rPr>
          <w:spacing w:val="-4"/>
          <w:sz w:val="18"/>
          <w:vertAlign w:val="baseline"/>
        </w:rPr>
        <w:t> </w:t>
      </w:r>
      <w:r>
        <w:rPr>
          <w:sz w:val="18"/>
          <w:vertAlign w:val="baseline"/>
        </w:rPr>
        <w:t>University,</w:t>
      </w:r>
      <w:r>
        <w:rPr>
          <w:spacing w:val="-4"/>
          <w:sz w:val="18"/>
          <w:vertAlign w:val="baseline"/>
        </w:rPr>
        <w:t> </w:t>
      </w:r>
      <w:r>
        <w:rPr>
          <w:sz w:val="18"/>
          <w:vertAlign w:val="baseline"/>
        </w:rPr>
        <w:t>February</w:t>
      </w:r>
      <w:r>
        <w:rPr>
          <w:spacing w:val="-3"/>
          <w:sz w:val="18"/>
          <w:vertAlign w:val="baseline"/>
        </w:rPr>
        <w:t> </w:t>
      </w:r>
      <w:r>
        <w:rPr>
          <w:sz w:val="18"/>
          <w:vertAlign w:val="baseline"/>
        </w:rPr>
        <w:t>23, 2023,</w:t>
      </w:r>
      <w:r>
        <w:rPr>
          <w:spacing w:val="-2"/>
          <w:sz w:val="18"/>
          <w:vertAlign w:val="baseline"/>
        </w:rPr>
        <w:t> </w:t>
      </w:r>
      <w:r>
        <w:rPr>
          <w:sz w:val="18"/>
          <w:vertAlign w:val="baseline"/>
        </w:rPr>
        <w:t>https://</w:t>
      </w:r>
      <w:hyperlink r:id="rId719">
        <w:r>
          <w:rPr>
            <w:sz w:val="18"/>
            <w:vertAlign w:val="baseline"/>
          </w:rPr>
          <w:t>www.bu.edu/articles/2023/boston-university-new-lgbtqia-student-resource-center/.</w:t>
        </w:r>
      </w:hyperlink>
    </w:p>
    <w:p>
      <w:pPr>
        <w:spacing w:after="0"/>
        <w:jc w:val="left"/>
        <w:rPr>
          <w:sz w:val="18"/>
        </w:rPr>
        <w:sectPr>
          <w:pgSz w:w="12240" w:h="15840"/>
          <w:pgMar w:header="804" w:footer="1196" w:top="1000" w:bottom="1460" w:left="960" w:right="1100"/>
        </w:sectPr>
      </w:pPr>
    </w:p>
    <w:p>
      <w:pPr>
        <w:pStyle w:val="Heading7"/>
        <w:spacing w:before="378"/>
        <w:jc w:val="both"/>
      </w:pPr>
      <w:bookmarkStart w:name="_bookmark626" w:id="933"/>
      <w:bookmarkEnd w:id="933"/>
      <w:r>
        <w:rPr/>
      </w:r>
      <w:hyperlink w:history="true" w:anchor="_bookmark6">
        <w:r>
          <w:rPr>
            <w:color w:val="365F91"/>
            <w:spacing w:val="-8"/>
          </w:rPr>
          <w:t>Executive</w:t>
        </w:r>
        <w:r>
          <w:rPr>
            <w:color w:val="365F91"/>
            <w:spacing w:val="-13"/>
          </w:rPr>
          <w:t> </w:t>
        </w:r>
        <w:r>
          <w:rPr>
            <w:color w:val="365F91"/>
            <w:spacing w:val="-8"/>
          </w:rPr>
          <w:t>Office</w:t>
        </w:r>
        <w:r>
          <w:rPr>
            <w:color w:val="365F91"/>
            <w:spacing w:val="-13"/>
          </w:rPr>
          <w:t> </w:t>
        </w:r>
        <w:r>
          <w:rPr>
            <w:color w:val="365F91"/>
            <w:spacing w:val="-8"/>
          </w:rPr>
          <w:t>of</w:t>
        </w:r>
        <w:r>
          <w:rPr>
            <w:color w:val="365F91"/>
            <w:spacing w:val="-12"/>
          </w:rPr>
          <w:t> </w:t>
        </w:r>
        <w:r>
          <w:rPr>
            <w:color w:val="365F91"/>
            <w:spacing w:val="-8"/>
          </w:rPr>
          <w:t>Health</w:t>
        </w:r>
        <w:r>
          <w:rPr>
            <w:color w:val="365F91"/>
            <w:spacing w:val="-13"/>
          </w:rPr>
          <w:t> </w:t>
        </w:r>
        <w:r>
          <w:rPr>
            <w:color w:val="365F91"/>
            <w:spacing w:val="-8"/>
          </w:rPr>
          <w:t>and</w:t>
        </w:r>
        <w:r>
          <w:rPr>
            <w:color w:val="365F91"/>
            <w:spacing w:val="-12"/>
          </w:rPr>
          <w:t> </w:t>
        </w:r>
        <w:r>
          <w:rPr>
            <w:color w:val="365F91"/>
            <w:spacing w:val="-8"/>
          </w:rPr>
          <w:t>Human</w:t>
        </w:r>
        <w:r>
          <w:rPr>
            <w:color w:val="365F91"/>
            <w:spacing w:val="-13"/>
          </w:rPr>
          <w:t> </w:t>
        </w:r>
        <w:r>
          <w:rPr>
            <w:color w:val="365F91"/>
            <w:spacing w:val="-8"/>
          </w:rPr>
          <w:t>Services</w:t>
        </w:r>
      </w:hyperlink>
    </w:p>
    <w:p>
      <w:pPr>
        <w:pStyle w:val="BodyText"/>
        <w:spacing w:line="276" w:lineRule="auto" w:before="382"/>
        <w:ind w:left="483" w:right="337"/>
        <w:jc w:val="both"/>
      </w:pPr>
      <w:r>
        <w:rPr>
          <w:spacing w:val="-4"/>
        </w:rPr>
        <w:t>In</w:t>
      </w:r>
      <w:r>
        <w:rPr>
          <w:spacing w:val="-6"/>
        </w:rPr>
        <w:t> </w:t>
      </w:r>
      <w:r>
        <w:rPr>
          <w:spacing w:val="-4"/>
        </w:rPr>
        <w:t>FY</w:t>
      </w:r>
      <w:r>
        <w:rPr>
          <w:spacing w:val="-6"/>
        </w:rPr>
        <w:t> </w:t>
      </w:r>
      <w:r>
        <w:rPr>
          <w:spacing w:val="-4"/>
        </w:rPr>
        <w:t>2017, the</w:t>
      </w:r>
      <w:r>
        <w:rPr>
          <w:spacing w:val="-6"/>
        </w:rPr>
        <w:t> </w:t>
      </w:r>
      <w:r>
        <w:rPr>
          <w:spacing w:val="-4"/>
        </w:rPr>
        <w:t>Executive</w:t>
      </w:r>
      <w:r>
        <w:rPr>
          <w:spacing w:val="-6"/>
        </w:rPr>
        <w:t> </w:t>
      </w:r>
      <w:r>
        <w:rPr>
          <w:spacing w:val="-4"/>
        </w:rPr>
        <w:t>Office</w:t>
      </w:r>
      <w:r>
        <w:rPr>
          <w:spacing w:val="-6"/>
        </w:rPr>
        <w:t> </w:t>
      </w:r>
      <w:r>
        <w:rPr>
          <w:spacing w:val="-4"/>
        </w:rPr>
        <w:t>of</w:t>
      </w:r>
      <w:r>
        <w:rPr>
          <w:spacing w:val="-6"/>
        </w:rPr>
        <w:t> </w:t>
      </w:r>
      <w:r>
        <w:rPr>
          <w:spacing w:val="-4"/>
        </w:rPr>
        <w:t>Health</w:t>
      </w:r>
      <w:r>
        <w:rPr>
          <w:spacing w:val="-6"/>
        </w:rPr>
        <w:t> </w:t>
      </w:r>
      <w:r>
        <w:rPr>
          <w:spacing w:val="-4"/>
        </w:rPr>
        <w:t>and</w:t>
      </w:r>
      <w:r>
        <w:rPr>
          <w:spacing w:val="-6"/>
        </w:rPr>
        <w:t> </w:t>
      </w:r>
      <w:r>
        <w:rPr>
          <w:spacing w:val="-4"/>
        </w:rPr>
        <w:t>Human</w:t>
      </w:r>
      <w:r>
        <w:rPr>
          <w:spacing w:val="-6"/>
        </w:rPr>
        <w:t> </w:t>
      </w:r>
      <w:r>
        <w:rPr>
          <w:spacing w:val="-4"/>
        </w:rPr>
        <w:t>Services</w:t>
      </w:r>
      <w:r>
        <w:rPr>
          <w:spacing w:val="-6"/>
        </w:rPr>
        <w:t> </w:t>
      </w:r>
      <w:r>
        <w:rPr>
          <w:spacing w:val="-4"/>
        </w:rPr>
        <w:t>(EOHHS)</w:t>
      </w:r>
      <w:r>
        <w:rPr>
          <w:spacing w:val="-6"/>
        </w:rPr>
        <w:t> </w:t>
      </w:r>
      <w:r>
        <w:rPr>
          <w:spacing w:val="-4"/>
        </w:rPr>
        <w:t>formed</w:t>
      </w:r>
      <w:r>
        <w:rPr>
          <w:spacing w:val="-6"/>
        </w:rPr>
        <w:t> </w:t>
      </w:r>
      <w:r>
        <w:rPr>
          <w:spacing w:val="-4"/>
        </w:rPr>
        <w:t>an</w:t>
      </w:r>
      <w:r>
        <w:rPr>
          <w:spacing w:val="-6"/>
        </w:rPr>
        <w:t> </w:t>
      </w:r>
      <w:r>
        <w:rPr>
          <w:spacing w:val="-4"/>
        </w:rPr>
        <w:t>interagency</w:t>
      </w:r>
      <w:r>
        <w:rPr>
          <w:spacing w:val="-6"/>
        </w:rPr>
        <w:t> </w:t>
      </w:r>
      <w:r>
        <w:rPr>
          <w:spacing w:val="-4"/>
        </w:rPr>
        <w:t>committee</w:t>
      </w:r>
      <w:r>
        <w:rPr>
          <w:spacing w:val="-6"/>
        </w:rPr>
        <w:t> </w:t>
      </w:r>
      <w:r>
        <w:rPr>
          <w:spacing w:val="-4"/>
        </w:rPr>
        <w:t>on LGBTQ</w:t>
      </w:r>
      <w:r>
        <w:rPr>
          <w:spacing w:val="-6"/>
        </w:rPr>
        <w:t> </w:t>
      </w:r>
      <w:r>
        <w:rPr>
          <w:spacing w:val="-4"/>
        </w:rPr>
        <w:t>youth</w:t>
      </w:r>
      <w:r>
        <w:rPr>
          <w:spacing w:val="-5"/>
        </w:rPr>
        <w:t> </w:t>
      </w:r>
      <w:r>
        <w:rPr>
          <w:spacing w:val="-4"/>
        </w:rPr>
        <w:t>issues co-chaired</w:t>
      </w:r>
      <w:r>
        <w:rPr>
          <w:spacing w:val="-5"/>
        </w:rPr>
        <w:t> </w:t>
      </w:r>
      <w:r>
        <w:rPr>
          <w:spacing w:val="-4"/>
        </w:rPr>
        <w:t>by</w:t>
      </w:r>
      <w:r>
        <w:rPr>
          <w:spacing w:val="-6"/>
        </w:rPr>
        <w:t> </w:t>
      </w:r>
      <w:r>
        <w:rPr>
          <w:spacing w:val="-4"/>
        </w:rPr>
        <w:t>the</w:t>
      </w:r>
      <w:r>
        <w:rPr>
          <w:spacing w:val="-5"/>
        </w:rPr>
        <w:t> </w:t>
      </w:r>
      <w:r>
        <w:rPr>
          <w:spacing w:val="-4"/>
        </w:rPr>
        <w:t>Commission.</w:t>
      </w:r>
      <w:r>
        <w:rPr>
          <w:spacing w:val="-5"/>
        </w:rPr>
        <w:t> </w:t>
      </w:r>
      <w:r>
        <w:rPr>
          <w:spacing w:val="-4"/>
        </w:rPr>
        <w:t>The</w:t>
      </w:r>
      <w:r>
        <w:rPr>
          <w:spacing w:val="-6"/>
        </w:rPr>
        <w:t> </w:t>
      </w:r>
      <w:r>
        <w:rPr>
          <w:spacing w:val="-4"/>
        </w:rPr>
        <w:t>Commission</w:t>
      </w:r>
      <w:r>
        <w:rPr>
          <w:spacing w:val="-5"/>
        </w:rPr>
        <w:t> </w:t>
      </w:r>
      <w:r>
        <w:rPr>
          <w:spacing w:val="-4"/>
        </w:rPr>
        <w:t>appreciates the</w:t>
      </w:r>
      <w:r>
        <w:rPr>
          <w:spacing w:val="-6"/>
        </w:rPr>
        <w:t> </w:t>
      </w:r>
      <w:r>
        <w:rPr>
          <w:spacing w:val="-4"/>
        </w:rPr>
        <w:t>frequent</w:t>
      </w:r>
      <w:r>
        <w:rPr>
          <w:spacing w:val="-6"/>
        </w:rPr>
        <w:t> </w:t>
      </w:r>
      <w:r>
        <w:rPr>
          <w:spacing w:val="-4"/>
        </w:rPr>
        <w:t>and thoughtful </w:t>
      </w:r>
      <w:r>
        <w:rPr>
          <w:spacing w:val="-6"/>
        </w:rPr>
        <w:t>collaboration</w:t>
      </w:r>
      <w:r>
        <w:rPr>
          <w:spacing w:val="-3"/>
        </w:rPr>
        <w:t> </w:t>
      </w:r>
      <w:r>
        <w:rPr>
          <w:spacing w:val="-6"/>
        </w:rPr>
        <w:t>with staff of agencies within</w:t>
      </w:r>
      <w:r>
        <w:rPr>
          <w:spacing w:val="-4"/>
        </w:rPr>
        <w:t> </w:t>
      </w:r>
      <w:r>
        <w:rPr>
          <w:spacing w:val="-6"/>
        </w:rPr>
        <w:t>EOHHS, including</w:t>
      </w:r>
      <w:r>
        <w:rPr>
          <w:spacing w:val="-4"/>
        </w:rPr>
        <w:t> </w:t>
      </w:r>
      <w:r>
        <w:rPr>
          <w:spacing w:val="-6"/>
        </w:rPr>
        <w:t>taking</w:t>
      </w:r>
      <w:r>
        <w:rPr>
          <w:spacing w:val="-4"/>
        </w:rPr>
        <w:t> </w:t>
      </w:r>
      <w:r>
        <w:rPr>
          <w:spacing w:val="-6"/>
        </w:rPr>
        <w:t>a</w:t>
      </w:r>
      <w:r>
        <w:rPr>
          <w:spacing w:val="-4"/>
        </w:rPr>
        <w:t> </w:t>
      </w:r>
      <w:r>
        <w:rPr>
          <w:spacing w:val="-6"/>
        </w:rPr>
        <w:t>coordinated</w:t>
      </w:r>
      <w:r>
        <w:rPr>
          <w:spacing w:val="-4"/>
        </w:rPr>
        <w:t> </w:t>
      </w:r>
      <w:r>
        <w:rPr>
          <w:spacing w:val="-6"/>
        </w:rPr>
        <w:t>and collaborative approach</w:t>
      </w:r>
      <w:r>
        <w:rPr>
          <w:spacing w:val="-4"/>
        </w:rPr>
        <w:t> </w:t>
      </w:r>
      <w:r>
        <w:rPr>
          <w:spacing w:val="-6"/>
        </w:rPr>
        <w:t>to </w:t>
      </w:r>
      <w:r>
        <w:rPr>
          <w:spacing w:val="-4"/>
        </w:rPr>
        <w:t>addressing</w:t>
      </w:r>
      <w:r>
        <w:rPr>
          <w:spacing w:val="-14"/>
        </w:rPr>
        <w:t> </w:t>
      </w:r>
      <w:r>
        <w:rPr>
          <w:spacing w:val="-4"/>
        </w:rPr>
        <w:t>the</w:t>
      </w:r>
      <w:r>
        <w:rPr>
          <w:spacing w:val="-14"/>
        </w:rPr>
        <w:t> </w:t>
      </w:r>
      <w:r>
        <w:rPr>
          <w:spacing w:val="-4"/>
        </w:rPr>
        <w:t>recommendations</w:t>
      </w:r>
      <w:r>
        <w:rPr>
          <w:spacing w:val="-14"/>
        </w:rPr>
        <w:t> </w:t>
      </w:r>
      <w:r>
        <w:rPr>
          <w:spacing w:val="-4"/>
        </w:rPr>
        <w:t>presented</w:t>
      </w:r>
      <w:r>
        <w:rPr>
          <w:spacing w:val="-14"/>
        </w:rPr>
        <w:t> </w:t>
      </w:r>
      <w:r>
        <w:rPr>
          <w:spacing w:val="-4"/>
        </w:rPr>
        <w:t>by</w:t>
      </w:r>
      <w:r>
        <w:rPr>
          <w:spacing w:val="-14"/>
        </w:rPr>
        <w:t> </w:t>
      </w:r>
      <w:r>
        <w:rPr>
          <w:spacing w:val="-4"/>
        </w:rPr>
        <w:t>the</w:t>
      </w:r>
      <w:r>
        <w:rPr>
          <w:spacing w:val="-16"/>
        </w:rPr>
        <w:t> </w:t>
      </w:r>
      <w:r>
        <w:rPr>
          <w:spacing w:val="-4"/>
        </w:rPr>
        <w:t>Commission</w:t>
      </w:r>
      <w:r>
        <w:rPr>
          <w:spacing w:val="-14"/>
        </w:rPr>
        <w:t> </w:t>
      </w:r>
      <w:r>
        <w:rPr>
          <w:spacing w:val="-4"/>
        </w:rPr>
        <w:t>to</w:t>
      </w:r>
      <w:r>
        <w:rPr>
          <w:spacing w:val="-14"/>
        </w:rPr>
        <w:t> </w:t>
      </w:r>
      <w:r>
        <w:rPr>
          <w:spacing w:val="-4"/>
        </w:rPr>
        <w:t>EOHHS</w:t>
      </w:r>
      <w:r>
        <w:rPr>
          <w:spacing w:val="-13"/>
        </w:rPr>
        <w:t> </w:t>
      </w:r>
      <w:r>
        <w:rPr>
          <w:spacing w:val="-4"/>
        </w:rPr>
        <w:t>agencies.</w:t>
      </w:r>
    </w:p>
    <w:p>
      <w:pPr>
        <w:pStyle w:val="BodyText"/>
        <w:spacing w:before="40"/>
      </w:pPr>
    </w:p>
    <w:p>
      <w:pPr>
        <w:pStyle w:val="BodyText"/>
        <w:spacing w:line="276" w:lineRule="auto"/>
        <w:ind w:left="483" w:right="335"/>
        <w:jc w:val="both"/>
      </w:pPr>
      <w:r>
        <w:rPr>
          <w:spacing w:val="-6"/>
        </w:rPr>
        <w:t>The</w:t>
      </w:r>
      <w:r>
        <w:rPr>
          <w:spacing w:val="-2"/>
        </w:rPr>
        <w:t> </w:t>
      </w:r>
      <w:r>
        <w:rPr>
          <w:spacing w:val="-6"/>
        </w:rPr>
        <w:t>EOHHS interagency</w:t>
      </w:r>
      <w:r>
        <w:rPr>
          <w:spacing w:val="-2"/>
        </w:rPr>
        <w:t> </w:t>
      </w:r>
      <w:r>
        <w:rPr>
          <w:spacing w:val="-6"/>
        </w:rPr>
        <w:t>committee,</w:t>
      </w:r>
      <w:r>
        <w:rPr>
          <w:spacing w:val="-2"/>
        </w:rPr>
        <w:t> </w:t>
      </w:r>
      <w:r>
        <w:rPr>
          <w:spacing w:val="-6"/>
        </w:rPr>
        <w:t>which the Commission hopes will be a</w:t>
      </w:r>
      <w:r>
        <w:rPr>
          <w:spacing w:val="-2"/>
        </w:rPr>
        <w:t> </w:t>
      </w:r>
      <w:r>
        <w:rPr>
          <w:spacing w:val="-6"/>
        </w:rPr>
        <w:t>model for other</w:t>
      </w:r>
      <w:r>
        <w:rPr>
          <w:spacing w:val="-2"/>
        </w:rPr>
        <w:t> </w:t>
      </w:r>
      <w:r>
        <w:rPr>
          <w:spacing w:val="-6"/>
        </w:rPr>
        <w:t>executive</w:t>
      </w:r>
      <w:r>
        <w:rPr/>
        <w:t> </w:t>
      </w:r>
      <w:r>
        <w:rPr>
          <w:spacing w:val="-6"/>
        </w:rPr>
        <w:t>offices, is </w:t>
      </w:r>
      <w:r>
        <w:rPr>
          <w:spacing w:val="-10"/>
        </w:rPr>
        <w:t>comprised</w:t>
      </w:r>
      <w:r>
        <w:rPr/>
        <w:t> </w:t>
      </w:r>
      <w:r>
        <w:rPr>
          <w:spacing w:val="-10"/>
        </w:rPr>
        <w:t>of</w:t>
      </w:r>
      <w:r>
        <w:rPr/>
        <w:t> </w:t>
      </w:r>
      <w:r>
        <w:rPr>
          <w:spacing w:val="-10"/>
        </w:rPr>
        <w:t>representatives</w:t>
      </w:r>
      <w:r>
        <w:rPr>
          <w:spacing w:val="5"/>
        </w:rPr>
        <w:t> </w:t>
      </w:r>
      <w:r>
        <w:rPr>
          <w:spacing w:val="-10"/>
        </w:rPr>
        <w:t>from</w:t>
      </w:r>
      <w:r>
        <w:rPr/>
        <w:t> </w:t>
      </w:r>
      <w:r>
        <w:rPr>
          <w:spacing w:val="-10"/>
        </w:rPr>
        <w:t>each</w:t>
      </w:r>
      <w:r>
        <w:rPr/>
        <w:t> </w:t>
      </w:r>
      <w:r>
        <w:rPr>
          <w:spacing w:val="-10"/>
        </w:rPr>
        <w:t>of</w:t>
      </w:r>
      <w:r>
        <w:rPr/>
        <w:t> </w:t>
      </w:r>
      <w:r>
        <w:rPr>
          <w:spacing w:val="-10"/>
        </w:rPr>
        <w:t>the</w:t>
      </w:r>
      <w:r>
        <w:rPr/>
        <w:t> </w:t>
      </w:r>
      <w:r>
        <w:rPr>
          <w:spacing w:val="-10"/>
        </w:rPr>
        <w:t>relevant</w:t>
      </w:r>
      <w:r>
        <w:rPr/>
        <w:t> </w:t>
      </w:r>
      <w:r>
        <w:rPr>
          <w:spacing w:val="-10"/>
        </w:rPr>
        <w:t>EOHHS</w:t>
      </w:r>
      <w:r>
        <w:rPr/>
        <w:t> </w:t>
      </w:r>
      <w:r>
        <w:rPr>
          <w:spacing w:val="-10"/>
        </w:rPr>
        <w:t>agencies.</w:t>
      </w:r>
      <w:r>
        <w:rPr/>
        <w:t> </w:t>
      </w:r>
      <w:r>
        <w:rPr>
          <w:spacing w:val="-10"/>
        </w:rPr>
        <w:t>These</w:t>
      </w:r>
      <w:r>
        <w:rPr/>
        <w:t> </w:t>
      </w:r>
      <w:r>
        <w:rPr>
          <w:spacing w:val="-10"/>
        </w:rPr>
        <w:t>representatives</w:t>
      </w:r>
      <w:r>
        <w:rPr/>
        <w:t> </w:t>
      </w:r>
      <w:r>
        <w:rPr>
          <w:spacing w:val="-10"/>
        </w:rPr>
        <w:t>have</w:t>
      </w:r>
      <w:r>
        <w:rPr/>
        <w:t> </w:t>
      </w:r>
      <w:r>
        <w:rPr>
          <w:spacing w:val="-10"/>
        </w:rPr>
        <w:t>met</w:t>
      </w:r>
      <w:r>
        <w:rPr/>
        <w:t> </w:t>
      </w:r>
      <w:r>
        <w:rPr>
          <w:spacing w:val="-10"/>
        </w:rPr>
        <w:t>regularly</w:t>
      </w:r>
      <w:r>
        <w:rPr/>
        <w:t> since the end of FY 2022 to discuss their individual recommendations from the Commission, the many </w:t>
      </w:r>
      <w:r>
        <w:rPr>
          <w:spacing w:val="-8"/>
        </w:rPr>
        <w:t>commonalities,</w:t>
      </w:r>
      <w:r>
        <w:rPr>
          <w:spacing w:val="-5"/>
        </w:rPr>
        <w:t> </w:t>
      </w:r>
      <w:r>
        <w:rPr>
          <w:spacing w:val="-8"/>
        </w:rPr>
        <w:t>and</w:t>
      </w:r>
      <w:r>
        <w:rPr>
          <w:spacing w:val="-3"/>
        </w:rPr>
        <w:t> </w:t>
      </w:r>
      <w:r>
        <w:rPr>
          <w:spacing w:val="-8"/>
        </w:rPr>
        <w:t>how</w:t>
      </w:r>
      <w:r>
        <w:rPr>
          <w:spacing w:val="-3"/>
        </w:rPr>
        <w:t> </w:t>
      </w:r>
      <w:r>
        <w:rPr>
          <w:spacing w:val="-8"/>
        </w:rPr>
        <w:t>they</w:t>
      </w:r>
      <w:r>
        <w:rPr>
          <w:spacing w:val="-4"/>
        </w:rPr>
        <w:t> </w:t>
      </w:r>
      <w:r>
        <w:rPr>
          <w:spacing w:val="-8"/>
        </w:rPr>
        <w:t>can</w:t>
      </w:r>
      <w:r>
        <w:rPr>
          <w:spacing w:val="-5"/>
        </w:rPr>
        <w:t> </w:t>
      </w:r>
      <w:r>
        <w:rPr>
          <w:spacing w:val="-8"/>
        </w:rPr>
        <w:t>best</w:t>
      </w:r>
      <w:r>
        <w:rPr>
          <w:spacing w:val="-3"/>
        </w:rPr>
        <w:t> </w:t>
      </w:r>
      <w:r>
        <w:rPr>
          <w:spacing w:val="-8"/>
        </w:rPr>
        <w:t>work</w:t>
      </w:r>
      <w:r>
        <w:rPr>
          <w:spacing w:val="-5"/>
        </w:rPr>
        <w:t> </w:t>
      </w:r>
      <w:r>
        <w:rPr>
          <w:spacing w:val="-8"/>
        </w:rPr>
        <w:t>together</w:t>
      </w:r>
      <w:r>
        <w:rPr>
          <w:spacing w:val="-3"/>
        </w:rPr>
        <w:t> </w:t>
      </w:r>
      <w:r>
        <w:rPr>
          <w:spacing w:val="-8"/>
        </w:rPr>
        <w:t>to</w:t>
      </w:r>
      <w:r>
        <w:rPr>
          <w:spacing w:val="-3"/>
        </w:rPr>
        <w:t> </w:t>
      </w:r>
      <w:r>
        <w:rPr>
          <w:spacing w:val="-8"/>
        </w:rPr>
        <w:t>effectively</w:t>
      </w:r>
      <w:r>
        <w:rPr>
          <w:spacing w:val="-4"/>
        </w:rPr>
        <w:t> </w:t>
      </w:r>
      <w:r>
        <w:rPr>
          <w:spacing w:val="-8"/>
        </w:rPr>
        <w:t>and</w:t>
      </w:r>
      <w:r>
        <w:rPr>
          <w:spacing w:val="-3"/>
        </w:rPr>
        <w:t> </w:t>
      </w:r>
      <w:r>
        <w:rPr>
          <w:spacing w:val="-8"/>
        </w:rPr>
        <w:t>efficiently</w:t>
      </w:r>
      <w:r>
        <w:rPr>
          <w:spacing w:val="-3"/>
        </w:rPr>
        <w:t> </w:t>
      </w:r>
      <w:r>
        <w:rPr>
          <w:spacing w:val="-8"/>
        </w:rPr>
        <w:t>achieve</w:t>
      </w:r>
      <w:r>
        <w:rPr>
          <w:spacing w:val="-5"/>
        </w:rPr>
        <w:t> </w:t>
      </w:r>
      <w:r>
        <w:rPr>
          <w:spacing w:val="-8"/>
        </w:rPr>
        <w:t>goals</w:t>
      </w:r>
      <w:r>
        <w:rPr>
          <w:spacing w:val="-3"/>
        </w:rPr>
        <w:t> </w:t>
      </w:r>
      <w:r>
        <w:rPr>
          <w:spacing w:val="-8"/>
        </w:rPr>
        <w:t>related</w:t>
      </w:r>
      <w:r>
        <w:rPr>
          <w:spacing w:val="-3"/>
        </w:rPr>
        <w:t> </w:t>
      </w:r>
      <w:r>
        <w:rPr>
          <w:spacing w:val="-8"/>
        </w:rPr>
        <w:t>to</w:t>
      </w:r>
      <w:r>
        <w:rPr>
          <w:spacing w:val="-4"/>
        </w:rPr>
        <w:t> </w:t>
      </w:r>
      <w:r>
        <w:rPr>
          <w:spacing w:val="-8"/>
        </w:rPr>
        <w:t>LGBTQ </w:t>
      </w:r>
      <w:r>
        <w:rPr>
          <w:spacing w:val="-2"/>
        </w:rPr>
        <w:t>youth.</w:t>
      </w:r>
    </w:p>
    <w:p>
      <w:pPr>
        <w:pStyle w:val="BodyText"/>
        <w:spacing w:before="40"/>
      </w:pPr>
    </w:p>
    <w:p>
      <w:pPr>
        <w:pStyle w:val="BodyText"/>
        <w:spacing w:line="276" w:lineRule="auto"/>
        <w:ind w:left="483" w:right="334" w:hanging="1"/>
        <w:jc w:val="both"/>
      </w:pPr>
      <w:r>
        <w:rPr>
          <w:spacing w:val="-8"/>
        </w:rPr>
        <w:t>This</w:t>
      </w:r>
      <w:r>
        <w:rPr/>
        <w:t> </w:t>
      </w:r>
      <w:r>
        <w:rPr>
          <w:spacing w:val="-8"/>
        </w:rPr>
        <w:t>interagency</w:t>
      </w:r>
      <w:r>
        <w:rPr>
          <w:spacing w:val="-1"/>
        </w:rPr>
        <w:t> </w:t>
      </w:r>
      <w:r>
        <w:rPr>
          <w:spacing w:val="-8"/>
        </w:rPr>
        <w:t>effort</w:t>
      </w:r>
      <w:r>
        <w:rPr>
          <w:spacing w:val="-1"/>
        </w:rPr>
        <w:t> </w:t>
      </w:r>
      <w:r>
        <w:rPr>
          <w:spacing w:val="-8"/>
        </w:rPr>
        <w:t>reached</w:t>
      </w:r>
      <w:r>
        <w:rPr>
          <w:spacing w:val="-1"/>
        </w:rPr>
        <w:t> </w:t>
      </w:r>
      <w:r>
        <w:rPr>
          <w:spacing w:val="-8"/>
        </w:rPr>
        <w:t>a</w:t>
      </w:r>
      <w:r>
        <w:rPr/>
        <w:t> </w:t>
      </w:r>
      <w:r>
        <w:rPr>
          <w:spacing w:val="-8"/>
        </w:rPr>
        <w:t>major</w:t>
      </w:r>
      <w:r>
        <w:rPr/>
        <w:t> </w:t>
      </w:r>
      <w:r>
        <w:rPr>
          <w:spacing w:val="-8"/>
        </w:rPr>
        <w:t>milestone</w:t>
      </w:r>
      <w:r>
        <w:rPr>
          <w:spacing w:val="-1"/>
        </w:rPr>
        <w:t> </w:t>
      </w:r>
      <w:r>
        <w:rPr>
          <w:spacing w:val="-8"/>
        </w:rPr>
        <w:t>in</w:t>
      </w:r>
      <w:r>
        <w:rPr/>
        <w:t> </w:t>
      </w:r>
      <w:r>
        <w:rPr>
          <w:spacing w:val="-8"/>
        </w:rPr>
        <w:t>November</w:t>
      </w:r>
      <w:r>
        <w:rPr/>
        <w:t> </w:t>
      </w:r>
      <w:r>
        <w:rPr>
          <w:spacing w:val="-8"/>
        </w:rPr>
        <w:t>2019</w:t>
      </w:r>
      <w:r>
        <w:rPr/>
        <w:t> </w:t>
      </w:r>
      <w:r>
        <w:rPr>
          <w:spacing w:val="-8"/>
        </w:rPr>
        <w:t>when</w:t>
      </w:r>
      <w:r>
        <w:rPr/>
        <w:t> </w:t>
      </w:r>
      <w:r>
        <w:rPr>
          <w:spacing w:val="-8"/>
        </w:rPr>
        <w:t>an</w:t>
      </w:r>
      <w:r>
        <w:rPr>
          <w:spacing w:val="-1"/>
        </w:rPr>
        <w:t> </w:t>
      </w:r>
      <w:r>
        <w:rPr>
          <w:spacing w:val="-8"/>
        </w:rPr>
        <w:t>LGBTQ</w:t>
      </w:r>
      <w:r>
        <w:rPr/>
        <w:t> </w:t>
      </w:r>
      <w:r>
        <w:rPr>
          <w:spacing w:val="-8"/>
        </w:rPr>
        <w:t>inclusion</w:t>
      </w:r>
      <w:r>
        <w:rPr/>
        <w:t> </w:t>
      </w:r>
      <w:r>
        <w:rPr>
          <w:spacing w:val="-8"/>
        </w:rPr>
        <w:t>training</w:t>
      </w:r>
      <w:r>
        <w:rPr>
          <w:spacing w:val="-2"/>
        </w:rPr>
        <w:t> </w:t>
      </w:r>
      <w:r>
        <w:rPr>
          <w:spacing w:val="-8"/>
        </w:rPr>
        <w:t>resource being</w:t>
      </w:r>
      <w:r>
        <w:rPr>
          <w:spacing w:val="-3"/>
        </w:rPr>
        <w:t> </w:t>
      </w:r>
      <w:r>
        <w:rPr>
          <w:spacing w:val="-8"/>
        </w:rPr>
        <w:t>developed</w:t>
      </w:r>
      <w:r>
        <w:rPr>
          <w:spacing w:val="-3"/>
        </w:rPr>
        <w:t> </w:t>
      </w:r>
      <w:r>
        <w:rPr>
          <w:spacing w:val="-8"/>
        </w:rPr>
        <w:t>by</w:t>
      </w:r>
      <w:r>
        <w:rPr>
          <w:spacing w:val="-3"/>
        </w:rPr>
        <w:t> </w:t>
      </w:r>
      <w:r>
        <w:rPr>
          <w:spacing w:val="-8"/>
        </w:rPr>
        <w:t>the</w:t>
      </w:r>
      <w:r>
        <w:rPr>
          <w:spacing w:val="-3"/>
        </w:rPr>
        <w:t> </w:t>
      </w:r>
      <w:r>
        <w:rPr>
          <w:spacing w:val="-8"/>
        </w:rPr>
        <w:t>group</w:t>
      </w:r>
      <w:r>
        <w:rPr>
          <w:spacing w:val="-4"/>
        </w:rPr>
        <w:t> </w:t>
      </w:r>
      <w:r>
        <w:rPr>
          <w:spacing w:val="-8"/>
        </w:rPr>
        <w:t>received</w:t>
      </w:r>
      <w:r>
        <w:rPr>
          <w:spacing w:val="-3"/>
        </w:rPr>
        <w:t> </w:t>
      </w:r>
      <w:r>
        <w:rPr>
          <w:spacing w:val="-8"/>
        </w:rPr>
        <w:t>the</w:t>
      </w:r>
      <w:r>
        <w:rPr>
          <w:spacing w:val="-3"/>
        </w:rPr>
        <w:t> </w:t>
      </w:r>
      <w:r>
        <w:rPr>
          <w:spacing w:val="-8"/>
        </w:rPr>
        <w:t>input</w:t>
      </w:r>
      <w:r>
        <w:rPr>
          <w:spacing w:val="-3"/>
        </w:rPr>
        <w:t> </w:t>
      </w:r>
      <w:r>
        <w:rPr>
          <w:spacing w:val="-8"/>
        </w:rPr>
        <w:t>and</w:t>
      </w:r>
      <w:r>
        <w:rPr>
          <w:spacing w:val="-3"/>
        </w:rPr>
        <w:t> </w:t>
      </w:r>
      <w:r>
        <w:rPr>
          <w:spacing w:val="-8"/>
        </w:rPr>
        <w:t>feedback</w:t>
      </w:r>
      <w:r>
        <w:rPr>
          <w:spacing w:val="-4"/>
        </w:rPr>
        <w:t> </w:t>
      </w:r>
      <w:r>
        <w:rPr>
          <w:spacing w:val="-8"/>
        </w:rPr>
        <w:t>of</w:t>
      </w:r>
      <w:r>
        <w:rPr>
          <w:spacing w:val="-3"/>
        </w:rPr>
        <w:t> </w:t>
      </w:r>
      <w:r>
        <w:rPr>
          <w:spacing w:val="-8"/>
        </w:rPr>
        <w:t>every</w:t>
      </w:r>
      <w:r>
        <w:rPr>
          <w:spacing w:val="-3"/>
        </w:rPr>
        <w:t> </w:t>
      </w:r>
      <w:r>
        <w:rPr>
          <w:spacing w:val="-8"/>
        </w:rPr>
        <w:t>agency</w:t>
      </w:r>
      <w:r>
        <w:rPr>
          <w:spacing w:val="-3"/>
        </w:rPr>
        <w:t> </w:t>
      </w:r>
      <w:r>
        <w:rPr>
          <w:spacing w:val="-8"/>
        </w:rPr>
        <w:t>in</w:t>
      </w:r>
      <w:r>
        <w:rPr>
          <w:spacing w:val="-1"/>
        </w:rPr>
        <w:t> </w:t>
      </w:r>
      <w:r>
        <w:rPr>
          <w:spacing w:val="-8"/>
        </w:rPr>
        <w:t>the</w:t>
      </w:r>
      <w:r>
        <w:rPr>
          <w:spacing w:val="-4"/>
        </w:rPr>
        <w:t> </w:t>
      </w:r>
      <w:r>
        <w:rPr>
          <w:spacing w:val="-8"/>
        </w:rPr>
        <w:t>secretariat.</w:t>
      </w:r>
      <w:r>
        <w:rPr>
          <w:spacing w:val="-1"/>
        </w:rPr>
        <w:t> </w:t>
      </w:r>
      <w:r>
        <w:rPr>
          <w:spacing w:val="-8"/>
        </w:rPr>
        <w:t>This</w:t>
      </w:r>
      <w:r>
        <w:rPr>
          <w:spacing w:val="-1"/>
        </w:rPr>
        <w:t> </w:t>
      </w:r>
      <w:r>
        <w:rPr>
          <w:spacing w:val="-8"/>
        </w:rPr>
        <w:t>resource</w:t>
      </w:r>
      <w:r>
        <w:rPr>
          <w:spacing w:val="-3"/>
        </w:rPr>
        <w:t> </w:t>
      </w:r>
      <w:r>
        <w:rPr>
          <w:spacing w:val="-8"/>
        </w:rPr>
        <w:t>is a</w:t>
      </w:r>
      <w:r>
        <w:rPr/>
        <w:t> </w:t>
      </w:r>
      <w:r>
        <w:rPr>
          <w:spacing w:val="-8"/>
        </w:rPr>
        <w:t>product</w:t>
      </w:r>
      <w:r>
        <w:rPr/>
        <w:t> </w:t>
      </w:r>
      <w:r>
        <w:rPr>
          <w:spacing w:val="-8"/>
        </w:rPr>
        <w:t>of</w:t>
      </w:r>
      <w:r>
        <w:rPr/>
        <w:t> </w:t>
      </w:r>
      <w:r>
        <w:rPr>
          <w:spacing w:val="-8"/>
        </w:rPr>
        <w:t>the</w:t>
      </w:r>
      <w:r>
        <w:rPr/>
        <w:t> </w:t>
      </w:r>
      <w:r>
        <w:rPr>
          <w:spacing w:val="-8"/>
        </w:rPr>
        <w:t>Commission,</w:t>
      </w:r>
      <w:r>
        <w:rPr/>
        <w:t> </w:t>
      </w:r>
      <w:r>
        <w:rPr>
          <w:spacing w:val="-8"/>
        </w:rPr>
        <w:t>through</w:t>
      </w:r>
      <w:r>
        <w:rPr/>
        <w:t> </w:t>
      </w:r>
      <w:r>
        <w:rPr>
          <w:spacing w:val="-8"/>
        </w:rPr>
        <w:t>a</w:t>
      </w:r>
      <w:r>
        <w:rPr/>
        <w:t> </w:t>
      </w:r>
      <w:r>
        <w:rPr>
          <w:spacing w:val="-8"/>
        </w:rPr>
        <w:t>collaboration</w:t>
      </w:r>
      <w:r>
        <w:rPr/>
        <w:t> </w:t>
      </w:r>
      <w:r>
        <w:rPr>
          <w:spacing w:val="-8"/>
        </w:rPr>
        <w:t>with</w:t>
      </w:r>
      <w:r>
        <w:rPr/>
        <w:t> </w:t>
      </w:r>
      <w:r>
        <w:rPr>
          <w:spacing w:val="-8"/>
        </w:rPr>
        <w:t>EOHHS,</w:t>
      </w:r>
      <w:r>
        <w:rPr/>
        <w:t> </w:t>
      </w:r>
      <w:r>
        <w:rPr>
          <w:spacing w:val="-8"/>
        </w:rPr>
        <w:t>which</w:t>
      </w:r>
      <w:r>
        <w:rPr/>
        <w:t> </w:t>
      </w:r>
      <w:r>
        <w:rPr>
          <w:spacing w:val="-8"/>
        </w:rPr>
        <w:t>offers</w:t>
      </w:r>
      <w:r>
        <w:rPr/>
        <w:t> </w:t>
      </w:r>
      <w:r>
        <w:rPr>
          <w:spacing w:val="-8"/>
        </w:rPr>
        <w:t>a</w:t>
      </w:r>
      <w:r>
        <w:rPr/>
        <w:t> </w:t>
      </w:r>
      <w:r>
        <w:rPr>
          <w:spacing w:val="-8"/>
        </w:rPr>
        <w:t>curriculum</w:t>
      </w:r>
      <w:r>
        <w:rPr/>
        <w:t> </w:t>
      </w:r>
      <w:r>
        <w:rPr>
          <w:spacing w:val="-8"/>
        </w:rPr>
        <w:t>for</w:t>
      </w:r>
      <w:r>
        <w:rPr/>
        <w:t> </w:t>
      </w:r>
      <w:r>
        <w:rPr>
          <w:spacing w:val="-8"/>
        </w:rPr>
        <w:t>agencies</w:t>
      </w:r>
      <w:r>
        <w:rPr/>
        <w:t> </w:t>
      </w:r>
      <w:r>
        <w:rPr>
          <w:spacing w:val="-8"/>
        </w:rPr>
        <w:t>to</w:t>
      </w:r>
      <w:r>
        <w:rPr/>
        <w:t> </w:t>
      </w:r>
      <w:r>
        <w:rPr>
          <w:spacing w:val="-8"/>
        </w:rPr>
        <w:t>use </w:t>
      </w:r>
      <w:r>
        <w:rPr>
          <w:spacing w:val="-4"/>
        </w:rPr>
        <w:t>in</w:t>
      </w:r>
      <w:r>
        <w:rPr>
          <w:spacing w:val="-5"/>
        </w:rPr>
        <w:t> </w:t>
      </w:r>
      <w:r>
        <w:rPr>
          <w:spacing w:val="-4"/>
        </w:rPr>
        <w:t>training their staff, contractors, and providers in the importance of LGBTQ</w:t>
      </w:r>
      <w:r>
        <w:rPr>
          <w:spacing w:val="-5"/>
        </w:rPr>
        <w:t> </w:t>
      </w:r>
      <w:r>
        <w:rPr>
          <w:spacing w:val="-4"/>
        </w:rPr>
        <w:t>inclusion.</w:t>
      </w:r>
      <w:r>
        <w:rPr>
          <w:spacing w:val="-5"/>
        </w:rPr>
        <w:t> </w:t>
      </w:r>
      <w:r>
        <w:rPr>
          <w:spacing w:val="-4"/>
        </w:rPr>
        <w:t>Since the product</w:t>
      </w:r>
      <w:r>
        <w:rPr>
          <w:spacing w:val="-5"/>
        </w:rPr>
        <w:t> </w:t>
      </w:r>
      <w:r>
        <w:rPr>
          <w:spacing w:val="-4"/>
        </w:rPr>
        <w:t>was </w:t>
      </w:r>
      <w:r>
        <w:rPr>
          <w:spacing w:val="-6"/>
        </w:rPr>
        <w:t>finalized</w:t>
      </w:r>
      <w:r>
        <w:rPr>
          <w:spacing w:val="-7"/>
        </w:rPr>
        <w:t> </w:t>
      </w:r>
      <w:r>
        <w:rPr>
          <w:spacing w:val="-6"/>
        </w:rPr>
        <w:t>and launched</w:t>
      </w:r>
      <w:r>
        <w:rPr>
          <w:spacing w:val="-7"/>
        </w:rPr>
        <w:t> </w:t>
      </w:r>
      <w:r>
        <w:rPr>
          <w:spacing w:val="-6"/>
        </w:rPr>
        <w:t>in the fall</w:t>
      </w:r>
      <w:r>
        <w:rPr>
          <w:spacing w:val="-7"/>
        </w:rPr>
        <w:t> </w:t>
      </w:r>
      <w:r>
        <w:rPr>
          <w:spacing w:val="-6"/>
        </w:rPr>
        <w:t>of FY 2023,</w:t>
      </w:r>
      <w:r>
        <w:rPr>
          <w:spacing w:val="-7"/>
        </w:rPr>
        <w:t> </w:t>
      </w:r>
      <w:r>
        <w:rPr>
          <w:spacing w:val="-6"/>
        </w:rPr>
        <w:t>the Commission</w:t>
      </w:r>
      <w:r>
        <w:rPr>
          <w:spacing w:val="-7"/>
        </w:rPr>
        <w:t> </w:t>
      </w:r>
      <w:r>
        <w:rPr>
          <w:spacing w:val="-6"/>
        </w:rPr>
        <w:t>and</w:t>
      </w:r>
      <w:r>
        <w:rPr>
          <w:spacing w:val="-5"/>
        </w:rPr>
        <w:t> </w:t>
      </w:r>
      <w:r>
        <w:rPr>
          <w:spacing w:val="-6"/>
        </w:rPr>
        <w:t>EOHHS agencies</w:t>
      </w:r>
      <w:r>
        <w:rPr>
          <w:spacing w:val="-5"/>
        </w:rPr>
        <w:t> </w:t>
      </w:r>
      <w:r>
        <w:rPr>
          <w:spacing w:val="-6"/>
        </w:rPr>
        <w:t>have worked to</w:t>
      </w:r>
      <w:r>
        <w:rPr>
          <w:spacing w:val="-7"/>
        </w:rPr>
        <w:t> </w:t>
      </w:r>
      <w:r>
        <w:rPr>
          <w:spacing w:val="-6"/>
        </w:rPr>
        <w:t>arrange</w:t>
      </w:r>
      <w:r>
        <w:rPr>
          <w:spacing w:val="-5"/>
        </w:rPr>
        <w:t> </w:t>
      </w:r>
      <w:r>
        <w:rPr>
          <w:spacing w:val="-6"/>
        </w:rPr>
        <w:t>both </w:t>
      </w:r>
      <w:r>
        <w:rPr/>
        <w:t>in-person</w:t>
      </w:r>
      <w:r>
        <w:rPr>
          <w:spacing w:val="-11"/>
        </w:rPr>
        <w:t> </w:t>
      </w:r>
      <w:r>
        <w:rPr/>
        <w:t>and</w:t>
      </w:r>
      <w:r>
        <w:rPr>
          <w:spacing w:val="-11"/>
        </w:rPr>
        <w:t> </w:t>
      </w:r>
      <w:r>
        <w:rPr/>
        <w:t>remote</w:t>
      </w:r>
      <w:r>
        <w:rPr>
          <w:spacing w:val="-11"/>
        </w:rPr>
        <w:t> </w:t>
      </w:r>
      <w:r>
        <w:rPr/>
        <w:t>trainings;</w:t>
      </w:r>
      <w:r>
        <w:rPr>
          <w:spacing w:val="-10"/>
        </w:rPr>
        <w:t> </w:t>
      </w:r>
      <w:r>
        <w:rPr/>
        <w:t>the</w:t>
      </w:r>
      <w:r>
        <w:rPr>
          <w:spacing w:val="-11"/>
        </w:rPr>
        <w:t> </w:t>
      </w:r>
      <w:r>
        <w:rPr/>
        <w:t>feedback</w:t>
      </w:r>
      <w:r>
        <w:rPr>
          <w:spacing w:val="-11"/>
        </w:rPr>
        <w:t> </w:t>
      </w:r>
      <w:r>
        <w:rPr/>
        <w:t>thus</w:t>
      </w:r>
      <w:r>
        <w:rPr>
          <w:spacing w:val="-11"/>
        </w:rPr>
        <w:t> </w:t>
      </w:r>
      <w:r>
        <w:rPr/>
        <w:t>far</w:t>
      </w:r>
      <w:r>
        <w:rPr>
          <w:spacing w:val="-11"/>
        </w:rPr>
        <w:t> </w:t>
      </w:r>
      <w:r>
        <w:rPr/>
        <w:t>has</w:t>
      </w:r>
      <w:r>
        <w:rPr>
          <w:spacing w:val="-9"/>
        </w:rPr>
        <w:t> </w:t>
      </w:r>
      <w:r>
        <w:rPr/>
        <w:t>been</w:t>
      </w:r>
      <w:r>
        <w:rPr>
          <w:spacing w:val="-11"/>
        </w:rPr>
        <w:t> </w:t>
      </w:r>
      <w:r>
        <w:rPr/>
        <w:t>overwhelmingly</w:t>
      </w:r>
      <w:r>
        <w:rPr>
          <w:spacing w:val="-10"/>
        </w:rPr>
        <w:t> </w:t>
      </w:r>
      <w:r>
        <w:rPr/>
        <w:t>positive.</w:t>
      </w:r>
      <w:r>
        <w:rPr>
          <w:spacing w:val="-11"/>
        </w:rPr>
        <w:t> </w:t>
      </w:r>
      <w:r>
        <w:rPr/>
        <w:t>The</w:t>
      </w:r>
      <w:r>
        <w:rPr>
          <w:spacing w:val="-10"/>
        </w:rPr>
        <w:t> </w:t>
      </w:r>
      <w:r>
        <w:rPr/>
        <w:t>Commission </w:t>
      </w:r>
      <w:r>
        <w:rPr>
          <w:spacing w:val="-10"/>
        </w:rPr>
        <w:t>encourages</w:t>
      </w:r>
      <w:r>
        <w:rPr/>
        <w:t> </w:t>
      </w:r>
      <w:r>
        <w:rPr>
          <w:spacing w:val="-10"/>
        </w:rPr>
        <w:t>EOHHS</w:t>
      </w:r>
      <w:r>
        <w:rPr/>
        <w:t> </w:t>
      </w:r>
      <w:r>
        <w:rPr>
          <w:spacing w:val="-10"/>
        </w:rPr>
        <w:t>to</w:t>
      </w:r>
      <w:r>
        <w:rPr/>
        <w:t> </w:t>
      </w:r>
      <w:r>
        <w:rPr>
          <w:spacing w:val="-10"/>
        </w:rPr>
        <w:t>continue</w:t>
      </w:r>
      <w:r>
        <w:rPr/>
        <w:t> </w:t>
      </w:r>
      <w:r>
        <w:rPr>
          <w:spacing w:val="-10"/>
        </w:rPr>
        <w:t>to</w:t>
      </w:r>
      <w:r>
        <w:rPr/>
        <w:t> </w:t>
      </w:r>
      <w:r>
        <w:rPr>
          <w:spacing w:val="-10"/>
        </w:rPr>
        <w:t>work</w:t>
      </w:r>
      <w:r>
        <w:rPr/>
        <w:t> </w:t>
      </w:r>
      <w:r>
        <w:rPr>
          <w:spacing w:val="-10"/>
        </w:rPr>
        <w:t>with</w:t>
      </w:r>
      <w:r>
        <w:rPr/>
        <w:t> </w:t>
      </w:r>
      <w:r>
        <w:rPr>
          <w:spacing w:val="-10"/>
        </w:rPr>
        <w:t>its</w:t>
      </w:r>
      <w:r>
        <w:rPr/>
        <w:t> </w:t>
      </w:r>
      <w:r>
        <w:rPr>
          <w:spacing w:val="-10"/>
        </w:rPr>
        <w:t>agencies</w:t>
      </w:r>
      <w:r>
        <w:rPr>
          <w:spacing w:val="8"/>
        </w:rPr>
        <w:t> </w:t>
      </w:r>
      <w:r>
        <w:rPr>
          <w:spacing w:val="-10"/>
        </w:rPr>
        <w:t>to</w:t>
      </w:r>
      <w:r>
        <w:rPr/>
        <w:t> </w:t>
      </w:r>
      <w:r>
        <w:rPr>
          <w:spacing w:val="-10"/>
        </w:rPr>
        <w:t>create</w:t>
      </w:r>
      <w:r>
        <w:rPr/>
        <w:t> </w:t>
      </w:r>
      <w:r>
        <w:rPr>
          <w:spacing w:val="-10"/>
        </w:rPr>
        <w:t>comprehensive</w:t>
      </w:r>
      <w:r>
        <w:rPr/>
        <w:t> </w:t>
      </w:r>
      <w:r>
        <w:rPr>
          <w:spacing w:val="-10"/>
        </w:rPr>
        <w:t>LGBTQ</w:t>
      </w:r>
      <w:r>
        <w:rPr/>
        <w:t> </w:t>
      </w:r>
      <w:r>
        <w:rPr>
          <w:spacing w:val="-10"/>
        </w:rPr>
        <w:t>inclusion</w:t>
      </w:r>
      <w:r>
        <w:rPr/>
        <w:t> </w:t>
      </w:r>
      <w:r>
        <w:rPr>
          <w:spacing w:val="-10"/>
        </w:rPr>
        <w:t>policies,</w:t>
      </w:r>
      <w:r>
        <w:rPr/>
        <w:t> </w:t>
      </w:r>
      <w:r>
        <w:rPr>
          <w:spacing w:val="-10"/>
        </w:rPr>
        <w:t>which</w:t>
      </w:r>
      <w:r>
        <w:rPr/>
        <w:t> some</w:t>
      </w:r>
      <w:r>
        <w:rPr>
          <w:spacing w:val="-1"/>
        </w:rPr>
        <w:t> </w:t>
      </w:r>
      <w:r>
        <w:rPr/>
        <w:t>agencies</w:t>
      </w:r>
      <w:r>
        <w:rPr>
          <w:spacing w:val="-2"/>
        </w:rPr>
        <w:t> </w:t>
      </w:r>
      <w:r>
        <w:rPr/>
        <w:t>have</w:t>
      </w:r>
      <w:r>
        <w:rPr>
          <w:spacing w:val="-1"/>
        </w:rPr>
        <w:t> </w:t>
      </w:r>
      <w:r>
        <w:rPr/>
        <w:t>already</w:t>
      </w:r>
      <w:r>
        <w:rPr>
          <w:spacing w:val="-1"/>
        </w:rPr>
        <w:t> </w:t>
      </w:r>
      <w:r>
        <w:rPr/>
        <w:t>published</w:t>
      </w:r>
      <w:r>
        <w:rPr>
          <w:spacing w:val="-2"/>
        </w:rPr>
        <w:t> </w:t>
      </w:r>
      <w:r>
        <w:rPr/>
        <w:t>or</w:t>
      </w:r>
      <w:r>
        <w:rPr>
          <w:spacing w:val="-2"/>
        </w:rPr>
        <w:t> </w:t>
      </w:r>
      <w:r>
        <w:rPr/>
        <w:t>drafted,</w:t>
      </w:r>
      <w:r>
        <w:rPr>
          <w:spacing w:val="-1"/>
        </w:rPr>
        <w:t> </w:t>
      </w:r>
      <w:r>
        <w:rPr/>
        <w:t>as</w:t>
      </w:r>
      <w:r>
        <w:rPr>
          <w:spacing w:val="-1"/>
        </w:rPr>
        <w:t> </w:t>
      </w:r>
      <w:r>
        <w:rPr/>
        <w:t>well</w:t>
      </w:r>
      <w:r>
        <w:rPr>
          <w:spacing w:val="-1"/>
        </w:rPr>
        <w:t> </w:t>
      </w:r>
      <w:r>
        <w:rPr/>
        <w:t>as</w:t>
      </w:r>
      <w:r>
        <w:rPr>
          <w:spacing w:val="-1"/>
        </w:rPr>
        <w:t> </w:t>
      </w:r>
      <w:r>
        <w:rPr/>
        <w:t>to</w:t>
      </w:r>
      <w:r>
        <w:rPr>
          <w:spacing w:val="-1"/>
        </w:rPr>
        <w:t> </w:t>
      </w:r>
      <w:r>
        <w:rPr/>
        <w:t>consider</w:t>
      </w:r>
      <w:r>
        <w:rPr>
          <w:spacing w:val="-1"/>
        </w:rPr>
        <w:t> </w:t>
      </w:r>
      <w:r>
        <w:rPr/>
        <w:t>if</w:t>
      </w:r>
      <w:r>
        <w:rPr>
          <w:spacing w:val="-1"/>
        </w:rPr>
        <w:t> </w:t>
      </w:r>
      <w:r>
        <w:rPr/>
        <w:t>EOHHS-wide</w:t>
      </w:r>
      <w:r>
        <w:rPr>
          <w:spacing w:val="-1"/>
        </w:rPr>
        <w:t> </w:t>
      </w:r>
      <w:r>
        <w:rPr/>
        <w:t>policies</w:t>
      </w:r>
      <w:r>
        <w:rPr>
          <w:spacing w:val="-1"/>
        </w:rPr>
        <w:t> </w:t>
      </w:r>
      <w:r>
        <w:rPr/>
        <w:t>would</w:t>
      </w:r>
      <w:r>
        <w:rPr>
          <w:spacing w:val="-2"/>
        </w:rPr>
        <w:t> </w:t>
      </w:r>
      <w:r>
        <w:rPr/>
        <w:t>be </w:t>
      </w:r>
      <w:r>
        <w:rPr>
          <w:spacing w:val="-8"/>
        </w:rPr>
        <w:t>appropriate.</w:t>
      </w:r>
      <w:r>
        <w:rPr/>
        <w:t> </w:t>
      </w:r>
      <w:r>
        <w:rPr>
          <w:spacing w:val="-8"/>
        </w:rPr>
        <w:t>This</w:t>
      </w:r>
      <w:r>
        <w:rPr/>
        <w:t> </w:t>
      </w:r>
      <w:r>
        <w:rPr>
          <w:spacing w:val="-8"/>
        </w:rPr>
        <w:t>could</w:t>
      </w:r>
      <w:r>
        <w:rPr/>
        <w:t> </w:t>
      </w:r>
      <w:r>
        <w:rPr>
          <w:spacing w:val="-8"/>
        </w:rPr>
        <w:t>include</w:t>
      </w:r>
      <w:r>
        <w:rPr>
          <w:spacing w:val="-2"/>
        </w:rPr>
        <w:t> </w:t>
      </w:r>
      <w:r>
        <w:rPr>
          <w:spacing w:val="-8"/>
        </w:rPr>
        <w:t>goals</w:t>
      </w:r>
      <w:r>
        <w:rPr>
          <w:spacing w:val="-2"/>
        </w:rPr>
        <w:t> </w:t>
      </w:r>
      <w:r>
        <w:rPr>
          <w:spacing w:val="-8"/>
        </w:rPr>
        <w:t>around</w:t>
      </w:r>
      <w:r>
        <w:rPr>
          <w:spacing w:val="-2"/>
        </w:rPr>
        <w:t> </w:t>
      </w:r>
      <w:r>
        <w:rPr>
          <w:spacing w:val="-8"/>
        </w:rPr>
        <w:t>increasing</w:t>
      </w:r>
      <w:r>
        <w:rPr/>
        <w:t> </w:t>
      </w:r>
      <w:r>
        <w:rPr>
          <w:spacing w:val="-8"/>
        </w:rPr>
        <w:t>SOGIE</w:t>
      </w:r>
      <w:r>
        <w:rPr/>
        <w:t> </w:t>
      </w:r>
      <w:r>
        <w:rPr>
          <w:spacing w:val="-8"/>
        </w:rPr>
        <w:t>data</w:t>
      </w:r>
      <w:r>
        <w:rPr/>
        <w:t> </w:t>
      </w:r>
      <w:r>
        <w:rPr>
          <w:spacing w:val="-8"/>
        </w:rPr>
        <w:t>collection,</w:t>
      </w:r>
      <w:r>
        <w:rPr>
          <w:spacing w:val="-2"/>
        </w:rPr>
        <w:t> </w:t>
      </w:r>
      <w:r>
        <w:rPr>
          <w:spacing w:val="-8"/>
        </w:rPr>
        <w:t>which</w:t>
      </w:r>
      <w:r>
        <w:rPr/>
        <w:t> </w:t>
      </w:r>
      <w:r>
        <w:rPr>
          <w:spacing w:val="-8"/>
        </w:rPr>
        <w:t>has</w:t>
      </w:r>
      <w:r>
        <w:rPr>
          <w:spacing w:val="-2"/>
        </w:rPr>
        <w:t> </w:t>
      </w:r>
      <w:r>
        <w:rPr>
          <w:spacing w:val="-8"/>
        </w:rPr>
        <w:t>been</w:t>
      </w:r>
      <w:r>
        <w:rPr>
          <w:spacing w:val="-2"/>
        </w:rPr>
        <w:t> </w:t>
      </w:r>
      <w:r>
        <w:rPr>
          <w:spacing w:val="-8"/>
        </w:rPr>
        <w:t>another</w:t>
      </w:r>
      <w:r>
        <w:rPr>
          <w:spacing w:val="-2"/>
        </w:rPr>
        <w:t> </w:t>
      </w:r>
      <w:r>
        <w:rPr>
          <w:spacing w:val="-8"/>
        </w:rPr>
        <w:t>discussion </w:t>
      </w:r>
      <w:r>
        <w:rPr>
          <w:spacing w:val="-2"/>
        </w:rPr>
        <w:t>point</w:t>
      </w:r>
      <w:r>
        <w:rPr>
          <w:spacing w:val="-11"/>
        </w:rPr>
        <w:t> </w:t>
      </w:r>
      <w:r>
        <w:rPr>
          <w:spacing w:val="-2"/>
        </w:rPr>
        <w:t>of</w:t>
      </w:r>
      <w:r>
        <w:rPr>
          <w:spacing w:val="-8"/>
        </w:rPr>
        <w:t> </w:t>
      </w:r>
      <w:r>
        <w:rPr>
          <w:spacing w:val="-2"/>
        </w:rPr>
        <w:t>the</w:t>
      </w:r>
      <w:r>
        <w:rPr>
          <w:spacing w:val="-8"/>
        </w:rPr>
        <w:t> </w:t>
      </w:r>
      <w:r>
        <w:rPr>
          <w:spacing w:val="-2"/>
        </w:rPr>
        <w:t>interagency</w:t>
      </w:r>
      <w:r>
        <w:rPr>
          <w:spacing w:val="-8"/>
        </w:rPr>
        <w:t> </w:t>
      </w:r>
      <w:r>
        <w:rPr>
          <w:spacing w:val="-2"/>
        </w:rPr>
        <w:t>committee.</w:t>
      </w:r>
    </w:p>
    <w:p>
      <w:pPr>
        <w:pStyle w:val="BodyText"/>
        <w:rPr>
          <w:sz w:val="20"/>
        </w:rPr>
      </w:pPr>
    </w:p>
    <w:p>
      <w:pPr>
        <w:pStyle w:val="BodyText"/>
        <w:spacing w:before="190"/>
        <w:rPr>
          <w:sz w:val="20"/>
        </w:rPr>
      </w:pPr>
      <w:r>
        <w:rPr/>
        <mc:AlternateContent>
          <mc:Choice Requires="wps">
            <w:drawing>
              <wp:anchor distT="0" distB="0" distL="0" distR="0" allowOverlap="1" layoutInCell="1" locked="0" behindDoc="1" simplePos="0" relativeHeight="487695360">
                <wp:simplePos x="0" y="0"/>
                <wp:positionH relativeFrom="page">
                  <wp:posOffset>889000</wp:posOffset>
                </wp:positionH>
                <wp:positionV relativeFrom="paragraph">
                  <wp:posOffset>291076</wp:posOffset>
                </wp:positionV>
                <wp:extent cx="6350" cy="12700"/>
                <wp:effectExtent l="0" t="0" r="0" b="0"/>
                <wp:wrapTopAndBottom/>
                <wp:docPr id="558" name="Graphic 558"/>
                <wp:cNvGraphicFramePr>
                  <a:graphicFrameLocks/>
                </wp:cNvGraphicFramePr>
                <a:graphic>
                  <a:graphicData uri="http://schemas.microsoft.com/office/word/2010/wordprocessingShape">
                    <wps:wsp>
                      <wps:cNvPr id="558" name="Graphic 558"/>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2.919441pt;width:.499pt;height:.962pt;mso-position-horizontal-relative:page;mso-position-vertical-relative:paragraph;z-index:-15621120;mso-wrap-distance-left:0;mso-wrap-distance-right:0" id="docshape455" filled="true" fillcolor="#4f81bb" stroked="false">
                <v:fill type="solid"/>
                <w10:wrap type="topAndBottom"/>
              </v:rect>
            </w:pict>
          </mc:Fallback>
        </mc:AlternateContent>
      </w:r>
    </w:p>
    <w:p>
      <w:pPr>
        <w:pStyle w:val="Heading7"/>
        <w:spacing w:before="120"/>
        <w:jc w:val="both"/>
      </w:pPr>
      <w:r>
        <w:rPr>
          <w:color w:val="365F91"/>
          <w:spacing w:val="-8"/>
        </w:rPr>
        <w:t>Department</w:t>
      </w:r>
      <w:r>
        <w:rPr>
          <w:color w:val="365F91"/>
          <w:spacing w:val="-15"/>
        </w:rPr>
        <w:t> </w:t>
      </w:r>
      <w:r>
        <w:rPr>
          <w:color w:val="365F91"/>
          <w:spacing w:val="-8"/>
        </w:rPr>
        <w:t>of</w:t>
      </w:r>
      <w:r>
        <w:rPr>
          <w:color w:val="365F91"/>
          <w:spacing w:val="-14"/>
        </w:rPr>
        <w:t> </w:t>
      </w:r>
      <w:r>
        <w:rPr>
          <w:color w:val="365F91"/>
          <w:spacing w:val="-8"/>
        </w:rPr>
        <w:t>Children</w:t>
      </w:r>
      <w:r>
        <w:rPr>
          <w:color w:val="365F91"/>
          <w:spacing w:val="-15"/>
        </w:rPr>
        <w:t> </w:t>
      </w:r>
      <w:r>
        <w:rPr>
          <w:color w:val="365F91"/>
          <w:spacing w:val="-8"/>
        </w:rPr>
        <w:t>&amp;</w:t>
      </w:r>
      <w:r>
        <w:rPr>
          <w:color w:val="365F91"/>
          <w:spacing w:val="-13"/>
        </w:rPr>
        <w:t> </w:t>
      </w:r>
      <w:r>
        <w:rPr>
          <w:color w:val="365F91"/>
          <w:spacing w:val="-8"/>
        </w:rPr>
        <w:t>Families</w:t>
      </w:r>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95872">
                <wp:simplePos x="0" y="0"/>
                <wp:positionH relativeFrom="page">
                  <wp:posOffset>889000</wp:posOffset>
                </wp:positionH>
                <wp:positionV relativeFrom="paragraph">
                  <wp:posOffset>260259</wp:posOffset>
                </wp:positionV>
                <wp:extent cx="6350" cy="12700"/>
                <wp:effectExtent l="0" t="0" r="0" b="0"/>
                <wp:wrapTopAndBottom/>
                <wp:docPr id="559" name="Graphic 559"/>
                <wp:cNvGraphicFramePr>
                  <a:graphicFrameLocks/>
                </wp:cNvGraphicFramePr>
                <a:graphic>
                  <a:graphicData uri="http://schemas.microsoft.com/office/word/2010/wordprocessingShape">
                    <wps:wsp>
                      <wps:cNvPr id="559" name="Graphic 559"/>
                      <wps:cNvSpPr/>
                      <wps:spPr>
                        <a:xfrm>
                          <a:off x="0"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492907pt;width:.499pt;height:.961pt;mso-position-horizontal-relative:page;mso-position-vertical-relative:paragraph;z-index:-15620608;mso-wrap-distance-left:0;mso-wrap-distance-right:0" id="docshape456" filled="true" fillcolor="#4f81bb" stroked="false">
                <v:fill type="solid"/>
                <w10:wrap type="topAndBottom"/>
              </v:rect>
            </w:pict>
          </mc:Fallback>
        </mc:AlternateContent>
      </w:r>
    </w:p>
    <w:p>
      <w:pPr>
        <w:spacing w:before="0"/>
        <w:ind w:left="483" w:right="0" w:firstLine="0"/>
        <w:jc w:val="both"/>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696384">
                <wp:simplePos x="0" y="0"/>
                <wp:positionH relativeFrom="page">
                  <wp:posOffset>897636</wp:posOffset>
                </wp:positionH>
                <wp:positionV relativeFrom="paragraph">
                  <wp:posOffset>45417</wp:posOffset>
                </wp:positionV>
                <wp:extent cx="5976620" cy="635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5976620" cy="6350"/>
                        </a:xfrm>
                        <a:custGeom>
                          <a:avLst/>
                          <a:gdLst/>
                          <a:ahLst/>
                          <a:cxnLst/>
                          <a:rect l="l" t="t" r="r" b="b"/>
                          <a:pathLst>
                            <a:path w="5976620" h="6350">
                              <a:moveTo>
                                <a:pt x="5976366" y="0"/>
                              </a:moveTo>
                              <a:lnTo>
                                <a:pt x="0" y="0"/>
                              </a:lnTo>
                              <a:lnTo>
                                <a:pt x="0" y="6095"/>
                              </a:lnTo>
                              <a:lnTo>
                                <a:pt x="5976366" y="6095"/>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6156pt;width:470.58pt;height:.48pt;mso-position-horizontal-relative:page;mso-position-vertical-relative:paragraph;z-index:-15620096;mso-wrap-distance-left:0;mso-wrap-distance-right:0" id="docshape457" filled="true" fillcolor="#4f81bc" stroked="false">
                <v:fill type="solid"/>
                <w10:wrap type="topAndBottom"/>
              </v:rect>
            </w:pict>
          </mc:Fallback>
        </mc:AlternateContent>
      </w:r>
    </w:p>
    <w:p>
      <w:pPr>
        <w:pStyle w:val="ListParagraph"/>
        <w:numPr>
          <w:ilvl w:val="0"/>
          <w:numId w:val="35"/>
        </w:numPr>
        <w:tabs>
          <w:tab w:pos="1194" w:val="left" w:leader="none"/>
          <w:tab w:pos="1203" w:val="left" w:leader="none"/>
        </w:tabs>
        <w:spacing w:line="276" w:lineRule="auto" w:before="241" w:after="0"/>
        <w:ind w:left="1203" w:right="343" w:hanging="361"/>
        <w:jc w:val="left"/>
        <w:rPr>
          <w:sz w:val="22"/>
        </w:rPr>
      </w:pPr>
      <w:r>
        <w:rPr>
          <w:sz w:val="22"/>
        </w:rPr>
        <w:t>Ensure</w:t>
      </w:r>
      <w:r>
        <w:rPr>
          <w:spacing w:val="70"/>
          <w:sz w:val="22"/>
        </w:rPr>
        <w:t> </w:t>
      </w:r>
      <w:r>
        <w:rPr>
          <w:sz w:val="22"/>
        </w:rPr>
        <w:t>thorough</w:t>
      </w:r>
      <w:r>
        <w:rPr>
          <w:spacing w:val="69"/>
          <w:sz w:val="22"/>
        </w:rPr>
        <w:t> </w:t>
      </w:r>
      <w:r>
        <w:rPr>
          <w:sz w:val="22"/>
        </w:rPr>
        <w:t>and</w:t>
      </w:r>
      <w:r>
        <w:rPr>
          <w:spacing w:val="69"/>
          <w:sz w:val="22"/>
        </w:rPr>
        <w:t> </w:t>
      </w:r>
      <w:r>
        <w:rPr>
          <w:sz w:val="22"/>
        </w:rPr>
        <w:t>accurate</w:t>
      </w:r>
      <w:r>
        <w:rPr>
          <w:spacing w:val="70"/>
          <w:sz w:val="22"/>
        </w:rPr>
        <w:t> </w:t>
      </w:r>
      <w:r>
        <w:rPr>
          <w:sz w:val="22"/>
        </w:rPr>
        <w:t>SOGI</w:t>
      </w:r>
      <w:r>
        <w:rPr>
          <w:spacing w:val="69"/>
          <w:sz w:val="22"/>
        </w:rPr>
        <w:t> </w:t>
      </w:r>
      <w:r>
        <w:rPr>
          <w:sz w:val="22"/>
        </w:rPr>
        <w:t>data</w:t>
      </w:r>
      <w:r>
        <w:rPr>
          <w:spacing w:val="70"/>
          <w:sz w:val="22"/>
        </w:rPr>
        <w:t> </w:t>
      </w:r>
      <w:r>
        <w:rPr>
          <w:sz w:val="22"/>
        </w:rPr>
        <w:t>collection</w:t>
      </w:r>
      <w:r>
        <w:rPr>
          <w:spacing w:val="69"/>
          <w:sz w:val="22"/>
        </w:rPr>
        <w:t> </w:t>
      </w:r>
      <w:r>
        <w:rPr>
          <w:sz w:val="22"/>
        </w:rPr>
        <w:t>through</w:t>
      </w:r>
      <w:r>
        <w:rPr>
          <w:spacing w:val="71"/>
          <w:sz w:val="22"/>
        </w:rPr>
        <w:t> </w:t>
      </w:r>
      <w:r>
        <w:rPr>
          <w:sz w:val="22"/>
        </w:rPr>
        <w:t>implementation</w:t>
      </w:r>
      <w:r>
        <w:rPr>
          <w:spacing w:val="69"/>
          <w:sz w:val="22"/>
        </w:rPr>
        <w:t> </w:t>
      </w:r>
      <w:r>
        <w:rPr>
          <w:sz w:val="22"/>
        </w:rPr>
        <w:t>of</w:t>
      </w:r>
      <w:r>
        <w:rPr>
          <w:spacing w:val="70"/>
          <w:sz w:val="22"/>
        </w:rPr>
        <w:t> </w:t>
      </w:r>
      <w:r>
        <w:rPr>
          <w:sz w:val="22"/>
        </w:rPr>
        <w:t>the</w:t>
      </w:r>
      <w:r>
        <w:rPr>
          <w:spacing w:val="71"/>
          <w:sz w:val="22"/>
        </w:rPr>
        <w:t> </w:t>
      </w:r>
      <w:r>
        <w:rPr>
          <w:sz w:val="22"/>
        </w:rPr>
        <w:t>new mandatory data elements and staff training.</w:t>
      </w:r>
    </w:p>
    <w:p>
      <w:pPr>
        <w:pStyle w:val="ListParagraph"/>
        <w:numPr>
          <w:ilvl w:val="0"/>
          <w:numId w:val="35"/>
        </w:numPr>
        <w:tabs>
          <w:tab w:pos="1196" w:val="left" w:leader="none"/>
        </w:tabs>
        <w:spacing w:line="268" w:lineRule="exact" w:before="0" w:after="0"/>
        <w:ind w:left="1196" w:right="0" w:hanging="353"/>
        <w:jc w:val="left"/>
        <w:rPr>
          <w:sz w:val="22"/>
        </w:rPr>
      </w:pPr>
      <w:r>
        <w:rPr>
          <w:sz w:val="22"/>
        </w:rPr>
        <w:t>Review</w:t>
      </w:r>
      <w:r>
        <w:rPr>
          <w:spacing w:val="-11"/>
          <w:sz w:val="22"/>
        </w:rPr>
        <w:t> </w:t>
      </w:r>
      <w:r>
        <w:rPr>
          <w:sz w:val="22"/>
        </w:rPr>
        <w:t>and</w:t>
      </w:r>
      <w:r>
        <w:rPr>
          <w:spacing w:val="-10"/>
          <w:sz w:val="22"/>
        </w:rPr>
        <w:t> </w:t>
      </w:r>
      <w:r>
        <w:rPr>
          <w:sz w:val="22"/>
        </w:rPr>
        <w:t>continue</w:t>
      </w:r>
      <w:r>
        <w:rPr>
          <w:spacing w:val="-9"/>
          <w:sz w:val="22"/>
        </w:rPr>
        <w:t> </w:t>
      </w:r>
      <w:r>
        <w:rPr>
          <w:sz w:val="22"/>
        </w:rPr>
        <w:t>implementation</w:t>
      </w:r>
      <w:r>
        <w:rPr>
          <w:spacing w:val="-11"/>
          <w:sz w:val="22"/>
        </w:rPr>
        <w:t> </w:t>
      </w:r>
      <w:r>
        <w:rPr>
          <w:sz w:val="22"/>
        </w:rPr>
        <w:t>of</w:t>
      </w:r>
      <w:r>
        <w:rPr>
          <w:spacing w:val="-10"/>
          <w:sz w:val="22"/>
        </w:rPr>
        <w:t> </w:t>
      </w:r>
      <w:r>
        <w:rPr>
          <w:sz w:val="22"/>
        </w:rPr>
        <w:t>LGBTQ-inclusive</w:t>
      </w:r>
      <w:r>
        <w:rPr>
          <w:spacing w:val="-11"/>
          <w:sz w:val="22"/>
        </w:rPr>
        <w:t> </w:t>
      </w:r>
      <w:r>
        <w:rPr>
          <w:spacing w:val="-2"/>
          <w:sz w:val="22"/>
        </w:rPr>
        <w:t>policies.</w:t>
      </w:r>
    </w:p>
    <w:p>
      <w:pPr>
        <w:pStyle w:val="ListParagraph"/>
        <w:numPr>
          <w:ilvl w:val="0"/>
          <w:numId w:val="35"/>
        </w:numPr>
        <w:tabs>
          <w:tab w:pos="1196" w:val="left" w:leader="none"/>
          <w:tab w:pos="1203" w:val="left" w:leader="none"/>
        </w:tabs>
        <w:spacing w:line="276" w:lineRule="auto" w:before="42" w:after="0"/>
        <w:ind w:left="1203" w:right="341" w:hanging="360"/>
        <w:jc w:val="left"/>
        <w:rPr>
          <w:sz w:val="22"/>
        </w:rPr>
      </w:pPr>
      <w:r>
        <w:rPr>
          <w:sz w:val="22"/>
        </w:rPr>
        <w:t>Explore</w:t>
      </w:r>
      <w:r>
        <w:rPr>
          <w:spacing w:val="38"/>
          <w:sz w:val="22"/>
        </w:rPr>
        <w:t> </w:t>
      </w:r>
      <w:r>
        <w:rPr>
          <w:sz w:val="22"/>
        </w:rPr>
        <w:t>the</w:t>
      </w:r>
      <w:r>
        <w:rPr>
          <w:spacing w:val="38"/>
          <w:sz w:val="22"/>
        </w:rPr>
        <w:t> </w:t>
      </w:r>
      <w:r>
        <w:rPr>
          <w:sz w:val="22"/>
        </w:rPr>
        <w:t>creation</w:t>
      </w:r>
      <w:r>
        <w:rPr>
          <w:spacing w:val="37"/>
          <w:sz w:val="22"/>
        </w:rPr>
        <w:t> </w:t>
      </w:r>
      <w:r>
        <w:rPr>
          <w:sz w:val="22"/>
        </w:rPr>
        <w:t>of</w:t>
      </w:r>
      <w:r>
        <w:rPr>
          <w:spacing w:val="37"/>
          <w:sz w:val="22"/>
        </w:rPr>
        <w:t> </w:t>
      </w:r>
      <w:r>
        <w:rPr>
          <w:sz w:val="22"/>
        </w:rPr>
        <w:t>an</w:t>
      </w:r>
      <w:r>
        <w:rPr>
          <w:spacing w:val="37"/>
          <w:sz w:val="22"/>
        </w:rPr>
        <w:t> </w:t>
      </w:r>
      <w:r>
        <w:rPr>
          <w:sz w:val="22"/>
        </w:rPr>
        <w:t>internal</w:t>
      </w:r>
      <w:r>
        <w:rPr>
          <w:spacing w:val="37"/>
          <w:sz w:val="22"/>
        </w:rPr>
        <w:t> </w:t>
      </w:r>
      <w:r>
        <w:rPr>
          <w:sz w:val="22"/>
        </w:rPr>
        <w:t>coding</w:t>
      </w:r>
      <w:r>
        <w:rPr>
          <w:spacing w:val="37"/>
          <w:sz w:val="22"/>
        </w:rPr>
        <w:t> </w:t>
      </w:r>
      <w:r>
        <w:rPr>
          <w:sz w:val="22"/>
        </w:rPr>
        <w:t>system</w:t>
      </w:r>
      <w:r>
        <w:rPr>
          <w:spacing w:val="39"/>
          <w:sz w:val="22"/>
        </w:rPr>
        <w:t> </w:t>
      </w:r>
      <w:r>
        <w:rPr>
          <w:sz w:val="22"/>
        </w:rPr>
        <w:t>to</w:t>
      </w:r>
      <w:r>
        <w:rPr>
          <w:spacing w:val="38"/>
          <w:sz w:val="22"/>
        </w:rPr>
        <w:t> </w:t>
      </w:r>
      <w:r>
        <w:rPr>
          <w:sz w:val="22"/>
        </w:rPr>
        <w:t>provide</w:t>
      </w:r>
      <w:r>
        <w:rPr>
          <w:spacing w:val="37"/>
          <w:sz w:val="22"/>
        </w:rPr>
        <w:t> </w:t>
      </w:r>
      <w:r>
        <w:rPr>
          <w:sz w:val="22"/>
        </w:rPr>
        <w:t>greater</w:t>
      </w:r>
      <w:r>
        <w:rPr>
          <w:spacing w:val="37"/>
          <w:sz w:val="22"/>
        </w:rPr>
        <w:t> </w:t>
      </w:r>
      <w:r>
        <w:rPr>
          <w:sz w:val="22"/>
        </w:rPr>
        <w:t>transparency</w:t>
      </w:r>
      <w:r>
        <w:rPr>
          <w:spacing w:val="37"/>
          <w:sz w:val="22"/>
        </w:rPr>
        <w:t> </w:t>
      </w:r>
      <w:r>
        <w:rPr>
          <w:sz w:val="22"/>
        </w:rPr>
        <w:t>and</w:t>
      </w:r>
      <w:r>
        <w:rPr>
          <w:spacing w:val="38"/>
          <w:sz w:val="22"/>
        </w:rPr>
        <w:t> </w:t>
      </w:r>
      <w:r>
        <w:rPr>
          <w:sz w:val="22"/>
        </w:rPr>
        <w:t>case information for DCF workers.</w:t>
      </w:r>
    </w:p>
    <w:p>
      <w:pPr>
        <w:pStyle w:val="ListParagraph"/>
        <w:numPr>
          <w:ilvl w:val="0"/>
          <w:numId w:val="35"/>
        </w:numPr>
        <w:tabs>
          <w:tab w:pos="1194" w:val="left" w:leader="none"/>
          <w:tab w:pos="1203" w:val="left" w:leader="none"/>
        </w:tabs>
        <w:spacing w:line="276" w:lineRule="auto" w:before="0" w:after="0"/>
        <w:ind w:left="1203" w:right="344" w:hanging="361"/>
        <w:jc w:val="left"/>
        <w:rPr>
          <w:sz w:val="22"/>
        </w:rPr>
      </w:pPr>
      <w:r>
        <w:rPr>
          <w:sz w:val="22"/>
        </w:rPr>
        <w:t>Update</w:t>
      </w:r>
      <w:r>
        <w:rPr>
          <w:spacing w:val="-1"/>
          <w:sz w:val="22"/>
        </w:rPr>
        <w:t> </w:t>
      </w:r>
      <w:r>
        <w:rPr>
          <w:sz w:val="22"/>
        </w:rPr>
        <w:t>the</w:t>
      </w:r>
      <w:r>
        <w:rPr>
          <w:spacing w:val="-1"/>
          <w:sz w:val="22"/>
        </w:rPr>
        <w:t> </w:t>
      </w:r>
      <w:r>
        <w:rPr>
          <w:sz w:val="22"/>
        </w:rPr>
        <w:t>LGBTQ</w:t>
      </w:r>
      <w:r>
        <w:rPr>
          <w:spacing w:val="-1"/>
          <w:sz w:val="22"/>
        </w:rPr>
        <w:t> </w:t>
      </w:r>
      <w:r>
        <w:rPr>
          <w:sz w:val="22"/>
        </w:rPr>
        <w:t>Guide and</w:t>
      </w:r>
      <w:r>
        <w:rPr>
          <w:spacing w:val="-2"/>
          <w:sz w:val="22"/>
        </w:rPr>
        <w:t> </w:t>
      </w:r>
      <w:r>
        <w:rPr>
          <w:sz w:val="22"/>
        </w:rPr>
        <w:t>ensure</w:t>
      </w:r>
      <w:r>
        <w:rPr>
          <w:spacing w:val="-1"/>
          <w:sz w:val="22"/>
        </w:rPr>
        <w:t> </w:t>
      </w:r>
      <w:r>
        <w:rPr>
          <w:sz w:val="22"/>
        </w:rPr>
        <w:t>that</w:t>
      </w:r>
      <w:r>
        <w:rPr>
          <w:spacing w:val="-2"/>
          <w:sz w:val="22"/>
        </w:rPr>
        <w:t> </w:t>
      </w:r>
      <w:r>
        <w:rPr>
          <w:sz w:val="22"/>
        </w:rPr>
        <w:t>all</w:t>
      </w:r>
      <w:r>
        <w:rPr>
          <w:spacing w:val="-1"/>
          <w:sz w:val="22"/>
        </w:rPr>
        <w:t> </w:t>
      </w:r>
      <w:r>
        <w:rPr>
          <w:sz w:val="22"/>
        </w:rPr>
        <w:t>staff,</w:t>
      </w:r>
      <w:r>
        <w:rPr>
          <w:spacing w:val="-2"/>
          <w:sz w:val="22"/>
        </w:rPr>
        <w:t> </w:t>
      </w:r>
      <w:r>
        <w:rPr>
          <w:sz w:val="22"/>
        </w:rPr>
        <w:t>providers,</w:t>
      </w:r>
      <w:r>
        <w:rPr>
          <w:spacing w:val="-2"/>
          <w:sz w:val="22"/>
        </w:rPr>
        <w:t> </w:t>
      </w:r>
      <w:r>
        <w:rPr>
          <w:sz w:val="22"/>
        </w:rPr>
        <w:t>youth,</w:t>
      </w:r>
      <w:r>
        <w:rPr>
          <w:spacing w:val="-2"/>
          <w:sz w:val="22"/>
        </w:rPr>
        <w:t> </w:t>
      </w:r>
      <w:r>
        <w:rPr>
          <w:sz w:val="22"/>
        </w:rPr>
        <w:t>and</w:t>
      </w:r>
      <w:r>
        <w:rPr>
          <w:spacing w:val="-2"/>
          <w:sz w:val="22"/>
        </w:rPr>
        <w:t> </w:t>
      </w:r>
      <w:r>
        <w:rPr>
          <w:sz w:val="22"/>
        </w:rPr>
        <w:t>families</w:t>
      </w:r>
      <w:r>
        <w:rPr>
          <w:spacing w:val="-2"/>
          <w:sz w:val="22"/>
        </w:rPr>
        <w:t> </w:t>
      </w:r>
      <w:r>
        <w:rPr>
          <w:sz w:val="22"/>
        </w:rPr>
        <w:t>are</w:t>
      </w:r>
      <w:r>
        <w:rPr>
          <w:spacing w:val="-2"/>
          <w:sz w:val="22"/>
        </w:rPr>
        <w:t> </w:t>
      </w:r>
      <w:r>
        <w:rPr>
          <w:sz w:val="22"/>
        </w:rPr>
        <w:t>aware</w:t>
      </w:r>
      <w:r>
        <w:rPr>
          <w:spacing w:val="-1"/>
          <w:sz w:val="22"/>
        </w:rPr>
        <w:t> </w:t>
      </w:r>
      <w:r>
        <w:rPr>
          <w:sz w:val="22"/>
        </w:rPr>
        <w:t>of</w:t>
      </w:r>
      <w:r>
        <w:rPr>
          <w:spacing w:val="-2"/>
          <w:sz w:val="22"/>
        </w:rPr>
        <w:t> </w:t>
      </w:r>
      <w:r>
        <w:rPr>
          <w:sz w:val="22"/>
        </w:rPr>
        <w:t>its existence and able to access a copy.</w:t>
      </w:r>
    </w:p>
    <w:p>
      <w:pPr>
        <w:pStyle w:val="ListParagraph"/>
        <w:numPr>
          <w:ilvl w:val="0"/>
          <w:numId w:val="35"/>
        </w:numPr>
        <w:tabs>
          <w:tab w:pos="1194" w:val="left" w:leader="none"/>
          <w:tab w:pos="1203" w:val="left" w:leader="none"/>
        </w:tabs>
        <w:spacing w:line="276" w:lineRule="auto" w:before="0" w:after="0"/>
        <w:ind w:left="1203" w:right="342" w:hanging="361"/>
        <w:jc w:val="left"/>
        <w:rPr>
          <w:sz w:val="22"/>
        </w:rPr>
      </w:pPr>
      <w:r>
        <w:rPr>
          <w:sz w:val="22"/>
        </w:rPr>
        <w:t>Ensure</w:t>
      </w:r>
      <w:r>
        <w:rPr>
          <w:spacing w:val="39"/>
          <w:sz w:val="22"/>
        </w:rPr>
        <w:t> </w:t>
      </w:r>
      <w:r>
        <w:rPr>
          <w:sz w:val="22"/>
        </w:rPr>
        <w:t>implementation</w:t>
      </w:r>
      <w:r>
        <w:rPr>
          <w:spacing w:val="39"/>
          <w:sz w:val="22"/>
        </w:rPr>
        <w:t> </w:t>
      </w:r>
      <w:r>
        <w:rPr>
          <w:sz w:val="22"/>
        </w:rPr>
        <w:t>of</w:t>
      </w:r>
      <w:r>
        <w:rPr>
          <w:spacing w:val="40"/>
          <w:sz w:val="22"/>
        </w:rPr>
        <w:t> </w:t>
      </w:r>
      <w:r>
        <w:rPr>
          <w:sz w:val="22"/>
        </w:rPr>
        <w:t>the</w:t>
      </w:r>
      <w:r>
        <w:rPr>
          <w:spacing w:val="40"/>
          <w:sz w:val="22"/>
        </w:rPr>
        <w:t> </w:t>
      </w:r>
      <w:r>
        <w:rPr>
          <w:sz w:val="22"/>
        </w:rPr>
        <w:t>updated</w:t>
      </w:r>
      <w:r>
        <w:rPr>
          <w:spacing w:val="39"/>
          <w:sz w:val="22"/>
        </w:rPr>
        <w:t> </w:t>
      </w:r>
      <w:r>
        <w:rPr>
          <w:sz w:val="22"/>
        </w:rPr>
        <w:t>MAPP</w:t>
      </w:r>
      <w:r>
        <w:rPr>
          <w:spacing w:val="40"/>
          <w:sz w:val="22"/>
        </w:rPr>
        <w:t> </w:t>
      </w:r>
      <w:r>
        <w:rPr>
          <w:sz w:val="22"/>
        </w:rPr>
        <w:t>training</w:t>
      </w:r>
      <w:r>
        <w:rPr>
          <w:spacing w:val="40"/>
          <w:sz w:val="22"/>
        </w:rPr>
        <w:t> </w:t>
      </w:r>
      <w:r>
        <w:rPr>
          <w:sz w:val="22"/>
        </w:rPr>
        <w:t>curriculum</w:t>
      </w:r>
      <w:r>
        <w:rPr>
          <w:spacing w:val="39"/>
          <w:sz w:val="22"/>
        </w:rPr>
        <w:t> </w:t>
      </w:r>
      <w:r>
        <w:rPr>
          <w:sz w:val="22"/>
        </w:rPr>
        <w:t>and</w:t>
      </w:r>
      <w:r>
        <w:rPr>
          <w:spacing w:val="40"/>
          <w:sz w:val="22"/>
        </w:rPr>
        <w:t> </w:t>
      </w:r>
      <w:r>
        <w:rPr>
          <w:sz w:val="22"/>
        </w:rPr>
        <w:t>establish</w:t>
      </w:r>
      <w:r>
        <w:rPr>
          <w:spacing w:val="39"/>
          <w:sz w:val="22"/>
        </w:rPr>
        <w:t> </w:t>
      </w:r>
      <w:r>
        <w:rPr>
          <w:sz w:val="22"/>
        </w:rPr>
        <w:t>a</w:t>
      </w:r>
      <w:r>
        <w:rPr>
          <w:spacing w:val="40"/>
          <w:sz w:val="22"/>
        </w:rPr>
        <w:t> </w:t>
      </w:r>
      <w:r>
        <w:rPr>
          <w:sz w:val="22"/>
        </w:rPr>
        <w:t>system</w:t>
      </w:r>
      <w:r>
        <w:rPr>
          <w:spacing w:val="39"/>
          <w:sz w:val="22"/>
        </w:rPr>
        <w:t> </w:t>
      </w:r>
      <w:r>
        <w:rPr>
          <w:sz w:val="22"/>
        </w:rPr>
        <w:t>of frequent reviews and updates to ensure continued relevance.</w:t>
      </w:r>
    </w:p>
    <w:p>
      <w:pPr>
        <w:spacing w:after="0" w:line="276" w:lineRule="auto"/>
        <w:jc w:val="left"/>
        <w:rPr>
          <w:sz w:val="22"/>
        </w:rPr>
        <w:sectPr>
          <w:headerReference w:type="default" r:id="rId720"/>
          <w:footerReference w:type="default" r:id="rId721"/>
          <w:pgSz w:w="12240" w:h="15840"/>
          <w:pgMar w:header="804" w:footer="1263" w:top="1000" w:bottom="1460" w:left="960" w:right="1100"/>
        </w:sectPr>
      </w:pPr>
    </w:p>
    <w:p>
      <w:pPr>
        <w:pStyle w:val="ListParagraph"/>
        <w:numPr>
          <w:ilvl w:val="0"/>
          <w:numId w:val="35"/>
        </w:numPr>
        <w:tabs>
          <w:tab w:pos="1196" w:val="left" w:leader="none"/>
          <w:tab w:pos="1203" w:val="left" w:leader="none"/>
        </w:tabs>
        <w:spacing w:line="276" w:lineRule="auto" w:before="139" w:after="0"/>
        <w:ind w:left="1203" w:right="342" w:hanging="360"/>
        <w:jc w:val="left"/>
        <w:rPr>
          <w:sz w:val="22"/>
        </w:rPr>
      </w:pPr>
      <w:r>
        <w:rPr>
          <w:sz w:val="22"/>
        </w:rPr>
        <w:t>Improve</w:t>
      </w:r>
      <w:r>
        <w:rPr>
          <w:spacing w:val="40"/>
          <w:sz w:val="22"/>
        </w:rPr>
        <w:t> </w:t>
      </w:r>
      <w:r>
        <w:rPr>
          <w:sz w:val="22"/>
        </w:rPr>
        <w:t>recruitment</w:t>
      </w:r>
      <w:r>
        <w:rPr>
          <w:spacing w:val="40"/>
          <w:sz w:val="22"/>
        </w:rPr>
        <w:t> </w:t>
      </w:r>
      <w:r>
        <w:rPr>
          <w:sz w:val="22"/>
        </w:rPr>
        <w:t>of</w:t>
      </w:r>
      <w:r>
        <w:rPr>
          <w:spacing w:val="40"/>
          <w:sz w:val="22"/>
        </w:rPr>
        <w:t> </w:t>
      </w:r>
      <w:r>
        <w:rPr>
          <w:sz w:val="22"/>
        </w:rPr>
        <w:t>LGBTQ-affirming</w:t>
      </w:r>
      <w:r>
        <w:rPr>
          <w:spacing w:val="40"/>
          <w:sz w:val="22"/>
        </w:rPr>
        <w:t> </w:t>
      </w:r>
      <w:r>
        <w:rPr>
          <w:sz w:val="22"/>
        </w:rPr>
        <w:t>foster</w:t>
      </w:r>
      <w:r>
        <w:rPr>
          <w:spacing w:val="40"/>
          <w:sz w:val="22"/>
        </w:rPr>
        <w:t> </w:t>
      </w:r>
      <w:r>
        <w:rPr>
          <w:sz w:val="22"/>
        </w:rPr>
        <w:t>parents</w:t>
      </w:r>
      <w:r>
        <w:rPr>
          <w:spacing w:val="40"/>
          <w:sz w:val="22"/>
        </w:rPr>
        <w:t> </w:t>
      </w:r>
      <w:r>
        <w:rPr>
          <w:sz w:val="22"/>
        </w:rPr>
        <w:t>and</w:t>
      </w:r>
      <w:r>
        <w:rPr>
          <w:spacing w:val="40"/>
          <w:sz w:val="22"/>
        </w:rPr>
        <w:t> </w:t>
      </w:r>
      <w:r>
        <w:rPr>
          <w:sz w:val="22"/>
        </w:rPr>
        <w:t>create</w:t>
      </w:r>
      <w:r>
        <w:rPr>
          <w:spacing w:val="40"/>
          <w:sz w:val="22"/>
        </w:rPr>
        <w:t> </w:t>
      </w:r>
      <w:r>
        <w:rPr>
          <w:sz w:val="22"/>
        </w:rPr>
        <w:t>a</w:t>
      </w:r>
      <w:r>
        <w:rPr>
          <w:spacing w:val="40"/>
          <w:sz w:val="22"/>
        </w:rPr>
        <w:t> </w:t>
      </w:r>
      <w:r>
        <w:rPr>
          <w:sz w:val="22"/>
        </w:rPr>
        <w:t>statewide</w:t>
      </w:r>
      <w:r>
        <w:rPr>
          <w:spacing w:val="40"/>
          <w:sz w:val="22"/>
        </w:rPr>
        <w:t> </w:t>
      </w:r>
      <w:r>
        <w:rPr>
          <w:sz w:val="22"/>
        </w:rPr>
        <w:t>database</w:t>
      </w:r>
      <w:r>
        <w:rPr>
          <w:spacing w:val="40"/>
          <w:sz w:val="22"/>
        </w:rPr>
        <w:t> </w:t>
      </w:r>
      <w:r>
        <w:rPr>
          <w:sz w:val="22"/>
        </w:rPr>
        <w:t>of LGBTQ-affirming homes.</w:t>
      </w:r>
    </w:p>
    <w:p>
      <w:pPr>
        <w:pStyle w:val="ListParagraph"/>
        <w:numPr>
          <w:ilvl w:val="0"/>
          <w:numId w:val="35"/>
        </w:numPr>
        <w:tabs>
          <w:tab w:pos="1194" w:val="left" w:leader="none"/>
          <w:tab w:pos="1203" w:val="left" w:leader="none"/>
        </w:tabs>
        <w:spacing w:line="276" w:lineRule="auto" w:before="0" w:after="0"/>
        <w:ind w:left="1203" w:right="345" w:hanging="361"/>
        <w:jc w:val="left"/>
        <w:rPr>
          <w:sz w:val="22"/>
        </w:rPr>
      </w:pPr>
      <w:r>
        <w:rPr>
          <w:sz w:val="22"/>
        </w:rPr>
        <w:t>Partner with LGBTQ youth and organizations to create and disseminate tangible resources for</w:t>
      </w:r>
      <w:r>
        <w:rPr>
          <w:spacing w:val="40"/>
          <w:sz w:val="22"/>
        </w:rPr>
        <w:t> </w:t>
      </w:r>
      <w:r>
        <w:rPr>
          <w:sz w:val="22"/>
        </w:rPr>
        <w:t>youth, families, and social workers.</w:t>
      </w:r>
    </w:p>
    <w:p>
      <w:pPr>
        <w:pStyle w:val="ListParagraph"/>
        <w:numPr>
          <w:ilvl w:val="0"/>
          <w:numId w:val="35"/>
        </w:numPr>
        <w:tabs>
          <w:tab w:pos="1195" w:val="left" w:leader="none"/>
        </w:tabs>
        <w:spacing w:line="240" w:lineRule="auto" w:before="0" w:after="0"/>
        <w:ind w:left="1195" w:right="0" w:hanging="352"/>
        <w:jc w:val="left"/>
        <w:rPr>
          <w:sz w:val="22"/>
        </w:rPr>
      </w:pPr>
      <w:r>
        <w:rPr>
          <w:sz w:val="22"/>
        </w:rPr>
        <w:t>Investigate</w:t>
      </w:r>
      <w:r>
        <w:rPr>
          <w:spacing w:val="-6"/>
          <w:sz w:val="22"/>
        </w:rPr>
        <w:t> </w:t>
      </w:r>
      <w:r>
        <w:rPr>
          <w:sz w:val="22"/>
        </w:rPr>
        <w:t>and</w:t>
      </w:r>
      <w:r>
        <w:rPr>
          <w:spacing w:val="-7"/>
          <w:sz w:val="22"/>
        </w:rPr>
        <w:t> </w:t>
      </w:r>
      <w:r>
        <w:rPr>
          <w:sz w:val="22"/>
        </w:rPr>
        <w:t>address</w:t>
      </w:r>
      <w:r>
        <w:rPr>
          <w:spacing w:val="-7"/>
          <w:sz w:val="22"/>
        </w:rPr>
        <w:t> </w:t>
      </w:r>
      <w:r>
        <w:rPr>
          <w:sz w:val="22"/>
        </w:rPr>
        <w:t>gaps</w:t>
      </w:r>
      <w:r>
        <w:rPr>
          <w:spacing w:val="-7"/>
          <w:sz w:val="22"/>
        </w:rPr>
        <w:t> </w:t>
      </w:r>
      <w:r>
        <w:rPr>
          <w:sz w:val="22"/>
        </w:rPr>
        <w:t>in</w:t>
      </w:r>
      <w:r>
        <w:rPr>
          <w:spacing w:val="-7"/>
          <w:sz w:val="22"/>
        </w:rPr>
        <w:t> </w:t>
      </w:r>
      <w:r>
        <w:rPr>
          <w:sz w:val="22"/>
        </w:rPr>
        <w:t>service</w:t>
      </w:r>
      <w:r>
        <w:rPr>
          <w:spacing w:val="-6"/>
          <w:sz w:val="22"/>
        </w:rPr>
        <w:t> </w:t>
      </w:r>
      <w:r>
        <w:rPr>
          <w:sz w:val="22"/>
        </w:rPr>
        <w:t>provision</w:t>
      </w:r>
      <w:r>
        <w:rPr>
          <w:spacing w:val="-8"/>
          <w:sz w:val="22"/>
        </w:rPr>
        <w:t> </w:t>
      </w:r>
      <w:r>
        <w:rPr>
          <w:sz w:val="22"/>
        </w:rPr>
        <w:t>for</w:t>
      </w:r>
      <w:r>
        <w:rPr>
          <w:spacing w:val="-7"/>
          <w:sz w:val="22"/>
        </w:rPr>
        <w:t> </w:t>
      </w:r>
      <w:r>
        <w:rPr>
          <w:sz w:val="22"/>
        </w:rPr>
        <w:t>LGBTQ</w:t>
      </w:r>
      <w:r>
        <w:rPr>
          <w:spacing w:val="-7"/>
          <w:sz w:val="22"/>
        </w:rPr>
        <w:t> </w:t>
      </w:r>
      <w:r>
        <w:rPr>
          <w:sz w:val="22"/>
        </w:rPr>
        <w:t>immigrant</w:t>
      </w:r>
      <w:r>
        <w:rPr>
          <w:spacing w:val="-7"/>
          <w:sz w:val="22"/>
        </w:rPr>
        <w:t> </w:t>
      </w:r>
      <w:r>
        <w:rPr>
          <w:sz w:val="22"/>
        </w:rPr>
        <w:t>youth</w:t>
      </w:r>
      <w:r>
        <w:rPr>
          <w:spacing w:val="-7"/>
          <w:sz w:val="22"/>
        </w:rPr>
        <w:t> </w:t>
      </w:r>
      <w:r>
        <w:rPr>
          <w:sz w:val="22"/>
        </w:rPr>
        <w:t>in</w:t>
      </w:r>
      <w:r>
        <w:rPr>
          <w:spacing w:val="-7"/>
          <w:sz w:val="22"/>
        </w:rPr>
        <w:t> </w:t>
      </w:r>
      <w:r>
        <w:rPr>
          <w:sz w:val="22"/>
        </w:rPr>
        <w:t>DCF</w:t>
      </w:r>
      <w:r>
        <w:rPr>
          <w:spacing w:val="-6"/>
          <w:sz w:val="22"/>
        </w:rPr>
        <w:t> </w:t>
      </w:r>
      <w:r>
        <w:rPr>
          <w:spacing w:val="-2"/>
          <w:sz w:val="22"/>
        </w:rPr>
        <w:t>care.</w:t>
      </w:r>
    </w:p>
    <w:p>
      <w:pPr>
        <w:pStyle w:val="ListParagraph"/>
        <w:numPr>
          <w:ilvl w:val="0"/>
          <w:numId w:val="35"/>
        </w:numPr>
        <w:tabs>
          <w:tab w:pos="1195" w:val="left" w:leader="none"/>
          <w:tab w:pos="1204" w:val="left" w:leader="none"/>
        </w:tabs>
        <w:spacing w:line="276" w:lineRule="auto" w:before="39" w:after="0"/>
        <w:ind w:left="1204" w:right="342" w:hanging="361"/>
        <w:jc w:val="both"/>
        <w:rPr>
          <w:sz w:val="22"/>
        </w:rPr>
      </w:pPr>
      <w:r>
        <w:rPr>
          <w:sz w:val="22"/>
        </w:rPr>
        <w:t>Expand and mandate LGBTQ cultural engagement trainings, as well as trainings on racial equity, ableism, and adultism.</w:t>
      </w:r>
    </w:p>
    <w:p>
      <w:pPr>
        <w:pStyle w:val="ListParagraph"/>
        <w:numPr>
          <w:ilvl w:val="0"/>
          <w:numId w:val="35"/>
        </w:numPr>
        <w:tabs>
          <w:tab w:pos="1197" w:val="left" w:leader="none"/>
          <w:tab w:pos="1204" w:val="left" w:leader="none"/>
        </w:tabs>
        <w:spacing w:line="276" w:lineRule="auto" w:before="0" w:after="0"/>
        <w:ind w:left="1204" w:right="342" w:hanging="360"/>
        <w:jc w:val="both"/>
        <w:rPr>
          <w:sz w:val="22"/>
        </w:rPr>
      </w:pPr>
      <w:r>
        <w:rPr>
          <w:sz w:val="22"/>
        </w:rPr>
        <w:t>Improve interagency work to support “warm hand-offs” for transition-aged youth attempting to access services, in partnership with the Department of Mental Health, MassHealth, and the Department of Youth Services.</w:t>
      </w:r>
    </w:p>
    <w:p>
      <w:pPr>
        <w:pStyle w:val="ListParagraph"/>
        <w:numPr>
          <w:ilvl w:val="0"/>
          <w:numId w:val="35"/>
        </w:numPr>
        <w:tabs>
          <w:tab w:pos="1195" w:val="left" w:leader="none"/>
          <w:tab w:pos="1204" w:val="left" w:leader="none"/>
        </w:tabs>
        <w:spacing w:line="276" w:lineRule="auto" w:before="0" w:after="0"/>
        <w:ind w:left="1204" w:right="343" w:hanging="361"/>
        <w:jc w:val="both"/>
        <w:rPr>
          <w:sz w:val="22"/>
        </w:rPr>
      </w:pPr>
      <w:r>
        <w:rPr>
          <w:sz w:val="22"/>
        </w:rPr>
        <w:t>Improve family preservation services to safely monitor and mitigate concerns that may lead to the removal of a child.</w:t>
      </w:r>
    </w:p>
    <w:p>
      <w:pPr>
        <w:pStyle w:val="ListParagraph"/>
        <w:numPr>
          <w:ilvl w:val="0"/>
          <w:numId w:val="35"/>
        </w:numPr>
        <w:tabs>
          <w:tab w:pos="1197" w:val="left" w:leader="none"/>
          <w:tab w:pos="1204" w:val="left" w:leader="none"/>
        </w:tabs>
        <w:spacing w:line="276" w:lineRule="auto" w:before="0" w:after="0"/>
        <w:ind w:left="1204" w:right="343" w:hanging="360"/>
        <w:jc w:val="both"/>
        <w:rPr>
          <w:sz w:val="22"/>
        </w:rPr>
      </w:pPr>
      <w:r>
        <w:rPr>
          <w:sz w:val="22"/>
        </w:rPr>
        <w:t>Collaborate</w:t>
      </w:r>
      <w:r>
        <w:rPr>
          <w:spacing w:val="-4"/>
          <w:sz w:val="22"/>
        </w:rPr>
        <w:t> </w:t>
      </w:r>
      <w:r>
        <w:rPr>
          <w:sz w:val="22"/>
        </w:rPr>
        <w:t>with</w:t>
      </w:r>
      <w:r>
        <w:rPr>
          <w:spacing w:val="-3"/>
          <w:sz w:val="22"/>
        </w:rPr>
        <w:t> </w:t>
      </w:r>
      <w:r>
        <w:rPr>
          <w:sz w:val="22"/>
        </w:rPr>
        <w:t>the</w:t>
      </w:r>
      <w:r>
        <w:rPr>
          <w:spacing w:val="-4"/>
          <w:sz w:val="22"/>
        </w:rPr>
        <w:t> </w:t>
      </w:r>
      <w:r>
        <w:rPr>
          <w:sz w:val="22"/>
        </w:rPr>
        <w:t>Commission</w:t>
      </w:r>
      <w:r>
        <w:rPr>
          <w:spacing w:val="-4"/>
          <w:sz w:val="22"/>
        </w:rPr>
        <w:t> </w:t>
      </w:r>
      <w:r>
        <w:rPr>
          <w:sz w:val="22"/>
        </w:rPr>
        <w:t>and</w:t>
      </w:r>
      <w:r>
        <w:rPr>
          <w:spacing w:val="-3"/>
          <w:sz w:val="22"/>
        </w:rPr>
        <w:t> </w:t>
      </w:r>
      <w:r>
        <w:rPr>
          <w:sz w:val="22"/>
        </w:rPr>
        <w:t>providers</w:t>
      </w:r>
      <w:r>
        <w:rPr>
          <w:spacing w:val="-4"/>
          <w:sz w:val="22"/>
        </w:rPr>
        <w:t> </w:t>
      </w:r>
      <w:r>
        <w:rPr>
          <w:sz w:val="22"/>
        </w:rPr>
        <w:t>to</w:t>
      </w:r>
      <w:r>
        <w:rPr>
          <w:spacing w:val="-3"/>
          <w:sz w:val="22"/>
        </w:rPr>
        <w:t> </w:t>
      </w:r>
      <w:r>
        <w:rPr>
          <w:sz w:val="22"/>
        </w:rPr>
        <w:t>create</w:t>
      </w:r>
      <w:r>
        <w:rPr>
          <w:spacing w:val="-4"/>
          <w:sz w:val="22"/>
        </w:rPr>
        <w:t> </w:t>
      </w:r>
      <w:r>
        <w:rPr>
          <w:sz w:val="22"/>
        </w:rPr>
        <w:t>an</w:t>
      </w:r>
      <w:r>
        <w:rPr>
          <w:spacing w:val="-4"/>
          <w:sz w:val="22"/>
        </w:rPr>
        <w:t> </w:t>
      </w:r>
      <w:r>
        <w:rPr>
          <w:sz w:val="22"/>
        </w:rPr>
        <w:t>LGBTQ</w:t>
      </w:r>
      <w:r>
        <w:rPr>
          <w:spacing w:val="-4"/>
          <w:sz w:val="22"/>
        </w:rPr>
        <w:t> </w:t>
      </w:r>
      <w:r>
        <w:rPr>
          <w:sz w:val="22"/>
        </w:rPr>
        <w:t>parent</w:t>
      </w:r>
      <w:r>
        <w:rPr>
          <w:spacing w:val="-3"/>
          <w:sz w:val="22"/>
        </w:rPr>
        <w:t> </w:t>
      </w:r>
      <w:r>
        <w:rPr>
          <w:sz w:val="22"/>
        </w:rPr>
        <w:t>education</w:t>
      </w:r>
      <w:r>
        <w:rPr>
          <w:spacing w:val="-3"/>
          <w:sz w:val="22"/>
        </w:rPr>
        <w:t> </w:t>
      </w:r>
      <w:r>
        <w:rPr>
          <w:sz w:val="22"/>
        </w:rPr>
        <w:t>curriculum to better support family preservation services.</w:t>
      </w:r>
    </w:p>
    <w:p>
      <w:pPr>
        <w:pStyle w:val="ListParagraph"/>
        <w:numPr>
          <w:ilvl w:val="0"/>
          <w:numId w:val="35"/>
        </w:numPr>
        <w:tabs>
          <w:tab w:pos="1195" w:val="left" w:leader="none"/>
          <w:tab w:pos="1204" w:val="left" w:leader="none"/>
        </w:tabs>
        <w:spacing w:line="276" w:lineRule="auto" w:before="0" w:after="0"/>
        <w:ind w:left="1204" w:right="342" w:hanging="361"/>
        <w:jc w:val="both"/>
        <w:rPr>
          <w:sz w:val="22"/>
        </w:rPr>
      </w:pPr>
      <w:r>
        <w:rPr>
          <w:sz w:val="22"/>
        </w:rPr>
        <w:t>Review</w:t>
      </w:r>
      <w:r>
        <w:rPr>
          <w:spacing w:val="-5"/>
          <w:sz w:val="22"/>
        </w:rPr>
        <w:t> </w:t>
      </w:r>
      <w:r>
        <w:rPr>
          <w:sz w:val="22"/>
        </w:rPr>
        <w:t>all</w:t>
      </w:r>
      <w:r>
        <w:rPr>
          <w:spacing w:val="-6"/>
          <w:sz w:val="22"/>
        </w:rPr>
        <w:t> </w:t>
      </w:r>
      <w:r>
        <w:rPr>
          <w:sz w:val="22"/>
        </w:rPr>
        <w:t>internal</w:t>
      </w:r>
      <w:r>
        <w:rPr>
          <w:spacing w:val="-5"/>
          <w:sz w:val="22"/>
        </w:rPr>
        <w:t> </w:t>
      </w:r>
      <w:r>
        <w:rPr>
          <w:sz w:val="22"/>
        </w:rPr>
        <w:t>curriculum</w:t>
      </w:r>
      <w:r>
        <w:rPr>
          <w:spacing w:val="-5"/>
          <w:sz w:val="22"/>
        </w:rPr>
        <w:t> </w:t>
      </w:r>
      <w:r>
        <w:rPr>
          <w:sz w:val="22"/>
        </w:rPr>
        <w:t>provided</w:t>
      </w:r>
      <w:r>
        <w:rPr>
          <w:spacing w:val="-4"/>
          <w:sz w:val="22"/>
        </w:rPr>
        <w:t> </w:t>
      </w:r>
      <w:r>
        <w:rPr>
          <w:sz w:val="22"/>
        </w:rPr>
        <w:t>to</w:t>
      </w:r>
      <w:r>
        <w:rPr>
          <w:spacing w:val="-6"/>
          <w:sz w:val="22"/>
        </w:rPr>
        <w:t> </w:t>
      </w:r>
      <w:r>
        <w:rPr>
          <w:sz w:val="22"/>
        </w:rPr>
        <w:t>youth</w:t>
      </w:r>
      <w:r>
        <w:rPr>
          <w:spacing w:val="-5"/>
          <w:sz w:val="22"/>
        </w:rPr>
        <w:t> </w:t>
      </w:r>
      <w:r>
        <w:rPr>
          <w:sz w:val="22"/>
        </w:rPr>
        <w:t>and</w:t>
      </w:r>
      <w:r>
        <w:rPr>
          <w:spacing w:val="-5"/>
          <w:sz w:val="22"/>
        </w:rPr>
        <w:t> </w:t>
      </w:r>
      <w:r>
        <w:rPr>
          <w:sz w:val="22"/>
        </w:rPr>
        <w:t>ensure</w:t>
      </w:r>
      <w:r>
        <w:rPr>
          <w:spacing w:val="-5"/>
          <w:sz w:val="22"/>
        </w:rPr>
        <w:t> </w:t>
      </w:r>
      <w:r>
        <w:rPr>
          <w:sz w:val="22"/>
        </w:rPr>
        <w:t>that</w:t>
      </w:r>
      <w:r>
        <w:rPr>
          <w:spacing w:val="-6"/>
          <w:sz w:val="22"/>
        </w:rPr>
        <w:t> </w:t>
      </w:r>
      <w:r>
        <w:rPr>
          <w:sz w:val="22"/>
        </w:rPr>
        <w:t>youth</w:t>
      </w:r>
      <w:r>
        <w:rPr>
          <w:spacing w:val="-7"/>
          <w:sz w:val="22"/>
        </w:rPr>
        <w:t> </w:t>
      </w:r>
      <w:r>
        <w:rPr>
          <w:sz w:val="22"/>
        </w:rPr>
        <w:t>are</w:t>
      </w:r>
      <w:r>
        <w:rPr>
          <w:spacing w:val="-5"/>
          <w:sz w:val="22"/>
        </w:rPr>
        <w:t> </w:t>
      </w:r>
      <w:r>
        <w:rPr>
          <w:sz w:val="22"/>
        </w:rPr>
        <w:t>receiving</w:t>
      </w:r>
      <w:r>
        <w:rPr>
          <w:spacing w:val="-7"/>
          <w:sz w:val="22"/>
        </w:rPr>
        <w:t> </w:t>
      </w:r>
      <w:r>
        <w:rPr>
          <w:sz w:val="22"/>
        </w:rPr>
        <w:t>appropriate sexual health and health care education.</w:t>
      </w:r>
    </w:p>
    <w:p>
      <w:pPr>
        <w:spacing w:before="239"/>
        <w:ind w:left="483" w:right="0" w:firstLine="0"/>
        <w:jc w:val="left"/>
        <w:rPr>
          <w:sz w:val="28"/>
        </w:rPr>
      </w:pPr>
      <w:r>
        <w:rPr/>
        <mc:AlternateContent>
          <mc:Choice Requires="wps">
            <w:drawing>
              <wp:anchor distT="0" distB="0" distL="0" distR="0" allowOverlap="1" layoutInCell="1" locked="0" behindDoc="1" simplePos="0" relativeHeight="487696896">
                <wp:simplePos x="0" y="0"/>
                <wp:positionH relativeFrom="page">
                  <wp:posOffset>889000</wp:posOffset>
                </wp:positionH>
                <wp:positionV relativeFrom="paragraph">
                  <wp:posOffset>406512</wp:posOffset>
                </wp:positionV>
                <wp:extent cx="5985510" cy="13970"/>
                <wp:effectExtent l="0" t="0" r="0" b="0"/>
                <wp:wrapTopAndBottom/>
                <wp:docPr id="561" name="Group 561"/>
                <wp:cNvGraphicFramePr>
                  <a:graphicFrameLocks/>
                </wp:cNvGraphicFramePr>
                <a:graphic>
                  <a:graphicData uri="http://schemas.microsoft.com/office/word/2010/wordprocessingGroup">
                    <wpg:wgp>
                      <wpg:cNvPr id="561" name="Group 561"/>
                      <wpg:cNvGrpSpPr/>
                      <wpg:grpSpPr>
                        <a:xfrm>
                          <a:off x="0" y="0"/>
                          <a:ext cx="5985510" cy="13970"/>
                          <a:chExt cx="5985510" cy="13970"/>
                        </a:xfrm>
                      </wpg:grpSpPr>
                      <wps:wsp>
                        <wps:cNvPr id="562" name="Graphic 562"/>
                        <wps:cNvSpPr/>
                        <wps:spPr>
                          <a:xfrm>
                            <a:off x="8636" y="7734"/>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wps:wsp>
                        <wps:cNvPr id="563" name="Graphic 563"/>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wpg:wgp>
                  </a:graphicData>
                </a:graphic>
              </wp:anchor>
            </w:drawing>
          </mc:Choice>
          <mc:Fallback>
            <w:pict>
              <v:group style="position:absolute;margin-left:70pt;margin-top:32.008846pt;width:471.3pt;height:1.1pt;mso-position-horizontal-relative:page;mso-position-vertical-relative:paragraph;z-index:-15619584;mso-wrap-distance-left:0;mso-wrap-distance-right:0" id="docshapegroup458" coordorigin="1400,640" coordsize="9426,22">
                <v:rect style="position:absolute;left:1413;top:652;width:9412;height:10" id="docshape459" filled="true" fillcolor="#4f81bc" stroked="false">
                  <v:fill type="solid"/>
                </v:rect>
                <v:rect style="position:absolute;left:1400;top:640;width:10;height:20" id="docshape460" filled="true" fillcolor="#4f81bb" stroked="false">
                  <v:fill type="solid"/>
                </v:rect>
                <w10:wrap type="topAndBottom"/>
              </v:group>
            </w:pict>
          </mc:Fallback>
        </mc:AlternateContent>
      </w:r>
      <w:r>
        <w:rPr>
          <w:color w:val="365F91"/>
          <w:spacing w:val="-2"/>
          <w:sz w:val="28"/>
        </w:rPr>
        <w:t>Introduction</w:t>
      </w:r>
    </w:p>
    <w:p>
      <w:pPr>
        <w:pStyle w:val="BodyText"/>
        <w:spacing w:line="276" w:lineRule="auto" w:before="241"/>
        <w:ind w:left="483" w:right="341"/>
        <w:jc w:val="both"/>
      </w:pPr>
      <w:r>
        <w:rPr/>
        <w:t>The</w:t>
      </w:r>
      <w:r>
        <w:rPr>
          <w:spacing w:val="-8"/>
        </w:rPr>
        <w:t> </w:t>
      </w:r>
      <w:r>
        <w:rPr/>
        <w:t>Massachusetts</w:t>
      </w:r>
      <w:r>
        <w:rPr>
          <w:spacing w:val="-7"/>
        </w:rPr>
        <w:t> </w:t>
      </w:r>
      <w:hyperlink r:id="rId722">
        <w:r>
          <w:rPr>
            <w:color w:val="1153CC"/>
            <w:u w:val="single" w:color="1153CC"/>
          </w:rPr>
          <w:t>Department</w:t>
        </w:r>
        <w:r>
          <w:rPr>
            <w:color w:val="1153CC"/>
            <w:spacing w:val="-7"/>
            <w:u w:val="single" w:color="1153CC"/>
          </w:rPr>
          <w:t> </w:t>
        </w:r>
        <w:r>
          <w:rPr>
            <w:color w:val="1153CC"/>
            <w:u w:val="single" w:color="1153CC"/>
          </w:rPr>
          <w:t>of</w:t>
        </w:r>
        <w:r>
          <w:rPr>
            <w:color w:val="1153CC"/>
            <w:spacing w:val="-8"/>
            <w:u w:val="single" w:color="1153CC"/>
          </w:rPr>
          <w:t> </w:t>
        </w:r>
        <w:r>
          <w:rPr>
            <w:color w:val="1153CC"/>
            <w:u w:val="single" w:color="1153CC"/>
          </w:rPr>
          <w:t>Children</w:t>
        </w:r>
        <w:r>
          <w:rPr>
            <w:color w:val="1153CC"/>
            <w:spacing w:val="-8"/>
            <w:u w:val="single" w:color="1153CC"/>
          </w:rPr>
          <w:t> </w:t>
        </w:r>
        <w:r>
          <w:rPr>
            <w:color w:val="1153CC"/>
            <w:u w:val="single" w:color="1153CC"/>
          </w:rPr>
          <w:t>and</w:t>
        </w:r>
        <w:r>
          <w:rPr>
            <w:color w:val="1153CC"/>
            <w:spacing w:val="-7"/>
            <w:u w:val="single" w:color="1153CC"/>
          </w:rPr>
          <w:t> </w:t>
        </w:r>
        <w:r>
          <w:rPr>
            <w:color w:val="1153CC"/>
            <w:u w:val="single" w:color="1153CC"/>
          </w:rPr>
          <w:t>Families</w:t>
        </w:r>
        <w:r>
          <w:rPr>
            <w:color w:val="1153CC"/>
            <w:spacing w:val="-7"/>
            <w:u w:val="single" w:color="1153CC"/>
          </w:rPr>
          <w:t> </w:t>
        </w:r>
        <w:r>
          <w:rPr>
            <w:color w:val="1153CC"/>
            <w:u w:val="single" w:color="1153CC"/>
          </w:rPr>
          <w:t>(DCF)</w:t>
        </w:r>
      </w:hyperlink>
      <w:r>
        <w:rPr>
          <w:color w:val="1153CC"/>
          <w:spacing w:val="-8"/>
          <w:u w:val="none"/>
        </w:rPr>
        <w:t> </w:t>
      </w:r>
      <w:r>
        <w:rPr>
          <w:u w:val="none"/>
        </w:rPr>
        <w:t>is</w:t>
      </w:r>
      <w:r>
        <w:rPr>
          <w:spacing w:val="-7"/>
          <w:u w:val="none"/>
        </w:rPr>
        <w:t> </w:t>
      </w:r>
      <w:r>
        <w:rPr>
          <w:u w:val="none"/>
        </w:rPr>
        <w:t>the</w:t>
      </w:r>
      <w:r>
        <w:rPr>
          <w:spacing w:val="-8"/>
          <w:u w:val="none"/>
        </w:rPr>
        <w:t> </w:t>
      </w:r>
      <w:r>
        <w:rPr>
          <w:u w:val="none"/>
        </w:rPr>
        <w:t>state</w:t>
      </w:r>
      <w:r>
        <w:rPr>
          <w:spacing w:val="-7"/>
          <w:u w:val="none"/>
        </w:rPr>
        <w:t> </w:t>
      </w:r>
      <w:r>
        <w:rPr>
          <w:u w:val="none"/>
        </w:rPr>
        <w:t>agency</w:t>
      </w:r>
      <w:r>
        <w:rPr>
          <w:spacing w:val="-8"/>
          <w:u w:val="none"/>
        </w:rPr>
        <w:t> </w:t>
      </w:r>
      <w:r>
        <w:rPr>
          <w:u w:val="none"/>
        </w:rPr>
        <w:t>directed</w:t>
      </w:r>
      <w:r>
        <w:rPr>
          <w:spacing w:val="-8"/>
          <w:u w:val="none"/>
        </w:rPr>
        <w:t> </w:t>
      </w:r>
      <w:r>
        <w:rPr>
          <w:u w:val="none"/>
        </w:rPr>
        <w:t>to</w:t>
      </w:r>
      <w:r>
        <w:rPr>
          <w:spacing w:val="-5"/>
          <w:u w:val="none"/>
        </w:rPr>
        <w:t> </w:t>
      </w:r>
      <w:r>
        <w:rPr>
          <w:u w:val="none"/>
        </w:rPr>
        <w:t>support</w:t>
      </w:r>
      <w:r>
        <w:rPr>
          <w:spacing w:val="-7"/>
          <w:u w:val="none"/>
        </w:rPr>
        <w:t> </w:t>
      </w:r>
      <w:r>
        <w:rPr>
          <w:u w:val="none"/>
        </w:rPr>
        <w:t>the permanency and well-being of children in the Commonwealth. Overseeing a wide array of services, programs, and systems, DCF strives to protect children from abuse and neglect, and provides support services</w:t>
      </w:r>
      <w:r>
        <w:rPr>
          <w:spacing w:val="-4"/>
          <w:u w:val="none"/>
        </w:rPr>
        <w:t> </w:t>
      </w:r>
      <w:r>
        <w:rPr>
          <w:u w:val="none"/>
        </w:rPr>
        <w:t>to</w:t>
      </w:r>
      <w:r>
        <w:rPr>
          <w:spacing w:val="-4"/>
          <w:u w:val="none"/>
        </w:rPr>
        <w:t> </w:t>
      </w:r>
      <w:r>
        <w:rPr>
          <w:u w:val="none"/>
        </w:rPr>
        <w:t>youth</w:t>
      </w:r>
      <w:r>
        <w:rPr>
          <w:spacing w:val="-4"/>
          <w:u w:val="none"/>
        </w:rPr>
        <w:t> </w:t>
      </w:r>
      <w:r>
        <w:rPr>
          <w:u w:val="none"/>
        </w:rPr>
        <w:t>aged</w:t>
      </w:r>
      <w:r>
        <w:rPr>
          <w:spacing w:val="-4"/>
          <w:u w:val="none"/>
        </w:rPr>
        <w:t> </w:t>
      </w:r>
      <w:r>
        <w:rPr>
          <w:u w:val="none"/>
        </w:rPr>
        <w:t>18</w:t>
      </w:r>
      <w:r>
        <w:rPr>
          <w:spacing w:val="-3"/>
          <w:u w:val="none"/>
        </w:rPr>
        <w:t> </w:t>
      </w:r>
      <w:r>
        <w:rPr>
          <w:u w:val="none"/>
        </w:rPr>
        <w:t>to</w:t>
      </w:r>
      <w:r>
        <w:rPr>
          <w:spacing w:val="-4"/>
          <w:u w:val="none"/>
        </w:rPr>
        <w:t> </w:t>
      </w:r>
      <w:r>
        <w:rPr>
          <w:u w:val="none"/>
        </w:rPr>
        <w:t>22</w:t>
      </w:r>
      <w:r>
        <w:rPr>
          <w:spacing w:val="-4"/>
          <w:u w:val="none"/>
        </w:rPr>
        <w:t> </w:t>
      </w:r>
      <w:r>
        <w:rPr>
          <w:u w:val="none"/>
        </w:rPr>
        <w:t>transitioning</w:t>
      </w:r>
      <w:r>
        <w:rPr>
          <w:spacing w:val="-4"/>
          <w:u w:val="none"/>
        </w:rPr>
        <w:t> </w:t>
      </w:r>
      <w:r>
        <w:rPr>
          <w:u w:val="none"/>
        </w:rPr>
        <w:t>out</w:t>
      </w:r>
      <w:r>
        <w:rPr>
          <w:spacing w:val="-4"/>
          <w:u w:val="none"/>
        </w:rPr>
        <w:t> </w:t>
      </w:r>
      <w:r>
        <w:rPr>
          <w:u w:val="none"/>
        </w:rPr>
        <w:t>of</w:t>
      </w:r>
      <w:r>
        <w:rPr>
          <w:spacing w:val="-4"/>
          <w:u w:val="none"/>
        </w:rPr>
        <w:t> </w:t>
      </w:r>
      <w:r>
        <w:rPr>
          <w:u w:val="none"/>
        </w:rPr>
        <w:t>DCF</w:t>
      </w:r>
      <w:r>
        <w:rPr>
          <w:spacing w:val="-4"/>
          <w:u w:val="none"/>
        </w:rPr>
        <w:t> </w:t>
      </w:r>
      <w:r>
        <w:rPr>
          <w:u w:val="none"/>
        </w:rPr>
        <w:t>care</w:t>
      </w:r>
      <w:r>
        <w:rPr>
          <w:spacing w:val="-4"/>
          <w:u w:val="none"/>
        </w:rPr>
        <w:t> </w:t>
      </w:r>
      <w:r>
        <w:rPr>
          <w:u w:val="none"/>
        </w:rPr>
        <w:t>into</w:t>
      </w:r>
      <w:r>
        <w:rPr>
          <w:spacing w:val="-4"/>
          <w:u w:val="none"/>
        </w:rPr>
        <w:t> </w:t>
      </w:r>
      <w:r>
        <w:rPr>
          <w:u w:val="none"/>
        </w:rPr>
        <w:t>independent</w:t>
      </w:r>
      <w:r>
        <w:rPr>
          <w:spacing w:val="-4"/>
          <w:u w:val="none"/>
        </w:rPr>
        <w:t> </w:t>
      </w:r>
      <w:r>
        <w:rPr>
          <w:u w:val="none"/>
        </w:rPr>
        <w:t>living.</w:t>
      </w:r>
      <w:r>
        <w:rPr>
          <w:spacing w:val="-4"/>
          <w:u w:val="none"/>
        </w:rPr>
        <w:t> </w:t>
      </w:r>
      <w:r>
        <w:rPr>
          <w:u w:val="none"/>
        </w:rPr>
        <w:t>DCF</w:t>
      </w:r>
      <w:r>
        <w:rPr>
          <w:spacing w:val="-3"/>
          <w:u w:val="none"/>
        </w:rPr>
        <w:t> </w:t>
      </w:r>
      <w:r>
        <w:rPr>
          <w:u w:val="none"/>
        </w:rPr>
        <w:t>provides</w:t>
      </w:r>
      <w:r>
        <w:rPr>
          <w:spacing w:val="-4"/>
          <w:u w:val="none"/>
        </w:rPr>
        <w:t> </w:t>
      </w:r>
      <w:r>
        <w:rPr>
          <w:u w:val="none"/>
        </w:rPr>
        <w:t>foster care services with the ultimate goal of family preservation and reunification where possible. Where parental</w:t>
      </w:r>
      <w:r>
        <w:rPr>
          <w:spacing w:val="-13"/>
          <w:u w:val="none"/>
        </w:rPr>
        <w:t> </w:t>
      </w:r>
      <w:r>
        <w:rPr>
          <w:u w:val="none"/>
        </w:rPr>
        <w:t>reunification</w:t>
      </w:r>
      <w:r>
        <w:rPr>
          <w:spacing w:val="-12"/>
          <w:u w:val="none"/>
        </w:rPr>
        <w:t> </w:t>
      </w:r>
      <w:r>
        <w:rPr>
          <w:u w:val="none"/>
        </w:rPr>
        <w:t>is</w:t>
      </w:r>
      <w:r>
        <w:rPr>
          <w:spacing w:val="-13"/>
          <w:u w:val="none"/>
        </w:rPr>
        <w:t> </w:t>
      </w:r>
      <w:r>
        <w:rPr>
          <w:u w:val="none"/>
        </w:rPr>
        <w:t>not</w:t>
      </w:r>
      <w:r>
        <w:rPr>
          <w:spacing w:val="-12"/>
          <w:u w:val="none"/>
        </w:rPr>
        <w:t> </w:t>
      </w:r>
      <w:r>
        <w:rPr>
          <w:u w:val="none"/>
        </w:rPr>
        <w:t>possible,</w:t>
      </w:r>
      <w:r>
        <w:rPr>
          <w:spacing w:val="-13"/>
          <w:u w:val="none"/>
        </w:rPr>
        <w:t> </w:t>
      </w:r>
      <w:r>
        <w:rPr>
          <w:u w:val="none"/>
        </w:rPr>
        <w:t>DCF</w:t>
      </w:r>
      <w:r>
        <w:rPr>
          <w:spacing w:val="-12"/>
          <w:u w:val="none"/>
        </w:rPr>
        <w:t> </w:t>
      </w:r>
      <w:r>
        <w:rPr>
          <w:u w:val="none"/>
        </w:rPr>
        <w:t>works</w:t>
      </w:r>
      <w:r>
        <w:rPr>
          <w:spacing w:val="-13"/>
          <w:u w:val="none"/>
        </w:rPr>
        <w:t> </w:t>
      </w:r>
      <w:r>
        <w:rPr>
          <w:u w:val="none"/>
        </w:rPr>
        <w:t>to</w:t>
      </w:r>
      <w:r>
        <w:rPr>
          <w:spacing w:val="-12"/>
          <w:u w:val="none"/>
        </w:rPr>
        <w:t> </w:t>
      </w:r>
      <w:r>
        <w:rPr>
          <w:u w:val="none"/>
        </w:rPr>
        <w:t>find</w:t>
      </w:r>
      <w:r>
        <w:rPr>
          <w:spacing w:val="-12"/>
          <w:u w:val="none"/>
        </w:rPr>
        <w:t> </w:t>
      </w:r>
      <w:r>
        <w:rPr>
          <w:u w:val="none"/>
        </w:rPr>
        <w:t>permanent</w:t>
      </w:r>
      <w:r>
        <w:rPr>
          <w:spacing w:val="-13"/>
          <w:u w:val="none"/>
        </w:rPr>
        <w:t> </w:t>
      </w:r>
      <w:r>
        <w:rPr>
          <w:u w:val="none"/>
        </w:rPr>
        <w:t>families</w:t>
      </w:r>
      <w:r>
        <w:rPr>
          <w:spacing w:val="-12"/>
          <w:u w:val="none"/>
        </w:rPr>
        <w:t> </w:t>
      </w:r>
      <w:r>
        <w:rPr>
          <w:u w:val="none"/>
        </w:rPr>
        <w:t>through</w:t>
      </w:r>
      <w:r>
        <w:rPr>
          <w:spacing w:val="-13"/>
          <w:u w:val="none"/>
        </w:rPr>
        <w:t> </w:t>
      </w:r>
      <w:r>
        <w:rPr>
          <w:u w:val="none"/>
        </w:rPr>
        <w:t>kinship,</w:t>
      </w:r>
      <w:r>
        <w:rPr>
          <w:spacing w:val="-12"/>
          <w:u w:val="none"/>
        </w:rPr>
        <w:t> </w:t>
      </w:r>
      <w:r>
        <w:rPr>
          <w:u w:val="none"/>
        </w:rPr>
        <w:t>guardianship, or adoption.</w:t>
      </w:r>
    </w:p>
    <w:p>
      <w:pPr>
        <w:pStyle w:val="BodyText"/>
        <w:spacing w:line="276" w:lineRule="auto" w:before="241"/>
        <w:ind w:left="483" w:right="341"/>
        <w:jc w:val="both"/>
      </w:pPr>
      <w:r>
        <w:rPr/>
        <w:t>Since 2011, the Commission has issued recommendations to DCF around data collection, policy development, trainings, resources, and structural change to provide more affirming support for LGBTQ youth in the child welfare system. In July of 2021, the Commission published a first-of-its-kind report on the experiences of LGBTQ youth in the child welfare system after the Commission identified pervasive threats to the safety, well-being, and permanency of DCF-involved LGBTQ youth.</w:t>
      </w:r>
    </w:p>
    <w:p>
      <w:pPr>
        <w:pStyle w:val="BodyText"/>
        <w:spacing w:line="276" w:lineRule="auto" w:before="239"/>
        <w:ind w:left="483" w:right="344"/>
        <w:jc w:val="both"/>
      </w:pPr>
      <w:r>
        <w:rPr/>
        <w:t>The Commission appreciates the ongoing commitment of DCF staff to have monthly conversations to address how best the state can support LGBTQ in foster care, and transition-aged youth leaving care.</w:t>
      </w:r>
    </w:p>
    <w:p>
      <w:pPr>
        <w:spacing w:before="240"/>
        <w:ind w:left="483" w:right="0" w:firstLine="0"/>
        <w:jc w:val="both"/>
        <w:rPr>
          <w:sz w:val="28"/>
        </w:rPr>
      </w:pPr>
      <w:r>
        <w:rPr>
          <w:color w:val="365F91"/>
          <w:sz w:val="28"/>
        </w:rPr>
        <w:t>Past</w:t>
      </w:r>
      <w:r>
        <w:rPr>
          <w:color w:val="365F91"/>
          <w:spacing w:val="-7"/>
          <w:sz w:val="28"/>
        </w:rPr>
        <w:t> </w:t>
      </w:r>
      <w:r>
        <w:rPr>
          <w:color w:val="365F91"/>
          <w:sz w:val="28"/>
        </w:rPr>
        <w:t>&amp;</w:t>
      </w:r>
      <w:r>
        <w:rPr>
          <w:color w:val="365F91"/>
          <w:spacing w:val="-7"/>
          <w:sz w:val="28"/>
        </w:rPr>
        <w:t> </w:t>
      </w:r>
      <w:r>
        <w:rPr>
          <w:color w:val="365F91"/>
          <w:sz w:val="28"/>
        </w:rPr>
        <w:t>Ongoing</w:t>
      </w:r>
      <w:r>
        <w:rPr>
          <w:color w:val="365F91"/>
          <w:spacing w:val="-7"/>
          <w:sz w:val="28"/>
        </w:rPr>
        <w:t> </w:t>
      </w:r>
      <w:r>
        <w:rPr>
          <w:color w:val="365F91"/>
          <w:spacing w:val="-4"/>
          <w:sz w:val="28"/>
        </w:rPr>
        <w:t>Work</w:t>
      </w:r>
    </w:p>
    <w:p>
      <w:pPr>
        <w:pStyle w:val="BodyText"/>
        <w:spacing w:line="276" w:lineRule="auto" w:before="292"/>
        <w:ind w:left="483" w:right="343"/>
        <w:jc w:val="both"/>
      </w:pPr>
      <w:r>
        <w:rPr/>
        <w:t>DCF</w:t>
      </w:r>
      <w:r>
        <w:rPr>
          <w:spacing w:val="-8"/>
        </w:rPr>
        <w:t> </w:t>
      </w:r>
      <w:r>
        <w:rPr/>
        <w:t>has</w:t>
      </w:r>
      <w:r>
        <w:rPr>
          <w:spacing w:val="-6"/>
        </w:rPr>
        <w:t> </w:t>
      </w:r>
      <w:r>
        <w:rPr/>
        <w:t>made</w:t>
      </w:r>
      <w:r>
        <w:rPr>
          <w:spacing w:val="-8"/>
        </w:rPr>
        <w:t> </w:t>
      </w:r>
      <w:r>
        <w:rPr/>
        <w:t>progress</w:t>
      </w:r>
      <w:r>
        <w:rPr>
          <w:spacing w:val="-6"/>
        </w:rPr>
        <w:t> </w:t>
      </w:r>
      <w:r>
        <w:rPr/>
        <w:t>in</w:t>
      </w:r>
      <w:r>
        <w:rPr>
          <w:spacing w:val="-6"/>
        </w:rPr>
        <w:t> </w:t>
      </w:r>
      <w:r>
        <w:rPr/>
        <w:t>addressing</w:t>
      </w:r>
      <w:r>
        <w:rPr>
          <w:spacing w:val="-7"/>
        </w:rPr>
        <w:t> </w:t>
      </w:r>
      <w:r>
        <w:rPr/>
        <w:t>many</w:t>
      </w:r>
      <w:r>
        <w:rPr>
          <w:spacing w:val="-8"/>
        </w:rPr>
        <w:t> </w:t>
      </w:r>
      <w:r>
        <w:rPr/>
        <w:t>of</w:t>
      </w:r>
      <w:r>
        <w:rPr>
          <w:spacing w:val="-6"/>
        </w:rPr>
        <w:t> </w:t>
      </w:r>
      <w:r>
        <w:rPr/>
        <w:t>the</w:t>
      </w:r>
      <w:r>
        <w:rPr>
          <w:spacing w:val="-7"/>
        </w:rPr>
        <w:t> </w:t>
      </w:r>
      <w:r>
        <w:rPr/>
        <w:t>recommendations</w:t>
      </w:r>
      <w:r>
        <w:rPr>
          <w:spacing w:val="-7"/>
        </w:rPr>
        <w:t> </w:t>
      </w:r>
      <w:r>
        <w:rPr/>
        <w:t>issued</w:t>
      </w:r>
      <w:r>
        <w:rPr>
          <w:spacing w:val="-7"/>
        </w:rPr>
        <w:t> </w:t>
      </w:r>
      <w:r>
        <w:rPr/>
        <w:t>by</w:t>
      </w:r>
      <w:r>
        <w:rPr>
          <w:spacing w:val="-6"/>
        </w:rPr>
        <w:t> </w:t>
      </w:r>
      <w:r>
        <w:rPr/>
        <w:t>the</w:t>
      </w:r>
      <w:r>
        <w:rPr>
          <w:spacing w:val="-8"/>
        </w:rPr>
        <w:t> </w:t>
      </w:r>
      <w:r>
        <w:rPr/>
        <w:t>Commission</w:t>
      </w:r>
      <w:r>
        <w:rPr>
          <w:spacing w:val="-8"/>
        </w:rPr>
        <w:t> </w:t>
      </w:r>
      <w:r>
        <w:rPr/>
        <w:t>in</w:t>
      </w:r>
      <w:r>
        <w:rPr>
          <w:spacing w:val="-7"/>
        </w:rPr>
        <w:t> </w:t>
      </w:r>
      <w:r>
        <w:rPr/>
        <w:t>the</w:t>
      </w:r>
      <w:r>
        <w:rPr>
          <w:spacing w:val="-7"/>
        </w:rPr>
        <w:t> </w:t>
      </w:r>
      <w:r>
        <w:rPr/>
        <w:t>last couple of years. In September of 2021, DCF released a new </w:t>
      </w:r>
      <w:hyperlink r:id="rId723">
        <w:r>
          <w:rPr>
            <w:color w:val="1153CC"/>
            <w:u w:val="single" w:color="1153CC"/>
          </w:rPr>
          <w:t>gender-affirming care policy</w:t>
        </w:r>
      </w:hyperlink>
      <w:r>
        <w:rPr>
          <w:color w:val="1153CC"/>
          <w:u w:val="none"/>
        </w:rPr>
        <w:t> </w:t>
      </w:r>
      <w:r>
        <w:rPr>
          <w:u w:val="none"/>
        </w:rPr>
        <w:t>outlining the process</w:t>
      </w:r>
      <w:r>
        <w:rPr>
          <w:spacing w:val="-4"/>
          <w:u w:val="none"/>
        </w:rPr>
        <w:t> </w:t>
      </w:r>
      <w:r>
        <w:rPr>
          <w:u w:val="none"/>
        </w:rPr>
        <w:t>for</w:t>
      </w:r>
      <w:r>
        <w:rPr>
          <w:spacing w:val="-4"/>
          <w:u w:val="none"/>
        </w:rPr>
        <w:t> </w:t>
      </w:r>
      <w:r>
        <w:rPr>
          <w:u w:val="none"/>
        </w:rPr>
        <w:t>ensuring</w:t>
      </w:r>
      <w:r>
        <w:rPr>
          <w:spacing w:val="-3"/>
          <w:u w:val="none"/>
        </w:rPr>
        <w:t> </w:t>
      </w:r>
      <w:r>
        <w:rPr>
          <w:u w:val="none"/>
        </w:rPr>
        <w:t>that</w:t>
      </w:r>
      <w:r>
        <w:rPr>
          <w:spacing w:val="-3"/>
          <w:u w:val="none"/>
        </w:rPr>
        <w:t> </w:t>
      </w:r>
      <w:r>
        <w:rPr>
          <w:u w:val="none"/>
        </w:rPr>
        <w:t>LGBTQ</w:t>
      </w:r>
      <w:r>
        <w:rPr>
          <w:spacing w:val="-4"/>
          <w:u w:val="none"/>
        </w:rPr>
        <w:t> </w:t>
      </w:r>
      <w:r>
        <w:rPr>
          <w:u w:val="none"/>
        </w:rPr>
        <w:t>youth</w:t>
      </w:r>
      <w:r>
        <w:rPr>
          <w:spacing w:val="-3"/>
          <w:u w:val="none"/>
        </w:rPr>
        <w:t> </w:t>
      </w:r>
      <w:r>
        <w:rPr>
          <w:u w:val="none"/>
        </w:rPr>
        <w:t>are</w:t>
      </w:r>
      <w:r>
        <w:rPr>
          <w:spacing w:val="-4"/>
          <w:u w:val="none"/>
        </w:rPr>
        <w:t> </w:t>
      </w:r>
      <w:r>
        <w:rPr>
          <w:u w:val="none"/>
        </w:rPr>
        <w:t>able</w:t>
      </w:r>
      <w:r>
        <w:rPr>
          <w:spacing w:val="-4"/>
          <w:u w:val="none"/>
        </w:rPr>
        <w:t> </w:t>
      </w:r>
      <w:r>
        <w:rPr>
          <w:u w:val="none"/>
        </w:rPr>
        <w:t>to</w:t>
      </w:r>
      <w:r>
        <w:rPr>
          <w:spacing w:val="-3"/>
          <w:u w:val="none"/>
        </w:rPr>
        <w:t> </w:t>
      </w:r>
      <w:r>
        <w:rPr>
          <w:u w:val="none"/>
        </w:rPr>
        <w:t>access</w:t>
      </w:r>
      <w:r>
        <w:rPr>
          <w:spacing w:val="-4"/>
          <w:u w:val="none"/>
        </w:rPr>
        <w:t> </w:t>
      </w:r>
      <w:r>
        <w:rPr>
          <w:u w:val="none"/>
        </w:rPr>
        <w:t>affirming</w:t>
      </w:r>
      <w:r>
        <w:rPr>
          <w:spacing w:val="-4"/>
          <w:u w:val="none"/>
        </w:rPr>
        <w:t> </w:t>
      </w:r>
      <w:r>
        <w:rPr>
          <w:u w:val="none"/>
        </w:rPr>
        <w:t>healthcare</w:t>
      </w:r>
      <w:r>
        <w:rPr>
          <w:spacing w:val="-3"/>
          <w:u w:val="none"/>
        </w:rPr>
        <w:t> </w:t>
      </w:r>
      <w:r>
        <w:rPr>
          <w:u w:val="none"/>
        </w:rPr>
        <w:t>-</w:t>
      </w:r>
      <w:r>
        <w:rPr>
          <w:spacing w:val="-2"/>
          <w:u w:val="none"/>
        </w:rPr>
        <w:t> </w:t>
      </w:r>
      <w:r>
        <w:rPr>
          <w:u w:val="none"/>
        </w:rPr>
        <w:t>a</w:t>
      </w:r>
      <w:r>
        <w:rPr>
          <w:spacing w:val="-4"/>
          <w:u w:val="none"/>
        </w:rPr>
        <w:t> </w:t>
      </w:r>
      <w:r>
        <w:rPr>
          <w:u w:val="none"/>
        </w:rPr>
        <w:t>particularly</w:t>
      </w:r>
      <w:r>
        <w:rPr>
          <w:spacing w:val="-3"/>
          <w:u w:val="none"/>
        </w:rPr>
        <w:t> </w:t>
      </w:r>
      <w:r>
        <w:rPr>
          <w:u w:val="none"/>
        </w:rPr>
        <w:t>meaningful change for transgender youth</w:t>
      </w:r>
      <w:r>
        <w:rPr>
          <w:spacing w:val="-1"/>
          <w:u w:val="none"/>
        </w:rPr>
        <w:t> </w:t>
      </w:r>
      <w:r>
        <w:rPr>
          <w:u w:val="none"/>
        </w:rPr>
        <w:t>and</w:t>
      </w:r>
      <w:r>
        <w:rPr>
          <w:spacing w:val="-1"/>
          <w:u w:val="none"/>
        </w:rPr>
        <w:t> </w:t>
      </w:r>
      <w:r>
        <w:rPr>
          <w:u w:val="none"/>
        </w:rPr>
        <w:t>their families.</w:t>
      </w:r>
      <w:r>
        <w:rPr>
          <w:spacing w:val="-1"/>
          <w:u w:val="none"/>
        </w:rPr>
        <w:t> </w:t>
      </w:r>
      <w:r>
        <w:rPr>
          <w:u w:val="none"/>
        </w:rPr>
        <w:t>The Commission</w:t>
      </w:r>
      <w:r>
        <w:rPr>
          <w:spacing w:val="-2"/>
          <w:u w:val="none"/>
        </w:rPr>
        <w:t> </w:t>
      </w:r>
      <w:r>
        <w:rPr>
          <w:u w:val="none"/>
        </w:rPr>
        <w:t>understands that</w:t>
      </w:r>
      <w:r>
        <w:rPr>
          <w:spacing w:val="-1"/>
          <w:u w:val="none"/>
        </w:rPr>
        <w:t> </w:t>
      </w:r>
      <w:r>
        <w:rPr>
          <w:u w:val="none"/>
        </w:rPr>
        <w:t>DCF</w:t>
      </w:r>
      <w:r>
        <w:rPr>
          <w:spacing w:val="-2"/>
          <w:u w:val="none"/>
        </w:rPr>
        <w:t> </w:t>
      </w:r>
      <w:r>
        <w:rPr>
          <w:u w:val="none"/>
        </w:rPr>
        <w:t>is</w:t>
      </w:r>
      <w:r>
        <w:rPr>
          <w:spacing w:val="-1"/>
          <w:u w:val="none"/>
        </w:rPr>
        <w:t> </w:t>
      </w:r>
      <w:r>
        <w:rPr>
          <w:u w:val="none"/>
        </w:rPr>
        <w:t>in</w:t>
      </w:r>
      <w:r>
        <w:rPr>
          <w:spacing w:val="-1"/>
          <w:u w:val="none"/>
        </w:rPr>
        <w:t> </w:t>
      </w:r>
      <w:r>
        <w:rPr>
          <w:u w:val="none"/>
        </w:rPr>
        <w:t>the</w:t>
      </w:r>
      <w:r>
        <w:rPr>
          <w:spacing w:val="-2"/>
          <w:u w:val="none"/>
        </w:rPr>
        <w:t> </w:t>
      </w:r>
      <w:r>
        <w:rPr>
          <w:u w:val="none"/>
        </w:rPr>
        <w:t>process of</w:t>
      </w:r>
      <w:r>
        <w:rPr>
          <w:spacing w:val="40"/>
          <w:u w:val="none"/>
        </w:rPr>
        <w:t> </w:t>
      </w:r>
      <w:r>
        <w:rPr>
          <w:u w:val="none"/>
        </w:rPr>
        <w:t>completing</w:t>
      </w:r>
      <w:r>
        <w:rPr>
          <w:spacing w:val="40"/>
          <w:u w:val="none"/>
        </w:rPr>
        <w:t> </w:t>
      </w:r>
      <w:r>
        <w:rPr>
          <w:u w:val="none"/>
        </w:rPr>
        <w:t>an</w:t>
      </w:r>
      <w:r>
        <w:rPr>
          <w:spacing w:val="40"/>
          <w:u w:val="none"/>
        </w:rPr>
        <w:t> </w:t>
      </w:r>
      <w:r>
        <w:rPr>
          <w:u w:val="none"/>
        </w:rPr>
        <w:t>annual</w:t>
      </w:r>
      <w:r>
        <w:rPr>
          <w:spacing w:val="40"/>
          <w:u w:val="none"/>
        </w:rPr>
        <w:t> </w:t>
      </w:r>
      <w:r>
        <w:rPr>
          <w:u w:val="none"/>
        </w:rPr>
        <w:t>review</w:t>
      </w:r>
      <w:r>
        <w:rPr>
          <w:spacing w:val="40"/>
          <w:u w:val="none"/>
        </w:rPr>
        <w:t> </w:t>
      </w:r>
      <w:r>
        <w:rPr>
          <w:u w:val="none"/>
        </w:rPr>
        <w:t>of</w:t>
      </w:r>
      <w:r>
        <w:rPr>
          <w:spacing w:val="40"/>
          <w:u w:val="none"/>
        </w:rPr>
        <w:t> </w:t>
      </w:r>
      <w:r>
        <w:rPr>
          <w:u w:val="none"/>
        </w:rPr>
        <w:t>this</w:t>
      </w:r>
      <w:r>
        <w:rPr>
          <w:spacing w:val="40"/>
          <w:u w:val="none"/>
        </w:rPr>
        <w:t> </w:t>
      </w:r>
      <w:r>
        <w:rPr>
          <w:u w:val="none"/>
        </w:rPr>
        <w:t>policy,</w:t>
      </w:r>
      <w:r>
        <w:rPr>
          <w:spacing w:val="40"/>
          <w:u w:val="none"/>
        </w:rPr>
        <w:t> </w:t>
      </w:r>
      <w:r>
        <w:rPr>
          <w:u w:val="none"/>
        </w:rPr>
        <w:t>and</w:t>
      </w:r>
      <w:r>
        <w:rPr>
          <w:spacing w:val="40"/>
          <w:u w:val="none"/>
        </w:rPr>
        <w:t> </w:t>
      </w:r>
      <w:r>
        <w:rPr>
          <w:u w:val="none"/>
        </w:rPr>
        <w:t>looks</w:t>
      </w:r>
      <w:r>
        <w:rPr>
          <w:spacing w:val="40"/>
          <w:u w:val="none"/>
        </w:rPr>
        <w:t> </w:t>
      </w:r>
      <w:r>
        <w:rPr>
          <w:u w:val="none"/>
        </w:rPr>
        <w:t>forward</w:t>
      </w:r>
      <w:r>
        <w:rPr>
          <w:spacing w:val="40"/>
          <w:u w:val="none"/>
        </w:rPr>
        <w:t> </w:t>
      </w:r>
      <w:r>
        <w:rPr>
          <w:u w:val="none"/>
        </w:rPr>
        <w:t>to</w:t>
      </w:r>
      <w:r>
        <w:rPr>
          <w:spacing w:val="40"/>
          <w:u w:val="none"/>
        </w:rPr>
        <w:t> </w:t>
      </w:r>
      <w:r>
        <w:rPr>
          <w:u w:val="none"/>
        </w:rPr>
        <w:t>continuing</w:t>
      </w:r>
      <w:r>
        <w:rPr>
          <w:spacing w:val="40"/>
          <w:u w:val="none"/>
        </w:rPr>
        <w:t> </w:t>
      </w:r>
      <w:r>
        <w:rPr>
          <w:u w:val="none"/>
        </w:rPr>
        <w:t>to</w:t>
      </w:r>
      <w:r>
        <w:rPr>
          <w:spacing w:val="40"/>
          <w:u w:val="none"/>
        </w:rPr>
        <w:t> </w:t>
      </w:r>
      <w:r>
        <w:rPr>
          <w:u w:val="none"/>
        </w:rPr>
        <w:t>discuss</w:t>
      </w:r>
      <w:r>
        <w:rPr>
          <w:spacing w:val="40"/>
          <w:u w:val="none"/>
        </w:rPr>
        <w:t> </w:t>
      </w:r>
      <w:r>
        <w:rPr>
          <w:u w:val="none"/>
        </w:rPr>
        <w:t>how</w:t>
      </w:r>
      <w:r>
        <w:rPr>
          <w:spacing w:val="40"/>
          <w:u w:val="none"/>
        </w:rPr>
        <w:t> </w:t>
      </w:r>
      <w:r>
        <w:rPr>
          <w:u w:val="none"/>
        </w:rPr>
        <w:t>to</w:t>
      </w:r>
    </w:p>
    <w:p>
      <w:pPr>
        <w:spacing w:after="0" w:line="276" w:lineRule="auto"/>
        <w:jc w:val="both"/>
        <w:sectPr>
          <w:pgSz w:w="12240" w:h="15840"/>
          <w:pgMar w:header="804" w:footer="1263" w:top="1000" w:bottom="1460" w:left="960" w:right="1100"/>
        </w:sectPr>
      </w:pPr>
    </w:p>
    <w:p>
      <w:pPr>
        <w:pStyle w:val="BodyText"/>
        <w:spacing w:line="276" w:lineRule="auto" w:before="139"/>
        <w:ind w:left="483" w:right="341"/>
        <w:jc w:val="both"/>
      </w:pPr>
      <w:r>
        <w:rPr/>
        <w:t>disseminate</w:t>
      </w:r>
      <w:r>
        <w:rPr>
          <w:spacing w:val="-10"/>
        </w:rPr>
        <w:t> </w:t>
      </w:r>
      <w:r>
        <w:rPr/>
        <w:t>much</w:t>
      </w:r>
      <w:r>
        <w:rPr>
          <w:spacing w:val="-12"/>
        </w:rPr>
        <w:t> </w:t>
      </w:r>
      <w:r>
        <w:rPr/>
        <w:t>needed</w:t>
      </w:r>
      <w:r>
        <w:rPr>
          <w:spacing w:val="-11"/>
        </w:rPr>
        <w:t> </w:t>
      </w:r>
      <w:r>
        <w:rPr/>
        <w:t>resources</w:t>
      </w:r>
      <w:r>
        <w:rPr>
          <w:spacing w:val="-11"/>
        </w:rPr>
        <w:t> </w:t>
      </w:r>
      <w:r>
        <w:rPr/>
        <w:t>and</w:t>
      </w:r>
      <w:r>
        <w:rPr>
          <w:spacing w:val="-12"/>
        </w:rPr>
        <w:t> </w:t>
      </w:r>
      <w:r>
        <w:rPr/>
        <w:t>information</w:t>
      </w:r>
      <w:r>
        <w:rPr>
          <w:spacing w:val="-11"/>
        </w:rPr>
        <w:t> </w:t>
      </w:r>
      <w:r>
        <w:rPr/>
        <w:t>to</w:t>
      </w:r>
      <w:r>
        <w:rPr>
          <w:spacing w:val="-11"/>
        </w:rPr>
        <w:t> </w:t>
      </w:r>
      <w:r>
        <w:rPr/>
        <w:t>youth,</w:t>
      </w:r>
      <w:r>
        <w:rPr>
          <w:spacing w:val="-11"/>
        </w:rPr>
        <w:t> </w:t>
      </w:r>
      <w:r>
        <w:rPr/>
        <w:t>families,</w:t>
      </w:r>
      <w:r>
        <w:rPr>
          <w:spacing w:val="-11"/>
        </w:rPr>
        <w:t> </w:t>
      </w:r>
      <w:r>
        <w:rPr/>
        <w:t>and</w:t>
      </w:r>
      <w:r>
        <w:rPr>
          <w:spacing w:val="-11"/>
        </w:rPr>
        <w:t> </w:t>
      </w:r>
      <w:r>
        <w:rPr/>
        <w:t>staff</w:t>
      </w:r>
      <w:r>
        <w:rPr>
          <w:spacing w:val="-11"/>
        </w:rPr>
        <w:t> </w:t>
      </w:r>
      <w:r>
        <w:rPr/>
        <w:t>on</w:t>
      </w:r>
      <w:r>
        <w:rPr>
          <w:spacing w:val="-12"/>
        </w:rPr>
        <w:t> </w:t>
      </w:r>
      <w:r>
        <w:rPr/>
        <w:t>affirming</w:t>
      </w:r>
      <w:r>
        <w:rPr>
          <w:spacing w:val="-12"/>
        </w:rPr>
        <w:t> </w:t>
      </w:r>
      <w:r>
        <w:rPr/>
        <w:t>health</w:t>
      </w:r>
      <w:r>
        <w:rPr>
          <w:spacing w:val="-11"/>
        </w:rPr>
        <w:t> </w:t>
      </w:r>
      <w:r>
        <w:rPr/>
        <w:t>care resources. Additional policies were disseminated between June of 2022 and February 2023, fulfilling previous recommendations from the Commission, including DCF’s updated </w:t>
      </w:r>
      <w:hyperlink r:id="rId533">
        <w:r>
          <w:rPr>
            <w:color w:val="1153CC"/>
            <w:u w:val="single" w:color="1153CC"/>
          </w:rPr>
          <w:t>nondiscrimination policy</w:t>
        </w:r>
        <w:r>
          <w:rPr>
            <w:u w:val="none"/>
          </w:rPr>
          <w:t>,</w:t>
        </w:r>
      </w:hyperlink>
      <w:r>
        <w:rPr>
          <w:u w:val="none"/>
        </w:rPr>
        <w:t> an updated </w:t>
      </w:r>
      <w:hyperlink r:id="rId724">
        <w:r>
          <w:rPr>
            <w:color w:val="1153CC"/>
            <w:u w:val="single" w:color="1153CC"/>
          </w:rPr>
          <w:t>Safe and Supportive Placements policy</w:t>
        </w:r>
      </w:hyperlink>
      <w:hyperlink r:id="rId724">
        <w:r>
          <w:rPr>
            <w:u w:val="none"/>
          </w:rPr>
          <w:t>,</w:t>
        </w:r>
      </w:hyperlink>
      <w:r>
        <w:rPr>
          <w:u w:val="none"/>
        </w:rPr>
        <w:t> and an updated </w:t>
      </w:r>
      <w:hyperlink r:id="rId725">
        <w:r>
          <w:rPr>
            <w:color w:val="1153CC"/>
            <w:u w:val="single" w:color="1153CC"/>
          </w:rPr>
          <w:t>Licensing of Foster, Pre-Adoptive, and</w:t>
        </w:r>
      </w:hyperlink>
      <w:r>
        <w:rPr>
          <w:color w:val="1153CC"/>
          <w:u w:val="none"/>
        </w:rPr>
        <w:t> </w:t>
      </w:r>
      <w:hyperlink r:id="rId725">
        <w:r>
          <w:rPr>
            <w:color w:val="1153CC"/>
            <w:u w:val="single" w:color="1153CC"/>
          </w:rPr>
          <w:t>Kinship</w:t>
        </w:r>
        <w:r>
          <w:rPr>
            <w:color w:val="1153CC"/>
            <w:spacing w:val="-7"/>
            <w:u w:val="single" w:color="1153CC"/>
          </w:rPr>
          <w:t> </w:t>
        </w:r>
        <w:r>
          <w:rPr>
            <w:color w:val="1153CC"/>
            <w:u w:val="single" w:color="1153CC"/>
          </w:rPr>
          <w:t>Families</w:t>
        </w:r>
        <w:r>
          <w:rPr>
            <w:color w:val="1153CC"/>
            <w:spacing w:val="-6"/>
            <w:u w:val="single" w:color="1153CC"/>
          </w:rPr>
          <w:t> </w:t>
        </w:r>
        <w:r>
          <w:rPr>
            <w:color w:val="1153CC"/>
            <w:u w:val="single" w:color="1153CC"/>
          </w:rPr>
          <w:t>policy</w:t>
        </w:r>
      </w:hyperlink>
      <w:hyperlink r:id="rId725">
        <w:r>
          <w:rPr>
            <w:u w:val="none"/>
          </w:rPr>
          <w:t>.</w:t>
        </w:r>
      </w:hyperlink>
      <w:r>
        <w:rPr>
          <w:spacing w:val="-7"/>
          <w:u w:val="none"/>
        </w:rPr>
        <w:t> </w:t>
      </w:r>
      <w:r>
        <w:rPr>
          <w:u w:val="none"/>
        </w:rPr>
        <w:t>As</w:t>
      </w:r>
      <w:r>
        <w:rPr>
          <w:spacing w:val="-5"/>
          <w:u w:val="none"/>
        </w:rPr>
        <w:t> </w:t>
      </w:r>
      <w:r>
        <w:rPr>
          <w:u w:val="none"/>
        </w:rPr>
        <w:t>discussed</w:t>
      </w:r>
      <w:r>
        <w:rPr>
          <w:spacing w:val="-7"/>
          <w:u w:val="none"/>
        </w:rPr>
        <w:t> </w:t>
      </w:r>
      <w:r>
        <w:rPr>
          <w:u w:val="none"/>
        </w:rPr>
        <w:t>below,</w:t>
      </w:r>
      <w:r>
        <w:rPr>
          <w:spacing w:val="-6"/>
          <w:u w:val="none"/>
        </w:rPr>
        <w:t> </w:t>
      </w:r>
      <w:r>
        <w:rPr>
          <w:u w:val="none"/>
        </w:rPr>
        <w:t>DCF</w:t>
      </w:r>
      <w:r>
        <w:rPr>
          <w:spacing w:val="-7"/>
          <w:u w:val="none"/>
        </w:rPr>
        <w:t> </w:t>
      </w:r>
      <w:r>
        <w:rPr>
          <w:u w:val="none"/>
        </w:rPr>
        <w:t>has</w:t>
      </w:r>
      <w:r>
        <w:rPr>
          <w:spacing w:val="-6"/>
          <w:u w:val="none"/>
        </w:rPr>
        <w:t> </w:t>
      </w:r>
      <w:r>
        <w:rPr>
          <w:u w:val="none"/>
        </w:rPr>
        <w:t>advised</w:t>
      </w:r>
      <w:r>
        <w:rPr>
          <w:spacing w:val="-7"/>
          <w:u w:val="none"/>
        </w:rPr>
        <w:t> </w:t>
      </w:r>
      <w:r>
        <w:rPr>
          <w:u w:val="none"/>
        </w:rPr>
        <w:t>that</w:t>
      </w:r>
      <w:r>
        <w:rPr>
          <w:spacing w:val="-6"/>
          <w:u w:val="none"/>
        </w:rPr>
        <w:t> </w:t>
      </w:r>
      <w:r>
        <w:rPr>
          <w:u w:val="none"/>
        </w:rPr>
        <w:t>the</w:t>
      </w:r>
      <w:r>
        <w:rPr>
          <w:spacing w:val="-7"/>
          <w:u w:val="none"/>
        </w:rPr>
        <w:t> </w:t>
      </w:r>
      <w:r>
        <w:rPr>
          <w:u w:val="none"/>
        </w:rPr>
        <w:t>latter</w:t>
      </w:r>
      <w:r>
        <w:rPr>
          <w:spacing w:val="-6"/>
          <w:u w:val="none"/>
        </w:rPr>
        <w:t> </w:t>
      </w:r>
      <w:r>
        <w:rPr>
          <w:u w:val="none"/>
        </w:rPr>
        <w:t>two</w:t>
      </w:r>
      <w:r>
        <w:rPr>
          <w:spacing w:val="-5"/>
          <w:u w:val="none"/>
        </w:rPr>
        <w:t> </w:t>
      </w:r>
      <w:r>
        <w:rPr>
          <w:u w:val="none"/>
        </w:rPr>
        <w:t>policies</w:t>
      </w:r>
      <w:r>
        <w:rPr>
          <w:spacing w:val="-6"/>
          <w:u w:val="none"/>
        </w:rPr>
        <w:t> </w:t>
      </w:r>
      <w:r>
        <w:rPr>
          <w:u w:val="none"/>
        </w:rPr>
        <w:t>provide</w:t>
      </w:r>
      <w:r>
        <w:rPr>
          <w:spacing w:val="-7"/>
          <w:u w:val="none"/>
        </w:rPr>
        <w:t> </w:t>
      </w:r>
      <w:r>
        <w:rPr>
          <w:u w:val="none"/>
        </w:rPr>
        <w:t>a</w:t>
      </w:r>
      <w:r>
        <w:rPr>
          <w:spacing w:val="-6"/>
          <w:u w:val="none"/>
        </w:rPr>
        <w:t> </w:t>
      </w:r>
      <w:r>
        <w:rPr>
          <w:u w:val="none"/>
        </w:rPr>
        <w:t>basis</w:t>
      </w:r>
      <w:r>
        <w:rPr>
          <w:spacing w:val="-6"/>
          <w:u w:val="none"/>
        </w:rPr>
        <w:t> </w:t>
      </w:r>
      <w:r>
        <w:rPr>
          <w:u w:val="none"/>
        </w:rPr>
        <w:t>to </w:t>
      </w:r>
      <w:r>
        <w:rPr>
          <w:spacing w:val="-2"/>
          <w:u w:val="none"/>
        </w:rPr>
        <w:t>continue to address the Commission’s recommendation around formally identifying and certifying LGBTQ- </w:t>
      </w:r>
      <w:r>
        <w:rPr>
          <w:u w:val="none"/>
        </w:rPr>
        <w:t>affirming placements across the state.</w:t>
      </w:r>
    </w:p>
    <w:p>
      <w:pPr>
        <w:pStyle w:val="BodyText"/>
        <w:spacing w:line="276" w:lineRule="auto" w:before="239"/>
        <w:ind w:left="483" w:right="341"/>
        <w:jc w:val="both"/>
      </w:pPr>
      <w:r>
        <w:rPr/>
        <w:t>DCF has also expanded training opportunities for staff on LGBTQ cultural awareness, though there remains an urgent need for more in-depth training opportunities that reaches all staff, contractors, and foster</w:t>
      </w:r>
      <w:r>
        <w:rPr>
          <w:spacing w:val="-4"/>
        </w:rPr>
        <w:t> </w:t>
      </w:r>
      <w:r>
        <w:rPr/>
        <w:t>parents.</w:t>
      </w:r>
      <w:r>
        <w:rPr>
          <w:spacing w:val="-4"/>
        </w:rPr>
        <w:t> </w:t>
      </w:r>
      <w:r>
        <w:rPr/>
        <w:t>DCF</w:t>
      </w:r>
      <w:r>
        <w:rPr>
          <w:spacing w:val="-4"/>
        </w:rPr>
        <w:t> </w:t>
      </w:r>
      <w:r>
        <w:rPr/>
        <w:t>has</w:t>
      </w:r>
      <w:r>
        <w:rPr>
          <w:spacing w:val="-2"/>
        </w:rPr>
        <w:t> </w:t>
      </w:r>
      <w:r>
        <w:rPr/>
        <w:t>advised</w:t>
      </w:r>
      <w:r>
        <w:rPr>
          <w:spacing w:val="-4"/>
        </w:rPr>
        <w:t> </w:t>
      </w:r>
      <w:r>
        <w:rPr/>
        <w:t>the</w:t>
      </w:r>
      <w:r>
        <w:rPr>
          <w:spacing w:val="-4"/>
        </w:rPr>
        <w:t> </w:t>
      </w:r>
      <w:r>
        <w:rPr/>
        <w:t>Commission</w:t>
      </w:r>
      <w:r>
        <w:rPr>
          <w:spacing w:val="-3"/>
        </w:rPr>
        <w:t> </w:t>
      </w:r>
      <w:r>
        <w:rPr/>
        <w:t>that</w:t>
      </w:r>
      <w:r>
        <w:rPr>
          <w:spacing w:val="-4"/>
        </w:rPr>
        <w:t> </w:t>
      </w:r>
      <w:r>
        <w:rPr/>
        <w:t>all</w:t>
      </w:r>
      <w:r>
        <w:rPr>
          <w:spacing w:val="-3"/>
        </w:rPr>
        <w:t> </w:t>
      </w:r>
      <w:r>
        <w:rPr/>
        <w:t>DCF</w:t>
      </w:r>
      <w:r>
        <w:rPr>
          <w:spacing w:val="-4"/>
        </w:rPr>
        <w:t> </w:t>
      </w:r>
      <w:r>
        <w:rPr/>
        <w:t>social</w:t>
      </w:r>
      <w:r>
        <w:rPr>
          <w:spacing w:val="-4"/>
        </w:rPr>
        <w:t> </w:t>
      </w:r>
      <w:r>
        <w:rPr/>
        <w:t>workers</w:t>
      </w:r>
      <w:r>
        <w:rPr>
          <w:spacing w:val="-4"/>
        </w:rPr>
        <w:t> </w:t>
      </w:r>
      <w:r>
        <w:rPr/>
        <w:t>are</w:t>
      </w:r>
      <w:r>
        <w:rPr>
          <w:spacing w:val="-4"/>
        </w:rPr>
        <w:t> </w:t>
      </w:r>
      <w:r>
        <w:rPr/>
        <w:t>required</w:t>
      </w:r>
      <w:r>
        <w:rPr>
          <w:spacing w:val="-3"/>
        </w:rPr>
        <w:t> </w:t>
      </w:r>
      <w:r>
        <w:rPr/>
        <w:t>to</w:t>
      </w:r>
      <w:r>
        <w:rPr>
          <w:spacing w:val="-1"/>
        </w:rPr>
        <w:t> </w:t>
      </w:r>
      <w:r>
        <w:rPr/>
        <w:t>take</w:t>
      </w:r>
      <w:r>
        <w:rPr>
          <w:spacing w:val="-4"/>
        </w:rPr>
        <w:t> </w:t>
      </w:r>
      <w:r>
        <w:rPr/>
        <w:t>30</w:t>
      </w:r>
      <w:r>
        <w:rPr>
          <w:spacing w:val="-3"/>
        </w:rPr>
        <w:t> </w:t>
      </w:r>
      <w:r>
        <w:rPr/>
        <w:t>hours of training on any topic each year, and trainings on LGBTQ cultural awareness would count - though the topic</w:t>
      </w:r>
      <w:r>
        <w:rPr>
          <w:spacing w:val="-5"/>
        </w:rPr>
        <w:t> </w:t>
      </w:r>
      <w:r>
        <w:rPr/>
        <w:t>is</w:t>
      </w:r>
      <w:r>
        <w:rPr>
          <w:spacing w:val="-5"/>
        </w:rPr>
        <w:t> </w:t>
      </w:r>
      <w:r>
        <w:rPr/>
        <w:t>not</w:t>
      </w:r>
      <w:r>
        <w:rPr>
          <w:spacing w:val="-5"/>
        </w:rPr>
        <w:t> </w:t>
      </w:r>
      <w:r>
        <w:rPr/>
        <w:t>mandated.</w:t>
      </w:r>
      <w:r>
        <w:rPr>
          <w:spacing w:val="-4"/>
        </w:rPr>
        <w:t> </w:t>
      </w:r>
      <w:r>
        <w:rPr/>
        <w:t>Since</w:t>
      </w:r>
      <w:r>
        <w:rPr>
          <w:spacing w:val="-6"/>
        </w:rPr>
        <w:t> </w:t>
      </w:r>
      <w:r>
        <w:rPr/>
        <w:t>the</w:t>
      </w:r>
      <w:r>
        <w:rPr>
          <w:spacing w:val="-6"/>
        </w:rPr>
        <w:t> </w:t>
      </w:r>
      <w:r>
        <w:rPr/>
        <w:t>spring</w:t>
      </w:r>
      <w:r>
        <w:rPr>
          <w:spacing w:val="-6"/>
        </w:rPr>
        <w:t> </w:t>
      </w:r>
      <w:r>
        <w:rPr/>
        <w:t>of</w:t>
      </w:r>
      <w:r>
        <w:rPr>
          <w:spacing w:val="-5"/>
        </w:rPr>
        <w:t> </w:t>
      </w:r>
      <w:r>
        <w:rPr/>
        <w:t>2022,</w:t>
      </w:r>
      <w:r>
        <w:rPr>
          <w:spacing w:val="-5"/>
        </w:rPr>
        <w:t> </w:t>
      </w:r>
      <w:r>
        <w:rPr/>
        <w:t>DCF</w:t>
      </w:r>
      <w:r>
        <w:rPr>
          <w:spacing w:val="-6"/>
        </w:rPr>
        <w:t> </w:t>
      </w:r>
      <w:r>
        <w:rPr/>
        <w:t>has</w:t>
      </w:r>
      <w:r>
        <w:rPr>
          <w:spacing w:val="-5"/>
        </w:rPr>
        <w:t> </w:t>
      </w:r>
      <w:r>
        <w:rPr/>
        <w:t>offered</w:t>
      </w:r>
      <w:r>
        <w:rPr>
          <w:spacing w:val="-6"/>
        </w:rPr>
        <w:t> </w:t>
      </w:r>
      <w:r>
        <w:rPr/>
        <w:t>ten</w:t>
      </w:r>
      <w:r>
        <w:rPr>
          <w:spacing w:val="-6"/>
        </w:rPr>
        <w:t> </w:t>
      </w:r>
      <w:r>
        <w:rPr/>
        <w:t>training</w:t>
      </w:r>
      <w:r>
        <w:rPr>
          <w:spacing w:val="-6"/>
        </w:rPr>
        <w:t> </w:t>
      </w:r>
      <w:r>
        <w:rPr/>
        <w:t>opportunities</w:t>
      </w:r>
      <w:r>
        <w:rPr>
          <w:spacing w:val="-5"/>
        </w:rPr>
        <w:t> </w:t>
      </w:r>
      <w:r>
        <w:rPr/>
        <w:t>to</w:t>
      </w:r>
      <w:r>
        <w:rPr>
          <w:spacing w:val="-4"/>
        </w:rPr>
        <w:t> </w:t>
      </w:r>
      <w:r>
        <w:rPr/>
        <w:t>DCF</w:t>
      </w:r>
      <w:r>
        <w:rPr>
          <w:spacing w:val="-6"/>
        </w:rPr>
        <w:t> </w:t>
      </w:r>
      <w:r>
        <w:rPr/>
        <w:t>staff</w:t>
      </w:r>
      <w:r>
        <w:rPr>
          <w:spacing w:val="-5"/>
        </w:rPr>
        <w:t> </w:t>
      </w:r>
      <w:r>
        <w:rPr/>
        <w:t>in partnership</w:t>
      </w:r>
      <w:r>
        <w:rPr>
          <w:spacing w:val="-1"/>
        </w:rPr>
        <w:t> </w:t>
      </w:r>
      <w:r>
        <w:rPr/>
        <w:t>with</w:t>
      </w:r>
      <w:r>
        <w:rPr>
          <w:spacing w:val="-2"/>
        </w:rPr>
        <w:t> </w:t>
      </w:r>
      <w:r>
        <w:rPr/>
        <w:t>the</w:t>
      </w:r>
      <w:r>
        <w:rPr>
          <w:spacing w:val="-2"/>
        </w:rPr>
        <w:t> </w:t>
      </w:r>
      <w:r>
        <w:rPr/>
        <w:t>Commission</w:t>
      </w:r>
      <w:r>
        <w:rPr>
          <w:spacing w:val="-2"/>
        </w:rPr>
        <w:t> </w:t>
      </w:r>
      <w:r>
        <w:rPr/>
        <w:t>and</w:t>
      </w:r>
      <w:r>
        <w:rPr>
          <w:spacing w:val="-2"/>
        </w:rPr>
        <w:t> </w:t>
      </w:r>
      <w:r>
        <w:rPr/>
        <w:t>EOHHS</w:t>
      </w:r>
      <w:r>
        <w:rPr>
          <w:spacing w:val="-2"/>
        </w:rPr>
        <w:t> </w:t>
      </w:r>
      <w:r>
        <w:rPr/>
        <w:t>on</w:t>
      </w:r>
      <w:r>
        <w:rPr>
          <w:spacing w:val="-2"/>
        </w:rPr>
        <w:t> </w:t>
      </w:r>
      <w:r>
        <w:rPr/>
        <w:t>LGBTQ+</w:t>
      </w:r>
      <w:r>
        <w:rPr>
          <w:spacing w:val="-2"/>
        </w:rPr>
        <w:t> </w:t>
      </w:r>
      <w:r>
        <w:rPr/>
        <w:t>Inclusive Workplaces</w:t>
      </w:r>
      <w:r>
        <w:rPr>
          <w:spacing w:val="-1"/>
        </w:rPr>
        <w:t> </w:t>
      </w:r>
      <w:r>
        <w:rPr/>
        <w:t>(April</w:t>
      </w:r>
      <w:r>
        <w:rPr>
          <w:spacing w:val="-2"/>
        </w:rPr>
        <w:t> </w:t>
      </w:r>
      <w:r>
        <w:rPr/>
        <w:t>and</w:t>
      </w:r>
      <w:r>
        <w:rPr>
          <w:spacing w:val="-2"/>
        </w:rPr>
        <w:t> </w:t>
      </w:r>
      <w:r>
        <w:rPr/>
        <w:t>May</w:t>
      </w:r>
      <w:r>
        <w:rPr>
          <w:spacing w:val="-1"/>
        </w:rPr>
        <w:t> </w:t>
      </w:r>
      <w:r>
        <w:rPr/>
        <w:t>2022)</w:t>
      </w:r>
      <w:r>
        <w:rPr>
          <w:spacing w:val="-1"/>
        </w:rPr>
        <w:t> </w:t>
      </w:r>
      <w:r>
        <w:rPr/>
        <w:t>and “Working</w:t>
      </w:r>
      <w:r>
        <w:rPr>
          <w:spacing w:val="-5"/>
        </w:rPr>
        <w:t> </w:t>
      </w:r>
      <w:r>
        <w:rPr/>
        <w:t>with</w:t>
      </w:r>
      <w:r>
        <w:rPr>
          <w:spacing w:val="-5"/>
        </w:rPr>
        <w:t> </w:t>
      </w:r>
      <w:r>
        <w:rPr/>
        <w:t>Families</w:t>
      </w:r>
      <w:r>
        <w:rPr>
          <w:spacing w:val="-4"/>
        </w:rPr>
        <w:t> </w:t>
      </w:r>
      <w:r>
        <w:rPr/>
        <w:t>to</w:t>
      </w:r>
      <w:r>
        <w:rPr>
          <w:spacing w:val="-3"/>
        </w:rPr>
        <w:t> </w:t>
      </w:r>
      <w:r>
        <w:rPr/>
        <w:t>Support</w:t>
      </w:r>
      <w:r>
        <w:rPr>
          <w:spacing w:val="-4"/>
        </w:rPr>
        <w:t> </w:t>
      </w:r>
      <w:r>
        <w:rPr/>
        <w:t>LGBTQIA+</w:t>
      </w:r>
      <w:r>
        <w:rPr>
          <w:spacing w:val="-4"/>
        </w:rPr>
        <w:t> </w:t>
      </w:r>
      <w:r>
        <w:rPr/>
        <w:t>Youth”</w:t>
      </w:r>
      <w:r>
        <w:rPr>
          <w:spacing w:val="-5"/>
        </w:rPr>
        <w:t> </w:t>
      </w:r>
      <w:r>
        <w:rPr/>
        <w:t>(January</w:t>
      </w:r>
      <w:r>
        <w:rPr>
          <w:spacing w:val="-5"/>
        </w:rPr>
        <w:t> </w:t>
      </w:r>
      <w:r>
        <w:rPr/>
        <w:t>and</w:t>
      </w:r>
      <w:r>
        <w:rPr>
          <w:spacing w:val="-3"/>
        </w:rPr>
        <w:t> </w:t>
      </w:r>
      <w:r>
        <w:rPr/>
        <w:t>December</w:t>
      </w:r>
      <w:r>
        <w:rPr>
          <w:spacing w:val="-5"/>
        </w:rPr>
        <w:t> </w:t>
      </w:r>
      <w:r>
        <w:rPr/>
        <w:t>2022,</w:t>
      </w:r>
      <w:r>
        <w:rPr>
          <w:spacing w:val="-5"/>
        </w:rPr>
        <w:t> </w:t>
      </w:r>
      <w:r>
        <w:rPr/>
        <w:t>May</w:t>
      </w:r>
      <w:r>
        <w:rPr>
          <w:spacing w:val="-5"/>
        </w:rPr>
        <w:t> </w:t>
      </w:r>
      <w:r>
        <w:rPr/>
        <w:t>2023),</w:t>
      </w:r>
      <w:r>
        <w:rPr>
          <w:spacing w:val="-5"/>
        </w:rPr>
        <w:t> </w:t>
      </w:r>
      <w:r>
        <w:rPr/>
        <w:t>as</w:t>
      </w:r>
      <w:r>
        <w:rPr>
          <w:spacing w:val="-5"/>
        </w:rPr>
        <w:t> </w:t>
      </w:r>
      <w:r>
        <w:rPr/>
        <w:t>well</w:t>
      </w:r>
      <w:r>
        <w:rPr>
          <w:spacing w:val="-5"/>
        </w:rPr>
        <w:t> </w:t>
      </w:r>
      <w:r>
        <w:rPr/>
        <w:t>as two</w:t>
      </w:r>
      <w:r>
        <w:rPr>
          <w:spacing w:val="-8"/>
        </w:rPr>
        <w:t> </w:t>
      </w:r>
      <w:r>
        <w:rPr/>
        <w:t>trainings</w:t>
      </w:r>
      <w:r>
        <w:rPr>
          <w:spacing w:val="-7"/>
        </w:rPr>
        <w:t> </w:t>
      </w:r>
      <w:r>
        <w:rPr/>
        <w:t>on</w:t>
      </w:r>
      <w:r>
        <w:rPr>
          <w:spacing w:val="-9"/>
        </w:rPr>
        <w:t> </w:t>
      </w:r>
      <w:r>
        <w:rPr/>
        <w:t>“(SOGIE)</w:t>
      </w:r>
      <w:r>
        <w:rPr>
          <w:spacing w:val="-8"/>
        </w:rPr>
        <w:t> </w:t>
      </w:r>
      <w:r>
        <w:rPr/>
        <w:t>in</w:t>
      </w:r>
      <w:r>
        <w:rPr>
          <w:spacing w:val="-9"/>
        </w:rPr>
        <w:t> </w:t>
      </w:r>
      <w:r>
        <w:rPr/>
        <w:t>Youth</w:t>
      </w:r>
      <w:r>
        <w:rPr>
          <w:spacing w:val="-9"/>
        </w:rPr>
        <w:t> </w:t>
      </w:r>
      <w:r>
        <w:rPr/>
        <w:t>in</w:t>
      </w:r>
      <w:r>
        <w:rPr>
          <w:spacing w:val="-9"/>
        </w:rPr>
        <w:t> </w:t>
      </w:r>
      <w:r>
        <w:rPr/>
        <w:t>Child</w:t>
      </w:r>
      <w:r>
        <w:rPr>
          <w:spacing w:val="-9"/>
        </w:rPr>
        <w:t> </w:t>
      </w:r>
      <w:r>
        <w:rPr/>
        <w:t>Welfare”</w:t>
      </w:r>
      <w:r>
        <w:rPr>
          <w:spacing w:val="-8"/>
        </w:rPr>
        <w:t> </w:t>
      </w:r>
      <w:r>
        <w:rPr/>
        <w:t>in</w:t>
      </w:r>
      <w:r>
        <w:rPr>
          <w:spacing w:val="-8"/>
        </w:rPr>
        <w:t> </w:t>
      </w:r>
      <w:r>
        <w:rPr/>
        <w:t>May</w:t>
      </w:r>
      <w:r>
        <w:rPr>
          <w:spacing w:val="-9"/>
        </w:rPr>
        <w:t> </w:t>
      </w:r>
      <w:r>
        <w:rPr/>
        <w:t>of</w:t>
      </w:r>
      <w:r>
        <w:rPr>
          <w:spacing w:val="-9"/>
        </w:rPr>
        <w:t> </w:t>
      </w:r>
      <w:r>
        <w:rPr/>
        <w:t>2022</w:t>
      </w:r>
      <w:r>
        <w:rPr>
          <w:spacing w:val="-9"/>
        </w:rPr>
        <w:t> </w:t>
      </w:r>
      <w:r>
        <w:rPr/>
        <w:t>and</w:t>
      </w:r>
      <w:r>
        <w:rPr>
          <w:spacing w:val="-9"/>
        </w:rPr>
        <w:t> </w:t>
      </w:r>
      <w:r>
        <w:rPr/>
        <w:t>January</w:t>
      </w:r>
      <w:r>
        <w:rPr>
          <w:spacing w:val="-8"/>
        </w:rPr>
        <w:t> </w:t>
      </w:r>
      <w:r>
        <w:rPr/>
        <w:t>of</w:t>
      </w:r>
      <w:r>
        <w:rPr>
          <w:spacing w:val="-9"/>
        </w:rPr>
        <w:t> </w:t>
      </w:r>
      <w:r>
        <w:rPr/>
        <w:t>2023.</w:t>
      </w:r>
      <w:r>
        <w:rPr>
          <w:spacing w:val="-9"/>
        </w:rPr>
        <w:t> </w:t>
      </w:r>
      <w:r>
        <w:rPr/>
        <w:t>The</w:t>
      </w:r>
      <w:r>
        <w:rPr>
          <w:spacing w:val="-7"/>
        </w:rPr>
        <w:t> </w:t>
      </w:r>
      <w:r>
        <w:rPr/>
        <w:t>Commission notes</w:t>
      </w:r>
      <w:r>
        <w:rPr>
          <w:spacing w:val="-4"/>
        </w:rPr>
        <w:t> </w:t>
      </w:r>
      <w:r>
        <w:rPr/>
        <w:t>below</w:t>
      </w:r>
      <w:r>
        <w:rPr>
          <w:spacing w:val="-3"/>
        </w:rPr>
        <w:t> </w:t>
      </w:r>
      <w:r>
        <w:rPr/>
        <w:t>that</w:t>
      </w:r>
      <w:r>
        <w:rPr>
          <w:spacing w:val="-4"/>
        </w:rPr>
        <w:t> </w:t>
      </w:r>
      <w:r>
        <w:rPr/>
        <w:t>DCF</w:t>
      </w:r>
      <w:r>
        <w:rPr>
          <w:spacing w:val="-3"/>
        </w:rPr>
        <w:t> </w:t>
      </w:r>
      <w:r>
        <w:rPr/>
        <w:t>has</w:t>
      </w:r>
      <w:r>
        <w:rPr>
          <w:spacing w:val="-2"/>
        </w:rPr>
        <w:t> </w:t>
      </w:r>
      <w:r>
        <w:rPr/>
        <w:t>continued</w:t>
      </w:r>
      <w:r>
        <w:rPr>
          <w:spacing w:val="-3"/>
        </w:rPr>
        <w:t> </w:t>
      </w:r>
      <w:r>
        <w:rPr/>
        <w:t>to</w:t>
      </w:r>
      <w:r>
        <w:rPr>
          <w:spacing w:val="-2"/>
        </w:rPr>
        <w:t> </w:t>
      </w:r>
      <w:r>
        <w:rPr/>
        <w:t>participate</w:t>
      </w:r>
      <w:r>
        <w:rPr>
          <w:spacing w:val="-4"/>
        </w:rPr>
        <w:t> </w:t>
      </w:r>
      <w:r>
        <w:rPr/>
        <w:t>in</w:t>
      </w:r>
      <w:r>
        <w:rPr>
          <w:spacing w:val="-3"/>
        </w:rPr>
        <w:t> </w:t>
      </w:r>
      <w:r>
        <w:rPr/>
        <w:t>internal</w:t>
      </w:r>
      <w:r>
        <w:rPr>
          <w:spacing w:val="-3"/>
        </w:rPr>
        <w:t> </w:t>
      </w:r>
      <w:r>
        <w:rPr/>
        <w:t>EOHHS</w:t>
      </w:r>
      <w:r>
        <w:rPr>
          <w:spacing w:val="-4"/>
        </w:rPr>
        <w:t> </w:t>
      </w:r>
      <w:r>
        <w:rPr/>
        <w:t>agency</w:t>
      </w:r>
      <w:r>
        <w:rPr>
          <w:spacing w:val="-3"/>
        </w:rPr>
        <w:t> </w:t>
      </w:r>
      <w:r>
        <w:rPr/>
        <w:t>train-the-trainer</w:t>
      </w:r>
      <w:r>
        <w:rPr>
          <w:spacing w:val="-1"/>
        </w:rPr>
        <w:t> </w:t>
      </w:r>
      <w:r>
        <w:rPr/>
        <w:t>sessions</w:t>
      </w:r>
      <w:r>
        <w:rPr>
          <w:spacing w:val="-4"/>
        </w:rPr>
        <w:t> </w:t>
      </w:r>
      <w:r>
        <w:rPr/>
        <w:t>to build internal capacity to deliver LGBTQ cultural awareness trainings throughout DCF.</w:t>
      </w:r>
    </w:p>
    <w:p>
      <w:pPr>
        <w:pStyle w:val="BodyText"/>
        <w:spacing w:line="276" w:lineRule="auto" w:before="240"/>
        <w:ind w:left="483" w:right="341"/>
        <w:jc w:val="both"/>
      </w:pPr>
      <w:r>
        <w:rPr/>
        <w:t>The Commission appreciates the attention that DCF has been paying to educating DCF staff on the importance</w:t>
      </w:r>
      <w:r>
        <w:rPr>
          <w:spacing w:val="-9"/>
        </w:rPr>
        <w:t> </w:t>
      </w:r>
      <w:r>
        <w:rPr/>
        <w:t>of</w:t>
      </w:r>
      <w:r>
        <w:rPr>
          <w:spacing w:val="-9"/>
        </w:rPr>
        <w:t> </w:t>
      </w:r>
      <w:r>
        <w:rPr/>
        <w:t>SOGI</w:t>
      </w:r>
      <w:r>
        <w:rPr>
          <w:spacing w:val="-8"/>
        </w:rPr>
        <w:t> </w:t>
      </w:r>
      <w:r>
        <w:rPr/>
        <w:t>data</w:t>
      </w:r>
      <w:r>
        <w:rPr>
          <w:spacing w:val="-8"/>
        </w:rPr>
        <w:t> </w:t>
      </w:r>
      <w:r>
        <w:rPr/>
        <w:t>collection.</w:t>
      </w:r>
      <w:r>
        <w:rPr>
          <w:spacing w:val="-8"/>
        </w:rPr>
        <w:t> </w:t>
      </w:r>
      <w:r>
        <w:rPr/>
        <w:t>For</w:t>
      </w:r>
      <w:r>
        <w:rPr>
          <w:spacing w:val="-7"/>
        </w:rPr>
        <w:t> </w:t>
      </w:r>
      <w:r>
        <w:rPr/>
        <w:t>decades,</w:t>
      </w:r>
      <w:r>
        <w:rPr>
          <w:spacing w:val="-8"/>
        </w:rPr>
        <w:t> </w:t>
      </w:r>
      <w:r>
        <w:rPr/>
        <w:t>a</w:t>
      </w:r>
      <w:r>
        <w:rPr>
          <w:spacing w:val="-7"/>
        </w:rPr>
        <w:t> </w:t>
      </w:r>
      <w:r>
        <w:rPr/>
        <w:t>barrier</w:t>
      </w:r>
      <w:r>
        <w:rPr>
          <w:spacing w:val="-9"/>
        </w:rPr>
        <w:t> </w:t>
      </w:r>
      <w:r>
        <w:rPr/>
        <w:t>to</w:t>
      </w:r>
      <w:r>
        <w:rPr>
          <w:spacing w:val="-8"/>
        </w:rPr>
        <w:t> </w:t>
      </w:r>
      <w:r>
        <w:rPr/>
        <w:t>progress</w:t>
      </w:r>
      <w:r>
        <w:rPr>
          <w:spacing w:val="-8"/>
        </w:rPr>
        <w:t> </w:t>
      </w:r>
      <w:r>
        <w:rPr/>
        <w:t>in</w:t>
      </w:r>
      <w:r>
        <w:rPr>
          <w:spacing w:val="-9"/>
        </w:rPr>
        <w:t> </w:t>
      </w:r>
      <w:r>
        <w:rPr/>
        <w:t>Massachusetts</w:t>
      </w:r>
      <w:r>
        <w:rPr>
          <w:spacing w:val="-7"/>
        </w:rPr>
        <w:t> </w:t>
      </w:r>
      <w:r>
        <w:rPr/>
        <w:t>has</w:t>
      </w:r>
      <w:r>
        <w:rPr>
          <w:spacing w:val="-8"/>
        </w:rPr>
        <w:t> </w:t>
      </w:r>
      <w:r>
        <w:rPr/>
        <w:t>been</w:t>
      </w:r>
      <w:r>
        <w:rPr>
          <w:spacing w:val="-8"/>
        </w:rPr>
        <w:t> </w:t>
      </w:r>
      <w:r>
        <w:rPr/>
        <w:t>the</w:t>
      </w:r>
      <w:r>
        <w:rPr>
          <w:spacing w:val="-8"/>
        </w:rPr>
        <w:t> </w:t>
      </w:r>
      <w:r>
        <w:rPr/>
        <w:t>lack of quantitative information on LGBTQ youth across state agencies - as detailed throughout this annual report. Although DCF initially adopted SOGI data fields in 2016, the IT changes were incomplete and remained optional, leading to low completion rates and unreliable data that was later reported in DCF’s FY20 and FY21 annual reports. Done properly, collecting data on sexual orientation and gender identity (SOGI)</w:t>
      </w:r>
      <w:r>
        <w:rPr>
          <w:spacing w:val="-11"/>
        </w:rPr>
        <w:t> </w:t>
      </w:r>
      <w:r>
        <w:rPr/>
        <w:t>not</w:t>
      </w:r>
      <w:r>
        <w:rPr>
          <w:spacing w:val="-12"/>
        </w:rPr>
        <w:t> </w:t>
      </w:r>
      <w:r>
        <w:rPr/>
        <w:t>only</w:t>
      </w:r>
      <w:r>
        <w:rPr>
          <w:spacing w:val="-12"/>
        </w:rPr>
        <w:t> </w:t>
      </w:r>
      <w:r>
        <w:rPr/>
        <w:t>provides</w:t>
      </w:r>
      <w:r>
        <w:rPr>
          <w:spacing w:val="-11"/>
        </w:rPr>
        <w:t> </w:t>
      </w:r>
      <w:r>
        <w:rPr/>
        <w:t>better</w:t>
      </w:r>
      <w:r>
        <w:rPr>
          <w:spacing w:val="-11"/>
        </w:rPr>
        <w:t> </w:t>
      </w:r>
      <w:r>
        <w:rPr/>
        <w:t>information</w:t>
      </w:r>
      <w:r>
        <w:rPr>
          <w:spacing w:val="-13"/>
        </w:rPr>
        <w:t> </w:t>
      </w:r>
      <w:r>
        <w:rPr/>
        <w:t>on</w:t>
      </w:r>
      <w:r>
        <w:rPr>
          <w:spacing w:val="-11"/>
        </w:rPr>
        <w:t> </w:t>
      </w:r>
      <w:r>
        <w:rPr/>
        <w:t>the</w:t>
      </w:r>
      <w:r>
        <w:rPr>
          <w:spacing w:val="-12"/>
        </w:rPr>
        <w:t> </w:t>
      </w:r>
      <w:r>
        <w:rPr/>
        <w:t>experiences</w:t>
      </w:r>
      <w:r>
        <w:rPr>
          <w:spacing w:val="-11"/>
        </w:rPr>
        <w:t> </w:t>
      </w:r>
      <w:r>
        <w:rPr/>
        <w:t>of</w:t>
      </w:r>
      <w:r>
        <w:rPr>
          <w:spacing w:val="-11"/>
        </w:rPr>
        <w:t> </w:t>
      </w:r>
      <w:r>
        <w:rPr/>
        <w:t>LGBTQ</w:t>
      </w:r>
      <w:r>
        <w:rPr>
          <w:spacing w:val="-12"/>
        </w:rPr>
        <w:t> </w:t>
      </w:r>
      <w:r>
        <w:rPr/>
        <w:t>youth</w:t>
      </w:r>
      <w:r>
        <w:rPr>
          <w:spacing w:val="-12"/>
        </w:rPr>
        <w:t> </w:t>
      </w:r>
      <w:r>
        <w:rPr/>
        <w:t>in</w:t>
      </w:r>
      <w:r>
        <w:rPr>
          <w:spacing w:val="-12"/>
        </w:rPr>
        <w:t> </w:t>
      </w:r>
      <w:r>
        <w:rPr/>
        <w:t>care,</w:t>
      </w:r>
      <w:r>
        <w:rPr>
          <w:spacing w:val="-11"/>
        </w:rPr>
        <w:t> </w:t>
      </w:r>
      <w:r>
        <w:rPr/>
        <w:t>but</w:t>
      </w:r>
      <w:r>
        <w:rPr>
          <w:spacing w:val="-12"/>
        </w:rPr>
        <w:t> </w:t>
      </w:r>
      <w:r>
        <w:rPr/>
        <w:t>also</w:t>
      </w:r>
      <w:r>
        <w:rPr>
          <w:spacing w:val="-12"/>
        </w:rPr>
        <w:t> </w:t>
      </w:r>
      <w:r>
        <w:rPr/>
        <w:t>promotes opportunities</w:t>
      </w:r>
      <w:r>
        <w:rPr>
          <w:spacing w:val="-6"/>
        </w:rPr>
        <w:t> </w:t>
      </w:r>
      <w:r>
        <w:rPr/>
        <w:t>for</w:t>
      </w:r>
      <w:r>
        <w:rPr>
          <w:spacing w:val="-5"/>
        </w:rPr>
        <w:t> </w:t>
      </w:r>
      <w:r>
        <w:rPr/>
        <w:t>those</w:t>
      </w:r>
      <w:r>
        <w:rPr>
          <w:spacing w:val="-7"/>
        </w:rPr>
        <w:t> </w:t>
      </w:r>
      <w:r>
        <w:rPr/>
        <w:t>same</w:t>
      </w:r>
      <w:r>
        <w:rPr>
          <w:spacing w:val="-7"/>
        </w:rPr>
        <w:t> </w:t>
      </w:r>
      <w:r>
        <w:rPr/>
        <w:t>youth</w:t>
      </w:r>
      <w:r>
        <w:rPr>
          <w:spacing w:val="-6"/>
        </w:rPr>
        <w:t> </w:t>
      </w:r>
      <w:r>
        <w:rPr/>
        <w:t>to</w:t>
      </w:r>
      <w:r>
        <w:rPr>
          <w:spacing w:val="-4"/>
        </w:rPr>
        <w:t> </w:t>
      </w:r>
      <w:r>
        <w:rPr/>
        <w:t>discuss</w:t>
      </w:r>
      <w:r>
        <w:rPr>
          <w:spacing w:val="-5"/>
        </w:rPr>
        <w:t> </w:t>
      </w:r>
      <w:r>
        <w:rPr/>
        <w:t>their</w:t>
      </w:r>
      <w:r>
        <w:rPr>
          <w:spacing w:val="-5"/>
        </w:rPr>
        <w:t> </w:t>
      </w:r>
      <w:r>
        <w:rPr/>
        <w:t>identities</w:t>
      </w:r>
      <w:r>
        <w:rPr>
          <w:spacing w:val="-5"/>
        </w:rPr>
        <w:t> </w:t>
      </w:r>
      <w:r>
        <w:rPr/>
        <w:t>without</w:t>
      </w:r>
      <w:r>
        <w:rPr>
          <w:spacing w:val="-6"/>
        </w:rPr>
        <w:t> </w:t>
      </w:r>
      <w:r>
        <w:rPr/>
        <w:t>bearing</w:t>
      </w:r>
      <w:r>
        <w:rPr>
          <w:spacing w:val="-6"/>
        </w:rPr>
        <w:t> </w:t>
      </w:r>
      <w:r>
        <w:rPr/>
        <w:t>the</w:t>
      </w:r>
      <w:r>
        <w:rPr>
          <w:spacing w:val="-6"/>
        </w:rPr>
        <w:t> </w:t>
      </w:r>
      <w:r>
        <w:rPr/>
        <w:t>burden</w:t>
      </w:r>
      <w:r>
        <w:rPr>
          <w:spacing w:val="-6"/>
        </w:rPr>
        <w:t> </w:t>
      </w:r>
      <w:r>
        <w:rPr/>
        <w:t>of</w:t>
      </w:r>
      <w:r>
        <w:rPr>
          <w:spacing w:val="-5"/>
        </w:rPr>
        <w:t> </w:t>
      </w:r>
      <w:r>
        <w:rPr/>
        <w:t>initiating</w:t>
      </w:r>
      <w:r>
        <w:rPr>
          <w:spacing w:val="-6"/>
        </w:rPr>
        <w:t> </w:t>
      </w:r>
      <w:r>
        <w:rPr/>
        <w:t>the </w:t>
      </w:r>
      <w:r>
        <w:rPr>
          <w:spacing w:val="-2"/>
        </w:rPr>
        <w:t>conversation.</w:t>
      </w:r>
    </w:p>
    <w:p>
      <w:pPr>
        <w:pStyle w:val="BodyText"/>
        <w:spacing w:line="276" w:lineRule="auto" w:before="239"/>
        <w:ind w:left="483" w:right="341"/>
        <w:jc w:val="both"/>
      </w:pPr>
      <w:r>
        <w:rPr/>
        <w:t>DCF</w:t>
      </w:r>
      <w:r>
        <w:rPr>
          <w:spacing w:val="-6"/>
        </w:rPr>
        <w:t> </w:t>
      </w:r>
      <w:r>
        <w:rPr/>
        <w:t>took</w:t>
      </w:r>
      <w:r>
        <w:rPr>
          <w:spacing w:val="-6"/>
        </w:rPr>
        <w:t> </w:t>
      </w:r>
      <w:r>
        <w:rPr/>
        <w:t>a</w:t>
      </w:r>
      <w:r>
        <w:rPr>
          <w:spacing w:val="-4"/>
        </w:rPr>
        <w:t> </w:t>
      </w:r>
      <w:r>
        <w:rPr/>
        <w:t>significant</w:t>
      </w:r>
      <w:r>
        <w:rPr>
          <w:spacing w:val="-6"/>
        </w:rPr>
        <w:t> </w:t>
      </w:r>
      <w:r>
        <w:rPr/>
        <w:t>step</w:t>
      </w:r>
      <w:r>
        <w:rPr>
          <w:spacing w:val="-4"/>
        </w:rPr>
        <w:t> </w:t>
      </w:r>
      <w:r>
        <w:rPr/>
        <w:t>forward</w:t>
      </w:r>
      <w:r>
        <w:rPr>
          <w:spacing w:val="-6"/>
        </w:rPr>
        <w:t> </w:t>
      </w:r>
      <w:r>
        <w:rPr/>
        <w:t>in</w:t>
      </w:r>
      <w:r>
        <w:rPr>
          <w:spacing w:val="-4"/>
        </w:rPr>
        <w:t> </w:t>
      </w:r>
      <w:r>
        <w:rPr/>
        <w:t>April</w:t>
      </w:r>
      <w:r>
        <w:rPr>
          <w:spacing w:val="-5"/>
        </w:rPr>
        <w:t> </w:t>
      </w:r>
      <w:r>
        <w:rPr/>
        <w:t>2022</w:t>
      </w:r>
      <w:r>
        <w:rPr>
          <w:spacing w:val="-4"/>
        </w:rPr>
        <w:t> </w:t>
      </w:r>
      <w:r>
        <w:rPr/>
        <w:t>by</w:t>
      </w:r>
      <w:r>
        <w:rPr>
          <w:spacing w:val="-4"/>
        </w:rPr>
        <w:t> </w:t>
      </w:r>
      <w:r>
        <w:rPr/>
        <w:t>making</w:t>
      </w:r>
      <w:r>
        <w:rPr>
          <w:spacing w:val="-4"/>
        </w:rPr>
        <w:t> </w:t>
      </w:r>
      <w:r>
        <w:rPr/>
        <w:t>SOGI</w:t>
      </w:r>
      <w:r>
        <w:rPr>
          <w:spacing w:val="-3"/>
        </w:rPr>
        <w:t> </w:t>
      </w:r>
      <w:r>
        <w:rPr/>
        <w:t>data</w:t>
      </w:r>
      <w:r>
        <w:rPr>
          <w:spacing w:val="-5"/>
        </w:rPr>
        <w:t> </w:t>
      </w:r>
      <w:r>
        <w:rPr/>
        <w:t>a</w:t>
      </w:r>
      <w:r>
        <w:rPr>
          <w:spacing w:val="-4"/>
        </w:rPr>
        <w:t> </w:t>
      </w:r>
      <w:r>
        <w:rPr/>
        <w:t>mandatory</w:t>
      </w:r>
      <w:r>
        <w:rPr>
          <w:spacing w:val="-5"/>
        </w:rPr>
        <w:t> </w:t>
      </w:r>
      <w:r>
        <w:rPr/>
        <w:t>part</w:t>
      </w:r>
      <w:r>
        <w:rPr>
          <w:spacing w:val="-5"/>
        </w:rPr>
        <w:t> </w:t>
      </w:r>
      <w:r>
        <w:rPr/>
        <w:t>of</w:t>
      </w:r>
      <w:r>
        <w:rPr>
          <w:spacing w:val="-5"/>
        </w:rPr>
        <w:t> </w:t>
      </w:r>
      <w:r>
        <w:rPr/>
        <w:t>its</w:t>
      </w:r>
      <w:r>
        <w:rPr>
          <w:spacing w:val="-5"/>
        </w:rPr>
        <w:t> </w:t>
      </w:r>
      <w:r>
        <w:rPr/>
        <w:t>i-FamilyNet system,</w:t>
      </w:r>
      <w:r>
        <w:rPr>
          <w:spacing w:val="-4"/>
        </w:rPr>
        <w:t> </w:t>
      </w:r>
      <w:r>
        <w:rPr/>
        <w:t>with</w:t>
      </w:r>
      <w:r>
        <w:rPr>
          <w:spacing w:val="-3"/>
        </w:rPr>
        <w:t> </w:t>
      </w:r>
      <w:r>
        <w:rPr/>
        <w:t>further</w:t>
      </w:r>
      <w:r>
        <w:rPr>
          <w:spacing w:val="-3"/>
        </w:rPr>
        <w:t> </w:t>
      </w:r>
      <w:r>
        <w:rPr/>
        <w:t>updates</w:t>
      </w:r>
      <w:r>
        <w:rPr>
          <w:spacing w:val="-4"/>
        </w:rPr>
        <w:t> </w:t>
      </w:r>
      <w:r>
        <w:rPr/>
        <w:t>occurring</w:t>
      </w:r>
      <w:r>
        <w:rPr>
          <w:spacing w:val="-3"/>
        </w:rPr>
        <w:t> </w:t>
      </w:r>
      <w:r>
        <w:rPr/>
        <w:t>in</w:t>
      </w:r>
      <w:r>
        <w:rPr>
          <w:spacing w:val="-4"/>
        </w:rPr>
        <w:t> </w:t>
      </w:r>
      <w:r>
        <w:rPr/>
        <w:t>September</w:t>
      </w:r>
      <w:r>
        <w:rPr>
          <w:spacing w:val="-2"/>
        </w:rPr>
        <w:t> </w:t>
      </w:r>
      <w:r>
        <w:rPr/>
        <w:t>2022</w:t>
      </w:r>
      <w:r>
        <w:rPr>
          <w:spacing w:val="-4"/>
        </w:rPr>
        <w:t> </w:t>
      </w:r>
      <w:r>
        <w:rPr/>
        <w:t>to</w:t>
      </w:r>
      <w:r>
        <w:rPr>
          <w:spacing w:val="-4"/>
        </w:rPr>
        <w:t> </w:t>
      </w:r>
      <w:r>
        <w:rPr/>
        <w:t>add</w:t>
      </w:r>
      <w:r>
        <w:rPr>
          <w:spacing w:val="-3"/>
        </w:rPr>
        <w:t> </w:t>
      </w:r>
      <w:r>
        <w:rPr/>
        <w:t>fields</w:t>
      </w:r>
      <w:r>
        <w:rPr>
          <w:spacing w:val="-4"/>
        </w:rPr>
        <w:t> </w:t>
      </w:r>
      <w:r>
        <w:rPr/>
        <w:t>for</w:t>
      </w:r>
      <w:r>
        <w:rPr>
          <w:spacing w:val="-4"/>
        </w:rPr>
        <w:t> </w:t>
      </w:r>
      <w:r>
        <w:rPr/>
        <w:t>pronouns</w:t>
      </w:r>
      <w:r>
        <w:rPr>
          <w:spacing w:val="-4"/>
        </w:rPr>
        <w:t> </w:t>
      </w:r>
      <w:r>
        <w:rPr/>
        <w:t>and</w:t>
      </w:r>
      <w:r>
        <w:rPr>
          <w:spacing w:val="-3"/>
        </w:rPr>
        <w:t> </w:t>
      </w:r>
      <w:r>
        <w:rPr/>
        <w:t>chosen</w:t>
      </w:r>
      <w:r>
        <w:rPr>
          <w:spacing w:val="-4"/>
        </w:rPr>
        <w:t> </w:t>
      </w:r>
      <w:r>
        <w:rPr/>
        <w:t>names. DCF</w:t>
      </w:r>
      <w:r>
        <w:rPr>
          <w:spacing w:val="-13"/>
        </w:rPr>
        <w:t> </w:t>
      </w:r>
      <w:r>
        <w:rPr/>
        <w:t>was</w:t>
      </w:r>
      <w:r>
        <w:rPr>
          <w:spacing w:val="-12"/>
        </w:rPr>
        <w:t> </w:t>
      </w:r>
      <w:r>
        <w:rPr/>
        <w:t>able</w:t>
      </w:r>
      <w:r>
        <w:rPr>
          <w:spacing w:val="-13"/>
        </w:rPr>
        <w:t> </w:t>
      </w:r>
      <w:r>
        <w:rPr/>
        <w:t>to</w:t>
      </w:r>
      <w:r>
        <w:rPr>
          <w:spacing w:val="-12"/>
        </w:rPr>
        <w:t> </w:t>
      </w:r>
      <w:r>
        <w:rPr/>
        <w:t>include</w:t>
      </w:r>
      <w:r>
        <w:rPr>
          <w:spacing w:val="-13"/>
        </w:rPr>
        <w:t> </w:t>
      </w:r>
      <w:r>
        <w:rPr/>
        <w:t>its</w:t>
      </w:r>
      <w:r>
        <w:rPr>
          <w:spacing w:val="-12"/>
        </w:rPr>
        <w:t> </w:t>
      </w:r>
      <w:r>
        <w:rPr/>
        <w:t>initial</w:t>
      </w:r>
      <w:r>
        <w:rPr>
          <w:spacing w:val="-13"/>
        </w:rPr>
        <w:t> </w:t>
      </w:r>
      <w:r>
        <w:rPr/>
        <w:t>SOGI</w:t>
      </w:r>
      <w:r>
        <w:rPr>
          <w:spacing w:val="-12"/>
        </w:rPr>
        <w:t> </w:t>
      </w:r>
      <w:r>
        <w:rPr/>
        <w:t>data</w:t>
      </w:r>
      <w:r>
        <w:rPr>
          <w:spacing w:val="-12"/>
        </w:rPr>
        <w:t> </w:t>
      </w:r>
      <w:r>
        <w:rPr/>
        <w:t>from</w:t>
      </w:r>
      <w:r>
        <w:rPr>
          <w:spacing w:val="-13"/>
        </w:rPr>
        <w:t> </w:t>
      </w:r>
      <w:r>
        <w:rPr/>
        <w:t>these</w:t>
      </w:r>
      <w:r>
        <w:rPr>
          <w:spacing w:val="-12"/>
        </w:rPr>
        <w:t> </w:t>
      </w:r>
      <w:r>
        <w:rPr/>
        <w:t>update</w:t>
      </w:r>
      <w:r>
        <w:rPr>
          <w:spacing w:val="-13"/>
        </w:rPr>
        <w:t> </w:t>
      </w:r>
      <w:r>
        <w:rPr/>
        <w:t>in</w:t>
      </w:r>
      <w:r>
        <w:rPr>
          <w:spacing w:val="-12"/>
        </w:rPr>
        <w:t> </w:t>
      </w:r>
      <w:r>
        <w:rPr/>
        <w:t>its</w:t>
      </w:r>
      <w:r>
        <w:rPr>
          <w:spacing w:val="-13"/>
        </w:rPr>
        <w:t> </w:t>
      </w:r>
      <w:r>
        <w:rPr/>
        <w:t>most</w:t>
      </w:r>
      <w:r>
        <w:rPr>
          <w:spacing w:val="-12"/>
        </w:rPr>
        <w:t> </w:t>
      </w:r>
      <w:r>
        <w:rPr/>
        <w:t>recent</w:t>
      </w:r>
      <w:r>
        <w:rPr>
          <w:spacing w:val="-12"/>
        </w:rPr>
        <w:t> </w:t>
      </w:r>
      <w:hyperlink r:id="rId726">
        <w:r>
          <w:rPr>
            <w:color w:val="1154CC"/>
            <w:u w:val="single" w:color="1154CC"/>
          </w:rPr>
          <w:t>FY23Q1</w:t>
        </w:r>
        <w:r>
          <w:rPr>
            <w:color w:val="1154CC"/>
            <w:spacing w:val="-13"/>
            <w:u w:val="single" w:color="1154CC"/>
          </w:rPr>
          <w:t> </w:t>
        </w:r>
        <w:r>
          <w:rPr>
            <w:color w:val="1154CC"/>
            <w:u w:val="single" w:color="1154CC"/>
          </w:rPr>
          <w:t>Quarterly</w:t>
        </w:r>
        <w:r>
          <w:rPr>
            <w:color w:val="1154CC"/>
            <w:spacing w:val="-12"/>
            <w:u w:val="single" w:color="1154CC"/>
          </w:rPr>
          <w:t> </w:t>
        </w:r>
        <w:r>
          <w:rPr>
            <w:color w:val="1154CC"/>
            <w:u w:val="single" w:color="1154CC"/>
          </w:rPr>
          <w:t>Report</w:t>
        </w:r>
        <w:r>
          <w:rPr>
            <w:u w:val="none"/>
          </w:rPr>
          <w:t>,</w:t>
        </w:r>
      </w:hyperlink>
      <w:r>
        <w:rPr>
          <w:u w:val="none"/>
        </w:rPr>
        <w:t> as noted below. To further extend their data transparency, DCF launched an </w:t>
      </w:r>
      <w:hyperlink r:id="rId727">
        <w:r>
          <w:rPr>
            <w:color w:val="1154CC"/>
            <w:u w:val="single" w:color="1154CC"/>
          </w:rPr>
          <w:t>interactive data dashboard</w:t>
        </w:r>
      </w:hyperlink>
      <w:r>
        <w:rPr>
          <w:color w:val="1154CC"/>
          <w:u w:val="none"/>
        </w:rPr>
        <w:t> </w:t>
      </w:r>
      <w:r>
        <w:rPr>
          <w:u w:val="none"/>
        </w:rPr>
        <w:t>that</w:t>
      </w:r>
      <w:r>
        <w:rPr>
          <w:spacing w:val="-6"/>
          <w:u w:val="none"/>
        </w:rPr>
        <w:t> </w:t>
      </w:r>
      <w:r>
        <w:rPr>
          <w:u w:val="none"/>
        </w:rPr>
        <w:t>allows</w:t>
      </w:r>
      <w:r>
        <w:rPr>
          <w:spacing w:val="-6"/>
          <w:u w:val="none"/>
        </w:rPr>
        <w:t> </w:t>
      </w:r>
      <w:r>
        <w:rPr>
          <w:u w:val="none"/>
        </w:rPr>
        <w:t>for</w:t>
      </w:r>
      <w:r>
        <w:rPr>
          <w:spacing w:val="-6"/>
          <w:u w:val="none"/>
        </w:rPr>
        <w:t> </w:t>
      </w:r>
      <w:r>
        <w:rPr>
          <w:u w:val="none"/>
        </w:rPr>
        <w:t>public</w:t>
      </w:r>
      <w:r>
        <w:rPr>
          <w:spacing w:val="-6"/>
          <w:u w:val="none"/>
        </w:rPr>
        <w:t> </w:t>
      </w:r>
      <w:r>
        <w:rPr>
          <w:u w:val="none"/>
        </w:rPr>
        <w:t>engagement</w:t>
      </w:r>
      <w:r>
        <w:rPr>
          <w:spacing w:val="-7"/>
          <w:u w:val="none"/>
        </w:rPr>
        <w:t> </w:t>
      </w:r>
      <w:r>
        <w:rPr>
          <w:u w:val="none"/>
        </w:rPr>
        <w:t>and</w:t>
      </w:r>
      <w:r>
        <w:rPr>
          <w:spacing w:val="-6"/>
          <w:u w:val="none"/>
        </w:rPr>
        <w:t> </w:t>
      </w:r>
      <w:r>
        <w:rPr>
          <w:u w:val="none"/>
        </w:rPr>
        <w:t>reporting.</w:t>
      </w:r>
      <w:r>
        <w:rPr>
          <w:spacing w:val="-6"/>
          <w:u w:val="none"/>
        </w:rPr>
        <w:t> </w:t>
      </w:r>
      <w:r>
        <w:rPr>
          <w:u w:val="none"/>
        </w:rPr>
        <w:t>Finally,</w:t>
      </w:r>
      <w:r>
        <w:rPr>
          <w:spacing w:val="-6"/>
          <w:u w:val="none"/>
        </w:rPr>
        <w:t> </w:t>
      </w:r>
      <w:r>
        <w:rPr>
          <w:u w:val="none"/>
        </w:rPr>
        <w:t>the</w:t>
      </w:r>
      <w:r>
        <w:rPr>
          <w:spacing w:val="-5"/>
          <w:u w:val="none"/>
        </w:rPr>
        <w:t> </w:t>
      </w:r>
      <w:r>
        <w:rPr>
          <w:u w:val="none"/>
        </w:rPr>
        <w:t>Commission</w:t>
      </w:r>
      <w:r>
        <w:rPr>
          <w:spacing w:val="-7"/>
          <w:u w:val="none"/>
        </w:rPr>
        <w:t> </w:t>
      </w:r>
      <w:r>
        <w:rPr>
          <w:u w:val="none"/>
        </w:rPr>
        <w:t>has</w:t>
      </w:r>
      <w:r>
        <w:rPr>
          <w:spacing w:val="-6"/>
          <w:u w:val="none"/>
        </w:rPr>
        <w:t> </w:t>
      </w:r>
      <w:r>
        <w:rPr>
          <w:u w:val="none"/>
        </w:rPr>
        <w:t>been</w:t>
      </w:r>
      <w:r>
        <w:rPr>
          <w:spacing w:val="-6"/>
          <w:u w:val="none"/>
        </w:rPr>
        <w:t> </w:t>
      </w:r>
      <w:r>
        <w:rPr>
          <w:u w:val="none"/>
        </w:rPr>
        <w:t>thrilled</w:t>
      </w:r>
      <w:r>
        <w:rPr>
          <w:spacing w:val="-6"/>
          <w:u w:val="none"/>
        </w:rPr>
        <w:t> </w:t>
      </w:r>
      <w:r>
        <w:rPr>
          <w:u w:val="none"/>
        </w:rPr>
        <w:t>to</w:t>
      </w:r>
      <w:r>
        <w:rPr>
          <w:spacing w:val="-6"/>
          <w:u w:val="none"/>
        </w:rPr>
        <w:t> </w:t>
      </w:r>
      <w:r>
        <w:rPr>
          <w:u w:val="none"/>
        </w:rPr>
        <w:t>collaborate with DCF’s new fully-staffed LGBTQIA+ Office on policy development, data collection, and training in FY </w:t>
      </w:r>
      <w:r>
        <w:rPr>
          <w:spacing w:val="-2"/>
          <w:u w:val="none"/>
        </w:rPr>
        <w:t>2024.</w:t>
      </w:r>
    </w:p>
    <w:p>
      <w:pPr>
        <w:spacing w:before="241"/>
        <w:ind w:left="483" w:right="0" w:firstLine="0"/>
        <w:jc w:val="both"/>
        <w:rPr>
          <w:sz w:val="28"/>
        </w:rPr>
      </w:pPr>
      <w:r>
        <w:rPr>
          <w:color w:val="365F91"/>
          <w:sz w:val="28"/>
        </w:rPr>
        <w:t>FY</w:t>
      </w:r>
      <w:r>
        <w:rPr>
          <w:color w:val="365F91"/>
          <w:spacing w:val="-9"/>
          <w:sz w:val="28"/>
        </w:rPr>
        <w:t> </w:t>
      </w:r>
      <w:r>
        <w:rPr>
          <w:color w:val="365F91"/>
          <w:sz w:val="28"/>
        </w:rPr>
        <w:t>2025</w:t>
      </w:r>
      <w:r>
        <w:rPr>
          <w:color w:val="365F91"/>
          <w:spacing w:val="-8"/>
          <w:sz w:val="28"/>
        </w:rPr>
        <w:t> </w:t>
      </w:r>
      <w:r>
        <w:rPr>
          <w:color w:val="365F91"/>
          <w:sz w:val="28"/>
        </w:rPr>
        <w:t>Expanded</w:t>
      </w:r>
      <w:r>
        <w:rPr>
          <w:color w:val="365F91"/>
          <w:spacing w:val="-9"/>
          <w:sz w:val="28"/>
        </w:rPr>
        <w:t> </w:t>
      </w:r>
      <w:r>
        <w:rPr>
          <w:color w:val="365F91"/>
          <w:sz w:val="28"/>
        </w:rPr>
        <w:t>DCF</w:t>
      </w:r>
      <w:r>
        <w:rPr>
          <w:color w:val="365F91"/>
          <w:spacing w:val="-9"/>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697408">
                <wp:simplePos x="0" y="0"/>
                <wp:positionH relativeFrom="page">
                  <wp:posOffset>897636</wp:posOffset>
                </wp:positionH>
                <wp:positionV relativeFrom="paragraph">
                  <wp:posOffset>44483</wp:posOffset>
                </wp:positionV>
                <wp:extent cx="5976620" cy="635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2637pt;width:470.58pt;height:.48pt;mso-position-horizontal-relative:page;mso-position-vertical-relative:paragraph;z-index:-15619072;mso-wrap-distance-left:0;mso-wrap-distance-right:0" id="docshape461" filled="true" fillcolor="#4f81bc" stroked="false">
                <v:fill type="solid"/>
                <w10:wrap type="topAndBottom"/>
              </v:rect>
            </w:pict>
          </mc:Fallback>
        </mc:AlternateContent>
      </w:r>
    </w:p>
    <w:p>
      <w:pPr>
        <w:numPr>
          <w:ilvl w:val="0"/>
          <w:numId w:val="36"/>
        </w:numPr>
        <w:tabs>
          <w:tab w:pos="481" w:val="left" w:leader="none"/>
          <w:tab w:pos="483" w:val="left" w:leader="none"/>
        </w:tabs>
        <w:spacing w:line="276" w:lineRule="auto" w:before="241"/>
        <w:ind w:left="483" w:right="345" w:hanging="360"/>
        <w:jc w:val="left"/>
        <w:rPr>
          <w:b/>
          <w:sz w:val="22"/>
        </w:rPr>
      </w:pPr>
      <w:r>
        <w:rPr>
          <w:b/>
          <w:sz w:val="22"/>
        </w:rPr>
        <w:t>Ensure</w:t>
      </w:r>
      <w:r>
        <w:rPr>
          <w:b/>
          <w:spacing w:val="-13"/>
          <w:sz w:val="22"/>
        </w:rPr>
        <w:t> </w:t>
      </w:r>
      <w:r>
        <w:rPr>
          <w:b/>
          <w:sz w:val="22"/>
        </w:rPr>
        <w:t>thorough</w:t>
      </w:r>
      <w:r>
        <w:rPr>
          <w:b/>
          <w:spacing w:val="-12"/>
          <w:sz w:val="22"/>
        </w:rPr>
        <w:t> </w:t>
      </w:r>
      <w:r>
        <w:rPr>
          <w:b/>
          <w:sz w:val="22"/>
        </w:rPr>
        <w:t>and</w:t>
      </w:r>
      <w:r>
        <w:rPr>
          <w:b/>
          <w:spacing w:val="-13"/>
          <w:sz w:val="22"/>
        </w:rPr>
        <w:t> </w:t>
      </w:r>
      <w:r>
        <w:rPr>
          <w:b/>
          <w:sz w:val="22"/>
        </w:rPr>
        <w:t>accurate</w:t>
      </w:r>
      <w:r>
        <w:rPr>
          <w:b/>
          <w:spacing w:val="-13"/>
          <w:sz w:val="22"/>
        </w:rPr>
        <w:t> </w:t>
      </w:r>
      <w:r>
        <w:rPr>
          <w:b/>
          <w:sz w:val="22"/>
        </w:rPr>
        <w:t>SOGI</w:t>
      </w:r>
      <w:r>
        <w:rPr>
          <w:b/>
          <w:spacing w:val="-13"/>
          <w:sz w:val="22"/>
        </w:rPr>
        <w:t> </w:t>
      </w:r>
      <w:r>
        <w:rPr>
          <w:b/>
          <w:sz w:val="22"/>
        </w:rPr>
        <w:t>data</w:t>
      </w:r>
      <w:r>
        <w:rPr>
          <w:b/>
          <w:spacing w:val="-14"/>
          <w:sz w:val="22"/>
        </w:rPr>
        <w:t> </w:t>
      </w:r>
      <w:r>
        <w:rPr>
          <w:b/>
          <w:sz w:val="22"/>
        </w:rPr>
        <w:t>collection</w:t>
      </w:r>
      <w:r>
        <w:rPr>
          <w:b/>
          <w:spacing w:val="-12"/>
          <w:sz w:val="22"/>
        </w:rPr>
        <w:t> </w:t>
      </w:r>
      <w:r>
        <w:rPr>
          <w:b/>
          <w:sz w:val="22"/>
        </w:rPr>
        <w:t>through</w:t>
      </w:r>
      <w:r>
        <w:rPr>
          <w:b/>
          <w:spacing w:val="-13"/>
          <w:sz w:val="22"/>
        </w:rPr>
        <w:t> </w:t>
      </w:r>
      <w:r>
        <w:rPr>
          <w:b/>
          <w:sz w:val="22"/>
        </w:rPr>
        <w:t>implementation</w:t>
      </w:r>
      <w:r>
        <w:rPr>
          <w:b/>
          <w:spacing w:val="-13"/>
          <w:sz w:val="22"/>
        </w:rPr>
        <w:t> </w:t>
      </w:r>
      <w:r>
        <w:rPr>
          <w:b/>
          <w:sz w:val="22"/>
        </w:rPr>
        <w:t>of</w:t>
      </w:r>
      <w:r>
        <w:rPr>
          <w:b/>
          <w:spacing w:val="-12"/>
          <w:sz w:val="22"/>
        </w:rPr>
        <w:t> </w:t>
      </w:r>
      <w:r>
        <w:rPr>
          <w:b/>
          <w:sz w:val="22"/>
        </w:rPr>
        <w:t>the</w:t>
      </w:r>
      <w:r>
        <w:rPr>
          <w:b/>
          <w:spacing w:val="-13"/>
          <w:sz w:val="22"/>
        </w:rPr>
        <w:t> </w:t>
      </w:r>
      <w:r>
        <w:rPr>
          <w:b/>
          <w:sz w:val="22"/>
        </w:rPr>
        <w:t>new</w:t>
      </w:r>
      <w:r>
        <w:rPr>
          <w:b/>
          <w:spacing w:val="-14"/>
          <w:sz w:val="22"/>
        </w:rPr>
        <w:t> </w:t>
      </w:r>
      <w:r>
        <w:rPr>
          <w:b/>
          <w:sz w:val="22"/>
        </w:rPr>
        <w:t>mandatory</w:t>
      </w:r>
      <w:r>
        <w:rPr>
          <w:b/>
          <w:spacing w:val="-12"/>
          <w:sz w:val="22"/>
        </w:rPr>
        <w:t> </w:t>
      </w:r>
      <w:r>
        <w:rPr>
          <w:b/>
          <w:sz w:val="22"/>
        </w:rPr>
        <w:t>data elements and staff training.</w:t>
      </w:r>
    </w:p>
    <w:p>
      <w:pPr>
        <w:spacing w:after="0" w:line="276" w:lineRule="auto"/>
        <w:jc w:val="left"/>
        <w:rPr>
          <w:sz w:val="22"/>
        </w:rPr>
        <w:sectPr>
          <w:pgSz w:w="12240" w:h="15840"/>
          <w:pgMar w:header="804" w:footer="1263" w:top="1000" w:bottom="1460" w:left="960" w:right="1100"/>
        </w:sectPr>
      </w:pPr>
    </w:p>
    <w:p>
      <w:pPr>
        <w:pStyle w:val="BodyText"/>
        <w:spacing w:line="276" w:lineRule="auto" w:before="139"/>
        <w:ind w:left="483" w:right="339"/>
        <w:jc w:val="both"/>
      </w:pPr>
      <w:r>
        <w:rPr/>
        <w:t>Over the last three years, DCF has made significant progress on its SOGI data collection practices; much of</w:t>
      </w:r>
      <w:r>
        <w:rPr>
          <w:spacing w:val="-10"/>
        </w:rPr>
        <w:t> </w:t>
      </w:r>
      <w:r>
        <w:rPr/>
        <w:t>the</w:t>
      </w:r>
      <w:r>
        <w:rPr>
          <w:spacing w:val="-10"/>
        </w:rPr>
        <w:t> </w:t>
      </w:r>
      <w:r>
        <w:rPr/>
        <w:t>existing</w:t>
      </w:r>
      <w:r>
        <w:rPr>
          <w:spacing w:val="-10"/>
        </w:rPr>
        <w:t> </w:t>
      </w:r>
      <w:r>
        <w:rPr/>
        <w:t>data</w:t>
      </w:r>
      <w:r>
        <w:rPr>
          <w:spacing w:val="-10"/>
        </w:rPr>
        <w:t> </w:t>
      </w:r>
      <w:r>
        <w:rPr/>
        <w:t>has</w:t>
      </w:r>
      <w:r>
        <w:rPr>
          <w:spacing w:val="-10"/>
        </w:rPr>
        <w:t> </w:t>
      </w:r>
      <w:r>
        <w:rPr/>
        <w:t>been</w:t>
      </w:r>
      <w:r>
        <w:rPr>
          <w:spacing w:val="-10"/>
        </w:rPr>
        <w:t> </w:t>
      </w:r>
      <w:r>
        <w:rPr/>
        <w:t>published</w:t>
      </w:r>
      <w:r>
        <w:rPr>
          <w:spacing w:val="-10"/>
        </w:rPr>
        <w:t> </w:t>
      </w:r>
      <w:r>
        <w:rPr/>
        <w:t>in</w:t>
      </w:r>
      <w:r>
        <w:rPr>
          <w:spacing w:val="-10"/>
        </w:rPr>
        <w:t> </w:t>
      </w:r>
      <w:r>
        <w:rPr/>
        <w:t>its</w:t>
      </w:r>
      <w:r>
        <w:rPr>
          <w:spacing w:val="-10"/>
        </w:rPr>
        <w:t> </w:t>
      </w:r>
      <w:r>
        <w:rPr/>
        <w:t>subsequent</w:t>
      </w:r>
      <w:r>
        <w:rPr>
          <w:spacing w:val="-11"/>
        </w:rPr>
        <w:t> </w:t>
      </w:r>
      <w:r>
        <w:rPr/>
        <w:t>quarterly</w:t>
      </w:r>
      <w:r>
        <w:rPr>
          <w:spacing w:val="-10"/>
        </w:rPr>
        <w:t> </w:t>
      </w:r>
      <w:r>
        <w:rPr/>
        <w:t>reports</w:t>
      </w:r>
      <w:r>
        <w:rPr>
          <w:spacing w:val="-10"/>
        </w:rPr>
        <w:t> </w:t>
      </w:r>
      <w:r>
        <w:rPr/>
        <w:t>since</w:t>
      </w:r>
      <w:r>
        <w:rPr>
          <w:spacing w:val="-10"/>
        </w:rPr>
        <w:t> </w:t>
      </w:r>
      <w:r>
        <w:rPr/>
        <w:t>FY</w:t>
      </w:r>
      <w:r>
        <w:rPr>
          <w:spacing w:val="-11"/>
        </w:rPr>
        <w:t> </w:t>
      </w:r>
      <w:r>
        <w:rPr/>
        <w:t>2022.</w:t>
      </w:r>
      <w:r>
        <w:rPr>
          <w:spacing w:val="-11"/>
        </w:rPr>
        <w:t> </w:t>
      </w:r>
      <w:r>
        <w:rPr/>
        <w:t>The</w:t>
      </w:r>
      <w:r>
        <w:rPr>
          <w:spacing w:val="-10"/>
        </w:rPr>
        <w:t> </w:t>
      </w:r>
      <w:r>
        <w:rPr/>
        <w:t>Commission recommends</w:t>
      </w:r>
      <w:r>
        <w:rPr>
          <w:spacing w:val="-7"/>
        </w:rPr>
        <w:t> </w:t>
      </w:r>
      <w:r>
        <w:rPr/>
        <w:t>that</w:t>
      </w:r>
      <w:r>
        <w:rPr>
          <w:spacing w:val="-9"/>
        </w:rPr>
        <w:t> </w:t>
      </w:r>
      <w:r>
        <w:rPr/>
        <w:t>DCF</w:t>
      </w:r>
      <w:r>
        <w:rPr>
          <w:spacing w:val="-9"/>
        </w:rPr>
        <w:t> </w:t>
      </w:r>
      <w:r>
        <w:rPr/>
        <w:t>continue</w:t>
      </w:r>
      <w:r>
        <w:rPr>
          <w:spacing w:val="-9"/>
        </w:rPr>
        <w:t> </w:t>
      </w:r>
      <w:r>
        <w:rPr/>
        <w:t>to</w:t>
      </w:r>
      <w:r>
        <w:rPr>
          <w:spacing w:val="-8"/>
        </w:rPr>
        <w:t> </w:t>
      </w:r>
      <w:r>
        <w:rPr/>
        <w:t>review</w:t>
      </w:r>
      <w:r>
        <w:rPr>
          <w:spacing w:val="-10"/>
        </w:rPr>
        <w:t> </w:t>
      </w:r>
      <w:r>
        <w:rPr/>
        <w:t>its</w:t>
      </w:r>
      <w:r>
        <w:rPr>
          <w:spacing w:val="-8"/>
        </w:rPr>
        <w:t> </w:t>
      </w:r>
      <w:r>
        <w:rPr/>
        <w:t>SOGI</w:t>
      </w:r>
      <w:r>
        <w:rPr>
          <w:spacing w:val="-9"/>
        </w:rPr>
        <w:t> </w:t>
      </w:r>
      <w:r>
        <w:rPr/>
        <w:t>data</w:t>
      </w:r>
      <w:r>
        <w:rPr>
          <w:spacing w:val="-8"/>
        </w:rPr>
        <w:t> </w:t>
      </w:r>
      <w:r>
        <w:rPr/>
        <w:t>collection</w:t>
      </w:r>
      <w:r>
        <w:rPr>
          <w:spacing w:val="-8"/>
        </w:rPr>
        <w:t> </w:t>
      </w:r>
      <w:r>
        <w:rPr/>
        <w:t>efforts,</w:t>
      </w:r>
      <w:r>
        <w:rPr>
          <w:spacing w:val="-10"/>
        </w:rPr>
        <w:t> </w:t>
      </w:r>
      <w:r>
        <w:rPr/>
        <w:t>including</w:t>
      </w:r>
      <w:r>
        <w:rPr>
          <w:spacing w:val="-9"/>
        </w:rPr>
        <w:t> </w:t>
      </w:r>
      <w:r>
        <w:rPr/>
        <w:t>its</w:t>
      </w:r>
      <w:r>
        <w:rPr>
          <w:spacing w:val="-8"/>
        </w:rPr>
        <w:t> </w:t>
      </w:r>
      <w:r>
        <w:rPr/>
        <w:t>existing</w:t>
      </w:r>
      <w:r>
        <w:rPr>
          <w:spacing w:val="-9"/>
        </w:rPr>
        <w:t> </w:t>
      </w:r>
      <w:r>
        <w:rPr/>
        <w:t>data</w:t>
      </w:r>
      <w:r>
        <w:rPr>
          <w:spacing w:val="-8"/>
        </w:rPr>
        <w:t> </w:t>
      </w:r>
      <w:r>
        <w:rPr/>
        <w:t>fields, and ensure that staff are appropriately trained on how to solicit SOGI information. In its February 2024 meeting with DCF, the Commission was informed that the agency is in the process of developing an 8- minute</w:t>
      </w:r>
      <w:r>
        <w:rPr>
          <w:spacing w:val="-1"/>
        </w:rPr>
        <w:t> </w:t>
      </w:r>
      <w:r>
        <w:rPr/>
        <w:t>training</w:t>
      </w:r>
      <w:r>
        <w:rPr>
          <w:spacing w:val="-1"/>
        </w:rPr>
        <w:t> </w:t>
      </w:r>
      <w:r>
        <w:rPr/>
        <w:t>to</w:t>
      </w:r>
      <w:r>
        <w:rPr>
          <w:spacing w:val="-1"/>
        </w:rPr>
        <w:t> </w:t>
      </w:r>
      <w:r>
        <w:rPr/>
        <w:t>be</w:t>
      </w:r>
      <w:r>
        <w:rPr>
          <w:spacing w:val="-1"/>
        </w:rPr>
        <w:t> </w:t>
      </w:r>
      <w:r>
        <w:rPr/>
        <w:t>posted</w:t>
      </w:r>
      <w:r>
        <w:rPr>
          <w:spacing w:val="-2"/>
        </w:rPr>
        <w:t> </w:t>
      </w:r>
      <w:r>
        <w:rPr/>
        <w:t>on</w:t>
      </w:r>
      <w:r>
        <w:rPr>
          <w:spacing w:val="-1"/>
        </w:rPr>
        <w:t> </w:t>
      </w:r>
      <w:r>
        <w:rPr/>
        <w:t>MassAchieve</w:t>
      </w:r>
      <w:r>
        <w:rPr>
          <w:spacing w:val="-1"/>
        </w:rPr>
        <w:t> </w:t>
      </w:r>
      <w:r>
        <w:rPr/>
        <w:t>- the</w:t>
      </w:r>
      <w:r>
        <w:rPr>
          <w:spacing w:val="-2"/>
        </w:rPr>
        <w:t> </w:t>
      </w:r>
      <w:r>
        <w:rPr/>
        <w:t>state</w:t>
      </w:r>
      <w:r>
        <w:rPr>
          <w:spacing w:val="-1"/>
        </w:rPr>
        <w:t> </w:t>
      </w:r>
      <w:r>
        <w:rPr/>
        <w:t>employee</w:t>
      </w:r>
      <w:r>
        <w:rPr>
          <w:spacing w:val="-2"/>
        </w:rPr>
        <w:t> </w:t>
      </w:r>
      <w:r>
        <w:rPr/>
        <w:t>training</w:t>
      </w:r>
      <w:r>
        <w:rPr>
          <w:spacing w:val="-1"/>
        </w:rPr>
        <w:t> </w:t>
      </w:r>
      <w:r>
        <w:rPr/>
        <w:t>platform</w:t>
      </w:r>
      <w:r>
        <w:rPr>
          <w:spacing w:val="-2"/>
        </w:rPr>
        <w:t> </w:t>
      </w:r>
      <w:r>
        <w:rPr/>
        <w:t>-</w:t>
      </w:r>
      <w:r>
        <w:rPr>
          <w:spacing w:val="-1"/>
        </w:rPr>
        <w:t> </w:t>
      </w:r>
      <w:r>
        <w:rPr/>
        <w:t>that will</w:t>
      </w:r>
      <w:r>
        <w:rPr>
          <w:spacing w:val="-2"/>
        </w:rPr>
        <w:t> </w:t>
      </w:r>
      <w:r>
        <w:rPr/>
        <w:t>be</w:t>
      </w:r>
      <w:r>
        <w:rPr>
          <w:spacing w:val="-1"/>
        </w:rPr>
        <w:t> </w:t>
      </w:r>
      <w:r>
        <w:rPr/>
        <w:t>paired with a discussion in all area offices to ensure compliance and comprehension. DCF’s new fully-staff LGBTQIA+ Office will facilitate the conversations in partnership with area office leadership and training </w:t>
      </w:r>
      <w:r>
        <w:rPr>
          <w:spacing w:val="-2"/>
        </w:rPr>
        <w:t>teams.</w:t>
      </w:r>
    </w:p>
    <w:p>
      <w:pPr>
        <w:numPr>
          <w:ilvl w:val="0"/>
          <w:numId w:val="36"/>
        </w:numPr>
        <w:tabs>
          <w:tab w:pos="481" w:val="left" w:leader="none"/>
        </w:tabs>
        <w:spacing w:before="239"/>
        <w:ind w:left="481" w:right="0" w:hanging="358"/>
        <w:jc w:val="left"/>
        <w:rPr>
          <w:b/>
          <w:sz w:val="22"/>
        </w:rPr>
      </w:pPr>
      <w:r>
        <w:rPr>
          <w:b/>
          <w:sz w:val="22"/>
        </w:rPr>
        <w:t>Review</w:t>
      </w:r>
      <w:r>
        <w:rPr>
          <w:b/>
          <w:spacing w:val="-12"/>
          <w:sz w:val="22"/>
        </w:rPr>
        <w:t> </w:t>
      </w:r>
      <w:r>
        <w:rPr>
          <w:b/>
          <w:sz w:val="22"/>
        </w:rPr>
        <w:t>and</w:t>
      </w:r>
      <w:r>
        <w:rPr>
          <w:b/>
          <w:spacing w:val="-11"/>
          <w:sz w:val="22"/>
        </w:rPr>
        <w:t> </w:t>
      </w:r>
      <w:r>
        <w:rPr>
          <w:b/>
          <w:sz w:val="22"/>
        </w:rPr>
        <w:t>continue</w:t>
      </w:r>
      <w:r>
        <w:rPr>
          <w:b/>
          <w:spacing w:val="-12"/>
          <w:sz w:val="22"/>
        </w:rPr>
        <w:t> </w:t>
      </w:r>
      <w:r>
        <w:rPr>
          <w:b/>
          <w:sz w:val="22"/>
        </w:rPr>
        <w:t>implementation</w:t>
      </w:r>
      <w:r>
        <w:rPr>
          <w:b/>
          <w:spacing w:val="-11"/>
          <w:sz w:val="22"/>
        </w:rPr>
        <w:t> </w:t>
      </w:r>
      <w:r>
        <w:rPr>
          <w:b/>
          <w:sz w:val="22"/>
        </w:rPr>
        <w:t>of</w:t>
      </w:r>
      <w:r>
        <w:rPr>
          <w:b/>
          <w:spacing w:val="-11"/>
          <w:sz w:val="22"/>
        </w:rPr>
        <w:t> </w:t>
      </w:r>
      <w:r>
        <w:rPr>
          <w:b/>
          <w:sz w:val="22"/>
        </w:rPr>
        <w:t>LGBTQ-inclusive</w:t>
      </w:r>
      <w:r>
        <w:rPr>
          <w:b/>
          <w:spacing w:val="-12"/>
          <w:sz w:val="22"/>
        </w:rPr>
        <w:t> </w:t>
      </w:r>
      <w:r>
        <w:rPr>
          <w:b/>
          <w:spacing w:val="-2"/>
          <w:sz w:val="22"/>
        </w:rPr>
        <w:t>policies.</w:t>
      </w:r>
    </w:p>
    <w:p>
      <w:pPr>
        <w:pStyle w:val="BodyText"/>
        <w:spacing w:before="11"/>
        <w:rPr>
          <w:b/>
        </w:rPr>
      </w:pPr>
    </w:p>
    <w:p>
      <w:pPr>
        <w:pStyle w:val="BodyText"/>
        <w:spacing w:line="276" w:lineRule="auto"/>
        <w:ind w:left="483" w:right="341"/>
        <w:jc w:val="both"/>
      </w:pPr>
      <w:r>
        <w:rPr/>
        <w:t>As discussed above, DCF has made several strides in advancing LGBTQ-inclusive policies in the last four years</w:t>
      </w:r>
      <w:r>
        <w:rPr>
          <w:spacing w:val="-5"/>
        </w:rPr>
        <w:t> </w:t>
      </w:r>
      <w:r>
        <w:rPr/>
        <w:t>and</w:t>
      </w:r>
      <w:r>
        <w:rPr>
          <w:spacing w:val="-5"/>
        </w:rPr>
        <w:t> </w:t>
      </w:r>
      <w:r>
        <w:rPr/>
        <w:t>has</w:t>
      </w:r>
      <w:r>
        <w:rPr>
          <w:spacing w:val="-5"/>
        </w:rPr>
        <w:t> </w:t>
      </w:r>
      <w:r>
        <w:rPr/>
        <w:t>committed</w:t>
      </w:r>
      <w:r>
        <w:rPr>
          <w:spacing w:val="-5"/>
        </w:rPr>
        <w:t> </w:t>
      </w:r>
      <w:r>
        <w:rPr/>
        <w:t>to</w:t>
      </w:r>
      <w:r>
        <w:rPr>
          <w:spacing w:val="-5"/>
        </w:rPr>
        <w:t> </w:t>
      </w:r>
      <w:r>
        <w:rPr/>
        <w:t>continuing</w:t>
      </w:r>
      <w:r>
        <w:rPr>
          <w:spacing w:val="-5"/>
        </w:rPr>
        <w:t> </w:t>
      </w:r>
      <w:r>
        <w:rPr/>
        <w:t>to</w:t>
      </w:r>
      <w:r>
        <w:rPr>
          <w:spacing w:val="-5"/>
        </w:rPr>
        <w:t> </w:t>
      </w:r>
      <w:r>
        <w:rPr/>
        <w:t>examine</w:t>
      </w:r>
      <w:r>
        <w:rPr>
          <w:spacing w:val="-5"/>
        </w:rPr>
        <w:t> </w:t>
      </w:r>
      <w:r>
        <w:rPr/>
        <w:t>its</w:t>
      </w:r>
      <w:r>
        <w:rPr>
          <w:spacing w:val="-5"/>
        </w:rPr>
        <w:t> </w:t>
      </w:r>
      <w:r>
        <w:rPr/>
        <w:t>existing</w:t>
      </w:r>
      <w:r>
        <w:rPr>
          <w:spacing w:val="-5"/>
        </w:rPr>
        <w:t> </w:t>
      </w:r>
      <w:r>
        <w:rPr/>
        <w:t>policies</w:t>
      </w:r>
      <w:r>
        <w:rPr>
          <w:spacing w:val="-5"/>
        </w:rPr>
        <w:t> </w:t>
      </w:r>
      <w:r>
        <w:rPr/>
        <w:t>to</w:t>
      </w:r>
      <w:r>
        <w:rPr>
          <w:spacing w:val="-5"/>
        </w:rPr>
        <w:t> </w:t>
      </w:r>
      <w:r>
        <w:rPr/>
        <w:t>ensure</w:t>
      </w:r>
      <w:r>
        <w:rPr>
          <w:spacing w:val="-6"/>
        </w:rPr>
        <w:t> </w:t>
      </w:r>
      <w:r>
        <w:rPr/>
        <w:t>effectiveness.</w:t>
      </w:r>
      <w:r>
        <w:rPr>
          <w:spacing w:val="-6"/>
        </w:rPr>
        <w:t> </w:t>
      </w:r>
      <w:r>
        <w:rPr/>
        <w:t>Currently, the agency is in the process of reviewing its </w:t>
      </w:r>
      <w:hyperlink r:id="rId723">
        <w:r>
          <w:rPr>
            <w:u w:val="single"/>
          </w:rPr>
          <w:t>Gender-Affirming Medication Consent Policy</w:t>
        </w:r>
        <w:r>
          <w:rPr>
            <w:u w:val="none"/>
          </w:rPr>
          <w:t>,</w:t>
        </w:r>
      </w:hyperlink>
      <w:r>
        <w:rPr>
          <w:u w:val="none"/>
        </w:rPr>
        <w:t> released in 2021,</w:t>
      </w:r>
      <w:r>
        <w:rPr>
          <w:spacing w:val="-1"/>
          <w:u w:val="none"/>
        </w:rPr>
        <w:t> </w:t>
      </w:r>
      <w:r>
        <w:rPr>
          <w:u w:val="none"/>
        </w:rPr>
        <w:t>to make</w:t>
      </w:r>
      <w:r>
        <w:rPr>
          <w:spacing w:val="-2"/>
          <w:u w:val="none"/>
        </w:rPr>
        <w:t> </w:t>
      </w:r>
      <w:r>
        <w:rPr>
          <w:u w:val="none"/>
        </w:rPr>
        <w:t>amendments</w:t>
      </w:r>
      <w:r>
        <w:rPr>
          <w:spacing w:val="-1"/>
          <w:u w:val="none"/>
        </w:rPr>
        <w:t> </w:t>
      </w:r>
      <w:r>
        <w:rPr>
          <w:u w:val="none"/>
        </w:rPr>
        <w:t>and clarify existing</w:t>
      </w:r>
      <w:r>
        <w:rPr>
          <w:spacing w:val="-1"/>
          <w:u w:val="none"/>
        </w:rPr>
        <w:t> </w:t>
      </w:r>
      <w:r>
        <w:rPr>
          <w:u w:val="none"/>
        </w:rPr>
        <w:t>language</w:t>
      </w:r>
      <w:r>
        <w:rPr>
          <w:spacing w:val="-1"/>
          <w:u w:val="none"/>
        </w:rPr>
        <w:t> </w:t>
      </w:r>
      <w:r>
        <w:rPr>
          <w:u w:val="none"/>
        </w:rPr>
        <w:t>to</w:t>
      </w:r>
      <w:r>
        <w:rPr>
          <w:spacing w:val="-1"/>
          <w:u w:val="none"/>
        </w:rPr>
        <w:t> </w:t>
      </w:r>
      <w:r>
        <w:rPr>
          <w:u w:val="none"/>
        </w:rPr>
        <w:t>help</w:t>
      </w:r>
      <w:r>
        <w:rPr>
          <w:spacing w:val="-1"/>
          <w:u w:val="none"/>
        </w:rPr>
        <w:t> </w:t>
      </w:r>
      <w:r>
        <w:rPr>
          <w:u w:val="none"/>
        </w:rPr>
        <w:t>address</w:t>
      </w:r>
      <w:r>
        <w:rPr>
          <w:spacing w:val="-1"/>
          <w:u w:val="none"/>
        </w:rPr>
        <w:t> </w:t>
      </w:r>
      <w:r>
        <w:rPr>
          <w:u w:val="none"/>
        </w:rPr>
        <w:t>some concerns and</w:t>
      </w:r>
      <w:r>
        <w:rPr>
          <w:spacing w:val="-1"/>
          <w:u w:val="none"/>
        </w:rPr>
        <w:t> </w:t>
      </w:r>
      <w:r>
        <w:rPr>
          <w:u w:val="none"/>
        </w:rPr>
        <w:t>roadblocks that have been occurring from the policy. Advocates have previously shared their concerns with the Commission that there have been significant delays occurring for youth and families on the ground; DCF has shared that - to its understanding - some of this issue is occurring at the hospital level and a conflict between internal policies which results in youth occasionally getting referred elsewhere, which can extend delays. This work is currently being led by DCF’s LGBTQIA+ Office, which has also been collaborating with other offices and agencies to advise on documentation development.</w:t>
      </w:r>
    </w:p>
    <w:p>
      <w:pPr>
        <w:numPr>
          <w:ilvl w:val="0"/>
          <w:numId w:val="36"/>
        </w:numPr>
        <w:tabs>
          <w:tab w:pos="481" w:val="left" w:leader="none"/>
          <w:tab w:pos="483" w:val="left" w:leader="none"/>
        </w:tabs>
        <w:spacing w:line="276" w:lineRule="auto" w:before="241"/>
        <w:ind w:left="483" w:right="345" w:hanging="360"/>
        <w:jc w:val="left"/>
        <w:rPr>
          <w:b/>
          <w:sz w:val="22"/>
        </w:rPr>
      </w:pPr>
      <w:r>
        <w:rPr>
          <w:b/>
          <w:sz w:val="22"/>
        </w:rPr>
        <w:t>Explore the creation of an internal maltreatment coding system that includes specific coding options for LGBTQ youth.</w:t>
      </w:r>
    </w:p>
    <w:p>
      <w:pPr>
        <w:pStyle w:val="BodyText"/>
        <w:spacing w:line="276" w:lineRule="auto" w:before="240"/>
        <w:ind w:left="483" w:right="341"/>
        <w:jc w:val="both"/>
      </w:pPr>
      <w:r>
        <w:rPr/>
        <w:t>The</w:t>
      </w:r>
      <w:r>
        <w:rPr>
          <w:spacing w:val="-2"/>
        </w:rPr>
        <w:t> </w:t>
      </w:r>
      <w:r>
        <w:rPr/>
        <w:t>Commission</w:t>
      </w:r>
      <w:r>
        <w:rPr>
          <w:spacing w:val="-2"/>
        </w:rPr>
        <w:t> </w:t>
      </w:r>
      <w:r>
        <w:rPr/>
        <w:t>recommends</w:t>
      </w:r>
      <w:r>
        <w:rPr>
          <w:spacing w:val="-1"/>
        </w:rPr>
        <w:t> </w:t>
      </w:r>
      <w:r>
        <w:rPr/>
        <w:t>that</w:t>
      </w:r>
      <w:r>
        <w:rPr>
          <w:spacing w:val="-2"/>
        </w:rPr>
        <w:t> </w:t>
      </w:r>
      <w:r>
        <w:rPr/>
        <w:t>the</w:t>
      </w:r>
      <w:r>
        <w:rPr>
          <w:spacing w:val="-2"/>
        </w:rPr>
        <w:t> </w:t>
      </w:r>
      <w:r>
        <w:rPr/>
        <w:t>state</w:t>
      </w:r>
      <w:r>
        <w:rPr>
          <w:spacing w:val="-2"/>
        </w:rPr>
        <w:t> </w:t>
      </w:r>
      <w:r>
        <w:rPr/>
        <w:t>explore</w:t>
      </w:r>
      <w:r>
        <w:rPr>
          <w:spacing w:val="-1"/>
        </w:rPr>
        <w:t> </w:t>
      </w:r>
      <w:r>
        <w:rPr/>
        <w:t>the</w:t>
      </w:r>
      <w:r>
        <w:rPr>
          <w:spacing w:val="-2"/>
        </w:rPr>
        <w:t> </w:t>
      </w:r>
      <w:r>
        <w:rPr/>
        <w:t>creation</w:t>
      </w:r>
      <w:r>
        <w:rPr>
          <w:spacing w:val="-2"/>
        </w:rPr>
        <w:t> </w:t>
      </w:r>
      <w:r>
        <w:rPr/>
        <w:t>of</w:t>
      </w:r>
      <w:r>
        <w:rPr>
          <w:spacing w:val="-2"/>
        </w:rPr>
        <w:t> </w:t>
      </w:r>
      <w:r>
        <w:rPr/>
        <w:t>a</w:t>
      </w:r>
      <w:r>
        <w:rPr>
          <w:spacing w:val="-2"/>
        </w:rPr>
        <w:t> </w:t>
      </w:r>
      <w:r>
        <w:rPr/>
        <w:t>maltreatment</w:t>
      </w:r>
      <w:r>
        <w:rPr>
          <w:spacing w:val="-1"/>
        </w:rPr>
        <w:t> </w:t>
      </w:r>
      <w:r>
        <w:rPr/>
        <w:t>code</w:t>
      </w:r>
      <w:r>
        <w:rPr>
          <w:spacing w:val="-2"/>
        </w:rPr>
        <w:t> </w:t>
      </w:r>
      <w:r>
        <w:rPr/>
        <w:t>system</w:t>
      </w:r>
      <w:r>
        <w:rPr>
          <w:spacing w:val="-2"/>
        </w:rPr>
        <w:t> </w:t>
      </w:r>
      <w:r>
        <w:rPr/>
        <w:t>for</w:t>
      </w:r>
      <w:r>
        <w:rPr>
          <w:spacing w:val="-2"/>
        </w:rPr>
        <w:t> </w:t>
      </w:r>
      <w:r>
        <w:rPr/>
        <w:t>use in the child welfare system to better support social workers in tracking and addressing critical cases and incidents, with a specific maltreatment code being assigned to LGBTQ youth. The Commission understands that there are other states, such as Georgia, that have implemented a maltreatment code system</w:t>
      </w:r>
      <w:r>
        <w:rPr>
          <w:spacing w:val="-13"/>
        </w:rPr>
        <w:t> </w:t>
      </w:r>
      <w:r>
        <w:rPr/>
        <w:t>that</w:t>
      </w:r>
      <w:r>
        <w:rPr>
          <w:spacing w:val="-12"/>
        </w:rPr>
        <w:t> </w:t>
      </w:r>
      <w:r>
        <w:rPr/>
        <w:t>provides</w:t>
      </w:r>
      <w:r>
        <w:rPr>
          <w:spacing w:val="-13"/>
        </w:rPr>
        <w:t> </w:t>
      </w:r>
      <w:r>
        <w:rPr/>
        <w:t>multiple</w:t>
      </w:r>
      <w:r>
        <w:rPr>
          <w:spacing w:val="-12"/>
        </w:rPr>
        <w:t> </w:t>
      </w:r>
      <w:r>
        <w:rPr/>
        <w:t>benefits,</w:t>
      </w:r>
      <w:r>
        <w:rPr>
          <w:spacing w:val="-13"/>
        </w:rPr>
        <w:t> </w:t>
      </w:r>
      <w:r>
        <w:rPr/>
        <w:t>including</w:t>
      </w:r>
      <w:r>
        <w:rPr>
          <w:spacing w:val="-12"/>
        </w:rPr>
        <w:t> </w:t>
      </w:r>
      <w:r>
        <w:rPr/>
        <w:t>indicating</w:t>
      </w:r>
      <w:r>
        <w:rPr>
          <w:spacing w:val="-13"/>
        </w:rPr>
        <w:t> </w:t>
      </w:r>
      <w:r>
        <w:rPr/>
        <w:t>and</w:t>
      </w:r>
      <w:r>
        <w:rPr>
          <w:spacing w:val="-12"/>
        </w:rPr>
        <w:t> </w:t>
      </w:r>
      <w:r>
        <w:rPr/>
        <w:t>categorizing</w:t>
      </w:r>
      <w:r>
        <w:rPr>
          <w:spacing w:val="-12"/>
        </w:rPr>
        <w:t> </w:t>
      </w:r>
      <w:r>
        <w:rPr/>
        <w:t>levels</w:t>
      </w:r>
      <w:r>
        <w:rPr>
          <w:spacing w:val="-13"/>
        </w:rPr>
        <w:t> </w:t>
      </w:r>
      <w:r>
        <w:rPr/>
        <w:t>of</w:t>
      </w:r>
      <w:r>
        <w:rPr>
          <w:spacing w:val="-12"/>
        </w:rPr>
        <w:t> </w:t>
      </w:r>
      <w:r>
        <w:rPr/>
        <w:t>imminent</w:t>
      </w:r>
      <w:r>
        <w:rPr>
          <w:spacing w:val="-13"/>
        </w:rPr>
        <w:t> </w:t>
      </w:r>
      <w:r>
        <w:rPr/>
        <w:t>risk</w:t>
      </w:r>
      <w:r>
        <w:rPr>
          <w:spacing w:val="-12"/>
        </w:rPr>
        <w:t> </w:t>
      </w:r>
      <w:r>
        <w:rPr/>
        <w:t>–</w:t>
      </w:r>
      <w:r>
        <w:rPr>
          <w:spacing w:val="-13"/>
        </w:rPr>
        <w:t> </w:t>
      </w:r>
      <w:r>
        <w:rPr/>
        <w:t>used by</w:t>
      </w:r>
      <w:r>
        <w:rPr>
          <w:spacing w:val="-2"/>
        </w:rPr>
        <w:t> </w:t>
      </w:r>
      <w:r>
        <w:rPr/>
        <w:t>social</w:t>
      </w:r>
      <w:r>
        <w:rPr>
          <w:spacing w:val="-2"/>
        </w:rPr>
        <w:t> </w:t>
      </w:r>
      <w:r>
        <w:rPr/>
        <w:t>workers</w:t>
      </w:r>
      <w:r>
        <w:rPr>
          <w:spacing w:val="-1"/>
        </w:rPr>
        <w:t> </w:t>
      </w:r>
      <w:r>
        <w:rPr/>
        <w:t>to better prepare</w:t>
      </w:r>
      <w:r>
        <w:rPr>
          <w:spacing w:val="-1"/>
        </w:rPr>
        <w:t> </w:t>
      </w:r>
      <w:r>
        <w:rPr/>
        <w:t>and support</w:t>
      </w:r>
      <w:r>
        <w:rPr>
          <w:spacing w:val="-2"/>
        </w:rPr>
        <w:t> </w:t>
      </w:r>
      <w:r>
        <w:rPr/>
        <w:t>youth</w:t>
      </w:r>
      <w:r>
        <w:rPr>
          <w:spacing w:val="-2"/>
        </w:rPr>
        <w:t> </w:t>
      </w:r>
      <w:r>
        <w:rPr/>
        <w:t>in</w:t>
      </w:r>
      <w:r>
        <w:rPr>
          <w:spacing w:val="-1"/>
        </w:rPr>
        <w:t> </w:t>
      </w:r>
      <w:r>
        <w:rPr/>
        <w:t>their caseload</w:t>
      </w:r>
      <w:r>
        <w:rPr>
          <w:spacing w:val="-2"/>
        </w:rPr>
        <w:t> </w:t>
      </w:r>
      <w:r>
        <w:rPr/>
        <w:t>–</w:t>
      </w:r>
      <w:r>
        <w:rPr>
          <w:spacing w:val="-2"/>
        </w:rPr>
        <w:t> </w:t>
      </w:r>
      <w:r>
        <w:rPr/>
        <w:t>as</w:t>
      </w:r>
      <w:r>
        <w:rPr>
          <w:spacing w:val="-1"/>
        </w:rPr>
        <w:t> </w:t>
      </w:r>
      <w:r>
        <w:rPr/>
        <w:t>well</w:t>
      </w:r>
      <w:r>
        <w:rPr>
          <w:spacing w:val="-2"/>
        </w:rPr>
        <w:t> </w:t>
      </w:r>
      <w:r>
        <w:rPr/>
        <w:t>as</w:t>
      </w:r>
      <w:r>
        <w:rPr>
          <w:spacing w:val="-1"/>
        </w:rPr>
        <w:t> </w:t>
      </w:r>
      <w:r>
        <w:rPr/>
        <w:t>better categorizing</w:t>
      </w:r>
      <w:r>
        <w:rPr>
          <w:spacing w:val="-2"/>
        </w:rPr>
        <w:t> </w:t>
      </w:r>
      <w:r>
        <w:rPr/>
        <w:t>a case’s</w:t>
      </w:r>
      <w:r>
        <w:rPr>
          <w:spacing w:val="-12"/>
        </w:rPr>
        <w:t> </w:t>
      </w:r>
      <w:r>
        <w:rPr/>
        <w:t>eligibility</w:t>
      </w:r>
      <w:r>
        <w:rPr>
          <w:spacing w:val="-12"/>
        </w:rPr>
        <w:t> </w:t>
      </w:r>
      <w:r>
        <w:rPr/>
        <w:t>for</w:t>
      </w:r>
      <w:r>
        <w:rPr>
          <w:spacing w:val="-11"/>
        </w:rPr>
        <w:t> </w:t>
      </w:r>
      <w:r>
        <w:rPr/>
        <w:t>family</w:t>
      </w:r>
      <w:r>
        <w:rPr>
          <w:spacing w:val="-11"/>
        </w:rPr>
        <w:t> </w:t>
      </w:r>
      <w:r>
        <w:rPr/>
        <w:t>preservation</w:t>
      </w:r>
      <w:r>
        <w:rPr>
          <w:spacing w:val="-13"/>
        </w:rPr>
        <w:t> </w:t>
      </w:r>
      <w:r>
        <w:rPr/>
        <w:t>services;</w:t>
      </w:r>
      <w:r>
        <w:rPr>
          <w:spacing w:val="-12"/>
        </w:rPr>
        <w:t> </w:t>
      </w:r>
      <w:r>
        <w:rPr/>
        <w:t>and</w:t>
      </w:r>
      <w:r>
        <w:rPr>
          <w:spacing w:val="-12"/>
        </w:rPr>
        <w:t> </w:t>
      </w:r>
      <w:r>
        <w:rPr/>
        <w:t>providing</w:t>
      </w:r>
      <w:r>
        <w:rPr>
          <w:spacing w:val="-12"/>
        </w:rPr>
        <w:t> </w:t>
      </w:r>
      <w:r>
        <w:rPr/>
        <w:t>the</w:t>
      </w:r>
      <w:r>
        <w:rPr>
          <w:spacing w:val="-12"/>
        </w:rPr>
        <w:t> </w:t>
      </w:r>
      <w:r>
        <w:rPr/>
        <w:t>state</w:t>
      </w:r>
      <w:r>
        <w:rPr>
          <w:spacing w:val="-12"/>
        </w:rPr>
        <w:t> </w:t>
      </w:r>
      <w:r>
        <w:rPr/>
        <w:t>and</w:t>
      </w:r>
      <w:r>
        <w:rPr>
          <w:spacing w:val="-12"/>
        </w:rPr>
        <w:t> </w:t>
      </w:r>
      <w:r>
        <w:rPr/>
        <w:t>researchers</w:t>
      </w:r>
      <w:r>
        <w:rPr>
          <w:spacing w:val="-12"/>
        </w:rPr>
        <w:t> </w:t>
      </w:r>
      <w:r>
        <w:rPr/>
        <w:t>with</w:t>
      </w:r>
      <w:r>
        <w:rPr>
          <w:spacing w:val="-11"/>
        </w:rPr>
        <w:t> </w:t>
      </w:r>
      <w:r>
        <w:rPr/>
        <w:t>helpful</w:t>
      </w:r>
      <w:r>
        <w:rPr>
          <w:spacing w:val="-10"/>
        </w:rPr>
        <w:t> </w:t>
      </w:r>
      <w:r>
        <w:rPr/>
        <w:t>data to</w:t>
      </w:r>
      <w:r>
        <w:rPr>
          <w:spacing w:val="-8"/>
        </w:rPr>
        <w:t> </w:t>
      </w:r>
      <w:r>
        <w:rPr/>
        <w:t>better</w:t>
      </w:r>
      <w:r>
        <w:rPr>
          <w:spacing w:val="-9"/>
        </w:rPr>
        <w:t> </w:t>
      </w:r>
      <w:r>
        <w:rPr/>
        <w:t>understand</w:t>
      </w:r>
      <w:r>
        <w:rPr>
          <w:spacing w:val="-9"/>
        </w:rPr>
        <w:t> </w:t>
      </w:r>
      <w:r>
        <w:rPr/>
        <w:t>critical</w:t>
      </w:r>
      <w:r>
        <w:rPr>
          <w:spacing w:val="-9"/>
        </w:rPr>
        <w:t> </w:t>
      </w:r>
      <w:r>
        <w:rPr/>
        <w:t>trends</w:t>
      </w:r>
      <w:r>
        <w:rPr>
          <w:spacing w:val="-8"/>
        </w:rPr>
        <w:t> </w:t>
      </w:r>
      <w:r>
        <w:rPr/>
        <w:t>and</w:t>
      </w:r>
      <w:r>
        <w:rPr>
          <w:spacing w:val="-8"/>
        </w:rPr>
        <w:t> </w:t>
      </w:r>
      <w:r>
        <w:rPr/>
        <w:t>gaps</w:t>
      </w:r>
      <w:r>
        <w:rPr>
          <w:spacing w:val="-8"/>
        </w:rPr>
        <w:t> </w:t>
      </w:r>
      <w:r>
        <w:rPr/>
        <w:t>in</w:t>
      </w:r>
      <w:r>
        <w:rPr>
          <w:spacing w:val="-9"/>
        </w:rPr>
        <w:t> </w:t>
      </w:r>
      <w:r>
        <w:rPr/>
        <w:t>casework.</w:t>
      </w:r>
      <w:r>
        <w:rPr>
          <w:spacing w:val="-9"/>
        </w:rPr>
        <w:t> </w:t>
      </w:r>
      <w:r>
        <w:rPr/>
        <w:t>Furthermore,</w:t>
      </w:r>
      <w:r>
        <w:rPr>
          <w:spacing w:val="-8"/>
        </w:rPr>
        <w:t> </w:t>
      </w:r>
      <w:r>
        <w:rPr/>
        <w:t>proper</w:t>
      </w:r>
      <w:r>
        <w:rPr>
          <w:spacing w:val="-9"/>
        </w:rPr>
        <w:t> </w:t>
      </w:r>
      <w:r>
        <w:rPr/>
        <w:t>coding</w:t>
      </w:r>
      <w:r>
        <w:rPr>
          <w:spacing w:val="-9"/>
        </w:rPr>
        <w:t> </w:t>
      </w:r>
      <w:r>
        <w:rPr/>
        <w:t>of</w:t>
      </w:r>
      <w:r>
        <w:rPr>
          <w:spacing w:val="-9"/>
        </w:rPr>
        <w:t> </w:t>
      </w:r>
      <w:r>
        <w:rPr/>
        <w:t>cases</w:t>
      </w:r>
      <w:r>
        <w:rPr>
          <w:spacing w:val="-8"/>
        </w:rPr>
        <w:t> </w:t>
      </w:r>
      <w:r>
        <w:rPr/>
        <w:t>minimizes child</w:t>
      </w:r>
      <w:r>
        <w:rPr>
          <w:spacing w:val="-9"/>
        </w:rPr>
        <w:t> </w:t>
      </w:r>
      <w:r>
        <w:rPr/>
        <w:t>abuse</w:t>
      </w:r>
      <w:r>
        <w:rPr>
          <w:spacing w:val="-9"/>
        </w:rPr>
        <w:t> </w:t>
      </w:r>
      <w:r>
        <w:rPr/>
        <w:t>and</w:t>
      </w:r>
      <w:r>
        <w:rPr>
          <w:spacing w:val="-10"/>
        </w:rPr>
        <w:t> </w:t>
      </w:r>
      <w:r>
        <w:rPr/>
        <w:t>neglect</w:t>
      </w:r>
      <w:r>
        <w:rPr>
          <w:spacing w:val="-9"/>
        </w:rPr>
        <w:t> </w:t>
      </w:r>
      <w:r>
        <w:rPr/>
        <w:t>(CAN)</w:t>
      </w:r>
      <w:r>
        <w:rPr>
          <w:spacing w:val="-9"/>
        </w:rPr>
        <w:t> </w:t>
      </w:r>
      <w:r>
        <w:rPr/>
        <w:t>registries</w:t>
      </w:r>
      <w:r>
        <w:rPr>
          <w:spacing w:val="-8"/>
        </w:rPr>
        <w:t> </w:t>
      </w:r>
      <w:r>
        <w:rPr/>
        <w:t>for</w:t>
      </w:r>
      <w:r>
        <w:rPr>
          <w:spacing w:val="-10"/>
        </w:rPr>
        <w:t> </w:t>
      </w:r>
      <w:r>
        <w:rPr/>
        <w:t>parents</w:t>
      </w:r>
      <w:r>
        <w:rPr>
          <w:spacing w:val="-9"/>
        </w:rPr>
        <w:t> </w:t>
      </w:r>
      <w:r>
        <w:rPr/>
        <w:t>and</w:t>
      </w:r>
      <w:r>
        <w:rPr>
          <w:spacing w:val="-10"/>
        </w:rPr>
        <w:t> </w:t>
      </w:r>
      <w:r>
        <w:rPr/>
        <w:t>families</w:t>
      </w:r>
      <w:r>
        <w:rPr>
          <w:spacing w:val="-9"/>
        </w:rPr>
        <w:t> </w:t>
      </w:r>
      <w:r>
        <w:rPr/>
        <w:t>by</w:t>
      </w:r>
      <w:r>
        <w:rPr>
          <w:spacing w:val="-10"/>
        </w:rPr>
        <w:t> </w:t>
      </w:r>
      <w:r>
        <w:rPr/>
        <w:t>supporting</w:t>
      </w:r>
      <w:r>
        <w:rPr>
          <w:spacing w:val="-9"/>
        </w:rPr>
        <w:t> </w:t>
      </w:r>
      <w:r>
        <w:rPr/>
        <w:t>service</w:t>
      </w:r>
      <w:r>
        <w:rPr>
          <w:spacing w:val="-10"/>
        </w:rPr>
        <w:t> </w:t>
      </w:r>
      <w:r>
        <w:rPr/>
        <w:t>intervention</w:t>
      </w:r>
      <w:r>
        <w:rPr>
          <w:spacing w:val="-9"/>
        </w:rPr>
        <w:t> </w:t>
      </w:r>
      <w:r>
        <w:rPr/>
        <w:t>rather than a removal, as CAN registry can negatively impact caregivers’ economic status and ability to retain employment. However, despite the unique experiences faced by LGBTQ youth who may be in the child welfare</w:t>
      </w:r>
      <w:r>
        <w:rPr>
          <w:spacing w:val="-9"/>
        </w:rPr>
        <w:t> </w:t>
      </w:r>
      <w:r>
        <w:rPr/>
        <w:t>system,</w:t>
      </w:r>
      <w:r>
        <w:rPr>
          <w:spacing w:val="-9"/>
        </w:rPr>
        <w:t> </w:t>
      </w:r>
      <w:r>
        <w:rPr/>
        <w:t>or</w:t>
      </w:r>
      <w:r>
        <w:rPr>
          <w:spacing w:val="-8"/>
        </w:rPr>
        <w:t> </w:t>
      </w:r>
      <w:r>
        <w:rPr/>
        <w:t>may</w:t>
      </w:r>
      <w:r>
        <w:rPr>
          <w:spacing w:val="-8"/>
        </w:rPr>
        <w:t> </w:t>
      </w:r>
      <w:r>
        <w:rPr/>
        <w:t>potentially</w:t>
      </w:r>
      <w:r>
        <w:rPr>
          <w:spacing w:val="-6"/>
        </w:rPr>
        <w:t> </w:t>
      </w:r>
      <w:r>
        <w:rPr/>
        <w:t>become</w:t>
      </w:r>
      <w:r>
        <w:rPr>
          <w:spacing w:val="-8"/>
        </w:rPr>
        <w:t> </w:t>
      </w:r>
      <w:r>
        <w:rPr/>
        <w:t>involved</w:t>
      </w:r>
      <w:r>
        <w:rPr>
          <w:spacing w:val="-8"/>
        </w:rPr>
        <w:t> </w:t>
      </w:r>
      <w:r>
        <w:rPr/>
        <w:t>in</w:t>
      </w:r>
      <w:r>
        <w:rPr>
          <w:spacing w:val="-8"/>
        </w:rPr>
        <w:t> </w:t>
      </w:r>
      <w:r>
        <w:rPr/>
        <w:t>the</w:t>
      </w:r>
      <w:r>
        <w:rPr>
          <w:spacing w:val="-8"/>
        </w:rPr>
        <w:t> </w:t>
      </w:r>
      <w:r>
        <w:rPr/>
        <w:t>system,</w:t>
      </w:r>
      <w:r>
        <w:rPr>
          <w:spacing w:val="-9"/>
        </w:rPr>
        <w:t> </w:t>
      </w:r>
      <w:r>
        <w:rPr/>
        <w:t>no</w:t>
      </w:r>
      <w:r>
        <w:rPr>
          <w:spacing w:val="-7"/>
        </w:rPr>
        <w:t> </w:t>
      </w:r>
      <w:r>
        <w:rPr/>
        <w:t>state</w:t>
      </w:r>
      <w:r>
        <w:rPr>
          <w:spacing w:val="-7"/>
        </w:rPr>
        <w:t> </w:t>
      </w:r>
      <w:r>
        <w:rPr/>
        <w:t>has</w:t>
      </w:r>
      <w:r>
        <w:rPr>
          <w:spacing w:val="-7"/>
        </w:rPr>
        <w:t> </w:t>
      </w:r>
      <w:r>
        <w:rPr/>
        <w:t>any</w:t>
      </w:r>
      <w:r>
        <w:rPr>
          <w:spacing w:val="-9"/>
        </w:rPr>
        <w:t> </w:t>
      </w:r>
      <w:r>
        <w:rPr/>
        <w:t>LGBTQ-specific</w:t>
      </w:r>
      <w:r>
        <w:rPr>
          <w:spacing w:val="-8"/>
        </w:rPr>
        <w:t> </w:t>
      </w:r>
      <w:r>
        <w:rPr/>
        <w:t>codes to support youth, providers, and families. Without these codes, collecting more comprehensive qualitative and quantitative data on LGBTQ youth maltreatment experiences is incredibly difficult.</w:t>
      </w:r>
    </w:p>
    <w:p>
      <w:pPr>
        <w:spacing w:after="0" w:line="276" w:lineRule="auto"/>
        <w:jc w:val="both"/>
        <w:sectPr>
          <w:pgSz w:w="12240" w:h="15840"/>
          <w:pgMar w:header="804" w:footer="1263" w:top="1000" w:bottom="1460" w:left="960" w:right="1100"/>
        </w:sectPr>
      </w:pPr>
    </w:p>
    <w:p>
      <w:pPr>
        <w:numPr>
          <w:ilvl w:val="0"/>
          <w:numId w:val="36"/>
        </w:numPr>
        <w:tabs>
          <w:tab w:pos="481" w:val="left" w:leader="none"/>
          <w:tab w:pos="483" w:val="left" w:leader="none"/>
        </w:tabs>
        <w:spacing w:line="276" w:lineRule="auto" w:before="139"/>
        <w:ind w:left="483" w:right="343" w:hanging="360"/>
        <w:jc w:val="left"/>
        <w:rPr>
          <w:b/>
          <w:sz w:val="22"/>
        </w:rPr>
      </w:pPr>
      <w:r>
        <w:rPr>
          <w:b/>
          <w:sz w:val="22"/>
        </w:rPr>
        <w:t>Update</w:t>
      </w:r>
      <w:r>
        <w:rPr>
          <w:b/>
          <w:spacing w:val="31"/>
          <w:sz w:val="22"/>
        </w:rPr>
        <w:t> </w:t>
      </w:r>
      <w:r>
        <w:rPr>
          <w:b/>
          <w:sz w:val="22"/>
        </w:rPr>
        <w:t>the</w:t>
      </w:r>
      <w:r>
        <w:rPr>
          <w:b/>
          <w:spacing w:val="31"/>
          <w:sz w:val="22"/>
        </w:rPr>
        <w:t> </w:t>
      </w:r>
      <w:r>
        <w:rPr>
          <w:b/>
          <w:sz w:val="22"/>
        </w:rPr>
        <w:t>LGBTQ</w:t>
      </w:r>
      <w:r>
        <w:rPr>
          <w:b/>
          <w:spacing w:val="30"/>
          <w:sz w:val="22"/>
        </w:rPr>
        <w:t> </w:t>
      </w:r>
      <w:r>
        <w:rPr>
          <w:b/>
          <w:sz w:val="22"/>
        </w:rPr>
        <w:t>Guide</w:t>
      </w:r>
      <w:r>
        <w:rPr>
          <w:b/>
          <w:spacing w:val="30"/>
          <w:sz w:val="22"/>
        </w:rPr>
        <w:t> </w:t>
      </w:r>
      <w:r>
        <w:rPr>
          <w:b/>
          <w:sz w:val="22"/>
        </w:rPr>
        <w:t>and</w:t>
      </w:r>
      <w:r>
        <w:rPr>
          <w:b/>
          <w:spacing w:val="30"/>
          <w:sz w:val="22"/>
        </w:rPr>
        <w:t> </w:t>
      </w:r>
      <w:r>
        <w:rPr>
          <w:b/>
          <w:sz w:val="22"/>
        </w:rPr>
        <w:t>ensure</w:t>
      </w:r>
      <w:r>
        <w:rPr>
          <w:b/>
          <w:spacing w:val="30"/>
          <w:sz w:val="22"/>
        </w:rPr>
        <w:t> </w:t>
      </w:r>
      <w:r>
        <w:rPr>
          <w:b/>
          <w:sz w:val="22"/>
        </w:rPr>
        <w:t>that</w:t>
      </w:r>
      <w:r>
        <w:rPr>
          <w:b/>
          <w:spacing w:val="29"/>
          <w:sz w:val="22"/>
        </w:rPr>
        <w:t> </w:t>
      </w:r>
      <w:r>
        <w:rPr>
          <w:b/>
          <w:sz w:val="22"/>
        </w:rPr>
        <w:t>all</w:t>
      </w:r>
      <w:r>
        <w:rPr>
          <w:b/>
          <w:spacing w:val="31"/>
          <w:sz w:val="22"/>
        </w:rPr>
        <w:t> </w:t>
      </w:r>
      <w:r>
        <w:rPr>
          <w:b/>
          <w:sz w:val="22"/>
        </w:rPr>
        <w:t>staff,</w:t>
      </w:r>
      <w:r>
        <w:rPr>
          <w:b/>
          <w:spacing w:val="30"/>
          <w:sz w:val="22"/>
        </w:rPr>
        <w:t> </w:t>
      </w:r>
      <w:r>
        <w:rPr>
          <w:b/>
          <w:sz w:val="22"/>
        </w:rPr>
        <w:t>providers,</w:t>
      </w:r>
      <w:r>
        <w:rPr>
          <w:b/>
          <w:spacing w:val="30"/>
          <w:sz w:val="22"/>
        </w:rPr>
        <w:t> </w:t>
      </w:r>
      <w:r>
        <w:rPr>
          <w:b/>
          <w:sz w:val="22"/>
        </w:rPr>
        <w:t>youth,</w:t>
      </w:r>
      <w:r>
        <w:rPr>
          <w:b/>
          <w:spacing w:val="30"/>
          <w:sz w:val="22"/>
        </w:rPr>
        <w:t> </w:t>
      </w:r>
      <w:r>
        <w:rPr>
          <w:b/>
          <w:sz w:val="22"/>
        </w:rPr>
        <w:t>and</w:t>
      </w:r>
      <w:r>
        <w:rPr>
          <w:b/>
          <w:spacing w:val="30"/>
          <w:sz w:val="22"/>
        </w:rPr>
        <w:t> </w:t>
      </w:r>
      <w:r>
        <w:rPr>
          <w:b/>
          <w:sz w:val="22"/>
        </w:rPr>
        <w:t>families</w:t>
      </w:r>
      <w:r>
        <w:rPr>
          <w:b/>
          <w:spacing w:val="31"/>
          <w:sz w:val="22"/>
        </w:rPr>
        <w:t> </w:t>
      </w:r>
      <w:r>
        <w:rPr>
          <w:b/>
          <w:sz w:val="22"/>
        </w:rPr>
        <w:t>are</w:t>
      </w:r>
      <w:r>
        <w:rPr>
          <w:b/>
          <w:spacing w:val="30"/>
          <w:sz w:val="22"/>
        </w:rPr>
        <w:t> </w:t>
      </w:r>
      <w:r>
        <w:rPr>
          <w:b/>
          <w:sz w:val="22"/>
        </w:rPr>
        <w:t>aware</w:t>
      </w:r>
      <w:r>
        <w:rPr>
          <w:b/>
          <w:spacing w:val="30"/>
          <w:sz w:val="22"/>
        </w:rPr>
        <w:t> </w:t>
      </w:r>
      <w:r>
        <w:rPr>
          <w:b/>
          <w:sz w:val="22"/>
        </w:rPr>
        <w:t>of</w:t>
      </w:r>
      <w:r>
        <w:rPr>
          <w:b/>
          <w:spacing w:val="31"/>
          <w:sz w:val="22"/>
        </w:rPr>
        <w:t> </w:t>
      </w:r>
      <w:r>
        <w:rPr>
          <w:b/>
          <w:sz w:val="22"/>
        </w:rPr>
        <w:t>its existence and able to access a copy.</w:t>
      </w:r>
    </w:p>
    <w:p>
      <w:pPr>
        <w:pStyle w:val="BodyText"/>
        <w:spacing w:line="276" w:lineRule="auto" w:before="239"/>
        <w:ind w:left="483" w:right="341"/>
        <w:jc w:val="both"/>
      </w:pPr>
      <w:r>
        <w:rPr/>
        <w:t>In</w:t>
      </w:r>
      <w:r>
        <w:rPr>
          <w:spacing w:val="-3"/>
        </w:rPr>
        <w:t> </w:t>
      </w:r>
      <w:r>
        <w:rPr/>
        <w:t>2015,</w:t>
      </w:r>
      <w:r>
        <w:rPr>
          <w:spacing w:val="-3"/>
        </w:rPr>
        <w:t> </w:t>
      </w:r>
      <w:r>
        <w:rPr/>
        <w:t>DCF</w:t>
      </w:r>
      <w:r>
        <w:rPr>
          <w:spacing w:val="-1"/>
        </w:rPr>
        <w:t> </w:t>
      </w:r>
      <w:r>
        <w:rPr/>
        <w:t>released</w:t>
      </w:r>
      <w:r>
        <w:rPr>
          <w:spacing w:val="-3"/>
        </w:rPr>
        <w:t> </w:t>
      </w:r>
      <w:r>
        <w:rPr/>
        <w:t>an</w:t>
      </w:r>
      <w:r>
        <w:rPr>
          <w:spacing w:val="-2"/>
        </w:rPr>
        <w:t> </w:t>
      </w:r>
      <w:r>
        <w:rPr/>
        <w:t>LGBTQ</w:t>
      </w:r>
      <w:r>
        <w:rPr>
          <w:spacing w:val="-2"/>
        </w:rPr>
        <w:t> </w:t>
      </w:r>
      <w:r>
        <w:rPr/>
        <w:t>Guide</w:t>
      </w:r>
      <w:r>
        <w:rPr>
          <w:spacing w:val="-1"/>
        </w:rPr>
        <w:t> </w:t>
      </w:r>
      <w:r>
        <w:rPr/>
        <w:t>on</w:t>
      </w:r>
      <w:r>
        <w:rPr>
          <w:spacing w:val="-3"/>
        </w:rPr>
        <w:t> </w:t>
      </w:r>
      <w:r>
        <w:rPr/>
        <w:t>working</w:t>
      </w:r>
      <w:r>
        <w:rPr>
          <w:spacing w:val="-2"/>
        </w:rPr>
        <w:t> </w:t>
      </w:r>
      <w:r>
        <w:rPr/>
        <w:t>with</w:t>
      </w:r>
      <w:r>
        <w:rPr>
          <w:spacing w:val="-2"/>
        </w:rPr>
        <w:t> </w:t>
      </w:r>
      <w:r>
        <w:rPr/>
        <w:t>LGBTQ</w:t>
      </w:r>
      <w:r>
        <w:rPr>
          <w:spacing w:val="-3"/>
        </w:rPr>
        <w:t> </w:t>
      </w:r>
      <w:r>
        <w:rPr/>
        <w:t>youth</w:t>
      </w:r>
      <w:r>
        <w:rPr>
          <w:spacing w:val="-2"/>
        </w:rPr>
        <w:t> </w:t>
      </w:r>
      <w:r>
        <w:rPr/>
        <w:t>and</w:t>
      </w:r>
      <w:r>
        <w:rPr>
          <w:spacing w:val="-2"/>
        </w:rPr>
        <w:t> </w:t>
      </w:r>
      <w:r>
        <w:rPr/>
        <w:t>families</w:t>
      </w:r>
      <w:r>
        <w:rPr>
          <w:spacing w:val="-3"/>
        </w:rPr>
        <w:t> </w:t>
      </w:r>
      <w:r>
        <w:rPr/>
        <w:t>that</w:t>
      </w:r>
      <w:r>
        <w:rPr>
          <w:spacing w:val="-3"/>
        </w:rPr>
        <w:t> </w:t>
      </w:r>
      <w:r>
        <w:rPr/>
        <w:t>was written</w:t>
      </w:r>
      <w:r>
        <w:rPr>
          <w:spacing w:val="-2"/>
        </w:rPr>
        <w:t> </w:t>
      </w:r>
      <w:r>
        <w:rPr/>
        <w:t>by</w:t>
      </w:r>
      <w:r>
        <w:rPr>
          <w:spacing w:val="-2"/>
        </w:rPr>
        <w:t> </w:t>
      </w:r>
      <w:r>
        <w:rPr/>
        <w:t>its internal LGBTQIA+ Liaisons. Many workers, youth, families, and providers utilized the Guide, leading to the incorporation of the Guide into DCF onboarding materials and staff trainings. Given the significant cultural shifts that have taken place since its previous update in 2018, the Guide requires yet another update, which DCF has been in the process of organizing since FY 2022. The Commission strongly recommends</w:t>
      </w:r>
      <w:r>
        <w:rPr>
          <w:spacing w:val="-3"/>
        </w:rPr>
        <w:t> </w:t>
      </w:r>
      <w:r>
        <w:rPr/>
        <w:t>that</w:t>
      </w:r>
      <w:r>
        <w:rPr>
          <w:spacing w:val="-4"/>
        </w:rPr>
        <w:t> </w:t>
      </w:r>
      <w:r>
        <w:rPr/>
        <w:t>DCF</w:t>
      </w:r>
      <w:r>
        <w:rPr>
          <w:spacing w:val="-4"/>
        </w:rPr>
        <w:t> </w:t>
      </w:r>
      <w:r>
        <w:rPr/>
        <w:t>work</w:t>
      </w:r>
      <w:r>
        <w:rPr>
          <w:spacing w:val="-4"/>
        </w:rPr>
        <w:t> </w:t>
      </w:r>
      <w:r>
        <w:rPr/>
        <w:t>quickly</w:t>
      </w:r>
      <w:r>
        <w:rPr>
          <w:spacing w:val="-3"/>
        </w:rPr>
        <w:t> </w:t>
      </w:r>
      <w:r>
        <w:rPr/>
        <w:t>to</w:t>
      </w:r>
      <w:r>
        <w:rPr>
          <w:spacing w:val="-4"/>
        </w:rPr>
        <w:t> </w:t>
      </w:r>
      <w:r>
        <w:rPr/>
        <w:t>get</w:t>
      </w:r>
      <w:r>
        <w:rPr>
          <w:spacing w:val="-4"/>
        </w:rPr>
        <w:t> </w:t>
      </w:r>
      <w:r>
        <w:rPr/>
        <w:t>the</w:t>
      </w:r>
      <w:r>
        <w:rPr>
          <w:spacing w:val="-4"/>
        </w:rPr>
        <w:t> </w:t>
      </w:r>
      <w:r>
        <w:rPr/>
        <w:t>LGBTQ</w:t>
      </w:r>
      <w:r>
        <w:rPr>
          <w:spacing w:val="-3"/>
        </w:rPr>
        <w:t> </w:t>
      </w:r>
      <w:r>
        <w:rPr/>
        <w:t>Guide</w:t>
      </w:r>
      <w:r>
        <w:rPr>
          <w:spacing w:val="-4"/>
        </w:rPr>
        <w:t> </w:t>
      </w:r>
      <w:r>
        <w:rPr/>
        <w:t>updated</w:t>
      </w:r>
      <w:r>
        <w:rPr>
          <w:spacing w:val="-4"/>
        </w:rPr>
        <w:t> </w:t>
      </w:r>
      <w:r>
        <w:rPr/>
        <w:t>in</w:t>
      </w:r>
      <w:r>
        <w:rPr>
          <w:spacing w:val="-4"/>
        </w:rPr>
        <w:t> </w:t>
      </w:r>
      <w:r>
        <w:rPr/>
        <w:t>FY</w:t>
      </w:r>
      <w:r>
        <w:rPr>
          <w:spacing w:val="-5"/>
        </w:rPr>
        <w:t> </w:t>
      </w:r>
      <w:r>
        <w:rPr/>
        <w:t>2025,</w:t>
      </w:r>
      <w:r>
        <w:rPr>
          <w:spacing w:val="-4"/>
        </w:rPr>
        <w:t> </w:t>
      </w:r>
      <w:r>
        <w:rPr/>
        <w:t>and</w:t>
      </w:r>
      <w:r>
        <w:rPr>
          <w:spacing w:val="-4"/>
        </w:rPr>
        <w:t> </w:t>
      </w:r>
      <w:r>
        <w:rPr/>
        <w:t>ensure</w:t>
      </w:r>
      <w:r>
        <w:rPr>
          <w:spacing w:val="-3"/>
        </w:rPr>
        <w:t> </w:t>
      </w:r>
      <w:r>
        <w:rPr/>
        <w:t>that</w:t>
      </w:r>
      <w:r>
        <w:rPr>
          <w:spacing w:val="-4"/>
        </w:rPr>
        <w:t> </w:t>
      </w:r>
      <w:r>
        <w:rPr/>
        <w:t>all</w:t>
      </w:r>
      <w:r>
        <w:rPr>
          <w:spacing w:val="-4"/>
        </w:rPr>
        <w:t> </w:t>
      </w:r>
      <w:r>
        <w:rPr/>
        <w:t>staff, providers, families, and youth are aware of the updates to the Guide and able to access a copy. In its February 2024 meeting with the Commission, DCF shared that it has established potential categories for what</w:t>
      </w:r>
      <w:r>
        <w:rPr>
          <w:spacing w:val="-13"/>
        </w:rPr>
        <w:t> </w:t>
      </w:r>
      <w:r>
        <w:rPr/>
        <w:t>could</w:t>
      </w:r>
      <w:r>
        <w:rPr>
          <w:spacing w:val="-12"/>
        </w:rPr>
        <w:t> </w:t>
      </w:r>
      <w:r>
        <w:rPr/>
        <w:t>be</w:t>
      </w:r>
      <w:r>
        <w:rPr>
          <w:spacing w:val="-13"/>
        </w:rPr>
        <w:t> </w:t>
      </w:r>
      <w:r>
        <w:rPr/>
        <w:t>included</w:t>
      </w:r>
      <w:r>
        <w:rPr>
          <w:spacing w:val="-12"/>
        </w:rPr>
        <w:t> </w:t>
      </w:r>
      <w:r>
        <w:rPr/>
        <w:t>in</w:t>
      </w:r>
      <w:r>
        <w:rPr>
          <w:spacing w:val="-13"/>
        </w:rPr>
        <w:t> </w:t>
      </w:r>
      <w:r>
        <w:rPr/>
        <w:t>the</w:t>
      </w:r>
      <w:r>
        <w:rPr>
          <w:spacing w:val="-12"/>
        </w:rPr>
        <w:t> </w:t>
      </w:r>
      <w:r>
        <w:rPr/>
        <w:t>Guide,</w:t>
      </w:r>
      <w:r>
        <w:rPr>
          <w:spacing w:val="-13"/>
        </w:rPr>
        <w:t> </w:t>
      </w:r>
      <w:r>
        <w:rPr/>
        <w:t>and</w:t>
      </w:r>
      <w:r>
        <w:rPr>
          <w:spacing w:val="-12"/>
        </w:rPr>
        <w:t> </w:t>
      </w:r>
      <w:r>
        <w:rPr/>
        <w:t>is</w:t>
      </w:r>
      <w:r>
        <w:rPr>
          <w:spacing w:val="-12"/>
        </w:rPr>
        <w:t> </w:t>
      </w:r>
      <w:r>
        <w:rPr/>
        <w:t>beginning</w:t>
      </w:r>
      <w:r>
        <w:rPr>
          <w:spacing w:val="-13"/>
        </w:rPr>
        <w:t> </w:t>
      </w:r>
      <w:r>
        <w:rPr/>
        <w:t>the</w:t>
      </w:r>
      <w:r>
        <w:rPr>
          <w:spacing w:val="-12"/>
        </w:rPr>
        <w:t> </w:t>
      </w:r>
      <w:r>
        <w:rPr/>
        <w:t>research</w:t>
      </w:r>
      <w:r>
        <w:rPr>
          <w:spacing w:val="-13"/>
        </w:rPr>
        <w:t> </w:t>
      </w:r>
      <w:r>
        <w:rPr/>
        <w:t>process</w:t>
      </w:r>
      <w:r>
        <w:rPr>
          <w:spacing w:val="-12"/>
        </w:rPr>
        <w:t> </w:t>
      </w:r>
      <w:r>
        <w:rPr/>
        <w:t>and</w:t>
      </w:r>
      <w:r>
        <w:rPr>
          <w:spacing w:val="-13"/>
        </w:rPr>
        <w:t> </w:t>
      </w:r>
      <w:r>
        <w:rPr/>
        <w:t>working</w:t>
      </w:r>
      <w:r>
        <w:rPr>
          <w:spacing w:val="-12"/>
        </w:rPr>
        <w:t> </w:t>
      </w:r>
      <w:r>
        <w:rPr/>
        <w:t>to</w:t>
      </w:r>
      <w:r>
        <w:rPr>
          <w:spacing w:val="-12"/>
        </w:rPr>
        <w:t> </w:t>
      </w:r>
      <w:r>
        <w:rPr/>
        <w:t>attach</w:t>
      </w:r>
      <w:r>
        <w:rPr>
          <w:spacing w:val="-13"/>
        </w:rPr>
        <w:t> </w:t>
      </w:r>
      <w:r>
        <w:rPr/>
        <w:t>concrete dates to the project milestones. Ideally, once the Guide is complete, DCF should implement a system to encourage annual review and updates of the Guide. To address this, DCF has shared in the past that the Guide will ideally be uploaded to a platform that allows for frequent updates, easy access, ADA compliance, and translation services.</w:t>
      </w:r>
    </w:p>
    <w:p>
      <w:pPr>
        <w:numPr>
          <w:ilvl w:val="0"/>
          <w:numId w:val="36"/>
        </w:numPr>
        <w:tabs>
          <w:tab w:pos="478" w:val="left" w:leader="none"/>
          <w:tab w:pos="483" w:val="left" w:leader="none"/>
        </w:tabs>
        <w:spacing w:line="276" w:lineRule="auto" w:before="239"/>
        <w:ind w:left="483" w:right="343" w:hanging="360"/>
        <w:jc w:val="left"/>
        <w:rPr>
          <w:b/>
          <w:sz w:val="22"/>
        </w:rPr>
      </w:pPr>
      <w:r>
        <w:rPr>
          <w:b/>
          <w:sz w:val="22"/>
        </w:rPr>
        <w:t>Ensure implementation of the updated MAPP training curriculum and establish a system of frequent reviews and updates to assure continued relevance.</w:t>
      </w:r>
    </w:p>
    <w:p>
      <w:pPr>
        <w:pStyle w:val="BodyText"/>
        <w:spacing w:line="276" w:lineRule="auto" w:before="241"/>
        <w:ind w:left="483" w:right="341"/>
        <w:jc w:val="both"/>
      </w:pPr>
      <w:r>
        <w:rPr/>
        <w:t>Over the past several years, DCF has been engaged in a process to update its foster parent training curriculum</w:t>
      </w:r>
      <w:r>
        <w:rPr>
          <w:spacing w:val="-2"/>
        </w:rPr>
        <w:t> </w:t>
      </w:r>
      <w:r>
        <w:rPr/>
        <w:t>-</w:t>
      </w:r>
      <w:r>
        <w:rPr>
          <w:spacing w:val="-1"/>
        </w:rPr>
        <w:t> </w:t>
      </w:r>
      <w:r>
        <w:rPr/>
        <w:t>the</w:t>
      </w:r>
      <w:r>
        <w:rPr>
          <w:spacing w:val="-3"/>
        </w:rPr>
        <w:t> </w:t>
      </w:r>
      <w:r>
        <w:rPr/>
        <w:t>Massachusetts</w:t>
      </w:r>
      <w:r>
        <w:rPr>
          <w:spacing w:val="-2"/>
        </w:rPr>
        <w:t> </w:t>
      </w:r>
      <w:r>
        <w:rPr/>
        <w:t>Approach</w:t>
      </w:r>
      <w:r>
        <w:rPr>
          <w:spacing w:val="-2"/>
        </w:rPr>
        <w:t> </w:t>
      </w:r>
      <w:r>
        <w:rPr/>
        <w:t>to</w:t>
      </w:r>
      <w:r>
        <w:rPr>
          <w:spacing w:val="-1"/>
        </w:rPr>
        <w:t> </w:t>
      </w:r>
      <w:r>
        <w:rPr/>
        <w:t>Partnerships</w:t>
      </w:r>
      <w:r>
        <w:rPr>
          <w:spacing w:val="-2"/>
        </w:rPr>
        <w:t> </w:t>
      </w:r>
      <w:r>
        <w:rPr/>
        <w:t>in</w:t>
      </w:r>
      <w:r>
        <w:rPr>
          <w:spacing w:val="-2"/>
        </w:rPr>
        <w:t> </w:t>
      </w:r>
      <w:r>
        <w:rPr/>
        <w:t>Parenting</w:t>
      </w:r>
      <w:r>
        <w:rPr>
          <w:spacing w:val="-2"/>
        </w:rPr>
        <w:t> </w:t>
      </w:r>
      <w:r>
        <w:rPr/>
        <w:t>(MAPP).</w:t>
      </w:r>
      <w:r>
        <w:rPr>
          <w:spacing w:val="-3"/>
        </w:rPr>
        <w:t> </w:t>
      </w:r>
      <w:r>
        <w:rPr/>
        <w:t>While</w:t>
      </w:r>
      <w:r>
        <w:rPr>
          <w:spacing w:val="-2"/>
        </w:rPr>
        <w:t> </w:t>
      </w:r>
      <w:r>
        <w:rPr/>
        <w:t>the</w:t>
      </w:r>
      <w:r>
        <w:rPr>
          <w:spacing w:val="-2"/>
        </w:rPr>
        <w:t> </w:t>
      </w:r>
      <w:r>
        <w:rPr/>
        <w:t>initial</w:t>
      </w:r>
      <w:r>
        <w:rPr>
          <w:spacing w:val="-2"/>
        </w:rPr>
        <w:t> </w:t>
      </w:r>
      <w:r>
        <w:rPr/>
        <w:t>deadline for</w:t>
      </w:r>
      <w:r>
        <w:rPr>
          <w:spacing w:val="-6"/>
        </w:rPr>
        <w:t> </w:t>
      </w:r>
      <w:r>
        <w:rPr/>
        <w:t>release</w:t>
      </w:r>
      <w:r>
        <w:rPr>
          <w:spacing w:val="-7"/>
        </w:rPr>
        <w:t> </w:t>
      </w:r>
      <w:r>
        <w:rPr/>
        <w:t>was</w:t>
      </w:r>
      <w:r>
        <w:rPr>
          <w:spacing w:val="-6"/>
        </w:rPr>
        <w:t> </w:t>
      </w:r>
      <w:r>
        <w:rPr/>
        <w:t>early</w:t>
      </w:r>
      <w:r>
        <w:rPr>
          <w:spacing w:val="-6"/>
        </w:rPr>
        <w:t> </w:t>
      </w:r>
      <w:r>
        <w:rPr/>
        <w:t>FY</w:t>
      </w:r>
      <w:r>
        <w:rPr>
          <w:spacing w:val="-7"/>
        </w:rPr>
        <w:t> </w:t>
      </w:r>
      <w:r>
        <w:rPr/>
        <w:t>2024,</w:t>
      </w:r>
      <w:r>
        <w:rPr>
          <w:spacing w:val="-6"/>
        </w:rPr>
        <w:t> </w:t>
      </w:r>
      <w:r>
        <w:rPr/>
        <w:t>the</w:t>
      </w:r>
      <w:r>
        <w:rPr>
          <w:spacing w:val="-7"/>
        </w:rPr>
        <w:t> </w:t>
      </w:r>
      <w:r>
        <w:rPr/>
        <w:t>train-the-trainer</w:t>
      </w:r>
      <w:r>
        <w:rPr>
          <w:spacing w:val="-6"/>
        </w:rPr>
        <w:t> </w:t>
      </w:r>
      <w:r>
        <w:rPr/>
        <w:t>model</w:t>
      </w:r>
      <w:r>
        <w:rPr>
          <w:spacing w:val="-7"/>
        </w:rPr>
        <w:t> </w:t>
      </w:r>
      <w:r>
        <w:rPr/>
        <w:t>was</w:t>
      </w:r>
      <w:r>
        <w:rPr>
          <w:spacing w:val="-6"/>
        </w:rPr>
        <w:t> </w:t>
      </w:r>
      <w:r>
        <w:rPr/>
        <w:t>launched</w:t>
      </w:r>
      <w:r>
        <w:rPr>
          <w:spacing w:val="-6"/>
        </w:rPr>
        <w:t> </w:t>
      </w:r>
      <w:r>
        <w:rPr/>
        <w:t>in</w:t>
      </w:r>
      <w:r>
        <w:rPr>
          <w:spacing w:val="-6"/>
        </w:rPr>
        <w:t> </w:t>
      </w:r>
      <w:r>
        <w:rPr/>
        <w:t>January,</w:t>
      </w:r>
      <w:r>
        <w:rPr>
          <w:spacing w:val="-6"/>
        </w:rPr>
        <w:t> </w:t>
      </w:r>
      <w:r>
        <w:rPr/>
        <w:t>with</w:t>
      </w:r>
      <w:r>
        <w:rPr>
          <w:spacing w:val="-7"/>
        </w:rPr>
        <w:t> </w:t>
      </w:r>
      <w:r>
        <w:rPr/>
        <w:t>further</w:t>
      </w:r>
      <w:r>
        <w:rPr>
          <w:spacing w:val="-6"/>
        </w:rPr>
        <w:t> </w:t>
      </w:r>
      <w:r>
        <w:rPr/>
        <w:t>edits</w:t>
      </w:r>
      <w:r>
        <w:rPr>
          <w:spacing w:val="-6"/>
        </w:rPr>
        <w:t> </w:t>
      </w:r>
      <w:r>
        <w:rPr/>
        <w:t>and reviews</w:t>
      </w:r>
      <w:r>
        <w:rPr>
          <w:spacing w:val="-6"/>
        </w:rPr>
        <w:t> </w:t>
      </w:r>
      <w:r>
        <w:rPr/>
        <w:t>needing</w:t>
      </w:r>
      <w:r>
        <w:rPr>
          <w:spacing w:val="-7"/>
        </w:rPr>
        <w:t> </w:t>
      </w:r>
      <w:r>
        <w:rPr/>
        <w:t>to</w:t>
      </w:r>
      <w:r>
        <w:rPr>
          <w:spacing w:val="-5"/>
        </w:rPr>
        <w:t> </w:t>
      </w:r>
      <w:r>
        <w:rPr/>
        <w:t>take</w:t>
      </w:r>
      <w:r>
        <w:rPr>
          <w:spacing w:val="-5"/>
        </w:rPr>
        <w:t> </w:t>
      </w:r>
      <w:r>
        <w:rPr/>
        <w:t>place</w:t>
      </w:r>
      <w:r>
        <w:rPr>
          <w:spacing w:val="-7"/>
        </w:rPr>
        <w:t> </w:t>
      </w:r>
      <w:r>
        <w:rPr/>
        <w:t>before</w:t>
      </w:r>
      <w:r>
        <w:rPr>
          <w:spacing w:val="-5"/>
        </w:rPr>
        <w:t> </w:t>
      </w:r>
      <w:r>
        <w:rPr/>
        <w:t>the</w:t>
      </w:r>
      <w:r>
        <w:rPr>
          <w:spacing w:val="-7"/>
        </w:rPr>
        <w:t> </w:t>
      </w:r>
      <w:r>
        <w:rPr/>
        <w:t>training</w:t>
      </w:r>
      <w:r>
        <w:rPr>
          <w:spacing w:val="-7"/>
        </w:rPr>
        <w:t> </w:t>
      </w:r>
      <w:r>
        <w:rPr/>
        <w:t>goes</w:t>
      </w:r>
      <w:r>
        <w:rPr>
          <w:spacing w:val="-6"/>
        </w:rPr>
        <w:t> </w:t>
      </w:r>
      <w:r>
        <w:rPr/>
        <w:t>public.</w:t>
      </w:r>
      <w:r>
        <w:rPr>
          <w:spacing w:val="-7"/>
        </w:rPr>
        <w:t> </w:t>
      </w:r>
      <w:r>
        <w:rPr/>
        <w:t>As</w:t>
      </w:r>
      <w:r>
        <w:rPr>
          <w:spacing w:val="-6"/>
        </w:rPr>
        <w:t> </w:t>
      </w:r>
      <w:r>
        <w:rPr/>
        <w:t>shared</w:t>
      </w:r>
      <w:r>
        <w:rPr>
          <w:spacing w:val="-7"/>
        </w:rPr>
        <w:t> </w:t>
      </w:r>
      <w:r>
        <w:rPr/>
        <w:t>with</w:t>
      </w:r>
      <w:r>
        <w:rPr>
          <w:spacing w:val="-7"/>
        </w:rPr>
        <w:t> </w:t>
      </w:r>
      <w:r>
        <w:rPr/>
        <w:t>DCF,</w:t>
      </w:r>
      <w:r>
        <w:rPr>
          <w:spacing w:val="-6"/>
        </w:rPr>
        <w:t> </w:t>
      </w:r>
      <w:r>
        <w:rPr/>
        <w:t>the</w:t>
      </w:r>
      <w:r>
        <w:rPr>
          <w:spacing w:val="-7"/>
        </w:rPr>
        <w:t> </w:t>
      </w:r>
      <w:r>
        <w:rPr/>
        <w:t>Commission</w:t>
      </w:r>
      <w:r>
        <w:rPr>
          <w:spacing w:val="-7"/>
        </w:rPr>
        <w:t> </w:t>
      </w:r>
      <w:r>
        <w:rPr/>
        <w:t>hopes to</w:t>
      </w:r>
      <w:r>
        <w:rPr>
          <w:spacing w:val="-12"/>
        </w:rPr>
        <w:t> </w:t>
      </w:r>
      <w:r>
        <w:rPr/>
        <w:t>have</w:t>
      </w:r>
      <w:r>
        <w:rPr>
          <w:spacing w:val="-12"/>
        </w:rPr>
        <w:t> </w:t>
      </w:r>
      <w:r>
        <w:rPr/>
        <w:t>the</w:t>
      </w:r>
      <w:r>
        <w:rPr>
          <w:spacing w:val="-13"/>
        </w:rPr>
        <w:t> </w:t>
      </w:r>
      <w:r>
        <w:rPr/>
        <w:t>opportunity</w:t>
      </w:r>
      <w:r>
        <w:rPr>
          <w:spacing w:val="-10"/>
        </w:rPr>
        <w:t> </w:t>
      </w:r>
      <w:r>
        <w:rPr/>
        <w:t>to</w:t>
      </w:r>
      <w:r>
        <w:rPr>
          <w:spacing w:val="-11"/>
        </w:rPr>
        <w:t> </w:t>
      </w:r>
      <w:r>
        <w:rPr/>
        <w:t>review</w:t>
      </w:r>
      <w:r>
        <w:rPr>
          <w:spacing w:val="-12"/>
        </w:rPr>
        <w:t> </w:t>
      </w:r>
      <w:r>
        <w:rPr/>
        <w:t>and</w:t>
      </w:r>
      <w:r>
        <w:rPr>
          <w:spacing w:val="-10"/>
        </w:rPr>
        <w:t> </w:t>
      </w:r>
      <w:r>
        <w:rPr/>
        <w:t>comment</w:t>
      </w:r>
      <w:r>
        <w:rPr>
          <w:spacing w:val="-13"/>
        </w:rPr>
        <w:t> </w:t>
      </w:r>
      <w:r>
        <w:rPr/>
        <w:t>on</w:t>
      </w:r>
      <w:r>
        <w:rPr>
          <w:spacing w:val="-11"/>
        </w:rPr>
        <w:t> </w:t>
      </w:r>
      <w:r>
        <w:rPr/>
        <w:t>the</w:t>
      </w:r>
      <w:r>
        <w:rPr>
          <w:spacing w:val="-13"/>
        </w:rPr>
        <w:t> </w:t>
      </w:r>
      <w:r>
        <w:rPr/>
        <w:t>MAPP</w:t>
      </w:r>
      <w:r>
        <w:rPr>
          <w:spacing w:val="-10"/>
        </w:rPr>
        <w:t> </w:t>
      </w:r>
      <w:r>
        <w:rPr/>
        <w:t>curriculum</w:t>
      </w:r>
      <w:r>
        <w:rPr>
          <w:spacing w:val="-12"/>
        </w:rPr>
        <w:t> </w:t>
      </w:r>
      <w:r>
        <w:rPr/>
        <w:t>prior</w:t>
      </w:r>
      <w:r>
        <w:rPr>
          <w:spacing w:val="-12"/>
        </w:rPr>
        <w:t> </w:t>
      </w:r>
      <w:r>
        <w:rPr/>
        <w:t>to</w:t>
      </w:r>
      <w:r>
        <w:rPr>
          <w:spacing w:val="-12"/>
        </w:rPr>
        <w:t> </w:t>
      </w:r>
      <w:r>
        <w:rPr/>
        <w:t>the</w:t>
      </w:r>
      <w:r>
        <w:rPr>
          <w:spacing w:val="-12"/>
        </w:rPr>
        <w:t> </w:t>
      </w:r>
      <w:r>
        <w:rPr/>
        <w:t>public</w:t>
      </w:r>
      <w:r>
        <w:rPr>
          <w:spacing w:val="-13"/>
        </w:rPr>
        <w:t> </w:t>
      </w:r>
      <w:r>
        <w:rPr/>
        <w:t>release;</w:t>
      </w:r>
      <w:r>
        <w:rPr>
          <w:spacing w:val="-12"/>
        </w:rPr>
        <w:t> </w:t>
      </w:r>
      <w:r>
        <w:rPr/>
        <w:t>while the</w:t>
      </w:r>
      <w:r>
        <w:rPr>
          <w:spacing w:val="-5"/>
        </w:rPr>
        <w:t> </w:t>
      </w:r>
      <w:r>
        <w:rPr/>
        <w:t>Commission</w:t>
      </w:r>
      <w:r>
        <w:rPr>
          <w:spacing w:val="-7"/>
        </w:rPr>
        <w:t> </w:t>
      </w:r>
      <w:r>
        <w:rPr/>
        <w:t>did</w:t>
      </w:r>
      <w:r>
        <w:rPr>
          <w:spacing w:val="-4"/>
        </w:rPr>
        <w:t> </w:t>
      </w:r>
      <w:r>
        <w:rPr/>
        <w:t>have</w:t>
      </w:r>
      <w:r>
        <w:rPr>
          <w:spacing w:val="-7"/>
        </w:rPr>
        <w:t> </w:t>
      </w:r>
      <w:r>
        <w:rPr/>
        <w:t>such</w:t>
      </w:r>
      <w:r>
        <w:rPr>
          <w:spacing w:val="-6"/>
        </w:rPr>
        <w:t> </w:t>
      </w:r>
      <w:r>
        <w:rPr/>
        <w:t>an</w:t>
      </w:r>
      <w:r>
        <w:rPr>
          <w:spacing w:val="-6"/>
        </w:rPr>
        <w:t> </w:t>
      </w:r>
      <w:r>
        <w:rPr/>
        <w:t>opportunity</w:t>
      </w:r>
      <w:r>
        <w:rPr>
          <w:spacing w:val="-6"/>
        </w:rPr>
        <w:t> </w:t>
      </w:r>
      <w:r>
        <w:rPr/>
        <w:t>in</w:t>
      </w:r>
      <w:r>
        <w:rPr>
          <w:spacing w:val="-6"/>
        </w:rPr>
        <w:t> </w:t>
      </w:r>
      <w:r>
        <w:rPr/>
        <w:t>November</w:t>
      </w:r>
      <w:r>
        <w:rPr>
          <w:spacing w:val="-5"/>
        </w:rPr>
        <w:t> </w:t>
      </w:r>
      <w:r>
        <w:rPr/>
        <w:t>2022</w:t>
      </w:r>
      <w:r>
        <w:rPr>
          <w:spacing w:val="-5"/>
        </w:rPr>
        <w:t> </w:t>
      </w:r>
      <w:r>
        <w:rPr/>
        <w:t>and</w:t>
      </w:r>
      <w:r>
        <w:rPr>
          <w:spacing w:val="-6"/>
        </w:rPr>
        <w:t> </w:t>
      </w:r>
      <w:r>
        <w:rPr/>
        <w:t>had</w:t>
      </w:r>
      <w:r>
        <w:rPr>
          <w:spacing w:val="-7"/>
        </w:rPr>
        <w:t> </w:t>
      </w:r>
      <w:r>
        <w:rPr/>
        <w:t>significant</w:t>
      </w:r>
      <w:r>
        <w:rPr>
          <w:spacing w:val="-6"/>
        </w:rPr>
        <w:t> </w:t>
      </w:r>
      <w:r>
        <w:rPr/>
        <w:t>feedback,</w:t>
      </w:r>
      <w:r>
        <w:rPr>
          <w:spacing w:val="-6"/>
        </w:rPr>
        <w:t> </w:t>
      </w:r>
      <w:r>
        <w:rPr/>
        <w:t>it</w:t>
      </w:r>
      <w:r>
        <w:rPr>
          <w:spacing w:val="-6"/>
        </w:rPr>
        <w:t> </w:t>
      </w:r>
      <w:r>
        <w:rPr/>
        <w:t>remains unaware of how much of this feedback was able to be included. Furthermore, the Commission strongly recommends that</w:t>
      </w:r>
      <w:r>
        <w:rPr>
          <w:spacing w:val="-1"/>
        </w:rPr>
        <w:t> </w:t>
      </w:r>
      <w:r>
        <w:rPr/>
        <w:t>DCF commit to and establish</w:t>
      </w:r>
      <w:r>
        <w:rPr>
          <w:spacing w:val="-1"/>
        </w:rPr>
        <w:t> </w:t>
      </w:r>
      <w:r>
        <w:rPr/>
        <w:t>a system</w:t>
      </w:r>
      <w:r>
        <w:rPr>
          <w:spacing w:val="-1"/>
        </w:rPr>
        <w:t> </w:t>
      </w:r>
      <w:r>
        <w:rPr/>
        <w:t>of frequent</w:t>
      </w:r>
      <w:r>
        <w:rPr>
          <w:spacing w:val="-1"/>
        </w:rPr>
        <w:t> </w:t>
      </w:r>
      <w:r>
        <w:rPr/>
        <w:t>reviews and</w:t>
      </w:r>
      <w:r>
        <w:rPr>
          <w:spacing w:val="-1"/>
        </w:rPr>
        <w:t> </w:t>
      </w:r>
      <w:r>
        <w:rPr/>
        <w:t>updates to ensure</w:t>
      </w:r>
      <w:r>
        <w:rPr>
          <w:spacing w:val="-1"/>
        </w:rPr>
        <w:t> </w:t>
      </w:r>
      <w:r>
        <w:rPr/>
        <w:t>that the training continues to hold relevance, while also soliciting early feedback from internal and external stakeholders - including foster youth and parents.</w:t>
      </w:r>
    </w:p>
    <w:p>
      <w:pPr>
        <w:numPr>
          <w:ilvl w:val="0"/>
          <w:numId w:val="36"/>
        </w:numPr>
        <w:tabs>
          <w:tab w:pos="481" w:val="left" w:leader="none"/>
          <w:tab w:pos="483" w:val="left" w:leader="none"/>
        </w:tabs>
        <w:spacing w:line="276" w:lineRule="auto" w:before="240"/>
        <w:ind w:left="483" w:right="343" w:hanging="360"/>
        <w:jc w:val="left"/>
        <w:rPr>
          <w:b/>
          <w:sz w:val="22"/>
        </w:rPr>
      </w:pPr>
      <w:r>
        <w:rPr>
          <w:b/>
          <w:sz w:val="22"/>
        </w:rPr>
        <w:t>Improve recruitment of LGBTQ-affirming foster parents and create a statewide database of LGBTQ-</w:t>
      </w:r>
      <w:r>
        <w:rPr>
          <w:b/>
          <w:spacing w:val="80"/>
          <w:sz w:val="22"/>
        </w:rPr>
        <w:t> </w:t>
      </w:r>
      <w:r>
        <w:rPr>
          <w:b/>
          <w:sz w:val="22"/>
        </w:rPr>
        <w:t>affirming homes.</w:t>
      </w:r>
    </w:p>
    <w:p>
      <w:pPr>
        <w:pStyle w:val="BodyText"/>
        <w:spacing w:line="276" w:lineRule="auto" w:before="239"/>
        <w:ind w:left="483" w:right="343"/>
        <w:jc w:val="both"/>
      </w:pPr>
      <w:r>
        <w:rPr/>
        <w:t>As it has for several years, the Commission continues to recommend that DCF improves its methods of conducting outreach and recruitment for LGBTQ-affirming foster parents. DCF’s LGBTQIA+ Office has shared with the Commission that there has been a great deal occurring in this area, particularly due to the formation of a recruitment team focusing specifically on LGBTQIA+ recruitment. The LGBTQIA+ Regional Specialists have further shared that they are working within their regions to better understand specific barriers and gaps in practice to ensure that the agency is consistent in its outreach methods, though</w:t>
      </w:r>
      <w:r>
        <w:rPr>
          <w:spacing w:val="-4"/>
        </w:rPr>
        <w:t> </w:t>
      </w:r>
      <w:r>
        <w:rPr/>
        <w:t>still</w:t>
      </w:r>
      <w:r>
        <w:rPr>
          <w:spacing w:val="-4"/>
        </w:rPr>
        <w:t> </w:t>
      </w:r>
      <w:r>
        <w:rPr/>
        <w:t>ensuring</w:t>
      </w:r>
      <w:r>
        <w:rPr>
          <w:spacing w:val="-4"/>
        </w:rPr>
        <w:t> </w:t>
      </w:r>
      <w:r>
        <w:rPr/>
        <w:t>that</w:t>
      </w:r>
      <w:r>
        <w:rPr>
          <w:spacing w:val="-4"/>
        </w:rPr>
        <w:t> </w:t>
      </w:r>
      <w:r>
        <w:rPr/>
        <w:t>the</w:t>
      </w:r>
      <w:r>
        <w:rPr>
          <w:spacing w:val="-5"/>
        </w:rPr>
        <w:t> </w:t>
      </w:r>
      <w:r>
        <w:rPr/>
        <w:t>agency</w:t>
      </w:r>
      <w:r>
        <w:rPr>
          <w:spacing w:val="-5"/>
        </w:rPr>
        <w:t> </w:t>
      </w:r>
      <w:r>
        <w:rPr/>
        <w:t>is</w:t>
      </w:r>
      <w:r>
        <w:rPr>
          <w:spacing w:val="-2"/>
        </w:rPr>
        <w:t> </w:t>
      </w:r>
      <w:r>
        <w:rPr/>
        <w:t>keeping</w:t>
      </w:r>
      <w:r>
        <w:rPr>
          <w:spacing w:val="-5"/>
        </w:rPr>
        <w:t> </w:t>
      </w:r>
      <w:r>
        <w:rPr/>
        <w:t>regional</w:t>
      </w:r>
      <w:r>
        <w:rPr>
          <w:spacing w:val="-5"/>
        </w:rPr>
        <w:t> </w:t>
      </w:r>
      <w:r>
        <w:rPr/>
        <w:t>needs</w:t>
      </w:r>
      <w:r>
        <w:rPr>
          <w:spacing w:val="-5"/>
        </w:rPr>
        <w:t> </w:t>
      </w:r>
      <w:r>
        <w:rPr/>
        <w:t>in</w:t>
      </w:r>
      <w:r>
        <w:rPr>
          <w:spacing w:val="-4"/>
        </w:rPr>
        <w:t> </w:t>
      </w:r>
      <w:r>
        <w:rPr/>
        <w:t>mind.</w:t>
      </w:r>
      <w:r>
        <w:rPr>
          <w:spacing w:val="-4"/>
        </w:rPr>
        <w:t> </w:t>
      </w:r>
      <w:r>
        <w:rPr/>
        <w:t>The</w:t>
      </w:r>
      <w:r>
        <w:rPr>
          <w:spacing w:val="-5"/>
        </w:rPr>
        <w:t> </w:t>
      </w:r>
      <w:r>
        <w:rPr/>
        <w:t>Office</w:t>
      </w:r>
      <w:r>
        <w:rPr>
          <w:spacing w:val="-5"/>
        </w:rPr>
        <w:t> </w:t>
      </w:r>
      <w:r>
        <w:rPr/>
        <w:t>is</w:t>
      </w:r>
      <w:r>
        <w:rPr>
          <w:spacing w:val="-5"/>
        </w:rPr>
        <w:t> </w:t>
      </w:r>
      <w:r>
        <w:rPr/>
        <w:t>additionally</w:t>
      </w:r>
      <w:r>
        <w:rPr>
          <w:spacing w:val="-5"/>
        </w:rPr>
        <w:t> </w:t>
      </w:r>
      <w:r>
        <w:rPr/>
        <w:t>thinking through</w:t>
      </w:r>
      <w:r>
        <w:rPr>
          <w:spacing w:val="-13"/>
        </w:rPr>
        <w:t> </w:t>
      </w:r>
      <w:r>
        <w:rPr/>
        <w:t>solutions</w:t>
      </w:r>
      <w:r>
        <w:rPr>
          <w:spacing w:val="-12"/>
        </w:rPr>
        <w:t> </w:t>
      </w:r>
      <w:r>
        <w:rPr/>
        <w:t>and</w:t>
      </w:r>
      <w:r>
        <w:rPr>
          <w:spacing w:val="-13"/>
        </w:rPr>
        <w:t> </w:t>
      </w:r>
      <w:r>
        <w:rPr/>
        <w:t>structures</w:t>
      </w:r>
      <w:r>
        <w:rPr>
          <w:spacing w:val="-12"/>
        </w:rPr>
        <w:t> </w:t>
      </w:r>
      <w:r>
        <w:rPr/>
        <w:t>for</w:t>
      </w:r>
      <w:r>
        <w:rPr>
          <w:spacing w:val="-13"/>
        </w:rPr>
        <w:t> </w:t>
      </w:r>
      <w:r>
        <w:rPr/>
        <w:t>providing</w:t>
      </w:r>
      <w:r>
        <w:rPr>
          <w:spacing w:val="-12"/>
        </w:rPr>
        <w:t> </w:t>
      </w:r>
      <w:r>
        <w:rPr/>
        <w:t>specialty</w:t>
      </w:r>
      <w:r>
        <w:rPr>
          <w:spacing w:val="-13"/>
        </w:rPr>
        <w:t> </w:t>
      </w:r>
      <w:r>
        <w:rPr/>
        <w:t>licenses</w:t>
      </w:r>
      <w:r>
        <w:rPr>
          <w:spacing w:val="-12"/>
        </w:rPr>
        <w:t> </w:t>
      </w:r>
      <w:r>
        <w:rPr/>
        <w:t>or</w:t>
      </w:r>
      <w:r>
        <w:rPr>
          <w:spacing w:val="-12"/>
        </w:rPr>
        <w:t> </w:t>
      </w:r>
      <w:r>
        <w:rPr/>
        <w:t>certifications</w:t>
      </w:r>
      <w:r>
        <w:rPr>
          <w:spacing w:val="-13"/>
        </w:rPr>
        <w:t> </w:t>
      </w:r>
      <w:r>
        <w:rPr/>
        <w:t>to</w:t>
      </w:r>
      <w:r>
        <w:rPr>
          <w:spacing w:val="-12"/>
        </w:rPr>
        <w:t> </w:t>
      </w:r>
      <w:r>
        <w:rPr/>
        <w:t>foster</w:t>
      </w:r>
      <w:r>
        <w:rPr>
          <w:spacing w:val="-13"/>
        </w:rPr>
        <w:t> </w:t>
      </w:r>
      <w:r>
        <w:rPr/>
        <w:t>parents</w:t>
      </w:r>
      <w:r>
        <w:rPr>
          <w:spacing w:val="-12"/>
        </w:rPr>
        <w:t> </w:t>
      </w:r>
      <w:r>
        <w:rPr/>
        <w:t>to</w:t>
      </w:r>
      <w:r>
        <w:rPr>
          <w:spacing w:val="-13"/>
        </w:rPr>
        <w:t> </w:t>
      </w:r>
      <w:r>
        <w:rPr/>
        <w:t>signal that they are an LGBTQ-affirming home.</w:t>
      </w:r>
    </w:p>
    <w:p>
      <w:pPr>
        <w:spacing w:after="0" w:line="276" w:lineRule="auto"/>
        <w:jc w:val="both"/>
        <w:sectPr>
          <w:pgSz w:w="12240" w:h="15840"/>
          <w:pgMar w:header="804" w:footer="1263" w:top="1000" w:bottom="1460" w:left="960" w:right="1100"/>
        </w:sectPr>
      </w:pPr>
    </w:p>
    <w:p>
      <w:pPr>
        <w:pStyle w:val="BodyText"/>
        <w:spacing w:line="276" w:lineRule="auto" w:before="139"/>
        <w:ind w:left="483" w:right="342"/>
        <w:jc w:val="both"/>
      </w:pPr>
      <w:r>
        <w:rPr/>
        <w:t>In addition to each area office having a recruitment team, DCF shares that it developed a specialized recruitment team during the start of COVID in 2020 to focus specifically on recruitment of LGBTQ foster parents and affirming homes for LGBTQ</w:t>
      </w:r>
      <w:r>
        <w:rPr>
          <w:spacing w:val="-1"/>
        </w:rPr>
        <w:t> </w:t>
      </w:r>
      <w:r>
        <w:rPr/>
        <w:t>youth. The LGBTQIA+ Regional</w:t>
      </w:r>
      <w:r>
        <w:rPr>
          <w:spacing w:val="-1"/>
        </w:rPr>
        <w:t> </w:t>
      </w:r>
      <w:r>
        <w:rPr/>
        <w:t>Specialists have</w:t>
      </w:r>
      <w:r>
        <w:rPr>
          <w:spacing w:val="-1"/>
        </w:rPr>
        <w:t> </w:t>
      </w:r>
      <w:r>
        <w:rPr/>
        <w:t>shared</w:t>
      </w:r>
      <w:r>
        <w:rPr>
          <w:spacing w:val="-1"/>
        </w:rPr>
        <w:t> </w:t>
      </w:r>
      <w:r>
        <w:rPr/>
        <w:t>that they are</w:t>
      </w:r>
      <w:r>
        <w:rPr>
          <w:spacing w:val="-6"/>
        </w:rPr>
        <w:t> </w:t>
      </w:r>
      <w:r>
        <w:rPr/>
        <w:t>working</w:t>
      </w:r>
      <w:r>
        <w:rPr>
          <w:spacing w:val="-4"/>
        </w:rPr>
        <w:t> </w:t>
      </w:r>
      <w:r>
        <w:rPr/>
        <w:t>within</w:t>
      </w:r>
      <w:r>
        <w:rPr>
          <w:spacing w:val="-4"/>
        </w:rPr>
        <w:t> </w:t>
      </w:r>
      <w:r>
        <w:rPr/>
        <w:t>their</w:t>
      </w:r>
      <w:r>
        <w:rPr>
          <w:spacing w:val="-4"/>
        </w:rPr>
        <w:t> </w:t>
      </w:r>
      <w:r>
        <w:rPr/>
        <w:t>regions</w:t>
      </w:r>
      <w:r>
        <w:rPr>
          <w:spacing w:val="-5"/>
        </w:rPr>
        <w:t> </w:t>
      </w:r>
      <w:r>
        <w:rPr/>
        <w:t>to</w:t>
      </w:r>
      <w:r>
        <w:rPr>
          <w:spacing w:val="-5"/>
        </w:rPr>
        <w:t> </w:t>
      </w:r>
      <w:r>
        <w:rPr/>
        <w:t>better</w:t>
      </w:r>
      <w:r>
        <w:rPr>
          <w:spacing w:val="-5"/>
        </w:rPr>
        <w:t> </w:t>
      </w:r>
      <w:r>
        <w:rPr/>
        <w:t>understand</w:t>
      </w:r>
      <w:r>
        <w:rPr>
          <w:spacing w:val="-6"/>
        </w:rPr>
        <w:t> </w:t>
      </w:r>
      <w:r>
        <w:rPr/>
        <w:t>specific</w:t>
      </w:r>
      <w:r>
        <w:rPr>
          <w:spacing w:val="-6"/>
        </w:rPr>
        <w:t> </w:t>
      </w:r>
      <w:r>
        <w:rPr/>
        <w:t>barriers</w:t>
      </w:r>
      <w:r>
        <w:rPr>
          <w:spacing w:val="-5"/>
        </w:rPr>
        <w:t> </w:t>
      </w:r>
      <w:r>
        <w:rPr/>
        <w:t>and</w:t>
      </w:r>
      <w:r>
        <w:rPr>
          <w:spacing w:val="-6"/>
        </w:rPr>
        <w:t> </w:t>
      </w:r>
      <w:r>
        <w:rPr/>
        <w:t>gaps</w:t>
      </w:r>
      <w:r>
        <w:rPr>
          <w:spacing w:val="-5"/>
        </w:rPr>
        <w:t> </w:t>
      </w:r>
      <w:r>
        <w:rPr/>
        <w:t>in</w:t>
      </w:r>
      <w:r>
        <w:rPr>
          <w:spacing w:val="-6"/>
        </w:rPr>
        <w:t> </w:t>
      </w:r>
      <w:r>
        <w:rPr/>
        <w:t>practice</w:t>
      </w:r>
      <w:r>
        <w:rPr>
          <w:spacing w:val="-4"/>
        </w:rPr>
        <w:t> </w:t>
      </w:r>
      <w:r>
        <w:rPr/>
        <w:t>to</w:t>
      </w:r>
      <w:r>
        <w:rPr>
          <w:spacing w:val="-5"/>
        </w:rPr>
        <w:t> </w:t>
      </w:r>
      <w:r>
        <w:rPr/>
        <w:t>ensure</w:t>
      </w:r>
      <w:r>
        <w:rPr>
          <w:spacing w:val="-6"/>
        </w:rPr>
        <w:t> </w:t>
      </w:r>
      <w:r>
        <w:rPr/>
        <w:t>that the</w:t>
      </w:r>
      <w:r>
        <w:rPr>
          <w:spacing w:val="-7"/>
        </w:rPr>
        <w:t> </w:t>
      </w:r>
      <w:r>
        <w:rPr/>
        <w:t>agency</w:t>
      </w:r>
      <w:r>
        <w:rPr>
          <w:spacing w:val="-5"/>
        </w:rPr>
        <w:t> </w:t>
      </w:r>
      <w:r>
        <w:rPr/>
        <w:t>is</w:t>
      </w:r>
      <w:r>
        <w:rPr>
          <w:spacing w:val="-5"/>
        </w:rPr>
        <w:t> </w:t>
      </w:r>
      <w:r>
        <w:rPr/>
        <w:t>consistent</w:t>
      </w:r>
      <w:r>
        <w:rPr>
          <w:spacing w:val="-6"/>
        </w:rPr>
        <w:t> </w:t>
      </w:r>
      <w:r>
        <w:rPr/>
        <w:t>in</w:t>
      </w:r>
      <w:r>
        <w:rPr>
          <w:spacing w:val="-5"/>
        </w:rPr>
        <w:t> </w:t>
      </w:r>
      <w:r>
        <w:rPr/>
        <w:t>its</w:t>
      </w:r>
      <w:r>
        <w:rPr>
          <w:spacing w:val="-6"/>
        </w:rPr>
        <w:t> </w:t>
      </w:r>
      <w:r>
        <w:rPr/>
        <w:t>outreach</w:t>
      </w:r>
      <w:r>
        <w:rPr>
          <w:spacing w:val="-5"/>
        </w:rPr>
        <w:t> </w:t>
      </w:r>
      <w:r>
        <w:rPr/>
        <w:t>methods,</w:t>
      </w:r>
      <w:r>
        <w:rPr>
          <w:spacing w:val="-5"/>
        </w:rPr>
        <w:t> </w:t>
      </w:r>
      <w:r>
        <w:rPr/>
        <w:t>though</w:t>
      </w:r>
      <w:r>
        <w:rPr>
          <w:spacing w:val="-7"/>
        </w:rPr>
        <w:t> </w:t>
      </w:r>
      <w:r>
        <w:rPr/>
        <w:t>still</w:t>
      </w:r>
      <w:r>
        <w:rPr>
          <w:spacing w:val="-6"/>
        </w:rPr>
        <w:t> </w:t>
      </w:r>
      <w:r>
        <w:rPr/>
        <w:t>ensuring</w:t>
      </w:r>
      <w:r>
        <w:rPr>
          <w:spacing w:val="-7"/>
        </w:rPr>
        <w:t> </w:t>
      </w:r>
      <w:r>
        <w:rPr/>
        <w:t>that</w:t>
      </w:r>
      <w:r>
        <w:rPr>
          <w:spacing w:val="-6"/>
        </w:rPr>
        <w:t> </w:t>
      </w:r>
      <w:r>
        <w:rPr/>
        <w:t>the</w:t>
      </w:r>
      <w:r>
        <w:rPr>
          <w:spacing w:val="-4"/>
        </w:rPr>
        <w:t> </w:t>
      </w:r>
      <w:r>
        <w:rPr/>
        <w:t>agency</w:t>
      </w:r>
      <w:r>
        <w:rPr>
          <w:spacing w:val="-5"/>
        </w:rPr>
        <w:t> </w:t>
      </w:r>
      <w:r>
        <w:rPr/>
        <w:t>is</w:t>
      </w:r>
      <w:r>
        <w:rPr>
          <w:spacing w:val="-6"/>
        </w:rPr>
        <w:t> </w:t>
      </w:r>
      <w:r>
        <w:rPr/>
        <w:t>keeping</w:t>
      </w:r>
      <w:r>
        <w:rPr>
          <w:spacing w:val="-7"/>
        </w:rPr>
        <w:t> </w:t>
      </w:r>
      <w:r>
        <w:rPr/>
        <w:t>regional needs in mind. Additionally, DCF shares that its Foster Care and LGBTQIA+ Office are thinking through solutions and structures for providing specialty licenses or certifications to foster parents to signal that they are an LGBTQ-affirming home.</w:t>
      </w:r>
    </w:p>
    <w:p>
      <w:pPr>
        <w:numPr>
          <w:ilvl w:val="0"/>
          <w:numId w:val="36"/>
        </w:numPr>
        <w:tabs>
          <w:tab w:pos="481" w:val="left" w:leader="none"/>
          <w:tab w:pos="483" w:val="left" w:leader="none"/>
        </w:tabs>
        <w:spacing w:line="276" w:lineRule="auto" w:before="239"/>
        <w:ind w:left="483" w:right="345" w:hanging="360"/>
        <w:jc w:val="left"/>
        <w:rPr>
          <w:b/>
          <w:sz w:val="22"/>
        </w:rPr>
      </w:pPr>
      <w:r>
        <w:rPr>
          <w:b/>
          <w:sz w:val="22"/>
        </w:rPr>
        <w:t>Partner with LGBTQ youth and organizations to create and disseminate tangible resources for youth, families, and social workers.</w:t>
      </w:r>
    </w:p>
    <w:p>
      <w:pPr>
        <w:pStyle w:val="BodyText"/>
        <w:spacing w:line="276" w:lineRule="auto" w:before="239"/>
        <w:ind w:left="483" w:right="342"/>
        <w:jc w:val="both"/>
      </w:pPr>
      <w:r>
        <w:rPr/>
        <w:t>For several years, the Commission has received feedback from youth, families, social workers, and providers that there is a desperate need for education and resources on supporting LGBTQ youth under the age of 10, as well as the need for further guidance and resources around finding affirming pediatric health</w:t>
      </w:r>
      <w:r>
        <w:rPr>
          <w:spacing w:val="-11"/>
        </w:rPr>
        <w:t> </w:t>
      </w:r>
      <w:r>
        <w:rPr/>
        <w:t>care</w:t>
      </w:r>
      <w:r>
        <w:rPr>
          <w:spacing w:val="-12"/>
        </w:rPr>
        <w:t> </w:t>
      </w:r>
      <w:r>
        <w:rPr/>
        <w:t>for</w:t>
      </w:r>
      <w:r>
        <w:rPr>
          <w:spacing w:val="-12"/>
        </w:rPr>
        <w:t> </w:t>
      </w:r>
      <w:r>
        <w:rPr/>
        <w:t>youth</w:t>
      </w:r>
      <w:r>
        <w:rPr>
          <w:spacing w:val="-12"/>
        </w:rPr>
        <w:t> </w:t>
      </w:r>
      <w:r>
        <w:rPr/>
        <w:t>in</w:t>
      </w:r>
      <w:r>
        <w:rPr>
          <w:spacing w:val="-11"/>
        </w:rPr>
        <w:t> </w:t>
      </w:r>
      <w:r>
        <w:rPr/>
        <w:t>the</w:t>
      </w:r>
      <w:r>
        <w:rPr>
          <w:spacing w:val="-11"/>
        </w:rPr>
        <w:t> </w:t>
      </w:r>
      <w:r>
        <w:rPr/>
        <w:t>child</w:t>
      </w:r>
      <w:r>
        <w:rPr>
          <w:spacing w:val="-11"/>
        </w:rPr>
        <w:t> </w:t>
      </w:r>
      <w:r>
        <w:rPr/>
        <w:t>welfare</w:t>
      </w:r>
      <w:r>
        <w:rPr>
          <w:spacing w:val="-11"/>
        </w:rPr>
        <w:t> </w:t>
      </w:r>
      <w:r>
        <w:rPr/>
        <w:t>system.</w:t>
      </w:r>
      <w:r>
        <w:rPr>
          <w:spacing w:val="-12"/>
        </w:rPr>
        <w:t> </w:t>
      </w:r>
      <w:r>
        <w:rPr/>
        <w:t>DCF’s</w:t>
      </w:r>
      <w:r>
        <w:rPr>
          <w:spacing w:val="-12"/>
        </w:rPr>
        <w:t> </w:t>
      </w:r>
      <w:r>
        <w:rPr/>
        <w:t>LGBTQIA+</w:t>
      </w:r>
      <w:r>
        <w:rPr>
          <w:spacing w:val="-12"/>
        </w:rPr>
        <w:t> </w:t>
      </w:r>
      <w:r>
        <w:rPr/>
        <w:t>Office</w:t>
      </w:r>
      <w:r>
        <w:rPr>
          <w:spacing w:val="-12"/>
        </w:rPr>
        <w:t> </w:t>
      </w:r>
      <w:r>
        <w:rPr/>
        <w:t>has</w:t>
      </w:r>
      <w:r>
        <w:rPr>
          <w:spacing w:val="-12"/>
        </w:rPr>
        <w:t> </w:t>
      </w:r>
      <w:r>
        <w:rPr/>
        <w:t>begun</w:t>
      </w:r>
      <w:r>
        <w:rPr>
          <w:spacing w:val="-12"/>
        </w:rPr>
        <w:t> </w:t>
      </w:r>
      <w:r>
        <w:rPr/>
        <w:t>working</w:t>
      </w:r>
      <w:r>
        <w:rPr>
          <w:spacing w:val="-12"/>
        </w:rPr>
        <w:t> </w:t>
      </w:r>
      <w:r>
        <w:rPr/>
        <w:t>on</w:t>
      </w:r>
      <w:r>
        <w:rPr>
          <w:spacing w:val="-10"/>
        </w:rPr>
        <w:t> </w:t>
      </w:r>
      <w:r>
        <w:rPr/>
        <w:t>addressing this</w:t>
      </w:r>
      <w:r>
        <w:rPr>
          <w:spacing w:val="-11"/>
        </w:rPr>
        <w:t> </w:t>
      </w:r>
      <w:r>
        <w:rPr/>
        <w:t>feedback</w:t>
      </w:r>
      <w:r>
        <w:rPr>
          <w:spacing w:val="-10"/>
        </w:rPr>
        <w:t> </w:t>
      </w:r>
      <w:r>
        <w:rPr/>
        <w:t>and</w:t>
      </w:r>
      <w:r>
        <w:rPr>
          <w:spacing w:val="-12"/>
        </w:rPr>
        <w:t> </w:t>
      </w:r>
      <w:r>
        <w:rPr/>
        <w:t>gap</w:t>
      </w:r>
      <w:r>
        <w:rPr>
          <w:spacing w:val="-12"/>
        </w:rPr>
        <w:t> </w:t>
      </w:r>
      <w:r>
        <w:rPr/>
        <w:t>in</w:t>
      </w:r>
      <w:r>
        <w:rPr>
          <w:spacing w:val="-12"/>
        </w:rPr>
        <w:t> </w:t>
      </w:r>
      <w:r>
        <w:rPr/>
        <w:t>resources</w:t>
      </w:r>
      <w:r>
        <w:rPr>
          <w:spacing w:val="-11"/>
        </w:rPr>
        <w:t> </w:t>
      </w:r>
      <w:r>
        <w:rPr/>
        <w:t>and</w:t>
      </w:r>
      <w:r>
        <w:rPr>
          <w:spacing w:val="-10"/>
        </w:rPr>
        <w:t> </w:t>
      </w:r>
      <w:r>
        <w:rPr/>
        <w:t>has</w:t>
      </w:r>
      <w:r>
        <w:rPr>
          <w:spacing w:val="-11"/>
        </w:rPr>
        <w:t> </w:t>
      </w:r>
      <w:r>
        <w:rPr/>
        <w:t>plans</w:t>
      </w:r>
      <w:r>
        <w:rPr>
          <w:spacing w:val="-11"/>
        </w:rPr>
        <w:t> </w:t>
      </w:r>
      <w:r>
        <w:rPr/>
        <w:t>to</w:t>
      </w:r>
      <w:r>
        <w:rPr>
          <w:spacing w:val="-10"/>
        </w:rPr>
        <w:t> </w:t>
      </w:r>
      <w:r>
        <w:rPr/>
        <w:t>develop</w:t>
      </w:r>
      <w:r>
        <w:rPr>
          <w:spacing w:val="-12"/>
        </w:rPr>
        <w:t> </w:t>
      </w:r>
      <w:r>
        <w:rPr/>
        <w:t>regional</w:t>
      </w:r>
      <w:r>
        <w:rPr>
          <w:spacing w:val="-11"/>
        </w:rPr>
        <w:t> </w:t>
      </w:r>
      <w:r>
        <w:rPr/>
        <w:t>resource</w:t>
      </w:r>
      <w:r>
        <w:rPr>
          <w:spacing w:val="-10"/>
        </w:rPr>
        <w:t> </w:t>
      </w:r>
      <w:r>
        <w:rPr/>
        <w:t>guides</w:t>
      </w:r>
      <w:r>
        <w:rPr>
          <w:spacing w:val="-11"/>
        </w:rPr>
        <w:t> </w:t>
      </w:r>
      <w:r>
        <w:rPr/>
        <w:t>that</w:t>
      </w:r>
      <w:r>
        <w:rPr>
          <w:spacing w:val="-12"/>
        </w:rPr>
        <w:t> </w:t>
      </w:r>
      <w:r>
        <w:rPr/>
        <w:t>will</w:t>
      </w:r>
      <w:r>
        <w:rPr>
          <w:spacing w:val="-10"/>
        </w:rPr>
        <w:t> </w:t>
      </w:r>
      <w:r>
        <w:rPr/>
        <w:t>be</w:t>
      </w:r>
      <w:r>
        <w:rPr>
          <w:spacing w:val="-12"/>
        </w:rPr>
        <w:t> </w:t>
      </w:r>
      <w:r>
        <w:rPr/>
        <w:t>available to staff, families, and youth; the agency has further stated its interest in planning resource fairs at their regional offices to better build relationships with families and LGBTQ organizations.</w:t>
      </w:r>
    </w:p>
    <w:p>
      <w:pPr>
        <w:numPr>
          <w:ilvl w:val="0"/>
          <w:numId w:val="36"/>
        </w:numPr>
        <w:tabs>
          <w:tab w:pos="481" w:val="left" w:leader="none"/>
          <w:tab w:pos="483" w:val="left" w:leader="none"/>
        </w:tabs>
        <w:spacing w:line="276" w:lineRule="auto" w:before="241"/>
        <w:ind w:left="483" w:right="343" w:hanging="360"/>
        <w:jc w:val="left"/>
        <w:rPr>
          <w:b/>
          <w:sz w:val="22"/>
        </w:rPr>
      </w:pPr>
      <w:r>
        <w:rPr>
          <w:b/>
          <w:sz w:val="22"/>
        </w:rPr>
        <w:t>Investigate</w:t>
      </w:r>
      <w:r>
        <w:rPr>
          <w:b/>
          <w:spacing w:val="-2"/>
          <w:sz w:val="22"/>
        </w:rPr>
        <w:t> </w:t>
      </w:r>
      <w:r>
        <w:rPr>
          <w:b/>
          <w:sz w:val="22"/>
        </w:rPr>
        <w:t>and</w:t>
      </w:r>
      <w:r>
        <w:rPr>
          <w:b/>
          <w:spacing w:val="-3"/>
          <w:sz w:val="22"/>
        </w:rPr>
        <w:t> </w:t>
      </w:r>
      <w:r>
        <w:rPr>
          <w:b/>
          <w:sz w:val="22"/>
        </w:rPr>
        <w:t>address</w:t>
      </w:r>
      <w:r>
        <w:rPr>
          <w:b/>
          <w:spacing w:val="-3"/>
          <w:sz w:val="22"/>
        </w:rPr>
        <w:t> </w:t>
      </w:r>
      <w:r>
        <w:rPr>
          <w:b/>
          <w:sz w:val="22"/>
        </w:rPr>
        <w:t>gaps</w:t>
      </w:r>
      <w:r>
        <w:rPr>
          <w:b/>
          <w:spacing w:val="-2"/>
          <w:sz w:val="22"/>
        </w:rPr>
        <w:t> </w:t>
      </w:r>
      <w:r>
        <w:rPr>
          <w:b/>
          <w:sz w:val="22"/>
        </w:rPr>
        <w:t>and</w:t>
      </w:r>
      <w:r>
        <w:rPr>
          <w:b/>
          <w:spacing w:val="-2"/>
          <w:sz w:val="22"/>
        </w:rPr>
        <w:t> </w:t>
      </w:r>
      <w:r>
        <w:rPr>
          <w:b/>
          <w:sz w:val="22"/>
        </w:rPr>
        <w:t>barriers</w:t>
      </w:r>
      <w:r>
        <w:rPr>
          <w:b/>
          <w:spacing w:val="-3"/>
          <w:sz w:val="22"/>
        </w:rPr>
        <w:t> </w:t>
      </w:r>
      <w:r>
        <w:rPr>
          <w:b/>
          <w:sz w:val="22"/>
        </w:rPr>
        <w:t>to</w:t>
      </w:r>
      <w:r>
        <w:rPr>
          <w:b/>
          <w:spacing w:val="-3"/>
          <w:sz w:val="22"/>
        </w:rPr>
        <w:t> </w:t>
      </w:r>
      <w:r>
        <w:rPr>
          <w:b/>
          <w:sz w:val="22"/>
        </w:rPr>
        <w:t>service</w:t>
      </w:r>
      <w:r>
        <w:rPr>
          <w:b/>
          <w:spacing w:val="-2"/>
          <w:sz w:val="22"/>
        </w:rPr>
        <w:t> </w:t>
      </w:r>
      <w:r>
        <w:rPr>
          <w:b/>
          <w:sz w:val="22"/>
        </w:rPr>
        <w:t>provision</w:t>
      </w:r>
      <w:r>
        <w:rPr>
          <w:b/>
          <w:spacing w:val="-3"/>
          <w:sz w:val="22"/>
        </w:rPr>
        <w:t> </w:t>
      </w:r>
      <w:r>
        <w:rPr>
          <w:b/>
          <w:sz w:val="22"/>
        </w:rPr>
        <w:t>for</w:t>
      </w:r>
      <w:r>
        <w:rPr>
          <w:b/>
          <w:spacing w:val="-2"/>
          <w:sz w:val="22"/>
        </w:rPr>
        <w:t> </w:t>
      </w:r>
      <w:r>
        <w:rPr>
          <w:b/>
          <w:sz w:val="22"/>
        </w:rPr>
        <w:t>immigrant</w:t>
      </w:r>
      <w:r>
        <w:rPr>
          <w:b/>
          <w:spacing w:val="-3"/>
          <w:sz w:val="22"/>
        </w:rPr>
        <w:t> </w:t>
      </w:r>
      <w:r>
        <w:rPr>
          <w:b/>
          <w:sz w:val="22"/>
        </w:rPr>
        <w:t>youth</w:t>
      </w:r>
      <w:r>
        <w:rPr>
          <w:b/>
          <w:spacing w:val="-2"/>
          <w:sz w:val="22"/>
        </w:rPr>
        <w:t> </w:t>
      </w:r>
      <w:r>
        <w:rPr>
          <w:b/>
          <w:sz w:val="22"/>
        </w:rPr>
        <w:t>transitioning</w:t>
      </w:r>
      <w:r>
        <w:rPr>
          <w:b/>
          <w:spacing w:val="-1"/>
          <w:sz w:val="22"/>
        </w:rPr>
        <w:t> </w:t>
      </w:r>
      <w:r>
        <w:rPr>
          <w:b/>
          <w:sz w:val="22"/>
        </w:rPr>
        <w:t>out</w:t>
      </w:r>
      <w:r>
        <w:rPr>
          <w:b/>
          <w:spacing w:val="-2"/>
          <w:sz w:val="22"/>
        </w:rPr>
        <w:t> </w:t>
      </w:r>
      <w:r>
        <w:rPr>
          <w:b/>
          <w:sz w:val="22"/>
        </w:rPr>
        <w:t>of DCF care.</w:t>
      </w:r>
    </w:p>
    <w:p>
      <w:pPr>
        <w:pStyle w:val="BodyText"/>
        <w:spacing w:line="276" w:lineRule="auto" w:before="240"/>
        <w:ind w:left="483" w:right="340"/>
        <w:jc w:val="both"/>
      </w:pPr>
      <w:r>
        <w:rPr/>
        <w:t>The Commission recommends that DCF improve its service provision for LGBTQ immigrant youth in DCF care to ensure that they receive timely services - including all needed documentation, resources, and support - particularly before transitioning out of care. In May 2024, DCF shared that it hired an in-house immigration specialist in June 2023 who assists youth in DCF custody obtain appropriate documentation and</w:t>
      </w:r>
      <w:r>
        <w:rPr>
          <w:spacing w:val="-10"/>
        </w:rPr>
        <w:t> </w:t>
      </w:r>
      <w:r>
        <w:rPr/>
        <w:t>establish</w:t>
      </w:r>
      <w:r>
        <w:rPr>
          <w:spacing w:val="-9"/>
        </w:rPr>
        <w:t> </w:t>
      </w:r>
      <w:r>
        <w:rPr/>
        <w:t>citizenship.</w:t>
      </w:r>
      <w:r>
        <w:rPr>
          <w:spacing w:val="-10"/>
        </w:rPr>
        <w:t> </w:t>
      </w:r>
      <w:r>
        <w:rPr/>
        <w:t>The</w:t>
      </w:r>
      <w:r>
        <w:rPr>
          <w:spacing w:val="-11"/>
        </w:rPr>
        <w:t> </w:t>
      </w:r>
      <w:r>
        <w:rPr/>
        <w:t>Commission</w:t>
      </w:r>
      <w:r>
        <w:rPr>
          <w:spacing w:val="-12"/>
        </w:rPr>
        <w:t> </w:t>
      </w:r>
      <w:r>
        <w:rPr/>
        <w:t>appreciates</w:t>
      </w:r>
      <w:r>
        <w:rPr>
          <w:spacing w:val="-11"/>
        </w:rPr>
        <w:t> </w:t>
      </w:r>
      <w:r>
        <w:rPr/>
        <w:t>this</w:t>
      </w:r>
      <w:r>
        <w:rPr>
          <w:spacing w:val="-11"/>
        </w:rPr>
        <w:t> </w:t>
      </w:r>
      <w:r>
        <w:rPr/>
        <w:t>information,</w:t>
      </w:r>
      <w:r>
        <w:rPr>
          <w:spacing w:val="-11"/>
        </w:rPr>
        <w:t> </w:t>
      </w:r>
      <w:r>
        <w:rPr/>
        <w:t>but</w:t>
      </w:r>
      <w:r>
        <w:rPr>
          <w:spacing w:val="-11"/>
        </w:rPr>
        <w:t> </w:t>
      </w:r>
      <w:r>
        <w:rPr/>
        <w:t>also</w:t>
      </w:r>
      <w:r>
        <w:rPr>
          <w:spacing w:val="-11"/>
        </w:rPr>
        <w:t> </w:t>
      </w:r>
      <w:r>
        <w:rPr/>
        <w:t>notes</w:t>
      </w:r>
      <w:r>
        <w:rPr>
          <w:spacing w:val="-10"/>
        </w:rPr>
        <w:t> </w:t>
      </w:r>
      <w:r>
        <w:rPr/>
        <w:t>that</w:t>
      </w:r>
      <w:r>
        <w:rPr>
          <w:spacing w:val="-11"/>
        </w:rPr>
        <w:t> </w:t>
      </w:r>
      <w:r>
        <w:rPr/>
        <w:t>it</w:t>
      </w:r>
      <w:r>
        <w:rPr>
          <w:spacing w:val="-11"/>
        </w:rPr>
        <w:t> </w:t>
      </w:r>
      <w:r>
        <w:rPr/>
        <w:t>has</w:t>
      </w:r>
      <w:r>
        <w:rPr>
          <w:spacing w:val="-11"/>
        </w:rPr>
        <w:t> </w:t>
      </w:r>
      <w:r>
        <w:rPr/>
        <w:t>received several</w:t>
      </w:r>
      <w:r>
        <w:rPr>
          <w:spacing w:val="-2"/>
        </w:rPr>
        <w:t> </w:t>
      </w:r>
      <w:r>
        <w:rPr/>
        <w:t>reports</w:t>
      </w:r>
      <w:r>
        <w:rPr>
          <w:spacing w:val="-1"/>
        </w:rPr>
        <w:t> </w:t>
      </w:r>
      <w:r>
        <w:rPr/>
        <w:t>from</w:t>
      </w:r>
      <w:r>
        <w:rPr>
          <w:spacing w:val="-2"/>
        </w:rPr>
        <w:t> </w:t>
      </w:r>
      <w:r>
        <w:rPr/>
        <w:t>LGBTQ</w:t>
      </w:r>
      <w:r>
        <w:rPr>
          <w:spacing w:val="-2"/>
        </w:rPr>
        <w:t> </w:t>
      </w:r>
      <w:r>
        <w:rPr/>
        <w:t>youth</w:t>
      </w:r>
      <w:r>
        <w:rPr>
          <w:spacing w:val="-1"/>
        </w:rPr>
        <w:t> </w:t>
      </w:r>
      <w:r>
        <w:rPr/>
        <w:t>who</w:t>
      </w:r>
      <w:r>
        <w:rPr>
          <w:spacing w:val="-1"/>
        </w:rPr>
        <w:t> </w:t>
      </w:r>
      <w:r>
        <w:rPr/>
        <w:t>transitioned</w:t>
      </w:r>
      <w:r>
        <w:rPr>
          <w:spacing w:val="-1"/>
        </w:rPr>
        <w:t> </w:t>
      </w:r>
      <w:r>
        <w:rPr/>
        <w:t>out</w:t>
      </w:r>
      <w:r>
        <w:rPr>
          <w:spacing w:val="-2"/>
        </w:rPr>
        <w:t> </w:t>
      </w:r>
      <w:r>
        <w:rPr/>
        <w:t>of</w:t>
      </w:r>
      <w:r>
        <w:rPr>
          <w:spacing w:val="-2"/>
        </w:rPr>
        <w:t> </w:t>
      </w:r>
      <w:r>
        <w:rPr/>
        <w:t>care</w:t>
      </w:r>
      <w:r>
        <w:rPr>
          <w:spacing w:val="-1"/>
        </w:rPr>
        <w:t> </w:t>
      </w:r>
      <w:r>
        <w:rPr/>
        <w:t>that</w:t>
      </w:r>
      <w:r>
        <w:rPr>
          <w:spacing w:val="-2"/>
        </w:rPr>
        <w:t> </w:t>
      </w:r>
      <w:r>
        <w:rPr/>
        <w:t>they</w:t>
      </w:r>
      <w:r>
        <w:rPr>
          <w:spacing w:val="-1"/>
        </w:rPr>
        <w:t> </w:t>
      </w:r>
      <w:r>
        <w:rPr/>
        <w:t>never</w:t>
      </w:r>
      <w:r>
        <w:rPr>
          <w:spacing w:val="-1"/>
        </w:rPr>
        <w:t> </w:t>
      </w:r>
      <w:r>
        <w:rPr/>
        <w:t>received</w:t>
      </w:r>
      <w:r>
        <w:rPr>
          <w:spacing w:val="-2"/>
        </w:rPr>
        <w:t> </w:t>
      </w:r>
      <w:r>
        <w:rPr/>
        <w:t>assistance</w:t>
      </w:r>
      <w:r>
        <w:rPr>
          <w:spacing w:val="-2"/>
        </w:rPr>
        <w:t> </w:t>
      </w:r>
      <w:r>
        <w:rPr/>
        <w:t>from DCF or their legal representation in obtaining appropriate documentation or access to affirming health care</w:t>
      </w:r>
      <w:r>
        <w:rPr>
          <w:spacing w:val="-8"/>
        </w:rPr>
        <w:t> </w:t>
      </w:r>
      <w:r>
        <w:rPr/>
        <w:t>or</w:t>
      </w:r>
      <w:r>
        <w:rPr>
          <w:spacing w:val="-6"/>
        </w:rPr>
        <w:t> </w:t>
      </w:r>
      <w:r>
        <w:rPr/>
        <w:t>advocacy</w:t>
      </w:r>
      <w:r>
        <w:rPr>
          <w:spacing w:val="-6"/>
        </w:rPr>
        <w:t> </w:t>
      </w:r>
      <w:r>
        <w:rPr/>
        <w:t>to</w:t>
      </w:r>
      <w:r>
        <w:rPr>
          <w:spacing w:val="-7"/>
        </w:rPr>
        <w:t> </w:t>
      </w:r>
      <w:r>
        <w:rPr/>
        <w:t>address</w:t>
      </w:r>
      <w:r>
        <w:rPr>
          <w:spacing w:val="-7"/>
        </w:rPr>
        <w:t> </w:t>
      </w:r>
      <w:r>
        <w:rPr/>
        <w:t>their</w:t>
      </w:r>
      <w:r>
        <w:rPr>
          <w:spacing w:val="-8"/>
        </w:rPr>
        <w:t> </w:t>
      </w:r>
      <w:r>
        <w:rPr/>
        <w:t>visa</w:t>
      </w:r>
      <w:r>
        <w:rPr>
          <w:spacing w:val="-7"/>
        </w:rPr>
        <w:t> </w:t>
      </w:r>
      <w:r>
        <w:rPr/>
        <w:t>status</w:t>
      </w:r>
      <w:r>
        <w:rPr>
          <w:spacing w:val="-7"/>
        </w:rPr>
        <w:t> </w:t>
      </w:r>
      <w:r>
        <w:rPr/>
        <w:t>(which</w:t>
      </w:r>
      <w:r>
        <w:rPr>
          <w:spacing w:val="-7"/>
        </w:rPr>
        <w:t> </w:t>
      </w:r>
      <w:r>
        <w:rPr/>
        <w:t>resulted</w:t>
      </w:r>
      <w:r>
        <w:rPr>
          <w:spacing w:val="-7"/>
        </w:rPr>
        <w:t> </w:t>
      </w:r>
      <w:r>
        <w:rPr/>
        <w:t>in</w:t>
      </w:r>
      <w:r>
        <w:rPr>
          <w:spacing w:val="-7"/>
        </w:rPr>
        <w:t> </w:t>
      </w:r>
      <w:r>
        <w:rPr/>
        <w:t>an</w:t>
      </w:r>
      <w:r>
        <w:rPr>
          <w:spacing w:val="-6"/>
        </w:rPr>
        <w:t> </w:t>
      </w:r>
      <w:r>
        <w:rPr/>
        <w:t>expired</w:t>
      </w:r>
      <w:r>
        <w:rPr>
          <w:spacing w:val="-7"/>
        </w:rPr>
        <w:t> </w:t>
      </w:r>
      <w:r>
        <w:rPr/>
        <w:t>visa).</w:t>
      </w:r>
      <w:r>
        <w:rPr>
          <w:spacing w:val="-7"/>
        </w:rPr>
        <w:t> </w:t>
      </w:r>
      <w:r>
        <w:rPr/>
        <w:t>This</w:t>
      </w:r>
      <w:r>
        <w:rPr>
          <w:spacing w:val="-7"/>
        </w:rPr>
        <w:t> </w:t>
      </w:r>
      <w:r>
        <w:rPr/>
        <w:t>lapse</w:t>
      </w:r>
      <w:r>
        <w:rPr>
          <w:spacing w:val="-7"/>
        </w:rPr>
        <w:t> </w:t>
      </w:r>
      <w:r>
        <w:rPr/>
        <w:t>in</w:t>
      </w:r>
      <w:r>
        <w:rPr>
          <w:spacing w:val="-7"/>
        </w:rPr>
        <w:t> </w:t>
      </w:r>
      <w:r>
        <w:rPr/>
        <w:t>advocacy</w:t>
      </w:r>
      <w:r>
        <w:rPr>
          <w:spacing w:val="-8"/>
        </w:rPr>
        <w:t> </w:t>
      </w:r>
      <w:r>
        <w:rPr/>
        <w:t>for youth transitioning out of care has a directly effect on their ability to gain legal employment, and can become a pipeline to experiencing homelessness, engaging in sex work, or becoming involved with the legal system, and overall leaves youth to navigate already cumbersome state systems by themselves.</w:t>
      </w:r>
    </w:p>
    <w:p>
      <w:pPr>
        <w:numPr>
          <w:ilvl w:val="0"/>
          <w:numId w:val="36"/>
        </w:numPr>
        <w:tabs>
          <w:tab w:pos="481" w:val="left" w:leader="none"/>
          <w:tab w:pos="483" w:val="left" w:leader="none"/>
        </w:tabs>
        <w:spacing w:line="276" w:lineRule="auto" w:before="240"/>
        <w:ind w:left="483" w:right="344" w:hanging="360"/>
        <w:jc w:val="left"/>
        <w:rPr>
          <w:b/>
          <w:sz w:val="22"/>
        </w:rPr>
      </w:pPr>
      <w:r>
        <w:rPr>
          <w:b/>
          <w:sz w:val="22"/>
        </w:rPr>
        <w:t>Expand</w:t>
      </w:r>
      <w:r>
        <w:rPr>
          <w:b/>
          <w:spacing w:val="40"/>
          <w:sz w:val="22"/>
        </w:rPr>
        <w:t> </w:t>
      </w:r>
      <w:r>
        <w:rPr>
          <w:b/>
          <w:sz w:val="22"/>
        </w:rPr>
        <w:t>and</w:t>
      </w:r>
      <w:r>
        <w:rPr>
          <w:b/>
          <w:spacing w:val="40"/>
          <w:sz w:val="22"/>
        </w:rPr>
        <w:t> </w:t>
      </w:r>
      <w:r>
        <w:rPr>
          <w:b/>
          <w:sz w:val="22"/>
        </w:rPr>
        <w:t>mandate</w:t>
      </w:r>
      <w:r>
        <w:rPr>
          <w:b/>
          <w:spacing w:val="40"/>
          <w:sz w:val="22"/>
        </w:rPr>
        <w:t> </w:t>
      </w:r>
      <w:r>
        <w:rPr>
          <w:b/>
          <w:sz w:val="22"/>
        </w:rPr>
        <w:t>LGBTQ</w:t>
      </w:r>
      <w:r>
        <w:rPr>
          <w:b/>
          <w:spacing w:val="40"/>
          <w:sz w:val="22"/>
        </w:rPr>
        <w:t> </w:t>
      </w:r>
      <w:r>
        <w:rPr>
          <w:b/>
          <w:sz w:val="22"/>
        </w:rPr>
        <w:t>cultural</w:t>
      </w:r>
      <w:r>
        <w:rPr>
          <w:b/>
          <w:spacing w:val="40"/>
          <w:sz w:val="22"/>
        </w:rPr>
        <w:t> </w:t>
      </w:r>
      <w:r>
        <w:rPr>
          <w:b/>
          <w:sz w:val="22"/>
        </w:rPr>
        <w:t>engagement</w:t>
      </w:r>
      <w:r>
        <w:rPr>
          <w:b/>
          <w:spacing w:val="40"/>
          <w:sz w:val="22"/>
        </w:rPr>
        <w:t> </w:t>
      </w:r>
      <w:r>
        <w:rPr>
          <w:b/>
          <w:sz w:val="22"/>
        </w:rPr>
        <w:t>trainings,</w:t>
      </w:r>
      <w:r>
        <w:rPr>
          <w:b/>
          <w:spacing w:val="40"/>
          <w:sz w:val="22"/>
        </w:rPr>
        <w:t> </w:t>
      </w:r>
      <w:r>
        <w:rPr>
          <w:b/>
          <w:sz w:val="22"/>
        </w:rPr>
        <w:t>as</w:t>
      </w:r>
      <w:r>
        <w:rPr>
          <w:b/>
          <w:spacing w:val="40"/>
          <w:sz w:val="22"/>
        </w:rPr>
        <w:t> </w:t>
      </w:r>
      <w:r>
        <w:rPr>
          <w:b/>
          <w:sz w:val="22"/>
        </w:rPr>
        <w:t>well</w:t>
      </w:r>
      <w:r>
        <w:rPr>
          <w:b/>
          <w:spacing w:val="40"/>
          <w:sz w:val="22"/>
        </w:rPr>
        <w:t> </w:t>
      </w:r>
      <w:r>
        <w:rPr>
          <w:b/>
          <w:sz w:val="22"/>
        </w:rPr>
        <w:t>as</w:t>
      </w:r>
      <w:r>
        <w:rPr>
          <w:b/>
          <w:spacing w:val="40"/>
          <w:sz w:val="22"/>
        </w:rPr>
        <w:t> </w:t>
      </w:r>
      <w:r>
        <w:rPr>
          <w:b/>
          <w:sz w:val="22"/>
        </w:rPr>
        <w:t>trainings</w:t>
      </w:r>
      <w:r>
        <w:rPr>
          <w:b/>
          <w:spacing w:val="40"/>
          <w:sz w:val="22"/>
        </w:rPr>
        <w:t> </w:t>
      </w:r>
      <w:r>
        <w:rPr>
          <w:b/>
          <w:sz w:val="22"/>
        </w:rPr>
        <w:t>on</w:t>
      </w:r>
      <w:r>
        <w:rPr>
          <w:b/>
          <w:spacing w:val="40"/>
          <w:sz w:val="22"/>
        </w:rPr>
        <w:t> </w:t>
      </w:r>
      <w:r>
        <w:rPr>
          <w:b/>
          <w:sz w:val="22"/>
        </w:rPr>
        <w:t>racial</w:t>
      </w:r>
      <w:r>
        <w:rPr>
          <w:b/>
          <w:spacing w:val="40"/>
          <w:sz w:val="22"/>
        </w:rPr>
        <w:t> </w:t>
      </w:r>
      <w:r>
        <w:rPr>
          <w:b/>
          <w:sz w:val="22"/>
        </w:rPr>
        <w:t>equity, ableism, and adultism.</w:t>
      </w:r>
    </w:p>
    <w:p>
      <w:pPr>
        <w:pStyle w:val="BodyText"/>
        <w:spacing w:line="276" w:lineRule="auto" w:before="239"/>
        <w:ind w:left="483" w:right="342" w:firstLine="49"/>
        <w:jc w:val="both"/>
      </w:pPr>
      <w:r>
        <w:rPr/>
        <w:t>The Commission recommends that DCF continues to expand upon its LGBTQ cultural engagement trainings for all</w:t>
      </w:r>
      <w:r>
        <w:rPr>
          <w:spacing w:val="-1"/>
        </w:rPr>
        <w:t> </w:t>
      </w:r>
      <w:r>
        <w:rPr/>
        <w:t>staff, and ensuring that the trainings are</w:t>
      </w:r>
      <w:r>
        <w:rPr>
          <w:spacing w:val="-1"/>
        </w:rPr>
        <w:t> </w:t>
      </w:r>
      <w:r>
        <w:rPr/>
        <w:t>intersectional</w:t>
      </w:r>
      <w:r>
        <w:rPr>
          <w:spacing w:val="-1"/>
        </w:rPr>
        <w:t> </w:t>
      </w:r>
      <w:r>
        <w:rPr/>
        <w:t>to include conversations on</w:t>
      </w:r>
      <w:r>
        <w:rPr>
          <w:spacing w:val="-1"/>
        </w:rPr>
        <w:t> </w:t>
      </w:r>
      <w:r>
        <w:rPr/>
        <w:t>racial equity, ableism, and adultism, particularly for staff working directly with young people. In FY 2023, DCF shared</w:t>
      </w:r>
      <w:r>
        <w:rPr>
          <w:spacing w:val="-11"/>
        </w:rPr>
        <w:t> </w:t>
      </w:r>
      <w:r>
        <w:rPr/>
        <w:t>that</w:t>
      </w:r>
      <w:r>
        <w:rPr>
          <w:spacing w:val="-12"/>
        </w:rPr>
        <w:t> </w:t>
      </w:r>
      <w:r>
        <w:rPr/>
        <w:t>it</w:t>
      </w:r>
      <w:r>
        <w:rPr>
          <w:spacing w:val="-10"/>
        </w:rPr>
        <w:t> </w:t>
      </w:r>
      <w:r>
        <w:rPr/>
        <w:t>was</w:t>
      </w:r>
      <w:r>
        <w:rPr>
          <w:spacing w:val="-11"/>
        </w:rPr>
        <w:t> </w:t>
      </w:r>
      <w:r>
        <w:rPr/>
        <w:t>in</w:t>
      </w:r>
      <w:r>
        <w:rPr>
          <w:spacing w:val="-11"/>
        </w:rPr>
        <w:t> </w:t>
      </w:r>
      <w:r>
        <w:rPr/>
        <w:t>the</w:t>
      </w:r>
      <w:r>
        <w:rPr>
          <w:spacing w:val="-11"/>
        </w:rPr>
        <w:t> </w:t>
      </w:r>
      <w:r>
        <w:rPr/>
        <w:t>process</w:t>
      </w:r>
      <w:r>
        <w:rPr>
          <w:spacing w:val="-11"/>
        </w:rPr>
        <w:t> </w:t>
      </w:r>
      <w:r>
        <w:rPr/>
        <w:t>of</w:t>
      </w:r>
      <w:r>
        <w:rPr>
          <w:spacing w:val="-11"/>
        </w:rPr>
        <w:t> </w:t>
      </w:r>
      <w:r>
        <w:rPr/>
        <w:t>soliciting</w:t>
      </w:r>
      <w:r>
        <w:rPr>
          <w:spacing w:val="-11"/>
        </w:rPr>
        <w:t> </w:t>
      </w:r>
      <w:r>
        <w:rPr/>
        <w:t>information</w:t>
      </w:r>
      <w:r>
        <w:rPr>
          <w:spacing w:val="-11"/>
        </w:rPr>
        <w:t> </w:t>
      </w:r>
      <w:r>
        <w:rPr/>
        <w:t>for</w:t>
      </w:r>
      <w:r>
        <w:rPr>
          <w:spacing w:val="-11"/>
        </w:rPr>
        <w:t> </w:t>
      </w:r>
      <w:r>
        <w:rPr/>
        <w:t>available</w:t>
      </w:r>
      <w:r>
        <w:rPr>
          <w:spacing w:val="-11"/>
        </w:rPr>
        <w:t> </w:t>
      </w:r>
      <w:r>
        <w:rPr/>
        <w:t>training</w:t>
      </w:r>
      <w:r>
        <w:rPr>
          <w:spacing w:val="-11"/>
        </w:rPr>
        <w:t> </w:t>
      </w:r>
      <w:r>
        <w:rPr/>
        <w:t>opportunities</w:t>
      </w:r>
      <w:r>
        <w:rPr>
          <w:spacing w:val="-11"/>
        </w:rPr>
        <w:t> </w:t>
      </w:r>
      <w:r>
        <w:rPr/>
        <w:t>on</w:t>
      </w:r>
      <w:r>
        <w:rPr>
          <w:spacing w:val="-11"/>
        </w:rPr>
        <w:t> </w:t>
      </w:r>
      <w:r>
        <w:rPr/>
        <w:t>additional topics, which would include ableism. DCF additionally shared that its Specialty Unit Directors of Disabilities,</w:t>
      </w:r>
      <w:r>
        <w:rPr>
          <w:spacing w:val="-10"/>
        </w:rPr>
        <w:t> </w:t>
      </w:r>
      <w:r>
        <w:rPr/>
        <w:t>Mental</w:t>
      </w:r>
      <w:r>
        <w:rPr>
          <w:spacing w:val="-11"/>
        </w:rPr>
        <w:t> </w:t>
      </w:r>
      <w:r>
        <w:rPr/>
        <w:t>Health,</w:t>
      </w:r>
      <w:r>
        <w:rPr>
          <w:spacing w:val="-11"/>
        </w:rPr>
        <w:t> </w:t>
      </w:r>
      <w:r>
        <w:rPr/>
        <w:t>LGBTQIA+,</w:t>
      </w:r>
      <w:r>
        <w:rPr>
          <w:spacing w:val="-8"/>
        </w:rPr>
        <w:t> </w:t>
      </w:r>
      <w:r>
        <w:rPr/>
        <w:t>Substance</w:t>
      </w:r>
      <w:r>
        <w:rPr>
          <w:spacing w:val="-10"/>
        </w:rPr>
        <w:t> </w:t>
      </w:r>
      <w:r>
        <w:rPr/>
        <w:t>Use,</w:t>
      </w:r>
      <w:r>
        <w:rPr>
          <w:spacing w:val="-11"/>
        </w:rPr>
        <w:t> </w:t>
      </w:r>
      <w:r>
        <w:rPr/>
        <w:t>and</w:t>
      </w:r>
      <w:r>
        <w:rPr>
          <w:spacing w:val="-10"/>
        </w:rPr>
        <w:t> </w:t>
      </w:r>
      <w:r>
        <w:rPr/>
        <w:t>Domestic</w:t>
      </w:r>
      <w:r>
        <w:rPr>
          <w:spacing w:val="-11"/>
        </w:rPr>
        <w:t> </w:t>
      </w:r>
      <w:r>
        <w:rPr/>
        <w:t>Violence</w:t>
      </w:r>
      <w:r>
        <w:rPr>
          <w:spacing w:val="-11"/>
        </w:rPr>
        <w:t> </w:t>
      </w:r>
      <w:r>
        <w:rPr/>
        <w:t>recently</w:t>
      </w:r>
      <w:r>
        <w:rPr>
          <w:spacing w:val="-10"/>
        </w:rPr>
        <w:t> </w:t>
      </w:r>
      <w:r>
        <w:rPr/>
        <w:t>provided</w:t>
      </w:r>
      <w:r>
        <w:rPr>
          <w:spacing w:val="-10"/>
        </w:rPr>
        <w:t> </w:t>
      </w:r>
      <w:r>
        <w:rPr/>
        <w:t>a</w:t>
      </w:r>
      <w:r>
        <w:rPr>
          <w:spacing w:val="-11"/>
        </w:rPr>
        <w:t> </w:t>
      </w:r>
      <w:r>
        <w:rPr/>
        <w:t>training</w:t>
      </w:r>
    </w:p>
    <w:p>
      <w:pPr>
        <w:spacing w:after="0" w:line="276" w:lineRule="auto"/>
        <w:jc w:val="both"/>
        <w:sectPr>
          <w:pgSz w:w="12240" w:h="15840"/>
          <w:pgMar w:header="804" w:footer="1263" w:top="1000" w:bottom="1460" w:left="960" w:right="1100"/>
        </w:sectPr>
      </w:pPr>
    </w:p>
    <w:p>
      <w:pPr>
        <w:pStyle w:val="BodyText"/>
        <w:spacing w:line="276" w:lineRule="auto" w:before="139"/>
        <w:ind w:left="483" w:right="343"/>
        <w:jc w:val="both"/>
      </w:pPr>
      <w:r>
        <w:rPr/>
        <w:t>at a statewide manager’s meeting on inclusive practices and addressing biases.</w:t>
      </w:r>
      <w:r>
        <w:rPr>
          <w:spacing w:val="40"/>
        </w:rPr>
        <w:t> </w:t>
      </w:r>
      <w:r>
        <w:rPr/>
        <w:t>The Commission </w:t>
      </w:r>
      <w:r>
        <w:rPr>
          <w:spacing w:val="-2"/>
        </w:rPr>
        <w:t>appreciates this commitment to diversifying knowledge and skills, but further recommends that DCF share </w:t>
      </w:r>
      <w:r>
        <w:rPr/>
        <w:t>publicly its information on the trainings provided to staff, and the compliance rates for each area office. Furthermore, the Commission strongly recommends that DCF partner closely with the OCA and other state agencies to better track and oversee LGBTQ cultural engagement trainings in congregate care </w:t>
      </w:r>
      <w:r>
        <w:rPr>
          <w:spacing w:val="-2"/>
        </w:rPr>
        <w:t>settings.</w:t>
      </w:r>
    </w:p>
    <w:p>
      <w:pPr>
        <w:numPr>
          <w:ilvl w:val="0"/>
          <w:numId w:val="36"/>
        </w:numPr>
        <w:tabs>
          <w:tab w:pos="481" w:val="left" w:leader="none"/>
          <w:tab w:pos="483" w:val="left" w:leader="none"/>
        </w:tabs>
        <w:spacing w:line="276" w:lineRule="auto" w:before="239"/>
        <w:ind w:left="483" w:right="344" w:hanging="360"/>
        <w:jc w:val="both"/>
        <w:rPr>
          <w:b/>
          <w:sz w:val="22"/>
        </w:rPr>
      </w:pPr>
      <w:r>
        <w:rPr>
          <w:b/>
          <w:sz w:val="22"/>
        </w:rPr>
        <w:t>Improve</w:t>
      </w:r>
      <w:r>
        <w:rPr>
          <w:b/>
          <w:spacing w:val="-9"/>
          <w:sz w:val="22"/>
        </w:rPr>
        <w:t> </w:t>
      </w:r>
      <w:r>
        <w:rPr>
          <w:b/>
          <w:sz w:val="22"/>
        </w:rPr>
        <w:t>interagency</w:t>
      </w:r>
      <w:r>
        <w:rPr>
          <w:b/>
          <w:spacing w:val="-8"/>
          <w:sz w:val="22"/>
        </w:rPr>
        <w:t> </w:t>
      </w:r>
      <w:r>
        <w:rPr>
          <w:b/>
          <w:sz w:val="22"/>
        </w:rPr>
        <w:t>work</w:t>
      </w:r>
      <w:r>
        <w:rPr>
          <w:b/>
          <w:spacing w:val="-8"/>
          <w:sz w:val="22"/>
        </w:rPr>
        <w:t> </w:t>
      </w:r>
      <w:r>
        <w:rPr>
          <w:b/>
          <w:sz w:val="22"/>
        </w:rPr>
        <w:t>to</w:t>
      </w:r>
      <w:r>
        <w:rPr>
          <w:b/>
          <w:spacing w:val="-9"/>
          <w:sz w:val="22"/>
        </w:rPr>
        <w:t> </w:t>
      </w:r>
      <w:r>
        <w:rPr>
          <w:b/>
          <w:sz w:val="22"/>
        </w:rPr>
        <w:t>support</w:t>
      </w:r>
      <w:r>
        <w:rPr>
          <w:b/>
          <w:spacing w:val="-9"/>
          <w:sz w:val="22"/>
        </w:rPr>
        <w:t> </w:t>
      </w:r>
      <w:r>
        <w:rPr>
          <w:b/>
          <w:sz w:val="22"/>
        </w:rPr>
        <w:t>“warm</w:t>
      </w:r>
      <w:r>
        <w:rPr>
          <w:b/>
          <w:spacing w:val="-7"/>
          <w:sz w:val="22"/>
        </w:rPr>
        <w:t> </w:t>
      </w:r>
      <w:r>
        <w:rPr>
          <w:b/>
          <w:sz w:val="22"/>
        </w:rPr>
        <w:t>hand-offs”</w:t>
      </w:r>
      <w:r>
        <w:rPr>
          <w:b/>
          <w:spacing w:val="-9"/>
          <w:sz w:val="22"/>
        </w:rPr>
        <w:t> </w:t>
      </w:r>
      <w:r>
        <w:rPr>
          <w:b/>
          <w:sz w:val="22"/>
        </w:rPr>
        <w:t>for</w:t>
      </w:r>
      <w:r>
        <w:rPr>
          <w:b/>
          <w:spacing w:val="-7"/>
          <w:sz w:val="22"/>
        </w:rPr>
        <w:t> </w:t>
      </w:r>
      <w:r>
        <w:rPr>
          <w:b/>
          <w:sz w:val="22"/>
        </w:rPr>
        <w:t>transition-aged</w:t>
      </w:r>
      <w:r>
        <w:rPr>
          <w:b/>
          <w:spacing w:val="-10"/>
          <w:sz w:val="22"/>
        </w:rPr>
        <w:t> </w:t>
      </w:r>
      <w:r>
        <w:rPr>
          <w:b/>
          <w:sz w:val="22"/>
        </w:rPr>
        <w:t>youth</w:t>
      </w:r>
      <w:r>
        <w:rPr>
          <w:b/>
          <w:spacing w:val="-8"/>
          <w:sz w:val="22"/>
        </w:rPr>
        <w:t> </w:t>
      </w:r>
      <w:r>
        <w:rPr>
          <w:b/>
          <w:sz w:val="22"/>
        </w:rPr>
        <w:t>attempting</w:t>
      </w:r>
      <w:r>
        <w:rPr>
          <w:b/>
          <w:spacing w:val="-8"/>
          <w:sz w:val="22"/>
        </w:rPr>
        <w:t> </w:t>
      </w:r>
      <w:r>
        <w:rPr>
          <w:b/>
          <w:sz w:val="22"/>
        </w:rPr>
        <w:t>to</w:t>
      </w:r>
      <w:r>
        <w:rPr>
          <w:b/>
          <w:spacing w:val="-9"/>
          <w:sz w:val="22"/>
        </w:rPr>
        <w:t> </w:t>
      </w:r>
      <w:r>
        <w:rPr>
          <w:b/>
          <w:sz w:val="22"/>
        </w:rPr>
        <w:t>access services, in partnership with the Department of Mental Health, MassHealth, and the Department of Youth Services.</w:t>
      </w:r>
    </w:p>
    <w:p>
      <w:pPr>
        <w:pStyle w:val="BodyText"/>
        <w:spacing w:line="276" w:lineRule="auto" w:before="240"/>
        <w:ind w:left="483" w:right="341"/>
        <w:jc w:val="both"/>
      </w:pPr>
      <w:r>
        <w:rPr/>
        <w:t>As discussed throughout the Commission’s FY 2024 annual report, multisystem-involved transition-aged youth are often the most marginalized and underserved youth across the Commonwealth. Often, when youth transition between agency systems, such as going from DYS to DCF or vice versa, some youth experience little to no direct handoff to new services. Unfortunately, this means that youth often fall between</w:t>
      </w:r>
      <w:r>
        <w:rPr>
          <w:spacing w:val="-9"/>
        </w:rPr>
        <w:t> </w:t>
      </w:r>
      <w:r>
        <w:rPr/>
        <w:t>systemic</w:t>
      </w:r>
      <w:r>
        <w:rPr>
          <w:spacing w:val="-8"/>
        </w:rPr>
        <w:t> </w:t>
      </w:r>
      <w:r>
        <w:rPr/>
        <w:t>cracks</w:t>
      </w:r>
      <w:r>
        <w:rPr>
          <w:spacing w:val="-8"/>
        </w:rPr>
        <w:t> </w:t>
      </w:r>
      <w:r>
        <w:rPr/>
        <w:t>as</w:t>
      </w:r>
      <w:r>
        <w:rPr>
          <w:spacing w:val="-8"/>
        </w:rPr>
        <w:t> </w:t>
      </w:r>
      <w:r>
        <w:rPr/>
        <w:t>agencies</w:t>
      </w:r>
      <w:r>
        <w:rPr>
          <w:spacing w:val="-8"/>
        </w:rPr>
        <w:t> </w:t>
      </w:r>
      <w:r>
        <w:rPr/>
        <w:t>fail</w:t>
      </w:r>
      <w:r>
        <w:rPr>
          <w:spacing w:val="-8"/>
        </w:rPr>
        <w:t> </w:t>
      </w:r>
      <w:r>
        <w:rPr/>
        <w:t>to</w:t>
      </w:r>
      <w:r>
        <w:rPr>
          <w:spacing w:val="-8"/>
        </w:rPr>
        <w:t> </w:t>
      </w:r>
      <w:r>
        <w:rPr/>
        <w:t>collaborate,</w:t>
      </w:r>
      <w:r>
        <w:rPr>
          <w:spacing w:val="-8"/>
        </w:rPr>
        <w:t> </w:t>
      </w:r>
      <w:r>
        <w:rPr/>
        <w:t>leaving</w:t>
      </w:r>
      <w:r>
        <w:rPr>
          <w:spacing w:val="-9"/>
        </w:rPr>
        <w:t> </w:t>
      </w:r>
      <w:r>
        <w:rPr/>
        <w:t>youth</w:t>
      </w:r>
      <w:r>
        <w:rPr>
          <w:spacing w:val="-9"/>
        </w:rPr>
        <w:t> </w:t>
      </w:r>
      <w:r>
        <w:rPr/>
        <w:t>and</w:t>
      </w:r>
      <w:r>
        <w:rPr>
          <w:spacing w:val="-8"/>
        </w:rPr>
        <w:t> </w:t>
      </w:r>
      <w:r>
        <w:rPr/>
        <w:t>their</w:t>
      </w:r>
      <w:r>
        <w:rPr>
          <w:spacing w:val="-9"/>
        </w:rPr>
        <w:t> </w:t>
      </w:r>
      <w:r>
        <w:rPr/>
        <w:t>families</w:t>
      </w:r>
      <w:r>
        <w:rPr>
          <w:spacing w:val="-8"/>
        </w:rPr>
        <w:t> </w:t>
      </w:r>
      <w:r>
        <w:rPr/>
        <w:t>without</w:t>
      </w:r>
      <w:r>
        <w:rPr>
          <w:spacing w:val="-9"/>
        </w:rPr>
        <w:t> </w:t>
      </w:r>
      <w:r>
        <w:rPr/>
        <w:t>any</w:t>
      </w:r>
      <w:r>
        <w:rPr>
          <w:spacing w:val="-8"/>
        </w:rPr>
        <w:t> </w:t>
      </w:r>
      <w:r>
        <w:rPr/>
        <w:t>clear guidance or direction for assistance.</w:t>
      </w:r>
    </w:p>
    <w:p>
      <w:pPr>
        <w:pStyle w:val="BodyText"/>
        <w:spacing w:line="276" w:lineRule="auto" w:before="239"/>
        <w:ind w:left="483" w:right="341"/>
        <w:jc w:val="both"/>
      </w:pPr>
      <w:r>
        <w:rPr/>
        <w:t>The Commission has even received notice from some DCF social workers that agencies have failed to notify</w:t>
      </w:r>
      <w:r>
        <w:rPr>
          <w:spacing w:val="-13"/>
        </w:rPr>
        <w:t> </w:t>
      </w:r>
      <w:r>
        <w:rPr/>
        <w:t>them</w:t>
      </w:r>
      <w:r>
        <w:rPr>
          <w:spacing w:val="-12"/>
        </w:rPr>
        <w:t> </w:t>
      </w:r>
      <w:r>
        <w:rPr/>
        <w:t>when</w:t>
      </w:r>
      <w:r>
        <w:rPr>
          <w:spacing w:val="-13"/>
        </w:rPr>
        <w:t> </w:t>
      </w:r>
      <w:r>
        <w:rPr/>
        <w:t>their</w:t>
      </w:r>
      <w:r>
        <w:rPr>
          <w:spacing w:val="-12"/>
        </w:rPr>
        <w:t> </w:t>
      </w:r>
      <w:r>
        <w:rPr/>
        <w:t>youth</w:t>
      </w:r>
      <w:r>
        <w:rPr>
          <w:spacing w:val="-13"/>
        </w:rPr>
        <w:t> </w:t>
      </w:r>
      <w:r>
        <w:rPr/>
        <w:t>have</w:t>
      </w:r>
      <w:r>
        <w:rPr>
          <w:spacing w:val="-12"/>
        </w:rPr>
        <w:t> </w:t>
      </w:r>
      <w:r>
        <w:rPr/>
        <w:t>been</w:t>
      </w:r>
      <w:r>
        <w:rPr>
          <w:spacing w:val="-13"/>
        </w:rPr>
        <w:t> </w:t>
      </w:r>
      <w:r>
        <w:rPr/>
        <w:t>transferred</w:t>
      </w:r>
      <w:r>
        <w:rPr>
          <w:spacing w:val="-12"/>
        </w:rPr>
        <w:t> </w:t>
      </w:r>
      <w:r>
        <w:rPr/>
        <w:t>into</w:t>
      </w:r>
      <w:r>
        <w:rPr>
          <w:spacing w:val="-12"/>
        </w:rPr>
        <w:t> </w:t>
      </w:r>
      <w:r>
        <w:rPr/>
        <w:t>DYS</w:t>
      </w:r>
      <w:r>
        <w:rPr>
          <w:spacing w:val="-13"/>
        </w:rPr>
        <w:t> </w:t>
      </w:r>
      <w:r>
        <w:rPr/>
        <w:t>custody.</w:t>
      </w:r>
      <w:r>
        <w:rPr>
          <w:spacing w:val="-12"/>
        </w:rPr>
        <w:t> </w:t>
      </w:r>
      <w:r>
        <w:rPr/>
        <w:t>This</w:t>
      </w:r>
      <w:r>
        <w:rPr>
          <w:spacing w:val="-13"/>
        </w:rPr>
        <w:t> </w:t>
      </w:r>
      <w:r>
        <w:rPr/>
        <w:t>is</w:t>
      </w:r>
      <w:r>
        <w:rPr>
          <w:spacing w:val="-12"/>
        </w:rPr>
        <w:t> </w:t>
      </w:r>
      <w:r>
        <w:rPr/>
        <w:t>particularly</w:t>
      </w:r>
      <w:r>
        <w:rPr>
          <w:spacing w:val="-13"/>
        </w:rPr>
        <w:t> </w:t>
      </w:r>
      <w:r>
        <w:rPr/>
        <w:t>concerning</w:t>
      </w:r>
      <w:r>
        <w:rPr>
          <w:spacing w:val="-12"/>
        </w:rPr>
        <w:t> </w:t>
      </w:r>
      <w:r>
        <w:rPr/>
        <w:t>given that cases being monitored by DCF for abuse and neglect are closed if youth are committed by DYS, and also in cases where DCF has custody and care of the youth, which makes DYS the ‘parent’ of the youth. Once</w:t>
      </w:r>
      <w:r>
        <w:rPr>
          <w:spacing w:val="-13"/>
        </w:rPr>
        <w:t> </w:t>
      </w:r>
      <w:r>
        <w:rPr/>
        <w:t>they</w:t>
      </w:r>
      <w:r>
        <w:rPr>
          <w:spacing w:val="-12"/>
        </w:rPr>
        <w:t> </w:t>
      </w:r>
      <w:r>
        <w:rPr/>
        <w:t>leave</w:t>
      </w:r>
      <w:r>
        <w:rPr>
          <w:spacing w:val="-13"/>
        </w:rPr>
        <w:t> </w:t>
      </w:r>
      <w:r>
        <w:rPr/>
        <w:t>DYS</w:t>
      </w:r>
      <w:r>
        <w:rPr>
          <w:spacing w:val="-12"/>
        </w:rPr>
        <w:t> </w:t>
      </w:r>
      <w:r>
        <w:rPr/>
        <w:t>custody,</w:t>
      </w:r>
      <w:r>
        <w:rPr>
          <w:spacing w:val="-13"/>
        </w:rPr>
        <w:t> </w:t>
      </w:r>
      <w:r>
        <w:rPr/>
        <w:t>the</w:t>
      </w:r>
      <w:r>
        <w:rPr>
          <w:spacing w:val="-12"/>
        </w:rPr>
        <w:t> </w:t>
      </w:r>
      <w:r>
        <w:rPr/>
        <w:t>Commission</w:t>
      </w:r>
      <w:r>
        <w:rPr>
          <w:spacing w:val="-13"/>
        </w:rPr>
        <w:t> </w:t>
      </w:r>
      <w:r>
        <w:rPr/>
        <w:t>understands</w:t>
      </w:r>
      <w:r>
        <w:rPr>
          <w:spacing w:val="-12"/>
        </w:rPr>
        <w:t> </w:t>
      </w:r>
      <w:r>
        <w:rPr/>
        <w:t>that</w:t>
      </w:r>
      <w:r>
        <w:rPr>
          <w:spacing w:val="-12"/>
        </w:rPr>
        <w:t> </w:t>
      </w:r>
      <w:r>
        <w:rPr/>
        <w:t>the</w:t>
      </w:r>
      <w:r>
        <w:rPr>
          <w:spacing w:val="-13"/>
        </w:rPr>
        <w:t> </w:t>
      </w:r>
      <w:r>
        <w:rPr/>
        <w:t>youth</w:t>
      </w:r>
      <w:r>
        <w:rPr>
          <w:spacing w:val="-12"/>
        </w:rPr>
        <w:t> </w:t>
      </w:r>
      <w:r>
        <w:rPr/>
        <w:t>are</w:t>
      </w:r>
      <w:r>
        <w:rPr>
          <w:spacing w:val="-13"/>
        </w:rPr>
        <w:t> </w:t>
      </w:r>
      <w:r>
        <w:rPr/>
        <w:t>often</w:t>
      </w:r>
      <w:r>
        <w:rPr>
          <w:spacing w:val="-12"/>
        </w:rPr>
        <w:t> </w:t>
      </w:r>
      <w:r>
        <w:rPr/>
        <w:t>then</w:t>
      </w:r>
      <w:r>
        <w:rPr>
          <w:spacing w:val="-13"/>
        </w:rPr>
        <w:t> </w:t>
      </w:r>
      <w:r>
        <w:rPr/>
        <w:t>returned</w:t>
      </w:r>
      <w:r>
        <w:rPr>
          <w:spacing w:val="-12"/>
        </w:rPr>
        <w:t> </w:t>
      </w:r>
      <w:r>
        <w:rPr/>
        <w:t>to</w:t>
      </w:r>
      <w:r>
        <w:rPr>
          <w:spacing w:val="-12"/>
        </w:rPr>
        <w:t> </w:t>
      </w:r>
      <w:r>
        <w:rPr/>
        <w:t>their family of origin without any further monitoring by DYS or DCF to assess for safety. The Commission is concerned by this process as it does not believe that DYS is equipped with the tools or structures to investigate for safety, permanency, or wellbeing to reunify and reconcile family systems that have been </w:t>
      </w:r>
      <w:r>
        <w:rPr>
          <w:spacing w:val="-2"/>
        </w:rPr>
        <w:t>disrupted.</w:t>
      </w:r>
    </w:p>
    <w:p>
      <w:pPr>
        <w:pStyle w:val="BodyText"/>
        <w:spacing w:line="276" w:lineRule="auto" w:before="240"/>
        <w:ind w:left="483" w:right="340"/>
        <w:jc w:val="both"/>
      </w:pPr>
      <w:r>
        <w:rPr/>
        <w:t>In FY 2023, DCF shared that the agency has multiple points of interagency collaboration, including: the implementation</w:t>
      </w:r>
      <w:r>
        <w:rPr>
          <w:spacing w:val="-13"/>
        </w:rPr>
        <w:t> </w:t>
      </w:r>
      <w:r>
        <w:rPr/>
        <w:t>of</w:t>
      </w:r>
      <w:r>
        <w:rPr>
          <w:spacing w:val="-12"/>
        </w:rPr>
        <w:t> </w:t>
      </w:r>
      <w:r>
        <w:rPr/>
        <w:t>a</w:t>
      </w:r>
      <w:r>
        <w:rPr>
          <w:spacing w:val="-12"/>
        </w:rPr>
        <w:t> </w:t>
      </w:r>
      <w:r>
        <w:rPr/>
        <w:t>new</w:t>
      </w:r>
      <w:r>
        <w:rPr>
          <w:spacing w:val="-11"/>
        </w:rPr>
        <w:t> </w:t>
      </w:r>
      <w:r>
        <w:rPr/>
        <w:t>complex</w:t>
      </w:r>
      <w:r>
        <w:rPr>
          <w:spacing w:val="-12"/>
        </w:rPr>
        <w:t> </w:t>
      </w:r>
      <w:r>
        <w:rPr/>
        <w:t>case</w:t>
      </w:r>
      <w:r>
        <w:rPr>
          <w:spacing w:val="-13"/>
        </w:rPr>
        <w:t> </w:t>
      </w:r>
      <w:r>
        <w:rPr/>
        <w:t>resolution</w:t>
      </w:r>
      <w:r>
        <w:rPr>
          <w:spacing w:val="-12"/>
        </w:rPr>
        <w:t> </w:t>
      </w:r>
      <w:r>
        <w:rPr/>
        <w:t>process</w:t>
      </w:r>
      <w:r>
        <w:rPr>
          <w:spacing w:val="-12"/>
        </w:rPr>
        <w:t> </w:t>
      </w:r>
      <w:r>
        <w:rPr/>
        <w:t>being</w:t>
      </w:r>
      <w:r>
        <w:rPr>
          <w:spacing w:val="-13"/>
        </w:rPr>
        <w:t> </w:t>
      </w:r>
      <w:r>
        <w:rPr/>
        <w:t>developed</w:t>
      </w:r>
      <w:r>
        <w:rPr>
          <w:spacing w:val="-12"/>
        </w:rPr>
        <w:t> </w:t>
      </w:r>
      <w:r>
        <w:rPr/>
        <w:t>by</w:t>
      </w:r>
      <w:r>
        <w:rPr>
          <w:spacing w:val="-12"/>
        </w:rPr>
        <w:t> </w:t>
      </w:r>
      <w:r>
        <w:rPr/>
        <w:t>EOHHS;</w:t>
      </w:r>
      <w:r>
        <w:rPr>
          <w:spacing w:val="-11"/>
        </w:rPr>
        <w:t> </w:t>
      </w:r>
      <w:r>
        <w:rPr/>
        <w:t>transition</w:t>
      </w:r>
      <w:r>
        <w:rPr>
          <w:spacing w:val="-13"/>
        </w:rPr>
        <w:t> </w:t>
      </w:r>
      <w:r>
        <w:rPr/>
        <w:t>planning and the 688 process as required by law to support youth with disabilities; an internal Mental Health Specialist Unit collaboration process with DMH; interagency meetings with youth-serving agencies; and an MOU with DYS for dual-involved youth being detained pretrial. Additionally, if a Care and Protection Petition (C&amp;P) or Child Requiring Assistance (CRA) petition is dismissed in court, and a minor is released from</w:t>
      </w:r>
      <w:r>
        <w:rPr>
          <w:spacing w:val="-13"/>
        </w:rPr>
        <w:t> </w:t>
      </w:r>
      <w:r>
        <w:rPr/>
        <w:t>DYS</w:t>
      </w:r>
      <w:r>
        <w:rPr>
          <w:spacing w:val="-11"/>
        </w:rPr>
        <w:t> </w:t>
      </w:r>
      <w:r>
        <w:rPr/>
        <w:t>custody,</w:t>
      </w:r>
      <w:r>
        <w:rPr>
          <w:spacing w:val="-12"/>
        </w:rPr>
        <w:t> </w:t>
      </w:r>
      <w:r>
        <w:rPr/>
        <w:t>a</w:t>
      </w:r>
      <w:r>
        <w:rPr>
          <w:spacing w:val="-12"/>
        </w:rPr>
        <w:t> </w:t>
      </w:r>
      <w:r>
        <w:rPr/>
        <w:t>new</w:t>
      </w:r>
      <w:r>
        <w:rPr>
          <w:spacing w:val="-11"/>
        </w:rPr>
        <w:t> </w:t>
      </w:r>
      <w:r>
        <w:rPr/>
        <w:t>51A</w:t>
      </w:r>
      <w:r>
        <w:rPr>
          <w:spacing w:val="-13"/>
        </w:rPr>
        <w:t> </w:t>
      </w:r>
      <w:r>
        <w:rPr/>
        <w:t>would</w:t>
      </w:r>
      <w:r>
        <w:rPr>
          <w:spacing w:val="-11"/>
        </w:rPr>
        <w:t> </w:t>
      </w:r>
      <w:r>
        <w:rPr/>
        <w:t>need</w:t>
      </w:r>
      <w:r>
        <w:rPr>
          <w:spacing w:val="-12"/>
        </w:rPr>
        <w:t> </w:t>
      </w:r>
      <w:r>
        <w:rPr/>
        <w:t>to</w:t>
      </w:r>
      <w:r>
        <w:rPr>
          <w:spacing w:val="-12"/>
        </w:rPr>
        <w:t> </w:t>
      </w:r>
      <w:r>
        <w:rPr/>
        <w:t>be</w:t>
      </w:r>
      <w:r>
        <w:rPr>
          <w:spacing w:val="-13"/>
        </w:rPr>
        <w:t> </w:t>
      </w:r>
      <w:r>
        <w:rPr/>
        <w:t>filed</w:t>
      </w:r>
      <w:r>
        <w:rPr>
          <w:spacing w:val="-12"/>
        </w:rPr>
        <w:t> </w:t>
      </w:r>
      <w:r>
        <w:rPr/>
        <w:t>for</w:t>
      </w:r>
      <w:r>
        <w:rPr>
          <w:spacing w:val="-12"/>
        </w:rPr>
        <w:t> </w:t>
      </w:r>
      <w:r>
        <w:rPr/>
        <w:t>DCF</w:t>
      </w:r>
      <w:r>
        <w:rPr>
          <w:spacing w:val="-13"/>
        </w:rPr>
        <w:t> </w:t>
      </w:r>
      <w:r>
        <w:rPr/>
        <w:t>to</w:t>
      </w:r>
      <w:r>
        <w:rPr>
          <w:spacing w:val="-10"/>
        </w:rPr>
        <w:t> </w:t>
      </w:r>
      <w:r>
        <w:rPr/>
        <w:t>become</w:t>
      </w:r>
      <w:r>
        <w:rPr>
          <w:spacing w:val="-13"/>
        </w:rPr>
        <w:t> </w:t>
      </w:r>
      <w:r>
        <w:rPr/>
        <w:t>involved</w:t>
      </w:r>
      <w:r>
        <w:rPr>
          <w:spacing w:val="-11"/>
        </w:rPr>
        <w:t> </w:t>
      </w:r>
      <w:r>
        <w:rPr/>
        <w:t>once</w:t>
      </w:r>
      <w:r>
        <w:rPr>
          <w:spacing w:val="-11"/>
        </w:rPr>
        <w:t> </w:t>
      </w:r>
      <w:r>
        <w:rPr/>
        <w:t>more.</w:t>
      </w:r>
      <w:r>
        <w:rPr>
          <w:spacing w:val="-13"/>
        </w:rPr>
        <w:t> </w:t>
      </w:r>
      <w:r>
        <w:rPr/>
        <w:t>Alternatively, if a youth over 18 is released from DYS, and there was not a dismissed C&amp;P or CRA, then youth may be able to sign back in with DCF depending on federal eligibility.</w:t>
      </w:r>
    </w:p>
    <w:p>
      <w:pPr>
        <w:pStyle w:val="BodyText"/>
        <w:spacing w:line="276" w:lineRule="auto" w:before="240"/>
        <w:ind w:left="483" w:right="344"/>
        <w:jc w:val="both"/>
      </w:pPr>
      <w:r>
        <w:rPr/>
        <w:t>The</w:t>
      </w:r>
      <w:r>
        <w:rPr>
          <w:spacing w:val="-8"/>
        </w:rPr>
        <w:t> </w:t>
      </w:r>
      <w:r>
        <w:rPr/>
        <w:t>Commission</w:t>
      </w:r>
      <w:r>
        <w:rPr>
          <w:spacing w:val="-8"/>
        </w:rPr>
        <w:t> </w:t>
      </w:r>
      <w:r>
        <w:rPr/>
        <w:t>furthers</w:t>
      </w:r>
      <w:r>
        <w:rPr>
          <w:spacing w:val="-7"/>
        </w:rPr>
        <w:t> </w:t>
      </w:r>
      <w:r>
        <w:rPr/>
        <w:t>its</w:t>
      </w:r>
      <w:r>
        <w:rPr>
          <w:spacing w:val="-7"/>
        </w:rPr>
        <w:t> </w:t>
      </w:r>
      <w:r>
        <w:rPr/>
        <w:t>recommendation</w:t>
      </w:r>
      <w:r>
        <w:rPr>
          <w:spacing w:val="-8"/>
        </w:rPr>
        <w:t> </w:t>
      </w:r>
      <w:r>
        <w:rPr/>
        <w:t>to</w:t>
      </w:r>
      <w:r>
        <w:rPr>
          <w:spacing w:val="-7"/>
        </w:rPr>
        <w:t> </w:t>
      </w:r>
      <w:r>
        <w:rPr/>
        <w:t>highlight</w:t>
      </w:r>
      <w:r>
        <w:rPr>
          <w:spacing w:val="-7"/>
        </w:rPr>
        <w:t> </w:t>
      </w:r>
      <w:r>
        <w:rPr/>
        <w:t>the</w:t>
      </w:r>
      <w:r>
        <w:rPr>
          <w:spacing w:val="-6"/>
        </w:rPr>
        <w:t> </w:t>
      </w:r>
      <w:r>
        <w:rPr/>
        <w:t>critical</w:t>
      </w:r>
      <w:r>
        <w:rPr>
          <w:spacing w:val="-8"/>
        </w:rPr>
        <w:t> </w:t>
      </w:r>
      <w:r>
        <w:rPr/>
        <w:t>need</w:t>
      </w:r>
      <w:r>
        <w:rPr>
          <w:spacing w:val="-7"/>
        </w:rPr>
        <w:t> </w:t>
      </w:r>
      <w:r>
        <w:rPr/>
        <w:t>for</w:t>
      </w:r>
      <w:r>
        <w:rPr>
          <w:spacing w:val="-7"/>
        </w:rPr>
        <w:t> </w:t>
      </w:r>
      <w:r>
        <w:rPr/>
        <w:t>agencies,</w:t>
      </w:r>
      <w:r>
        <w:rPr>
          <w:spacing w:val="-7"/>
        </w:rPr>
        <w:t> </w:t>
      </w:r>
      <w:r>
        <w:rPr/>
        <w:t>including</w:t>
      </w:r>
      <w:r>
        <w:rPr>
          <w:spacing w:val="-8"/>
        </w:rPr>
        <w:t> </w:t>
      </w:r>
      <w:r>
        <w:rPr/>
        <w:t>DCF,</w:t>
      </w:r>
      <w:r>
        <w:rPr>
          <w:spacing w:val="-7"/>
        </w:rPr>
        <w:t> </w:t>
      </w:r>
      <w:r>
        <w:rPr/>
        <w:t>to create</w:t>
      </w:r>
      <w:r>
        <w:rPr>
          <w:spacing w:val="-2"/>
        </w:rPr>
        <w:t> </w:t>
      </w:r>
      <w:r>
        <w:rPr/>
        <w:t>clear</w:t>
      </w:r>
      <w:r>
        <w:rPr>
          <w:spacing w:val="-1"/>
        </w:rPr>
        <w:t> </w:t>
      </w:r>
      <w:r>
        <w:rPr/>
        <w:t>implementation</w:t>
      </w:r>
      <w:r>
        <w:rPr>
          <w:spacing w:val="-3"/>
        </w:rPr>
        <w:t> </w:t>
      </w:r>
      <w:r>
        <w:rPr/>
        <w:t>and</w:t>
      </w:r>
      <w:r>
        <w:rPr>
          <w:spacing w:val="-2"/>
        </w:rPr>
        <w:t> </w:t>
      </w:r>
      <w:r>
        <w:rPr/>
        <w:t>process</w:t>
      </w:r>
      <w:r>
        <w:rPr>
          <w:spacing w:val="-2"/>
        </w:rPr>
        <w:t> </w:t>
      </w:r>
      <w:r>
        <w:rPr/>
        <w:t>resources</w:t>
      </w:r>
      <w:r>
        <w:rPr>
          <w:spacing w:val="-2"/>
        </w:rPr>
        <w:t> </w:t>
      </w:r>
      <w:r>
        <w:rPr/>
        <w:t>that</w:t>
      </w:r>
      <w:r>
        <w:rPr>
          <w:spacing w:val="-3"/>
        </w:rPr>
        <w:t> </w:t>
      </w:r>
      <w:r>
        <w:rPr/>
        <w:t>are</w:t>
      </w:r>
      <w:r>
        <w:rPr>
          <w:spacing w:val="-3"/>
        </w:rPr>
        <w:t> </w:t>
      </w:r>
      <w:r>
        <w:rPr/>
        <w:t>accessible</w:t>
      </w:r>
      <w:r>
        <w:rPr>
          <w:spacing w:val="-3"/>
        </w:rPr>
        <w:t> </w:t>
      </w:r>
      <w:r>
        <w:rPr/>
        <w:t>to</w:t>
      </w:r>
      <w:r>
        <w:rPr>
          <w:spacing w:val="-2"/>
        </w:rPr>
        <w:t> </w:t>
      </w:r>
      <w:r>
        <w:rPr/>
        <w:t>staff</w:t>
      </w:r>
      <w:r>
        <w:rPr>
          <w:spacing w:val="-1"/>
        </w:rPr>
        <w:t> </w:t>
      </w:r>
      <w:r>
        <w:rPr/>
        <w:t>who</w:t>
      </w:r>
      <w:r>
        <w:rPr>
          <w:spacing w:val="-2"/>
        </w:rPr>
        <w:t> </w:t>
      </w:r>
      <w:r>
        <w:rPr/>
        <w:t>often</w:t>
      </w:r>
      <w:r>
        <w:rPr>
          <w:spacing w:val="-2"/>
        </w:rPr>
        <w:t> </w:t>
      </w:r>
      <w:r>
        <w:rPr/>
        <w:t>misunderstand</w:t>
      </w:r>
    </w:p>
    <w:p>
      <w:pPr>
        <w:pStyle w:val="BodyText"/>
        <w:spacing w:line="268" w:lineRule="exact"/>
        <w:ind w:left="483"/>
        <w:jc w:val="both"/>
      </w:pPr>
      <w:r>
        <w:rPr/>
        <w:t>-</w:t>
      </w:r>
      <w:r>
        <w:rPr>
          <w:spacing w:val="-7"/>
        </w:rPr>
        <w:t> </w:t>
      </w:r>
      <w:r>
        <w:rPr/>
        <w:t>or</w:t>
      </w:r>
      <w:r>
        <w:rPr>
          <w:spacing w:val="-6"/>
        </w:rPr>
        <w:t> </w:t>
      </w:r>
      <w:r>
        <w:rPr/>
        <w:t>are</w:t>
      </w:r>
      <w:r>
        <w:rPr>
          <w:spacing w:val="-6"/>
        </w:rPr>
        <w:t> </w:t>
      </w:r>
      <w:r>
        <w:rPr/>
        <w:t>simply</w:t>
      </w:r>
      <w:r>
        <w:rPr>
          <w:spacing w:val="-7"/>
        </w:rPr>
        <w:t> </w:t>
      </w:r>
      <w:r>
        <w:rPr/>
        <w:t>unaware</w:t>
      </w:r>
      <w:r>
        <w:rPr>
          <w:spacing w:val="-6"/>
        </w:rPr>
        <w:t> </w:t>
      </w:r>
      <w:r>
        <w:rPr/>
        <w:t>-</w:t>
      </w:r>
      <w:r>
        <w:rPr>
          <w:spacing w:val="-5"/>
        </w:rPr>
        <w:t> </w:t>
      </w:r>
      <w:r>
        <w:rPr/>
        <w:t>of</w:t>
      </w:r>
      <w:r>
        <w:rPr>
          <w:spacing w:val="-6"/>
        </w:rPr>
        <w:t> </w:t>
      </w:r>
      <w:r>
        <w:rPr/>
        <w:t>the</w:t>
      </w:r>
      <w:r>
        <w:rPr>
          <w:spacing w:val="-6"/>
        </w:rPr>
        <w:t> </w:t>
      </w:r>
      <w:r>
        <w:rPr/>
        <w:t>duties,</w:t>
      </w:r>
      <w:r>
        <w:rPr>
          <w:spacing w:val="-6"/>
        </w:rPr>
        <w:t> </w:t>
      </w:r>
      <w:r>
        <w:rPr/>
        <w:t>resources,</w:t>
      </w:r>
      <w:r>
        <w:rPr>
          <w:spacing w:val="-6"/>
        </w:rPr>
        <w:t> </w:t>
      </w:r>
      <w:r>
        <w:rPr/>
        <w:t>and</w:t>
      </w:r>
      <w:r>
        <w:rPr>
          <w:spacing w:val="-7"/>
        </w:rPr>
        <w:t> </w:t>
      </w:r>
      <w:r>
        <w:rPr/>
        <w:t>programs</w:t>
      </w:r>
      <w:r>
        <w:rPr>
          <w:spacing w:val="-6"/>
        </w:rPr>
        <w:t> </w:t>
      </w:r>
      <w:r>
        <w:rPr/>
        <w:t>of</w:t>
      </w:r>
      <w:r>
        <w:rPr>
          <w:spacing w:val="-6"/>
        </w:rPr>
        <w:t> </w:t>
      </w:r>
      <w:r>
        <w:rPr/>
        <w:t>all</w:t>
      </w:r>
      <w:r>
        <w:rPr>
          <w:spacing w:val="-6"/>
        </w:rPr>
        <w:t> </w:t>
      </w:r>
      <w:r>
        <w:rPr/>
        <w:t>child-serving</w:t>
      </w:r>
      <w:r>
        <w:rPr>
          <w:spacing w:val="-7"/>
        </w:rPr>
        <w:t> </w:t>
      </w:r>
      <w:r>
        <w:rPr>
          <w:spacing w:val="-2"/>
        </w:rPr>
        <w:t>agencies.</w:t>
      </w:r>
    </w:p>
    <w:p>
      <w:pPr>
        <w:spacing w:after="0" w:line="268" w:lineRule="exact"/>
        <w:jc w:val="both"/>
        <w:sectPr>
          <w:pgSz w:w="12240" w:h="15840"/>
          <w:pgMar w:header="804" w:footer="1263" w:top="1000" w:bottom="1460" w:left="960" w:right="1100"/>
        </w:sectPr>
      </w:pPr>
    </w:p>
    <w:p>
      <w:pPr>
        <w:numPr>
          <w:ilvl w:val="0"/>
          <w:numId w:val="36"/>
        </w:numPr>
        <w:tabs>
          <w:tab w:pos="481" w:val="left" w:leader="none"/>
          <w:tab w:pos="483" w:val="left" w:leader="none"/>
        </w:tabs>
        <w:spacing w:line="276" w:lineRule="auto" w:before="139"/>
        <w:ind w:left="483" w:right="346" w:hanging="360"/>
        <w:jc w:val="left"/>
        <w:rPr>
          <w:b/>
          <w:sz w:val="22"/>
        </w:rPr>
      </w:pPr>
      <w:r>
        <w:rPr>
          <w:b/>
          <w:sz w:val="22"/>
        </w:rPr>
        <w:t>Improve</w:t>
      </w:r>
      <w:r>
        <w:rPr>
          <w:b/>
          <w:spacing w:val="24"/>
          <w:sz w:val="22"/>
        </w:rPr>
        <w:t> </w:t>
      </w:r>
      <w:r>
        <w:rPr>
          <w:b/>
          <w:sz w:val="22"/>
        </w:rPr>
        <w:t>family</w:t>
      </w:r>
      <w:r>
        <w:rPr>
          <w:b/>
          <w:spacing w:val="23"/>
          <w:sz w:val="22"/>
        </w:rPr>
        <w:t> </w:t>
      </w:r>
      <w:r>
        <w:rPr>
          <w:b/>
          <w:sz w:val="22"/>
        </w:rPr>
        <w:t>preservation</w:t>
      </w:r>
      <w:r>
        <w:rPr>
          <w:b/>
          <w:spacing w:val="24"/>
          <w:sz w:val="22"/>
        </w:rPr>
        <w:t> </w:t>
      </w:r>
      <w:r>
        <w:rPr>
          <w:b/>
          <w:sz w:val="22"/>
        </w:rPr>
        <w:t>services</w:t>
      </w:r>
      <w:r>
        <w:rPr>
          <w:b/>
          <w:spacing w:val="24"/>
          <w:sz w:val="22"/>
        </w:rPr>
        <w:t> </w:t>
      </w:r>
      <w:r>
        <w:rPr>
          <w:b/>
          <w:sz w:val="22"/>
        </w:rPr>
        <w:t>to</w:t>
      </w:r>
      <w:r>
        <w:rPr>
          <w:b/>
          <w:spacing w:val="22"/>
          <w:sz w:val="22"/>
        </w:rPr>
        <w:t> </w:t>
      </w:r>
      <w:r>
        <w:rPr>
          <w:b/>
          <w:sz w:val="22"/>
        </w:rPr>
        <w:t>safely</w:t>
      </w:r>
      <w:r>
        <w:rPr>
          <w:b/>
          <w:spacing w:val="24"/>
          <w:sz w:val="22"/>
        </w:rPr>
        <w:t> </w:t>
      </w:r>
      <w:r>
        <w:rPr>
          <w:b/>
          <w:sz w:val="22"/>
        </w:rPr>
        <w:t>monitor</w:t>
      </w:r>
      <w:r>
        <w:rPr>
          <w:b/>
          <w:spacing w:val="25"/>
          <w:sz w:val="22"/>
        </w:rPr>
        <w:t> </w:t>
      </w:r>
      <w:r>
        <w:rPr>
          <w:b/>
          <w:sz w:val="22"/>
        </w:rPr>
        <w:t>and</w:t>
      </w:r>
      <w:r>
        <w:rPr>
          <w:b/>
          <w:spacing w:val="24"/>
          <w:sz w:val="22"/>
        </w:rPr>
        <w:t> </w:t>
      </w:r>
      <w:r>
        <w:rPr>
          <w:b/>
          <w:sz w:val="22"/>
        </w:rPr>
        <w:t>mitigate</w:t>
      </w:r>
      <w:r>
        <w:rPr>
          <w:b/>
          <w:spacing w:val="24"/>
          <w:sz w:val="22"/>
        </w:rPr>
        <w:t> </w:t>
      </w:r>
      <w:r>
        <w:rPr>
          <w:b/>
          <w:sz w:val="22"/>
        </w:rPr>
        <w:t>concerns</w:t>
      </w:r>
      <w:r>
        <w:rPr>
          <w:b/>
          <w:spacing w:val="23"/>
          <w:sz w:val="22"/>
        </w:rPr>
        <w:t> </w:t>
      </w:r>
      <w:r>
        <w:rPr>
          <w:b/>
          <w:sz w:val="22"/>
        </w:rPr>
        <w:t>that</w:t>
      </w:r>
      <w:r>
        <w:rPr>
          <w:b/>
          <w:spacing w:val="23"/>
          <w:sz w:val="22"/>
        </w:rPr>
        <w:t> </w:t>
      </w:r>
      <w:r>
        <w:rPr>
          <w:b/>
          <w:sz w:val="22"/>
        </w:rPr>
        <w:t>may</w:t>
      </w:r>
      <w:r>
        <w:rPr>
          <w:b/>
          <w:spacing w:val="24"/>
          <w:sz w:val="22"/>
        </w:rPr>
        <w:t> </w:t>
      </w:r>
      <w:r>
        <w:rPr>
          <w:b/>
          <w:sz w:val="22"/>
        </w:rPr>
        <w:t>lead</w:t>
      </w:r>
      <w:r>
        <w:rPr>
          <w:b/>
          <w:spacing w:val="24"/>
          <w:sz w:val="22"/>
        </w:rPr>
        <w:t> </w:t>
      </w:r>
      <w:r>
        <w:rPr>
          <w:b/>
          <w:sz w:val="22"/>
        </w:rPr>
        <w:t>to</w:t>
      </w:r>
      <w:r>
        <w:rPr>
          <w:b/>
          <w:spacing w:val="23"/>
          <w:sz w:val="22"/>
        </w:rPr>
        <w:t> </w:t>
      </w:r>
      <w:r>
        <w:rPr>
          <w:b/>
          <w:sz w:val="22"/>
        </w:rPr>
        <w:t>the removal of a child, with consideration to ensuring de facto parent preservation.</w:t>
      </w:r>
    </w:p>
    <w:p>
      <w:pPr>
        <w:pStyle w:val="BodyText"/>
        <w:spacing w:line="276" w:lineRule="auto" w:before="239"/>
        <w:ind w:left="483" w:right="339"/>
        <w:jc w:val="both"/>
      </w:pPr>
      <w:r>
        <w:rPr/>
        <w:t>As it continues to work with DCF to improve services and programs engaging LGBTQ youth in the child welfare system, the Commission recommends that DCF work to improve its family preservation services to better monitor and address concerns that may lead to the removal of a child. The Commission makes this recommendation with particular attention to mitigating the disparate experiences that many BIPOC families</w:t>
      </w:r>
      <w:r>
        <w:rPr>
          <w:spacing w:val="-10"/>
        </w:rPr>
        <w:t> </w:t>
      </w:r>
      <w:r>
        <w:rPr/>
        <w:t>have</w:t>
      </w:r>
      <w:r>
        <w:rPr>
          <w:spacing w:val="-9"/>
        </w:rPr>
        <w:t> </w:t>
      </w:r>
      <w:r>
        <w:rPr/>
        <w:t>that</w:t>
      </w:r>
      <w:r>
        <w:rPr>
          <w:spacing w:val="-9"/>
        </w:rPr>
        <w:t> </w:t>
      </w:r>
      <w:r>
        <w:rPr/>
        <w:t>might</w:t>
      </w:r>
      <w:r>
        <w:rPr>
          <w:spacing w:val="-11"/>
        </w:rPr>
        <w:t> </w:t>
      </w:r>
      <w:r>
        <w:rPr/>
        <w:t>lead</w:t>
      </w:r>
      <w:r>
        <w:rPr>
          <w:spacing w:val="-10"/>
        </w:rPr>
        <w:t> </w:t>
      </w:r>
      <w:r>
        <w:rPr/>
        <w:t>to</w:t>
      </w:r>
      <w:r>
        <w:rPr>
          <w:spacing w:val="-10"/>
        </w:rPr>
        <w:t> </w:t>
      </w:r>
      <w:r>
        <w:rPr/>
        <w:t>DCF</w:t>
      </w:r>
      <w:r>
        <w:rPr>
          <w:spacing w:val="-10"/>
        </w:rPr>
        <w:t> </w:t>
      </w:r>
      <w:r>
        <w:rPr/>
        <w:t>investigations.</w:t>
      </w:r>
      <w:r>
        <w:rPr>
          <w:spacing w:val="-9"/>
        </w:rPr>
        <w:t> </w:t>
      </w:r>
      <w:r>
        <w:rPr/>
        <w:t>It</w:t>
      </w:r>
      <w:r>
        <w:rPr>
          <w:spacing w:val="-9"/>
        </w:rPr>
        <w:t> </w:t>
      </w:r>
      <w:r>
        <w:rPr/>
        <w:t>is</w:t>
      </w:r>
      <w:r>
        <w:rPr>
          <w:spacing w:val="-10"/>
        </w:rPr>
        <w:t> </w:t>
      </w:r>
      <w:r>
        <w:rPr/>
        <w:t>the</w:t>
      </w:r>
      <w:r>
        <w:rPr>
          <w:spacing w:val="-10"/>
        </w:rPr>
        <w:t> </w:t>
      </w:r>
      <w:r>
        <w:rPr/>
        <w:t>Commission’s</w:t>
      </w:r>
      <w:r>
        <w:rPr>
          <w:spacing w:val="-10"/>
        </w:rPr>
        <w:t> </w:t>
      </w:r>
      <w:r>
        <w:rPr/>
        <w:t>understanding</w:t>
      </w:r>
      <w:r>
        <w:rPr>
          <w:spacing w:val="-9"/>
        </w:rPr>
        <w:t> </w:t>
      </w:r>
      <w:r>
        <w:rPr/>
        <w:t>that</w:t>
      </w:r>
      <w:r>
        <w:rPr>
          <w:spacing w:val="-9"/>
        </w:rPr>
        <w:t> </w:t>
      </w:r>
      <w:r>
        <w:rPr/>
        <w:t>much</w:t>
      </w:r>
      <w:r>
        <w:rPr>
          <w:spacing w:val="-10"/>
        </w:rPr>
        <w:t> </w:t>
      </w:r>
      <w:r>
        <w:rPr/>
        <w:t>of</w:t>
      </w:r>
      <w:r>
        <w:rPr>
          <w:spacing w:val="-10"/>
        </w:rPr>
        <w:t> </w:t>
      </w:r>
      <w:r>
        <w:rPr/>
        <w:t>the existing services DCF provides to support family preservation are housed within the agency’s contracts with</w:t>
      </w:r>
      <w:r>
        <w:rPr>
          <w:spacing w:val="-6"/>
        </w:rPr>
        <w:t> </w:t>
      </w:r>
      <w:r>
        <w:rPr/>
        <w:t>family</w:t>
      </w:r>
      <w:r>
        <w:rPr>
          <w:spacing w:val="-5"/>
        </w:rPr>
        <w:t> </w:t>
      </w:r>
      <w:r>
        <w:rPr/>
        <w:t>resource</w:t>
      </w:r>
      <w:r>
        <w:rPr>
          <w:spacing w:val="-5"/>
        </w:rPr>
        <w:t> </w:t>
      </w:r>
      <w:r>
        <w:rPr/>
        <w:t>centers,</w:t>
      </w:r>
      <w:r>
        <w:rPr>
          <w:spacing w:val="-6"/>
        </w:rPr>
        <w:t> </w:t>
      </w:r>
      <w:r>
        <w:rPr/>
        <w:t>area</w:t>
      </w:r>
      <w:r>
        <w:rPr>
          <w:spacing w:val="-6"/>
        </w:rPr>
        <w:t> </w:t>
      </w:r>
      <w:r>
        <w:rPr/>
        <w:t>resource</w:t>
      </w:r>
      <w:r>
        <w:rPr>
          <w:spacing w:val="-5"/>
        </w:rPr>
        <w:t> </w:t>
      </w:r>
      <w:r>
        <w:rPr/>
        <w:t>coordinators,</w:t>
      </w:r>
      <w:r>
        <w:rPr>
          <w:spacing w:val="-6"/>
        </w:rPr>
        <w:t> </w:t>
      </w:r>
      <w:r>
        <w:rPr/>
        <w:t>and</w:t>
      </w:r>
      <w:r>
        <w:rPr>
          <w:spacing w:val="-7"/>
        </w:rPr>
        <w:t> </w:t>
      </w:r>
      <w:r>
        <w:rPr/>
        <w:t>its</w:t>
      </w:r>
      <w:r>
        <w:rPr>
          <w:spacing w:val="-6"/>
        </w:rPr>
        <w:t> </w:t>
      </w:r>
      <w:r>
        <w:rPr/>
        <w:t>own</w:t>
      </w:r>
      <w:r>
        <w:rPr>
          <w:spacing w:val="-7"/>
        </w:rPr>
        <w:t> </w:t>
      </w:r>
      <w:r>
        <w:rPr/>
        <w:t>single</w:t>
      </w:r>
      <w:r>
        <w:rPr>
          <w:spacing w:val="-7"/>
        </w:rPr>
        <w:t> </w:t>
      </w:r>
      <w:r>
        <w:rPr/>
        <w:t>family</w:t>
      </w:r>
      <w:r>
        <w:rPr>
          <w:spacing w:val="-6"/>
        </w:rPr>
        <w:t> </w:t>
      </w:r>
      <w:r>
        <w:rPr/>
        <w:t>preservation</w:t>
      </w:r>
      <w:r>
        <w:rPr>
          <w:spacing w:val="-7"/>
        </w:rPr>
        <w:t> </w:t>
      </w:r>
      <w:r>
        <w:rPr/>
        <w:t>unit.</w:t>
      </w:r>
      <w:r>
        <w:rPr>
          <w:spacing w:val="-6"/>
        </w:rPr>
        <w:t> </w:t>
      </w:r>
      <w:r>
        <w:rPr/>
        <w:t>The Commission</w:t>
      </w:r>
      <w:r>
        <w:rPr>
          <w:spacing w:val="-13"/>
        </w:rPr>
        <w:t> </w:t>
      </w:r>
      <w:r>
        <w:rPr/>
        <w:t>further</w:t>
      </w:r>
      <w:r>
        <w:rPr>
          <w:spacing w:val="-12"/>
        </w:rPr>
        <w:t> </w:t>
      </w:r>
      <w:r>
        <w:rPr/>
        <w:t>recommends</w:t>
      </w:r>
      <w:r>
        <w:rPr>
          <w:spacing w:val="-13"/>
        </w:rPr>
        <w:t> </w:t>
      </w:r>
      <w:r>
        <w:rPr/>
        <w:t>that</w:t>
      </w:r>
      <w:r>
        <w:rPr>
          <w:spacing w:val="-12"/>
        </w:rPr>
        <w:t> </w:t>
      </w:r>
      <w:r>
        <w:rPr/>
        <w:t>DCF</w:t>
      </w:r>
      <w:r>
        <w:rPr>
          <w:spacing w:val="-13"/>
        </w:rPr>
        <w:t> </w:t>
      </w:r>
      <w:r>
        <w:rPr/>
        <w:t>more</w:t>
      </w:r>
      <w:r>
        <w:rPr>
          <w:spacing w:val="-12"/>
        </w:rPr>
        <w:t> </w:t>
      </w:r>
      <w:r>
        <w:rPr/>
        <w:t>transparently</w:t>
      </w:r>
      <w:r>
        <w:rPr>
          <w:spacing w:val="-13"/>
        </w:rPr>
        <w:t> </w:t>
      </w:r>
      <w:r>
        <w:rPr/>
        <w:t>indicate</w:t>
      </w:r>
      <w:r>
        <w:rPr>
          <w:spacing w:val="-12"/>
        </w:rPr>
        <w:t> </w:t>
      </w:r>
      <w:r>
        <w:rPr/>
        <w:t>the</w:t>
      </w:r>
      <w:r>
        <w:rPr>
          <w:spacing w:val="-12"/>
        </w:rPr>
        <w:t> </w:t>
      </w:r>
      <w:r>
        <w:rPr/>
        <w:t>goals</w:t>
      </w:r>
      <w:r>
        <w:rPr>
          <w:spacing w:val="-13"/>
        </w:rPr>
        <w:t> </w:t>
      </w:r>
      <w:r>
        <w:rPr/>
        <w:t>and</w:t>
      </w:r>
      <w:r>
        <w:rPr>
          <w:spacing w:val="-12"/>
        </w:rPr>
        <w:t> </w:t>
      </w:r>
      <w:r>
        <w:rPr/>
        <w:t>services</w:t>
      </w:r>
      <w:r>
        <w:rPr>
          <w:spacing w:val="-13"/>
        </w:rPr>
        <w:t> </w:t>
      </w:r>
      <w:r>
        <w:rPr/>
        <w:t>of</w:t>
      </w:r>
      <w:r>
        <w:rPr>
          <w:spacing w:val="-12"/>
        </w:rPr>
        <w:t> </w:t>
      </w:r>
      <w:r>
        <w:rPr/>
        <w:t>the</w:t>
      </w:r>
      <w:r>
        <w:rPr>
          <w:spacing w:val="-13"/>
        </w:rPr>
        <w:t> </w:t>
      </w:r>
      <w:r>
        <w:rPr/>
        <w:t>units, and examines the accountability systems that exist within its agency contracts to ensure that its established</w:t>
      </w:r>
      <w:r>
        <w:rPr>
          <w:spacing w:val="-4"/>
        </w:rPr>
        <w:t> </w:t>
      </w:r>
      <w:r>
        <w:rPr/>
        <w:t>partnerships</w:t>
      </w:r>
      <w:r>
        <w:rPr>
          <w:spacing w:val="-5"/>
        </w:rPr>
        <w:t> </w:t>
      </w:r>
      <w:r>
        <w:rPr/>
        <w:t>are</w:t>
      </w:r>
      <w:r>
        <w:rPr>
          <w:spacing w:val="-5"/>
        </w:rPr>
        <w:t> </w:t>
      </w:r>
      <w:r>
        <w:rPr/>
        <w:t>leading</w:t>
      </w:r>
      <w:r>
        <w:rPr>
          <w:spacing w:val="-4"/>
        </w:rPr>
        <w:t> </w:t>
      </w:r>
      <w:r>
        <w:rPr/>
        <w:t>to</w:t>
      </w:r>
      <w:r>
        <w:rPr>
          <w:spacing w:val="-3"/>
        </w:rPr>
        <w:t> </w:t>
      </w:r>
      <w:r>
        <w:rPr/>
        <w:t>increases</w:t>
      </w:r>
      <w:r>
        <w:rPr>
          <w:spacing w:val="-5"/>
        </w:rPr>
        <w:t> </w:t>
      </w:r>
      <w:r>
        <w:rPr/>
        <w:t>in</w:t>
      </w:r>
      <w:r>
        <w:rPr>
          <w:spacing w:val="-5"/>
        </w:rPr>
        <w:t> </w:t>
      </w:r>
      <w:r>
        <w:rPr/>
        <w:t>family</w:t>
      </w:r>
      <w:r>
        <w:rPr>
          <w:spacing w:val="-4"/>
        </w:rPr>
        <w:t> </w:t>
      </w:r>
      <w:r>
        <w:rPr/>
        <w:t>preservation.</w:t>
      </w:r>
      <w:r>
        <w:rPr>
          <w:spacing w:val="-4"/>
        </w:rPr>
        <w:t> </w:t>
      </w:r>
      <w:r>
        <w:rPr/>
        <w:t>Additionally,</w:t>
      </w:r>
      <w:r>
        <w:rPr>
          <w:spacing w:val="-5"/>
        </w:rPr>
        <w:t> </w:t>
      </w:r>
      <w:r>
        <w:rPr/>
        <w:t>DCF</w:t>
      </w:r>
      <w:r>
        <w:rPr>
          <w:spacing w:val="-5"/>
        </w:rPr>
        <w:t> </w:t>
      </w:r>
      <w:r>
        <w:rPr/>
        <w:t>should</w:t>
      </w:r>
      <w:r>
        <w:rPr>
          <w:spacing w:val="-4"/>
        </w:rPr>
        <w:t> </w:t>
      </w:r>
      <w:r>
        <w:rPr/>
        <w:t>explore and transparently report on its own commitment to ensuring family preservation through better consideration of LGBTQ families and de facto parentage.</w:t>
      </w:r>
    </w:p>
    <w:p>
      <w:pPr>
        <w:pStyle w:val="BodyText"/>
        <w:spacing w:line="276" w:lineRule="auto" w:before="240"/>
        <w:ind w:left="483" w:right="338"/>
        <w:jc w:val="both"/>
      </w:pPr>
      <w:r>
        <w:rPr/>
        <w:t>Finally,</w:t>
      </w:r>
      <w:r>
        <w:rPr>
          <w:spacing w:val="-6"/>
        </w:rPr>
        <w:t> </w:t>
      </w:r>
      <w:r>
        <w:rPr/>
        <w:t>the</w:t>
      </w:r>
      <w:r>
        <w:rPr>
          <w:spacing w:val="-7"/>
        </w:rPr>
        <w:t> </w:t>
      </w:r>
      <w:r>
        <w:rPr/>
        <w:t>Commission</w:t>
      </w:r>
      <w:r>
        <w:rPr>
          <w:spacing w:val="-7"/>
        </w:rPr>
        <w:t> </w:t>
      </w:r>
      <w:r>
        <w:rPr/>
        <w:t>advises</w:t>
      </w:r>
      <w:r>
        <w:rPr>
          <w:spacing w:val="-6"/>
        </w:rPr>
        <w:t> </w:t>
      </w:r>
      <w:r>
        <w:rPr/>
        <w:t>that</w:t>
      </w:r>
      <w:r>
        <w:rPr>
          <w:spacing w:val="-7"/>
        </w:rPr>
        <w:t> </w:t>
      </w:r>
      <w:r>
        <w:rPr/>
        <w:t>DCF</w:t>
      </w:r>
      <w:r>
        <w:rPr>
          <w:spacing w:val="-7"/>
        </w:rPr>
        <w:t> </w:t>
      </w:r>
      <w:r>
        <w:rPr/>
        <w:t>should</w:t>
      </w:r>
      <w:r>
        <w:rPr>
          <w:spacing w:val="-7"/>
        </w:rPr>
        <w:t> </w:t>
      </w:r>
      <w:r>
        <w:rPr/>
        <w:t>improve</w:t>
      </w:r>
      <w:r>
        <w:rPr>
          <w:spacing w:val="-7"/>
        </w:rPr>
        <w:t> </w:t>
      </w:r>
      <w:r>
        <w:rPr/>
        <w:t>its</w:t>
      </w:r>
      <w:r>
        <w:rPr>
          <w:spacing w:val="-6"/>
        </w:rPr>
        <w:t> </w:t>
      </w:r>
      <w:r>
        <w:rPr/>
        <w:t>services</w:t>
      </w:r>
      <w:r>
        <w:rPr>
          <w:spacing w:val="-6"/>
        </w:rPr>
        <w:t> </w:t>
      </w:r>
      <w:r>
        <w:rPr/>
        <w:t>to</w:t>
      </w:r>
      <w:r>
        <w:rPr>
          <w:spacing w:val="-6"/>
        </w:rPr>
        <w:t> </w:t>
      </w:r>
      <w:r>
        <w:rPr/>
        <w:t>better</w:t>
      </w:r>
      <w:r>
        <w:rPr>
          <w:spacing w:val="-6"/>
        </w:rPr>
        <w:t> </w:t>
      </w:r>
      <w:r>
        <w:rPr/>
        <w:t>address</w:t>
      </w:r>
      <w:r>
        <w:rPr>
          <w:spacing w:val="-6"/>
        </w:rPr>
        <w:t> </w:t>
      </w:r>
      <w:r>
        <w:rPr/>
        <w:t>situations</w:t>
      </w:r>
      <w:r>
        <w:rPr>
          <w:spacing w:val="-6"/>
        </w:rPr>
        <w:t> </w:t>
      </w:r>
      <w:r>
        <w:rPr/>
        <w:t>in</w:t>
      </w:r>
      <w:r>
        <w:rPr>
          <w:spacing w:val="-7"/>
        </w:rPr>
        <w:t> </w:t>
      </w:r>
      <w:r>
        <w:rPr/>
        <w:t>which LGBTQ youth are reunified with families where there is a risk of repeated maltreatment or removals.</w:t>
      </w:r>
    </w:p>
    <w:p>
      <w:pPr>
        <w:numPr>
          <w:ilvl w:val="0"/>
          <w:numId w:val="36"/>
        </w:numPr>
        <w:tabs>
          <w:tab w:pos="481" w:val="left" w:leader="none"/>
          <w:tab w:pos="483" w:val="left" w:leader="none"/>
        </w:tabs>
        <w:spacing w:line="276" w:lineRule="auto" w:before="239"/>
        <w:ind w:left="483" w:right="344" w:hanging="360"/>
        <w:jc w:val="left"/>
        <w:rPr>
          <w:b/>
          <w:sz w:val="22"/>
        </w:rPr>
      </w:pPr>
      <w:r>
        <w:rPr>
          <w:b/>
          <w:sz w:val="22"/>
        </w:rPr>
        <w:t>Collaborate with the Commission and providers to create an LGBTQ parent education curriculum to</w:t>
      </w:r>
      <w:r>
        <w:rPr>
          <w:b/>
          <w:spacing w:val="40"/>
          <w:sz w:val="22"/>
        </w:rPr>
        <w:t> </w:t>
      </w:r>
      <w:r>
        <w:rPr>
          <w:b/>
          <w:sz w:val="22"/>
        </w:rPr>
        <w:t>better support family preservation services.</w:t>
      </w:r>
    </w:p>
    <w:p>
      <w:pPr>
        <w:pStyle w:val="BodyText"/>
        <w:spacing w:line="276" w:lineRule="auto" w:before="240"/>
        <w:ind w:left="483" w:right="344"/>
        <w:jc w:val="both"/>
      </w:pPr>
      <w:r>
        <w:rPr/>
        <w:t>The Commission strongly recommends that DCF partner with the Commission and other community partners to create an education curriculum for parents of LGBTQ youth to uplift and support youth in need of DCF oversight and services; such a curriculum could work in tandem with existing or new family preservation programs.</w:t>
      </w:r>
    </w:p>
    <w:p>
      <w:pPr>
        <w:numPr>
          <w:ilvl w:val="0"/>
          <w:numId w:val="36"/>
        </w:numPr>
        <w:tabs>
          <w:tab w:pos="481" w:val="left" w:leader="none"/>
          <w:tab w:pos="483" w:val="left" w:leader="none"/>
        </w:tabs>
        <w:spacing w:line="276" w:lineRule="auto" w:before="241"/>
        <w:ind w:left="483" w:right="342" w:hanging="360"/>
        <w:jc w:val="left"/>
        <w:rPr>
          <w:b/>
          <w:sz w:val="22"/>
        </w:rPr>
      </w:pPr>
      <w:r>
        <w:rPr>
          <w:b/>
          <w:sz w:val="22"/>
        </w:rPr>
        <w:t>Improve</w:t>
      </w:r>
      <w:r>
        <w:rPr>
          <w:b/>
          <w:spacing w:val="40"/>
          <w:sz w:val="22"/>
        </w:rPr>
        <w:t> </w:t>
      </w:r>
      <w:r>
        <w:rPr>
          <w:b/>
          <w:sz w:val="22"/>
        </w:rPr>
        <w:t>curriculum</w:t>
      </w:r>
      <w:r>
        <w:rPr>
          <w:b/>
          <w:spacing w:val="40"/>
          <w:sz w:val="22"/>
        </w:rPr>
        <w:t> </w:t>
      </w:r>
      <w:r>
        <w:rPr>
          <w:b/>
          <w:sz w:val="22"/>
        </w:rPr>
        <w:t>offerings,</w:t>
      </w:r>
      <w:r>
        <w:rPr>
          <w:b/>
          <w:spacing w:val="40"/>
          <w:sz w:val="22"/>
        </w:rPr>
        <w:t> </w:t>
      </w:r>
      <w:r>
        <w:rPr>
          <w:b/>
          <w:sz w:val="22"/>
        </w:rPr>
        <w:t>programs,</w:t>
      </w:r>
      <w:r>
        <w:rPr>
          <w:b/>
          <w:spacing w:val="40"/>
          <w:sz w:val="22"/>
        </w:rPr>
        <w:t> </w:t>
      </w:r>
      <w:r>
        <w:rPr>
          <w:b/>
          <w:sz w:val="22"/>
        </w:rPr>
        <w:t>and</w:t>
      </w:r>
      <w:r>
        <w:rPr>
          <w:b/>
          <w:spacing w:val="40"/>
          <w:sz w:val="22"/>
        </w:rPr>
        <w:t> </w:t>
      </w:r>
      <w:r>
        <w:rPr>
          <w:b/>
          <w:sz w:val="22"/>
        </w:rPr>
        <w:t>resources</w:t>
      </w:r>
      <w:r>
        <w:rPr>
          <w:b/>
          <w:spacing w:val="40"/>
          <w:sz w:val="22"/>
        </w:rPr>
        <w:t> </w:t>
      </w:r>
      <w:r>
        <w:rPr>
          <w:b/>
          <w:sz w:val="22"/>
        </w:rPr>
        <w:t>provided</w:t>
      </w:r>
      <w:r>
        <w:rPr>
          <w:b/>
          <w:spacing w:val="40"/>
          <w:sz w:val="22"/>
        </w:rPr>
        <w:t> </w:t>
      </w:r>
      <w:r>
        <w:rPr>
          <w:b/>
          <w:sz w:val="22"/>
        </w:rPr>
        <w:t>to</w:t>
      </w:r>
      <w:r>
        <w:rPr>
          <w:b/>
          <w:spacing w:val="40"/>
          <w:sz w:val="22"/>
        </w:rPr>
        <w:t> </w:t>
      </w:r>
      <w:r>
        <w:rPr>
          <w:b/>
          <w:sz w:val="22"/>
        </w:rPr>
        <w:t>youth,</w:t>
      </w:r>
      <w:r>
        <w:rPr>
          <w:b/>
          <w:spacing w:val="40"/>
          <w:sz w:val="22"/>
        </w:rPr>
        <w:t> </w:t>
      </w:r>
      <w:r>
        <w:rPr>
          <w:b/>
          <w:sz w:val="22"/>
        </w:rPr>
        <w:t>and</w:t>
      </w:r>
      <w:r>
        <w:rPr>
          <w:b/>
          <w:spacing w:val="40"/>
          <w:sz w:val="22"/>
        </w:rPr>
        <w:t> </w:t>
      </w:r>
      <w:r>
        <w:rPr>
          <w:b/>
          <w:sz w:val="22"/>
        </w:rPr>
        <w:t>provide</w:t>
      </w:r>
      <w:r>
        <w:rPr>
          <w:b/>
          <w:spacing w:val="40"/>
          <w:sz w:val="22"/>
        </w:rPr>
        <w:t> </w:t>
      </w:r>
      <w:r>
        <w:rPr>
          <w:b/>
          <w:sz w:val="22"/>
        </w:rPr>
        <w:t>training opportunities for staff and youth on system navigation.</w:t>
      </w:r>
    </w:p>
    <w:p>
      <w:pPr>
        <w:pStyle w:val="BodyText"/>
        <w:spacing w:line="276" w:lineRule="auto" w:before="239"/>
        <w:ind w:left="483" w:right="341"/>
        <w:jc w:val="both"/>
      </w:pPr>
      <w:r>
        <w:rPr/>
        <w:t>Expanding on this recommendation from FY 2024, the Commission continues to recommend that DCF improve</w:t>
      </w:r>
      <w:r>
        <w:rPr>
          <w:spacing w:val="-8"/>
        </w:rPr>
        <w:t> </w:t>
      </w:r>
      <w:r>
        <w:rPr/>
        <w:t>its</w:t>
      </w:r>
      <w:r>
        <w:rPr>
          <w:spacing w:val="-7"/>
        </w:rPr>
        <w:t> </w:t>
      </w:r>
      <w:r>
        <w:rPr/>
        <w:t>approach</w:t>
      </w:r>
      <w:r>
        <w:rPr>
          <w:spacing w:val="-7"/>
        </w:rPr>
        <w:t> </w:t>
      </w:r>
      <w:r>
        <w:rPr/>
        <w:t>to</w:t>
      </w:r>
      <w:r>
        <w:rPr>
          <w:spacing w:val="-6"/>
        </w:rPr>
        <w:t> </w:t>
      </w:r>
      <w:r>
        <w:rPr/>
        <w:t>offering</w:t>
      </w:r>
      <w:r>
        <w:rPr>
          <w:spacing w:val="-7"/>
        </w:rPr>
        <w:t> </w:t>
      </w:r>
      <w:r>
        <w:rPr/>
        <w:t>comprehensive</w:t>
      </w:r>
      <w:r>
        <w:rPr>
          <w:spacing w:val="-6"/>
        </w:rPr>
        <w:t> </w:t>
      </w:r>
      <w:r>
        <w:rPr/>
        <w:t>LGBTQ-inclusive</w:t>
      </w:r>
      <w:r>
        <w:rPr>
          <w:spacing w:val="-6"/>
        </w:rPr>
        <w:t> </w:t>
      </w:r>
      <w:r>
        <w:rPr/>
        <w:t>sexual</w:t>
      </w:r>
      <w:r>
        <w:rPr>
          <w:spacing w:val="-6"/>
        </w:rPr>
        <w:t> </w:t>
      </w:r>
      <w:r>
        <w:rPr/>
        <w:t>health</w:t>
      </w:r>
      <w:r>
        <w:rPr>
          <w:spacing w:val="-5"/>
        </w:rPr>
        <w:t> </w:t>
      </w:r>
      <w:r>
        <w:rPr/>
        <w:t>education,</w:t>
      </w:r>
      <w:r>
        <w:rPr>
          <w:spacing w:val="-6"/>
        </w:rPr>
        <w:t> </w:t>
      </w:r>
      <w:r>
        <w:rPr/>
        <w:t>but</w:t>
      </w:r>
      <w:r>
        <w:rPr>
          <w:spacing w:val="-8"/>
        </w:rPr>
        <w:t> </w:t>
      </w:r>
      <w:r>
        <w:rPr/>
        <w:t>also</w:t>
      </w:r>
      <w:r>
        <w:rPr>
          <w:spacing w:val="-6"/>
        </w:rPr>
        <w:t> </w:t>
      </w:r>
      <w:r>
        <w:rPr/>
        <w:t>that</w:t>
      </w:r>
      <w:r>
        <w:rPr>
          <w:spacing w:val="-7"/>
        </w:rPr>
        <w:t> </w:t>
      </w:r>
      <w:r>
        <w:rPr/>
        <w:t>it works</w:t>
      </w:r>
      <w:r>
        <w:rPr>
          <w:spacing w:val="-13"/>
        </w:rPr>
        <w:t> </w:t>
      </w:r>
      <w:r>
        <w:rPr/>
        <w:t>to</w:t>
      </w:r>
      <w:r>
        <w:rPr>
          <w:spacing w:val="-12"/>
        </w:rPr>
        <w:t> </w:t>
      </w:r>
      <w:r>
        <w:rPr/>
        <w:t>expand</w:t>
      </w:r>
      <w:r>
        <w:rPr>
          <w:spacing w:val="-13"/>
        </w:rPr>
        <w:t> </w:t>
      </w:r>
      <w:r>
        <w:rPr/>
        <w:t>its</w:t>
      </w:r>
      <w:r>
        <w:rPr>
          <w:spacing w:val="-10"/>
        </w:rPr>
        <w:t> </w:t>
      </w:r>
      <w:r>
        <w:rPr/>
        <w:t>curriculum</w:t>
      </w:r>
      <w:r>
        <w:rPr>
          <w:spacing w:val="-12"/>
        </w:rPr>
        <w:t> </w:t>
      </w:r>
      <w:r>
        <w:rPr/>
        <w:t>and</w:t>
      </w:r>
      <w:r>
        <w:rPr>
          <w:spacing w:val="-12"/>
        </w:rPr>
        <w:t> </w:t>
      </w:r>
      <w:r>
        <w:rPr/>
        <w:t>programmatic</w:t>
      </w:r>
      <w:r>
        <w:rPr>
          <w:spacing w:val="-13"/>
        </w:rPr>
        <w:t> </w:t>
      </w:r>
      <w:r>
        <w:rPr/>
        <w:t>offerings</w:t>
      </w:r>
      <w:r>
        <w:rPr>
          <w:spacing w:val="-11"/>
        </w:rPr>
        <w:t> </w:t>
      </w:r>
      <w:r>
        <w:rPr/>
        <w:t>for</w:t>
      </w:r>
      <w:r>
        <w:rPr>
          <w:spacing w:val="-12"/>
        </w:rPr>
        <w:t> </w:t>
      </w:r>
      <w:r>
        <w:rPr/>
        <w:t>youth</w:t>
      </w:r>
      <w:r>
        <w:rPr>
          <w:spacing w:val="-13"/>
        </w:rPr>
        <w:t> </w:t>
      </w:r>
      <w:r>
        <w:rPr/>
        <w:t>who</w:t>
      </w:r>
      <w:r>
        <w:rPr>
          <w:spacing w:val="-12"/>
        </w:rPr>
        <w:t> </w:t>
      </w:r>
      <w:r>
        <w:rPr/>
        <w:t>are</w:t>
      </w:r>
      <w:r>
        <w:rPr>
          <w:spacing w:val="-13"/>
        </w:rPr>
        <w:t> </w:t>
      </w:r>
      <w:r>
        <w:rPr/>
        <w:t>expected</w:t>
      </w:r>
      <w:r>
        <w:rPr>
          <w:spacing w:val="-11"/>
        </w:rPr>
        <w:t> </w:t>
      </w:r>
      <w:r>
        <w:rPr/>
        <w:t>to</w:t>
      </w:r>
      <w:r>
        <w:rPr>
          <w:spacing w:val="-12"/>
        </w:rPr>
        <w:t> </w:t>
      </w:r>
      <w:r>
        <w:rPr/>
        <w:t>age</w:t>
      </w:r>
      <w:r>
        <w:rPr>
          <w:spacing w:val="-13"/>
        </w:rPr>
        <w:t> </w:t>
      </w:r>
      <w:r>
        <w:rPr/>
        <w:t>out</w:t>
      </w:r>
      <w:r>
        <w:rPr>
          <w:spacing w:val="-12"/>
        </w:rPr>
        <w:t> </w:t>
      </w:r>
      <w:r>
        <w:rPr/>
        <w:t>of</w:t>
      </w:r>
      <w:r>
        <w:rPr>
          <w:spacing w:val="-11"/>
        </w:rPr>
        <w:t> </w:t>
      </w:r>
      <w:r>
        <w:rPr/>
        <w:t>care. Far too often, the Commission has heard from youth and community providers that youth are not appropriately prepared to age out of care with the resources and skills needed to thrive. Since FY 2023, the Commission and DCF have been in conversations around DCF’s current skills curriculum being provided to youth, the PAYA program, through DCF’s Adolescent Youth Services Unit. It is the Commission’s understanding that DCF is currently reviewing its current PAYA curriculum, which has not been</w:t>
      </w:r>
      <w:r>
        <w:rPr>
          <w:spacing w:val="-4"/>
        </w:rPr>
        <w:t> </w:t>
      </w:r>
      <w:r>
        <w:rPr/>
        <w:t>updated</w:t>
      </w:r>
      <w:r>
        <w:rPr>
          <w:spacing w:val="-5"/>
        </w:rPr>
        <w:t> </w:t>
      </w:r>
      <w:r>
        <w:rPr/>
        <w:t>for</w:t>
      </w:r>
      <w:r>
        <w:rPr>
          <w:spacing w:val="-5"/>
        </w:rPr>
        <w:t> </w:t>
      </w:r>
      <w:r>
        <w:rPr/>
        <w:t>over</w:t>
      </w:r>
      <w:r>
        <w:rPr>
          <w:spacing w:val="-5"/>
        </w:rPr>
        <w:t> </w:t>
      </w:r>
      <w:r>
        <w:rPr/>
        <w:t>a</w:t>
      </w:r>
      <w:r>
        <w:rPr>
          <w:spacing w:val="-5"/>
        </w:rPr>
        <w:t> </w:t>
      </w:r>
      <w:r>
        <w:rPr/>
        <w:t>decade,</w:t>
      </w:r>
      <w:r>
        <w:rPr>
          <w:spacing w:val="-5"/>
        </w:rPr>
        <w:t> </w:t>
      </w:r>
      <w:r>
        <w:rPr/>
        <w:t>and</w:t>
      </w:r>
      <w:r>
        <w:rPr>
          <w:spacing w:val="-5"/>
        </w:rPr>
        <w:t> </w:t>
      </w:r>
      <w:r>
        <w:rPr/>
        <w:t>is</w:t>
      </w:r>
      <w:r>
        <w:rPr>
          <w:spacing w:val="-4"/>
        </w:rPr>
        <w:t> </w:t>
      </w:r>
      <w:r>
        <w:rPr/>
        <w:t>preparing</w:t>
      </w:r>
      <w:r>
        <w:rPr>
          <w:spacing w:val="-4"/>
        </w:rPr>
        <w:t> </w:t>
      </w:r>
      <w:r>
        <w:rPr/>
        <w:t>to</w:t>
      </w:r>
      <w:r>
        <w:rPr>
          <w:spacing w:val="-5"/>
        </w:rPr>
        <w:t> </w:t>
      </w:r>
      <w:r>
        <w:rPr/>
        <w:t>integrate</w:t>
      </w:r>
      <w:r>
        <w:rPr>
          <w:spacing w:val="-5"/>
        </w:rPr>
        <w:t> </w:t>
      </w:r>
      <w:r>
        <w:rPr/>
        <w:t>comprehensive</w:t>
      </w:r>
      <w:r>
        <w:rPr>
          <w:spacing w:val="-5"/>
        </w:rPr>
        <w:t> </w:t>
      </w:r>
      <w:r>
        <w:rPr/>
        <w:t>LGBTQ-inclusive,</w:t>
      </w:r>
      <w:r>
        <w:rPr>
          <w:spacing w:val="-5"/>
        </w:rPr>
        <w:t> </w:t>
      </w:r>
      <w:r>
        <w:rPr/>
        <w:t>culturally appropriate, and medically-accurate sexual health education into the curriculum. Furthermore, DCF is in the final stages of uploading the curriculum to a new mobile platform which would provide better accessibility for youth and workers, as well as allow the agency to perform more frequent reviews and live updates.</w:t>
      </w:r>
    </w:p>
    <w:p>
      <w:pPr>
        <w:spacing w:after="0" w:line="276" w:lineRule="auto"/>
        <w:jc w:val="both"/>
        <w:sectPr>
          <w:pgSz w:w="12240" w:h="15840"/>
          <w:pgMar w:header="804" w:footer="1263" w:top="1000" w:bottom="1460" w:left="960" w:right="1100"/>
        </w:sectPr>
      </w:pPr>
    </w:p>
    <w:p>
      <w:pPr>
        <w:pStyle w:val="BodyText"/>
        <w:spacing w:line="276" w:lineRule="auto" w:before="139"/>
        <w:ind w:left="483" w:right="343"/>
        <w:jc w:val="both"/>
      </w:pPr>
      <w:r>
        <w:rPr/>
        <w:t>The Commission greatly appreciates this modernizing approach to the program, and also recommends that</w:t>
      </w:r>
      <w:r>
        <w:rPr>
          <w:spacing w:val="-11"/>
        </w:rPr>
        <w:t> </w:t>
      </w:r>
      <w:r>
        <w:rPr/>
        <w:t>DCF</w:t>
      </w:r>
      <w:r>
        <w:rPr>
          <w:spacing w:val="-11"/>
        </w:rPr>
        <w:t> </w:t>
      </w:r>
      <w:r>
        <w:rPr/>
        <w:t>explore</w:t>
      </w:r>
      <w:r>
        <w:rPr>
          <w:spacing w:val="-12"/>
        </w:rPr>
        <w:t> </w:t>
      </w:r>
      <w:r>
        <w:rPr/>
        <w:t>ways</w:t>
      </w:r>
      <w:r>
        <w:rPr>
          <w:spacing w:val="-11"/>
        </w:rPr>
        <w:t> </w:t>
      </w:r>
      <w:r>
        <w:rPr/>
        <w:t>to</w:t>
      </w:r>
      <w:r>
        <w:rPr>
          <w:spacing w:val="-10"/>
        </w:rPr>
        <w:t> </w:t>
      </w:r>
      <w:r>
        <w:rPr/>
        <w:t>provide</w:t>
      </w:r>
      <w:r>
        <w:rPr>
          <w:spacing w:val="-12"/>
        </w:rPr>
        <w:t> </w:t>
      </w:r>
      <w:r>
        <w:rPr/>
        <w:t>youth</w:t>
      </w:r>
      <w:r>
        <w:rPr>
          <w:spacing w:val="-9"/>
        </w:rPr>
        <w:t> </w:t>
      </w:r>
      <w:r>
        <w:rPr/>
        <w:t>with</w:t>
      </w:r>
      <w:r>
        <w:rPr>
          <w:spacing w:val="-12"/>
        </w:rPr>
        <w:t> </w:t>
      </w:r>
      <w:r>
        <w:rPr/>
        <w:t>avenues</w:t>
      </w:r>
      <w:r>
        <w:rPr>
          <w:spacing w:val="-9"/>
        </w:rPr>
        <w:t> </w:t>
      </w:r>
      <w:r>
        <w:rPr/>
        <w:t>to</w:t>
      </w:r>
      <w:r>
        <w:rPr>
          <w:spacing w:val="-11"/>
        </w:rPr>
        <w:t> </w:t>
      </w:r>
      <w:r>
        <w:rPr/>
        <w:t>hold</w:t>
      </w:r>
      <w:r>
        <w:rPr>
          <w:spacing w:val="-10"/>
        </w:rPr>
        <w:t> </w:t>
      </w:r>
      <w:r>
        <w:rPr/>
        <w:t>DCF</w:t>
      </w:r>
      <w:r>
        <w:rPr>
          <w:spacing w:val="-11"/>
        </w:rPr>
        <w:t> </w:t>
      </w:r>
      <w:r>
        <w:rPr/>
        <w:t>accountable</w:t>
      </w:r>
      <w:r>
        <w:rPr>
          <w:spacing w:val="-10"/>
        </w:rPr>
        <w:t> </w:t>
      </w:r>
      <w:r>
        <w:rPr/>
        <w:t>for</w:t>
      </w:r>
      <w:r>
        <w:rPr>
          <w:spacing w:val="-11"/>
        </w:rPr>
        <w:t> </w:t>
      </w:r>
      <w:r>
        <w:rPr/>
        <w:t>ensuring</w:t>
      </w:r>
      <w:r>
        <w:rPr>
          <w:spacing w:val="-10"/>
        </w:rPr>
        <w:t> </w:t>
      </w:r>
      <w:r>
        <w:rPr/>
        <w:t>that</w:t>
      </w:r>
      <w:r>
        <w:rPr>
          <w:spacing w:val="-12"/>
        </w:rPr>
        <w:t> </w:t>
      </w:r>
      <w:r>
        <w:rPr/>
        <w:t>the</w:t>
      </w:r>
      <w:r>
        <w:rPr>
          <w:spacing w:val="-10"/>
        </w:rPr>
        <w:t> </w:t>
      </w:r>
      <w:r>
        <w:rPr/>
        <w:t>needs of</w:t>
      </w:r>
      <w:r>
        <w:rPr>
          <w:spacing w:val="-2"/>
        </w:rPr>
        <w:t> </w:t>
      </w:r>
      <w:r>
        <w:rPr/>
        <w:t>youth</w:t>
      </w:r>
      <w:r>
        <w:rPr>
          <w:spacing w:val="-2"/>
        </w:rPr>
        <w:t> </w:t>
      </w:r>
      <w:r>
        <w:rPr/>
        <w:t>- particularly</w:t>
      </w:r>
      <w:r>
        <w:rPr>
          <w:spacing w:val="-1"/>
        </w:rPr>
        <w:t> </w:t>
      </w:r>
      <w:r>
        <w:rPr/>
        <w:t>around</w:t>
      </w:r>
      <w:r>
        <w:rPr>
          <w:spacing w:val="-2"/>
        </w:rPr>
        <w:t> </w:t>
      </w:r>
      <w:r>
        <w:rPr/>
        <w:t>documentation</w:t>
      </w:r>
      <w:r>
        <w:rPr>
          <w:spacing w:val="-2"/>
        </w:rPr>
        <w:t> </w:t>
      </w:r>
      <w:r>
        <w:rPr/>
        <w:t>-</w:t>
      </w:r>
      <w:r>
        <w:rPr>
          <w:spacing w:val="-1"/>
        </w:rPr>
        <w:t> </w:t>
      </w:r>
      <w:r>
        <w:rPr/>
        <w:t>are</w:t>
      </w:r>
      <w:r>
        <w:rPr>
          <w:spacing w:val="-1"/>
        </w:rPr>
        <w:t> </w:t>
      </w:r>
      <w:r>
        <w:rPr/>
        <w:t>being</w:t>
      </w:r>
      <w:r>
        <w:rPr>
          <w:spacing w:val="-1"/>
        </w:rPr>
        <w:t> </w:t>
      </w:r>
      <w:r>
        <w:rPr/>
        <w:t>met.</w:t>
      </w:r>
      <w:r>
        <w:rPr>
          <w:spacing w:val="-2"/>
        </w:rPr>
        <w:t> </w:t>
      </w:r>
      <w:r>
        <w:rPr/>
        <w:t>In</w:t>
      </w:r>
      <w:r>
        <w:rPr>
          <w:spacing w:val="-2"/>
        </w:rPr>
        <w:t> </w:t>
      </w:r>
      <w:r>
        <w:rPr/>
        <w:t>previous</w:t>
      </w:r>
      <w:r>
        <w:rPr>
          <w:spacing w:val="-1"/>
        </w:rPr>
        <w:t> </w:t>
      </w:r>
      <w:r>
        <w:rPr/>
        <w:t>meetings,</w:t>
      </w:r>
      <w:r>
        <w:rPr>
          <w:spacing w:val="-2"/>
        </w:rPr>
        <w:t> </w:t>
      </w:r>
      <w:r>
        <w:rPr/>
        <w:t>the</w:t>
      </w:r>
      <w:r>
        <w:rPr>
          <w:spacing w:val="-1"/>
        </w:rPr>
        <w:t> </w:t>
      </w:r>
      <w:r>
        <w:rPr/>
        <w:t>Commission</w:t>
      </w:r>
      <w:r>
        <w:rPr>
          <w:spacing w:val="-2"/>
        </w:rPr>
        <w:t> </w:t>
      </w:r>
      <w:r>
        <w:rPr/>
        <w:t>has similarly</w:t>
      </w:r>
      <w:r>
        <w:rPr>
          <w:spacing w:val="-2"/>
        </w:rPr>
        <w:t> </w:t>
      </w:r>
      <w:r>
        <w:rPr/>
        <w:t>recommended</w:t>
      </w:r>
      <w:r>
        <w:rPr>
          <w:spacing w:val="-1"/>
        </w:rPr>
        <w:t> </w:t>
      </w:r>
      <w:r>
        <w:rPr/>
        <w:t>the</w:t>
      </w:r>
      <w:r>
        <w:rPr>
          <w:spacing w:val="-2"/>
        </w:rPr>
        <w:t> </w:t>
      </w:r>
      <w:r>
        <w:rPr/>
        <w:t>development</w:t>
      </w:r>
      <w:r>
        <w:rPr>
          <w:spacing w:val="-2"/>
        </w:rPr>
        <w:t> </w:t>
      </w:r>
      <w:r>
        <w:rPr/>
        <w:t>of</w:t>
      </w:r>
      <w:r>
        <w:rPr>
          <w:spacing w:val="-2"/>
        </w:rPr>
        <w:t> </w:t>
      </w:r>
      <w:r>
        <w:rPr/>
        <w:t>an</w:t>
      </w:r>
      <w:r>
        <w:rPr>
          <w:spacing w:val="-1"/>
        </w:rPr>
        <w:t> </w:t>
      </w:r>
      <w:r>
        <w:rPr/>
        <w:t>app</w:t>
      </w:r>
      <w:r>
        <w:rPr>
          <w:spacing w:val="-1"/>
        </w:rPr>
        <w:t> </w:t>
      </w:r>
      <w:r>
        <w:rPr/>
        <w:t>that</w:t>
      </w:r>
      <w:r>
        <w:rPr>
          <w:spacing w:val="-2"/>
        </w:rPr>
        <w:t> </w:t>
      </w:r>
      <w:r>
        <w:rPr/>
        <w:t>would</w:t>
      </w:r>
      <w:r>
        <w:rPr>
          <w:spacing w:val="-1"/>
        </w:rPr>
        <w:t> </w:t>
      </w:r>
      <w:r>
        <w:rPr/>
        <w:t>be shared</w:t>
      </w:r>
      <w:r>
        <w:rPr>
          <w:spacing w:val="-2"/>
        </w:rPr>
        <w:t> </w:t>
      </w:r>
      <w:r>
        <w:rPr/>
        <w:t>with</w:t>
      </w:r>
      <w:r>
        <w:rPr>
          <w:spacing w:val="-1"/>
        </w:rPr>
        <w:t> </w:t>
      </w:r>
      <w:r>
        <w:rPr/>
        <w:t>DCF</w:t>
      </w:r>
      <w:r>
        <w:rPr>
          <w:spacing w:val="-2"/>
        </w:rPr>
        <w:t> </w:t>
      </w:r>
      <w:r>
        <w:rPr/>
        <w:t>youth</w:t>
      </w:r>
      <w:r>
        <w:rPr>
          <w:spacing w:val="-2"/>
        </w:rPr>
        <w:t> </w:t>
      </w:r>
      <w:r>
        <w:rPr/>
        <w:t>and</w:t>
      </w:r>
      <w:r>
        <w:rPr>
          <w:spacing w:val="-2"/>
        </w:rPr>
        <w:t> </w:t>
      </w:r>
      <w:r>
        <w:rPr/>
        <w:t>families to provide avenues for youth to submit and track requests, complete skills-building programs, and better find resources and information available to them.</w:t>
      </w:r>
    </w:p>
    <w:p>
      <w:pPr>
        <w:spacing w:line="276" w:lineRule="auto" w:before="239"/>
        <w:ind w:left="483" w:right="340" w:firstLine="0"/>
        <w:jc w:val="both"/>
        <w:rPr>
          <w:i/>
          <w:sz w:val="21"/>
        </w:rPr>
      </w:pPr>
      <w:r>
        <w:rPr>
          <w:i/>
          <w:sz w:val="21"/>
        </w:rPr>
        <w:t>Acknowledgments: The Commission sincerely thanks the contributions of its DCF staff liaisons and partners</w:t>
      </w:r>
      <w:r>
        <w:rPr>
          <w:i/>
          <w:sz w:val="21"/>
        </w:rPr>
        <w:t> through the DCF LGBTQIA+ Employee Resource Group.</w:t>
      </w:r>
    </w:p>
    <w:p>
      <w:pPr>
        <w:spacing w:after="0" w:line="276" w:lineRule="auto"/>
        <w:jc w:val="both"/>
        <w:rPr>
          <w:sz w:val="21"/>
        </w:rPr>
        <w:sectPr>
          <w:pgSz w:w="12240" w:h="15840"/>
          <w:pgMar w:header="804" w:footer="1263" w:top="1000" w:bottom="1460" w:left="960" w:right="1100"/>
        </w:sectPr>
      </w:pPr>
    </w:p>
    <w:p>
      <w:pPr>
        <w:pStyle w:val="BodyText"/>
        <w:spacing w:before="137"/>
        <w:rPr>
          <w:i/>
          <w:sz w:val="40"/>
        </w:rPr>
      </w:pPr>
    </w:p>
    <w:p>
      <w:pPr>
        <w:pStyle w:val="Heading7"/>
        <w:spacing w:before="1"/>
      </w:pPr>
      <w:bookmarkStart w:name="_bookmark627" w:id="934"/>
      <w:bookmarkEnd w:id="934"/>
      <w:r>
        <w:rPr/>
      </w:r>
      <w:hyperlink w:history="true" w:anchor="_bookmark6">
        <w:r>
          <w:rPr>
            <w:color w:val="365F91"/>
            <w:spacing w:val="-8"/>
          </w:rPr>
          <w:t>Commission</w:t>
        </w:r>
        <w:r>
          <w:rPr>
            <w:color w:val="365F91"/>
            <w:spacing w:val="-15"/>
          </w:rPr>
          <w:t> </w:t>
        </w:r>
        <w:r>
          <w:rPr>
            <w:color w:val="365F91"/>
            <w:spacing w:val="-8"/>
          </w:rPr>
          <w:t>for</w:t>
        </w:r>
        <w:r>
          <w:rPr>
            <w:color w:val="365F91"/>
            <w:spacing w:val="-15"/>
          </w:rPr>
          <w:t> </w:t>
        </w:r>
        <w:r>
          <w:rPr>
            <w:color w:val="365F91"/>
            <w:spacing w:val="-8"/>
          </w:rPr>
          <w:t>the</w:t>
        </w:r>
        <w:r>
          <w:rPr>
            <w:color w:val="365F91"/>
            <w:spacing w:val="-13"/>
          </w:rPr>
          <w:t> </w:t>
        </w:r>
        <w:r>
          <w:rPr>
            <w:color w:val="365F91"/>
            <w:spacing w:val="-8"/>
          </w:rPr>
          <w:t>Blind</w:t>
        </w:r>
      </w:hyperlink>
    </w:p>
    <w:p>
      <w:pPr>
        <w:spacing w:before="313"/>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697920">
                <wp:simplePos x="0" y="0"/>
                <wp:positionH relativeFrom="page">
                  <wp:posOffset>897636</wp:posOffset>
                </wp:positionH>
                <wp:positionV relativeFrom="paragraph">
                  <wp:posOffset>44780</wp:posOffset>
                </wp:positionV>
                <wp:extent cx="5976620" cy="635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6031pt;width:470.58pt;height:.481pt;mso-position-horizontal-relative:page;mso-position-vertical-relative:paragraph;z-index:-15618560;mso-wrap-distance-left:0;mso-wrap-distance-right:0" id="docshape465" filled="true" fillcolor="#4f81bc" stroked="false">
                <v:fill type="solid"/>
                <w10:wrap type="topAndBottom"/>
              </v:rect>
            </w:pict>
          </mc:Fallback>
        </mc:AlternateContent>
      </w:r>
    </w:p>
    <w:p>
      <w:pPr>
        <w:pStyle w:val="ListParagraph"/>
        <w:numPr>
          <w:ilvl w:val="1"/>
          <w:numId w:val="36"/>
        </w:numPr>
        <w:tabs>
          <w:tab w:pos="1059" w:val="left" w:leader="none"/>
        </w:tabs>
        <w:spacing w:line="276" w:lineRule="auto" w:before="241" w:after="0"/>
        <w:ind w:left="1059" w:right="628" w:hanging="360"/>
        <w:jc w:val="left"/>
        <w:rPr>
          <w:sz w:val="21"/>
        </w:rPr>
      </w:pPr>
      <w:r>
        <w:rPr>
          <w:sz w:val="21"/>
        </w:rPr>
        <w:t>Provide professional development opportunities that prioritize intersectionality and center LGBTQ cultural engagement, racial equity, and adultism training sessions.</w:t>
      </w:r>
    </w:p>
    <w:p>
      <w:pPr>
        <w:pStyle w:val="ListParagraph"/>
        <w:numPr>
          <w:ilvl w:val="1"/>
          <w:numId w:val="36"/>
        </w:numPr>
        <w:tabs>
          <w:tab w:pos="1059" w:val="left" w:leader="none"/>
        </w:tabs>
        <w:spacing w:line="276" w:lineRule="auto" w:before="0" w:after="0"/>
        <w:ind w:left="1059" w:right="628" w:hanging="360"/>
        <w:jc w:val="left"/>
        <w:rPr>
          <w:sz w:val="21"/>
        </w:rPr>
      </w:pPr>
      <w:r>
        <w:rPr>
          <w:sz w:val="21"/>
        </w:rPr>
        <w:t>Revise SOGI data collection standards and data fields to include more expansive gender identity</w:t>
      </w:r>
      <w:r>
        <w:rPr>
          <w:spacing w:val="80"/>
          <w:w w:val="150"/>
          <w:sz w:val="21"/>
        </w:rPr>
        <w:t> </w:t>
      </w:r>
      <w:r>
        <w:rPr>
          <w:spacing w:val="-2"/>
          <w:sz w:val="21"/>
        </w:rPr>
        <w:t>markers.</w:t>
      </w:r>
    </w:p>
    <w:p>
      <w:pPr>
        <w:pStyle w:val="ListParagraph"/>
        <w:numPr>
          <w:ilvl w:val="1"/>
          <w:numId w:val="36"/>
        </w:numPr>
        <w:tabs>
          <w:tab w:pos="1059" w:val="left" w:leader="none"/>
        </w:tabs>
        <w:spacing w:line="276" w:lineRule="auto" w:before="1" w:after="0"/>
        <w:ind w:left="1059" w:right="630" w:hanging="360"/>
        <w:jc w:val="left"/>
        <w:rPr>
          <w:sz w:val="21"/>
        </w:rPr>
      </w:pPr>
      <w:r>
        <w:rPr>
          <w:sz w:val="21"/>
        </w:rPr>
        <w:t>Collaborate</w:t>
      </w:r>
      <w:r>
        <w:rPr>
          <w:spacing w:val="40"/>
          <w:sz w:val="21"/>
        </w:rPr>
        <w:t> </w:t>
      </w:r>
      <w:r>
        <w:rPr>
          <w:sz w:val="21"/>
        </w:rPr>
        <w:t>with</w:t>
      </w:r>
      <w:r>
        <w:rPr>
          <w:spacing w:val="40"/>
          <w:sz w:val="21"/>
        </w:rPr>
        <w:t> </w:t>
      </w:r>
      <w:r>
        <w:rPr>
          <w:sz w:val="21"/>
        </w:rPr>
        <w:t>the</w:t>
      </w:r>
      <w:r>
        <w:rPr>
          <w:spacing w:val="40"/>
          <w:sz w:val="21"/>
        </w:rPr>
        <w:t> </w:t>
      </w:r>
      <w:r>
        <w:rPr>
          <w:sz w:val="21"/>
        </w:rPr>
        <w:t>Commission,</w:t>
      </w:r>
      <w:r>
        <w:rPr>
          <w:spacing w:val="40"/>
          <w:sz w:val="21"/>
        </w:rPr>
        <w:t> </w:t>
      </w:r>
      <w:r>
        <w:rPr>
          <w:sz w:val="21"/>
        </w:rPr>
        <w:t>youth-serving</w:t>
      </w:r>
      <w:r>
        <w:rPr>
          <w:spacing w:val="40"/>
          <w:sz w:val="21"/>
        </w:rPr>
        <w:t> </w:t>
      </w:r>
      <w:r>
        <w:rPr>
          <w:sz w:val="21"/>
        </w:rPr>
        <w:t>agencies,</w:t>
      </w:r>
      <w:r>
        <w:rPr>
          <w:spacing w:val="40"/>
          <w:sz w:val="21"/>
        </w:rPr>
        <w:t> </w:t>
      </w:r>
      <w:r>
        <w:rPr>
          <w:sz w:val="21"/>
        </w:rPr>
        <w:t>and</w:t>
      </w:r>
      <w:r>
        <w:rPr>
          <w:spacing w:val="40"/>
          <w:sz w:val="21"/>
        </w:rPr>
        <w:t> </w:t>
      </w:r>
      <w:r>
        <w:rPr>
          <w:sz w:val="21"/>
        </w:rPr>
        <w:t>other</w:t>
      </w:r>
      <w:r>
        <w:rPr>
          <w:spacing w:val="40"/>
          <w:sz w:val="21"/>
        </w:rPr>
        <w:t> </w:t>
      </w:r>
      <w:r>
        <w:rPr>
          <w:sz w:val="21"/>
        </w:rPr>
        <w:t>community</w:t>
      </w:r>
      <w:r>
        <w:rPr>
          <w:spacing w:val="40"/>
          <w:sz w:val="21"/>
        </w:rPr>
        <w:t> </w:t>
      </w:r>
      <w:r>
        <w:rPr>
          <w:sz w:val="21"/>
        </w:rPr>
        <w:t>partners</w:t>
      </w:r>
      <w:r>
        <w:rPr>
          <w:spacing w:val="40"/>
          <w:sz w:val="21"/>
        </w:rPr>
        <w:t> </w:t>
      </w:r>
      <w:r>
        <w:rPr>
          <w:sz w:val="21"/>
        </w:rPr>
        <w:t>on resource development and community support.</w:t>
      </w:r>
    </w:p>
    <w:p>
      <w:pPr>
        <w:spacing w:before="239"/>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698432">
                <wp:simplePos x="0" y="0"/>
                <wp:positionH relativeFrom="page">
                  <wp:posOffset>897636</wp:posOffset>
                </wp:positionH>
                <wp:positionV relativeFrom="paragraph">
                  <wp:posOffset>45214</wp:posOffset>
                </wp:positionV>
                <wp:extent cx="5976620" cy="6350"/>
                <wp:effectExtent l="0" t="0" r="0" b="0"/>
                <wp:wrapTopAndBottom/>
                <wp:docPr id="569" name="Graphic 569"/>
                <wp:cNvGraphicFramePr>
                  <a:graphicFrameLocks/>
                </wp:cNvGraphicFramePr>
                <a:graphic>
                  <a:graphicData uri="http://schemas.microsoft.com/office/word/2010/wordprocessingShape">
                    <wps:wsp>
                      <wps:cNvPr id="569" name="Graphic 569"/>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60215pt;width:470.58pt;height:.48pt;mso-position-horizontal-relative:page;mso-position-vertical-relative:paragraph;z-index:-15618048;mso-wrap-distance-left:0;mso-wrap-distance-right:0" id="docshape466" filled="true" fillcolor="#4f81bc" stroked="false">
                <v:fill type="solid"/>
                <w10:wrap type="topAndBottom"/>
              </v:rect>
            </w:pict>
          </mc:Fallback>
        </mc:AlternateContent>
      </w:r>
    </w:p>
    <w:p>
      <w:pPr>
        <w:spacing w:line="276" w:lineRule="auto" w:before="241"/>
        <w:ind w:left="483" w:right="339" w:firstLine="0"/>
        <w:jc w:val="both"/>
        <w:rPr>
          <w:sz w:val="21"/>
        </w:rPr>
      </w:pPr>
      <w:r>
        <w:rPr>
          <w:sz w:val="21"/>
        </w:rPr>
        <w:t>The Massachusetts Commission for the Blind (MCB) is the principal agency in the Commonwealth that works on behalf of people of all ages who are legally blind. MCB provides access to </w:t>
      </w:r>
      <w:hyperlink r:id="rId730">
        <w:r>
          <w:rPr>
            <w:color w:val="1153CC"/>
            <w:sz w:val="21"/>
            <w:u w:val="single" w:color="1153CC"/>
          </w:rPr>
          <w:t>vocational</w:t>
        </w:r>
      </w:hyperlink>
      <w:r>
        <w:rPr>
          <w:color w:val="1153CC"/>
          <w:sz w:val="21"/>
          <w:u w:val="none"/>
        </w:rPr>
        <w:t> </w:t>
      </w:r>
      <w:hyperlink r:id="rId730">
        <w:r>
          <w:rPr>
            <w:color w:val="1153CC"/>
            <w:sz w:val="21"/>
            <w:u w:val="single" w:color="1153CC"/>
          </w:rPr>
          <w:t>rehabilitation</w:t>
        </w:r>
      </w:hyperlink>
      <w:r>
        <w:rPr>
          <w:color w:val="1153CC"/>
          <w:sz w:val="21"/>
          <w:u w:val="none"/>
        </w:rPr>
        <w:t> </w:t>
      </w:r>
      <w:r>
        <w:rPr>
          <w:sz w:val="21"/>
          <w:u w:val="none"/>
        </w:rPr>
        <w:t>and employment opportunities, as well as </w:t>
      </w:r>
      <w:hyperlink r:id="rId731">
        <w:r>
          <w:rPr>
            <w:color w:val="1153CC"/>
            <w:sz w:val="21"/>
            <w:u w:val="single" w:color="1153CC"/>
          </w:rPr>
          <w:t>social rehabilitation</w:t>
        </w:r>
      </w:hyperlink>
      <w:r>
        <w:rPr>
          <w:color w:val="1153CC"/>
          <w:sz w:val="21"/>
          <w:u w:val="none"/>
        </w:rPr>
        <w:t> </w:t>
      </w:r>
      <w:r>
        <w:rPr>
          <w:sz w:val="21"/>
          <w:u w:val="none"/>
        </w:rPr>
        <w:t>to increase independence and self-empowerment. Regrettably, there exists very little research that examines the experiences of LGBTQ youth who are blind, or the accessibility of needed services. The Commission hopes that future studies and state surveys can provide information on these critical intersections to ensure that the experiences of blind LGBTQ youth in Massachusetts are not being ignored.</w:t>
      </w:r>
    </w:p>
    <w:p>
      <w:pPr>
        <w:spacing w:before="239"/>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spacing w:line="276" w:lineRule="auto" w:before="285"/>
        <w:ind w:left="483" w:right="339" w:firstLine="0"/>
        <w:jc w:val="both"/>
        <w:rPr>
          <w:sz w:val="21"/>
        </w:rPr>
      </w:pPr>
      <w:r>
        <w:rPr>
          <w:sz w:val="21"/>
        </w:rPr>
        <w:t>The Commission and MCB have had an ongoing relationship since FY 2018 that has yielded several positive results.</w:t>
      </w:r>
      <w:r>
        <w:rPr>
          <w:spacing w:val="-5"/>
          <w:sz w:val="21"/>
        </w:rPr>
        <w:t> </w:t>
      </w:r>
      <w:r>
        <w:rPr>
          <w:sz w:val="21"/>
        </w:rPr>
        <w:t>Since</w:t>
      </w:r>
      <w:r>
        <w:rPr>
          <w:spacing w:val="-3"/>
          <w:sz w:val="21"/>
        </w:rPr>
        <w:t> </w:t>
      </w:r>
      <w:r>
        <w:rPr>
          <w:sz w:val="21"/>
        </w:rPr>
        <w:t>2017,</w:t>
      </w:r>
      <w:r>
        <w:rPr>
          <w:spacing w:val="-4"/>
          <w:sz w:val="21"/>
        </w:rPr>
        <w:t> </w:t>
      </w:r>
      <w:r>
        <w:rPr>
          <w:sz w:val="21"/>
        </w:rPr>
        <w:t>MCB</w:t>
      </w:r>
      <w:r>
        <w:rPr>
          <w:spacing w:val="-5"/>
          <w:sz w:val="21"/>
        </w:rPr>
        <w:t> </w:t>
      </w:r>
      <w:r>
        <w:rPr>
          <w:sz w:val="21"/>
        </w:rPr>
        <w:t>has</w:t>
      </w:r>
      <w:r>
        <w:rPr>
          <w:spacing w:val="-5"/>
          <w:sz w:val="21"/>
        </w:rPr>
        <w:t> </w:t>
      </w:r>
      <w:r>
        <w:rPr>
          <w:sz w:val="21"/>
        </w:rPr>
        <w:t>hosted</w:t>
      </w:r>
      <w:r>
        <w:rPr>
          <w:spacing w:val="-4"/>
          <w:sz w:val="21"/>
        </w:rPr>
        <w:t> </w:t>
      </w:r>
      <w:r>
        <w:rPr>
          <w:sz w:val="21"/>
        </w:rPr>
        <w:t>nearly</w:t>
      </w:r>
      <w:r>
        <w:rPr>
          <w:spacing w:val="-5"/>
          <w:sz w:val="21"/>
        </w:rPr>
        <w:t> </w:t>
      </w:r>
      <w:r>
        <w:rPr>
          <w:sz w:val="21"/>
        </w:rPr>
        <w:t>annual</w:t>
      </w:r>
      <w:r>
        <w:rPr>
          <w:spacing w:val="-4"/>
          <w:sz w:val="21"/>
        </w:rPr>
        <w:t> </w:t>
      </w:r>
      <w:r>
        <w:rPr>
          <w:sz w:val="21"/>
        </w:rPr>
        <w:t>optional</w:t>
      </w:r>
      <w:r>
        <w:rPr>
          <w:spacing w:val="-4"/>
          <w:sz w:val="21"/>
        </w:rPr>
        <w:t> </w:t>
      </w:r>
      <w:r>
        <w:rPr>
          <w:sz w:val="21"/>
        </w:rPr>
        <w:t>staff</w:t>
      </w:r>
      <w:r>
        <w:rPr>
          <w:spacing w:val="-5"/>
          <w:sz w:val="21"/>
        </w:rPr>
        <w:t> </w:t>
      </w:r>
      <w:r>
        <w:rPr>
          <w:sz w:val="21"/>
        </w:rPr>
        <w:t>trainings</w:t>
      </w:r>
      <w:r>
        <w:rPr>
          <w:spacing w:val="-5"/>
          <w:sz w:val="21"/>
        </w:rPr>
        <w:t> </w:t>
      </w:r>
      <w:r>
        <w:rPr>
          <w:sz w:val="21"/>
        </w:rPr>
        <w:t>on</w:t>
      </w:r>
      <w:r>
        <w:rPr>
          <w:spacing w:val="-4"/>
          <w:sz w:val="21"/>
        </w:rPr>
        <w:t> </w:t>
      </w:r>
      <w:r>
        <w:rPr>
          <w:sz w:val="21"/>
        </w:rPr>
        <w:t>LGBTQ</w:t>
      </w:r>
      <w:r>
        <w:rPr>
          <w:spacing w:val="-3"/>
          <w:sz w:val="21"/>
        </w:rPr>
        <w:t> </w:t>
      </w:r>
      <w:r>
        <w:rPr>
          <w:sz w:val="21"/>
        </w:rPr>
        <w:t>inclusivity,</w:t>
      </w:r>
      <w:r>
        <w:rPr>
          <w:spacing w:val="-4"/>
          <w:sz w:val="21"/>
        </w:rPr>
        <w:t> </w:t>
      </w:r>
      <w:r>
        <w:rPr>
          <w:sz w:val="21"/>
        </w:rPr>
        <w:t>and</w:t>
      </w:r>
      <w:r>
        <w:rPr>
          <w:spacing w:val="-4"/>
          <w:sz w:val="21"/>
        </w:rPr>
        <w:t> </w:t>
      </w:r>
      <w:r>
        <w:rPr>
          <w:sz w:val="21"/>
        </w:rPr>
        <w:t>in</w:t>
      </w:r>
      <w:r>
        <w:rPr>
          <w:spacing w:val="-4"/>
          <w:sz w:val="21"/>
        </w:rPr>
        <w:t> </w:t>
      </w:r>
      <w:r>
        <w:rPr>
          <w:sz w:val="21"/>
        </w:rPr>
        <w:t>early</w:t>
      </w:r>
      <w:r>
        <w:rPr>
          <w:spacing w:val="-5"/>
          <w:sz w:val="21"/>
        </w:rPr>
        <w:t> </w:t>
      </w:r>
      <w:r>
        <w:rPr>
          <w:sz w:val="21"/>
        </w:rPr>
        <w:t>FY 2023</w:t>
      </w:r>
      <w:r>
        <w:rPr>
          <w:spacing w:val="-5"/>
          <w:sz w:val="21"/>
        </w:rPr>
        <w:t> </w:t>
      </w:r>
      <w:r>
        <w:rPr>
          <w:sz w:val="21"/>
        </w:rPr>
        <w:t>was</w:t>
      </w:r>
      <w:r>
        <w:rPr>
          <w:spacing w:val="-5"/>
          <w:sz w:val="21"/>
        </w:rPr>
        <w:t> </w:t>
      </w:r>
      <w:r>
        <w:rPr>
          <w:sz w:val="21"/>
        </w:rPr>
        <w:t>in</w:t>
      </w:r>
      <w:r>
        <w:rPr>
          <w:spacing w:val="-4"/>
          <w:sz w:val="21"/>
        </w:rPr>
        <w:t> </w:t>
      </w:r>
      <w:r>
        <w:rPr>
          <w:sz w:val="21"/>
        </w:rPr>
        <w:t>conversations</w:t>
      </w:r>
      <w:r>
        <w:rPr>
          <w:spacing w:val="-5"/>
          <w:sz w:val="21"/>
        </w:rPr>
        <w:t> </w:t>
      </w:r>
      <w:r>
        <w:rPr>
          <w:sz w:val="21"/>
        </w:rPr>
        <w:t>to</w:t>
      </w:r>
      <w:r>
        <w:rPr>
          <w:spacing w:val="-5"/>
          <w:sz w:val="21"/>
        </w:rPr>
        <w:t> </w:t>
      </w:r>
      <w:r>
        <w:rPr>
          <w:sz w:val="21"/>
        </w:rPr>
        <w:t>continue</w:t>
      </w:r>
      <w:r>
        <w:rPr>
          <w:spacing w:val="-4"/>
          <w:sz w:val="21"/>
        </w:rPr>
        <w:t> </w:t>
      </w:r>
      <w:r>
        <w:rPr>
          <w:sz w:val="21"/>
        </w:rPr>
        <w:t>these</w:t>
      </w:r>
      <w:r>
        <w:rPr>
          <w:spacing w:val="-5"/>
          <w:sz w:val="21"/>
        </w:rPr>
        <w:t> </w:t>
      </w:r>
      <w:r>
        <w:rPr>
          <w:sz w:val="21"/>
        </w:rPr>
        <w:t>trainings</w:t>
      </w:r>
      <w:r>
        <w:rPr>
          <w:spacing w:val="-5"/>
          <w:sz w:val="21"/>
        </w:rPr>
        <w:t> </w:t>
      </w:r>
      <w:r>
        <w:rPr>
          <w:sz w:val="21"/>
        </w:rPr>
        <w:t>for</w:t>
      </w:r>
      <w:r>
        <w:rPr>
          <w:spacing w:val="-4"/>
          <w:sz w:val="21"/>
        </w:rPr>
        <w:t> </w:t>
      </w:r>
      <w:r>
        <w:rPr>
          <w:sz w:val="21"/>
        </w:rPr>
        <w:t>its</w:t>
      </w:r>
      <w:r>
        <w:rPr>
          <w:spacing w:val="-5"/>
          <w:sz w:val="21"/>
        </w:rPr>
        <w:t> </w:t>
      </w:r>
      <w:r>
        <w:rPr>
          <w:sz w:val="21"/>
        </w:rPr>
        <w:t>child</w:t>
      </w:r>
      <w:r>
        <w:rPr>
          <w:spacing w:val="-4"/>
          <w:sz w:val="21"/>
        </w:rPr>
        <w:t> </w:t>
      </w:r>
      <w:r>
        <w:rPr>
          <w:sz w:val="21"/>
        </w:rPr>
        <w:t>services</w:t>
      </w:r>
      <w:r>
        <w:rPr>
          <w:spacing w:val="-5"/>
          <w:sz w:val="21"/>
        </w:rPr>
        <w:t> </w:t>
      </w:r>
      <w:r>
        <w:rPr>
          <w:sz w:val="21"/>
        </w:rPr>
        <w:t>departments.</w:t>
      </w:r>
      <w:r>
        <w:rPr>
          <w:spacing w:val="-5"/>
          <w:sz w:val="21"/>
        </w:rPr>
        <w:t> </w:t>
      </w:r>
      <w:r>
        <w:rPr>
          <w:sz w:val="21"/>
        </w:rPr>
        <w:t>MCB</w:t>
      </w:r>
      <w:r>
        <w:rPr>
          <w:spacing w:val="-5"/>
          <w:sz w:val="21"/>
        </w:rPr>
        <w:t> </w:t>
      </w:r>
      <w:r>
        <w:rPr>
          <w:sz w:val="21"/>
        </w:rPr>
        <w:t>has</w:t>
      </w:r>
      <w:r>
        <w:rPr>
          <w:spacing w:val="-5"/>
          <w:sz w:val="21"/>
        </w:rPr>
        <w:t> </w:t>
      </w:r>
      <w:r>
        <w:rPr>
          <w:sz w:val="21"/>
        </w:rPr>
        <w:t>also</w:t>
      </w:r>
      <w:r>
        <w:rPr>
          <w:spacing w:val="-5"/>
          <w:sz w:val="21"/>
        </w:rPr>
        <w:t> </w:t>
      </w:r>
      <w:r>
        <w:rPr>
          <w:sz w:val="21"/>
        </w:rPr>
        <w:t>worked to incorporate the collection of pronouns into case notes through its providers, though the Commission currently</w:t>
      </w:r>
      <w:r>
        <w:rPr>
          <w:spacing w:val="-1"/>
          <w:sz w:val="21"/>
        </w:rPr>
        <w:t> </w:t>
      </w:r>
      <w:r>
        <w:rPr>
          <w:sz w:val="21"/>
        </w:rPr>
        <w:t>has</w:t>
      </w:r>
      <w:r>
        <w:rPr>
          <w:spacing w:val="-1"/>
          <w:sz w:val="21"/>
        </w:rPr>
        <w:t> </w:t>
      </w:r>
      <w:r>
        <w:rPr>
          <w:sz w:val="21"/>
        </w:rPr>
        <w:t>no</w:t>
      </w:r>
      <w:r>
        <w:rPr>
          <w:spacing w:val="-1"/>
          <w:sz w:val="21"/>
        </w:rPr>
        <w:t> </w:t>
      </w:r>
      <w:r>
        <w:rPr>
          <w:sz w:val="21"/>
        </w:rPr>
        <w:t>data</w:t>
      </w:r>
      <w:r>
        <w:rPr>
          <w:spacing w:val="-1"/>
          <w:sz w:val="21"/>
        </w:rPr>
        <w:t> </w:t>
      </w:r>
      <w:r>
        <w:rPr>
          <w:sz w:val="21"/>
        </w:rPr>
        <w:t>on</w:t>
      </w:r>
      <w:r>
        <w:rPr>
          <w:spacing w:val="-1"/>
          <w:sz w:val="21"/>
        </w:rPr>
        <w:t> </w:t>
      </w:r>
      <w:r>
        <w:rPr>
          <w:sz w:val="21"/>
        </w:rPr>
        <w:t>how</w:t>
      </w:r>
      <w:r>
        <w:rPr>
          <w:spacing w:val="-1"/>
          <w:sz w:val="21"/>
        </w:rPr>
        <w:t> </w:t>
      </w:r>
      <w:r>
        <w:rPr>
          <w:sz w:val="21"/>
        </w:rPr>
        <w:t>this</w:t>
      </w:r>
      <w:r>
        <w:rPr>
          <w:spacing w:val="-1"/>
          <w:sz w:val="21"/>
        </w:rPr>
        <w:t> </w:t>
      </w:r>
      <w:r>
        <w:rPr>
          <w:sz w:val="21"/>
        </w:rPr>
        <w:t>initiative</w:t>
      </w:r>
      <w:r>
        <w:rPr>
          <w:spacing w:val="-1"/>
          <w:sz w:val="21"/>
        </w:rPr>
        <w:t> </w:t>
      </w:r>
      <w:r>
        <w:rPr>
          <w:sz w:val="21"/>
        </w:rPr>
        <w:t>has</w:t>
      </w:r>
      <w:r>
        <w:rPr>
          <w:spacing w:val="-1"/>
          <w:sz w:val="21"/>
        </w:rPr>
        <w:t> </w:t>
      </w:r>
      <w:r>
        <w:rPr>
          <w:sz w:val="21"/>
        </w:rPr>
        <w:t>gone</w:t>
      </w:r>
      <w:r>
        <w:rPr>
          <w:spacing w:val="-1"/>
          <w:sz w:val="21"/>
        </w:rPr>
        <w:t> </w:t>
      </w:r>
      <w:r>
        <w:rPr>
          <w:sz w:val="21"/>
        </w:rPr>
        <w:t>so far.</w:t>
      </w:r>
      <w:r>
        <w:rPr>
          <w:spacing w:val="-1"/>
          <w:sz w:val="21"/>
        </w:rPr>
        <w:t> </w:t>
      </w:r>
      <w:r>
        <w:rPr>
          <w:sz w:val="21"/>
        </w:rPr>
        <w:t>The</w:t>
      </w:r>
      <w:r>
        <w:rPr>
          <w:spacing w:val="-1"/>
          <w:sz w:val="21"/>
        </w:rPr>
        <w:t> </w:t>
      </w:r>
      <w:r>
        <w:rPr>
          <w:sz w:val="21"/>
        </w:rPr>
        <w:t>Commission</w:t>
      </w:r>
      <w:r>
        <w:rPr>
          <w:spacing w:val="-1"/>
          <w:sz w:val="21"/>
        </w:rPr>
        <w:t> </w:t>
      </w:r>
      <w:r>
        <w:rPr>
          <w:sz w:val="21"/>
        </w:rPr>
        <w:t>hopes to</w:t>
      </w:r>
      <w:r>
        <w:rPr>
          <w:spacing w:val="-1"/>
          <w:sz w:val="21"/>
        </w:rPr>
        <w:t> </w:t>
      </w:r>
      <w:r>
        <w:rPr>
          <w:sz w:val="21"/>
        </w:rPr>
        <w:t>work more</w:t>
      </w:r>
      <w:r>
        <w:rPr>
          <w:spacing w:val="-1"/>
          <w:sz w:val="21"/>
        </w:rPr>
        <w:t> </w:t>
      </w:r>
      <w:r>
        <w:rPr>
          <w:sz w:val="21"/>
        </w:rPr>
        <w:t>closely</w:t>
      </w:r>
      <w:r>
        <w:rPr>
          <w:spacing w:val="-1"/>
          <w:sz w:val="21"/>
        </w:rPr>
        <w:t> </w:t>
      </w:r>
      <w:r>
        <w:rPr>
          <w:sz w:val="21"/>
        </w:rPr>
        <w:t>with MCB in the upcoming fiscal year to identify opportunities for resource development and support for blind LGBTQ youth, with particular attention to Deafblind communities.</w:t>
      </w:r>
    </w:p>
    <w:p>
      <w:pPr>
        <w:spacing w:before="240"/>
        <w:ind w:left="483" w:right="0" w:firstLine="0"/>
        <w:jc w:val="both"/>
        <w:rPr>
          <w:sz w:val="28"/>
        </w:rPr>
      </w:pPr>
      <w:r>
        <w:rPr>
          <w:color w:val="365F91"/>
          <w:sz w:val="28"/>
        </w:rPr>
        <w:t>FY</w:t>
      </w:r>
      <w:r>
        <w:rPr>
          <w:color w:val="365F91"/>
          <w:spacing w:val="-9"/>
          <w:sz w:val="28"/>
        </w:rPr>
        <w:t> </w:t>
      </w:r>
      <w:r>
        <w:rPr>
          <w:color w:val="365F91"/>
          <w:sz w:val="28"/>
        </w:rPr>
        <w:t>2025</w:t>
      </w:r>
      <w:r>
        <w:rPr>
          <w:color w:val="365F91"/>
          <w:spacing w:val="-9"/>
          <w:sz w:val="28"/>
        </w:rPr>
        <w:t> </w:t>
      </w:r>
      <w:r>
        <w:rPr>
          <w:color w:val="365F91"/>
          <w:sz w:val="28"/>
        </w:rPr>
        <w:t>Expanded</w:t>
      </w:r>
      <w:r>
        <w:rPr>
          <w:color w:val="365F91"/>
          <w:spacing w:val="-9"/>
          <w:sz w:val="28"/>
        </w:rPr>
        <w:t> </w:t>
      </w:r>
      <w:r>
        <w:rPr>
          <w:color w:val="365F91"/>
          <w:sz w:val="28"/>
        </w:rPr>
        <w:t>MCB</w:t>
      </w:r>
      <w:r>
        <w:rPr>
          <w:color w:val="365F91"/>
          <w:spacing w:val="-8"/>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698944">
                <wp:simplePos x="0" y="0"/>
                <wp:positionH relativeFrom="page">
                  <wp:posOffset>897636</wp:posOffset>
                </wp:positionH>
                <wp:positionV relativeFrom="paragraph">
                  <wp:posOffset>44346</wp:posOffset>
                </wp:positionV>
                <wp:extent cx="5976620" cy="6350"/>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5976620" cy="6350"/>
                        </a:xfrm>
                        <a:custGeom>
                          <a:avLst/>
                          <a:gdLst/>
                          <a:ahLst/>
                          <a:cxnLst/>
                          <a:rect l="l" t="t" r="r" b="b"/>
                          <a:pathLst>
                            <a:path w="5976620" h="6350">
                              <a:moveTo>
                                <a:pt x="5976366" y="0"/>
                              </a:moveTo>
                              <a:lnTo>
                                <a:pt x="0" y="0"/>
                              </a:lnTo>
                              <a:lnTo>
                                <a:pt x="0" y="6095"/>
                              </a:lnTo>
                              <a:lnTo>
                                <a:pt x="5976366" y="6095"/>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491855pt;width:470.58pt;height:.48pt;mso-position-horizontal-relative:page;mso-position-vertical-relative:paragraph;z-index:-15617536;mso-wrap-distance-left:0;mso-wrap-distance-right:0" id="docshape467" filled="true" fillcolor="#4f81bc" stroked="false">
                <v:fill type="solid"/>
                <w10:wrap type="topAndBottom"/>
              </v:rect>
            </w:pict>
          </mc:Fallback>
        </mc:AlternateContent>
      </w:r>
    </w:p>
    <w:p>
      <w:pPr>
        <w:pStyle w:val="ListParagraph"/>
        <w:numPr>
          <w:ilvl w:val="0"/>
          <w:numId w:val="37"/>
        </w:numPr>
        <w:tabs>
          <w:tab w:pos="483" w:val="left" w:leader="none"/>
        </w:tabs>
        <w:spacing w:line="276" w:lineRule="auto" w:before="241" w:after="0"/>
        <w:ind w:left="483" w:right="342" w:hanging="360"/>
        <w:jc w:val="left"/>
        <w:rPr>
          <w:b/>
          <w:sz w:val="21"/>
        </w:rPr>
      </w:pPr>
      <w:r>
        <w:rPr>
          <w:b/>
          <w:sz w:val="21"/>
        </w:rPr>
        <w:t>Provide professional development opportunities that prioritize intersectionality and center LGBTQ cultural engagement, racial equity, and adultism training sessions.</w:t>
      </w:r>
    </w:p>
    <w:p>
      <w:pPr>
        <w:spacing w:line="276" w:lineRule="auto" w:before="241"/>
        <w:ind w:left="483" w:right="339" w:firstLine="0"/>
        <w:jc w:val="both"/>
        <w:rPr>
          <w:sz w:val="21"/>
        </w:rPr>
      </w:pPr>
      <w:r>
        <w:rPr>
          <w:sz w:val="21"/>
        </w:rPr>
        <w:t>As</w:t>
      </w:r>
      <w:r>
        <w:rPr>
          <w:spacing w:val="-10"/>
          <w:sz w:val="21"/>
        </w:rPr>
        <w:t> </w:t>
      </w:r>
      <w:r>
        <w:rPr>
          <w:sz w:val="21"/>
        </w:rPr>
        <w:t>noted</w:t>
      </w:r>
      <w:r>
        <w:rPr>
          <w:spacing w:val="-9"/>
          <w:sz w:val="21"/>
        </w:rPr>
        <w:t> </w:t>
      </w:r>
      <w:r>
        <w:rPr>
          <w:sz w:val="21"/>
        </w:rPr>
        <w:t>above,</w:t>
      </w:r>
      <w:r>
        <w:rPr>
          <w:spacing w:val="-9"/>
          <w:sz w:val="21"/>
        </w:rPr>
        <w:t> </w:t>
      </w:r>
      <w:r>
        <w:rPr>
          <w:sz w:val="21"/>
        </w:rPr>
        <w:t>MCB</w:t>
      </w:r>
      <w:r>
        <w:rPr>
          <w:spacing w:val="-11"/>
          <w:sz w:val="21"/>
        </w:rPr>
        <w:t> </w:t>
      </w:r>
      <w:r>
        <w:rPr>
          <w:sz w:val="21"/>
        </w:rPr>
        <w:t>has</w:t>
      </w:r>
      <w:r>
        <w:rPr>
          <w:spacing w:val="-10"/>
          <w:sz w:val="21"/>
        </w:rPr>
        <w:t> </w:t>
      </w:r>
      <w:r>
        <w:rPr>
          <w:sz w:val="21"/>
        </w:rPr>
        <w:t>a</w:t>
      </w:r>
      <w:r>
        <w:rPr>
          <w:spacing w:val="-10"/>
          <w:sz w:val="21"/>
        </w:rPr>
        <w:t> </w:t>
      </w:r>
      <w:r>
        <w:rPr>
          <w:sz w:val="21"/>
        </w:rPr>
        <w:t>history</w:t>
      </w:r>
      <w:r>
        <w:rPr>
          <w:spacing w:val="-10"/>
          <w:sz w:val="21"/>
        </w:rPr>
        <w:t> </w:t>
      </w:r>
      <w:r>
        <w:rPr>
          <w:sz w:val="21"/>
        </w:rPr>
        <w:t>of</w:t>
      </w:r>
      <w:r>
        <w:rPr>
          <w:spacing w:val="-10"/>
          <w:sz w:val="21"/>
        </w:rPr>
        <w:t> </w:t>
      </w:r>
      <w:r>
        <w:rPr>
          <w:sz w:val="21"/>
        </w:rPr>
        <w:t>consistently</w:t>
      </w:r>
      <w:r>
        <w:rPr>
          <w:spacing w:val="-10"/>
          <w:sz w:val="21"/>
        </w:rPr>
        <w:t> </w:t>
      </w:r>
      <w:r>
        <w:rPr>
          <w:sz w:val="21"/>
        </w:rPr>
        <w:t>providing</w:t>
      </w:r>
      <w:r>
        <w:rPr>
          <w:spacing w:val="-10"/>
          <w:sz w:val="21"/>
        </w:rPr>
        <w:t> </w:t>
      </w:r>
      <w:r>
        <w:rPr>
          <w:sz w:val="21"/>
        </w:rPr>
        <w:t>trainings</w:t>
      </w:r>
      <w:r>
        <w:rPr>
          <w:spacing w:val="-10"/>
          <w:sz w:val="21"/>
        </w:rPr>
        <w:t> </w:t>
      </w:r>
      <w:r>
        <w:rPr>
          <w:sz w:val="21"/>
        </w:rPr>
        <w:t>for</w:t>
      </w:r>
      <w:r>
        <w:rPr>
          <w:spacing w:val="-9"/>
          <w:sz w:val="21"/>
        </w:rPr>
        <w:t> </w:t>
      </w:r>
      <w:r>
        <w:rPr>
          <w:sz w:val="21"/>
        </w:rPr>
        <w:t>its</w:t>
      </w:r>
      <w:r>
        <w:rPr>
          <w:spacing w:val="-10"/>
          <w:sz w:val="21"/>
        </w:rPr>
        <w:t> </w:t>
      </w:r>
      <w:r>
        <w:rPr>
          <w:sz w:val="21"/>
        </w:rPr>
        <w:t>staff</w:t>
      </w:r>
      <w:r>
        <w:rPr>
          <w:spacing w:val="-10"/>
          <w:sz w:val="21"/>
        </w:rPr>
        <w:t> </w:t>
      </w:r>
      <w:r>
        <w:rPr>
          <w:sz w:val="21"/>
        </w:rPr>
        <w:t>on</w:t>
      </w:r>
      <w:r>
        <w:rPr>
          <w:spacing w:val="-10"/>
          <w:sz w:val="21"/>
        </w:rPr>
        <w:t> </w:t>
      </w:r>
      <w:r>
        <w:rPr>
          <w:sz w:val="21"/>
        </w:rPr>
        <w:t>LGBTQ</w:t>
      </w:r>
      <w:r>
        <w:rPr>
          <w:spacing w:val="-9"/>
          <w:sz w:val="21"/>
        </w:rPr>
        <w:t> </w:t>
      </w:r>
      <w:r>
        <w:rPr>
          <w:sz w:val="21"/>
        </w:rPr>
        <w:t>inclusivity</w:t>
      </w:r>
      <w:r>
        <w:rPr>
          <w:spacing w:val="-10"/>
          <w:sz w:val="21"/>
        </w:rPr>
        <w:t> </w:t>
      </w:r>
      <w:r>
        <w:rPr>
          <w:sz w:val="21"/>
        </w:rPr>
        <w:t>and</w:t>
      </w:r>
      <w:r>
        <w:rPr>
          <w:spacing w:val="-10"/>
          <w:sz w:val="21"/>
        </w:rPr>
        <w:t> </w:t>
      </w:r>
      <w:r>
        <w:rPr>
          <w:sz w:val="21"/>
        </w:rPr>
        <w:t>SOGI data</w:t>
      </w:r>
      <w:r>
        <w:rPr>
          <w:spacing w:val="-4"/>
          <w:sz w:val="21"/>
        </w:rPr>
        <w:t> </w:t>
      </w:r>
      <w:r>
        <w:rPr>
          <w:sz w:val="21"/>
        </w:rPr>
        <w:t>collection.</w:t>
      </w:r>
      <w:r>
        <w:rPr>
          <w:spacing w:val="-5"/>
          <w:sz w:val="21"/>
        </w:rPr>
        <w:t> </w:t>
      </w:r>
      <w:r>
        <w:rPr>
          <w:sz w:val="21"/>
        </w:rPr>
        <w:t>In</w:t>
      </w:r>
      <w:r>
        <w:rPr>
          <w:spacing w:val="-4"/>
          <w:sz w:val="21"/>
        </w:rPr>
        <w:t> </w:t>
      </w:r>
      <w:r>
        <w:rPr>
          <w:sz w:val="21"/>
        </w:rPr>
        <w:t>April</w:t>
      </w:r>
      <w:r>
        <w:rPr>
          <w:spacing w:val="-4"/>
          <w:sz w:val="21"/>
        </w:rPr>
        <w:t> </w:t>
      </w:r>
      <w:r>
        <w:rPr>
          <w:sz w:val="21"/>
        </w:rPr>
        <w:t>2024,</w:t>
      </w:r>
      <w:r>
        <w:rPr>
          <w:spacing w:val="-4"/>
          <w:sz w:val="21"/>
        </w:rPr>
        <w:t> </w:t>
      </w:r>
      <w:r>
        <w:rPr>
          <w:sz w:val="21"/>
        </w:rPr>
        <w:t>MCB</w:t>
      </w:r>
      <w:r>
        <w:rPr>
          <w:spacing w:val="-5"/>
          <w:sz w:val="21"/>
        </w:rPr>
        <w:t> </w:t>
      </w:r>
      <w:r>
        <w:rPr>
          <w:sz w:val="21"/>
        </w:rPr>
        <w:t>shared</w:t>
      </w:r>
      <w:r>
        <w:rPr>
          <w:spacing w:val="-4"/>
          <w:sz w:val="21"/>
        </w:rPr>
        <w:t> </w:t>
      </w:r>
      <w:r>
        <w:rPr>
          <w:sz w:val="21"/>
        </w:rPr>
        <w:t>with</w:t>
      </w:r>
      <w:r>
        <w:rPr>
          <w:spacing w:val="-4"/>
          <w:sz w:val="21"/>
        </w:rPr>
        <w:t> </w:t>
      </w:r>
      <w:r>
        <w:rPr>
          <w:sz w:val="21"/>
        </w:rPr>
        <w:t>the</w:t>
      </w:r>
      <w:r>
        <w:rPr>
          <w:spacing w:val="-4"/>
          <w:sz w:val="21"/>
        </w:rPr>
        <w:t> </w:t>
      </w:r>
      <w:r>
        <w:rPr>
          <w:sz w:val="21"/>
        </w:rPr>
        <w:t>Commission</w:t>
      </w:r>
      <w:r>
        <w:rPr>
          <w:spacing w:val="-4"/>
          <w:sz w:val="21"/>
        </w:rPr>
        <w:t> </w:t>
      </w:r>
      <w:r>
        <w:rPr>
          <w:sz w:val="21"/>
        </w:rPr>
        <w:t>that</w:t>
      </w:r>
      <w:r>
        <w:rPr>
          <w:spacing w:val="-4"/>
          <w:sz w:val="21"/>
        </w:rPr>
        <w:t> </w:t>
      </w:r>
      <w:r>
        <w:rPr>
          <w:sz w:val="21"/>
        </w:rPr>
        <w:t>two</w:t>
      </w:r>
      <w:r>
        <w:rPr>
          <w:spacing w:val="-5"/>
          <w:sz w:val="21"/>
        </w:rPr>
        <w:t> </w:t>
      </w:r>
      <w:r>
        <w:rPr>
          <w:sz w:val="21"/>
        </w:rPr>
        <w:t>all-staff</w:t>
      </w:r>
      <w:r>
        <w:rPr>
          <w:spacing w:val="-5"/>
          <w:sz w:val="21"/>
        </w:rPr>
        <w:t> </w:t>
      </w:r>
      <w:r>
        <w:rPr>
          <w:sz w:val="21"/>
        </w:rPr>
        <w:t>trainings</w:t>
      </w:r>
      <w:r>
        <w:rPr>
          <w:spacing w:val="-5"/>
          <w:sz w:val="21"/>
        </w:rPr>
        <w:t> </w:t>
      </w:r>
      <w:r>
        <w:rPr>
          <w:sz w:val="21"/>
        </w:rPr>
        <w:t>occurred</w:t>
      </w:r>
      <w:r>
        <w:rPr>
          <w:spacing w:val="-4"/>
          <w:sz w:val="21"/>
        </w:rPr>
        <w:t> </w:t>
      </w:r>
      <w:r>
        <w:rPr>
          <w:sz w:val="21"/>
        </w:rPr>
        <w:t>on</w:t>
      </w:r>
      <w:r>
        <w:rPr>
          <w:spacing w:val="-4"/>
          <w:sz w:val="21"/>
        </w:rPr>
        <w:t> </w:t>
      </w:r>
      <w:r>
        <w:rPr>
          <w:sz w:val="21"/>
        </w:rPr>
        <w:t>LGBTQ cultural engagement in August and November 2023; some MCB staff have additionally joined the EOHHS/Commission trainings that run frequently throughout the year. Additional trainings have been identified</w:t>
      </w:r>
      <w:r>
        <w:rPr>
          <w:spacing w:val="14"/>
          <w:sz w:val="21"/>
        </w:rPr>
        <w:t> </w:t>
      </w:r>
      <w:r>
        <w:rPr>
          <w:sz w:val="21"/>
        </w:rPr>
        <w:t>by</w:t>
      </w:r>
      <w:r>
        <w:rPr>
          <w:spacing w:val="12"/>
          <w:sz w:val="21"/>
        </w:rPr>
        <w:t> </w:t>
      </w:r>
      <w:r>
        <w:rPr>
          <w:sz w:val="21"/>
        </w:rPr>
        <w:t>MCB</w:t>
      </w:r>
      <w:r>
        <w:rPr>
          <w:spacing w:val="13"/>
          <w:sz w:val="21"/>
        </w:rPr>
        <w:t> </w:t>
      </w:r>
      <w:r>
        <w:rPr>
          <w:sz w:val="21"/>
        </w:rPr>
        <w:t>as</w:t>
      </w:r>
      <w:r>
        <w:rPr>
          <w:spacing w:val="13"/>
          <w:sz w:val="21"/>
        </w:rPr>
        <w:t> </w:t>
      </w:r>
      <w:r>
        <w:rPr>
          <w:sz w:val="21"/>
        </w:rPr>
        <w:t>a</w:t>
      </w:r>
      <w:r>
        <w:rPr>
          <w:spacing w:val="13"/>
          <w:sz w:val="21"/>
        </w:rPr>
        <w:t> </w:t>
      </w:r>
      <w:r>
        <w:rPr>
          <w:sz w:val="21"/>
        </w:rPr>
        <w:t>part</w:t>
      </w:r>
      <w:r>
        <w:rPr>
          <w:spacing w:val="14"/>
          <w:sz w:val="21"/>
        </w:rPr>
        <w:t> </w:t>
      </w:r>
      <w:r>
        <w:rPr>
          <w:sz w:val="21"/>
        </w:rPr>
        <w:t>of</w:t>
      </w:r>
      <w:r>
        <w:rPr>
          <w:spacing w:val="13"/>
          <w:sz w:val="21"/>
        </w:rPr>
        <w:t> </w:t>
      </w:r>
      <w:r>
        <w:rPr>
          <w:sz w:val="21"/>
        </w:rPr>
        <w:t>its</w:t>
      </w:r>
      <w:r>
        <w:rPr>
          <w:spacing w:val="13"/>
          <w:sz w:val="21"/>
        </w:rPr>
        <w:t> </w:t>
      </w:r>
      <w:r>
        <w:rPr>
          <w:sz w:val="21"/>
        </w:rPr>
        <w:t>diversity</w:t>
      </w:r>
      <w:r>
        <w:rPr>
          <w:spacing w:val="13"/>
          <w:sz w:val="21"/>
        </w:rPr>
        <w:t> </w:t>
      </w:r>
      <w:r>
        <w:rPr>
          <w:sz w:val="21"/>
        </w:rPr>
        <w:t>plan.</w:t>
      </w:r>
      <w:r>
        <w:rPr>
          <w:spacing w:val="13"/>
          <w:sz w:val="21"/>
        </w:rPr>
        <w:t> </w:t>
      </w:r>
      <w:r>
        <w:rPr>
          <w:sz w:val="21"/>
        </w:rPr>
        <w:t>Overall,</w:t>
      </w:r>
      <w:r>
        <w:rPr>
          <w:spacing w:val="14"/>
          <w:sz w:val="21"/>
        </w:rPr>
        <w:t> </w:t>
      </w:r>
      <w:r>
        <w:rPr>
          <w:sz w:val="21"/>
        </w:rPr>
        <w:t>the</w:t>
      </w:r>
      <w:r>
        <w:rPr>
          <w:spacing w:val="12"/>
          <w:sz w:val="21"/>
        </w:rPr>
        <w:t> </w:t>
      </w:r>
      <w:r>
        <w:rPr>
          <w:sz w:val="21"/>
        </w:rPr>
        <w:t>Commission</w:t>
      </w:r>
      <w:r>
        <w:rPr>
          <w:spacing w:val="14"/>
          <w:sz w:val="21"/>
        </w:rPr>
        <w:t> </w:t>
      </w:r>
      <w:r>
        <w:rPr>
          <w:sz w:val="21"/>
        </w:rPr>
        <w:t>recommends</w:t>
      </w:r>
      <w:r>
        <w:rPr>
          <w:spacing w:val="13"/>
          <w:sz w:val="21"/>
        </w:rPr>
        <w:t> </w:t>
      </w:r>
      <w:r>
        <w:rPr>
          <w:sz w:val="21"/>
        </w:rPr>
        <w:t>that</w:t>
      </w:r>
      <w:r>
        <w:rPr>
          <w:spacing w:val="13"/>
          <w:sz w:val="21"/>
        </w:rPr>
        <w:t> </w:t>
      </w:r>
      <w:r>
        <w:rPr>
          <w:sz w:val="21"/>
        </w:rPr>
        <w:t>the</w:t>
      </w:r>
      <w:r>
        <w:rPr>
          <w:spacing w:val="12"/>
          <w:sz w:val="21"/>
        </w:rPr>
        <w:t> </w:t>
      </w:r>
      <w:r>
        <w:rPr>
          <w:sz w:val="21"/>
        </w:rPr>
        <w:t>agency,</w:t>
      </w:r>
      <w:r>
        <w:rPr>
          <w:spacing w:val="14"/>
          <w:sz w:val="21"/>
        </w:rPr>
        <w:t> </w:t>
      </w:r>
      <w:r>
        <w:rPr>
          <w:sz w:val="21"/>
        </w:rPr>
        <w:t>like</w:t>
      </w:r>
    </w:p>
    <w:p>
      <w:pPr>
        <w:spacing w:after="0" w:line="276" w:lineRule="auto"/>
        <w:jc w:val="both"/>
        <w:rPr>
          <w:sz w:val="21"/>
        </w:rPr>
        <w:sectPr>
          <w:headerReference w:type="default" r:id="rId728"/>
          <w:footerReference w:type="default" r:id="rId729"/>
          <w:pgSz w:w="12240" w:h="15840"/>
          <w:pgMar w:header="804" w:footer="1263" w:top="1000" w:bottom="1460" w:left="960" w:right="1100"/>
        </w:sectPr>
      </w:pPr>
    </w:p>
    <w:p>
      <w:pPr>
        <w:pStyle w:val="BodyText"/>
        <w:spacing w:before="130"/>
        <w:rPr>
          <w:sz w:val="21"/>
        </w:rPr>
      </w:pPr>
    </w:p>
    <w:p>
      <w:pPr>
        <w:spacing w:line="276" w:lineRule="auto" w:before="1"/>
        <w:ind w:left="483" w:right="340" w:firstLine="0"/>
        <w:jc w:val="both"/>
        <w:rPr>
          <w:sz w:val="21"/>
        </w:rPr>
      </w:pPr>
      <w:r>
        <w:rPr>
          <w:sz w:val="21"/>
        </w:rPr>
        <w:t>many others, expands its approach to its training plan to include sessions that highlight racial equity and </w:t>
      </w:r>
      <w:r>
        <w:rPr>
          <w:spacing w:val="-2"/>
          <w:sz w:val="21"/>
        </w:rPr>
        <w:t>adultism.</w:t>
      </w:r>
    </w:p>
    <w:p>
      <w:pPr>
        <w:pStyle w:val="ListParagraph"/>
        <w:numPr>
          <w:ilvl w:val="0"/>
          <w:numId w:val="37"/>
        </w:numPr>
        <w:tabs>
          <w:tab w:pos="483" w:val="left" w:leader="none"/>
        </w:tabs>
        <w:spacing w:line="276" w:lineRule="auto" w:before="239" w:after="0"/>
        <w:ind w:left="483" w:right="342" w:hanging="360"/>
        <w:jc w:val="left"/>
        <w:rPr>
          <w:b/>
          <w:sz w:val="21"/>
        </w:rPr>
      </w:pPr>
      <w:r>
        <w:rPr>
          <w:b/>
          <w:sz w:val="21"/>
        </w:rPr>
        <w:t>Continue</w:t>
      </w:r>
      <w:r>
        <w:rPr>
          <w:b/>
          <w:spacing w:val="-5"/>
          <w:sz w:val="21"/>
        </w:rPr>
        <w:t> </w:t>
      </w:r>
      <w:r>
        <w:rPr>
          <w:b/>
          <w:sz w:val="21"/>
        </w:rPr>
        <w:t>to</w:t>
      </w:r>
      <w:r>
        <w:rPr>
          <w:b/>
          <w:spacing w:val="-5"/>
          <w:sz w:val="21"/>
        </w:rPr>
        <w:t> </w:t>
      </w:r>
      <w:r>
        <w:rPr>
          <w:b/>
          <w:sz w:val="21"/>
        </w:rPr>
        <w:t>revise</w:t>
      </w:r>
      <w:r>
        <w:rPr>
          <w:b/>
          <w:spacing w:val="-5"/>
          <w:sz w:val="21"/>
        </w:rPr>
        <w:t> </w:t>
      </w:r>
      <w:r>
        <w:rPr>
          <w:b/>
          <w:sz w:val="21"/>
        </w:rPr>
        <w:t>SOGI</w:t>
      </w:r>
      <w:r>
        <w:rPr>
          <w:b/>
          <w:spacing w:val="-4"/>
          <w:sz w:val="21"/>
        </w:rPr>
        <w:t> </w:t>
      </w:r>
      <w:r>
        <w:rPr>
          <w:b/>
          <w:sz w:val="21"/>
        </w:rPr>
        <w:t>data</w:t>
      </w:r>
      <w:r>
        <w:rPr>
          <w:b/>
          <w:spacing w:val="-5"/>
          <w:sz w:val="21"/>
        </w:rPr>
        <w:t> </w:t>
      </w:r>
      <w:r>
        <w:rPr>
          <w:b/>
          <w:sz w:val="21"/>
        </w:rPr>
        <w:t>collection</w:t>
      </w:r>
      <w:r>
        <w:rPr>
          <w:b/>
          <w:spacing w:val="-4"/>
          <w:sz w:val="21"/>
        </w:rPr>
        <w:t> </w:t>
      </w:r>
      <w:r>
        <w:rPr>
          <w:b/>
          <w:sz w:val="21"/>
        </w:rPr>
        <w:t>standards</w:t>
      </w:r>
      <w:r>
        <w:rPr>
          <w:b/>
          <w:spacing w:val="-4"/>
          <w:sz w:val="21"/>
        </w:rPr>
        <w:t> </w:t>
      </w:r>
      <w:r>
        <w:rPr>
          <w:b/>
          <w:sz w:val="21"/>
        </w:rPr>
        <w:t>and</w:t>
      </w:r>
      <w:r>
        <w:rPr>
          <w:b/>
          <w:spacing w:val="-4"/>
          <w:sz w:val="21"/>
        </w:rPr>
        <w:t> </w:t>
      </w:r>
      <w:r>
        <w:rPr>
          <w:b/>
          <w:sz w:val="21"/>
        </w:rPr>
        <w:t>data</w:t>
      </w:r>
      <w:r>
        <w:rPr>
          <w:b/>
          <w:spacing w:val="-5"/>
          <w:sz w:val="21"/>
        </w:rPr>
        <w:t> </w:t>
      </w:r>
      <w:r>
        <w:rPr>
          <w:b/>
          <w:sz w:val="21"/>
        </w:rPr>
        <w:t>fields</w:t>
      </w:r>
      <w:r>
        <w:rPr>
          <w:b/>
          <w:spacing w:val="-4"/>
          <w:sz w:val="21"/>
        </w:rPr>
        <w:t> </w:t>
      </w:r>
      <w:r>
        <w:rPr>
          <w:b/>
          <w:sz w:val="21"/>
        </w:rPr>
        <w:t>to</w:t>
      </w:r>
      <w:r>
        <w:rPr>
          <w:b/>
          <w:spacing w:val="-4"/>
          <w:sz w:val="21"/>
        </w:rPr>
        <w:t> </w:t>
      </w:r>
      <w:r>
        <w:rPr>
          <w:b/>
          <w:sz w:val="21"/>
        </w:rPr>
        <w:t>include</w:t>
      </w:r>
      <w:r>
        <w:rPr>
          <w:b/>
          <w:spacing w:val="-5"/>
          <w:sz w:val="21"/>
        </w:rPr>
        <w:t> </w:t>
      </w:r>
      <w:r>
        <w:rPr>
          <w:b/>
          <w:sz w:val="21"/>
        </w:rPr>
        <w:t>more</w:t>
      </w:r>
      <w:r>
        <w:rPr>
          <w:b/>
          <w:spacing w:val="-5"/>
          <w:sz w:val="21"/>
        </w:rPr>
        <w:t> </w:t>
      </w:r>
      <w:r>
        <w:rPr>
          <w:b/>
          <w:sz w:val="21"/>
        </w:rPr>
        <w:t>expansive</w:t>
      </w:r>
      <w:r>
        <w:rPr>
          <w:b/>
          <w:spacing w:val="-5"/>
          <w:sz w:val="21"/>
        </w:rPr>
        <w:t> </w:t>
      </w:r>
      <w:r>
        <w:rPr>
          <w:b/>
          <w:sz w:val="21"/>
        </w:rPr>
        <w:t>gender</w:t>
      </w:r>
      <w:r>
        <w:rPr>
          <w:b/>
          <w:spacing w:val="-5"/>
          <w:sz w:val="21"/>
        </w:rPr>
        <w:t> </w:t>
      </w:r>
      <w:r>
        <w:rPr>
          <w:b/>
          <w:sz w:val="21"/>
        </w:rPr>
        <w:t>identity markers and provide trainings on the necessity of SOGIE data collection.</w:t>
      </w:r>
    </w:p>
    <w:p>
      <w:pPr>
        <w:spacing w:line="276" w:lineRule="auto" w:before="240"/>
        <w:ind w:left="483" w:right="341" w:firstLine="0"/>
        <w:jc w:val="both"/>
        <w:rPr>
          <w:sz w:val="21"/>
        </w:rPr>
      </w:pPr>
      <w:r>
        <w:rPr>
          <w:sz w:val="21"/>
        </w:rPr>
        <w:t>For</w:t>
      </w:r>
      <w:r>
        <w:rPr>
          <w:spacing w:val="-4"/>
          <w:sz w:val="21"/>
        </w:rPr>
        <w:t> </w:t>
      </w:r>
      <w:r>
        <w:rPr>
          <w:sz w:val="21"/>
        </w:rPr>
        <w:t>several</w:t>
      </w:r>
      <w:r>
        <w:rPr>
          <w:spacing w:val="-4"/>
          <w:sz w:val="21"/>
        </w:rPr>
        <w:t> </w:t>
      </w:r>
      <w:r>
        <w:rPr>
          <w:sz w:val="21"/>
        </w:rPr>
        <w:t>years,</w:t>
      </w:r>
      <w:r>
        <w:rPr>
          <w:spacing w:val="-4"/>
          <w:sz w:val="21"/>
        </w:rPr>
        <w:t> </w:t>
      </w:r>
      <w:r>
        <w:rPr>
          <w:sz w:val="21"/>
        </w:rPr>
        <w:t>the</w:t>
      </w:r>
      <w:r>
        <w:rPr>
          <w:spacing w:val="-4"/>
          <w:sz w:val="21"/>
        </w:rPr>
        <w:t> </w:t>
      </w:r>
      <w:r>
        <w:rPr>
          <w:sz w:val="21"/>
        </w:rPr>
        <w:t>Commission</w:t>
      </w:r>
      <w:r>
        <w:rPr>
          <w:spacing w:val="-4"/>
          <w:sz w:val="21"/>
        </w:rPr>
        <w:t> </w:t>
      </w:r>
      <w:r>
        <w:rPr>
          <w:sz w:val="21"/>
        </w:rPr>
        <w:t>has</w:t>
      </w:r>
      <w:r>
        <w:rPr>
          <w:spacing w:val="-5"/>
          <w:sz w:val="21"/>
        </w:rPr>
        <w:t> </w:t>
      </w:r>
      <w:r>
        <w:rPr>
          <w:sz w:val="21"/>
        </w:rPr>
        <w:t>issued</w:t>
      </w:r>
      <w:r>
        <w:rPr>
          <w:spacing w:val="-4"/>
          <w:sz w:val="21"/>
        </w:rPr>
        <w:t> </w:t>
      </w:r>
      <w:r>
        <w:rPr>
          <w:sz w:val="21"/>
        </w:rPr>
        <w:t>this</w:t>
      </w:r>
      <w:r>
        <w:rPr>
          <w:spacing w:val="-5"/>
          <w:sz w:val="21"/>
        </w:rPr>
        <w:t> </w:t>
      </w:r>
      <w:r>
        <w:rPr>
          <w:sz w:val="21"/>
        </w:rPr>
        <w:t>recommendation</w:t>
      </w:r>
      <w:r>
        <w:rPr>
          <w:spacing w:val="-4"/>
          <w:sz w:val="21"/>
        </w:rPr>
        <w:t> </w:t>
      </w:r>
      <w:r>
        <w:rPr>
          <w:sz w:val="21"/>
        </w:rPr>
        <w:t>to</w:t>
      </w:r>
      <w:r>
        <w:rPr>
          <w:spacing w:val="-4"/>
          <w:sz w:val="21"/>
        </w:rPr>
        <w:t> </w:t>
      </w:r>
      <w:r>
        <w:rPr>
          <w:sz w:val="21"/>
        </w:rPr>
        <w:t>MCB</w:t>
      </w:r>
      <w:r>
        <w:rPr>
          <w:spacing w:val="-4"/>
          <w:sz w:val="21"/>
        </w:rPr>
        <w:t> </w:t>
      </w:r>
      <w:r>
        <w:rPr>
          <w:sz w:val="21"/>
        </w:rPr>
        <w:t>and</w:t>
      </w:r>
      <w:r>
        <w:rPr>
          <w:spacing w:val="-4"/>
          <w:sz w:val="21"/>
        </w:rPr>
        <w:t> </w:t>
      </w:r>
      <w:r>
        <w:rPr>
          <w:sz w:val="21"/>
        </w:rPr>
        <w:t>saw</w:t>
      </w:r>
      <w:r>
        <w:rPr>
          <w:spacing w:val="-4"/>
          <w:sz w:val="21"/>
        </w:rPr>
        <w:t> </w:t>
      </w:r>
      <w:r>
        <w:rPr>
          <w:sz w:val="21"/>
        </w:rPr>
        <w:t>significant</w:t>
      </w:r>
      <w:r>
        <w:rPr>
          <w:spacing w:val="-4"/>
          <w:sz w:val="21"/>
        </w:rPr>
        <w:t> </w:t>
      </w:r>
      <w:r>
        <w:rPr>
          <w:sz w:val="21"/>
        </w:rPr>
        <w:t>progress</w:t>
      </w:r>
      <w:r>
        <w:rPr>
          <w:spacing w:val="-5"/>
          <w:sz w:val="21"/>
        </w:rPr>
        <w:t> </w:t>
      </w:r>
      <w:r>
        <w:rPr>
          <w:sz w:val="21"/>
        </w:rPr>
        <w:t>on</w:t>
      </w:r>
      <w:r>
        <w:rPr>
          <w:spacing w:val="-4"/>
          <w:sz w:val="21"/>
        </w:rPr>
        <w:t> </w:t>
      </w:r>
      <w:r>
        <w:rPr>
          <w:sz w:val="21"/>
        </w:rPr>
        <w:t>its data collection efforts, which have continued. The Commission understands that MCB is in the process of finalizing</w:t>
      </w:r>
      <w:r>
        <w:rPr>
          <w:spacing w:val="-7"/>
          <w:sz w:val="21"/>
        </w:rPr>
        <w:t> </w:t>
      </w:r>
      <w:r>
        <w:rPr>
          <w:sz w:val="21"/>
        </w:rPr>
        <w:t>data</w:t>
      </w:r>
      <w:r>
        <w:rPr>
          <w:spacing w:val="-6"/>
          <w:sz w:val="21"/>
        </w:rPr>
        <w:t> </w:t>
      </w:r>
      <w:r>
        <w:rPr>
          <w:sz w:val="21"/>
        </w:rPr>
        <w:t>fields</w:t>
      </w:r>
      <w:r>
        <w:rPr>
          <w:spacing w:val="-7"/>
          <w:sz w:val="21"/>
        </w:rPr>
        <w:t> </w:t>
      </w:r>
      <w:r>
        <w:rPr>
          <w:sz w:val="21"/>
        </w:rPr>
        <w:t>in</w:t>
      </w:r>
      <w:r>
        <w:rPr>
          <w:spacing w:val="-7"/>
          <w:sz w:val="21"/>
        </w:rPr>
        <w:t> </w:t>
      </w:r>
      <w:r>
        <w:rPr>
          <w:sz w:val="21"/>
        </w:rPr>
        <w:t>its</w:t>
      </w:r>
      <w:r>
        <w:rPr>
          <w:spacing w:val="-8"/>
          <w:sz w:val="21"/>
        </w:rPr>
        <w:t> </w:t>
      </w:r>
      <w:r>
        <w:rPr>
          <w:sz w:val="21"/>
        </w:rPr>
        <w:t>registration</w:t>
      </w:r>
      <w:r>
        <w:rPr>
          <w:spacing w:val="-7"/>
          <w:sz w:val="21"/>
        </w:rPr>
        <w:t> </w:t>
      </w:r>
      <w:r>
        <w:rPr>
          <w:sz w:val="21"/>
        </w:rPr>
        <w:t>software</w:t>
      </w:r>
      <w:r>
        <w:rPr>
          <w:spacing w:val="-7"/>
          <w:sz w:val="21"/>
        </w:rPr>
        <w:t> </w:t>
      </w:r>
      <w:r>
        <w:rPr>
          <w:sz w:val="21"/>
        </w:rPr>
        <w:t>that</w:t>
      </w:r>
      <w:r>
        <w:rPr>
          <w:spacing w:val="-7"/>
          <w:sz w:val="21"/>
        </w:rPr>
        <w:t> </w:t>
      </w:r>
      <w:r>
        <w:rPr>
          <w:sz w:val="21"/>
        </w:rPr>
        <w:t>capture</w:t>
      </w:r>
      <w:r>
        <w:rPr>
          <w:spacing w:val="-7"/>
          <w:sz w:val="21"/>
        </w:rPr>
        <w:t> </w:t>
      </w:r>
      <w:r>
        <w:rPr>
          <w:sz w:val="21"/>
        </w:rPr>
        <w:t>pronouns</w:t>
      </w:r>
      <w:r>
        <w:rPr>
          <w:spacing w:val="-7"/>
          <w:sz w:val="21"/>
        </w:rPr>
        <w:t> </w:t>
      </w:r>
      <w:r>
        <w:rPr>
          <w:sz w:val="21"/>
        </w:rPr>
        <w:t>and</w:t>
      </w:r>
      <w:r>
        <w:rPr>
          <w:spacing w:val="-8"/>
          <w:sz w:val="21"/>
        </w:rPr>
        <w:t> </w:t>
      </w:r>
      <w:r>
        <w:rPr>
          <w:sz w:val="21"/>
        </w:rPr>
        <w:t>SOGI</w:t>
      </w:r>
      <w:r>
        <w:rPr>
          <w:spacing w:val="-7"/>
          <w:sz w:val="21"/>
        </w:rPr>
        <w:t> </w:t>
      </w:r>
      <w:r>
        <w:rPr>
          <w:sz w:val="21"/>
        </w:rPr>
        <w:t>information</w:t>
      </w:r>
      <w:r>
        <w:rPr>
          <w:spacing w:val="-7"/>
          <w:sz w:val="21"/>
        </w:rPr>
        <w:t> </w:t>
      </w:r>
      <w:r>
        <w:rPr>
          <w:sz w:val="21"/>
        </w:rPr>
        <w:t>and</w:t>
      </w:r>
      <w:r>
        <w:rPr>
          <w:spacing w:val="-7"/>
          <w:sz w:val="21"/>
        </w:rPr>
        <w:t> </w:t>
      </w:r>
      <w:r>
        <w:rPr>
          <w:sz w:val="21"/>
        </w:rPr>
        <w:t>ensuring</w:t>
      </w:r>
      <w:r>
        <w:rPr>
          <w:spacing w:val="-7"/>
          <w:sz w:val="21"/>
        </w:rPr>
        <w:t> </w:t>
      </w:r>
      <w:r>
        <w:rPr>
          <w:sz w:val="21"/>
        </w:rPr>
        <w:t>that the data fields are mandatory.</w:t>
      </w:r>
    </w:p>
    <w:p>
      <w:pPr>
        <w:pStyle w:val="ListParagraph"/>
        <w:numPr>
          <w:ilvl w:val="0"/>
          <w:numId w:val="37"/>
        </w:numPr>
        <w:tabs>
          <w:tab w:pos="483" w:val="left" w:leader="none"/>
        </w:tabs>
        <w:spacing w:line="276" w:lineRule="auto" w:before="240" w:after="0"/>
        <w:ind w:left="483" w:right="342" w:hanging="360"/>
        <w:jc w:val="left"/>
        <w:rPr>
          <w:b/>
          <w:sz w:val="21"/>
        </w:rPr>
      </w:pPr>
      <w:r>
        <w:rPr>
          <w:b/>
          <w:sz w:val="21"/>
        </w:rPr>
        <w:t>Collaborate</w:t>
      </w:r>
      <w:r>
        <w:rPr>
          <w:b/>
          <w:spacing w:val="40"/>
          <w:sz w:val="21"/>
        </w:rPr>
        <w:t> </w:t>
      </w:r>
      <w:r>
        <w:rPr>
          <w:b/>
          <w:sz w:val="21"/>
        </w:rPr>
        <w:t>with</w:t>
      </w:r>
      <w:r>
        <w:rPr>
          <w:b/>
          <w:spacing w:val="40"/>
          <w:sz w:val="21"/>
        </w:rPr>
        <w:t> </w:t>
      </w:r>
      <w:r>
        <w:rPr>
          <w:b/>
          <w:sz w:val="21"/>
        </w:rPr>
        <w:t>the</w:t>
      </w:r>
      <w:r>
        <w:rPr>
          <w:b/>
          <w:spacing w:val="40"/>
          <w:sz w:val="21"/>
        </w:rPr>
        <w:t> </w:t>
      </w:r>
      <w:r>
        <w:rPr>
          <w:b/>
          <w:sz w:val="21"/>
        </w:rPr>
        <w:t>Commission,</w:t>
      </w:r>
      <w:r>
        <w:rPr>
          <w:b/>
          <w:spacing w:val="40"/>
          <w:sz w:val="21"/>
        </w:rPr>
        <w:t> </w:t>
      </w:r>
      <w:r>
        <w:rPr>
          <w:b/>
          <w:sz w:val="21"/>
        </w:rPr>
        <w:t>youth-serving</w:t>
      </w:r>
      <w:r>
        <w:rPr>
          <w:b/>
          <w:spacing w:val="40"/>
          <w:sz w:val="21"/>
        </w:rPr>
        <w:t> </w:t>
      </w:r>
      <w:r>
        <w:rPr>
          <w:b/>
          <w:sz w:val="21"/>
        </w:rPr>
        <w:t>agencies,</w:t>
      </w:r>
      <w:r>
        <w:rPr>
          <w:b/>
          <w:spacing w:val="40"/>
          <w:sz w:val="21"/>
        </w:rPr>
        <w:t> </w:t>
      </w:r>
      <w:r>
        <w:rPr>
          <w:b/>
          <w:sz w:val="21"/>
        </w:rPr>
        <w:t>and</w:t>
      </w:r>
      <w:r>
        <w:rPr>
          <w:b/>
          <w:spacing w:val="40"/>
          <w:sz w:val="21"/>
        </w:rPr>
        <w:t> </w:t>
      </w:r>
      <w:r>
        <w:rPr>
          <w:b/>
          <w:sz w:val="21"/>
        </w:rPr>
        <w:t>other</w:t>
      </w:r>
      <w:r>
        <w:rPr>
          <w:b/>
          <w:spacing w:val="40"/>
          <w:sz w:val="21"/>
        </w:rPr>
        <w:t> </w:t>
      </w:r>
      <w:r>
        <w:rPr>
          <w:b/>
          <w:sz w:val="21"/>
        </w:rPr>
        <w:t>community</w:t>
      </w:r>
      <w:r>
        <w:rPr>
          <w:b/>
          <w:spacing w:val="40"/>
          <w:sz w:val="21"/>
        </w:rPr>
        <w:t> </w:t>
      </w:r>
      <w:r>
        <w:rPr>
          <w:b/>
          <w:sz w:val="21"/>
        </w:rPr>
        <w:t>partners</w:t>
      </w:r>
      <w:r>
        <w:rPr>
          <w:b/>
          <w:spacing w:val="40"/>
          <w:sz w:val="21"/>
        </w:rPr>
        <w:t> </w:t>
      </w:r>
      <w:r>
        <w:rPr>
          <w:b/>
          <w:sz w:val="21"/>
        </w:rPr>
        <w:t>on</w:t>
      </w:r>
      <w:r>
        <w:rPr>
          <w:b/>
          <w:spacing w:val="40"/>
          <w:sz w:val="21"/>
        </w:rPr>
        <w:t> </w:t>
      </w:r>
      <w:r>
        <w:rPr>
          <w:b/>
          <w:sz w:val="21"/>
        </w:rPr>
        <w:t>resource development and community support.</w:t>
      </w:r>
    </w:p>
    <w:p>
      <w:pPr>
        <w:spacing w:line="276" w:lineRule="auto" w:before="240"/>
        <w:ind w:left="483" w:right="340" w:firstLine="0"/>
        <w:jc w:val="both"/>
        <w:rPr>
          <w:sz w:val="21"/>
        </w:rPr>
      </w:pPr>
      <w:r>
        <w:rPr>
          <w:sz w:val="21"/>
        </w:rPr>
        <w:t>The Commission has heard from youth frequently that finding accessible spaces for blind LGBTQ youth, similarly to Deaf and hard of hearing youth, can be difficult across the space. The Commission recommends that MCB explore existing and new relationships to better understand existing LGBTQ spaces for blind community members, and to help fill gaps where appropriate.</w:t>
      </w:r>
    </w:p>
    <w:p>
      <w:pPr>
        <w:spacing w:after="0" w:line="276" w:lineRule="auto"/>
        <w:jc w:val="both"/>
        <w:rPr>
          <w:sz w:val="21"/>
        </w:rPr>
        <w:sectPr>
          <w:pgSz w:w="12240" w:h="15840"/>
          <w:pgMar w:header="804" w:footer="1263" w:top="1000" w:bottom="1460" w:left="960" w:right="1100"/>
        </w:sectPr>
      </w:pPr>
    </w:p>
    <w:p>
      <w:pPr>
        <w:pStyle w:val="BodyText"/>
        <w:rPr>
          <w:sz w:val="20"/>
        </w:rPr>
      </w:pPr>
    </w:p>
    <w:p>
      <w:pPr>
        <w:pStyle w:val="BodyText"/>
        <w:rPr>
          <w:sz w:val="20"/>
        </w:rPr>
      </w:pPr>
    </w:p>
    <w:p>
      <w:pPr>
        <w:pStyle w:val="BodyText"/>
        <w:spacing w:before="73" w:after="1"/>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574" name="Group 574"/>
                <wp:cNvGraphicFramePr>
                  <a:graphicFrameLocks/>
                </wp:cNvGraphicFramePr>
                <a:graphic>
                  <a:graphicData uri="http://schemas.microsoft.com/office/word/2010/wordprocessingGroup">
                    <wpg:wgp>
                      <wpg:cNvPr id="574" name="Group 574"/>
                      <wpg:cNvGrpSpPr/>
                      <wpg:grpSpPr>
                        <a:xfrm>
                          <a:off x="0" y="0"/>
                          <a:ext cx="6350" cy="12700"/>
                          <a:chExt cx="6350" cy="12700"/>
                        </a:xfrm>
                      </wpg:grpSpPr>
                      <wps:wsp>
                        <wps:cNvPr id="575" name="Graphic 575"/>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471" coordorigin="0,0" coordsize="10,20">
                <v:rect style="position:absolute;left:0;top:0;width:10;height:20" id="docshape472" filled="true" fillcolor="#4f81bb" stroked="false">
                  <v:fill type="solid"/>
                </v:rect>
              </v:group>
            </w:pict>
          </mc:Fallback>
        </mc:AlternateContent>
      </w:r>
      <w:r>
        <w:rPr>
          <w:sz w:val="2"/>
        </w:rPr>
      </w:r>
    </w:p>
    <w:p>
      <w:pPr>
        <w:pStyle w:val="Heading7"/>
      </w:pPr>
      <w:bookmarkStart w:name="_bookmark628" w:id="935"/>
      <w:bookmarkEnd w:id="935"/>
      <w:r>
        <w:rPr/>
      </w:r>
      <w:hyperlink w:history="true" w:anchor="_bookmark6">
        <w:r>
          <w:rPr>
            <w:color w:val="365F91"/>
            <w:spacing w:val="-8"/>
          </w:rPr>
          <w:t>Commission</w:t>
        </w:r>
        <w:r>
          <w:rPr>
            <w:color w:val="365F91"/>
            <w:spacing w:val="-14"/>
          </w:rPr>
          <w:t> </w:t>
        </w:r>
        <w:r>
          <w:rPr>
            <w:color w:val="365F91"/>
            <w:spacing w:val="-8"/>
          </w:rPr>
          <w:t>for</w:t>
        </w:r>
        <w:r>
          <w:rPr>
            <w:color w:val="365F91"/>
            <w:spacing w:val="-13"/>
          </w:rPr>
          <w:t> </w:t>
        </w:r>
        <w:r>
          <w:rPr>
            <w:color w:val="365F91"/>
            <w:spacing w:val="-8"/>
          </w:rPr>
          <w:t>the</w:t>
        </w:r>
        <w:r>
          <w:rPr>
            <w:color w:val="365F91"/>
            <w:spacing w:val="-12"/>
          </w:rPr>
          <w:t> </w:t>
        </w:r>
        <w:r>
          <w:rPr>
            <w:color w:val="365F91"/>
            <w:spacing w:val="-8"/>
          </w:rPr>
          <w:t>Deaf</w:t>
        </w:r>
        <w:r>
          <w:rPr>
            <w:color w:val="365F91"/>
            <w:spacing w:val="-12"/>
          </w:rPr>
          <w:t> </w:t>
        </w:r>
        <w:r>
          <w:rPr>
            <w:color w:val="365F91"/>
            <w:spacing w:val="-8"/>
          </w:rPr>
          <w:t>and</w:t>
        </w:r>
        <w:r>
          <w:rPr>
            <w:color w:val="365F91"/>
            <w:spacing w:val="-12"/>
          </w:rPr>
          <w:t> </w:t>
        </w:r>
        <w:r>
          <w:rPr>
            <w:color w:val="365F91"/>
            <w:spacing w:val="-8"/>
          </w:rPr>
          <w:t>Hard</w:t>
        </w:r>
        <w:r>
          <w:rPr>
            <w:color w:val="365F91"/>
            <w:spacing w:val="-13"/>
          </w:rPr>
          <w:t> </w:t>
        </w:r>
        <w:r>
          <w:rPr>
            <w:color w:val="365F91"/>
            <w:spacing w:val="-8"/>
          </w:rPr>
          <w:t>of</w:t>
        </w:r>
        <w:r>
          <w:rPr>
            <w:color w:val="365F91"/>
            <w:spacing w:val="-12"/>
          </w:rPr>
          <w:t> </w:t>
        </w:r>
        <w:r>
          <w:rPr>
            <w:color w:val="365F91"/>
            <w:spacing w:val="-8"/>
          </w:rPr>
          <w:t>Hearing</w:t>
        </w:r>
      </w:hyperlink>
    </w:p>
    <w:p>
      <w:pPr>
        <w:pStyle w:val="BodyText"/>
        <w:rPr>
          <w:sz w:val="20"/>
        </w:rPr>
      </w:pPr>
    </w:p>
    <w:p>
      <w:pPr>
        <w:pStyle w:val="BodyText"/>
        <w:spacing w:before="140"/>
        <w:rPr>
          <w:sz w:val="20"/>
        </w:rPr>
      </w:pPr>
      <w:r>
        <w:rPr/>
        <mc:AlternateContent>
          <mc:Choice Requires="wps">
            <w:drawing>
              <wp:anchor distT="0" distB="0" distL="0" distR="0" allowOverlap="1" layoutInCell="1" locked="0" behindDoc="1" simplePos="0" relativeHeight="487699968">
                <wp:simplePos x="0" y="0"/>
                <wp:positionH relativeFrom="page">
                  <wp:posOffset>889000</wp:posOffset>
                </wp:positionH>
                <wp:positionV relativeFrom="paragraph">
                  <wp:posOffset>259777</wp:posOffset>
                </wp:positionV>
                <wp:extent cx="6350" cy="12700"/>
                <wp:effectExtent l="0" t="0" r="0" b="0"/>
                <wp:wrapTopAndBottom/>
                <wp:docPr id="576" name="Graphic 576"/>
                <wp:cNvGraphicFramePr>
                  <a:graphicFrameLocks/>
                </wp:cNvGraphicFramePr>
                <a:graphic>
                  <a:graphicData uri="http://schemas.microsoft.com/office/word/2010/wordprocessingShape">
                    <wps:wsp>
                      <wps:cNvPr id="576" name="Graphic 576"/>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454906pt;width:.499pt;height:.96pt;mso-position-horizontal-relative:page;mso-position-vertical-relative:paragraph;z-index:-15616512;mso-wrap-distance-left:0;mso-wrap-distance-right:0" id="docshape473" filled="true" fillcolor="#4f81bb" stroked="false">
                <v:fill type="solid"/>
                <w10:wrap type="topAndBottom"/>
              </v:rect>
            </w:pict>
          </mc:Fallback>
        </mc:AlternateContent>
      </w:r>
    </w:p>
    <w:p>
      <w:pPr>
        <w:spacing w:before="0"/>
        <w:ind w:left="483" w:right="0" w:firstLine="0"/>
        <w:jc w:val="left"/>
        <w:rPr>
          <w:sz w:val="28"/>
        </w:rPr>
      </w:pPr>
      <w:r>
        <w:rPr>
          <w:color w:val="365F91"/>
          <w:sz w:val="28"/>
        </w:rPr>
        <w:t>FY2025</w:t>
      </w:r>
      <w:r>
        <w:rPr>
          <w:color w:val="365F91"/>
          <w:spacing w:val="-13"/>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00480">
                <wp:simplePos x="0" y="0"/>
                <wp:positionH relativeFrom="page">
                  <wp:posOffset>897636</wp:posOffset>
                </wp:positionH>
                <wp:positionV relativeFrom="paragraph">
                  <wp:posOffset>45391</wp:posOffset>
                </wp:positionV>
                <wp:extent cx="5976620" cy="6350"/>
                <wp:effectExtent l="0" t="0" r="0" b="0"/>
                <wp:wrapTopAndBottom/>
                <wp:docPr id="577" name="Graphic 577"/>
                <wp:cNvGraphicFramePr>
                  <a:graphicFrameLocks/>
                </wp:cNvGraphicFramePr>
                <a:graphic>
                  <a:graphicData uri="http://schemas.microsoft.com/office/word/2010/wordprocessingShape">
                    <wps:wsp>
                      <wps:cNvPr id="577" name="Graphic 577"/>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4156pt;width:470.58pt;height:.48pt;mso-position-horizontal-relative:page;mso-position-vertical-relative:paragraph;z-index:-15616000;mso-wrap-distance-left:0;mso-wrap-distance-right:0" id="docshape474" filled="true" fillcolor="#4f81bc" stroked="false">
                <v:fill type="solid"/>
                <w10:wrap type="topAndBottom"/>
              </v:rect>
            </w:pict>
          </mc:Fallback>
        </mc:AlternateContent>
      </w:r>
    </w:p>
    <w:p>
      <w:pPr>
        <w:pStyle w:val="ListParagraph"/>
        <w:numPr>
          <w:ilvl w:val="1"/>
          <w:numId w:val="37"/>
        </w:numPr>
        <w:tabs>
          <w:tab w:pos="1057" w:val="left" w:leader="none"/>
          <w:tab w:pos="1059" w:val="left" w:leader="none"/>
        </w:tabs>
        <w:spacing w:line="264" w:lineRule="auto" w:before="241" w:after="0"/>
        <w:ind w:left="1059" w:right="631" w:hanging="361"/>
        <w:jc w:val="left"/>
        <w:rPr>
          <w:sz w:val="22"/>
        </w:rPr>
      </w:pPr>
      <w:r>
        <w:rPr>
          <w:sz w:val="22"/>
        </w:rPr>
        <w:t>Continue to evaluate how to improve data collection standards to capture SOGI demographic data of clients.</w:t>
      </w:r>
    </w:p>
    <w:p>
      <w:pPr>
        <w:pStyle w:val="ListParagraph"/>
        <w:numPr>
          <w:ilvl w:val="1"/>
          <w:numId w:val="37"/>
        </w:numPr>
        <w:tabs>
          <w:tab w:pos="1057" w:val="left" w:leader="none"/>
          <w:tab w:pos="1059" w:val="left" w:leader="none"/>
        </w:tabs>
        <w:spacing w:line="264" w:lineRule="auto" w:before="0" w:after="0"/>
        <w:ind w:left="1059" w:right="627" w:hanging="361"/>
        <w:jc w:val="left"/>
        <w:rPr>
          <w:sz w:val="22"/>
        </w:rPr>
      </w:pPr>
      <w:r>
        <w:rPr>
          <w:sz w:val="22"/>
        </w:rPr>
        <w:t>Provide</w:t>
      </w:r>
      <w:r>
        <w:rPr>
          <w:spacing w:val="40"/>
          <w:sz w:val="22"/>
        </w:rPr>
        <w:t> </w:t>
      </w:r>
      <w:r>
        <w:rPr>
          <w:sz w:val="22"/>
        </w:rPr>
        <w:t>professional</w:t>
      </w:r>
      <w:r>
        <w:rPr>
          <w:spacing w:val="40"/>
          <w:sz w:val="22"/>
        </w:rPr>
        <w:t> </w:t>
      </w:r>
      <w:r>
        <w:rPr>
          <w:sz w:val="22"/>
        </w:rPr>
        <w:t>development</w:t>
      </w:r>
      <w:r>
        <w:rPr>
          <w:spacing w:val="40"/>
          <w:sz w:val="22"/>
        </w:rPr>
        <w:t> </w:t>
      </w:r>
      <w:r>
        <w:rPr>
          <w:sz w:val="22"/>
        </w:rPr>
        <w:t>opportunities</w:t>
      </w:r>
      <w:r>
        <w:rPr>
          <w:spacing w:val="40"/>
          <w:sz w:val="22"/>
        </w:rPr>
        <w:t> </w:t>
      </w:r>
      <w:r>
        <w:rPr>
          <w:sz w:val="22"/>
        </w:rPr>
        <w:t>that</w:t>
      </w:r>
      <w:r>
        <w:rPr>
          <w:spacing w:val="40"/>
          <w:sz w:val="22"/>
        </w:rPr>
        <w:t> </w:t>
      </w:r>
      <w:r>
        <w:rPr>
          <w:sz w:val="22"/>
        </w:rPr>
        <w:t>prioritize</w:t>
      </w:r>
      <w:r>
        <w:rPr>
          <w:spacing w:val="40"/>
          <w:sz w:val="22"/>
        </w:rPr>
        <w:t> </w:t>
      </w:r>
      <w:r>
        <w:rPr>
          <w:sz w:val="22"/>
        </w:rPr>
        <w:t>intersectionality</w:t>
      </w:r>
      <w:r>
        <w:rPr>
          <w:spacing w:val="40"/>
          <w:sz w:val="22"/>
        </w:rPr>
        <w:t> </w:t>
      </w:r>
      <w:r>
        <w:rPr>
          <w:sz w:val="22"/>
        </w:rPr>
        <w:t>and</w:t>
      </w:r>
      <w:r>
        <w:rPr>
          <w:spacing w:val="40"/>
          <w:sz w:val="22"/>
        </w:rPr>
        <w:t> </w:t>
      </w:r>
      <w:r>
        <w:rPr>
          <w:sz w:val="22"/>
        </w:rPr>
        <w:t>center LGBTQ cultural engagement, adultism, and racial equity.</w:t>
      </w:r>
    </w:p>
    <w:p>
      <w:pPr>
        <w:pStyle w:val="ListParagraph"/>
        <w:numPr>
          <w:ilvl w:val="1"/>
          <w:numId w:val="37"/>
        </w:numPr>
        <w:tabs>
          <w:tab w:pos="1058" w:val="left" w:leader="none"/>
          <w:tab w:pos="1060" w:val="left" w:leader="none"/>
        </w:tabs>
        <w:spacing w:line="264" w:lineRule="auto" w:before="1" w:after="0"/>
        <w:ind w:left="1060" w:right="630" w:hanging="361"/>
        <w:jc w:val="left"/>
        <w:rPr>
          <w:sz w:val="22"/>
        </w:rPr>
      </w:pPr>
      <w:r>
        <w:rPr>
          <w:sz w:val="22"/>
        </w:rPr>
        <w:t>Expand</w:t>
      </w:r>
      <w:r>
        <w:rPr>
          <w:spacing w:val="40"/>
          <w:sz w:val="22"/>
        </w:rPr>
        <w:t> </w:t>
      </w:r>
      <w:r>
        <w:rPr>
          <w:sz w:val="22"/>
        </w:rPr>
        <w:t>resource</w:t>
      </w:r>
      <w:r>
        <w:rPr>
          <w:spacing w:val="40"/>
          <w:sz w:val="22"/>
        </w:rPr>
        <w:t> </w:t>
      </w:r>
      <w:r>
        <w:rPr>
          <w:sz w:val="22"/>
        </w:rPr>
        <w:t>development</w:t>
      </w:r>
      <w:r>
        <w:rPr>
          <w:spacing w:val="40"/>
          <w:sz w:val="22"/>
        </w:rPr>
        <w:t> </w:t>
      </w:r>
      <w:r>
        <w:rPr>
          <w:sz w:val="22"/>
        </w:rPr>
        <w:t>in</w:t>
      </w:r>
      <w:r>
        <w:rPr>
          <w:spacing w:val="40"/>
          <w:sz w:val="22"/>
        </w:rPr>
        <w:t> </w:t>
      </w:r>
      <w:r>
        <w:rPr>
          <w:sz w:val="22"/>
        </w:rPr>
        <w:t>partnership</w:t>
      </w:r>
      <w:r>
        <w:rPr>
          <w:spacing w:val="40"/>
          <w:sz w:val="22"/>
        </w:rPr>
        <w:t> </w:t>
      </w:r>
      <w:r>
        <w:rPr>
          <w:sz w:val="22"/>
        </w:rPr>
        <w:t>with</w:t>
      </w:r>
      <w:r>
        <w:rPr>
          <w:spacing w:val="40"/>
          <w:sz w:val="22"/>
        </w:rPr>
        <w:t> </w:t>
      </w:r>
      <w:r>
        <w:rPr>
          <w:sz w:val="22"/>
        </w:rPr>
        <w:t>youth,</w:t>
      </w:r>
      <w:r>
        <w:rPr>
          <w:spacing w:val="40"/>
          <w:sz w:val="22"/>
        </w:rPr>
        <w:t> </w:t>
      </w:r>
      <w:r>
        <w:rPr>
          <w:sz w:val="22"/>
        </w:rPr>
        <w:t>families,</w:t>
      </w:r>
      <w:r>
        <w:rPr>
          <w:spacing w:val="40"/>
          <w:sz w:val="22"/>
        </w:rPr>
        <w:t> </w:t>
      </w:r>
      <w:r>
        <w:rPr>
          <w:sz w:val="22"/>
        </w:rPr>
        <w:t>and</w:t>
      </w:r>
      <w:r>
        <w:rPr>
          <w:spacing w:val="40"/>
          <w:sz w:val="22"/>
        </w:rPr>
        <w:t> </w:t>
      </w:r>
      <w:r>
        <w:rPr>
          <w:sz w:val="22"/>
        </w:rPr>
        <w:t>LGBTQ</w:t>
      </w:r>
      <w:r>
        <w:rPr>
          <w:spacing w:val="40"/>
          <w:sz w:val="22"/>
        </w:rPr>
        <w:t> </w:t>
      </w:r>
      <w:r>
        <w:rPr>
          <w:sz w:val="22"/>
        </w:rPr>
        <w:t>community organizations across the Commonwealth.</w:t>
      </w:r>
    </w:p>
    <w:p>
      <w:pPr>
        <w:pStyle w:val="BodyText"/>
        <w:spacing w:before="190"/>
        <w:rPr>
          <w:sz w:val="20"/>
        </w:rPr>
      </w:pPr>
      <w:r>
        <w:rPr/>
        <mc:AlternateContent>
          <mc:Choice Requires="wps">
            <w:drawing>
              <wp:anchor distT="0" distB="0" distL="0" distR="0" allowOverlap="1" layoutInCell="1" locked="0" behindDoc="1" simplePos="0" relativeHeight="487700992">
                <wp:simplePos x="0" y="0"/>
                <wp:positionH relativeFrom="page">
                  <wp:posOffset>889000</wp:posOffset>
                </wp:positionH>
                <wp:positionV relativeFrom="paragraph">
                  <wp:posOffset>291464</wp:posOffset>
                </wp:positionV>
                <wp:extent cx="6350" cy="1270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2.949953pt;width:.499pt;height:.96pt;mso-position-horizontal-relative:page;mso-position-vertical-relative:paragraph;z-index:-15615488;mso-wrap-distance-left:0;mso-wrap-distance-right:0" id="docshape475" filled="true" fillcolor="#4f81bb" stroked="false">
                <v:fill type="solid"/>
                <w10:wrap type="topAndBottom"/>
              </v:rect>
            </w:pict>
          </mc:Fallback>
        </mc:AlternateContent>
      </w:r>
    </w:p>
    <w:p>
      <w:pPr>
        <w:spacing w:before="12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01504">
                <wp:simplePos x="0" y="0"/>
                <wp:positionH relativeFrom="page">
                  <wp:posOffset>897636</wp:posOffset>
                </wp:positionH>
                <wp:positionV relativeFrom="paragraph">
                  <wp:posOffset>44921</wp:posOffset>
                </wp:positionV>
                <wp:extent cx="5976620" cy="635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7156pt;width:470.58pt;height:.48pt;mso-position-horizontal-relative:page;mso-position-vertical-relative:paragraph;z-index:-15614976;mso-wrap-distance-left:0;mso-wrap-distance-right:0" id="docshape476" filled="true" fillcolor="#4f81bc" stroked="false">
                <v:fill type="solid"/>
                <w10:wrap type="topAndBottom"/>
              </v:rect>
            </w:pict>
          </mc:Fallback>
        </mc:AlternateContent>
      </w:r>
    </w:p>
    <w:p>
      <w:pPr>
        <w:pStyle w:val="BodyText"/>
        <w:spacing w:line="276" w:lineRule="auto" w:before="241"/>
        <w:ind w:left="483" w:right="340"/>
        <w:jc w:val="both"/>
      </w:pPr>
      <w:r>
        <w:rPr/>
        <w:t>The</w:t>
      </w:r>
      <w:r>
        <w:rPr>
          <w:spacing w:val="-1"/>
        </w:rPr>
        <w:t> </w:t>
      </w:r>
      <w:r>
        <w:rPr/>
        <w:t>Massachusetts Commission</w:t>
      </w:r>
      <w:r>
        <w:rPr>
          <w:spacing w:val="-1"/>
        </w:rPr>
        <w:t> </w:t>
      </w:r>
      <w:r>
        <w:rPr/>
        <w:t>for the Deaf and</w:t>
      </w:r>
      <w:r>
        <w:rPr>
          <w:spacing w:val="-1"/>
        </w:rPr>
        <w:t> </w:t>
      </w:r>
      <w:r>
        <w:rPr/>
        <w:t>Hard</w:t>
      </w:r>
      <w:r>
        <w:rPr>
          <w:spacing w:val="-1"/>
        </w:rPr>
        <w:t> </w:t>
      </w:r>
      <w:r>
        <w:rPr/>
        <w:t>of Hearing</w:t>
      </w:r>
      <w:r>
        <w:rPr>
          <w:spacing w:val="-1"/>
        </w:rPr>
        <w:t> </w:t>
      </w:r>
      <w:r>
        <w:rPr/>
        <w:t>(MCDHH) is the</w:t>
      </w:r>
      <w:r>
        <w:rPr>
          <w:spacing w:val="-1"/>
        </w:rPr>
        <w:t> </w:t>
      </w:r>
      <w:r>
        <w:rPr/>
        <w:t>principal</w:t>
      </w:r>
      <w:r>
        <w:rPr>
          <w:spacing w:val="-1"/>
        </w:rPr>
        <w:t> </w:t>
      </w:r>
      <w:r>
        <w:rPr/>
        <w:t>agency in</w:t>
      </w:r>
      <w:r>
        <w:rPr>
          <w:spacing w:val="-1"/>
        </w:rPr>
        <w:t> </w:t>
      </w:r>
      <w:r>
        <w:rPr/>
        <w:t>the Commonwealth that works on behalf of people of all ages who are Deaf and hard of hearing. MCDHH works to provide accessible communication, education, and advocacy to consumers and private and public entities so that programs, services, and opportunities throughout Massachusetts are fully accessible to persons who are Deaf and hard of hearing.</w:t>
      </w:r>
    </w:p>
    <w:p>
      <w:pPr>
        <w:pStyle w:val="BodyText"/>
        <w:spacing w:line="276" w:lineRule="auto" w:before="241"/>
        <w:ind w:left="483" w:right="341"/>
        <w:jc w:val="both"/>
      </w:pPr>
      <w:r>
        <w:rPr/>
        <w:t>Although</w:t>
      </w:r>
      <w:r>
        <w:rPr>
          <w:spacing w:val="-2"/>
        </w:rPr>
        <w:t> </w:t>
      </w:r>
      <w:r>
        <w:rPr/>
        <w:t>there</w:t>
      </w:r>
      <w:r>
        <w:rPr>
          <w:spacing w:val="-2"/>
        </w:rPr>
        <w:t> </w:t>
      </w:r>
      <w:r>
        <w:rPr/>
        <w:t>is</w:t>
      </w:r>
      <w:r>
        <w:rPr>
          <w:spacing w:val="-2"/>
        </w:rPr>
        <w:t> </w:t>
      </w:r>
      <w:r>
        <w:rPr/>
        <w:t>limited</w:t>
      </w:r>
      <w:r>
        <w:rPr>
          <w:spacing w:val="-2"/>
        </w:rPr>
        <w:t> </w:t>
      </w:r>
      <w:r>
        <w:rPr/>
        <w:t>data</w:t>
      </w:r>
      <w:r>
        <w:rPr>
          <w:spacing w:val="-2"/>
        </w:rPr>
        <w:t> </w:t>
      </w:r>
      <w:r>
        <w:rPr/>
        <w:t>and</w:t>
      </w:r>
      <w:r>
        <w:rPr>
          <w:spacing w:val="-2"/>
        </w:rPr>
        <w:t> </w:t>
      </w:r>
      <w:r>
        <w:rPr/>
        <w:t>research</w:t>
      </w:r>
      <w:r>
        <w:rPr>
          <w:spacing w:val="-2"/>
        </w:rPr>
        <w:t> </w:t>
      </w:r>
      <w:r>
        <w:rPr/>
        <w:t>available</w:t>
      </w:r>
      <w:r>
        <w:rPr>
          <w:spacing w:val="-2"/>
        </w:rPr>
        <w:t> </w:t>
      </w:r>
      <w:r>
        <w:rPr/>
        <w:t>on</w:t>
      </w:r>
      <w:r>
        <w:rPr>
          <w:spacing w:val="-2"/>
        </w:rPr>
        <w:t> </w:t>
      </w:r>
      <w:r>
        <w:rPr/>
        <w:t>the</w:t>
      </w:r>
      <w:r>
        <w:rPr>
          <w:spacing w:val="-2"/>
        </w:rPr>
        <w:t> </w:t>
      </w:r>
      <w:r>
        <w:rPr/>
        <w:t>intersections</w:t>
      </w:r>
      <w:r>
        <w:rPr>
          <w:spacing w:val="-2"/>
        </w:rPr>
        <w:t> </w:t>
      </w:r>
      <w:r>
        <w:rPr/>
        <w:t>of</w:t>
      </w:r>
      <w:r>
        <w:rPr>
          <w:spacing w:val="-2"/>
        </w:rPr>
        <w:t> </w:t>
      </w:r>
      <w:r>
        <w:rPr/>
        <w:t>LGBTQ</w:t>
      </w:r>
      <w:r>
        <w:rPr>
          <w:spacing w:val="-2"/>
        </w:rPr>
        <w:t> </w:t>
      </w:r>
      <w:r>
        <w:rPr/>
        <w:t>youth</w:t>
      </w:r>
      <w:r>
        <w:rPr>
          <w:spacing w:val="-2"/>
        </w:rPr>
        <w:t> </w:t>
      </w:r>
      <w:r>
        <w:rPr/>
        <w:t>identities</w:t>
      </w:r>
      <w:r>
        <w:rPr>
          <w:spacing w:val="-2"/>
        </w:rPr>
        <w:t> </w:t>
      </w:r>
      <w:r>
        <w:rPr/>
        <w:t>with Deaf</w:t>
      </w:r>
      <w:r>
        <w:rPr>
          <w:spacing w:val="-13"/>
        </w:rPr>
        <w:t> </w:t>
      </w:r>
      <w:r>
        <w:rPr/>
        <w:t>and</w:t>
      </w:r>
      <w:r>
        <w:rPr>
          <w:spacing w:val="-11"/>
        </w:rPr>
        <w:t> </w:t>
      </w:r>
      <w:r>
        <w:rPr/>
        <w:t>hard</w:t>
      </w:r>
      <w:r>
        <w:rPr>
          <w:spacing w:val="-13"/>
        </w:rPr>
        <w:t> </w:t>
      </w:r>
      <w:r>
        <w:rPr/>
        <w:t>of</w:t>
      </w:r>
      <w:r>
        <w:rPr>
          <w:spacing w:val="-12"/>
        </w:rPr>
        <w:t> </w:t>
      </w:r>
      <w:r>
        <w:rPr/>
        <w:t>hearing</w:t>
      </w:r>
      <w:r>
        <w:rPr>
          <w:spacing w:val="-12"/>
        </w:rPr>
        <w:t> </w:t>
      </w:r>
      <w:r>
        <w:rPr/>
        <w:t>communities,</w:t>
      </w:r>
      <w:r>
        <w:rPr>
          <w:spacing w:val="-11"/>
        </w:rPr>
        <w:t> </w:t>
      </w:r>
      <w:r>
        <w:rPr/>
        <w:t>the</w:t>
      </w:r>
      <w:r>
        <w:rPr>
          <w:spacing w:val="-13"/>
        </w:rPr>
        <w:t> </w:t>
      </w:r>
      <w:r>
        <w:rPr/>
        <w:t>Commission</w:t>
      </w:r>
      <w:r>
        <w:rPr>
          <w:spacing w:val="-12"/>
        </w:rPr>
        <w:t> </w:t>
      </w:r>
      <w:r>
        <w:rPr/>
        <w:t>understands</w:t>
      </w:r>
      <w:r>
        <w:rPr>
          <w:spacing w:val="-12"/>
        </w:rPr>
        <w:t> </w:t>
      </w:r>
      <w:r>
        <w:rPr/>
        <w:t>that</w:t>
      </w:r>
      <w:r>
        <w:rPr>
          <w:spacing w:val="-11"/>
        </w:rPr>
        <w:t> </w:t>
      </w:r>
      <w:r>
        <w:rPr/>
        <w:t>LGBTQ</w:t>
      </w:r>
      <w:r>
        <w:rPr>
          <w:spacing w:val="-13"/>
        </w:rPr>
        <w:t> </w:t>
      </w:r>
      <w:r>
        <w:rPr/>
        <w:t>Deaf</w:t>
      </w:r>
      <w:r>
        <w:rPr>
          <w:spacing w:val="-12"/>
        </w:rPr>
        <w:t> </w:t>
      </w:r>
      <w:r>
        <w:rPr/>
        <w:t>and</w:t>
      </w:r>
      <w:r>
        <w:rPr>
          <w:spacing w:val="-13"/>
        </w:rPr>
        <w:t> </w:t>
      </w:r>
      <w:r>
        <w:rPr/>
        <w:t>hard</w:t>
      </w:r>
      <w:r>
        <w:rPr>
          <w:spacing w:val="-12"/>
        </w:rPr>
        <w:t> </w:t>
      </w:r>
      <w:r>
        <w:rPr/>
        <w:t>of</w:t>
      </w:r>
      <w:r>
        <w:rPr>
          <w:spacing w:val="-12"/>
        </w:rPr>
        <w:t> </w:t>
      </w:r>
      <w:r>
        <w:rPr/>
        <w:t>hearing youth</w:t>
      </w:r>
      <w:r>
        <w:rPr>
          <w:spacing w:val="-10"/>
        </w:rPr>
        <w:t> </w:t>
      </w:r>
      <w:r>
        <w:rPr/>
        <w:t>experience</w:t>
      </w:r>
      <w:r>
        <w:rPr>
          <w:spacing w:val="-9"/>
        </w:rPr>
        <w:t> </w:t>
      </w:r>
      <w:r>
        <w:rPr/>
        <w:t>unique</w:t>
      </w:r>
      <w:r>
        <w:rPr>
          <w:spacing w:val="-9"/>
        </w:rPr>
        <w:t> </w:t>
      </w:r>
      <w:r>
        <w:rPr/>
        <w:t>challenges</w:t>
      </w:r>
      <w:r>
        <w:rPr>
          <w:spacing w:val="-9"/>
        </w:rPr>
        <w:t> </w:t>
      </w:r>
      <w:r>
        <w:rPr/>
        <w:t>in</w:t>
      </w:r>
      <w:r>
        <w:rPr>
          <w:spacing w:val="-9"/>
        </w:rPr>
        <w:t> </w:t>
      </w:r>
      <w:r>
        <w:rPr/>
        <w:t>schools,</w:t>
      </w:r>
      <w:r>
        <w:rPr>
          <w:spacing w:val="-10"/>
        </w:rPr>
        <w:t> </w:t>
      </w:r>
      <w:r>
        <w:rPr/>
        <w:t>the</w:t>
      </w:r>
      <w:r>
        <w:rPr>
          <w:spacing w:val="-9"/>
        </w:rPr>
        <w:t> </w:t>
      </w:r>
      <w:r>
        <w:rPr/>
        <w:t>workplace,</w:t>
      </w:r>
      <w:r>
        <w:rPr>
          <w:spacing w:val="-10"/>
        </w:rPr>
        <w:t> </w:t>
      </w:r>
      <w:r>
        <w:rPr/>
        <w:t>and</w:t>
      </w:r>
      <w:r>
        <w:rPr>
          <w:spacing w:val="-10"/>
        </w:rPr>
        <w:t> </w:t>
      </w:r>
      <w:r>
        <w:rPr/>
        <w:t>in</w:t>
      </w:r>
      <w:r>
        <w:rPr>
          <w:spacing w:val="-9"/>
        </w:rPr>
        <w:t> </w:t>
      </w:r>
      <w:r>
        <w:rPr/>
        <w:t>the</w:t>
      </w:r>
      <w:r>
        <w:rPr>
          <w:spacing w:val="-9"/>
        </w:rPr>
        <w:t> </w:t>
      </w:r>
      <w:r>
        <w:rPr/>
        <w:t>public.</w:t>
      </w:r>
      <w:r>
        <w:rPr>
          <w:spacing w:val="-10"/>
        </w:rPr>
        <w:t> </w:t>
      </w:r>
      <w:r>
        <w:rPr/>
        <w:t>These</w:t>
      </w:r>
      <w:r>
        <w:rPr>
          <w:spacing w:val="-9"/>
        </w:rPr>
        <w:t> </w:t>
      </w:r>
      <w:r>
        <w:rPr/>
        <w:t>challenges</w:t>
      </w:r>
      <w:r>
        <w:rPr>
          <w:spacing w:val="-9"/>
        </w:rPr>
        <w:t> </w:t>
      </w:r>
      <w:r>
        <w:rPr/>
        <w:t>include a lack of accessible communication (such as sign language interpretation or closed caption devices) in </w:t>
      </w:r>
      <w:r>
        <w:rPr>
          <w:spacing w:val="-2"/>
        </w:rPr>
        <w:t>LGBTQ</w:t>
      </w:r>
      <w:r>
        <w:rPr>
          <w:spacing w:val="-3"/>
        </w:rPr>
        <w:t> </w:t>
      </w:r>
      <w:r>
        <w:rPr>
          <w:spacing w:val="-2"/>
        </w:rPr>
        <w:t>spaces;</w:t>
      </w:r>
      <w:r>
        <w:rPr>
          <w:spacing w:val="-3"/>
        </w:rPr>
        <w:t> </w:t>
      </w:r>
      <w:r>
        <w:rPr>
          <w:spacing w:val="-2"/>
        </w:rPr>
        <w:t>and</w:t>
      </w:r>
      <w:r>
        <w:rPr>
          <w:spacing w:val="-3"/>
        </w:rPr>
        <w:t> </w:t>
      </w:r>
      <w:r>
        <w:rPr>
          <w:spacing w:val="-2"/>
        </w:rPr>
        <w:t>navigating</w:t>
      </w:r>
      <w:r>
        <w:rPr>
          <w:spacing w:val="-3"/>
        </w:rPr>
        <w:t> </w:t>
      </w:r>
      <w:r>
        <w:rPr>
          <w:spacing w:val="-2"/>
        </w:rPr>
        <w:t>being</w:t>
      </w:r>
      <w:r>
        <w:rPr>
          <w:spacing w:val="-3"/>
        </w:rPr>
        <w:t> </w:t>
      </w:r>
      <w:r>
        <w:rPr>
          <w:spacing w:val="-2"/>
        </w:rPr>
        <w:t>open</w:t>
      </w:r>
      <w:r>
        <w:rPr>
          <w:spacing w:val="-3"/>
        </w:rPr>
        <w:t> </w:t>
      </w:r>
      <w:r>
        <w:rPr>
          <w:spacing w:val="-2"/>
        </w:rPr>
        <w:t>about their sexual</w:t>
      </w:r>
      <w:r>
        <w:rPr>
          <w:spacing w:val="-3"/>
        </w:rPr>
        <w:t> </w:t>
      </w:r>
      <w:r>
        <w:rPr>
          <w:spacing w:val="-2"/>
        </w:rPr>
        <w:t>orientation</w:t>
      </w:r>
      <w:r>
        <w:rPr>
          <w:spacing w:val="-3"/>
        </w:rPr>
        <w:t> </w:t>
      </w:r>
      <w:r>
        <w:rPr>
          <w:spacing w:val="-2"/>
        </w:rPr>
        <w:t>and/or</w:t>
      </w:r>
      <w:r>
        <w:rPr>
          <w:spacing w:val="-3"/>
        </w:rPr>
        <w:t> </w:t>
      </w:r>
      <w:r>
        <w:rPr>
          <w:spacing w:val="-2"/>
        </w:rPr>
        <w:t>gender</w:t>
      </w:r>
      <w:r>
        <w:rPr>
          <w:spacing w:val="-3"/>
        </w:rPr>
        <w:t> </w:t>
      </w:r>
      <w:r>
        <w:rPr>
          <w:spacing w:val="-2"/>
        </w:rPr>
        <w:t>identity</w:t>
      </w:r>
      <w:r>
        <w:rPr>
          <w:spacing w:val="-3"/>
        </w:rPr>
        <w:t> </w:t>
      </w:r>
      <w:r>
        <w:rPr>
          <w:spacing w:val="-2"/>
        </w:rPr>
        <w:t>in</w:t>
      </w:r>
      <w:r>
        <w:rPr>
          <w:spacing w:val="-3"/>
        </w:rPr>
        <w:t> </w:t>
      </w:r>
      <w:r>
        <w:rPr>
          <w:spacing w:val="-2"/>
        </w:rPr>
        <w:t>an</w:t>
      </w:r>
      <w:r>
        <w:rPr>
          <w:spacing w:val="-3"/>
        </w:rPr>
        <w:t> </w:t>
      </w:r>
      <w:r>
        <w:rPr>
          <w:spacing w:val="-2"/>
        </w:rPr>
        <w:t>often </w:t>
      </w:r>
      <w:r>
        <w:rPr/>
        <w:t>close-knit Deaf community or with medical providers</w:t>
      </w:r>
      <w:hyperlink w:history="true" w:anchor="_bookmark629">
        <w:r>
          <w:rPr/>
          <w:t>.</w:t>
        </w:r>
        <w:r>
          <w:rPr>
            <w:vertAlign w:val="superscript"/>
          </w:rPr>
          <w:t>1</w:t>
        </w:r>
      </w:hyperlink>
      <w:r>
        <w:rPr>
          <w:vertAlign w:val="baseline"/>
        </w:rPr>
        <w:t> Additionally, finding LGBTQ community spaces within the Deaf community can be a challenge</w:t>
      </w:r>
      <w:hyperlink w:history="true" w:anchor="_bookmark630">
        <w:r>
          <w:rPr>
            <w:vertAlign w:val="superscript"/>
          </w:rPr>
          <w:t>2</w:t>
        </w:r>
      </w:hyperlink>
      <w:r>
        <w:rPr>
          <w:vertAlign w:val="baseline"/>
        </w:rPr>
        <w:t> - particularly for those who are Deafblind - though many Deaf</w:t>
      </w:r>
      <w:r>
        <w:rPr>
          <w:spacing w:val="-3"/>
          <w:vertAlign w:val="baseline"/>
        </w:rPr>
        <w:t> </w:t>
      </w:r>
      <w:r>
        <w:rPr>
          <w:vertAlign w:val="baseline"/>
        </w:rPr>
        <w:t>LGBTQ</w:t>
      </w:r>
      <w:r>
        <w:rPr>
          <w:spacing w:val="-3"/>
          <w:vertAlign w:val="baseline"/>
        </w:rPr>
        <w:t> </w:t>
      </w:r>
      <w:r>
        <w:rPr>
          <w:vertAlign w:val="baseline"/>
        </w:rPr>
        <w:t>people</w:t>
      </w:r>
      <w:r>
        <w:rPr>
          <w:spacing w:val="-3"/>
          <w:vertAlign w:val="baseline"/>
        </w:rPr>
        <w:t> </w:t>
      </w:r>
      <w:r>
        <w:rPr>
          <w:vertAlign w:val="baseline"/>
        </w:rPr>
        <w:t>note</w:t>
      </w:r>
      <w:r>
        <w:rPr>
          <w:spacing w:val="-3"/>
          <w:vertAlign w:val="baseline"/>
        </w:rPr>
        <w:t> </w:t>
      </w:r>
      <w:r>
        <w:rPr>
          <w:vertAlign w:val="baseline"/>
        </w:rPr>
        <w:t>that</w:t>
      </w:r>
      <w:r>
        <w:rPr>
          <w:spacing w:val="-3"/>
          <w:vertAlign w:val="baseline"/>
        </w:rPr>
        <w:t> </w:t>
      </w:r>
      <w:r>
        <w:rPr>
          <w:vertAlign w:val="baseline"/>
        </w:rPr>
        <w:t>Deaf</w:t>
      </w:r>
      <w:r>
        <w:rPr>
          <w:spacing w:val="-3"/>
          <w:vertAlign w:val="baseline"/>
        </w:rPr>
        <w:t> </w:t>
      </w:r>
      <w:r>
        <w:rPr>
          <w:vertAlign w:val="baseline"/>
        </w:rPr>
        <w:t>communities</w:t>
      </w:r>
      <w:r>
        <w:rPr>
          <w:spacing w:val="-3"/>
          <w:vertAlign w:val="baseline"/>
        </w:rPr>
        <w:t> </w:t>
      </w:r>
      <w:r>
        <w:rPr>
          <w:vertAlign w:val="baseline"/>
        </w:rPr>
        <w:t>often</w:t>
      </w:r>
      <w:r>
        <w:rPr>
          <w:spacing w:val="-3"/>
          <w:vertAlign w:val="baseline"/>
        </w:rPr>
        <w:t> </w:t>
      </w:r>
      <w:r>
        <w:rPr>
          <w:vertAlign w:val="baseline"/>
        </w:rPr>
        <w:t>feel</w:t>
      </w:r>
      <w:r>
        <w:rPr>
          <w:spacing w:val="-3"/>
          <w:vertAlign w:val="baseline"/>
        </w:rPr>
        <w:t> </w:t>
      </w:r>
      <w:r>
        <w:rPr>
          <w:vertAlign w:val="baseline"/>
        </w:rPr>
        <w:t>more</w:t>
      </w:r>
      <w:r>
        <w:rPr>
          <w:spacing w:val="-3"/>
          <w:vertAlign w:val="baseline"/>
        </w:rPr>
        <w:t> </w:t>
      </w:r>
      <w:r>
        <w:rPr>
          <w:vertAlign w:val="baseline"/>
        </w:rPr>
        <w:t>supportive</w:t>
      </w:r>
      <w:r>
        <w:rPr>
          <w:spacing w:val="-3"/>
          <w:vertAlign w:val="baseline"/>
        </w:rPr>
        <w:t> </w:t>
      </w:r>
      <w:r>
        <w:rPr>
          <w:vertAlign w:val="baseline"/>
        </w:rPr>
        <w:t>and</w:t>
      </w:r>
      <w:r>
        <w:rPr>
          <w:spacing w:val="-3"/>
          <w:vertAlign w:val="baseline"/>
        </w:rPr>
        <w:t> </w:t>
      </w:r>
      <w:r>
        <w:rPr>
          <w:vertAlign w:val="baseline"/>
        </w:rPr>
        <w:t>welcoming</w:t>
      </w:r>
      <w:r>
        <w:rPr>
          <w:spacing w:val="-3"/>
          <w:vertAlign w:val="baseline"/>
        </w:rPr>
        <w:t> </w:t>
      </w:r>
      <w:r>
        <w:rPr>
          <w:vertAlign w:val="baseline"/>
        </w:rPr>
        <w:t>than</w:t>
      </w:r>
      <w:r>
        <w:rPr>
          <w:spacing w:val="-3"/>
          <w:vertAlign w:val="baseline"/>
        </w:rPr>
        <w:t> </w:t>
      </w:r>
      <w:r>
        <w:rPr>
          <w:vertAlign w:val="baseline"/>
        </w:rPr>
        <w:t>hearing </w:t>
      </w:r>
      <w:r>
        <w:rPr>
          <w:spacing w:val="-2"/>
          <w:vertAlign w:val="baseline"/>
        </w:rPr>
        <w:t>communities</w:t>
      </w:r>
      <w:hyperlink w:history="true" w:anchor="_bookmark631">
        <w:r>
          <w:rPr>
            <w:spacing w:val="-2"/>
            <w:vertAlign w:val="baseline"/>
          </w:rPr>
          <w:t>.</w:t>
        </w:r>
        <w:r>
          <w:rPr>
            <w:spacing w:val="-2"/>
            <w:vertAlign w:val="superscript"/>
          </w:rPr>
          <w:t>3</w:t>
        </w:r>
      </w:hyperlink>
    </w:p>
    <w:p>
      <w:pPr>
        <w:pStyle w:val="BodyText"/>
        <w:spacing w:line="276" w:lineRule="auto" w:before="240"/>
        <w:ind w:left="483" w:right="341"/>
        <w:jc w:val="both"/>
      </w:pPr>
      <w:r>
        <w:rPr/>
        <w:t>Massachusetts census data notes that approximately 1.2 million residents are Deaf and hard of hearing, but there is currently no public information reflecting the number of Deaf and hard of hearing Massachusetts LGBTQ residents. In March of 2022, The Trevor Project released a briefing based off its national</w:t>
      </w:r>
      <w:r>
        <w:rPr>
          <w:spacing w:val="-6"/>
        </w:rPr>
        <w:t> </w:t>
      </w:r>
      <w:r>
        <w:rPr/>
        <w:t>2020</w:t>
      </w:r>
      <w:r>
        <w:rPr>
          <w:spacing w:val="-5"/>
        </w:rPr>
        <w:t> </w:t>
      </w:r>
      <w:r>
        <w:rPr/>
        <w:t>Mental</w:t>
      </w:r>
      <w:r>
        <w:rPr>
          <w:spacing w:val="-5"/>
        </w:rPr>
        <w:t> </w:t>
      </w:r>
      <w:r>
        <w:rPr/>
        <w:t>Health</w:t>
      </w:r>
      <w:r>
        <w:rPr>
          <w:spacing w:val="-7"/>
        </w:rPr>
        <w:t> </w:t>
      </w:r>
      <w:r>
        <w:rPr/>
        <w:t>Survey</w:t>
      </w:r>
      <w:r>
        <w:rPr>
          <w:spacing w:val="-5"/>
        </w:rPr>
        <w:t> </w:t>
      </w:r>
      <w:r>
        <w:rPr/>
        <w:t>that</w:t>
      </w:r>
      <w:r>
        <w:rPr>
          <w:spacing w:val="-6"/>
        </w:rPr>
        <w:t> </w:t>
      </w:r>
      <w:r>
        <w:rPr/>
        <w:t>remains</w:t>
      </w:r>
      <w:r>
        <w:rPr>
          <w:spacing w:val="-6"/>
        </w:rPr>
        <w:t> </w:t>
      </w:r>
      <w:r>
        <w:rPr/>
        <w:t>one</w:t>
      </w:r>
      <w:r>
        <w:rPr>
          <w:spacing w:val="-4"/>
        </w:rPr>
        <w:t> </w:t>
      </w:r>
      <w:r>
        <w:rPr/>
        <w:t>of</w:t>
      </w:r>
      <w:r>
        <w:rPr>
          <w:spacing w:val="-6"/>
        </w:rPr>
        <w:t> </w:t>
      </w:r>
      <w:r>
        <w:rPr/>
        <w:t>the</w:t>
      </w:r>
      <w:r>
        <w:rPr>
          <w:spacing w:val="-5"/>
        </w:rPr>
        <w:t> </w:t>
      </w:r>
      <w:r>
        <w:rPr/>
        <w:t>most</w:t>
      </w:r>
      <w:r>
        <w:rPr>
          <w:spacing w:val="-6"/>
        </w:rPr>
        <w:t> </w:t>
      </w:r>
      <w:r>
        <w:rPr/>
        <w:t>comprehensive</w:t>
      </w:r>
      <w:r>
        <w:rPr>
          <w:spacing w:val="-7"/>
        </w:rPr>
        <w:t> </w:t>
      </w:r>
      <w:r>
        <w:rPr/>
        <w:t>studies</w:t>
      </w:r>
      <w:r>
        <w:rPr>
          <w:spacing w:val="-6"/>
        </w:rPr>
        <w:t> </w:t>
      </w:r>
      <w:r>
        <w:rPr/>
        <w:t>on</w:t>
      </w:r>
      <w:r>
        <w:rPr>
          <w:spacing w:val="-5"/>
        </w:rPr>
        <w:t> </w:t>
      </w:r>
      <w:r>
        <w:rPr/>
        <w:t>Deaf</w:t>
      </w:r>
      <w:r>
        <w:rPr>
          <w:spacing w:val="-6"/>
        </w:rPr>
        <w:t> </w:t>
      </w:r>
      <w:r>
        <w:rPr/>
        <w:t>LGBTQ communities so far. Nationally, 5% of LGBTQ youth (out of a pool of 40,001) identified as experiencing deafness or hard of hearing. Within this percentage, 25% of Deaf LGBTQ youth reported that they struggled,</w:t>
      </w:r>
      <w:r>
        <w:rPr>
          <w:spacing w:val="-5"/>
        </w:rPr>
        <w:t> </w:t>
      </w:r>
      <w:r>
        <w:rPr/>
        <w:t>or</w:t>
      </w:r>
      <w:r>
        <w:rPr>
          <w:spacing w:val="-4"/>
        </w:rPr>
        <w:t> </w:t>
      </w:r>
      <w:r>
        <w:rPr/>
        <w:t>were</w:t>
      </w:r>
      <w:r>
        <w:rPr>
          <w:spacing w:val="-6"/>
        </w:rPr>
        <w:t> </w:t>
      </w:r>
      <w:r>
        <w:rPr/>
        <w:t>unable</w:t>
      </w:r>
      <w:r>
        <w:rPr>
          <w:spacing w:val="-3"/>
        </w:rPr>
        <w:t> </w:t>
      </w:r>
      <w:r>
        <w:rPr/>
        <w:t>to</w:t>
      </w:r>
      <w:r>
        <w:rPr>
          <w:spacing w:val="-5"/>
        </w:rPr>
        <w:t> </w:t>
      </w:r>
      <w:r>
        <w:rPr/>
        <w:t>access,</w:t>
      </w:r>
      <w:r>
        <w:rPr>
          <w:spacing w:val="-5"/>
        </w:rPr>
        <w:t> </w:t>
      </w:r>
      <w:r>
        <w:rPr/>
        <w:t>basic</w:t>
      </w:r>
      <w:r>
        <w:rPr>
          <w:spacing w:val="-6"/>
        </w:rPr>
        <w:t> </w:t>
      </w:r>
      <w:r>
        <w:rPr/>
        <w:t>services</w:t>
      </w:r>
      <w:r>
        <w:rPr>
          <w:spacing w:val="-5"/>
        </w:rPr>
        <w:t> </w:t>
      </w:r>
      <w:r>
        <w:rPr/>
        <w:t>to</w:t>
      </w:r>
      <w:r>
        <w:rPr>
          <w:spacing w:val="-2"/>
        </w:rPr>
        <w:t> </w:t>
      </w:r>
      <w:r>
        <w:rPr/>
        <w:t>meet</w:t>
      </w:r>
      <w:r>
        <w:rPr>
          <w:spacing w:val="-5"/>
        </w:rPr>
        <w:t> </w:t>
      </w:r>
      <w:r>
        <w:rPr/>
        <w:t>their</w:t>
      </w:r>
      <w:r>
        <w:rPr>
          <w:spacing w:val="-4"/>
        </w:rPr>
        <w:t> </w:t>
      </w:r>
      <w:r>
        <w:rPr/>
        <w:t>needs.</w:t>
      </w:r>
      <w:r>
        <w:rPr>
          <w:spacing w:val="-6"/>
        </w:rPr>
        <w:t> </w:t>
      </w:r>
      <w:r>
        <w:rPr/>
        <w:t>Furthermore,</w:t>
      </w:r>
      <w:r>
        <w:rPr>
          <w:spacing w:val="-5"/>
        </w:rPr>
        <w:t> </w:t>
      </w:r>
      <w:r>
        <w:rPr/>
        <w:t>59%</w:t>
      </w:r>
      <w:r>
        <w:rPr>
          <w:spacing w:val="-5"/>
        </w:rPr>
        <w:t> </w:t>
      </w:r>
      <w:r>
        <w:rPr/>
        <w:t>of</w:t>
      </w:r>
      <w:r>
        <w:rPr>
          <w:spacing w:val="-4"/>
        </w:rPr>
        <w:t> </w:t>
      </w:r>
      <w:r>
        <w:rPr/>
        <w:t>Deaf</w:t>
      </w:r>
      <w:r>
        <w:rPr>
          <w:spacing w:val="-5"/>
        </w:rPr>
        <w:t> </w:t>
      </w:r>
      <w:r>
        <w:rPr/>
        <w:t>LGBTQ youth reported incidents of discrimination based on their gender identity or sexual orientation which is</w:t>
      </w:r>
    </w:p>
    <w:p>
      <w:pPr>
        <w:spacing w:after="0" w:line="276" w:lineRule="auto"/>
        <w:jc w:val="both"/>
        <w:sectPr>
          <w:headerReference w:type="default" r:id="rId732"/>
          <w:footerReference w:type="default" r:id="rId733"/>
          <w:pgSz w:w="12240" w:h="15840"/>
          <w:pgMar w:header="804" w:footer="1263" w:top="1000" w:bottom="1460" w:left="960" w:right="1100"/>
        </w:sectPr>
      </w:pPr>
    </w:p>
    <w:p>
      <w:pPr>
        <w:pStyle w:val="BodyText"/>
        <w:spacing w:before="98"/>
      </w:pPr>
    </w:p>
    <w:p>
      <w:pPr>
        <w:pStyle w:val="BodyText"/>
        <w:spacing w:line="276" w:lineRule="auto"/>
        <w:ind w:left="483" w:right="344"/>
        <w:jc w:val="both"/>
        <w:rPr>
          <w:sz w:val="21"/>
        </w:rPr>
      </w:pPr>
      <w:r>
        <w:rPr/>
        <w:t>nearly 20% more than hearing youth; 1 in 2 Deaf LGBTQ youth (55%) reported that they seriously considered suicide in the past year and 1 in 4 (26%) attempted suicide</w:t>
      </w:r>
      <w:r>
        <w:rPr>
          <w:sz w:val="21"/>
        </w:rPr>
        <w:t>.</w:t>
      </w:r>
    </w:p>
    <w:p>
      <w:pPr>
        <w:spacing w:before="239"/>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pStyle w:val="BodyText"/>
        <w:spacing w:line="276" w:lineRule="auto" w:before="284"/>
        <w:ind w:left="483" w:right="342"/>
        <w:jc w:val="both"/>
      </w:pPr>
      <w:r>
        <w:rPr/>
        <w:t>The Commission has been pleased to meet </w:t>
      </w:r>
      <w:r>
        <w:rPr>
          <w:sz w:val="21"/>
        </w:rPr>
        <w:t>twice </w:t>
      </w:r>
      <w:r>
        <w:rPr/>
        <w:t>with MCDHH this past fiscal year to learn more about the</w:t>
      </w:r>
      <w:r>
        <w:rPr>
          <w:spacing w:val="-7"/>
        </w:rPr>
        <w:t> </w:t>
      </w:r>
      <w:r>
        <w:rPr/>
        <w:t>essential</w:t>
      </w:r>
      <w:r>
        <w:rPr>
          <w:spacing w:val="-5"/>
        </w:rPr>
        <w:t> </w:t>
      </w:r>
      <w:r>
        <w:rPr/>
        <w:t>services</w:t>
      </w:r>
      <w:r>
        <w:rPr>
          <w:spacing w:val="-7"/>
        </w:rPr>
        <w:t> </w:t>
      </w:r>
      <w:r>
        <w:rPr/>
        <w:t>it</w:t>
      </w:r>
      <w:r>
        <w:rPr>
          <w:spacing w:val="-7"/>
        </w:rPr>
        <w:t> </w:t>
      </w:r>
      <w:r>
        <w:rPr/>
        <w:t>provides</w:t>
      </w:r>
      <w:r>
        <w:rPr>
          <w:spacing w:val="-7"/>
        </w:rPr>
        <w:t> </w:t>
      </w:r>
      <w:r>
        <w:rPr/>
        <w:t>with</w:t>
      </w:r>
      <w:r>
        <w:rPr>
          <w:spacing w:val="-7"/>
        </w:rPr>
        <w:t> </w:t>
      </w:r>
      <w:r>
        <w:rPr/>
        <w:t>Deaf</w:t>
      </w:r>
      <w:r>
        <w:rPr>
          <w:spacing w:val="-8"/>
        </w:rPr>
        <w:t> </w:t>
      </w:r>
      <w:r>
        <w:rPr/>
        <w:t>and</w:t>
      </w:r>
      <w:r>
        <w:rPr>
          <w:spacing w:val="-7"/>
        </w:rPr>
        <w:t> </w:t>
      </w:r>
      <w:r>
        <w:rPr/>
        <w:t>hard</w:t>
      </w:r>
      <w:r>
        <w:rPr>
          <w:spacing w:val="-6"/>
        </w:rPr>
        <w:t> </w:t>
      </w:r>
      <w:r>
        <w:rPr/>
        <w:t>of</w:t>
      </w:r>
      <w:r>
        <w:rPr>
          <w:spacing w:val="-8"/>
        </w:rPr>
        <w:t> </w:t>
      </w:r>
      <w:r>
        <w:rPr/>
        <w:t>hearing</w:t>
      </w:r>
      <w:r>
        <w:rPr>
          <w:spacing w:val="-7"/>
        </w:rPr>
        <w:t> </w:t>
      </w:r>
      <w:r>
        <w:rPr/>
        <w:t>youth</w:t>
      </w:r>
      <w:r>
        <w:rPr>
          <w:spacing w:val="-7"/>
        </w:rPr>
        <w:t> </w:t>
      </w:r>
      <w:r>
        <w:rPr/>
        <w:t>in</w:t>
      </w:r>
      <w:r>
        <w:rPr>
          <w:spacing w:val="-7"/>
        </w:rPr>
        <w:t> </w:t>
      </w:r>
      <w:r>
        <w:rPr/>
        <w:t>the</w:t>
      </w:r>
      <w:r>
        <w:rPr>
          <w:spacing w:val="-7"/>
        </w:rPr>
        <w:t> </w:t>
      </w:r>
      <w:r>
        <w:rPr/>
        <w:t>Commonwealth.</w:t>
      </w:r>
      <w:r>
        <w:rPr>
          <w:spacing w:val="-8"/>
        </w:rPr>
        <w:t> </w:t>
      </w:r>
      <w:r>
        <w:rPr/>
        <w:t>Commission staff</w:t>
      </w:r>
      <w:r>
        <w:rPr>
          <w:spacing w:val="-8"/>
        </w:rPr>
        <w:t> </w:t>
      </w:r>
      <w:r>
        <w:rPr>
          <w:sz w:val="21"/>
        </w:rPr>
        <w:t>appreciated</w:t>
      </w:r>
      <w:r>
        <w:rPr>
          <w:spacing w:val="-6"/>
          <w:sz w:val="21"/>
        </w:rPr>
        <w:t> </w:t>
      </w:r>
      <w:r>
        <w:rPr/>
        <w:t>the</w:t>
      </w:r>
      <w:r>
        <w:rPr>
          <w:spacing w:val="-8"/>
        </w:rPr>
        <w:t> </w:t>
      </w:r>
      <w:r>
        <w:rPr/>
        <w:t>opportunity</w:t>
      </w:r>
      <w:r>
        <w:rPr>
          <w:spacing w:val="-8"/>
        </w:rPr>
        <w:t> </w:t>
      </w:r>
      <w:r>
        <w:rPr/>
        <w:t>to</w:t>
      </w:r>
      <w:r>
        <w:rPr>
          <w:spacing w:val="-6"/>
        </w:rPr>
        <w:t> </w:t>
      </w:r>
      <w:r>
        <w:rPr/>
        <w:t>meet</w:t>
      </w:r>
      <w:r>
        <w:rPr>
          <w:spacing w:val="-8"/>
        </w:rPr>
        <w:t> </w:t>
      </w:r>
      <w:r>
        <w:rPr/>
        <w:t>with</w:t>
      </w:r>
      <w:r>
        <w:rPr>
          <w:spacing w:val="-8"/>
        </w:rPr>
        <w:t> </w:t>
      </w:r>
      <w:r>
        <w:rPr/>
        <w:t>MCDHH</w:t>
      </w:r>
      <w:r>
        <w:rPr>
          <w:spacing w:val="-8"/>
        </w:rPr>
        <w:t> </w:t>
      </w:r>
      <w:r>
        <w:rPr/>
        <w:t>youth</w:t>
      </w:r>
      <w:r>
        <w:rPr>
          <w:spacing w:val="-8"/>
        </w:rPr>
        <w:t> </w:t>
      </w:r>
      <w:r>
        <w:rPr/>
        <w:t>specialists</w:t>
      </w:r>
      <w:r>
        <w:rPr>
          <w:spacing w:val="-7"/>
        </w:rPr>
        <w:t> </w:t>
      </w:r>
      <w:r>
        <w:rPr/>
        <w:t>in</w:t>
      </w:r>
      <w:r>
        <w:rPr>
          <w:spacing w:val="-8"/>
        </w:rPr>
        <w:t> </w:t>
      </w:r>
      <w:r>
        <w:rPr/>
        <w:t>October</w:t>
      </w:r>
      <w:r>
        <w:rPr>
          <w:spacing w:val="-8"/>
        </w:rPr>
        <w:t> </w:t>
      </w:r>
      <w:r>
        <w:rPr/>
        <w:t>of</w:t>
      </w:r>
      <w:r>
        <w:rPr>
          <w:spacing w:val="-8"/>
        </w:rPr>
        <w:t> </w:t>
      </w:r>
      <w:r>
        <w:rPr/>
        <w:t>2022</w:t>
      </w:r>
      <w:r>
        <w:rPr>
          <w:spacing w:val="-8"/>
        </w:rPr>
        <w:t> </w:t>
      </w:r>
      <w:r>
        <w:rPr/>
        <w:t>to</w:t>
      </w:r>
      <w:r>
        <w:rPr>
          <w:spacing w:val="-7"/>
        </w:rPr>
        <w:t> </w:t>
      </w:r>
      <w:r>
        <w:rPr/>
        <w:t>learn</w:t>
      </w:r>
      <w:r>
        <w:rPr>
          <w:spacing w:val="-8"/>
        </w:rPr>
        <w:t> </w:t>
      </w:r>
      <w:r>
        <w:rPr/>
        <w:t>more about</w:t>
      </w:r>
      <w:r>
        <w:rPr>
          <w:spacing w:val="-2"/>
        </w:rPr>
        <w:t> </w:t>
      </w:r>
      <w:r>
        <w:rPr/>
        <w:t>the</w:t>
      </w:r>
      <w:r>
        <w:rPr>
          <w:spacing w:val="-2"/>
        </w:rPr>
        <w:t> </w:t>
      </w:r>
      <w:r>
        <w:rPr/>
        <w:t>ongoing</w:t>
      </w:r>
      <w:r>
        <w:rPr>
          <w:spacing w:val="-3"/>
        </w:rPr>
        <w:t> </w:t>
      </w:r>
      <w:r>
        <w:rPr/>
        <w:t>work</w:t>
      </w:r>
      <w:r>
        <w:rPr>
          <w:spacing w:val="-2"/>
        </w:rPr>
        <w:t> </w:t>
      </w:r>
      <w:r>
        <w:rPr/>
        <w:t>and</w:t>
      </w:r>
      <w:r>
        <w:rPr>
          <w:spacing w:val="-2"/>
        </w:rPr>
        <w:t> </w:t>
      </w:r>
      <w:r>
        <w:rPr/>
        <w:t>need</w:t>
      </w:r>
      <w:r>
        <w:rPr>
          <w:spacing w:val="-2"/>
        </w:rPr>
        <w:t> </w:t>
      </w:r>
      <w:r>
        <w:rPr/>
        <w:t>for</w:t>
      </w:r>
      <w:r>
        <w:rPr>
          <w:spacing w:val="-3"/>
        </w:rPr>
        <w:t> </w:t>
      </w:r>
      <w:r>
        <w:rPr/>
        <w:t>youth</w:t>
      </w:r>
      <w:r>
        <w:rPr>
          <w:spacing w:val="-2"/>
        </w:rPr>
        <w:t> </w:t>
      </w:r>
      <w:r>
        <w:rPr/>
        <w:t>in</w:t>
      </w:r>
      <w:r>
        <w:rPr>
          <w:spacing w:val="-2"/>
        </w:rPr>
        <w:t> </w:t>
      </w:r>
      <w:r>
        <w:rPr/>
        <w:t>their</w:t>
      </w:r>
      <w:r>
        <w:rPr>
          <w:spacing w:val="-2"/>
        </w:rPr>
        <w:t> </w:t>
      </w:r>
      <w:r>
        <w:rPr/>
        <w:t>care.</w:t>
      </w:r>
      <w:r>
        <w:rPr>
          <w:spacing w:val="-2"/>
        </w:rPr>
        <w:t> </w:t>
      </w:r>
      <w:r>
        <w:rPr/>
        <w:t>The</w:t>
      </w:r>
      <w:r>
        <w:rPr>
          <w:spacing w:val="-2"/>
        </w:rPr>
        <w:t> </w:t>
      </w:r>
      <w:r>
        <w:rPr/>
        <w:t>specialists</w:t>
      </w:r>
      <w:r>
        <w:rPr>
          <w:spacing w:val="-3"/>
        </w:rPr>
        <w:t> </w:t>
      </w:r>
      <w:r>
        <w:rPr/>
        <w:t>work</w:t>
      </w:r>
      <w:r>
        <w:rPr>
          <w:spacing w:val="-2"/>
        </w:rPr>
        <w:t> </w:t>
      </w:r>
      <w:r>
        <w:rPr/>
        <w:t>to</w:t>
      </w:r>
      <w:r>
        <w:rPr>
          <w:spacing w:val="-2"/>
        </w:rPr>
        <w:t> </w:t>
      </w:r>
      <w:r>
        <w:rPr/>
        <w:t>provide</w:t>
      </w:r>
      <w:r>
        <w:rPr>
          <w:spacing w:val="-3"/>
        </w:rPr>
        <w:t> </w:t>
      </w:r>
      <w:r>
        <w:rPr/>
        <w:t>support</w:t>
      </w:r>
      <w:r>
        <w:rPr>
          <w:spacing w:val="-3"/>
        </w:rPr>
        <w:t> </w:t>
      </w:r>
      <w:r>
        <w:rPr/>
        <w:t>around education</w:t>
      </w:r>
      <w:r>
        <w:rPr>
          <w:spacing w:val="-3"/>
        </w:rPr>
        <w:t> </w:t>
      </w:r>
      <w:r>
        <w:rPr/>
        <w:t>and</w:t>
      </w:r>
      <w:r>
        <w:rPr>
          <w:spacing w:val="-3"/>
        </w:rPr>
        <w:t> </w:t>
      </w:r>
      <w:r>
        <w:rPr/>
        <w:t>communication</w:t>
      </w:r>
      <w:r>
        <w:rPr>
          <w:spacing w:val="-3"/>
        </w:rPr>
        <w:t> </w:t>
      </w:r>
      <w:r>
        <w:rPr/>
        <w:t>in</w:t>
      </w:r>
      <w:r>
        <w:rPr>
          <w:spacing w:val="-3"/>
        </w:rPr>
        <w:t> </w:t>
      </w:r>
      <w:r>
        <w:rPr/>
        <w:t>schools</w:t>
      </w:r>
      <w:r>
        <w:rPr>
          <w:spacing w:val="-3"/>
        </w:rPr>
        <w:t> </w:t>
      </w:r>
      <w:r>
        <w:rPr/>
        <w:t>and</w:t>
      </w:r>
      <w:r>
        <w:rPr>
          <w:spacing w:val="-3"/>
        </w:rPr>
        <w:t> </w:t>
      </w:r>
      <w:r>
        <w:rPr/>
        <w:t>hospitals</w:t>
      </w:r>
      <w:r>
        <w:rPr>
          <w:spacing w:val="-3"/>
        </w:rPr>
        <w:t> </w:t>
      </w:r>
      <w:r>
        <w:rPr/>
        <w:t>for</w:t>
      </w:r>
      <w:r>
        <w:rPr>
          <w:spacing w:val="-3"/>
        </w:rPr>
        <w:t> </w:t>
      </w:r>
      <w:r>
        <w:rPr/>
        <w:t>youth</w:t>
      </w:r>
      <w:r>
        <w:rPr>
          <w:spacing w:val="-3"/>
        </w:rPr>
        <w:t> </w:t>
      </w:r>
      <w:r>
        <w:rPr/>
        <w:t>under</w:t>
      </w:r>
      <w:r>
        <w:rPr>
          <w:spacing w:val="-3"/>
        </w:rPr>
        <w:t> </w:t>
      </w:r>
      <w:r>
        <w:rPr/>
        <w:t>the</w:t>
      </w:r>
      <w:r>
        <w:rPr>
          <w:spacing w:val="-3"/>
        </w:rPr>
        <w:t> </w:t>
      </w:r>
      <w:r>
        <w:rPr/>
        <w:t>age</w:t>
      </w:r>
      <w:r>
        <w:rPr>
          <w:spacing w:val="-1"/>
        </w:rPr>
        <w:t> </w:t>
      </w:r>
      <w:r>
        <w:rPr/>
        <w:t>of</w:t>
      </w:r>
      <w:r>
        <w:rPr>
          <w:spacing w:val="-3"/>
        </w:rPr>
        <w:t> </w:t>
      </w:r>
      <w:r>
        <w:rPr/>
        <w:t>23;</w:t>
      </w:r>
      <w:r>
        <w:rPr>
          <w:spacing w:val="-3"/>
        </w:rPr>
        <w:t> </w:t>
      </w:r>
      <w:r>
        <w:rPr/>
        <w:t>MCDHH</w:t>
      </w:r>
      <w:r>
        <w:rPr>
          <w:spacing w:val="-3"/>
        </w:rPr>
        <w:t> </w:t>
      </w:r>
      <w:r>
        <w:rPr/>
        <w:t>specialists also</w:t>
      </w:r>
      <w:r>
        <w:rPr>
          <w:spacing w:val="-9"/>
        </w:rPr>
        <w:t> </w:t>
      </w:r>
      <w:r>
        <w:rPr/>
        <w:t>work</w:t>
      </w:r>
      <w:r>
        <w:rPr>
          <w:spacing w:val="-10"/>
        </w:rPr>
        <w:t> </w:t>
      </w:r>
      <w:r>
        <w:rPr/>
        <w:t>to</w:t>
      </w:r>
      <w:r>
        <w:rPr>
          <w:spacing w:val="-9"/>
        </w:rPr>
        <w:t> </w:t>
      </w:r>
      <w:r>
        <w:rPr/>
        <w:t>provide</w:t>
      </w:r>
      <w:r>
        <w:rPr>
          <w:spacing w:val="-10"/>
        </w:rPr>
        <w:t> </w:t>
      </w:r>
      <w:r>
        <w:rPr/>
        <w:t>support</w:t>
      </w:r>
      <w:r>
        <w:rPr>
          <w:spacing w:val="-10"/>
        </w:rPr>
        <w:t> </w:t>
      </w:r>
      <w:r>
        <w:rPr/>
        <w:t>to</w:t>
      </w:r>
      <w:r>
        <w:rPr>
          <w:spacing w:val="-9"/>
        </w:rPr>
        <w:t> </w:t>
      </w:r>
      <w:r>
        <w:rPr/>
        <w:t>families</w:t>
      </w:r>
      <w:r>
        <w:rPr>
          <w:spacing w:val="-9"/>
        </w:rPr>
        <w:t> </w:t>
      </w:r>
      <w:r>
        <w:rPr/>
        <w:t>and</w:t>
      </w:r>
      <w:r>
        <w:rPr>
          <w:spacing w:val="-10"/>
        </w:rPr>
        <w:t> </w:t>
      </w:r>
      <w:r>
        <w:rPr/>
        <w:t>their</w:t>
      </w:r>
      <w:r>
        <w:rPr>
          <w:spacing w:val="-10"/>
        </w:rPr>
        <w:t> </w:t>
      </w:r>
      <w:r>
        <w:rPr/>
        <w:t>youth.</w:t>
      </w:r>
      <w:r>
        <w:rPr>
          <w:spacing w:val="-9"/>
        </w:rPr>
        <w:t> </w:t>
      </w:r>
      <w:r>
        <w:rPr/>
        <w:t>Overwhelmingly,</w:t>
      </w:r>
      <w:r>
        <w:rPr>
          <w:spacing w:val="-8"/>
        </w:rPr>
        <w:t> </w:t>
      </w:r>
      <w:r>
        <w:rPr/>
        <w:t>the</w:t>
      </w:r>
      <w:r>
        <w:rPr>
          <w:spacing w:val="-10"/>
        </w:rPr>
        <w:t> </w:t>
      </w:r>
      <w:r>
        <w:rPr/>
        <w:t>specialists</w:t>
      </w:r>
      <w:r>
        <w:rPr>
          <w:spacing w:val="-9"/>
        </w:rPr>
        <w:t> </w:t>
      </w:r>
      <w:r>
        <w:rPr/>
        <w:t>noted</w:t>
      </w:r>
      <w:r>
        <w:rPr>
          <w:spacing w:val="-10"/>
        </w:rPr>
        <w:t> </w:t>
      </w:r>
      <w:r>
        <w:rPr/>
        <w:t>that</w:t>
      </w:r>
      <w:r>
        <w:rPr>
          <w:spacing w:val="-10"/>
        </w:rPr>
        <w:t> </w:t>
      </w:r>
      <w:r>
        <w:rPr/>
        <w:t>more resources and support for youth workers, families, and youth themselves is needed in the Commonwealth.</w:t>
      </w:r>
      <w:r>
        <w:rPr>
          <w:spacing w:val="-1"/>
        </w:rPr>
        <w:t> </w:t>
      </w:r>
      <w:r>
        <w:rPr/>
        <w:t>One</w:t>
      </w:r>
      <w:r>
        <w:rPr>
          <w:spacing w:val="-1"/>
        </w:rPr>
        <w:t> </w:t>
      </w:r>
      <w:r>
        <w:rPr/>
        <w:t>area that</w:t>
      </w:r>
      <w:r>
        <w:rPr>
          <w:spacing w:val="-2"/>
        </w:rPr>
        <w:t> </w:t>
      </w:r>
      <w:r>
        <w:rPr/>
        <w:t>was noted</w:t>
      </w:r>
      <w:r>
        <w:rPr>
          <w:spacing w:val="-2"/>
        </w:rPr>
        <w:t> </w:t>
      </w:r>
      <w:r>
        <w:rPr/>
        <w:t>was</w:t>
      </w:r>
      <w:r>
        <w:rPr>
          <w:spacing w:val="-1"/>
        </w:rPr>
        <w:t> </w:t>
      </w:r>
      <w:r>
        <w:rPr/>
        <w:t>the</w:t>
      </w:r>
      <w:r>
        <w:rPr>
          <w:spacing w:val="-1"/>
        </w:rPr>
        <w:t> </w:t>
      </w:r>
      <w:r>
        <w:rPr/>
        <w:t>need</w:t>
      </w:r>
      <w:r>
        <w:rPr>
          <w:spacing w:val="-2"/>
        </w:rPr>
        <w:t> </w:t>
      </w:r>
      <w:r>
        <w:rPr/>
        <w:t>for</w:t>
      </w:r>
      <w:r>
        <w:rPr>
          <w:spacing w:val="-2"/>
        </w:rPr>
        <w:t> </w:t>
      </w:r>
      <w:r>
        <w:rPr/>
        <w:t>LGBTQ</w:t>
      </w:r>
      <w:r>
        <w:rPr>
          <w:spacing w:val="-2"/>
        </w:rPr>
        <w:t> </w:t>
      </w:r>
      <w:r>
        <w:rPr/>
        <w:t>resources</w:t>
      </w:r>
      <w:r>
        <w:rPr>
          <w:spacing w:val="-1"/>
        </w:rPr>
        <w:t> </w:t>
      </w:r>
      <w:r>
        <w:rPr/>
        <w:t>and</w:t>
      </w:r>
      <w:r>
        <w:rPr>
          <w:spacing w:val="-2"/>
        </w:rPr>
        <w:t> </w:t>
      </w:r>
      <w:r>
        <w:rPr/>
        <w:t>support</w:t>
      </w:r>
      <w:r>
        <w:rPr>
          <w:spacing w:val="-2"/>
        </w:rPr>
        <w:t> </w:t>
      </w:r>
      <w:r>
        <w:rPr/>
        <w:t>for</w:t>
      </w:r>
      <w:r>
        <w:rPr>
          <w:spacing w:val="-2"/>
        </w:rPr>
        <w:t> </w:t>
      </w:r>
      <w:r>
        <w:rPr/>
        <w:t>children</w:t>
      </w:r>
      <w:r>
        <w:rPr>
          <w:spacing w:val="-1"/>
        </w:rPr>
        <w:t> </w:t>
      </w:r>
      <w:r>
        <w:rPr/>
        <w:t>of deaf adults (CODAs), who often feel as though they don’t fit in Deaf or hearing communities.</w:t>
      </w:r>
    </w:p>
    <w:p>
      <w:pPr>
        <w:pStyle w:val="BodyText"/>
        <w:spacing w:line="276" w:lineRule="auto" w:before="241"/>
        <w:ind w:left="483" w:right="342"/>
        <w:jc w:val="both"/>
      </w:pPr>
      <w:r>
        <w:rPr/>
        <w:t>The</w:t>
      </w:r>
      <w:r>
        <w:rPr>
          <w:spacing w:val="-11"/>
        </w:rPr>
        <w:t> </w:t>
      </w:r>
      <w:r>
        <w:rPr/>
        <w:t>Commission</w:t>
      </w:r>
      <w:r>
        <w:rPr>
          <w:spacing w:val="-11"/>
        </w:rPr>
        <w:t> </w:t>
      </w:r>
      <w:r>
        <w:rPr/>
        <w:t>looks</w:t>
      </w:r>
      <w:r>
        <w:rPr>
          <w:spacing w:val="-11"/>
        </w:rPr>
        <w:t> </w:t>
      </w:r>
      <w:r>
        <w:rPr/>
        <w:t>forward</w:t>
      </w:r>
      <w:r>
        <w:rPr>
          <w:spacing w:val="-11"/>
        </w:rPr>
        <w:t> </w:t>
      </w:r>
      <w:r>
        <w:rPr/>
        <w:t>to</w:t>
      </w:r>
      <w:r>
        <w:rPr>
          <w:spacing w:val="-11"/>
        </w:rPr>
        <w:t> </w:t>
      </w:r>
      <w:r>
        <w:rPr/>
        <w:t>working</w:t>
      </w:r>
      <w:r>
        <w:rPr>
          <w:spacing w:val="-11"/>
        </w:rPr>
        <w:t> </w:t>
      </w:r>
      <w:r>
        <w:rPr/>
        <w:t>with</w:t>
      </w:r>
      <w:r>
        <w:rPr>
          <w:spacing w:val="-11"/>
        </w:rPr>
        <w:t> </w:t>
      </w:r>
      <w:r>
        <w:rPr/>
        <w:t>MCDHH</w:t>
      </w:r>
      <w:r>
        <w:rPr>
          <w:spacing w:val="-11"/>
        </w:rPr>
        <w:t> </w:t>
      </w:r>
      <w:r>
        <w:rPr/>
        <w:t>to</w:t>
      </w:r>
      <w:r>
        <w:rPr>
          <w:spacing w:val="-11"/>
        </w:rPr>
        <w:t> </w:t>
      </w:r>
      <w:r>
        <w:rPr/>
        <w:t>address</w:t>
      </w:r>
      <w:r>
        <w:rPr>
          <w:spacing w:val="-11"/>
        </w:rPr>
        <w:t> </w:t>
      </w:r>
      <w:r>
        <w:rPr/>
        <w:t>these</w:t>
      </w:r>
      <w:r>
        <w:rPr>
          <w:spacing w:val="-11"/>
        </w:rPr>
        <w:t> </w:t>
      </w:r>
      <w:r>
        <w:rPr/>
        <w:t>concerns</w:t>
      </w:r>
      <w:r>
        <w:rPr>
          <w:spacing w:val="-11"/>
        </w:rPr>
        <w:t> </w:t>
      </w:r>
      <w:r>
        <w:rPr/>
        <w:t>and</w:t>
      </w:r>
      <w:r>
        <w:rPr>
          <w:spacing w:val="-11"/>
        </w:rPr>
        <w:t> </w:t>
      </w:r>
      <w:r>
        <w:rPr/>
        <w:t>to</w:t>
      </w:r>
      <w:r>
        <w:rPr>
          <w:spacing w:val="-11"/>
        </w:rPr>
        <w:t> </w:t>
      </w:r>
      <w:r>
        <w:rPr/>
        <w:t>improve</w:t>
      </w:r>
      <w:r>
        <w:rPr>
          <w:spacing w:val="-11"/>
        </w:rPr>
        <w:t> </w:t>
      </w:r>
      <w:r>
        <w:rPr/>
        <w:t>its</w:t>
      </w:r>
      <w:r>
        <w:rPr>
          <w:spacing w:val="-11"/>
        </w:rPr>
        <w:t> </w:t>
      </w:r>
      <w:r>
        <w:rPr/>
        <w:t>own work in becoming more accessible for all LGBTQ communities in the Commonwealth in FY 202</w:t>
      </w:r>
      <w:r>
        <w:rPr>
          <w:sz w:val="21"/>
        </w:rPr>
        <w:t>5</w:t>
      </w:r>
      <w:r>
        <w:rPr/>
        <w:t>. Given the</w:t>
      </w:r>
      <w:r>
        <w:rPr>
          <w:spacing w:val="-6"/>
        </w:rPr>
        <w:t> </w:t>
      </w:r>
      <w:r>
        <w:rPr/>
        <w:t>serious</w:t>
      </w:r>
      <w:r>
        <w:rPr>
          <w:spacing w:val="-5"/>
        </w:rPr>
        <w:t> </w:t>
      </w:r>
      <w:r>
        <w:rPr/>
        <w:t>lack</w:t>
      </w:r>
      <w:r>
        <w:rPr>
          <w:spacing w:val="-6"/>
        </w:rPr>
        <w:t> </w:t>
      </w:r>
      <w:r>
        <w:rPr/>
        <w:t>of</w:t>
      </w:r>
      <w:r>
        <w:rPr>
          <w:spacing w:val="-5"/>
        </w:rPr>
        <w:t> </w:t>
      </w:r>
      <w:r>
        <w:rPr/>
        <w:t>available</w:t>
      </w:r>
      <w:r>
        <w:rPr>
          <w:spacing w:val="-6"/>
        </w:rPr>
        <w:t> </w:t>
      </w:r>
      <w:r>
        <w:rPr/>
        <w:t>Massachusetts-specific</w:t>
      </w:r>
      <w:r>
        <w:rPr>
          <w:spacing w:val="-5"/>
        </w:rPr>
        <w:t> </w:t>
      </w:r>
      <w:r>
        <w:rPr/>
        <w:t>data</w:t>
      </w:r>
      <w:r>
        <w:rPr>
          <w:spacing w:val="-5"/>
        </w:rPr>
        <w:t> </w:t>
      </w:r>
      <w:r>
        <w:rPr/>
        <w:t>on</w:t>
      </w:r>
      <w:r>
        <w:rPr>
          <w:spacing w:val="-6"/>
        </w:rPr>
        <w:t> </w:t>
      </w:r>
      <w:r>
        <w:rPr/>
        <w:t>the</w:t>
      </w:r>
      <w:r>
        <w:rPr>
          <w:spacing w:val="-4"/>
        </w:rPr>
        <w:t> </w:t>
      </w:r>
      <w:r>
        <w:rPr/>
        <w:t>needs</w:t>
      </w:r>
      <w:r>
        <w:rPr>
          <w:spacing w:val="-5"/>
        </w:rPr>
        <w:t> </w:t>
      </w:r>
      <w:r>
        <w:rPr/>
        <w:t>of</w:t>
      </w:r>
      <w:r>
        <w:rPr>
          <w:spacing w:val="-5"/>
        </w:rPr>
        <w:t> </w:t>
      </w:r>
      <w:r>
        <w:rPr/>
        <w:t>Deaf</w:t>
      </w:r>
      <w:r>
        <w:rPr>
          <w:spacing w:val="-5"/>
        </w:rPr>
        <w:t> </w:t>
      </w:r>
      <w:r>
        <w:rPr/>
        <w:t>and</w:t>
      </w:r>
      <w:r>
        <w:rPr>
          <w:spacing w:val="-6"/>
        </w:rPr>
        <w:t> </w:t>
      </w:r>
      <w:r>
        <w:rPr/>
        <w:t>hard</w:t>
      </w:r>
      <w:r>
        <w:rPr>
          <w:spacing w:val="-6"/>
        </w:rPr>
        <w:t> </w:t>
      </w:r>
      <w:r>
        <w:rPr/>
        <w:t>of</w:t>
      </w:r>
      <w:r>
        <w:rPr>
          <w:spacing w:val="-5"/>
        </w:rPr>
        <w:t> </w:t>
      </w:r>
      <w:r>
        <w:rPr/>
        <w:t>hearing</w:t>
      </w:r>
      <w:r>
        <w:rPr>
          <w:spacing w:val="-6"/>
        </w:rPr>
        <w:t> </w:t>
      </w:r>
      <w:r>
        <w:rPr/>
        <w:t>LGBTQ youth and families, the Commission hopes to partner with MCDHH, organizations, and policymakers to address significant gaps in service provision and support.</w:t>
      </w:r>
    </w:p>
    <w:p>
      <w:pPr>
        <w:pStyle w:val="BodyText"/>
      </w:pPr>
    </w:p>
    <w:p>
      <w:pPr>
        <w:pStyle w:val="BodyText"/>
        <w:spacing w:before="62"/>
      </w:pPr>
    </w:p>
    <w:p>
      <w:pPr>
        <w:spacing w:before="1"/>
        <w:ind w:left="483" w:right="0" w:firstLine="0"/>
        <w:jc w:val="both"/>
        <w:rPr>
          <w:sz w:val="28"/>
        </w:rPr>
      </w:pP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Expanded</w:t>
      </w:r>
      <w:r>
        <w:rPr>
          <w:color w:val="365F91"/>
          <w:spacing w:val="-11"/>
          <w:sz w:val="28"/>
        </w:rPr>
        <w:t> </w:t>
      </w:r>
      <w:r>
        <w:rPr>
          <w:color w:val="365F91"/>
          <w:sz w:val="28"/>
        </w:rPr>
        <w:t>MCDHH</w:t>
      </w:r>
      <w:r>
        <w:rPr>
          <w:color w:val="365F91"/>
          <w:spacing w:val="-10"/>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702016">
                <wp:simplePos x="0" y="0"/>
                <wp:positionH relativeFrom="page">
                  <wp:posOffset>897636</wp:posOffset>
                </wp:positionH>
                <wp:positionV relativeFrom="paragraph">
                  <wp:posOffset>44350</wp:posOffset>
                </wp:positionV>
                <wp:extent cx="5976620" cy="6350"/>
                <wp:effectExtent l="0" t="0" r="0" b="0"/>
                <wp:wrapTopAndBottom/>
                <wp:docPr id="580" name="Graphic 580"/>
                <wp:cNvGraphicFramePr>
                  <a:graphicFrameLocks/>
                </wp:cNvGraphicFramePr>
                <a:graphic>
                  <a:graphicData uri="http://schemas.microsoft.com/office/word/2010/wordprocessingShape">
                    <wps:wsp>
                      <wps:cNvPr id="580" name="Graphic 580"/>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492203pt;width:470.58pt;height:.481pt;mso-position-horizontal-relative:page;mso-position-vertical-relative:paragraph;z-index:-15614464;mso-wrap-distance-left:0;mso-wrap-distance-right:0" id="docshape477" filled="true" fillcolor="#4f81bc" stroked="false">
                <v:fill type="solid"/>
                <w10:wrap type="topAndBottom"/>
              </v:rect>
            </w:pict>
          </mc:Fallback>
        </mc:AlternateContent>
      </w:r>
    </w:p>
    <w:p>
      <w:pPr>
        <w:numPr>
          <w:ilvl w:val="0"/>
          <w:numId w:val="38"/>
        </w:numPr>
        <w:tabs>
          <w:tab w:pos="481" w:val="left" w:leader="none"/>
          <w:tab w:pos="483" w:val="left" w:leader="none"/>
        </w:tabs>
        <w:spacing w:line="276" w:lineRule="auto" w:before="241"/>
        <w:ind w:left="483" w:right="342" w:hanging="360"/>
        <w:jc w:val="left"/>
        <w:rPr>
          <w:b/>
          <w:sz w:val="22"/>
        </w:rPr>
      </w:pPr>
      <w:r>
        <w:rPr>
          <w:b/>
          <w:sz w:val="22"/>
        </w:rPr>
        <w:t>Continue to evaluate how to improve data collection standards to capture SOGI demographic data of </w:t>
      </w:r>
      <w:r>
        <w:rPr>
          <w:b/>
          <w:spacing w:val="-2"/>
          <w:sz w:val="22"/>
        </w:rPr>
        <w:t>clients.</w:t>
      </w:r>
    </w:p>
    <w:p>
      <w:pPr>
        <w:pStyle w:val="BodyText"/>
        <w:spacing w:line="276" w:lineRule="auto" w:before="241"/>
        <w:ind w:left="483" w:right="342"/>
        <w:jc w:val="both"/>
      </w:pPr>
      <w:r>
        <w:rPr/>
        <w:t>Like</w:t>
      </w:r>
      <w:r>
        <w:rPr>
          <w:spacing w:val="-8"/>
        </w:rPr>
        <w:t> </w:t>
      </w:r>
      <w:r>
        <w:rPr/>
        <w:t>many</w:t>
      </w:r>
      <w:r>
        <w:rPr>
          <w:spacing w:val="-7"/>
        </w:rPr>
        <w:t> </w:t>
      </w:r>
      <w:r>
        <w:rPr/>
        <w:t>other</w:t>
      </w:r>
      <w:r>
        <w:rPr>
          <w:spacing w:val="-9"/>
        </w:rPr>
        <w:t> </w:t>
      </w:r>
      <w:r>
        <w:rPr/>
        <w:t>state</w:t>
      </w:r>
      <w:r>
        <w:rPr>
          <w:spacing w:val="-8"/>
        </w:rPr>
        <w:t> </w:t>
      </w:r>
      <w:r>
        <w:rPr/>
        <w:t>entities,</w:t>
      </w:r>
      <w:r>
        <w:rPr>
          <w:spacing w:val="-8"/>
        </w:rPr>
        <w:t> </w:t>
      </w:r>
      <w:r>
        <w:rPr/>
        <w:t>MCDHH</w:t>
      </w:r>
      <w:r>
        <w:rPr>
          <w:spacing w:val="-6"/>
        </w:rPr>
        <w:t> </w:t>
      </w:r>
      <w:r>
        <w:rPr/>
        <w:t>notes</w:t>
      </w:r>
      <w:r>
        <w:rPr>
          <w:spacing w:val="-7"/>
        </w:rPr>
        <w:t> </w:t>
      </w:r>
      <w:r>
        <w:rPr/>
        <w:t>that</w:t>
      </w:r>
      <w:r>
        <w:rPr>
          <w:spacing w:val="-8"/>
        </w:rPr>
        <w:t> </w:t>
      </w:r>
      <w:r>
        <w:rPr/>
        <w:t>it</w:t>
      </w:r>
      <w:r>
        <w:rPr>
          <w:spacing w:val="-7"/>
        </w:rPr>
        <w:t> </w:t>
      </w:r>
      <w:r>
        <w:rPr/>
        <w:t>experiences</w:t>
      </w:r>
      <w:r>
        <w:rPr>
          <w:spacing w:val="-7"/>
        </w:rPr>
        <w:t> </w:t>
      </w:r>
      <w:r>
        <w:rPr/>
        <w:t>challenges</w:t>
      </w:r>
      <w:r>
        <w:rPr>
          <w:spacing w:val="-7"/>
        </w:rPr>
        <w:t> </w:t>
      </w:r>
      <w:r>
        <w:rPr/>
        <w:t>in</w:t>
      </w:r>
      <w:r>
        <w:rPr>
          <w:spacing w:val="-8"/>
        </w:rPr>
        <w:t> </w:t>
      </w:r>
      <w:r>
        <w:rPr/>
        <w:t>updating</w:t>
      </w:r>
      <w:r>
        <w:rPr>
          <w:spacing w:val="-9"/>
        </w:rPr>
        <w:t> </w:t>
      </w:r>
      <w:r>
        <w:rPr/>
        <w:t>its</w:t>
      </w:r>
      <w:r>
        <w:rPr>
          <w:spacing w:val="-7"/>
        </w:rPr>
        <w:t> </w:t>
      </w:r>
      <w:r>
        <w:rPr/>
        <w:t>data</w:t>
      </w:r>
      <w:r>
        <w:rPr>
          <w:spacing w:val="-7"/>
        </w:rPr>
        <w:t> </w:t>
      </w:r>
      <w:r>
        <w:rPr/>
        <w:t>collection standards to capture more demographic data among its clients. As noted throughout this report, the collection of SOGI data can provide critical information to policymakers and community organizers to better shape effective policy and resources. However, outdated technology often limits the amount of updates that agencies can perform to their client information systems. In 2019, MCDHH was able to include a nonbinary gender ‘X’ marker in their client management database; the Commission recommends</w:t>
      </w:r>
      <w:r>
        <w:rPr>
          <w:spacing w:val="-13"/>
        </w:rPr>
        <w:t> </w:t>
      </w:r>
      <w:r>
        <w:rPr/>
        <w:t>that</w:t>
      </w:r>
      <w:r>
        <w:rPr>
          <w:spacing w:val="-12"/>
        </w:rPr>
        <w:t> </w:t>
      </w:r>
      <w:r>
        <w:rPr/>
        <w:t>the</w:t>
      </w:r>
      <w:r>
        <w:rPr>
          <w:spacing w:val="-13"/>
        </w:rPr>
        <w:t> </w:t>
      </w:r>
      <w:r>
        <w:rPr/>
        <w:t>agency</w:t>
      </w:r>
      <w:r>
        <w:rPr>
          <w:spacing w:val="-12"/>
        </w:rPr>
        <w:t> </w:t>
      </w:r>
      <w:r>
        <w:rPr/>
        <w:t>continue</w:t>
      </w:r>
      <w:r>
        <w:rPr>
          <w:spacing w:val="-13"/>
        </w:rPr>
        <w:t> </w:t>
      </w:r>
      <w:r>
        <w:rPr/>
        <w:t>to</w:t>
      </w:r>
      <w:r>
        <w:rPr>
          <w:spacing w:val="-12"/>
        </w:rPr>
        <w:t> </w:t>
      </w:r>
      <w:r>
        <w:rPr/>
        <w:t>explore</w:t>
      </w:r>
      <w:r>
        <w:rPr>
          <w:spacing w:val="-13"/>
        </w:rPr>
        <w:t> </w:t>
      </w:r>
      <w:r>
        <w:rPr/>
        <w:t>ways</w:t>
      </w:r>
      <w:r>
        <w:rPr>
          <w:spacing w:val="-12"/>
        </w:rPr>
        <w:t> </w:t>
      </w:r>
      <w:r>
        <w:rPr/>
        <w:t>to</w:t>
      </w:r>
      <w:r>
        <w:rPr>
          <w:spacing w:val="-12"/>
        </w:rPr>
        <w:t> </w:t>
      </w:r>
      <w:r>
        <w:rPr/>
        <w:t>expand</w:t>
      </w:r>
      <w:r>
        <w:rPr>
          <w:spacing w:val="-13"/>
        </w:rPr>
        <w:t> </w:t>
      </w:r>
      <w:r>
        <w:rPr/>
        <w:t>data</w:t>
      </w:r>
      <w:r>
        <w:rPr>
          <w:spacing w:val="-12"/>
        </w:rPr>
        <w:t> </w:t>
      </w:r>
      <w:r>
        <w:rPr/>
        <w:t>fields</w:t>
      </w:r>
      <w:r>
        <w:rPr>
          <w:spacing w:val="-13"/>
        </w:rPr>
        <w:t> </w:t>
      </w:r>
      <w:r>
        <w:rPr/>
        <w:t>or</w:t>
      </w:r>
      <w:r>
        <w:rPr>
          <w:spacing w:val="-12"/>
        </w:rPr>
        <w:t> </w:t>
      </w:r>
      <w:r>
        <w:rPr/>
        <w:t>practices</w:t>
      </w:r>
      <w:r>
        <w:rPr>
          <w:spacing w:val="-13"/>
        </w:rPr>
        <w:t> </w:t>
      </w:r>
      <w:r>
        <w:rPr/>
        <w:t>to</w:t>
      </w:r>
      <w:r>
        <w:rPr>
          <w:spacing w:val="-12"/>
        </w:rPr>
        <w:t> </w:t>
      </w:r>
      <w:r>
        <w:rPr/>
        <w:t>better</w:t>
      </w:r>
      <w:r>
        <w:rPr>
          <w:spacing w:val="-12"/>
        </w:rPr>
        <w:t> </w:t>
      </w:r>
      <w:r>
        <w:rPr/>
        <w:t>capture data on LGBTQ Deaf and hard of hearing youth across Massachusetts.</w:t>
      </w:r>
    </w:p>
    <w:p>
      <w:pPr>
        <w:numPr>
          <w:ilvl w:val="0"/>
          <w:numId w:val="38"/>
        </w:numPr>
        <w:tabs>
          <w:tab w:pos="481" w:val="left" w:leader="none"/>
          <w:tab w:pos="483" w:val="left" w:leader="none"/>
        </w:tabs>
        <w:spacing w:line="276" w:lineRule="auto" w:before="240"/>
        <w:ind w:left="483" w:right="344" w:hanging="360"/>
        <w:jc w:val="left"/>
        <w:rPr>
          <w:b/>
          <w:sz w:val="22"/>
        </w:rPr>
      </w:pPr>
      <w:r>
        <w:rPr>
          <w:b/>
          <w:sz w:val="22"/>
        </w:rPr>
        <w:t>Provide</w:t>
      </w:r>
      <w:r>
        <w:rPr>
          <w:b/>
          <w:spacing w:val="36"/>
          <w:sz w:val="22"/>
        </w:rPr>
        <w:t> </w:t>
      </w:r>
      <w:r>
        <w:rPr>
          <w:b/>
          <w:sz w:val="22"/>
        </w:rPr>
        <w:t>professional</w:t>
      </w:r>
      <w:r>
        <w:rPr>
          <w:b/>
          <w:spacing w:val="36"/>
          <w:sz w:val="22"/>
        </w:rPr>
        <w:t> </w:t>
      </w:r>
      <w:r>
        <w:rPr>
          <w:b/>
          <w:sz w:val="22"/>
        </w:rPr>
        <w:t>development</w:t>
      </w:r>
      <w:r>
        <w:rPr>
          <w:b/>
          <w:spacing w:val="36"/>
          <w:sz w:val="22"/>
        </w:rPr>
        <w:t> </w:t>
      </w:r>
      <w:r>
        <w:rPr>
          <w:b/>
          <w:sz w:val="22"/>
        </w:rPr>
        <w:t>opportunities</w:t>
      </w:r>
      <w:r>
        <w:rPr>
          <w:b/>
          <w:spacing w:val="37"/>
          <w:sz w:val="22"/>
        </w:rPr>
        <w:t> </w:t>
      </w:r>
      <w:r>
        <w:rPr>
          <w:b/>
          <w:sz w:val="22"/>
        </w:rPr>
        <w:t>that</w:t>
      </w:r>
      <w:r>
        <w:rPr>
          <w:b/>
          <w:spacing w:val="36"/>
          <w:sz w:val="22"/>
        </w:rPr>
        <w:t> </w:t>
      </w:r>
      <w:r>
        <w:rPr>
          <w:b/>
          <w:sz w:val="22"/>
        </w:rPr>
        <w:t>prioritize</w:t>
      </w:r>
      <w:r>
        <w:rPr>
          <w:b/>
          <w:spacing w:val="36"/>
          <w:sz w:val="22"/>
        </w:rPr>
        <w:t> </w:t>
      </w:r>
      <w:r>
        <w:rPr>
          <w:b/>
          <w:sz w:val="22"/>
        </w:rPr>
        <w:t>intersectionality</w:t>
      </w:r>
      <w:r>
        <w:rPr>
          <w:b/>
          <w:spacing w:val="37"/>
          <w:sz w:val="22"/>
        </w:rPr>
        <w:t> </w:t>
      </w:r>
      <w:r>
        <w:rPr>
          <w:b/>
          <w:sz w:val="22"/>
        </w:rPr>
        <w:t>and</w:t>
      </w:r>
      <w:r>
        <w:rPr>
          <w:b/>
          <w:spacing w:val="35"/>
          <w:sz w:val="22"/>
        </w:rPr>
        <w:t> </w:t>
      </w:r>
      <w:r>
        <w:rPr>
          <w:b/>
          <w:sz w:val="22"/>
        </w:rPr>
        <w:t>center</w:t>
      </w:r>
      <w:r>
        <w:rPr>
          <w:b/>
          <w:spacing w:val="37"/>
          <w:sz w:val="22"/>
        </w:rPr>
        <w:t> </w:t>
      </w:r>
      <w:r>
        <w:rPr>
          <w:b/>
          <w:sz w:val="22"/>
        </w:rPr>
        <w:t>LGBTQ cultural engagement, adultism, and racial equity.</w:t>
      </w:r>
    </w:p>
    <w:p>
      <w:pPr>
        <w:pStyle w:val="BodyText"/>
        <w:spacing w:line="276" w:lineRule="auto" w:before="240"/>
        <w:ind w:left="483" w:right="342"/>
        <w:jc w:val="both"/>
      </w:pPr>
      <w:r>
        <w:rPr/>
        <w:t>The Commission appreciates the recent attention of MCDHH to this recommendation and looks forward to continuing to partner with the agency over the coming fiscal year. In December 2023, MCDHH staff participated in a training hosted in collaboration by EOHHS and the Commission on LGBTQ cultural engagement.</w:t>
      </w:r>
      <w:r>
        <w:rPr>
          <w:spacing w:val="-7"/>
        </w:rPr>
        <w:t> </w:t>
      </w:r>
      <w:r>
        <w:rPr/>
        <w:t>Previous</w:t>
      </w:r>
      <w:r>
        <w:rPr>
          <w:spacing w:val="-8"/>
        </w:rPr>
        <w:t> </w:t>
      </w:r>
      <w:r>
        <w:rPr/>
        <w:t>to</w:t>
      </w:r>
      <w:r>
        <w:rPr>
          <w:spacing w:val="-8"/>
        </w:rPr>
        <w:t> </w:t>
      </w:r>
      <w:r>
        <w:rPr/>
        <w:t>this</w:t>
      </w:r>
      <w:r>
        <w:rPr>
          <w:spacing w:val="-8"/>
        </w:rPr>
        <w:t> </w:t>
      </w:r>
      <w:r>
        <w:rPr/>
        <w:t>training,</w:t>
      </w:r>
      <w:r>
        <w:rPr>
          <w:spacing w:val="-7"/>
        </w:rPr>
        <w:t> </w:t>
      </w:r>
      <w:r>
        <w:rPr/>
        <w:t>the</w:t>
      </w:r>
      <w:r>
        <w:rPr>
          <w:spacing w:val="-9"/>
        </w:rPr>
        <w:t> </w:t>
      </w:r>
      <w:r>
        <w:rPr/>
        <w:t>last</w:t>
      </w:r>
      <w:r>
        <w:rPr>
          <w:spacing w:val="-8"/>
        </w:rPr>
        <w:t> </w:t>
      </w:r>
      <w:r>
        <w:rPr/>
        <w:t>training</w:t>
      </w:r>
      <w:r>
        <w:rPr>
          <w:spacing w:val="-9"/>
        </w:rPr>
        <w:t> </w:t>
      </w:r>
      <w:r>
        <w:rPr/>
        <w:t>opportunity</w:t>
      </w:r>
      <w:r>
        <w:rPr>
          <w:spacing w:val="-8"/>
        </w:rPr>
        <w:t> </w:t>
      </w:r>
      <w:r>
        <w:rPr/>
        <w:t>that</w:t>
      </w:r>
      <w:r>
        <w:rPr>
          <w:spacing w:val="-8"/>
        </w:rPr>
        <w:t> </w:t>
      </w:r>
      <w:r>
        <w:rPr/>
        <w:t>had</w:t>
      </w:r>
      <w:r>
        <w:rPr>
          <w:spacing w:val="-8"/>
        </w:rPr>
        <w:t> </w:t>
      </w:r>
      <w:r>
        <w:rPr/>
        <w:t>been</w:t>
      </w:r>
      <w:r>
        <w:rPr>
          <w:spacing w:val="-9"/>
        </w:rPr>
        <w:t> </w:t>
      </w:r>
      <w:r>
        <w:rPr/>
        <w:t>attended</w:t>
      </w:r>
      <w:r>
        <w:rPr>
          <w:spacing w:val="-8"/>
        </w:rPr>
        <w:t> </w:t>
      </w:r>
      <w:r>
        <w:rPr/>
        <w:t>by</w:t>
      </w:r>
      <w:r>
        <w:rPr>
          <w:spacing w:val="-9"/>
        </w:rPr>
        <w:t> </w:t>
      </w:r>
      <w:r>
        <w:rPr/>
        <w:t>all</w:t>
      </w:r>
      <w:r>
        <w:rPr>
          <w:spacing w:val="-9"/>
        </w:rPr>
        <w:t> </w:t>
      </w:r>
      <w:r>
        <w:rPr/>
        <w:t>MCDHH</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43"/>
        <w:jc w:val="both"/>
      </w:pPr>
      <w:r>
        <w:rPr/>
        <w:t>staff was in 2016. Additionally, in March 2024, the Commission and MCDHH partnered on a training opportunity</w:t>
      </w:r>
      <w:r>
        <w:rPr>
          <w:spacing w:val="-11"/>
        </w:rPr>
        <w:t> </w:t>
      </w:r>
      <w:r>
        <w:rPr/>
        <w:t>that</w:t>
      </w:r>
      <w:r>
        <w:rPr>
          <w:spacing w:val="-13"/>
        </w:rPr>
        <w:t> </w:t>
      </w:r>
      <w:r>
        <w:rPr/>
        <w:t>was</w:t>
      </w:r>
      <w:r>
        <w:rPr>
          <w:spacing w:val="-11"/>
        </w:rPr>
        <w:t> </w:t>
      </w:r>
      <w:r>
        <w:rPr/>
        <w:t>opened</w:t>
      </w:r>
      <w:r>
        <w:rPr>
          <w:spacing w:val="-13"/>
        </w:rPr>
        <w:t> </w:t>
      </w:r>
      <w:r>
        <w:rPr/>
        <w:t>to</w:t>
      </w:r>
      <w:r>
        <w:rPr>
          <w:spacing w:val="-11"/>
        </w:rPr>
        <w:t> </w:t>
      </w:r>
      <w:r>
        <w:rPr/>
        <w:t>MCDHH</w:t>
      </w:r>
      <w:r>
        <w:rPr>
          <w:spacing w:val="-11"/>
        </w:rPr>
        <w:t> </w:t>
      </w:r>
      <w:r>
        <w:rPr/>
        <w:t>school-based</w:t>
      </w:r>
      <w:r>
        <w:rPr>
          <w:spacing w:val="-11"/>
        </w:rPr>
        <w:t> </w:t>
      </w:r>
      <w:r>
        <w:rPr/>
        <w:t>providers</w:t>
      </w:r>
      <w:r>
        <w:rPr>
          <w:spacing w:val="-12"/>
        </w:rPr>
        <w:t> </w:t>
      </w:r>
      <w:r>
        <w:rPr/>
        <w:t>to</w:t>
      </w:r>
      <w:r>
        <w:rPr>
          <w:spacing w:val="-11"/>
        </w:rPr>
        <w:t> </w:t>
      </w:r>
      <w:r>
        <w:rPr/>
        <w:t>provide</w:t>
      </w:r>
      <w:r>
        <w:rPr>
          <w:spacing w:val="-13"/>
        </w:rPr>
        <w:t> </w:t>
      </w:r>
      <w:r>
        <w:rPr/>
        <w:t>support</w:t>
      </w:r>
      <w:r>
        <w:rPr>
          <w:spacing w:val="-12"/>
        </w:rPr>
        <w:t> </w:t>
      </w:r>
      <w:r>
        <w:rPr/>
        <w:t>and</w:t>
      </w:r>
      <w:r>
        <w:rPr>
          <w:spacing w:val="-13"/>
        </w:rPr>
        <w:t> </w:t>
      </w:r>
      <w:r>
        <w:rPr/>
        <w:t>resources</w:t>
      </w:r>
      <w:r>
        <w:rPr>
          <w:spacing w:val="-11"/>
        </w:rPr>
        <w:t> </w:t>
      </w:r>
      <w:r>
        <w:rPr/>
        <w:t>around working with LGBTQ youth. The Commission expands its focus this year to recommend that MCDHH develop</w:t>
      </w:r>
      <w:r>
        <w:rPr>
          <w:spacing w:val="-2"/>
        </w:rPr>
        <w:t> </w:t>
      </w:r>
      <w:r>
        <w:rPr/>
        <w:t>a</w:t>
      </w:r>
      <w:r>
        <w:rPr>
          <w:spacing w:val="-1"/>
        </w:rPr>
        <w:t> </w:t>
      </w:r>
      <w:r>
        <w:rPr/>
        <w:t>training</w:t>
      </w:r>
      <w:r>
        <w:rPr>
          <w:spacing w:val="-1"/>
        </w:rPr>
        <w:t> </w:t>
      </w:r>
      <w:r>
        <w:rPr/>
        <w:t>plan</w:t>
      </w:r>
      <w:r>
        <w:rPr>
          <w:spacing w:val="-1"/>
        </w:rPr>
        <w:t> </w:t>
      </w:r>
      <w:r>
        <w:rPr/>
        <w:t>that</w:t>
      </w:r>
      <w:r>
        <w:rPr>
          <w:spacing w:val="-2"/>
        </w:rPr>
        <w:t> </w:t>
      </w:r>
      <w:r>
        <w:rPr/>
        <w:t>builds</w:t>
      </w:r>
      <w:r>
        <w:rPr>
          <w:spacing w:val="-1"/>
        </w:rPr>
        <w:t> </w:t>
      </w:r>
      <w:r>
        <w:rPr/>
        <w:t>off</w:t>
      </w:r>
      <w:r>
        <w:rPr>
          <w:spacing w:val="-2"/>
        </w:rPr>
        <w:t> </w:t>
      </w:r>
      <w:r>
        <w:rPr/>
        <w:t>of</w:t>
      </w:r>
      <w:r>
        <w:rPr>
          <w:spacing w:val="-1"/>
        </w:rPr>
        <w:t> </w:t>
      </w:r>
      <w:r>
        <w:rPr/>
        <w:t>the</w:t>
      </w:r>
      <w:r>
        <w:rPr>
          <w:spacing w:val="-1"/>
        </w:rPr>
        <w:t> </w:t>
      </w:r>
      <w:r>
        <w:rPr/>
        <w:t>trainings</w:t>
      </w:r>
      <w:r>
        <w:rPr>
          <w:spacing w:val="-1"/>
        </w:rPr>
        <w:t> </w:t>
      </w:r>
      <w:r>
        <w:rPr/>
        <w:t>already</w:t>
      </w:r>
      <w:r>
        <w:rPr>
          <w:spacing w:val="-2"/>
        </w:rPr>
        <w:t> </w:t>
      </w:r>
      <w:r>
        <w:rPr/>
        <w:t>provided</w:t>
      </w:r>
      <w:r>
        <w:rPr>
          <w:spacing w:val="-2"/>
        </w:rPr>
        <w:t> </w:t>
      </w:r>
      <w:r>
        <w:rPr/>
        <w:t>and</w:t>
      </w:r>
      <w:r>
        <w:rPr>
          <w:spacing w:val="-1"/>
        </w:rPr>
        <w:t> </w:t>
      </w:r>
      <w:r>
        <w:rPr/>
        <w:t>continues</w:t>
      </w:r>
      <w:r>
        <w:rPr>
          <w:spacing w:val="-1"/>
        </w:rPr>
        <w:t> </w:t>
      </w:r>
      <w:r>
        <w:rPr/>
        <w:t>to</w:t>
      </w:r>
      <w:r>
        <w:rPr>
          <w:spacing w:val="-1"/>
        </w:rPr>
        <w:t> </w:t>
      </w:r>
      <w:r>
        <w:rPr/>
        <w:t>engage</w:t>
      </w:r>
      <w:r>
        <w:rPr>
          <w:spacing w:val="-2"/>
        </w:rPr>
        <w:t> </w:t>
      </w:r>
      <w:r>
        <w:rPr/>
        <w:t>MCDHH staff and providers in LGBTQ cultural engagement, as well as racial equity and adultism.</w:t>
      </w:r>
    </w:p>
    <w:p>
      <w:pPr>
        <w:numPr>
          <w:ilvl w:val="0"/>
          <w:numId w:val="38"/>
        </w:numPr>
        <w:tabs>
          <w:tab w:pos="481" w:val="left" w:leader="none"/>
          <w:tab w:pos="483" w:val="left" w:leader="none"/>
        </w:tabs>
        <w:spacing w:line="276" w:lineRule="auto" w:before="240"/>
        <w:ind w:left="483" w:right="343" w:hanging="360"/>
        <w:jc w:val="left"/>
        <w:rPr>
          <w:b/>
          <w:sz w:val="22"/>
        </w:rPr>
      </w:pPr>
      <w:r>
        <w:rPr>
          <w:b/>
          <w:sz w:val="22"/>
        </w:rPr>
        <w:t>Expand resource development in partnership with youth and LGBTQ community organizations across the Commonwealth.</w:t>
      </w:r>
    </w:p>
    <w:p>
      <w:pPr>
        <w:pStyle w:val="BodyText"/>
        <w:spacing w:line="276" w:lineRule="auto" w:before="240"/>
        <w:ind w:left="483" w:right="343"/>
        <w:jc w:val="both"/>
      </w:pPr>
      <w:r>
        <w:rPr/>
        <w:t>MCDHH</w:t>
      </w:r>
      <w:r>
        <w:rPr>
          <w:spacing w:val="-1"/>
        </w:rPr>
        <w:t> </w:t>
      </w:r>
      <w:r>
        <w:rPr/>
        <w:t>provides a wide</w:t>
      </w:r>
      <w:r>
        <w:rPr>
          <w:spacing w:val="-1"/>
        </w:rPr>
        <w:t> </w:t>
      </w:r>
      <w:r>
        <w:rPr/>
        <w:t>range</w:t>
      </w:r>
      <w:r>
        <w:rPr>
          <w:spacing w:val="-1"/>
        </w:rPr>
        <w:t> </w:t>
      </w:r>
      <w:r>
        <w:rPr/>
        <w:t>of services and</w:t>
      </w:r>
      <w:r>
        <w:rPr>
          <w:spacing w:val="-1"/>
        </w:rPr>
        <w:t> </w:t>
      </w:r>
      <w:r>
        <w:rPr/>
        <w:t>resources for Deaf and</w:t>
      </w:r>
      <w:r>
        <w:rPr>
          <w:spacing w:val="-1"/>
        </w:rPr>
        <w:t> </w:t>
      </w:r>
      <w:r>
        <w:rPr/>
        <w:t>hard</w:t>
      </w:r>
      <w:r>
        <w:rPr>
          <w:spacing w:val="-1"/>
        </w:rPr>
        <w:t> </w:t>
      </w:r>
      <w:r>
        <w:rPr/>
        <w:t>of hearing</w:t>
      </w:r>
      <w:r>
        <w:rPr>
          <w:spacing w:val="-1"/>
        </w:rPr>
        <w:t> </w:t>
      </w:r>
      <w:r>
        <w:rPr/>
        <w:t>youth</w:t>
      </w:r>
      <w:r>
        <w:rPr>
          <w:spacing w:val="-1"/>
        </w:rPr>
        <w:t> </w:t>
      </w:r>
      <w:r>
        <w:rPr/>
        <w:t>and</w:t>
      </w:r>
      <w:r>
        <w:rPr>
          <w:spacing w:val="-1"/>
        </w:rPr>
        <w:t> </w:t>
      </w:r>
      <w:r>
        <w:rPr/>
        <w:t>families across the Commonwealth. Across the last several years, the Commission and MCDHH have discussed potential</w:t>
      </w:r>
      <w:r>
        <w:rPr>
          <w:spacing w:val="-11"/>
        </w:rPr>
        <w:t> </w:t>
      </w:r>
      <w:r>
        <w:rPr/>
        <w:t>collaborations</w:t>
      </w:r>
      <w:r>
        <w:rPr>
          <w:spacing w:val="-12"/>
        </w:rPr>
        <w:t> </w:t>
      </w:r>
      <w:r>
        <w:rPr/>
        <w:t>around</w:t>
      </w:r>
      <w:r>
        <w:rPr>
          <w:spacing w:val="-13"/>
        </w:rPr>
        <w:t> </w:t>
      </w:r>
      <w:r>
        <w:rPr/>
        <w:t>resource</w:t>
      </w:r>
      <w:r>
        <w:rPr>
          <w:spacing w:val="-12"/>
        </w:rPr>
        <w:t> </w:t>
      </w:r>
      <w:r>
        <w:rPr/>
        <w:t>development</w:t>
      </w:r>
      <w:r>
        <w:rPr>
          <w:spacing w:val="-13"/>
        </w:rPr>
        <w:t> </w:t>
      </w:r>
      <w:r>
        <w:rPr/>
        <w:t>specific</w:t>
      </w:r>
      <w:r>
        <w:rPr>
          <w:spacing w:val="-11"/>
        </w:rPr>
        <w:t> </w:t>
      </w:r>
      <w:r>
        <w:rPr/>
        <w:t>to</w:t>
      </w:r>
      <w:r>
        <w:rPr>
          <w:spacing w:val="-11"/>
        </w:rPr>
        <w:t> </w:t>
      </w:r>
      <w:r>
        <w:rPr/>
        <w:t>LGBTQ</w:t>
      </w:r>
      <w:r>
        <w:rPr>
          <w:spacing w:val="-11"/>
        </w:rPr>
        <w:t> </w:t>
      </w:r>
      <w:r>
        <w:rPr/>
        <w:t>Dead</w:t>
      </w:r>
      <w:r>
        <w:rPr>
          <w:spacing w:val="-10"/>
        </w:rPr>
        <w:t> </w:t>
      </w:r>
      <w:r>
        <w:rPr/>
        <w:t>and</w:t>
      </w:r>
      <w:r>
        <w:rPr>
          <w:spacing w:val="-13"/>
        </w:rPr>
        <w:t> </w:t>
      </w:r>
      <w:r>
        <w:rPr/>
        <w:t>hard</w:t>
      </w:r>
      <w:r>
        <w:rPr>
          <w:spacing w:val="-10"/>
        </w:rPr>
        <w:t> </w:t>
      </w:r>
      <w:r>
        <w:rPr/>
        <w:t>of</w:t>
      </w:r>
      <w:r>
        <w:rPr>
          <w:spacing w:val="-11"/>
        </w:rPr>
        <w:t> </w:t>
      </w:r>
      <w:r>
        <w:rPr/>
        <w:t>hearing</w:t>
      </w:r>
      <w:r>
        <w:rPr>
          <w:spacing w:val="-13"/>
        </w:rPr>
        <w:t> </w:t>
      </w:r>
      <w:r>
        <w:rPr/>
        <w:t>youth, as well as children of deaf adults (CODAs). Much of the resource development that MCDHH has been prioritizing has been focused on providing educational videos that are posted on its website and intentionally feature LGBTQ community members.</w:t>
      </w:r>
    </w:p>
    <w:p>
      <w:pPr>
        <w:pStyle w:val="BodyText"/>
        <w:spacing w:line="276" w:lineRule="auto" w:before="240"/>
        <w:ind w:left="483" w:right="340"/>
        <w:jc w:val="both"/>
      </w:pPr>
      <w:r>
        <w:rPr/>
        <w:t>For many years, the Commonwealth has seen a severe shortage of ASL interpreters across the state; MCDHH</w:t>
      </w:r>
      <w:r>
        <w:rPr>
          <w:spacing w:val="-7"/>
        </w:rPr>
        <w:t> </w:t>
      </w:r>
      <w:r>
        <w:rPr/>
        <w:t>has</w:t>
      </w:r>
      <w:r>
        <w:rPr>
          <w:spacing w:val="-5"/>
        </w:rPr>
        <w:t> </w:t>
      </w:r>
      <w:r>
        <w:rPr/>
        <w:t>been</w:t>
      </w:r>
      <w:r>
        <w:rPr>
          <w:spacing w:val="-6"/>
        </w:rPr>
        <w:t> </w:t>
      </w:r>
      <w:r>
        <w:rPr/>
        <w:t>leading</w:t>
      </w:r>
      <w:r>
        <w:rPr>
          <w:spacing w:val="-4"/>
        </w:rPr>
        <w:t> </w:t>
      </w:r>
      <w:r>
        <w:rPr/>
        <w:t>recruitment</w:t>
      </w:r>
      <w:r>
        <w:rPr>
          <w:spacing w:val="-6"/>
        </w:rPr>
        <w:t> </w:t>
      </w:r>
      <w:r>
        <w:rPr/>
        <w:t>efforts</w:t>
      </w:r>
      <w:r>
        <w:rPr>
          <w:spacing w:val="-6"/>
        </w:rPr>
        <w:t> </w:t>
      </w:r>
      <w:r>
        <w:rPr/>
        <w:t>and</w:t>
      </w:r>
      <w:r>
        <w:rPr>
          <w:spacing w:val="-6"/>
        </w:rPr>
        <w:t> </w:t>
      </w:r>
      <w:r>
        <w:rPr/>
        <w:t>increasing</w:t>
      </w:r>
      <w:r>
        <w:rPr>
          <w:spacing w:val="-7"/>
        </w:rPr>
        <w:t> </w:t>
      </w:r>
      <w:r>
        <w:rPr/>
        <w:t>outreach</w:t>
      </w:r>
      <w:r>
        <w:rPr>
          <w:spacing w:val="-6"/>
        </w:rPr>
        <w:t> </w:t>
      </w:r>
      <w:r>
        <w:rPr/>
        <w:t>to</w:t>
      </w:r>
      <w:r>
        <w:rPr>
          <w:spacing w:val="-6"/>
        </w:rPr>
        <w:t> </w:t>
      </w:r>
      <w:r>
        <w:rPr/>
        <w:t>diversify</w:t>
      </w:r>
      <w:r>
        <w:rPr>
          <w:spacing w:val="-6"/>
        </w:rPr>
        <w:t> </w:t>
      </w:r>
      <w:r>
        <w:rPr/>
        <w:t>its</w:t>
      </w:r>
      <w:r>
        <w:rPr>
          <w:spacing w:val="-5"/>
        </w:rPr>
        <w:t> </w:t>
      </w:r>
      <w:r>
        <w:rPr/>
        <w:t>pool</w:t>
      </w:r>
      <w:r>
        <w:rPr>
          <w:spacing w:val="-7"/>
        </w:rPr>
        <w:t> </w:t>
      </w:r>
      <w:r>
        <w:rPr/>
        <w:t>of</w:t>
      </w:r>
      <w:r>
        <w:rPr>
          <w:spacing w:val="-6"/>
        </w:rPr>
        <w:t> </w:t>
      </w:r>
      <w:r>
        <w:rPr/>
        <w:t>interpreters, specifically for BIPOC ASL interpreters. The Commission strongly recommends that MCDHH increase its intentional</w:t>
      </w:r>
      <w:r>
        <w:rPr>
          <w:spacing w:val="-8"/>
        </w:rPr>
        <w:t> </w:t>
      </w:r>
      <w:r>
        <w:rPr/>
        <w:t>outreach</w:t>
      </w:r>
      <w:r>
        <w:rPr>
          <w:spacing w:val="-8"/>
        </w:rPr>
        <w:t> </w:t>
      </w:r>
      <w:r>
        <w:rPr/>
        <w:t>to</w:t>
      </w:r>
      <w:r>
        <w:rPr>
          <w:spacing w:val="-8"/>
        </w:rPr>
        <w:t> </w:t>
      </w:r>
      <w:r>
        <w:rPr/>
        <w:t>include</w:t>
      </w:r>
      <w:r>
        <w:rPr>
          <w:spacing w:val="-8"/>
        </w:rPr>
        <w:t> </w:t>
      </w:r>
      <w:r>
        <w:rPr/>
        <w:t>recruitment</w:t>
      </w:r>
      <w:r>
        <w:rPr>
          <w:spacing w:val="-8"/>
        </w:rPr>
        <w:t> </w:t>
      </w:r>
      <w:r>
        <w:rPr/>
        <w:t>at</w:t>
      </w:r>
      <w:r>
        <w:rPr>
          <w:spacing w:val="-8"/>
        </w:rPr>
        <w:t> </w:t>
      </w:r>
      <w:r>
        <w:rPr/>
        <w:t>Pride</w:t>
      </w:r>
      <w:r>
        <w:rPr>
          <w:spacing w:val="-8"/>
        </w:rPr>
        <w:t> </w:t>
      </w:r>
      <w:r>
        <w:rPr/>
        <w:t>events</w:t>
      </w:r>
      <w:r>
        <w:rPr>
          <w:spacing w:val="-8"/>
        </w:rPr>
        <w:t> </w:t>
      </w:r>
      <w:r>
        <w:rPr/>
        <w:t>and</w:t>
      </w:r>
      <w:r>
        <w:rPr>
          <w:spacing w:val="-8"/>
        </w:rPr>
        <w:t> </w:t>
      </w:r>
      <w:r>
        <w:rPr/>
        <w:t>through</w:t>
      </w:r>
      <w:r>
        <w:rPr>
          <w:spacing w:val="-8"/>
        </w:rPr>
        <w:t> </w:t>
      </w:r>
      <w:r>
        <w:rPr/>
        <w:t>LGBTQ</w:t>
      </w:r>
      <w:r>
        <w:rPr>
          <w:spacing w:val="-8"/>
        </w:rPr>
        <w:t> </w:t>
      </w:r>
      <w:r>
        <w:rPr/>
        <w:t>community</w:t>
      </w:r>
      <w:r>
        <w:rPr>
          <w:spacing w:val="-7"/>
        </w:rPr>
        <w:t> </w:t>
      </w:r>
      <w:r>
        <w:rPr/>
        <w:t>organizations across the state. To assist with this work, the Commission further recommends that MCDHH conducts community conversations</w:t>
      </w:r>
      <w:r>
        <w:rPr>
          <w:spacing w:val="-1"/>
        </w:rPr>
        <w:t> </w:t>
      </w:r>
      <w:r>
        <w:rPr/>
        <w:t>to</w:t>
      </w:r>
      <w:r>
        <w:rPr>
          <w:spacing w:val="-1"/>
        </w:rPr>
        <w:t> </w:t>
      </w:r>
      <w:r>
        <w:rPr/>
        <w:t>learn</w:t>
      </w:r>
      <w:r>
        <w:rPr>
          <w:spacing w:val="-2"/>
        </w:rPr>
        <w:t> </w:t>
      </w:r>
      <w:r>
        <w:rPr/>
        <w:t>more</w:t>
      </w:r>
      <w:r>
        <w:rPr>
          <w:spacing w:val="-1"/>
        </w:rPr>
        <w:t> </w:t>
      </w:r>
      <w:r>
        <w:rPr/>
        <w:t>from</w:t>
      </w:r>
      <w:r>
        <w:rPr>
          <w:spacing w:val="-2"/>
        </w:rPr>
        <w:t> </w:t>
      </w:r>
      <w:r>
        <w:rPr/>
        <w:t>LGBTQ</w:t>
      </w:r>
      <w:r>
        <w:rPr>
          <w:spacing w:val="-1"/>
        </w:rPr>
        <w:t> </w:t>
      </w:r>
      <w:r>
        <w:rPr/>
        <w:t>Deaf</w:t>
      </w:r>
      <w:r>
        <w:rPr>
          <w:spacing w:val="-2"/>
        </w:rPr>
        <w:t> </w:t>
      </w:r>
      <w:r>
        <w:rPr/>
        <w:t>and</w:t>
      </w:r>
      <w:r>
        <w:rPr>
          <w:spacing w:val="-2"/>
        </w:rPr>
        <w:t> </w:t>
      </w:r>
      <w:r>
        <w:rPr/>
        <w:t>hard</w:t>
      </w:r>
      <w:r>
        <w:rPr>
          <w:spacing w:val="-2"/>
        </w:rPr>
        <w:t> </w:t>
      </w:r>
      <w:r>
        <w:rPr/>
        <w:t>of</w:t>
      </w:r>
      <w:r>
        <w:rPr>
          <w:spacing w:val="-2"/>
        </w:rPr>
        <w:t> </w:t>
      </w:r>
      <w:r>
        <w:rPr/>
        <w:t>hearing</w:t>
      </w:r>
      <w:r>
        <w:rPr>
          <w:spacing w:val="-1"/>
        </w:rPr>
        <w:t> </w:t>
      </w:r>
      <w:r>
        <w:rPr/>
        <w:t>youth</w:t>
      </w:r>
      <w:r>
        <w:rPr>
          <w:spacing w:val="-2"/>
        </w:rPr>
        <w:t> </w:t>
      </w:r>
      <w:r>
        <w:rPr/>
        <w:t>about</w:t>
      </w:r>
      <w:r>
        <w:rPr>
          <w:spacing w:val="-2"/>
        </w:rPr>
        <w:t> </w:t>
      </w:r>
      <w:r>
        <w:rPr/>
        <w:t>their</w:t>
      </w:r>
      <w:r>
        <w:rPr>
          <w:spacing w:val="-2"/>
        </w:rPr>
        <w:t> </w:t>
      </w:r>
      <w:r>
        <w:rPr/>
        <w:t>specific needs across the Commonwealth. Furthermore, the Commission hopes to engage in conversations with MCDHH around potential public campaigns highlighting LGBTQ-affirming Deaf spaces, or potentially creating LGBTQ-specific ASL-learning programs.</w:t>
      </w:r>
    </w:p>
    <w:p>
      <w:pPr>
        <w:pStyle w:val="BodyText"/>
      </w:pPr>
    </w:p>
    <w:p>
      <w:pPr>
        <w:pStyle w:val="BodyText"/>
        <w:spacing w:before="238"/>
      </w:pPr>
    </w:p>
    <w:p>
      <w:pPr>
        <w:spacing w:before="0"/>
        <w:ind w:left="483" w:right="0" w:firstLine="0"/>
        <w:jc w:val="left"/>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3"/>
          <w:sz w:val="21"/>
        </w:rPr>
        <w:t> </w:t>
      </w:r>
      <w:r>
        <w:rPr>
          <w:i/>
          <w:sz w:val="21"/>
        </w:rPr>
        <w:t>thanks</w:t>
      </w:r>
      <w:r>
        <w:rPr>
          <w:i/>
          <w:spacing w:val="-2"/>
          <w:sz w:val="21"/>
        </w:rPr>
        <w:t> </w:t>
      </w:r>
      <w:r>
        <w:rPr>
          <w:i/>
          <w:sz w:val="21"/>
        </w:rPr>
        <w:t>the</w:t>
      </w:r>
      <w:r>
        <w:rPr>
          <w:i/>
          <w:spacing w:val="-4"/>
          <w:sz w:val="21"/>
        </w:rPr>
        <w:t> </w:t>
      </w:r>
      <w:r>
        <w:rPr>
          <w:i/>
          <w:sz w:val="21"/>
        </w:rPr>
        <w:t>contributions</w:t>
      </w:r>
      <w:r>
        <w:rPr>
          <w:i/>
          <w:spacing w:val="-3"/>
          <w:sz w:val="21"/>
        </w:rPr>
        <w:t> </w:t>
      </w:r>
      <w:r>
        <w:rPr>
          <w:i/>
          <w:sz w:val="21"/>
        </w:rPr>
        <w:t>of</w:t>
      </w:r>
      <w:r>
        <w:rPr>
          <w:i/>
          <w:spacing w:val="-2"/>
          <w:sz w:val="21"/>
        </w:rPr>
        <w:t> </w:t>
      </w:r>
      <w:r>
        <w:rPr>
          <w:i/>
          <w:sz w:val="21"/>
        </w:rPr>
        <w:t>its</w:t>
      </w:r>
      <w:r>
        <w:rPr>
          <w:i/>
          <w:spacing w:val="-4"/>
          <w:sz w:val="21"/>
        </w:rPr>
        <w:t> </w:t>
      </w:r>
      <w:r>
        <w:rPr>
          <w:i/>
          <w:sz w:val="21"/>
        </w:rPr>
        <w:t>MCDHH</w:t>
      </w:r>
      <w:r>
        <w:rPr>
          <w:i/>
          <w:spacing w:val="-3"/>
          <w:sz w:val="21"/>
        </w:rPr>
        <w:t> </w:t>
      </w:r>
      <w:r>
        <w:rPr>
          <w:i/>
          <w:sz w:val="21"/>
        </w:rPr>
        <w:t>staff</w:t>
      </w:r>
      <w:r>
        <w:rPr>
          <w:i/>
          <w:spacing w:val="-2"/>
          <w:sz w:val="21"/>
        </w:rPr>
        <w:t> liaisons.</w:t>
      </w:r>
    </w:p>
    <w:p>
      <w:pPr>
        <w:pStyle w:val="BodyText"/>
        <w:spacing w:before="21"/>
        <w:rPr>
          <w:i/>
          <w:sz w:val="21"/>
        </w:rPr>
      </w:pPr>
    </w:p>
    <w:p>
      <w:pPr>
        <w:spacing w:before="0"/>
        <w:ind w:left="483" w:right="0" w:firstLine="0"/>
        <w:jc w:val="left"/>
        <w:rPr>
          <w:b/>
          <w:sz w:val="21"/>
        </w:rPr>
      </w:pPr>
      <w:r>
        <w:rPr>
          <w:b/>
          <w:spacing w:val="-2"/>
          <w:sz w:val="21"/>
        </w:rPr>
        <w:t>Citations</w:t>
      </w:r>
    </w:p>
    <w:p>
      <w:pPr>
        <w:pStyle w:val="BodyText"/>
        <w:spacing w:before="22"/>
        <w:rPr>
          <w:b/>
          <w:sz w:val="21"/>
        </w:rPr>
      </w:pPr>
    </w:p>
    <w:p>
      <w:pPr>
        <w:spacing w:before="1"/>
        <w:ind w:left="483" w:right="314" w:hanging="1"/>
        <w:jc w:val="left"/>
        <w:rPr>
          <w:sz w:val="18"/>
        </w:rPr>
      </w:pPr>
      <w:bookmarkStart w:name="_bookmark629" w:id="936"/>
      <w:bookmarkEnd w:id="936"/>
      <w:r>
        <w:rPr/>
      </w:r>
      <w:r>
        <w:rPr>
          <w:sz w:val="18"/>
          <w:vertAlign w:val="superscript"/>
        </w:rPr>
        <w:t>1</w:t>
      </w:r>
      <w:r>
        <w:rPr>
          <w:spacing w:val="-13"/>
          <w:sz w:val="18"/>
          <w:vertAlign w:val="baseline"/>
        </w:rPr>
        <w:t> </w:t>
      </w:r>
      <w:r>
        <w:rPr>
          <w:sz w:val="18"/>
          <w:vertAlign w:val="baseline"/>
        </w:rPr>
        <w:t>Cara</w:t>
      </w:r>
      <w:r>
        <w:rPr>
          <w:spacing w:val="-3"/>
          <w:sz w:val="18"/>
          <w:vertAlign w:val="baseline"/>
        </w:rPr>
        <w:t> </w:t>
      </w:r>
      <w:r>
        <w:rPr>
          <w:sz w:val="18"/>
          <w:vertAlign w:val="baseline"/>
        </w:rPr>
        <w:t>A.</w:t>
      </w:r>
      <w:r>
        <w:rPr>
          <w:spacing w:val="-2"/>
          <w:sz w:val="18"/>
          <w:vertAlign w:val="baseline"/>
        </w:rPr>
        <w:t> </w:t>
      </w:r>
      <w:r>
        <w:rPr>
          <w:sz w:val="18"/>
          <w:vertAlign w:val="baseline"/>
        </w:rPr>
        <w:t>Miller,</w:t>
      </w:r>
      <w:r>
        <w:rPr>
          <w:spacing w:val="-3"/>
          <w:sz w:val="18"/>
          <w:vertAlign w:val="baseline"/>
        </w:rPr>
        <w:t> </w:t>
      </w:r>
      <w:r>
        <w:rPr>
          <w:sz w:val="18"/>
          <w:vertAlign w:val="baseline"/>
        </w:rPr>
        <w:t>Andrew</w:t>
      </w:r>
      <w:r>
        <w:rPr>
          <w:spacing w:val="-3"/>
          <w:sz w:val="18"/>
          <w:vertAlign w:val="baseline"/>
        </w:rPr>
        <w:t> </w:t>
      </w:r>
      <w:r>
        <w:rPr>
          <w:sz w:val="18"/>
          <w:vertAlign w:val="baseline"/>
        </w:rPr>
        <w:t>Biskupiak,</w:t>
      </w:r>
      <w:r>
        <w:rPr>
          <w:spacing w:val="-3"/>
          <w:sz w:val="18"/>
          <w:vertAlign w:val="baseline"/>
        </w:rPr>
        <w:t> </w:t>
      </w:r>
      <w:r>
        <w:rPr>
          <w:sz w:val="18"/>
          <w:vertAlign w:val="baseline"/>
        </w:rPr>
        <w:t>and</w:t>
      </w:r>
      <w:r>
        <w:rPr>
          <w:spacing w:val="-2"/>
          <w:sz w:val="18"/>
          <w:vertAlign w:val="baseline"/>
        </w:rPr>
        <w:t> </w:t>
      </w:r>
      <w:r>
        <w:rPr>
          <w:sz w:val="18"/>
          <w:vertAlign w:val="baseline"/>
        </w:rPr>
        <w:t>Poorna</w:t>
      </w:r>
      <w:r>
        <w:rPr>
          <w:spacing w:val="-2"/>
          <w:sz w:val="18"/>
          <w:vertAlign w:val="baseline"/>
        </w:rPr>
        <w:t> </w:t>
      </w:r>
      <w:r>
        <w:rPr>
          <w:sz w:val="18"/>
          <w:vertAlign w:val="baseline"/>
        </w:rPr>
        <w:t>Kushalnagar,</w:t>
      </w:r>
      <w:r>
        <w:rPr>
          <w:spacing w:val="-3"/>
          <w:sz w:val="18"/>
          <w:vertAlign w:val="baseline"/>
        </w:rPr>
        <w:t> </w:t>
      </w:r>
      <w:r>
        <w:rPr>
          <w:sz w:val="18"/>
          <w:vertAlign w:val="baseline"/>
        </w:rPr>
        <w:t>“Deaf</w:t>
      </w:r>
      <w:r>
        <w:rPr>
          <w:spacing w:val="-2"/>
          <w:sz w:val="18"/>
          <w:vertAlign w:val="baseline"/>
        </w:rPr>
        <w:t> </w:t>
      </w:r>
      <w:r>
        <w:rPr>
          <w:sz w:val="18"/>
          <w:vertAlign w:val="baseline"/>
        </w:rPr>
        <w:t>LGBTQ</w:t>
      </w:r>
      <w:r>
        <w:rPr>
          <w:spacing w:val="-4"/>
          <w:sz w:val="18"/>
          <w:vertAlign w:val="baseline"/>
        </w:rPr>
        <w:t> </w:t>
      </w:r>
      <w:r>
        <w:rPr>
          <w:sz w:val="18"/>
          <w:vertAlign w:val="baseline"/>
        </w:rPr>
        <w:t>Patients’</w:t>
      </w:r>
      <w:r>
        <w:rPr>
          <w:spacing w:val="-3"/>
          <w:sz w:val="18"/>
          <w:vertAlign w:val="baseline"/>
        </w:rPr>
        <w:t> </w:t>
      </w:r>
      <w:r>
        <w:rPr>
          <w:sz w:val="18"/>
          <w:vertAlign w:val="baseline"/>
        </w:rPr>
        <w:t>Disclosure</w:t>
      </w:r>
      <w:r>
        <w:rPr>
          <w:spacing w:val="-2"/>
          <w:sz w:val="18"/>
          <w:vertAlign w:val="baseline"/>
        </w:rPr>
        <w:t> </w:t>
      </w:r>
      <w:r>
        <w:rPr>
          <w:sz w:val="18"/>
          <w:vertAlign w:val="baseline"/>
        </w:rPr>
        <w:t>of</w:t>
      </w:r>
      <w:r>
        <w:rPr>
          <w:spacing w:val="-2"/>
          <w:sz w:val="18"/>
          <w:vertAlign w:val="baseline"/>
        </w:rPr>
        <w:t> </w:t>
      </w:r>
      <w:r>
        <w:rPr>
          <w:sz w:val="18"/>
          <w:vertAlign w:val="baseline"/>
        </w:rPr>
        <w:t>Sexual</w:t>
      </w:r>
      <w:r>
        <w:rPr>
          <w:spacing w:val="-3"/>
          <w:sz w:val="18"/>
          <w:vertAlign w:val="baseline"/>
        </w:rPr>
        <w:t> </w:t>
      </w:r>
      <w:r>
        <w:rPr>
          <w:sz w:val="18"/>
          <w:vertAlign w:val="baseline"/>
        </w:rPr>
        <w:t>Orientation</w:t>
      </w:r>
      <w:r>
        <w:rPr>
          <w:spacing w:val="-2"/>
          <w:sz w:val="18"/>
          <w:vertAlign w:val="baseline"/>
        </w:rPr>
        <w:t> </w:t>
      </w:r>
      <w:r>
        <w:rPr>
          <w:sz w:val="18"/>
          <w:vertAlign w:val="baseline"/>
        </w:rPr>
        <w:t>and</w:t>
      </w:r>
      <w:r>
        <w:rPr>
          <w:spacing w:val="-2"/>
          <w:sz w:val="18"/>
          <w:vertAlign w:val="baseline"/>
        </w:rPr>
        <w:t> </w:t>
      </w:r>
      <w:r>
        <w:rPr>
          <w:sz w:val="18"/>
          <w:vertAlign w:val="baseline"/>
        </w:rPr>
        <w:t>Gender Identity to Health Care Providers,” </w:t>
      </w:r>
      <w:r>
        <w:rPr>
          <w:i/>
          <w:sz w:val="18"/>
          <w:vertAlign w:val="baseline"/>
        </w:rPr>
        <w:t>Psychology of Sexual Orientation and Gender Diversity </w:t>
      </w:r>
      <w:r>
        <w:rPr>
          <w:sz w:val="18"/>
          <w:vertAlign w:val="baseline"/>
        </w:rPr>
        <w:t>62, no. 2 (June 2019): 194–203, </w:t>
      </w:r>
      <w:r>
        <w:rPr>
          <w:spacing w:val="-2"/>
          <w:sz w:val="18"/>
          <w:vertAlign w:val="baseline"/>
        </w:rPr>
        <w:t>https://doi.org/10.1037/sgd0000319.</w:t>
      </w:r>
    </w:p>
    <w:p>
      <w:pPr>
        <w:spacing w:before="0"/>
        <w:ind w:left="483" w:right="2134" w:hanging="1"/>
        <w:jc w:val="left"/>
        <w:rPr>
          <w:sz w:val="18"/>
        </w:rPr>
      </w:pPr>
      <w:bookmarkStart w:name="_bookmark630" w:id="937"/>
      <w:bookmarkEnd w:id="937"/>
      <w:r>
        <w:rPr/>
      </w:r>
      <w:r>
        <w:rPr>
          <w:sz w:val="18"/>
          <w:vertAlign w:val="superscript"/>
        </w:rPr>
        <w:t>2</w:t>
      </w:r>
      <w:r>
        <w:rPr>
          <w:spacing w:val="-13"/>
          <w:sz w:val="18"/>
          <w:vertAlign w:val="baseline"/>
        </w:rPr>
        <w:t> </w:t>
      </w:r>
      <w:r>
        <w:rPr>
          <w:sz w:val="18"/>
          <w:vertAlign w:val="baseline"/>
        </w:rPr>
        <w:t>The</w:t>
      </w:r>
      <w:r>
        <w:rPr>
          <w:spacing w:val="-3"/>
          <w:sz w:val="18"/>
          <w:vertAlign w:val="baseline"/>
        </w:rPr>
        <w:t> </w:t>
      </w:r>
      <w:r>
        <w:rPr>
          <w:sz w:val="18"/>
          <w:vertAlign w:val="baseline"/>
        </w:rPr>
        <w:t>Trevor</w:t>
      </w:r>
      <w:r>
        <w:rPr>
          <w:spacing w:val="-3"/>
          <w:sz w:val="18"/>
          <w:vertAlign w:val="baseline"/>
        </w:rPr>
        <w:t> </w:t>
      </w:r>
      <w:r>
        <w:rPr>
          <w:sz w:val="18"/>
          <w:vertAlign w:val="baseline"/>
        </w:rPr>
        <w:t>Project,</w:t>
      </w:r>
      <w:r>
        <w:rPr>
          <w:spacing w:val="-3"/>
          <w:sz w:val="18"/>
          <w:vertAlign w:val="baseline"/>
        </w:rPr>
        <w:t> </w:t>
      </w:r>
      <w:r>
        <w:rPr>
          <w:sz w:val="18"/>
          <w:vertAlign w:val="baseline"/>
        </w:rPr>
        <w:t>“Mental</w:t>
      </w:r>
      <w:r>
        <w:rPr>
          <w:spacing w:val="-3"/>
          <w:sz w:val="18"/>
          <w:vertAlign w:val="baseline"/>
        </w:rPr>
        <w:t> </w:t>
      </w:r>
      <w:r>
        <w:rPr>
          <w:sz w:val="18"/>
          <w:vertAlign w:val="baseline"/>
        </w:rPr>
        <w:t>Health</w:t>
      </w:r>
      <w:r>
        <w:rPr>
          <w:spacing w:val="-2"/>
          <w:sz w:val="18"/>
          <w:vertAlign w:val="baseline"/>
        </w:rPr>
        <w:t> </w:t>
      </w:r>
      <w:r>
        <w:rPr>
          <w:sz w:val="18"/>
          <w:vertAlign w:val="baseline"/>
        </w:rPr>
        <w:t>of</w:t>
      </w:r>
      <w:r>
        <w:rPr>
          <w:spacing w:val="-2"/>
          <w:sz w:val="18"/>
          <w:vertAlign w:val="baseline"/>
        </w:rPr>
        <w:t> </w:t>
      </w:r>
      <w:r>
        <w:rPr>
          <w:sz w:val="18"/>
          <w:vertAlign w:val="baseline"/>
        </w:rPr>
        <w:t>Deaf*</w:t>
      </w:r>
      <w:r>
        <w:rPr>
          <w:spacing w:val="-2"/>
          <w:sz w:val="18"/>
          <w:vertAlign w:val="baseline"/>
        </w:rPr>
        <w:t> </w:t>
      </w:r>
      <w:r>
        <w:rPr>
          <w:sz w:val="18"/>
          <w:vertAlign w:val="baseline"/>
        </w:rPr>
        <w:t>LGBTQ</w:t>
      </w:r>
      <w:r>
        <w:rPr>
          <w:spacing w:val="-2"/>
          <w:sz w:val="18"/>
          <w:vertAlign w:val="baseline"/>
        </w:rPr>
        <w:t> </w:t>
      </w:r>
      <w:r>
        <w:rPr>
          <w:sz w:val="18"/>
          <w:vertAlign w:val="baseline"/>
        </w:rPr>
        <w:t>Youth,”</w:t>
      </w:r>
      <w:r>
        <w:rPr>
          <w:spacing w:val="-2"/>
          <w:sz w:val="18"/>
          <w:vertAlign w:val="baseline"/>
        </w:rPr>
        <w:t> </w:t>
      </w:r>
      <w:r>
        <w:rPr>
          <w:i/>
          <w:sz w:val="18"/>
          <w:vertAlign w:val="baseline"/>
        </w:rPr>
        <w:t>The</w:t>
      </w:r>
      <w:r>
        <w:rPr>
          <w:i/>
          <w:spacing w:val="-2"/>
          <w:sz w:val="18"/>
          <w:vertAlign w:val="baseline"/>
        </w:rPr>
        <w:t> </w:t>
      </w:r>
      <w:r>
        <w:rPr>
          <w:i/>
          <w:sz w:val="18"/>
          <w:vertAlign w:val="baseline"/>
        </w:rPr>
        <w:t>Trevor</w:t>
      </w:r>
      <w:r>
        <w:rPr>
          <w:i/>
          <w:spacing w:val="-3"/>
          <w:sz w:val="18"/>
          <w:vertAlign w:val="baseline"/>
        </w:rPr>
        <w:t> </w:t>
      </w:r>
      <w:r>
        <w:rPr>
          <w:i/>
          <w:sz w:val="18"/>
          <w:vertAlign w:val="baseline"/>
        </w:rPr>
        <w:t>Project</w:t>
      </w:r>
      <w:r>
        <w:rPr>
          <w:i/>
          <w:spacing w:val="-3"/>
          <w:sz w:val="18"/>
          <w:vertAlign w:val="baseline"/>
        </w:rPr>
        <w:t> </w:t>
      </w:r>
      <w:r>
        <w:rPr>
          <w:sz w:val="18"/>
          <w:vertAlign w:val="baseline"/>
        </w:rPr>
        <w:t>(blog),</w:t>
      </w:r>
      <w:r>
        <w:rPr>
          <w:spacing w:val="-3"/>
          <w:sz w:val="18"/>
          <w:vertAlign w:val="baseline"/>
        </w:rPr>
        <w:t> </w:t>
      </w:r>
      <w:r>
        <w:rPr>
          <w:sz w:val="18"/>
          <w:vertAlign w:val="baseline"/>
        </w:rPr>
        <w:t>March</w:t>
      </w:r>
      <w:r>
        <w:rPr>
          <w:spacing w:val="-2"/>
          <w:sz w:val="18"/>
          <w:vertAlign w:val="baseline"/>
        </w:rPr>
        <w:t> </w:t>
      </w:r>
      <w:r>
        <w:rPr>
          <w:sz w:val="18"/>
          <w:vertAlign w:val="baseline"/>
        </w:rPr>
        <w:t>28,</w:t>
      </w:r>
      <w:r>
        <w:rPr>
          <w:spacing w:val="-2"/>
          <w:sz w:val="18"/>
          <w:vertAlign w:val="baseline"/>
        </w:rPr>
        <w:t> </w:t>
      </w:r>
      <w:r>
        <w:rPr>
          <w:sz w:val="18"/>
          <w:vertAlign w:val="baseline"/>
        </w:rPr>
        <w:t>2022, </w:t>
      </w:r>
      <w:r>
        <w:rPr>
          <w:spacing w:val="-2"/>
          <w:sz w:val="18"/>
          <w:vertAlign w:val="baseline"/>
        </w:rPr>
        <w:t>https://</w:t>
      </w:r>
      <w:hyperlink r:id="rId734">
        <w:r>
          <w:rPr>
            <w:spacing w:val="-2"/>
            <w:sz w:val="18"/>
            <w:vertAlign w:val="baseline"/>
          </w:rPr>
          <w:t>www.thetrevorproject.org/research-briefs/mental-health-of-deaf-lgbtq-youth-mar-2022/.</w:t>
        </w:r>
      </w:hyperlink>
    </w:p>
    <w:p>
      <w:pPr>
        <w:spacing w:before="0"/>
        <w:ind w:left="483" w:right="0" w:firstLine="0"/>
        <w:jc w:val="left"/>
        <w:rPr>
          <w:sz w:val="18"/>
        </w:rPr>
      </w:pPr>
      <w:bookmarkStart w:name="_bookmark631" w:id="938"/>
      <w:bookmarkEnd w:id="938"/>
      <w:r>
        <w:rPr/>
      </w:r>
      <w:r>
        <w:rPr>
          <w:sz w:val="18"/>
          <w:vertAlign w:val="superscript"/>
        </w:rPr>
        <w:t>3</w:t>
      </w:r>
      <w:r>
        <w:rPr>
          <w:spacing w:val="-13"/>
          <w:sz w:val="18"/>
          <w:vertAlign w:val="baseline"/>
        </w:rPr>
        <w:t> </w:t>
      </w:r>
      <w:r>
        <w:rPr>
          <w:spacing w:val="-4"/>
          <w:sz w:val="18"/>
          <w:vertAlign w:val="baseline"/>
        </w:rPr>
        <w:t>Ibid</w:t>
      </w:r>
    </w:p>
    <w:p>
      <w:pPr>
        <w:spacing w:before="0"/>
        <w:ind w:left="483" w:right="0" w:firstLine="0"/>
        <w:jc w:val="left"/>
        <w:rPr>
          <w:sz w:val="18"/>
        </w:rPr>
      </w:pPr>
      <w:r>
        <w:rPr>
          <w:sz w:val="18"/>
          <w:vertAlign w:val="superscript"/>
        </w:rPr>
        <w:t>4</w:t>
      </w:r>
      <w:r>
        <w:rPr>
          <w:spacing w:val="-13"/>
          <w:sz w:val="18"/>
          <w:vertAlign w:val="baseline"/>
        </w:rPr>
        <w:t> </w:t>
      </w:r>
      <w:r>
        <w:rPr>
          <w:spacing w:val="-4"/>
          <w:sz w:val="18"/>
          <w:vertAlign w:val="baseline"/>
        </w:rPr>
        <w:t>Ibid</w:t>
      </w:r>
    </w:p>
    <w:p>
      <w:pPr>
        <w:spacing w:after="0"/>
        <w:jc w:val="left"/>
        <w:rPr>
          <w:sz w:val="18"/>
        </w:rPr>
        <w:sectPr>
          <w:pgSz w:w="12240" w:h="15840"/>
          <w:pgMar w:header="804" w:footer="1263" w:top="1000" w:bottom="1460" w:left="960" w:right="1100"/>
        </w:sectPr>
      </w:pPr>
    </w:p>
    <w:p>
      <w:pPr>
        <w:pStyle w:val="BodyText"/>
        <w:rPr>
          <w:sz w:val="20"/>
        </w:rPr>
      </w:pPr>
    </w:p>
    <w:p>
      <w:pPr>
        <w:pStyle w:val="BodyText"/>
        <w:rPr>
          <w:sz w:val="20"/>
        </w:rPr>
      </w:pPr>
    </w:p>
    <w:p>
      <w:pPr>
        <w:pStyle w:val="BodyText"/>
        <w:spacing w:before="73" w:after="1"/>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584" name="Group 584"/>
                <wp:cNvGraphicFramePr>
                  <a:graphicFrameLocks/>
                </wp:cNvGraphicFramePr>
                <a:graphic>
                  <a:graphicData uri="http://schemas.microsoft.com/office/word/2010/wordprocessingGroup">
                    <wpg:wgp>
                      <wpg:cNvPr id="584" name="Group 584"/>
                      <wpg:cNvGrpSpPr/>
                      <wpg:grpSpPr>
                        <a:xfrm>
                          <a:off x="0" y="0"/>
                          <a:ext cx="6350" cy="12700"/>
                          <a:chExt cx="6350" cy="12700"/>
                        </a:xfrm>
                      </wpg:grpSpPr>
                      <wps:wsp>
                        <wps:cNvPr id="585" name="Graphic 585"/>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481" coordorigin="0,0" coordsize="10,20">
                <v:rect style="position:absolute;left:0;top:0;width:10;height:20" id="docshape482" filled="true" fillcolor="#4f81bb" stroked="false">
                  <v:fill type="solid"/>
                </v:rect>
              </v:group>
            </w:pict>
          </mc:Fallback>
        </mc:AlternateContent>
      </w:r>
      <w:r>
        <w:rPr>
          <w:sz w:val="2"/>
        </w:rPr>
      </w:r>
    </w:p>
    <w:p>
      <w:pPr>
        <w:pStyle w:val="Heading7"/>
        <w:ind w:left="464"/>
      </w:pPr>
      <w:bookmarkStart w:name="_bookmark632" w:id="939"/>
      <w:bookmarkEnd w:id="939"/>
      <w:r>
        <w:rPr/>
      </w:r>
      <w:hyperlink w:history="true" w:anchor="_bookmark6">
        <w:r>
          <w:rPr>
            <w:color w:val="365F91"/>
            <w:spacing w:val="-10"/>
          </w:rPr>
          <w:t>Massachusetts</w:t>
        </w:r>
        <w:r>
          <w:rPr>
            <w:color w:val="365F91"/>
            <w:spacing w:val="7"/>
          </w:rPr>
          <w:t> </w:t>
        </w:r>
        <w:r>
          <w:rPr>
            <w:color w:val="365F91"/>
            <w:spacing w:val="-10"/>
          </w:rPr>
          <w:t>Rehabilitation</w:t>
        </w:r>
        <w:r>
          <w:rPr>
            <w:color w:val="365F91"/>
            <w:spacing w:val="7"/>
          </w:rPr>
          <w:t> </w:t>
        </w:r>
        <w:r>
          <w:rPr>
            <w:color w:val="365F91"/>
            <w:spacing w:val="-10"/>
          </w:rPr>
          <w:t>Commission</w:t>
        </w:r>
      </w:hyperlink>
    </w:p>
    <w:p>
      <w:pPr>
        <w:pStyle w:val="BodyText"/>
        <w:rPr>
          <w:sz w:val="20"/>
        </w:rPr>
      </w:pPr>
    </w:p>
    <w:p>
      <w:pPr>
        <w:pStyle w:val="BodyText"/>
        <w:spacing w:before="140"/>
        <w:rPr>
          <w:sz w:val="20"/>
        </w:rPr>
      </w:pPr>
      <w:r>
        <w:rPr/>
        <mc:AlternateContent>
          <mc:Choice Requires="wps">
            <w:drawing>
              <wp:anchor distT="0" distB="0" distL="0" distR="0" allowOverlap="1" layoutInCell="1" locked="0" behindDoc="1" simplePos="0" relativeHeight="487703040">
                <wp:simplePos x="0" y="0"/>
                <wp:positionH relativeFrom="page">
                  <wp:posOffset>889000</wp:posOffset>
                </wp:positionH>
                <wp:positionV relativeFrom="paragraph">
                  <wp:posOffset>259777</wp:posOffset>
                </wp:positionV>
                <wp:extent cx="6350" cy="12700"/>
                <wp:effectExtent l="0" t="0" r="0" b="0"/>
                <wp:wrapTopAndBottom/>
                <wp:docPr id="586" name="Graphic 586"/>
                <wp:cNvGraphicFramePr>
                  <a:graphicFrameLocks/>
                </wp:cNvGraphicFramePr>
                <a:graphic>
                  <a:graphicData uri="http://schemas.microsoft.com/office/word/2010/wordprocessingShape">
                    <wps:wsp>
                      <wps:cNvPr id="586" name="Graphic 586"/>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454906pt;width:.499pt;height:.962pt;mso-position-horizontal-relative:page;mso-position-vertical-relative:paragraph;z-index:-15613440;mso-wrap-distance-left:0;mso-wrap-distance-right:0" id="docshape483" filled="true" fillcolor="#4f81bb" stroked="false">
                <v:fill type="solid"/>
                <w10:wrap type="topAndBottom"/>
              </v:rect>
            </w:pict>
          </mc:Fallback>
        </mc:AlternateContent>
      </w:r>
    </w:p>
    <w:p>
      <w:pPr>
        <w:spacing w:before="0"/>
        <w:ind w:left="464" w:right="0" w:firstLine="0"/>
        <w:jc w:val="left"/>
        <w:rPr>
          <w:sz w:val="28"/>
        </w:rPr>
      </w:pPr>
      <w:r>
        <w:rPr>
          <w:color w:val="365F91"/>
          <w:sz w:val="28"/>
        </w:rPr>
        <w:t>FY2025</w:t>
      </w:r>
      <w:r>
        <w:rPr>
          <w:color w:val="365F91"/>
          <w:spacing w:val="-13"/>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03552">
                <wp:simplePos x="0" y="0"/>
                <wp:positionH relativeFrom="page">
                  <wp:posOffset>885444</wp:posOffset>
                </wp:positionH>
                <wp:positionV relativeFrom="paragraph">
                  <wp:posOffset>45366</wp:posOffset>
                </wp:positionV>
                <wp:extent cx="5989320" cy="6350"/>
                <wp:effectExtent l="0" t="0" r="0" b="0"/>
                <wp:wrapTopAndBottom/>
                <wp:docPr id="587" name="Graphic 587"/>
                <wp:cNvGraphicFramePr>
                  <a:graphicFrameLocks/>
                </wp:cNvGraphicFramePr>
                <a:graphic>
                  <a:graphicData uri="http://schemas.microsoft.com/office/word/2010/wordprocessingShape">
                    <wps:wsp>
                      <wps:cNvPr id="587" name="Graphic 587"/>
                      <wps:cNvSpPr/>
                      <wps:spPr>
                        <a:xfrm>
                          <a:off x="0" y="0"/>
                          <a:ext cx="5989320" cy="6350"/>
                        </a:xfrm>
                        <a:custGeom>
                          <a:avLst/>
                          <a:gdLst/>
                          <a:ahLst/>
                          <a:cxnLst/>
                          <a:rect l="l" t="t" r="r" b="b"/>
                          <a:pathLst>
                            <a:path w="5989320" h="6350">
                              <a:moveTo>
                                <a:pt x="5989320" y="0"/>
                              </a:moveTo>
                              <a:lnTo>
                                <a:pt x="0" y="0"/>
                              </a:lnTo>
                              <a:lnTo>
                                <a:pt x="0" y="6096"/>
                              </a:lnTo>
                              <a:lnTo>
                                <a:pt x="5989320" y="6096"/>
                              </a:lnTo>
                              <a:lnTo>
                                <a:pt x="59893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9.720001pt;margin-top:3.572156pt;width:471.6pt;height:.48pt;mso-position-horizontal-relative:page;mso-position-vertical-relative:paragraph;z-index:-15612928;mso-wrap-distance-left:0;mso-wrap-distance-right:0" id="docshape484" filled="true" fillcolor="#4f81bc" stroked="false">
                <v:fill type="solid"/>
                <w10:wrap type="topAndBottom"/>
              </v:rect>
            </w:pict>
          </mc:Fallback>
        </mc:AlternateContent>
      </w:r>
    </w:p>
    <w:p>
      <w:pPr>
        <w:pStyle w:val="ListParagraph"/>
        <w:numPr>
          <w:ilvl w:val="1"/>
          <w:numId w:val="38"/>
        </w:numPr>
        <w:tabs>
          <w:tab w:pos="1040" w:val="left" w:leader="none"/>
        </w:tabs>
        <w:spacing w:line="240" w:lineRule="auto" w:before="241" w:after="0"/>
        <w:ind w:left="1040" w:right="0" w:hanging="360"/>
        <w:jc w:val="left"/>
        <w:rPr>
          <w:sz w:val="22"/>
        </w:rPr>
      </w:pPr>
      <w:r>
        <w:rPr>
          <w:sz w:val="22"/>
        </w:rPr>
        <w:t>Create</w:t>
      </w:r>
      <w:r>
        <w:rPr>
          <w:spacing w:val="-10"/>
          <w:sz w:val="22"/>
        </w:rPr>
        <w:t> </w:t>
      </w:r>
      <w:r>
        <w:rPr>
          <w:sz w:val="22"/>
        </w:rPr>
        <w:t>a</w:t>
      </w:r>
      <w:r>
        <w:rPr>
          <w:spacing w:val="-7"/>
          <w:sz w:val="22"/>
        </w:rPr>
        <w:t> </w:t>
      </w:r>
      <w:r>
        <w:rPr>
          <w:sz w:val="22"/>
        </w:rPr>
        <w:t>comprehensive</w:t>
      </w:r>
      <w:r>
        <w:rPr>
          <w:spacing w:val="-9"/>
          <w:sz w:val="22"/>
        </w:rPr>
        <w:t> </w:t>
      </w:r>
      <w:r>
        <w:rPr>
          <w:sz w:val="22"/>
        </w:rPr>
        <w:t>nondiscrimination</w:t>
      </w:r>
      <w:r>
        <w:rPr>
          <w:spacing w:val="-9"/>
          <w:sz w:val="22"/>
        </w:rPr>
        <w:t> </w:t>
      </w:r>
      <w:r>
        <w:rPr>
          <w:sz w:val="22"/>
        </w:rPr>
        <w:t>and</w:t>
      </w:r>
      <w:r>
        <w:rPr>
          <w:spacing w:val="-9"/>
          <w:sz w:val="22"/>
        </w:rPr>
        <w:t> </w:t>
      </w:r>
      <w:r>
        <w:rPr>
          <w:sz w:val="22"/>
        </w:rPr>
        <w:t>inclusion</w:t>
      </w:r>
      <w:r>
        <w:rPr>
          <w:spacing w:val="-10"/>
          <w:sz w:val="22"/>
        </w:rPr>
        <w:t> </w:t>
      </w:r>
      <w:r>
        <w:rPr>
          <w:sz w:val="22"/>
        </w:rPr>
        <w:t>policy</w:t>
      </w:r>
      <w:r>
        <w:rPr>
          <w:spacing w:val="-9"/>
          <w:sz w:val="22"/>
        </w:rPr>
        <w:t> </w:t>
      </w:r>
      <w:r>
        <w:rPr>
          <w:sz w:val="22"/>
        </w:rPr>
        <w:t>for</w:t>
      </w:r>
      <w:r>
        <w:rPr>
          <w:spacing w:val="-9"/>
          <w:sz w:val="22"/>
        </w:rPr>
        <w:t> </w:t>
      </w:r>
      <w:r>
        <w:rPr>
          <w:sz w:val="22"/>
        </w:rPr>
        <w:t>LGBTQ</w:t>
      </w:r>
      <w:r>
        <w:rPr>
          <w:spacing w:val="-9"/>
          <w:sz w:val="22"/>
        </w:rPr>
        <w:t> </w:t>
      </w:r>
      <w:r>
        <w:rPr>
          <w:spacing w:val="-2"/>
          <w:sz w:val="22"/>
        </w:rPr>
        <w:t>clients.</w:t>
      </w:r>
    </w:p>
    <w:p>
      <w:pPr>
        <w:pStyle w:val="ListParagraph"/>
        <w:numPr>
          <w:ilvl w:val="1"/>
          <w:numId w:val="38"/>
        </w:numPr>
        <w:tabs>
          <w:tab w:pos="1040" w:val="left" w:leader="none"/>
        </w:tabs>
        <w:spacing w:line="240" w:lineRule="auto" w:before="40" w:after="0"/>
        <w:ind w:left="1040" w:right="0" w:hanging="360"/>
        <w:jc w:val="left"/>
        <w:rPr>
          <w:sz w:val="22"/>
        </w:rPr>
      </w:pPr>
      <w:r>
        <w:rPr>
          <w:sz w:val="21"/>
        </w:rPr>
        <w:t>Continue</w:t>
      </w:r>
      <w:r>
        <w:rPr>
          <w:spacing w:val="-7"/>
          <w:sz w:val="21"/>
        </w:rPr>
        <w:t> </w:t>
      </w:r>
      <w:r>
        <w:rPr>
          <w:sz w:val="21"/>
        </w:rPr>
        <w:t>to</w:t>
      </w:r>
      <w:r>
        <w:rPr>
          <w:spacing w:val="-7"/>
          <w:sz w:val="21"/>
        </w:rPr>
        <w:t> </w:t>
      </w:r>
      <w:r>
        <w:rPr>
          <w:sz w:val="21"/>
        </w:rPr>
        <w:t>r</w:t>
      </w:r>
      <w:r>
        <w:rPr>
          <w:sz w:val="22"/>
        </w:rPr>
        <w:t>eview</w:t>
      </w:r>
      <w:r>
        <w:rPr>
          <w:spacing w:val="-8"/>
          <w:sz w:val="22"/>
        </w:rPr>
        <w:t> </w:t>
      </w:r>
      <w:r>
        <w:rPr>
          <w:sz w:val="22"/>
        </w:rPr>
        <w:t>intake</w:t>
      </w:r>
      <w:r>
        <w:rPr>
          <w:spacing w:val="-7"/>
          <w:sz w:val="22"/>
        </w:rPr>
        <w:t> </w:t>
      </w:r>
      <w:r>
        <w:rPr>
          <w:sz w:val="22"/>
        </w:rPr>
        <w:t>forms</w:t>
      </w:r>
      <w:r>
        <w:rPr>
          <w:spacing w:val="-8"/>
          <w:sz w:val="22"/>
        </w:rPr>
        <w:t> </w:t>
      </w:r>
      <w:r>
        <w:rPr>
          <w:sz w:val="22"/>
        </w:rPr>
        <w:t>and</w:t>
      </w:r>
      <w:r>
        <w:rPr>
          <w:spacing w:val="-7"/>
          <w:sz w:val="22"/>
        </w:rPr>
        <w:t> </w:t>
      </w:r>
      <w:r>
        <w:rPr>
          <w:sz w:val="22"/>
        </w:rPr>
        <w:t>appropriately</w:t>
      </w:r>
      <w:r>
        <w:rPr>
          <w:spacing w:val="-7"/>
          <w:sz w:val="22"/>
        </w:rPr>
        <w:t> </w:t>
      </w:r>
      <w:r>
        <w:rPr>
          <w:sz w:val="22"/>
        </w:rPr>
        <w:t>train</w:t>
      </w:r>
      <w:r>
        <w:rPr>
          <w:spacing w:val="-8"/>
          <w:sz w:val="22"/>
        </w:rPr>
        <w:t> </w:t>
      </w:r>
      <w:r>
        <w:rPr>
          <w:sz w:val="22"/>
        </w:rPr>
        <w:t>staff</w:t>
      </w:r>
      <w:r>
        <w:rPr>
          <w:spacing w:val="-8"/>
          <w:sz w:val="22"/>
        </w:rPr>
        <w:t> </w:t>
      </w:r>
      <w:r>
        <w:rPr>
          <w:sz w:val="22"/>
        </w:rPr>
        <w:t>on</w:t>
      </w:r>
      <w:r>
        <w:rPr>
          <w:spacing w:val="-8"/>
          <w:sz w:val="22"/>
        </w:rPr>
        <w:t> </w:t>
      </w:r>
      <w:r>
        <w:rPr>
          <w:sz w:val="22"/>
        </w:rPr>
        <w:t>implementation</w:t>
      </w:r>
      <w:r>
        <w:rPr>
          <w:spacing w:val="-8"/>
          <w:sz w:val="22"/>
        </w:rPr>
        <w:t> </w:t>
      </w:r>
      <w:r>
        <w:rPr>
          <w:spacing w:val="-2"/>
          <w:sz w:val="22"/>
        </w:rPr>
        <w:t>procedures.</w:t>
      </w:r>
    </w:p>
    <w:p>
      <w:pPr>
        <w:pStyle w:val="ListParagraph"/>
        <w:numPr>
          <w:ilvl w:val="1"/>
          <w:numId w:val="38"/>
        </w:numPr>
        <w:tabs>
          <w:tab w:pos="1040" w:val="left" w:leader="none"/>
        </w:tabs>
        <w:spacing w:line="276" w:lineRule="auto" w:before="41" w:after="0"/>
        <w:ind w:left="1040" w:right="629" w:hanging="361"/>
        <w:jc w:val="left"/>
        <w:rPr>
          <w:sz w:val="22"/>
        </w:rPr>
      </w:pPr>
      <w:r>
        <w:rPr>
          <w:sz w:val="22"/>
        </w:rPr>
        <w:t>Facilitate</w:t>
      </w:r>
      <w:r>
        <w:rPr>
          <w:spacing w:val="37"/>
          <w:sz w:val="22"/>
        </w:rPr>
        <w:t> </w:t>
      </w:r>
      <w:r>
        <w:rPr>
          <w:sz w:val="22"/>
        </w:rPr>
        <w:t>mandatory</w:t>
      </w:r>
      <w:r>
        <w:rPr>
          <w:spacing w:val="36"/>
          <w:sz w:val="22"/>
        </w:rPr>
        <w:t> </w:t>
      </w:r>
      <w:r>
        <w:rPr>
          <w:sz w:val="22"/>
        </w:rPr>
        <w:t>LGBTQ</w:t>
      </w:r>
      <w:r>
        <w:rPr>
          <w:spacing w:val="37"/>
          <w:sz w:val="22"/>
        </w:rPr>
        <w:t> </w:t>
      </w:r>
      <w:r>
        <w:rPr>
          <w:sz w:val="22"/>
        </w:rPr>
        <w:t>cultural</w:t>
      </w:r>
      <w:r>
        <w:rPr>
          <w:spacing w:val="37"/>
          <w:sz w:val="22"/>
        </w:rPr>
        <w:t> </w:t>
      </w:r>
      <w:r>
        <w:rPr>
          <w:sz w:val="22"/>
        </w:rPr>
        <w:t>awareness</w:t>
      </w:r>
      <w:r>
        <w:rPr>
          <w:spacing w:val="37"/>
          <w:sz w:val="22"/>
        </w:rPr>
        <w:t> </w:t>
      </w:r>
      <w:r>
        <w:rPr>
          <w:sz w:val="22"/>
        </w:rPr>
        <w:t>trainings,</w:t>
      </w:r>
      <w:r>
        <w:rPr>
          <w:spacing w:val="36"/>
          <w:sz w:val="22"/>
        </w:rPr>
        <w:t> </w:t>
      </w:r>
      <w:r>
        <w:rPr>
          <w:sz w:val="22"/>
        </w:rPr>
        <w:t>and</w:t>
      </w:r>
      <w:r>
        <w:rPr>
          <w:spacing w:val="36"/>
          <w:sz w:val="22"/>
        </w:rPr>
        <w:t> </w:t>
      </w:r>
      <w:r>
        <w:rPr>
          <w:sz w:val="22"/>
        </w:rPr>
        <w:t>offer</w:t>
      </w:r>
      <w:r>
        <w:rPr>
          <w:spacing w:val="36"/>
          <w:sz w:val="22"/>
        </w:rPr>
        <w:t> </w:t>
      </w:r>
      <w:r>
        <w:rPr>
          <w:sz w:val="22"/>
        </w:rPr>
        <w:t>recurring</w:t>
      </w:r>
      <w:r>
        <w:rPr>
          <w:spacing w:val="36"/>
          <w:sz w:val="22"/>
        </w:rPr>
        <w:t> </w:t>
      </w:r>
      <w:r>
        <w:rPr>
          <w:sz w:val="22"/>
        </w:rPr>
        <w:t>skills</w:t>
      </w:r>
      <w:r>
        <w:rPr>
          <w:spacing w:val="38"/>
          <w:sz w:val="22"/>
        </w:rPr>
        <w:t> </w:t>
      </w:r>
      <w:r>
        <w:rPr>
          <w:sz w:val="22"/>
        </w:rPr>
        <w:t>building opportunities for staff.</w:t>
      </w:r>
    </w:p>
    <w:p>
      <w:pPr>
        <w:pStyle w:val="ListParagraph"/>
        <w:numPr>
          <w:ilvl w:val="1"/>
          <w:numId w:val="38"/>
        </w:numPr>
        <w:tabs>
          <w:tab w:pos="1040" w:val="left" w:leader="none"/>
        </w:tabs>
        <w:spacing w:line="276" w:lineRule="auto" w:before="0" w:after="0"/>
        <w:ind w:left="1040" w:right="629" w:hanging="360"/>
        <w:jc w:val="left"/>
        <w:rPr>
          <w:sz w:val="22"/>
        </w:rPr>
      </w:pPr>
      <w:r>
        <w:rPr>
          <w:sz w:val="22"/>
        </w:rPr>
        <w:t>Partner</w:t>
      </w:r>
      <w:r>
        <w:rPr>
          <w:spacing w:val="40"/>
          <w:sz w:val="22"/>
        </w:rPr>
        <w:t> </w:t>
      </w:r>
      <w:r>
        <w:rPr>
          <w:sz w:val="22"/>
        </w:rPr>
        <w:t>with</w:t>
      </w:r>
      <w:r>
        <w:rPr>
          <w:spacing w:val="40"/>
          <w:sz w:val="22"/>
        </w:rPr>
        <w:t> </w:t>
      </w:r>
      <w:r>
        <w:rPr>
          <w:sz w:val="22"/>
        </w:rPr>
        <w:t>the</w:t>
      </w:r>
      <w:r>
        <w:rPr>
          <w:spacing w:val="40"/>
          <w:sz w:val="22"/>
        </w:rPr>
        <w:t> </w:t>
      </w:r>
      <w:r>
        <w:rPr>
          <w:sz w:val="22"/>
        </w:rPr>
        <w:t>Commission</w:t>
      </w:r>
      <w:r>
        <w:rPr>
          <w:spacing w:val="40"/>
          <w:sz w:val="22"/>
        </w:rPr>
        <w:t> </w:t>
      </w:r>
      <w:r>
        <w:rPr>
          <w:sz w:val="22"/>
        </w:rPr>
        <w:t>to</w:t>
      </w:r>
      <w:r>
        <w:rPr>
          <w:spacing w:val="40"/>
          <w:sz w:val="22"/>
        </w:rPr>
        <w:t> </w:t>
      </w:r>
      <w:r>
        <w:rPr>
          <w:sz w:val="22"/>
        </w:rPr>
        <w:t>develop</w:t>
      </w:r>
      <w:r>
        <w:rPr>
          <w:spacing w:val="40"/>
          <w:sz w:val="22"/>
        </w:rPr>
        <w:t> </w:t>
      </w:r>
      <w:r>
        <w:rPr>
          <w:sz w:val="22"/>
        </w:rPr>
        <w:t>an</w:t>
      </w:r>
      <w:r>
        <w:rPr>
          <w:spacing w:val="40"/>
          <w:sz w:val="22"/>
        </w:rPr>
        <w:t> </w:t>
      </w:r>
      <w:r>
        <w:rPr>
          <w:sz w:val="22"/>
        </w:rPr>
        <w:t>outreach</w:t>
      </w:r>
      <w:r>
        <w:rPr>
          <w:spacing w:val="40"/>
          <w:sz w:val="22"/>
        </w:rPr>
        <w:t> </w:t>
      </w:r>
      <w:r>
        <w:rPr>
          <w:sz w:val="22"/>
        </w:rPr>
        <w:t>plan</w:t>
      </w:r>
      <w:r>
        <w:rPr>
          <w:spacing w:val="40"/>
          <w:sz w:val="22"/>
        </w:rPr>
        <w:t> </w:t>
      </w:r>
      <w:r>
        <w:rPr>
          <w:sz w:val="22"/>
        </w:rPr>
        <w:t>to</w:t>
      </w:r>
      <w:r>
        <w:rPr>
          <w:spacing w:val="40"/>
          <w:sz w:val="22"/>
        </w:rPr>
        <w:t> </w:t>
      </w:r>
      <w:r>
        <w:rPr>
          <w:sz w:val="22"/>
        </w:rPr>
        <w:t>LGBTQ</w:t>
      </w:r>
      <w:r>
        <w:rPr>
          <w:spacing w:val="40"/>
          <w:sz w:val="22"/>
        </w:rPr>
        <w:t> </w:t>
      </w:r>
      <w:r>
        <w:rPr>
          <w:sz w:val="22"/>
        </w:rPr>
        <w:t>youth</w:t>
      </w:r>
      <w:r>
        <w:rPr>
          <w:spacing w:val="40"/>
          <w:sz w:val="22"/>
        </w:rPr>
        <w:t> </w:t>
      </w:r>
      <w:r>
        <w:rPr>
          <w:sz w:val="22"/>
        </w:rPr>
        <w:t>and</w:t>
      </w:r>
      <w:r>
        <w:rPr>
          <w:spacing w:val="40"/>
          <w:sz w:val="22"/>
        </w:rPr>
        <w:t> </w:t>
      </w:r>
      <w:r>
        <w:rPr>
          <w:sz w:val="22"/>
        </w:rPr>
        <w:t>resource </w:t>
      </w:r>
      <w:r>
        <w:rPr>
          <w:spacing w:val="-2"/>
          <w:sz w:val="22"/>
        </w:rPr>
        <w:t>development.</w:t>
      </w:r>
    </w:p>
    <w:p>
      <w:pPr>
        <w:pStyle w:val="ListParagraph"/>
        <w:numPr>
          <w:ilvl w:val="1"/>
          <w:numId w:val="38"/>
        </w:numPr>
        <w:tabs>
          <w:tab w:pos="1040" w:val="left" w:leader="none"/>
        </w:tabs>
        <w:spacing w:line="240" w:lineRule="auto" w:before="0" w:after="0"/>
        <w:ind w:left="1040" w:right="0" w:hanging="360"/>
        <w:jc w:val="left"/>
        <w:rPr>
          <w:sz w:val="22"/>
        </w:rPr>
      </w:pPr>
      <w:r>
        <w:rPr>
          <w:sz w:val="22"/>
        </w:rPr>
        <w:t>Review</w:t>
      </w:r>
      <w:r>
        <w:rPr>
          <w:spacing w:val="-9"/>
          <w:sz w:val="22"/>
        </w:rPr>
        <w:t> </w:t>
      </w:r>
      <w:r>
        <w:rPr>
          <w:sz w:val="22"/>
        </w:rPr>
        <w:t>internal</w:t>
      </w:r>
      <w:r>
        <w:rPr>
          <w:spacing w:val="-9"/>
          <w:sz w:val="22"/>
        </w:rPr>
        <w:t> </w:t>
      </w:r>
      <w:r>
        <w:rPr>
          <w:sz w:val="22"/>
        </w:rPr>
        <w:t>policies</w:t>
      </w:r>
      <w:r>
        <w:rPr>
          <w:spacing w:val="-8"/>
          <w:sz w:val="22"/>
        </w:rPr>
        <w:t> </w:t>
      </w:r>
      <w:r>
        <w:rPr>
          <w:sz w:val="22"/>
        </w:rPr>
        <w:t>to</w:t>
      </w:r>
      <w:r>
        <w:rPr>
          <w:spacing w:val="-8"/>
          <w:sz w:val="22"/>
        </w:rPr>
        <w:t> </w:t>
      </w:r>
      <w:r>
        <w:rPr>
          <w:sz w:val="22"/>
        </w:rPr>
        <w:t>identify</w:t>
      </w:r>
      <w:r>
        <w:rPr>
          <w:spacing w:val="-9"/>
          <w:sz w:val="22"/>
        </w:rPr>
        <w:t> </w:t>
      </w:r>
      <w:r>
        <w:rPr>
          <w:sz w:val="22"/>
        </w:rPr>
        <w:t>opportunities</w:t>
      </w:r>
      <w:r>
        <w:rPr>
          <w:spacing w:val="-8"/>
          <w:sz w:val="22"/>
        </w:rPr>
        <w:t> </w:t>
      </w:r>
      <w:r>
        <w:rPr>
          <w:sz w:val="22"/>
        </w:rPr>
        <w:t>for</w:t>
      </w:r>
      <w:r>
        <w:rPr>
          <w:spacing w:val="-9"/>
          <w:sz w:val="22"/>
        </w:rPr>
        <w:t> </w:t>
      </w:r>
      <w:r>
        <w:rPr>
          <w:spacing w:val="-2"/>
          <w:sz w:val="22"/>
        </w:rPr>
        <w:t>improvement.</w:t>
      </w: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704064">
                <wp:simplePos x="0" y="0"/>
                <wp:positionH relativeFrom="page">
                  <wp:posOffset>889000</wp:posOffset>
                </wp:positionH>
                <wp:positionV relativeFrom="paragraph">
                  <wp:posOffset>238571</wp:posOffset>
                </wp:positionV>
                <wp:extent cx="6350" cy="12700"/>
                <wp:effectExtent l="0" t="0" r="0" b="0"/>
                <wp:wrapTopAndBottom/>
                <wp:docPr id="588" name="Graphic 588"/>
                <wp:cNvGraphicFramePr>
                  <a:graphicFrameLocks/>
                </wp:cNvGraphicFramePr>
                <a:graphic>
                  <a:graphicData uri="http://schemas.microsoft.com/office/word/2010/wordprocessingShape">
                    <wps:wsp>
                      <wps:cNvPr id="588" name="Graphic 588"/>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785187pt;width:.499pt;height:.96pt;mso-position-horizontal-relative:page;mso-position-vertical-relative:paragraph;z-index:-15612416;mso-wrap-distance-left:0;mso-wrap-distance-right:0" id="docshape485" filled="true" fillcolor="#4f81bb" stroked="false">
                <v:fill type="solid"/>
                <w10:wrap type="topAndBottom"/>
              </v:rect>
            </w:pict>
          </mc:Fallback>
        </mc:AlternateContent>
      </w:r>
    </w:p>
    <w:p>
      <w:pPr>
        <w:spacing w:before="0"/>
        <w:ind w:left="464"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04576">
                <wp:simplePos x="0" y="0"/>
                <wp:positionH relativeFrom="page">
                  <wp:posOffset>885444</wp:posOffset>
                </wp:positionH>
                <wp:positionV relativeFrom="paragraph">
                  <wp:posOffset>45290</wp:posOffset>
                </wp:positionV>
                <wp:extent cx="5989320" cy="6350"/>
                <wp:effectExtent l="0" t="0" r="0" b="0"/>
                <wp:wrapTopAndBottom/>
                <wp:docPr id="589" name="Graphic 589"/>
                <wp:cNvGraphicFramePr>
                  <a:graphicFrameLocks/>
                </wp:cNvGraphicFramePr>
                <a:graphic>
                  <a:graphicData uri="http://schemas.microsoft.com/office/word/2010/wordprocessingShape">
                    <wps:wsp>
                      <wps:cNvPr id="589" name="Graphic 589"/>
                      <wps:cNvSpPr/>
                      <wps:spPr>
                        <a:xfrm>
                          <a:off x="0" y="0"/>
                          <a:ext cx="5989320" cy="6350"/>
                        </a:xfrm>
                        <a:custGeom>
                          <a:avLst/>
                          <a:gdLst/>
                          <a:ahLst/>
                          <a:cxnLst/>
                          <a:rect l="l" t="t" r="r" b="b"/>
                          <a:pathLst>
                            <a:path w="5989320" h="6350">
                              <a:moveTo>
                                <a:pt x="5989320" y="0"/>
                              </a:moveTo>
                              <a:lnTo>
                                <a:pt x="0" y="0"/>
                              </a:lnTo>
                              <a:lnTo>
                                <a:pt x="0" y="6108"/>
                              </a:lnTo>
                              <a:lnTo>
                                <a:pt x="5989320" y="6108"/>
                              </a:lnTo>
                              <a:lnTo>
                                <a:pt x="5989320"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9.720001pt;margin-top:3.566156pt;width:471.6pt;height:.481pt;mso-position-horizontal-relative:page;mso-position-vertical-relative:paragraph;z-index:-15611904;mso-wrap-distance-left:0;mso-wrap-distance-right:0" id="docshape486" filled="true" fillcolor="#4f81bc" stroked="false">
                <v:fill type="solid"/>
                <w10:wrap type="topAndBottom"/>
              </v:rect>
            </w:pict>
          </mc:Fallback>
        </mc:AlternateContent>
      </w:r>
    </w:p>
    <w:p>
      <w:pPr>
        <w:pStyle w:val="BodyText"/>
        <w:spacing w:line="276" w:lineRule="auto" w:before="241"/>
        <w:ind w:left="464" w:right="341"/>
        <w:jc w:val="both"/>
      </w:pPr>
      <w:r>
        <w:rPr/>
        <w:t>The Massachusetts Rehabilitation Commission (MRC) promotes equality, empowerment, and independence for individuals with disabilities. MRC provides programs that assist individuals with employment opportunities and training, community living support, and assistance with determining federal benefits eligibility. For youth 14 and older, MRC offers </w:t>
      </w:r>
      <w:hyperlink r:id="rId737">
        <w:r>
          <w:rPr>
            <w:color w:val="1153CC"/>
            <w:u w:val="single" w:color="1153CC"/>
          </w:rPr>
          <w:t>transition services</w:t>
        </w:r>
      </w:hyperlink>
      <w:r>
        <w:rPr>
          <w:color w:val="1153CC"/>
          <w:u w:val="none"/>
        </w:rPr>
        <w:t> </w:t>
      </w:r>
      <w:r>
        <w:rPr>
          <w:u w:val="none"/>
        </w:rPr>
        <w:t>to support high school students with pre-employment support or support for further education after high school.</w:t>
      </w:r>
    </w:p>
    <w:p>
      <w:pPr>
        <w:pStyle w:val="BodyText"/>
        <w:spacing w:line="276" w:lineRule="auto" w:before="241"/>
        <w:ind w:left="464" w:right="339"/>
        <w:jc w:val="both"/>
      </w:pPr>
      <w:r>
        <w:rPr/>
        <w:t>Research suggests that LGBTQ youth are more likely than their heterosexual and cisgender peers to identify as having a physical disability, long-term health problems, or learning disabilities. LGBTQ youth are already disproportionately more likely to face discrimination and exclusion from services and employment; for youth with disabilities these experiences can be compounded by further ableism, discrimination, and stigma. Furthermore, as discussed previously in the MCDHH section, even LGBTQ community spaces are often inaccessible for youth with disabilities, particularly when lacking accessible bathrooms,</w:t>
      </w:r>
      <w:r>
        <w:rPr>
          <w:spacing w:val="-11"/>
        </w:rPr>
        <w:t> </w:t>
      </w:r>
      <w:r>
        <w:rPr/>
        <w:t>translation</w:t>
      </w:r>
      <w:r>
        <w:rPr>
          <w:spacing w:val="-11"/>
        </w:rPr>
        <w:t> </w:t>
      </w:r>
      <w:r>
        <w:rPr/>
        <w:t>and/or</w:t>
      </w:r>
      <w:r>
        <w:rPr>
          <w:spacing w:val="-11"/>
        </w:rPr>
        <w:t> </w:t>
      </w:r>
      <w:r>
        <w:rPr/>
        <w:t>captioning</w:t>
      </w:r>
      <w:r>
        <w:rPr>
          <w:spacing w:val="-11"/>
        </w:rPr>
        <w:t> </w:t>
      </w:r>
      <w:r>
        <w:rPr/>
        <w:t>services,</w:t>
      </w:r>
      <w:r>
        <w:rPr>
          <w:spacing w:val="-11"/>
        </w:rPr>
        <w:t> </w:t>
      </w:r>
      <w:r>
        <w:rPr/>
        <w:t>and</w:t>
      </w:r>
      <w:r>
        <w:rPr>
          <w:spacing w:val="-11"/>
        </w:rPr>
        <w:t> </w:t>
      </w:r>
      <w:r>
        <w:rPr/>
        <w:t>can</w:t>
      </w:r>
      <w:r>
        <w:rPr>
          <w:spacing w:val="-11"/>
        </w:rPr>
        <w:t> </w:t>
      </w:r>
      <w:r>
        <w:rPr/>
        <w:t>be</w:t>
      </w:r>
      <w:r>
        <w:rPr>
          <w:spacing w:val="-11"/>
        </w:rPr>
        <w:t> </w:t>
      </w:r>
      <w:r>
        <w:rPr/>
        <w:t>overly</w:t>
      </w:r>
      <w:r>
        <w:rPr>
          <w:spacing w:val="-11"/>
        </w:rPr>
        <w:t> </w:t>
      </w:r>
      <w:r>
        <w:rPr/>
        <w:t>stimulating</w:t>
      </w:r>
      <w:r>
        <w:rPr>
          <w:spacing w:val="-10"/>
        </w:rPr>
        <w:t> </w:t>
      </w:r>
      <w:r>
        <w:rPr/>
        <w:t>with</w:t>
      </w:r>
      <w:r>
        <w:rPr>
          <w:spacing w:val="-11"/>
        </w:rPr>
        <w:t> </w:t>
      </w:r>
      <w:r>
        <w:rPr/>
        <w:t>little</w:t>
      </w:r>
      <w:r>
        <w:rPr>
          <w:spacing w:val="-11"/>
        </w:rPr>
        <w:t> </w:t>
      </w:r>
      <w:r>
        <w:rPr/>
        <w:t>access</w:t>
      </w:r>
      <w:r>
        <w:rPr>
          <w:spacing w:val="-11"/>
        </w:rPr>
        <w:t> </w:t>
      </w:r>
      <w:r>
        <w:rPr/>
        <w:t>to</w:t>
      </w:r>
      <w:r>
        <w:rPr>
          <w:spacing w:val="-11"/>
        </w:rPr>
        <w:t> </w:t>
      </w:r>
      <w:r>
        <w:rPr/>
        <w:t>quiet </w:t>
      </w:r>
      <w:r>
        <w:rPr>
          <w:spacing w:val="-2"/>
        </w:rPr>
        <w:t>spaces.</w:t>
      </w:r>
      <w:r>
        <w:rPr>
          <w:spacing w:val="-2"/>
          <w:vertAlign w:val="superscript"/>
        </w:rPr>
        <w:t>1</w:t>
      </w:r>
    </w:p>
    <w:p>
      <w:pPr>
        <w:pStyle w:val="BodyText"/>
        <w:spacing w:line="276" w:lineRule="auto" w:before="240"/>
        <w:ind w:left="464" w:right="344"/>
        <w:jc w:val="both"/>
      </w:pPr>
      <w:r>
        <w:rPr/>
        <w:t>Ensuring that MRC services are appropriately inclusive and accessible is critical to making sure that all LGBTQ youth in the Commonwealth have the opportunity to thrive.</w:t>
      </w:r>
    </w:p>
    <w:p>
      <w:pPr>
        <w:spacing w:before="238"/>
        <w:ind w:left="464"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pStyle w:val="BodyText"/>
        <w:spacing w:line="276" w:lineRule="auto" w:before="285"/>
        <w:ind w:left="464" w:right="341"/>
        <w:jc w:val="both"/>
      </w:pPr>
      <w:r>
        <w:rPr/>
        <w:t>MRC has accomplished a significant amount of work in recent years to improve its approach to service provision</w:t>
      </w:r>
      <w:r>
        <w:rPr>
          <w:spacing w:val="-2"/>
        </w:rPr>
        <w:t> </w:t>
      </w:r>
      <w:r>
        <w:rPr/>
        <w:t>for</w:t>
      </w:r>
      <w:r>
        <w:rPr>
          <w:spacing w:val="-1"/>
        </w:rPr>
        <w:t> </w:t>
      </w:r>
      <w:r>
        <w:rPr/>
        <w:t>LGBTQ</w:t>
      </w:r>
      <w:r>
        <w:rPr>
          <w:spacing w:val="-1"/>
        </w:rPr>
        <w:t> </w:t>
      </w:r>
      <w:r>
        <w:rPr/>
        <w:t>clients;</w:t>
      </w:r>
      <w:r>
        <w:rPr>
          <w:spacing w:val="-2"/>
        </w:rPr>
        <w:t> </w:t>
      </w:r>
      <w:r>
        <w:rPr/>
        <w:t>MRC</w:t>
      </w:r>
      <w:r>
        <w:rPr>
          <w:spacing w:val="-1"/>
        </w:rPr>
        <w:t> </w:t>
      </w:r>
      <w:r>
        <w:rPr/>
        <w:t>has</w:t>
      </w:r>
      <w:r>
        <w:rPr>
          <w:spacing w:val="-1"/>
        </w:rPr>
        <w:t> </w:t>
      </w:r>
      <w:r>
        <w:rPr/>
        <w:t>offered</w:t>
      </w:r>
      <w:r>
        <w:rPr>
          <w:spacing w:val="-1"/>
        </w:rPr>
        <w:t> </w:t>
      </w:r>
      <w:r>
        <w:rPr/>
        <w:t>multiple</w:t>
      </w:r>
      <w:r>
        <w:rPr>
          <w:spacing w:val="-2"/>
        </w:rPr>
        <w:t> </w:t>
      </w:r>
      <w:r>
        <w:rPr/>
        <w:t>training</w:t>
      </w:r>
      <w:r>
        <w:rPr>
          <w:spacing w:val="-1"/>
        </w:rPr>
        <w:t> </w:t>
      </w:r>
      <w:r>
        <w:rPr/>
        <w:t>opportunities,</w:t>
      </w:r>
      <w:r>
        <w:rPr>
          <w:spacing w:val="-1"/>
        </w:rPr>
        <w:t> </w:t>
      </w:r>
      <w:r>
        <w:rPr/>
        <w:t>conducted</w:t>
      </w:r>
      <w:r>
        <w:rPr>
          <w:spacing w:val="-1"/>
        </w:rPr>
        <w:t> </w:t>
      </w:r>
      <w:r>
        <w:rPr/>
        <w:t>an</w:t>
      </w:r>
      <w:r>
        <w:rPr>
          <w:spacing w:val="-1"/>
        </w:rPr>
        <w:t> </w:t>
      </w:r>
      <w:r>
        <w:rPr/>
        <w:t>internal staff climate survey related to LGBTQ issues, and created an internal LGBTQ working group. In 2020, MRC incorporated</w:t>
      </w:r>
      <w:r>
        <w:rPr>
          <w:spacing w:val="-13"/>
        </w:rPr>
        <w:t> </w:t>
      </w:r>
      <w:r>
        <w:rPr/>
        <w:t>a</w:t>
      </w:r>
      <w:r>
        <w:rPr>
          <w:spacing w:val="-12"/>
        </w:rPr>
        <w:t> </w:t>
      </w:r>
      <w:r>
        <w:rPr/>
        <w:t>nonbinary</w:t>
      </w:r>
      <w:r>
        <w:rPr>
          <w:spacing w:val="-13"/>
        </w:rPr>
        <w:t> </w:t>
      </w:r>
      <w:r>
        <w:rPr/>
        <w:t>gender</w:t>
      </w:r>
      <w:r>
        <w:rPr>
          <w:spacing w:val="-12"/>
        </w:rPr>
        <w:t> </w:t>
      </w:r>
      <w:r>
        <w:rPr/>
        <w:t>marker</w:t>
      </w:r>
      <w:r>
        <w:rPr>
          <w:spacing w:val="-13"/>
        </w:rPr>
        <w:t> </w:t>
      </w:r>
      <w:r>
        <w:rPr/>
        <w:t>option</w:t>
      </w:r>
      <w:r>
        <w:rPr>
          <w:spacing w:val="-12"/>
        </w:rPr>
        <w:t> </w:t>
      </w:r>
      <w:r>
        <w:rPr/>
        <w:t>into</w:t>
      </w:r>
      <w:r>
        <w:rPr>
          <w:spacing w:val="-13"/>
        </w:rPr>
        <w:t> </w:t>
      </w:r>
      <w:r>
        <w:rPr/>
        <w:t>their</w:t>
      </w:r>
      <w:r>
        <w:rPr>
          <w:spacing w:val="-12"/>
        </w:rPr>
        <w:t> </w:t>
      </w:r>
      <w:r>
        <w:rPr/>
        <w:t>MRC</w:t>
      </w:r>
      <w:r>
        <w:rPr>
          <w:spacing w:val="-12"/>
        </w:rPr>
        <w:t> </w:t>
      </w:r>
      <w:r>
        <w:rPr/>
        <w:t>Connect</w:t>
      </w:r>
      <w:r>
        <w:rPr>
          <w:spacing w:val="-13"/>
        </w:rPr>
        <w:t> </w:t>
      </w:r>
      <w:r>
        <w:rPr/>
        <w:t>online</w:t>
      </w:r>
      <w:r>
        <w:rPr>
          <w:spacing w:val="-12"/>
        </w:rPr>
        <w:t> </w:t>
      </w:r>
      <w:r>
        <w:rPr/>
        <w:t>application.</w:t>
      </w:r>
      <w:r>
        <w:rPr>
          <w:spacing w:val="-13"/>
        </w:rPr>
        <w:t> </w:t>
      </w:r>
      <w:r>
        <w:rPr/>
        <w:t>More</w:t>
      </w:r>
      <w:r>
        <w:rPr>
          <w:spacing w:val="-12"/>
        </w:rPr>
        <w:t> </w:t>
      </w:r>
      <w:r>
        <w:rPr/>
        <w:t>recently,</w:t>
      </w:r>
    </w:p>
    <w:p>
      <w:pPr>
        <w:spacing w:after="0" w:line="276" w:lineRule="auto"/>
        <w:jc w:val="both"/>
        <w:sectPr>
          <w:headerReference w:type="default" r:id="rId735"/>
          <w:footerReference w:type="default" r:id="rId736"/>
          <w:pgSz w:w="12240" w:h="15840"/>
          <w:pgMar w:header="804" w:footer="1263" w:top="1000" w:bottom="1460" w:left="960" w:right="1100"/>
        </w:sectPr>
      </w:pPr>
    </w:p>
    <w:p>
      <w:pPr>
        <w:pStyle w:val="BodyText"/>
        <w:spacing w:before="118"/>
      </w:pPr>
    </w:p>
    <w:p>
      <w:pPr>
        <w:pStyle w:val="BodyText"/>
        <w:spacing w:line="276" w:lineRule="auto"/>
        <w:ind w:left="464"/>
      </w:pPr>
      <w:r>
        <w:rPr/>
        <w:t>the</w:t>
      </w:r>
      <w:r>
        <w:rPr>
          <w:spacing w:val="35"/>
        </w:rPr>
        <w:t> </w:t>
      </w:r>
      <w:r>
        <w:rPr/>
        <w:t>internal</w:t>
      </w:r>
      <w:r>
        <w:rPr>
          <w:spacing w:val="36"/>
        </w:rPr>
        <w:t> </w:t>
      </w:r>
      <w:r>
        <w:rPr/>
        <w:t>working</w:t>
      </w:r>
      <w:r>
        <w:rPr>
          <w:spacing w:val="35"/>
        </w:rPr>
        <w:t> </w:t>
      </w:r>
      <w:r>
        <w:rPr/>
        <w:t>group</w:t>
      </w:r>
      <w:r>
        <w:rPr>
          <w:spacing w:val="34"/>
        </w:rPr>
        <w:t> </w:t>
      </w:r>
      <w:r>
        <w:rPr/>
        <w:t>developed</w:t>
      </w:r>
      <w:r>
        <w:rPr>
          <w:spacing w:val="36"/>
        </w:rPr>
        <w:t> </w:t>
      </w:r>
      <w:r>
        <w:rPr/>
        <w:t>and</w:t>
      </w:r>
      <w:r>
        <w:rPr>
          <w:spacing w:val="34"/>
        </w:rPr>
        <w:t> </w:t>
      </w:r>
      <w:r>
        <w:rPr/>
        <w:t>finalized</w:t>
      </w:r>
      <w:r>
        <w:rPr>
          <w:spacing w:val="34"/>
        </w:rPr>
        <w:t> </w:t>
      </w:r>
      <w:r>
        <w:rPr/>
        <w:t>a</w:t>
      </w:r>
      <w:r>
        <w:rPr>
          <w:spacing w:val="35"/>
        </w:rPr>
        <w:t> </w:t>
      </w:r>
      <w:r>
        <w:rPr/>
        <w:t>Unity</w:t>
      </w:r>
      <w:r>
        <w:rPr>
          <w:spacing w:val="35"/>
        </w:rPr>
        <w:t> </w:t>
      </w:r>
      <w:r>
        <w:rPr/>
        <w:t>Statement</w:t>
      </w:r>
      <w:r>
        <w:rPr>
          <w:spacing w:val="34"/>
        </w:rPr>
        <w:t> </w:t>
      </w:r>
      <w:r>
        <w:rPr/>
        <w:t>that</w:t>
      </w:r>
      <w:r>
        <w:rPr>
          <w:spacing w:val="36"/>
        </w:rPr>
        <w:t> </w:t>
      </w:r>
      <w:r>
        <w:rPr/>
        <w:t>the</w:t>
      </w:r>
      <w:r>
        <w:rPr>
          <w:spacing w:val="35"/>
        </w:rPr>
        <w:t> </w:t>
      </w:r>
      <w:r>
        <w:rPr/>
        <w:t>agency</w:t>
      </w:r>
      <w:r>
        <w:rPr>
          <w:spacing w:val="36"/>
        </w:rPr>
        <w:t> </w:t>
      </w:r>
      <w:r>
        <w:rPr/>
        <w:t>is</w:t>
      </w:r>
      <w:r>
        <w:rPr>
          <w:spacing w:val="35"/>
        </w:rPr>
        <w:t> </w:t>
      </w:r>
      <w:r>
        <w:rPr/>
        <w:t>looking</w:t>
      </w:r>
      <w:r>
        <w:rPr>
          <w:spacing w:val="35"/>
        </w:rPr>
        <w:t> </w:t>
      </w:r>
      <w:r>
        <w:rPr/>
        <w:t>at adapting into its more formal nondiscrimination policy.</w:t>
      </w:r>
    </w:p>
    <w:p>
      <w:pPr>
        <w:spacing w:before="239"/>
        <w:ind w:left="464" w:right="0" w:firstLine="0"/>
        <w:jc w:val="left"/>
        <w:rPr>
          <w:sz w:val="28"/>
        </w:rPr>
      </w:pPr>
      <w:r>
        <w:rPr/>
        <mc:AlternateContent>
          <mc:Choice Requires="wps">
            <w:drawing>
              <wp:anchor distT="0" distB="0" distL="0" distR="0" allowOverlap="1" layoutInCell="1" locked="0" behindDoc="1" simplePos="0" relativeHeight="487705088">
                <wp:simplePos x="0" y="0"/>
                <wp:positionH relativeFrom="page">
                  <wp:posOffset>885444</wp:posOffset>
                </wp:positionH>
                <wp:positionV relativeFrom="paragraph">
                  <wp:posOffset>393540</wp:posOffset>
                </wp:positionV>
                <wp:extent cx="5989320" cy="26670"/>
                <wp:effectExtent l="0" t="0" r="0" b="0"/>
                <wp:wrapTopAndBottom/>
                <wp:docPr id="590" name="Group 590"/>
                <wp:cNvGraphicFramePr>
                  <a:graphicFrameLocks/>
                </wp:cNvGraphicFramePr>
                <a:graphic>
                  <a:graphicData uri="http://schemas.microsoft.com/office/word/2010/wordprocessingGroup">
                    <wpg:wgp>
                      <wpg:cNvPr id="590" name="Group 590"/>
                      <wpg:cNvGrpSpPr/>
                      <wpg:grpSpPr>
                        <a:xfrm>
                          <a:off x="0" y="0"/>
                          <a:ext cx="5989320" cy="26670"/>
                          <a:chExt cx="5989320" cy="26670"/>
                        </a:xfrm>
                      </wpg:grpSpPr>
                      <wps:wsp>
                        <wps:cNvPr id="591" name="Graphic 591"/>
                        <wps:cNvSpPr/>
                        <wps:spPr>
                          <a:xfrm>
                            <a:off x="0" y="20510"/>
                            <a:ext cx="5989320" cy="6350"/>
                          </a:xfrm>
                          <a:custGeom>
                            <a:avLst/>
                            <a:gdLst/>
                            <a:ahLst/>
                            <a:cxnLst/>
                            <a:rect l="l" t="t" r="r" b="b"/>
                            <a:pathLst>
                              <a:path w="5989320" h="6350">
                                <a:moveTo>
                                  <a:pt x="5989320" y="0"/>
                                </a:moveTo>
                                <a:lnTo>
                                  <a:pt x="0" y="0"/>
                                </a:lnTo>
                                <a:lnTo>
                                  <a:pt x="0" y="6108"/>
                                </a:lnTo>
                                <a:lnTo>
                                  <a:pt x="5989320" y="6108"/>
                                </a:lnTo>
                                <a:lnTo>
                                  <a:pt x="5989320" y="0"/>
                                </a:lnTo>
                                <a:close/>
                              </a:path>
                            </a:pathLst>
                          </a:custGeom>
                          <a:solidFill>
                            <a:srgbClr val="4F81BC"/>
                          </a:solidFill>
                        </wps:spPr>
                        <wps:bodyPr wrap="square" lIns="0" tIns="0" rIns="0" bIns="0" rtlCol="0">
                          <a:prstTxWarp prst="textNoShape">
                            <a:avLst/>
                          </a:prstTxWarp>
                          <a:noAutofit/>
                        </wps:bodyPr>
                      </wps:wsp>
                      <wps:wsp>
                        <wps:cNvPr id="592" name="Graphic 592"/>
                        <wps:cNvSpPr/>
                        <wps:spPr>
                          <a:xfrm>
                            <a:off x="3556"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4F81BB"/>
                          </a:solidFill>
                        </wps:spPr>
                        <wps:bodyPr wrap="square" lIns="0" tIns="0" rIns="0" bIns="0" rtlCol="0">
                          <a:prstTxWarp prst="textNoShape">
                            <a:avLst/>
                          </a:prstTxWarp>
                          <a:noAutofit/>
                        </wps:bodyPr>
                      </wps:wsp>
                    </wpg:wgp>
                  </a:graphicData>
                </a:graphic>
              </wp:anchor>
            </w:drawing>
          </mc:Choice>
          <mc:Fallback>
            <w:pict>
              <v:group style="position:absolute;margin-left:69.720001pt;margin-top:30.987476pt;width:471.6pt;height:2.1pt;mso-position-horizontal-relative:page;mso-position-vertical-relative:paragraph;z-index:-15611392;mso-wrap-distance-left:0;mso-wrap-distance-right:0" id="docshapegroup487" coordorigin="1394,620" coordsize="9432,42">
                <v:rect style="position:absolute;left:1394;top:652;width:9432;height:10" id="docshape488" filled="true" fillcolor="#4f81bc" stroked="false">
                  <v:fill type="solid"/>
                </v:rect>
                <v:rect style="position:absolute;left:1400;top:619;width:10;height:20" id="docshape489" filled="true" fillcolor="#4f81bb" stroked="false">
                  <v:fill type="solid"/>
                </v:rect>
                <w10:wrap type="topAndBottom"/>
              </v:group>
            </w:pict>
          </mc:Fallback>
        </mc:AlternateContent>
      </w:r>
      <w:r>
        <w:rPr>
          <w:color w:val="365F91"/>
          <w:sz w:val="28"/>
        </w:rPr>
        <w:t>FY</w:t>
      </w:r>
      <w:r>
        <w:rPr>
          <w:color w:val="365F91"/>
          <w:spacing w:val="-9"/>
          <w:sz w:val="28"/>
        </w:rPr>
        <w:t> </w:t>
      </w:r>
      <w:r>
        <w:rPr>
          <w:color w:val="365F91"/>
          <w:sz w:val="28"/>
        </w:rPr>
        <w:t>2025</w:t>
      </w:r>
      <w:r>
        <w:rPr>
          <w:color w:val="365F91"/>
          <w:spacing w:val="-8"/>
          <w:sz w:val="28"/>
        </w:rPr>
        <w:t> </w:t>
      </w:r>
      <w:r>
        <w:rPr>
          <w:color w:val="365F91"/>
          <w:sz w:val="28"/>
        </w:rPr>
        <w:t>MRC</w:t>
      </w:r>
      <w:r>
        <w:rPr>
          <w:color w:val="365F91"/>
          <w:spacing w:val="-9"/>
          <w:sz w:val="28"/>
        </w:rPr>
        <w:t> </w:t>
      </w:r>
      <w:r>
        <w:rPr>
          <w:color w:val="365F91"/>
          <w:sz w:val="28"/>
        </w:rPr>
        <w:t>Expanded</w:t>
      </w:r>
      <w:r>
        <w:rPr>
          <w:color w:val="365F91"/>
          <w:spacing w:val="-9"/>
          <w:sz w:val="28"/>
        </w:rPr>
        <w:t> </w:t>
      </w:r>
      <w:r>
        <w:rPr>
          <w:color w:val="365F91"/>
          <w:spacing w:val="-2"/>
          <w:sz w:val="28"/>
        </w:rPr>
        <w:t>Recommendations</w:t>
      </w:r>
    </w:p>
    <w:p>
      <w:pPr>
        <w:numPr>
          <w:ilvl w:val="0"/>
          <w:numId w:val="39"/>
        </w:numPr>
        <w:tabs>
          <w:tab w:pos="462" w:val="left" w:leader="none"/>
        </w:tabs>
        <w:spacing w:before="241"/>
        <w:ind w:left="462" w:right="0" w:hanging="358"/>
        <w:jc w:val="left"/>
        <w:rPr>
          <w:b/>
          <w:sz w:val="22"/>
        </w:rPr>
      </w:pPr>
      <w:r>
        <w:rPr>
          <w:b/>
          <w:sz w:val="22"/>
        </w:rPr>
        <w:t>Create</w:t>
      </w:r>
      <w:r>
        <w:rPr>
          <w:b/>
          <w:spacing w:val="-10"/>
          <w:sz w:val="22"/>
        </w:rPr>
        <w:t> </w:t>
      </w:r>
      <w:r>
        <w:rPr>
          <w:b/>
          <w:sz w:val="22"/>
        </w:rPr>
        <w:t>a</w:t>
      </w:r>
      <w:r>
        <w:rPr>
          <w:b/>
          <w:spacing w:val="-9"/>
          <w:sz w:val="22"/>
        </w:rPr>
        <w:t> </w:t>
      </w:r>
      <w:r>
        <w:rPr>
          <w:b/>
          <w:sz w:val="22"/>
        </w:rPr>
        <w:t>comprehensive</w:t>
      </w:r>
      <w:r>
        <w:rPr>
          <w:b/>
          <w:spacing w:val="-9"/>
          <w:sz w:val="22"/>
        </w:rPr>
        <w:t> </w:t>
      </w:r>
      <w:r>
        <w:rPr>
          <w:b/>
          <w:sz w:val="22"/>
        </w:rPr>
        <w:t>nondiscrimination</w:t>
      </w:r>
      <w:r>
        <w:rPr>
          <w:b/>
          <w:spacing w:val="-10"/>
          <w:sz w:val="22"/>
        </w:rPr>
        <w:t> </w:t>
      </w:r>
      <w:r>
        <w:rPr>
          <w:b/>
          <w:sz w:val="22"/>
        </w:rPr>
        <w:t>and</w:t>
      </w:r>
      <w:r>
        <w:rPr>
          <w:b/>
          <w:spacing w:val="-9"/>
          <w:sz w:val="22"/>
        </w:rPr>
        <w:t> </w:t>
      </w:r>
      <w:r>
        <w:rPr>
          <w:b/>
          <w:sz w:val="22"/>
        </w:rPr>
        <w:t>inclusion</w:t>
      </w:r>
      <w:r>
        <w:rPr>
          <w:b/>
          <w:spacing w:val="-9"/>
          <w:sz w:val="22"/>
        </w:rPr>
        <w:t> </w:t>
      </w:r>
      <w:r>
        <w:rPr>
          <w:b/>
          <w:sz w:val="22"/>
        </w:rPr>
        <w:t>policy</w:t>
      </w:r>
      <w:r>
        <w:rPr>
          <w:b/>
          <w:spacing w:val="-10"/>
          <w:sz w:val="22"/>
        </w:rPr>
        <w:t> </w:t>
      </w:r>
      <w:r>
        <w:rPr>
          <w:b/>
          <w:sz w:val="22"/>
        </w:rPr>
        <w:t>for</w:t>
      </w:r>
      <w:r>
        <w:rPr>
          <w:b/>
          <w:spacing w:val="-9"/>
          <w:sz w:val="22"/>
        </w:rPr>
        <w:t> </w:t>
      </w:r>
      <w:r>
        <w:rPr>
          <w:b/>
          <w:sz w:val="22"/>
        </w:rPr>
        <w:t>LGBTQ</w:t>
      </w:r>
      <w:r>
        <w:rPr>
          <w:b/>
          <w:spacing w:val="-9"/>
          <w:sz w:val="22"/>
        </w:rPr>
        <w:t> </w:t>
      </w:r>
      <w:r>
        <w:rPr>
          <w:b/>
          <w:spacing w:val="-2"/>
          <w:sz w:val="22"/>
        </w:rPr>
        <w:t>clients.</w:t>
      </w:r>
    </w:p>
    <w:p>
      <w:pPr>
        <w:pStyle w:val="BodyText"/>
        <w:spacing w:before="11"/>
        <w:rPr>
          <w:b/>
        </w:rPr>
      </w:pPr>
    </w:p>
    <w:p>
      <w:pPr>
        <w:pStyle w:val="BodyText"/>
        <w:spacing w:line="276" w:lineRule="auto" w:before="1"/>
        <w:ind w:left="464" w:right="341"/>
        <w:jc w:val="both"/>
      </w:pPr>
      <w:r>
        <w:rPr/>
        <w:t>The</w:t>
      </w:r>
      <w:r>
        <w:rPr>
          <w:spacing w:val="-6"/>
        </w:rPr>
        <w:t> </w:t>
      </w:r>
      <w:r>
        <w:rPr/>
        <w:t>Commission</w:t>
      </w:r>
      <w:r>
        <w:rPr>
          <w:spacing w:val="-6"/>
        </w:rPr>
        <w:t> </w:t>
      </w:r>
      <w:r>
        <w:rPr/>
        <w:t>commends</w:t>
      </w:r>
      <w:r>
        <w:rPr>
          <w:spacing w:val="-5"/>
        </w:rPr>
        <w:t> </w:t>
      </w:r>
      <w:r>
        <w:rPr/>
        <w:t>the</w:t>
      </w:r>
      <w:r>
        <w:rPr>
          <w:spacing w:val="-6"/>
        </w:rPr>
        <w:t> </w:t>
      </w:r>
      <w:r>
        <w:rPr/>
        <w:t>internal</w:t>
      </w:r>
      <w:r>
        <w:rPr>
          <w:spacing w:val="-6"/>
        </w:rPr>
        <w:t> </w:t>
      </w:r>
      <w:r>
        <w:rPr/>
        <w:t>MRC</w:t>
      </w:r>
      <w:r>
        <w:rPr>
          <w:spacing w:val="-4"/>
        </w:rPr>
        <w:t> </w:t>
      </w:r>
      <w:r>
        <w:rPr/>
        <w:t>Unity</w:t>
      </w:r>
      <w:r>
        <w:rPr>
          <w:spacing w:val="-3"/>
        </w:rPr>
        <w:t> </w:t>
      </w:r>
      <w:r>
        <w:rPr/>
        <w:t>Group’s</w:t>
      </w:r>
      <w:r>
        <w:rPr>
          <w:spacing w:val="-5"/>
        </w:rPr>
        <w:t> </w:t>
      </w:r>
      <w:r>
        <w:rPr/>
        <w:t>release</w:t>
      </w:r>
      <w:r>
        <w:rPr>
          <w:spacing w:val="-6"/>
        </w:rPr>
        <w:t> </w:t>
      </w:r>
      <w:r>
        <w:rPr/>
        <w:t>of</w:t>
      </w:r>
      <w:r>
        <w:rPr>
          <w:spacing w:val="-5"/>
        </w:rPr>
        <w:t> </w:t>
      </w:r>
      <w:r>
        <w:rPr/>
        <w:t>a</w:t>
      </w:r>
      <w:r>
        <w:rPr>
          <w:spacing w:val="-5"/>
        </w:rPr>
        <w:t> </w:t>
      </w:r>
      <w:r>
        <w:rPr/>
        <w:t>nondiscrimination</w:t>
      </w:r>
      <w:r>
        <w:rPr>
          <w:spacing w:val="-6"/>
        </w:rPr>
        <w:t> </w:t>
      </w:r>
      <w:r>
        <w:rPr/>
        <w:t>statement</w:t>
      </w:r>
      <w:r>
        <w:rPr>
          <w:spacing w:val="-5"/>
        </w:rPr>
        <w:t> </w:t>
      </w:r>
      <w:r>
        <w:rPr/>
        <w:t>for its staff, providers, and clients. After the release of the statement, MRC noted to the Commission that it would</w:t>
      </w:r>
      <w:r>
        <w:rPr>
          <w:spacing w:val="-1"/>
        </w:rPr>
        <w:t> </w:t>
      </w:r>
      <w:r>
        <w:rPr/>
        <w:t>begin using</w:t>
      </w:r>
      <w:r>
        <w:rPr>
          <w:spacing w:val="-1"/>
        </w:rPr>
        <w:t> </w:t>
      </w:r>
      <w:r>
        <w:rPr/>
        <w:t>the</w:t>
      </w:r>
      <w:r>
        <w:rPr>
          <w:spacing w:val="-1"/>
        </w:rPr>
        <w:t> </w:t>
      </w:r>
      <w:r>
        <w:rPr/>
        <w:t>statement</w:t>
      </w:r>
      <w:r>
        <w:rPr>
          <w:spacing w:val="-1"/>
        </w:rPr>
        <w:t> </w:t>
      </w:r>
      <w:r>
        <w:rPr/>
        <w:t>to draft</w:t>
      </w:r>
      <w:r>
        <w:rPr>
          <w:spacing w:val="-1"/>
        </w:rPr>
        <w:t> </w:t>
      </w:r>
      <w:r>
        <w:rPr/>
        <w:t>a formal</w:t>
      </w:r>
      <w:r>
        <w:rPr>
          <w:spacing w:val="-1"/>
        </w:rPr>
        <w:t> </w:t>
      </w:r>
      <w:r>
        <w:rPr/>
        <w:t>nondiscrimination</w:t>
      </w:r>
      <w:r>
        <w:rPr>
          <w:spacing w:val="-1"/>
        </w:rPr>
        <w:t> </w:t>
      </w:r>
      <w:r>
        <w:rPr/>
        <w:t>policy for the</w:t>
      </w:r>
      <w:r>
        <w:rPr>
          <w:spacing w:val="-1"/>
        </w:rPr>
        <w:t> </w:t>
      </w:r>
      <w:r>
        <w:rPr/>
        <w:t>agency.</w:t>
      </w:r>
      <w:r>
        <w:rPr>
          <w:spacing w:val="-1"/>
        </w:rPr>
        <w:t> </w:t>
      </w:r>
      <w:r>
        <w:rPr/>
        <w:t>In</w:t>
      </w:r>
      <w:r>
        <w:rPr>
          <w:spacing w:val="-1"/>
        </w:rPr>
        <w:t> </w:t>
      </w:r>
      <w:r>
        <w:rPr/>
        <w:t>its FY 2023 spring meeting, MRC noted that it is - in the meantime - using the nondiscrimination policy put forth by </w:t>
      </w:r>
      <w:r>
        <w:rPr>
          <w:spacing w:val="-2"/>
        </w:rPr>
        <w:t>EOHHS.</w:t>
      </w:r>
    </w:p>
    <w:p>
      <w:pPr>
        <w:numPr>
          <w:ilvl w:val="0"/>
          <w:numId w:val="39"/>
        </w:numPr>
        <w:tabs>
          <w:tab w:pos="462" w:val="left" w:leader="none"/>
        </w:tabs>
        <w:spacing w:before="240"/>
        <w:ind w:left="462" w:right="0" w:hanging="358"/>
        <w:jc w:val="left"/>
        <w:rPr>
          <w:b/>
          <w:sz w:val="22"/>
        </w:rPr>
      </w:pPr>
      <w:r>
        <w:rPr>
          <w:b/>
          <w:sz w:val="22"/>
        </w:rPr>
        <w:t>Review</w:t>
      </w:r>
      <w:r>
        <w:rPr>
          <w:b/>
          <w:spacing w:val="-9"/>
          <w:sz w:val="22"/>
        </w:rPr>
        <w:t> </w:t>
      </w:r>
      <w:r>
        <w:rPr>
          <w:b/>
          <w:sz w:val="22"/>
        </w:rPr>
        <w:t>intake</w:t>
      </w:r>
      <w:r>
        <w:rPr>
          <w:b/>
          <w:spacing w:val="-9"/>
          <w:sz w:val="22"/>
        </w:rPr>
        <w:t> </w:t>
      </w:r>
      <w:r>
        <w:rPr>
          <w:b/>
          <w:sz w:val="22"/>
        </w:rPr>
        <w:t>forms</w:t>
      </w:r>
      <w:r>
        <w:rPr>
          <w:b/>
          <w:spacing w:val="-9"/>
          <w:sz w:val="22"/>
        </w:rPr>
        <w:t> </w:t>
      </w:r>
      <w:r>
        <w:rPr>
          <w:b/>
          <w:sz w:val="22"/>
        </w:rPr>
        <w:t>and</w:t>
      </w:r>
      <w:r>
        <w:rPr>
          <w:b/>
          <w:spacing w:val="-8"/>
          <w:sz w:val="22"/>
        </w:rPr>
        <w:t> </w:t>
      </w:r>
      <w:r>
        <w:rPr>
          <w:b/>
          <w:sz w:val="22"/>
        </w:rPr>
        <w:t>appropriately</w:t>
      </w:r>
      <w:r>
        <w:rPr>
          <w:b/>
          <w:spacing w:val="-9"/>
          <w:sz w:val="22"/>
        </w:rPr>
        <w:t> </w:t>
      </w:r>
      <w:r>
        <w:rPr>
          <w:b/>
          <w:sz w:val="22"/>
        </w:rPr>
        <w:t>train</w:t>
      </w:r>
      <w:r>
        <w:rPr>
          <w:b/>
          <w:spacing w:val="-9"/>
          <w:sz w:val="22"/>
        </w:rPr>
        <w:t> </w:t>
      </w:r>
      <w:r>
        <w:rPr>
          <w:b/>
          <w:sz w:val="22"/>
        </w:rPr>
        <w:t>staff</w:t>
      </w:r>
      <w:r>
        <w:rPr>
          <w:b/>
          <w:spacing w:val="-9"/>
          <w:sz w:val="22"/>
        </w:rPr>
        <w:t> </w:t>
      </w:r>
      <w:r>
        <w:rPr>
          <w:b/>
          <w:sz w:val="22"/>
        </w:rPr>
        <w:t>on</w:t>
      </w:r>
      <w:r>
        <w:rPr>
          <w:b/>
          <w:spacing w:val="-9"/>
          <w:sz w:val="22"/>
        </w:rPr>
        <w:t> </w:t>
      </w:r>
      <w:r>
        <w:rPr>
          <w:b/>
          <w:sz w:val="22"/>
        </w:rPr>
        <w:t>implementation</w:t>
      </w:r>
      <w:r>
        <w:rPr>
          <w:b/>
          <w:spacing w:val="-9"/>
          <w:sz w:val="22"/>
        </w:rPr>
        <w:t> </w:t>
      </w:r>
      <w:r>
        <w:rPr>
          <w:b/>
          <w:spacing w:val="-2"/>
          <w:sz w:val="22"/>
        </w:rPr>
        <w:t>procedures.</w:t>
      </w:r>
    </w:p>
    <w:p>
      <w:pPr>
        <w:pStyle w:val="BodyText"/>
        <w:spacing w:before="12"/>
        <w:rPr>
          <w:b/>
        </w:rPr>
      </w:pPr>
    </w:p>
    <w:p>
      <w:pPr>
        <w:pStyle w:val="BodyText"/>
        <w:spacing w:line="276" w:lineRule="auto"/>
        <w:ind w:left="464" w:right="342"/>
        <w:jc w:val="both"/>
      </w:pPr>
      <w:r>
        <w:rPr/>
        <w:t>In the Commission’s spring 2024 meetings, MRC shared that its intake forms have been reviewed and updated</w:t>
      </w:r>
      <w:r>
        <w:rPr>
          <w:spacing w:val="-4"/>
        </w:rPr>
        <w:t> </w:t>
      </w:r>
      <w:r>
        <w:rPr/>
        <w:t>with</w:t>
      </w:r>
      <w:r>
        <w:rPr>
          <w:spacing w:val="-3"/>
        </w:rPr>
        <w:t> </w:t>
      </w:r>
      <w:r>
        <w:rPr/>
        <w:t>optional</w:t>
      </w:r>
      <w:r>
        <w:rPr>
          <w:spacing w:val="-4"/>
        </w:rPr>
        <w:t> </w:t>
      </w:r>
      <w:r>
        <w:rPr/>
        <w:t>questions</w:t>
      </w:r>
      <w:r>
        <w:rPr>
          <w:spacing w:val="-4"/>
        </w:rPr>
        <w:t> </w:t>
      </w:r>
      <w:r>
        <w:rPr/>
        <w:t>regarding</w:t>
      </w:r>
      <w:r>
        <w:rPr>
          <w:spacing w:val="-4"/>
        </w:rPr>
        <w:t> </w:t>
      </w:r>
      <w:r>
        <w:rPr/>
        <w:t>pronouns,</w:t>
      </w:r>
      <w:r>
        <w:rPr>
          <w:spacing w:val="-4"/>
        </w:rPr>
        <w:t> </w:t>
      </w:r>
      <w:r>
        <w:rPr/>
        <w:t>sexual</w:t>
      </w:r>
      <w:r>
        <w:rPr>
          <w:spacing w:val="-4"/>
        </w:rPr>
        <w:t> </w:t>
      </w:r>
      <w:r>
        <w:rPr/>
        <w:t>orientation,</w:t>
      </w:r>
      <w:r>
        <w:rPr>
          <w:spacing w:val="-4"/>
        </w:rPr>
        <w:t> </w:t>
      </w:r>
      <w:r>
        <w:rPr/>
        <w:t>and</w:t>
      </w:r>
      <w:r>
        <w:rPr>
          <w:spacing w:val="-3"/>
        </w:rPr>
        <w:t> </w:t>
      </w:r>
      <w:r>
        <w:rPr/>
        <w:t>chosen</w:t>
      </w:r>
      <w:r>
        <w:rPr>
          <w:spacing w:val="-4"/>
        </w:rPr>
        <w:t> </w:t>
      </w:r>
      <w:r>
        <w:rPr/>
        <w:t>name</w:t>
      </w:r>
      <w:r>
        <w:rPr>
          <w:spacing w:val="-3"/>
        </w:rPr>
        <w:t> </w:t>
      </w:r>
      <w:r>
        <w:rPr/>
        <w:t>in</w:t>
      </w:r>
      <w:r>
        <w:rPr>
          <w:spacing w:val="-3"/>
        </w:rPr>
        <w:t> </w:t>
      </w:r>
      <w:r>
        <w:rPr/>
        <w:t>addition</w:t>
      </w:r>
      <w:r>
        <w:rPr>
          <w:spacing w:val="-3"/>
        </w:rPr>
        <w:t> </w:t>
      </w:r>
      <w:r>
        <w:rPr/>
        <w:t>to legal name. Staff has also received training regarding LGBTQ+ communities to ensure implementation. The Commission appreciates the attention MRC has paid to this area and recommends that the agency continues</w:t>
      </w:r>
      <w:r>
        <w:rPr>
          <w:spacing w:val="-1"/>
        </w:rPr>
        <w:t> </w:t>
      </w:r>
      <w:r>
        <w:rPr/>
        <w:t>to ensure</w:t>
      </w:r>
      <w:r>
        <w:rPr>
          <w:spacing w:val="-1"/>
        </w:rPr>
        <w:t> </w:t>
      </w:r>
      <w:r>
        <w:rPr/>
        <w:t>that</w:t>
      </w:r>
      <w:r>
        <w:rPr>
          <w:spacing w:val="-2"/>
        </w:rPr>
        <w:t> </w:t>
      </w:r>
      <w:r>
        <w:rPr/>
        <w:t>staff</w:t>
      </w:r>
      <w:r>
        <w:rPr>
          <w:spacing w:val="-2"/>
        </w:rPr>
        <w:t> </w:t>
      </w:r>
      <w:r>
        <w:rPr/>
        <w:t>receive</w:t>
      </w:r>
      <w:r>
        <w:rPr>
          <w:spacing w:val="-1"/>
        </w:rPr>
        <w:t> </w:t>
      </w:r>
      <w:r>
        <w:rPr/>
        <w:t>training</w:t>
      </w:r>
      <w:r>
        <w:rPr>
          <w:spacing w:val="-2"/>
        </w:rPr>
        <w:t> </w:t>
      </w:r>
      <w:r>
        <w:rPr/>
        <w:t>on</w:t>
      </w:r>
      <w:r>
        <w:rPr>
          <w:spacing w:val="-1"/>
        </w:rPr>
        <w:t> </w:t>
      </w:r>
      <w:r>
        <w:rPr/>
        <w:t>the</w:t>
      </w:r>
      <w:r>
        <w:rPr>
          <w:spacing w:val="-1"/>
        </w:rPr>
        <w:t> </w:t>
      </w:r>
      <w:r>
        <w:rPr/>
        <w:t>new</w:t>
      </w:r>
      <w:r>
        <w:rPr>
          <w:spacing w:val="-2"/>
        </w:rPr>
        <w:t> </w:t>
      </w:r>
      <w:r>
        <w:rPr/>
        <w:t>forms</w:t>
      </w:r>
      <w:r>
        <w:rPr>
          <w:spacing w:val="-1"/>
        </w:rPr>
        <w:t> </w:t>
      </w:r>
      <w:r>
        <w:rPr/>
        <w:t>and</w:t>
      </w:r>
      <w:r>
        <w:rPr>
          <w:spacing w:val="-2"/>
        </w:rPr>
        <w:t> </w:t>
      </w:r>
      <w:r>
        <w:rPr/>
        <w:t>its</w:t>
      </w:r>
      <w:r>
        <w:rPr>
          <w:spacing w:val="-1"/>
        </w:rPr>
        <w:t> </w:t>
      </w:r>
      <w:r>
        <w:rPr/>
        <w:t>system</w:t>
      </w:r>
      <w:r>
        <w:rPr>
          <w:spacing w:val="-1"/>
        </w:rPr>
        <w:t> </w:t>
      </w:r>
      <w:r>
        <w:rPr/>
        <w:t>updates that will</w:t>
      </w:r>
      <w:r>
        <w:rPr>
          <w:spacing w:val="-2"/>
        </w:rPr>
        <w:t> </w:t>
      </w:r>
      <w:r>
        <w:rPr/>
        <w:t>occur</w:t>
      </w:r>
      <w:r>
        <w:rPr>
          <w:spacing w:val="-2"/>
        </w:rPr>
        <w:t> </w:t>
      </w:r>
      <w:r>
        <w:rPr/>
        <w:t>in </w:t>
      </w:r>
      <w:r>
        <w:rPr>
          <w:spacing w:val="-2"/>
        </w:rPr>
        <w:t>July.</w:t>
      </w:r>
    </w:p>
    <w:p>
      <w:pPr>
        <w:numPr>
          <w:ilvl w:val="0"/>
          <w:numId w:val="39"/>
        </w:numPr>
        <w:tabs>
          <w:tab w:pos="462" w:val="left" w:leader="none"/>
          <w:tab w:pos="464" w:val="left" w:leader="none"/>
        </w:tabs>
        <w:spacing w:line="276" w:lineRule="auto" w:before="240"/>
        <w:ind w:left="464" w:right="342" w:hanging="360"/>
        <w:jc w:val="left"/>
        <w:rPr>
          <w:b/>
          <w:sz w:val="22"/>
        </w:rPr>
      </w:pPr>
      <w:r>
        <w:rPr>
          <w:b/>
          <w:sz w:val="22"/>
        </w:rPr>
        <w:t>Facilitate</w:t>
      </w:r>
      <w:r>
        <w:rPr>
          <w:b/>
          <w:spacing w:val="80"/>
          <w:sz w:val="22"/>
        </w:rPr>
        <w:t> </w:t>
      </w:r>
      <w:r>
        <w:rPr>
          <w:b/>
          <w:sz w:val="22"/>
        </w:rPr>
        <w:t>mandatory</w:t>
      </w:r>
      <w:r>
        <w:rPr>
          <w:b/>
          <w:spacing w:val="80"/>
          <w:sz w:val="22"/>
        </w:rPr>
        <w:t> </w:t>
      </w:r>
      <w:r>
        <w:rPr>
          <w:b/>
          <w:sz w:val="22"/>
        </w:rPr>
        <w:t>LGBTQ</w:t>
      </w:r>
      <w:r>
        <w:rPr>
          <w:b/>
          <w:spacing w:val="80"/>
          <w:sz w:val="22"/>
        </w:rPr>
        <w:t> </w:t>
      </w:r>
      <w:r>
        <w:rPr>
          <w:b/>
          <w:sz w:val="22"/>
        </w:rPr>
        <w:t>cultural</w:t>
      </w:r>
      <w:r>
        <w:rPr>
          <w:b/>
          <w:spacing w:val="80"/>
          <w:sz w:val="22"/>
        </w:rPr>
        <w:t> </w:t>
      </w:r>
      <w:r>
        <w:rPr>
          <w:b/>
          <w:sz w:val="22"/>
        </w:rPr>
        <w:t>awareness</w:t>
      </w:r>
      <w:r>
        <w:rPr>
          <w:b/>
          <w:spacing w:val="80"/>
          <w:sz w:val="22"/>
        </w:rPr>
        <w:t> </w:t>
      </w:r>
      <w:r>
        <w:rPr>
          <w:b/>
          <w:sz w:val="22"/>
        </w:rPr>
        <w:t>trainings</w:t>
      </w:r>
      <w:r>
        <w:rPr>
          <w:b/>
          <w:spacing w:val="80"/>
          <w:sz w:val="22"/>
        </w:rPr>
        <w:t> </w:t>
      </w:r>
      <w:r>
        <w:rPr>
          <w:b/>
          <w:sz w:val="22"/>
        </w:rPr>
        <w:t>and</w:t>
      </w:r>
      <w:r>
        <w:rPr>
          <w:b/>
          <w:spacing w:val="80"/>
          <w:sz w:val="22"/>
        </w:rPr>
        <w:t> </w:t>
      </w:r>
      <w:r>
        <w:rPr>
          <w:b/>
          <w:sz w:val="22"/>
        </w:rPr>
        <w:t>offer</w:t>
      </w:r>
      <w:r>
        <w:rPr>
          <w:b/>
          <w:spacing w:val="80"/>
          <w:sz w:val="22"/>
        </w:rPr>
        <w:t> </w:t>
      </w:r>
      <w:r>
        <w:rPr>
          <w:b/>
          <w:sz w:val="22"/>
        </w:rPr>
        <w:t>recurring</w:t>
      </w:r>
      <w:r>
        <w:rPr>
          <w:b/>
          <w:spacing w:val="80"/>
          <w:sz w:val="22"/>
        </w:rPr>
        <w:t> </w:t>
      </w:r>
      <w:r>
        <w:rPr>
          <w:b/>
          <w:sz w:val="22"/>
        </w:rPr>
        <w:t>skills</w:t>
      </w:r>
      <w:r>
        <w:rPr>
          <w:b/>
          <w:spacing w:val="80"/>
          <w:sz w:val="22"/>
        </w:rPr>
        <w:t> </w:t>
      </w:r>
      <w:r>
        <w:rPr>
          <w:b/>
          <w:sz w:val="22"/>
        </w:rPr>
        <w:t>building</w:t>
      </w:r>
      <w:r>
        <w:rPr>
          <w:b/>
          <w:spacing w:val="80"/>
          <w:w w:val="150"/>
          <w:sz w:val="22"/>
        </w:rPr>
        <w:t> </w:t>
      </w:r>
      <w:r>
        <w:rPr>
          <w:b/>
          <w:sz w:val="22"/>
        </w:rPr>
        <w:t>opportunities for staff.</w:t>
      </w:r>
    </w:p>
    <w:p>
      <w:pPr>
        <w:pStyle w:val="BodyText"/>
        <w:spacing w:line="276" w:lineRule="auto" w:before="239"/>
        <w:ind w:left="464" w:right="342"/>
        <w:jc w:val="both"/>
      </w:pPr>
      <w:r>
        <w:rPr/>
        <w:t>In FY 2023, MRC committed to partnering with the Commission to participate in an EOHHS cross-agency train-the-trainer series that will continue into FY 2024 to build internal training capacity on LGBTQ trainings.</w:t>
      </w:r>
      <w:r>
        <w:rPr>
          <w:spacing w:val="-4"/>
        </w:rPr>
        <w:t> </w:t>
      </w:r>
      <w:r>
        <w:rPr/>
        <w:t>During</w:t>
      </w:r>
      <w:r>
        <w:rPr>
          <w:spacing w:val="-4"/>
        </w:rPr>
        <w:t> </w:t>
      </w:r>
      <w:r>
        <w:rPr/>
        <w:t>meetings</w:t>
      </w:r>
      <w:r>
        <w:rPr>
          <w:spacing w:val="-4"/>
        </w:rPr>
        <w:t> </w:t>
      </w:r>
      <w:r>
        <w:rPr/>
        <w:t>in</w:t>
      </w:r>
      <w:r>
        <w:rPr>
          <w:spacing w:val="-4"/>
        </w:rPr>
        <w:t> </w:t>
      </w:r>
      <w:r>
        <w:rPr/>
        <w:t>FY</w:t>
      </w:r>
      <w:r>
        <w:rPr>
          <w:spacing w:val="-4"/>
        </w:rPr>
        <w:t> </w:t>
      </w:r>
      <w:r>
        <w:rPr/>
        <w:t>2025,</w:t>
      </w:r>
      <w:r>
        <w:rPr>
          <w:spacing w:val="-4"/>
        </w:rPr>
        <w:t> </w:t>
      </w:r>
      <w:r>
        <w:rPr/>
        <w:t>MRC</w:t>
      </w:r>
      <w:r>
        <w:rPr>
          <w:spacing w:val="-4"/>
        </w:rPr>
        <w:t> </w:t>
      </w:r>
      <w:r>
        <w:rPr/>
        <w:t>noted</w:t>
      </w:r>
      <w:r>
        <w:rPr>
          <w:spacing w:val="-3"/>
        </w:rPr>
        <w:t> </w:t>
      </w:r>
      <w:r>
        <w:rPr/>
        <w:t>that</w:t>
      </w:r>
      <w:r>
        <w:rPr>
          <w:spacing w:val="-4"/>
        </w:rPr>
        <w:t> </w:t>
      </w:r>
      <w:r>
        <w:rPr/>
        <w:t>they</w:t>
      </w:r>
      <w:r>
        <w:rPr>
          <w:spacing w:val="-3"/>
        </w:rPr>
        <w:t> </w:t>
      </w:r>
      <w:r>
        <w:rPr/>
        <w:t>have</w:t>
      </w:r>
      <w:r>
        <w:rPr>
          <w:spacing w:val="-4"/>
        </w:rPr>
        <w:t> </w:t>
      </w:r>
      <w:r>
        <w:rPr/>
        <w:t>completed</w:t>
      </w:r>
      <w:r>
        <w:rPr>
          <w:spacing w:val="-4"/>
        </w:rPr>
        <w:t> </w:t>
      </w:r>
      <w:r>
        <w:rPr/>
        <w:t>multiple</w:t>
      </w:r>
      <w:r>
        <w:rPr>
          <w:spacing w:val="-3"/>
        </w:rPr>
        <w:t> </w:t>
      </w:r>
      <w:r>
        <w:rPr/>
        <w:t>trainings</w:t>
      </w:r>
      <w:r>
        <w:rPr>
          <w:spacing w:val="-4"/>
        </w:rPr>
        <w:t> </w:t>
      </w:r>
      <w:r>
        <w:rPr/>
        <w:t>with</w:t>
      </w:r>
      <w:r>
        <w:rPr>
          <w:spacing w:val="-4"/>
        </w:rPr>
        <w:t> </w:t>
      </w:r>
      <w:r>
        <w:rPr/>
        <w:t>more upcoming, and also expressed further interest in training regarding pronouns and gender identity. The Commission looks forward to working with MRC on these trainings, and further exploring ways to offer skill-building opportunities for MRC employees and providers.</w:t>
      </w:r>
    </w:p>
    <w:p>
      <w:pPr>
        <w:numPr>
          <w:ilvl w:val="0"/>
          <w:numId w:val="39"/>
        </w:numPr>
        <w:tabs>
          <w:tab w:pos="462" w:val="left" w:leader="none"/>
        </w:tabs>
        <w:spacing w:before="241"/>
        <w:ind w:left="462" w:right="0" w:hanging="358"/>
        <w:jc w:val="left"/>
        <w:rPr>
          <w:b/>
          <w:sz w:val="22"/>
        </w:rPr>
      </w:pPr>
      <w:r>
        <w:rPr>
          <w:b/>
          <w:sz w:val="22"/>
        </w:rPr>
        <w:t>Partner</w:t>
      </w:r>
      <w:r>
        <w:rPr>
          <w:b/>
          <w:spacing w:val="-7"/>
          <w:sz w:val="22"/>
        </w:rPr>
        <w:t> </w:t>
      </w:r>
      <w:r>
        <w:rPr>
          <w:b/>
          <w:sz w:val="22"/>
        </w:rPr>
        <w:t>with</w:t>
      </w:r>
      <w:r>
        <w:rPr>
          <w:b/>
          <w:spacing w:val="-7"/>
          <w:sz w:val="22"/>
        </w:rPr>
        <w:t> </w:t>
      </w:r>
      <w:r>
        <w:rPr>
          <w:b/>
          <w:sz w:val="22"/>
        </w:rPr>
        <w:t>the</w:t>
      </w:r>
      <w:r>
        <w:rPr>
          <w:b/>
          <w:spacing w:val="-6"/>
          <w:sz w:val="22"/>
        </w:rPr>
        <w:t> </w:t>
      </w:r>
      <w:r>
        <w:rPr>
          <w:b/>
          <w:sz w:val="22"/>
        </w:rPr>
        <w:t>Commission</w:t>
      </w:r>
      <w:r>
        <w:rPr>
          <w:b/>
          <w:spacing w:val="-7"/>
          <w:sz w:val="22"/>
        </w:rPr>
        <w:t> </w:t>
      </w:r>
      <w:r>
        <w:rPr>
          <w:b/>
          <w:sz w:val="22"/>
        </w:rPr>
        <w:t>to</w:t>
      </w:r>
      <w:r>
        <w:rPr>
          <w:b/>
          <w:spacing w:val="-7"/>
          <w:sz w:val="22"/>
        </w:rPr>
        <w:t> </w:t>
      </w:r>
      <w:r>
        <w:rPr>
          <w:b/>
          <w:sz w:val="22"/>
        </w:rPr>
        <w:t>develop</w:t>
      </w:r>
      <w:r>
        <w:rPr>
          <w:b/>
          <w:spacing w:val="-8"/>
          <w:sz w:val="22"/>
        </w:rPr>
        <w:t> </w:t>
      </w:r>
      <w:r>
        <w:rPr>
          <w:b/>
          <w:sz w:val="22"/>
        </w:rPr>
        <w:t>an</w:t>
      </w:r>
      <w:r>
        <w:rPr>
          <w:b/>
          <w:spacing w:val="-6"/>
          <w:sz w:val="22"/>
        </w:rPr>
        <w:t> </w:t>
      </w:r>
      <w:r>
        <w:rPr>
          <w:b/>
          <w:sz w:val="22"/>
        </w:rPr>
        <w:t>outreach</w:t>
      </w:r>
      <w:r>
        <w:rPr>
          <w:b/>
          <w:spacing w:val="-8"/>
          <w:sz w:val="22"/>
        </w:rPr>
        <w:t> </w:t>
      </w:r>
      <w:r>
        <w:rPr>
          <w:b/>
          <w:sz w:val="22"/>
        </w:rPr>
        <w:t>plan</w:t>
      </w:r>
      <w:r>
        <w:rPr>
          <w:b/>
          <w:spacing w:val="-7"/>
          <w:sz w:val="22"/>
        </w:rPr>
        <w:t> </w:t>
      </w:r>
      <w:r>
        <w:rPr>
          <w:b/>
          <w:sz w:val="22"/>
        </w:rPr>
        <w:t>to</w:t>
      </w:r>
      <w:r>
        <w:rPr>
          <w:b/>
          <w:spacing w:val="-6"/>
          <w:sz w:val="22"/>
        </w:rPr>
        <w:t> </w:t>
      </w:r>
      <w:r>
        <w:rPr>
          <w:b/>
          <w:sz w:val="22"/>
        </w:rPr>
        <w:t>LGBTQ</w:t>
      </w:r>
      <w:r>
        <w:rPr>
          <w:b/>
          <w:spacing w:val="-7"/>
          <w:sz w:val="22"/>
        </w:rPr>
        <w:t> </w:t>
      </w:r>
      <w:r>
        <w:rPr>
          <w:b/>
          <w:sz w:val="22"/>
        </w:rPr>
        <w:t>youth</w:t>
      </w:r>
      <w:r>
        <w:rPr>
          <w:b/>
          <w:spacing w:val="-6"/>
          <w:sz w:val="22"/>
        </w:rPr>
        <w:t> </w:t>
      </w:r>
      <w:r>
        <w:rPr>
          <w:b/>
          <w:sz w:val="22"/>
        </w:rPr>
        <w:t>and</w:t>
      </w:r>
      <w:r>
        <w:rPr>
          <w:b/>
          <w:spacing w:val="-8"/>
          <w:sz w:val="22"/>
        </w:rPr>
        <w:t> </w:t>
      </w:r>
      <w:r>
        <w:rPr>
          <w:b/>
          <w:sz w:val="22"/>
        </w:rPr>
        <w:t>resource</w:t>
      </w:r>
      <w:r>
        <w:rPr>
          <w:b/>
          <w:spacing w:val="-7"/>
          <w:sz w:val="22"/>
        </w:rPr>
        <w:t> </w:t>
      </w:r>
      <w:r>
        <w:rPr>
          <w:b/>
          <w:spacing w:val="-2"/>
          <w:sz w:val="22"/>
        </w:rPr>
        <w:t>development.</w:t>
      </w:r>
    </w:p>
    <w:p>
      <w:pPr>
        <w:pStyle w:val="BodyText"/>
        <w:spacing w:before="11"/>
        <w:rPr>
          <w:b/>
        </w:rPr>
      </w:pPr>
    </w:p>
    <w:p>
      <w:pPr>
        <w:pStyle w:val="BodyText"/>
        <w:spacing w:line="276" w:lineRule="auto"/>
        <w:ind w:left="463" w:right="339"/>
        <w:jc w:val="both"/>
      </w:pPr>
      <w:r>
        <w:rPr/>
        <w:t>The</w:t>
      </w:r>
      <w:r>
        <w:rPr>
          <w:spacing w:val="-10"/>
        </w:rPr>
        <w:t> </w:t>
      </w:r>
      <w:r>
        <w:rPr/>
        <w:t>Commission</w:t>
      </w:r>
      <w:r>
        <w:rPr>
          <w:spacing w:val="-12"/>
        </w:rPr>
        <w:t> </w:t>
      </w:r>
      <w:r>
        <w:rPr/>
        <w:t>recommends</w:t>
      </w:r>
      <w:r>
        <w:rPr>
          <w:spacing w:val="-11"/>
        </w:rPr>
        <w:t> </w:t>
      </w:r>
      <w:r>
        <w:rPr/>
        <w:t>that</w:t>
      </w:r>
      <w:r>
        <w:rPr>
          <w:spacing w:val="-11"/>
        </w:rPr>
        <w:t> </w:t>
      </w:r>
      <w:r>
        <w:rPr/>
        <w:t>MRC</w:t>
      </w:r>
      <w:r>
        <w:rPr>
          <w:spacing w:val="-10"/>
        </w:rPr>
        <w:t> </w:t>
      </w:r>
      <w:r>
        <w:rPr/>
        <w:t>develop</w:t>
      </w:r>
      <w:r>
        <w:rPr>
          <w:spacing w:val="-10"/>
        </w:rPr>
        <w:t> </w:t>
      </w:r>
      <w:r>
        <w:rPr/>
        <w:t>an</w:t>
      </w:r>
      <w:r>
        <w:rPr>
          <w:spacing w:val="-10"/>
        </w:rPr>
        <w:t> </w:t>
      </w:r>
      <w:r>
        <w:rPr/>
        <w:t>outreach</w:t>
      </w:r>
      <w:r>
        <w:rPr>
          <w:spacing w:val="-12"/>
        </w:rPr>
        <w:t> </w:t>
      </w:r>
      <w:r>
        <w:rPr/>
        <w:t>plan</w:t>
      </w:r>
      <w:r>
        <w:rPr>
          <w:spacing w:val="-10"/>
        </w:rPr>
        <w:t> </w:t>
      </w:r>
      <w:r>
        <w:rPr/>
        <w:t>to</w:t>
      </w:r>
      <w:r>
        <w:rPr>
          <w:spacing w:val="-11"/>
        </w:rPr>
        <w:t> </w:t>
      </w:r>
      <w:r>
        <w:rPr/>
        <w:t>LGBTQ</w:t>
      </w:r>
      <w:r>
        <w:rPr>
          <w:spacing w:val="-10"/>
        </w:rPr>
        <w:t> </w:t>
      </w:r>
      <w:r>
        <w:rPr/>
        <w:t>youth</w:t>
      </w:r>
      <w:r>
        <w:rPr>
          <w:spacing w:val="-12"/>
        </w:rPr>
        <w:t> </w:t>
      </w:r>
      <w:r>
        <w:rPr/>
        <w:t>and</w:t>
      </w:r>
      <w:r>
        <w:rPr>
          <w:spacing w:val="-10"/>
        </w:rPr>
        <w:t> </w:t>
      </w:r>
      <w:r>
        <w:rPr/>
        <w:t>to</w:t>
      </w:r>
      <w:r>
        <w:rPr>
          <w:spacing w:val="-11"/>
        </w:rPr>
        <w:t> </w:t>
      </w:r>
      <w:r>
        <w:rPr/>
        <w:t>schools</w:t>
      </w:r>
      <w:r>
        <w:rPr>
          <w:spacing w:val="-11"/>
        </w:rPr>
        <w:t> </w:t>
      </w:r>
      <w:r>
        <w:rPr/>
        <w:t>to</w:t>
      </w:r>
      <w:r>
        <w:rPr>
          <w:spacing w:val="-11"/>
        </w:rPr>
        <w:t> </w:t>
      </w:r>
      <w:r>
        <w:rPr/>
        <w:t>share MRC resources, as well as to receive feedback on how to improve MRC services. MRC has noted the difficulty in reaching out to some regions, particularly the Cape and Plymouth, and intends to further explore these issues with the Commission in FY 2025. One upcoming possibility for MRC to expand its outreach efforts is to participate in statewide Pride events, which the Commission has offered insight on to assist in MRC’s planning efforts. MRC currently plans to attend Worcester Pride in FY 2025, and the LGBTQ ERG co-chair plans to attend the upcoming Provincetown Pride.</w:t>
      </w:r>
    </w:p>
    <w:p>
      <w:pPr>
        <w:spacing w:after="0" w:line="276" w:lineRule="auto"/>
        <w:jc w:val="both"/>
        <w:sectPr>
          <w:pgSz w:w="12240" w:h="15840"/>
          <w:pgMar w:header="804" w:footer="1263" w:top="1000" w:bottom="1460" w:left="960" w:right="1100"/>
        </w:sectPr>
      </w:pPr>
    </w:p>
    <w:p>
      <w:pPr>
        <w:pStyle w:val="BodyText"/>
        <w:spacing w:before="118"/>
      </w:pPr>
    </w:p>
    <w:p>
      <w:pPr>
        <w:numPr>
          <w:ilvl w:val="0"/>
          <w:numId w:val="39"/>
        </w:numPr>
        <w:tabs>
          <w:tab w:pos="462" w:val="left" w:leader="none"/>
        </w:tabs>
        <w:spacing w:before="0"/>
        <w:ind w:left="462" w:right="0" w:hanging="358"/>
        <w:jc w:val="left"/>
        <w:rPr>
          <w:b/>
          <w:sz w:val="22"/>
        </w:rPr>
      </w:pPr>
      <w:r>
        <w:rPr>
          <w:b/>
          <w:sz w:val="22"/>
        </w:rPr>
        <w:t>Review</w:t>
      </w:r>
      <w:r>
        <w:rPr>
          <w:b/>
          <w:spacing w:val="-9"/>
          <w:sz w:val="22"/>
        </w:rPr>
        <w:t> </w:t>
      </w:r>
      <w:r>
        <w:rPr>
          <w:b/>
          <w:sz w:val="22"/>
        </w:rPr>
        <w:t>internal</w:t>
      </w:r>
      <w:r>
        <w:rPr>
          <w:b/>
          <w:spacing w:val="-9"/>
          <w:sz w:val="22"/>
        </w:rPr>
        <w:t> </w:t>
      </w:r>
      <w:r>
        <w:rPr>
          <w:b/>
          <w:sz w:val="22"/>
        </w:rPr>
        <w:t>policies</w:t>
      </w:r>
      <w:r>
        <w:rPr>
          <w:b/>
          <w:spacing w:val="-9"/>
          <w:sz w:val="22"/>
        </w:rPr>
        <w:t> </w:t>
      </w:r>
      <w:r>
        <w:rPr>
          <w:b/>
          <w:sz w:val="22"/>
        </w:rPr>
        <w:t>to</w:t>
      </w:r>
      <w:r>
        <w:rPr>
          <w:b/>
          <w:spacing w:val="-9"/>
          <w:sz w:val="22"/>
        </w:rPr>
        <w:t> </w:t>
      </w:r>
      <w:r>
        <w:rPr>
          <w:b/>
          <w:sz w:val="22"/>
        </w:rPr>
        <w:t>identify</w:t>
      </w:r>
      <w:r>
        <w:rPr>
          <w:b/>
          <w:spacing w:val="-10"/>
          <w:sz w:val="22"/>
        </w:rPr>
        <w:t> </w:t>
      </w:r>
      <w:r>
        <w:rPr>
          <w:b/>
          <w:sz w:val="22"/>
        </w:rPr>
        <w:t>opportunities</w:t>
      </w:r>
      <w:r>
        <w:rPr>
          <w:b/>
          <w:spacing w:val="-9"/>
          <w:sz w:val="22"/>
        </w:rPr>
        <w:t> </w:t>
      </w:r>
      <w:r>
        <w:rPr>
          <w:b/>
          <w:sz w:val="22"/>
        </w:rPr>
        <w:t>for</w:t>
      </w:r>
      <w:r>
        <w:rPr>
          <w:b/>
          <w:spacing w:val="-9"/>
          <w:sz w:val="22"/>
        </w:rPr>
        <w:t> </w:t>
      </w:r>
      <w:r>
        <w:rPr>
          <w:b/>
          <w:spacing w:val="-2"/>
          <w:sz w:val="22"/>
        </w:rPr>
        <w:t>improvement.</w:t>
      </w:r>
    </w:p>
    <w:p>
      <w:pPr>
        <w:pStyle w:val="BodyText"/>
        <w:spacing w:before="11"/>
        <w:rPr>
          <w:b/>
        </w:rPr>
      </w:pPr>
    </w:p>
    <w:p>
      <w:pPr>
        <w:pStyle w:val="BodyText"/>
        <w:spacing w:line="276" w:lineRule="auto" w:before="1"/>
        <w:ind w:left="464" w:right="341"/>
        <w:jc w:val="both"/>
      </w:pPr>
      <w:r>
        <w:rPr/>
        <w:t>Over the last fiscal year, MRC staff have been through a great deal of transition, which has put a hold on some of the ongoing projects that intersect with the Commission’s recommendations. One area of improvement that was noted in a January 2023 meeting was to uplift stronger collaboration with the policy department to ensure that all internal MRC policies are being considered in internal efforts to ensure LGBTQ-inclusivity. The Commission recommends that MRC work with the LGBTQ Allies Working Group</w:t>
      </w:r>
      <w:r>
        <w:rPr>
          <w:spacing w:val="-13"/>
        </w:rPr>
        <w:t> </w:t>
      </w:r>
      <w:r>
        <w:rPr/>
        <w:t>to</w:t>
      </w:r>
      <w:r>
        <w:rPr>
          <w:spacing w:val="-12"/>
        </w:rPr>
        <w:t> </w:t>
      </w:r>
      <w:r>
        <w:rPr/>
        <w:t>undertake</w:t>
      </w:r>
      <w:r>
        <w:rPr>
          <w:spacing w:val="-13"/>
        </w:rPr>
        <w:t> </w:t>
      </w:r>
      <w:r>
        <w:rPr/>
        <w:t>an</w:t>
      </w:r>
      <w:r>
        <w:rPr>
          <w:spacing w:val="-12"/>
        </w:rPr>
        <w:t> </w:t>
      </w:r>
      <w:r>
        <w:rPr/>
        <w:t>agency-wide</w:t>
      </w:r>
      <w:r>
        <w:rPr>
          <w:spacing w:val="-13"/>
        </w:rPr>
        <w:t> </w:t>
      </w:r>
      <w:r>
        <w:rPr/>
        <w:t>policy</w:t>
      </w:r>
      <w:r>
        <w:rPr>
          <w:spacing w:val="-12"/>
        </w:rPr>
        <w:t> </w:t>
      </w:r>
      <w:r>
        <w:rPr/>
        <w:t>review</w:t>
      </w:r>
      <w:r>
        <w:rPr>
          <w:spacing w:val="-13"/>
        </w:rPr>
        <w:t> </w:t>
      </w:r>
      <w:r>
        <w:rPr/>
        <w:t>to</w:t>
      </w:r>
      <w:r>
        <w:rPr>
          <w:spacing w:val="-12"/>
        </w:rPr>
        <w:t> </w:t>
      </w:r>
      <w:r>
        <w:rPr/>
        <w:t>ensure</w:t>
      </w:r>
      <w:r>
        <w:rPr>
          <w:spacing w:val="-12"/>
        </w:rPr>
        <w:t> </w:t>
      </w:r>
      <w:r>
        <w:rPr/>
        <w:t>that</w:t>
      </w:r>
      <w:r>
        <w:rPr>
          <w:spacing w:val="-13"/>
        </w:rPr>
        <w:t> </w:t>
      </w:r>
      <w:r>
        <w:rPr/>
        <w:t>all</w:t>
      </w:r>
      <w:r>
        <w:rPr>
          <w:spacing w:val="-12"/>
        </w:rPr>
        <w:t> </w:t>
      </w:r>
      <w:r>
        <w:rPr/>
        <w:t>MRC</w:t>
      </w:r>
      <w:r>
        <w:rPr>
          <w:spacing w:val="-13"/>
        </w:rPr>
        <w:t> </w:t>
      </w:r>
      <w:r>
        <w:rPr/>
        <w:t>policies</w:t>
      </w:r>
      <w:r>
        <w:rPr>
          <w:spacing w:val="-12"/>
        </w:rPr>
        <w:t> </w:t>
      </w:r>
      <w:r>
        <w:rPr/>
        <w:t>are</w:t>
      </w:r>
      <w:r>
        <w:rPr>
          <w:spacing w:val="-13"/>
        </w:rPr>
        <w:t> </w:t>
      </w:r>
      <w:r>
        <w:rPr/>
        <w:t>meeting</w:t>
      </w:r>
      <w:r>
        <w:rPr>
          <w:spacing w:val="-12"/>
        </w:rPr>
        <w:t> </w:t>
      </w:r>
      <w:r>
        <w:rPr/>
        <w:t>best</w:t>
      </w:r>
      <w:r>
        <w:rPr>
          <w:spacing w:val="-12"/>
        </w:rPr>
        <w:t> </w:t>
      </w:r>
      <w:r>
        <w:rPr/>
        <w:t>practice standards, particularly as it works to explore the creation of a nondiscrimination policy.</w:t>
      </w:r>
    </w:p>
    <w:p>
      <w:pPr>
        <w:pStyle w:val="BodyText"/>
      </w:pPr>
    </w:p>
    <w:p>
      <w:pPr>
        <w:pStyle w:val="BodyText"/>
        <w:spacing w:before="238"/>
      </w:pPr>
    </w:p>
    <w:p>
      <w:pPr>
        <w:spacing w:before="0"/>
        <w:ind w:left="464" w:right="0" w:firstLine="0"/>
        <w:jc w:val="both"/>
        <w:rPr>
          <w:sz w:val="18"/>
        </w:rPr>
      </w:pPr>
      <w:r>
        <w:rPr>
          <w:sz w:val="18"/>
          <w:vertAlign w:val="superscript"/>
        </w:rPr>
        <w:t>1</w:t>
      </w:r>
      <w:r>
        <w:rPr>
          <w:spacing w:val="-15"/>
          <w:sz w:val="18"/>
          <w:vertAlign w:val="baseline"/>
        </w:rPr>
        <w:t> </w:t>
      </w:r>
      <w:r>
        <w:rPr>
          <w:sz w:val="18"/>
          <w:vertAlign w:val="baseline"/>
        </w:rPr>
        <w:t>Movement</w:t>
      </w:r>
      <w:r>
        <w:rPr>
          <w:spacing w:val="-9"/>
          <w:sz w:val="18"/>
          <w:vertAlign w:val="baseline"/>
        </w:rPr>
        <w:t> </w:t>
      </w:r>
      <w:r>
        <w:rPr>
          <w:sz w:val="18"/>
          <w:vertAlign w:val="baseline"/>
        </w:rPr>
        <w:t>Advancement</w:t>
      </w:r>
      <w:r>
        <w:rPr>
          <w:spacing w:val="-5"/>
          <w:sz w:val="18"/>
          <w:vertAlign w:val="baseline"/>
        </w:rPr>
        <w:t> </w:t>
      </w:r>
      <w:r>
        <w:rPr>
          <w:sz w:val="18"/>
          <w:vertAlign w:val="baseline"/>
        </w:rPr>
        <w:t>Project.</w:t>
      </w:r>
      <w:r>
        <w:rPr>
          <w:spacing w:val="-4"/>
          <w:sz w:val="18"/>
          <w:vertAlign w:val="baseline"/>
        </w:rPr>
        <w:t> </w:t>
      </w:r>
      <w:r>
        <w:rPr>
          <w:sz w:val="18"/>
          <w:vertAlign w:val="baseline"/>
        </w:rPr>
        <w:t>July</w:t>
      </w:r>
      <w:r>
        <w:rPr>
          <w:spacing w:val="-4"/>
          <w:sz w:val="18"/>
          <w:vertAlign w:val="baseline"/>
        </w:rPr>
        <w:t> </w:t>
      </w:r>
      <w:r>
        <w:rPr>
          <w:sz w:val="18"/>
          <w:vertAlign w:val="baseline"/>
        </w:rPr>
        <w:t>2019.</w:t>
      </w:r>
      <w:r>
        <w:rPr>
          <w:spacing w:val="-5"/>
          <w:sz w:val="18"/>
          <w:vertAlign w:val="baseline"/>
        </w:rPr>
        <w:t> </w:t>
      </w:r>
      <w:r>
        <w:rPr>
          <w:i/>
          <w:sz w:val="18"/>
          <w:vertAlign w:val="baseline"/>
        </w:rPr>
        <w:t>LGBT</w:t>
      </w:r>
      <w:r>
        <w:rPr>
          <w:i/>
          <w:spacing w:val="-4"/>
          <w:sz w:val="18"/>
          <w:vertAlign w:val="baseline"/>
        </w:rPr>
        <w:t> </w:t>
      </w:r>
      <w:r>
        <w:rPr>
          <w:i/>
          <w:sz w:val="18"/>
          <w:vertAlign w:val="baseline"/>
        </w:rPr>
        <w:t>People</w:t>
      </w:r>
      <w:r>
        <w:rPr>
          <w:i/>
          <w:spacing w:val="-5"/>
          <w:sz w:val="18"/>
          <w:vertAlign w:val="baseline"/>
        </w:rPr>
        <w:t> </w:t>
      </w:r>
      <w:r>
        <w:rPr>
          <w:i/>
          <w:sz w:val="18"/>
          <w:vertAlign w:val="baseline"/>
        </w:rPr>
        <w:t>With</w:t>
      </w:r>
      <w:r>
        <w:rPr>
          <w:i/>
          <w:spacing w:val="-4"/>
          <w:sz w:val="18"/>
          <w:vertAlign w:val="baseline"/>
        </w:rPr>
        <w:t> </w:t>
      </w:r>
      <w:r>
        <w:rPr>
          <w:i/>
          <w:sz w:val="18"/>
          <w:vertAlign w:val="baseline"/>
        </w:rPr>
        <w:t>Disabilities</w:t>
      </w:r>
      <w:r>
        <w:rPr>
          <w:sz w:val="18"/>
          <w:vertAlign w:val="baseline"/>
        </w:rPr>
        <w:t>.</w:t>
      </w:r>
      <w:r>
        <w:rPr>
          <w:spacing w:val="-4"/>
          <w:sz w:val="18"/>
          <w:vertAlign w:val="baseline"/>
        </w:rPr>
        <w:t> </w:t>
      </w:r>
      <w:r>
        <w:rPr>
          <w:color w:val="0000FF"/>
          <w:sz w:val="18"/>
          <w:u w:val="single" w:color="0000FF"/>
          <w:vertAlign w:val="baseline"/>
        </w:rPr>
        <w:t>https://</w:t>
      </w:r>
      <w:hyperlink r:id="rId738">
        <w:r>
          <w:rPr>
            <w:color w:val="0000FF"/>
            <w:sz w:val="18"/>
            <w:u w:val="single" w:color="0000FF"/>
            <w:vertAlign w:val="baseline"/>
          </w:rPr>
          <w:t>www.lgbtmap.org/lgbt-people-</w:t>
        </w:r>
        <w:r>
          <w:rPr>
            <w:color w:val="0000FF"/>
            <w:spacing w:val="-2"/>
            <w:sz w:val="18"/>
            <w:u w:val="single" w:color="0000FF"/>
            <w:vertAlign w:val="baseline"/>
          </w:rPr>
          <w:t>disabilities</w:t>
        </w:r>
      </w:hyperlink>
      <w:hyperlink r:id="rId738">
        <w:r>
          <w:rPr>
            <w:spacing w:val="-2"/>
            <w:sz w:val="18"/>
            <w:u w:val="none"/>
            <w:vertAlign w:val="baseline"/>
          </w:rPr>
          <w:t>.</w:t>
        </w:r>
      </w:hyperlink>
    </w:p>
    <w:p>
      <w:pPr>
        <w:spacing w:after="0"/>
        <w:jc w:val="both"/>
        <w:rPr>
          <w:sz w:val="18"/>
        </w:rPr>
        <w:sectPr>
          <w:pgSz w:w="12240" w:h="15840"/>
          <w:pgMar w:header="804" w:footer="1263" w:top="1000" w:bottom="1460" w:left="960" w:right="1100"/>
        </w:sectPr>
      </w:pPr>
    </w:p>
    <w:p>
      <w:pPr>
        <w:pStyle w:val="Heading7"/>
        <w:spacing w:before="366"/>
      </w:pPr>
      <w:bookmarkStart w:name="_bookmark633" w:id="940"/>
      <w:bookmarkEnd w:id="940"/>
      <w:r>
        <w:rPr/>
      </w:r>
      <w:hyperlink w:history="true" w:anchor="_bookmark6">
        <w:r>
          <w:rPr>
            <w:color w:val="365F91"/>
            <w:spacing w:val="-10"/>
          </w:rPr>
          <w:t>Department</w:t>
        </w:r>
        <w:r>
          <w:rPr>
            <w:color w:val="365F91"/>
            <w:spacing w:val="-4"/>
          </w:rPr>
          <w:t> </w:t>
        </w:r>
        <w:r>
          <w:rPr>
            <w:color w:val="365F91"/>
            <w:spacing w:val="-10"/>
          </w:rPr>
          <w:t>of</w:t>
        </w:r>
        <w:r>
          <w:rPr>
            <w:color w:val="365F91"/>
            <w:spacing w:val="-4"/>
          </w:rPr>
          <w:t> </w:t>
        </w:r>
        <w:r>
          <w:rPr>
            <w:color w:val="365F91"/>
            <w:spacing w:val="-10"/>
          </w:rPr>
          <w:t>Mental</w:t>
        </w:r>
        <w:r>
          <w:rPr>
            <w:color w:val="365F91"/>
            <w:spacing w:val="-4"/>
          </w:rPr>
          <w:t> </w:t>
        </w:r>
        <w:r>
          <w:rPr>
            <w:color w:val="365F91"/>
            <w:spacing w:val="-10"/>
          </w:rPr>
          <w:t>Health</w:t>
        </w:r>
      </w:hyperlink>
    </w:p>
    <w:p>
      <w:pPr>
        <w:spacing w:before="400"/>
        <w:ind w:left="483" w:right="0" w:firstLine="0"/>
        <w:jc w:val="left"/>
        <w:rPr>
          <w:sz w:val="28"/>
        </w:rPr>
      </w:pPr>
      <w:r>
        <w:rPr/>
        <mc:AlternateContent>
          <mc:Choice Requires="wps">
            <w:drawing>
              <wp:anchor distT="0" distB="0" distL="0" distR="0" allowOverlap="1" layoutInCell="1" locked="0" behindDoc="1" simplePos="0" relativeHeight="487705600">
                <wp:simplePos x="0" y="0"/>
                <wp:positionH relativeFrom="page">
                  <wp:posOffset>897636</wp:posOffset>
                </wp:positionH>
                <wp:positionV relativeFrom="paragraph">
                  <wp:posOffset>483373</wp:posOffset>
                </wp:positionV>
                <wp:extent cx="5976620" cy="6350"/>
                <wp:effectExtent l="0" t="0" r="0" b="0"/>
                <wp:wrapTopAndBottom/>
                <wp:docPr id="596" name="Graphic 596"/>
                <wp:cNvGraphicFramePr>
                  <a:graphicFrameLocks/>
                </wp:cNvGraphicFramePr>
                <a:graphic>
                  <a:graphicData uri="http://schemas.microsoft.com/office/word/2010/wordprocessingShape">
                    <wps:wsp>
                      <wps:cNvPr id="596" name="Graphic 596"/>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8.060936pt;width:470.58pt;height:.48pt;mso-position-horizontal-relative:page;mso-position-vertical-relative:paragraph;z-index:-15610880;mso-wrap-distance-left:0;mso-wrap-distance-right:0" id="docshape493" filled="true" fillcolor="#4f81bc" stroked="false">
                <v:fill type="solid"/>
                <w10:wrap type="topAndBottom"/>
              </v:rect>
            </w:pict>
          </mc:Fallback>
        </mc:AlternateContent>
      </w:r>
      <w:r>
        <w:rPr>
          <w:color w:val="365F91"/>
          <w:sz w:val="28"/>
        </w:rPr>
        <w:t>FY2025</w:t>
      </w:r>
      <w:r>
        <w:rPr>
          <w:color w:val="365F91"/>
          <w:spacing w:val="-13"/>
          <w:sz w:val="28"/>
        </w:rPr>
        <w:t> </w:t>
      </w:r>
      <w:r>
        <w:rPr>
          <w:color w:val="365F91"/>
          <w:spacing w:val="-2"/>
          <w:sz w:val="28"/>
        </w:rPr>
        <w:t>Recommendations</w:t>
      </w:r>
    </w:p>
    <w:p>
      <w:pPr>
        <w:pStyle w:val="BodyText"/>
      </w:pPr>
    </w:p>
    <w:p>
      <w:pPr>
        <w:pStyle w:val="BodyText"/>
        <w:spacing w:before="26"/>
      </w:pPr>
    </w:p>
    <w:p>
      <w:pPr>
        <w:pStyle w:val="ListParagraph"/>
        <w:numPr>
          <w:ilvl w:val="1"/>
          <w:numId w:val="39"/>
        </w:numPr>
        <w:tabs>
          <w:tab w:pos="1057" w:val="left" w:leader="none"/>
          <w:tab w:pos="1059" w:val="left" w:leader="none"/>
        </w:tabs>
        <w:spacing w:line="276" w:lineRule="auto" w:before="0" w:after="0"/>
        <w:ind w:left="1059" w:right="632" w:hanging="361"/>
        <w:jc w:val="both"/>
        <w:rPr>
          <w:sz w:val="22"/>
        </w:rPr>
      </w:pPr>
      <w:r>
        <w:rPr>
          <w:sz w:val="22"/>
        </w:rPr>
        <w:t>Develop</w:t>
      </w:r>
      <w:r>
        <w:rPr>
          <w:spacing w:val="-13"/>
          <w:sz w:val="22"/>
        </w:rPr>
        <w:t> </w:t>
      </w:r>
      <w:r>
        <w:rPr>
          <w:sz w:val="22"/>
        </w:rPr>
        <w:t>accessible,</w:t>
      </w:r>
      <w:r>
        <w:rPr>
          <w:spacing w:val="-12"/>
          <w:sz w:val="22"/>
        </w:rPr>
        <w:t> </w:t>
      </w:r>
      <w:r>
        <w:rPr>
          <w:sz w:val="22"/>
        </w:rPr>
        <w:t>trauma-informed</w:t>
      </w:r>
      <w:r>
        <w:rPr>
          <w:spacing w:val="-13"/>
          <w:sz w:val="22"/>
        </w:rPr>
        <w:t> </w:t>
      </w:r>
      <w:r>
        <w:rPr>
          <w:sz w:val="22"/>
        </w:rPr>
        <w:t>mental</w:t>
      </w:r>
      <w:r>
        <w:rPr>
          <w:spacing w:val="-12"/>
          <w:sz w:val="22"/>
        </w:rPr>
        <w:t> </w:t>
      </w:r>
      <w:r>
        <w:rPr>
          <w:sz w:val="22"/>
        </w:rPr>
        <w:t>health</w:t>
      </w:r>
      <w:r>
        <w:rPr>
          <w:spacing w:val="-13"/>
          <w:sz w:val="22"/>
        </w:rPr>
        <w:t> </w:t>
      </w:r>
      <w:r>
        <w:rPr>
          <w:sz w:val="22"/>
        </w:rPr>
        <w:t>resources</w:t>
      </w:r>
      <w:r>
        <w:rPr>
          <w:spacing w:val="-12"/>
          <w:sz w:val="22"/>
        </w:rPr>
        <w:t> </w:t>
      </w:r>
      <w:r>
        <w:rPr>
          <w:sz w:val="22"/>
        </w:rPr>
        <w:t>and</w:t>
      </w:r>
      <w:r>
        <w:rPr>
          <w:spacing w:val="-13"/>
          <w:sz w:val="22"/>
        </w:rPr>
        <w:t> </w:t>
      </w:r>
      <w:r>
        <w:rPr>
          <w:sz w:val="22"/>
        </w:rPr>
        <w:t>programs</w:t>
      </w:r>
      <w:r>
        <w:rPr>
          <w:spacing w:val="-12"/>
          <w:sz w:val="22"/>
        </w:rPr>
        <w:t> </w:t>
      </w:r>
      <w:r>
        <w:rPr>
          <w:sz w:val="22"/>
        </w:rPr>
        <w:t>for</w:t>
      </w:r>
      <w:r>
        <w:rPr>
          <w:spacing w:val="-12"/>
          <w:sz w:val="22"/>
        </w:rPr>
        <w:t> </w:t>
      </w:r>
      <w:r>
        <w:rPr>
          <w:sz w:val="22"/>
        </w:rPr>
        <w:t>QTBIPOC</w:t>
      </w:r>
      <w:r>
        <w:rPr>
          <w:spacing w:val="-13"/>
          <w:sz w:val="22"/>
        </w:rPr>
        <w:t> </w:t>
      </w:r>
      <w:r>
        <w:rPr>
          <w:sz w:val="22"/>
        </w:rPr>
        <w:t>youth and LGBTQ first-generation youth.</w:t>
      </w:r>
    </w:p>
    <w:p>
      <w:pPr>
        <w:pStyle w:val="ListParagraph"/>
        <w:numPr>
          <w:ilvl w:val="1"/>
          <w:numId w:val="39"/>
        </w:numPr>
        <w:tabs>
          <w:tab w:pos="1057" w:val="left" w:leader="none"/>
          <w:tab w:pos="1059" w:val="left" w:leader="none"/>
        </w:tabs>
        <w:spacing w:line="276" w:lineRule="auto" w:before="0" w:after="0"/>
        <w:ind w:left="1059" w:right="629" w:hanging="361"/>
        <w:jc w:val="both"/>
        <w:rPr>
          <w:sz w:val="22"/>
        </w:rPr>
      </w:pPr>
      <w:r>
        <w:rPr>
          <w:sz w:val="22"/>
        </w:rPr>
        <w:t>Collaborate with youth-serving agencies, including the Department of Children &amp; Families, the Department of Youth Services, MassHealth, the Department of Developmental Services, the Department of Public Health, and the Executive Office of Housing and Livable Communities, to develop clear guidance and instructions on how to ensure that youth transitioning between state systems are receiving needed services and resources.</w:t>
      </w:r>
    </w:p>
    <w:p>
      <w:pPr>
        <w:pStyle w:val="ListParagraph"/>
        <w:numPr>
          <w:ilvl w:val="1"/>
          <w:numId w:val="39"/>
        </w:numPr>
        <w:tabs>
          <w:tab w:pos="1057" w:val="left" w:leader="none"/>
          <w:tab w:pos="1059" w:val="left" w:leader="none"/>
        </w:tabs>
        <w:spacing w:line="276" w:lineRule="auto" w:before="0" w:after="0"/>
        <w:ind w:left="1059" w:right="631" w:hanging="361"/>
        <w:jc w:val="both"/>
        <w:rPr>
          <w:sz w:val="22"/>
        </w:rPr>
      </w:pPr>
      <w:r>
        <w:rPr>
          <w:sz w:val="22"/>
        </w:rPr>
        <w:t>Explore</w:t>
      </w:r>
      <w:r>
        <w:rPr>
          <w:spacing w:val="-5"/>
          <w:sz w:val="22"/>
        </w:rPr>
        <w:t> </w:t>
      </w:r>
      <w:r>
        <w:rPr>
          <w:sz w:val="22"/>
        </w:rPr>
        <w:t>opportunities</w:t>
      </w:r>
      <w:r>
        <w:rPr>
          <w:spacing w:val="-6"/>
          <w:sz w:val="22"/>
        </w:rPr>
        <w:t> </w:t>
      </w:r>
      <w:r>
        <w:rPr>
          <w:sz w:val="22"/>
        </w:rPr>
        <w:t>to</w:t>
      </w:r>
      <w:r>
        <w:rPr>
          <w:spacing w:val="-6"/>
          <w:sz w:val="22"/>
        </w:rPr>
        <w:t> </w:t>
      </w:r>
      <w:r>
        <w:rPr>
          <w:sz w:val="22"/>
        </w:rPr>
        <w:t>implement</w:t>
      </w:r>
      <w:r>
        <w:rPr>
          <w:spacing w:val="-6"/>
          <w:sz w:val="22"/>
        </w:rPr>
        <w:t> </w:t>
      </w:r>
      <w:r>
        <w:rPr>
          <w:sz w:val="22"/>
        </w:rPr>
        <w:t>a</w:t>
      </w:r>
      <w:r>
        <w:rPr>
          <w:spacing w:val="-5"/>
          <w:sz w:val="22"/>
        </w:rPr>
        <w:t> </w:t>
      </w:r>
      <w:r>
        <w:rPr>
          <w:sz w:val="22"/>
        </w:rPr>
        <w:t>caregiver</w:t>
      </w:r>
      <w:r>
        <w:rPr>
          <w:spacing w:val="-6"/>
          <w:sz w:val="22"/>
        </w:rPr>
        <w:t> </w:t>
      </w:r>
      <w:r>
        <w:rPr>
          <w:sz w:val="22"/>
        </w:rPr>
        <w:t>education</w:t>
      </w:r>
      <w:r>
        <w:rPr>
          <w:spacing w:val="-7"/>
          <w:sz w:val="22"/>
        </w:rPr>
        <w:t> </w:t>
      </w:r>
      <w:r>
        <w:rPr>
          <w:sz w:val="22"/>
        </w:rPr>
        <w:t>training</w:t>
      </w:r>
      <w:r>
        <w:rPr>
          <w:spacing w:val="-5"/>
          <w:sz w:val="22"/>
        </w:rPr>
        <w:t> </w:t>
      </w:r>
      <w:r>
        <w:rPr>
          <w:sz w:val="22"/>
        </w:rPr>
        <w:t>to</w:t>
      </w:r>
      <w:r>
        <w:rPr>
          <w:spacing w:val="-6"/>
          <w:sz w:val="22"/>
        </w:rPr>
        <w:t> </w:t>
      </w:r>
      <w:r>
        <w:rPr>
          <w:sz w:val="22"/>
        </w:rPr>
        <w:t>support</w:t>
      </w:r>
      <w:r>
        <w:rPr>
          <w:spacing w:val="-7"/>
          <w:sz w:val="22"/>
        </w:rPr>
        <w:t> </w:t>
      </w:r>
      <w:r>
        <w:rPr>
          <w:sz w:val="22"/>
        </w:rPr>
        <w:t>LGBTQ</w:t>
      </w:r>
      <w:r>
        <w:rPr>
          <w:spacing w:val="-5"/>
          <w:sz w:val="22"/>
        </w:rPr>
        <w:t> </w:t>
      </w:r>
      <w:r>
        <w:rPr>
          <w:sz w:val="22"/>
        </w:rPr>
        <w:t>youth</w:t>
      </w:r>
      <w:r>
        <w:rPr>
          <w:spacing w:val="-4"/>
          <w:sz w:val="22"/>
        </w:rPr>
        <w:t> </w:t>
      </w:r>
      <w:r>
        <w:rPr>
          <w:sz w:val="22"/>
        </w:rPr>
        <w:t>and families involved in DMH services.</w:t>
      </w:r>
    </w:p>
    <w:p>
      <w:pPr>
        <w:pStyle w:val="ListParagraph"/>
        <w:numPr>
          <w:ilvl w:val="1"/>
          <w:numId w:val="39"/>
        </w:numPr>
        <w:tabs>
          <w:tab w:pos="1057" w:val="left" w:leader="none"/>
          <w:tab w:pos="1059" w:val="left" w:leader="none"/>
        </w:tabs>
        <w:spacing w:line="276" w:lineRule="auto" w:before="1" w:after="0"/>
        <w:ind w:left="1059" w:right="631" w:hanging="361"/>
        <w:jc w:val="both"/>
        <w:rPr>
          <w:sz w:val="22"/>
        </w:rPr>
      </w:pPr>
      <w:r>
        <w:rPr>
          <w:sz w:val="22"/>
        </w:rPr>
        <w:t>Explore further SOGIE data collection &amp; IT changes needed to collect comprehensive data on the mental health needs of LGBTQ youth.</w:t>
      </w:r>
    </w:p>
    <w:p>
      <w:pPr>
        <w:pStyle w:val="ListParagraph"/>
        <w:numPr>
          <w:ilvl w:val="1"/>
          <w:numId w:val="39"/>
        </w:numPr>
        <w:tabs>
          <w:tab w:pos="1057" w:val="left" w:leader="none"/>
          <w:tab w:pos="1059" w:val="left" w:leader="none"/>
        </w:tabs>
        <w:spacing w:line="276" w:lineRule="auto" w:before="0" w:after="0"/>
        <w:ind w:left="1059" w:right="629" w:hanging="361"/>
        <w:jc w:val="both"/>
        <w:rPr>
          <w:sz w:val="22"/>
        </w:rPr>
      </w:pPr>
      <w:r>
        <w:rPr>
          <w:sz w:val="22"/>
        </w:rPr>
        <w:t>Facilitate trainings on LGBTQ cultural awareness and racial equity, with particular attention to youth and access to affirming care.</w:t>
      </w:r>
    </w:p>
    <w:p>
      <w:pPr>
        <w:pStyle w:val="ListParagraph"/>
        <w:numPr>
          <w:ilvl w:val="1"/>
          <w:numId w:val="39"/>
        </w:numPr>
        <w:tabs>
          <w:tab w:pos="1058" w:val="left" w:leader="none"/>
          <w:tab w:pos="1060" w:val="left" w:leader="none"/>
        </w:tabs>
        <w:spacing w:line="276" w:lineRule="auto" w:before="0" w:after="0"/>
        <w:ind w:left="1060" w:right="631" w:hanging="361"/>
        <w:jc w:val="both"/>
        <w:rPr>
          <w:sz w:val="22"/>
        </w:rPr>
      </w:pPr>
      <w:r>
        <w:rPr>
          <w:sz w:val="22"/>
        </w:rPr>
        <w:t>Explore and implement opportunities to improve education &amp; workplace training for new mental health workers in the areas of health equity for LGBTQ and QTBIPOC communities.</w:t>
      </w:r>
    </w:p>
    <w:p>
      <w:pPr>
        <w:pStyle w:val="BodyText"/>
      </w:pPr>
    </w:p>
    <w:p>
      <w:pPr>
        <w:pStyle w:val="BodyText"/>
        <w:spacing w:before="221"/>
      </w:pPr>
    </w:p>
    <w:p>
      <w:pPr>
        <w:spacing w:before="0"/>
        <w:ind w:left="483" w:right="0" w:firstLine="0"/>
        <w:jc w:val="left"/>
        <w:rPr>
          <w:sz w:val="28"/>
        </w:rPr>
      </w:pPr>
      <w:r>
        <w:rPr/>
        <mc:AlternateContent>
          <mc:Choice Requires="wps">
            <w:drawing>
              <wp:anchor distT="0" distB="0" distL="0" distR="0" allowOverlap="1" layoutInCell="1" locked="0" behindDoc="1" simplePos="0" relativeHeight="487706112">
                <wp:simplePos x="0" y="0"/>
                <wp:positionH relativeFrom="page">
                  <wp:posOffset>897636</wp:posOffset>
                </wp:positionH>
                <wp:positionV relativeFrom="paragraph">
                  <wp:posOffset>229865</wp:posOffset>
                </wp:positionV>
                <wp:extent cx="5976620" cy="635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099644pt;width:470.58pt;height:.481pt;mso-position-horizontal-relative:page;mso-position-vertical-relative:paragraph;z-index:-15610368;mso-wrap-distance-left:0;mso-wrap-distance-right:0" id="docshape494" filled="true" fillcolor="#4f81bc" stroked="false">
                <v:fill type="solid"/>
                <w10:wrap type="topAndBottom"/>
              </v:rect>
            </w:pict>
          </mc:Fallback>
        </mc:AlternateContent>
      </w:r>
      <w:r>
        <w:rPr>
          <w:color w:val="365F91"/>
          <w:spacing w:val="-2"/>
          <w:sz w:val="28"/>
        </w:rPr>
        <w:t>Introduction</w:t>
      </w:r>
    </w:p>
    <w:p>
      <w:pPr>
        <w:spacing w:line="276" w:lineRule="auto" w:before="241"/>
        <w:ind w:left="483" w:right="340" w:firstLine="0"/>
        <w:jc w:val="both"/>
        <w:rPr>
          <w:sz w:val="21"/>
        </w:rPr>
      </w:pPr>
      <w:r>
        <w:rPr>
          <w:sz w:val="21"/>
        </w:rPr>
        <w:t>The</w:t>
      </w:r>
      <w:r>
        <w:rPr>
          <w:spacing w:val="-10"/>
          <w:sz w:val="21"/>
        </w:rPr>
        <w:t> </w:t>
      </w:r>
      <w:r>
        <w:rPr>
          <w:sz w:val="21"/>
        </w:rPr>
        <w:t>Department</w:t>
      </w:r>
      <w:r>
        <w:rPr>
          <w:spacing w:val="-10"/>
          <w:sz w:val="21"/>
        </w:rPr>
        <w:t> </w:t>
      </w:r>
      <w:r>
        <w:rPr>
          <w:sz w:val="21"/>
        </w:rPr>
        <w:t>of</w:t>
      </w:r>
      <w:r>
        <w:rPr>
          <w:spacing w:val="-11"/>
          <w:sz w:val="21"/>
        </w:rPr>
        <w:t> </w:t>
      </w:r>
      <w:r>
        <w:rPr>
          <w:sz w:val="21"/>
        </w:rPr>
        <w:t>Mental</w:t>
      </w:r>
      <w:r>
        <w:rPr>
          <w:spacing w:val="-12"/>
          <w:sz w:val="21"/>
        </w:rPr>
        <w:t> </w:t>
      </w:r>
      <w:r>
        <w:rPr>
          <w:sz w:val="21"/>
        </w:rPr>
        <w:t>Health</w:t>
      </w:r>
      <w:r>
        <w:rPr>
          <w:spacing w:val="-10"/>
          <w:sz w:val="21"/>
        </w:rPr>
        <w:t> </w:t>
      </w:r>
      <w:r>
        <w:rPr>
          <w:sz w:val="21"/>
        </w:rPr>
        <w:t>(DMH)</w:t>
      </w:r>
      <w:r>
        <w:rPr>
          <w:spacing w:val="-12"/>
          <w:sz w:val="21"/>
        </w:rPr>
        <w:t> </w:t>
      </w:r>
      <w:r>
        <w:rPr>
          <w:sz w:val="21"/>
        </w:rPr>
        <w:t>is</w:t>
      </w:r>
      <w:r>
        <w:rPr>
          <w:spacing w:val="-11"/>
          <w:sz w:val="21"/>
        </w:rPr>
        <w:t> </w:t>
      </w:r>
      <w:r>
        <w:rPr>
          <w:sz w:val="21"/>
        </w:rPr>
        <w:t>tasked</w:t>
      </w:r>
      <w:r>
        <w:rPr>
          <w:spacing w:val="-10"/>
          <w:sz w:val="21"/>
        </w:rPr>
        <w:t> </w:t>
      </w:r>
      <w:r>
        <w:rPr>
          <w:sz w:val="21"/>
        </w:rPr>
        <w:t>with</w:t>
      </w:r>
      <w:r>
        <w:rPr>
          <w:spacing w:val="-11"/>
          <w:sz w:val="21"/>
        </w:rPr>
        <w:t> </w:t>
      </w:r>
      <w:r>
        <w:rPr>
          <w:sz w:val="21"/>
        </w:rPr>
        <w:t>providing</w:t>
      </w:r>
      <w:r>
        <w:rPr>
          <w:spacing w:val="-11"/>
          <w:sz w:val="21"/>
        </w:rPr>
        <w:t> </w:t>
      </w:r>
      <w:r>
        <w:rPr>
          <w:sz w:val="21"/>
        </w:rPr>
        <w:t>access</w:t>
      </w:r>
      <w:r>
        <w:rPr>
          <w:spacing w:val="-11"/>
          <w:sz w:val="21"/>
        </w:rPr>
        <w:t> </w:t>
      </w:r>
      <w:r>
        <w:rPr>
          <w:sz w:val="21"/>
        </w:rPr>
        <w:t>to</w:t>
      </w:r>
      <w:r>
        <w:rPr>
          <w:spacing w:val="-11"/>
          <w:sz w:val="21"/>
        </w:rPr>
        <w:t> </w:t>
      </w:r>
      <w:r>
        <w:rPr>
          <w:sz w:val="21"/>
        </w:rPr>
        <w:t>services</w:t>
      </w:r>
      <w:r>
        <w:rPr>
          <w:spacing w:val="-11"/>
          <w:sz w:val="21"/>
        </w:rPr>
        <w:t> </w:t>
      </w:r>
      <w:r>
        <w:rPr>
          <w:sz w:val="21"/>
        </w:rPr>
        <w:t>and</w:t>
      </w:r>
      <w:r>
        <w:rPr>
          <w:spacing w:val="-10"/>
          <w:sz w:val="21"/>
        </w:rPr>
        <w:t> </w:t>
      </w:r>
      <w:r>
        <w:rPr>
          <w:sz w:val="21"/>
        </w:rPr>
        <w:t>support</w:t>
      </w:r>
      <w:r>
        <w:rPr>
          <w:spacing w:val="-10"/>
          <w:sz w:val="21"/>
        </w:rPr>
        <w:t> </w:t>
      </w:r>
      <w:r>
        <w:rPr>
          <w:sz w:val="21"/>
        </w:rPr>
        <w:t>for</w:t>
      </w:r>
      <w:r>
        <w:rPr>
          <w:spacing w:val="-10"/>
          <w:sz w:val="21"/>
        </w:rPr>
        <w:t> </w:t>
      </w:r>
      <w:r>
        <w:rPr>
          <w:sz w:val="21"/>
        </w:rPr>
        <w:t>the</w:t>
      </w:r>
      <w:r>
        <w:rPr>
          <w:spacing w:val="-10"/>
          <w:sz w:val="21"/>
        </w:rPr>
        <w:t> </w:t>
      </w:r>
      <w:r>
        <w:rPr>
          <w:sz w:val="21"/>
        </w:rPr>
        <w:t>mental health needs of individuals of all ages in Massachusetts. DMH oversees a number of programs and initiatives that</w:t>
      </w:r>
      <w:r>
        <w:rPr>
          <w:spacing w:val="-12"/>
          <w:sz w:val="21"/>
        </w:rPr>
        <w:t> </w:t>
      </w:r>
      <w:r>
        <w:rPr>
          <w:sz w:val="21"/>
        </w:rPr>
        <w:t>directly</w:t>
      </w:r>
      <w:r>
        <w:rPr>
          <w:spacing w:val="-12"/>
          <w:sz w:val="21"/>
        </w:rPr>
        <w:t> </w:t>
      </w:r>
      <w:r>
        <w:rPr>
          <w:sz w:val="21"/>
        </w:rPr>
        <w:t>and</w:t>
      </w:r>
      <w:r>
        <w:rPr>
          <w:spacing w:val="-12"/>
          <w:sz w:val="21"/>
        </w:rPr>
        <w:t> </w:t>
      </w:r>
      <w:r>
        <w:rPr>
          <w:sz w:val="21"/>
        </w:rPr>
        <w:t>indirectly</w:t>
      </w:r>
      <w:r>
        <w:rPr>
          <w:spacing w:val="-12"/>
          <w:sz w:val="21"/>
        </w:rPr>
        <w:t> </w:t>
      </w:r>
      <w:r>
        <w:rPr>
          <w:sz w:val="21"/>
        </w:rPr>
        <w:t>affect</w:t>
      </w:r>
      <w:r>
        <w:rPr>
          <w:spacing w:val="-12"/>
          <w:sz w:val="21"/>
        </w:rPr>
        <w:t> </w:t>
      </w:r>
      <w:r>
        <w:rPr>
          <w:sz w:val="21"/>
        </w:rPr>
        <w:t>LGBTQ</w:t>
      </w:r>
      <w:r>
        <w:rPr>
          <w:spacing w:val="-12"/>
          <w:sz w:val="21"/>
        </w:rPr>
        <w:t> </w:t>
      </w:r>
      <w:r>
        <w:rPr>
          <w:sz w:val="21"/>
        </w:rPr>
        <w:t>youth,</w:t>
      </w:r>
      <w:r>
        <w:rPr>
          <w:spacing w:val="-12"/>
          <w:sz w:val="21"/>
        </w:rPr>
        <w:t> </w:t>
      </w:r>
      <w:r>
        <w:rPr>
          <w:sz w:val="21"/>
        </w:rPr>
        <w:t>including</w:t>
      </w:r>
      <w:r>
        <w:rPr>
          <w:spacing w:val="-11"/>
          <w:sz w:val="21"/>
        </w:rPr>
        <w:t> </w:t>
      </w:r>
      <w:r>
        <w:rPr>
          <w:sz w:val="21"/>
        </w:rPr>
        <w:t>residential</w:t>
      </w:r>
      <w:r>
        <w:rPr>
          <w:spacing w:val="-12"/>
          <w:sz w:val="21"/>
        </w:rPr>
        <w:t> </w:t>
      </w:r>
      <w:r>
        <w:rPr>
          <w:sz w:val="21"/>
        </w:rPr>
        <w:t>placements</w:t>
      </w:r>
      <w:r>
        <w:rPr>
          <w:spacing w:val="-12"/>
          <w:sz w:val="21"/>
        </w:rPr>
        <w:t> </w:t>
      </w:r>
      <w:r>
        <w:rPr>
          <w:sz w:val="21"/>
        </w:rPr>
        <w:t>and</w:t>
      </w:r>
      <w:r>
        <w:rPr>
          <w:spacing w:val="-12"/>
          <w:sz w:val="21"/>
        </w:rPr>
        <w:t> </w:t>
      </w:r>
      <w:r>
        <w:rPr>
          <w:sz w:val="21"/>
        </w:rPr>
        <w:t>the</w:t>
      </w:r>
      <w:r>
        <w:rPr>
          <w:spacing w:val="-12"/>
          <w:sz w:val="21"/>
        </w:rPr>
        <w:t> </w:t>
      </w:r>
      <w:r>
        <w:rPr>
          <w:sz w:val="21"/>
        </w:rPr>
        <w:t>Transitional</w:t>
      </w:r>
      <w:r>
        <w:rPr>
          <w:spacing w:val="-12"/>
          <w:sz w:val="21"/>
        </w:rPr>
        <w:t> </w:t>
      </w:r>
      <w:r>
        <w:rPr>
          <w:sz w:val="21"/>
        </w:rPr>
        <w:t>Age</w:t>
      </w:r>
      <w:r>
        <w:rPr>
          <w:spacing w:val="-12"/>
          <w:sz w:val="21"/>
        </w:rPr>
        <w:t> </w:t>
      </w:r>
      <w:r>
        <w:rPr>
          <w:sz w:val="21"/>
        </w:rPr>
        <w:t>Youth (TAY) Initiative.</w:t>
      </w:r>
    </w:p>
    <w:p>
      <w:pPr>
        <w:spacing w:line="276" w:lineRule="auto" w:before="240"/>
        <w:ind w:left="483" w:right="339" w:firstLine="0"/>
        <w:jc w:val="both"/>
        <w:rPr>
          <w:sz w:val="21"/>
        </w:rPr>
      </w:pPr>
      <w:r>
        <w:rPr>
          <w:sz w:val="21"/>
        </w:rPr>
        <w:t>As</w:t>
      </w:r>
      <w:r>
        <w:rPr>
          <w:spacing w:val="-2"/>
          <w:sz w:val="21"/>
        </w:rPr>
        <w:t> </w:t>
      </w:r>
      <w:r>
        <w:rPr>
          <w:sz w:val="21"/>
        </w:rPr>
        <w:t>discussed</w:t>
      </w:r>
      <w:r>
        <w:rPr>
          <w:spacing w:val="-2"/>
          <w:sz w:val="21"/>
        </w:rPr>
        <w:t> </w:t>
      </w:r>
      <w:r>
        <w:rPr>
          <w:sz w:val="21"/>
        </w:rPr>
        <w:t>in</w:t>
      </w:r>
      <w:r>
        <w:rPr>
          <w:spacing w:val="-2"/>
          <w:sz w:val="21"/>
        </w:rPr>
        <w:t> </w:t>
      </w:r>
      <w:r>
        <w:rPr>
          <w:sz w:val="21"/>
        </w:rPr>
        <w:t>detail</w:t>
      </w:r>
      <w:r>
        <w:rPr>
          <w:spacing w:val="-2"/>
          <w:sz w:val="21"/>
        </w:rPr>
        <w:t> </w:t>
      </w:r>
      <w:r>
        <w:rPr>
          <w:sz w:val="21"/>
        </w:rPr>
        <w:t>throughout</w:t>
      </w:r>
      <w:r>
        <w:rPr>
          <w:spacing w:val="-2"/>
          <w:sz w:val="21"/>
        </w:rPr>
        <w:t> </w:t>
      </w:r>
      <w:r>
        <w:rPr>
          <w:sz w:val="21"/>
        </w:rPr>
        <w:t>this</w:t>
      </w:r>
      <w:r>
        <w:rPr>
          <w:spacing w:val="-2"/>
          <w:sz w:val="21"/>
        </w:rPr>
        <w:t> </w:t>
      </w:r>
      <w:r>
        <w:rPr>
          <w:sz w:val="21"/>
        </w:rPr>
        <w:t>annual</w:t>
      </w:r>
      <w:r>
        <w:rPr>
          <w:spacing w:val="-2"/>
          <w:sz w:val="21"/>
        </w:rPr>
        <w:t> </w:t>
      </w:r>
      <w:r>
        <w:rPr>
          <w:sz w:val="21"/>
        </w:rPr>
        <w:t>report,</w:t>
      </w:r>
      <w:r>
        <w:rPr>
          <w:spacing w:val="-3"/>
          <w:sz w:val="21"/>
        </w:rPr>
        <w:t> </w:t>
      </w:r>
      <w:r>
        <w:rPr>
          <w:sz w:val="21"/>
        </w:rPr>
        <w:t>LGBTQ</w:t>
      </w:r>
      <w:r>
        <w:rPr>
          <w:spacing w:val="-2"/>
          <w:sz w:val="21"/>
        </w:rPr>
        <w:t> </w:t>
      </w:r>
      <w:r>
        <w:rPr>
          <w:sz w:val="21"/>
        </w:rPr>
        <w:t>youth</w:t>
      </w:r>
      <w:r>
        <w:rPr>
          <w:spacing w:val="-2"/>
          <w:sz w:val="21"/>
        </w:rPr>
        <w:t> </w:t>
      </w:r>
      <w:r>
        <w:rPr>
          <w:sz w:val="21"/>
        </w:rPr>
        <w:t>are</w:t>
      </w:r>
      <w:r>
        <w:rPr>
          <w:spacing w:val="-3"/>
          <w:sz w:val="21"/>
        </w:rPr>
        <w:t> </w:t>
      </w:r>
      <w:r>
        <w:rPr>
          <w:sz w:val="21"/>
        </w:rPr>
        <w:t>in</w:t>
      </w:r>
      <w:r>
        <w:rPr>
          <w:spacing w:val="-2"/>
          <w:sz w:val="21"/>
        </w:rPr>
        <w:t> </w:t>
      </w:r>
      <w:r>
        <w:rPr>
          <w:sz w:val="21"/>
        </w:rPr>
        <w:t>crisis.</w:t>
      </w:r>
      <w:r>
        <w:rPr>
          <w:spacing w:val="-2"/>
          <w:sz w:val="21"/>
        </w:rPr>
        <w:t> </w:t>
      </w:r>
      <w:r>
        <w:rPr>
          <w:sz w:val="21"/>
        </w:rPr>
        <w:t>Across</w:t>
      </w:r>
      <w:r>
        <w:rPr>
          <w:spacing w:val="-3"/>
          <w:sz w:val="21"/>
        </w:rPr>
        <w:t> </w:t>
      </w:r>
      <w:r>
        <w:rPr>
          <w:sz w:val="21"/>
        </w:rPr>
        <w:t>the</w:t>
      </w:r>
      <w:r>
        <w:rPr>
          <w:spacing w:val="-2"/>
          <w:sz w:val="21"/>
        </w:rPr>
        <w:t> </w:t>
      </w:r>
      <w:r>
        <w:rPr>
          <w:sz w:val="21"/>
        </w:rPr>
        <w:t>nation,</w:t>
      </w:r>
      <w:r>
        <w:rPr>
          <w:spacing w:val="-3"/>
          <w:sz w:val="21"/>
        </w:rPr>
        <w:t> </w:t>
      </w:r>
      <w:r>
        <w:rPr>
          <w:sz w:val="21"/>
        </w:rPr>
        <w:t>a</w:t>
      </w:r>
      <w:r>
        <w:rPr>
          <w:spacing w:val="-2"/>
          <w:sz w:val="21"/>
        </w:rPr>
        <w:t> </w:t>
      </w:r>
      <w:r>
        <w:rPr>
          <w:sz w:val="21"/>
        </w:rPr>
        <w:t>barrage</w:t>
      </w:r>
      <w:r>
        <w:rPr>
          <w:spacing w:val="-2"/>
          <w:sz w:val="21"/>
        </w:rPr>
        <w:t> </w:t>
      </w:r>
      <w:r>
        <w:rPr>
          <w:sz w:val="21"/>
        </w:rPr>
        <w:t>of anti-trans and racist policies have critically impacted youths’ well-being, with 90% of LGBTQ youth reporting that the anti-trans rhetoric is significantly impacting their mental health. Unfortunately, for years, access to affirming mental health care has been sparse, and 1 in 2 LGBTQ youth who wanted mental health care in Massachusetts</w:t>
      </w:r>
      <w:r>
        <w:rPr>
          <w:spacing w:val="-9"/>
          <w:sz w:val="21"/>
        </w:rPr>
        <w:t> </w:t>
      </w:r>
      <w:r>
        <w:rPr>
          <w:sz w:val="21"/>
        </w:rPr>
        <w:t>in</w:t>
      </w:r>
      <w:r>
        <w:rPr>
          <w:spacing w:val="-9"/>
          <w:sz w:val="21"/>
        </w:rPr>
        <w:t> </w:t>
      </w:r>
      <w:r>
        <w:rPr>
          <w:sz w:val="21"/>
        </w:rPr>
        <w:t>the</w:t>
      </w:r>
      <w:r>
        <w:rPr>
          <w:spacing w:val="-10"/>
          <w:sz w:val="21"/>
        </w:rPr>
        <w:t> </w:t>
      </w:r>
      <w:r>
        <w:rPr>
          <w:sz w:val="21"/>
        </w:rPr>
        <w:t>past</w:t>
      </w:r>
      <w:r>
        <w:rPr>
          <w:spacing w:val="-10"/>
          <w:sz w:val="21"/>
        </w:rPr>
        <w:t> </w:t>
      </w:r>
      <w:r>
        <w:rPr>
          <w:sz w:val="21"/>
        </w:rPr>
        <w:t>year</w:t>
      </w:r>
      <w:r>
        <w:rPr>
          <w:spacing w:val="-9"/>
          <w:sz w:val="21"/>
        </w:rPr>
        <w:t> </w:t>
      </w:r>
      <w:r>
        <w:rPr>
          <w:sz w:val="21"/>
        </w:rPr>
        <w:t>were</w:t>
      </w:r>
      <w:r>
        <w:rPr>
          <w:spacing w:val="-9"/>
          <w:sz w:val="21"/>
        </w:rPr>
        <w:t> </w:t>
      </w:r>
      <w:r>
        <w:rPr>
          <w:sz w:val="21"/>
        </w:rPr>
        <w:t>unable</w:t>
      </w:r>
      <w:r>
        <w:rPr>
          <w:spacing w:val="-9"/>
          <w:sz w:val="21"/>
        </w:rPr>
        <w:t> </w:t>
      </w:r>
      <w:r>
        <w:rPr>
          <w:sz w:val="21"/>
        </w:rPr>
        <w:t>to</w:t>
      </w:r>
      <w:r>
        <w:rPr>
          <w:spacing w:val="-9"/>
          <w:sz w:val="21"/>
        </w:rPr>
        <w:t> </w:t>
      </w:r>
      <w:r>
        <w:rPr>
          <w:sz w:val="21"/>
        </w:rPr>
        <w:t>access</w:t>
      </w:r>
      <w:r>
        <w:rPr>
          <w:spacing w:val="-9"/>
          <w:sz w:val="21"/>
        </w:rPr>
        <w:t> </w:t>
      </w:r>
      <w:r>
        <w:rPr>
          <w:sz w:val="21"/>
        </w:rPr>
        <w:t>care</w:t>
      </w:r>
      <w:hyperlink w:history="true" w:anchor="_bookmark634">
        <w:r>
          <w:rPr>
            <w:sz w:val="21"/>
          </w:rPr>
          <w:t>.</w:t>
        </w:r>
        <w:r>
          <w:rPr>
            <w:sz w:val="21"/>
            <w:vertAlign w:val="superscript"/>
          </w:rPr>
          <w:t>1</w:t>
        </w:r>
      </w:hyperlink>
      <w:r>
        <w:rPr>
          <w:spacing w:val="-9"/>
          <w:sz w:val="21"/>
          <w:vertAlign w:val="baseline"/>
        </w:rPr>
        <w:t> </w:t>
      </w:r>
      <w:r>
        <w:rPr>
          <w:sz w:val="21"/>
          <w:vertAlign w:val="baseline"/>
        </w:rPr>
        <w:t>The</w:t>
      </w:r>
      <w:r>
        <w:rPr>
          <w:spacing w:val="-9"/>
          <w:sz w:val="21"/>
          <w:vertAlign w:val="baseline"/>
        </w:rPr>
        <w:t> </w:t>
      </w:r>
      <w:r>
        <w:rPr>
          <w:sz w:val="21"/>
          <w:vertAlign w:val="baseline"/>
        </w:rPr>
        <w:t>Commission</w:t>
      </w:r>
      <w:r>
        <w:rPr>
          <w:spacing w:val="-9"/>
          <w:sz w:val="21"/>
          <w:vertAlign w:val="baseline"/>
        </w:rPr>
        <w:t> </w:t>
      </w:r>
      <w:r>
        <w:rPr>
          <w:sz w:val="21"/>
          <w:vertAlign w:val="baseline"/>
        </w:rPr>
        <w:t>is</w:t>
      </w:r>
      <w:r>
        <w:rPr>
          <w:spacing w:val="-9"/>
          <w:sz w:val="21"/>
          <w:vertAlign w:val="baseline"/>
        </w:rPr>
        <w:t> </w:t>
      </w:r>
      <w:r>
        <w:rPr>
          <w:sz w:val="21"/>
          <w:vertAlign w:val="baseline"/>
        </w:rPr>
        <w:t>incredibly</w:t>
      </w:r>
      <w:r>
        <w:rPr>
          <w:spacing w:val="-9"/>
          <w:sz w:val="21"/>
          <w:vertAlign w:val="baseline"/>
        </w:rPr>
        <w:t> </w:t>
      </w:r>
      <w:r>
        <w:rPr>
          <w:sz w:val="21"/>
          <w:vertAlign w:val="baseline"/>
        </w:rPr>
        <w:t>concerned</w:t>
      </w:r>
      <w:r>
        <w:rPr>
          <w:spacing w:val="-9"/>
          <w:sz w:val="21"/>
          <w:vertAlign w:val="baseline"/>
        </w:rPr>
        <w:t> </w:t>
      </w:r>
      <w:r>
        <w:rPr>
          <w:sz w:val="21"/>
          <w:vertAlign w:val="baseline"/>
        </w:rPr>
        <w:t>about</w:t>
      </w:r>
      <w:r>
        <w:rPr>
          <w:spacing w:val="-10"/>
          <w:sz w:val="21"/>
          <w:vertAlign w:val="baseline"/>
        </w:rPr>
        <w:t> </w:t>
      </w:r>
      <w:r>
        <w:rPr>
          <w:sz w:val="21"/>
          <w:vertAlign w:val="baseline"/>
        </w:rPr>
        <w:t>the state</w:t>
      </w:r>
      <w:r>
        <w:rPr>
          <w:spacing w:val="-7"/>
          <w:sz w:val="21"/>
          <w:vertAlign w:val="baseline"/>
        </w:rPr>
        <w:t> </w:t>
      </w:r>
      <w:r>
        <w:rPr>
          <w:sz w:val="21"/>
          <w:vertAlign w:val="baseline"/>
        </w:rPr>
        <w:t>of</w:t>
      </w:r>
      <w:r>
        <w:rPr>
          <w:spacing w:val="-7"/>
          <w:sz w:val="21"/>
          <w:vertAlign w:val="baseline"/>
        </w:rPr>
        <w:t> </w:t>
      </w:r>
      <w:r>
        <w:rPr>
          <w:sz w:val="21"/>
          <w:vertAlign w:val="baseline"/>
        </w:rPr>
        <w:t>well-being</w:t>
      </w:r>
      <w:r>
        <w:rPr>
          <w:spacing w:val="-7"/>
          <w:sz w:val="21"/>
          <w:vertAlign w:val="baseline"/>
        </w:rPr>
        <w:t> </w:t>
      </w:r>
      <w:r>
        <w:rPr>
          <w:sz w:val="21"/>
          <w:vertAlign w:val="baseline"/>
        </w:rPr>
        <w:t>for</w:t>
      </w:r>
      <w:r>
        <w:rPr>
          <w:spacing w:val="-7"/>
          <w:sz w:val="21"/>
          <w:vertAlign w:val="baseline"/>
        </w:rPr>
        <w:t> </w:t>
      </w:r>
      <w:r>
        <w:rPr>
          <w:sz w:val="21"/>
          <w:vertAlign w:val="baseline"/>
        </w:rPr>
        <w:t>youth</w:t>
      </w:r>
      <w:r>
        <w:rPr>
          <w:spacing w:val="-5"/>
          <w:sz w:val="21"/>
          <w:vertAlign w:val="baseline"/>
        </w:rPr>
        <w:t> </w:t>
      </w:r>
      <w:r>
        <w:rPr>
          <w:sz w:val="21"/>
          <w:vertAlign w:val="baseline"/>
        </w:rPr>
        <w:t>in</w:t>
      </w:r>
      <w:r>
        <w:rPr>
          <w:spacing w:val="-7"/>
          <w:sz w:val="21"/>
          <w:vertAlign w:val="baseline"/>
        </w:rPr>
        <w:t> </w:t>
      </w:r>
      <w:r>
        <w:rPr>
          <w:sz w:val="21"/>
          <w:vertAlign w:val="baseline"/>
        </w:rPr>
        <w:t>the</w:t>
      </w:r>
      <w:r>
        <w:rPr>
          <w:spacing w:val="-7"/>
          <w:sz w:val="21"/>
          <w:vertAlign w:val="baseline"/>
        </w:rPr>
        <w:t> </w:t>
      </w:r>
      <w:r>
        <w:rPr>
          <w:sz w:val="21"/>
          <w:vertAlign w:val="baseline"/>
        </w:rPr>
        <w:t>Commonwealth,</w:t>
      </w:r>
      <w:r>
        <w:rPr>
          <w:spacing w:val="-6"/>
          <w:sz w:val="21"/>
          <w:vertAlign w:val="baseline"/>
        </w:rPr>
        <w:t> </w:t>
      </w:r>
      <w:r>
        <w:rPr>
          <w:sz w:val="21"/>
          <w:vertAlign w:val="baseline"/>
        </w:rPr>
        <w:t>particularly</w:t>
      </w:r>
      <w:r>
        <w:rPr>
          <w:spacing w:val="-7"/>
          <w:sz w:val="21"/>
          <w:vertAlign w:val="baseline"/>
        </w:rPr>
        <w:t> </w:t>
      </w:r>
      <w:r>
        <w:rPr>
          <w:sz w:val="21"/>
          <w:vertAlign w:val="baseline"/>
        </w:rPr>
        <w:t>for</w:t>
      </w:r>
      <w:r>
        <w:rPr>
          <w:spacing w:val="-7"/>
          <w:sz w:val="21"/>
          <w:vertAlign w:val="baseline"/>
        </w:rPr>
        <w:t> </w:t>
      </w:r>
      <w:r>
        <w:rPr>
          <w:sz w:val="21"/>
          <w:vertAlign w:val="baseline"/>
        </w:rPr>
        <w:t>often</w:t>
      </w:r>
      <w:r>
        <w:rPr>
          <w:spacing w:val="-7"/>
          <w:sz w:val="21"/>
          <w:vertAlign w:val="baseline"/>
        </w:rPr>
        <w:t> </w:t>
      </w:r>
      <w:r>
        <w:rPr>
          <w:sz w:val="21"/>
          <w:vertAlign w:val="baseline"/>
        </w:rPr>
        <w:t>underserved</w:t>
      </w:r>
      <w:r>
        <w:rPr>
          <w:spacing w:val="-7"/>
          <w:sz w:val="21"/>
          <w:vertAlign w:val="baseline"/>
        </w:rPr>
        <w:t> </w:t>
      </w:r>
      <w:r>
        <w:rPr>
          <w:sz w:val="21"/>
          <w:vertAlign w:val="baseline"/>
        </w:rPr>
        <w:t>QTBIPOC</w:t>
      </w:r>
      <w:r>
        <w:rPr>
          <w:spacing w:val="-7"/>
          <w:sz w:val="21"/>
          <w:vertAlign w:val="baseline"/>
        </w:rPr>
        <w:t> </w:t>
      </w:r>
      <w:r>
        <w:rPr>
          <w:sz w:val="21"/>
          <w:vertAlign w:val="baseline"/>
        </w:rPr>
        <w:t>communities, and</w:t>
      </w:r>
      <w:r>
        <w:rPr>
          <w:spacing w:val="-12"/>
          <w:sz w:val="21"/>
          <w:vertAlign w:val="baseline"/>
        </w:rPr>
        <w:t> </w:t>
      </w:r>
      <w:r>
        <w:rPr>
          <w:sz w:val="21"/>
          <w:vertAlign w:val="baseline"/>
        </w:rPr>
        <w:t>youth</w:t>
      </w:r>
      <w:r>
        <w:rPr>
          <w:spacing w:val="-12"/>
          <w:sz w:val="21"/>
          <w:vertAlign w:val="baseline"/>
        </w:rPr>
        <w:t> </w:t>
      </w:r>
      <w:r>
        <w:rPr>
          <w:sz w:val="21"/>
          <w:vertAlign w:val="baseline"/>
        </w:rPr>
        <w:t>in</w:t>
      </w:r>
      <w:r>
        <w:rPr>
          <w:spacing w:val="-12"/>
          <w:sz w:val="21"/>
          <w:vertAlign w:val="baseline"/>
        </w:rPr>
        <w:t> </w:t>
      </w:r>
      <w:r>
        <w:rPr>
          <w:sz w:val="21"/>
          <w:vertAlign w:val="baseline"/>
        </w:rPr>
        <w:t>state</w:t>
      </w:r>
      <w:r>
        <w:rPr>
          <w:spacing w:val="-12"/>
          <w:sz w:val="21"/>
          <w:vertAlign w:val="baseline"/>
        </w:rPr>
        <w:t> </w:t>
      </w:r>
      <w:r>
        <w:rPr>
          <w:sz w:val="21"/>
          <w:vertAlign w:val="baseline"/>
        </w:rPr>
        <w:t>systems.</w:t>
      </w:r>
      <w:r>
        <w:rPr>
          <w:spacing w:val="-12"/>
          <w:sz w:val="21"/>
          <w:vertAlign w:val="baseline"/>
        </w:rPr>
        <w:t> </w:t>
      </w:r>
      <w:r>
        <w:rPr>
          <w:sz w:val="21"/>
          <w:vertAlign w:val="baseline"/>
        </w:rPr>
        <w:t>The</w:t>
      </w:r>
      <w:r>
        <w:rPr>
          <w:spacing w:val="-12"/>
          <w:sz w:val="21"/>
          <w:vertAlign w:val="baseline"/>
        </w:rPr>
        <w:t> </w:t>
      </w:r>
      <w:r>
        <w:rPr>
          <w:sz w:val="21"/>
          <w:vertAlign w:val="baseline"/>
        </w:rPr>
        <w:t>Commission</w:t>
      </w:r>
      <w:r>
        <w:rPr>
          <w:spacing w:val="-12"/>
          <w:sz w:val="21"/>
          <w:vertAlign w:val="baseline"/>
        </w:rPr>
        <w:t> </w:t>
      </w:r>
      <w:r>
        <w:rPr>
          <w:sz w:val="21"/>
          <w:vertAlign w:val="baseline"/>
        </w:rPr>
        <w:t>sincerely</w:t>
      </w:r>
      <w:r>
        <w:rPr>
          <w:spacing w:val="-11"/>
          <w:sz w:val="21"/>
          <w:vertAlign w:val="baseline"/>
        </w:rPr>
        <w:t> </w:t>
      </w:r>
      <w:r>
        <w:rPr>
          <w:sz w:val="21"/>
          <w:vertAlign w:val="baseline"/>
        </w:rPr>
        <w:t>appreciates</w:t>
      </w:r>
      <w:r>
        <w:rPr>
          <w:spacing w:val="-12"/>
          <w:sz w:val="21"/>
          <w:vertAlign w:val="baseline"/>
        </w:rPr>
        <w:t> </w:t>
      </w:r>
      <w:r>
        <w:rPr>
          <w:sz w:val="21"/>
          <w:vertAlign w:val="baseline"/>
        </w:rPr>
        <w:t>DMH’s</w:t>
      </w:r>
      <w:r>
        <w:rPr>
          <w:spacing w:val="-12"/>
          <w:sz w:val="21"/>
          <w:vertAlign w:val="baseline"/>
        </w:rPr>
        <w:t> </w:t>
      </w:r>
      <w:r>
        <w:rPr>
          <w:sz w:val="21"/>
          <w:vertAlign w:val="baseline"/>
        </w:rPr>
        <w:t>ongoing</w:t>
      </w:r>
      <w:r>
        <w:rPr>
          <w:spacing w:val="-12"/>
          <w:sz w:val="21"/>
          <w:vertAlign w:val="baseline"/>
        </w:rPr>
        <w:t> </w:t>
      </w:r>
      <w:r>
        <w:rPr>
          <w:sz w:val="21"/>
          <w:vertAlign w:val="baseline"/>
        </w:rPr>
        <w:t>commitment</w:t>
      </w:r>
      <w:r>
        <w:rPr>
          <w:spacing w:val="-12"/>
          <w:sz w:val="21"/>
          <w:vertAlign w:val="baseline"/>
        </w:rPr>
        <w:t> </w:t>
      </w:r>
      <w:r>
        <w:rPr>
          <w:sz w:val="21"/>
          <w:vertAlign w:val="baseline"/>
        </w:rPr>
        <w:t>to</w:t>
      </w:r>
      <w:r>
        <w:rPr>
          <w:spacing w:val="-12"/>
          <w:sz w:val="21"/>
          <w:vertAlign w:val="baseline"/>
        </w:rPr>
        <w:t> </w:t>
      </w:r>
      <w:r>
        <w:rPr>
          <w:sz w:val="21"/>
          <w:vertAlign w:val="baseline"/>
        </w:rPr>
        <w:t>offer</w:t>
      </w:r>
      <w:r>
        <w:rPr>
          <w:spacing w:val="-12"/>
          <w:sz w:val="21"/>
          <w:vertAlign w:val="baseline"/>
        </w:rPr>
        <w:t> </w:t>
      </w:r>
      <w:r>
        <w:rPr>
          <w:sz w:val="21"/>
          <w:vertAlign w:val="baseline"/>
        </w:rPr>
        <w:t>greater support</w:t>
      </w:r>
      <w:r>
        <w:rPr>
          <w:spacing w:val="-8"/>
          <w:sz w:val="21"/>
          <w:vertAlign w:val="baseline"/>
        </w:rPr>
        <w:t> </w:t>
      </w:r>
      <w:r>
        <w:rPr>
          <w:sz w:val="21"/>
          <w:vertAlign w:val="baseline"/>
        </w:rPr>
        <w:t>and</w:t>
      </w:r>
      <w:r>
        <w:rPr>
          <w:spacing w:val="-8"/>
          <w:sz w:val="21"/>
          <w:vertAlign w:val="baseline"/>
        </w:rPr>
        <w:t> </w:t>
      </w:r>
      <w:r>
        <w:rPr>
          <w:sz w:val="21"/>
          <w:vertAlign w:val="baseline"/>
        </w:rPr>
        <w:t>services</w:t>
      </w:r>
      <w:r>
        <w:rPr>
          <w:spacing w:val="-9"/>
          <w:sz w:val="21"/>
          <w:vertAlign w:val="baseline"/>
        </w:rPr>
        <w:t> </w:t>
      </w:r>
      <w:r>
        <w:rPr>
          <w:sz w:val="21"/>
          <w:vertAlign w:val="baseline"/>
        </w:rPr>
        <w:t>for</w:t>
      </w:r>
      <w:r>
        <w:rPr>
          <w:spacing w:val="-8"/>
          <w:sz w:val="21"/>
          <w:vertAlign w:val="baseline"/>
        </w:rPr>
        <w:t> </w:t>
      </w:r>
      <w:r>
        <w:rPr>
          <w:sz w:val="21"/>
          <w:vertAlign w:val="baseline"/>
        </w:rPr>
        <w:t>LGBTQ</w:t>
      </w:r>
      <w:r>
        <w:rPr>
          <w:spacing w:val="-8"/>
          <w:sz w:val="21"/>
          <w:vertAlign w:val="baseline"/>
        </w:rPr>
        <w:t> </w:t>
      </w:r>
      <w:r>
        <w:rPr>
          <w:sz w:val="21"/>
          <w:vertAlign w:val="baseline"/>
        </w:rPr>
        <w:t>communities</w:t>
      </w:r>
      <w:r>
        <w:rPr>
          <w:spacing w:val="-8"/>
          <w:sz w:val="21"/>
          <w:vertAlign w:val="baseline"/>
        </w:rPr>
        <w:t> </w:t>
      </w:r>
      <w:r>
        <w:rPr>
          <w:sz w:val="21"/>
          <w:vertAlign w:val="baseline"/>
        </w:rPr>
        <w:t>across</w:t>
      </w:r>
      <w:r>
        <w:rPr>
          <w:spacing w:val="-8"/>
          <w:sz w:val="21"/>
          <w:vertAlign w:val="baseline"/>
        </w:rPr>
        <w:t> </w:t>
      </w:r>
      <w:r>
        <w:rPr>
          <w:sz w:val="21"/>
          <w:vertAlign w:val="baseline"/>
        </w:rPr>
        <w:t>the</w:t>
      </w:r>
      <w:r>
        <w:rPr>
          <w:spacing w:val="-7"/>
          <w:sz w:val="21"/>
          <w:vertAlign w:val="baseline"/>
        </w:rPr>
        <w:t> </w:t>
      </w:r>
      <w:r>
        <w:rPr>
          <w:sz w:val="21"/>
          <w:vertAlign w:val="baseline"/>
        </w:rPr>
        <w:t>state</w:t>
      </w:r>
      <w:r>
        <w:rPr>
          <w:spacing w:val="-8"/>
          <w:sz w:val="21"/>
          <w:vertAlign w:val="baseline"/>
        </w:rPr>
        <w:t> </w:t>
      </w:r>
      <w:r>
        <w:rPr>
          <w:sz w:val="21"/>
          <w:vertAlign w:val="baseline"/>
        </w:rPr>
        <w:t>and</w:t>
      </w:r>
      <w:r>
        <w:rPr>
          <w:spacing w:val="-8"/>
          <w:sz w:val="21"/>
          <w:vertAlign w:val="baseline"/>
        </w:rPr>
        <w:t> </w:t>
      </w:r>
      <w:r>
        <w:rPr>
          <w:sz w:val="21"/>
          <w:vertAlign w:val="baseline"/>
        </w:rPr>
        <w:t>looks</w:t>
      </w:r>
      <w:r>
        <w:rPr>
          <w:spacing w:val="-8"/>
          <w:sz w:val="21"/>
          <w:vertAlign w:val="baseline"/>
        </w:rPr>
        <w:t> </w:t>
      </w:r>
      <w:r>
        <w:rPr>
          <w:sz w:val="21"/>
          <w:vertAlign w:val="baseline"/>
        </w:rPr>
        <w:t>forward</w:t>
      </w:r>
      <w:r>
        <w:rPr>
          <w:spacing w:val="-8"/>
          <w:sz w:val="21"/>
          <w:vertAlign w:val="baseline"/>
        </w:rPr>
        <w:t> </w:t>
      </w:r>
      <w:r>
        <w:rPr>
          <w:sz w:val="21"/>
          <w:vertAlign w:val="baseline"/>
        </w:rPr>
        <w:t>to</w:t>
      </w:r>
      <w:r>
        <w:rPr>
          <w:spacing w:val="-8"/>
          <w:sz w:val="21"/>
          <w:vertAlign w:val="baseline"/>
        </w:rPr>
        <w:t> </w:t>
      </w:r>
      <w:r>
        <w:rPr>
          <w:sz w:val="21"/>
          <w:vertAlign w:val="baseline"/>
        </w:rPr>
        <w:t>continuing</w:t>
      </w:r>
      <w:r>
        <w:rPr>
          <w:spacing w:val="-8"/>
          <w:sz w:val="21"/>
          <w:vertAlign w:val="baseline"/>
        </w:rPr>
        <w:t> </w:t>
      </w:r>
      <w:r>
        <w:rPr>
          <w:sz w:val="21"/>
          <w:vertAlign w:val="baseline"/>
        </w:rPr>
        <w:t>its</w:t>
      </w:r>
      <w:r>
        <w:rPr>
          <w:spacing w:val="-9"/>
          <w:sz w:val="21"/>
          <w:vertAlign w:val="baseline"/>
        </w:rPr>
        <w:t> </w:t>
      </w:r>
      <w:r>
        <w:rPr>
          <w:sz w:val="21"/>
          <w:vertAlign w:val="baseline"/>
        </w:rPr>
        <w:t>collaboration in FY 2025.</w:t>
      </w:r>
    </w:p>
    <w:p>
      <w:pPr>
        <w:spacing w:after="0" w:line="276" w:lineRule="auto"/>
        <w:jc w:val="both"/>
        <w:rPr>
          <w:sz w:val="21"/>
        </w:rPr>
        <w:sectPr>
          <w:headerReference w:type="default" r:id="rId739"/>
          <w:footerReference w:type="default" r:id="rId740"/>
          <w:pgSz w:w="12240" w:h="15840"/>
          <w:pgMar w:header="804" w:footer="1263" w:top="1000" w:bottom="1460" w:left="960" w:right="1100"/>
        </w:sectPr>
      </w:pPr>
    </w:p>
    <w:p>
      <w:pPr>
        <w:pStyle w:val="BodyText"/>
        <w:spacing w:before="72"/>
        <w:rPr>
          <w:sz w:val="24"/>
        </w:rPr>
      </w:pPr>
    </w:p>
    <w:p>
      <w:pPr>
        <w:spacing w:before="1"/>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spacing w:line="276" w:lineRule="auto" w:before="285"/>
        <w:ind w:left="483" w:right="341" w:firstLine="0"/>
        <w:jc w:val="both"/>
        <w:rPr>
          <w:sz w:val="21"/>
        </w:rPr>
      </w:pPr>
      <w:r>
        <w:rPr>
          <w:sz w:val="21"/>
        </w:rPr>
        <w:t>In 2014, former DMH Commissioner Fowler identified LGBTQ individuals as a population needing priority attention,</w:t>
      </w:r>
      <w:r>
        <w:rPr>
          <w:spacing w:val="-4"/>
          <w:sz w:val="21"/>
        </w:rPr>
        <w:t> </w:t>
      </w:r>
      <w:r>
        <w:rPr>
          <w:sz w:val="21"/>
        </w:rPr>
        <w:t>leading</w:t>
      </w:r>
      <w:r>
        <w:rPr>
          <w:spacing w:val="-4"/>
          <w:sz w:val="21"/>
        </w:rPr>
        <w:t> </w:t>
      </w:r>
      <w:r>
        <w:rPr>
          <w:sz w:val="21"/>
        </w:rPr>
        <w:t>to</w:t>
      </w:r>
      <w:r>
        <w:rPr>
          <w:spacing w:val="-3"/>
          <w:sz w:val="21"/>
        </w:rPr>
        <w:t> </w:t>
      </w:r>
      <w:r>
        <w:rPr>
          <w:sz w:val="21"/>
        </w:rPr>
        <w:t>a</w:t>
      </w:r>
      <w:r>
        <w:rPr>
          <w:spacing w:val="-4"/>
          <w:sz w:val="21"/>
        </w:rPr>
        <w:t> </w:t>
      </w:r>
      <w:r>
        <w:rPr>
          <w:sz w:val="21"/>
        </w:rPr>
        <w:t>wide</w:t>
      </w:r>
      <w:r>
        <w:rPr>
          <w:spacing w:val="-4"/>
          <w:sz w:val="21"/>
        </w:rPr>
        <w:t> </w:t>
      </w:r>
      <w:r>
        <w:rPr>
          <w:sz w:val="21"/>
        </w:rPr>
        <w:t>array</w:t>
      </w:r>
      <w:r>
        <w:rPr>
          <w:spacing w:val="-3"/>
          <w:sz w:val="21"/>
        </w:rPr>
        <w:t> </w:t>
      </w:r>
      <w:r>
        <w:rPr>
          <w:sz w:val="21"/>
        </w:rPr>
        <w:t>of</w:t>
      </w:r>
      <w:r>
        <w:rPr>
          <w:spacing w:val="-4"/>
          <w:sz w:val="21"/>
        </w:rPr>
        <w:t> </w:t>
      </w:r>
      <w:r>
        <w:rPr>
          <w:sz w:val="21"/>
        </w:rPr>
        <w:t>service</w:t>
      </w:r>
      <w:r>
        <w:rPr>
          <w:spacing w:val="-3"/>
          <w:sz w:val="21"/>
        </w:rPr>
        <w:t> </w:t>
      </w:r>
      <w:r>
        <w:rPr>
          <w:sz w:val="21"/>
        </w:rPr>
        <w:t>improvements</w:t>
      </w:r>
      <w:r>
        <w:rPr>
          <w:spacing w:val="-4"/>
          <w:sz w:val="21"/>
        </w:rPr>
        <w:t> </w:t>
      </w:r>
      <w:r>
        <w:rPr>
          <w:sz w:val="21"/>
        </w:rPr>
        <w:t>to</w:t>
      </w:r>
      <w:r>
        <w:rPr>
          <w:spacing w:val="-5"/>
          <w:sz w:val="21"/>
        </w:rPr>
        <w:t> </w:t>
      </w:r>
      <w:r>
        <w:rPr>
          <w:sz w:val="21"/>
        </w:rPr>
        <w:t>address</w:t>
      </w:r>
      <w:r>
        <w:rPr>
          <w:spacing w:val="-4"/>
          <w:sz w:val="21"/>
        </w:rPr>
        <w:t> </w:t>
      </w:r>
      <w:r>
        <w:rPr>
          <w:sz w:val="21"/>
        </w:rPr>
        <w:t>the</w:t>
      </w:r>
      <w:r>
        <w:rPr>
          <w:spacing w:val="-4"/>
          <w:sz w:val="21"/>
        </w:rPr>
        <w:t> </w:t>
      </w:r>
      <w:r>
        <w:rPr>
          <w:sz w:val="21"/>
        </w:rPr>
        <w:t>unique</w:t>
      </w:r>
      <w:r>
        <w:rPr>
          <w:spacing w:val="-3"/>
          <w:sz w:val="21"/>
        </w:rPr>
        <w:t> </w:t>
      </w:r>
      <w:r>
        <w:rPr>
          <w:sz w:val="21"/>
        </w:rPr>
        <w:t>needs</w:t>
      </w:r>
      <w:r>
        <w:rPr>
          <w:spacing w:val="-4"/>
          <w:sz w:val="21"/>
        </w:rPr>
        <w:t> </w:t>
      </w:r>
      <w:r>
        <w:rPr>
          <w:sz w:val="21"/>
        </w:rPr>
        <w:t>often</w:t>
      </w:r>
      <w:r>
        <w:rPr>
          <w:spacing w:val="-3"/>
          <w:sz w:val="21"/>
        </w:rPr>
        <w:t> </w:t>
      </w:r>
      <w:r>
        <w:rPr>
          <w:sz w:val="21"/>
        </w:rPr>
        <w:t>faced</w:t>
      </w:r>
      <w:r>
        <w:rPr>
          <w:spacing w:val="-3"/>
          <w:sz w:val="21"/>
        </w:rPr>
        <w:t> </w:t>
      </w:r>
      <w:r>
        <w:rPr>
          <w:sz w:val="21"/>
        </w:rPr>
        <w:t>by</w:t>
      </w:r>
      <w:r>
        <w:rPr>
          <w:spacing w:val="-5"/>
          <w:sz w:val="21"/>
        </w:rPr>
        <w:t> </w:t>
      </w:r>
      <w:r>
        <w:rPr>
          <w:sz w:val="21"/>
        </w:rPr>
        <w:t>LGBTQ youth.</w:t>
      </w:r>
      <w:r>
        <w:rPr>
          <w:spacing w:val="-12"/>
          <w:sz w:val="21"/>
        </w:rPr>
        <w:t> </w:t>
      </w:r>
      <w:r>
        <w:rPr>
          <w:sz w:val="21"/>
        </w:rPr>
        <w:t>Over</w:t>
      </w:r>
      <w:r>
        <w:rPr>
          <w:spacing w:val="-12"/>
          <w:sz w:val="21"/>
        </w:rPr>
        <w:t> </w:t>
      </w:r>
      <w:r>
        <w:rPr>
          <w:sz w:val="21"/>
        </w:rPr>
        <w:t>the</w:t>
      </w:r>
      <w:r>
        <w:rPr>
          <w:spacing w:val="-12"/>
          <w:sz w:val="21"/>
        </w:rPr>
        <w:t> </w:t>
      </w:r>
      <w:r>
        <w:rPr>
          <w:sz w:val="21"/>
        </w:rPr>
        <w:t>past</w:t>
      </w:r>
      <w:r>
        <w:rPr>
          <w:spacing w:val="-12"/>
          <w:sz w:val="21"/>
        </w:rPr>
        <w:t> </w:t>
      </w:r>
      <w:r>
        <w:rPr>
          <w:sz w:val="21"/>
        </w:rPr>
        <w:t>few</w:t>
      </w:r>
      <w:r>
        <w:rPr>
          <w:spacing w:val="-12"/>
          <w:sz w:val="21"/>
        </w:rPr>
        <w:t> </w:t>
      </w:r>
      <w:r>
        <w:rPr>
          <w:sz w:val="21"/>
        </w:rPr>
        <w:t>years,</w:t>
      </w:r>
      <w:r>
        <w:rPr>
          <w:spacing w:val="-12"/>
          <w:sz w:val="21"/>
        </w:rPr>
        <w:t> </w:t>
      </w:r>
      <w:r>
        <w:rPr>
          <w:sz w:val="21"/>
        </w:rPr>
        <w:t>DMH</w:t>
      </w:r>
      <w:r>
        <w:rPr>
          <w:spacing w:val="-12"/>
          <w:sz w:val="21"/>
        </w:rPr>
        <w:t> </w:t>
      </w:r>
      <w:r>
        <w:rPr>
          <w:sz w:val="21"/>
        </w:rPr>
        <w:t>has</w:t>
      </w:r>
      <w:r>
        <w:rPr>
          <w:spacing w:val="-11"/>
          <w:sz w:val="21"/>
        </w:rPr>
        <w:t> </w:t>
      </w:r>
      <w:r>
        <w:rPr>
          <w:sz w:val="21"/>
        </w:rPr>
        <w:t>conducted</w:t>
      </w:r>
      <w:r>
        <w:rPr>
          <w:spacing w:val="-12"/>
          <w:sz w:val="21"/>
        </w:rPr>
        <w:t> </w:t>
      </w:r>
      <w:r>
        <w:rPr>
          <w:sz w:val="21"/>
        </w:rPr>
        <w:t>several</w:t>
      </w:r>
      <w:r>
        <w:rPr>
          <w:spacing w:val="-12"/>
          <w:sz w:val="21"/>
        </w:rPr>
        <w:t> </w:t>
      </w:r>
      <w:r>
        <w:rPr>
          <w:sz w:val="21"/>
        </w:rPr>
        <w:t>needs</w:t>
      </w:r>
      <w:r>
        <w:rPr>
          <w:spacing w:val="-12"/>
          <w:sz w:val="21"/>
        </w:rPr>
        <w:t> </w:t>
      </w:r>
      <w:r>
        <w:rPr>
          <w:sz w:val="21"/>
        </w:rPr>
        <w:t>assessments,</w:t>
      </w:r>
      <w:r>
        <w:rPr>
          <w:spacing w:val="-12"/>
          <w:sz w:val="21"/>
        </w:rPr>
        <w:t> </w:t>
      </w:r>
      <w:r>
        <w:rPr>
          <w:sz w:val="21"/>
        </w:rPr>
        <w:t>and</w:t>
      </w:r>
      <w:r>
        <w:rPr>
          <w:spacing w:val="-12"/>
          <w:sz w:val="21"/>
        </w:rPr>
        <w:t> </w:t>
      </w:r>
      <w:r>
        <w:rPr>
          <w:sz w:val="21"/>
        </w:rPr>
        <w:t>has</w:t>
      </w:r>
      <w:r>
        <w:rPr>
          <w:spacing w:val="-12"/>
          <w:sz w:val="21"/>
        </w:rPr>
        <w:t> </w:t>
      </w:r>
      <w:r>
        <w:rPr>
          <w:sz w:val="21"/>
        </w:rPr>
        <w:t>identified</w:t>
      </w:r>
      <w:r>
        <w:rPr>
          <w:spacing w:val="-12"/>
          <w:sz w:val="21"/>
        </w:rPr>
        <w:t> </w:t>
      </w:r>
      <w:r>
        <w:rPr>
          <w:sz w:val="21"/>
        </w:rPr>
        <w:t>areas</w:t>
      </w:r>
      <w:r>
        <w:rPr>
          <w:spacing w:val="-11"/>
          <w:sz w:val="21"/>
        </w:rPr>
        <w:t> </w:t>
      </w:r>
      <w:r>
        <w:rPr>
          <w:sz w:val="21"/>
        </w:rPr>
        <w:t>where its services and support are strongest and other areas where DMH employees need further training and </w:t>
      </w:r>
      <w:r>
        <w:rPr>
          <w:spacing w:val="-2"/>
          <w:sz w:val="21"/>
        </w:rPr>
        <w:t>assistance.</w:t>
      </w:r>
    </w:p>
    <w:p>
      <w:pPr>
        <w:spacing w:line="276" w:lineRule="auto" w:before="240"/>
        <w:ind w:left="483" w:right="339" w:firstLine="0"/>
        <w:jc w:val="both"/>
        <w:rPr>
          <w:sz w:val="21"/>
        </w:rPr>
      </w:pPr>
      <w:r>
        <w:rPr>
          <w:sz w:val="21"/>
        </w:rPr>
        <w:t>In</w:t>
      </w:r>
      <w:r>
        <w:rPr>
          <w:spacing w:val="-4"/>
          <w:sz w:val="21"/>
        </w:rPr>
        <w:t> </w:t>
      </w:r>
      <w:r>
        <w:rPr>
          <w:sz w:val="21"/>
        </w:rPr>
        <w:t>2021,</w:t>
      </w:r>
      <w:r>
        <w:rPr>
          <w:spacing w:val="-4"/>
          <w:sz w:val="21"/>
        </w:rPr>
        <w:t> </w:t>
      </w:r>
      <w:r>
        <w:rPr>
          <w:sz w:val="21"/>
        </w:rPr>
        <w:t>DMH</w:t>
      </w:r>
      <w:r>
        <w:rPr>
          <w:spacing w:val="-4"/>
          <w:sz w:val="21"/>
        </w:rPr>
        <w:t> </w:t>
      </w:r>
      <w:r>
        <w:rPr>
          <w:sz w:val="21"/>
        </w:rPr>
        <w:t>released</w:t>
      </w:r>
      <w:r>
        <w:rPr>
          <w:spacing w:val="-4"/>
          <w:sz w:val="21"/>
        </w:rPr>
        <w:t> </w:t>
      </w:r>
      <w:r>
        <w:rPr>
          <w:sz w:val="21"/>
        </w:rPr>
        <w:t>a</w:t>
      </w:r>
      <w:r>
        <w:rPr>
          <w:spacing w:val="-4"/>
          <w:sz w:val="21"/>
        </w:rPr>
        <w:t> </w:t>
      </w:r>
      <w:r>
        <w:rPr>
          <w:sz w:val="21"/>
        </w:rPr>
        <w:t>comprehensive</w:t>
      </w:r>
      <w:r>
        <w:rPr>
          <w:spacing w:val="-4"/>
          <w:sz w:val="21"/>
        </w:rPr>
        <w:t> </w:t>
      </w:r>
      <w:r>
        <w:rPr>
          <w:sz w:val="21"/>
        </w:rPr>
        <w:t>nondiscrimination</w:t>
      </w:r>
      <w:r>
        <w:rPr>
          <w:spacing w:val="-4"/>
          <w:sz w:val="21"/>
        </w:rPr>
        <w:t> </w:t>
      </w:r>
      <w:r>
        <w:rPr>
          <w:sz w:val="21"/>
        </w:rPr>
        <w:t>policy</w:t>
      </w:r>
      <w:r>
        <w:rPr>
          <w:spacing w:val="-4"/>
          <w:sz w:val="21"/>
        </w:rPr>
        <w:t> </w:t>
      </w:r>
      <w:r>
        <w:rPr>
          <w:sz w:val="21"/>
        </w:rPr>
        <w:t>and</w:t>
      </w:r>
      <w:r>
        <w:rPr>
          <w:spacing w:val="-4"/>
          <w:sz w:val="21"/>
        </w:rPr>
        <w:t> </w:t>
      </w:r>
      <w:r>
        <w:rPr>
          <w:sz w:val="21"/>
        </w:rPr>
        <w:t>accompanying</w:t>
      </w:r>
      <w:r>
        <w:rPr>
          <w:spacing w:val="-4"/>
          <w:sz w:val="21"/>
        </w:rPr>
        <w:t> </w:t>
      </w:r>
      <w:r>
        <w:rPr>
          <w:sz w:val="21"/>
        </w:rPr>
        <w:t>guidance,</w:t>
      </w:r>
      <w:r>
        <w:rPr>
          <w:spacing w:val="-4"/>
          <w:sz w:val="21"/>
        </w:rPr>
        <w:t> </w:t>
      </w:r>
      <w:r>
        <w:rPr>
          <w:sz w:val="21"/>
        </w:rPr>
        <w:t>and</w:t>
      </w:r>
      <w:r>
        <w:rPr>
          <w:spacing w:val="-4"/>
          <w:sz w:val="21"/>
        </w:rPr>
        <w:t> </w:t>
      </w:r>
      <w:r>
        <w:rPr>
          <w:sz w:val="21"/>
        </w:rPr>
        <w:t>has</w:t>
      </w:r>
      <w:r>
        <w:rPr>
          <w:spacing w:val="-4"/>
          <w:sz w:val="21"/>
        </w:rPr>
        <w:t> </w:t>
      </w:r>
      <w:r>
        <w:rPr>
          <w:sz w:val="21"/>
        </w:rPr>
        <w:t>made significant progress in training their providers on LGBTQ cultural awareness, fulfilling previous Commission recommendations. In FY 2023, the Commission and DMH have continued to engage in conversations around training - noting that DMH holds high compliance rates among its staff at all area levels, with exception of somewhat lower compliance</w:t>
      </w:r>
      <w:r>
        <w:rPr>
          <w:spacing w:val="-1"/>
          <w:sz w:val="21"/>
        </w:rPr>
        <w:t> </w:t>
      </w:r>
      <w:r>
        <w:rPr>
          <w:sz w:val="21"/>
        </w:rPr>
        <w:t>rates</w:t>
      </w:r>
      <w:r>
        <w:rPr>
          <w:spacing w:val="-2"/>
          <w:sz w:val="21"/>
        </w:rPr>
        <w:t> </w:t>
      </w:r>
      <w:r>
        <w:rPr>
          <w:sz w:val="21"/>
        </w:rPr>
        <w:t>for overnight staff.</w:t>
      </w:r>
      <w:r>
        <w:rPr>
          <w:spacing w:val="-2"/>
          <w:sz w:val="21"/>
        </w:rPr>
        <w:t> </w:t>
      </w:r>
      <w:r>
        <w:rPr>
          <w:sz w:val="21"/>
        </w:rPr>
        <w:t>DMH</w:t>
      </w:r>
      <w:r>
        <w:rPr>
          <w:spacing w:val="-2"/>
          <w:sz w:val="21"/>
        </w:rPr>
        <w:t> </w:t>
      </w:r>
      <w:r>
        <w:rPr>
          <w:sz w:val="21"/>
        </w:rPr>
        <w:t>and</w:t>
      </w:r>
      <w:r>
        <w:rPr>
          <w:spacing w:val="-2"/>
          <w:sz w:val="21"/>
        </w:rPr>
        <w:t> </w:t>
      </w:r>
      <w:r>
        <w:rPr>
          <w:sz w:val="21"/>
        </w:rPr>
        <w:t>the</w:t>
      </w:r>
      <w:r>
        <w:rPr>
          <w:spacing w:val="-3"/>
          <w:sz w:val="21"/>
        </w:rPr>
        <w:t> </w:t>
      </w:r>
      <w:r>
        <w:rPr>
          <w:sz w:val="21"/>
        </w:rPr>
        <w:t>Commission</w:t>
      </w:r>
      <w:r>
        <w:rPr>
          <w:spacing w:val="-1"/>
          <w:sz w:val="21"/>
        </w:rPr>
        <w:t> </w:t>
      </w:r>
      <w:r>
        <w:rPr>
          <w:sz w:val="21"/>
        </w:rPr>
        <w:t>hope</w:t>
      </w:r>
      <w:r>
        <w:rPr>
          <w:spacing w:val="-1"/>
          <w:sz w:val="21"/>
        </w:rPr>
        <w:t> </w:t>
      </w:r>
      <w:r>
        <w:rPr>
          <w:sz w:val="21"/>
        </w:rPr>
        <w:t>to</w:t>
      </w:r>
      <w:r>
        <w:rPr>
          <w:spacing w:val="-1"/>
          <w:sz w:val="21"/>
        </w:rPr>
        <w:t> </w:t>
      </w:r>
      <w:r>
        <w:rPr>
          <w:sz w:val="21"/>
        </w:rPr>
        <w:t>partner through</w:t>
      </w:r>
      <w:r>
        <w:rPr>
          <w:spacing w:val="-2"/>
          <w:sz w:val="21"/>
        </w:rPr>
        <w:t> </w:t>
      </w:r>
      <w:r>
        <w:rPr>
          <w:sz w:val="21"/>
        </w:rPr>
        <w:t>the Commission’s agency training system to help support trainings for overnight staff in FY 2025.</w:t>
      </w:r>
    </w:p>
    <w:p>
      <w:pPr>
        <w:spacing w:line="276" w:lineRule="auto" w:before="240"/>
        <w:ind w:left="483" w:right="338" w:firstLine="0"/>
        <w:jc w:val="both"/>
        <w:rPr>
          <w:sz w:val="21"/>
        </w:rPr>
      </w:pPr>
      <w:r>
        <w:rPr>
          <w:sz w:val="21"/>
        </w:rPr>
        <w:t>In early 2023, DMH’s new </w:t>
      </w:r>
      <w:hyperlink r:id="rId741">
        <w:r>
          <w:rPr>
            <w:color w:val="1153CC"/>
            <w:sz w:val="21"/>
            <w:u w:val="single" w:color="1153CC"/>
          </w:rPr>
          <w:t>24/7 behavioral health helpline</w:t>
        </w:r>
      </w:hyperlink>
      <w:r>
        <w:rPr>
          <w:color w:val="1153CC"/>
          <w:sz w:val="21"/>
          <w:u w:val="none"/>
        </w:rPr>
        <w:t> </w:t>
      </w:r>
      <w:r>
        <w:rPr>
          <w:sz w:val="21"/>
          <w:u w:val="none"/>
        </w:rPr>
        <w:t>which works to provide free, confidential, and accessible support for individuals seeking clinical help. The Commission appreciates DMH’s explicit commitment to ensuring that the helpline provides affirming services for individuals who identify as LGBTQ, BIPOC, and/or Deaf and hard of hearing, as well as individuals with disabilities or who have limited English proficiency.</w:t>
      </w:r>
      <w:r>
        <w:rPr>
          <w:spacing w:val="-12"/>
          <w:sz w:val="21"/>
          <w:u w:val="none"/>
        </w:rPr>
        <w:t> </w:t>
      </w:r>
      <w:r>
        <w:rPr>
          <w:sz w:val="21"/>
          <w:u w:val="none"/>
        </w:rPr>
        <w:t>Additionally,</w:t>
      </w:r>
      <w:r>
        <w:rPr>
          <w:spacing w:val="-12"/>
          <w:sz w:val="21"/>
          <w:u w:val="none"/>
        </w:rPr>
        <w:t> </w:t>
      </w:r>
      <w:r>
        <w:rPr>
          <w:sz w:val="21"/>
          <w:u w:val="none"/>
        </w:rPr>
        <w:t>DMH</w:t>
      </w:r>
      <w:r>
        <w:rPr>
          <w:spacing w:val="-12"/>
          <w:sz w:val="21"/>
          <w:u w:val="none"/>
        </w:rPr>
        <w:t> </w:t>
      </w:r>
      <w:r>
        <w:rPr>
          <w:sz w:val="21"/>
          <w:u w:val="none"/>
        </w:rPr>
        <w:t>supports</w:t>
      </w:r>
      <w:r>
        <w:rPr>
          <w:spacing w:val="-12"/>
          <w:sz w:val="21"/>
          <w:u w:val="none"/>
        </w:rPr>
        <w:t> </w:t>
      </w:r>
      <w:r>
        <w:rPr>
          <w:sz w:val="21"/>
          <w:u w:val="none"/>
        </w:rPr>
        <w:t>a</w:t>
      </w:r>
      <w:r>
        <w:rPr>
          <w:spacing w:val="-12"/>
          <w:sz w:val="21"/>
          <w:u w:val="none"/>
        </w:rPr>
        <w:t> </w:t>
      </w:r>
      <w:r>
        <w:rPr>
          <w:sz w:val="21"/>
          <w:u w:val="none"/>
        </w:rPr>
        <w:t>wide</w:t>
      </w:r>
      <w:r>
        <w:rPr>
          <w:spacing w:val="-12"/>
          <w:sz w:val="21"/>
          <w:u w:val="none"/>
        </w:rPr>
        <w:t> </w:t>
      </w:r>
      <w:r>
        <w:rPr>
          <w:sz w:val="21"/>
          <w:u w:val="none"/>
        </w:rPr>
        <w:t>array</w:t>
      </w:r>
      <w:r>
        <w:rPr>
          <w:spacing w:val="-12"/>
          <w:sz w:val="21"/>
          <w:u w:val="none"/>
        </w:rPr>
        <w:t> </w:t>
      </w:r>
      <w:r>
        <w:rPr>
          <w:sz w:val="21"/>
          <w:u w:val="none"/>
        </w:rPr>
        <w:t>of</w:t>
      </w:r>
      <w:r>
        <w:rPr>
          <w:spacing w:val="-11"/>
          <w:sz w:val="21"/>
          <w:u w:val="none"/>
        </w:rPr>
        <w:t> </w:t>
      </w:r>
      <w:r>
        <w:rPr>
          <w:sz w:val="21"/>
          <w:u w:val="none"/>
        </w:rPr>
        <w:t>community</w:t>
      </w:r>
      <w:r>
        <w:rPr>
          <w:spacing w:val="-12"/>
          <w:sz w:val="21"/>
          <w:u w:val="none"/>
        </w:rPr>
        <w:t> </w:t>
      </w:r>
      <w:r>
        <w:rPr>
          <w:sz w:val="21"/>
          <w:u w:val="none"/>
        </w:rPr>
        <w:t>behavioral</w:t>
      </w:r>
      <w:r>
        <w:rPr>
          <w:spacing w:val="-12"/>
          <w:sz w:val="21"/>
          <w:u w:val="none"/>
        </w:rPr>
        <w:t> </w:t>
      </w:r>
      <w:r>
        <w:rPr>
          <w:sz w:val="21"/>
          <w:u w:val="none"/>
        </w:rPr>
        <w:t>health</w:t>
      </w:r>
      <w:r>
        <w:rPr>
          <w:spacing w:val="-12"/>
          <w:sz w:val="21"/>
          <w:u w:val="none"/>
        </w:rPr>
        <w:t> </w:t>
      </w:r>
      <w:r>
        <w:rPr>
          <w:sz w:val="21"/>
          <w:u w:val="none"/>
        </w:rPr>
        <w:t>centers</w:t>
      </w:r>
      <w:r>
        <w:rPr>
          <w:spacing w:val="-12"/>
          <w:sz w:val="21"/>
          <w:u w:val="none"/>
        </w:rPr>
        <w:t> </w:t>
      </w:r>
      <w:r>
        <w:rPr>
          <w:sz w:val="21"/>
          <w:u w:val="none"/>
        </w:rPr>
        <w:t>that</w:t>
      </w:r>
      <w:r>
        <w:rPr>
          <w:spacing w:val="-11"/>
          <w:sz w:val="21"/>
          <w:u w:val="none"/>
        </w:rPr>
        <w:t> </w:t>
      </w:r>
      <w:r>
        <w:rPr>
          <w:sz w:val="21"/>
          <w:u w:val="none"/>
        </w:rPr>
        <w:t>provide</w:t>
      </w:r>
      <w:r>
        <w:rPr>
          <w:spacing w:val="-12"/>
          <w:sz w:val="21"/>
          <w:u w:val="none"/>
        </w:rPr>
        <w:t> </w:t>
      </w:r>
      <w:r>
        <w:rPr>
          <w:sz w:val="21"/>
          <w:u w:val="none"/>
        </w:rPr>
        <w:t>core clinic services, crisis services, and adult and youth community crisis stabilization services across the state.</w:t>
      </w:r>
    </w:p>
    <w:p>
      <w:pPr>
        <w:spacing w:line="276" w:lineRule="auto" w:before="239"/>
        <w:ind w:left="483" w:right="341" w:firstLine="0"/>
        <w:jc w:val="both"/>
        <w:rPr>
          <w:sz w:val="21"/>
        </w:rPr>
      </w:pPr>
      <w:r>
        <w:rPr>
          <w:sz w:val="21"/>
        </w:rPr>
        <w:t>Furthermore,</w:t>
      </w:r>
      <w:r>
        <w:rPr>
          <w:spacing w:val="-3"/>
          <w:sz w:val="21"/>
        </w:rPr>
        <w:t> </w:t>
      </w:r>
      <w:r>
        <w:rPr>
          <w:sz w:val="21"/>
        </w:rPr>
        <w:t>DMH</w:t>
      </w:r>
      <w:r>
        <w:rPr>
          <w:spacing w:val="-2"/>
          <w:sz w:val="21"/>
        </w:rPr>
        <w:t> </w:t>
      </w:r>
      <w:r>
        <w:rPr>
          <w:sz w:val="21"/>
        </w:rPr>
        <w:t>further</w:t>
      </w:r>
      <w:r>
        <w:rPr>
          <w:spacing w:val="-2"/>
          <w:sz w:val="21"/>
        </w:rPr>
        <w:t> </w:t>
      </w:r>
      <w:r>
        <w:rPr>
          <w:sz w:val="21"/>
        </w:rPr>
        <w:t>released</w:t>
      </w:r>
      <w:r>
        <w:rPr>
          <w:spacing w:val="-2"/>
          <w:sz w:val="21"/>
        </w:rPr>
        <w:t> </w:t>
      </w:r>
      <w:r>
        <w:rPr>
          <w:sz w:val="21"/>
        </w:rPr>
        <w:t>guidance</w:t>
      </w:r>
      <w:r>
        <w:rPr>
          <w:spacing w:val="-2"/>
          <w:sz w:val="21"/>
        </w:rPr>
        <w:t> </w:t>
      </w:r>
      <w:r>
        <w:rPr>
          <w:sz w:val="21"/>
        </w:rPr>
        <w:t>on</w:t>
      </w:r>
      <w:r>
        <w:rPr>
          <w:spacing w:val="-2"/>
          <w:sz w:val="21"/>
        </w:rPr>
        <w:t> </w:t>
      </w:r>
      <w:r>
        <w:rPr>
          <w:sz w:val="21"/>
        </w:rPr>
        <w:t>pronouns</w:t>
      </w:r>
      <w:r>
        <w:rPr>
          <w:spacing w:val="-2"/>
          <w:sz w:val="21"/>
        </w:rPr>
        <w:t> </w:t>
      </w:r>
      <w:r>
        <w:rPr>
          <w:sz w:val="21"/>
        </w:rPr>
        <w:t>in</w:t>
      </w:r>
      <w:r>
        <w:rPr>
          <w:spacing w:val="-2"/>
          <w:sz w:val="21"/>
        </w:rPr>
        <w:t> </w:t>
      </w:r>
      <w:r>
        <w:rPr>
          <w:sz w:val="21"/>
        </w:rPr>
        <w:t>February</w:t>
      </w:r>
      <w:r>
        <w:rPr>
          <w:spacing w:val="-2"/>
          <w:sz w:val="21"/>
        </w:rPr>
        <w:t> </w:t>
      </w:r>
      <w:r>
        <w:rPr>
          <w:sz w:val="21"/>
        </w:rPr>
        <w:t>of</w:t>
      </w:r>
      <w:r>
        <w:rPr>
          <w:spacing w:val="-2"/>
          <w:sz w:val="21"/>
        </w:rPr>
        <w:t> </w:t>
      </w:r>
      <w:r>
        <w:rPr>
          <w:sz w:val="21"/>
        </w:rPr>
        <w:t>2023</w:t>
      </w:r>
      <w:r>
        <w:rPr>
          <w:spacing w:val="-3"/>
          <w:sz w:val="21"/>
        </w:rPr>
        <w:t> </w:t>
      </w:r>
      <w:r>
        <w:rPr>
          <w:sz w:val="21"/>
        </w:rPr>
        <w:t>which</w:t>
      </w:r>
      <w:r>
        <w:rPr>
          <w:spacing w:val="-2"/>
          <w:sz w:val="21"/>
        </w:rPr>
        <w:t> </w:t>
      </w:r>
      <w:r>
        <w:rPr>
          <w:sz w:val="21"/>
        </w:rPr>
        <w:t>provided</w:t>
      </w:r>
      <w:r>
        <w:rPr>
          <w:spacing w:val="-2"/>
          <w:sz w:val="21"/>
        </w:rPr>
        <w:t> </w:t>
      </w:r>
      <w:r>
        <w:rPr>
          <w:sz w:val="21"/>
        </w:rPr>
        <w:t>resources</w:t>
      </w:r>
      <w:r>
        <w:rPr>
          <w:spacing w:val="-2"/>
          <w:sz w:val="21"/>
        </w:rPr>
        <w:t> </w:t>
      </w:r>
      <w:r>
        <w:rPr>
          <w:sz w:val="21"/>
        </w:rPr>
        <w:t>and encouraged</w:t>
      </w:r>
      <w:r>
        <w:rPr>
          <w:spacing w:val="-8"/>
          <w:sz w:val="21"/>
        </w:rPr>
        <w:t> </w:t>
      </w:r>
      <w:r>
        <w:rPr>
          <w:sz w:val="21"/>
        </w:rPr>
        <w:t>DMH</w:t>
      </w:r>
      <w:r>
        <w:rPr>
          <w:spacing w:val="-8"/>
          <w:sz w:val="21"/>
        </w:rPr>
        <w:t> </w:t>
      </w:r>
      <w:r>
        <w:rPr>
          <w:sz w:val="21"/>
        </w:rPr>
        <w:t>staff</w:t>
      </w:r>
      <w:r>
        <w:rPr>
          <w:spacing w:val="-9"/>
          <w:sz w:val="21"/>
        </w:rPr>
        <w:t> </w:t>
      </w:r>
      <w:r>
        <w:rPr>
          <w:sz w:val="21"/>
        </w:rPr>
        <w:t>to</w:t>
      </w:r>
      <w:r>
        <w:rPr>
          <w:spacing w:val="-8"/>
          <w:sz w:val="21"/>
        </w:rPr>
        <w:t> </w:t>
      </w:r>
      <w:r>
        <w:rPr>
          <w:sz w:val="21"/>
        </w:rPr>
        <w:t>uphold</w:t>
      </w:r>
      <w:r>
        <w:rPr>
          <w:spacing w:val="-8"/>
          <w:sz w:val="21"/>
        </w:rPr>
        <w:t> </w:t>
      </w:r>
      <w:r>
        <w:rPr>
          <w:sz w:val="21"/>
        </w:rPr>
        <w:t>cultures</w:t>
      </w:r>
      <w:r>
        <w:rPr>
          <w:spacing w:val="-9"/>
          <w:sz w:val="21"/>
        </w:rPr>
        <w:t> </w:t>
      </w:r>
      <w:r>
        <w:rPr>
          <w:sz w:val="21"/>
        </w:rPr>
        <w:t>of</w:t>
      </w:r>
      <w:r>
        <w:rPr>
          <w:spacing w:val="-8"/>
          <w:sz w:val="21"/>
        </w:rPr>
        <w:t> </w:t>
      </w:r>
      <w:r>
        <w:rPr>
          <w:sz w:val="21"/>
        </w:rPr>
        <w:t>inclusion</w:t>
      </w:r>
      <w:r>
        <w:rPr>
          <w:spacing w:val="-8"/>
          <w:sz w:val="21"/>
        </w:rPr>
        <w:t> </w:t>
      </w:r>
      <w:r>
        <w:rPr>
          <w:sz w:val="21"/>
        </w:rPr>
        <w:t>for</w:t>
      </w:r>
      <w:r>
        <w:rPr>
          <w:spacing w:val="-8"/>
          <w:sz w:val="21"/>
        </w:rPr>
        <w:t> </w:t>
      </w:r>
      <w:r>
        <w:rPr>
          <w:sz w:val="21"/>
        </w:rPr>
        <w:t>LGBTQ</w:t>
      </w:r>
      <w:r>
        <w:rPr>
          <w:spacing w:val="-9"/>
          <w:sz w:val="21"/>
        </w:rPr>
        <w:t> </w:t>
      </w:r>
      <w:r>
        <w:rPr>
          <w:sz w:val="21"/>
        </w:rPr>
        <w:t>employees</w:t>
      </w:r>
      <w:r>
        <w:rPr>
          <w:spacing w:val="-8"/>
          <w:sz w:val="21"/>
        </w:rPr>
        <w:t> </w:t>
      </w:r>
      <w:r>
        <w:rPr>
          <w:sz w:val="21"/>
        </w:rPr>
        <w:t>and</w:t>
      </w:r>
      <w:r>
        <w:rPr>
          <w:spacing w:val="-8"/>
          <w:sz w:val="21"/>
        </w:rPr>
        <w:t> </w:t>
      </w:r>
      <w:r>
        <w:rPr>
          <w:sz w:val="21"/>
        </w:rPr>
        <w:t>clients</w:t>
      </w:r>
      <w:r>
        <w:rPr>
          <w:spacing w:val="-8"/>
          <w:sz w:val="21"/>
        </w:rPr>
        <w:t> </w:t>
      </w:r>
      <w:r>
        <w:rPr>
          <w:sz w:val="21"/>
        </w:rPr>
        <w:t>by</w:t>
      </w:r>
      <w:r>
        <w:rPr>
          <w:spacing w:val="-9"/>
          <w:sz w:val="21"/>
        </w:rPr>
        <w:t> </w:t>
      </w:r>
      <w:r>
        <w:rPr>
          <w:sz w:val="21"/>
        </w:rPr>
        <w:t>openly</w:t>
      </w:r>
      <w:r>
        <w:rPr>
          <w:spacing w:val="-9"/>
          <w:sz w:val="21"/>
        </w:rPr>
        <w:t> </w:t>
      </w:r>
      <w:r>
        <w:rPr>
          <w:sz w:val="21"/>
        </w:rPr>
        <w:t>sharing</w:t>
      </w:r>
      <w:r>
        <w:rPr>
          <w:spacing w:val="-8"/>
          <w:sz w:val="21"/>
        </w:rPr>
        <w:t> </w:t>
      </w:r>
      <w:r>
        <w:rPr>
          <w:sz w:val="21"/>
        </w:rPr>
        <w:t>their pronouns wherever possible.</w:t>
      </w:r>
    </w:p>
    <w:p>
      <w:pPr>
        <w:spacing w:line="276" w:lineRule="auto" w:before="240"/>
        <w:ind w:left="483" w:right="339" w:firstLine="0"/>
        <w:jc w:val="both"/>
        <w:rPr>
          <w:sz w:val="21"/>
        </w:rPr>
      </w:pPr>
      <w:r>
        <w:rPr>
          <w:sz w:val="21"/>
        </w:rPr>
        <w:t>Finally,</w:t>
      </w:r>
      <w:r>
        <w:rPr>
          <w:spacing w:val="-6"/>
          <w:sz w:val="21"/>
        </w:rPr>
        <w:t> </w:t>
      </w:r>
      <w:r>
        <w:rPr>
          <w:sz w:val="21"/>
        </w:rPr>
        <w:t>the</w:t>
      </w:r>
      <w:r>
        <w:rPr>
          <w:spacing w:val="-7"/>
          <w:sz w:val="21"/>
        </w:rPr>
        <w:t> </w:t>
      </w:r>
      <w:r>
        <w:rPr>
          <w:sz w:val="21"/>
        </w:rPr>
        <w:t>Commission</w:t>
      </w:r>
      <w:r>
        <w:rPr>
          <w:spacing w:val="-7"/>
          <w:sz w:val="21"/>
        </w:rPr>
        <w:t> </w:t>
      </w:r>
      <w:r>
        <w:rPr>
          <w:sz w:val="21"/>
        </w:rPr>
        <w:t>was</w:t>
      </w:r>
      <w:r>
        <w:rPr>
          <w:spacing w:val="-6"/>
          <w:sz w:val="21"/>
        </w:rPr>
        <w:t> </w:t>
      </w:r>
      <w:r>
        <w:rPr>
          <w:sz w:val="21"/>
        </w:rPr>
        <w:t>pleased</w:t>
      </w:r>
      <w:r>
        <w:rPr>
          <w:spacing w:val="-7"/>
          <w:sz w:val="21"/>
        </w:rPr>
        <w:t> </w:t>
      </w:r>
      <w:r>
        <w:rPr>
          <w:sz w:val="21"/>
        </w:rPr>
        <w:t>to</w:t>
      </w:r>
      <w:r>
        <w:rPr>
          <w:spacing w:val="-7"/>
          <w:sz w:val="21"/>
        </w:rPr>
        <w:t> </w:t>
      </w:r>
      <w:r>
        <w:rPr>
          <w:sz w:val="21"/>
        </w:rPr>
        <w:t>learn</w:t>
      </w:r>
      <w:r>
        <w:rPr>
          <w:spacing w:val="-7"/>
          <w:sz w:val="21"/>
        </w:rPr>
        <w:t> </w:t>
      </w:r>
      <w:r>
        <w:rPr>
          <w:sz w:val="21"/>
        </w:rPr>
        <w:t>about</w:t>
      </w:r>
      <w:r>
        <w:rPr>
          <w:spacing w:val="-7"/>
          <w:sz w:val="21"/>
        </w:rPr>
        <w:t> </w:t>
      </w:r>
      <w:r>
        <w:rPr>
          <w:sz w:val="21"/>
        </w:rPr>
        <w:t>the</w:t>
      </w:r>
      <w:r>
        <w:rPr>
          <w:spacing w:val="-7"/>
          <w:sz w:val="21"/>
        </w:rPr>
        <w:t> </w:t>
      </w:r>
      <w:r>
        <w:rPr>
          <w:sz w:val="21"/>
        </w:rPr>
        <w:t>ten</w:t>
      </w:r>
      <w:r>
        <w:rPr>
          <w:spacing w:val="-7"/>
          <w:sz w:val="21"/>
        </w:rPr>
        <w:t> </w:t>
      </w:r>
      <w:r>
        <w:rPr>
          <w:sz w:val="21"/>
        </w:rPr>
        <w:t>new</w:t>
      </w:r>
      <w:r>
        <w:rPr>
          <w:spacing w:val="-7"/>
          <w:sz w:val="21"/>
        </w:rPr>
        <w:t> </w:t>
      </w:r>
      <w:r>
        <w:rPr>
          <w:sz w:val="21"/>
        </w:rPr>
        <w:t>Young</w:t>
      </w:r>
      <w:r>
        <w:rPr>
          <w:spacing w:val="-7"/>
          <w:sz w:val="21"/>
        </w:rPr>
        <w:t> </w:t>
      </w:r>
      <w:r>
        <w:rPr>
          <w:sz w:val="21"/>
        </w:rPr>
        <w:t>Adult</w:t>
      </w:r>
      <w:r>
        <w:rPr>
          <w:spacing w:val="-6"/>
          <w:sz w:val="21"/>
        </w:rPr>
        <w:t> </w:t>
      </w:r>
      <w:r>
        <w:rPr>
          <w:sz w:val="21"/>
        </w:rPr>
        <w:t>Access</w:t>
      </w:r>
      <w:r>
        <w:rPr>
          <w:spacing w:val="-7"/>
          <w:sz w:val="21"/>
        </w:rPr>
        <w:t> </w:t>
      </w:r>
      <w:r>
        <w:rPr>
          <w:sz w:val="21"/>
        </w:rPr>
        <w:t>Centers</w:t>
      </w:r>
      <w:r>
        <w:rPr>
          <w:spacing w:val="-7"/>
          <w:sz w:val="21"/>
        </w:rPr>
        <w:t> </w:t>
      </w:r>
      <w:r>
        <w:rPr>
          <w:sz w:val="21"/>
        </w:rPr>
        <w:t>that</w:t>
      </w:r>
      <w:r>
        <w:rPr>
          <w:spacing w:val="-8"/>
          <w:sz w:val="21"/>
        </w:rPr>
        <w:t> </w:t>
      </w:r>
      <w:r>
        <w:rPr>
          <w:sz w:val="21"/>
        </w:rPr>
        <w:t>were</w:t>
      </w:r>
      <w:r>
        <w:rPr>
          <w:spacing w:val="-7"/>
          <w:sz w:val="21"/>
        </w:rPr>
        <w:t> </w:t>
      </w:r>
      <w:r>
        <w:rPr>
          <w:sz w:val="21"/>
        </w:rPr>
        <w:t>opened in</w:t>
      </w:r>
      <w:r>
        <w:rPr>
          <w:spacing w:val="-7"/>
          <w:sz w:val="21"/>
        </w:rPr>
        <w:t> </w:t>
      </w:r>
      <w:r>
        <w:rPr>
          <w:sz w:val="21"/>
        </w:rPr>
        <w:t>FY</w:t>
      </w:r>
      <w:r>
        <w:rPr>
          <w:spacing w:val="-7"/>
          <w:sz w:val="21"/>
        </w:rPr>
        <w:t> </w:t>
      </w:r>
      <w:r>
        <w:rPr>
          <w:sz w:val="21"/>
        </w:rPr>
        <w:t>2022</w:t>
      </w:r>
      <w:r>
        <w:rPr>
          <w:spacing w:val="-8"/>
          <w:sz w:val="21"/>
        </w:rPr>
        <w:t> </w:t>
      </w:r>
      <w:r>
        <w:rPr>
          <w:sz w:val="21"/>
        </w:rPr>
        <w:t>and</w:t>
      </w:r>
      <w:r>
        <w:rPr>
          <w:spacing w:val="-7"/>
          <w:sz w:val="21"/>
        </w:rPr>
        <w:t> </w:t>
      </w:r>
      <w:r>
        <w:rPr>
          <w:sz w:val="21"/>
        </w:rPr>
        <w:t>FY</w:t>
      </w:r>
      <w:r>
        <w:rPr>
          <w:spacing w:val="-7"/>
          <w:sz w:val="21"/>
        </w:rPr>
        <w:t> </w:t>
      </w:r>
      <w:r>
        <w:rPr>
          <w:sz w:val="21"/>
        </w:rPr>
        <w:t>2023;</w:t>
      </w:r>
      <w:r>
        <w:rPr>
          <w:spacing w:val="-8"/>
          <w:sz w:val="21"/>
        </w:rPr>
        <w:t> </w:t>
      </w:r>
      <w:r>
        <w:rPr>
          <w:sz w:val="21"/>
        </w:rPr>
        <w:t>Commission</w:t>
      </w:r>
      <w:r>
        <w:rPr>
          <w:spacing w:val="-7"/>
          <w:sz w:val="21"/>
        </w:rPr>
        <w:t> </w:t>
      </w:r>
      <w:r>
        <w:rPr>
          <w:sz w:val="21"/>
        </w:rPr>
        <w:t>staff</w:t>
      </w:r>
      <w:r>
        <w:rPr>
          <w:spacing w:val="-7"/>
          <w:sz w:val="21"/>
        </w:rPr>
        <w:t> </w:t>
      </w:r>
      <w:r>
        <w:rPr>
          <w:sz w:val="21"/>
        </w:rPr>
        <w:t>had</w:t>
      </w:r>
      <w:r>
        <w:rPr>
          <w:spacing w:val="-8"/>
          <w:sz w:val="21"/>
        </w:rPr>
        <w:t> </w:t>
      </w:r>
      <w:r>
        <w:rPr>
          <w:sz w:val="21"/>
        </w:rPr>
        <w:t>the</w:t>
      </w:r>
      <w:r>
        <w:rPr>
          <w:spacing w:val="-8"/>
          <w:sz w:val="21"/>
        </w:rPr>
        <w:t> </w:t>
      </w:r>
      <w:r>
        <w:rPr>
          <w:sz w:val="21"/>
        </w:rPr>
        <w:t>pleasure</w:t>
      </w:r>
      <w:r>
        <w:rPr>
          <w:spacing w:val="-7"/>
          <w:sz w:val="21"/>
        </w:rPr>
        <w:t> </w:t>
      </w:r>
      <w:r>
        <w:rPr>
          <w:sz w:val="21"/>
        </w:rPr>
        <w:t>to</w:t>
      </w:r>
      <w:r>
        <w:rPr>
          <w:spacing w:val="-7"/>
          <w:sz w:val="21"/>
        </w:rPr>
        <w:t> </w:t>
      </w:r>
      <w:r>
        <w:rPr>
          <w:sz w:val="21"/>
        </w:rPr>
        <w:t>visit</w:t>
      </w:r>
      <w:r>
        <w:rPr>
          <w:spacing w:val="-7"/>
          <w:sz w:val="21"/>
        </w:rPr>
        <w:t> </w:t>
      </w:r>
      <w:r>
        <w:rPr>
          <w:sz w:val="21"/>
        </w:rPr>
        <w:t>DMH’s</w:t>
      </w:r>
      <w:r>
        <w:rPr>
          <w:spacing w:val="-7"/>
          <w:sz w:val="21"/>
        </w:rPr>
        <w:t> </w:t>
      </w:r>
      <w:r>
        <w:rPr>
          <w:sz w:val="21"/>
        </w:rPr>
        <w:t>first</w:t>
      </w:r>
      <w:r>
        <w:rPr>
          <w:spacing w:val="-6"/>
          <w:sz w:val="21"/>
        </w:rPr>
        <w:t> </w:t>
      </w:r>
      <w:r>
        <w:rPr>
          <w:sz w:val="21"/>
        </w:rPr>
        <w:t>center</w:t>
      </w:r>
      <w:r>
        <w:rPr>
          <w:spacing w:val="-7"/>
          <w:sz w:val="21"/>
        </w:rPr>
        <w:t> </w:t>
      </w:r>
      <w:r>
        <w:rPr>
          <w:sz w:val="21"/>
        </w:rPr>
        <w:t>in</w:t>
      </w:r>
      <w:r>
        <w:rPr>
          <w:spacing w:val="-8"/>
          <w:sz w:val="21"/>
        </w:rPr>
        <w:t> </w:t>
      </w:r>
      <w:r>
        <w:rPr>
          <w:sz w:val="21"/>
        </w:rPr>
        <w:t>Boston</w:t>
      </w:r>
      <w:r>
        <w:rPr>
          <w:spacing w:val="-8"/>
          <w:sz w:val="21"/>
        </w:rPr>
        <w:t> </w:t>
      </w:r>
      <w:r>
        <w:rPr>
          <w:sz w:val="21"/>
        </w:rPr>
        <w:t>and</w:t>
      </w:r>
      <w:r>
        <w:rPr>
          <w:spacing w:val="-7"/>
          <w:sz w:val="21"/>
        </w:rPr>
        <w:t> </w:t>
      </w:r>
      <w:r>
        <w:rPr>
          <w:sz w:val="21"/>
        </w:rPr>
        <w:t>learn</w:t>
      </w:r>
      <w:r>
        <w:rPr>
          <w:spacing w:val="-8"/>
          <w:sz w:val="21"/>
        </w:rPr>
        <w:t> </w:t>
      </w:r>
      <w:r>
        <w:rPr>
          <w:sz w:val="21"/>
        </w:rPr>
        <w:t>more from</w:t>
      </w:r>
      <w:r>
        <w:rPr>
          <w:spacing w:val="-12"/>
          <w:sz w:val="21"/>
        </w:rPr>
        <w:t> </w:t>
      </w:r>
      <w:r>
        <w:rPr>
          <w:sz w:val="21"/>
        </w:rPr>
        <w:t>staff</w:t>
      </w:r>
      <w:r>
        <w:rPr>
          <w:spacing w:val="-12"/>
          <w:sz w:val="21"/>
        </w:rPr>
        <w:t> </w:t>
      </w:r>
      <w:r>
        <w:rPr>
          <w:sz w:val="21"/>
        </w:rPr>
        <w:t>about</w:t>
      </w:r>
      <w:r>
        <w:rPr>
          <w:spacing w:val="-12"/>
          <w:sz w:val="21"/>
        </w:rPr>
        <w:t> </w:t>
      </w:r>
      <w:r>
        <w:rPr>
          <w:sz w:val="21"/>
        </w:rPr>
        <w:t>their</w:t>
      </w:r>
      <w:r>
        <w:rPr>
          <w:spacing w:val="-12"/>
          <w:sz w:val="21"/>
        </w:rPr>
        <w:t> </w:t>
      </w:r>
      <w:r>
        <w:rPr>
          <w:sz w:val="21"/>
        </w:rPr>
        <w:t>work</w:t>
      </w:r>
      <w:r>
        <w:rPr>
          <w:spacing w:val="-12"/>
          <w:sz w:val="21"/>
        </w:rPr>
        <w:t> </w:t>
      </w:r>
      <w:r>
        <w:rPr>
          <w:sz w:val="21"/>
        </w:rPr>
        <w:t>creating</w:t>
      </w:r>
      <w:r>
        <w:rPr>
          <w:spacing w:val="-12"/>
          <w:sz w:val="21"/>
        </w:rPr>
        <w:t> </w:t>
      </w:r>
      <w:r>
        <w:rPr>
          <w:sz w:val="21"/>
        </w:rPr>
        <w:t>low-barrier,</w:t>
      </w:r>
      <w:r>
        <w:rPr>
          <w:spacing w:val="-12"/>
          <w:sz w:val="21"/>
        </w:rPr>
        <w:t> </w:t>
      </w:r>
      <w:r>
        <w:rPr>
          <w:sz w:val="21"/>
        </w:rPr>
        <w:t>safe,</w:t>
      </w:r>
      <w:r>
        <w:rPr>
          <w:spacing w:val="-11"/>
          <w:sz w:val="21"/>
        </w:rPr>
        <w:t> </w:t>
      </w:r>
      <w:r>
        <w:rPr>
          <w:sz w:val="21"/>
        </w:rPr>
        <w:t>and</w:t>
      </w:r>
      <w:r>
        <w:rPr>
          <w:spacing w:val="-12"/>
          <w:sz w:val="21"/>
        </w:rPr>
        <w:t> </w:t>
      </w:r>
      <w:r>
        <w:rPr>
          <w:sz w:val="21"/>
        </w:rPr>
        <w:t>affirming</w:t>
      </w:r>
      <w:r>
        <w:rPr>
          <w:spacing w:val="-12"/>
          <w:sz w:val="21"/>
        </w:rPr>
        <w:t> </w:t>
      </w:r>
      <w:r>
        <w:rPr>
          <w:sz w:val="21"/>
        </w:rPr>
        <w:t>spaces</w:t>
      </w:r>
      <w:r>
        <w:rPr>
          <w:spacing w:val="-12"/>
          <w:sz w:val="21"/>
        </w:rPr>
        <w:t> </w:t>
      </w:r>
      <w:r>
        <w:rPr>
          <w:sz w:val="21"/>
        </w:rPr>
        <w:t>for</w:t>
      </w:r>
      <w:r>
        <w:rPr>
          <w:spacing w:val="-12"/>
          <w:sz w:val="21"/>
        </w:rPr>
        <w:t> </w:t>
      </w:r>
      <w:r>
        <w:rPr>
          <w:sz w:val="21"/>
        </w:rPr>
        <w:t>youth</w:t>
      </w:r>
      <w:r>
        <w:rPr>
          <w:spacing w:val="-12"/>
          <w:sz w:val="21"/>
        </w:rPr>
        <w:t> </w:t>
      </w:r>
      <w:r>
        <w:rPr>
          <w:sz w:val="21"/>
        </w:rPr>
        <w:t>in</w:t>
      </w:r>
      <w:r>
        <w:rPr>
          <w:spacing w:val="-12"/>
          <w:sz w:val="21"/>
        </w:rPr>
        <w:t> </w:t>
      </w:r>
      <w:r>
        <w:rPr>
          <w:sz w:val="21"/>
        </w:rPr>
        <w:t>their</w:t>
      </w:r>
      <w:r>
        <w:rPr>
          <w:spacing w:val="-12"/>
          <w:sz w:val="21"/>
        </w:rPr>
        <w:t> </w:t>
      </w:r>
      <w:r>
        <w:rPr>
          <w:sz w:val="21"/>
        </w:rPr>
        <w:t>own</w:t>
      </w:r>
      <w:r>
        <w:rPr>
          <w:spacing w:val="-11"/>
          <w:sz w:val="21"/>
        </w:rPr>
        <w:t> </w:t>
      </w:r>
      <w:r>
        <w:rPr>
          <w:sz w:val="21"/>
        </w:rPr>
        <w:t>communities. DMH notes that several of the access centers have begun their own LGBTQ support groups and are designed to be peer-focused and trauma-informed, as well as have majority BIPOC, LGBTQ, and bilingual staff. The spaces</w:t>
      </w:r>
      <w:r>
        <w:rPr>
          <w:spacing w:val="-12"/>
          <w:sz w:val="21"/>
        </w:rPr>
        <w:t> </w:t>
      </w:r>
      <w:r>
        <w:rPr>
          <w:sz w:val="21"/>
        </w:rPr>
        <w:t>work</w:t>
      </w:r>
      <w:r>
        <w:rPr>
          <w:spacing w:val="-12"/>
          <w:sz w:val="21"/>
        </w:rPr>
        <w:t> </w:t>
      </w:r>
      <w:r>
        <w:rPr>
          <w:sz w:val="21"/>
        </w:rPr>
        <w:t>to</w:t>
      </w:r>
      <w:r>
        <w:rPr>
          <w:spacing w:val="-12"/>
          <w:sz w:val="21"/>
        </w:rPr>
        <w:t> </w:t>
      </w:r>
      <w:r>
        <w:rPr>
          <w:sz w:val="21"/>
        </w:rPr>
        <w:t>connect</w:t>
      </w:r>
      <w:r>
        <w:rPr>
          <w:spacing w:val="-12"/>
          <w:sz w:val="21"/>
        </w:rPr>
        <w:t> </w:t>
      </w:r>
      <w:r>
        <w:rPr>
          <w:sz w:val="21"/>
        </w:rPr>
        <w:t>youth</w:t>
      </w:r>
      <w:r>
        <w:rPr>
          <w:spacing w:val="-11"/>
          <w:sz w:val="21"/>
        </w:rPr>
        <w:t> </w:t>
      </w:r>
      <w:r>
        <w:rPr>
          <w:sz w:val="21"/>
        </w:rPr>
        <w:t>with</w:t>
      </w:r>
      <w:r>
        <w:rPr>
          <w:spacing w:val="-12"/>
          <w:sz w:val="21"/>
        </w:rPr>
        <w:t> </w:t>
      </w:r>
      <w:r>
        <w:rPr>
          <w:sz w:val="21"/>
        </w:rPr>
        <w:t>need</w:t>
      </w:r>
      <w:r>
        <w:rPr>
          <w:spacing w:val="-11"/>
          <w:sz w:val="21"/>
        </w:rPr>
        <w:t> </w:t>
      </w:r>
      <w:r>
        <w:rPr>
          <w:sz w:val="21"/>
        </w:rPr>
        <w:t>services,</w:t>
      </w:r>
      <w:r>
        <w:rPr>
          <w:spacing w:val="-12"/>
          <w:sz w:val="21"/>
        </w:rPr>
        <w:t> </w:t>
      </w:r>
      <w:r>
        <w:rPr>
          <w:sz w:val="21"/>
        </w:rPr>
        <w:t>promote</w:t>
      </w:r>
      <w:r>
        <w:rPr>
          <w:spacing w:val="-12"/>
          <w:sz w:val="21"/>
        </w:rPr>
        <w:t> </w:t>
      </w:r>
      <w:r>
        <w:rPr>
          <w:sz w:val="21"/>
        </w:rPr>
        <w:t>leadership</w:t>
      </w:r>
      <w:r>
        <w:rPr>
          <w:spacing w:val="-10"/>
          <w:sz w:val="21"/>
        </w:rPr>
        <w:t> </w:t>
      </w:r>
      <w:r>
        <w:rPr>
          <w:sz w:val="21"/>
        </w:rPr>
        <w:t>opportunities,</w:t>
      </w:r>
      <w:r>
        <w:rPr>
          <w:spacing w:val="-12"/>
          <w:sz w:val="21"/>
        </w:rPr>
        <w:t> </w:t>
      </w:r>
      <w:r>
        <w:rPr>
          <w:sz w:val="21"/>
        </w:rPr>
        <w:t>and</w:t>
      </w:r>
      <w:r>
        <w:rPr>
          <w:spacing w:val="-11"/>
          <w:sz w:val="21"/>
        </w:rPr>
        <w:t> </w:t>
      </w:r>
      <w:r>
        <w:rPr>
          <w:sz w:val="21"/>
        </w:rPr>
        <w:t>provide</w:t>
      </w:r>
      <w:r>
        <w:rPr>
          <w:spacing w:val="-12"/>
          <w:sz w:val="21"/>
        </w:rPr>
        <w:t> </w:t>
      </w:r>
      <w:r>
        <w:rPr>
          <w:sz w:val="21"/>
        </w:rPr>
        <w:t>skills</w:t>
      </w:r>
      <w:r>
        <w:rPr>
          <w:spacing w:val="-12"/>
          <w:sz w:val="21"/>
        </w:rPr>
        <w:t> </w:t>
      </w:r>
      <w:r>
        <w:rPr>
          <w:sz w:val="21"/>
        </w:rPr>
        <w:t>building and community support. The Commission looks forward to exploring ways to partner with DMH further to support these much-needed centers across the state.</w:t>
      </w:r>
    </w:p>
    <w:p>
      <w:pPr>
        <w:pStyle w:val="BodyText"/>
        <w:spacing w:before="144"/>
        <w:rPr>
          <w:sz w:val="21"/>
        </w:rPr>
      </w:pPr>
    </w:p>
    <w:p>
      <w:pPr>
        <w:tabs>
          <w:tab w:pos="9865" w:val="left" w:leader="none"/>
        </w:tabs>
        <w:spacing w:before="0"/>
        <w:ind w:left="453" w:right="0" w:firstLine="0"/>
        <w:jc w:val="both"/>
        <w:rPr>
          <w:rFonts w:ascii="Cambria"/>
          <w:sz w:val="28"/>
        </w:rPr>
      </w:pPr>
      <w:r>
        <w:rPr>
          <w:rFonts w:ascii="Cambria"/>
          <w:color w:val="365F91"/>
          <w:spacing w:val="-33"/>
          <w:sz w:val="28"/>
          <w:u w:val="single" w:color="4F81BC"/>
        </w:rPr>
        <w:t> </w:t>
      </w:r>
      <w:r>
        <w:rPr>
          <w:rFonts w:ascii="Cambria"/>
          <w:color w:val="365F91"/>
          <w:sz w:val="28"/>
          <w:u w:val="single" w:color="4F81BC"/>
        </w:rPr>
        <w:t>FY</w:t>
      </w:r>
      <w:r>
        <w:rPr>
          <w:rFonts w:ascii="Cambria"/>
          <w:color w:val="365F91"/>
          <w:spacing w:val="-12"/>
          <w:sz w:val="28"/>
          <w:u w:val="single" w:color="4F81BC"/>
        </w:rPr>
        <w:t> </w:t>
      </w:r>
      <w:r>
        <w:rPr>
          <w:rFonts w:ascii="Cambria"/>
          <w:color w:val="365F91"/>
          <w:sz w:val="28"/>
          <w:u w:val="single" w:color="4F81BC"/>
        </w:rPr>
        <w:t>2025</w:t>
      </w:r>
      <w:r>
        <w:rPr>
          <w:rFonts w:ascii="Cambria"/>
          <w:color w:val="365F91"/>
          <w:spacing w:val="-7"/>
          <w:sz w:val="28"/>
          <w:u w:val="single" w:color="4F81BC"/>
        </w:rPr>
        <w:t> </w:t>
      </w:r>
      <w:r>
        <w:rPr>
          <w:rFonts w:ascii="Cambria"/>
          <w:color w:val="365F91"/>
          <w:sz w:val="28"/>
          <w:u w:val="single" w:color="4F81BC"/>
        </w:rPr>
        <w:t>Expanded</w:t>
      </w:r>
      <w:r>
        <w:rPr>
          <w:rFonts w:ascii="Cambria"/>
          <w:color w:val="365F91"/>
          <w:spacing w:val="-7"/>
          <w:sz w:val="28"/>
          <w:u w:val="single" w:color="4F81BC"/>
        </w:rPr>
        <w:t> </w:t>
      </w:r>
      <w:r>
        <w:rPr>
          <w:rFonts w:ascii="Cambria"/>
          <w:color w:val="365F91"/>
          <w:sz w:val="28"/>
          <w:u w:val="single" w:color="4F81BC"/>
        </w:rPr>
        <w:t>DMH</w:t>
      </w:r>
      <w:r>
        <w:rPr>
          <w:rFonts w:ascii="Cambria"/>
          <w:color w:val="365F91"/>
          <w:spacing w:val="-8"/>
          <w:sz w:val="28"/>
          <w:u w:val="single" w:color="4F81BC"/>
        </w:rPr>
        <w:t> </w:t>
      </w:r>
      <w:r>
        <w:rPr>
          <w:rFonts w:ascii="Cambria"/>
          <w:color w:val="365F91"/>
          <w:spacing w:val="-2"/>
          <w:sz w:val="28"/>
          <w:u w:val="single" w:color="4F81BC"/>
        </w:rPr>
        <w:t>Recommendations</w:t>
      </w:r>
      <w:r>
        <w:rPr>
          <w:rFonts w:ascii="Cambria"/>
          <w:color w:val="365F91"/>
          <w:sz w:val="28"/>
          <w:u w:val="single" w:color="4F81BC"/>
        </w:rPr>
        <w:tab/>
      </w:r>
    </w:p>
    <w:p>
      <w:pPr>
        <w:pStyle w:val="BodyText"/>
        <w:spacing w:before="13"/>
        <w:rPr>
          <w:rFonts w:ascii="Cambria"/>
        </w:rPr>
      </w:pPr>
    </w:p>
    <w:p>
      <w:pPr>
        <w:numPr>
          <w:ilvl w:val="0"/>
          <w:numId w:val="40"/>
        </w:numPr>
        <w:tabs>
          <w:tab w:pos="481" w:val="left" w:leader="none"/>
          <w:tab w:pos="483" w:val="left" w:leader="none"/>
        </w:tabs>
        <w:spacing w:line="276" w:lineRule="auto" w:before="0"/>
        <w:ind w:left="483" w:right="343" w:hanging="360"/>
        <w:jc w:val="left"/>
        <w:rPr>
          <w:b/>
          <w:sz w:val="22"/>
        </w:rPr>
      </w:pPr>
      <w:r>
        <w:rPr>
          <w:b/>
          <w:sz w:val="22"/>
        </w:rPr>
        <w:t>Develop accessible, trauma-informed mental health resources and programs for QTBIPOC youth and LGBTQ first-generation youth.</w:t>
      </w:r>
    </w:p>
    <w:p>
      <w:pPr>
        <w:pStyle w:val="BodyText"/>
        <w:spacing w:line="276" w:lineRule="auto" w:before="239"/>
        <w:ind w:left="483" w:right="342"/>
        <w:jc w:val="both"/>
      </w:pPr>
      <w:r>
        <w:rPr/>
        <w:t>As discussed in the Commission’s core sections above, the need for trauma-informed mental health resources</w:t>
      </w:r>
      <w:r>
        <w:rPr>
          <w:spacing w:val="-5"/>
        </w:rPr>
        <w:t> </w:t>
      </w:r>
      <w:r>
        <w:rPr/>
        <w:t>and</w:t>
      </w:r>
      <w:r>
        <w:rPr>
          <w:spacing w:val="-6"/>
        </w:rPr>
        <w:t> </w:t>
      </w:r>
      <w:r>
        <w:rPr/>
        <w:t>programs</w:t>
      </w:r>
      <w:r>
        <w:rPr>
          <w:spacing w:val="-5"/>
        </w:rPr>
        <w:t> </w:t>
      </w:r>
      <w:r>
        <w:rPr/>
        <w:t>for</w:t>
      </w:r>
      <w:r>
        <w:rPr>
          <w:spacing w:val="-5"/>
        </w:rPr>
        <w:t> </w:t>
      </w:r>
      <w:r>
        <w:rPr/>
        <w:t>LGBTQ</w:t>
      </w:r>
      <w:r>
        <w:rPr>
          <w:spacing w:val="-6"/>
        </w:rPr>
        <w:t> </w:t>
      </w:r>
      <w:r>
        <w:rPr/>
        <w:t>foreign-born</w:t>
      </w:r>
      <w:r>
        <w:rPr>
          <w:spacing w:val="-4"/>
        </w:rPr>
        <w:t> </w:t>
      </w:r>
      <w:r>
        <w:rPr/>
        <w:t>youth</w:t>
      </w:r>
      <w:r>
        <w:rPr>
          <w:spacing w:val="-4"/>
        </w:rPr>
        <w:t> </w:t>
      </w:r>
      <w:r>
        <w:rPr/>
        <w:t>is</w:t>
      </w:r>
      <w:r>
        <w:rPr>
          <w:spacing w:val="-4"/>
        </w:rPr>
        <w:t> </w:t>
      </w:r>
      <w:r>
        <w:rPr/>
        <w:t>immense.</w:t>
      </w:r>
      <w:r>
        <w:rPr>
          <w:spacing w:val="-6"/>
        </w:rPr>
        <w:t> </w:t>
      </w:r>
      <w:r>
        <w:rPr/>
        <w:t>First</w:t>
      </w:r>
      <w:r>
        <w:rPr>
          <w:spacing w:val="-5"/>
        </w:rPr>
        <w:t> </w:t>
      </w:r>
      <w:r>
        <w:rPr/>
        <w:t>offered</w:t>
      </w:r>
      <w:r>
        <w:rPr>
          <w:spacing w:val="-6"/>
        </w:rPr>
        <w:t> </w:t>
      </w:r>
      <w:r>
        <w:rPr/>
        <w:t>in</w:t>
      </w:r>
      <w:r>
        <w:rPr>
          <w:spacing w:val="-4"/>
        </w:rPr>
        <w:t> </w:t>
      </w:r>
      <w:r>
        <w:rPr/>
        <w:t>FY24,</w:t>
      </w:r>
      <w:r>
        <w:rPr>
          <w:spacing w:val="-4"/>
        </w:rPr>
        <w:t> </w:t>
      </w:r>
      <w:r>
        <w:rPr/>
        <w:t>the</w:t>
      </w:r>
      <w:r>
        <w:rPr>
          <w:spacing w:val="-6"/>
        </w:rPr>
        <w:t> </w:t>
      </w:r>
      <w:r>
        <w:rPr/>
        <w:t>Commission continues</w:t>
      </w:r>
      <w:r>
        <w:rPr>
          <w:spacing w:val="-13"/>
        </w:rPr>
        <w:t> </w:t>
      </w:r>
      <w:r>
        <w:rPr/>
        <w:t>to</w:t>
      </w:r>
      <w:r>
        <w:rPr>
          <w:spacing w:val="-12"/>
        </w:rPr>
        <w:t> </w:t>
      </w:r>
      <w:r>
        <w:rPr/>
        <w:t>strongly</w:t>
      </w:r>
      <w:r>
        <w:rPr>
          <w:spacing w:val="-13"/>
        </w:rPr>
        <w:t> </w:t>
      </w:r>
      <w:r>
        <w:rPr/>
        <w:t>recommend</w:t>
      </w:r>
      <w:r>
        <w:rPr>
          <w:spacing w:val="-12"/>
        </w:rPr>
        <w:t> </w:t>
      </w:r>
      <w:r>
        <w:rPr/>
        <w:t>that</w:t>
      </w:r>
      <w:r>
        <w:rPr>
          <w:spacing w:val="-13"/>
        </w:rPr>
        <w:t> </w:t>
      </w:r>
      <w:r>
        <w:rPr/>
        <w:t>DMH</w:t>
      </w:r>
      <w:r>
        <w:rPr>
          <w:spacing w:val="-12"/>
        </w:rPr>
        <w:t> </w:t>
      </w:r>
      <w:r>
        <w:rPr/>
        <w:t>partner</w:t>
      </w:r>
      <w:r>
        <w:rPr>
          <w:spacing w:val="-13"/>
        </w:rPr>
        <w:t> </w:t>
      </w:r>
      <w:r>
        <w:rPr/>
        <w:t>with</w:t>
      </w:r>
      <w:r>
        <w:rPr>
          <w:spacing w:val="-12"/>
        </w:rPr>
        <w:t> </w:t>
      </w:r>
      <w:r>
        <w:rPr/>
        <w:t>ORI</w:t>
      </w:r>
      <w:r>
        <w:rPr>
          <w:spacing w:val="-12"/>
        </w:rPr>
        <w:t> </w:t>
      </w:r>
      <w:r>
        <w:rPr/>
        <w:t>and</w:t>
      </w:r>
      <w:r>
        <w:rPr>
          <w:spacing w:val="-13"/>
        </w:rPr>
        <w:t> </w:t>
      </w:r>
      <w:r>
        <w:rPr/>
        <w:t>community-based</w:t>
      </w:r>
      <w:r>
        <w:rPr>
          <w:spacing w:val="-12"/>
        </w:rPr>
        <w:t> </w:t>
      </w:r>
      <w:r>
        <w:rPr/>
        <w:t>organizations</w:t>
      </w:r>
      <w:r>
        <w:rPr>
          <w:spacing w:val="-13"/>
        </w:rPr>
        <w:t> </w:t>
      </w:r>
      <w:r>
        <w:rPr/>
        <w:t>serving these populations of youth to address the significant gaps in service provision often seen for youth who</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45"/>
        <w:jc w:val="both"/>
      </w:pPr>
      <w:r>
        <w:rPr/>
        <w:t>do not have English as a first language, are undocumented, or do not overall have the same access to mental health resources.</w:t>
      </w:r>
    </w:p>
    <w:p>
      <w:pPr>
        <w:pStyle w:val="BodyText"/>
        <w:spacing w:line="276" w:lineRule="auto" w:before="240"/>
        <w:ind w:left="483" w:right="343"/>
        <w:jc w:val="both"/>
      </w:pPr>
      <w:r>
        <w:rPr/>
        <w:t>As previously established throughout this report, culturally competent mental health care for QTBIPOC youth</w:t>
      </w:r>
      <w:r>
        <w:rPr>
          <w:spacing w:val="-7"/>
        </w:rPr>
        <w:t> </w:t>
      </w:r>
      <w:r>
        <w:rPr/>
        <w:t>is</w:t>
      </w:r>
      <w:r>
        <w:rPr>
          <w:spacing w:val="-7"/>
        </w:rPr>
        <w:t> </w:t>
      </w:r>
      <w:r>
        <w:rPr/>
        <w:t>sparse.</w:t>
      </w:r>
      <w:r>
        <w:rPr>
          <w:spacing w:val="-8"/>
        </w:rPr>
        <w:t> </w:t>
      </w:r>
      <w:r>
        <w:rPr/>
        <w:t>As</w:t>
      </w:r>
      <w:r>
        <w:rPr>
          <w:spacing w:val="-6"/>
        </w:rPr>
        <w:t> </w:t>
      </w:r>
      <w:r>
        <w:rPr/>
        <w:t>of</w:t>
      </w:r>
      <w:r>
        <w:rPr>
          <w:spacing w:val="-6"/>
        </w:rPr>
        <w:t> </w:t>
      </w:r>
      <w:r>
        <w:rPr/>
        <w:t>the</w:t>
      </w:r>
      <w:r>
        <w:rPr>
          <w:spacing w:val="-7"/>
        </w:rPr>
        <w:t> </w:t>
      </w:r>
      <w:r>
        <w:rPr/>
        <w:t>spring</w:t>
      </w:r>
      <w:r>
        <w:rPr>
          <w:spacing w:val="-7"/>
        </w:rPr>
        <w:t> </w:t>
      </w:r>
      <w:r>
        <w:rPr/>
        <w:t>of</w:t>
      </w:r>
      <w:r>
        <w:rPr>
          <w:spacing w:val="-8"/>
        </w:rPr>
        <w:t> </w:t>
      </w:r>
      <w:r>
        <w:rPr/>
        <w:t>2023,</w:t>
      </w:r>
      <w:r>
        <w:rPr>
          <w:spacing w:val="-7"/>
        </w:rPr>
        <w:t> </w:t>
      </w:r>
      <w:r>
        <w:rPr/>
        <w:t>DMH</w:t>
      </w:r>
      <w:r>
        <w:rPr>
          <w:spacing w:val="-8"/>
        </w:rPr>
        <w:t> </w:t>
      </w:r>
      <w:r>
        <w:rPr/>
        <w:t>has</w:t>
      </w:r>
      <w:r>
        <w:rPr>
          <w:spacing w:val="-6"/>
        </w:rPr>
        <w:t> </w:t>
      </w:r>
      <w:r>
        <w:rPr/>
        <w:t>made</w:t>
      </w:r>
      <w:r>
        <w:rPr>
          <w:spacing w:val="-8"/>
        </w:rPr>
        <w:t> </w:t>
      </w:r>
      <w:r>
        <w:rPr/>
        <w:t>excellent</w:t>
      </w:r>
      <w:r>
        <w:rPr>
          <w:spacing w:val="-7"/>
        </w:rPr>
        <w:t> </w:t>
      </w:r>
      <w:r>
        <w:rPr/>
        <w:t>strides</w:t>
      </w:r>
      <w:r>
        <w:rPr>
          <w:spacing w:val="-7"/>
        </w:rPr>
        <w:t> </w:t>
      </w:r>
      <w:r>
        <w:rPr/>
        <w:t>in</w:t>
      </w:r>
      <w:r>
        <w:rPr>
          <w:spacing w:val="-7"/>
        </w:rPr>
        <w:t> </w:t>
      </w:r>
      <w:r>
        <w:rPr/>
        <w:t>opening</w:t>
      </w:r>
      <w:r>
        <w:rPr>
          <w:spacing w:val="-7"/>
        </w:rPr>
        <w:t> </w:t>
      </w:r>
      <w:r>
        <w:rPr/>
        <w:t>a</w:t>
      </w:r>
      <w:r>
        <w:rPr>
          <w:spacing w:val="-7"/>
        </w:rPr>
        <w:t> </w:t>
      </w:r>
      <w:r>
        <w:rPr/>
        <w:t>series</w:t>
      </w:r>
      <w:r>
        <w:rPr>
          <w:spacing w:val="-5"/>
        </w:rPr>
        <w:t> </w:t>
      </w:r>
      <w:r>
        <w:rPr/>
        <w:t>of</w:t>
      </w:r>
      <w:r>
        <w:rPr>
          <w:spacing w:val="-8"/>
        </w:rPr>
        <w:t> </w:t>
      </w:r>
      <w:r>
        <w:rPr/>
        <w:t>ten</w:t>
      </w:r>
      <w:r>
        <w:rPr>
          <w:spacing w:val="-7"/>
        </w:rPr>
        <w:t> </w:t>
      </w:r>
      <w:r>
        <w:rPr/>
        <w:t>young adult access centers designed to provide low-barrier spaces for LGBTQ &amp; BIPOC youth to receive access to</w:t>
      </w:r>
      <w:r>
        <w:rPr>
          <w:spacing w:val="-8"/>
        </w:rPr>
        <w:t> </w:t>
      </w:r>
      <w:r>
        <w:rPr/>
        <w:t>community-based</w:t>
      </w:r>
      <w:r>
        <w:rPr>
          <w:spacing w:val="-8"/>
        </w:rPr>
        <w:t> </w:t>
      </w:r>
      <w:r>
        <w:rPr/>
        <w:t>mental</w:t>
      </w:r>
      <w:r>
        <w:rPr>
          <w:spacing w:val="-9"/>
        </w:rPr>
        <w:t> </w:t>
      </w:r>
      <w:r>
        <w:rPr/>
        <w:t>&amp;</w:t>
      </w:r>
      <w:r>
        <w:rPr>
          <w:spacing w:val="-7"/>
        </w:rPr>
        <w:t> </w:t>
      </w:r>
      <w:r>
        <w:rPr/>
        <w:t>public</w:t>
      </w:r>
      <w:r>
        <w:rPr>
          <w:spacing w:val="-8"/>
        </w:rPr>
        <w:t> </w:t>
      </w:r>
      <w:r>
        <w:rPr/>
        <w:t>health</w:t>
      </w:r>
      <w:r>
        <w:rPr>
          <w:spacing w:val="-9"/>
        </w:rPr>
        <w:t> </w:t>
      </w:r>
      <w:r>
        <w:rPr/>
        <w:t>services,</w:t>
      </w:r>
      <w:r>
        <w:rPr>
          <w:spacing w:val="-7"/>
        </w:rPr>
        <w:t> </w:t>
      </w:r>
      <w:r>
        <w:rPr/>
        <w:t>skill-building,</w:t>
      </w:r>
      <w:r>
        <w:rPr>
          <w:spacing w:val="-6"/>
        </w:rPr>
        <w:t> </w:t>
      </w:r>
      <w:r>
        <w:rPr/>
        <w:t>and</w:t>
      </w:r>
      <w:r>
        <w:rPr>
          <w:spacing w:val="-9"/>
        </w:rPr>
        <w:t> </w:t>
      </w:r>
      <w:r>
        <w:rPr/>
        <w:t>peer</w:t>
      </w:r>
      <w:r>
        <w:rPr>
          <w:spacing w:val="-9"/>
        </w:rPr>
        <w:t> </w:t>
      </w:r>
      <w:r>
        <w:rPr/>
        <w:t>support.</w:t>
      </w:r>
      <w:r>
        <w:rPr>
          <w:spacing w:val="-9"/>
        </w:rPr>
        <w:t> </w:t>
      </w:r>
      <w:r>
        <w:rPr/>
        <w:t>However,</w:t>
      </w:r>
      <w:r>
        <w:rPr>
          <w:spacing w:val="-8"/>
        </w:rPr>
        <w:t> </w:t>
      </w:r>
      <w:r>
        <w:rPr/>
        <w:t>based</w:t>
      </w:r>
      <w:r>
        <w:rPr>
          <w:spacing w:val="-9"/>
        </w:rPr>
        <w:t> </w:t>
      </w:r>
      <w:r>
        <w:rPr/>
        <w:t>on conversations with DMH liaisons, LGBTQ youth, and state-based surveys on mental health needs, the Commission recommends that DMH develop stronger partnerships and opportunities to engage on the ground with youth-serving organizations and youth themselves to better understand the barriers to mental</w:t>
      </w:r>
      <w:r>
        <w:rPr>
          <w:spacing w:val="-13"/>
        </w:rPr>
        <w:t> </w:t>
      </w:r>
      <w:r>
        <w:rPr/>
        <w:t>health</w:t>
      </w:r>
      <w:r>
        <w:rPr>
          <w:spacing w:val="-12"/>
        </w:rPr>
        <w:t> </w:t>
      </w:r>
      <w:r>
        <w:rPr/>
        <w:t>care.</w:t>
      </w:r>
      <w:r>
        <w:rPr>
          <w:spacing w:val="-13"/>
        </w:rPr>
        <w:t> </w:t>
      </w:r>
      <w:r>
        <w:rPr/>
        <w:t>Such</w:t>
      </w:r>
      <w:r>
        <w:rPr>
          <w:spacing w:val="-12"/>
        </w:rPr>
        <w:t> </w:t>
      </w:r>
      <w:r>
        <w:rPr/>
        <w:t>engagement</w:t>
      </w:r>
      <w:r>
        <w:rPr>
          <w:spacing w:val="-13"/>
        </w:rPr>
        <w:t> </w:t>
      </w:r>
      <w:r>
        <w:rPr/>
        <w:t>should</w:t>
      </w:r>
      <w:r>
        <w:rPr>
          <w:spacing w:val="-12"/>
        </w:rPr>
        <w:t> </w:t>
      </w:r>
      <w:r>
        <w:rPr/>
        <w:t>take</w:t>
      </w:r>
      <w:r>
        <w:rPr>
          <w:spacing w:val="-13"/>
        </w:rPr>
        <w:t> </w:t>
      </w:r>
      <w:r>
        <w:rPr/>
        <w:t>particular</w:t>
      </w:r>
      <w:r>
        <w:rPr>
          <w:spacing w:val="-12"/>
        </w:rPr>
        <w:t> </w:t>
      </w:r>
      <w:r>
        <w:rPr/>
        <w:t>care</w:t>
      </w:r>
      <w:r>
        <w:rPr>
          <w:spacing w:val="-12"/>
        </w:rPr>
        <w:t> </w:t>
      </w:r>
      <w:r>
        <w:rPr/>
        <w:t>to</w:t>
      </w:r>
      <w:r>
        <w:rPr>
          <w:spacing w:val="-13"/>
        </w:rPr>
        <w:t> </w:t>
      </w:r>
      <w:r>
        <w:rPr/>
        <w:t>engage</w:t>
      </w:r>
      <w:r>
        <w:rPr>
          <w:spacing w:val="-12"/>
        </w:rPr>
        <w:t> </w:t>
      </w:r>
      <w:r>
        <w:rPr/>
        <w:t>in</w:t>
      </w:r>
      <w:r>
        <w:rPr>
          <w:spacing w:val="-13"/>
        </w:rPr>
        <w:t> </w:t>
      </w:r>
      <w:r>
        <w:rPr/>
        <w:t>the</w:t>
      </w:r>
      <w:r>
        <w:rPr>
          <w:spacing w:val="-12"/>
        </w:rPr>
        <w:t> </w:t>
      </w:r>
      <w:r>
        <w:rPr/>
        <w:t>Western</w:t>
      </w:r>
      <w:r>
        <w:rPr>
          <w:spacing w:val="-13"/>
        </w:rPr>
        <w:t> </w:t>
      </w:r>
      <w:r>
        <w:rPr/>
        <w:t>Massachusetts and Cape Cod regions as rural areas are even less likely to have appropriate access to mental health </w:t>
      </w:r>
      <w:r>
        <w:rPr>
          <w:spacing w:val="-2"/>
        </w:rPr>
        <w:t>services.</w:t>
      </w:r>
    </w:p>
    <w:p>
      <w:pPr>
        <w:pStyle w:val="BodyText"/>
        <w:spacing w:line="276" w:lineRule="auto" w:before="240"/>
        <w:ind w:left="483" w:right="340" w:hanging="1"/>
        <w:jc w:val="both"/>
      </w:pPr>
      <w:r>
        <w:rPr/>
        <w:t>Much of this work is already being done through DMH’s ten </w:t>
      </w:r>
      <w:hyperlink r:id="rId742">
        <w:r>
          <w:rPr>
            <w:u w:val="single"/>
          </w:rPr>
          <w:t>young adult access centers</w:t>
        </w:r>
      </w:hyperlink>
      <w:r>
        <w:rPr>
          <w:u w:val="none"/>
        </w:rPr>
        <w:t> across the Commonwealth; the locations in Springfield, Brockton, Roxbury, Worcester, Framingham, New Bedford, Everett, Lawrence, Gloucester, Chelsea, and Lowell are primarily visited by Latinx youth, but also see increasing populations of Black and AAPI youth. DMH notes that much of the staff in the centers are reflective of the QTBIPOC communities they are serving, and many are bilingual and multicultural which allows</w:t>
      </w:r>
      <w:r>
        <w:rPr>
          <w:spacing w:val="-11"/>
          <w:u w:val="none"/>
        </w:rPr>
        <w:t> </w:t>
      </w:r>
      <w:r>
        <w:rPr>
          <w:u w:val="none"/>
        </w:rPr>
        <w:t>them</w:t>
      </w:r>
      <w:r>
        <w:rPr>
          <w:spacing w:val="-10"/>
          <w:u w:val="none"/>
        </w:rPr>
        <w:t> </w:t>
      </w:r>
      <w:r>
        <w:rPr>
          <w:u w:val="none"/>
        </w:rPr>
        <w:t>to</w:t>
      </w:r>
      <w:r>
        <w:rPr>
          <w:spacing w:val="-11"/>
          <w:u w:val="none"/>
        </w:rPr>
        <w:t> </w:t>
      </w:r>
      <w:r>
        <w:rPr>
          <w:u w:val="none"/>
        </w:rPr>
        <w:t>engage</w:t>
      </w:r>
      <w:r>
        <w:rPr>
          <w:spacing w:val="-10"/>
          <w:u w:val="none"/>
        </w:rPr>
        <w:t> </w:t>
      </w:r>
      <w:r>
        <w:rPr>
          <w:u w:val="none"/>
        </w:rPr>
        <w:t>more</w:t>
      </w:r>
      <w:r>
        <w:rPr>
          <w:spacing w:val="-11"/>
          <w:u w:val="none"/>
        </w:rPr>
        <w:t> </w:t>
      </w:r>
      <w:r>
        <w:rPr>
          <w:u w:val="none"/>
        </w:rPr>
        <w:t>with</w:t>
      </w:r>
      <w:r>
        <w:rPr>
          <w:spacing w:val="-10"/>
          <w:u w:val="none"/>
        </w:rPr>
        <w:t> </w:t>
      </w:r>
      <w:r>
        <w:rPr>
          <w:u w:val="none"/>
        </w:rPr>
        <w:t>first-generation</w:t>
      </w:r>
      <w:r>
        <w:rPr>
          <w:spacing w:val="-12"/>
          <w:u w:val="none"/>
        </w:rPr>
        <w:t> </w:t>
      </w:r>
      <w:r>
        <w:rPr>
          <w:u w:val="none"/>
        </w:rPr>
        <w:t>youth.</w:t>
      </w:r>
      <w:r>
        <w:rPr>
          <w:spacing w:val="-12"/>
          <w:u w:val="none"/>
        </w:rPr>
        <w:t> </w:t>
      </w:r>
      <w:r>
        <w:rPr>
          <w:u w:val="none"/>
        </w:rPr>
        <w:t>In</w:t>
      </w:r>
      <w:r>
        <w:rPr>
          <w:spacing w:val="-10"/>
          <w:u w:val="none"/>
        </w:rPr>
        <w:t> </w:t>
      </w:r>
      <w:r>
        <w:rPr>
          <w:u w:val="none"/>
        </w:rPr>
        <w:t>the</w:t>
      </w:r>
      <w:r>
        <w:rPr>
          <w:spacing w:val="-12"/>
          <w:u w:val="none"/>
        </w:rPr>
        <w:t> </w:t>
      </w:r>
      <w:r>
        <w:rPr>
          <w:u w:val="none"/>
        </w:rPr>
        <w:t>remainder</w:t>
      </w:r>
      <w:r>
        <w:rPr>
          <w:spacing w:val="-11"/>
          <w:u w:val="none"/>
        </w:rPr>
        <w:t> </w:t>
      </w:r>
      <w:r>
        <w:rPr>
          <w:u w:val="none"/>
        </w:rPr>
        <w:t>of</w:t>
      </w:r>
      <w:r>
        <w:rPr>
          <w:spacing w:val="-11"/>
          <w:u w:val="none"/>
        </w:rPr>
        <w:t> </w:t>
      </w:r>
      <w:r>
        <w:rPr>
          <w:u w:val="none"/>
        </w:rPr>
        <w:t>FY</w:t>
      </w:r>
      <w:r>
        <w:rPr>
          <w:spacing w:val="-10"/>
          <w:u w:val="none"/>
        </w:rPr>
        <w:t> </w:t>
      </w:r>
      <w:r>
        <w:rPr>
          <w:u w:val="none"/>
        </w:rPr>
        <w:t>2024</w:t>
      </w:r>
      <w:r>
        <w:rPr>
          <w:spacing w:val="-11"/>
          <w:u w:val="none"/>
        </w:rPr>
        <w:t> </w:t>
      </w:r>
      <w:r>
        <w:rPr>
          <w:u w:val="none"/>
        </w:rPr>
        <w:t>and</w:t>
      </w:r>
      <w:r>
        <w:rPr>
          <w:spacing w:val="-12"/>
          <w:u w:val="none"/>
        </w:rPr>
        <w:t> </w:t>
      </w:r>
      <w:r>
        <w:rPr>
          <w:u w:val="none"/>
        </w:rPr>
        <w:t>start</w:t>
      </w:r>
      <w:r>
        <w:rPr>
          <w:spacing w:val="-11"/>
          <w:u w:val="none"/>
        </w:rPr>
        <w:t> </w:t>
      </w:r>
      <w:r>
        <w:rPr>
          <w:u w:val="none"/>
        </w:rPr>
        <w:t>of</w:t>
      </w:r>
      <w:r>
        <w:rPr>
          <w:spacing w:val="-11"/>
          <w:u w:val="none"/>
        </w:rPr>
        <w:t> </w:t>
      </w:r>
      <w:r>
        <w:rPr>
          <w:u w:val="none"/>
        </w:rPr>
        <w:t>FY</w:t>
      </w:r>
      <w:r>
        <w:rPr>
          <w:spacing w:val="-12"/>
          <w:u w:val="none"/>
        </w:rPr>
        <w:t> </w:t>
      </w:r>
      <w:r>
        <w:rPr>
          <w:u w:val="none"/>
        </w:rPr>
        <w:t>2025, DMH</w:t>
      </w:r>
      <w:r>
        <w:rPr>
          <w:spacing w:val="-10"/>
          <w:u w:val="none"/>
        </w:rPr>
        <w:t> </w:t>
      </w:r>
      <w:r>
        <w:rPr>
          <w:u w:val="none"/>
        </w:rPr>
        <w:t>shared</w:t>
      </w:r>
      <w:r>
        <w:rPr>
          <w:spacing w:val="-10"/>
          <w:u w:val="none"/>
        </w:rPr>
        <w:t> </w:t>
      </w:r>
      <w:r>
        <w:rPr>
          <w:u w:val="none"/>
        </w:rPr>
        <w:t>with</w:t>
      </w:r>
      <w:r>
        <w:rPr>
          <w:spacing w:val="-10"/>
          <w:u w:val="none"/>
        </w:rPr>
        <w:t> </w:t>
      </w:r>
      <w:r>
        <w:rPr>
          <w:u w:val="none"/>
        </w:rPr>
        <w:t>the</w:t>
      </w:r>
      <w:r>
        <w:rPr>
          <w:spacing w:val="-10"/>
          <w:u w:val="none"/>
        </w:rPr>
        <w:t> </w:t>
      </w:r>
      <w:r>
        <w:rPr>
          <w:u w:val="none"/>
        </w:rPr>
        <w:t>Commission</w:t>
      </w:r>
      <w:r>
        <w:rPr>
          <w:spacing w:val="-10"/>
          <w:u w:val="none"/>
        </w:rPr>
        <w:t> </w:t>
      </w:r>
      <w:r>
        <w:rPr>
          <w:u w:val="none"/>
        </w:rPr>
        <w:t>that</w:t>
      </w:r>
      <w:r>
        <w:rPr>
          <w:spacing w:val="-11"/>
          <w:u w:val="none"/>
        </w:rPr>
        <w:t> </w:t>
      </w:r>
      <w:r>
        <w:rPr>
          <w:u w:val="none"/>
        </w:rPr>
        <w:t>it</w:t>
      </w:r>
      <w:r>
        <w:rPr>
          <w:spacing w:val="-11"/>
          <w:u w:val="none"/>
        </w:rPr>
        <w:t> </w:t>
      </w:r>
      <w:r>
        <w:rPr>
          <w:u w:val="none"/>
        </w:rPr>
        <w:t>is</w:t>
      </w:r>
      <w:r>
        <w:rPr>
          <w:spacing w:val="-10"/>
          <w:u w:val="none"/>
        </w:rPr>
        <w:t> </w:t>
      </w:r>
      <w:r>
        <w:rPr>
          <w:u w:val="none"/>
        </w:rPr>
        <w:t>hoping</w:t>
      </w:r>
      <w:r>
        <w:rPr>
          <w:spacing w:val="-10"/>
          <w:u w:val="none"/>
        </w:rPr>
        <w:t> </w:t>
      </w:r>
      <w:r>
        <w:rPr>
          <w:u w:val="none"/>
        </w:rPr>
        <w:t>to</w:t>
      </w:r>
      <w:r>
        <w:rPr>
          <w:spacing w:val="-8"/>
          <w:u w:val="none"/>
        </w:rPr>
        <w:t> </w:t>
      </w:r>
      <w:r>
        <w:rPr>
          <w:u w:val="none"/>
        </w:rPr>
        <w:t>engage</w:t>
      </w:r>
      <w:r>
        <w:rPr>
          <w:spacing w:val="-10"/>
          <w:u w:val="none"/>
        </w:rPr>
        <w:t> </w:t>
      </w:r>
      <w:r>
        <w:rPr>
          <w:u w:val="none"/>
        </w:rPr>
        <w:t>soon</w:t>
      </w:r>
      <w:r>
        <w:rPr>
          <w:spacing w:val="-9"/>
          <w:u w:val="none"/>
        </w:rPr>
        <w:t> </w:t>
      </w:r>
      <w:r>
        <w:rPr>
          <w:u w:val="none"/>
        </w:rPr>
        <w:t>with</w:t>
      </w:r>
      <w:r>
        <w:rPr>
          <w:spacing w:val="-10"/>
          <w:u w:val="none"/>
        </w:rPr>
        <w:t> </w:t>
      </w:r>
      <w:r>
        <w:rPr>
          <w:u w:val="none"/>
        </w:rPr>
        <w:t>the</w:t>
      </w:r>
      <w:r>
        <w:rPr>
          <w:spacing w:val="-10"/>
          <w:u w:val="none"/>
        </w:rPr>
        <w:t> </w:t>
      </w:r>
      <w:r>
        <w:rPr>
          <w:u w:val="none"/>
        </w:rPr>
        <w:t>AGLY</w:t>
      </w:r>
      <w:r>
        <w:rPr>
          <w:spacing w:val="-11"/>
          <w:u w:val="none"/>
        </w:rPr>
        <w:t> </w:t>
      </w:r>
      <w:r>
        <w:rPr>
          <w:u w:val="none"/>
        </w:rPr>
        <w:t>network</w:t>
      </w:r>
      <w:r>
        <w:rPr>
          <w:spacing w:val="-11"/>
          <w:u w:val="none"/>
        </w:rPr>
        <w:t> </w:t>
      </w:r>
      <w:r>
        <w:rPr>
          <w:u w:val="none"/>
        </w:rPr>
        <w:t>across</w:t>
      </w:r>
      <w:r>
        <w:rPr>
          <w:spacing w:val="-10"/>
          <w:u w:val="none"/>
        </w:rPr>
        <w:t> </w:t>
      </w:r>
      <w:r>
        <w:rPr>
          <w:u w:val="none"/>
        </w:rPr>
        <w:t>the</w:t>
      </w:r>
      <w:r>
        <w:rPr>
          <w:spacing w:val="-10"/>
          <w:u w:val="none"/>
        </w:rPr>
        <w:t> </w:t>
      </w:r>
      <w:r>
        <w:rPr>
          <w:u w:val="none"/>
        </w:rPr>
        <w:t>state to learn more about potential ways of collaborating with LGBTQ partners and youth.</w:t>
      </w:r>
    </w:p>
    <w:p>
      <w:pPr>
        <w:numPr>
          <w:ilvl w:val="0"/>
          <w:numId w:val="40"/>
        </w:numPr>
        <w:tabs>
          <w:tab w:pos="481" w:val="left" w:leader="none"/>
          <w:tab w:pos="483" w:val="left" w:leader="none"/>
        </w:tabs>
        <w:spacing w:line="276" w:lineRule="auto" w:before="240"/>
        <w:ind w:left="483" w:right="343" w:hanging="360"/>
        <w:jc w:val="both"/>
        <w:rPr>
          <w:b/>
          <w:sz w:val="22"/>
        </w:rPr>
      </w:pPr>
      <w:r>
        <w:rPr>
          <w:b/>
          <w:sz w:val="22"/>
        </w:rPr>
        <w:t>Collaborate with youth-serving agencies, including the Department of Children &amp; Families, the Department of Youth Services, MassHealth, the Department of Developmental Services, the Department</w:t>
      </w:r>
      <w:r>
        <w:rPr>
          <w:b/>
          <w:spacing w:val="-6"/>
          <w:sz w:val="22"/>
        </w:rPr>
        <w:t> </w:t>
      </w:r>
      <w:r>
        <w:rPr>
          <w:b/>
          <w:sz w:val="22"/>
        </w:rPr>
        <w:t>of</w:t>
      </w:r>
      <w:r>
        <w:rPr>
          <w:b/>
          <w:spacing w:val="-6"/>
          <w:sz w:val="22"/>
        </w:rPr>
        <w:t> </w:t>
      </w:r>
      <w:r>
        <w:rPr>
          <w:b/>
          <w:sz w:val="22"/>
        </w:rPr>
        <w:t>Public</w:t>
      </w:r>
      <w:r>
        <w:rPr>
          <w:b/>
          <w:spacing w:val="-6"/>
          <w:sz w:val="22"/>
        </w:rPr>
        <w:t> </w:t>
      </w:r>
      <w:r>
        <w:rPr>
          <w:b/>
          <w:sz w:val="22"/>
        </w:rPr>
        <w:t>Health,</w:t>
      </w:r>
      <w:r>
        <w:rPr>
          <w:b/>
          <w:spacing w:val="-5"/>
          <w:sz w:val="22"/>
        </w:rPr>
        <w:t> </w:t>
      </w:r>
      <w:r>
        <w:rPr>
          <w:b/>
          <w:sz w:val="22"/>
        </w:rPr>
        <w:t>and</w:t>
      </w:r>
      <w:r>
        <w:rPr>
          <w:b/>
          <w:spacing w:val="-5"/>
          <w:sz w:val="22"/>
        </w:rPr>
        <w:t> </w:t>
      </w:r>
      <w:r>
        <w:rPr>
          <w:b/>
          <w:sz w:val="22"/>
        </w:rPr>
        <w:t>the</w:t>
      </w:r>
      <w:r>
        <w:rPr>
          <w:b/>
          <w:spacing w:val="-5"/>
          <w:sz w:val="22"/>
        </w:rPr>
        <w:t> </w:t>
      </w:r>
      <w:r>
        <w:rPr>
          <w:b/>
          <w:sz w:val="22"/>
        </w:rPr>
        <w:t>Executive</w:t>
      </w:r>
      <w:r>
        <w:rPr>
          <w:b/>
          <w:spacing w:val="-7"/>
          <w:sz w:val="22"/>
        </w:rPr>
        <w:t> </w:t>
      </w:r>
      <w:r>
        <w:rPr>
          <w:b/>
          <w:sz w:val="22"/>
        </w:rPr>
        <w:t>Office</w:t>
      </w:r>
      <w:r>
        <w:rPr>
          <w:b/>
          <w:spacing w:val="-8"/>
          <w:sz w:val="22"/>
        </w:rPr>
        <w:t> </w:t>
      </w:r>
      <w:r>
        <w:rPr>
          <w:b/>
          <w:sz w:val="22"/>
        </w:rPr>
        <w:t>of</w:t>
      </w:r>
      <w:r>
        <w:rPr>
          <w:b/>
          <w:spacing w:val="-5"/>
          <w:sz w:val="22"/>
        </w:rPr>
        <w:t> </w:t>
      </w:r>
      <w:r>
        <w:rPr>
          <w:b/>
          <w:sz w:val="22"/>
        </w:rPr>
        <w:t>Housing</w:t>
      </w:r>
      <w:r>
        <w:rPr>
          <w:b/>
          <w:spacing w:val="-6"/>
          <w:sz w:val="22"/>
        </w:rPr>
        <w:t> </w:t>
      </w:r>
      <w:r>
        <w:rPr>
          <w:b/>
          <w:sz w:val="22"/>
        </w:rPr>
        <w:t>and</w:t>
      </w:r>
      <w:r>
        <w:rPr>
          <w:b/>
          <w:spacing w:val="-7"/>
          <w:sz w:val="22"/>
        </w:rPr>
        <w:t> </w:t>
      </w:r>
      <w:r>
        <w:rPr>
          <w:b/>
          <w:sz w:val="22"/>
        </w:rPr>
        <w:t>Livable</w:t>
      </w:r>
      <w:r>
        <w:rPr>
          <w:b/>
          <w:spacing w:val="-5"/>
          <w:sz w:val="22"/>
        </w:rPr>
        <w:t> </w:t>
      </w:r>
      <w:r>
        <w:rPr>
          <w:b/>
          <w:sz w:val="22"/>
        </w:rPr>
        <w:t>Communities,</w:t>
      </w:r>
      <w:r>
        <w:rPr>
          <w:b/>
          <w:spacing w:val="-7"/>
          <w:sz w:val="22"/>
        </w:rPr>
        <w:t> </w:t>
      </w:r>
      <w:r>
        <w:rPr>
          <w:b/>
          <w:sz w:val="22"/>
        </w:rPr>
        <w:t>to</w:t>
      </w:r>
      <w:r>
        <w:rPr>
          <w:b/>
          <w:spacing w:val="-7"/>
          <w:sz w:val="22"/>
        </w:rPr>
        <w:t> </w:t>
      </w:r>
      <w:r>
        <w:rPr>
          <w:b/>
          <w:sz w:val="22"/>
        </w:rPr>
        <w:t>develop clear guidance and instructions on how to ensure that youth transitioning between state systems are receiving needed services and resources.</w:t>
      </w:r>
    </w:p>
    <w:p>
      <w:pPr>
        <w:pStyle w:val="BodyText"/>
        <w:spacing w:line="276" w:lineRule="auto" w:before="240"/>
        <w:ind w:left="483" w:right="342"/>
        <w:jc w:val="both"/>
      </w:pPr>
      <w:r>
        <w:rPr/>
        <w:t>As</w:t>
      </w:r>
      <w:r>
        <w:rPr>
          <w:spacing w:val="-6"/>
        </w:rPr>
        <w:t> </w:t>
      </w:r>
      <w:r>
        <w:rPr/>
        <w:t>noted</w:t>
      </w:r>
      <w:r>
        <w:rPr>
          <w:spacing w:val="-7"/>
        </w:rPr>
        <w:t> </w:t>
      </w:r>
      <w:r>
        <w:rPr/>
        <w:t>throughout</w:t>
      </w:r>
      <w:r>
        <w:rPr>
          <w:spacing w:val="-6"/>
        </w:rPr>
        <w:t> </w:t>
      </w:r>
      <w:r>
        <w:rPr/>
        <w:t>this</w:t>
      </w:r>
      <w:r>
        <w:rPr>
          <w:spacing w:val="-6"/>
        </w:rPr>
        <w:t> </w:t>
      </w:r>
      <w:r>
        <w:rPr/>
        <w:t>report</w:t>
      </w:r>
      <w:r>
        <w:rPr>
          <w:spacing w:val="-7"/>
        </w:rPr>
        <w:t> </w:t>
      </w:r>
      <w:r>
        <w:rPr/>
        <w:t>and</w:t>
      </w:r>
      <w:r>
        <w:rPr>
          <w:spacing w:val="-7"/>
        </w:rPr>
        <w:t> </w:t>
      </w:r>
      <w:r>
        <w:rPr/>
        <w:t>first</w:t>
      </w:r>
      <w:r>
        <w:rPr>
          <w:spacing w:val="-7"/>
        </w:rPr>
        <w:t> </w:t>
      </w:r>
      <w:r>
        <w:rPr/>
        <w:t>introduced</w:t>
      </w:r>
      <w:r>
        <w:rPr>
          <w:spacing w:val="-7"/>
        </w:rPr>
        <w:t> </w:t>
      </w:r>
      <w:r>
        <w:rPr/>
        <w:t>in</w:t>
      </w:r>
      <w:r>
        <w:rPr>
          <w:spacing w:val="-7"/>
        </w:rPr>
        <w:t> </w:t>
      </w:r>
      <w:r>
        <w:rPr/>
        <w:t>FY</w:t>
      </w:r>
      <w:r>
        <w:rPr>
          <w:spacing w:val="-7"/>
        </w:rPr>
        <w:t> </w:t>
      </w:r>
      <w:r>
        <w:rPr/>
        <w:t>2024,</w:t>
      </w:r>
      <w:r>
        <w:rPr>
          <w:spacing w:val="-6"/>
        </w:rPr>
        <w:t> </w:t>
      </w:r>
      <w:r>
        <w:rPr/>
        <w:t>the</w:t>
      </w:r>
      <w:r>
        <w:rPr>
          <w:spacing w:val="-7"/>
        </w:rPr>
        <w:t> </w:t>
      </w:r>
      <w:r>
        <w:rPr/>
        <w:t>Commission</w:t>
      </w:r>
      <w:r>
        <w:rPr>
          <w:spacing w:val="-7"/>
        </w:rPr>
        <w:t> </w:t>
      </w:r>
      <w:r>
        <w:rPr/>
        <w:t>understands</w:t>
      </w:r>
      <w:r>
        <w:rPr>
          <w:spacing w:val="-6"/>
        </w:rPr>
        <w:t> </w:t>
      </w:r>
      <w:r>
        <w:rPr/>
        <w:t>from</w:t>
      </w:r>
      <w:r>
        <w:rPr>
          <w:spacing w:val="-7"/>
        </w:rPr>
        <w:t> </w:t>
      </w:r>
      <w:r>
        <w:rPr/>
        <w:t>youth and</w:t>
      </w:r>
      <w:r>
        <w:rPr>
          <w:spacing w:val="-9"/>
        </w:rPr>
        <w:t> </w:t>
      </w:r>
      <w:r>
        <w:rPr/>
        <w:t>providers</w:t>
      </w:r>
      <w:r>
        <w:rPr>
          <w:spacing w:val="-7"/>
        </w:rPr>
        <w:t> </w:t>
      </w:r>
      <w:r>
        <w:rPr/>
        <w:t>that</w:t>
      </w:r>
      <w:r>
        <w:rPr>
          <w:spacing w:val="-8"/>
        </w:rPr>
        <w:t> </w:t>
      </w:r>
      <w:r>
        <w:rPr/>
        <w:t>there</w:t>
      </w:r>
      <w:r>
        <w:rPr>
          <w:spacing w:val="-8"/>
        </w:rPr>
        <w:t> </w:t>
      </w:r>
      <w:r>
        <w:rPr/>
        <w:t>remain</w:t>
      </w:r>
      <w:r>
        <w:rPr>
          <w:spacing w:val="-9"/>
        </w:rPr>
        <w:t> </w:t>
      </w:r>
      <w:r>
        <w:rPr/>
        <w:t>some</w:t>
      </w:r>
      <w:r>
        <w:rPr>
          <w:spacing w:val="-8"/>
        </w:rPr>
        <w:t> </w:t>
      </w:r>
      <w:r>
        <w:rPr/>
        <w:t>critical</w:t>
      </w:r>
      <w:r>
        <w:rPr>
          <w:spacing w:val="-9"/>
        </w:rPr>
        <w:t> </w:t>
      </w:r>
      <w:r>
        <w:rPr/>
        <w:t>gaps</w:t>
      </w:r>
      <w:r>
        <w:rPr>
          <w:spacing w:val="-8"/>
        </w:rPr>
        <w:t> </w:t>
      </w:r>
      <w:r>
        <w:rPr/>
        <w:t>in</w:t>
      </w:r>
      <w:r>
        <w:rPr>
          <w:spacing w:val="-9"/>
        </w:rPr>
        <w:t> </w:t>
      </w:r>
      <w:r>
        <w:rPr/>
        <w:t>service</w:t>
      </w:r>
      <w:r>
        <w:rPr>
          <w:spacing w:val="-9"/>
        </w:rPr>
        <w:t> </w:t>
      </w:r>
      <w:r>
        <w:rPr/>
        <w:t>provision</w:t>
      </w:r>
      <w:r>
        <w:rPr>
          <w:spacing w:val="-9"/>
        </w:rPr>
        <w:t> </w:t>
      </w:r>
      <w:r>
        <w:rPr/>
        <w:t>for</w:t>
      </w:r>
      <w:r>
        <w:rPr>
          <w:spacing w:val="-9"/>
        </w:rPr>
        <w:t> </w:t>
      </w:r>
      <w:r>
        <w:rPr/>
        <w:t>transition-aged</w:t>
      </w:r>
      <w:r>
        <w:rPr>
          <w:spacing w:val="-9"/>
        </w:rPr>
        <w:t> </w:t>
      </w:r>
      <w:r>
        <w:rPr/>
        <w:t>youth,</w:t>
      </w:r>
      <w:r>
        <w:rPr>
          <w:spacing w:val="-8"/>
        </w:rPr>
        <w:t> </w:t>
      </w:r>
      <w:r>
        <w:rPr/>
        <w:t>and</w:t>
      </w:r>
      <w:r>
        <w:rPr>
          <w:spacing w:val="-9"/>
        </w:rPr>
        <w:t> </w:t>
      </w:r>
      <w:r>
        <w:rPr/>
        <w:t>that QTBIPOC youth seem to be among the most underserved populations. DMH is not solely responsible for the failures of agencies to appropriately support transition- aged youth, and the Commission notes that the one of the only ways to fully address these inequities are to improve cross-agency collaboration among youth-serving agencies in partnership with community providers, families, and youth.</w:t>
      </w:r>
    </w:p>
    <w:p>
      <w:pPr>
        <w:pStyle w:val="BodyText"/>
        <w:spacing w:line="276" w:lineRule="auto" w:before="239"/>
        <w:ind w:left="483" w:right="338"/>
        <w:jc w:val="both"/>
      </w:pPr>
      <w:r>
        <w:rPr/>
        <w:t>The Commission appreciates DMH’s commitment to ensuring successful transitions for LGBTQ youth within</w:t>
      </w:r>
      <w:r>
        <w:rPr>
          <w:spacing w:val="-6"/>
        </w:rPr>
        <w:t> </w:t>
      </w:r>
      <w:r>
        <w:rPr/>
        <w:t>and</w:t>
      </w:r>
      <w:r>
        <w:rPr>
          <w:spacing w:val="-6"/>
        </w:rPr>
        <w:t> </w:t>
      </w:r>
      <w:r>
        <w:rPr/>
        <w:t>between</w:t>
      </w:r>
      <w:r>
        <w:rPr>
          <w:spacing w:val="-6"/>
        </w:rPr>
        <w:t> </w:t>
      </w:r>
      <w:r>
        <w:rPr/>
        <w:t>agency</w:t>
      </w:r>
      <w:r>
        <w:rPr>
          <w:spacing w:val="-5"/>
        </w:rPr>
        <w:t> </w:t>
      </w:r>
      <w:r>
        <w:rPr/>
        <w:t>services.</w:t>
      </w:r>
      <w:r>
        <w:rPr>
          <w:spacing w:val="-6"/>
        </w:rPr>
        <w:t> </w:t>
      </w:r>
      <w:r>
        <w:rPr/>
        <w:t>The</w:t>
      </w:r>
      <w:r>
        <w:rPr>
          <w:spacing w:val="-6"/>
        </w:rPr>
        <w:t> </w:t>
      </w:r>
      <w:r>
        <w:rPr/>
        <w:t>Commission</w:t>
      </w:r>
      <w:r>
        <w:rPr>
          <w:spacing w:val="-6"/>
        </w:rPr>
        <w:t> </w:t>
      </w:r>
      <w:r>
        <w:rPr/>
        <w:t>understands</w:t>
      </w:r>
      <w:r>
        <w:rPr>
          <w:spacing w:val="-5"/>
        </w:rPr>
        <w:t> </w:t>
      </w:r>
      <w:r>
        <w:rPr/>
        <w:t>that</w:t>
      </w:r>
      <w:r>
        <w:rPr>
          <w:spacing w:val="-6"/>
        </w:rPr>
        <w:t> </w:t>
      </w:r>
      <w:r>
        <w:rPr/>
        <w:t>DMH</w:t>
      </w:r>
      <w:r>
        <w:rPr>
          <w:spacing w:val="-5"/>
        </w:rPr>
        <w:t> </w:t>
      </w:r>
      <w:r>
        <w:rPr/>
        <w:t>implements</w:t>
      </w:r>
      <w:r>
        <w:rPr>
          <w:spacing w:val="-5"/>
        </w:rPr>
        <w:t> </w:t>
      </w:r>
      <w:r>
        <w:rPr/>
        <w:t>a</w:t>
      </w:r>
      <w:r>
        <w:rPr>
          <w:spacing w:val="-4"/>
        </w:rPr>
        <w:t> </w:t>
      </w:r>
      <w:r>
        <w:rPr/>
        <w:t>wide</w:t>
      </w:r>
      <w:r>
        <w:rPr>
          <w:spacing w:val="-6"/>
        </w:rPr>
        <w:t> </w:t>
      </w:r>
      <w:r>
        <w:rPr/>
        <w:t>array</w:t>
      </w:r>
      <w:r>
        <w:rPr>
          <w:spacing w:val="-5"/>
        </w:rPr>
        <w:t> </w:t>
      </w:r>
      <w:r>
        <w:rPr/>
        <w:t>of collaborations across the state to support youth and families; DMH notes that its efforts include participation</w:t>
      </w:r>
      <w:r>
        <w:rPr>
          <w:spacing w:val="-4"/>
        </w:rPr>
        <w:t> </w:t>
      </w:r>
      <w:r>
        <w:rPr/>
        <w:t>in</w:t>
      </w:r>
      <w:r>
        <w:rPr>
          <w:spacing w:val="-5"/>
        </w:rPr>
        <w:t> </w:t>
      </w:r>
      <w:r>
        <w:rPr/>
        <w:t>interagency</w:t>
      </w:r>
      <w:r>
        <w:rPr>
          <w:spacing w:val="-5"/>
        </w:rPr>
        <w:t> </w:t>
      </w:r>
      <w:r>
        <w:rPr/>
        <w:t>working</w:t>
      </w:r>
      <w:r>
        <w:rPr>
          <w:spacing w:val="-5"/>
        </w:rPr>
        <w:t> </w:t>
      </w:r>
      <w:r>
        <w:rPr/>
        <w:t>groups;</w:t>
      </w:r>
      <w:r>
        <w:rPr>
          <w:spacing w:val="-5"/>
        </w:rPr>
        <w:t> </w:t>
      </w:r>
      <w:r>
        <w:rPr/>
        <w:t>cross-agency</w:t>
      </w:r>
      <w:r>
        <w:rPr>
          <w:spacing w:val="-5"/>
        </w:rPr>
        <w:t> </w:t>
      </w:r>
      <w:r>
        <w:rPr/>
        <w:t>forums</w:t>
      </w:r>
      <w:r>
        <w:rPr>
          <w:spacing w:val="-4"/>
        </w:rPr>
        <w:t> </w:t>
      </w:r>
      <w:r>
        <w:rPr/>
        <w:t>and</w:t>
      </w:r>
      <w:r>
        <w:rPr>
          <w:spacing w:val="-5"/>
        </w:rPr>
        <w:t> </w:t>
      </w:r>
      <w:r>
        <w:rPr/>
        <w:t>individual</w:t>
      </w:r>
      <w:r>
        <w:rPr>
          <w:spacing w:val="-5"/>
        </w:rPr>
        <w:t> </w:t>
      </w:r>
      <w:r>
        <w:rPr/>
        <w:t>transition</w:t>
      </w:r>
      <w:r>
        <w:rPr>
          <w:spacing w:val="-5"/>
        </w:rPr>
        <w:t> </w:t>
      </w:r>
      <w:r>
        <w:rPr/>
        <w:t>plan</w:t>
      </w:r>
      <w:r>
        <w:rPr>
          <w:spacing w:val="-5"/>
        </w:rPr>
        <w:t> </w:t>
      </w:r>
      <w:r>
        <w:rPr/>
        <w:t>meetings around specific youth, including area level consultations; and the creation of a new role in 2022 of the Director of Young Adult Transitional Services to review transition processes and identify gaps in systems and policies. Many of these processes already involve other state agencies, including DYS, MassHealth,</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45"/>
        <w:jc w:val="both"/>
      </w:pPr>
      <w:r>
        <w:rPr/>
        <w:t>and</w:t>
      </w:r>
      <w:r>
        <w:rPr>
          <w:spacing w:val="-8"/>
        </w:rPr>
        <w:t> </w:t>
      </w:r>
      <w:r>
        <w:rPr/>
        <w:t>DCF.</w:t>
      </w:r>
      <w:r>
        <w:rPr>
          <w:spacing w:val="-6"/>
        </w:rPr>
        <w:t> </w:t>
      </w:r>
      <w:r>
        <w:rPr/>
        <w:t>However,</w:t>
      </w:r>
      <w:r>
        <w:rPr>
          <w:spacing w:val="-7"/>
        </w:rPr>
        <w:t> </w:t>
      </w:r>
      <w:r>
        <w:rPr/>
        <w:t>the</w:t>
      </w:r>
      <w:r>
        <w:rPr>
          <w:spacing w:val="-7"/>
        </w:rPr>
        <w:t> </w:t>
      </w:r>
      <w:r>
        <w:rPr/>
        <w:t>Commission</w:t>
      </w:r>
      <w:r>
        <w:rPr>
          <w:spacing w:val="-8"/>
        </w:rPr>
        <w:t> </w:t>
      </w:r>
      <w:r>
        <w:rPr/>
        <w:t>and</w:t>
      </w:r>
      <w:r>
        <w:rPr>
          <w:spacing w:val="-7"/>
        </w:rPr>
        <w:t> </w:t>
      </w:r>
      <w:r>
        <w:rPr/>
        <w:t>DMH</w:t>
      </w:r>
      <w:r>
        <w:rPr>
          <w:spacing w:val="-8"/>
        </w:rPr>
        <w:t> </w:t>
      </w:r>
      <w:r>
        <w:rPr/>
        <w:t>agree</w:t>
      </w:r>
      <w:r>
        <w:rPr>
          <w:spacing w:val="-7"/>
        </w:rPr>
        <w:t> </w:t>
      </w:r>
      <w:r>
        <w:rPr/>
        <w:t>that</w:t>
      </w:r>
      <w:r>
        <w:rPr>
          <w:spacing w:val="-7"/>
        </w:rPr>
        <w:t> </w:t>
      </w:r>
      <w:r>
        <w:rPr/>
        <w:t>processes</w:t>
      </w:r>
      <w:r>
        <w:rPr>
          <w:spacing w:val="-7"/>
        </w:rPr>
        <w:t> </w:t>
      </w:r>
      <w:r>
        <w:rPr/>
        <w:t>can</w:t>
      </w:r>
      <w:r>
        <w:rPr>
          <w:spacing w:val="-7"/>
        </w:rPr>
        <w:t> </w:t>
      </w:r>
      <w:r>
        <w:rPr/>
        <w:t>be</w:t>
      </w:r>
      <w:r>
        <w:rPr>
          <w:spacing w:val="-7"/>
        </w:rPr>
        <w:t> </w:t>
      </w:r>
      <w:r>
        <w:rPr/>
        <w:t>further</w:t>
      </w:r>
      <w:r>
        <w:rPr>
          <w:spacing w:val="-6"/>
        </w:rPr>
        <w:t> </w:t>
      </w:r>
      <w:r>
        <w:rPr/>
        <w:t>strengthened</w:t>
      </w:r>
      <w:r>
        <w:rPr>
          <w:spacing w:val="-7"/>
        </w:rPr>
        <w:t> </w:t>
      </w:r>
      <w:r>
        <w:rPr/>
        <w:t>to</w:t>
      </w:r>
      <w:r>
        <w:rPr>
          <w:spacing w:val="-6"/>
        </w:rPr>
        <w:t> </w:t>
      </w:r>
      <w:r>
        <w:rPr/>
        <w:t>better support the needs of multisystem-involved youth.</w:t>
      </w:r>
    </w:p>
    <w:p>
      <w:pPr>
        <w:pStyle w:val="BodyText"/>
        <w:spacing w:line="276" w:lineRule="auto" w:before="240"/>
        <w:ind w:left="483" w:right="342"/>
        <w:jc w:val="both"/>
      </w:pPr>
      <w:r>
        <w:rPr/>
        <w:t>In numerous conversations with its state agency partners, providers, caregivers, and youth, the Commission sees a clear need for more transparent instruction from agencies to their workers and to youth on policies, processes, and the rights of youth and families in state systems. Often, while agencies may have</w:t>
      </w:r>
      <w:r>
        <w:rPr>
          <w:spacing w:val="-1"/>
        </w:rPr>
        <w:t> </w:t>
      </w:r>
      <w:r>
        <w:rPr/>
        <w:t>a policy or process that</w:t>
      </w:r>
      <w:r>
        <w:rPr>
          <w:spacing w:val="-1"/>
        </w:rPr>
        <w:t> </w:t>
      </w:r>
      <w:r>
        <w:rPr/>
        <w:t>could address issues happening on</w:t>
      </w:r>
      <w:r>
        <w:rPr>
          <w:spacing w:val="-1"/>
        </w:rPr>
        <w:t> </w:t>
      </w:r>
      <w:r>
        <w:rPr/>
        <w:t>the</w:t>
      </w:r>
      <w:r>
        <w:rPr>
          <w:spacing w:val="-1"/>
        </w:rPr>
        <w:t> </w:t>
      </w:r>
      <w:r>
        <w:rPr/>
        <w:t>ground, these</w:t>
      </w:r>
      <w:r>
        <w:rPr>
          <w:spacing w:val="-1"/>
        </w:rPr>
        <w:t> </w:t>
      </w:r>
      <w:r>
        <w:rPr/>
        <w:t>practices are</w:t>
      </w:r>
      <w:r>
        <w:rPr>
          <w:spacing w:val="-1"/>
        </w:rPr>
        <w:t> </w:t>
      </w:r>
      <w:r>
        <w:rPr/>
        <w:t>not clear to</w:t>
      </w:r>
      <w:r>
        <w:rPr>
          <w:spacing w:val="-1"/>
        </w:rPr>
        <w:t> </w:t>
      </w:r>
      <w:r>
        <w:rPr/>
        <w:t>workers</w:t>
      </w:r>
      <w:r>
        <w:rPr>
          <w:spacing w:val="-1"/>
        </w:rPr>
        <w:t> </w:t>
      </w:r>
      <w:r>
        <w:rPr/>
        <w:t>or</w:t>
      </w:r>
      <w:r>
        <w:rPr>
          <w:spacing w:val="-2"/>
        </w:rPr>
        <w:t> </w:t>
      </w:r>
      <w:r>
        <w:rPr/>
        <w:t>youth</w:t>
      </w:r>
      <w:r>
        <w:rPr>
          <w:spacing w:val="-2"/>
        </w:rPr>
        <w:t> </w:t>
      </w:r>
      <w:r>
        <w:rPr/>
        <w:t>in</w:t>
      </w:r>
      <w:r>
        <w:rPr>
          <w:spacing w:val="-2"/>
        </w:rPr>
        <w:t> </w:t>
      </w:r>
      <w:r>
        <w:rPr/>
        <w:t>their day-to-day</w:t>
      </w:r>
      <w:r>
        <w:rPr>
          <w:spacing w:val="-2"/>
        </w:rPr>
        <w:t> </w:t>
      </w:r>
      <w:r>
        <w:rPr/>
        <w:t>lives.</w:t>
      </w:r>
      <w:r>
        <w:rPr>
          <w:spacing w:val="-1"/>
        </w:rPr>
        <w:t> </w:t>
      </w:r>
      <w:r>
        <w:rPr/>
        <w:t>Additionally, the</w:t>
      </w:r>
      <w:r>
        <w:rPr>
          <w:spacing w:val="-2"/>
        </w:rPr>
        <w:t> </w:t>
      </w:r>
      <w:r>
        <w:rPr/>
        <w:t>level</w:t>
      </w:r>
      <w:r>
        <w:rPr>
          <w:spacing w:val="-1"/>
        </w:rPr>
        <w:t> </w:t>
      </w:r>
      <w:r>
        <w:rPr/>
        <w:t>of misinformation</w:t>
      </w:r>
      <w:r>
        <w:rPr>
          <w:spacing w:val="-1"/>
        </w:rPr>
        <w:t> </w:t>
      </w:r>
      <w:r>
        <w:rPr/>
        <w:t>that</w:t>
      </w:r>
      <w:r>
        <w:rPr>
          <w:spacing w:val="-1"/>
        </w:rPr>
        <w:t> </w:t>
      </w:r>
      <w:r>
        <w:rPr/>
        <w:t>critically affects the experiences of young people is unacceptable and calls for agencies to intentionally create a transparent system of accountability that is accessible for youth, families, and workers.</w:t>
      </w:r>
    </w:p>
    <w:p>
      <w:pPr>
        <w:numPr>
          <w:ilvl w:val="0"/>
          <w:numId w:val="40"/>
        </w:numPr>
        <w:tabs>
          <w:tab w:pos="481" w:val="left" w:leader="none"/>
          <w:tab w:pos="483" w:val="left" w:leader="none"/>
        </w:tabs>
        <w:spacing w:line="276" w:lineRule="auto" w:before="239"/>
        <w:ind w:left="483" w:right="344" w:hanging="360"/>
        <w:jc w:val="left"/>
        <w:rPr>
          <w:b/>
          <w:sz w:val="22"/>
        </w:rPr>
      </w:pPr>
      <w:r>
        <w:rPr>
          <w:b/>
          <w:sz w:val="22"/>
        </w:rPr>
        <w:t>Explore</w:t>
      </w:r>
      <w:r>
        <w:rPr>
          <w:b/>
          <w:spacing w:val="-13"/>
          <w:sz w:val="22"/>
        </w:rPr>
        <w:t> </w:t>
      </w:r>
      <w:r>
        <w:rPr>
          <w:b/>
          <w:sz w:val="22"/>
        </w:rPr>
        <w:t>opportunities</w:t>
      </w:r>
      <w:r>
        <w:rPr>
          <w:b/>
          <w:spacing w:val="-11"/>
          <w:sz w:val="22"/>
        </w:rPr>
        <w:t> </w:t>
      </w:r>
      <w:r>
        <w:rPr>
          <w:b/>
          <w:sz w:val="22"/>
        </w:rPr>
        <w:t>to</w:t>
      </w:r>
      <w:r>
        <w:rPr>
          <w:b/>
          <w:spacing w:val="-13"/>
          <w:sz w:val="22"/>
        </w:rPr>
        <w:t> </w:t>
      </w:r>
      <w:r>
        <w:rPr>
          <w:b/>
          <w:sz w:val="22"/>
        </w:rPr>
        <w:t>implement</w:t>
      </w:r>
      <w:r>
        <w:rPr>
          <w:b/>
          <w:spacing w:val="-12"/>
          <w:sz w:val="22"/>
        </w:rPr>
        <w:t> </w:t>
      </w:r>
      <w:r>
        <w:rPr>
          <w:b/>
          <w:sz w:val="22"/>
        </w:rPr>
        <w:t>a</w:t>
      </w:r>
      <w:r>
        <w:rPr>
          <w:b/>
          <w:spacing w:val="-13"/>
          <w:sz w:val="22"/>
        </w:rPr>
        <w:t> </w:t>
      </w:r>
      <w:r>
        <w:rPr>
          <w:b/>
          <w:sz w:val="22"/>
        </w:rPr>
        <w:t>caregiver</w:t>
      </w:r>
      <w:r>
        <w:rPr>
          <w:b/>
          <w:spacing w:val="-12"/>
          <w:sz w:val="22"/>
        </w:rPr>
        <w:t> </w:t>
      </w:r>
      <w:r>
        <w:rPr>
          <w:b/>
          <w:sz w:val="22"/>
        </w:rPr>
        <w:t>education</w:t>
      </w:r>
      <w:r>
        <w:rPr>
          <w:b/>
          <w:spacing w:val="-13"/>
          <w:sz w:val="22"/>
        </w:rPr>
        <w:t> </w:t>
      </w:r>
      <w:r>
        <w:rPr>
          <w:b/>
          <w:sz w:val="22"/>
        </w:rPr>
        <w:t>training</w:t>
      </w:r>
      <w:r>
        <w:rPr>
          <w:b/>
          <w:spacing w:val="-12"/>
          <w:sz w:val="22"/>
        </w:rPr>
        <w:t> </w:t>
      </w:r>
      <w:r>
        <w:rPr>
          <w:b/>
          <w:sz w:val="22"/>
        </w:rPr>
        <w:t>to</w:t>
      </w:r>
      <w:r>
        <w:rPr>
          <w:b/>
          <w:spacing w:val="-12"/>
          <w:sz w:val="22"/>
        </w:rPr>
        <w:t> </w:t>
      </w:r>
      <w:r>
        <w:rPr>
          <w:b/>
          <w:sz w:val="22"/>
        </w:rPr>
        <w:t>support</w:t>
      </w:r>
      <w:r>
        <w:rPr>
          <w:b/>
          <w:spacing w:val="-13"/>
          <w:sz w:val="22"/>
        </w:rPr>
        <w:t> </w:t>
      </w:r>
      <w:r>
        <w:rPr>
          <w:b/>
          <w:sz w:val="22"/>
        </w:rPr>
        <w:t>LGBTQ</w:t>
      </w:r>
      <w:r>
        <w:rPr>
          <w:b/>
          <w:spacing w:val="-12"/>
          <w:sz w:val="22"/>
        </w:rPr>
        <w:t> </w:t>
      </w:r>
      <w:r>
        <w:rPr>
          <w:b/>
          <w:sz w:val="22"/>
        </w:rPr>
        <w:t>youth</w:t>
      </w:r>
      <w:r>
        <w:rPr>
          <w:b/>
          <w:spacing w:val="-11"/>
          <w:sz w:val="22"/>
        </w:rPr>
        <w:t> </w:t>
      </w:r>
      <w:r>
        <w:rPr>
          <w:b/>
          <w:sz w:val="22"/>
        </w:rPr>
        <w:t>and</w:t>
      </w:r>
      <w:r>
        <w:rPr>
          <w:b/>
          <w:spacing w:val="-13"/>
          <w:sz w:val="22"/>
        </w:rPr>
        <w:t> </w:t>
      </w:r>
      <w:r>
        <w:rPr>
          <w:b/>
          <w:sz w:val="22"/>
        </w:rPr>
        <w:t>families involved in DMH services.</w:t>
      </w:r>
    </w:p>
    <w:p>
      <w:pPr>
        <w:pStyle w:val="BodyText"/>
        <w:spacing w:line="276" w:lineRule="auto" w:before="241"/>
        <w:ind w:left="483" w:right="342"/>
        <w:jc w:val="both"/>
      </w:pPr>
      <w:r>
        <w:rPr/>
        <w:t>LGBTQ</w:t>
      </w:r>
      <w:r>
        <w:rPr>
          <w:spacing w:val="-13"/>
        </w:rPr>
        <w:t> </w:t>
      </w:r>
      <w:r>
        <w:rPr/>
        <w:t>youth</w:t>
      </w:r>
      <w:r>
        <w:rPr>
          <w:spacing w:val="-10"/>
        </w:rPr>
        <w:t> </w:t>
      </w:r>
      <w:r>
        <w:rPr/>
        <w:t>in</w:t>
      </w:r>
      <w:r>
        <w:rPr>
          <w:spacing w:val="-13"/>
        </w:rPr>
        <w:t> </w:t>
      </w:r>
      <w:r>
        <w:rPr/>
        <w:t>unsupportive</w:t>
      </w:r>
      <w:r>
        <w:rPr>
          <w:spacing w:val="-12"/>
        </w:rPr>
        <w:t> </w:t>
      </w:r>
      <w:r>
        <w:rPr/>
        <w:t>households</w:t>
      </w:r>
      <w:r>
        <w:rPr>
          <w:spacing w:val="-11"/>
        </w:rPr>
        <w:t> </w:t>
      </w:r>
      <w:r>
        <w:rPr/>
        <w:t>are</w:t>
      </w:r>
      <w:r>
        <w:rPr>
          <w:spacing w:val="-13"/>
        </w:rPr>
        <w:t> </w:t>
      </w:r>
      <w:r>
        <w:rPr/>
        <w:t>much</w:t>
      </w:r>
      <w:r>
        <w:rPr>
          <w:spacing w:val="-10"/>
        </w:rPr>
        <w:t> </w:t>
      </w:r>
      <w:r>
        <w:rPr/>
        <w:t>more</w:t>
      </w:r>
      <w:r>
        <w:rPr>
          <w:spacing w:val="-13"/>
        </w:rPr>
        <w:t> </w:t>
      </w:r>
      <w:r>
        <w:rPr/>
        <w:t>likely</w:t>
      </w:r>
      <w:r>
        <w:rPr>
          <w:spacing w:val="-10"/>
        </w:rPr>
        <w:t> </w:t>
      </w:r>
      <w:r>
        <w:rPr/>
        <w:t>to</w:t>
      </w:r>
      <w:r>
        <w:rPr>
          <w:spacing w:val="-12"/>
        </w:rPr>
        <w:t> </w:t>
      </w:r>
      <w:r>
        <w:rPr/>
        <w:t>face</w:t>
      </w:r>
      <w:r>
        <w:rPr>
          <w:spacing w:val="-13"/>
        </w:rPr>
        <w:t> </w:t>
      </w:r>
      <w:r>
        <w:rPr/>
        <w:t>significant</w:t>
      </w:r>
      <w:r>
        <w:rPr>
          <w:spacing w:val="-12"/>
        </w:rPr>
        <w:t> </w:t>
      </w:r>
      <w:r>
        <w:rPr/>
        <w:t>mental</w:t>
      </w:r>
      <w:r>
        <w:rPr>
          <w:spacing w:val="-11"/>
        </w:rPr>
        <w:t> </w:t>
      </w:r>
      <w:r>
        <w:rPr/>
        <w:t>health</w:t>
      </w:r>
      <w:r>
        <w:rPr>
          <w:spacing w:val="-11"/>
        </w:rPr>
        <w:t> </w:t>
      </w:r>
      <w:r>
        <w:rPr/>
        <w:t>concerns, abuse, and housing instability. For youth receiving treatment for mental health needs, being ‘outed’ by providers or educators - whether intentionally or unintentionally - to unsupportive caregivers can often put</w:t>
      </w:r>
      <w:r>
        <w:rPr>
          <w:spacing w:val="-8"/>
        </w:rPr>
        <w:t> </w:t>
      </w:r>
      <w:r>
        <w:rPr/>
        <w:t>LGBTQ</w:t>
      </w:r>
      <w:r>
        <w:rPr>
          <w:spacing w:val="-8"/>
        </w:rPr>
        <w:t> </w:t>
      </w:r>
      <w:r>
        <w:rPr/>
        <w:t>youth</w:t>
      </w:r>
      <w:r>
        <w:rPr>
          <w:spacing w:val="-8"/>
        </w:rPr>
        <w:t> </w:t>
      </w:r>
      <w:r>
        <w:rPr/>
        <w:t>in</w:t>
      </w:r>
      <w:r>
        <w:rPr>
          <w:spacing w:val="-8"/>
        </w:rPr>
        <w:t> </w:t>
      </w:r>
      <w:r>
        <w:rPr/>
        <w:t>danger.</w:t>
      </w:r>
      <w:r>
        <w:rPr>
          <w:spacing w:val="-8"/>
        </w:rPr>
        <w:t> </w:t>
      </w:r>
      <w:r>
        <w:rPr/>
        <w:t>However,</w:t>
      </w:r>
      <w:r>
        <w:rPr>
          <w:spacing w:val="-7"/>
        </w:rPr>
        <w:t> </w:t>
      </w:r>
      <w:r>
        <w:rPr/>
        <w:t>the</w:t>
      </w:r>
      <w:r>
        <w:rPr>
          <w:spacing w:val="-8"/>
        </w:rPr>
        <w:t> </w:t>
      </w:r>
      <w:r>
        <w:rPr/>
        <w:t>support</w:t>
      </w:r>
      <w:r>
        <w:rPr>
          <w:spacing w:val="-7"/>
        </w:rPr>
        <w:t> </w:t>
      </w:r>
      <w:r>
        <w:rPr/>
        <w:t>of</w:t>
      </w:r>
      <w:r>
        <w:rPr>
          <w:spacing w:val="-6"/>
        </w:rPr>
        <w:t> </w:t>
      </w:r>
      <w:r>
        <w:rPr/>
        <w:t>mental</w:t>
      </w:r>
      <w:r>
        <w:rPr>
          <w:spacing w:val="-7"/>
        </w:rPr>
        <w:t> </w:t>
      </w:r>
      <w:r>
        <w:rPr/>
        <w:t>health</w:t>
      </w:r>
      <w:r>
        <w:rPr>
          <w:spacing w:val="-8"/>
        </w:rPr>
        <w:t> </w:t>
      </w:r>
      <w:r>
        <w:rPr/>
        <w:t>providers</w:t>
      </w:r>
      <w:r>
        <w:rPr>
          <w:spacing w:val="-7"/>
        </w:rPr>
        <w:t> </w:t>
      </w:r>
      <w:r>
        <w:rPr/>
        <w:t>and</w:t>
      </w:r>
      <w:r>
        <w:rPr>
          <w:spacing w:val="-8"/>
        </w:rPr>
        <w:t> </w:t>
      </w:r>
      <w:r>
        <w:rPr/>
        <w:t>the</w:t>
      </w:r>
      <w:r>
        <w:rPr>
          <w:spacing w:val="-8"/>
        </w:rPr>
        <w:t> </w:t>
      </w:r>
      <w:r>
        <w:rPr/>
        <w:t>space</w:t>
      </w:r>
      <w:r>
        <w:rPr>
          <w:spacing w:val="-7"/>
        </w:rPr>
        <w:t> </w:t>
      </w:r>
      <w:r>
        <w:rPr/>
        <w:t>to</w:t>
      </w:r>
      <w:r>
        <w:rPr>
          <w:spacing w:val="-7"/>
        </w:rPr>
        <w:t> </w:t>
      </w:r>
      <w:r>
        <w:rPr/>
        <w:t>bring</w:t>
      </w:r>
      <w:r>
        <w:rPr>
          <w:spacing w:val="-7"/>
        </w:rPr>
        <w:t> </w:t>
      </w:r>
      <w:r>
        <w:rPr/>
        <w:t>their whole selves to their treatment is essential for LGBTQ youths’ wellbeing. Unfortunately, DMH has noted that</w:t>
      </w:r>
      <w:r>
        <w:rPr>
          <w:spacing w:val="-13"/>
        </w:rPr>
        <w:t> </w:t>
      </w:r>
      <w:r>
        <w:rPr/>
        <w:t>privacy</w:t>
      </w:r>
      <w:r>
        <w:rPr>
          <w:spacing w:val="-11"/>
        </w:rPr>
        <w:t> </w:t>
      </w:r>
      <w:r>
        <w:rPr/>
        <w:t>concerns</w:t>
      </w:r>
      <w:r>
        <w:rPr>
          <w:spacing w:val="-12"/>
        </w:rPr>
        <w:t> </w:t>
      </w:r>
      <w:r>
        <w:rPr/>
        <w:t>can</w:t>
      </w:r>
      <w:r>
        <w:rPr>
          <w:spacing w:val="-11"/>
        </w:rPr>
        <w:t> </w:t>
      </w:r>
      <w:r>
        <w:rPr/>
        <w:t>sometimes</w:t>
      </w:r>
      <w:r>
        <w:rPr>
          <w:spacing w:val="-11"/>
        </w:rPr>
        <w:t> </w:t>
      </w:r>
      <w:r>
        <w:rPr/>
        <w:t>conflict</w:t>
      </w:r>
      <w:r>
        <w:rPr>
          <w:spacing w:val="-12"/>
        </w:rPr>
        <w:t> </w:t>
      </w:r>
      <w:r>
        <w:rPr/>
        <w:t>with</w:t>
      </w:r>
      <w:r>
        <w:rPr>
          <w:spacing w:val="-13"/>
        </w:rPr>
        <w:t> </w:t>
      </w:r>
      <w:r>
        <w:rPr/>
        <w:t>a</w:t>
      </w:r>
      <w:r>
        <w:rPr>
          <w:spacing w:val="-10"/>
        </w:rPr>
        <w:t> </w:t>
      </w:r>
      <w:r>
        <w:rPr/>
        <w:t>guardian’s</w:t>
      </w:r>
      <w:r>
        <w:rPr>
          <w:spacing w:val="-12"/>
        </w:rPr>
        <w:t> </w:t>
      </w:r>
      <w:r>
        <w:rPr/>
        <w:t>legal</w:t>
      </w:r>
      <w:r>
        <w:rPr>
          <w:spacing w:val="-12"/>
        </w:rPr>
        <w:t> </w:t>
      </w:r>
      <w:r>
        <w:rPr/>
        <w:t>rights</w:t>
      </w:r>
      <w:r>
        <w:rPr>
          <w:spacing w:val="-12"/>
        </w:rPr>
        <w:t> </w:t>
      </w:r>
      <w:r>
        <w:rPr/>
        <w:t>to</w:t>
      </w:r>
      <w:r>
        <w:rPr>
          <w:spacing w:val="-12"/>
        </w:rPr>
        <w:t> </w:t>
      </w:r>
      <w:r>
        <w:rPr/>
        <w:t>their</w:t>
      </w:r>
      <w:r>
        <w:rPr>
          <w:spacing w:val="-12"/>
        </w:rPr>
        <w:t> </w:t>
      </w:r>
      <w:r>
        <w:rPr/>
        <w:t>child’s</w:t>
      </w:r>
      <w:r>
        <w:rPr>
          <w:spacing w:val="-12"/>
        </w:rPr>
        <w:t> </w:t>
      </w:r>
      <w:r>
        <w:rPr/>
        <w:t>medical</w:t>
      </w:r>
      <w:r>
        <w:rPr>
          <w:spacing w:val="-12"/>
        </w:rPr>
        <w:t> </w:t>
      </w:r>
      <w:r>
        <w:rPr/>
        <w:t>records, which</w:t>
      </w:r>
      <w:r>
        <w:rPr>
          <w:spacing w:val="-10"/>
        </w:rPr>
        <w:t> </w:t>
      </w:r>
      <w:r>
        <w:rPr/>
        <w:t>can</w:t>
      </w:r>
      <w:r>
        <w:rPr>
          <w:spacing w:val="-10"/>
        </w:rPr>
        <w:t> </w:t>
      </w:r>
      <w:r>
        <w:rPr/>
        <w:t>contain</w:t>
      </w:r>
      <w:r>
        <w:rPr>
          <w:spacing w:val="-11"/>
        </w:rPr>
        <w:t> </w:t>
      </w:r>
      <w:r>
        <w:rPr/>
        <w:t>information</w:t>
      </w:r>
      <w:r>
        <w:rPr>
          <w:spacing w:val="-11"/>
        </w:rPr>
        <w:t> </w:t>
      </w:r>
      <w:r>
        <w:rPr/>
        <w:t>about</w:t>
      </w:r>
      <w:r>
        <w:rPr>
          <w:spacing w:val="-10"/>
        </w:rPr>
        <w:t> </w:t>
      </w:r>
      <w:r>
        <w:rPr/>
        <w:t>chosen</w:t>
      </w:r>
      <w:r>
        <w:rPr>
          <w:spacing w:val="-11"/>
        </w:rPr>
        <w:t> </w:t>
      </w:r>
      <w:r>
        <w:rPr/>
        <w:t>names,</w:t>
      </w:r>
      <w:r>
        <w:rPr>
          <w:spacing w:val="-10"/>
        </w:rPr>
        <w:t> </w:t>
      </w:r>
      <w:r>
        <w:rPr/>
        <w:t>pronouns,</w:t>
      </w:r>
      <w:r>
        <w:rPr>
          <w:spacing w:val="-11"/>
        </w:rPr>
        <w:t> </w:t>
      </w:r>
      <w:r>
        <w:rPr/>
        <w:t>sexual</w:t>
      </w:r>
      <w:r>
        <w:rPr>
          <w:spacing w:val="-11"/>
        </w:rPr>
        <w:t> </w:t>
      </w:r>
      <w:r>
        <w:rPr/>
        <w:t>orientation,</w:t>
      </w:r>
      <w:r>
        <w:rPr>
          <w:spacing w:val="-11"/>
        </w:rPr>
        <w:t> </w:t>
      </w:r>
      <w:r>
        <w:rPr/>
        <w:t>or</w:t>
      </w:r>
      <w:r>
        <w:rPr>
          <w:spacing w:val="-11"/>
        </w:rPr>
        <w:t> </w:t>
      </w:r>
      <w:r>
        <w:rPr/>
        <w:t>gender</w:t>
      </w:r>
      <w:r>
        <w:rPr>
          <w:spacing w:val="-10"/>
        </w:rPr>
        <w:t> </w:t>
      </w:r>
      <w:r>
        <w:rPr/>
        <w:t>identity</w:t>
      </w:r>
      <w:r>
        <w:rPr>
          <w:spacing w:val="-10"/>
        </w:rPr>
        <w:t> </w:t>
      </w:r>
      <w:r>
        <w:rPr/>
        <w:t>that youth</w:t>
      </w:r>
      <w:r>
        <w:rPr>
          <w:spacing w:val="-13"/>
        </w:rPr>
        <w:t> </w:t>
      </w:r>
      <w:r>
        <w:rPr/>
        <w:t>may</w:t>
      </w:r>
      <w:r>
        <w:rPr>
          <w:spacing w:val="-12"/>
        </w:rPr>
        <w:t> </w:t>
      </w:r>
      <w:r>
        <w:rPr/>
        <w:t>not</w:t>
      </w:r>
      <w:r>
        <w:rPr>
          <w:spacing w:val="-13"/>
        </w:rPr>
        <w:t> </w:t>
      </w:r>
      <w:r>
        <w:rPr/>
        <w:t>wish</w:t>
      </w:r>
      <w:r>
        <w:rPr>
          <w:spacing w:val="-12"/>
        </w:rPr>
        <w:t> </w:t>
      </w:r>
      <w:r>
        <w:rPr/>
        <w:t>their</w:t>
      </w:r>
      <w:r>
        <w:rPr>
          <w:spacing w:val="-13"/>
        </w:rPr>
        <w:t> </w:t>
      </w:r>
      <w:r>
        <w:rPr/>
        <w:t>caregivers</w:t>
      </w:r>
      <w:r>
        <w:rPr>
          <w:spacing w:val="-12"/>
        </w:rPr>
        <w:t> </w:t>
      </w:r>
      <w:r>
        <w:rPr/>
        <w:t>to</w:t>
      </w:r>
      <w:r>
        <w:rPr>
          <w:spacing w:val="-13"/>
        </w:rPr>
        <w:t> </w:t>
      </w:r>
      <w:r>
        <w:rPr/>
        <w:t>see.</w:t>
      </w:r>
      <w:r>
        <w:rPr>
          <w:spacing w:val="-12"/>
        </w:rPr>
        <w:t> </w:t>
      </w:r>
      <w:r>
        <w:rPr/>
        <w:t>However,</w:t>
      </w:r>
      <w:r>
        <w:rPr>
          <w:spacing w:val="-12"/>
        </w:rPr>
        <w:t> </w:t>
      </w:r>
      <w:r>
        <w:rPr/>
        <w:t>since</w:t>
      </w:r>
      <w:r>
        <w:rPr>
          <w:spacing w:val="-13"/>
        </w:rPr>
        <w:t> </w:t>
      </w:r>
      <w:r>
        <w:rPr/>
        <w:t>the</w:t>
      </w:r>
      <w:r>
        <w:rPr>
          <w:spacing w:val="-12"/>
        </w:rPr>
        <w:t> </w:t>
      </w:r>
      <w:r>
        <w:rPr/>
        <w:t>Commission</w:t>
      </w:r>
      <w:r>
        <w:rPr>
          <w:spacing w:val="-13"/>
        </w:rPr>
        <w:t> </w:t>
      </w:r>
      <w:r>
        <w:rPr/>
        <w:t>first</w:t>
      </w:r>
      <w:r>
        <w:rPr>
          <w:spacing w:val="-12"/>
        </w:rPr>
        <w:t> </w:t>
      </w:r>
      <w:r>
        <w:rPr/>
        <w:t>issued</w:t>
      </w:r>
      <w:r>
        <w:rPr>
          <w:spacing w:val="-13"/>
        </w:rPr>
        <w:t> </w:t>
      </w:r>
      <w:r>
        <w:rPr/>
        <w:t>a</w:t>
      </w:r>
      <w:r>
        <w:rPr>
          <w:spacing w:val="-12"/>
        </w:rPr>
        <w:t> </w:t>
      </w:r>
      <w:r>
        <w:rPr/>
        <w:t>recommendation highlighting</w:t>
      </w:r>
      <w:r>
        <w:rPr>
          <w:spacing w:val="-6"/>
        </w:rPr>
        <w:t> </w:t>
      </w:r>
      <w:r>
        <w:rPr/>
        <w:t>the</w:t>
      </w:r>
      <w:r>
        <w:rPr>
          <w:spacing w:val="-7"/>
        </w:rPr>
        <w:t> </w:t>
      </w:r>
      <w:r>
        <w:rPr/>
        <w:t>need</w:t>
      </w:r>
      <w:r>
        <w:rPr>
          <w:spacing w:val="-7"/>
        </w:rPr>
        <w:t> </w:t>
      </w:r>
      <w:r>
        <w:rPr/>
        <w:t>for</w:t>
      </w:r>
      <w:r>
        <w:rPr>
          <w:spacing w:val="-5"/>
        </w:rPr>
        <w:t> </w:t>
      </w:r>
      <w:r>
        <w:rPr/>
        <w:t>the</w:t>
      </w:r>
      <w:r>
        <w:rPr>
          <w:spacing w:val="-7"/>
        </w:rPr>
        <w:t> </w:t>
      </w:r>
      <w:r>
        <w:rPr/>
        <w:t>agency</w:t>
      </w:r>
      <w:r>
        <w:rPr>
          <w:spacing w:val="-5"/>
        </w:rPr>
        <w:t> </w:t>
      </w:r>
      <w:r>
        <w:rPr/>
        <w:t>to</w:t>
      </w:r>
      <w:r>
        <w:rPr>
          <w:spacing w:val="-5"/>
        </w:rPr>
        <w:t> </w:t>
      </w:r>
      <w:r>
        <w:rPr/>
        <w:t>better</w:t>
      </w:r>
      <w:r>
        <w:rPr>
          <w:spacing w:val="-6"/>
        </w:rPr>
        <w:t> </w:t>
      </w:r>
      <w:r>
        <w:rPr/>
        <w:t>support</w:t>
      </w:r>
      <w:r>
        <w:rPr>
          <w:spacing w:val="-7"/>
        </w:rPr>
        <w:t> </w:t>
      </w:r>
      <w:r>
        <w:rPr/>
        <w:t>LGBTQ</w:t>
      </w:r>
      <w:r>
        <w:rPr>
          <w:spacing w:val="-7"/>
        </w:rPr>
        <w:t> </w:t>
      </w:r>
      <w:r>
        <w:rPr/>
        <w:t>youth</w:t>
      </w:r>
      <w:r>
        <w:rPr>
          <w:spacing w:val="-7"/>
        </w:rPr>
        <w:t> </w:t>
      </w:r>
      <w:r>
        <w:rPr/>
        <w:t>with</w:t>
      </w:r>
      <w:r>
        <w:rPr>
          <w:spacing w:val="-6"/>
        </w:rPr>
        <w:t> </w:t>
      </w:r>
      <w:r>
        <w:rPr/>
        <w:t>unsupportive</w:t>
      </w:r>
      <w:r>
        <w:rPr>
          <w:spacing w:val="-7"/>
        </w:rPr>
        <w:t> </w:t>
      </w:r>
      <w:r>
        <w:rPr/>
        <w:t>families,</w:t>
      </w:r>
      <w:r>
        <w:rPr>
          <w:spacing w:val="-6"/>
        </w:rPr>
        <w:t> </w:t>
      </w:r>
      <w:r>
        <w:rPr/>
        <w:t>DMH</w:t>
      </w:r>
      <w:r>
        <w:rPr>
          <w:spacing w:val="-7"/>
        </w:rPr>
        <w:t> </w:t>
      </w:r>
      <w:r>
        <w:rPr/>
        <w:t>has shared</w:t>
      </w:r>
      <w:r>
        <w:rPr>
          <w:spacing w:val="-7"/>
        </w:rPr>
        <w:t> </w:t>
      </w:r>
      <w:r>
        <w:rPr/>
        <w:t>that</w:t>
      </w:r>
      <w:r>
        <w:rPr>
          <w:spacing w:val="-7"/>
        </w:rPr>
        <w:t> </w:t>
      </w:r>
      <w:r>
        <w:rPr/>
        <w:t>is</w:t>
      </w:r>
      <w:r>
        <w:rPr>
          <w:spacing w:val="-5"/>
        </w:rPr>
        <w:t> </w:t>
      </w:r>
      <w:r>
        <w:rPr/>
        <w:t>is</w:t>
      </w:r>
      <w:r>
        <w:rPr>
          <w:spacing w:val="-6"/>
        </w:rPr>
        <w:t> </w:t>
      </w:r>
      <w:r>
        <w:rPr/>
        <w:t>making</w:t>
      </w:r>
      <w:r>
        <w:rPr>
          <w:spacing w:val="-5"/>
        </w:rPr>
        <w:t> </w:t>
      </w:r>
      <w:r>
        <w:rPr/>
        <w:t>minor</w:t>
      </w:r>
      <w:r>
        <w:rPr>
          <w:spacing w:val="-6"/>
        </w:rPr>
        <w:t> </w:t>
      </w:r>
      <w:r>
        <w:rPr/>
        <w:t>updates</w:t>
      </w:r>
      <w:r>
        <w:rPr>
          <w:spacing w:val="-6"/>
        </w:rPr>
        <w:t> </w:t>
      </w:r>
      <w:r>
        <w:rPr/>
        <w:t>to</w:t>
      </w:r>
      <w:r>
        <w:rPr>
          <w:spacing w:val="-6"/>
        </w:rPr>
        <w:t> </w:t>
      </w:r>
      <w:r>
        <w:rPr/>
        <w:t>its</w:t>
      </w:r>
      <w:r>
        <w:rPr>
          <w:spacing w:val="-6"/>
        </w:rPr>
        <w:t> </w:t>
      </w:r>
      <w:r>
        <w:rPr/>
        <w:t>nondiscrimination</w:t>
      </w:r>
      <w:r>
        <w:rPr>
          <w:spacing w:val="-5"/>
        </w:rPr>
        <w:t> </w:t>
      </w:r>
      <w:r>
        <w:rPr/>
        <w:t>policy</w:t>
      </w:r>
      <w:r>
        <w:rPr>
          <w:spacing w:val="-6"/>
        </w:rPr>
        <w:t> </w:t>
      </w:r>
      <w:r>
        <w:rPr/>
        <w:t>to</w:t>
      </w:r>
      <w:r>
        <w:rPr>
          <w:spacing w:val="-5"/>
        </w:rPr>
        <w:t> </w:t>
      </w:r>
      <w:r>
        <w:rPr/>
        <w:t>provide</w:t>
      </w:r>
      <w:r>
        <w:rPr>
          <w:spacing w:val="-5"/>
        </w:rPr>
        <w:t> </w:t>
      </w:r>
      <w:r>
        <w:rPr/>
        <w:t>clearer</w:t>
      </w:r>
      <w:r>
        <w:rPr>
          <w:spacing w:val="-5"/>
        </w:rPr>
        <w:t> </w:t>
      </w:r>
      <w:r>
        <w:rPr/>
        <w:t>guidance</w:t>
      </w:r>
      <w:r>
        <w:rPr>
          <w:spacing w:val="-5"/>
        </w:rPr>
        <w:t> </w:t>
      </w:r>
      <w:r>
        <w:rPr/>
        <w:t>to</w:t>
      </w:r>
      <w:r>
        <w:rPr>
          <w:spacing w:val="-6"/>
        </w:rPr>
        <w:t> </w:t>
      </w:r>
      <w:r>
        <w:rPr/>
        <w:t>staff in this area. To further its recommendation, the Commission advises that DMH should explore potential opportunities</w:t>
      </w:r>
      <w:r>
        <w:rPr>
          <w:spacing w:val="-1"/>
        </w:rPr>
        <w:t> </w:t>
      </w:r>
      <w:r>
        <w:rPr/>
        <w:t>to</w:t>
      </w:r>
      <w:r>
        <w:rPr>
          <w:spacing w:val="-1"/>
        </w:rPr>
        <w:t> </w:t>
      </w:r>
      <w:r>
        <w:rPr/>
        <w:t>implement</w:t>
      </w:r>
      <w:r>
        <w:rPr>
          <w:spacing w:val="-1"/>
        </w:rPr>
        <w:t> </w:t>
      </w:r>
      <w:r>
        <w:rPr/>
        <w:t>an</w:t>
      </w:r>
      <w:r>
        <w:rPr>
          <w:spacing w:val="-1"/>
        </w:rPr>
        <w:t> </w:t>
      </w:r>
      <w:r>
        <w:rPr/>
        <w:t>LGBTQ</w:t>
      </w:r>
      <w:r>
        <w:rPr>
          <w:spacing w:val="-1"/>
        </w:rPr>
        <w:t> </w:t>
      </w:r>
      <w:r>
        <w:rPr/>
        <w:t>caregiver</w:t>
      </w:r>
      <w:r>
        <w:rPr>
          <w:spacing w:val="-1"/>
        </w:rPr>
        <w:t> </w:t>
      </w:r>
      <w:r>
        <w:rPr/>
        <w:t>acceptance</w:t>
      </w:r>
      <w:r>
        <w:rPr>
          <w:spacing w:val="-1"/>
        </w:rPr>
        <w:t> </w:t>
      </w:r>
      <w:r>
        <w:rPr/>
        <w:t>training</w:t>
      </w:r>
      <w:r>
        <w:rPr>
          <w:spacing w:val="-1"/>
        </w:rPr>
        <w:t> </w:t>
      </w:r>
      <w:r>
        <w:rPr/>
        <w:t>to</w:t>
      </w:r>
      <w:r>
        <w:rPr>
          <w:spacing w:val="-1"/>
        </w:rPr>
        <w:t> </w:t>
      </w:r>
      <w:r>
        <w:rPr/>
        <w:t>support</w:t>
      </w:r>
      <w:r>
        <w:rPr>
          <w:spacing w:val="-1"/>
        </w:rPr>
        <w:t> </w:t>
      </w:r>
      <w:r>
        <w:rPr/>
        <w:t>LGBTQ</w:t>
      </w:r>
      <w:r>
        <w:rPr>
          <w:spacing w:val="-1"/>
        </w:rPr>
        <w:t> </w:t>
      </w:r>
      <w:r>
        <w:rPr/>
        <w:t>youth</w:t>
      </w:r>
      <w:r>
        <w:rPr>
          <w:spacing w:val="-1"/>
        </w:rPr>
        <w:t> </w:t>
      </w:r>
      <w:r>
        <w:rPr/>
        <w:t>involved</w:t>
      </w:r>
      <w:r>
        <w:rPr>
          <w:spacing w:val="-1"/>
        </w:rPr>
        <w:t> </w:t>
      </w:r>
      <w:r>
        <w:rPr/>
        <w:t>in DMH services.</w:t>
      </w:r>
    </w:p>
    <w:p>
      <w:pPr>
        <w:numPr>
          <w:ilvl w:val="0"/>
          <w:numId w:val="40"/>
        </w:numPr>
        <w:tabs>
          <w:tab w:pos="481" w:val="left" w:leader="none"/>
          <w:tab w:pos="483" w:val="left" w:leader="none"/>
        </w:tabs>
        <w:spacing w:line="276" w:lineRule="auto" w:before="239"/>
        <w:ind w:left="483" w:right="343" w:hanging="360"/>
        <w:jc w:val="left"/>
        <w:rPr>
          <w:b/>
          <w:sz w:val="22"/>
        </w:rPr>
      </w:pPr>
      <w:r>
        <w:rPr>
          <w:b/>
          <w:sz w:val="22"/>
        </w:rPr>
        <w:t>Explore</w:t>
      </w:r>
      <w:r>
        <w:rPr>
          <w:b/>
          <w:spacing w:val="-12"/>
          <w:sz w:val="22"/>
        </w:rPr>
        <w:t> </w:t>
      </w:r>
      <w:r>
        <w:rPr>
          <w:b/>
          <w:sz w:val="22"/>
        </w:rPr>
        <w:t>further</w:t>
      </w:r>
      <w:r>
        <w:rPr>
          <w:b/>
          <w:spacing w:val="-11"/>
          <w:sz w:val="22"/>
        </w:rPr>
        <w:t> </w:t>
      </w:r>
      <w:r>
        <w:rPr>
          <w:b/>
          <w:sz w:val="22"/>
        </w:rPr>
        <w:t>SOGIE</w:t>
      </w:r>
      <w:r>
        <w:rPr>
          <w:b/>
          <w:spacing w:val="-12"/>
          <w:sz w:val="22"/>
        </w:rPr>
        <w:t> </w:t>
      </w:r>
      <w:r>
        <w:rPr>
          <w:b/>
          <w:sz w:val="22"/>
        </w:rPr>
        <w:t>data</w:t>
      </w:r>
      <w:r>
        <w:rPr>
          <w:b/>
          <w:spacing w:val="-12"/>
          <w:sz w:val="22"/>
        </w:rPr>
        <w:t> </w:t>
      </w:r>
      <w:r>
        <w:rPr>
          <w:b/>
          <w:sz w:val="22"/>
        </w:rPr>
        <w:t>collection</w:t>
      </w:r>
      <w:r>
        <w:rPr>
          <w:b/>
          <w:spacing w:val="-10"/>
          <w:sz w:val="22"/>
        </w:rPr>
        <w:t> </w:t>
      </w:r>
      <w:r>
        <w:rPr>
          <w:b/>
          <w:sz w:val="22"/>
        </w:rPr>
        <w:t>&amp;</w:t>
      </w:r>
      <w:r>
        <w:rPr>
          <w:b/>
          <w:spacing w:val="-11"/>
          <w:sz w:val="22"/>
        </w:rPr>
        <w:t> </w:t>
      </w:r>
      <w:r>
        <w:rPr>
          <w:b/>
          <w:sz w:val="22"/>
        </w:rPr>
        <w:t>IT</w:t>
      </w:r>
      <w:r>
        <w:rPr>
          <w:b/>
          <w:spacing w:val="-11"/>
          <w:sz w:val="22"/>
        </w:rPr>
        <w:t> </w:t>
      </w:r>
      <w:r>
        <w:rPr>
          <w:b/>
          <w:sz w:val="22"/>
        </w:rPr>
        <w:t>changes</w:t>
      </w:r>
      <w:r>
        <w:rPr>
          <w:b/>
          <w:spacing w:val="-10"/>
          <w:sz w:val="22"/>
        </w:rPr>
        <w:t> </w:t>
      </w:r>
      <w:r>
        <w:rPr>
          <w:b/>
          <w:sz w:val="22"/>
        </w:rPr>
        <w:t>needed</w:t>
      </w:r>
      <w:r>
        <w:rPr>
          <w:b/>
          <w:spacing w:val="-10"/>
          <w:sz w:val="22"/>
        </w:rPr>
        <w:t> </w:t>
      </w:r>
      <w:r>
        <w:rPr>
          <w:b/>
          <w:sz w:val="22"/>
        </w:rPr>
        <w:t>to</w:t>
      </w:r>
      <w:r>
        <w:rPr>
          <w:b/>
          <w:spacing w:val="-11"/>
          <w:sz w:val="22"/>
        </w:rPr>
        <w:t> </w:t>
      </w:r>
      <w:r>
        <w:rPr>
          <w:b/>
          <w:sz w:val="22"/>
        </w:rPr>
        <w:t>collect</w:t>
      </w:r>
      <w:r>
        <w:rPr>
          <w:b/>
          <w:spacing w:val="-12"/>
          <w:sz w:val="22"/>
        </w:rPr>
        <w:t> </w:t>
      </w:r>
      <w:r>
        <w:rPr>
          <w:b/>
          <w:sz w:val="22"/>
        </w:rPr>
        <w:t>comprehensive</w:t>
      </w:r>
      <w:r>
        <w:rPr>
          <w:b/>
          <w:spacing w:val="-12"/>
          <w:sz w:val="22"/>
        </w:rPr>
        <w:t> </w:t>
      </w:r>
      <w:r>
        <w:rPr>
          <w:b/>
          <w:sz w:val="22"/>
        </w:rPr>
        <w:t>data</w:t>
      </w:r>
      <w:r>
        <w:rPr>
          <w:b/>
          <w:spacing w:val="-11"/>
          <w:sz w:val="22"/>
        </w:rPr>
        <w:t> </w:t>
      </w:r>
      <w:r>
        <w:rPr>
          <w:b/>
          <w:sz w:val="22"/>
        </w:rPr>
        <w:t>on</w:t>
      </w:r>
      <w:r>
        <w:rPr>
          <w:b/>
          <w:spacing w:val="-12"/>
          <w:sz w:val="22"/>
        </w:rPr>
        <w:t> </w:t>
      </w:r>
      <w:r>
        <w:rPr>
          <w:b/>
          <w:sz w:val="22"/>
        </w:rPr>
        <w:t>the</w:t>
      </w:r>
      <w:r>
        <w:rPr>
          <w:b/>
          <w:spacing w:val="-12"/>
          <w:sz w:val="22"/>
        </w:rPr>
        <w:t> </w:t>
      </w:r>
      <w:r>
        <w:rPr>
          <w:b/>
          <w:sz w:val="22"/>
        </w:rPr>
        <w:t>mental health needs of LGBTQ youth.</w:t>
      </w:r>
    </w:p>
    <w:p>
      <w:pPr>
        <w:pStyle w:val="BodyText"/>
        <w:spacing w:line="276" w:lineRule="auto" w:before="239"/>
        <w:ind w:left="483" w:right="341"/>
        <w:jc w:val="both"/>
      </w:pPr>
      <w:r>
        <w:rPr/>
        <w:t>For</w:t>
      </w:r>
      <w:r>
        <w:rPr>
          <w:spacing w:val="-3"/>
        </w:rPr>
        <w:t> </w:t>
      </w:r>
      <w:r>
        <w:rPr/>
        <w:t>several</w:t>
      </w:r>
      <w:r>
        <w:rPr>
          <w:spacing w:val="-3"/>
        </w:rPr>
        <w:t> </w:t>
      </w:r>
      <w:r>
        <w:rPr/>
        <w:t>years,</w:t>
      </w:r>
      <w:r>
        <w:rPr>
          <w:spacing w:val="-3"/>
        </w:rPr>
        <w:t> </w:t>
      </w:r>
      <w:r>
        <w:rPr/>
        <w:t>DMH</w:t>
      </w:r>
      <w:r>
        <w:rPr>
          <w:spacing w:val="-3"/>
        </w:rPr>
        <w:t> </w:t>
      </w:r>
      <w:r>
        <w:rPr/>
        <w:t>has</w:t>
      </w:r>
      <w:r>
        <w:rPr>
          <w:spacing w:val="-3"/>
        </w:rPr>
        <w:t> </w:t>
      </w:r>
      <w:r>
        <w:rPr/>
        <w:t>been</w:t>
      </w:r>
      <w:r>
        <w:rPr>
          <w:spacing w:val="-2"/>
        </w:rPr>
        <w:t> </w:t>
      </w:r>
      <w:r>
        <w:rPr/>
        <w:t>exploring</w:t>
      </w:r>
      <w:r>
        <w:rPr>
          <w:spacing w:val="-3"/>
        </w:rPr>
        <w:t> </w:t>
      </w:r>
      <w:r>
        <w:rPr/>
        <w:t>opportunities</w:t>
      </w:r>
      <w:r>
        <w:rPr>
          <w:spacing w:val="-3"/>
        </w:rPr>
        <w:t> </w:t>
      </w:r>
      <w:r>
        <w:rPr/>
        <w:t>to</w:t>
      </w:r>
      <w:r>
        <w:rPr>
          <w:spacing w:val="-1"/>
        </w:rPr>
        <w:t> </w:t>
      </w:r>
      <w:r>
        <w:rPr/>
        <w:t>collect</w:t>
      </w:r>
      <w:r>
        <w:rPr>
          <w:spacing w:val="-2"/>
        </w:rPr>
        <w:t> </w:t>
      </w:r>
      <w:r>
        <w:rPr/>
        <w:t>comprehensive</w:t>
      </w:r>
      <w:r>
        <w:rPr>
          <w:spacing w:val="-3"/>
        </w:rPr>
        <w:t> </w:t>
      </w:r>
      <w:r>
        <w:rPr/>
        <w:t>SOGIE</w:t>
      </w:r>
      <w:r>
        <w:rPr>
          <w:spacing w:val="-3"/>
        </w:rPr>
        <w:t> </w:t>
      </w:r>
      <w:r>
        <w:rPr/>
        <w:t>data.</w:t>
      </w:r>
      <w:r>
        <w:rPr>
          <w:spacing w:val="-3"/>
        </w:rPr>
        <w:t> </w:t>
      </w:r>
      <w:r>
        <w:rPr/>
        <w:t>In</w:t>
      </w:r>
      <w:r>
        <w:rPr>
          <w:spacing w:val="-2"/>
        </w:rPr>
        <w:t> </w:t>
      </w:r>
      <w:r>
        <w:rPr/>
        <w:t>a</w:t>
      </w:r>
      <w:r>
        <w:rPr>
          <w:spacing w:val="-3"/>
        </w:rPr>
        <w:t> </w:t>
      </w:r>
      <w:r>
        <w:rPr/>
        <w:t>2021 audit of its current data collection measures, DMH relayed to the Commission that there are existing issues with the data collection field. These issues include the fields being difficult to find and not being mandatory;</w:t>
      </w:r>
      <w:r>
        <w:rPr>
          <w:spacing w:val="-5"/>
        </w:rPr>
        <w:t> </w:t>
      </w:r>
      <w:r>
        <w:rPr/>
        <w:t>to</w:t>
      </w:r>
      <w:r>
        <w:rPr>
          <w:spacing w:val="-6"/>
        </w:rPr>
        <w:t> </w:t>
      </w:r>
      <w:r>
        <w:rPr/>
        <w:t>resolve</w:t>
      </w:r>
      <w:r>
        <w:rPr>
          <w:spacing w:val="-7"/>
        </w:rPr>
        <w:t> </w:t>
      </w:r>
      <w:r>
        <w:rPr/>
        <w:t>these</w:t>
      </w:r>
      <w:r>
        <w:rPr>
          <w:spacing w:val="-7"/>
        </w:rPr>
        <w:t> </w:t>
      </w:r>
      <w:r>
        <w:rPr/>
        <w:t>issues</w:t>
      </w:r>
      <w:r>
        <w:rPr>
          <w:spacing w:val="-6"/>
        </w:rPr>
        <w:t> </w:t>
      </w:r>
      <w:r>
        <w:rPr/>
        <w:t>would</w:t>
      </w:r>
      <w:r>
        <w:rPr>
          <w:spacing w:val="-7"/>
        </w:rPr>
        <w:t> </w:t>
      </w:r>
      <w:r>
        <w:rPr/>
        <w:t>require</w:t>
      </w:r>
      <w:r>
        <w:rPr>
          <w:spacing w:val="-5"/>
        </w:rPr>
        <w:t> </w:t>
      </w:r>
      <w:r>
        <w:rPr/>
        <w:t>a</w:t>
      </w:r>
      <w:r>
        <w:rPr>
          <w:spacing w:val="-5"/>
        </w:rPr>
        <w:t> </w:t>
      </w:r>
      <w:r>
        <w:rPr/>
        <w:t>thorough</w:t>
      </w:r>
      <w:r>
        <w:rPr>
          <w:spacing w:val="-6"/>
        </w:rPr>
        <w:t> </w:t>
      </w:r>
      <w:r>
        <w:rPr/>
        <w:t>technology</w:t>
      </w:r>
      <w:r>
        <w:rPr>
          <w:spacing w:val="-6"/>
        </w:rPr>
        <w:t> </w:t>
      </w:r>
      <w:r>
        <w:rPr/>
        <w:t>update,</w:t>
      </w:r>
      <w:r>
        <w:rPr>
          <w:spacing w:val="-6"/>
        </w:rPr>
        <w:t> </w:t>
      </w:r>
      <w:r>
        <w:rPr/>
        <w:t>which</w:t>
      </w:r>
      <w:r>
        <w:rPr>
          <w:spacing w:val="-6"/>
        </w:rPr>
        <w:t> </w:t>
      </w:r>
      <w:r>
        <w:rPr/>
        <w:t>can</w:t>
      </w:r>
      <w:r>
        <w:rPr>
          <w:spacing w:val="-6"/>
        </w:rPr>
        <w:t> </w:t>
      </w:r>
      <w:r>
        <w:rPr/>
        <w:t>typically</w:t>
      </w:r>
      <w:r>
        <w:rPr>
          <w:spacing w:val="-5"/>
        </w:rPr>
        <w:t> </w:t>
      </w:r>
      <w:r>
        <w:rPr/>
        <w:t>be</w:t>
      </w:r>
      <w:r>
        <w:rPr>
          <w:spacing w:val="-5"/>
        </w:rPr>
        <w:t> </w:t>
      </w:r>
      <w:r>
        <w:rPr/>
        <w:t>a large haul for any state agency’s IT departments. The Commission understands that DMH did recently receive a small wave of SOGIE data but encourages the agency to prioritize the needed IT updates to address</w:t>
      </w:r>
      <w:r>
        <w:rPr>
          <w:spacing w:val="-10"/>
        </w:rPr>
        <w:t> </w:t>
      </w:r>
      <w:r>
        <w:rPr/>
        <w:t>the</w:t>
      </w:r>
      <w:r>
        <w:rPr>
          <w:spacing w:val="-9"/>
        </w:rPr>
        <w:t> </w:t>
      </w:r>
      <w:r>
        <w:rPr/>
        <w:t>reference</w:t>
      </w:r>
      <w:r>
        <w:rPr>
          <w:spacing w:val="-9"/>
        </w:rPr>
        <w:t> </w:t>
      </w:r>
      <w:r>
        <w:rPr/>
        <w:t>data</w:t>
      </w:r>
      <w:r>
        <w:rPr>
          <w:spacing w:val="-10"/>
        </w:rPr>
        <w:t> </w:t>
      </w:r>
      <w:r>
        <w:rPr/>
        <w:t>field</w:t>
      </w:r>
      <w:r>
        <w:rPr>
          <w:spacing w:val="-9"/>
        </w:rPr>
        <w:t> </w:t>
      </w:r>
      <w:r>
        <w:rPr/>
        <w:t>issues.</w:t>
      </w:r>
      <w:r>
        <w:rPr>
          <w:spacing w:val="-8"/>
        </w:rPr>
        <w:t> </w:t>
      </w:r>
      <w:r>
        <w:rPr/>
        <w:t>In</w:t>
      </w:r>
      <w:r>
        <w:rPr>
          <w:spacing w:val="-9"/>
        </w:rPr>
        <w:t> </w:t>
      </w:r>
      <w:r>
        <w:rPr/>
        <w:t>its</w:t>
      </w:r>
      <w:r>
        <w:rPr>
          <w:spacing w:val="-9"/>
        </w:rPr>
        <w:t> </w:t>
      </w:r>
      <w:r>
        <w:rPr/>
        <w:t>winter</w:t>
      </w:r>
      <w:r>
        <w:rPr>
          <w:spacing w:val="-9"/>
        </w:rPr>
        <w:t> </w:t>
      </w:r>
      <w:r>
        <w:rPr/>
        <w:t>FY24</w:t>
      </w:r>
      <w:r>
        <w:rPr>
          <w:spacing w:val="-9"/>
        </w:rPr>
        <w:t> </w:t>
      </w:r>
      <w:r>
        <w:rPr/>
        <w:t>meetings</w:t>
      </w:r>
      <w:r>
        <w:rPr>
          <w:spacing w:val="-9"/>
        </w:rPr>
        <w:t> </w:t>
      </w:r>
      <w:r>
        <w:rPr/>
        <w:t>with</w:t>
      </w:r>
      <w:r>
        <w:rPr>
          <w:spacing w:val="-9"/>
        </w:rPr>
        <w:t> </w:t>
      </w:r>
      <w:r>
        <w:rPr/>
        <w:t>the</w:t>
      </w:r>
      <w:r>
        <w:rPr>
          <w:spacing w:val="-9"/>
        </w:rPr>
        <w:t> </w:t>
      </w:r>
      <w:r>
        <w:rPr/>
        <w:t>Commission,</w:t>
      </w:r>
      <w:r>
        <w:rPr>
          <w:spacing w:val="-10"/>
        </w:rPr>
        <w:t> </w:t>
      </w:r>
      <w:r>
        <w:rPr/>
        <w:t>DMH</w:t>
      </w:r>
      <w:r>
        <w:rPr>
          <w:spacing w:val="-10"/>
        </w:rPr>
        <w:t> </w:t>
      </w:r>
      <w:r>
        <w:rPr/>
        <w:t>noted</w:t>
      </w:r>
      <w:r>
        <w:rPr>
          <w:spacing w:val="-9"/>
        </w:rPr>
        <w:t> </w:t>
      </w:r>
      <w:r>
        <w:rPr/>
        <w:t>that it has developed a curriculum and training plan to begin engaging DMH employees on how to appropriately collect SOGIE data.</w:t>
      </w:r>
    </w:p>
    <w:p>
      <w:pPr>
        <w:pStyle w:val="BodyText"/>
        <w:spacing w:line="276" w:lineRule="auto" w:before="241"/>
        <w:ind w:left="483" w:right="341" w:hanging="1"/>
        <w:jc w:val="both"/>
      </w:pPr>
      <w:r>
        <w:rPr/>
        <w:t>Furthermore, DMH - along with several other agencies - have noted the difficulties of appropriately collecting</w:t>
      </w:r>
      <w:r>
        <w:rPr>
          <w:spacing w:val="14"/>
        </w:rPr>
        <w:t> </w:t>
      </w:r>
      <w:r>
        <w:rPr/>
        <w:t>SOGIE</w:t>
      </w:r>
      <w:r>
        <w:rPr>
          <w:spacing w:val="14"/>
        </w:rPr>
        <w:t> </w:t>
      </w:r>
      <w:r>
        <w:rPr/>
        <w:t>data,</w:t>
      </w:r>
      <w:r>
        <w:rPr>
          <w:spacing w:val="13"/>
        </w:rPr>
        <w:t> </w:t>
      </w:r>
      <w:r>
        <w:rPr/>
        <w:t>or</w:t>
      </w:r>
      <w:r>
        <w:rPr>
          <w:spacing w:val="13"/>
        </w:rPr>
        <w:t> </w:t>
      </w:r>
      <w:r>
        <w:rPr/>
        <w:t>ensuring</w:t>
      </w:r>
      <w:r>
        <w:rPr>
          <w:spacing w:val="14"/>
        </w:rPr>
        <w:t> </w:t>
      </w:r>
      <w:r>
        <w:rPr/>
        <w:t>that</w:t>
      </w:r>
      <w:r>
        <w:rPr>
          <w:spacing w:val="14"/>
        </w:rPr>
        <w:t> </w:t>
      </w:r>
      <w:r>
        <w:rPr/>
        <w:t>their</w:t>
      </w:r>
      <w:r>
        <w:rPr>
          <w:spacing w:val="13"/>
        </w:rPr>
        <w:t> </w:t>
      </w:r>
      <w:r>
        <w:rPr/>
        <w:t>forms</w:t>
      </w:r>
      <w:r>
        <w:rPr>
          <w:spacing w:val="14"/>
        </w:rPr>
        <w:t> </w:t>
      </w:r>
      <w:r>
        <w:rPr/>
        <w:t>and</w:t>
      </w:r>
      <w:r>
        <w:rPr>
          <w:spacing w:val="13"/>
        </w:rPr>
        <w:t> </w:t>
      </w:r>
      <w:r>
        <w:rPr/>
        <w:t>policies</w:t>
      </w:r>
      <w:r>
        <w:rPr>
          <w:spacing w:val="13"/>
        </w:rPr>
        <w:t> </w:t>
      </w:r>
      <w:r>
        <w:rPr/>
        <w:t>are</w:t>
      </w:r>
      <w:r>
        <w:rPr>
          <w:spacing w:val="13"/>
        </w:rPr>
        <w:t> </w:t>
      </w:r>
      <w:r>
        <w:rPr/>
        <w:t>inclusive,</w:t>
      </w:r>
      <w:r>
        <w:rPr>
          <w:spacing w:val="14"/>
        </w:rPr>
        <w:t> </w:t>
      </w:r>
      <w:r>
        <w:rPr/>
        <w:t>due</w:t>
      </w:r>
      <w:r>
        <w:rPr>
          <w:spacing w:val="14"/>
        </w:rPr>
        <w:t> </w:t>
      </w:r>
      <w:r>
        <w:rPr/>
        <w:t>to</w:t>
      </w:r>
      <w:r>
        <w:rPr>
          <w:spacing w:val="13"/>
        </w:rPr>
        <w:t> </w:t>
      </w:r>
      <w:r>
        <w:rPr/>
        <w:t>conflicting</w:t>
      </w:r>
      <w:r>
        <w:rPr>
          <w:spacing w:val="13"/>
        </w:rPr>
        <w:t> </w:t>
      </w:r>
      <w:r>
        <w:rPr/>
        <w:t>federal</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42"/>
        <w:jc w:val="both"/>
      </w:pPr>
      <w:r>
        <w:rPr/>
        <w:t>requirements.</w:t>
      </w:r>
      <w:r>
        <w:rPr>
          <w:spacing w:val="-10"/>
        </w:rPr>
        <w:t> </w:t>
      </w:r>
      <w:r>
        <w:rPr/>
        <w:t>For</w:t>
      </w:r>
      <w:r>
        <w:rPr>
          <w:spacing w:val="-9"/>
        </w:rPr>
        <w:t> </w:t>
      </w:r>
      <w:r>
        <w:rPr/>
        <w:t>DMH,</w:t>
      </w:r>
      <w:r>
        <w:rPr>
          <w:spacing w:val="-10"/>
        </w:rPr>
        <w:t> </w:t>
      </w:r>
      <w:r>
        <w:rPr/>
        <w:t>MassHealth,</w:t>
      </w:r>
      <w:r>
        <w:rPr>
          <w:spacing w:val="-10"/>
        </w:rPr>
        <w:t> </w:t>
      </w:r>
      <w:r>
        <w:rPr/>
        <w:t>and</w:t>
      </w:r>
      <w:r>
        <w:rPr>
          <w:spacing w:val="-10"/>
        </w:rPr>
        <w:t> </w:t>
      </w:r>
      <w:r>
        <w:rPr/>
        <w:t>DPH,</w:t>
      </w:r>
      <w:r>
        <w:rPr>
          <w:spacing w:val="-8"/>
        </w:rPr>
        <w:t> </w:t>
      </w:r>
      <w:r>
        <w:rPr/>
        <w:t>there</w:t>
      </w:r>
      <w:r>
        <w:rPr>
          <w:spacing w:val="-8"/>
        </w:rPr>
        <w:t> </w:t>
      </w:r>
      <w:r>
        <w:rPr/>
        <w:t>are</w:t>
      </w:r>
      <w:r>
        <w:rPr>
          <w:spacing w:val="-10"/>
        </w:rPr>
        <w:t> </w:t>
      </w:r>
      <w:r>
        <w:rPr/>
        <w:t>medical</w:t>
      </w:r>
      <w:r>
        <w:rPr>
          <w:spacing w:val="-9"/>
        </w:rPr>
        <w:t> </w:t>
      </w:r>
      <w:r>
        <w:rPr/>
        <w:t>codes</w:t>
      </w:r>
      <w:r>
        <w:rPr>
          <w:spacing w:val="-10"/>
        </w:rPr>
        <w:t> </w:t>
      </w:r>
      <w:r>
        <w:rPr/>
        <w:t>in</w:t>
      </w:r>
      <w:r>
        <w:rPr>
          <w:spacing w:val="-9"/>
        </w:rPr>
        <w:t> </w:t>
      </w:r>
      <w:r>
        <w:rPr/>
        <w:t>place</w:t>
      </w:r>
      <w:r>
        <w:rPr>
          <w:spacing w:val="-8"/>
        </w:rPr>
        <w:t> </w:t>
      </w:r>
      <w:r>
        <w:rPr/>
        <w:t>that</w:t>
      </w:r>
      <w:r>
        <w:rPr>
          <w:spacing w:val="-9"/>
        </w:rPr>
        <w:t> </w:t>
      </w:r>
      <w:r>
        <w:rPr/>
        <w:t>prevent</w:t>
      </w:r>
      <w:r>
        <w:rPr>
          <w:spacing w:val="-8"/>
        </w:rPr>
        <w:t> </w:t>
      </w:r>
      <w:r>
        <w:rPr/>
        <w:t>appropriate inclusive SOGIE data collection. The Commission recommends that DMH, MassHealth, and DPH form a collaborative attempt to address these barriers at the federal level.</w:t>
      </w:r>
    </w:p>
    <w:p>
      <w:pPr>
        <w:numPr>
          <w:ilvl w:val="0"/>
          <w:numId w:val="40"/>
        </w:numPr>
        <w:tabs>
          <w:tab w:pos="481" w:val="left" w:leader="none"/>
          <w:tab w:pos="483" w:val="left" w:leader="none"/>
        </w:tabs>
        <w:spacing w:line="276" w:lineRule="auto" w:before="240"/>
        <w:ind w:left="483" w:right="344" w:hanging="360"/>
        <w:jc w:val="left"/>
        <w:rPr>
          <w:b/>
          <w:sz w:val="22"/>
        </w:rPr>
      </w:pPr>
      <w:r>
        <w:rPr>
          <w:b/>
          <w:sz w:val="22"/>
        </w:rPr>
        <w:t>Facilitate trainings on LGBTQ cultural awareness and racial equity, with particular attention to youth and access to affirming care.</w:t>
      </w:r>
    </w:p>
    <w:p>
      <w:pPr>
        <w:pStyle w:val="BodyText"/>
        <w:spacing w:line="276" w:lineRule="auto" w:before="240"/>
        <w:ind w:left="483" w:right="342"/>
        <w:jc w:val="both"/>
      </w:pPr>
      <w:bookmarkStart w:name="_bookmark634" w:id="941"/>
      <w:bookmarkEnd w:id="941"/>
      <w:r>
        <w:rPr/>
      </w:r>
      <w:r>
        <w:rPr/>
        <w:t>The Commission appreciates DMH’s commitment to and progress in ensuring that its staff are creating LGBTQ-affirming</w:t>
      </w:r>
      <w:r>
        <w:rPr>
          <w:spacing w:val="-8"/>
        </w:rPr>
        <w:t> </w:t>
      </w:r>
      <w:r>
        <w:rPr/>
        <w:t>spaces</w:t>
      </w:r>
      <w:r>
        <w:rPr>
          <w:spacing w:val="-8"/>
        </w:rPr>
        <w:t> </w:t>
      </w:r>
      <w:r>
        <w:rPr/>
        <w:t>when</w:t>
      </w:r>
      <w:r>
        <w:rPr>
          <w:spacing w:val="-8"/>
        </w:rPr>
        <w:t> </w:t>
      </w:r>
      <w:r>
        <w:rPr/>
        <w:t>interacting</w:t>
      </w:r>
      <w:r>
        <w:rPr>
          <w:spacing w:val="-8"/>
        </w:rPr>
        <w:t> </w:t>
      </w:r>
      <w:r>
        <w:rPr/>
        <w:t>with</w:t>
      </w:r>
      <w:r>
        <w:rPr>
          <w:spacing w:val="-8"/>
        </w:rPr>
        <w:t> </w:t>
      </w:r>
      <w:r>
        <w:rPr/>
        <w:t>clients.</w:t>
      </w:r>
      <w:r>
        <w:rPr>
          <w:spacing w:val="-8"/>
        </w:rPr>
        <w:t> </w:t>
      </w:r>
      <w:r>
        <w:rPr/>
        <w:t>Continuing</w:t>
      </w:r>
      <w:r>
        <w:rPr>
          <w:spacing w:val="-8"/>
        </w:rPr>
        <w:t> </w:t>
      </w:r>
      <w:r>
        <w:rPr/>
        <w:t>to</w:t>
      </w:r>
      <w:r>
        <w:rPr>
          <w:spacing w:val="-8"/>
        </w:rPr>
        <w:t> </w:t>
      </w:r>
      <w:r>
        <w:rPr/>
        <w:t>build</w:t>
      </w:r>
      <w:r>
        <w:rPr>
          <w:spacing w:val="-8"/>
        </w:rPr>
        <w:t> </w:t>
      </w:r>
      <w:r>
        <w:rPr/>
        <w:t>on</w:t>
      </w:r>
      <w:r>
        <w:rPr>
          <w:spacing w:val="-8"/>
        </w:rPr>
        <w:t> </w:t>
      </w:r>
      <w:r>
        <w:rPr/>
        <w:t>this</w:t>
      </w:r>
      <w:r>
        <w:rPr>
          <w:spacing w:val="-8"/>
        </w:rPr>
        <w:t> </w:t>
      </w:r>
      <w:r>
        <w:rPr/>
        <w:t>success</w:t>
      </w:r>
      <w:r>
        <w:rPr>
          <w:spacing w:val="-8"/>
        </w:rPr>
        <w:t> </w:t>
      </w:r>
      <w:r>
        <w:rPr/>
        <w:t>for</w:t>
      </w:r>
      <w:r>
        <w:rPr>
          <w:spacing w:val="-7"/>
        </w:rPr>
        <w:t> </w:t>
      </w:r>
      <w:r>
        <w:rPr/>
        <w:t>old</w:t>
      </w:r>
      <w:r>
        <w:rPr>
          <w:spacing w:val="-8"/>
        </w:rPr>
        <w:t> </w:t>
      </w:r>
      <w:r>
        <w:rPr/>
        <w:t>and</w:t>
      </w:r>
      <w:r>
        <w:rPr>
          <w:spacing w:val="-8"/>
        </w:rPr>
        <w:t> </w:t>
      </w:r>
      <w:r>
        <w:rPr/>
        <w:t>new staff</w:t>
      </w:r>
      <w:r>
        <w:rPr>
          <w:spacing w:val="-11"/>
        </w:rPr>
        <w:t> </w:t>
      </w:r>
      <w:r>
        <w:rPr/>
        <w:t>is</w:t>
      </w:r>
      <w:r>
        <w:rPr>
          <w:spacing w:val="-11"/>
        </w:rPr>
        <w:t> </w:t>
      </w:r>
      <w:r>
        <w:rPr/>
        <w:t>critical,</w:t>
      </w:r>
      <w:r>
        <w:rPr>
          <w:spacing w:val="-11"/>
        </w:rPr>
        <w:t> </w:t>
      </w:r>
      <w:r>
        <w:rPr/>
        <w:t>and</w:t>
      </w:r>
      <w:r>
        <w:rPr>
          <w:spacing w:val="-12"/>
        </w:rPr>
        <w:t> </w:t>
      </w:r>
      <w:r>
        <w:rPr/>
        <w:t>the</w:t>
      </w:r>
      <w:r>
        <w:rPr>
          <w:spacing w:val="-12"/>
        </w:rPr>
        <w:t> </w:t>
      </w:r>
      <w:r>
        <w:rPr/>
        <w:t>Commission</w:t>
      </w:r>
      <w:r>
        <w:rPr>
          <w:spacing w:val="-12"/>
        </w:rPr>
        <w:t> </w:t>
      </w:r>
      <w:r>
        <w:rPr/>
        <w:t>recommends</w:t>
      </w:r>
      <w:r>
        <w:rPr>
          <w:spacing w:val="-11"/>
        </w:rPr>
        <w:t> </w:t>
      </w:r>
      <w:r>
        <w:rPr/>
        <w:t>that</w:t>
      </w:r>
      <w:r>
        <w:rPr>
          <w:spacing w:val="-11"/>
        </w:rPr>
        <w:t> </w:t>
      </w:r>
      <w:r>
        <w:rPr/>
        <w:t>DMH</w:t>
      </w:r>
      <w:r>
        <w:rPr>
          <w:spacing w:val="-11"/>
        </w:rPr>
        <w:t> </w:t>
      </w:r>
      <w:r>
        <w:rPr/>
        <w:t>offer</w:t>
      </w:r>
      <w:r>
        <w:rPr>
          <w:spacing w:val="27"/>
        </w:rPr>
        <w:t> </w:t>
      </w:r>
      <w:r>
        <w:rPr/>
        <w:t>further</w:t>
      </w:r>
      <w:r>
        <w:rPr>
          <w:spacing w:val="-11"/>
        </w:rPr>
        <w:t> </w:t>
      </w:r>
      <w:r>
        <w:rPr/>
        <w:t>opportunities</w:t>
      </w:r>
      <w:r>
        <w:rPr>
          <w:spacing w:val="-11"/>
        </w:rPr>
        <w:t> </w:t>
      </w:r>
      <w:r>
        <w:rPr/>
        <w:t>for</w:t>
      </w:r>
      <w:r>
        <w:rPr>
          <w:spacing w:val="-11"/>
        </w:rPr>
        <w:t> </w:t>
      </w:r>
      <w:r>
        <w:rPr/>
        <w:t>staff</w:t>
      </w:r>
      <w:r>
        <w:rPr>
          <w:spacing w:val="-11"/>
        </w:rPr>
        <w:t> </w:t>
      </w:r>
      <w:r>
        <w:rPr/>
        <w:t>to</w:t>
      </w:r>
      <w:r>
        <w:rPr>
          <w:spacing w:val="-11"/>
        </w:rPr>
        <w:t> </w:t>
      </w:r>
      <w:r>
        <w:rPr/>
        <w:t>engage in not only LGBTQ cultural trainings, but also trainings around racial equity and adultism. DMH has informed the Commission that its new strategic plan focuses on equity and inclusion, and that it is currently also reviewing language for its procurement process of providers to ensure that DMH contractors are also committed to LGBTQ-affirming trainings.</w:t>
      </w:r>
    </w:p>
    <w:p>
      <w:pPr>
        <w:numPr>
          <w:ilvl w:val="0"/>
          <w:numId w:val="40"/>
        </w:numPr>
        <w:tabs>
          <w:tab w:pos="481" w:val="left" w:leader="none"/>
          <w:tab w:pos="483" w:val="left" w:leader="none"/>
        </w:tabs>
        <w:spacing w:line="276" w:lineRule="auto" w:before="239"/>
        <w:ind w:left="483" w:right="343" w:hanging="360"/>
        <w:jc w:val="left"/>
        <w:rPr>
          <w:b/>
          <w:sz w:val="22"/>
        </w:rPr>
      </w:pPr>
      <w:r>
        <w:rPr>
          <w:b/>
          <w:sz w:val="22"/>
        </w:rPr>
        <w:t>Explore</w:t>
      </w:r>
      <w:r>
        <w:rPr>
          <w:b/>
          <w:spacing w:val="-13"/>
          <w:sz w:val="22"/>
        </w:rPr>
        <w:t> </w:t>
      </w:r>
      <w:r>
        <w:rPr>
          <w:b/>
          <w:sz w:val="22"/>
        </w:rPr>
        <w:t>and</w:t>
      </w:r>
      <w:r>
        <w:rPr>
          <w:b/>
          <w:spacing w:val="-12"/>
          <w:sz w:val="22"/>
        </w:rPr>
        <w:t> </w:t>
      </w:r>
      <w:r>
        <w:rPr>
          <w:b/>
          <w:sz w:val="22"/>
        </w:rPr>
        <w:t>implement</w:t>
      </w:r>
      <w:r>
        <w:rPr>
          <w:b/>
          <w:spacing w:val="-13"/>
          <w:sz w:val="22"/>
        </w:rPr>
        <w:t> </w:t>
      </w:r>
      <w:r>
        <w:rPr>
          <w:b/>
          <w:sz w:val="22"/>
        </w:rPr>
        <w:t>opportunities</w:t>
      </w:r>
      <w:r>
        <w:rPr>
          <w:b/>
          <w:spacing w:val="-12"/>
          <w:sz w:val="22"/>
        </w:rPr>
        <w:t> </w:t>
      </w:r>
      <w:r>
        <w:rPr>
          <w:b/>
          <w:sz w:val="22"/>
        </w:rPr>
        <w:t>to</w:t>
      </w:r>
      <w:r>
        <w:rPr>
          <w:b/>
          <w:spacing w:val="-14"/>
          <w:sz w:val="22"/>
        </w:rPr>
        <w:t> </w:t>
      </w:r>
      <w:r>
        <w:rPr>
          <w:b/>
          <w:sz w:val="22"/>
        </w:rPr>
        <w:t>improve</w:t>
      </w:r>
      <w:r>
        <w:rPr>
          <w:b/>
          <w:spacing w:val="-13"/>
          <w:sz w:val="22"/>
        </w:rPr>
        <w:t> </w:t>
      </w:r>
      <w:r>
        <w:rPr>
          <w:b/>
          <w:sz w:val="22"/>
        </w:rPr>
        <w:t>education</w:t>
      </w:r>
      <w:r>
        <w:rPr>
          <w:b/>
          <w:spacing w:val="-12"/>
          <w:sz w:val="22"/>
        </w:rPr>
        <w:t> </w:t>
      </w:r>
      <w:r>
        <w:rPr>
          <w:b/>
          <w:sz w:val="22"/>
        </w:rPr>
        <w:t>&amp;</w:t>
      </w:r>
      <w:r>
        <w:rPr>
          <w:b/>
          <w:spacing w:val="-13"/>
          <w:sz w:val="22"/>
        </w:rPr>
        <w:t> </w:t>
      </w:r>
      <w:r>
        <w:rPr>
          <w:b/>
          <w:sz w:val="22"/>
        </w:rPr>
        <w:t>workplace</w:t>
      </w:r>
      <w:r>
        <w:rPr>
          <w:b/>
          <w:spacing w:val="-12"/>
          <w:sz w:val="22"/>
        </w:rPr>
        <w:t> </w:t>
      </w:r>
      <w:r>
        <w:rPr>
          <w:b/>
          <w:sz w:val="22"/>
        </w:rPr>
        <w:t>training</w:t>
      </w:r>
      <w:r>
        <w:rPr>
          <w:b/>
          <w:spacing w:val="-13"/>
          <w:sz w:val="22"/>
        </w:rPr>
        <w:t> </w:t>
      </w:r>
      <w:r>
        <w:rPr>
          <w:b/>
          <w:sz w:val="22"/>
        </w:rPr>
        <w:t>for</w:t>
      </w:r>
      <w:r>
        <w:rPr>
          <w:b/>
          <w:spacing w:val="-12"/>
          <w:sz w:val="22"/>
        </w:rPr>
        <w:t> </w:t>
      </w:r>
      <w:r>
        <w:rPr>
          <w:b/>
          <w:sz w:val="22"/>
        </w:rPr>
        <w:t>new</w:t>
      </w:r>
      <w:r>
        <w:rPr>
          <w:b/>
          <w:spacing w:val="-13"/>
          <w:sz w:val="22"/>
        </w:rPr>
        <w:t> </w:t>
      </w:r>
      <w:r>
        <w:rPr>
          <w:b/>
          <w:sz w:val="22"/>
        </w:rPr>
        <w:t>mental</w:t>
      </w:r>
      <w:r>
        <w:rPr>
          <w:b/>
          <w:spacing w:val="-12"/>
          <w:sz w:val="22"/>
        </w:rPr>
        <w:t> </w:t>
      </w:r>
      <w:r>
        <w:rPr>
          <w:b/>
          <w:sz w:val="22"/>
        </w:rPr>
        <w:t>health workers in the areas of health equity for LGBTQ and QTBIPOC communities.</w:t>
      </w:r>
    </w:p>
    <w:p>
      <w:pPr>
        <w:pStyle w:val="BodyText"/>
        <w:spacing w:line="276" w:lineRule="auto" w:before="240"/>
        <w:ind w:left="483" w:right="340"/>
        <w:jc w:val="both"/>
      </w:pPr>
      <w:r>
        <w:rPr/>
        <w:t>A</w:t>
      </w:r>
      <w:r>
        <w:rPr>
          <w:spacing w:val="-6"/>
        </w:rPr>
        <w:t> </w:t>
      </w:r>
      <w:r>
        <w:rPr/>
        <w:t>comprehensive</w:t>
      </w:r>
      <w:r>
        <w:rPr>
          <w:spacing w:val="-6"/>
        </w:rPr>
        <w:t> </w:t>
      </w:r>
      <w:r>
        <w:rPr/>
        <w:t>way</w:t>
      </w:r>
      <w:r>
        <w:rPr>
          <w:spacing w:val="-6"/>
        </w:rPr>
        <w:t> </w:t>
      </w:r>
      <w:r>
        <w:rPr/>
        <w:t>to</w:t>
      </w:r>
      <w:r>
        <w:rPr>
          <w:spacing w:val="-6"/>
        </w:rPr>
        <w:t> </w:t>
      </w:r>
      <w:r>
        <w:rPr/>
        <w:t>ensure</w:t>
      </w:r>
      <w:r>
        <w:rPr>
          <w:spacing w:val="-6"/>
        </w:rPr>
        <w:t> </w:t>
      </w:r>
      <w:r>
        <w:rPr/>
        <w:t>the</w:t>
      </w:r>
      <w:r>
        <w:rPr>
          <w:spacing w:val="-6"/>
        </w:rPr>
        <w:t> </w:t>
      </w:r>
      <w:r>
        <w:rPr/>
        <w:t>expansion</w:t>
      </w:r>
      <w:r>
        <w:rPr>
          <w:spacing w:val="-6"/>
        </w:rPr>
        <w:t> </w:t>
      </w:r>
      <w:r>
        <w:rPr/>
        <w:t>of</w:t>
      </w:r>
      <w:r>
        <w:rPr>
          <w:spacing w:val="-6"/>
        </w:rPr>
        <w:t> </w:t>
      </w:r>
      <w:r>
        <w:rPr/>
        <w:t>access</w:t>
      </w:r>
      <w:r>
        <w:rPr>
          <w:spacing w:val="-6"/>
        </w:rPr>
        <w:t> </w:t>
      </w:r>
      <w:r>
        <w:rPr/>
        <w:t>to</w:t>
      </w:r>
      <w:r>
        <w:rPr>
          <w:spacing w:val="-6"/>
        </w:rPr>
        <w:t> </w:t>
      </w:r>
      <w:r>
        <w:rPr/>
        <w:t>trauma-informed</w:t>
      </w:r>
      <w:r>
        <w:rPr>
          <w:spacing w:val="-5"/>
        </w:rPr>
        <w:t> </w:t>
      </w:r>
      <w:r>
        <w:rPr/>
        <w:t>mental</w:t>
      </w:r>
      <w:r>
        <w:rPr>
          <w:spacing w:val="-6"/>
        </w:rPr>
        <w:t> </w:t>
      </w:r>
      <w:r>
        <w:rPr/>
        <w:t>health</w:t>
      </w:r>
      <w:r>
        <w:rPr>
          <w:spacing w:val="-6"/>
        </w:rPr>
        <w:t> </w:t>
      </w:r>
      <w:r>
        <w:rPr/>
        <w:t>resources</w:t>
      </w:r>
      <w:r>
        <w:rPr>
          <w:spacing w:val="-6"/>
        </w:rPr>
        <w:t> </w:t>
      </w:r>
      <w:r>
        <w:rPr/>
        <w:t>for LGBTQ youth is to equip new mental health workers with the skills and knowledge they need to appropriately serve LGBTQ and BIPOC communities. The Commission recommends that DMH explore opportunities to improve education and workplace training for new mental health workers and collaborate with other agencies and education programs in this area. DMH recently shared with the Commission</w:t>
      </w:r>
      <w:r>
        <w:rPr>
          <w:spacing w:val="-12"/>
        </w:rPr>
        <w:t> </w:t>
      </w:r>
      <w:r>
        <w:rPr/>
        <w:t>that</w:t>
      </w:r>
      <w:r>
        <w:rPr>
          <w:spacing w:val="-12"/>
        </w:rPr>
        <w:t> </w:t>
      </w:r>
      <w:r>
        <w:rPr/>
        <w:t>its</w:t>
      </w:r>
      <w:r>
        <w:rPr>
          <w:spacing w:val="-11"/>
        </w:rPr>
        <w:t> </w:t>
      </w:r>
      <w:r>
        <w:rPr/>
        <w:t>Learning</w:t>
      </w:r>
      <w:r>
        <w:rPr>
          <w:spacing w:val="-12"/>
        </w:rPr>
        <w:t> </w:t>
      </w:r>
      <w:r>
        <w:rPr/>
        <w:t>&amp;</w:t>
      </w:r>
      <w:r>
        <w:rPr>
          <w:spacing w:val="-10"/>
        </w:rPr>
        <w:t> </w:t>
      </w:r>
      <w:r>
        <w:rPr/>
        <w:t>Development</w:t>
      </w:r>
      <w:r>
        <w:rPr>
          <w:spacing w:val="-11"/>
        </w:rPr>
        <w:t> </w:t>
      </w:r>
      <w:r>
        <w:rPr/>
        <w:t>department</w:t>
      </w:r>
      <w:r>
        <w:rPr>
          <w:spacing w:val="-11"/>
        </w:rPr>
        <w:t> </w:t>
      </w:r>
      <w:r>
        <w:rPr/>
        <w:t>is</w:t>
      </w:r>
      <w:r>
        <w:rPr>
          <w:spacing w:val="-10"/>
        </w:rPr>
        <w:t> </w:t>
      </w:r>
      <w:r>
        <w:rPr/>
        <w:t>currently</w:t>
      </w:r>
      <w:r>
        <w:rPr>
          <w:spacing w:val="-11"/>
        </w:rPr>
        <w:t> </w:t>
      </w:r>
      <w:r>
        <w:rPr/>
        <w:t>looking</w:t>
      </w:r>
      <w:r>
        <w:rPr>
          <w:spacing w:val="-12"/>
        </w:rPr>
        <w:t> </w:t>
      </w:r>
      <w:r>
        <w:rPr/>
        <w:t>into</w:t>
      </w:r>
      <w:r>
        <w:rPr>
          <w:spacing w:val="-11"/>
        </w:rPr>
        <w:t> </w:t>
      </w:r>
      <w:r>
        <w:rPr/>
        <w:t>its</w:t>
      </w:r>
      <w:r>
        <w:rPr>
          <w:spacing w:val="-10"/>
        </w:rPr>
        <w:t> </w:t>
      </w:r>
      <w:r>
        <w:rPr/>
        <w:t>new</w:t>
      </w:r>
      <w:r>
        <w:rPr>
          <w:spacing w:val="-10"/>
        </w:rPr>
        <w:t> </w:t>
      </w:r>
      <w:r>
        <w:rPr/>
        <w:t>hire</w:t>
      </w:r>
      <w:r>
        <w:rPr>
          <w:spacing w:val="-12"/>
        </w:rPr>
        <w:t> </w:t>
      </w:r>
      <w:r>
        <w:rPr/>
        <w:t>orientation process</w:t>
      </w:r>
      <w:r>
        <w:rPr>
          <w:spacing w:val="-6"/>
        </w:rPr>
        <w:t> </w:t>
      </w:r>
      <w:r>
        <w:rPr/>
        <w:t>to</w:t>
      </w:r>
      <w:r>
        <w:rPr>
          <w:spacing w:val="-6"/>
        </w:rPr>
        <w:t> </w:t>
      </w:r>
      <w:r>
        <w:rPr/>
        <w:t>see</w:t>
      </w:r>
      <w:r>
        <w:rPr>
          <w:spacing w:val="-7"/>
        </w:rPr>
        <w:t> </w:t>
      </w:r>
      <w:r>
        <w:rPr/>
        <w:t>what</w:t>
      </w:r>
      <w:r>
        <w:rPr>
          <w:spacing w:val="-6"/>
        </w:rPr>
        <w:t> </w:t>
      </w:r>
      <w:r>
        <w:rPr/>
        <w:t>can</w:t>
      </w:r>
      <w:r>
        <w:rPr>
          <w:spacing w:val="-6"/>
        </w:rPr>
        <w:t> </w:t>
      </w:r>
      <w:r>
        <w:rPr/>
        <w:t>be</w:t>
      </w:r>
      <w:r>
        <w:rPr>
          <w:spacing w:val="-7"/>
        </w:rPr>
        <w:t> </w:t>
      </w:r>
      <w:r>
        <w:rPr/>
        <w:t>updated</w:t>
      </w:r>
      <w:r>
        <w:rPr>
          <w:spacing w:val="-6"/>
        </w:rPr>
        <w:t> </w:t>
      </w:r>
      <w:r>
        <w:rPr/>
        <w:t>as</w:t>
      </w:r>
      <w:r>
        <w:rPr>
          <w:spacing w:val="-5"/>
        </w:rPr>
        <w:t> </w:t>
      </w:r>
      <w:r>
        <w:rPr/>
        <w:t>a</w:t>
      </w:r>
      <w:r>
        <w:rPr>
          <w:spacing w:val="-6"/>
        </w:rPr>
        <w:t> </w:t>
      </w:r>
      <w:r>
        <w:rPr/>
        <w:t>part</w:t>
      </w:r>
      <w:r>
        <w:rPr>
          <w:spacing w:val="-7"/>
        </w:rPr>
        <w:t> </w:t>
      </w:r>
      <w:r>
        <w:rPr/>
        <w:t>of</w:t>
      </w:r>
      <w:r>
        <w:rPr>
          <w:spacing w:val="-5"/>
        </w:rPr>
        <w:t> </w:t>
      </w:r>
      <w:r>
        <w:rPr/>
        <w:t>its</w:t>
      </w:r>
      <w:r>
        <w:rPr>
          <w:spacing w:val="-6"/>
        </w:rPr>
        <w:t> </w:t>
      </w:r>
      <w:r>
        <w:rPr/>
        <w:t>strategic</w:t>
      </w:r>
      <w:r>
        <w:rPr>
          <w:spacing w:val="-6"/>
        </w:rPr>
        <w:t> </w:t>
      </w:r>
      <w:r>
        <w:rPr/>
        <w:t>plan</w:t>
      </w:r>
      <w:r>
        <w:rPr>
          <w:spacing w:val="-6"/>
        </w:rPr>
        <w:t> </w:t>
      </w:r>
      <w:r>
        <w:rPr/>
        <w:t>for</w:t>
      </w:r>
      <w:r>
        <w:rPr>
          <w:spacing w:val="-6"/>
        </w:rPr>
        <w:t> </w:t>
      </w:r>
      <w:r>
        <w:rPr/>
        <w:t>the</w:t>
      </w:r>
      <w:r>
        <w:rPr>
          <w:spacing w:val="-5"/>
        </w:rPr>
        <w:t> </w:t>
      </w:r>
      <w:r>
        <w:rPr/>
        <w:t>upcoming</w:t>
      </w:r>
      <w:r>
        <w:rPr>
          <w:spacing w:val="-7"/>
        </w:rPr>
        <w:t> </w:t>
      </w:r>
      <w:r>
        <w:rPr/>
        <w:t>fiscal</w:t>
      </w:r>
      <w:r>
        <w:rPr>
          <w:spacing w:val="-5"/>
        </w:rPr>
        <w:t> </w:t>
      </w:r>
      <w:r>
        <w:rPr/>
        <w:t>years.</w:t>
      </w:r>
      <w:r>
        <w:rPr>
          <w:spacing w:val="-7"/>
        </w:rPr>
        <w:t> </w:t>
      </w:r>
      <w:r>
        <w:rPr/>
        <w:t>To</w:t>
      </w:r>
      <w:r>
        <w:rPr>
          <w:spacing w:val="-6"/>
        </w:rPr>
        <w:t> </w:t>
      </w:r>
      <w:r>
        <w:rPr/>
        <w:t>further expand upon this recommendation, the Commission notes the importance of engaging with universities and colleges as mental health-oriented students approach entering the workforce and hopes to discuss this work with DMH in FY25.</w:t>
      </w:r>
    </w:p>
    <w:p>
      <w:pPr>
        <w:pStyle w:val="BodyText"/>
      </w:pPr>
    </w:p>
    <w:p>
      <w:pPr>
        <w:pStyle w:val="BodyText"/>
        <w:spacing w:before="78"/>
      </w:pPr>
    </w:p>
    <w:p>
      <w:pPr>
        <w:spacing w:before="0"/>
        <w:ind w:left="483" w:right="0" w:firstLine="0"/>
        <w:jc w:val="left"/>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3"/>
          <w:sz w:val="21"/>
        </w:rPr>
        <w:t> </w:t>
      </w:r>
      <w:r>
        <w:rPr>
          <w:i/>
          <w:sz w:val="21"/>
        </w:rPr>
        <w:t>thanks</w:t>
      </w:r>
      <w:r>
        <w:rPr>
          <w:i/>
          <w:spacing w:val="-3"/>
          <w:sz w:val="21"/>
        </w:rPr>
        <w:t> </w:t>
      </w:r>
      <w:r>
        <w:rPr>
          <w:i/>
          <w:sz w:val="21"/>
        </w:rPr>
        <w:t>the</w:t>
      </w:r>
      <w:r>
        <w:rPr>
          <w:i/>
          <w:spacing w:val="-4"/>
          <w:sz w:val="21"/>
        </w:rPr>
        <w:t> </w:t>
      </w:r>
      <w:r>
        <w:rPr>
          <w:i/>
          <w:sz w:val="21"/>
        </w:rPr>
        <w:t>contributions</w:t>
      </w:r>
      <w:r>
        <w:rPr>
          <w:i/>
          <w:spacing w:val="-2"/>
          <w:sz w:val="21"/>
        </w:rPr>
        <w:t> </w:t>
      </w:r>
      <w:r>
        <w:rPr>
          <w:i/>
          <w:sz w:val="21"/>
        </w:rPr>
        <w:t>of</w:t>
      </w:r>
      <w:r>
        <w:rPr>
          <w:i/>
          <w:spacing w:val="-3"/>
          <w:sz w:val="21"/>
        </w:rPr>
        <w:t> </w:t>
      </w:r>
      <w:r>
        <w:rPr>
          <w:i/>
          <w:sz w:val="21"/>
        </w:rPr>
        <w:t>its</w:t>
      </w:r>
      <w:r>
        <w:rPr>
          <w:i/>
          <w:spacing w:val="-4"/>
          <w:sz w:val="21"/>
        </w:rPr>
        <w:t> </w:t>
      </w:r>
      <w:r>
        <w:rPr>
          <w:i/>
          <w:sz w:val="21"/>
        </w:rPr>
        <w:t>internal</w:t>
      </w:r>
      <w:r>
        <w:rPr>
          <w:i/>
          <w:spacing w:val="-3"/>
          <w:sz w:val="21"/>
        </w:rPr>
        <w:t> </w:t>
      </w:r>
      <w:r>
        <w:rPr>
          <w:i/>
          <w:sz w:val="21"/>
        </w:rPr>
        <w:t>DMH</w:t>
      </w:r>
      <w:r>
        <w:rPr>
          <w:i/>
          <w:spacing w:val="-3"/>
          <w:sz w:val="21"/>
        </w:rPr>
        <w:t> </w:t>
      </w:r>
      <w:r>
        <w:rPr>
          <w:i/>
          <w:sz w:val="21"/>
        </w:rPr>
        <w:t>agency</w:t>
      </w:r>
      <w:r>
        <w:rPr>
          <w:i/>
          <w:spacing w:val="-2"/>
          <w:sz w:val="21"/>
        </w:rPr>
        <w:t> liaisons.</w:t>
      </w:r>
    </w:p>
    <w:p>
      <w:pPr>
        <w:spacing w:before="238"/>
        <w:ind w:left="483" w:right="0" w:firstLine="0"/>
        <w:jc w:val="left"/>
        <w:rPr>
          <w:b/>
          <w:sz w:val="21"/>
        </w:rPr>
      </w:pPr>
      <w:r>
        <w:rPr>
          <w:b/>
          <w:spacing w:val="-2"/>
          <w:sz w:val="21"/>
        </w:rPr>
        <w:t>Citations</w:t>
      </w:r>
    </w:p>
    <w:p>
      <w:pPr>
        <w:spacing w:before="240"/>
        <w:ind w:left="483" w:right="467" w:hanging="1"/>
        <w:jc w:val="left"/>
        <w:rPr>
          <w:sz w:val="18"/>
        </w:rPr>
      </w:pPr>
      <w:r>
        <w:rPr>
          <w:sz w:val="18"/>
          <w:vertAlign w:val="superscript"/>
        </w:rPr>
        <w:t>1</w:t>
      </w:r>
      <w:r>
        <w:rPr>
          <w:spacing w:val="-7"/>
          <w:sz w:val="18"/>
          <w:vertAlign w:val="baseline"/>
        </w:rPr>
        <w:t> </w:t>
      </w:r>
      <w:r>
        <w:rPr>
          <w:sz w:val="18"/>
          <w:vertAlign w:val="baseline"/>
        </w:rPr>
        <w:t>The Trevor Project, “2022 National Survey on LGBTQ Youth Mental Health Massachusetts,” 2022, https://</w:t>
      </w:r>
      <w:hyperlink r:id="rId743">
        <w:r>
          <w:rPr>
            <w:sz w:val="18"/>
            <w:vertAlign w:val="baseline"/>
          </w:rPr>
          <w:t>www.thetrevorproject.org/wp-content/uploads/2022/12/The-Trevor-Project-2022-National-</w:t>
        </w:r>
      </w:hyperlink>
      <w:r>
        <w:rPr>
          <w:spacing w:val="-11"/>
          <w:sz w:val="18"/>
          <w:vertAlign w:val="baseline"/>
        </w:rPr>
        <w:t> </w:t>
      </w:r>
      <w:r>
        <w:rPr>
          <w:sz w:val="18"/>
          <w:vertAlign w:val="baseline"/>
        </w:rPr>
        <w:t>Survey-on-LGBTQ-Youth- Mental-Health-by-State-Massachusetts.pdf2022 National Survey on LGBTQ Youth Mental Health Massachusetts.</w:t>
      </w:r>
    </w:p>
    <w:p>
      <w:pPr>
        <w:spacing w:after="0"/>
        <w:jc w:val="left"/>
        <w:rPr>
          <w:sz w:val="18"/>
        </w:rPr>
        <w:sectPr>
          <w:pgSz w:w="12240" w:h="15840"/>
          <w:pgMar w:header="804" w:footer="1263" w:top="1000" w:bottom="1460" w:left="960" w:right="1100"/>
        </w:sectPr>
      </w:pPr>
    </w:p>
    <w:p>
      <w:pPr>
        <w:pStyle w:val="BodyText"/>
        <w:spacing w:before="182"/>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01" name="Group 601"/>
                <wp:cNvGraphicFramePr>
                  <a:graphicFrameLocks/>
                </wp:cNvGraphicFramePr>
                <a:graphic>
                  <a:graphicData uri="http://schemas.microsoft.com/office/word/2010/wordprocessingGroup">
                    <wpg:wgp>
                      <wpg:cNvPr id="601" name="Group 601"/>
                      <wpg:cNvGrpSpPr/>
                      <wpg:grpSpPr>
                        <a:xfrm>
                          <a:off x="0" y="0"/>
                          <a:ext cx="6350" cy="12700"/>
                          <a:chExt cx="6350" cy="12700"/>
                        </a:xfrm>
                      </wpg:grpSpPr>
                      <wps:wsp>
                        <wps:cNvPr id="602" name="Graphic 602"/>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498" coordorigin="0,0" coordsize="10,20">
                <v:rect style="position:absolute;left:0;top:0;width:10;height:20" id="docshape499" filled="true" fillcolor="#4f81bb" stroked="false">
                  <v:fill type="solid"/>
                </v:rect>
              </v:group>
            </w:pict>
          </mc:Fallback>
        </mc:AlternateContent>
      </w:r>
      <w:r>
        <w:rPr>
          <w:sz w:val="2"/>
        </w:rPr>
      </w:r>
    </w:p>
    <w:p>
      <w:pPr>
        <w:pStyle w:val="Heading7"/>
        <w:spacing w:before="240"/>
      </w:pPr>
      <w:bookmarkStart w:name="_bookmark635" w:id="942"/>
      <w:bookmarkEnd w:id="942"/>
      <w:r>
        <w:rPr/>
      </w:r>
      <w:hyperlink w:history="true" w:anchor="_bookmark6">
        <w:r>
          <w:rPr>
            <w:color w:val="365F91"/>
            <w:spacing w:val="-10"/>
          </w:rPr>
          <w:t>Department</w:t>
        </w:r>
        <w:r>
          <w:rPr>
            <w:color w:val="365F91"/>
            <w:spacing w:val="-4"/>
          </w:rPr>
          <w:t> </w:t>
        </w:r>
        <w:r>
          <w:rPr>
            <w:color w:val="365F91"/>
            <w:spacing w:val="-10"/>
          </w:rPr>
          <w:t>of</w:t>
        </w:r>
        <w:r>
          <w:rPr>
            <w:color w:val="365F91"/>
            <w:spacing w:val="-3"/>
          </w:rPr>
          <w:t> </w:t>
        </w:r>
        <w:r>
          <w:rPr>
            <w:color w:val="365F91"/>
            <w:spacing w:val="-10"/>
          </w:rPr>
          <w:t>Public</w:t>
        </w:r>
        <w:r>
          <w:rPr>
            <w:color w:val="365F91"/>
            <w:spacing w:val="-2"/>
          </w:rPr>
          <w:t> </w:t>
        </w:r>
        <w:r>
          <w:rPr>
            <w:color w:val="365F91"/>
            <w:spacing w:val="-10"/>
          </w:rPr>
          <w:t>Health</w:t>
        </w:r>
      </w:hyperlink>
    </w:p>
    <w:p>
      <w:pPr>
        <w:spacing w:before="313"/>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707136">
                <wp:simplePos x="0" y="0"/>
                <wp:positionH relativeFrom="page">
                  <wp:posOffset>897636</wp:posOffset>
                </wp:positionH>
                <wp:positionV relativeFrom="paragraph">
                  <wp:posOffset>44781</wp:posOffset>
                </wp:positionV>
                <wp:extent cx="5976620" cy="6350"/>
                <wp:effectExtent l="0" t="0" r="0" b="0"/>
                <wp:wrapTopAndBottom/>
                <wp:docPr id="603" name="Graphic 603"/>
                <wp:cNvGraphicFramePr>
                  <a:graphicFrameLocks/>
                </wp:cNvGraphicFramePr>
                <a:graphic>
                  <a:graphicData uri="http://schemas.microsoft.com/office/word/2010/wordprocessingShape">
                    <wps:wsp>
                      <wps:cNvPr id="603" name="Graphic 603"/>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6094pt;width:470.58pt;height:.48pt;mso-position-horizontal-relative:page;mso-position-vertical-relative:paragraph;z-index:-15609344;mso-wrap-distance-left:0;mso-wrap-distance-right:0" id="docshape500" filled="true" fillcolor="#4f81bc" stroked="false">
                <v:fill type="solid"/>
                <w10:wrap type="topAndBottom"/>
              </v:rect>
            </w:pict>
          </mc:Fallback>
        </mc:AlternateContent>
      </w:r>
      <w:r>
        <w:rPr/>
        <mc:AlternateContent>
          <mc:Choice Requires="wps">
            <w:drawing>
              <wp:anchor distT="0" distB="0" distL="0" distR="0" allowOverlap="1" layoutInCell="1" locked="0" behindDoc="1" simplePos="0" relativeHeight="487707648">
                <wp:simplePos x="0" y="0"/>
                <wp:positionH relativeFrom="page">
                  <wp:posOffset>889000</wp:posOffset>
                </wp:positionH>
                <wp:positionV relativeFrom="paragraph">
                  <wp:posOffset>229566</wp:posOffset>
                </wp:positionV>
                <wp:extent cx="6350" cy="12700"/>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076094pt;width:.499pt;height:.959pt;mso-position-horizontal-relative:page;mso-position-vertical-relative:paragraph;z-index:-15608832;mso-wrap-distance-left:0;mso-wrap-distance-right:0" id="docshape501" filled="true" fillcolor="#4f81bb" stroked="false">
                <v:fill type="solid"/>
                <w10:wrap type="topAndBottom"/>
              </v:rect>
            </w:pict>
          </mc:Fallback>
        </mc:AlternateContent>
      </w:r>
    </w:p>
    <w:p>
      <w:pPr>
        <w:pStyle w:val="BodyText"/>
        <w:spacing w:before="13"/>
        <w:rPr>
          <w:sz w:val="20"/>
        </w:rPr>
      </w:pPr>
    </w:p>
    <w:p>
      <w:pPr>
        <w:pStyle w:val="ListParagraph"/>
        <w:numPr>
          <w:ilvl w:val="1"/>
          <w:numId w:val="40"/>
        </w:numPr>
        <w:tabs>
          <w:tab w:pos="1059" w:val="left" w:leader="none"/>
        </w:tabs>
        <w:spacing w:line="276" w:lineRule="auto" w:before="223" w:after="0"/>
        <w:ind w:left="1059" w:right="632" w:hanging="360"/>
        <w:jc w:val="both"/>
        <w:rPr>
          <w:sz w:val="22"/>
        </w:rPr>
      </w:pPr>
      <w:r>
        <w:rPr>
          <w:sz w:val="22"/>
        </w:rPr>
        <w:t>Expand training opportunities for staff and contracting organizations on LGBTQ cultural engagement, racial equity, and adultism.</w:t>
      </w:r>
    </w:p>
    <w:p>
      <w:pPr>
        <w:pStyle w:val="ListParagraph"/>
        <w:numPr>
          <w:ilvl w:val="1"/>
          <w:numId w:val="40"/>
        </w:numPr>
        <w:tabs>
          <w:tab w:pos="1059" w:val="left" w:leader="none"/>
        </w:tabs>
        <w:spacing w:line="276" w:lineRule="auto" w:before="0" w:after="0"/>
        <w:ind w:left="1059" w:right="633" w:hanging="360"/>
        <w:jc w:val="both"/>
        <w:rPr>
          <w:sz w:val="22"/>
        </w:rPr>
      </w:pPr>
      <w:r>
        <w:rPr>
          <w:sz w:val="22"/>
        </w:rPr>
        <w:t>Develop new strategic partnerships to diversify connections and investment into LGBTQ </w:t>
      </w:r>
      <w:r>
        <w:rPr>
          <w:spacing w:val="-2"/>
          <w:sz w:val="22"/>
        </w:rPr>
        <w:t>communities.</w:t>
      </w:r>
    </w:p>
    <w:p>
      <w:pPr>
        <w:pStyle w:val="ListParagraph"/>
        <w:numPr>
          <w:ilvl w:val="1"/>
          <w:numId w:val="40"/>
        </w:numPr>
        <w:tabs>
          <w:tab w:pos="1057" w:val="left" w:leader="none"/>
          <w:tab w:pos="1059" w:val="left" w:leader="none"/>
        </w:tabs>
        <w:spacing w:line="276" w:lineRule="auto" w:before="0" w:after="0"/>
        <w:ind w:left="1059" w:right="629" w:hanging="361"/>
        <w:jc w:val="both"/>
        <w:rPr>
          <w:sz w:val="22"/>
        </w:rPr>
      </w:pPr>
      <w:r>
        <w:rPr>
          <w:sz w:val="22"/>
        </w:rPr>
        <w:t>Explore</w:t>
      </w:r>
      <w:r>
        <w:rPr>
          <w:spacing w:val="-3"/>
          <w:sz w:val="22"/>
        </w:rPr>
        <w:t> </w:t>
      </w:r>
      <w:r>
        <w:rPr>
          <w:sz w:val="22"/>
        </w:rPr>
        <w:t>ways</w:t>
      </w:r>
      <w:r>
        <w:rPr>
          <w:spacing w:val="-2"/>
          <w:sz w:val="22"/>
        </w:rPr>
        <w:t> </w:t>
      </w:r>
      <w:r>
        <w:rPr>
          <w:sz w:val="22"/>
        </w:rPr>
        <w:t>to</w:t>
      </w:r>
      <w:r>
        <w:rPr>
          <w:spacing w:val="-3"/>
          <w:sz w:val="22"/>
        </w:rPr>
        <w:t> </w:t>
      </w:r>
      <w:r>
        <w:rPr>
          <w:sz w:val="22"/>
        </w:rPr>
        <w:t>expand</w:t>
      </w:r>
      <w:r>
        <w:rPr>
          <w:spacing w:val="-3"/>
          <w:sz w:val="22"/>
        </w:rPr>
        <w:t> </w:t>
      </w:r>
      <w:r>
        <w:rPr>
          <w:sz w:val="22"/>
        </w:rPr>
        <w:t>SOGIE</w:t>
      </w:r>
      <w:r>
        <w:rPr>
          <w:spacing w:val="-3"/>
          <w:sz w:val="22"/>
        </w:rPr>
        <w:t> </w:t>
      </w:r>
      <w:r>
        <w:rPr>
          <w:sz w:val="22"/>
        </w:rPr>
        <w:t>data</w:t>
      </w:r>
      <w:r>
        <w:rPr>
          <w:spacing w:val="-2"/>
          <w:sz w:val="22"/>
        </w:rPr>
        <w:t> </w:t>
      </w:r>
      <w:r>
        <w:rPr>
          <w:sz w:val="22"/>
        </w:rPr>
        <w:t>collection</w:t>
      </w:r>
      <w:r>
        <w:rPr>
          <w:spacing w:val="-3"/>
          <w:sz w:val="22"/>
        </w:rPr>
        <w:t> </w:t>
      </w:r>
      <w:r>
        <w:rPr>
          <w:sz w:val="22"/>
        </w:rPr>
        <w:t>through</w:t>
      </w:r>
      <w:r>
        <w:rPr>
          <w:spacing w:val="-3"/>
          <w:sz w:val="22"/>
        </w:rPr>
        <w:t> </w:t>
      </w:r>
      <w:r>
        <w:rPr>
          <w:sz w:val="22"/>
        </w:rPr>
        <w:t>DPH</w:t>
      </w:r>
      <w:r>
        <w:rPr>
          <w:spacing w:val="-4"/>
          <w:sz w:val="22"/>
        </w:rPr>
        <w:t> </w:t>
      </w:r>
      <w:r>
        <w:rPr>
          <w:sz w:val="22"/>
        </w:rPr>
        <w:t>programs,</w:t>
      </w:r>
      <w:r>
        <w:rPr>
          <w:spacing w:val="-4"/>
          <w:sz w:val="22"/>
        </w:rPr>
        <w:t> </w:t>
      </w:r>
      <w:r>
        <w:rPr>
          <w:sz w:val="22"/>
        </w:rPr>
        <w:t>with</w:t>
      </w:r>
      <w:r>
        <w:rPr>
          <w:spacing w:val="-3"/>
          <w:sz w:val="22"/>
        </w:rPr>
        <w:t> </w:t>
      </w:r>
      <w:r>
        <w:rPr>
          <w:sz w:val="22"/>
        </w:rPr>
        <w:t>particular</w:t>
      </w:r>
      <w:r>
        <w:rPr>
          <w:spacing w:val="-4"/>
          <w:sz w:val="22"/>
        </w:rPr>
        <w:t> </w:t>
      </w:r>
      <w:r>
        <w:rPr>
          <w:sz w:val="22"/>
        </w:rPr>
        <w:t>attention to pregnancy, parental mortality, and gender-affirming care services, and make data publicly </w:t>
      </w:r>
      <w:r>
        <w:rPr>
          <w:spacing w:val="-2"/>
          <w:sz w:val="22"/>
        </w:rPr>
        <w:t>available.</w:t>
      </w:r>
    </w:p>
    <w:p>
      <w:pPr>
        <w:pStyle w:val="ListParagraph"/>
        <w:numPr>
          <w:ilvl w:val="1"/>
          <w:numId w:val="40"/>
        </w:numPr>
        <w:tabs>
          <w:tab w:pos="1057" w:val="left" w:leader="none"/>
          <w:tab w:pos="1059" w:val="left" w:leader="none"/>
        </w:tabs>
        <w:spacing w:line="276" w:lineRule="auto" w:before="0" w:after="0"/>
        <w:ind w:left="1059" w:right="631" w:hanging="361"/>
        <w:jc w:val="both"/>
        <w:rPr>
          <w:sz w:val="22"/>
        </w:rPr>
      </w:pPr>
      <w:r>
        <w:rPr>
          <w:sz w:val="22"/>
        </w:rPr>
        <w:t>Partner with the Commission to research the needs of LGBTQ transition-aged youth with </w:t>
      </w:r>
      <w:r>
        <w:rPr>
          <w:spacing w:val="-2"/>
          <w:sz w:val="22"/>
        </w:rPr>
        <w:t>multisystem-involvement.</w:t>
      </w:r>
    </w:p>
    <w:p>
      <w:pPr>
        <w:pStyle w:val="ListParagraph"/>
        <w:numPr>
          <w:ilvl w:val="1"/>
          <w:numId w:val="40"/>
        </w:numPr>
        <w:tabs>
          <w:tab w:pos="1058" w:val="left" w:leader="none"/>
        </w:tabs>
        <w:spacing w:line="240" w:lineRule="auto" w:before="1" w:after="0"/>
        <w:ind w:left="1058" w:right="0" w:hanging="359"/>
        <w:jc w:val="both"/>
        <w:rPr>
          <w:sz w:val="21"/>
        </w:rPr>
      </w:pPr>
      <w:r>
        <w:rPr>
          <w:sz w:val="21"/>
        </w:rPr>
        <w:t>Increase</w:t>
      </w:r>
      <w:r>
        <w:rPr>
          <w:spacing w:val="-5"/>
          <w:sz w:val="21"/>
        </w:rPr>
        <w:t> </w:t>
      </w:r>
      <w:r>
        <w:rPr>
          <w:sz w:val="21"/>
        </w:rPr>
        <w:t>community</w:t>
      </w:r>
      <w:r>
        <w:rPr>
          <w:spacing w:val="-3"/>
          <w:sz w:val="21"/>
        </w:rPr>
        <w:t> </w:t>
      </w:r>
      <w:r>
        <w:rPr>
          <w:sz w:val="21"/>
        </w:rPr>
        <w:t>research</w:t>
      </w:r>
      <w:r>
        <w:rPr>
          <w:spacing w:val="-3"/>
          <w:sz w:val="21"/>
        </w:rPr>
        <w:t> </w:t>
      </w:r>
      <w:r>
        <w:rPr>
          <w:sz w:val="21"/>
        </w:rPr>
        <w:t>initiatives</w:t>
      </w:r>
      <w:r>
        <w:rPr>
          <w:spacing w:val="-4"/>
          <w:sz w:val="21"/>
        </w:rPr>
        <w:t> </w:t>
      </w:r>
      <w:r>
        <w:rPr>
          <w:sz w:val="21"/>
        </w:rPr>
        <w:t>to</w:t>
      </w:r>
      <w:r>
        <w:rPr>
          <w:spacing w:val="-3"/>
          <w:sz w:val="21"/>
        </w:rPr>
        <w:t> </w:t>
      </w:r>
      <w:r>
        <w:rPr>
          <w:sz w:val="21"/>
        </w:rPr>
        <w:t>better</w:t>
      </w:r>
      <w:r>
        <w:rPr>
          <w:spacing w:val="-3"/>
          <w:sz w:val="21"/>
        </w:rPr>
        <w:t> </w:t>
      </w:r>
      <w:r>
        <w:rPr>
          <w:sz w:val="21"/>
        </w:rPr>
        <w:t>address</w:t>
      </w:r>
      <w:r>
        <w:rPr>
          <w:spacing w:val="-3"/>
          <w:sz w:val="21"/>
        </w:rPr>
        <w:t> </w:t>
      </w:r>
      <w:r>
        <w:rPr>
          <w:sz w:val="21"/>
        </w:rPr>
        <w:t>health</w:t>
      </w:r>
      <w:r>
        <w:rPr>
          <w:spacing w:val="-2"/>
          <w:sz w:val="21"/>
        </w:rPr>
        <w:t> inequities.</w:t>
      </w: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708160">
                <wp:simplePos x="0" y="0"/>
                <wp:positionH relativeFrom="page">
                  <wp:posOffset>889000</wp:posOffset>
                </wp:positionH>
                <wp:positionV relativeFrom="paragraph">
                  <wp:posOffset>237014</wp:posOffset>
                </wp:positionV>
                <wp:extent cx="6350" cy="12700"/>
                <wp:effectExtent l="0" t="0" r="0" b="0"/>
                <wp:wrapTopAndBottom/>
                <wp:docPr id="605" name="Graphic 605"/>
                <wp:cNvGraphicFramePr>
                  <a:graphicFrameLocks/>
                </wp:cNvGraphicFramePr>
                <a:graphic>
                  <a:graphicData uri="http://schemas.microsoft.com/office/word/2010/wordprocessingShape">
                    <wps:wsp>
                      <wps:cNvPr id="605" name="Graphic 605"/>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662535pt;width:.499pt;height:.959pt;mso-position-horizontal-relative:page;mso-position-vertical-relative:paragraph;z-index:-15608320;mso-wrap-distance-left:0;mso-wrap-distance-right:0" id="docshape502"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08672">
                <wp:simplePos x="0" y="0"/>
                <wp:positionH relativeFrom="page">
                  <wp:posOffset>897636</wp:posOffset>
                </wp:positionH>
                <wp:positionV relativeFrom="paragraph">
                  <wp:posOffset>45429</wp:posOffset>
                </wp:positionV>
                <wp:extent cx="5976620" cy="6350"/>
                <wp:effectExtent l="0" t="0" r="0" b="0"/>
                <wp:wrapTopAndBottom/>
                <wp:docPr id="606" name="Graphic 606"/>
                <wp:cNvGraphicFramePr>
                  <a:graphicFrameLocks/>
                </wp:cNvGraphicFramePr>
                <a:graphic>
                  <a:graphicData uri="http://schemas.microsoft.com/office/word/2010/wordprocessingShape">
                    <wps:wsp>
                      <wps:cNvPr id="606" name="Graphic 606"/>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7156pt;width:470.58pt;height:.481pt;mso-position-horizontal-relative:page;mso-position-vertical-relative:paragraph;z-index:-15607808;mso-wrap-distance-left:0;mso-wrap-distance-right:0" id="docshape503" filled="true" fillcolor="#4f81bc" stroked="false">
                <v:fill type="solid"/>
                <w10:wrap type="topAndBottom"/>
              </v:rect>
            </w:pict>
          </mc:Fallback>
        </mc:AlternateContent>
      </w:r>
    </w:p>
    <w:p>
      <w:pPr>
        <w:pStyle w:val="BodyText"/>
        <w:spacing w:line="276" w:lineRule="auto" w:before="241"/>
        <w:ind w:left="483" w:right="341"/>
        <w:jc w:val="both"/>
      </w:pPr>
      <w:r>
        <w:rPr/>
        <w:t>The Massachusetts Department of Public Health (DPH) is a state agency dedicated to promoting and ensuring</w:t>
      </w:r>
      <w:r>
        <w:rPr>
          <w:spacing w:val="-9"/>
        </w:rPr>
        <w:t> </w:t>
      </w:r>
      <w:r>
        <w:rPr/>
        <w:t>access</w:t>
      </w:r>
      <w:r>
        <w:rPr>
          <w:spacing w:val="-8"/>
        </w:rPr>
        <w:t> </w:t>
      </w:r>
      <w:r>
        <w:rPr/>
        <w:t>to</w:t>
      </w:r>
      <w:r>
        <w:rPr>
          <w:spacing w:val="-8"/>
        </w:rPr>
        <w:t> </w:t>
      </w:r>
      <w:r>
        <w:rPr/>
        <w:t>health</w:t>
      </w:r>
      <w:r>
        <w:rPr>
          <w:spacing w:val="-9"/>
        </w:rPr>
        <w:t> </w:t>
      </w:r>
      <w:r>
        <w:rPr/>
        <w:t>services,</w:t>
      </w:r>
      <w:r>
        <w:rPr>
          <w:spacing w:val="-8"/>
        </w:rPr>
        <w:t> </w:t>
      </w:r>
      <w:r>
        <w:rPr/>
        <w:t>with</w:t>
      </w:r>
      <w:r>
        <w:rPr>
          <w:spacing w:val="-8"/>
        </w:rPr>
        <w:t> </w:t>
      </w:r>
      <w:r>
        <w:rPr/>
        <w:t>a</w:t>
      </w:r>
      <w:r>
        <w:rPr>
          <w:spacing w:val="-8"/>
        </w:rPr>
        <w:t> </w:t>
      </w:r>
      <w:r>
        <w:rPr/>
        <w:t>specific</w:t>
      </w:r>
      <w:r>
        <w:rPr>
          <w:spacing w:val="-9"/>
        </w:rPr>
        <w:t> </w:t>
      </w:r>
      <w:r>
        <w:rPr/>
        <w:t>focus</w:t>
      </w:r>
      <w:r>
        <w:rPr>
          <w:spacing w:val="-8"/>
        </w:rPr>
        <w:t> </w:t>
      </w:r>
      <w:r>
        <w:rPr/>
        <w:t>on</w:t>
      </w:r>
      <w:r>
        <w:rPr>
          <w:spacing w:val="-9"/>
        </w:rPr>
        <w:t> </w:t>
      </w:r>
      <w:r>
        <w:rPr/>
        <w:t>prevention,</w:t>
      </w:r>
      <w:r>
        <w:rPr>
          <w:spacing w:val="-8"/>
        </w:rPr>
        <w:t> </w:t>
      </w:r>
      <w:r>
        <w:rPr/>
        <w:t>overall</w:t>
      </w:r>
      <w:r>
        <w:rPr>
          <w:spacing w:val="-9"/>
        </w:rPr>
        <w:t> </w:t>
      </w:r>
      <w:r>
        <w:rPr/>
        <w:t>wellness,</w:t>
      </w:r>
      <w:r>
        <w:rPr>
          <w:spacing w:val="-8"/>
        </w:rPr>
        <w:t> </w:t>
      </w:r>
      <w:r>
        <w:rPr/>
        <w:t>and</w:t>
      </w:r>
      <w:r>
        <w:rPr>
          <w:spacing w:val="-9"/>
        </w:rPr>
        <w:t> </w:t>
      </w:r>
      <w:r>
        <w:rPr/>
        <w:t>health</w:t>
      </w:r>
      <w:r>
        <w:rPr>
          <w:spacing w:val="-9"/>
        </w:rPr>
        <w:t> </w:t>
      </w:r>
      <w:r>
        <w:rPr/>
        <w:t>equity for all communities. The Commission and DPH have had a longstanding supportive relationship, and the Commission is grateful for DPH’s continued support and collaboration looking into FY 202</w:t>
      </w:r>
      <w:r>
        <w:rPr>
          <w:sz w:val="21"/>
        </w:rPr>
        <w:t>5</w:t>
      </w:r>
      <w:r>
        <w:rPr/>
        <w:t>. Prior to the COVID pandemic, DPH provided vital administrative and operational support, including housing its staff, and it has continued to offer support, including through funding and provision of meeting spaces. The Commission</w:t>
      </w:r>
      <w:r>
        <w:rPr>
          <w:spacing w:val="-12"/>
        </w:rPr>
        <w:t> </w:t>
      </w:r>
      <w:r>
        <w:rPr/>
        <w:t>is</w:t>
      </w:r>
      <w:r>
        <w:rPr>
          <w:spacing w:val="-11"/>
        </w:rPr>
        <w:t> </w:t>
      </w:r>
      <w:r>
        <w:rPr/>
        <w:t>confident</w:t>
      </w:r>
      <w:r>
        <w:rPr>
          <w:spacing w:val="-11"/>
        </w:rPr>
        <w:t> </w:t>
      </w:r>
      <w:r>
        <w:rPr/>
        <w:t>that</w:t>
      </w:r>
      <w:r>
        <w:rPr>
          <w:spacing w:val="-12"/>
        </w:rPr>
        <w:t> </w:t>
      </w:r>
      <w:r>
        <w:rPr/>
        <w:t>DPH</w:t>
      </w:r>
      <w:r>
        <w:rPr>
          <w:spacing w:val="-11"/>
        </w:rPr>
        <w:t> </w:t>
      </w:r>
      <w:r>
        <w:rPr/>
        <w:t>recognizes</w:t>
      </w:r>
      <w:r>
        <w:rPr>
          <w:spacing w:val="-10"/>
        </w:rPr>
        <w:t> </w:t>
      </w:r>
      <w:r>
        <w:rPr/>
        <w:t>the</w:t>
      </w:r>
      <w:r>
        <w:rPr>
          <w:spacing w:val="-10"/>
        </w:rPr>
        <w:t> </w:t>
      </w:r>
      <w:r>
        <w:rPr/>
        <w:t>long-term</w:t>
      </w:r>
      <w:r>
        <w:rPr>
          <w:spacing w:val="-10"/>
        </w:rPr>
        <w:t> </w:t>
      </w:r>
      <w:r>
        <w:rPr/>
        <w:t>health</w:t>
      </w:r>
      <w:r>
        <w:rPr>
          <w:spacing w:val="-9"/>
        </w:rPr>
        <w:t> </w:t>
      </w:r>
      <w:r>
        <w:rPr/>
        <w:t>and</w:t>
      </w:r>
      <w:r>
        <w:rPr>
          <w:spacing w:val="-12"/>
        </w:rPr>
        <w:t> </w:t>
      </w:r>
      <w:r>
        <w:rPr/>
        <w:t>economic</w:t>
      </w:r>
      <w:r>
        <w:rPr>
          <w:spacing w:val="-11"/>
        </w:rPr>
        <w:t> </w:t>
      </w:r>
      <w:r>
        <w:rPr/>
        <w:t>benefits</w:t>
      </w:r>
      <w:r>
        <w:rPr>
          <w:spacing w:val="-11"/>
        </w:rPr>
        <w:t> </w:t>
      </w:r>
      <w:r>
        <w:rPr/>
        <w:t>of</w:t>
      </w:r>
      <w:r>
        <w:rPr>
          <w:spacing w:val="-10"/>
        </w:rPr>
        <w:t> </w:t>
      </w:r>
      <w:r>
        <w:rPr/>
        <w:t>public</w:t>
      </w:r>
      <w:r>
        <w:rPr>
          <w:spacing w:val="-11"/>
        </w:rPr>
        <w:t> </w:t>
      </w:r>
      <w:r>
        <w:rPr/>
        <w:t>health interventions with youth. Additionally, the Commission appreciates the significant strides DPH has continued</w:t>
      </w:r>
      <w:r>
        <w:rPr>
          <w:spacing w:val="-3"/>
        </w:rPr>
        <w:t> </w:t>
      </w:r>
      <w:r>
        <w:rPr/>
        <w:t>to</w:t>
      </w:r>
      <w:r>
        <w:rPr>
          <w:spacing w:val="-2"/>
        </w:rPr>
        <w:t> </w:t>
      </w:r>
      <w:r>
        <w:rPr/>
        <w:t>take</w:t>
      </w:r>
      <w:r>
        <w:rPr>
          <w:spacing w:val="-3"/>
        </w:rPr>
        <w:t> </w:t>
      </w:r>
      <w:r>
        <w:rPr/>
        <w:t>to</w:t>
      </w:r>
      <w:r>
        <w:rPr>
          <w:spacing w:val="-3"/>
        </w:rPr>
        <w:t> </w:t>
      </w:r>
      <w:r>
        <w:rPr/>
        <w:t>impact</w:t>
      </w:r>
      <w:r>
        <w:rPr>
          <w:spacing w:val="-4"/>
        </w:rPr>
        <w:t> </w:t>
      </w:r>
      <w:r>
        <w:rPr/>
        <w:t>the</w:t>
      </w:r>
      <w:r>
        <w:rPr>
          <w:spacing w:val="-4"/>
        </w:rPr>
        <w:t> </w:t>
      </w:r>
      <w:r>
        <w:rPr/>
        <w:t>intersecting</w:t>
      </w:r>
      <w:r>
        <w:rPr>
          <w:spacing w:val="-3"/>
        </w:rPr>
        <w:t> </w:t>
      </w:r>
      <w:r>
        <w:rPr/>
        <w:t>systems</w:t>
      </w:r>
      <w:r>
        <w:rPr>
          <w:spacing w:val="-2"/>
        </w:rPr>
        <w:t> </w:t>
      </w:r>
      <w:r>
        <w:rPr/>
        <w:t>of</w:t>
      </w:r>
      <w:r>
        <w:rPr>
          <w:spacing w:val="-4"/>
        </w:rPr>
        <w:t> </w:t>
      </w:r>
      <w:r>
        <w:rPr/>
        <w:t>oppression</w:t>
      </w:r>
      <w:r>
        <w:rPr>
          <w:spacing w:val="-4"/>
        </w:rPr>
        <w:t> </w:t>
      </w:r>
      <w:r>
        <w:rPr/>
        <w:t>that</w:t>
      </w:r>
      <w:r>
        <w:rPr>
          <w:spacing w:val="-3"/>
        </w:rPr>
        <w:t> </w:t>
      </w:r>
      <w:r>
        <w:rPr/>
        <w:t>provide</w:t>
      </w:r>
      <w:r>
        <w:rPr>
          <w:spacing w:val="-2"/>
        </w:rPr>
        <w:t> </w:t>
      </w:r>
      <w:r>
        <w:rPr/>
        <w:t>and</w:t>
      </w:r>
      <w:r>
        <w:rPr>
          <w:spacing w:val="-4"/>
        </w:rPr>
        <w:t> </w:t>
      </w:r>
      <w:r>
        <w:rPr/>
        <w:t>compound</w:t>
      </w:r>
      <w:r>
        <w:rPr>
          <w:spacing w:val="-4"/>
        </w:rPr>
        <w:t> </w:t>
      </w:r>
      <w:r>
        <w:rPr/>
        <w:t>systemic barriers to health and wellness for QTBIPOC communities.</w:t>
      </w:r>
    </w:p>
    <w:p>
      <w:pPr>
        <w:pStyle w:val="BodyText"/>
        <w:spacing w:line="276" w:lineRule="auto" w:before="240"/>
        <w:ind w:left="483" w:right="341"/>
        <w:jc w:val="both"/>
      </w:pPr>
      <w:r>
        <w:rPr/>
        <w:t>As highlighted in the above public health section, a wide array of issues contributes to the significant health disparities affecting LGBTQ youth, families, and communities, including violence and abuse, sexually- transmitted infections, bullying, and substance use. However, despite these disparities, LGBTQ youth</w:t>
      </w:r>
      <w:r>
        <w:rPr>
          <w:spacing w:val="-12"/>
        </w:rPr>
        <w:t> </w:t>
      </w:r>
      <w:r>
        <w:rPr/>
        <w:t>consistently</w:t>
      </w:r>
      <w:r>
        <w:rPr>
          <w:spacing w:val="-12"/>
        </w:rPr>
        <w:t> </w:t>
      </w:r>
      <w:r>
        <w:rPr/>
        <w:t>face</w:t>
      </w:r>
      <w:r>
        <w:rPr>
          <w:spacing w:val="-12"/>
        </w:rPr>
        <w:t> </w:t>
      </w:r>
      <w:r>
        <w:rPr/>
        <w:t>barriers</w:t>
      </w:r>
      <w:r>
        <w:rPr>
          <w:spacing w:val="-13"/>
        </w:rPr>
        <w:t> </w:t>
      </w:r>
      <w:r>
        <w:rPr/>
        <w:t>to</w:t>
      </w:r>
      <w:r>
        <w:rPr>
          <w:spacing w:val="-11"/>
        </w:rPr>
        <w:t> </w:t>
      </w:r>
      <w:r>
        <w:rPr/>
        <w:t>accessing</w:t>
      </w:r>
      <w:r>
        <w:rPr>
          <w:spacing w:val="-13"/>
        </w:rPr>
        <w:t> </w:t>
      </w:r>
      <w:r>
        <w:rPr/>
        <w:t>essential</w:t>
      </w:r>
      <w:r>
        <w:rPr>
          <w:spacing w:val="-10"/>
        </w:rPr>
        <w:t> </w:t>
      </w:r>
      <w:r>
        <w:rPr/>
        <w:t>programs</w:t>
      </w:r>
      <w:r>
        <w:rPr>
          <w:spacing w:val="-12"/>
        </w:rPr>
        <w:t> </w:t>
      </w:r>
      <w:r>
        <w:rPr/>
        <w:t>and</w:t>
      </w:r>
      <w:r>
        <w:rPr>
          <w:spacing w:val="-13"/>
        </w:rPr>
        <w:t> </w:t>
      </w:r>
      <w:r>
        <w:rPr/>
        <w:t>services,</w:t>
      </w:r>
      <w:r>
        <w:rPr>
          <w:spacing w:val="-11"/>
        </w:rPr>
        <w:t> </w:t>
      </w:r>
      <w:r>
        <w:rPr/>
        <w:t>such</w:t>
      </w:r>
      <w:r>
        <w:rPr>
          <w:spacing w:val="-13"/>
        </w:rPr>
        <w:t> </w:t>
      </w:r>
      <w:r>
        <w:rPr/>
        <w:t>as</w:t>
      </w:r>
      <w:r>
        <w:rPr>
          <w:spacing w:val="-11"/>
        </w:rPr>
        <w:t> </w:t>
      </w:r>
      <w:r>
        <w:rPr/>
        <w:t>transportation,</w:t>
      </w:r>
      <w:r>
        <w:rPr>
          <w:spacing w:val="-12"/>
        </w:rPr>
        <w:t> </w:t>
      </w:r>
      <w:r>
        <w:rPr/>
        <w:t>cost, and fear of stigmatization and discrimination. The Commission looks forward to continuing to work with DPH</w:t>
      </w:r>
      <w:r>
        <w:rPr>
          <w:spacing w:val="-6"/>
        </w:rPr>
        <w:t> </w:t>
      </w:r>
      <w:r>
        <w:rPr/>
        <w:t>on</w:t>
      </w:r>
      <w:r>
        <w:rPr>
          <w:spacing w:val="-7"/>
        </w:rPr>
        <w:t> </w:t>
      </w:r>
      <w:r>
        <w:rPr/>
        <w:t>these</w:t>
      </w:r>
      <w:r>
        <w:rPr>
          <w:spacing w:val="-5"/>
        </w:rPr>
        <w:t> </w:t>
      </w:r>
      <w:r>
        <w:rPr/>
        <w:t>issues,</w:t>
      </w:r>
      <w:r>
        <w:rPr>
          <w:spacing w:val="-6"/>
        </w:rPr>
        <w:t> </w:t>
      </w:r>
      <w:r>
        <w:rPr/>
        <w:t>and</w:t>
      </w:r>
      <w:r>
        <w:rPr>
          <w:spacing w:val="-7"/>
        </w:rPr>
        <w:t> </w:t>
      </w:r>
      <w:r>
        <w:rPr/>
        <w:t>understanding</w:t>
      </w:r>
      <w:r>
        <w:rPr>
          <w:spacing w:val="-5"/>
        </w:rPr>
        <w:t> </w:t>
      </w:r>
      <w:r>
        <w:rPr/>
        <w:t>ways</w:t>
      </w:r>
      <w:r>
        <w:rPr>
          <w:spacing w:val="-6"/>
        </w:rPr>
        <w:t> </w:t>
      </w:r>
      <w:r>
        <w:rPr/>
        <w:t>to</w:t>
      </w:r>
      <w:r>
        <w:rPr>
          <w:spacing w:val="-6"/>
        </w:rPr>
        <w:t> </w:t>
      </w:r>
      <w:r>
        <w:rPr/>
        <w:t>create,</w:t>
      </w:r>
      <w:r>
        <w:rPr>
          <w:spacing w:val="-6"/>
        </w:rPr>
        <w:t> </w:t>
      </w:r>
      <w:r>
        <w:rPr/>
        <w:t>improve,</w:t>
      </w:r>
      <w:r>
        <w:rPr>
          <w:spacing w:val="-5"/>
        </w:rPr>
        <w:t> </w:t>
      </w:r>
      <w:r>
        <w:rPr/>
        <w:t>and</w:t>
      </w:r>
      <w:r>
        <w:rPr>
          <w:spacing w:val="-7"/>
        </w:rPr>
        <w:t> </w:t>
      </w:r>
      <w:r>
        <w:rPr/>
        <w:t>broaden</w:t>
      </w:r>
      <w:r>
        <w:rPr>
          <w:spacing w:val="-4"/>
        </w:rPr>
        <w:t> </w:t>
      </w:r>
      <w:r>
        <w:rPr/>
        <w:t>programs</w:t>
      </w:r>
      <w:r>
        <w:rPr>
          <w:spacing w:val="-6"/>
        </w:rPr>
        <w:t> </w:t>
      </w:r>
      <w:r>
        <w:rPr/>
        <w:t>and</w:t>
      </w:r>
      <w:r>
        <w:rPr>
          <w:spacing w:val="-7"/>
        </w:rPr>
        <w:t> </w:t>
      </w:r>
      <w:r>
        <w:rPr/>
        <w:t>services</w:t>
      </w:r>
      <w:r>
        <w:rPr>
          <w:spacing w:val="-6"/>
        </w:rPr>
        <w:t> </w:t>
      </w:r>
      <w:r>
        <w:rPr/>
        <w:t>for LGBTQ communities across the state.</w:t>
      </w:r>
    </w:p>
    <w:p>
      <w:pPr>
        <w:spacing w:after="0" w:line="276" w:lineRule="auto"/>
        <w:jc w:val="both"/>
        <w:sectPr>
          <w:headerReference w:type="default" r:id="rId744"/>
          <w:footerReference w:type="default" r:id="rId745"/>
          <w:pgSz w:w="12240" w:h="15840"/>
          <w:pgMar w:header="804" w:footer="1263" w:top="1000" w:bottom="1460" w:left="960" w:right="1100"/>
        </w:sectPr>
      </w:pPr>
    </w:p>
    <w:p>
      <w:pPr>
        <w:pStyle w:val="BodyText"/>
        <w:spacing w:before="24"/>
        <w:rPr>
          <w:sz w:val="28"/>
        </w:rPr>
      </w:pPr>
    </w:p>
    <w:p>
      <w:pPr>
        <w:spacing w:before="0"/>
        <w:ind w:left="483" w:right="0" w:firstLine="0"/>
        <w:jc w:val="both"/>
        <w:rPr>
          <w:sz w:val="28"/>
        </w:rPr>
      </w:pPr>
      <w:r>
        <w:rPr>
          <w:color w:val="365F91"/>
          <w:sz w:val="28"/>
        </w:rPr>
        <w:t>Past</w:t>
      </w:r>
      <w:r>
        <w:rPr>
          <w:color w:val="365F91"/>
          <w:spacing w:val="-7"/>
          <w:sz w:val="28"/>
        </w:rPr>
        <w:t> </w:t>
      </w:r>
      <w:r>
        <w:rPr>
          <w:color w:val="365F91"/>
          <w:sz w:val="28"/>
        </w:rPr>
        <w:t>&amp;</w:t>
      </w:r>
      <w:r>
        <w:rPr>
          <w:color w:val="365F91"/>
          <w:spacing w:val="-7"/>
          <w:sz w:val="28"/>
        </w:rPr>
        <w:t> </w:t>
      </w:r>
      <w:r>
        <w:rPr>
          <w:color w:val="365F91"/>
          <w:sz w:val="28"/>
        </w:rPr>
        <w:t>Ongoing</w:t>
      </w:r>
      <w:r>
        <w:rPr>
          <w:color w:val="365F91"/>
          <w:spacing w:val="-7"/>
          <w:sz w:val="28"/>
        </w:rPr>
        <w:t> </w:t>
      </w:r>
      <w:r>
        <w:rPr>
          <w:color w:val="365F91"/>
          <w:spacing w:val="-4"/>
          <w:sz w:val="28"/>
        </w:rPr>
        <w:t>Work</w:t>
      </w:r>
    </w:p>
    <w:p>
      <w:pPr>
        <w:pStyle w:val="BodyText"/>
        <w:spacing w:line="276" w:lineRule="auto" w:before="293"/>
        <w:ind w:left="483" w:right="343"/>
        <w:jc w:val="both"/>
      </w:pPr>
      <w:r>
        <w:rPr/>
        <w:t>DPH has long been committed to developing consistent policies and practices for working with LGBTQ populations, as well as expanding its services and support for effective programs across the Commonwealth.</w:t>
      </w:r>
      <w:r>
        <w:rPr>
          <w:spacing w:val="-13"/>
        </w:rPr>
        <w:t> </w:t>
      </w:r>
      <w:r>
        <w:rPr/>
        <w:t>Notably,</w:t>
      </w:r>
      <w:r>
        <w:rPr>
          <w:spacing w:val="-12"/>
        </w:rPr>
        <w:t> </w:t>
      </w:r>
      <w:r>
        <w:rPr/>
        <w:t>through</w:t>
      </w:r>
      <w:r>
        <w:rPr>
          <w:spacing w:val="-13"/>
        </w:rPr>
        <w:t> </w:t>
      </w:r>
      <w:r>
        <w:rPr/>
        <w:t>its</w:t>
      </w:r>
      <w:r>
        <w:rPr>
          <w:spacing w:val="-12"/>
        </w:rPr>
        <w:t> </w:t>
      </w:r>
      <w:r>
        <w:rPr/>
        <w:t>Division</w:t>
      </w:r>
      <w:r>
        <w:rPr>
          <w:spacing w:val="-12"/>
        </w:rPr>
        <w:t> </w:t>
      </w:r>
      <w:r>
        <w:rPr/>
        <w:t>of</w:t>
      </w:r>
      <w:r>
        <w:rPr>
          <w:spacing w:val="-12"/>
        </w:rPr>
        <w:t> </w:t>
      </w:r>
      <w:r>
        <w:rPr/>
        <w:t>Violence</w:t>
      </w:r>
      <w:r>
        <w:rPr>
          <w:spacing w:val="-13"/>
        </w:rPr>
        <w:t> </w:t>
      </w:r>
      <w:r>
        <w:rPr/>
        <w:t>and</w:t>
      </w:r>
      <w:r>
        <w:rPr>
          <w:spacing w:val="-12"/>
        </w:rPr>
        <w:t> </w:t>
      </w:r>
      <w:r>
        <w:rPr/>
        <w:t>Injury</w:t>
      </w:r>
      <w:r>
        <w:rPr>
          <w:spacing w:val="-13"/>
        </w:rPr>
        <w:t> </w:t>
      </w:r>
      <w:r>
        <w:rPr/>
        <w:t>Prevention,</w:t>
      </w:r>
      <w:r>
        <w:rPr>
          <w:spacing w:val="-10"/>
        </w:rPr>
        <w:t> </w:t>
      </w:r>
      <w:r>
        <w:rPr/>
        <w:t>DPH</w:t>
      </w:r>
      <w:r>
        <w:rPr>
          <w:spacing w:val="-13"/>
        </w:rPr>
        <w:t> </w:t>
      </w:r>
      <w:r>
        <w:rPr/>
        <w:t>administers</w:t>
      </w:r>
      <w:r>
        <w:rPr>
          <w:spacing w:val="-12"/>
        </w:rPr>
        <w:t> </w:t>
      </w:r>
      <w:r>
        <w:rPr/>
        <w:t>the</w:t>
      </w:r>
      <w:r>
        <w:rPr>
          <w:spacing w:val="-12"/>
        </w:rPr>
        <w:t> </w:t>
      </w:r>
      <w:hyperlink r:id="rId746">
        <w:r>
          <w:rPr>
            <w:color w:val="1153CC"/>
            <w:u w:val="single" w:color="1153CC"/>
          </w:rPr>
          <w:t>Safe</w:t>
        </w:r>
      </w:hyperlink>
      <w:r>
        <w:rPr>
          <w:color w:val="1153CC"/>
          <w:u w:val="none"/>
        </w:rPr>
        <w:t> </w:t>
      </w:r>
      <w:hyperlink r:id="rId746">
        <w:r>
          <w:rPr>
            <w:color w:val="1153CC"/>
            <w:u w:val="single" w:color="1153CC"/>
          </w:rPr>
          <w:t>Spaces for LGBTQIA+ Youth Programs</w:t>
        </w:r>
      </w:hyperlink>
      <w:hyperlink r:id="rId746">
        <w:r>
          <w:rPr>
            <w:u w:val="none"/>
          </w:rPr>
          <w:t>,</w:t>
        </w:r>
      </w:hyperlink>
      <w:r>
        <w:rPr>
          <w:u w:val="none"/>
        </w:rPr>
        <w:t> which provides a variety of services, including an accessible community drop-in space, peer-led, adult-supported support groups, and services for transition-aged LGBTQ youth.</w:t>
      </w:r>
    </w:p>
    <w:p>
      <w:pPr>
        <w:pStyle w:val="BodyText"/>
        <w:spacing w:line="276" w:lineRule="auto" w:before="239"/>
        <w:ind w:left="483" w:right="339"/>
        <w:jc w:val="both"/>
      </w:pPr>
      <w:r>
        <w:rPr/>
        <w:t>The</w:t>
      </w:r>
      <w:r>
        <w:rPr>
          <w:spacing w:val="-4"/>
        </w:rPr>
        <w:t> </w:t>
      </w:r>
      <w:r>
        <w:rPr/>
        <w:t>Commission</w:t>
      </w:r>
      <w:r>
        <w:rPr>
          <w:spacing w:val="-4"/>
        </w:rPr>
        <w:t> </w:t>
      </w:r>
      <w:r>
        <w:rPr/>
        <w:t>has</w:t>
      </w:r>
      <w:r>
        <w:rPr>
          <w:spacing w:val="-4"/>
        </w:rPr>
        <w:t> </w:t>
      </w:r>
      <w:r>
        <w:rPr/>
        <w:t>been</w:t>
      </w:r>
      <w:r>
        <w:rPr>
          <w:spacing w:val="-3"/>
        </w:rPr>
        <w:t> </w:t>
      </w:r>
      <w:r>
        <w:rPr/>
        <w:t>pleased</w:t>
      </w:r>
      <w:r>
        <w:rPr>
          <w:spacing w:val="-4"/>
        </w:rPr>
        <w:t> </w:t>
      </w:r>
      <w:r>
        <w:rPr/>
        <w:t>to</w:t>
      </w:r>
      <w:r>
        <w:rPr>
          <w:spacing w:val="-2"/>
        </w:rPr>
        <w:t> </w:t>
      </w:r>
      <w:r>
        <w:rPr/>
        <w:t>work</w:t>
      </w:r>
      <w:r>
        <w:rPr>
          <w:spacing w:val="-4"/>
        </w:rPr>
        <w:t> </w:t>
      </w:r>
      <w:r>
        <w:rPr/>
        <w:t>with</w:t>
      </w:r>
      <w:r>
        <w:rPr>
          <w:spacing w:val="-3"/>
        </w:rPr>
        <w:t> </w:t>
      </w:r>
      <w:r>
        <w:rPr/>
        <w:t>DPH’s</w:t>
      </w:r>
      <w:r>
        <w:rPr>
          <w:spacing w:val="-4"/>
        </w:rPr>
        <w:t> </w:t>
      </w:r>
      <w:r>
        <w:rPr/>
        <w:t>Bureau</w:t>
      </w:r>
      <w:r>
        <w:rPr>
          <w:spacing w:val="-4"/>
        </w:rPr>
        <w:t> </w:t>
      </w:r>
      <w:r>
        <w:rPr/>
        <w:t>of</w:t>
      </w:r>
      <w:r>
        <w:rPr>
          <w:spacing w:val="-4"/>
        </w:rPr>
        <w:t> </w:t>
      </w:r>
      <w:r>
        <w:rPr/>
        <w:t>Substance</w:t>
      </w:r>
      <w:r>
        <w:rPr>
          <w:spacing w:val="-4"/>
        </w:rPr>
        <w:t> </w:t>
      </w:r>
      <w:r>
        <w:rPr/>
        <w:t>Abuse</w:t>
      </w:r>
      <w:r>
        <w:rPr>
          <w:spacing w:val="-4"/>
        </w:rPr>
        <w:t> </w:t>
      </w:r>
      <w:r>
        <w:rPr/>
        <w:t>Services</w:t>
      </w:r>
      <w:r>
        <w:rPr>
          <w:spacing w:val="-4"/>
        </w:rPr>
        <w:t> </w:t>
      </w:r>
      <w:r>
        <w:rPr/>
        <w:t>(BSAS),</w:t>
      </w:r>
      <w:r>
        <w:rPr>
          <w:spacing w:val="-4"/>
        </w:rPr>
        <w:t> </w:t>
      </w:r>
      <w:r>
        <w:rPr/>
        <w:t>which has extended efforts through its Office of Youth and Young Adult Services (OYYAS) to review documents and data collection standards to ensure that LGBTQ youth are affirmed through DPH outreach and services. The Commission has further partnered with DPH’s SOGI Data Standards Working Group, and in April 2023 provided input on the agency’s upcoming COVID Community Impact Survey (CCIS) 2.0. The Commission looks forward to continuing to collaborate with DPH on these data collection efforts in the upcoming fiscal year.</w:t>
      </w:r>
    </w:p>
    <w:p>
      <w:pPr>
        <w:pStyle w:val="BodyText"/>
        <w:spacing w:line="276" w:lineRule="auto" w:before="240"/>
        <w:ind w:left="483" w:right="342"/>
        <w:jc w:val="both"/>
      </w:pPr>
      <w:r>
        <w:rPr/>
        <w:t>The</w:t>
      </w:r>
      <w:r>
        <w:rPr>
          <w:spacing w:val="-9"/>
        </w:rPr>
        <w:t> </w:t>
      </w:r>
      <w:r>
        <w:rPr/>
        <w:t>Commission</w:t>
      </w:r>
      <w:r>
        <w:rPr>
          <w:spacing w:val="-10"/>
        </w:rPr>
        <w:t> </w:t>
      </w:r>
      <w:r>
        <w:rPr/>
        <w:t>commends</w:t>
      </w:r>
      <w:r>
        <w:rPr>
          <w:spacing w:val="-10"/>
        </w:rPr>
        <w:t> </w:t>
      </w:r>
      <w:r>
        <w:rPr/>
        <w:t>DPH</w:t>
      </w:r>
      <w:r>
        <w:rPr>
          <w:spacing w:val="-10"/>
        </w:rPr>
        <w:t> </w:t>
      </w:r>
      <w:r>
        <w:rPr/>
        <w:t>for</w:t>
      </w:r>
      <w:r>
        <w:rPr>
          <w:spacing w:val="-10"/>
        </w:rPr>
        <w:t> </w:t>
      </w:r>
      <w:r>
        <w:rPr/>
        <w:t>its</w:t>
      </w:r>
      <w:r>
        <w:rPr>
          <w:spacing w:val="-7"/>
        </w:rPr>
        <w:t> </w:t>
      </w:r>
      <w:r>
        <w:rPr/>
        <w:t>work</w:t>
      </w:r>
      <w:r>
        <w:rPr>
          <w:spacing w:val="-11"/>
        </w:rPr>
        <w:t> </w:t>
      </w:r>
      <w:r>
        <w:rPr/>
        <w:t>on</w:t>
      </w:r>
      <w:r>
        <w:rPr>
          <w:spacing w:val="-10"/>
        </w:rPr>
        <w:t> </w:t>
      </w:r>
      <w:r>
        <w:rPr/>
        <w:t>racial</w:t>
      </w:r>
      <w:r>
        <w:rPr>
          <w:spacing w:val="-10"/>
        </w:rPr>
        <w:t> </w:t>
      </w:r>
      <w:r>
        <w:rPr/>
        <w:t>justice</w:t>
      </w:r>
      <w:r>
        <w:rPr>
          <w:spacing w:val="-9"/>
        </w:rPr>
        <w:t> </w:t>
      </w:r>
      <w:r>
        <w:rPr/>
        <w:t>initiatives,</w:t>
      </w:r>
      <w:r>
        <w:rPr>
          <w:spacing w:val="-10"/>
        </w:rPr>
        <w:t> </w:t>
      </w:r>
      <w:r>
        <w:rPr/>
        <w:t>including</w:t>
      </w:r>
      <w:r>
        <w:rPr>
          <w:spacing w:val="-10"/>
        </w:rPr>
        <w:t> </w:t>
      </w:r>
      <w:r>
        <w:rPr/>
        <w:t>by</w:t>
      </w:r>
      <w:r>
        <w:rPr>
          <w:spacing w:val="-9"/>
        </w:rPr>
        <w:t> </w:t>
      </w:r>
      <w:r>
        <w:rPr/>
        <w:t>its</w:t>
      </w:r>
      <w:r>
        <w:rPr>
          <w:spacing w:val="-9"/>
        </w:rPr>
        <w:t> </w:t>
      </w:r>
      <w:r>
        <w:rPr/>
        <w:t>release</w:t>
      </w:r>
      <w:r>
        <w:rPr>
          <w:spacing w:val="-10"/>
        </w:rPr>
        <w:t> </w:t>
      </w:r>
      <w:r>
        <w:rPr/>
        <w:t>of</w:t>
      </w:r>
      <w:r>
        <w:rPr>
          <w:spacing w:val="-10"/>
        </w:rPr>
        <w:t> </w:t>
      </w:r>
      <w:r>
        <w:rPr/>
        <w:t>a</w:t>
      </w:r>
      <w:r>
        <w:rPr>
          <w:spacing w:val="-9"/>
        </w:rPr>
        <w:t> </w:t>
      </w:r>
      <w:r>
        <w:rPr/>
        <w:t>Racial Equity Data Road Map in October of 2020 which provides “a suggested methodology for programs to assess their progress in addressing racial inequities in service delivery and health outcomes.”</w:t>
      </w:r>
      <w:hyperlink w:history="true" w:anchor="_bookmark636">
        <w:r>
          <w:rPr>
            <w:vertAlign w:val="superscript"/>
          </w:rPr>
          <w:t>1</w:t>
        </w:r>
      </w:hyperlink>
      <w:r>
        <w:rPr>
          <w:vertAlign w:val="baseline"/>
        </w:rPr>
        <w:t> In May of 2022, DPH noted that the agency had secured The Racial Equity Institute to provide a two-day training session to DPH leaders and staff which focused on anti-racism and capacity-building, which it intends to continue to offer to staff as requested.</w:t>
      </w:r>
    </w:p>
    <w:p>
      <w:pPr>
        <w:pStyle w:val="BodyText"/>
        <w:spacing w:line="276" w:lineRule="auto" w:before="239"/>
        <w:ind w:left="483" w:right="340"/>
        <w:jc w:val="both"/>
      </w:pPr>
      <w:r>
        <w:rPr/>
        <w:t>Ongoing</w:t>
      </w:r>
      <w:r>
        <w:rPr>
          <w:spacing w:val="-12"/>
        </w:rPr>
        <w:t> </w:t>
      </w:r>
      <w:r>
        <w:rPr/>
        <w:t>work</w:t>
      </w:r>
      <w:r>
        <w:rPr>
          <w:spacing w:val="-13"/>
        </w:rPr>
        <w:t> </w:t>
      </w:r>
      <w:r>
        <w:rPr/>
        <w:t>from</w:t>
      </w:r>
      <w:r>
        <w:rPr>
          <w:spacing w:val="-11"/>
        </w:rPr>
        <w:t> </w:t>
      </w:r>
      <w:r>
        <w:rPr/>
        <w:t>DPH</w:t>
      </w:r>
      <w:r>
        <w:rPr>
          <w:spacing w:val="-13"/>
        </w:rPr>
        <w:t> </w:t>
      </w:r>
      <w:r>
        <w:rPr/>
        <w:t>further</w:t>
      </w:r>
      <w:r>
        <w:rPr>
          <w:spacing w:val="-10"/>
        </w:rPr>
        <w:t> </w:t>
      </w:r>
      <w:r>
        <w:rPr/>
        <w:t>includes</w:t>
      </w:r>
      <w:r>
        <w:rPr>
          <w:spacing w:val="-12"/>
        </w:rPr>
        <w:t> </w:t>
      </w:r>
      <w:r>
        <w:rPr/>
        <w:t>the</w:t>
      </w:r>
      <w:r>
        <w:rPr>
          <w:spacing w:val="-10"/>
        </w:rPr>
        <w:t> </w:t>
      </w:r>
      <w:r>
        <w:rPr/>
        <w:t>prioritization</w:t>
      </w:r>
      <w:r>
        <w:rPr>
          <w:spacing w:val="-13"/>
        </w:rPr>
        <w:t> </w:t>
      </w:r>
      <w:r>
        <w:rPr/>
        <w:t>of</w:t>
      </w:r>
      <w:r>
        <w:rPr>
          <w:spacing w:val="-10"/>
        </w:rPr>
        <w:t> </w:t>
      </w:r>
      <w:r>
        <w:rPr/>
        <w:t>LGBTQ</w:t>
      </w:r>
      <w:r>
        <w:rPr>
          <w:spacing w:val="-13"/>
        </w:rPr>
        <w:t> </w:t>
      </w:r>
      <w:r>
        <w:rPr/>
        <w:t>youth</w:t>
      </w:r>
      <w:r>
        <w:rPr>
          <w:spacing w:val="-11"/>
        </w:rPr>
        <w:t> </w:t>
      </w:r>
      <w:r>
        <w:rPr/>
        <w:t>in</w:t>
      </w:r>
      <w:r>
        <w:rPr>
          <w:spacing w:val="-12"/>
        </w:rPr>
        <w:t> </w:t>
      </w:r>
      <w:r>
        <w:rPr/>
        <w:t>its</w:t>
      </w:r>
      <w:r>
        <w:rPr>
          <w:spacing w:val="-10"/>
        </w:rPr>
        <w:t> </w:t>
      </w:r>
      <w:r>
        <w:rPr/>
        <w:t>strategic</w:t>
      </w:r>
      <w:r>
        <w:rPr>
          <w:spacing w:val="-12"/>
        </w:rPr>
        <w:t> </w:t>
      </w:r>
      <w:r>
        <w:rPr/>
        <w:t>plan</w:t>
      </w:r>
      <w:r>
        <w:rPr>
          <w:spacing w:val="-12"/>
        </w:rPr>
        <w:t> </w:t>
      </w:r>
      <w:r>
        <w:rPr/>
        <w:t>for</w:t>
      </w:r>
      <w:r>
        <w:rPr>
          <w:spacing w:val="-12"/>
        </w:rPr>
        <w:t> </w:t>
      </w:r>
      <w:r>
        <w:rPr/>
        <w:t>smoking prevention, and continued resource provision to programs focused on suicide prevention and HIV prevention.</w:t>
      </w:r>
      <w:r>
        <w:rPr>
          <w:spacing w:val="-8"/>
        </w:rPr>
        <w:t> </w:t>
      </w:r>
      <w:r>
        <w:rPr/>
        <w:t>In</w:t>
      </w:r>
      <w:r>
        <w:rPr>
          <w:spacing w:val="-8"/>
        </w:rPr>
        <w:t> </w:t>
      </w:r>
      <w:r>
        <w:rPr/>
        <w:t>FY</w:t>
      </w:r>
      <w:r>
        <w:rPr>
          <w:spacing w:val="-8"/>
        </w:rPr>
        <w:t> </w:t>
      </w:r>
      <w:r>
        <w:rPr/>
        <w:t>2023,</w:t>
      </w:r>
      <w:r>
        <w:rPr>
          <w:spacing w:val="-6"/>
        </w:rPr>
        <w:t> </w:t>
      </w:r>
      <w:r>
        <w:rPr/>
        <w:t>the</w:t>
      </w:r>
      <w:r>
        <w:rPr>
          <w:spacing w:val="-8"/>
        </w:rPr>
        <w:t> </w:t>
      </w:r>
      <w:r>
        <w:rPr/>
        <w:t>Commission</w:t>
      </w:r>
      <w:r>
        <w:rPr>
          <w:spacing w:val="-8"/>
        </w:rPr>
        <w:t> </w:t>
      </w:r>
      <w:r>
        <w:rPr/>
        <w:t>and</w:t>
      </w:r>
      <w:r>
        <w:rPr>
          <w:spacing w:val="-8"/>
        </w:rPr>
        <w:t> </w:t>
      </w:r>
      <w:r>
        <w:rPr/>
        <w:t>DPH</w:t>
      </w:r>
      <w:r>
        <w:rPr>
          <w:spacing w:val="-7"/>
        </w:rPr>
        <w:t> </w:t>
      </w:r>
      <w:r>
        <w:rPr/>
        <w:t>discussed</w:t>
      </w:r>
      <w:r>
        <w:rPr>
          <w:spacing w:val="-7"/>
        </w:rPr>
        <w:t> </w:t>
      </w:r>
      <w:r>
        <w:rPr/>
        <w:t>further</w:t>
      </w:r>
      <w:r>
        <w:rPr>
          <w:spacing w:val="-8"/>
        </w:rPr>
        <w:t> </w:t>
      </w:r>
      <w:r>
        <w:rPr/>
        <w:t>areas</w:t>
      </w:r>
      <w:r>
        <w:rPr>
          <w:spacing w:val="-7"/>
        </w:rPr>
        <w:t> </w:t>
      </w:r>
      <w:r>
        <w:rPr/>
        <w:t>of</w:t>
      </w:r>
      <w:r>
        <w:rPr>
          <w:spacing w:val="-6"/>
        </w:rPr>
        <w:t> </w:t>
      </w:r>
      <w:r>
        <w:rPr/>
        <w:t>collaboration</w:t>
      </w:r>
      <w:r>
        <w:rPr>
          <w:spacing w:val="-8"/>
        </w:rPr>
        <w:t> </w:t>
      </w:r>
      <w:r>
        <w:rPr/>
        <w:t>and</w:t>
      </w:r>
      <w:r>
        <w:rPr>
          <w:spacing w:val="-8"/>
        </w:rPr>
        <w:t> </w:t>
      </w:r>
      <w:r>
        <w:rPr/>
        <w:t>investment into community-based public health and advocacy programs to build capacity and education efforts in local communities. Additionally, in 2021, DPH’s Bureau of Infectious Disease and Laboratory Sciences (BIDLS) provided its partner organizations with LGBTQ-inclusive guidance on using social media to promote health and disease prevention, as well as has continued to support innovative ways to engage LGBTQ communities in sexual health services.</w:t>
      </w:r>
    </w:p>
    <w:p>
      <w:pPr>
        <w:pStyle w:val="BodyText"/>
      </w:pPr>
    </w:p>
    <w:p>
      <w:pPr>
        <w:pStyle w:val="BodyText"/>
        <w:spacing w:before="62"/>
      </w:pPr>
    </w:p>
    <w:p>
      <w:pPr>
        <w:spacing w:before="1"/>
        <w:ind w:left="483" w:right="0" w:firstLine="0"/>
        <w:jc w:val="both"/>
        <w:rPr>
          <w:sz w:val="28"/>
        </w:rPr>
      </w:pPr>
      <w:r>
        <w:rPr>
          <w:color w:val="365F91"/>
          <w:sz w:val="28"/>
        </w:rPr>
        <w:t>FY</w:t>
      </w:r>
      <w:r>
        <w:rPr>
          <w:color w:val="365F91"/>
          <w:spacing w:val="-9"/>
          <w:sz w:val="28"/>
        </w:rPr>
        <w:t> </w:t>
      </w:r>
      <w:r>
        <w:rPr>
          <w:color w:val="365F91"/>
          <w:sz w:val="28"/>
        </w:rPr>
        <w:t>2025</w:t>
      </w:r>
      <w:r>
        <w:rPr>
          <w:color w:val="365F91"/>
          <w:spacing w:val="-8"/>
          <w:sz w:val="28"/>
        </w:rPr>
        <w:t> </w:t>
      </w:r>
      <w:r>
        <w:rPr>
          <w:color w:val="365F91"/>
          <w:sz w:val="28"/>
        </w:rPr>
        <w:t>Expanded</w:t>
      </w:r>
      <w:r>
        <w:rPr>
          <w:color w:val="365F91"/>
          <w:spacing w:val="-10"/>
          <w:sz w:val="28"/>
        </w:rPr>
        <w:t> </w:t>
      </w:r>
      <w:r>
        <w:rPr>
          <w:color w:val="365F91"/>
          <w:sz w:val="28"/>
        </w:rPr>
        <w:t>DPH</w:t>
      </w:r>
      <w:r>
        <w:rPr>
          <w:color w:val="365F91"/>
          <w:spacing w:val="-9"/>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09184">
                <wp:simplePos x="0" y="0"/>
                <wp:positionH relativeFrom="page">
                  <wp:posOffset>897636</wp:posOffset>
                </wp:positionH>
                <wp:positionV relativeFrom="paragraph">
                  <wp:posOffset>45184</wp:posOffset>
                </wp:positionV>
                <wp:extent cx="5976620" cy="6350"/>
                <wp:effectExtent l="0" t="0" r="0" b="0"/>
                <wp:wrapTopAndBottom/>
                <wp:docPr id="607" name="Graphic 607"/>
                <wp:cNvGraphicFramePr>
                  <a:graphicFrameLocks/>
                </wp:cNvGraphicFramePr>
                <a:graphic>
                  <a:graphicData uri="http://schemas.microsoft.com/office/word/2010/wordprocessingShape">
                    <wps:wsp>
                      <wps:cNvPr id="607" name="Graphic 60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57848pt;width:470.58pt;height:.481pt;mso-position-horizontal-relative:page;mso-position-vertical-relative:paragraph;z-index:-15607296;mso-wrap-distance-left:0;mso-wrap-distance-right:0" id="docshape504" filled="true" fillcolor="#4f81bc" stroked="false">
                <v:fill type="solid"/>
                <w10:wrap type="topAndBottom"/>
              </v:rect>
            </w:pict>
          </mc:Fallback>
        </mc:AlternateContent>
      </w:r>
    </w:p>
    <w:p>
      <w:pPr>
        <w:numPr>
          <w:ilvl w:val="0"/>
          <w:numId w:val="41"/>
        </w:numPr>
        <w:tabs>
          <w:tab w:pos="481" w:val="left" w:leader="none"/>
          <w:tab w:pos="483" w:val="left" w:leader="none"/>
        </w:tabs>
        <w:spacing w:line="276" w:lineRule="auto" w:before="241"/>
        <w:ind w:left="483" w:right="345" w:hanging="360"/>
        <w:jc w:val="left"/>
        <w:rPr>
          <w:b/>
          <w:sz w:val="22"/>
        </w:rPr>
      </w:pPr>
      <w:r>
        <w:rPr>
          <w:b/>
          <w:sz w:val="22"/>
        </w:rPr>
        <w:t>Expand training opportunities for staff and contracting organizations on LGBTQ cultural engagement, racial equity, and adultism.</w:t>
      </w:r>
    </w:p>
    <w:p>
      <w:pPr>
        <w:pStyle w:val="BodyText"/>
        <w:spacing w:line="276" w:lineRule="auto" w:before="241"/>
        <w:ind w:left="483" w:right="342"/>
        <w:jc w:val="both"/>
      </w:pPr>
      <w:r>
        <w:rPr/>
        <w:t>The</w:t>
      </w:r>
      <w:r>
        <w:rPr>
          <w:spacing w:val="-4"/>
        </w:rPr>
        <w:t> </w:t>
      </w:r>
      <w:r>
        <w:rPr/>
        <w:t>Commission</w:t>
      </w:r>
      <w:r>
        <w:rPr>
          <w:spacing w:val="-6"/>
        </w:rPr>
        <w:t> </w:t>
      </w:r>
      <w:r>
        <w:rPr/>
        <w:t>has</w:t>
      </w:r>
      <w:r>
        <w:rPr>
          <w:spacing w:val="-4"/>
        </w:rPr>
        <w:t> </w:t>
      </w:r>
      <w:r>
        <w:rPr/>
        <w:t>been</w:t>
      </w:r>
      <w:r>
        <w:rPr>
          <w:spacing w:val="-3"/>
        </w:rPr>
        <w:t> </w:t>
      </w:r>
      <w:r>
        <w:rPr/>
        <w:t>pleased</w:t>
      </w:r>
      <w:r>
        <w:rPr>
          <w:spacing w:val="-4"/>
        </w:rPr>
        <w:t> </w:t>
      </w:r>
      <w:r>
        <w:rPr/>
        <w:t>to</w:t>
      </w:r>
      <w:r>
        <w:rPr>
          <w:spacing w:val="-5"/>
        </w:rPr>
        <w:t> </w:t>
      </w:r>
      <w:r>
        <w:rPr/>
        <w:t>work</w:t>
      </w:r>
      <w:r>
        <w:rPr>
          <w:spacing w:val="-6"/>
        </w:rPr>
        <w:t> </w:t>
      </w:r>
      <w:r>
        <w:rPr/>
        <w:t>with</w:t>
      </w:r>
      <w:r>
        <w:rPr>
          <w:spacing w:val="-4"/>
        </w:rPr>
        <w:t> </w:t>
      </w:r>
      <w:r>
        <w:rPr/>
        <w:t>DPH</w:t>
      </w:r>
      <w:r>
        <w:rPr>
          <w:spacing w:val="-3"/>
        </w:rPr>
        <w:t> </w:t>
      </w:r>
      <w:r>
        <w:rPr/>
        <w:t>for</w:t>
      </w:r>
      <w:r>
        <w:rPr>
          <w:spacing w:val="-5"/>
        </w:rPr>
        <w:t> </w:t>
      </w:r>
      <w:r>
        <w:rPr/>
        <w:t>many</w:t>
      </w:r>
      <w:r>
        <w:rPr>
          <w:spacing w:val="-4"/>
        </w:rPr>
        <w:t> </w:t>
      </w:r>
      <w:r>
        <w:rPr/>
        <w:t>years</w:t>
      </w:r>
      <w:r>
        <w:rPr>
          <w:spacing w:val="-5"/>
        </w:rPr>
        <w:t> </w:t>
      </w:r>
      <w:r>
        <w:rPr/>
        <w:t>in</w:t>
      </w:r>
      <w:r>
        <w:rPr>
          <w:spacing w:val="-4"/>
        </w:rPr>
        <w:t> </w:t>
      </w:r>
      <w:r>
        <w:rPr/>
        <w:t>its</w:t>
      </w:r>
      <w:r>
        <w:rPr>
          <w:spacing w:val="-4"/>
        </w:rPr>
        <w:t> </w:t>
      </w:r>
      <w:r>
        <w:rPr/>
        <w:t>training</w:t>
      </w:r>
      <w:r>
        <w:rPr>
          <w:spacing w:val="-4"/>
        </w:rPr>
        <w:t> </w:t>
      </w:r>
      <w:r>
        <w:rPr/>
        <w:t>efforts.</w:t>
      </w:r>
      <w:r>
        <w:rPr>
          <w:spacing w:val="-6"/>
        </w:rPr>
        <w:t> </w:t>
      </w:r>
      <w:r>
        <w:rPr/>
        <w:t>The</w:t>
      </w:r>
      <w:r>
        <w:rPr>
          <w:spacing w:val="-6"/>
        </w:rPr>
        <w:t> </w:t>
      </w:r>
      <w:r>
        <w:rPr/>
        <w:t>curriculum used</w:t>
      </w:r>
      <w:r>
        <w:rPr>
          <w:spacing w:val="-13"/>
        </w:rPr>
        <w:t> </w:t>
      </w:r>
      <w:r>
        <w:rPr/>
        <w:t>within</w:t>
      </w:r>
      <w:r>
        <w:rPr>
          <w:spacing w:val="-12"/>
        </w:rPr>
        <w:t> </w:t>
      </w:r>
      <w:r>
        <w:rPr/>
        <w:t>this</w:t>
      </w:r>
      <w:r>
        <w:rPr>
          <w:spacing w:val="-13"/>
        </w:rPr>
        <w:t> </w:t>
      </w:r>
      <w:r>
        <w:rPr/>
        <w:t>series</w:t>
      </w:r>
      <w:r>
        <w:rPr>
          <w:spacing w:val="-12"/>
        </w:rPr>
        <w:t> </w:t>
      </w:r>
      <w:r>
        <w:rPr/>
        <w:t>was</w:t>
      </w:r>
      <w:r>
        <w:rPr>
          <w:spacing w:val="-13"/>
        </w:rPr>
        <w:t> </w:t>
      </w:r>
      <w:r>
        <w:rPr/>
        <w:t>heavily</w:t>
      </w:r>
      <w:r>
        <w:rPr>
          <w:spacing w:val="-12"/>
        </w:rPr>
        <w:t> </w:t>
      </w:r>
      <w:r>
        <w:rPr/>
        <w:t>contributed</w:t>
      </w:r>
      <w:r>
        <w:rPr>
          <w:spacing w:val="-13"/>
        </w:rPr>
        <w:t> </w:t>
      </w:r>
      <w:r>
        <w:rPr/>
        <w:t>to</w:t>
      </w:r>
      <w:r>
        <w:rPr>
          <w:spacing w:val="-12"/>
        </w:rPr>
        <w:t> </w:t>
      </w:r>
      <w:r>
        <w:rPr/>
        <w:t>by</w:t>
      </w:r>
      <w:r>
        <w:rPr>
          <w:spacing w:val="-12"/>
        </w:rPr>
        <w:t> </w:t>
      </w:r>
      <w:r>
        <w:rPr/>
        <w:t>DPH,</w:t>
      </w:r>
      <w:r>
        <w:rPr>
          <w:spacing w:val="-13"/>
        </w:rPr>
        <w:t> </w:t>
      </w:r>
      <w:r>
        <w:rPr/>
        <w:t>and</w:t>
      </w:r>
      <w:r>
        <w:rPr>
          <w:spacing w:val="-12"/>
        </w:rPr>
        <w:t> </w:t>
      </w:r>
      <w:r>
        <w:rPr/>
        <w:t>the</w:t>
      </w:r>
      <w:r>
        <w:rPr>
          <w:spacing w:val="-13"/>
        </w:rPr>
        <w:t> </w:t>
      </w:r>
      <w:r>
        <w:rPr/>
        <w:t>Commission</w:t>
      </w:r>
      <w:r>
        <w:rPr>
          <w:spacing w:val="-12"/>
        </w:rPr>
        <w:t> </w:t>
      </w:r>
      <w:r>
        <w:rPr/>
        <w:t>is</w:t>
      </w:r>
      <w:r>
        <w:rPr>
          <w:spacing w:val="-13"/>
        </w:rPr>
        <w:t> </w:t>
      </w:r>
      <w:r>
        <w:rPr/>
        <w:t>looking</w:t>
      </w:r>
      <w:r>
        <w:rPr>
          <w:spacing w:val="-12"/>
        </w:rPr>
        <w:t> </w:t>
      </w:r>
      <w:r>
        <w:rPr/>
        <w:t>forward</w:t>
      </w:r>
      <w:r>
        <w:rPr>
          <w:spacing w:val="-12"/>
        </w:rPr>
        <w:t> </w:t>
      </w:r>
      <w:r>
        <w:rPr/>
        <w:t>to</w:t>
      </w:r>
      <w:r>
        <w:rPr>
          <w:spacing w:val="-13"/>
        </w:rPr>
        <w:t> </w:t>
      </w:r>
      <w:r>
        <w:rPr/>
        <w:t>future opportunities to develop new curriculum in partnership with DPH on other topics. In February of 2023,</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41"/>
        <w:jc w:val="both"/>
      </w:pPr>
      <w:r>
        <w:rPr/>
        <w:t>the</w:t>
      </w:r>
      <w:r>
        <w:rPr>
          <w:spacing w:val="-6"/>
        </w:rPr>
        <w:t> </w:t>
      </w:r>
      <w:r>
        <w:rPr/>
        <w:t>Commission</w:t>
      </w:r>
      <w:r>
        <w:rPr>
          <w:spacing w:val="-6"/>
        </w:rPr>
        <w:t> </w:t>
      </w:r>
      <w:r>
        <w:rPr/>
        <w:t>met</w:t>
      </w:r>
      <w:r>
        <w:rPr>
          <w:spacing w:val="-6"/>
        </w:rPr>
        <w:t> </w:t>
      </w:r>
      <w:r>
        <w:rPr/>
        <w:t>with</w:t>
      </w:r>
      <w:r>
        <w:rPr>
          <w:spacing w:val="-6"/>
        </w:rPr>
        <w:t> </w:t>
      </w:r>
      <w:r>
        <w:rPr/>
        <w:t>representatives</w:t>
      </w:r>
      <w:r>
        <w:rPr>
          <w:spacing w:val="-5"/>
        </w:rPr>
        <w:t> </w:t>
      </w:r>
      <w:r>
        <w:rPr/>
        <w:t>from</w:t>
      </w:r>
      <w:r>
        <w:rPr>
          <w:spacing w:val="-6"/>
        </w:rPr>
        <w:t> </w:t>
      </w:r>
      <w:r>
        <w:rPr/>
        <w:t>DPH</w:t>
      </w:r>
      <w:r>
        <w:rPr>
          <w:spacing w:val="-4"/>
        </w:rPr>
        <w:t> </w:t>
      </w:r>
      <w:r>
        <w:rPr/>
        <w:t>to</w:t>
      </w:r>
      <w:r>
        <w:rPr>
          <w:spacing w:val="-5"/>
        </w:rPr>
        <w:t> </w:t>
      </w:r>
      <w:r>
        <w:rPr/>
        <w:t>discuss</w:t>
      </w:r>
      <w:r>
        <w:rPr>
          <w:spacing w:val="-4"/>
        </w:rPr>
        <w:t> </w:t>
      </w:r>
      <w:r>
        <w:rPr/>
        <w:t>the</w:t>
      </w:r>
      <w:r>
        <w:rPr>
          <w:spacing w:val="-4"/>
        </w:rPr>
        <w:t> </w:t>
      </w:r>
      <w:r>
        <w:rPr/>
        <w:t>possibility</w:t>
      </w:r>
      <w:r>
        <w:rPr>
          <w:spacing w:val="-5"/>
        </w:rPr>
        <w:t> </w:t>
      </w:r>
      <w:r>
        <w:rPr/>
        <w:t>of</w:t>
      </w:r>
      <w:r>
        <w:rPr>
          <w:spacing w:val="-4"/>
        </w:rPr>
        <w:t> </w:t>
      </w:r>
      <w:r>
        <w:rPr/>
        <w:t>developing</w:t>
      </w:r>
      <w:r>
        <w:rPr>
          <w:spacing w:val="-4"/>
        </w:rPr>
        <w:t> </w:t>
      </w:r>
      <w:r>
        <w:rPr/>
        <w:t>a</w:t>
      </w:r>
      <w:r>
        <w:rPr>
          <w:spacing w:val="-4"/>
        </w:rPr>
        <w:t> </w:t>
      </w:r>
      <w:r>
        <w:rPr/>
        <w:t>new</w:t>
      </w:r>
      <w:r>
        <w:rPr>
          <w:spacing w:val="-5"/>
        </w:rPr>
        <w:t> </w:t>
      </w:r>
      <w:r>
        <w:rPr/>
        <w:t>LGBTQ health-based curriculum to be delivered to medical providers and facilities across the state. The Commission</w:t>
      </w:r>
      <w:r>
        <w:rPr>
          <w:spacing w:val="-4"/>
        </w:rPr>
        <w:t> </w:t>
      </w:r>
      <w:r>
        <w:rPr/>
        <w:t>recommends</w:t>
      </w:r>
      <w:r>
        <w:rPr>
          <w:spacing w:val="-4"/>
        </w:rPr>
        <w:t> </w:t>
      </w:r>
      <w:r>
        <w:rPr/>
        <w:t>that</w:t>
      </w:r>
      <w:r>
        <w:rPr>
          <w:spacing w:val="-4"/>
        </w:rPr>
        <w:t> </w:t>
      </w:r>
      <w:r>
        <w:rPr/>
        <w:t>DPH</w:t>
      </w:r>
      <w:r>
        <w:rPr>
          <w:spacing w:val="-4"/>
        </w:rPr>
        <w:t> </w:t>
      </w:r>
      <w:r>
        <w:rPr/>
        <w:t>continue</w:t>
      </w:r>
      <w:r>
        <w:rPr>
          <w:spacing w:val="-3"/>
        </w:rPr>
        <w:t> </w:t>
      </w:r>
      <w:r>
        <w:rPr/>
        <w:t>to</w:t>
      </w:r>
      <w:r>
        <w:rPr>
          <w:spacing w:val="-3"/>
        </w:rPr>
        <w:t> </w:t>
      </w:r>
      <w:r>
        <w:rPr/>
        <w:t>examine</w:t>
      </w:r>
      <w:r>
        <w:rPr>
          <w:spacing w:val="-4"/>
        </w:rPr>
        <w:t> </w:t>
      </w:r>
      <w:r>
        <w:rPr/>
        <w:t>its</w:t>
      </w:r>
      <w:r>
        <w:rPr>
          <w:spacing w:val="-2"/>
        </w:rPr>
        <w:t> </w:t>
      </w:r>
      <w:r>
        <w:rPr/>
        <w:t>training</w:t>
      </w:r>
      <w:r>
        <w:rPr>
          <w:spacing w:val="-3"/>
        </w:rPr>
        <w:t> </w:t>
      </w:r>
      <w:r>
        <w:rPr/>
        <w:t>efforts</w:t>
      </w:r>
      <w:r>
        <w:rPr>
          <w:spacing w:val="-4"/>
        </w:rPr>
        <w:t> </w:t>
      </w:r>
      <w:r>
        <w:rPr/>
        <w:t>to</w:t>
      </w:r>
      <w:r>
        <w:rPr>
          <w:spacing w:val="-3"/>
        </w:rPr>
        <w:t> </w:t>
      </w:r>
      <w:r>
        <w:rPr/>
        <w:t>ensure</w:t>
      </w:r>
      <w:r>
        <w:rPr>
          <w:spacing w:val="-4"/>
        </w:rPr>
        <w:t> </w:t>
      </w:r>
      <w:r>
        <w:rPr/>
        <w:t>that</w:t>
      </w:r>
      <w:r>
        <w:rPr>
          <w:spacing w:val="-3"/>
        </w:rPr>
        <w:t> </w:t>
      </w:r>
      <w:r>
        <w:rPr/>
        <w:t>all</w:t>
      </w:r>
      <w:r>
        <w:rPr>
          <w:spacing w:val="-4"/>
        </w:rPr>
        <w:t> </w:t>
      </w:r>
      <w:r>
        <w:rPr/>
        <w:t>employees, particularly those directly interfacing with youth, are given the tools needed to build upon their base understanding</w:t>
      </w:r>
      <w:r>
        <w:rPr>
          <w:spacing w:val="-4"/>
        </w:rPr>
        <w:t> </w:t>
      </w:r>
      <w:r>
        <w:rPr/>
        <w:t>of</w:t>
      </w:r>
      <w:r>
        <w:rPr>
          <w:spacing w:val="-4"/>
        </w:rPr>
        <w:t> </w:t>
      </w:r>
      <w:r>
        <w:rPr/>
        <w:t>LGBTQ</w:t>
      </w:r>
      <w:r>
        <w:rPr>
          <w:spacing w:val="-3"/>
        </w:rPr>
        <w:t> </w:t>
      </w:r>
      <w:r>
        <w:rPr/>
        <w:t>communities.</w:t>
      </w:r>
      <w:r>
        <w:rPr>
          <w:spacing w:val="-2"/>
        </w:rPr>
        <w:t> </w:t>
      </w:r>
      <w:r>
        <w:rPr/>
        <w:t>Furthermore,</w:t>
      </w:r>
      <w:r>
        <w:rPr>
          <w:spacing w:val="-4"/>
        </w:rPr>
        <w:t> </w:t>
      </w:r>
      <w:r>
        <w:rPr/>
        <w:t>the</w:t>
      </w:r>
      <w:r>
        <w:rPr>
          <w:spacing w:val="-4"/>
        </w:rPr>
        <w:t> </w:t>
      </w:r>
      <w:r>
        <w:rPr/>
        <w:t>Commission</w:t>
      </w:r>
      <w:r>
        <w:rPr>
          <w:spacing w:val="-4"/>
        </w:rPr>
        <w:t> </w:t>
      </w:r>
      <w:r>
        <w:rPr/>
        <w:t>recommends</w:t>
      </w:r>
      <w:r>
        <w:rPr>
          <w:spacing w:val="-4"/>
        </w:rPr>
        <w:t> </w:t>
      </w:r>
      <w:r>
        <w:rPr/>
        <w:t>that</w:t>
      </w:r>
      <w:r>
        <w:rPr>
          <w:spacing w:val="-3"/>
        </w:rPr>
        <w:t> </w:t>
      </w:r>
      <w:r>
        <w:rPr/>
        <w:t>DPH</w:t>
      </w:r>
      <w:r>
        <w:rPr>
          <w:spacing w:val="-3"/>
        </w:rPr>
        <w:t> </w:t>
      </w:r>
      <w:r>
        <w:rPr/>
        <w:t>continue</w:t>
      </w:r>
      <w:r>
        <w:rPr>
          <w:spacing w:val="-3"/>
        </w:rPr>
        <w:t> </w:t>
      </w:r>
      <w:r>
        <w:rPr/>
        <w:t>to review its training efforts to ensure that the intersections of LGBTQ youth are captured through racial equity trainings, as well as trainings on adultism. In April 2024, DPH released a trailblazing strategic plan centering</w:t>
      </w:r>
      <w:r>
        <w:rPr>
          <w:spacing w:val="-9"/>
        </w:rPr>
        <w:t> </w:t>
      </w:r>
      <w:r>
        <w:rPr/>
        <w:t>racial</w:t>
      </w:r>
      <w:r>
        <w:rPr>
          <w:spacing w:val="-9"/>
        </w:rPr>
        <w:t> </w:t>
      </w:r>
      <w:r>
        <w:rPr/>
        <w:t>equity</w:t>
      </w:r>
      <w:r>
        <w:rPr>
          <w:spacing w:val="-7"/>
        </w:rPr>
        <w:t> </w:t>
      </w:r>
      <w:r>
        <w:rPr/>
        <w:t>in</w:t>
      </w:r>
      <w:r>
        <w:rPr>
          <w:spacing w:val="-9"/>
        </w:rPr>
        <w:t> </w:t>
      </w:r>
      <w:r>
        <w:rPr/>
        <w:t>public</w:t>
      </w:r>
      <w:r>
        <w:rPr>
          <w:spacing w:val="-8"/>
        </w:rPr>
        <w:t> </w:t>
      </w:r>
      <w:r>
        <w:rPr/>
        <w:t>health</w:t>
      </w:r>
      <w:r>
        <w:rPr>
          <w:spacing w:val="-9"/>
        </w:rPr>
        <w:t> </w:t>
      </w:r>
      <w:r>
        <w:rPr/>
        <w:t>services,</w:t>
      </w:r>
      <w:r>
        <w:rPr>
          <w:spacing w:val="-8"/>
        </w:rPr>
        <w:t> </w:t>
      </w:r>
      <w:r>
        <w:rPr/>
        <w:t>which</w:t>
      </w:r>
      <w:r>
        <w:rPr>
          <w:spacing w:val="-9"/>
        </w:rPr>
        <w:t> </w:t>
      </w:r>
      <w:r>
        <w:rPr/>
        <w:t>includes</w:t>
      </w:r>
      <w:r>
        <w:rPr>
          <w:spacing w:val="-8"/>
        </w:rPr>
        <w:t> </w:t>
      </w:r>
      <w:r>
        <w:rPr/>
        <w:t>an</w:t>
      </w:r>
      <w:r>
        <w:rPr>
          <w:spacing w:val="-8"/>
        </w:rPr>
        <w:t> </w:t>
      </w:r>
      <w:r>
        <w:rPr/>
        <w:t>intersectional</w:t>
      </w:r>
      <w:r>
        <w:rPr>
          <w:spacing w:val="-8"/>
        </w:rPr>
        <w:t> </w:t>
      </w:r>
      <w:r>
        <w:rPr/>
        <w:t>lens</w:t>
      </w:r>
      <w:r>
        <w:rPr>
          <w:spacing w:val="-8"/>
        </w:rPr>
        <w:t> </w:t>
      </w:r>
      <w:r>
        <w:rPr/>
        <w:t>on</w:t>
      </w:r>
      <w:r>
        <w:rPr>
          <w:spacing w:val="-9"/>
        </w:rPr>
        <w:t> </w:t>
      </w:r>
      <w:r>
        <w:rPr/>
        <w:t>LGBTQ</w:t>
      </w:r>
      <w:r>
        <w:rPr>
          <w:spacing w:val="-9"/>
        </w:rPr>
        <w:t> </w:t>
      </w:r>
      <w:r>
        <w:rPr/>
        <w:t>equity.</w:t>
      </w:r>
      <w:r>
        <w:rPr>
          <w:spacing w:val="-9"/>
        </w:rPr>
        <w:t> </w:t>
      </w:r>
      <w:r>
        <w:rPr/>
        <w:t>As part</w:t>
      </w:r>
      <w:r>
        <w:rPr>
          <w:spacing w:val="-13"/>
        </w:rPr>
        <w:t> </w:t>
      </w:r>
      <w:r>
        <w:rPr/>
        <w:t>of</w:t>
      </w:r>
      <w:r>
        <w:rPr>
          <w:spacing w:val="-12"/>
        </w:rPr>
        <w:t> </w:t>
      </w:r>
      <w:r>
        <w:rPr/>
        <w:t>this</w:t>
      </w:r>
      <w:r>
        <w:rPr>
          <w:spacing w:val="-13"/>
        </w:rPr>
        <w:t> </w:t>
      </w:r>
      <w:r>
        <w:rPr/>
        <w:t>strategic</w:t>
      </w:r>
      <w:r>
        <w:rPr>
          <w:spacing w:val="-12"/>
        </w:rPr>
        <w:t> </w:t>
      </w:r>
      <w:r>
        <w:rPr/>
        <w:t>plan,</w:t>
      </w:r>
      <w:r>
        <w:rPr>
          <w:spacing w:val="-13"/>
        </w:rPr>
        <w:t> </w:t>
      </w:r>
      <w:r>
        <w:rPr/>
        <w:t>DPH</w:t>
      </w:r>
      <w:r>
        <w:rPr>
          <w:spacing w:val="-12"/>
        </w:rPr>
        <w:t> </w:t>
      </w:r>
      <w:r>
        <w:rPr/>
        <w:t>will</w:t>
      </w:r>
      <w:r>
        <w:rPr>
          <w:spacing w:val="-13"/>
        </w:rPr>
        <w:t> </w:t>
      </w:r>
      <w:r>
        <w:rPr/>
        <w:t>continue</w:t>
      </w:r>
      <w:r>
        <w:rPr>
          <w:spacing w:val="-12"/>
        </w:rPr>
        <w:t> </w:t>
      </w:r>
      <w:r>
        <w:rPr/>
        <w:t>to</w:t>
      </w:r>
      <w:r>
        <w:rPr>
          <w:spacing w:val="-12"/>
        </w:rPr>
        <w:t> </w:t>
      </w:r>
      <w:r>
        <w:rPr/>
        <w:t>offer</w:t>
      </w:r>
      <w:r>
        <w:rPr>
          <w:spacing w:val="-13"/>
        </w:rPr>
        <w:t> </w:t>
      </w:r>
      <w:r>
        <w:rPr/>
        <w:t>targeted</w:t>
      </w:r>
      <w:r>
        <w:rPr>
          <w:spacing w:val="-12"/>
        </w:rPr>
        <w:t> </w:t>
      </w:r>
      <w:r>
        <w:rPr/>
        <w:t>training,</w:t>
      </w:r>
      <w:r>
        <w:rPr>
          <w:spacing w:val="-13"/>
        </w:rPr>
        <w:t> </w:t>
      </w:r>
      <w:r>
        <w:rPr/>
        <w:t>capacity</w:t>
      </w:r>
      <w:r>
        <w:rPr>
          <w:spacing w:val="-12"/>
        </w:rPr>
        <w:t> </w:t>
      </w:r>
      <w:r>
        <w:rPr/>
        <w:t>building,</w:t>
      </w:r>
      <w:r>
        <w:rPr>
          <w:spacing w:val="-13"/>
        </w:rPr>
        <w:t> </w:t>
      </w:r>
      <w:r>
        <w:rPr/>
        <w:t>and</w:t>
      </w:r>
      <w:r>
        <w:rPr>
          <w:spacing w:val="-12"/>
        </w:rPr>
        <w:t> </w:t>
      </w:r>
      <w:r>
        <w:rPr/>
        <w:t>affinity</w:t>
      </w:r>
      <w:r>
        <w:rPr>
          <w:spacing w:val="-12"/>
        </w:rPr>
        <w:t> </w:t>
      </w:r>
      <w:r>
        <w:rPr/>
        <w:t>group opportunities to support the agency and its programs.</w:t>
      </w:r>
    </w:p>
    <w:p>
      <w:pPr>
        <w:pStyle w:val="BodyText"/>
      </w:pPr>
    </w:p>
    <w:p>
      <w:pPr>
        <w:pStyle w:val="BodyText"/>
        <w:spacing w:before="251"/>
      </w:pPr>
    </w:p>
    <w:p>
      <w:pPr>
        <w:numPr>
          <w:ilvl w:val="0"/>
          <w:numId w:val="41"/>
        </w:numPr>
        <w:tabs>
          <w:tab w:pos="481" w:val="left" w:leader="none"/>
        </w:tabs>
        <w:spacing w:before="0"/>
        <w:ind w:left="481" w:right="0" w:hanging="358"/>
        <w:jc w:val="left"/>
        <w:rPr>
          <w:b/>
          <w:sz w:val="22"/>
        </w:rPr>
      </w:pPr>
      <w:bookmarkStart w:name="_bookmark636" w:id="943"/>
      <w:bookmarkEnd w:id="943"/>
      <w:r>
        <w:rPr>
          <w:b/>
          <w:sz w:val="22"/>
        </w:rPr>
        <w:t>D</w:t>
      </w:r>
      <w:r>
        <w:rPr>
          <w:b/>
          <w:sz w:val="22"/>
        </w:rPr>
        <w:t>evelop</w:t>
      </w:r>
      <w:r>
        <w:rPr>
          <w:b/>
          <w:spacing w:val="-9"/>
          <w:sz w:val="22"/>
        </w:rPr>
        <w:t> </w:t>
      </w:r>
      <w:r>
        <w:rPr>
          <w:b/>
          <w:sz w:val="22"/>
        </w:rPr>
        <w:t>new</w:t>
      </w:r>
      <w:r>
        <w:rPr>
          <w:b/>
          <w:spacing w:val="-9"/>
          <w:sz w:val="22"/>
        </w:rPr>
        <w:t> </w:t>
      </w:r>
      <w:r>
        <w:rPr>
          <w:b/>
          <w:sz w:val="22"/>
        </w:rPr>
        <w:t>strategic</w:t>
      </w:r>
      <w:r>
        <w:rPr>
          <w:b/>
          <w:spacing w:val="-10"/>
          <w:sz w:val="22"/>
        </w:rPr>
        <w:t> </w:t>
      </w:r>
      <w:r>
        <w:rPr>
          <w:b/>
          <w:sz w:val="22"/>
        </w:rPr>
        <w:t>partnerships</w:t>
      </w:r>
      <w:r>
        <w:rPr>
          <w:b/>
          <w:spacing w:val="-9"/>
          <w:sz w:val="22"/>
        </w:rPr>
        <w:t> </w:t>
      </w:r>
      <w:r>
        <w:rPr>
          <w:b/>
          <w:sz w:val="22"/>
        </w:rPr>
        <w:t>to</w:t>
      </w:r>
      <w:r>
        <w:rPr>
          <w:b/>
          <w:spacing w:val="-9"/>
          <w:sz w:val="22"/>
        </w:rPr>
        <w:t> </w:t>
      </w:r>
      <w:r>
        <w:rPr>
          <w:b/>
          <w:sz w:val="22"/>
        </w:rPr>
        <w:t>diversify</w:t>
      </w:r>
      <w:r>
        <w:rPr>
          <w:b/>
          <w:spacing w:val="-10"/>
          <w:sz w:val="22"/>
        </w:rPr>
        <w:t> </w:t>
      </w:r>
      <w:r>
        <w:rPr>
          <w:b/>
          <w:sz w:val="22"/>
        </w:rPr>
        <w:t>connections</w:t>
      </w:r>
      <w:r>
        <w:rPr>
          <w:b/>
          <w:spacing w:val="-9"/>
          <w:sz w:val="22"/>
        </w:rPr>
        <w:t> </w:t>
      </w:r>
      <w:r>
        <w:rPr>
          <w:b/>
          <w:sz w:val="22"/>
        </w:rPr>
        <w:t>and</w:t>
      </w:r>
      <w:r>
        <w:rPr>
          <w:b/>
          <w:spacing w:val="-9"/>
          <w:sz w:val="22"/>
        </w:rPr>
        <w:t> </w:t>
      </w:r>
      <w:r>
        <w:rPr>
          <w:b/>
          <w:sz w:val="22"/>
        </w:rPr>
        <w:t>investment</w:t>
      </w:r>
      <w:r>
        <w:rPr>
          <w:b/>
          <w:spacing w:val="-9"/>
          <w:sz w:val="22"/>
        </w:rPr>
        <w:t> </w:t>
      </w:r>
      <w:r>
        <w:rPr>
          <w:b/>
          <w:sz w:val="22"/>
        </w:rPr>
        <w:t>into</w:t>
      </w:r>
      <w:r>
        <w:rPr>
          <w:b/>
          <w:spacing w:val="-9"/>
          <w:sz w:val="22"/>
        </w:rPr>
        <w:t> </w:t>
      </w:r>
      <w:r>
        <w:rPr>
          <w:b/>
          <w:sz w:val="22"/>
        </w:rPr>
        <w:t>LGBTQ</w:t>
      </w:r>
      <w:r>
        <w:rPr>
          <w:b/>
          <w:spacing w:val="-9"/>
          <w:sz w:val="22"/>
        </w:rPr>
        <w:t> </w:t>
      </w:r>
      <w:r>
        <w:rPr>
          <w:b/>
          <w:spacing w:val="-2"/>
          <w:sz w:val="22"/>
        </w:rPr>
        <w:t>communities.</w:t>
      </w:r>
    </w:p>
    <w:p>
      <w:pPr>
        <w:pStyle w:val="BodyText"/>
        <w:spacing w:before="11"/>
        <w:rPr>
          <w:b/>
        </w:rPr>
      </w:pPr>
    </w:p>
    <w:p>
      <w:pPr>
        <w:pStyle w:val="BodyText"/>
        <w:spacing w:line="276" w:lineRule="auto" w:before="1"/>
        <w:ind w:left="483" w:right="341"/>
        <w:jc w:val="both"/>
      </w:pPr>
      <w:r>
        <w:rPr/>
        <w:t>Over the course of FY 2024, the Commission has engaged in numerous conversations with DPH partners on ways to continue to engage LGBTQ communities in public health education and health services. The Commission recommends that DPH develop new strategic outreach plans to diversify its connections within LGBTQ communities, with particular attention to QTBIPOC communities and organizations in underserved</w:t>
      </w:r>
      <w:r>
        <w:rPr>
          <w:spacing w:val="-4"/>
        </w:rPr>
        <w:t> </w:t>
      </w:r>
      <w:r>
        <w:rPr/>
        <w:t>regions.</w:t>
      </w:r>
      <w:r>
        <w:rPr>
          <w:spacing w:val="-7"/>
        </w:rPr>
        <w:t> </w:t>
      </w:r>
      <w:r>
        <w:rPr/>
        <w:t>In</w:t>
      </w:r>
      <w:r>
        <w:rPr>
          <w:spacing w:val="-5"/>
        </w:rPr>
        <w:t> </w:t>
      </w:r>
      <w:r>
        <w:rPr/>
        <w:t>meetings</w:t>
      </w:r>
      <w:r>
        <w:rPr>
          <w:spacing w:val="-6"/>
        </w:rPr>
        <w:t> </w:t>
      </w:r>
      <w:r>
        <w:rPr/>
        <w:t>during</w:t>
      </w:r>
      <w:r>
        <w:rPr>
          <w:spacing w:val="-7"/>
        </w:rPr>
        <w:t> </w:t>
      </w:r>
      <w:r>
        <w:rPr/>
        <w:t>FY</w:t>
      </w:r>
      <w:r>
        <w:rPr>
          <w:spacing w:val="-5"/>
        </w:rPr>
        <w:t> </w:t>
      </w:r>
      <w:r>
        <w:rPr/>
        <w:t>2025,</w:t>
      </w:r>
      <w:r>
        <w:rPr>
          <w:spacing w:val="-6"/>
        </w:rPr>
        <w:t> </w:t>
      </w:r>
      <w:r>
        <w:rPr/>
        <w:t>DPH</w:t>
      </w:r>
      <w:r>
        <w:rPr>
          <w:spacing w:val="-6"/>
        </w:rPr>
        <w:t> </w:t>
      </w:r>
      <w:r>
        <w:rPr/>
        <w:t>has</w:t>
      </w:r>
      <w:r>
        <w:rPr>
          <w:spacing w:val="-6"/>
        </w:rPr>
        <w:t> </w:t>
      </w:r>
      <w:r>
        <w:rPr/>
        <w:t>shared</w:t>
      </w:r>
      <w:r>
        <w:rPr>
          <w:spacing w:val="-5"/>
        </w:rPr>
        <w:t> </w:t>
      </w:r>
      <w:r>
        <w:rPr/>
        <w:t>that</w:t>
      </w:r>
      <w:r>
        <w:rPr>
          <w:spacing w:val="-6"/>
        </w:rPr>
        <w:t> </w:t>
      </w:r>
      <w:r>
        <w:rPr/>
        <w:t>they</w:t>
      </w:r>
      <w:r>
        <w:rPr>
          <w:spacing w:val="-5"/>
        </w:rPr>
        <w:t> </w:t>
      </w:r>
      <w:r>
        <w:rPr/>
        <w:t>have</w:t>
      </w:r>
      <w:r>
        <w:rPr>
          <w:spacing w:val="-7"/>
        </w:rPr>
        <w:t> </w:t>
      </w:r>
      <w:r>
        <w:rPr/>
        <w:t>developed</w:t>
      </w:r>
      <w:r>
        <w:rPr>
          <w:spacing w:val="-5"/>
        </w:rPr>
        <w:t> </w:t>
      </w:r>
      <w:r>
        <w:rPr/>
        <w:t>partnerships regarding</w:t>
      </w:r>
      <w:r>
        <w:rPr>
          <w:spacing w:val="-2"/>
        </w:rPr>
        <w:t> </w:t>
      </w:r>
      <w:r>
        <w:rPr/>
        <w:t>sexual</w:t>
      </w:r>
      <w:r>
        <w:rPr>
          <w:spacing w:val="-3"/>
        </w:rPr>
        <w:t> </w:t>
      </w:r>
      <w:r>
        <w:rPr/>
        <w:t>&amp;</w:t>
      </w:r>
      <w:r>
        <w:rPr>
          <w:spacing w:val="-2"/>
        </w:rPr>
        <w:t> </w:t>
      </w:r>
      <w:r>
        <w:rPr/>
        <w:t>reproductive</w:t>
      </w:r>
      <w:r>
        <w:rPr>
          <w:spacing w:val="-2"/>
        </w:rPr>
        <w:t> </w:t>
      </w:r>
      <w:r>
        <w:rPr/>
        <w:t>health</w:t>
      </w:r>
      <w:r>
        <w:rPr>
          <w:spacing w:val="-1"/>
        </w:rPr>
        <w:t> </w:t>
      </w:r>
      <w:r>
        <w:rPr/>
        <w:t>and</w:t>
      </w:r>
      <w:r>
        <w:rPr>
          <w:spacing w:val="-3"/>
        </w:rPr>
        <w:t> </w:t>
      </w:r>
      <w:r>
        <w:rPr/>
        <w:t>sexual</w:t>
      </w:r>
      <w:r>
        <w:rPr>
          <w:spacing w:val="-3"/>
        </w:rPr>
        <w:t> </w:t>
      </w:r>
      <w:r>
        <w:rPr/>
        <w:t>and</w:t>
      </w:r>
      <w:r>
        <w:rPr>
          <w:spacing w:val="-3"/>
        </w:rPr>
        <w:t> </w:t>
      </w:r>
      <w:r>
        <w:rPr/>
        <w:t>domestic</w:t>
      </w:r>
      <w:r>
        <w:rPr>
          <w:spacing w:val="-2"/>
        </w:rPr>
        <w:t> </w:t>
      </w:r>
      <w:r>
        <w:rPr/>
        <w:t>violence,</w:t>
      </w:r>
      <w:r>
        <w:rPr>
          <w:spacing w:val="-3"/>
        </w:rPr>
        <w:t> </w:t>
      </w:r>
      <w:r>
        <w:rPr/>
        <w:t>and</w:t>
      </w:r>
      <w:r>
        <w:rPr>
          <w:spacing w:val="-3"/>
        </w:rPr>
        <w:t> </w:t>
      </w:r>
      <w:r>
        <w:rPr/>
        <w:t>is</w:t>
      </w:r>
      <w:r>
        <w:rPr>
          <w:spacing w:val="-1"/>
        </w:rPr>
        <w:t> </w:t>
      </w:r>
      <w:r>
        <w:rPr/>
        <w:t>continuing</w:t>
      </w:r>
      <w:r>
        <w:rPr>
          <w:spacing w:val="-2"/>
        </w:rPr>
        <w:t> </w:t>
      </w:r>
      <w:r>
        <w:rPr/>
        <w:t>to</w:t>
      </w:r>
      <w:r>
        <w:rPr>
          <w:spacing w:val="-2"/>
        </w:rPr>
        <w:t> </w:t>
      </w:r>
      <w:r>
        <w:rPr/>
        <w:t>search</w:t>
      </w:r>
      <w:r>
        <w:rPr>
          <w:spacing w:val="-3"/>
        </w:rPr>
        <w:t> </w:t>
      </w:r>
      <w:r>
        <w:rPr/>
        <w:t>for new opportunities to partner with communities. While reviewing its current partnerships, DPH should connect with LGBTQ community members to identify gaps in its outreach, and also work to improve its internal collaboration to minimize duplicated efforts across departments.</w:t>
      </w:r>
    </w:p>
    <w:p>
      <w:pPr>
        <w:pStyle w:val="BodyText"/>
      </w:pPr>
    </w:p>
    <w:p>
      <w:pPr>
        <w:pStyle w:val="BodyText"/>
        <w:spacing w:before="251"/>
      </w:pPr>
    </w:p>
    <w:p>
      <w:pPr>
        <w:numPr>
          <w:ilvl w:val="0"/>
          <w:numId w:val="41"/>
        </w:numPr>
        <w:tabs>
          <w:tab w:pos="481" w:val="left" w:leader="none"/>
          <w:tab w:pos="483" w:val="left" w:leader="none"/>
        </w:tabs>
        <w:spacing w:line="276" w:lineRule="auto" w:before="0"/>
        <w:ind w:left="483" w:right="344" w:hanging="360"/>
        <w:jc w:val="left"/>
        <w:rPr>
          <w:b/>
          <w:sz w:val="22"/>
        </w:rPr>
      </w:pPr>
      <w:r>
        <w:rPr>
          <w:b/>
          <w:sz w:val="22"/>
        </w:rPr>
        <w:t>Explore</w:t>
      </w:r>
      <w:r>
        <w:rPr>
          <w:b/>
          <w:spacing w:val="29"/>
          <w:sz w:val="22"/>
        </w:rPr>
        <w:t> </w:t>
      </w:r>
      <w:r>
        <w:rPr>
          <w:b/>
          <w:sz w:val="22"/>
        </w:rPr>
        <w:t>ways</w:t>
      </w:r>
      <w:r>
        <w:rPr>
          <w:b/>
          <w:spacing w:val="28"/>
          <w:sz w:val="22"/>
        </w:rPr>
        <w:t> </w:t>
      </w:r>
      <w:r>
        <w:rPr>
          <w:b/>
          <w:sz w:val="22"/>
        </w:rPr>
        <w:t>to</w:t>
      </w:r>
      <w:r>
        <w:rPr>
          <w:b/>
          <w:spacing w:val="27"/>
          <w:sz w:val="22"/>
        </w:rPr>
        <w:t> </w:t>
      </w:r>
      <w:r>
        <w:rPr>
          <w:b/>
          <w:sz w:val="22"/>
        </w:rPr>
        <w:t>expand</w:t>
      </w:r>
      <w:r>
        <w:rPr>
          <w:b/>
          <w:spacing w:val="30"/>
          <w:sz w:val="22"/>
        </w:rPr>
        <w:t> </w:t>
      </w:r>
      <w:r>
        <w:rPr>
          <w:b/>
          <w:sz w:val="22"/>
        </w:rPr>
        <w:t>SOGIE</w:t>
      </w:r>
      <w:r>
        <w:rPr>
          <w:b/>
          <w:spacing w:val="27"/>
          <w:sz w:val="22"/>
        </w:rPr>
        <w:t> </w:t>
      </w:r>
      <w:r>
        <w:rPr>
          <w:b/>
          <w:sz w:val="22"/>
        </w:rPr>
        <w:t>data</w:t>
      </w:r>
      <w:r>
        <w:rPr>
          <w:b/>
          <w:spacing w:val="29"/>
          <w:sz w:val="22"/>
        </w:rPr>
        <w:t> </w:t>
      </w:r>
      <w:r>
        <w:rPr>
          <w:b/>
          <w:sz w:val="22"/>
        </w:rPr>
        <w:t>collection</w:t>
      </w:r>
      <w:r>
        <w:rPr>
          <w:b/>
          <w:spacing w:val="29"/>
          <w:sz w:val="22"/>
        </w:rPr>
        <w:t> </w:t>
      </w:r>
      <w:r>
        <w:rPr>
          <w:b/>
          <w:sz w:val="22"/>
        </w:rPr>
        <w:t>through</w:t>
      </w:r>
      <w:r>
        <w:rPr>
          <w:b/>
          <w:spacing w:val="29"/>
          <w:sz w:val="22"/>
        </w:rPr>
        <w:t> </w:t>
      </w:r>
      <w:r>
        <w:rPr>
          <w:b/>
          <w:sz w:val="22"/>
        </w:rPr>
        <w:t>DPH</w:t>
      </w:r>
      <w:r>
        <w:rPr>
          <w:b/>
          <w:spacing w:val="28"/>
          <w:sz w:val="22"/>
        </w:rPr>
        <w:t> </w:t>
      </w:r>
      <w:r>
        <w:rPr>
          <w:b/>
          <w:sz w:val="22"/>
        </w:rPr>
        <w:t>programs,</w:t>
      </w:r>
      <w:r>
        <w:rPr>
          <w:b/>
          <w:spacing w:val="29"/>
          <w:sz w:val="22"/>
        </w:rPr>
        <w:t> </w:t>
      </w:r>
      <w:r>
        <w:rPr>
          <w:b/>
          <w:sz w:val="22"/>
        </w:rPr>
        <w:t>with</w:t>
      </w:r>
      <w:r>
        <w:rPr>
          <w:b/>
          <w:spacing w:val="29"/>
          <w:sz w:val="22"/>
        </w:rPr>
        <w:t> </w:t>
      </w:r>
      <w:r>
        <w:rPr>
          <w:b/>
          <w:sz w:val="22"/>
        </w:rPr>
        <w:t>particular</w:t>
      </w:r>
      <w:r>
        <w:rPr>
          <w:b/>
          <w:spacing w:val="29"/>
          <w:sz w:val="22"/>
        </w:rPr>
        <w:t> </w:t>
      </w:r>
      <w:r>
        <w:rPr>
          <w:b/>
          <w:sz w:val="22"/>
        </w:rPr>
        <w:t>attention</w:t>
      </w:r>
      <w:r>
        <w:rPr>
          <w:b/>
          <w:spacing w:val="29"/>
          <w:sz w:val="22"/>
        </w:rPr>
        <w:t> </w:t>
      </w:r>
      <w:r>
        <w:rPr>
          <w:b/>
          <w:sz w:val="22"/>
        </w:rPr>
        <w:t>to pregnancy, parental mortality, and gender-affirming care services, and make data publicly available.</w:t>
      </w:r>
    </w:p>
    <w:p>
      <w:pPr>
        <w:pStyle w:val="BodyText"/>
        <w:spacing w:line="276" w:lineRule="auto" w:before="241"/>
        <w:ind w:left="483" w:right="341"/>
        <w:jc w:val="both"/>
      </w:pPr>
      <w:r>
        <w:rPr/>
        <w:t>For several years, DPH has been involved in robust efforts to ensure that its SOGIE data collection standards appropriately capture the experiences of LGBTQ communities. Over the last couple of years, the Commission has partnered with DPH’s internal SOGIE Data Working Group to help advise on a new set of data standards, which were completed in early 2024 and are up for leadership review. These data standards</w:t>
      </w:r>
      <w:r>
        <w:rPr>
          <w:spacing w:val="40"/>
        </w:rPr>
        <w:t> </w:t>
      </w:r>
      <w:r>
        <w:rPr/>
        <w:t>The Commission looks forward to continuing to work with DPH to ensure that all areas the agency collects data are reflective of these standards. One possible area of improvement is to examine any and all data collection related to pregnancy, maternal/parental</w:t>
      </w:r>
      <w:r>
        <w:rPr>
          <w:spacing w:val="-1"/>
        </w:rPr>
        <w:t> </w:t>
      </w:r>
      <w:r>
        <w:rPr/>
        <w:t>mortality, and</w:t>
      </w:r>
      <w:r>
        <w:rPr>
          <w:spacing w:val="-1"/>
        </w:rPr>
        <w:t> </w:t>
      </w:r>
      <w:r>
        <w:rPr/>
        <w:t>gender-affirming care services to ensure that it is LGBTQ- inclusive. As discussed in the Commission’s FY 2024 Pregnancy &amp; Gynecological</w:t>
      </w:r>
      <w:r>
        <w:rPr>
          <w:spacing w:val="-1"/>
        </w:rPr>
        <w:t> </w:t>
      </w:r>
      <w:r>
        <w:rPr/>
        <w:t>Health</w:t>
      </w:r>
      <w:r>
        <w:rPr>
          <w:spacing w:val="-1"/>
        </w:rPr>
        <w:t> </w:t>
      </w:r>
      <w:r>
        <w:rPr/>
        <w:t>report, little to no state data exists that is inclusive</w:t>
      </w:r>
      <w:r>
        <w:rPr>
          <w:spacing w:val="-1"/>
        </w:rPr>
        <w:t> </w:t>
      </w:r>
      <w:r>
        <w:rPr/>
        <w:t>of LGBTQ</w:t>
      </w:r>
      <w:r>
        <w:rPr>
          <w:spacing w:val="-1"/>
        </w:rPr>
        <w:t> </w:t>
      </w:r>
      <w:r>
        <w:rPr/>
        <w:t>identities as it</w:t>
      </w:r>
      <w:r>
        <w:rPr>
          <w:spacing w:val="-1"/>
        </w:rPr>
        <w:t> </w:t>
      </w:r>
      <w:r>
        <w:rPr/>
        <w:t>relates to</w:t>
      </w:r>
      <w:r>
        <w:rPr>
          <w:spacing w:val="-9"/>
        </w:rPr>
        <w:t> </w:t>
      </w:r>
      <w:r>
        <w:rPr/>
        <w:t>pregnancy</w:t>
      </w:r>
      <w:r>
        <w:rPr>
          <w:spacing w:val="-7"/>
        </w:rPr>
        <w:t> </w:t>
      </w:r>
      <w:r>
        <w:rPr/>
        <w:t>and</w:t>
      </w:r>
      <w:r>
        <w:rPr>
          <w:spacing w:val="-9"/>
        </w:rPr>
        <w:t> </w:t>
      </w:r>
      <w:r>
        <w:rPr/>
        <w:t>parental</w:t>
      </w:r>
      <w:r>
        <w:rPr>
          <w:spacing w:val="-8"/>
        </w:rPr>
        <w:t> </w:t>
      </w:r>
      <w:r>
        <w:rPr/>
        <w:t>mortality.</w:t>
      </w:r>
      <w:r>
        <w:rPr>
          <w:spacing w:val="-9"/>
        </w:rPr>
        <w:t> </w:t>
      </w:r>
      <w:r>
        <w:rPr/>
        <w:t>The</w:t>
      </w:r>
      <w:r>
        <w:rPr>
          <w:spacing w:val="-9"/>
        </w:rPr>
        <w:t> </w:t>
      </w:r>
      <w:r>
        <w:rPr/>
        <w:t>Commission</w:t>
      </w:r>
      <w:r>
        <w:rPr>
          <w:spacing w:val="-9"/>
        </w:rPr>
        <w:t> </w:t>
      </w:r>
      <w:r>
        <w:rPr/>
        <w:t>hopes</w:t>
      </w:r>
      <w:r>
        <w:rPr>
          <w:spacing w:val="-9"/>
        </w:rPr>
        <w:t> </w:t>
      </w:r>
      <w:r>
        <w:rPr/>
        <w:t>to</w:t>
      </w:r>
      <w:r>
        <w:rPr>
          <w:spacing w:val="-8"/>
        </w:rPr>
        <w:t> </w:t>
      </w:r>
      <w:r>
        <w:rPr/>
        <w:t>work</w:t>
      </w:r>
      <w:r>
        <w:rPr>
          <w:spacing w:val="-9"/>
        </w:rPr>
        <w:t> </w:t>
      </w:r>
      <w:r>
        <w:rPr/>
        <w:t>with</w:t>
      </w:r>
      <w:r>
        <w:rPr>
          <w:spacing w:val="-9"/>
        </w:rPr>
        <w:t> </w:t>
      </w:r>
      <w:r>
        <w:rPr/>
        <w:t>DPH</w:t>
      </w:r>
      <w:r>
        <w:rPr>
          <w:spacing w:val="-8"/>
        </w:rPr>
        <w:t> </w:t>
      </w:r>
      <w:r>
        <w:rPr/>
        <w:t>and</w:t>
      </w:r>
      <w:r>
        <w:rPr>
          <w:spacing w:val="-9"/>
        </w:rPr>
        <w:t> </w:t>
      </w:r>
      <w:r>
        <w:rPr/>
        <w:t>other</w:t>
      </w:r>
      <w:r>
        <w:rPr>
          <w:spacing w:val="-9"/>
        </w:rPr>
        <w:t> </w:t>
      </w:r>
      <w:r>
        <w:rPr/>
        <w:t>agency</w:t>
      </w:r>
      <w:r>
        <w:rPr>
          <w:spacing w:val="-9"/>
        </w:rPr>
        <w:t> </w:t>
      </w:r>
      <w:r>
        <w:rPr/>
        <w:t>partners in FY 2025 to examine how to improve this data to capture disparities and experiences.</w:t>
      </w:r>
    </w:p>
    <w:p>
      <w:pPr>
        <w:spacing w:after="0" w:line="276" w:lineRule="auto"/>
        <w:jc w:val="both"/>
        <w:sectPr>
          <w:pgSz w:w="12240" w:h="15840"/>
          <w:pgMar w:header="804" w:footer="1263" w:top="1000" w:bottom="1460" w:left="960" w:right="1100"/>
        </w:sectPr>
      </w:pPr>
    </w:p>
    <w:p>
      <w:pPr>
        <w:pStyle w:val="BodyText"/>
        <w:spacing w:before="98"/>
      </w:pPr>
    </w:p>
    <w:p>
      <w:pPr>
        <w:numPr>
          <w:ilvl w:val="0"/>
          <w:numId w:val="41"/>
        </w:numPr>
        <w:tabs>
          <w:tab w:pos="480" w:val="left" w:leader="none"/>
          <w:tab w:pos="483" w:val="left" w:leader="none"/>
        </w:tabs>
        <w:spacing w:line="276" w:lineRule="auto" w:before="0"/>
        <w:ind w:left="483" w:right="343" w:hanging="361"/>
        <w:jc w:val="left"/>
        <w:rPr>
          <w:b/>
          <w:sz w:val="22"/>
        </w:rPr>
      </w:pPr>
      <w:r>
        <w:rPr>
          <w:b/>
          <w:sz w:val="22"/>
        </w:rPr>
        <w:t>Partner</w:t>
      </w:r>
      <w:r>
        <w:rPr>
          <w:b/>
          <w:spacing w:val="-2"/>
          <w:sz w:val="22"/>
        </w:rPr>
        <w:t> </w:t>
      </w:r>
      <w:r>
        <w:rPr>
          <w:b/>
          <w:sz w:val="22"/>
        </w:rPr>
        <w:t>with</w:t>
      </w:r>
      <w:r>
        <w:rPr>
          <w:b/>
          <w:spacing w:val="-2"/>
          <w:sz w:val="22"/>
        </w:rPr>
        <w:t> </w:t>
      </w:r>
      <w:r>
        <w:rPr>
          <w:b/>
          <w:sz w:val="22"/>
        </w:rPr>
        <w:t>the</w:t>
      </w:r>
      <w:r>
        <w:rPr>
          <w:b/>
          <w:spacing w:val="-2"/>
          <w:sz w:val="22"/>
        </w:rPr>
        <w:t> </w:t>
      </w:r>
      <w:r>
        <w:rPr>
          <w:b/>
          <w:sz w:val="22"/>
        </w:rPr>
        <w:t>Commission</w:t>
      </w:r>
      <w:r>
        <w:rPr>
          <w:b/>
          <w:spacing w:val="-2"/>
          <w:sz w:val="22"/>
        </w:rPr>
        <w:t> </w:t>
      </w:r>
      <w:r>
        <w:rPr>
          <w:b/>
          <w:sz w:val="22"/>
        </w:rPr>
        <w:t>to</w:t>
      </w:r>
      <w:r>
        <w:rPr>
          <w:b/>
          <w:spacing w:val="-2"/>
          <w:sz w:val="22"/>
        </w:rPr>
        <w:t> </w:t>
      </w:r>
      <w:r>
        <w:rPr>
          <w:b/>
          <w:sz w:val="22"/>
        </w:rPr>
        <w:t>research</w:t>
      </w:r>
      <w:r>
        <w:rPr>
          <w:b/>
          <w:spacing w:val="-3"/>
          <w:sz w:val="22"/>
        </w:rPr>
        <w:t> </w:t>
      </w:r>
      <w:r>
        <w:rPr>
          <w:b/>
          <w:sz w:val="22"/>
        </w:rPr>
        <w:t>the</w:t>
      </w:r>
      <w:r>
        <w:rPr>
          <w:b/>
          <w:spacing w:val="-3"/>
          <w:sz w:val="22"/>
        </w:rPr>
        <w:t> </w:t>
      </w:r>
      <w:r>
        <w:rPr>
          <w:b/>
          <w:sz w:val="22"/>
        </w:rPr>
        <w:t>needs</w:t>
      </w:r>
      <w:r>
        <w:rPr>
          <w:b/>
          <w:spacing w:val="-2"/>
          <w:sz w:val="22"/>
        </w:rPr>
        <w:t> </w:t>
      </w:r>
      <w:r>
        <w:rPr>
          <w:b/>
          <w:sz w:val="22"/>
        </w:rPr>
        <w:t>of</w:t>
      </w:r>
      <w:r>
        <w:rPr>
          <w:b/>
          <w:spacing w:val="-3"/>
          <w:sz w:val="22"/>
        </w:rPr>
        <w:t> </w:t>
      </w:r>
      <w:r>
        <w:rPr>
          <w:b/>
          <w:sz w:val="22"/>
        </w:rPr>
        <w:t>LGBTQ</w:t>
      </w:r>
      <w:r>
        <w:rPr>
          <w:b/>
          <w:spacing w:val="-2"/>
          <w:sz w:val="22"/>
        </w:rPr>
        <w:t> </w:t>
      </w:r>
      <w:r>
        <w:rPr>
          <w:b/>
          <w:sz w:val="22"/>
        </w:rPr>
        <w:t>transition-aged</w:t>
      </w:r>
      <w:r>
        <w:rPr>
          <w:b/>
          <w:spacing w:val="-1"/>
          <w:sz w:val="22"/>
        </w:rPr>
        <w:t> </w:t>
      </w:r>
      <w:r>
        <w:rPr>
          <w:b/>
          <w:sz w:val="22"/>
        </w:rPr>
        <w:t>youth</w:t>
      </w:r>
      <w:r>
        <w:rPr>
          <w:b/>
          <w:spacing w:val="-2"/>
          <w:sz w:val="22"/>
        </w:rPr>
        <w:t> </w:t>
      </w:r>
      <w:r>
        <w:rPr>
          <w:b/>
          <w:sz w:val="22"/>
        </w:rPr>
        <w:t>with</w:t>
      </w:r>
      <w:r>
        <w:rPr>
          <w:b/>
          <w:spacing w:val="-3"/>
          <w:sz w:val="22"/>
        </w:rPr>
        <w:t> </w:t>
      </w:r>
      <w:r>
        <w:rPr>
          <w:b/>
          <w:sz w:val="22"/>
        </w:rPr>
        <w:t>multisystem- </w:t>
      </w:r>
      <w:r>
        <w:rPr>
          <w:b/>
          <w:spacing w:val="-2"/>
          <w:sz w:val="22"/>
        </w:rPr>
        <w:t>involvement.</w:t>
      </w:r>
    </w:p>
    <w:p>
      <w:pPr>
        <w:pStyle w:val="BodyText"/>
        <w:spacing w:line="276" w:lineRule="auto" w:before="240"/>
        <w:ind w:left="483" w:right="342"/>
        <w:jc w:val="both"/>
      </w:pPr>
      <w:r>
        <w:rPr/>
        <w:t>Over the course of this annual report, the Commission has detailed the necessity of youth-serving state entities</w:t>
      </w:r>
      <w:r>
        <w:rPr>
          <w:spacing w:val="-4"/>
        </w:rPr>
        <w:t> </w:t>
      </w:r>
      <w:r>
        <w:rPr/>
        <w:t>collaborating</w:t>
      </w:r>
      <w:r>
        <w:rPr>
          <w:spacing w:val="-5"/>
        </w:rPr>
        <w:t> </w:t>
      </w:r>
      <w:r>
        <w:rPr/>
        <w:t>on</w:t>
      </w:r>
      <w:r>
        <w:rPr>
          <w:spacing w:val="-4"/>
        </w:rPr>
        <w:t> </w:t>
      </w:r>
      <w:r>
        <w:rPr/>
        <w:t>a</w:t>
      </w:r>
      <w:r>
        <w:rPr>
          <w:spacing w:val="-4"/>
        </w:rPr>
        <w:t> </w:t>
      </w:r>
      <w:r>
        <w:rPr/>
        <w:t>macro-level</w:t>
      </w:r>
      <w:r>
        <w:rPr>
          <w:spacing w:val="-3"/>
        </w:rPr>
        <w:t> </w:t>
      </w:r>
      <w:r>
        <w:rPr/>
        <w:t>to</w:t>
      </w:r>
      <w:r>
        <w:rPr>
          <w:spacing w:val="-5"/>
        </w:rPr>
        <w:t> </w:t>
      </w:r>
      <w:r>
        <w:rPr/>
        <w:t>ensure</w:t>
      </w:r>
      <w:r>
        <w:rPr>
          <w:spacing w:val="-4"/>
        </w:rPr>
        <w:t> </w:t>
      </w:r>
      <w:r>
        <w:rPr/>
        <w:t>that</w:t>
      </w:r>
      <w:r>
        <w:rPr>
          <w:spacing w:val="-4"/>
        </w:rPr>
        <w:t> </w:t>
      </w:r>
      <w:r>
        <w:rPr/>
        <w:t>the</w:t>
      </w:r>
      <w:r>
        <w:rPr>
          <w:spacing w:val="-4"/>
        </w:rPr>
        <w:t> </w:t>
      </w:r>
      <w:r>
        <w:rPr/>
        <w:t>needs</w:t>
      </w:r>
      <w:r>
        <w:rPr>
          <w:spacing w:val="-3"/>
        </w:rPr>
        <w:t> </w:t>
      </w:r>
      <w:r>
        <w:rPr/>
        <w:t>of</w:t>
      </w:r>
      <w:r>
        <w:rPr>
          <w:spacing w:val="-4"/>
        </w:rPr>
        <w:t> </w:t>
      </w:r>
      <w:r>
        <w:rPr/>
        <w:t>youth</w:t>
      </w:r>
      <w:r>
        <w:rPr>
          <w:spacing w:val="-5"/>
        </w:rPr>
        <w:t> </w:t>
      </w:r>
      <w:r>
        <w:rPr/>
        <w:t>are</w:t>
      </w:r>
      <w:r>
        <w:rPr>
          <w:spacing w:val="-4"/>
        </w:rPr>
        <w:t> </w:t>
      </w:r>
      <w:r>
        <w:rPr/>
        <w:t>not</w:t>
      </w:r>
      <w:r>
        <w:rPr>
          <w:spacing w:val="-4"/>
        </w:rPr>
        <w:t> </w:t>
      </w:r>
      <w:r>
        <w:rPr/>
        <w:t>falling</w:t>
      </w:r>
      <w:r>
        <w:rPr>
          <w:spacing w:val="-4"/>
        </w:rPr>
        <w:t> </w:t>
      </w:r>
      <w:r>
        <w:rPr/>
        <w:t>through</w:t>
      </w:r>
      <w:r>
        <w:rPr>
          <w:spacing w:val="-5"/>
        </w:rPr>
        <w:t> </w:t>
      </w:r>
      <w:r>
        <w:rPr/>
        <w:t>systemic cracks. However, little research currently exists that examines the widespread experiences of transition- aged youth with multisystem-involvement in Massachusetts, which the Commission hopes to resolve in the upcoming fiscal year. DPH often contracts out services, so understanding who engages with which services and systems may not always be feasible. However, the Commission notes that there could be a potential avenue through DPH’s contract quality assurance areas to add in. The Commission hopes to collaborate with DPH on this research initiative to better understand where gaps in state agency service provision are occurring, and potential solutions.</w:t>
      </w:r>
    </w:p>
    <w:p>
      <w:pPr>
        <w:numPr>
          <w:ilvl w:val="0"/>
          <w:numId w:val="41"/>
        </w:numPr>
        <w:tabs>
          <w:tab w:pos="481" w:val="left" w:leader="none"/>
        </w:tabs>
        <w:spacing w:before="240"/>
        <w:ind w:left="481" w:right="0" w:hanging="358"/>
        <w:jc w:val="left"/>
        <w:rPr>
          <w:b/>
          <w:sz w:val="22"/>
        </w:rPr>
      </w:pPr>
      <w:r>
        <w:rPr>
          <w:b/>
          <w:sz w:val="22"/>
        </w:rPr>
        <w:t>Increase</w:t>
      </w:r>
      <w:r>
        <w:rPr>
          <w:b/>
          <w:spacing w:val="-10"/>
          <w:sz w:val="22"/>
        </w:rPr>
        <w:t> </w:t>
      </w:r>
      <w:r>
        <w:rPr>
          <w:b/>
          <w:sz w:val="22"/>
        </w:rPr>
        <w:t>community</w:t>
      </w:r>
      <w:r>
        <w:rPr>
          <w:b/>
          <w:spacing w:val="-9"/>
          <w:sz w:val="22"/>
        </w:rPr>
        <w:t> </w:t>
      </w:r>
      <w:r>
        <w:rPr>
          <w:b/>
          <w:sz w:val="22"/>
        </w:rPr>
        <w:t>research</w:t>
      </w:r>
      <w:r>
        <w:rPr>
          <w:b/>
          <w:spacing w:val="-10"/>
          <w:sz w:val="22"/>
        </w:rPr>
        <w:t> </w:t>
      </w:r>
      <w:r>
        <w:rPr>
          <w:b/>
          <w:sz w:val="22"/>
        </w:rPr>
        <w:t>initiatives</w:t>
      </w:r>
      <w:r>
        <w:rPr>
          <w:b/>
          <w:spacing w:val="-10"/>
          <w:sz w:val="22"/>
        </w:rPr>
        <w:t> </w:t>
      </w:r>
      <w:r>
        <w:rPr>
          <w:b/>
          <w:sz w:val="22"/>
        </w:rPr>
        <w:t>to</w:t>
      </w:r>
      <w:r>
        <w:rPr>
          <w:b/>
          <w:spacing w:val="-10"/>
          <w:sz w:val="22"/>
        </w:rPr>
        <w:t> </w:t>
      </w:r>
      <w:r>
        <w:rPr>
          <w:b/>
          <w:sz w:val="22"/>
        </w:rPr>
        <w:t>better</w:t>
      </w:r>
      <w:r>
        <w:rPr>
          <w:b/>
          <w:spacing w:val="-9"/>
          <w:sz w:val="22"/>
        </w:rPr>
        <w:t> </w:t>
      </w:r>
      <w:r>
        <w:rPr>
          <w:b/>
          <w:sz w:val="22"/>
        </w:rPr>
        <w:t>address</w:t>
      </w:r>
      <w:r>
        <w:rPr>
          <w:b/>
          <w:spacing w:val="-10"/>
          <w:sz w:val="22"/>
        </w:rPr>
        <w:t> </w:t>
      </w:r>
      <w:r>
        <w:rPr>
          <w:b/>
          <w:sz w:val="22"/>
        </w:rPr>
        <w:t>health</w:t>
      </w:r>
      <w:r>
        <w:rPr>
          <w:b/>
          <w:spacing w:val="-10"/>
          <w:sz w:val="22"/>
        </w:rPr>
        <w:t> </w:t>
      </w:r>
      <w:r>
        <w:rPr>
          <w:b/>
          <w:spacing w:val="-2"/>
          <w:sz w:val="22"/>
        </w:rPr>
        <w:t>inequities.</w:t>
      </w:r>
    </w:p>
    <w:p>
      <w:pPr>
        <w:pStyle w:val="BodyText"/>
        <w:spacing w:before="11"/>
        <w:rPr>
          <w:b/>
        </w:rPr>
      </w:pPr>
    </w:p>
    <w:p>
      <w:pPr>
        <w:pStyle w:val="BodyText"/>
        <w:spacing w:line="276" w:lineRule="auto"/>
        <w:ind w:left="483" w:right="341"/>
        <w:jc w:val="both"/>
      </w:pPr>
      <w:r>
        <w:rPr/>
        <w:t>Of the many strengths of the Department of Public Health, its research initiatives, particularly its Community Health Equity Survey, are some of the most critical work to addressing LGBTQ health inequities in Massachusetts. The Commission sincerely appreciates the attention that DPH has paid to filling significant gaps in Black maternal health research, and its continuing review of its SOGIE data standards.</w:t>
      </w:r>
      <w:r>
        <w:rPr>
          <w:spacing w:val="-7"/>
        </w:rPr>
        <w:t> </w:t>
      </w:r>
      <w:r>
        <w:rPr/>
        <w:t>As</w:t>
      </w:r>
      <w:r>
        <w:rPr>
          <w:spacing w:val="-5"/>
        </w:rPr>
        <w:t> </w:t>
      </w:r>
      <w:r>
        <w:rPr/>
        <w:t>data</w:t>
      </w:r>
      <w:r>
        <w:rPr>
          <w:spacing w:val="-5"/>
        </w:rPr>
        <w:t> </w:t>
      </w:r>
      <w:r>
        <w:rPr/>
        <w:t>trends</w:t>
      </w:r>
      <w:r>
        <w:rPr>
          <w:spacing w:val="-5"/>
        </w:rPr>
        <w:t> </w:t>
      </w:r>
      <w:r>
        <w:rPr/>
        <w:t>become</w:t>
      </w:r>
      <w:r>
        <w:rPr>
          <w:spacing w:val="-5"/>
        </w:rPr>
        <w:t> </w:t>
      </w:r>
      <w:r>
        <w:rPr/>
        <w:t>apparent</w:t>
      </w:r>
      <w:r>
        <w:rPr>
          <w:spacing w:val="-7"/>
        </w:rPr>
        <w:t> </w:t>
      </w:r>
      <w:r>
        <w:rPr/>
        <w:t>in</w:t>
      </w:r>
      <w:r>
        <w:rPr>
          <w:spacing w:val="-7"/>
        </w:rPr>
        <w:t> </w:t>
      </w:r>
      <w:r>
        <w:rPr/>
        <w:t>DPH’s</w:t>
      </w:r>
      <w:r>
        <w:rPr>
          <w:spacing w:val="-5"/>
        </w:rPr>
        <w:t> </w:t>
      </w:r>
      <w:r>
        <w:rPr/>
        <w:t>recent</w:t>
      </w:r>
      <w:r>
        <w:rPr>
          <w:spacing w:val="-7"/>
        </w:rPr>
        <w:t> </w:t>
      </w:r>
      <w:r>
        <w:rPr/>
        <w:t>CHES,</w:t>
      </w:r>
      <w:r>
        <w:rPr>
          <w:spacing w:val="-5"/>
        </w:rPr>
        <w:t> </w:t>
      </w:r>
      <w:r>
        <w:rPr/>
        <w:t>the</w:t>
      </w:r>
      <w:r>
        <w:rPr>
          <w:spacing w:val="-5"/>
        </w:rPr>
        <w:t> </w:t>
      </w:r>
      <w:r>
        <w:rPr/>
        <w:t>Commission</w:t>
      </w:r>
      <w:r>
        <w:rPr>
          <w:spacing w:val="-7"/>
        </w:rPr>
        <w:t> </w:t>
      </w:r>
      <w:r>
        <w:rPr/>
        <w:t>strongly</w:t>
      </w:r>
      <w:r>
        <w:rPr>
          <w:spacing w:val="-6"/>
        </w:rPr>
        <w:t> </w:t>
      </w:r>
      <w:r>
        <w:rPr/>
        <w:t>recommends that</w:t>
      </w:r>
      <w:r>
        <w:rPr>
          <w:spacing w:val="-12"/>
        </w:rPr>
        <w:t> </w:t>
      </w:r>
      <w:r>
        <w:rPr/>
        <w:t>DPH</w:t>
      </w:r>
      <w:r>
        <w:rPr>
          <w:spacing w:val="-11"/>
        </w:rPr>
        <w:t> </w:t>
      </w:r>
      <w:r>
        <w:rPr/>
        <w:t>utilize</w:t>
      </w:r>
      <w:r>
        <w:rPr>
          <w:spacing w:val="-11"/>
        </w:rPr>
        <w:t> </w:t>
      </w:r>
      <w:r>
        <w:rPr/>
        <w:t>this</w:t>
      </w:r>
      <w:r>
        <w:rPr>
          <w:spacing w:val="-11"/>
        </w:rPr>
        <w:t> </w:t>
      </w:r>
      <w:r>
        <w:rPr/>
        <w:t>information</w:t>
      </w:r>
      <w:r>
        <w:rPr>
          <w:spacing w:val="-11"/>
        </w:rPr>
        <w:t> </w:t>
      </w:r>
      <w:r>
        <w:rPr/>
        <w:t>to</w:t>
      </w:r>
      <w:r>
        <w:rPr>
          <w:spacing w:val="-12"/>
        </w:rPr>
        <w:t> </w:t>
      </w:r>
      <w:r>
        <w:rPr/>
        <w:t>better</w:t>
      </w:r>
      <w:r>
        <w:rPr>
          <w:spacing w:val="-12"/>
        </w:rPr>
        <w:t> </w:t>
      </w:r>
      <w:r>
        <w:rPr/>
        <w:t>identify</w:t>
      </w:r>
      <w:r>
        <w:rPr>
          <w:spacing w:val="-11"/>
        </w:rPr>
        <w:t> </w:t>
      </w:r>
      <w:r>
        <w:rPr/>
        <w:t>health</w:t>
      </w:r>
      <w:r>
        <w:rPr>
          <w:spacing w:val="-11"/>
        </w:rPr>
        <w:t> </w:t>
      </w:r>
      <w:r>
        <w:rPr/>
        <w:t>inequity</w:t>
      </w:r>
      <w:r>
        <w:rPr>
          <w:spacing w:val="-11"/>
        </w:rPr>
        <w:t> </w:t>
      </w:r>
      <w:r>
        <w:rPr/>
        <w:t>priorities,</w:t>
      </w:r>
      <w:r>
        <w:rPr>
          <w:spacing w:val="-12"/>
        </w:rPr>
        <w:t> </w:t>
      </w:r>
      <w:r>
        <w:rPr/>
        <w:t>particularly</w:t>
      </w:r>
      <w:r>
        <w:rPr>
          <w:spacing w:val="-12"/>
        </w:rPr>
        <w:t> </w:t>
      </w:r>
      <w:r>
        <w:rPr/>
        <w:t>relating</w:t>
      </w:r>
      <w:r>
        <w:rPr>
          <w:spacing w:val="-11"/>
        </w:rPr>
        <w:t> </w:t>
      </w:r>
      <w:r>
        <w:rPr/>
        <w:t>to</w:t>
      </w:r>
      <w:r>
        <w:rPr>
          <w:spacing w:val="-11"/>
        </w:rPr>
        <w:t> </w:t>
      </w:r>
      <w:r>
        <w:rPr/>
        <w:t>LGBTQ health concerns.</w:t>
      </w:r>
    </w:p>
    <w:p>
      <w:pPr>
        <w:pStyle w:val="BodyText"/>
      </w:pPr>
    </w:p>
    <w:p>
      <w:pPr>
        <w:pStyle w:val="BodyText"/>
        <w:spacing w:before="239"/>
      </w:pPr>
    </w:p>
    <w:p>
      <w:pPr>
        <w:spacing w:before="0"/>
        <w:ind w:left="483" w:right="0" w:firstLine="0"/>
        <w:jc w:val="left"/>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2"/>
          <w:sz w:val="21"/>
        </w:rPr>
        <w:t> </w:t>
      </w:r>
      <w:r>
        <w:rPr>
          <w:i/>
          <w:sz w:val="21"/>
        </w:rPr>
        <w:t>sincerely</w:t>
      </w:r>
      <w:r>
        <w:rPr>
          <w:i/>
          <w:spacing w:val="-3"/>
          <w:sz w:val="21"/>
        </w:rPr>
        <w:t> </w:t>
      </w:r>
      <w:r>
        <w:rPr>
          <w:i/>
          <w:sz w:val="21"/>
        </w:rPr>
        <w:t>thanks</w:t>
      </w:r>
      <w:r>
        <w:rPr>
          <w:i/>
          <w:spacing w:val="-4"/>
          <w:sz w:val="21"/>
        </w:rPr>
        <w:t> </w:t>
      </w:r>
      <w:r>
        <w:rPr>
          <w:i/>
          <w:sz w:val="21"/>
        </w:rPr>
        <w:t>the</w:t>
      </w:r>
      <w:r>
        <w:rPr>
          <w:i/>
          <w:spacing w:val="-3"/>
          <w:sz w:val="21"/>
        </w:rPr>
        <w:t> </w:t>
      </w:r>
      <w:r>
        <w:rPr>
          <w:i/>
          <w:sz w:val="21"/>
        </w:rPr>
        <w:t>contributions</w:t>
      </w:r>
      <w:r>
        <w:rPr>
          <w:i/>
          <w:spacing w:val="-4"/>
          <w:sz w:val="21"/>
        </w:rPr>
        <w:t> </w:t>
      </w:r>
      <w:r>
        <w:rPr>
          <w:i/>
          <w:sz w:val="21"/>
        </w:rPr>
        <w:t>of</w:t>
      </w:r>
      <w:r>
        <w:rPr>
          <w:i/>
          <w:spacing w:val="-3"/>
          <w:sz w:val="21"/>
        </w:rPr>
        <w:t> </w:t>
      </w:r>
      <w:r>
        <w:rPr>
          <w:i/>
          <w:sz w:val="21"/>
        </w:rPr>
        <w:t>its</w:t>
      </w:r>
      <w:r>
        <w:rPr>
          <w:i/>
          <w:spacing w:val="-2"/>
          <w:sz w:val="21"/>
        </w:rPr>
        <w:t> </w:t>
      </w:r>
      <w:r>
        <w:rPr>
          <w:i/>
          <w:sz w:val="21"/>
        </w:rPr>
        <w:t>DPH</w:t>
      </w:r>
      <w:r>
        <w:rPr>
          <w:i/>
          <w:spacing w:val="-3"/>
          <w:sz w:val="21"/>
        </w:rPr>
        <w:t> </w:t>
      </w:r>
      <w:r>
        <w:rPr>
          <w:i/>
          <w:sz w:val="21"/>
        </w:rPr>
        <w:t>agency</w:t>
      </w:r>
      <w:r>
        <w:rPr>
          <w:i/>
          <w:spacing w:val="-2"/>
          <w:sz w:val="21"/>
        </w:rPr>
        <w:t> liaisons.</w:t>
      </w:r>
    </w:p>
    <w:p>
      <w:pPr>
        <w:pStyle w:val="BodyText"/>
        <w:spacing w:before="21"/>
        <w:rPr>
          <w:i/>
          <w:sz w:val="21"/>
        </w:rPr>
      </w:pPr>
    </w:p>
    <w:p>
      <w:pPr>
        <w:spacing w:before="0"/>
        <w:ind w:left="483" w:right="0" w:firstLine="0"/>
        <w:jc w:val="left"/>
        <w:rPr>
          <w:b/>
          <w:sz w:val="21"/>
        </w:rPr>
      </w:pPr>
      <w:r>
        <w:rPr>
          <w:b/>
          <w:spacing w:val="-2"/>
          <w:sz w:val="21"/>
        </w:rPr>
        <w:t>Citations</w:t>
      </w:r>
    </w:p>
    <w:p>
      <w:pPr>
        <w:pStyle w:val="BodyText"/>
        <w:spacing w:before="41"/>
        <w:rPr>
          <w:b/>
          <w:sz w:val="21"/>
        </w:rPr>
      </w:pPr>
    </w:p>
    <w:p>
      <w:pPr>
        <w:spacing w:line="288" w:lineRule="auto" w:before="1"/>
        <w:ind w:left="483" w:right="342" w:firstLine="0"/>
        <w:jc w:val="both"/>
        <w:rPr>
          <w:sz w:val="18"/>
        </w:rPr>
      </w:pPr>
      <w:r>
        <w:rPr>
          <w:sz w:val="18"/>
          <w:vertAlign w:val="superscript"/>
        </w:rPr>
        <w:t>1</w:t>
      </w:r>
      <w:r>
        <w:rPr>
          <w:spacing w:val="-4"/>
          <w:sz w:val="18"/>
          <w:vertAlign w:val="baseline"/>
        </w:rPr>
        <w:t> </w:t>
      </w:r>
      <w:r>
        <w:rPr>
          <w:sz w:val="18"/>
          <w:vertAlign w:val="baseline"/>
        </w:rPr>
        <w:t>Department of Public Health, “Racial Equity Data Road Map: Data as a Tool Towards Ending Structural Racism,” October 12, 2020,</w:t>
      </w:r>
      <w:r>
        <w:rPr>
          <w:spacing w:val="-2"/>
          <w:sz w:val="18"/>
          <w:vertAlign w:val="baseline"/>
        </w:rPr>
        <w:t> </w:t>
      </w:r>
      <w:r>
        <w:rPr>
          <w:sz w:val="18"/>
          <w:vertAlign w:val="baseline"/>
        </w:rPr>
        <w:t>https://</w:t>
      </w:r>
      <w:hyperlink r:id="rId747">
        <w:r>
          <w:rPr>
            <w:sz w:val="18"/>
            <w:vertAlign w:val="baseline"/>
          </w:rPr>
          <w:t>www.mass.gov/doc/racial-equity-data-road-map-pdf/download.</w:t>
        </w:r>
      </w:hyperlink>
    </w:p>
    <w:p>
      <w:pPr>
        <w:spacing w:after="0" w:line="288" w:lineRule="auto"/>
        <w:jc w:val="both"/>
        <w:rPr>
          <w:sz w:val="18"/>
        </w:rPr>
        <w:sectPr>
          <w:pgSz w:w="12240" w:h="15840"/>
          <w:pgMar w:header="804" w:footer="1263" w:top="1000" w:bottom="1460" w:left="960" w:right="1100"/>
        </w:sectPr>
      </w:pPr>
    </w:p>
    <w:p>
      <w:pPr>
        <w:pStyle w:val="BodyText"/>
        <w:rPr>
          <w:sz w:val="20"/>
        </w:rPr>
      </w:pPr>
    </w:p>
    <w:p>
      <w:pPr>
        <w:pStyle w:val="BodyText"/>
        <w:rPr>
          <w:sz w:val="20"/>
        </w:rPr>
      </w:pPr>
    </w:p>
    <w:p>
      <w:pPr>
        <w:pStyle w:val="BodyText"/>
        <w:spacing w:before="73" w:after="1"/>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11" name="Group 611"/>
                <wp:cNvGraphicFramePr>
                  <a:graphicFrameLocks/>
                </wp:cNvGraphicFramePr>
                <a:graphic>
                  <a:graphicData uri="http://schemas.microsoft.com/office/word/2010/wordprocessingGroup">
                    <wpg:wgp>
                      <wpg:cNvPr id="611" name="Group 611"/>
                      <wpg:cNvGrpSpPr/>
                      <wpg:grpSpPr>
                        <a:xfrm>
                          <a:off x="0" y="0"/>
                          <a:ext cx="6350" cy="12700"/>
                          <a:chExt cx="6350" cy="12700"/>
                        </a:xfrm>
                      </wpg:grpSpPr>
                      <wps:wsp>
                        <wps:cNvPr id="612" name="Graphic 612"/>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08" coordorigin="0,0" coordsize="10,20">
                <v:rect style="position:absolute;left:0;top:0;width:10;height:20" id="docshape509" filled="true" fillcolor="#4f81bb" stroked="false">
                  <v:fill type="solid"/>
                </v:rect>
              </v:group>
            </w:pict>
          </mc:Fallback>
        </mc:AlternateContent>
      </w:r>
      <w:r>
        <w:rPr>
          <w:sz w:val="2"/>
        </w:rPr>
      </w:r>
    </w:p>
    <w:p>
      <w:pPr>
        <w:pStyle w:val="Heading7"/>
      </w:pPr>
      <w:bookmarkStart w:name="_bookmark637" w:id="944"/>
      <w:bookmarkEnd w:id="944"/>
      <w:r>
        <w:rPr/>
      </w:r>
      <w:hyperlink w:history="true" w:anchor="_bookmark6">
        <w:r>
          <w:rPr>
            <w:color w:val="365F91"/>
            <w:spacing w:val="-2"/>
          </w:rPr>
          <w:t>MassHealth</w:t>
        </w:r>
      </w:hyperlink>
    </w:p>
    <w:p>
      <w:pPr>
        <w:pStyle w:val="BodyText"/>
        <w:spacing w:before="145"/>
        <w:rPr>
          <w:sz w:val="20"/>
        </w:rPr>
      </w:pPr>
      <w:r>
        <w:rPr/>
        <mc:AlternateContent>
          <mc:Choice Requires="wps">
            <w:drawing>
              <wp:anchor distT="0" distB="0" distL="0" distR="0" allowOverlap="1" layoutInCell="1" locked="0" behindDoc="1" simplePos="0" relativeHeight="487710208">
                <wp:simplePos x="0" y="0"/>
                <wp:positionH relativeFrom="page">
                  <wp:posOffset>889000</wp:posOffset>
                </wp:positionH>
                <wp:positionV relativeFrom="paragraph">
                  <wp:posOffset>262419</wp:posOffset>
                </wp:positionV>
                <wp:extent cx="6350" cy="12700"/>
                <wp:effectExtent l="0" t="0" r="0" b="0"/>
                <wp:wrapTopAndBottom/>
                <wp:docPr id="613" name="Graphic 613"/>
                <wp:cNvGraphicFramePr>
                  <a:graphicFrameLocks/>
                </wp:cNvGraphicFramePr>
                <a:graphic>
                  <a:graphicData uri="http://schemas.microsoft.com/office/word/2010/wordprocessingShape">
                    <wps:wsp>
                      <wps:cNvPr id="613" name="Graphic 613"/>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662937pt;width:.499pt;height:.96pt;mso-position-horizontal-relative:page;mso-position-vertical-relative:paragraph;z-index:-15606272;mso-wrap-distance-left:0;mso-wrap-distance-right:0" id="docshape510"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10720">
                <wp:simplePos x="0" y="0"/>
                <wp:positionH relativeFrom="page">
                  <wp:posOffset>897636</wp:posOffset>
                </wp:positionH>
                <wp:positionV relativeFrom="paragraph">
                  <wp:posOffset>45366</wp:posOffset>
                </wp:positionV>
                <wp:extent cx="5976620" cy="6350"/>
                <wp:effectExtent l="0" t="0" r="0" b="0"/>
                <wp:wrapTopAndBottom/>
                <wp:docPr id="614" name="Graphic 614"/>
                <wp:cNvGraphicFramePr>
                  <a:graphicFrameLocks/>
                </wp:cNvGraphicFramePr>
                <a:graphic>
                  <a:graphicData uri="http://schemas.microsoft.com/office/word/2010/wordprocessingShape">
                    <wps:wsp>
                      <wps:cNvPr id="614" name="Graphic 614"/>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2156pt;width:470.58pt;height:.481pt;mso-position-horizontal-relative:page;mso-position-vertical-relative:paragraph;z-index:-15605760;mso-wrap-distance-left:0;mso-wrap-distance-right:0" id="docshape511" filled="true" fillcolor="#4f81bc" stroked="false">
                <v:fill type="solid"/>
                <w10:wrap type="topAndBottom"/>
              </v:rect>
            </w:pict>
          </mc:Fallback>
        </mc:AlternateContent>
      </w:r>
    </w:p>
    <w:p>
      <w:pPr>
        <w:pStyle w:val="ListParagraph"/>
        <w:numPr>
          <w:ilvl w:val="1"/>
          <w:numId w:val="41"/>
        </w:numPr>
        <w:tabs>
          <w:tab w:pos="1059" w:val="left" w:leader="none"/>
        </w:tabs>
        <w:spacing w:line="276" w:lineRule="auto" w:before="241" w:after="0"/>
        <w:ind w:left="1059" w:right="631" w:hanging="360"/>
        <w:jc w:val="both"/>
        <w:rPr>
          <w:sz w:val="22"/>
        </w:rPr>
      </w:pPr>
      <w:r>
        <w:rPr>
          <w:sz w:val="22"/>
        </w:rPr>
        <w:t>Review MassHealth policies and guidelines to increase access to gender-affirming care and reduce health disparities among LGBTQ+ communities and communities of color.</w:t>
      </w:r>
    </w:p>
    <w:p>
      <w:pPr>
        <w:pStyle w:val="ListParagraph"/>
        <w:numPr>
          <w:ilvl w:val="1"/>
          <w:numId w:val="41"/>
        </w:numPr>
        <w:tabs>
          <w:tab w:pos="1059" w:val="left" w:leader="none"/>
        </w:tabs>
        <w:spacing w:line="276" w:lineRule="auto" w:before="1" w:after="0"/>
        <w:ind w:left="1059" w:right="632" w:hanging="360"/>
        <w:jc w:val="both"/>
        <w:rPr>
          <w:sz w:val="22"/>
        </w:rPr>
      </w:pPr>
      <w:r>
        <w:rPr>
          <w:sz w:val="22"/>
        </w:rPr>
        <w:t>Expand</w:t>
      </w:r>
      <w:r>
        <w:rPr>
          <w:spacing w:val="-13"/>
          <w:sz w:val="22"/>
        </w:rPr>
        <w:t> </w:t>
      </w:r>
      <w:r>
        <w:rPr>
          <w:sz w:val="22"/>
        </w:rPr>
        <w:t>data</w:t>
      </w:r>
      <w:r>
        <w:rPr>
          <w:spacing w:val="-12"/>
          <w:sz w:val="22"/>
        </w:rPr>
        <w:t> </w:t>
      </w:r>
      <w:r>
        <w:rPr>
          <w:sz w:val="22"/>
        </w:rPr>
        <w:t>collection</w:t>
      </w:r>
      <w:r>
        <w:rPr>
          <w:spacing w:val="-13"/>
          <w:sz w:val="22"/>
        </w:rPr>
        <w:t> </w:t>
      </w:r>
      <w:r>
        <w:rPr>
          <w:sz w:val="22"/>
        </w:rPr>
        <w:t>efforts</w:t>
      </w:r>
      <w:r>
        <w:rPr>
          <w:spacing w:val="-12"/>
          <w:sz w:val="22"/>
        </w:rPr>
        <w:t> </w:t>
      </w:r>
      <w:r>
        <w:rPr>
          <w:sz w:val="22"/>
        </w:rPr>
        <w:t>beyond</w:t>
      </w:r>
      <w:r>
        <w:rPr>
          <w:spacing w:val="-13"/>
          <w:sz w:val="22"/>
        </w:rPr>
        <w:t> </w:t>
      </w:r>
      <w:r>
        <w:rPr>
          <w:sz w:val="22"/>
        </w:rPr>
        <w:t>federal</w:t>
      </w:r>
      <w:r>
        <w:rPr>
          <w:spacing w:val="-12"/>
          <w:sz w:val="22"/>
        </w:rPr>
        <w:t> </w:t>
      </w:r>
      <w:r>
        <w:rPr>
          <w:sz w:val="22"/>
        </w:rPr>
        <w:t>requirements</w:t>
      </w:r>
      <w:r>
        <w:rPr>
          <w:spacing w:val="-13"/>
          <w:sz w:val="22"/>
        </w:rPr>
        <w:t> </w:t>
      </w:r>
      <w:r>
        <w:rPr>
          <w:sz w:val="22"/>
        </w:rPr>
        <w:t>to</w:t>
      </w:r>
      <w:r>
        <w:rPr>
          <w:spacing w:val="-12"/>
          <w:sz w:val="22"/>
        </w:rPr>
        <w:t> </w:t>
      </w:r>
      <w:r>
        <w:rPr>
          <w:sz w:val="22"/>
        </w:rPr>
        <w:t>collect</w:t>
      </w:r>
      <w:r>
        <w:rPr>
          <w:spacing w:val="-12"/>
          <w:sz w:val="22"/>
        </w:rPr>
        <w:t> </w:t>
      </w:r>
      <w:r>
        <w:rPr>
          <w:sz w:val="22"/>
        </w:rPr>
        <w:t>data</w:t>
      </w:r>
      <w:r>
        <w:rPr>
          <w:spacing w:val="-13"/>
          <w:sz w:val="22"/>
        </w:rPr>
        <w:t> </w:t>
      </w:r>
      <w:r>
        <w:rPr>
          <w:sz w:val="22"/>
        </w:rPr>
        <w:t>on</w:t>
      </w:r>
      <w:r>
        <w:rPr>
          <w:spacing w:val="-12"/>
          <w:sz w:val="22"/>
        </w:rPr>
        <w:t> </w:t>
      </w:r>
      <w:r>
        <w:rPr>
          <w:sz w:val="22"/>
        </w:rPr>
        <w:t>sexual</w:t>
      </w:r>
      <w:r>
        <w:rPr>
          <w:spacing w:val="-13"/>
          <w:sz w:val="22"/>
        </w:rPr>
        <w:t> </w:t>
      </w:r>
      <w:r>
        <w:rPr>
          <w:sz w:val="22"/>
        </w:rPr>
        <w:t>orientation and gender identity and expression (SOGIE).</w:t>
      </w:r>
    </w:p>
    <w:p>
      <w:pPr>
        <w:pStyle w:val="ListParagraph"/>
        <w:numPr>
          <w:ilvl w:val="1"/>
          <w:numId w:val="41"/>
        </w:numPr>
        <w:tabs>
          <w:tab w:pos="1057" w:val="left" w:leader="none"/>
          <w:tab w:pos="1059" w:val="left" w:leader="none"/>
        </w:tabs>
        <w:spacing w:line="276" w:lineRule="auto" w:before="0" w:after="0"/>
        <w:ind w:left="1059" w:right="631" w:hanging="361"/>
        <w:jc w:val="both"/>
        <w:rPr>
          <w:sz w:val="22"/>
        </w:rPr>
      </w:pPr>
      <w:r>
        <w:rPr>
          <w:sz w:val="22"/>
        </w:rPr>
        <w:t>Collaborate</w:t>
      </w:r>
      <w:r>
        <w:rPr>
          <w:spacing w:val="-10"/>
          <w:sz w:val="22"/>
        </w:rPr>
        <w:t> </w:t>
      </w:r>
      <w:r>
        <w:rPr>
          <w:sz w:val="22"/>
        </w:rPr>
        <w:t>with</w:t>
      </w:r>
      <w:r>
        <w:rPr>
          <w:spacing w:val="-9"/>
          <w:sz w:val="22"/>
        </w:rPr>
        <w:t> </w:t>
      </w:r>
      <w:r>
        <w:rPr>
          <w:sz w:val="22"/>
        </w:rPr>
        <w:t>the</w:t>
      </w:r>
      <w:r>
        <w:rPr>
          <w:spacing w:val="-9"/>
          <w:sz w:val="22"/>
        </w:rPr>
        <w:t> </w:t>
      </w:r>
      <w:r>
        <w:rPr>
          <w:sz w:val="22"/>
        </w:rPr>
        <w:t>Commission</w:t>
      </w:r>
      <w:r>
        <w:rPr>
          <w:spacing w:val="-10"/>
          <w:sz w:val="22"/>
        </w:rPr>
        <w:t> </w:t>
      </w:r>
      <w:r>
        <w:rPr>
          <w:sz w:val="22"/>
        </w:rPr>
        <w:t>to</w:t>
      </w:r>
      <w:r>
        <w:rPr>
          <w:spacing w:val="-9"/>
          <w:sz w:val="22"/>
        </w:rPr>
        <w:t> </w:t>
      </w:r>
      <w:r>
        <w:rPr>
          <w:sz w:val="22"/>
        </w:rPr>
        <w:t>expand</w:t>
      </w:r>
      <w:r>
        <w:rPr>
          <w:spacing w:val="-9"/>
          <w:sz w:val="22"/>
        </w:rPr>
        <w:t> </w:t>
      </w:r>
      <w:r>
        <w:rPr>
          <w:sz w:val="22"/>
        </w:rPr>
        <w:t>training</w:t>
      </w:r>
      <w:r>
        <w:rPr>
          <w:spacing w:val="-9"/>
          <w:sz w:val="22"/>
        </w:rPr>
        <w:t> </w:t>
      </w:r>
      <w:r>
        <w:rPr>
          <w:sz w:val="22"/>
        </w:rPr>
        <w:t>programs</w:t>
      </w:r>
      <w:r>
        <w:rPr>
          <w:spacing w:val="-9"/>
          <w:sz w:val="22"/>
        </w:rPr>
        <w:t> </w:t>
      </w:r>
      <w:r>
        <w:rPr>
          <w:sz w:val="22"/>
        </w:rPr>
        <w:t>to</w:t>
      </w:r>
      <w:r>
        <w:rPr>
          <w:spacing w:val="-8"/>
          <w:sz w:val="22"/>
        </w:rPr>
        <w:t> </w:t>
      </w:r>
      <w:r>
        <w:rPr>
          <w:sz w:val="22"/>
        </w:rPr>
        <w:t>all</w:t>
      </w:r>
      <w:r>
        <w:rPr>
          <w:spacing w:val="-10"/>
          <w:sz w:val="22"/>
        </w:rPr>
        <w:t> </w:t>
      </w:r>
      <w:r>
        <w:rPr>
          <w:sz w:val="22"/>
        </w:rPr>
        <w:t>workers</w:t>
      </w:r>
      <w:r>
        <w:rPr>
          <w:spacing w:val="-9"/>
          <w:sz w:val="22"/>
        </w:rPr>
        <w:t> </w:t>
      </w:r>
      <w:r>
        <w:rPr>
          <w:sz w:val="22"/>
        </w:rPr>
        <w:t>and</w:t>
      </w:r>
      <w:r>
        <w:rPr>
          <w:spacing w:val="-10"/>
          <w:sz w:val="22"/>
        </w:rPr>
        <w:t> </w:t>
      </w:r>
      <w:r>
        <w:rPr>
          <w:sz w:val="22"/>
        </w:rPr>
        <w:t>supervisors</w:t>
      </w:r>
      <w:r>
        <w:rPr>
          <w:spacing w:val="-9"/>
          <w:sz w:val="22"/>
        </w:rPr>
        <w:t> </w:t>
      </w:r>
      <w:r>
        <w:rPr>
          <w:sz w:val="22"/>
        </w:rPr>
        <w:t>on issues that affect LGBTQ youth and young adults.</w:t>
      </w:r>
    </w:p>
    <w:p>
      <w:pPr>
        <w:pStyle w:val="ListParagraph"/>
        <w:numPr>
          <w:ilvl w:val="1"/>
          <w:numId w:val="41"/>
        </w:numPr>
        <w:tabs>
          <w:tab w:pos="1057" w:val="left" w:leader="none"/>
          <w:tab w:pos="1059" w:val="left" w:leader="none"/>
        </w:tabs>
        <w:spacing w:line="276" w:lineRule="auto" w:before="0" w:after="0"/>
        <w:ind w:left="1059" w:right="632" w:hanging="361"/>
        <w:jc w:val="both"/>
        <w:rPr>
          <w:sz w:val="22"/>
        </w:rPr>
      </w:pPr>
      <w:r>
        <w:rPr>
          <w:sz w:val="22"/>
        </w:rPr>
        <w:t>Improve interagency work to support “warm hand-offs” for transition-aged youth attempting to access services in partnership with other youth-serving state agencies to ensure that the health needs of LGBTQ youth are being met.</w:t>
      </w:r>
    </w:p>
    <w:p>
      <w:pPr>
        <w:pStyle w:val="BodyText"/>
        <w:rPr>
          <w:sz w:val="20"/>
        </w:rPr>
      </w:pPr>
    </w:p>
    <w:p>
      <w:pPr>
        <w:pStyle w:val="BodyText"/>
        <w:spacing w:before="66"/>
        <w:rPr>
          <w:sz w:val="20"/>
        </w:rPr>
      </w:pPr>
      <w:r>
        <w:rPr/>
        <mc:AlternateContent>
          <mc:Choice Requires="wps">
            <w:drawing>
              <wp:anchor distT="0" distB="0" distL="0" distR="0" allowOverlap="1" layoutInCell="1" locked="0" behindDoc="1" simplePos="0" relativeHeight="487711232">
                <wp:simplePos x="0" y="0"/>
                <wp:positionH relativeFrom="page">
                  <wp:posOffset>889000</wp:posOffset>
                </wp:positionH>
                <wp:positionV relativeFrom="paragraph">
                  <wp:posOffset>212635</wp:posOffset>
                </wp:positionV>
                <wp:extent cx="6350" cy="1270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742918pt;width:.499pt;height:.96pt;mso-position-horizontal-relative:page;mso-position-vertical-relative:paragraph;z-index:-15605248;mso-wrap-distance-left:0;mso-wrap-distance-right:0" id="docshape512"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711744">
                <wp:simplePos x="0" y="0"/>
                <wp:positionH relativeFrom="page">
                  <wp:posOffset>897636</wp:posOffset>
                </wp:positionH>
                <wp:positionV relativeFrom="paragraph">
                  <wp:posOffset>45493</wp:posOffset>
                </wp:positionV>
                <wp:extent cx="5976620" cy="6350"/>
                <wp:effectExtent l="0" t="0" r="0" b="0"/>
                <wp:wrapTopAndBottom/>
                <wp:docPr id="616" name="Graphic 616"/>
                <wp:cNvGraphicFramePr>
                  <a:graphicFrameLocks/>
                </wp:cNvGraphicFramePr>
                <a:graphic>
                  <a:graphicData uri="http://schemas.microsoft.com/office/word/2010/wordprocessingShape">
                    <wps:wsp>
                      <wps:cNvPr id="616" name="Graphic 616"/>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2156pt;width:470.58pt;height:.481pt;mso-position-horizontal-relative:page;mso-position-vertical-relative:paragraph;z-index:-15604736;mso-wrap-distance-left:0;mso-wrap-distance-right:0" id="docshape513" filled="true" fillcolor="#4f81bc" stroked="false">
                <v:fill type="solid"/>
                <w10:wrap type="topAndBottom"/>
              </v:rect>
            </w:pict>
          </mc:Fallback>
        </mc:AlternateContent>
      </w:r>
    </w:p>
    <w:p>
      <w:pPr>
        <w:pStyle w:val="BodyText"/>
        <w:spacing w:line="276" w:lineRule="auto" w:before="241"/>
        <w:ind w:left="483" w:right="341"/>
        <w:jc w:val="both"/>
      </w:pPr>
      <w:r>
        <w:rPr>
          <w:spacing w:val="-2"/>
        </w:rPr>
        <w:t>MassHealth works to provide health and dental benefits and financial support for Massachusetts residents </w:t>
      </w:r>
      <w:r>
        <w:rPr/>
        <w:t>and</w:t>
      </w:r>
      <w:r>
        <w:rPr>
          <w:spacing w:val="-5"/>
        </w:rPr>
        <w:t> </w:t>
      </w:r>
      <w:r>
        <w:rPr/>
        <w:t>combines</w:t>
      </w:r>
      <w:r>
        <w:rPr>
          <w:spacing w:val="-6"/>
        </w:rPr>
        <w:t> </w:t>
      </w:r>
      <w:r>
        <w:rPr/>
        <w:t>Medicaid</w:t>
      </w:r>
      <w:r>
        <w:rPr>
          <w:spacing w:val="-5"/>
        </w:rPr>
        <w:t> </w:t>
      </w:r>
      <w:r>
        <w:rPr/>
        <w:t>and</w:t>
      </w:r>
      <w:r>
        <w:rPr>
          <w:spacing w:val="-5"/>
        </w:rPr>
        <w:t> </w:t>
      </w:r>
      <w:r>
        <w:rPr/>
        <w:t>the</w:t>
      </w:r>
      <w:r>
        <w:rPr>
          <w:spacing w:val="-5"/>
        </w:rPr>
        <w:t> </w:t>
      </w:r>
      <w:r>
        <w:rPr/>
        <w:t>Children’s</w:t>
      </w:r>
      <w:r>
        <w:rPr>
          <w:spacing w:val="-6"/>
        </w:rPr>
        <w:t> </w:t>
      </w:r>
      <w:r>
        <w:rPr/>
        <w:t>Health</w:t>
      </w:r>
      <w:r>
        <w:rPr>
          <w:spacing w:val="-5"/>
        </w:rPr>
        <w:t> </w:t>
      </w:r>
      <w:r>
        <w:rPr/>
        <w:t>Insurance</w:t>
      </w:r>
      <w:r>
        <w:rPr>
          <w:spacing w:val="-5"/>
        </w:rPr>
        <w:t> </w:t>
      </w:r>
      <w:r>
        <w:rPr/>
        <w:t>Program</w:t>
      </w:r>
      <w:r>
        <w:rPr>
          <w:spacing w:val="-7"/>
        </w:rPr>
        <w:t> </w:t>
      </w:r>
      <w:r>
        <w:rPr/>
        <w:t>into</w:t>
      </w:r>
      <w:r>
        <w:rPr>
          <w:spacing w:val="-6"/>
        </w:rPr>
        <w:t> </w:t>
      </w:r>
      <w:r>
        <w:rPr/>
        <w:t>one</w:t>
      </w:r>
      <w:r>
        <w:rPr>
          <w:spacing w:val="-5"/>
        </w:rPr>
        <w:t> </w:t>
      </w:r>
      <w:r>
        <w:rPr/>
        <w:t>program.</w:t>
      </w:r>
      <w:r>
        <w:rPr>
          <w:spacing w:val="-5"/>
        </w:rPr>
        <w:t> </w:t>
      </w:r>
      <w:r>
        <w:rPr/>
        <w:t>The</w:t>
      </w:r>
      <w:r>
        <w:rPr>
          <w:spacing w:val="-5"/>
        </w:rPr>
        <w:t> </w:t>
      </w:r>
      <w:r>
        <w:rPr/>
        <w:t>Commission began issuing recommendations to MassHealth for the first time in FY 2022 on issues impacting LGBTQ youth in healthcare spaces. MassHealth provides vital resources to underserved communities, and the Commission</w:t>
      </w:r>
      <w:r>
        <w:rPr>
          <w:spacing w:val="-1"/>
        </w:rPr>
        <w:t> </w:t>
      </w:r>
      <w:r>
        <w:rPr/>
        <w:t>is extremely</w:t>
      </w:r>
      <w:r>
        <w:rPr>
          <w:spacing w:val="-1"/>
        </w:rPr>
        <w:t> </w:t>
      </w:r>
      <w:r>
        <w:rPr/>
        <w:t>grateful</w:t>
      </w:r>
      <w:r>
        <w:rPr>
          <w:spacing w:val="-1"/>
        </w:rPr>
        <w:t> </w:t>
      </w:r>
      <w:r>
        <w:rPr/>
        <w:t>for its services, which</w:t>
      </w:r>
      <w:r>
        <w:rPr>
          <w:spacing w:val="-1"/>
        </w:rPr>
        <w:t> </w:t>
      </w:r>
      <w:r>
        <w:rPr/>
        <w:t>continue</w:t>
      </w:r>
      <w:r>
        <w:rPr>
          <w:spacing w:val="-1"/>
        </w:rPr>
        <w:t> </w:t>
      </w:r>
      <w:r>
        <w:rPr/>
        <w:t>to play</w:t>
      </w:r>
      <w:r>
        <w:rPr>
          <w:spacing w:val="-1"/>
        </w:rPr>
        <w:t> </w:t>
      </w:r>
      <w:r>
        <w:rPr/>
        <w:t>an</w:t>
      </w:r>
      <w:r>
        <w:rPr>
          <w:spacing w:val="-1"/>
        </w:rPr>
        <w:t> </w:t>
      </w:r>
      <w:r>
        <w:rPr/>
        <w:t>important</w:t>
      </w:r>
      <w:r>
        <w:rPr>
          <w:spacing w:val="-1"/>
        </w:rPr>
        <w:t> </w:t>
      </w:r>
      <w:r>
        <w:rPr/>
        <w:t>part</w:t>
      </w:r>
      <w:r>
        <w:rPr>
          <w:spacing w:val="-1"/>
        </w:rPr>
        <w:t> </w:t>
      </w:r>
      <w:r>
        <w:rPr/>
        <w:t>in supporting LGBTQ</w:t>
      </w:r>
      <w:r>
        <w:rPr>
          <w:spacing w:val="-13"/>
        </w:rPr>
        <w:t> </w:t>
      </w:r>
      <w:r>
        <w:rPr/>
        <w:t>life.</w:t>
      </w:r>
      <w:r>
        <w:rPr>
          <w:spacing w:val="-12"/>
        </w:rPr>
        <w:t> </w:t>
      </w:r>
      <w:r>
        <w:rPr/>
        <w:t>As</w:t>
      </w:r>
      <w:r>
        <w:rPr>
          <w:spacing w:val="-13"/>
        </w:rPr>
        <w:t> </w:t>
      </w:r>
      <w:r>
        <w:rPr/>
        <w:t>discussed</w:t>
      </w:r>
      <w:r>
        <w:rPr>
          <w:spacing w:val="-12"/>
        </w:rPr>
        <w:t> </w:t>
      </w:r>
      <w:r>
        <w:rPr/>
        <w:t>throughout</w:t>
      </w:r>
      <w:r>
        <w:rPr>
          <w:spacing w:val="-13"/>
        </w:rPr>
        <w:t> </w:t>
      </w:r>
      <w:r>
        <w:rPr/>
        <w:t>this</w:t>
      </w:r>
      <w:r>
        <w:rPr>
          <w:spacing w:val="-12"/>
        </w:rPr>
        <w:t> </w:t>
      </w:r>
      <w:r>
        <w:rPr/>
        <w:t>annual</w:t>
      </w:r>
      <w:r>
        <w:rPr>
          <w:spacing w:val="-13"/>
        </w:rPr>
        <w:t> </w:t>
      </w:r>
      <w:r>
        <w:rPr/>
        <w:t>report,</w:t>
      </w:r>
      <w:r>
        <w:rPr>
          <w:spacing w:val="-12"/>
        </w:rPr>
        <w:t> </w:t>
      </w:r>
      <w:r>
        <w:rPr/>
        <w:t>LGBTQ</w:t>
      </w:r>
      <w:r>
        <w:rPr>
          <w:spacing w:val="-12"/>
        </w:rPr>
        <w:t> </w:t>
      </w:r>
      <w:r>
        <w:rPr/>
        <w:t>youth</w:t>
      </w:r>
      <w:r>
        <w:rPr>
          <w:spacing w:val="-13"/>
        </w:rPr>
        <w:t> </w:t>
      </w:r>
      <w:r>
        <w:rPr/>
        <w:t>experience</w:t>
      </w:r>
      <w:r>
        <w:rPr>
          <w:spacing w:val="-12"/>
        </w:rPr>
        <w:t> </w:t>
      </w:r>
      <w:r>
        <w:rPr/>
        <w:t>numerous</w:t>
      </w:r>
      <w:r>
        <w:rPr>
          <w:spacing w:val="-13"/>
        </w:rPr>
        <w:t> </w:t>
      </w:r>
      <w:r>
        <w:rPr/>
        <w:t>health-related inequities, particularly including access to affirming-care.</w:t>
      </w:r>
    </w:p>
    <w:p>
      <w:pPr>
        <w:pStyle w:val="BodyText"/>
        <w:spacing w:line="276" w:lineRule="auto" w:before="240"/>
        <w:ind w:left="483" w:right="344"/>
        <w:jc w:val="both"/>
      </w:pPr>
      <w:r>
        <w:rPr/>
        <w:t>As</w:t>
      </w:r>
      <w:r>
        <w:rPr>
          <w:spacing w:val="-2"/>
        </w:rPr>
        <w:t> </w:t>
      </w:r>
      <w:r>
        <w:rPr/>
        <w:t>MassHealth</w:t>
      </w:r>
      <w:r>
        <w:rPr>
          <w:spacing w:val="-2"/>
        </w:rPr>
        <w:t> </w:t>
      </w:r>
      <w:r>
        <w:rPr/>
        <w:t>seeks</w:t>
      </w:r>
      <w:r>
        <w:rPr>
          <w:spacing w:val="-2"/>
        </w:rPr>
        <w:t> </w:t>
      </w:r>
      <w:r>
        <w:rPr/>
        <w:t>to</w:t>
      </w:r>
      <w:r>
        <w:rPr>
          <w:spacing w:val="-1"/>
        </w:rPr>
        <w:t> </w:t>
      </w:r>
      <w:r>
        <w:rPr/>
        <w:t>elevate</w:t>
      </w:r>
      <w:r>
        <w:rPr>
          <w:spacing w:val="-2"/>
        </w:rPr>
        <w:t> </w:t>
      </w:r>
      <w:r>
        <w:rPr/>
        <w:t>LGBTQ</w:t>
      </w:r>
      <w:r>
        <w:rPr>
          <w:spacing w:val="-2"/>
        </w:rPr>
        <w:t> </w:t>
      </w:r>
      <w:r>
        <w:rPr/>
        <w:t>health</w:t>
      </w:r>
      <w:r>
        <w:rPr>
          <w:spacing w:val="-2"/>
        </w:rPr>
        <w:t> </w:t>
      </w:r>
      <w:r>
        <w:rPr/>
        <w:t>as</w:t>
      </w:r>
      <w:r>
        <w:rPr>
          <w:spacing w:val="-2"/>
        </w:rPr>
        <w:t> </w:t>
      </w:r>
      <w:r>
        <w:rPr/>
        <w:t>a</w:t>
      </w:r>
      <w:r>
        <w:rPr>
          <w:spacing w:val="-1"/>
        </w:rPr>
        <w:t> </w:t>
      </w:r>
      <w:r>
        <w:rPr/>
        <w:t>priority</w:t>
      </w:r>
      <w:r>
        <w:rPr>
          <w:spacing w:val="-2"/>
        </w:rPr>
        <w:t> </w:t>
      </w:r>
      <w:r>
        <w:rPr/>
        <w:t>within</w:t>
      </w:r>
      <w:r>
        <w:rPr>
          <w:spacing w:val="-1"/>
        </w:rPr>
        <w:t> </w:t>
      </w:r>
      <w:r>
        <w:rPr/>
        <w:t>the</w:t>
      </w:r>
      <w:r>
        <w:rPr>
          <w:spacing w:val="-2"/>
        </w:rPr>
        <w:t> </w:t>
      </w:r>
      <w:r>
        <w:rPr/>
        <w:t>agency,</w:t>
      </w:r>
      <w:r>
        <w:rPr>
          <w:spacing w:val="-2"/>
        </w:rPr>
        <w:t> </w:t>
      </w:r>
      <w:r>
        <w:rPr/>
        <w:t>the</w:t>
      </w:r>
      <w:r>
        <w:rPr>
          <w:spacing w:val="-2"/>
        </w:rPr>
        <w:t> </w:t>
      </w:r>
      <w:r>
        <w:rPr/>
        <w:t>Commission</w:t>
      </w:r>
      <w:r>
        <w:rPr>
          <w:spacing w:val="-2"/>
        </w:rPr>
        <w:t> </w:t>
      </w:r>
      <w:r>
        <w:rPr/>
        <w:t>notes</w:t>
      </w:r>
      <w:r>
        <w:rPr>
          <w:spacing w:val="-2"/>
        </w:rPr>
        <w:t> </w:t>
      </w:r>
      <w:r>
        <w:rPr/>
        <w:t>that agency leadership must take steps to expand these services and understand the current landscape of LGBTQ</w:t>
      </w:r>
      <w:r>
        <w:rPr>
          <w:spacing w:val="-5"/>
        </w:rPr>
        <w:t> </w:t>
      </w:r>
      <w:r>
        <w:rPr/>
        <w:t>health.</w:t>
      </w:r>
      <w:r>
        <w:rPr>
          <w:spacing w:val="-5"/>
        </w:rPr>
        <w:t> </w:t>
      </w:r>
      <w:r>
        <w:rPr/>
        <w:t>The</w:t>
      </w:r>
      <w:r>
        <w:rPr>
          <w:spacing w:val="-5"/>
        </w:rPr>
        <w:t> </w:t>
      </w:r>
      <w:r>
        <w:rPr/>
        <w:t>Commission</w:t>
      </w:r>
      <w:r>
        <w:rPr>
          <w:spacing w:val="-7"/>
        </w:rPr>
        <w:t> </w:t>
      </w:r>
      <w:r>
        <w:rPr/>
        <w:t>recommends</w:t>
      </w:r>
      <w:r>
        <w:rPr>
          <w:spacing w:val="-6"/>
        </w:rPr>
        <w:t> </w:t>
      </w:r>
      <w:r>
        <w:rPr/>
        <w:t>several</w:t>
      </w:r>
      <w:r>
        <w:rPr>
          <w:spacing w:val="-5"/>
        </w:rPr>
        <w:t> </w:t>
      </w:r>
      <w:r>
        <w:rPr/>
        <w:t>initiatives</w:t>
      </w:r>
      <w:r>
        <w:rPr>
          <w:spacing w:val="-5"/>
        </w:rPr>
        <w:t> </w:t>
      </w:r>
      <w:r>
        <w:rPr/>
        <w:t>that</w:t>
      </w:r>
      <w:r>
        <w:rPr>
          <w:spacing w:val="-7"/>
        </w:rPr>
        <w:t> </w:t>
      </w:r>
      <w:r>
        <w:rPr/>
        <w:t>involve</w:t>
      </w:r>
      <w:r>
        <w:rPr>
          <w:spacing w:val="-5"/>
        </w:rPr>
        <w:t> </w:t>
      </w:r>
      <w:r>
        <w:rPr/>
        <w:t>not</w:t>
      </w:r>
      <w:r>
        <w:rPr>
          <w:spacing w:val="-6"/>
        </w:rPr>
        <w:t> </w:t>
      </w:r>
      <w:r>
        <w:rPr/>
        <w:t>just</w:t>
      </w:r>
      <w:r>
        <w:rPr>
          <w:spacing w:val="-7"/>
        </w:rPr>
        <w:t> </w:t>
      </w:r>
      <w:r>
        <w:rPr/>
        <w:t>a</w:t>
      </w:r>
      <w:r>
        <w:rPr>
          <w:spacing w:val="-5"/>
        </w:rPr>
        <w:t> </w:t>
      </w:r>
      <w:r>
        <w:rPr/>
        <w:t>systematic</w:t>
      </w:r>
      <w:r>
        <w:rPr>
          <w:spacing w:val="-6"/>
        </w:rPr>
        <w:t> </w:t>
      </w:r>
      <w:r>
        <w:rPr/>
        <w:t>analysis and</w:t>
      </w:r>
      <w:r>
        <w:rPr>
          <w:spacing w:val="-13"/>
        </w:rPr>
        <w:t> </w:t>
      </w:r>
      <w:r>
        <w:rPr/>
        <w:t>revamping</w:t>
      </w:r>
      <w:r>
        <w:rPr>
          <w:spacing w:val="-12"/>
        </w:rPr>
        <w:t> </w:t>
      </w:r>
      <w:r>
        <w:rPr/>
        <w:t>of</w:t>
      </w:r>
      <w:r>
        <w:rPr>
          <w:spacing w:val="-13"/>
        </w:rPr>
        <w:t> </w:t>
      </w:r>
      <w:r>
        <w:rPr/>
        <w:t>what</w:t>
      </w:r>
      <w:r>
        <w:rPr>
          <w:spacing w:val="-12"/>
        </w:rPr>
        <w:t> </w:t>
      </w:r>
      <w:r>
        <w:rPr/>
        <w:t>MassHealth</w:t>
      </w:r>
      <w:r>
        <w:rPr>
          <w:spacing w:val="-13"/>
        </w:rPr>
        <w:t> </w:t>
      </w:r>
      <w:r>
        <w:rPr/>
        <w:t>covers,</w:t>
      </w:r>
      <w:r>
        <w:rPr>
          <w:spacing w:val="-12"/>
        </w:rPr>
        <w:t> </w:t>
      </w:r>
      <w:r>
        <w:rPr/>
        <w:t>but</w:t>
      </w:r>
      <w:r>
        <w:rPr>
          <w:spacing w:val="-13"/>
        </w:rPr>
        <w:t> </w:t>
      </w:r>
      <w:r>
        <w:rPr/>
        <w:t>also</w:t>
      </w:r>
      <w:r>
        <w:rPr>
          <w:spacing w:val="-12"/>
        </w:rPr>
        <w:t> </w:t>
      </w:r>
      <w:r>
        <w:rPr/>
        <w:t>discerning</w:t>
      </w:r>
      <w:r>
        <w:rPr>
          <w:spacing w:val="-12"/>
        </w:rPr>
        <w:t> </w:t>
      </w:r>
      <w:r>
        <w:rPr/>
        <w:t>how</w:t>
      </w:r>
      <w:r>
        <w:rPr>
          <w:spacing w:val="-13"/>
        </w:rPr>
        <w:t> </w:t>
      </w:r>
      <w:r>
        <w:rPr/>
        <w:t>to</w:t>
      </w:r>
      <w:r>
        <w:rPr>
          <w:spacing w:val="-12"/>
        </w:rPr>
        <w:t> </w:t>
      </w:r>
      <w:r>
        <w:rPr/>
        <w:t>make</w:t>
      </w:r>
      <w:r>
        <w:rPr>
          <w:spacing w:val="-13"/>
        </w:rPr>
        <w:t> </w:t>
      </w:r>
      <w:r>
        <w:rPr/>
        <w:t>this</w:t>
      </w:r>
      <w:r>
        <w:rPr>
          <w:spacing w:val="-12"/>
        </w:rPr>
        <w:t> </w:t>
      </w:r>
      <w:r>
        <w:rPr/>
        <w:t>coverage</w:t>
      </w:r>
      <w:r>
        <w:rPr>
          <w:spacing w:val="-13"/>
        </w:rPr>
        <w:t> </w:t>
      </w:r>
      <w:r>
        <w:rPr/>
        <w:t>more</w:t>
      </w:r>
      <w:r>
        <w:rPr>
          <w:spacing w:val="-12"/>
        </w:rPr>
        <w:t> </w:t>
      </w:r>
      <w:r>
        <w:rPr/>
        <w:t>accessible to all LGBTQ populations.</w:t>
      </w:r>
    </w:p>
    <w:p>
      <w:pPr>
        <w:spacing w:before="239"/>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pStyle w:val="BodyText"/>
        <w:spacing w:line="276" w:lineRule="auto" w:before="285"/>
        <w:ind w:left="483" w:right="342"/>
        <w:jc w:val="both"/>
        <w:rPr>
          <w:sz w:val="21"/>
        </w:rPr>
      </w:pPr>
      <w:r>
        <w:rPr/>
        <w:t>The Commission commends MassHealth for the steps it has took to fill the Commission’s FY 2022 recommendations,</w:t>
      </w:r>
      <w:r>
        <w:rPr>
          <w:spacing w:val="-5"/>
        </w:rPr>
        <w:t> </w:t>
      </w:r>
      <w:r>
        <w:rPr/>
        <w:t>including</w:t>
      </w:r>
      <w:r>
        <w:rPr>
          <w:spacing w:val="-5"/>
        </w:rPr>
        <w:t> </w:t>
      </w:r>
      <w:r>
        <w:rPr/>
        <w:t>establishing</w:t>
      </w:r>
      <w:r>
        <w:rPr>
          <w:spacing w:val="-5"/>
        </w:rPr>
        <w:t> </w:t>
      </w:r>
      <w:r>
        <w:rPr/>
        <w:t>a</w:t>
      </w:r>
      <w:r>
        <w:rPr>
          <w:spacing w:val="-5"/>
        </w:rPr>
        <w:t> </w:t>
      </w:r>
      <w:r>
        <w:rPr/>
        <w:t>permanent</w:t>
      </w:r>
      <w:r>
        <w:rPr>
          <w:spacing w:val="-5"/>
        </w:rPr>
        <w:t> </w:t>
      </w:r>
      <w:r>
        <w:rPr/>
        <w:t>liaison</w:t>
      </w:r>
      <w:r>
        <w:rPr>
          <w:spacing w:val="-5"/>
        </w:rPr>
        <w:t> </w:t>
      </w:r>
      <w:r>
        <w:rPr/>
        <w:t>to</w:t>
      </w:r>
      <w:r>
        <w:rPr>
          <w:spacing w:val="-5"/>
        </w:rPr>
        <w:t> </w:t>
      </w:r>
      <w:r>
        <w:rPr/>
        <w:t>the</w:t>
      </w:r>
      <w:r>
        <w:rPr>
          <w:spacing w:val="-5"/>
        </w:rPr>
        <w:t> </w:t>
      </w:r>
      <w:r>
        <w:rPr/>
        <w:t>Commission;</w:t>
      </w:r>
      <w:r>
        <w:rPr>
          <w:spacing w:val="-5"/>
        </w:rPr>
        <w:t> </w:t>
      </w:r>
      <w:r>
        <w:rPr/>
        <w:t>expanding</w:t>
      </w:r>
      <w:r>
        <w:rPr>
          <w:spacing w:val="-5"/>
        </w:rPr>
        <w:t> </w:t>
      </w:r>
      <w:r>
        <w:rPr/>
        <w:t>access</w:t>
      </w:r>
      <w:r>
        <w:rPr>
          <w:spacing w:val="-5"/>
        </w:rPr>
        <w:t> </w:t>
      </w:r>
      <w:r>
        <w:rPr/>
        <w:t>to</w:t>
      </w:r>
      <w:r>
        <w:rPr>
          <w:spacing w:val="-5"/>
        </w:rPr>
        <w:t> </w:t>
      </w:r>
      <w:r>
        <w:rPr/>
        <w:t>its gender-affirming services; and establishing a commitment to internal trainings on LGBTQ affirming-care in its facilities. The Commission looks forward to its continued work with MassHealth in FY 202</w:t>
      </w:r>
      <w:r>
        <w:rPr>
          <w:sz w:val="21"/>
        </w:rPr>
        <w:t>5.</w:t>
      </w:r>
    </w:p>
    <w:p>
      <w:pPr>
        <w:spacing w:after="0" w:line="276" w:lineRule="auto"/>
        <w:jc w:val="both"/>
        <w:rPr>
          <w:sz w:val="21"/>
        </w:rPr>
        <w:sectPr>
          <w:headerReference w:type="default" r:id="rId748"/>
          <w:footerReference w:type="default" r:id="rId749"/>
          <w:pgSz w:w="12240" w:h="15840"/>
          <w:pgMar w:header="804" w:footer="1263" w:top="1000" w:bottom="1460" w:left="960" w:right="1100"/>
        </w:sectPr>
      </w:pPr>
    </w:p>
    <w:p>
      <w:pPr>
        <w:pStyle w:val="BodyText"/>
        <w:spacing w:before="24"/>
        <w:rPr>
          <w:sz w:val="28"/>
        </w:rPr>
      </w:pPr>
    </w:p>
    <w:p>
      <w:pPr>
        <w:spacing w:before="0"/>
        <w:ind w:left="483" w:right="0" w:firstLine="0"/>
        <w:jc w:val="left"/>
        <w:rPr>
          <w:sz w:val="28"/>
        </w:rPr>
      </w:pPr>
      <w:r>
        <w:rPr/>
        <mc:AlternateContent>
          <mc:Choice Requires="wps">
            <w:drawing>
              <wp:anchor distT="0" distB="0" distL="0" distR="0" allowOverlap="1" layoutInCell="1" locked="0" behindDoc="1" simplePos="0" relativeHeight="487712256">
                <wp:simplePos x="0" y="0"/>
                <wp:positionH relativeFrom="page">
                  <wp:posOffset>889000</wp:posOffset>
                </wp:positionH>
                <wp:positionV relativeFrom="paragraph">
                  <wp:posOffset>241619</wp:posOffset>
                </wp:positionV>
                <wp:extent cx="5985510" cy="27305"/>
                <wp:effectExtent l="0" t="0" r="0" b="0"/>
                <wp:wrapTopAndBottom/>
                <wp:docPr id="617" name="Group 617"/>
                <wp:cNvGraphicFramePr>
                  <a:graphicFrameLocks/>
                </wp:cNvGraphicFramePr>
                <a:graphic>
                  <a:graphicData uri="http://schemas.microsoft.com/office/word/2010/wordprocessingGroup">
                    <wpg:wgp>
                      <wpg:cNvPr id="617" name="Group 617"/>
                      <wpg:cNvGrpSpPr/>
                      <wpg:grpSpPr>
                        <a:xfrm>
                          <a:off x="0" y="0"/>
                          <a:ext cx="5985510" cy="27305"/>
                          <a:chExt cx="5985510" cy="27305"/>
                        </a:xfrm>
                      </wpg:grpSpPr>
                      <wps:wsp>
                        <wps:cNvPr id="618" name="Graphic 618"/>
                        <wps:cNvSpPr/>
                        <wps:spPr>
                          <a:xfrm>
                            <a:off x="8636" y="20827"/>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wps:wsp>
                        <wps:cNvPr id="619" name="Graphic 619"/>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wpg:wgp>
                  </a:graphicData>
                </a:graphic>
              </wp:anchor>
            </w:drawing>
          </mc:Choice>
          <mc:Fallback>
            <w:pict>
              <v:group style="position:absolute;margin-left:70pt;margin-top:19.025156pt;width:471.3pt;height:2.15pt;mso-position-horizontal-relative:page;mso-position-vertical-relative:paragraph;z-index:-15604224;mso-wrap-distance-left:0;mso-wrap-distance-right:0" id="docshapegroup514" coordorigin="1400,381" coordsize="9426,43">
                <v:rect style="position:absolute;left:1413;top:413;width:9412;height:10" id="docshape515" filled="true" fillcolor="#4f81bc" stroked="false">
                  <v:fill type="solid"/>
                </v:rect>
                <v:rect style="position:absolute;left:1400;top:380;width:10;height:20" id="docshape516" filled="true" fillcolor="#4f81bb" stroked="false">
                  <v:fill type="solid"/>
                </v:rect>
                <w10:wrap type="topAndBottom"/>
              </v:group>
            </w:pict>
          </mc:Fallback>
        </mc:AlternateContent>
      </w:r>
      <w:r>
        <w:rPr>
          <w:color w:val="365F91"/>
          <w:sz w:val="28"/>
        </w:rPr>
        <w:t>FY</w:t>
      </w:r>
      <w:r>
        <w:rPr>
          <w:color w:val="365F91"/>
          <w:spacing w:val="-12"/>
          <w:sz w:val="28"/>
        </w:rPr>
        <w:t> </w:t>
      </w:r>
      <w:r>
        <w:rPr>
          <w:color w:val="365F91"/>
          <w:sz w:val="28"/>
        </w:rPr>
        <w:t>2025</w:t>
      </w:r>
      <w:r>
        <w:rPr>
          <w:color w:val="365F91"/>
          <w:spacing w:val="-11"/>
          <w:sz w:val="28"/>
        </w:rPr>
        <w:t> </w:t>
      </w:r>
      <w:r>
        <w:rPr>
          <w:color w:val="365F91"/>
          <w:sz w:val="28"/>
        </w:rPr>
        <w:t>Expanded</w:t>
      </w:r>
      <w:r>
        <w:rPr>
          <w:color w:val="365F91"/>
          <w:spacing w:val="-12"/>
          <w:sz w:val="28"/>
        </w:rPr>
        <w:t> </w:t>
      </w:r>
      <w:r>
        <w:rPr>
          <w:color w:val="365F91"/>
          <w:sz w:val="28"/>
        </w:rPr>
        <w:t>MassHealth</w:t>
      </w:r>
      <w:r>
        <w:rPr>
          <w:color w:val="365F91"/>
          <w:spacing w:val="-11"/>
          <w:sz w:val="28"/>
        </w:rPr>
        <w:t> </w:t>
      </w:r>
      <w:r>
        <w:rPr>
          <w:color w:val="365F91"/>
          <w:spacing w:val="-2"/>
          <w:sz w:val="28"/>
        </w:rPr>
        <w:t>Recommendations</w:t>
      </w:r>
    </w:p>
    <w:p>
      <w:pPr>
        <w:numPr>
          <w:ilvl w:val="0"/>
          <w:numId w:val="42"/>
        </w:numPr>
        <w:tabs>
          <w:tab w:pos="481" w:val="left" w:leader="none"/>
          <w:tab w:pos="483" w:val="left" w:leader="none"/>
        </w:tabs>
        <w:spacing w:line="276" w:lineRule="auto" w:before="241"/>
        <w:ind w:left="483" w:right="344" w:hanging="360"/>
        <w:jc w:val="left"/>
        <w:rPr>
          <w:b/>
          <w:sz w:val="22"/>
        </w:rPr>
      </w:pPr>
      <w:r>
        <w:rPr>
          <w:b/>
          <w:sz w:val="22"/>
        </w:rPr>
        <w:t>Review</w:t>
      </w:r>
      <w:r>
        <w:rPr>
          <w:b/>
          <w:spacing w:val="30"/>
          <w:sz w:val="22"/>
        </w:rPr>
        <w:t> </w:t>
      </w:r>
      <w:r>
        <w:rPr>
          <w:b/>
          <w:sz w:val="22"/>
        </w:rPr>
        <w:t>MassHealth</w:t>
      </w:r>
      <w:r>
        <w:rPr>
          <w:b/>
          <w:spacing w:val="31"/>
          <w:sz w:val="22"/>
        </w:rPr>
        <w:t> </w:t>
      </w:r>
      <w:r>
        <w:rPr>
          <w:b/>
          <w:sz w:val="22"/>
        </w:rPr>
        <w:t>policies</w:t>
      </w:r>
      <w:r>
        <w:rPr>
          <w:b/>
          <w:spacing w:val="30"/>
          <w:sz w:val="22"/>
        </w:rPr>
        <w:t> </w:t>
      </w:r>
      <w:r>
        <w:rPr>
          <w:b/>
          <w:sz w:val="22"/>
        </w:rPr>
        <w:t>and</w:t>
      </w:r>
      <w:r>
        <w:rPr>
          <w:b/>
          <w:spacing w:val="30"/>
          <w:sz w:val="22"/>
        </w:rPr>
        <w:t> </w:t>
      </w:r>
      <w:r>
        <w:rPr>
          <w:b/>
          <w:sz w:val="22"/>
        </w:rPr>
        <w:t>guidelines</w:t>
      </w:r>
      <w:r>
        <w:rPr>
          <w:b/>
          <w:spacing w:val="30"/>
          <w:sz w:val="22"/>
        </w:rPr>
        <w:t> </w:t>
      </w:r>
      <w:r>
        <w:rPr>
          <w:b/>
          <w:sz w:val="22"/>
        </w:rPr>
        <w:t>to</w:t>
      </w:r>
      <w:r>
        <w:rPr>
          <w:b/>
          <w:spacing w:val="30"/>
          <w:sz w:val="22"/>
        </w:rPr>
        <w:t> </w:t>
      </w:r>
      <w:r>
        <w:rPr>
          <w:b/>
          <w:sz w:val="22"/>
        </w:rPr>
        <w:t>increase</w:t>
      </w:r>
      <w:r>
        <w:rPr>
          <w:b/>
          <w:spacing w:val="30"/>
          <w:sz w:val="22"/>
        </w:rPr>
        <w:t> </w:t>
      </w:r>
      <w:r>
        <w:rPr>
          <w:b/>
          <w:sz w:val="22"/>
        </w:rPr>
        <w:t>access</w:t>
      </w:r>
      <w:r>
        <w:rPr>
          <w:b/>
          <w:spacing w:val="31"/>
          <w:sz w:val="22"/>
        </w:rPr>
        <w:t> </w:t>
      </w:r>
      <w:r>
        <w:rPr>
          <w:b/>
          <w:sz w:val="22"/>
        </w:rPr>
        <w:t>to</w:t>
      </w:r>
      <w:r>
        <w:rPr>
          <w:b/>
          <w:spacing w:val="30"/>
          <w:sz w:val="22"/>
        </w:rPr>
        <w:t> </w:t>
      </w:r>
      <w:r>
        <w:rPr>
          <w:b/>
          <w:sz w:val="22"/>
        </w:rPr>
        <w:t>gender-affirming</w:t>
      </w:r>
      <w:r>
        <w:rPr>
          <w:b/>
          <w:spacing w:val="29"/>
          <w:sz w:val="22"/>
        </w:rPr>
        <w:t> </w:t>
      </w:r>
      <w:r>
        <w:rPr>
          <w:b/>
          <w:sz w:val="22"/>
        </w:rPr>
        <w:t>care</w:t>
      </w:r>
      <w:r>
        <w:rPr>
          <w:b/>
          <w:spacing w:val="31"/>
          <w:sz w:val="22"/>
        </w:rPr>
        <w:t> </w:t>
      </w:r>
      <w:r>
        <w:rPr>
          <w:b/>
          <w:sz w:val="22"/>
        </w:rPr>
        <w:t>and</w:t>
      </w:r>
      <w:r>
        <w:rPr>
          <w:b/>
          <w:spacing w:val="30"/>
          <w:sz w:val="22"/>
        </w:rPr>
        <w:t> </w:t>
      </w:r>
      <w:r>
        <w:rPr>
          <w:b/>
          <w:sz w:val="22"/>
        </w:rPr>
        <w:t>reduce health disparities among LGBTQ communities and communities of color.</w:t>
      </w:r>
    </w:p>
    <w:p>
      <w:pPr>
        <w:pStyle w:val="BodyText"/>
        <w:spacing w:line="276" w:lineRule="auto" w:before="239"/>
        <w:ind w:left="482" w:right="340"/>
        <w:jc w:val="both"/>
      </w:pPr>
      <w:r>
        <w:rPr/>
        <w:t>The Commission recommends that MassHealth continue to review policies and guidelines to increase access</w:t>
      </w:r>
      <w:r>
        <w:rPr>
          <w:spacing w:val="-1"/>
        </w:rPr>
        <w:t> </w:t>
      </w:r>
      <w:r>
        <w:rPr/>
        <w:t>to</w:t>
      </w:r>
      <w:r>
        <w:rPr>
          <w:spacing w:val="-1"/>
        </w:rPr>
        <w:t> </w:t>
      </w:r>
      <w:r>
        <w:rPr/>
        <w:t>gender-affirming</w:t>
      </w:r>
      <w:r>
        <w:rPr>
          <w:spacing w:val="-1"/>
        </w:rPr>
        <w:t> </w:t>
      </w:r>
      <w:r>
        <w:rPr/>
        <w:t>care,</w:t>
      </w:r>
      <w:r>
        <w:rPr>
          <w:spacing w:val="-1"/>
        </w:rPr>
        <w:t> </w:t>
      </w:r>
      <w:r>
        <w:rPr/>
        <w:t>and</w:t>
      </w:r>
      <w:r>
        <w:rPr>
          <w:spacing w:val="-1"/>
        </w:rPr>
        <w:t> </w:t>
      </w:r>
      <w:r>
        <w:rPr/>
        <w:t>to reduce</w:t>
      </w:r>
      <w:r>
        <w:rPr>
          <w:spacing w:val="-2"/>
        </w:rPr>
        <w:t> </w:t>
      </w:r>
      <w:r>
        <w:rPr/>
        <w:t>health</w:t>
      </w:r>
      <w:r>
        <w:rPr>
          <w:spacing w:val="-2"/>
        </w:rPr>
        <w:t> </w:t>
      </w:r>
      <w:r>
        <w:rPr/>
        <w:t>disparities among</w:t>
      </w:r>
      <w:r>
        <w:rPr>
          <w:spacing w:val="-2"/>
        </w:rPr>
        <w:t> </w:t>
      </w:r>
      <w:r>
        <w:rPr/>
        <w:t>LGBTQ</w:t>
      </w:r>
      <w:r>
        <w:rPr>
          <w:spacing w:val="-2"/>
        </w:rPr>
        <w:t> </w:t>
      </w:r>
      <w:r>
        <w:rPr/>
        <w:t>and</w:t>
      </w:r>
      <w:r>
        <w:rPr>
          <w:spacing w:val="-2"/>
        </w:rPr>
        <w:t> </w:t>
      </w:r>
      <w:r>
        <w:rPr/>
        <w:t>BIPOC communities. Furthermore,</w:t>
      </w:r>
      <w:r>
        <w:rPr>
          <w:spacing w:val="-1"/>
        </w:rPr>
        <w:t> </w:t>
      </w:r>
      <w:r>
        <w:rPr/>
        <w:t>the</w:t>
      </w:r>
      <w:r>
        <w:rPr>
          <w:spacing w:val="-2"/>
        </w:rPr>
        <w:t> </w:t>
      </w:r>
      <w:r>
        <w:rPr/>
        <w:t>Commission</w:t>
      </w:r>
      <w:r>
        <w:rPr>
          <w:spacing w:val="-2"/>
        </w:rPr>
        <w:t> </w:t>
      </w:r>
      <w:r>
        <w:rPr/>
        <w:t>continues to</w:t>
      </w:r>
      <w:r>
        <w:rPr>
          <w:spacing w:val="-1"/>
        </w:rPr>
        <w:t> </w:t>
      </w:r>
      <w:r>
        <w:rPr/>
        <w:t>recommend</w:t>
      </w:r>
      <w:r>
        <w:rPr>
          <w:spacing w:val="-2"/>
        </w:rPr>
        <w:t> </w:t>
      </w:r>
      <w:r>
        <w:rPr/>
        <w:t>that</w:t>
      </w:r>
      <w:r>
        <w:rPr>
          <w:spacing w:val="-2"/>
        </w:rPr>
        <w:t> </w:t>
      </w:r>
      <w:r>
        <w:rPr/>
        <w:t>MassHealth</w:t>
      </w:r>
      <w:r>
        <w:rPr>
          <w:spacing w:val="-2"/>
        </w:rPr>
        <w:t> </w:t>
      </w:r>
      <w:r>
        <w:rPr/>
        <w:t>adopts</w:t>
      </w:r>
      <w:r>
        <w:rPr>
          <w:spacing w:val="-1"/>
        </w:rPr>
        <w:t> </w:t>
      </w:r>
      <w:r>
        <w:rPr/>
        <w:t>a</w:t>
      </w:r>
      <w:r>
        <w:rPr>
          <w:spacing w:val="-1"/>
        </w:rPr>
        <w:t> </w:t>
      </w:r>
      <w:r>
        <w:rPr/>
        <w:t>comprehensive</w:t>
      </w:r>
      <w:r>
        <w:rPr>
          <w:spacing w:val="-2"/>
        </w:rPr>
        <w:t> </w:t>
      </w:r>
      <w:r>
        <w:rPr/>
        <w:t>policy on</w:t>
      </w:r>
      <w:r>
        <w:rPr>
          <w:spacing w:val="-13"/>
        </w:rPr>
        <w:t> </w:t>
      </w:r>
      <w:r>
        <w:rPr/>
        <w:t>expanding</w:t>
      </w:r>
      <w:r>
        <w:rPr>
          <w:spacing w:val="-12"/>
        </w:rPr>
        <w:t> </w:t>
      </w:r>
      <w:r>
        <w:rPr/>
        <w:t>healthcare</w:t>
      </w:r>
      <w:r>
        <w:rPr>
          <w:spacing w:val="-13"/>
        </w:rPr>
        <w:t> </w:t>
      </w:r>
      <w:r>
        <w:rPr/>
        <w:t>access</w:t>
      </w:r>
      <w:r>
        <w:rPr>
          <w:spacing w:val="-12"/>
        </w:rPr>
        <w:t> </w:t>
      </w:r>
      <w:r>
        <w:rPr/>
        <w:t>and</w:t>
      </w:r>
      <w:r>
        <w:rPr>
          <w:spacing w:val="-13"/>
        </w:rPr>
        <w:t> </w:t>
      </w:r>
      <w:r>
        <w:rPr/>
        <w:t>trauma-informed</w:t>
      </w:r>
      <w:r>
        <w:rPr>
          <w:spacing w:val="-12"/>
        </w:rPr>
        <w:t> </w:t>
      </w:r>
      <w:r>
        <w:rPr/>
        <w:t>care</w:t>
      </w:r>
      <w:r>
        <w:rPr>
          <w:spacing w:val="-13"/>
        </w:rPr>
        <w:t> </w:t>
      </w:r>
      <w:r>
        <w:rPr/>
        <w:t>to</w:t>
      </w:r>
      <w:r>
        <w:rPr>
          <w:spacing w:val="-12"/>
        </w:rPr>
        <w:t> </w:t>
      </w:r>
      <w:r>
        <w:rPr/>
        <w:t>transgender</w:t>
      </w:r>
      <w:r>
        <w:rPr>
          <w:spacing w:val="-12"/>
        </w:rPr>
        <w:t> </w:t>
      </w:r>
      <w:r>
        <w:rPr/>
        <w:t>communities.</w:t>
      </w:r>
      <w:r>
        <w:rPr>
          <w:spacing w:val="-13"/>
        </w:rPr>
        <w:t> </w:t>
      </w:r>
      <w:r>
        <w:rPr/>
        <w:t>It</w:t>
      </w:r>
      <w:r>
        <w:rPr>
          <w:spacing w:val="-12"/>
        </w:rPr>
        <w:t> </w:t>
      </w:r>
      <w:r>
        <w:rPr/>
        <w:t>should</w:t>
      </w:r>
      <w:r>
        <w:rPr>
          <w:spacing w:val="-13"/>
        </w:rPr>
        <w:t> </w:t>
      </w:r>
      <w:r>
        <w:rPr/>
        <w:t>address eliminating anti- LGBTQ discrimination from healthcare and benefits practices, as well as mandate trainings for LGBTQ competency, and the creation of an employee handbook on LGBTQ resources and </w:t>
      </w:r>
      <w:r>
        <w:rPr>
          <w:spacing w:val="-2"/>
        </w:rPr>
        <w:t>topics.</w:t>
      </w:r>
    </w:p>
    <w:p>
      <w:pPr>
        <w:numPr>
          <w:ilvl w:val="0"/>
          <w:numId w:val="42"/>
        </w:numPr>
        <w:tabs>
          <w:tab w:pos="480" w:val="left" w:leader="none"/>
          <w:tab w:pos="482" w:val="left" w:leader="none"/>
        </w:tabs>
        <w:spacing w:line="276" w:lineRule="auto" w:before="241"/>
        <w:ind w:left="482" w:right="344" w:hanging="360"/>
        <w:jc w:val="left"/>
        <w:rPr>
          <w:b/>
          <w:sz w:val="22"/>
        </w:rPr>
      </w:pPr>
      <w:r>
        <w:rPr>
          <w:b/>
          <w:sz w:val="22"/>
        </w:rPr>
        <w:t>Expand data collection efforts beyond federal requirements to collect data on sexual orientation and gender identity and expression (SOGIE).</w:t>
      </w:r>
    </w:p>
    <w:p>
      <w:pPr>
        <w:pStyle w:val="BodyText"/>
        <w:spacing w:line="276" w:lineRule="auto" w:before="240"/>
        <w:ind w:left="482" w:right="340"/>
        <w:jc w:val="both"/>
      </w:pPr>
      <w:r>
        <w:rPr/>
        <w:t>A majority of data at MassHealth is currently dependent on diagnoses of gender dysphoria, making comprehensive gender-affirming care difficult to come by for many transgender individuals, especially those who are not open about their identities. As SOGIE data is often collected only through community partner programs or member surveys, there is still a large gap in accurate information, which harms the efficient and inclusive provision of healthcare services. The Commission recommends the urgent application</w:t>
      </w:r>
      <w:r>
        <w:rPr>
          <w:spacing w:val="-9"/>
        </w:rPr>
        <w:t> </w:t>
      </w:r>
      <w:r>
        <w:rPr/>
        <w:t>of</w:t>
      </w:r>
      <w:r>
        <w:rPr>
          <w:spacing w:val="-9"/>
        </w:rPr>
        <w:t> </w:t>
      </w:r>
      <w:r>
        <w:rPr/>
        <w:t>data</w:t>
      </w:r>
      <w:r>
        <w:rPr>
          <w:spacing w:val="-9"/>
        </w:rPr>
        <w:t> </w:t>
      </w:r>
      <w:r>
        <w:rPr/>
        <w:t>collection</w:t>
      </w:r>
      <w:r>
        <w:rPr>
          <w:spacing w:val="-10"/>
        </w:rPr>
        <w:t> </w:t>
      </w:r>
      <w:r>
        <w:rPr/>
        <w:t>services</w:t>
      </w:r>
      <w:r>
        <w:rPr>
          <w:spacing w:val="-9"/>
        </w:rPr>
        <w:t> </w:t>
      </w:r>
      <w:r>
        <w:rPr/>
        <w:t>that</w:t>
      </w:r>
      <w:r>
        <w:rPr>
          <w:spacing w:val="-11"/>
        </w:rPr>
        <w:t> </w:t>
      </w:r>
      <w:r>
        <w:rPr/>
        <w:t>include</w:t>
      </w:r>
      <w:r>
        <w:rPr>
          <w:spacing w:val="-9"/>
        </w:rPr>
        <w:t> </w:t>
      </w:r>
      <w:r>
        <w:rPr/>
        <w:t>questions</w:t>
      </w:r>
      <w:r>
        <w:rPr>
          <w:spacing w:val="-10"/>
        </w:rPr>
        <w:t> </w:t>
      </w:r>
      <w:r>
        <w:rPr/>
        <w:t>on</w:t>
      </w:r>
      <w:r>
        <w:rPr>
          <w:spacing w:val="-9"/>
        </w:rPr>
        <w:t> </w:t>
      </w:r>
      <w:r>
        <w:rPr/>
        <w:t>gender</w:t>
      </w:r>
      <w:r>
        <w:rPr>
          <w:spacing w:val="-10"/>
        </w:rPr>
        <w:t> </w:t>
      </w:r>
      <w:r>
        <w:rPr/>
        <w:t>identity,</w:t>
      </w:r>
      <w:r>
        <w:rPr>
          <w:spacing w:val="-9"/>
        </w:rPr>
        <w:t> </w:t>
      </w:r>
      <w:r>
        <w:rPr/>
        <w:t>sex</w:t>
      </w:r>
      <w:r>
        <w:rPr>
          <w:spacing w:val="-11"/>
        </w:rPr>
        <w:t> </w:t>
      </w:r>
      <w:r>
        <w:rPr/>
        <w:t>assigned</w:t>
      </w:r>
      <w:r>
        <w:rPr>
          <w:spacing w:val="-9"/>
        </w:rPr>
        <w:t> </w:t>
      </w:r>
      <w:r>
        <w:rPr/>
        <w:t>at</w:t>
      </w:r>
      <w:r>
        <w:rPr>
          <w:spacing w:val="-11"/>
        </w:rPr>
        <w:t> </w:t>
      </w:r>
      <w:r>
        <w:rPr/>
        <w:t>birth,</w:t>
      </w:r>
      <w:r>
        <w:rPr>
          <w:spacing w:val="-10"/>
        </w:rPr>
        <w:t> </w:t>
      </w:r>
      <w:r>
        <w:rPr/>
        <w:t>and sexual</w:t>
      </w:r>
      <w:r>
        <w:rPr>
          <w:spacing w:val="-4"/>
        </w:rPr>
        <w:t> </w:t>
      </w:r>
      <w:r>
        <w:rPr/>
        <w:t>orientation</w:t>
      </w:r>
      <w:r>
        <w:rPr>
          <w:spacing w:val="-4"/>
        </w:rPr>
        <w:t> </w:t>
      </w:r>
      <w:r>
        <w:rPr/>
        <w:t>which</w:t>
      </w:r>
      <w:r>
        <w:rPr>
          <w:spacing w:val="-3"/>
        </w:rPr>
        <w:t> </w:t>
      </w:r>
      <w:r>
        <w:rPr/>
        <w:t>should</w:t>
      </w:r>
      <w:r>
        <w:rPr>
          <w:spacing w:val="-3"/>
        </w:rPr>
        <w:t> </w:t>
      </w:r>
      <w:r>
        <w:rPr/>
        <w:t>be</w:t>
      </w:r>
      <w:r>
        <w:rPr>
          <w:spacing w:val="-3"/>
        </w:rPr>
        <w:t> </w:t>
      </w:r>
      <w:r>
        <w:rPr/>
        <w:t>reinforced</w:t>
      </w:r>
      <w:r>
        <w:rPr>
          <w:spacing w:val="-3"/>
        </w:rPr>
        <w:t> </w:t>
      </w:r>
      <w:r>
        <w:rPr/>
        <w:t>by</w:t>
      </w:r>
      <w:r>
        <w:rPr>
          <w:spacing w:val="-3"/>
        </w:rPr>
        <w:t> </w:t>
      </w:r>
      <w:r>
        <w:rPr/>
        <w:t>proper</w:t>
      </w:r>
      <w:r>
        <w:rPr>
          <w:spacing w:val="-3"/>
        </w:rPr>
        <w:t> </w:t>
      </w:r>
      <w:r>
        <w:rPr/>
        <w:t>training</w:t>
      </w:r>
      <w:r>
        <w:rPr>
          <w:spacing w:val="-4"/>
        </w:rPr>
        <w:t> </w:t>
      </w:r>
      <w:r>
        <w:rPr/>
        <w:t>of</w:t>
      </w:r>
      <w:r>
        <w:rPr>
          <w:spacing w:val="-4"/>
        </w:rPr>
        <w:t> </w:t>
      </w:r>
      <w:r>
        <w:rPr/>
        <w:t>healthcare</w:t>
      </w:r>
      <w:r>
        <w:rPr>
          <w:spacing w:val="-2"/>
        </w:rPr>
        <w:t> </w:t>
      </w:r>
      <w:r>
        <w:rPr/>
        <w:t>providers</w:t>
      </w:r>
      <w:r>
        <w:rPr>
          <w:spacing w:val="-4"/>
        </w:rPr>
        <w:t> </w:t>
      </w:r>
      <w:r>
        <w:rPr/>
        <w:t>on</w:t>
      </w:r>
      <w:r>
        <w:rPr>
          <w:spacing w:val="-2"/>
        </w:rPr>
        <w:t> </w:t>
      </w:r>
      <w:r>
        <w:rPr/>
        <w:t>the</w:t>
      </w:r>
      <w:r>
        <w:rPr>
          <w:spacing w:val="-3"/>
        </w:rPr>
        <w:t> </w:t>
      </w:r>
      <w:r>
        <w:rPr/>
        <w:t>uses</w:t>
      </w:r>
      <w:r>
        <w:rPr>
          <w:spacing w:val="-3"/>
        </w:rPr>
        <w:t> </w:t>
      </w:r>
      <w:r>
        <w:rPr/>
        <w:t>and importance of these questions. The Commission also recommends updating MassHealth computer systems to include the option of ‘non-binary’ under ‘sex’.</w:t>
      </w:r>
    </w:p>
    <w:p>
      <w:pPr>
        <w:pStyle w:val="BodyText"/>
        <w:spacing w:line="276" w:lineRule="auto" w:before="239"/>
        <w:ind w:left="482" w:right="340"/>
        <w:jc w:val="both"/>
      </w:pPr>
      <w:r>
        <w:rPr/>
        <w:t>As</w:t>
      </w:r>
      <w:r>
        <w:rPr>
          <w:spacing w:val="-8"/>
        </w:rPr>
        <w:t> </w:t>
      </w:r>
      <w:r>
        <w:rPr/>
        <w:t>reporting</w:t>
      </w:r>
      <w:r>
        <w:rPr>
          <w:spacing w:val="-8"/>
        </w:rPr>
        <w:t> </w:t>
      </w:r>
      <w:r>
        <w:rPr/>
        <w:t>laws</w:t>
      </w:r>
      <w:r>
        <w:rPr>
          <w:spacing w:val="-8"/>
        </w:rPr>
        <w:t> </w:t>
      </w:r>
      <w:r>
        <w:rPr/>
        <w:t>require</w:t>
      </w:r>
      <w:r>
        <w:rPr>
          <w:spacing w:val="-8"/>
        </w:rPr>
        <w:t> </w:t>
      </w:r>
      <w:r>
        <w:rPr/>
        <w:t>data</w:t>
      </w:r>
      <w:r>
        <w:rPr>
          <w:spacing w:val="-9"/>
        </w:rPr>
        <w:t> </w:t>
      </w:r>
      <w:r>
        <w:rPr/>
        <w:t>to</w:t>
      </w:r>
      <w:r>
        <w:rPr>
          <w:spacing w:val="-8"/>
        </w:rPr>
        <w:t> </w:t>
      </w:r>
      <w:r>
        <w:rPr/>
        <w:t>be</w:t>
      </w:r>
      <w:r>
        <w:rPr>
          <w:spacing w:val="-8"/>
        </w:rPr>
        <w:t> </w:t>
      </w:r>
      <w:r>
        <w:rPr/>
        <w:t>sent</w:t>
      </w:r>
      <w:r>
        <w:rPr>
          <w:spacing w:val="-8"/>
        </w:rPr>
        <w:t> </w:t>
      </w:r>
      <w:r>
        <w:rPr/>
        <w:t>to</w:t>
      </w:r>
      <w:r>
        <w:rPr>
          <w:spacing w:val="-8"/>
        </w:rPr>
        <w:t> </w:t>
      </w:r>
      <w:r>
        <w:rPr/>
        <w:t>the</w:t>
      </w:r>
      <w:r>
        <w:rPr>
          <w:spacing w:val="-9"/>
        </w:rPr>
        <w:t> </w:t>
      </w:r>
      <w:r>
        <w:rPr/>
        <w:t>federal</w:t>
      </w:r>
      <w:r>
        <w:rPr>
          <w:spacing w:val="-9"/>
        </w:rPr>
        <w:t> </w:t>
      </w:r>
      <w:r>
        <w:rPr/>
        <w:t>government,</w:t>
      </w:r>
      <w:r>
        <w:rPr>
          <w:spacing w:val="-9"/>
        </w:rPr>
        <w:t> </w:t>
      </w:r>
      <w:r>
        <w:rPr/>
        <w:t>there</w:t>
      </w:r>
      <w:r>
        <w:rPr>
          <w:spacing w:val="-8"/>
        </w:rPr>
        <w:t> </w:t>
      </w:r>
      <w:r>
        <w:rPr/>
        <w:t>is</w:t>
      </w:r>
      <w:r>
        <w:rPr>
          <w:spacing w:val="-8"/>
        </w:rPr>
        <w:t> </w:t>
      </w:r>
      <w:r>
        <w:rPr/>
        <w:t>the</w:t>
      </w:r>
      <w:r>
        <w:rPr>
          <w:spacing w:val="-8"/>
        </w:rPr>
        <w:t> </w:t>
      </w:r>
      <w:r>
        <w:rPr/>
        <w:t>challenge</w:t>
      </w:r>
      <w:r>
        <w:rPr>
          <w:spacing w:val="-9"/>
        </w:rPr>
        <w:t> </w:t>
      </w:r>
      <w:r>
        <w:rPr/>
        <w:t>of</w:t>
      </w:r>
      <w:r>
        <w:rPr>
          <w:spacing w:val="-9"/>
        </w:rPr>
        <w:t> </w:t>
      </w:r>
      <w:r>
        <w:rPr/>
        <w:t>federal</w:t>
      </w:r>
      <w:r>
        <w:rPr>
          <w:spacing w:val="-9"/>
        </w:rPr>
        <w:t> </w:t>
      </w:r>
      <w:r>
        <w:rPr/>
        <w:t>laws that allow only binary Male/Female categorical selections for sex. In order to support the counting and inclusion of LGBTQ identities in the healthcare system, the Commission strongly recommends that MassHealth add a disclaimer or explanation to all data collection efforts to clarify that federal guidelines require</w:t>
      </w:r>
      <w:r>
        <w:rPr>
          <w:spacing w:val="-6"/>
        </w:rPr>
        <w:t> </w:t>
      </w:r>
      <w:r>
        <w:rPr/>
        <w:t>this</w:t>
      </w:r>
      <w:r>
        <w:rPr>
          <w:spacing w:val="-6"/>
        </w:rPr>
        <w:t> </w:t>
      </w:r>
      <w:r>
        <w:rPr/>
        <w:t>information</w:t>
      </w:r>
      <w:r>
        <w:rPr>
          <w:spacing w:val="-8"/>
        </w:rPr>
        <w:t> </w:t>
      </w:r>
      <w:r>
        <w:rPr/>
        <w:t>and</w:t>
      </w:r>
      <w:r>
        <w:rPr>
          <w:spacing w:val="-7"/>
        </w:rPr>
        <w:t> </w:t>
      </w:r>
      <w:r>
        <w:rPr/>
        <w:t>that</w:t>
      </w:r>
      <w:r>
        <w:rPr>
          <w:spacing w:val="-7"/>
        </w:rPr>
        <w:t> </w:t>
      </w:r>
      <w:r>
        <w:rPr/>
        <w:t>MassHealth</w:t>
      </w:r>
      <w:r>
        <w:rPr>
          <w:spacing w:val="-7"/>
        </w:rPr>
        <w:t> </w:t>
      </w:r>
      <w:r>
        <w:rPr/>
        <w:t>recognizes</w:t>
      </w:r>
      <w:r>
        <w:rPr>
          <w:spacing w:val="-6"/>
        </w:rPr>
        <w:t> </w:t>
      </w:r>
      <w:r>
        <w:rPr/>
        <w:t>the</w:t>
      </w:r>
      <w:r>
        <w:rPr>
          <w:spacing w:val="-6"/>
        </w:rPr>
        <w:t> </w:t>
      </w:r>
      <w:r>
        <w:rPr/>
        <w:t>need</w:t>
      </w:r>
      <w:r>
        <w:rPr>
          <w:spacing w:val="-8"/>
        </w:rPr>
        <w:t> </w:t>
      </w:r>
      <w:r>
        <w:rPr/>
        <w:t>for</w:t>
      </w:r>
      <w:r>
        <w:rPr>
          <w:spacing w:val="-6"/>
        </w:rPr>
        <w:t> </w:t>
      </w:r>
      <w:r>
        <w:rPr/>
        <w:t>better</w:t>
      </w:r>
      <w:r>
        <w:rPr>
          <w:spacing w:val="-6"/>
        </w:rPr>
        <w:t> </w:t>
      </w:r>
      <w:r>
        <w:rPr/>
        <w:t>categorizations.</w:t>
      </w:r>
      <w:r>
        <w:rPr>
          <w:spacing w:val="-8"/>
        </w:rPr>
        <w:t> </w:t>
      </w:r>
      <w:r>
        <w:rPr/>
        <w:t>MassHealth noted in its May 2022 report that additional challenges lie in determining applicable best practices for SOGIE data collection and working with existing IT barriers. However, it additionally noted that this recommendation is a top priority for the MassHealth Health Equity Alignment Team.</w:t>
      </w:r>
    </w:p>
    <w:p>
      <w:pPr>
        <w:pStyle w:val="BodyText"/>
        <w:spacing w:line="276" w:lineRule="auto" w:before="240"/>
        <w:ind w:left="482" w:right="342"/>
        <w:jc w:val="both"/>
      </w:pPr>
      <w:r>
        <w:rPr/>
        <w:t>The</w:t>
      </w:r>
      <w:r>
        <w:rPr>
          <w:spacing w:val="-1"/>
        </w:rPr>
        <w:t> </w:t>
      </w:r>
      <w:r>
        <w:rPr/>
        <w:t>Commission</w:t>
      </w:r>
      <w:r>
        <w:rPr>
          <w:spacing w:val="-1"/>
        </w:rPr>
        <w:t> </w:t>
      </w:r>
      <w:r>
        <w:rPr/>
        <w:t>further recommends that</w:t>
      </w:r>
      <w:r>
        <w:rPr>
          <w:spacing w:val="-1"/>
        </w:rPr>
        <w:t> </w:t>
      </w:r>
      <w:r>
        <w:rPr/>
        <w:t>MassHealth</w:t>
      </w:r>
      <w:r>
        <w:rPr>
          <w:spacing w:val="-1"/>
        </w:rPr>
        <w:t> </w:t>
      </w:r>
      <w:r>
        <w:rPr/>
        <w:t>partner with</w:t>
      </w:r>
      <w:r>
        <w:rPr>
          <w:spacing w:val="-1"/>
        </w:rPr>
        <w:t> </w:t>
      </w:r>
      <w:r>
        <w:rPr/>
        <w:t>community organizations and</w:t>
      </w:r>
      <w:r>
        <w:rPr>
          <w:spacing w:val="-1"/>
        </w:rPr>
        <w:t> </w:t>
      </w:r>
      <w:r>
        <w:rPr/>
        <w:t>other state</w:t>
      </w:r>
      <w:r>
        <w:rPr>
          <w:spacing w:val="-2"/>
        </w:rPr>
        <w:t> </w:t>
      </w:r>
      <w:r>
        <w:rPr/>
        <w:t>agencies</w:t>
      </w:r>
      <w:r>
        <w:rPr>
          <w:spacing w:val="-2"/>
        </w:rPr>
        <w:t> </w:t>
      </w:r>
      <w:r>
        <w:rPr/>
        <w:t>-</w:t>
      </w:r>
      <w:r>
        <w:rPr>
          <w:spacing w:val="-2"/>
        </w:rPr>
        <w:t> </w:t>
      </w:r>
      <w:r>
        <w:rPr/>
        <w:t>particularly</w:t>
      </w:r>
      <w:r>
        <w:rPr>
          <w:spacing w:val="-2"/>
        </w:rPr>
        <w:t> </w:t>
      </w:r>
      <w:r>
        <w:rPr/>
        <w:t>DMH</w:t>
      </w:r>
      <w:r>
        <w:rPr>
          <w:spacing w:val="-2"/>
        </w:rPr>
        <w:t> </w:t>
      </w:r>
      <w:r>
        <w:rPr/>
        <w:t>-</w:t>
      </w:r>
      <w:r>
        <w:rPr>
          <w:spacing w:val="-1"/>
        </w:rPr>
        <w:t> </w:t>
      </w:r>
      <w:r>
        <w:rPr/>
        <w:t>to</w:t>
      </w:r>
      <w:r>
        <w:rPr>
          <w:spacing w:val="-1"/>
        </w:rPr>
        <w:t> </w:t>
      </w:r>
      <w:r>
        <w:rPr/>
        <w:t>develop</w:t>
      </w:r>
      <w:r>
        <w:rPr>
          <w:spacing w:val="-2"/>
        </w:rPr>
        <w:t> </w:t>
      </w:r>
      <w:r>
        <w:rPr/>
        <w:t>guidelines</w:t>
      </w:r>
      <w:r>
        <w:rPr>
          <w:spacing w:val="-1"/>
        </w:rPr>
        <w:t> </w:t>
      </w:r>
      <w:r>
        <w:rPr/>
        <w:t>for</w:t>
      </w:r>
      <w:r>
        <w:rPr>
          <w:spacing w:val="-2"/>
        </w:rPr>
        <w:t> </w:t>
      </w:r>
      <w:r>
        <w:rPr/>
        <w:t>pediatric</w:t>
      </w:r>
      <w:r>
        <w:rPr>
          <w:spacing w:val="-1"/>
        </w:rPr>
        <w:t> </w:t>
      </w:r>
      <w:r>
        <w:rPr/>
        <w:t>providers</w:t>
      </w:r>
      <w:r>
        <w:rPr>
          <w:spacing w:val="-1"/>
        </w:rPr>
        <w:t> </w:t>
      </w:r>
      <w:r>
        <w:rPr/>
        <w:t>on</w:t>
      </w:r>
      <w:r>
        <w:rPr>
          <w:spacing w:val="-2"/>
        </w:rPr>
        <w:t> </w:t>
      </w:r>
      <w:r>
        <w:rPr/>
        <w:t>SOGIE</w:t>
      </w:r>
      <w:r>
        <w:rPr>
          <w:spacing w:val="-1"/>
        </w:rPr>
        <w:t> </w:t>
      </w:r>
      <w:r>
        <w:rPr/>
        <w:t>data</w:t>
      </w:r>
      <w:r>
        <w:rPr>
          <w:spacing w:val="-2"/>
        </w:rPr>
        <w:t> </w:t>
      </w:r>
      <w:r>
        <w:rPr/>
        <w:t>collection practices where there is a risk of outing youth, or caregivers are answering on behalf of youth.</w:t>
      </w:r>
    </w:p>
    <w:p>
      <w:pPr>
        <w:spacing w:after="0" w:line="276" w:lineRule="auto"/>
        <w:jc w:val="both"/>
        <w:sectPr>
          <w:pgSz w:w="12240" w:h="15840"/>
          <w:pgMar w:header="804" w:footer="1263" w:top="1000" w:bottom="1460" w:left="960" w:right="1100"/>
        </w:sectPr>
      </w:pPr>
    </w:p>
    <w:p>
      <w:pPr>
        <w:pStyle w:val="BodyText"/>
        <w:spacing w:before="98"/>
      </w:pPr>
    </w:p>
    <w:p>
      <w:pPr>
        <w:numPr>
          <w:ilvl w:val="0"/>
          <w:numId w:val="42"/>
        </w:numPr>
        <w:tabs>
          <w:tab w:pos="481" w:val="left" w:leader="none"/>
          <w:tab w:pos="483" w:val="left" w:leader="none"/>
        </w:tabs>
        <w:spacing w:line="276" w:lineRule="auto" w:before="0"/>
        <w:ind w:left="483" w:right="340" w:hanging="360"/>
        <w:jc w:val="both"/>
        <w:rPr>
          <w:b/>
          <w:sz w:val="22"/>
        </w:rPr>
      </w:pPr>
      <w:r>
        <w:rPr>
          <w:b/>
          <w:sz w:val="22"/>
        </w:rPr>
        <w:t>Collaborate</w:t>
      </w:r>
      <w:r>
        <w:rPr>
          <w:b/>
          <w:spacing w:val="-4"/>
          <w:sz w:val="22"/>
        </w:rPr>
        <w:t> </w:t>
      </w:r>
      <w:r>
        <w:rPr>
          <w:b/>
          <w:sz w:val="22"/>
        </w:rPr>
        <w:t>with</w:t>
      </w:r>
      <w:r>
        <w:rPr>
          <w:b/>
          <w:spacing w:val="-4"/>
          <w:sz w:val="22"/>
        </w:rPr>
        <w:t> </w:t>
      </w:r>
      <w:r>
        <w:rPr>
          <w:b/>
          <w:sz w:val="22"/>
        </w:rPr>
        <w:t>the</w:t>
      </w:r>
      <w:r>
        <w:rPr>
          <w:b/>
          <w:spacing w:val="-4"/>
          <w:sz w:val="22"/>
        </w:rPr>
        <w:t> </w:t>
      </w:r>
      <w:r>
        <w:rPr>
          <w:b/>
          <w:sz w:val="22"/>
        </w:rPr>
        <w:t>Commission</w:t>
      </w:r>
      <w:r>
        <w:rPr>
          <w:b/>
          <w:spacing w:val="-4"/>
          <w:sz w:val="22"/>
        </w:rPr>
        <w:t> </w:t>
      </w:r>
      <w:r>
        <w:rPr>
          <w:b/>
          <w:sz w:val="22"/>
        </w:rPr>
        <w:t>to</w:t>
      </w:r>
      <w:r>
        <w:rPr>
          <w:b/>
          <w:spacing w:val="-3"/>
          <w:sz w:val="22"/>
        </w:rPr>
        <w:t> </w:t>
      </w:r>
      <w:r>
        <w:rPr>
          <w:b/>
          <w:sz w:val="22"/>
        </w:rPr>
        <w:t>expand</w:t>
      </w:r>
      <w:r>
        <w:rPr>
          <w:b/>
          <w:spacing w:val="-4"/>
          <w:sz w:val="22"/>
        </w:rPr>
        <w:t> </w:t>
      </w:r>
      <w:r>
        <w:rPr>
          <w:b/>
          <w:sz w:val="22"/>
        </w:rPr>
        <w:t>training</w:t>
      </w:r>
      <w:r>
        <w:rPr>
          <w:b/>
          <w:spacing w:val="-5"/>
          <w:sz w:val="22"/>
        </w:rPr>
        <w:t> </w:t>
      </w:r>
      <w:r>
        <w:rPr>
          <w:b/>
          <w:sz w:val="22"/>
        </w:rPr>
        <w:t>programs</w:t>
      </w:r>
      <w:r>
        <w:rPr>
          <w:b/>
          <w:spacing w:val="-3"/>
          <w:sz w:val="22"/>
        </w:rPr>
        <w:t> </w:t>
      </w:r>
      <w:r>
        <w:rPr>
          <w:b/>
          <w:sz w:val="22"/>
        </w:rPr>
        <w:t>to</w:t>
      </w:r>
      <w:r>
        <w:rPr>
          <w:b/>
          <w:spacing w:val="-4"/>
          <w:sz w:val="22"/>
        </w:rPr>
        <w:t> </w:t>
      </w:r>
      <w:r>
        <w:rPr>
          <w:b/>
          <w:sz w:val="22"/>
        </w:rPr>
        <w:t>all</w:t>
      </w:r>
      <w:r>
        <w:rPr>
          <w:b/>
          <w:spacing w:val="-3"/>
          <w:sz w:val="22"/>
        </w:rPr>
        <w:t> </w:t>
      </w:r>
      <w:r>
        <w:rPr>
          <w:b/>
          <w:sz w:val="22"/>
        </w:rPr>
        <w:t>workers</w:t>
      </w:r>
      <w:r>
        <w:rPr>
          <w:b/>
          <w:spacing w:val="-5"/>
          <w:sz w:val="22"/>
        </w:rPr>
        <w:t> </w:t>
      </w:r>
      <w:r>
        <w:rPr>
          <w:b/>
          <w:sz w:val="22"/>
        </w:rPr>
        <w:t>and</w:t>
      </w:r>
      <w:r>
        <w:rPr>
          <w:b/>
          <w:spacing w:val="-4"/>
          <w:sz w:val="22"/>
        </w:rPr>
        <w:t> </w:t>
      </w:r>
      <w:r>
        <w:rPr>
          <w:b/>
          <w:sz w:val="22"/>
        </w:rPr>
        <w:t>supervisors</w:t>
      </w:r>
      <w:r>
        <w:rPr>
          <w:b/>
          <w:spacing w:val="-4"/>
          <w:sz w:val="22"/>
        </w:rPr>
        <w:t> </w:t>
      </w:r>
      <w:r>
        <w:rPr>
          <w:b/>
          <w:sz w:val="22"/>
        </w:rPr>
        <w:t>on</w:t>
      </w:r>
      <w:r>
        <w:rPr>
          <w:b/>
          <w:spacing w:val="-5"/>
          <w:sz w:val="22"/>
        </w:rPr>
        <w:t> </w:t>
      </w:r>
      <w:r>
        <w:rPr>
          <w:b/>
          <w:sz w:val="22"/>
        </w:rPr>
        <w:t>issues that affect LGBTQ youth and young adults.</w:t>
      </w:r>
    </w:p>
    <w:p>
      <w:pPr>
        <w:pStyle w:val="BodyText"/>
        <w:spacing w:line="276" w:lineRule="auto" w:before="240"/>
        <w:ind w:left="483" w:right="343"/>
        <w:jc w:val="both"/>
      </w:pPr>
      <w:r>
        <w:rPr/>
        <w:t>The Commission strongly believes LGBTQ cultural humility trainings, especially concerning transgender and gender expansive youth amidst rising violence and health disparities, would be highly beneficial for MassHealth</w:t>
      </w:r>
      <w:r>
        <w:rPr>
          <w:spacing w:val="-2"/>
        </w:rPr>
        <w:t> </w:t>
      </w:r>
      <w:r>
        <w:rPr/>
        <w:t>to</w:t>
      </w:r>
      <w:r>
        <w:rPr>
          <w:spacing w:val="-1"/>
        </w:rPr>
        <w:t> </w:t>
      </w:r>
      <w:r>
        <w:rPr/>
        <w:t>establish</w:t>
      </w:r>
      <w:r>
        <w:rPr>
          <w:spacing w:val="-2"/>
        </w:rPr>
        <w:t> </w:t>
      </w:r>
      <w:r>
        <w:rPr/>
        <w:t>across</w:t>
      </w:r>
      <w:r>
        <w:rPr>
          <w:spacing w:val="-1"/>
        </w:rPr>
        <w:t> </w:t>
      </w:r>
      <w:r>
        <w:rPr/>
        <w:t>the</w:t>
      </w:r>
      <w:r>
        <w:rPr>
          <w:spacing w:val="-2"/>
        </w:rPr>
        <w:t> </w:t>
      </w:r>
      <w:r>
        <w:rPr/>
        <w:t>agency</w:t>
      </w:r>
      <w:r>
        <w:rPr>
          <w:spacing w:val="-1"/>
        </w:rPr>
        <w:t> </w:t>
      </w:r>
      <w:r>
        <w:rPr/>
        <w:t>and</w:t>
      </w:r>
      <w:r>
        <w:rPr>
          <w:spacing w:val="-2"/>
        </w:rPr>
        <w:t> </w:t>
      </w:r>
      <w:r>
        <w:rPr/>
        <w:t>all operational</w:t>
      </w:r>
      <w:r>
        <w:rPr>
          <w:spacing w:val="-2"/>
        </w:rPr>
        <w:t> </w:t>
      </w:r>
      <w:r>
        <w:rPr/>
        <w:t>regions.</w:t>
      </w:r>
      <w:r>
        <w:rPr>
          <w:spacing w:val="-2"/>
        </w:rPr>
        <w:t> </w:t>
      </w:r>
      <w:r>
        <w:rPr/>
        <w:t>Monthly staff</w:t>
      </w:r>
      <w:r>
        <w:rPr>
          <w:spacing w:val="-1"/>
        </w:rPr>
        <w:t> </w:t>
      </w:r>
      <w:r>
        <w:rPr/>
        <w:t>meetings</w:t>
      </w:r>
      <w:r>
        <w:rPr>
          <w:spacing w:val="-1"/>
        </w:rPr>
        <w:t> </w:t>
      </w:r>
      <w:r>
        <w:rPr/>
        <w:t>should</w:t>
      </w:r>
      <w:r>
        <w:rPr>
          <w:spacing w:val="-2"/>
        </w:rPr>
        <w:t> </w:t>
      </w:r>
      <w:r>
        <w:rPr/>
        <w:t>be conducted</w:t>
      </w:r>
      <w:r>
        <w:rPr>
          <w:spacing w:val="-9"/>
        </w:rPr>
        <w:t> </w:t>
      </w:r>
      <w:r>
        <w:rPr/>
        <w:t>to</w:t>
      </w:r>
      <w:r>
        <w:rPr>
          <w:spacing w:val="-7"/>
        </w:rPr>
        <w:t> </w:t>
      </w:r>
      <w:r>
        <w:rPr/>
        <w:t>review</w:t>
      </w:r>
      <w:r>
        <w:rPr>
          <w:spacing w:val="-9"/>
        </w:rPr>
        <w:t> </w:t>
      </w:r>
      <w:r>
        <w:rPr/>
        <w:t>LGBTQ</w:t>
      </w:r>
      <w:r>
        <w:rPr>
          <w:spacing w:val="-9"/>
        </w:rPr>
        <w:t> </w:t>
      </w:r>
      <w:r>
        <w:rPr/>
        <w:t>content</w:t>
      </w:r>
      <w:r>
        <w:rPr>
          <w:spacing w:val="-8"/>
        </w:rPr>
        <w:t> </w:t>
      </w:r>
      <w:r>
        <w:rPr/>
        <w:t>and</w:t>
      </w:r>
      <w:r>
        <w:rPr>
          <w:spacing w:val="-9"/>
        </w:rPr>
        <w:t> </w:t>
      </w:r>
      <w:r>
        <w:rPr/>
        <w:t>knowledge</w:t>
      </w:r>
      <w:r>
        <w:rPr>
          <w:spacing w:val="-8"/>
        </w:rPr>
        <w:t> </w:t>
      </w:r>
      <w:r>
        <w:rPr/>
        <w:t>of</w:t>
      </w:r>
      <w:r>
        <w:rPr>
          <w:spacing w:val="-9"/>
        </w:rPr>
        <w:t> </w:t>
      </w:r>
      <w:r>
        <w:rPr/>
        <w:t>resource</w:t>
      </w:r>
      <w:r>
        <w:rPr>
          <w:spacing w:val="-9"/>
        </w:rPr>
        <w:t> </w:t>
      </w:r>
      <w:r>
        <w:rPr/>
        <w:t>access,</w:t>
      </w:r>
      <w:r>
        <w:rPr>
          <w:spacing w:val="-8"/>
        </w:rPr>
        <w:t> </w:t>
      </w:r>
      <w:r>
        <w:rPr/>
        <w:t>and</w:t>
      </w:r>
      <w:r>
        <w:rPr>
          <w:spacing w:val="-8"/>
        </w:rPr>
        <w:t> </w:t>
      </w:r>
      <w:r>
        <w:rPr/>
        <w:t>training</w:t>
      </w:r>
      <w:r>
        <w:rPr>
          <w:spacing w:val="-9"/>
        </w:rPr>
        <w:t> </w:t>
      </w:r>
      <w:r>
        <w:rPr/>
        <w:t>should</w:t>
      </w:r>
      <w:r>
        <w:rPr>
          <w:spacing w:val="-8"/>
        </w:rPr>
        <w:t> </w:t>
      </w:r>
      <w:r>
        <w:rPr/>
        <w:t>be</w:t>
      </w:r>
      <w:r>
        <w:rPr>
          <w:spacing w:val="-9"/>
        </w:rPr>
        <w:t> </w:t>
      </w:r>
      <w:r>
        <w:rPr/>
        <w:t>prioritized for both MassHealth staff and its affiliate provider agencies.</w:t>
      </w:r>
    </w:p>
    <w:p>
      <w:pPr>
        <w:pStyle w:val="BodyText"/>
        <w:spacing w:line="276" w:lineRule="auto" w:before="240"/>
        <w:ind w:left="483" w:right="339"/>
        <w:jc w:val="both"/>
      </w:pPr>
      <w:r>
        <w:rPr/>
        <w:t>When examining current healthcare provider practices, MassHealth should focus on a range of topics impacting LGBTQ students in the Commonwealth. Faculty, counselors, mental health providers, and school-based clinical staff should be required to complete competency training in LGBTQ health (and particularly trans health). MassHealth</w:t>
      </w:r>
      <w:r>
        <w:rPr>
          <w:spacing w:val="-1"/>
        </w:rPr>
        <w:t> </w:t>
      </w:r>
      <w:r>
        <w:rPr/>
        <w:t>notes that</w:t>
      </w:r>
      <w:r>
        <w:rPr>
          <w:spacing w:val="-1"/>
        </w:rPr>
        <w:t> </w:t>
      </w:r>
      <w:r>
        <w:rPr/>
        <w:t>it</w:t>
      </w:r>
      <w:r>
        <w:rPr>
          <w:spacing w:val="-1"/>
        </w:rPr>
        <w:t> </w:t>
      </w:r>
      <w:r>
        <w:rPr/>
        <w:t>has been</w:t>
      </w:r>
      <w:r>
        <w:rPr>
          <w:spacing w:val="-1"/>
        </w:rPr>
        <w:t> </w:t>
      </w:r>
      <w:r>
        <w:rPr/>
        <w:t>facilitating internal</w:t>
      </w:r>
      <w:r>
        <w:rPr>
          <w:spacing w:val="-1"/>
        </w:rPr>
        <w:t> </w:t>
      </w:r>
      <w:r>
        <w:rPr/>
        <w:t>trainings for staff on</w:t>
      </w:r>
      <w:r>
        <w:rPr>
          <w:spacing w:val="-1"/>
        </w:rPr>
        <w:t> </w:t>
      </w:r>
      <w:r>
        <w:rPr/>
        <w:t>the healthcare needs of LGBTQ communities. However, the Commission continues to recommend that MassHealth should work with the Commission to address how these trainings are currently, if at all, provided and whether they are administered at the state or local level, through the Executive Office of Education, or another state agency.</w:t>
      </w:r>
    </w:p>
    <w:p>
      <w:pPr>
        <w:pStyle w:val="BodyText"/>
        <w:spacing w:line="276" w:lineRule="auto" w:before="239"/>
        <w:ind w:left="483" w:right="343"/>
        <w:jc w:val="both"/>
      </w:pPr>
      <w:r>
        <w:rPr/>
        <w:t>The</w:t>
      </w:r>
      <w:r>
        <w:rPr>
          <w:spacing w:val="-4"/>
        </w:rPr>
        <w:t> </w:t>
      </w:r>
      <w:r>
        <w:rPr/>
        <w:t>Commission</w:t>
      </w:r>
      <w:r>
        <w:rPr>
          <w:spacing w:val="-4"/>
        </w:rPr>
        <w:t> </w:t>
      </w:r>
      <w:r>
        <w:rPr/>
        <w:t>further</w:t>
      </w:r>
      <w:r>
        <w:rPr>
          <w:spacing w:val="-4"/>
        </w:rPr>
        <w:t> </w:t>
      </w:r>
      <w:r>
        <w:rPr/>
        <w:t>recommends</w:t>
      </w:r>
      <w:r>
        <w:rPr>
          <w:spacing w:val="-2"/>
        </w:rPr>
        <w:t> </w:t>
      </w:r>
      <w:r>
        <w:rPr/>
        <w:t>that</w:t>
      </w:r>
      <w:r>
        <w:rPr>
          <w:spacing w:val="-4"/>
        </w:rPr>
        <w:t> </w:t>
      </w:r>
      <w:r>
        <w:rPr/>
        <w:t>MassHealth</w:t>
      </w:r>
      <w:r>
        <w:rPr>
          <w:spacing w:val="-4"/>
        </w:rPr>
        <w:t> </w:t>
      </w:r>
      <w:r>
        <w:rPr/>
        <w:t>implement</w:t>
      </w:r>
      <w:r>
        <w:rPr>
          <w:spacing w:val="-2"/>
        </w:rPr>
        <w:t> </w:t>
      </w:r>
      <w:r>
        <w:rPr/>
        <w:t>guidance</w:t>
      </w:r>
      <w:r>
        <w:rPr>
          <w:spacing w:val="-4"/>
        </w:rPr>
        <w:t> </w:t>
      </w:r>
      <w:r>
        <w:rPr/>
        <w:t>for</w:t>
      </w:r>
      <w:r>
        <w:rPr>
          <w:spacing w:val="-2"/>
        </w:rPr>
        <w:t> </w:t>
      </w:r>
      <w:r>
        <w:rPr/>
        <w:t>school-based</w:t>
      </w:r>
      <w:r>
        <w:rPr>
          <w:spacing w:val="-3"/>
        </w:rPr>
        <w:t> </w:t>
      </w:r>
      <w:r>
        <w:rPr/>
        <w:t>counselors and mental health clinicians to provide support to students as well as their families, including on how to assist families in supporting their trans children. School-based providers can play a large role in creating safe school environments, and they should be guided in best practices for referring children or making recommendations for gender-affirming care, depending on student needs. Additionally, there is ample room for MassHealth to spearhead and/or support initiatives around gender inclusivity and trans health awareness for students, staff, families, and communities.</w:t>
      </w:r>
    </w:p>
    <w:p>
      <w:pPr>
        <w:numPr>
          <w:ilvl w:val="0"/>
          <w:numId w:val="42"/>
        </w:numPr>
        <w:tabs>
          <w:tab w:pos="481" w:val="left" w:leader="none"/>
          <w:tab w:pos="483" w:val="left" w:leader="none"/>
        </w:tabs>
        <w:spacing w:line="276" w:lineRule="auto" w:before="240"/>
        <w:ind w:left="483" w:right="344" w:hanging="360"/>
        <w:jc w:val="both"/>
        <w:rPr>
          <w:b/>
          <w:sz w:val="22"/>
        </w:rPr>
      </w:pPr>
      <w:r>
        <w:rPr>
          <w:b/>
          <w:sz w:val="22"/>
        </w:rPr>
        <w:t>Improve</w:t>
      </w:r>
      <w:r>
        <w:rPr>
          <w:b/>
          <w:spacing w:val="-9"/>
          <w:sz w:val="22"/>
        </w:rPr>
        <w:t> </w:t>
      </w:r>
      <w:r>
        <w:rPr>
          <w:b/>
          <w:sz w:val="22"/>
        </w:rPr>
        <w:t>interagency</w:t>
      </w:r>
      <w:r>
        <w:rPr>
          <w:b/>
          <w:spacing w:val="-8"/>
          <w:sz w:val="22"/>
        </w:rPr>
        <w:t> </w:t>
      </w:r>
      <w:r>
        <w:rPr>
          <w:b/>
          <w:sz w:val="22"/>
        </w:rPr>
        <w:t>work</w:t>
      </w:r>
      <w:r>
        <w:rPr>
          <w:b/>
          <w:spacing w:val="-8"/>
          <w:sz w:val="22"/>
        </w:rPr>
        <w:t> </w:t>
      </w:r>
      <w:r>
        <w:rPr>
          <w:b/>
          <w:sz w:val="22"/>
        </w:rPr>
        <w:t>to</w:t>
      </w:r>
      <w:r>
        <w:rPr>
          <w:b/>
          <w:spacing w:val="-9"/>
          <w:sz w:val="22"/>
        </w:rPr>
        <w:t> </w:t>
      </w:r>
      <w:r>
        <w:rPr>
          <w:b/>
          <w:sz w:val="22"/>
        </w:rPr>
        <w:t>support</w:t>
      </w:r>
      <w:r>
        <w:rPr>
          <w:b/>
          <w:spacing w:val="-9"/>
          <w:sz w:val="22"/>
        </w:rPr>
        <w:t> </w:t>
      </w:r>
      <w:r>
        <w:rPr>
          <w:b/>
          <w:sz w:val="22"/>
        </w:rPr>
        <w:t>“warm</w:t>
      </w:r>
      <w:r>
        <w:rPr>
          <w:b/>
          <w:spacing w:val="-7"/>
          <w:sz w:val="22"/>
        </w:rPr>
        <w:t> </w:t>
      </w:r>
      <w:r>
        <w:rPr>
          <w:b/>
          <w:sz w:val="22"/>
        </w:rPr>
        <w:t>hand-offs”</w:t>
      </w:r>
      <w:r>
        <w:rPr>
          <w:b/>
          <w:spacing w:val="-9"/>
          <w:sz w:val="22"/>
        </w:rPr>
        <w:t> </w:t>
      </w:r>
      <w:r>
        <w:rPr>
          <w:b/>
          <w:sz w:val="22"/>
        </w:rPr>
        <w:t>for</w:t>
      </w:r>
      <w:r>
        <w:rPr>
          <w:b/>
          <w:spacing w:val="-6"/>
          <w:sz w:val="22"/>
        </w:rPr>
        <w:t> </w:t>
      </w:r>
      <w:r>
        <w:rPr>
          <w:b/>
          <w:sz w:val="22"/>
        </w:rPr>
        <w:t>transition-aged</w:t>
      </w:r>
      <w:r>
        <w:rPr>
          <w:b/>
          <w:spacing w:val="-10"/>
          <w:sz w:val="22"/>
        </w:rPr>
        <w:t> </w:t>
      </w:r>
      <w:r>
        <w:rPr>
          <w:b/>
          <w:sz w:val="22"/>
        </w:rPr>
        <w:t>youth</w:t>
      </w:r>
      <w:r>
        <w:rPr>
          <w:b/>
          <w:spacing w:val="-8"/>
          <w:sz w:val="22"/>
        </w:rPr>
        <w:t> </w:t>
      </w:r>
      <w:r>
        <w:rPr>
          <w:b/>
          <w:sz w:val="22"/>
        </w:rPr>
        <w:t>attempting</w:t>
      </w:r>
      <w:r>
        <w:rPr>
          <w:b/>
          <w:spacing w:val="-8"/>
          <w:sz w:val="22"/>
        </w:rPr>
        <w:t> </w:t>
      </w:r>
      <w:r>
        <w:rPr>
          <w:b/>
          <w:sz w:val="22"/>
        </w:rPr>
        <w:t>to</w:t>
      </w:r>
      <w:r>
        <w:rPr>
          <w:b/>
          <w:spacing w:val="-9"/>
          <w:sz w:val="22"/>
        </w:rPr>
        <w:t> </w:t>
      </w:r>
      <w:r>
        <w:rPr>
          <w:b/>
          <w:sz w:val="22"/>
        </w:rPr>
        <w:t>access services in partnership with other youth-serving state agencies to ensure that the health needs of LGBTQ youth are being met.</w:t>
      </w:r>
    </w:p>
    <w:p>
      <w:pPr>
        <w:pStyle w:val="BodyText"/>
        <w:spacing w:line="276" w:lineRule="auto" w:before="240"/>
        <w:ind w:left="483" w:right="343"/>
        <w:jc w:val="both"/>
      </w:pPr>
      <w:r>
        <w:rPr/>
        <w:t>Over the course of this annual report, the Commission has detailed the necessity of youth-serving state entities collaborating on a macro-level to ensure that the needs of youth are not following through systemic</w:t>
      </w:r>
      <w:r>
        <w:rPr>
          <w:spacing w:val="-4"/>
        </w:rPr>
        <w:t> </w:t>
      </w:r>
      <w:r>
        <w:rPr/>
        <w:t>cracks.</w:t>
      </w:r>
      <w:r>
        <w:rPr>
          <w:spacing w:val="-5"/>
        </w:rPr>
        <w:t> </w:t>
      </w:r>
      <w:r>
        <w:rPr/>
        <w:t>MassHealth</w:t>
      </w:r>
      <w:r>
        <w:rPr>
          <w:spacing w:val="-5"/>
        </w:rPr>
        <w:t> </w:t>
      </w:r>
      <w:r>
        <w:rPr/>
        <w:t>notes</w:t>
      </w:r>
      <w:r>
        <w:rPr>
          <w:spacing w:val="-5"/>
        </w:rPr>
        <w:t> </w:t>
      </w:r>
      <w:r>
        <w:rPr/>
        <w:t>that</w:t>
      </w:r>
      <w:r>
        <w:rPr>
          <w:spacing w:val="-4"/>
        </w:rPr>
        <w:t> </w:t>
      </w:r>
      <w:r>
        <w:rPr/>
        <w:t>it</w:t>
      </w:r>
      <w:r>
        <w:rPr>
          <w:spacing w:val="-5"/>
        </w:rPr>
        <w:t> </w:t>
      </w:r>
      <w:r>
        <w:rPr/>
        <w:t>has</w:t>
      </w:r>
      <w:r>
        <w:rPr>
          <w:spacing w:val="-5"/>
        </w:rPr>
        <w:t> </w:t>
      </w:r>
      <w:r>
        <w:rPr/>
        <w:t>previously</w:t>
      </w:r>
      <w:r>
        <w:rPr>
          <w:spacing w:val="-5"/>
        </w:rPr>
        <w:t> </w:t>
      </w:r>
      <w:r>
        <w:rPr/>
        <w:t>collaborated</w:t>
      </w:r>
      <w:r>
        <w:rPr>
          <w:spacing w:val="-5"/>
        </w:rPr>
        <w:t> </w:t>
      </w:r>
      <w:r>
        <w:rPr/>
        <w:t>with</w:t>
      </w:r>
      <w:r>
        <w:rPr>
          <w:spacing w:val="-5"/>
        </w:rPr>
        <w:t> </w:t>
      </w:r>
      <w:r>
        <w:rPr/>
        <w:t>numerous</w:t>
      </w:r>
      <w:r>
        <w:rPr>
          <w:spacing w:val="-5"/>
        </w:rPr>
        <w:t> </w:t>
      </w:r>
      <w:r>
        <w:rPr/>
        <w:t>youth-serving</w:t>
      </w:r>
      <w:r>
        <w:rPr>
          <w:spacing w:val="-5"/>
        </w:rPr>
        <w:t> </w:t>
      </w:r>
      <w:r>
        <w:rPr/>
        <w:t>state agencies, including DCF, DMH, DTA, and DYS, to develop a Housing Stabilization and Support Program (HSSP) for DCF-Involved Youth and Young Adults, which works to provide youth-centered strategies to support transition-aged youth gain access to services. Within this program, MassHealth notes that approximately 13-15% of the youth being served by the program so far have identified as LGBTQ.</w:t>
      </w:r>
    </w:p>
    <w:p>
      <w:pPr>
        <w:pStyle w:val="BodyText"/>
        <w:spacing w:line="276" w:lineRule="auto" w:before="240"/>
        <w:ind w:left="483" w:right="342"/>
        <w:jc w:val="both"/>
      </w:pPr>
      <w:r>
        <w:rPr/>
        <w:t>However,</w:t>
      </w:r>
      <w:r>
        <w:rPr>
          <w:spacing w:val="-1"/>
        </w:rPr>
        <w:t> </w:t>
      </w:r>
      <w:r>
        <w:rPr/>
        <w:t>MassHealth</w:t>
      </w:r>
      <w:r>
        <w:rPr>
          <w:spacing w:val="-1"/>
        </w:rPr>
        <w:t> </w:t>
      </w:r>
      <w:r>
        <w:rPr/>
        <w:t>notes</w:t>
      </w:r>
      <w:r>
        <w:rPr>
          <w:spacing w:val="-1"/>
        </w:rPr>
        <w:t> </w:t>
      </w:r>
      <w:r>
        <w:rPr/>
        <w:t>that</w:t>
      </w:r>
      <w:r>
        <w:rPr>
          <w:spacing w:val="-2"/>
        </w:rPr>
        <w:t> </w:t>
      </w:r>
      <w:r>
        <w:rPr/>
        <w:t>it</w:t>
      </w:r>
      <w:r>
        <w:rPr>
          <w:spacing w:val="-1"/>
        </w:rPr>
        <w:t> </w:t>
      </w:r>
      <w:r>
        <w:rPr/>
        <w:t>does</w:t>
      </w:r>
      <w:r>
        <w:rPr>
          <w:spacing w:val="-1"/>
        </w:rPr>
        <w:t> </w:t>
      </w:r>
      <w:r>
        <w:rPr/>
        <w:t>not</w:t>
      </w:r>
      <w:r>
        <w:rPr>
          <w:spacing w:val="-1"/>
        </w:rPr>
        <w:t> </w:t>
      </w:r>
      <w:r>
        <w:rPr/>
        <w:t>currently</w:t>
      </w:r>
      <w:r>
        <w:rPr>
          <w:spacing w:val="-1"/>
        </w:rPr>
        <w:t> </w:t>
      </w:r>
      <w:r>
        <w:rPr/>
        <w:t>have any other cross-agency partnerships,</w:t>
      </w:r>
      <w:r>
        <w:rPr>
          <w:spacing w:val="-1"/>
        </w:rPr>
        <w:t> </w:t>
      </w:r>
      <w:r>
        <w:rPr/>
        <w:t>though plans to coordinate further discussions in this area as part of the office’s equity and inclusion strategic planning.</w:t>
      </w:r>
      <w:r>
        <w:rPr>
          <w:spacing w:val="-10"/>
        </w:rPr>
        <w:t> </w:t>
      </w:r>
      <w:r>
        <w:rPr/>
        <w:t>Overall,</w:t>
      </w:r>
      <w:r>
        <w:rPr>
          <w:spacing w:val="-11"/>
        </w:rPr>
        <w:t> </w:t>
      </w:r>
      <w:r>
        <w:rPr/>
        <w:t>the</w:t>
      </w:r>
      <w:r>
        <w:rPr>
          <w:spacing w:val="-10"/>
        </w:rPr>
        <w:t> </w:t>
      </w:r>
      <w:r>
        <w:rPr/>
        <w:t>Commission</w:t>
      </w:r>
      <w:r>
        <w:rPr>
          <w:spacing w:val="-11"/>
        </w:rPr>
        <w:t> </w:t>
      </w:r>
      <w:r>
        <w:rPr/>
        <w:t>recommends</w:t>
      </w:r>
      <w:r>
        <w:rPr>
          <w:spacing w:val="-10"/>
        </w:rPr>
        <w:t> </w:t>
      </w:r>
      <w:r>
        <w:rPr/>
        <w:t>that</w:t>
      </w:r>
      <w:r>
        <w:rPr>
          <w:spacing w:val="-10"/>
        </w:rPr>
        <w:t> </w:t>
      </w:r>
      <w:r>
        <w:rPr/>
        <w:t>MassHealth</w:t>
      </w:r>
      <w:r>
        <w:rPr>
          <w:spacing w:val="-9"/>
        </w:rPr>
        <w:t> </w:t>
      </w:r>
      <w:r>
        <w:rPr/>
        <w:t>explore</w:t>
      </w:r>
      <w:r>
        <w:rPr>
          <w:spacing w:val="-10"/>
        </w:rPr>
        <w:t> </w:t>
      </w:r>
      <w:r>
        <w:rPr/>
        <w:t>increasing</w:t>
      </w:r>
      <w:r>
        <w:rPr>
          <w:spacing w:val="-11"/>
        </w:rPr>
        <w:t> </w:t>
      </w:r>
      <w:r>
        <w:rPr/>
        <w:t>its</w:t>
      </w:r>
      <w:r>
        <w:rPr>
          <w:spacing w:val="-10"/>
        </w:rPr>
        <w:t> </w:t>
      </w:r>
      <w:r>
        <w:rPr/>
        <w:t>collaboration</w:t>
      </w:r>
      <w:r>
        <w:rPr>
          <w:spacing w:val="-11"/>
        </w:rPr>
        <w:t> </w:t>
      </w:r>
      <w:r>
        <w:rPr/>
        <w:t>with other</w:t>
      </w:r>
      <w:r>
        <w:rPr>
          <w:spacing w:val="30"/>
        </w:rPr>
        <w:t> </w:t>
      </w:r>
      <w:r>
        <w:rPr/>
        <w:t>youth-serving</w:t>
      </w:r>
      <w:r>
        <w:rPr>
          <w:spacing w:val="30"/>
        </w:rPr>
        <w:t> </w:t>
      </w:r>
      <w:r>
        <w:rPr/>
        <w:t>state</w:t>
      </w:r>
      <w:r>
        <w:rPr>
          <w:spacing w:val="31"/>
        </w:rPr>
        <w:t> </w:t>
      </w:r>
      <w:r>
        <w:rPr/>
        <w:t>agencies</w:t>
      </w:r>
      <w:r>
        <w:rPr>
          <w:spacing w:val="32"/>
        </w:rPr>
        <w:t> </w:t>
      </w:r>
      <w:r>
        <w:rPr/>
        <w:t>to</w:t>
      </w:r>
      <w:r>
        <w:rPr>
          <w:spacing w:val="33"/>
        </w:rPr>
        <w:t> </w:t>
      </w:r>
      <w:r>
        <w:rPr/>
        <w:t>better</w:t>
      </w:r>
      <w:r>
        <w:rPr>
          <w:spacing w:val="31"/>
        </w:rPr>
        <w:t> </w:t>
      </w:r>
      <w:r>
        <w:rPr/>
        <w:t>understand</w:t>
      </w:r>
      <w:r>
        <w:rPr>
          <w:spacing w:val="31"/>
        </w:rPr>
        <w:t> </w:t>
      </w:r>
      <w:r>
        <w:rPr/>
        <w:t>the</w:t>
      </w:r>
      <w:r>
        <w:rPr>
          <w:spacing w:val="32"/>
        </w:rPr>
        <w:t> </w:t>
      </w:r>
      <w:r>
        <w:rPr/>
        <w:t>needs</w:t>
      </w:r>
      <w:r>
        <w:rPr>
          <w:spacing w:val="30"/>
        </w:rPr>
        <w:t> </w:t>
      </w:r>
      <w:r>
        <w:rPr/>
        <w:t>and</w:t>
      </w:r>
      <w:r>
        <w:rPr>
          <w:spacing w:val="31"/>
        </w:rPr>
        <w:t> </w:t>
      </w:r>
      <w:r>
        <w:rPr/>
        <w:t>gaps</w:t>
      </w:r>
      <w:r>
        <w:rPr>
          <w:spacing w:val="32"/>
        </w:rPr>
        <w:t> </w:t>
      </w:r>
      <w:r>
        <w:rPr/>
        <w:t>in</w:t>
      </w:r>
      <w:r>
        <w:rPr>
          <w:spacing w:val="31"/>
        </w:rPr>
        <w:t> </w:t>
      </w:r>
      <w:r>
        <w:rPr/>
        <w:t>service</w:t>
      </w:r>
      <w:r>
        <w:rPr>
          <w:spacing w:val="31"/>
        </w:rPr>
        <w:t> </w:t>
      </w:r>
      <w:r>
        <w:rPr/>
        <w:t>provision</w:t>
      </w:r>
      <w:r>
        <w:rPr>
          <w:spacing w:val="30"/>
        </w:rPr>
        <w:t> </w:t>
      </w:r>
      <w:r>
        <w:rPr/>
        <w:t>for</w:t>
      </w:r>
    </w:p>
    <w:p>
      <w:pPr>
        <w:spacing w:after="0" w:line="276" w:lineRule="auto"/>
        <w:jc w:val="both"/>
        <w:sectPr>
          <w:pgSz w:w="12240" w:h="15840"/>
          <w:pgMar w:header="804" w:footer="1263" w:top="1000" w:bottom="1460" w:left="960" w:right="1100"/>
        </w:sectPr>
      </w:pPr>
    </w:p>
    <w:p>
      <w:pPr>
        <w:pStyle w:val="BodyText"/>
        <w:spacing w:before="98"/>
      </w:pPr>
    </w:p>
    <w:p>
      <w:pPr>
        <w:pStyle w:val="BodyText"/>
        <w:spacing w:line="276" w:lineRule="auto"/>
        <w:ind w:left="483" w:right="314"/>
      </w:pPr>
      <w:r>
        <w:rPr/>
        <w:t>transition-aged</w:t>
      </w:r>
      <w:r>
        <w:rPr>
          <w:spacing w:val="40"/>
        </w:rPr>
        <w:t> </w:t>
      </w:r>
      <w:r>
        <w:rPr/>
        <w:t>youth</w:t>
      </w:r>
      <w:r>
        <w:rPr>
          <w:spacing w:val="40"/>
        </w:rPr>
        <w:t> </w:t>
      </w:r>
      <w:r>
        <w:rPr/>
        <w:t>in</w:t>
      </w:r>
      <w:r>
        <w:rPr>
          <w:spacing w:val="40"/>
        </w:rPr>
        <w:t> </w:t>
      </w:r>
      <w:r>
        <w:rPr/>
        <w:t>a</w:t>
      </w:r>
      <w:r>
        <w:rPr>
          <w:spacing w:val="40"/>
        </w:rPr>
        <w:t> </w:t>
      </w:r>
      <w:r>
        <w:rPr/>
        <w:t>way</w:t>
      </w:r>
      <w:r>
        <w:rPr>
          <w:spacing w:val="40"/>
        </w:rPr>
        <w:t> </w:t>
      </w:r>
      <w:r>
        <w:rPr/>
        <w:t>that</w:t>
      </w:r>
      <w:r>
        <w:rPr>
          <w:spacing w:val="40"/>
        </w:rPr>
        <w:t> </w:t>
      </w:r>
      <w:r>
        <w:rPr/>
        <w:t>solicits</w:t>
      </w:r>
      <w:r>
        <w:rPr>
          <w:spacing w:val="40"/>
        </w:rPr>
        <w:t> </w:t>
      </w:r>
      <w:r>
        <w:rPr/>
        <w:t>feedback</w:t>
      </w:r>
      <w:r>
        <w:rPr>
          <w:spacing w:val="40"/>
        </w:rPr>
        <w:t> </w:t>
      </w:r>
      <w:r>
        <w:rPr/>
        <w:t>and</w:t>
      </w:r>
      <w:r>
        <w:rPr>
          <w:spacing w:val="40"/>
        </w:rPr>
        <w:t> </w:t>
      </w:r>
      <w:r>
        <w:rPr/>
        <w:t>engages</w:t>
      </w:r>
      <w:r>
        <w:rPr>
          <w:spacing w:val="40"/>
        </w:rPr>
        <w:t> </w:t>
      </w:r>
      <w:r>
        <w:rPr/>
        <w:t>with</w:t>
      </w:r>
      <w:r>
        <w:rPr>
          <w:spacing w:val="40"/>
        </w:rPr>
        <w:t> </w:t>
      </w:r>
      <w:r>
        <w:rPr/>
        <w:t>youth</w:t>
      </w:r>
      <w:r>
        <w:rPr>
          <w:spacing w:val="40"/>
        </w:rPr>
        <w:t> </w:t>
      </w:r>
      <w:r>
        <w:rPr/>
        <w:t>and</w:t>
      </w:r>
      <w:r>
        <w:rPr>
          <w:spacing w:val="40"/>
        </w:rPr>
        <w:t> </w:t>
      </w:r>
      <w:r>
        <w:rPr/>
        <w:t>providers,</w:t>
      </w:r>
      <w:r>
        <w:rPr>
          <w:spacing w:val="40"/>
        </w:rPr>
        <w:t> </w:t>
      </w:r>
      <w:r>
        <w:rPr/>
        <w:t>with particular attention to Western Massachusetts and Cape regions.</w:t>
      </w:r>
    </w:p>
    <w:p>
      <w:pPr>
        <w:spacing w:after="0" w:line="276" w:lineRule="auto"/>
        <w:sectPr>
          <w:pgSz w:w="12240" w:h="15840"/>
          <w:pgMar w:header="804" w:footer="1263" w:top="1000" w:bottom="1460" w:left="960" w:right="1100"/>
        </w:sectPr>
      </w:pPr>
    </w:p>
    <w:p>
      <w:pPr>
        <w:pStyle w:val="BodyText"/>
        <w:rPr>
          <w:sz w:val="20"/>
        </w:rPr>
      </w:pPr>
    </w:p>
    <w:p>
      <w:pPr>
        <w:pStyle w:val="BodyText"/>
        <w:spacing w:before="89"/>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23" name="Group 623"/>
                <wp:cNvGraphicFramePr>
                  <a:graphicFrameLocks/>
                </wp:cNvGraphicFramePr>
                <a:graphic>
                  <a:graphicData uri="http://schemas.microsoft.com/office/word/2010/wordprocessingGroup">
                    <wpg:wgp>
                      <wpg:cNvPr id="623" name="Group 623"/>
                      <wpg:cNvGrpSpPr/>
                      <wpg:grpSpPr>
                        <a:xfrm>
                          <a:off x="0" y="0"/>
                          <a:ext cx="6350" cy="12700"/>
                          <a:chExt cx="6350" cy="12700"/>
                        </a:xfrm>
                      </wpg:grpSpPr>
                      <wps:wsp>
                        <wps:cNvPr id="624" name="Graphic 624"/>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20" coordorigin="0,0" coordsize="10,20">
                <v:rect style="position:absolute;left:0;top:0;width:10;height:20" id="docshape521" filled="true" fillcolor="#4f81bb" stroked="false">
                  <v:fill type="solid"/>
                </v:rect>
              </v:group>
            </w:pict>
          </mc:Fallback>
        </mc:AlternateContent>
      </w:r>
      <w:r>
        <w:rPr>
          <w:sz w:val="2"/>
        </w:rPr>
      </w:r>
    </w:p>
    <w:p>
      <w:pPr>
        <w:pStyle w:val="Heading7"/>
        <w:spacing w:before="239"/>
        <w:ind w:left="480"/>
      </w:pPr>
      <w:bookmarkStart w:name="_bookmark638" w:id="945"/>
      <w:bookmarkEnd w:id="945"/>
      <w:r>
        <w:rPr/>
      </w:r>
      <w:hyperlink w:history="true" w:anchor="_bookmark6">
        <w:r>
          <w:rPr>
            <w:color w:val="365F91"/>
            <w:spacing w:val="-8"/>
          </w:rPr>
          <w:t>Office</w:t>
        </w:r>
        <w:r>
          <w:rPr>
            <w:color w:val="365F91"/>
            <w:spacing w:val="-12"/>
          </w:rPr>
          <w:t> </w:t>
        </w:r>
        <w:r>
          <w:rPr>
            <w:color w:val="365F91"/>
            <w:spacing w:val="-8"/>
          </w:rPr>
          <w:t>of</w:t>
        </w:r>
        <w:r>
          <w:rPr>
            <w:color w:val="365F91"/>
            <w:spacing w:val="-11"/>
          </w:rPr>
          <w:t> </w:t>
        </w:r>
        <w:r>
          <w:rPr>
            <w:color w:val="365F91"/>
            <w:spacing w:val="-8"/>
          </w:rPr>
          <w:t>Refugees</w:t>
        </w:r>
        <w:r>
          <w:rPr>
            <w:color w:val="365F91"/>
            <w:spacing w:val="-11"/>
          </w:rPr>
          <w:t> </w:t>
        </w:r>
        <w:r>
          <w:rPr>
            <w:color w:val="365F91"/>
            <w:spacing w:val="-8"/>
          </w:rPr>
          <w:t>&amp;</w:t>
        </w:r>
        <w:r>
          <w:rPr>
            <w:color w:val="365F91"/>
            <w:spacing w:val="-12"/>
          </w:rPr>
          <w:t> </w:t>
        </w:r>
        <w:r>
          <w:rPr>
            <w:color w:val="365F91"/>
            <w:spacing w:val="-8"/>
          </w:rPr>
          <w:t>Immigrants</w:t>
        </w:r>
      </w:hyperlink>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713280">
                <wp:simplePos x="0" y="0"/>
                <wp:positionH relativeFrom="page">
                  <wp:posOffset>889000</wp:posOffset>
                </wp:positionH>
                <wp:positionV relativeFrom="paragraph">
                  <wp:posOffset>260412</wp:posOffset>
                </wp:positionV>
                <wp:extent cx="6350" cy="12700"/>
                <wp:effectExtent l="0" t="0" r="0" b="0"/>
                <wp:wrapTopAndBottom/>
                <wp:docPr id="625" name="Graphic 625"/>
                <wp:cNvGraphicFramePr>
                  <a:graphicFrameLocks/>
                </wp:cNvGraphicFramePr>
                <a:graphic>
                  <a:graphicData uri="http://schemas.microsoft.com/office/word/2010/wordprocessingShape">
                    <wps:wsp>
                      <wps:cNvPr id="625" name="Graphic 625"/>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504906pt;width:.499pt;height:.96pt;mso-position-horizontal-relative:page;mso-position-vertical-relative:paragraph;z-index:-15603200;mso-wrap-distance-left:0;mso-wrap-distance-right:0" id="docshape522"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13792">
                <wp:simplePos x="0" y="0"/>
                <wp:positionH relativeFrom="page">
                  <wp:posOffset>897636</wp:posOffset>
                </wp:positionH>
                <wp:positionV relativeFrom="paragraph">
                  <wp:posOffset>44883</wp:posOffset>
                </wp:positionV>
                <wp:extent cx="5976620" cy="6350"/>
                <wp:effectExtent l="0" t="0" r="0" b="0"/>
                <wp:wrapTopAndBottom/>
                <wp:docPr id="626" name="Graphic 626"/>
                <wp:cNvGraphicFramePr>
                  <a:graphicFrameLocks/>
                </wp:cNvGraphicFramePr>
                <a:graphic>
                  <a:graphicData uri="http://schemas.microsoft.com/office/word/2010/wordprocessingShape">
                    <wps:wsp>
                      <wps:cNvPr id="626" name="Graphic 626"/>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4156pt;width:470.58pt;height:.48pt;mso-position-horizontal-relative:page;mso-position-vertical-relative:paragraph;z-index:-15602688;mso-wrap-distance-left:0;mso-wrap-distance-right:0" id="docshape523" filled="true" fillcolor="#4f81bc" stroked="false">
                <v:fill type="solid"/>
                <w10:wrap type="topAndBottom"/>
              </v:rect>
            </w:pict>
          </mc:Fallback>
        </mc:AlternateContent>
      </w:r>
    </w:p>
    <w:p>
      <w:pPr>
        <w:pStyle w:val="ListParagraph"/>
        <w:numPr>
          <w:ilvl w:val="1"/>
          <w:numId w:val="42"/>
        </w:numPr>
        <w:tabs>
          <w:tab w:pos="1201" w:val="left" w:leader="none"/>
          <w:tab w:pos="1203" w:val="left" w:leader="none"/>
        </w:tabs>
        <w:spacing w:line="276" w:lineRule="auto" w:before="241" w:after="0"/>
        <w:ind w:left="1203" w:right="345" w:hanging="361"/>
        <w:jc w:val="both"/>
        <w:rPr>
          <w:sz w:val="22"/>
        </w:rPr>
      </w:pPr>
      <w:r>
        <w:rPr>
          <w:sz w:val="22"/>
        </w:rPr>
        <w:t>Develop and execute a strategic plan to conduct direct outreach to LGBTQ immigrant youth and families across the Commonwealth.</w:t>
      </w:r>
    </w:p>
    <w:p>
      <w:pPr>
        <w:pStyle w:val="ListParagraph"/>
        <w:numPr>
          <w:ilvl w:val="1"/>
          <w:numId w:val="42"/>
        </w:numPr>
        <w:tabs>
          <w:tab w:pos="1201" w:val="left" w:leader="none"/>
          <w:tab w:pos="1203" w:val="left" w:leader="none"/>
        </w:tabs>
        <w:spacing w:line="276" w:lineRule="auto" w:before="1" w:after="0"/>
        <w:ind w:left="1203" w:right="344" w:hanging="361"/>
        <w:jc w:val="both"/>
        <w:rPr>
          <w:sz w:val="22"/>
        </w:rPr>
      </w:pPr>
      <w:r>
        <w:rPr>
          <w:sz w:val="22"/>
        </w:rPr>
        <w:t>Establish relationships with LGBTQ community partners and organizations across the Commonwealth</w:t>
      </w:r>
      <w:r>
        <w:rPr>
          <w:spacing w:val="-11"/>
          <w:sz w:val="22"/>
        </w:rPr>
        <w:t> </w:t>
      </w:r>
      <w:r>
        <w:rPr>
          <w:sz w:val="22"/>
        </w:rPr>
        <w:t>to</w:t>
      </w:r>
      <w:r>
        <w:rPr>
          <w:spacing w:val="-10"/>
          <w:sz w:val="22"/>
        </w:rPr>
        <w:t> </w:t>
      </w:r>
      <w:r>
        <w:rPr>
          <w:sz w:val="22"/>
        </w:rPr>
        <w:t>ensure</w:t>
      </w:r>
      <w:r>
        <w:rPr>
          <w:spacing w:val="-10"/>
          <w:sz w:val="22"/>
        </w:rPr>
        <w:t> </w:t>
      </w:r>
      <w:r>
        <w:rPr>
          <w:sz w:val="22"/>
        </w:rPr>
        <w:t>that</w:t>
      </w:r>
      <w:r>
        <w:rPr>
          <w:spacing w:val="-11"/>
          <w:sz w:val="22"/>
        </w:rPr>
        <w:t> </w:t>
      </w:r>
      <w:r>
        <w:rPr>
          <w:sz w:val="22"/>
        </w:rPr>
        <w:t>all</w:t>
      </w:r>
      <w:r>
        <w:rPr>
          <w:spacing w:val="-10"/>
          <w:sz w:val="22"/>
        </w:rPr>
        <w:t> </w:t>
      </w:r>
      <w:r>
        <w:rPr>
          <w:sz w:val="22"/>
        </w:rPr>
        <w:t>ORI</w:t>
      </w:r>
      <w:r>
        <w:rPr>
          <w:spacing w:val="-11"/>
          <w:sz w:val="22"/>
        </w:rPr>
        <w:t> </w:t>
      </w:r>
      <w:r>
        <w:rPr>
          <w:sz w:val="22"/>
        </w:rPr>
        <w:t>service</w:t>
      </w:r>
      <w:r>
        <w:rPr>
          <w:spacing w:val="-11"/>
          <w:sz w:val="22"/>
        </w:rPr>
        <w:t> </w:t>
      </w:r>
      <w:r>
        <w:rPr>
          <w:sz w:val="22"/>
        </w:rPr>
        <w:t>providers</w:t>
      </w:r>
      <w:r>
        <w:rPr>
          <w:spacing w:val="-10"/>
          <w:sz w:val="22"/>
        </w:rPr>
        <w:t> </w:t>
      </w:r>
      <w:r>
        <w:rPr>
          <w:sz w:val="22"/>
        </w:rPr>
        <w:t>have</w:t>
      </w:r>
      <w:r>
        <w:rPr>
          <w:spacing w:val="-11"/>
          <w:sz w:val="22"/>
        </w:rPr>
        <w:t> </w:t>
      </w:r>
      <w:r>
        <w:rPr>
          <w:sz w:val="22"/>
        </w:rPr>
        <w:t>multicultural,</w:t>
      </w:r>
      <w:r>
        <w:rPr>
          <w:spacing w:val="-11"/>
          <w:sz w:val="22"/>
        </w:rPr>
        <w:t> </w:t>
      </w:r>
      <w:r>
        <w:rPr>
          <w:sz w:val="22"/>
        </w:rPr>
        <w:t>multilingual</w:t>
      </w:r>
      <w:r>
        <w:rPr>
          <w:spacing w:val="-11"/>
          <w:sz w:val="22"/>
        </w:rPr>
        <w:t> </w:t>
      </w:r>
      <w:r>
        <w:rPr>
          <w:sz w:val="22"/>
        </w:rPr>
        <w:t>resources available on site that are regionally appropriate.</w:t>
      </w:r>
    </w:p>
    <w:p>
      <w:pPr>
        <w:pStyle w:val="ListParagraph"/>
        <w:numPr>
          <w:ilvl w:val="1"/>
          <w:numId w:val="42"/>
        </w:numPr>
        <w:tabs>
          <w:tab w:pos="1202" w:val="left" w:leader="none"/>
          <w:tab w:pos="1204" w:val="left" w:leader="none"/>
        </w:tabs>
        <w:spacing w:line="276" w:lineRule="auto" w:before="0" w:after="0"/>
        <w:ind w:left="1204" w:right="342" w:hanging="361"/>
        <w:jc w:val="both"/>
        <w:rPr>
          <w:sz w:val="22"/>
        </w:rPr>
      </w:pPr>
      <w:r>
        <w:rPr>
          <w:sz w:val="22"/>
        </w:rPr>
        <w:t>Provide consistent professional development opportunities that prioritize intersectionality and center</w:t>
      </w:r>
      <w:r>
        <w:rPr>
          <w:spacing w:val="-11"/>
          <w:sz w:val="22"/>
        </w:rPr>
        <w:t> </w:t>
      </w:r>
      <w:r>
        <w:rPr>
          <w:sz w:val="22"/>
        </w:rPr>
        <w:t>LGBTQ</w:t>
      </w:r>
      <w:r>
        <w:rPr>
          <w:spacing w:val="-10"/>
          <w:sz w:val="22"/>
        </w:rPr>
        <w:t> </w:t>
      </w:r>
      <w:r>
        <w:rPr>
          <w:sz w:val="22"/>
        </w:rPr>
        <w:t>cultural</w:t>
      </w:r>
      <w:r>
        <w:rPr>
          <w:spacing w:val="-10"/>
          <w:sz w:val="22"/>
        </w:rPr>
        <w:t> </w:t>
      </w:r>
      <w:r>
        <w:rPr>
          <w:sz w:val="22"/>
        </w:rPr>
        <w:t>engagement,</w:t>
      </w:r>
      <w:r>
        <w:rPr>
          <w:spacing w:val="-11"/>
          <w:sz w:val="22"/>
        </w:rPr>
        <w:t> </w:t>
      </w:r>
      <w:r>
        <w:rPr>
          <w:sz w:val="22"/>
        </w:rPr>
        <w:t>racial</w:t>
      </w:r>
      <w:r>
        <w:rPr>
          <w:spacing w:val="-11"/>
          <w:sz w:val="22"/>
        </w:rPr>
        <w:t> </w:t>
      </w:r>
      <w:r>
        <w:rPr>
          <w:sz w:val="22"/>
        </w:rPr>
        <w:t>equity,</w:t>
      </w:r>
      <w:r>
        <w:rPr>
          <w:spacing w:val="-11"/>
          <w:sz w:val="22"/>
        </w:rPr>
        <w:t> </w:t>
      </w:r>
      <w:r>
        <w:rPr>
          <w:sz w:val="22"/>
        </w:rPr>
        <w:t>and</w:t>
      </w:r>
      <w:r>
        <w:rPr>
          <w:spacing w:val="-10"/>
          <w:sz w:val="22"/>
        </w:rPr>
        <w:t> </w:t>
      </w:r>
      <w:r>
        <w:rPr>
          <w:sz w:val="22"/>
        </w:rPr>
        <w:t>adultism</w:t>
      </w:r>
      <w:r>
        <w:rPr>
          <w:spacing w:val="-10"/>
          <w:sz w:val="22"/>
        </w:rPr>
        <w:t> </w:t>
      </w:r>
      <w:r>
        <w:rPr>
          <w:sz w:val="22"/>
        </w:rPr>
        <w:t>for</w:t>
      </w:r>
      <w:r>
        <w:rPr>
          <w:spacing w:val="-11"/>
          <w:sz w:val="22"/>
        </w:rPr>
        <w:t> </w:t>
      </w:r>
      <w:r>
        <w:rPr>
          <w:sz w:val="22"/>
        </w:rPr>
        <w:t>staff</w:t>
      </w:r>
      <w:r>
        <w:rPr>
          <w:spacing w:val="-11"/>
          <w:sz w:val="22"/>
        </w:rPr>
        <w:t> </w:t>
      </w:r>
      <w:r>
        <w:rPr>
          <w:sz w:val="22"/>
        </w:rPr>
        <w:t>and</w:t>
      </w:r>
      <w:r>
        <w:rPr>
          <w:spacing w:val="-10"/>
          <w:sz w:val="22"/>
        </w:rPr>
        <w:t> </w:t>
      </w:r>
      <w:r>
        <w:rPr>
          <w:sz w:val="22"/>
        </w:rPr>
        <w:t>contracted</w:t>
      </w:r>
      <w:r>
        <w:rPr>
          <w:spacing w:val="-10"/>
          <w:sz w:val="22"/>
        </w:rPr>
        <w:t> </w:t>
      </w:r>
      <w:r>
        <w:rPr>
          <w:sz w:val="22"/>
        </w:rPr>
        <w:t>providers.</w:t>
      </w:r>
    </w:p>
    <w:p>
      <w:pPr>
        <w:pStyle w:val="ListParagraph"/>
        <w:numPr>
          <w:ilvl w:val="1"/>
          <w:numId w:val="42"/>
        </w:numPr>
        <w:tabs>
          <w:tab w:pos="1202" w:val="left" w:leader="none"/>
          <w:tab w:pos="1204" w:val="left" w:leader="none"/>
        </w:tabs>
        <w:spacing w:line="276" w:lineRule="auto" w:before="0" w:after="0"/>
        <w:ind w:left="1204" w:right="339" w:hanging="361"/>
        <w:jc w:val="both"/>
        <w:rPr>
          <w:sz w:val="22"/>
        </w:rPr>
      </w:pPr>
      <w:r>
        <w:rPr>
          <w:sz w:val="22"/>
        </w:rPr>
        <w:t>Establish</w:t>
      </w:r>
      <w:r>
        <w:rPr>
          <w:spacing w:val="-6"/>
          <w:sz w:val="22"/>
        </w:rPr>
        <w:t> </w:t>
      </w:r>
      <w:r>
        <w:rPr>
          <w:sz w:val="22"/>
        </w:rPr>
        <w:t>an</w:t>
      </w:r>
      <w:r>
        <w:rPr>
          <w:spacing w:val="-7"/>
          <w:sz w:val="22"/>
        </w:rPr>
        <w:t> </w:t>
      </w:r>
      <w:r>
        <w:rPr>
          <w:sz w:val="22"/>
        </w:rPr>
        <w:t>interagency</w:t>
      </w:r>
      <w:r>
        <w:rPr>
          <w:spacing w:val="-5"/>
          <w:sz w:val="22"/>
        </w:rPr>
        <w:t> </w:t>
      </w:r>
      <w:r>
        <w:rPr>
          <w:sz w:val="22"/>
        </w:rPr>
        <w:t>collaboration</w:t>
      </w:r>
      <w:r>
        <w:rPr>
          <w:spacing w:val="-6"/>
          <w:sz w:val="22"/>
        </w:rPr>
        <w:t> </w:t>
      </w:r>
      <w:r>
        <w:rPr>
          <w:sz w:val="22"/>
        </w:rPr>
        <w:t>to</w:t>
      </w:r>
      <w:r>
        <w:rPr>
          <w:spacing w:val="-6"/>
          <w:sz w:val="22"/>
        </w:rPr>
        <w:t> </w:t>
      </w:r>
      <w:r>
        <w:rPr>
          <w:sz w:val="22"/>
        </w:rPr>
        <w:t>investigate</w:t>
      </w:r>
      <w:r>
        <w:rPr>
          <w:spacing w:val="-4"/>
          <w:sz w:val="22"/>
        </w:rPr>
        <w:t> </w:t>
      </w:r>
      <w:r>
        <w:rPr>
          <w:sz w:val="22"/>
        </w:rPr>
        <w:t>and</w:t>
      </w:r>
      <w:r>
        <w:rPr>
          <w:spacing w:val="-6"/>
          <w:sz w:val="22"/>
        </w:rPr>
        <w:t> </w:t>
      </w:r>
      <w:r>
        <w:rPr>
          <w:sz w:val="22"/>
        </w:rPr>
        <w:t>improve</w:t>
      </w:r>
      <w:r>
        <w:rPr>
          <w:spacing w:val="-5"/>
          <w:sz w:val="22"/>
        </w:rPr>
        <w:t> </w:t>
      </w:r>
      <w:r>
        <w:rPr>
          <w:sz w:val="22"/>
        </w:rPr>
        <w:t>the</w:t>
      </w:r>
      <w:r>
        <w:rPr>
          <w:spacing w:val="-6"/>
          <w:sz w:val="22"/>
        </w:rPr>
        <w:t> </w:t>
      </w:r>
      <w:r>
        <w:rPr>
          <w:sz w:val="22"/>
        </w:rPr>
        <w:t>availability</w:t>
      </w:r>
      <w:r>
        <w:rPr>
          <w:spacing w:val="-6"/>
          <w:sz w:val="22"/>
        </w:rPr>
        <w:t> </w:t>
      </w:r>
      <w:r>
        <w:rPr>
          <w:sz w:val="22"/>
        </w:rPr>
        <w:t>of</w:t>
      </w:r>
      <w:r>
        <w:rPr>
          <w:spacing w:val="-6"/>
          <w:sz w:val="22"/>
        </w:rPr>
        <w:t> </w:t>
      </w:r>
      <w:r>
        <w:rPr>
          <w:sz w:val="22"/>
        </w:rPr>
        <w:t>resources</w:t>
      </w:r>
      <w:r>
        <w:rPr>
          <w:spacing w:val="-6"/>
          <w:sz w:val="22"/>
        </w:rPr>
        <w:t> </w:t>
      </w:r>
      <w:r>
        <w:rPr>
          <w:sz w:val="22"/>
        </w:rPr>
        <w:t>for LGBTQ refugee and immigrant youth.</w:t>
      </w:r>
    </w:p>
    <w:p>
      <w:pPr>
        <w:pStyle w:val="ListParagraph"/>
        <w:numPr>
          <w:ilvl w:val="1"/>
          <w:numId w:val="42"/>
        </w:numPr>
        <w:tabs>
          <w:tab w:pos="1202" w:val="left" w:leader="none"/>
          <w:tab w:pos="1204" w:val="left" w:leader="none"/>
        </w:tabs>
        <w:spacing w:line="276" w:lineRule="auto" w:before="0" w:after="0"/>
        <w:ind w:left="1204" w:right="342" w:hanging="361"/>
        <w:jc w:val="both"/>
        <w:rPr>
          <w:sz w:val="22"/>
        </w:rPr>
      </w:pPr>
      <w:r>
        <w:rPr>
          <w:sz w:val="22"/>
        </w:rPr>
        <w:t>Review and improve data collection efforts to capture sexual orientation and gender identity demographic information.</w:t>
      </w:r>
    </w:p>
    <w:p>
      <w:pPr>
        <w:pStyle w:val="ListParagraph"/>
        <w:numPr>
          <w:ilvl w:val="1"/>
          <w:numId w:val="42"/>
        </w:numPr>
        <w:tabs>
          <w:tab w:pos="1203" w:val="left" w:leader="none"/>
        </w:tabs>
        <w:spacing w:line="268" w:lineRule="exact" w:before="0" w:after="0"/>
        <w:ind w:left="1203" w:right="0" w:hanging="359"/>
        <w:jc w:val="both"/>
        <w:rPr>
          <w:sz w:val="22"/>
        </w:rPr>
      </w:pPr>
      <w:r>
        <w:rPr>
          <w:sz w:val="22"/>
        </w:rPr>
        <w:t>Implement</w:t>
      </w:r>
      <w:r>
        <w:rPr>
          <w:spacing w:val="-10"/>
          <w:sz w:val="22"/>
        </w:rPr>
        <w:t> </w:t>
      </w:r>
      <w:r>
        <w:rPr>
          <w:sz w:val="22"/>
        </w:rPr>
        <w:t>a</w:t>
      </w:r>
      <w:r>
        <w:rPr>
          <w:spacing w:val="-8"/>
          <w:sz w:val="22"/>
        </w:rPr>
        <w:t> </w:t>
      </w:r>
      <w:r>
        <w:rPr>
          <w:sz w:val="22"/>
        </w:rPr>
        <w:t>nondiscrimination</w:t>
      </w:r>
      <w:r>
        <w:rPr>
          <w:spacing w:val="-10"/>
          <w:sz w:val="22"/>
        </w:rPr>
        <w:t> </w:t>
      </w:r>
      <w:r>
        <w:rPr>
          <w:sz w:val="22"/>
        </w:rPr>
        <w:t>policy</w:t>
      </w:r>
      <w:r>
        <w:rPr>
          <w:spacing w:val="-8"/>
          <w:sz w:val="22"/>
        </w:rPr>
        <w:t> </w:t>
      </w:r>
      <w:r>
        <w:rPr>
          <w:sz w:val="22"/>
        </w:rPr>
        <w:t>and</w:t>
      </w:r>
      <w:r>
        <w:rPr>
          <w:spacing w:val="-9"/>
          <w:sz w:val="22"/>
        </w:rPr>
        <w:t> </w:t>
      </w:r>
      <w:r>
        <w:rPr>
          <w:sz w:val="22"/>
        </w:rPr>
        <w:t>disseminate</w:t>
      </w:r>
      <w:r>
        <w:rPr>
          <w:spacing w:val="-10"/>
          <w:sz w:val="22"/>
        </w:rPr>
        <w:t> </w:t>
      </w:r>
      <w:r>
        <w:rPr>
          <w:sz w:val="22"/>
        </w:rPr>
        <w:t>to</w:t>
      </w:r>
      <w:r>
        <w:rPr>
          <w:spacing w:val="-8"/>
          <w:sz w:val="22"/>
        </w:rPr>
        <w:t> </w:t>
      </w:r>
      <w:r>
        <w:rPr>
          <w:sz w:val="22"/>
        </w:rPr>
        <w:t>employees</w:t>
      </w:r>
      <w:r>
        <w:rPr>
          <w:spacing w:val="-9"/>
          <w:sz w:val="22"/>
        </w:rPr>
        <w:t> </w:t>
      </w:r>
      <w:r>
        <w:rPr>
          <w:sz w:val="22"/>
        </w:rPr>
        <w:t>and</w:t>
      </w:r>
      <w:r>
        <w:rPr>
          <w:spacing w:val="-9"/>
          <w:sz w:val="22"/>
        </w:rPr>
        <w:t> </w:t>
      </w:r>
      <w:r>
        <w:rPr>
          <w:spacing w:val="-2"/>
          <w:sz w:val="22"/>
        </w:rPr>
        <w:t>clients.</w:t>
      </w:r>
    </w:p>
    <w:p>
      <w:pPr>
        <w:pStyle w:val="BodyText"/>
        <w:spacing w:before="112"/>
        <w:rPr>
          <w:sz w:val="20"/>
        </w:rPr>
      </w:pPr>
      <w:r>
        <w:rPr/>
        <mc:AlternateContent>
          <mc:Choice Requires="wps">
            <w:drawing>
              <wp:anchor distT="0" distB="0" distL="0" distR="0" allowOverlap="1" layoutInCell="1" locked="0" behindDoc="1" simplePos="0" relativeHeight="487714304">
                <wp:simplePos x="0" y="0"/>
                <wp:positionH relativeFrom="page">
                  <wp:posOffset>889000</wp:posOffset>
                </wp:positionH>
                <wp:positionV relativeFrom="paragraph">
                  <wp:posOffset>242003</wp:posOffset>
                </wp:positionV>
                <wp:extent cx="6350" cy="12700"/>
                <wp:effectExtent l="0" t="0" r="0" b="0"/>
                <wp:wrapTopAndBottom/>
                <wp:docPr id="627" name="Graphic 627"/>
                <wp:cNvGraphicFramePr>
                  <a:graphicFrameLocks/>
                </wp:cNvGraphicFramePr>
                <a:graphic>
                  <a:graphicData uri="http://schemas.microsoft.com/office/word/2010/wordprocessingShape">
                    <wps:wsp>
                      <wps:cNvPr id="627" name="Graphic 627"/>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9.055367pt;width:.499pt;height:.96pt;mso-position-horizontal-relative:page;mso-position-vertical-relative:paragraph;z-index:-15602176;mso-wrap-distance-left:0;mso-wrap-distance-right:0" id="docshape524" filled="true" fillcolor="#4f81bb" stroked="false">
                <v:fill type="solid"/>
                <w10:wrap type="topAndBottom"/>
              </v:rect>
            </w:pict>
          </mc:Fallback>
        </mc:AlternateContent>
      </w:r>
    </w:p>
    <w:p>
      <w:pPr>
        <w:spacing w:before="24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14816">
                <wp:simplePos x="0" y="0"/>
                <wp:positionH relativeFrom="page">
                  <wp:posOffset>897636</wp:posOffset>
                </wp:positionH>
                <wp:positionV relativeFrom="paragraph">
                  <wp:posOffset>44921</wp:posOffset>
                </wp:positionV>
                <wp:extent cx="5976620" cy="6350"/>
                <wp:effectExtent l="0" t="0" r="0" b="0"/>
                <wp:wrapTopAndBottom/>
                <wp:docPr id="628" name="Graphic 628"/>
                <wp:cNvGraphicFramePr>
                  <a:graphicFrameLocks/>
                </wp:cNvGraphicFramePr>
                <a:graphic>
                  <a:graphicData uri="http://schemas.microsoft.com/office/word/2010/wordprocessingShape">
                    <wps:wsp>
                      <wps:cNvPr id="628" name="Graphic 628"/>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7156pt;width:470.58pt;height:.481pt;mso-position-horizontal-relative:page;mso-position-vertical-relative:paragraph;z-index:-15601664;mso-wrap-distance-left:0;mso-wrap-distance-right:0" id="docshape525" filled="true" fillcolor="#4f81bc" stroked="false">
                <v:fill type="solid"/>
                <w10:wrap type="topAndBottom"/>
              </v:rect>
            </w:pict>
          </mc:Fallback>
        </mc:AlternateContent>
      </w:r>
    </w:p>
    <w:p>
      <w:pPr>
        <w:pStyle w:val="BodyText"/>
        <w:spacing w:line="276" w:lineRule="auto" w:before="241"/>
        <w:ind w:left="483" w:right="341"/>
        <w:jc w:val="both"/>
      </w:pPr>
      <w:r>
        <w:rPr/>
        <w:t>The</w:t>
      </w:r>
      <w:r>
        <w:rPr>
          <w:spacing w:val="-7"/>
        </w:rPr>
        <w:t> </w:t>
      </w:r>
      <w:r>
        <w:rPr/>
        <w:t>Massachusetts</w:t>
      </w:r>
      <w:r>
        <w:rPr>
          <w:spacing w:val="-6"/>
        </w:rPr>
        <w:t> </w:t>
      </w:r>
      <w:r>
        <w:rPr/>
        <w:t>Office</w:t>
      </w:r>
      <w:r>
        <w:rPr>
          <w:spacing w:val="-5"/>
        </w:rPr>
        <w:t> </w:t>
      </w:r>
      <w:r>
        <w:rPr/>
        <w:t>for</w:t>
      </w:r>
      <w:r>
        <w:rPr>
          <w:spacing w:val="-6"/>
        </w:rPr>
        <w:t> </w:t>
      </w:r>
      <w:r>
        <w:rPr/>
        <w:t>Refugees</w:t>
      </w:r>
      <w:r>
        <w:rPr>
          <w:spacing w:val="-5"/>
        </w:rPr>
        <w:t> </w:t>
      </w:r>
      <w:r>
        <w:rPr/>
        <w:t>and</w:t>
      </w:r>
      <w:r>
        <w:rPr>
          <w:spacing w:val="-7"/>
        </w:rPr>
        <w:t> </w:t>
      </w:r>
      <w:r>
        <w:rPr/>
        <w:t>Immigrants</w:t>
      </w:r>
      <w:r>
        <w:rPr>
          <w:spacing w:val="-6"/>
        </w:rPr>
        <w:t> </w:t>
      </w:r>
      <w:r>
        <w:rPr/>
        <w:t>(ORI)</w:t>
      </w:r>
      <w:r>
        <w:rPr>
          <w:spacing w:val="-6"/>
        </w:rPr>
        <w:t> </w:t>
      </w:r>
      <w:r>
        <w:rPr/>
        <w:t>operates</w:t>
      </w:r>
      <w:r>
        <w:rPr>
          <w:spacing w:val="-6"/>
        </w:rPr>
        <w:t> </w:t>
      </w:r>
      <w:r>
        <w:rPr/>
        <w:t>to</w:t>
      </w:r>
      <w:r>
        <w:rPr>
          <w:spacing w:val="-6"/>
        </w:rPr>
        <w:t> </w:t>
      </w:r>
      <w:r>
        <w:rPr/>
        <w:t>support</w:t>
      </w:r>
      <w:r>
        <w:rPr>
          <w:spacing w:val="-7"/>
        </w:rPr>
        <w:t> </w:t>
      </w:r>
      <w:r>
        <w:rPr/>
        <w:t>“services</w:t>
      </w:r>
      <w:r>
        <w:rPr>
          <w:spacing w:val="-6"/>
        </w:rPr>
        <w:t> </w:t>
      </w:r>
      <w:r>
        <w:rPr/>
        <w:t>that</w:t>
      </w:r>
      <w:r>
        <w:rPr>
          <w:spacing w:val="-7"/>
        </w:rPr>
        <w:t> </w:t>
      </w:r>
      <w:r>
        <w:rPr/>
        <w:t>meet</w:t>
      </w:r>
      <w:r>
        <w:rPr>
          <w:spacing w:val="-6"/>
        </w:rPr>
        <w:t> </w:t>
      </w:r>
      <w:r>
        <w:rPr/>
        <w:t>the cultural and linguistic needs of refugees and immigrants through a network of service providers in Massachusetts.”</w:t>
      </w:r>
      <w:r>
        <w:rPr>
          <w:spacing w:val="-13"/>
        </w:rPr>
        <w:t> </w:t>
      </w:r>
      <w:r>
        <w:rPr/>
        <w:t>Largely</w:t>
      </w:r>
      <w:r>
        <w:rPr>
          <w:spacing w:val="-12"/>
        </w:rPr>
        <w:t> </w:t>
      </w:r>
      <w:r>
        <w:rPr/>
        <w:t>funded</w:t>
      </w:r>
      <w:r>
        <w:rPr>
          <w:spacing w:val="-13"/>
        </w:rPr>
        <w:t> </w:t>
      </w:r>
      <w:r>
        <w:rPr/>
        <w:t>through</w:t>
      </w:r>
      <w:r>
        <w:rPr>
          <w:spacing w:val="-12"/>
        </w:rPr>
        <w:t> </w:t>
      </w:r>
      <w:r>
        <w:rPr/>
        <w:t>the</w:t>
      </w:r>
      <w:r>
        <w:rPr>
          <w:spacing w:val="-13"/>
        </w:rPr>
        <w:t> </w:t>
      </w:r>
      <w:r>
        <w:rPr/>
        <w:t>federal</w:t>
      </w:r>
      <w:r>
        <w:rPr>
          <w:spacing w:val="-12"/>
        </w:rPr>
        <w:t> </w:t>
      </w:r>
      <w:r>
        <w:rPr/>
        <w:t>Office</w:t>
      </w:r>
      <w:r>
        <w:rPr>
          <w:spacing w:val="-13"/>
        </w:rPr>
        <w:t> </w:t>
      </w:r>
      <w:r>
        <w:rPr/>
        <w:t>of</w:t>
      </w:r>
      <w:r>
        <w:rPr>
          <w:spacing w:val="-12"/>
        </w:rPr>
        <w:t> </w:t>
      </w:r>
      <w:r>
        <w:rPr/>
        <w:t>Refugee</w:t>
      </w:r>
      <w:r>
        <w:rPr>
          <w:spacing w:val="-12"/>
        </w:rPr>
        <w:t> </w:t>
      </w:r>
      <w:r>
        <w:rPr/>
        <w:t>Resettlement,</w:t>
      </w:r>
      <w:r>
        <w:rPr>
          <w:spacing w:val="-13"/>
        </w:rPr>
        <w:t> </w:t>
      </w:r>
      <w:r>
        <w:rPr/>
        <w:t>ORI</w:t>
      </w:r>
      <w:r>
        <w:rPr>
          <w:spacing w:val="-12"/>
        </w:rPr>
        <w:t> </w:t>
      </w:r>
      <w:r>
        <w:rPr/>
        <w:t>provides</w:t>
      </w:r>
      <w:r>
        <w:rPr>
          <w:spacing w:val="-13"/>
        </w:rPr>
        <w:t> </w:t>
      </w:r>
      <w:r>
        <w:rPr/>
        <w:t>funding and administers direct service programs to support groups that include Afghan and Iraqi Special Immigrant Visa Holders, Amerasians, Cuban/Haitian Entrants, asylees, human trafficking victims, legal permanent residents, and refugees.</w:t>
      </w:r>
    </w:p>
    <w:p>
      <w:pPr>
        <w:spacing w:line="276" w:lineRule="auto" w:before="241"/>
        <w:ind w:left="483" w:right="342" w:hanging="1"/>
        <w:jc w:val="both"/>
        <w:rPr>
          <w:sz w:val="21"/>
        </w:rPr>
      </w:pPr>
      <w:r>
        <w:rPr>
          <w:sz w:val="22"/>
        </w:rPr>
        <w:t>The Commission remains concerned that ORI has yet to take </w:t>
      </w:r>
      <w:r>
        <w:rPr>
          <w:sz w:val="21"/>
        </w:rPr>
        <w:t>s</w:t>
      </w:r>
      <w:r>
        <w:rPr>
          <w:sz w:val="22"/>
        </w:rPr>
        <w:t>ignificant steps to better understand or meet the unique needs of LGBTQ immigrants, refugees, and asylees in Massachusetts. However, i</w:t>
      </w:r>
      <w:r>
        <w:rPr>
          <w:sz w:val="21"/>
        </w:rPr>
        <w:t>t is optimistic</w:t>
      </w:r>
      <w:r>
        <w:rPr>
          <w:spacing w:val="-3"/>
          <w:sz w:val="21"/>
        </w:rPr>
        <w:t> </w:t>
      </w:r>
      <w:r>
        <w:rPr>
          <w:sz w:val="21"/>
        </w:rPr>
        <w:t>for</w:t>
      </w:r>
      <w:r>
        <w:rPr>
          <w:spacing w:val="-4"/>
          <w:sz w:val="21"/>
        </w:rPr>
        <w:t> </w:t>
      </w:r>
      <w:r>
        <w:rPr>
          <w:sz w:val="21"/>
        </w:rPr>
        <w:t>more</w:t>
      </w:r>
      <w:r>
        <w:rPr>
          <w:spacing w:val="-3"/>
          <w:sz w:val="21"/>
        </w:rPr>
        <w:t> </w:t>
      </w:r>
      <w:r>
        <w:rPr>
          <w:sz w:val="21"/>
        </w:rPr>
        <w:t>progress</w:t>
      </w:r>
      <w:r>
        <w:rPr>
          <w:spacing w:val="-3"/>
          <w:sz w:val="21"/>
        </w:rPr>
        <w:t> </w:t>
      </w:r>
      <w:r>
        <w:rPr>
          <w:sz w:val="21"/>
        </w:rPr>
        <w:t>given</w:t>
      </w:r>
      <w:r>
        <w:rPr>
          <w:spacing w:val="-3"/>
          <w:sz w:val="21"/>
        </w:rPr>
        <w:t> </w:t>
      </w:r>
      <w:r>
        <w:rPr>
          <w:sz w:val="21"/>
        </w:rPr>
        <w:t>that</w:t>
      </w:r>
      <w:r>
        <w:rPr>
          <w:spacing w:val="-4"/>
          <w:sz w:val="21"/>
        </w:rPr>
        <w:t> </w:t>
      </w:r>
      <w:r>
        <w:rPr>
          <w:sz w:val="21"/>
        </w:rPr>
        <w:t>the</w:t>
      </w:r>
      <w:r>
        <w:rPr>
          <w:spacing w:val="-3"/>
          <w:sz w:val="21"/>
        </w:rPr>
        <w:t> </w:t>
      </w:r>
      <w:r>
        <w:rPr>
          <w:sz w:val="21"/>
        </w:rPr>
        <w:t>agency</w:t>
      </w:r>
      <w:r>
        <w:rPr>
          <w:spacing w:val="-3"/>
          <w:sz w:val="21"/>
        </w:rPr>
        <w:t> </w:t>
      </w:r>
      <w:r>
        <w:rPr>
          <w:sz w:val="21"/>
        </w:rPr>
        <w:t>has</w:t>
      </w:r>
      <w:r>
        <w:rPr>
          <w:spacing w:val="-3"/>
          <w:sz w:val="21"/>
        </w:rPr>
        <w:t> </w:t>
      </w:r>
      <w:r>
        <w:rPr>
          <w:sz w:val="21"/>
        </w:rPr>
        <w:t>recently</w:t>
      </w:r>
      <w:r>
        <w:rPr>
          <w:spacing w:val="-3"/>
          <w:sz w:val="21"/>
        </w:rPr>
        <w:t> </w:t>
      </w:r>
      <w:r>
        <w:rPr>
          <w:sz w:val="21"/>
        </w:rPr>
        <w:t>begun</w:t>
      </w:r>
      <w:r>
        <w:rPr>
          <w:spacing w:val="-4"/>
          <w:sz w:val="21"/>
        </w:rPr>
        <w:t> </w:t>
      </w:r>
      <w:r>
        <w:rPr>
          <w:sz w:val="21"/>
        </w:rPr>
        <w:t>to</w:t>
      </w:r>
      <w:r>
        <w:rPr>
          <w:spacing w:val="-5"/>
          <w:sz w:val="21"/>
        </w:rPr>
        <w:t> </w:t>
      </w:r>
      <w:r>
        <w:rPr>
          <w:sz w:val="21"/>
        </w:rPr>
        <w:t>engage</w:t>
      </w:r>
      <w:r>
        <w:rPr>
          <w:spacing w:val="-3"/>
          <w:sz w:val="21"/>
        </w:rPr>
        <w:t> </w:t>
      </w:r>
      <w:r>
        <w:rPr>
          <w:sz w:val="21"/>
        </w:rPr>
        <w:t>more</w:t>
      </w:r>
      <w:r>
        <w:rPr>
          <w:spacing w:val="-3"/>
          <w:sz w:val="21"/>
        </w:rPr>
        <w:t> </w:t>
      </w:r>
      <w:r>
        <w:rPr>
          <w:sz w:val="21"/>
        </w:rPr>
        <w:t>in</w:t>
      </w:r>
      <w:r>
        <w:rPr>
          <w:spacing w:val="-4"/>
          <w:sz w:val="21"/>
        </w:rPr>
        <w:t> </w:t>
      </w:r>
      <w:r>
        <w:rPr>
          <w:sz w:val="21"/>
        </w:rPr>
        <w:t>conversations</w:t>
      </w:r>
      <w:r>
        <w:rPr>
          <w:spacing w:val="-3"/>
          <w:sz w:val="21"/>
        </w:rPr>
        <w:t> </w:t>
      </w:r>
      <w:r>
        <w:rPr>
          <w:sz w:val="21"/>
        </w:rPr>
        <w:t>about the Commission’s recommendations and how it might move forward to address them in FY 2025.</w:t>
      </w:r>
    </w:p>
    <w:p>
      <w:pPr>
        <w:pStyle w:val="BodyText"/>
        <w:spacing w:line="276" w:lineRule="auto" w:before="240"/>
        <w:ind w:left="483" w:right="342"/>
        <w:jc w:val="both"/>
      </w:pPr>
      <w:r>
        <w:rPr/>
        <w:t>Little to no accessible data currently exists on the number of LGBTQ immigrant, asylee, and refugee residents in Massachusetts, let alone youth populations. ORI’s most recent published FY 2021 annual report,</w:t>
      </w:r>
      <w:r>
        <w:rPr>
          <w:spacing w:val="-7"/>
        </w:rPr>
        <w:t> </w:t>
      </w:r>
      <w:r>
        <w:rPr/>
        <w:t>it</w:t>
      </w:r>
      <w:r>
        <w:rPr>
          <w:spacing w:val="-8"/>
        </w:rPr>
        <w:t> </w:t>
      </w:r>
      <w:r>
        <w:rPr/>
        <w:t>was</w:t>
      </w:r>
      <w:r>
        <w:rPr>
          <w:spacing w:val="-7"/>
        </w:rPr>
        <w:t> </w:t>
      </w:r>
      <w:r>
        <w:rPr/>
        <w:t>reported</w:t>
      </w:r>
      <w:r>
        <w:rPr>
          <w:spacing w:val="-8"/>
        </w:rPr>
        <w:t> </w:t>
      </w:r>
      <w:r>
        <w:rPr/>
        <w:t>that</w:t>
      </w:r>
      <w:r>
        <w:rPr>
          <w:spacing w:val="-8"/>
        </w:rPr>
        <w:t> </w:t>
      </w:r>
      <w:r>
        <w:rPr/>
        <w:t>Massachusetts</w:t>
      </w:r>
      <w:r>
        <w:rPr>
          <w:spacing w:val="-7"/>
        </w:rPr>
        <w:t> </w:t>
      </w:r>
      <w:r>
        <w:rPr/>
        <w:t>welcomed</w:t>
      </w:r>
      <w:r>
        <w:rPr>
          <w:spacing w:val="-7"/>
        </w:rPr>
        <w:t> </w:t>
      </w:r>
      <w:r>
        <w:rPr/>
        <w:t>1,018</w:t>
      </w:r>
      <w:r>
        <w:rPr>
          <w:spacing w:val="-7"/>
        </w:rPr>
        <w:t> </w:t>
      </w:r>
      <w:r>
        <w:rPr/>
        <w:t>new</w:t>
      </w:r>
      <w:r>
        <w:rPr>
          <w:spacing w:val="-7"/>
        </w:rPr>
        <w:t> </w:t>
      </w:r>
      <w:r>
        <w:rPr/>
        <w:t>refugees</w:t>
      </w:r>
      <w:r>
        <w:rPr>
          <w:spacing w:val="-7"/>
        </w:rPr>
        <w:t> </w:t>
      </w:r>
      <w:r>
        <w:rPr/>
        <w:t>in</w:t>
      </w:r>
      <w:r>
        <w:rPr>
          <w:spacing w:val="-8"/>
        </w:rPr>
        <w:t> </w:t>
      </w:r>
      <w:r>
        <w:rPr/>
        <w:t>FY</w:t>
      </w:r>
      <w:r>
        <w:rPr>
          <w:spacing w:val="-8"/>
        </w:rPr>
        <w:t> </w:t>
      </w:r>
      <w:r>
        <w:rPr/>
        <w:t>2021,</w:t>
      </w:r>
      <w:r>
        <w:rPr>
          <w:spacing w:val="-7"/>
        </w:rPr>
        <w:t> </w:t>
      </w:r>
      <w:r>
        <w:rPr/>
        <w:t>though</w:t>
      </w:r>
      <w:r>
        <w:rPr>
          <w:spacing w:val="-7"/>
        </w:rPr>
        <w:t> </w:t>
      </w:r>
      <w:r>
        <w:rPr/>
        <w:t>none</w:t>
      </w:r>
      <w:r>
        <w:rPr>
          <w:spacing w:val="-8"/>
        </w:rPr>
        <w:t> </w:t>
      </w:r>
      <w:r>
        <w:rPr/>
        <w:t>of</w:t>
      </w:r>
      <w:r>
        <w:rPr>
          <w:spacing w:val="-7"/>
        </w:rPr>
        <w:t> </w:t>
      </w:r>
      <w:r>
        <w:rPr/>
        <w:t>the reported information reflects any LGBTQ-specific services.</w:t>
      </w:r>
      <w:r>
        <w:rPr>
          <w:vertAlign w:val="superscript"/>
        </w:rPr>
        <w:t>1</w:t>
      </w:r>
      <w:r>
        <w:rPr>
          <w:vertAlign w:val="baseline"/>
        </w:rPr>
        <w:t> As discussed in the above Inclusive Service Provision</w:t>
      </w:r>
      <w:r>
        <w:rPr>
          <w:spacing w:val="-10"/>
          <w:vertAlign w:val="baseline"/>
        </w:rPr>
        <w:t> </w:t>
      </w:r>
      <w:r>
        <w:rPr>
          <w:vertAlign w:val="baseline"/>
        </w:rPr>
        <w:t>section,</w:t>
      </w:r>
      <w:r>
        <w:rPr>
          <w:spacing w:val="-11"/>
          <w:vertAlign w:val="baseline"/>
        </w:rPr>
        <w:t> </w:t>
      </w:r>
      <w:r>
        <w:rPr>
          <w:vertAlign w:val="baseline"/>
        </w:rPr>
        <w:t>research</w:t>
      </w:r>
      <w:r>
        <w:rPr>
          <w:spacing w:val="-10"/>
          <w:vertAlign w:val="baseline"/>
        </w:rPr>
        <w:t> </w:t>
      </w:r>
      <w:r>
        <w:rPr>
          <w:vertAlign w:val="baseline"/>
        </w:rPr>
        <w:t>has</w:t>
      </w:r>
      <w:r>
        <w:rPr>
          <w:spacing w:val="-10"/>
          <w:vertAlign w:val="baseline"/>
        </w:rPr>
        <w:t> </w:t>
      </w:r>
      <w:r>
        <w:rPr>
          <w:vertAlign w:val="baseline"/>
        </w:rPr>
        <w:t>indicated</w:t>
      </w:r>
      <w:r>
        <w:rPr>
          <w:spacing w:val="-10"/>
          <w:vertAlign w:val="baseline"/>
        </w:rPr>
        <w:t> </w:t>
      </w:r>
      <w:r>
        <w:rPr>
          <w:vertAlign w:val="baseline"/>
        </w:rPr>
        <w:t>that</w:t>
      </w:r>
      <w:r>
        <w:rPr>
          <w:spacing w:val="-10"/>
          <w:vertAlign w:val="baseline"/>
        </w:rPr>
        <w:t> </w:t>
      </w:r>
      <w:r>
        <w:rPr>
          <w:vertAlign w:val="baseline"/>
        </w:rPr>
        <w:t>the</w:t>
      </w:r>
      <w:r>
        <w:rPr>
          <w:spacing w:val="-9"/>
          <w:vertAlign w:val="baseline"/>
        </w:rPr>
        <w:t> </w:t>
      </w:r>
      <w:r>
        <w:rPr>
          <w:vertAlign w:val="baseline"/>
        </w:rPr>
        <w:t>number</w:t>
      </w:r>
      <w:r>
        <w:rPr>
          <w:spacing w:val="-10"/>
          <w:vertAlign w:val="baseline"/>
        </w:rPr>
        <w:t> </w:t>
      </w:r>
      <w:r>
        <w:rPr>
          <w:vertAlign w:val="baseline"/>
        </w:rPr>
        <w:t>of</w:t>
      </w:r>
      <w:r>
        <w:rPr>
          <w:spacing w:val="-10"/>
          <w:vertAlign w:val="baseline"/>
        </w:rPr>
        <w:t> </w:t>
      </w:r>
      <w:r>
        <w:rPr>
          <w:vertAlign w:val="baseline"/>
        </w:rPr>
        <w:t>undocumented</w:t>
      </w:r>
      <w:r>
        <w:rPr>
          <w:spacing w:val="-10"/>
          <w:vertAlign w:val="baseline"/>
        </w:rPr>
        <w:t> </w:t>
      </w:r>
      <w:r>
        <w:rPr>
          <w:vertAlign w:val="baseline"/>
        </w:rPr>
        <w:t>youth</w:t>
      </w:r>
      <w:r>
        <w:rPr>
          <w:spacing w:val="-10"/>
          <w:vertAlign w:val="baseline"/>
        </w:rPr>
        <w:t> </w:t>
      </w:r>
      <w:r>
        <w:rPr>
          <w:vertAlign w:val="baseline"/>
        </w:rPr>
        <w:t>who</w:t>
      </w:r>
      <w:r>
        <w:rPr>
          <w:spacing w:val="-10"/>
          <w:vertAlign w:val="baseline"/>
        </w:rPr>
        <w:t> </w:t>
      </w:r>
      <w:r>
        <w:rPr>
          <w:vertAlign w:val="baseline"/>
        </w:rPr>
        <w:t>identify</w:t>
      </w:r>
      <w:r>
        <w:rPr>
          <w:spacing w:val="-11"/>
          <w:vertAlign w:val="baseline"/>
        </w:rPr>
        <w:t> </w:t>
      </w:r>
      <w:r>
        <w:rPr>
          <w:vertAlign w:val="baseline"/>
        </w:rPr>
        <w:t>as</w:t>
      </w:r>
      <w:r>
        <w:rPr>
          <w:spacing w:val="-10"/>
          <w:vertAlign w:val="baseline"/>
        </w:rPr>
        <w:t> </w:t>
      </w:r>
      <w:r>
        <w:rPr>
          <w:vertAlign w:val="baseline"/>
        </w:rPr>
        <w:t>LGBTQ across the nation is estimated as high as 1 in 4.</w:t>
      </w:r>
      <w:r>
        <w:rPr>
          <w:vertAlign w:val="superscript"/>
        </w:rPr>
        <w:t>2</w:t>
      </w:r>
      <w:r>
        <w:rPr>
          <w:vertAlign w:val="baseline"/>
        </w:rPr>
        <w:t> The Commission hopes that ORI, as well as other Massachusetts</w:t>
      </w:r>
      <w:r>
        <w:rPr>
          <w:spacing w:val="40"/>
          <w:vertAlign w:val="baseline"/>
        </w:rPr>
        <w:t> </w:t>
      </w:r>
      <w:r>
        <w:rPr>
          <w:vertAlign w:val="baseline"/>
        </w:rPr>
        <w:t>agencies,</w:t>
      </w:r>
      <w:r>
        <w:rPr>
          <w:spacing w:val="40"/>
          <w:vertAlign w:val="baseline"/>
        </w:rPr>
        <w:t> </w:t>
      </w:r>
      <w:r>
        <w:rPr>
          <w:vertAlign w:val="baseline"/>
        </w:rPr>
        <w:t>narrows</w:t>
      </w:r>
      <w:r>
        <w:rPr>
          <w:spacing w:val="40"/>
          <w:vertAlign w:val="baseline"/>
        </w:rPr>
        <w:t> </w:t>
      </w:r>
      <w:r>
        <w:rPr>
          <w:vertAlign w:val="baseline"/>
        </w:rPr>
        <w:t>in</w:t>
      </w:r>
      <w:r>
        <w:rPr>
          <w:spacing w:val="40"/>
          <w:vertAlign w:val="baseline"/>
        </w:rPr>
        <w:t> </w:t>
      </w:r>
      <w:r>
        <w:rPr>
          <w:vertAlign w:val="baseline"/>
        </w:rPr>
        <w:t>on</w:t>
      </w:r>
      <w:r>
        <w:rPr>
          <w:spacing w:val="40"/>
          <w:vertAlign w:val="baseline"/>
        </w:rPr>
        <w:t> </w:t>
      </w:r>
      <w:r>
        <w:rPr>
          <w:vertAlign w:val="baseline"/>
        </w:rPr>
        <w:t>these</w:t>
      </w:r>
      <w:r>
        <w:rPr>
          <w:spacing w:val="40"/>
          <w:vertAlign w:val="baseline"/>
        </w:rPr>
        <w:t> </w:t>
      </w:r>
      <w:r>
        <w:rPr>
          <w:vertAlign w:val="baseline"/>
        </w:rPr>
        <w:t>potentially</w:t>
      </w:r>
      <w:r>
        <w:rPr>
          <w:spacing w:val="40"/>
          <w:vertAlign w:val="baseline"/>
        </w:rPr>
        <w:t> </w:t>
      </w:r>
      <w:r>
        <w:rPr>
          <w:vertAlign w:val="baseline"/>
        </w:rPr>
        <w:t>severely</w:t>
      </w:r>
      <w:r>
        <w:rPr>
          <w:spacing w:val="40"/>
          <w:vertAlign w:val="baseline"/>
        </w:rPr>
        <w:t> </w:t>
      </w:r>
      <w:r>
        <w:rPr>
          <w:vertAlign w:val="baseline"/>
        </w:rPr>
        <w:t>underserved</w:t>
      </w:r>
      <w:r>
        <w:rPr>
          <w:spacing w:val="40"/>
          <w:vertAlign w:val="baseline"/>
        </w:rPr>
        <w:t> </w:t>
      </w:r>
      <w:r>
        <w:rPr>
          <w:vertAlign w:val="baseline"/>
        </w:rPr>
        <w:t>communities</w:t>
      </w:r>
      <w:r>
        <w:rPr>
          <w:spacing w:val="40"/>
          <w:vertAlign w:val="baseline"/>
        </w:rPr>
        <w:t> </w:t>
      </w:r>
      <w:r>
        <w:rPr>
          <w:vertAlign w:val="baseline"/>
        </w:rPr>
        <w:t>in</w:t>
      </w:r>
      <w:r>
        <w:rPr>
          <w:spacing w:val="40"/>
          <w:vertAlign w:val="baseline"/>
        </w:rPr>
        <w:t> </w:t>
      </w:r>
      <w:r>
        <w:rPr>
          <w:vertAlign w:val="baseline"/>
        </w:rPr>
        <w:t>the</w:t>
      </w:r>
    </w:p>
    <w:p>
      <w:pPr>
        <w:spacing w:after="0" w:line="276" w:lineRule="auto"/>
        <w:jc w:val="both"/>
        <w:sectPr>
          <w:headerReference w:type="default" r:id="rId750"/>
          <w:footerReference w:type="default" r:id="rId751"/>
          <w:pgSz w:w="12240" w:h="15840"/>
          <w:pgMar w:header="804" w:footer="1256" w:top="1000" w:bottom="1440" w:left="960" w:right="1100"/>
        </w:sectPr>
      </w:pPr>
    </w:p>
    <w:p>
      <w:pPr>
        <w:pStyle w:val="BodyText"/>
        <w:spacing w:line="276" w:lineRule="auto" w:before="139"/>
        <w:ind w:left="483" w:right="343"/>
        <w:jc w:val="both"/>
      </w:pPr>
      <w:r>
        <w:rPr/>
        <w:t>upcoming FY 2025. LGBTQ refugees, asylees, and migrants face unique challenges as they work to establish themselves in the United States, often with few LGBTQ-specific resources.</w:t>
      </w:r>
    </w:p>
    <w:p>
      <w:pPr>
        <w:spacing w:line="276" w:lineRule="auto" w:before="239"/>
        <w:ind w:left="483" w:right="341" w:firstLine="0"/>
        <w:jc w:val="both"/>
        <w:rPr>
          <w:sz w:val="21"/>
        </w:rPr>
      </w:pPr>
      <w:r>
        <w:rPr>
          <w:sz w:val="22"/>
        </w:rPr>
        <w:t>Sixty-nine countries around the world criminalize LGBTQ communities, and at least 11 countries have legalized</w:t>
      </w:r>
      <w:r>
        <w:rPr>
          <w:spacing w:val="-13"/>
          <w:sz w:val="22"/>
        </w:rPr>
        <w:t> </w:t>
      </w:r>
      <w:r>
        <w:rPr>
          <w:sz w:val="22"/>
        </w:rPr>
        <w:t>the</w:t>
      </w:r>
      <w:r>
        <w:rPr>
          <w:spacing w:val="-12"/>
          <w:sz w:val="22"/>
        </w:rPr>
        <w:t> </w:t>
      </w:r>
      <w:r>
        <w:rPr>
          <w:sz w:val="22"/>
        </w:rPr>
        <w:t>death</w:t>
      </w:r>
      <w:r>
        <w:rPr>
          <w:spacing w:val="-13"/>
          <w:sz w:val="22"/>
        </w:rPr>
        <w:t> </w:t>
      </w:r>
      <w:r>
        <w:rPr>
          <w:sz w:val="22"/>
        </w:rPr>
        <w:t>penalty</w:t>
      </w:r>
      <w:r>
        <w:rPr>
          <w:spacing w:val="-12"/>
          <w:sz w:val="22"/>
        </w:rPr>
        <w:t> </w:t>
      </w:r>
      <w:r>
        <w:rPr>
          <w:sz w:val="22"/>
        </w:rPr>
        <w:t>for</w:t>
      </w:r>
      <w:r>
        <w:rPr>
          <w:spacing w:val="-13"/>
          <w:sz w:val="22"/>
        </w:rPr>
        <w:t> </w:t>
      </w:r>
      <w:r>
        <w:rPr>
          <w:sz w:val="22"/>
        </w:rPr>
        <w:t>homosexuality.</w:t>
      </w:r>
      <w:r>
        <w:rPr>
          <w:spacing w:val="-12"/>
          <w:sz w:val="22"/>
        </w:rPr>
        <w:t> </w:t>
      </w:r>
      <w:r>
        <w:rPr>
          <w:sz w:val="22"/>
        </w:rPr>
        <w:t>In</w:t>
      </w:r>
      <w:r>
        <w:rPr>
          <w:spacing w:val="-13"/>
          <w:sz w:val="22"/>
        </w:rPr>
        <w:t> </w:t>
      </w:r>
      <w:r>
        <w:rPr>
          <w:sz w:val="22"/>
        </w:rPr>
        <w:t>some</w:t>
      </w:r>
      <w:r>
        <w:rPr>
          <w:spacing w:val="-12"/>
          <w:sz w:val="22"/>
        </w:rPr>
        <w:t> </w:t>
      </w:r>
      <w:r>
        <w:rPr>
          <w:sz w:val="22"/>
        </w:rPr>
        <w:t>instances,</w:t>
      </w:r>
      <w:r>
        <w:rPr>
          <w:spacing w:val="-12"/>
          <w:sz w:val="22"/>
        </w:rPr>
        <w:t> </w:t>
      </w:r>
      <w:r>
        <w:rPr>
          <w:sz w:val="22"/>
        </w:rPr>
        <w:t>LGBTQ</w:t>
      </w:r>
      <w:r>
        <w:rPr>
          <w:spacing w:val="-13"/>
          <w:sz w:val="22"/>
        </w:rPr>
        <w:t> </w:t>
      </w:r>
      <w:r>
        <w:rPr>
          <w:sz w:val="22"/>
        </w:rPr>
        <w:t>youth</w:t>
      </w:r>
      <w:r>
        <w:rPr>
          <w:spacing w:val="-12"/>
          <w:sz w:val="22"/>
        </w:rPr>
        <w:t> </w:t>
      </w:r>
      <w:r>
        <w:rPr>
          <w:sz w:val="22"/>
        </w:rPr>
        <w:t>migrate</w:t>
      </w:r>
      <w:r>
        <w:rPr>
          <w:spacing w:val="-13"/>
          <w:sz w:val="22"/>
        </w:rPr>
        <w:t> </w:t>
      </w:r>
      <w:r>
        <w:rPr>
          <w:sz w:val="22"/>
        </w:rPr>
        <w:t>to</w:t>
      </w:r>
      <w:r>
        <w:rPr>
          <w:spacing w:val="-12"/>
          <w:sz w:val="22"/>
        </w:rPr>
        <w:t> </w:t>
      </w:r>
      <w:r>
        <w:rPr>
          <w:sz w:val="22"/>
        </w:rPr>
        <w:t>the</w:t>
      </w:r>
      <w:r>
        <w:rPr>
          <w:spacing w:val="-13"/>
          <w:sz w:val="22"/>
        </w:rPr>
        <w:t> </w:t>
      </w:r>
      <w:r>
        <w:rPr>
          <w:sz w:val="22"/>
        </w:rPr>
        <w:t>U.S.</w:t>
      </w:r>
      <w:r>
        <w:rPr>
          <w:spacing w:val="-12"/>
          <w:sz w:val="22"/>
        </w:rPr>
        <w:t> </w:t>
      </w:r>
      <w:r>
        <w:rPr>
          <w:sz w:val="22"/>
        </w:rPr>
        <w:t>seeking to</w:t>
      </w:r>
      <w:r>
        <w:rPr>
          <w:spacing w:val="-13"/>
          <w:sz w:val="22"/>
        </w:rPr>
        <w:t> </w:t>
      </w:r>
      <w:r>
        <w:rPr>
          <w:sz w:val="22"/>
        </w:rPr>
        <w:t>escape</w:t>
      </w:r>
      <w:r>
        <w:rPr>
          <w:spacing w:val="-12"/>
          <w:sz w:val="22"/>
        </w:rPr>
        <w:t> </w:t>
      </w:r>
      <w:r>
        <w:rPr>
          <w:sz w:val="22"/>
        </w:rPr>
        <w:t>persecution</w:t>
      </w:r>
      <w:r>
        <w:rPr>
          <w:spacing w:val="-13"/>
          <w:sz w:val="22"/>
        </w:rPr>
        <w:t> </w:t>
      </w:r>
      <w:r>
        <w:rPr>
          <w:sz w:val="22"/>
        </w:rPr>
        <w:t>and</w:t>
      </w:r>
      <w:r>
        <w:rPr>
          <w:spacing w:val="-12"/>
          <w:sz w:val="22"/>
        </w:rPr>
        <w:t> </w:t>
      </w:r>
      <w:r>
        <w:rPr>
          <w:sz w:val="22"/>
        </w:rPr>
        <w:t>violence</w:t>
      </w:r>
      <w:r>
        <w:rPr>
          <w:spacing w:val="-13"/>
          <w:sz w:val="22"/>
        </w:rPr>
        <w:t> </w:t>
      </w:r>
      <w:r>
        <w:rPr>
          <w:sz w:val="22"/>
        </w:rPr>
        <w:t>based</w:t>
      </w:r>
      <w:r>
        <w:rPr>
          <w:spacing w:val="-12"/>
          <w:sz w:val="22"/>
        </w:rPr>
        <w:t> </w:t>
      </w:r>
      <w:r>
        <w:rPr>
          <w:sz w:val="22"/>
        </w:rPr>
        <w:t>on</w:t>
      </w:r>
      <w:r>
        <w:rPr>
          <w:spacing w:val="-13"/>
          <w:sz w:val="22"/>
        </w:rPr>
        <w:t> </w:t>
      </w:r>
      <w:r>
        <w:rPr>
          <w:sz w:val="22"/>
        </w:rPr>
        <w:t>their</w:t>
      </w:r>
      <w:r>
        <w:rPr>
          <w:spacing w:val="-12"/>
          <w:sz w:val="22"/>
        </w:rPr>
        <w:t> </w:t>
      </w:r>
      <w:r>
        <w:rPr>
          <w:sz w:val="22"/>
        </w:rPr>
        <w:t>sexual</w:t>
      </w:r>
      <w:r>
        <w:rPr>
          <w:spacing w:val="-12"/>
          <w:sz w:val="22"/>
        </w:rPr>
        <w:t> </w:t>
      </w:r>
      <w:r>
        <w:rPr>
          <w:sz w:val="22"/>
        </w:rPr>
        <w:t>orientation</w:t>
      </w:r>
      <w:r>
        <w:rPr>
          <w:spacing w:val="-13"/>
          <w:sz w:val="22"/>
        </w:rPr>
        <w:t> </w:t>
      </w:r>
      <w:r>
        <w:rPr>
          <w:sz w:val="22"/>
        </w:rPr>
        <w:t>and/or</w:t>
      </w:r>
      <w:r>
        <w:rPr>
          <w:spacing w:val="-12"/>
          <w:sz w:val="22"/>
        </w:rPr>
        <w:t> </w:t>
      </w:r>
      <w:r>
        <w:rPr>
          <w:sz w:val="22"/>
        </w:rPr>
        <w:t>gender</w:t>
      </w:r>
      <w:r>
        <w:rPr>
          <w:spacing w:val="-13"/>
          <w:sz w:val="22"/>
        </w:rPr>
        <w:t> </w:t>
      </w:r>
      <w:r>
        <w:rPr>
          <w:sz w:val="22"/>
        </w:rPr>
        <w:t>identity.</w:t>
      </w:r>
      <w:r>
        <w:rPr>
          <w:spacing w:val="-12"/>
          <w:sz w:val="22"/>
        </w:rPr>
        <w:t> </w:t>
      </w:r>
      <w:r>
        <w:rPr>
          <w:sz w:val="22"/>
        </w:rPr>
        <w:t>A</w:t>
      </w:r>
      <w:r>
        <w:rPr>
          <w:spacing w:val="-13"/>
          <w:sz w:val="22"/>
        </w:rPr>
        <w:t> </w:t>
      </w:r>
      <w:r>
        <w:rPr>
          <w:sz w:val="22"/>
        </w:rPr>
        <w:t>2021</w:t>
      </w:r>
      <w:r>
        <w:rPr>
          <w:spacing w:val="-12"/>
          <w:sz w:val="22"/>
        </w:rPr>
        <w:t> </w:t>
      </w:r>
      <w:r>
        <w:rPr>
          <w:sz w:val="22"/>
        </w:rPr>
        <w:t>study </w:t>
      </w:r>
      <w:r>
        <w:rPr>
          <w:sz w:val="21"/>
        </w:rPr>
        <w:t>on</w:t>
      </w:r>
      <w:r>
        <w:rPr>
          <w:spacing w:val="-6"/>
          <w:sz w:val="21"/>
        </w:rPr>
        <w:t> </w:t>
      </w:r>
      <w:r>
        <w:rPr>
          <w:sz w:val="21"/>
        </w:rPr>
        <w:t>asylum</w:t>
      </w:r>
      <w:r>
        <w:rPr>
          <w:spacing w:val="-5"/>
          <w:sz w:val="21"/>
        </w:rPr>
        <w:t> </w:t>
      </w:r>
      <w:r>
        <w:rPr>
          <w:sz w:val="21"/>
        </w:rPr>
        <w:t>claims</w:t>
      </w:r>
      <w:r>
        <w:rPr>
          <w:spacing w:val="-6"/>
          <w:sz w:val="21"/>
        </w:rPr>
        <w:t> </w:t>
      </w:r>
      <w:r>
        <w:rPr>
          <w:sz w:val="21"/>
        </w:rPr>
        <w:t>in</w:t>
      </w:r>
      <w:r>
        <w:rPr>
          <w:spacing w:val="-7"/>
          <w:sz w:val="21"/>
        </w:rPr>
        <w:t> </w:t>
      </w:r>
      <w:r>
        <w:rPr>
          <w:sz w:val="21"/>
        </w:rPr>
        <w:t>the</w:t>
      </w:r>
      <w:r>
        <w:rPr>
          <w:spacing w:val="-6"/>
          <w:sz w:val="21"/>
        </w:rPr>
        <w:t> </w:t>
      </w:r>
      <w:r>
        <w:rPr>
          <w:sz w:val="21"/>
        </w:rPr>
        <w:t>U.S.</w:t>
      </w:r>
      <w:r>
        <w:rPr>
          <w:spacing w:val="-7"/>
          <w:sz w:val="21"/>
        </w:rPr>
        <w:t> </w:t>
      </w:r>
      <w:r>
        <w:rPr>
          <w:sz w:val="21"/>
        </w:rPr>
        <w:t>between</w:t>
      </w:r>
      <w:r>
        <w:rPr>
          <w:spacing w:val="-6"/>
          <w:sz w:val="21"/>
        </w:rPr>
        <w:t> </w:t>
      </w:r>
      <w:r>
        <w:rPr>
          <w:sz w:val="21"/>
        </w:rPr>
        <w:t>2007</w:t>
      </w:r>
      <w:r>
        <w:rPr>
          <w:spacing w:val="-6"/>
          <w:sz w:val="21"/>
        </w:rPr>
        <w:t> </w:t>
      </w:r>
      <w:r>
        <w:rPr>
          <w:sz w:val="21"/>
        </w:rPr>
        <w:t>and</w:t>
      </w:r>
      <w:r>
        <w:rPr>
          <w:spacing w:val="-7"/>
          <w:sz w:val="21"/>
        </w:rPr>
        <w:t> </w:t>
      </w:r>
      <w:r>
        <w:rPr>
          <w:sz w:val="21"/>
        </w:rPr>
        <w:t>2017</w:t>
      </w:r>
      <w:r>
        <w:rPr>
          <w:spacing w:val="-6"/>
          <w:sz w:val="21"/>
        </w:rPr>
        <w:t> </w:t>
      </w:r>
      <w:r>
        <w:rPr>
          <w:sz w:val="21"/>
        </w:rPr>
        <w:t>yielded</w:t>
      </w:r>
      <w:r>
        <w:rPr>
          <w:spacing w:val="-6"/>
          <w:sz w:val="21"/>
        </w:rPr>
        <w:t> </w:t>
      </w:r>
      <w:r>
        <w:rPr>
          <w:sz w:val="21"/>
        </w:rPr>
        <w:t>information</w:t>
      </w:r>
      <w:r>
        <w:rPr>
          <w:spacing w:val="-6"/>
          <w:sz w:val="21"/>
        </w:rPr>
        <w:t> </w:t>
      </w:r>
      <w:r>
        <w:rPr>
          <w:sz w:val="21"/>
        </w:rPr>
        <w:t>that</w:t>
      </w:r>
      <w:r>
        <w:rPr>
          <w:spacing w:val="-6"/>
          <w:sz w:val="21"/>
        </w:rPr>
        <w:t> </w:t>
      </w:r>
      <w:r>
        <w:rPr>
          <w:sz w:val="21"/>
        </w:rPr>
        <w:t>4,385</w:t>
      </w:r>
      <w:r>
        <w:rPr>
          <w:spacing w:val="-8"/>
          <w:sz w:val="21"/>
        </w:rPr>
        <w:t> </w:t>
      </w:r>
      <w:r>
        <w:rPr>
          <w:sz w:val="21"/>
        </w:rPr>
        <w:t>asylum</w:t>
      </w:r>
      <w:r>
        <w:rPr>
          <w:spacing w:val="-5"/>
          <w:sz w:val="21"/>
        </w:rPr>
        <w:t> </w:t>
      </w:r>
      <w:r>
        <w:rPr>
          <w:sz w:val="21"/>
        </w:rPr>
        <w:t>claims</w:t>
      </w:r>
      <w:r>
        <w:rPr>
          <w:spacing w:val="-7"/>
          <w:sz w:val="21"/>
        </w:rPr>
        <w:t> </w:t>
      </w:r>
      <w:r>
        <w:rPr>
          <w:sz w:val="21"/>
        </w:rPr>
        <w:t>that</w:t>
      </w:r>
      <w:r>
        <w:rPr>
          <w:spacing w:val="-6"/>
          <w:sz w:val="21"/>
        </w:rPr>
        <w:t> </w:t>
      </w:r>
      <w:r>
        <w:rPr>
          <w:sz w:val="21"/>
        </w:rPr>
        <w:t>lead</w:t>
      </w:r>
      <w:r>
        <w:rPr>
          <w:spacing w:val="-7"/>
          <w:sz w:val="21"/>
        </w:rPr>
        <w:t> </w:t>
      </w:r>
      <w:r>
        <w:rPr>
          <w:sz w:val="21"/>
        </w:rPr>
        <w:t>to fear interviews (an interview that occurs with asylum officers when a migrant expresses fears of persecution or</w:t>
      </w:r>
      <w:r>
        <w:rPr>
          <w:spacing w:val="-6"/>
          <w:sz w:val="21"/>
        </w:rPr>
        <w:t> </w:t>
      </w:r>
      <w:r>
        <w:rPr>
          <w:sz w:val="21"/>
        </w:rPr>
        <w:t>torture</w:t>
      </w:r>
      <w:r>
        <w:rPr>
          <w:spacing w:val="-6"/>
          <w:sz w:val="21"/>
        </w:rPr>
        <w:t> </w:t>
      </w:r>
      <w:r>
        <w:rPr>
          <w:sz w:val="21"/>
        </w:rPr>
        <w:t>in</w:t>
      </w:r>
      <w:r>
        <w:rPr>
          <w:spacing w:val="-7"/>
          <w:sz w:val="21"/>
        </w:rPr>
        <w:t> </w:t>
      </w:r>
      <w:r>
        <w:rPr>
          <w:sz w:val="21"/>
        </w:rPr>
        <w:t>their</w:t>
      </w:r>
      <w:r>
        <w:rPr>
          <w:spacing w:val="-6"/>
          <w:sz w:val="21"/>
        </w:rPr>
        <w:t> </w:t>
      </w:r>
      <w:r>
        <w:rPr>
          <w:sz w:val="21"/>
        </w:rPr>
        <w:t>country</w:t>
      </w:r>
      <w:r>
        <w:rPr>
          <w:spacing w:val="-6"/>
          <w:sz w:val="21"/>
        </w:rPr>
        <w:t> </w:t>
      </w:r>
      <w:r>
        <w:rPr>
          <w:sz w:val="21"/>
        </w:rPr>
        <w:t>of</w:t>
      </w:r>
      <w:r>
        <w:rPr>
          <w:spacing w:val="-6"/>
          <w:sz w:val="21"/>
        </w:rPr>
        <w:t> </w:t>
      </w:r>
      <w:r>
        <w:rPr>
          <w:sz w:val="21"/>
        </w:rPr>
        <w:t>origin)</w:t>
      </w:r>
      <w:r>
        <w:rPr>
          <w:spacing w:val="-6"/>
          <w:sz w:val="21"/>
        </w:rPr>
        <w:t> </w:t>
      </w:r>
      <w:r>
        <w:rPr>
          <w:sz w:val="21"/>
        </w:rPr>
        <w:t>were</w:t>
      </w:r>
      <w:r>
        <w:rPr>
          <w:spacing w:val="-6"/>
          <w:sz w:val="21"/>
        </w:rPr>
        <w:t> </w:t>
      </w:r>
      <w:r>
        <w:rPr>
          <w:sz w:val="21"/>
        </w:rPr>
        <w:t>related</w:t>
      </w:r>
      <w:r>
        <w:rPr>
          <w:spacing w:val="-6"/>
          <w:sz w:val="21"/>
        </w:rPr>
        <w:t> </w:t>
      </w:r>
      <w:r>
        <w:rPr>
          <w:sz w:val="21"/>
        </w:rPr>
        <w:t>to</w:t>
      </w:r>
      <w:r>
        <w:rPr>
          <w:spacing w:val="-6"/>
          <w:sz w:val="21"/>
        </w:rPr>
        <w:t> </w:t>
      </w:r>
      <w:r>
        <w:rPr>
          <w:sz w:val="21"/>
        </w:rPr>
        <w:t>sexual</w:t>
      </w:r>
      <w:r>
        <w:rPr>
          <w:spacing w:val="-6"/>
          <w:sz w:val="21"/>
        </w:rPr>
        <w:t> </w:t>
      </w:r>
      <w:r>
        <w:rPr>
          <w:sz w:val="21"/>
        </w:rPr>
        <w:t>orientation</w:t>
      </w:r>
      <w:r>
        <w:rPr>
          <w:spacing w:val="-6"/>
          <w:sz w:val="21"/>
        </w:rPr>
        <w:t> </w:t>
      </w:r>
      <w:r>
        <w:rPr>
          <w:sz w:val="21"/>
        </w:rPr>
        <w:t>or</w:t>
      </w:r>
      <w:r>
        <w:rPr>
          <w:spacing w:val="-6"/>
          <w:sz w:val="21"/>
        </w:rPr>
        <w:t> </w:t>
      </w:r>
      <w:r>
        <w:rPr>
          <w:sz w:val="21"/>
        </w:rPr>
        <w:t>gender</w:t>
      </w:r>
      <w:r>
        <w:rPr>
          <w:spacing w:val="-6"/>
          <w:sz w:val="21"/>
        </w:rPr>
        <w:t> </w:t>
      </w:r>
      <w:r>
        <w:rPr>
          <w:sz w:val="21"/>
        </w:rPr>
        <w:t>identity.</w:t>
      </w:r>
      <w:r>
        <w:rPr>
          <w:sz w:val="21"/>
          <w:vertAlign w:val="superscript"/>
        </w:rPr>
        <w:t>3</w:t>
      </w:r>
      <w:r>
        <w:rPr>
          <w:spacing w:val="-6"/>
          <w:sz w:val="21"/>
          <w:vertAlign w:val="baseline"/>
        </w:rPr>
        <w:t> </w:t>
      </w:r>
      <w:r>
        <w:rPr>
          <w:sz w:val="21"/>
          <w:vertAlign w:val="baseline"/>
        </w:rPr>
        <w:t>Other</w:t>
      </w:r>
      <w:r>
        <w:rPr>
          <w:spacing w:val="-8"/>
          <w:sz w:val="21"/>
          <w:vertAlign w:val="baseline"/>
        </w:rPr>
        <w:t> </w:t>
      </w:r>
      <w:r>
        <w:rPr>
          <w:sz w:val="21"/>
          <w:vertAlign w:val="baseline"/>
        </w:rPr>
        <w:t>LGBTQ</w:t>
      </w:r>
      <w:r>
        <w:rPr>
          <w:spacing w:val="-5"/>
          <w:sz w:val="21"/>
          <w:vertAlign w:val="baseline"/>
        </w:rPr>
        <w:t> </w:t>
      </w:r>
      <w:r>
        <w:rPr>
          <w:sz w:val="21"/>
          <w:vertAlign w:val="baseline"/>
        </w:rPr>
        <w:t>youth may migrate to the U.S. for unrelated reasons, but may have experiences in the U.S. related to their sexual orientation</w:t>
      </w:r>
      <w:r>
        <w:rPr>
          <w:spacing w:val="-12"/>
          <w:sz w:val="21"/>
          <w:vertAlign w:val="baseline"/>
        </w:rPr>
        <w:t> </w:t>
      </w:r>
      <w:r>
        <w:rPr>
          <w:sz w:val="21"/>
          <w:vertAlign w:val="baseline"/>
        </w:rPr>
        <w:t>and/or</w:t>
      </w:r>
      <w:r>
        <w:rPr>
          <w:spacing w:val="-12"/>
          <w:sz w:val="21"/>
          <w:vertAlign w:val="baseline"/>
        </w:rPr>
        <w:t> </w:t>
      </w:r>
      <w:r>
        <w:rPr>
          <w:sz w:val="21"/>
          <w:vertAlign w:val="baseline"/>
        </w:rPr>
        <w:t>gender</w:t>
      </w:r>
      <w:r>
        <w:rPr>
          <w:spacing w:val="-12"/>
          <w:sz w:val="21"/>
          <w:vertAlign w:val="baseline"/>
        </w:rPr>
        <w:t> </w:t>
      </w:r>
      <w:r>
        <w:rPr>
          <w:sz w:val="21"/>
          <w:vertAlign w:val="baseline"/>
        </w:rPr>
        <w:t>identity</w:t>
      </w:r>
      <w:r>
        <w:rPr>
          <w:spacing w:val="-12"/>
          <w:sz w:val="21"/>
          <w:vertAlign w:val="baseline"/>
        </w:rPr>
        <w:t> </w:t>
      </w:r>
      <w:r>
        <w:rPr>
          <w:sz w:val="21"/>
          <w:vertAlign w:val="baseline"/>
        </w:rPr>
        <w:t>that</w:t>
      </w:r>
      <w:r>
        <w:rPr>
          <w:spacing w:val="-12"/>
          <w:sz w:val="21"/>
          <w:vertAlign w:val="baseline"/>
        </w:rPr>
        <w:t> </w:t>
      </w:r>
      <w:r>
        <w:rPr>
          <w:sz w:val="21"/>
          <w:vertAlign w:val="baseline"/>
        </w:rPr>
        <w:t>compounds</w:t>
      </w:r>
      <w:r>
        <w:rPr>
          <w:spacing w:val="-12"/>
          <w:sz w:val="21"/>
          <w:vertAlign w:val="baseline"/>
        </w:rPr>
        <w:t> </w:t>
      </w:r>
      <w:r>
        <w:rPr>
          <w:sz w:val="21"/>
          <w:vertAlign w:val="baseline"/>
        </w:rPr>
        <w:t>their</w:t>
      </w:r>
      <w:r>
        <w:rPr>
          <w:spacing w:val="-12"/>
          <w:sz w:val="21"/>
          <w:vertAlign w:val="baseline"/>
        </w:rPr>
        <w:t> </w:t>
      </w:r>
      <w:r>
        <w:rPr>
          <w:sz w:val="21"/>
          <w:vertAlign w:val="baseline"/>
        </w:rPr>
        <w:t>difficulty</w:t>
      </w:r>
      <w:r>
        <w:rPr>
          <w:spacing w:val="-11"/>
          <w:sz w:val="21"/>
          <w:vertAlign w:val="baseline"/>
        </w:rPr>
        <w:t> </w:t>
      </w:r>
      <w:r>
        <w:rPr>
          <w:sz w:val="21"/>
          <w:vertAlign w:val="baseline"/>
        </w:rPr>
        <w:t>in</w:t>
      </w:r>
      <w:r>
        <w:rPr>
          <w:spacing w:val="-12"/>
          <w:sz w:val="21"/>
          <w:vertAlign w:val="baseline"/>
        </w:rPr>
        <w:t> </w:t>
      </w:r>
      <w:r>
        <w:rPr>
          <w:sz w:val="21"/>
          <w:vertAlign w:val="baseline"/>
        </w:rPr>
        <w:t>accessing</w:t>
      </w:r>
      <w:r>
        <w:rPr>
          <w:spacing w:val="-12"/>
          <w:sz w:val="21"/>
          <w:vertAlign w:val="baseline"/>
        </w:rPr>
        <w:t> </w:t>
      </w:r>
      <w:r>
        <w:rPr>
          <w:sz w:val="21"/>
          <w:vertAlign w:val="baseline"/>
        </w:rPr>
        <w:t>appropriate</w:t>
      </w:r>
      <w:r>
        <w:rPr>
          <w:spacing w:val="-12"/>
          <w:sz w:val="21"/>
          <w:vertAlign w:val="baseline"/>
        </w:rPr>
        <w:t> </w:t>
      </w:r>
      <w:r>
        <w:rPr>
          <w:sz w:val="21"/>
          <w:vertAlign w:val="baseline"/>
        </w:rPr>
        <w:t>services.</w:t>
      </w:r>
      <w:r>
        <w:rPr>
          <w:spacing w:val="-12"/>
          <w:sz w:val="21"/>
          <w:vertAlign w:val="baseline"/>
        </w:rPr>
        <w:t> </w:t>
      </w:r>
      <w:r>
        <w:rPr>
          <w:sz w:val="21"/>
          <w:vertAlign w:val="baseline"/>
        </w:rPr>
        <w:t>Dual-layer minority statuses often create obstacles to accessing resources and support; often LGBTQ immigrants report high</w:t>
      </w:r>
      <w:r>
        <w:rPr>
          <w:spacing w:val="-8"/>
          <w:sz w:val="21"/>
          <w:vertAlign w:val="baseline"/>
        </w:rPr>
        <w:t> </w:t>
      </w:r>
      <w:r>
        <w:rPr>
          <w:sz w:val="21"/>
          <w:vertAlign w:val="baseline"/>
        </w:rPr>
        <w:t>rates</w:t>
      </w:r>
      <w:r>
        <w:rPr>
          <w:spacing w:val="-8"/>
          <w:sz w:val="21"/>
          <w:vertAlign w:val="baseline"/>
        </w:rPr>
        <w:t> </w:t>
      </w:r>
      <w:r>
        <w:rPr>
          <w:sz w:val="21"/>
          <w:vertAlign w:val="baseline"/>
        </w:rPr>
        <w:t>of</w:t>
      </w:r>
      <w:r>
        <w:rPr>
          <w:spacing w:val="-8"/>
          <w:sz w:val="21"/>
          <w:vertAlign w:val="baseline"/>
        </w:rPr>
        <w:t> </w:t>
      </w:r>
      <w:r>
        <w:rPr>
          <w:sz w:val="21"/>
          <w:vertAlign w:val="baseline"/>
        </w:rPr>
        <w:t>discrimination</w:t>
      </w:r>
      <w:r>
        <w:rPr>
          <w:spacing w:val="-8"/>
          <w:sz w:val="21"/>
          <w:vertAlign w:val="baseline"/>
        </w:rPr>
        <w:t> </w:t>
      </w:r>
      <w:r>
        <w:rPr>
          <w:sz w:val="21"/>
          <w:vertAlign w:val="baseline"/>
        </w:rPr>
        <w:t>related</w:t>
      </w:r>
      <w:r>
        <w:rPr>
          <w:spacing w:val="-8"/>
          <w:sz w:val="21"/>
          <w:vertAlign w:val="baseline"/>
        </w:rPr>
        <w:t> </w:t>
      </w:r>
      <w:r>
        <w:rPr>
          <w:sz w:val="21"/>
          <w:vertAlign w:val="baseline"/>
        </w:rPr>
        <w:t>to</w:t>
      </w:r>
      <w:r>
        <w:rPr>
          <w:spacing w:val="-8"/>
          <w:sz w:val="21"/>
          <w:vertAlign w:val="baseline"/>
        </w:rPr>
        <w:t> </w:t>
      </w:r>
      <w:r>
        <w:rPr>
          <w:sz w:val="21"/>
          <w:vertAlign w:val="baseline"/>
        </w:rPr>
        <w:t>their</w:t>
      </w:r>
      <w:r>
        <w:rPr>
          <w:spacing w:val="-9"/>
          <w:sz w:val="21"/>
          <w:vertAlign w:val="baseline"/>
        </w:rPr>
        <w:t> </w:t>
      </w:r>
      <w:r>
        <w:rPr>
          <w:sz w:val="21"/>
          <w:vertAlign w:val="baseline"/>
        </w:rPr>
        <w:t>sexual</w:t>
      </w:r>
      <w:r>
        <w:rPr>
          <w:spacing w:val="-8"/>
          <w:sz w:val="21"/>
          <w:vertAlign w:val="baseline"/>
        </w:rPr>
        <w:t> </w:t>
      </w:r>
      <w:r>
        <w:rPr>
          <w:sz w:val="21"/>
          <w:vertAlign w:val="baseline"/>
        </w:rPr>
        <w:t>orientation</w:t>
      </w:r>
      <w:r>
        <w:rPr>
          <w:spacing w:val="-8"/>
          <w:sz w:val="21"/>
          <w:vertAlign w:val="baseline"/>
        </w:rPr>
        <w:t> </w:t>
      </w:r>
      <w:r>
        <w:rPr>
          <w:sz w:val="21"/>
          <w:vertAlign w:val="baseline"/>
        </w:rPr>
        <w:t>and</w:t>
      </w:r>
      <w:r>
        <w:rPr>
          <w:spacing w:val="-8"/>
          <w:sz w:val="21"/>
          <w:vertAlign w:val="baseline"/>
        </w:rPr>
        <w:t> </w:t>
      </w:r>
      <w:r>
        <w:rPr>
          <w:sz w:val="21"/>
          <w:vertAlign w:val="baseline"/>
        </w:rPr>
        <w:t>gender</w:t>
      </w:r>
      <w:r>
        <w:rPr>
          <w:spacing w:val="-8"/>
          <w:sz w:val="21"/>
          <w:vertAlign w:val="baseline"/>
        </w:rPr>
        <w:t> </w:t>
      </w:r>
      <w:r>
        <w:rPr>
          <w:sz w:val="21"/>
          <w:vertAlign w:val="baseline"/>
        </w:rPr>
        <w:t>identity,</w:t>
      </w:r>
      <w:r>
        <w:rPr>
          <w:spacing w:val="-8"/>
          <w:sz w:val="21"/>
          <w:vertAlign w:val="baseline"/>
        </w:rPr>
        <w:t> </w:t>
      </w:r>
      <w:r>
        <w:rPr>
          <w:sz w:val="21"/>
          <w:vertAlign w:val="baseline"/>
        </w:rPr>
        <w:t>as</w:t>
      </w:r>
      <w:r>
        <w:rPr>
          <w:spacing w:val="-8"/>
          <w:sz w:val="21"/>
          <w:vertAlign w:val="baseline"/>
        </w:rPr>
        <w:t> </w:t>
      </w:r>
      <w:r>
        <w:rPr>
          <w:sz w:val="21"/>
          <w:vertAlign w:val="baseline"/>
        </w:rPr>
        <w:t>well</w:t>
      </w:r>
      <w:r>
        <w:rPr>
          <w:spacing w:val="-8"/>
          <w:sz w:val="21"/>
          <w:vertAlign w:val="baseline"/>
        </w:rPr>
        <w:t> </w:t>
      </w:r>
      <w:r>
        <w:rPr>
          <w:sz w:val="21"/>
          <w:vertAlign w:val="baseline"/>
        </w:rPr>
        <w:t>as</w:t>
      </w:r>
      <w:r>
        <w:rPr>
          <w:spacing w:val="-8"/>
          <w:sz w:val="21"/>
          <w:vertAlign w:val="baseline"/>
        </w:rPr>
        <w:t> </w:t>
      </w:r>
      <w:r>
        <w:rPr>
          <w:sz w:val="21"/>
          <w:vertAlign w:val="baseline"/>
        </w:rPr>
        <w:t>their</w:t>
      </w:r>
      <w:r>
        <w:rPr>
          <w:spacing w:val="-8"/>
          <w:sz w:val="21"/>
          <w:vertAlign w:val="baseline"/>
        </w:rPr>
        <w:t> </w:t>
      </w:r>
      <w:r>
        <w:rPr>
          <w:sz w:val="21"/>
          <w:vertAlign w:val="baseline"/>
        </w:rPr>
        <w:t>immigration status or the immigration status of their families.</w:t>
      </w:r>
    </w:p>
    <w:p>
      <w:pPr>
        <w:spacing w:before="240"/>
        <w:ind w:left="483" w:right="0" w:firstLine="0"/>
        <w:jc w:val="both"/>
        <w:rPr>
          <w:sz w:val="28"/>
        </w:rPr>
      </w:pPr>
      <w:r>
        <w:rPr>
          <w:color w:val="365F91"/>
          <w:sz w:val="28"/>
        </w:rPr>
        <w:t>Past</w:t>
      </w:r>
      <w:r>
        <w:rPr>
          <w:color w:val="365F91"/>
          <w:spacing w:val="-7"/>
          <w:sz w:val="28"/>
        </w:rPr>
        <w:t> </w:t>
      </w:r>
      <w:r>
        <w:rPr>
          <w:color w:val="365F91"/>
          <w:sz w:val="28"/>
        </w:rPr>
        <w:t>&amp;</w:t>
      </w:r>
      <w:r>
        <w:rPr>
          <w:color w:val="365F91"/>
          <w:spacing w:val="-7"/>
          <w:sz w:val="28"/>
        </w:rPr>
        <w:t> </w:t>
      </w:r>
      <w:r>
        <w:rPr>
          <w:color w:val="365F91"/>
          <w:sz w:val="28"/>
        </w:rPr>
        <w:t>Ongoing</w:t>
      </w:r>
      <w:r>
        <w:rPr>
          <w:color w:val="365F91"/>
          <w:spacing w:val="-7"/>
          <w:sz w:val="28"/>
        </w:rPr>
        <w:t> </w:t>
      </w:r>
      <w:r>
        <w:rPr>
          <w:color w:val="365F91"/>
          <w:spacing w:val="-4"/>
          <w:sz w:val="28"/>
        </w:rPr>
        <w:t>Work</w:t>
      </w:r>
    </w:p>
    <w:p>
      <w:pPr>
        <w:spacing w:line="276" w:lineRule="auto" w:before="291"/>
        <w:ind w:left="483" w:right="340" w:firstLine="0"/>
        <w:jc w:val="both"/>
        <w:rPr>
          <w:sz w:val="21"/>
        </w:rPr>
      </w:pPr>
      <w:r>
        <w:rPr>
          <w:sz w:val="21"/>
        </w:rPr>
        <w:t>The</w:t>
      </w:r>
      <w:r>
        <w:rPr>
          <w:spacing w:val="-2"/>
          <w:sz w:val="21"/>
        </w:rPr>
        <w:t> </w:t>
      </w:r>
      <w:r>
        <w:rPr>
          <w:sz w:val="21"/>
        </w:rPr>
        <w:t>Commission</w:t>
      </w:r>
      <w:r>
        <w:rPr>
          <w:spacing w:val="-2"/>
          <w:sz w:val="21"/>
        </w:rPr>
        <w:t> </w:t>
      </w:r>
      <w:r>
        <w:rPr>
          <w:sz w:val="21"/>
        </w:rPr>
        <w:t>appreciates</w:t>
      </w:r>
      <w:r>
        <w:rPr>
          <w:spacing w:val="-2"/>
          <w:sz w:val="21"/>
        </w:rPr>
        <w:t> </w:t>
      </w:r>
      <w:r>
        <w:rPr>
          <w:sz w:val="21"/>
        </w:rPr>
        <w:t>the</w:t>
      </w:r>
      <w:r>
        <w:rPr>
          <w:spacing w:val="-3"/>
          <w:sz w:val="21"/>
        </w:rPr>
        <w:t> </w:t>
      </w:r>
      <w:r>
        <w:rPr>
          <w:sz w:val="21"/>
        </w:rPr>
        <w:t>new</w:t>
      </w:r>
      <w:r>
        <w:rPr>
          <w:spacing w:val="-2"/>
          <w:sz w:val="21"/>
        </w:rPr>
        <w:t> </w:t>
      </w:r>
      <w:r>
        <w:rPr>
          <w:sz w:val="21"/>
        </w:rPr>
        <w:t>energy</w:t>
      </w:r>
      <w:r>
        <w:rPr>
          <w:spacing w:val="-2"/>
          <w:sz w:val="21"/>
        </w:rPr>
        <w:t> </w:t>
      </w:r>
      <w:r>
        <w:rPr>
          <w:sz w:val="21"/>
        </w:rPr>
        <w:t>that</w:t>
      </w:r>
      <w:r>
        <w:rPr>
          <w:spacing w:val="-3"/>
          <w:sz w:val="21"/>
        </w:rPr>
        <w:t> </w:t>
      </w:r>
      <w:r>
        <w:rPr>
          <w:sz w:val="21"/>
        </w:rPr>
        <w:t>ORI</w:t>
      </w:r>
      <w:r>
        <w:rPr>
          <w:spacing w:val="-3"/>
          <w:sz w:val="21"/>
        </w:rPr>
        <w:t> </w:t>
      </w:r>
      <w:r>
        <w:rPr>
          <w:sz w:val="21"/>
        </w:rPr>
        <w:t>has</w:t>
      </w:r>
      <w:r>
        <w:rPr>
          <w:spacing w:val="-2"/>
          <w:sz w:val="21"/>
        </w:rPr>
        <w:t> </w:t>
      </w:r>
      <w:r>
        <w:rPr>
          <w:sz w:val="21"/>
        </w:rPr>
        <w:t>brought</w:t>
      </w:r>
      <w:r>
        <w:rPr>
          <w:spacing w:val="-2"/>
          <w:sz w:val="21"/>
        </w:rPr>
        <w:t> </w:t>
      </w:r>
      <w:r>
        <w:rPr>
          <w:sz w:val="21"/>
        </w:rPr>
        <w:t>to</w:t>
      </w:r>
      <w:r>
        <w:rPr>
          <w:spacing w:val="-3"/>
          <w:sz w:val="21"/>
        </w:rPr>
        <w:t> </w:t>
      </w:r>
      <w:r>
        <w:rPr>
          <w:sz w:val="21"/>
        </w:rPr>
        <w:t>its</w:t>
      </w:r>
      <w:r>
        <w:rPr>
          <w:spacing w:val="-2"/>
          <w:sz w:val="21"/>
        </w:rPr>
        <w:t> </w:t>
      </w:r>
      <w:r>
        <w:rPr>
          <w:sz w:val="21"/>
        </w:rPr>
        <w:t>collaborative</w:t>
      </w:r>
      <w:r>
        <w:rPr>
          <w:spacing w:val="-2"/>
          <w:sz w:val="21"/>
        </w:rPr>
        <w:t> </w:t>
      </w:r>
      <w:r>
        <w:rPr>
          <w:sz w:val="21"/>
        </w:rPr>
        <w:t>conversations</w:t>
      </w:r>
      <w:r>
        <w:rPr>
          <w:spacing w:val="-2"/>
          <w:sz w:val="21"/>
        </w:rPr>
        <w:t> </w:t>
      </w:r>
      <w:r>
        <w:rPr>
          <w:sz w:val="21"/>
        </w:rPr>
        <w:t>in</w:t>
      </w:r>
      <w:r>
        <w:rPr>
          <w:spacing w:val="-2"/>
          <w:sz w:val="21"/>
        </w:rPr>
        <w:t> </w:t>
      </w:r>
      <w:r>
        <w:rPr>
          <w:sz w:val="21"/>
        </w:rPr>
        <w:t>late</w:t>
      </w:r>
      <w:r>
        <w:rPr>
          <w:spacing w:val="-3"/>
          <w:sz w:val="21"/>
        </w:rPr>
        <w:t> </w:t>
      </w:r>
      <w:r>
        <w:rPr>
          <w:sz w:val="21"/>
        </w:rPr>
        <w:t>FY 2024 and understands that the agency is hoping to do more concrete work in this area in the upcoming fiscal year. Over FY 2024, the agency has begun engaging its service providers more to solicit data and feedback on how</w:t>
      </w:r>
      <w:r>
        <w:rPr>
          <w:spacing w:val="-6"/>
          <w:sz w:val="21"/>
        </w:rPr>
        <w:t> </w:t>
      </w:r>
      <w:r>
        <w:rPr>
          <w:sz w:val="21"/>
        </w:rPr>
        <w:t>the</w:t>
      </w:r>
      <w:r>
        <w:rPr>
          <w:spacing w:val="-5"/>
          <w:sz w:val="21"/>
        </w:rPr>
        <w:t> </w:t>
      </w:r>
      <w:r>
        <w:rPr>
          <w:sz w:val="21"/>
        </w:rPr>
        <w:t>agency</w:t>
      </w:r>
      <w:r>
        <w:rPr>
          <w:spacing w:val="-6"/>
          <w:sz w:val="21"/>
        </w:rPr>
        <w:t> </w:t>
      </w:r>
      <w:r>
        <w:rPr>
          <w:sz w:val="21"/>
        </w:rPr>
        <w:t>can</w:t>
      </w:r>
      <w:r>
        <w:rPr>
          <w:spacing w:val="-5"/>
          <w:sz w:val="21"/>
        </w:rPr>
        <w:t> </w:t>
      </w:r>
      <w:r>
        <w:rPr>
          <w:sz w:val="21"/>
        </w:rPr>
        <w:t>better</w:t>
      </w:r>
      <w:r>
        <w:rPr>
          <w:spacing w:val="-6"/>
          <w:sz w:val="21"/>
        </w:rPr>
        <w:t> </w:t>
      </w:r>
      <w:r>
        <w:rPr>
          <w:sz w:val="21"/>
        </w:rPr>
        <w:t>support</w:t>
      </w:r>
      <w:r>
        <w:rPr>
          <w:spacing w:val="-5"/>
          <w:sz w:val="21"/>
        </w:rPr>
        <w:t> </w:t>
      </w:r>
      <w:r>
        <w:rPr>
          <w:sz w:val="21"/>
        </w:rPr>
        <w:t>service</w:t>
      </w:r>
      <w:r>
        <w:rPr>
          <w:spacing w:val="-5"/>
          <w:sz w:val="21"/>
        </w:rPr>
        <w:t> </w:t>
      </w:r>
      <w:r>
        <w:rPr>
          <w:sz w:val="21"/>
        </w:rPr>
        <w:t>provision.</w:t>
      </w:r>
      <w:r>
        <w:rPr>
          <w:spacing w:val="-6"/>
          <w:sz w:val="21"/>
        </w:rPr>
        <w:t> </w:t>
      </w:r>
      <w:r>
        <w:rPr>
          <w:sz w:val="21"/>
        </w:rPr>
        <w:t>Additionally,</w:t>
      </w:r>
      <w:r>
        <w:rPr>
          <w:spacing w:val="-5"/>
          <w:sz w:val="21"/>
        </w:rPr>
        <w:t> </w:t>
      </w:r>
      <w:r>
        <w:rPr>
          <w:sz w:val="21"/>
        </w:rPr>
        <w:t>ORI</w:t>
      </w:r>
      <w:r>
        <w:rPr>
          <w:spacing w:val="-5"/>
          <w:sz w:val="21"/>
        </w:rPr>
        <w:t> </w:t>
      </w:r>
      <w:r>
        <w:rPr>
          <w:sz w:val="21"/>
        </w:rPr>
        <w:t>notes</w:t>
      </w:r>
      <w:r>
        <w:rPr>
          <w:spacing w:val="-6"/>
          <w:sz w:val="21"/>
        </w:rPr>
        <w:t> </w:t>
      </w:r>
      <w:r>
        <w:rPr>
          <w:sz w:val="21"/>
        </w:rPr>
        <w:t>that</w:t>
      </w:r>
      <w:r>
        <w:rPr>
          <w:spacing w:val="-7"/>
          <w:sz w:val="21"/>
        </w:rPr>
        <w:t> </w:t>
      </w:r>
      <w:r>
        <w:rPr>
          <w:sz w:val="21"/>
        </w:rPr>
        <w:t>all</w:t>
      </w:r>
      <w:r>
        <w:rPr>
          <w:spacing w:val="-5"/>
          <w:sz w:val="21"/>
        </w:rPr>
        <w:t> </w:t>
      </w:r>
      <w:r>
        <w:rPr>
          <w:sz w:val="21"/>
        </w:rPr>
        <w:t>contracted</w:t>
      </w:r>
      <w:r>
        <w:rPr>
          <w:spacing w:val="-6"/>
          <w:sz w:val="21"/>
        </w:rPr>
        <w:t> </w:t>
      </w:r>
      <w:r>
        <w:rPr>
          <w:sz w:val="21"/>
        </w:rPr>
        <w:t>agencies</w:t>
      </w:r>
      <w:r>
        <w:rPr>
          <w:spacing w:val="-6"/>
          <w:sz w:val="21"/>
        </w:rPr>
        <w:t> </w:t>
      </w:r>
      <w:r>
        <w:rPr>
          <w:sz w:val="21"/>
        </w:rPr>
        <w:t>have the</w:t>
      </w:r>
      <w:r>
        <w:rPr>
          <w:spacing w:val="-4"/>
          <w:sz w:val="21"/>
        </w:rPr>
        <w:t> </w:t>
      </w:r>
      <w:r>
        <w:rPr>
          <w:sz w:val="21"/>
        </w:rPr>
        <w:t>option</w:t>
      </w:r>
      <w:r>
        <w:rPr>
          <w:spacing w:val="-4"/>
          <w:sz w:val="21"/>
        </w:rPr>
        <w:t> </w:t>
      </w:r>
      <w:r>
        <w:rPr>
          <w:sz w:val="21"/>
        </w:rPr>
        <w:t>of</w:t>
      </w:r>
      <w:r>
        <w:rPr>
          <w:spacing w:val="-5"/>
          <w:sz w:val="21"/>
        </w:rPr>
        <w:t> </w:t>
      </w:r>
      <w:r>
        <w:rPr>
          <w:sz w:val="21"/>
        </w:rPr>
        <w:t>including</w:t>
      </w:r>
      <w:r>
        <w:rPr>
          <w:spacing w:val="-5"/>
          <w:sz w:val="21"/>
        </w:rPr>
        <w:t> </w:t>
      </w:r>
      <w:r>
        <w:rPr>
          <w:sz w:val="21"/>
        </w:rPr>
        <w:t>information</w:t>
      </w:r>
      <w:r>
        <w:rPr>
          <w:spacing w:val="-4"/>
          <w:sz w:val="21"/>
        </w:rPr>
        <w:t> </w:t>
      </w:r>
      <w:r>
        <w:rPr>
          <w:sz w:val="21"/>
        </w:rPr>
        <w:t>regarding</w:t>
      </w:r>
      <w:r>
        <w:rPr>
          <w:spacing w:val="-5"/>
          <w:sz w:val="21"/>
        </w:rPr>
        <w:t> </w:t>
      </w:r>
      <w:r>
        <w:rPr>
          <w:sz w:val="21"/>
        </w:rPr>
        <w:t>services</w:t>
      </w:r>
      <w:r>
        <w:rPr>
          <w:spacing w:val="-5"/>
          <w:sz w:val="21"/>
        </w:rPr>
        <w:t> </w:t>
      </w:r>
      <w:r>
        <w:rPr>
          <w:sz w:val="21"/>
        </w:rPr>
        <w:t>provided</w:t>
      </w:r>
      <w:r>
        <w:rPr>
          <w:spacing w:val="-4"/>
          <w:sz w:val="21"/>
        </w:rPr>
        <w:t> </w:t>
      </w:r>
      <w:r>
        <w:rPr>
          <w:sz w:val="21"/>
        </w:rPr>
        <w:t>to</w:t>
      </w:r>
      <w:r>
        <w:rPr>
          <w:spacing w:val="-4"/>
          <w:sz w:val="21"/>
        </w:rPr>
        <w:t> </w:t>
      </w:r>
      <w:r>
        <w:rPr>
          <w:sz w:val="21"/>
        </w:rPr>
        <w:t>LGBTQ</w:t>
      </w:r>
      <w:r>
        <w:rPr>
          <w:spacing w:val="-4"/>
          <w:sz w:val="21"/>
        </w:rPr>
        <w:t> </w:t>
      </w:r>
      <w:r>
        <w:rPr>
          <w:sz w:val="21"/>
        </w:rPr>
        <w:t>refugees</w:t>
      </w:r>
      <w:r>
        <w:rPr>
          <w:spacing w:val="-5"/>
          <w:sz w:val="21"/>
        </w:rPr>
        <w:t> </w:t>
      </w:r>
      <w:r>
        <w:rPr>
          <w:sz w:val="21"/>
        </w:rPr>
        <w:t>in</w:t>
      </w:r>
      <w:r>
        <w:rPr>
          <w:spacing w:val="-4"/>
          <w:sz w:val="21"/>
        </w:rPr>
        <w:t> </w:t>
      </w:r>
      <w:r>
        <w:rPr>
          <w:sz w:val="21"/>
        </w:rPr>
        <w:t>their</w:t>
      </w:r>
      <w:r>
        <w:rPr>
          <w:spacing w:val="-4"/>
          <w:sz w:val="21"/>
        </w:rPr>
        <w:t> </w:t>
      </w:r>
      <w:r>
        <w:rPr>
          <w:sz w:val="21"/>
        </w:rPr>
        <w:t>reporting,</w:t>
      </w:r>
      <w:r>
        <w:rPr>
          <w:spacing w:val="-4"/>
          <w:sz w:val="21"/>
        </w:rPr>
        <w:t> </w:t>
      </w:r>
      <w:r>
        <w:rPr>
          <w:sz w:val="21"/>
        </w:rPr>
        <w:t>and</w:t>
      </w:r>
      <w:r>
        <w:rPr>
          <w:spacing w:val="-5"/>
          <w:sz w:val="21"/>
        </w:rPr>
        <w:t> </w:t>
      </w:r>
      <w:r>
        <w:rPr>
          <w:sz w:val="21"/>
        </w:rPr>
        <w:t>that it includes language in its procurement and contracts around quality services for underserved populations.</w:t>
      </w:r>
    </w:p>
    <w:p>
      <w:pPr>
        <w:spacing w:line="276" w:lineRule="auto" w:before="240"/>
        <w:ind w:left="483" w:right="340" w:firstLine="0"/>
        <w:jc w:val="both"/>
        <w:rPr>
          <w:sz w:val="21"/>
        </w:rPr>
      </w:pPr>
      <w:r>
        <w:rPr>
          <w:sz w:val="21"/>
        </w:rPr>
        <w:t>As noted below, the Commission continues to recommend that ORI offers mandatory LGBTQ cultural engagement to all staff and offers similar trainings for direct service providers - and examine the policies and practices</w:t>
      </w:r>
      <w:r>
        <w:rPr>
          <w:spacing w:val="-10"/>
          <w:sz w:val="21"/>
        </w:rPr>
        <w:t> </w:t>
      </w:r>
      <w:r>
        <w:rPr>
          <w:sz w:val="21"/>
        </w:rPr>
        <w:t>of</w:t>
      </w:r>
      <w:r>
        <w:rPr>
          <w:spacing w:val="-10"/>
          <w:sz w:val="21"/>
        </w:rPr>
        <w:t> </w:t>
      </w:r>
      <w:r>
        <w:rPr>
          <w:sz w:val="21"/>
        </w:rPr>
        <w:t>each</w:t>
      </w:r>
      <w:r>
        <w:rPr>
          <w:spacing w:val="-9"/>
          <w:sz w:val="21"/>
        </w:rPr>
        <w:t> </w:t>
      </w:r>
      <w:r>
        <w:rPr>
          <w:sz w:val="21"/>
        </w:rPr>
        <w:t>program</w:t>
      </w:r>
      <w:r>
        <w:rPr>
          <w:spacing w:val="-10"/>
          <w:sz w:val="21"/>
        </w:rPr>
        <w:t> </w:t>
      </w:r>
      <w:r>
        <w:rPr>
          <w:sz w:val="21"/>
        </w:rPr>
        <w:t>that</w:t>
      </w:r>
      <w:r>
        <w:rPr>
          <w:spacing w:val="-9"/>
          <w:sz w:val="21"/>
        </w:rPr>
        <w:t> </w:t>
      </w:r>
      <w:r>
        <w:rPr>
          <w:sz w:val="21"/>
        </w:rPr>
        <w:t>ORI</w:t>
      </w:r>
      <w:r>
        <w:rPr>
          <w:spacing w:val="-11"/>
          <w:sz w:val="21"/>
        </w:rPr>
        <w:t> </w:t>
      </w:r>
      <w:r>
        <w:rPr>
          <w:sz w:val="21"/>
        </w:rPr>
        <w:t>refers</w:t>
      </w:r>
      <w:r>
        <w:rPr>
          <w:spacing w:val="-10"/>
          <w:sz w:val="21"/>
        </w:rPr>
        <w:t> </w:t>
      </w:r>
      <w:r>
        <w:rPr>
          <w:sz w:val="21"/>
        </w:rPr>
        <w:t>its</w:t>
      </w:r>
      <w:r>
        <w:rPr>
          <w:spacing w:val="-10"/>
          <w:sz w:val="21"/>
        </w:rPr>
        <w:t> </w:t>
      </w:r>
      <w:r>
        <w:rPr>
          <w:sz w:val="21"/>
        </w:rPr>
        <w:t>clients</w:t>
      </w:r>
      <w:r>
        <w:rPr>
          <w:spacing w:val="-10"/>
          <w:sz w:val="21"/>
        </w:rPr>
        <w:t> </w:t>
      </w:r>
      <w:r>
        <w:rPr>
          <w:sz w:val="21"/>
        </w:rPr>
        <w:t>to</w:t>
      </w:r>
      <w:r>
        <w:rPr>
          <w:spacing w:val="-11"/>
          <w:sz w:val="21"/>
        </w:rPr>
        <w:t> </w:t>
      </w:r>
      <w:r>
        <w:rPr>
          <w:sz w:val="21"/>
        </w:rPr>
        <w:t>for</w:t>
      </w:r>
      <w:r>
        <w:rPr>
          <w:spacing w:val="-10"/>
          <w:sz w:val="21"/>
        </w:rPr>
        <w:t> </w:t>
      </w:r>
      <w:r>
        <w:rPr>
          <w:sz w:val="21"/>
        </w:rPr>
        <w:t>services.</w:t>
      </w:r>
      <w:r>
        <w:rPr>
          <w:spacing w:val="-9"/>
          <w:sz w:val="21"/>
        </w:rPr>
        <w:t> </w:t>
      </w:r>
      <w:r>
        <w:rPr>
          <w:sz w:val="21"/>
        </w:rPr>
        <w:t>ORI</w:t>
      </w:r>
      <w:r>
        <w:rPr>
          <w:spacing w:val="-9"/>
          <w:sz w:val="21"/>
        </w:rPr>
        <w:t> </w:t>
      </w:r>
      <w:r>
        <w:rPr>
          <w:sz w:val="21"/>
        </w:rPr>
        <w:t>has</w:t>
      </w:r>
      <w:r>
        <w:rPr>
          <w:spacing w:val="-10"/>
          <w:sz w:val="21"/>
        </w:rPr>
        <w:t> </w:t>
      </w:r>
      <w:r>
        <w:rPr>
          <w:sz w:val="21"/>
        </w:rPr>
        <w:t>not</w:t>
      </w:r>
      <w:r>
        <w:rPr>
          <w:spacing w:val="-9"/>
          <w:sz w:val="21"/>
        </w:rPr>
        <w:t> </w:t>
      </w:r>
      <w:r>
        <w:rPr>
          <w:sz w:val="21"/>
        </w:rPr>
        <w:t>undertaken</w:t>
      </w:r>
      <w:r>
        <w:rPr>
          <w:spacing w:val="-10"/>
          <w:sz w:val="21"/>
        </w:rPr>
        <w:t> </w:t>
      </w:r>
      <w:r>
        <w:rPr>
          <w:sz w:val="21"/>
        </w:rPr>
        <w:t>a</w:t>
      </w:r>
      <w:r>
        <w:rPr>
          <w:spacing w:val="-10"/>
          <w:sz w:val="21"/>
        </w:rPr>
        <w:t> </w:t>
      </w:r>
      <w:r>
        <w:rPr>
          <w:sz w:val="21"/>
        </w:rPr>
        <w:t>training</w:t>
      </w:r>
      <w:r>
        <w:rPr>
          <w:spacing w:val="-10"/>
          <w:sz w:val="21"/>
        </w:rPr>
        <w:t> </w:t>
      </w:r>
      <w:r>
        <w:rPr>
          <w:sz w:val="21"/>
        </w:rPr>
        <w:t>on</w:t>
      </w:r>
      <w:r>
        <w:rPr>
          <w:spacing w:val="-9"/>
          <w:sz w:val="21"/>
        </w:rPr>
        <w:t> </w:t>
      </w:r>
      <w:r>
        <w:rPr>
          <w:sz w:val="21"/>
        </w:rPr>
        <w:t>LGBTQ cultural engagement since 2016. While the Commission understands that ORI, like many state agencies, struggles</w:t>
      </w:r>
      <w:r>
        <w:rPr>
          <w:spacing w:val="-12"/>
          <w:sz w:val="21"/>
        </w:rPr>
        <w:t> </w:t>
      </w:r>
      <w:r>
        <w:rPr>
          <w:sz w:val="21"/>
        </w:rPr>
        <w:t>with</w:t>
      </w:r>
      <w:r>
        <w:rPr>
          <w:spacing w:val="-12"/>
          <w:sz w:val="21"/>
        </w:rPr>
        <w:t> </w:t>
      </w:r>
      <w:r>
        <w:rPr>
          <w:sz w:val="21"/>
        </w:rPr>
        <w:t>limited</w:t>
      </w:r>
      <w:r>
        <w:rPr>
          <w:spacing w:val="-12"/>
          <w:sz w:val="21"/>
        </w:rPr>
        <w:t> </w:t>
      </w:r>
      <w:r>
        <w:rPr>
          <w:sz w:val="21"/>
        </w:rPr>
        <w:t>staffing</w:t>
      </w:r>
      <w:r>
        <w:rPr>
          <w:spacing w:val="-12"/>
          <w:sz w:val="21"/>
        </w:rPr>
        <w:t> </w:t>
      </w:r>
      <w:r>
        <w:rPr>
          <w:sz w:val="21"/>
        </w:rPr>
        <w:t>and</w:t>
      </w:r>
      <w:r>
        <w:rPr>
          <w:spacing w:val="-12"/>
          <w:sz w:val="21"/>
        </w:rPr>
        <w:t> </w:t>
      </w:r>
      <w:r>
        <w:rPr>
          <w:sz w:val="21"/>
        </w:rPr>
        <w:t>capacity,</w:t>
      </w:r>
      <w:r>
        <w:rPr>
          <w:spacing w:val="-12"/>
          <w:sz w:val="21"/>
        </w:rPr>
        <w:t> </w:t>
      </w:r>
      <w:r>
        <w:rPr>
          <w:sz w:val="21"/>
        </w:rPr>
        <w:t>it</w:t>
      </w:r>
      <w:r>
        <w:rPr>
          <w:spacing w:val="-12"/>
          <w:sz w:val="21"/>
        </w:rPr>
        <w:t> </w:t>
      </w:r>
      <w:r>
        <w:rPr>
          <w:sz w:val="21"/>
        </w:rPr>
        <w:t>is</w:t>
      </w:r>
      <w:r>
        <w:rPr>
          <w:spacing w:val="-11"/>
          <w:sz w:val="21"/>
        </w:rPr>
        <w:t> </w:t>
      </w:r>
      <w:r>
        <w:rPr>
          <w:sz w:val="21"/>
        </w:rPr>
        <w:t>essential</w:t>
      </w:r>
      <w:r>
        <w:rPr>
          <w:spacing w:val="-12"/>
          <w:sz w:val="21"/>
        </w:rPr>
        <w:t> </w:t>
      </w:r>
      <w:r>
        <w:rPr>
          <w:sz w:val="21"/>
        </w:rPr>
        <w:t>that</w:t>
      </w:r>
      <w:r>
        <w:rPr>
          <w:spacing w:val="-12"/>
          <w:sz w:val="21"/>
        </w:rPr>
        <w:t> </w:t>
      </w:r>
      <w:r>
        <w:rPr>
          <w:sz w:val="21"/>
        </w:rPr>
        <w:t>all</w:t>
      </w:r>
      <w:r>
        <w:rPr>
          <w:spacing w:val="-12"/>
          <w:sz w:val="21"/>
        </w:rPr>
        <w:t> </w:t>
      </w:r>
      <w:r>
        <w:rPr>
          <w:sz w:val="21"/>
        </w:rPr>
        <w:t>Massachusetts</w:t>
      </w:r>
      <w:r>
        <w:rPr>
          <w:spacing w:val="-12"/>
          <w:sz w:val="21"/>
        </w:rPr>
        <w:t> </w:t>
      </w:r>
      <w:r>
        <w:rPr>
          <w:sz w:val="21"/>
        </w:rPr>
        <w:t>agencies</w:t>
      </w:r>
      <w:r>
        <w:rPr>
          <w:spacing w:val="-12"/>
          <w:sz w:val="21"/>
        </w:rPr>
        <w:t> </w:t>
      </w:r>
      <w:r>
        <w:rPr>
          <w:sz w:val="21"/>
        </w:rPr>
        <w:t>take</w:t>
      </w:r>
      <w:r>
        <w:rPr>
          <w:spacing w:val="-12"/>
          <w:sz w:val="21"/>
        </w:rPr>
        <w:t> </w:t>
      </w:r>
      <w:r>
        <w:rPr>
          <w:sz w:val="21"/>
        </w:rPr>
        <w:t>meaningful</w:t>
      </w:r>
      <w:r>
        <w:rPr>
          <w:spacing w:val="-12"/>
          <w:sz w:val="21"/>
        </w:rPr>
        <w:t> </w:t>
      </w:r>
      <w:r>
        <w:rPr>
          <w:sz w:val="21"/>
        </w:rPr>
        <w:t>steps towards inclusive service provision for LGBTQ youth.</w:t>
      </w:r>
    </w:p>
    <w:p>
      <w:pPr>
        <w:spacing w:before="239"/>
        <w:ind w:left="483" w:right="0" w:firstLine="0"/>
        <w:jc w:val="both"/>
        <w:rPr>
          <w:sz w:val="28"/>
        </w:rPr>
      </w:pPr>
      <w:r>
        <w:rPr>
          <w:color w:val="365F91"/>
          <w:sz w:val="28"/>
        </w:rPr>
        <w:t>FY</w:t>
      </w:r>
      <w:r>
        <w:rPr>
          <w:color w:val="365F91"/>
          <w:spacing w:val="-8"/>
          <w:sz w:val="28"/>
        </w:rPr>
        <w:t> </w:t>
      </w:r>
      <w:r>
        <w:rPr>
          <w:color w:val="365F91"/>
          <w:sz w:val="28"/>
        </w:rPr>
        <w:t>2025</w:t>
      </w:r>
      <w:r>
        <w:rPr>
          <w:color w:val="365F91"/>
          <w:spacing w:val="-8"/>
          <w:sz w:val="28"/>
        </w:rPr>
        <w:t> </w:t>
      </w:r>
      <w:r>
        <w:rPr>
          <w:color w:val="365F91"/>
          <w:sz w:val="28"/>
        </w:rPr>
        <w:t>Expanded</w:t>
      </w:r>
      <w:r>
        <w:rPr>
          <w:color w:val="365F91"/>
          <w:spacing w:val="-9"/>
          <w:sz w:val="28"/>
        </w:rPr>
        <w:t> </w:t>
      </w:r>
      <w:r>
        <w:rPr>
          <w:color w:val="365F91"/>
          <w:sz w:val="28"/>
        </w:rPr>
        <w:t>ORI</w:t>
      </w:r>
      <w:r>
        <w:rPr>
          <w:color w:val="365F91"/>
          <w:spacing w:val="-8"/>
          <w:sz w:val="28"/>
        </w:rPr>
        <w:t> </w:t>
      </w:r>
      <w:r>
        <w:rPr>
          <w:color w:val="365F91"/>
          <w:spacing w:val="-2"/>
          <w:sz w:val="28"/>
        </w:rPr>
        <w:t>Recommendations</w:t>
      </w:r>
    </w:p>
    <w:p>
      <w:pPr>
        <w:pStyle w:val="BodyText"/>
        <w:spacing w:before="11"/>
        <w:rPr>
          <w:sz w:val="3"/>
        </w:rPr>
      </w:pPr>
      <w:r>
        <w:rPr/>
        <mc:AlternateContent>
          <mc:Choice Requires="wps">
            <w:drawing>
              <wp:anchor distT="0" distB="0" distL="0" distR="0" allowOverlap="1" layoutInCell="1" locked="0" behindDoc="1" simplePos="0" relativeHeight="487715328">
                <wp:simplePos x="0" y="0"/>
                <wp:positionH relativeFrom="page">
                  <wp:posOffset>897636</wp:posOffset>
                </wp:positionH>
                <wp:positionV relativeFrom="paragraph">
                  <wp:posOffset>45529</wp:posOffset>
                </wp:positionV>
                <wp:extent cx="5976620" cy="6350"/>
                <wp:effectExtent l="0" t="0" r="0" b="0"/>
                <wp:wrapTopAndBottom/>
                <wp:docPr id="629" name="Graphic 629"/>
                <wp:cNvGraphicFramePr>
                  <a:graphicFrameLocks/>
                </wp:cNvGraphicFramePr>
                <a:graphic>
                  <a:graphicData uri="http://schemas.microsoft.com/office/word/2010/wordprocessingShape">
                    <wps:wsp>
                      <wps:cNvPr id="629" name="Graphic 629"/>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5035pt;width:470.58pt;height:.481pt;mso-position-horizontal-relative:page;mso-position-vertical-relative:paragraph;z-index:-15601152;mso-wrap-distance-left:0;mso-wrap-distance-right:0" id="docshape526" filled="true" fillcolor="#4f81bc" stroked="false">
                <v:fill type="solid"/>
                <w10:wrap type="topAndBottom"/>
              </v:rect>
            </w:pict>
          </mc:Fallback>
        </mc:AlternateContent>
      </w:r>
    </w:p>
    <w:p>
      <w:pPr>
        <w:numPr>
          <w:ilvl w:val="0"/>
          <w:numId w:val="43"/>
        </w:numPr>
        <w:tabs>
          <w:tab w:pos="481" w:val="left" w:leader="none"/>
          <w:tab w:pos="483" w:val="left" w:leader="none"/>
        </w:tabs>
        <w:spacing w:line="276" w:lineRule="auto" w:before="241"/>
        <w:ind w:left="483" w:right="344" w:hanging="360"/>
        <w:jc w:val="left"/>
        <w:rPr>
          <w:b/>
          <w:sz w:val="22"/>
        </w:rPr>
      </w:pPr>
      <w:r>
        <w:rPr>
          <w:b/>
          <w:sz w:val="22"/>
        </w:rPr>
        <w:t>Develop</w:t>
      </w:r>
      <w:r>
        <w:rPr>
          <w:b/>
          <w:spacing w:val="-13"/>
          <w:sz w:val="22"/>
        </w:rPr>
        <w:t> </w:t>
      </w:r>
      <w:r>
        <w:rPr>
          <w:b/>
          <w:sz w:val="22"/>
        </w:rPr>
        <w:t>and</w:t>
      </w:r>
      <w:r>
        <w:rPr>
          <w:b/>
          <w:spacing w:val="-12"/>
          <w:sz w:val="22"/>
        </w:rPr>
        <w:t> </w:t>
      </w:r>
      <w:r>
        <w:rPr>
          <w:b/>
          <w:sz w:val="22"/>
        </w:rPr>
        <w:t>execute</w:t>
      </w:r>
      <w:r>
        <w:rPr>
          <w:b/>
          <w:spacing w:val="-12"/>
          <w:sz w:val="22"/>
        </w:rPr>
        <w:t> </w:t>
      </w:r>
      <w:r>
        <w:rPr>
          <w:b/>
          <w:sz w:val="22"/>
        </w:rPr>
        <w:t>a</w:t>
      </w:r>
      <w:r>
        <w:rPr>
          <w:b/>
          <w:spacing w:val="-13"/>
          <w:sz w:val="22"/>
        </w:rPr>
        <w:t> </w:t>
      </w:r>
      <w:r>
        <w:rPr>
          <w:b/>
          <w:sz w:val="22"/>
        </w:rPr>
        <w:t>strategic</w:t>
      </w:r>
      <w:r>
        <w:rPr>
          <w:b/>
          <w:spacing w:val="-11"/>
          <w:sz w:val="22"/>
        </w:rPr>
        <w:t> </w:t>
      </w:r>
      <w:r>
        <w:rPr>
          <w:b/>
          <w:sz w:val="22"/>
        </w:rPr>
        <w:t>plan</w:t>
      </w:r>
      <w:r>
        <w:rPr>
          <w:b/>
          <w:spacing w:val="-12"/>
          <w:sz w:val="22"/>
        </w:rPr>
        <w:t> </w:t>
      </w:r>
      <w:r>
        <w:rPr>
          <w:b/>
          <w:sz w:val="22"/>
        </w:rPr>
        <w:t>to</w:t>
      </w:r>
      <w:r>
        <w:rPr>
          <w:b/>
          <w:spacing w:val="-13"/>
          <w:sz w:val="22"/>
        </w:rPr>
        <w:t> </w:t>
      </w:r>
      <w:r>
        <w:rPr>
          <w:b/>
          <w:sz w:val="22"/>
        </w:rPr>
        <w:t>conduct</w:t>
      </w:r>
      <w:r>
        <w:rPr>
          <w:b/>
          <w:spacing w:val="-12"/>
          <w:sz w:val="22"/>
        </w:rPr>
        <w:t> </w:t>
      </w:r>
      <w:r>
        <w:rPr>
          <w:b/>
          <w:sz w:val="22"/>
        </w:rPr>
        <w:t>direct</w:t>
      </w:r>
      <w:r>
        <w:rPr>
          <w:b/>
          <w:spacing w:val="-13"/>
          <w:sz w:val="22"/>
        </w:rPr>
        <w:t> </w:t>
      </w:r>
      <w:r>
        <w:rPr>
          <w:b/>
          <w:sz w:val="22"/>
        </w:rPr>
        <w:t>outreach</w:t>
      </w:r>
      <w:r>
        <w:rPr>
          <w:b/>
          <w:spacing w:val="-12"/>
          <w:sz w:val="22"/>
        </w:rPr>
        <w:t> </w:t>
      </w:r>
      <w:r>
        <w:rPr>
          <w:b/>
          <w:sz w:val="22"/>
        </w:rPr>
        <w:t>to</w:t>
      </w:r>
      <w:r>
        <w:rPr>
          <w:b/>
          <w:spacing w:val="-12"/>
          <w:sz w:val="22"/>
        </w:rPr>
        <w:t> </w:t>
      </w:r>
      <w:r>
        <w:rPr>
          <w:b/>
          <w:sz w:val="22"/>
        </w:rPr>
        <w:t>LGBTQ</w:t>
      </w:r>
      <w:r>
        <w:rPr>
          <w:b/>
          <w:spacing w:val="-13"/>
          <w:sz w:val="22"/>
        </w:rPr>
        <w:t> </w:t>
      </w:r>
      <w:r>
        <w:rPr>
          <w:b/>
          <w:sz w:val="22"/>
        </w:rPr>
        <w:t>immigrant</w:t>
      </w:r>
      <w:r>
        <w:rPr>
          <w:b/>
          <w:spacing w:val="-12"/>
          <w:sz w:val="22"/>
        </w:rPr>
        <w:t> </w:t>
      </w:r>
      <w:r>
        <w:rPr>
          <w:b/>
          <w:sz w:val="22"/>
        </w:rPr>
        <w:t>youth</w:t>
      </w:r>
      <w:r>
        <w:rPr>
          <w:b/>
          <w:spacing w:val="-12"/>
          <w:sz w:val="22"/>
        </w:rPr>
        <w:t> </w:t>
      </w:r>
      <w:r>
        <w:rPr>
          <w:b/>
          <w:sz w:val="22"/>
        </w:rPr>
        <w:t>and</w:t>
      </w:r>
      <w:r>
        <w:rPr>
          <w:b/>
          <w:spacing w:val="-13"/>
          <w:sz w:val="22"/>
        </w:rPr>
        <w:t> </w:t>
      </w:r>
      <w:r>
        <w:rPr>
          <w:b/>
          <w:sz w:val="22"/>
        </w:rPr>
        <w:t>families across the Commonwealth.</w:t>
      </w:r>
    </w:p>
    <w:p>
      <w:pPr>
        <w:pStyle w:val="BodyText"/>
        <w:spacing w:line="276" w:lineRule="auto" w:before="241"/>
        <w:ind w:left="483" w:right="342"/>
        <w:jc w:val="both"/>
      </w:pPr>
      <w:r>
        <w:rPr/>
        <w:t>As noted throughout this annual report, the Commission has increasingly heard about the significant barriers to resources for LGBTQ immigrant community members, particularly for those in the Western and Central regions, for the last several years. Furthermore, the Commission highlights the concerning lack of explicit conversations from key policymakers and agencies about how to support LGBTQ communities as they work to better serve new arrivals to the country. The Commission strongly recommends</w:t>
      </w:r>
      <w:r>
        <w:rPr>
          <w:spacing w:val="-13"/>
        </w:rPr>
        <w:t> </w:t>
      </w:r>
      <w:r>
        <w:rPr/>
        <w:t>that</w:t>
      </w:r>
      <w:r>
        <w:rPr>
          <w:spacing w:val="-12"/>
        </w:rPr>
        <w:t> </w:t>
      </w:r>
      <w:r>
        <w:rPr/>
        <w:t>ORI</w:t>
      </w:r>
      <w:r>
        <w:rPr>
          <w:spacing w:val="-13"/>
        </w:rPr>
        <w:t> </w:t>
      </w:r>
      <w:r>
        <w:rPr/>
        <w:t>develops</w:t>
      </w:r>
      <w:r>
        <w:rPr>
          <w:spacing w:val="-12"/>
        </w:rPr>
        <w:t> </w:t>
      </w:r>
      <w:r>
        <w:rPr/>
        <w:t>a</w:t>
      </w:r>
      <w:r>
        <w:rPr>
          <w:spacing w:val="-13"/>
        </w:rPr>
        <w:t> </w:t>
      </w:r>
      <w:r>
        <w:rPr/>
        <w:t>strategic</w:t>
      </w:r>
      <w:r>
        <w:rPr>
          <w:spacing w:val="-12"/>
        </w:rPr>
        <w:t> </w:t>
      </w:r>
      <w:r>
        <w:rPr/>
        <w:t>plan</w:t>
      </w:r>
      <w:r>
        <w:rPr>
          <w:spacing w:val="-13"/>
        </w:rPr>
        <w:t> </w:t>
      </w:r>
      <w:r>
        <w:rPr/>
        <w:t>to</w:t>
      </w:r>
      <w:r>
        <w:rPr>
          <w:spacing w:val="-12"/>
        </w:rPr>
        <w:t> </w:t>
      </w:r>
      <w:r>
        <w:rPr/>
        <w:t>directly</w:t>
      </w:r>
      <w:r>
        <w:rPr>
          <w:spacing w:val="-12"/>
        </w:rPr>
        <w:t> </w:t>
      </w:r>
      <w:r>
        <w:rPr/>
        <w:t>connect</w:t>
      </w:r>
      <w:r>
        <w:rPr>
          <w:spacing w:val="-13"/>
        </w:rPr>
        <w:t> </w:t>
      </w:r>
      <w:r>
        <w:rPr/>
        <w:t>with</w:t>
      </w:r>
      <w:r>
        <w:rPr>
          <w:spacing w:val="-12"/>
        </w:rPr>
        <w:t> </w:t>
      </w:r>
      <w:r>
        <w:rPr/>
        <w:t>LGBTQ</w:t>
      </w:r>
      <w:r>
        <w:rPr>
          <w:spacing w:val="-13"/>
        </w:rPr>
        <w:t> </w:t>
      </w:r>
      <w:r>
        <w:rPr/>
        <w:t>youth</w:t>
      </w:r>
      <w:r>
        <w:rPr>
          <w:spacing w:val="-12"/>
        </w:rPr>
        <w:t> </w:t>
      </w:r>
      <w:r>
        <w:rPr/>
        <w:t>and</w:t>
      </w:r>
      <w:r>
        <w:rPr>
          <w:spacing w:val="-13"/>
        </w:rPr>
        <w:t> </w:t>
      </w:r>
      <w:r>
        <w:rPr/>
        <w:t>families</w:t>
      </w:r>
      <w:r>
        <w:rPr>
          <w:spacing w:val="-12"/>
        </w:rPr>
        <w:t> </w:t>
      </w:r>
      <w:r>
        <w:rPr/>
        <w:t>in</w:t>
      </w:r>
      <w:r>
        <w:rPr>
          <w:spacing w:val="-12"/>
        </w:rPr>
        <w:t> </w:t>
      </w:r>
      <w:r>
        <w:rPr/>
        <w:t>every region of the state. Such a plan should incorporate tangible and transparent goals of how ORI plans to respond to the needs of community members.</w:t>
      </w:r>
    </w:p>
    <w:p>
      <w:pPr>
        <w:spacing w:after="0" w:line="276" w:lineRule="auto"/>
        <w:jc w:val="both"/>
        <w:sectPr>
          <w:pgSz w:w="12240" w:h="15840"/>
          <w:pgMar w:header="804" w:footer="1256" w:top="1000" w:bottom="1460" w:left="960" w:right="1100"/>
        </w:sectPr>
      </w:pPr>
    </w:p>
    <w:p>
      <w:pPr>
        <w:numPr>
          <w:ilvl w:val="0"/>
          <w:numId w:val="43"/>
        </w:numPr>
        <w:tabs>
          <w:tab w:pos="481" w:val="left" w:leader="none"/>
          <w:tab w:pos="483" w:val="left" w:leader="none"/>
        </w:tabs>
        <w:spacing w:line="276" w:lineRule="auto" w:before="139"/>
        <w:ind w:left="483" w:right="340" w:hanging="360"/>
        <w:jc w:val="both"/>
        <w:rPr>
          <w:b/>
          <w:sz w:val="22"/>
        </w:rPr>
      </w:pPr>
      <w:r>
        <w:rPr>
          <w:b/>
          <w:sz w:val="22"/>
        </w:rPr>
        <w:t>Establish relationships with LGBTQ community partners and organizations across the Commonwealth to</w:t>
      </w:r>
      <w:r>
        <w:rPr>
          <w:b/>
          <w:spacing w:val="-4"/>
          <w:sz w:val="22"/>
        </w:rPr>
        <w:t> </w:t>
      </w:r>
      <w:r>
        <w:rPr>
          <w:b/>
          <w:sz w:val="22"/>
        </w:rPr>
        <w:t>ensure</w:t>
      </w:r>
      <w:r>
        <w:rPr>
          <w:b/>
          <w:spacing w:val="-3"/>
          <w:sz w:val="22"/>
        </w:rPr>
        <w:t> </w:t>
      </w:r>
      <w:r>
        <w:rPr>
          <w:b/>
          <w:sz w:val="22"/>
        </w:rPr>
        <w:t>that</w:t>
      </w:r>
      <w:r>
        <w:rPr>
          <w:b/>
          <w:spacing w:val="-5"/>
          <w:sz w:val="22"/>
        </w:rPr>
        <w:t> </w:t>
      </w:r>
      <w:r>
        <w:rPr>
          <w:b/>
          <w:sz w:val="22"/>
        </w:rPr>
        <w:t>all</w:t>
      </w:r>
      <w:r>
        <w:rPr>
          <w:b/>
          <w:spacing w:val="-5"/>
          <w:sz w:val="22"/>
        </w:rPr>
        <w:t> </w:t>
      </w:r>
      <w:r>
        <w:rPr>
          <w:b/>
          <w:sz w:val="22"/>
        </w:rPr>
        <w:t>ORI</w:t>
      </w:r>
      <w:r>
        <w:rPr>
          <w:b/>
          <w:spacing w:val="-5"/>
          <w:sz w:val="22"/>
        </w:rPr>
        <w:t> </w:t>
      </w:r>
      <w:r>
        <w:rPr>
          <w:b/>
          <w:sz w:val="22"/>
        </w:rPr>
        <w:t>service</w:t>
      </w:r>
      <w:r>
        <w:rPr>
          <w:b/>
          <w:spacing w:val="-5"/>
          <w:sz w:val="22"/>
        </w:rPr>
        <w:t> </w:t>
      </w:r>
      <w:r>
        <w:rPr>
          <w:b/>
          <w:sz w:val="22"/>
        </w:rPr>
        <w:t>providers</w:t>
      </w:r>
      <w:r>
        <w:rPr>
          <w:b/>
          <w:spacing w:val="-4"/>
          <w:sz w:val="22"/>
        </w:rPr>
        <w:t> </w:t>
      </w:r>
      <w:r>
        <w:rPr>
          <w:b/>
          <w:sz w:val="22"/>
        </w:rPr>
        <w:t>have</w:t>
      </w:r>
      <w:r>
        <w:rPr>
          <w:b/>
          <w:spacing w:val="-4"/>
          <w:sz w:val="22"/>
        </w:rPr>
        <w:t> </w:t>
      </w:r>
      <w:r>
        <w:rPr>
          <w:b/>
          <w:sz w:val="22"/>
        </w:rPr>
        <w:t>multicultural,</w:t>
      </w:r>
      <w:r>
        <w:rPr>
          <w:b/>
          <w:spacing w:val="-4"/>
          <w:sz w:val="22"/>
        </w:rPr>
        <w:t> </w:t>
      </w:r>
      <w:r>
        <w:rPr>
          <w:b/>
          <w:sz w:val="22"/>
        </w:rPr>
        <w:t>multilingual</w:t>
      </w:r>
      <w:r>
        <w:rPr>
          <w:b/>
          <w:spacing w:val="-4"/>
          <w:sz w:val="22"/>
        </w:rPr>
        <w:t> </w:t>
      </w:r>
      <w:r>
        <w:rPr>
          <w:b/>
          <w:sz w:val="22"/>
        </w:rPr>
        <w:t>resources</w:t>
      </w:r>
      <w:r>
        <w:rPr>
          <w:b/>
          <w:spacing w:val="-5"/>
          <w:sz w:val="22"/>
        </w:rPr>
        <w:t> </w:t>
      </w:r>
      <w:r>
        <w:rPr>
          <w:b/>
          <w:sz w:val="22"/>
        </w:rPr>
        <w:t>available</w:t>
      </w:r>
      <w:r>
        <w:rPr>
          <w:b/>
          <w:spacing w:val="-4"/>
          <w:sz w:val="22"/>
        </w:rPr>
        <w:t> </w:t>
      </w:r>
      <w:r>
        <w:rPr>
          <w:b/>
          <w:sz w:val="22"/>
        </w:rPr>
        <w:t>on</w:t>
      </w:r>
      <w:r>
        <w:rPr>
          <w:b/>
          <w:spacing w:val="-4"/>
          <w:sz w:val="22"/>
        </w:rPr>
        <w:t> </w:t>
      </w:r>
      <w:r>
        <w:rPr>
          <w:b/>
          <w:sz w:val="22"/>
        </w:rPr>
        <w:t>site</w:t>
      </w:r>
      <w:r>
        <w:rPr>
          <w:b/>
          <w:spacing w:val="-4"/>
          <w:sz w:val="22"/>
        </w:rPr>
        <w:t> </w:t>
      </w:r>
      <w:r>
        <w:rPr>
          <w:b/>
          <w:sz w:val="22"/>
        </w:rPr>
        <w:t>that are regionally appropriate.</w:t>
      </w:r>
    </w:p>
    <w:p>
      <w:pPr>
        <w:pStyle w:val="BodyText"/>
        <w:spacing w:line="276" w:lineRule="auto" w:before="239"/>
        <w:ind w:left="483" w:right="340"/>
        <w:jc w:val="both"/>
      </w:pPr>
      <w:r>
        <w:rPr/>
        <w:t>Building off the above recommendation, the Commission further recommends that ORI incorporate an intentional plan to build lasting partnerships with LGBTQ community organizations and programs that serve LGBTQ immigrants, refugees, and asylum seekers in the Commonwealth. ORI has noted to the Commission in the past that it is often unaware of where to refer the occasional LGBTQ client that does approach their agency for assistance, while community partners have often lamented over the lack of multicultural,</w:t>
      </w:r>
      <w:r>
        <w:rPr>
          <w:spacing w:val="-13"/>
        </w:rPr>
        <w:t> </w:t>
      </w:r>
      <w:r>
        <w:rPr/>
        <w:t>multilingual</w:t>
      </w:r>
      <w:r>
        <w:rPr>
          <w:spacing w:val="-12"/>
        </w:rPr>
        <w:t> </w:t>
      </w:r>
      <w:r>
        <w:rPr/>
        <w:t>resources</w:t>
      </w:r>
      <w:r>
        <w:rPr>
          <w:spacing w:val="-13"/>
        </w:rPr>
        <w:t> </w:t>
      </w:r>
      <w:r>
        <w:rPr/>
        <w:t>and</w:t>
      </w:r>
      <w:r>
        <w:rPr>
          <w:spacing w:val="-12"/>
        </w:rPr>
        <w:t> </w:t>
      </w:r>
      <w:r>
        <w:rPr/>
        <w:t>programs</w:t>
      </w:r>
      <w:r>
        <w:rPr>
          <w:spacing w:val="-13"/>
        </w:rPr>
        <w:t> </w:t>
      </w:r>
      <w:r>
        <w:rPr/>
        <w:t>in</w:t>
      </w:r>
      <w:r>
        <w:rPr>
          <w:spacing w:val="-12"/>
        </w:rPr>
        <w:t> </w:t>
      </w:r>
      <w:r>
        <w:rPr/>
        <w:t>Massachusetts.</w:t>
      </w:r>
      <w:r>
        <w:rPr>
          <w:spacing w:val="-13"/>
        </w:rPr>
        <w:t> </w:t>
      </w:r>
      <w:r>
        <w:rPr/>
        <w:t>By</w:t>
      </w:r>
      <w:r>
        <w:rPr>
          <w:spacing w:val="-12"/>
        </w:rPr>
        <w:t> </w:t>
      </w:r>
      <w:r>
        <w:rPr/>
        <w:t>recommending</w:t>
      </w:r>
      <w:r>
        <w:rPr>
          <w:spacing w:val="-12"/>
        </w:rPr>
        <w:t> </w:t>
      </w:r>
      <w:r>
        <w:rPr/>
        <w:t>that</w:t>
      </w:r>
      <w:r>
        <w:rPr>
          <w:spacing w:val="-13"/>
        </w:rPr>
        <w:t> </w:t>
      </w:r>
      <w:r>
        <w:rPr/>
        <w:t>ORI</w:t>
      </w:r>
      <w:r>
        <w:rPr>
          <w:spacing w:val="-12"/>
        </w:rPr>
        <w:t> </w:t>
      </w:r>
      <w:r>
        <w:rPr/>
        <w:t>establish collaborative relationships with LGBTQ partners across the state, the Commission hopes to see a desperately needed funding increase to existing programs, as well as the funding of new programs to better</w:t>
      </w:r>
      <w:r>
        <w:rPr>
          <w:spacing w:val="-9"/>
        </w:rPr>
        <w:t> </w:t>
      </w:r>
      <w:r>
        <w:rPr/>
        <w:t>serve</w:t>
      </w:r>
      <w:r>
        <w:rPr>
          <w:spacing w:val="-8"/>
        </w:rPr>
        <w:t> </w:t>
      </w:r>
      <w:r>
        <w:rPr/>
        <w:t>communities.</w:t>
      </w:r>
      <w:r>
        <w:rPr>
          <w:spacing w:val="-8"/>
        </w:rPr>
        <w:t> </w:t>
      </w:r>
      <w:r>
        <w:rPr/>
        <w:t>The</w:t>
      </w:r>
      <w:r>
        <w:rPr>
          <w:spacing w:val="-9"/>
        </w:rPr>
        <w:t> </w:t>
      </w:r>
      <w:r>
        <w:rPr/>
        <w:t>Commission</w:t>
      </w:r>
      <w:r>
        <w:rPr>
          <w:spacing w:val="-9"/>
        </w:rPr>
        <w:t> </w:t>
      </w:r>
      <w:r>
        <w:rPr/>
        <w:t>notes</w:t>
      </w:r>
      <w:r>
        <w:rPr>
          <w:spacing w:val="-7"/>
        </w:rPr>
        <w:t> </w:t>
      </w:r>
      <w:r>
        <w:rPr/>
        <w:t>that</w:t>
      </w:r>
      <w:r>
        <w:rPr>
          <w:spacing w:val="-9"/>
        </w:rPr>
        <w:t> </w:t>
      </w:r>
      <w:r>
        <w:rPr/>
        <w:t>one</w:t>
      </w:r>
      <w:r>
        <w:rPr>
          <w:spacing w:val="-9"/>
        </w:rPr>
        <w:t> </w:t>
      </w:r>
      <w:r>
        <w:rPr/>
        <w:t>avenue</w:t>
      </w:r>
      <w:r>
        <w:rPr>
          <w:spacing w:val="-8"/>
        </w:rPr>
        <w:t> </w:t>
      </w:r>
      <w:r>
        <w:rPr/>
        <w:t>to</w:t>
      </w:r>
      <w:r>
        <w:rPr>
          <w:spacing w:val="-8"/>
        </w:rPr>
        <w:t> </w:t>
      </w:r>
      <w:r>
        <w:rPr/>
        <w:t>pursue</w:t>
      </w:r>
      <w:r>
        <w:rPr>
          <w:spacing w:val="-8"/>
        </w:rPr>
        <w:t> </w:t>
      </w:r>
      <w:r>
        <w:rPr/>
        <w:t>more</w:t>
      </w:r>
      <w:r>
        <w:rPr>
          <w:spacing w:val="-9"/>
        </w:rPr>
        <w:t> </w:t>
      </w:r>
      <w:r>
        <w:rPr/>
        <w:t>concrete</w:t>
      </w:r>
      <w:r>
        <w:rPr>
          <w:spacing w:val="-8"/>
        </w:rPr>
        <w:t> </w:t>
      </w:r>
      <w:r>
        <w:rPr/>
        <w:t>relationships with LGBTQ organizations would be to do explicit outreach across the state to invite leaders to the recurring community conversation meetings it has been virtually hosting.</w:t>
      </w:r>
    </w:p>
    <w:p>
      <w:pPr>
        <w:numPr>
          <w:ilvl w:val="0"/>
          <w:numId w:val="43"/>
        </w:numPr>
        <w:tabs>
          <w:tab w:pos="481" w:val="left" w:leader="none"/>
          <w:tab w:pos="483" w:val="left" w:leader="none"/>
        </w:tabs>
        <w:spacing w:line="276" w:lineRule="auto" w:before="240"/>
        <w:ind w:left="483" w:right="343" w:hanging="360"/>
        <w:jc w:val="both"/>
        <w:rPr>
          <w:b/>
          <w:sz w:val="22"/>
        </w:rPr>
      </w:pPr>
      <w:r>
        <w:rPr>
          <w:b/>
          <w:sz w:val="22"/>
        </w:rPr>
        <w:t>Provide consistent professional development opportunities that prioritize intersectionality and center LGBTQ cultural engagement, racial equity, and adultism for staff and contracted providers.</w:t>
      </w:r>
    </w:p>
    <w:p>
      <w:pPr>
        <w:pStyle w:val="BodyText"/>
        <w:spacing w:line="276" w:lineRule="auto" w:before="239"/>
        <w:ind w:left="483" w:right="344"/>
        <w:jc w:val="both"/>
      </w:pPr>
      <w:r>
        <w:rPr/>
        <w:t>Given</w:t>
      </w:r>
      <w:r>
        <w:rPr>
          <w:spacing w:val="-1"/>
        </w:rPr>
        <w:t> </w:t>
      </w:r>
      <w:r>
        <w:rPr/>
        <w:t>the</w:t>
      </w:r>
      <w:r>
        <w:rPr>
          <w:spacing w:val="-1"/>
        </w:rPr>
        <w:t> </w:t>
      </w:r>
      <w:r>
        <w:rPr/>
        <w:t>ongoing</w:t>
      </w:r>
      <w:r>
        <w:rPr>
          <w:spacing w:val="-1"/>
        </w:rPr>
        <w:t> </w:t>
      </w:r>
      <w:r>
        <w:rPr/>
        <w:t>and</w:t>
      </w:r>
      <w:r>
        <w:rPr>
          <w:spacing w:val="-1"/>
        </w:rPr>
        <w:t> </w:t>
      </w:r>
      <w:r>
        <w:rPr/>
        <w:t>increased</w:t>
      </w:r>
      <w:r>
        <w:rPr>
          <w:spacing w:val="-2"/>
        </w:rPr>
        <w:t> </w:t>
      </w:r>
      <w:r>
        <w:rPr/>
        <w:t>arrival</w:t>
      </w:r>
      <w:r>
        <w:rPr>
          <w:spacing w:val="-2"/>
        </w:rPr>
        <w:t> </w:t>
      </w:r>
      <w:r>
        <w:rPr/>
        <w:t>of new</w:t>
      </w:r>
      <w:r>
        <w:rPr>
          <w:spacing w:val="-1"/>
        </w:rPr>
        <w:t> </w:t>
      </w:r>
      <w:r>
        <w:rPr/>
        <w:t>persons</w:t>
      </w:r>
      <w:r>
        <w:rPr>
          <w:spacing w:val="-2"/>
        </w:rPr>
        <w:t> </w:t>
      </w:r>
      <w:r>
        <w:rPr/>
        <w:t>into</w:t>
      </w:r>
      <w:r>
        <w:rPr>
          <w:spacing w:val="-1"/>
        </w:rPr>
        <w:t> </w:t>
      </w:r>
      <w:r>
        <w:rPr/>
        <w:t>Massachusetts</w:t>
      </w:r>
      <w:r>
        <w:rPr>
          <w:spacing w:val="-2"/>
        </w:rPr>
        <w:t> </w:t>
      </w:r>
      <w:r>
        <w:rPr/>
        <w:t>- many</w:t>
      </w:r>
      <w:r>
        <w:rPr>
          <w:spacing w:val="-2"/>
        </w:rPr>
        <w:t> </w:t>
      </w:r>
      <w:r>
        <w:rPr/>
        <w:t>of</w:t>
      </w:r>
      <w:r>
        <w:rPr>
          <w:spacing w:val="-1"/>
        </w:rPr>
        <w:t> </w:t>
      </w:r>
      <w:r>
        <w:rPr/>
        <w:t>whom are</w:t>
      </w:r>
      <w:r>
        <w:rPr>
          <w:spacing w:val="-2"/>
        </w:rPr>
        <w:t> </w:t>
      </w:r>
      <w:r>
        <w:rPr/>
        <w:t>arriving from countries with extreme anti-LGBTQ cultures and laws - the Commission strongly recommends that ORI</w:t>
      </w:r>
      <w:r>
        <w:rPr>
          <w:spacing w:val="-5"/>
        </w:rPr>
        <w:t> </w:t>
      </w:r>
      <w:r>
        <w:rPr/>
        <w:t>staff</w:t>
      </w:r>
      <w:r>
        <w:rPr>
          <w:spacing w:val="-6"/>
        </w:rPr>
        <w:t> </w:t>
      </w:r>
      <w:r>
        <w:rPr/>
        <w:t>and</w:t>
      </w:r>
      <w:r>
        <w:rPr>
          <w:spacing w:val="-5"/>
        </w:rPr>
        <w:t> </w:t>
      </w:r>
      <w:r>
        <w:rPr/>
        <w:t>providers</w:t>
      </w:r>
      <w:r>
        <w:rPr>
          <w:spacing w:val="-6"/>
        </w:rPr>
        <w:t> </w:t>
      </w:r>
      <w:r>
        <w:rPr/>
        <w:t>engage</w:t>
      </w:r>
      <w:r>
        <w:rPr>
          <w:spacing w:val="-7"/>
        </w:rPr>
        <w:t> </w:t>
      </w:r>
      <w:r>
        <w:rPr/>
        <w:t>in</w:t>
      </w:r>
      <w:r>
        <w:rPr>
          <w:spacing w:val="-5"/>
        </w:rPr>
        <w:t> </w:t>
      </w:r>
      <w:r>
        <w:rPr/>
        <w:t>mandatory</w:t>
      </w:r>
      <w:r>
        <w:rPr>
          <w:spacing w:val="-6"/>
        </w:rPr>
        <w:t> </w:t>
      </w:r>
      <w:r>
        <w:rPr/>
        <w:t>training</w:t>
      </w:r>
      <w:r>
        <w:rPr>
          <w:spacing w:val="-5"/>
        </w:rPr>
        <w:t> </w:t>
      </w:r>
      <w:r>
        <w:rPr/>
        <w:t>opportunities</w:t>
      </w:r>
      <w:r>
        <w:rPr>
          <w:spacing w:val="-6"/>
        </w:rPr>
        <w:t> </w:t>
      </w:r>
      <w:r>
        <w:rPr/>
        <w:t>that</w:t>
      </w:r>
      <w:r>
        <w:rPr>
          <w:spacing w:val="-7"/>
        </w:rPr>
        <w:t> </w:t>
      </w:r>
      <w:r>
        <w:rPr/>
        <w:t>highlight</w:t>
      </w:r>
      <w:r>
        <w:rPr>
          <w:spacing w:val="-7"/>
        </w:rPr>
        <w:t> </w:t>
      </w:r>
      <w:r>
        <w:rPr/>
        <w:t>the</w:t>
      </w:r>
      <w:r>
        <w:rPr>
          <w:spacing w:val="-5"/>
        </w:rPr>
        <w:t> </w:t>
      </w:r>
      <w:r>
        <w:rPr/>
        <w:t>multicultural</w:t>
      </w:r>
      <w:r>
        <w:rPr>
          <w:spacing w:val="-6"/>
        </w:rPr>
        <w:t> </w:t>
      </w:r>
      <w:r>
        <w:rPr/>
        <w:t>needs and experience of LGBTQ immigrant community members. In the winter of 2024, the Commission met with</w:t>
      </w:r>
      <w:r>
        <w:rPr>
          <w:spacing w:val="-10"/>
        </w:rPr>
        <w:t> </w:t>
      </w:r>
      <w:r>
        <w:rPr/>
        <w:t>ORI</w:t>
      </w:r>
      <w:r>
        <w:rPr>
          <w:spacing w:val="-10"/>
        </w:rPr>
        <w:t> </w:t>
      </w:r>
      <w:r>
        <w:rPr/>
        <w:t>liaisons</w:t>
      </w:r>
      <w:r>
        <w:rPr>
          <w:spacing w:val="-11"/>
        </w:rPr>
        <w:t> </w:t>
      </w:r>
      <w:r>
        <w:rPr/>
        <w:t>to</w:t>
      </w:r>
      <w:r>
        <w:rPr>
          <w:spacing w:val="-9"/>
        </w:rPr>
        <w:t> </w:t>
      </w:r>
      <w:r>
        <w:rPr/>
        <w:t>discuss</w:t>
      </w:r>
      <w:r>
        <w:rPr>
          <w:spacing w:val="-10"/>
        </w:rPr>
        <w:t> </w:t>
      </w:r>
      <w:r>
        <w:rPr/>
        <w:t>potential</w:t>
      </w:r>
      <w:r>
        <w:rPr>
          <w:spacing w:val="-10"/>
        </w:rPr>
        <w:t> </w:t>
      </w:r>
      <w:r>
        <w:rPr/>
        <w:t>training</w:t>
      </w:r>
      <w:r>
        <w:rPr>
          <w:spacing w:val="-10"/>
        </w:rPr>
        <w:t> </w:t>
      </w:r>
      <w:r>
        <w:rPr/>
        <w:t>opportunities,</w:t>
      </w:r>
      <w:r>
        <w:rPr>
          <w:spacing w:val="-11"/>
        </w:rPr>
        <w:t> </w:t>
      </w:r>
      <w:r>
        <w:rPr/>
        <w:t>where</w:t>
      </w:r>
      <w:r>
        <w:rPr>
          <w:spacing w:val="-9"/>
        </w:rPr>
        <w:t> </w:t>
      </w:r>
      <w:r>
        <w:rPr/>
        <w:t>the</w:t>
      </w:r>
      <w:r>
        <w:rPr>
          <w:spacing w:val="-10"/>
        </w:rPr>
        <w:t> </w:t>
      </w:r>
      <w:r>
        <w:rPr/>
        <w:t>Commission</w:t>
      </w:r>
      <w:r>
        <w:rPr>
          <w:spacing w:val="-11"/>
        </w:rPr>
        <w:t> </w:t>
      </w:r>
      <w:r>
        <w:rPr/>
        <w:t>offered</w:t>
      </w:r>
      <w:r>
        <w:rPr>
          <w:spacing w:val="-10"/>
        </w:rPr>
        <w:t> </w:t>
      </w:r>
      <w:r>
        <w:rPr/>
        <w:t>to</w:t>
      </w:r>
      <w:r>
        <w:rPr>
          <w:spacing w:val="-8"/>
        </w:rPr>
        <w:t> </w:t>
      </w:r>
      <w:r>
        <w:rPr/>
        <w:t>collaborate with</w:t>
      </w:r>
      <w:r>
        <w:rPr>
          <w:spacing w:val="-12"/>
        </w:rPr>
        <w:t> </w:t>
      </w:r>
      <w:r>
        <w:rPr/>
        <w:t>ORI</w:t>
      </w:r>
      <w:r>
        <w:rPr>
          <w:spacing w:val="-12"/>
        </w:rPr>
        <w:t> </w:t>
      </w:r>
      <w:r>
        <w:rPr/>
        <w:t>on</w:t>
      </w:r>
      <w:r>
        <w:rPr>
          <w:spacing w:val="-12"/>
        </w:rPr>
        <w:t> </w:t>
      </w:r>
      <w:r>
        <w:rPr/>
        <w:t>developing</w:t>
      </w:r>
      <w:r>
        <w:rPr>
          <w:spacing w:val="-12"/>
        </w:rPr>
        <w:t> </w:t>
      </w:r>
      <w:r>
        <w:rPr/>
        <w:t>a</w:t>
      </w:r>
      <w:r>
        <w:rPr>
          <w:spacing w:val="-12"/>
        </w:rPr>
        <w:t> </w:t>
      </w:r>
      <w:r>
        <w:rPr/>
        <w:t>free</w:t>
      </w:r>
      <w:r>
        <w:rPr>
          <w:spacing w:val="-12"/>
        </w:rPr>
        <w:t> </w:t>
      </w:r>
      <w:r>
        <w:rPr/>
        <w:t>training</w:t>
      </w:r>
      <w:r>
        <w:rPr>
          <w:spacing w:val="-12"/>
        </w:rPr>
        <w:t> </w:t>
      </w:r>
      <w:r>
        <w:rPr/>
        <w:t>series</w:t>
      </w:r>
      <w:r>
        <w:rPr>
          <w:spacing w:val="-12"/>
        </w:rPr>
        <w:t> </w:t>
      </w:r>
      <w:r>
        <w:rPr/>
        <w:t>in</w:t>
      </w:r>
      <w:r>
        <w:rPr>
          <w:spacing w:val="-12"/>
        </w:rPr>
        <w:t> </w:t>
      </w:r>
      <w:r>
        <w:rPr/>
        <w:t>FY</w:t>
      </w:r>
      <w:r>
        <w:rPr>
          <w:spacing w:val="-13"/>
        </w:rPr>
        <w:t> </w:t>
      </w:r>
      <w:r>
        <w:rPr/>
        <w:t>2025.</w:t>
      </w:r>
      <w:r>
        <w:rPr>
          <w:spacing w:val="-12"/>
        </w:rPr>
        <w:t> </w:t>
      </w:r>
      <w:r>
        <w:rPr/>
        <w:t>The</w:t>
      </w:r>
      <w:r>
        <w:rPr>
          <w:spacing w:val="-12"/>
        </w:rPr>
        <w:t> </w:t>
      </w:r>
      <w:r>
        <w:rPr/>
        <w:t>Commission</w:t>
      </w:r>
      <w:r>
        <w:rPr>
          <w:spacing w:val="-13"/>
        </w:rPr>
        <w:t> </w:t>
      </w:r>
      <w:r>
        <w:rPr/>
        <w:t>understands</w:t>
      </w:r>
      <w:r>
        <w:rPr>
          <w:spacing w:val="-11"/>
        </w:rPr>
        <w:t> </w:t>
      </w:r>
      <w:r>
        <w:rPr/>
        <w:t>that</w:t>
      </w:r>
      <w:r>
        <w:rPr>
          <w:spacing w:val="-12"/>
        </w:rPr>
        <w:t> </w:t>
      </w:r>
      <w:r>
        <w:rPr/>
        <w:t>ORI</w:t>
      </w:r>
      <w:r>
        <w:rPr>
          <w:spacing w:val="-12"/>
        </w:rPr>
        <w:t> </w:t>
      </w:r>
      <w:r>
        <w:rPr/>
        <w:t>is</w:t>
      </w:r>
      <w:r>
        <w:rPr>
          <w:spacing w:val="-11"/>
        </w:rPr>
        <w:t> </w:t>
      </w:r>
      <w:r>
        <w:rPr/>
        <w:t>currently in</w:t>
      </w:r>
      <w:r>
        <w:rPr>
          <w:spacing w:val="-1"/>
        </w:rPr>
        <w:t> </w:t>
      </w:r>
      <w:r>
        <w:rPr/>
        <w:t>the process of searching</w:t>
      </w:r>
      <w:r>
        <w:rPr>
          <w:spacing w:val="-1"/>
        </w:rPr>
        <w:t> </w:t>
      </w:r>
      <w:r>
        <w:rPr/>
        <w:t>for facilitators for such</w:t>
      </w:r>
      <w:r>
        <w:rPr>
          <w:spacing w:val="-1"/>
        </w:rPr>
        <w:t> </w:t>
      </w:r>
      <w:r>
        <w:rPr/>
        <w:t>a training experience</w:t>
      </w:r>
      <w:r>
        <w:rPr>
          <w:spacing w:val="-1"/>
        </w:rPr>
        <w:t> </w:t>
      </w:r>
      <w:r>
        <w:rPr/>
        <w:t>and</w:t>
      </w:r>
      <w:r>
        <w:rPr>
          <w:spacing w:val="-1"/>
        </w:rPr>
        <w:t> </w:t>
      </w:r>
      <w:r>
        <w:rPr/>
        <w:t>looks forward</w:t>
      </w:r>
      <w:r>
        <w:rPr>
          <w:spacing w:val="-1"/>
        </w:rPr>
        <w:t> </w:t>
      </w:r>
      <w:r>
        <w:rPr/>
        <w:t>to continuing these conversations in the new fiscal year.</w:t>
      </w:r>
    </w:p>
    <w:p>
      <w:pPr>
        <w:numPr>
          <w:ilvl w:val="0"/>
          <w:numId w:val="43"/>
        </w:numPr>
        <w:tabs>
          <w:tab w:pos="481" w:val="left" w:leader="none"/>
          <w:tab w:pos="483" w:val="left" w:leader="none"/>
        </w:tabs>
        <w:spacing w:line="276" w:lineRule="auto" w:before="240"/>
        <w:ind w:left="483" w:right="344" w:hanging="360"/>
        <w:jc w:val="both"/>
        <w:rPr>
          <w:b/>
          <w:sz w:val="22"/>
        </w:rPr>
      </w:pPr>
      <w:r>
        <w:rPr>
          <w:b/>
          <w:sz w:val="22"/>
        </w:rPr>
        <w:t>Establish an interagency collaboration to investigate and improve the availability of resources for LGBTQ refugee and immigrant youth.</w:t>
      </w:r>
    </w:p>
    <w:p>
      <w:pPr>
        <w:pStyle w:val="BodyText"/>
        <w:spacing w:line="276" w:lineRule="auto" w:before="240"/>
        <w:ind w:left="483" w:right="340"/>
        <w:jc w:val="both"/>
      </w:pPr>
      <w:r>
        <w:rPr/>
        <w:t>To better understand the specific needs of LGBTQ refugees and immigrants in Massachusetts, the Commission recommends that ORI establish an interagency collaboration with youth-serving organizations and agencies. In a memo distributed to the Commission, ORI notes that it does engage in several interagency collaborations with DCF, DESE, and DPH that LGBTQ youth receive the services of through the Unaccompanied Refugee Minors Program (URMP); the Afghan Refugee School Impact: Support</w:t>
      </w:r>
      <w:r>
        <w:rPr>
          <w:spacing w:val="-5"/>
        </w:rPr>
        <w:t> </w:t>
      </w:r>
      <w:r>
        <w:rPr/>
        <w:t>to</w:t>
      </w:r>
      <w:r>
        <w:rPr>
          <w:spacing w:val="-6"/>
        </w:rPr>
        <w:t> </w:t>
      </w:r>
      <w:r>
        <w:rPr/>
        <w:t>Schools</w:t>
      </w:r>
      <w:r>
        <w:rPr>
          <w:spacing w:val="-6"/>
        </w:rPr>
        <w:t> </w:t>
      </w:r>
      <w:r>
        <w:rPr/>
        <w:t>Initiative;</w:t>
      </w:r>
      <w:r>
        <w:rPr>
          <w:spacing w:val="-6"/>
        </w:rPr>
        <w:t> </w:t>
      </w:r>
      <w:r>
        <w:rPr/>
        <w:t>the</w:t>
      </w:r>
      <w:r>
        <w:rPr>
          <w:spacing w:val="-5"/>
        </w:rPr>
        <w:t> </w:t>
      </w:r>
      <w:r>
        <w:rPr/>
        <w:t>Refugee</w:t>
      </w:r>
      <w:r>
        <w:rPr>
          <w:spacing w:val="-6"/>
        </w:rPr>
        <w:t> </w:t>
      </w:r>
      <w:r>
        <w:rPr/>
        <w:t>Medical</w:t>
      </w:r>
      <w:r>
        <w:rPr>
          <w:spacing w:val="-5"/>
        </w:rPr>
        <w:t> </w:t>
      </w:r>
      <w:r>
        <w:rPr/>
        <w:t>Screening</w:t>
      </w:r>
      <w:r>
        <w:rPr>
          <w:spacing w:val="-5"/>
        </w:rPr>
        <w:t> </w:t>
      </w:r>
      <w:r>
        <w:rPr/>
        <w:t>(RMS)/Refugee</w:t>
      </w:r>
      <w:r>
        <w:rPr>
          <w:spacing w:val="-6"/>
        </w:rPr>
        <w:t> </w:t>
      </w:r>
      <w:r>
        <w:rPr/>
        <w:t>Health</w:t>
      </w:r>
      <w:r>
        <w:rPr>
          <w:spacing w:val="-6"/>
        </w:rPr>
        <w:t> </w:t>
      </w:r>
      <w:r>
        <w:rPr/>
        <w:t>Assessment</w:t>
      </w:r>
      <w:r>
        <w:rPr>
          <w:spacing w:val="-6"/>
        </w:rPr>
        <w:t> </w:t>
      </w:r>
      <w:r>
        <w:rPr/>
        <w:t>Program (RHAP); the MA Refugee Health Promotion Program (MRHPP); and the Refugee Mental Health Initiative </w:t>
      </w:r>
      <w:r>
        <w:rPr>
          <w:spacing w:val="-2"/>
        </w:rPr>
        <w:t>(ReMHI).</w:t>
      </w:r>
    </w:p>
    <w:p>
      <w:pPr>
        <w:pStyle w:val="BodyText"/>
        <w:spacing w:line="276" w:lineRule="auto" w:before="240"/>
        <w:ind w:left="483" w:right="341"/>
        <w:jc w:val="both"/>
      </w:pPr>
      <w:r>
        <w:rPr/>
        <w:t>However, while the Commission appreciates the breadth of services offered by ORI for refugee populations, the Commission further notes that none of these programs appear to directly or explicitly address or incorporate the unique needs faced by LGBTQ youth. Additionally, as previously noted, ORI does</w:t>
      </w:r>
      <w:r>
        <w:rPr>
          <w:spacing w:val="27"/>
        </w:rPr>
        <w:t> </w:t>
      </w:r>
      <w:r>
        <w:rPr/>
        <w:t>not</w:t>
      </w:r>
      <w:r>
        <w:rPr>
          <w:spacing w:val="27"/>
        </w:rPr>
        <w:t> </w:t>
      </w:r>
      <w:r>
        <w:rPr/>
        <w:t>collect</w:t>
      </w:r>
      <w:r>
        <w:rPr>
          <w:spacing w:val="27"/>
        </w:rPr>
        <w:t> </w:t>
      </w:r>
      <w:r>
        <w:rPr/>
        <w:t>SOGIE</w:t>
      </w:r>
      <w:r>
        <w:rPr>
          <w:spacing w:val="27"/>
        </w:rPr>
        <w:t> </w:t>
      </w:r>
      <w:r>
        <w:rPr/>
        <w:t>data</w:t>
      </w:r>
      <w:r>
        <w:rPr>
          <w:spacing w:val="27"/>
        </w:rPr>
        <w:t> </w:t>
      </w:r>
      <w:r>
        <w:rPr/>
        <w:t>on</w:t>
      </w:r>
      <w:r>
        <w:rPr>
          <w:spacing w:val="26"/>
        </w:rPr>
        <w:t> </w:t>
      </w:r>
      <w:r>
        <w:rPr/>
        <w:t>its</w:t>
      </w:r>
      <w:r>
        <w:rPr>
          <w:spacing w:val="28"/>
        </w:rPr>
        <w:t> </w:t>
      </w:r>
      <w:r>
        <w:rPr/>
        <w:t>clients</w:t>
      </w:r>
      <w:r>
        <w:rPr>
          <w:spacing w:val="27"/>
        </w:rPr>
        <w:t> </w:t>
      </w:r>
      <w:r>
        <w:rPr/>
        <w:t>nor</w:t>
      </w:r>
      <w:r>
        <w:rPr>
          <w:spacing w:val="27"/>
        </w:rPr>
        <w:t> </w:t>
      </w:r>
      <w:r>
        <w:rPr/>
        <w:t>does</w:t>
      </w:r>
      <w:r>
        <w:rPr>
          <w:spacing w:val="28"/>
        </w:rPr>
        <w:t> </w:t>
      </w:r>
      <w:r>
        <w:rPr/>
        <w:t>it</w:t>
      </w:r>
      <w:r>
        <w:rPr>
          <w:spacing w:val="26"/>
        </w:rPr>
        <w:t> </w:t>
      </w:r>
      <w:r>
        <w:rPr/>
        <w:t>solicit</w:t>
      </w:r>
      <w:r>
        <w:rPr>
          <w:spacing w:val="26"/>
        </w:rPr>
        <w:t> </w:t>
      </w:r>
      <w:r>
        <w:rPr/>
        <w:t>feedback</w:t>
      </w:r>
      <w:r>
        <w:rPr>
          <w:spacing w:val="27"/>
        </w:rPr>
        <w:t> </w:t>
      </w:r>
      <w:r>
        <w:rPr/>
        <w:t>from</w:t>
      </w:r>
      <w:r>
        <w:rPr>
          <w:spacing w:val="26"/>
        </w:rPr>
        <w:t> </w:t>
      </w:r>
      <w:r>
        <w:rPr/>
        <w:t>LGBTQ</w:t>
      </w:r>
      <w:r>
        <w:rPr>
          <w:spacing w:val="27"/>
        </w:rPr>
        <w:t> </w:t>
      </w:r>
      <w:r>
        <w:rPr/>
        <w:t>communities,</w:t>
      </w:r>
      <w:r>
        <w:rPr>
          <w:spacing w:val="27"/>
        </w:rPr>
        <w:t> </w:t>
      </w:r>
      <w:r>
        <w:rPr/>
        <w:t>and</w:t>
      </w:r>
    </w:p>
    <w:p>
      <w:pPr>
        <w:spacing w:after="0" w:line="276" w:lineRule="auto"/>
        <w:jc w:val="both"/>
        <w:sectPr>
          <w:pgSz w:w="12240" w:h="15840"/>
          <w:pgMar w:header="804" w:footer="1256" w:top="1000" w:bottom="1460" w:left="960" w:right="1100"/>
        </w:sectPr>
      </w:pPr>
    </w:p>
    <w:p>
      <w:pPr>
        <w:pStyle w:val="BodyText"/>
        <w:spacing w:line="276" w:lineRule="auto" w:before="139"/>
        <w:ind w:left="483" w:right="340"/>
        <w:jc w:val="both"/>
      </w:pPr>
      <w:r>
        <w:rPr/>
        <w:t>therefore cannot definitively state that LGBTQ youth are appropriately receiving affirming services in ORI’s</w:t>
      </w:r>
      <w:r>
        <w:rPr>
          <w:spacing w:val="-13"/>
        </w:rPr>
        <w:t> </w:t>
      </w:r>
      <w:r>
        <w:rPr/>
        <w:t>current</w:t>
      </w:r>
      <w:r>
        <w:rPr>
          <w:spacing w:val="-12"/>
        </w:rPr>
        <w:t> </w:t>
      </w:r>
      <w:r>
        <w:rPr/>
        <w:t>programs.</w:t>
      </w:r>
      <w:r>
        <w:rPr>
          <w:spacing w:val="-12"/>
        </w:rPr>
        <w:t> </w:t>
      </w:r>
      <w:r>
        <w:rPr/>
        <w:t>Furthermore,</w:t>
      </w:r>
      <w:r>
        <w:rPr>
          <w:spacing w:val="-12"/>
        </w:rPr>
        <w:t> </w:t>
      </w:r>
      <w:r>
        <w:rPr/>
        <w:t>the</w:t>
      </w:r>
      <w:r>
        <w:rPr>
          <w:spacing w:val="-12"/>
        </w:rPr>
        <w:t> </w:t>
      </w:r>
      <w:r>
        <w:rPr/>
        <w:t>Commission</w:t>
      </w:r>
      <w:r>
        <w:rPr>
          <w:spacing w:val="-13"/>
        </w:rPr>
        <w:t> </w:t>
      </w:r>
      <w:r>
        <w:rPr/>
        <w:t>strongly</w:t>
      </w:r>
      <w:r>
        <w:rPr>
          <w:spacing w:val="-11"/>
        </w:rPr>
        <w:t> </w:t>
      </w:r>
      <w:r>
        <w:rPr/>
        <w:t>recommends</w:t>
      </w:r>
      <w:r>
        <w:rPr>
          <w:spacing w:val="-12"/>
        </w:rPr>
        <w:t> </w:t>
      </w:r>
      <w:r>
        <w:rPr/>
        <w:t>that</w:t>
      </w:r>
      <w:r>
        <w:rPr>
          <w:spacing w:val="-13"/>
        </w:rPr>
        <w:t> </w:t>
      </w:r>
      <w:r>
        <w:rPr/>
        <w:t>ORI</w:t>
      </w:r>
      <w:r>
        <w:rPr>
          <w:spacing w:val="-12"/>
        </w:rPr>
        <w:t> </w:t>
      </w:r>
      <w:r>
        <w:rPr/>
        <w:t>examine</w:t>
      </w:r>
      <w:r>
        <w:rPr>
          <w:spacing w:val="-12"/>
        </w:rPr>
        <w:t> </w:t>
      </w:r>
      <w:r>
        <w:rPr/>
        <w:t>its</w:t>
      </w:r>
      <w:r>
        <w:rPr>
          <w:spacing w:val="-12"/>
        </w:rPr>
        <w:t> </w:t>
      </w:r>
      <w:r>
        <w:rPr/>
        <w:t>existing contracts and partnerships to ensure that there is an existing system of accountability to ensure that contracted providers are providing LGBTQ-affirming services.</w:t>
      </w:r>
    </w:p>
    <w:p>
      <w:pPr>
        <w:numPr>
          <w:ilvl w:val="0"/>
          <w:numId w:val="43"/>
        </w:numPr>
        <w:tabs>
          <w:tab w:pos="481" w:val="left" w:leader="none"/>
          <w:tab w:pos="483" w:val="left" w:leader="none"/>
        </w:tabs>
        <w:spacing w:line="276" w:lineRule="auto" w:before="239"/>
        <w:ind w:left="483" w:right="342" w:hanging="360"/>
        <w:jc w:val="left"/>
        <w:rPr>
          <w:b/>
          <w:sz w:val="22"/>
        </w:rPr>
      </w:pPr>
      <w:r>
        <w:rPr>
          <w:b/>
          <w:sz w:val="22"/>
        </w:rPr>
        <w:t>Review</w:t>
      </w:r>
      <w:r>
        <w:rPr>
          <w:b/>
          <w:spacing w:val="69"/>
          <w:sz w:val="22"/>
        </w:rPr>
        <w:t> </w:t>
      </w:r>
      <w:r>
        <w:rPr>
          <w:b/>
          <w:sz w:val="22"/>
        </w:rPr>
        <w:t>and</w:t>
      </w:r>
      <w:r>
        <w:rPr>
          <w:b/>
          <w:spacing w:val="69"/>
          <w:sz w:val="22"/>
        </w:rPr>
        <w:t> </w:t>
      </w:r>
      <w:r>
        <w:rPr>
          <w:b/>
          <w:sz w:val="22"/>
        </w:rPr>
        <w:t>improve</w:t>
      </w:r>
      <w:r>
        <w:rPr>
          <w:b/>
          <w:spacing w:val="69"/>
          <w:sz w:val="22"/>
        </w:rPr>
        <w:t> </w:t>
      </w:r>
      <w:r>
        <w:rPr>
          <w:b/>
          <w:sz w:val="22"/>
        </w:rPr>
        <w:t>data</w:t>
      </w:r>
      <w:r>
        <w:rPr>
          <w:b/>
          <w:spacing w:val="68"/>
          <w:sz w:val="22"/>
        </w:rPr>
        <w:t> </w:t>
      </w:r>
      <w:r>
        <w:rPr>
          <w:b/>
          <w:sz w:val="22"/>
        </w:rPr>
        <w:t>collection</w:t>
      </w:r>
      <w:r>
        <w:rPr>
          <w:b/>
          <w:spacing w:val="68"/>
          <w:sz w:val="22"/>
        </w:rPr>
        <w:t> </w:t>
      </w:r>
      <w:r>
        <w:rPr>
          <w:b/>
          <w:sz w:val="22"/>
        </w:rPr>
        <w:t>efforts</w:t>
      </w:r>
      <w:r>
        <w:rPr>
          <w:b/>
          <w:spacing w:val="69"/>
          <w:sz w:val="22"/>
        </w:rPr>
        <w:t> </w:t>
      </w:r>
      <w:r>
        <w:rPr>
          <w:b/>
          <w:sz w:val="22"/>
        </w:rPr>
        <w:t>to</w:t>
      </w:r>
      <w:r>
        <w:rPr>
          <w:b/>
          <w:spacing w:val="69"/>
          <w:sz w:val="22"/>
        </w:rPr>
        <w:t> </w:t>
      </w:r>
      <w:r>
        <w:rPr>
          <w:b/>
          <w:sz w:val="22"/>
        </w:rPr>
        <w:t>capture</w:t>
      </w:r>
      <w:r>
        <w:rPr>
          <w:b/>
          <w:spacing w:val="68"/>
          <w:sz w:val="22"/>
        </w:rPr>
        <w:t> </w:t>
      </w:r>
      <w:r>
        <w:rPr>
          <w:b/>
          <w:sz w:val="22"/>
        </w:rPr>
        <w:t>sexual</w:t>
      </w:r>
      <w:r>
        <w:rPr>
          <w:b/>
          <w:spacing w:val="70"/>
          <w:sz w:val="22"/>
        </w:rPr>
        <w:t> </w:t>
      </w:r>
      <w:r>
        <w:rPr>
          <w:b/>
          <w:sz w:val="22"/>
        </w:rPr>
        <w:t>orientation</w:t>
      </w:r>
      <w:r>
        <w:rPr>
          <w:b/>
          <w:spacing w:val="69"/>
          <w:sz w:val="22"/>
        </w:rPr>
        <w:t> </w:t>
      </w:r>
      <w:r>
        <w:rPr>
          <w:b/>
          <w:sz w:val="22"/>
        </w:rPr>
        <w:t>and</w:t>
      </w:r>
      <w:r>
        <w:rPr>
          <w:b/>
          <w:spacing w:val="69"/>
          <w:sz w:val="22"/>
        </w:rPr>
        <w:t> </w:t>
      </w:r>
      <w:r>
        <w:rPr>
          <w:b/>
          <w:sz w:val="22"/>
        </w:rPr>
        <w:t>gender</w:t>
      </w:r>
      <w:r>
        <w:rPr>
          <w:b/>
          <w:spacing w:val="69"/>
          <w:sz w:val="22"/>
        </w:rPr>
        <w:t> </w:t>
      </w:r>
      <w:r>
        <w:rPr>
          <w:b/>
          <w:sz w:val="22"/>
        </w:rPr>
        <w:t>identity demographic information.</w:t>
      </w:r>
    </w:p>
    <w:p>
      <w:pPr>
        <w:pStyle w:val="BodyText"/>
        <w:spacing w:line="276" w:lineRule="auto" w:before="240"/>
        <w:ind w:left="483" w:right="343"/>
        <w:jc w:val="both"/>
      </w:pPr>
      <w:r>
        <w:rPr/>
        <w:t>The Commission has appreciated the couple of opportunities it has had in FY 2024 to engage with ORI around data collection and looks forward to continuing these conversations in FY 2025. While the Commission recognizes that language differences and federal mandates are existing barriers to standardized SOGI data collection practices for ORI, it continues to recommend that ORI collect and review what data it can. Such data should be made publicly available in its annual reports, as well as information on its current efforts around LGBTQ cultural engagement.</w:t>
      </w:r>
    </w:p>
    <w:p>
      <w:pPr>
        <w:numPr>
          <w:ilvl w:val="0"/>
          <w:numId w:val="43"/>
        </w:numPr>
        <w:tabs>
          <w:tab w:pos="481" w:val="left" w:leader="none"/>
        </w:tabs>
        <w:spacing w:before="240"/>
        <w:ind w:left="481" w:right="0" w:hanging="358"/>
        <w:jc w:val="left"/>
        <w:rPr>
          <w:b/>
          <w:sz w:val="22"/>
        </w:rPr>
      </w:pPr>
      <w:r>
        <w:rPr>
          <w:b/>
          <w:sz w:val="22"/>
        </w:rPr>
        <w:t>Implement</w:t>
      </w:r>
      <w:r>
        <w:rPr>
          <w:b/>
          <w:spacing w:val="-10"/>
          <w:sz w:val="22"/>
        </w:rPr>
        <w:t> </w:t>
      </w:r>
      <w:r>
        <w:rPr>
          <w:b/>
          <w:sz w:val="22"/>
        </w:rPr>
        <w:t>a</w:t>
      </w:r>
      <w:r>
        <w:rPr>
          <w:b/>
          <w:spacing w:val="-9"/>
          <w:sz w:val="22"/>
        </w:rPr>
        <w:t> </w:t>
      </w:r>
      <w:r>
        <w:rPr>
          <w:b/>
          <w:sz w:val="22"/>
        </w:rPr>
        <w:t>nondiscrimination</w:t>
      </w:r>
      <w:r>
        <w:rPr>
          <w:b/>
          <w:spacing w:val="-9"/>
          <w:sz w:val="22"/>
        </w:rPr>
        <w:t> </w:t>
      </w:r>
      <w:r>
        <w:rPr>
          <w:b/>
          <w:sz w:val="22"/>
        </w:rPr>
        <w:t>policy</w:t>
      </w:r>
      <w:r>
        <w:rPr>
          <w:b/>
          <w:spacing w:val="-10"/>
          <w:sz w:val="22"/>
        </w:rPr>
        <w:t> </w:t>
      </w:r>
      <w:r>
        <w:rPr>
          <w:b/>
          <w:sz w:val="22"/>
        </w:rPr>
        <w:t>and</w:t>
      </w:r>
      <w:r>
        <w:rPr>
          <w:b/>
          <w:spacing w:val="-9"/>
          <w:sz w:val="22"/>
        </w:rPr>
        <w:t> </w:t>
      </w:r>
      <w:r>
        <w:rPr>
          <w:b/>
          <w:sz w:val="22"/>
        </w:rPr>
        <w:t>disseminate</w:t>
      </w:r>
      <w:r>
        <w:rPr>
          <w:b/>
          <w:spacing w:val="-9"/>
          <w:sz w:val="22"/>
        </w:rPr>
        <w:t> </w:t>
      </w:r>
      <w:r>
        <w:rPr>
          <w:b/>
          <w:sz w:val="22"/>
        </w:rPr>
        <w:t>to</w:t>
      </w:r>
      <w:r>
        <w:rPr>
          <w:b/>
          <w:spacing w:val="-10"/>
          <w:sz w:val="22"/>
        </w:rPr>
        <w:t> </w:t>
      </w:r>
      <w:r>
        <w:rPr>
          <w:b/>
          <w:sz w:val="22"/>
        </w:rPr>
        <w:t>employees</w:t>
      </w:r>
      <w:r>
        <w:rPr>
          <w:b/>
          <w:spacing w:val="-9"/>
          <w:sz w:val="22"/>
        </w:rPr>
        <w:t> </w:t>
      </w:r>
      <w:r>
        <w:rPr>
          <w:b/>
          <w:sz w:val="22"/>
        </w:rPr>
        <w:t>and</w:t>
      </w:r>
      <w:r>
        <w:rPr>
          <w:b/>
          <w:spacing w:val="-10"/>
          <w:sz w:val="22"/>
        </w:rPr>
        <w:t> </w:t>
      </w:r>
      <w:r>
        <w:rPr>
          <w:b/>
          <w:spacing w:val="-2"/>
          <w:sz w:val="22"/>
        </w:rPr>
        <w:t>clients.</w:t>
      </w:r>
    </w:p>
    <w:p>
      <w:pPr>
        <w:pStyle w:val="BodyText"/>
        <w:spacing w:before="11"/>
        <w:rPr>
          <w:b/>
        </w:rPr>
      </w:pPr>
    </w:p>
    <w:p>
      <w:pPr>
        <w:pStyle w:val="BodyText"/>
        <w:spacing w:line="276" w:lineRule="auto"/>
        <w:ind w:left="483" w:right="342"/>
        <w:jc w:val="both"/>
      </w:pPr>
      <w:r>
        <w:rPr/>
        <w:t>As it has for several years, the Commission continues to recommend that ORI implement a nondiscrimination</w:t>
      </w:r>
      <w:r>
        <w:rPr>
          <w:spacing w:val="-8"/>
        </w:rPr>
        <w:t> </w:t>
      </w:r>
      <w:r>
        <w:rPr/>
        <w:t>policy.</w:t>
      </w:r>
      <w:r>
        <w:rPr>
          <w:spacing w:val="-8"/>
        </w:rPr>
        <w:t> </w:t>
      </w:r>
      <w:r>
        <w:rPr/>
        <w:t>In</w:t>
      </w:r>
      <w:r>
        <w:rPr>
          <w:spacing w:val="-8"/>
        </w:rPr>
        <w:t> </w:t>
      </w:r>
      <w:r>
        <w:rPr/>
        <w:t>FY</w:t>
      </w:r>
      <w:r>
        <w:rPr>
          <w:spacing w:val="-8"/>
        </w:rPr>
        <w:t> </w:t>
      </w:r>
      <w:r>
        <w:rPr/>
        <w:t>2022,</w:t>
      </w:r>
      <w:r>
        <w:rPr>
          <w:spacing w:val="-6"/>
        </w:rPr>
        <w:t> </w:t>
      </w:r>
      <w:r>
        <w:rPr/>
        <w:t>the</w:t>
      </w:r>
      <w:r>
        <w:rPr>
          <w:spacing w:val="-8"/>
        </w:rPr>
        <w:t> </w:t>
      </w:r>
      <w:r>
        <w:rPr/>
        <w:t>Commission</w:t>
      </w:r>
      <w:r>
        <w:rPr>
          <w:spacing w:val="-8"/>
        </w:rPr>
        <w:t> </w:t>
      </w:r>
      <w:r>
        <w:rPr/>
        <w:t>was</w:t>
      </w:r>
      <w:r>
        <w:rPr>
          <w:spacing w:val="-7"/>
        </w:rPr>
        <w:t> </w:t>
      </w:r>
      <w:r>
        <w:rPr/>
        <w:t>made</w:t>
      </w:r>
      <w:r>
        <w:rPr>
          <w:spacing w:val="-7"/>
        </w:rPr>
        <w:t> </w:t>
      </w:r>
      <w:r>
        <w:rPr/>
        <w:t>aware</w:t>
      </w:r>
      <w:r>
        <w:rPr>
          <w:spacing w:val="-8"/>
        </w:rPr>
        <w:t> </w:t>
      </w:r>
      <w:r>
        <w:rPr/>
        <w:t>of</w:t>
      </w:r>
      <w:r>
        <w:rPr>
          <w:spacing w:val="-8"/>
        </w:rPr>
        <w:t> </w:t>
      </w:r>
      <w:r>
        <w:rPr/>
        <w:t>a</w:t>
      </w:r>
      <w:r>
        <w:rPr>
          <w:spacing w:val="-7"/>
        </w:rPr>
        <w:t> </w:t>
      </w:r>
      <w:r>
        <w:rPr/>
        <w:t>delay</w:t>
      </w:r>
      <w:r>
        <w:rPr>
          <w:spacing w:val="-8"/>
        </w:rPr>
        <w:t> </w:t>
      </w:r>
      <w:r>
        <w:rPr/>
        <w:t>within</w:t>
      </w:r>
      <w:r>
        <w:rPr>
          <w:spacing w:val="-7"/>
        </w:rPr>
        <w:t> </w:t>
      </w:r>
      <w:r>
        <w:rPr/>
        <w:t>EOHHS’</w:t>
      </w:r>
      <w:r>
        <w:rPr>
          <w:spacing w:val="-7"/>
        </w:rPr>
        <w:t> </w:t>
      </w:r>
      <w:r>
        <w:rPr/>
        <w:t>approval system, and received notification from EOHHS that the already existing EOHHS nondiscrimination policy should suffice. The Commission disagrees with this opinion from EOHHS and continues to recommend that ORI pursue a publicly available nondiscrimination statement at minimum, particularly given that many LGBTQ immigrants and refugees come to the United States due to anti-LGBTQ violence from their home country. Such a policy or statement should incorporate an intersectional, multilingual approach that provides clients with clear avenues for accountability. Further, as noted above, the Commission recommends</w:t>
      </w:r>
      <w:r>
        <w:rPr>
          <w:spacing w:val="-8"/>
        </w:rPr>
        <w:t> </w:t>
      </w:r>
      <w:r>
        <w:rPr/>
        <w:t>that</w:t>
      </w:r>
      <w:r>
        <w:rPr>
          <w:spacing w:val="-10"/>
        </w:rPr>
        <w:t> </w:t>
      </w:r>
      <w:r>
        <w:rPr/>
        <w:t>ORI</w:t>
      </w:r>
      <w:r>
        <w:rPr>
          <w:spacing w:val="-10"/>
        </w:rPr>
        <w:t> </w:t>
      </w:r>
      <w:r>
        <w:rPr/>
        <w:t>and</w:t>
      </w:r>
      <w:r>
        <w:rPr>
          <w:spacing w:val="-9"/>
        </w:rPr>
        <w:t> </w:t>
      </w:r>
      <w:r>
        <w:rPr/>
        <w:t>EOHHS</w:t>
      </w:r>
      <w:r>
        <w:rPr>
          <w:spacing w:val="-10"/>
        </w:rPr>
        <w:t> </w:t>
      </w:r>
      <w:r>
        <w:rPr/>
        <w:t>review</w:t>
      </w:r>
      <w:r>
        <w:rPr>
          <w:spacing w:val="-10"/>
        </w:rPr>
        <w:t> </w:t>
      </w:r>
      <w:r>
        <w:rPr/>
        <w:t>the</w:t>
      </w:r>
      <w:r>
        <w:rPr>
          <w:spacing w:val="-10"/>
        </w:rPr>
        <w:t> </w:t>
      </w:r>
      <w:r>
        <w:rPr/>
        <w:t>already</w:t>
      </w:r>
      <w:r>
        <w:rPr>
          <w:spacing w:val="-9"/>
        </w:rPr>
        <w:t> </w:t>
      </w:r>
      <w:r>
        <w:rPr/>
        <w:t>drafted</w:t>
      </w:r>
      <w:r>
        <w:rPr>
          <w:spacing w:val="-10"/>
        </w:rPr>
        <w:t> </w:t>
      </w:r>
      <w:r>
        <w:rPr/>
        <w:t>policy</w:t>
      </w:r>
      <w:r>
        <w:rPr>
          <w:spacing w:val="-10"/>
        </w:rPr>
        <w:t> </w:t>
      </w:r>
      <w:r>
        <w:rPr/>
        <w:t>to</w:t>
      </w:r>
      <w:r>
        <w:rPr>
          <w:spacing w:val="-9"/>
        </w:rPr>
        <w:t> </w:t>
      </w:r>
      <w:r>
        <w:rPr/>
        <w:t>better</w:t>
      </w:r>
      <w:r>
        <w:rPr>
          <w:spacing w:val="-10"/>
        </w:rPr>
        <w:t> </w:t>
      </w:r>
      <w:r>
        <w:rPr/>
        <w:t>understand</w:t>
      </w:r>
      <w:r>
        <w:rPr>
          <w:spacing w:val="-10"/>
        </w:rPr>
        <w:t> </w:t>
      </w:r>
      <w:r>
        <w:rPr/>
        <w:t>why</w:t>
      </w:r>
      <w:r>
        <w:rPr>
          <w:spacing w:val="-9"/>
        </w:rPr>
        <w:t> </w:t>
      </w:r>
      <w:r>
        <w:rPr/>
        <w:t>ORI</w:t>
      </w:r>
      <w:r>
        <w:rPr>
          <w:spacing w:val="-10"/>
        </w:rPr>
        <w:t> </w:t>
      </w:r>
      <w:r>
        <w:rPr/>
        <w:t>-</w:t>
      </w:r>
      <w:r>
        <w:rPr>
          <w:spacing w:val="-9"/>
        </w:rPr>
        <w:t> </w:t>
      </w:r>
      <w:r>
        <w:rPr/>
        <w:t>unlike many</w:t>
      </w:r>
      <w:r>
        <w:rPr>
          <w:spacing w:val="-3"/>
        </w:rPr>
        <w:t> </w:t>
      </w:r>
      <w:r>
        <w:rPr/>
        <w:t>other</w:t>
      </w:r>
      <w:r>
        <w:rPr>
          <w:spacing w:val="-3"/>
        </w:rPr>
        <w:t> </w:t>
      </w:r>
      <w:r>
        <w:rPr/>
        <w:t>state</w:t>
      </w:r>
      <w:r>
        <w:rPr>
          <w:spacing w:val="-3"/>
        </w:rPr>
        <w:t> </w:t>
      </w:r>
      <w:r>
        <w:rPr/>
        <w:t>agencies</w:t>
      </w:r>
      <w:r>
        <w:rPr>
          <w:spacing w:val="-1"/>
        </w:rPr>
        <w:t> </w:t>
      </w:r>
      <w:r>
        <w:rPr/>
        <w:t>that</w:t>
      </w:r>
      <w:r>
        <w:rPr>
          <w:spacing w:val="-3"/>
        </w:rPr>
        <w:t> </w:t>
      </w:r>
      <w:r>
        <w:rPr/>
        <w:t>fall</w:t>
      </w:r>
      <w:r>
        <w:rPr>
          <w:spacing w:val="-3"/>
        </w:rPr>
        <w:t> </w:t>
      </w:r>
      <w:r>
        <w:rPr/>
        <w:t>under</w:t>
      </w:r>
      <w:r>
        <w:rPr>
          <w:spacing w:val="-3"/>
        </w:rPr>
        <w:t> </w:t>
      </w:r>
      <w:r>
        <w:rPr/>
        <w:t>EOHHS</w:t>
      </w:r>
      <w:r>
        <w:rPr>
          <w:spacing w:val="-3"/>
        </w:rPr>
        <w:t> </w:t>
      </w:r>
      <w:r>
        <w:rPr/>
        <w:t>-</w:t>
      </w:r>
      <w:r>
        <w:rPr>
          <w:spacing w:val="-3"/>
        </w:rPr>
        <w:t> </w:t>
      </w:r>
      <w:r>
        <w:rPr/>
        <w:t>cannot</w:t>
      </w:r>
      <w:r>
        <w:rPr>
          <w:spacing w:val="-3"/>
        </w:rPr>
        <w:t> </w:t>
      </w:r>
      <w:r>
        <w:rPr/>
        <w:t>have</w:t>
      </w:r>
      <w:r>
        <w:rPr>
          <w:spacing w:val="-3"/>
        </w:rPr>
        <w:t> </w:t>
      </w:r>
      <w:r>
        <w:rPr/>
        <w:t>its</w:t>
      </w:r>
      <w:r>
        <w:rPr>
          <w:spacing w:val="-2"/>
        </w:rPr>
        <w:t> </w:t>
      </w:r>
      <w:r>
        <w:rPr/>
        <w:t>own</w:t>
      </w:r>
      <w:r>
        <w:rPr>
          <w:spacing w:val="-3"/>
        </w:rPr>
        <w:t> </w:t>
      </w:r>
      <w:r>
        <w:rPr/>
        <w:t>specific</w:t>
      </w:r>
      <w:r>
        <w:rPr>
          <w:spacing w:val="-3"/>
        </w:rPr>
        <w:t> </w:t>
      </w:r>
      <w:r>
        <w:rPr/>
        <w:t>nondiscrimination</w:t>
      </w:r>
      <w:r>
        <w:rPr>
          <w:spacing w:val="-3"/>
        </w:rPr>
        <w:t> </w:t>
      </w:r>
      <w:r>
        <w:rPr/>
        <w:t>policy. Should</w:t>
      </w:r>
      <w:r>
        <w:rPr>
          <w:spacing w:val="-11"/>
        </w:rPr>
        <w:t> </w:t>
      </w:r>
      <w:r>
        <w:rPr/>
        <w:t>the</w:t>
      </w:r>
      <w:r>
        <w:rPr>
          <w:spacing w:val="-11"/>
        </w:rPr>
        <w:t> </w:t>
      </w:r>
      <w:r>
        <w:rPr/>
        <w:t>policy</w:t>
      </w:r>
      <w:r>
        <w:rPr>
          <w:spacing w:val="-11"/>
        </w:rPr>
        <w:t> </w:t>
      </w:r>
      <w:r>
        <w:rPr/>
        <w:t>need</w:t>
      </w:r>
      <w:r>
        <w:rPr>
          <w:spacing w:val="-11"/>
        </w:rPr>
        <w:t> </w:t>
      </w:r>
      <w:r>
        <w:rPr/>
        <w:t>to</w:t>
      </w:r>
      <w:r>
        <w:rPr>
          <w:spacing w:val="-10"/>
        </w:rPr>
        <w:t> </w:t>
      </w:r>
      <w:r>
        <w:rPr/>
        <w:t>be</w:t>
      </w:r>
      <w:r>
        <w:rPr>
          <w:spacing w:val="-13"/>
        </w:rPr>
        <w:t> </w:t>
      </w:r>
      <w:r>
        <w:rPr/>
        <w:t>updated</w:t>
      </w:r>
      <w:r>
        <w:rPr>
          <w:spacing w:val="-10"/>
        </w:rPr>
        <w:t> </w:t>
      </w:r>
      <w:r>
        <w:rPr/>
        <w:t>and</w:t>
      </w:r>
      <w:r>
        <w:rPr>
          <w:spacing w:val="-13"/>
        </w:rPr>
        <w:t> </w:t>
      </w:r>
      <w:r>
        <w:rPr/>
        <w:t>revised,</w:t>
      </w:r>
      <w:r>
        <w:rPr>
          <w:spacing w:val="-10"/>
        </w:rPr>
        <w:t> </w:t>
      </w:r>
      <w:r>
        <w:rPr/>
        <w:t>the</w:t>
      </w:r>
      <w:r>
        <w:rPr>
          <w:spacing w:val="-11"/>
        </w:rPr>
        <w:t> </w:t>
      </w:r>
      <w:r>
        <w:rPr/>
        <w:t>Commission</w:t>
      </w:r>
      <w:r>
        <w:rPr>
          <w:spacing w:val="-11"/>
        </w:rPr>
        <w:t> </w:t>
      </w:r>
      <w:r>
        <w:rPr/>
        <w:t>recommends</w:t>
      </w:r>
      <w:r>
        <w:rPr>
          <w:spacing w:val="-11"/>
        </w:rPr>
        <w:t> </w:t>
      </w:r>
      <w:r>
        <w:rPr/>
        <w:t>that</w:t>
      </w:r>
      <w:r>
        <w:rPr>
          <w:spacing w:val="-12"/>
        </w:rPr>
        <w:t> </w:t>
      </w:r>
      <w:r>
        <w:rPr/>
        <w:t>ORI</w:t>
      </w:r>
      <w:r>
        <w:rPr>
          <w:spacing w:val="-11"/>
        </w:rPr>
        <w:t> </w:t>
      </w:r>
      <w:r>
        <w:rPr/>
        <w:t>prioritizes</w:t>
      </w:r>
      <w:r>
        <w:rPr>
          <w:spacing w:val="-11"/>
        </w:rPr>
        <w:t> </w:t>
      </w:r>
      <w:r>
        <w:rPr/>
        <w:t>these revisions in partnership with EOHHS.</w:t>
      </w:r>
    </w:p>
    <w:p>
      <w:pPr>
        <w:spacing w:before="241"/>
        <w:ind w:left="483" w:right="0" w:firstLine="0"/>
        <w:jc w:val="left"/>
        <w:rPr>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3"/>
          <w:sz w:val="21"/>
        </w:rPr>
        <w:t> </w:t>
      </w:r>
      <w:r>
        <w:rPr>
          <w:i/>
          <w:sz w:val="21"/>
        </w:rPr>
        <w:t>thanks</w:t>
      </w:r>
      <w:r>
        <w:rPr>
          <w:i/>
          <w:spacing w:val="-3"/>
          <w:sz w:val="21"/>
        </w:rPr>
        <w:t> </w:t>
      </w:r>
      <w:r>
        <w:rPr>
          <w:i/>
          <w:sz w:val="21"/>
        </w:rPr>
        <w:t>the</w:t>
      </w:r>
      <w:r>
        <w:rPr>
          <w:i/>
          <w:spacing w:val="-4"/>
          <w:sz w:val="21"/>
        </w:rPr>
        <w:t> </w:t>
      </w:r>
      <w:r>
        <w:rPr>
          <w:i/>
          <w:sz w:val="21"/>
        </w:rPr>
        <w:t>contributions</w:t>
      </w:r>
      <w:r>
        <w:rPr>
          <w:i/>
          <w:spacing w:val="-2"/>
          <w:sz w:val="21"/>
        </w:rPr>
        <w:t> </w:t>
      </w:r>
      <w:r>
        <w:rPr>
          <w:i/>
          <w:sz w:val="21"/>
        </w:rPr>
        <w:t>of</w:t>
      </w:r>
      <w:r>
        <w:rPr>
          <w:i/>
          <w:spacing w:val="-3"/>
          <w:sz w:val="21"/>
        </w:rPr>
        <w:t> </w:t>
      </w:r>
      <w:r>
        <w:rPr>
          <w:i/>
          <w:sz w:val="21"/>
        </w:rPr>
        <w:t>its</w:t>
      </w:r>
      <w:r>
        <w:rPr>
          <w:i/>
          <w:spacing w:val="-4"/>
          <w:sz w:val="21"/>
        </w:rPr>
        <w:t> </w:t>
      </w:r>
      <w:r>
        <w:rPr>
          <w:i/>
          <w:sz w:val="21"/>
        </w:rPr>
        <w:t>ORI</w:t>
      </w:r>
      <w:r>
        <w:rPr>
          <w:i/>
          <w:spacing w:val="-3"/>
          <w:sz w:val="21"/>
        </w:rPr>
        <w:t> </w:t>
      </w:r>
      <w:r>
        <w:rPr>
          <w:i/>
          <w:sz w:val="21"/>
        </w:rPr>
        <w:t>staff</w:t>
      </w:r>
      <w:r>
        <w:rPr>
          <w:i/>
          <w:spacing w:val="-2"/>
          <w:sz w:val="21"/>
        </w:rPr>
        <w:t> liaisons</w:t>
      </w:r>
      <w:r>
        <w:rPr>
          <w:spacing w:val="-2"/>
          <w:sz w:val="21"/>
        </w:rPr>
        <w:t>.</w:t>
      </w:r>
    </w:p>
    <w:p>
      <w:pPr>
        <w:pStyle w:val="BodyText"/>
        <w:rPr>
          <w:sz w:val="21"/>
        </w:rPr>
      </w:pPr>
    </w:p>
    <w:p>
      <w:pPr>
        <w:pStyle w:val="BodyText"/>
        <w:rPr>
          <w:sz w:val="21"/>
        </w:rPr>
      </w:pPr>
    </w:p>
    <w:p>
      <w:pPr>
        <w:pStyle w:val="BodyText"/>
        <w:spacing w:before="43"/>
        <w:rPr>
          <w:sz w:val="21"/>
        </w:rPr>
      </w:pPr>
    </w:p>
    <w:p>
      <w:pPr>
        <w:spacing w:before="1"/>
        <w:ind w:left="483" w:right="528" w:hanging="1"/>
        <w:jc w:val="left"/>
        <w:rPr>
          <w:sz w:val="18"/>
        </w:rPr>
      </w:pPr>
      <w:r>
        <w:rPr>
          <w:sz w:val="18"/>
          <w:vertAlign w:val="superscript"/>
        </w:rPr>
        <w:t>1</w:t>
      </w:r>
      <w:r>
        <w:rPr>
          <w:spacing w:val="-13"/>
          <w:sz w:val="18"/>
          <w:vertAlign w:val="baseline"/>
        </w:rPr>
        <w:t> </w:t>
      </w:r>
      <w:r>
        <w:rPr>
          <w:sz w:val="18"/>
          <w:vertAlign w:val="baseline"/>
        </w:rPr>
        <w:t>Office</w:t>
      </w:r>
      <w:r>
        <w:rPr>
          <w:spacing w:val="-6"/>
          <w:sz w:val="18"/>
          <w:vertAlign w:val="baseline"/>
        </w:rPr>
        <w:t> </w:t>
      </w:r>
      <w:r>
        <w:rPr>
          <w:sz w:val="18"/>
          <w:vertAlign w:val="baseline"/>
        </w:rPr>
        <w:t>of</w:t>
      </w:r>
      <w:r>
        <w:rPr>
          <w:spacing w:val="-4"/>
          <w:sz w:val="18"/>
          <w:vertAlign w:val="baseline"/>
        </w:rPr>
        <w:t> </w:t>
      </w:r>
      <w:r>
        <w:rPr>
          <w:sz w:val="18"/>
          <w:vertAlign w:val="baseline"/>
        </w:rPr>
        <w:t>Refugees</w:t>
      </w:r>
      <w:r>
        <w:rPr>
          <w:spacing w:val="-4"/>
          <w:sz w:val="18"/>
          <w:vertAlign w:val="baseline"/>
        </w:rPr>
        <w:t> </w:t>
      </w:r>
      <w:r>
        <w:rPr>
          <w:sz w:val="18"/>
          <w:vertAlign w:val="baseline"/>
        </w:rPr>
        <w:t>and</w:t>
      </w:r>
      <w:r>
        <w:rPr>
          <w:spacing w:val="-4"/>
          <w:sz w:val="18"/>
          <w:vertAlign w:val="baseline"/>
        </w:rPr>
        <w:t> </w:t>
      </w:r>
      <w:r>
        <w:rPr>
          <w:sz w:val="18"/>
          <w:vertAlign w:val="baseline"/>
        </w:rPr>
        <w:t>Immigrants,</w:t>
      </w:r>
      <w:r>
        <w:rPr>
          <w:spacing w:val="-5"/>
          <w:sz w:val="18"/>
          <w:vertAlign w:val="baseline"/>
        </w:rPr>
        <w:t> </w:t>
      </w:r>
      <w:r>
        <w:rPr>
          <w:sz w:val="18"/>
          <w:vertAlign w:val="baseline"/>
        </w:rPr>
        <w:t>“Annual</w:t>
      </w:r>
      <w:r>
        <w:rPr>
          <w:spacing w:val="-5"/>
          <w:sz w:val="18"/>
          <w:vertAlign w:val="baseline"/>
        </w:rPr>
        <w:t> </w:t>
      </w:r>
      <w:r>
        <w:rPr>
          <w:sz w:val="18"/>
          <w:vertAlign w:val="baseline"/>
        </w:rPr>
        <w:t>Report</w:t>
      </w:r>
      <w:r>
        <w:rPr>
          <w:spacing w:val="-5"/>
          <w:sz w:val="18"/>
          <w:vertAlign w:val="baseline"/>
        </w:rPr>
        <w:t> </w:t>
      </w:r>
      <w:r>
        <w:rPr>
          <w:sz w:val="18"/>
          <w:vertAlign w:val="baseline"/>
        </w:rPr>
        <w:t>2021,”</w:t>
      </w:r>
      <w:r>
        <w:rPr>
          <w:spacing w:val="-4"/>
          <w:sz w:val="18"/>
          <w:vertAlign w:val="baseline"/>
        </w:rPr>
        <w:t> </w:t>
      </w:r>
      <w:r>
        <w:rPr>
          <w:sz w:val="18"/>
          <w:vertAlign w:val="baseline"/>
        </w:rPr>
        <w:t>2022,</w:t>
      </w:r>
      <w:r>
        <w:rPr>
          <w:spacing w:val="-4"/>
          <w:sz w:val="18"/>
          <w:vertAlign w:val="baseline"/>
        </w:rPr>
        <w:t> </w:t>
      </w:r>
      <w:r>
        <w:rPr>
          <w:sz w:val="18"/>
          <w:vertAlign w:val="baseline"/>
        </w:rPr>
        <w:t>https://</w:t>
      </w:r>
      <w:hyperlink r:id="rId752">
        <w:r>
          <w:rPr>
            <w:sz w:val="18"/>
            <w:vertAlign w:val="baseline"/>
          </w:rPr>
          <w:t>www.mass.gov/doc/2021-ori-annual-</w:t>
        </w:r>
      </w:hyperlink>
      <w:r>
        <w:rPr>
          <w:sz w:val="18"/>
          <w:vertAlign w:val="baseline"/>
        </w:rPr>
        <w:t> </w:t>
      </w:r>
      <w:r>
        <w:rPr>
          <w:spacing w:val="-2"/>
          <w:sz w:val="18"/>
          <w:vertAlign w:val="baseline"/>
        </w:rPr>
        <w:t>report/download.</w:t>
      </w:r>
    </w:p>
    <w:p>
      <w:pPr>
        <w:spacing w:before="0"/>
        <w:ind w:left="483" w:right="840" w:hanging="1"/>
        <w:jc w:val="left"/>
        <w:rPr>
          <w:sz w:val="18"/>
        </w:rPr>
      </w:pPr>
      <w:r>
        <w:rPr>
          <w:sz w:val="18"/>
          <w:vertAlign w:val="superscript"/>
        </w:rPr>
        <w:t>2</w:t>
      </w:r>
      <w:r>
        <w:rPr>
          <w:spacing w:val="-13"/>
          <w:sz w:val="18"/>
          <w:vertAlign w:val="baseline"/>
        </w:rPr>
        <w:t> </w:t>
      </w:r>
      <w:r>
        <w:rPr>
          <w:sz w:val="18"/>
          <w:vertAlign w:val="baseline"/>
        </w:rPr>
        <w:t>Shoshana</w:t>
      </w:r>
      <w:r>
        <w:rPr>
          <w:spacing w:val="-4"/>
          <w:sz w:val="18"/>
          <w:vertAlign w:val="baseline"/>
        </w:rPr>
        <w:t> </w:t>
      </w:r>
      <w:r>
        <w:rPr>
          <w:sz w:val="18"/>
          <w:vertAlign w:val="baseline"/>
        </w:rPr>
        <w:t>Goldberg</w:t>
      </w:r>
      <w:r>
        <w:rPr>
          <w:spacing w:val="-3"/>
          <w:sz w:val="18"/>
          <w:vertAlign w:val="baseline"/>
        </w:rPr>
        <w:t> </w:t>
      </w:r>
      <w:r>
        <w:rPr>
          <w:sz w:val="18"/>
          <w:vertAlign w:val="baseline"/>
        </w:rPr>
        <w:t>and</w:t>
      </w:r>
      <w:r>
        <w:rPr>
          <w:spacing w:val="-3"/>
          <w:sz w:val="18"/>
          <w:vertAlign w:val="baseline"/>
        </w:rPr>
        <w:t> </w:t>
      </w:r>
      <w:r>
        <w:rPr>
          <w:sz w:val="18"/>
          <w:vertAlign w:val="baseline"/>
        </w:rPr>
        <w:t>Kerith</w:t>
      </w:r>
      <w:r>
        <w:rPr>
          <w:spacing w:val="-3"/>
          <w:sz w:val="18"/>
          <w:vertAlign w:val="baseline"/>
        </w:rPr>
        <w:t> </w:t>
      </w:r>
      <w:r>
        <w:rPr>
          <w:sz w:val="18"/>
          <w:vertAlign w:val="baseline"/>
        </w:rPr>
        <w:t>Conron,</w:t>
      </w:r>
      <w:r>
        <w:rPr>
          <w:spacing w:val="-4"/>
          <w:sz w:val="18"/>
          <w:vertAlign w:val="baseline"/>
        </w:rPr>
        <w:t> </w:t>
      </w:r>
      <w:r>
        <w:rPr>
          <w:sz w:val="18"/>
          <w:vertAlign w:val="baseline"/>
        </w:rPr>
        <w:t>“LGBT</w:t>
      </w:r>
      <w:r>
        <w:rPr>
          <w:spacing w:val="-3"/>
          <w:sz w:val="18"/>
          <w:vertAlign w:val="baseline"/>
        </w:rPr>
        <w:t> </w:t>
      </w:r>
      <w:r>
        <w:rPr>
          <w:sz w:val="18"/>
          <w:vertAlign w:val="baseline"/>
        </w:rPr>
        <w:t>Adult</w:t>
      </w:r>
      <w:r>
        <w:rPr>
          <w:spacing w:val="-4"/>
          <w:sz w:val="18"/>
          <w:vertAlign w:val="baseline"/>
        </w:rPr>
        <w:t> </w:t>
      </w:r>
      <w:r>
        <w:rPr>
          <w:sz w:val="18"/>
          <w:vertAlign w:val="baseline"/>
        </w:rPr>
        <w:t>Immigrants</w:t>
      </w:r>
      <w:r>
        <w:rPr>
          <w:spacing w:val="-4"/>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United</w:t>
      </w:r>
      <w:r>
        <w:rPr>
          <w:spacing w:val="-3"/>
          <w:sz w:val="18"/>
          <w:vertAlign w:val="baseline"/>
        </w:rPr>
        <w:t> </w:t>
      </w:r>
      <w:r>
        <w:rPr>
          <w:sz w:val="18"/>
          <w:vertAlign w:val="baseline"/>
        </w:rPr>
        <w:t>States,”</w:t>
      </w:r>
      <w:r>
        <w:rPr>
          <w:spacing w:val="-3"/>
          <w:sz w:val="18"/>
          <w:vertAlign w:val="baseline"/>
        </w:rPr>
        <w:t> </w:t>
      </w:r>
      <w:r>
        <w:rPr>
          <w:sz w:val="18"/>
          <w:vertAlign w:val="baseline"/>
        </w:rPr>
        <w:t>Williams</w:t>
      </w:r>
      <w:r>
        <w:rPr>
          <w:spacing w:val="-3"/>
          <w:sz w:val="18"/>
          <w:vertAlign w:val="baseline"/>
        </w:rPr>
        <w:t> </w:t>
      </w:r>
      <w:r>
        <w:rPr>
          <w:sz w:val="18"/>
          <w:vertAlign w:val="baseline"/>
        </w:rPr>
        <w:t>Institute,</w:t>
      </w:r>
      <w:r>
        <w:rPr>
          <w:spacing w:val="-4"/>
          <w:sz w:val="18"/>
          <w:vertAlign w:val="baseline"/>
        </w:rPr>
        <w:t> </w:t>
      </w:r>
      <w:r>
        <w:rPr>
          <w:sz w:val="18"/>
          <w:vertAlign w:val="baseline"/>
        </w:rPr>
        <w:t>February</w:t>
      </w:r>
      <w:r>
        <w:rPr>
          <w:spacing w:val="-3"/>
          <w:sz w:val="18"/>
          <w:vertAlign w:val="baseline"/>
        </w:rPr>
        <w:t> </w:t>
      </w:r>
      <w:r>
        <w:rPr>
          <w:sz w:val="18"/>
          <w:vertAlign w:val="baseline"/>
        </w:rPr>
        <w:t>2021, </w:t>
      </w:r>
      <w:r>
        <w:rPr>
          <w:spacing w:val="-2"/>
          <w:sz w:val="18"/>
          <w:vertAlign w:val="baseline"/>
        </w:rPr>
        <w:t>https://williamsinstitute.law.ucla.edu/publications/lgbt-immigrants-in-the-us/.</w:t>
      </w:r>
    </w:p>
    <w:p>
      <w:pPr>
        <w:spacing w:before="0"/>
        <w:ind w:left="483" w:right="2986" w:hanging="1"/>
        <w:jc w:val="left"/>
        <w:rPr>
          <w:sz w:val="18"/>
        </w:rPr>
      </w:pPr>
      <w:r>
        <w:rPr>
          <w:sz w:val="18"/>
          <w:vertAlign w:val="superscript"/>
        </w:rPr>
        <w:t>3</w:t>
      </w:r>
      <w:r>
        <w:rPr>
          <w:spacing w:val="-13"/>
          <w:sz w:val="18"/>
          <w:vertAlign w:val="baseline"/>
        </w:rPr>
        <w:t> </w:t>
      </w:r>
      <w:r>
        <w:rPr>
          <w:sz w:val="18"/>
          <w:vertAlign w:val="baseline"/>
        </w:rPr>
        <w:t>Ari</w:t>
      </w:r>
      <w:r>
        <w:rPr>
          <w:spacing w:val="-5"/>
          <w:sz w:val="18"/>
          <w:vertAlign w:val="baseline"/>
        </w:rPr>
        <w:t> </w:t>
      </w:r>
      <w:r>
        <w:rPr>
          <w:sz w:val="18"/>
          <w:vertAlign w:val="baseline"/>
        </w:rPr>
        <w:t>Shaw</w:t>
      </w:r>
      <w:r>
        <w:rPr>
          <w:spacing w:val="-4"/>
          <w:sz w:val="18"/>
          <w:vertAlign w:val="baseline"/>
        </w:rPr>
        <w:t> </w:t>
      </w:r>
      <w:r>
        <w:rPr>
          <w:sz w:val="18"/>
          <w:vertAlign w:val="baseline"/>
        </w:rPr>
        <w:t>et</w:t>
      </w:r>
      <w:r>
        <w:rPr>
          <w:spacing w:val="-4"/>
          <w:sz w:val="18"/>
          <w:vertAlign w:val="baseline"/>
        </w:rPr>
        <w:t> </w:t>
      </w:r>
      <w:r>
        <w:rPr>
          <w:sz w:val="18"/>
          <w:vertAlign w:val="baseline"/>
        </w:rPr>
        <w:t>al.,</w:t>
      </w:r>
      <w:r>
        <w:rPr>
          <w:spacing w:val="-4"/>
          <w:sz w:val="18"/>
          <w:vertAlign w:val="baseline"/>
        </w:rPr>
        <w:t> </w:t>
      </w:r>
      <w:r>
        <w:rPr>
          <w:sz w:val="18"/>
          <w:vertAlign w:val="baseline"/>
        </w:rPr>
        <w:t>“LGBT</w:t>
      </w:r>
      <w:r>
        <w:rPr>
          <w:spacing w:val="-3"/>
          <w:sz w:val="18"/>
          <w:vertAlign w:val="baseline"/>
        </w:rPr>
        <w:t> </w:t>
      </w:r>
      <w:r>
        <w:rPr>
          <w:sz w:val="18"/>
          <w:vertAlign w:val="baseline"/>
        </w:rPr>
        <w:t>Asylum</w:t>
      </w:r>
      <w:r>
        <w:rPr>
          <w:spacing w:val="-3"/>
          <w:sz w:val="18"/>
          <w:vertAlign w:val="baseline"/>
        </w:rPr>
        <w:t> </w:t>
      </w:r>
      <w:r>
        <w:rPr>
          <w:sz w:val="18"/>
          <w:vertAlign w:val="baseline"/>
        </w:rPr>
        <w:t>Claims</w:t>
      </w:r>
      <w:r>
        <w:rPr>
          <w:spacing w:val="-3"/>
          <w:sz w:val="18"/>
          <w:vertAlign w:val="baseline"/>
        </w:rPr>
        <w:t> </w:t>
      </w:r>
      <w:r>
        <w:rPr>
          <w:sz w:val="18"/>
          <w:vertAlign w:val="baseline"/>
        </w:rPr>
        <w:t>in</w:t>
      </w:r>
      <w:r>
        <w:rPr>
          <w:spacing w:val="-3"/>
          <w:sz w:val="18"/>
          <w:vertAlign w:val="baseline"/>
        </w:rPr>
        <w:t> </w:t>
      </w:r>
      <w:r>
        <w:rPr>
          <w:sz w:val="18"/>
          <w:vertAlign w:val="baseline"/>
        </w:rPr>
        <w:t>the</w:t>
      </w:r>
      <w:r>
        <w:rPr>
          <w:spacing w:val="-3"/>
          <w:sz w:val="18"/>
          <w:vertAlign w:val="baseline"/>
        </w:rPr>
        <w:t> </w:t>
      </w:r>
      <w:r>
        <w:rPr>
          <w:sz w:val="18"/>
          <w:vertAlign w:val="baseline"/>
        </w:rPr>
        <w:t>United</w:t>
      </w:r>
      <w:r>
        <w:rPr>
          <w:spacing w:val="-3"/>
          <w:sz w:val="18"/>
          <w:vertAlign w:val="baseline"/>
        </w:rPr>
        <w:t> </w:t>
      </w:r>
      <w:r>
        <w:rPr>
          <w:sz w:val="18"/>
          <w:vertAlign w:val="baseline"/>
        </w:rPr>
        <w:t>States,”</w:t>
      </w:r>
      <w:r>
        <w:rPr>
          <w:spacing w:val="-3"/>
          <w:sz w:val="18"/>
          <w:vertAlign w:val="baseline"/>
        </w:rPr>
        <w:t> </w:t>
      </w:r>
      <w:r>
        <w:rPr>
          <w:sz w:val="18"/>
          <w:vertAlign w:val="baseline"/>
        </w:rPr>
        <w:t>Williams</w:t>
      </w:r>
      <w:r>
        <w:rPr>
          <w:spacing w:val="-3"/>
          <w:sz w:val="18"/>
          <w:vertAlign w:val="baseline"/>
        </w:rPr>
        <w:t> </w:t>
      </w:r>
      <w:r>
        <w:rPr>
          <w:sz w:val="18"/>
          <w:vertAlign w:val="baseline"/>
        </w:rPr>
        <w:t>Institute,</w:t>
      </w:r>
      <w:r>
        <w:rPr>
          <w:spacing w:val="-4"/>
          <w:sz w:val="18"/>
          <w:vertAlign w:val="baseline"/>
        </w:rPr>
        <w:t> </w:t>
      </w:r>
      <w:r>
        <w:rPr>
          <w:sz w:val="18"/>
          <w:vertAlign w:val="baseline"/>
        </w:rPr>
        <w:t>March</w:t>
      </w:r>
      <w:r>
        <w:rPr>
          <w:spacing w:val="-3"/>
          <w:sz w:val="18"/>
          <w:vertAlign w:val="baseline"/>
        </w:rPr>
        <w:t> </w:t>
      </w:r>
      <w:r>
        <w:rPr>
          <w:sz w:val="18"/>
          <w:vertAlign w:val="baseline"/>
        </w:rPr>
        <w:t>2021, </w:t>
      </w:r>
      <w:r>
        <w:rPr>
          <w:spacing w:val="-2"/>
          <w:sz w:val="18"/>
          <w:vertAlign w:val="baseline"/>
        </w:rPr>
        <w:t>https://williamsinstitute.law.ucla.edu/publications/lgbt-asylum-claims/.</w:t>
      </w:r>
    </w:p>
    <w:p>
      <w:pPr>
        <w:spacing w:before="0"/>
        <w:ind w:left="483" w:right="599" w:hanging="1"/>
        <w:jc w:val="left"/>
        <w:rPr>
          <w:sz w:val="18"/>
        </w:rPr>
      </w:pPr>
      <w:r>
        <w:rPr>
          <w:sz w:val="18"/>
          <w:vertAlign w:val="superscript"/>
        </w:rPr>
        <w:t>4</w:t>
      </w:r>
      <w:r>
        <w:rPr>
          <w:spacing w:val="-11"/>
          <w:sz w:val="18"/>
          <w:vertAlign w:val="baseline"/>
        </w:rPr>
        <w:t> </w:t>
      </w:r>
      <w:r>
        <w:rPr>
          <w:sz w:val="18"/>
          <w:vertAlign w:val="baseline"/>
        </w:rPr>
        <w:t>Sharita Gruberg, Caitlin Rooney, and Ashe McGovern, “Serving LGBTQ Immigrants and Building Welcoming Communities,” </w:t>
      </w:r>
      <w:r>
        <w:rPr>
          <w:i/>
          <w:sz w:val="18"/>
          <w:vertAlign w:val="baseline"/>
        </w:rPr>
        <w:t>Center</w:t>
      </w:r>
      <w:r>
        <w:rPr>
          <w:i/>
          <w:spacing w:val="-5"/>
          <w:sz w:val="18"/>
          <w:vertAlign w:val="baseline"/>
        </w:rPr>
        <w:t> </w:t>
      </w:r>
      <w:r>
        <w:rPr>
          <w:i/>
          <w:sz w:val="18"/>
          <w:vertAlign w:val="baseline"/>
        </w:rPr>
        <w:t>for</w:t>
      </w:r>
      <w:r>
        <w:rPr>
          <w:i/>
          <w:spacing w:val="-5"/>
          <w:sz w:val="18"/>
          <w:vertAlign w:val="baseline"/>
        </w:rPr>
        <w:t> </w:t>
      </w:r>
      <w:r>
        <w:rPr>
          <w:i/>
          <w:sz w:val="18"/>
          <w:vertAlign w:val="baseline"/>
        </w:rPr>
        <w:t>American</w:t>
      </w:r>
      <w:r>
        <w:rPr>
          <w:i/>
          <w:spacing w:val="-5"/>
          <w:sz w:val="18"/>
          <w:vertAlign w:val="baseline"/>
        </w:rPr>
        <w:t> </w:t>
      </w:r>
      <w:r>
        <w:rPr>
          <w:i/>
          <w:sz w:val="18"/>
          <w:vertAlign w:val="baseline"/>
        </w:rPr>
        <w:t>Progress</w:t>
      </w:r>
      <w:r>
        <w:rPr>
          <w:i/>
          <w:spacing w:val="-5"/>
          <w:sz w:val="18"/>
          <w:vertAlign w:val="baseline"/>
        </w:rPr>
        <w:t> </w:t>
      </w:r>
      <w:r>
        <w:rPr>
          <w:sz w:val="18"/>
          <w:vertAlign w:val="baseline"/>
        </w:rPr>
        <w:t>(blog),</w:t>
      </w:r>
      <w:r>
        <w:rPr>
          <w:spacing w:val="-5"/>
          <w:sz w:val="18"/>
          <w:vertAlign w:val="baseline"/>
        </w:rPr>
        <w:t> </w:t>
      </w:r>
      <w:r>
        <w:rPr>
          <w:sz w:val="18"/>
          <w:vertAlign w:val="baseline"/>
        </w:rPr>
        <w:t>January</w:t>
      </w:r>
      <w:r>
        <w:rPr>
          <w:spacing w:val="-5"/>
          <w:sz w:val="18"/>
          <w:vertAlign w:val="baseline"/>
        </w:rPr>
        <w:t> </w:t>
      </w:r>
      <w:r>
        <w:rPr>
          <w:sz w:val="18"/>
          <w:vertAlign w:val="baseline"/>
        </w:rPr>
        <w:t>24,</w:t>
      </w:r>
      <w:r>
        <w:rPr>
          <w:spacing w:val="-6"/>
          <w:sz w:val="18"/>
          <w:vertAlign w:val="baseline"/>
        </w:rPr>
        <w:t> </w:t>
      </w:r>
      <w:r>
        <w:rPr>
          <w:sz w:val="18"/>
          <w:vertAlign w:val="baseline"/>
        </w:rPr>
        <w:t>2018,</w:t>
      </w:r>
      <w:r>
        <w:rPr>
          <w:spacing w:val="-5"/>
          <w:sz w:val="18"/>
          <w:vertAlign w:val="baseline"/>
        </w:rPr>
        <w:t> </w:t>
      </w:r>
      <w:r>
        <w:rPr>
          <w:sz w:val="18"/>
          <w:vertAlign w:val="baseline"/>
        </w:rPr>
        <w:t>https://</w:t>
      </w:r>
      <w:hyperlink r:id="rId587">
        <w:r>
          <w:rPr>
            <w:sz w:val="18"/>
            <w:vertAlign w:val="baseline"/>
          </w:rPr>
          <w:t>www.americanprogress.org/article/serving-lgbtq-immigrants-</w:t>
        </w:r>
      </w:hyperlink>
      <w:r>
        <w:rPr>
          <w:sz w:val="18"/>
          <w:vertAlign w:val="baseline"/>
        </w:rPr>
        <w:t> </w:t>
      </w:r>
      <w:r>
        <w:rPr>
          <w:spacing w:val="-2"/>
          <w:sz w:val="18"/>
          <w:vertAlign w:val="baseline"/>
        </w:rPr>
        <w:t>building-welcoming-communities/.</w:t>
      </w:r>
    </w:p>
    <w:p>
      <w:pPr>
        <w:spacing w:after="0"/>
        <w:jc w:val="left"/>
        <w:rPr>
          <w:sz w:val="18"/>
        </w:rPr>
        <w:sectPr>
          <w:pgSz w:w="12240" w:h="15840"/>
          <w:pgMar w:header="804" w:footer="1256" w:top="1000" w:bottom="1460" w:left="960" w:right="1100"/>
        </w:sectPr>
      </w:pPr>
    </w:p>
    <w:p>
      <w:pPr>
        <w:pStyle w:val="Heading7"/>
        <w:spacing w:before="366"/>
      </w:pPr>
      <w:bookmarkStart w:name="_bookmark639" w:id="946"/>
      <w:bookmarkEnd w:id="946"/>
      <w:r>
        <w:rPr/>
      </w:r>
      <w:hyperlink w:history="true" w:anchor="_bookmark6">
        <w:r>
          <w:rPr>
            <w:color w:val="365F91"/>
            <w:spacing w:val="-10"/>
          </w:rPr>
          <w:t>Department</w:t>
        </w:r>
        <w:r>
          <w:rPr>
            <w:color w:val="365F91"/>
            <w:spacing w:val="-1"/>
          </w:rPr>
          <w:t> </w:t>
        </w:r>
        <w:r>
          <w:rPr>
            <w:color w:val="365F91"/>
            <w:spacing w:val="-10"/>
          </w:rPr>
          <w:t>of</w:t>
        </w:r>
        <w:r>
          <w:rPr>
            <w:color w:val="365F91"/>
            <w:spacing w:val="-1"/>
          </w:rPr>
          <w:t> </w:t>
        </w:r>
        <w:r>
          <w:rPr>
            <w:color w:val="365F91"/>
            <w:spacing w:val="-10"/>
          </w:rPr>
          <w:t>Transitional</w:t>
        </w:r>
        <w:r>
          <w:rPr>
            <w:color w:val="365F91"/>
            <w:spacing w:val="-1"/>
          </w:rPr>
          <w:t> </w:t>
        </w:r>
        <w:r>
          <w:rPr>
            <w:color w:val="365F91"/>
            <w:spacing w:val="-10"/>
          </w:rPr>
          <w:t>Assistance</w:t>
        </w:r>
      </w:hyperlink>
    </w:p>
    <w:p>
      <w:pPr>
        <w:spacing w:before="400"/>
        <w:ind w:left="483" w:right="0" w:firstLine="0"/>
        <w:jc w:val="left"/>
        <w:rPr>
          <w:sz w:val="28"/>
        </w:rPr>
      </w:pPr>
      <w:r>
        <w:rPr/>
        <mc:AlternateContent>
          <mc:Choice Requires="wps">
            <w:drawing>
              <wp:anchor distT="0" distB="0" distL="0" distR="0" allowOverlap="1" layoutInCell="1" locked="0" behindDoc="1" simplePos="0" relativeHeight="487715840">
                <wp:simplePos x="0" y="0"/>
                <wp:positionH relativeFrom="page">
                  <wp:posOffset>897636</wp:posOffset>
                </wp:positionH>
                <wp:positionV relativeFrom="paragraph">
                  <wp:posOffset>483373</wp:posOffset>
                </wp:positionV>
                <wp:extent cx="6028055" cy="6350"/>
                <wp:effectExtent l="0" t="0" r="0" b="0"/>
                <wp:wrapTopAndBottom/>
                <wp:docPr id="633" name="Graphic 633"/>
                <wp:cNvGraphicFramePr>
                  <a:graphicFrameLocks/>
                </wp:cNvGraphicFramePr>
                <a:graphic>
                  <a:graphicData uri="http://schemas.microsoft.com/office/word/2010/wordprocessingShape">
                    <wps:wsp>
                      <wps:cNvPr id="633" name="Graphic 633"/>
                      <wps:cNvSpPr/>
                      <wps:spPr>
                        <a:xfrm>
                          <a:off x="0" y="0"/>
                          <a:ext cx="6028055" cy="6350"/>
                        </a:xfrm>
                        <a:custGeom>
                          <a:avLst/>
                          <a:gdLst/>
                          <a:ahLst/>
                          <a:cxnLst/>
                          <a:rect l="l" t="t" r="r" b="b"/>
                          <a:pathLst>
                            <a:path w="6028055" h="6350">
                              <a:moveTo>
                                <a:pt x="6027432" y="0"/>
                              </a:moveTo>
                              <a:lnTo>
                                <a:pt x="0" y="0"/>
                              </a:lnTo>
                              <a:lnTo>
                                <a:pt x="0" y="6096"/>
                              </a:lnTo>
                              <a:lnTo>
                                <a:pt x="6027432" y="6096"/>
                              </a:lnTo>
                              <a:lnTo>
                                <a:pt x="60274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8.060936pt;width:474.601pt;height:.48pt;mso-position-horizontal-relative:page;mso-position-vertical-relative:paragraph;z-index:-15600640;mso-wrap-distance-left:0;mso-wrap-distance-right:0" id="docshape530" filled="true" fillcolor="#4f81bc" stroked="false">
                <v:fill type="solid"/>
                <w10:wrap type="topAndBottom"/>
              </v:rect>
            </w:pict>
          </mc:Fallback>
        </mc:AlternateContent>
      </w: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ListParagraph"/>
        <w:numPr>
          <w:ilvl w:val="1"/>
          <w:numId w:val="43"/>
        </w:numPr>
        <w:tabs>
          <w:tab w:pos="842" w:val="left" w:leader="none"/>
        </w:tabs>
        <w:spacing w:line="240" w:lineRule="auto" w:before="241" w:after="0"/>
        <w:ind w:left="842" w:right="0" w:hanging="359"/>
        <w:jc w:val="left"/>
        <w:rPr>
          <w:sz w:val="22"/>
        </w:rPr>
      </w:pPr>
      <w:r>
        <w:rPr>
          <w:sz w:val="22"/>
        </w:rPr>
        <w:t>Explore</w:t>
      </w:r>
      <w:r>
        <w:rPr>
          <w:spacing w:val="-8"/>
          <w:sz w:val="22"/>
        </w:rPr>
        <w:t> </w:t>
      </w:r>
      <w:r>
        <w:rPr>
          <w:sz w:val="22"/>
        </w:rPr>
        <w:t>the</w:t>
      </w:r>
      <w:r>
        <w:rPr>
          <w:spacing w:val="-7"/>
          <w:sz w:val="22"/>
        </w:rPr>
        <w:t> </w:t>
      </w:r>
      <w:r>
        <w:rPr>
          <w:sz w:val="22"/>
        </w:rPr>
        <w:t>creation</w:t>
      </w:r>
      <w:r>
        <w:rPr>
          <w:spacing w:val="-8"/>
          <w:sz w:val="22"/>
        </w:rPr>
        <w:t> </w:t>
      </w:r>
      <w:r>
        <w:rPr>
          <w:sz w:val="22"/>
        </w:rPr>
        <w:t>and</w:t>
      </w:r>
      <w:r>
        <w:rPr>
          <w:spacing w:val="-7"/>
          <w:sz w:val="22"/>
        </w:rPr>
        <w:t> </w:t>
      </w:r>
      <w:r>
        <w:rPr>
          <w:sz w:val="22"/>
        </w:rPr>
        <w:t>hiring</w:t>
      </w:r>
      <w:r>
        <w:rPr>
          <w:spacing w:val="-9"/>
          <w:sz w:val="22"/>
        </w:rPr>
        <w:t> </w:t>
      </w:r>
      <w:r>
        <w:rPr>
          <w:sz w:val="22"/>
        </w:rPr>
        <w:t>of</w:t>
      </w:r>
      <w:r>
        <w:rPr>
          <w:spacing w:val="-8"/>
          <w:sz w:val="22"/>
        </w:rPr>
        <w:t> </w:t>
      </w:r>
      <w:r>
        <w:rPr>
          <w:sz w:val="22"/>
        </w:rPr>
        <w:t>a</w:t>
      </w:r>
      <w:r>
        <w:rPr>
          <w:spacing w:val="-8"/>
          <w:sz w:val="22"/>
        </w:rPr>
        <w:t> </w:t>
      </w:r>
      <w:r>
        <w:rPr>
          <w:sz w:val="22"/>
        </w:rPr>
        <w:t>full-time</w:t>
      </w:r>
      <w:r>
        <w:rPr>
          <w:spacing w:val="-7"/>
          <w:sz w:val="22"/>
        </w:rPr>
        <w:t> </w:t>
      </w:r>
      <w:r>
        <w:rPr>
          <w:sz w:val="22"/>
        </w:rPr>
        <w:t>DTA-specific</w:t>
      </w:r>
      <w:r>
        <w:rPr>
          <w:spacing w:val="-7"/>
          <w:sz w:val="22"/>
        </w:rPr>
        <w:t> </w:t>
      </w:r>
      <w:r>
        <w:rPr>
          <w:sz w:val="22"/>
        </w:rPr>
        <w:t>LGBTQ</w:t>
      </w:r>
      <w:r>
        <w:rPr>
          <w:spacing w:val="-9"/>
          <w:sz w:val="22"/>
        </w:rPr>
        <w:t> </w:t>
      </w:r>
      <w:r>
        <w:rPr>
          <w:sz w:val="22"/>
        </w:rPr>
        <w:t>outreach</w:t>
      </w:r>
      <w:r>
        <w:rPr>
          <w:spacing w:val="-8"/>
          <w:sz w:val="22"/>
        </w:rPr>
        <w:t> </w:t>
      </w:r>
      <w:r>
        <w:rPr>
          <w:sz w:val="22"/>
        </w:rPr>
        <w:t>specialist</w:t>
      </w:r>
      <w:r>
        <w:rPr>
          <w:spacing w:val="-8"/>
          <w:sz w:val="22"/>
        </w:rPr>
        <w:t> </w:t>
      </w:r>
      <w:r>
        <w:rPr>
          <w:spacing w:val="-2"/>
          <w:sz w:val="22"/>
        </w:rPr>
        <w:t>position.</w:t>
      </w:r>
    </w:p>
    <w:p>
      <w:pPr>
        <w:pStyle w:val="ListParagraph"/>
        <w:numPr>
          <w:ilvl w:val="1"/>
          <w:numId w:val="43"/>
        </w:numPr>
        <w:tabs>
          <w:tab w:pos="841" w:val="left" w:leader="none"/>
          <w:tab w:pos="843" w:val="left" w:leader="none"/>
        </w:tabs>
        <w:spacing w:line="360" w:lineRule="auto" w:before="135" w:after="0"/>
        <w:ind w:left="843" w:right="552" w:hanging="361"/>
        <w:jc w:val="left"/>
        <w:rPr>
          <w:sz w:val="22"/>
        </w:rPr>
      </w:pPr>
      <w:r>
        <w:rPr>
          <w:sz w:val="22"/>
        </w:rPr>
        <w:t>Continue</w:t>
      </w:r>
      <w:r>
        <w:rPr>
          <w:spacing w:val="-13"/>
          <w:sz w:val="22"/>
        </w:rPr>
        <w:t> </w:t>
      </w:r>
      <w:r>
        <w:rPr>
          <w:sz w:val="22"/>
        </w:rPr>
        <w:t>to</w:t>
      </w:r>
      <w:r>
        <w:rPr>
          <w:spacing w:val="-12"/>
          <w:sz w:val="22"/>
        </w:rPr>
        <w:t> </w:t>
      </w:r>
      <w:r>
        <w:rPr>
          <w:sz w:val="22"/>
        </w:rPr>
        <w:t>review</w:t>
      </w:r>
      <w:r>
        <w:rPr>
          <w:spacing w:val="-13"/>
          <w:sz w:val="22"/>
        </w:rPr>
        <w:t> </w:t>
      </w:r>
      <w:r>
        <w:rPr>
          <w:sz w:val="22"/>
        </w:rPr>
        <w:t>opportunities</w:t>
      </w:r>
      <w:r>
        <w:rPr>
          <w:spacing w:val="-12"/>
          <w:sz w:val="22"/>
        </w:rPr>
        <w:t> </w:t>
      </w:r>
      <w:r>
        <w:rPr>
          <w:sz w:val="22"/>
        </w:rPr>
        <w:t>to</w:t>
      </w:r>
      <w:r>
        <w:rPr>
          <w:spacing w:val="-13"/>
          <w:sz w:val="22"/>
        </w:rPr>
        <w:t> </w:t>
      </w:r>
      <w:r>
        <w:rPr>
          <w:sz w:val="22"/>
        </w:rPr>
        <w:t>collect</w:t>
      </w:r>
      <w:r>
        <w:rPr>
          <w:spacing w:val="-12"/>
          <w:sz w:val="22"/>
        </w:rPr>
        <w:t> </w:t>
      </w:r>
      <w:r>
        <w:rPr>
          <w:sz w:val="22"/>
        </w:rPr>
        <w:t>inclusive</w:t>
      </w:r>
      <w:r>
        <w:rPr>
          <w:spacing w:val="-13"/>
          <w:sz w:val="22"/>
        </w:rPr>
        <w:t> </w:t>
      </w:r>
      <w:r>
        <w:rPr>
          <w:sz w:val="22"/>
        </w:rPr>
        <w:t>SOGIE</w:t>
      </w:r>
      <w:r>
        <w:rPr>
          <w:spacing w:val="-12"/>
          <w:sz w:val="22"/>
        </w:rPr>
        <w:t> </w:t>
      </w:r>
      <w:r>
        <w:rPr>
          <w:sz w:val="22"/>
        </w:rPr>
        <w:t>data</w:t>
      </w:r>
      <w:r>
        <w:rPr>
          <w:spacing w:val="-12"/>
          <w:sz w:val="22"/>
        </w:rPr>
        <w:t> </w:t>
      </w:r>
      <w:r>
        <w:rPr>
          <w:sz w:val="22"/>
        </w:rPr>
        <w:t>information,</w:t>
      </w:r>
      <w:r>
        <w:rPr>
          <w:spacing w:val="-13"/>
          <w:sz w:val="22"/>
        </w:rPr>
        <w:t> </w:t>
      </w:r>
      <w:r>
        <w:rPr>
          <w:sz w:val="22"/>
        </w:rPr>
        <w:t>and</w:t>
      </w:r>
      <w:r>
        <w:rPr>
          <w:spacing w:val="-12"/>
          <w:sz w:val="22"/>
        </w:rPr>
        <w:t> </w:t>
      </w:r>
      <w:r>
        <w:rPr>
          <w:sz w:val="22"/>
        </w:rPr>
        <w:t>update</w:t>
      </w:r>
      <w:r>
        <w:rPr>
          <w:spacing w:val="-13"/>
          <w:sz w:val="22"/>
        </w:rPr>
        <w:t> </w:t>
      </w:r>
      <w:r>
        <w:rPr>
          <w:sz w:val="22"/>
        </w:rPr>
        <w:t>IT</w:t>
      </w:r>
      <w:r>
        <w:rPr>
          <w:spacing w:val="-12"/>
          <w:sz w:val="22"/>
        </w:rPr>
        <w:t> </w:t>
      </w:r>
      <w:r>
        <w:rPr>
          <w:sz w:val="22"/>
        </w:rPr>
        <w:t>systems to include new data fields where appropriate.</w:t>
      </w:r>
    </w:p>
    <w:p>
      <w:pPr>
        <w:pStyle w:val="ListParagraph"/>
        <w:numPr>
          <w:ilvl w:val="1"/>
          <w:numId w:val="43"/>
        </w:numPr>
        <w:tabs>
          <w:tab w:pos="842" w:val="left" w:leader="none"/>
          <w:tab w:pos="844" w:val="left" w:leader="none"/>
        </w:tabs>
        <w:spacing w:line="360" w:lineRule="auto" w:before="0" w:after="0"/>
        <w:ind w:left="844" w:right="551" w:hanging="361"/>
        <w:jc w:val="left"/>
        <w:rPr>
          <w:sz w:val="22"/>
        </w:rPr>
      </w:pPr>
      <w:r>
        <w:rPr>
          <w:sz w:val="22"/>
        </w:rPr>
        <w:t>Expand</w:t>
      </w:r>
      <w:r>
        <w:rPr>
          <w:spacing w:val="40"/>
          <w:sz w:val="22"/>
        </w:rPr>
        <w:t> </w:t>
      </w:r>
      <w:r>
        <w:rPr>
          <w:sz w:val="22"/>
        </w:rPr>
        <w:t>intersectional</w:t>
      </w:r>
      <w:r>
        <w:rPr>
          <w:spacing w:val="40"/>
          <w:sz w:val="22"/>
        </w:rPr>
        <w:t> </w:t>
      </w:r>
      <w:r>
        <w:rPr>
          <w:sz w:val="22"/>
        </w:rPr>
        <w:t>LGBTQ</w:t>
      </w:r>
      <w:r>
        <w:rPr>
          <w:spacing w:val="40"/>
          <w:sz w:val="22"/>
        </w:rPr>
        <w:t> </w:t>
      </w:r>
      <w:r>
        <w:rPr>
          <w:sz w:val="22"/>
        </w:rPr>
        <w:t>training</w:t>
      </w:r>
      <w:r>
        <w:rPr>
          <w:spacing w:val="40"/>
          <w:sz w:val="22"/>
        </w:rPr>
        <w:t> </w:t>
      </w:r>
      <w:r>
        <w:rPr>
          <w:sz w:val="22"/>
        </w:rPr>
        <w:t>efforts</w:t>
      </w:r>
      <w:r>
        <w:rPr>
          <w:spacing w:val="40"/>
          <w:sz w:val="22"/>
        </w:rPr>
        <w:t> </w:t>
      </w:r>
      <w:r>
        <w:rPr>
          <w:sz w:val="22"/>
        </w:rPr>
        <w:t>and</w:t>
      </w:r>
      <w:r>
        <w:rPr>
          <w:spacing w:val="40"/>
          <w:sz w:val="22"/>
        </w:rPr>
        <w:t> </w:t>
      </w:r>
      <w:r>
        <w:rPr>
          <w:sz w:val="22"/>
        </w:rPr>
        <w:t>mandate</w:t>
      </w:r>
      <w:r>
        <w:rPr>
          <w:spacing w:val="40"/>
          <w:sz w:val="22"/>
        </w:rPr>
        <w:t> </w:t>
      </w:r>
      <w:r>
        <w:rPr>
          <w:sz w:val="22"/>
        </w:rPr>
        <w:t>racial</w:t>
      </w:r>
      <w:r>
        <w:rPr>
          <w:spacing w:val="40"/>
          <w:sz w:val="22"/>
        </w:rPr>
        <w:t> </w:t>
      </w:r>
      <w:r>
        <w:rPr>
          <w:sz w:val="22"/>
        </w:rPr>
        <w:t>equity</w:t>
      </w:r>
      <w:r>
        <w:rPr>
          <w:spacing w:val="40"/>
          <w:sz w:val="22"/>
        </w:rPr>
        <w:t> </w:t>
      </w:r>
      <w:r>
        <w:rPr>
          <w:sz w:val="22"/>
        </w:rPr>
        <w:t>trainings</w:t>
      </w:r>
      <w:r>
        <w:rPr>
          <w:spacing w:val="40"/>
          <w:sz w:val="22"/>
        </w:rPr>
        <w:t> </w:t>
      </w:r>
      <w:r>
        <w:rPr>
          <w:sz w:val="22"/>
        </w:rPr>
        <w:t>for</w:t>
      </w:r>
      <w:r>
        <w:rPr>
          <w:spacing w:val="40"/>
          <w:sz w:val="22"/>
        </w:rPr>
        <w:t> </w:t>
      </w:r>
      <w:r>
        <w:rPr>
          <w:sz w:val="22"/>
        </w:rPr>
        <w:t>all</w:t>
      </w:r>
      <w:r>
        <w:rPr>
          <w:spacing w:val="40"/>
          <w:sz w:val="22"/>
        </w:rPr>
        <w:t> </w:t>
      </w:r>
      <w:r>
        <w:rPr>
          <w:sz w:val="22"/>
        </w:rPr>
        <w:t>DTA </w:t>
      </w:r>
      <w:r>
        <w:rPr>
          <w:spacing w:val="-2"/>
          <w:sz w:val="22"/>
        </w:rPr>
        <w:t>employees.</w:t>
      </w:r>
    </w:p>
    <w:p>
      <w:pPr>
        <w:pStyle w:val="ListParagraph"/>
        <w:numPr>
          <w:ilvl w:val="1"/>
          <w:numId w:val="43"/>
        </w:numPr>
        <w:tabs>
          <w:tab w:pos="842" w:val="left" w:leader="none"/>
          <w:tab w:pos="844" w:val="left" w:leader="none"/>
        </w:tabs>
        <w:spacing w:line="360" w:lineRule="auto" w:before="0" w:after="0"/>
        <w:ind w:left="844" w:right="551" w:hanging="361"/>
        <w:jc w:val="left"/>
        <w:rPr>
          <w:sz w:val="22"/>
        </w:rPr>
      </w:pPr>
      <w:r>
        <w:rPr>
          <w:sz w:val="22"/>
        </w:rPr>
        <w:t>Support</w:t>
      </w:r>
      <w:r>
        <w:rPr>
          <w:spacing w:val="40"/>
          <w:sz w:val="22"/>
        </w:rPr>
        <w:t> </w:t>
      </w:r>
      <w:r>
        <w:rPr>
          <w:sz w:val="22"/>
        </w:rPr>
        <w:t>internal</w:t>
      </w:r>
      <w:r>
        <w:rPr>
          <w:spacing w:val="40"/>
          <w:sz w:val="22"/>
        </w:rPr>
        <w:t> </w:t>
      </w:r>
      <w:r>
        <w:rPr>
          <w:sz w:val="22"/>
        </w:rPr>
        <w:t>working</w:t>
      </w:r>
      <w:r>
        <w:rPr>
          <w:spacing w:val="40"/>
          <w:sz w:val="22"/>
        </w:rPr>
        <w:t> </w:t>
      </w:r>
      <w:r>
        <w:rPr>
          <w:sz w:val="22"/>
        </w:rPr>
        <w:t>groups</w:t>
      </w:r>
      <w:r>
        <w:rPr>
          <w:spacing w:val="40"/>
          <w:sz w:val="22"/>
        </w:rPr>
        <w:t> </w:t>
      </w:r>
      <w:r>
        <w:rPr>
          <w:sz w:val="22"/>
        </w:rPr>
        <w:t>to</w:t>
      </w:r>
      <w:r>
        <w:rPr>
          <w:spacing w:val="40"/>
          <w:sz w:val="22"/>
        </w:rPr>
        <w:t> </w:t>
      </w:r>
      <w:r>
        <w:rPr>
          <w:sz w:val="22"/>
        </w:rPr>
        <w:t>uplift</w:t>
      </w:r>
      <w:r>
        <w:rPr>
          <w:spacing w:val="40"/>
          <w:sz w:val="22"/>
        </w:rPr>
        <w:t> </w:t>
      </w:r>
      <w:r>
        <w:rPr>
          <w:sz w:val="22"/>
        </w:rPr>
        <w:t>conversations</w:t>
      </w:r>
      <w:r>
        <w:rPr>
          <w:spacing w:val="40"/>
          <w:sz w:val="22"/>
        </w:rPr>
        <w:t> </w:t>
      </w:r>
      <w:r>
        <w:rPr>
          <w:sz w:val="22"/>
        </w:rPr>
        <w:t>&amp;</w:t>
      </w:r>
      <w:r>
        <w:rPr>
          <w:spacing w:val="40"/>
          <w:sz w:val="22"/>
        </w:rPr>
        <w:t> </w:t>
      </w:r>
      <w:r>
        <w:rPr>
          <w:sz w:val="22"/>
        </w:rPr>
        <w:t>events</w:t>
      </w:r>
      <w:r>
        <w:rPr>
          <w:spacing w:val="40"/>
          <w:sz w:val="22"/>
        </w:rPr>
        <w:t> </w:t>
      </w:r>
      <w:r>
        <w:rPr>
          <w:sz w:val="22"/>
        </w:rPr>
        <w:t>on</w:t>
      </w:r>
      <w:r>
        <w:rPr>
          <w:spacing w:val="40"/>
          <w:sz w:val="22"/>
        </w:rPr>
        <w:t> </w:t>
      </w:r>
      <w:r>
        <w:rPr>
          <w:sz w:val="22"/>
        </w:rPr>
        <w:t>intersectionality</w:t>
      </w:r>
      <w:r>
        <w:rPr>
          <w:spacing w:val="40"/>
          <w:sz w:val="22"/>
        </w:rPr>
        <w:t> </w:t>
      </w:r>
      <w:r>
        <w:rPr>
          <w:sz w:val="22"/>
        </w:rPr>
        <w:t>in</w:t>
      </w:r>
      <w:r>
        <w:rPr>
          <w:spacing w:val="40"/>
          <w:sz w:val="22"/>
        </w:rPr>
        <w:t> </w:t>
      </w:r>
      <w:r>
        <w:rPr>
          <w:sz w:val="22"/>
        </w:rPr>
        <w:t>the </w:t>
      </w:r>
      <w:r>
        <w:rPr>
          <w:spacing w:val="-2"/>
          <w:sz w:val="22"/>
        </w:rPr>
        <w:t>workplace.</w:t>
      </w:r>
    </w:p>
    <w:p>
      <w:pPr>
        <w:pStyle w:val="ListParagraph"/>
        <w:numPr>
          <w:ilvl w:val="1"/>
          <w:numId w:val="43"/>
        </w:numPr>
        <w:tabs>
          <w:tab w:pos="842" w:val="left" w:leader="none"/>
          <w:tab w:pos="844" w:val="left" w:leader="none"/>
        </w:tabs>
        <w:spacing w:line="360" w:lineRule="auto" w:before="0" w:after="0"/>
        <w:ind w:left="844" w:right="553" w:hanging="361"/>
        <w:jc w:val="left"/>
        <w:rPr>
          <w:sz w:val="22"/>
        </w:rPr>
      </w:pPr>
      <w:r>
        <w:rPr>
          <w:sz w:val="22"/>
        </w:rPr>
        <w:t>In partnership with youth, develop resources and outreach materials targeted towards LGBTQ &amp; BIPOC youth to raise awareness about services &amp; programs available.</w:t>
      </w:r>
    </w:p>
    <w:p>
      <w:pPr>
        <w:pStyle w:val="BodyText"/>
        <w:spacing w:before="130"/>
      </w:pPr>
    </w:p>
    <w:p>
      <w:pPr>
        <w:spacing w:before="0"/>
        <w:ind w:left="483" w:right="0" w:firstLine="0"/>
        <w:jc w:val="left"/>
        <w:rPr>
          <w:sz w:val="28"/>
        </w:rPr>
      </w:pPr>
      <w:r>
        <w:rPr/>
        <mc:AlternateContent>
          <mc:Choice Requires="wps">
            <w:drawing>
              <wp:anchor distT="0" distB="0" distL="0" distR="0" allowOverlap="1" layoutInCell="1" locked="0" behindDoc="1" simplePos="0" relativeHeight="487716352">
                <wp:simplePos x="0" y="0"/>
                <wp:positionH relativeFrom="page">
                  <wp:posOffset>897636</wp:posOffset>
                </wp:positionH>
                <wp:positionV relativeFrom="paragraph">
                  <wp:posOffset>230260</wp:posOffset>
                </wp:positionV>
                <wp:extent cx="6028055" cy="635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6028055" cy="6350"/>
                        </a:xfrm>
                        <a:custGeom>
                          <a:avLst/>
                          <a:gdLst/>
                          <a:ahLst/>
                          <a:cxnLst/>
                          <a:rect l="l" t="t" r="r" b="b"/>
                          <a:pathLst>
                            <a:path w="6028055" h="6350">
                              <a:moveTo>
                                <a:pt x="6027432" y="0"/>
                              </a:moveTo>
                              <a:lnTo>
                                <a:pt x="0" y="0"/>
                              </a:lnTo>
                              <a:lnTo>
                                <a:pt x="0" y="6108"/>
                              </a:lnTo>
                              <a:lnTo>
                                <a:pt x="6027432" y="6108"/>
                              </a:lnTo>
                              <a:lnTo>
                                <a:pt x="602743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18.130718pt;width:474.601pt;height:.481pt;mso-position-horizontal-relative:page;mso-position-vertical-relative:paragraph;z-index:-15600128;mso-wrap-distance-left:0;mso-wrap-distance-right:0" id="docshape531" filled="true" fillcolor="#4f81bc" stroked="false">
                <v:fill type="solid"/>
                <w10:wrap type="topAndBottom"/>
              </v:rect>
            </w:pict>
          </mc:Fallback>
        </mc:AlternateContent>
      </w:r>
      <w:r>
        <w:rPr>
          <w:color w:val="365F91"/>
          <w:spacing w:val="-2"/>
          <w:sz w:val="28"/>
        </w:rPr>
        <w:t>Introduction</w:t>
      </w:r>
    </w:p>
    <w:p>
      <w:pPr>
        <w:pStyle w:val="BodyText"/>
        <w:spacing w:line="360" w:lineRule="auto" w:before="241"/>
        <w:ind w:left="483" w:right="261"/>
        <w:jc w:val="both"/>
      </w:pPr>
      <w:r>
        <w:rPr/>
        <w:t>The</w:t>
      </w:r>
      <w:r>
        <w:rPr>
          <w:spacing w:val="-4"/>
        </w:rPr>
        <w:t> </w:t>
      </w:r>
      <w:r>
        <w:rPr/>
        <w:t>Department</w:t>
      </w:r>
      <w:r>
        <w:rPr>
          <w:spacing w:val="-4"/>
        </w:rPr>
        <w:t> </w:t>
      </w:r>
      <w:r>
        <w:rPr/>
        <w:t>of</w:t>
      </w:r>
      <w:r>
        <w:rPr>
          <w:spacing w:val="-4"/>
        </w:rPr>
        <w:t> </w:t>
      </w:r>
      <w:r>
        <w:rPr/>
        <w:t>Transitional</w:t>
      </w:r>
      <w:r>
        <w:rPr>
          <w:spacing w:val="-4"/>
        </w:rPr>
        <w:t> </w:t>
      </w:r>
      <w:r>
        <w:rPr/>
        <w:t>Assistance</w:t>
      </w:r>
      <w:r>
        <w:rPr>
          <w:spacing w:val="-4"/>
        </w:rPr>
        <w:t> </w:t>
      </w:r>
      <w:r>
        <w:rPr/>
        <w:t>(DTA)</w:t>
      </w:r>
      <w:r>
        <w:rPr>
          <w:spacing w:val="-3"/>
        </w:rPr>
        <w:t> </w:t>
      </w:r>
      <w:r>
        <w:rPr/>
        <w:t>assists</w:t>
      </w:r>
      <w:r>
        <w:rPr>
          <w:spacing w:val="-4"/>
        </w:rPr>
        <w:t> </w:t>
      </w:r>
      <w:r>
        <w:rPr/>
        <w:t>low-income</w:t>
      </w:r>
      <w:r>
        <w:rPr>
          <w:spacing w:val="-4"/>
        </w:rPr>
        <w:t> </w:t>
      </w:r>
      <w:r>
        <w:rPr/>
        <w:t>individuals</w:t>
      </w:r>
      <w:r>
        <w:rPr>
          <w:spacing w:val="-4"/>
        </w:rPr>
        <w:t> </w:t>
      </w:r>
      <w:r>
        <w:rPr/>
        <w:t>and</w:t>
      </w:r>
      <w:r>
        <w:rPr>
          <w:spacing w:val="-4"/>
        </w:rPr>
        <w:t> </w:t>
      </w:r>
      <w:r>
        <w:rPr/>
        <w:t>their</w:t>
      </w:r>
      <w:r>
        <w:rPr>
          <w:spacing w:val="-4"/>
        </w:rPr>
        <w:t> </w:t>
      </w:r>
      <w:r>
        <w:rPr/>
        <w:t>families</w:t>
      </w:r>
      <w:r>
        <w:rPr>
          <w:spacing w:val="-4"/>
        </w:rPr>
        <w:t> </w:t>
      </w:r>
      <w:r>
        <w:rPr/>
        <w:t>to</w:t>
      </w:r>
      <w:r>
        <w:rPr>
          <w:spacing w:val="-3"/>
        </w:rPr>
        <w:t> </w:t>
      </w:r>
      <w:r>
        <w:rPr/>
        <w:t>meet their</w:t>
      </w:r>
      <w:r>
        <w:rPr>
          <w:spacing w:val="-9"/>
        </w:rPr>
        <w:t> </w:t>
      </w:r>
      <w:r>
        <w:rPr/>
        <w:t>basic</w:t>
      </w:r>
      <w:r>
        <w:rPr>
          <w:spacing w:val="-10"/>
        </w:rPr>
        <w:t> </w:t>
      </w:r>
      <w:r>
        <w:rPr/>
        <w:t>needs,</w:t>
      </w:r>
      <w:r>
        <w:rPr>
          <w:spacing w:val="-10"/>
        </w:rPr>
        <w:t> </w:t>
      </w:r>
      <w:r>
        <w:rPr/>
        <w:t>increase</w:t>
      </w:r>
      <w:r>
        <w:rPr>
          <w:spacing w:val="-9"/>
        </w:rPr>
        <w:t> </w:t>
      </w:r>
      <w:r>
        <w:rPr/>
        <w:t>their</w:t>
      </w:r>
      <w:r>
        <w:rPr>
          <w:spacing w:val="-9"/>
        </w:rPr>
        <w:t> </w:t>
      </w:r>
      <w:r>
        <w:rPr/>
        <w:t>incomes,</w:t>
      </w:r>
      <w:r>
        <w:rPr>
          <w:spacing w:val="-10"/>
        </w:rPr>
        <w:t> </w:t>
      </w:r>
      <w:r>
        <w:rPr/>
        <w:t>and</w:t>
      </w:r>
      <w:r>
        <w:rPr>
          <w:spacing w:val="-10"/>
        </w:rPr>
        <w:t> </w:t>
      </w:r>
      <w:r>
        <w:rPr/>
        <w:t>improve</w:t>
      </w:r>
      <w:r>
        <w:rPr>
          <w:spacing w:val="-9"/>
        </w:rPr>
        <w:t> </w:t>
      </w:r>
      <w:r>
        <w:rPr/>
        <w:t>overall</w:t>
      </w:r>
      <w:r>
        <w:rPr>
          <w:spacing w:val="-10"/>
        </w:rPr>
        <w:t> </w:t>
      </w:r>
      <w:r>
        <w:rPr/>
        <w:t>quality</w:t>
      </w:r>
      <w:r>
        <w:rPr>
          <w:spacing w:val="-10"/>
        </w:rPr>
        <w:t> </w:t>
      </w:r>
      <w:r>
        <w:rPr/>
        <w:t>of</w:t>
      </w:r>
      <w:r>
        <w:rPr>
          <w:spacing w:val="-10"/>
        </w:rPr>
        <w:t> </w:t>
      </w:r>
      <w:r>
        <w:rPr/>
        <w:t>life.</w:t>
      </w:r>
      <w:r>
        <w:rPr>
          <w:spacing w:val="-9"/>
        </w:rPr>
        <w:t> </w:t>
      </w:r>
      <w:r>
        <w:rPr/>
        <w:t>Per</w:t>
      </w:r>
      <w:r>
        <w:rPr>
          <w:spacing w:val="-10"/>
        </w:rPr>
        <w:t> </w:t>
      </w:r>
      <w:r>
        <w:rPr/>
        <w:t>DTA’s</w:t>
      </w:r>
      <w:r>
        <w:rPr>
          <w:spacing w:val="-10"/>
        </w:rPr>
        <w:t> </w:t>
      </w:r>
      <w:r>
        <w:rPr/>
        <w:t>website,</w:t>
      </w:r>
      <w:r>
        <w:rPr>
          <w:spacing w:val="-7"/>
        </w:rPr>
        <w:t> </w:t>
      </w:r>
      <w:r>
        <w:rPr/>
        <w:t>the</w:t>
      </w:r>
      <w:r>
        <w:rPr>
          <w:spacing w:val="-9"/>
        </w:rPr>
        <w:t> </w:t>
      </w:r>
      <w:r>
        <w:rPr/>
        <w:t>agency services 1 in 7 Massachusetts families every year with direct assistance through cash benefits, food assistance,</w:t>
      </w:r>
      <w:r>
        <w:rPr>
          <w:spacing w:val="-4"/>
        </w:rPr>
        <w:t> </w:t>
      </w:r>
      <w:r>
        <w:rPr/>
        <w:t>and</w:t>
      </w:r>
      <w:r>
        <w:rPr>
          <w:spacing w:val="-4"/>
        </w:rPr>
        <w:t> </w:t>
      </w:r>
      <w:r>
        <w:rPr/>
        <w:t>workplace</w:t>
      </w:r>
      <w:r>
        <w:rPr>
          <w:spacing w:val="-3"/>
        </w:rPr>
        <w:t> </w:t>
      </w:r>
      <w:r>
        <w:rPr/>
        <w:t>training</w:t>
      </w:r>
      <w:r>
        <w:rPr>
          <w:spacing w:val="-4"/>
        </w:rPr>
        <w:t> </w:t>
      </w:r>
      <w:r>
        <w:rPr/>
        <w:t>opportunities.</w:t>
      </w:r>
      <w:r>
        <w:rPr>
          <w:spacing w:val="-3"/>
        </w:rPr>
        <w:t> </w:t>
      </w:r>
      <w:r>
        <w:rPr/>
        <w:t>Like</w:t>
      </w:r>
      <w:r>
        <w:rPr>
          <w:spacing w:val="-4"/>
        </w:rPr>
        <w:t> </w:t>
      </w:r>
      <w:r>
        <w:rPr/>
        <w:t>many</w:t>
      </w:r>
      <w:r>
        <w:rPr>
          <w:spacing w:val="-3"/>
        </w:rPr>
        <w:t> </w:t>
      </w:r>
      <w:r>
        <w:rPr/>
        <w:t>agencies</w:t>
      </w:r>
      <w:r>
        <w:rPr>
          <w:spacing w:val="-4"/>
        </w:rPr>
        <w:t> </w:t>
      </w:r>
      <w:r>
        <w:rPr/>
        <w:t>and</w:t>
      </w:r>
      <w:r>
        <w:rPr>
          <w:spacing w:val="-3"/>
        </w:rPr>
        <w:t> </w:t>
      </w:r>
      <w:r>
        <w:rPr/>
        <w:t>programs,</w:t>
      </w:r>
      <w:r>
        <w:rPr>
          <w:spacing w:val="-4"/>
        </w:rPr>
        <w:t> </w:t>
      </w:r>
      <w:r>
        <w:rPr/>
        <w:t>DTA</w:t>
      </w:r>
      <w:r>
        <w:rPr>
          <w:spacing w:val="-4"/>
        </w:rPr>
        <w:t> </w:t>
      </w:r>
      <w:r>
        <w:rPr/>
        <w:t>has</w:t>
      </w:r>
      <w:r>
        <w:rPr>
          <w:spacing w:val="-4"/>
        </w:rPr>
        <w:t> </w:t>
      </w:r>
      <w:r>
        <w:rPr/>
        <w:t>experienced a significant growth in the demand for its services during the COVID pandemic.</w:t>
      </w:r>
    </w:p>
    <w:p>
      <w:pPr>
        <w:pStyle w:val="BodyText"/>
        <w:spacing w:line="360" w:lineRule="auto" w:before="240"/>
        <w:ind w:left="483" w:right="261"/>
        <w:jc w:val="both"/>
      </w:pPr>
      <w:r>
        <w:rPr/>
        <w:t>It is difficult to capture specific experiences of Massachusetts LGBTQ residents as DTA does not currently collect</w:t>
      </w:r>
      <w:r>
        <w:rPr>
          <w:spacing w:val="-12"/>
        </w:rPr>
        <w:t> </w:t>
      </w:r>
      <w:r>
        <w:rPr/>
        <w:t>SOGIE</w:t>
      </w:r>
      <w:r>
        <w:rPr>
          <w:spacing w:val="-12"/>
        </w:rPr>
        <w:t> </w:t>
      </w:r>
      <w:r>
        <w:rPr/>
        <w:t>data</w:t>
      </w:r>
      <w:r>
        <w:rPr>
          <w:spacing w:val="-12"/>
        </w:rPr>
        <w:t> </w:t>
      </w:r>
      <w:r>
        <w:rPr/>
        <w:t>from</w:t>
      </w:r>
      <w:r>
        <w:rPr>
          <w:spacing w:val="-13"/>
        </w:rPr>
        <w:t> </w:t>
      </w:r>
      <w:r>
        <w:rPr/>
        <w:t>clients.</w:t>
      </w:r>
      <w:r>
        <w:rPr>
          <w:spacing w:val="-12"/>
        </w:rPr>
        <w:t> </w:t>
      </w:r>
      <w:r>
        <w:rPr/>
        <w:t>However,</w:t>
      </w:r>
      <w:r>
        <w:rPr>
          <w:spacing w:val="-12"/>
        </w:rPr>
        <w:t> </w:t>
      </w:r>
      <w:r>
        <w:rPr/>
        <w:t>research</w:t>
      </w:r>
      <w:r>
        <w:rPr>
          <w:spacing w:val="-12"/>
        </w:rPr>
        <w:t> </w:t>
      </w:r>
      <w:r>
        <w:rPr/>
        <w:t>indicates</w:t>
      </w:r>
      <w:r>
        <w:rPr>
          <w:spacing w:val="-12"/>
        </w:rPr>
        <w:t> </w:t>
      </w:r>
      <w:r>
        <w:rPr/>
        <w:t>that</w:t>
      </w:r>
      <w:r>
        <w:rPr>
          <w:spacing w:val="-13"/>
        </w:rPr>
        <w:t> </w:t>
      </w:r>
      <w:r>
        <w:rPr/>
        <w:t>LGBTQ</w:t>
      </w:r>
      <w:r>
        <w:rPr>
          <w:spacing w:val="-12"/>
        </w:rPr>
        <w:t> </w:t>
      </w:r>
      <w:r>
        <w:rPr/>
        <w:t>youth</w:t>
      </w:r>
      <w:r>
        <w:rPr>
          <w:spacing w:val="-12"/>
        </w:rPr>
        <w:t> </w:t>
      </w:r>
      <w:r>
        <w:rPr/>
        <w:t>are</w:t>
      </w:r>
      <w:r>
        <w:rPr>
          <w:spacing w:val="-12"/>
        </w:rPr>
        <w:t> </w:t>
      </w:r>
      <w:r>
        <w:rPr/>
        <w:t>disproportionately</w:t>
      </w:r>
      <w:r>
        <w:rPr>
          <w:spacing w:val="-12"/>
        </w:rPr>
        <w:t> </w:t>
      </w:r>
      <w:r>
        <w:rPr/>
        <w:t>food insecure</w:t>
      </w:r>
      <w:r>
        <w:rPr>
          <w:spacing w:val="-9"/>
        </w:rPr>
        <w:t> </w:t>
      </w:r>
      <w:r>
        <w:rPr/>
        <w:t>as</w:t>
      </w:r>
      <w:r>
        <w:rPr>
          <w:spacing w:val="-7"/>
        </w:rPr>
        <w:t> </w:t>
      </w:r>
      <w:r>
        <w:rPr/>
        <w:t>compared</w:t>
      </w:r>
      <w:r>
        <w:rPr>
          <w:spacing w:val="-9"/>
        </w:rPr>
        <w:t> </w:t>
      </w:r>
      <w:r>
        <w:rPr/>
        <w:t>to</w:t>
      </w:r>
      <w:r>
        <w:rPr>
          <w:spacing w:val="-8"/>
        </w:rPr>
        <w:t> </w:t>
      </w:r>
      <w:r>
        <w:rPr/>
        <w:t>their</w:t>
      </w:r>
      <w:r>
        <w:rPr>
          <w:spacing w:val="-9"/>
        </w:rPr>
        <w:t> </w:t>
      </w:r>
      <w:r>
        <w:rPr/>
        <w:t>heterosexual</w:t>
      </w:r>
      <w:r>
        <w:rPr>
          <w:spacing w:val="-9"/>
        </w:rPr>
        <w:t> </w:t>
      </w:r>
      <w:r>
        <w:rPr/>
        <w:t>and</w:t>
      </w:r>
      <w:r>
        <w:rPr>
          <w:spacing w:val="-8"/>
        </w:rPr>
        <w:t> </w:t>
      </w:r>
      <w:r>
        <w:rPr/>
        <w:t>cisgender</w:t>
      </w:r>
      <w:r>
        <w:rPr>
          <w:spacing w:val="-9"/>
        </w:rPr>
        <w:t> </w:t>
      </w:r>
      <w:r>
        <w:rPr/>
        <w:t>peers.</w:t>
      </w:r>
      <w:r>
        <w:rPr>
          <w:spacing w:val="-8"/>
        </w:rPr>
        <w:t> </w:t>
      </w:r>
      <w:r>
        <w:rPr/>
        <w:t>To</w:t>
      </w:r>
      <w:r>
        <w:rPr>
          <w:spacing w:val="-8"/>
        </w:rPr>
        <w:t> </w:t>
      </w:r>
      <w:r>
        <w:rPr/>
        <w:t>begin,</w:t>
      </w:r>
      <w:r>
        <w:rPr>
          <w:spacing w:val="-7"/>
        </w:rPr>
        <w:t> </w:t>
      </w:r>
      <w:r>
        <w:rPr/>
        <w:t>the</w:t>
      </w:r>
      <w:r>
        <w:rPr>
          <w:spacing w:val="-8"/>
        </w:rPr>
        <w:t> </w:t>
      </w:r>
      <w:r>
        <w:rPr/>
        <w:t>most</w:t>
      </w:r>
      <w:r>
        <w:rPr>
          <w:spacing w:val="-9"/>
        </w:rPr>
        <w:t> </w:t>
      </w:r>
      <w:r>
        <w:rPr/>
        <w:t>recent</w:t>
      </w:r>
      <w:r>
        <w:rPr>
          <w:spacing w:val="-8"/>
        </w:rPr>
        <w:t> </w:t>
      </w:r>
      <w:r>
        <w:rPr/>
        <w:t>Massachusetts 202</w:t>
      </w:r>
      <w:r>
        <w:rPr>
          <w:sz w:val="21"/>
        </w:rPr>
        <w:t>2 </w:t>
      </w:r>
      <w:r>
        <w:rPr/>
        <w:t>Youth</w:t>
      </w:r>
      <w:r>
        <w:rPr>
          <w:spacing w:val="-1"/>
        </w:rPr>
        <w:t> </w:t>
      </w:r>
      <w:r>
        <w:rPr/>
        <w:t>Count, noted that</w:t>
      </w:r>
      <w:r>
        <w:rPr>
          <w:spacing w:val="-1"/>
        </w:rPr>
        <w:t> </w:t>
      </w:r>
      <w:r>
        <w:rPr/>
        <w:t>3</w:t>
      </w:r>
      <w:r>
        <w:rPr>
          <w:sz w:val="21"/>
        </w:rPr>
        <w:t>0</w:t>
      </w:r>
      <w:r>
        <w:rPr/>
        <w:t>% of youth</w:t>
      </w:r>
      <w:r>
        <w:rPr>
          <w:spacing w:val="-1"/>
        </w:rPr>
        <w:t> </w:t>
      </w:r>
      <w:r>
        <w:rPr/>
        <w:t>experiencing homelessness identified</w:t>
      </w:r>
      <w:r>
        <w:rPr>
          <w:spacing w:val="-1"/>
        </w:rPr>
        <w:t> </w:t>
      </w:r>
      <w:r>
        <w:rPr/>
        <w:t>as LGBTQ and</w:t>
      </w:r>
      <w:r>
        <w:rPr>
          <w:spacing w:val="-1"/>
        </w:rPr>
        <w:t> </w:t>
      </w:r>
      <w:r>
        <w:rPr/>
        <w:t>6</w:t>
      </w:r>
      <w:r>
        <w:rPr>
          <w:sz w:val="21"/>
        </w:rPr>
        <w:t>0.2</w:t>
      </w:r>
      <w:r>
        <w:rPr/>
        <w:t>% of all youth experiencing homelessness identified as BIPOC</w:t>
      </w:r>
      <w:hyperlink w:history="true" w:anchor="_bookmark640">
        <w:r>
          <w:rPr/>
          <w:t>.</w:t>
        </w:r>
        <w:r>
          <w:rPr>
            <w:vertAlign w:val="superscript"/>
          </w:rPr>
          <w:t>1</w:t>
        </w:r>
      </w:hyperlink>
    </w:p>
    <w:p>
      <w:pPr>
        <w:pStyle w:val="BodyText"/>
        <w:spacing w:line="360" w:lineRule="auto" w:before="239"/>
        <w:ind w:left="483" w:right="261"/>
        <w:jc w:val="both"/>
      </w:pPr>
      <w:r>
        <w:rPr/>
        <w:t>A national study in 2014 found that LGB adults raising children are nearly twice as likely to receive SNAP benefits as their heterosexual counterparts. Additionally, 26% of LGB youth aged 18 to 24 received SNAP benefits compared</w:t>
      </w:r>
      <w:r>
        <w:rPr>
          <w:spacing w:val="-1"/>
        </w:rPr>
        <w:t> </w:t>
      </w:r>
      <w:r>
        <w:rPr/>
        <w:t>to 17% of heterosexual</w:t>
      </w:r>
      <w:r>
        <w:rPr>
          <w:spacing w:val="-1"/>
        </w:rPr>
        <w:t> </w:t>
      </w:r>
      <w:r>
        <w:rPr/>
        <w:t>and</w:t>
      </w:r>
      <w:r>
        <w:rPr>
          <w:spacing w:val="-1"/>
        </w:rPr>
        <w:t> </w:t>
      </w:r>
      <w:r>
        <w:rPr/>
        <w:t>cisgender youth</w:t>
      </w:r>
      <w:hyperlink w:history="true" w:anchor="_bookmark641">
        <w:r>
          <w:rPr/>
          <w:t>.</w:t>
        </w:r>
        <w:r>
          <w:rPr>
            <w:vertAlign w:val="superscript"/>
          </w:rPr>
          <w:t>2</w:t>
        </w:r>
      </w:hyperlink>
      <w:r>
        <w:rPr>
          <w:spacing w:val="-1"/>
          <w:vertAlign w:val="baseline"/>
        </w:rPr>
        <w:t> </w:t>
      </w:r>
      <w:r>
        <w:rPr>
          <w:vertAlign w:val="baseline"/>
        </w:rPr>
        <w:t>In</w:t>
      </w:r>
      <w:r>
        <w:rPr>
          <w:spacing w:val="-1"/>
          <w:vertAlign w:val="baseline"/>
        </w:rPr>
        <w:t> </w:t>
      </w:r>
      <w:r>
        <w:rPr>
          <w:vertAlign w:val="baseline"/>
        </w:rPr>
        <w:t>the</w:t>
      </w:r>
      <w:r>
        <w:rPr>
          <w:spacing w:val="-1"/>
          <w:vertAlign w:val="baseline"/>
        </w:rPr>
        <w:t> </w:t>
      </w:r>
      <w:r>
        <w:rPr>
          <w:vertAlign w:val="baseline"/>
        </w:rPr>
        <w:t>first</w:t>
      </w:r>
      <w:r>
        <w:rPr>
          <w:spacing w:val="-1"/>
          <w:vertAlign w:val="baseline"/>
        </w:rPr>
        <w:t> </w:t>
      </w:r>
      <w:r>
        <w:rPr>
          <w:vertAlign w:val="baseline"/>
        </w:rPr>
        <w:t>year of the</w:t>
      </w:r>
      <w:r>
        <w:rPr>
          <w:spacing w:val="-1"/>
          <w:vertAlign w:val="baseline"/>
        </w:rPr>
        <w:t> </w:t>
      </w:r>
      <w:r>
        <w:rPr>
          <w:vertAlign w:val="baseline"/>
        </w:rPr>
        <w:t>COVID pandemic, a</w:t>
      </w:r>
      <w:r>
        <w:rPr>
          <w:spacing w:val="-1"/>
          <w:vertAlign w:val="baseline"/>
        </w:rPr>
        <w:t> </w:t>
      </w:r>
      <w:r>
        <w:rPr>
          <w:vertAlign w:val="baseline"/>
        </w:rPr>
        <w:t>SNAP</w:t>
      </w:r>
      <w:r>
        <w:rPr>
          <w:spacing w:val="-1"/>
          <w:vertAlign w:val="baseline"/>
        </w:rPr>
        <w:t> </w:t>
      </w:r>
      <w:r>
        <w:rPr>
          <w:vertAlign w:val="baseline"/>
        </w:rPr>
        <w:t>participation</w:t>
      </w:r>
      <w:r>
        <w:rPr>
          <w:spacing w:val="-2"/>
          <w:vertAlign w:val="baseline"/>
        </w:rPr>
        <w:t> </w:t>
      </w:r>
      <w:r>
        <w:rPr>
          <w:vertAlign w:val="baseline"/>
        </w:rPr>
        <w:t>study noted</w:t>
      </w:r>
      <w:r>
        <w:rPr>
          <w:spacing w:val="-1"/>
          <w:vertAlign w:val="baseline"/>
        </w:rPr>
        <w:t> </w:t>
      </w:r>
      <w:r>
        <w:rPr>
          <w:vertAlign w:val="baseline"/>
        </w:rPr>
        <w:t>that</w:t>
      </w:r>
      <w:r>
        <w:rPr>
          <w:spacing w:val="-1"/>
          <w:vertAlign w:val="baseline"/>
        </w:rPr>
        <w:t> </w:t>
      </w:r>
      <w:r>
        <w:rPr>
          <w:vertAlign w:val="baseline"/>
        </w:rPr>
        <w:t>18%</w:t>
      </w:r>
      <w:r>
        <w:rPr>
          <w:spacing w:val="-1"/>
          <w:vertAlign w:val="baseline"/>
        </w:rPr>
        <w:t> </w:t>
      </w:r>
      <w:r>
        <w:rPr>
          <w:vertAlign w:val="baseline"/>
        </w:rPr>
        <w:t>of</w:t>
      </w:r>
      <w:r>
        <w:rPr>
          <w:spacing w:val="-1"/>
          <w:vertAlign w:val="baseline"/>
        </w:rPr>
        <w:t> </w:t>
      </w:r>
      <w:r>
        <w:rPr>
          <w:vertAlign w:val="baseline"/>
        </w:rPr>
        <w:t>LGBTQ women</w:t>
      </w:r>
      <w:r>
        <w:rPr>
          <w:spacing w:val="-2"/>
          <w:vertAlign w:val="baseline"/>
        </w:rPr>
        <w:t> </w:t>
      </w:r>
      <w:r>
        <w:rPr>
          <w:vertAlign w:val="baseline"/>
        </w:rPr>
        <w:t>received</w:t>
      </w:r>
      <w:r>
        <w:rPr>
          <w:spacing w:val="-2"/>
          <w:vertAlign w:val="baseline"/>
        </w:rPr>
        <w:t> </w:t>
      </w:r>
      <w:r>
        <w:rPr>
          <w:vertAlign w:val="baseline"/>
        </w:rPr>
        <w:t>SNAP benefits compared</w:t>
      </w:r>
      <w:r>
        <w:rPr>
          <w:spacing w:val="-2"/>
          <w:vertAlign w:val="baseline"/>
        </w:rPr>
        <w:t> </w:t>
      </w:r>
      <w:r>
        <w:rPr>
          <w:vertAlign w:val="baseline"/>
        </w:rPr>
        <w:t>to</w:t>
      </w:r>
      <w:r>
        <w:rPr>
          <w:spacing w:val="-1"/>
          <w:vertAlign w:val="baseline"/>
        </w:rPr>
        <w:t> </w:t>
      </w:r>
      <w:r>
        <w:rPr>
          <w:vertAlign w:val="baseline"/>
        </w:rPr>
        <w:t>10%</w:t>
      </w:r>
      <w:r>
        <w:rPr>
          <w:spacing w:val="-1"/>
          <w:vertAlign w:val="baseline"/>
        </w:rPr>
        <w:t> </w:t>
      </w:r>
      <w:r>
        <w:rPr>
          <w:vertAlign w:val="baseline"/>
        </w:rPr>
        <w:t>of heterosexual and</w:t>
      </w:r>
      <w:r>
        <w:rPr>
          <w:spacing w:val="-2"/>
          <w:vertAlign w:val="baseline"/>
        </w:rPr>
        <w:t> </w:t>
      </w:r>
      <w:r>
        <w:rPr>
          <w:vertAlign w:val="baseline"/>
        </w:rPr>
        <w:t>cisgender</w:t>
      </w:r>
      <w:r>
        <w:rPr>
          <w:spacing w:val="-2"/>
          <w:vertAlign w:val="baseline"/>
        </w:rPr>
        <w:t> </w:t>
      </w:r>
      <w:r>
        <w:rPr>
          <w:vertAlign w:val="baseline"/>
        </w:rPr>
        <w:t>women</w:t>
      </w:r>
      <w:hyperlink w:history="true" w:anchor="_bookmark642">
        <w:r>
          <w:rPr>
            <w:vertAlign w:val="baseline"/>
          </w:rPr>
          <w:t>.</w:t>
        </w:r>
        <w:r>
          <w:rPr>
            <w:vertAlign w:val="superscript"/>
          </w:rPr>
          <w:t>3</w:t>
        </w:r>
      </w:hyperlink>
      <w:r>
        <w:rPr>
          <w:spacing w:val="-1"/>
          <w:vertAlign w:val="baseline"/>
        </w:rPr>
        <w:t> </w:t>
      </w:r>
      <w:r>
        <w:rPr>
          <w:vertAlign w:val="baseline"/>
        </w:rPr>
        <w:t>Overall,</w:t>
      </w:r>
      <w:r>
        <w:rPr>
          <w:spacing w:val="-2"/>
          <w:vertAlign w:val="baseline"/>
        </w:rPr>
        <w:t> </w:t>
      </w:r>
      <w:r>
        <w:rPr>
          <w:vertAlign w:val="baseline"/>
        </w:rPr>
        <w:t>as</w:t>
      </w:r>
      <w:r>
        <w:rPr>
          <w:spacing w:val="-2"/>
          <w:vertAlign w:val="baseline"/>
        </w:rPr>
        <w:t> </w:t>
      </w:r>
      <w:r>
        <w:rPr>
          <w:vertAlign w:val="baseline"/>
        </w:rPr>
        <w:t>discussed</w:t>
      </w:r>
      <w:r>
        <w:rPr>
          <w:spacing w:val="-2"/>
          <w:vertAlign w:val="baseline"/>
        </w:rPr>
        <w:t> </w:t>
      </w:r>
      <w:r>
        <w:rPr>
          <w:vertAlign w:val="baseline"/>
        </w:rPr>
        <w:t>in</w:t>
      </w:r>
      <w:r>
        <w:rPr>
          <w:spacing w:val="-2"/>
          <w:vertAlign w:val="baseline"/>
        </w:rPr>
        <w:t> </w:t>
      </w:r>
      <w:r>
        <w:rPr>
          <w:vertAlign w:val="baseline"/>
        </w:rPr>
        <w:t>several</w:t>
      </w:r>
      <w:r>
        <w:rPr>
          <w:spacing w:val="-2"/>
          <w:vertAlign w:val="baseline"/>
        </w:rPr>
        <w:t> </w:t>
      </w:r>
      <w:r>
        <w:rPr>
          <w:vertAlign w:val="baseline"/>
        </w:rPr>
        <w:t>above</w:t>
      </w:r>
      <w:r>
        <w:rPr>
          <w:spacing w:val="-2"/>
          <w:vertAlign w:val="baseline"/>
        </w:rPr>
        <w:t> </w:t>
      </w:r>
      <w:r>
        <w:rPr>
          <w:vertAlign w:val="baseline"/>
        </w:rPr>
        <w:t>sections</w:t>
      </w:r>
      <w:r>
        <w:rPr>
          <w:spacing w:val="-2"/>
          <w:vertAlign w:val="baseline"/>
        </w:rPr>
        <w:t> </w:t>
      </w:r>
      <w:r>
        <w:rPr>
          <w:vertAlign w:val="baseline"/>
        </w:rPr>
        <w:t>of</w:t>
      </w:r>
      <w:r>
        <w:rPr>
          <w:spacing w:val="-2"/>
          <w:vertAlign w:val="baseline"/>
        </w:rPr>
        <w:t> </w:t>
      </w:r>
      <w:r>
        <w:rPr>
          <w:vertAlign w:val="baseline"/>
        </w:rPr>
        <w:t>this</w:t>
      </w:r>
      <w:r>
        <w:rPr>
          <w:spacing w:val="-2"/>
          <w:vertAlign w:val="baseline"/>
        </w:rPr>
        <w:t> </w:t>
      </w:r>
      <w:r>
        <w:rPr>
          <w:vertAlign w:val="baseline"/>
        </w:rPr>
        <w:t>annual</w:t>
      </w:r>
      <w:r>
        <w:rPr>
          <w:spacing w:val="-2"/>
          <w:vertAlign w:val="baseline"/>
        </w:rPr>
        <w:t> </w:t>
      </w:r>
      <w:r>
        <w:rPr>
          <w:vertAlign w:val="baseline"/>
        </w:rPr>
        <w:t>report,</w:t>
      </w:r>
    </w:p>
    <w:p>
      <w:pPr>
        <w:spacing w:after="0" w:line="360" w:lineRule="auto"/>
        <w:jc w:val="both"/>
        <w:sectPr>
          <w:headerReference w:type="default" r:id="rId753"/>
          <w:footerReference w:type="default" r:id="rId754"/>
          <w:pgSz w:w="12240" w:h="15840"/>
          <w:pgMar w:header="804" w:footer="1263" w:top="1000" w:bottom="1460" w:left="960" w:right="1100"/>
        </w:sectPr>
      </w:pPr>
    </w:p>
    <w:p>
      <w:pPr>
        <w:pStyle w:val="BodyText"/>
        <w:spacing w:before="98"/>
      </w:pPr>
    </w:p>
    <w:p>
      <w:pPr>
        <w:pStyle w:val="BodyText"/>
        <w:spacing w:line="360" w:lineRule="auto"/>
        <w:ind w:left="483" w:right="260"/>
        <w:jc w:val="both"/>
      </w:pPr>
      <w:r>
        <w:rPr/>
        <w:t>LGBTQ communities - especially QTBIPOC communities - are particularly vulnerable to poverty due to stigma, lack of accessibility, employment discrimination, systemic barriers, and more.</w:t>
      </w:r>
    </w:p>
    <w:p>
      <w:pPr>
        <w:spacing w:before="238"/>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pStyle w:val="BodyText"/>
        <w:spacing w:before="96"/>
        <w:rPr>
          <w:sz w:val="24"/>
        </w:rPr>
      </w:pPr>
    </w:p>
    <w:p>
      <w:pPr>
        <w:spacing w:line="360" w:lineRule="auto" w:before="0"/>
        <w:ind w:left="483" w:right="259" w:firstLine="0"/>
        <w:jc w:val="both"/>
        <w:rPr>
          <w:sz w:val="21"/>
        </w:rPr>
      </w:pPr>
      <w:r>
        <w:rPr>
          <w:sz w:val="22"/>
        </w:rPr>
        <w:t>For many years, the Commission has appreciated the opportunity to collaborate with DTA to support internal efforts to help offices become more affirming for LGBTQ youth, families, and employees. </w:t>
      </w:r>
      <w:r>
        <w:rPr>
          <w:sz w:val="21"/>
        </w:rPr>
        <w:t>Several years</w:t>
      </w:r>
      <w:r>
        <w:rPr>
          <w:spacing w:val="-5"/>
          <w:sz w:val="21"/>
        </w:rPr>
        <w:t> </w:t>
      </w:r>
      <w:r>
        <w:rPr>
          <w:sz w:val="21"/>
        </w:rPr>
        <w:t>ago,</w:t>
      </w:r>
      <w:r>
        <w:rPr>
          <w:spacing w:val="-4"/>
          <w:sz w:val="21"/>
        </w:rPr>
        <w:t> </w:t>
      </w:r>
      <w:r>
        <w:rPr>
          <w:sz w:val="22"/>
        </w:rPr>
        <w:t>DTA</w:t>
      </w:r>
      <w:r>
        <w:rPr>
          <w:spacing w:val="-6"/>
          <w:sz w:val="22"/>
        </w:rPr>
        <w:t> </w:t>
      </w:r>
      <w:r>
        <w:rPr>
          <w:sz w:val="22"/>
        </w:rPr>
        <w:t>released</w:t>
      </w:r>
      <w:r>
        <w:rPr>
          <w:spacing w:val="-6"/>
          <w:sz w:val="22"/>
        </w:rPr>
        <w:t> </w:t>
      </w:r>
      <w:r>
        <w:rPr>
          <w:sz w:val="22"/>
        </w:rPr>
        <w:t>an</w:t>
      </w:r>
      <w:r>
        <w:rPr>
          <w:spacing w:val="-6"/>
          <w:sz w:val="22"/>
        </w:rPr>
        <w:t> </w:t>
      </w:r>
      <w:r>
        <w:rPr>
          <w:sz w:val="22"/>
        </w:rPr>
        <w:t>LGBTQ-inclusive</w:t>
      </w:r>
      <w:r>
        <w:rPr>
          <w:spacing w:val="-7"/>
          <w:sz w:val="22"/>
        </w:rPr>
        <w:t> </w:t>
      </w:r>
      <w:r>
        <w:rPr>
          <w:sz w:val="22"/>
        </w:rPr>
        <w:t>nondiscrimination</w:t>
      </w:r>
      <w:r>
        <w:rPr>
          <w:spacing w:val="-6"/>
          <w:sz w:val="22"/>
        </w:rPr>
        <w:t> </w:t>
      </w:r>
      <w:r>
        <w:rPr>
          <w:sz w:val="22"/>
        </w:rPr>
        <w:t>policy</w:t>
      </w:r>
      <w:r>
        <w:rPr>
          <w:spacing w:val="-6"/>
          <w:sz w:val="22"/>
        </w:rPr>
        <w:t> </w:t>
      </w:r>
      <w:r>
        <w:rPr>
          <w:sz w:val="22"/>
        </w:rPr>
        <w:t>and</w:t>
      </w:r>
      <w:r>
        <w:rPr>
          <w:spacing w:val="-6"/>
          <w:sz w:val="22"/>
        </w:rPr>
        <w:t> </w:t>
      </w:r>
      <w:r>
        <w:rPr>
          <w:sz w:val="22"/>
        </w:rPr>
        <w:t>guidance</w:t>
      </w:r>
      <w:r>
        <w:rPr>
          <w:spacing w:val="-5"/>
          <w:sz w:val="22"/>
        </w:rPr>
        <w:t> </w:t>
      </w:r>
      <w:r>
        <w:rPr>
          <w:sz w:val="22"/>
        </w:rPr>
        <w:t>that</w:t>
      </w:r>
      <w:r>
        <w:rPr>
          <w:spacing w:val="-6"/>
          <w:sz w:val="22"/>
        </w:rPr>
        <w:t> </w:t>
      </w:r>
      <w:r>
        <w:rPr>
          <w:sz w:val="22"/>
        </w:rPr>
        <w:t>fulfilled</w:t>
      </w:r>
      <w:r>
        <w:rPr>
          <w:spacing w:val="-7"/>
          <w:sz w:val="22"/>
        </w:rPr>
        <w:t> </w:t>
      </w:r>
      <w:r>
        <w:rPr>
          <w:sz w:val="22"/>
        </w:rPr>
        <w:t>a</w:t>
      </w:r>
      <w:r>
        <w:rPr>
          <w:spacing w:val="-5"/>
          <w:sz w:val="22"/>
        </w:rPr>
        <w:t> </w:t>
      </w:r>
      <w:r>
        <w:rPr>
          <w:sz w:val="22"/>
        </w:rPr>
        <w:t>previous Commission recommendation. </w:t>
      </w:r>
      <w:r>
        <w:rPr>
          <w:sz w:val="21"/>
        </w:rPr>
        <w:t>To build on this policy, DTA has consistently been engaging its employees in training opportunities to center both LGBTQ-inclusivity and racial equity. In late 2022, DTA managers were mandated</w:t>
      </w:r>
      <w:r>
        <w:rPr>
          <w:spacing w:val="-3"/>
          <w:sz w:val="21"/>
        </w:rPr>
        <w:t> </w:t>
      </w:r>
      <w:r>
        <w:rPr>
          <w:sz w:val="21"/>
        </w:rPr>
        <w:t>to</w:t>
      </w:r>
      <w:r>
        <w:rPr>
          <w:spacing w:val="-3"/>
          <w:sz w:val="21"/>
        </w:rPr>
        <w:t> </w:t>
      </w:r>
      <w:r>
        <w:rPr>
          <w:sz w:val="21"/>
        </w:rPr>
        <w:t>attend</w:t>
      </w:r>
      <w:r>
        <w:rPr>
          <w:spacing w:val="-3"/>
          <w:sz w:val="21"/>
        </w:rPr>
        <w:t> </w:t>
      </w:r>
      <w:r>
        <w:rPr>
          <w:sz w:val="21"/>
        </w:rPr>
        <w:t>a</w:t>
      </w:r>
      <w:r>
        <w:rPr>
          <w:spacing w:val="-2"/>
          <w:sz w:val="21"/>
        </w:rPr>
        <w:t> </w:t>
      </w:r>
      <w:r>
        <w:rPr>
          <w:sz w:val="21"/>
        </w:rPr>
        <w:t>two-day</w:t>
      </w:r>
      <w:r>
        <w:rPr>
          <w:spacing w:val="-2"/>
          <w:sz w:val="21"/>
        </w:rPr>
        <w:t> </w:t>
      </w:r>
      <w:r>
        <w:rPr>
          <w:sz w:val="21"/>
        </w:rPr>
        <w:t>intensive</w:t>
      </w:r>
      <w:r>
        <w:rPr>
          <w:spacing w:val="-2"/>
          <w:sz w:val="21"/>
        </w:rPr>
        <w:t> </w:t>
      </w:r>
      <w:r>
        <w:rPr>
          <w:sz w:val="21"/>
        </w:rPr>
        <w:t>racial</w:t>
      </w:r>
      <w:r>
        <w:rPr>
          <w:spacing w:val="-2"/>
          <w:sz w:val="21"/>
        </w:rPr>
        <w:t> </w:t>
      </w:r>
      <w:r>
        <w:rPr>
          <w:sz w:val="21"/>
        </w:rPr>
        <w:t>equity</w:t>
      </w:r>
      <w:r>
        <w:rPr>
          <w:spacing w:val="-2"/>
          <w:sz w:val="21"/>
        </w:rPr>
        <w:t> </w:t>
      </w:r>
      <w:r>
        <w:rPr>
          <w:sz w:val="21"/>
        </w:rPr>
        <w:t>training,</w:t>
      </w:r>
      <w:r>
        <w:rPr>
          <w:spacing w:val="-2"/>
          <w:sz w:val="21"/>
        </w:rPr>
        <w:t> </w:t>
      </w:r>
      <w:r>
        <w:rPr>
          <w:sz w:val="21"/>
        </w:rPr>
        <w:t>which</w:t>
      </w:r>
      <w:r>
        <w:rPr>
          <w:spacing w:val="-2"/>
          <w:sz w:val="21"/>
        </w:rPr>
        <w:t> </w:t>
      </w:r>
      <w:r>
        <w:rPr>
          <w:sz w:val="21"/>
        </w:rPr>
        <w:t>DTA</w:t>
      </w:r>
      <w:r>
        <w:rPr>
          <w:spacing w:val="-2"/>
          <w:sz w:val="21"/>
        </w:rPr>
        <w:t> </w:t>
      </w:r>
      <w:r>
        <w:rPr>
          <w:sz w:val="21"/>
        </w:rPr>
        <w:t>is</w:t>
      </w:r>
      <w:r>
        <w:rPr>
          <w:spacing w:val="-2"/>
          <w:sz w:val="21"/>
        </w:rPr>
        <w:t> </w:t>
      </w:r>
      <w:r>
        <w:rPr>
          <w:sz w:val="21"/>
        </w:rPr>
        <w:t>beginning</w:t>
      </w:r>
      <w:r>
        <w:rPr>
          <w:spacing w:val="-2"/>
          <w:sz w:val="21"/>
        </w:rPr>
        <w:t> </w:t>
      </w:r>
      <w:r>
        <w:rPr>
          <w:sz w:val="21"/>
        </w:rPr>
        <w:t>to</w:t>
      </w:r>
      <w:r>
        <w:rPr>
          <w:spacing w:val="-2"/>
          <w:sz w:val="21"/>
        </w:rPr>
        <w:t> </w:t>
      </w:r>
      <w:r>
        <w:rPr>
          <w:sz w:val="21"/>
        </w:rPr>
        <w:t>roll</w:t>
      </w:r>
      <w:r>
        <w:rPr>
          <w:spacing w:val="-2"/>
          <w:sz w:val="21"/>
        </w:rPr>
        <w:t> </w:t>
      </w:r>
      <w:r>
        <w:rPr>
          <w:sz w:val="21"/>
        </w:rPr>
        <w:t>out</w:t>
      </w:r>
      <w:r>
        <w:rPr>
          <w:spacing w:val="-3"/>
          <w:sz w:val="21"/>
        </w:rPr>
        <w:t> </w:t>
      </w:r>
      <w:r>
        <w:rPr>
          <w:sz w:val="21"/>
        </w:rPr>
        <w:t>in</w:t>
      </w:r>
      <w:r>
        <w:rPr>
          <w:spacing w:val="-2"/>
          <w:sz w:val="21"/>
        </w:rPr>
        <w:t> </w:t>
      </w:r>
      <w:r>
        <w:rPr>
          <w:sz w:val="21"/>
        </w:rPr>
        <w:t>June</w:t>
      </w:r>
      <w:r>
        <w:rPr>
          <w:spacing w:val="-2"/>
          <w:sz w:val="21"/>
        </w:rPr>
        <w:t> </w:t>
      </w:r>
      <w:r>
        <w:rPr>
          <w:sz w:val="21"/>
        </w:rPr>
        <w:t>of</w:t>
      </w:r>
      <w:r>
        <w:rPr>
          <w:spacing w:val="-2"/>
          <w:sz w:val="21"/>
        </w:rPr>
        <w:t> </w:t>
      </w:r>
      <w:r>
        <w:rPr>
          <w:sz w:val="21"/>
        </w:rPr>
        <w:t>this year</w:t>
      </w:r>
      <w:r>
        <w:rPr>
          <w:spacing w:val="-1"/>
          <w:sz w:val="21"/>
        </w:rPr>
        <w:t> </w:t>
      </w:r>
      <w:r>
        <w:rPr>
          <w:sz w:val="21"/>
        </w:rPr>
        <w:t>and</w:t>
      </w:r>
      <w:r>
        <w:rPr>
          <w:spacing w:val="-2"/>
          <w:sz w:val="21"/>
        </w:rPr>
        <w:t> </w:t>
      </w:r>
      <w:r>
        <w:rPr>
          <w:sz w:val="21"/>
        </w:rPr>
        <w:t>continue</w:t>
      </w:r>
      <w:r>
        <w:rPr>
          <w:spacing w:val="-1"/>
          <w:sz w:val="21"/>
        </w:rPr>
        <w:t> </w:t>
      </w:r>
      <w:r>
        <w:rPr>
          <w:sz w:val="21"/>
        </w:rPr>
        <w:t>through</w:t>
      </w:r>
      <w:r>
        <w:rPr>
          <w:spacing w:val="-2"/>
          <w:sz w:val="21"/>
        </w:rPr>
        <w:t> </w:t>
      </w:r>
      <w:r>
        <w:rPr>
          <w:sz w:val="21"/>
        </w:rPr>
        <w:t>the</w:t>
      </w:r>
      <w:r>
        <w:rPr>
          <w:spacing w:val="-1"/>
          <w:sz w:val="21"/>
        </w:rPr>
        <w:t> </w:t>
      </w:r>
      <w:r>
        <w:rPr>
          <w:sz w:val="21"/>
        </w:rPr>
        <w:t>upcoming</w:t>
      </w:r>
      <w:r>
        <w:rPr>
          <w:spacing w:val="-1"/>
          <w:sz w:val="21"/>
        </w:rPr>
        <w:t> </w:t>
      </w:r>
      <w:r>
        <w:rPr>
          <w:sz w:val="21"/>
        </w:rPr>
        <w:t>fiscal</w:t>
      </w:r>
      <w:r>
        <w:rPr>
          <w:spacing w:val="-1"/>
          <w:sz w:val="21"/>
        </w:rPr>
        <w:t> </w:t>
      </w:r>
      <w:r>
        <w:rPr>
          <w:sz w:val="21"/>
        </w:rPr>
        <w:t>year.</w:t>
      </w:r>
      <w:r>
        <w:rPr>
          <w:spacing w:val="-1"/>
          <w:sz w:val="21"/>
        </w:rPr>
        <w:t> </w:t>
      </w:r>
      <w:r>
        <w:rPr>
          <w:sz w:val="21"/>
        </w:rPr>
        <w:t>Over</w:t>
      </w:r>
      <w:r>
        <w:rPr>
          <w:spacing w:val="-1"/>
          <w:sz w:val="21"/>
        </w:rPr>
        <w:t> </w:t>
      </w:r>
      <w:r>
        <w:rPr>
          <w:sz w:val="21"/>
        </w:rPr>
        <w:t>the</w:t>
      </w:r>
      <w:r>
        <w:rPr>
          <w:spacing w:val="-2"/>
          <w:sz w:val="21"/>
        </w:rPr>
        <w:t> </w:t>
      </w:r>
      <w:r>
        <w:rPr>
          <w:sz w:val="21"/>
        </w:rPr>
        <w:t>latter</w:t>
      </w:r>
      <w:r>
        <w:rPr>
          <w:spacing w:val="-1"/>
          <w:sz w:val="21"/>
        </w:rPr>
        <w:t> </w:t>
      </w:r>
      <w:r>
        <w:rPr>
          <w:sz w:val="21"/>
        </w:rPr>
        <w:t>half</w:t>
      </w:r>
      <w:r>
        <w:rPr>
          <w:spacing w:val="-1"/>
          <w:sz w:val="21"/>
        </w:rPr>
        <w:t> </w:t>
      </w:r>
      <w:r>
        <w:rPr>
          <w:sz w:val="21"/>
        </w:rPr>
        <w:t>of</w:t>
      </w:r>
      <w:r>
        <w:rPr>
          <w:spacing w:val="-1"/>
          <w:sz w:val="21"/>
        </w:rPr>
        <w:t> </w:t>
      </w:r>
      <w:r>
        <w:rPr>
          <w:sz w:val="21"/>
        </w:rPr>
        <w:t>the</w:t>
      </w:r>
      <w:r>
        <w:rPr>
          <w:spacing w:val="-2"/>
          <w:sz w:val="21"/>
        </w:rPr>
        <w:t> </w:t>
      </w:r>
      <w:r>
        <w:rPr>
          <w:sz w:val="21"/>
        </w:rPr>
        <w:t>2023 fiscal</w:t>
      </w:r>
      <w:r>
        <w:rPr>
          <w:spacing w:val="-1"/>
          <w:sz w:val="21"/>
        </w:rPr>
        <w:t> </w:t>
      </w:r>
      <w:r>
        <w:rPr>
          <w:sz w:val="21"/>
        </w:rPr>
        <w:t>year,</w:t>
      </w:r>
      <w:r>
        <w:rPr>
          <w:spacing w:val="-3"/>
          <w:sz w:val="21"/>
        </w:rPr>
        <w:t> </w:t>
      </w:r>
      <w:r>
        <w:rPr>
          <w:sz w:val="21"/>
        </w:rPr>
        <w:t>DTA</w:t>
      </w:r>
      <w:r>
        <w:rPr>
          <w:spacing w:val="-1"/>
          <w:sz w:val="21"/>
        </w:rPr>
        <w:t> </w:t>
      </w:r>
      <w:r>
        <w:rPr>
          <w:sz w:val="21"/>
        </w:rPr>
        <w:t>partnered with</w:t>
      </w:r>
      <w:r>
        <w:rPr>
          <w:spacing w:val="-11"/>
          <w:sz w:val="21"/>
        </w:rPr>
        <w:t> </w:t>
      </w:r>
      <w:r>
        <w:rPr>
          <w:sz w:val="21"/>
        </w:rPr>
        <w:t>the</w:t>
      </w:r>
      <w:r>
        <w:rPr>
          <w:spacing w:val="-12"/>
          <w:sz w:val="21"/>
        </w:rPr>
        <w:t> </w:t>
      </w:r>
      <w:r>
        <w:rPr>
          <w:sz w:val="21"/>
        </w:rPr>
        <w:t>Commission</w:t>
      </w:r>
      <w:r>
        <w:rPr>
          <w:spacing w:val="-11"/>
          <w:sz w:val="21"/>
        </w:rPr>
        <w:t> </w:t>
      </w:r>
      <w:r>
        <w:rPr>
          <w:sz w:val="21"/>
        </w:rPr>
        <w:t>and</w:t>
      </w:r>
      <w:r>
        <w:rPr>
          <w:spacing w:val="-11"/>
          <w:sz w:val="21"/>
        </w:rPr>
        <w:t> </w:t>
      </w:r>
      <w:r>
        <w:rPr>
          <w:sz w:val="21"/>
        </w:rPr>
        <w:t>EOHHS</w:t>
      </w:r>
      <w:r>
        <w:rPr>
          <w:spacing w:val="-12"/>
          <w:sz w:val="21"/>
        </w:rPr>
        <w:t> </w:t>
      </w:r>
      <w:r>
        <w:rPr>
          <w:sz w:val="21"/>
        </w:rPr>
        <w:t>DEI</w:t>
      </w:r>
      <w:r>
        <w:rPr>
          <w:spacing w:val="-11"/>
          <w:sz w:val="21"/>
        </w:rPr>
        <w:t> </w:t>
      </w:r>
      <w:r>
        <w:rPr>
          <w:sz w:val="21"/>
        </w:rPr>
        <w:t>staff</w:t>
      </w:r>
      <w:r>
        <w:rPr>
          <w:spacing w:val="-12"/>
          <w:sz w:val="21"/>
        </w:rPr>
        <w:t> </w:t>
      </w:r>
      <w:r>
        <w:rPr>
          <w:sz w:val="21"/>
        </w:rPr>
        <w:t>to</w:t>
      </w:r>
      <w:r>
        <w:rPr>
          <w:spacing w:val="-12"/>
          <w:sz w:val="21"/>
        </w:rPr>
        <w:t> </w:t>
      </w:r>
      <w:r>
        <w:rPr>
          <w:sz w:val="21"/>
        </w:rPr>
        <w:t>participate</w:t>
      </w:r>
      <w:r>
        <w:rPr>
          <w:spacing w:val="-11"/>
          <w:sz w:val="21"/>
        </w:rPr>
        <w:t> </w:t>
      </w:r>
      <w:r>
        <w:rPr>
          <w:sz w:val="21"/>
        </w:rPr>
        <w:t>in</w:t>
      </w:r>
      <w:r>
        <w:rPr>
          <w:spacing w:val="-12"/>
          <w:sz w:val="21"/>
        </w:rPr>
        <w:t> </w:t>
      </w:r>
      <w:r>
        <w:rPr>
          <w:sz w:val="21"/>
        </w:rPr>
        <w:t>the</w:t>
      </w:r>
      <w:r>
        <w:rPr>
          <w:spacing w:val="-11"/>
          <w:sz w:val="21"/>
        </w:rPr>
        <w:t> </w:t>
      </w:r>
      <w:r>
        <w:rPr>
          <w:sz w:val="21"/>
        </w:rPr>
        <w:t>internal</w:t>
      </w:r>
      <w:r>
        <w:rPr>
          <w:spacing w:val="-11"/>
          <w:sz w:val="21"/>
        </w:rPr>
        <w:t> </w:t>
      </w:r>
      <w:r>
        <w:rPr>
          <w:sz w:val="21"/>
        </w:rPr>
        <w:t>train-the-trainer</w:t>
      </w:r>
      <w:r>
        <w:rPr>
          <w:spacing w:val="-11"/>
          <w:sz w:val="21"/>
        </w:rPr>
        <w:t> </w:t>
      </w:r>
      <w:r>
        <w:rPr>
          <w:sz w:val="21"/>
        </w:rPr>
        <w:t>model</w:t>
      </w:r>
      <w:r>
        <w:rPr>
          <w:spacing w:val="-11"/>
          <w:sz w:val="21"/>
        </w:rPr>
        <w:t> </w:t>
      </w:r>
      <w:r>
        <w:rPr>
          <w:sz w:val="21"/>
        </w:rPr>
        <w:t>to</w:t>
      </w:r>
      <w:r>
        <w:rPr>
          <w:spacing w:val="-12"/>
          <w:sz w:val="21"/>
        </w:rPr>
        <w:t> </w:t>
      </w:r>
      <w:r>
        <w:rPr>
          <w:sz w:val="21"/>
        </w:rPr>
        <w:t>develop</w:t>
      </w:r>
      <w:r>
        <w:rPr>
          <w:spacing w:val="-11"/>
          <w:sz w:val="21"/>
        </w:rPr>
        <w:t> </w:t>
      </w:r>
      <w:r>
        <w:rPr>
          <w:sz w:val="21"/>
        </w:rPr>
        <w:t>cross- agency</w:t>
      </w:r>
      <w:r>
        <w:rPr>
          <w:spacing w:val="-3"/>
          <w:sz w:val="21"/>
        </w:rPr>
        <w:t> </w:t>
      </w:r>
      <w:r>
        <w:rPr>
          <w:sz w:val="21"/>
        </w:rPr>
        <w:t>capacity,</w:t>
      </w:r>
      <w:r>
        <w:rPr>
          <w:spacing w:val="-3"/>
          <w:sz w:val="21"/>
        </w:rPr>
        <w:t> </w:t>
      </w:r>
      <w:r>
        <w:rPr>
          <w:sz w:val="21"/>
        </w:rPr>
        <w:t>which</w:t>
      </w:r>
      <w:r>
        <w:rPr>
          <w:spacing w:val="-4"/>
          <w:sz w:val="21"/>
        </w:rPr>
        <w:t> </w:t>
      </w:r>
      <w:r>
        <w:rPr>
          <w:sz w:val="21"/>
        </w:rPr>
        <w:t>continued</w:t>
      </w:r>
      <w:r>
        <w:rPr>
          <w:spacing w:val="-3"/>
          <w:sz w:val="21"/>
        </w:rPr>
        <w:t> </w:t>
      </w:r>
      <w:r>
        <w:rPr>
          <w:sz w:val="21"/>
        </w:rPr>
        <w:t>into</w:t>
      </w:r>
      <w:r>
        <w:rPr>
          <w:spacing w:val="-3"/>
          <w:sz w:val="21"/>
        </w:rPr>
        <w:t> </w:t>
      </w:r>
      <w:r>
        <w:rPr>
          <w:sz w:val="21"/>
        </w:rPr>
        <w:t>FY</w:t>
      </w:r>
      <w:r>
        <w:rPr>
          <w:spacing w:val="-4"/>
          <w:sz w:val="21"/>
        </w:rPr>
        <w:t> </w:t>
      </w:r>
      <w:r>
        <w:rPr>
          <w:sz w:val="21"/>
        </w:rPr>
        <w:t>2024,</w:t>
      </w:r>
      <w:r>
        <w:rPr>
          <w:spacing w:val="-3"/>
          <w:sz w:val="21"/>
        </w:rPr>
        <w:t> </w:t>
      </w:r>
      <w:r>
        <w:rPr>
          <w:sz w:val="21"/>
        </w:rPr>
        <w:t>and</w:t>
      </w:r>
      <w:r>
        <w:rPr>
          <w:spacing w:val="-3"/>
          <w:sz w:val="21"/>
        </w:rPr>
        <w:t> </w:t>
      </w:r>
      <w:r>
        <w:rPr>
          <w:sz w:val="21"/>
        </w:rPr>
        <w:t>is</w:t>
      </w:r>
      <w:r>
        <w:rPr>
          <w:spacing w:val="-4"/>
          <w:sz w:val="21"/>
        </w:rPr>
        <w:t> </w:t>
      </w:r>
      <w:r>
        <w:rPr>
          <w:sz w:val="21"/>
        </w:rPr>
        <w:t>expected</w:t>
      </w:r>
      <w:r>
        <w:rPr>
          <w:spacing w:val="-4"/>
          <w:sz w:val="21"/>
        </w:rPr>
        <w:t> </w:t>
      </w:r>
      <w:r>
        <w:rPr>
          <w:sz w:val="21"/>
        </w:rPr>
        <w:t>to</w:t>
      </w:r>
      <w:r>
        <w:rPr>
          <w:spacing w:val="-3"/>
          <w:sz w:val="21"/>
        </w:rPr>
        <w:t> </w:t>
      </w:r>
      <w:r>
        <w:rPr>
          <w:sz w:val="21"/>
        </w:rPr>
        <w:t>continue</w:t>
      </w:r>
      <w:r>
        <w:rPr>
          <w:spacing w:val="-3"/>
          <w:sz w:val="21"/>
        </w:rPr>
        <w:t> </w:t>
      </w:r>
      <w:r>
        <w:rPr>
          <w:sz w:val="21"/>
        </w:rPr>
        <w:t>in</w:t>
      </w:r>
      <w:r>
        <w:rPr>
          <w:spacing w:val="-4"/>
          <w:sz w:val="21"/>
        </w:rPr>
        <w:t> </w:t>
      </w:r>
      <w:r>
        <w:rPr>
          <w:sz w:val="21"/>
        </w:rPr>
        <w:t>FY</w:t>
      </w:r>
      <w:r>
        <w:rPr>
          <w:spacing w:val="-3"/>
          <w:sz w:val="21"/>
        </w:rPr>
        <w:t> </w:t>
      </w:r>
      <w:r>
        <w:rPr>
          <w:sz w:val="21"/>
        </w:rPr>
        <w:t>2025.</w:t>
      </w:r>
      <w:r>
        <w:rPr>
          <w:spacing w:val="-3"/>
          <w:sz w:val="21"/>
        </w:rPr>
        <w:t> </w:t>
      </w:r>
      <w:r>
        <w:rPr>
          <w:sz w:val="21"/>
        </w:rPr>
        <w:t>Additionally,</w:t>
      </w:r>
      <w:r>
        <w:rPr>
          <w:spacing w:val="-2"/>
          <w:sz w:val="21"/>
        </w:rPr>
        <w:t> </w:t>
      </w:r>
      <w:r>
        <w:rPr>
          <w:sz w:val="21"/>
        </w:rPr>
        <w:t>the</w:t>
      </w:r>
      <w:r>
        <w:rPr>
          <w:spacing w:val="-4"/>
          <w:sz w:val="21"/>
        </w:rPr>
        <w:t> </w:t>
      </w:r>
      <w:r>
        <w:rPr>
          <w:sz w:val="21"/>
        </w:rPr>
        <w:t>spring of FY 2023, DTA hosted a panel discussion titled “Who</w:t>
      </w:r>
      <w:r>
        <w:rPr>
          <w:spacing w:val="-1"/>
          <w:sz w:val="21"/>
        </w:rPr>
        <w:t> </w:t>
      </w:r>
      <w:r>
        <w:rPr>
          <w:sz w:val="21"/>
        </w:rPr>
        <w:t>We Are: Elevating the Voices &amp; Experiences of LGBTQI+ Staff”, in support of Transgender Day of Visibility, and Gender Equality Month, attended by 80 DTA staff </w:t>
      </w:r>
      <w:r>
        <w:rPr>
          <w:spacing w:val="-2"/>
          <w:sz w:val="21"/>
        </w:rPr>
        <w:t>members.</w:t>
      </w:r>
    </w:p>
    <w:p>
      <w:pPr>
        <w:pStyle w:val="BodyText"/>
        <w:spacing w:line="360" w:lineRule="auto" w:before="240"/>
        <w:ind w:left="483" w:right="261" w:hanging="1"/>
        <w:jc w:val="both"/>
      </w:pPr>
      <w:r>
        <w:rPr>
          <w:sz w:val="21"/>
        </w:rPr>
        <w:t>Finally</w:t>
      </w:r>
      <w:r>
        <w:rPr/>
        <w:t>,</w:t>
      </w:r>
      <w:r>
        <w:rPr>
          <w:spacing w:val="-7"/>
        </w:rPr>
        <w:t> </w:t>
      </w:r>
      <w:r>
        <w:rPr/>
        <w:t>the</w:t>
      </w:r>
      <w:r>
        <w:rPr>
          <w:spacing w:val="-8"/>
        </w:rPr>
        <w:t> </w:t>
      </w:r>
      <w:r>
        <w:rPr/>
        <w:t>Commission</w:t>
      </w:r>
      <w:r>
        <w:rPr>
          <w:spacing w:val="-9"/>
        </w:rPr>
        <w:t> </w:t>
      </w:r>
      <w:r>
        <w:rPr/>
        <w:t>and</w:t>
      </w:r>
      <w:r>
        <w:rPr>
          <w:spacing w:val="-9"/>
        </w:rPr>
        <w:t> </w:t>
      </w:r>
      <w:r>
        <w:rPr/>
        <w:t>DTA</w:t>
      </w:r>
      <w:r>
        <w:rPr>
          <w:spacing w:val="-8"/>
        </w:rPr>
        <w:t> </w:t>
      </w:r>
      <w:r>
        <w:rPr/>
        <w:t>have</w:t>
      </w:r>
      <w:r>
        <w:rPr>
          <w:spacing w:val="-8"/>
        </w:rPr>
        <w:t> </w:t>
      </w:r>
      <w:r>
        <w:rPr/>
        <w:t>been</w:t>
      </w:r>
      <w:r>
        <w:rPr>
          <w:spacing w:val="-9"/>
        </w:rPr>
        <w:t> </w:t>
      </w:r>
      <w:r>
        <w:rPr/>
        <w:t>engaged</w:t>
      </w:r>
      <w:r>
        <w:rPr>
          <w:spacing w:val="-8"/>
        </w:rPr>
        <w:t> </w:t>
      </w:r>
      <w:r>
        <w:rPr/>
        <w:t>in</w:t>
      </w:r>
      <w:r>
        <w:rPr>
          <w:spacing w:val="-9"/>
        </w:rPr>
        <w:t> </w:t>
      </w:r>
      <w:r>
        <w:rPr/>
        <w:t>conversations</w:t>
      </w:r>
      <w:r>
        <w:rPr>
          <w:spacing w:val="-8"/>
        </w:rPr>
        <w:t> </w:t>
      </w:r>
      <w:r>
        <w:rPr/>
        <w:t>for</w:t>
      </w:r>
      <w:r>
        <w:rPr>
          <w:spacing w:val="-9"/>
        </w:rPr>
        <w:t> </w:t>
      </w:r>
      <w:r>
        <w:rPr/>
        <w:t>several</w:t>
      </w:r>
      <w:r>
        <w:rPr>
          <w:spacing w:val="-9"/>
        </w:rPr>
        <w:t> </w:t>
      </w:r>
      <w:r>
        <w:rPr/>
        <w:t>years</w:t>
      </w:r>
      <w:r>
        <w:rPr>
          <w:spacing w:val="-8"/>
        </w:rPr>
        <w:t> </w:t>
      </w:r>
      <w:r>
        <w:rPr/>
        <w:t>around</w:t>
      </w:r>
      <w:r>
        <w:rPr>
          <w:spacing w:val="-9"/>
        </w:rPr>
        <w:t> </w:t>
      </w:r>
      <w:r>
        <w:rPr/>
        <w:t>how</w:t>
      </w:r>
      <w:r>
        <w:rPr>
          <w:spacing w:val="-8"/>
        </w:rPr>
        <w:t> </w:t>
      </w:r>
      <w:r>
        <w:rPr/>
        <w:t>to</w:t>
      </w:r>
      <w:r>
        <w:rPr>
          <w:spacing w:val="-7"/>
        </w:rPr>
        <w:t> </w:t>
      </w:r>
      <w:r>
        <w:rPr/>
        <w:t>best capture</w:t>
      </w:r>
      <w:r>
        <w:rPr>
          <w:spacing w:val="-1"/>
        </w:rPr>
        <w:t> </w:t>
      </w:r>
      <w:r>
        <w:rPr/>
        <w:t>SOGIE</w:t>
      </w:r>
      <w:r>
        <w:rPr>
          <w:spacing w:val="-1"/>
        </w:rPr>
        <w:t> </w:t>
      </w:r>
      <w:r>
        <w:rPr/>
        <w:t>information;</w:t>
      </w:r>
      <w:r>
        <w:rPr>
          <w:spacing w:val="-1"/>
        </w:rPr>
        <w:t> </w:t>
      </w:r>
      <w:r>
        <w:rPr/>
        <w:t>such an</w:t>
      </w:r>
      <w:r>
        <w:rPr>
          <w:spacing w:val="-1"/>
        </w:rPr>
        <w:t> </w:t>
      </w:r>
      <w:r>
        <w:rPr/>
        <w:t>opportunity would</w:t>
      </w:r>
      <w:r>
        <w:rPr>
          <w:spacing w:val="-1"/>
        </w:rPr>
        <w:t> </w:t>
      </w:r>
      <w:r>
        <w:rPr/>
        <w:t>likely be provided</w:t>
      </w:r>
      <w:r>
        <w:rPr>
          <w:spacing w:val="-1"/>
        </w:rPr>
        <w:t> </w:t>
      </w:r>
      <w:r>
        <w:rPr/>
        <w:t>through</w:t>
      </w:r>
      <w:r>
        <w:rPr>
          <w:spacing w:val="-1"/>
        </w:rPr>
        <w:t> </w:t>
      </w:r>
      <w:r>
        <w:rPr/>
        <w:t>the</w:t>
      </w:r>
      <w:r>
        <w:rPr>
          <w:spacing w:val="-1"/>
        </w:rPr>
        <w:t> </w:t>
      </w:r>
      <w:r>
        <w:rPr/>
        <w:t>SNAP program</w:t>
      </w:r>
      <w:r>
        <w:rPr>
          <w:spacing w:val="-1"/>
        </w:rPr>
        <w:t> </w:t>
      </w:r>
      <w:r>
        <w:rPr/>
        <w:t>and be added on to demographic information already collected (like biological sex, race, and ethnicity). Unfortunately, like many other agencies, DTA is unsure the extent to which it is able to improve its data collection as SNAP is heavily regulated by the federal government. The Commission looks forward to continuing this conversation with DTA in FY 202</w:t>
      </w:r>
      <w:r>
        <w:rPr>
          <w:sz w:val="21"/>
        </w:rPr>
        <w:t>5</w:t>
      </w:r>
      <w:r>
        <w:rPr/>
        <w:t>.</w:t>
      </w:r>
    </w:p>
    <w:p>
      <w:pPr>
        <w:pStyle w:val="BodyText"/>
        <w:spacing w:before="130"/>
      </w:pPr>
    </w:p>
    <w:p>
      <w:pPr>
        <w:pStyle w:val="Heading8"/>
        <w:ind w:left="339"/>
      </w:pPr>
      <w:r>
        <w:rPr/>
        <mc:AlternateContent>
          <mc:Choice Requires="wps">
            <w:drawing>
              <wp:anchor distT="0" distB="0" distL="0" distR="0" allowOverlap="1" layoutInCell="1" locked="0" behindDoc="1" simplePos="0" relativeHeight="487716864">
                <wp:simplePos x="0" y="0"/>
                <wp:positionH relativeFrom="page">
                  <wp:posOffset>806195</wp:posOffset>
                </wp:positionH>
                <wp:positionV relativeFrom="paragraph">
                  <wp:posOffset>292034</wp:posOffset>
                </wp:positionV>
                <wp:extent cx="6210935" cy="6350"/>
                <wp:effectExtent l="0" t="0" r="0" b="0"/>
                <wp:wrapTopAndBottom/>
                <wp:docPr id="635" name="Graphic 635"/>
                <wp:cNvGraphicFramePr>
                  <a:graphicFrameLocks/>
                </wp:cNvGraphicFramePr>
                <a:graphic>
                  <a:graphicData uri="http://schemas.microsoft.com/office/word/2010/wordprocessingShape">
                    <wps:wsp>
                      <wps:cNvPr id="635" name="Graphic 635"/>
                      <wps:cNvSpPr/>
                      <wps:spPr>
                        <a:xfrm>
                          <a:off x="0" y="0"/>
                          <a:ext cx="6210935" cy="6350"/>
                        </a:xfrm>
                        <a:custGeom>
                          <a:avLst/>
                          <a:gdLst/>
                          <a:ahLst/>
                          <a:cxnLst/>
                          <a:rect l="l" t="t" r="r" b="b"/>
                          <a:pathLst>
                            <a:path w="6210935" h="6350">
                              <a:moveTo>
                                <a:pt x="6210312" y="0"/>
                              </a:moveTo>
                              <a:lnTo>
                                <a:pt x="0" y="0"/>
                              </a:lnTo>
                              <a:lnTo>
                                <a:pt x="0" y="6095"/>
                              </a:lnTo>
                              <a:lnTo>
                                <a:pt x="6210312" y="6095"/>
                              </a:lnTo>
                              <a:lnTo>
                                <a:pt x="6210312"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22.994844pt;width:489.001pt;height:.48pt;mso-position-horizontal-relative:page;mso-position-vertical-relative:paragraph;z-index:-15599616;mso-wrap-distance-left:0;mso-wrap-distance-right:0" id="docshape532" filled="true" fillcolor="#4f81bc" stroked="false">
                <v:fill type="solid"/>
                <w10:wrap type="topAndBottom"/>
              </v:rect>
            </w:pict>
          </mc:Fallback>
        </mc:AlternateContent>
      </w:r>
      <w:r>
        <w:rPr>
          <w:color w:val="365F91"/>
        </w:rPr>
        <w:t>FY</w:t>
      </w:r>
      <w:r>
        <w:rPr>
          <w:color w:val="365F91"/>
          <w:spacing w:val="-4"/>
        </w:rPr>
        <w:t> </w:t>
      </w:r>
      <w:r>
        <w:rPr>
          <w:color w:val="365F91"/>
        </w:rPr>
        <w:t>2025</w:t>
      </w:r>
      <w:r>
        <w:rPr>
          <w:color w:val="365F91"/>
          <w:spacing w:val="-2"/>
        </w:rPr>
        <w:t> </w:t>
      </w:r>
      <w:r>
        <w:rPr>
          <w:color w:val="365F91"/>
        </w:rPr>
        <w:t>Expanded</w:t>
      </w:r>
      <w:r>
        <w:rPr>
          <w:color w:val="365F91"/>
          <w:spacing w:val="-2"/>
        </w:rPr>
        <w:t> </w:t>
      </w:r>
      <w:r>
        <w:rPr>
          <w:color w:val="365F91"/>
        </w:rPr>
        <w:t>DTA</w:t>
      </w:r>
      <w:r>
        <w:rPr>
          <w:color w:val="365F91"/>
          <w:spacing w:val="-2"/>
        </w:rPr>
        <w:t> Recommendations</w:t>
      </w:r>
    </w:p>
    <w:p>
      <w:pPr>
        <w:numPr>
          <w:ilvl w:val="2"/>
          <w:numId w:val="43"/>
        </w:numPr>
        <w:tabs>
          <w:tab w:pos="982" w:val="left" w:leader="none"/>
        </w:tabs>
        <w:spacing w:before="241"/>
        <w:ind w:left="982" w:right="0" w:hanging="358"/>
        <w:jc w:val="left"/>
        <w:rPr>
          <w:b/>
          <w:sz w:val="22"/>
        </w:rPr>
      </w:pPr>
      <w:r>
        <w:rPr>
          <w:b/>
          <w:sz w:val="22"/>
        </w:rPr>
        <w:t>Explore</w:t>
      </w:r>
      <w:r>
        <w:rPr>
          <w:b/>
          <w:spacing w:val="-8"/>
          <w:sz w:val="22"/>
        </w:rPr>
        <w:t> </w:t>
      </w:r>
      <w:r>
        <w:rPr>
          <w:b/>
          <w:sz w:val="22"/>
        </w:rPr>
        <w:t>the</w:t>
      </w:r>
      <w:r>
        <w:rPr>
          <w:b/>
          <w:spacing w:val="-8"/>
          <w:sz w:val="22"/>
        </w:rPr>
        <w:t> </w:t>
      </w:r>
      <w:r>
        <w:rPr>
          <w:b/>
          <w:sz w:val="22"/>
        </w:rPr>
        <w:t>creation</w:t>
      </w:r>
      <w:r>
        <w:rPr>
          <w:b/>
          <w:spacing w:val="-8"/>
          <w:sz w:val="22"/>
        </w:rPr>
        <w:t> </w:t>
      </w:r>
      <w:r>
        <w:rPr>
          <w:b/>
          <w:sz w:val="22"/>
        </w:rPr>
        <w:t>and</w:t>
      </w:r>
      <w:r>
        <w:rPr>
          <w:b/>
          <w:spacing w:val="-7"/>
          <w:sz w:val="22"/>
        </w:rPr>
        <w:t> </w:t>
      </w:r>
      <w:r>
        <w:rPr>
          <w:b/>
          <w:sz w:val="22"/>
        </w:rPr>
        <w:t>hiring</w:t>
      </w:r>
      <w:r>
        <w:rPr>
          <w:b/>
          <w:spacing w:val="-7"/>
          <w:sz w:val="22"/>
        </w:rPr>
        <w:t> </w:t>
      </w:r>
      <w:r>
        <w:rPr>
          <w:b/>
          <w:sz w:val="22"/>
        </w:rPr>
        <w:t>of</w:t>
      </w:r>
      <w:r>
        <w:rPr>
          <w:b/>
          <w:spacing w:val="-9"/>
          <w:sz w:val="22"/>
        </w:rPr>
        <w:t> </w:t>
      </w:r>
      <w:r>
        <w:rPr>
          <w:b/>
          <w:sz w:val="22"/>
        </w:rPr>
        <w:t>a</w:t>
      </w:r>
      <w:r>
        <w:rPr>
          <w:b/>
          <w:spacing w:val="-7"/>
          <w:sz w:val="22"/>
        </w:rPr>
        <w:t> </w:t>
      </w:r>
      <w:r>
        <w:rPr>
          <w:b/>
          <w:sz w:val="22"/>
        </w:rPr>
        <w:t>full-time</w:t>
      </w:r>
      <w:r>
        <w:rPr>
          <w:b/>
          <w:spacing w:val="-7"/>
          <w:sz w:val="22"/>
        </w:rPr>
        <w:t> </w:t>
      </w:r>
      <w:r>
        <w:rPr>
          <w:b/>
          <w:sz w:val="22"/>
        </w:rPr>
        <w:t>DTA-specific</w:t>
      </w:r>
      <w:r>
        <w:rPr>
          <w:b/>
          <w:spacing w:val="-9"/>
          <w:sz w:val="22"/>
        </w:rPr>
        <w:t> </w:t>
      </w:r>
      <w:r>
        <w:rPr>
          <w:b/>
          <w:sz w:val="22"/>
        </w:rPr>
        <w:t>LGBTQ</w:t>
      </w:r>
      <w:r>
        <w:rPr>
          <w:b/>
          <w:spacing w:val="-7"/>
          <w:sz w:val="22"/>
        </w:rPr>
        <w:t> </w:t>
      </w:r>
      <w:r>
        <w:rPr>
          <w:b/>
          <w:sz w:val="22"/>
        </w:rPr>
        <w:t>outreach</w:t>
      </w:r>
      <w:r>
        <w:rPr>
          <w:b/>
          <w:spacing w:val="-8"/>
          <w:sz w:val="22"/>
        </w:rPr>
        <w:t> </w:t>
      </w:r>
      <w:r>
        <w:rPr>
          <w:b/>
          <w:sz w:val="22"/>
        </w:rPr>
        <w:t>specialist</w:t>
      </w:r>
      <w:r>
        <w:rPr>
          <w:b/>
          <w:spacing w:val="-8"/>
          <w:sz w:val="22"/>
        </w:rPr>
        <w:t> </w:t>
      </w:r>
      <w:r>
        <w:rPr>
          <w:b/>
          <w:spacing w:val="-2"/>
          <w:sz w:val="22"/>
        </w:rPr>
        <w:t>position.</w:t>
      </w:r>
    </w:p>
    <w:p>
      <w:pPr>
        <w:pStyle w:val="BodyText"/>
        <w:spacing w:before="105"/>
        <w:rPr>
          <w:b/>
        </w:rPr>
      </w:pPr>
    </w:p>
    <w:p>
      <w:pPr>
        <w:pStyle w:val="BodyText"/>
        <w:spacing w:line="360" w:lineRule="auto"/>
        <w:ind w:left="483" w:right="261" w:hanging="1"/>
        <w:jc w:val="both"/>
      </w:pPr>
      <w:r>
        <w:rPr/>
        <w:t>Over the past few years, the Commission has been pleased to see Massachusetts state agencies take seriously the unique needs of LGBTQ youth in the Commonwealth by creating specific LGBTQ-oriented positions as outreach &amp; community specialists, program directors, and more within their agencies. In FY 2024,</w:t>
      </w:r>
      <w:r>
        <w:rPr>
          <w:spacing w:val="-2"/>
        </w:rPr>
        <w:t> </w:t>
      </w:r>
      <w:r>
        <w:rPr/>
        <w:t>the</w:t>
      </w:r>
      <w:r>
        <w:rPr>
          <w:spacing w:val="-2"/>
        </w:rPr>
        <w:t> </w:t>
      </w:r>
      <w:r>
        <w:rPr/>
        <w:t>Commission</w:t>
      </w:r>
      <w:r>
        <w:rPr>
          <w:spacing w:val="-2"/>
        </w:rPr>
        <w:t> </w:t>
      </w:r>
      <w:r>
        <w:rPr/>
        <w:t>created</w:t>
      </w:r>
      <w:r>
        <w:rPr>
          <w:spacing w:val="-2"/>
        </w:rPr>
        <w:t> </w:t>
      </w:r>
      <w:r>
        <w:rPr/>
        <w:t>a</w:t>
      </w:r>
      <w:r>
        <w:rPr>
          <w:spacing w:val="-1"/>
        </w:rPr>
        <w:t> </w:t>
      </w:r>
      <w:r>
        <w:rPr/>
        <w:t>recommendation</w:t>
      </w:r>
      <w:r>
        <w:rPr>
          <w:spacing w:val="-2"/>
        </w:rPr>
        <w:t> </w:t>
      </w:r>
      <w:r>
        <w:rPr/>
        <w:t>for</w:t>
      </w:r>
      <w:r>
        <w:rPr>
          <w:spacing w:val="-2"/>
        </w:rPr>
        <w:t> </w:t>
      </w:r>
      <w:r>
        <w:rPr/>
        <w:t>DTA</w:t>
      </w:r>
      <w:r>
        <w:rPr>
          <w:spacing w:val="-2"/>
        </w:rPr>
        <w:t> </w:t>
      </w:r>
      <w:r>
        <w:rPr/>
        <w:t>to</w:t>
      </w:r>
      <w:r>
        <w:rPr>
          <w:spacing w:val="-1"/>
        </w:rPr>
        <w:t> </w:t>
      </w:r>
      <w:r>
        <w:rPr/>
        <w:t>create</w:t>
      </w:r>
      <w:r>
        <w:rPr>
          <w:spacing w:val="-2"/>
        </w:rPr>
        <w:t> </w:t>
      </w:r>
      <w:r>
        <w:rPr/>
        <w:t>a</w:t>
      </w:r>
      <w:r>
        <w:rPr>
          <w:spacing w:val="-1"/>
        </w:rPr>
        <w:t> </w:t>
      </w:r>
      <w:r>
        <w:rPr/>
        <w:t>specific</w:t>
      </w:r>
      <w:r>
        <w:rPr>
          <w:spacing w:val="-1"/>
        </w:rPr>
        <w:t> </w:t>
      </w:r>
      <w:r>
        <w:rPr/>
        <w:t>position</w:t>
      </w:r>
      <w:r>
        <w:rPr>
          <w:spacing w:val="-2"/>
        </w:rPr>
        <w:t> </w:t>
      </w:r>
      <w:r>
        <w:rPr/>
        <w:t>for</w:t>
      </w:r>
      <w:r>
        <w:rPr>
          <w:spacing w:val="-2"/>
        </w:rPr>
        <w:t> </w:t>
      </w:r>
      <w:r>
        <w:rPr/>
        <w:t>LGBTQ</w:t>
      </w:r>
      <w:r>
        <w:rPr>
          <w:spacing w:val="-2"/>
        </w:rPr>
        <w:t> </w:t>
      </w:r>
      <w:r>
        <w:rPr/>
        <w:t>internal and</w:t>
      </w:r>
      <w:r>
        <w:rPr>
          <w:spacing w:val="39"/>
        </w:rPr>
        <w:t> </w:t>
      </w:r>
      <w:r>
        <w:rPr/>
        <w:t>external</w:t>
      </w:r>
      <w:r>
        <w:rPr>
          <w:spacing w:val="39"/>
        </w:rPr>
        <w:t> </w:t>
      </w:r>
      <w:r>
        <w:rPr/>
        <w:t>work.</w:t>
      </w:r>
      <w:r>
        <w:rPr>
          <w:spacing w:val="40"/>
        </w:rPr>
        <w:t> </w:t>
      </w:r>
      <w:r>
        <w:rPr/>
        <w:t>These</w:t>
      </w:r>
      <w:r>
        <w:rPr>
          <w:spacing w:val="40"/>
        </w:rPr>
        <w:t> </w:t>
      </w:r>
      <w:r>
        <w:rPr/>
        <w:t>positions</w:t>
      </w:r>
      <w:r>
        <w:rPr>
          <w:spacing w:val="40"/>
        </w:rPr>
        <w:t> </w:t>
      </w:r>
      <w:r>
        <w:rPr/>
        <w:t>are</w:t>
      </w:r>
      <w:r>
        <w:rPr>
          <w:spacing w:val="39"/>
        </w:rPr>
        <w:t> </w:t>
      </w:r>
      <w:r>
        <w:rPr/>
        <w:t>often</w:t>
      </w:r>
      <w:r>
        <w:rPr>
          <w:spacing w:val="40"/>
        </w:rPr>
        <w:t> </w:t>
      </w:r>
      <w:r>
        <w:rPr/>
        <w:t>tasked</w:t>
      </w:r>
      <w:r>
        <w:rPr>
          <w:spacing w:val="39"/>
        </w:rPr>
        <w:t> </w:t>
      </w:r>
      <w:r>
        <w:rPr/>
        <w:t>with</w:t>
      </w:r>
      <w:r>
        <w:rPr>
          <w:spacing w:val="40"/>
        </w:rPr>
        <w:t> </w:t>
      </w:r>
      <w:r>
        <w:rPr/>
        <w:t>overseeing</w:t>
      </w:r>
      <w:r>
        <w:rPr>
          <w:spacing w:val="39"/>
        </w:rPr>
        <w:t> </w:t>
      </w:r>
      <w:r>
        <w:rPr/>
        <w:t>DEI</w:t>
      </w:r>
      <w:r>
        <w:rPr>
          <w:spacing w:val="40"/>
        </w:rPr>
        <w:t> </w:t>
      </w:r>
      <w:r>
        <w:rPr/>
        <w:t>&amp;</w:t>
      </w:r>
      <w:r>
        <w:rPr>
          <w:spacing w:val="40"/>
        </w:rPr>
        <w:t> </w:t>
      </w:r>
      <w:r>
        <w:rPr/>
        <w:t>training</w:t>
      </w:r>
      <w:r>
        <w:rPr>
          <w:spacing w:val="39"/>
        </w:rPr>
        <w:t> </w:t>
      </w:r>
      <w:r>
        <w:rPr/>
        <w:t>work</w:t>
      </w:r>
      <w:r>
        <w:rPr>
          <w:spacing w:val="39"/>
        </w:rPr>
        <w:t> </w:t>
      </w:r>
      <w:r>
        <w:rPr/>
        <w:t>internally,</w:t>
      </w:r>
    </w:p>
    <w:p>
      <w:pPr>
        <w:spacing w:after="0" w:line="360" w:lineRule="auto"/>
        <w:jc w:val="both"/>
        <w:sectPr>
          <w:pgSz w:w="12240" w:h="15840"/>
          <w:pgMar w:header="804" w:footer="1263" w:top="1000" w:bottom="1460" w:left="960" w:right="1100"/>
        </w:sectPr>
      </w:pPr>
    </w:p>
    <w:p>
      <w:pPr>
        <w:pStyle w:val="BodyText"/>
        <w:spacing w:before="98"/>
      </w:pPr>
    </w:p>
    <w:p>
      <w:pPr>
        <w:pStyle w:val="BodyText"/>
        <w:spacing w:line="360" w:lineRule="auto"/>
        <w:ind w:left="483" w:right="259"/>
        <w:jc w:val="both"/>
      </w:pPr>
      <w:r>
        <w:rPr/>
        <w:t>external outreach, and resource development. While this is a great deal of work for one staff person to oversee,</w:t>
      </w:r>
      <w:r>
        <w:rPr>
          <w:spacing w:val="-13"/>
        </w:rPr>
        <w:t> </w:t>
      </w:r>
      <w:r>
        <w:rPr/>
        <w:t>the</w:t>
      </w:r>
      <w:r>
        <w:rPr>
          <w:spacing w:val="-12"/>
        </w:rPr>
        <w:t> </w:t>
      </w:r>
      <w:r>
        <w:rPr/>
        <w:t>Commission</w:t>
      </w:r>
      <w:r>
        <w:rPr>
          <w:spacing w:val="-13"/>
        </w:rPr>
        <w:t> </w:t>
      </w:r>
      <w:r>
        <w:rPr/>
        <w:t>hopes</w:t>
      </w:r>
      <w:r>
        <w:rPr>
          <w:spacing w:val="-12"/>
        </w:rPr>
        <w:t> </w:t>
      </w:r>
      <w:r>
        <w:rPr/>
        <w:t>that</w:t>
      </w:r>
      <w:r>
        <w:rPr>
          <w:spacing w:val="-13"/>
        </w:rPr>
        <w:t> </w:t>
      </w:r>
      <w:r>
        <w:rPr/>
        <w:t>agencies</w:t>
      </w:r>
      <w:r>
        <w:rPr>
          <w:spacing w:val="-12"/>
        </w:rPr>
        <w:t> </w:t>
      </w:r>
      <w:r>
        <w:rPr/>
        <w:t>continue</w:t>
      </w:r>
      <w:r>
        <w:rPr>
          <w:spacing w:val="-13"/>
        </w:rPr>
        <w:t> </w:t>
      </w:r>
      <w:r>
        <w:rPr/>
        <w:t>to</w:t>
      </w:r>
      <w:r>
        <w:rPr>
          <w:spacing w:val="-12"/>
        </w:rPr>
        <w:t> </w:t>
      </w:r>
      <w:r>
        <w:rPr/>
        <w:t>develop</w:t>
      </w:r>
      <w:r>
        <w:rPr>
          <w:spacing w:val="-12"/>
        </w:rPr>
        <w:t> </w:t>
      </w:r>
      <w:r>
        <w:rPr/>
        <w:t>these</w:t>
      </w:r>
      <w:r>
        <w:rPr>
          <w:spacing w:val="-13"/>
        </w:rPr>
        <w:t> </w:t>
      </w:r>
      <w:r>
        <w:rPr/>
        <w:t>offices</w:t>
      </w:r>
      <w:r>
        <w:rPr>
          <w:spacing w:val="-12"/>
        </w:rPr>
        <w:t> </w:t>
      </w:r>
      <w:r>
        <w:rPr/>
        <w:t>internally</w:t>
      </w:r>
      <w:r>
        <w:rPr>
          <w:spacing w:val="-13"/>
        </w:rPr>
        <w:t> </w:t>
      </w:r>
      <w:r>
        <w:rPr/>
        <w:t>to</w:t>
      </w:r>
      <w:r>
        <w:rPr>
          <w:spacing w:val="-12"/>
        </w:rPr>
        <w:t> </w:t>
      </w:r>
      <w:r>
        <w:rPr/>
        <w:t>build</w:t>
      </w:r>
      <w:r>
        <w:rPr>
          <w:spacing w:val="-13"/>
        </w:rPr>
        <w:t> </w:t>
      </w:r>
      <w:r>
        <w:rPr/>
        <w:t>capacity, and</w:t>
      </w:r>
      <w:r>
        <w:rPr>
          <w:spacing w:val="-5"/>
        </w:rPr>
        <w:t> </w:t>
      </w:r>
      <w:r>
        <w:rPr/>
        <w:t>more</w:t>
      </w:r>
      <w:r>
        <w:rPr>
          <w:spacing w:val="-4"/>
        </w:rPr>
        <w:t> </w:t>
      </w:r>
      <w:r>
        <w:rPr/>
        <w:t>community-based</w:t>
      </w:r>
      <w:r>
        <w:rPr>
          <w:spacing w:val="-5"/>
        </w:rPr>
        <w:t> </w:t>
      </w:r>
      <w:r>
        <w:rPr/>
        <w:t>outreach</w:t>
      </w:r>
      <w:r>
        <w:rPr>
          <w:spacing w:val="-4"/>
        </w:rPr>
        <w:t> </w:t>
      </w:r>
      <w:r>
        <w:rPr/>
        <w:t>efforts.</w:t>
      </w:r>
      <w:r>
        <w:rPr>
          <w:spacing w:val="-5"/>
        </w:rPr>
        <w:t> </w:t>
      </w:r>
      <w:r>
        <w:rPr/>
        <w:t>While</w:t>
      </w:r>
      <w:r>
        <w:rPr>
          <w:spacing w:val="-4"/>
        </w:rPr>
        <w:t> </w:t>
      </w:r>
      <w:r>
        <w:rPr/>
        <w:t>DTA</w:t>
      </w:r>
      <w:r>
        <w:rPr>
          <w:spacing w:val="-5"/>
        </w:rPr>
        <w:t> </w:t>
      </w:r>
      <w:r>
        <w:rPr/>
        <w:t>has</w:t>
      </w:r>
      <w:r>
        <w:rPr>
          <w:spacing w:val="-5"/>
        </w:rPr>
        <w:t> </w:t>
      </w:r>
      <w:r>
        <w:rPr/>
        <w:t>been</w:t>
      </w:r>
      <w:r>
        <w:rPr>
          <w:spacing w:val="-5"/>
        </w:rPr>
        <w:t> </w:t>
      </w:r>
      <w:r>
        <w:rPr/>
        <w:t>unable</w:t>
      </w:r>
      <w:r>
        <w:rPr>
          <w:spacing w:val="-5"/>
        </w:rPr>
        <w:t> </w:t>
      </w:r>
      <w:r>
        <w:rPr/>
        <w:t>to</w:t>
      </w:r>
      <w:r>
        <w:rPr>
          <w:spacing w:val="-3"/>
        </w:rPr>
        <w:t> </w:t>
      </w:r>
      <w:r>
        <w:rPr/>
        <w:t>establish</w:t>
      </w:r>
      <w:r>
        <w:rPr>
          <w:spacing w:val="-5"/>
        </w:rPr>
        <w:t> </w:t>
      </w:r>
      <w:r>
        <w:rPr/>
        <w:t>such</w:t>
      </w:r>
      <w:r>
        <w:rPr>
          <w:spacing w:val="-4"/>
        </w:rPr>
        <w:t> </w:t>
      </w:r>
      <w:r>
        <w:rPr/>
        <w:t>a</w:t>
      </w:r>
      <w:r>
        <w:rPr>
          <w:spacing w:val="-5"/>
        </w:rPr>
        <w:t> </w:t>
      </w:r>
      <w:r>
        <w:rPr/>
        <w:t>position</w:t>
      </w:r>
      <w:r>
        <w:rPr>
          <w:spacing w:val="-5"/>
        </w:rPr>
        <w:t> </w:t>
      </w:r>
      <w:r>
        <w:rPr/>
        <w:t>yet, the</w:t>
      </w:r>
      <w:r>
        <w:rPr>
          <w:spacing w:val="-3"/>
        </w:rPr>
        <w:t> </w:t>
      </w:r>
      <w:r>
        <w:rPr/>
        <w:t>Commission</w:t>
      </w:r>
      <w:r>
        <w:rPr>
          <w:spacing w:val="-3"/>
        </w:rPr>
        <w:t> </w:t>
      </w:r>
      <w:r>
        <w:rPr/>
        <w:t>understands</w:t>
      </w:r>
      <w:r>
        <w:rPr>
          <w:spacing w:val="-3"/>
        </w:rPr>
        <w:t> </w:t>
      </w:r>
      <w:r>
        <w:rPr/>
        <w:t>the</w:t>
      </w:r>
      <w:r>
        <w:rPr>
          <w:spacing w:val="-3"/>
        </w:rPr>
        <w:t> </w:t>
      </w:r>
      <w:r>
        <w:rPr/>
        <w:t>various</w:t>
      </w:r>
      <w:r>
        <w:rPr>
          <w:spacing w:val="-3"/>
        </w:rPr>
        <w:t> </w:t>
      </w:r>
      <w:r>
        <w:rPr/>
        <w:t>challenges</w:t>
      </w:r>
      <w:r>
        <w:rPr>
          <w:spacing w:val="-2"/>
        </w:rPr>
        <w:t> </w:t>
      </w:r>
      <w:r>
        <w:rPr/>
        <w:t>that</w:t>
      </w:r>
      <w:r>
        <w:rPr>
          <w:spacing w:val="-3"/>
        </w:rPr>
        <w:t> </w:t>
      </w:r>
      <w:r>
        <w:rPr/>
        <w:t>have</w:t>
      </w:r>
      <w:r>
        <w:rPr>
          <w:spacing w:val="-3"/>
        </w:rPr>
        <w:t> </w:t>
      </w:r>
      <w:r>
        <w:rPr/>
        <w:t>popped</w:t>
      </w:r>
      <w:r>
        <w:rPr>
          <w:spacing w:val="-3"/>
        </w:rPr>
        <w:t> </w:t>
      </w:r>
      <w:r>
        <w:rPr/>
        <w:t>up</w:t>
      </w:r>
      <w:r>
        <w:rPr>
          <w:spacing w:val="-3"/>
        </w:rPr>
        <w:t> </w:t>
      </w:r>
      <w:r>
        <w:rPr/>
        <w:t>that</w:t>
      </w:r>
      <w:r>
        <w:rPr>
          <w:spacing w:val="-3"/>
        </w:rPr>
        <w:t> </w:t>
      </w:r>
      <w:r>
        <w:rPr/>
        <w:t>have</w:t>
      </w:r>
      <w:r>
        <w:rPr>
          <w:spacing w:val="-3"/>
        </w:rPr>
        <w:t> </w:t>
      </w:r>
      <w:r>
        <w:rPr/>
        <w:t>delayed</w:t>
      </w:r>
      <w:r>
        <w:rPr>
          <w:spacing w:val="-2"/>
        </w:rPr>
        <w:t> </w:t>
      </w:r>
      <w:r>
        <w:rPr/>
        <w:t>many</w:t>
      </w:r>
      <w:r>
        <w:rPr>
          <w:spacing w:val="-3"/>
        </w:rPr>
        <w:t> </w:t>
      </w:r>
      <w:r>
        <w:rPr/>
        <w:t>agency initiatives and is encouraged by its conversations over FY 2024 about next steps for FY 2025.</w:t>
      </w:r>
    </w:p>
    <w:p>
      <w:pPr>
        <w:numPr>
          <w:ilvl w:val="2"/>
          <w:numId w:val="43"/>
        </w:numPr>
        <w:tabs>
          <w:tab w:pos="981" w:val="left" w:leader="none"/>
          <w:tab w:pos="983" w:val="left" w:leader="none"/>
        </w:tabs>
        <w:spacing w:line="360" w:lineRule="auto" w:before="240"/>
        <w:ind w:left="983" w:right="263" w:hanging="360"/>
        <w:jc w:val="left"/>
        <w:rPr>
          <w:b/>
          <w:sz w:val="22"/>
        </w:rPr>
      </w:pPr>
      <w:r>
        <w:rPr>
          <w:b/>
          <w:sz w:val="22"/>
        </w:rPr>
        <w:t>Continue</w:t>
      </w:r>
      <w:r>
        <w:rPr>
          <w:b/>
          <w:spacing w:val="40"/>
          <w:sz w:val="22"/>
        </w:rPr>
        <w:t> </w:t>
      </w:r>
      <w:r>
        <w:rPr>
          <w:b/>
          <w:sz w:val="22"/>
        </w:rPr>
        <w:t>to</w:t>
      </w:r>
      <w:r>
        <w:rPr>
          <w:b/>
          <w:spacing w:val="40"/>
          <w:sz w:val="22"/>
        </w:rPr>
        <w:t> </w:t>
      </w:r>
      <w:r>
        <w:rPr>
          <w:b/>
          <w:sz w:val="22"/>
        </w:rPr>
        <w:t>review</w:t>
      </w:r>
      <w:r>
        <w:rPr>
          <w:b/>
          <w:spacing w:val="40"/>
          <w:sz w:val="22"/>
        </w:rPr>
        <w:t> </w:t>
      </w:r>
      <w:r>
        <w:rPr>
          <w:b/>
          <w:sz w:val="22"/>
        </w:rPr>
        <w:t>opportunities</w:t>
      </w:r>
      <w:r>
        <w:rPr>
          <w:b/>
          <w:spacing w:val="40"/>
          <w:sz w:val="22"/>
        </w:rPr>
        <w:t> </w:t>
      </w:r>
      <w:r>
        <w:rPr>
          <w:b/>
          <w:sz w:val="22"/>
        </w:rPr>
        <w:t>to</w:t>
      </w:r>
      <w:r>
        <w:rPr>
          <w:b/>
          <w:spacing w:val="40"/>
          <w:sz w:val="22"/>
        </w:rPr>
        <w:t> </w:t>
      </w:r>
      <w:r>
        <w:rPr>
          <w:b/>
          <w:sz w:val="22"/>
        </w:rPr>
        <w:t>collect</w:t>
      </w:r>
      <w:r>
        <w:rPr>
          <w:b/>
          <w:spacing w:val="40"/>
          <w:sz w:val="22"/>
        </w:rPr>
        <w:t> </w:t>
      </w:r>
      <w:r>
        <w:rPr>
          <w:b/>
          <w:sz w:val="22"/>
        </w:rPr>
        <w:t>inclusive</w:t>
      </w:r>
      <w:r>
        <w:rPr>
          <w:b/>
          <w:spacing w:val="40"/>
          <w:sz w:val="22"/>
        </w:rPr>
        <w:t> </w:t>
      </w:r>
      <w:r>
        <w:rPr>
          <w:b/>
          <w:sz w:val="22"/>
        </w:rPr>
        <w:t>SOGIE</w:t>
      </w:r>
      <w:r>
        <w:rPr>
          <w:b/>
          <w:spacing w:val="40"/>
          <w:sz w:val="22"/>
        </w:rPr>
        <w:t> </w:t>
      </w:r>
      <w:r>
        <w:rPr>
          <w:b/>
          <w:sz w:val="22"/>
        </w:rPr>
        <w:t>data</w:t>
      </w:r>
      <w:r>
        <w:rPr>
          <w:b/>
          <w:spacing w:val="40"/>
          <w:sz w:val="22"/>
        </w:rPr>
        <w:t> </w:t>
      </w:r>
      <w:r>
        <w:rPr>
          <w:b/>
          <w:sz w:val="22"/>
        </w:rPr>
        <w:t>information,</w:t>
      </w:r>
      <w:r>
        <w:rPr>
          <w:b/>
          <w:spacing w:val="40"/>
          <w:sz w:val="22"/>
        </w:rPr>
        <w:t> </w:t>
      </w:r>
      <w:r>
        <w:rPr>
          <w:b/>
          <w:sz w:val="22"/>
        </w:rPr>
        <w:t>and</w:t>
      </w:r>
      <w:r>
        <w:rPr>
          <w:b/>
          <w:spacing w:val="40"/>
          <w:sz w:val="22"/>
        </w:rPr>
        <w:t> </w:t>
      </w:r>
      <w:r>
        <w:rPr>
          <w:b/>
          <w:sz w:val="22"/>
        </w:rPr>
        <w:t>update</w:t>
      </w:r>
      <w:r>
        <w:rPr>
          <w:b/>
          <w:spacing w:val="40"/>
          <w:sz w:val="22"/>
        </w:rPr>
        <w:t> </w:t>
      </w:r>
      <w:r>
        <w:rPr>
          <w:b/>
          <w:sz w:val="22"/>
        </w:rPr>
        <w:t>IT systems to include new data fields where appropriate.</w:t>
      </w:r>
    </w:p>
    <w:p>
      <w:pPr>
        <w:pStyle w:val="BodyText"/>
        <w:spacing w:line="360" w:lineRule="auto" w:before="240"/>
        <w:ind w:left="483" w:right="262"/>
        <w:jc w:val="both"/>
      </w:pPr>
      <w:r>
        <w:rPr/>
        <w:t>The Commission has been working with DTA for several years to examine areas where inclusive data on SOGI</w:t>
      </w:r>
      <w:r>
        <w:rPr>
          <w:spacing w:val="-13"/>
        </w:rPr>
        <w:t> </w:t>
      </w:r>
      <w:r>
        <w:rPr/>
        <w:t>can</w:t>
      </w:r>
      <w:r>
        <w:rPr>
          <w:spacing w:val="-12"/>
        </w:rPr>
        <w:t> </w:t>
      </w:r>
      <w:r>
        <w:rPr/>
        <w:t>be</w:t>
      </w:r>
      <w:r>
        <w:rPr>
          <w:spacing w:val="-13"/>
        </w:rPr>
        <w:t> </w:t>
      </w:r>
      <w:r>
        <w:rPr/>
        <w:t>collected.</w:t>
      </w:r>
      <w:r>
        <w:rPr>
          <w:spacing w:val="-12"/>
        </w:rPr>
        <w:t> </w:t>
      </w:r>
      <w:r>
        <w:rPr/>
        <w:t>Currently,</w:t>
      </w:r>
      <w:r>
        <w:rPr>
          <w:spacing w:val="-13"/>
        </w:rPr>
        <w:t> </w:t>
      </w:r>
      <w:r>
        <w:rPr/>
        <w:t>DTA’s</w:t>
      </w:r>
      <w:r>
        <w:rPr>
          <w:spacing w:val="-12"/>
        </w:rPr>
        <w:t> </w:t>
      </w:r>
      <w:r>
        <w:rPr/>
        <w:t>data</w:t>
      </w:r>
      <w:r>
        <w:rPr>
          <w:spacing w:val="-13"/>
        </w:rPr>
        <w:t> </w:t>
      </w:r>
      <w:r>
        <w:rPr/>
        <w:t>collection</w:t>
      </w:r>
      <w:r>
        <w:rPr>
          <w:spacing w:val="-12"/>
        </w:rPr>
        <w:t> </w:t>
      </w:r>
      <w:r>
        <w:rPr/>
        <w:t>is</w:t>
      </w:r>
      <w:r>
        <w:rPr>
          <w:spacing w:val="-12"/>
        </w:rPr>
        <w:t> </w:t>
      </w:r>
      <w:r>
        <w:rPr/>
        <w:t>limited</w:t>
      </w:r>
      <w:r>
        <w:rPr>
          <w:spacing w:val="-13"/>
        </w:rPr>
        <w:t> </w:t>
      </w:r>
      <w:r>
        <w:rPr/>
        <w:t>to</w:t>
      </w:r>
      <w:r>
        <w:rPr>
          <w:spacing w:val="-12"/>
        </w:rPr>
        <w:t> </w:t>
      </w:r>
      <w:r>
        <w:rPr/>
        <w:t>demographic</w:t>
      </w:r>
      <w:r>
        <w:rPr>
          <w:spacing w:val="-13"/>
        </w:rPr>
        <w:t> </w:t>
      </w:r>
      <w:r>
        <w:rPr/>
        <w:t>info</w:t>
      </w:r>
      <w:r>
        <w:rPr>
          <w:spacing w:val="-12"/>
        </w:rPr>
        <w:t> </w:t>
      </w:r>
      <w:r>
        <w:rPr/>
        <w:t>on</w:t>
      </w:r>
      <w:r>
        <w:rPr>
          <w:spacing w:val="-13"/>
        </w:rPr>
        <w:t> </w:t>
      </w:r>
      <w:r>
        <w:rPr/>
        <w:t>race</w:t>
      </w:r>
      <w:r>
        <w:rPr>
          <w:spacing w:val="-12"/>
        </w:rPr>
        <w:t> </w:t>
      </w:r>
      <w:r>
        <w:rPr/>
        <w:t>and</w:t>
      </w:r>
      <w:r>
        <w:rPr>
          <w:spacing w:val="-12"/>
        </w:rPr>
        <w:t> </w:t>
      </w:r>
      <w:r>
        <w:rPr/>
        <w:t>biological sex. DTA notes that the vast majority of its data collection happens through the SNAP program which is heavily regulated by the federal government; as noted in the Eliminating Barriers to Services section, federal forms often inhibit inclusive data collection efforts at the state level. Additionally, outdated IT systems often take an enormous amount of effort and time to update to include better data fields or tracking. However, without the appropriate information, agencies cannot ensure that their services are reaching target populations, like LGBTQ youth, particularly if they are only tracking sex-assigned-at-birth markers</w:t>
      </w:r>
      <w:r>
        <w:rPr>
          <w:spacing w:val="-6"/>
        </w:rPr>
        <w:t> </w:t>
      </w:r>
      <w:r>
        <w:rPr/>
        <w:t>rather</w:t>
      </w:r>
      <w:r>
        <w:rPr>
          <w:spacing w:val="-6"/>
        </w:rPr>
        <w:t> </w:t>
      </w:r>
      <w:r>
        <w:rPr/>
        <w:t>than</w:t>
      </w:r>
      <w:r>
        <w:rPr>
          <w:spacing w:val="-5"/>
        </w:rPr>
        <w:t> </w:t>
      </w:r>
      <w:r>
        <w:rPr/>
        <w:t>gender</w:t>
      </w:r>
      <w:r>
        <w:rPr>
          <w:spacing w:val="-6"/>
        </w:rPr>
        <w:t> </w:t>
      </w:r>
      <w:r>
        <w:rPr/>
        <w:t>identity/expression</w:t>
      </w:r>
      <w:r>
        <w:rPr>
          <w:spacing w:val="-7"/>
        </w:rPr>
        <w:t> </w:t>
      </w:r>
      <w:r>
        <w:rPr/>
        <w:t>markers.</w:t>
      </w:r>
      <w:r>
        <w:rPr>
          <w:spacing w:val="-7"/>
        </w:rPr>
        <w:t> </w:t>
      </w:r>
      <w:r>
        <w:rPr/>
        <w:t>The</w:t>
      </w:r>
      <w:r>
        <w:rPr>
          <w:spacing w:val="-7"/>
        </w:rPr>
        <w:t> </w:t>
      </w:r>
      <w:r>
        <w:rPr/>
        <w:t>Commission</w:t>
      </w:r>
      <w:r>
        <w:rPr>
          <w:spacing w:val="-7"/>
        </w:rPr>
        <w:t> </w:t>
      </w:r>
      <w:r>
        <w:rPr/>
        <w:t>has</w:t>
      </w:r>
      <w:r>
        <w:rPr>
          <w:spacing w:val="-6"/>
        </w:rPr>
        <w:t> </w:t>
      </w:r>
      <w:r>
        <w:rPr/>
        <w:t>received</w:t>
      </w:r>
      <w:r>
        <w:rPr>
          <w:spacing w:val="-7"/>
        </w:rPr>
        <w:t> </w:t>
      </w:r>
      <w:r>
        <w:rPr/>
        <w:t>updates</w:t>
      </w:r>
      <w:r>
        <w:rPr>
          <w:spacing w:val="-6"/>
        </w:rPr>
        <w:t> </w:t>
      </w:r>
      <w:r>
        <w:rPr/>
        <w:t>from</w:t>
      </w:r>
      <w:r>
        <w:rPr>
          <w:spacing w:val="-7"/>
        </w:rPr>
        <w:t> </w:t>
      </w:r>
      <w:r>
        <w:rPr/>
        <w:t>DTA noting that there is a need for the agency to hire a new chief technology officer to oversee IT updates. Additionally,</w:t>
      </w:r>
      <w:r>
        <w:rPr>
          <w:spacing w:val="-6"/>
        </w:rPr>
        <w:t> </w:t>
      </w:r>
      <w:r>
        <w:rPr/>
        <w:t>much</w:t>
      </w:r>
      <w:r>
        <w:rPr>
          <w:spacing w:val="-8"/>
        </w:rPr>
        <w:t> </w:t>
      </w:r>
      <w:r>
        <w:rPr/>
        <w:t>of</w:t>
      </w:r>
      <w:r>
        <w:rPr>
          <w:spacing w:val="-8"/>
        </w:rPr>
        <w:t> </w:t>
      </w:r>
      <w:r>
        <w:rPr/>
        <w:t>the</w:t>
      </w:r>
      <w:r>
        <w:rPr>
          <w:spacing w:val="-8"/>
        </w:rPr>
        <w:t> </w:t>
      </w:r>
      <w:r>
        <w:rPr/>
        <w:t>focus</w:t>
      </w:r>
      <w:r>
        <w:rPr>
          <w:spacing w:val="-7"/>
        </w:rPr>
        <w:t> </w:t>
      </w:r>
      <w:r>
        <w:rPr/>
        <w:t>of</w:t>
      </w:r>
      <w:r>
        <w:rPr>
          <w:spacing w:val="-8"/>
        </w:rPr>
        <w:t> </w:t>
      </w:r>
      <w:r>
        <w:rPr/>
        <w:t>the</w:t>
      </w:r>
      <w:r>
        <w:rPr>
          <w:spacing w:val="-8"/>
        </w:rPr>
        <w:t> </w:t>
      </w:r>
      <w:r>
        <w:rPr/>
        <w:t>SNAP</w:t>
      </w:r>
      <w:r>
        <w:rPr>
          <w:spacing w:val="-7"/>
        </w:rPr>
        <w:t> </w:t>
      </w:r>
      <w:r>
        <w:rPr/>
        <w:t>program</w:t>
      </w:r>
      <w:r>
        <w:rPr>
          <w:spacing w:val="-7"/>
        </w:rPr>
        <w:t> </w:t>
      </w:r>
      <w:r>
        <w:rPr/>
        <w:t>has</w:t>
      </w:r>
      <w:r>
        <w:rPr>
          <w:spacing w:val="-7"/>
        </w:rPr>
        <w:t> </w:t>
      </w:r>
      <w:r>
        <w:rPr/>
        <w:t>focused</w:t>
      </w:r>
      <w:r>
        <w:rPr>
          <w:spacing w:val="-6"/>
        </w:rPr>
        <w:t> </w:t>
      </w:r>
      <w:r>
        <w:rPr/>
        <w:t>on</w:t>
      </w:r>
      <w:r>
        <w:rPr>
          <w:spacing w:val="-8"/>
        </w:rPr>
        <w:t> </w:t>
      </w:r>
      <w:r>
        <w:rPr/>
        <w:t>ensuring</w:t>
      </w:r>
      <w:r>
        <w:rPr>
          <w:spacing w:val="-8"/>
        </w:rPr>
        <w:t> </w:t>
      </w:r>
      <w:r>
        <w:rPr/>
        <w:t>that</w:t>
      </w:r>
      <w:r>
        <w:rPr>
          <w:spacing w:val="-8"/>
        </w:rPr>
        <w:t> </w:t>
      </w:r>
      <w:r>
        <w:rPr/>
        <w:t>resources</w:t>
      </w:r>
      <w:r>
        <w:rPr>
          <w:spacing w:val="-6"/>
        </w:rPr>
        <w:t> </w:t>
      </w:r>
      <w:r>
        <w:rPr/>
        <w:t>are</w:t>
      </w:r>
      <w:r>
        <w:rPr>
          <w:spacing w:val="-8"/>
        </w:rPr>
        <w:t> </w:t>
      </w:r>
      <w:r>
        <w:rPr/>
        <w:t>set</w:t>
      </w:r>
      <w:r>
        <w:rPr>
          <w:spacing w:val="-7"/>
        </w:rPr>
        <w:t> </w:t>
      </w:r>
      <w:r>
        <w:rPr/>
        <w:t>up</w:t>
      </w:r>
      <w:r>
        <w:rPr>
          <w:spacing w:val="-8"/>
        </w:rPr>
        <w:t> </w:t>
      </w:r>
      <w:r>
        <w:rPr/>
        <w:t>for new arrivals in the state, leaving little capacity for other areas of work. The Commission looks forward to continuing conversations around improving data collecting with DTA in FY 2025.</w:t>
      </w:r>
    </w:p>
    <w:p>
      <w:pPr>
        <w:numPr>
          <w:ilvl w:val="2"/>
          <w:numId w:val="43"/>
        </w:numPr>
        <w:tabs>
          <w:tab w:pos="981" w:val="left" w:leader="none"/>
          <w:tab w:pos="983" w:val="left" w:leader="none"/>
        </w:tabs>
        <w:spacing w:line="360" w:lineRule="auto" w:before="241"/>
        <w:ind w:left="983" w:right="262" w:hanging="360"/>
        <w:jc w:val="left"/>
        <w:rPr>
          <w:b/>
          <w:sz w:val="22"/>
        </w:rPr>
      </w:pPr>
      <w:r>
        <w:rPr>
          <w:b/>
          <w:sz w:val="22"/>
        </w:rPr>
        <w:t>Expand</w:t>
      </w:r>
      <w:r>
        <w:rPr>
          <w:b/>
          <w:spacing w:val="40"/>
          <w:sz w:val="22"/>
        </w:rPr>
        <w:t> </w:t>
      </w:r>
      <w:r>
        <w:rPr>
          <w:b/>
          <w:sz w:val="22"/>
        </w:rPr>
        <w:t>intersectional</w:t>
      </w:r>
      <w:r>
        <w:rPr>
          <w:b/>
          <w:spacing w:val="40"/>
          <w:sz w:val="22"/>
        </w:rPr>
        <w:t> </w:t>
      </w:r>
      <w:r>
        <w:rPr>
          <w:b/>
          <w:sz w:val="22"/>
        </w:rPr>
        <w:t>LGBTQ</w:t>
      </w:r>
      <w:r>
        <w:rPr>
          <w:b/>
          <w:spacing w:val="40"/>
          <w:sz w:val="22"/>
        </w:rPr>
        <w:t> </w:t>
      </w:r>
      <w:r>
        <w:rPr>
          <w:b/>
          <w:sz w:val="22"/>
        </w:rPr>
        <w:t>training</w:t>
      </w:r>
      <w:r>
        <w:rPr>
          <w:b/>
          <w:spacing w:val="40"/>
          <w:sz w:val="22"/>
        </w:rPr>
        <w:t> </w:t>
      </w:r>
      <w:r>
        <w:rPr>
          <w:b/>
          <w:sz w:val="22"/>
        </w:rPr>
        <w:t>efforts</w:t>
      </w:r>
      <w:r>
        <w:rPr>
          <w:b/>
          <w:spacing w:val="40"/>
          <w:sz w:val="22"/>
        </w:rPr>
        <w:t> </w:t>
      </w:r>
      <w:r>
        <w:rPr>
          <w:b/>
          <w:sz w:val="22"/>
        </w:rPr>
        <w:t>and</w:t>
      </w:r>
      <w:r>
        <w:rPr>
          <w:b/>
          <w:spacing w:val="40"/>
          <w:sz w:val="22"/>
        </w:rPr>
        <w:t> </w:t>
      </w:r>
      <w:r>
        <w:rPr>
          <w:b/>
          <w:sz w:val="22"/>
        </w:rPr>
        <w:t>mandate</w:t>
      </w:r>
      <w:r>
        <w:rPr>
          <w:b/>
          <w:spacing w:val="40"/>
          <w:sz w:val="22"/>
        </w:rPr>
        <w:t> </w:t>
      </w:r>
      <w:r>
        <w:rPr>
          <w:b/>
          <w:sz w:val="22"/>
        </w:rPr>
        <w:t>racial</w:t>
      </w:r>
      <w:r>
        <w:rPr>
          <w:b/>
          <w:spacing w:val="40"/>
          <w:sz w:val="22"/>
        </w:rPr>
        <w:t> </w:t>
      </w:r>
      <w:r>
        <w:rPr>
          <w:b/>
          <w:sz w:val="22"/>
        </w:rPr>
        <w:t>equity</w:t>
      </w:r>
      <w:r>
        <w:rPr>
          <w:b/>
          <w:spacing w:val="40"/>
          <w:sz w:val="22"/>
        </w:rPr>
        <w:t> </w:t>
      </w:r>
      <w:r>
        <w:rPr>
          <w:b/>
          <w:sz w:val="22"/>
        </w:rPr>
        <w:t>trainings</w:t>
      </w:r>
      <w:r>
        <w:rPr>
          <w:b/>
          <w:spacing w:val="40"/>
          <w:sz w:val="22"/>
        </w:rPr>
        <w:t> </w:t>
      </w:r>
      <w:r>
        <w:rPr>
          <w:b/>
          <w:sz w:val="22"/>
        </w:rPr>
        <w:t>for</w:t>
      </w:r>
      <w:r>
        <w:rPr>
          <w:b/>
          <w:spacing w:val="40"/>
          <w:sz w:val="22"/>
        </w:rPr>
        <w:t> </w:t>
      </w:r>
      <w:r>
        <w:rPr>
          <w:b/>
          <w:sz w:val="22"/>
        </w:rPr>
        <w:t>all</w:t>
      </w:r>
      <w:r>
        <w:rPr>
          <w:b/>
          <w:spacing w:val="40"/>
          <w:sz w:val="22"/>
        </w:rPr>
        <w:t> </w:t>
      </w:r>
      <w:r>
        <w:rPr>
          <w:b/>
          <w:sz w:val="22"/>
        </w:rPr>
        <w:t>DTA </w:t>
      </w:r>
      <w:r>
        <w:rPr>
          <w:b/>
          <w:spacing w:val="-2"/>
          <w:sz w:val="22"/>
        </w:rPr>
        <w:t>employees.</w:t>
      </w:r>
    </w:p>
    <w:p>
      <w:pPr>
        <w:pStyle w:val="BodyText"/>
        <w:spacing w:line="360" w:lineRule="auto" w:before="199"/>
        <w:ind w:left="483" w:right="260" w:hanging="1"/>
        <w:jc w:val="both"/>
      </w:pPr>
      <w:r>
        <w:rPr/>
        <w:t>Training</w:t>
      </w:r>
      <w:r>
        <w:rPr>
          <w:spacing w:val="-3"/>
        </w:rPr>
        <w:t> </w:t>
      </w:r>
      <w:r>
        <w:rPr/>
        <w:t>on</w:t>
      </w:r>
      <w:r>
        <w:rPr>
          <w:spacing w:val="-3"/>
        </w:rPr>
        <w:t> </w:t>
      </w:r>
      <w:r>
        <w:rPr/>
        <w:t>LGBTQ</w:t>
      </w:r>
      <w:r>
        <w:rPr>
          <w:spacing w:val="-3"/>
        </w:rPr>
        <w:t> </w:t>
      </w:r>
      <w:r>
        <w:rPr/>
        <w:t>culture</w:t>
      </w:r>
      <w:r>
        <w:rPr>
          <w:spacing w:val="-3"/>
        </w:rPr>
        <w:t> </w:t>
      </w:r>
      <w:r>
        <w:rPr/>
        <w:t>and</w:t>
      </w:r>
      <w:r>
        <w:rPr>
          <w:spacing w:val="-3"/>
        </w:rPr>
        <w:t> </w:t>
      </w:r>
      <w:r>
        <w:rPr/>
        <w:t>experiences</w:t>
      </w:r>
      <w:r>
        <w:rPr>
          <w:spacing w:val="-4"/>
        </w:rPr>
        <w:t> </w:t>
      </w:r>
      <w:r>
        <w:rPr/>
        <w:t>is</w:t>
      </w:r>
      <w:r>
        <w:rPr>
          <w:spacing w:val="-2"/>
        </w:rPr>
        <w:t> </w:t>
      </w:r>
      <w:r>
        <w:rPr/>
        <w:t>essential</w:t>
      </w:r>
      <w:r>
        <w:rPr>
          <w:spacing w:val="-4"/>
        </w:rPr>
        <w:t> </w:t>
      </w:r>
      <w:r>
        <w:rPr/>
        <w:t>for</w:t>
      </w:r>
      <w:r>
        <w:rPr>
          <w:spacing w:val="-4"/>
        </w:rPr>
        <w:t> </w:t>
      </w:r>
      <w:r>
        <w:rPr/>
        <w:t>every</w:t>
      </w:r>
      <w:r>
        <w:rPr>
          <w:spacing w:val="-3"/>
        </w:rPr>
        <w:t> </w:t>
      </w:r>
      <w:r>
        <w:rPr/>
        <w:t>state</w:t>
      </w:r>
      <w:r>
        <w:rPr>
          <w:spacing w:val="-4"/>
        </w:rPr>
        <w:t> </w:t>
      </w:r>
      <w:r>
        <w:rPr/>
        <w:t>agency</w:t>
      </w:r>
      <w:r>
        <w:rPr>
          <w:spacing w:val="-3"/>
        </w:rPr>
        <w:t> </w:t>
      </w:r>
      <w:r>
        <w:rPr/>
        <w:t>employee</w:t>
      </w:r>
      <w:r>
        <w:rPr>
          <w:spacing w:val="-3"/>
        </w:rPr>
        <w:t> </w:t>
      </w:r>
      <w:r>
        <w:rPr/>
        <w:t>-</w:t>
      </w:r>
      <w:r>
        <w:rPr>
          <w:spacing w:val="-5"/>
        </w:rPr>
        <w:t> </w:t>
      </w:r>
      <w:r>
        <w:rPr/>
        <w:t>those</w:t>
      </w:r>
      <w:r>
        <w:rPr>
          <w:spacing w:val="-4"/>
        </w:rPr>
        <w:t> </w:t>
      </w:r>
      <w:r>
        <w:rPr/>
        <w:t>who</w:t>
      </w:r>
      <w:r>
        <w:rPr>
          <w:spacing w:val="-4"/>
        </w:rPr>
        <w:t> </w:t>
      </w:r>
      <w:r>
        <w:rPr/>
        <w:t>work on</w:t>
      </w:r>
      <w:r>
        <w:rPr>
          <w:spacing w:val="-13"/>
        </w:rPr>
        <w:t> </w:t>
      </w:r>
      <w:r>
        <w:rPr/>
        <w:t>the</w:t>
      </w:r>
      <w:r>
        <w:rPr>
          <w:spacing w:val="-12"/>
        </w:rPr>
        <w:t> </w:t>
      </w:r>
      <w:r>
        <w:rPr/>
        <w:t>ground</w:t>
      </w:r>
      <w:r>
        <w:rPr>
          <w:spacing w:val="-13"/>
        </w:rPr>
        <w:t> </w:t>
      </w:r>
      <w:r>
        <w:rPr/>
        <w:t>in</w:t>
      </w:r>
      <w:r>
        <w:rPr>
          <w:spacing w:val="-12"/>
        </w:rPr>
        <w:t> </w:t>
      </w:r>
      <w:r>
        <w:rPr/>
        <w:t>direct</w:t>
      </w:r>
      <w:r>
        <w:rPr>
          <w:spacing w:val="-13"/>
        </w:rPr>
        <w:t> </w:t>
      </w:r>
      <w:r>
        <w:rPr/>
        <w:t>contact</w:t>
      </w:r>
      <w:r>
        <w:rPr>
          <w:spacing w:val="-12"/>
        </w:rPr>
        <w:t> </w:t>
      </w:r>
      <w:r>
        <w:rPr/>
        <w:t>with</w:t>
      </w:r>
      <w:r>
        <w:rPr>
          <w:spacing w:val="-13"/>
        </w:rPr>
        <w:t> </w:t>
      </w:r>
      <w:r>
        <w:rPr/>
        <w:t>communities,</w:t>
      </w:r>
      <w:r>
        <w:rPr>
          <w:spacing w:val="-12"/>
        </w:rPr>
        <w:t> </w:t>
      </w:r>
      <w:r>
        <w:rPr/>
        <w:t>and</w:t>
      </w:r>
      <w:r>
        <w:rPr>
          <w:spacing w:val="-12"/>
        </w:rPr>
        <w:t> </w:t>
      </w:r>
      <w:r>
        <w:rPr/>
        <w:t>internal</w:t>
      </w:r>
      <w:r>
        <w:rPr>
          <w:spacing w:val="-13"/>
        </w:rPr>
        <w:t> </w:t>
      </w:r>
      <w:r>
        <w:rPr/>
        <w:t>employees</w:t>
      </w:r>
      <w:r>
        <w:rPr>
          <w:spacing w:val="-12"/>
        </w:rPr>
        <w:t> </w:t>
      </w:r>
      <w:r>
        <w:rPr/>
        <w:t>who</w:t>
      </w:r>
      <w:r>
        <w:rPr>
          <w:spacing w:val="-13"/>
        </w:rPr>
        <w:t> </w:t>
      </w:r>
      <w:r>
        <w:rPr/>
        <w:t>create</w:t>
      </w:r>
      <w:r>
        <w:rPr>
          <w:spacing w:val="-12"/>
        </w:rPr>
        <w:t> </w:t>
      </w:r>
      <w:r>
        <w:rPr/>
        <w:t>policies,</w:t>
      </w:r>
      <w:r>
        <w:rPr>
          <w:spacing w:val="-13"/>
        </w:rPr>
        <w:t> </w:t>
      </w:r>
      <w:r>
        <w:rPr/>
        <w:t>procedures, and systems to serve communities. Furthermore, it is essential that all of these trainings incorporate an intersectional approach that highlights racial equity, among other areas. The Commission continues to recommend</w:t>
      </w:r>
      <w:r>
        <w:rPr>
          <w:spacing w:val="-13"/>
        </w:rPr>
        <w:t> </w:t>
      </w:r>
      <w:r>
        <w:rPr/>
        <w:t>that</w:t>
      </w:r>
      <w:r>
        <w:rPr>
          <w:spacing w:val="-12"/>
        </w:rPr>
        <w:t> </w:t>
      </w:r>
      <w:r>
        <w:rPr/>
        <w:t>DTA</w:t>
      </w:r>
      <w:r>
        <w:rPr>
          <w:spacing w:val="-13"/>
        </w:rPr>
        <w:t> </w:t>
      </w:r>
      <w:r>
        <w:rPr/>
        <w:t>mandate</w:t>
      </w:r>
      <w:r>
        <w:rPr>
          <w:spacing w:val="-12"/>
        </w:rPr>
        <w:t> </w:t>
      </w:r>
      <w:r>
        <w:rPr/>
        <w:t>trainings</w:t>
      </w:r>
      <w:r>
        <w:rPr>
          <w:spacing w:val="-13"/>
        </w:rPr>
        <w:t> </w:t>
      </w:r>
      <w:r>
        <w:rPr/>
        <w:t>for</w:t>
      </w:r>
      <w:r>
        <w:rPr>
          <w:spacing w:val="-12"/>
        </w:rPr>
        <w:t> </w:t>
      </w:r>
      <w:r>
        <w:rPr/>
        <w:t>all</w:t>
      </w:r>
      <w:r>
        <w:rPr>
          <w:spacing w:val="-13"/>
        </w:rPr>
        <w:t> </w:t>
      </w:r>
      <w:r>
        <w:rPr/>
        <w:t>employees</w:t>
      </w:r>
      <w:r>
        <w:rPr>
          <w:spacing w:val="-12"/>
        </w:rPr>
        <w:t> </w:t>
      </w:r>
      <w:r>
        <w:rPr/>
        <w:t>that</w:t>
      </w:r>
      <w:r>
        <w:rPr>
          <w:spacing w:val="-12"/>
        </w:rPr>
        <w:t> </w:t>
      </w:r>
      <w:r>
        <w:rPr/>
        <w:t>center</w:t>
      </w:r>
      <w:r>
        <w:rPr>
          <w:spacing w:val="-13"/>
        </w:rPr>
        <w:t> </w:t>
      </w:r>
      <w:r>
        <w:rPr/>
        <w:t>an</w:t>
      </w:r>
      <w:r>
        <w:rPr>
          <w:spacing w:val="-12"/>
        </w:rPr>
        <w:t> </w:t>
      </w:r>
      <w:r>
        <w:rPr/>
        <w:t>intersectional</w:t>
      </w:r>
      <w:r>
        <w:rPr>
          <w:spacing w:val="-13"/>
        </w:rPr>
        <w:t> </w:t>
      </w:r>
      <w:r>
        <w:rPr/>
        <w:t>approach</w:t>
      </w:r>
      <w:r>
        <w:rPr>
          <w:spacing w:val="-12"/>
        </w:rPr>
        <w:t> </w:t>
      </w:r>
      <w:r>
        <w:rPr/>
        <w:t>to</w:t>
      </w:r>
      <w:r>
        <w:rPr>
          <w:spacing w:val="-12"/>
        </w:rPr>
        <w:t> </w:t>
      </w:r>
      <w:r>
        <w:rPr/>
        <w:t>LGBTQ and</w:t>
      </w:r>
      <w:r>
        <w:rPr>
          <w:spacing w:val="-6"/>
        </w:rPr>
        <w:t> </w:t>
      </w:r>
      <w:r>
        <w:rPr/>
        <w:t>racial</w:t>
      </w:r>
      <w:r>
        <w:rPr>
          <w:spacing w:val="-6"/>
        </w:rPr>
        <w:t> </w:t>
      </w:r>
      <w:r>
        <w:rPr/>
        <w:t>equity,</w:t>
      </w:r>
      <w:r>
        <w:rPr>
          <w:spacing w:val="-5"/>
        </w:rPr>
        <w:t> </w:t>
      </w:r>
      <w:r>
        <w:rPr/>
        <w:t>which</w:t>
      </w:r>
      <w:r>
        <w:rPr>
          <w:spacing w:val="-4"/>
        </w:rPr>
        <w:t> </w:t>
      </w:r>
      <w:r>
        <w:rPr/>
        <w:t>has</w:t>
      </w:r>
      <w:r>
        <w:rPr>
          <w:spacing w:val="-5"/>
        </w:rPr>
        <w:t> </w:t>
      </w:r>
      <w:r>
        <w:rPr/>
        <w:t>similarly</w:t>
      </w:r>
      <w:r>
        <w:rPr>
          <w:spacing w:val="-4"/>
        </w:rPr>
        <w:t> </w:t>
      </w:r>
      <w:r>
        <w:rPr/>
        <w:t>been</w:t>
      </w:r>
      <w:r>
        <w:rPr>
          <w:spacing w:val="-4"/>
        </w:rPr>
        <w:t> </w:t>
      </w:r>
      <w:r>
        <w:rPr/>
        <w:t>recommended</w:t>
      </w:r>
      <w:r>
        <w:rPr>
          <w:spacing w:val="-4"/>
        </w:rPr>
        <w:t> </w:t>
      </w:r>
      <w:r>
        <w:rPr/>
        <w:t>by</w:t>
      </w:r>
      <w:r>
        <w:rPr>
          <w:spacing w:val="-4"/>
        </w:rPr>
        <w:t> </w:t>
      </w:r>
      <w:r>
        <w:rPr/>
        <w:t>DTA’s</w:t>
      </w:r>
      <w:r>
        <w:rPr>
          <w:spacing w:val="-5"/>
        </w:rPr>
        <w:t> </w:t>
      </w:r>
      <w:r>
        <w:rPr/>
        <w:t>Diversity</w:t>
      </w:r>
      <w:r>
        <w:rPr>
          <w:spacing w:val="-4"/>
        </w:rPr>
        <w:t> </w:t>
      </w:r>
      <w:r>
        <w:rPr/>
        <w:t>Council.</w:t>
      </w:r>
      <w:r>
        <w:rPr>
          <w:spacing w:val="-4"/>
        </w:rPr>
        <w:t> </w:t>
      </w:r>
      <w:r>
        <w:rPr/>
        <w:t>For</w:t>
      </w:r>
      <w:r>
        <w:rPr>
          <w:spacing w:val="-4"/>
        </w:rPr>
        <w:t> </w:t>
      </w:r>
      <w:r>
        <w:rPr/>
        <w:t>the</w:t>
      </w:r>
      <w:r>
        <w:rPr>
          <w:spacing w:val="-6"/>
        </w:rPr>
        <w:t> </w:t>
      </w:r>
      <w:r>
        <w:rPr/>
        <w:t>remainder</w:t>
      </w:r>
      <w:r>
        <w:rPr>
          <w:spacing w:val="-4"/>
        </w:rPr>
        <w:t> </w:t>
      </w:r>
      <w:r>
        <w:rPr/>
        <w:t>of FY 2024 and moving into FY 2025, the Commission is aware that DTA’s DEI plan contains intentions to continue to attend the ongoing train-the-trainer sessions through EOHHS.</w:t>
      </w:r>
    </w:p>
    <w:p>
      <w:pPr>
        <w:spacing w:after="0" w:line="360" w:lineRule="auto"/>
        <w:jc w:val="both"/>
        <w:sectPr>
          <w:pgSz w:w="12240" w:h="15840"/>
          <w:pgMar w:header="804" w:footer="1263" w:top="1000" w:bottom="1460" w:left="960" w:right="1100"/>
        </w:sectPr>
      </w:pPr>
    </w:p>
    <w:p>
      <w:pPr>
        <w:pStyle w:val="BodyText"/>
        <w:spacing w:before="98"/>
      </w:pPr>
    </w:p>
    <w:p>
      <w:pPr>
        <w:numPr>
          <w:ilvl w:val="2"/>
          <w:numId w:val="43"/>
        </w:numPr>
        <w:tabs>
          <w:tab w:pos="981" w:val="left" w:leader="none"/>
          <w:tab w:pos="983" w:val="left" w:leader="none"/>
        </w:tabs>
        <w:spacing w:line="360" w:lineRule="auto" w:before="0"/>
        <w:ind w:left="983" w:right="263" w:hanging="360"/>
        <w:jc w:val="left"/>
        <w:rPr>
          <w:b/>
          <w:sz w:val="22"/>
        </w:rPr>
      </w:pPr>
      <w:r>
        <w:rPr>
          <w:b/>
          <w:sz w:val="22"/>
        </w:rPr>
        <w:t>Support</w:t>
      </w:r>
      <w:r>
        <w:rPr>
          <w:b/>
          <w:spacing w:val="40"/>
          <w:sz w:val="22"/>
        </w:rPr>
        <w:t> </w:t>
      </w:r>
      <w:r>
        <w:rPr>
          <w:b/>
          <w:sz w:val="22"/>
        </w:rPr>
        <w:t>internal</w:t>
      </w:r>
      <w:r>
        <w:rPr>
          <w:b/>
          <w:spacing w:val="40"/>
          <w:sz w:val="22"/>
        </w:rPr>
        <w:t> </w:t>
      </w:r>
      <w:r>
        <w:rPr>
          <w:b/>
          <w:sz w:val="22"/>
        </w:rPr>
        <w:t>working</w:t>
      </w:r>
      <w:r>
        <w:rPr>
          <w:b/>
          <w:spacing w:val="40"/>
          <w:sz w:val="22"/>
        </w:rPr>
        <w:t> </w:t>
      </w:r>
      <w:r>
        <w:rPr>
          <w:b/>
          <w:sz w:val="22"/>
        </w:rPr>
        <w:t>groups</w:t>
      </w:r>
      <w:r>
        <w:rPr>
          <w:b/>
          <w:spacing w:val="40"/>
          <w:sz w:val="22"/>
        </w:rPr>
        <w:t> </w:t>
      </w:r>
      <w:r>
        <w:rPr>
          <w:b/>
          <w:sz w:val="22"/>
        </w:rPr>
        <w:t>to</w:t>
      </w:r>
      <w:r>
        <w:rPr>
          <w:b/>
          <w:spacing w:val="40"/>
          <w:sz w:val="22"/>
        </w:rPr>
        <w:t> </w:t>
      </w:r>
      <w:r>
        <w:rPr>
          <w:b/>
          <w:sz w:val="22"/>
        </w:rPr>
        <w:t>uplift</w:t>
      </w:r>
      <w:r>
        <w:rPr>
          <w:b/>
          <w:spacing w:val="40"/>
          <w:sz w:val="22"/>
        </w:rPr>
        <w:t> </w:t>
      </w:r>
      <w:r>
        <w:rPr>
          <w:b/>
          <w:sz w:val="22"/>
        </w:rPr>
        <w:t>conversations</w:t>
      </w:r>
      <w:r>
        <w:rPr>
          <w:b/>
          <w:spacing w:val="40"/>
          <w:sz w:val="22"/>
        </w:rPr>
        <w:t> </w:t>
      </w:r>
      <w:r>
        <w:rPr>
          <w:b/>
          <w:sz w:val="22"/>
        </w:rPr>
        <w:t>&amp;</w:t>
      </w:r>
      <w:r>
        <w:rPr>
          <w:b/>
          <w:spacing w:val="40"/>
          <w:sz w:val="22"/>
        </w:rPr>
        <w:t> </w:t>
      </w:r>
      <w:r>
        <w:rPr>
          <w:b/>
          <w:sz w:val="22"/>
        </w:rPr>
        <w:t>events</w:t>
      </w:r>
      <w:r>
        <w:rPr>
          <w:b/>
          <w:spacing w:val="40"/>
          <w:sz w:val="22"/>
        </w:rPr>
        <w:t> </w:t>
      </w:r>
      <w:r>
        <w:rPr>
          <w:b/>
          <w:sz w:val="22"/>
        </w:rPr>
        <w:t>on</w:t>
      </w:r>
      <w:r>
        <w:rPr>
          <w:b/>
          <w:spacing w:val="40"/>
          <w:sz w:val="22"/>
        </w:rPr>
        <w:t> </w:t>
      </w:r>
      <w:r>
        <w:rPr>
          <w:b/>
          <w:sz w:val="22"/>
        </w:rPr>
        <w:t>intersectionality</w:t>
      </w:r>
      <w:r>
        <w:rPr>
          <w:b/>
          <w:spacing w:val="40"/>
          <w:sz w:val="22"/>
        </w:rPr>
        <w:t> </w:t>
      </w:r>
      <w:r>
        <w:rPr>
          <w:b/>
          <w:sz w:val="22"/>
        </w:rPr>
        <w:t>in</w:t>
      </w:r>
      <w:r>
        <w:rPr>
          <w:b/>
          <w:spacing w:val="40"/>
          <w:sz w:val="22"/>
        </w:rPr>
        <w:t> </w:t>
      </w:r>
      <w:r>
        <w:rPr>
          <w:b/>
          <w:sz w:val="22"/>
        </w:rPr>
        <w:t>the </w:t>
      </w:r>
      <w:r>
        <w:rPr>
          <w:b/>
          <w:spacing w:val="-2"/>
          <w:sz w:val="22"/>
        </w:rPr>
        <w:t>workplace.</w:t>
      </w:r>
    </w:p>
    <w:p>
      <w:pPr>
        <w:pStyle w:val="BodyText"/>
        <w:spacing w:line="360" w:lineRule="auto" w:before="240"/>
        <w:ind w:left="483" w:right="261"/>
        <w:jc w:val="both"/>
      </w:pPr>
      <w:r>
        <w:rPr/>
        <w:t>Over the last year, DTA internal working groups within the Diversity Council have made great strides in extending internal conversations on intersectionality and LGBTQ resources. The Commission appreciates the dedication that DTA has shown in uplifting the voices and experiences of LGBTQ and BIPOC staff members internally. The Commission recommends that DTA continue to expand efforts to uplift conversations</w:t>
      </w:r>
      <w:r>
        <w:rPr>
          <w:spacing w:val="-13"/>
        </w:rPr>
        <w:t> </w:t>
      </w:r>
      <w:r>
        <w:rPr/>
        <w:t>on</w:t>
      </w:r>
      <w:r>
        <w:rPr>
          <w:spacing w:val="-12"/>
        </w:rPr>
        <w:t> </w:t>
      </w:r>
      <w:r>
        <w:rPr/>
        <w:t>intersecting</w:t>
      </w:r>
      <w:r>
        <w:rPr>
          <w:spacing w:val="-13"/>
        </w:rPr>
        <w:t> </w:t>
      </w:r>
      <w:r>
        <w:rPr/>
        <w:t>identities</w:t>
      </w:r>
      <w:r>
        <w:rPr>
          <w:spacing w:val="-12"/>
        </w:rPr>
        <w:t> </w:t>
      </w:r>
      <w:r>
        <w:rPr/>
        <w:t>within</w:t>
      </w:r>
      <w:r>
        <w:rPr>
          <w:spacing w:val="-13"/>
        </w:rPr>
        <w:t> </w:t>
      </w:r>
      <w:r>
        <w:rPr/>
        <w:t>the</w:t>
      </w:r>
      <w:r>
        <w:rPr>
          <w:spacing w:val="-12"/>
        </w:rPr>
        <w:t> </w:t>
      </w:r>
      <w:r>
        <w:rPr/>
        <w:t>workplace,</w:t>
      </w:r>
      <w:r>
        <w:rPr>
          <w:spacing w:val="-13"/>
        </w:rPr>
        <w:t> </w:t>
      </w:r>
      <w:r>
        <w:rPr/>
        <w:t>particularly</w:t>
      </w:r>
      <w:r>
        <w:rPr>
          <w:spacing w:val="-12"/>
        </w:rPr>
        <w:t> </w:t>
      </w:r>
      <w:r>
        <w:rPr/>
        <w:t>around</w:t>
      </w:r>
      <w:r>
        <w:rPr>
          <w:spacing w:val="-12"/>
        </w:rPr>
        <w:t> </w:t>
      </w:r>
      <w:r>
        <w:rPr/>
        <w:t>LGBTQ</w:t>
      </w:r>
      <w:r>
        <w:rPr>
          <w:spacing w:val="-13"/>
        </w:rPr>
        <w:t> </w:t>
      </w:r>
      <w:r>
        <w:rPr/>
        <w:t>&amp;</w:t>
      </w:r>
      <w:r>
        <w:rPr>
          <w:spacing w:val="-12"/>
        </w:rPr>
        <w:t> </w:t>
      </w:r>
      <w:r>
        <w:rPr/>
        <w:t>BIPOC-inclusive workplace environments. The Commission further recommends that DTA examine its own internal demographics to ensure that LGBTQ and BIPOC employees feel supported in the workplace.</w:t>
      </w:r>
    </w:p>
    <w:p>
      <w:pPr>
        <w:numPr>
          <w:ilvl w:val="2"/>
          <w:numId w:val="43"/>
        </w:numPr>
        <w:tabs>
          <w:tab w:pos="981" w:val="left" w:leader="none"/>
          <w:tab w:pos="983" w:val="left" w:leader="none"/>
        </w:tabs>
        <w:spacing w:line="360" w:lineRule="auto" w:before="240"/>
        <w:ind w:left="983" w:right="260" w:hanging="360"/>
        <w:jc w:val="left"/>
        <w:rPr>
          <w:b/>
          <w:sz w:val="22"/>
        </w:rPr>
      </w:pPr>
      <w:r>
        <w:rPr>
          <w:b/>
          <w:sz w:val="22"/>
        </w:rPr>
        <w:t>In partnership with youth, develop resources and outreach materials targeted towards LGBTQ &amp; BIPOC youth to raise awareness about services &amp; programs available.</w:t>
      </w:r>
    </w:p>
    <w:p>
      <w:pPr>
        <w:pStyle w:val="BodyText"/>
        <w:spacing w:line="360" w:lineRule="auto" w:before="241"/>
        <w:ind w:left="483" w:right="261"/>
        <w:jc w:val="both"/>
      </w:pPr>
      <w:r>
        <w:rPr/>
        <w:t>As</w:t>
      </w:r>
      <w:r>
        <w:rPr>
          <w:spacing w:val="-1"/>
        </w:rPr>
        <w:t> </w:t>
      </w:r>
      <w:r>
        <w:rPr/>
        <w:t>noted</w:t>
      </w:r>
      <w:r>
        <w:rPr>
          <w:spacing w:val="-2"/>
        </w:rPr>
        <w:t> </w:t>
      </w:r>
      <w:r>
        <w:rPr/>
        <w:t>in</w:t>
      </w:r>
      <w:r>
        <w:rPr>
          <w:spacing w:val="-1"/>
        </w:rPr>
        <w:t> </w:t>
      </w:r>
      <w:r>
        <w:rPr/>
        <w:t>the</w:t>
      </w:r>
      <w:r>
        <w:rPr>
          <w:spacing w:val="-2"/>
        </w:rPr>
        <w:t> </w:t>
      </w:r>
      <w:r>
        <w:rPr/>
        <w:t>above</w:t>
      </w:r>
      <w:r>
        <w:rPr>
          <w:spacing w:val="-2"/>
        </w:rPr>
        <w:t> </w:t>
      </w:r>
      <w:r>
        <w:rPr/>
        <w:t>research</w:t>
      </w:r>
      <w:r>
        <w:rPr>
          <w:spacing w:val="-2"/>
        </w:rPr>
        <w:t> </w:t>
      </w:r>
      <w:r>
        <w:rPr/>
        <w:t>section,</w:t>
      </w:r>
      <w:r>
        <w:rPr>
          <w:spacing w:val="-2"/>
        </w:rPr>
        <w:t> </w:t>
      </w:r>
      <w:r>
        <w:rPr/>
        <w:t>QTBIPOC</w:t>
      </w:r>
      <w:r>
        <w:rPr>
          <w:spacing w:val="-1"/>
        </w:rPr>
        <w:t> </w:t>
      </w:r>
      <w:r>
        <w:rPr/>
        <w:t>youth</w:t>
      </w:r>
      <w:r>
        <w:rPr>
          <w:spacing w:val="-2"/>
        </w:rPr>
        <w:t> </w:t>
      </w:r>
      <w:r>
        <w:rPr/>
        <w:t>are</w:t>
      </w:r>
      <w:r>
        <w:rPr>
          <w:spacing w:val="-1"/>
        </w:rPr>
        <w:t> </w:t>
      </w:r>
      <w:r>
        <w:rPr/>
        <w:t>more</w:t>
      </w:r>
      <w:r>
        <w:rPr>
          <w:spacing w:val="-1"/>
        </w:rPr>
        <w:t> </w:t>
      </w:r>
      <w:r>
        <w:rPr/>
        <w:t>likely</w:t>
      </w:r>
      <w:r>
        <w:rPr>
          <w:spacing w:val="-2"/>
        </w:rPr>
        <w:t> </w:t>
      </w:r>
      <w:r>
        <w:rPr/>
        <w:t>to</w:t>
      </w:r>
      <w:r>
        <w:rPr>
          <w:spacing w:val="-1"/>
        </w:rPr>
        <w:t> </w:t>
      </w:r>
      <w:r>
        <w:rPr/>
        <w:t>need</w:t>
      </w:r>
      <w:r>
        <w:rPr>
          <w:spacing w:val="-1"/>
        </w:rPr>
        <w:t> </w:t>
      </w:r>
      <w:r>
        <w:rPr/>
        <w:t>services</w:t>
      </w:r>
      <w:r>
        <w:rPr>
          <w:spacing w:val="-1"/>
        </w:rPr>
        <w:t> </w:t>
      </w:r>
      <w:r>
        <w:rPr/>
        <w:t>provided</w:t>
      </w:r>
      <w:r>
        <w:rPr>
          <w:spacing w:val="-2"/>
        </w:rPr>
        <w:t> </w:t>
      </w:r>
      <w:r>
        <w:rPr/>
        <w:t>by</w:t>
      </w:r>
      <w:r>
        <w:rPr>
          <w:spacing w:val="-2"/>
        </w:rPr>
        <w:t> </w:t>
      </w:r>
      <w:r>
        <w:rPr/>
        <w:t>DTA, and, as we are seeing now, are very needed for new arrivals into our community. However, government systems can often be difficult to navigate, or not visible in some communities. The Commission recommends that DTA develop resources and do targeted outreach to LGBTQ &amp; BIPOC communities to raise</w:t>
      </w:r>
      <w:r>
        <w:rPr>
          <w:spacing w:val="-13"/>
        </w:rPr>
        <w:t> </w:t>
      </w:r>
      <w:r>
        <w:rPr/>
        <w:t>awareness</w:t>
      </w:r>
      <w:r>
        <w:rPr>
          <w:spacing w:val="-12"/>
        </w:rPr>
        <w:t> </w:t>
      </w:r>
      <w:r>
        <w:rPr/>
        <w:t>about</w:t>
      </w:r>
      <w:r>
        <w:rPr>
          <w:spacing w:val="-13"/>
        </w:rPr>
        <w:t> </w:t>
      </w:r>
      <w:r>
        <w:rPr/>
        <w:t>DTA</w:t>
      </w:r>
      <w:r>
        <w:rPr>
          <w:spacing w:val="-12"/>
        </w:rPr>
        <w:t> </w:t>
      </w:r>
      <w:r>
        <w:rPr/>
        <w:t>services.</w:t>
      </w:r>
      <w:r>
        <w:rPr>
          <w:spacing w:val="-13"/>
        </w:rPr>
        <w:t> </w:t>
      </w:r>
      <w:r>
        <w:rPr/>
        <w:t>The</w:t>
      </w:r>
      <w:r>
        <w:rPr>
          <w:spacing w:val="-12"/>
        </w:rPr>
        <w:t> </w:t>
      </w:r>
      <w:r>
        <w:rPr/>
        <w:t>Commission</w:t>
      </w:r>
      <w:r>
        <w:rPr>
          <w:spacing w:val="-13"/>
        </w:rPr>
        <w:t> </w:t>
      </w:r>
      <w:r>
        <w:rPr/>
        <w:t>understands</w:t>
      </w:r>
      <w:r>
        <w:rPr>
          <w:spacing w:val="-12"/>
        </w:rPr>
        <w:t> </w:t>
      </w:r>
      <w:r>
        <w:rPr/>
        <w:t>that</w:t>
      </w:r>
      <w:r>
        <w:rPr>
          <w:spacing w:val="-12"/>
        </w:rPr>
        <w:t> </w:t>
      </w:r>
      <w:r>
        <w:rPr/>
        <w:t>the</w:t>
      </w:r>
      <w:r>
        <w:rPr>
          <w:spacing w:val="-13"/>
        </w:rPr>
        <w:t> </w:t>
      </w:r>
      <w:r>
        <w:rPr/>
        <w:t>SNAP</w:t>
      </w:r>
      <w:r>
        <w:rPr>
          <w:spacing w:val="-12"/>
        </w:rPr>
        <w:t> </w:t>
      </w:r>
      <w:r>
        <w:rPr/>
        <w:t>program’s</w:t>
      </w:r>
      <w:r>
        <w:rPr>
          <w:spacing w:val="-12"/>
        </w:rPr>
        <w:t> </w:t>
      </w:r>
      <w:r>
        <w:rPr/>
        <w:t>outreach</w:t>
      </w:r>
      <w:r>
        <w:rPr>
          <w:spacing w:val="-12"/>
        </w:rPr>
        <w:t> </w:t>
      </w:r>
      <w:r>
        <w:rPr/>
        <w:t>team has been consistently attending Pride and other LGBTQ community events across the Commonwealth, which is a great way to boost awareness among community members. Additionally, in early FY 2024, the Commission provided a list of recommendations to DTA for the SNAP team to collaborate with to place kiosks in community organizations frequented by LGBTQ youth to assist them in signing up for SNAP benefits. The Commission looks forward to continuing to hear updates and partner with DTA to educate communities across the Commonwealth on DTA benefits available to them.</w:t>
      </w:r>
    </w:p>
    <w:p>
      <w:pPr>
        <w:spacing w:before="239"/>
        <w:ind w:left="483" w:right="0" w:firstLine="0"/>
        <w:jc w:val="left"/>
        <w:rPr>
          <w:sz w:val="22"/>
        </w:rPr>
      </w:pPr>
      <w:r>
        <w:rPr>
          <w:i/>
          <w:sz w:val="22"/>
        </w:rPr>
        <w:t>Acknowledgments:</w:t>
      </w:r>
      <w:r>
        <w:rPr>
          <w:i/>
          <w:spacing w:val="-10"/>
          <w:sz w:val="22"/>
        </w:rPr>
        <w:t> </w:t>
      </w:r>
      <w:r>
        <w:rPr>
          <w:i/>
          <w:sz w:val="22"/>
        </w:rPr>
        <w:t>The</w:t>
      </w:r>
      <w:r>
        <w:rPr>
          <w:i/>
          <w:spacing w:val="-8"/>
          <w:sz w:val="22"/>
        </w:rPr>
        <w:t> </w:t>
      </w:r>
      <w:r>
        <w:rPr>
          <w:i/>
          <w:sz w:val="22"/>
        </w:rPr>
        <w:t>Commission</w:t>
      </w:r>
      <w:r>
        <w:rPr>
          <w:i/>
          <w:spacing w:val="-9"/>
          <w:sz w:val="22"/>
        </w:rPr>
        <w:t> </w:t>
      </w:r>
      <w:r>
        <w:rPr>
          <w:i/>
          <w:sz w:val="22"/>
        </w:rPr>
        <w:t>sincerely</w:t>
      </w:r>
      <w:r>
        <w:rPr>
          <w:i/>
          <w:spacing w:val="-9"/>
          <w:sz w:val="22"/>
        </w:rPr>
        <w:t> </w:t>
      </w:r>
      <w:r>
        <w:rPr>
          <w:i/>
          <w:sz w:val="22"/>
        </w:rPr>
        <w:t>thanks</w:t>
      </w:r>
      <w:r>
        <w:rPr>
          <w:i/>
          <w:spacing w:val="-9"/>
          <w:sz w:val="22"/>
        </w:rPr>
        <w:t> </w:t>
      </w:r>
      <w:r>
        <w:rPr>
          <w:i/>
          <w:sz w:val="22"/>
        </w:rPr>
        <w:t>the</w:t>
      </w:r>
      <w:r>
        <w:rPr>
          <w:i/>
          <w:spacing w:val="-8"/>
          <w:sz w:val="22"/>
        </w:rPr>
        <w:t> </w:t>
      </w:r>
      <w:r>
        <w:rPr>
          <w:i/>
          <w:sz w:val="22"/>
        </w:rPr>
        <w:t>contributions</w:t>
      </w:r>
      <w:r>
        <w:rPr>
          <w:i/>
          <w:spacing w:val="-9"/>
          <w:sz w:val="22"/>
        </w:rPr>
        <w:t> </w:t>
      </w:r>
      <w:r>
        <w:rPr>
          <w:i/>
          <w:sz w:val="22"/>
        </w:rPr>
        <w:t>of</w:t>
      </w:r>
      <w:r>
        <w:rPr>
          <w:i/>
          <w:spacing w:val="-9"/>
          <w:sz w:val="22"/>
        </w:rPr>
        <w:t> </w:t>
      </w:r>
      <w:r>
        <w:rPr>
          <w:i/>
          <w:sz w:val="22"/>
        </w:rPr>
        <w:t>its</w:t>
      </w:r>
      <w:r>
        <w:rPr>
          <w:i/>
          <w:spacing w:val="-9"/>
          <w:sz w:val="22"/>
        </w:rPr>
        <w:t> </w:t>
      </w:r>
      <w:r>
        <w:rPr>
          <w:i/>
          <w:sz w:val="22"/>
        </w:rPr>
        <w:t>DTA</w:t>
      </w:r>
      <w:r>
        <w:rPr>
          <w:i/>
          <w:spacing w:val="-9"/>
          <w:sz w:val="22"/>
        </w:rPr>
        <w:t> </w:t>
      </w:r>
      <w:r>
        <w:rPr>
          <w:i/>
          <w:sz w:val="22"/>
        </w:rPr>
        <w:t>agency</w:t>
      </w:r>
      <w:r>
        <w:rPr>
          <w:i/>
          <w:spacing w:val="-9"/>
          <w:sz w:val="22"/>
        </w:rPr>
        <w:t> </w:t>
      </w:r>
      <w:r>
        <w:rPr>
          <w:i/>
          <w:spacing w:val="-2"/>
          <w:sz w:val="22"/>
        </w:rPr>
        <w:t>liaisons</w:t>
      </w:r>
      <w:r>
        <w:rPr>
          <w:spacing w:val="-2"/>
          <w:sz w:val="22"/>
        </w:rPr>
        <w:t>.</w:t>
      </w:r>
    </w:p>
    <w:p>
      <w:pPr>
        <w:pStyle w:val="BodyText"/>
        <w:spacing w:before="106"/>
      </w:pPr>
    </w:p>
    <w:p>
      <w:pPr>
        <w:spacing w:before="0"/>
        <w:ind w:left="483" w:right="0" w:firstLine="0"/>
        <w:jc w:val="left"/>
        <w:rPr>
          <w:b/>
          <w:sz w:val="22"/>
        </w:rPr>
      </w:pPr>
      <w:r>
        <w:rPr>
          <w:b/>
          <w:spacing w:val="-2"/>
          <w:sz w:val="22"/>
        </w:rPr>
        <w:t>Citations</w:t>
      </w:r>
    </w:p>
    <w:p>
      <w:pPr>
        <w:pStyle w:val="BodyText"/>
        <w:spacing w:before="105"/>
        <w:rPr>
          <w:b/>
        </w:rPr>
      </w:pPr>
    </w:p>
    <w:p>
      <w:pPr>
        <w:spacing w:before="1"/>
        <w:ind w:left="483" w:right="0" w:firstLine="0"/>
        <w:jc w:val="left"/>
        <w:rPr>
          <w:sz w:val="18"/>
        </w:rPr>
      </w:pPr>
      <w:bookmarkStart w:name="_bookmark640" w:id="947"/>
      <w:bookmarkEnd w:id="947"/>
      <w:r>
        <w:rPr/>
      </w:r>
      <w:r>
        <w:rPr>
          <w:sz w:val="18"/>
          <w:vertAlign w:val="superscript"/>
        </w:rPr>
        <w:t>1</w:t>
      </w:r>
      <w:r>
        <w:rPr>
          <w:spacing w:val="-15"/>
          <w:sz w:val="18"/>
          <w:vertAlign w:val="baseline"/>
        </w:rPr>
        <w:t> </w:t>
      </w:r>
      <w:bookmarkStart w:name="_bookmark641" w:id="948"/>
      <w:bookmarkEnd w:id="948"/>
      <w:r>
        <w:rPr>
          <w:sz w:val="18"/>
          <w:vertAlign w:val="baseline"/>
        </w:rPr>
        <w:t>L</w:t>
      </w:r>
      <w:r>
        <w:rPr>
          <w:sz w:val="18"/>
          <w:vertAlign w:val="baseline"/>
        </w:rPr>
        <w:t>aurie</w:t>
      </w:r>
      <w:r>
        <w:rPr>
          <w:spacing w:val="-10"/>
          <w:sz w:val="18"/>
          <w:vertAlign w:val="baseline"/>
        </w:rPr>
        <w:t> </w:t>
      </w:r>
      <w:r>
        <w:rPr>
          <w:sz w:val="18"/>
          <w:vertAlign w:val="baseline"/>
        </w:rPr>
        <w:t>Ross,</w:t>
      </w:r>
      <w:r>
        <w:rPr>
          <w:spacing w:val="-7"/>
          <w:sz w:val="18"/>
          <w:vertAlign w:val="baseline"/>
        </w:rPr>
        <w:t> </w:t>
      </w:r>
      <w:r>
        <w:rPr>
          <w:sz w:val="18"/>
          <w:vertAlign w:val="baseline"/>
        </w:rPr>
        <w:t>“Massachusetts</w:t>
      </w:r>
      <w:r>
        <w:rPr>
          <w:spacing w:val="-6"/>
          <w:sz w:val="18"/>
          <w:vertAlign w:val="baseline"/>
        </w:rPr>
        <w:t> </w:t>
      </w:r>
      <w:r>
        <w:rPr>
          <w:sz w:val="18"/>
          <w:vertAlign w:val="baseline"/>
        </w:rPr>
        <w:t>2022</w:t>
      </w:r>
      <w:r>
        <w:rPr>
          <w:spacing w:val="-6"/>
          <w:sz w:val="18"/>
          <w:vertAlign w:val="baseline"/>
        </w:rPr>
        <w:t> </w:t>
      </w:r>
      <w:r>
        <w:rPr>
          <w:sz w:val="18"/>
          <w:vertAlign w:val="baseline"/>
        </w:rPr>
        <w:t>Youth</w:t>
      </w:r>
      <w:r>
        <w:rPr>
          <w:spacing w:val="-6"/>
          <w:sz w:val="18"/>
          <w:vertAlign w:val="baseline"/>
        </w:rPr>
        <w:t> </w:t>
      </w:r>
      <w:r>
        <w:rPr>
          <w:sz w:val="18"/>
          <w:vertAlign w:val="baseline"/>
        </w:rPr>
        <w:t>Count,”</w:t>
      </w:r>
      <w:r>
        <w:rPr>
          <w:spacing w:val="-6"/>
          <w:sz w:val="18"/>
          <w:vertAlign w:val="baseline"/>
        </w:rPr>
        <w:t> </w:t>
      </w:r>
      <w:r>
        <w:rPr>
          <w:sz w:val="18"/>
          <w:vertAlign w:val="baseline"/>
        </w:rPr>
        <w:t>2022,</w:t>
      </w:r>
      <w:r>
        <w:rPr>
          <w:spacing w:val="-6"/>
          <w:sz w:val="18"/>
          <w:vertAlign w:val="baseline"/>
        </w:rPr>
        <w:t> </w:t>
      </w:r>
      <w:r>
        <w:rPr>
          <w:sz w:val="18"/>
          <w:vertAlign w:val="baseline"/>
        </w:rPr>
        <w:t>https://</w:t>
      </w:r>
      <w:hyperlink r:id="rId755">
        <w:r>
          <w:rPr>
            <w:sz w:val="18"/>
            <w:vertAlign w:val="baseline"/>
          </w:rPr>
          <w:t>www.mass.gov/doc/2022-youth-count-</w:t>
        </w:r>
        <w:r>
          <w:rPr>
            <w:spacing w:val="-2"/>
            <w:sz w:val="18"/>
            <w:vertAlign w:val="baseline"/>
          </w:rPr>
          <w:t>report/download.</w:t>
        </w:r>
      </w:hyperlink>
    </w:p>
    <w:p>
      <w:pPr>
        <w:spacing w:before="0"/>
        <w:ind w:left="483" w:right="254" w:hanging="1"/>
        <w:jc w:val="left"/>
        <w:rPr>
          <w:sz w:val="18"/>
        </w:rPr>
      </w:pPr>
      <w:r>
        <w:rPr>
          <w:sz w:val="18"/>
          <w:vertAlign w:val="superscript"/>
        </w:rPr>
        <w:t>2</w:t>
      </w:r>
      <w:r>
        <w:rPr>
          <w:spacing w:val="-20"/>
          <w:sz w:val="18"/>
          <w:vertAlign w:val="baseline"/>
        </w:rPr>
        <w:t> </w:t>
      </w:r>
      <w:r>
        <w:rPr>
          <w:sz w:val="18"/>
          <w:vertAlign w:val="baseline"/>
        </w:rPr>
        <w:t>Taylor</w:t>
      </w:r>
      <w:r>
        <w:rPr>
          <w:spacing w:val="-11"/>
          <w:sz w:val="18"/>
          <w:vertAlign w:val="baseline"/>
        </w:rPr>
        <w:t> </w:t>
      </w:r>
      <w:r>
        <w:rPr>
          <w:sz w:val="18"/>
          <w:vertAlign w:val="baseline"/>
        </w:rPr>
        <w:t>N.T.</w:t>
      </w:r>
      <w:r>
        <w:rPr>
          <w:spacing w:val="-11"/>
          <w:sz w:val="18"/>
          <w:vertAlign w:val="baseline"/>
        </w:rPr>
        <w:t> </w:t>
      </w:r>
      <w:r>
        <w:rPr>
          <w:sz w:val="18"/>
          <w:vertAlign w:val="baseline"/>
        </w:rPr>
        <w:t>Brown,</w:t>
      </w:r>
      <w:r>
        <w:rPr>
          <w:spacing w:val="-11"/>
          <w:sz w:val="18"/>
          <w:vertAlign w:val="baseline"/>
        </w:rPr>
        <w:t> </w:t>
      </w:r>
      <w:r>
        <w:rPr>
          <w:sz w:val="18"/>
          <w:vertAlign w:val="baseline"/>
        </w:rPr>
        <w:t>Adam</w:t>
      </w:r>
      <w:r>
        <w:rPr>
          <w:spacing w:val="-11"/>
          <w:sz w:val="18"/>
          <w:vertAlign w:val="baseline"/>
        </w:rPr>
        <w:t> </w:t>
      </w:r>
      <w:r>
        <w:rPr>
          <w:sz w:val="18"/>
          <w:vertAlign w:val="baseline"/>
        </w:rPr>
        <w:t>P.</w:t>
      </w:r>
      <w:r>
        <w:rPr>
          <w:spacing w:val="-11"/>
          <w:sz w:val="18"/>
          <w:vertAlign w:val="baseline"/>
        </w:rPr>
        <w:t> </w:t>
      </w:r>
      <w:r>
        <w:rPr>
          <w:sz w:val="18"/>
          <w:vertAlign w:val="baseline"/>
        </w:rPr>
        <w:t>Romero,</w:t>
      </w:r>
      <w:r>
        <w:rPr>
          <w:spacing w:val="-11"/>
          <w:sz w:val="18"/>
          <w:vertAlign w:val="baseline"/>
        </w:rPr>
        <w:t> </w:t>
      </w:r>
      <w:r>
        <w:rPr>
          <w:sz w:val="18"/>
          <w:vertAlign w:val="baseline"/>
        </w:rPr>
        <w:t>and</w:t>
      </w:r>
      <w:r>
        <w:rPr>
          <w:spacing w:val="-11"/>
          <w:sz w:val="18"/>
          <w:vertAlign w:val="baseline"/>
        </w:rPr>
        <w:t> </w:t>
      </w:r>
      <w:r>
        <w:rPr>
          <w:sz w:val="18"/>
          <w:vertAlign w:val="baseline"/>
        </w:rPr>
        <w:t>Gary</w:t>
      </w:r>
      <w:r>
        <w:rPr>
          <w:spacing w:val="-10"/>
          <w:sz w:val="18"/>
          <w:vertAlign w:val="baseline"/>
        </w:rPr>
        <w:t> </w:t>
      </w:r>
      <w:r>
        <w:rPr>
          <w:sz w:val="18"/>
          <w:vertAlign w:val="baseline"/>
        </w:rPr>
        <w:t>J.</w:t>
      </w:r>
      <w:r>
        <w:rPr>
          <w:spacing w:val="-10"/>
          <w:sz w:val="18"/>
          <w:vertAlign w:val="baseline"/>
        </w:rPr>
        <w:t> </w:t>
      </w:r>
      <w:r>
        <w:rPr>
          <w:sz w:val="18"/>
          <w:vertAlign w:val="baseline"/>
        </w:rPr>
        <w:t>Gates,</w:t>
      </w:r>
      <w:r>
        <w:rPr>
          <w:spacing w:val="-11"/>
          <w:sz w:val="18"/>
          <w:vertAlign w:val="baseline"/>
        </w:rPr>
        <w:t> </w:t>
      </w:r>
      <w:r>
        <w:rPr>
          <w:sz w:val="18"/>
          <w:vertAlign w:val="baseline"/>
        </w:rPr>
        <w:t>“Food</w:t>
      </w:r>
      <w:r>
        <w:rPr>
          <w:spacing w:val="-11"/>
          <w:sz w:val="18"/>
          <w:vertAlign w:val="baseline"/>
        </w:rPr>
        <w:t> </w:t>
      </w:r>
      <w:r>
        <w:rPr>
          <w:sz w:val="18"/>
          <w:vertAlign w:val="baseline"/>
        </w:rPr>
        <w:t>Insecurity</w:t>
      </w:r>
      <w:r>
        <w:rPr>
          <w:spacing w:val="-10"/>
          <w:sz w:val="18"/>
          <w:vertAlign w:val="baseline"/>
        </w:rPr>
        <w:t> </w:t>
      </w:r>
      <w:r>
        <w:rPr>
          <w:sz w:val="18"/>
          <w:vertAlign w:val="baseline"/>
        </w:rPr>
        <w:t>and</w:t>
      </w:r>
      <w:r>
        <w:rPr>
          <w:spacing w:val="-10"/>
          <w:sz w:val="18"/>
          <w:vertAlign w:val="baseline"/>
        </w:rPr>
        <w:t> </w:t>
      </w:r>
      <w:r>
        <w:rPr>
          <w:sz w:val="18"/>
          <w:vertAlign w:val="baseline"/>
        </w:rPr>
        <w:t>SNAP</w:t>
      </w:r>
      <w:r>
        <w:rPr>
          <w:spacing w:val="-11"/>
          <w:sz w:val="18"/>
          <w:vertAlign w:val="baseline"/>
        </w:rPr>
        <w:t> </w:t>
      </w:r>
      <w:r>
        <w:rPr>
          <w:sz w:val="18"/>
          <w:vertAlign w:val="baseline"/>
        </w:rPr>
        <w:t>Participation</w:t>
      </w:r>
      <w:r>
        <w:rPr>
          <w:spacing w:val="-11"/>
          <w:sz w:val="18"/>
          <w:vertAlign w:val="baseline"/>
        </w:rPr>
        <w:t> </w:t>
      </w:r>
      <w:r>
        <w:rPr>
          <w:sz w:val="18"/>
          <w:vertAlign w:val="baseline"/>
        </w:rPr>
        <w:t>in</w:t>
      </w:r>
      <w:r>
        <w:rPr>
          <w:spacing w:val="-10"/>
          <w:sz w:val="18"/>
          <w:vertAlign w:val="baseline"/>
        </w:rPr>
        <w:t> </w:t>
      </w:r>
      <w:r>
        <w:rPr>
          <w:sz w:val="18"/>
          <w:vertAlign w:val="baseline"/>
        </w:rPr>
        <w:t>the</w:t>
      </w:r>
      <w:r>
        <w:rPr>
          <w:spacing w:val="-10"/>
          <w:sz w:val="18"/>
          <w:vertAlign w:val="baseline"/>
        </w:rPr>
        <w:t> </w:t>
      </w:r>
      <w:r>
        <w:rPr>
          <w:sz w:val="18"/>
          <w:vertAlign w:val="baseline"/>
        </w:rPr>
        <w:t>LGBT</w:t>
      </w:r>
      <w:r>
        <w:rPr>
          <w:spacing w:val="-11"/>
          <w:sz w:val="18"/>
          <w:vertAlign w:val="baseline"/>
        </w:rPr>
        <w:t> </w:t>
      </w:r>
      <w:r>
        <w:rPr>
          <w:sz w:val="18"/>
          <w:vertAlign w:val="baseline"/>
        </w:rPr>
        <w:t>Community,”</w:t>
      </w:r>
      <w:r>
        <w:rPr>
          <w:spacing w:val="-10"/>
          <w:sz w:val="18"/>
          <w:vertAlign w:val="baseline"/>
        </w:rPr>
        <w:t> </w:t>
      </w:r>
      <w:r>
        <w:rPr>
          <w:sz w:val="18"/>
          <w:vertAlign w:val="baseline"/>
        </w:rPr>
        <w:t>Williams </w:t>
      </w:r>
      <w:bookmarkStart w:name="_bookmark642" w:id="949"/>
      <w:bookmarkEnd w:id="949"/>
      <w:r>
        <w:rPr>
          <w:sz w:val="18"/>
          <w:vertAlign w:val="baseline"/>
        </w:rPr>
        <w:t>Ins</w:t>
      </w:r>
      <w:r>
        <w:rPr>
          <w:sz w:val="18"/>
          <w:vertAlign w:val="baseline"/>
        </w:rPr>
        <w:t>titute, July 2016, https://williamsinstitute.law.ucla.edu/publications/lgbt-food-insecurity-snap/.</w:t>
      </w:r>
    </w:p>
    <w:p>
      <w:pPr>
        <w:spacing w:line="219" w:lineRule="exact" w:before="0"/>
        <w:ind w:left="483" w:right="0" w:firstLine="0"/>
        <w:jc w:val="left"/>
        <w:rPr>
          <w:sz w:val="18"/>
        </w:rPr>
      </w:pPr>
      <w:r>
        <w:rPr>
          <w:sz w:val="18"/>
          <w:vertAlign w:val="superscript"/>
        </w:rPr>
        <w:t>3</w:t>
      </w:r>
      <w:r>
        <w:rPr>
          <w:spacing w:val="-15"/>
          <w:sz w:val="18"/>
          <w:vertAlign w:val="baseline"/>
        </w:rPr>
        <w:t> </w:t>
      </w:r>
      <w:r>
        <w:rPr>
          <w:sz w:val="18"/>
          <w:vertAlign w:val="baseline"/>
        </w:rPr>
        <w:t>Margaux</w:t>
      </w:r>
      <w:r>
        <w:rPr>
          <w:spacing w:val="-4"/>
          <w:sz w:val="18"/>
          <w:vertAlign w:val="baseline"/>
        </w:rPr>
        <w:t> </w:t>
      </w:r>
      <w:r>
        <w:rPr>
          <w:sz w:val="18"/>
          <w:vertAlign w:val="baseline"/>
        </w:rPr>
        <w:t>Johnson-Green</w:t>
      </w:r>
      <w:r>
        <w:rPr>
          <w:spacing w:val="-2"/>
          <w:sz w:val="18"/>
          <w:vertAlign w:val="baseline"/>
        </w:rPr>
        <w:t> </w:t>
      </w:r>
      <w:r>
        <w:rPr>
          <w:sz w:val="18"/>
          <w:vertAlign w:val="baseline"/>
        </w:rPr>
        <w:t>and</w:t>
      </w:r>
      <w:r>
        <w:rPr>
          <w:spacing w:val="-2"/>
          <w:sz w:val="18"/>
          <w:vertAlign w:val="baseline"/>
        </w:rPr>
        <w:t> </w:t>
      </w:r>
      <w:r>
        <w:rPr>
          <w:sz w:val="18"/>
          <w:vertAlign w:val="baseline"/>
        </w:rPr>
        <w:t>Cara</w:t>
      </w:r>
      <w:r>
        <w:rPr>
          <w:spacing w:val="-2"/>
          <w:sz w:val="18"/>
          <w:vertAlign w:val="baseline"/>
        </w:rPr>
        <w:t> </w:t>
      </w:r>
      <w:r>
        <w:rPr>
          <w:sz w:val="18"/>
          <w:vertAlign w:val="baseline"/>
        </w:rPr>
        <w:t>Claflin,</w:t>
      </w:r>
      <w:r>
        <w:rPr>
          <w:spacing w:val="-3"/>
          <w:sz w:val="18"/>
          <w:vertAlign w:val="baseline"/>
        </w:rPr>
        <w:t> </w:t>
      </w:r>
      <w:r>
        <w:rPr>
          <w:sz w:val="18"/>
          <w:vertAlign w:val="baseline"/>
        </w:rPr>
        <w:t>“Gender</w:t>
      </w:r>
      <w:r>
        <w:rPr>
          <w:spacing w:val="-4"/>
          <w:sz w:val="18"/>
          <w:vertAlign w:val="baseline"/>
        </w:rPr>
        <w:t> </w:t>
      </w:r>
      <w:r>
        <w:rPr>
          <w:sz w:val="18"/>
          <w:vertAlign w:val="baseline"/>
        </w:rPr>
        <w:t>and</w:t>
      </w:r>
      <w:r>
        <w:rPr>
          <w:spacing w:val="-2"/>
          <w:sz w:val="18"/>
          <w:vertAlign w:val="baseline"/>
        </w:rPr>
        <w:t> </w:t>
      </w:r>
      <w:r>
        <w:rPr>
          <w:sz w:val="18"/>
          <w:vertAlign w:val="baseline"/>
        </w:rPr>
        <w:t>Racial</w:t>
      </w:r>
      <w:r>
        <w:rPr>
          <w:spacing w:val="-3"/>
          <w:sz w:val="18"/>
          <w:vertAlign w:val="baseline"/>
        </w:rPr>
        <w:t> </w:t>
      </w:r>
      <w:r>
        <w:rPr>
          <w:sz w:val="18"/>
          <w:vertAlign w:val="baseline"/>
        </w:rPr>
        <w:t>Justice</w:t>
      </w:r>
      <w:r>
        <w:rPr>
          <w:spacing w:val="-2"/>
          <w:sz w:val="18"/>
          <w:vertAlign w:val="baseline"/>
        </w:rPr>
        <w:t> </w:t>
      </w:r>
      <w:r>
        <w:rPr>
          <w:sz w:val="18"/>
          <w:vertAlign w:val="baseline"/>
        </w:rPr>
        <w:t>in</w:t>
      </w:r>
      <w:r>
        <w:rPr>
          <w:spacing w:val="-2"/>
          <w:sz w:val="18"/>
          <w:vertAlign w:val="baseline"/>
        </w:rPr>
        <w:t> </w:t>
      </w:r>
      <w:r>
        <w:rPr>
          <w:sz w:val="18"/>
          <w:vertAlign w:val="baseline"/>
        </w:rPr>
        <w:t>SNAP,”</w:t>
      </w:r>
      <w:r>
        <w:rPr>
          <w:spacing w:val="-2"/>
          <w:sz w:val="18"/>
          <w:vertAlign w:val="baseline"/>
        </w:rPr>
        <w:t> </w:t>
      </w:r>
      <w:r>
        <w:rPr>
          <w:i/>
          <w:sz w:val="18"/>
          <w:vertAlign w:val="baseline"/>
        </w:rPr>
        <w:t>National</w:t>
      </w:r>
      <w:r>
        <w:rPr>
          <w:i/>
          <w:spacing w:val="-3"/>
          <w:sz w:val="18"/>
          <w:vertAlign w:val="baseline"/>
        </w:rPr>
        <w:t> </w:t>
      </w:r>
      <w:r>
        <w:rPr>
          <w:i/>
          <w:sz w:val="18"/>
          <w:vertAlign w:val="baseline"/>
        </w:rPr>
        <w:t>Women’s</w:t>
      </w:r>
      <w:r>
        <w:rPr>
          <w:i/>
          <w:spacing w:val="-3"/>
          <w:sz w:val="18"/>
          <w:vertAlign w:val="baseline"/>
        </w:rPr>
        <w:t> </w:t>
      </w:r>
      <w:r>
        <w:rPr>
          <w:i/>
          <w:sz w:val="18"/>
          <w:vertAlign w:val="baseline"/>
        </w:rPr>
        <w:t>Law</w:t>
      </w:r>
      <w:r>
        <w:rPr>
          <w:i/>
          <w:spacing w:val="-3"/>
          <w:sz w:val="18"/>
          <w:vertAlign w:val="baseline"/>
        </w:rPr>
        <w:t> </w:t>
      </w:r>
      <w:r>
        <w:rPr>
          <w:i/>
          <w:sz w:val="18"/>
          <w:vertAlign w:val="baseline"/>
        </w:rPr>
        <w:t>Center</w:t>
      </w:r>
      <w:r>
        <w:rPr>
          <w:sz w:val="18"/>
          <w:vertAlign w:val="baseline"/>
        </w:rPr>
        <w:t>,</w:t>
      </w:r>
      <w:r>
        <w:rPr>
          <w:spacing w:val="-3"/>
          <w:sz w:val="18"/>
          <w:vertAlign w:val="baseline"/>
        </w:rPr>
        <w:t> </w:t>
      </w:r>
      <w:r>
        <w:rPr>
          <w:sz w:val="18"/>
          <w:vertAlign w:val="baseline"/>
        </w:rPr>
        <w:t>July</w:t>
      </w:r>
      <w:r>
        <w:rPr>
          <w:spacing w:val="-2"/>
          <w:sz w:val="18"/>
          <w:vertAlign w:val="baseline"/>
        </w:rPr>
        <w:t> </w:t>
      </w:r>
      <w:r>
        <w:rPr>
          <w:sz w:val="18"/>
          <w:vertAlign w:val="baseline"/>
        </w:rPr>
        <w:t>2021,</w:t>
      </w:r>
      <w:r>
        <w:rPr>
          <w:spacing w:val="-3"/>
          <w:sz w:val="18"/>
          <w:vertAlign w:val="baseline"/>
        </w:rPr>
        <w:t> </w:t>
      </w:r>
      <w:r>
        <w:rPr>
          <w:spacing w:val="-5"/>
          <w:sz w:val="18"/>
          <w:vertAlign w:val="baseline"/>
        </w:rPr>
        <w:t>14</w:t>
      </w:r>
    </w:p>
    <w:p>
      <w:pPr>
        <w:spacing w:after="0" w:line="219" w:lineRule="exact"/>
        <w:jc w:val="left"/>
        <w:rPr>
          <w:sz w:val="18"/>
        </w:rPr>
        <w:sectPr>
          <w:pgSz w:w="12240" w:h="15840"/>
          <w:pgMar w:header="804" w:footer="1263" w:top="1000" w:bottom="1460" w:left="960" w:right="1100"/>
        </w:sectPr>
      </w:pPr>
    </w:p>
    <w:p>
      <w:pPr>
        <w:pStyle w:val="BodyText"/>
        <w:rPr>
          <w:sz w:val="20"/>
        </w:rPr>
      </w:pPr>
    </w:p>
    <w:p>
      <w:pPr>
        <w:pStyle w:val="BodyText"/>
        <w:spacing w:before="89"/>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39" name="Group 639"/>
                <wp:cNvGraphicFramePr>
                  <a:graphicFrameLocks/>
                </wp:cNvGraphicFramePr>
                <a:graphic>
                  <a:graphicData uri="http://schemas.microsoft.com/office/word/2010/wordprocessingGroup">
                    <wpg:wgp>
                      <wpg:cNvPr id="639" name="Group 639"/>
                      <wpg:cNvGrpSpPr/>
                      <wpg:grpSpPr>
                        <a:xfrm>
                          <a:off x="0" y="0"/>
                          <a:ext cx="6350" cy="12700"/>
                          <a:chExt cx="6350" cy="12700"/>
                        </a:xfrm>
                      </wpg:grpSpPr>
                      <wps:wsp>
                        <wps:cNvPr id="640" name="Graphic 640"/>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36" coordorigin="0,0" coordsize="10,20">
                <v:rect style="position:absolute;left:0;top:0;width:10;height:20" id="docshape537" filled="true" fillcolor="#4f81bb" stroked="false">
                  <v:fill type="solid"/>
                </v:rect>
              </v:group>
            </w:pict>
          </mc:Fallback>
        </mc:AlternateContent>
      </w:r>
      <w:r>
        <w:rPr>
          <w:sz w:val="2"/>
        </w:rPr>
      </w:r>
    </w:p>
    <w:p>
      <w:pPr>
        <w:pStyle w:val="Heading7"/>
      </w:pPr>
      <w:bookmarkStart w:name="_bookmark643" w:id="950"/>
      <w:bookmarkEnd w:id="950"/>
      <w:r>
        <w:rPr/>
      </w:r>
      <w:hyperlink w:history="true" w:anchor="_bookmark6">
        <w:r>
          <w:rPr>
            <w:color w:val="365F91"/>
            <w:spacing w:val="-10"/>
          </w:rPr>
          <w:t>Department</w:t>
        </w:r>
        <w:r>
          <w:rPr>
            <w:color w:val="365F91"/>
            <w:spacing w:val="-5"/>
          </w:rPr>
          <w:t> </w:t>
        </w:r>
        <w:r>
          <w:rPr>
            <w:color w:val="365F91"/>
            <w:spacing w:val="-10"/>
          </w:rPr>
          <w:t>of</w:t>
        </w:r>
        <w:r>
          <w:rPr>
            <w:color w:val="365F91"/>
            <w:spacing w:val="-4"/>
          </w:rPr>
          <w:t> </w:t>
        </w:r>
        <w:r>
          <w:rPr>
            <w:color w:val="365F91"/>
            <w:spacing w:val="-10"/>
          </w:rPr>
          <w:t>Youth</w:t>
        </w:r>
        <w:r>
          <w:rPr>
            <w:color w:val="365F91"/>
            <w:spacing w:val="-2"/>
          </w:rPr>
          <w:t> </w:t>
        </w:r>
        <w:r>
          <w:rPr>
            <w:color w:val="365F91"/>
            <w:spacing w:val="-10"/>
          </w:rPr>
          <w:t>Services</w:t>
        </w:r>
      </w:hyperlink>
    </w:p>
    <w:p>
      <w:pPr>
        <w:pStyle w:val="BodyText"/>
        <w:rPr>
          <w:sz w:val="20"/>
        </w:rPr>
      </w:pPr>
    </w:p>
    <w:p>
      <w:pPr>
        <w:pStyle w:val="BodyText"/>
        <w:spacing w:before="140"/>
        <w:rPr>
          <w:sz w:val="20"/>
        </w:rPr>
      </w:pPr>
      <w:r>
        <w:rPr/>
        <mc:AlternateContent>
          <mc:Choice Requires="wps">
            <w:drawing>
              <wp:anchor distT="0" distB="0" distL="0" distR="0" allowOverlap="1" layoutInCell="1" locked="0" behindDoc="1" simplePos="0" relativeHeight="487717888">
                <wp:simplePos x="0" y="0"/>
                <wp:positionH relativeFrom="page">
                  <wp:posOffset>889000</wp:posOffset>
                </wp:positionH>
                <wp:positionV relativeFrom="paragraph">
                  <wp:posOffset>259777</wp:posOffset>
                </wp:positionV>
                <wp:extent cx="6350" cy="1270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454906pt;width:.499pt;height:.96pt;mso-position-horizontal-relative:page;mso-position-vertical-relative:paragraph;z-index:-15598592;mso-wrap-distance-left:0;mso-wrap-distance-right:0" id="docshape538"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18400">
                <wp:simplePos x="0" y="0"/>
                <wp:positionH relativeFrom="page">
                  <wp:posOffset>897636</wp:posOffset>
                </wp:positionH>
                <wp:positionV relativeFrom="paragraph">
                  <wp:posOffset>44871</wp:posOffset>
                </wp:positionV>
                <wp:extent cx="5976620" cy="6350"/>
                <wp:effectExtent l="0" t="0" r="0" b="0"/>
                <wp:wrapTopAndBottom/>
                <wp:docPr id="642" name="Graphic 642"/>
                <wp:cNvGraphicFramePr>
                  <a:graphicFrameLocks/>
                </wp:cNvGraphicFramePr>
                <a:graphic>
                  <a:graphicData uri="http://schemas.microsoft.com/office/word/2010/wordprocessingShape">
                    <wps:wsp>
                      <wps:cNvPr id="642" name="Graphic 642"/>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3156pt;width:470.58pt;height:.481pt;mso-position-horizontal-relative:page;mso-position-vertical-relative:paragraph;z-index:-15598080;mso-wrap-distance-left:0;mso-wrap-distance-right:0" id="docshape539" filled="true" fillcolor="#4f81bc" stroked="false">
                <v:fill type="solid"/>
                <w10:wrap type="topAndBottom"/>
              </v:rect>
            </w:pict>
          </mc:Fallback>
        </mc:AlternateContent>
      </w:r>
    </w:p>
    <w:p>
      <w:pPr>
        <w:pStyle w:val="ListParagraph"/>
        <w:numPr>
          <w:ilvl w:val="3"/>
          <w:numId w:val="43"/>
        </w:numPr>
        <w:tabs>
          <w:tab w:pos="1419" w:val="left" w:leader="none"/>
        </w:tabs>
        <w:spacing w:line="276" w:lineRule="auto" w:before="241" w:after="0"/>
        <w:ind w:left="1419" w:right="343" w:hanging="360"/>
        <w:jc w:val="both"/>
        <w:rPr>
          <w:sz w:val="22"/>
        </w:rPr>
      </w:pPr>
      <w:r>
        <w:rPr>
          <w:sz w:val="22"/>
        </w:rPr>
        <w:t>Update</w:t>
      </w:r>
      <w:r>
        <w:rPr>
          <w:spacing w:val="-2"/>
          <w:sz w:val="22"/>
        </w:rPr>
        <w:t> </w:t>
      </w:r>
      <w:r>
        <w:rPr>
          <w:sz w:val="22"/>
        </w:rPr>
        <w:t>DYS</w:t>
      </w:r>
      <w:r>
        <w:rPr>
          <w:spacing w:val="-2"/>
          <w:sz w:val="22"/>
        </w:rPr>
        <w:t> </w:t>
      </w:r>
      <w:r>
        <w:rPr>
          <w:sz w:val="22"/>
        </w:rPr>
        <w:t>SOGIE</w:t>
      </w:r>
      <w:r>
        <w:rPr>
          <w:spacing w:val="-2"/>
          <w:sz w:val="22"/>
        </w:rPr>
        <w:t> </w:t>
      </w:r>
      <w:r>
        <w:rPr>
          <w:sz w:val="22"/>
        </w:rPr>
        <w:t>data</w:t>
      </w:r>
      <w:r>
        <w:rPr>
          <w:spacing w:val="-1"/>
          <w:sz w:val="22"/>
        </w:rPr>
        <w:t> </w:t>
      </w:r>
      <w:r>
        <w:rPr>
          <w:sz w:val="22"/>
        </w:rPr>
        <w:t>collection</w:t>
      </w:r>
      <w:r>
        <w:rPr>
          <w:spacing w:val="-2"/>
          <w:sz w:val="22"/>
        </w:rPr>
        <w:t> </w:t>
      </w:r>
      <w:r>
        <w:rPr>
          <w:sz w:val="22"/>
        </w:rPr>
        <w:t>standards,</w:t>
      </w:r>
      <w:r>
        <w:rPr>
          <w:spacing w:val="-3"/>
          <w:sz w:val="22"/>
        </w:rPr>
        <w:t> </w:t>
      </w:r>
      <w:r>
        <w:rPr>
          <w:sz w:val="22"/>
        </w:rPr>
        <w:t>and</w:t>
      </w:r>
      <w:r>
        <w:rPr>
          <w:spacing w:val="-2"/>
          <w:sz w:val="22"/>
        </w:rPr>
        <w:t> </w:t>
      </w:r>
      <w:r>
        <w:rPr>
          <w:sz w:val="22"/>
        </w:rPr>
        <w:t>publish</w:t>
      </w:r>
      <w:r>
        <w:rPr>
          <w:spacing w:val="-2"/>
          <w:sz w:val="22"/>
        </w:rPr>
        <w:t> </w:t>
      </w:r>
      <w:r>
        <w:rPr>
          <w:sz w:val="22"/>
        </w:rPr>
        <w:t>more</w:t>
      </w:r>
      <w:r>
        <w:rPr>
          <w:spacing w:val="-3"/>
          <w:sz w:val="22"/>
        </w:rPr>
        <w:t> </w:t>
      </w:r>
      <w:r>
        <w:rPr>
          <w:sz w:val="22"/>
        </w:rPr>
        <w:t>in-depth</w:t>
      </w:r>
      <w:r>
        <w:rPr>
          <w:spacing w:val="-2"/>
          <w:sz w:val="22"/>
        </w:rPr>
        <w:t> </w:t>
      </w:r>
      <w:r>
        <w:rPr>
          <w:sz w:val="22"/>
        </w:rPr>
        <w:t>information</w:t>
      </w:r>
      <w:r>
        <w:rPr>
          <w:spacing w:val="-3"/>
          <w:sz w:val="22"/>
        </w:rPr>
        <w:t> </w:t>
      </w:r>
      <w:r>
        <w:rPr>
          <w:sz w:val="22"/>
        </w:rPr>
        <w:t>on</w:t>
      </w:r>
      <w:r>
        <w:rPr>
          <w:spacing w:val="-2"/>
          <w:sz w:val="22"/>
        </w:rPr>
        <w:t> </w:t>
      </w:r>
      <w:r>
        <w:rPr>
          <w:sz w:val="22"/>
        </w:rPr>
        <w:t>youth in DYS services.</w:t>
      </w:r>
    </w:p>
    <w:p>
      <w:pPr>
        <w:pStyle w:val="ListParagraph"/>
        <w:numPr>
          <w:ilvl w:val="3"/>
          <w:numId w:val="43"/>
        </w:numPr>
        <w:tabs>
          <w:tab w:pos="1418" w:val="left" w:leader="none"/>
        </w:tabs>
        <w:spacing w:line="240" w:lineRule="auto" w:before="1" w:after="0"/>
        <w:ind w:left="1418" w:right="0" w:hanging="359"/>
        <w:jc w:val="both"/>
        <w:rPr>
          <w:sz w:val="22"/>
        </w:rPr>
      </w:pPr>
      <w:r>
        <w:rPr>
          <w:sz w:val="22"/>
        </w:rPr>
        <w:t>Provide</w:t>
      </w:r>
      <w:r>
        <w:rPr>
          <w:spacing w:val="-9"/>
          <w:sz w:val="22"/>
        </w:rPr>
        <w:t> </w:t>
      </w:r>
      <w:r>
        <w:rPr>
          <w:sz w:val="22"/>
        </w:rPr>
        <w:t>annual</w:t>
      </w:r>
      <w:r>
        <w:rPr>
          <w:spacing w:val="-8"/>
          <w:sz w:val="22"/>
        </w:rPr>
        <w:t> </w:t>
      </w:r>
      <w:r>
        <w:rPr>
          <w:sz w:val="22"/>
        </w:rPr>
        <w:t>mandatory</w:t>
      </w:r>
      <w:r>
        <w:rPr>
          <w:spacing w:val="-7"/>
          <w:sz w:val="22"/>
        </w:rPr>
        <w:t> </w:t>
      </w:r>
      <w:r>
        <w:rPr>
          <w:sz w:val="22"/>
        </w:rPr>
        <w:t>trainings</w:t>
      </w:r>
      <w:r>
        <w:rPr>
          <w:spacing w:val="-8"/>
          <w:sz w:val="22"/>
        </w:rPr>
        <w:t> </w:t>
      </w:r>
      <w:r>
        <w:rPr>
          <w:sz w:val="22"/>
        </w:rPr>
        <w:t>to</w:t>
      </w:r>
      <w:r>
        <w:rPr>
          <w:spacing w:val="-8"/>
          <w:sz w:val="22"/>
        </w:rPr>
        <w:t> </w:t>
      </w:r>
      <w:r>
        <w:rPr>
          <w:sz w:val="22"/>
        </w:rPr>
        <w:t>all</w:t>
      </w:r>
      <w:r>
        <w:rPr>
          <w:spacing w:val="-8"/>
          <w:sz w:val="22"/>
        </w:rPr>
        <w:t> </w:t>
      </w:r>
      <w:r>
        <w:rPr>
          <w:sz w:val="22"/>
        </w:rPr>
        <w:t>DYS</w:t>
      </w:r>
      <w:r>
        <w:rPr>
          <w:spacing w:val="-8"/>
          <w:sz w:val="22"/>
        </w:rPr>
        <w:t> </w:t>
      </w:r>
      <w:r>
        <w:rPr>
          <w:sz w:val="22"/>
        </w:rPr>
        <w:t>state</w:t>
      </w:r>
      <w:r>
        <w:rPr>
          <w:spacing w:val="-8"/>
          <w:sz w:val="22"/>
        </w:rPr>
        <w:t> </w:t>
      </w:r>
      <w:r>
        <w:rPr>
          <w:sz w:val="22"/>
        </w:rPr>
        <w:t>and</w:t>
      </w:r>
      <w:r>
        <w:rPr>
          <w:spacing w:val="-7"/>
          <w:sz w:val="22"/>
        </w:rPr>
        <w:t> </w:t>
      </w:r>
      <w:r>
        <w:rPr>
          <w:sz w:val="22"/>
        </w:rPr>
        <w:t>contracted</w:t>
      </w:r>
      <w:r>
        <w:rPr>
          <w:spacing w:val="-8"/>
          <w:sz w:val="22"/>
        </w:rPr>
        <w:t> </w:t>
      </w:r>
      <w:r>
        <w:rPr>
          <w:sz w:val="22"/>
        </w:rPr>
        <w:t>provider</w:t>
      </w:r>
      <w:r>
        <w:rPr>
          <w:spacing w:val="-9"/>
          <w:sz w:val="22"/>
        </w:rPr>
        <w:t> </w:t>
      </w:r>
      <w:r>
        <w:rPr>
          <w:spacing w:val="-2"/>
          <w:sz w:val="22"/>
        </w:rPr>
        <w:t>staff.</w:t>
      </w:r>
    </w:p>
    <w:p>
      <w:pPr>
        <w:pStyle w:val="ListParagraph"/>
        <w:numPr>
          <w:ilvl w:val="3"/>
          <w:numId w:val="43"/>
        </w:numPr>
        <w:tabs>
          <w:tab w:pos="1419" w:val="left" w:leader="none"/>
        </w:tabs>
        <w:spacing w:line="276" w:lineRule="auto" w:before="41" w:after="0"/>
        <w:ind w:left="1419" w:right="344" w:hanging="360"/>
        <w:jc w:val="both"/>
        <w:rPr>
          <w:sz w:val="22"/>
        </w:rPr>
      </w:pPr>
      <w:r>
        <w:rPr>
          <w:sz w:val="22"/>
        </w:rPr>
        <w:t>Ensure implementation of LGBTQ-affirming material into existing curricula and programming provided to youth and families in its services.</w:t>
      </w:r>
    </w:p>
    <w:p>
      <w:pPr>
        <w:pStyle w:val="ListParagraph"/>
        <w:numPr>
          <w:ilvl w:val="3"/>
          <w:numId w:val="43"/>
        </w:numPr>
        <w:tabs>
          <w:tab w:pos="1419" w:val="left" w:leader="none"/>
        </w:tabs>
        <w:spacing w:line="276" w:lineRule="auto" w:before="0" w:after="0"/>
        <w:ind w:left="1419" w:right="339" w:hanging="360"/>
        <w:jc w:val="both"/>
        <w:rPr>
          <w:sz w:val="22"/>
        </w:rPr>
      </w:pPr>
      <w:r>
        <w:rPr>
          <w:sz w:val="22"/>
        </w:rPr>
        <w:t>Improve interagency work to support “warm hand-offs” for transition-aged youth attempting to</w:t>
      </w:r>
      <w:r>
        <w:rPr>
          <w:spacing w:val="-4"/>
          <w:sz w:val="22"/>
        </w:rPr>
        <w:t> </w:t>
      </w:r>
      <w:r>
        <w:rPr>
          <w:sz w:val="22"/>
        </w:rPr>
        <w:t>access</w:t>
      </w:r>
      <w:r>
        <w:rPr>
          <w:spacing w:val="-4"/>
          <w:sz w:val="22"/>
        </w:rPr>
        <w:t> </w:t>
      </w:r>
      <w:r>
        <w:rPr>
          <w:sz w:val="22"/>
        </w:rPr>
        <w:t>services,</w:t>
      </w:r>
      <w:r>
        <w:rPr>
          <w:spacing w:val="-4"/>
          <w:sz w:val="22"/>
        </w:rPr>
        <w:t> </w:t>
      </w:r>
      <w:r>
        <w:rPr>
          <w:sz w:val="22"/>
        </w:rPr>
        <w:t>in</w:t>
      </w:r>
      <w:r>
        <w:rPr>
          <w:spacing w:val="-4"/>
          <w:sz w:val="22"/>
        </w:rPr>
        <w:t> </w:t>
      </w:r>
      <w:r>
        <w:rPr>
          <w:sz w:val="22"/>
        </w:rPr>
        <w:t>partnership</w:t>
      </w:r>
      <w:r>
        <w:rPr>
          <w:spacing w:val="-4"/>
          <w:sz w:val="22"/>
        </w:rPr>
        <w:t> </w:t>
      </w:r>
      <w:r>
        <w:rPr>
          <w:sz w:val="22"/>
        </w:rPr>
        <w:t>with</w:t>
      </w:r>
      <w:r>
        <w:rPr>
          <w:spacing w:val="-4"/>
          <w:sz w:val="22"/>
        </w:rPr>
        <w:t> </w:t>
      </w:r>
      <w:r>
        <w:rPr>
          <w:sz w:val="22"/>
        </w:rPr>
        <w:t>the</w:t>
      </w:r>
      <w:r>
        <w:rPr>
          <w:spacing w:val="-4"/>
          <w:sz w:val="22"/>
        </w:rPr>
        <w:t> </w:t>
      </w:r>
      <w:r>
        <w:rPr>
          <w:sz w:val="22"/>
        </w:rPr>
        <w:t>Department</w:t>
      </w:r>
      <w:r>
        <w:rPr>
          <w:spacing w:val="-4"/>
          <w:sz w:val="22"/>
        </w:rPr>
        <w:t> </w:t>
      </w:r>
      <w:r>
        <w:rPr>
          <w:sz w:val="22"/>
        </w:rPr>
        <w:t>of</w:t>
      </w:r>
      <w:r>
        <w:rPr>
          <w:spacing w:val="-4"/>
          <w:sz w:val="22"/>
        </w:rPr>
        <w:t> </w:t>
      </w:r>
      <w:r>
        <w:rPr>
          <w:sz w:val="22"/>
        </w:rPr>
        <w:t>Children</w:t>
      </w:r>
      <w:r>
        <w:rPr>
          <w:spacing w:val="-4"/>
          <w:sz w:val="22"/>
        </w:rPr>
        <w:t> </w:t>
      </w:r>
      <w:r>
        <w:rPr>
          <w:sz w:val="22"/>
        </w:rPr>
        <w:t>&amp;</w:t>
      </w:r>
      <w:r>
        <w:rPr>
          <w:spacing w:val="-4"/>
          <w:sz w:val="22"/>
        </w:rPr>
        <w:t> </w:t>
      </w:r>
      <w:r>
        <w:rPr>
          <w:sz w:val="22"/>
        </w:rPr>
        <w:t>Families,</w:t>
      </w:r>
      <w:r>
        <w:rPr>
          <w:spacing w:val="-4"/>
          <w:sz w:val="22"/>
        </w:rPr>
        <w:t> </w:t>
      </w:r>
      <w:r>
        <w:rPr>
          <w:sz w:val="22"/>
        </w:rPr>
        <w:t>the</w:t>
      </w:r>
      <w:r>
        <w:rPr>
          <w:spacing w:val="-4"/>
          <w:sz w:val="22"/>
        </w:rPr>
        <w:t> </w:t>
      </w:r>
      <w:r>
        <w:rPr>
          <w:sz w:val="22"/>
        </w:rPr>
        <w:t>Department of Mental Health, and MassHealth.</w:t>
      </w:r>
    </w:p>
    <w:p>
      <w:pPr>
        <w:pStyle w:val="ListParagraph"/>
        <w:numPr>
          <w:ilvl w:val="3"/>
          <w:numId w:val="43"/>
        </w:numPr>
        <w:tabs>
          <w:tab w:pos="1419" w:val="left" w:leader="none"/>
        </w:tabs>
        <w:spacing w:line="276" w:lineRule="auto" w:before="0" w:after="0"/>
        <w:ind w:left="1419" w:right="343" w:hanging="360"/>
        <w:jc w:val="both"/>
        <w:rPr>
          <w:sz w:val="22"/>
        </w:rPr>
      </w:pPr>
      <w:r>
        <w:rPr>
          <w:sz w:val="22"/>
        </w:rPr>
        <w:t>Collaborate with the Commission to establish an LGBTQ parent education curriculum within juvenile diversion programs.</w:t>
      </w:r>
    </w:p>
    <w:p>
      <w:pPr>
        <w:pStyle w:val="BodyText"/>
        <w:rPr>
          <w:sz w:val="20"/>
        </w:rPr>
      </w:pPr>
    </w:p>
    <w:p>
      <w:pPr>
        <w:pStyle w:val="BodyText"/>
        <w:spacing w:before="66"/>
        <w:rPr>
          <w:sz w:val="20"/>
        </w:rPr>
      </w:pPr>
      <w:r>
        <w:rPr/>
        <mc:AlternateContent>
          <mc:Choice Requires="wps">
            <w:drawing>
              <wp:anchor distT="0" distB="0" distL="0" distR="0" allowOverlap="1" layoutInCell="1" locked="0" behindDoc="1" simplePos="0" relativeHeight="487718912">
                <wp:simplePos x="0" y="0"/>
                <wp:positionH relativeFrom="page">
                  <wp:posOffset>889000</wp:posOffset>
                </wp:positionH>
                <wp:positionV relativeFrom="paragraph">
                  <wp:posOffset>212689</wp:posOffset>
                </wp:positionV>
                <wp:extent cx="6350" cy="12700"/>
                <wp:effectExtent l="0" t="0" r="0" b="0"/>
                <wp:wrapTopAndBottom/>
                <wp:docPr id="643" name="Graphic 643"/>
                <wp:cNvGraphicFramePr>
                  <a:graphicFrameLocks/>
                </wp:cNvGraphicFramePr>
                <a:graphic>
                  <a:graphicData uri="http://schemas.microsoft.com/office/word/2010/wordprocessingShape">
                    <wps:wsp>
                      <wps:cNvPr id="643" name="Graphic 643"/>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747183pt;width:.499pt;height:.959pt;mso-position-horizontal-relative:page;mso-position-vertical-relative:paragraph;z-index:-15597568;mso-wrap-distance-left:0;mso-wrap-distance-right:0" id="docshape540"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719424">
                <wp:simplePos x="0" y="0"/>
                <wp:positionH relativeFrom="page">
                  <wp:posOffset>897636</wp:posOffset>
                </wp:positionH>
                <wp:positionV relativeFrom="paragraph">
                  <wp:posOffset>45480</wp:posOffset>
                </wp:positionV>
                <wp:extent cx="5976620" cy="6350"/>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1156pt;width:470.58pt;height:.481pt;mso-position-horizontal-relative:page;mso-position-vertical-relative:paragraph;z-index:-15597056;mso-wrap-distance-left:0;mso-wrap-distance-right:0" id="docshape541" filled="true" fillcolor="#4f81bc" stroked="false">
                <v:fill type="solid"/>
                <w10:wrap type="topAndBottom"/>
              </v:rect>
            </w:pict>
          </mc:Fallback>
        </mc:AlternateContent>
      </w:r>
    </w:p>
    <w:p>
      <w:pPr>
        <w:spacing w:line="276" w:lineRule="auto" w:before="241"/>
        <w:ind w:left="483" w:right="341" w:hanging="1"/>
        <w:jc w:val="both"/>
        <w:rPr>
          <w:sz w:val="21"/>
        </w:rPr>
      </w:pPr>
      <w:r>
        <w:rPr>
          <w:sz w:val="22"/>
        </w:rPr>
        <w:t>The </w:t>
      </w:r>
      <w:r>
        <w:rPr>
          <w:sz w:val="21"/>
        </w:rPr>
        <w:t>Massachusetts </w:t>
      </w:r>
      <w:r>
        <w:rPr>
          <w:sz w:val="22"/>
        </w:rPr>
        <w:t>Department of Youth Services (DYS) is the state agency </w:t>
      </w:r>
      <w:r>
        <w:rPr>
          <w:sz w:val="21"/>
        </w:rPr>
        <w:t>that serves five primary populations of young people ranging in age from 12 to 22 dependent on the services provided:</w:t>
      </w:r>
    </w:p>
    <w:p>
      <w:pPr>
        <w:pStyle w:val="ListParagraph"/>
        <w:numPr>
          <w:ilvl w:val="4"/>
          <w:numId w:val="43"/>
        </w:numPr>
        <w:tabs>
          <w:tab w:pos="1419" w:val="left" w:leader="none"/>
        </w:tabs>
        <w:spacing w:line="276" w:lineRule="auto" w:before="240" w:after="0"/>
        <w:ind w:left="1419" w:right="341" w:hanging="360"/>
        <w:jc w:val="left"/>
        <w:rPr>
          <w:sz w:val="21"/>
        </w:rPr>
      </w:pPr>
      <w:r>
        <w:rPr>
          <w:sz w:val="21"/>
        </w:rPr>
        <w:t>Diversion</w:t>
      </w:r>
      <w:r>
        <w:rPr>
          <w:spacing w:val="28"/>
          <w:sz w:val="21"/>
        </w:rPr>
        <w:t> </w:t>
      </w:r>
      <w:r>
        <w:rPr>
          <w:sz w:val="21"/>
        </w:rPr>
        <w:t>Young</w:t>
      </w:r>
      <w:r>
        <w:rPr>
          <w:spacing w:val="27"/>
          <w:sz w:val="21"/>
        </w:rPr>
        <w:t> </w:t>
      </w:r>
      <w:r>
        <w:rPr>
          <w:sz w:val="21"/>
        </w:rPr>
        <w:t>People,</w:t>
      </w:r>
      <w:r>
        <w:rPr>
          <w:spacing w:val="28"/>
          <w:sz w:val="21"/>
        </w:rPr>
        <w:t> </w:t>
      </w:r>
      <w:r>
        <w:rPr>
          <w:sz w:val="21"/>
        </w:rPr>
        <w:t>who</w:t>
      </w:r>
      <w:r>
        <w:rPr>
          <w:spacing w:val="27"/>
          <w:sz w:val="21"/>
        </w:rPr>
        <w:t> </w:t>
      </w:r>
      <w:r>
        <w:rPr>
          <w:sz w:val="21"/>
        </w:rPr>
        <w:t>are</w:t>
      </w:r>
      <w:r>
        <w:rPr>
          <w:spacing w:val="28"/>
          <w:sz w:val="21"/>
        </w:rPr>
        <w:t> </w:t>
      </w:r>
      <w:r>
        <w:rPr>
          <w:sz w:val="21"/>
        </w:rPr>
        <w:t>youth</w:t>
      </w:r>
      <w:r>
        <w:rPr>
          <w:spacing w:val="27"/>
          <w:sz w:val="21"/>
        </w:rPr>
        <w:t> </w:t>
      </w:r>
      <w:r>
        <w:rPr>
          <w:sz w:val="21"/>
        </w:rPr>
        <w:t>facing</w:t>
      </w:r>
      <w:r>
        <w:rPr>
          <w:spacing w:val="27"/>
          <w:sz w:val="21"/>
        </w:rPr>
        <w:t> </w:t>
      </w:r>
      <w:r>
        <w:rPr>
          <w:sz w:val="21"/>
        </w:rPr>
        <w:t>arrest</w:t>
      </w:r>
      <w:r>
        <w:rPr>
          <w:spacing w:val="27"/>
          <w:sz w:val="21"/>
        </w:rPr>
        <w:t> </w:t>
      </w:r>
      <w:r>
        <w:rPr>
          <w:sz w:val="21"/>
        </w:rPr>
        <w:t>or</w:t>
      </w:r>
      <w:r>
        <w:rPr>
          <w:spacing w:val="28"/>
          <w:sz w:val="21"/>
        </w:rPr>
        <w:t> </w:t>
      </w:r>
      <w:r>
        <w:rPr>
          <w:sz w:val="21"/>
        </w:rPr>
        <w:t>prosecution</w:t>
      </w:r>
      <w:r>
        <w:rPr>
          <w:spacing w:val="28"/>
          <w:sz w:val="21"/>
        </w:rPr>
        <w:t> </w:t>
      </w:r>
      <w:r>
        <w:rPr>
          <w:sz w:val="21"/>
        </w:rPr>
        <w:t>for</w:t>
      </w:r>
      <w:r>
        <w:rPr>
          <w:spacing w:val="28"/>
          <w:sz w:val="21"/>
        </w:rPr>
        <w:t> </w:t>
      </w:r>
      <w:r>
        <w:rPr>
          <w:sz w:val="21"/>
        </w:rPr>
        <w:t>a</w:t>
      </w:r>
      <w:r>
        <w:rPr>
          <w:spacing w:val="27"/>
          <w:sz w:val="21"/>
        </w:rPr>
        <w:t> </w:t>
      </w:r>
      <w:r>
        <w:rPr>
          <w:sz w:val="21"/>
        </w:rPr>
        <w:t>juvenile</w:t>
      </w:r>
      <w:r>
        <w:rPr>
          <w:spacing w:val="28"/>
          <w:sz w:val="21"/>
        </w:rPr>
        <w:t> </w:t>
      </w:r>
      <w:r>
        <w:rPr>
          <w:sz w:val="21"/>
        </w:rPr>
        <w:t>offense</w:t>
      </w:r>
      <w:r>
        <w:rPr>
          <w:spacing w:val="28"/>
          <w:sz w:val="21"/>
        </w:rPr>
        <w:t> </w:t>
      </w:r>
      <w:r>
        <w:rPr>
          <w:sz w:val="21"/>
        </w:rPr>
        <w:t>and instead are referred to the Department for supportive community-based services</w:t>
      </w:r>
    </w:p>
    <w:p>
      <w:pPr>
        <w:pStyle w:val="ListParagraph"/>
        <w:numPr>
          <w:ilvl w:val="4"/>
          <w:numId w:val="43"/>
        </w:numPr>
        <w:tabs>
          <w:tab w:pos="1419" w:val="left" w:leader="none"/>
        </w:tabs>
        <w:spacing w:line="276" w:lineRule="auto" w:before="0" w:after="0"/>
        <w:ind w:left="1419" w:right="343" w:hanging="360"/>
        <w:jc w:val="left"/>
        <w:rPr>
          <w:sz w:val="21"/>
        </w:rPr>
      </w:pPr>
      <w:r>
        <w:rPr>
          <w:sz w:val="21"/>
        </w:rPr>
        <w:t>Overnight</w:t>
      </w:r>
      <w:r>
        <w:rPr>
          <w:spacing w:val="-5"/>
          <w:sz w:val="21"/>
        </w:rPr>
        <w:t> </w:t>
      </w:r>
      <w:r>
        <w:rPr>
          <w:sz w:val="21"/>
        </w:rPr>
        <w:t>Arrest</w:t>
      </w:r>
      <w:r>
        <w:rPr>
          <w:spacing w:val="-5"/>
          <w:sz w:val="21"/>
        </w:rPr>
        <w:t> </w:t>
      </w:r>
      <w:r>
        <w:rPr>
          <w:sz w:val="21"/>
        </w:rPr>
        <w:t>Young</w:t>
      </w:r>
      <w:r>
        <w:rPr>
          <w:spacing w:val="-6"/>
          <w:sz w:val="21"/>
        </w:rPr>
        <w:t> </w:t>
      </w:r>
      <w:r>
        <w:rPr>
          <w:sz w:val="21"/>
        </w:rPr>
        <w:t>People</w:t>
      </w:r>
      <w:r>
        <w:rPr>
          <w:spacing w:val="-5"/>
          <w:sz w:val="21"/>
        </w:rPr>
        <w:t> </w:t>
      </w:r>
      <w:r>
        <w:rPr>
          <w:sz w:val="21"/>
        </w:rPr>
        <w:t>(ONA),</w:t>
      </w:r>
      <w:r>
        <w:rPr>
          <w:spacing w:val="-5"/>
          <w:sz w:val="21"/>
        </w:rPr>
        <w:t> </w:t>
      </w:r>
      <w:r>
        <w:rPr>
          <w:sz w:val="21"/>
        </w:rPr>
        <w:t>who</w:t>
      </w:r>
      <w:r>
        <w:rPr>
          <w:spacing w:val="-6"/>
          <w:sz w:val="21"/>
        </w:rPr>
        <w:t> </w:t>
      </w:r>
      <w:r>
        <w:rPr>
          <w:sz w:val="21"/>
        </w:rPr>
        <w:t>are</w:t>
      </w:r>
      <w:r>
        <w:rPr>
          <w:spacing w:val="-5"/>
          <w:sz w:val="21"/>
        </w:rPr>
        <w:t> </w:t>
      </w:r>
      <w:r>
        <w:rPr>
          <w:sz w:val="21"/>
        </w:rPr>
        <w:t>youth</w:t>
      </w:r>
      <w:r>
        <w:rPr>
          <w:spacing w:val="-7"/>
          <w:sz w:val="21"/>
        </w:rPr>
        <w:t> </w:t>
      </w:r>
      <w:r>
        <w:rPr>
          <w:sz w:val="21"/>
        </w:rPr>
        <w:t>arrested</w:t>
      </w:r>
      <w:r>
        <w:rPr>
          <w:spacing w:val="-5"/>
          <w:sz w:val="21"/>
        </w:rPr>
        <w:t> </w:t>
      </w:r>
      <w:r>
        <w:rPr>
          <w:sz w:val="21"/>
        </w:rPr>
        <w:t>outside</w:t>
      </w:r>
      <w:r>
        <w:rPr>
          <w:spacing w:val="-5"/>
          <w:sz w:val="21"/>
        </w:rPr>
        <w:t> </w:t>
      </w:r>
      <w:r>
        <w:rPr>
          <w:sz w:val="21"/>
        </w:rPr>
        <w:t>of</w:t>
      </w:r>
      <w:r>
        <w:rPr>
          <w:spacing w:val="-6"/>
          <w:sz w:val="21"/>
        </w:rPr>
        <w:t> </w:t>
      </w:r>
      <w:r>
        <w:rPr>
          <w:sz w:val="21"/>
        </w:rPr>
        <w:t>court</w:t>
      </w:r>
      <w:r>
        <w:rPr>
          <w:spacing w:val="-5"/>
          <w:sz w:val="21"/>
        </w:rPr>
        <w:t> </w:t>
      </w:r>
      <w:r>
        <w:rPr>
          <w:sz w:val="21"/>
        </w:rPr>
        <w:t>business</w:t>
      </w:r>
      <w:r>
        <w:rPr>
          <w:spacing w:val="-6"/>
          <w:sz w:val="21"/>
        </w:rPr>
        <w:t> </w:t>
      </w:r>
      <w:r>
        <w:rPr>
          <w:sz w:val="21"/>
        </w:rPr>
        <w:t>hours</w:t>
      </w:r>
      <w:r>
        <w:rPr>
          <w:spacing w:val="-6"/>
          <w:sz w:val="21"/>
        </w:rPr>
        <w:t> </w:t>
      </w:r>
      <w:r>
        <w:rPr>
          <w:sz w:val="21"/>
        </w:rPr>
        <w:t>who require overnight placement;</w:t>
      </w:r>
    </w:p>
    <w:p>
      <w:pPr>
        <w:pStyle w:val="ListParagraph"/>
        <w:numPr>
          <w:ilvl w:val="4"/>
          <w:numId w:val="43"/>
        </w:numPr>
        <w:tabs>
          <w:tab w:pos="1419" w:val="left" w:leader="none"/>
        </w:tabs>
        <w:spacing w:line="276" w:lineRule="auto" w:before="0" w:after="0"/>
        <w:ind w:left="1419" w:right="343" w:hanging="360"/>
        <w:jc w:val="left"/>
        <w:rPr>
          <w:sz w:val="21"/>
        </w:rPr>
      </w:pPr>
      <w:r>
        <w:rPr>
          <w:sz w:val="21"/>
        </w:rPr>
        <w:t>Detained Young People, who are youth committed to DYS’ care by the juvenile courts during the pendency of their juvenile cases;</w:t>
      </w:r>
    </w:p>
    <w:p>
      <w:pPr>
        <w:pStyle w:val="ListParagraph"/>
        <w:numPr>
          <w:ilvl w:val="4"/>
          <w:numId w:val="43"/>
        </w:numPr>
        <w:tabs>
          <w:tab w:pos="1419" w:val="left" w:leader="none"/>
        </w:tabs>
        <w:spacing w:line="276" w:lineRule="auto" w:before="0" w:after="0"/>
        <w:ind w:left="1419" w:right="342" w:hanging="360"/>
        <w:jc w:val="left"/>
        <w:rPr>
          <w:sz w:val="21"/>
        </w:rPr>
      </w:pPr>
      <w:r>
        <w:rPr>
          <w:sz w:val="21"/>
        </w:rPr>
        <w:t>Committed Young People, who are youth committed to DYS’ custody in resolution of a pending</w:t>
      </w:r>
      <w:r>
        <w:rPr>
          <w:spacing w:val="80"/>
          <w:sz w:val="21"/>
        </w:rPr>
        <w:t> </w:t>
      </w:r>
      <w:r>
        <w:rPr>
          <w:sz w:val="21"/>
        </w:rPr>
        <w:t>delinquency or youthful offender matter; and</w:t>
      </w:r>
    </w:p>
    <w:p>
      <w:pPr>
        <w:pStyle w:val="ListParagraph"/>
        <w:numPr>
          <w:ilvl w:val="4"/>
          <w:numId w:val="43"/>
        </w:numPr>
        <w:tabs>
          <w:tab w:pos="1419" w:val="left" w:leader="none"/>
        </w:tabs>
        <w:spacing w:line="276" w:lineRule="auto" w:before="0" w:after="0"/>
        <w:ind w:left="1419" w:right="342" w:hanging="360"/>
        <w:jc w:val="left"/>
        <w:rPr>
          <w:sz w:val="21"/>
        </w:rPr>
      </w:pPr>
      <w:r>
        <w:rPr>
          <w:sz w:val="21"/>
        </w:rPr>
        <w:t>Youth</w:t>
      </w:r>
      <w:r>
        <w:rPr>
          <w:spacing w:val="40"/>
          <w:sz w:val="21"/>
        </w:rPr>
        <w:t> </w:t>
      </w:r>
      <w:r>
        <w:rPr>
          <w:sz w:val="21"/>
        </w:rPr>
        <w:t>Engaged</w:t>
      </w:r>
      <w:r>
        <w:rPr>
          <w:spacing w:val="40"/>
          <w:sz w:val="21"/>
        </w:rPr>
        <w:t> </w:t>
      </w:r>
      <w:r>
        <w:rPr>
          <w:sz w:val="21"/>
        </w:rPr>
        <w:t>in</w:t>
      </w:r>
      <w:r>
        <w:rPr>
          <w:spacing w:val="40"/>
          <w:sz w:val="21"/>
        </w:rPr>
        <w:t> </w:t>
      </w:r>
      <w:r>
        <w:rPr>
          <w:sz w:val="21"/>
        </w:rPr>
        <w:t>Services</w:t>
      </w:r>
      <w:r>
        <w:rPr>
          <w:spacing w:val="40"/>
          <w:sz w:val="21"/>
        </w:rPr>
        <w:t> </w:t>
      </w:r>
      <w:r>
        <w:rPr>
          <w:sz w:val="21"/>
        </w:rPr>
        <w:t>(YES),</w:t>
      </w:r>
      <w:r>
        <w:rPr>
          <w:spacing w:val="40"/>
          <w:sz w:val="21"/>
        </w:rPr>
        <w:t> </w:t>
      </w:r>
      <w:r>
        <w:rPr>
          <w:sz w:val="21"/>
        </w:rPr>
        <w:t>who</w:t>
      </w:r>
      <w:r>
        <w:rPr>
          <w:spacing w:val="40"/>
          <w:sz w:val="21"/>
        </w:rPr>
        <w:t> </w:t>
      </w:r>
      <w:r>
        <w:rPr>
          <w:sz w:val="21"/>
        </w:rPr>
        <w:t>are</w:t>
      </w:r>
      <w:r>
        <w:rPr>
          <w:spacing w:val="40"/>
          <w:sz w:val="21"/>
        </w:rPr>
        <w:t> </w:t>
      </w:r>
      <w:r>
        <w:rPr>
          <w:sz w:val="21"/>
        </w:rPr>
        <w:t>youth</w:t>
      </w:r>
      <w:r>
        <w:rPr>
          <w:spacing w:val="40"/>
          <w:sz w:val="21"/>
        </w:rPr>
        <w:t> </w:t>
      </w:r>
      <w:r>
        <w:rPr>
          <w:sz w:val="21"/>
        </w:rPr>
        <w:t>receiving</w:t>
      </w:r>
      <w:r>
        <w:rPr>
          <w:spacing w:val="40"/>
          <w:sz w:val="21"/>
        </w:rPr>
        <w:t> </w:t>
      </w:r>
      <w:r>
        <w:rPr>
          <w:sz w:val="21"/>
        </w:rPr>
        <w:t>voluntary</w:t>
      </w:r>
      <w:r>
        <w:rPr>
          <w:spacing w:val="40"/>
          <w:sz w:val="21"/>
        </w:rPr>
        <w:t> </w:t>
      </w:r>
      <w:r>
        <w:rPr>
          <w:sz w:val="21"/>
        </w:rPr>
        <w:t>services</w:t>
      </w:r>
      <w:r>
        <w:rPr>
          <w:spacing w:val="40"/>
          <w:sz w:val="21"/>
        </w:rPr>
        <w:t> </w:t>
      </w:r>
      <w:r>
        <w:rPr>
          <w:sz w:val="21"/>
        </w:rPr>
        <w:t>from</w:t>
      </w:r>
      <w:r>
        <w:rPr>
          <w:spacing w:val="40"/>
          <w:sz w:val="21"/>
        </w:rPr>
        <w:t> </w:t>
      </w:r>
      <w:r>
        <w:rPr>
          <w:sz w:val="21"/>
        </w:rPr>
        <w:t>DYS</w:t>
      </w:r>
      <w:r>
        <w:rPr>
          <w:spacing w:val="40"/>
          <w:sz w:val="21"/>
        </w:rPr>
        <w:t> </w:t>
      </w:r>
      <w:r>
        <w:rPr>
          <w:sz w:val="21"/>
        </w:rPr>
        <w:t>post- </w:t>
      </w:r>
      <w:r>
        <w:rPr>
          <w:spacing w:val="-2"/>
          <w:sz w:val="21"/>
        </w:rPr>
        <w:t>discharge.</w:t>
      </w:r>
    </w:p>
    <w:p>
      <w:pPr>
        <w:pStyle w:val="BodyText"/>
        <w:spacing w:line="276" w:lineRule="auto" w:before="239"/>
        <w:ind w:left="483" w:right="343"/>
        <w:jc w:val="both"/>
      </w:pPr>
      <w:r>
        <w:rPr/>
        <w:t>For a decade, DYS has led the nation in developing and implementing policies and guidelines to prohibit discrimination and harassment against LGBTQ youth. The DYS policy and guidelines, which became effective in July 2014, were developed through collaboration with community advocates, including members of the Commission. DYS has received state and national recognition for its work on behalf of youth in the juvenile justice system.</w:t>
      </w:r>
    </w:p>
    <w:p>
      <w:pPr>
        <w:pStyle w:val="BodyText"/>
        <w:spacing w:line="276" w:lineRule="auto" w:before="241"/>
        <w:ind w:left="483" w:right="342"/>
        <w:jc w:val="both"/>
      </w:pPr>
      <w:r>
        <w:rPr/>
        <w:t>For many years, national research has suggested that LGBTQ youth - particularly QTBIPOC youth - are overrepresented within the juvenile justice system, as discussed in the above Advancing Justice section.</w:t>
      </w:r>
    </w:p>
    <w:p>
      <w:pPr>
        <w:spacing w:after="0" w:line="276" w:lineRule="auto"/>
        <w:jc w:val="both"/>
        <w:sectPr>
          <w:headerReference w:type="default" r:id="rId756"/>
          <w:footerReference w:type="default" r:id="rId757"/>
          <w:pgSz w:w="12240" w:h="15840"/>
          <w:pgMar w:header="804" w:footer="1231" w:top="1000" w:bottom="1420" w:left="960" w:right="1100"/>
        </w:sectPr>
      </w:pPr>
    </w:p>
    <w:p>
      <w:pPr>
        <w:pStyle w:val="BodyText"/>
        <w:spacing w:line="276" w:lineRule="auto" w:before="139"/>
        <w:ind w:left="483" w:right="342"/>
        <w:jc w:val="both"/>
      </w:pPr>
      <w:r>
        <w:rPr/>
        <w:t>However, DYS data indicates that only 7.1% of youth in DYS services identify as LGBTQ, though 83% of youth in its service identify as BIPOC. The Commission has worked with DYS for many years to explore ways</w:t>
      </w:r>
      <w:r>
        <w:rPr>
          <w:spacing w:val="-13"/>
        </w:rPr>
        <w:t> </w:t>
      </w:r>
      <w:r>
        <w:rPr/>
        <w:t>to</w:t>
      </w:r>
      <w:r>
        <w:rPr>
          <w:spacing w:val="-12"/>
        </w:rPr>
        <w:t> </w:t>
      </w:r>
      <w:r>
        <w:rPr/>
        <w:t>improve</w:t>
      </w:r>
      <w:r>
        <w:rPr>
          <w:spacing w:val="-13"/>
        </w:rPr>
        <w:t> </w:t>
      </w:r>
      <w:r>
        <w:rPr/>
        <w:t>DYS</w:t>
      </w:r>
      <w:r>
        <w:rPr>
          <w:spacing w:val="-12"/>
        </w:rPr>
        <w:t> </w:t>
      </w:r>
      <w:r>
        <w:rPr/>
        <w:t>services</w:t>
      </w:r>
      <w:r>
        <w:rPr>
          <w:spacing w:val="-13"/>
        </w:rPr>
        <w:t> </w:t>
      </w:r>
      <w:r>
        <w:rPr/>
        <w:t>through</w:t>
      </w:r>
      <w:r>
        <w:rPr>
          <w:spacing w:val="-12"/>
        </w:rPr>
        <w:t> </w:t>
      </w:r>
      <w:r>
        <w:rPr/>
        <w:t>policy</w:t>
      </w:r>
      <w:r>
        <w:rPr>
          <w:spacing w:val="-13"/>
        </w:rPr>
        <w:t> </w:t>
      </w:r>
      <w:r>
        <w:rPr/>
        <w:t>development,</w:t>
      </w:r>
      <w:r>
        <w:rPr>
          <w:spacing w:val="-12"/>
        </w:rPr>
        <w:t> </w:t>
      </w:r>
      <w:r>
        <w:rPr/>
        <w:t>trainings,</w:t>
      </w:r>
      <w:r>
        <w:rPr>
          <w:spacing w:val="-12"/>
        </w:rPr>
        <w:t> </w:t>
      </w:r>
      <w:r>
        <w:rPr/>
        <w:t>and</w:t>
      </w:r>
      <w:r>
        <w:rPr>
          <w:spacing w:val="-13"/>
        </w:rPr>
        <w:t> </w:t>
      </w:r>
      <w:r>
        <w:rPr/>
        <w:t>data</w:t>
      </w:r>
      <w:r>
        <w:rPr>
          <w:spacing w:val="-12"/>
        </w:rPr>
        <w:t> </w:t>
      </w:r>
      <w:r>
        <w:rPr/>
        <w:t>collection.</w:t>
      </w:r>
      <w:r>
        <w:rPr>
          <w:spacing w:val="-13"/>
        </w:rPr>
        <w:t> </w:t>
      </w:r>
      <w:r>
        <w:rPr/>
        <w:t>The</w:t>
      </w:r>
      <w:r>
        <w:rPr>
          <w:spacing w:val="-12"/>
        </w:rPr>
        <w:t> </w:t>
      </w:r>
      <w:r>
        <w:rPr/>
        <w:t>Commission looks forward to continuing this work in FY 2025.</w:t>
      </w:r>
    </w:p>
    <w:p>
      <w:pPr>
        <w:spacing w:before="238"/>
        <w:ind w:left="483" w:right="0" w:firstLine="0"/>
        <w:jc w:val="both"/>
        <w:rPr>
          <w:sz w:val="28"/>
        </w:rPr>
      </w:pPr>
      <w:r>
        <w:rPr>
          <w:color w:val="365F91"/>
          <w:sz w:val="28"/>
        </w:rPr>
        <w:t>FY</w:t>
      </w:r>
      <w:r>
        <w:rPr>
          <w:color w:val="365F91"/>
          <w:spacing w:val="-8"/>
          <w:sz w:val="28"/>
        </w:rPr>
        <w:t> </w:t>
      </w:r>
      <w:r>
        <w:rPr>
          <w:color w:val="365F91"/>
          <w:sz w:val="28"/>
        </w:rPr>
        <w:t>2025</w:t>
      </w:r>
      <w:r>
        <w:rPr>
          <w:color w:val="365F91"/>
          <w:spacing w:val="-9"/>
          <w:sz w:val="28"/>
        </w:rPr>
        <w:t> </w:t>
      </w:r>
      <w:r>
        <w:rPr>
          <w:color w:val="365F91"/>
          <w:sz w:val="28"/>
        </w:rPr>
        <w:t>Expanded</w:t>
      </w:r>
      <w:r>
        <w:rPr>
          <w:color w:val="365F91"/>
          <w:spacing w:val="-8"/>
          <w:sz w:val="28"/>
        </w:rPr>
        <w:t> </w:t>
      </w:r>
      <w:r>
        <w:rPr>
          <w:color w:val="365F91"/>
          <w:sz w:val="28"/>
        </w:rPr>
        <w:t>DYS</w:t>
      </w:r>
      <w:r>
        <w:rPr>
          <w:color w:val="365F91"/>
          <w:spacing w:val="-8"/>
          <w:sz w:val="28"/>
        </w:rPr>
        <w:t> </w:t>
      </w:r>
      <w:r>
        <w:rPr>
          <w:color w:val="365F91"/>
          <w:spacing w:val="-2"/>
          <w:sz w:val="28"/>
        </w:rPr>
        <w:t>Recommendations</w:t>
      </w:r>
    </w:p>
    <w:p>
      <w:pPr>
        <w:pStyle w:val="BodyText"/>
        <w:spacing w:before="11"/>
        <w:rPr>
          <w:sz w:val="3"/>
        </w:rPr>
      </w:pPr>
      <w:r>
        <w:rPr/>
        <mc:AlternateContent>
          <mc:Choice Requires="wps">
            <w:drawing>
              <wp:anchor distT="0" distB="0" distL="0" distR="0" allowOverlap="1" layoutInCell="1" locked="0" behindDoc="1" simplePos="0" relativeHeight="487719936">
                <wp:simplePos x="0" y="0"/>
                <wp:positionH relativeFrom="page">
                  <wp:posOffset>897636</wp:posOffset>
                </wp:positionH>
                <wp:positionV relativeFrom="paragraph">
                  <wp:posOffset>45562</wp:posOffset>
                </wp:positionV>
                <wp:extent cx="5976620" cy="6350"/>
                <wp:effectExtent l="0" t="0" r="0" b="0"/>
                <wp:wrapTopAndBottom/>
                <wp:docPr id="645" name="Graphic 645"/>
                <wp:cNvGraphicFramePr>
                  <a:graphicFrameLocks/>
                </wp:cNvGraphicFramePr>
                <a:graphic>
                  <a:graphicData uri="http://schemas.microsoft.com/office/word/2010/wordprocessingShape">
                    <wps:wsp>
                      <wps:cNvPr id="645" name="Graphic 645"/>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7578pt;width:470.58pt;height:.48pt;mso-position-horizontal-relative:page;mso-position-vertical-relative:paragraph;z-index:-15596544;mso-wrap-distance-left:0;mso-wrap-distance-right:0" id="docshape542" filled="true" fillcolor="#4f81bc" stroked="false">
                <v:fill type="solid"/>
                <w10:wrap type="topAndBottom"/>
              </v:rect>
            </w:pict>
          </mc:Fallback>
        </mc:AlternateContent>
      </w:r>
    </w:p>
    <w:p>
      <w:pPr>
        <w:numPr>
          <w:ilvl w:val="0"/>
          <w:numId w:val="44"/>
        </w:numPr>
        <w:tabs>
          <w:tab w:pos="481" w:val="left" w:leader="none"/>
          <w:tab w:pos="483" w:val="left" w:leader="none"/>
        </w:tabs>
        <w:spacing w:line="276" w:lineRule="auto" w:before="241"/>
        <w:ind w:left="483" w:right="343" w:hanging="360"/>
        <w:jc w:val="left"/>
        <w:rPr>
          <w:b/>
          <w:sz w:val="22"/>
        </w:rPr>
      </w:pPr>
      <w:r>
        <w:rPr>
          <w:b/>
          <w:sz w:val="22"/>
        </w:rPr>
        <w:t>Update SOGIE data standards, and continue to publish a critical analysis of data obtained on LGBTQ</w:t>
      </w:r>
      <w:r>
        <w:rPr>
          <w:b/>
          <w:spacing w:val="40"/>
          <w:sz w:val="22"/>
        </w:rPr>
        <w:t> </w:t>
      </w:r>
      <w:r>
        <w:rPr>
          <w:b/>
          <w:sz w:val="22"/>
        </w:rPr>
        <w:t>youth in DYS services.</w:t>
      </w:r>
    </w:p>
    <w:p>
      <w:pPr>
        <w:pStyle w:val="BodyText"/>
        <w:spacing w:line="276" w:lineRule="auto" w:before="239"/>
        <w:ind w:left="483" w:right="342"/>
        <w:jc w:val="both"/>
      </w:pPr>
      <w:r>
        <w:rPr/>
        <w:t>The Commission has previously noted the need for DYS to establish a more formal process for ensuring that its SOGIE data collection standards are routinely reviewed, which DYS has committed to doing, to better capture the actual number of LGBTQ youth within DYS programs and their experiences. The Commission</w:t>
      </w:r>
      <w:r>
        <w:rPr>
          <w:spacing w:val="-7"/>
        </w:rPr>
        <w:t> </w:t>
      </w:r>
      <w:r>
        <w:rPr/>
        <w:t>further</w:t>
      </w:r>
      <w:r>
        <w:rPr>
          <w:spacing w:val="-6"/>
        </w:rPr>
        <w:t> </w:t>
      </w:r>
      <w:r>
        <w:rPr/>
        <w:t>recommends</w:t>
      </w:r>
      <w:r>
        <w:rPr>
          <w:spacing w:val="-5"/>
        </w:rPr>
        <w:t> </w:t>
      </w:r>
      <w:r>
        <w:rPr/>
        <w:t>that</w:t>
      </w:r>
      <w:r>
        <w:rPr>
          <w:spacing w:val="-6"/>
        </w:rPr>
        <w:t> </w:t>
      </w:r>
      <w:r>
        <w:rPr/>
        <w:t>DYS</w:t>
      </w:r>
      <w:r>
        <w:rPr>
          <w:spacing w:val="-7"/>
        </w:rPr>
        <w:t> </w:t>
      </w:r>
      <w:r>
        <w:rPr/>
        <w:t>make</w:t>
      </w:r>
      <w:r>
        <w:rPr>
          <w:spacing w:val="-7"/>
        </w:rPr>
        <w:t> </w:t>
      </w:r>
      <w:r>
        <w:rPr/>
        <w:t>this</w:t>
      </w:r>
      <w:r>
        <w:rPr>
          <w:spacing w:val="-5"/>
        </w:rPr>
        <w:t> </w:t>
      </w:r>
      <w:r>
        <w:rPr/>
        <w:t>process</w:t>
      </w:r>
      <w:r>
        <w:rPr>
          <w:spacing w:val="-6"/>
        </w:rPr>
        <w:t> </w:t>
      </w:r>
      <w:r>
        <w:rPr/>
        <w:t>publicly</w:t>
      </w:r>
      <w:r>
        <w:rPr>
          <w:spacing w:val="-6"/>
        </w:rPr>
        <w:t> </w:t>
      </w:r>
      <w:r>
        <w:rPr/>
        <w:t>available</w:t>
      </w:r>
      <w:r>
        <w:rPr>
          <w:spacing w:val="-5"/>
        </w:rPr>
        <w:t> </w:t>
      </w:r>
      <w:r>
        <w:rPr/>
        <w:t>to</w:t>
      </w:r>
      <w:r>
        <w:rPr>
          <w:spacing w:val="-6"/>
        </w:rPr>
        <w:t> </w:t>
      </w:r>
      <w:r>
        <w:rPr/>
        <w:t>increase</w:t>
      </w:r>
      <w:r>
        <w:rPr>
          <w:spacing w:val="-7"/>
        </w:rPr>
        <w:t> </w:t>
      </w:r>
      <w:r>
        <w:rPr/>
        <w:t>accountability for</w:t>
      </w:r>
      <w:r>
        <w:rPr>
          <w:spacing w:val="-10"/>
        </w:rPr>
        <w:t> </w:t>
      </w:r>
      <w:r>
        <w:rPr/>
        <w:t>the</w:t>
      </w:r>
      <w:r>
        <w:rPr>
          <w:spacing w:val="-9"/>
        </w:rPr>
        <w:t> </w:t>
      </w:r>
      <w:r>
        <w:rPr/>
        <w:t>agency.</w:t>
      </w:r>
      <w:r>
        <w:rPr>
          <w:spacing w:val="-11"/>
        </w:rPr>
        <w:t> </w:t>
      </w:r>
      <w:r>
        <w:rPr/>
        <w:t>In</w:t>
      </w:r>
      <w:r>
        <w:rPr>
          <w:spacing w:val="-9"/>
        </w:rPr>
        <w:t> </w:t>
      </w:r>
      <w:r>
        <w:rPr/>
        <w:t>answer,</w:t>
      </w:r>
      <w:r>
        <w:rPr>
          <w:spacing w:val="-9"/>
        </w:rPr>
        <w:t> </w:t>
      </w:r>
      <w:r>
        <w:rPr/>
        <w:t>DYS</w:t>
      </w:r>
      <w:r>
        <w:rPr>
          <w:spacing w:val="-10"/>
        </w:rPr>
        <w:t> </w:t>
      </w:r>
      <w:r>
        <w:rPr/>
        <w:t>shared</w:t>
      </w:r>
      <w:r>
        <w:rPr>
          <w:spacing w:val="-10"/>
        </w:rPr>
        <w:t> </w:t>
      </w:r>
      <w:r>
        <w:rPr/>
        <w:t>a</w:t>
      </w:r>
      <w:r>
        <w:rPr>
          <w:spacing w:val="-7"/>
        </w:rPr>
        <w:t> </w:t>
      </w:r>
      <w:r>
        <w:rPr/>
        <w:t>number</w:t>
      </w:r>
      <w:r>
        <w:rPr>
          <w:spacing w:val="-10"/>
        </w:rPr>
        <w:t> </w:t>
      </w:r>
      <w:r>
        <w:rPr/>
        <w:t>of</w:t>
      </w:r>
      <w:r>
        <w:rPr>
          <w:spacing w:val="-9"/>
        </w:rPr>
        <w:t> </w:t>
      </w:r>
      <w:r>
        <w:rPr/>
        <w:t>updates</w:t>
      </w:r>
      <w:r>
        <w:rPr>
          <w:spacing w:val="-10"/>
        </w:rPr>
        <w:t> </w:t>
      </w:r>
      <w:r>
        <w:rPr/>
        <w:t>in</w:t>
      </w:r>
      <w:r>
        <w:rPr>
          <w:spacing w:val="-9"/>
        </w:rPr>
        <w:t> </w:t>
      </w:r>
      <w:r>
        <w:rPr/>
        <w:t>April</w:t>
      </w:r>
      <w:r>
        <w:rPr>
          <w:spacing w:val="-8"/>
        </w:rPr>
        <w:t> </w:t>
      </w:r>
      <w:r>
        <w:rPr/>
        <w:t>2024</w:t>
      </w:r>
      <w:r>
        <w:rPr>
          <w:spacing w:val="-10"/>
        </w:rPr>
        <w:t> </w:t>
      </w:r>
      <w:r>
        <w:rPr/>
        <w:t>on</w:t>
      </w:r>
      <w:r>
        <w:rPr>
          <w:spacing w:val="-9"/>
        </w:rPr>
        <w:t> </w:t>
      </w:r>
      <w:r>
        <w:rPr/>
        <w:t>their</w:t>
      </w:r>
      <w:r>
        <w:rPr>
          <w:spacing w:val="-9"/>
        </w:rPr>
        <w:t> </w:t>
      </w:r>
      <w:r>
        <w:rPr/>
        <w:t>ongoing</w:t>
      </w:r>
      <w:r>
        <w:rPr>
          <w:spacing w:val="-10"/>
        </w:rPr>
        <w:t> </w:t>
      </w:r>
      <w:r>
        <w:rPr/>
        <w:t>work</w:t>
      </w:r>
      <w:r>
        <w:rPr>
          <w:spacing w:val="-9"/>
        </w:rPr>
        <w:t> </w:t>
      </w:r>
      <w:r>
        <w:rPr/>
        <w:t>to</w:t>
      </w:r>
      <w:r>
        <w:rPr>
          <w:spacing w:val="-10"/>
        </w:rPr>
        <w:t> </w:t>
      </w:r>
      <w:r>
        <w:rPr/>
        <w:t>address the Commission’s recommendations.</w:t>
      </w:r>
    </w:p>
    <w:p>
      <w:pPr>
        <w:pStyle w:val="BodyText"/>
        <w:spacing w:line="276" w:lineRule="auto" w:before="241"/>
        <w:ind w:left="483" w:right="343"/>
        <w:jc w:val="both"/>
      </w:pPr>
      <w:r>
        <w:rPr/>
        <w:t>Regarding this SOGIE data recommendation, DYS shared that it</w:t>
      </w:r>
      <w:r>
        <w:rPr>
          <w:spacing w:val="-1"/>
        </w:rPr>
        <w:t> </w:t>
      </w:r>
      <w:r>
        <w:rPr/>
        <w:t>reviews it LGBTQ+ youth intake data and other significant data points on a quarterly basis to review the impact of its practices and ensure appropriate services. In FY 2024, the DYS SOGIE Data Collection Subcommittee identified some errors in its data management system that was leading to some data irregularities; this has been addressed with follow-up</w:t>
      </w:r>
      <w:r>
        <w:rPr>
          <w:spacing w:val="-4"/>
        </w:rPr>
        <w:t> </w:t>
      </w:r>
      <w:r>
        <w:rPr/>
        <w:t>plans</w:t>
      </w:r>
      <w:r>
        <w:rPr>
          <w:spacing w:val="-4"/>
        </w:rPr>
        <w:t> </w:t>
      </w:r>
      <w:r>
        <w:rPr/>
        <w:t>in</w:t>
      </w:r>
      <w:r>
        <w:rPr>
          <w:spacing w:val="-4"/>
        </w:rPr>
        <w:t> </w:t>
      </w:r>
      <w:r>
        <w:rPr/>
        <w:t>place</w:t>
      </w:r>
      <w:r>
        <w:rPr>
          <w:spacing w:val="-4"/>
        </w:rPr>
        <w:t> </w:t>
      </w:r>
      <w:r>
        <w:rPr/>
        <w:t>to</w:t>
      </w:r>
      <w:r>
        <w:rPr>
          <w:spacing w:val="-2"/>
        </w:rPr>
        <w:t> </w:t>
      </w:r>
      <w:r>
        <w:rPr/>
        <w:t>ensure</w:t>
      </w:r>
      <w:r>
        <w:rPr>
          <w:spacing w:val="-3"/>
        </w:rPr>
        <w:t> </w:t>
      </w:r>
      <w:r>
        <w:rPr/>
        <w:t>that</w:t>
      </w:r>
      <w:r>
        <w:rPr>
          <w:spacing w:val="-3"/>
        </w:rPr>
        <w:t> </w:t>
      </w:r>
      <w:r>
        <w:rPr/>
        <w:t>data</w:t>
      </w:r>
      <w:r>
        <w:rPr>
          <w:spacing w:val="-4"/>
        </w:rPr>
        <w:t> </w:t>
      </w:r>
      <w:r>
        <w:rPr/>
        <w:t>is</w:t>
      </w:r>
      <w:r>
        <w:rPr>
          <w:spacing w:val="-4"/>
        </w:rPr>
        <w:t> </w:t>
      </w:r>
      <w:r>
        <w:rPr/>
        <w:t>correctly</w:t>
      </w:r>
      <w:r>
        <w:rPr>
          <w:spacing w:val="-4"/>
        </w:rPr>
        <w:t> </w:t>
      </w:r>
      <w:r>
        <w:rPr/>
        <w:t>entered</w:t>
      </w:r>
      <w:r>
        <w:rPr>
          <w:spacing w:val="-3"/>
        </w:rPr>
        <w:t> </w:t>
      </w:r>
      <w:r>
        <w:rPr/>
        <w:t>into</w:t>
      </w:r>
      <w:r>
        <w:rPr>
          <w:spacing w:val="-3"/>
        </w:rPr>
        <w:t> </w:t>
      </w:r>
      <w:r>
        <w:rPr/>
        <w:t>the</w:t>
      </w:r>
      <w:r>
        <w:rPr>
          <w:spacing w:val="-3"/>
        </w:rPr>
        <w:t> </w:t>
      </w:r>
      <w:r>
        <w:rPr/>
        <w:t>system</w:t>
      </w:r>
      <w:r>
        <w:rPr>
          <w:spacing w:val="-3"/>
        </w:rPr>
        <w:t> </w:t>
      </w:r>
      <w:r>
        <w:rPr/>
        <w:t>moving</w:t>
      </w:r>
      <w:r>
        <w:rPr>
          <w:spacing w:val="-4"/>
        </w:rPr>
        <w:t> </w:t>
      </w:r>
      <w:r>
        <w:rPr/>
        <w:t>forward.</w:t>
      </w:r>
      <w:r>
        <w:rPr>
          <w:spacing w:val="-4"/>
        </w:rPr>
        <w:t> </w:t>
      </w:r>
      <w:r>
        <w:rPr/>
        <w:t>Further updates to the</w:t>
      </w:r>
      <w:r>
        <w:rPr>
          <w:spacing w:val="-1"/>
        </w:rPr>
        <w:t> </w:t>
      </w:r>
      <w:r>
        <w:rPr/>
        <w:t>data management</w:t>
      </w:r>
      <w:r>
        <w:rPr>
          <w:spacing w:val="-1"/>
        </w:rPr>
        <w:t> </w:t>
      </w:r>
      <w:r>
        <w:rPr/>
        <w:t>system</w:t>
      </w:r>
      <w:r>
        <w:rPr>
          <w:spacing w:val="-1"/>
        </w:rPr>
        <w:t> </w:t>
      </w:r>
      <w:r>
        <w:rPr/>
        <w:t>(JJEMS) are</w:t>
      </w:r>
      <w:r>
        <w:rPr>
          <w:spacing w:val="-1"/>
        </w:rPr>
        <w:t> </w:t>
      </w:r>
      <w:r>
        <w:rPr/>
        <w:t>expected to occur in the coming months, including data fields to better show youth’s chosen name and pronouns.</w:t>
      </w:r>
    </w:p>
    <w:p>
      <w:pPr>
        <w:pStyle w:val="BodyText"/>
        <w:spacing w:line="276" w:lineRule="auto" w:before="239"/>
        <w:ind w:left="483" w:right="342"/>
        <w:jc w:val="both"/>
      </w:pPr>
      <w:r>
        <w:rPr/>
        <w:t>As</w:t>
      </w:r>
      <w:r>
        <w:rPr>
          <w:spacing w:val="-9"/>
        </w:rPr>
        <w:t> </w:t>
      </w:r>
      <w:r>
        <w:rPr/>
        <w:t>has</w:t>
      </w:r>
      <w:r>
        <w:rPr>
          <w:spacing w:val="-9"/>
        </w:rPr>
        <w:t> </w:t>
      </w:r>
      <w:r>
        <w:rPr/>
        <w:t>been</w:t>
      </w:r>
      <w:r>
        <w:rPr>
          <w:spacing w:val="-8"/>
        </w:rPr>
        <w:t> </w:t>
      </w:r>
      <w:r>
        <w:rPr/>
        <w:t>previously</w:t>
      </w:r>
      <w:r>
        <w:rPr>
          <w:spacing w:val="-9"/>
        </w:rPr>
        <w:t> </w:t>
      </w:r>
      <w:r>
        <w:rPr/>
        <w:t>shared</w:t>
      </w:r>
      <w:r>
        <w:rPr>
          <w:spacing w:val="-9"/>
        </w:rPr>
        <w:t> </w:t>
      </w:r>
      <w:r>
        <w:rPr/>
        <w:t>with</w:t>
      </w:r>
      <w:r>
        <w:rPr>
          <w:spacing w:val="-8"/>
        </w:rPr>
        <w:t> </w:t>
      </w:r>
      <w:r>
        <w:rPr/>
        <w:t>the</w:t>
      </w:r>
      <w:r>
        <w:rPr>
          <w:spacing w:val="-8"/>
        </w:rPr>
        <w:t> </w:t>
      </w:r>
      <w:r>
        <w:rPr/>
        <w:t>Commission,</w:t>
      </w:r>
      <w:r>
        <w:rPr>
          <w:spacing w:val="-9"/>
        </w:rPr>
        <w:t> </w:t>
      </w:r>
      <w:r>
        <w:rPr/>
        <w:t>roughly</w:t>
      </w:r>
      <w:r>
        <w:rPr>
          <w:spacing w:val="-9"/>
        </w:rPr>
        <w:t> </w:t>
      </w:r>
      <w:r>
        <w:rPr/>
        <w:t>a</w:t>
      </w:r>
      <w:r>
        <w:rPr>
          <w:spacing w:val="-7"/>
        </w:rPr>
        <w:t> </w:t>
      </w:r>
      <w:r>
        <w:rPr/>
        <w:t>quarter</w:t>
      </w:r>
      <w:r>
        <w:rPr>
          <w:spacing w:val="-9"/>
        </w:rPr>
        <w:t> </w:t>
      </w:r>
      <w:r>
        <w:rPr/>
        <w:t>of</w:t>
      </w:r>
      <w:r>
        <w:rPr>
          <w:spacing w:val="-8"/>
        </w:rPr>
        <w:t> </w:t>
      </w:r>
      <w:r>
        <w:rPr/>
        <w:t>DYS</w:t>
      </w:r>
      <w:r>
        <w:rPr>
          <w:spacing w:val="-8"/>
        </w:rPr>
        <w:t> </w:t>
      </w:r>
      <w:r>
        <w:rPr/>
        <w:t>youth</w:t>
      </w:r>
      <w:r>
        <w:rPr>
          <w:spacing w:val="-8"/>
        </w:rPr>
        <w:t> </w:t>
      </w:r>
      <w:r>
        <w:rPr/>
        <w:t>have</w:t>
      </w:r>
      <w:r>
        <w:rPr>
          <w:spacing w:val="-8"/>
        </w:rPr>
        <w:t> </w:t>
      </w:r>
      <w:r>
        <w:rPr/>
        <w:t>stated</w:t>
      </w:r>
      <w:r>
        <w:rPr>
          <w:spacing w:val="-8"/>
        </w:rPr>
        <w:t> </w:t>
      </w:r>
      <w:r>
        <w:rPr/>
        <w:t>that</w:t>
      </w:r>
      <w:r>
        <w:rPr>
          <w:spacing w:val="-8"/>
        </w:rPr>
        <w:t> </w:t>
      </w:r>
      <w:r>
        <w:rPr/>
        <w:t>they have a fear of being at DYS, with the vast majority of these youth - per DYS - identifying as LGBTQ+. However, as noted by DYS and agreed with by the Commission, the current question structure does not allow</w:t>
      </w:r>
      <w:r>
        <w:rPr>
          <w:spacing w:val="-5"/>
        </w:rPr>
        <w:t> </w:t>
      </w:r>
      <w:r>
        <w:rPr/>
        <w:t>for</w:t>
      </w:r>
      <w:r>
        <w:rPr>
          <w:spacing w:val="-5"/>
        </w:rPr>
        <w:t> </w:t>
      </w:r>
      <w:r>
        <w:rPr/>
        <w:t>a</w:t>
      </w:r>
      <w:r>
        <w:rPr>
          <w:spacing w:val="-4"/>
        </w:rPr>
        <w:t> </w:t>
      </w:r>
      <w:r>
        <w:rPr/>
        <w:t>nuanced</w:t>
      </w:r>
      <w:r>
        <w:rPr>
          <w:spacing w:val="-4"/>
        </w:rPr>
        <w:t> </w:t>
      </w:r>
      <w:r>
        <w:rPr/>
        <w:t>understanding</w:t>
      </w:r>
      <w:r>
        <w:rPr>
          <w:spacing w:val="-6"/>
        </w:rPr>
        <w:t> </w:t>
      </w:r>
      <w:r>
        <w:rPr/>
        <w:t>of</w:t>
      </w:r>
      <w:r>
        <w:rPr>
          <w:spacing w:val="-4"/>
        </w:rPr>
        <w:t> </w:t>
      </w:r>
      <w:r>
        <w:rPr/>
        <w:t>why</w:t>
      </w:r>
      <w:r>
        <w:rPr>
          <w:spacing w:val="-5"/>
        </w:rPr>
        <w:t> </w:t>
      </w:r>
      <w:r>
        <w:rPr/>
        <w:t>the</w:t>
      </w:r>
      <w:r>
        <w:rPr>
          <w:spacing w:val="-4"/>
        </w:rPr>
        <w:t> </w:t>
      </w:r>
      <w:r>
        <w:rPr/>
        <w:t>youth</w:t>
      </w:r>
      <w:r>
        <w:rPr>
          <w:spacing w:val="-3"/>
        </w:rPr>
        <w:t> </w:t>
      </w:r>
      <w:r>
        <w:rPr/>
        <w:t>are</w:t>
      </w:r>
      <w:r>
        <w:rPr>
          <w:spacing w:val="-6"/>
        </w:rPr>
        <w:t> </w:t>
      </w:r>
      <w:r>
        <w:rPr/>
        <w:t>fearful</w:t>
      </w:r>
      <w:r>
        <w:rPr>
          <w:spacing w:val="-4"/>
        </w:rPr>
        <w:t> </w:t>
      </w:r>
      <w:r>
        <w:rPr/>
        <w:t>of</w:t>
      </w:r>
      <w:r>
        <w:rPr>
          <w:spacing w:val="-4"/>
        </w:rPr>
        <w:t> </w:t>
      </w:r>
      <w:r>
        <w:rPr/>
        <w:t>engaging</w:t>
      </w:r>
      <w:r>
        <w:rPr>
          <w:spacing w:val="-6"/>
        </w:rPr>
        <w:t> </w:t>
      </w:r>
      <w:r>
        <w:rPr/>
        <w:t>with</w:t>
      </w:r>
      <w:r>
        <w:rPr>
          <w:spacing w:val="-6"/>
        </w:rPr>
        <w:t> </w:t>
      </w:r>
      <w:r>
        <w:rPr/>
        <w:t>DYS;</w:t>
      </w:r>
      <w:r>
        <w:rPr>
          <w:spacing w:val="-4"/>
        </w:rPr>
        <w:t> </w:t>
      </w:r>
      <w:r>
        <w:rPr/>
        <w:t>DYS</w:t>
      </w:r>
      <w:r>
        <w:rPr>
          <w:spacing w:val="-6"/>
        </w:rPr>
        <w:t> </w:t>
      </w:r>
      <w:r>
        <w:rPr/>
        <w:t>shared</w:t>
      </w:r>
      <w:r>
        <w:rPr>
          <w:spacing w:val="-6"/>
        </w:rPr>
        <w:t> </w:t>
      </w:r>
      <w:r>
        <w:rPr/>
        <w:t>that</w:t>
      </w:r>
      <w:r>
        <w:rPr>
          <w:spacing w:val="-5"/>
        </w:rPr>
        <w:t> </w:t>
      </w:r>
      <w:r>
        <w:rPr/>
        <w:t>its data</w:t>
      </w:r>
      <w:r>
        <w:rPr>
          <w:spacing w:val="-8"/>
        </w:rPr>
        <w:t> </w:t>
      </w:r>
      <w:r>
        <w:rPr/>
        <w:t>subcommittee</w:t>
      </w:r>
      <w:r>
        <w:rPr>
          <w:spacing w:val="-8"/>
        </w:rPr>
        <w:t> </w:t>
      </w:r>
      <w:r>
        <w:rPr/>
        <w:t>is</w:t>
      </w:r>
      <w:r>
        <w:rPr>
          <w:spacing w:val="-7"/>
        </w:rPr>
        <w:t> </w:t>
      </w:r>
      <w:r>
        <w:rPr/>
        <w:t>currently</w:t>
      </w:r>
      <w:r>
        <w:rPr>
          <w:spacing w:val="-7"/>
        </w:rPr>
        <w:t> </w:t>
      </w:r>
      <w:r>
        <w:rPr/>
        <w:t>reviewing</w:t>
      </w:r>
      <w:r>
        <w:rPr>
          <w:spacing w:val="-8"/>
        </w:rPr>
        <w:t> </w:t>
      </w:r>
      <w:r>
        <w:rPr/>
        <w:t>its</w:t>
      </w:r>
      <w:r>
        <w:rPr>
          <w:spacing w:val="-7"/>
        </w:rPr>
        <w:t> </w:t>
      </w:r>
      <w:r>
        <w:rPr/>
        <w:t>intake</w:t>
      </w:r>
      <w:r>
        <w:rPr>
          <w:spacing w:val="-6"/>
        </w:rPr>
        <w:t> </w:t>
      </w:r>
      <w:r>
        <w:rPr/>
        <w:t>questions</w:t>
      </w:r>
      <w:r>
        <w:rPr>
          <w:spacing w:val="-7"/>
        </w:rPr>
        <w:t> </w:t>
      </w:r>
      <w:r>
        <w:rPr/>
        <w:t>and</w:t>
      </w:r>
      <w:r>
        <w:rPr>
          <w:spacing w:val="-9"/>
        </w:rPr>
        <w:t> </w:t>
      </w:r>
      <w:r>
        <w:rPr/>
        <w:t>will</w:t>
      </w:r>
      <w:r>
        <w:rPr>
          <w:spacing w:val="-6"/>
        </w:rPr>
        <w:t> </w:t>
      </w:r>
      <w:r>
        <w:rPr/>
        <w:t>be</w:t>
      </w:r>
      <w:r>
        <w:rPr>
          <w:spacing w:val="-8"/>
        </w:rPr>
        <w:t> </w:t>
      </w:r>
      <w:r>
        <w:rPr/>
        <w:t>updating</w:t>
      </w:r>
      <w:r>
        <w:rPr>
          <w:spacing w:val="-8"/>
        </w:rPr>
        <w:t> </w:t>
      </w:r>
      <w:r>
        <w:rPr/>
        <w:t>the</w:t>
      </w:r>
      <w:r>
        <w:rPr>
          <w:spacing w:val="-8"/>
        </w:rPr>
        <w:t> </w:t>
      </w:r>
      <w:r>
        <w:rPr/>
        <w:t>language</w:t>
      </w:r>
      <w:r>
        <w:rPr>
          <w:spacing w:val="-8"/>
        </w:rPr>
        <w:t> </w:t>
      </w:r>
      <w:r>
        <w:rPr/>
        <w:t>to</w:t>
      </w:r>
      <w:r>
        <w:rPr>
          <w:spacing w:val="-7"/>
        </w:rPr>
        <w:t> </w:t>
      </w:r>
      <w:r>
        <w:rPr/>
        <w:t>better capture this information. The Commission further recommends that DYS share more information about the</w:t>
      </w:r>
      <w:r>
        <w:rPr>
          <w:spacing w:val="-1"/>
        </w:rPr>
        <w:t> </w:t>
      </w:r>
      <w:r>
        <w:rPr/>
        <w:t>experiences</w:t>
      </w:r>
      <w:r>
        <w:rPr>
          <w:spacing w:val="-1"/>
        </w:rPr>
        <w:t> </w:t>
      </w:r>
      <w:r>
        <w:rPr/>
        <w:t>of</w:t>
      </w:r>
      <w:r>
        <w:rPr>
          <w:spacing w:val="-2"/>
        </w:rPr>
        <w:t> </w:t>
      </w:r>
      <w:r>
        <w:rPr/>
        <w:t>DYS</w:t>
      </w:r>
      <w:r>
        <w:rPr>
          <w:spacing w:val="-1"/>
        </w:rPr>
        <w:t> </w:t>
      </w:r>
      <w:r>
        <w:rPr/>
        <w:t>youth</w:t>
      </w:r>
      <w:r>
        <w:rPr>
          <w:spacing w:val="-1"/>
        </w:rPr>
        <w:t> </w:t>
      </w:r>
      <w:r>
        <w:rPr/>
        <w:t>in</w:t>
      </w:r>
      <w:r>
        <w:rPr>
          <w:spacing w:val="-1"/>
        </w:rPr>
        <w:t> </w:t>
      </w:r>
      <w:r>
        <w:rPr/>
        <w:t>DYS</w:t>
      </w:r>
      <w:r>
        <w:rPr>
          <w:spacing w:val="-1"/>
        </w:rPr>
        <w:t> </w:t>
      </w:r>
      <w:r>
        <w:rPr/>
        <w:t>custody</w:t>
      </w:r>
      <w:r>
        <w:rPr>
          <w:spacing w:val="-2"/>
        </w:rPr>
        <w:t> </w:t>
      </w:r>
      <w:r>
        <w:rPr/>
        <w:t>beyond</w:t>
      </w:r>
      <w:r>
        <w:rPr>
          <w:spacing w:val="-1"/>
        </w:rPr>
        <w:t> </w:t>
      </w:r>
      <w:r>
        <w:rPr/>
        <w:t>the</w:t>
      </w:r>
      <w:r>
        <w:rPr>
          <w:spacing w:val="-1"/>
        </w:rPr>
        <w:t> </w:t>
      </w:r>
      <w:r>
        <w:rPr/>
        <w:t>data</w:t>
      </w:r>
      <w:r>
        <w:rPr>
          <w:spacing w:val="-2"/>
        </w:rPr>
        <w:t> </w:t>
      </w:r>
      <w:r>
        <w:rPr/>
        <w:t>received</w:t>
      </w:r>
      <w:r>
        <w:rPr>
          <w:spacing w:val="-2"/>
        </w:rPr>
        <w:t> </w:t>
      </w:r>
      <w:r>
        <w:rPr/>
        <w:t>at</w:t>
      </w:r>
      <w:r>
        <w:rPr>
          <w:spacing w:val="-1"/>
        </w:rPr>
        <w:t> </w:t>
      </w:r>
      <w:r>
        <w:rPr/>
        <w:t>intake -</w:t>
      </w:r>
      <w:r>
        <w:rPr>
          <w:spacing w:val="-2"/>
        </w:rPr>
        <w:t> </w:t>
      </w:r>
      <w:r>
        <w:rPr/>
        <w:t>perhaps through</w:t>
      </w:r>
      <w:r>
        <w:rPr>
          <w:spacing w:val="-2"/>
        </w:rPr>
        <w:t> </w:t>
      </w:r>
      <w:r>
        <w:rPr/>
        <w:t>focus groups or recurring conversations throughout the year.</w:t>
      </w:r>
    </w:p>
    <w:p>
      <w:pPr>
        <w:pStyle w:val="BodyText"/>
        <w:spacing w:line="276" w:lineRule="auto" w:before="240"/>
        <w:ind w:left="483" w:right="343"/>
        <w:jc w:val="both"/>
      </w:pPr>
      <w:r>
        <w:rPr/>
        <w:t>Overall, the agency has committed to ensuring that its work is more transparent and public-facing. In its upcoming FY 2023 Annual Report, DYS notes that the report will feature a new section on its work with the Commission and the ongoing work that the agency does to support LGBTQ youth. While the Commission</w:t>
      </w:r>
      <w:r>
        <w:rPr>
          <w:spacing w:val="-9"/>
        </w:rPr>
        <w:t> </w:t>
      </w:r>
      <w:r>
        <w:rPr/>
        <w:t>has</w:t>
      </w:r>
      <w:r>
        <w:rPr>
          <w:spacing w:val="-9"/>
        </w:rPr>
        <w:t> </w:t>
      </w:r>
      <w:r>
        <w:rPr/>
        <w:t>yet</w:t>
      </w:r>
      <w:r>
        <w:rPr>
          <w:spacing w:val="-9"/>
        </w:rPr>
        <w:t> </w:t>
      </w:r>
      <w:r>
        <w:rPr/>
        <w:t>to</w:t>
      </w:r>
      <w:r>
        <w:rPr>
          <w:spacing w:val="-8"/>
        </w:rPr>
        <w:t> </w:t>
      </w:r>
      <w:r>
        <w:rPr/>
        <w:t>see</w:t>
      </w:r>
      <w:r>
        <w:rPr>
          <w:spacing w:val="-9"/>
        </w:rPr>
        <w:t> </w:t>
      </w:r>
      <w:r>
        <w:rPr/>
        <w:t>DYS’</w:t>
      </w:r>
      <w:r>
        <w:rPr>
          <w:spacing w:val="-8"/>
        </w:rPr>
        <w:t> </w:t>
      </w:r>
      <w:r>
        <w:rPr/>
        <w:t>most</w:t>
      </w:r>
      <w:r>
        <w:rPr>
          <w:spacing w:val="-9"/>
        </w:rPr>
        <w:t> </w:t>
      </w:r>
      <w:r>
        <w:rPr/>
        <w:t>recent</w:t>
      </w:r>
      <w:r>
        <w:rPr>
          <w:spacing w:val="-9"/>
        </w:rPr>
        <w:t> </w:t>
      </w:r>
      <w:r>
        <w:rPr/>
        <w:t>annual</w:t>
      </w:r>
      <w:r>
        <w:rPr>
          <w:spacing w:val="-9"/>
        </w:rPr>
        <w:t> </w:t>
      </w:r>
      <w:r>
        <w:rPr/>
        <w:t>report,</w:t>
      </w:r>
      <w:r>
        <w:rPr>
          <w:spacing w:val="-9"/>
        </w:rPr>
        <w:t> </w:t>
      </w:r>
      <w:r>
        <w:rPr/>
        <w:t>it</w:t>
      </w:r>
      <w:r>
        <w:rPr>
          <w:spacing w:val="-9"/>
        </w:rPr>
        <w:t> </w:t>
      </w:r>
      <w:r>
        <w:rPr/>
        <w:t>appreciates</w:t>
      </w:r>
      <w:r>
        <w:rPr>
          <w:spacing w:val="-8"/>
        </w:rPr>
        <w:t> </w:t>
      </w:r>
      <w:r>
        <w:rPr/>
        <w:t>DYS’</w:t>
      </w:r>
      <w:r>
        <w:rPr>
          <w:spacing w:val="-8"/>
        </w:rPr>
        <w:t> </w:t>
      </w:r>
      <w:r>
        <w:rPr/>
        <w:t>commitment</w:t>
      </w:r>
      <w:r>
        <w:rPr>
          <w:spacing w:val="-9"/>
        </w:rPr>
        <w:t> </w:t>
      </w:r>
      <w:r>
        <w:rPr/>
        <w:t>from</w:t>
      </w:r>
      <w:r>
        <w:rPr>
          <w:spacing w:val="-9"/>
        </w:rPr>
        <w:t> </w:t>
      </w:r>
      <w:r>
        <w:rPr/>
        <w:t>FY</w:t>
      </w:r>
      <w:r>
        <w:rPr>
          <w:spacing w:val="-9"/>
        </w:rPr>
        <w:t> </w:t>
      </w:r>
      <w:r>
        <w:rPr/>
        <w:t>2023 to ensure that more data on LGBTQ youth in DYS programs will be published.</w:t>
      </w:r>
    </w:p>
    <w:p>
      <w:pPr>
        <w:pStyle w:val="BodyText"/>
        <w:spacing w:line="276" w:lineRule="auto" w:before="241"/>
        <w:ind w:left="483" w:right="342"/>
        <w:jc w:val="both"/>
      </w:pPr>
      <w:r>
        <w:rPr/>
        <w:t>The Commission appreciates the </w:t>
      </w:r>
      <w:hyperlink r:id="rId758">
        <w:r>
          <w:rPr>
            <w:u w:val="single"/>
          </w:rPr>
          <w:t>analysis of recidivism rates</w:t>
        </w:r>
      </w:hyperlink>
      <w:r>
        <w:rPr>
          <w:u w:val="none"/>
        </w:rPr>
        <w:t> for its 2018 cohort of youth that was published in August 2023; this data showed that LGBTQ youth had a 27.8% recidivism rate compared to 19.3%</w:t>
      </w:r>
      <w:r>
        <w:rPr>
          <w:spacing w:val="-13"/>
          <w:u w:val="none"/>
        </w:rPr>
        <w:t> </w:t>
      </w:r>
      <w:r>
        <w:rPr>
          <w:u w:val="none"/>
        </w:rPr>
        <w:t>for</w:t>
      </w:r>
      <w:r>
        <w:rPr>
          <w:spacing w:val="-12"/>
          <w:u w:val="none"/>
        </w:rPr>
        <w:t> </w:t>
      </w:r>
      <w:r>
        <w:rPr>
          <w:u w:val="none"/>
        </w:rPr>
        <w:t>non-LGBTQ</w:t>
      </w:r>
      <w:r>
        <w:rPr>
          <w:spacing w:val="-13"/>
          <w:u w:val="none"/>
        </w:rPr>
        <w:t> </w:t>
      </w:r>
      <w:r>
        <w:rPr>
          <w:u w:val="none"/>
        </w:rPr>
        <w:t>youth.</w:t>
      </w:r>
      <w:r>
        <w:rPr>
          <w:spacing w:val="-12"/>
          <w:u w:val="none"/>
        </w:rPr>
        <w:t> </w:t>
      </w:r>
      <w:r>
        <w:rPr>
          <w:u w:val="none"/>
        </w:rPr>
        <w:t>At</w:t>
      </w:r>
      <w:r>
        <w:rPr>
          <w:spacing w:val="-12"/>
          <w:u w:val="none"/>
        </w:rPr>
        <w:t> </w:t>
      </w:r>
      <w:r>
        <w:rPr>
          <w:u w:val="none"/>
        </w:rPr>
        <w:t>the</w:t>
      </w:r>
      <w:r>
        <w:rPr>
          <w:spacing w:val="-13"/>
          <w:u w:val="none"/>
        </w:rPr>
        <w:t> </w:t>
      </w:r>
      <w:r>
        <w:rPr>
          <w:u w:val="none"/>
        </w:rPr>
        <w:t>time,</w:t>
      </w:r>
      <w:r>
        <w:rPr>
          <w:spacing w:val="-11"/>
          <w:u w:val="none"/>
        </w:rPr>
        <w:t> </w:t>
      </w:r>
      <w:r>
        <w:rPr>
          <w:u w:val="none"/>
        </w:rPr>
        <w:t>LGBTQ</w:t>
      </w:r>
      <w:r>
        <w:rPr>
          <w:spacing w:val="-13"/>
          <w:u w:val="none"/>
        </w:rPr>
        <w:t> </w:t>
      </w:r>
      <w:r>
        <w:rPr>
          <w:u w:val="none"/>
        </w:rPr>
        <w:t>youth</w:t>
      </w:r>
      <w:r>
        <w:rPr>
          <w:spacing w:val="-12"/>
          <w:u w:val="none"/>
        </w:rPr>
        <w:t> </w:t>
      </w:r>
      <w:r>
        <w:rPr>
          <w:u w:val="none"/>
        </w:rPr>
        <w:t>made</w:t>
      </w:r>
      <w:r>
        <w:rPr>
          <w:spacing w:val="-13"/>
          <w:u w:val="none"/>
        </w:rPr>
        <w:t> </w:t>
      </w:r>
      <w:r>
        <w:rPr>
          <w:u w:val="none"/>
        </w:rPr>
        <w:t>up</w:t>
      </w:r>
      <w:r>
        <w:rPr>
          <w:spacing w:val="-11"/>
          <w:u w:val="none"/>
        </w:rPr>
        <w:t> </w:t>
      </w:r>
      <w:r>
        <w:rPr>
          <w:u w:val="none"/>
        </w:rPr>
        <w:t>only</w:t>
      </w:r>
      <w:r>
        <w:rPr>
          <w:spacing w:val="-12"/>
          <w:u w:val="none"/>
        </w:rPr>
        <w:t> </w:t>
      </w:r>
      <w:r>
        <w:rPr>
          <w:u w:val="none"/>
        </w:rPr>
        <w:t>5.2%</w:t>
      </w:r>
      <w:r>
        <w:rPr>
          <w:spacing w:val="-12"/>
          <w:u w:val="none"/>
        </w:rPr>
        <w:t> </w:t>
      </w:r>
      <w:r>
        <w:rPr>
          <w:u w:val="none"/>
        </w:rPr>
        <w:t>of</w:t>
      </w:r>
      <w:r>
        <w:rPr>
          <w:spacing w:val="-13"/>
          <w:u w:val="none"/>
        </w:rPr>
        <w:t> </w:t>
      </w:r>
      <w:r>
        <w:rPr>
          <w:u w:val="none"/>
        </w:rPr>
        <w:t>DYS’</w:t>
      </w:r>
      <w:r>
        <w:rPr>
          <w:spacing w:val="-11"/>
          <w:u w:val="none"/>
        </w:rPr>
        <w:t> </w:t>
      </w:r>
      <w:r>
        <w:rPr>
          <w:u w:val="none"/>
        </w:rPr>
        <w:t>population</w:t>
      </w:r>
      <w:r>
        <w:rPr>
          <w:spacing w:val="-13"/>
          <w:u w:val="none"/>
        </w:rPr>
        <w:t> </w:t>
      </w:r>
      <w:r>
        <w:rPr>
          <w:u w:val="none"/>
        </w:rPr>
        <w:t>which,</w:t>
      </w:r>
      <w:r>
        <w:rPr>
          <w:spacing w:val="-12"/>
          <w:u w:val="none"/>
        </w:rPr>
        <w:t> </w:t>
      </w:r>
      <w:r>
        <w:rPr>
          <w:u w:val="none"/>
        </w:rPr>
        <w:t>while potentially</w:t>
      </w:r>
      <w:r>
        <w:rPr>
          <w:spacing w:val="19"/>
          <w:u w:val="none"/>
        </w:rPr>
        <w:t> </w:t>
      </w:r>
      <w:r>
        <w:rPr>
          <w:u w:val="none"/>
        </w:rPr>
        <w:t>meaning</w:t>
      </w:r>
      <w:r>
        <w:rPr>
          <w:spacing w:val="17"/>
          <w:u w:val="none"/>
        </w:rPr>
        <w:t> </w:t>
      </w:r>
      <w:r>
        <w:rPr>
          <w:u w:val="none"/>
        </w:rPr>
        <w:t>that</w:t>
      </w:r>
      <w:r>
        <w:rPr>
          <w:spacing w:val="17"/>
          <w:u w:val="none"/>
        </w:rPr>
        <w:t> </w:t>
      </w:r>
      <w:r>
        <w:rPr>
          <w:u w:val="none"/>
        </w:rPr>
        <w:t>the</w:t>
      </w:r>
      <w:r>
        <w:rPr>
          <w:spacing w:val="17"/>
          <w:u w:val="none"/>
        </w:rPr>
        <w:t> </w:t>
      </w:r>
      <w:r>
        <w:rPr>
          <w:u w:val="none"/>
        </w:rPr>
        <w:t>data</w:t>
      </w:r>
      <w:r>
        <w:rPr>
          <w:spacing w:val="18"/>
          <w:u w:val="none"/>
        </w:rPr>
        <w:t> </w:t>
      </w:r>
      <w:r>
        <w:rPr>
          <w:u w:val="none"/>
        </w:rPr>
        <w:t>is</w:t>
      </w:r>
      <w:r>
        <w:rPr>
          <w:spacing w:val="17"/>
          <w:u w:val="none"/>
        </w:rPr>
        <w:t> </w:t>
      </w:r>
      <w:r>
        <w:rPr>
          <w:u w:val="none"/>
        </w:rPr>
        <w:t>somewhat</w:t>
      </w:r>
      <w:r>
        <w:rPr>
          <w:spacing w:val="17"/>
          <w:u w:val="none"/>
        </w:rPr>
        <w:t> </w:t>
      </w:r>
      <w:r>
        <w:rPr>
          <w:u w:val="none"/>
        </w:rPr>
        <w:t>skewed,</w:t>
      </w:r>
      <w:r>
        <w:rPr>
          <w:spacing w:val="17"/>
          <w:u w:val="none"/>
        </w:rPr>
        <w:t> </w:t>
      </w:r>
      <w:r>
        <w:rPr>
          <w:u w:val="none"/>
        </w:rPr>
        <w:t>still</w:t>
      </w:r>
      <w:r>
        <w:rPr>
          <w:spacing w:val="18"/>
          <w:u w:val="none"/>
        </w:rPr>
        <w:t> </w:t>
      </w:r>
      <w:r>
        <w:rPr>
          <w:u w:val="none"/>
        </w:rPr>
        <w:t>suggests</w:t>
      </w:r>
      <w:r>
        <w:rPr>
          <w:spacing w:val="17"/>
          <w:u w:val="none"/>
        </w:rPr>
        <w:t> </w:t>
      </w:r>
      <w:r>
        <w:rPr>
          <w:u w:val="none"/>
        </w:rPr>
        <w:t>some</w:t>
      </w:r>
      <w:r>
        <w:rPr>
          <w:spacing w:val="19"/>
          <w:u w:val="none"/>
        </w:rPr>
        <w:t> </w:t>
      </w:r>
      <w:r>
        <w:rPr>
          <w:u w:val="none"/>
        </w:rPr>
        <w:t>concern</w:t>
      </w:r>
      <w:r>
        <w:rPr>
          <w:spacing w:val="17"/>
          <w:u w:val="none"/>
        </w:rPr>
        <w:t> </w:t>
      </w:r>
      <w:r>
        <w:rPr>
          <w:u w:val="none"/>
        </w:rPr>
        <w:t>about</w:t>
      </w:r>
      <w:r>
        <w:rPr>
          <w:spacing w:val="17"/>
          <w:u w:val="none"/>
        </w:rPr>
        <w:t> </w:t>
      </w:r>
      <w:r>
        <w:rPr>
          <w:u w:val="none"/>
        </w:rPr>
        <w:t>what</w:t>
      </w:r>
      <w:r>
        <w:rPr>
          <w:spacing w:val="17"/>
          <w:u w:val="none"/>
        </w:rPr>
        <w:t> </w:t>
      </w:r>
      <w:r>
        <w:rPr>
          <w:u w:val="none"/>
        </w:rPr>
        <w:t>other</w:t>
      </w:r>
    </w:p>
    <w:p>
      <w:pPr>
        <w:spacing w:after="0" w:line="276" w:lineRule="auto"/>
        <w:jc w:val="both"/>
        <w:sectPr>
          <w:pgSz w:w="12240" w:h="15840"/>
          <w:pgMar w:header="804" w:footer="1231" w:top="1000" w:bottom="1420" w:left="960" w:right="1100"/>
        </w:sectPr>
      </w:pPr>
    </w:p>
    <w:p>
      <w:pPr>
        <w:pStyle w:val="BodyText"/>
        <w:spacing w:line="276" w:lineRule="auto" w:before="139"/>
        <w:ind w:left="483" w:right="343"/>
        <w:jc w:val="both"/>
      </w:pPr>
      <w:r>
        <w:rPr/>
        <w:t>reasons may be leading to such a disparity. In its conclusion of this report, DYS noted that its LGBTQ+ Taskforce is interested in examining how the group’s efforts impact LGBTQ youth outcomes in future studies.</w:t>
      </w:r>
      <w:r>
        <w:rPr>
          <w:spacing w:val="-10"/>
        </w:rPr>
        <w:t> </w:t>
      </w:r>
      <w:r>
        <w:rPr/>
        <w:t>In</w:t>
      </w:r>
      <w:r>
        <w:rPr>
          <w:spacing w:val="-10"/>
        </w:rPr>
        <w:t> </w:t>
      </w:r>
      <w:r>
        <w:rPr/>
        <w:t>these</w:t>
      </w:r>
      <w:r>
        <w:rPr>
          <w:spacing w:val="-11"/>
        </w:rPr>
        <w:t> </w:t>
      </w:r>
      <w:r>
        <w:rPr/>
        <w:t>future</w:t>
      </w:r>
      <w:r>
        <w:rPr>
          <w:spacing w:val="-11"/>
        </w:rPr>
        <w:t> </w:t>
      </w:r>
      <w:r>
        <w:rPr/>
        <w:t>studies,</w:t>
      </w:r>
      <w:r>
        <w:rPr>
          <w:spacing w:val="-11"/>
        </w:rPr>
        <w:t> </w:t>
      </w:r>
      <w:r>
        <w:rPr/>
        <w:t>the</w:t>
      </w:r>
      <w:r>
        <w:rPr>
          <w:spacing w:val="-10"/>
        </w:rPr>
        <w:t> </w:t>
      </w:r>
      <w:r>
        <w:rPr/>
        <w:t>Commission</w:t>
      </w:r>
      <w:r>
        <w:rPr>
          <w:spacing w:val="-11"/>
        </w:rPr>
        <w:t> </w:t>
      </w:r>
      <w:r>
        <w:rPr/>
        <w:t>recommends</w:t>
      </w:r>
      <w:r>
        <w:rPr>
          <w:spacing w:val="-11"/>
        </w:rPr>
        <w:t> </w:t>
      </w:r>
      <w:r>
        <w:rPr/>
        <w:t>that</w:t>
      </w:r>
      <w:r>
        <w:rPr>
          <w:spacing w:val="-10"/>
        </w:rPr>
        <w:t> </w:t>
      </w:r>
      <w:r>
        <w:rPr/>
        <w:t>DYS</w:t>
      </w:r>
      <w:r>
        <w:rPr>
          <w:spacing w:val="-11"/>
        </w:rPr>
        <w:t> </w:t>
      </w:r>
      <w:r>
        <w:rPr/>
        <w:t>provides</w:t>
      </w:r>
      <w:r>
        <w:rPr>
          <w:spacing w:val="-10"/>
        </w:rPr>
        <w:t> </w:t>
      </w:r>
      <w:r>
        <w:rPr/>
        <w:t>more</w:t>
      </w:r>
      <w:r>
        <w:rPr>
          <w:spacing w:val="-11"/>
        </w:rPr>
        <w:t> </w:t>
      </w:r>
      <w:r>
        <w:rPr/>
        <w:t>of</w:t>
      </w:r>
      <w:r>
        <w:rPr>
          <w:spacing w:val="-11"/>
        </w:rPr>
        <w:t> </w:t>
      </w:r>
      <w:r>
        <w:rPr/>
        <w:t>an</w:t>
      </w:r>
      <w:r>
        <w:rPr>
          <w:spacing w:val="-11"/>
        </w:rPr>
        <w:t> </w:t>
      </w:r>
      <w:r>
        <w:rPr/>
        <w:t>intersectional analysis on available data, particularly around race, gender, and region. Finally the Commission recommends</w:t>
      </w:r>
      <w:r>
        <w:rPr>
          <w:spacing w:val="-5"/>
        </w:rPr>
        <w:t> </w:t>
      </w:r>
      <w:r>
        <w:rPr/>
        <w:t>that</w:t>
      </w:r>
      <w:r>
        <w:rPr>
          <w:spacing w:val="-6"/>
        </w:rPr>
        <w:t> </w:t>
      </w:r>
      <w:r>
        <w:rPr/>
        <w:t>DYS</w:t>
      </w:r>
      <w:r>
        <w:rPr>
          <w:spacing w:val="-7"/>
        </w:rPr>
        <w:t> </w:t>
      </w:r>
      <w:r>
        <w:rPr/>
        <w:t>report</w:t>
      </w:r>
      <w:r>
        <w:rPr>
          <w:spacing w:val="-6"/>
        </w:rPr>
        <w:t> </w:t>
      </w:r>
      <w:r>
        <w:rPr/>
        <w:t>on</w:t>
      </w:r>
      <w:r>
        <w:rPr>
          <w:spacing w:val="-7"/>
        </w:rPr>
        <w:t> </w:t>
      </w:r>
      <w:r>
        <w:rPr/>
        <w:t>its</w:t>
      </w:r>
      <w:r>
        <w:rPr>
          <w:spacing w:val="-6"/>
        </w:rPr>
        <w:t> </w:t>
      </w:r>
      <w:r>
        <w:rPr/>
        <w:t>work</w:t>
      </w:r>
      <w:r>
        <w:rPr>
          <w:spacing w:val="-5"/>
        </w:rPr>
        <w:t> </w:t>
      </w:r>
      <w:r>
        <w:rPr/>
        <w:t>to</w:t>
      </w:r>
      <w:r>
        <w:rPr>
          <w:spacing w:val="-6"/>
        </w:rPr>
        <w:t> </w:t>
      </w:r>
      <w:r>
        <w:rPr/>
        <w:t>address</w:t>
      </w:r>
      <w:r>
        <w:rPr>
          <w:spacing w:val="-6"/>
        </w:rPr>
        <w:t> </w:t>
      </w:r>
      <w:r>
        <w:rPr/>
        <w:t>compounded</w:t>
      </w:r>
      <w:r>
        <w:rPr>
          <w:spacing w:val="-6"/>
        </w:rPr>
        <w:t> </w:t>
      </w:r>
      <w:r>
        <w:rPr/>
        <w:t>trauma</w:t>
      </w:r>
      <w:r>
        <w:rPr>
          <w:spacing w:val="-6"/>
        </w:rPr>
        <w:t> </w:t>
      </w:r>
      <w:r>
        <w:rPr/>
        <w:t>for</w:t>
      </w:r>
      <w:r>
        <w:rPr>
          <w:spacing w:val="-6"/>
        </w:rPr>
        <w:t> </w:t>
      </w:r>
      <w:r>
        <w:rPr/>
        <w:t>DYS</w:t>
      </w:r>
      <w:r>
        <w:rPr>
          <w:spacing w:val="-6"/>
        </w:rPr>
        <w:t> </w:t>
      </w:r>
      <w:r>
        <w:rPr/>
        <w:t>youth</w:t>
      </w:r>
      <w:r>
        <w:rPr>
          <w:spacing w:val="-7"/>
        </w:rPr>
        <w:t> </w:t>
      </w:r>
      <w:r>
        <w:rPr/>
        <w:t>with</w:t>
      </w:r>
      <w:r>
        <w:rPr>
          <w:spacing w:val="-6"/>
        </w:rPr>
        <w:t> </w:t>
      </w:r>
      <w:r>
        <w:rPr/>
        <w:t>intersecting identities and the intersections of trauma and recidivism.</w:t>
      </w:r>
    </w:p>
    <w:p>
      <w:pPr>
        <w:numPr>
          <w:ilvl w:val="0"/>
          <w:numId w:val="44"/>
        </w:numPr>
        <w:tabs>
          <w:tab w:pos="481" w:val="left" w:leader="none"/>
          <w:tab w:pos="483" w:val="left" w:leader="none"/>
        </w:tabs>
        <w:spacing w:line="276" w:lineRule="auto" w:before="239"/>
        <w:ind w:left="483" w:right="342" w:hanging="360"/>
        <w:jc w:val="left"/>
        <w:rPr>
          <w:b/>
          <w:sz w:val="22"/>
        </w:rPr>
      </w:pPr>
      <w:r>
        <w:rPr>
          <w:b/>
          <w:sz w:val="22"/>
        </w:rPr>
        <w:t>Review existing curricula, programming, and supplemental materials to ensure availability of LGBTQ- affirming materials for youth and families.</w:t>
      </w:r>
    </w:p>
    <w:p>
      <w:pPr>
        <w:pStyle w:val="BodyText"/>
        <w:spacing w:line="276" w:lineRule="auto" w:before="240"/>
        <w:ind w:left="483" w:right="339"/>
        <w:jc w:val="both"/>
      </w:pPr>
      <w:r>
        <w:rPr/>
        <w:t>The</w:t>
      </w:r>
      <w:r>
        <w:rPr>
          <w:spacing w:val="-13"/>
        </w:rPr>
        <w:t> </w:t>
      </w:r>
      <w:r>
        <w:rPr/>
        <w:t>Commission</w:t>
      </w:r>
      <w:r>
        <w:rPr>
          <w:spacing w:val="-12"/>
        </w:rPr>
        <w:t> </w:t>
      </w:r>
      <w:r>
        <w:rPr/>
        <w:t>appreciates</w:t>
      </w:r>
      <w:r>
        <w:rPr>
          <w:spacing w:val="-12"/>
        </w:rPr>
        <w:t> </w:t>
      </w:r>
      <w:r>
        <w:rPr/>
        <w:t>the</w:t>
      </w:r>
      <w:r>
        <w:rPr>
          <w:spacing w:val="-12"/>
        </w:rPr>
        <w:t> </w:t>
      </w:r>
      <w:r>
        <w:rPr/>
        <w:t>opportunity</w:t>
      </w:r>
      <w:r>
        <w:rPr>
          <w:spacing w:val="-11"/>
        </w:rPr>
        <w:t> </w:t>
      </w:r>
      <w:r>
        <w:rPr/>
        <w:t>it</w:t>
      </w:r>
      <w:r>
        <w:rPr>
          <w:spacing w:val="-12"/>
        </w:rPr>
        <w:t> </w:t>
      </w:r>
      <w:r>
        <w:rPr/>
        <w:t>had</w:t>
      </w:r>
      <w:r>
        <w:rPr>
          <w:spacing w:val="-13"/>
        </w:rPr>
        <w:t> </w:t>
      </w:r>
      <w:r>
        <w:rPr/>
        <w:t>to</w:t>
      </w:r>
      <w:r>
        <w:rPr>
          <w:spacing w:val="-10"/>
        </w:rPr>
        <w:t> </w:t>
      </w:r>
      <w:r>
        <w:rPr/>
        <w:t>visit</w:t>
      </w:r>
      <w:r>
        <w:rPr>
          <w:spacing w:val="-13"/>
        </w:rPr>
        <w:t> </w:t>
      </w:r>
      <w:r>
        <w:rPr/>
        <w:t>one</w:t>
      </w:r>
      <w:r>
        <w:rPr>
          <w:spacing w:val="-12"/>
        </w:rPr>
        <w:t> </w:t>
      </w:r>
      <w:r>
        <w:rPr/>
        <w:t>of</w:t>
      </w:r>
      <w:r>
        <w:rPr>
          <w:spacing w:val="-11"/>
        </w:rPr>
        <w:t> </w:t>
      </w:r>
      <w:r>
        <w:rPr/>
        <w:t>the</w:t>
      </w:r>
      <w:r>
        <w:rPr>
          <w:spacing w:val="-13"/>
        </w:rPr>
        <w:t> </w:t>
      </w:r>
      <w:r>
        <w:rPr/>
        <w:t>DYS</w:t>
      </w:r>
      <w:r>
        <w:rPr>
          <w:spacing w:val="-11"/>
        </w:rPr>
        <w:t> </w:t>
      </w:r>
      <w:r>
        <w:rPr/>
        <w:t>facilities</w:t>
      </w:r>
      <w:r>
        <w:rPr>
          <w:spacing w:val="-12"/>
        </w:rPr>
        <w:t> </w:t>
      </w:r>
      <w:r>
        <w:rPr/>
        <w:t>in</w:t>
      </w:r>
      <w:r>
        <w:rPr>
          <w:spacing w:val="-13"/>
        </w:rPr>
        <w:t> </w:t>
      </w:r>
      <w:r>
        <w:rPr/>
        <w:t>the</w:t>
      </w:r>
      <w:r>
        <w:rPr>
          <w:spacing w:val="-12"/>
        </w:rPr>
        <w:t> </w:t>
      </w:r>
      <w:r>
        <w:rPr/>
        <w:t>summer</w:t>
      </w:r>
      <w:r>
        <w:rPr>
          <w:spacing w:val="-12"/>
        </w:rPr>
        <w:t> </w:t>
      </w:r>
      <w:r>
        <w:rPr/>
        <w:t>of</w:t>
      </w:r>
      <w:r>
        <w:rPr>
          <w:spacing w:val="-12"/>
        </w:rPr>
        <w:t> </w:t>
      </w:r>
      <w:r>
        <w:rPr/>
        <w:t>2023, and the wide array of services that the agency provides to youth and their families. A large prioritization of</w:t>
      </w:r>
      <w:r>
        <w:rPr>
          <w:spacing w:val="-3"/>
        </w:rPr>
        <w:t> </w:t>
      </w:r>
      <w:r>
        <w:rPr/>
        <w:t>DYS</w:t>
      </w:r>
      <w:r>
        <w:rPr>
          <w:spacing w:val="-3"/>
        </w:rPr>
        <w:t> </w:t>
      </w:r>
      <w:r>
        <w:rPr/>
        <w:t>is</w:t>
      </w:r>
      <w:r>
        <w:rPr>
          <w:spacing w:val="-3"/>
        </w:rPr>
        <w:t> </w:t>
      </w:r>
      <w:r>
        <w:rPr/>
        <w:t>its</w:t>
      </w:r>
      <w:r>
        <w:rPr>
          <w:spacing w:val="-3"/>
        </w:rPr>
        <w:t> </w:t>
      </w:r>
      <w:r>
        <w:rPr/>
        <w:t>educational</w:t>
      </w:r>
      <w:r>
        <w:rPr>
          <w:spacing w:val="-2"/>
        </w:rPr>
        <w:t> </w:t>
      </w:r>
      <w:r>
        <w:rPr/>
        <w:t>programming</w:t>
      </w:r>
      <w:r>
        <w:rPr>
          <w:spacing w:val="-2"/>
        </w:rPr>
        <w:t> </w:t>
      </w:r>
      <w:r>
        <w:rPr/>
        <w:t>and</w:t>
      </w:r>
      <w:r>
        <w:rPr>
          <w:spacing w:val="-3"/>
        </w:rPr>
        <w:t> </w:t>
      </w:r>
      <w:r>
        <w:rPr/>
        <w:t>ensuring</w:t>
      </w:r>
      <w:r>
        <w:rPr>
          <w:spacing w:val="-2"/>
        </w:rPr>
        <w:t> </w:t>
      </w:r>
      <w:r>
        <w:rPr/>
        <w:t>that</w:t>
      </w:r>
      <w:r>
        <w:rPr>
          <w:spacing w:val="-3"/>
        </w:rPr>
        <w:t> </w:t>
      </w:r>
      <w:r>
        <w:rPr/>
        <w:t>the</w:t>
      </w:r>
      <w:r>
        <w:rPr>
          <w:spacing w:val="-2"/>
        </w:rPr>
        <w:t> </w:t>
      </w:r>
      <w:r>
        <w:rPr/>
        <w:t>content</w:t>
      </w:r>
      <w:r>
        <w:rPr>
          <w:spacing w:val="-3"/>
        </w:rPr>
        <w:t> </w:t>
      </w:r>
      <w:r>
        <w:rPr/>
        <w:t>is</w:t>
      </w:r>
      <w:r>
        <w:rPr>
          <w:spacing w:val="-1"/>
        </w:rPr>
        <w:t> </w:t>
      </w:r>
      <w:r>
        <w:rPr/>
        <w:t>inclusive,</w:t>
      </w:r>
      <w:r>
        <w:rPr>
          <w:spacing w:val="-3"/>
        </w:rPr>
        <w:t> </w:t>
      </w:r>
      <w:r>
        <w:rPr/>
        <w:t>while</w:t>
      </w:r>
      <w:r>
        <w:rPr>
          <w:spacing w:val="-3"/>
        </w:rPr>
        <w:t> </w:t>
      </w:r>
      <w:r>
        <w:rPr/>
        <w:t>still</w:t>
      </w:r>
      <w:r>
        <w:rPr>
          <w:spacing w:val="-2"/>
        </w:rPr>
        <w:t> </w:t>
      </w:r>
      <w:r>
        <w:rPr/>
        <w:t>meeting</w:t>
      </w:r>
      <w:r>
        <w:rPr>
          <w:spacing w:val="-3"/>
        </w:rPr>
        <w:t> </w:t>
      </w:r>
      <w:r>
        <w:rPr/>
        <w:t>state requirements to ensure that DYS youth receive credit for all the work done to achieve their high school degree. As recommended to DYS throughout the last few years, the Commission encourages DYS to continue to review all of its curriculum being presented both to youth, but also their families, to ensure that LGBTQ affirming-material is appropriately embedded into all areas. DYS shares that it has identified several areas to offer professional development opportunities on LGBTQ-inclusive curriculum guidance, and has been conducting reviews and updates for outdated instructional materials.</w:t>
      </w:r>
    </w:p>
    <w:p>
      <w:pPr>
        <w:pStyle w:val="BodyText"/>
        <w:spacing w:line="276" w:lineRule="auto" w:before="240"/>
        <w:ind w:left="483" w:right="340"/>
        <w:jc w:val="both"/>
      </w:pPr>
      <w:r>
        <w:rPr/>
        <w:t>Furthermore, the Commission recommends that DYS review supplemental materials, such as brochures provided in the medical areas and books in the libraries, to ensure that LGBTQ-inclusive materials are consistently available. It is the Commission’s understanding that DYS’ Education and Programming Subcommittees</w:t>
      </w:r>
      <w:r>
        <w:rPr>
          <w:spacing w:val="-8"/>
        </w:rPr>
        <w:t> </w:t>
      </w:r>
      <w:r>
        <w:rPr/>
        <w:t>are</w:t>
      </w:r>
      <w:r>
        <w:rPr>
          <w:spacing w:val="-9"/>
        </w:rPr>
        <w:t> </w:t>
      </w:r>
      <w:r>
        <w:rPr/>
        <w:t>work</w:t>
      </w:r>
      <w:r>
        <w:rPr>
          <w:spacing w:val="-8"/>
        </w:rPr>
        <w:t> </w:t>
      </w:r>
      <w:r>
        <w:rPr/>
        <w:t>to</w:t>
      </w:r>
      <w:r>
        <w:rPr>
          <w:spacing w:val="-8"/>
        </w:rPr>
        <w:t> </w:t>
      </w:r>
      <w:r>
        <w:rPr/>
        <w:t>review</w:t>
      </w:r>
      <w:r>
        <w:rPr>
          <w:spacing w:val="-9"/>
        </w:rPr>
        <w:t> </w:t>
      </w:r>
      <w:r>
        <w:rPr/>
        <w:t>and</w:t>
      </w:r>
      <w:r>
        <w:rPr>
          <w:spacing w:val="-8"/>
        </w:rPr>
        <w:t> </w:t>
      </w:r>
      <w:r>
        <w:rPr/>
        <w:t>update</w:t>
      </w:r>
      <w:r>
        <w:rPr>
          <w:spacing w:val="-8"/>
        </w:rPr>
        <w:t> </w:t>
      </w:r>
      <w:r>
        <w:rPr/>
        <w:t>DYS’</w:t>
      </w:r>
      <w:r>
        <w:rPr>
          <w:spacing w:val="-7"/>
        </w:rPr>
        <w:t> </w:t>
      </w:r>
      <w:r>
        <w:rPr/>
        <w:t>LGBTQ+</w:t>
      </w:r>
      <w:r>
        <w:rPr>
          <w:spacing w:val="-8"/>
        </w:rPr>
        <w:t> </w:t>
      </w:r>
      <w:r>
        <w:rPr/>
        <w:t>resource</w:t>
      </w:r>
      <w:r>
        <w:rPr>
          <w:spacing w:val="-9"/>
        </w:rPr>
        <w:t> </w:t>
      </w:r>
      <w:r>
        <w:rPr/>
        <w:t>list</w:t>
      </w:r>
      <w:r>
        <w:rPr>
          <w:spacing w:val="-8"/>
        </w:rPr>
        <w:t> </w:t>
      </w:r>
      <w:r>
        <w:rPr/>
        <w:t>and</w:t>
      </w:r>
      <w:r>
        <w:rPr>
          <w:spacing w:val="-8"/>
        </w:rPr>
        <w:t> </w:t>
      </w:r>
      <w:r>
        <w:rPr/>
        <w:t>library</w:t>
      </w:r>
      <w:r>
        <w:rPr>
          <w:spacing w:val="-9"/>
        </w:rPr>
        <w:t> </w:t>
      </w:r>
      <w:r>
        <w:rPr/>
        <w:t>resources</w:t>
      </w:r>
      <w:r>
        <w:rPr>
          <w:spacing w:val="-8"/>
        </w:rPr>
        <w:t> </w:t>
      </w:r>
      <w:r>
        <w:rPr/>
        <w:t>for</w:t>
      </w:r>
      <w:r>
        <w:rPr>
          <w:spacing w:val="-9"/>
        </w:rPr>
        <w:t> </w:t>
      </w:r>
      <w:r>
        <w:rPr/>
        <w:t>all</w:t>
      </w:r>
      <w:r>
        <w:rPr>
          <w:spacing w:val="-9"/>
        </w:rPr>
        <w:t> </w:t>
      </w:r>
      <w:r>
        <w:rPr/>
        <w:t>DYS locations.</w:t>
      </w:r>
      <w:r>
        <w:rPr>
          <w:spacing w:val="-2"/>
        </w:rPr>
        <w:t> </w:t>
      </w:r>
      <w:r>
        <w:rPr/>
        <w:t>Additionally,</w:t>
      </w:r>
      <w:r>
        <w:rPr>
          <w:spacing w:val="-2"/>
        </w:rPr>
        <w:t> </w:t>
      </w:r>
      <w:r>
        <w:rPr/>
        <w:t>LGBTQ</w:t>
      </w:r>
      <w:r>
        <w:rPr>
          <w:spacing w:val="-2"/>
        </w:rPr>
        <w:t> </w:t>
      </w:r>
      <w:r>
        <w:rPr/>
        <w:t>positivity</w:t>
      </w:r>
      <w:r>
        <w:rPr>
          <w:spacing w:val="-2"/>
        </w:rPr>
        <w:t> </w:t>
      </w:r>
      <w:r>
        <w:rPr/>
        <w:t>and</w:t>
      </w:r>
      <w:r>
        <w:rPr>
          <w:spacing w:val="-1"/>
        </w:rPr>
        <w:t> </w:t>
      </w:r>
      <w:r>
        <w:rPr/>
        <w:t>acceptance</w:t>
      </w:r>
      <w:r>
        <w:rPr>
          <w:spacing w:val="-2"/>
        </w:rPr>
        <w:t> </w:t>
      </w:r>
      <w:r>
        <w:rPr/>
        <w:t>signage is</w:t>
      </w:r>
      <w:r>
        <w:rPr>
          <w:spacing w:val="-1"/>
        </w:rPr>
        <w:t> </w:t>
      </w:r>
      <w:r>
        <w:rPr/>
        <w:t>currently under</w:t>
      </w:r>
      <w:r>
        <w:rPr>
          <w:spacing w:val="-2"/>
        </w:rPr>
        <w:t> </w:t>
      </w:r>
      <w:r>
        <w:rPr/>
        <w:t>review</w:t>
      </w:r>
      <w:r>
        <w:rPr>
          <w:spacing w:val="-2"/>
        </w:rPr>
        <w:t> </w:t>
      </w:r>
      <w:r>
        <w:rPr/>
        <w:t>for</w:t>
      </w:r>
      <w:r>
        <w:rPr>
          <w:spacing w:val="-2"/>
        </w:rPr>
        <w:t> </w:t>
      </w:r>
      <w:r>
        <w:rPr/>
        <w:t>updates</w:t>
      </w:r>
      <w:r>
        <w:rPr>
          <w:spacing w:val="-1"/>
        </w:rPr>
        <w:t> </w:t>
      </w:r>
      <w:r>
        <w:rPr/>
        <w:t>to ensure that existing signage remains culturally relevant. DYS also shared that it is in the process of exploring</w:t>
      </w:r>
      <w:r>
        <w:rPr>
          <w:spacing w:val="-1"/>
        </w:rPr>
        <w:t> </w:t>
      </w:r>
      <w:r>
        <w:rPr/>
        <w:t>the</w:t>
      </w:r>
      <w:r>
        <w:rPr>
          <w:spacing w:val="-1"/>
        </w:rPr>
        <w:t> </w:t>
      </w:r>
      <w:r>
        <w:rPr/>
        <w:t>creation</w:t>
      </w:r>
      <w:r>
        <w:rPr>
          <w:spacing w:val="-2"/>
        </w:rPr>
        <w:t> </w:t>
      </w:r>
      <w:r>
        <w:rPr/>
        <w:t>of</w:t>
      </w:r>
      <w:r>
        <w:rPr>
          <w:spacing w:val="-2"/>
        </w:rPr>
        <w:t> </w:t>
      </w:r>
      <w:r>
        <w:rPr/>
        <w:t>DYS</w:t>
      </w:r>
      <w:r>
        <w:rPr>
          <w:spacing w:val="-2"/>
        </w:rPr>
        <w:t> </w:t>
      </w:r>
      <w:r>
        <w:rPr/>
        <w:t>Regional</w:t>
      </w:r>
      <w:r>
        <w:rPr>
          <w:spacing w:val="-2"/>
        </w:rPr>
        <w:t> </w:t>
      </w:r>
      <w:r>
        <w:rPr/>
        <w:t>Equity</w:t>
      </w:r>
      <w:r>
        <w:rPr>
          <w:spacing w:val="-2"/>
        </w:rPr>
        <w:t> </w:t>
      </w:r>
      <w:r>
        <w:rPr/>
        <w:t>Affinity</w:t>
      </w:r>
      <w:r>
        <w:rPr>
          <w:spacing w:val="-1"/>
        </w:rPr>
        <w:t> </w:t>
      </w:r>
      <w:r>
        <w:rPr/>
        <w:t>Groups</w:t>
      </w:r>
      <w:r>
        <w:rPr>
          <w:spacing w:val="-1"/>
        </w:rPr>
        <w:t> </w:t>
      </w:r>
      <w:r>
        <w:rPr/>
        <w:t>for</w:t>
      </w:r>
      <w:r>
        <w:rPr>
          <w:spacing w:val="-2"/>
        </w:rPr>
        <w:t> </w:t>
      </w:r>
      <w:r>
        <w:rPr/>
        <w:t>all</w:t>
      </w:r>
      <w:r>
        <w:rPr>
          <w:spacing w:val="-2"/>
        </w:rPr>
        <w:t> </w:t>
      </w:r>
      <w:r>
        <w:rPr/>
        <w:t>staff</w:t>
      </w:r>
      <w:r>
        <w:rPr>
          <w:spacing w:val="-2"/>
        </w:rPr>
        <w:t> </w:t>
      </w:r>
      <w:r>
        <w:rPr/>
        <w:t>and</w:t>
      </w:r>
      <w:r>
        <w:rPr>
          <w:spacing w:val="-2"/>
        </w:rPr>
        <w:t> </w:t>
      </w:r>
      <w:r>
        <w:rPr/>
        <w:t>youth,</w:t>
      </w:r>
      <w:r>
        <w:rPr>
          <w:spacing w:val="-1"/>
        </w:rPr>
        <w:t> </w:t>
      </w:r>
      <w:r>
        <w:rPr/>
        <w:t>which</w:t>
      </w:r>
      <w:r>
        <w:rPr>
          <w:spacing w:val="-2"/>
        </w:rPr>
        <w:t> </w:t>
      </w:r>
      <w:r>
        <w:rPr/>
        <w:t>would</w:t>
      </w:r>
      <w:r>
        <w:rPr>
          <w:spacing w:val="-2"/>
        </w:rPr>
        <w:t> </w:t>
      </w:r>
      <w:r>
        <w:rPr/>
        <w:t>include a</w:t>
      </w:r>
      <w:r>
        <w:rPr>
          <w:spacing w:val="-12"/>
        </w:rPr>
        <w:t> </w:t>
      </w:r>
      <w:r>
        <w:rPr/>
        <w:t>Youth</w:t>
      </w:r>
      <w:r>
        <w:rPr>
          <w:spacing w:val="-12"/>
        </w:rPr>
        <w:t> </w:t>
      </w:r>
      <w:r>
        <w:rPr/>
        <w:t>GSA</w:t>
      </w:r>
      <w:r>
        <w:rPr>
          <w:spacing w:val="-11"/>
        </w:rPr>
        <w:t> </w:t>
      </w:r>
      <w:r>
        <w:rPr/>
        <w:t>that</w:t>
      </w:r>
      <w:r>
        <w:rPr>
          <w:spacing w:val="-13"/>
        </w:rPr>
        <w:t> </w:t>
      </w:r>
      <w:r>
        <w:rPr/>
        <w:t>would</w:t>
      </w:r>
      <w:r>
        <w:rPr>
          <w:spacing w:val="-11"/>
        </w:rPr>
        <w:t> </w:t>
      </w:r>
      <w:r>
        <w:rPr/>
        <w:t>support</w:t>
      </w:r>
      <w:r>
        <w:rPr>
          <w:spacing w:val="-12"/>
        </w:rPr>
        <w:t> </w:t>
      </w:r>
      <w:r>
        <w:rPr/>
        <w:t>youth</w:t>
      </w:r>
      <w:r>
        <w:rPr>
          <w:spacing w:val="-12"/>
        </w:rPr>
        <w:t> </w:t>
      </w:r>
      <w:r>
        <w:rPr/>
        <w:t>and</w:t>
      </w:r>
      <w:r>
        <w:rPr>
          <w:spacing w:val="-12"/>
        </w:rPr>
        <w:t> </w:t>
      </w:r>
      <w:r>
        <w:rPr/>
        <w:t>family</w:t>
      </w:r>
      <w:r>
        <w:rPr>
          <w:spacing w:val="-11"/>
        </w:rPr>
        <w:t> </w:t>
      </w:r>
      <w:r>
        <w:rPr/>
        <w:t>voices</w:t>
      </w:r>
      <w:r>
        <w:rPr>
          <w:spacing w:val="-12"/>
        </w:rPr>
        <w:t> </w:t>
      </w:r>
      <w:r>
        <w:rPr/>
        <w:t>in</w:t>
      </w:r>
      <w:r>
        <w:rPr>
          <w:spacing w:val="-12"/>
        </w:rPr>
        <w:t> </w:t>
      </w:r>
      <w:r>
        <w:rPr/>
        <w:t>DYS</w:t>
      </w:r>
      <w:r>
        <w:rPr>
          <w:spacing w:val="-12"/>
        </w:rPr>
        <w:t> </w:t>
      </w:r>
      <w:r>
        <w:rPr/>
        <w:t>-</w:t>
      </w:r>
      <w:r>
        <w:rPr>
          <w:spacing w:val="-10"/>
        </w:rPr>
        <w:t> </w:t>
      </w:r>
      <w:r>
        <w:rPr/>
        <w:t>each</w:t>
      </w:r>
      <w:r>
        <w:rPr>
          <w:spacing w:val="-12"/>
        </w:rPr>
        <w:t> </w:t>
      </w:r>
      <w:r>
        <w:rPr/>
        <w:t>of</w:t>
      </w:r>
      <w:r>
        <w:rPr>
          <w:spacing w:val="-11"/>
        </w:rPr>
        <w:t> </w:t>
      </w:r>
      <w:r>
        <w:rPr/>
        <w:t>these</w:t>
      </w:r>
      <w:r>
        <w:rPr>
          <w:spacing w:val="-12"/>
        </w:rPr>
        <w:t> </w:t>
      </w:r>
      <w:r>
        <w:rPr/>
        <w:t>groups</w:t>
      </w:r>
      <w:r>
        <w:rPr>
          <w:spacing w:val="-12"/>
        </w:rPr>
        <w:t> </w:t>
      </w:r>
      <w:r>
        <w:rPr/>
        <w:t>would</w:t>
      </w:r>
      <w:r>
        <w:rPr>
          <w:spacing w:val="-10"/>
        </w:rPr>
        <w:t> </w:t>
      </w:r>
      <w:r>
        <w:rPr/>
        <w:t>be</w:t>
      </w:r>
      <w:r>
        <w:rPr>
          <w:spacing w:val="-13"/>
        </w:rPr>
        <w:t> </w:t>
      </w:r>
      <w:r>
        <w:rPr/>
        <w:t>supported by DYS trauma response specialists.</w:t>
      </w:r>
    </w:p>
    <w:p>
      <w:pPr>
        <w:pStyle w:val="BodyText"/>
        <w:spacing w:line="276" w:lineRule="auto" w:before="239"/>
        <w:ind w:left="483" w:right="341"/>
        <w:jc w:val="both"/>
      </w:pPr>
      <w:r>
        <w:rPr/>
        <w:t>Finally, the Commission appreciates the opportunity to collaborate with DYS on its sexual health education</w:t>
      </w:r>
      <w:r>
        <w:rPr>
          <w:spacing w:val="-1"/>
        </w:rPr>
        <w:t> </w:t>
      </w:r>
      <w:r>
        <w:rPr/>
        <w:t>curriculum</w:t>
      </w:r>
      <w:r>
        <w:rPr>
          <w:spacing w:val="-2"/>
        </w:rPr>
        <w:t> </w:t>
      </w:r>
      <w:r>
        <w:rPr/>
        <w:t>and looks</w:t>
      </w:r>
      <w:r>
        <w:rPr>
          <w:spacing w:val="-1"/>
        </w:rPr>
        <w:t> </w:t>
      </w:r>
      <w:r>
        <w:rPr/>
        <w:t>forward</w:t>
      </w:r>
      <w:r>
        <w:rPr>
          <w:spacing w:val="-1"/>
        </w:rPr>
        <w:t> </w:t>
      </w:r>
      <w:r>
        <w:rPr/>
        <w:t>to continuing</w:t>
      </w:r>
      <w:r>
        <w:rPr>
          <w:spacing w:val="-1"/>
        </w:rPr>
        <w:t> </w:t>
      </w:r>
      <w:r>
        <w:rPr/>
        <w:t>this conversation</w:t>
      </w:r>
      <w:r>
        <w:rPr>
          <w:spacing w:val="-2"/>
        </w:rPr>
        <w:t> </w:t>
      </w:r>
      <w:r>
        <w:rPr/>
        <w:t>with</w:t>
      </w:r>
      <w:r>
        <w:rPr>
          <w:spacing w:val="-1"/>
        </w:rPr>
        <w:t> </w:t>
      </w:r>
      <w:r>
        <w:rPr/>
        <w:t>the</w:t>
      </w:r>
      <w:r>
        <w:rPr>
          <w:spacing w:val="-1"/>
        </w:rPr>
        <w:t> </w:t>
      </w:r>
      <w:r>
        <w:rPr/>
        <w:t>hopes</w:t>
      </w:r>
      <w:r>
        <w:rPr>
          <w:spacing w:val="-1"/>
        </w:rPr>
        <w:t> </w:t>
      </w:r>
      <w:r>
        <w:rPr/>
        <w:t>of implementing new materials by the fall of 2024.</w:t>
      </w:r>
    </w:p>
    <w:p>
      <w:pPr>
        <w:numPr>
          <w:ilvl w:val="0"/>
          <w:numId w:val="44"/>
        </w:numPr>
        <w:tabs>
          <w:tab w:pos="481" w:val="left" w:leader="none"/>
          <w:tab w:pos="483" w:val="left" w:leader="none"/>
        </w:tabs>
        <w:spacing w:line="276" w:lineRule="auto" w:before="240"/>
        <w:ind w:left="483" w:right="346" w:hanging="360"/>
        <w:jc w:val="left"/>
        <w:rPr>
          <w:b/>
          <w:sz w:val="22"/>
        </w:rPr>
      </w:pPr>
      <w:r>
        <w:rPr>
          <w:b/>
          <w:sz w:val="22"/>
        </w:rPr>
        <w:t>Continue</w:t>
      </w:r>
      <w:r>
        <w:rPr>
          <w:b/>
          <w:spacing w:val="78"/>
          <w:sz w:val="22"/>
        </w:rPr>
        <w:t> </w:t>
      </w:r>
      <w:r>
        <w:rPr>
          <w:b/>
          <w:sz w:val="22"/>
        </w:rPr>
        <w:t>to</w:t>
      </w:r>
      <w:r>
        <w:rPr>
          <w:b/>
          <w:spacing w:val="78"/>
          <w:sz w:val="22"/>
        </w:rPr>
        <w:t> </w:t>
      </w:r>
      <w:r>
        <w:rPr>
          <w:b/>
          <w:sz w:val="22"/>
        </w:rPr>
        <w:t>provide</w:t>
      </w:r>
      <w:r>
        <w:rPr>
          <w:b/>
          <w:spacing w:val="78"/>
          <w:sz w:val="22"/>
        </w:rPr>
        <w:t> </w:t>
      </w:r>
      <w:r>
        <w:rPr>
          <w:b/>
          <w:sz w:val="22"/>
        </w:rPr>
        <w:t>mandatory</w:t>
      </w:r>
      <w:r>
        <w:rPr>
          <w:b/>
          <w:spacing w:val="79"/>
          <w:sz w:val="22"/>
        </w:rPr>
        <w:t> </w:t>
      </w:r>
      <w:r>
        <w:rPr>
          <w:b/>
          <w:sz w:val="22"/>
        </w:rPr>
        <w:t>annual</w:t>
      </w:r>
      <w:r>
        <w:rPr>
          <w:b/>
          <w:spacing w:val="79"/>
          <w:sz w:val="22"/>
        </w:rPr>
        <w:t> </w:t>
      </w:r>
      <w:r>
        <w:rPr>
          <w:b/>
          <w:sz w:val="22"/>
        </w:rPr>
        <w:t>professional</w:t>
      </w:r>
      <w:r>
        <w:rPr>
          <w:b/>
          <w:spacing w:val="80"/>
          <w:sz w:val="22"/>
        </w:rPr>
        <w:t> </w:t>
      </w:r>
      <w:r>
        <w:rPr>
          <w:b/>
          <w:sz w:val="22"/>
        </w:rPr>
        <w:t>development</w:t>
      </w:r>
      <w:r>
        <w:rPr>
          <w:b/>
          <w:spacing w:val="78"/>
          <w:sz w:val="22"/>
        </w:rPr>
        <w:t> </w:t>
      </w:r>
      <w:r>
        <w:rPr>
          <w:b/>
          <w:sz w:val="22"/>
        </w:rPr>
        <w:t>opportunities</w:t>
      </w:r>
      <w:r>
        <w:rPr>
          <w:b/>
          <w:spacing w:val="79"/>
          <w:sz w:val="22"/>
        </w:rPr>
        <w:t> </w:t>
      </w:r>
      <w:r>
        <w:rPr>
          <w:b/>
          <w:sz w:val="22"/>
        </w:rPr>
        <w:t>that</w:t>
      </w:r>
      <w:r>
        <w:rPr>
          <w:b/>
          <w:spacing w:val="78"/>
          <w:sz w:val="22"/>
        </w:rPr>
        <w:t> </w:t>
      </w:r>
      <w:r>
        <w:rPr>
          <w:b/>
          <w:sz w:val="22"/>
        </w:rPr>
        <w:t>prioritize intersectionality and center LGBTQ youth and family engagement.</w:t>
      </w:r>
    </w:p>
    <w:p>
      <w:pPr>
        <w:pStyle w:val="BodyText"/>
        <w:spacing w:line="276" w:lineRule="auto" w:before="240"/>
        <w:ind w:left="483" w:right="340"/>
        <w:jc w:val="both"/>
      </w:pPr>
      <w:r>
        <w:rPr/>
        <w:t>DYS’ has previously noted to the Commission that all DYS staff are engaged in basic LGBTQ cultural awareness</w:t>
      </w:r>
      <w:r>
        <w:rPr>
          <w:spacing w:val="-3"/>
        </w:rPr>
        <w:t> </w:t>
      </w:r>
      <w:r>
        <w:rPr/>
        <w:t>trainings</w:t>
      </w:r>
      <w:r>
        <w:rPr>
          <w:spacing w:val="-3"/>
        </w:rPr>
        <w:t> </w:t>
      </w:r>
      <w:r>
        <w:rPr/>
        <w:t>at</w:t>
      </w:r>
      <w:r>
        <w:rPr>
          <w:spacing w:val="-2"/>
        </w:rPr>
        <w:t> </w:t>
      </w:r>
      <w:r>
        <w:rPr/>
        <w:t>the</w:t>
      </w:r>
      <w:r>
        <w:rPr>
          <w:spacing w:val="-2"/>
        </w:rPr>
        <w:t> </w:t>
      </w:r>
      <w:r>
        <w:rPr/>
        <w:t>time</w:t>
      </w:r>
      <w:r>
        <w:rPr>
          <w:spacing w:val="-2"/>
        </w:rPr>
        <w:t> </w:t>
      </w:r>
      <w:r>
        <w:rPr/>
        <w:t>of</w:t>
      </w:r>
      <w:r>
        <w:rPr>
          <w:spacing w:val="-3"/>
        </w:rPr>
        <w:t> </w:t>
      </w:r>
      <w:r>
        <w:rPr/>
        <w:t>onboarding,</w:t>
      </w:r>
      <w:r>
        <w:rPr>
          <w:spacing w:val="-3"/>
        </w:rPr>
        <w:t> </w:t>
      </w:r>
      <w:r>
        <w:rPr/>
        <w:t>and</w:t>
      </w:r>
      <w:r>
        <w:rPr>
          <w:spacing w:val="-2"/>
        </w:rPr>
        <w:t> </w:t>
      </w:r>
      <w:r>
        <w:rPr/>
        <w:t>that</w:t>
      </w:r>
      <w:r>
        <w:rPr>
          <w:spacing w:val="-3"/>
        </w:rPr>
        <w:t> </w:t>
      </w:r>
      <w:r>
        <w:rPr/>
        <w:t>it</w:t>
      </w:r>
      <w:r>
        <w:rPr>
          <w:spacing w:val="-2"/>
        </w:rPr>
        <w:t> </w:t>
      </w:r>
      <w:r>
        <w:rPr/>
        <w:t>includes</w:t>
      </w:r>
      <w:r>
        <w:rPr>
          <w:spacing w:val="-3"/>
        </w:rPr>
        <w:t> </w:t>
      </w:r>
      <w:r>
        <w:rPr/>
        <w:t>guidelines</w:t>
      </w:r>
      <w:r>
        <w:rPr>
          <w:spacing w:val="-1"/>
        </w:rPr>
        <w:t> </w:t>
      </w:r>
      <w:r>
        <w:rPr/>
        <w:t>on</w:t>
      </w:r>
      <w:r>
        <w:rPr>
          <w:spacing w:val="-3"/>
        </w:rPr>
        <w:t> </w:t>
      </w:r>
      <w:r>
        <w:rPr/>
        <w:t>LGBTQ</w:t>
      </w:r>
      <w:r>
        <w:rPr>
          <w:spacing w:val="-2"/>
        </w:rPr>
        <w:t> </w:t>
      </w:r>
      <w:r>
        <w:rPr/>
        <w:t>best</w:t>
      </w:r>
      <w:r>
        <w:rPr>
          <w:spacing w:val="-2"/>
        </w:rPr>
        <w:t> </w:t>
      </w:r>
      <w:r>
        <w:rPr/>
        <w:t>practices</w:t>
      </w:r>
      <w:r>
        <w:rPr>
          <w:spacing w:val="-3"/>
        </w:rPr>
        <w:t> </w:t>
      </w:r>
      <w:r>
        <w:rPr/>
        <w:t>in its annual review trainings with all direct care state and contracted provider employees. In FY 2024, DYS shared with the Commission that a new manager/supervisor training course has begun, and new additional training modules on LGBTQ cultural awareness will be available for all staff in FY 2025. The Commission looks forward to continuing to engage with DYS around these training opportunities, and expresses its interest in attending some of the available trainings in the upcoming fiscal year.</w:t>
      </w:r>
    </w:p>
    <w:p>
      <w:pPr>
        <w:spacing w:after="0" w:line="276" w:lineRule="auto"/>
        <w:jc w:val="both"/>
        <w:sectPr>
          <w:pgSz w:w="12240" w:h="15840"/>
          <w:pgMar w:header="804" w:footer="1231" w:top="1000" w:bottom="1460" w:left="960" w:right="1100"/>
        </w:sectPr>
      </w:pPr>
    </w:p>
    <w:p>
      <w:pPr>
        <w:numPr>
          <w:ilvl w:val="0"/>
          <w:numId w:val="44"/>
        </w:numPr>
        <w:tabs>
          <w:tab w:pos="481" w:val="left" w:leader="none"/>
          <w:tab w:pos="483" w:val="left" w:leader="none"/>
        </w:tabs>
        <w:spacing w:line="276" w:lineRule="auto" w:before="139"/>
        <w:ind w:left="483" w:right="343" w:hanging="360"/>
        <w:jc w:val="both"/>
        <w:rPr>
          <w:b/>
          <w:sz w:val="22"/>
        </w:rPr>
      </w:pPr>
      <w:r>
        <w:rPr>
          <w:b/>
          <w:sz w:val="22"/>
        </w:rPr>
        <w:t>Collaborate with the Commission to establish an LGBTQ parent education curriculum within juvenile diversion programs.</w:t>
      </w:r>
    </w:p>
    <w:p>
      <w:pPr>
        <w:pStyle w:val="BodyText"/>
        <w:spacing w:line="276" w:lineRule="auto" w:before="239"/>
        <w:ind w:left="483" w:right="342"/>
        <w:jc w:val="both"/>
      </w:pPr>
      <w:r>
        <w:rPr/>
        <w:t>Part</w:t>
      </w:r>
      <w:r>
        <w:rPr>
          <w:spacing w:val="-8"/>
        </w:rPr>
        <w:t> </w:t>
      </w:r>
      <w:r>
        <w:rPr/>
        <w:t>of</w:t>
      </w:r>
      <w:r>
        <w:rPr>
          <w:spacing w:val="-8"/>
        </w:rPr>
        <w:t> </w:t>
      </w:r>
      <w:r>
        <w:rPr/>
        <w:t>the</w:t>
      </w:r>
      <w:r>
        <w:rPr>
          <w:spacing w:val="-7"/>
        </w:rPr>
        <w:t> </w:t>
      </w:r>
      <w:r>
        <w:rPr/>
        <w:t>work</w:t>
      </w:r>
      <w:r>
        <w:rPr>
          <w:spacing w:val="-8"/>
        </w:rPr>
        <w:t> </w:t>
      </w:r>
      <w:r>
        <w:rPr/>
        <w:t>of</w:t>
      </w:r>
      <w:r>
        <w:rPr>
          <w:spacing w:val="-8"/>
        </w:rPr>
        <w:t> </w:t>
      </w:r>
      <w:r>
        <w:rPr/>
        <w:t>DYS</w:t>
      </w:r>
      <w:r>
        <w:rPr>
          <w:spacing w:val="-7"/>
        </w:rPr>
        <w:t> </w:t>
      </w:r>
      <w:r>
        <w:rPr/>
        <w:t>is</w:t>
      </w:r>
      <w:r>
        <w:rPr>
          <w:spacing w:val="-7"/>
        </w:rPr>
        <w:t> </w:t>
      </w:r>
      <w:r>
        <w:rPr/>
        <w:t>to</w:t>
      </w:r>
      <w:r>
        <w:rPr>
          <w:spacing w:val="-7"/>
        </w:rPr>
        <w:t> </w:t>
      </w:r>
      <w:r>
        <w:rPr/>
        <w:t>support</w:t>
      </w:r>
      <w:r>
        <w:rPr>
          <w:spacing w:val="-8"/>
        </w:rPr>
        <w:t> </w:t>
      </w:r>
      <w:r>
        <w:rPr/>
        <w:t>juvenile</w:t>
      </w:r>
      <w:r>
        <w:rPr>
          <w:spacing w:val="-7"/>
        </w:rPr>
        <w:t> </w:t>
      </w:r>
      <w:r>
        <w:rPr/>
        <w:t>diversion,</w:t>
      </w:r>
      <w:r>
        <w:rPr>
          <w:spacing w:val="-7"/>
        </w:rPr>
        <w:t> </w:t>
      </w:r>
      <w:r>
        <w:rPr/>
        <w:t>and</w:t>
      </w:r>
      <w:r>
        <w:rPr>
          <w:spacing w:val="-7"/>
        </w:rPr>
        <w:t> </w:t>
      </w:r>
      <w:r>
        <w:rPr/>
        <w:t>in</w:t>
      </w:r>
      <w:r>
        <w:rPr>
          <w:spacing w:val="-8"/>
        </w:rPr>
        <w:t> </w:t>
      </w:r>
      <w:r>
        <w:rPr/>
        <w:t>2021,</w:t>
      </w:r>
      <w:r>
        <w:rPr>
          <w:spacing w:val="-7"/>
        </w:rPr>
        <w:t> </w:t>
      </w:r>
      <w:r>
        <w:rPr/>
        <w:t>DYS</w:t>
      </w:r>
      <w:r>
        <w:rPr>
          <w:spacing w:val="-8"/>
        </w:rPr>
        <w:t> </w:t>
      </w:r>
      <w:r>
        <w:rPr/>
        <w:t>and</w:t>
      </w:r>
      <w:r>
        <w:rPr>
          <w:spacing w:val="-8"/>
        </w:rPr>
        <w:t> </w:t>
      </w:r>
      <w:r>
        <w:rPr/>
        <w:t>the</w:t>
      </w:r>
      <w:r>
        <w:rPr>
          <w:spacing w:val="-8"/>
        </w:rPr>
        <w:t> </w:t>
      </w:r>
      <w:r>
        <w:rPr/>
        <w:t>OCA</w:t>
      </w:r>
      <w:r>
        <w:rPr>
          <w:spacing w:val="-6"/>
        </w:rPr>
        <w:t> </w:t>
      </w:r>
      <w:r>
        <w:rPr/>
        <w:t>launched</w:t>
      </w:r>
      <w:r>
        <w:rPr>
          <w:spacing w:val="-8"/>
        </w:rPr>
        <w:t> </w:t>
      </w:r>
      <w:r>
        <w:rPr/>
        <w:t>the</w:t>
      </w:r>
      <w:r>
        <w:rPr>
          <w:spacing w:val="-7"/>
        </w:rPr>
        <w:t> </w:t>
      </w:r>
      <w:r>
        <w:rPr/>
        <w:t>Youth Diversion Initiative which works to support positive and equitable youth development. Within these diversion</w:t>
      </w:r>
      <w:r>
        <w:rPr>
          <w:spacing w:val="-8"/>
        </w:rPr>
        <w:t> </w:t>
      </w:r>
      <w:r>
        <w:rPr/>
        <w:t>programs,</w:t>
      </w:r>
      <w:r>
        <w:rPr>
          <w:spacing w:val="-8"/>
        </w:rPr>
        <w:t> </w:t>
      </w:r>
      <w:r>
        <w:rPr/>
        <w:t>DYS</w:t>
      </w:r>
      <w:r>
        <w:rPr>
          <w:spacing w:val="-7"/>
        </w:rPr>
        <w:t> </w:t>
      </w:r>
      <w:r>
        <w:rPr/>
        <w:t>partners</w:t>
      </w:r>
      <w:r>
        <w:rPr>
          <w:spacing w:val="-7"/>
        </w:rPr>
        <w:t> </w:t>
      </w:r>
      <w:r>
        <w:rPr/>
        <w:t>with</w:t>
      </w:r>
      <w:r>
        <w:rPr>
          <w:spacing w:val="-8"/>
        </w:rPr>
        <w:t> </w:t>
      </w:r>
      <w:r>
        <w:rPr/>
        <w:t>referred</w:t>
      </w:r>
      <w:r>
        <w:rPr>
          <w:spacing w:val="-8"/>
        </w:rPr>
        <w:t> </w:t>
      </w:r>
      <w:r>
        <w:rPr/>
        <w:t>youth</w:t>
      </w:r>
      <w:r>
        <w:rPr>
          <w:spacing w:val="-8"/>
        </w:rPr>
        <w:t> </w:t>
      </w:r>
      <w:r>
        <w:rPr/>
        <w:t>and</w:t>
      </w:r>
      <w:r>
        <w:rPr>
          <w:spacing w:val="-6"/>
        </w:rPr>
        <w:t> </w:t>
      </w:r>
      <w:r>
        <w:rPr/>
        <w:t>their</w:t>
      </w:r>
      <w:r>
        <w:rPr>
          <w:spacing w:val="-6"/>
        </w:rPr>
        <w:t> </w:t>
      </w:r>
      <w:r>
        <w:rPr/>
        <w:t>families</w:t>
      </w:r>
      <w:r>
        <w:rPr>
          <w:spacing w:val="-6"/>
        </w:rPr>
        <w:t> </w:t>
      </w:r>
      <w:r>
        <w:rPr/>
        <w:t>to</w:t>
      </w:r>
      <w:r>
        <w:rPr>
          <w:spacing w:val="-7"/>
        </w:rPr>
        <w:t> </w:t>
      </w:r>
      <w:r>
        <w:rPr/>
        <w:t>reduce</w:t>
      </w:r>
      <w:r>
        <w:rPr>
          <w:spacing w:val="-7"/>
        </w:rPr>
        <w:t> </w:t>
      </w:r>
      <w:r>
        <w:rPr/>
        <w:t>the</w:t>
      </w:r>
      <w:r>
        <w:rPr>
          <w:spacing w:val="-7"/>
        </w:rPr>
        <w:t> </w:t>
      </w:r>
      <w:r>
        <w:rPr/>
        <w:t>likelihood</w:t>
      </w:r>
      <w:r>
        <w:rPr>
          <w:spacing w:val="-8"/>
        </w:rPr>
        <w:t> </w:t>
      </w:r>
      <w:r>
        <w:rPr/>
        <w:t>of</w:t>
      </w:r>
      <w:r>
        <w:rPr>
          <w:spacing w:val="-8"/>
        </w:rPr>
        <w:t> </w:t>
      </w:r>
      <w:r>
        <w:rPr/>
        <w:t>future contact with the juvenile justice system. However, in cases where families fail to support the youth’s sexual orientation and/or gender identity, this may lead to further strife and increase the likelihood of some youths continued interaction with the juvenile justice system. In FY 2025, DYS and the OCA should partner with the Commission to discuss providing a parent education curriculum that works to uplift, educate, and support parents with LGBTQ youth.</w:t>
      </w:r>
    </w:p>
    <w:p>
      <w:pPr>
        <w:pStyle w:val="BodyText"/>
        <w:spacing w:line="276" w:lineRule="auto" w:before="239"/>
        <w:ind w:left="483" w:right="340"/>
        <w:jc w:val="both"/>
      </w:pPr>
      <w:r>
        <w:rPr/>
        <w:t>In</w:t>
      </w:r>
      <w:r>
        <w:rPr>
          <w:spacing w:val="-7"/>
        </w:rPr>
        <w:t> </w:t>
      </w:r>
      <w:r>
        <w:rPr/>
        <w:t>its</w:t>
      </w:r>
      <w:r>
        <w:rPr>
          <w:spacing w:val="-6"/>
        </w:rPr>
        <w:t> </w:t>
      </w:r>
      <w:r>
        <w:rPr/>
        <w:t>FY</w:t>
      </w:r>
      <w:r>
        <w:rPr>
          <w:spacing w:val="-7"/>
        </w:rPr>
        <w:t> </w:t>
      </w:r>
      <w:r>
        <w:rPr/>
        <w:t>2024</w:t>
      </w:r>
      <w:r>
        <w:rPr>
          <w:spacing w:val="-5"/>
        </w:rPr>
        <w:t> </w:t>
      </w:r>
      <w:r>
        <w:rPr/>
        <w:t>updates</w:t>
      </w:r>
      <w:r>
        <w:rPr>
          <w:spacing w:val="-5"/>
        </w:rPr>
        <w:t> </w:t>
      </w:r>
      <w:r>
        <w:rPr/>
        <w:t>to</w:t>
      </w:r>
      <w:r>
        <w:rPr>
          <w:spacing w:val="-6"/>
        </w:rPr>
        <w:t> </w:t>
      </w:r>
      <w:r>
        <w:rPr/>
        <w:t>the</w:t>
      </w:r>
      <w:r>
        <w:rPr>
          <w:spacing w:val="-7"/>
        </w:rPr>
        <w:t> </w:t>
      </w:r>
      <w:r>
        <w:rPr/>
        <w:t>Commission,</w:t>
      </w:r>
      <w:r>
        <w:rPr>
          <w:spacing w:val="-6"/>
        </w:rPr>
        <w:t> </w:t>
      </w:r>
      <w:r>
        <w:rPr/>
        <w:t>DYS</w:t>
      </w:r>
      <w:r>
        <w:rPr>
          <w:spacing w:val="-7"/>
        </w:rPr>
        <w:t> </w:t>
      </w:r>
      <w:r>
        <w:rPr/>
        <w:t>shared</w:t>
      </w:r>
      <w:r>
        <w:rPr>
          <w:spacing w:val="-6"/>
        </w:rPr>
        <w:t> </w:t>
      </w:r>
      <w:r>
        <w:rPr/>
        <w:t>that</w:t>
      </w:r>
      <w:r>
        <w:rPr>
          <w:spacing w:val="-7"/>
        </w:rPr>
        <w:t> </w:t>
      </w:r>
      <w:r>
        <w:rPr/>
        <w:t>it</w:t>
      </w:r>
      <w:r>
        <w:rPr>
          <w:spacing w:val="-7"/>
        </w:rPr>
        <w:t> </w:t>
      </w:r>
      <w:r>
        <w:rPr/>
        <w:t>has</w:t>
      </w:r>
      <w:r>
        <w:rPr>
          <w:spacing w:val="-6"/>
        </w:rPr>
        <w:t> </w:t>
      </w:r>
      <w:r>
        <w:rPr/>
        <w:t>recently</w:t>
      </w:r>
      <w:r>
        <w:rPr>
          <w:spacing w:val="-6"/>
        </w:rPr>
        <w:t> </w:t>
      </w:r>
      <w:r>
        <w:rPr/>
        <w:t>added</w:t>
      </w:r>
      <w:r>
        <w:rPr>
          <w:spacing w:val="-6"/>
        </w:rPr>
        <w:t> </w:t>
      </w:r>
      <w:r>
        <w:rPr/>
        <w:t>a</w:t>
      </w:r>
      <w:r>
        <w:rPr>
          <w:spacing w:val="-6"/>
        </w:rPr>
        <w:t> </w:t>
      </w:r>
      <w:r>
        <w:rPr/>
        <w:t>parent</w:t>
      </w:r>
      <w:r>
        <w:rPr>
          <w:spacing w:val="-7"/>
        </w:rPr>
        <w:t> </w:t>
      </w:r>
      <w:r>
        <w:rPr/>
        <w:t>partner</w:t>
      </w:r>
      <w:r>
        <w:rPr>
          <w:spacing w:val="-6"/>
        </w:rPr>
        <w:t> </w:t>
      </w:r>
      <w:r>
        <w:rPr/>
        <w:t>position in</w:t>
      </w:r>
      <w:r>
        <w:rPr>
          <w:spacing w:val="-11"/>
        </w:rPr>
        <w:t> </w:t>
      </w:r>
      <w:r>
        <w:rPr/>
        <w:t>each</w:t>
      </w:r>
      <w:r>
        <w:rPr>
          <w:spacing w:val="-11"/>
        </w:rPr>
        <w:t> </w:t>
      </w:r>
      <w:r>
        <w:rPr/>
        <w:t>of</w:t>
      </w:r>
      <w:r>
        <w:rPr>
          <w:spacing w:val="-11"/>
        </w:rPr>
        <w:t> </w:t>
      </w:r>
      <w:r>
        <w:rPr/>
        <w:t>its</w:t>
      </w:r>
      <w:r>
        <w:rPr>
          <w:spacing w:val="-11"/>
        </w:rPr>
        <w:t> </w:t>
      </w:r>
      <w:r>
        <w:rPr/>
        <w:t>five</w:t>
      </w:r>
      <w:r>
        <w:rPr>
          <w:spacing w:val="-11"/>
        </w:rPr>
        <w:t> </w:t>
      </w:r>
      <w:r>
        <w:rPr/>
        <w:t>regions;</w:t>
      </w:r>
      <w:r>
        <w:rPr>
          <w:spacing w:val="-10"/>
        </w:rPr>
        <w:t> </w:t>
      </w:r>
      <w:r>
        <w:rPr/>
        <w:t>these</w:t>
      </w:r>
      <w:r>
        <w:rPr>
          <w:spacing w:val="-11"/>
        </w:rPr>
        <w:t> </w:t>
      </w:r>
      <w:r>
        <w:rPr/>
        <w:t>specialists</w:t>
      </w:r>
      <w:r>
        <w:rPr>
          <w:spacing w:val="-11"/>
        </w:rPr>
        <w:t> </w:t>
      </w:r>
      <w:r>
        <w:rPr/>
        <w:t>are</w:t>
      </w:r>
      <w:r>
        <w:rPr>
          <w:spacing w:val="-11"/>
        </w:rPr>
        <w:t> </w:t>
      </w:r>
      <w:r>
        <w:rPr/>
        <w:t>specifically</w:t>
      </w:r>
      <w:r>
        <w:rPr>
          <w:spacing w:val="-11"/>
        </w:rPr>
        <w:t> </w:t>
      </w:r>
      <w:r>
        <w:rPr/>
        <w:t>tasked</w:t>
      </w:r>
      <w:r>
        <w:rPr>
          <w:spacing w:val="-10"/>
        </w:rPr>
        <w:t> </w:t>
      </w:r>
      <w:r>
        <w:rPr/>
        <w:t>with</w:t>
      </w:r>
      <w:r>
        <w:rPr>
          <w:spacing w:val="-11"/>
        </w:rPr>
        <w:t> </w:t>
      </w:r>
      <w:r>
        <w:rPr/>
        <w:t>providing</w:t>
      </w:r>
      <w:r>
        <w:rPr>
          <w:spacing w:val="-12"/>
        </w:rPr>
        <w:t> </w:t>
      </w:r>
      <w:r>
        <w:rPr/>
        <w:t>support</w:t>
      </w:r>
      <w:r>
        <w:rPr>
          <w:spacing w:val="-11"/>
        </w:rPr>
        <w:t> </w:t>
      </w:r>
      <w:r>
        <w:rPr/>
        <w:t>to</w:t>
      </w:r>
      <w:r>
        <w:rPr>
          <w:spacing w:val="-11"/>
        </w:rPr>
        <w:t> </w:t>
      </w:r>
      <w:r>
        <w:rPr/>
        <w:t>families,</w:t>
      </w:r>
      <w:r>
        <w:rPr>
          <w:spacing w:val="-11"/>
        </w:rPr>
        <w:t> </w:t>
      </w:r>
      <w:r>
        <w:rPr/>
        <w:t>which includes providing education, support, and resource sharing. DYS notes that it began a subcommittee to focus</w:t>
      </w:r>
      <w:r>
        <w:rPr>
          <w:spacing w:val="-10"/>
        </w:rPr>
        <w:t> </w:t>
      </w:r>
      <w:r>
        <w:rPr/>
        <w:t>on</w:t>
      </w:r>
      <w:r>
        <w:rPr>
          <w:spacing w:val="-9"/>
        </w:rPr>
        <w:t> </w:t>
      </w:r>
      <w:r>
        <w:rPr/>
        <w:t>this</w:t>
      </w:r>
      <w:r>
        <w:rPr>
          <w:spacing w:val="-9"/>
        </w:rPr>
        <w:t> </w:t>
      </w:r>
      <w:r>
        <w:rPr/>
        <w:t>work</w:t>
      </w:r>
      <w:r>
        <w:rPr>
          <w:spacing w:val="-10"/>
        </w:rPr>
        <w:t> </w:t>
      </w:r>
      <w:r>
        <w:rPr/>
        <w:t>which</w:t>
      </w:r>
      <w:r>
        <w:rPr>
          <w:spacing w:val="-9"/>
        </w:rPr>
        <w:t> </w:t>
      </w:r>
      <w:r>
        <w:rPr/>
        <w:t>includes</w:t>
      </w:r>
      <w:r>
        <w:rPr>
          <w:spacing w:val="-9"/>
        </w:rPr>
        <w:t> </w:t>
      </w:r>
      <w:r>
        <w:rPr/>
        <w:t>members</w:t>
      </w:r>
      <w:r>
        <w:rPr>
          <w:spacing w:val="-10"/>
        </w:rPr>
        <w:t> </w:t>
      </w:r>
      <w:r>
        <w:rPr/>
        <w:t>from</w:t>
      </w:r>
      <w:r>
        <w:rPr>
          <w:spacing w:val="-9"/>
        </w:rPr>
        <w:t> </w:t>
      </w:r>
      <w:r>
        <w:rPr/>
        <w:t>PPAL,</w:t>
      </w:r>
      <w:r>
        <w:rPr>
          <w:spacing w:val="-10"/>
        </w:rPr>
        <w:t> </w:t>
      </w:r>
      <w:r>
        <w:rPr/>
        <w:t>the</w:t>
      </w:r>
      <w:r>
        <w:rPr>
          <w:spacing w:val="-9"/>
        </w:rPr>
        <w:t> </w:t>
      </w:r>
      <w:r>
        <w:rPr/>
        <w:t>Mass</w:t>
      </w:r>
      <w:r>
        <w:rPr>
          <w:spacing w:val="-9"/>
        </w:rPr>
        <w:t> </w:t>
      </w:r>
      <w:r>
        <w:rPr/>
        <w:t>Youth</w:t>
      </w:r>
      <w:r>
        <w:rPr>
          <w:spacing w:val="-9"/>
        </w:rPr>
        <w:t> </w:t>
      </w:r>
      <w:r>
        <w:rPr/>
        <w:t>Diversion</w:t>
      </w:r>
      <w:r>
        <w:rPr>
          <w:spacing w:val="-10"/>
        </w:rPr>
        <w:t> </w:t>
      </w:r>
      <w:r>
        <w:rPr/>
        <w:t>Program,</w:t>
      </w:r>
      <w:r>
        <w:rPr>
          <w:spacing w:val="-9"/>
        </w:rPr>
        <w:t> </w:t>
      </w:r>
      <w:r>
        <w:rPr/>
        <w:t>and</w:t>
      </w:r>
      <w:r>
        <w:rPr>
          <w:spacing w:val="-9"/>
        </w:rPr>
        <w:t> </w:t>
      </w:r>
      <w:r>
        <w:rPr/>
        <w:t>the</w:t>
      </w:r>
      <w:r>
        <w:rPr>
          <w:spacing w:val="-8"/>
        </w:rPr>
        <w:t> </w:t>
      </w:r>
      <w:r>
        <w:rPr/>
        <w:t>Office of</w:t>
      </w:r>
      <w:r>
        <w:rPr>
          <w:spacing w:val="-6"/>
        </w:rPr>
        <w:t> </w:t>
      </w:r>
      <w:r>
        <w:rPr/>
        <w:t>the</w:t>
      </w:r>
      <w:r>
        <w:rPr>
          <w:spacing w:val="-7"/>
        </w:rPr>
        <w:t> </w:t>
      </w:r>
      <w:r>
        <w:rPr/>
        <w:t>Child</w:t>
      </w:r>
      <w:r>
        <w:rPr>
          <w:spacing w:val="-7"/>
        </w:rPr>
        <w:t> </w:t>
      </w:r>
      <w:r>
        <w:rPr/>
        <w:t>Advocate;</w:t>
      </w:r>
      <w:r>
        <w:rPr>
          <w:spacing w:val="-7"/>
        </w:rPr>
        <w:t> </w:t>
      </w:r>
      <w:r>
        <w:rPr/>
        <w:t>the</w:t>
      </w:r>
      <w:r>
        <w:rPr>
          <w:spacing w:val="-6"/>
        </w:rPr>
        <w:t> </w:t>
      </w:r>
      <w:r>
        <w:rPr/>
        <w:t>subcommittee</w:t>
      </w:r>
      <w:r>
        <w:rPr>
          <w:spacing w:val="-7"/>
        </w:rPr>
        <w:t> </w:t>
      </w:r>
      <w:r>
        <w:rPr/>
        <w:t>has</w:t>
      </w:r>
      <w:r>
        <w:rPr>
          <w:spacing w:val="-6"/>
        </w:rPr>
        <w:t> </w:t>
      </w:r>
      <w:r>
        <w:rPr/>
        <w:t>since</w:t>
      </w:r>
      <w:r>
        <w:rPr>
          <w:spacing w:val="-6"/>
        </w:rPr>
        <w:t> </w:t>
      </w:r>
      <w:r>
        <w:rPr/>
        <w:t>begun</w:t>
      </w:r>
      <w:r>
        <w:rPr>
          <w:spacing w:val="-6"/>
        </w:rPr>
        <w:t> </w:t>
      </w:r>
      <w:r>
        <w:rPr/>
        <w:t>exploring</w:t>
      </w:r>
      <w:r>
        <w:rPr>
          <w:spacing w:val="-7"/>
        </w:rPr>
        <w:t> </w:t>
      </w:r>
      <w:r>
        <w:rPr/>
        <w:t>curriculum</w:t>
      </w:r>
      <w:r>
        <w:rPr>
          <w:spacing w:val="-6"/>
        </w:rPr>
        <w:t> </w:t>
      </w:r>
      <w:r>
        <w:rPr/>
        <w:t>options</w:t>
      </w:r>
      <w:r>
        <w:rPr>
          <w:spacing w:val="-6"/>
        </w:rPr>
        <w:t> </w:t>
      </w:r>
      <w:r>
        <w:rPr/>
        <w:t>to</w:t>
      </w:r>
      <w:r>
        <w:rPr>
          <w:spacing w:val="-7"/>
        </w:rPr>
        <w:t> </w:t>
      </w:r>
      <w:r>
        <w:rPr/>
        <w:t>support</w:t>
      </w:r>
      <w:r>
        <w:rPr>
          <w:spacing w:val="-7"/>
        </w:rPr>
        <w:t> </w:t>
      </w:r>
      <w:r>
        <w:rPr/>
        <w:t>LGBTQ parent engagement, and has begun creating brochures to provide information LGBTQ acceptance, and also how to navigate the court system. The Commission appreciates the attention of DYS to this recommendation, and also expresses its interest in joining the collaboration with these agencies on this work in FY 2025.</w:t>
      </w:r>
    </w:p>
    <w:p>
      <w:pPr>
        <w:numPr>
          <w:ilvl w:val="0"/>
          <w:numId w:val="44"/>
        </w:numPr>
        <w:tabs>
          <w:tab w:pos="481" w:val="left" w:leader="none"/>
          <w:tab w:pos="483" w:val="left" w:leader="none"/>
        </w:tabs>
        <w:spacing w:line="276" w:lineRule="auto" w:before="241"/>
        <w:ind w:left="483" w:right="343" w:hanging="360"/>
        <w:jc w:val="both"/>
        <w:rPr>
          <w:b/>
          <w:sz w:val="22"/>
        </w:rPr>
      </w:pPr>
      <w:r>
        <w:rPr>
          <w:b/>
          <w:sz w:val="22"/>
        </w:rPr>
        <w:t>Improve</w:t>
      </w:r>
      <w:r>
        <w:rPr>
          <w:b/>
          <w:spacing w:val="-9"/>
          <w:sz w:val="22"/>
        </w:rPr>
        <w:t> </w:t>
      </w:r>
      <w:r>
        <w:rPr>
          <w:b/>
          <w:sz w:val="22"/>
        </w:rPr>
        <w:t>interagency</w:t>
      </w:r>
      <w:r>
        <w:rPr>
          <w:b/>
          <w:spacing w:val="-8"/>
          <w:sz w:val="22"/>
        </w:rPr>
        <w:t> </w:t>
      </w:r>
      <w:r>
        <w:rPr>
          <w:b/>
          <w:sz w:val="22"/>
        </w:rPr>
        <w:t>work</w:t>
      </w:r>
      <w:r>
        <w:rPr>
          <w:b/>
          <w:spacing w:val="-8"/>
          <w:sz w:val="22"/>
        </w:rPr>
        <w:t> </w:t>
      </w:r>
      <w:r>
        <w:rPr>
          <w:b/>
          <w:sz w:val="22"/>
        </w:rPr>
        <w:t>to</w:t>
      </w:r>
      <w:r>
        <w:rPr>
          <w:b/>
          <w:spacing w:val="-9"/>
          <w:sz w:val="22"/>
        </w:rPr>
        <w:t> </w:t>
      </w:r>
      <w:r>
        <w:rPr>
          <w:b/>
          <w:sz w:val="22"/>
        </w:rPr>
        <w:t>support</w:t>
      </w:r>
      <w:r>
        <w:rPr>
          <w:b/>
          <w:spacing w:val="-9"/>
          <w:sz w:val="22"/>
        </w:rPr>
        <w:t> </w:t>
      </w:r>
      <w:r>
        <w:rPr>
          <w:b/>
          <w:sz w:val="22"/>
        </w:rPr>
        <w:t>“warm</w:t>
      </w:r>
      <w:r>
        <w:rPr>
          <w:b/>
          <w:spacing w:val="-7"/>
          <w:sz w:val="22"/>
        </w:rPr>
        <w:t> </w:t>
      </w:r>
      <w:r>
        <w:rPr>
          <w:b/>
          <w:sz w:val="22"/>
        </w:rPr>
        <w:t>hand-offs”</w:t>
      </w:r>
      <w:r>
        <w:rPr>
          <w:b/>
          <w:spacing w:val="-9"/>
          <w:sz w:val="22"/>
        </w:rPr>
        <w:t> </w:t>
      </w:r>
      <w:r>
        <w:rPr>
          <w:b/>
          <w:sz w:val="22"/>
        </w:rPr>
        <w:t>for</w:t>
      </w:r>
      <w:r>
        <w:rPr>
          <w:b/>
          <w:spacing w:val="-7"/>
          <w:sz w:val="22"/>
        </w:rPr>
        <w:t> </w:t>
      </w:r>
      <w:r>
        <w:rPr>
          <w:b/>
          <w:sz w:val="22"/>
        </w:rPr>
        <w:t>transition-aged</w:t>
      </w:r>
      <w:r>
        <w:rPr>
          <w:b/>
          <w:spacing w:val="-9"/>
          <w:sz w:val="22"/>
        </w:rPr>
        <w:t> </w:t>
      </w:r>
      <w:r>
        <w:rPr>
          <w:b/>
          <w:sz w:val="22"/>
        </w:rPr>
        <w:t>youth</w:t>
      </w:r>
      <w:r>
        <w:rPr>
          <w:b/>
          <w:spacing w:val="-8"/>
          <w:sz w:val="22"/>
        </w:rPr>
        <w:t> </w:t>
      </w:r>
      <w:r>
        <w:rPr>
          <w:b/>
          <w:sz w:val="22"/>
        </w:rPr>
        <w:t>attempting</w:t>
      </w:r>
      <w:r>
        <w:rPr>
          <w:b/>
          <w:spacing w:val="-8"/>
          <w:sz w:val="22"/>
        </w:rPr>
        <w:t> </w:t>
      </w:r>
      <w:r>
        <w:rPr>
          <w:b/>
          <w:sz w:val="22"/>
        </w:rPr>
        <w:t>to</w:t>
      </w:r>
      <w:r>
        <w:rPr>
          <w:b/>
          <w:spacing w:val="-9"/>
          <w:sz w:val="22"/>
        </w:rPr>
        <w:t> </w:t>
      </w:r>
      <w:r>
        <w:rPr>
          <w:b/>
          <w:sz w:val="22"/>
        </w:rPr>
        <w:t>access services,</w:t>
      </w:r>
      <w:r>
        <w:rPr>
          <w:b/>
          <w:spacing w:val="-7"/>
          <w:sz w:val="22"/>
        </w:rPr>
        <w:t> </w:t>
      </w:r>
      <w:r>
        <w:rPr>
          <w:b/>
          <w:sz w:val="22"/>
        </w:rPr>
        <w:t>in</w:t>
      </w:r>
      <w:r>
        <w:rPr>
          <w:b/>
          <w:spacing w:val="-7"/>
          <w:sz w:val="22"/>
        </w:rPr>
        <w:t> </w:t>
      </w:r>
      <w:r>
        <w:rPr>
          <w:b/>
          <w:sz w:val="22"/>
        </w:rPr>
        <w:t>partnership</w:t>
      </w:r>
      <w:r>
        <w:rPr>
          <w:b/>
          <w:spacing w:val="-7"/>
          <w:sz w:val="22"/>
        </w:rPr>
        <w:t> </w:t>
      </w:r>
      <w:r>
        <w:rPr>
          <w:b/>
          <w:sz w:val="22"/>
        </w:rPr>
        <w:t>with</w:t>
      </w:r>
      <w:r>
        <w:rPr>
          <w:b/>
          <w:spacing w:val="-7"/>
          <w:sz w:val="22"/>
        </w:rPr>
        <w:t> </w:t>
      </w:r>
      <w:r>
        <w:rPr>
          <w:b/>
          <w:sz w:val="22"/>
        </w:rPr>
        <w:t>the</w:t>
      </w:r>
      <w:r>
        <w:rPr>
          <w:b/>
          <w:spacing w:val="-6"/>
          <w:sz w:val="22"/>
        </w:rPr>
        <w:t> </w:t>
      </w:r>
      <w:r>
        <w:rPr>
          <w:b/>
          <w:sz w:val="22"/>
        </w:rPr>
        <w:t>Department</w:t>
      </w:r>
      <w:r>
        <w:rPr>
          <w:b/>
          <w:spacing w:val="-6"/>
          <w:sz w:val="22"/>
        </w:rPr>
        <w:t> </w:t>
      </w:r>
      <w:r>
        <w:rPr>
          <w:b/>
          <w:sz w:val="22"/>
        </w:rPr>
        <w:t>of</w:t>
      </w:r>
      <w:r>
        <w:rPr>
          <w:b/>
          <w:spacing w:val="-6"/>
          <w:sz w:val="22"/>
        </w:rPr>
        <w:t> </w:t>
      </w:r>
      <w:r>
        <w:rPr>
          <w:b/>
          <w:sz w:val="22"/>
        </w:rPr>
        <w:t>Children</w:t>
      </w:r>
      <w:r>
        <w:rPr>
          <w:b/>
          <w:spacing w:val="-7"/>
          <w:sz w:val="22"/>
        </w:rPr>
        <w:t> </w:t>
      </w:r>
      <w:r>
        <w:rPr>
          <w:b/>
          <w:sz w:val="22"/>
        </w:rPr>
        <w:t>&amp;</w:t>
      </w:r>
      <w:r>
        <w:rPr>
          <w:b/>
          <w:spacing w:val="-6"/>
          <w:sz w:val="22"/>
        </w:rPr>
        <w:t> </w:t>
      </w:r>
      <w:r>
        <w:rPr>
          <w:b/>
          <w:sz w:val="22"/>
        </w:rPr>
        <w:t>Families,</w:t>
      </w:r>
      <w:r>
        <w:rPr>
          <w:b/>
          <w:spacing w:val="-7"/>
          <w:sz w:val="22"/>
        </w:rPr>
        <w:t> </w:t>
      </w:r>
      <w:r>
        <w:rPr>
          <w:b/>
          <w:sz w:val="22"/>
        </w:rPr>
        <w:t>the</w:t>
      </w:r>
      <w:r>
        <w:rPr>
          <w:b/>
          <w:spacing w:val="-5"/>
          <w:sz w:val="22"/>
        </w:rPr>
        <w:t> </w:t>
      </w:r>
      <w:r>
        <w:rPr>
          <w:b/>
          <w:sz w:val="22"/>
        </w:rPr>
        <w:t>Department</w:t>
      </w:r>
      <w:r>
        <w:rPr>
          <w:b/>
          <w:spacing w:val="-6"/>
          <w:sz w:val="22"/>
        </w:rPr>
        <w:t> </w:t>
      </w:r>
      <w:r>
        <w:rPr>
          <w:b/>
          <w:sz w:val="22"/>
        </w:rPr>
        <w:t>of</w:t>
      </w:r>
      <w:r>
        <w:rPr>
          <w:b/>
          <w:spacing w:val="-6"/>
          <w:sz w:val="22"/>
        </w:rPr>
        <w:t> </w:t>
      </w:r>
      <w:r>
        <w:rPr>
          <w:b/>
          <w:sz w:val="22"/>
        </w:rPr>
        <w:t>Mental</w:t>
      </w:r>
      <w:r>
        <w:rPr>
          <w:b/>
          <w:spacing w:val="-5"/>
          <w:sz w:val="22"/>
        </w:rPr>
        <w:t> </w:t>
      </w:r>
      <w:r>
        <w:rPr>
          <w:b/>
          <w:sz w:val="22"/>
        </w:rPr>
        <w:t>Health, and MassHealth.</w:t>
      </w:r>
    </w:p>
    <w:p>
      <w:pPr>
        <w:pStyle w:val="BodyText"/>
        <w:spacing w:line="276" w:lineRule="auto" w:before="240"/>
        <w:ind w:left="483" w:right="344"/>
        <w:jc w:val="both"/>
      </w:pPr>
      <w:r>
        <w:rPr/>
        <w:t>As</w:t>
      </w:r>
      <w:r>
        <w:rPr>
          <w:spacing w:val="-3"/>
        </w:rPr>
        <w:t> </w:t>
      </w:r>
      <w:r>
        <w:rPr/>
        <w:t>discussed</w:t>
      </w:r>
      <w:r>
        <w:rPr>
          <w:spacing w:val="-3"/>
        </w:rPr>
        <w:t> </w:t>
      </w:r>
      <w:r>
        <w:rPr/>
        <w:t>throughout</w:t>
      </w:r>
      <w:r>
        <w:rPr>
          <w:spacing w:val="-3"/>
        </w:rPr>
        <w:t> </w:t>
      </w:r>
      <w:r>
        <w:rPr/>
        <w:t>the</w:t>
      </w:r>
      <w:r>
        <w:rPr>
          <w:spacing w:val="-3"/>
        </w:rPr>
        <w:t> </w:t>
      </w:r>
      <w:r>
        <w:rPr/>
        <w:t>Commission’s</w:t>
      </w:r>
      <w:r>
        <w:rPr>
          <w:spacing w:val="-3"/>
        </w:rPr>
        <w:t> </w:t>
      </w:r>
      <w:r>
        <w:rPr/>
        <w:t>FY</w:t>
      </w:r>
      <w:r>
        <w:rPr>
          <w:spacing w:val="-3"/>
        </w:rPr>
        <w:t> </w:t>
      </w:r>
      <w:r>
        <w:rPr/>
        <w:t>2024</w:t>
      </w:r>
      <w:r>
        <w:rPr>
          <w:spacing w:val="-2"/>
        </w:rPr>
        <w:t> </w:t>
      </w:r>
      <w:r>
        <w:rPr/>
        <w:t>annual</w:t>
      </w:r>
      <w:r>
        <w:rPr>
          <w:spacing w:val="-3"/>
        </w:rPr>
        <w:t> </w:t>
      </w:r>
      <w:r>
        <w:rPr/>
        <w:t>report,</w:t>
      </w:r>
      <w:r>
        <w:rPr>
          <w:spacing w:val="-3"/>
        </w:rPr>
        <w:t> </w:t>
      </w:r>
      <w:r>
        <w:rPr/>
        <w:t>multi-system</w:t>
      </w:r>
      <w:r>
        <w:rPr>
          <w:spacing w:val="-3"/>
        </w:rPr>
        <w:t> </w:t>
      </w:r>
      <w:r>
        <w:rPr/>
        <w:t>involved</w:t>
      </w:r>
      <w:r>
        <w:rPr>
          <w:spacing w:val="-3"/>
        </w:rPr>
        <w:t> </w:t>
      </w:r>
      <w:r>
        <w:rPr/>
        <w:t>transition-aged youth are often the most marginalized and underserved youth across the Commonwealth. Often, when youth transition between agency systems, such as going from DYS to DCF or vice versa, some youth are experiencing</w:t>
      </w:r>
      <w:r>
        <w:rPr>
          <w:spacing w:val="-7"/>
        </w:rPr>
        <w:t> </w:t>
      </w:r>
      <w:r>
        <w:rPr/>
        <w:t>little</w:t>
      </w:r>
      <w:r>
        <w:rPr>
          <w:spacing w:val="-7"/>
        </w:rPr>
        <w:t> </w:t>
      </w:r>
      <w:r>
        <w:rPr/>
        <w:t>to</w:t>
      </w:r>
      <w:r>
        <w:rPr>
          <w:spacing w:val="-8"/>
        </w:rPr>
        <w:t> </w:t>
      </w:r>
      <w:r>
        <w:rPr/>
        <w:t>no</w:t>
      </w:r>
      <w:r>
        <w:rPr>
          <w:spacing w:val="-7"/>
        </w:rPr>
        <w:t> </w:t>
      </w:r>
      <w:r>
        <w:rPr/>
        <w:t>direct</w:t>
      </w:r>
      <w:r>
        <w:rPr>
          <w:spacing w:val="-8"/>
        </w:rPr>
        <w:t> </w:t>
      </w:r>
      <w:r>
        <w:rPr/>
        <w:t>handoffs</w:t>
      </w:r>
      <w:r>
        <w:rPr>
          <w:spacing w:val="-7"/>
        </w:rPr>
        <w:t> </w:t>
      </w:r>
      <w:r>
        <w:rPr/>
        <w:t>between</w:t>
      </w:r>
      <w:r>
        <w:rPr>
          <w:spacing w:val="-8"/>
        </w:rPr>
        <w:t> </w:t>
      </w:r>
      <w:r>
        <w:rPr/>
        <w:t>services.</w:t>
      </w:r>
      <w:r>
        <w:rPr>
          <w:spacing w:val="-8"/>
        </w:rPr>
        <w:t> </w:t>
      </w:r>
      <w:r>
        <w:rPr/>
        <w:t>Unfortunately,</w:t>
      </w:r>
      <w:r>
        <w:rPr>
          <w:spacing w:val="-7"/>
        </w:rPr>
        <w:t> </w:t>
      </w:r>
      <w:r>
        <w:rPr/>
        <w:t>this</w:t>
      </w:r>
      <w:r>
        <w:rPr>
          <w:spacing w:val="-7"/>
        </w:rPr>
        <w:t> </w:t>
      </w:r>
      <w:r>
        <w:rPr/>
        <w:t>means</w:t>
      </w:r>
      <w:r>
        <w:rPr>
          <w:spacing w:val="-8"/>
        </w:rPr>
        <w:t> </w:t>
      </w:r>
      <w:r>
        <w:rPr/>
        <w:t>that</w:t>
      </w:r>
      <w:r>
        <w:rPr>
          <w:spacing w:val="-8"/>
        </w:rPr>
        <w:t> </w:t>
      </w:r>
      <w:r>
        <w:rPr/>
        <w:t>youth</w:t>
      </w:r>
      <w:r>
        <w:rPr>
          <w:spacing w:val="-8"/>
        </w:rPr>
        <w:t> </w:t>
      </w:r>
      <w:r>
        <w:rPr/>
        <w:t>often</w:t>
      </w:r>
      <w:r>
        <w:rPr>
          <w:spacing w:val="-8"/>
        </w:rPr>
        <w:t> </w:t>
      </w:r>
      <w:r>
        <w:rPr/>
        <w:t>fall between systemic cracks as agencies fail to collaborate and sometimes can even fail to transfer official custody of a youth between systems, leaving youth and their families without any clear guidance or direction for assistance.</w:t>
      </w:r>
    </w:p>
    <w:p>
      <w:pPr>
        <w:pStyle w:val="BodyText"/>
        <w:spacing w:line="276" w:lineRule="auto" w:before="239"/>
        <w:ind w:left="483" w:right="340"/>
        <w:jc w:val="both"/>
      </w:pPr>
      <w:r>
        <w:rPr/>
        <w:t>As first discussed in its FY 2024 recommendations, the Commission has even received notice from some DCF</w:t>
      </w:r>
      <w:r>
        <w:rPr>
          <w:spacing w:val="-1"/>
        </w:rPr>
        <w:t> </w:t>
      </w:r>
      <w:r>
        <w:rPr/>
        <w:t>social</w:t>
      </w:r>
      <w:r>
        <w:rPr>
          <w:spacing w:val="-1"/>
        </w:rPr>
        <w:t> </w:t>
      </w:r>
      <w:r>
        <w:rPr/>
        <w:t>workers that</w:t>
      </w:r>
      <w:r>
        <w:rPr>
          <w:spacing w:val="-1"/>
        </w:rPr>
        <w:t> </w:t>
      </w:r>
      <w:r>
        <w:rPr/>
        <w:t>agencies have failed</w:t>
      </w:r>
      <w:r>
        <w:rPr>
          <w:spacing w:val="-1"/>
        </w:rPr>
        <w:t> </w:t>
      </w:r>
      <w:r>
        <w:rPr/>
        <w:t>to notify them</w:t>
      </w:r>
      <w:r>
        <w:rPr>
          <w:spacing w:val="-1"/>
        </w:rPr>
        <w:t> </w:t>
      </w:r>
      <w:r>
        <w:rPr/>
        <w:t>when their youth</w:t>
      </w:r>
      <w:r>
        <w:rPr>
          <w:spacing w:val="-1"/>
        </w:rPr>
        <w:t> </w:t>
      </w:r>
      <w:r>
        <w:rPr/>
        <w:t>have</w:t>
      </w:r>
      <w:r>
        <w:rPr>
          <w:spacing w:val="-1"/>
        </w:rPr>
        <w:t> </w:t>
      </w:r>
      <w:r>
        <w:rPr/>
        <w:t>been</w:t>
      </w:r>
      <w:r>
        <w:rPr>
          <w:spacing w:val="-1"/>
        </w:rPr>
        <w:t> </w:t>
      </w:r>
      <w:r>
        <w:rPr/>
        <w:t>transferred</w:t>
      </w:r>
      <w:r>
        <w:rPr>
          <w:spacing w:val="-1"/>
        </w:rPr>
        <w:t> </w:t>
      </w:r>
      <w:r>
        <w:rPr/>
        <w:t>into DYS</w:t>
      </w:r>
      <w:r>
        <w:rPr>
          <w:spacing w:val="-13"/>
        </w:rPr>
        <w:t> </w:t>
      </w:r>
      <w:r>
        <w:rPr/>
        <w:t>custody.</w:t>
      </w:r>
      <w:r>
        <w:rPr>
          <w:spacing w:val="-12"/>
        </w:rPr>
        <w:t> </w:t>
      </w:r>
      <w:r>
        <w:rPr/>
        <w:t>This</w:t>
      </w:r>
      <w:r>
        <w:rPr>
          <w:spacing w:val="-13"/>
        </w:rPr>
        <w:t> </w:t>
      </w:r>
      <w:r>
        <w:rPr/>
        <w:t>is</w:t>
      </w:r>
      <w:r>
        <w:rPr>
          <w:spacing w:val="-12"/>
        </w:rPr>
        <w:t> </w:t>
      </w:r>
      <w:r>
        <w:rPr/>
        <w:t>particularly</w:t>
      </w:r>
      <w:r>
        <w:rPr>
          <w:spacing w:val="-13"/>
        </w:rPr>
        <w:t> </w:t>
      </w:r>
      <w:r>
        <w:rPr/>
        <w:t>concerning</w:t>
      </w:r>
      <w:r>
        <w:rPr>
          <w:spacing w:val="-12"/>
        </w:rPr>
        <w:t> </w:t>
      </w:r>
      <w:r>
        <w:rPr/>
        <w:t>given</w:t>
      </w:r>
      <w:r>
        <w:rPr>
          <w:spacing w:val="-13"/>
        </w:rPr>
        <w:t> </w:t>
      </w:r>
      <w:r>
        <w:rPr/>
        <w:t>that</w:t>
      </w:r>
      <w:r>
        <w:rPr>
          <w:spacing w:val="-12"/>
        </w:rPr>
        <w:t> </w:t>
      </w:r>
      <w:r>
        <w:rPr/>
        <w:t>cases</w:t>
      </w:r>
      <w:r>
        <w:rPr>
          <w:spacing w:val="-12"/>
        </w:rPr>
        <w:t> </w:t>
      </w:r>
      <w:r>
        <w:rPr/>
        <w:t>being</w:t>
      </w:r>
      <w:r>
        <w:rPr>
          <w:spacing w:val="-13"/>
        </w:rPr>
        <w:t> </w:t>
      </w:r>
      <w:r>
        <w:rPr/>
        <w:t>monitored</w:t>
      </w:r>
      <w:r>
        <w:rPr>
          <w:spacing w:val="-12"/>
        </w:rPr>
        <w:t> </w:t>
      </w:r>
      <w:r>
        <w:rPr/>
        <w:t>by</w:t>
      </w:r>
      <w:r>
        <w:rPr>
          <w:spacing w:val="-13"/>
        </w:rPr>
        <w:t> </w:t>
      </w:r>
      <w:r>
        <w:rPr/>
        <w:t>DCF</w:t>
      </w:r>
      <w:r>
        <w:rPr>
          <w:spacing w:val="-12"/>
        </w:rPr>
        <w:t> </w:t>
      </w:r>
      <w:r>
        <w:rPr/>
        <w:t>for</w:t>
      </w:r>
      <w:r>
        <w:rPr>
          <w:spacing w:val="-13"/>
        </w:rPr>
        <w:t> </w:t>
      </w:r>
      <w:r>
        <w:rPr/>
        <w:t>abuse</w:t>
      </w:r>
      <w:r>
        <w:rPr>
          <w:spacing w:val="-12"/>
        </w:rPr>
        <w:t> </w:t>
      </w:r>
      <w:r>
        <w:rPr/>
        <w:t>and</w:t>
      </w:r>
      <w:r>
        <w:rPr>
          <w:spacing w:val="-12"/>
        </w:rPr>
        <w:t> </w:t>
      </w:r>
      <w:r>
        <w:rPr/>
        <w:t>neglect are</w:t>
      </w:r>
      <w:r>
        <w:rPr>
          <w:spacing w:val="-5"/>
        </w:rPr>
        <w:t> </w:t>
      </w:r>
      <w:r>
        <w:rPr/>
        <w:t>closed</w:t>
      </w:r>
      <w:r>
        <w:rPr>
          <w:spacing w:val="-5"/>
        </w:rPr>
        <w:t> </w:t>
      </w:r>
      <w:r>
        <w:rPr/>
        <w:t>if</w:t>
      </w:r>
      <w:r>
        <w:rPr>
          <w:spacing w:val="-5"/>
        </w:rPr>
        <w:t> </w:t>
      </w:r>
      <w:r>
        <w:rPr/>
        <w:t>youth</w:t>
      </w:r>
      <w:r>
        <w:rPr>
          <w:spacing w:val="-5"/>
        </w:rPr>
        <w:t> </w:t>
      </w:r>
      <w:r>
        <w:rPr/>
        <w:t>are</w:t>
      </w:r>
      <w:r>
        <w:rPr>
          <w:spacing w:val="-4"/>
        </w:rPr>
        <w:t> </w:t>
      </w:r>
      <w:r>
        <w:rPr/>
        <w:t>committed</w:t>
      </w:r>
      <w:r>
        <w:rPr>
          <w:spacing w:val="-5"/>
        </w:rPr>
        <w:t> </w:t>
      </w:r>
      <w:r>
        <w:rPr/>
        <w:t>to</w:t>
      </w:r>
      <w:r>
        <w:rPr>
          <w:spacing w:val="-5"/>
        </w:rPr>
        <w:t> </w:t>
      </w:r>
      <w:r>
        <w:rPr/>
        <w:t>DYS,</w:t>
      </w:r>
      <w:r>
        <w:rPr>
          <w:spacing w:val="-5"/>
        </w:rPr>
        <w:t> </w:t>
      </w:r>
      <w:r>
        <w:rPr/>
        <w:t>and</w:t>
      </w:r>
      <w:r>
        <w:rPr>
          <w:spacing w:val="-5"/>
        </w:rPr>
        <w:t> </w:t>
      </w:r>
      <w:r>
        <w:rPr/>
        <w:t>also</w:t>
      </w:r>
      <w:r>
        <w:rPr>
          <w:spacing w:val="-5"/>
        </w:rPr>
        <w:t> </w:t>
      </w:r>
      <w:r>
        <w:rPr/>
        <w:t>in</w:t>
      </w:r>
      <w:r>
        <w:rPr>
          <w:spacing w:val="-5"/>
        </w:rPr>
        <w:t> </w:t>
      </w:r>
      <w:r>
        <w:rPr/>
        <w:t>cases</w:t>
      </w:r>
      <w:r>
        <w:rPr>
          <w:spacing w:val="-5"/>
        </w:rPr>
        <w:t> </w:t>
      </w:r>
      <w:r>
        <w:rPr/>
        <w:t>where</w:t>
      </w:r>
      <w:r>
        <w:rPr>
          <w:spacing w:val="-5"/>
        </w:rPr>
        <w:t> </w:t>
      </w:r>
      <w:r>
        <w:rPr/>
        <w:t>DCF</w:t>
      </w:r>
      <w:r>
        <w:rPr>
          <w:spacing w:val="-5"/>
        </w:rPr>
        <w:t> </w:t>
      </w:r>
      <w:r>
        <w:rPr/>
        <w:t>has</w:t>
      </w:r>
      <w:r>
        <w:rPr>
          <w:spacing w:val="-5"/>
        </w:rPr>
        <w:t> </w:t>
      </w:r>
      <w:r>
        <w:rPr/>
        <w:t>custody</w:t>
      </w:r>
      <w:r>
        <w:rPr>
          <w:spacing w:val="-5"/>
        </w:rPr>
        <w:t> </w:t>
      </w:r>
      <w:r>
        <w:rPr/>
        <w:t>and</w:t>
      </w:r>
      <w:r>
        <w:rPr>
          <w:spacing w:val="-5"/>
        </w:rPr>
        <w:t> </w:t>
      </w:r>
      <w:r>
        <w:rPr/>
        <w:t>care</w:t>
      </w:r>
      <w:r>
        <w:rPr>
          <w:spacing w:val="-5"/>
        </w:rPr>
        <w:t> </w:t>
      </w:r>
      <w:r>
        <w:rPr/>
        <w:t>of</w:t>
      </w:r>
      <w:r>
        <w:rPr>
          <w:spacing w:val="-4"/>
        </w:rPr>
        <w:t> </w:t>
      </w:r>
      <w:r>
        <w:rPr/>
        <w:t>the</w:t>
      </w:r>
      <w:r>
        <w:rPr>
          <w:spacing w:val="-5"/>
        </w:rPr>
        <w:t> </w:t>
      </w:r>
      <w:r>
        <w:rPr/>
        <w:t>youth, making DYS for the oversight of the youth. Once they leave DYS custody, the Commission understands that</w:t>
      </w:r>
      <w:r>
        <w:rPr>
          <w:spacing w:val="-1"/>
        </w:rPr>
        <w:t> </w:t>
      </w:r>
      <w:r>
        <w:rPr/>
        <w:t>the</w:t>
      </w:r>
      <w:r>
        <w:rPr>
          <w:spacing w:val="-1"/>
        </w:rPr>
        <w:t> </w:t>
      </w:r>
      <w:r>
        <w:rPr/>
        <w:t>youth</w:t>
      </w:r>
      <w:r>
        <w:rPr>
          <w:spacing w:val="-2"/>
        </w:rPr>
        <w:t> </w:t>
      </w:r>
      <w:r>
        <w:rPr/>
        <w:t>are</w:t>
      </w:r>
      <w:r>
        <w:rPr>
          <w:spacing w:val="-2"/>
        </w:rPr>
        <w:t> </w:t>
      </w:r>
      <w:r>
        <w:rPr/>
        <w:t>often</w:t>
      </w:r>
      <w:r>
        <w:rPr>
          <w:spacing w:val="-1"/>
        </w:rPr>
        <w:t> </w:t>
      </w:r>
      <w:r>
        <w:rPr/>
        <w:t>then</w:t>
      </w:r>
      <w:r>
        <w:rPr>
          <w:spacing w:val="-2"/>
        </w:rPr>
        <w:t> </w:t>
      </w:r>
      <w:r>
        <w:rPr/>
        <w:t>returned</w:t>
      </w:r>
      <w:r>
        <w:rPr>
          <w:spacing w:val="-1"/>
        </w:rPr>
        <w:t> </w:t>
      </w:r>
      <w:r>
        <w:rPr/>
        <w:t>to their family</w:t>
      </w:r>
      <w:r>
        <w:rPr>
          <w:spacing w:val="-2"/>
        </w:rPr>
        <w:t> </w:t>
      </w:r>
      <w:r>
        <w:rPr/>
        <w:t>of</w:t>
      </w:r>
      <w:r>
        <w:rPr>
          <w:spacing w:val="-2"/>
        </w:rPr>
        <w:t> </w:t>
      </w:r>
      <w:r>
        <w:rPr/>
        <w:t>origin</w:t>
      </w:r>
      <w:r>
        <w:rPr>
          <w:spacing w:val="-1"/>
        </w:rPr>
        <w:t> </w:t>
      </w:r>
      <w:r>
        <w:rPr/>
        <w:t>without</w:t>
      </w:r>
      <w:r>
        <w:rPr>
          <w:spacing w:val="-1"/>
        </w:rPr>
        <w:t> </w:t>
      </w:r>
      <w:r>
        <w:rPr/>
        <w:t>any</w:t>
      </w:r>
      <w:r>
        <w:rPr>
          <w:spacing w:val="-2"/>
        </w:rPr>
        <w:t> </w:t>
      </w:r>
      <w:r>
        <w:rPr/>
        <w:t>further monitoring</w:t>
      </w:r>
      <w:r>
        <w:rPr>
          <w:spacing w:val="-1"/>
        </w:rPr>
        <w:t> </w:t>
      </w:r>
      <w:r>
        <w:rPr/>
        <w:t>by</w:t>
      </w:r>
      <w:r>
        <w:rPr>
          <w:spacing w:val="-2"/>
        </w:rPr>
        <w:t> </w:t>
      </w:r>
      <w:r>
        <w:rPr/>
        <w:t>DYS</w:t>
      </w:r>
      <w:r>
        <w:rPr>
          <w:spacing w:val="-1"/>
        </w:rPr>
        <w:t> </w:t>
      </w:r>
      <w:r>
        <w:rPr/>
        <w:t>or DCF to assess for safety. The Commission is concerned by this process as it does not believe that DYS is equipped with the tools or structures to investigate for safety, permanency, or wellbeing to reunify and reconcile family systems that have been disrupted.</w:t>
      </w:r>
    </w:p>
    <w:p>
      <w:pPr>
        <w:spacing w:after="0" w:line="276" w:lineRule="auto"/>
        <w:jc w:val="both"/>
        <w:sectPr>
          <w:pgSz w:w="12240" w:h="15840"/>
          <w:pgMar w:header="804" w:footer="1231" w:top="1000" w:bottom="1460" w:left="960" w:right="1100"/>
        </w:sectPr>
      </w:pPr>
    </w:p>
    <w:p>
      <w:pPr>
        <w:pStyle w:val="BodyText"/>
        <w:spacing w:line="276" w:lineRule="auto" w:before="139"/>
        <w:ind w:left="483" w:right="341"/>
        <w:jc w:val="both"/>
      </w:pPr>
      <w:r>
        <w:rPr/>
        <w:t>In FY 2023, DYS shared that there are multiple existing points of collaboration between other youth- serving agencies, including with DCF: an expedited medical record request and review process; a Data Utilization Agreement since 2018 to notify agencies of overnight arrests of youth in DCF custody; a 2019 MOU</w:t>
      </w:r>
      <w:r>
        <w:rPr>
          <w:spacing w:val="-5"/>
        </w:rPr>
        <w:t> </w:t>
      </w:r>
      <w:r>
        <w:rPr/>
        <w:t>to</w:t>
      </w:r>
      <w:r>
        <w:rPr>
          <w:spacing w:val="-5"/>
        </w:rPr>
        <w:t> </w:t>
      </w:r>
      <w:r>
        <w:rPr/>
        <w:t>facilitate</w:t>
      </w:r>
      <w:r>
        <w:rPr>
          <w:spacing w:val="-4"/>
        </w:rPr>
        <w:t> </w:t>
      </w:r>
      <w:r>
        <w:rPr/>
        <w:t>data</w:t>
      </w:r>
      <w:r>
        <w:rPr>
          <w:spacing w:val="-4"/>
        </w:rPr>
        <w:t> </w:t>
      </w:r>
      <w:r>
        <w:rPr/>
        <w:t>exchange,</w:t>
      </w:r>
      <w:r>
        <w:rPr>
          <w:spacing w:val="-5"/>
        </w:rPr>
        <w:t> </w:t>
      </w:r>
      <w:r>
        <w:rPr/>
        <w:t>streamlined</w:t>
      </w:r>
      <w:r>
        <w:rPr>
          <w:spacing w:val="-4"/>
        </w:rPr>
        <w:t> </w:t>
      </w:r>
      <w:r>
        <w:rPr/>
        <w:t>notification</w:t>
      </w:r>
      <w:r>
        <w:rPr>
          <w:spacing w:val="-4"/>
        </w:rPr>
        <w:t> </w:t>
      </w:r>
      <w:r>
        <w:rPr/>
        <w:t>processes,</w:t>
      </w:r>
      <w:r>
        <w:rPr>
          <w:spacing w:val="-5"/>
        </w:rPr>
        <w:t> </w:t>
      </w:r>
      <w:r>
        <w:rPr/>
        <w:t>collaboration</w:t>
      </w:r>
      <w:r>
        <w:rPr>
          <w:spacing w:val="-4"/>
        </w:rPr>
        <w:t> </w:t>
      </w:r>
      <w:r>
        <w:rPr/>
        <w:t>between</w:t>
      </w:r>
      <w:r>
        <w:rPr>
          <w:spacing w:val="-4"/>
        </w:rPr>
        <w:t> </w:t>
      </w:r>
      <w:r>
        <w:rPr/>
        <w:t>clinical</w:t>
      </w:r>
      <w:r>
        <w:rPr>
          <w:spacing w:val="-4"/>
        </w:rPr>
        <w:t> </w:t>
      </w:r>
      <w:r>
        <w:rPr/>
        <w:t>staff, and weekly interagency meetings around individual cases. And with DMH: routine coordination communications</w:t>
      </w:r>
      <w:r>
        <w:rPr>
          <w:spacing w:val="-7"/>
        </w:rPr>
        <w:t> </w:t>
      </w:r>
      <w:r>
        <w:rPr/>
        <w:t>around</w:t>
      </w:r>
      <w:r>
        <w:rPr>
          <w:spacing w:val="-8"/>
        </w:rPr>
        <w:t> </w:t>
      </w:r>
      <w:r>
        <w:rPr/>
        <w:t>DMH-involved</w:t>
      </w:r>
      <w:r>
        <w:rPr>
          <w:spacing w:val="-7"/>
        </w:rPr>
        <w:t> </w:t>
      </w:r>
      <w:r>
        <w:rPr/>
        <w:t>youth;</w:t>
      </w:r>
      <w:r>
        <w:rPr>
          <w:spacing w:val="-8"/>
        </w:rPr>
        <w:t> </w:t>
      </w:r>
      <w:r>
        <w:rPr/>
        <w:t>family</w:t>
      </w:r>
      <w:r>
        <w:rPr>
          <w:spacing w:val="-6"/>
        </w:rPr>
        <w:t> </w:t>
      </w:r>
      <w:r>
        <w:rPr/>
        <w:t>and</w:t>
      </w:r>
      <w:r>
        <w:rPr>
          <w:spacing w:val="-8"/>
        </w:rPr>
        <w:t> </w:t>
      </w:r>
      <w:r>
        <w:rPr/>
        <w:t>youth</w:t>
      </w:r>
      <w:r>
        <w:rPr>
          <w:spacing w:val="-8"/>
        </w:rPr>
        <w:t> </w:t>
      </w:r>
      <w:r>
        <w:rPr/>
        <w:t>support</w:t>
      </w:r>
      <w:r>
        <w:rPr>
          <w:spacing w:val="-8"/>
        </w:rPr>
        <w:t> </w:t>
      </w:r>
      <w:r>
        <w:rPr/>
        <w:t>with</w:t>
      </w:r>
      <w:r>
        <w:rPr>
          <w:spacing w:val="-8"/>
        </w:rPr>
        <w:t> </w:t>
      </w:r>
      <w:r>
        <w:rPr/>
        <w:t>DMH</w:t>
      </w:r>
      <w:r>
        <w:rPr>
          <w:spacing w:val="-8"/>
        </w:rPr>
        <w:t> </w:t>
      </w:r>
      <w:r>
        <w:rPr/>
        <w:t>referrals,</w:t>
      </w:r>
      <w:r>
        <w:rPr>
          <w:spacing w:val="-7"/>
        </w:rPr>
        <w:t> </w:t>
      </w:r>
      <w:r>
        <w:rPr/>
        <w:t>applications and</w:t>
      </w:r>
      <w:r>
        <w:rPr>
          <w:spacing w:val="-12"/>
        </w:rPr>
        <w:t> </w:t>
      </w:r>
      <w:r>
        <w:rPr/>
        <w:t>appeals;</w:t>
      </w:r>
      <w:r>
        <w:rPr>
          <w:spacing w:val="-11"/>
        </w:rPr>
        <w:t> </w:t>
      </w:r>
      <w:r>
        <w:rPr/>
        <w:t>cross-agency</w:t>
      </w:r>
      <w:r>
        <w:rPr>
          <w:spacing w:val="-10"/>
        </w:rPr>
        <w:t> </w:t>
      </w:r>
      <w:r>
        <w:rPr/>
        <w:t>meetings;</w:t>
      </w:r>
      <w:r>
        <w:rPr>
          <w:spacing w:val="-11"/>
        </w:rPr>
        <w:t> </w:t>
      </w:r>
      <w:r>
        <w:rPr/>
        <w:t>behavioral</w:t>
      </w:r>
      <w:r>
        <w:rPr>
          <w:spacing w:val="-12"/>
        </w:rPr>
        <w:t> </w:t>
      </w:r>
      <w:r>
        <w:rPr/>
        <w:t>health</w:t>
      </w:r>
      <w:r>
        <w:rPr>
          <w:spacing w:val="-12"/>
        </w:rPr>
        <w:t> </w:t>
      </w:r>
      <w:r>
        <w:rPr/>
        <w:t>supports</w:t>
      </w:r>
      <w:r>
        <w:rPr>
          <w:spacing w:val="-12"/>
        </w:rPr>
        <w:t> </w:t>
      </w:r>
      <w:r>
        <w:rPr/>
        <w:t>for</w:t>
      </w:r>
      <w:r>
        <w:rPr>
          <w:spacing w:val="-12"/>
        </w:rPr>
        <w:t> </w:t>
      </w:r>
      <w:r>
        <w:rPr/>
        <w:t>individual</w:t>
      </w:r>
      <w:r>
        <w:rPr>
          <w:spacing w:val="-11"/>
        </w:rPr>
        <w:t> </w:t>
      </w:r>
      <w:r>
        <w:rPr/>
        <w:t>youth</w:t>
      </w:r>
      <w:r>
        <w:rPr>
          <w:spacing w:val="-11"/>
        </w:rPr>
        <w:t> </w:t>
      </w:r>
      <w:r>
        <w:rPr/>
        <w:t>in</w:t>
      </w:r>
      <w:r>
        <w:rPr>
          <w:spacing w:val="-11"/>
        </w:rPr>
        <w:t> </w:t>
      </w:r>
      <w:r>
        <w:rPr/>
        <w:t>crisis;</w:t>
      </w:r>
      <w:r>
        <w:rPr>
          <w:spacing w:val="-10"/>
        </w:rPr>
        <w:t> </w:t>
      </w:r>
      <w:r>
        <w:rPr/>
        <w:t>and</w:t>
      </w:r>
      <w:r>
        <w:rPr>
          <w:spacing w:val="-12"/>
        </w:rPr>
        <w:t> </w:t>
      </w:r>
      <w:r>
        <w:rPr/>
        <w:t>an</w:t>
      </w:r>
      <w:r>
        <w:rPr>
          <w:spacing w:val="-11"/>
        </w:rPr>
        <w:t> </w:t>
      </w:r>
      <w:r>
        <w:rPr/>
        <w:t>MOU to support referral of DYS youth for behavioral health services through the Intensive Residential Treatment Program.</w:t>
      </w:r>
    </w:p>
    <w:p>
      <w:pPr>
        <w:pStyle w:val="BodyText"/>
        <w:spacing w:line="276" w:lineRule="auto" w:before="239"/>
        <w:ind w:left="483" w:right="341"/>
        <w:jc w:val="both"/>
      </w:pPr>
      <w:r>
        <w:rPr/>
        <w:t>In its FY 2024 updates, DYS added that it has this year created additional collaborations with DMH, MassHealth,</w:t>
      </w:r>
      <w:r>
        <w:rPr>
          <w:spacing w:val="-13"/>
        </w:rPr>
        <w:t> </w:t>
      </w:r>
      <w:r>
        <w:rPr/>
        <w:t>DCF,</w:t>
      </w:r>
      <w:r>
        <w:rPr>
          <w:spacing w:val="-12"/>
        </w:rPr>
        <w:t> </w:t>
      </w:r>
      <w:r>
        <w:rPr/>
        <w:t>and</w:t>
      </w:r>
      <w:r>
        <w:rPr>
          <w:spacing w:val="-13"/>
        </w:rPr>
        <w:t> </w:t>
      </w:r>
      <w:r>
        <w:rPr/>
        <w:t>other</w:t>
      </w:r>
      <w:r>
        <w:rPr>
          <w:spacing w:val="-12"/>
        </w:rPr>
        <w:t> </w:t>
      </w:r>
      <w:r>
        <w:rPr/>
        <w:t>state</w:t>
      </w:r>
      <w:r>
        <w:rPr>
          <w:spacing w:val="-13"/>
        </w:rPr>
        <w:t> </w:t>
      </w:r>
      <w:r>
        <w:rPr/>
        <w:t>youth-serving</w:t>
      </w:r>
      <w:r>
        <w:rPr>
          <w:spacing w:val="-12"/>
        </w:rPr>
        <w:t> </w:t>
      </w:r>
      <w:r>
        <w:rPr/>
        <w:t>partners</w:t>
      </w:r>
      <w:r>
        <w:rPr>
          <w:spacing w:val="-13"/>
        </w:rPr>
        <w:t> </w:t>
      </w:r>
      <w:r>
        <w:rPr/>
        <w:t>with</w:t>
      </w:r>
      <w:r>
        <w:rPr>
          <w:spacing w:val="-12"/>
        </w:rPr>
        <w:t> </w:t>
      </w:r>
      <w:r>
        <w:rPr/>
        <w:t>a</w:t>
      </w:r>
      <w:r>
        <w:rPr>
          <w:spacing w:val="-12"/>
        </w:rPr>
        <w:t> </w:t>
      </w:r>
      <w:r>
        <w:rPr/>
        <w:t>focus</w:t>
      </w:r>
      <w:r>
        <w:rPr>
          <w:spacing w:val="-13"/>
        </w:rPr>
        <w:t> </w:t>
      </w:r>
      <w:r>
        <w:rPr/>
        <w:t>on</w:t>
      </w:r>
      <w:r>
        <w:rPr>
          <w:spacing w:val="-12"/>
        </w:rPr>
        <w:t> </w:t>
      </w:r>
      <w:r>
        <w:rPr/>
        <w:t>finding</w:t>
      </w:r>
      <w:r>
        <w:rPr>
          <w:spacing w:val="-13"/>
        </w:rPr>
        <w:t> </w:t>
      </w:r>
      <w:r>
        <w:rPr/>
        <w:t>structured</w:t>
      </w:r>
      <w:r>
        <w:rPr>
          <w:spacing w:val="-12"/>
        </w:rPr>
        <w:t> </w:t>
      </w:r>
      <w:r>
        <w:rPr/>
        <w:t>and</w:t>
      </w:r>
      <w:r>
        <w:rPr>
          <w:spacing w:val="-13"/>
        </w:rPr>
        <w:t> </w:t>
      </w:r>
      <w:r>
        <w:rPr/>
        <w:t>consistent communication systems at the central and regional levels. It has additionally noted that has consistently brought on MaeBright for consultation services around individual cases to advise on clinical and medical support, appropriate placement decisions, and youth engagement. Overall, as shared in other agency recommendations,</w:t>
      </w:r>
      <w:r>
        <w:rPr>
          <w:spacing w:val="-5"/>
        </w:rPr>
        <w:t> </w:t>
      </w:r>
      <w:r>
        <w:rPr/>
        <w:t>the</w:t>
      </w:r>
      <w:r>
        <w:rPr>
          <w:spacing w:val="-5"/>
        </w:rPr>
        <w:t> </w:t>
      </w:r>
      <w:r>
        <w:rPr/>
        <w:t>Commission</w:t>
      </w:r>
      <w:r>
        <w:rPr>
          <w:spacing w:val="-5"/>
        </w:rPr>
        <w:t> </w:t>
      </w:r>
      <w:r>
        <w:rPr/>
        <w:t>advises</w:t>
      </w:r>
      <w:r>
        <w:rPr>
          <w:spacing w:val="-5"/>
        </w:rPr>
        <w:t> </w:t>
      </w:r>
      <w:r>
        <w:rPr/>
        <w:t>that</w:t>
      </w:r>
      <w:r>
        <w:rPr>
          <w:spacing w:val="-4"/>
        </w:rPr>
        <w:t> </w:t>
      </w:r>
      <w:r>
        <w:rPr/>
        <w:t>DYS</w:t>
      </w:r>
      <w:r>
        <w:rPr>
          <w:spacing w:val="-4"/>
        </w:rPr>
        <w:t> </w:t>
      </w:r>
      <w:r>
        <w:rPr/>
        <w:t>provide</w:t>
      </w:r>
      <w:r>
        <w:rPr>
          <w:spacing w:val="-4"/>
        </w:rPr>
        <w:t> </w:t>
      </w:r>
      <w:r>
        <w:rPr/>
        <w:t>clear</w:t>
      </w:r>
      <w:r>
        <w:rPr>
          <w:spacing w:val="-4"/>
        </w:rPr>
        <w:t> </w:t>
      </w:r>
      <w:r>
        <w:rPr/>
        <w:t>communication</w:t>
      </w:r>
      <w:r>
        <w:rPr>
          <w:spacing w:val="-5"/>
        </w:rPr>
        <w:t> </w:t>
      </w:r>
      <w:r>
        <w:rPr/>
        <w:t>with</w:t>
      </w:r>
      <w:r>
        <w:rPr>
          <w:spacing w:val="-5"/>
        </w:rPr>
        <w:t> </w:t>
      </w:r>
      <w:r>
        <w:rPr/>
        <w:t>all</w:t>
      </w:r>
      <w:r>
        <w:rPr>
          <w:spacing w:val="-4"/>
        </w:rPr>
        <w:t> </w:t>
      </w:r>
      <w:r>
        <w:rPr/>
        <w:t>staff,</w:t>
      </w:r>
      <w:r>
        <w:rPr>
          <w:spacing w:val="-5"/>
        </w:rPr>
        <w:t> </w:t>
      </w:r>
      <w:r>
        <w:rPr/>
        <w:t>families, and youth that conveys direct and transparent explanations of interagency processes and policies. Furthermore, the Commission recommends that DYS – as it is doing so with other state agencies – to examine its established contracts to potentially include explicit language around supporting transition- aged youth and accountability to ensuring that youth are receiving appropriate, affirming services.</w:t>
      </w:r>
    </w:p>
    <w:p>
      <w:pPr>
        <w:pStyle w:val="BodyText"/>
      </w:pPr>
    </w:p>
    <w:p>
      <w:pPr>
        <w:pStyle w:val="BodyText"/>
        <w:spacing w:before="237"/>
      </w:pPr>
    </w:p>
    <w:p>
      <w:pPr>
        <w:spacing w:before="0"/>
        <w:ind w:left="483" w:right="0" w:firstLine="0"/>
        <w:jc w:val="both"/>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2"/>
          <w:sz w:val="21"/>
        </w:rPr>
        <w:t> </w:t>
      </w:r>
      <w:r>
        <w:rPr>
          <w:i/>
          <w:sz w:val="21"/>
        </w:rPr>
        <w:t>appreciates</w:t>
      </w:r>
      <w:r>
        <w:rPr>
          <w:i/>
          <w:spacing w:val="-4"/>
          <w:sz w:val="21"/>
        </w:rPr>
        <w:t> </w:t>
      </w:r>
      <w:r>
        <w:rPr>
          <w:i/>
          <w:sz w:val="21"/>
        </w:rPr>
        <w:t>the</w:t>
      </w:r>
      <w:r>
        <w:rPr>
          <w:i/>
          <w:spacing w:val="-3"/>
          <w:sz w:val="21"/>
        </w:rPr>
        <w:t> </w:t>
      </w:r>
      <w:r>
        <w:rPr>
          <w:i/>
          <w:sz w:val="21"/>
        </w:rPr>
        <w:t>contributions</w:t>
      </w:r>
      <w:r>
        <w:rPr>
          <w:i/>
          <w:spacing w:val="-3"/>
          <w:sz w:val="21"/>
        </w:rPr>
        <w:t> </w:t>
      </w:r>
      <w:r>
        <w:rPr>
          <w:i/>
          <w:sz w:val="21"/>
        </w:rPr>
        <w:t>of</w:t>
      </w:r>
      <w:r>
        <w:rPr>
          <w:i/>
          <w:spacing w:val="-3"/>
          <w:sz w:val="21"/>
        </w:rPr>
        <w:t> </w:t>
      </w:r>
      <w:r>
        <w:rPr>
          <w:i/>
          <w:sz w:val="21"/>
        </w:rPr>
        <w:t>its</w:t>
      </w:r>
      <w:r>
        <w:rPr>
          <w:i/>
          <w:spacing w:val="-2"/>
          <w:sz w:val="21"/>
        </w:rPr>
        <w:t> </w:t>
      </w:r>
      <w:r>
        <w:rPr>
          <w:i/>
          <w:sz w:val="21"/>
        </w:rPr>
        <w:t>DYS</w:t>
      </w:r>
      <w:r>
        <w:rPr>
          <w:i/>
          <w:spacing w:val="-3"/>
          <w:sz w:val="21"/>
        </w:rPr>
        <w:t> </w:t>
      </w:r>
      <w:r>
        <w:rPr>
          <w:i/>
          <w:sz w:val="21"/>
        </w:rPr>
        <w:t>staff</w:t>
      </w:r>
      <w:r>
        <w:rPr>
          <w:i/>
          <w:spacing w:val="-2"/>
          <w:sz w:val="21"/>
        </w:rPr>
        <w:t> liaisons.</w:t>
      </w:r>
    </w:p>
    <w:p>
      <w:pPr>
        <w:spacing w:after="0"/>
        <w:jc w:val="both"/>
        <w:rPr>
          <w:sz w:val="21"/>
        </w:rPr>
        <w:sectPr>
          <w:pgSz w:w="12240" w:h="15840"/>
          <w:pgMar w:header="804" w:footer="1231" w:top="1000" w:bottom="1460" w:left="960" w:right="1100"/>
        </w:sectPr>
      </w:pPr>
    </w:p>
    <w:p>
      <w:pPr>
        <w:pStyle w:val="BodyText"/>
        <w:rPr>
          <w:i/>
          <w:sz w:val="20"/>
        </w:rPr>
      </w:pPr>
    </w:p>
    <w:p>
      <w:pPr>
        <w:pStyle w:val="BodyText"/>
        <w:spacing w:before="89"/>
        <w:rPr>
          <w:i/>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49" name="Group 649"/>
                <wp:cNvGraphicFramePr>
                  <a:graphicFrameLocks/>
                </wp:cNvGraphicFramePr>
                <a:graphic>
                  <a:graphicData uri="http://schemas.microsoft.com/office/word/2010/wordprocessingGroup">
                    <wpg:wgp>
                      <wpg:cNvPr id="649" name="Group 649"/>
                      <wpg:cNvGrpSpPr/>
                      <wpg:grpSpPr>
                        <a:xfrm>
                          <a:off x="0" y="0"/>
                          <a:ext cx="6350" cy="12700"/>
                          <a:chExt cx="6350" cy="12700"/>
                        </a:xfrm>
                      </wpg:grpSpPr>
                      <wps:wsp>
                        <wps:cNvPr id="650" name="Graphic 650"/>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46" coordorigin="0,0" coordsize="10,20">
                <v:rect style="position:absolute;left:0;top:0;width:10;height:20" id="docshape547" filled="true" fillcolor="#4f81bb" stroked="false">
                  <v:fill type="solid"/>
                </v:rect>
              </v:group>
            </w:pict>
          </mc:Fallback>
        </mc:AlternateContent>
      </w:r>
      <w:r>
        <w:rPr>
          <w:sz w:val="2"/>
        </w:rPr>
      </w:r>
    </w:p>
    <w:p>
      <w:pPr>
        <w:pStyle w:val="Heading7"/>
        <w:ind w:left="339"/>
      </w:pPr>
      <w:bookmarkStart w:name="_bookmark644" w:id="951"/>
      <w:bookmarkEnd w:id="951"/>
      <w:r>
        <w:rPr/>
      </w:r>
      <w:hyperlink w:history="true" w:anchor="_bookmark6">
        <w:r>
          <w:rPr>
            <w:color w:val="365F91"/>
            <w:spacing w:val="-10"/>
          </w:rPr>
          <w:t>Additional</w:t>
        </w:r>
        <w:r>
          <w:rPr>
            <w:color w:val="365F91"/>
            <w:spacing w:val="-1"/>
          </w:rPr>
          <w:t> </w:t>
        </w:r>
        <w:r>
          <w:rPr>
            <w:color w:val="365F91"/>
            <w:spacing w:val="-10"/>
          </w:rPr>
          <w:t>State</w:t>
        </w:r>
        <w:r>
          <w:rPr>
            <w:color w:val="365F91"/>
          </w:rPr>
          <w:t> </w:t>
        </w:r>
        <w:r>
          <w:rPr>
            <w:color w:val="365F91"/>
            <w:spacing w:val="-10"/>
          </w:rPr>
          <w:t>Entities</w:t>
        </w:r>
      </w:hyperlink>
    </w:p>
    <w:p>
      <w:pPr>
        <w:pStyle w:val="BodyText"/>
        <w:spacing w:before="205"/>
        <w:rPr>
          <w:sz w:val="20"/>
        </w:rPr>
      </w:pPr>
      <w:r>
        <w:rPr/>
        <mc:AlternateContent>
          <mc:Choice Requires="wps">
            <w:drawing>
              <wp:anchor distT="0" distB="0" distL="0" distR="0" allowOverlap="1" layoutInCell="1" locked="0" behindDoc="1" simplePos="0" relativeHeight="487720960">
                <wp:simplePos x="0" y="0"/>
                <wp:positionH relativeFrom="page">
                  <wp:posOffset>889000</wp:posOffset>
                </wp:positionH>
                <wp:positionV relativeFrom="paragraph">
                  <wp:posOffset>300506</wp:posOffset>
                </wp:positionV>
                <wp:extent cx="6350" cy="12700"/>
                <wp:effectExtent l="0" t="0" r="0" b="0"/>
                <wp:wrapTopAndBottom/>
                <wp:docPr id="651" name="Graphic 651"/>
                <wp:cNvGraphicFramePr>
                  <a:graphicFrameLocks/>
                </wp:cNvGraphicFramePr>
                <a:graphic>
                  <a:graphicData uri="http://schemas.microsoft.com/office/word/2010/wordprocessingShape">
                    <wps:wsp>
                      <wps:cNvPr id="651" name="Graphic 651"/>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3.661938pt;width:.499pt;height:.96pt;mso-position-horizontal-relative:page;mso-position-vertical-relative:paragraph;z-index:-15595520;mso-wrap-distance-left:0;mso-wrap-distance-right:0" id="docshape548" filled="true" fillcolor="#4f81bb" stroked="false">
                <v:fill type="solid"/>
                <w10:wrap type="topAndBottom"/>
              </v:rect>
            </w:pict>
          </mc:Fallback>
        </mc:AlternateContent>
      </w:r>
    </w:p>
    <w:p>
      <w:pPr>
        <w:spacing w:before="0"/>
        <w:ind w:left="339" w:right="0" w:firstLine="0"/>
        <w:jc w:val="left"/>
        <w:rPr>
          <w:sz w:val="40"/>
        </w:rPr>
      </w:pPr>
      <w:r>
        <w:rPr>
          <w:color w:val="365F91"/>
          <w:spacing w:val="-8"/>
          <w:sz w:val="40"/>
        </w:rPr>
        <w:t>Executive</w:t>
      </w:r>
      <w:r>
        <w:rPr>
          <w:color w:val="365F91"/>
          <w:spacing w:val="-13"/>
          <w:sz w:val="40"/>
        </w:rPr>
        <w:t> </w:t>
      </w:r>
      <w:r>
        <w:rPr>
          <w:color w:val="365F91"/>
          <w:spacing w:val="-8"/>
          <w:sz w:val="40"/>
        </w:rPr>
        <w:t>Office</w:t>
      </w:r>
      <w:r>
        <w:rPr>
          <w:color w:val="365F91"/>
          <w:spacing w:val="-13"/>
          <w:sz w:val="40"/>
        </w:rPr>
        <w:t> </w:t>
      </w:r>
      <w:r>
        <w:rPr>
          <w:color w:val="365F91"/>
          <w:spacing w:val="-8"/>
          <w:sz w:val="40"/>
        </w:rPr>
        <w:t>of</w:t>
      </w:r>
      <w:r>
        <w:rPr>
          <w:color w:val="365F91"/>
          <w:spacing w:val="-12"/>
          <w:sz w:val="40"/>
        </w:rPr>
        <w:t> </w:t>
      </w:r>
      <w:r>
        <w:rPr>
          <w:color w:val="365F91"/>
          <w:spacing w:val="-8"/>
          <w:sz w:val="40"/>
        </w:rPr>
        <w:t>Public</w:t>
      </w:r>
      <w:r>
        <w:rPr>
          <w:color w:val="365F91"/>
          <w:spacing w:val="-12"/>
          <w:sz w:val="40"/>
        </w:rPr>
        <w:t> </w:t>
      </w:r>
      <w:r>
        <w:rPr>
          <w:color w:val="365F91"/>
          <w:spacing w:val="-8"/>
          <w:sz w:val="40"/>
        </w:rPr>
        <w:t>Safety</w:t>
      </w:r>
      <w:r>
        <w:rPr>
          <w:color w:val="365F91"/>
          <w:spacing w:val="-12"/>
          <w:sz w:val="40"/>
        </w:rPr>
        <w:t> </w:t>
      </w:r>
      <w:r>
        <w:rPr>
          <w:color w:val="365F91"/>
          <w:spacing w:val="-8"/>
          <w:sz w:val="40"/>
        </w:rPr>
        <w:t>and</w:t>
      </w:r>
      <w:r>
        <w:rPr>
          <w:color w:val="365F91"/>
          <w:spacing w:val="-12"/>
          <w:sz w:val="40"/>
        </w:rPr>
        <w:t> </w:t>
      </w:r>
      <w:r>
        <w:rPr>
          <w:color w:val="365F91"/>
          <w:spacing w:val="-8"/>
          <w:sz w:val="40"/>
        </w:rPr>
        <w:t>Security</w:t>
      </w:r>
    </w:p>
    <w:p>
      <w:pPr>
        <w:pStyle w:val="BodyText"/>
        <w:spacing w:before="145"/>
        <w:rPr>
          <w:sz w:val="20"/>
        </w:rPr>
      </w:pPr>
      <w:r>
        <w:rPr/>
        <mc:AlternateContent>
          <mc:Choice Requires="wps">
            <w:drawing>
              <wp:anchor distT="0" distB="0" distL="0" distR="0" allowOverlap="1" layoutInCell="1" locked="0" behindDoc="1" simplePos="0" relativeHeight="487721472">
                <wp:simplePos x="0" y="0"/>
                <wp:positionH relativeFrom="page">
                  <wp:posOffset>889000</wp:posOffset>
                </wp:positionH>
                <wp:positionV relativeFrom="paragraph">
                  <wp:posOffset>262927</wp:posOffset>
                </wp:positionV>
                <wp:extent cx="6350" cy="1270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702938pt;width:.499pt;height:.959pt;mso-position-horizontal-relative:page;mso-position-vertical-relative:paragraph;z-index:-15595008;mso-wrap-distance-left:0;mso-wrap-distance-right:0" id="docshape549" filled="true" fillcolor="#4f81bb" stroked="false">
                <v:fill type="solid"/>
                <w10:wrap type="topAndBottom"/>
              </v:rect>
            </w:pict>
          </mc:Fallback>
        </mc:AlternateContent>
      </w:r>
    </w:p>
    <w:p>
      <w:pPr>
        <w:spacing w:before="0"/>
        <w:ind w:left="339"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21984">
                <wp:simplePos x="0" y="0"/>
                <wp:positionH relativeFrom="page">
                  <wp:posOffset>806195</wp:posOffset>
                </wp:positionH>
                <wp:positionV relativeFrom="paragraph">
                  <wp:posOffset>44921</wp:posOffset>
                </wp:positionV>
                <wp:extent cx="6197600" cy="6350"/>
                <wp:effectExtent l="0" t="0" r="0" b="0"/>
                <wp:wrapTopAndBottom/>
                <wp:docPr id="653" name="Graphic 653"/>
                <wp:cNvGraphicFramePr>
                  <a:graphicFrameLocks/>
                </wp:cNvGraphicFramePr>
                <a:graphic>
                  <a:graphicData uri="http://schemas.microsoft.com/office/word/2010/wordprocessingShape">
                    <wps:wsp>
                      <wps:cNvPr id="653" name="Graphic 653"/>
                      <wps:cNvSpPr/>
                      <wps:spPr>
                        <a:xfrm>
                          <a:off x="0" y="0"/>
                          <a:ext cx="6197600" cy="6350"/>
                        </a:xfrm>
                        <a:custGeom>
                          <a:avLst/>
                          <a:gdLst/>
                          <a:ahLst/>
                          <a:cxnLst/>
                          <a:rect l="l" t="t" r="r" b="b"/>
                          <a:pathLst>
                            <a:path w="6197600" h="6350">
                              <a:moveTo>
                                <a:pt x="6197346" y="0"/>
                              </a:moveTo>
                              <a:lnTo>
                                <a:pt x="0" y="0"/>
                              </a:lnTo>
                              <a:lnTo>
                                <a:pt x="0" y="6108"/>
                              </a:lnTo>
                              <a:lnTo>
                                <a:pt x="6197346" y="6108"/>
                              </a:lnTo>
                              <a:lnTo>
                                <a:pt x="619734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3.537156pt;width:487.98pt;height:.481pt;mso-position-horizontal-relative:page;mso-position-vertical-relative:paragraph;z-index:-15594496;mso-wrap-distance-left:0;mso-wrap-distance-right:0" id="docshape550" filled="true" fillcolor="#4f81bc" stroked="false">
                <v:fill type="solid"/>
                <w10:wrap type="topAndBottom"/>
              </v:rect>
            </w:pict>
          </mc:Fallback>
        </mc:AlternateContent>
      </w:r>
    </w:p>
    <w:p>
      <w:pPr>
        <w:pStyle w:val="ListParagraph"/>
        <w:numPr>
          <w:ilvl w:val="1"/>
          <w:numId w:val="44"/>
        </w:numPr>
        <w:tabs>
          <w:tab w:pos="1194" w:val="left" w:leader="none"/>
          <w:tab w:pos="1200" w:val="left" w:leader="none"/>
        </w:tabs>
        <w:spacing w:line="276" w:lineRule="auto" w:before="241" w:after="0"/>
        <w:ind w:left="1200" w:right="336" w:hanging="362"/>
        <w:jc w:val="left"/>
        <w:rPr>
          <w:sz w:val="22"/>
        </w:rPr>
      </w:pPr>
      <w:r>
        <w:rPr>
          <w:sz w:val="22"/>
        </w:rPr>
        <w:t>Convene an interagency committee to discuss the needs of LGBTQ young people encountering EOPSS agencies, and explore options for improving data collection, training, and policies.</w:t>
      </w:r>
    </w:p>
    <w:p>
      <w:pPr>
        <w:pStyle w:val="ListParagraph"/>
        <w:numPr>
          <w:ilvl w:val="1"/>
          <w:numId w:val="44"/>
        </w:numPr>
        <w:tabs>
          <w:tab w:pos="1196" w:val="left" w:leader="none"/>
        </w:tabs>
        <w:spacing w:line="240" w:lineRule="auto" w:before="241" w:after="0"/>
        <w:ind w:left="1196" w:right="0" w:hanging="356"/>
        <w:jc w:val="left"/>
        <w:rPr>
          <w:sz w:val="22"/>
        </w:rPr>
      </w:pPr>
      <w:r>
        <w:rPr>
          <w:sz w:val="22"/>
        </w:rPr>
        <w:t>Provide</w:t>
      </w:r>
      <w:r>
        <w:rPr>
          <w:spacing w:val="-8"/>
          <w:sz w:val="22"/>
        </w:rPr>
        <w:t> </w:t>
      </w:r>
      <w:r>
        <w:rPr>
          <w:sz w:val="22"/>
        </w:rPr>
        <w:t>LGBTQ</w:t>
      </w:r>
      <w:r>
        <w:rPr>
          <w:spacing w:val="-8"/>
          <w:sz w:val="22"/>
        </w:rPr>
        <w:t> </w:t>
      </w:r>
      <w:r>
        <w:rPr>
          <w:sz w:val="22"/>
        </w:rPr>
        <w:t>cultural</w:t>
      </w:r>
      <w:r>
        <w:rPr>
          <w:spacing w:val="-7"/>
          <w:sz w:val="22"/>
        </w:rPr>
        <w:t> </w:t>
      </w:r>
      <w:r>
        <w:rPr>
          <w:sz w:val="22"/>
        </w:rPr>
        <w:t>awareness</w:t>
      </w:r>
      <w:r>
        <w:rPr>
          <w:spacing w:val="-8"/>
          <w:sz w:val="22"/>
        </w:rPr>
        <w:t> </w:t>
      </w:r>
      <w:r>
        <w:rPr>
          <w:sz w:val="22"/>
        </w:rPr>
        <w:t>trainings</w:t>
      </w:r>
      <w:r>
        <w:rPr>
          <w:spacing w:val="-8"/>
          <w:sz w:val="22"/>
        </w:rPr>
        <w:t> </w:t>
      </w:r>
      <w:r>
        <w:rPr>
          <w:sz w:val="22"/>
        </w:rPr>
        <w:t>to</w:t>
      </w:r>
      <w:r>
        <w:rPr>
          <w:spacing w:val="-7"/>
          <w:sz w:val="22"/>
        </w:rPr>
        <w:t> </w:t>
      </w:r>
      <w:r>
        <w:rPr>
          <w:sz w:val="22"/>
        </w:rPr>
        <w:t>all</w:t>
      </w:r>
      <w:r>
        <w:rPr>
          <w:spacing w:val="-7"/>
          <w:sz w:val="22"/>
        </w:rPr>
        <w:t> </w:t>
      </w:r>
      <w:r>
        <w:rPr>
          <w:sz w:val="22"/>
        </w:rPr>
        <w:t>EOPSS</w:t>
      </w:r>
      <w:r>
        <w:rPr>
          <w:spacing w:val="-8"/>
          <w:sz w:val="22"/>
        </w:rPr>
        <w:t> </w:t>
      </w:r>
      <w:r>
        <w:rPr>
          <w:sz w:val="22"/>
        </w:rPr>
        <w:t>agency</w:t>
      </w:r>
      <w:r>
        <w:rPr>
          <w:spacing w:val="-8"/>
          <w:sz w:val="22"/>
        </w:rPr>
        <w:t> </w:t>
      </w:r>
      <w:r>
        <w:rPr>
          <w:sz w:val="22"/>
        </w:rPr>
        <w:t>staff</w:t>
      </w:r>
      <w:r>
        <w:rPr>
          <w:spacing w:val="-8"/>
          <w:sz w:val="22"/>
        </w:rPr>
        <w:t> </w:t>
      </w:r>
      <w:r>
        <w:rPr>
          <w:sz w:val="22"/>
        </w:rPr>
        <w:t>and</w:t>
      </w:r>
      <w:r>
        <w:rPr>
          <w:spacing w:val="-7"/>
          <w:sz w:val="22"/>
        </w:rPr>
        <w:t> </w:t>
      </w:r>
      <w:r>
        <w:rPr>
          <w:spacing w:val="-2"/>
          <w:sz w:val="22"/>
        </w:rPr>
        <w:t>providers.</w:t>
      </w: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722496">
                <wp:simplePos x="0" y="0"/>
                <wp:positionH relativeFrom="page">
                  <wp:posOffset>889000</wp:posOffset>
                </wp:positionH>
                <wp:positionV relativeFrom="paragraph">
                  <wp:posOffset>238664</wp:posOffset>
                </wp:positionV>
                <wp:extent cx="6350" cy="12700"/>
                <wp:effectExtent l="0" t="0" r="0" b="0"/>
                <wp:wrapTopAndBottom/>
                <wp:docPr id="654" name="Graphic 654"/>
                <wp:cNvGraphicFramePr>
                  <a:graphicFrameLocks/>
                </wp:cNvGraphicFramePr>
                <a:graphic>
                  <a:graphicData uri="http://schemas.microsoft.com/office/word/2010/wordprocessingShape">
                    <wps:wsp>
                      <wps:cNvPr id="654" name="Graphic 654"/>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792446pt;width:.499pt;height:.962pt;mso-position-horizontal-relative:page;mso-position-vertical-relative:paragraph;z-index:-15593984;mso-wrap-distance-left:0;mso-wrap-distance-right:0" id="docshape551" filled="true" fillcolor="#4f81bb" stroked="false">
                <v:fill type="solid"/>
                <w10:wrap type="topAndBottom"/>
              </v:rect>
            </w:pict>
          </mc:Fallback>
        </mc:AlternateContent>
      </w:r>
    </w:p>
    <w:p>
      <w:pPr>
        <w:spacing w:before="1"/>
        <w:ind w:left="339" w:right="0" w:firstLine="0"/>
        <w:jc w:val="left"/>
        <w:rPr>
          <w:sz w:val="28"/>
        </w:rPr>
      </w:pPr>
      <w:r>
        <w:rPr>
          <w:color w:val="365F91"/>
          <w:spacing w:val="-2"/>
          <w:sz w:val="28"/>
        </w:rPr>
        <w:t>Introduction</w:t>
      </w:r>
    </w:p>
    <w:p>
      <w:pPr>
        <w:pStyle w:val="BodyText"/>
        <w:spacing w:before="9"/>
        <w:rPr>
          <w:sz w:val="3"/>
        </w:rPr>
      </w:pPr>
      <w:r>
        <w:rPr/>
        <mc:AlternateContent>
          <mc:Choice Requires="wps">
            <w:drawing>
              <wp:anchor distT="0" distB="0" distL="0" distR="0" allowOverlap="1" layoutInCell="1" locked="0" behindDoc="1" simplePos="0" relativeHeight="487723008">
                <wp:simplePos x="0" y="0"/>
                <wp:positionH relativeFrom="page">
                  <wp:posOffset>806195</wp:posOffset>
                </wp:positionH>
                <wp:positionV relativeFrom="paragraph">
                  <wp:posOffset>44528</wp:posOffset>
                </wp:positionV>
                <wp:extent cx="6197600" cy="6350"/>
                <wp:effectExtent l="0" t="0" r="0" b="0"/>
                <wp:wrapTopAndBottom/>
                <wp:docPr id="655" name="Graphic 655"/>
                <wp:cNvGraphicFramePr>
                  <a:graphicFrameLocks/>
                </wp:cNvGraphicFramePr>
                <a:graphic>
                  <a:graphicData uri="http://schemas.microsoft.com/office/word/2010/wordprocessingShape">
                    <wps:wsp>
                      <wps:cNvPr id="655" name="Graphic 655"/>
                      <wps:cNvSpPr/>
                      <wps:spPr>
                        <a:xfrm>
                          <a:off x="0" y="0"/>
                          <a:ext cx="6197600" cy="6350"/>
                        </a:xfrm>
                        <a:custGeom>
                          <a:avLst/>
                          <a:gdLst/>
                          <a:ahLst/>
                          <a:cxnLst/>
                          <a:rect l="l" t="t" r="r" b="b"/>
                          <a:pathLst>
                            <a:path w="6197600" h="6350">
                              <a:moveTo>
                                <a:pt x="6197346" y="0"/>
                              </a:moveTo>
                              <a:lnTo>
                                <a:pt x="0" y="0"/>
                              </a:lnTo>
                              <a:lnTo>
                                <a:pt x="0" y="6108"/>
                              </a:lnTo>
                              <a:lnTo>
                                <a:pt x="6197346" y="6108"/>
                              </a:lnTo>
                              <a:lnTo>
                                <a:pt x="619734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3.506156pt;width:487.98pt;height:.481pt;mso-position-horizontal-relative:page;mso-position-vertical-relative:paragraph;z-index:-15593472;mso-wrap-distance-left:0;mso-wrap-distance-right:0" id="docshape552" filled="true" fillcolor="#4f81bc" stroked="false">
                <v:fill type="solid"/>
                <w10:wrap type="topAndBottom"/>
              </v:rect>
            </w:pict>
          </mc:Fallback>
        </mc:AlternateContent>
      </w:r>
    </w:p>
    <w:p>
      <w:pPr>
        <w:pStyle w:val="BodyText"/>
        <w:spacing w:line="276" w:lineRule="auto" w:before="241"/>
        <w:ind w:left="480" w:right="328"/>
        <w:jc w:val="both"/>
      </w:pPr>
      <w:r>
        <w:rPr/>
        <w:t>The Executive Office of Public Safety and Security (EOPSS) provides oversight and development for agencies, boards, and commissions in the areas of criminal justice, law enforcement, homeland security, and emergency preparedness and response. These agencies include the Massachusetts State Police, Sex Offender Registry Board, Department of Correction (DOC), and the Municipal Police Training Committee (MPTC). The Commission began issuing recommendations to EOPSS in FY 2018 to address the needs of LGBTQ youth, particularly QTBIPOC youth, who are impacted by these agencies.</w:t>
      </w:r>
    </w:p>
    <w:p>
      <w:pPr>
        <w:spacing w:line="276" w:lineRule="auto" w:before="240"/>
        <w:ind w:left="479" w:right="331" w:firstLine="0"/>
        <w:jc w:val="both"/>
        <w:rPr>
          <w:sz w:val="21"/>
        </w:rPr>
      </w:pPr>
      <w:r>
        <w:rPr>
          <w:sz w:val="22"/>
        </w:rPr>
        <w:t>As</w:t>
      </w:r>
      <w:r>
        <w:rPr>
          <w:spacing w:val="-12"/>
          <w:sz w:val="22"/>
        </w:rPr>
        <w:t> </w:t>
      </w:r>
      <w:r>
        <w:rPr>
          <w:sz w:val="22"/>
        </w:rPr>
        <w:t>discussed</w:t>
      </w:r>
      <w:r>
        <w:rPr>
          <w:spacing w:val="-11"/>
          <w:sz w:val="22"/>
        </w:rPr>
        <w:t> </w:t>
      </w:r>
      <w:r>
        <w:rPr>
          <w:sz w:val="22"/>
        </w:rPr>
        <w:t>throughout</w:t>
      </w:r>
      <w:r>
        <w:rPr>
          <w:spacing w:val="-12"/>
          <w:sz w:val="22"/>
        </w:rPr>
        <w:t> </w:t>
      </w:r>
      <w:r>
        <w:rPr>
          <w:sz w:val="22"/>
        </w:rPr>
        <w:t>this</w:t>
      </w:r>
      <w:r>
        <w:rPr>
          <w:spacing w:val="-12"/>
          <w:sz w:val="22"/>
        </w:rPr>
        <w:t> </w:t>
      </w:r>
      <w:r>
        <w:rPr>
          <w:sz w:val="22"/>
        </w:rPr>
        <w:t>annual</w:t>
      </w:r>
      <w:r>
        <w:rPr>
          <w:spacing w:val="-12"/>
          <w:sz w:val="22"/>
        </w:rPr>
        <w:t> </w:t>
      </w:r>
      <w:r>
        <w:rPr>
          <w:sz w:val="22"/>
        </w:rPr>
        <w:t>report,</w:t>
      </w:r>
      <w:r>
        <w:rPr>
          <w:spacing w:val="-12"/>
          <w:sz w:val="22"/>
        </w:rPr>
        <w:t> </w:t>
      </w:r>
      <w:r>
        <w:rPr>
          <w:sz w:val="22"/>
        </w:rPr>
        <w:t>there</w:t>
      </w:r>
      <w:r>
        <w:rPr>
          <w:spacing w:val="-11"/>
          <w:sz w:val="22"/>
        </w:rPr>
        <w:t> </w:t>
      </w:r>
      <w:r>
        <w:rPr>
          <w:sz w:val="22"/>
        </w:rPr>
        <w:t>are</w:t>
      </w:r>
      <w:r>
        <w:rPr>
          <w:spacing w:val="-11"/>
          <w:sz w:val="22"/>
        </w:rPr>
        <w:t> </w:t>
      </w:r>
      <w:r>
        <w:rPr>
          <w:sz w:val="22"/>
        </w:rPr>
        <w:t>numerous</w:t>
      </w:r>
      <w:r>
        <w:rPr>
          <w:spacing w:val="-12"/>
          <w:sz w:val="22"/>
        </w:rPr>
        <w:t> </w:t>
      </w:r>
      <w:r>
        <w:rPr>
          <w:sz w:val="22"/>
        </w:rPr>
        <w:t>factors</w:t>
      </w:r>
      <w:r>
        <w:rPr>
          <w:spacing w:val="-12"/>
          <w:sz w:val="22"/>
        </w:rPr>
        <w:t> </w:t>
      </w:r>
      <w:r>
        <w:rPr>
          <w:sz w:val="22"/>
        </w:rPr>
        <w:t>that</w:t>
      </w:r>
      <w:r>
        <w:rPr>
          <w:spacing w:val="-12"/>
          <w:sz w:val="22"/>
        </w:rPr>
        <w:t> </w:t>
      </w:r>
      <w:r>
        <w:rPr>
          <w:sz w:val="22"/>
        </w:rPr>
        <w:t>impact</w:t>
      </w:r>
      <w:r>
        <w:rPr>
          <w:spacing w:val="-12"/>
          <w:sz w:val="22"/>
        </w:rPr>
        <w:t> </w:t>
      </w:r>
      <w:r>
        <w:rPr>
          <w:sz w:val="22"/>
        </w:rPr>
        <w:t>LGBTQ</w:t>
      </w:r>
      <w:r>
        <w:rPr>
          <w:spacing w:val="-11"/>
          <w:sz w:val="22"/>
        </w:rPr>
        <w:t> </w:t>
      </w:r>
      <w:r>
        <w:rPr>
          <w:sz w:val="22"/>
        </w:rPr>
        <w:t>youth</w:t>
      </w:r>
      <w:r>
        <w:rPr>
          <w:spacing w:val="-11"/>
          <w:sz w:val="22"/>
        </w:rPr>
        <w:t> </w:t>
      </w:r>
      <w:r>
        <w:rPr>
          <w:sz w:val="22"/>
        </w:rPr>
        <w:t>to</w:t>
      </w:r>
      <w:r>
        <w:rPr>
          <w:spacing w:val="-11"/>
          <w:sz w:val="22"/>
        </w:rPr>
        <w:t> </w:t>
      </w:r>
      <w:r>
        <w:rPr>
          <w:sz w:val="22"/>
        </w:rPr>
        <w:t>make them more likely to encounter the public safety and criminal legal systems, such as homelessness, financial insecurity, family rejection, and poor school climates. While Massachusetts has accomplished much</w:t>
      </w:r>
      <w:r>
        <w:rPr>
          <w:spacing w:val="-7"/>
          <w:sz w:val="22"/>
        </w:rPr>
        <w:t> </w:t>
      </w:r>
      <w:r>
        <w:rPr>
          <w:sz w:val="22"/>
        </w:rPr>
        <w:t>in</w:t>
      </w:r>
      <w:r>
        <w:rPr>
          <w:spacing w:val="-7"/>
          <w:sz w:val="22"/>
        </w:rPr>
        <w:t> </w:t>
      </w:r>
      <w:r>
        <w:rPr>
          <w:sz w:val="22"/>
        </w:rPr>
        <w:t>improving</w:t>
      </w:r>
      <w:r>
        <w:rPr>
          <w:spacing w:val="-7"/>
          <w:sz w:val="22"/>
        </w:rPr>
        <w:t> </w:t>
      </w:r>
      <w:r>
        <w:rPr>
          <w:sz w:val="22"/>
        </w:rPr>
        <w:t>the</w:t>
      </w:r>
      <w:r>
        <w:rPr>
          <w:spacing w:val="-6"/>
          <w:sz w:val="22"/>
        </w:rPr>
        <w:t> </w:t>
      </w:r>
      <w:r>
        <w:rPr>
          <w:sz w:val="22"/>
        </w:rPr>
        <w:t>experiences</w:t>
      </w:r>
      <w:r>
        <w:rPr>
          <w:spacing w:val="-6"/>
          <w:sz w:val="22"/>
        </w:rPr>
        <w:t> </w:t>
      </w:r>
      <w:r>
        <w:rPr>
          <w:sz w:val="22"/>
        </w:rPr>
        <w:t>of</w:t>
      </w:r>
      <w:r>
        <w:rPr>
          <w:spacing w:val="-6"/>
          <w:sz w:val="22"/>
        </w:rPr>
        <w:t> </w:t>
      </w:r>
      <w:r>
        <w:rPr>
          <w:sz w:val="22"/>
        </w:rPr>
        <w:t>youth</w:t>
      </w:r>
      <w:r>
        <w:rPr>
          <w:spacing w:val="-7"/>
          <w:sz w:val="22"/>
        </w:rPr>
        <w:t> </w:t>
      </w:r>
      <w:r>
        <w:rPr>
          <w:sz w:val="22"/>
        </w:rPr>
        <w:t>in</w:t>
      </w:r>
      <w:r>
        <w:rPr>
          <w:spacing w:val="-6"/>
          <w:sz w:val="22"/>
        </w:rPr>
        <w:t> </w:t>
      </w:r>
      <w:r>
        <w:rPr>
          <w:sz w:val="22"/>
        </w:rPr>
        <w:t>the</w:t>
      </w:r>
      <w:r>
        <w:rPr>
          <w:spacing w:val="-5"/>
          <w:sz w:val="22"/>
        </w:rPr>
        <w:t> </w:t>
      </w:r>
      <w:r>
        <w:rPr>
          <w:sz w:val="22"/>
        </w:rPr>
        <w:t>juvenile</w:t>
      </w:r>
      <w:r>
        <w:rPr>
          <w:spacing w:val="-7"/>
          <w:sz w:val="22"/>
        </w:rPr>
        <w:t> </w:t>
      </w:r>
      <w:r>
        <w:rPr>
          <w:sz w:val="22"/>
        </w:rPr>
        <w:t>justice</w:t>
      </w:r>
      <w:r>
        <w:rPr>
          <w:spacing w:val="-6"/>
          <w:sz w:val="22"/>
        </w:rPr>
        <w:t> </w:t>
      </w:r>
      <w:r>
        <w:rPr>
          <w:sz w:val="22"/>
        </w:rPr>
        <w:t>system</w:t>
      </w:r>
      <w:r>
        <w:rPr>
          <w:spacing w:val="-7"/>
          <w:sz w:val="22"/>
        </w:rPr>
        <w:t> </w:t>
      </w:r>
      <w:r>
        <w:rPr>
          <w:sz w:val="22"/>
        </w:rPr>
        <w:t>overseen</w:t>
      </w:r>
      <w:r>
        <w:rPr>
          <w:spacing w:val="-7"/>
          <w:sz w:val="22"/>
        </w:rPr>
        <w:t> </w:t>
      </w:r>
      <w:r>
        <w:rPr>
          <w:sz w:val="22"/>
        </w:rPr>
        <w:t>by</w:t>
      </w:r>
      <w:r>
        <w:rPr>
          <w:spacing w:val="-5"/>
          <w:sz w:val="22"/>
        </w:rPr>
        <w:t> </w:t>
      </w:r>
      <w:r>
        <w:rPr>
          <w:sz w:val="22"/>
        </w:rPr>
        <w:t>the</w:t>
      </w:r>
      <w:r>
        <w:rPr>
          <w:spacing w:val="-5"/>
          <w:sz w:val="22"/>
        </w:rPr>
        <w:t> </w:t>
      </w:r>
      <w:r>
        <w:rPr>
          <w:sz w:val="22"/>
        </w:rPr>
        <w:t>Department</w:t>
      </w:r>
      <w:r>
        <w:rPr>
          <w:spacing w:val="-7"/>
          <w:sz w:val="22"/>
        </w:rPr>
        <w:t> </w:t>
      </w:r>
      <w:r>
        <w:rPr>
          <w:sz w:val="22"/>
        </w:rPr>
        <w:t>of Youth</w:t>
      </w:r>
      <w:r>
        <w:rPr>
          <w:spacing w:val="-6"/>
          <w:sz w:val="22"/>
        </w:rPr>
        <w:t> </w:t>
      </w:r>
      <w:r>
        <w:rPr>
          <w:sz w:val="22"/>
        </w:rPr>
        <w:t>Services</w:t>
      </w:r>
      <w:r>
        <w:rPr>
          <w:spacing w:val="-6"/>
          <w:sz w:val="22"/>
        </w:rPr>
        <w:t> </w:t>
      </w:r>
      <w:r>
        <w:rPr>
          <w:sz w:val="22"/>
        </w:rPr>
        <w:t>under</w:t>
      </w:r>
      <w:r>
        <w:rPr>
          <w:spacing w:val="-5"/>
          <w:sz w:val="22"/>
        </w:rPr>
        <w:t> </w:t>
      </w:r>
      <w:r>
        <w:rPr>
          <w:sz w:val="22"/>
        </w:rPr>
        <w:t>the</w:t>
      </w:r>
      <w:r>
        <w:rPr>
          <w:spacing w:val="-5"/>
          <w:sz w:val="22"/>
        </w:rPr>
        <w:t> </w:t>
      </w:r>
      <w:r>
        <w:rPr>
          <w:sz w:val="22"/>
        </w:rPr>
        <w:t>Executive</w:t>
      </w:r>
      <w:r>
        <w:rPr>
          <w:spacing w:val="-5"/>
          <w:sz w:val="22"/>
        </w:rPr>
        <w:t> </w:t>
      </w:r>
      <w:r>
        <w:rPr>
          <w:sz w:val="22"/>
        </w:rPr>
        <w:t>Office</w:t>
      </w:r>
      <w:r>
        <w:rPr>
          <w:spacing w:val="-7"/>
          <w:sz w:val="22"/>
        </w:rPr>
        <w:t> </w:t>
      </w:r>
      <w:r>
        <w:rPr>
          <w:sz w:val="22"/>
        </w:rPr>
        <w:t>of</w:t>
      </w:r>
      <w:r>
        <w:rPr>
          <w:spacing w:val="-5"/>
          <w:sz w:val="22"/>
        </w:rPr>
        <w:t> </w:t>
      </w:r>
      <w:r>
        <w:rPr>
          <w:sz w:val="22"/>
        </w:rPr>
        <w:t>Health</w:t>
      </w:r>
      <w:r>
        <w:rPr>
          <w:spacing w:val="-6"/>
          <w:sz w:val="22"/>
        </w:rPr>
        <w:t> </w:t>
      </w:r>
      <w:r>
        <w:rPr>
          <w:sz w:val="22"/>
        </w:rPr>
        <w:t>and</w:t>
      </w:r>
      <w:r>
        <w:rPr>
          <w:spacing w:val="-6"/>
          <w:sz w:val="22"/>
        </w:rPr>
        <w:t> </w:t>
      </w:r>
      <w:r>
        <w:rPr>
          <w:sz w:val="22"/>
        </w:rPr>
        <w:t>Human</w:t>
      </w:r>
      <w:r>
        <w:rPr>
          <w:spacing w:val="-6"/>
          <w:sz w:val="22"/>
        </w:rPr>
        <w:t> </w:t>
      </w:r>
      <w:r>
        <w:rPr>
          <w:sz w:val="22"/>
        </w:rPr>
        <w:t>Services,</w:t>
      </w:r>
      <w:r>
        <w:rPr>
          <w:spacing w:val="-6"/>
          <w:sz w:val="22"/>
        </w:rPr>
        <w:t> </w:t>
      </w:r>
      <w:r>
        <w:rPr>
          <w:sz w:val="22"/>
        </w:rPr>
        <w:t>the</w:t>
      </w:r>
      <w:r>
        <w:rPr>
          <w:spacing w:val="-7"/>
          <w:sz w:val="22"/>
        </w:rPr>
        <w:t> </w:t>
      </w:r>
      <w:r>
        <w:rPr>
          <w:sz w:val="22"/>
        </w:rPr>
        <w:t>Commission</w:t>
      </w:r>
      <w:r>
        <w:rPr>
          <w:spacing w:val="-8"/>
          <w:sz w:val="22"/>
        </w:rPr>
        <w:t> </w:t>
      </w:r>
      <w:r>
        <w:rPr>
          <w:sz w:val="21"/>
        </w:rPr>
        <w:t>has</w:t>
      </w:r>
      <w:r>
        <w:rPr>
          <w:spacing w:val="-5"/>
          <w:sz w:val="21"/>
        </w:rPr>
        <w:t> </w:t>
      </w:r>
      <w:r>
        <w:rPr>
          <w:sz w:val="21"/>
        </w:rPr>
        <w:t>appreciated the opportunity to work more closely with EOPSS agencies in FY 2024 and looks forward to expanding its partnerships in FY 2025.</w:t>
      </w:r>
    </w:p>
    <w:p>
      <w:pPr>
        <w:pStyle w:val="BodyText"/>
        <w:rPr>
          <w:sz w:val="20"/>
        </w:rPr>
      </w:pPr>
    </w:p>
    <w:p>
      <w:pPr>
        <w:pStyle w:val="BodyText"/>
        <w:spacing w:before="68"/>
        <w:rPr>
          <w:sz w:val="20"/>
        </w:rPr>
      </w:pPr>
      <w:r>
        <w:rPr/>
        <mc:AlternateContent>
          <mc:Choice Requires="wps">
            <w:drawing>
              <wp:anchor distT="0" distB="0" distL="0" distR="0" allowOverlap="1" layoutInCell="1" locked="0" behindDoc="1" simplePos="0" relativeHeight="487723520">
                <wp:simplePos x="0" y="0"/>
                <wp:positionH relativeFrom="page">
                  <wp:posOffset>889000</wp:posOffset>
                </wp:positionH>
                <wp:positionV relativeFrom="paragraph">
                  <wp:posOffset>213463</wp:posOffset>
                </wp:positionV>
                <wp:extent cx="6350" cy="1270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6350" cy="12700"/>
                        </a:xfrm>
                        <a:custGeom>
                          <a:avLst/>
                          <a:gdLst/>
                          <a:ahLst/>
                          <a:cxnLst/>
                          <a:rect l="l" t="t" r="r" b="b"/>
                          <a:pathLst>
                            <a:path w="6350" h="12700">
                              <a:moveTo>
                                <a:pt x="6337" y="0"/>
                              </a:moveTo>
                              <a:lnTo>
                                <a:pt x="0" y="0"/>
                              </a:lnTo>
                              <a:lnTo>
                                <a:pt x="0" y="12204"/>
                              </a:lnTo>
                              <a:lnTo>
                                <a:pt x="6337" y="12204"/>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808149pt;width:.499pt;height:.961pt;mso-position-horizontal-relative:page;mso-position-vertical-relative:paragraph;z-index:-15592960;mso-wrap-distance-left:0;mso-wrap-distance-right:0" id="docshape553" filled="true" fillcolor="#4f81bb" stroked="false">
                <v:fill type="solid"/>
                <w10:wrap type="topAndBottom"/>
              </v:rect>
            </w:pict>
          </mc:Fallback>
        </mc:AlternateContent>
      </w:r>
    </w:p>
    <w:p>
      <w:pPr>
        <w:spacing w:before="0"/>
        <w:ind w:left="339" w:right="0" w:firstLine="0"/>
        <w:jc w:val="left"/>
        <w:rPr>
          <w:sz w:val="28"/>
        </w:rPr>
      </w:pP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Expanded</w:t>
      </w:r>
      <w:r>
        <w:rPr>
          <w:color w:val="365F91"/>
          <w:spacing w:val="-10"/>
          <w:sz w:val="28"/>
        </w:rPr>
        <w:t> </w:t>
      </w:r>
      <w:r>
        <w:rPr>
          <w:color w:val="365F91"/>
          <w:sz w:val="28"/>
        </w:rPr>
        <w:t>EOPSS</w:t>
      </w:r>
      <w:r>
        <w:rPr>
          <w:color w:val="365F91"/>
          <w:spacing w:val="-9"/>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24032">
                <wp:simplePos x="0" y="0"/>
                <wp:positionH relativeFrom="page">
                  <wp:posOffset>806195</wp:posOffset>
                </wp:positionH>
                <wp:positionV relativeFrom="paragraph">
                  <wp:posOffset>45239</wp:posOffset>
                </wp:positionV>
                <wp:extent cx="6197600" cy="6350"/>
                <wp:effectExtent l="0" t="0" r="0" b="0"/>
                <wp:wrapTopAndBottom/>
                <wp:docPr id="657" name="Graphic 657"/>
                <wp:cNvGraphicFramePr>
                  <a:graphicFrameLocks/>
                </wp:cNvGraphicFramePr>
                <a:graphic>
                  <a:graphicData uri="http://schemas.microsoft.com/office/word/2010/wordprocessingShape">
                    <wps:wsp>
                      <wps:cNvPr id="657" name="Graphic 657"/>
                      <wps:cNvSpPr/>
                      <wps:spPr>
                        <a:xfrm>
                          <a:off x="0" y="0"/>
                          <a:ext cx="6197600" cy="6350"/>
                        </a:xfrm>
                        <a:custGeom>
                          <a:avLst/>
                          <a:gdLst/>
                          <a:ahLst/>
                          <a:cxnLst/>
                          <a:rect l="l" t="t" r="r" b="b"/>
                          <a:pathLst>
                            <a:path w="6197600" h="6350">
                              <a:moveTo>
                                <a:pt x="6197346" y="0"/>
                              </a:moveTo>
                              <a:lnTo>
                                <a:pt x="0" y="0"/>
                              </a:lnTo>
                              <a:lnTo>
                                <a:pt x="0" y="6108"/>
                              </a:lnTo>
                              <a:lnTo>
                                <a:pt x="6197346" y="6108"/>
                              </a:lnTo>
                              <a:lnTo>
                                <a:pt x="619734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3.562156pt;width:487.98pt;height:.481pt;mso-position-horizontal-relative:page;mso-position-vertical-relative:paragraph;z-index:-15592448;mso-wrap-distance-left:0;mso-wrap-distance-right:0" id="docshape554" filled="true" fillcolor="#4f81bc" stroked="false">
                <v:fill type="solid"/>
                <w10:wrap type="topAndBottom"/>
              </v:rect>
            </w:pict>
          </mc:Fallback>
        </mc:AlternateContent>
      </w:r>
    </w:p>
    <w:p>
      <w:pPr>
        <w:pStyle w:val="BodyText"/>
      </w:pPr>
    </w:p>
    <w:p>
      <w:pPr>
        <w:pStyle w:val="BodyText"/>
        <w:spacing w:before="239"/>
      </w:pPr>
    </w:p>
    <w:p>
      <w:pPr>
        <w:numPr>
          <w:ilvl w:val="0"/>
          <w:numId w:val="45"/>
        </w:numPr>
        <w:tabs>
          <w:tab w:pos="1197" w:val="left" w:leader="none"/>
          <w:tab w:pos="1199" w:val="left" w:leader="none"/>
        </w:tabs>
        <w:spacing w:line="276" w:lineRule="auto" w:before="1"/>
        <w:ind w:left="1199" w:right="332" w:hanging="360"/>
        <w:jc w:val="left"/>
        <w:rPr>
          <w:b/>
          <w:sz w:val="22"/>
        </w:rPr>
      </w:pPr>
      <w:r>
        <w:rPr>
          <w:b/>
          <w:sz w:val="22"/>
        </w:rPr>
        <w:t>Convene an interagency committee to discuss the needs of LGBTQ young people encountering EOPSS agencies, and explore options for improving data collection, training, and policies.</w:t>
      </w:r>
    </w:p>
    <w:p>
      <w:pPr>
        <w:pStyle w:val="BodyText"/>
        <w:spacing w:line="276" w:lineRule="auto" w:before="239"/>
        <w:ind w:left="479" w:right="136"/>
        <w:jc w:val="both"/>
      </w:pPr>
      <w:r>
        <w:rPr/>
        <w:t>The Commission continues to recommend that EOPSS explore the creation of an interagency committee model</w:t>
      </w:r>
      <w:r>
        <w:rPr>
          <w:spacing w:val="-13"/>
        </w:rPr>
        <w:t> </w:t>
      </w:r>
      <w:r>
        <w:rPr/>
        <w:t>to</w:t>
      </w:r>
      <w:r>
        <w:rPr>
          <w:spacing w:val="-12"/>
        </w:rPr>
        <w:t> </w:t>
      </w:r>
      <w:r>
        <w:rPr/>
        <w:t>better</w:t>
      </w:r>
      <w:r>
        <w:rPr>
          <w:spacing w:val="-13"/>
        </w:rPr>
        <w:t> </w:t>
      </w:r>
      <w:r>
        <w:rPr/>
        <w:t>support</w:t>
      </w:r>
      <w:r>
        <w:rPr>
          <w:spacing w:val="-12"/>
        </w:rPr>
        <w:t> </w:t>
      </w:r>
      <w:r>
        <w:rPr/>
        <w:t>and</w:t>
      </w:r>
      <w:r>
        <w:rPr>
          <w:spacing w:val="-13"/>
        </w:rPr>
        <w:t> </w:t>
      </w:r>
      <w:r>
        <w:rPr/>
        <w:t>coordinate</w:t>
      </w:r>
      <w:r>
        <w:rPr>
          <w:spacing w:val="-12"/>
        </w:rPr>
        <w:t> </w:t>
      </w:r>
      <w:r>
        <w:rPr/>
        <w:t>its</w:t>
      </w:r>
      <w:r>
        <w:rPr>
          <w:spacing w:val="-13"/>
        </w:rPr>
        <w:t> </w:t>
      </w:r>
      <w:r>
        <w:rPr/>
        <w:t>efforts</w:t>
      </w:r>
      <w:r>
        <w:rPr>
          <w:spacing w:val="-12"/>
        </w:rPr>
        <w:t> </w:t>
      </w:r>
      <w:r>
        <w:rPr/>
        <w:t>to</w:t>
      </w:r>
      <w:r>
        <w:rPr>
          <w:spacing w:val="-12"/>
        </w:rPr>
        <w:t> </w:t>
      </w:r>
      <w:r>
        <w:rPr/>
        <w:t>be</w:t>
      </w:r>
      <w:r>
        <w:rPr>
          <w:spacing w:val="-13"/>
        </w:rPr>
        <w:t> </w:t>
      </w:r>
      <w:r>
        <w:rPr/>
        <w:t>more</w:t>
      </w:r>
      <w:r>
        <w:rPr>
          <w:spacing w:val="-12"/>
        </w:rPr>
        <w:t> </w:t>
      </w:r>
      <w:r>
        <w:rPr/>
        <w:t>inclusive</w:t>
      </w:r>
      <w:r>
        <w:rPr>
          <w:spacing w:val="-13"/>
        </w:rPr>
        <w:t> </w:t>
      </w:r>
      <w:r>
        <w:rPr/>
        <w:t>and</w:t>
      </w:r>
      <w:r>
        <w:rPr>
          <w:spacing w:val="-12"/>
        </w:rPr>
        <w:t> </w:t>
      </w:r>
      <w:r>
        <w:rPr/>
        <w:t>affirming</w:t>
      </w:r>
      <w:r>
        <w:rPr>
          <w:spacing w:val="-13"/>
        </w:rPr>
        <w:t> </w:t>
      </w:r>
      <w:r>
        <w:rPr/>
        <w:t>of</w:t>
      </w:r>
      <w:r>
        <w:rPr>
          <w:spacing w:val="-12"/>
        </w:rPr>
        <w:t> </w:t>
      </w:r>
      <w:r>
        <w:rPr/>
        <w:t>LGBTQ</w:t>
      </w:r>
      <w:r>
        <w:rPr>
          <w:spacing w:val="-12"/>
        </w:rPr>
        <w:t> </w:t>
      </w:r>
      <w:r>
        <w:rPr/>
        <w:t>communities, particularly</w:t>
      </w:r>
      <w:r>
        <w:rPr>
          <w:spacing w:val="19"/>
        </w:rPr>
        <w:t> </w:t>
      </w:r>
      <w:r>
        <w:rPr/>
        <w:t>given</w:t>
      </w:r>
      <w:r>
        <w:rPr>
          <w:spacing w:val="18"/>
        </w:rPr>
        <w:t> </w:t>
      </w:r>
      <w:r>
        <w:rPr/>
        <w:t>that</w:t>
      </w:r>
      <w:r>
        <w:rPr>
          <w:spacing w:val="18"/>
        </w:rPr>
        <w:t> </w:t>
      </w:r>
      <w:r>
        <w:rPr/>
        <w:t>topics</w:t>
      </w:r>
      <w:r>
        <w:rPr>
          <w:spacing w:val="18"/>
        </w:rPr>
        <w:t> </w:t>
      </w:r>
      <w:r>
        <w:rPr/>
        <w:t>like</w:t>
      </w:r>
      <w:r>
        <w:rPr>
          <w:spacing w:val="19"/>
        </w:rPr>
        <w:t> </w:t>
      </w:r>
      <w:r>
        <w:rPr/>
        <w:t>data</w:t>
      </w:r>
      <w:r>
        <w:rPr>
          <w:spacing w:val="19"/>
        </w:rPr>
        <w:t> </w:t>
      </w:r>
      <w:r>
        <w:rPr/>
        <w:t>collection</w:t>
      </w:r>
      <w:r>
        <w:rPr>
          <w:spacing w:val="17"/>
        </w:rPr>
        <w:t> </w:t>
      </w:r>
      <w:r>
        <w:rPr/>
        <w:t>and</w:t>
      </w:r>
      <w:r>
        <w:rPr>
          <w:spacing w:val="17"/>
        </w:rPr>
        <w:t> </w:t>
      </w:r>
      <w:r>
        <w:rPr/>
        <w:t>nondiscrimination</w:t>
      </w:r>
      <w:r>
        <w:rPr>
          <w:spacing w:val="18"/>
        </w:rPr>
        <w:t> </w:t>
      </w:r>
      <w:r>
        <w:rPr/>
        <w:t>policies</w:t>
      </w:r>
      <w:r>
        <w:rPr>
          <w:spacing w:val="18"/>
        </w:rPr>
        <w:t> </w:t>
      </w:r>
      <w:r>
        <w:rPr/>
        <w:t>may</w:t>
      </w:r>
      <w:r>
        <w:rPr>
          <w:spacing w:val="19"/>
        </w:rPr>
        <w:t> </w:t>
      </w:r>
      <w:r>
        <w:rPr/>
        <w:t>not</w:t>
      </w:r>
      <w:r>
        <w:rPr>
          <w:spacing w:val="18"/>
        </w:rPr>
        <w:t> </w:t>
      </w:r>
      <w:r>
        <w:rPr/>
        <w:t>function</w:t>
      </w:r>
      <w:r>
        <w:rPr>
          <w:spacing w:val="18"/>
        </w:rPr>
        <w:t> </w:t>
      </w:r>
      <w:r>
        <w:rPr/>
        <w:t>well</w:t>
      </w:r>
      <w:r>
        <w:rPr>
          <w:spacing w:val="19"/>
        </w:rPr>
        <w:t> </w:t>
      </w:r>
      <w:r>
        <w:rPr/>
        <w:t>in</w:t>
      </w:r>
    </w:p>
    <w:p>
      <w:pPr>
        <w:spacing w:after="0" w:line="276" w:lineRule="auto"/>
        <w:jc w:val="both"/>
        <w:sectPr>
          <w:headerReference w:type="default" r:id="rId759"/>
          <w:footerReference w:type="default" r:id="rId760"/>
          <w:pgSz w:w="12240" w:h="15840"/>
          <w:pgMar w:header="804" w:footer="1188" w:top="1000" w:bottom="1380" w:left="960" w:right="1100"/>
        </w:sectPr>
      </w:pPr>
    </w:p>
    <w:p>
      <w:pPr>
        <w:pStyle w:val="BodyText"/>
        <w:spacing w:line="276" w:lineRule="auto" w:before="139"/>
        <w:ind w:left="480" w:right="137"/>
        <w:jc w:val="both"/>
      </w:pPr>
      <w:r>
        <w:rPr/>
        <w:t>isolation within the larger EOPSS system. The Commission further recommends that EOPSS continue to explore areas in which its agencies can expand the collection and reporting of data on sexual orientation and</w:t>
      </w:r>
      <w:r>
        <w:rPr>
          <w:spacing w:val="-2"/>
        </w:rPr>
        <w:t> </w:t>
      </w:r>
      <w:r>
        <w:rPr/>
        <w:t>gender</w:t>
      </w:r>
      <w:r>
        <w:rPr>
          <w:spacing w:val="-1"/>
        </w:rPr>
        <w:t> </w:t>
      </w:r>
      <w:r>
        <w:rPr/>
        <w:t>identity</w:t>
      </w:r>
      <w:r>
        <w:rPr>
          <w:spacing w:val="-1"/>
        </w:rPr>
        <w:t> </w:t>
      </w:r>
      <w:r>
        <w:rPr/>
        <w:t>(SOGI)</w:t>
      </w:r>
      <w:r>
        <w:rPr>
          <w:spacing w:val="-1"/>
        </w:rPr>
        <w:t> </w:t>
      </w:r>
      <w:r>
        <w:rPr/>
        <w:t>to</w:t>
      </w:r>
      <w:r>
        <w:rPr>
          <w:spacing w:val="-1"/>
        </w:rPr>
        <w:t> </w:t>
      </w:r>
      <w:r>
        <w:rPr/>
        <w:t>address</w:t>
      </w:r>
      <w:r>
        <w:rPr>
          <w:spacing w:val="-1"/>
        </w:rPr>
        <w:t> </w:t>
      </w:r>
      <w:r>
        <w:rPr/>
        <w:t>disparities</w:t>
      </w:r>
      <w:r>
        <w:rPr>
          <w:spacing w:val="-1"/>
        </w:rPr>
        <w:t> </w:t>
      </w:r>
      <w:r>
        <w:rPr/>
        <w:t>facing</w:t>
      </w:r>
      <w:r>
        <w:rPr>
          <w:spacing w:val="-2"/>
        </w:rPr>
        <w:t> </w:t>
      </w:r>
      <w:r>
        <w:rPr/>
        <w:t>LGBTQ</w:t>
      </w:r>
      <w:r>
        <w:rPr>
          <w:spacing w:val="-2"/>
        </w:rPr>
        <w:t> </w:t>
      </w:r>
      <w:r>
        <w:rPr/>
        <w:t>youth</w:t>
      </w:r>
      <w:r>
        <w:rPr>
          <w:spacing w:val="-2"/>
        </w:rPr>
        <w:t> </w:t>
      </w:r>
      <w:r>
        <w:rPr/>
        <w:t>across</w:t>
      </w:r>
      <w:r>
        <w:rPr>
          <w:spacing w:val="-1"/>
        </w:rPr>
        <w:t> </w:t>
      </w:r>
      <w:r>
        <w:rPr/>
        <w:t>the</w:t>
      </w:r>
      <w:r>
        <w:rPr>
          <w:spacing w:val="-2"/>
        </w:rPr>
        <w:t> </w:t>
      </w:r>
      <w:r>
        <w:rPr/>
        <w:t>multiple</w:t>
      </w:r>
      <w:r>
        <w:rPr>
          <w:spacing w:val="-2"/>
        </w:rPr>
        <w:t> </w:t>
      </w:r>
      <w:r>
        <w:rPr/>
        <w:t>systems</w:t>
      </w:r>
      <w:r>
        <w:rPr>
          <w:spacing w:val="-1"/>
        </w:rPr>
        <w:t> </w:t>
      </w:r>
      <w:r>
        <w:rPr/>
        <w:t>overseen by EOPSS.</w:t>
      </w:r>
    </w:p>
    <w:p>
      <w:pPr>
        <w:numPr>
          <w:ilvl w:val="0"/>
          <w:numId w:val="45"/>
        </w:numPr>
        <w:tabs>
          <w:tab w:pos="1197" w:val="left" w:leader="none"/>
        </w:tabs>
        <w:spacing w:before="239"/>
        <w:ind w:left="1197" w:right="0" w:hanging="358"/>
        <w:jc w:val="left"/>
        <w:rPr>
          <w:b/>
          <w:sz w:val="22"/>
        </w:rPr>
      </w:pPr>
      <w:r>
        <w:rPr>
          <w:b/>
          <w:sz w:val="22"/>
        </w:rPr>
        <w:t>Provide</w:t>
      </w:r>
      <w:r>
        <w:rPr>
          <w:b/>
          <w:spacing w:val="-8"/>
          <w:sz w:val="22"/>
        </w:rPr>
        <w:t> </w:t>
      </w:r>
      <w:r>
        <w:rPr>
          <w:b/>
          <w:sz w:val="22"/>
        </w:rPr>
        <w:t>LGBTQ</w:t>
      </w:r>
      <w:r>
        <w:rPr>
          <w:b/>
          <w:spacing w:val="-8"/>
          <w:sz w:val="22"/>
        </w:rPr>
        <w:t> </w:t>
      </w:r>
      <w:r>
        <w:rPr>
          <w:b/>
          <w:sz w:val="22"/>
        </w:rPr>
        <w:t>cultural</w:t>
      </w:r>
      <w:r>
        <w:rPr>
          <w:b/>
          <w:spacing w:val="-7"/>
          <w:sz w:val="22"/>
        </w:rPr>
        <w:t> </w:t>
      </w:r>
      <w:r>
        <w:rPr>
          <w:b/>
          <w:sz w:val="22"/>
        </w:rPr>
        <w:t>awareness</w:t>
      </w:r>
      <w:r>
        <w:rPr>
          <w:b/>
          <w:spacing w:val="-8"/>
          <w:sz w:val="22"/>
        </w:rPr>
        <w:t> </w:t>
      </w:r>
      <w:r>
        <w:rPr>
          <w:b/>
          <w:sz w:val="22"/>
        </w:rPr>
        <w:t>trainings</w:t>
      </w:r>
      <w:r>
        <w:rPr>
          <w:b/>
          <w:spacing w:val="-8"/>
          <w:sz w:val="22"/>
        </w:rPr>
        <w:t> </w:t>
      </w:r>
      <w:r>
        <w:rPr>
          <w:b/>
          <w:sz w:val="22"/>
        </w:rPr>
        <w:t>to</w:t>
      </w:r>
      <w:r>
        <w:rPr>
          <w:b/>
          <w:spacing w:val="-8"/>
          <w:sz w:val="22"/>
        </w:rPr>
        <w:t> </w:t>
      </w:r>
      <w:r>
        <w:rPr>
          <w:b/>
          <w:sz w:val="22"/>
        </w:rPr>
        <w:t>all</w:t>
      </w:r>
      <w:r>
        <w:rPr>
          <w:b/>
          <w:spacing w:val="-7"/>
          <w:sz w:val="22"/>
        </w:rPr>
        <w:t> </w:t>
      </w:r>
      <w:r>
        <w:rPr>
          <w:b/>
          <w:sz w:val="22"/>
        </w:rPr>
        <w:t>EOPSS</w:t>
      </w:r>
      <w:r>
        <w:rPr>
          <w:b/>
          <w:spacing w:val="-8"/>
          <w:sz w:val="22"/>
        </w:rPr>
        <w:t> </w:t>
      </w:r>
      <w:r>
        <w:rPr>
          <w:b/>
          <w:sz w:val="22"/>
        </w:rPr>
        <w:t>agency</w:t>
      </w:r>
      <w:r>
        <w:rPr>
          <w:b/>
          <w:spacing w:val="-7"/>
          <w:sz w:val="22"/>
        </w:rPr>
        <w:t> </w:t>
      </w:r>
      <w:r>
        <w:rPr>
          <w:b/>
          <w:sz w:val="22"/>
        </w:rPr>
        <w:t>staff</w:t>
      </w:r>
      <w:r>
        <w:rPr>
          <w:b/>
          <w:spacing w:val="-9"/>
          <w:sz w:val="22"/>
        </w:rPr>
        <w:t> </w:t>
      </w:r>
      <w:r>
        <w:rPr>
          <w:b/>
          <w:sz w:val="22"/>
        </w:rPr>
        <w:t>and</w:t>
      </w:r>
      <w:r>
        <w:rPr>
          <w:b/>
          <w:spacing w:val="-7"/>
          <w:sz w:val="22"/>
        </w:rPr>
        <w:t> </w:t>
      </w:r>
      <w:r>
        <w:rPr>
          <w:b/>
          <w:spacing w:val="-2"/>
          <w:sz w:val="22"/>
        </w:rPr>
        <w:t>providers.</w:t>
      </w:r>
    </w:p>
    <w:p>
      <w:pPr>
        <w:pStyle w:val="BodyText"/>
        <w:spacing w:before="11"/>
        <w:rPr>
          <w:b/>
        </w:rPr>
      </w:pPr>
    </w:p>
    <w:p>
      <w:pPr>
        <w:pStyle w:val="BodyText"/>
        <w:spacing w:line="276" w:lineRule="auto"/>
        <w:ind w:left="478" w:right="139"/>
        <w:jc w:val="both"/>
      </w:pPr>
      <w:r>
        <w:rPr/>
        <w:t>For</w:t>
      </w:r>
      <w:r>
        <w:rPr>
          <w:spacing w:val="-2"/>
        </w:rPr>
        <w:t> </w:t>
      </w:r>
      <w:r>
        <w:rPr/>
        <w:t>several</w:t>
      </w:r>
      <w:r>
        <w:rPr>
          <w:spacing w:val="-2"/>
        </w:rPr>
        <w:t> </w:t>
      </w:r>
      <w:r>
        <w:rPr/>
        <w:t>years,</w:t>
      </w:r>
      <w:r>
        <w:rPr>
          <w:spacing w:val="-2"/>
        </w:rPr>
        <w:t> </w:t>
      </w:r>
      <w:r>
        <w:rPr/>
        <w:t>the</w:t>
      </w:r>
      <w:r>
        <w:rPr>
          <w:spacing w:val="-1"/>
        </w:rPr>
        <w:t> </w:t>
      </w:r>
      <w:r>
        <w:rPr/>
        <w:t>Commission</w:t>
      </w:r>
      <w:r>
        <w:rPr>
          <w:spacing w:val="-1"/>
        </w:rPr>
        <w:t> </w:t>
      </w:r>
      <w:r>
        <w:rPr/>
        <w:t>has</w:t>
      </w:r>
      <w:r>
        <w:rPr>
          <w:spacing w:val="-2"/>
        </w:rPr>
        <w:t> </w:t>
      </w:r>
      <w:r>
        <w:rPr/>
        <w:t>been</w:t>
      </w:r>
      <w:r>
        <w:rPr>
          <w:spacing w:val="-1"/>
        </w:rPr>
        <w:t> </w:t>
      </w:r>
      <w:r>
        <w:rPr/>
        <w:t>engaged</w:t>
      </w:r>
      <w:r>
        <w:rPr>
          <w:spacing w:val="-2"/>
        </w:rPr>
        <w:t> </w:t>
      </w:r>
      <w:r>
        <w:rPr/>
        <w:t>in conversations</w:t>
      </w:r>
      <w:r>
        <w:rPr>
          <w:spacing w:val="-1"/>
        </w:rPr>
        <w:t> </w:t>
      </w:r>
      <w:r>
        <w:rPr/>
        <w:t>with</w:t>
      </w:r>
      <w:r>
        <w:rPr>
          <w:spacing w:val="-1"/>
        </w:rPr>
        <w:t> </w:t>
      </w:r>
      <w:r>
        <w:rPr/>
        <w:t>EOPSS</w:t>
      </w:r>
      <w:r>
        <w:rPr>
          <w:spacing w:val="-2"/>
        </w:rPr>
        <w:t> </w:t>
      </w:r>
      <w:r>
        <w:rPr/>
        <w:t>around providing</w:t>
      </w:r>
      <w:r>
        <w:rPr>
          <w:spacing w:val="-2"/>
        </w:rPr>
        <w:t> </w:t>
      </w:r>
      <w:r>
        <w:rPr/>
        <w:t>LGBTQ cultural awareness trainings, and identified MPTC, DOC, the State Police, and the Massachusetts National Guard</w:t>
      </w:r>
      <w:r>
        <w:rPr>
          <w:spacing w:val="-6"/>
        </w:rPr>
        <w:t> </w:t>
      </w:r>
      <w:r>
        <w:rPr/>
        <w:t>as</w:t>
      </w:r>
      <w:r>
        <w:rPr>
          <w:spacing w:val="-6"/>
        </w:rPr>
        <w:t> </w:t>
      </w:r>
      <w:r>
        <w:rPr/>
        <w:t>key</w:t>
      </w:r>
      <w:r>
        <w:rPr>
          <w:spacing w:val="-4"/>
        </w:rPr>
        <w:t> </w:t>
      </w:r>
      <w:r>
        <w:rPr/>
        <w:t>agencies</w:t>
      </w:r>
      <w:r>
        <w:rPr>
          <w:spacing w:val="-5"/>
        </w:rPr>
        <w:t> </w:t>
      </w:r>
      <w:r>
        <w:rPr/>
        <w:t>to</w:t>
      </w:r>
      <w:r>
        <w:rPr>
          <w:spacing w:val="-5"/>
        </w:rPr>
        <w:t> </w:t>
      </w:r>
      <w:r>
        <w:rPr/>
        <w:t>begin</w:t>
      </w:r>
      <w:r>
        <w:rPr>
          <w:spacing w:val="-6"/>
        </w:rPr>
        <w:t> </w:t>
      </w:r>
      <w:r>
        <w:rPr/>
        <w:t>this</w:t>
      </w:r>
      <w:r>
        <w:rPr>
          <w:spacing w:val="-5"/>
        </w:rPr>
        <w:t> </w:t>
      </w:r>
      <w:r>
        <w:rPr/>
        <w:t>process</w:t>
      </w:r>
      <w:r>
        <w:rPr>
          <w:spacing w:val="-6"/>
        </w:rPr>
        <w:t> </w:t>
      </w:r>
      <w:r>
        <w:rPr/>
        <w:t>with.</w:t>
      </w:r>
      <w:r>
        <w:rPr>
          <w:spacing w:val="-6"/>
        </w:rPr>
        <w:t> </w:t>
      </w:r>
      <w:r>
        <w:rPr/>
        <w:t>In</w:t>
      </w:r>
      <w:r>
        <w:rPr>
          <w:spacing w:val="-6"/>
        </w:rPr>
        <w:t> </w:t>
      </w:r>
      <w:r>
        <w:rPr/>
        <w:t>FY</w:t>
      </w:r>
      <w:r>
        <w:rPr>
          <w:spacing w:val="-7"/>
        </w:rPr>
        <w:t> </w:t>
      </w:r>
      <w:r>
        <w:rPr/>
        <w:t>2024,</w:t>
      </w:r>
      <w:r>
        <w:rPr>
          <w:spacing w:val="-6"/>
        </w:rPr>
        <w:t> </w:t>
      </w:r>
      <w:r>
        <w:rPr/>
        <w:t>the</w:t>
      </w:r>
      <w:r>
        <w:rPr>
          <w:spacing w:val="-7"/>
        </w:rPr>
        <w:t> </w:t>
      </w:r>
      <w:r>
        <w:rPr/>
        <w:t>Commission</w:t>
      </w:r>
      <w:r>
        <w:rPr>
          <w:spacing w:val="-7"/>
        </w:rPr>
        <w:t> </w:t>
      </w:r>
      <w:r>
        <w:rPr/>
        <w:t>received</w:t>
      </w:r>
      <w:r>
        <w:rPr>
          <w:spacing w:val="-6"/>
        </w:rPr>
        <w:t> </w:t>
      </w:r>
      <w:r>
        <w:rPr/>
        <w:t>connections</w:t>
      </w:r>
      <w:r>
        <w:rPr>
          <w:spacing w:val="-5"/>
        </w:rPr>
        <w:t> </w:t>
      </w:r>
      <w:r>
        <w:rPr/>
        <w:t>to</w:t>
      </w:r>
      <w:r>
        <w:rPr>
          <w:spacing w:val="-6"/>
        </w:rPr>
        <w:t> </w:t>
      </w:r>
      <w:r>
        <w:rPr/>
        <w:t>many of these agencies, and had the opportunity to work with DOC staff to present a train-the-trainer series in fall</w:t>
      </w:r>
      <w:r>
        <w:rPr>
          <w:spacing w:val="-4"/>
        </w:rPr>
        <w:t> </w:t>
      </w:r>
      <w:r>
        <w:rPr/>
        <w:t>2024.</w:t>
      </w:r>
      <w:r>
        <w:rPr>
          <w:spacing w:val="-4"/>
        </w:rPr>
        <w:t> </w:t>
      </w:r>
      <w:r>
        <w:rPr/>
        <w:t>The</w:t>
      </w:r>
      <w:r>
        <w:rPr>
          <w:spacing w:val="-3"/>
        </w:rPr>
        <w:t> </w:t>
      </w:r>
      <w:r>
        <w:rPr/>
        <w:t>Commission</w:t>
      </w:r>
      <w:r>
        <w:rPr>
          <w:spacing w:val="-4"/>
        </w:rPr>
        <w:t> </w:t>
      </w:r>
      <w:r>
        <w:rPr/>
        <w:t>looks</w:t>
      </w:r>
      <w:r>
        <w:rPr>
          <w:spacing w:val="-4"/>
        </w:rPr>
        <w:t> </w:t>
      </w:r>
      <w:r>
        <w:rPr/>
        <w:t>forward</w:t>
      </w:r>
      <w:r>
        <w:rPr>
          <w:spacing w:val="-4"/>
        </w:rPr>
        <w:t> </w:t>
      </w:r>
      <w:r>
        <w:rPr/>
        <w:t>to</w:t>
      </w:r>
      <w:r>
        <w:rPr>
          <w:spacing w:val="-3"/>
        </w:rPr>
        <w:t> </w:t>
      </w:r>
      <w:r>
        <w:rPr/>
        <w:t>continuing</w:t>
      </w:r>
      <w:r>
        <w:rPr>
          <w:spacing w:val="-4"/>
        </w:rPr>
        <w:t> </w:t>
      </w:r>
      <w:r>
        <w:rPr/>
        <w:t>to</w:t>
      </w:r>
      <w:r>
        <w:rPr>
          <w:spacing w:val="-3"/>
        </w:rPr>
        <w:t> </w:t>
      </w:r>
      <w:r>
        <w:rPr/>
        <w:t>expand</w:t>
      </w:r>
      <w:r>
        <w:rPr>
          <w:spacing w:val="-3"/>
        </w:rPr>
        <w:t> </w:t>
      </w:r>
      <w:r>
        <w:rPr/>
        <w:t>upon</w:t>
      </w:r>
      <w:r>
        <w:rPr>
          <w:spacing w:val="-4"/>
        </w:rPr>
        <w:t> </w:t>
      </w:r>
      <w:r>
        <w:rPr/>
        <w:t>its</w:t>
      </w:r>
      <w:r>
        <w:rPr>
          <w:spacing w:val="-4"/>
        </w:rPr>
        <w:t> </w:t>
      </w:r>
      <w:r>
        <w:rPr/>
        <w:t>training</w:t>
      </w:r>
      <w:r>
        <w:rPr>
          <w:spacing w:val="-4"/>
        </w:rPr>
        <w:t> </w:t>
      </w:r>
      <w:r>
        <w:rPr/>
        <w:t>partnerships</w:t>
      </w:r>
      <w:r>
        <w:rPr>
          <w:spacing w:val="-4"/>
        </w:rPr>
        <w:t> </w:t>
      </w:r>
      <w:r>
        <w:rPr/>
        <w:t>with</w:t>
      </w:r>
      <w:r>
        <w:rPr>
          <w:spacing w:val="-4"/>
        </w:rPr>
        <w:t> </w:t>
      </w:r>
      <w:r>
        <w:rPr/>
        <w:t>EOPSS agencies in FY 2025.</w:t>
      </w:r>
    </w:p>
    <w:p>
      <w:pPr>
        <w:pStyle w:val="BodyText"/>
      </w:pPr>
    </w:p>
    <w:p>
      <w:pPr>
        <w:pStyle w:val="BodyText"/>
        <w:spacing w:before="238"/>
      </w:pPr>
    </w:p>
    <w:p>
      <w:pPr>
        <w:spacing w:before="0"/>
        <w:ind w:left="478" w:right="0" w:firstLine="0"/>
        <w:jc w:val="both"/>
        <w:rPr>
          <w:i/>
          <w:sz w:val="21"/>
        </w:rPr>
      </w:pPr>
      <w:r>
        <w:rPr>
          <w:i/>
          <w:sz w:val="21"/>
        </w:rPr>
        <w:t>Acknowledgments:</w:t>
      </w:r>
      <w:r>
        <w:rPr>
          <w:i/>
          <w:spacing w:val="-3"/>
          <w:sz w:val="21"/>
        </w:rPr>
        <w:t> </w:t>
      </w:r>
      <w:r>
        <w:rPr>
          <w:i/>
          <w:sz w:val="21"/>
        </w:rPr>
        <w:t>The</w:t>
      </w:r>
      <w:r>
        <w:rPr>
          <w:i/>
          <w:spacing w:val="-3"/>
          <w:sz w:val="21"/>
        </w:rPr>
        <w:t> </w:t>
      </w:r>
      <w:r>
        <w:rPr>
          <w:i/>
          <w:sz w:val="21"/>
        </w:rPr>
        <w:t>Commission</w:t>
      </w:r>
      <w:r>
        <w:rPr>
          <w:i/>
          <w:spacing w:val="-3"/>
          <w:sz w:val="21"/>
        </w:rPr>
        <w:t> </w:t>
      </w:r>
      <w:r>
        <w:rPr>
          <w:i/>
          <w:sz w:val="21"/>
        </w:rPr>
        <w:t>thanks</w:t>
      </w:r>
      <w:r>
        <w:rPr>
          <w:i/>
          <w:spacing w:val="-3"/>
          <w:sz w:val="21"/>
        </w:rPr>
        <w:t> </w:t>
      </w:r>
      <w:r>
        <w:rPr>
          <w:i/>
          <w:sz w:val="21"/>
        </w:rPr>
        <w:t>its</w:t>
      </w:r>
      <w:r>
        <w:rPr>
          <w:i/>
          <w:spacing w:val="-3"/>
          <w:sz w:val="21"/>
        </w:rPr>
        <w:t> </w:t>
      </w:r>
      <w:r>
        <w:rPr>
          <w:i/>
          <w:sz w:val="21"/>
        </w:rPr>
        <w:t>EOPSS</w:t>
      </w:r>
      <w:r>
        <w:rPr>
          <w:i/>
          <w:spacing w:val="-3"/>
          <w:sz w:val="21"/>
        </w:rPr>
        <w:t> </w:t>
      </w:r>
      <w:r>
        <w:rPr>
          <w:i/>
          <w:sz w:val="21"/>
        </w:rPr>
        <w:t>agency</w:t>
      </w:r>
      <w:r>
        <w:rPr>
          <w:i/>
          <w:spacing w:val="-2"/>
          <w:sz w:val="21"/>
        </w:rPr>
        <w:t> </w:t>
      </w:r>
      <w:r>
        <w:rPr>
          <w:i/>
          <w:sz w:val="21"/>
        </w:rPr>
        <w:t>staff</w:t>
      </w:r>
      <w:r>
        <w:rPr>
          <w:i/>
          <w:spacing w:val="-3"/>
          <w:sz w:val="21"/>
        </w:rPr>
        <w:t> </w:t>
      </w:r>
      <w:r>
        <w:rPr>
          <w:i/>
          <w:spacing w:val="-2"/>
          <w:sz w:val="21"/>
        </w:rPr>
        <w:t>liaisons.</w:t>
      </w:r>
    </w:p>
    <w:p>
      <w:pPr>
        <w:spacing w:after="0"/>
        <w:jc w:val="both"/>
        <w:rPr>
          <w:sz w:val="21"/>
        </w:rPr>
        <w:sectPr>
          <w:pgSz w:w="12240" w:h="15840"/>
          <w:pgMar w:header="804" w:footer="1188" w:top="1000" w:bottom="1460" w:left="960" w:right="1100"/>
        </w:sectPr>
      </w:pPr>
    </w:p>
    <w:p>
      <w:pPr>
        <w:pStyle w:val="BodyText"/>
        <w:rPr>
          <w:i/>
          <w:sz w:val="20"/>
        </w:rPr>
      </w:pPr>
    </w:p>
    <w:p>
      <w:pPr>
        <w:pStyle w:val="BodyText"/>
        <w:spacing w:before="89"/>
        <w:rPr>
          <w:i/>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60" name="Group 660"/>
                <wp:cNvGraphicFramePr>
                  <a:graphicFrameLocks/>
                </wp:cNvGraphicFramePr>
                <a:graphic>
                  <a:graphicData uri="http://schemas.microsoft.com/office/word/2010/wordprocessingGroup">
                    <wpg:wgp>
                      <wpg:cNvPr id="660" name="Group 660"/>
                      <wpg:cNvGrpSpPr/>
                      <wpg:grpSpPr>
                        <a:xfrm>
                          <a:off x="0" y="0"/>
                          <a:ext cx="6350" cy="12700"/>
                          <a:chExt cx="6350" cy="12700"/>
                        </a:xfrm>
                      </wpg:grpSpPr>
                      <wps:wsp>
                        <wps:cNvPr id="661" name="Graphic 661"/>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57" coordorigin="0,0" coordsize="10,20">
                <v:rect style="position:absolute;left:0;top:0;width:10;height:20" id="docshape558" filled="true" fillcolor="#4f81bb" stroked="false">
                  <v:fill type="solid"/>
                </v:rect>
              </v:group>
            </w:pict>
          </mc:Fallback>
        </mc:AlternateContent>
      </w:r>
      <w:r>
        <w:rPr>
          <w:sz w:val="2"/>
        </w:rPr>
      </w:r>
    </w:p>
    <w:p>
      <w:pPr>
        <w:pStyle w:val="Heading7"/>
      </w:pPr>
      <w:bookmarkStart w:name="_bookmark645" w:id="952"/>
      <w:bookmarkEnd w:id="952"/>
      <w:r>
        <w:rPr/>
      </w:r>
      <w:hyperlink w:history="true" w:anchor="_bookmark7">
        <w:r>
          <w:rPr>
            <w:color w:val="365F91"/>
            <w:spacing w:val="-8"/>
          </w:rPr>
          <w:t>Executive</w:t>
        </w:r>
        <w:r>
          <w:rPr>
            <w:color w:val="365F91"/>
            <w:spacing w:val="-14"/>
          </w:rPr>
          <w:t> </w:t>
        </w:r>
        <w:r>
          <w:rPr>
            <w:color w:val="365F91"/>
            <w:spacing w:val="-8"/>
          </w:rPr>
          <w:t>Office</w:t>
        </w:r>
        <w:r>
          <w:rPr>
            <w:color w:val="365F91"/>
            <w:spacing w:val="-13"/>
          </w:rPr>
          <w:t> </w:t>
        </w:r>
        <w:r>
          <w:rPr>
            <w:color w:val="365F91"/>
            <w:spacing w:val="-8"/>
          </w:rPr>
          <w:t>of</w:t>
        </w:r>
        <w:r>
          <w:rPr>
            <w:color w:val="365F91"/>
            <w:spacing w:val="-13"/>
          </w:rPr>
          <w:t> </w:t>
        </w:r>
        <w:r>
          <w:rPr>
            <w:color w:val="365F91"/>
            <w:spacing w:val="-8"/>
          </w:rPr>
          <w:t>Housing</w:t>
        </w:r>
        <w:r>
          <w:rPr>
            <w:color w:val="365F91"/>
            <w:spacing w:val="-13"/>
          </w:rPr>
          <w:t> </w:t>
        </w:r>
        <w:r>
          <w:rPr>
            <w:color w:val="365F91"/>
            <w:spacing w:val="-8"/>
          </w:rPr>
          <w:t>and</w:t>
        </w:r>
        <w:r>
          <w:rPr>
            <w:color w:val="365F91"/>
            <w:spacing w:val="-13"/>
          </w:rPr>
          <w:t> </w:t>
        </w:r>
        <w:r>
          <w:rPr>
            <w:color w:val="365F91"/>
            <w:spacing w:val="-8"/>
          </w:rPr>
          <w:t>Livable</w:t>
        </w:r>
        <w:r>
          <w:rPr>
            <w:color w:val="365F91"/>
            <w:spacing w:val="-13"/>
          </w:rPr>
          <w:t> </w:t>
        </w:r>
        <w:r>
          <w:rPr>
            <w:color w:val="365F91"/>
            <w:spacing w:val="-8"/>
          </w:rPr>
          <w:t>Communities</w:t>
        </w:r>
      </w:hyperlink>
    </w:p>
    <w:p>
      <w:pPr>
        <w:pStyle w:val="BodyText"/>
        <w:spacing w:before="145"/>
        <w:rPr>
          <w:sz w:val="20"/>
        </w:rPr>
      </w:pPr>
      <w:r>
        <w:rPr/>
        <mc:AlternateContent>
          <mc:Choice Requires="wps">
            <w:drawing>
              <wp:anchor distT="0" distB="0" distL="0" distR="0" allowOverlap="1" layoutInCell="1" locked="0" behindDoc="1" simplePos="0" relativeHeight="487725056">
                <wp:simplePos x="0" y="0"/>
                <wp:positionH relativeFrom="page">
                  <wp:posOffset>889000</wp:posOffset>
                </wp:positionH>
                <wp:positionV relativeFrom="paragraph">
                  <wp:posOffset>262419</wp:posOffset>
                </wp:positionV>
                <wp:extent cx="6350" cy="12700"/>
                <wp:effectExtent l="0" t="0" r="0" b="0"/>
                <wp:wrapTopAndBottom/>
                <wp:docPr id="662" name="Graphic 662"/>
                <wp:cNvGraphicFramePr>
                  <a:graphicFrameLocks/>
                </wp:cNvGraphicFramePr>
                <a:graphic>
                  <a:graphicData uri="http://schemas.microsoft.com/office/word/2010/wordprocessingShape">
                    <wps:wsp>
                      <wps:cNvPr id="662" name="Graphic 662"/>
                      <wps:cNvSpPr/>
                      <wps:spPr>
                        <a:xfrm>
                          <a:off x="0" y="0"/>
                          <a:ext cx="6350" cy="12700"/>
                        </a:xfrm>
                        <a:custGeom>
                          <a:avLst/>
                          <a:gdLst/>
                          <a:ahLst/>
                          <a:cxnLst/>
                          <a:rect l="l" t="t" r="r" b="b"/>
                          <a:pathLst>
                            <a:path w="6350" h="12700">
                              <a:moveTo>
                                <a:pt x="6337" y="0"/>
                              </a:moveTo>
                              <a:lnTo>
                                <a:pt x="0" y="0"/>
                              </a:lnTo>
                              <a:lnTo>
                                <a:pt x="0" y="12179"/>
                              </a:lnTo>
                              <a:lnTo>
                                <a:pt x="6337" y="12179"/>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662937pt;width:.499pt;height:.959pt;mso-position-horizontal-relative:page;mso-position-vertical-relative:paragraph;z-index:-15591424;mso-wrap-distance-left:0;mso-wrap-distance-right:0" id="docshape559" filled="true" fillcolor="#4f81bb" stroked="false">
                <v:fill type="solid"/>
                <w10:wrap type="topAndBottom"/>
              </v:rect>
            </w:pict>
          </mc:Fallback>
        </mc:AlternateContent>
      </w:r>
    </w:p>
    <w:p>
      <w:pPr>
        <w:spacing w:before="0"/>
        <w:ind w:left="483" w:right="0" w:firstLine="0"/>
        <w:jc w:val="left"/>
        <w:rPr>
          <w:sz w:val="28"/>
        </w:rPr>
      </w:pPr>
      <w:r>
        <w:rPr>
          <w:color w:val="365F91"/>
          <w:sz w:val="28"/>
        </w:rPr>
        <w:t>FY2025</w:t>
      </w:r>
      <w:r>
        <w:rPr>
          <w:color w:val="365F91"/>
          <w:spacing w:val="-13"/>
          <w:sz w:val="28"/>
        </w:rPr>
        <w:t> </w:t>
      </w:r>
      <w:r>
        <w:rPr>
          <w:color w:val="365F91"/>
          <w:spacing w:val="-2"/>
          <w:sz w:val="28"/>
        </w:rPr>
        <w:t>Recommendations</w:t>
      </w:r>
    </w:p>
    <w:p>
      <w:pPr>
        <w:pStyle w:val="BodyText"/>
        <w:spacing w:before="11"/>
        <w:rPr>
          <w:sz w:val="3"/>
        </w:rPr>
      </w:pPr>
      <w:r>
        <w:rPr/>
        <mc:AlternateContent>
          <mc:Choice Requires="wps">
            <w:drawing>
              <wp:anchor distT="0" distB="0" distL="0" distR="0" allowOverlap="1" layoutInCell="1" locked="0" behindDoc="1" simplePos="0" relativeHeight="487725568">
                <wp:simplePos x="0" y="0"/>
                <wp:positionH relativeFrom="page">
                  <wp:posOffset>897636</wp:posOffset>
                </wp:positionH>
                <wp:positionV relativeFrom="paragraph">
                  <wp:posOffset>45645</wp:posOffset>
                </wp:positionV>
                <wp:extent cx="5976620" cy="6350"/>
                <wp:effectExtent l="0" t="0" r="0" b="0"/>
                <wp:wrapTopAndBottom/>
                <wp:docPr id="663" name="Graphic 663"/>
                <wp:cNvGraphicFramePr>
                  <a:graphicFrameLocks/>
                </wp:cNvGraphicFramePr>
                <a:graphic>
                  <a:graphicData uri="http://schemas.microsoft.com/office/word/2010/wordprocessingShape">
                    <wps:wsp>
                      <wps:cNvPr id="663" name="Graphic 663"/>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94156pt;width:470.58pt;height:.48pt;mso-position-horizontal-relative:page;mso-position-vertical-relative:paragraph;z-index:-15590912;mso-wrap-distance-left:0;mso-wrap-distance-right:0" id="docshape560" filled="true" fillcolor="#4f81bc" stroked="false">
                <v:fill type="solid"/>
                <w10:wrap type="topAndBottom"/>
              </v:rect>
            </w:pict>
          </mc:Fallback>
        </mc:AlternateContent>
      </w:r>
    </w:p>
    <w:p>
      <w:pPr>
        <w:pStyle w:val="ListParagraph"/>
        <w:numPr>
          <w:ilvl w:val="1"/>
          <w:numId w:val="45"/>
        </w:numPr>
        <w:tabs>
          <w:tab w:pos="1418" w:val="left" w:leader="none"/>
        </w:tabs>
        <w:spacing w:line="240" w:lineRule="auto" w:before="241" w:after="0"/>
        <w:ind w:left="1418" w:right="0" w:hanging="359"/>
        <w:jc w:val="both"/>
        <w:rPr>
          <w:sz w:val="22"/>
        </w:rPr>
      </w:pPr>
      <w:r>
        <w:rPr>
          <w:sz w:val="22"/>
        </w:rPr>
        <w:t>Develop</w:t>
      </w:r>
      <w:r>
        <w:rPr>
          <w:spacing w:val="-12"/>
          <w:sz w:val="22"/>
        </w:rPr>
        <w:t> </w:t>
      </w:r>
      <w:r>
        <w:rPr>
          <w:sz w:val="22"/>
        </w:rPr>
        <w:t>and</w:t>
      </w:r>
      <w:r>
        <w:rPr>
          <w:spacing w:val="-12"/>
          <w:sz w:val="22"/>
        </w:rPr>
        <w:t> </w:t>
      </w:r>
      <w:r>
        <w:rPr>
          <w:sz w:val="22"/>
        </w:rPr>
        <w:t>implement</w:t>
      </w:r>
      <w:r>
        <w:rPr>
          <w:spacing w:val="-10"/>
          <w:sz w:val="22"/>
        </w:rPr>
        <w:t> </w:t>
      </w:r>
      <w:r>
        <w:rPr>
          <w:sz w:val="22"/>
        </w:rPr>
        <w:t>an</w:t>
      </w:r>
      <w:r>
        <w:rPr>
          <w:spacing w:val="-11"/>
          <w:sz w:val="22"/>
        </w:rPr>
        <w:t> </w:t>
      </w:r>
      <w:r>
        <w:rPr>
          <w:sz w:val="22"/>
        </w:rPr>
        <w:t>agency-wide</w:t>
      </w:r>
      <w:r>
        <w:rPr>
          <w:spacing w:val="-10"/>
          <w:sz w:val="22"/>
        </w:rPr>
        <w:t> </w:t>
      </w:r>
      <w:r>
        <w:rPr>
          <w:sz w:val="22"/>
        </w:rPr>
        <w:t>nondiscrimination</w:t>
      </w:r>
      <w:r>
        <w:rPr>
          <w:spacing w:val="-12"/>
          <w:sz w:val="22"/>
        </w:rPr>
        <w:t> </w:t>
      </w:r>
      <w:r>
        <w:rPr>
          <w:spacing w:val="-2"/>
          <w:sz w:val="22"/>
        </w:rPr>
        <w:t>policy.</w:t>
      </w:r>
    </w:p>
    <w:p>
      <w:pPr>
        <w:pStyle w:val="ListParagraph"/>
        <w:numPr>
          <w:ilvl w:val="1"/>
          <w:numId w:val="45"/>
        </w:numPr>
        <w:tabs>
          <w:tab w:pos="1419" w:val="left" w:leader="none"/>
        </w:tabs>
        <w:spacing w:line="276" w:lineRule="auto" w:before="40" w:after="0"/>
        <w:ind w:left="1419" w:right="341" w:hanging="360"/>
        <w:jc w:val="both"/>
        <w:rPr>
          <w:sz w:val="21"/>
        </w:rPr>
      </w:pPr>
      <w:r>
        <w:rPr>
          <w:sz w:val="21"/>
        </w:rPr>
        <w:t>Develop and execute a plan to canvass shelters across the state and report out on internal policy and practice to support trans and nonbinary clients.</w:t>
      </w:r>
    </w:p>
    <w:p>
      <w:pPr>
        <w:pStyle w:val="ListParagraph"/>
        <w:numPr>
          <w:ilvl w:val="1"/>
          <w:numId w:val="45"/>
        </w:numPr>
        <w:tabs>
          <w:tab w:pos="1419" w:val="left" w:leader="none"/>
        </w:tabs>
        <w:spacing w:line="276" w:lineRule="auto" w:before="0" w:after="0"/>
        <w:ind w:left="1419" w:right="341" w:hanging="360"/>
        <w:jc w:val="both"/>
        <w:rPr>
          <w:sz w:val="21"/>
        </w:rPr>
      </w:pPr>
      <w:r>
        <w:rPr>
          <w:sz w:val="21"/>
        </w:rPr>
        <w:t>Improve interagency collaboration to support LGBTQ youth experiencing homelessness, with particular attention to supporting LGBTQ immigrant youth and youth transitioning out of the child welfare system.</w:t>
      </w:r>
    </w:p>
    <w:p>
      <w:pPr>
        <w:pStyle w:val="ListParagraph"/>
        <w:numPr>
          <w:ilvl w:val="1"/>
          <w:numId w:val="45"/>
        </w:numPr>
        <w:tabs>
          <w:tab w:pos="1419" w:val="left" w:leader="none"/>
        </w:tabs>
        <w:spacing w:line="276" w:lineRule="auto" w:before="0" w:after="0"/>
        <w:ind w:left="1419" w:right="342" w:hanging="360"/>
        <w:jc w:val="both"/>
        <w:rPr>
          <w:sz w:val="21"/>
        </w:rPr>
      </w:pPr>
      <w:r>
        <w:rPr>
          <w:sz w:val="21"/>
        </w:rPr>
        <w:t>Investigate with Continuums of Care and community providers to ensure that youth can travel between CoCs without facing systemic barriers to accessing appropriate housing services.</w:t>
      </w:r>
    </w:p>
    <w:p>
      <w:pPr>
        <w:pStyle w:val="ListParagraph"/>
        <w:numPr>
          <w:ilvl w:val="1"/>
          <w:numId w:val="45"/>
        </w:numPr>
        <w:tabs>
          <w:tab w:pos="1419" w:val="left" w:leader="none"/>
        </w:tabs>
        <w:spacing w:line="276" w:lineRule="auto" w:before="1" w:after="0"/>
        <w:ind w:left="1419" w:right="343" w:hanging="360"/>
        <w:jc w:val="both"/>
        <w:rPr>
          <w:sz w:val="22"/>
        </w:rPr>
      </w:pPr>
      <w:r>
        <w:rPr>
          <w:sz w:val="22"/>
        </w:rPr>
        <w:t>Explore ways to encourage the development and funding of LGBTQ-specific and safe shelters for youth, and alternative ways to address the housing crisis for youth.</w:t>
      </w:r>
    </w:p>
    <w:p>
      <w:pPr>
        <w:pStyle w:val="ListParagraph"/>
        <w:numPr>
          <w:ilvl w:val="1"/>
          <w:numId w:val="45"/>
        </w:numPr>
        <w:tabs>
          <w:tab w:pos="1417" w:val="left" w:leader="none"/>
          <w:tab w:pos="1419" w:val="left" w:leader="none"/>
        </w:tabs>
        <w:spacing w:line="276" w:lineRule="auto" w:before="0" w:after="0"/>
        <w:ind w:left="1419" w:right="343" w:hanging="361"/>
        <w:jc w:val="both"/>
        <w:rPr>
          <w:sz w:val="22"/>
        </w:rPr>
      </w:pPr>
      <w:r>
        <w:rPr>
          <w:sz w:val="22"/>
        </w:rPr>
        <w:t>Provide LGBTQ cultural engagement and racial equity trainings for </w:t>
      </w:r>
      <w:r>
        <w:rPr>
          <w:sz w:val="21"/>
        </w:rPr>
        <w:t>EOHLC </w:t>
      </w:r>
      <w:r>
        <w:rPr>
          <w:sz w:val="22"/>
        </w:rPr>
        <w:t>employees and shelter providers.</w:t>
      </w:r>
    </w:p>
    <w:p>
      <w:pPr>
        <w:pStyle w:val="BodyText"/>
        <w:spacing w:before="70"/>
        <w:rPr>
          <w:sz w:val="20"/>
        </w:rPr>
      </w:pPr>
      <w:r>
        <w:rPr/>
        <mc:AlternateContent>
          <mc:Choice Requires="wps">
            <w:drawing>
              <wp:anchor distT="0" distB="0" distL="0" distR="0" allowOverlap="1" layoutInCell="1" locked="0" behindDoc="1" simplePos="0" relativeHeight="487726080">
                <wp:simplePos x="0" y="0"/>
                <wp:positionH relativeFrom="page">
                  <wp:posOffset>889000</wp:posOffset>
                </wp:positionH>
                <wp:positionV relativeFrom="paragraph">
                  <wp:posOffset>215173</wp:posOffset>
                </wp:positionV>
                <wp:extent cx="6350" cy="12700"/>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942757pt;width:.499pt;height:.962pt;mso-position-horizontal-relative:page;mso-position-vertical-relative:paragraph;z-index:-15590400;mso-wrap-distance-left:0;mso-wrap-distance-right:0" id="docshape561" filled="true" fillcolor="#4f81bb" stroked="false">
                <v:fill type="solid"/>
                <w10:wrap type="topAndBottom"/>
              </v:rect>
            </w:pict>
          </mc:Fallback>
        </mc:AlternateContent>
      </w:r>
    </w:p>
    <w:p>
      <w:pPr>
        <w:spacing w:before="0"/>
        <w:ind w:left="339" w:right="0" w:firstLine="0"/>
        <w:jc w:val="left"/>
        <w:rPr>
          <w:sz w:val="28"/>
        </w:rPr>
      </w:pP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726592">
                <wp:simplePos x="0" y="0"/>
                <wp:positionH relativeFrom="page">
                  <wp:posOffset>806195</wp:posOffset>
                </wp:positionH>
                <wp:positionV relativeFrom="paragraph">
                  <wp:posOffset>45582</wp:posOffset>
                </wp:positionV>
                <wp:extent cx="6068060" cy="635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6068060" cy="6350"/>
                        </a:xfrm>
                        <a:custGeom>
                          <a:avLst/>
                          <a:gdLst/>
                          <a:ahLst/>
                          <a:cxnLst/>
                          <a:rect l="l" t="t" r="r" b="b"/>
                          <a:pathLst>
                            <a:path w="6068060" h="6350">
                              <a:moveTo>
                                <a:pt x="6067806" y="0"/>
                              </a:moveTo>
                              <a:lnTo>
                                <a:pt x="0" y="0"/>
                              </a:lnTo>
                              <a:lnTo>
                                <a:pt x="0" y="6108"/>
                              </a:lnTo>
                              <a:lnTo>
                                <a:pt x="6067806" y="6108"/>
                              </a:lnTo>
                              <a:lnTo>
                                <a:pt x="606780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48pt;margin-top:3.589156pt;width:477.78pt;height:.481pt;mso-position-horizontal-relative:page;mso-position-vertical-relative:paragraph;z-index:-15589888;mso-wrap-distance-left:0;mso-wrap-distance-right:0" id="docshape562" filled="true" fillcolor="#4f81bc" stroked="false">
                <v:fill type="solid"/>
                <w10:wrap type="topAndBottom"/>
              </v:rect>
            </w:pict>
          </mc:Fallback>
        </mc:AlternateContent>
      </w:r>
    </w:p>
    <w:p>
      <w:pPr>
        <w:spacing w:line="276" w:lineRule="auto" w:before="241"/>
        <w:ind w:left="483" w:right="341" w:firstLine="0"/>
        <w:jc w:val="both"/>
        <w:rPr>
          <w:sz w:val="21"/>
        </w:rPr>
      </w:pPr>
      <w:r>
        <w:rPr>
          <w:sz w:val="22"/>
        </w:rPr>
        <w:t>The newly-elevated Executive Office of Housing and Livable Communities was established in 2023 (elevating </w:t>
      </w:r>
      <w:r>
        <w:rPr>
          <w:sz w:val="21"/>
        </w:rPr>
        <w:t>the Department of Housing and Community Development to a secretariat) to create more homes and lower housing costs for Massachusetts residents. Through this work, EOHLC also distributes funding to municipalities, oversees the state-aided public housing portfolio, and operates the state’s Emergency Family Shelter (EA) program. For years, Massachusetts LGBTQ youth and young adults have often named housing access as their number one priority.</w:t>
      </w:r>
    </w:p>
    <w:p>
      <w:pPr>
        <w:pStyle w:val="BodyText"/>
        <w:spacing w:line="276" w:lineRule="auto" w:before="240"/>
        <w:ind w:left="483" w:right="340"/>
        <w:jc w:val="both"/>
        <w:rPr>
          <w:sz w:val="21"/>
        </w:rPr>
      </w:pPr>
      <w:r>
        <w:rPr/>
        <w:t>2022 Massachusetts Youth Count noted that 30% of unaccompanied youth respondents identified as LGBTQ, and 5.6% identified as transgender, nonbinary, or Two-Spirit. Of these youth, 52.9% reported being in a shelter the night before, 35.1% couch-surfing, and 12% being unsheltered</w:t>
      </w:r>
      <w:hyperlink w:history="true" w:anchor="_bookmark646">
        <w:r>
          <w:rPr/>
          <w:t>.</w:t>
        </w:r>
        <w:r>
          <w:rPr>
            <w:vertAlign w:val="superscript"/>
          </w:rPr>
          <w:t>i</w:t>
        </w:r>
      </w:hyperlink>
      <w:r>
        <w:rPr>
          <w:vertAlign w:val="baseline"/>
        </w:rPr>
        <w:t> This data clearly indicates the critical need of LGBTQ-affirming services for youth experiencing homelessness or housing instability</w:t>
      </w:r>
      <w:r>
        <w:rPr>
          <w:spacing w:val="-11"/>
          <w:vertAlign w:val="baseline"/>
        </w:rPr>
        <w:t> </w:t>
      </w:r>
      <w:r>
        <w:rPr>
          <w:vertAlign w:val="baseline"/>
        </w:rPr>
        <w:t>in</w:t>
      </w:r>
      <w:r>
        <w:rPr>
          <w:spacing w:val="-11"/>
          <w:vertAlign w:val="baseline"/>
        </w:rPr>
        <w:t> </w:t>
      </w:r>
      <w:r>
        <w:rPr>
          <w:vertAlign w:val="baseline"/>
        </w:rPr>
        <w:t>the</w:t>
      </w:r>
      <w:r>
        <w:rPr>
          <w:spacing w:val="-11"/>
          <w:vertAlign w:val="baseline"/>
        </w:rPr>
        <w:t> </w:t>
      </w:r>
      <w:r>
        <w:rPr>
          <w:vertAlign w:val="baseline"/>
        </w:rPr>
        <w:t>Commonwealth</w:t>
      </w:r>
      <w:r>
        <w:rPr>
          <w:spacing w:val="-11"/>
          <w:vertAlign w:val="baseline"/>
        </w:rPr>
        <w:t> </w:t>
      </w:r>
      <w:r>
        <w:rPr>
          <w:vertAlign w:val="baseline"/>
        </w:rPr>
        <w:t>for</w:t>
      </w:r>
      <w:r>
        <w:rPr>
          <w:spacing w:val="-11"/>
          <w:vertAlign w:val="baseline"/>
        </w:rPr>
        <w:t> </w:t>
      </w:r>
      <w:r>
        <w:rPr>
          <w:vertAlign w:val="baseline"/>
        </w:rPr>
        <w:t>shelter</w:t>
      </w:r>
      <w:r>
        <w:rPr>
          <w:spacing w:val="-11"/>
          <w:vertAlign w:val="baseline"/>
        </w:rPr>
        <w:t> </w:t>
      </w:r>
      <w:r>
        <w:rPr>
          <w:vertAlign w:val="baseline"/>
        </w:rPr>
        <w:t>spaces</w:t>
      </w:r>
      <w:r>
        <w:rPr>
          <w:spacing w:val="-11"/>
          <w:vertAlign w:val="baseline"/>
        </w:rPr>
        <w:t> </w:t>
      </w:r>
      <w:r>
        <w:rPr>
          <w:vertAlign w:val="baseline"/>
        </w:rPr>
        <w:t>and</w:t>
      </w:r>
      <w:r>
        <w:rPr>
          <w:spacing w:val="-11"/>
          <w:vertAlign w:val="baseline"/>
        </w:rPr>
        <w:t> </w:t>
      </w:r>
      <w:r>
        <w:rPr>
          <w:vertAlign w:val="baseline"/>
        </w:rPr>
        <w:t>housing</w:t>
      </w:r>
      <w:r>
        <w:rPr>
          <w:spacing w:val="-10"/>
          <w:vertAlign w:val="baseline"/>
        </w:rPr>
        <w:t> </w:t>
      </w:r>
      <w:r>
        <w:rPr>
          <w:vertAlign w:val="baseline"/>
        </w:rPr>
        <w:t>services.</w:t>
      </w:r>
      <w:r>
        <w:rPr>
          <w:spacing w:val="-12"/>
          <w:vertAlign w:val="baseline"/>
        </w:rPr>
        <w:t> </w:t>
      </w:r>
      <w:r>
        <w:rPr>
          <w:vertAlign w:val="baseline"/>
        </w:rPr>
        <w:t>Additionally,</w:t>
      </w:r>
      <w:r>
        <w:rPr>
          <w:spacing w:val="-11"/>
          <w:vertAlign w:val="baseline"/>
        </w:rPr>
        <w:t> </w:t>
      </w:r>
      <w:r>
        <w:rPr>
          <w:vertAlign w:val="baseline"/>
        </w:rPr>
        <w:t>homelessness</w:t>
      </w:r>
      <w:r>
        <w:rPr>
          <w:spacing w:val="-11"/>
          <w:vertAlign w:val="baseline"/>
        </w:rPr>
        <w:t> </w:t>
      </w:r>
      <w:r>
        <w:rPr>
          <w:vertAlign w:val="baseline"/>
        </w:rPr>
        <w:t>does not</w:t>
      </w:r>
      <w:r>
        <w:rPr>
          <w:spacing w:val="-12"/>
          <w:vertAlign w:val="baseline"/>
        </w:rPr>
        <w:t> </w:t>
      </w:r>
      <w:r>
        <w:rPr>
          <w:vertAlign w:val="baseline"/>
        </w:rPr>
        <w:t>only</w:t>
      </w:r>
      <w:r>
        <w:rPr>
          <w:spacing w:val="-11"/>
          <w:vertAlign w:val="baseline"/>
        </w:rPr>
        <w:t> </w:t>
      </w:r>
      <w:r>
        <w:rPr>
          <w:vertAlign w:val="baseline"/>
        </w:rPr>
        <w:t>impact</w:t>
      </w:r>
      <w:r>
        <w:rPr>
          <w:spacing w:val="-12"/>
          <w:vertAlign w:val="baseline"/>
        </w:rPr>
        <w:t> </w:t>
      </w:r>
      <w:r>
        <w:rPr>
          <w:vertAlign w:val="baseline"/>
        </w:rPr>
        <w:t>unaccompanied</w:t>
      </w:r>
      <w:r>
        <w:rPr>
          <w:spacing w:val="-11"/>
          <w:vertAlign w:val="baseline"/>
        </w:rPr>
        <w:t> </w:t>
      </w:r>
      <w:r>
        <w:rPr>
          <w:vertAlign w:val="baseline"/>
        </w:rPr>
        <w:t>LGBTQ</w:t>
      </w:r>
      <w:r>
        <w:rPr>
          <w:spacing w:val="-10"/>
          <w:vertAlign w:val="baseline"/>
        </w:rPr>
        <w:t> </w:t>
      </w:r>
      <w:r>
        <w:rPr>
          <w:vertAlign w:val="baseline"/>
        </w:rPr>
        <w:t>youth,</w:t>
      </w:r>
      <w:r>
        <w:rPr>
          <w:spacing w:val="-11"/>
          <w:vertAlign w:val="baseline"/>
        </w:rPr>
        <w:t> </w:t>
      </w:r>
      <w:r>
        <w:rPr>
          <w:vertAlign w:val="baseline"/>
        </w:rPr>
        <w:t>but</w:t>
      </w:r>
      <w:r>
        <w:rPr>
          <w:spacing w:val="-12"/>
          <w:vertAlign w:val="baseline"/>
        </w:rPr>
        <w:t> </w:t>
      </w:r>
      <w:r>
        <w:rPr>
          <w:vertAlign w:val="baseline"/>
        </w:rPr>
        <w:t>also</w:t>
      </w:r>
      <w:r>
        <w:rPr>
          <w:spacing w:val="-11"/>
          <w:vertAlign w:val="baseline"/>
        </w:rPr>
        <w:t> </w:t>
      </w:r>
      <w:r>
        <w:rPr>
          <w:vertAlign w:val="baseline"/>
        </w:rPr>
        <w:t>youth</w:t>
      </w:r>
      <w:r>
        <w:rPr>
          <w:spacing w:val="-12"/>
          <w:vertAlign w:val="baseline"/>
        </w:rPr>
        <w:t> </w:t>
      </w:r>
      <w:r>
        <w:rPr>
          <w:vertAlign w:val="baseline"/>
        </w:rPr>
        <w:t>who</w:t>
      </w:r>
      <w:r>
        <w:rPr>
          <w:spacing w:val="-10"/>
          <w:vertAlign w:val="baseline"/>
        </w:rPr>
        <w:t> </w:t>
      </w:r>
      <w:r>
        <w:rPr>
          <w:vertAlign w:val="baseline"/>
        </w:rPr>
        <w:t>are</w:t>
      </w:r>
      <w:r>
        <w:rPr>
          <w:spacing w:val="-12"/>
          <w:vertAlign w:val="baseline"/>
        </w:rPr>
        <w:t> </w:t>
      </w:r>
      <w:r>
        <w:rPr>
          <w:vertAlign w:val="baseline"/>
        </w:rPr>
        <w:t>living</w:t>
      </w:r>
      <w:r>
        <w:rPr>
          <w:spacing w:val="-12"/>
          <w:vertAlign w:val="baseline"/>
        </w:rPr>
        <w:t> </w:t>
      </w:r>
      <w:r>
        <w:rPr>
          <w:vertAlign w:val="baseline"/>
        </w:rPr>
        <w:t>with</w:t>
      </w:r>
      <w:r>
        <w:rPr>
          <w:spacing w:val="-12"/>
          <w:vertAlign w:val="baseline"/>
        </w:rPr>
        <w:t> </w:t>
      </w:r>
      <w:r>
        <w:rPr>
          <w:vertAlign w:val="baseline"/>
        </w:rPr>
        <w:t>their</w:t>
      </w:r>
      <w:r>
        <w:rPr>
          <w:spacing w:val="-11"/>
          <w:vertAlign w:val="baseline"/>
        </w:rPr>
        <w:t> </w:t>
      </w:r>
      <w:r>
        <w:rPr>
          <w:vertAlign w:val="baseline"/>
        </w:rPr>
        <w:t>families</w:t>
      </w:r>
      <w:r>
        <w:rPr>
          <w:spacing w:val="-11"/>
          <w:vertAlign w:val="baseline"/>
        </w:rPr>
        <w:t> </w:t>
      </w:r>
      <w:r>
        <w:rPr>
          <w:vertAlign w:val="baseline"/>
        </w:rPr>
        <w:t>in</w:t>
      </w:r>
      <w:r>
        <w:rPr>
          <w:spacing w:val="-12"/>
          <w:vertAlign w:val="baseline"/>
        </w:rPr>
        <w:t> </w:t>
      </w:r>
      <w:r>
        <w:rPr>
          <w:vertAlign w:val="baseline"/>
        </w:rPr>
        <w:t>unstable or unsheltered situations. Parents who are struggling to </w:t>
      </w:r>
      <w:r>
        <w:rPr>
          <w:sz w:val="21"/>
          <w:vertAlign w:val="baseline"/>
        </w:rPr>
        <w:t>navigate homelessness or housing instability may be particularly in need of assistance from state agencies or providers in locating resources for their LGBTQ </w:t>
      </w:r>
      <w:r>
        <w:rPr>
          <w:spacing w:val="-2"/>
          <w:sz w:val="21"/>
          <w:vertAlign w:val="baseline"/>
        </w:rPr>
        <w:t>children.</w:t>
      </w:r>
    </w:p>
    <w:p>
      <w:pPr>
        <w:spacing w:before="239"/>
        <w:ind w:left="483" w:right="0" w:firstLine="0"/>
        <w:jc w:val="both"/>
        <w:rPr>
          <w:sz w:val="28"/>
        </w:rPr>
      </w:pPr>
      <w:r>
        <w:rPr>
          <w:color w:val="365F91"/>
          <w:sz w:val="28"/>
        </w:rPr>
        <w:t>Past</w:t>
      </w:r>
      <w:r>
        <w:rPr>
          <w:color w:val="365F91"/>
          <w:spacing w:val="-7"/>
          <w:sz w:val="28"/>
        </w:rPr>
        <w:t> </w:t>
      </w:r>
      <w:r>
        <w:rPr>
          <w:color w:val="365F91"/>
          <w:sz w:val="28"/>
        </w:rPr>
        <w:t>&amp;</w:t>
      </w:r>
      <w:r>
        <w:rPr>
          <w:color w:val="365F91"/>
          <w:spacing w:val="-7"/>
          <w:sz w:val="28"/>
        </w:rPr>
        <w:t> </w:t>
      </w:r>
      <w:r>
        <w:rPr>
          <w:color w:val="365F91"/>
          <w:sz w:val="28"/>
        </w:rPr>
        <w:t>Ongoing</w:t>
      </w:r>
      <w:r>
        <w:rPr>
          <w:color w:val="365F91"/>
          <w:spacing w:val="-7"/>
          <w:sz w:val="28"/>
        </w:rPr>
        <w:t> </w:t>
      </w:r>
      <w:r>
        <w:rPr>
          <w:color w:val="365F91"/>
          <w:spacing w:val="-4"/>
          <w:sz w:val="28"/>
        </w:rPr>
        <w:t>Work</w:t>
      </w:r>
    </w:p>
    <w:p>
      <w:pPr>
        <w:pStyle w:val="BodyText"/>
        <w:spacing w:line="276" w:lineRule="auto" w:before="292"/>
        <w:ind w:left="483" w:right="342"/>
        <w:jc w:val="center"/>
      </w:pPr>
      <w:r>
        <w:rPr/>
        <w:t>The</w:t>
      </w:r>
      <w:r>
        <w:rPr>
          <w:spacing w:val="40"/>
        </w:rPr>
        <w:t> </w:t>
      </w:r>
      <w:r>
        <w:rPr/>
        <w:t>Commission</w:t>
      </w:r>
      <w:r>
        <w:rPr>
          <w:spacing w:val="40"/>
        </w:rPr>
        <w:t> </w:t>
      </w:r>
      <w:r>
        <w:rPr/>
        <w:t>has</w:t>
      </w:r>
      <w:r>
        <w:rPr>
          <w:spacing w:val="40"/>
        </w:rPr>
        <w:t> </w:t>
      </w:r>
      <w:r>
        <w:rPr/>
        <w:t>worked</w:t>
      </w:r>
      <w:r>
        <w:rPr>
          <w:spacing w:val="40"/>
        </w:rPr>
        <w:t> </w:t>
      </w:r>
      <w:r>
        <w:rPr/>
        <w:t>with</w:t>
      </w:r>
      <w:r>
        <w:rPr>
          <w:spacing w:val="40"/>
        </w:rPr>
        <w:t> </w:t>
      </w:r>
      <w:r>
        <w:rPr/>
        <w:t>EOHLC</w:t>
      </w:r>
      <w:r>
        <w:rPr>
          <w:spacing w:val="40"/>
        </w:rPr>
        <w:t> </w:t>
      </w:r>
      <w:r>
        <w:rPr/>
        <w:t>(then-DHCD)</w:t>
      </w:r>
      <w:r>
        <w:rPr>
          <w:spacing w:val="40"/>
        </w:rPr>
        <w:t> </w:t>
      </w:r>
      <w:r>
        <w:rPr/>
        <w:t>for</w:t>
      </w:r>
      <w:r>
        <w:rPr>
          <w:spacing w:val="40"/>
        </w:rPr>
        <w:t> </w:t>
      </w:r>
      <w:r>
        <w:rPr/>
        <w:t>many</w:t>
      </w:r>
      <w:r>
        <w:rPr>
          <w:spacing w:val="40"/>
        </w:rPr>
        <w:t> </w:t>
      </w:r>
      <w:r>
        <w:rPr/>
        <w:t>years</w:t>
      </w:r>
      <w:r>
        <w:rPr>
          <w:spacing w:val="40"/>
        </w:rPr>
        <w:t> </w:t>
      </w:r>
      <w:r>
        <w:rPr/>
        <w:t>to</w:t>
      </w:r>
      <w:r>
        <w:rPr>
          <w:spacing w:val="40"/>
        </w:rPr>
        <w:t> </w:t>
      </w:r>
      <w:r>
        <w:rPr/>
        <w:t>address</w:t>
      </w:r>
      <w:r>
        <w:rPr>
          <w:spacing w:val="40"/>
        </w:rPr>
        <w:t> </w:t>
      </w:r>
      <w:r>
        <w:rPr/>
        <w:t>improve</w:t>
      </w:r>
      <w:r>
        <w:rPr>
          <w:spacing w:val="40"/>
        </w:rPr>
        <w:t> </w:t>
      </w:r>
      <w:r>
        <w:rPr/>
        <w:t>LGBTQ- affirming</w:t>
      </w:r>
      <w:r>
        <w:rPr>
          <w:spacing w:val="23"/>
        </w:rPr>
        <w:t> </w:t>
      </w:r>
      <w:r>
        <w:rPr/>
        <w:t>housing</w:t>
      </w:r>
      <w:r>
        <w:rPr>
          <w:spacing w:val="23"/>
        </w:rPr>
        <w:t> </w:t>
      </w:r>
      <w:r>
        <w:rPr/>
        <w:t>and</w:t>
      </w:r>
      <w:r>
        <w:rPr>
          <w:spacing w:val="22"/>
        </w:rPr>
        <w:t> </w:t>
      </w:r>
      <w:r>
        <w:rPr/>
        <w:t>shelter</w:t>
      </w:r>
      <w:r>
        <w:rPr>
          <w:spacing w:val="23"/>
        </w:rPr>
        <w:t> </w:t>
      </w:r>
      <w:r>
        <w:rPr/>
        <w:t>services</w:t>
      </w:r>
      <w:r>
        <w:rPr>
          <w:spacing w:val="23"/>
        </w:rPr>
        <w:t> </w:t>
      </w:r>
      <w:r>
        <w:rPr/>
        <w:t>across</w:t>
      </w:r>
      <w:r>
        <w:rPr>
          <w:spacing w:val="22"/>
        </w:rPr>
        <w:t> </w:t>
      </w:r>
      <w:r>
        <w:rPr/>
        <w:t>the</w:t>
      </w:r>
      <w:r>
        <w:rPr>
          <w:spacing w:val="25"/>
        </w:rPr>
        <w:t> </w:t>
      </w:r>
      <w:r>
        <w:rPr/>
        <w:t>Commonwealth.</w:t>
      </w:r>
      <w:r>
        <w:rPr>
          <w:spacing w:val="23"/>
        </w:rPr>
        <w:t> </w:t>
      </w:r>
      <w:r>
        <w:rPr/>
        <w:t>The</w:t>
      </w:r>
      <w:r>
        <w:rPr>
          <w:spacing w:val="24"/>
        </w:rPr>
        <w:t> </w:t>
      </w:r>
      <w:r>
        <w:rPr/>
        <w:t>Commission</w:t>
      </w:r>
      <w:r>
        <w:rPr>
          <w:spacing w:val="22"/>
        </w:rPr>
        <w:t> </w:t>
      </w:r>
      <w:r>
        <w:rPr/>
        <w:t>understands</w:t>
      </w:r>
      <w:r>
        <w:rPr>
          <w:spacing w:val="23"/>
        </w:rPr>
        <w:t> </w:t>
      </w:r>
      <w:r>
        <w:rPr>
          <w:spacing w:val="-4"/>
        </w:rPr>
        <w:t>that</w:t>
      </w:r>
    </w:p>
    <w:p>
      <w:pPr>
        <w:pStyle w:val="BodyText"/>
        <w:ind w:left="138"/>
        <w:jc w:val="center"/>
      </w:pPr>
      <w:r>
        <w:rPr>
          <w:spacing w:val="27"/>
          <w:u w:val="single" w:color="D9D9D9"/>
        </w:rPr>
        <w:t>  </w:t>
      </w:r>
      <w:r>
        <w:rPr>
          <w:u w:val="single" w:color="D9D9D9"/>
        </w:rPr>
        <w:t>EOHLC,</w:t>
      </w:r>
      <w:r>
        <w:rPr>
          <w:spacing w:val="-3"/>
          <w:u w:val="single" w:color="D9D9D9"/>
        </w:rPr>
        <w:t> </w:t>
      </w:r>
      <w:r>
        <w:rPr>
          <w:u w:val="single" w:color="D9D9D9"/>
        </w:rPr>
        <w:t>like</w:t>
      </w:r>
      <w:r>
        <w:rPr>
          <w:spacing w:val="-4"/>
          <w:u w:val="single" w:color="D9D9D9"/>
        </w:rPr>
        <w:t> </w:t>
      </w:r>
      <w:r>
        <w:rPr>
          <w:u w:val="single" w:color="D9D9D9"/>
        </w:rPr>
        <w:t>many</w:t>
      </w:r>
      <w:r>
        <w:rPr>
          <w:spacing w:val="-5"/>
          <w:u w:val="single" w:color="D9D9D9"/>
        </w:rPr>
        <w:t> </w:t>
      </w:r>
      <w:r>
        <w:rPr>
          <w:u w:val="single" w:color="D9D9D9"/>
        </w:rPr>
        <w:t>other</w:t>
      </w:r>
      <w:r>
        <w:rPr>
          <w:spacing w:val="-5"/>
          <w:u w:val="single" w:color="D9D9D9"/>
        </w:rPr>
        <w:t> </w:t>
      </w:r>
      <w:r>
        <w:rPr>
          <w:u w:val="single" w:color="D9D9D9"/>
        </w:rPr>
        <w:t>state</w:t>
      </w:r>
      <w:r>
        <w:rPr>
          <w:spacing w:val="-4"/>
          <w:u w:val="single" w:color="D9D9D9"/>
        </w:rPr>
        <w:t> </w:t>
      </w:r>
      <w:r>
        <w:rPr>
          <w:u w:val="single" w:color="D9D9D9"/>
        </w:rPr>
        <w:t>entities,</w:t>
      </w:r>
      <w:r>
        <w:rPr>
          <w:spacing w:val="-3"/>
          <w:u w:val="single" w:color="D9D9D9"/>
        </w:rPr>
        <w:t> </w:t>
      </w:r>
      <w:r>
        <w:rPr>
          <w:u w:val="single" w:color="D9D9D9"/>
        </w:rPr>
        <w:t>can</w:t>
      </w:r>
      <w:r>
        <w:rPr>
          <w:spacing w:val="-5"/>
          <w:u w:val="single" w:color="D9D9D9"/>
        </w:rPr>
        <w:t> </w:t>
      </w:r>
      <w:r>
        <w:rPr>
          <w:u w:val="single" w:color="D9D9D9"/>
        </w:rPr>
        <w:t>sometimes</w:t>
      </w:r>
      <w:r>
        <w:rPr>
          <w:spacing w:val="-4"/>
          <w:u w:val="single" w:color="D9D9D9"/>
        </w:rPr>
        <w:t> </w:t>
      </w:r>
      <w:r>
        <w:rPr>
          <w:u w:val="single" w:color="D9D9D9"/>
        </w:rPr>
        <w:t>be</w:t>
      </w:r>
      <w:r>
        <w:rPr>
          <w:spacing w:val="-4"/>
          <w:u w:val="single" w:color="D9D9D9"/>
        </w:rPr>
        <w:t> </w:t>
      </w:r>
      <w:r>
        <w:rPr>
          <w:u w:val="single" w:color="D9D9D9"/>
        </w:rPr>
        <w:t>limited</w:t>
      </w:r>
      <w:r>
        <w:rPr>
          <w:spacing w:val="-4"/>
          <w:u w:val="single" w:color="D9D9D9"/>
        </w:rPr>
        <w:t> </w:t>
      </w:r>
      <w:r>
        <w:rPr>
          <w:u w:val="single" w:color="D9D9D9"/>
        </w:rPr>
        <w:t>in</w:t>
      </w:r>
      <w:r>
        <w:rPr>
          <w:spacing w:val="-5"/>
          <w:u w:val="single" w:color="D9D9D9"/>
        </w:rPr>
        <w:t> </w:t>
      </w:r>
      <w:r>
        <w:rPr>
          <w:u w:val="single" w:color="D9D9D9"/>
        </w:rPr>
        <w:t>its</w:t>
      </w:r>
      <w:r>
        <w:rPr>
          <w:spacing w:val="-4"/>
          <w:u w:val="single" w:color="D9D9D9"/>
        </w:rPr>
        <w:t> </w:t>
      </w:r>
      <w:r>
        <w:rPr>
          <w:u w:val="single" w:color="D9D9D9"/>
        </w:rPr>
        <w:t>ability</w:t>
      </w:r>
      <w:r>
        <w:rPr>
          <w:spacing w:val="-3"/>
          <w:u w:val="single" w:color="D9D9D9"/>
        </w:rPr>
        <w:t> </w:t>
      </w:r>
      <w:r>
        <w:rPr>
          <w:u w:val="single" w:color="D9D9D9"/>
        </w:rPr>
        <w:t>to</w:t>
      </w:r>
      <w:r>
        <w:rPr>
          <w:spacing w:val="-4"/>
          <w:u w:val="single" w:color="D9D9D9"/>
        </w:rPr>
        <w:t> </w:t>
      </w:r>
      <w:r>
        <w:rPr>
          <w:u w:val="single" w:color="D9D9D9"/>
        </w:rPr>
        <w:t>address</w:t>
      </w:r>
      <w:r>
        <w:rPr>
          <w:spacing w:val="-4"/>
          <w:u w:val="single" w:color="D9D9D9"/>
        </w:rPr>
        <w:t> </w:t>
      </w:r>
      <w:r>
        <w:rPr>
          <w:u w:val="single" w:color="D9D9D9"/>
        </w:rPr>
        <w:t>all</w:t>
      </w:r>
      <w:r>
        <w:rPr>
          <w:spacing w:val="-4"/>
          <w:u w:val="single" w:color="D9D9D9"/>
        </w:rPr>
        <w:t> </w:t>
      </w:r>
      <w:r>
        <w:rPr>
          <w:u w:val="single" w:color="D9D9D9"/>
        </w:rPr>
        <w:t>aspects</w:t>
      </w:r>
      <w:r>
        <w:rPr>
          <w:spacing w:val="-5"/>
          <w:u w:val="single" w:color="D9D9D9"/>
        </w:rPr>
        <w:t> </w:t>
      </w:r>
      <w:r>
        <w:rPr>
          <w:u w:val="single" w:color="D9D9D9"/>
        </w:rPr>
        <w:t>of</w:t>
      </w:r>
      <w:r>
        <w:rPr>
          <w:spacing w:val="-5"/>
          <w:u w:val="single" w:color="D9D9D9"/>
        </w:rPr>
        <w:t> the</w:t>
      </w:r>
      <w:r>
        <w:rPr>
          <w:spacing w:val="40"/>
          <w:u w:val="single" w:color="D9D9D9"/>
        </w:rPr>
        <w:t> </w:t>
      </w:r>
    </w:p>
    <w:p>
      <w:pPr>
        <w:spacing w:after="0"/>
        <w:jc w:val="center"/>
        <w:sectPr>
          <w:headerReference w:type="default" r:id="rId761"/>
          <w:footerReference w:type="default" r:id="rId762"/>
          <w:pgSz w:w="12240" w:h="15840"/>
          <w:pgMar w:header="804" w:footer="1189" w:top="1000" w:bottom="1380" w:left="960" w:right="1100"/>
        </w:sectPr>
      </w:pPr>
    </w:p>
    <w:p>
      <w:pPr>
        <w:pStyle w:val="BodyText"/>
        <w:spacing w:line="276" w:lineRule="auto" w:before="139"/>
        <w:ind w:left="483" w:right="345"/>
        <w:jc w:val="both"/>
      </w:pPr>
      <w:r>
        <w:rPr/>
        <w:t>Commission’s recommendations due to state and federal requirements, but appreciates its attention to the areas it can address on its own.</w:t>
      </w:r>
    </w:p>
    <w:p>
      <w:pPr>
        <w:pStyle w:val="BodyText"/>
        <w:spacing w:line="276" w:lineRule="auto" w:before="239"/>
        <w:ind w:left="483" w:right="339"/>
        <w:jc w:val="both"/>
      </w:pPr>
      <w:r>
        <w:rPr/>
        <w:t>EOHLC has made progress in a few areas since the Commission began issuing recommendations to its agency.</w:t>
      </w:r>
      <w:r>
        <w:rPr>
          <w:spacing w:val="-13"/>
        </w:rPr>
        <w:t> </w:t>
      </w:r>
      <w:r>
        <w:rPr/>
        <w:t>In</w:t>
      </w:r>
      <w:r>
        <w:rPr>
          <w:spacing w:val="-12"/>
        </w:rPr>
        <w:t> </w:t>
      </w:r>
      <w:r>
        <w:rPr/>
        <w:t>FY</w:t>
      </w:r>
      <w:r>
        <w:rPr>
          <w:spacing w:val="-13"/>
        </w:rPr>
        <w:t> </w:t>
      </w:r>
      <w:r>
        <w:rPr/>
        <w:t>2022,</w:t>
      </w:r>
      <w:r>
        <w:rPr>
          <w:spacing w:val="-12"/>
        </w:rPr>
        <w:t> </w:t>
      </w:r>
      <w:r>
        <w:rPr/>
        <w:t>the</w:t>
      </w:r>
      <w:r>
        <w:rPr>
          <w:spacing w:val="-13"/>
        </w:rPr>
        <w:t> </w:t>
      </w:r>
      <w:r>
        <w:rPr/>
        <w:t>Commission</w:t>
      </w:r>
      <w:r>
        <w:rPr>
          <w:spacing w:val="-12"/>
        </w:rPr>
        <w:t> </w:t>
      </w:r>
      <w:r>
        <w:rPr/>
        <w:t>noted</w:t>
      </w:r>
      <w:r>
        <w:rPr>
          <w:spacing w:val="-13"/>
        </w:rPr>
        <w:t> </w:t>
      </w:r>
      <w:r>
        <w:rPr/>
        <w:t>that</w:t>
      </w:r>
      <w:r>
        <w:rPr>
          <w:spacing w:val="-12"/>
        </w:rPr>
        <w:t> </w:t>
      </w:r>
      <w:r>
        <w:rPr/>
        <w:t>the</w:t>
      </w:r>
      <w:r>
        <w:rPr>
          <w:spacing w:val="-12"/>
        </w:rPr>
        <w:t> </w:t>
      </w:r>
      <w:r>
        <w:rPr/>
        <w:t>Common</w:t>
      </w:r>
      <w:r>
        <w:rPr>
          <w:spacing w:val="-13"/>
        </w:rPr>
        <w:t> </w:t>
      </w:r>
      <w:r>
        <w:rPr/>
        <w:t>Housing</w:t>
      </w:r>
      <w:r>
        <w:rPr>
          <w:spacing w:val="-12"/>
        </w:rPr>
        <w:t> </w:t>
      </w:r>
      <w:r>
        <w:rPr/>
        <w:t>Application</w:t>
      </w:r>
      <w:r>
        <w:rPr>
          <w:spacing w:val="-13"/>
        </w:rPr>
        <w:t> </w:t>
      </w:r>
      <w:r>
        <w:rPr/>
        <w:t>for</w:t>
      </w:r>
      <w:r>
        <w:rPr>
          <w:spacing w:val="-12"/>
        </w:rPr>
        <w:t> </w:t>
      </w:r>
      <w:r>
        <w:rPr/>
        <w:t>Massachusetts</w:t>
      </w:r>
      <w:r>
        <w:rPr>
          <w:spacing w:val="-13"/>
        </w:rPr>
        <w:t> </w:t>
      </w:r>
      <w:r>
        <w:rPr/>
        <w:t>state- aided</w:t>
      </w:r>
      <w:r>
        <w:rPr>
          <w:spacing w:val="-8"/>
        </w:rPr>
        <w:t> </w:t>
      </w:r>
      <w:r>
        <w:rPr/>
        <w:t>public</w:t>
      </w:r>
      <w:r>
        <w:rPr>
          <w:spacing w:val="-8"/>
        </w:rPr>
        <w:t> </w:t>
      </w:r>
      <w:r>
        <w:rPr/>
        <w:t>housing</w:t>
      </w:r>
      <w:r>
        <w:rPr>
          <w:spacing w:val="-8"/>
        </w:rPr>
        <w:t> </w:t>
      </w:r>
      <w:r>
        <w:rPr/>
        <w:t>and</w:t>
      </w:r>
      <w:r>
        <w:rPr>
          <w:spacing w:val="-9"/>
        </w:rPr>
        <w:t> </w:t>
      </w:r>
      <w:r>
        <w:rPr/>
        <w:t>state</w:t>
      </w:r>
      <w:r>
        <w:rPr>
          <w:spacing w:val="-8"/>
        </w:rPr>
        <w:t> </w:t>
      </w:r>
      <w:r>
        <w:rPr/>
        <w:t>rental</w:t>
      </w:r>
      <w:r>
        <w:rPr>
          <w:spacing w:val="-9"/>
        </w:rPr>
        <w:t> </w:t>
      </w:r>
      <w:r>
        <w:rPr/>
        <w:t>assistance</w:t>
      </w:r>
      <w:r>
        <w:rPr>
          <w:spacing w:val="-8"/>
        </w:rPr>
        <w:t> </w:t>
      </w:r>
      <w:r>
        <w:rPr/>
        <w:t>(CHAMP)</w:t>
      </w:r>
      <w:r>
        <w:rPr>
          <w:spacing w:val="-8"/>
        </w:rPr>
        <w:t> </w:t>
      </w:r>
      <w:r>
        <w:rPr/>
        <w:t>is</w:t>
      </w:r>
      <w:r>
        <w:rPr>
          <w:spacing w:val="-8"/>
        </w:rPr>
        <w:t> </w:t>
      </w:r>
      <w:r>
        <w:rPr/>
        <w:t>inclusive</w:t>
      </w:r>
      <w:r>
        <w:rPr>
          <w:spacing w:val="-8"/>
        </w:rPr>
        <w:t> </w:t>
      </w:r>
      <w:r>
        <w:rPr/>
        <w:t>of</w:t>
      </w:r>
      <w:r>
        <w:rPr>
          <w:spacing w:val="-9"/>
        </w:rPr>
        <w:t> </w:t>
      </w:r>
      <w:r>
        <w:rPr/>
        <w:t>transgender</w:t>
      </w:r>
      <w:r>
        <w:rPr>
          <w:spacing w:val="-8"/>
        </w:rPr>
        <w:t> </w:t>
      </w:r>
      <w:r>
        <w:rPr/>
        <w:t>and</w:t>
      </w:r>
      <w:r>
        <w:rPr>
          <w:spacing w:val="-8"/>
        </w:rPr>
        <w:t> </w:t>
      </w:r>
      <w:r>
        <w:rPr/>
        <w:t>nonbinary</w:t>
      </w:r>
      <w:r>
        <w:rPr>
          <w:spacing w:val="-8"/>
        </w:rPr>
        <w:t> </w:t>
      </w:r>
      <w:r>
        <w:rPr/>
        <w:t>youth gender markers. EOHLC has previously noted to the Commission</w:t>
      </w:r>
      <w:r>
        <w:rPr>
          <w:spacing w:val="-1"/>
        </w:rPr>
        <w:t> </w:t>
      </w:r>
      <w:r>
        <w:rPr/>
        <w:t>that its current data collection</w:t>
      </w:r>
      <w:r>
        <w:rPr>
          <w:spacing w:val="-1"/>
        </w:rPr>
        <w:t> </w:t>
      </w:r>
      <w:r>
        <w:rPr/>
        <w:t>is driven by two external forces - the state legislature and the Department of Housing and Urban Development (HUD) requirements. In FY 2022, HUD’s Homeless Management Information System (HMIS) standards were revised to ensure that questions regarding gender were not binary and provided a drop-down list for individuals to choose from; shelters are required to use HMIS. For other programs, EOHLC shares, gender responses are not required and/or nonbinary responses can be provided.</w:t>
      </w:r>
    </w:p>
    <w:p>
      <w:pPr>
        <w:spacing w:before="240"/>
        <w:ind w:left="483" w:right="0" w:firstLine="0"/>
        <w:jc w:val="both"/>
        <w:rPr>
          <w:sz w:val="28"/>
        </w:rPr>
      </w:pPr>
      <w:r>
        <w:rPr>
          <w:color w:val="365F91"/>
          <w:sz w:val="28"/>
        </w:rPr>
        <w:t>FY</w:t>
      </w:r>
      <w:r>
        <w:rPr>
          <w:color w:val="365F91"/>
          <w:spacing w:val="-10"/>
          <w:sz w:val="28"/>
        </w:rPr>
        <w:t> </w:t>
      </w:r>
      <w:r>
        <w:rPr>
          <w:color w:val="365F91"/>
          <w:sz w:val="28"/>
        </w:rPr>
        <w:t>2025</w:t>
      </w:r>
      <w:r>
        <w:rPr>
          <w:color w:val="365F91"/>
          <w:spacing w:val="-9"/>
          <w:sz w:val="28"/>
        </w:rPr>
        <w:t> </w:t>
      </w:r>
      <w:r>
        <w:rPr>
          <w:color w:val="365F91"/>
          <w:sz w:val="28"/>
        </w:rPr>
        <w:t>Expanded</w:t>
      </w:r>
      <w:r>
        <w:rPr>
          <w:color w:val="365F91"/>
          <w:spacing w:val="-10"/>
          <w:sz w:val="28"/>
        </w:rPr>
        <w:t> </w:t>
      </w:r>
      <w:r>
        <w:rPr>
          <w:color w:val="365F91"/>
          <w:sz w:val="28"/>
        </w:rPr>
        <w:t>EOHLC</w:t>
      </w:r>
      <w:r>
        <w:rPr>
          <w:color w:val="365F91"/>
          <w:spacing w:val="-10"/>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727104">
                <wp:simplePos x="0" y="0"/>
                <wp:positionH relativeFrom="page">
                  <wp:posOffset>897636</wp:posOffset>
                </wp:positionH>
                <wp:positionV relativeFrom="paragraph">
                  <wp:posOffset>44504</wp:posOffset>
                </wp:positionV>
                <wp:extent cx="5976620" cy="6350"/>
                <wp:effectExtent l="0" t="0" r="0" b="0"/>
                <wp:wrapTopAndBottom/>
                <wp:docPr id="669" name="Graphic 669"/>
                <wp:cNvGraphicFramePr>
                  <a:graphicFrameLocks/>
                </wp:cNvGraphicFramePr>
                <a:graphic>
                  <a:graphicData uri="http://schemas.microsoft.com/office/word/2010/wordprocessingShape">
                    <wps:wsp>
                      <wps:cNvPr id="669" name="Graphic 669"/>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4316pt;width:470.58pt;height:.48pt;mso-position-horizontal-relative:page;mso-position-vertical-relative:paragraph;z-index:-15589376;mso-wrap-distance-left:0;mso-wrap-distance-right:0" id="docshape566" filled="true" fillcolor="#4f81bc" stroked="false">
                <v:fill type="solid"/>
                <w10:wrap type="topAndBottom"/>
              </v:rect>
            </w:pict>
          </mc:Fallback>
        </mc:AlternateContent>
      </w:r>
    </w:p>
    <w:p>
      <w:pPr>
        <w:numPr>
          <w:ilvl w:val="0"/>
          <w:numId w:val="46"/>
        </w:numPr>
        <w:tabs>
          <w:tab w:pos="481" w:val="left" w:leader="none"/>
        </w:tabs>
        <w:spacing w:before="241"/>
        <w:ind w:left="481" w:right="0" w:hanging="358"/>
        <w:jc w:val="left"/>
        <w:rPr>
          <w:b/>
          <w:sz w:val="22"/>
        </w:rPr>
      </w:pPr>
      <w:r>
        <w:rPr>
          <w:b/>
          <w:sz w:val="22"/>
        </w:rPr>
        <w:t>Develop</w:t>
      </w:r>
      <w:r>
        <w:rPr>
          <w:b/>
          <w:spacing w:val="-11"/>
          <w:sz w:val="22"/>
        </w:rPr>
        <w:t> </w:t>
      </w:r>
      <w:r>
        <w:rPr>
          <w:b/>
          <w:sz w:val="22"/>
        </w:rPr>
        <w:t>and</w:t>
      </w:r>
      <w:r>
        <w:rPr>
          <w:b/>
          <w:spacing w:val="-11"/>
          <w:sz w:val="22"/>
        </w:rPr>
        <w:t> </w:t>
      </w:r>
      <w:r>
        <w:rPr>
          <w:b/>
          <w:sz w:val="22"/>
        </w:rPr>
        <w:t>implement</w:t>
      </w:r>
      <w:r>
        <w:rPr>
          <w:b/>
          <w:spacing w:val="-11"/>
          <w:sz w:val="22"/>
        </w:rPr>
        <w:t> </w:t>
      </w:r>
      <w:r>
        <w:rPr>
          <w:b/>
          <w:sz w:val="22"/>
        </w:rPr>
        <w:t>an</w:t>
      </w:r>
      <w:r>
        <w:rPr>
          <w:b/>
          <w:spacing w:val="-12"/>
          <w:sz w:val="22"/>
        </w:rPr>
        <w:t> </w:t>
      </w:r>
      <w:r>
        <w:rPr>
          <w:b/>
          <w:sz w:val="22"/>
        </w:rPr>
        <w:t>agency-wide</w:t>
      </w:r>
      <w:r>
        <w:rPr>
          <w:b/>
          <w:spacing w:val="-12"/>
          <w:sz w:val="22"/>
        </w:rPr>
        <w:t> </w:t>
      </w:r>
      <w:r>
        <w:rPr>
          <w:b/>
          <w:sz w:val="22"/>
        </w:rPr>
        <w:t>nondiscrimination</w:t>
      </w:r>
      <w:r>
        <w:rPr>
          <w:b/>
          <w:spacing w:val="-11"/>
          <w:sz w:val="22"/>
        </w:rPr>
        <w:t> </w:t>
      </w:r>
      <w:r>
        <w:rPr>
          <w:b/>
          <w:spacing w:val="-2"/>
          <w:sz w:val="22"/>
        </w:rPr>
        <w:t>policy.</w:t>
      </w:r>
    </w:p>
    <w:p>
      <w:pPr>
        <w:pStyle w:val="BodyText"/>
        <w:spacing w:before="13"/>
        <w:rPr>
          <w:b/>
        </w:rPr>
      </w:pPr>
    </w:p>
    <w:p>
      <w:pPr>
        <w:pStyle w:val="BodyText"/>
        <w:spacing w:line="276" w:lineRule="auto"/>
        <w:ind w:left="483" w:right="342"/>
        <w:jc w:val="both"/>
      </w:pPr>
      <w:r>
        <w:rPr/>
        <w:t>The Commission continues to recommend that EOHLC finalize and implement an agency-wide nondiscrimination policy to incorporate gender identity and LGBTQ-affirming language. In its February 2024 meeting, EOHLC reported that it is currently working on a shorter policy that captures recent HUD guidance which it is hoping to share with the Commission soon.</w:t>
      </w:r>
    </w:p>
    <w:p>
      <w:pPr>
        <w:numPr>
          <w:ilvl w:val="0"/>
          <w:numId w:val="46"/>
        </w:numPr>
        <w:tabs>
          <w:tab w:pos="481" w:val="left" w:leader="none"/>
          <w:tab w:pos="483" w:val="left" w:leader="none"/>
        </w:tabs>
        <w:spacing w:line="276" w:lineRule="auto" w:before="239"/>
        <w:ind w:left="483" w:right="344" w:hanging="360"/>
        <w:jc w:val="left"/>
        <w:rPr>
          <w:b/>
          <w:sz w:val="22"/>
        </w:rPr>
      </w:pPr>
      <w:r>
        <w:rPr>
          <w:b/>
          <w:sz w:val="22"/>
        </w:rPr>
        <w:t>Develop and execute a plan to canvass shelters across the state and report out on internal policy and practice to support trans and nonbinary clients.</w:t>
      </w:r>
    </w:p>
    <w:p>
      <w:pPr>
        <w:pStyle w:val="BodyText"/>
        <w:spacing w:before="241"/>
        <w:ind w:left="483"/>
        <w:jc w:val="both"/>
      </w:pPr>
      <w:r>
        <w:rPr>
          <w:spacing w:val="-2"/>
        </w:rPr>
        <w:t>Discrimination</w:t>
      </w:r>
      <w:r>
        <w:rPr>
          <w:spacing w:val="-8"/>
        </w:rPr>
        <w:t> </w:t>
      </w:r>
      <w:r>
        <w:rPr>
          <w:spacing w:val="-2"/>
        </w:rPr>
        <w:t>and</w:t>
      </w:r>
      <w:r>
        <w:rPr>
          <w:spacing w:val="-7"/>
        </w:rPr>
        <w:t> </w:t>
      </w:r>
      <w:r>
        <w:rPr>
          <w:spacing w:val="-2"/>
        </w:rPr>
        <w:t>safety</w:t>
      </w:r>
      <w:r>
        <w:rPr>
          <w:spacing w:val="-5"/>
        </w:rPr>
        <w:t> </w:t>
      </w:r>
      <w:r>
        <w:rPr>
          <w:spacing w:val="-2"/>
        </w:rPr>
        <w:t>at</w:t>
      </w:r>
      <w:r>
        <w:rPr>
          <w:spacing w:val="-8"/>
        </w:rPr>
        <w:t> </w:t>
      </w:r>
      <w:r>
        <w:rPr>
          <w:spacing w:val="-2"/>
        </w:rPr>
        <w:t>shelters</w:t>
      </w:r>
      <w:r>
        <w:rPr>
          <w:spacing w:val="-6"/>
        </w:rPr>
        <w:t> </w:t>
      </w:r>
      <w:r>
        <w:rPr>
          <w:spacing w:val="-2"/>
        </w:rPr>
        <w:t>for</w:t>
      </w:r>
      <w:r>
        <w:rPr>
          <w:spacing w:val="-6"/>
        </w:rPr>
        <w:t> </w:t>
      </w:r>
      <w:r>
        <w:rPr>
          <w:spacing w:val="-2"/>
        </w:rPr>
        <w:t>LGBTQ</w:t>
      </w:r>
      <w:r>
        <w:rPr>
          <w:spacing w:val="-6"/>
        </w:rPr>
        <w:t> </w:t>
      </w:r>
      <w:r>
        <w:rPr>
          <w:spacing w:val="-2"/>
        </w:rPr>
        <w:t>community</w:t>
      </w:r>
      <w:r>
        <w:rPr>
          <w:spacing w:val="-6"/>
        </w:rPr>
        <w:t> </w:t>
      </w:r>
      <w:r>
        <w:rPr>
          <w:spacing w:val="-2"/>
        </w:rPr>
        <w:t>members</w:t>
      </w:r>
      <w:r>
        <w:rPr>
          <w:spacing w:val="-6"/>
        </w:rPr>
        <w:t> </w:t>
      </w:r>
      <w:r>
        <w:rPr>
          <w:spacing w:val="-2"/>
        </w:rPr>
        <w:t>-</w:t>
      </w:r>
      <w:r>
        <w:rPr>
          <w:spacing w:val="-8"/>
        </w:rPr>
        <w:t> </w:t>
      </w:r>
      <w:r>
        <w:rPr>
          <w:spacing w:val="-2"/>
        </w:rPr>
        <w:t>particularly</w:t>
      </w:r>
      <w:r>
        <w:rPr>
          <w:spacing w:val="-8"/>
        </w:rPr>
        <w:t> </w:t>
      </w:r>
      <w:r>
        <w:rPr>
          <w:spacing w:val="-2"/>
        </w:rPr>
        <w:t>QTBIPOC</w:t>
      </w:r>
      <w:r>
        <w:rPr>
          <w:spacing w:val="-5"/>
        </w:rPr>
        <w:t> </w:t>
      </w:r>
      <w:r>
        <w:rPr>
          <w:spacing w:val="-2"/>
        </w:rPr>
        <w:t>young</w:t>
      </w:r>
      <w:r>
        <w:rPr>
          <w:spacing w:val="-7"/>
        </w:rPr>
        <w:t> </w:t>
      </w:r>
      <w:r>
        <w:rPr>
          <w:spacing w:val="-2"/>
        </w:rPr>
        <w:t>people</w:t>
      </w:r>
    </w:p>
    <w:p>
      <w:pPr>
        <w:pStyle w:val="BodyText"/>
        <w:spacing w:line="276" w:lineRule="auto" w:before="39"/>
        <w:ind w:left="483" w:right="342"/>
        <w:jc w:val="both"/>
      </w:pPr>
      <w:r>
        <w:rPr/>
        <w:t>-</w:t>
      </w:r>
      <w:r>
        <w:rPr>
          <w:spacing w:val="-11"/>
        </w:rPr>
        <w:t> </w:t>
      </w:r>
      <w:r>
        <w:rPr/>
        <w:t>is</w:t>
      </w:r>
      <w:r>
        <w:rPr>
          <w:spacing w:val="-11"/>
        </w:rPr>
        <w:t> </w:t>
      </w:r>
      <w:r>
        <w:rPr/>
        <w:t>a</w:t>
      </w:r>
      <w:r>
        <w:rPr>
          <w:spacing w:val="-11"/>
        </w:rPr>
        <w:t> </w:t>
      </w:r>
      <w:r>
        <w:rPr/>
        <w:t>critical</w:t>
      </w:r>
      <w:r>
        <w:rPr>
          <w:spacing w:val="-11"/>
        </w:rPr>
        <w:t> </w:t>
      </w:r>
      <w:r>
        <w:rPr/>
        <w:t>issue</w:t>
      </w:r>
      <w:r>
        <w:rPr>
          <w:spacing w:val="-11"/>
        </w:rPr>
        <w:t> </w:t>
      </w:r>
      <w:r>
        <w:rPr/>
        <w:t>that</w:t>
      </w:r>
      <w:r>
        <w:rPr>
          <w:spacing w:val="-12"/>
        </w:rPr>
        <w:t> </w:t>
      </w:r>
      <w:r>
        <w:rPr/>
        <w:t>Massachusetts</w:t>
      </w:r>
      <w:r>
        <w:rPr>
          <w:spacing w:val="-11"/>
        </w:rPr>
        <w:t> </w:t>
      </w:r>
      <w:r>
        <w:rPr/>
        <w:t>has</w:t>
      </w:r>
      <w:r>
        <w:rPr>
          <w:spacing w:val="-10"/>
        </w:rPr>
        <w:t> </w:t>
      </w:r>
      <w:r>
        <w:rPr/>
        <w:t>struggled</w:t>
      </w:r>
      <w:r>
        <w:rPr>
          <w:spacing w:val="-10"/>
        </w:rPr>
        <w:t> </w:t>
      </w:r>
      <w:r>
        <w:rPr/>
        <w:t>to</w:t>
      </w:r>
      <w:r>
        <w:rPr>
          <w:spacing w:val="-10"/>
        </w:rPr>
        <w:t> </w:t>
      </w:r>
      <w:r>
        <w:rPr/>
        <w:t>address</w:t>
      </w:r>
      <w:r>
        <w:rPr>
          <w:spacing w:val="-11"/>
        </w:rPr>
        <w:t> </w:t>
      </w:r>
      <w:r>
        <w:rPr/>
        <w:t>for</w:t>
      </w:r>
      <w:r>
        <w:rPr>
          <w:spacing w:val="-11"/>
        </w:rPr>
        <w:t> </w:t>
      </w:r>
      <w:r>
        <w:rPr/>
        <w:t>years.</w:t>
      </w:r>
      <w:r>
        <w:rPr>
          <w:spacing w:val="-12"/>
        </w:rPr>
        <w:t> </w:t>
      </w:r>
      <w:r>
        <w:rPr/>
        <w:t>While</w:t>
      </w:r>
      <w:r>
        <w:rPr>
          <w:spacing w:val="-10"/>
        </w:rPr>
        <w:t> </w:t>
      </w:r>
      <w:r>
        <w:rPr/>
        <w:t>the</w:t>
      </w:r>
      <w:r>
        <w:rPr>
          <w:spacing w:val="-11"/>
        </w:rPr>
        <w:t> </w:t>
      </w:r>
      <w:r>
        <w:rPr/>
        <w:t>Commonwealth</w:t>
      </w:r>
      <w:r>
        <w:rPr>
          <w:spacing w:val="-12"/>
        </w:rPr>
        <w:t> </w:t>
      </w:r>
      <w:r>
        <w:rPr/>
        <w:t>boasts a number of legal protections around anti-discrimination and access to services, in practice these protections do not prevent many transgender and nonbinary community members from facing discrimination and violence in shelter spaces from staff and other residents. In numerous conversations with</w:t>
      </w:r>
      <w:r>
        <w:rPr>
          <w:spacing w:val="-4"/>
        </w:rPr>
        <w:t> </w:t>
      </w:r>
      <w:r>
        <w:rPr/>
        <w:t>LGBTQ</w:t>
      </w:r>
      <w:r>
        <w:rPr>
          <w:spacing w:val="-4"/>
        </w:rPr>
        <w:t> </w:t>
      </w:r>
      <w:r>
        <w:rPr/>
        <w:t>community</w:t>
      </w:r>
      <w:r>
        <w:rPr>
          <w:spacing w:val="-4"/>
        </w:rPr>
        <w:t> </w:t>
      </w:r>
      <w:r>
        <w:rPr/>
        <w:t>providers</w:t>
      </w:r>
      <w:r>
        <w:rPr>
          <w:spacing w:val="-5"/>
        </w:rPr>
        <w:t> </w:t>
      </w:r>
      <w:r>
        <w:rPr/>
        <w:t>across</w:t>
      </w:r>
      <w:r>
        <w:rPr>
          <w:spacing w:val="-5"/>
        </w:rPr>
        <w:t> </w:t>
      </w:r>
      <w:r>
        <w:rPr/>
        <w:t>the</w:t>
      </w:r>
      <w:r>
        <w:rPr>
          <w:spacing w:val="-4"/>
        </w:rPr>
        <w:t> </w:t>
      </w:r>
      <w:r>
        <w:rPr/>
        <w:t>state,</w:t>
      </w:r>
      <w:r>
        <w:rPr>
          <w:spacing w:val="-4"/>
        </w:rPr>
        <w:t> </w:t>
      </w:r>
      <w:r>
        <w:rPr/>
        <w:t>most</w:t>
      </w:r>
      <w:r>
        <w:rPr>
          <w:spacing w:val="-5"/>
        </w:rPr>
        <w:t> </w:t>
      </w:r>
      <w:r>
        <w:rPr/>
        <w:t>providers</w:t>
      </w:r>
      <w:r>
        <w:rPr>
          <w:spacing w:val="-4"/>
        </w:rPr>
        <w:t> </w:t>
      </w:r>
      <w:r>
        <w:rPr/>
        <w:t>shared</w:t>
      </w:r>
      <w:r>
        <w:rPr>
          <w:spacing w:val="-5"/>
        </w:rPr>
        <w:t> </w:t>
      </w:r>
      <w:r>
        <w:rPr/>
        <w:t>that</w:t>
      </w:r>
      <w:r>
        <w:rPr>
          <w:spacing w:val="-4"/>
        </w:rPr>
        <w:t> </w:t>
      </w:r>
      <w:r>
        <w:rPr/>
        <w:t>there</w:t>
      </w:r>
      <w:r>
        <w:rPr>
          <w:spacing w:val="-5"/>
        </w:rPr>
        <w:t> </w:t>
      </w:r>
      <w:r>
        <w:rPr/>
        <w:t>are</w:t>
      </w:r>
      <w:r>
        <w:rPr>
          <w:spacing w:val="-4"/>
        </w:rPr>
        <w:t> </w:t>
      </w:r>
      <w:r>
        <w:rPr/>
        <w:t>very</w:t>
      </w:r>
      <w:r>
        <w:rPr>
          <w:spacing w:val="-4"/>
        </w:rPr>
        <w:t> </w:t>
      </w:r>
      <w:r>
        <w:rPr/>
        <w:t>few</w:t>
      </w:r>
      <w:r>
        <w:rPr>
          <w:spacing w:val="-5"/>
        </w:rPr>
        <w:t> </w:t>
      </w:r>
      <w:r>
        <w:rPr/>
        <w:t>shelter spaces that provide LGBTQ-affirming support and safety, especially for young people.</w:t>
      </w:r>
    </w:p>
    <w:p>
      <w:pPr>
        <w:pStyle w:val="BodyText"/>
        <w:spacing w:line="276" w:lineRule="auto" w:before="240"/>
        <w:ind w:left="483" w:right="342"/>
        <w:jc w:val="both"/>
      </w:pPr>
      <w:r>
        <w:rPr/>
        <w:t>While guidance on how to appropriately serve LGBTQ youth clients has previously been distributed to shelters, there remains a gap in knowledge at the state level of what exactly the internal shelter policies and processes are across the state, and the frequency of discrimination against LGBTQ clients. It is clear to</w:t>
      </w:r>
      <w:r>
        <w:rPr>
          <w:spacing w:val="-13"/>
        </w:rPr>
        <w:t> </w:t>
      </w:r>
      <w:r>
        <w:rPr/>
        <w:t>the</w:t>
      </w:r>
      <w:r>
        <w:rPr>
          <w:spacing w:val="-12"/>
        </w:rPr>
        <w:t> </w:t>
      </w:r>
      <w:r>
        <w:rPr/>
        <w:t>Commission</w:t>
      </w:r>
      <w:r>
        <w:rPr>
          <w:spacing w:val="-13"/>
        </w:rPr>
        <w:t> </w:t>
      </w:r>
      <w:r>
        <w:rPr/>
        <w:t>and</w:t>
      </w:r>
      <w:r>
        <w:rPr>
          <w:spacing w:val="-12"/>
        </w:rPr>
        <w:t> </w:t>
      </w:r>
      <w:r>
        <w:rPr/>
        <w:t>LGBTQ</w:t>
      </w:r>
      <w:r>
        <w:rPr>
          <w:spacing w:val="-13"/>
        </w:rPr>
        <w:t> </w:t>
      </w:r>
      <w:r>
        <w:rPr/>
        <w:t>youth</w:t>
      </w:r>
      <w:r>
        <w:rPr>
          <w:spacing w:val="-12"/>
        </w:rPr>
        <w:t> </w:t>
      </w:r>
      <w:r>
        <w:rPr/>
        <w:t>and</w:t>
      </w:r>
      <w:r>
        <w:rPr>
          <w:spacing w:val="-13"/>
        </w:rPr>
        <w:t> </w:t>
      </w:r>
      <w:r>
        <w:rPr/>
        <w:t>providers</w:t>
      </w:r>
      <w:r>
        <w:rPr>
          <w:spacing w:val="-12"/>
        </w:rPr>
        <w:t> </w:t>
      </w:r>
      <w:r>
        <w:rPr/>
        <w:t>serving</w:t>
      </w:r>
      <w:r>
        <w:rPr>
          <w:spacing w:val="-12"/>
        </w:rPr>
        <w:t> </w:t>
      </w:r>
      <w:r>
        <w:rPr/>
        <w:t>this</w:t>
      </w:r>
      <w:r>
        <w:rPr>
          <w:spacing w:val="-13"/>
        </w:rPr>
        <w:t> </w:t>
      </w:r>
      <w:r>
        <w:rPr/>
        <w:t>population</w:t>
      </w:r>
      <w:r>
        <w:rPr>
          <w:spacing w:val="-12"/>
        </w:rPr>
        <w:t> </w:t>
      </w:r>
      <w:r>
        <w:rPr/>
        <w:t>that</w:t>
      </w:r>
      <w:r>
        <w:rPr>
          <w:spacing w:val="-13"/>
        </w:rPr>
        <w:t> </w:t>
      </w:r>
      <w:r>
        <w:rPr/>
        <w:t>there</w:t>
      </w:r>
      <w:r>
        <w:rPr>
          <w:spacing w:val="-12"/>
        </w:rPr>
        <w:t> </w:t>
      </w:r>
      <w:r>
        <w:rPr/>
        <w:t>remains</w:t>
      </w:r>
      <w:r>
        <w:rPr>
          <w:spacing w:val="-13"/>
        </w:rPr>
        <w:t> </w:t>
      </w:r>
      <w:r>
        <w:rPr/>
        <w:t>a</w:t>
      </w:r>
      <w:r>
        <w:rPr>
          <w:spacing w:val="-12"/>
        </w:rPr>
        <w:t> </w:t>
      </w:r>
      <w:r>
        <w:rPr/>
        <w:t>clear</w:t>
      </w:r>
      <w:r>
        <w:rPr>
          <w:spacing w:val="-12"/>
        </w:rPr>
        <w:t> </w:t>
      </w:r>
      <w:r>
        <w:rPr/>
        <w:t>issue in the implementation of such guidance and any other policies at the shelter level.</w:t>
      </w:r>
    </w:p>
    <w:p>
      <w:pPr>
        <w:pStyle w:val="BodyText"/>
        <w:spacing w:line="276" w:lineRule="auto" w:before="240"/>
        <w:ind w:left="483" w:right="340"/>
        <w:jc w:val="both"/>
      </w:pPr>
      <w:r>
        <w:rPr/>
        <w:t>In May 2024, EOHLC noted that it requires shelter grievance procedures to be posted in public areas of the</w:t>
      </w:r>
      <w:r>
        <w:rPr>
          <w:spacing w:val="-13"/>
        </w:rPr>
        <w:t> </w:t>
      </w:r>
      <w:r>
        <w:rPr/>
        <w:t>shelter;</w:t>
      </w:r>
      <w:r>
        <w:rPr>
          <w:spacing w:val="-12"/>
        </w:rPr>
        <w:t> </w:t>
      </w:r>
      <w:r>
        <w:rPr/>
        <w:t>that</w:t>
      </w:r>
      <w:r>
        <w:rPr>
          <w:spacing w:val="-13"/>
        </w:rPr>
        <w:t> </w:t>
      </w:r>
      <w:r>
        <w:rPr/>
        <w:t>those</w:t>
      </w:r>
      <w:r>
        <w:rPr>
          <w:spacing w:val="-12"/>
        </w:rPr>
        <w:t> </w:t>
      </w:r>
      <w:r>
        <w:rPr/>
        <w:t>procedures</w:t>
      </w:r>
      <w:r>
        <w:rPr>
          <w:spacing w:val="-13"/>
        </w:rPr>
        <w:t> </w:t>
      </w:r>
      <w:r>
        <w:rPr/>
        <w:t>must</w:t>
      </w:r>
      <w:r>
        <w:rPr>
          <w:spacing w:val="-12"/>
        </w:rPr>
        <w:t> </w:t>
      </w:r>
      <w:r>
        <w:rPr/>
        <w:t>include</w:t>
      </w:r>
      <w:r>
        <w:rPr>
          <w:spacing w:val="-13"/>
        </w:rPr>
        <w:t> </w:t>
      </w:r>
      <w:r>
        <w:rPr/>
        <w:t>the</w:t>
      </w:r>
      <w:r>
        <w:rPr>
          <w:spacing w:val="-12"/>
        </w:rPr>
        <w:t> </w:t>
      </w:r>
      <w:r>
        <w:rPr/>
        <w:t>name</w:t>
      </w:r>
      <w:r>
        <w:rPr>
          <w:spacing w:val="-12"/>
        </w:rPr>
        <w:t> </w:t>
      </w:r>
      <w:r>
        <w:rPr/>
        <w:t>and</w:t>
      </w:r>
      <w:r>
        <w:rPr>
          <w:spacing w:val="-13"/>
        </w:rPr>
        <w:t> </w:t>
      </w:r>
      <w:r>
        <w:rPr/>
        <w:t>contact</w:t>
      </w:r>
      <w:r>
        <w:rPr>
          <w:spacing w:val="-12"/>
        </w:rPr>
        <w:t> </w:t>
      </w:r>
      <w:r>
        <w:rPr/>
        <w:t>information</w:t>
      </w:r>
      <w:r>
        <w:rPr>
          <w:spacing w:val="-13"/>
        </w:rPr>
        <w:t> </w:t>
      </w:r>
      <w:r>
        <w:rPr/>
        <w:t>for</w:t>
      </w:r>
      <w:r>
        <w:rPr>
          <w:spacing w:val="-12"/>
        </w:rPr>
        <w:t> </w:t>
      </w:r>
      <w:r>
        <w:rPr/>
        <w:t>the</w:t>
      </w:r>
      <w:r>
        <w:rPr>
          <w:spacing w:val="-13"/>
        </w:rPr>
        <w:t> </w:t>
      </w:r>
      <w:r>
        <w:rPr/>
        <w:t>shelter’s</w:t>
      </w:r>
      <w:r>
        <w:rPr>
          <w:spacing w:val="-12"/>
        </w:rPr>
        <w:t> </w:t>
      </w:r>
      <w:r>
        <w:rPr/>
        <w:t>EOHLC contract manager should the constituent be dissatisfied with the shelter’s response; and that EOHLC promptly follows up with shelter providers to facilitate a resolution to issues when they are brought to the</w:t>
      </w:r>
      <w:r>
        <w:rPr>
          <w:spacing w:val="32"/>
        </w:rPr>
        <w:t> </w:t>
      </w:r>
      <w:r>
        <w:rPr/>
        <w:t>attention</w:t>
      </w:r>
      <w:r>
        <w:rPr>
          <w:spacing w:val="33"/>
        </w:rPr>
        <w:t> </w:t>
      </w:r>
      <w:r>
        <w:rPr/>
        <w:t>of</w:t>
      </w:r>
      <w:r>
        <w:rPr>
          <w:spacing w:val="32"/>
        </w:rPr>
        <w:t> </w:t>
      </w:r>
      <w:r>
        <w:rPr/>
        <w:t>EOHLC.</w:t>
      </w:r>
      <w:r>
        <w:rPr>
          <w:spacing w:val="32"/>
        </w:rPr>
        <w:t> </w:t>
      </w:r>
      <w:r>
        <w:rPr/>
        <w:t>EOHLC</w:t>
      </w:r>
      <w:r>
        <w:rPr>
          <w:spacing w:val="33"/>
        </w:rPr>
        <w:t> </w:t>
      </w:r>
      <w:r>
        <w:rPr/>
        <w:t>and</w:t>
      </w:r>
      <w:r>
        <w:rPr>
          <w:spacing w:val="32"/>
        </w:rPr>
        <w:t> </w:t>
      </w:r>
      <w:r>
        <w:rPr/>
        <w:t>the</w:t>
      </w:r>
      <w:r>
        <w:rPr>
          <w:spacing w:val="32"/>
        </w:rPr>
        <w:t> </w:t>
      </w:r>
      <w:r>
        <w:rPr/>
        <w:t>Commission</w:t>
      </w:r>
      <w:r>
        <w:rPr>
          <w:spacing w:val="32"/>
        </w:rPr>
        <w:t> </w:t>
      </w:r>
      <w:r>
        <w:rPr/>
        <w:t>are</w:t>
      </w:r>
      <w:r>
        <w:rPr>
          <w:spacing w:val="32"/>
        </w:rPr>
        <w:t> </w:t>
      </w:r>
      <w:r>
        <w:rPr/>
        <w:t>currently</w:t>
      </w:r>
      <w:r>
        <w:rPr>
          <w:spacing w:val="32"/>
        </w:rPr>
        <w:t> </w:t>
      </w:r>
      <w:r>
        <w:rPr/>
        <w:t>discussing</w:t>
      </w:r>
      <w:r>
        <w:rPr>
          <w:spacing w:val="33"/>
        </w:rPr>
        <w:t> </w:t>
      </w:r>
      <w:r>
        <w:rPr/>
        <w:t>additional</w:t>
      </w:r>
      <w:r>
        <w:rPr>
          <w:spacing w:val="32"/>
        </w:rPr>
        <w:t> </w:t>
      </w:r>
      <w:r>
        <w:rPr/>
        <w:t>information-</w:t>
      </w:r>
    </w:p>
    <w:p>
      <w:pPr>
        <w:spacing w:after="0" w:line="276" w:lineRule="auto"/>
        <w:jc w:val="both"/>
        <w:sectPr>
          <w:headerReference w:type="default" r:id="rId763"/>
          <w:footerReference w:type="default" r:id="rId764"/>
          <w:pgSz w:w="12240" w:h="15840"/>
          <w:pgMar w:header="804" w:footer="1263" w:top="1000" w:bottom="1460" w:left="960" w:right="1100"/>
        </w:sectPr>
      </w:pPr>
    </w:p>
    <w:p>
      <w:pPr>
        <w:pStyle w:val="BodyText"/>
        <w:spacing w:line="276" w:lineRule="auto" w:before="139"/>
        <w:ind w:left="483" w:right="343"/>
        <w:jc w:val="both"/>
      </w:pPr>
      <w:r>
        <w:rPr/>
        <w:t>sharing channels by which organizations serving LGBTQ homeless youth can notify EOHLC of matters of concern that may not otherwise be reported to EOHLC, as well as methods of anonymous complaint reporting to EOHLC.</w:t>
      </w:r>
    </w:p>
    <w:p>
      <w:pPr>
        <w:pStyle w:val="BodyText"/>
        <w:spacing w:line="276" w:lineRule="auto" w:before="239"/>
        <w:ind w:left="483" w:right="342"/>
        <w:jc w:val="both"/>
      </w:pPr>
      <w:r>
        <w:rPr/>
        <w:t>The Commission strongly recommends that EOHLC develops and executes a plan in FY 2025 to canvass shelters</w:t>
      </w:r>
      <w:r>
        <w:rPr>
          <w:spacing w:val="-5"/>
        </w:rPr>
        <w:t> </w:t>
      </w:r>
      <w:r>
        <w:rPr/>
        <w:t>across</w:t>
      </w:r>
      <w:r>
        <w:rPr>
          <w:spacing w:val="-5"/>
        </w:rPr>
        <w:t> </w:t>
      </w:r>
      <w:r>
        <w:rPr/>
        <w:t>the</w:t>
      </w:r>
      <w:r>
        <w:rPr>
          <w:spacing w:val="-6"/>
        </w:rPr>
        <w:t> </w:t>
      </w:r>
      <w:r>
        <w:rPr/>
        <w:t>state</w:t>
      </w:r>
      <w:r>
        <w:rPr>
          <w:spacing w:val="-6"/>
        </w:rPr>
        <w:t> </w:t>
      </w:r>
      <w:r>
        <w:rPr/>
        <w:t>to</w:t>
      </w:r>
      <w:r>
        <w:rPr>
          <w:spacing w:val="-5"/>
        </w:rPr>
        <w:t> </w:t>
      </w:r>
      <w:r>
        <w:rPr/>
        <w:t>learn</w:t>
      </w:r>
      <w:r>
        <w:rPr>
          <w:spacing w:val="-6"/>
        </w:rPr>
        <w:t> </w:t>
      </w:r>
      <w:r>
        <w:rPr/>
        <w:t>more</w:t>
      </w:r>
      <w:r>
        <w:rPr>
          <w:spacing w:val="-4"/>
        </w:rPr>
        <w:t> </w:t>
      </w:r>
      <w:r>
        <w:rPr/>
        <w:t>about</w:t>
      </w:r>
      <w:r>
        <w:rPr>
          <w:spacing w:val="-6"/>
        </w:rPr>
        <w:t> </w:t>
      </w:r>
      <w:r>
        <w:rPr/>
        <w:t>internal</w:t>
      </w:r>
      <w:r>
        <w:rPr>
          <w:spacing w:val="-6"/>
        </w:rPr>
        <w:t> </w:t>
      </w:r>
      <w:r>
        <w:rPr/>
        <w:t>policies</w:t>
      </w:r>
      <w:r>
        <w:rPr>
          <w:spacing w:val="-4"/>
        </w:rPr>
        <w:t> </w:t>
      </w:r>
      <w:r>
        <w:rPr/>
        <w:t>and</w:t>
      </w:r>
      <w:r>
        <w:rPr>
          <w:spacing w:val="-4"/>
        </w:rPr>
        <w:t> </w:t>
      </w:r>
      <w:r>
        <w:rPr/>
        <w:t>process</w:t>
      </w:r>
      <w:r>
        <w:rPr>
          <w:spacing w:val="-5"/>
        </w:rPr>
        <w:t> </w:t>
      </w:r>
      <w:r>
        <w:rPr/>
        <w:t>for</w:t>
      </w:r>
      <w:r>
        <w:rPr>
          <w:spacing w:val="-5"/>
        </w:rPr>
        <w:t> </w:t>
      </w:r>
      <w:r>
        <w:rPr/>
        <w:t>serving</w:t>
      </w:r>
      <w:r>
        <w:rPr>
          <w:spacing w:val="-6"/>
        </w:rPr>
        <w:t> </w:t>
      </w:r>
      <w:r>
        <w:rPr/>
        <w:t>LGBTQ</w:t>
      </w:r>
      <w:r>
        <w:rPr>
          <w:spacing w:val="-4"/>
        </w:rPr>
        <w:t> </w:t>
      </w:r>
      <w:r>
        <w:rPr/>
        <w:t>clients,</w:t>
      </w:r>
      <w:r>
        <w:rPr>
          <w:spacing w:val="-5"/>
        </w:rPr>
        <w:t> </w:t>
      </w:r>
      <w:r>
        <w:rPr/>
        <w:t>with a particular emphasis on culturally appropriate services for QTBIPOC young people. Additionally, such a plan</w:t>
      </w:r>
      <w:r>
        <w:rPr>
          <w:spacing w:val="-8"/>
        </w:rPr>
        <w:t> </w:t>
      </w:r>
      <w:r>
        <w:rPr/>
        <w:t>should</w:t>
      </w:r>
      <w:r>
        <w:rPr>
          <w:spacing w:val="-8"/>
        </w:rPr>
        <w:t> </w:t>
      </w:r>
      <w:r>
        <w:rPr/>
        <w:t>include</w:t>
      </w:r>
      <w:r>
        <w:rPr>
          <w:spacing w:val="-8"/>
        </w:rPr>
        <w:t> </w:t>
      </w:r>
      <w:r>
        <w:rPr/>
        <w:t>transparent</w:t>
      </w:r>
      <w:r>
        <w:rPr>
          <w:spacing w:val="-8"/>
        </w:rPr>
        <w:t> </w:t>
      </w:r>
      <w:r>
        <w:rPr/>
        <w:t>reporting</w:t>
      </w:r>
      <w:r>
        <w:rPr>
          <w:spacing w:val="-8"/>
        </w:rPr>
        <w:t> </w:t>
      </w:r>
      <w:r>
        <w:rPr/>
        <w:t>to</w:t>
      </w:r>
      <w:r>
        <w:rPr>
          <w:spacing w:val="-7"/>
        </w:rPr>
        <w:t> </w:t>
      </w:r>
      <w:r>
        <w:rPr/>
        <w:t>the</w:t>
      </w:r>
      <w:r>
        <w:rPr>
          <w:spacing w:val="-8"/>
        </w:rPr>
        <w:t> </w:t>
      </w:r>
      <w:r>
        <w:rPr/>
        <w:t>public</w:t>
      </w:r>
      <w:r>
        <w:rPr>
          <w:spacing w:val="-8"/>
        </w:rPr>
        <w:t> </w:t>
      </w:r>
      <w:r>
        <w:rPr/>
        <w:t>on</w:t>
      </w:r>
      <w:r>
        <w:rPr>
          <w:spacing w:val="-8"/>
        </w:rPr>
        <w:t> </w:t>
      </w:r>
      <w:r>
        <w:rPr/>
        <w:t>the</w:t>
      </w:r>
      <w:r>
        <w:rPr>
          <w:spacing w:val="-8"/>
        </w:rPr>
        <w:t> </w:t>
      </w:r>
      <w:r>
        <w:rPr/>
        <w:t>outcomes</w:t>
      </w:r>
      <w:r>
        <w:rPr>
          <w:spacing w:val="-8"/>
        </w:rPr>
        <w:t> </w:t>
      </w:r>
      <w:r>
        <w:rPr/>
        <w:t>of</w:t>
      </w:r>
      <w:r>
        <w:rPr>
          <w:spacing w:val="-8"/>
        </w:rPr>
        <w:t> </w:t>
      </w:r>
      <w:r>
        <w:rPr/>
        <w:t>these</w:t>
      </w:r>
      <w:r>
        <w:rPr>
          <w:spacing w:val="-8"/>
        </w:rPr>
        <w:t> </w:t>
      </w:r>
      <w:r>
        <w:rPr/>
        <w:t>conversations</w:t>
      </w:r>
      <w:r>
        <w:rPr>
          <w:spacing w:val="-8"/>
        </w:rPr>
        <w:t> </w:t>
      </w:r>
      <w:r>
        <w:rPr/>
        <w:t>and</w:t>
      </w:r>
      <w:r>
        <w:rPr>
          <w:spacing w:val="-8"/>
        </w:rPr>
        <w:t> </w:t>
      </w:r>
      <w:r>
        <w:rPr/>
        <w:t>must incorporate intentional community conversations with LGBTQ young people experiencing homelessness and</w:t>
      </w:r>
      <w:r>
        <w:rPr>
          <w:spacing w:val="-5"/>
        </w:rPr>
        <w:t> </w:t>
      </w:r>
      <w:r>
        <w:rPr/>
        <w:t>community</w:t>
      </w:r>
      <w:r>
        <w:rPr>
          <w:spacing w:val="-5"/>
        </w:rPr>
        <w:t> </w:t>
      </w:r>
      <w:r>
        <w:rPr/>
        <w:t>providers.</w:t>
      </w:r>
      <w:r>
        <w:rPr>
          <w:spacing w:val="-4"/>
        </w:rPr>
        <w:t> </w:t>
      </w:r>
      <w:r>
        <w:rPr/>
        <w:t>EOHLC</w:t>
      </w:r>
      <w:r>
        <w:rPr>
          <w:spacing w:val="-5"/>
        </w:rPr>
        <w:t> </w:t>
      </w:r>
      <w:r>
        <w:rPr/>
        <w:t>has</w:t>
      </w:r>
      <w:r>
        <w:rPr>
          <w:spacing w:val="-5"/>
        </w:rPr>
        <w:t> </w:t>
      </w:r>
      <w:r>
        <w:rPr/>
        <w:t>noted</w:t>
      </w:r>
      <w:r>
        <w:rPr>
          <w:spacing w:val="-5"/>
        </w:rPr>
        <w:t> </w:t>
      </w:r>
      <w:r>
        <w:rPr/>
        <w:t>to</w:t>
      </w:r>
      <w:r>
        <w:rPr>
          <w:spacing w:val="-3"/>
        </w:rPr>
        <w:t> </w:t>
      </w:r>
      <w:r>
        <w:rPr/>
        <w:t>the</w:t>
      </w:r>
      <w:r>
        <w:rPr>
          <w:spacing w:val="-5"/>
        </w:rPr>
        <w:t> </w:t>
      </w:r>
      <w:r>
        <w:rPr/>
        <w:t>Commission</w:t>
      </w:r>
      <w:r>
        <w:rPr>
          <w:spacing w:val="-5"/>
        </w:rPr>
        <w:t> </w:t>
      </w:r>
      <w:r>
        <w:rPr/>
        <w:t>that</w:t>
      </w:r>
      <w:r>
        <w:rPr>
          <w:spacing w:val="-5"/>
        </w:rPr>
        <w:t> </w:t>
      </w:r>
      <w:r>
        <w:rPr/>
        <w:t>its</w:t>
      </w:r>
      <w:r>
        <w:rPr>
          <w:spacing w:val="-5"/>
        </w:rPr>
        <w:t> </w:t>
      </w:r>
      <w:r>
        <w:rPr/>
        <w:t>shelter</w:t>
      </w:r>
      <w:r>
        <w:rPr>
          <w:spacing w:val="-4"/>
        </w:rPr>
        <w:t> </w:t>
      </w:r>
      <w:r>
        <w:rPr/>
        <w:t>policy</w:t>
      </w:r>
      <w:r>
        <w:rPr>
          <w:spacing w:val="-5"/>
        </w:rPr>
        <w:t> </w:t>
      </w:r>
      <w:r>
        <w:rPr/>
        <w:t>review</w:t>
      </w:r>
      <w:r>
        <w:rPr>
          <w:spacing w:val="-4"/>
        </w:rPr>
        <w:t> </w:t>
      </w:r>
      <w:r>
        <w:rPr/>
        <w:t>is</w:t>
      </w:r>
      <w:r>
        <w:rPr>
          <w:spacing w:val="-5"/>
        </w:rPr>
        <w:t> </w:t>
      </w:r>
      <w:r>
        <w:rPr/>
        <w:t>underway and that it will coordinate with the Unaccompanied Homeless Youth Commission (UHYC) and others in receiving further feedback and recommendations from community providers and LGBTQ youth experiencing homelessness.</w:t>
      </w:r>
    </w:p>
    <w:p>
      <w:pPr>
        <w:numPr>
          <w:ilvl w:val="0"/>
          <w:numId w:val="46"/>
        </w:numPr>
        <w:tabs>
          <w:tab w:pos="481" w:val="left" w:leader="none"/>
          <w:tab w:pos="483" w:val="left" w:leader="none"/>
        </w:tabs>
        <w:spacing w:line="276" w:lineRule="auto" w:before="240"/>
        <w:ind w:left="483" w:right="343" w:hanging="360"/>
        <w:jc w:val="both"/>
        <w:rPr>
          <w:b/>
          <w:sz w:val="22"/>
        </w:rPr>
      </w:pPr>
      <w:r>
        <w:rPr>
          <w:b/>
          <w:sz w:val="22"/>
        </w:rPr>
        <w:t>Improve</w:t>
      </w:r>
      <w:r>
        <w:rPr>
          <w:b/>
          <w:spacing w:val="-10"/>
          <w:sz w:val="22"/>
        </w:rPr>
        <w:t> </w:t>
      </w:r>
      <w:r>
        <w:rPr>
          <w:b/>
          <w:sz w:val="22"/>
        </w:rPr>
        <w:t>interagency</w:t>
      </w:r>
      <w:r>
        <w:rPr>
          <w:b/>
          <w:spacing w:val="-11"/>
          <w:sz w:val="22"/>
        </w:rPr>
        <w:t> </w:t>
      </w:r>
      <w:r>
        <w:rPr>
          <w:b/>
          <w:sz w:val="22"/>
        </w:rPr>
        <w:t>collaboration</w:t>
      </w:r>
      <w:r>
        <w:rPr>
          <w:b/>
          <w:spacing w:val="-10"/>
          <w:sz w:val="22"/>
        </w:rPr>
        <w:t> </w:t>
      </w:r>
      <w:r>
        <w:rPr>
          <w:b/>
          <w:sz w:val="22"/>
        </w:rPr>
        <w:t>to</w:t>
      </w:r>
      <w:r>
        <w:rPr>
          <w:b/>
          <w:spacing w:val="-11"/>
          <w:sz w:val="22"/>
        </w:rPr>
        <w:t> </w:t>
      </w:r>
      <w:r>
        <w:rPr>
          <w:b/>
          <w:sz w:val="22"/>
        </w:rPr>
        <w:t>support</w:t>
      </w:r>
      <w:r>
        <w:rPr>
          <w:b/>
          <w:spacing w:val="-10"/>
          <w:sz w:val="22"/>
        </w:rPr>
        <w:t> </w:t>
      </w:r>
      <w:r>
        <w:rPr>
          <w:b/>
          <w:sz w:val="22"/>
        </w:rPr>
        <w:t>LGBTQ</w:t>
      </w:r>
      <w:r>
        <w:rPr>
          <w:b/>
          <w:spacing w:val="-10"/>
          <w:sz w:val="22"/>
        </w:rPr>
        <w:t> </w:t>
      </w:r>
      <w:r>
        <w:rPr>
          <w:b/>
          <w:sz w:val="22"/>
        </w:rPr>
        <w:t>youth</w:t>
      </w:r>
      <w:r>
        <w:rPr>
          <w:b/>
          <w:spacing w:val="-10"/>
          <w:sz w:val="22"/>
        </w:rPr>
        <w:t> </w:t>
      </w:r>
      <w:r>
        <w:rPr>
          <w:b/>
          <w:sz w:val="22"/>
        </w:rPr>
        <w:t>experiencing</w:t>
      </w:r>
      <w:r>
        <w:rPr>
          <w:b/>
          <w:spacing w:val="-10"/>
          <w:sz w:val="22"/>
        </w:rPr>
        <w:t> </w:t>
      </w:r>
      <w:r>
        <w:rPr>
          <w:b/>
          <w:sz w:val="22"/>
        </w:rPr>
        <w:t>homelessness,</w:t>
      </w:r>
      <w:r>
        <w:rPr>
          <w:b/>
          <w:spacing w:val="-10"/>
          <w:sz w:val="22"/>
        </w:rPr>
        <w:t> </w:t>
      </w:r>
      <w:r>
        <w:rPr>
          <w:b/>
          <w:sz w:val="22"/>
        </w:rPr>
        <w:t>with</w:t>
      </w:r>
      <w:r>
        <w:rPr>
          <w:b/>
          <w:spacing w:val="-10"/>
          <w:sz w:val="22"/>
        </w:rPr>
        <w:t> </w:t>
      </w:r>
      <w:r>
        <w:rPr>
          <w:b/>
          <w:sz w:val="22"/>
        </w:rPr>
        <w:t>particular attention to supporting LGBTQ immigrant youth and youth transitioning out of the child welfare </w:t>
      </w:r>
      <w:r>
        <w:rPr>
          <w:b/>
          <w:spacing w:val="-2"/>
          <w:sz w:val="22"/>
        </w:rPr>
        <w:t>system.</w:t>
      </w:r>
    </w:p>
    <w:p>
      <w:pPr>
        <w:pStyle w:val="BodyText"/>
        <w:spacing w:line="276" w:lineRule="auto" w:before="239"/>
        <w:ind w:left="483" w:right="341"/>
        <w:jc w:val="both"/>
      </w:pPr>
      <w:r>
        <w:rPr/>
        <w:t>As</w:t>
      </w:r>
      <w:r>
        <w:rPr>
          <w:spacing w:val="-11"/>
        </w:rPr>
        <w:t> </w:t>
      </w:r>
      <w:r>
        <w:rPr/>
        <w:t>discussed</w:t>
      </w:r>
      <w:r>
        <w:rPr>
          <w:spacing w:val="-12"/>
        </w:rPr>
        <w:t> </w:t>
      </w:r>
      <w:r>
        <w:rPr/>
        <w:t>throughout</w:t>
      </w:r>
      <w:r>
        <w:rPr>
          <w:spacing w:val="-11"/>
        </w:rPr>
        <w:t> </w:t>
      </w:r>
      <w:r>
        <w:rPr/>
        <w:t>the</w:t>
      </w:r>
      <w:r>
        <w:rPr>
          <w:spacing w:val="-12"/>
        </w:rPr>
        <w:t> </w:t>
      </w:r>
      <w:r>
        <w:rPr/>
        <w:t>Commission’s</w:t>
      </w:r>
      <w:r>
        <w:rPr>
          <w:spacing w:val="-11"/>
        </w:rPr>
        <w:t> </w:t>
      </w:r>
      <w:r>
        <w:rPr/>
        <w:t>report</w:t>
      </w:r>
      <w:r>
        <w:rPr>
          <w:spacing w:val="-12"/>
        </w:rPr>
        <w:t> </w:t>
      </w:r>
      <w:r>
        <w:rPr/>
        <w:t>for</w:t>
      </w:r>
      <w:r>
        <w:rPr>
          <w:spacing w:val="-11"/>
        </w:rPr>
        <w:t> </w:t>
      </w:r>
      <w:r>
        <w:rPr/>
        <w:t>the</w:t>
      </w:r>
      <w:r>
        <w:rPr>
          <w:spacing w:val="-12"/>
        </w:rPr>
        <w:t> </w:t>
      </w:r>
      <w:r>
        <w:rPr/>
        <w:t>last</w:t>
      </w:r>
      <w:r>
        <w:rPr>
          <w:spacing w:val="-12"/>
        </w:rPr>
        <w:t> </w:t>
      </w:r>
      <w:r>
        <w:rPr/>
        <w:t>few</w:t>
      </w:r>
      <w:r>
        <w:rPr>
          <w:spacing w:val="-11"/>
        </w:rPr>
        <w:t> </w:t>
      </w:r>
      <w:r>
        <w:rPr/>
        <w:t>years,</w:t>
      </w:r>
      <w:r>
        <w:rPr>
          <w:spacing w:val="-11"/>
        </w:rPr>
        <w:t> </w:t>
      </w:r>
      <w:r>
        <w:rPr/>
        <w:t>often</w:t>
      </w:r>
      <w:r>
        <w:rPr>
          <w:spacing w:val="-12"/>
        </w:rPr>
        <w:t> </w:t>
      </w:r>
      <w:r>
        <w:rPr/>
        <w:t>many</w:t>
      </w:r>
      <w:r>
        <w:rPr>
          <w:spacing w:val="-11"/>
        </w:rPr>
        <w:t> </w:t>
      </w:r>
      <w:r>
        <w:rPr/>
        <w:t>of</w:t>
      </w:r>
      <w:r>
        <w:rPr>
          <w:spacing w:val="-11"/>
        </w:rPr>
        <w:t> </w:t>
      </w:r>
      <w:r>
        <w:rPr/>
        <w:t>the</w:t>
      </w:r>
      <w:r>
        <w:rPr>
          <w:spacing w:val="-12"/>
        </w:rPr>
        <w:t> </w:t>
      </w:r>
      <w:r>
        <w:rPr/>
        <w:t>systemic</w:t>
      </w:r>
      <w:r>
        <w:rPr>
          <w:spacing w:val="-12"/>
        </w:rPr>
        <w:t> </w:t>
      </w:r>
      <w:r>
        <w:rPr/>
        <w:t>issues that young people face when attempting to access state services occur due to a lack of communication between state agencies. While EOHLC has several established relationships throughout the state, particularly with the UHYC, the Commission strongly recommends that the secretariat work to examine its</w:t>
      </w:r>
      <w:r>
        <w:rPr>
          <w:spacing w:val="-8"/>
        </w:rPr>
        <w:t> </w:t>
      </w:r>
      <w:r>
        <w:rPr/>
        <w:t>potential</w:t>
      </w:r>
      <w:r>
        <w:rPr>
          <w:spacing w:val="-8"/>
        </w:rPr>
        <w:t> </w:t>
      </w:r>
      <w:r>
        <w:rPr/>
        <w:t>programs</w:t>
      </w:r>
      <w:r>
        <w:rPr>
          <w:spacing w:val="-8"/>
        </w:rPr>
        <w:t> </w:t>
      </w:r>
      <w:r>
        <w:rPr/>
        <w:t>and</w:t>
      </w:r>
      <w:r>
        <w:rPr>
          <w:spacing w:val="-8"/>
        </w:rPr>
        <w:t> </w:t>
      </w:r>
      <w:r>
        <w:rPr/>
        <w:t>relationships</w:t>
      </w:r>
      <w:r>
        <w:rPr>
          <w:spacing w:val="-8"/>
        </w:rPr>
        <w:t> </w:t>
      </w:r>
      <w:r>
        <w:rPr/>
        <w:t>with</w:t>
      </w:r>
      <w:r>
        <w:rPr>
          <w:spacing w:val="-9"/>
        </w:rPr>
        <w:t> </w:t>
      </w:r>
      <w:r>
        <w:rPr/>
        <w:t>agencies</w:t>
      </w:r>
      <w:r>
        <w:rPr>
          <w:spacing w:val="-8"/>
        </w:rPr>
        <w:t> </w:t>
      </w:r>
      <w:r>
        <w:rPr/>
        <w:t>such</w:t>
      </w:r>
      <w:r>
        <w:rPr>
          <w:spacing w:val="-8"/>
        </w:rPr>
        <w:t> </w:t>
      </w:r>
      <w:r>
        <w:rPr/>
        <w:t>as</w:t>
      </w:r>
      <w:r>
        <w:rPr>
          <w:spacing w:val="-8"/>
        </w:rPr>
        <w:t> </w:t>
      </w:r>
      <w:r>
        <w:rPr/>
        <w:t>DCF,</w:t>
      </w:r>
      <w:r>
        <w:rPr>
          <w:spacing w:val="-8"/>
        </w:rPr>
        <w:t> </w:t>
      </w:r>
      <w:r>
        <w:rPr/>
        <w:t>DYS,</w:t>
      </w:r>
      <w:r>
        <w:rPr>
          <w:spacing w:val="-9"/>
        </w:rPr>
        <w:t> </w:t>
      </w:r>
      <w:r>
        <w:rPr/>
        <w:t>and</w:t>
      </w:r>
      <w:r>
        <w:rPr>
          <w:spacing w:val="-8"/>
        </w:rPr>
        <w:t> </w:t>
      </w:r>
      <w:r>
        <w:rPr/>
        <w:t>ORI</w:t>
      </w:r>
      <w:r>
        <w:rPr>
          <w:spacing w:val="-8"/>
        </w:rPr>
        <w:t> </w:t>
      </w:r>
      <w:r>
        <w:rPr/>
        <w:t>to</w:t>
      </w:r>
      <w:r>
        <w:rPr>
          <w:spacing w:val="-8"/>
        </w:rPr>
        <w:t> </w:t>
      </w:r>
      <w:r>
        <w:rPr/>
        <w:t>ensure</w:t>
      </w:r>
      <w:r>
        <w:rPr>
          <w:spacing w:val="-8"/>
        </w:rPr>
        <w:t> </w:t>
      </w:r>
      <w:r>
        <w:rPr/>
        <w:t>that</w:t>
      </w:r>
      <w:r>
        <w:rPr>
          <w:spacing w:val="-9"/>
        </w:rPr>
        <w:t> </w:t>
      </w:r>
      <w:r>
        <w:rPr/>
        <w:t>the</w:t>
      </w:r>
      <w:r>
        <w:rPr>
          <w:spacing w:val="-8"/>
        </w:rPr>
        <w:t> </w:t>
      </w:r>
      <w:r>
        <w:rPr/>
        <w:t>needs of</w:t>
      </w:r>
      <w:r>
        <w:rPr>
          <w:spacing w:val="-5"/>
        </w:rPr>
        <w:t> </w:t>
      </w:r>
      <w:r>
        <w:rPr/>
        <w:t>youth</w:t>
      </w:r>
      <w:r>
        <w:rPr>
          <w:spacing w:val="-6"/>
        </w:rPr>
        <w:t> </w:t>
      </w:r>
      <w:r>
        <w:rPr/>
        <w:t>-</w:t>
      </w:r>
      <w:r>
        <w:rPr>
          <w:spacing w:val="-4"/>
        </w:rPr>
        <w:t> </w:t>
      </w:r>
      <w:r>
        <w:rPr/>
        <w:t>particularly</w:t>
      </w:r>
      <w:r>
        <w:rPr>
          <w:spacing w:val="-4"/>
        </w:rPr>
        <w:t> </w:t>
      </w:r>
      <w:r>
        <w:rPr/>
        <w:t>transition-aged</w:t>
      </w:r>
      <w:r>
        <w:rPr>
          <w:spacing w:val="-4"/>
        </w:rPr>
        <w:t> </w:t>
      </w:r>
      <w:r>
        <w:rPr/>
        <w:t>youth</w:t>
      </w:r>
      <w:r>
        <w:rPr>
          <w:spacing w:val="-6"/>
        </w:rPr>
        <w:t> </w:t>
      </w:r>
      <w:r>
        <w:rPr/>
        <w:t>and</w:t>
      </w:r>
      <w:r>
        <w:rPr>
          <w:spacing w:val="-6"/>
        </w:rPr>
        <w:t> </w:t>
      </w:r>
      <w:r>
        <w:rPr/>
        <w:t>immigrant</w:t>
      </w:r>
      <w:r>
        <w:rPr>
          <w:spacing w:val="-6"/>
        </w:rPr>
        <w:t> </w:t>
      </w:r>
      <w:r>
        <w:rPr/>
        <w:t>youth</w:t>
      </w:r>
      <w:r>
        <w:rPr>
          <w:spacing w:val="-6"/>
        </w:rPr>
        <w:t> </w:t>
      </w:r>
      <w:r>
        <w:rPr/>
        <w:t>-</w:t>
      </w:r>
      <w:r>
        <w:rPr>
          <w:spacing w:val="-4"/>
        </w:rPr>
        <w:t> </w:t>
      </w:r>
      <w:r>
        <w:rPr/>
        <w:t>are</w:t>
      </w:r>
      <w:r>
        <w:rPr>
          <w:spacing w:val="-6"/>
        </w:rPr>
        <w:t> </w:t>
      </w:r>
      <w:r>
        <w:rPr/>
        <w:t>being</w:t>
      </w:r>
      <w:r>
        <w:rPr>
          <w:spacing w:val="-4"/>
        </w:rPr>
        <w:t> </w:t>
      </w:r>
      <w:r>
        <w:rPr/>
        <w:t>met.</w:t>
      </w:r>
      <w:r>
        <w:rPr>
          <w:spacing w:val="-6"/>
        </w:rPr>
        <w:t> </w:t>
      </w:r>
      <w:r>
        <w:rPr/>
        <w:t>Furthermore,</w:t>
      </w:r>
      <w:r>
        <w:rPr>
          <w:spacing w:val="-5"/>
        </w:rPr>
        <w:t> </w:t>
      </w:r>
      <w:r>
        <w:rPr/>
        <w:t>as</w:t>
      </w:r>
      <w:r>
        <w:rPr>
          <w:spacing w:val="-5"/>
        </w:rPr>
        <w:t> </w:t>
      </w:r>
      <w:r>
        <w:rPr/>
        <w:t>noted above, hosting or participating with the UHYC in community conversations or listening sessions with community partners in the homelessness space</w:t>
      </w:r>
      <w:r>
        <w:rPr>
          <w:spacing w:val="-1"/>
        </w:rPr>
        <w:t> </w:t>
      </w:r>
      <w:r>
        <w:rPr/>
        <w:t>who actively work with</w:t>
      </w:r>
      <w:r>
        <w:rPr>
          <w:spacing w:val="-1"/>
        </w:rPr>
        <w:t> </w:t>
      </w:r>
      <w:r>
        <w:rPr/>
        <w:t>LGBTQ young</w:t>
      </w:r>
      <w:r>
        <w:rPr>
          <w:spacing w:val="-1"/>
        </w:rPr>
        <w:t> </w:t>
      </w:r>
      <w:r>
        <w:rPr/>
        <w:t>people is essential </w:t>
      </w:r>
      <w:r>
        <w:rPr>
          <w:spacing w:val="-2"/>
        </w:rPr>
        <w:t>in</w:t>
      </w:r>
      <w:r>
        <w:rPr>
          <w:spacing w:val="-4"/>
        </w:rPr>
        <w:t> </w:t>
      </w:r>
      <w:r>
        <w:rPr>
          <w:spacing w:val="-2"/>
        </w:rPr>
        <w:t>ensuring</w:t>
      </w:r>
      <w:r>
        <w:rPr>
          <w:spacing w:val="-3"/>
        </w:rPr>
        <w:t> </w:t>
      </w:r>
      <w:r>
        <w:rPr>
          <w:spacing w:val="-2"/>
        </w:rPr>
        <w:t>that</w:t>
      </w:r>
      <w:r>
        <w:rPr>
          <w:spacing w:val="-4"/>
        </w:rPr>
        <w:t> </w:t>
      </w:r>
      <w:r>
        <w:rPr>
          <w:spacing w:val="-2"/>
        </w:rPr>
        <w:t>its state</w:t>
      </w:r>
      <w:r>
        <w:rPr>
          <w:spacing w:val="-3"/>
        </w:rPr>
        <w:t> </w:t>
      </w:r>
      <w:r>
        <w:rPr>
          <w:spacing w:val="-2"/>
        </w:rPr>
        <w:t>services</w:t>
      </w:r>
      <w:r>
        <w:rPr>
          <w:spacing w:val="-3"/>
        </w:rPr>
        <w:t> </w:t>
      </w:r>
      <w:r>
        <w:rPr>
          <w:spacing w:val="-2"/>
        </w:rPr>
        <w:t>are</w:t>
      </w:r>
      <w:r>
        <w:rPr>
          <w:spacing w:val="-3"/>
        </w:rPr>
        <w:t> </w:t>
      </w:r>
      <w:r>
        <w:rPr>
          <w:spacing w:val="-2"/>
        </w:rPr>
        <w:t>reaching</w:t>
      </w:r>
      <w:r>
        <w:rPr>
          <w:spacing w:val="-3"/>
        </w:rPr>
        <w:t> </w:t>
      </w:r>
      <w:r>
        <w:rPr>
          <w:spacing w:val="-2"/>
        </w:rPr>
        <w:t>among</w:t>
      </w:r>
      <w:r>
        <w:rPr>
          <w:spacing w:val="-3"/>
        </w:rPr>
        <w:t> </w:t>
      </w:r>
      <w:r>
        <w:rPr>
          <w:spacing w:val="-2"/>
        </w:rPr>
        <w:t>the</w:t>
      </w:r>
      <w:r>
        <w:rPr>
          <w:spacing w:val="-3"/>
        </w:rPr>
        <w:t> </w:t>
      </w:r>
      <w:r>
        <w:rPr>
          <w:spacing w:val="-2"/>
        </w:rPr>
        <w:t>most underserved</w:t>
      </w:r>
      <w:r>
        <w:rPr>
          <w:spacing w:val="-4"/>
        </w:rPr>
        <w:t> </w:t>
      </w:r>
      <w:r>
        <w:rPr>
          <w:spacing w:val="-2"/>
        </w:rPr>
        <w:t>youth</w:t>
      </w:r>
      <w:r>
        <w:rPr>
          <w:spacing w:val="-3"/>
        </w:rPr>
        <w:t> </w:t>
      </w:r>
      <w:r>
        <w:rPr>
          <w:spacing w:val="-2"/>
        </w:rPr>
        <w:t>in the</w:t>
      </w:r>
      <w:r>
        <w:rPr>
          <w:spacing w:val="-4"/>
        </w:rPr>
        <w:t> </w:t>
      </w:r>
      <w:r>
        <w:rPr>
          <w:spacing w:val="-2"/>
        </w:rPr>
        <w:t>Commonwealth.</w:t>
      </w:r>
    </w:p>
    <w:p>
      <w:pPr>
        <w:numPr>
          <w:ilvl w:val="0"/>
          <w:numId w:val="46"/>
        </w:numPr>
        <w:tabs>
          <w:tab w:pos="481" w:val="left" w:leader="none"/>
          <w:tab w:pos="483" w:val="left" w:leader="none"/>
        </w:tabs>
        <w:spacing w:line="276" w:lineRule="auto" w:before="240"/>
        <w:ind w:left="483" w:right="348" w:hanging="360"/>
        <w:jc w:val="both"/>
        <w:rPr>
          <w:b/>
          <w:sz w:val="22"/>
        </w:rPr>
      </w:pPr>
      <w:r>
        <w:rPr>
          <w:b/>
          <w:sz w:val="22"/>
        </w:rPr>
        <w:t>Investigate with Continuums of Care and community providers to ensure that youth are able to travel between CoCs without facing systemic barriers to accessing appropriate housing services.</w:t>
      </w:r>
    </w:p>
    <w:p>
      <w:pPr>
        <w:pStyle w:val="BodyText"/>
        <w:spacing w:line="276" w:lineRule="auto" w:before="240"/>
        <w:ind w:left="482" w:right="341"/>
        <w:jc w:val="both"/>
      </w:pPr>
      <w:r>
        <w:rPr/>
        <w:t>In its FY 2024 recommendations report, the Commission first highlighted its concerns with an issue that came to its attention in early 2023 around youth transitioning between CoCs who fall down the housing voucher</w:t>
      </w:r>
      <w:r>
        <w:rPr>
          <w:spacing w:val="-9"/>
        </w:rPr>
        <w:t> </w:t>
      </w:r>
      <w:r>
        <w:rPr/>
        <w:t>priority</w:t>
      </w:r>
      <w:r>
        <w:rPr>
          <w:spacing w:val="-9"/>
        </w:rPr>
        <w:t> </w:t>
      </w:r>
      <w:r>
        <w:rPr/>
        <w:t>list.</w:t>
      </w:r>
      <w:r>
        <w:rPr>
          <w:spacing w:val="-9"/>
        </w:rPr>
        <w:t> </w:t>
      </w:r>
      <w:r>
        <w:rPr/>
        <w:t>The</w:t>
      </w:r>
      <w:r>
        <w:rPr>
          <w:spacing w:val="-9"/>
        </w:rPr>
        <w:t> </w:t>
      </w:r>
      <w:r>
        <w:rPr/>
        <w:t>Commission</w:t>
      </w:r>
      <w:r>
        <w:rPr>
          <w:spacing w:val="-9"/>
        </w:rPr>
        <w:t> </w:t>
      </w:r>
      <w:r>
        <w:rPr/>
        <w:t>appreciates</w:t>
      </w:r>
      <w:r>
        <w:rPr>
          <w:spacing w:val="-9"/>
        </w:rPr>
        <w:t> </w:t>
      </w:r>
      <w:r>
        <w:rPr/>
        <w:t>the</w:t>
      </w:r>
      <w:r>
        <w:rPr>
          <w:spacing w:val="-9"/>
        </w:rPr>
        <w:t> </w:t>
      </w:r>
      <w:r>
        <w:rPr/>
        <w:t>information</w:t>
      </w:r>
      <w:r>
        <w:rPr>
          <w:spacing w:val="-9"/>
        </w:rPr>
        <w:t> </w:t>
      </w:r>
      <w:r>
        <w:rPr/>
        <w:t>that</w:t>
      </w:r>
      <w:r>
        <w:rPr>
          <w:spacing w:val="-9"/>
        </w:rPr>
        <w:t> </w:t>
      </w:r>
      <w:r>
        <w:rPr/>
        <w:t>EOHLC</w:t>
      </w:r>
      <w:r>
        <w:rPr>
          <w:spacing w:val="-9"/>
        </w:rPr>
        <w:t> </w:t>
      </w:r>
      <w:r>
        <w:rPr/>
        <w:t>has</w:t>
      </w:r>
      <w:r>
        <w:rPr>
          <w:spacing w:val="-9"/>
        </w:rPr>
        <w:t> </w:t>
      </w:r>
      <w:r>
        <w:rPr/>
        <w:t>shared</w:t>
      </w:r>
      <w:r>
        <w:rPr>
          <w:spacing w:val="-9"/>
        </w:rPr>
        <w:t> </w:t>
      </w:r>
      <w:r>
        <w:rPr/>
        <w:t>in</w:t>
      </w:r>
      <w:r>
        <w:rPr>
          <w:spacing w:val="-9"/>
        </w:rPr>
        <w:t> </w:t>
      </w:r>
      <w:r>
        <w:rPr/>
        <w:t>this</w:t>
      </w:r>
      <w:r>
        <w:rPr>
          <w:spacing w:val="-9"/>
        </w:rPr>
        <w:t> </w:t>
      </w:r>
      <w:r>
        <w:rPr/>
        <w:t>area</w:t>
      </w:r>
      <w:r>
        <w:rPr>
          <w:spacing w:val="-9"/>
        </w:rPr>
        <w:t> </w:t>
      </w:r>
      <w:r>
        <w:rPr/>
        <w:t>over the</w:t>
      </w:r>
      <w:r>
        <w:rPr>
          <w:spacing w:val="-8"/>
        </w:rPr>
        <w:t> </w:t>
      </w:r>
      <w:r>
        <w:rPr/>
        <w:t>past</w:t>
      </w:r>
      <w:r>
        <w:rPr>
          <w:spacing w:val="-7"/>
        </w:rPr>
        <w:t> </w:t>
      </w:r>
      <w:r>
        <w:rPr/>
        <w:t>year</w:t>
      </w:r>
      <w:r>
        <w:rPr>
          <w:spacing w:val="-6"/>
        </w:rPr>
        <w:t> </w:t>
      </w:r>
      <w:r>
        <w:rPr/>
        <w:t>and</w:t>
      </w:r>
      <w:r>
        <w:rPr>
          <w:spacing w:val="-8"/>
        </w:rPr>
        <w:t> </w:t>
      </w:r>
      <w:r>
        <w:rPr/>
        <w:t>understands</w:t>
      </w:r>
      <w:r>
        <w:rPr>
          <w:spacing w:val="-7"/>
        </w:rPr>
        <w:t> </w:t>
      </w:r>
      <w:r>
        <w:rPr/>
        <w:t>that</w:t>
      </w:r>
      <w:r>
        <w:rPr>
          <w:spacing w:val="-7"/>
        </w:rPr>
        <w:t> </w:t>
      </w:r>
      <w:r>
        <w:rPr/>
        <w:t>EOHLC</w:t>
      </w:r>
      <w:r>
        <w:rPr>
          <w:spacing w:val="-7"/>
        </w:rPr>
        <w:t> </w:t>
      </w:r>
      <w:r>
        <w:rPr/>
        <w:t>has</w:t>
      </w:r>
      <w:r>
        <w:rPr>
          <w:spacing w:val="-7"/>
        </w:rPr>
        <w:t> </w:t>
      </w:r>
      <w:r>
        <w:rPr/>
        <w:t>no</w:t>
      </w:r>
      <w:r>
        <w:rPr>
          <w:spacing w:val="-7"/>
        </w:rPr>
        <w:t> </w:t>
      </w:r>
      <w:r>
        <w:rPr/>
        <w:t>jurisdiction</w:t>
      </w:r>
      <w:r>
        <w:rPr>
          <w:spacing w:val="-8"/>
        </w:rPr>
        <w:t> </w:t>
      </w:r>
      <w:r>
        <w:rPr/>
        <w:t>over</w:t>
      </w:r>
      <w:r>
        <w:rPr>
          <w:spacing w:val="-6"/>
        </w:rPr>
        <w:t> </w:t>
      </w:r>
      <w:r>
        <w:rPr/>
        <w:t>CoCs</w:t>
      </w:r>
      <w:r>
        <w:rPr>
          <w:spacing w:val="-7"/>
        </w:rPr>
        <w:t> </w:t>
      </w:r>
      <w:r>
        <w:rPr/>
        <w:t>other</w:t>
      </w:r>
      <w:r>
        <w:rPr>
          <w:spacing w:val="-8"/>
        </w:rPr>
        <w:t> </w:t>
      </w:r>
      <w:r>
        <w:rPr/>
        <w:t>than</w:t>
      </w:r>
      <w:r>
        <w:rPr>
          <w:spacing w:val="-8"/>
        </w:rPr>
        <w:t> </w:t>
      </w:r>
      <w:r>
        <w:rPr/>
        <w:t>the</w:t>
      </w:r>
      <w:r>
        <w:rPr>
          <w:spacing w:val="-8"/>
        </w:rPr>
        <w:t> </w:t>
      </w:r>
      <w:r>
        <w:rPr/>
        <w:t>“Balance</w:t>
      </w:r>
      <w:r>
        <w:rPr>
          <w:spacing w:val="-8"/>
        </w:rPr>
        <w:t> </w:t>
      </w:r>
      <w:r>
        <w:rPr/>
        <w:t>of</w:t>
      </w:r>
      <w:r>
        <w:rPr>
          <w:spacing w:val="-8"/>
        </w:rPr>
        <w:t> </w:t>
      </w:r>
      <w:r>
        <w:rPr/>
        <w:t>State” CoC that EOHLC oversees. The Commission further understands that a new coordinated care data integration system has been released to CoCs that should resolve this issue. The idea of the new system element is that it should better track and share the information of youth who travel between CoCs. However, in</w:t>
      </w:r>
      <w:r>
        <w:rPr>
          <w:spacing w:val="-1"/>
        </w:rPr>
        <w:t> </w:t>
      </w:r>
      <w:r>
        <w:rPr/>
        <w:t>its February 2024 meeting, EOHLC noted</w:t>
      </w:r>
      <w:r>
        <w:rPr>
          <w:spacing w:val="-1"/>
        </w:rPr>
        <w:t> </w:t>
      </w:r>
      <w:r>
        <w:rPr/>
        <w:t>that</w:t>
      </w:r>
      <w:r>
        <w:rPr>
          <w:spacing w:val="-1"/>
        </w:rPr>
        <w:t> </w:t>
      </w:r>
      <w:r>
        <w:rPr/>
        <w:t>this component</w:t>
      </w:r>
      <w:r>
        <w:rPr>
          <w:spacing w:val="-1"/>
        </w:rPr>
        <w:t> </w:t>
      </w:r>
      <w:r>
        <w:rPr/>
        <w:t>is not</w:t>
      </w:r>
      <w:r>
        <w:rPr>
          <w:spacing w:val="-1"/>
        </w:rPr>
        <w:t> </w:t>
      </w:r>
      <w:r>
        <w:rPr/>
        <w:t>yet</w:t>
      </w:r>
      <w:r>
        <w:rPr>
          <w:spacing w:val="-1"/>
        </w:rPr>
        <w:t> </w:t>
      </w:r>
      <w:r>
        <w:rPr/>
        <w:t>as widely utilized</w:t>
      </w:r>
      <w:r>
        <w:rPr>
          <w:spacing w:val="-1"/>
        </w:rPr>
        <w:t> </w:t>
      </w:r>
      <w:r>
        <w:rPr/>
        <w:t>as it should be - though it is growing. As a result, the Commission recommends that EOHLC do outreach to CoCs, community providers, and youth experiencing homelessness to better understand if the issue has been successfully resolved, and if there are any other systemic issues occurring for young people experiencing homelessness.</w:t>
      </w:r>
    </w:p>
    <w:p>
      <w:pPr>
        <w:spacing w:after="0" w:line="276" w:lineRule="auto"/>
        <w:jc w:val="both"/>
        <w:sectPr>
          <w:pgSz w:w="12240" w:h="15840"/>
          <w:pgMar w:header="804" w:footer="1263" w:top="1000" w:bottom="1460" w:left="960" w:right="1100"/>
        </w:sectPr>
      </w:pPr>
    </w:p>
    <w:p>
      <w:pPr>
        <w:numPr>
          <w:ilvl w:val="0"/>
          <w:numId w:val="46"/>
        </w:numPr>
        <w:tabs>
          <w:tab w:pos="481" w:val="left" w:leader="none"/>
          <w:tab w:pos="483" w:val="left" w:leader="none"/>
        </w:tabs>
        <w:spacing w:line="276" w:lineRule="auto" w:before="139"/>
        <w:ind w:left="483" w:right="344" w:hanging="360"/>
        <w:jc w:val="left"/>
        <w:rPr>
          <w:b/>
          <w:sz w:val="22"/>
        </w:rPr>
      </w:pPr>
      <w:r>
        <w:rPr>
          <w:b/>
          <w:sz w:val="22"/>
        </w:rPr>
        <w:t>Explore</w:t>
      </w:r>
      <w:r>
        <w:rPr>
          <w:b/>
          <w:spacing w:val="-8"/>
          <w:sz w:val="22"/>
        </w:rPr>
        <w:t> </w:t>
      </w:r>
      <w:r>
        <w:rPr>
          <w:b/>
          <w:sz w:val="22"/>
        </w:rPr>
        <w:t>ways</w:t>
      </w:r>
      <w:r>
        <w:rPr>
          <w:b/>
          <w:spacing w:val="-8"/>
          <w:sz w:val="22"/>
        </w:rPr>
        <w:t> </w:t>
      </w:r>
      <w:r>
        <w:rPr>
          <w:b/>
          <w:sz w:val="22"/>
        </w:rPr>
        <w:t>to</w:t>
      </w:r>
      <w:r>
        <w:rPr>
          <w:b/>
          <w:spacing w:val="-8"/>
          <w:sz w:val="22"/>
        </w:rPr>
        <w:t> </w:t>
      </w:r>
      <w:r>
        <w:rPr>
          <w:b/>
          <w:sz w:val="22"/>
        </w:rPr>
        <w:t>encourage</w:t>
      </w:r>
      <w:r>
        <w:rPr>
          <w:b/>
          <w:spacing w:val="-9"/>
          <w:sz w:val="22"/>
        </w:rPr>
        <w:t> </w:t>
      </w:r>
      <w:r>
        <w:rPr>
          <w:b/>
          <w:sz w:val="22"/>
        </w:rPr>
        <w:t>the</w:t>
      </w:r>
      <w:r>
        <w:rPr>
          <w:b/>
          <w:spacing w:val="-9"/>
          <w:sz w:val="22"/>
        </w:rPr>
        <w:t> </w:t>
      </w:r>
      <w:r>
        <w:rPr>
          <w:b/>
          <w:sz w:val="22"/>
        </w:rPr>
        <w:t>development</w:t>
      </w:r>
      <w:r>
        <w:rPr>
          <w:b/>
          <w:spacing w:val="-9"/>
          <w:sz w:val="22"/>
        </w:rPr>
        <w:t> </w:t>
      </w:r>
      <w:r>
        <w:rPr>
          <w:b/>
          <w:sz w:val="22"/>
        </w:rPr>
        <w:t>and</w:t>
      </w:r>
      <w:r>
        <w:rPr>
          <w:b/>
          <w:spacing w:val="-9"/>
          <w:sz w:val="22"/>
        </w:rPr>
        <w:t> </w:t>
      </w:r>
      <w:r>
        <w:rPr>
          <w:b/>
          <w:sz w:val="22"/>
        </w:rPr>
        <w:t>funding</w:t>
      </w:r>
      <w:r>
        <w:rPr>
          <w:b/>
          <w:spacing w:val="-7"/>
          <w:sz w:val="22"/>
        </w:rPr>
        <w:t> </w:t>
      </w:r>
      <w:r>
        <w:rPr>
          <w:b/>
          <w:sz w:val="22"/>
        </w:rPr>
        <w:t>of</w:t>
      </w:r>
      <w:r>
        <w:rPr>
          <w:b/>
          <w:spacing w:val="-8"/>
          <w:sz w:val="22"/>
        </w:rPr>
        <w:t> </w:t>
      </w:r>
      <w:r>
        <w:rPr>
          <w:b/>
          <w:sz w:val="22"/>
        </w:rPr>
        <w:t>LGBTQ-specific</w:t>
      </w:r>
      <w:r>
        <w:rPr>
          <w:b/>
          <w:spacing w:val="-8"/>
          <w:sz w:val="22"/>
        </w:rPr>
        <w:t> </w:t>
      </w:r>
      <w:r>
        <w:rPr>
          <w:b/>
          <w:sz w:val="22"/>
        </w:rPr>
        <w:t>and</w:t>
      </w:r>
      <w:r>
        <w:rPr>
          <w:b/>
          <w:spacing w:val="-9"/>
          <w:sz w:val="22"/>
        </w:rPr>
        <w:t> </w:t>
      </w:r>
      <w:r>
        <w:rPr>
          <w:b/>
          <w:sz w:val="22"/>
        </w:rPr>
        <w:t>safe</w:t>
      </w:r>
      <w:r>
        <w:rPr>
          <w:b/>
          <w:spacing w:val="-9"/>
          <w:sz w:val="22"/>
        </w:rPr>
        <w:t> </w:t>
      </w:r>
      <w:r>
        <w:rPr>
          <w:b/>
          <w:sz w:val="22"/>
        </w:rPr>
        <w:t>shelters</w:t>
      </w:r>
      <w:r>
        <w:rPr>
          <w:b/>
          <w:spacing w:val="-9"/>
          <w:sz w:val="22"/>
        </w:rPr>
        <w:t> </w:t>
      </w:r>
      <w:r>
        <w:rPr>
          <w:b/>
          <w:sz w:val="22"/>
        </w:rPr>
        <w:t>for</w:t>
      </w:r>
      <w:r>
        <w:rPr>
          <w:b/>
          <w:spacing w:val="-9"/>
          <w:sz w:val="22"/>
        </w:rPr>
        <w:t> </w:t>
      </w:r>
      <w:r>
        <w:rPr>
          <w:b/>
          <w:sz w:val="22"/>
        </w:rPr>
        <w:t>youth, and alternative ways to address the housing crisis for youth.</w:t>
      </w:r>
    </w:p>
    <w:p>
      <w:pPr>
        <w:pStyle w:val="BodyText"/>
        <w:spacing w:line="276" w:lineRule="auto" w:before="239"/>
        <w:ind w:left="483" w:right="342"/>
        <w:jc w:val="both"/>
      </w:pPr>
      <w:r>
        <w:rPr/>
        <w:t>Massachusetts is in the midst of a severe housing and shelter crisis, but for LGBTQ youth the situation is even more severe due to the distinct lack of youth shelters and beds within existing shelters. The Commission</w:t>
      </w:r>
      <w:r>
        <w:rPr>
          <w:spacing w:val="-13"/>
        </w:rPr>
        <w:t> </w:t>
      </w:r>
      <w:r>
        <w:rPr/>
        <w:t>understands</w:t>
      </w:r>
      <w:r>
        <w:rPr>
          <w:spacing w:val="-12"/>
        </w:rPr>
        <w:t> </w:t>
      </w:r>
      <w:r>
        <w:rPr/>
        <w:t>that</w:t>
      </w:r>
      <w:r>
        <w:rPr>
          <w:spacing w:val="-13"/>
        </w:rPr>
        <w:t> </w:t>
      </w:r>
      <w:r>
        <w:rPr/>
        <w:t>EOHLC</w:t>
      </w:r>
      <w:r>
        <w:rPr>
          <w:spacing w:val="-12"/>
        </w:rPr>
        <w:t> </w:t>
      </w:r>
      <w:r>
        <w:rPr/>
        <w:t>is</w:t>
      </w:r>
      <w:r>
        <w:rPr>
          <w:spacing w:val="-13"/>
        </w:rPr>
        <w:t> </w:t>
      </w:r>
      <w:r>
        <w:rPr/>
        <w:t>limited</w:t>
      </w:r>
      <w:r>
        <w:rPr>
          <w:spacing w:val="-12"/>
        </w:rPr>
        <w:t> </w:t>
      </w:r>
      <w:r>
        <w:rPr/>
        <w:t>in</w:t>
      </w:r>
      <w:r>
        <w:rPr>
          <w:spacing w:val="-13"/>
        </w:rPr>
        <w:t> </w:t>
      </w:r>
      <w:r>
        <w:rPr/>
        <w:t>its</w:t>
      </w:r>
      <w:r>
        <w:rPr>
          <w:spacing w:val="-12"/>
        </w:rPr>
        <w:t> </w:t>
      </w:r>
      <w:r>
        <w:rPr/>
        <w:t>ability</w:t>
      </w:r>
      <w:r>
        <w:rPr>
          <w:spacing w:val="-12"/>
        </w:rPr>
        <w:t> </w:t>
      </w:r>
      <w:r>
        <w:rPr/>
        <w:t>to</w:t>
      </w:r>
      <w:r>
        <w:rPr>
          <w:spacing w:val="-13"/>
        </w:rPr>
        <w:t> </w:t>
      </w:r>
      <w:r>
        <w:rPr/>
        <w:t>encourage</w:t>
      </w:r>
      <w:r>
        <w:rPr>
          <w:spacing w:val="-12"/>
        </w:rPr>
        <w:t> </w:t>
      </w:r>
      <w:r>
        <w:rPr/>
        <w:t>the</w:t>
      </w:r>
      <w:r>
        <w:rPr>
          <w:spacing w:val="-13"/>
        </w:rPr>
        <w:t> </w:t>
      </w:r>
      <w:r>
        <w:rPr/>
        <w:t>development</w:t>
      </w:r>
      <w:r>
        <w:rPr>
          <w:spacing w:val="-12"/>
        </w:rPr>
        <w:t> </w:t>
      </w:r>
      <w:r>
        <w:rPr/>
        <w:t>of</w:t>
      </w:r>
      <w:r>
        <w:rPr>
          <w:spacing w:val="-12"/>
        </w:rPr>
        <w:t> </w:t>
      </w:r>
      <w:r>
        <w:rPr/>
        <w:t>new</w:t>
      </w:r>
      <w:r>
        <w:rPr>
          <w:spacing w:val="-12"/>
        </w:rPr>
        <w:t> </w:t>
      </w:r>
      <w:r>
        <w:rPr/>
        <w:t>shelters and</w:t>
      </w:r>
      <w:r>
        <w:rPr>
          <w:spacing w:val="-1"/>
        </w:rPr>
        <w:t> </w:t>
      </w:r>
      <w:r>
        <w:rPr/>
        <w:t>housing projects and</w:t>
      </w:r>
      <w:r>
        <w:rPr>
          <w:spacing w:val="-1"/>
        </w:rPr>
        <w:t> </w:t>
      </w:r>
      <w:r>
        <w:rPr/>
        <w:t>is constrained by Federal</w:t>
      </w:r>
      <w:r>
        <w:rPr>
          <w:spacing w:val="-1"/>
        </w:rPr>
        <w:t> </w:t>
      </w:r>
      <w:r>
        <w:rPr/>
        <w:t>and</w:t>
      </w:r>
      <w:r>
        <w:rPr>
          <w:spacing w:val="-1"/>
        </w:rPr>
        <w:t> </w:t>
      </w:r>
      <w:r>
        <w:rPr/>
        <w:t>State law in</w:t>
      </w:r>
      <w:r>
        <w:rPr>
          <w:spacing w:val="-1"/>
        </w:rPr>
        <w:t> </w:t>
      </w:r>
      <w:r>
        <w:rPr/>
        <w:t>establishing</w:t>
      </w:r>
      <w:r>
        <w:rPr>
          <w:spacing w:val="-1"/>
        </w:rPr>
        <w:t> </w:t>
      </w:r>
      <w:r>
        <w:rPr/>
        <w:t>LGBTQ-specific shelters, but encourages the agency to explore potential solutions in partnership with external stakeholders and youth. The Commission further understands that EOHLC is constrained by procurement rules from soliciting proposals from specific providers who would then seek funding through a competitive funding round.</w:t>
      </w:r>
      <w:r>
        <w:rPr>
          <w:spacing w:val="-12"/>
        </w:rPr>
        <w:t> </w:t>
      </w:r>
      <w:r>
        <w:rPr/>
        <w:t>EOHLC</w:t>
      </w:r>
      <w:r>
        <w:rPr>
          <w:spacing w:val="-12"/>
        </w:rPr>
        <w:t> </w:t>
      </w:r>
      <w:r>
        <w:rPr/>
        <w:t>has</w:t>
      </w:r>
      <w:r>
        <w:rPr>
          <w:spacing w:val="-12"/>
        </w:rPr>
        <w:t> </w:t>
      </w:r>
      <w:r>
        <w:rPr/>
        <w:t>further</w:t>
      </w:r>
      <w:r>
        <w:rPr>
          <w:spacing w:val="-11"/>
        </w:rPr>
        <w:t> </w:t>
      </w:r>
      <w:r>
        <w:rPr/>
        <w:t>noted</w:t>
      </w:r>
      <w:r>
        <w:rPr>
          <w:spacing w:val="-11"/>
        </w:rPr>
        <w:t> </w:t>
      </w:r>
      <w:r>
        <w:rPr/>
        <w:t>that</w:t>
      </w:r>
      <w:r>
        <w:rPr>
          <w:spacing w:val="-12"/>
        </w:rPr>
        <w:t> </w:t>
      </w:r>
      <w:r>
        <w:rPr/>
        <w:t>other</w:t>
      </w:r>
      <w:r>
        <w:rPr>
          <w:spacing w:val="-12"/>
        </w:rPr>
        <w:t> </w:t>
      </w:r>
      <w:r>
        <w:rPr/>
        <w:t>agencies</w:t>
      </w:r>
      <w:r>
        <w:rPr>
          <w:spacing w:val="-9"/>
        </w:rPr>
        <w:t> </w:t>
      </w:r>
      <w:r>
        <w:rPr/>
        <w:t>need</w:t>
      </w:r>
      <w:r>
        <w:rPr>
          <w:spacing w:val="-11"/>
        </w:rPr>
        <w:t> </w:t>
      </w:r>
      <w:r>
        <w:rPr/>
        <w:t>to</w:t>
      </w:r>
      <w:r>
        <w:rPr>
          <w:spacing w:val="-11"/>
        </w:rPr>
        <w:t> </w:t>
      </w:r>
      <w:r>
        <w:rPr/>
        <w:t>be</w:t>
      </w:r>
      <w:r>
        <w:rPr>
          <w:spacing w:val="-11"/>
        </w:rPr>
        <w:t> </w:t>
      </w:r>
      <w:r>
        <w:rPr/>
        <w:t>engaged</w:t>
      </w:r>
      <w:r>
        <w:rPr>
          <w:spacing w:val="-11"/>
        </w:rPr>
        <w:t> </w:t>
      </w:r>
      <w:r>
        <w:rPr/>
        <w:t>where</w:t>
      </w:r>
      <w:r>
        <w:rPr>
          <w:spacing w:val="-10"/>
        </w:rPr>
        <w:t> </w:t>
      </w:r>
      <w:r>
        <w:rPr/>
        <w:t>unaccompanied</w:t>
      </w:r>
      <w:r>
        <w:rPr>
          <w:spacing w:val="-13"/>
        </w:rPr>
        <w:t> </w:t>
      </w:r>
      <w:r>
        <w:rPr/>
        <w:t>homeless youth are minors.</w:t>
      </w:r>
    </w:p>
    <w:p>
      <w:pPr>
        <w:pStyle w:val="BodyText"/>
        <w:spacing w:line="276" w:lineRule="auto" w:before="240"/>
        <w:ind w:left="483" w:right="341"/>
        <w:jc w:val="both"/>
      </w:pPr>
      <w:r>
        <w:rPr/>
        <w:t>In FY 2024, the Commission and EOHLC engaged in numerous conversations with community partners and</w:t>
      </w:r>
      <w:r>
        <w:rPr>
          <w:spacing w:val="-2"/>
        </w:rPr>
        <w:t> </w:t>
      </w:r>
      <w:r>
        <w:rPr/>
        <w:t>other</w:t>
      </w:r>
      <w:r>
        <w:rPr>
          <w:spacing w:val="-2"/>
        </w:rPr>
        <w:t> </w:t>
      </w:r>
      <w:r>
        <w:rPr/>
        <w:t>agencies,</w:t>
      </w:r>
      <w:r>
        <w:rPr>
          <w:spacing w:val="-2"/>
        </w:rPr>
        <w:t> </w:t>
      </w:r>
      <w:r>
        <w:rPr/>
        <w:t>such as</w:t>
      </w:r>
      <w:r>
        <w:rPr>
          <w:spacing w:val="-1"/>
        </w:rPr>
        <w:t> </w:t>
      </w:r>
      <w:r>
        <w:rPr/>
        <w:t>UHYC,</w:t>
      </w:r>
      <w:r>
        <w:rPr>
          <w:spacing w:val="-2"/>
        </w:rPr>
        <w:t> </w:t>
      </w:r>
      <w:r>
        <w:rPr/>
        <w:t>about</w:t>
      </w:r>
      <w:r>
        <w:rPr>
          <w:spacing w:val="-2"/>
        </w:rPr>
        <w:t> </w:t>
      </w:r>
      <w:r>
        <w:rPr/>
        <w:t>youth</w:t>
      </w:r>
      <w:r>
        <w:rPr>
          <w:spacing w:val="-1"/>
        </w:rPr>
        <w:t> </w:t>
      </w:r>
      <w:r>
        <w:rPr/>
        <w:t>shelter</w:t>
      </w:r>
      <w:r>
        <w:rPr>
          <w:spacing w:val="-2"/>
        </w:rPr>
        <w:t> </w:t>
      </w:r>
      <w:r>
        <w:rPr/>
        <w:t>needs.</w:t>
      </w:r>
      <w:r>
        <w:rPr>
          <w:spacing w:val="-1"/>
        </w:rPr>
        <w:t> </w:t>
      </w:r>
      <w:r>
        <w:rPr/>
        <w:t>In the</w:t>
      </w:r>
      <w:r>
        <w:rPr>
          <w:spacing w:val="-1"/>
        </w:rPr>
        <w:t> </w:t>
      </w:r>
      <w:r>
        <w:rPr/>
        <w:t>fall</w:t>
      </w:r>
      <w:r>
        <w:rPr>
          <w:spacing w:val="-2"/>
        </w:rPr>
        <w:t> </w:t>
      </w:r>
      <w:r>
        <w:rPr/>
        <w:t>of</w:t>
      </w:r>
      <w:r>
        <w:rPr>
          <w:spacing w:val="-2"/>
        </w:rPr>
        <w:t> </w:t>
      </w:r>
      <w:r>
        <w:rPr/>
        <w:t>2023,</w:t>
      </w:r>
      <w:r>
        <w:rPr>
          <w:spacing w:val="-2"/>
        </w:rPr>
        <w:t> </w:t>
      </w:r>
      <w:r>
        <w:rPr/>
        <w:t>UHYC noted</w:t>
      </w:r>
      <w:r>
        <w:rPr>
          <w:spacing w:val="-2"/>
        </w:rPr>
        <w:t> </w:t>
      </w:r>
      <w:r>
        <w:rPr/>
        <w:t>that</w:t>
      </w:r>
      <w:r>
        <w:rPr>
          <w:spacing w:val="-1"/>
        </w:rPr>
        <w:t> </w:t>
      </w:r>
      <w:r>
        <w:rPr/>
        <w:t>it</w:t>
      </w:r>
      <w:r>
        <w:rPr>
          <w:spacing w:val="-1"/>
        </w:rPr>
        <w:t> </w:t>
      </w:r>
      <w:r>
        <w:rPr/>
        <w:t>is</w:t>
      </w:r>
      <w:r>
        <w:rPr>
          <w:spacing w:val="-1"/>
        </w:rPr>
        <w:t> </w:t>
      </w:r>
      <w:r>
        <w:rPr/>
        <w:t>in the</w:t>
      </w:r>
      <w:r>
        <w:rPr>
          <w:spacing w:val="-11"/>
        </w:rPr>
        <w:t> </w:t>
      </w:r>
      <w:r>
        <w:rPr/>
        <w:t>process</w:t>
      </w:r>
      <w:r>
        <w:rPr>
          <w:spacing w:val="-11"/>
        </w:rPr>
        <w:t> </w:t>
      </w:r>
      <w:r>
        <w:rPr/>
        <w:t>of</w:t>
      </w:r>
      <w:r>
        <w:rPr>
          <w:spacing w:val="-11"/>
        </w:rPr>
        <w:t> </w:t>
      </w:r>
      <w:r>
        <w:rPr/>
        <w:t>creating</w:t>
      </w:r>
      <w:r>
        <w:rPr>
          <w:spacing w:val="-11"/>
        </w:rPr>
        <w:t> </w:t>
      </w:r>
      <w:r>
        <w:rPr/>
        <w:t>a</w:t>
      </w:r>
      <w:r>
        <w:rPr>
          <w:spacing w:val="-11"/>
        </w:rPr>
        <w:t> </w:t>
      </w:r>
      <w:r>
        <w:rPr/>
        <w:t>two-part</w:t>
      </w:r>
      <w:r>
        <w:rPr>
          <w:spacing w:val="-12"/>
        </w:rPr>
        <w:t> </w:t>
      </w:r>
      <w:r>
        <w:rPr/>
        <w:t>document</w:t>
      </w:r>
      <w:r>
        <w:rPr>
          <w:spacing w:val="-10"/>
        </w:rPr>
        <w:t> </w:t>
      </w:r>
      <w:r>
        <w:rPr/>
        <w:t>that</w:t>
      </w:r>
      <w:r>
        <w:rPr>
          <w:spacing w:val="-10"/>
        </w:rPr>
        <w:t> </w:t>
      </w:r>
      <w:r>
        <w:rPr/>
        <w:t>would</w:t>
      </w:r>
      <w:r>
        <w:rPr>
          <w:spacing w:val="-11"/>
        </w:rPr>
        <w:t> </w:t>
      </w:r>
      <w:r>
        <w:rPr/>
        <w:t>include</w:t>
      </w:r>
      <w:r>
        <w:rPr>
          <w:spacing w:val="-11"/>
        </w:rPr>
        <w:t> </w:t>
      </w:r>
      <w:r>
        <w:rPr/>
        <w:t>guidance</w:t>
      </w:r>
      <w:r>
        <w:rPr>
          <w:spacing w:val="-11"/>
        </w:rPr>
        <w:t> </w:t>
      </w:r>
      <w:r>
        <w:rPr/>
        <w:t>on</w:t>
      </w:r>
      <w:r>
        <w:rPr>
          <w:spacing w:val="-11"/>
        </w:rPr>
        <w:t> </w:t>
      </w:r>
      <w:r>
        <w:rPr/>
        <w:t>creating</w:t>
      </w:r>
      <w:r>
        <w:rPr>
          <w:spacing w:val="-11"/>
        </w:rPr>
        <w:t> </w:t>
      </w:r>
      <w:r>
        <w:rPr/>
        <w:t>youth</w:t>
      </w:r>
      <w:r>
        <w:rPr>
          <w:spacing w:val="-10"/>
        </w:rPr>
        <w:t> </w:t>
      </w:r>
      <w:r>
        <w:rPr/>
        <w:t>shelters,</w:t>
      </w:r>
      <w:r>
        <w:rPr>
          <w:spacing w:val="-11"/>
        </w:rPr>
        <w:t> </w:t>
      </w:r>
      <w:r>
        <w:rPr/>
        <w:t>with a particular focus on non-fixed shelter sites and multi-functional spaces. EOHLC also noted that there is currently no dedicated funding source for unaccompanied homeless youth shelter allocated to EOHLC, and that despite recent procurement efforts, EOHLC did not receive responses from shelter providers seeking to expand shelter capacity for unaccompanied homeless youth only. Considering these limitations,</w:t>
      </w:r>
      <w:r>
        <w:rPr>
          <w:spacing w:val="-12"/>
        </w:rPr>
        <w:t> </w:t>
      </w:r>
      <w:r>
        <w:rPr/>
        <w:t>EOHLC,</w:t>
      </w:r>
      <w:r>
        <w:rPr>
          <w:spacing w:val="26"/>
        </w:rPr>
        <w:t> </w:t>
      </w:r>
      <w:r>
        <w:rPr/>
        <w:t>CoCs,</w:t>
      </w:r>
      <w:r>
        <w:rPr>
          <w:spacing w:val="-13"/>
        </w:rPr>
        <w:t> </w:t>
      </w:r>
      <w:r>
        <w:rPr/>
        <w:t>and</w:t>
      </w:r>
      <w:r>
        <w:rPr>
          <w:spacing w:val="-12"/>
        </w:rPr>
        <w:t> </w:t>
      </w:r>
      <w:r>
        <w:rPr/>
        <w:t>UHYC</w:t>
      </w:r>
      <w:r>
        <w:rPr>
          <w:spacing w:val="-12"/>
        </w:rPr>
        <w:t> </w:t>
      </w:r>
      <w:r>
        <w:rPr/>
        <w:t>recently</w:t>
      </w:r>
      <w:r>
        <w:rPr>
          <w:spacing w:val="-12"/>
        </w:rPr>
        <w:t> </w:t>
      </w:r>
      <w:r>
        <w:rPr/>
        <w:t>collaborated</w:t>
      </w:r>
      <w:r>
        <w:rPr>
          <w:spacing w:val="-13"/>
        </w:rPr>
        <w:t> </w:t>
      </w:r>
      <w:r>
        <w:rPr/>
        <w:t>to</w:t>
      </w:r>
      <w:r>
        <w:rPr>
          <w:spacing w:val="-11"/>
        </w:rPr>
        <w:t> </w:t>
      </w:r>
      <w:r>
        <w:rPr/>
        <w:t>apply</w:t>
      </w:r>
      <w:r>
        <w:rPr>
          <w:spacing w:val="-11"/>
        </w:rPr>
        <w:t> </w:t>
      </w:r>
      <w:r>
        <w:rPr/>
        <w:t>for</w:t>
      </w:r>
      <w:r>
        <w:rPr>
          <w:spacing w:val="-12"/>
        </w:rPr>
        <w:t> </w:t>
      </w:r>
      <w:r>
        <w:rPr/>
        <w:t>a</w:t>
      </w:r>
      <w:r>
        <w:rPr>
          <w:spacing w:val="-12"/>
        </w:rPr>
        <w:t> </w:t>
      </w:r>
      <w:r>
        <w:rPr/>
        <w:t>HUD</w:t>
      </w:r>
      <w:r>
        <w:rPr>
          <w:spacing w:val="-12"/>
        </w:rPr>
        <w:t> </w:t>
      </w:r>
      <w:r>
        <w:rPr/>
        <w:t>Youth</w:t>
      </w:r>
      <w:r>
        <w:rPr>
          <w:spacing w:val="-12"/>
        </w:rPr>
        <w:t> </w:t>
      </w:r>
      <w:r>
        <w:rPr/>
        <w:t>Homelessness</w:t>
      </w:r>
      <w:r>
        <w:rPr>
          <w:spacing w:val="-12"/>
        </w:rPr>
        <w:t> </w:t>
      </w:r>
      <w:r>
        <w:rPr/>
        <w:t>System Improvement (YHSI) grant to receive assistance in developing strategies that will better serve youth. Overall, the Commission recommends that EOHLC partner with state agencies and community-centered organizations to explore opportunities for improved temporary emergency shelter options for youth.</w:t>
      </w:r>
    </w:p>
    <w:p>
      <w:pPr>
        <w:numPr>
          <w:ilvl w:val="0"/>
          <w:numId w:val="46"/>
        </w:numPr>
        <w:tabs>
          <w:tab w:pos="481" w:val="left" w:leader="none"/>
          <w:tab w:pos="483" w:val="left" w:leader="none"/>
        </w:tabs>
        <w:spacing w:line="276" w:lineRule="auto" w:before="240"/>
        <w:ind w:left="483" w:right="343" w:hanging="360"/>
        <w:jc w:val="left"/>
        <w:rPr>
          <w:b/>
          <w:sz w:val="22"/>
        </w:rPr>
      </w:pPr>
      <w:r>
        <w:rPr>
          <w:b/>
          <w:sz w:val="22"/>
        </w:rPr>
        <w:t>Provide</w:t>
      </w:r>
      <w:r>
        <w:rPr>
          <w:b/>
          <w:spacing w:val="40"/>
          <w:sz w:val="22"/>
        </w:rPr>
        <w:t> </w:t>
      </w:r>
      <w:r>
        <w:rPr>
          <w:b/>
          <w:sz w:val="22"/>
        </w:rPr>
        <w:t>LGBTQ</w:t>
      </w:r>
      <w:r>
        <w:rPr>
          <w:b/>
          <w:spacing w:val="40"/>
          <w:sz w:val="22"/>
        </w:rPr>
        <w:t> </w:t>
      </w:r>
      <w:r>
        <w:rPr>
          <w:b/>
          <w:sz w:val="22"/>
        </w:rPr>
        <w:t>cultural</w:t>
      </w:r>
      <w:r>
        <w:rPr>
          <w:b/>
          <w:spacing w:val="40"/>
          <w:sz w:val="22"/>
        </w:rPr>
        <w:t> </w:t>
      </w:r>
      <w:r>
        <w:rPr>
          <w:b/>
          <w:sz w:val="22"/>
        </w:rPr>
        <w:t>engagement</w:t>
      </w:r>
      <w:r>
        <w:rPr>
          <w:b/>
          <w:spacing w:val="40"/>
          <w:sz w:val="22"/>
        </w:rPr>
        <w:t> </w:t>
      </w:r>
      <w:r>
        <w:rPr>
          <w:b/>
          <w:sz w:val="22"/>
        </w:rPr>
        <w:t>and</w:t>
      </w:r>
      <w:r>
        <w:rPr>
          <w:b/>
          <w:spacing w:val="40"/>
          <w:sz w:val="22"/>
        </w:rPr>
        <w:t> </w:t>
      </w:r>
      <w:r>
        <w:rPr>
          <w:b/>
          <w:sz w:val="22"/>
        </w:rPr>
        <w:t>racial</w:t>
      </w:r>
      <w:r>
        <w:rPr>
          <w:b/>
          <w:spacing w:val="40"/>
          <w:sz w:val="22"/>
        </w:rPr>
        <w:t> </w:t>
      </w:r>
      <w:r>
        <w:rPr>
          <w:b/>
          <w:sz w:val="22"/>
        </w:rPr>
        <w:t>equity</w:t>
      </w:r>
      <w:r>
        <w:rPr>
          <w:b/>
          <w:spacing w:val="40"/>
          <w:sz w:val="22"/>
        </w:rPr>
        <w:t> </w:t>
      </w:r>
      <w:r>
        <w:rPr>
          <w:b/>
          <w:sz w:val="22"/>
        </w:rPr>
        <w:t>trainings</w:t>
      </w:r>
      <w:r>
        <w:rPr>
          <w:b/>
          <w:spacing w:val="40"/>
          <w:sz w:val="22"/>
        </w:rPr>
        <w:t> </w:t>
      </w:r>
      <w:r>
        <w:rPr>
          <w:b/>
          <w:sz w:val="22"/>
        </w:rPr>
        <w:t>for</w:t>
      </w:r>
      <w:r>
        <w:rPr>
          <w:b/>
          <w:spacing w:val="40"/>
          <w:sz w:val="22"/>
        </w:rPr>
        <w:t> </w:t>
      </w:r>
      <w:r>
        <w:rPr>
          <w:b/>
          <w:sz w:val="22"/>
        </w:rPr>
        <w:t>EOHLC</w:t>
      </w:r>
      <w:r>
        <w:rPr>
          <w:b/>
          <w:spacing w:val="40"/>
          <w:sz w:val="22"/>
        </w:rPr>
        <w:t> </w:t>
      </w:r>
      <w:r>
        <w:rPr>
          <w:b/>
          <w:sz w:val="22"/>
        </w:rPr>
        <w:t>employees</w:t>
      </w:r>
      <w:r>
        <w:rPr>
          <w:b/>
          <w:spacing w:val="40"/>
          <w:sz w:val="22"/>
        </w:rPr>
        <w:t> </w:t>
      </w:r>
      <w:r>
        <w:rPr>
          <w:b/>
          <w:sz w:val="22"/>
        </w:rPr>
        <w:t>and</w:t>
      </w:r>
      <w:r>
        <w:rPr>
          <w:b/>
          <w:spacing w:val="40"/>
          <w:sz w:val="22"/>
        </w:rPr>
        <w:t> </w:t>
      </w:r>
      <w:r>
        <w:rPr>
          <w:b/>
          <w:sz w:val="22"/>
        </w:rPr>
        <w:t>shelter </w:t>
      </w:r>
      <w:r>
        <w:rPr>
          <w:b/>
          <w:spacing w:val="-2"/>
          <w:sz w:val="22"/>
        </w:rPr>
        <w:t>providers.</w:t>
      </w:r>
    </w:p>
    <w:p>
      <w:pPr>
        <w:pStyle w:val="BodyText"/>
        <w:spacing w:line="276" w:lineRule="auto" w:before="239"/>
        <w:ind w:left="483" w:right="342"/>
        <w:jc w:val="both"/>
      </w:pPr>
      <w:r>
        <w:rPr/>
        <w:t>Having informed and knowledgeable staff working with homeless or unstably housed LGBTQ youth is essential,</w:t>
      </w:r>
      <w:r>
        <w:rPr>
          <w:spacing w:val="-5"/>
        </w:rPr>
        <w:t> </w:t>
      </w:r>
      <w:r>
        <w:rPr/>
        <w:t>particularly</w:t>
      </w:r>
      <w:r>
        <w:rPr>
          <w:spacing w:val="-4"/>
        </w:rPr>
        <w:t> </w:t>
      </w:r>
      <w:r>
        <w:rPr/>
        <w:t>with</w:t>
      </w:r>
      <w:r>
        <w:rPr>
          <w:spacing w:val="-3"/>
        </w:rPr>
        <w:t> </w:t>
      </w:r>
      <w:r>
        <w:rPr/>
        <w:t>attention</w:t>
      </w:r>
      <w:r>
        <w:rPr>
          <w:spacing w:val="-5"/>
        </w:rPr>
        <w:t> </w:t>
      </w:r>
      <w:r>
        <w:rPr/>
        <w:t>to</w:t>
      </w:r>
      <w:r>
        <w:rPr>
          <w:spacing w:val="-3"/>
        </w:rPr>
        <w:t> </w:t>
      </w:r>
      <w:r>
        <w:rPr/>
        <w:t>intersections</w:t>
      </w:r>
      <w:r>
        <w:rPr>
          <w:spacing w:val="-4"/>
        </w:rPr>
        <w:t> </w:t>
      </w:r>
      <w:r>
        <w:rPr/>
        <w:t>of</w:t>
      </w:r>
      <w:r>
        <w:rPr>
          <w:spacing w:val="-5"/>
        </w:rPr>
        <w:t> </w:t>
      </w:r>
      <w:r>
        <w:rPr/>
        <w:t>race,</w:t>
      </w:r>
      <w:r>
        <w:rPr>
          <w:spacing w:val="-5"/>
        </w:rPr>
        <w:t> </w:t>
      </w:r>
      <w:r>
        <w:rPr/>
        <w:t>ethnicity,</w:t>
      </w:r>
      <w:r>
        <w:rPr>
          <w:spacing w:val="-5"/>
        </w:rPr>
        <w:t> </w:t>
      </w:r>
      <w:r>
        <w:rPr/>
        <w:t>immigration</w:t>
      </w:r>
      <w:r>
        <w:rPr>
          <w:spacing w:val="-5"/>
        </w:rPr>
        <w:t> </w:t>
      </w:r>
      <w:r>
        <w:rPr/>
        <w:t>status,</w:t>
      </w:r>
      <w:r>
        <w:rPr>
          <w:spacing w:val="-5"/>
        </w:rPr>
        <w:t> </w:t>
      </w:r>
      <w:r>
        <w:rPr/>
        <w:t>and</w:t>
      </w:r>
      <w:r>
        <w:rPr>
          <w:spacing w:val="-5"/>
        </w:rPr>
        <w:t> </w:t>
      </w:r>
      <w:r>
        <w:rPr/>
        <w:t>disability. In 2021, EOHLC sponsored an online training by the Commission for shelter program and provider staff. The Commission has appreciated the opportunity to partner with EOHLC on developing a training series for</w:t>
      </w:r>
      <w:r>
        <w:rPr>
          <w:spacing w:val="-8"/>
        </w:rPr>
        <w:t> </w:t>
      </w:r>
      <w:r>
        <w:rPr/>
        <w:t>staff</w:t>
      </w:r>
      <w:r>
        <w:rPr>
          <w:spacing w:val="-8"/>
        </w:rPr>
        <w:t> </w:t>
      </w:r>
      <w:r>
        <w:rPr/>
        <w:t>that</w:t>
      </w:r>
      <w:r>
        <w:rPr>
          <w:spacing w:val="-6"/>
        </w:rPr>
        <w:t> </w:t>
      </w:r>
      <w:r>
        <w:rPr/>
        <w:t>began</w:t>
      </w:r>
      <w:r>
        <w:rPr>
          <w:spacing w:val="-7"/>
        </w:rPr>
        <w:t> </w:t>
      </w:r>
      <w:r>
        <w:rPr/>
        <w:t>in</w:t>
      </w:r>
      <w:r>
        <w:rPr>
          <w:spacing w:val="-7"/>
        </w:rPr>
        <w:t> </w:t>
      </w:r>
      <w:r>
        <w:rPr/>
        <w:t>May</w:t>
      </w:r>
      <w:r>
        <w:rPr>
          <w:spacing w:val="-8"/>
        </w:rPr>
        <w:t> </w:t>
      </w:r>
      <w:r>
        <w:rPr/>
        <w:t>2024</w:t>
      </w:r>
      <w:r>
        <w:rPr>
          <w:spacing w:val="-8"/>
        </w:rPr>
        <w:t> </w:t>
      </w:r>
      <w:r>
        <w:rPr/>
        <w:t>and</w:t>
      </w:r>
      <w:r>
        <w:rPr>
          <w:spacing w:val="-8"/>
        </w:rPr>
        <w:t> </w:t>
      </w:r>
      <w:r>
        <w:rPr/>
        <w:t>will</w:t>
      </w:r>
      <w:r>
        <w:rPr>
          <w:spacing w:val="-7"/>
        </w:rPr>
        <w:t> </w:t>
      </w:r>
      <w:r>
        <w:rPr/>
        <w:t>continue</w:t>
      </w:r>
      <w:r>
        <w:rPr>
          <w:spacing w:val="-7"/>
        </w:rPr>
        <w:t> </w:t>
      </w:r>
      <w:r>
        <w:rPr/>
        <w:t>through</w:t>
      </w:r>
      <w:r>
        <w:rPr>
          <w:spacing w:val="-7"/>
        </w:rPr>
        <w:t> </w:t>
      </w:r>
      <w:r>
        <w:rPr/>
        <w:t>the</w:t>
      </w:r>
      <w:r>
        <w:rPr>
          <w:spacing w:val="-7"/>
        </w:rPr>
        <w:t> </w:t>
      </w:r>
      <w:r>
        <w:rPr/>
        <w:t>summer.</w:t>
      </w:r>
      <w:r>
        <w:rPr>
          <w:spacing w:val="-7"/>
        </w:rPr>
        <w:t> </w:t>
      </w:r>
      <w:r>
        <w:rPr/>
        <w:t>The</w:t>
      </w:r>
      <w:r>
        <w:rPr>
          <w:spacing w:val="-7"/>
        </w:rPr>
        <w:t> </w:t>
      </w:r>
      <w:r>
        <w:rPr/>
        <w:t>Commission</w:t>
      </w:r>
      <w:r>
        <w:rPr>
          <w:spacing w:val="-8"/>
        </w:rPr>
        <w:t> </w:t>
      </w:r>
      <w:r>
        <w:rPr/>
        <w:t>further</w:t>
      </w:r>
      <w:r>
        <w:rPr>
          <w:spacing w:val="-6"/>
        </w:rPr>
        <w:t> </w:t>
      </w:r>
      <w:r>
        <w:rPr/>
        <w:t>expands its recommendation to highlight the critical need for LGBTQ cultural engagement trainings for shelter providers. The Commission strongly recommends that EOHLC partner with other state agencies and community partners to better understand the existing training plans or efforts being undertaken by shelters across the state.</w:t>
      </w:r>
    </w:p>
    <w:p>
      <w:pPr>
        <w:pStyle w:val="BodyText"/>
      </w:pPr>
    </w:p>
    <w:p>
      <w:pPr>
        <w:pStyle w:val="BodyText"/>
        <w:spacing w:before="238"/>
      </w:pPr>
    </w:p>
    <w:p>
      <w:pPr>
        <w:spacing w:before="0"/>
        <w:ind w:left="483" w:right="0" w:firstLine="0"/>
        <w:jc w:val="both"/>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2"/>
          <w:sz w:val="21"/>
        </w:rPr>
        <w:t> </w:t>
      </w:r>
      <w:r>
        <w:rPr>
          <w:i/>
          <w:sz w:val="21"/>
        </w:rPr>
        <w:t>thanks</w:t>
      </w:r>
      <w:r>
        <w:rPr>
          <w:i/>
          <w:spacing w:val="-3"/>
          <w:sz w:val="21"/>
        </w:rPr>
        <w:t> </w:t>
      </w:r>
      <w:r>
        <w:rPr>
          <w:i/>
          <w:sz w:val="21"/>
        </w:rPr>
        <w:t>the</w:t>
      </w:r>
      <w:r>
        <w:rPr>
          <w:i/>
          <w:spacing w:val="-4"/>
          <w:sz w:val="21"/>
        </w:rPr>
        <w:t> </w:t>
      </w:r>
      <w:r>
        <w:rPr>
          <w:i/>
          <w:sz w:val="21"/>
        </w:rPr>
        <w:t>contributions</w:t>
      </w:r>
      <w:r>
        <w:rPr>
          <w:i/>
          <w:spacing w:val="-2"/>
          <w:sz w:val="21"/>
        </w:rPr>
        <w:t> </w:t>
      </w:r>
      <w:r>
        <w:rPr>
          <w:i/>
          <w:sz w:val="21"/>
        </w:rPr>
        <w:t>of</w:t>
      </w:r>
      <w:r>
        <w:rPr>
          <w:i/>
          <w:spacing w:val="-3"/>
          <w:sz w:val="21"/>
        </w:rPr>
        <w:t> </w:t>
      </w:r>
      <w:r>
        <w:rPr>
          <w:i/>
          <w:sz w:val="21"/>
        </w:rPr>
        <w:t>its</w:t>
      </w:r>
      <w:r>
        <w:rPr>
          <w:i/>
          <w:spacing w:val="-3"/>
          <w:sz w:val="21"/>
        </w:rPr>
        <w:t> </w:t>
      </w:r>
      <w:r>
        <w:rPr>
          <w:i/>
          <w:sz w:val="21"/>
        </w:rPr>
        <w:t>EOHLC</w:t>
      </w:r>
      <w:r>
        <w:rPr>
          <w:i/>
          <w:spacing w:val="-3"/>
          <w:sz w:val="21"/>
        </w:rPr>
        <w:t> </w:t>
      </w:r>
      <w:r>
        <w:rPr>
          <w:i/>
          <w:sz w:val="21"/>
        </w:rPr>
        <w:t>agency</w:t>
      </w:r>
      <w:r>
        <w:rPr>
          <w:i/>
          <w:spacing w:val="-2"/>
          <w:sz w:val="21"/>
        </w:rPr>
        <w:t> liaisons.</w:t>
      </w:r>
    </w:p>
    <w:p>
      <w:pPr>
        <w:spacing w:after="0"/>
        <w:jc w:val="both"/>
        <w:rPr>
          <w:sz w:val="21"/>
        </w:rPr>
        <w:sectPr>
          <w:pgSz w:w="12240" w:h="15840"/>
          <w:pgMar w:header="804" w:footer="1263" w:top="1000" w:bottom="1460" w:left="960" w:right="1100"/>
        </w:sectPr>
      </w:pPr>
    </w:p>
    <w:p>
      <w:pPr>
        <w:spacing w:before="157"/>
        <w:ind w:left="483" w:right="0" w:firstLine="0"/>
        <w:jc w:val="left"/>
        <w:rPr>
          <w:sz w:val="18"/>
        </w:rPr>
      </w:pPr>
      <w:bookmarkStart w:name="_bookmark646" w:id="953"/>
      <w:bookmarkEnd w:id="953"/>
      <w:r>
        <w:rPr/>
      </w:r>
      <w:r>
        <w:rPr>
          <w:sz w:val="18"/>
          <w:vertAlign w:val="superscript"/>
        </w:rPr>
        <w:t>i</w:t>
      </w:r>
      <w:r>
        <w:rPr>
          <w:spacing w:val="-12"/>
          <w:sz w:val="18"/>
          <w:vertAlign w:val="baseline"/>
        </w:rPr>
        <w:t> </w:t>
      </w:r>
      <w:r>
        <w:rPr>
          <w:sz w:val="18"/>
          <w:vertAlign w:val="baseline"/>
        </w:rPr>
        <w:t>Laurie</w:t>
      </w:r>
      <w:r>
        <w:rPr>
          <w:spacing w:val="-10"/>
          <w:sz w:val="18"/>
          <w:vertAlign w:val="baseline"/>
        </w:rPr>
        <w:t> </w:t>
      </w:r>
      <w:r>
        <w:rPr>
          <w:sz w:val="18"/>
          <w:vertAlign w:val="baseline"/>
        </w:rPr>
        <w:t>Ross,</w:t>
      </w:r>
      <w:r>
        <w:rPr>
          <w:spacing w:val="-6"/>
          <w:sz w:val="18"/>
          <w:vertAlign w:val="baseline"/>
        </w:rPr>
        <w:t> </w:t>
      </w:r>
      <w:r>
        <w:rPr>
          <w:sz w:val="18"/>
          <w:vertAlign w:val="baseline"/>
        </w:rPr>
        <w:t>“Massachusetts</w:t>
      </w:r>
      <w:r>
        <w:rPr>
          <w:spacing w:val="-5"/>
          <w:sz w:val="18"/>
          <w:vertAlign w:val="baseline"/>
        </w:rPr>
        <w:t> </w:t>
      </w:r>
      <w:r>
        <w:rPr>
          <w:sz w:val="18"/>
          <w:vertAlign w:val="baseline"/>
        </w:rPr>
        <w:t>2022</w:t>
      </w:r>
      <w:r>
        <w:rPr>
          <w:spacing w:val="-6"/>
          <w:sz w:val="18"/>
          <w:vertAlign w:val="baseline"/>
        </w:rPr>
        <w:t> </w:t>
      </w:r>
      <w:r>
        <w:rPr>
          <w:sz w:val="18"/>
          <w:vertAlign w:val="baseline"/>
        </w:rPr>
        <w:t>Youth</w:t>
      </w:r>
      <w:r>
        <w:rPr>
          <w:spacing w:val="-5"/>
          <w:sz w:val="18"/>
          <w:vertAlign w:val="baseline"/>
        </w:rPr>
        <w:t> </w:t>
      </w:r>
      <w:r>
        <w:rPr>
          <w:sz w:val="18"/>
          <w:vertAlign w:val="baseline"/>
        </w:rPr>
        <w:t>Count,”</w:t>
      </w:r>
      <w:r>
        <w:rPr>
          <w:spacing w:val="-5"/>
          <w:sz w:val="18"/>
          <w:vertAlign w:val="baseline"/>
        </w:rPr>
        <w:t> </w:t>
      </w:r>
      <w:r>
        <w:rPr>
          <w:sz w:val="18"/>
          <w:vertAlign w:val="baseline"/>
        </w:rPr>
        <w:t>2022,</w:t>
      </w:r>
      <w:r>
        <w:rPr>
          <w:spacing w:val="-7"/>
          <w:sz w:val="18"/>
          <w:vertAlign w:val="baseline"/>
        </w:rPr>
        <w:t> </w:t>
      </w:r>
      <w:r>
        <w:rPr>
          <w:sz w:val="18"/>
          <w:vertAlign w:val="baseline"/>
        </w:rPr>
        <w:t>https://</w:t>
      </w:r>
      <w:hyperlink r:id="rId755">
        <w:r>
          <w:rPr>
            <w:sz w:val="18"/>
            <w:vertAlign w:val="baseline"/>
          </w:rPr>
          <w:t>www.mass.gov/doc/2022-youth-count-</w:t>
        </w:r>
        <w:r>
          <w:rPr>
            <w:spacing w:val="-2"/>
            <w:sz w:val="18"/>
            <w:vertAlign w:val="baseline"/>
          </w:rPr>
          <w:t>report/download.</w:t>
        </w:r>
      </w:hyperlink>
    </w:p>
    <w:p>
      <w:pPr>
        <w:spacing w:after="0"/>
        <w:jc w:val="left"/>
        <w:rPr>
          <w:sz w:val="18"/>
        </w:rPr>
        <w:sectPr>
          <w:pgSz w:w="12240" w:h="15840"/>
          <w:pgMar w:header="804" w:footer="1263" w:top="1000" w:bottom="1460" w:left="960" w:right="1100"/>
        </w:sectPr>
      </w:pPr>
    </w:p>
    <w:p>
      <w:pPr>
        <w:pStyle w:val="BodyText"/>
        <w:rPr>
          <w:sz w:val="20"/>
        </w:rPr>
      </w:pPr>
    </w:p>
    <w:p>
      <w:pPr>
        <w:pStyle w:val="BodyText"/>
        <w:rPr>
          <w:sz w:val="20"/>
        </w:rPr>
      </w:pPr>
    </w:p>
    <w:p>
      <w:pPr>
        <w:pStyle w:val="BodyText"/>
        <w:spacing w:before="73" w:after="1"/>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73" name="Group 673"/>
                <wp:cNvGraphicFramePr>
                  <a:graphicFrameLocks/>
                </wp:cNvGraphicFramePr>
                <a:graphic>
                  <a:graphicData uri="http://schemas.microsoft.com/office/word/2010/wordprocessingGroup">
                    <wpg:wgp>
                      <wpg:cNvPr id="673" name="Group 673"/>
                      <wpg:cNvGrpSpPr/>
                      <wpg:grpSpPr>
                        <a:xfrm>
                          <a:off x="0" y="0"/>
                          <a:ext cx="6350" cy="12700"/>
                          <a:chExt cx="6350" cy="12700"/>
                        </a:xfrm>
                      </wpg:grpSpPr>
                      <wps:wsp>
                        <wps:cNvPr id="674" name="Graphic 674"/>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70" coordorigin="0,0" coordsize="10,20">
                <v:rect style="position:absolute;left:0;top:0;width:10;height:20" id="docshape571" filled="true" fillcolor="#4f81bb" stroked="false">
                  <v:fill type="solid"/>
                </v:rect>
              </v:group>
            </w:pict>
          </mc:Fallback>
        </mc:AlternateContent>
      </w:r>
      <w:r>
        <w:rPr>
          <w:sz w:val="2"/>
        </w:rPr>
      </w:r>
    </w:p>
    <w:p>
      <w:pPr>
        <w:pStyle w:val="Heading7"/>
      </w:pPr>
      <w:bookmarkStart w:name="_bookmark647" w:id="954"/>
      <w:bookmarkEnd w:id="954"/>
      <w:r>
        <w:rPr/>
      </w:r>
      <w:hyperlink w:history="true" w:anchor="_bookmark7">
        <w:r>
          <w:rPr>
            <w:color w:val="365F91"/>
            <w:spacing w:val="-8"/>
          </w:rPr>
          <w:t>Board</w:t>
        </w:r>
        <w:r>
          <w:rPr>
            <w:color w:val="365F91"/>
            <w:spacing w:val="-13"/>
          </w:rPr>
          <w:t> </w:t>
        </w:r>
        <w:r>
          <w:rPr>
            <w:color w:val="365F91"/>
            <w:spacing w:val="-8"/>
          </w:rPr>
          <w:t>of</w:t>
        </w:r>
        <w:r>
          <w:rPr>
            <w:color w:val="365F91"/>
            <w:spacing w:val="-13"/>
          </w:rPr>
          <w:t> </w:t>
        </w:r>
        <w:r>
          <w:rPr>
            <w:color w:val="365F91"/>
            <w:spacing w:val="-8"/>
          </w:rPr>
          <w:t>Library</w:t>
        </w:r>
        <w:r>
          <w:rPr>
            <w:color w:val="365F91"/>
            <w:spacing w:val="-13"/>
          </w:rPr>
          <w:t> </w:t>
        </w:r>
        <w:r>
          <w:rPr>
            <w:color w:val="365F91"/>
            <w:spacing w:val="-8"/>
          </w:rPr>
          <w:t>Commissioners</w:t>
        </w:r>
      </w:hyperlink>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728128">
                <wp:simplePos x="0" y="0"/>
                <wp:positionH relativeFrom="page">
                  <wp:posOffset>889000</wp:posOffset>
                </wp:positionH>
                <wp:positionV relativeFrom="paragraph">
                  <wp:posOffset>213269</wp:posOffset>
                </wp:positionV>
                <wp:extent cx="6350" cy="12700"/>
                <wp:effectExtent l="0" t="0" r="0" b="0"/>
                <wp:wrapTopAndBottom/>
                <wp:docPr id="675" name="Graphic 675"/>
                <wp:cNvGraphicFramePr>
                  <a:graphicFrameLocks/>
                </wp:cNvGraphicFramePr>
                <a:graphic>
                  <a:graphicData uri="http://schemas.microsoft.com/office/word/2010/wordprocessingShape">
                    <wps:wsp>
                      <wps:cNvPr id="675" name="Graphic 675"/>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792906pt;width:.499pt;height:.96pt;mso-position-horizontal-relative:page;mso-position-vertical-relative:paragraph;z-index:-15588352;mso-wrap-distance-left:0;mso-wrap-distance-right:0" id="docshape572" filled="true" fillcolor="#4f81bb" stroked="false">
                <v:fill type="solid"/>
                <w10:wrap type="topAndBottom"/>
              </v:rect>
            </w:pict>
          </mc:Fallback>
        </mc:AlternateContent>
      </w:r>
    </w:p>
    <w:p>
      <w:pPr>
        <w:spacing w:before="0" w:after="2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line="20" w:lineRule="exact"/>
        <w:ind w:left="453"/>
        <w:rPr>
          <w:sz w:val="2"/>
        </w:rPr>
      </w:pPr>
      <w:r>
        <w:rPr>
          <w:sz w:val="2"/>
        </w:rPr>
        <mc:AlternateContent>
          <mc:Choice Requires="wps">
            <w:drawing>
              <wp:inline distT="0" distB="0" distL="0" distR="0">
                <wp:extent cx="5976620" cy="6350"/>
                <wp:effectExtent l="0" t="0" r="0" b="0"/>
                <wp:docPr id="676" name="Group 676"/>
                <wp:cNvGraphicFramePr>
                  <a:graphicFrameLocks/>
                </wp:cNvGraphicFramePr>
                <a:graphic>
                  <a:graphicData uri="http://schemas.microsoft.com/office/word/2010/wordprocessingGroup">
                    <wpg:wgp>
                      <wpg:cNvPr id="676" name="Group 676"/>
                      <wpg:cNvGrpSpPr/>
                      <wpg:grpSpPr>
                        <a:xfrm>
                          <a:off x="0" y="0"/>
                          <a:ext cx="5976620" cy="6350"/>
                          <a:chExt cx="5976620" cy="6350"/>
                        </a:xfrm>
                      </wpg:grpSpPr>
                      <wps:wsp>
                        <wps:cNvPr id="677" name="Graphic 67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wpg:wgp>
                  </a:graphicData>
                </a:graphic>
              </wp:inline>
            </w:drawing>
          </mc:Choice>
          <mc:Fallback>
            <w:pict>
              <v:group style="width:470.6pt;height:.5pt;mso-position-horizontal-relative:char;mso-position-vertical-relative:line" id="docshapegroup573" coordorigin="0,0" coordsize="9412,10">
                <v:rect style="position:absolute;left:0;top:0;width:9412;height:10" id="docshape574" filled="true" fillcolor="#4f81bc" stroked="false">
                  <v:fill type="solid"/>
                </v:rect>
              </v:group>
            </w:pict>
          </mc:Fallback>
        </mc:AlternateContent>
      </w:r>
      <w:r>
        <w:rPr>
          <w:sz w:val="2"/>
        </w:rPr>
      </w:r>
    </w:p>
    <w:p>
      <w:pPr>
        <w:pStyle w:val="ListParagraph"/>
        <w:numPr>
          <w:ilvl w:val="1"/>
          <w:numId w:val="46"/>
        </w:numPr>
        <w:tabs>
          <w:tab w:pos="1059" w:val="left" w:leader="none"/>
        </w:tabs>
        <w:spacing w:line="276" w:lineRule="auto" w:before="231" w:after="0"/>
        <w:ind w:left="1059" w:right="633" w:hanging="360"/>
        <w:jc w:val="both"/>
        <w:rPr>
          <w:sz w:val="22"/>
        </w:rPr>
      </w:pPr>
      <w:r>
        <w:rPr>
          <w:sz w:val="22"/>
        </w:rPr>
        <w:t>Develop and disseminate a new recommended LGBTQ book list in partnership with the Safe Schools Program for all libraries in Massachusetts.</w:t>
      </w:r>
    </w:p>
    <w:p>
      <w:pPr>
        <w:pStyle w:val="ListParagraph"/>
        <w:numPr>
          <w:ilvl w:val="1"/>
          <w:numId w:val="46"/>
        </w:numPr>
        <w:tabs>
          <w:tab w:pos="1059" w:val="left" w:leader="none"/>
        </w:tabs>
        <w:spacing w:line="276" w:lineRule="auto" w:before="0" w:after="0"/>
        <w:ind w:left="1059" w:right="630" w:hanging="360"/>
        <w:jc w:val="both"/>
        <w:rPr>
          <w:sz w:val="22"/>
        </w:rPr>
      </w:pPr>
      <w:r>
        <w:rPr>
          <w:sz w:val="22"/>
        </w:rPr>
        <w:t>Partner with the Commission and communities to equip Massachusetts librarians with conflict resolution</w:t>
      </w:r>
      <w:r>
        <w:rPr>
          <w:spacing w:val="-3"/>
          <w:sz w:val="22"/>
        </w:rPr>
        <w:t> </w:t>
      </w:r>
      <w:r>
        <w:rPr>
          <w:sz w:val="22"/>
        </w:rPr>
        <w:t>skills,</w:t>
      </w:r>
      <w:r>
        <w:rPr>
          <w:spacing w:val="-3"/>
          <w:sz w:val="22"/>
        </w:rPr>
        <w:t> </w:t>
      </w:r>
      <w:r>
        <w:rPr>
          <w:sz w:val="22"/>
        </w:rPr>
        <w:t>talking</w:t>
      </w:r>
      <w:r>
        <w:rPr>
          <w:spacing w:val="-2"/>
          <w:sz w:val="22"/>
        </w:rPr>
        <w:t> </w:t>
      </w:r>
      <w:r>
        <w:rPr>
          <w:sz w:val="22"/>
        </w:rPr>
        <w:t>points,</w:t>
      </w:r>
      <w:r>
        <w:rPr>
          <w:spacing w:val="-3"/>
          <w:sz w:val="22"/>
        </w:rPr>
        <w:t> </w:t>
      </w:r>
      <w:r>
        <w:rPr>
          <w:sz w:val="22"/>
        </w:rPr>
        <w:t>and</w:t>
      </w:r>
      <w:r>
        <w:rPr>
          <w:spacing w:val="-3"/>
          <w:sz w:val="22"/>
        </w:rPr>
        <w:t> </w:t>
      </w:r>
      <w:r>
        <w:rPr>
          <w:sz w:val="22"/>
        </w:rPr>
        <w:t>protection</w:t>
      </w:r>
      <w:r>
        <w:rPr>
          <w:spacing w:val="-2"/>
          <w:sz w:val="22"/>
        </w:rPr>
        <w:t> </w:t>
      </w:r>
      <w:r>
        <w:rPr>
          <w:sz w:val="22"/>
        </w:rPr>
        <w:t>to</w:t>
      </w:r>
      <w:r>
        <w:rPr>
          <w:spacing w:val="-2"/>
          <w:sz w:val="22"/>
        </w:rPr>
        <w:t> </w:t>
      </w:r>
      <w:r>
        <w:rPr>
          <w:sz w:val="22"/>
        </w:rPr>
        <w:t>handle</w:t>
      </w:r>
      <w:r>
        <w:rPr>
          <w:spacing w:val="-3"/>
          <w:sz w:val="22"/>
        </w:rPr>
        <w:t> </w:t>
      </w:r>
      <w:r>
        <w:rPr>
          <w:sz w:val="22"/>
        </w:rPr>
        <w:t>anti-LGBTQ</w:t>
      </w:r>
      <w:r>
        <w:rPr>
          <w:spacing w:val="-3"/>
          <w:sz w:val="22"/>
        </w:rPr>
        <w:t> </w:t>
      </w:r>
      <w:r>
        <w:rPr>
          <w:sz w:val="22"/>
        </w:rPr>
        <w:t>protests</w:t>
      </w:r>
      <w:r>
        <w:rPr>
          <w:spacing w:val="-3"/>
          <w:sz w:val="22"/>
        </w:rPr>
        <w:t> </w:t>
      </w:r>
      <w:r>
        <w:rPr>
          <w:sz w:val="22"/>
        </w:rPr>
        <w:t>against</w:t>
      </w:r>
      <w:r>
        <w:rPr>
          <w:spacing w:val="-3"/>
          <w:sz w:val="22"/>
        </w:rPr>
        <w:t> </w:t>
      </w:r>
      <w:r>
        <w:rPr>
          <w:sz w:val="22"/>
        </w:rPr>
        <w:t>programs and book challenges.</w:t>
      </w:r>
    </w:p>
    <w:p>
      <w:pPr>
        <w:pStyle w:val="ListParagraph"/>
        <w:numPr>
          <w:ilvl w:val="1"/>
          <w:numId w:val="46"/>
        </w:numPr>
        <w:tabs>
          <w:tab w:pos="1058" w:val="left" w:leader="none"/>
        </w:tabs>
        <w:spacing w:line="240" w:lineRule="auto" w:before="0" w:after="0"/>
        <w:ind w:left="1058" w:right="0" w:hanging="359"/>
        <w:jc w:val="both"/>
        <w:rPr>
          <w:sz w:val="22"/>
        </w:rPr>
      </w:pPr>
      <w:r>
        <w:rPr>
          <w:sz w:val="22"/>
        </w:rPr>
        <w:t>Support</w:t>
      </w:r>
      <w:r>
        <w:rPr>
          <w:spacing w:val="-11"/>
          <w:sz w:val="22"/>
        </w:rPr>
        <w:t> </w:t>
      </w:r>
      <w:r>
        <w:rPr>
          <w:sz w:val="22"/>
        </w:rPr>
        <w:t>libraries</w:t>
      </w:r>
      <w:r>
        <w:rPr>
          <w:spacing w:val="-12"/>
          <w:sz w:val="22"/>
        </w:rPr>
        <w:t> </w:t>
      </w:r>
      <w:r>
        <w:rPr>
          <w:sz w:val="22"/>
        </w:rPr>
        <w:t>with</w:t>
      </w:r>
      <w:r>
        <w:rPr>
          <w:spacing w:val="-11"/>
          <w:sz w:val="22"/>
        </w:rPr>
        <w:t> </w:t>
      </w:r>
      <w:r>
        <w:rPr>
          <w:sz w:val="22"/>
        </w:rPr>
        <w:t>LGBTQ-inclusive</w:t>
      </w:r>
      <w:r>
        <w:rPr>
          <w:spacing w:val="-10"/>
          <w:sz w:val="22"/>
        </w:rPr>
        <w:t> </w:t>
      </w:r>
      <w:r>
        <w:rPr>
          <w:spacing w:val="-2"/>
          <w:sz w:val="22"/>
        </w:rPr>
        <w:t>programming.</w:t>
      </w:r>
    </w:p>
    <w:p>
      <w:pPr>
        <w:pStyle w:val="ListParagraph"/>
        <w:numPr>
          <w:ilvl w:val="1"/>
          <w:numId w:val="46"/>
        </w:numPr>
        <w:tabs>
          <w:tab w:pos="1059" w:val="left" w:leader="none"/>
        </w:tabs>
        <w:spacing w:line="276" w:lineRule="auto" w:before="40" w:after="0"/>
        <w:ind w:left="1059" w:right="631" w:hanging="360"/>
        <w:jc w:val="both"/>
        <w:rPr>
          <w:sz w:val="22"/>
        </w:rPr>
      </w:pPr>
      <w:r>
        <w:rPr>
          <w:sz w:val="22"/>
        </w:rPr>
        <w:t>Collaborate with the Department of Elementary and Secondary Education to align efforts on addressing book challenges, protests, and hate crimes against state and school libraries and </w:t>
      </w:r>
      <w:r>
        <w:rPr>
          <w:spacing w:val="-2"/>
          <w:sz w:val="22"/>
        </w:rPr>
        <w:t>staff.</w:t>
      </w:r>
    </w:p>
    <w:p>
      <w:pPr>
        <w:pStyle w:val="BodyText"/>
        <w:rPr>
          <w:sz w:val="20"/>
        </w:rPr>
      </w:pPr>
    </w:p>
    <w:p>
      <w:pPr>
        <w:pStyle w:val="BodyText"/>
        <w:spacing w:before="67"/>
        <w:rPr>
          <w:sz w:val="20"/>
        </w:rPr>
      </w:pPr>
      <w:r>
        <w:rPr/>
        <mc:AlternateContent>
          <mc:Choice Requires="wps">
            <w:drawing>
              <wp:anchor distT="0" distB="0" distL="0" distR="0" allowOverlap="1" layoutInCell="1" locked="0" behindDoc="1" simplePos="0" relativeHeight="487729152">
                <wp:simplePos x="0" y="0"/>
                <wp:positionH relativeFrom="page">
                  <wp:posOffset>889000</wp:posOffset>
                </wp:positionH>
                <wp:positionV relativeFrom="paragraph">
                  <wp:posOffset>213386</wp:posOffset>
                </wp:positionV>
                <wp:extent cx="6350" cy="12700"/>
                <wp:effectExtent l="0" t="0" r="0" b="0"/>
                <wp:wrapTopAndBottom/>
                <wp:docPr id="678" name="Graphic 678"/>
                <wp:cNvGraphicFramePr>
                  <a:graphicFrameLocks/>
                </wp:cNvGraphicFramePr>
                <a:graphic>
                  <a:graphicData uri="http://schemas.microsoft.com/office/word/2010/wordprocessingShape">
                    <wps:wsp>
                      <wps:cNvPr id="678" name="Graphic 678"/>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802078pt;width:.499pt;height:.96pt;mso-position-horizontal-relative:page;mso-position-vertical-relative:paragraph;z-index:-15587328;mso-wrap-distance-left:0;mso-wrap-distance-right:0" id="docshape575"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29664">
                <wp:simplePos x="0" y="0"/>
                <wp:positionH relativeFrom="page">
                  <wp:posOffset>897636</wp:posOffset>
                </wp:positionH>
                <wp:positionV relativeFrom="paragraph">
                  <wp:posOffset>45315</wp:posOffset>
                </wp:positionV>
                <wp:extent cx="5976620" cy="6350"/>
                <wp:effectExtent l="0" t="0" r="0" b="0"/>
                <wp:wrapTopAndBottom/>
                <wp:docPr id="679" name="Graphic 679"/>
                <wp:cNvGraphicFramePr>
                  <a:graphicFrameLocks/>
                </wp:cNvGraphicFramePr>
                <a:graphic>
                  <a:graphicData uri="http://schemas.microsoft.com/office/word/2010/wordprocessingShape">
                    <wps:wsp>
                      <wps:cNvPr id="679" name="Graphic 679"/>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68156pt;width:470.58pt;height:.481pt;mso-position-horizontal-relative:page;mso-position-vertical-relative:paragraph;z-index:-15586816;mso-wrap-distance-left:0;mso-wrap-distance-right:0" id="docshape576" filled="true" fillcolor="#4f81bc" stroked="false">
                <v:fill type="solid"/>
                <w10:wrap type="topAndBottom"/>
              </v:rect>
            </w:pict>
          </mc:Fallback>
        </mc:AlternateContent>
      </w:r>
    </w:p>
    <w:p>
      <w:pPr>
        <w:pStyle w:val="BodyText"/>
        <w:spacing w:line="276" w:lineRule="auto" w:before="241"/>
        <w:ind w:left="483" w:right="341"/>
        <w:jc w:val="both"/>
      </w:pPr>
      <w:r>
        <w:rPr/>
        <w:t>The</w:t>
      </w:r>
      <w:r>
        <w:rPr>
          <w:spacing w:val="-10"/>
        </w:rPr>
        <w:t> </w:t>
      </w:r>
      <w:r>
        <w:rPr/>
        <w:t>Massachusetts</w:t>
      </w:r>
      <w:r>
        <w:rPr>
          <w:spacing w:val="-10"/>
        </w:rPr>
        <w:t> </w:t>
      </w:r>
      <w:r>
        <w:rPr/>
        <w:t>Board</w:t>
      </w:r>
      <w:r>
        <w:rPr>
          <w:spacing w:val="-9"/>
        </w:rPr>
        <w:t> </w:t>
      </w:r>
      <w:r>
        <w:rPr/>
        <w:t>of</w:t>
      </w:r>
      <w:r>
        <w:rPr>
          <w:spacing w:val="-10"/>
        </w:rPr>
        <w:t> </w:t>
      </w:r>
      <w:r>
        <w:rPr/>
        <w:t>Library</w:t>
      </w:r>
      <w:r>
        <w:rPr>
          <w:spacing w:val="-10"/>
        </w:rPr>
        <w:t> </w:t>
      </w:r>
      <w:r>
        <w:rPr/>
        <w:t>Commissioners</w:t>
      </w:r>
      <w:r>
        <w:rPr>
          <w:spacing w:val="-8"/>
        </w:rPr>
        <w:t> </w:t>
      </w:r>
      <w:r>
        <w:rPr/>
        <w:t>(MBLC)</w:t>
      </w:r>
      <w:r>
        <w:rPr>
          <w:spacing w:val="-9"/>
        </w:rPr>
        <w:t> </w:t>
      </w:r>
      <w:r>
        <w:rPr/>
        <w:t>is</w:t>
      </w:r>
      <w:r>
        <w:rPr>
          <w:spacing w:val="-10"/>
        </w:rPr>
        <w:t> </w:t>
      </w:r>
      <w:r>
        <w:rPr/>
        <w:t>the</w:t>
      </w:r>
      <w:r>
        <w:rPr>
          <w:spacing w:val="-8"/>
        </w:rPr>
        <w:t> </w:t>
      </w:r>
      <w:r>
        <w:rPr/>
        <w:t>state</w:t>
      </w:r>
      <w:r>
        <w:rPr>
          <w:spacing w:val="-10"/>
        </w:rPr>
        <w:t> </w:t>
      </w:r>
      <w:r>
        <w:rPr/>
        <w:t>agency</w:t>
      </w:r>
      <w:r>
        <w:rPr>
          <w:spacing w:val="-7"/>
        </w:rPr>
        <w:t> </w:t>
      </w:r>
      <w:r>
        <w:rPr/>
        <w:t>responsible</w:t>
      </w:r>
      <w:r>
        <w:rPr>
          <w:spacing w:val="-10"/>
        </w:rPr>
        <w:t> </w:t>
      </w:r>
      <w:r>
        <w:rPr/>
        <w:t>for</w:t>
      </w:r>
      <w:r>
        <w:rPr>
          <w:spacing w:val="-10"/>
        </w:rPr>
        <w:t> </w:t>
      </w:r>
      <w:r>
        <w:rPr/>
        <w:t>organizing, developing, coordinating, and improving library services throughout the Commonwealth. Its commissioners and staff work to develop policy and provide local and statewide programming and services for libraries and residents. Libraries are a vital resource for LGBTQ youth, caregivers, and educators</w:t>
      </w:r>
      <w:r>
        <w:rPr>
          <w:spacing w:val="-13"/>
        </w:rPr>
        <w:t> </w:t>
      </w:r>
      <w:r>
        <w:rPr/>
        <w:t>for</w:t>
      </w:r>
      <w:r>
        <w:rPr>
          <w:spacing w:val="-12"/>
        </w:rPr>
        <w:t> </w:t>
      </w:r>
      <w:r>
        <w:rPr/>
        <w:t>culturally-inclusive</w:t>
      </w:r>
      <w:r>
        <w:rPr>
          <w:spacing w:val="-13"/>
        </w:rPr>
        <w:t> </w:t>
      </w:r>
      <w:r>
        <w:rPr/>
        <w:t>books,</w:t>
      </w:r>
      <w:r>
        <w:rPr>
          <w:spacing w:val="-12"/>
        </w:rPr>
        <w:t> </w:t>
      </w:r>
      <w:r>
        <w:rPr/>
        <w:t>community</w:t>
      </w:r>
      <w:r>
        <w:rPr>
          <w:spacing w:val="-13"/>
        </w:rPr>
        <w:t> </w:t>
      </w:r>
      <w:r>
        <w:rPr/>
        <w:t>programming,</w:t>
      </w:r>
      <w:r>
        <w:rPr>
          <w:spacing w:val="-12"/>
        </w:rPr>
        <w:t> </w:t>
      </w:r>
      <w:r>
        <w:rPr/>
        <w:t>and</w:t>
      </w:r>
      <w:r>
        <w:rPr>
          <w:spacing w:val="-13"/>
        </w:rPr>
        <w:t> </w:t>
      </w:r>
      <w:r>
        <w:rPr/>
        <w:t>information</w:t>
      </w:r>
      <w:r>
        <w:rPr>
          <w:spacing w:val="-12"/>
        </w:rPr>
        <w:t> </w:t>
      </w:r>
      <w:r>
        <w:rPr/>
        <w:t>technology.</w:t>
      </w:r>
      <w:r>
        <w:rPr>
          <w:spacing w:val="-12"/>
        </w:rPr>
        <w:t> </w:t>
      </w:r>
      <w:r>
        <w:rPr/>
        <w:t>While</w:t>
      </w:r>
      <w:r>
        <w:rPr>
          <w:spacing w:val="-13"/>
        </w:rPr>
        <w:t> </w:t>
      </w:r>
      <w:r>
        <w:rPr/>
        <w:t>the number of LGBTQ youth accessing library services is difficult to capture, libraries often cultivate a wide array of diverse books that center queer joy and belonging.</w:t>
      </w:r>
    </w:p>
    <w:p>
      <w:pPr>
        <w:pStyle w:val="BodyText"/>
        <w:spacing w:line="276" w:lineRule="auto" w:before="240"/>
        <w:ind w:left="483" w:right="341"/>
        <w:jc w:val="both"/>
      </w:pPr>
      <w:r>
        <w:rPr/>
        <w:t>Libraries</w:t>
      </w:r>
      <w:r>
        <w:rPr>
          <w:spacing w:val="-5"/>
        </w:rPr>
        <w:t> </w:t>
      </w:r>
      <w:r>
        <w:rPr/>
        <w:t>provide</w:t>
      </w:r>
      <w:r>
        <w:rPr>
          <w:spacing w:val="-4"/>
        </w:rPr>
        <w:t> </w:t>
      </w:r>
      <w:r>
        <w:rPr/>
        <w:t>essential</w:t>
      </w:r>
      <w:r>
        <w:rPr>
          <w:spacing w:val="-3"/>
        </w:rPr>
        <w:t> </w:t>
      </w:r>
      <w:r>
        <w:rPr/>
        <w:t>access</w:t>
      </w:r>
      <w:r>
        <w:rPr>
          <w:spacing w:val="-4"/>
        </w:rPr>
        <w:t> </w:t>
      </w:r>
      <w:r>
        <w:rPr/>
        <w:t>to</w:t>
      </w:r>
      <w:r>
        <w:rPr>
          <w:spacing w:val="-5"/>
        </w:rPr>
        <w:t> </w:t>
      </w:r>
      <w:r>
        <w:rPr/>
        <w:t>knowledge,</w:t>
      </w:r>
      <w:r>
        <w:rPr>
          <w:spacing w:val="-4"/>
        </w:rPr>
        <w:t> </w:t>
      </w:r>
      <w:r>
        <w:rPr/>
        <w:t>and</w:t>
      </w:r>
      <w:r>
        <w:rPr>
          <w:spacing w:val="-3"/>
        </w:rPr>
        <w:t> </w:t>
      </w:r>
      <w:r>
        <w:rPr/>
        <w:t>often</w:t>
      </w:r>
      <w:r>
        <w:rPr>
          <w:spacing w:val="-6"/>
        </w:rPr>
        <w:t> </w:t>
      </w:r>
      <w:r>
        <w:rPr/>
        <w:t>act</w:t>
      </w:r>
      <w:r>
        <w:rPr>
          <w:spacing w:val="-5"/>
        </w:rPr>
        <w:t> </w:t>
      </w:r>
      <w:r>
        <w:rPr/>
        <w:t>as</w:t>
      </w:r>
      <w:r>
        <w:rPr>
          <w:spacing w:val="-5"/>
        </w:rPr>
        <w:t> </w:t>
      </w:r>
      <w:r>
        <w:rPr/>
        <w:t>a</w:t>
      </w:r>
      <w:r>
        <w:rPr>
          <w:spacing w:val="-4"/>
        </w:rPr>
        <w:t> </w:t>
      </w:r>
      <w:r>
        <w:rPr/>
        <w:t>safe</w:t>
      </w:r>
      <w:r>
        <w:rPr>
          <w:spacing w:val="-4"/>
        </w:rPr>
        <w:t> </w:t>
      </w:r>
      <w:r>
        <w:rPr/>
        <w:t>haven</w:t>
      </w:r>
      <w:r>
        <w:rPr>
          <w:spacing w:val="-6"/>
        </w:rPr>
        <w:t> </w:t>
      </w:r>
      <w:r>
        <w:rPr/>
        <w:t>for</w:t>
      </w:r>
      <w:r>
        <w:rPr>
          <w:spacing w:val="-5"/>
        </w:rPr>
        <w:t> </w:t>
      </w:r>
      <w:r>
        <w:rPr/>
        <w:t>LGBTQ</w:t>
      </w:r>
      <w:r>
        <w:rPr>
          <w:spacing w:val="-4"/>
        </w:rPr>
        <w:t> </w:t>
      </w:r>
      <w:r>
        <w:rPr/>
        <w:t>youth</w:t>
      </w:r>
      <w:r>
        <w:rPr>
          <w:spacing w:val="-6"/>
        </w:rPr>
        <w:t> </w:t>
      </w:r>
      <w:r>
        <w:rPr/>
        <w:t>-</w:t>
      </w:r>
      <w:r>
        <w:rPr>
          <w:spacing w:val="-5"/>
        </w:rPr>
        <w:t> </w:t>
      </w:r>
      <w:r>
        <w:rPr/>
        <w:t>whether it be a school or public library - and a place of community. By providing a space where youth can find LGBTQ-themed books or materials, librarians facilitate a learning environment where LGBTQ youth feel affirmed and welcome, and straight, cisgender youth can find literature to better understand LGBTQ history and culture</w:t>
      </w:r>
      <w:hyperlink w:history="true" w:anchor="_bookmark648">
        <w:r>
          <w:rPr/>
          <w:t>.</w:t>
        </w:r>
        <w:r>
          <w:rPr>
            <w:vertAlign w:val="superscript"/>
          </w:rPr>
          <w:t>1</w:t>
        </w:r>
      </w:hyperlink>
      <w:r>
        <w:rPr>
          <w:vertAlign w:val="baseline"/>
        </w:rPr>
        <w:t> Programs, like drag queen story hours or Pride celebrations, are increasingly being offered</w:t>
      </w:r>
      <w:r>
        <w:rPr>
          <w:spacing w:val="-10"/>
          <w:vertAlign w:val="baseline"/>
        </w:rPr>
        <w:t> </w:t>
      </w:r>
      <w:r>
        <w:rPr>
          <w:vertAlign w:val="baseline"/>
        </w:rPr>
        <w:t>across</w:t>
      </w:r>
      <w:r>
        <w:rPr>
          <w:spacing w:val="-10"/>
          <w:vertAlign w:val="baseline"/>
        </w:rPr>
        <w:t> </w:t>
      </w:r>
      <w:r>
        <w:rPr>
          <w:vertAlign w:val="baseline"/>
        </w:rPr>
        <w:t>the</w:t>
      </w:r>
      <w:r>
        <w:rPr>
          <w:spacing w:val="-9"/>
          <w:vertAlign w:val="baseline"/>
        </w:rPr>
        <w:t> </w:t>
      </w:r>
      <w:r>
        <w:rPr>
          <w:vertAlign w:val="baseline"/>
        </w:rPr>
        <w:t>state,</w:t>
      </w:r>
      <w:r>
        <w:rPr>
          <w:spacing w:val="-10"/>
          <w:vertAlign w:val="baseline"/>
        </w:rPr>
        <w:t> </w:t>
      </w:r>
      <w:r>
        <w:rPr>
          <w:vertAlign w:val="baseline"/>
        </w:rPr>
        <w:t>and</w:t>
      </w:r>
      <w:r>
        <w:rPr>
          <w:spacing w:val="-9"/>
          <w:vertAlign w:val="baseline"/>
        </w:rPr>
        <w:t> </w:t>
      </w:r>
      <w:r>
        <w:rPr>
          <w:vertAlign w:val="baseline"/>
        </w:rPr>
        <w:t>can</w:t>
      </w:r>
      <w:r>
        <w:rPr>
          <w:spacing w:val="-9"/>
          <w:vertAlign w:val="baseline"/>
        </w:rPr>
        <w:t> </w:t>
      </w:r>
      <w:r>
        <w:rPr>
          <w:vertAlign w:val="baseline"/>
        </w:rPr>
        <w:t>further</w:t>
      </w:r>
      <w:r>
        <w:rPr>
          <w:spacing w:val="-10"/>
          <w:vertAlign w:val="baseline"/>
        </w:rPr>
        <w:t> </w:t>
      </w:r>
      <w:r>
        <w:rPr>
          <w:vertAlign w:val="baseline"/>
        </w:rPr>
        <w:t>provide</w:t>
      </w:r>
      <w:r>
        <w:rPr>
          <w:spacing w:val="-9"/>
          <w:vertAlign w:val="baseline"/>
        </w:rPr>
        <w:t> </w:t>
      </w:r>
      <w:r>
        <w:rPr>
          <w:vertAlign w:val="baseline"/>
        </w:rPr>
        <w:t>a</w:t>
      </w:r>
      <w:r>
        <w:rPr>
          <w:spacing w:val="-10"/>
          <w:vertAlign w:val="baseline"/>
        </w:rPr>
        <w:t> </w:t>
      </w:r>
      <w:r>
        <w:rPr>
          <w:vertAlign w:val="baseline"/>
        </w:rPr>
        <w:t>space</w:t>
      </w:r>
      <w:r>
        <w:rPr>
          <w:spacing w:val="-10"/>
          <w:vertAlign w:val="baseline"/>
        </w:rPr>
        <w:t> </w:t>
      </w:r>
      <w:r>
        <w:rPr>
          <w:vertAlign w:val="baseline"/>
        </w:rPr>
        <w:t>for</w:t>
      </w:r>
      <w:r>
        <w:rPr>
          <w:spacing w:val="-9"/>
          <w:vertAlign w:val="baseline"/>
        </w:rPr>
        <w:t> </w:t>
      </w:r>
      <w:r>
        <w:rPr>
          <w:vertAlign w:val="baseline"/>
        </w:rPr>
        <w:t>LGBTQ</w:t>
      </w:r>
      <w:r>
        <w:rPr>
          <w:spacing w:val="-9"/>
          <w:vertAlign w:val="baseline"/>
        </w:rPr>
        <w:t> </w:t>
      </w:r>
      <w:r>
        <w:rPr>
          <w:vertAlign w:val="baseline"/>
        </w:rPr>
        <w:t>community</w:t>
      </w:r>
      <w:r>
        <w:rPr>
          <w:spacing w:val="-9"/>
          <w:vertAlign w:val="baseline"/>
        </w:rPr>
        <w:t> </w:t>
      </w:r>
      <w:r>
        <w:rPr>
          <w:vertAlign w:val="baseline"/>
        </w:rPr>
        <w:t>for</w:t>
      </w:r>
      <w:r>
        <w:rPr>
          <w:spacing w:val="-10"/>
          <w:vertAlign w:val="baseline"/>
        </w:rPr>
        <w:t> </w:t>
      </w:r>
      <w:r>
        <w:rPr>
          <w:vertAlign w:val="baseline"/>
        </w:rPr>
        <w:t>youth</w:t>
      </w:r>
      <w:r>
        <w:rPr>
          <w:spacing w:val="-9"/>
          <w:vertAlign w:val="baseline"/>
        </w:rPr>
        <w:t> </w:t>
      </w:r>
      <w:r>
        <w:rPr>
          <w:vertAlign w:val="baseline"/>
        </w:rPr>
        <w:t>to</w:t>
      </w:r>
      <w:r>
        <w:rPr>
          <w:spacing w:val="-8"/>
          <w:vertAlign w:val="baseline"/>
        </w:rPr>
        <w:t> </w:t>
      </w:r>
      <w:r>
        <w:rPr>
          <w:vertAlign w:val="baseline"/>
        </w:rPr>
        <w:t>feel</w:t>
      </w:r>
      <w:r>
        <w:rPr>
          <w:spacing w:val="-10"/>
          <w:vertAlign w:val="baseline"/>
        </w:rPr>
        <w:t> </w:t>
      </w:r>
      <w:r>
        <w:rPr>
          <w:vertAlign w:val="baseline"/>
        </w:rPr>
        <w:t>affirmed.</w:t>
      </w:r>
    </w:p>
    <w:p>
      <w:pPr>
        <w:pStyle w:val="BodyText"/>
        <w:spacing w:line="276" w:lineRule="auto" w:before="241"/>
        <w:ind w:left="483" w:right="342"/>
        <w:jc w:val="both"/>
      </w:pPr>
      <w:r>
        <w:rPr/>
        <w:t>Additionally,</w:t>
      </w:r>
      <w:r>
        <w:rPr>
          <w:spacing w:val="-1"/>
        </w:rPr>
        <w:t> </w:t>
      </w:r>
      <w:r>
        <w:rPr/>
        <w:t>public</w:t>
      </w:r>
      <w:r>
        <w:rPr>
          <w:spacing w:val="-3"/>
        </w:rPr>
        <w:t> </w:t>
      </w:r>
      <w:r>
        <w:rPr/>
        <w:t>libraries</w:t>
      </w:r>
      <w:r>
        <w:rPr>
          <w:spacing w:val="-2"/>
        </w:rPr>
        <w:t> </w:t>
      </w:r>
      <w:r>
        <w:rPr/>
        <w:t>can</w:t>
      </w:r>
      <w:r>
        <w:rPr>
          <w:spacing w:val="-3"/>
        </w:rPr>
        <w:t> </w:t>
      </w:r>
      <w:r>
        <w:rPr/>
        <w:t>also</w:t>
      </w:r>
      <w:r>
        <w:rPr>
          <w:spacing w:val="-2"/>
        </w:rPr>
        <w:t> </w:t>
      </w:r>
      <w:r>
        <w:rPr/>
        <w:t>be a</w:t>
      </w:r>
      <w:r>
        <w:rPr>
          <w:spacing w:val="-3"/>
        </w:rPr>
        <w:t> </w:t>
      </w:r>
      <w:r>
        <w:rPr/>
        <w:t>key</w:t>
      </w:r>
      <w:r>
        <w:rPr>
          <w:spacing w:val="-3"/>
        </w:rPr>
        <w:t> </w:t>
      </w:r>
      <w:r>
        <w:rPr/>
        <w:t>resource</w:t>
      </w:r>
      <w:r>
        <w:rPr>
          <w:spacing w:val="-3"/>
        </w:rPr>
        <w:t> </w:t>
      </w:r>
      <w:r>
        <w:rPr/>
        <w:t>for</w:t>
      </w:r>
      <w:r>
        <w:rPr>
          <w:spacing w:val="-3"/>
        </w:rPr>
        <w:t> </w:t>
      </w:r>
      <w:r>
        <w:rPr/>
        <w:t>youth</w:t>
      </w:r>
      <w:r>
        <w:rPr>
          <w:spacing w:val="-2"/>
        </w:rPr>
        <w:t> </w:t>
      </w:r>
      <w:r>
        <w:rPr/>
        <w:t>experiencing</w:t>
      </w:r>
      <w:r>
        <w:rPr>
          <w:spacing w:val="-3"/>
        </w:rPr>
        <w:t> </w:t>
      </w:r>
      <w:r>
        <w:rPr/>
        <w:t>homelessness,</w:t>
      </w:r>
      <w:r>
        <w:rPr>
          <w:spacing w:val="-2"/>
        </w:rPr>
        <w:t> </w:t>
      </w:r>
      <w:r>
        <w:rPr/>
        <w:t>as</w:t>
      </w:r>
      <w:r>
        <w:rPr>
          <w:spacing w:val="-2"/>
        </w:rPr>
        <w:t> </w:t>
      </w:r>
      <w:r>
        <w:rPr/>
        <w:t>they</w:t>
      </w:r>
      <w:r>
        <w:rPr>
          <w:spacing w:val="-2"/>
        </w:rPr>
        <w:t> </w:t>
      </w:r>
      <w:r>
        <w:rPr/>
        <w:t>are open during the day when shelters are often closed and may provide free and accessible programming for underserved populations. For example, the American Library Association (ALA) notes that library programming including computer courses, arts and crafts, and educational workshops on rental assistance</w:t>
      </w:r>
      <w:r>
        <w:rPr>
          <w:spacing w:val="-9"/>
        </w:rPr>
        <w:t> </w:t>
      </w:r>
      <w:r>
        <w:rPr/>
        <w:t>and</w:t>
      </w:r>
      <w:r>
        <w:rPr>
          <w:spacing w:val="-9"/>
        </w:rPr>
        <w:t> </w:t>
      </w:r>
      <w:r>
        <w:rPr/>
        <w:t>applying</w:t>
      </w:r>
      <w:r>
        <w:rPr>
          <w:spacing w:val="-9"/>
        </w:rPr>
        <w:t> </w:t>
      </w:r>
      <w:r>
        <w:rPr/>
        <w:t>for</w:t>
      </w:r>
      <w:r>
        <w:rPr>
          <w:spacing w:val="-9"/>
        </w:rPr>
        <w:t> </w:t>
      </w:r>
      <w:r>
        <w:rPr/>
        <w:t>government</w:t>
      </w:r>
      <w:r>
        <w:rPr>
          <w:spacing w:val="-8"/>
        </w:rPr>
        <w:t> </w:t>
      </w:r>
      <w:r>
        <w:rPr/>
        <w:t>benefits</w:t>
      </w:r>
      <w:r>
        <w:rPr>
          <w:spacing w:val="-7"/>
        </w:rPr>
        <w:t> </w:t>
      </w:r>
      <w:r>
        <w:rPr/>
        <w:t>can</w:t>
      </w:r>
      <w:r>
        <w:rPr>
          <w:spacing w:val="-8"/>
        </w:rPr>
        <w:t> </w:t>
      </w:r>
      <w:r>
        <w:rPr/>
        <w:t>be</w:t>
      </w:r>
      <w:r>
        <w:rPr>
          <w:spacing w:val="-9"/>
        </w:rPr>
        <w:t> </w:t>
      </w:r>
      <w:r>
        <w:rPr/>
        <w:t>beneficial</w:t>
      </w:r>
      <w:r>
        <w:rPr>
          <w:spacing w:val="-7"/>
        </w:rPr>
        <w:t> </w:t>
      </w:r>
      <w:r>
        <w:rPr/>
        <w:t>to</w:t>
      </w:r>
      <w:r>
        <w:rPr>
          <w:spacing w:val="-8"/>
        </w:rPr>
        <w:t> </w:t>
      </w:r>
      <w:r>
        <w:rPr/>
        <w:t>people</w:t>
      </w:r>
      <w:r>
        <w:rPr>
          <w:spacing w:val="-8"/>
        </w:rPr>
        <w:t> </w:t>
      </w:r>
      <w:r>
        <w:rPr/>
        <w:t>experiencing</w:t>
      </w:r>
      <w:r>
        <w:rPr>
          <w:spacing w:val="-9"/>
        </w:rPr>
        <w:t> </w:t>
      </w:r>
      <w:r>
        <w:rPr/>
        <w:t>homelessness</w:t>
      </w:r>
      <w:hyperlink w:history="true" w:anchor="_bookmark649">
        <w:r>
          <w:rPr/>
          <w:t>.</w:t>
        </w:r>
        <w:r>
          <w:rPr>
            <w:vertAlign w:val="superscript"/>
          </w:rPr>
          <w:t>2</w:t>
        </w:r>
      </w:hyperlink>
      <w:r>
        <w:rPr>
          <w:vertAlign w:val="baseline"/>
        </w:rPr>
        <w:t> Libraries</w:t>
      </w:r>
      <w:r>
        <w:rPr>
          <w:spacing w:val="-4"/>
          <w:vertAlign w:val="baseline"/>
        </w:rPr>
        <w:t> </w:t>
      </w:r>
      <w:r>
        <w:rPr>
          <w:vertAlign w:val="baseline"/>
        </w:rPr>
        <w:t>can</w:t>
      </w:r>
      <w:r>
        <w:rPr>
          <w:spacing w:val="-2"/>
          <w:vertAlign w:val="baseline"/>
        </w:rPr>
        <w:t> </w:t>
      </w:r>
      <w:r>
        <w:rPr>
          <w:vertAlign w:val="baseline"/>
        </w:rPr>
        <w:t>also</w:t>
      </w:r>
      <w:r>
        <w:rPr>
          <w:spacing w:val="-3"/>
          <w:vertAlign w:val="baseline"/>
        </w:rPr>
        <w:t> </w:t>
      </w:r>
      <w:r>
        <w:rPr>
          <w:vertAlign w:val="baseline"/>
        </w:rPr>
        <w:t>connect</w:t>
      </w:r>
      <w:r>
        <w:rPr>
          <w:spacing w:val="-3"/>
          <w:vertAlign w:val="baseline"/>
        </w:rPr>
        <w:t> </w:t>
      </w:r>
      <w:r>
        <w:rPr>
          <w:vertAlign w:val="baseline"/>
        </w:rPr>
        <w:t>youth</w:t>
      </w:r>
      <w:r>
        <w:rPr>
          <w:spacing w:val="-4"/>
          <w:vertAlign w:val="baseline"/>
        </w:rPr>
        <w:t> </w:t>
      </w:r>
      <w:r>
        <w:rPr>
          <w:vertAlign w:val="baseline"/>
        </w:rPr>
        <w:t>experiencing</w:t>
      </w:r>
      <w:r>
        <w:rPr>
          <w:spacing w:val="-3"/>
          <w:vertAlign w:val="baseline"/>
        </w:rPr>
        <w:t> </w:t>
      </w:r>
      <w:r>
        <w:rPr>
          <w:vertAlign w:val="baseline"/>
        </w:rPr>
        <w:t>homelessness</w:t>
      </w:r>
      <w:r>
        <w:rPr>
          <w:spacing w:val="-4"/>
          <w:vertAlign w:val="baseline"/>
        </w:rPr>
        <w:t> </w:t>
      </w:r>
      <w:r>
        <w:rPr>
          <w:vertAlign w:val="baseline"/>
        </w:rPr>
        <w:t>or</w:t>
      </w:r>
      <w:r>
        <w:rPr>
          <w:spacing w:val="-4"/>
          <w:vertAlign w:val="baseline"/>
        </w:rPr>
        <w:t> </w:t>
      </w:r>
      <w:r>
        <w:rPr>
          <w:vertAlign w:val="baseline"/>
        </w:rPr>
        <w:t>housing</w:t>
      </w:r>
      <w:r>
        <w:rPr>
          <w:spacing w:val="-4"/>
          <w:vertAlign w:val="baseline"/>
        </w:rPr>
        <w:t> </w:t>
      </w:r>
      <w:r>
        <w:rPr>
          <w:vertAlign w:val="baseline"/>
        </w:rPr>
        <w:t>instability</w:t>
      </w:r>
      <w:r>
        <w:rPr>
          <w:spacing w:val="-4"/>
          <w:vertAlign w:val="baseline"/>
        </w:rPr>
        <w:t> </w:t>
      </w:r>
      <w:r>
        <w:rPr>
          <w:vertAlign w:val="baseline"/>
        </w:rPr>
        <w:t>with</w:t>
      </w:r>
      <w:r>
        <w:rPr>
          <w:spacing w:val="-4"/>
          <w:vertAlign w:val="baseline"/>
        </w:rPr>
        <w:t> </w:t>
      </w:r>
      <w:r>
        <w:rPr>
          <w:vertAlign w:val="baseline"/>
        </w:rPr>
        <w:t>local</w:t>
      </w:r>
      <w:r>
        <w:rPr>
          <w:spacing w:val="-4"/>
          <w:vertAlign w:val="baseline"/>
        </w:rPr>
        <w:t> </w:t>
      </w:r>
      <w:r>
        <w:rPr>
          <w:vertAlign w:val="baseline"/>
        </w:rPr>
        <w:t>resources</w:t>
      </w:r>
      <w:r>
        <w:rPr>
          <w:spacing w:val="-4"/>
          <w:vertAlign w:val="baseline"/>
        </w:rPr>
        <w:t> </w:t>
      </w:r>
      <w:r>
        <w:rPr>
          <w:vertAlign w:val="baseline"/>
        </w:rPr>
        <w:t>or opportunities through flyer handouts or online.</w:t>
      </w:r>
      <w:hyperlink w:history="true" w:anchor="_bookmark650">
        <w:r>
          <w:rPr>
            <w:vertAlign w:val="superscript"/>
          </w:rPr>
          <w:t>3</w:t>
        </w:r>
      </w:hyperlink>
    </w:p>
    <w:p>
      <w:pPr>
        <w:spacing w:after="0" w:line="276" w:lineRule="auto"/>
        <w:jc w:val="both"/>
        <w:sectPr>
          <w:headerReference w:type="default" r:id="rId765"/>
          <w:footerReference w:type="default" r:id="rId766"/>
          <w:pgSz w:w="12240" w:h="15840"/>
          <w:pgMar w:header="804" w:footer="1260" w:top="1000" w:bottom="1460" w:left="960" w:right="1100"/>
        </w:sectPr>
      </w:pPr>
    </w:p>
    <w:p>
      <w:pPr>
        <w:pStyle w:val="BodyText"/>
        <w:spacing w:before="98"/>
      </w:pPr>
    </w:p>
    <w:p>
      <w:pPr>
        <w:pStyle w:val="BodyText"/>
        <w:spacing w:line="276" w:lineRule="auto"/>
        <w:ind w:left="483" w:right="342"/>
        <w:jc w:val="both"/>
      </w:pPr>
      <w:r>
        <w:rPr/>
        <w:t>Over</w:t>
      </w:r>
      <w:r>
        <w:rPr>
          <w:spacing w:val="-9"/>
        </w:rPr>
        <w:t> </w:t>
      </w:r>
      <w:r>
        <w:rPr/>
        <w:t>the</w:t>
      </w:r>
      <w:r>
        <w:rPr>
          <w:spacing w:val="-9"/>
        </w:rPr>
        <w:t> </w:t>
      </w:r>
      <w:r>
        <w:rPr/>
        <w:t>last</w:t>
      </w:r>
      <w:r>
        <w:rPr>
          <w:spacing w:val="-7"/>
        </w:rPr>
        <w:t> </w:t>
      </w:r>
      <w:r>
        <w:rPr/>
        <w:t>several</w:t>
      </w:r>
      <w:r>
        <w:rPr>
          <w:spacing w:val="-9"/>
        </w:rPr>
        <w:t> </w:t>
      </w:r>
      <w:r>
        <w:rPr/>
        <w:t>years,</w:t>
      </w:r>
      <w:r>
        <w:rPr>
          <w:spacing w:val="-9"/>
        </w:rPr>
        <w:t> </w:t>
      </w:r>
      <w:r>
        <w:rPr/>
        <w:t>school</w:t>
      </w:r>
      <w:r>
        <w:rPr>
          <w:spacing w:val="-9"/>
        </w:rPr>
        <w:t> </w:t>
      </w:r>
      <w:r>
        <w:rPr/>
        <w:t>and</w:t>
      </w:r>
      <w:r>
        <w:rPr>
          <w:spacing w:val="-9"/>
        </w:rPr>
        <w:t> </w:t>
      </w:r>
      <w:r>
        <w:rPr/>
        <w:t>public</w:t>
      </w:r>
      <w:r>
        <w:rPr>
          <w:spacing w:val="-8"/>
        </w:rPr>
        <w:t> </w:t>
      </w:r>
      <w:r>
        <w:rPr/>
        <w:t>libraries</w:t>
      </w:r>
      <w:r>
        <w:rPr>
          <w:spacing w:val="-7"/>
        </w:rPr>
        <w:t> </w:t>
      </w:r>
      <w:r>
        <w:rPr/>
        <w:t>have</w:t>
      </w:r>
      <w:r>
        <w:rPr>
          <w:spacing w:val="-9"/>
        </w:rPr>
        <w:t> </w:t>
      </w:r>
      <w:r>
        <w:rPr/>
        <w:t>seen</w:t>
      </w:r>
      <w:r>
        <w:rPr>
          <w:spacing w:val="-9"/>
        </w:rPr>
        <w:t> </w:t>
      </w:r>
      <w:r>
        <w:rPr/>
        <w:t>a</w:t>
      </w:r>
      <w:r>
        <w:rPr>
          <w:spacing w:val="-7"/>
        </w:rPr>
        <w:t> </w:t>
      </w:r>
      <w:r>
        <w:rPr/>
        <w:t>significant</w:t>
      </w:r>
      <w:r>
        <w:rPr>
          <w:spacing w:val="-9"/>
        </w:rPr>
        <w:t> </w:t>
      </w:r>
      <w:r>
        <w:rPr/>
        <w:t>rise</w:t>
      </w:r>
      <w:r>
        <w:rPr>
          <w:spacing w:val="-8"/>
        </w:rPr>
        <w:t> </w:t>
      </w:r>
      <w:r>
        <w:rPr/>
        <w:t>in</w:t>
      </w:r>
      <w:r>
        <w:rPr>
          <w:spacing w:val="-8"/>
        </w:rPr>
        <w:t> </w:t>
      </w:r>
      <w:r>
        <w:rPr/>
        <w:t>censorship</w:t>
      </w:r>
      <w:r>
        <w:rPr>
          <w:spacing w:val="-9"/>
        </w:rPr>
        <w:t> </w:t>
      </w:r>
      <w:r>
        <w:rPr/>
        <w:t>challenges against</w:t>
      </w:r>
      <w:r>
        <w:rPr>
          <w:spacing w:val="-3"/>
        </w:rPr>
        <w:t> </w:t>
      </w:r>
      <w:r>
        <w:rPr/>
        <w:t>LGBTQ</w:t>
      </w:r>
      <w:r>
        <w:rPr>
          <w:spacing w:val="-3"/>
        </w:rPr>
        <w:t> </w:t>
      </w:r>
      <w:r>
        <w:rPr/>
        <w:t>and</w:t>
      </w:r>
      <w:r>
        <w:rPr>
          <w:spacing w:val="-2"/>
        </w:rPr>
        <w:t> </w:t>
      </w:r>
      <w:r>
        <w:rPr/>
        <w:t>BIPOC</w:t>
      </w:r>
      <w:r>
        <w:rPr>
          <w:spacing w:val="-1"/>
        </w:rPr>
        <w:t> </w:t>
      </w:r>
      <w:r>
        <w:rPr/>
        <w:t>books</w:t>
      </w:r>
      <w:r>
        <w:rPr>
          <w:spacing w:val="-3"/>
        </w:rPr>
        <w:t> </w:t>
      </w:r>
      <w:r>
        <w:rPr/>
        <w:t>and</w:t>
      </w:r>
      <w:r>
        <w:rPr>
          <w:spacing w:val="-2"/>
        </w:rPr>
        <w:t> </w:t>
      </w:r>
      <w:r>
        <w:rPr/>
        <w:t>materials.</w:t>
      </w:r>
      <w:r>
        <w:rPr>
          <w:spacing w:val="-3"/>
        </w:rPr>
        <w:t> </w:t>
      </w:r>
      <w:r>
        <w:rPr/>
        <w:t>In</w:t>
      </w:r>
      <w:r>
        <w:rPr>
          <w:spacing w:val="-2"/>
        </w:rPr>
        <w:t> </w:t>
      </w:r>
      <w:r>
        <w:rPr/>
        <w:t>March</w:t>
      </w:r>
      <w:r>
        <w:rPr>
          <w:spacing w:val="-3"/>
        </w:rPr>
        <w:t> </w:t>
      </w:r>
      <w:r>
        <w:rPr/>
        <w:t>of</w:t>
      </w:r>
      <w:r>
        <w:rPr>
          <w:spacing w:val="-3"/>
        </w:rPr>
        <w:t> </w:t>
      </w:r>
      <w:r>
        <w:rPr/>
        <w:t>2023,</w:t>
      </w:r>
      <w:r>
        <w:rPr>
          <w:spacing w:val="-1"/>
        </w:rPr>
        <w:t> </w:t>
      </w:r>
      <w:r>
        <w:rPr/>
        <w:t>the</w:t>
      </w:r>
      <w:r>
        <w:rPr>
          <w:spacing w:val="-2"/>
        </w:rPr>
        <w:t> </w:t>
      </w:r>
      <w:r>
        <w:rPr/>
        <w:t>ALA</w:t>
      </w:r>
      <w:r>
        <w:rPr>
          <w:spacing w:val="-2"/>
        </w:rPr>
        <w:t> </w:t>
      </w:r>
      <w:r>
        <w:rPr/>
        <w:t>noted</w:t>
      </w:r>
      <w:r>
        <w:rPr>
          <w:spacing w:val="-3"/>
        </w:rPr>
        <w:t> </w:t>
      </w:r>
      <w:r>
        <w:rPr/>
        <w:t>an</w:t>
      </w:r>
      <w:r>
        <w:rPr>
          <w:spacing w:val="-2"/>
        </w:rPr>
        <w:t> </w:t>
      </w:r>
      <w:r>
        <w:rPr/>
        <w:t>unparalleled</w:t>
      </w:r>
      <w:r>
        <w:rPr>
          <w:spacing w:val="-2"/>
        </w:rPr>
        <w:t> </w:t>
      </w:r>
      <w:r>
        <w:rPr/>
        <w:t>number of</w:t>
      </w:r>
      <w:r>
        <w:rPr>
          <w:spacing w:val="-13"/>
        </w:rPr>
        <w:t> </w:t>
      </w:r>
      <w:r>
        <w:rPr/>
        <w:t>reported</w:t>
      </w:r>
      <w:r>
        <w:rPr>
          <w:spacing w:val="-12"/>
        </w:rPr>
        <w:t> </w:t>
      </w:r>
      <w:r>
        <w:rPr/>
        <w:t>book</w:t>
      </w:r>
      <w:r>
        <w:rPr>
          <w:spacing w:val="-13"/>
        </w:rPr>
        <w:t> </w:t>
      </w:r>
      <w:r>
        <w:rPr/>
        <w:t>challenges</w:t>
      </w:r>
      <w:r>
        <w:rPr>
          <w:spacing w:val="-12"/>
        </w:rPr>
        <w:t> </w:t>
      </w:r>
      <w:r>
        <w:rPr/>
        <w:t>in</w:t>
      </w:r>
      <w:r>
        <w:rPr>
          <w:spacing w:val="-13"/>
        </w:rPr>
        <w:t> </w:t>
      </w:r>
      <w:r>
        <w:rPr/>
        <w:t>2022</w:t>
      </w:r>
      <w:r>
        <w:rPr>
          <w:spacing w:val="-12"/>
        </w:rPr>
        <w:t> </w:t>
      </w:r>
      <w:r>
        <w:rPr/>
        <w:t>reached</w:t>
      </w:r>
      <w:r>
        <w:rPr>
          <w:spacing w:val="-13"/>
        </w:rPr>
        <w:t> </w:t>
      </w:r>
      <w:r>
        <w:rPr/>
        <w:t>1,269,</w:t>
      </w:r>
      <w:r>
        <w:rPr>
          <w:spacing w:val="-12"/>
        </w:rPr>
        <w:t> </w:t>
      </w:r>
      <w:r>
        <w:rPr/>
        <w:t>with</w:t>
      </w:r>
      <w:r>
        <w:rPr>
          <w:spacing w:val="-12"/>
        </w:rPr>
        <w:t> </w:t>
      </w:r>
      <w:r>
        <w:rPr/>
        <w:t>2,571</w:t>
      </w:r>
      <w:r>
        <w:rPr>
          <w:spacing w:val="-13"/>
        </w:rPr>
        <w:t> </w:t>
      </w:r>
      <w:r>
        <w:rPr/>
        <w:t>unique</w:t>
      </w:r>
      <w:r>
        <w:rPr>
          <w:spacing w:val="-12"/>
        </w:rPr>
        <w:t> </w:t>
      </w:r>
      <w:r>
        <w:rPr/>
        <w:t>titles</w:t>
      </w:r>
      <w:r>
        <w:rPr>
          <w:spacing w:val="-13"/>
        </w:rPr>
        <w:t> </w:t>
      </w:r>
      <w:r>
        <w:rPr/>
        <w:t>being</w:t>
      </w:r>
      <w:r>
        <w:rPr>
          <w:spacing w:val="-12"/>
        </w:rPr>
        <w:t> </w:t>
      </w:r>
      <w:r>
        <w:rPr/>
        <w:t>targeted</w:t>
      </w:r>
      <w:r>
        <w:rPr>
          <w:spacing w:val="-13"/>
        </w:rPr>
        <w:t> </w:t>
      </w:r>
      <w:r>
        <w:rPr/>
        <w:t>for</w:t>
      </w:r>
      <w:r>
        <w:rPr>
          <w:spacing w:val="-12"/>
        </w:rPr>
        <w:t> </w:t>
      </w:r>
      <w:r>
        <w:rPr/>
        <w:t>censorship; the</w:t>
      </w:r>
      <w:r>
        <w:rPr>
          <w:spacing w:val="-4"/>
        </w:rPr>
        <w:t> </w:t>
      </w:r>
      <w:r>
        <w:rPr/>
        <w:t>vast</w:t>
      </w:r>
      <w:r>
        <w:rPr>
          <w:spacing w:val="-4"/>
        </w:rPr>
        <w:t> </w:t>
      </w:r>
      <w:r>
        <w:rPr/>
        <w:t>majority</w:t>
      </w:r>
      <w:r>
        <w:rPr>
          <w:spacing w:val="-4"/>
        </w:rPr>
        <w:t> </w:t>
      </w:r>
      <w:r>
        <w:rPr/>
        <w:t>of</w:t>
      </w:r>
      <w:r>
        <w:rPr>
          <w:spacing w:val="-4"/>
        </w:rPr>
        <w:t> </w:t>
      </w:r>
      <w:r>
        <w:rPr/>
        <w:t>these</w:t>
      </w:r>
      <w:r>
        <w:rPr>
          <w:spacing w:val="-4"/>
        </w:rPr>
        <w:t> </w:t>
      </w:r>
      <w:r>
        <w:rPr/>
        <w:t>titles</w:t>
      </w:r>
      <w:r>
        <w:rPr>
          <w:spacing w:val="-4"/>
        </w:rPr>
        <w:t> </w:t>
      </w:r>
      <w:r>
        <w:rPr/>
        <w:t>being</w:t>
      </w:r>
      <w:r>
        <w:rPr>
          <w:spacing w:val="-4"/>
        </w:rPr>
        <w:t> </w:t>
      </w:r>
      <w:r>
        <w:rPr/>
        <w:t>challenged</w:t>
      </w:r>
      <w:r>
        <w:rPr>
          <w:spacing w:val="-3"/>
        </w:rPr>
        <w:t> </w:t>
      </w:r>
      <w:r>
        <w:rPr/>
        <w:t>centered</w:t>
      </w:r>
      <w:r>
        <w:rPr>
          <w:spacing w:val="-4"/>
        </w:rPr>
        <w:t> </w:t>
      </w:r>
      <w:r>
        <w:rPr/>
        <w:t>around</w:t>
      </w:r>
      <w:r>
        <w:rPr>
          <w:spacing w:val="-3"/>
        </w:rPr>
        <w:t> </w:t>
      </w:r>
      <w:r>
        <w:rPr/>
        <w:t>LGBTQ</w:t>
      </w:r>
      <w:r>
        <w:rPr>
          <w:spacing w:val="-3"/>
        </w:rPr>
        <w:t> </w:t>
      </w:r>
      <w:r>
        <w:rPr/>
        <w:t>communities</w:t>
      </w:r>
      <w:r>
        <w:rPr>
          <w:spacing w:val="-4"/>
        </w:rPr>
        <w:t> </w:t>
      </w:r>
      <w:r>
        <w:rPr/>
        <w:t>and</w:t>
      </w:r>
      <w:r>
        <w:rPr>
          <w:spacing w:val="-4"/>
        </w:rPr>
        <w:t> </w:t>
      </w:r>
      <w:r>
        <w:rPr/>
        <w:t>communities of color, with 90% of the challenges attempts to censor multiple titles at one time</w:t>
      </w:r>
      <w:hyperlink w:history="true" w:anchor="_bookmark651">
        <w:r>
          <w:rPr/>
          <w:t>.</w:t>
        </w:r>
        <w:r>
          <w:rPr>
            <w:vertAlign w:val="superscript"/>
          </w:rPr>
          <w:t>4</w:t>
        </w:r>
      </w:hyperlink>
      <w:r>
        <w:rPr>
          <w:vertAlign w:val="baseline"/>
        </w:rPr>
        <w:t> In the ALA’s list of “Top 10 Most Challenged Books of 2022” 7 of the books were challenged due to LGBTQ content, with </w:t>
      </w:r>
      <w:r>
        <w:rPr>
          <w:i/>
          <w:vertAlign w:val="baseline"/>
        </w:rPr>
        <w:t>Gender</w:t>
      </w:r>
      <w:r>
        <w:rPr>
          <w:i/>
          <w:spacing w:val="-3"/>
          <w:vertAlign w:val="baseline"/>
        </w:rPr>
        <w:t> </w:t>
      </w:r>
      <w:r>
        <w:rPr>
          <w:i/>
          <w:vertAlign w:val="baseline"/>
        </w:rPr>
        <w:t>Queer</w:t>
      </w:r>
      <w:r>
        <w:rPr>
          <w:i/>
          <w:spacing w:val="-3"/>
          <w:vertAlign w:val="baseline"/>
        </w:rPr>
        <w:t> </w:t>
      </w:r>
      <w:r>
        <w:rPr>
          <w:vertAlign w:val="baseline"/>
        </w:rPr>
        <w:t>by</w:t>
      </w:r>
      <w:r>
        <w:rPr>
          <w:spacing w:val="-3"/>
          <w:vertAlign w:val="baseline"/>
        </w:rPr>
        <w:t> </w:t>
      </w:r>
      <w:r>
        <w:rPr>
          <w:vertAlign w:val="baseline"/>
        </w:rPr>
        <w:t>Maia</w:t>
      </w:r>
      <w:r>
        <w:rPr>
          <w:spacing w:val="-3"/>
          <w:vertAlign w:val="baseline"/>
        </w:rPr>
        <w:t> </w:t>
      </w:r>
      <w:r>
        <w:rPr>
          <w:vertAlign w:val="baseline"/>
        </w:rPr>
        <w:t>Kobabe</w:t>
      </w:r>
      <w:r>
        <w:rPr>
          <w:spacing w:val="-3"/>
          <w:vertAlign w:val="baseline"/>
        </w:rPr>
        <w:t> </w:t>
      </w:r>
      <w:r>
        <w:rPr>
          <w:vertAlign w:val="baseline"/>
        </w:rPr>
        <w:t>being</w:t>
      </w:r>
      <w:r>
        <w:rPr>
          <w:spacing w:val="-3"/>
          <w:vertAlign w:val="baseline"/>
        </w:rPr>
        <w:t> </w:t>
      </w:r>
      <w:r>
        <w:rPr>
          <w:vertAlign w:val="baseline"/>
        </w:rPr>
        <w:t>the</w:t>
      </w:r>
      <w:r>
        <w:rPr>
          <w:spacing w:val="-3"/>
          <w:vertAlign w:val="baseline"/>
        </w:rPr>
        <w:t> </w:t>
      </w:r>
      <w:r>
        <w:rPr>
          <w:vertAlign w:val="baseline"/>
        </w:rPr>
        <w:t>most</w:t>
      </w:r>
      <w:r>
        <w:rPr>
          <w:spacing w:val="-3"/>
          <w:vertAlign w:val="baseline"/>
        </w:rPr>
        <w:t> </w:t>
      </w:r>
      <w:r>
        <w:rPr>
          <w:vertAlign w:val="baseline"/>
        </w:rPr>
        <w:t>banned</w:t>
      </w:r>
      <w:r>
        <w:rPr>
          <w:spacing w:val="-3"/>
          <w:vertAlign w:val="baseline"/>
        </w:rPr>
        <w:t> </w:t>
      </w:r>
      <w:r>
        <w:rPr>
          <w:vertAlign w:val="baseline"/>
        </w:rPr>
        <w:t>book</w:t>
      </w:r>
      <w:r>
        <w:rPr>
          <w:spacing w:val="-3"/>
          <w:vertAlign w:val="baseline"/>
        </w:rPr>
        <w:t> </w:t>
      </w:r>
      <w:r>
        <w:rPr>
          <w:vertAlign w:val="baseline"/>
        </w:rPr>
        <w:t>in</w:t>
      </w:r>
      <w:r>
        <w:rPr>
          <w:spacing w:val="-3"/>
          <w:vertAlign w:val="baseline"/>
        </w:rPr>
        <w:t> </w:t>
      </w:r>
      <w:r>
        <w:rPr>
          <w:vertAlign w:val="baseline"/>
        </w:rPr>
        <w:t>the</w:t>
      </w:r>
      <w:r>
        <w:rPr>
          <w:spacing w:val="-3"/>
          <w:vertAlign w:val="baseline"/>
        </w:rPr>
        <w:t> </w:t>
      </w:r>
      <w:r>
        <w:rPr>
          <w:vertAlign w:val="baseline"/>
        </w:rPr>
        <w:t>U.S</w:t>
      </w:r>
      <w:hyperlink w:history="true" w:anchor="_bookmark652">
        <w:r>
          <w:rPr>
            <w:vertAlign w:val="baseline"/>
          </w:rPr>
          <w:t>.</w:t>
        </w:r>
        <w:r>
          <w:rPr>
            <w:vertAlign w:val="superscript"/>
          </w:rPr>
          <w:t>5</w:t>
        </w:r>
      </w:hyperlink>
      <w:r>
        <w:rPr>
          <w:spacing w:val="-3"/>
          <w:vertAlign w:val="baseline"/>
        </w:rPr>
        <w:t> </w:t>
      </w:r>
      <w:r>
        <w:rPr>
          <w:vertAlign w:val="baseline"/>
        </w:rPr>
        <w:t>The</w:t>
      </w:r>
      <w:r>
        <w:rPr>
          <w:spacing w:val="-3"/>
          <w:vertAlign w:val="baseline"/>
        </w:rPr>
        <w:t> </w:t>
      </w:r>
      <w:r>
        <w:rPr>
          <w:vertAlign w:val="baseline"/>
        </w:rPr>
        <w:t>Commonwealth</w:t>
      </w:r>
      <w:r>
        <w:rPr>
          <w:spacing w:val="-3"/>
          <w:vertAlign w:val="baseline"/>
        </w:rPr>
        <w:t> </w:t>
      </w:r>
      <w:r>
        <w:rPr>
          <w:vertAlign w:val="baseline"/>
        </w:rPr>
        <w:t>has</w:t>
      </w:r>
      <w:r>
        <w:rPr>
          <w:spacing w:val="-3"/>
          <w:vertAlign w:val="baseline"/>
        </w:rPr>
        <w:t> </w:t>
      </w:r>
      <w:r>
        <w:rPr>
          <w:vertAlign w:val="baseline"/>
        </w:rPr>
        <w:t>seen</w:t>
      </w:r>
      <w:r>
        <w:rPr>
          <w:spacing w:val="-3"/>
          <w:vertAlign w:val="baseline"/>
        </w:rPr>
        <w:t> </w:t>
      </w:r>
      <w:r>
        <w:rPr>
          <w:vertAlign w:val="baseline"/>
        </w:rPr>
        <w:t>no exceptions</w:t>
      </w:r>
      <w:r>
        <w:rPr>
          <w:spacing w:val="-5"/>
          <w:vertAlign w:val="baseline"/>
        </w:rPr>
        <w:t> </w:t>
      </w:r>
      <w:r>
        <w:rPr>
          <w:vertAlign w:val="baseline"/>
        </w:rPr>
        <w:t>to</w:t>
      </w:r>
      <w:r>
        <w:rPr>
          <w:spacing w:val="-6"/>
          <w:vertAlign w:val="baseline"/>
        </w:rPr>
        <w:t> </w:t>
      </w:r>
      <w:r>
        <w:rPr>
          <w:vertAlign w:val="baseline"/>
        </w:rPr>
        <w:t>these</w:t>
      </w:r>
      <w:r>
        <w:rPr>
          <w:spacing w:val="-5"/>
          <w:vertAlign w:val="baseline"/>
        </w:rPr>
        <w:t> </w:t>
      </w:r>
      <w:r>
        <w:rPr>
          <w:vertAlign w:val="baseline"/>
        </w:rPr>
        <w:t>challenges,</w:t>
      </w:r>
      <w:r>
        <w:rPr>
          <w:spacing w:val="-6"/>
          <w:vertAlign w:val="baseline"/>
        </w:rPr>
        <w:t> </w:t>
      </w:r>
      <w:r>
        <w:rPr>
          <w:vertAlign w:val="baseline"/>
        </w:rPr>
        <w:t>with</w:t>
      </w:r>
      <w:r>
        <w:rPr>
          <w:spacing w:val="-6"/>
          <w:vertAlign w:val="baseline"/>
        </w:rPr>
        <w:t> </w:t>
      </w:r>
      <w:r>
        <w:rPr>
          <w:vertAlign w:val="baseline"/>
        </w:rPr>
        <w:t>the</w:t>
      </w:r>
      <w:r>
        <w:rPr>
          <w:spacing w:val="-6"/>
          <w:vertAlign w:val="baseline"/>
        </w:rPr>
        <w:t> </w:t>
      </w:r>
      <w:r>
        <w:rPr>
          <w:vertAlign w:val="baseline"/>
        </w:rPr>
        <w:t>ACLU</w:t>
      </w:r>
      <w:r>
        <w:rPr>
          <w:spacing w:val="-7"/>
          <w:vertAlign w:val="baseline"/>
        </w:rPr>
        <w:t> </w:t>
      </w:r>
      <w:r>
        <w:rPr>
          <w:vertAlign w:val="baseline"/>
        </w:rPr>
        <w:t>&amp;</w:t>
      </w:r>
      <w:r>
        <w:rPr>
          <w:spacing w:val="-5"/>
          <w:vertAlign w:val="baseline"/>
        </w:rPr>
        <w:t> </w:t>
      </w:r>
      <w:r>
        <w:rPr>
          <w:vertAlign w:val="baseline"/>
        </w:rPr>
        <w:t>GLAD</w:t>
      </w:r>
      <w:r>
        <w:rPr>
          <w:spacing w:val="-5"/>
          <w:vertAlign w:val="baseline"/>
        </w:rPr>
        <w:t> </w:t>
      </w:r>
      <w:r>
        <w:rPr>
          <w:vertAlign w:val="baseline"/>
        </w:rPr>
        <w:t>releasing</w:t>
      </w:r>
      <w:r>
        <w:rPr>
          <w:spacing w:val="-6"/>
          <w:vertAlign w:val="baseline"/>
        </w:rPr>
        <w:t> </w:t>
      </w:r>
      <w:r>
        <w:rPr>
          <w:vertAlign w:val="baseline"/>
        </w:rPr>
        <w:t>a</w:t>
      </w:r>
      <w:r>
        <w:rPr>
          <w:spacing w:val="-6"/>
          <w:vertAlign w:val="baseline"/>
        </w:rPr>
        <w:t> </w:t>
      </w:r>
      <w:r>
        <w:rPr>
          <w:vertAlign w:val="baseline"/>
        </w:rPr>
        <w:t>letter</w:t>
      </w:r>
      <w:r>
        <w:rPr>
          <w:spacing w:val="-6"/>
          <w:vertAlign w:val="baseline"/>
        </w:rPr>
        <w:t> </w:t>
      </w:r>
      <w:r>
        <w:rPr>
          <w:vertAlign w:val="baseline"/>
        </w:rPr>
        <w:t>in</w:t>
      </w:r>
      <w:r>
        <w:rPr>
          <w:spacing w:val="-6"/>
          <w:vertAlign w:val="baseline"/>
        </w:rPr>
        <w:t> </w:t>
      </w:r>
      <w:r>
        <w:rPr>
          <w:vertAlign w:val="baseline"/>
        </w:rPr>
        <w:t>January</w:t>
      </w:r>
      <w:r>
        <w:rPr>
          <w:spacing w:val="-6"/>
          <w:vertAlign w:val="baseline"/>
        </w:rPr>
        <w:t> </w:t>
      </w:r>
      <w:r>
        <w:rPr>
          <w:vertAlign w:val="baseline"/>
        </w:rPr>
        <w:t>of</w:t>
      </w:r>
      <w:r>
        <w:rPr>
          <w:spacing w:val="-6"/>
          <w:vertAlign w:val="baseline"/>
        </w:rPr>
        <w:t> </w:t>
      </w:r>
      <w:r>
        <w:rPr>
          <w:vertAlign w:val="baseline"/>
        </w:rPr>
        <w:t>2023</w:t>
      </w:r>
      <w:r>
        <w:rPr>
          <w:spacing w:val="-6"/>
          <w:vertAlign w:val="baseline"/>
        </w:rPr>
        <w:t> </w:t>
      </w:r>
      <w:r>
        <w:rPr>
          <w:vertAlign w:val="baseline"/>
        </w:rPr>
        <w:t>in</w:t>
      </w:r>
      <w:r>
        <w:rPr>
          <w:spacing w:val="-6"/>
          <w:vertAlign w:val="baseline"/>
        </w:rPr>
        <w:t> </w:t>
      </w:r>
      <w:r>
        <w:rPr>
          <w:vertAlign w:val="baseline"/>
        </w:rPr>
        <w:t>response</w:t>
      </w:r>
      <w:r>
        <w:rPr>
          <w:spacing w:val="-7"/>
          <w:vertAlign w:val="baseline"/>
        </w:rPr>
        <w:t> </w:t>
      </w:r>
      <w:r>
        <w:rPr>
          <w:vertAlign w:val="baseline"/>
        </w:rPr>
        <w:t>to the continued attacks seen by LGBTQ youth, families, and advocates across the state</w:t>
      </w:r>
      <w:hyperlink w:history="true" w:anchor="_bookmark653">
        <w:r>
          <w:rPr>
            <w:vertAlign w:val="baseline"/>
          </w:rPr>
          <w:t>.</w:t>
        </w:r>
        <w:r>
          <w:rPr>
            <w:vertAlign w:val="superscript"/>
          </w:rPr>
          <w:t>6</w:t>
        </w:r>
      </w:hyperlink>
    </w:p>
    <w:p>
      <w:pPr>
        <w:spacing w:before="239"/>
        <w:ind w:left="483" w:right="0" w:firstLine="0"/>
        <w:jc w:val="both"/>
        <w:rPr>
          <w:sz w:val="28"/>
        </w:rPr>
      </w:pPr>
      <w:r>
        <w:rPr>
          <w:color w:val="365F91"/>
          <w:sz w:val="28"/>
        </w:rPr>
        <w:t>Past</w:t>
      </w:r>
      <w:r>
        <w:rPr>
          <w:color w:val="365F91"/>
          <w:spacing w:val="-7"/>
          <w:sz w:val="28"/>
        </w:rPr>
        <w:t> </w:t>
      </w:r>
      <w:r>
        <w:rPr>
          <w:color w:val="365F91"/>
          <w:sz w:val="28"/>
        </w:rPr>
        <w:t>&amp;</w:t>
      </w:r>
      <w:r>
        <w:rPr>
          <w:color w:val="365F91"/>
          <w:spacing w:val="-6"/>
          <w:sz w:val="28"/>
        </w:rPr>
        <w:t> </w:t>
      </w:r>
      <w:r>
        <w:rPr>
          <w:color w:val="365F91"/>
          <w:sz w:val="28"/>
        </w:rPr>
        <w:t>Future</w:t>
      </w:r>
      <w:r>
        <w:rPr>
          <w:color w:val="365F91"/>
          <w:spacing w:val="-7"/>
          <w:sz w:val="28"/>
        </w:rPr>
        <w:t> </w:t>
      </w:r>
      <w:r>
        <w:rPr>
          <w:color w:val="365F91"/>
          <w:spacing w:val="-4"/>
          <w:sz w:val="28"/>
        </w:rPr>
        <w:t>Work</w:t>
      </w:r>
    </w:p>
    <w:p>
      <w:pPr>
        <w:pStyle w:val="BodyText"/>
        <w:spacing w:line="276" w:lineRule="auto" w:before="241"/>
        <w:ind w:left="483" w:right="343"/>
        <w:jc w:val="both"/>
      </w:pPr>
      <w:r>
        <w:rPr/>
        <w:t>The Commission has been pleased to work with MBLC for several years to collaborate on supporting librarians and LGBTQ youth receiving Massachusetts library services. Over the last fiscal year, the Commission</w:t>
      </w:r>
      <w:r>
        <w:rPr>
          <w:spacing w:val="-2"/>
        </w:rPr>
        <w:t> </w:t>
      </w:r>
      <w:r>
        <w:rPr/>
        <w:t>has</w:t>
      </w:r>
      <w:r>
        <w:rPr>
          <w:spacing w:val="-3"/>
        </w:rPr>
        <w:t> </w:t>
      </w:r>
      <w:r>
        <w:rPr/>
        <w:t>been</w:t>
      </w:r>
      <w:r>
        <w:rPr>
          <w:spacing w:val="-3"/>
        </w:rPr>
        <w:t> </w:t>
      </w:r>
      <w:r>
        <w:rPr/>
        <w:t>involved</w:t>
      </w:r>
      <w:r>
        <w:rPr>
          <w:spacing w:val="-3"/>
        </w:rPr>
        <w:t> </w:t>
      </w:r>
      <w:r>
        <w:rPr/>
        <w:t>in</w:t>
      </w:r>
      <w:r>
        <w:rPr>
          <w:spacing w:val="-2"/>
        </w:rPr>
        <w:t> </w:t>
      </w:r>
      <w:r>
        <w:rPr/>
        <w:t>numerous</w:t>
      </w:r>
      <w:r>
        <w:rPr>
          <w:spacing w:val="-3"/>
        </w:rPr>
        <w:t> </w:t>
      </w:r>
      <w:r>
        <w:rPr/>
        <w:t>conversations</w:t>
      </w:r>
      <w:r>
        <w:rPr>
          <w:spacing w:val="-3"/>
        </w:rPr>
        <w:t> </w:t>
      </w:r>
      <w:r>
        <w:rPr/>
        <w:t>with MBLC</w:t>
      </w:r>
      <w:r>
        <w:rPr>
          <w:spacing w:val="-3"/>
        </w:rPr>
        <w:t> </w:t>
      </w:r>
      <w:r>
        <w:rPr/>
        <w:t>staff</w:t>
      </w:r>
      <w:r>
        <w:rPr>
          <w:spacing w:val="-3"/>
        </w:rPr>
        <w:t> </w:t>
      </w:r>
      <w:r>
        <w:rPr/>
        <w:t>and</w:t>
      </w:r>
      <w:r>
        <w:rPr>
          <w:spacing w:val="-3"/>
        </w:rPr>
        <w:t> </w:t>
      </w:r>
      <w:r>
        <w:rPr/>
        <w:t>librarians</w:t>
      </w:r>
      <w:r>
        <w:rPr>
          <w:spacing w:val="-1"/>
        </w:rPr>
        <w:t> </w:t>
      </w:r>
      <w:r>
        <w:rPr/>
        <w:t>on</w:t>
      </w:r>
      <w:r>
        <w:rPr>
          <w:spacing w:val="-3"/>
        </w:rPr>
        <w:t> </w:t>
      </w:r>
      <w:r>
        <w:rPr/>
        <w:t>how</w:t>
      </w:r>
      <w:r>
        <w:rPr>
          <w:spacing w:val="-2"/>
        </w:rPr>
        <w:t> </w:t>
      </w:r>
      <w:r>
        <w:rPr/>
        <w:t>best</w:t>
      </w:r>
      <w:r>
        <w:rPr>
          <w:spacing w:val="-1"/>
        </w:rPr>
        <w:t> </w:t>
      </w:r>
      <w:r>
        <w:rPr/>
        <w:t>to support libraries seeing an influx of book challenges and protests across the state. The Commission anticipates continuing these conversations in FY 2024 and implementing events and actionable items to help support library communities.</w:t>
      </w:r>
    </w:p>
    <w:p>
      <w:pPr>
        <w:pStyle w:val="BodyText"/>
      </w:pPr>
    </w:p>
    <w:p>
      <w:pPr>
        <w:pStyle w:val="BodyText"/>
        <w:spacing w:before="62"/>
      </w:pPr>
    </w:p>
    <w:p>
      <w:pPr>
        <w:spacing w:before="0"/>
        <w:ind w:left="483" w:right="0" w:firstLine="0"/>
        <w:jc w:val="both"/>
        <w:rPr>
          <w:sz w:val="28"/>
        </w:rPr>
      </w:pPr>
      <w:r>
        <w:rPr>
          <w:color w:val="365F91"/>
          <w:sz w:val="28"/>
        </w:rPr>
        <w:t>FY</w:t>
      </w:r>
      <w:r>
        <w:rPr>
          <w:color w:val="365F91"/>
          <w:spacing w:val="-9"/>
          <w:sz w:val="28"/>
        </w:rPr>
        <w:t> </w:t>
      </w:r>
      <w:r>
        <w:rPr>
          <w:color w:val="365F91"/>
          <w:sz w:val="28"/>
        </w:rPr>
        <w:t>2025</w:t>
      </w:r>
      <w:r>
        <w:rPr>
          <w:color w:val="365F91"/>
          <w:spacing w:val="-9"/>
          <w:sz w:val="28"/>
        </w:rPr>
        <w:t> </w:t>
      </w:r>
      <w:r>
        <w:rPr>
          <w:color w:val="365F91"/>
          <w:sz w:val="28"/>
        </w:rPr>
        <w:t>Expanded</w:t>
      </w:r>
      <w:r>
        <w:rPr>
          <w:color w:val="365F91"/>
          <w:spacing w:val="-9"/>
          <w:sz w:val="28"/>
        </w:rPr>
        <w:t> </w:t>
      </w:r>
      <w:r>
        <w:rPr>
          <w:color w:val="365F91"/>
          <w:sz w:val="28"/>
        </w:rPr>
        <w:t>MBLC</w:t>
      </w:r>
      <w:r>
        <w:rPr>
          <w:color w:val="365F91"/>
          <w:spacing w:val="-10"/>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30176">
                <wp:simplePos x="0" y="0"/>
                <wp:positionH relativeFrom="page">
                  <wp:posOffset>897636</wp:posOffset>
                </wp:positionH>
                <wp:positionV relativeFrom="paragraph">
                  <wp:posOffset>45246</wp:posOffset>
                </wp:positionV>
                <wp:extent cx="5976620" cy="6350"/>
                <wp:effectExtent l="0" t="0" r="0" b="0"/>
                <wp:wrapTopAndBottom/>
                <wp:docPr id="680" name="Graphic 680"/>
                <wp:cNvGraphicFramePr>
                  <a:graphicFrameLocks/>
                </wp:cNvGraphicFramePr>
                <a:graphic>
                  <a:graphicData uri="http://schemas.microsoft.com/office/word/2010/wordprocessingShape">
                    <wps:wsp>
                      <wps:cNvPr id="680" name="Graphic 680"/>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62691pt;width:470.58pt;height:.481pt;mso-position-horizontal-relative:page;mso-position-vertical-relative:paragraph;z-index:-15586304;mso-wrap-distance-left:0;mso-wrap-distance-right:0" id="docshape577" filled="true" fillcolor="#4f81bc" stroked="false">
                <v:fill type="solid"/>
                <w10:wrap type="topAndBottom"/>
              </v:rect>
            </w:pict>
          </mc:Fallback>
        </mc:AlternateContent>
      </w:r>
    </w:p>
    <w:p>
      <w:pPr>
        <w:numPr>
          <w:ilvl w:val="0"/>
          <w:numId w:val="47"/>
        </w:numPr>
        <w:tabs>
          <w:tab w:pos="481" w:val="left" w:leader="none"/>
          <w:tab w:pos="483" w:val="left" w:leader="none"/>
        </w:tabs>
        <w:spacing w:line="276" w:lineRule="auto" w:before="241"/>
        <w:ind w:left="483" w:right="344" w:hanging="360"/>
        <w:jc w:val="both"/>
        <w:rPr>
          <w:b/>
          <w:sz w:val="22"/>
        </w:rPr>
      </w:pPr>
      <w:r>
        <w:rPr>
          <w:b/>
          <w:sz w:val="22"/>
        </w:rPr>
        <w:t>Develop and disseminate a new recommended LGBTQ book list in partnership with the Safe Schools Program for all libraries in Massachusetts.</w:t>
      </w:r>
    </w:p>
    <w:p>
      <w:pPr>
        <w:pStyle w:val="BodyText"/>
        <w:spacing w:line="276" w:lineRule="auto" w:before="241"/>
        <w:ind w:left="483" w:right="343"/>
        <w:jc w:val="both"/>
      </w:pPr>
      <w:r>
        <w:rPr/>
        <w:t>In</w:t>
      </w:r>
      <w:r>
        <w:rPr>
          <w:spacing w:val="-2"/>
        </w:rPr>
        <w:t> </w:t>
      </w:r>
      <w:r>
        <w:rPr/>
        <w:t>2019,</w:t>
      </w:r>
      <w:r>
        <w:rPr>
          <w:spacing w:val="-1"/>
        </w:rPr>
        <w:t> </w:t>
      </w:r>
      <w:r>
        <w:rPr/>
        <w:t>the</w:t>
      </w:r>
      <w:r>
        <w:rPr>
          <w:spacing w:val="-1"/>
        </w:rPr>
        <w:t> </w:t>
      </w:r>
      <w:r>
        <w:rPr/>
        <w:t>Commission</w:t>
      </w:r>
      <w:r>
        <w:rPr>
          <w:spacing w:val="-2"/>
        </w:rPr>
        <w:t> </w:t>
      </w:r>
      <w:r>
        <w:rPr/>
        <w:t>developed</w:t>
      </w:r>
      <w:r>
        <w:rPr>
          <w:spacing w:val="-2"/>
        </w:rPr>
        <w:t> </w:t>
      </w:r>
      <w:r>
        <w:rPr/>
        <w:t>a</w:t>
      </w:r>
      <w:r>
        <w:rPr>
          <w:spacing w:val="-1"/>
        </w:rPr>
        <w:t> </w:t>
      </w:r>
      <w:r>
        <w:rPr/>
        <w:t>recommended</w:t>
      </w:r>
      <w:r>
        <w:rPr>
          <w:spacing w:val="-2"/>
        </w:rPr>
        <w:t> </w:t>
      </w:r>
      <w:r>
        <w:rPr/>
        <w:t>LGBTQ</w:t>
      </w:r>
      <w:r>
        <w:rPr>
          <w:spacing w:val="-2"/>
        </w:rPr>
        <w:t> </w:t>
      </w:r>
      <w:r>
        <w:rPr/>
        <w:t>book</w:t>
      </w:r>
      <w:r>
        <w:rPr>
          <w:spacing w:val="-2"/>
        </w:rPr>
        <w:t> </w:t>
      </w:r>
      <w:r>
        <w:rPr/>
        <w:t>list</w:t>
      </w:r>
      <w:r>
        <w:rPr>
          <w:spacing w:val="-2"/>
        </w:rPr>
        <w:t> </w:t>
      </w:r>
      <w:r>
        <w:rPr/>
        <w:t>which</w:t>
      </w:r>
      <w:r>
        <w:rPr>
          <w:spacing w:val="-1"/>
        </w:rPr>
        <w:t> </w:t>
      </w:r>
      <w:r>
        <w:rPr/>
        <w:t>has</w:t>
      </w:r>
      <w:r>
        <w:rPr>
          <w:spacing w:val="-1"/>
        </w:rPr>
        <w:t> </w:t>
      </w:r>
      <w:r>
        <w:rPr/>
        <w:t>since</w:t>
      </w:r>
      <w:r>
        <w:rPr>
          <w:spacing w:val="-2"/>
        </w:rPr>
        <w:t> </w:t>
      </w:r>
      <w:r>
        <w:rPr/>
        <w:t>become</w:t>
      </w:r>
      <w:r>
        <w:rPr>
          <w:spacing w:val="-2"/>
        </w:rPr>
        <w:t> </w:t>
      </w:r>
      <w:r>
        <w:rPr/>
        <w:t>outdated. As</w:t>
      </w:r>
      <w:r>
        <w:rPr>
          <w:spacing w:val="-5"/>
        </w:rPr>
        <w:t> </w:t>
      </w:r>
      <w:r>
        <w:rPr/>
        <w:t>of</w:t>
      </w:r>
      <w:r>
        <w:rPr>
          <w:spacing w:val="-5"/>
        </w:rPr>
        <w:t> </w:t>
      </w:r>
      <w:r>
        <w:rPr/>
        <w:t>spring</w:t>
      </w:r>
      <w:r>
        <w:rPr>
          <w:spacing w:val="-6"/>
        </w:rPr>
        <w:t> </w:t>
      </w:r>
      <w:r>
        <w:rPr/>
        <w:t>of</w:t>
      </w:r>
      <w:r>
        <w:rPr>
          <w:spacing w:val="-5"/>
        </w:rPr>
        <w:t> </w:t>
      </w:r>
      <w:r>
        <w:rPr/>
        <w:t>2023,</w:t>
      </w:r>
      <w:r>
        <w:rPr>
          <w:spacing w:val="-5"/>
        </w:rPr>
        <w:t> </w:t>
      </w:r>
      <w:r>
        <w:rPr/>
        <w:t>the</w:t>
      </w:r>
      <w:r>
        <w:rPr>
          <w:spacing w:val="-6"/>
        </w:rPr>
        <w:t> </w:t>
      </w:r>
      <w:r>
        <w:rPr/>
        <w:t>Commission</w:t>
      </w:r>
      <w:r>
        <w:rPr>
          <w:spacing w:val="-6"/>
        </w:rPr>
        <w:t> </w:t>
      </w:r>
      <w:r>
        <w:rPr/>
        <w:t>is</w:t>
      </w:r>
      <w:r>
        <w:rPr>
          <w:spacing w:val="-5"/>
        </w:rPr>
        <w:t> </w:t>
      </w:r>
      <w:r>
        <w:rPr/>
        <w:t>in</w:t>
      </w:r>
      <w:r>
        <w:rPr>
          <w:spacing w:val="-6"/>
        </w:rPr>
        <w:t> </w:t>
      </w:r>
      <w:r>
        <w:rPr/>
        <w:t>the</w:t>
      </w:r>
      <w:r>
        <w:rPr>
          <w:spacing w:val="-4"/>
        </w:rPr>
        <w:t> </w:t>
      </w:r>
      <w:r>
        <w:rPr/>
        <w:t>process</w:t>
      </w:r>
      <w:r>
        <w:rPr>
          <w:spacing w:val="-5"/>
        </w:rPr>
        <w:t> </w:t>
      </w:r>
      <w:r>
        <w:rPr/>
        <w:t>of</w:t>
      </w:r>
      <w:r>
        <w:rPr>
          <w:spacing w:val="-5"/>
        </w:rPr>
        <w:t> </w:t>
      </w:r>
      <w:r>
        <w:rPr/>
        <w:t>developing</w:t>
      </w:r>
      <w:r>
        <w:rPr>
          <w:spacing w:val="-6"/>
        </w:rPr>
        <w:t> </w:t>
      </w:r>
      <w:r>
        <w:rPr/>
        <w:t>a</w:t>
      </w:r>
      <w:r>
        <w:rPr>
          <w:spacing w:val="-5"/>
        </w:rPr>
        <w:t> </w:t>
      </w:r>
      <w:r>
        <w:rPr/>
        <w:t>new</w:t>
      </w:r>
      <w:r>
        <w:rPr>
          <w:spacing w:val="-5"/>
        </w:rPr>
        <w:t> </w:t>
      </w:r>
      <w:r>
        <w:rPr/>
        <w:t>LGBTQ</w:t>
      </w:r>
      <w:r>
        <w:rPr>
          <w:spacing w:val="-6"/>
        </w:rPr>
        <w:t> </w:t>
      </w:r>
      <w:r>
        <w:rPr/>
        <w:t>book</w:t>
      </w:r>
      <w:r>
        <w:rPr>
          <w:spacing w:val="-6"/>
        </w:rPr>
        <w:t> </w:t>
      </w:r>
      <w:r>
        <w:rPr/>
        <w:t>list</w:t>
      </w:r>
      <w:r>
        <w:rPr>
          <w:spacing w:val="-5"/>
        </w:rPr>
        <w:t> </w:t>
      </w:r>
      <w:r>
        <w:rPr/>
        <w:t>with</w:t>
      </w:r>
      <w:r>
        <w:rPr>
          <w:spacing w:val="-6"/>
        </w:rPr>
        <w:t> </w:t>
      </w:r>
      <w:r>
        <w:rPr/>
        <w:t>the</w:t>
      </w:r>
      <w:r>
        <w:rPr>
          <w:spacing w:val="-6"/>
        </w:rPr>
        <w:t> </w:t>
      </w:r>
      <w:r>
        <w:rPr/>
        <w:t>state library system to be made widely available to educators, parents, librarians, and youth. The Commission hopes</w:t>
      </w:r>
      <w:r>
        <w:rPr>
          <w:spacing w:val="-1"/>
        </w:rPr>
        <w:t> </w:t>
      </w:r>
      <w:r>
        <w:rPr/>
        <w:t>to continue</w:t>
      </w:r>
      <w:r>
        <w:rPr>
          <w:spacing w:val="-1"/>
        </w:rPr>
        <w:t> </w:t>
      </w:r>
      <w:r>
        <w:rPr/>
        <w:t>to partner</w:t>
      </w:r>
      <w:r>
        <w:rPr>
          <w:spacing w:val="-2"/>
        </w:rPr>
        <w:t> </w:t>
      </w:r>
      <w:r>
        <w:rPr/>
        <w:t>with</w:t>
      </w:r>
      <w:r>
        <w:rPr>
          <w:spacing w:val="-1"/>
        </w:rPr>
        <w:t> </w:t>
      </w:r>
      <w:r>
        <w:rPr/>
        <w:t>MBLC</w:t>
      </w:r>
      <w:r>
        <w:rPr>
          <w:spacing w:val="-1"/>
        </w:rPr>
        <w:t> </w:t>
      </w:r>
      <w:r>
        <w:rPr/>
        <w:t>and</w:t>
      </w:r>
      <w:r>
        <w:rPr>
          <w:spacing w:val="-1"/>
        </w:rPr>
        <w:t> </w:t>
      </w:r>
      <w:r>
        <w:rPr/>
        <w:t>librarians</w:t>
      </w:r>
      <w:r>
        <w:rPr>
          <w:spacing w:val="-1"/>
        </w:rPr>
        <w:t> </w:t>
      </w:r>
      <w:r>
        <w:rPr/>
        <w:t>across</w:t>
      </w:r>
      <w:r>
        <w:rPr>
          <w:spacing w:val="-1"/>
        </w:rPr>
        <w:t> </w:t>
      </w:r>
      <w:r>
        <w:rPr/>
        <w:t>the state</w:t>
      </w:r>
      <w:r>
        <w:rPr>
          <w:spacing w:val="-1"/>
        </w:rPr>
        <w:t> </w:t>
      </w:r>
      <w:r>
        <w:rPr/>
        <w:t>to</w:t>
      </w:r>
      <w:r>
        <w:rPr>
          <w:spacing w:val="-1"/>
        </w:rPr>
        <w:t> </w:t>
      </w:r>
      <w:r>
        <w:rPr/>
        <w:t>ensure</w:t>
      </w:r>
      <w:r>
        <w:rPr>
          <w:spacing w:val="-2"/>
        </w:rPr>
        <w:t> </w:t>
      </w:r>
      <w:r>
        <w:rPr/>
        <w:t>more</w:t>
      </w:r>
      <w:r>
        <w:rPr>
          <w:spacing w:val="-1"/>
        </w:rPr>
        <w:t> </w:t>
      </w:r>
      <w:r>
        <w:rPr/>
        <w:t>frequent</w:t>
      </w:r>
      <w:r>
        <w:rPr>
          <w:spacing w:val="-1"/>
        </w:rPr>
        <w:t> </w:t>
      </w:r>
      <w:r>
        <w:rPr/>
        <w:t>reviews and updates to the list as more LGBTQ titles are released over the coming years.</w:t>
      </w:r>
    </w:p>
    <w:p>
      <w:pPr>
        <w:pStyle w:val="BodyText"/>
        <w:spacing w:line="276" w:lineRule="auto" w:before="238"/>
        <w:ind w:left="483" w:right="343"/>
        <w:jc w:val="both"/>
      </w:pPr>
      <w:r>
        <w:rPr/>
        <w:t>With the significant rise in anti-LGBTQ &amp; racist book challenges, the Commission recognizes the importance</w:t>
      </w:r>
      <w:r>
        <w:rPr>
          <w:spacing w:val="-8"/>
        </w:rPr>
        <w:t> </w:t>
      </w:r>
      <w:r>
        <w:rPr/>
        <w:t>of</w:t>
      </w:r>
      <w:r>
        <w:rPr>
          <w:spacing w:val="-7"/>
        </w:rPr>
        <w:t> </w:t>
      </w:r>
      <w:r>
        <w:rPr/>
        <w:t>ensuring</w:t>
      </w:r>
      <w:r>
        <w:rPr>
          <w:spacing w:val="-7"/>
        </w:rPr>
        <w:t> </w:t>
      </w:r>
      <w:r>
        <w:rPr/>
        <w:t>equitable</w:t>
      </w:r>
      <w:r>
        <w:rPr>
          <w:spacing w:val="-6"/>
        </w:rPr>
        <w:t> </w:t>
      </w:r>
      <w:r>
        <w:rPr/>
        <w:t>access</w:t>
      </w:r>
      <w:r>
        <w:rPr>
          <w:spacing w:val="-7"/>
        </w:rPr>
        <w:t> </w:t>
      </w:r>
      <w:r>
        <w:rPr/>
        <w:t>across</w:t>
      </w:r>
      <w:r>
        <w:rPr>
          <w:spacing w:val="-7"/>
        </w:rPr>
        <w:t> </w:t>
      </w:r>
      <w:r>
        <w:rPr/>
        <w:t>the</w:t>
      </w:r>
      <w:r>
        <w:rPr>
          <w:spacing w:val="-6"/>
        </w:rPr>
        <w:t> </w:t>
      </w:r>
      <w:r>
        <w:rPr/>
        <w:t>Commonwealth</w:t>
      </w:r>
      <w:r>
        <w:rPr>
          <w:spacing w:val="-8"/>
        </w:rPr>
        <w:t> </w:t>
      </w:r>
      <w:r>
        <w:rPr/>
        <w:t>to</w:t>
      </w:r>
      <w:r>
        <w:rPr>
          <w:spacing w:val="-6"/>
        </w:rPr>
        <w:t> </w:t>
      </w:r>
      <w:r>
        <w:rPr/>
        <w:t>these</w:t>
      </w:r>
      <w:r>
        <w:rPr>
          <w:spacing w:val="-7"/>
        </w:rPr>
        <w:t> </w:t>
      </w:r>
      <w:r>
        <w:rPr/>
        <w:t>titles.</w:t>
      </w:r>
      <w:r>
        <w:rPr>
          <w:spacing w:val="-8"/>
        </w:rPr>
        <w:t> </w:t>
      </w:r>
      <w:r>
        <w:rPr/>
        <w:t>Thus,</w:t>
      </w:r>
      <w:r>
        <w:rPr>
          <w:spacing w:val="-7"/>
        </w:rPr>
        <w:t> </w:t>
      </w:r>
      <w:r>
        <w:rPr/>
        <w:t>the</w:t>
      </w:r>
      <w:r>
        <w:rPr>
          <w:spacing w:val="-5"/>
        </w:rPr>
        <w:t> </w:t>
      </w:r>
      <w:r>
        <w:rPr/>
        <w:t>Commission recommends that MBLC work with libraries, the Massachusetts Library Association, and the Massachusetts</w:t>
      </w:r>
      <w:r>
        <w:rPr>
          <w:spacing w:val="-13"/>
        </w:rPr>
        <w:t> </w:t>
      </w:r>
      <w:r>
        <w:rPr/>
        <w:t>Library</w:t>
      </w:r>
      <w:r>
        <w:rPr>
          <w:spacing w:val="-12"/>
        </w:rPr>
        <w:t> </w:t>
      </w:r>
      <w:r>
        <w:rPr/>
        <w:t>System</w:t>
      </w:r>
      <w:r>
        <w:rPr>
          <w:spacing w:val="-13"/>
        </w:rPr>
        <w:t> </w:t>
      </w:r>
      <w:r>
        <w:rPr/>
        <w:t>to</w:t>
      </w:r>
      <w:r>
        <w:rPr>
          <w:spacing w:val="-12"/>
        </w:rPr>
        <w:t> </w:t>
      </w:r>
      <w:r>
        <w:rPr/>
        <w:t>ensure</w:t>
      </w:r>
      <w:r>
        <w:rPr>
          <w:spacing w:val="-13"/>
        </w:rPr>
        <w:t> </w:t>
      </w:r>
      <w:r>
        <w:rPr/>
        <w:t>that</w:t>
      </w:r>
      <w:r>
        <w:rPr>
          <w:spacing w:val="-12"/>
        </w:rPr>
        <w:t> </w:t>
      </w:r>
      <w:r>
        <w:rPr/>
        <w:t>youth</w:t>
      </w:r>
      <w:r>
        <w:rPr>
          <w:spacing w:val="-13"/>
        </w:rPr>
        <w:t> </w:t>
      </w:r>
      <w:r>
        <w:rPr/>
        <w:t>consistently</w:t>
      </w:r>
      <w:r>
        <w:rPr>
          <w:spacing w:val="-12"/>
        </w:rPr>
        <w:t> </w:t>
      </w:r>
      <w:r>
        <w:rPr/>
        <w:t>are</w:t>
      </w:r>
      <w:r>
        <w:rPr>
          <w:spacing w:val="-12"/>
        </w:rPr>
        <w:t> </w:t>
      </w:r>
      <w:r>
        <w:rPr/>
        <w:t>able</w:t>
      </w:r>
      <w:r>
        <w:rPr>
          <w:spacing w:val="-13"/>
        </w:rPr>
        <w:t> </w:t>
      </w:r>
      <w:r>
        <w:rPr/>
        <w:t>to</w:t>
      </w:r>
      <w:r>
        <w:rPr>
          <w:spacing w:val="-12"/>
        </w:rPr>
        <w:t> </w:t>
      </w:r>
      <w:r>
        <w:rPr/>
        <w:t>gain</w:t>
      </w:r>
      <w:r>
        <w:rPr>
          <w:spacing w:val="-13"/>
        </w:rPr>
        <w:t> </w:t>
      </w:r>
      <w:r>
        <w:rPr/>
        <w:t>access</w:t>
      </w:r>
      <w:r>
        <w:rPr>
          <w:spacing w:val="-12"/>
        </w:rPr>
        <w:t> </w:t>
      </w:r>
      <w:r>
        <w:rPr/>
        <w:t>to</w:t>
      </w:r>
      <w:r>
        <w:rPr>
          <w:spacing w:val="-13"/>
        </w:rPr>
        <w:t> </w:t>
      </w:r>
      <w:r>
        <w:rPr/>
        <w:t>LGBTQ-inclusive and anti-racist books.</w:t>
      </w:r>
    </w:p>
    <w:p>
      <w:pPr>
        <w:numPr>
          <w:ilvl w:val="0"/>
          <w:numId w:val="47"/>
        </w:numPr>
        <w:tabs>
          <w:tab w:pos="481" w:val="left" w:leader="none"/>
          <w:tab w:pos="483" w:val="left" w:leader="none"/>
        </w:tabs>
        <w:spacing w:line="276" w:lineRule="auto" w:before="241"/>
        <w:ind w:left="483" w:right="346" w:hanging="360"/>
        <w:jc w:val="both"/>
        <w:rPr>
          <w:b/>
          <w:sz w:val="22"/>
        </w:rPr>
      </w:pPr>
      <w:r>
        <w:rPr>
          <w:b/>
          <w:sz w:val="22"/>
        </w:rPr>
        <w:t>Partner with the Commission and communities to equip Massachusetts librarians with conflict resolution skills, talking points, and protection to handle anti-LGBTQ protests against programs and book challenges.</w:t>
      </w:r>
    </w:p>
    <w:p>
      <w:pPr>
        <w:pStyle w:val="BodyText"/>
        <w:spacing w:line="276" w:lineRule="auto" w:before="239"/>
        <w:ind w:left="483" w:right="342"/>
        <w:jc w:val="both"/>
      </w:pPr>
      <w:r>
        <w:rPr/>
        <w:t>As</w:t>
      </w:r>
      <w:r>
        <w:rPr>
          <w:spacing w:val="-1"/>
        </w:rPr>
        <w:t> </w:t>
      </w:r>
      <w:r>
        <w:rPr/>
        <w:t>discussed</w:t>
      </w:r>
      <w:r>
        <w:rPr>
          <w:spacing w:val="-2"/>
        </w:rPr>
        <w:t> </w:t>
      </w:r>
      <w:r>
        <w:rPr/>
        <w:t>in</w:t>
      </w:r>
      <w:r>
        <w:rPr>
          <w:spacing w:val="-2"/>
        </w:rPr>
        <w:t> </w:t>
      </w:r>
      <w:r>
        <w:rPr/>
        <w:t>above</w:t>
      </w:r>
      <w:r>
        <w:rPr>
          <w:spacing w:val="-2"/>
        </w:rPr>
        <w:t> </w:t>
      </w:r>
      <w:r>
        <w:rPr/>
        <w:t>sections,</w:t>
      </w:r>
      <w:r>
        <w:rPr>
          <w:spacing w:val="-1"/>
        </w:rPr>
        <w:t> </w:t>
      </w:r>
      <w:r>
        <w:rPr/>
        <w:t>the</w:t>
      </w:r>
      <w:r>
        <w:rPr>
          <w:spacing w:val="-2"/>
        </w:rPr>
        <w:t> </w:t>
      </w:r>
      <w:r>
        <w:rPr/>
        <w:t>Commission</w:t>
      </w:r>
      <w:r>
        <w:rPr>
          <w:spacing w:val="-2"/>
        </w:rPr>
        <w:t> </w:t>
      </w:r>
      <w:r>
        <w:rPr/>
        <w:t>is</w:t>
      </w:r>
      <w:r>
        <w:rPr>
          <w:spacing w:val="-1"/>
        </w:rPr>
        <w:t> </w:t>
      </w:r>
      <w:r>
        <w:rPr/>
        <w:t>actively</w:t>
      </w:r>
      <w:r>
        <w:rPr>
          <w:spacing w:val="-1"/>
        </w:rPr>
        <w:t> </w:t>
      </w:r>
      <w:r>
        <w:rPr/>
        <w:t>working</w:t>
      </w:r>
      <w:r>
        <w:rPr>
          <w:spacing w:val="-1"/>
        </w:rPr>
        <w:t> </w:t>
      </w:r>
      <w:r>
        <w:rPr/>
        <w:t>with</w:t>
      </w:r>
      <w:r>
        <w:rPr>
          <w:spacing w:val="-2"/>
        </w:rPr>
        <w:t> </w:t>
      </w:r>
      <w:r>
        <w:rPr/>
        <w:t>community</w:t>
      </w:r>
      <w:r>
        <w:rPr>
          <w:spacing w:val="-1"/>
        </w:rPr>
        <w:t> </w:t>
      </w:r>
      <w:r>
        <w:rPr/>
        <w:t>and</w:t>
      </w:r>
      <w:r>
        <w:rPr>
          <w:spacing w:val="-2"/>
        </w:rPr>
        <w:t> </w:t>
      </w:r>
      <w:r>
        <w:rPr/>
        <w:t>agency</w:t>
      </w:r>
      <w:r>
        <w:rPr>
          <w:spacing w:val="-1"/>
        </w:rPr>
        <w:t> </w:t>
      </w:r>
      <w:r>
        <w:rPr/>
        <w:t>partners to address the alarming rise in anti-LGBTQ and racist attacks across the Commonwealth in schools and</w:t>
      </w:r>
    </w:p>
    <w:p>
      <w:pPr>
        <w:spacing w:after="0" w:line="276" w:lineRule="auto"/>
        <w:jc w:val="both"/>
        <w:sectPr>
          <w:pgSz w:w="12240" w:h="15840"/>
          <w:pgMar w:header="804" w:footer="1260" w:top="1000" w:bottom="1460" w:left="960" w:right="1100"/>
        </w:sectPr>
      </w:pPr>
    </w:p>
    <w:p>
      <w:pPr>
        <w:pStyle w:val="BodyText"/>
        <w:spacing w:before="98"/>
      </w:pPr>
    </w:p>
    <w:p>
      <w:pPr>
        <w:pStyle w:val="BodyText"/>
        <w:spacing w:line="276" w:lineRule="auto"/>
        <w:ind w:left="483" w:right="342"/>
        <w:jc w:val="both"/>
      </w:pPr>
      <w:r>
        <w:rPr/>
        <w:t>libraries.</w:t>
      </w:r>
      <w:r>
        <w:rPr>
          <w:spacing w:val="-9"/>
        </w:rPr>
        <w:t> </w:t>
      </w:r>
      <w:r>
        <w:rPr/>
        <w:t>Unfortunately,</w:t>
      </w:r>
      <w:r>
        <w:rPr>
          <w:spacing w:val="-7"/>
        </w:rPr>
        <w:t> </w:t>
      </w:r>
      <w:r>
        <w:rPr/>
        <w:t>the</w:t>
      </w:r>
      <w:r>
        <w:rPr>
          <w:spacing w:val="-9"/>
        </w:rPr>
        <w:t> </w:t>
      </w:r>
      <w:r>
        <w:rPr/>
        <w:t>rise</w:t>
      </w:r>
      <w:r>
        <w:rPr>
          <w:spacing w:val="-9"/>
        </w:rPr>
        <w:t> </w:t>
      </w:r>
      <w:r>
        <w:rPr/>
        <w:t>in</w:t>
      </w:r>
      <w:r>
        <w:rPr>
          <w:spacing w:val="-9"/>
        </w:rPr>
        <w:t> </w:t>
      </w:r>
      <w:r>
        <w:rPr/>
        <w:t>violent</w:t>
      </w:r>
      <w:r>
        <w:rPr>
          <w:spacing w:val="-9"/>
        </w:rPr>
        <w:t> </w:t>
      </w:r>
      <w:r>
        <w:rPr/>
        <w:t>attacks</w:t>
      </w:r>
      <w:r>
        <w:rPr>
          <w:spacing w:val="-9"/>
        </w:rPr>
        <w:t> </w:t>
      </w:r>
      <w:r>
        <w:rPr/>
        <w:t>-</w:t>
      </w:r>
      <w:r>
        <w:rPr>
          <w:spacing w:val="-9"/>
        </w:rPr>
        <w:t> </w:t>
      </w:r>
      <w:r>
        <w:rPr/>
        <w:t>verbal</w:t>
      </w:r>
      <w:r>
        <w:rPr>
          <w:spacing w:val="-9"/>
        </w:rPr>
        <w:t> </w:t>
      </w:r>
      <w:r>
        <w:rPr/>
        <w:t>and</w:t>
      </w:r>
      <w:r>
        <w:rPr>
          <w:spacing w:val="-8"/>
        </w:rPr>
        <w:t> </w:t>
      </w:r>
      <w:r>
        <w:rPr/>
        <w:t>physical</w:t>
      </w:r>
      <w:r>
        <w:rPr>
          <w:spacing w:val="-9"/>
        </w:rPr>
        <w:t> </w:t>
      </w:r>
      <w:r>
        <w:rPr/>
        <w:t>-</w:t>
      </w:r>
      <w:r>
        <w:rPr>
          <w:spacing w:val="-9"/>
        </w:rPr>
        <w:t> </w:t>
      </w:r>
      <w:r>
        <w:rPr/>
        <w:t>has</w:t>
      </w:r>
      <w:r>
        <w:rPr>
          <w:spacing w:val="-9"/>
        </w:rPr>
        <w:t> </w:t>
      </w:r>
      <w:r>
        <w:rPr/>
        <w:t>left</w:t>
      </w:r>
      <w:r>
        <w:rPr>
          <w:spacing w:val="-8"/>
        </w:rPr>
        <w:t> </w:t>
      </w:r>
      <w:r>
        <w:rPr/>
        <w:t>educators,</w:t>
      </w:r>
      <w:r>
        <w:rPr>
          <w:spacing w:val="-9"/>
        </w:rPr>
        <w:t> </w:t>
      </w:r>
      <w:r>
        <w:rPr/>
        <w:t>librarians,</w:t>
      </w:r>
      <w:r>
        <w:rPr>
          <w:spacing w:val="-9"/>
        </w:rPr>
        <w:t> </w:t>
      </w:r>
      <w:r>
        <w:rPr/>
        <w:t>and advocates</w:t>
      </w:r>
      <w:r>
        <w:rPr>
          <w:spacing w:val="-11"/>
        </w:rPr>
        <w:t> </w:t>
      </w:r>
      <w:r>
        <w:rPr/>
        <w:t>in</w:t>
      </w:r>
      <w:r>
        <w:rPr>
          <w:spacing w:val="-9"/>
        </w:rPr>
        <w:t> </w:t>
      </w:r>
      <w:r>
        <w:rPr/>
        <w:t>need</w:t>
      </w:r>
      <w:r>
        <w:rPr>
          <w:spacing w:val="-10"/>
        </w:rPr>
        <w:t> </w:t>
      </w:r>
      <w:r>
        <w:rPr/>
        <w:t>of</w:t>
      </w:r>
      <w:r>
        <w:rPr>
          <w:spacing w:val="-11"/>
        </w:rPr>
        <w:t> </w:t>
      </w:r>
      <w:r>
        <w:rPr/>
        <w:t>significant</w:t>
      </w:r>
      <w:r>
        <w:rPr>
          <w:spacing w:val="-10"/>
        </w:rPr>
        <w:t> </w:t>
      </w:r>
      <w:r>
        <w:rPr/>
        <w:t>support</w:t>
      </w:r>
      <w:r>
        <w:rPr>
          <w:spacing w:val="-9"/>
        </w:rPr>
        <w:t> </w:t>
      </w:r>
      <w:r>
        <w:rPr/>
        <w:t>from</w:t>
      </w:r>
      <w:r>
        <w:rPr>
          <w:spacing w:val="-11"/>
        </w:rPr>
        <w:t> </w:t>
      </w:r>
      <w:r>
        <w:rPr/>
        <w:t>the</w:t>
      </w:r>
      <w:r>
        <w:rPr>
          <w:spacing w:val="-10"/>
        </w:rPr>
        <w:t> </w:t>
      </w:r>
      <w:r>
        <w:rPr/>
        <w:t>state.</w:t>
      </w:r>
      <w:r>
        <w:rPr>
          <w:spacing w:val="-12"/>
        </w:rPr>
        <w:t> </w:t>
      </w:r>
      <w:r>
        <w:rPr/>
        <w:t>The</w:t>
      </w:r>
      <w:r>
        <w:rPr>
          <w:spacing w:val="-11"/>
        </w:rPr>
        <w:t> </w:t>
      </w:r>
      <w:r>
        <w:rPr/>
        <w:t>Commission</w:t>
      </w:r>
      <w:r>
        <w:rPr>
          <w:spacing w:val="-11"/>
        </w:rPr>
        <w:t> </w:t>
      </w:r>
      <w:r>
        <w:rPr/>
        <w:t>strongly</w:t>
      </w:r>
      <w:r>
        <w:rPr>
          <w:spacing w:val="-11"/>
        </w:rPr>
        <w:t> </w:t>
      </w:r>
      <w:r>
        <w:rPr/>
        <w:t>recommends</w:t>
      </w:r>
      <w:r>
        <w:rPr>
          <w:spacing w:val="-11"/>
        </w:rPr>
        <w:t> </w:t>
      </w:r>
      <w:r>
        <w:rPr/>
        <w:t>that</w:t>
      </w:r>
      <w:r>
        <w:rPr>
          <w:spacing w:val="-10"/>
        </w:rPr>
        <w:t> </w:t>
      </w:r>
      <w:r>
        <w:rPr/>
        <w:t>MBLC continue</w:t>
      </w:r>
      <w:r>
        <w:rPr>
          <w:spacing w:val="-4"/>
        </w:rPr>
        <w:t> </w:t>
      </w:r>
      <w:r>
        <w:rPr/>
        <w:t>to</w:t>
      </w:r>
      <w:r>
        <w:rPr>
          <w:spacing w:val="-3"/>
        </w:rPr>
        <w:t> </w:t>
      </w:r>
      <w:r>
        <w:rPr/>
        <w:t>partner</w:t>
      </w:r>
      <w:r>
        <w:rPr>
          <w:spacing w:val="-5"/>
        </w:rPr>
        <w:t> </w:t>
      </w:r>
      <w:r>
        <w:rPr/>
        <w:t>with</w:t>
      </w:r>
      <w:r>
        <w:rPr>
          <w:spacing w:val="-4"/>
        </w:rPr>
        <w:t> </w:t>
      </w:r>
      <w:r>
        <w:rPr/>
        <w:t>the</w:t>
      </w:r>
      <w:r>
        <w:rPr>
          <w:spacing w:val="-5"/>
        </w:rPr>
        <w:t> </w:t>
      </w:r>
      <w:r>
        <w:rPr/>
        <w:t>Commission</w:t>
      </w:r>
      <w:r>
        <w:rPr>
          <w:spacing w:val="-5"/>
        </w:rPr>
        <w:t> </w:t>
      </w:r>
      <w:r>
        <w:rPr/>
        <w:t>to</w:t>
      </w:r>
      <w:r>
        <w:rPr>
          <w:spacing w:val="-3"/>
        </w:rPr>
        <w:t> </w:t>
      </w:r>
      <w:r>
        <w:rPr/>
        <w:t>identify</w:t>
      </w:r>
      <w:r>
        <w:rPr>
          <w:spacing w:val="-4"/>
        </w:rPr>
        <w:t> </w:t>
      </w:r>
      <w:r>
        <w:rPr/>
        <w:t>ways</w:t>
      </w:r>
      <w:r>
        <w:rPr>
          <w:spacing w:val="-5"/>
        </w:rPr>
        <w:t> </w:t>
      </w:r>
      <w:r>
        <w:rPr/>
        <w:t>to</w:t>
      </w:r>
      <w:r>
        <w:rPr>
          <w:spacing w:val="-3"/>
        </w:rPr>
        <w:t> </w:t>
      </w:r>
      <w:r>
        <w:rPr/>
        <w:t>equip</w:t>
      </w:r>
      <w:r>
        <w:rPr>
          <w:spacing w:val="-5"/>
        </w:rPr>
        <w:t> </w:t>
      </w:r>
      <w:r>
        <w:rPr/>
        <w:t>Massachusetts</w:t>
      </w:r>
      <w:r>
        <w:rPr>
          <w:spacing w:val="-4"/>
        </w:rPr>
        <w:t> </w:t>
      </w:r>
      <w:r>
        <w:rPr/>
        <w:t>librarians</w:t>
      </w:r>
      <w:r>
        <w:rPr>
          <w:spacing w:val="-5"/>
        </w:rPr>
        <w:t> </w:t>
      </w:r>
      <w:r>
        <w:rPr/>
        <w:t>with</w:t>
      </w:r>
      <w:r>
        <w:rPr>
          <w:spacing w:val="-4"/>
        </w:rPr>
        <w:t> </w:t>
      </w:r>
      <w:r>
        <w:rPr/>
        <w:t>conflict resolution</w:t>
      </w:r>
      <w:r>
        <w:rPr>
          <w:spacing w:val="-5"/>
        </w:rPr>
        <w:t> </w:t>
      </w:r>
      <w:r>
        <w:rPr/>
        <w:t>skills,</w:t>
      </w:r>
      <w:r>
        <w:rPr>
          <w:spacing w:val="-5"/>
        </w:rPr>
        <w:t> </w:t>
      </w:r>
      <w:r>
        <w:rPr/>
        <w:t>talking</w:t>
      </w:r>
      <w:r>
        <w:rPr>
          <w:spacing w:val="-4"/>
        </w:rPr>
        <w:t> </w:t>
      </w:r>
      <w:r>
        <w:rPr/>
        <w:t>points,</w:t>
      </w:r>
      <w:r>
        <w:rPr>
          <w:spacing w:val="-5"/>
        </w:rPr>
        <w:t> </w:t>
      </w:r>
      <w:r>
        <w:rPr/>
        <w:t>and</w:t>
      </w:r>
      <w:r>
        <w:rPr>
          <w:spacing w:val="-3"/>
        </w:rPr>
        <w:t> </w:t>
      </w:r>
      <w:r>
        <w:rPr/>
        <w:t>protection</w:t>
      </w:r>
      <w:r>
        <w:rPr>
          <w:spacing w:val="-4"/>
        </w:rPr>
        <w:t> </w:t>
      </w:r>
      <w:r>
        <w:rPr/>
        <w:t>to</w:t>
      </w:r>
      <w:r>
        <w:rPr>
          <w:spacing w:val="-3"/>
        </w:rPr>
        <w:t> </w:t>
      </w:r>
      <w:r>
        <w:rPr/>
        <w:t>handle</w:t>
      </w:r>
      <w:r>
        <w:rPr>
          <w:spacing w:val="-5"/>
        </w:rPr>
        <w:t> </w:t>
      </w:r>
      <w:r>
        <w:rPr/>
        <w:t>anti-LGBTQ</w:t>
      </w:r>
      <w:r>
        <w:rPr>
          <w:spacing w:val="-4"/>
        </w:rPr>
        <w:t> </w:t>
      </w:r>
      <w:r>
        <w:rPr/>
        <w:t>protests</w:t>
      </w:r>
      <w:r>
        <w:rPr>
          <w:spacing w:val="-5"/>
        </w:rPr>
        <w:t> </w:t>
      </w:r>
      <w:r>
        <w:rPr/>
        <w:t>against</w:t>
      </w:r>
      <w:r>
        <w:rPr>
          <w:spacing w:val="-5"/>
        </w:rPr>
        <w:t> </w:t>
      </w:r>
      <w:r>
        <w:rPr/>
        <w:t>programs</w:t>
      </w:r>
      <w:r>
        <w:rPr>
          <w:spacing w:val="-5"/>
        </w:rPr>
        <w:t> </w:t>
      </w:r>
      <w:r>
        <w:rPr/>
        <w:t>and</w:t>
      </w:r>
      <w:r>
        <w:rPr>
          <w:spacing w:val="-3"/>
        </w:rPr>
        <w:t> </w:t>
      </w:r>
      <w:r>
        <w:rPr/>
        <w:t>book </w:t>
      </w:r>
      <w:r>
        <w:rPr>
          <w:spacing w:val="-2"/>
        </w:rPr>
        <w:t>challenges.</w:t>
      </w:r>
    </w:p>
    <w:p>
      <w:pPr>
        <w:numPr>
          <w:ilvl w:val="0"/>
          <w:numId w:val="47"/>
        </w:numPr>
        <w:tabs>
          <w:tab w:pos="481" w:val="left" w:leader="none"/>
        </w:tabs>
        <w:spacing w:before="240"/>
        <w:ind w:left="481" w:right="0" w:hanging="358"/>
        <w:jc w:val="left"/>
        <w:rPr>
          <w:b/>
          <w:sz w:val="22"/>
        </w:rPr>
      </w:pPr>
      <w:r>
        <w:rPr>
          <w:b/>
          <w:sz w:val="22"/>
        </w:rPr>
        <w:t>Support</w:t>
      </w:r>
      <w:r>
        <w:rPr>
          <w:b/>
          <w:spacing w:val="-11"/>
          <w:sz w:val="22"/>
        </w:rPr>
        <w:t> </w:t>
      </w:r>
      <w:r>
        <w:rPr>
          <w:b/>
          <w:sz w:val="22"/>
        </w:rPr>
        <w:t>libraries</w:t>
      </w:r>
      <w:r>
        <w:rPr>
          <w:b/>
          <w:spacing w:val="-11"/>
          <w:sz w:val="22"/>
        </w:rPr>
        <w:t> </w:t>
      </w:r>
      <w:r>
        <w:rPr>
          <w:b/>
          <w:sz w:val="22"/>
        </w:rPr>
        <w:t>with</w:t>
      </w:r>
      <w:r>
        <w:rPr>
          <w:b/>
          <w:spacing w:val="-11"/>
          <w:sz w:val="22"/>
        </w:rPr>
        <w:t> </w:t>
      </w:r>
      <w:r>
        <w:rPr>
          <w:b/>
          <w:sz w:val="22"/>
        </w:rPr>
        <w:t>LGBTQ-inclusive</w:t>
      </w:r>
      <w:r>
        <w:rPr>
          <w:b/>
          <w:spacing w:val="-11"/>
          <w:sz w:val="22"/>
        </w:rPr>
        <w:t> </w:t>
      </w:r>
      <w:r>
        <w:rPr>
          <w:b/>
          <w:spacing w:val="-2"/>
          <w:sz w:val="22"/>
        </w:rPr>
        <w:t>programming.</w:t>
      </w:r>
    </w:p>
    <w:p>
      <w:pPr>
        <w:pStyle w:val="BodyText"/>
        <w:spacing w:before="11"/>
        <w:rPr>
          <w:b/>
        </w:rPr>
      </w:pPr>
    </w:p>
    <w:p>
      <w:pPr>
        <w:pStyle w:val="BodyText"/>
        <w:spacing w:line="276" w:lineRule="auto"/>
        <w:ind w:left="483" w:right="343"/>
        <w:jc w:val="both"/>
      </w:pPr>
      <w:r>
        <w:rPr/>
        <w:t>Now</w:t>
      </w:r>
      <w:r>
        <w:rPr>
          <w:spacing w:val="-8"/>
        </w:rPr>
        <w:t> </w:t>
      </w:r>
      <w:r>
        <w:rPr/>
        <w:t>more</w:t>
      </w:r>
      <w:r>
        <w:rPr>
          <w:spacing w:val="-8"/>
        </w:rPr>
        <w:t> </w:t>
      </w:r>
      <w:r>
        <w:rPr/>
        <w:t>than</w:t>
      </w:r>
      <w:r>
        <w:rPr>
          <w:spacing w:val="-8"/>
        </w:rPr>
        <w:t> </w:t>
      </w:r>
      <w:r>
        <w:rPr/>
        <w:t>ever,</w:t>
      </w:r>
      <w:r>
        <w:rPr>
          <w:spacing w:val="-7"/>
        </w:rPr>
        <w:t> </w:t>
      </w:r>
      <w:r>
        <w:rPr/>
        <w:t>it</w:t>
      </w:r>
      <w:r>
        <w:rPr>
          <w:spacing w:val="-8"/>
        </w:rPr>
        <w:t> </w:t>
      </w:r>
      <w:r>
        <w:rPr/>
        <w:t>is</w:t>
      </w:r>
      <w:r>
        <w:rPr>
          <w:spacing w:val="-7"/>
        </w:rPr>
        <w:t> </w:t>
      </w:r>
      <w:r>
        <w:rPr/>
        <w:t>essential</w:t>
      </w:r>
      <w:r>
        <w:rPr>
          <w:spacing w:val="-8"/>
        </w:rPr>
        <w:t> </w:t>
      </w:r>
      <w:r>
        <w:rPr/>
        <w:t>that</w:t>
      </w:r>
      <w:r>
        <w:rPr>
          <w:spacing w:val="-7"/>
        </w:rPr>
        <w:t> </w:t>
      </w:r>
      <w:r>
        <w:rPr/>
        <w:t>youth</w:t>
      </w:r>
      <w:r>
        <w:rPr>
          <w:spacing w:val="-8"/>
        </w:rPr>
        <w:t> </w:t>
      </w:r>
      <w:r>
        <w:rPr/>
        <w:t>have</w:t>
      </w:r>
      <w:r>
        <w:rPr>
          <w:spacing w:val="-8"/>
        </w:rPr>
        <w:t> </w:t>
      </w:r>
      <w:r>
        <w:rPr/>
        <w:t>visible</w:t>
      </w:r>
      <w:r>
        <w:rPr>
          <w:spacing w:val="-8"/>
        </w:rPr>
        <w:t> </w:t>
      </w:r>
      <w:r>
        <w:rPr/>
        <w:t>and</w:t>
      </w:r>
      <w:r>
        <w:rPr>
          <w:spacing w:val="-8"/>
        </w:rPr>
        <w:t> </w:t>
      </w:r>
      <w:r>
        <w:rPr/>
        <w:t>safe</w:t>
      </w:r>
      <w:r>
        <w:rPr>
          <w:spacing w:val="-7"/>
        </w:rPr>
        <w:t> </w:t>
      </w:r>
      <w:r>
        <w:rPr/>
        <w:t>opportunities</w:t>
      </w:r>
      <w:r>
        <w:rPr>
          <w:spacing w:val="-7"/>
        </w:rPr>
        <w:t> </w:t>
      </w:r>
      <w:r>
        <w:rPr/>
        <w:t>to</w:t>
      </w:r>
      <w:r>
        <w:rPr>
          <w:spacing w:val="-7"/>
        </w:rPr>
        <w:t> </w:t>
      </w:r>
      <w:r>
        <w:rPr/>
        <w:t>learn</w:t>
      </w:r>
      <w:r>
        <w:rPr>
          <w:spacing w:val="-8"/>
        </w:rPr>
        <w:t> </w:t>
      </w:r>
      <w:r>
        <w:rPr/>
        <w:t>more</w:t>
      </w:r>
      <w:r>
        <w:rPr>
          <w:spacing w:val="-8"/>
        </w:rPr>
        <w:t> </w:t>
      </w:r>
      <w:r>
        <w:rPr/>
        <w:t>about</w:t>
      </w:r>
      <w:r>
        <w:rPr>
          <w:spacing w:val="-8"/>
        </w:rPr>
        <w:t> </w:t>
      </w:r>
      <w:r>
        <w:rPr/>
        <w:t>the LGBTQ community, and for LGBTQ youth to have spaces to connect with other LGBTQ youth in their communities. The Commission recommends that MBLC continue to support libraries across the Commonwealth to hold safe and accessible programs for LGBTQ youth.</w:t>
      </w:r>
    </w:p>
    <w:p>
      <w:pPr>
        <w:numPr>
          <w:ilvl w:val="0"/>
          <w:numId w:val="47"/>
        </w:numPr>
        <w:tabs>
          <w:tab w:pos="481" w:val="left" w:leader="none"/>
          <w:tab w:pos="483" w:val="left" w:leader="none"/>
        </w:tabs>
        <w:spacing w:line="276" w:lineRule="auto" w:before="241"/>
        <w:ind w:left="483" w:right="344" w:hanging="360"/>
        <w:jc w:val="left"/>
        <w:rPr>
          <w:b/>
          <w:sz w:val="22"/>
        </w:rPr>
      </w:pPr>
      <w:r>
        <w:rPr>
          <w:b/>
          <w:sz w:val="22"/>
        </w:rPr>
        <w:t>Collaborate</w:t>
      </w:r>
      <w:r>
        <w:rPr>
          <w:b/>
          <w:spacing w:val="-10"/>
          <w:sz w:val="22"/>
        </w:rPr>
        <w:t> </w:t>
      </w:r>
      <w:r>
        <w:rPr>
          <w:b/>
          <w:sz w:val="22"/>
        </w:rPr>
        <w:t>with</w:t>
      </w:r>
      <w:r>
        <w:rPr>
          <w:b/>
          <w:spacing w:val="-12"/>
          <w:sz w:val="22"/>
        </w:rPr>
        <w:t> </w:t>
      </w:r>
      <w:r>
        <w:rPr>
          <w:b/>
          <w:sz w:val="22"/>
        </w:rPr>
        <w:t>the</w:t>
      </w:r>
      <w:r>
        <w:rPr>
          <w:b/>
          <w:spacing w:val="-10"/>
          <w:sz w:val="22"/>
        </w:rPr>
        <w:t> </w:t>
      </w:r>
      <w:r>
        <w:rPr>
          <w:b/>
          <w:sz w:val="22"/>
        </w:rPr>
        <w:t>Department</w:t>
      </w:r>
      <w:r>
        <w:rPr>
          <w:b/>
          <w:spacing w:val="-12"/>
          <w:sz w:val="22"/>
        </w:rPr>
        <w:t> </w:t>
      </w:r>
      <w:r>
        <w:rPr>
          <w:b/>
          <w:sz w:val="22"/>
        </w:rPr>
        <w:t>of</w:t>
      </w:r>
      <w:r>
        <w:rPr>
          <w:b/>
          <w:spacing w:val="-10"/>
          <w:sz w:val="22"/>
        </w:rPr>
        <w:t> </w:t>
      </w:r>
      <w:r>
        <w:rPr>
          <w:b/>
          <w:sz w:val="22"/>
        </w:rPr>
        <w:t>Elementary</w:t>
      </w:r>
      <w:r>
        <w:rPr>
          <w:b/>
          <w:spacing w:val="-10"/>
          <w:sz w:val="22"/>
        </w:rPr>
        <w:t> </w:t>
      </w:r>
      <w:r>
        <w:rPr>
          <w:b/>
          <w:sz w:val="22"/>
        </w:rPr>
        <w:t>and</w:t>
      </w:r>
      <w:r>
        <w:rPr>
          <w:b/>
          <w:spacing w:val="-12"/>
          <w:sz w:val="22"/>
        </w:rPr>
        <w:t> </w:t>
      </w:r>
      <w:r>
        <w:rPr>
          <w:b/>
          <w:sz w:val="22"/>
        </w:rPr>
        <w:t>Secondary</w:t>
      </w:r>
      <w:r>
        <w:rPr>
          <w:b/>
          <w:spacing w:val="-10"/>
          <w:sz w:val="22"/>
        </w:rPr>
        <w:t> </w:t>
      </w:r>
      <w:r>
        <w:rPr>
          <w:b/>
          <w:sz w:val="22"/>
        </w:rPr>
        <w:t>Education</w:t>
      </w:r>
      <w:r>
        <w:rPr>
          <w:b/>
          <w:spacing w:val="-10"/>
          <w:sz w:val="22"/>
        </w:rPr>
        <w:t> </w:t>
      </w:r>
      <w:r>
        <w:rPr>
          <w:b/>
          <w:sz w:val="22"/>
        </w:rPr>
        <w:t>to</w:t>
      </w:r>
      <w:r>
        <w:rPr>
          <w:b/>
          <w:spacing w:val="-9"/>
          <w:sz w:val="22"/>
        </w:rPr>
        <w:t> </w:t>
      </w:r>
      <w:r>
        <w:rPr>
          <w:b/>
          <w:sz w:val="22"/>
        </w:rPr>
        <w:t>align</w:t>
      </w:r>
      <w:r>
        <w:rPr>
          <w:b/>
          <w:spacing w:val="-12"/>
          <w:sz w:val="22"/>
        </w:rPr>
        <w:t> </w:t>
      </w:r>
      <w:r>
        <w:rPr>
          <w:b/>
          <w:sz w:val="22"/>
        </w:rPr>
        <w:t>efforts</w:t>
      </w:r>
      <w:r>
        <w:rPr>
          <w:b/>
          <w:spacing w:val="-10"/>
          <w:sz w:val="22"/>
        </w:rPr>
        <w:t> </w:t>
      </w:r>
      <w:r>
        <w:rPr>
          <w:b/>
          <w:sz w:val="22"/>
        </w:rPr>
        <w:t>on</w:t>
      </w:r>
      <w:r>
        <w:rPr>
          <w:b/>
          <w:spacing w:val="-10"/>
          <w:sz w:val="22"/>
        </w:rPr>
        <w:t> </w:t>
      </w:r>
      <w:r>
        <w:rPr>
          <w:b/>
          <w:sz w:val="22"/>
        </w:rPr>
        <w:t>addressing book challenges, protests, and hate crimes against state and school libraries and staff.</w:t>
      </w:r>
    </w:p>
    <w:p>
      <w:pPr>
        <w:pStyle w:val="BodyText"/>
        <w:spacing w:line="276" w:lineRule="auto" w:before="239"/>
        <w:ind w:left="483" w:right="341"/>
        <w:jc w:val="both"/>
      </w:pPr>
      <w:r>
        <w:rPr/>
        <w:t>One of the major problems with addressing anti-LGBTQ attacks across the state of Massachusetts is the lack of collaboration between state agencies and community organizations to support ongoing work across institutions. In particular, as both schools and libraries are attacked, collaboration between the Department of Elementary and Secondary Education (DESE), the Massachusetts School Library Association, and MBLC is essential to align on efforts to address book challenges, and support educators and librarians.</w:t>
      </w:r>
    </w:p>
    <w:p>
      <w:pPr>
        <w:pStyle w:val="BodyText"/>
      </w:pPr>
    </w:p>
    <w:p>
      <w:pPr>
        <w:pStyle w:val="BodyText"/>
        <w:spacing w:before="252"/>
      </w:pPr>
    </w:p>
    <w:p>
      <w:pPr>
        <w:spacing w:before="0"/>
        <w:ind w:left="483" w:right="0" w:firstLine="0"/>
        <w:jc w:val="left"/>
        <w:rPr>
          <w:i/>
          <w:sz w:val="22"/>
        </w:rPr>
      </w:pPr>
      <w:r>
        <w:rPr>
          <w:i/>
          <w:sz w:val="22"/>
        </w:rPr>
        <w:t>Acknowledgments:</w:t>
      </w:r>
      <w:r>
        <w:rPr>
          <w:i/>
          <w:spacing w:val="-10"/>
          <w:sz w:val="22"/>
        </w:rPr>
        <w:t> </w:t>
      </w:r>
      <w:r>
        <w:rPr>
          <w:i/>
          <w:sz w:val="22"/>
        </w:rPr>
        <w:t>The</w:t>
      </w:r>
      <w:r>
        <w:rPr>
          <w:i/>
          <w:spacing w:val="-8"/>
          <w:sz w:val="22"/>
        </w:rPr>
        <w:t> </w:t>
      </w:r>
      <w:r>
        <w:rPr>
          <w:i/>
          <w:sz w:val="22"/>
        </w:rPr>
        <w:t>Commission</w:t>
      </w:r>
      <w:r>
        <w:rPr>
          <w:i/>
          <w:spacing w:val="-8"/>
          <w:sz w:val="22"/>
        </w:rPr>
        <w:t> </w:t>
      </w:r>
      <w:r>
        <w:rPr>
          <w:i/>
          <w:sz w:val="22"/>
        </w:rPr>
        <w:t>appreciates</w:t>
      </w:r>
      <w:r>
        <w:rPr>
          <w:i/>
          <w:spacing w:val="-8"/>
          <w:sz w:val="22"/>
        </w:rPr>
        <w:t> </w:t>
      </w:r>
      <w:r>
        <w:rPr>
          <w:i/>
          <w:sz w:val="22"/>
        </w:rPr>
        <w:t>the</w:t>
      </w:r>
      <w:r>
        <w:rPr>
          <w:i/>
          <w:spacing w:val="-10"/>
          <w:sz w:val="22"/>
        </w:rPr>
        <w:t> </w:t>
      </w:r>
      <w:r>
        <w:rPr>
          <w:i/>
          <w:sz w:val="22"/>
        </w:rPr>
        <w:t>contributions</w:t>
      </w:r>
      <w:r>
        <w:rPr>
          <w:i/>
          <w:spacing w:val="-9"/>
          <w:sz w:val="22"/>
        </w:rPr>
        <w:t> </w:t>
      </w:r>
      <w:r>
        <w:rPr>
          <w:i/>
          <w:sz w:val="22"/>
        </w:rPr>
        <w:t>of</w:t>
      </w:r>
      <w:r>
        <w:rPr>
          <w:i/>
          <w:spacing w:val="-9"/>
          <w:sz w:val="22"/>
        </w:rPr>
        <w:t> </w:t>
      </w:r>
      <w:r>
        <w:rPr>
          <w:i/>
          <w:sz w:val="22"/>
        </w:rPr>
        <w:t>its</w:t>
      </w:r>
      <w:r>
        <w:rPr>
          <w:i/>
          <w:spacing w:val="-8"/>
          <w:sz w:val="22"/>
        </w:rPr>
        <w:t> </w:t>
      </w:r>
      <w:r>
        <w:rPr>
          <w:i/>
          <w:sz w:val="22"/>
        </w:rPr>
        <w:t>librarian</w:t>
      </w:r>
      <w:r>
        <w:rPr>
          <w:i/>
          <w:spacing w:val="-9"/>
          <w:sz w:val="22"/>
        </w:rPr>
        <w:t> </w:t>
      </w:r>
      <w:r>
        <w:rPr>
          <w:i/>
          <w:sz w:val="22"/>
        </w:rPr>
        <w:t>and</w:t>
      </w:r>
      <w:r>
        <w:rPr>
          <w:i/>
          <w:spacing w:val="-9"/>
          <w:sz w:val="22"/>
        </w:rPr>
        <w:t> </w:t>
      </w:r>
      <w:r>
        <w:rPr>
          <w:i/>
          <w:sz w:val="22"/>
        </w:rPr>
        <w:t>MBLC</w:t>
      </w:r>
      <w:r>
        <w:rPr>
          <w:i/>
          <w:spacing w:val="-9"/>
          <w:sz w:val="22"/>
        </w:rPr>
        <w:t> </w:t>
      </w:r>
      <w:r>
        <w:rPr>
          <w:i/>
          <w:sz w:val="22"/>
        </w:rPr>
        <w:t>staff</w:t>
      </w:r>
      <w:r>
        <w:rPr>
          <w:i/>
          <w:spacing w:val="-9"/>
          <w:sz w:val="22"/>
        </w:rPr>
        <w:t> </w:t>
      </w:r>
      <w:r>
        <w:rPr>
          <w:i/>
          <w:spacing w:val="-2"/>
          <w:sz w:val="22"/>
        </w:rPr>
        <w:t>liaisons.</w:t>
      </w:r>
    </w:p>
    <w:p>
      <w:pPr>
        <w:pStyle w:val="BodyText"/>
        <w:spacing w:before="11"/>
        <w:rPr>
          <w:i/>
        </w:rPr>
      </w:pPr>
    </w:p>
    <w:p>
      <w:pPr>
        <w:spacing w:before="0"/>
        <w:ind w:left="483" w:right="0" w:firstLine="0"/>
        <w:jc w:val="left"/>
        <w:rPr>
          <w:b/>
          <w:sz w:val="22"/>
        </w:rPr>
      </w:pPr>
      <w:r>
        <w:rPr>
          <w:b/>
          <w:spacing w:val="-2"/>
          <w:sz w:val="22"/>
        </w:rPr>
        <w:t>Citations</w:t>
      </w:r>
    </w:p>
    <w:p>
      <w:pPr>
        <w:pStyle w:val="BodyText"/>
        <w:spacing w:before="13"/>
        <w:rPr>
          <w:b/>
        </w:rPr>
      </w:pPr>
    </w:p>
    <w:p>
      <w:pPr>
        <w:spacing w:before="0"/>
        <w:ind w:left="483" w:right="342" w:hanging="1"/>
        <w:jc w:val="both"/>
        <w:rPr>
          <w:sz w:val="18"/>
        </w:rPr>
      </w:pPr>
      <w:bookmarkStart w:name="_bookmark648" w:id="955"/>
      <w:bookmarkEnd w:id="955"/>
      <w:r>
        <w:rPr/>
      </w:r>
      <w:r>
        <w:rPr>
          <w:sz w:val="18"/>
          <w:vertAlign w:val="superscript"/>
        </w:rPr>
        <w:t>1</w:t>
      </w:r>
      <w:r>
        <w:rPr>
          <w:spacing w:val="-11"/>
          <w:sz w:val="18"/>
          <w:vertAlign w:val="baseline"/>
        </w:rPr>
        <w:t> </w:t>
      </w:r>
      <w:r>
        <w:rPr>
          <w:sz w:val="18"/>
          <w:vertAlign w:val="baseline"/>
        </w:rPr>
        <w:t>Yalsa</w:t>
      </w:r>
      <w:r>
        <w:rPr>
          <w:spacing w:val="-10"/>
          <w:sz w:val="18"/>
          <w:vertAlign w:val="baseline"/>
        </w:rPr>
        <w:t> </w:t>
      </w:r>
      <w:r>
        <w:rPr>
          <w:sz w:val="18"/>
          <w:vertAlign w:val="baseline"/>
        </w:rPr>
        <w:t>Projects,</w:t>
      </w:r>
      <w:r>
        <w:rPr>
          <w:spacing w:val="-10"/>
          <w:sz w:val="18"/>
          <w:vertAlign w:val="baseline"/>
        </w:rPr>
        <w:t> </w:t>
      </w:r>
      <w:r>
        <w:rPr>
          <w:sz w:val="18"/>
          <w:vertAlign w:val="baseline"/>
        </w:rPr>
        <w:t>“‘They</w:t>
      </w:r>
      <w:r>
        <w:rPr>
          <w:spacing w:val="-9"/>
          <w:sz w:val="18"/>
          <w:vertAlign w:val="baseline"/>
        </w:rPr>
        <w:t> </w:t>
      </w:r>
      <w:r>
        <w:rPr>
          <w:sz w:val="18"/>
          <w:vertAlign w:val="baseline"/>
        </w:rPr>
        <w:t>Kind</w:t>
      </w:r>
      <w:r>
        <w:rPr>
          <w:spacing w:val="-7"/>
          <w:sz w:val="18"/>
          <w:vertAlign w:val="baseline"/>
        </w:rPr>
        <w:t> </w:t>
      </w:r>
      <w:r>
        <w:rPr>
          <w:sz w:val="18"/>
          <w:vertAlign w:val="baseline"/>
        </w:rPr>
        <w:t>of</w:t>
      </w:r>
      <w:r>
        <w:rPr>
          <w:spacing w:val="-7"/>
          <w:sz w:val="18"/>
          <w:vertAlign w:val="baseline"/>
        </w:rPr>
        <w:t> </w:t>
      </w:r>
      <w:r>
        <w:rPr>
          <w:sz w:val="18"/>
          <w:vertAlign w:val="baseline"/>
        </w:rPr>
        <w:t>Rely</w:t>
      </w:r>
      <w:r>
        <w:rPr>
          <w:spacing w:val="-7"/>
          <w:sz w:val="18"/>
          <w:vertAlign w:val="baseline"/>
        </w:rPr>
        <w:t> </w:t>
      </w:r>
      <w:r>
        <w:rPr>
          <w:sz w:val="18"/>
          <w:vertAlign w:val="baseline"/>
        </w:rPr>
        <w:t>on</w:t>
      </w:r>
      <w:r>
        <w:rPr>
          <w:spacing w:val="-7"/>
          <w:sz w:val="18"/>
          <w:vertAlign w:val="baseline"/>
        </w:rPr>
        <w:t> </w:t>
      </w:r>
      <w:r>
        <w:rPr>
          <w:sz w:val="18"/>
          <w:vertAlign w:val="baseline"/>
        </w:rPr>
        <w:t>the</w:t>
      </w:r>
      <w:r>
        <w:rPr>
          <w:spacing w:val="-7"/>
          <w:sz w:val="18"/>
          <w:vertAlign w:val="baseline"/>
        </w:rPr>
        <w:t> </w:t>
      </w:r>
      <w:r>
        <w:rPr>
          <w:sz w:val="18"/>
          <w:vertAlign w:val="baseline"/>
        </w:rPr>
        <w:t>Library’:</w:t>
      </w:r>
      <w:r>
        <w:rPr>
          <w:spacing w:val="-7"/>
          <w:sz w:val="18"/>
          <w:vertAlign w:val="baseline"/>
        </w:rPr>
        <w:t> </w:t>
      </w:r>
      <w:r>
        <w:rPr>
          <w:sz w:val="18"/>
          <w:vertAlign w:val="baseline"/>
        </w:rPr>
        <w:t>School</w:t>
      </w:r>
      <w:r>
        <w:rPr>
          <w:spacing w:val="-8"/>
          <w:sz w:val="18"/>
          <w:vertAlign w:val="baseline"/>
        </w:rPr>
        <w:t> </w:t>
      </w:r>
      <w:r>
        <w:rPr>
          <w:sz w:val="18"/>
          <w:vertAlign w:val="baseline"/>
        </w:rPr>
        <w:t>Librarians</w:t>
      </w:r>
      <w:r>
        <w:rPr>
          <w:spacing w:val="-7"/>
          <w:sz w:val="18"/>
          <w:vertAlign w:val="baseline"/>
        </w:rPr>
        <w:t> </w:t>
      </w:r>
      <w:r>
        <w:rPr>
          <w:sz w:val="18"/>
          <w:vertAlign w:val="baseline"/>
        </w:rPr>
        <w:t>Serving</w:t>
      </w:r>
      <w:r>
        <w:rPr>
          <w:spacing w:val="-8"/>
          <w:sz w:val="18"/>
          <w:vertAlign w:val="baseline"/>
        </w:rPr>
        <w:t> </w:t>
      </w:r>
      <w:r>
        <w:rPr>
          <w:sz w:val="18"/>
          <w:vertAlign w:val="baseline"/>
        </w:rPr>
        <w:t>LGBT</w:t>
      </w:r>
      <w:r>
        <w:rPr>
          <w:spacing w:val="-7"/>
          <w:sz w:val="18"/>
          <w:vertAlign w:val="baseline"/>
        </w:rPr>
        <w:t> </w:t>
      </w:r>
      <w:r>
        <w:rPr>
          <w:sz w:val="18"/>
          <w:vertAlign w:val="baseline"/>
        </w:rPr>
        <w:t>Students,”</w:t>
      </w:r>
      <w:r>
        <w:rPr>
          <w:spacing w:val="-7"/>
          <w:sz w:val="18"/>
          <w:vertAlign w:val="baseline"/>
        </w:rPr>
        <w:t> </w:t>
      </w:r>
      <w:r>
        <w:rPr>
          <w:i/>
          <w:sz w:val="18"/>
          <w:vertAlign w:val="baseline"/>
        </w:rPr>
        <w:t>The</w:t>
      </w:r>
      <w:r>
        <w:rPr>
          <w:i/>
          <w:spacing w:val="-8"/>
          <w:sz w:val="18"/>
          <w:vertAlign w:val="baseline"/>
        </w:rPr>
        <w:t> </w:t>
      </w:r>
      <w:r>
        <w:rPr>
          <w:i/>
          <w:sz w:val="18"/>
          <w:vertAlign w:val="baseline"/>
        </w:rPr>
        <w:t>Journal</w:t>
      </w:r>
      <w:r>
        <w:rPr>
          <w:i/>
          <w:spacing w:val="-8"/>
          <w:sz w:val="18"/>
          <w:vertAlign w:val="baseline"/>
        </w:rPr>
        <w:t> </w:t>
      </w:r>
      <w:r>
        <w:rPr>
          <w:i/>
          <w:sz w:val="18"/>
          <w:vertAlign w:val="baseline"/>
        </w:rPr>
        <w:t>of</w:t>
      </w:r>
      <w:r>
        <w:rPr>
          <w:i/>
          <w:spacing w:val="-7"/>
          <w:sz w:val="18"/>
          <w:vertAlign w:val="baseline"/>
        </w:rPr>
        <w:t> </w:t>
      </w:r>
      <w:r>
        <w:rPr>
          <w:i/>
          <w:sz w:val="18"/>
          <w:vertAlign w:val="baseline"/>
        </w:rPr>
        <w:t>Research</w:t>
      </w:r>
      <w:r>
        <w:rPr>
          <w:i/>
          <w:spacing w:val="-7"/>
          <w:sz w:val="18"/>
          <w:vertAlign w:val="baseline"/>
        </w:rPr>
        <w:t> </w:t>
      </w:r>
      <w:r>
        <w:rPr>
          <w:i/>
          <w:sz w:val="18"/>
          <w:vertAlign w:val="baseline"/>
        </w:rPr>
        <w:t>on</w:t>
      </w:r>
      <w:r>
        <w:rPr>
          <w:i/>
          <w:spacing w:val="-7"/>
          <w:sz w:val="18"/>
          <w:vertAlign w:val="baseline"/>
        </w:rPr>
        <w:t> </w:t>
      </w:r>
      <w:r>
        <w:rPr>
          <w:i/>
          <w:sz w:val="18"/>
          <w:vertAlign w:val="baseline"/>
        </w:rPr>
        <w:t>Libraries</w:t>
      </w:r>
      <w:r>
        <w:rPr>
          <w:i/>
          <w:sz w:val="18"/>
          <w:vertAlign w:val="baseline"/>
        </w:rPr>
        <w:t> and Young Adults </w:t>
      </w:r>
      <w:r>
        <w:rPr>
          <w:sz w:val="18"/>
          <w:vertAlign w:val="baseline"/>
        </w:rPr>
        <w:t>(blog), March 18, 2016, https://</w:t>
      </w:r>
      <w:hyperlink r:id="rId767">
        <w:r>
          <w:rPr>
            <w:sz w:val="18"/>
            <w:vertAlign w:val="baseline"/>
          </w:rPr>
          <w:t>www.yalsa.ala.org/jrlya/2016/03/they-kind-of-rely-on-the-library-</w:t>
        </w:r>
      </w:hyperlink>
      <w:r>
        <w:rPr>
          <w:sz w:val="18"/>
          <w:vertAlign w:val="baseline"/>
        </w:rPr>
        <w:t> school- </w:t>
      </w:r>
      <w:bookmarkStart w:name="_bookmark649" w:id="956"/>
      <w:bookmarkEnd w:id="956"/>
      <w:r>
        <w:rPr>
          <w:spacing w:val="-2"/>
          <w:sz w:val="18"/>
          <w:vertAlign w:val="baseline"/>
        </w:rPr>
        <w:t>l</w:t>
      </w:r>
      <w:r>
        <w:rPr>
          <w:spacing w:val="-2"/>
          <w:sz w:val="18"/>
          <w:vertAlign w:val="baseline"/>
        </w:rPr>
        <w:t>ibrarians-serving-lgbt-students/.</w:t>
      </w:r>
    </w:p>
    <w:p>
      <w:pPr>
        <w:spacing w:before="0"/>
        <w:ind w:left="483" w:right="342" w:hanging="1"/>
        <w:jc w:val="both"/>
        <w:rPr>
          <w:sz w:val="18"/>
        </w:rPr>
      </w:pPr>
      <w:r>
        <w:rPr>
          <w:sz w:val="18"/>
          <w:vertAlign w:val="superscript"/>
        </w:rPr>
        <w:t>2</w:t>
      </w:r>
      <w:r>
        <w:rPr>
          <w:spacing w:val="-11"/>
          <w:sz w:val="18"/>
          <w:vertAlign w:val="baseline"/>
        </w:rPr>
        <w:t> </w:t>
      </w:r>
      <w:r>
        <w:rPr>
          <w:sz w:val="18"/>
          <w:vertAlign w:val="baseline"/>
        </w:rPr>
        <w:t>American Library Association, “Extending Our Reach: Reducing Homelessness Through Library Engagement,” Text, About ALA, October 8, 2012, https://</w:t>
      </w:r>
      <w:hyperlink r:id="rId768">
        <w:r>
          <w:rPr>
            <w:sz w:val="18"/>
            <w:vertAlign w:val="baseline"/>
          </w:rPr>
          <w:t>www.ala.org/aboutala/offices/extending-our-reach-reducing-homelessness-through-library-</w:t>
        </w:r>
      </w:hyperlink>
      <w:r>
        <w:rPr>
          <w:sz w:val="18"/>
          <w:vertAlign w:val="baseline"/>
        </w:rPr>
        <w:t> </w:t>
      </w:r>
      <w:bookmarkStart w:name="_bookmark650" w:id="957"/>
      <w:bookmarkEnd w:id="957"/>
      <w:r>
        <w:rPr>
          <w:spacing w:val="-2"/>
          <w:sz w:val="18"/>
          <w:vertAlign w:val="baseline"/>
        </w:rPr>
        <w:t>eng</w:t>
      </w:r>
      <w:r>
        <w:rPr>
          <w:spacing w:val="-2"/>
          <w:sz w:val="18"/>
          <w:vertAlign w:val="baseline"/>
        </w:rPr>
        <w:t>agement-3.</w:t>
      </w:r>
    </w:p>
    <w:p>
      <w:pPr>
        <w:spacing w:before="0"/>
        <w:ind w:left="483" w:right="342" w:hanging="1"/>
        <w:jc w:val="both"/>
        <w:rPr>
          <w:sz w:val="18"/>
        </w:rPr>
      </w:pPr>
      <w:r>
        <w:rPr>
          <w:sz w:val="18"/>
          <w:vertAlign w:val="superscript"/>
        </w:rPr>
        <w:t>3</w:t>
      </w:r>
      <w:r>
        <w:rPr>
          <w:sz w:val="18"/>
          <w:vertAlign w:val="baseline"/>
        </w:rPr>
        <w:t> Boston Public Library, “Resources for Youth Experiencing Housing Insecurity,” accessed April 25, 2023, </w:t>
      </w:r>
      <w:r>
        <w:rPr>
          <w:spacing w:val="-2"/>
          <w:sz w:val="18"/>
          <w:vertAlign w:val="baseline"/>
        </w:rPr>
        <w:t>https://</w:t>
      </w:r>
      <w:hyperlink r:id="rId769">
        <w:r>
          <w:rPr>
            <w:spacing w:val="-2"/>
            <w:sz w:val="18"/>
            <w:vertAlign w:val="baseline"/>
          </w:rPr>
          <w:t>www.bpl.org/resources-for-youth-experiencing-housing-insecurity.</w:t>
        </w:r>
      </w:hyperlink>
    </w:p>
    <w:p>
      <w:pPr>
        <w:spacing w:before="0"/>
        <w:ind w:left="483" w:right="341" w:firstLine="0"/>
        <w:jc w:val="both"/>
        <w:rPr>
          <w:sz w:val="18"/>
        </w:rPr>
      </w:pPr>
      <w:bookmarkStart w:name="_bookmark651" w:id="958"/>
      <w:bookmarkEnd w:id="958"/>
      <w:r>
        <w:rPr/>
      </w:r>
      <w:r>
        <w:rPr>
          <w:sz w:val="18"/>
          <w:vertAlign w:val="superscript"/>
        </w:rPr>
        <w:t>4</w:t>
      </w:r>
      <w:r>
        <w:rPr>
          <w:spacing w:val="-11"/>
          <w:sz w:val="18"/>
          <w:vertAlign w:val="baseline"/>
        </w:rPr>
        <w:t> </w:t>
      </w:r>
      <w:r>
        <w:rPr>
          <w:sz w:val="18"/>
          <w:vertAlign w:val="baseline"/>
        </w:rPr>
        <w:t>American</w:t>
      </w:r>
      <w:r>
        <w:rPr>
          <w:spacing w:val="-1"/>
          <w:sz w:val="18"/>
          <w:vertAlign w:val="baseline"/>
        </w:rPr>
        <w:t> </w:t>
      </w:r>
      <w:r>
        <w:rPr>
          <w:sz w:val="18"/>
          <w:vertAlign w:val="baseline"/>
        </w:rPr>
        <w:t>Library Association, “American Library Association Reports Record Number of</w:t>
      </w:r>
      <w:r>
        <w:rPr>
          <w:spacing w:val="-1"/>
          <w:sz w:val="18"/>
          <w:vertAlign w:val="baseline"/>
        </w:rPr>
        <w:t> </w:t>
      </w:r>
      <w:r>
        <w:rPr>
          <w:sz w:val="18"/>
          <w:vertAlign w:val="baseline"/>
        </w:rPr>
        <w:t>Demands to Censor Library Books and Materials in 2022,” Text, News and Press Center, March 22, 2023, https://</w:t>
      </w:r>
      <w:hyperlink r:id="rId770">
        <w:r>
          <w:rPr>
            <w:sz w:val="18"/>
            <w:vertAlign w:val="baseline"/>
          </w:rPr>
          <w:t>www.ala.org/news/press-releases/2023/03/record-</w:t>
        </w:r>
      </w:hyperlink>
      <w:r>
        <w:rPr>
          <w:sz w:val="18"/>
          <w:vertAlign w:val="baseline"/>
        </w:rPr>
        <w:t> </w:t>
      </w:r>
      <w:r>
        <w:rPr>
          <w:spacing w:val="-2"/>
          <w:sz w:val="18"/>
          <w:vertAlign w:val="baseline"/>
        </w:rPr>
        <w:t>book-bans-2022.</w:t>
      </w:r>
    </w:p>
    <w:p>
      <w:pPr>
        <w:spacing w:before="0"/>
        <w:ind w:left="483" w:right="345" w:firstLine="0"/>
        <w:jc w:val="both"/>
        <w:rPr>
          <w:sz w:val="18"/>
        </w:rPr>
      </w:pPr>
      <w:bookmarkStart w:name="_bookmark652" w:id="959"/>
      <w:bookmarkEnd w:id="959"/>
      <w:r>
        <w:rPr/>
      </w:r>
      <w:r>
        <w:rPr>
          <w:sz w:val="18"/>
          <w:vertAlign w:val="superscript"/>
        </w:rPr>
        <w:t>5</w:t>
      </w:r>
      <w:r>
        <w:rPr>
          <w:spacing w:val="-7"/>
          <w:sz w:val="18"/>
          <w:vertAlign w:val="baseline"/>
        </w:rPr>
        <w:t> </w:t>
      </w:r>
      <w:r>
        <w:rPr>
          <w:sz w:val="18"/>
          <w:vertAlign w:val="baseline"/>
        </w:rPr>
        <w:t>American Library Association, “Top 13 Most Challenged Books of 2022,” Text, Advocacy, Legislation &amp; Issues, April 21, 2023, </w:t>
      </w:r>
      <w:r>
        <w:rPr>
          <w:spacing w:val="-2"/>
          <w:sz w:val="18"/>
          <w:vertAlign w:val="baseline"/>
        </w:rPr>
        <w:t>https://</w:t>
      </w:r>
      <w:hyperlink r:id="rId771">
        <w:r>
          <w:rPr>
            <w:spacing w:val="-2"/>
            <w:sz w:val="18"/>
            <w:vertAlign w:val="baseline"/>
          </w:rPr>
          <w:t>www.ala.org/advocacy/bbooks/frequentlychallengedbooks/top10.</w:t>
        </w:r>
      </w:hyperlink>
    </w:p>
    <w:p>
      <w:pPr>
        <w:spacing w:before="0"/>
        <w:ind w:left="483" w:right="342" w:hanging="1"/>
        <w:jc w:val="both"/>
        <w:rPr>
          <w:sz w:val="18"/>
        </w:rPr>
      </w:pPr>
      <w:bookmarkStart w:name="_bookmark653" w:id="960"/>
      <w:bookmarkEnd w:id="960"/>
      <w:r>
        <w:rPr/>
      </w:r>
      <w:r>
        <w:rPr>
          <w:sz w:val="18"/>
          <w:vertAlign w:val="superscript"/>
        </w:rPr>
        <w:t>6</w:t>
      </w:r>
      <w:r>
        <w:rPr>
          <w:spacing w:val="-11"/>
          <w:sz w:val="18"/>
          <w:vertAlign w:val="baseline"/>
        </w:rPr>
        <w:t> </w:t>
      </w:r>
      <w:r>
        <w:rPr>
          <w:sz w:val="18"/>
          <w:vertAlign w:val="baseline"/>
        </w:rPr>
        <w:t>GLAD</w:t>
      </w:r>
      <w:r>
        <w:rPr>
          <w:spacing w:val="-10"/>
          <w:sz w:val="18"/>
          <w:vertAlign w:val="baseline"/>
        </w:rPr>
        <w:t> </w:t>
      </w:r>
      <w:r>
        <w:rPr>
          <w:sz w:val="18"/>
          <w:vertAlign w:val="baseline"/>
        </w:rPr>
        <w:t>and</w:t>
      </w:r>
      <w:r>
        <w:rPr>
          <w:spacing w:val="-10"/>
          <w:sz w:val="18"/>
          <w:vertAlign w:val="baseline"/>
        </w:rPr>
        <w:t> </w:t>
      </w:r>
      <w:r>
        <w:rPr>
          <w:sz w:val="18"/>
          <w:vertAlign w:val="baseline"/>
        </w:rPr>
        <w:t>ACLU</w:t>
      </w:r>
      <w:r>
        <w:rPr>
          <w:spacing w:val="-10"/>
          <w:sz w:val="18"/>
          <w:vertAlign w:val="baseline"/>
        </w:rPr>
        <w:t> </w:t>
      </w:r>
      <w:r>
        <w:rPr>
          <w:sz w:val="18"/>
          <w:vertAlign w:val="baseline"/>
        </w:rPr>
        <w:t>Massachusetts,</w:t>
      </w:r>
      <w:r>
        <w:rPr>
          <w:spacing w:val="-8"/>
          <w:sz w:val="18"/>
          <w:vertAlign w:val="baseline"/>
        </w:rPr>
        <w:t> </w:t>
      </w:r>
      <w:r>
        <w:rPr>
          <w:sz w:val="18"/>
          <w:vertAlign w:val="baseline"/>
        </w:rPr>
        <w:t>“ACLU,</w:t>
      </w:r>
      <w:r>
        <w:rPr>
          <w:spacing w:val="-8"/>
          <w:sz w:val="18"/>
          <w:vertAlign w:val="baseline"/>
        </w:rPr>
        <w:t> </w:t>
      </w:r>
      <w:r>
        <w:rPr>
          <w:sz w:val="18"/>
          <w:vertAlign w:val="baseline"/>
        </w:rPr>
        <w:t>GLAD</w:t>
      </w:r>
      <w:r>
        <w:rPr>
          <w:spacing w:val="-8"/>
          <w:sz w:val="18"/>
          <w:vertAlign w:val="baseline"/>
        </w:rPr>
        <w:t> </w:t>
      </w:r>
      <w:r>
        <w:rPr>
          <w:sz w:val="18"/>
          <w:vertAlign w:val="baseline"/>
        </w:rPr>
        <w:t>Urge</w:t>
      </w:r>
      <w:r>
        <w:rPr>
          <w:spacing w:val="-7"/>
          <w:sz w:val="18"/>
          <w:vertAlign w:val="baseline"/>
        </w:rPr>
        <w:t> </w:t>
      </w:r>
      <w:r>
        <w:rPr>
          <w:sz w:val="18"/>
          <w:vertAlign w:val="baseline"/>
        </w:rPr>
        <w:t>Massachusetts</w:t>
      </w:r>
      <w:r>
        <w:rPr>
          <w:spacing w:val="-7"/>
          <w:sz w:val="18"/>
          <w:vertAlign w:val="baseline"/>
        </w:rPr>
        <w:t> </w:t>
      </w:r>
      <w:r>
        <w:rPr>
          <w:sz w:val="18"/>
          <w:vertAlign w:val="baseline"/>
        </w:rPr>
        <w:t>Schools</w:t>
      </w:r>
      <w:r>
        <w:rPr>
          <w:spacing w:val="-7"/>
          <w:sz w:val="18"/>
          <w:vertAlign w:val="baseline"/>
        </w:rPr>
        <w:t> </w:t>
      </w:r>
      <w:r>
        <w:rPr>
          <w:sz w:val="18"/>
          <w:vertAlign w:val="baseline"/>
        </w:rPr>
        <w:t>to</w:t>
      </w:r>
      <w:r>
        <w:rPr>
          <w:spacing w:val="-7"/>
          <w:sz w:val="18"/>
          <w:vertAlign w:val="baseline"/>
        </w:rPr>
        <w:t> </w:t>
      </w:r>
      <w:r>
        <w:rPr>
          <w:sz w:val="18"/>
          <w:vertAlign w:val="baseline"/>
        </w:rPr>
        <w:t>Reject</w:t>
      </w:r>
      <w:r>
        <w:rPr>
          <w:spacing w:val="-7"/>
          <w:sz w:val="18"/>
          <w:vertAlign w:val="baseline"/>
        </w:rPr>
        <w:t> </w:t>
      </w:r>
      <w:r>
        <w:rPr>
          <w:sz w:val="18"/>
          <w:vertAlign w:val="baseline"/>
        </w:rPr>
        <w:t>Calls</w:t>
      </w:r>
      <w:r>
        <w:rPr>
          <w:spacing w:val="-7"/>
          <w:sz w:val="18"/>
          <w:vertAlign w:val="baseline"/>
        </w:rPr>
        <w:t> </w:t>
      </w:r>
      <w:r>
        <w:rPr>
          <w:sz w:val="18"/>
          <w:vertAlign w:val="baseline"/>
        </w:rPr>
        <w:t>for</w:t>
      </w:r>
      <w:r>
        <w:rPr>
          <w:spacing w:val="-8"/>
          <w:sz w:val="18"/>
          <w:vertAlign w:val="baseline"/>
        </w:rPr>
        <w:t> </w:t>
      </w:r>
      <w:r>
        <w:rPr>
          <w:sz w:val="18"/>
          <w:vertAlign w:val="baseline"/>
        </w:rPr>
        <w:t>Book</w:t>
      </w:r>
      <w:r>
        <w:rPr>
          <w:spacing w:val="-7"/>
          <w:sz w:val="18"/>
          <w:vertAlign w:val="baseline"/>
        </w:rPr>
        <w:t> </w:t>
      </w:r>
      <w:r>
        <w:rPr>
          <w:sz w:val="18"/>
          <w:vertAlign w:val="baseline"/>
        </w:rPr>
        <w:t>Bans</w:t>
      </w:r>
      <w:r>
        <w:rPr>
          <w:spacing w:val="-7"/>
          <w:sz w:val="18"/>
          <w:vertAlign w:val="baseline"/>
        </w:rPr>
        <w:t> </w:t>
      </w:r>
      <w:r>
        <w:rPr>
          <w:sz w:val="18"/>
          <w:vertAlign w:val="baseline"/>
        </w:rPr>
        <w:t>|</w:t>
      </w:r>
      <w:r>
        <w:rPr>
          <w:spacing w:val="-8"/>
          <w:sz w:val="18"/>
          <w:vertAlign w:val="baseline"/>
        </w:rPr>
        <w:t> </w:t>
      </w:r>
      <w:r>
        <w:rPr>
          <w:sz w:val="18"/>
          <w:vertAlign w:val="baseline"/>
        </w:rPr>
        <w:t>ACLU</w:t>
      </w:r>
      <w:r>
        <w:rPr>
          <w:spacing w:val="-7"/>
          <w:sz w:val="18"/>
          <w:vertAlign w:val="baseline"/>
        </w:rPr>
        <w:t> </w:t>
      </w:r>
      <w:r>
        <w:rPr>
          <w:sz w:val="18"/>
          <w:vertAlign w:val="baseline"/>
        </w:rPr>
        <w:t>Massachusetts,” January 23, 2023, https</w:t>
      </w:r>
      <w:hyperlink r:id="rId772">
        <w:r>
          <w:rPr>
            <w:sz w:val="18"/>
            <w:vertAlign w:val="baseline"/>
          </w:rPr>
          <w:t>://w</w:t>
        </w:r>
      </w:hyperlink>
      <w:r>
        <w:rPr>
          <w:sz w:val="18"/>
          <w:vertAlign w:val="baseline"/>
        </w:rPr>
        <w:t>ww</w:t>
      </w:r>
      <w:hyperlink r:id="rId772">
        <w:r>
          <w:rPr>
            <w:sz w:val="18"/>
            <w:vertAlign w:val="baseline"/>
          </w:rPr>
          <w:t>.aclum.org/en/news/aclu-glad-urge-massachusetts-schools-reject-calls-book-</w:t>
        </w:r>
      </w:hyperlink>
      <w:r>
        <w:rPr>
          <w:sz w:val="18"/>
          <w:vertAlign w:val="baseline"/>
        </w:rPr>
        <w:t> bans.</w:t>
      </w:r>
    </w:p>
    <w:p>
      <w:pPr>
        <w:spacing w:after="0"/>
        <w:jc w:val="both"/>
        <w:rPr>
          <w:sz w:val="18"/>
        </w:rPr>
        <w:sectPr>
          <w:pgSz w:w="12240" w:h="15840"/>
          <w:pgMar w:header="804" w:footer="1260" w:top="1000" w:bottom="1460" w:left="960" w:right="1100"/>
        </w:sectPr>
      </w:pPr>
    </w:p>
    <w:p>
      <w:pPr>
        <w:pStyle w:val="BodyText"/>
        <w:rPr>
          <w:sz w:val="20"/>
        </w:rPr>
      </w:pPr>
    </w:p>
    <w:p>
      <w:pPr>
        <w:pStyle w:val="BodyText"/>
        <w:spacing w:before="29"/>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84" name="Group 684"/>
                <wp:cNvGraphicFramePr>
                  <a:graphicFrameLocks/>
                </wp:cNvGraphicFramePr>
                <a:graphic>
                  <a:graphicData uri="http://schemas.microsoft.com/office/word/2010/wordprocessingGroup">
                    <wpg:wgp>
                      <wpg:cNvPr id="684" name="Group 684"/>
                      <wpg:cNvGrpSpPr/>
                      <wpg:grpSpPr>
                        <a:xfrm>
                          <a:off x="0" y="0"/>
                          <a:ext cx="6350" cy="12700"/>
                          <a:chExt cx="6350" cy="12700"/>
                        </a:xfrm>
                      </wpg:grpSpPr>
                      <wps:wsp>
                        <wps:cNvPr id="685" name="Graphic 685"/>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81" coordorigin="0,0" coordsize="10,20">
                <v:rect style="position:absolute;left:0;top:0;width:10;height:20" id="docshape582" filled="true" fillcolor="#4f81bb" stroked="false">
                  <v:fill type="solid"/>
                </v:rect>
              </v:group>
            </w:pict>
          </mc:Fallback>
        </mc:AlternateContent>
      </w:r>
      <w:r>
        <w:rPr>
          <w:sz w:val="2"/>
        </w:rPr>
      </w:r>
    </w:p>
    <w:p>
      <w:pPr>
        <w:pStyle w:val="Heading7"/>
        <w:spacing w:before="239"/>
      </w:pPr>
      <w:bookmarkStart w:name="_bookmark654" w:id="961"/>
      <w:bookmarkEnd w:id="961"/>
      <w:r>
        <w:rPr/>
      </w:r>
      <w:hyperlink w:history="true" w:anchor="_bookmark7">
        <w:r>
          <w:rPr>
            <w:color w:val="365F91"/>
            <w:spacing w:val="-8"/>
          </w:rPr>
          <w:t>Committee</w:t>
        </w:r>
        <w:r>
          <w:rPr>
            <w:color w:val="365F91"/>
            <w:spacing w:val="-15"/>
          </w:rPr>
          <w:t> </w:t>
        </w:r>
        <w:r>
          <w:rPr>
            <w:color w:val="365F91"/>
            <w:spacing w:val="-8"/>
          </w:rPr>
          <w:t>for</w:t>
        </w:r>
        <w:r>
          <w:rPr>
            <w:color w:val="365F91"/>
            <w:spacing w:val="-16"/>
          </w:rPr>
          <w:t> </w:t>
        </w:r>
        <w:r>
          <w:rPr>
            <w:color w:val="365F91"/>
            <w:spacing w:val="-8"/>
          </w:rPr>
          <w:t>Public</w:t>
        </w:r>
        <w:r>
          <w:rPr>
            <w:color w:val="365F91"/>
            <w:spacing w:val="-13"/>
          </w:rPr>
          <w:t> </w:t>
        </w:r>
        <w:r>
          <w:rPr>
            <w:color w:val="365F91"/>
            <w:spacing w:val="-8"/>
          </w:rPr>
          <w:t>Counsel</w:t>
        </w:r>
        <w:r>
          <w:rPr>
            <w:color w:val="365F91"/>
            <w:spacing w:val="-16"/>
          </w:rPr>
          <w:t> </w:t>
        </w:r>
        <w:r>
          <w:rPr>
            <w:color w:val="365F91"/>
            <w:spacing w:val="-8"/>
          </w:rPr>
          <w:t>Services</w:t>
        </w:r>
      </w:hyperlink>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731200">
                <wp:simplePos x="0" y="0"/>
                <wp:positionH relativeFrom="page">
                  <wp:posOffset>889000</wp:posOffset>
                </wp:positionH>
                <wp:positionV relativeFrom="paragraph">
                  <wp:posOffset>260425</wp:posOffset>
                </wp:positionV>
                <wp:extent cx="6350" cy="12700"/>
                <wp:effectExtent l="0" t="0" r="0" b="0"/>
                <wp:wrapTopAndBottom/>
                <wp:docPr id="686" name="Graphic 686"/>
                <wp:cNvGraphicFramePr>
                  <a:graphicFrameLocks/>
                </wp:cNvGraphicFramePr>
                <a:graphic>
                  <a:graphicData uri="http://schemas.microsoft.com/office/word/2010/wordprocessingShape">
                    <wps:wsp>
                      <wps:cNvPr id="686" name="Graphic 686"/>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505907pt;width:.499pt;height:.962pt;mso-position-horizontal-relative:page;mso-position-vertical-relative:paragraph;z-index:-15585280;mso-wrap-distance-left:0;mso-wrap-distance-right:0" id="docshape583"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31712">
                <wp:simplePos x="0" y="0"/>
                <wp:positionH relativeFrom="page">
                  <wp:posOffset>897636</wp:posOffset>
                </wp:positionH>
                <wp:positionV relativeFrom="paragraph">
                  <wp:posOffset>44845</wp:posOffset>
                </wp:positionV>
                <wp:extent cx="5976620" cy="6350"/>
                <wp:effectExtent l="0" t="0" r="0" b="0"/>
                <wp:wrapTopAndBottom/>
                <wp:docPr id="687" name="Graphic 687"/>
                <wp:cNvGraphicFramePr>
                  <a:graphicFrameLocks/>
                </wp:cNvGraphicFramePr>
                <a:graphic>
                  <a:graphicData uri="http://schemas.microsoft.com/office/word/2010/wordprocessingShape">
                    <wps:wsp>
                      <wps:cNvPr id="687" name="Graphic 68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1156pt;width:470.58pt;height:.481pt;mso-position-horizontal-relative:page;mso-position-vertical-relative:paragraph;z-index:-15584768;mso-wrap-distance-left:0;mso-wrap-distance-right:0" id="docshape584" filled="true" fillcolor="#4f81bc" stroked="false">
                <v:fill type="solid"/>
                <w10:wrap type="topAndBottom"/>
              </v:rect>
            </w:pict>
          </mc:Fallback>
        </mc:AlternateContent>
      </w:r>
    </w:p>
    <w:p>
      <w:pPr>
        <w:pStyle w:val="ListParagraph"/>
        <w:numPr>
          <w:ilvl w:val="1"/>
          <w:numId w:val="47"/>
        </w:numPr>
        <w:tabs>
          <w:tab w:pos="1059" w:val="left" w:leader="none"/>
        </w:tabs>
        <w:spacing w:line="240" w:lineRule="auto" w:before="241" w:after="0"/>
        <w:ind w:left="1059" w:right="0" w:hanging="360"/>
        <w:jc w:val="left"/>
        <w:rPr>
          <w:sz w:val="22"/>
        </w:rPr>
      </w:pPr>
      <w:r>
        <w:rPr>
          <w:sz w:val="22"/>
        </w:rPr>
        <w:t>Address</w:t>
      </w:r>
      <w:r>
        <w:rPr>
          <w:spacing w:val="-10"/>
          <w:sz w:val="22"/>
        </w:rPr>
        <w:t> </w:t>
      </w:r>
      <w:r>
        <w:rPr>
          <w:sz w:val="22"/>
        </w:rPr>
        <w:t>expectations</w:t>
      </w:r>
      <w:r>
        <w:rPr>
          <w:spacing w:val="-10"/>
          <w:sz w:val="22"/>
        </w:rPr>
        <w:t> </w:t>
      </w:r>
      <w:r>
        <w:rPr>
          <w:sz w:val="22"/>
        </w:rPr>
        <w:t>for</w:t>
      </w:r>
      <w:r>
        <w:rPr>
          <w:spacing w:val="-10"/>
          <w:sz w:val="22"/>
        </w:rPr>
        <w:t> </w:t>
      </w:r>
      <w:r>
        <w:rPr>
          <w:sz w:val="22"/>
        </w:rPr>
        <w:t>representing</w:t>
      </w:r>
      <w:r>
        <w:rPr>
          <w:spacing w:val="-9"/>
          <w:sz w:val="22"/>
        </w:rPr>
        <w:t> </w:t>
      </w:r>
      <w:r>
        <w:rPr>
          <w:sz w:val="22"/>
        </w:rPr>
        <w:t>LGBTQ</w:t>
      </w:r>
      <w:r>
        <w:rPr>
          <w:spacing w:val="-9"/>
          <w:sz w:val="22"/>
        </w:rPr>
        <w:t> </w:t>
      </w:r>
      <w:r>
        <w:rPr>
          <w:sz w:val="22"/>
        </w:rPr>
        <w:t>clients</w:t>
      </w:r>
      <w:r>
        <w:rPr>
          <w:spacing w:val="-8"/>
          <w:sz w:val="22"/>
        </w:rPr>
        <w:t> </w:t>
      </w:r>
      <w:r>
        <w:rPr>
          <w:sz w:val="22"/>
        </w:rPr>
        <w:t>within</w:t>
      </w:r>
      <w:r>
        <w:rPr>
          <w:spacing w:val="-9"/>
          <w:sz w:val="22"/>
        </w:rPr>
        <w:t> </w:t>
      </w:r>
      <w:r>
        <w:rPr>
          <w:sz w:val="22"/>
        </w:rPr>
        <w:t>the</w:t>
      </w:r>
      <w:r>
        <w:rPr>
          <w:spacing w:val="-10"/>
          <w:sz w:val="22"/>
        </w:rPr>
        <w:t> </w:t>
      </w:r>
      <w:r>
        <w:rPr>
          <w:sz w:val="22"/>
        </w:rPr>
        <w:t>CAFL</w:t>
      </w:r>
      <w:r>
        <w:rPr>
          <w:spacing w:val="-10"/>
          <w:sz w:val="22"/>
        </w:rPr>
        <w:t> </w:t>
      </w:r>
      <w:r>
        <w:rPr>
          <w:sz w:val="22"/>
        </w:rPr>
        <w:t>Performance</w:t>
      </w:r>
      <w:r>
        <w:rPr>
          <w:spacing w:val="-10"/>
          <w:sz w:val="22"/>
        </w:rPr>
        <w:t> </w:t>
      </w:r>
      <w:r>
        <w:rPr>
          <w:spacing w:val="-2"/>
          <w:sz w:val="22"/>
        </w:rPr>
        <w:t>Standards.</w:t>
      </w:r>
    </w:p>
    <w:p>
      <w:pPr>
        <w:pStyle w:val="ListParagraph"/>
        <w:numPr>
          <w:ilvl w:val="1"/>
          <w:numId w:val="47"/>
        </w:numPr>
        <w:tabs>
          <w:tab w:pos="1059" w:val="left" w:leader="none"/>
        </w:tabs>
        <w:spacing w:line="240" w:lineRule="auto" w:before="41" w:after="0"/>
        <w:ind w:left="1059" w:right="0" w:hanging="360"/>
        <w:jc w:val="left"/>
        <w:rPr>
          <w:sz w:val="22"/>
        </w:rPr>
      </w:pPr>
      <w:r>
        <w:rPr>
          <w:sz w:val="22"/>
        </w:rPr>
        <w:t>Provide</w:t>
      </w:r>
      <w:r>
        <w:rPr>
          <w:spacing w:val="-9"/>
          <w:sz w:val="22"/>
        </w:rPr>
        <w:t> </w:t>
      </w:r>
      <w:r>
        <w:rPr>
          <w:sz w:val="22"/>
        </w:rPr>
        <w:t>consistent</w:t>
      </w:r>
      <w:r>
        <w:rPr>
          <w:spacing w:val="-9"/>
          <w:sz w:val="22"/>
        </w:rPr>
        <w:t> </w:t>
      </w:r>
      <w:r>
        <w:rPr>
          <w:sz w:val="22"/>
        </w:rPr>
        <w:t>and</w:t>
      </w:r>
      <w:r>
        <w:rPr>
          <w:spacing w:val="-8"/>
          <w:sz w:val="22"/>
        </w:rPr>
        <w:t> </w:t>
      </w:r>
      <w:r>
        <w:rPr>
          <w:sz w:val="22"/>
        </w:rPr>
        <w:t>high-quality</w:t>
      </w:r>
      <w:r>
        <w:rPr>
          <w:spacing w:val="-7"/>
          <w:sz w:val="22"/>
        </w:rPr>
        <w:t> </w:t>
      </w:r>
      <w:r>
        <w:rPr>
          <w:sz w:val="22"/>
        </w:rPr>
        <w:t>training</w:t>
      </w:r>
      <w:r>
        <w:rPr>
          <w:spacing w:val="-9"/>
          <w:sz w:val="22"/>
        </w:rPr>
        <w:t> </w:t>
      </w:r>
      <w:r>
        <w:rPr>
          <w:sz w:val="22"/>
        </w:rPr>
        <w:t>on</w:t>
      </w:r>
      <w:r>
        <w:rPr>
          <w:spacing w:val="-8"/>
          <w:sz w:val="22"/>
        </w:rPr>
        <w:t> </w:t>
      </w:r>
      <w:r>
        <w:rPr>
          <w:sz w:val="22"/>
        </w:rPr>
        <w:t>working</w:t>
      </w:r>
      <w:r>
        <w:rPr>
          <w:spacing w:val="-9"/>
          <w:sz w:val="22"/>
        </w:rPr>
        <w:t> </w:t>
      </w:r>
      <w:r>
        <w:rPr>
          <w:sz w:val="22"/>
        </w:rPr>
        <w:t>with</w:t>
      </w:r>
      <w:r>
        <w:rPr>
          <w:spacing w:val="-8"/>
          <w:sz w:val="22"/>
        </w:rPr>
        <w:t> </w:t>
      </w:r>
      <w:r>
        <w:rPr>
          <w:sz w:val="22"/>
        </w:rPr>
        <w:t>LGBTQ</w:t>
      </w:r>
      <w:r>
        <w:rPr>
          <w:spacing w:val="-9"/>
          <w:sz w:val="22"/>
        </w:rPr>
        <w:t> </w:t>
      </w:r>
      <w:r>
        <w:rPr>
          <w:spacing w:val="-2"/>
          <w:sz w:val="22"/>
        </w:rPr>
        <w:t>clients.</w:t>
      </w:r>
    </w:p>
    <w:p>
      <w:pPr>
        <w:pStyle w:val="ListParagraph"/>
        <w:numPr>
          <w:ilvl w:val="1"/>
          <w:numId w:val="47"/>
        </w:numPr>
        <w:tabs>
          <w:tab w:pos="1059" w:val="left" w:leader="none"/>
        </w:tabs>
        <w:spacing w:line="240" w:lineRule="auto" w:before="40" w:after="0"/>
        <w:ind w:left="1059" w:right="0" w:hanging="360"/>
        <w:jc w:val="left"/>
        <w:rPr>
          <w:sz w:val="22"/>
        </w:rPr>
      </w:pPr>
      <w:r>
        <w:rPr>
          <w:sz w:val="22"/>
        </w:rPr>
        <w:t>Designate</w:t>
      </w:r>
      <w:r>
        <w:rPr>
          <w:spacing w:val="-7"/>
          <w:sz w:val="22"/>
        </w:rPr>
        <w:t> </w:t>
      </w:r>
      <w:r>
        <w:rPr>
          <w:sz w:val="22"/>
        </w:rPr>
        <w:t>one</w:t>
      </w:r>
      <w:r>
        <w:rPr>
          <w:spacing w:val="-7"/>
          <w:sz w:val="22"/>
        </w:rPr>
        <w:t> </w:t>
      </w:r>
      <w:r>
        <w:rPr>
          <w:sz w:val="22"/>
        </w:rPr>
        <w:t>or</w:t>
      </w:r>
      <w:r>
        <w:rPr>
          <w:spacing w:val="-7"/>
          <w:sz w:val="22"/>
        </w:rPr>
        <w:t> </w:t>
      </w:r>
      <w:r>
        <w:rPr>
          <w:sz w:val="22"/>
        </w:rPr>
        <w:t>more</w:t>
      </w:r>
      <w:r>
        <w:rPr>
          <w:spacing w:val="-6"/>
          <w:sz w:val="22"/>
        </w:rPr>
        <w:t> </w:t>
      </w:r>
      <w:r>
        <w:rPr>
          <w:sz w:val="22"/>
        </w:rPr>
        <w:t>point</w:t>
      </w:r>
      <w:r>
        <w:rPr>
          <w:spacing w:val="-6"/>
          <w:sz w:val="22"/>
        </w:rPr>
        <w:t> </w:t>
      </w:r>
      <w:r>
        <w:rPr>
          <w:sz w:val="22"/>
        </w:rPr>
        <w:t>people</w:t>
      </w:r>
      <w:r>
        <w:rPr>
          <w:spacing w:val="-7"/>
          <w:sz w:val="22"/>
        </w:rPr>
        <w:t> </w:t>
      </w:r>
      <w:r>
        <w:rPr>
          <w:sz w:val="22"/>
        </w:rPr>
        <w:t>on</w:t>
      </w:r>
      <w:r>
        <w:rPr>
          <w:spacing w:val="-5"/>
          <w:sz w:val="22"/>
        </w:rPr>
        <w:t> </w:t>
      </w:r>
      <w:r>
        <w:rPr>
          <w:sz w:val="22"/>
        </w:rPr>
        <w:t>LGBTQ</w:t>
      </w:r>
      <w:r>
        <w:rPr>
          <w:spacing w:val="-6"/>
          <w:sz w:val="22"/>
        </w:rPr>
        <w:t> </w:t>
      </w:r>
      <w:r>
        <w:rPr>
          <w:spacing w:val="-2"/>
          <w:sz w:val="22"/>
        </w:rPr>
        <w:t>issues.</w:t>
      </w:r>
    </w:p>
    <w:p>
      <w:pPr>
        <w:pStyle w:val="ListParagraph"/>
        <w:numPr>
          <w:ilvl w:val="1"/>
          <w:numId w:val="47"/>
        </w:numPr>
        <w:tabs>
          <w:tab w:pos="1059" w:val="left" w:leader="none"/>
        </w:tabs>
        <w:spacing w:line="276" w:lineRule="auto" w:before="41" w:after="0"/>
        <w:ind w:left="1059" w:right="344" w:hanging="361"/>
        <w:jc w:val="left"/>
        <w:rPr>
          <w:sz w:val="22"/>
        </w:rPr>
      </w:pPr>
      <w:r>
        <w:rPr>
          <w:sz w:val="22"/>
        </w:rPr>
        <w:t>Ensure that legal case management systems include a field for chosen names and pronouns, and provide support on collecting sexual orientation, gender identity (SOGI), and other demographics.</w:t>
      </w:r>
    </w:p>
    <w:p>
      <w:pPr>
        <w:pStyle w:val="ListParagraph"/>
        <w:numPr>
          <w:ilvl w:val="1"/>
          <w:numId w:val="47"/>
        </w:numPr>
        <w:tabs>
          <w:tab w:pos="1059" w:val="left" w:leader="none"/>
        </w:tabs>
        <w:spacing w:line="255" w:lineRule="exact" w:before="0" w:after="0"/>
        <w:ind w:left="1059" w:right="0" w:hanging="360"/>
        <w:jc w:val="left"/>
        <w:rPr>
          <w:sz w:val="21"/>
        </w:rPr>
      </w:pPr>
      <w:r>
        <w:rPr>
          <w:sz w:val="21"/>
        </w:rPr>
        <w:t>Investigate</w:t>
      </w:r>
      <w:r>
        <w:rPr>
          <w:spacing w:val="-3"/>
          <w:sz w:val="21"/>
        </w:rPr>
        <w:t> </w:t>
      </w:r>
      <w:r>
        <w:rPr>
          <w:sz w:val="21"/>
        </w:rPr>
        <w:t>and</w:t>
      </w:r>
      <w:r>
        <w:rPr>
          <w:spacing w:val="-3"/>
          <w:sz w:val="21"/>
        </w:rPr>
        <w:t> </w:t>
      </w:r>
      <w:r>
        <w:rPr>
          <w:sz w:val="21"/>
        </w:rPr>
        <w:t>address</w:t>
      </w:r>
      <w:r>
        <w:rPr>
          <w:spacing w:val="-2"/>
          <w:sz w:val="21"/>
        </w:rPr>
        <w:t> </w:t>
      </w:r>
      <w:r>
        <w:rPr>
          <w:sz w:val="21"/>
        </w:rPr>
        <w:t>gaps</w:t>
      </w:r>
      <w:r>
        <w:rPr>
          <w:spacing w:val="-3"/>
          <w:sz w:val="21"/>
        </w:rPr>
        <w:t> </w:t>
      </w:r>
      <w:r>
        <w:rPr>
          <w:sz w:val="21"/>
        </w:rPr>
        <w:t>in</w:t>
      </w:r>
      <w:r>
        <w:rPr>
          <w:spacing w:val="-2"/>
          <w:sz w:val="21"/>
        </w:rPr>
        <w:t> </w:t>
      </w:r>
      <w:r>
        <w:rPr>
          <w:sz w:val="21"/>
        </w:rPr>
        <w:t>service</w:t>
      </w:r>
      <w:r>
        <w:rPr>
          <w:spacing w:val="-3"/>
          <w:sz w:val="21"/>
        </w:rPr>
        <w:t> </w:t>
      </w:r>
      <w:r>
        <w:rPr>
          <w:sz w:val="21"/>
        </w:rPr>
        <w:t>provision</w:t>
      </w:r>
      <w:r>
        <w:rPr>
          <w:spacing w:val="-2"/>
          <w:sz w:val="21"/>
        </w:rPr>
        <w:t> </w:t>
      </w:r>
      <w:r>
        <w:rPr>
          <w:sz w:val="21"/>
        </w:rPr>
        <w:t>for</w:t>
      </w:r>
      <w:r>
        <w:rPr>
          <w:spacing w:val="-3"/>
          <w:sz w:val="21"/>
        </w:rPr>
        <w:t> </w:t>
      </w:r>
      <w:r>
        <w:rPr>
          <w:sz w:val="21"/>
        </w:rPr>
        <w:t>immigrant</w:t>
      </w:r>
      <w:r>
        <w:rPr>
          <w:spacing w:val="-1"/>
          <w:sz w:val="21"/>
        </w:rPr>
        <w:t> </w:t>
      </w:r>
      <w:r>
        <w:rPr>
          <w:spacing w:val="-2"/>
          <w:sz w:val="21"/>
        </w:rPr>
        <w:t>youth.</w:t>
      </w:r>
    </w:p>
    <w:p>
      <w:pPr>
        <w:pStyle w:val="BodyText"/>
        <w:rPr>
          <w:sz w:val="20"/>
        </w:rPr>
      </w:pPr>
    </w:p>
    <w:p>
      <w:pPr>
        <w:pStyle w:val="BodyText"/>
        <w:spacing w:before="106"/>
        <w:rPr>
          <w:sz w:val="20"/>
        </w:rPr>
      </w:pPr>
      <w:r>
        <w:rPr/>
        <mc:AlternateContent>
          <mc:Choice Requires="wps">
            <w:drawing>
              <wp:anchor distT="0" distB="0" distL="0" distR="0" allowOverlap="1" layoutInCell="1" locked="0" behindDoc="1" simplePos="0" relativeHeight="487732224">
                <wp:simplePos x="0" y="0"/>
                <wp:positionH relativeFrom="page">
                  <wp:posOffset>889000</wp:posOffset>
                </wp:positionH>
                <wp:positionV relativeFrom="paragraph">
                  <wp:posOffset>237995</wp:posOffset>
                </wp:positionV>
                <wp:extent cx="6350" cy="12700"/>
                <wp:effectExtent l="0" t="0" r="0" b="0"/>
                <wp:wrapTopAndBottom/>
                <wp:docPr id="688" name="Graphic 688"/>
                <wp:cNvGraphicFramePr>
                  <a:graphicFrameLocks/>
                </wp:cNvGraphicFramePr>
                <a:graphic>
                  <a:graphicData uri="http://schemas.microsoft.com/office/word/2010/wordprocessingShape">
                    <wps:wsp>
                      <wps:cNvPr id="688" name="Graphic 688"/>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739807pt;width:.499pt;height:.962pt;mso-position-horizontal-relative:page;mso-position-vertical-relative:paragraph;z-index:-15584256;mso-wrap-distance-left:0;mso-wrap-distance-right:0" id="docshape585"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1"/>
        <w:rPr>
          <w:sz w:val="3"/>
        </w:rPr>
      </w:pPr>
      <w:r>
        <w:rPr/>
        <mc:AlternateContent>
          <mc:Choice Requires="wps">
            <w:drawing>
              <wp:anchor distT="0" distB="0" distL="0" distR="0" allowOverlap="1" layoutInCell="1" locked="0" behindDoc="1" simplePos="0" relativeHeight="487732736">
                <wp:simplePos x="0" y="0"/>
                <wp:positionH relativeFrom="page">
                  <wp:posOffset>897636</wp:posOffset>
                </wp:positionH>
                <wp:positionV relativeFrom="paragraph">
                  <wp:posOffset>45582</wp:posOffset>
                </wp:positionV>
                <wp:extent cx="5976620" cy="6350"/>
                <wp:effectExtent l="0" t="0" r="0" b="0"/>
                <wp:wrapTopAndBottom/>
                <wp:docPr id="689" name="Graphic 689"/>
                <wp:cNvGraphicFramePr>
                  <a:graphicFrameLocks/>
                </wp:cNvGraphicFramePr>
                <a:graphic>
                  <a:graphicData uri="http://schemas.microsoft.com/office/word/2010/wordprocessingShape">
                    <wps:wsp>
                      <wps:cNvPr id="689" name="Graphic 689"/>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89156pt;width:470.58pt;height:.481pt;mso-position-horizontal-relative:page;mso-position-vertical-relative:paragraph;z-index:-15583744;mso-wrap-distance-left:0;mso-wrap-distance-right:0" id="docshape586" filled="true" fillcolor="#4f81bc" stroked="false">
                <v:fill type="solid"/>
                <w10:wrap type="topAndBottom"/>
              </v:rect>
            </w:pict>
          </mc:Fallback>
        </mc:AlternateContent>
      </w:r>
    </w:p>
    <w:p>
      <w:pPr>
        <w:spacing w:line="276" w:lineRule="auto" w:before="241"/>
        <w:ind w:left="483" w:right="341" w:hanging="1"/>
        <w:jc w:val="both"/>
        <w:rPr>
          <w:sz w:val="21"/>
        </w:rPr>
      </w:pPr>
      <w:r>
        <w:rPr>
          <w:sz w:val="21"/>
        </w:rPr>
        <w:t>In FY 2024, the </w:t>
      </w:r>
      <w:r>
        <w:rPr>
          <w:sz w:val="22"/>
        </w:rPr>
        <w:t>Commission </w:t>
      </w:r>
      <w:r>
        <w:rPr>
          <w:sz w:val="21"/>
        </w:rPr>
        <w:t>was </w:t>
      </w:r>
      <w:r>
        <w:rPr>
          <w:sz w:val="22"/>
        </w:rPr>
        <w:t>pleased to </w:t>
      </w:r>
      <w:r>
        <w:rPr>
          <w:sz w:val="21"/>
        </w:rPr>
        <w:t>make </w:t>
      </w:r>
      <w:r>
        <w:rPr>
          <w:sz w:val="22"/>
        </w:rPr>
        <w:t>its first set of recommendations to the Committee for Public</w:t>
      </w:r>
      <w:r>
        <w:rPr>
          <w:spacing w:val="-6"/>
          <w:sz w:val="22"/>
        </w:rPr>
        <w:t> </w:t>
      </w:r>
      <w:r>
        <w:rPr>
          <w:sz w:val="22"/>
        </w:rPr>
        <w:t>Counsel</w:t>
      </w:r>
      <w:r>
        <w:rPr>
          <w:spacing w:val="-6"/>
          <w:sz w:val="22"/>
        </w:rPr>
        <w:t> </w:t>
      </w:r>
      <w:r>
        <w:rPr>
          <w:sz w:val="22"/>
        </w:rPr>
        <w:t>Services</w:t>
      </w:r>
      <w:r>
        <w:rPr>
          <w:spacing w:val="-5"/>
          <w:sz w:val="22"/>
        </w:rPr>
        <w:t> </w:t>
      </w:r>
      <w:r>
        <w:rPr>
          <w:sz w:val="22"/>
        </w:rPr>
        <w:t>(CPCS)</w:t>
      </w:r>
      <w:r>
        <w:rPr>
          <w:spacing w:val="-5"/>
          <w:sz w:val="22"/>
        </w:rPr>
        <w:t> </w:t>
      </w:r>
      <w:r>
        <w:rPr>
          <w:sz w:val="22"/>
        </w:rPr>
        <w:t>for</w:t>
      </w:r>
      <w:r>
        <w:rPr>
          <w:spacing w:val="-5"/>
          <w:sz w:val="22"/>
        </w:rPr>
        <w:t> </w:t>
      </w:r>
      <w:r>
        <w:rPr>
          <w:sz w:val="22"/>
        </w:rPr>
        <w:t>the</w:t>
      </w:r>
      <w:r>
        <w:rPr>
          <w:spacing w:val="-6"/>
          <w:sz w:val="22"/>
        </w:rPr>
        <w:t> </w:t>
      </w:r>
      <w:r>
        <w:rPr>
          <w:sz w:val="22"/>
        </w:rPr>
        <w:t>Children</w:t>
      </w:r>
      <w:r>
        <w:rPr>
          <w:spacing w:val="-6"/>
          <w:sz w:val="22"/>
        </w:rPr>
        <w:t> </w:t>
      </w:r>
      <w:r>
        <w:rPr>
          <w:sz w:val="22"/>
        </w:rPr>
        <w:t>and</w:t>
      </w:r>
      <w:r>
        <w:rPr>
          <w:spacing w:val="-6"/>
          <w:sz w:val="22"/>
        </w:rPr>
        <w:t> </w:t>
      </w:r>
      <w:r>
        <w:rPr>
          <w:sz w:val="22"/>
        </w:rPr>
        <w:t>Family</w:t>
      </w:r>
      <w:r>
        <w:rPr>
          <w:spacing w:val="-5"/>
          <w:sz w:val="22"/>
        </w:rPr>
        <w:t> </w:t>
      </w:r>
      <w:r>
        <w:rPr>
          <w:sz w:val="22"/>
        </w:rPr>
        <w:t>Law</w:t>
      </w:r>
      <w:r>
        <w:rPr>
          <w:spacing w:val="-5"/>
          <w:sz w:val="22"/>
        </w:rPr>
        <w:t> </w:t>
      </w:r>
      <w:r>
        <w:rPr>
          <w:sz w:val="22"/>
        </w:rPr>
        <w:t>Division</w:t>
      </w:r>
      <w:r>
        <w:rPr>
          <w:spacing w:val="-6"/>
          <w:sz w:val="22"/>
        </w:rPr>
        <w:t> </w:t>
      </w:r>
      <w:r>
        <w:rPr>
          <w:sz w:val="22"/>
        </w:rPr>
        <w:t>(CAFL).</w:t>
      </w:r>
      <w:r>
        <w:rPr>
          <w:spacing w:val="-7"/>
          <w:sz w:val="22"/>
        </w:rPr>
        <w:t> </w:t>
      </w:r>
      <w:r>
        <w:rPr>
          <w:sz w:val="22"/>
        </w:rPr>
        <w:t>This</w:t>
      </w:r>
      <w:r>
        <w:rPr>
          <w:spacing w:val="-5"/>
          <w:sz w:val="22"/>
        </w:rPr>
        <w:t> </w:t>
      </w:r>
      <w:r>
        <w:rPr>
          <w:sz w:val="22"/>
        </w:rPr>
        <w:t>year,</w:t>
      </w:r>
      <w:r>
        <w:rPr>
          <w:spacing w:val="-5"/>
          <w:sz w:val="22"/>
        </w:rPr>
        <w:t> </w:t>
      </w:r>
      <w:r>
        <w:rPr>
          <w:sz w:val="22"/>
        </w:rPr>
        <w:t>the</w:t>
      </w:r>
      <w:r>
        <w:rPr>
          <w:spacing w:val="-4"/>
          <w:sz w:val="22"/>
        </w:rPr>
        <w:t> </w:t>
      </w:r>
      <w:r>
        <w:rPr>
          <w:sz w:val="22"/>
        </w:rPr>
        <w:t>Commis</w:t>
      </w:r>
      <w:r>
        <w:rPr>
          <w:sz w:val="21"/>
        </w:rPr>
        <w:t>sion provides information on CPCS’ progress towards advancing these recommendations, as well as an additional recommendation to emphasize the needs of LGBTQ immigrant youth in state services.</w:t>
      </w:r>
    </w:p>
    <w:p>
      <w:pPr>
        <w:pStyle w:val="BodyText"/>
        <w:spacing w:line="276" w:lineRule="auto" w:before="240"/>
        <w:ind w:left="483" w:right="341"/>
        <w:jc w:val="both"/>
      </w:pPr>
      <w:r>
        <w:rPr/>
        <w:t>CAFL represents children and parents in care and protection cases in which the Department of Children and</w:t>
      </w:r>
      <w:r>
        <w:rPr>
          <w:spacing w:val="-7"/>
        </w:rPr>
        <w:t> </w:t>
      </w:r>
      <w:r>
        <w:rPr/>
        <w:t>Families</w:t>
      </w:r>
      <w:r>
        <w:rPr>
          <w:spacing w:val="-6"/>
        </w:rPr>
        <w:t> </w:t>
      </w:r>
      <w:r>
        <w:rPr/>
        <w:t>(DCF)</w:t>
      </w:r>
      <w:r>
        <w:rPr>
          <w:spacing w:val="-6"/>
        </w:rPr>
        <w:t> </w:t>
      </w:r>
      <w:r>
        <w:rPr/>
        <w:t>removes</w:t>
      </w:r>
      <w:r>
        <w:rPr>
          <w:spacing w:val="-6"/>
        </w:rPr>
        <w:t> </w:t>
      </w:r>
      <w:r>
        <w:rPr/>
        <w:t>children</w:t>
      </w:r>
      <w:r>
        <w:rPr>
          <w:spacing w:val="-7"/>
        </w:rPr>
        <w:t> </w:t>
      </w:r>
      <w:r>
        <w:rPr/>
        <w:t>from</w:t>
      </w:r>
      <w:r>
        <w:rPr>
          <w:spacing w:val="-7"/>
        </w:rPr>
        <w:t> </w:t>
      </w:r>
      <w:r>
        <w:rPr/>
        <w:t>their</w:t>
      </w:r>
      <w:r>
        <w:rPr>
          <w:spacing w:val="-6"/>
        </w:rPr>
        <w:t> </w:t>
      </w:r>
      <w:r>
        <w:rPr/>
        <w:t>homes</w:t>
      </w:r>
      <w:r>
        <w:rPr>
          <w:spacing w:val="-6"/>
        </w:rPr>
        <w:t> </w:t>
      </w:r>
      <w:r>
        <w:rPr/>
        <w:t>in</w:t>
      </w:r>
      <w:r>
        <w:rPr>
          <w:spacing w:val="-7"/>
        </w:rPr>
        <w:t> </w:t>
      </w:r>
      <w:r>
        <w:rPr/>
        <w:t>connection</w:t>
      </w:r>
      <w:r>
        <w:rPr>
          <w:spacing w:val="-7"/>
        </w:rPr>
        <w:t> </w:t>
      </w:r>
      <w:r>
        <w:rPr/>
        <w:t>with</w:t>
      </w:r>
      <w:r>
        <w:rPr>
          <w:spacing w:val="-6"/>
        </w:rPr>
        <w:t> </w:t>
      </w:r>
      <w:r>
        <w:rPr/>
        <w:t>allegations</w:t>
      </w:r>
      <w:r>
        <w:rPr>
          <w:spacing w:val="-6"/>
        </w:rPr>
        <w:t> </w:t>
      </w:r>
      <w:r>
        <w:rPr/>
        <w:t>of</w:t>
      </w:r>
      <w:r>
        <w:rPr>
          <w:spacing w:val="-6"/>
        </w:rPr>
        <w:t> </w:t>
      </w:r>
      <w:r>
        <w:rPr/>
        <w:t>neglect</w:t>
      </w:r>
      <w:r>
        <w:rPr>
          <w:spacing w:val="-7"/>
        </w:rPr>
        <w:t> </w:t>
      </w:r>
      <w:r>
        <w:rPr/>
        <w:t>or</w:t>
      </w:r>
      <w:r>
        <w:rPr>
          <w:spacing w:val="-6"/>
        </w:rPr>
        <w:t> </w:t>
      </w:r>
      <w:r>
        <w:rPr/>
        <w:t>abuse. CAFL</w:t>
      </w:r>
      <w:r>
        <w:rPr>
          <w:spacing w:val="-2"/>
        </w:rPr>
        <w:t> </w:t>
      </w:r>
      <w:r>
        <w:rPr/>
        <w:t>also</w:t>
      </w:r>
      <w:r>
        <w:rPr>
          <w:spacing w:val="-1"/>
        </w:rPr>
        <w:t> </w:t>
      </w:r>
      <w:r>
        <w:rPr/>
        <w:t>represents children</w:t>
      </w:r>
      <w:r>
        <w:rPr>
          <w:spacing w:val="-2"/>
        </w:rPr>
        <w:t> </w:t>
      </w:r>
      <w:r>
        <w:rPr/>
        <w:t>and</w:t>
      </w:r>
      <w:r>
        <w:rPr>
          <w:spacing w:val="-1"/>
        </w:rPr>
        <w:t> </w:t>
      </w:r>
      <w:r>
        <w:rPr/>
        <w:t>parents</w:t>
      </w:r>
      <w:r>
        <w:rPr>
          <w:spacing w:val="-1"/>
        </w:rPr>
        <w:t> </w:t>
      </w:r>
      <w:r>
        <w:rPr/>
        <w:t>in</w:t>
      </w:r>
      <w:r>
        <w:rPr>
          <w:spacing w:val="-1"/>
        </w:rPr>
        <w:t> </w:t>
      </w:r>
      <w:r>
        <w:rPr/>
        <w:t>Child</w:t>
      </w:r>
      <w:r>
        <w:rPr>
          <w:spacing w:val="-1"/>
        </w:rPr>
        <w:t> </w:t>
      </w:r>
      <w:r>
        <w:rPr/>
        <w:t>Requiring</w:t>
      </w:r>
      <w:r>
        <w:rPr>
          <w:spacing w:val="-1"/>
        </w:rPr>
        <w:t> </w:t>
      </w:r>
      <w:r>
        <w:rPr/>
        <w:t>Assistance</w:t>
      </w:r>
      <w:r>
        <w:rPr>
          <w:spacing w:val="-1"/>
        </w:rPr>
        <w:t> </w:t>
      </w:r>
      <w:r>
        <w:rPr/>
        <w:t>cases.</w:t>
      </w:r>
      <w:r>
        <w:rPr>
          <w:spacing w:val="-2"/>
        </w:rPr>
        <w:t> </w:t>
      </w:r>
      <w:r>
        <w:rPr/>
        <w:t>CAFL</w:t>
      </w:r>
      <w:r>
        <w:rPr>
          <w:spacing w:val="-2"/>
        </w:rPr>
        <w:t> </w:t>
      </w:r>
      <w:r>
        <w:rPr/>
        <w:t>lawyers</w:t>
      </w:r>
      <w:r>
        <w:rPr>
          <w:spacing w:val="-1"/>
        </w:rPr>
        <w:t> </w:t>
      </w:r>
      <w:r>
        <w:rPr/>
        <w:t>include</w:t>
      </w:r>
      <w:r>
        <w:rPr>
          <w:spacing w:val="-1"/>
        </w:rPr>
        <w:t> </w:t>
      </w:r>
      <w:r>
        <w:rPr/>
        <w:t>both private attorneys and CPCS staff members.</w:t>
      </w:r>
    </w:p>
    <w:p>
      <w:pPr>
        <w:pStyle w:val="BodyText"/>
        <w:spacing w:line="276" w:lineRule="auto" w:before="240"/>
        <w:ind w:left="483" w:right="342"/>
        <w:jc w:val="both"/>
      </w:pPr>
      <w:r>
        <w:rPr/>
        <w:t>LGBTQ</w:t>
      </w:r>
      <w:r>
        <w:rPr>
          <w:spacing w:val="-2"/>
        </w:rPr>
        <w:t> </w:t>
      </w:r>
      <w:r>
        <w:rPr/>
        <w:t>youth</w:t>
      </w:r>
      <w:r>
        <w:rPr>
          <w:spacing w:val="-2"/>
        </w:rPr>
        <w:t> </w:t>
      </w:r>
      <w:r>
        <w:rPr/>
        <w:t>in</w:t>
      </w:r>
      <w:r>
        <w:rPr>
          <w:spacing w:val="-3"/>
        </w:rPr>
        <w:t> </w:t>
      </w:r>
      <w:r>
        <w:rPr/>
        <w:t>foster</w:t>
      </w:r>
      <w:r>
        <w:rPr>
          <w:spacing w:val="-1"/>
        </w:rPr>
        <w:t> </w:t>
      </w:r>
      <w:r>
        <w:rPr/>
        <w:t>care</w:t>
      </w:r>
      <w:r>
        <w:rPr>
          <w:spacing w:val="-3"/>
        </w:rPr>
        <w:t> </w:t>
      </w:r>
      <w:r>
        <w:rPr/>
        <w:t>routinely</w:t>
      </w:r>
      <w:r>
        <w:rPr>
          <w:spacing w:val="-3"/>
        </w:rPr>
        <w:t> </w:t>
      </w:r>
      <w:r>
        <w:rPr/>
        <w:t>face</w:t>
      </w:r>
      <w:r>
        <w:rPr>
          <w:spacing w:val="-3"/>
        </w:rPr>
        <w:t> </w:t>
      </w:r>
      <w:r>
        <w:rPr/>
        <w:t>violence,</w:t>
      </w:r>
      <w:r>
        <w:rPr>
          <w:spacing w:val="-1"/>
        </w:rPr>
        <w:t> </w:t>
      </w:r>
      <w:r>
        <w:rPr/>
        <w:t>harassment,</w:t>
      </w:r>
      <w:r>
        <w:rPr>
          <w:spacing w:val="-2"/>
        </w:rPr>
        <w:t> </w:t>
      </w:r>
      <w:r>
        <w:rPr/>
        <w:t>and</w:t>
      </w:r>
      <w:r>
        <w:rPr>
          <w:spacing w:val="-3"/>
        </w:rPr>
        <w:t> </w:t>
      </w:r>
      <w:r>
        <w:rPr/>
        <w:t>discrimination.</w:t>
      </w:r>
      <w:r>
        <w:rPr>
          <w:spacing w:val="-2"/>
        </w:rPr>
        <w:t> </w:t>
      </w:r>
      <w:r>
        <w:rPr/>
        <w:t>The</w:t>
      </w:r>
      <w:r>
        <w:rPr>
          <w:spacing w:val="-2"/>
        </w:rPr>
        <w:t> </w:t>
      </w:r>
      <w:r>
        <w:rPr/>
        <w:t>Commission</w:t>
      </w:r>
      <w:r>
        <w:rPr>
          <w:spacing w:val="-3"/>
        </w:rPr>
        <w:t> </w:t>
      </w:r>
      <w:r>
        <w:rPr/>
        <w:t>has received numerous reports from youth, advocates, and providers about LGBTQ youth who have been abused in congregate care and misgendered and bullied in foster homes</w:t>
      </w:r>
      <w:hyperlink w:history="true" w:anchor="_bookmark655">
        <w:r>
          <w:rPr/>
          <w:t>.</w:t>
        </w:r>
        <w:r>
          <w:rPr>
            <w:vertAlign w:val="superscript"/>
          </w:rPr>
          <w:t>1</w:t>
        </w:r>
      </w:hyperlink>
      <w:r>
        <w:rPr>
          <w:vertAlign w:val="baseline"/>
        </w:rPr>
        <w:t> Many LGBTQ youth in foster care</w:t>
      </w:r>
      <w:r>
        <w:rPr>
          <w:spacing w:val="-10"/>
          <w:vertAlign w:val="baseline"/>
        </w:rPr>
        <w:t> </w:t>
      </w:r>
      <w:r>
        <w:rPr>
          <w:vertAlign w:val="baseline"/>
        </w:rPr>
        <w:t>also</w:t>
      </w:r>
      <w:r>
        <w:rPr>
          <w:spacing w:val="-9"/>
          <w:vertAlign w:val="baseline"/>
        </w:rPr>
        <w:t> </w:t>
      </w:r>
      <w:r>
        <w:rPr>
          <w:vertAlign w:val="baseline"/>
        </w:rPr>
        <w:t>face</w:t>
      </w:r>
      <w:r>
        <w:rPr>
          <w:spacing w:val="-9"/>
          <w:vertAlign w:val="baseline"/>
        </w:rPr>
        <w:t> </w:t>
      </w:r>
      <w:r>
        <w:rPr>
          <w:vertAlign w:val="baseline"/>
        </w:rPr>
        <w:t>harassment,</w:t>
      </w:r>
      <w:r>
        <w:rPr>
          <w:spacing w:val="-8"/>
          <w:vertAlign w:val="baseline"/>
        </w:rPr>
        <w:t> </w:t>
      </w:r>
      <w:r>
        <w:rPr>
          <w:vertAlign w:val="baseline"/>
        </w:rPr>
        <w:t>discrimination,</w:t>
      </w:r>
      <w:r>
        <w:rPr>
          <w:spacing w:val="-10"/>
          <w:vertAlign w:val="baseline"/>
        </w:rPr>
        <w:t> </w:t>
      </w:r>
      <w:r>
        <w:rPr>
          <w:vertAlign w:val="baseline"/>
        </w:rPr>
        <w:t>and</w:t>
      </w:r>
      <w:r>
        <w:rPr>
          <w:spacing w:val="-10"/>
          <w:vertAlign w:val="baseline"/>
        </w:rPr>
        <w:t> </w:t>
      </w:r>
      <w:r>
        <w:rPr>
          <w:vertAlign w:val="baseline"/>
        </w:rPr>
        <w:t>unfair</w:t>
      </w:r>
      <w:r>
        <w:rPr>
          <w:spacing w:val="-9"/>
          <w:vertAlign w:val="baseline"/>
        </w:rPr>
        <w:t> </w:t>
      </w:r>
      <w:r>
        <w:rPr>
          <w:vertAlign w:val="baseline"/>
        </w:rPr>
        <w:t>disciplinary</w:t>
      </w:r>
      <w:r>
        <w:rPr>
          <w:spacing w:val="-9"/>
          <w:vertAlign w:val="baseline"/>
        </w:rPr>
        <w:t> </w:t>
      </w:r>
      <w:r>
        <w:rPr>
          <w:vertAlign w:val="baseline"/>
        </w:rPr>
        <w:t>practices</w:t>
      </w:r>
      <w:r>
        <w:rPr>
          <w:spacing w:val="-10"/>
          <w:vertAlign w:val="baseline"/>
        </w:rPr>
        <w:t> </w:t>
      </w:r>
      <w:r>
        <w:rPr>
          <w:vertAlign w:val="baseline"/>
        </w:rPr>
        <w:t>at</w:t>
      </w:r>
      <w:r>
        <w:rPr>
          <w:spacing w:val="-10"/>
          <w:vertAlign w:val="baseline"/>
        </w:rPr>
        <w:t> </w:t>
      </w:r>
      <w:r>
        <w:rPr>
          <w:vertAlign w:val="baseline"/>
        </w:rPr>
        <w:t>school</w:t>
      </w:r>
      <w:hyperlink w:history="true" w:anchor="_bookmark655">
        <w:r>
          <w:rPr>
            <w:vertAlign w:val="baseline"/>
          </w:rPr>
          <w:t>.</w:t>
        </w:r>
        <w:r>
          <w:rPr>
            <w:vertAlign w:val="superscript"/>
          </w:rPr>
          <w:t>2</w:t>
        </w:r>
      </w:hyperlink>
      <w:r>
        <w:rPr>
          <w:spacing w:val="-10"/>
          <w:vertAlign w:val="baseline"/>
        </w:rPr>
        <w:t> </w:t>
      </w:r>
      <w:r>
        <w:rPr>
          <w:vertAlign w:val="baseline"/>
        </w:rPr>
        <w:t>In</w:t>
      </w:r>
      <w:r>
        <w:rPr>
          <w:spacing w:val="-9"/>
          <w:vertAlign w:val="baseline"/>
        </w:rPr>
        <w:t> </w:t>
      </w:r>
      <w:r>
        <w:rPr>
          <w:vertAlign w:val="baseline"/>
        </w:rPr>
        <w:t>many</w:t>
      </w:r>
      <w:r>
        <w:rPr>
          <w:spacing w:val="-10"/>
          <w:vertAlign w:val="baseline"/>
        </w:rPr>
        <w:t> </w:t>
      </w:r>
      <w:r>
        <w:rPr>
          <w:vertAlign w:val="baseline"/>
        </w:rPr>
        <w:t>cases,</w:t>
      </w:r>
      <w:r>
        <w:rPr>
          <w:spacing w:val="-10"/>
          <w:vertAlign w:val="baseline"/>
        </w:rPr>
        <w:t> </w:t>
      </w:r>
      <w:r>
        <w:rPr>
          <w:vertAlign w:val="baseline"/>
        </w:rPr>
        <w:t>their parents and other caregivers don’t receive support on how to affirm LGBTQ young people or meet their healthcare needs; and, youth who want a legal name change but age out without one face difficulty in getting identity documents consistent with their name and gender identity - a situation that creates challenges</w:t>
      </w:r>
      <w:r>
        <w:rPr>
          <w:spacing w:val="-4"/>
          <w:vertAlign w:val="baseline"/>
        </w:rPr>
        <w:t> </w:t>
      </w:r>
      <w:r>
        <w:rPr>
          <w:vertAlign w:val="baseline"/>
        </w:rPr>
        <w:t>in</w:t>
      </w:r>
      <w:r>
        <w:rPr>
          <w:spacing w:val="-3"/>
          <w:vertAlign w:val="baseline"/>
        </w:rPr>
        <w:t> </w:t>
      </w:r>
      <w:r>
        <w:rPr>
          <w:vertAlign w:val="baseline"/>
        </w:rPr>
        <w:t>obtaining</w:t>
      </w:r>
      <w:r>
        <w:rPr>
          <w:spacing w:val="-4"/>
          <w:vertAlign w:val="baseline"/>
        </w:rPr>
        <w:t> </w:t>
      </w:r>
      <w:r>
        <w:rPr>
          <w:vertAlign w:val="baseline"/>
        </w:rPr>
        <w:t>employment,</w:t>
      </w:r>
      <w:r>
        <w:rPr>
          <w:spacing w:val="-3"/>
          <w:vertAlign w:val="baseline"/>
        </w:rPr>
        <w:t> </w:t>
      </w:r>
      <w:r>
        <w:rPr>
          <w:vertAlign w:val="baseline"/>
        </w:rPr>
        <w:t>engaging</w:t>
      </w:r>
      <w:r>
        <w:rPr>
          <w:spacing w:val="-4"/>
          <w:vertAlign w:val="baseline"/>
        </w:rPr>
        <w:t> </w:t>
      </w:r>
      <w:r>
        <w:rPr>
          <w:vertAlign w:val="baseline"/>
        </w:rPr>
        <w:t>in</w:t>
      </w:r>
      <w:r>
        <w:rPr>
          <w:spacing w:val="-4"/>
          <w:vertAlign w:val="baseline"/>
        </w:rPr>
        <w:t> </w:t>
      </w:r>
      <w:r>
        <w:rPr>
          <w:vertAlign w:val="baseline"/>
        </w:rPr>
        <w:t>educational</w:t>
      </w:r>
      <w:r>
        <w:rPr>
          <w:spacing w:val="-4"/>
          <w:vertAlign w:val="baseline"/>
        </w:rPr>
        <w:t> </w:t>
      </w:r>
      <w:r>
        <w:rPr>
          <w:vertAlign w:val="baseline"/>
        </w:rPr>
        <w:t>programs,</w:t>
      </w:r>
      <w:r>
        <w:rPr>
          <w:spacing w:val="-5"/>
          <w:vertAlign w:val="baseline"/>
        </w:rPr>
        <w:t> </w:t>
      </w:r>
      <w:r>
        <w:rPr>
          <w:vertAlign w:val="baseline"/>
        </w:rPr>
        <w:t>accessing</w:t>
      </w:r>
      <w:r>
        <w:rPr>
          <w:spacing w:val="-4"/>
          <w:vertAlign w:val="baseline"/>
        </w:rPr>
        <w:t> </w:t>
      </w:r>
      <w:r>
        <w:rPr>
          <w:vertAlign w:val="baseline"/>
        </w:rPr>
        <w:t>services,</w:t>
      </w:r>
      <w:r>
        <w:rPr>
          <w:spacing w:val="-4"/>
          <w:vertAlign w:val="baseline"/>
        </w:rPr>
        <w:t> </w:t>
      </w:r>
      <w:r>
        <w:rPr>
          <w:vertAlign w:val="baseline"/>
        </w:rPr>
        <w:t>and</w:t>
      </w:r>
      <w:r>
        <w:rPr>
          <w:spacing w:val="-5"/>
          <w:vertAlign w:val="baseline"/>
        </w:rPr>
        <w:t> </w:t>
      </w:r>
      <w:r>
        <w:rPr>
          <w:vertAlign w:val="baseline"/>
        </w:rPr>
        <w:t>pursuing other opportunities.</w:t>
      </w:r>
    </w:p>
    <w:p>
      <w:pPr>
        <w:pStyle w:val="BodyText"/>
        <w:spacing w:line="276" w:lineRule="auto" w:before="239"/>
        <w:ind w:left="483" w:right="340"/>
        <w:jc w:val="both"/>
      </w:pPr>
      <w:r>
        <w:rPr/>
        <w:t>CAFL lawyers have a critical role to ensure that LGBTQ youth have their rights respected while in foster care and that there is appropriate support for them in reunifying with their families, integrating into a new home, or aging out of the system.</w:t>
      </w:r>
    </w:p>
    <w:p>
      <w:pPr>
        <w:spacing w:after="0" w:line="276" w:lineRule="auto"/>
        <w:jc w:val="both"/>
        <w:sectPr>
          <w:headerReference w:type="default" r:id="rId773"/>
          <w:footerReference w:type="default" r:id="rId774"/>
          <w:pgSz w:w="12240" w:h="15840"/>
          <w:pgMar w:header="804" w:footer="1263" w:top="1000" w:bottom="1460" w:left="960" w:right="1100"/>
        </w:sectPr>
      </w:pPr>
    </w:p>
    <w:p>
      <w:pPr>
        <w:spacing w:before="138"/>
        <w:ind w:left="483" w:right="0" w:firstLine="0"/>
        <w:jc w:val="left"/>
        <w:rPr>
          <w:sz w:val="28"/>
        </w:rPr>
      </w:pPr>
      <w:r>
        <w:rPr>
          <w:color w:val="365F91"/>
          <w:sz w:val="28"/>
        </w:rPr>
        <w:t>FY</w:t>
      </w:r>
      <w:r>
        <w:rPr>
          <w:color w:val="365F91"/>
          <w:spacing w:val="-9"/>
          <w:sz w:val="28"/>
        </w:rPr>
        <w:t> </w:t>
      </w:r>
      <w:r>
        <w:rPr>
          <w:color w:val="365F91"/>
          <w:sz w:val="28"/>
        </w:rPr>
        <w:t>2025</w:t>
      </w:r>
      <w:r>
        <w:rPr>
          <w:color w:val="365F91"/>
          <w:spacing w:val="-9"/>
          <w:sz w:val="28"/>
        </w:rPr>
        <w:t> </w:t>
      </w:r>
      <w:r>
        <w:rPr>
          <w:color w:val="365F91"/>
          <w:sz w:val="28"/>
        </w:rPr>
        <w:t>Expanded</w:t>
      </w:r>
      <w:r>
        <w:rPr>
          <w:color w:val="365F91"/>
          <w:spacing w:val="-9"/>
          <w:sz w:val="28"/>
        </w:rPr>
        <w:t> </w:t>
      </w:r>
      <w:r>
        <w:rPr>
          <w:color w:val="365F91"/>
          <w:sz w:val="28"/>
        </w:rPr>
        <w:t>CPCS</w:t>
      </w:r>
      <w:r>
        <w:rPr>
          <w:color w:val="365F91"/>
          <w:spacing w:val="-9"/>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733248">
                <wp:simplePos x="0" y="0"/>
                <wp:positionH relativeFrom="page">
                  <wp:posOffset>897636</wp:posOffset>
                </wp:positionH>
                <wp:positionV relativeFrom="paragraph">
                  <wp:posOffset>44515</wp:posOffset>
                </wp:positionV>
                <wp:extent cx="5976620" cy="6350"/>
                <wp:effectExtent l="0" t="0" r="0" b="0"/>
                <wp:wrapTopAndBottom/>
                <wp:docPr id="690" name="Graphic 690"/>
                <wp:cNvGraphicFramePr>
                  <a:graphicFrameLocks/>
                </wp:cNvGraphicFramePr>
                <a:graphic>
                  <a:graphicData uri="http://schemas.microsoft.com/office/word/2010/wordprocessingShape">
                    <wps:wsp>
                      <wps:cNvPr id="690" name="Graphic 690"/>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05156pt;width:470.58pt;height:.48pt;mso-position-horizontal-relative:page;mso-position-vertical-relative:paragraph;z-index:-15583232;mso-wrap-distance-left:0;mso-wrap-distance-right:0" id="docshape587" filled="true" fillcolor="#4f81bc" stroked="false">
                <v:fill type="solid"/>
                <w10:wrap type="topAndBottom"/>
              </v:rect>
            </w:pict>
          </mc:Fallback>
        </mc:AlternateContent>
      </w:r>
    </w:p>
    <w:p>
      <w:pPr>
        <w:numPr>
          <w:ilvl w:val="0"/>
          <w:numId w:val="48"/>
        </w:numPr>
        <w:tabs>
          <w:tab w:pos="481" w:val="left" w:leader="none"/>
        </w:tabs>
        <w:spacing w:before="241"/>
        <w:ind w:left="481" w:right="0" w:hanging="358"/>
        <w:jc w:val="left"/>
        <w:rPr>
          <w:b/>
          <w:sz w:val="22"/>
        </w:rPr>
      </w:pPr>
      <w:r>
        <w:rPr>
          <w:b/>
          <w:sz w:val="22"/>
        </w:rPr>
        <w:t>Address</w:t>
      </w:r>
      <w:r>
        <w:rPr>
          <w:b/>
          <w:spacing w:val="-11"/>
          <w:sz w:val="22"/>
        </w:rPr>
        <w:t> </w:t>
      </w:r>
      <w:r>
        <w:rPr>
          <w:b/>
          <w:sz w:val="22"/>
        </w:rPr>
        <w:t>expectations</w:t>
      </w:r>
      <w:r>
        <w:rPr>
          <w:b/>
          <w:spacing w:val="-9"/>
          <w:sz w:val="22"/>
        </w:rPr>
        <w:t> </w:t>
      </w:r>
      <w:r>
        <w:rPr>
          <w:b/>
          <w:sz w:val="22"/>
        </w:rPr>
        <w:t>for</w:t>
      </w:r>
      <w:r>
        <w:rPr>
          <w:b/>
          <w:spacing w:val="-10"/>
          <w:sz w:val="22"/>
        </w:rPr>
        <w:t> </w:t>
      </w:r>
      <w:r>
        <w:rPr>
          <w:b/>
          <w:sz w:val="22"/>
        </w:rPr>
        <w:t>representing</w:t>
      </w:r>
      <w:r>
        <w:rPr>
          <w:b/>
          <w:spacing w:val="-9"/>
          <w:sz w:val="22"/>
        </w:rPr>
        <w:t> </w:t>
      </w:r>
      <w:r>
        <w:rPr>
          <w:b/>
          <w:sz w:val="22"/>
        </w:rPr>
        <w:t>LGBTQ</w:t>
      </w:r>
      <w:r>
        <w:rPr>
          <w:b/>
          <w:spacing w:val="-10"/>
          <w:sz w:val="22"/>
        </w:rPr>
        <w:t> </w:t>
      </w:r>
      <w:r>
        <w:rPr>
          <w:b/>
          <w:sz w:val="22"/>
        </w:rPr>
        <w:t>clients</w:t>
      </w:r>
      <w:r>
        <w:rPr>
          <w:b/>
          <w:spacing w:val="-10"/>
          <w:sz w:val="22"/>
        </w:rPr>
        <w:t> </w:t>
      </w:r>
      <w:r>
        <w:rPr>
          <w:b/>
          <w:sz w:val="22"/>
        </w:rPr>
        <w:t>within</w:t>
      </w:r>
      <w:r>
        <w:rPr>
          <w:b/>
          <w:spacing w:val="-9"/>
          <w:sz w:val="22"/>
        </w:rPr>
        <w:t> </w:t>
      </w:r>
      <w:r>
        <w:rPr>
          <w:b/>
          <w:sz w:val="22"/>
        </w:rPr>
        <w:t>the</w:t>
      </w:r>
      <w:r>
        <w:rPr>
          <w:b/>
          <w:spacing w:val="-9"/>
          <w:sz w:val="22"/>
        </w:rPr>
        <w:t> </w:t>
      </w:r>
      <w:r>
        <w:rPr>
          <w:b/>
          <w:sz w:val="22"/>
        </w:rPr>
        <w:t>CAFL</w:t>
      </w:r>
      <w:r>
        <w:rPr>
          <w:b/>
          <w:spacing w:val="-9"/>
          <w:sz w:val="22"/>
        </w:rPr>
        <w:t> </w:t>
      </w:r>
      <w:r>
        <w:rPr>
          <w:b/>
          <w:sz w:val="22"/>
        </w:rPr>
        <w:t>Performance</w:t>
      </w:r>
      <w:r>
        <w:rPr>
          <w:b/>
          <w:spacing w:val="-10"/>
          <w:sz w:val="22"/>
        </w:rPr>
        <w:t> </w:t>
      </w:r>
      <w:r>
        <w:rPr>
          <w:b/>
          <w:spacing w:val="-2"/>
          <w:sz w:val="22"/>
        </w:rPr>
        <w:t>Standards.</w:t>
      </w:r>
    </w:p>
    <w:p>
      <w:pPr>
        <w:pStyle w:val="BodyText"/>
        <w:spacing w:before="13"/>
        <w:rPr>
          <w:b/>
        </w:rPr>
      </w:pPr>
    </w:p>
    <w:p>
      <w:pPr>
        <w:pStyle w:val="BodyText"/>
        <w:spacing w:line="276" w:lineRule="auto"/>
        <w:ind w:left="483" w:right="342"/>
        <w:jc w:val="both"/>
      </w:pPr>
      <w:r>
        <w:rPr/>
        <w:t>The Commission recommends that CAFL include in its Performance Standards expectations around providing services free from discrimination and bias on the basis of sexual orientation, gender identity, race, and ethnicity. The Commission encourages CAFL to continue to illustrate what such expectations include - for example, using the appropriate names and pronouns for clients, addressing needs such as name</w:t>
      </w:r>
      <w:r>
        <w:rPr>
          <w:spacing w:val="-13"/>
        </w:rPr>
        <w:t> </w:t>
      </w:r>
      <w:r>
        <w:rPr/>
        <w:t>and</w:t>
      </w:r>
      <w:r>
        <w:rPr>
          <w:spacing w:val="-12"/>
        </w:rPr>
        <w:t> </w:t>
      </w:r>
      <w:r>
        <w:rPr/>
        <w:t>gender</w:t>
      </w:r>
      <w:r>
        <w:rPr>
          <w:spacing w:val="-13"/>
        </w:rPr>
        <w:t> </w:t>
      </w:r>
      <w:r>
        <w:rPr/>
        <w:t>marker</w:t>
      </w:r>
      <w:r>
        <w:rPr>
          <w:spacing w:val="-12"/>
        </w:rPr>
        <w:t> </w:t>
      </w:r>
      <w:r>
        <w:rPr/>
        <w:t>changes,</w:t>
      </w:r>
      <w:r>
        <w:rPr>
          <w:spacing w:val="-13"/>
        </w:rPr>
        <w:t> </w:t>
      </w:r>
      <w:r>
        <w:rPr/>
        <w:t>and</w:t>
      </w:r>
      <w:r>
        <w:rPr>
          <w:spacing w:val="-11"/>
        </w:rPr>
        <w:t> </w:t>
      </w:r>
      <w:r>
        <w:rPr/>
        <w:t>engaging</w:t>
      </w:r>
      <w:r>
        <w:rPr>
          <w:spacing w:val="-12"/>
        </w:rPr>
        <w:t> </w:t>
      </w:r>
      <w:r>
        <w:rPr/>
        <w:t>in</w:t>
      </w:r>
      <w:r>
        <w:rPr>
          <w:spacing w:val="-13"/>
        </w:rPr>
        <w:t> </w:t>
      </w:r>
      <w:r>
        <w:rPr/>
        <w:t>training,</w:t>
      </w:r>
      <w:r>
        <w:rPr>
          <w:spacing w:val="-11"/>
        </w:rPr>
        <w:t> </w:t>
      </w:r>
      <w:r>
        <w:rPr/>
        <w:t>continuing</w:t>
      </w:r>
      <w:r>
        <w:rPr>
          <w:spacing w:val="-13"/>
        </w:rPr>
        <w:t> </w:t>
      </w:r>
      <w:r>
        <w:rPr/>
        <w:t>legal</w:t>
      </w:r>
      <w:r>
        <w:rPr>
          <w:spacing w:val="-12"/>
        </w:rPr>
        <w:t> </w:t>
      </w:r>
      <w:r>
        <w:rPr/>
        <w:t>education</w:t>
      </w:r>
      <w:r>
        <w:rPr>
          <w:spacing w:val="-12"/>
        </w:rPr>
        <w:t> </w:t>
      </w:r>
      <w:r>
        <w:rPr/>
        <w:t>programming,</w:t>
      </w:r>
      <w:r>
        <w:rPr>
          <w:spacing w:val="-13"/>
        </w:rPr>
        <w:t> </w:t>
      </w:r>
      <w:r>
        <w:rPr/>
        <w:t>and other opportunities to increase cultural competency. In its March 2024 meeting with the Commission, CAFL indicated that they have made strides to make their language more gender-neutral by removing gendered language from their documentation and ensuring that attorneys are checking in with clients around pronouns.</w:t>
      </w:r>
    </w:p>
    <w:p>
      <w:pPr>
        <w:pStyle w:val="BodyText"/>
        <w:spacing w:line="276" w:lineRule="auto" w:before="239"/>
        <w:ind w:left="483" w:right="341"/>
        <w:jc w:val="both"/>
      </w:pPr>
      <w:r>
        <w:rPr/>
        <w:t>As part of this work, the Commission encourages CAFL to identify how it will evaluate attorney performance in this area and how it will respond when attorneys are not meeting expectations. That should include ensuring youth clients (and their adult allies) have easy access to CAFL’s complaint forms or</w:t>
      </w:r>
      <w:r>
        <w:rPr>
          <w:spacing w:val="-13"/>
        </w:rPr>
        <w:t> </w:t>
      </w:r>
      <w:r>
        <w:rPr/>
        <w:t>other</w:t>
      </w:r>
      <w:r>
        <w:rPr>
          <w:spacing w:val="-12"/>
        </w:rPr>
        <w:t> </w:t>
      </w:r>
      <w:r>
        <w:rPr/>
        <w:t>mechanisms</w:t>
      </w:r>
      <w:r>
        <w:rPr>
          <w:spacing w:val="-13"/>
        </w:rPr>
        <w:t> </w:t>
      </w:r>
      <w:r>
        <w:rPr/>
        <w:t>for</w:t>
      </w:r>
      <w:r>
        <w:rPr>
          <w:spacing w:val="-12"/>
        </w:rPr>
        <w:t> </w:t>
      </w:r>
      <w:r>
        <w:rPr/>
        <w:t>reporting</w:t>
      </w:r>
      <w:r>
        <w:rPr>
          <w:spacing w:val="-13"/>
        </w:rPr>
        <w:t> </w:t>
      </w:r>
      <w:r>
        <w:rPr/>
        <w:t>when</w:t>
      </w:r>
      <w:r>
        <w:rPr>
          <w:spacing w:val="-12"/>
        </w:rPr>
        <w:t> </w:t>
      </w:r>
      <w:r>
        <w:rPr/>
        <w:t>attorneys</w:t>
      </w:r>
      <w:r>
        <w:rPr>
          <w:spacing w:val="-13"/>
        </w:rPr>
        <w:t> </w:t>
      </w:r>
      <w:r>
        <w:rPr/>
        <w:t>contribute</w:t>
      </w:r>
      <w:r>
        <w:rPr>
          <w:spacing w:val="-12"/>
        </w:rPr>
        <w:t> </w:t>
      </w:r>
      <w:r>
        <w:rPr/>
        <w:t>to</w:t>
      </w:r>
      <w:r>
        <w:rPr>
          <w:spacing w:val="-12"/>
        </w:rPr>
        <w:t> </w:t>
      </w:r>
      <w:r>
        <w:rPr/>
        <w:t>bias</w:t>
      </w:r>
      <w:r>
        <w:rPr>
          <w:spacing w:val="-13"/>
        </w:rPr>
        <w:t> </w:t>
      </w:r>
      <w:r>
        <w:rPr/>
        <w:t>or</w:t>
      </w:r>
      <w:r>
        <w:rPr>
          <w:spacing w:val="-12"/>
        </w:rPr>
        <w:t> </w:t>
      </w:r>
      <w:r>
        <w:rPr/>
        <w:t>discrimination</w:t>
      </w:r>
      <w:r>
        <w:rPr>
          <w:spacing w:val="-13"/>
        </w:rPr>
        <w:t> </w:t>
      </w:r>
      <w:r>
        <w:rPr/>
        <w:t>in</w:t>
      </w:r>
      <w:r>
        <w:rPr>
          <w:spacing w:val="-12"/>
        </w:rPr>
        <w:t> </w:t>
      </w:r>
      <w:r>
        <w:rPr/>
        <w:t>the</w:t>
      </w:r>
      <w:r>
        <w:rPr>
          <w:spacing w:val="-13"/>
        </w:rPr>
        <w:t> </w:t>
      </w:r>
      <w:r>
        <w:rPr/>
        <w:t>court</w:t>
      </w:r>
      <w:r>
        <w:rPr>
          <w:spacing w:val="-12"/>
        </w:rPr>
        <w:t> </w:t>
      </w:r>
      <w:r>
        <w:rPr/>
        <w:t>system or fail to advocate for LGBTQ young people’s needs. In answer to this recommendation, CAFL liaisons shared</w:t>
      </w:r>
      <w:r>
        <w:rPr>
          <w:spacing w:val="-4"/>
        </w:rPr>
        <w:t> </w:t>
      </w:r>
      <w:r>
        <w:rPr/>
        <w:t>in</w:t>
      </w:r>
      <w:r>
        <w:rPr>
          <w:spacing w:val="-3"/>
        </w:rPr>
        <w:t> </w:t>
      </w:r>
      <w:r>
        <w:rPr/>
        <w:t>March</w:t>
      </w:r>
      <w:r>
        <w:rPr>
          <w:spacing w:val="-4"/>
        </w:rPr>
        <w:t> </w:t>
      </w:r>
      <w:r>
        <w:rPr/>
        <w:t>2024</w:t>
      </w:r>
      <w:r>
        <w:rPr>
          <w:spacing w:val="-3"/>
        </w:rPr>
        <w:t> </w:t>
      </w:r>
      <w:r>
        <w:rPr/>
        <w:t>that</w:t>
      </w:r>
      <w:r>
        <w:rPr>
          <w:spacing w:val="-3"/>
        </w:rPr>
        <w:t> </w:t>
      </w:r>
      <w:r>
        <w:rPr/>
        <w:t>the</w:t>
      </w:r>
      <w:r>
        <w:rPr>
          <w:spacing w:val="-3"/>
        </w:rPr>
        <w:t> </w:t>
      </w:r>
      <w:r>
        <w:rPr/>
        <w:t>division</w:t>
      </w:r>
      <w:r>
        <w:rPr>
          <w:spacing w:val="-3"/>
        </w:rPr>
        <w:t> </w:t>
      </w:r>
      <w:r>
        <w:rPr/>
        <w:t>is</w:t>
      </w:r>
      <w:r>
        <w:rPr>
          <w:spacing w:val="-4"/>
        </w:rPr>
        <w:t> </w:t>
      </w:r>
      <w:r>
        <w:rPr/>
        <w:t>in</w:t>
      </w:r>
      <w:r>
        <w:rPr>
          <w:spacing w:val="-3"/>
        </w:rPr>
        <w:t> </w:t>
      </w:r>
      <w:r>
        <w:rPr/>
        <w:t>the</w:t>
      </w:r>
      <w:r>
        <w:rPr>
          <w:spacing w:val="-3"/>
        </w:rPr>
        <w:t> </w:t>
      </w:r>
      <w:r>
        <w:rPr/>
        <w:t>process</w:t>
      </w:r>
      <w:r>
        <w:rPr>
          <w:spacing w:val="-4"/>
        </w:rPr>
        <w:t> </w:t>
      </w:r>
      <w:r>
        <w:rPr/>
        <w:t>of</w:t>
      </w:r>
      <w:r>
        <w:rPr>
          <w:spacing w:val="-4"/>
        </w:rPr>
        <w:t> </w:t>
      </w:r>
      <w:r>
        <w:rPr/>
        <w:t>developing</w:t>
      </w:r>
      <w:r>
        <w:rPr>
          <w:spacing w:val="-4"/>
        </w:rPr>
        <w:t> </w:t>
      </w:r>
      <w:r>
        <w:rPr/>
        <w:t>a</w:t>
      </w:r>
      <w:r>
        <w:rPr>
          <w:spacing w:val="-4"/>
        </w:rPr>
        <w:t> </w:t>
      </w:r>
      <w:r>
        <w:rPr/>
        <w:t>fact</w:t>
      </w:r>
      <w:r>
        <w:rPr>
          <w:spacing w:val="-3"/>
        </w:rPr>
        <w:t> </w:t>
      </w:r>
      <w:r>
        <w:rPr/>
        <w:t>sheet</w:t>
      </w:r>
      <w:r>
        <w:rPr>
          <w:spacing w:val="-3"/>
        </w:rPr>
        <w:t> </w:t>
      </w:r>
      <w:r>
        <w:rPr/>
        <w:t>that</w:t>
      </w:r>
      <w:r>
        <w:rPr>
          <w:spacing w:val="-3"/>
        </w:rPr>
        <w:t> </w:t>
      </w:r>
      <w:r>
        <w:rPr/>
        <w:t>will</w:t>
      </w:r>
      <w:r>
        <w:rPr>
          <w:spacing w:val="-3"/>
        </w:rPr>
        <w:t> </w:t>
      </w:r>
      <w:r>
        <w:rPr/>
        <w:t>be</w:t>
      </w:r>
      <w:r>
        <w:rPr>
          <w:spacing w:val="-4"/>
        </w:rPr>
        <w:t> </w:t>
      </w:r>
      <w:r>
        <w:rPr/>
        <w:t>distributed to clients on their rights while receiving CAFL services.</w:t>
      </w:r>
    </w:p>
    <w:p>
      <w:pPr>
        <w:pStyle w:val="BodyText"/>
        <w:spacing w:line="276" w:lineRule="auto" w:before="239"/>
        <w:ind w:left="483" w:right="340"/>
        <w:jc w:val="both"/>
      </w:pPr>
      <w:r>
        <w:rPr/>
        <w:t>The</w:t>
      </w:r>
      <w:r>
        <w:rPr>
          <w:spacing w:val="-3"/>
        </w:rPr>
        <w:t> </w:t>
      </w:r>
      <w:r>
        <w:rPr/>
        <w:t>Commission</w:t>
      </w:r>
      <w:r>
        <w:rPr>
          <w:spacing w:val="-3"/>
        </w:rPr>
        <w:t> </w:t>
      </w:r>
      <w:r>
        <w:rPr/>
        <w:t>continues</w:t>
      </w:r>
      <w:r>
        <w:rPr>
          <w:spacing w:val="-1"/>
        </w:rPr>
        <w:t> </w:t>
      </w:r>
      <w:r>
        <w:rPr/>
        <w:t>to</w:t>
      </w:r>
      <w:r>
        <w:rPr>
          <w:spacing w:val="-2"/>
        </w:rPr>
        <w:t> </w:t>
      </w:r>
      <w:r>
        <w:rPr/>
        <w:t>recommend</w:t>
      </w:r>
      <w:r>
        <w:rPr>
          <w:spacing w:val="-3"/>
        </w:rPr>
        <w:t> </w:t>
      </w:r>
      <w:r>
        <w:rPr/>
        <w:t>that</w:t>
      </w:r>
      <w:r>
        <w:rPr>
          <w:spacing w:val="-3"/>
        </w:rPr>
        <w:t> </w:t>
      </w:r>
      <w:r>
        <w:rPr/>
        <w:t>CAFL</w:t>
      </w:r>
      <w:r>
        <w:rPr>
          <w:spacing w:val="-2"/>
        </w:rPr>
        <w:t> </w:t>
      </w:r>
      <w:r>
        <w:rPr/>
        <w:t>needs</w:t>
      </w:r>
      <w:r>
        <w:rPr>
          <w:spacing w:val="-2"/>
        </w:rPr>
        <w:t> </w:t>
      </w:r>
      <w:r>
        <w:rPr/>
        <w:t>a</w:t>
      </w:r>
      <w:r>
        <w:rPr>
          <w:spacing w:val="-3"/>
        </w:rPr>
        <w:t> </w:t>
      </w:r>
      <w:r>
        <w:rPr/>
        <w:t>strong,</w:t>
      </w:r>
      <w:r>
        <w:rPr>
          <w:spacing w:val="-3"/>
        </w:rPr>
        <w:t> </w:t>
      </w:r>
      <w:r>
        <w:rPr/>
        <w:t>transparent,</w:t>
      </w:r>
      <w:r>
        <w:rPr>
          <w:spacing w:val="-3"/>
        </w:rPr>
        <w:t> </w:t>
      </w:r>
      <w:r>
        <w:rPr/>
        <w:t>and</w:t>
      </w:r>
      <w:r>
        <w:rPr>
          <w:spacing w:val="-3"/>
        </w:rPr>
        <w:t> </w:t>
      </w:r>
      <w:r>
        <w:rPr/>
        <w:t>consistent</w:t>
      </w:r>
      <w:r>
        <w:rPr>
          <w:spacing w:val="-3"/>
        </w:rPr>
        <w:t> </w:t>
      </w:r>
      <w:r>
        <w:rPr/>
        <w:t>process for investigating and responding to those complaints, holding attorneys accountable for deficient representation of LGBTQ clients, and taking steps to resolve the unmet needs of LGBTQ clients (e.g. by providing</w:t>
      </w:r>
      <w:r>
        <w:rPr>
          <w:spacing w:val="-6"/>
        </w:rPr>
        <w:t> </w:t>
      </w:r>
      <w:r>
        <w:rPr/>
        <w:t>additional</w:t>
      </w:r>
      <w:r>
        <w:rPr>
          <w:spacing w:val="-5"/>
        </w:rPr>
        <w:t> </w:t>
      </w:r>
      <w:r>
        <w:rPr/>
        <w:t>support</w:t>
      </w:r>
      <w:r>
        <w:rPr>
          <w:spacing w:val="-6"/>
        </w:rPr>
        <w:t> </w:t>
      </w:r>
      <w:r>
        <w:rPr/>
        <w:t>or</w:t>
      </w:r>
      <w:r>
        <w:rPr>
          <w:spacing w:val="-5"/>
        </w:rPr>
        <w:t> </w:t>
      </w:r>
      <w:r>
        <w:rPr/>
        <w:t>oversight,</w:t>
      </w:r>
      <w:r>
        <w:rPr>
          <w:spacing w:val="-5"/>
        </w:rPr>
        <w:t> </w:t>
      </w:r>
      <w:r>
        <w:rPr/>
        <w:t>or</w:t>
      </w:r>
      <w:r>
        <w:rPr>
          <w:spacing w:val="-5"/>
        </w:rPr>
        <w:t> </w:t>
      </w:r>
      <w:r>
        <w:rPr/>
        <w:t>assigning</w:t>
      </w:r>
      <w:r>
        <w:rPr>
          <w:spacing w:val="-6"/>
        </w:rPr>
        <w:t> </w:t>
      </w:r>
      <w:r>
        <w:rPr/>
        <w:t>a</w:t>
      </w:r>
      <w:r>
        <w:rPr>
          <w:spacing w:val="-5"/>
        </w:rPr>
        <w:t> </w:t>
      </w:r>
      <w:r>
        <w:rPr/>
        <w:t>new</w:t>
      </w:r>
      <w:r>
        <w:rPr>
          <w:spacing w:val="-4"/>
        </w:rPr>
        <w:t> </w:t>
      </w:r>
      <w:r>
        <w:rPr/>
        <w:t>lawyer</w:t>
      </w:r>
      <w:r>
        <w:rPr>
          <w:spacing w:val="-5"/>
        </w:rPr>
        <w:t> </w:t>
      </w:r>
      <w:r>
        <w:rPr/>
        <w:t>or</w:t>
      </w:r>
      <w:r>
        <w:rPr>
          <w:spacing w:val="-5"/>
        </w:rPr>
        <w:t> </w:t>
      </w:r>
      <w:r>
        <w:rPr/>
        <w:t>co-counsel).</w:t>
      </w:r>
      <w:r>
        <w:rPr>
          <w:spacing w:val="38"/>
        </w:rPr>
        <w:t> </w:t>
      </w:r>
      <w:r>
        <w:rPr/>
        <w:t>Such</w:t>
      </w:r>
      <w:r>
        <w:rPr>
          <w:spacing w:val="-6"/>
        </w:rPr>
        <w:t> </w:t>
      </w:r>
      <w:r>
        <w:rPr/>
        <w:t>a</w:t>
      </w:r>
      <w:r>
        <w:rPr>
          <w:spacing w:val="-4"/>
        </w:rPr>
        <w:t> </w:t>
      </w:r>
      <w:r>
        <w:rPr/>
        <w:t>process</w:t>
      </w:r>
      <w:r>
        <w:rPr>
          <w:spacing w:val="-5"/>
        </w:rPr>
        <w:t> </w:t>
      </w:r>
      <w:r>
        <w:rPr/>
        <w:t>could begin by looking at the certification process for private attorneys, and establishing a nondiscrimination clause</w:t>
      </w:r>
      <w:r>
        <w:rPr>
          <w:spacing w:val="-8"/>
        </w:rPr>
        <w:t> </w:t>
      </w:r>
      <w:r>
        <w:rPr/>
        <w:t>or</w:t>
      </w:r>
      <w:r>
        <w:rPr>
          <w:spacing w:val="-8"/>
        </w:rPr>
        <w:t> </w:t>
      </w:r>
      <w:r>
        <w:rPr/>
        <w:t>code</w:t>
      </w:r>
      <w:r>
        <w:rPr>
          <w:spacing w:val="-8"/>
        </w:rPr>
        <w:t> </w:t>
      </w:r>
      <w:r>
        <w:rPr/>
        <w:t>of</w:t>
      </w:r>
      <w:r>
        <w:rPr>
          <w:spacing w:val="-8"/>
        </w:rPr>
        <w:t> </w:t>
      </w:r>
      <w:r>
        <w:rPr/>
        <w:t>ethics</w:t>
      </w:r>
      <w:r>
        <w:rPr>
          <w:spacing w:val="-6"/>
        </w:rPr>
        <w:t> </w:t>
      </w:r>
      <w:r>
        <w:rPr/>
        <w:t>that</w:t>
      </w:r>
      <w:r>
        <w:rPr>
          <w:spacing w:val="-8"/>
        </w:rPr>
        <w:t> </w:t>
      </w:r>
      <w:r>
        <w:rPr/>
        <w:t>all</w:t>
      </w:r>
      <w:r>
        <w:rPr>
          <w:spacing w:val="-8"/>
        </w:rPr>
        <w:t> </w:t>
      </w:r>
      <w:r>
        <w:rPr/>
        <w:t>attorneys</w:t>
      </w:r>
      <w:r>
        <w:rPr>
          <w:spacing w:val="-7"/>
        </w:rPr>
        <w:t> </w:t>
      </w:r>
      <w:r>
        <w:rPr/>
        <w:t>must</w:t>
      </w:r>
      <w:r>
        <w:rPr>
          <w:spacing w:val="-8"/>
        </w:rPr>
        <w:t> </w:t>
      </w:r>
      <w:r>
        <w:rPr/>
        <w:t>adhere</w:t>
      </w:r>
      <w:r>
        <w:rPr>
          <w:spacing w:val="-8"/>
        </w:rPr>
        <w:t> </w:t>
      </w:r>
      <w:r>
        <w:rPr/>
        <w:t>to</w:t>
      </w:r>
      <w:r>
        <w:rPr>
          <w:spacing w:val="-7"/>
        </w:rPr>
        <w:t> </w:t>
      </w:r>
      <w:r>
        <w:rPr/>
        <w:t>while</w:t>
      </w:r>
      <w:r>
        <w:rPr>
          <w:spacing w:val="-7"/>
        </w:rPr>
        <w:t> </w:t>
      </w:r>
      <w:r>
        <w:rPr/>
        <w:t>certified</w:t>
      </w:r>
      <w:r>
        <w:rPr>
          <w:spacing w:val="-8"/>
        </w:rPr>
        <w:t> </w:t>
      </w:r>
      <w:r>
        <w:rPr/>
        <w:t>as</w:t>
      </w:r>
      <w:r>
        <w:rPr>
          <w:spacing w:val="-7"/>
        </w:rPr>
        <w:t> </w:t>
      </w:r>
      <w:r>
        <w:rPr/>
        <w:t>a</w:t>
      </w:r>
      <w:r>
        <w:rPr>
          <w:spacing w:val="-7"/>
        </w:rPr>
        <w:t> </w:t>
      </w:r>
      <w:r>
        <w:rPr/>
        <w:t>CAFL</w:t>
      </w:r>
      <w:r>
        <w:rPr>
          <w:spacing w:val="-8"/>
        </w:rPr>
        <w:t> </w:t>
      </w:r>
      <w:r>
        <w:rPr/>
        <w:t>attorney.</w:t>
      </w:r>
      <w:r>
        <w:rPr>
          <w:spacing w:val="-8"/>
        </w:rPr>
        <w:t> </w:t>
      </w:r>
      <w:r>
        <w:rPr/>
        <w:t>To</w:t>
      </w:r>
      <w:r>
        <w:rPr>
          <w:spacing w:val="-7"/>
        </w:rPr>
        <w:t> </w:t>
      </w:r>
      <w:r>
        <w:rPr/>
        <w:t>assist</w:t>
      </w:r>
      <w:r>
        <w:rPr>
          <w:spacing w:val="-8"/>
        </w:rPr>
        <w:t> </w:t>
      </w:r>
      <w:r>
        <w:rPr/>
        <w:t>with better</w:t>
      </w:r>
      <w:r>
        <w:rPr>
          <w:spacing w:val="-9"/>
        </w:rPr>
        <w:t> </w:t>
      </w:r>
      <w:r>
        <w:rPr/>
        <w:t>understanding</w:t>
      </w:r>
      <w:r>
        <w:rPr>
          <w:spacing w:val="-9"/>
        </w:rPr>
        <w:t> </w:t>
      </w:r>
      <w:r>
        <w:rPr/>
        <w:t>the</w:t>
      </w:r>
      <w:r>
        <w:rPr>
          <w:spacing w:val="-8"/>
        </w:rPr>
        <w:t> </w:t>
      </w:r>
      <w:r>
        <w:rPr/>
        <w:t>needs</w:t>
      </w:r>
      <w:r>
        <w:rPr>
          <w:spacing w:val="-8"/>
        </w:rPr>
        <w:t> </w:t>
      </w:r>
      <w:r>
        <w:rPr/>
        <w:t>of</w:t>
      </w:r>
      <w:r>
        <w:rPr>
          <w:spacing w:val="-9"/>
        </w:rPr>
        <w:t> </w:t>
      </w:r>
      <w:r>
        <w:rPr/>
        <w:t>clients,</w:t>
      </w:r>
      <w:r>
        <w:rPr>
          <w:spacing w:val="-9"/>
        </w:rPr>
        <w:t> </w:t>
      </w:r>
      <w:r>
        <w:rPr/>
        <w:t>CAFL</w:t>
      </w:r>
      <w:r>
        <w:rPr>
          <w:spacing w:val="-9"/>
        </w:rPr>
        <w:t> </w:t>
      </w:r>
      <w:r>
        <w:rPr/>
        <w:t>has</w:t>
      </w:r>
      <w:r>
        <w:rPr>
          <w:spacing w:val="-8"/>
        </w:rPr>
        <w:t> </w:t>
      </w:r>
      <w:r>
        <w:rPr/>
        <w:t>recently</w:t>
      </w:r>
      <w:r>
        <w:rPr>
          <w:spacing w:val="-9"/>
        </w:rPr>
        <w:t> </w:t>
      </w:r>
      <w:r>
        <w:rPr/>
        <w:t>created</w:t>
      </w:r>
      <w:r>
        <w:rPr>
          <w:spacing w:val="-9"/>
        </w:rPr>
        <w:t> </w:t>
      </w:r>
      <w:r>
        <w:rPr/>
        <w:t>a</w:t>
      </w:r>
      <w:r>
        <w:rPr>
          <w:spacing w:val="-9"/>
        </w:rPr>
        <w:t> </w:t>
      </w:r>
      <w:r>
        <w:rPr/>
        <w:t>Client</w:t>
      </w:r>
      <w:r>
        <w:rPr>
          <w:spacing w:val="-9"/>
        </w:rPr>
        <w:t> </w:t>
      </w:r>
      <w:r>
        <w:rPr/>
        <w:t>Advisory</w:t>
      </w:r>
      <w:r>
        <w:rPr>
          <w:spacing w:val="-9"/>
        </w:rPr>
        <w:t> </w:t>
      </w:r>
      <w:r>
        <w:rPr/>
        <w:t>Board</w:t>
      </w:r>
      <w:r>
        <w:rPr>
          <w:spacing w:val="-9"/>
        </w:rPr>
        <w:t> </w:t>
      </w:r>
      <w:r>
        <w:rPr/>
        <w:t>that</w:t>
      </w:r>
      <w:r>
        <w:rPr>
          <w:spacing w:val="-9"/>
        </w:rPr>
        <w:t> </w:t>
      </w:r>
      <w:r>
        <w:rPr/>
        <w:t>includes youth</w:t>
      </w:r>
      <w:r>
        <w:rPr>
          <w:spacing w:val="-6"/>
        </w:rPr>
        <w:t> </w:t>
      </w:r>
      <w:r>
        <w:rPr/>
        <w:t>members.</w:t>
      </w:r>
      <w:r>
        <w:rPr>
          <w:spacing w:val="-7"/>
        </w:rPr>
        <w:t> </w:t>
      </w:r>
      <w:r>
        <w:rPr/>
        <w:t>However,</w:t>
      </w:r>
      <w:r>
        <w:rPr>
          <w:spacing w:val="-6"/>
        </w:rPr>
        <w:t> </w:t>
      </w:r>
      <w:r>
        <w:rPr/>
        <w:t>as</w:t>
      </w:r>
      <w:r>
        <w:rPr>
          <w:spacing w:val="-6"/>
        </w:rPr>
        <w:t> </w:t>
      </w:r>
      <w:r>
        <w:rPr/>
        <w:t>noted</w:t>
      </w:r>
      <w:r>
        <w:rPr>
          <w:spacing w:val="-6"/>
        </w:rPr>
        <w:t> </w:t>
      </w:r>
      <w:r>
        <w:rPr/>
        <w:t>in</w:t>
      </w:r>
      <w:r>
        <w:rPr>
          <w:spacing w:val="-6"/>
        </w:rPr>
        <w:t> </w:t>
      </w:r>
      <w:r>
        <w:rPr/>
        <w:t>its</w:t>
      </w:r>
      <w:r>
        <w:rPr>
          <w:spacing w:val="-6"/>
        </w:rPr>
        <w:t> </w:t>
      </w:r>
      <w:r>
        <w:rPr/>
        <w:t>spring</w:t>
      </w:r>
      <w:r>
        <w:rPr>
          <w:spacing w:val="-4"/>
        </w:rPr>
        <w:t> </w:t>
      </w:r>
      <w:r>
        <w:rPr/>
        <w:t>meeting,</w:t>
      </w:r>
      <w:r>
        <w:rPr>
          <w:spacing w:val="-5"/>
        </w:rPr>
        <w:t> </w:t>
      </w:r>
      <w:r>
        <w:rPr/>
        <w:t>the</w:t>
      </w:r>
      <w:r>
        <w:rPr>
          <w:spacing w:val="-7"/>
        </w:rPr>
        <w:t> </w:t>
      </w:r>
      <w:r>
        <w:rPr/>
        <w:t>Commission</w:t>
      </w:r>
      <w:r>
        <w:rPr>
          <w:spacing w:val="-7"/>
        </w:rPr>
        <w:t> </w:t>
      </w:r>
      <w:r>
        <w:rPr/>
        <w:t>highly</w:t>
      </w:r>
      <w:r>
        <w:rPr>
          <w:spacing w:val="-6"/>
        </w:rPr>
        <w:t> </w:t>
      </w:r>
      <w:r>
        <w:rPr/>
        <w:t>recommends</w:t>
      </w:r>
      <w:r>
        <w:rPr>
          <w:spacing w:val="-6"/>
        </w:rPr>
        <w:t> </w:t>
      </w:r>
      <w:r>
        <w:rPr/>
        <w:t>expanding the board to include LGBTQ perspectives, with particular attention to ensuring representation of youth with multiple marginalized identities.</w:t>
      </w:r>
    </w:p>
    <w:p>
      <w:pPr>
        <w:numPr>
          <w:ilvl w:val="0"/>
          <w:numId w:val="48"/>
        </w:numPr>
        <w:tabs>
          <w:tab w:pos="481" w:val="left" w:leader="none"/>
        </w:tabs>
        <w:spacing w:before="240"/>
        <w:ind w:left="481" w:right="0" w:hanging="358"/>
        <w:jc w:val="left"/>
        <w:rPr>
          <w:b/>
          <w:sz w:val="22"/>
        </w:rPr>
      </w:pPr>
      <w:r>
        <w:rPr>
          <w:b/>
          <w:sz w:val="22"/>
        </w:rPr>
        <w:t>Provide</w:t>
      </w:r>
      <w:r>
        <w:rPr>
          <w:b/>
          <w:spacing w:val="-10"/>
          <w:sz w:val="22"/>
        </w:rPr>
        <w:t> </w:t>
      </w:r>
      <w:r>
        <w:rPr>
          <w:b/>
          <w:sz w:val="22"/>
        </w:rPr>
        <w:t>consistent</w:t>
      </w:r>
      <w:r>
        <w:rPr>
          <w:b/>
          <w:spacing w:val="-8"/>
          <w:sz w:val="22"/>
        </w:rPr>
        <w:t> </w:t>
      </w:r>
      <w:r>
        <w:rPr>
          <w:b/>
          <w:sz w:val="22"/>
        </w:rPr>
        <w:t>and</w:t>
      </w:r>
      <w:r>
        <w:rPr>
          <w:b/>
          <w:spacing w:val="-9"/>
          <w:sz w:val="22"/>
        </w:rPr>
        <w:t> </w:t>
      </w:r>
      <w:r>
        <w:rPr>
          <w:b/>
          <w:sz w:val="22"/>
        </w:rPr>
        <w:t>high-quality</w:t>
      </w:r>
      <w:r>
        <w:rPr>
          <w:b/>
          <w:spacing w:val="-8"/>
          <w:sz w:val="22"/>
        </w:rPr>
        <w:t> </w:t>
      </w:r>
      <w:r>
        <w:rPr>
          <w:b/>
          <w:sz w:val="22"/>
        </w:rPr>
        <w:t>training</w:t>
      </w:r>
      <w:r>
        <w:rPr>
          <w:b/>
          <w:spacing w:val="-8"/>
          <w:sz w:val="22"/>
        </w:rPr>
        <w:t> </w:t>
      </w:r>
      <w:r>
        <w:rPr>
          <w:b/>
          <w:sz w:val="22"/>
        </w:rPr>
        <w:t>on</w:t>
      </w:r>
      <w:r>
        <w:rPr>
          <w:b/>
          <w:spacing w:val="-9"/>
          <w:sz w:val="22"/>
        </w:rPr>
        <w:t> </w:t>
      </w:r>
      <w:r>
        <w:rPr>
          <w:b/>
          <w:sz w:val="22"/>
        </w:rPr>
        <w:t>working</w:t>
      </w:r>
      <w:r>
        <w:rPr>
          <w:b/>
          <w:spacing w:val="-9"/>
          <w:sz w:val="22"/>
        </w:rPr>
        <w:t> </w:t>
      </w:r>
      <w:r>
        <w:rPr>
          <w:b/>
          <w:sz w:val="22"/>
        </w:rPr>
        <w:t>with</w:t>
      </w:r>
      <w:r>
        <w:rPr>
          <w:b/>
          <w:spacing w:val="-8"/>
          <w:sz w:val="22"/>
        </w:rPr>
        <w:t> </w:t>
      </w:r>
      <w:r>
        <w:rPr>
          <w:b/>
          <w:sz w:val="22"/>
        </w:rPr>
        <w:t>LGBTQ</w:t>
      </w:r>
      <w:r>
        <w:rPr>
          <w:b/>
          <w:spacing w:val="-8"/>
          <w:sz w:val="22"/>
        </w:rPr>
        <w:t> </w:t>
      </w:r>
      <w:r>
        <w:rPr>
          <w:b/>
          <w:spacing w:val="-2"/>
          <w:sz w:val="22"/>
        </w:rPr>
        <w:t>clients.</w:t>
      </w:r>
    </w:p>
    <w:p>
      <w:pPr>
        <w:pStyle w:val="BodyText"/>
        <w:spacing w:before="11"/>
        <w:rPr>
          <w:b/>
        </w:rPr>
      </w:pPr>
    </w:p>
    <w:p>
      <w:pPr>
        <w:pStyle w:val="BodyText"/>
        <w:spacing w:line="276" w:lineRule="auto" w:before="1"/>
        <w:ind w:left="483" w:right="342"/>
        <w:jc w:val="both"/>
      </w:pPr>
      <w:r>
        <w:rPr/>
        <w:t>The Commission urges CAFL to continue expanding training for both CAFL staff and private attorneys on working</w:t>
      </w:r>
      <w:r>
        <w:rPr>
          <w:spacing w:val="-13"/>
        </w:rPr>
        <w:t> </w:t>
      </w:r>
      <w:r>
        <w:rPr/>
        <w:t>with</w:t>
      </w:r>
      <w:r>
        <w:rPr>
          <w:spacing w:val="-12"/>
        </w:rPr>
        <w:t> </w:t>
      </w:r>
      <w:r>
        <w:rPr/>
        <w:t>LGBTQ</w:t>
      </w:r>
      <w:r>
        <w:rPr>
          <w:spacing w:val="-13"/>
        </w:rPr>
        <w:t> </w:t>
      </w:r>
      <w:r>
        <w:rPr/>
        <w:t>clients.</w:t>
      </w:r>
      <w:r>
        <w:rPr>
          <w:spacing w:val="-12"/>
        </w:rPr>
        <w:t> </w:t>
      </w:r>
      <w:r>
        <w:rPr/>
        <w:t>Training</w:t>
      </w:r>
      <w:r>
        <w:rPr>
          <w:spacing w:val="-13"/>
        </w:rPr>
        <w:t> </w:t>
      </w:r>
      <w:r>
        <w:rPr/>
        <w:t>opportunities</w:t>
      </w:r>
      <w:r>
        <w:rPr>
          <w:spacing w:val="-12"/>
        </w:rPr>
        <w:t> </w:t>
      </w:r>
      <w:r>
        <w:rPr/>
        <w:t>should</w:t>
      </w:r>
      <w:r>
        <w:rPr>
          <w:spacing w:val="-13"/>
        </w:rPr>
        <w:t> </w:t>
      </w:r>
      <w:r>
        <w:rPr/>
        <w:t>include</w:t>
      </w:r>
      <w:r>
        <w:rPr>
          <w:spacing w:val="-12"/>
        </w:rPr>
        <w:t> </w:t>
      </w:r>
      <w:r>
        <w:rPr/>
        <w:t>both</w:t>
      </w:r>
      <w:r>
        <w:rPr>
          <w:spacing w:val="-12"/>
        </w:rPr>
        <w:t> </w:t>
      </w:r>
      <w:r>
        <w:rPr/>
        <w:t>introductory</w:t>
      </w:r>
      <w:r>
        <w:rPr>
          <w:spacing w:val="-13"/>
        </w:rPr>
        <w:t> </w:t>
      </w:r>
      <w:r>
        <w:rPr/>
        <w:t>materials</w:t>
      </w:r>
      <w:r>
        <w:rPr>
          <w:spacing w:val="-12"/>
        </w:rPr>
        <w:t> </w:t>
      </w:r>
      <w:r>
        <w:rPr/>
        <w:t>on</w:t>
      </w:r>
      <w:r>
        <w:rPr>
          <w:spacing w:val="-13"/>
        </w:rPr>
        <w:t> </w:t>
      </w:r>
      <w:r>
        <w:rPr/>
        <w:t>working with LGBTQ communities and specialized training on topics such as name changes, gender-affirming healthcare,</w:t>
      </w:r>
      <w:r>
        <w:rPr>
          <w:spacing w:val="-6"/>
        </w:rPr>
        <w:t> </w:t>
      </w:r>
      <w:r>
        <w:rPr/>
        <w:t>advocating</w:t>
      </w:r>
      <w:r>
        <w:rPr>
          <w:spacing w:val="-6"/>
        </w:rPr>
        <w:t> </w:t>
      </w:r>
      <w:r>
        <w:rPr/>
        <w:t>for</w:t>
      </w:r>
      <w:r>
        <w:rPr>
          <w:spacing w:val="-5"/>
        </w:rPr>
        <w:t> </w:t>
      </w:r>
      <w:r>
        <w:rPr/>
        <w:t>LGBTQ</w:t>
      </w:r>
      <w:r>
        <w:rPr>
          <w:spacing w:val="-6"/>
        </w:rPr>
        <w:t> </w:t>
      </w:r>
      <w:r>
        <w:rPr/>
        <w:t>young</w:t>
      </w:r>
      <w:r>
        <w:rPr>
          <w:spacing w:val="-5"/>
        </w:rPr>
        <w:t> </w:t>
      </w:r>
      <w:r>
        <w:rPr/>
        <w:t>people</w:t>
      </w:r>
      <w:r>
        <w:rPr>
          <w:spacing w:val="-5"/>
        </w:rPr>
        <w:t> </w:t>
      </w:r>
      <w:r>
        <w:rPr/>
        <w:t>in</w:t>
      </w:r>
      <w:r>
        <w:rPr>
          <w:spacing w:val="-6"/>
        </w:rPr>
        <w:t> </w:t>
      </w:r>
      <w:r>
        <w:rPr/>
        <w:t>schools,</w:t>
      </w:r>
      <w:r>
        <w:rPr>
          <w:spacing w:val="-6"/>
        </w:rPr>
        <w:t> </w:t>
      </w:r>
      <w:r>
        <w:rPr/>
        <w:t>DCF</w:t>
      </w:r>
      <w:r>
        <w:rPr>
          <w:spacing w:val="-7"/>
        </w:rPr>
        <w:t> </w:t>
      </w:r>
      <w:r>
        <w:rPr/>
        <w:t>policies</w:t>
      </w:r>
      <w:r>
        <w:rPr>
          <w:spacing w:val="-6"/>
        </w:rPr>
        <w:t> </w:t>
      </w:r>
      <w:r>
        <w:rPr/>
        <w:t>and</w:t>
      </w:r>
      <w:r>
        <w:rPr>
          <w:spacing w:val="-6"/>
        </w:rPr>
        <w:t> </w:t>
      </w:r>
      <w:r>
        <w:rPr/>
        <w:t>internal</w:t>
      </w:r>
      <w:r>
        <w:rPr>
          <w:spacing w:val="-7"/>
        </w:rPr>
        <w:t> </w:t>
      </w:r>
      <w:r>
        <w:rPr/>
        <w:t>resources</w:t>
      </w:r>
      <w:r>
        <w:rPr>
          <w:spacing w:val="-6"/>
        </w:rPr>
        <w:t> </w:t>
      </w:r>
      <w:r>
        <w:rPr/>
        <w:t>for</w:t>
      </w:r>
      <w:r>
        <w:rPr>
          <w:spacing w:val="-6"/>
        </w:rPr>
        <w:t> </w:t>
      </w:r>
      <w:r>
        <w:rPr/>
        <w:t>LGBTQ individuals, and resources to promote family acceptance. Importantly, there must be a mechanism to require that all CAFL attorneys - whether staff or private - receive regular, up-to- date training on the needs of LGBTQ youth clients. The Commission is particularly concerned that attorneys who have been practicing long enough to have received no LGBTQ content in their initial certification training may not</w:t>
      </w:r>
    </w:p>
    <w:p>
      <w:pPr>
        <w:spacing w:after="0" w:line="276" w:lineRule="auto"/>
        <w:jc w:val="both"/>
        <w:sectPr>
          <w:pgSz w:w="12240" w:h="15840"/>
          <w:pgMar w:header="804" w:footer="1263" w:top="1000" w:bottom="1460" w:left="960" w:right="1100"/>
        </w:sectPr>
      </w:pPr>
    </w:p>
    <w:p>
      <w:pPr>
        <w:pStyle w:val="BodyText"/>
        <w:spacing w:line="276" w:lineRule="auto" w:before="139"/>
        <w:ind w:left="483" w:right="342"/>
        <w:jc w:val="both"/>
      </w:pPr>
      <w:r>
        <w:rPr/>
        <w:t>opt into voluntary LGBTQ trainings and may in fact </w:t>
      </w:r>
      <w:r>
        <w:rPr>
          <w:i/>
        </w:rPr>
        <w:t>never </w:t>
      </w:r>
      <w:r>
        <w:rPr/>
        <w:t>have received training on working with LGBTQ clients.</w:t>
      </w:r>
      <w:r>
        <w:rPr>
          <w:spacing w:val="-9"/>
        </w:rPr>
        <w:t> </w:t>
      </w:r>
      <w:r>
        <w:rPr/>
        <w:t>CAFL</w:t>
      </w:r>
      <w:r>
        <w:rPr>
          <w:spacing w:val="-7"/>
        </w:rPr>
        <w:t> </w:t>
      </w:r>
      <w:r>
        <w:rPr/>
        <w:t>noted</w:t>
      </w:r>
      <w:r>
        <w:rPr>
          <w:spacing w:val="-8"/>
        </w:rPr>
        <w:t> </w:t>
      </w:r>
      <w:r>
        <w:rPr/>
        <w:t>in</w:t>
      </w:r>
      <w:r>
        <w:rPr>
          <w:spacing w:val="-9"/>
        </w:rPr>
        <w:t> </w:t>
      </w:r>
      <w:r>
        <w:rPr/>
        <w:t>its</w:t>
      </w:r>
      <w:r>
        <w:rPr>
          <w:spacing w:val="-8"/>
        </w:rPr>
        <w:t> </w:t>
      </w:r>
      <w:r>
        <w:rPr/>
        <w:t>spring</w:t>
      </w:r>
      <w:r>
        <w:rPr>
          <w:spacing w:val="-9"/>
        </w:rPr>
        <w:t> </w:t>
      </w:r>
      <w:r>
        <w:rPr/>
        <w:t>2024</w:t>
      </w:r>
      <w:r>
        <w:rPr>
          <w:spacing w:val="-7"/>
        </w:rPr>
        <w:t> </w:t>
      </w:r>
      <w:r>
        <w:rPr/>
        <w:t>meeting</w:t>
      </w:r>
      <w:r>
        <w:rPr>
          <w:spacing w:val="-9"/>
        </w:rPr>
        <w:t> </w:t>
      </w:r>
      <w:r>
        <w:rPr/>
        <w:t>with</w:t>
      </w:r>
      <w:r>
        <w:rPr>
          <w:spacing w:val="-8"/>
        </w:rPr>
        <w:t> </w:t>
      </w:r>
      <w:r>
        <w:rPr/>
        <w:t>the</w:t>
      </w:r>
      <w:r>
        <w:rPr>
          <w:spacing w:val="-9"/>
        </w:rPr>
        <w:t> </w:t>
      </w:r>
      <w:r>
        <w:rPr/>
        <w:t>Commission</w:t>
      </w:r>
      <w:r>
        <w:rPr>
          <w:spacing w:val="-9"/>
        </w:rPr>
        <w:t> </w:t>
      </w:r>
      <w:r>
        <w:rPr/>
        <w:t>that</w:t>
      </w:r>
      <w:r>
        <w:rPr>
          <w:spacing w:val="-8"/>
        </w:rPr>
        <w:t> </w:t>
      </w:r>
      <w:r>
        <w:rPr/>
        <w:t>it</w:t>
      </w:r>
      <w:r>
        <w:rPr>
          <w:spacing w:val="-8"/>
        </w:rPr>
        <w:t> </w:t>
      </w:r>
      <w:r>
        <w:rPr/>
        <w:t>is</w:t>
      </w:r>
      <w:r>
        <w:rPr>
          <w:spacing w:val="-7"/>
        </w:rPr>
        <w:t> </w:t>
      </w:r>
      <w:r>
        <w:rPr/>
        <w:t>currently</w:t>
      </w:r>
      <w:r>
        <w:rPr>
          <w:spacing w:val="-8"/>
        </w:rPr>
        <w:t> </w:t>
      </w:r>
      <w:r>
        <w:rPr/>
        <w:t>engaging</w:t>
      </w:r>
      <w:r>
        <w:rPr>
          <w:spacing w:val="-8"/>
        </w:rPr>
        <w:t> </w:t>
      </w:r>
      <w:r>
        <w:rPr/>
        <w:t>in</w:t>
      </w:r>
      <w:r>
        <w:rPr>
          <w:spacing w:val="-9"/>
        </w:rPr>
        <w:t> </w:t>
      </w:r>
      <w:r>
        <w:rPr/>
        <w:t>internal conversations</w:t>
      </w:r>
      <w:r>
        <w:rPr>
          <w:spacing w:val="-9"/>
        </w:rPr>
        <w:t> </w:t>
      </w:r>
      <w:r>
        <w:rPr/>
        <w:t>on</w:t>
      </w:r>
      <w:r>
        <w:rPr>
          <w:spacing w:val="-10"/>
        </w:rPr>
        <w:t> </w:t>
      </w:r>
      <w:r>
        <w:rPr/>
        <w:t>whether</w:t>
      </w:r>
      <w:r>
        <w:rPr>
          <w:spacing w:val="-9"/>
        </w:rPr>
        <w:t> </w:t>
      </w:r>
      <w:r>
        <w:rPr/>
        <w:t>it</w:t>
      </w:r>
      <w:r>
        <w:rPr>
          <w:spacing w:val="-10"/>
        </w:rPr>
        <w:t> </w:t>
      </w:r>
      <w:r>
        <w:rPr/>
        <w:t>can</w:t>
      </w:r>
      <w:r>
        <w:rPr>
          <w:spacing w:val="-9"/>
        </w:rPr>
        <w:t> </w:t>
      </w:r>
      <w:r>
        <w:rPr/>
        <w:t>mandate</w:t>
      </w:r>
      <w:r>
        <w:rPr>
          <w:spacing w:val="-10"/>
        </w:rPr>
        <w:t> </w:t>
      </w:r>
      <w:r>
        <w:rPr/>
        <w:t>trainings</w:t>
      </w:r>
      <w:r>
        <w:rPr>
          <w:spacing w:val="-9"/>
        </w:rPr>
        <w:t> </w:t>
      </w:r>
      <w:r>
        <w:rPr/>
        <w:t>for</w:t>
      </w:r>
      <w:r>
        <w:rPr>
          <w:spacing w:val="-10"/>
        </w:rPr>
        <w:t> </w:t>
      </w:r>
      <w:r>
        <w:rPr/>
        <w:t>attorneys</w:t>
      </w:r>
      <w:r>
        <w:rPr>
          <w:spacing w:val="-9"/>
        </w:rPr>
        <w:t> </w:t>
      </w:r>
      <w:r>
        <w:rPr/>
        <w:t>that</w:t>
      </w:r>
      <w:r>
        <w:rPr>
          <w:spacing w:val="-10"/>
        </w:rPr>
        <w:t> </w:t>
      </w:r>
      <w:r>
        <w:rPr/>
        <w:t>have</w:t>
      </w:r>
      <w:r>
        <w:rPr>
          <w:spacing w:val="-10"/>
        </w:rPr>
        <w:t> </w:t>
      </w:r>
      <w:r>
        <w:rPr/>
        <w:t>been</w:t>
      </w:r>
      <w:r>
        <w:rPr>
          <w:spacing w:val="-9"/>
        </w:rPr>
        <w:t> </w:t>
      </w:r>
      <w:r>
        <w:rPr/>
        <w:t>practicing</w:t>
      </w:r>
      <w:r>
        <w:rPr>
          <w:spacing w:val="-10"/>
        </w:rPr>
        <w:t> </w:t>
      </w:r>
      <w:r>
        <w:rPr/>
        <w:t>for</w:t>
      </w:r>
      <w:r>
        <w:rPr>
          <w:spacing w:val="-9"/>
        </w:rPr>
        <w:t> </w:t>
      </w:r>
      <w:r>
        <w:rPr/>
        <w:t>some</w:t>
      </w:r>
      <w:r>
        <w:rPr>
          <w:spacing w:val="-10"/>
        </w:rPr>
        <w:t> </w:t>
      </w:r>
      <w:r>
        <w:rPr/>
        <w:t>time. It further shared that it has had the opportunity to provide 4-hour trainings on medical treatment decisions for DCF-involved youth, which included conversations on DCF’s Gender-Affirming Medication Consent</w:t>
      </w:r>
      <w:r>
        <w:rPr>
          <w:spacing w:val="-5"/>
        </w:rPr>
        <w:t> </w:t>
      </w:r>
      <w:r>
        <w:rPr/>
        <w:t>Policy,</w:t>
      </w:r>
      <w:r>
        <w:rPr>
          <w:spacing w:val="-5"/>
        </w:rPr>
        <w:t> </w:t>
      </w:r>
      <w:r>
        <w:rPr/>
        <w:t>and</w:t>
      </w:r>
      <w:r>
        <w:rPr>
          <w:spacing w:val="-5"/>
        </w:rPr>
        <w:t> </w:t>
      </w:r>
      <w:r>
        <w:rPr/>
        <w:t>an</w:t>
      </w:r>
      <w:r>
        <w:rPr>
          <w:spacing w:val="-4"/>
        </w:rPr>
        <w:t> </w:t>
      </w:r>
      <w:r>
        <w:rPr/>
        <w:t>additional</w:t>
      </w:r>
      <w:r>
        <w:rPr>
          <w:spacing w:val="-5"/>
        </w:rPr>
        <w:t> </w:t>
      </w:r>
      <w:r>
        <w:rPr/>
        <w:t>6-hour</w:t>
      </w:r>
      <w:r>
        <w:rPr>
          <w:spacing w:val="-4"/>
        </w:rPr>
        <w:t> </w:t>
      </w:r>
      <w:r>
        <w:rPr/>
        <w:t>training</w:t>
      </w:r>
      <w:r>
        <w:rPr>
          <w:spacing w:val="-5"/>
        </w:rPr>
        <w:t> </w:t>
      </w:r>
      <w:r>
        <w:rPr/>
        <w:t>on</w:t>
      </w:r>
      <w:r>
        <w:rPr>
          <w:spacing w:val="-4"/>
        </w:rPr>
        <w:t> </w:t>
      </w:r>
      <w:r>
        <w:rPr/>
        <w:t>gender-affirming</w:t>
      </w:r>
      <w:r>
        <w:rPr>
          <w:spacing w:val="-4"/>
        </w:rPr>
        <w:t> </w:t>
      </w:r>
      <w:r>
        <w:rPr/>
        <w:t>care,</w:t>
      </w:r>
      <w:r>
        <w:rPr>
          <w:spacing w:val="-5"/>
        </w:rPr>
        <w:t> </w:t>
      </w:r>
      <w:r>
        <w:rPr/>
        <w:t>DCF</w:t>
      </w:r>
      <w:r>
        <w:rPr>
          <w:spacing w:val="-4"/>
        </w:rPr>
        <w:t> </w:t>
      </w:r>
      <w:r>
        <w:rPr/>
        <w:t>responsibilities,</w:t>
      </w:r>
      <w:r>
        <w:rPr>
          <w:spacing w:val="-5"/>
        </w:rPr>
        <w:t> </w:t>
      </w:r>
      <w:r>
        <w:rPr/>
        <w:t>and</w:t>
      </w:r>
      <w:r>
        <w:rPr>
          <w:spacing w:val="-5"/>
        </w:rPr>
        <w:t> </w:t>
      </w:r>
      <w:r>
        <w:rPr/>
        <w:t>how to</w:t>
      </w:r>
      <w:r>
        <w:rPr>
          <w:spacing w:val="-5"/>
        </w:rPr>
        <w:t> </w:t>
      </w:r>
      <w:r>
        <w:rPr/>
        <w:t>talk</w:t>
      </w:r>
      <w:r>
        <w:rPr>
          <w:spacing w:val="-4"/>
        </w:rPr>
        <w:t> </w:t>
      </w:r>
      <w:r>
        <w:rPr/>
        <w:t>with</w:t>
      </w:r>
      <w:r>
        <w:rPr>
          <w:spacing w:val="-4"/>
        </w:rPr>
        <w:t> </w:t>
      </w:r>
      <w:r>
        <w:rPr/>
        <w:t>youth</w:t>
      </w:r>
      <w:r>
        <w:rPr>
          <w:spacing w:val="-5"/>
        </w:rPr>
        <w:t> </w:t>
      </w:r>
      <w:r>
        <w:rPr/>
        <w:t>about</w:t>
      </w:r>
      <w:r>
        <w:rPr>
          <w:spacing w:val="-4"/>
        </w:rPr>
        <w:t> </w:t>
      </w:r>
      <w:r>
        <w:rPr/>
        <w:t>their</w:t>
      </w:r>
      <w:r>
        <w:rPr>
          <w:spacing w:val="-5"/>
        </w:rPr>
        <w:t> </w:t>
      </w:r>
      <w:r>
        <w:rPr/>
        <w:t>identity</w:t>
      </w:r>
      <w:r>
        <w:rPr>
          <w:spacing w:val="-4"/>
        </w:rPr>
        <w:t> </w:t>
      </w:r>
      <w:r>
        <w:rPr/>
        <w:t>and</w:t>
      </w:r>
      <w:r>
        <w:rPr>
          <w:spacing w:val="-5"/>
        </w:rPr>
        <w:t> </w:t>
      </w:r>
      <w:r>
        <w:rPr/>
        <w:t>provide</w:t>
      </w:r>
      <w:r>
        <w:rPr>
          <w:spacing w:val="-4"/>
        </w:rPr>
        <w:t> </w:t>
      </w:r>
      <w:r>
        <w:rPr/>
        <w:t>affirming</w:t>
      </w:r>
      <w:r>
        <w:rPr>
          <w:spacing w:val="-5"/>
        </w:rPr>
        <w:t> </w:t>
      </w:r>
      <w:r>
        <w:rPr/>
        <w:t>services.</w:t>
      </w:r>
      <w:r>
        <w:rPr>
          <w:spacing w:val="-4"/>
        </w:rPr>
        <w:t> </w:t>
      </w:r>
      <w:r>
        <w:rPr/>
        <w:t>The</w:t>
      </w:r>
      <w:r>
        <w:rPr>
          <w:spacing w:val="-5"/>
        </w:rPr>
        <w:t> </w:t>
      </w:r>
      <w:r>
        <w:rPr/>
        <w:t>former</w:t>
      </w:r>
      <w:r>
        <w:rPr>
          <w:spacing w:val="-5"/>
        </w:rPr>
        <w:t> </w:t>
      </w:r>
      <w:r>
        <w:rPr/>
        <w:t>two</w:t>
      </w:r>
      <w:r>
        <w:rPr>
          <w:spacing w:val="-3"/>
        </w:rPr>
        <w:t> </w:t>
      </w:r>
      <w:r>
        <w:rPr/>
        <w:t>components</w:t>
      </w:r>
      <w:r>
        <w:rPr>
          <w:spacing w:val="-5"/>
        </w:rPr>
        <w:t> </w:t>
      </w:r>
      <w:r>
        <w:rPr/>
        <w:t>of</w:t>
      </w:r>
      <w:r>
        <w:rPr>
          <w:spacing w:val="-4"/>
        </w:rPr>
        <w:t> </w:t>
      </w:r>
      <w:r>
        <w:rPr/>
        <w:t>the training</w:t>
      </w:r>
      <w:r>
        <w:rPr>
          <w:spacing w:val="-3"/>
        </w:rPr>
        <w:t> </w:t>
      </w:r>
      <w:r>
        <w:rPr/>
        <w:t>were</w:t>
      </w:r>
      <w:r>
        <w:rPr>
          <w:spacing w:val="-3"/>
        </w:rPr>
        <w:t> </w:t>
      </w:r>
      <w:r>
        <w:rPr/>
        <w:t>recorded</w:t>
      </w:r>
      <w:r>
        <w:rPr>
          <w:spacing w:val="-4"/>
        </w:rPr>
        <w:t> </w:t>
      </w:r>
      <w:r>
        <w:rPr/>
        <w:t>and</w:t>
      </w:r>
      <w:r>
        <w:rPr>
          <w:spacing w:val="-4"/>
        </w:rPr>
        <w:t> </w:t>
      </w:r>
      <w:r>
        <w:rPr/>
        <w:t>are</w:t>
      </w:r>
      <w:r>
        <w:rPr>
          <w:spacing w:val="-3"/>
        </w:rPr>
        <w:t> </w:t>
      </w:r>
      <w:r>
        <w:rPr/>
        <w:t>provided</w:t>
      </w:r>
      <w:r>
        <w:rPr>
          <w:spacing w:val="-4"/>
        </w:rPr>
        <w:t> </w:t>
      </w:r>
      <w:r>
        <w:rPr/>
        <w:t>as</w:t>
      </w:r>
      <w:r>
        <w:rPr>
          <w:spacing w:val="-4"/>
        </w:rPr>
        <w:t> </w:t>
      </w:r>
      <w:r>
        <w:rPr/>
        <w:t>a</w:t>
      </w:r>
      <w:r>
        <w:rPr>
          <w:spacing w:val="-3"/>
        </w:rPr>
        <w:t> </w:t>
      </w:r>
      <w:r>
        <w:rPr/>
        <w:t>resource</w:t>
      </w:r>
      <w:r>
        <w:rPr>
          <w:spacing w:val="-3"/>
        </w:rPr>
        <w:t> </w:t>
      </w:r>
      <w:r>
        <w:rPr/>
        <w:t>to</w:t>
      </w:r>
      <w:r>
        <w:rPr>
          <w:spacing w:val="-4"/>
        </w:rPr>
        <w:t> </w:t>
      </w:r>
      <w:r>
        <w:rPr/>
        <w:t>CAFL</w:t>
      </w:r>
      <w:r>
        <w:rPr>
          <w:spacing w:val="-3"/>
        </w:rPr>
        <w:t> </w:t>
      </w:r>
      <w:r>
        <w:rPr/>
        <w:t>attorneys.</w:t>
      </w:r>
      <w:r>
        <w:rPr>
          <w:spacing w:val="-4"/>
        </w:rPr>
        <w:t> </w:t>
      </w:r>
      <w:r>
        <w:rPr/>
        <w:t>Furthermore,</w:t>
      </w:r>
      <w:r>
        <w:rPr>
          <w:spacing w:val="-4"/>
        </w:rPr>
        <w:t> </w:t>
      </w:r>
      <w:r>
        <w:rPr/>
        <w:t>CAFL</w:t>
      </w:r>
      <w:r>
        <w:rPr>
          <w:spacing w:val="-4"/>
        </w:rPr>
        <w:t> </w:t>
      </w:r>
      <w:r>
        <w:rPr/>
        <w:t>shared</w:t>
      </w:r>
      <w:r>
        <w:rPr>
          <w:spacing w:val="-3"/>
        </w:rPr>
        <w:t> </w:t>
      </w:r>
      <w:r>
        <w:rPr/>
        <w:t>that it also frequently provides access to written resources such as manuals and practice advisories which include information on working with LGBTQ youth.</w:t>
      </w:r>
    </w:p>
    <w:p>
      <w:pPr>
        <w:numPr>
          <w:ilvl w:val="0"/>
          <w:numId w:val="48"/>
        </w:numPr>
        <w:tabs>
          <w:tab w:pos="481" w:val="left" w:leader="none"/>
        </w:tabs>
        <w:spacing w:before="238"/>
        <w:ind w:left="481" w:right="0" w:hanging="358"/>
        <w:jc w:val="left"/>
        <w:rPr>
          <w:b/>
          <w:sz w:val="22"/>
        </w:rPr>
      </w:pPr>
      <w:r>
        <w:rPr>
          <w:b/>
          <w:sz w:val="22"/>
        </w:rPr>
        <w:t>Designate</w:t>
      </w:r>
      <w:r>
        <w:rPr>
          <w:b/>
          <w:spacing w:val="-7"/>
          <w:sz w:val="22"/>
        </w:rPr>
        <w:t> </w:t>
      </w:r>
      <w:r>
        <w:rPr>
          <w:b/>
          <w:sz w:val="22"/>
        </w:rPr>
        <w:t>one</w:t>
      </w:r>
      <w:r>
        <w:rPr>
          <w:b/>
          <w:spacing w:val="-7"/>
          <w:sz w:val="22"/>
        </w:rPr>
        <w:t> </w:t>
      </w:r>
      <w:r>
        <w:rPr>
          <w:b/>
          <w:sz w:val="22"/>
        </w:rPr>
        <w:t>or</w:t>
      </w:r>
      <w:r>
        <w:rPr>
          <w:b/>
          <w:spacing w:val="-6"/>
          <w:sz w:val="22"/>
        </w:rPr>
        <w:t> </w:t>
      </w:r>
      <w:r>
        <w:rPr>
          <w:b/>
          <w:sz w:val="22"/>
        </w:rPr>
        <w:t>more</w:t>
      </w:r>
      <w:r>
        <w:rPr>
          <w:b/>
          <w:spacing w:val="-6"/>
          <w:sz w:val="22"/>
        </w:rPr>
        <w:t> </w:t>
      </w:r>
      <w:r>
        <w:rPr>
          <w:b/>
          <w:sz w:val="22"/>
        </w:rPr>
        <w:t>point</w:t>
      </w:r>
      <w:r>
        <w:rPr>
          <w:b/>
          <w:spacing w:val="-7"/>
          <w:sz w:val="22"/>
        </w:rPr>
        <w:t> </w:t>
      </w:r>
      <w:r>
        <w:rPr>
          <w:b/>
          <w:sz w:val="22"/>
        </w:rPr>
        <w:t>people</w:t>
      </w:r>
      <w:r>
        <w:rPr>
          <w:b/>
          <w:spacing w:val="-6"/>
          <w:sz w:val="22"/>
        </w:rPr>
        <w:t> </w:t>
      </w:r>
      <w:r>
        <w:rPr>
          <w:b/>
          <w:sz w:val="22"/>
        </w:rPr>
        <w:t>on</w:t>
      </w:r>
      <w:r>
        <w:rPr>
          <w:b/>
          <w:spacing w:val="-6"/>
          <w:sz w:val="22"/>
        </w:rPr>
        <w:t> </w:t>
      </w:r>
      <w:r>
        <w:rPr>
          <w:b/>
          <w:sz w:val="22"/>
        </w:rPr>
        <w:t>LGBTQ</w:t>
      </w:r>
      <w:r>
        <w:rPr>
          <w:b/>
          <w:spacing w:val="-7"/>
          <w:sz w:val="22"/>
        </w:rPr>
        <w:t> </w:t>
      </w:r>
      <w:r>
        <w:rPr>
          <w:b/>
          <w:spacing w:val="-2"/>
          <w:sz w:val="22"/>
        </w:rPr>
        <w:t>issues.</w:t>
      </w:r>
    </w:p>
    <w:p>
      <w:pPr>
        <w:pStyle w:val="BodyText"/>
        <w:spacing w:before="13"/>
        <w:rPr>
          <w:b/>
        </w:rPr>
      </w:pPr>
    </w:p>
    <w:p>
      <w:pPr>
        <w:pStyle w:val="BodyText"/>
        <w:spacing w:line="276" w:lineRule="auto"/>
        <w:ind w:left="483" w:right="341"/>
        <w:jc w:val="both"/>
      </w:pPr>
      <w:r>
        <w:rPr/>
        <w:t>Having</w:t>
      </w:r>
      <w:r>
        <w:rPr>
          <w:spacing w:val="-13"/>
        </w:rPr>
        <w:t> </w:t>
      </w:r>
      <w:r>
        <w:rPr/>
        <w:t>at</w:t>
      </w:r>
      <w:r>
        <w:rPr>
          <w:spacing w:val="-12"/>
        </w:rPr>
        <w:t> </w:t>
      </w:r>
      <w:r>
        <w:rPr/>
        <w:t>least</w:t>
      </w:r>
      <w:r>
        <w:rPr>
          <w:spacing w:val="-13"/>
        </w:rPr>
        <w:t> </w:t>
      </w:r>
      <w:r>
        <w:rPr/>
        <w:t>one</w:t>
      </w:r>
      <w:r>
        <w:rPr>
          <w:spacing w:val="-12"/>
        </w:rPr>
        <w:t> </w:t>
      </w:r>
      <w:r>
        <w:rPr/>
        <w:t>designated</w:t>
      </w:r>
      <w:r>
        <w:rPr>
          <w:spacing w:val="-13"/>
        </w:rPr>
        <w:t> </w:t>
      </w:r>
      <w:r>
        <w:rPr/>
        <w:t>subject-matter</w:t>
      </w:r>
      <w:r>
        <w:rPr>
          <w:spacing w:val="-12"/>
        </w:rPr>
        <w:t> </w:t>
      </w:r>
      <w:r>
        <w:rPr/>
        <w:t>expert</w:t>
      </w:r>
      <w:r>
        <w:rPr>
          <w:spacing w:val="-13"/>
        </w:rPr>
        <w:t> </w:t>
      </w:r>
      <w:r>
        <w:rPr/>
        <w:t>provides</w:t>
      </w:r>
      <w:r>
        <w:rPr>
          <w:spacing w:val="-12"/>
        </w:rPr>
        <w:t> </w:t>
      </w:r>
      <w:r>
        <w:rPr/>
        <w:t>a</w:t>
      </w:r>
      <w:r>
        <w:rPr>
          <w:spacing w:val="-12"/>
        </w:rPr>
        <w:t> </w:t>
      </w:r>
      <w:r>
        <w:rPr/>
        <w:t>consistent</w:t>
      </w:r>
      <w:r>
        <w:rPr>
          <w:spacing w:val="-13"/>
        </w:rPr>
        <w:t> </w:t>
      </w:r>
      <w:r>
        <w:rPr/>
        <w:t>resource</w:t>
      </w:r>
      <w:r>
        <w:rPr>
          <w:spacing w:val="-12"/>
        </w:rPr>
        <w:t> </w:t>
      </w:r>
      <w:r>
        <w:rPr/>
        <w:t>for</w:t>
      </w:r>
      <w:r>
        <w:rPr>
          <w:spacing w:val="-13"/>
        </w:rPr>
        <w:t> </w:t>
      </w:r>
      <w:r>
        <w:rPr/>
        <w:t>colleagues</w:t>
      </w:r>
      <w:r>
        <w:rPr>
          <w:spacing w:val="-12"/>
        </w:rPr>
        <w:t> </w:t>
      </w:r>
      <w:r>
        <w:rPr/>
        <w:t>to</w:t>
      </w:r>
      <w:r>
        <w:rPr>
          <w:spacing w:val="-13"/>
        </w:rPr>
        <w:t> </w:t>
      </w:r>
      <w:r>
        <w:rPr/>
        <w:t>turn to</w:t>
      </w:r>
      <w:r>
        <w:rPr>
          <w:spacing w:val="-10"/>
        </w:rPr>
        <w:t> </w:t>
      </w:r>
      <w:r>
        <w:rPr/>
        <w:t>for</w:t>
      </w:r>
      <w:r>
        <w:rPr>
          <w:spacing w:val="-10"/>
        </w:rPr>
        <w:t> </w:t>
      </w:r>
      <w:r>
        <w:rPr/>
        <w:t>questions</w:t>
      </w:r>
      <w:r>
        <w:rPr>
          <w:spacing w:val="-10"/>
        </w:rPr>
        <w:t> </w:t>
      </w:r>
      <w:r>
        <w:rPr/>
        <w:t>or</w:t>
      </w:r>
      <w:r>
        <w:rPr>
          <w:spacing w:val="-10"/>
        </w:rPr>
        <w:t> </w:t>
      </w:r>
      <w:r>
        <w:rPr/>
        <w:t>advice</w:t>
      </w:r>
      <w:r>
        <w:rPr>
          <w:spacing w:val="-10"/>
        </w:rPr>
        <w:t> </w:t>
      </w:r>
      <w:r>
        <w:rPr/>
        <w:t>on</w:t>
      </w:r>
      <w:r>
        <w:rPr>
          <w:spacing w:val="-10"/>
        </w:rPr>
        <w:t> </w:t>
      </w:r>
      <w:r>
        <w:rPr/>
        <w:t>advocating</w:t>
      </w:r>
      <w:r>
        <w:rPr>
          <w:spacing w:val="-9"/>
        </w:rPr>
        <w:t> </w:t>
      </w:r>
      <w:r>
        <w:rPr/>
        <w:t>for</w:t>
      </w:r>
      <w:r>
        <w:rPr>
          <w:spacing w:val="-10"/>
        </w:rPr>
        <w:t> </w:t>
      </w:r>
      <w:r>
        <w:rPr/>
        <w:t>LGBTQ</w:t>
      </w:r>
      <w:r>
        <w:rPr>
          <w:spacing w:val="-10"/>
        </w:rPr>
        <w:t> </w:t>
      </w:r>
      <w:r>
        <w:rPr/>
        <w:t>clients.</w:t>
      </w:r>
      <w:r>
        <w:rPr>
          <w:spacing w:val="-11"/>
        </w:rPr>
        <w:t> </w:t>
      </w:r>
      <w:r>
        <w:rPr/>
        <w:t>Currently,</w:t>
      </w:r>
      <w:r>
        <w:rPr>
          <w:spacing w:val="-10"/>
        </w:rPr>
        <w:t> </w:t>
      </w:r>
      <w:r>
        <w:rPr/>
        <w:t>CAFL</w:t>
      </w:r>
      <w:r>
        <w:rPr>
          <w:spacing w:val="-10"/>
        </w:rPr>
        <w:t> </w:t>
      </w:r>
      <w:r>
        <w:rPr/>
        <w:t>plans</w:t>
      </w:r>
      <w:r>
        <w:rPr>
          <w:spacing w:val="-10"/>
        </w:rPr>
        <w:t> </w:t>
      </w:r>
      <w:r>
        <w:rPr/>
        <w:t>to</w:t>
      </w:r>
      <w:r>
        <w:rPr>
          <w:spacing w:val="-10"/>
        </w:rPr>
        <w:t> </w:t>
      </w:r>
      <w:r>
        <w:rPr/>
        <w:t>house</w:t>
      </w:r>
      <w:r>
        <w:rPr>
          <w:spacing w:val="-10"/>
        </w:rPr>
        <w:t> </w:t>
      </w:r>
      <w:r>
        <w:rPr/>
        <w:t>this</w:t>
      </w:r>
      <w:r>
        <w:rPr>
          <w:spacing w:val="-9"/>
        </w:rPr>
        <w:t> </w:t>
      </w:r>
      <w:r>
        <w:rPr/>
        <w:t>work</w:t>
      </w:r>
      <w:r>
        <w:rPr>
          <w:spacing w:val="-11"/>
        </w:rPr>
        <w:t> </w:t>
      </w:r>
      <w:r>
        <w:rPr/>
        <w:t>under the</w:t>
      </w:r>
      <w:r>
        <w:rPr>
          <w:spacing w:val="-8"/>
        </w:rPr>
        <w:t> </w:t>
      </w:r>
      <w:r>
        <w:rPr/>
        <w:t>forthcoming</w:t>
      </w:r>
      <w:r>
        <w:rPr>
          <w:spacing w:val="-8"/>
        </w:rPr>
        <w:t> </w:t>
      </w:r>
      <w:r>
        <w:rPr/>
        <w:t>TAY</w:t>
      </w:r>
      <w:r>
        <w:rPr>
          <w:spacing w:val="-7"/>
        </w:rPr>
        <w:t> </w:t>
      </w:r>
      <w:r>
        <w:rPr/>
        <w:t>unit,</w:t>
      </w:r>
      <w:r>
        <w:rPr>
          <w:spacing w:val="-6"/>
        </w:rPr>
        <w:t> </w:t>
      </w:r>
      <w:r>
        <w:rPr/>
        <w:t>but</w:t>
      </w:r>
      <w:r>
        <w:rPr>
          <w:spacing w:val="-7"/>
        </w:rPr>
        <w:t> </w:t>
      </w:r>
      <w:r>
        <w:rPr/>
        <w:t>the</w:t>
      </w:r>
      <w:r>
        <w:rPr>
          <w:spacing w:val="-7"/>
        </w:rPr>
        <w:t> </w:t>
      </w:r>
      <w:r>
        <w:rPr/>
        <w:t>Commission</w:t>
      </w:r>
      <w:r>
        <w:rPr>
          <w:spacing w:val="-8"/>
        </w:rPr>
        <w:t> </w:t>
      </w:r>
      <w:r>
        <w:rPr/>
        <w:t>continues</w:t>
      </w:r>
      <w:r>
        <w:rPr>
          <w:spacing w:val="-7"/>
        </w:rPr>
        <w:t> </w:t>
      </w:r>
      <w:r>
        <w:rPr/>
        <w:t>to</w:t>
      </w:r>
      <w:r>
        <w:rPr>
          <w:spacing w:val="-7"/>
        </w:rPr>
        <w:t> </w:t>
      </w:r>
      <w:r>
        <w:rPr/>
        <w:t>recommend</w:t>
      </w:r>
      <w:r>
        <w:rPr>
          <w:spacing w:val="-7"/>
        </w:rPr>
        <w:t> </w:t>
      </w:r>
      <w:r>
        <w:rPr/>
        <w:t>that</w:t>
      </w:r>
      <w:r>
        <w:rPr>
          <w:spacing w:val="-7"/>
        </w:rPr>
        <w:t> </w:t>
      </w:r>
      <w:r>
        <w:rPr/>
        <w:t>a</w:t>
      </w:r>
      <w:r>
        <w:rPr>
          <w:spacing w:val="-7"/>
        </w:rPr>
        <w:t> </w:t>
      </w:r>
      <w:r>
        <w:rPr/>
        <w:t>dedicated</w:t>
      </w:r>
      <w:r>
        <w:rPr>
          <w:spacing w:val="-8"/>
        </w:rPr>
        <w:t> </w:t>
      </w:r>
      <w:r>
        <w:rPr/>
        <w:t>point</w:t>
      </w:r>
      <w:r>
        <w:rPr>
          <w:spacing w:val="-7"/>
        </w:rPr>
        <w:t> </w:t>
      </w:r>
      <w:r>
        <w:rPr/>
        <w:t>person</w:t>
      </w:r>
      <w:r>
        <w:rPr>
          <w:spacing w:val="-8"/>
        </w:rPr>
        <w:t> </w:t>
      </w:r>
      <w:r>
        <w:rPr/>
        <w:t>be appointed</w:t>
      </w:r>
      <w:r>
        <w:rPr>
          <w:spacing w:val="-4"/>
        </w:rPr>
        <w:t> </w:t>
      </w:r>
      <w:r>
        <w:rPr/>
        <w:t>to</w:t>
      </w:r>
      <w:r>
        <w:rPr>
          <w:spacing w:val="-5"/>
        </w:rPr>
        <w:t> </w:t>
      </w:r>
      <w:r>
        <w:rPr/>
        <w:t>work</w:t>
      </w:r>
      <w:r>
        <w:rPr>
          <w:spacing w:val="-5"/>
        </w:rPr>
        <w:t> </w:t>
      </w:r>
      <w:r>
        <w:rPr/>
        <w:t>on</w:t>
      </w:r>
      <w:r>
        <w:rPr>
          <w:spacing w:val="-5"/>
        </w:rPr>
        <w:t> </w:t>
      </w:r>
      <w:r>
        <w:rPr/>
        <w:t>these</w:t>
      </w:r>
      <w:r>
        <w:rPr>
          <w:spacing w:val="-5"/>
        </w:rPr>
        <w:t> </w:t>
      </w:r>
      <w:r>
        <w:rPr/>
        <w:t>recommendations</w:t>
      </w:r>
      <w:r>
        <w:rPr>
          <w:spacing w:val="-5"/>
        </w:rPr>
        <w:t> </w:t>
      </w:r>
      <w:r>
        <w:rPr/>
        <w:t>(and</w:t>
      </w:r>
      <w:r>
        <w:rPr>
          <w:spacing w:val="-5"/>
        </w:rPr>
        <w:t> </w:t>
      </w:r>
      <w:r>
        <w:rPr/>
        <w:t>beyond).</w:t>
      </w:r>
      <w:r>
        <w:rPr>
          <w:spacing w:val="-5"/>
        </w:rPr>
        <w:t> </w:t>
      </w:r>
      <w:r>
        <w:rPr/>
        <w:t>The</w:t>
      </w:r>
      <w:r>
        <w:rPr>
          <w:spacing w:val="-4"/>
        </w:rPr>
        <w:t> </w:t>
      </w:r>
      <w:r>
        <w:rPr/>
        <w:t>Commission</w:t>
      </w:r>
      <w:r>
        <w:rPr>
          <w:spacing w:val="-5"/>
        </w:rPr>
        <w:t> </w:t>
      </w:r>
      <w:r>
        <w:rPr/>
        <w:t>has</w:t>
      </w:r>
      <w:r>
        <w:rPr>
          <w:spacing w:val="-5"/>
        </w:rPr>
        <w:t> </w:t>
      </w:r>
      <w:r>
        <w:rPr/>
        <w:t>seen</w:t>
      </w:r>
      <w:r>
        <w:rPr>
          <w:spacing w:val="-5"/>
        </w:rPr>
        <w:t> </w:t>
      </w:r>
      <w:r>
        <w:rPr/>
        <w:t>similar</w:t>
      </w:r>
      <w:r>
        <w:rPr>
          <w:spacing w:val="-5"/>
        </w:rPr>
        <w:t> </w:t>
      </w:r>
      <w:r>
        <w:rPr/>
        <w:t>resources</w:t>
      </w:r>
    </w:p>
    <w:p>
      <w:pPr>
        <w:pStyle w:val="BodyText"/>
        <w:spacing w:line="276" w:lineRule="auto"/>
        <w:ind w:left="483" w:right="341"/>
        <w:jc w:val="both"/>
      </w:pPr>
      <w:r>
        <w:rPr/>
        <w:t>- such as DCF’s internal group of LGBTQ “liaisons” and dedicated LGBTQ outreach staff positions - be effective at other agencies. In order for such a resource to be most impactful, the job description of a subject-matter</w:t>
      </w:r>
      <w:r>
        <w:rPr>
          <w:spacing w:val="-11"/>
        </w:rPr>
        <w:t> </w:t>
      </w:r>
      <w:r>
        <w:rPr/>
        <w:t>expert</w:t>
      </w:r>
      <w:r>
        <w:rPr>
          <w:spacing w:val="-11"/>
        </w:rPr>
        <w:t> </w:t>
      </w:r>
      <w:r>
        <w:rPr/>
        <w:t>should</w:t>
      </w:r>
      <w:r>
        <w:rPr>
          <w:spacing w:val="-11"/>
        </w:rPr>
        <w:t> </w:t>
      </w:r>
      <w:r>
        <w:rPr/>
        <w:t>explicitly</w:t>
      </w:r>
      <w:r>
        <w:rPr>
          <w:spacing w:val="-11"/>
        </w:rPr>
        <w:t> </w:t>
      </w:r>
      <w:r>
        <w:rPr/>
        <w:t>include</w:t>
      </w:r>
      <w:r>
        <w:rPr>
          <w:spacing w:val="-10"/>
        </w:rPr>
        <w:t> </w:t>
      </w:r>
      <w:r>
        <w:rPr/>
        <w:t>this</w:t>
      </w:r>
      <w:r>
        <w:rPr>
          <w:spacing w:val="-10"/>
        </w:rPr>
        <w:t> </w:t>
      </w:r>
      <w:r>
        <w:rPr/>
        <w:t>work</w:t>
      </w:r>
      <w:r>
        <w:rPr>
          <w:spacing w:val="-12"/>
        </w:rPr>
        <w:t> </w:t>
      </w:r>
      <w:r>
        <w:rPr/>
        <w:t>-</w:t>
      </w:r>
      <w:r>
        <w:rPr>
          <w:spacing w:val="-11"/>
        </w:rPr>
        <w:t> </w:t>
      </w:r>
      <w:r>
        <w:rPr/>
        <w:t>for</w:t>
      </w:r>
      <w:r>
        <w:rPr>
          <w:spacing w:val="-10"/>
        </w:rPr>
        <w:t> </w:t>
      </w:r>
      <w:r>
        <w:rPr/>
        <w:t>instance,</w:t>
      </w:r>
      <w:r>
        <w:rPr>
          <w:spacing w:val="-10"/>
        </w:rPr>
        <w:t> </w:t>
      </w:r>
      <w:r>
        <w:rPr/>
        <w:t>by</w:t>
      </w:r>
      <w:r>
        <w:rPr>
          <w:spacing w:val="-10"/>
        </w:rPr>
        <w:t> </w:t>
      </w:r>
      <w:r>
        <w:rPr/>
        <w:t>ensuring</w:t>
      </w:r>
      <w:r>
        <w:rPr>
          <w:spacing w:val="-12"/>
        </w:rPr>
        <w:t> </w:t>
      </w:r>
      <w:r>
        <w:rPr/>
        <w:t>a</w:t>
      </w:r>
      <w:r>
        <w:rPr>
          <w:spacing w:val="-10"/>
        </w:rPr>
        <w:t> </w:t>
      </w:r>
      <w:r>
        <w:rPr/>
        <w:t>low</w:t>
      </w:r>
      <w:r>
        <w:rPr>
          <w:spacing w:val="-11"/>
        </w:rPr>
        <w:t> </w:t>
      </w:r>
      <w:r>
        <w:rPr/>
        <w:t>enough</w:t>
      </w:r>
      <w:r>
        <w:rPr>
          <w:spacing w:val="-10"/>
        </w:rPr>
        <w:t> </w:t>
      </w:r>
      <w:r>
        <w:rPr/>
        <w:t>caseload to</w:t>
      </w:r>
      <w:r>
        <w:rPr>
          <w:spacing w:val="-6"/>
        </w:rPr>
        <w:t> </w:t>
      </w:r>
      <w:r>
        <w:rPr/>
        <w:t>accommodate</w:t>
      </w:r>
      <w:r>
        <w:rPr>
          <w:spacing w:val="-5"/>
        </w:rPr>
        <w:t> </w:t>
      </w:r>
      <w:r>
        <w:rPr/>
        <w:t>consultations</w:t>
      </w:r>
      <w:r>
        <w:rPr>
          <w:spacing w:val="-6"/>
        </w:rPr>
        <w:t> </w:t>
      </w:r>
      <w:r>
        <w:rPr/>
        <w:t>with</w:t>
      </w:r>
      <w:r>
        <w:rPr>
          <w:spacing w:val="-4"/>
        </w:rPr>
        <w:t> </w:t>
      </w:r>
      <w:r>
        <w:rPr/>
        <w:t>colleagues</w:t>
      </w:r>
      <w:r>
        <w:rPr>
          <w:spacing w:val="-6"/>
        </w:rPr>
        <w:t> </w:t>
      </w:r>
      <w:r>
        <w:rPr/>
        <w:t>and</w:t>
      </w:r>
      <w:r>
        <w:rPr>
          <w:spacing w:val="-5"/>
        </w:rPr>
        <w:t> </w:t>
      </w:r>
      <w:r>
        <w:rPr/>
        <w:t>participating</w:t>
      </w:r>
      <w:r>
        <w:rPr>
          <w:spacing w:val="-5"/>
        </w:rPr>
        <w:t> </w:t>
      </w:r>
      <w:r>
        <w:rPr/>
        <w:t>in</w:t>
      </w:r>
      <w:r>
        <w:rPr>
          <w:spacing w:val="-5"/>
        </w:rPr>
        <w:t> </w:t>
      </w:r>
      <w:r>
        <w:rPr/>
        <w:t>internal</w:t>
      </w:r>
      <w:r>
        <w:rPr>
          <w:spacing w:val="-5"/>
        </w:rPr>
        <w:t> </w:t>
      </w:r>
      <w:r>
        <w:rPr/>
        <w:t>policy,</w:t>
      </w:r>
      <w:r>
        <w:rPr>
          <w:spacing w:val="-6"/>
        </w:rPr>
        <w:t> </w:t>
      </w:r>
      <w:r>
        <w:rPr/>
        <w:t>training,</w:t>
      </w:r>
      <w:r>
        <w:rPr>
          <w:spacing w:val="-6"/>
        </w:rPr>
        <w:t> </w:t>
      </w:r>
      <w:r>
        <w:rPr/>
        <w:t>and</w:t>
      </w:r>
      <w:r>
        <w:rPr>
          <w:spacing w:val="-7"/>
        </w:rPr>
        <w:t> </w:t>
      </w:r>
      <w:r>
        <w:rPr/>
        <w:t>resource development work. The Commission recommends that CAFL create such a position and ensure that it is filled by someone with expertise in LGBTQ cultural competency. While such a position would ideally be occupied by someone with previous experience representing children or parents, to the extent that funding</w:t>
      </w:r>
      <w:r>
        <w:rPr>
          <w:spacing w:val="-13"/>
        </w:rPr>
        <w:t> </w:t>
      </w:r>
      <w:r>
        <w:rPr/>
        <w:t>is</w:t>
      </w:r>
      <w:r>
        <w:rPr>
          <w:spacing w:val="-12"/>
        </w:rPr>
        <w:t> </w:t>
      </w:r>
      <w:r>
        <w:rPr/>
        <w:t>not</w:t>
      </w:r>
      <w:r>
        <w:rPr>
          <w:spacing w:val="-13"/>
        </w:rPr>
        <w:t> </w:t>
      </w:r>
      <w:r>
        <w:rPr/>
        <w:t>immediately</w:t>
      </w:r>
      <w:r>
        <w:rPr>
          <w:spacing w:val="-12"/>
        </w:rPr>
        <w:t> </w:t>
      </w:r>
      <w:r>
        <w:rPr/>
        <w:t>available,</w:t>
      </w:r>
      <w:r>
        <w:rPr>
          <w:spacing w:val="-13"/>
        </w:rPr>
        <w:t> </w:t>
      </w:r>
      <w:r>
        <w:rPr/>
        <w:t>the</w:t>
      </w:r>
      <w:r>
        <w:rPr>
          <w:spacing w:val="-12"/>
        </w:rPr>
        <w:t> </w:t>
      </w:r>
      <w:r>
        <w:rPr/>
        <w:t>Commission</w:t>
      </w:r>
      <w:r>
        <w:rPr>
          <w:spacing w:val="-13"/>
        </w:rPr>
        <w:t> </w:t>
      </w:r>
      <w:r>
        <w:rPr/>
        <w:t>notes</w:t>
      </w:r>
      <w:r>
        <w:rPr>
          <w:spacing w:val="-12"/>
        </w:rPr>
        <w:t> </w:t>
      </w:r>
      <w:r>
        <w:rPr/>
        <w:t>that</w:t>
      </w:r>
      <w:r>
        <w:rPr>
          <w:spacing w:val="-12"/>
        </w:rPr>
        <w:t> </w:t>
      </w:r>
      <w:r>
        <w:rPr/>
        <w:t>CAFL</w:t>
      </w:r>
      <w:r>
        <w:rPr>
          <w:spacing w:val="-13"/>
        </w:rPr>
        <w:t> </w:t>
      </w:r>
      <w:r>
        <w:rPr/>
        <w:t>may</w:t>
      </w:r>
      <w:r>
        <w:rPr>
          <w:spacing w:val="-12"/>
        </w:rPr>
        <w:t> </w:t>
      </w:r>
      <w:r>
        <w:rPr/>
        <w:t>be</w:t>
      </w:r>
      <w:r>
        <w:rPr>
          <w:spacing w:val="-13"/>
        </w:rPr>
        <w:t> </w:t>
      </w:r>
      <w:r>
        <w:rPr/>
        <w:t>eligible</w:t>
      </w:r>
      <w:r>
        <w:rPr>
          <w:spacing w:val="-12"/>
        </w:rPr>
        <w:t> </w:t>
      </w:r>
      <w:r>
        <w:rPr/>
        <w:t>to</w:t>
      </w:r>
      <w:r>
        <w:rPr>
          <w:spacing w:val="-13"/>
        </w:rPr>
        <w:t> </w:t>
      </w:r>
      <w:r>
        <w:rPr/>
        <w:t>host</w:t>
      </w:r>
      <w:r>
        <w:rPr>
          <w:spacing w:val="-12"/>
        </w:rPr>
        <w:t> </w:t>
      </w:r>
      <w:r>
        <w:rPr/>
        <w:t>a</w:t>
      </w:r>
      <w:r>
        <w:rPr>
          <w:spacing w:val="-12"/>
        </w:rPr>
        <w:t> </w:t>
      </w:r>
      <w:r>
        <w:rPr/>
        <w:t>legal</w:t>
      </w:r>
      <w:r>
        <w:rPr>
          <w:spacing w:val="-13"/>
        </w:rPr>
        <w:t> </w:t>
      </w:r>
      <w:r>
        <w:rPr/>
        <w:t>fellow with an eye toward creating a permanent role after fellowship funding ends</w:t>
      </w:r>
      <w:hyperlink w:history="true" w:anchor="_bookmark656">
        <w:r>
          <w:rPr/>
          <w:t>.</w:t>
        </w:r>
        <w:r>
          <w:rPr>
            <w:vertAlign w:val="superscript"/>
          </w:rPr>
          <w:t>3</w:t>
        </w:r>
      </w:hyperlink>
    </w:p>
    <w:p>
      <w:pPr>
        <w:numPr>
          <w:ilvl w:val="0"/>
          <w:numId w:val="48"/>
        </w:numPr>
        <w:tabs>
          <w:tab w:pos="481" w:val="left" w:leader="none"/>
          <w:tab w:pos="483" w:val="left" w:leader="none"/>
        </w:tabs>
        <w:spacing w:line="276" w:lineRule="auto" w:before="239"/>
        <w:ind w:left="483" w:right="344" w:hanging="360"/>
        <w:jc w:val="left"/>
        <w:rPr>
          <w:b/>
          <w:sz w:val="22"/>
        </w:rPr>
      </w:pPr>
      <w:r>
        <w:rPr>
          <w:b/>
          <w:sz w:val="22"/>
        </w:rPr>
        <w:t>Ensure</w:t>
      </w:r>
      <w:r>
        <w:rPr>
          <w:b/>
          <w:spacing w:val="37"/>
          <w:sz w:val="22"/>
        </w:rPr>
        <w:t> </w:t>
      </w:r>
      <w:r>
        <w:rPr>
          <w:b/>
          <w:sz w:val="22"/>
        </w:rPr>
        <w:t>that</w:t>
      </w:r>
      <w:r>
        <w:rPr>
          <w:b/>
          <w:spacing w:val="38"/>
          <w:sz w:val="22"/>
        </w:rPr>
        <w:t> </w:t>
      </w:r>
      <w:r>
        <w:rPr>
          <w:b/>
          <w:sz w:val="22"/>
        </w:rPr>
        <w:t>legal</w:t>
      </w:r>
      <w:r>
        <w:rPr>
          <w:b/>
          <w:spacing w:val="37"/>
          <w:sz w:val="22"/>
        </w:rPr>
        <w:t> </w:t>
      </w:r>
      <w:r>
        <w:rPr>
          <w:b/>
          <w:sz w:val="22"/>
        </w:rPr>
        <w:t>case</w:t>
      </w:r>
      <w:r>
        <w:rPr>
          <w:b/>
          <w:spacing w:val="37"/>
          <w:sz w:val="22"/>
        </w:rPr>
        <w:t> </w:t>
      </w:r>
      <w:r>
        <w:rPr>
          <w:b/>
          <w:sz w:val="22"/>
        </w:rPr>
        <w:t>management</w:t>
      </w:r>
      <w:r>
        <w:rPr>
          <w:b/>
          <w:spacing w:val="36"/>
          <w:sz w:val="22"/>
        </w:rPr>
        <w:t> </w:t>
      </w:r>
      <w:r>
        <w:rPr>
          <w:b/>
          <w:sz w:val="22"/>
        </w:rPr>
        <w:t>systems</w:t>
      </w:r>
      <w:r>
        <w:rPr>
          <w:b/>
          <w:spacing w:val="37"/>
          <w:sz w:val="22"/>
        </w:rPr>
        <w:t> </w:t>
      </w:r>
      <w:r>
        <w:rPr>
          <w:b/>
          <w:sz w:val="22"/>
        </w:rPr>
        <w:t>include</w:t>
      </w:r>
      <w:r>
        <w:rPr>
          <w:b/>
          <w:spacing w:val="37"/>
          <w:sz w:val="22"/>
        </w:rPr>
        <w:t> </w:t>
      </w:r>
      <w:r>
        <w:rPr>
          <w:b/>
          <w:sz w:val="22"/>
        </w:rPr>
        <w:t>a</w:t>
      </w:r>
      <w:r>
        <w:rPr>
          <w:b/>
          <w:spacing w:val="37"/>
          <w:sz w:val="22"/>
        </w:rPr>
        <w:t> </w:t>
      </w:r>
      <w:r>
        <w:rPr>
          <w:b/>
          <w:sz w:val="22"/>
        </w:rPr>
        <w:t>field</w:t>
      </w:r>
      <w:r>
        <w:rPr>
          <w:b/>
          <w:spacing w:val="37"/>
          <w:sz w:val="22"/>
        </w:rPr>
        <w:t> </w:t>
      </w:r>
      <w:r>
        <w:rPr>
          <w:b/>
          <w:sz w:val="22"/>
        </w:rPr>
        <w:t>for</w:t>
      </w:r>
      <w:r>
        <w:rPr>
          <w:b/>
          <w:spacing w:val="36"/>
          <w:sz w:val="22"/>
        </w:rPr>
        <w:t> </w:t>
      </w:r>
      <w:r>
        <w:rPr>
          <w:b/>
          <w:sz w:val="22"/>
        </w:rPr>
        <w:t>chosen</w:t>
      </w:r>
      <w:r>
        <w:rPr>
          <w:b/>
          <w:spacing w:val="37"/>
          <w:sz w:val="22"/>
        </w:rPr>
        <w:t> </w:t>
      </w:r>
      <w:r>
        <w:rPr>
          <w:b/>
          <w:sz w:val="22"/>
        </w:rPr>
        <w:t>names</w:t>
      </w:r>
      <w:r>
        <w:rPr>
          <w:b/>
          <w:spacing w:val="37"/>
          <w:sz w:val="22"/>
        </w:rPr>
        <w:t> </w:t>
      </w:r>
      <w:r>
        <w:rPr>
          <w:b/>
          <w:sz w:val="22"/>
        </w:rPr>
        <w:t>and</w:t>
      </w:r>
      <w:r>
        <w:rPr>
          <w:b/>
          <w:spacing w:val="37"/>
          <w:sz w:val="22"/>
        </w:rPr>
        <w:t> </w:t>
      </w:r>
      <w:r>
        <w:rPr>
          <w:b/>
          <w:sz w:val="22"/>
        </w:rPr>
        <w:t>pronouns,</w:t>
      </w:r>
      <w:r>
        <w:rPr>
          <w:b/>
          <w:spacing w:val="38"/>
          <w:sz w:val="22"/>
        </w:rPr>
        <w:t> </w:t>
      </w:r>
      <w:r>
        <w:rPr>
          <w:b/>
          <w:sz w:val="22"/>
        </w:rPr>
        <w:t>and provide support on collecting sexual orientation, gender identity (SOGI), and other demographics.</w:t>
      </w:r>
    </w:p>
    <w:p>
      <w:pPr>
        <w:pStyle w:val="BodyText"/>
        <w:spacing w:line="276" w:lineRule="auto" w:before="241"/>
        <w:ind w:left="483" w:right="340"/>
        <w:jc w:val="both"/>
      </w:pPr>
      <w:r>
        <w:rPr/>
        <w:t>Since last year’s report, CAFL has updated their case system so that attorneys and other staff members can</w:t>
      </w:r>
      <w:r>
        <w:rPr>
          <w:spacing w:val="-13"/>
        </w:rPr>
        <w:t> </w:t>
      </w:r>
      <w:r>
        <w:rPr/>
        <w:t>indicate</w:t>
      </w:r>
      <w:r>
        <w:rPr>
          <w:spacing w:val="-12"/>
        </w:rPr>
        <w:t> </w:t>
      </w:r>
      <w:r>
        <w:rPr/>
        <w:t>gender</w:t>
      </w:r>
      <w:r>
        <w:rPr>
          <w:spacing w:val="-13"/>
        </w:rPr>
        <w:t> </w:t>
      </w:r>
      <w:r>
        <w:rPr/>
        <w:t>identity,</w:t>
      </w:r>
      <w:r>
        <w:rPr>
          <w:spacing w:val="-12"/>
        </w:rPr>
        <w:t> </w:t>
      </w:r>
      <w:r>
        <w:rPr/>
        <w:t>pronouns,</w:t>
      </w:r>
      <w:r>
        <w:rPr>
          <w:spacing w:val="-13"/>
        </w:rPr>
        <w:t> </w:t>
      </w:r>
      <w:r>
        <w:rPr/>
        <w:t>and</w:t>
      </w:r>
      <w:r>
        <w:rPr>
          <w:spacing w:val="-12"/>
        </w:rPr>
        <w:t> </w:t>
      </w:r>
      <w:r>
        <w:rPr/>
        <w:t>chosen</w:t>
      </w:r>
      <w:r>
        <w:rPr>
          <w:spacing w:val="-13"/>
        </w:rPr>
        <w:t> </w:t>
      </w:r>
      <w:r>
        <w:rPr/>
        <w:t>name.</w:t>
      </w:r>
      <w:r>
        <w:rPr>
          <w:spacing w:val="-12"/>
        </w:rPr>
        <w:t> </w:t>
      </w:r>
      <w:r>
        <w:rPr/>
        <w:t>To</w:t>
      </w:r>
      <w:r>
        <w:rPr>
          <w:spacing w:val="-12"/>
        </w:rPr>
        <w:t> </w:t>
      </w:r>
      <w:r>
        <w:rPr/>
        <w:t>avoid</w:t>
      </w:r>
      <w:r>
        <w:rPr>
          <w:spacing w:val="-13"/>
        </w:rPr>
        <w:t> </w:t>
      </w:r>
      <w:r>
        <w:rPr/>
        <w:t>unwanted</w:t>
      </w:r>
      <w:r>
        <w:rPr>
          <w:spacing w:val="-12"/>
        </w:rPr>
        <w:t> </w:t>
      </w:r>
      <w:r>
        <w:rPr/>
        <w:t>disclosures,</w:t>
      </w:r>
      <w:r>
        <w:rPr>
          <w:spacing w:val="-13"/>
        </w:rPr>
        <w:t> </w:t>
      </w:r>
      <w:r>
        <w:rPr/>
        <w:t>this</w:t>
      </w:r>
      <w:r>
        <w:rPr>
          <w:spacing w:val="-12"/>
        </w:rPr>
        <w:t> </w:t>
      </w:r>
      <w:r>
        <w:rPr/>
        <w:t>field</w:t>
      </w:r>
      <w:r>
        <w:rPr>
          <w:spacing w:val="-13"/>
        </w:rPr>
        <w:t> </w:t>
      </w:r>
      <w:r>
        <w:rPr/>
        <w:t>should also</w:t>
      </w:r>
      <w:r>
        <w:rPr>
          <w:spacing w:val="-8"/>
        </w:rPr>
        <w:t> </w:t>
      </w:r>
      <w:r>
        <w:rPr/>
        <w:t>include</w:t>
      </w:r>
      <w:r>
        <w:rPr>
          <w:spacing w:val="-8"/>
        </w:rPr>
        <w:t> </w:t>
      </w:r>
      <w:r>
        <w:rPr/>
        <w:t>a</w:t>
      </w:r>
      <w:r>
        <w:rPr>
          <w:spacing w:val="-9"/>
        </w:rPr>
        <w:t> </w:t>
      </w:r>
      <w:r>
        <w:rPr/>
        <w:t>mechanism</w:t>
      </w:r>
      <w:r>
        <w:rPr>
          <w:spacing w:val="-8"/>
        </w:rPr>
        <w:t> </w:t>
      </w:r>
      <w:r>
        <w:rPr/>
        <w:t>to</w:t>
      </w:r>
      <w:r>
        <w:rPr>
          <w:spacing w:val="-8"/>
        </w:rPr>
        <w:t> </w:t>
      </w:r>
      <w:r>
        <w:rPr/>
        <w:t>indicate</w:t>
      </w:r>
      <w:r>
        <w:rPr>
          <w:spacing w:val="-8"/>
        </w:rPr>
        <w:t> </w:t>
      </w:r>
      <w:r>
        <w:rPr/>
        <w:t>whether</w:t>
      </w:r>
      <w:r>
        <w:rPr>
          <w:spacing w:val="-8"/>
        </w:rPr>
        <w:t> </w:t>
      </w:r>
      <w:r>
        <w:rPr/>
        <w:t>there</w:t>
      </w:r>
      <w:r>
        <w:rPr>
          <w:spacing w:val="-8"/>
        </w:rPr>
        <w:t> </w:t>
      </w:r>
      <w:r>
        <w:rPr/>
        <w:t>are</w:t>
      </w:r>
      <w:r>
        <w:rPr>
          <w:spacing w:val="-9"/>
        </w:rPr>
        <w:t> </w:t>
      </w:r>
      <w:r>
        <w:rPr/>
        <w:t>spaces</w:t>
      </w:r>
      <w:r>
        <w:rPr>
          <w:spacing w:val="-7"/>
        </w:rPr>
        <w:t> </w:t>
      </w:r>
      <w:r>
        <w:rPr/>
        <w:t>in</w:t>
      </w:r>
      <w:r>
        <w:rPr>
          <w:spacing w:val="-7"/>
        </w:rPr>
        <w:t> </w:t>
      </w:r>
      <w:r>
        <w:rPr/>
        <w:t>which</w:t>
      </w:r>
      <w:r>
        <w:rPr>
          <w:spacing w:val="-8"/>
        </w:rPr>
        <w:t> </w:t>
      </w:r>
      <w:r>
        <w:rPr/>
        <w:t>the</w:t>
      </w:r>
      <w:r>
        <w:rPr>
          <w:spacing w:val="-8"/>
        </w:rPr>
        <w:t> </w:t>
      </w:r>
      <w:r>
        <w:rPr/>
        <w:t>client</w:t>
      </w:r>
      <w:r>
        <w:rPr>
          <w:spacing w:val="-8"/>
        </w:rPr>
        <w:t> </w:t>
      </w:r>
      <w:r>
        <w:rPr/>
        <w:t>is</w:t>
      </w:r>
      <w:r>
        <w:rPr>
          <w:spacing w:val="-8"/>
        </w:rPr>
        <w:t> </w:t>
      </w:r>
      <w:r>
        <w:rPr/>
        <w:t>not</w:t>
      </w:r>
      <w:r>
        <w:rPr>
          <w:spacing w:val="-7"/>
        </w:rPr>
        <w:t> </w:t>
      </w:r>
      <w:r>
        <w:rPr/>
        <w:t>comfortable</w:t>
      </w:r>
      <w:r>
        <w:rPr>
          <w:spacing w:val="-9"/>
        </w:rPr>
        <w:t> </w:t>
      </w:r>
      <w:r>
        <w:rPr/>
        <w:t>with their pronouns being used - e.g. with DCF staff, their judge, specific service providers, foster parents, or family members. The Commission also recommends that CAFL encourage private attorneys to adopt similar practices within their own law offices, particularly in offices where more than one attorney or other professional may interact with the case file. Finally, the Commission notes the importance of collecting demographic data as part of evaluating the needs of, outcomes for, and service delivery to LGBTQ youth, including the needs of, outcomes for, and service delivery to LGBTQ youth of color and LGBTQ</w:t>
      </w:r>
      <w:r>
        <w:rPr>
          <w:spacing w:val="-4"/>
        </w:rPr>
        <w:t> </w:t>
      </w:r>
      <w:r>
        <w:rPr/>
        <w:t>youth</w:t>
      </w:r>
      <w:r>
        <w:rPr>
          <w:spacing w:val="-3"/>
        </w:rPr>
        <w:t> </w:t>
      </w:r>
      <w:r>
        <w:rPr/>
        <w:t>with</w:t>
      </w:r>
      <w:r>
        <w:rPr>
          <w:spacing w:val="-4"/>
        </w:rPr>
        <w:t> </w:t>
      </w:r>
      <w:r>
        <w:rPr/>
        <w:t>disabilities.</w:t>
      </w:r>
      <w:r>
        <w:rPr>
          <w:spacing w:val="-4"/>
        </w:rPr>
        <w:t> </w:t>
      </w:r>
      <w:r>
        <w:rPr/>
        <w:t>The</w:t>
      </w:r>
      <w:r>
        <w:rPr>
          <w:spacing w:val="-4"/>
        </w:rPr>
        <w:t> </w:t>
      </w:r>
      <w:r>
        <w:rPr/>
        <w:t>Commission</w:t>
      </w:r>
      <w:r>
        <w:rPr>
          <w:spacing w:val="-4"/>
        </w:rPr>
        <w:t> </w:t>
      </w:r>
      <w:r>
        <w:rPr/>
        <w:t>recommends</w:t>
      </w:r>
      <w:r>
        <w:rPr>
          <w:spacing w:val="-4"/>
        </w:rPr>
        <w:t> </w:t>
      </w:r>
      <w:r>
        <w:rPr/>
        <w:t>CAFL</w:t>
      </w:r>
      <w:r>
        <w:rPr>
          <w:spacing w:val="-4"/>
        </w:rPr>
        <w:t> </w:t>
      </w:r>
      <w:r>
        <w:rPr/>
        <w:t>provide</w:t>
      </w:r>
      <w:r>
        <w:rPr>
          <w:spacing w:val="-4"/>
        </w:rPr>
        <w:t> </w:t>
      </w:r>
      <w:r>
        <w:rPr/>
        <w:t>support</w:t>
      </w:r>
      <w:r>
        <w:rPr>
          <w:spacing w:val="-4"/>
        </w:rPr>
        <w:t> </w:t>
      </w:r>
      <w:r>
        <w:rPr/>
        <w:t>to</w:t>
      </w:r>
      <w:r>
        <w:rPr>
          <w:spacing w:val="-4"/>
        </w:rPr>
        <w:t> </w:t>
      </w:r>
      <w:r>
        <w:rPr/>
        <w:t>attorneys</w:t>
      </w:r>
      <w:r>
        <w:rPr>
          <w:spacing w:val="-4"/>
        </w:rPr>
        <w:t> </w:t>
      </w:r>
      <w:r>
        <w:rPr/>
        <w:t>on</w:t>
      </w:r>
      <w:r>
        <w:rPr>
          <w:spacing w:val="-4"/>
        </w:rPr>
        <w:t> </w:t>
      </w:r>
      <w:r>
        <w:rPr/>
        <w:t>when and</w:t>
      </w:r>
      <w:r>
        <w:rPr>
          <w:spacing w:val="-7"/>
        </w:rPr>
        <w:t> </w:t>
      </w:r>
      <w:r>
        <w:rPr/>
        <w:t>how</w:t>
      </w:r>
      <w:r>
        <w:rPr>
          <w:spacing w:val="-5"/>
        </w:rPr>
        <w:t> </w:t>
      </w:r>
      <w:r>
        <w:rPr/>
        <w:t>to</w:t>
      </w:r>
      <w:r>
        <w:rPr>
          <w:spacing w:val="-6"/>
        </w:rPr>
        <w:t> </w:t>
      </w:r>
      <w:r>
        <w:rPr/>
        <w:t>collect</w:t>
      </w:r>
      <w:r>
        <w:rPr>
          <w:spacing w:val="-7"/>
        </w:rPr>
        <w:t> </w:t>
      </w:r>
      <w:r>
        <w:rPr/>
        <w:t>and</w:t>
      </w:r>
      <w:r>
        <w:rPr>
          <w:spacing w:val="-7"/>
        </w:rPr>
        <w:t> </w:t>
      </w:r>
      <w:r>
        <w:rPr/>
        <w:t>report</w:t>
      </w:r>
      <w:r>
        <w:rPr>
          <w:spacing w:val="-7"/>
        </w:rPr>
        <w:t> </w:t>
      </w:r>
      <w:r>
        <w:rPr/>
        <w:t>such</w:t>
      </w:r>
      <w:r>
        <w:rPr>
          <w:spacing w:val="-6"/>
        </w:rPr>
        <w:t> </w:t>
      </w:r>
      <w:r>
        <w:rPr/>
        <w:t>data.</w:t>
      </w:r>
      <w:r>
        <w:rPr>
          <w:spacing w:val="-6"/>
        </w:rPr>
        <w:t> </w:t>
      </w:r>
      <w:r>
        <w:rPr/>
        <w:t>The</w:t>
      </w:r>
      <w:r>
        <w:rPr>
          <w:spacing w:val="-5"/>
        </w:rPr>
        <w:t> </w:t>
      </w:r>
      <w:r>
        <w:rPr/>
        <w:t>Commission</w:t>
      </w:r>
      <w:r>
        <w:rPr>
          <w:spacing w:val="-7"/>
        </w:rPr>
        <w:t> </w:t>
      </w:r>
      <w:r>
        <w:rPr/>
        <w:t>has</w:t>
      </w:r>
      <w:r>
        <w:rPr>
          <w:spacing w:val="-6"/>
        </w:rPr>
        <w:t> </w:t>
      </w:r>
      <w:r>
        <w:rPr/>
        <w:t>worked</w:t>
      </w:r>
      <w:r>
        <w:rPr>
          <w:spacing w:val="-7"/>
        </w:rPr>
        <w:t> </w:t>
      </w:r>
      <w:r>
        <w:rPr/>
        <w:t>with</w:t>
      </w:r>
      <w:r>
        <w:rPr>
          <w:spacing w:val="-7"/>
        </w:rPr>
        <w:t> </w:t>
      </w:r>
      <w:r>
        <w:rPr/>
        <w:t>a</w:t>
      </w:r>
      <w:r>
        <w:rPr>
          <w:spacing w:val="-5"/>
        </w:rPr>
        <w:t> </w:t>
      </w:r>
      <w:r>
        <w:rPr/>
        <w:t>number</w:t>
      </w:r>
      <w:r>
        <w:rPr>
          <w:spacing w:val="-6"/>
        </w:rPr>
        <w:t> </w:t>
      </w:r>
      <w:r>
        <w:rPr/>
        <w:t>of</w:t>
      </w:r>
      <w:r>
        <w:rPr>
          <w:spacing w:val="-6"/>
        </w:rPr>
        <w:t> </w:t>
      </w:r>
      <w:r>
        <w:rPr/>
        <w:t>other</w:t>
      </w:r>
      <w:r>
        <w:rPr>
          <w:spacing w:val="-6"/>
        </w:rPr>
        <w:t> </w:t>
      </w:r>
      <w:r>
        <w:rPr/>
        <w:t>agencies</w:t>
      </w:r>
      <w:r>
        <w:rPr>
          <w:spacing w:val="-6"/>
        </w:rPr>
        <w:t> </w:t>
      </w:r>
      <w:r>
        <w:rPr/>
        <w:t>to improve SOGI data collection and is available as a resource to CAFL in designing and implementing data collection policies, procedures, and training that work for both attorneys and clients.</w:t>
      </w:r>
    </w:p>
    <w:p>
      <w:pPr>
        <w:spacing w:after="0" w:line="276" w:lineRule="auto"/>
        <w:jc w:val="both"/>
        <w:sectPr>
          <w:pgSz w:w="12240" w:h="15840"/>
          <w:pgMar w:header="804" w:footer="1263" w:top="1000" w:bottom="1460" w:left="960" w:right="1100"/>
        </w:sectPr>
      </w:pPr>
    </w:p>
    <w:p>
      <w:pPr>
        <w:numPr>
          <w:ilvl w:val="0"/>
          <w:numId w:val="48"/>
        </w:numPr>
        <w:tabs>
          <w:tab w:pos="481" w:val="left" w:leader="none"/>
        </w:tabs>
        <w:spacing w:before="139"/>
        <w:ind w:left="481" w:right="0" w:hanging="358"/>
        <w:jc w:val="left"/>
        <w:rPr>
          <w:b/>
          <w:sz w:val="22"/>
        </w:rPr>
      </w:pPr>
      <w:r>
        <w:rPr>
          <w:b/>
          <w:sz w:val="22"/>
        </w:rPr>
        <w:t>Investigate</w:t>
      </w:r>
      <w:r>
        <w:rPr>
          <w:b/>
          <w:spacing w:val="-8"/>
          <w:sz w:val="22"/>
        </w:rPr>
        <w:t> </w:t>
      </w:r>
      <w:r>
        <w:rPr>
          <w:b/>
          <w:sz w:val="22"/>
        </w:rPr>
        <w:t>and</w:t>
      </w:r>
      <w:r>
        <w:rPr>
          <w:b/>
          <w:spacing w:val="-8"/>
          <w:sz w:val="22"/>
        </w:rPr>
        <w:t> </w:t>
      </w:r>
      <w:r>
        <w:rPr>
          <w:b/>
          <w:sz w:val="22"/>
        </w:rPr>
        <w:t>address</w:t>
      </w:r>
      <w:r>
        <w:rPr>
          <w:b/>
          <w:spacing w:val="-7"/>
          <w:sz w:val="22"/>
        </w:rPr>
        <w:t> </w:t>
      </w:r>
      <w:r>
        <w:rPr>
          <w:b/>
          <w:sz w:val="22"/>
        </w:rPr>
        <w:t>gaps</w:t>
      </w:r>
      <w:r>
        <w:rPr>
          <w:b/>
          <w:spacing w:val="-9"/>
          <w:sz w:val="22"/>
        </w:rPr>
        <w:t> </w:t>
      </w:r>
      <w:r>
        <w:rPr>
          <w:b/>
          <w:sz w:val="22"/>
        </w:rPr>
        <w:t>in</w:t>
      </w:r>
      <w:r>
        <w:rPr>
          <w:b/>
          <w:spacing w:val="-8"/>
          <w:sz w:val="22"/>
        </w:rPr>
        <w:t> </w:t>
      </w:r>
      <w:r>
        <w:rPr>
          <w:b/>
          <w:sz w:val="22"/>
        </w:rPr>
        <w:t>service</w:t>
      </w:r>
      <w:r>
        <w:rPr>
          <w:b/>
          <w:spacing w:val="-7"/>
          <w:sz w:val="22"/>
        </w:rPr>
        <w:t> </w:t>
      </w:r>
      <w:r>
        <w:rPr>
          <w:b/>
          <w:sz w:val="22"/>
        </w:rPr>
        <w:t>provision</w:t>
      </w:r>
      <w:r>
        <w:rPr>
          <w:b/>
          <w:spacing w:val="-8"/>
          <w:sz w:val="22"/>
        </w:rPr>
        <w:t> </w:t>
      </w:r>
      <w:r>
        <w:rPr>
          <w:b/>
          <w:sz w:val="22"/>
        </w:rPr>
        <w:t>for</w:t>
      </w:r>
      <w:r>
        <w:rPr>
          <w:b/>
          <w:spacing w:val="-8"/>
          <w:sz w:val="22"/>
        </w:rPr>
        <w:t> </w:t>
      </w:r>
      <w:r>
        <w:rPr>
          <w:b/>
          <w:sz w:val="22"/>
        </w:rPr>
        <w:t>immigrant</w:t>
      </w:r>
      <w:r>
        <w:rPr>
          <w:b/>
          <w:spacing w:val="-7"/>
          <w:sz w:val="22"/>
        </w:rPr>
        <w:t> </w:t>
      </w:r>
      <w:r>
        <w:rPr>
          <w:b/>
          <w:spacing w:val="-2"/>
          <w:sz w:val="22"/>
        </w:rPr>
        <w:t>youth.</w:t>
      </w:r>
    </w:p>
    <w:p>
      <w:pPr>
        <w:pStyle w:val="BodyText"/>
        <w:spacing w:before="11"/>
        <w:rPr>
          <w:b/>
        </w:rPr>
      </w:pPr>
    </w:p>
    <w:p>
      <w:pPr>
        <w:pStyle w:val="BodyText"/>
        <w:spacing w:line="276" w:lineRule="auto"/>
        <w:ind w:left="483" w:right="344"/>
        <w:jc w:val="both"/>
      </w:pPr>
      <w:r>
        <w:rPr/>
        <w:t>The</w:t>
      </w:r>
      <w:r>
        <w:rPr>
          <w:spacing w:val="-4"/>
        </w:rPr>
        <w:t> </w:t>
      </w:r>
      <w:r>
        <w:rPr/>
        <w:t>Commission</w:t>
      </w:r>
      <w:r>
        <w:rPr>
          <w:spacing w:val="-4"/>
        </w:rPr>
        <w:t> </w:t>
      </w:r>
      <w:r>
        <w:rPr/>
        <w:t>recommends</w:t>
      </w:r>
      <w:r>
        <w:rPr>
          <w:spacing w:val="-4"/>
        </w:rPr>
        <w:t> </w:t>
      </w:r>
      <w:r>
        <w:rPr/>
        <w:t>that</w:t>
      </w:r>
      <w:r>
        <w:rPr>
          <w:spacing w:val="-4"/>
        </w:rPr>
        <w:t> </w:t>
      </w:r>
      <w:r>
        <w:rPr/>
        <w:t>CPCS</w:t>
      </w:r>
      <w:r>
        <w:rPr>
          <w:spacing w:val="-4"/>
        </w:rPr>
        <w:t> </w:t>
      </w:r>
      <w:r>
        <w:rPr/>
        <w:t>strengthen</w:t>
      </w:r>
      <w:r>
        <w:rPr>
          <w:spacing w:val="-3"/>
        </w:rPr>
        <w:t> </w:t>
      </w:r>
      <w:r>
        <w:rPr/>
        <w:t>its</w:t>
      </w:r>
      <w:r>
        <w:rPr>
          <w:spacing w:val="-4"/>
        </w:rPr>
        <w:t> </w:t>
      </w:r>
      <w:r>
        <w:rPr/>
        <w:t>commitment</w:t>
      </w:r>
      <w:r>
        <w:rPr>
          <w:spacing w:val="-3"/>
        </w:rPr>
        <w:t> </w:t>
      </w:r>
      <w:r>
        <w:rPr/>
        <w:t>to</w:t>
      </w:r>
      <w:r>
        <w:rPr>
          <w:spacing w:val="-3"/>
        </w:rPr>
        <w:t> </w:t>
      </w:r>
      <w:r>
        <w:rPr/>
        <w:t>ensuring</w:t>
      </w:r>
      <w:r>
        <w:rPr>
          <w:spacing w:val="-4"/>
        </w:rPr>
        <w:t> </w:t>
      </w:r>
      <w:r>
        <w:rPr/>
        <w:t>that</w:t>
      </w:r>
      <w:r>
        <w:rPr>
          <w:spacing w:val="-4"/>
        </w:rPr>
        <w:t> </w:t>
      </w:r>
      <w:r>
        <w:rPr/>
        <w:t>immigrant</w:t>
      </w:r>
      <w:r>
        <w:rPr>
          <w:spacing w:val="-4"/>
        </w:rPr>
        <w:t> </w:t>
      </w:r>
      <w:r>
        <w:rPr/>
        <w:t>youth</w:t>
      </w:r>
      <w:r>
        <w:rPr>
          <w:spacing w:val="-4"/>
        </w:rPr>
        <w:t> </w:t>
      </w:r>
      <w:r>
        <w:rPr/>
        <w:t>in receive timely services - including all needed documentation, resources, and support. Far too often, the Commission</w:t>
      </w:r>
      <w:r>
        <w:rPr>
          <w:spacing w:val="-13"/>
        </w:rPr>
        <w:t> </w:t>
      </w:r>
      <w:r>
        <w:rPr/>
        <w:t>hears</w:t>
      </w:r>
      <w:r>
        <w:rPr>
          <w:spacing w:val="-11"/>
        </w:rPr>
        <w:t> </w:t>
      </w:r>
      <w:r>
        <w:rPr/>
        <w:t>from</w:t>
      </w:r>
      <w:r>
        <w:rPr>
          <w:spacing w:val="-13"/>
        </w:rPr>
        <w:t> </w:t>
      </w:r>
      <w:r>
        <w:rPr/>
        <w:t>youth,</w:t>
      </w:r>
      <w:r>
        <w:rPr>
          <w:spacing w:val="-10"/>
        </w:rPr>
        <w:t> </w:t>
      </w:r>
      <w:r>
        <w:rPr/>
        <w:t>caregivers,</w:t>
      </w:r>
      <w:r>
        <w:rPr>
          <w:spacing w:val="-12"/>
        </w:rPr>
        <w:t> </w:t>
      </w:r>
      <w:r>
        <w:rPr/>
        <w:t>and</w:t>
      </w:r>
      <w:r>
        <w:rPr>
          <w:spacing w:val="-13"/>
        </w:rPr>
        <w:t> </w:t>
      </w:r>
      <w:r>
        <w:rPr/>
        <w:t>social</w:t>
      </w:r>
      <w:r>
        <w:rPr>
          <w:spacing w:val="-10"/>
        </w:rPr>
        <w:t> </w:t>
      </w:r>
      <w:r>
        <w:rPr/>
        <w:t>workers</w:t>
      </w:r>
      <w:r>
        <w:rPr>
          <w:spacing w:val="-12"/>
        </w:rPr>
        <w:t> </w:t>
      </w:r>
      <w:r>
        <w:rPr/>
        <w:t>that</w:t>
      </w:r>
      <w:r>
        <w:rPr>
          <w:spacing w:val="-12"/>
        </w:rPr>
        <w:t> </w:t>
      </w:r>
      <w:r>
        <w:rPr/>
        <w:t>children</w:t>
      </w:r>
      <w:r>
        <w:rPr>
          <w:spacing w:val="-13"/>
        </w:rPr>
        <w:t> </w:t>
      </w:r>
      <w:r>
        <w:rPr/>
        <w:t>who</w:t>
      </w:r>
      <w:r>
        <w:rPr>
          <w:spacing w:val="-10"/>
        </w:rPr>
        <w:t> </w:t>
      </w:r>
      <w:r>
        <w:rPr/>
        <w:t>have</w:t>
      </w:r>
      <w:r>
        <w:rPr>
          <w:spacing w:val="-13"/>
        </w:rPr>
        <w:t> </w:t>
      </w:r>
      <w:r>
        <w:rPr/>
        <w:t>emigrated</w:t>
      </w:r>
      <w:r>
        <w:rPr>
          <w:spacing w:val="-12"/>
        </w:rPr>
        <w:t> </w:t>
      </w:r>
      <w:r>
        <w:rPr/>
        <w:t>with</w:t>
      </w:r>
      <w:r>
        <w:rPr>
          <w:spacing w:val="-12"/>
        </w:rPr>
        <w:t> </w:t>
      </w:r>
      <w:r>
        <w:rPr/>
        <w:t>their parents,</w:t>
      </w:r>
      <w:r>
        <w:rPr>
          <w:spacing w:val="-13"/>
        </w:rPr>
        <w:t> </w:t>
      </w:r>
      <w:r>
        <w:rPr/>
        <w:t>only</w:t>
      </w:r>
      <w:r>
        <w:rPr>
          <w:spacing w:val="-12"/>
        </w:rPr>
        <w:t> </w:t>
      </w:r>
      <w:r>
        <w:rPr/>
        <w:t>for</w:t>
      </w:r>
      <w:r>
        <w:rPr>
          <w:spacing w:val="-13"/>
        </w:rPr>
        <w:t> </w:t>
      </w:r>
      <w:r>
        <w:rPr/>
        <w:t>those</w:t>
      </w:r>
      <w:r>
        <w:rPr>
          <w:spacing w:val="-12"/>
        </w:rPr>
        <w:t> </w:t>
      </w:r>
      <w:r>
        <w:rPr/>
        <w:t>parental</w:t>
      </w:r>
      <w:r>
        <w:rPr>
          <w:spacing w:val="-13"/>
        </w:rPr>
        <w:t> </w:t>
      </w:r>
      <w:r>
        <w:rPr/>
        <w:t>rights</w:t>
      </w:r>
      <w:r>
        <w:rPr>
          <w:spacing w:val="-12"/>
        </w:rPr>
        <w:t> </w:t>
      </w:r>
      <w:r>
        <w:rPr/>
        <w:t>to</w:t>
      </w:r>
      <w:r>
        <w:rPr>
          <w:spacing w:val="-13"/>
        </w:rPr>
        <w:t> </w:t>
      </w:r>
      <w:r>
        <w:rPr/>
        <w:t>be</w:t>
      </w:r>
      <w:r>
        <w:rPr>
          <w:spacing w:val="-12"/>
        </w:rPr>
        <w:t> </w:t>
      </w:r>
      <w:r>
        <w:rPr/>
        <w:t>terminated</w:t>
      </w:r>
      <w:r>
        <w:rPr>
          <w:spacing w:val="-12"/>
        </w:rPr>
        <w:t> </w:t>
      </w:r>
      <w:r>
        <w:rPr/>
        <w:t>and</w:t>
      </w:r>
      <w:r>
        <w:rPr>
          <w:spacing w:val="-13"/>
        </w:rPr>
        <w:t> </w:t>
      </w:r>
      <w:r>
        <w:rPr/>
        <w:t>the</w:t>
      </w:r>
      <w:r>
        <w:rPr>
          <w:spacing w:val="-12"/>
        </w:rPr>
        <w:t> </w:t>
      </w:r>
      <w:r>
        <w:rPr/>
        <w:t>parent</w:t>
      </w:r>
      <w:r>
        <w:rPr>
          <w:spacing w:val="-13"/>
        </w:rPr>
        <w:t> </w:t>
      </w:r>
      <w:r>
        <w:rPr/>
        <w:t>deported,</w:t>
      </w:r>
      <w:r>
        <w:rPr>
          <w:spacing w:val="-12"/>
        </w:rPr>
        <w:t> </w:t>
      </w:r>
      <w:r>
        <w:rPr/>
        <w:t>often</w:t>
      </w:r>
      <w:r>
        <w:rPr>
          <w:spacing w:val="-13"/>
        </w:rPr>
        <w:t> </w:t>
      </w:r>
      <w:r>
        <w:rPr/>
        <w:t>struggle</w:t>
      </w:r>
      <w:r>
        <w:rPr>
          <w:spacing w:val="-12"/>
        </w:rPr>
        <w:t> </w:t>
      </w:r>
      <w:r>
        <w:rPr/>
        <w:t>to</w:t>
      </w:r>
      <w:r>
        <w:rPr>
          <w:spacing w:val="-12"/>
        </w:rPr>
        <w:t> </w:t>
      </w:r>
      <w:r>
        <w:rPr/>
        <w:t>receive appropriate services from DCF or advocacy from their legal representation, particularly LGBTQ youth.</w:t>
      </w:r>
    </w:p>
    <w:p>
      <w:pPr>
        <w:spacing w:before="240"/>
        <w:ind w:left="483" w:right="0" w:firstLine="0"/>
        <w:jc w:val="left"/>
        <w:rPr>
          <w:i/>
          <w:sz w:val="22"/>
        </w:rPr>
      </w:pPr>
      <w:r>
        <w:rPr>
          <w:i/>
          <w:sz w:val="22"/>
        </w:rPr>
        <w:t>Acknowledgments:</w:t>
      </w:r>
      <w:r>
        <w:rPr>
          <w:i/>
          <w:spacing w:val="-11"/>
          <w:sz w:val="22"/>
        </w:rPr>
        <w:t> </w:t>
      </w:r>
      <w:r>
        <w:rPr>
          <w:i/>
          <w:sz w:val="22"/>
        </w:rPr>
        <w:t>The</w:t>
      </w:r>
      <w:r>
        <w:rPr>
          <w:i/>
          <w:spacing w:val="-9"/>
          <w:sz w:val="22"/>
        </w:rPr>
        <w:t> </w:t>
      </w:r>
      <w:r>
        <w:rPr>
          <w:i/>
          <w:sz w:val="22"/>
        </w:rPr>
        <w:t>Commission</w:t>
      </w:r>
      <w:r>
        <w:rPr>
          <w:i/>
          <w:spacing w:val="-10"/>
          <w:sz w:val="22"/>
        </w:rPr>
        <w:t> </w:t>
      </w:r>
      <w:r>
        <w:rPr>
          <w:i/>
          <w:sz w:val="22"/>
        </w:rPr>
        <w:t>sincerely</w:t>
      </w:r>
      <w:r>
        <w:rPr>
          <w:i/>
          <w:spacing w:val="-10"/>
          <w:sz w:val="22"/>
        </w:rPr>
        <w:t> </w:t>
      </w:r>
      <w:r>
        <w:rPr>
          <w:i/>
          <w:sz w:val="22"/>
        </w:rPr>
        <w:t>appreciates</w:t>
      </w:r>
      <w:r>
        <w:rPr>
          <w:i/>
          <w:spacing w:val="-10"/>
          <w:sz w:val="22"/>
        </w:rPr>
        <w:t> </w:t>
      </w:r>
      <w:r>
        <w:rPr>
          <w:i/>
          <w:sz w:val="22"/>
        </w:rPr>
        <w:t>the</w:t>
      </w:r>
      <w:r>
        <w:rPr>
          <w:i/>
          <w:spacing w:val="-11"/>
          <w:sz w:val="22"/>
        </w:rPr>
        <w:t> </w:t>
      </w:r>
      <w:r>
        <w:rPr>
          <w:i/>
          <w:sz w:val="22"/>
        </w:rPr>
        <w:t>contributions</w:t>
      </w:r>
      <w:r>
        <w:rPr>
          <w:i/>
          <w:spacing w:val="-9"/>
          <w:sz w:val="22"/>
        </w:rPr>
        <w:t> </w:t>
      </w:r>
      <w:r>
        <w:rPr>
          <w:i/>
          <w:sz w:val="22"/>
        </w:rPr>
        <w:t>of</w:t>
      </w:r>
      <w:r>
        <w:rPr>
          <w:i/>
          <w:spacing w:val="-10"/>
          <w:sz w:val="22"/>
        </w:rPr>
        <w:t> </w:t>
      </w:r>
      <w:r>
        <w:rPr>
          <w:i/>
          <w:sz w:val="22"/>
        </w:rPr>
        <w:t>its</w:t>
      </w:r>
      <w:r>
        <w:rPr>
          <w:i/>
          <w:spacing w:val="-9"/>
          <w:sz w:val="22"/>
        </w:rPr>
        <w:t> </w:t>
      </w:r>
      <w:r>
        <w:rPr>
          <w:i/>
          <w:sz w:val="22"/>
        </w:rPr>
        <w:t>CAFL</w:t>
      </w:r>
      <w:r>
        <w:rPr>
          <w:i/>
          <w:spacing w:val="-11"/>
          <w:sz w:val="22"/>
        </w:rPr>
        <w:t> </w:t>
      </w:r>
      <w:r>
        <w:rPr>
          <w:i/>
          <w:spacing w:val="-2"/>
          <w:sz w:val="22"/>
        </w:rPr>
        <w:t>liaisons.</w:t>
      </w:r>
    </w:p>
    <w:p>
      <w:pPr>
        <w:pStyle w:val="BodyText"/>
        <w:spacing w:before="11"/>
        <w:rPr>
          <w:i/>
        </w:rPr>
      </w:pPr>
    </w:p>
    <w:p>
      <w:pPr>
        <w:spacing w:before="0"/>
        <w:ind w:left="483" w:right="0" w:firstLine="0"/>
        <w:jc w:val="left"/>
        <w:rPr>
          <w:b/>
          <w:sz w:val="21"/>
        </w:rPr>
      </w:pPr>
      <w:r>
        <w:rPr>
          <w:b/>
          <w:spacing w:val="-2"/>
          <w:sz w:val="21"/>
        </w:rPr>
        <w:t>Citations</w:t>
      </w:r>
    </w:p>
    <w:p>
      <w:pPr>
        <w:pStyle w:val="BodyText"/>
        <w:spacing w:before="40"/>
        <w:rPr>
          <w:b/>
          <w:sz w:val="21"/>
        </w:rPr>
      </w:pPr>
    </w:p>
    <w:p>
      <w:pPr>
        <w:spacing w:line="242" w:lineRule="auto" w:before="1"/>
        <w:ind w:left="483" w:right="342" w:firstLine="0"/>
        <w:jc w:val="both"/>
        <w:rPr>
          <w:sz w:val="18"/>
        </w:rPr>
      </w:pPr>
      <w:bookmarkStart w:name="_bookmark655" w:id="962"/>
      <w:bookmarkEnd w:id="962"/>
      <w:r>
        <w:rPr/>
      </w:r>
      <w:r>
        <w:rPr>
          <w:sz w:val="18"/>
          <w:vertAlign w:val="superscript"/>
        </w:rPr>
        <w:t>1</w:t>
      </w:r>
      <w:r>
        <w:rPr>
          <w:sz w:val="18"/>
          <w:vertAlign w:val="baseline"/>
        </w:rPr>
        <w:t> Hannah Hussey. (2021). </w:t>
      </w:r>
      <w:r>
        <w:rPr>
          <w:i/>
          <w:sz w:val="18"/>
          <w:vertAlign w:val="baseline"/>
        </w:rPr>
        <w:t>LGBTQ Youth in the Massachusetts Child Welfare System: A Report on Pervasive Threats to Safety,</w:t>
      </w:r>
      <w:r>
        <w:rPr>
          <w:i/>
          <w:sz w:val="18"/>
          <w:vertAlign w:val="baseline"/>
        </w:rPr>
        <w:t> Wellbeing, and Permanency</w:t>
      </w:r>
      <w:r>
        <w:rPr>
          <w:sz w:val="18"/>
          <w:vertAlign w:val="baseline"/>
        </w:rPr>
        <w:t>. Massachusetts Commission on LGBTQ Youth. https://</w:t>
      </w:r>
      <w:hyperlink r:id="rId775">
        <w:r>
          <w:rPr>
            <w:sz w:val="18"/>
            <w:vertAlign w:val="baseline"/>
          </w:rPr>
          <w:t>www.mass.gov/doc/commission-report-on-</w:t>
        </w:r>
      </w:hyperlink>
      <w:r>
        <w:rPr>
          <w:sz w:val="18"/>
          <w:vertAlign w:val="baseline"/>
        </w:rPr>
        <w:t> </w:t>
      </w:r>
      <w:r>
        <w:rPr>
          <w:spacing w:val="-2"/>
          <w:sz w:val="18"/>
          <w:vertAlign w:val="baseline"/>
        </w:rPr>
        <w:t>dcf/download</w:t>
      </w:r>
    </w:p>
    <w:p>
      <w:pPr>
        <w:spacing w:before="18"/>
        <w:ind w:left="483" w:right="0" w:firstLine="0"/>
        <w:jc w:val="left"/>
        <w:rPr>
          <w:sz w:val="18"/>
        </w:rPr>
      </w:pPr>
      <w:bookmarkStart w:name="_bookmark656" w:id="963"/>
      <w:bookmarkEnd w:id="963"/>
      <w:r>
        <w:rPr/>
      </w:r>
      <w:r>
        <w:rPr>
          <w:w w:val="105"/>
          <w:sz w:val="18"/>
          <w:vertAlign w:val="superscript"/>
        </w:rPr>
        <w:t>2</w:t>
      </w:r>
      <w:r>
        <w:rPr>
          <w:spacing w:val="-13"/>
          <w:w w:val="105"/>
          <w:sz w:val="18"/>
          <w:vertAlign w:val="baseline"/>
        </w:rPr>
        <w:t> </w:t>
      </w:r>
      <w:r>
        <w:rPr>
          <w:i/>
          <w:spacing w:val="-5"/>
          <w:w w:val="105"/>
          <w:sz w:val="18"/>
          <w:vertAlign w:val="baseline"/>
        </w:rPr>
        <w:t>Id</w:t>
      </w:r>
      <w:r>
        <w:rPr>
          <w:spacing w:val="-5"/>
          <w:w w:val="105"/>
          <w:sz w:val="18"/>
          <w:vertAlign w:val="baseline"/>
        </w:rPr>
        <w:t>.</w:t>
      </w:r>
    </w:p>
    <w:p>
      <w:pPr>
        <w:spacing w:before="24"/>
        <w:ind w:left="483" w:right="0" w:firstLine="0"/>
        <w:jc w:val="left"/>
        <w:rPr>
          <w:i/>
          <w:sz w:val="18"/>
        </w:rPr>
      </w:pPr>
      <w:r>
        <w:rPr>
          <w:sz w:val="18"/>
          <w:vertAlign w:val="superscript"/>
        </w:rPr>
        <w:t>3</w:t>
      </w:r>
      <w:r>
        <w:rPr>
          <w:spacing w:val="-12"/>
          <w:sz w:val="18"/>
          <w:vertAlign w:val="baseline"/>
        </w:rPr>
        <w:t> </w:t>
      </w:r>
      <w:r>
        <w:rPr>
          <w:sz w:val="18"/>
          <w:vertAlign w:val="baseline"/>
        </w:rPr>
        <w:t>For</w:t>
      </w:r>
      <w:r>
        <w:rPr>
          <w:spacing w:val="-5"/>
          <w:sz w:val="18"/>
          <w:vertAlign w:val="baseline"/>
        </w:rPr>
        <w:t> </w:t>
      </w:r>
      <w:r>
        <w:rPr>
          <w:sz w:val="18"/>
          <w:vertAlign w:val="baseline"/>
        </w:rPr>
        <w:t>example,</w:t>
      </w:r>
      <w:r>
        <w:rPr>
          <w:spacing w:val="-3"/>
          <w:sz w:val="18"/>
          <w:vertAlign w:val="baseline"/>
        </w:rPr>
        <w:t> </w:t>
      </w:r>
      <w:r>
        <w:rPr>
          <w:sz w:val="18"/>
          <w:vertAlign w:val="baseline"/>
        </w:rPr>
        <w:t>the</w:t>
      </w:r>
      <w:r>
        <w:rPr>
          <w:spacing w:val="-2"/>
          <w:sz w:val="18"/>
          <w:vertAlign w:val="baseline"/>
        </w:rPr>
        <w:t> </w:t>
      </w:r>
      <w:r>
        <w:rPr>
          <w:sz w:val="18"/>
          <w:vertAlign w:val="baseline"/>
        </w:rPr>
        <w:t>Justice</w:t>
      </w:r>
      <w:r>
        <w:rPr>
          <w:spacing w:val="-2"/>
          <w:sz w:val="18"/>
          <w:vertAlign w:val="baseline"/>
        </w:rPr>
        <w:t> </w:t>
      </w:r>
      <w:r>
        <w:rPr>
          <w:sz w:val="18"/>
          <w:vertAlign w:val="baseline"/>
        </w:rPr>
        <w:t>Catalyst</w:t>
      </w:r>
      <w:r>
        <w:rPr>
          <w:spacing w:val="-3"/>
          <w:sz w:val="18"/>
          <w:vertAlign w:val="baseline"/>
        </w:rPr>
        <w:t> </w:t>
      </w:r>
      <w:r>
        <w:rPr>
          <w:sz w:val="18"/>
          <w:vertAlign w:val="baseline"/>
        </w:rPr>
        <w:t>fellowship</w:t>
      </w:r>
      <w:r>
        <w:rPr>
          <w:spacing w:val="-2"/>
          <w:sz w:val="18"/>
          <w:vertAlign w:val="baseline"/>
        </w:rPr>
        <w:t> </w:t>
      </w:r>
      <w:r>
        <w:rPr>
          <w:sz w:val="18"/>
          <w:vertAlign w:val="baseline"/>
        </w:rPr>
        <w:t>permits</w:t>
      </w:r>
      <w:r>
        <w:rPr>
          <w:spacing w:val="-2"/>
          <w:sz w:val="18"/>
          <w:vertAlign w:val="baseline"/>
        </w:rPr>
        <w:t> </w:t>
      </w:r>
      <w:r>
        <w:rPr>
          <w:sz w:val="18"/>
          <w:vertAlign w:val="baseline"/>
        </w:rPr>
        <w:t>government</w:t>
      </w:r>
      <w:r>
        <w:rPr>
          <w:spacing w:val="-3"/>
          <w:sz w:val="18"/>
          <w:vertAlign w:val="baseline"/>
        </w:rPr>
        <w:t> </w:t>
      </w:r>
      <w:r>
        <w:rPr>
          <w:sz w:val="18"/>
          <w:vertAlign w:val="baseline"/>
        </w:rPr>
        <w:t>agencies</w:t>
      </w:r>
      <w:r>
        <w:rPr>
          <w:spacing w:val="-2"/>
          <w:sz w:val="18"/>
          <w:vertAlign w:val="baseline"/>
        </w:rPr>
        <w:t> </w:t>
      </w:r>
      <w:r>
        <w:rPr>
          <w:sz w:val="18"/>
          <w:vertAlign w:val="baseline"/>
        </w:rPr>
        <w:t>to</w:t>
      </w:r>
      <w:r>
        <w:rPr>
          <w:spacing w:val="-2"/>
          <w:sz w:val="18"/>
          <w:vertAlign w:val="baseline"/>
        </w:rPr>
        <w:t> </w:t>
      </w:r>
      <w:r>
        <w:rPr>
          <w:sz w:val="18"/>
          <w:vertAlign w:val="baseline"/>
        </w:rPr>
        <w:t>serve</w:t>
      </w:r>
      <w:r>
        <w:rPr>
          <w:spacing w:val="-2"/>
          <w:sz w:val="18"/>
          <w:vertAlign w:val="baseline"/>
        </w:rPr>
        <w:t> </w:t>
      </w:r>
      <w:r>
        <w:rPr>
          <w:sz w:val="18"/>
          <w:vertAlign w:val="baseline"/>
        </w:rPr>
        <w:t>as</w:t>
      </w:r>
      <w:r>
        <w:rPr>
          <w:spacing w:val="-1"/>
          <w:sz w:val="18"/>
          <w:vertAlign w:val="baseline"/>
        </w:rPr>
        <w:t> </w:t>
      </w:r>
      <w:r>
        <w:rPr>
          <w:sz w:val="18"/>
          <w:vertAlign w:val="baseline"/>
        </w:rPr>
        <w:t>host</w:t>
      </w:r>
      <w:r>
        <w:rPr>
          <w:spacing w:val="-3"/>
          <w:sz w:val="18"/>
          <w:vertAlign w:val="baseline"/>
        </w:rPr>
        <w:t> </w:t>
      </w:r>
      <w:r>
        <w:rPr>
          <w:sz w:val="18"/>
          <w:vertAlign w:val="baseline"/>
        </w:rPr>
        <w:t>organizations</w:t>
      </w:r>
      <w:r>
        <w:rPr>
          <w:spacing w:val="-2"/>
          <w:sz w:val="18"/>
          <w:vertAlign w:val="baseline"/>
        </w:rPr>
        <w:t> </w:t>
      </w:r>
      <w:r>
        <w:rPr>
          <w:sz w:val="18"/>
          <w:vertAlign w:val="baseline"/>
        </w:rPr>
        <w:t>for</w:t>
      </w:r>
      <w:r>
        <w:rPr>
          <w:spacing w:val="-3"/>
          <w:sz w:val="18"/>
          <w:vertAlign w:val="baseline"/>
        </w:rPr>
        <w:t> </w:t>
      </w:r>
      <w:r>
        <w:rPr>
          <w:sz w:val="18"/>
          <w:vertAlign w:val="baseline"/>
        </w:rPr>
        <w:t>a</w:t>
      </w:r>
      <w:r>
        <w:rPr>
          <w:spacing w:val="-2"/>
          <w:sz w:val="18"/>
          <w:vertAlign w:val="baseline"/>
        </w:rPr>
        <w:t> </w:t>
      </w:r>
      <w:r>
        <w:rPr>
          <w:sz w:val="18"/>
          <w:vertAlign w:val="baseline"/>
        </w:rPr>
        <w:t>legal</w:t>
      </w:r>
      <w:r>
        <w:rPr>
          <w:spacing w:val="-3"/>
          <w:sz w:val="18"/>
          <w:vertAlign w:val="baseline"/>
        </w:rPr>
        <w:t> </w:t>
      </w:r>
      <w:r>
        <w:rPr>
          <w:sz w:val="18"/>
          <w:vertAlign w:val="baseline"/>
        </w:rPr>
        <w:t>fellow.</w:t>
      </w:r>
      <w:r>
        <w:rPr>
          <w:spacing w:val="-2"/>
          <w:sz w:val="18"/>
          <w:vertAlign w:val="baseline"/>
        </w:rPr>
        <w:t> </w:t>
      </w:r>
      <w:r>
        <w:rPr>
          <w:i/>
          <w:spacing w:val="-5"/>
          <w:sz w:val="18"/>
          <w:vertAlign w:val="baseline"/>
        </w:rPr>
        <w:t>See</w:t>
      </w:r>
    </w:p>
    <w:p>
      <w:pPr>
        <w:spacing w:before="5"/>
        <w:ind w:left="483" w:right="0" w:firstLine="0"/>
        <w:jc w:val="left"/>
        <w:rPr>
          <w:sz w:val="18"/>
        </w:rPr>
      </w:pPr>
      <w:r>
        <w:rPr>
          <w:spacing w:val="-2"/>
          <w:sz w:val="18"/>
        </w:rPr>
        <w:t>https://catalystfellowships.org/fellowship/jc-fellowship/</w:t>
      </w:r>
    </w:p>
    <w:p>
      <w:pPr>
        <w:spacing w:after="0"/>
        <w:jc w:val="left"/>
        <w:rPr>
          <w:sz w:val="18"/>
        </w:rPr>
        <w:sectPr>
          <w:pgSz w:w="12240" w:h="15840"/>
          <w:pgMar w:header="804" w:footer="1263" w:top="1000" w:bottom="1460" w:left="960" w:right="1100"/>
        </w:sectPr>
      </w:pPr>
    </w:p>
    <w:p>
      <w:pPr>
        <w:pStyle w:val="BodyText"/>
        <w:spacing w:before="160" w:after="1"/>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694" name="Group 694"/>
                <wp:cNvGraphicFramePr>
                  <a:graphicFrameLocks/>
                </wp:cNvGraphicFramePr>
                <a:graphic>
                  <a:graphicData uri="http://schemas.microsoft.com/office/word/2010/wordprocessingGroup">
                    <wpg:wgp>
                      <wpg:cNvPr id="694" name="Group 694"/>
                      <wpg:cNvGrpSpPr/>
                      <wpg:grpSpPr>
                        <a:xfrm>
                          <a:off x="0" y="0"/>
                          <a:ext cx="6350" cy="12700"/>
                          <a:chExt cx="6350" cy="12700"/>
                        </a:xfrm>
                      </wpg:grpSpPr>
                      <wps:wsp>
                        <wps:cNvPr id="695" name="Graphic 695"/>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591" coordorigin="0,0" coordsize="10,20">
                <v:rect style="position:absolute;left:0;top:0;width:10;height:20" id="docshape592" filled="true" fillcolor="#4f81bb" stroked="false">
                  <v:fill type="solid"/>
                </v:rect>
              </v:group>
            </w:pict>
          </mc:Fallback>
        </mc:AlternateContent>
      </w:r>
      <w:r>
        <w:rPr>
          <w:sz w:val="2"/>
        </w:rPr>
      </w:r>
    </w:p>
    <w:p>
      <w:pPr>
        <w:pStyle w:val="Heading7"/>
        <w:spacing w:before="239"/>
      </w:pPr>
      <w:bookmarkStart w:name="_bookmark657" w:id="964"/>
      <w:bookmarkEnd w:id="964"/>
      <w:r>
        <w:rPr/>
      </w:r>
      <w:hyperlink w:history="true" w:anchor="_bookmark7">
        <w:r>
          <w:rPr>
            <w:color w:val="365F91"/>
            <w:spacing w:val="-8"/>
          </w:rPr>
          <w:t>Department</w:t>
        </w:r>
        <w:r>
          <w:rPr>
            <w:color w:val="365F91"/>
            <w:spacing w:val="-15"/>
          </w:rPr>
          <w:t> </w:t>
        </w:r>
        <w:r>
          <w:rPr>
            <w:color w:val="365F91"/>
            <w:spacing w:val="-8"/>
          </w:rPr>
          <w:t>of</w:t>
        </w:r>
        <w:r>
          <w:rPr>
            <w:color w:val="365F91"/>
            <w:spacing w:val="-14"/>
          </w:rPr>
          <w:t> </w:t>
        </w:r>
        <w:r>
          <w:rPr>
            <w:color w:val="365F91"/>
            <w:spacing w:val="-8"/>
          </w:rPr>
          <w:t>Career</w:t>
        </w:r>
        <w:r>
          <w:rPr>
            <w:color w:val="365F91"/>
            <w:spacing w:val="-15"/>
          </w:rPr>
          <w:t> </w:t>
        </w:r>
        <w:r>
          <w:rPr>
            <w:color w:val="365F91"/>
            <w:spacing w:val="-8"/>
          </w:rPr>
          <w:t>Services</w:t>
        </w:r>
        <w:r>
          <w:rPr>
            <w:color w:val="365F91"/>
            <w:spacing w:val="-15"/>
          </w:rPr>
          <w:t> </w:t>
        </w:r>
        <w:r>
          <w:rPr>
            <w:color w:val="365F91"/>
            <w:spacing w:val="-8"/>
          </w:rPr>
          <w:t>–</w:t>
        </w:r>
        <w:r>
          <w:rPr>
            <w:color w:val="365F91"/>
            <w:spacing w:val="-11"/>
          </w:rPr>
          <w:t> </w:t>
        </w:r>
        <w:r>
          <w:rPr>
            <w:color w:val="365F91"/>
            <w:spacing w:val="-8"/>
          </w:rPr>
          <w:t>MassHire</w:t>
        </w:r>
      </w:hyperlink>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734272">
                <wp:simplePos x="0" y="0"/>
                <wp:positionH relativeFrom="page">
                  <wp:posOffset>889000</wp:posOffset>
                </wp:positionH>
                <wp:positionV relativeFrom="paragraph">
                  <wp:posOffset>260412</wp:posOffset>
                </wp:positionV>
                <wp:extent cx="6350" cy="12700"/>
                <wp:effectExtent l="0" t="0" r="0" b="0"/>
                <wp:wrapTopAndBottom/>
                <wp:docPr id="696" name="Graphic 696"/>
                <wp:cNvGraphicFramePr>
                  <a:graphicFrameLocks/>
                </wp:cNvGraphicFramePr>
                <a:graphic>
                  <a:graphicData uri="http://schemas.microsoft.com/office/word/2010/wordprocessingShape">
                    <wps:wsp>
                      <wps:cNvPr id="696" name="Graphic 696"/>
                      <wps:cNvSpPr/>
                      <wps:spPr>
                        <a:xfrm>
                          <a:off x="0" y="0"/>
                          <a:ext cx="6350" cy="12700"/>
                        </a:xfrm>
                        <a:custGeom>
                          <a:avLst/>
                          <a:gdLst/>
                          <a:ahLst/>
                          <a:cxnLst/>
                          <a:rect l="l" t="t" r="r" b="b"/>
                          <a:pathLst>
                            <a:path w="6350" h="12700">
                              <a:moveTo>
                                <a:pt x="6337" y="0"/>
                              </a:moveTo>
                              <a:lnTo>
                                <a:pt x="0" y="0"/>
                              </a:lnTo>
                              <a:lnTo>
                                <a:pt x="0" y="12192"/>
                              </a:lnTo>
                              <a:lnTo>
                                <a:pt x="6337" y="12192"/>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20.504906pt;width:.499pt;height:.96pt;mso-position-horizontal-relative:page;mso-position-vertical-relative:paragraph;z-index:-15582208;mso-wrap-distance-left:0;mso-wrap-distance-right:0" id="docshape593"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34784">
                <wp:simplePos x="0" y="0"/>
                <wp:positionH relativeFrom="page">
                  <wp:posOffset>897636</wp:posOffset>
                </wp:positionH>
                <wp:positionV relativeFrom="paragraph">
                  <wp:posOffset>44871</wp:posOffset>
                </wp:positionV>
                <wp:extent cx="5976620" cy="6350"/>
                <wp:effectExtent l="0" t="0" r="0" b="0"/>
                <wp:wrapTopAndBottom/>
                <wp:docPr id="697" name="Graphic 697"/>
                <wp:cNvGraphicFramePr>
                  <a:graphicFrameLocks/>
                </wp:cNvGraphicFramePr>
                <a:graphic>
                  <a:graphicData uri="http://schemas.microsoft.com/office/word/2010/wordprocessingShape">
                    <wps:wsp>
                      <wps:cNvPr id="697" name="Graphic 69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3156pt;width:470.58pt;height:.481pt;mso-position-horizontal-relative:page;mso-position-vertical-relative:paragraph;z-index:-15581696;mso-wrap-distance-left:0;mso-wrap-distance-right:0" id="docshape594" filled="true" fillcolor="#4f81bc" stroked="false">
                <v:fill type="solid"/>
                <w10:wrap type="topAndBottom"/>
              </v:rect>
            </w:pict>
          </mc:Fallback>
        </mc:AlternateContent>
      </w:r>
    </w:p>
    <w:p>
      <w:pPr>
        <w:pStyle w:val="ListParagraph"/>
        <w:numPr>
          <w:ilvl w:val="1"/>
          <w:numId w:val="48"/>
        </w:numPr>
        <w:tabs>
          <w:tab w:pos="1059" w:val="left" w:leader="none"/>
        </w:tabs>
        <w:spacing w:line="240" w:lineRule="auto" w:before="241" w:after="0"/>
        <w:ind w:left="1059" w:right="0" w:hanging="360"/>
        <w:jc w:val="left"/>
        <w:rPr>
          <w:sz w:val="22"/>
        </w:rPr>
      </w:pPr>
      <w:r>
        <w:rPr>
          <w:sz w:val="22"/>
        </w:rPr>
        <w:t>Promote</w:t>
      </w:r>
      <w:r>
        <w:rPr>
          <w:spacing w:val="-10"/>
          <w:sz w:val="22"/>
        </w:rPr>
        <w:t> </w:t>
      </w:r>
      <w:r>
        <w:rPr>
          <w:sz w:val="22"/>
        </w:rPr>
        <w:t>job</w:t>
      </w:r>
      <w:r>
        <w:rPr>
          <w:spacing w:val="-8"/>
          <w:sz w:val="22"/>
        </w:rPr>
        <w:t> </w:t>
      </w:r>
      <w:r>
        <w:rPr>
          <w:sz w:val="22"/>
        </w:rPr>
        <w:t>opportunities</w:t>
      </w:r>
      <w:r>
        <w:rPr>
          <w:spacing w:val="-9"/>
          <w:sz w:val="22"/>
        </w:rPr>
        <w:t> </w:t>
      </w:r>
      <w:r>
        <w:rPr>
          <w:sz w:val="22"/>
        </w:rPr>
        <w:t>to</w:t>
      </w:r>
      <w:r>
        <w:rPr>
          <w:spacing w:val="-8"/>
          <w:sz w:val="22"/>
        </w:rPr>
        <w:t> </w:t>
      </w:r>
      <w:r>
        <w:rPr>
          <w:sz w:val="22"/>
        </w:rPr>
        <w:t>LGBTQ</w:t>
      </w:r>
      <w:r>
        <w:rPr>
          <w:spacing w:val="-8"/>
          <w:sz w:val="22"/>
        </w:rPr>
        <w:t> </w:t>
      </w:r>
      <w:r>
        <w:rPr>
          <w:spacing w:val="-2"/>
          <w:sz w:val="22"/>
        </w:rPr>
        <w:t>youth.</w:t>
      </w:r>
    </w:p>
    <w:p>
      <w:pPr>
        <w:pStyle w:val="ListParagraph"/>
        <w:numPr>
          <w:ilvl w:val="1"/>
          <w:numId w:val="48"/>
        </w:numPr>
        <w:tabs>
          <w:tab w:pos="1059" w:val="left" w:leader="none"/>
        </w:tabs>
        <w:spacing w:line="276" w:lineRule="auto" w:before="41" w:after="0"/>
        <w:ind w:left="1059" w:right="632" w:hanging="361"/>
        <w:jc w:val="left"/>
        <w:rPr>
          <w:sz w:val="22"/>
        </w:rPr>
      </w:pPr>
      <w:r>
        <w:rPr>
          <w:sz w:val="22"/>
        </w:rPr>
        <w:t>Review</w:t>
      </w:r>
      <w:r>
        <w:rPr>
          <w:spacing w:val="29"/>
          <w:sz w:val="22"/>
        </w:rPr>
        <w:t> </w:t>
      </w:r>
      <w:r>
        <w:rPr>
          <w:sz w:val="22"/>
        </w:rPr>
        <w:t>SOGIE</w:t>
      </w:r>
      <w:r>
        <w:rPr>
          <w:spacing w:val="28"/>
          <w:sz w:val="22"/>
        </w:rPr>
        <w:t> </w:t>
      </w:r>
      <w:r>
        <w:rPr>
          <w:sz w:val="22"/>
        </w:rPr>
        <w:t>data</w:t>
      </w:r>
      <w:r>
        <w:rPr>
          <w:spacing w:val="29"/>
          <w:sz w:val="22"/>
        </w:rPr>
        <w:t> </w:t>
      </w:r>
      <w:r>
        <w:rPr>
          <w:sz w:val="22"/>
        </w:rPr>
        <w:t>collection</w:t>
      </w:r>
      <w:r>
        <w:rPr>
          <w:spacing w:val="29"/>
          <w:sz w:val="22"/>
        </w:rPr>
        <w:t> </w:t>
      </w:r>
      <w:r>
        <w:rPr>
          <w:sz w:val="22"/>
        </w:rPr>
        <w:t>methods</w:t>
      </w:r>
      <w:r>
        <w:rPr>
          <w:spacing w:val="29"/>
          <w:sz w:val="22"/>
        </w:rPr>
        <w:t> </w:t>
      </w:r>
      <w:r>
        <w:rPr>
          <w:sz w:val="22"/>
        </w:rPr>
        <w:t>to</w:t>
      </w:r>
      <w:r>
        <w:rPr>
          <w:spacing w:val="29"/>
          <w:sz w:val="22"/>
        </w:rPr>
        <w:t> </w:t>
      </w:r>
      <w:r>
        <w:rPr>
          <w:sz w:val="22"/>
        </w:rPr>
        <w:t>reflect</w:t>
      </w:r>
      <w:r>
        <w:rPr>
          <w:spacing w:val="28"/>
          <w:sz w:val="22"/>
        </w:rPr>
        <w:t> </w:t>
      </w:r>
      <w:r>
        <w:rPr>
          <w:sz w:val="22"/>
        </w:rPr>
        <w:t>best</w:t>
      </w:r>
      <w:r>
        <w:rPr>
          <w:spacing w:val="28"/>
          <w:sz w:val="22"/>
        </w:rPr>
        <w:t> </w:t>
      </w:r>
      <w:r>
        <w:rPr>
          <w:sz w:val="22"/>
        </w:rPr>
        <w:t>practices</w:t>
      </w:r>
      <w:r>
        <w:rPr>
          <w:spacing w:val="31"/>
          <w:sz w:val="22"/>
        </w:rPr>
        <w:t> </w:t>
      </w:r>
      <w:r>
        <w:rPr>
          <w:sz w:val="22"/>
        </w:rPr>
        <w:t>on</w:t>
      </w:r>
      <w:r>
        <w:rPr>
          <w:spacing w:val="29"/>
          <w:sz w:val="22"/>
        </w:rPr>
        <w:t> </w:t>
      </w:r>
      <w:r>
        <w:rPr>
          <w:sz w:val="22"/>
        </w:rPr>
        <w:t>LGBTQ-related</w:t>
      </w:r>
      <w:r>
        <w:rPr>
          <w:spacing w:val="29"/>
          <w:sz w:val="22"/>
        </w:rPr>
        <w:t> </w:t>
      </w:r>
      <w:r>
        <w:rPr>
          <w:sz w:val="22"/>
        </w:rPr>
        <w:t>data</w:t>
      </w:r>
      <w:r>
        <w:rPr>
          <w:spacing w:val="29"/>
          <w:sz w:val="22"/>
        </w:rPr>
        <w:t> </w:t>
      </w:r>
      <w:r>
        <w:rPr>
          <w:sz w:val="22"/>
        </w:rPr>
        <w:t>and evaluate that data to improve LGBTQ client experiences.</w:t>
      </w:r>
    </w:p>
    <w:p>
      <w:pPr>
        <w:pStyle w:val="ListParagraph"/>
        <w:numPr>
          <w:ilvl w:val="1"/>
          <w:numId w:val="48"/>
        </w:numPr>
        <w:tabs>
          <w:tab w:pos="1059" w:val="left" w:leader="none"/>
        </w:tabs>
        <w:spacing w:line="240" w:lineRule="auto" w:before="1" w:after="0"/>
        <w:ind w:left="1059" w:right="0" w:hanging="360"/>
        <w:jc w:val="left"/>
        <w:rPr>
          <w:sz w:val="22"/>
        </w:rPr>
      </w:pPr>
      <w:r>
        <w:rPr>
          <w:sz w:val="22"/>
        </w:rPr>
        <w:t>Facilitate</w:t>
      </w:r>
      <w:r>
        <w:rPr>
          <w:spacing w:val="-8"/>
          <w:sz w:val="22"/>
        </w:rPr>
        <w:t> </w:t>
      </w:r>
      <w:r>
        <w:rPr>
          <w:sz w:val="22"/>
        </w:rPr>
        <w:t>mandatory</w:t>
      </w:r>
      <w:r>
        <w:rPr>
          <w:spacing w:val="-9"/>
          <w:sz w:val="22"/>
        </w:rPr>
        <w:t> </w:t>
      </w:r>
      <w:r>
        <w:rPr>
          <w:sz w:val="22"/>
        </w:rPr>
        <w:t>LGBTQ</w:t>
      </w:r>
      <w:r>
        <w:rPr>
          <w:spacing w:val="-9"/>
          <w:sz w:val="22"/>
        </w:rPr>
        <w:t> </w:t>
      </w:r>
      <w:r>
        <w:rPr>
          <w:sz w:val="22"/>
        </w:rPr>
        <w:t>cultural</w:t>
      </w:r>
      <w:r>
        <w:rPr>
          <w:spacing w:val="-7"/>
          <w:sz w:val="22"/>
        </w:rPr>
        <w:t> </w:t>
      </w:r>
      <w:r>
        <w:rPr>
          <w:sz w:val="22"/>
        </w:rPr>
        <w:t>awareness</w:t>
      </w:r>
      <w:r>
        <w:rPr>
          <w:spacing w:val="-9"/>
          <w:sz w:val="22"/>
        </w:rPr>
        <w:t> </w:t>
      </w:r>
      <w:r>
        <w:rPr>
          <w:sz w:val="22"/>
        </w:rPr>
        <w:t>and</w:t>
      </w:r>
      <w:r>
        <w:rPr>
          <w:spacing w:val="-9"/>
          <w:sz w:val="22"/>
        </w:rPr>
        <w:t> </w:t>
      </w:r>
      <w:r>
        <w:rPr>
          <w:sz w:val="22"/>
        </w:rPr>
        <w:t>racial</w:t>
      </w:r>
      <w:r>
        <w:rPr>
          <w:spacing w:val="-8"/>
          <w:sz w:val="22"/>
        </w:rPr>
        <w:t> </w:t>
      </w:r>
      <w:r>
        <w:rPr>
          <w:sz w:val="22"/>
        </w:rPr>
        <w:t>equity</w:t>
      </w:r>
      <w:r>
        <w:rPr>
          <w:spacing w:val="-8"/>
          <w:sz w:val="22"/>
        </w:rPr>
        <w:t> </w:t>
      </w:r>
      <w:r>
        <w:rPr>
          <w:sz w:val="22"/>
        </w:rPr>
        <w:t>trainings</w:t>
      </w:r>
      <w:r>
        <w:rPr>
          <w:spacing w:val="-9"/>
          <w:sz w:val="22"/>
        </w:rPr>
        <w:t> </w:t>
      </w:r>
      <w:r>
        <w:rPr>
          <w:sz w:val="22"/>
        </w:rPr>
        <w:t>for</w:t>
      </w:r>
      <w:r>
        <w:rPr>
          <w:spacing w:val="-8"/>
          <w:sz w:val="22"/>
        </w:rPr>
        <w:t> </w:t>
      </w:r>
      <w:r>
        <w:rPr>
          <w:sz w:val="22"/>
        </w:rPr>
        <w:t>all</w:t>
      </w:r>
      <w:r>
        <w:rPr>
          <w:spacing w:val="-8"/>
          <w:sz w:val="22"/>
        </w:rPr>
        <w:t> </w:t>
      </w:r>
      <w:r>
        <w:rPr>
          <w:spacing w:val="-2"/>
          <w:sz w:val="22"/>
        </w:rPr>
        <w:t>staff.</w:t>
      </w:r>
    </w:p>
    <w:p>
      <w:pPr>
        <w:pStyle w:val="ListParagraph"/>
        <w:numPr>
          <w:ilvl w:val="1"/>
          <w:numId w:val="48"/>
        </w:numPr>
        <w:tabs>
          <w:tab w:pos="1059" w:val="left" w:leader="none"/>
        </w:tabs>
        <w:spacing w:line="240" w:lineRule="auto" w:before="40" w:after="0"/>
        <w:ind w:left="1059" w:right="0" w:hanging="360"/>
        <w:jc w:val="left"/>
        <w:rPr>
          <w:sz w:val="22"/>
        </w:rPr>
      </w:pPr>
      <w:r>
        <w:rPr>
          <w:sz w:val="22"/>
        </w:rPr>
        <w:t>Create</w:t>
      </w:r>
      <w:r>
        <w:rPr>
          <w:spacing w:val="-8"/>
          <w:sz w:val="22"/>
        </w:rPr>
        <w:t> </w:t>
      </w:r>
      <w:r>
        <w:rPr>
          <w:sz w:val="22"/>
        </w:rPr>
        <w:t>and</w:t>
      </w:r>
      <w:r>
        <w:rPr>
          <w:spacing w:val="-8"/>
          <w:sz w:val="22"/>
        </w:rPr>
        <w:t> </w:t>
      </w:r>
      <w:r>
        <w:rPr>
          <w:sz w:val="22"/>
        </w:rPr>
        <w:t>hire</w:t>
      </w:r>
      <w:r>
        <w:rPr>
          <w:spacing w:val="-8"/>
          <w:sz w:val="22"/>
        </w:rPr>
        <w:t> </w:t>
      </w:r>
      <w:r>
        <w:rPr>
          <w:sz w:val="22"/>
        </w:rPr>
        <w:t>a</w:t>
      </w:r>
      <w:r>
        <w:rPr>
          <w:spacing w:val="-8"/>
          <w:sz w:val="22"/>
        </w:rPr>
        <w:t> </w:t>
      </w:r>
      <w:r>
        <w:rPr>
          <w:sz w:val="22"/>
        </w:rPr>
        <w:t>dedicated</w:t>
      </w:r>
      <w:r>
        <w:rPr>
          <w:spacing w:val="-8"/>
          <w:sz w:val="22"/>
        </w:rPr>
        <w:t> </w:t>
      </w:r>
      <w:r>
        <w:rPr>
          <w:sz w:val="22"/>
        </w:rPr>
        <w:t>LGBTQ-specific</w:t>
      </w:r>
      <w:r>
        <w:rPr>
          <w:spacing w:val="-7"/>
          <w:sz w:val="22"/>
        </w:rPr>
        <w:t> </w:t>
      </w:r>
      <w:r>
        <w:rPr>
          <w:sz w:val="22"/>
        </w:rPr>
        <w:t>staff</w:t>
      </w:r>
      <w:r>
        <w:rPr>
          <w:spacing w:val="-8"/>
          <w:sz w:val="22"/>
        </w:rPr>
        <w:t> </w:t>
      </w:r>
      <w:r>
        <w:rPr>
          <w:spacing w:val="-2"/>
          <w:sz w:val="22"/>
        </w:rPr>
        <w:t>person.</w:t>
      </w:r>
    </w:p>
    <w:p>
      <w:pPr>
        <w:pStyle w:val="BodyText"/>
        <w:rPr>
          <w:sz w:val="20"/>
        </w:rPr>
      </w:pPr>
    </w:p>
    <w:p>
      <w:pPr>
        <w:pStyle w:val="BodyText"/>
        <w:spacing w:before="107"/>
        <w:rPr>
          <w:sz w:val="20"/>
        </w:rPr>
      </w:pPr>
      <w:r>
        <w:rPr/>
        <mc:AlternateContent>
          <mc:Choice Requires="wps">
            <w:drawing>
              <wp:anchor distT="0" distB="0" distL="0" distR="0" allowOverlap="1" layoutInCell="1" locked="0" behindDoc="1" simplePos="0" relativeHeight="487735296">
                <wp:simplePos x="0" y="0"/>
                <wp:positionH relativeFrom="page">
                  <wp:posOffset>889000</wp:posOffset>
                </wp:positionH>
                <wp:positionV relativeFrom="paragraph">
                  <wp:posOffset>238442</wp:posOffset>
                </wp:positionV>
                <wp:extent cx="6350" cy="12700"/>
                <wp:effectExtent l="0" t="0" r="0" b="0"/>
                <wp:wrapTopAndBottom/>
                <wp:docPr id="698" name="Graphic 698"/>
                <wp:cNvGraphicFramePr>
                  <a:graphicFrameLocks/>
                </wp:cNvGraphicFramePr>
                <a:graphic>
                  <a:graphicData uri="http://schemas.microsoft.com/office/word/2010/wordprocessingShape">
                    <wps:wsp>
                      <wps:cNvPr id="698" name="Graphic 698"/>
                      <wps:cNvSpPr/>
                      <wps:spPr>
                        <a:xfrm>
                          <a:off x="0" y="0"/>
                          <a:ext cx="6350" cy="12700"/>
                        </a:xfrm>
                        <a:custGeom>
                          <a:avLst/>
                          <a:gdLst/>
                          <a:ahLst/>
                          <a:cxnLst/>
                          <a:rect l="l" t="t" r="r" b="b"/>
                          <a:pathLst>
                            <a:path w="6350" h="12700">
                              <a:moveTo>
                                <a:pt x="6337" y="0"/>
                              </a:moveTo>
                              <a:lnTo>
                                <a:pt x="0" y="0"/>
                              </a:lnTo>
                              <a:lnTo>
                                <a:pt x="0" y="12191"/>
                              </a:lnTo>
                              <a:lnTo>
                                <a:pt x="6337" y="12191"/>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8.774977pt;width:.499pt;height:.96pt;mso-position-horizontal-relative:page;mso-position-vertical-relative:paragraph;z-index:-15581184;mso-wrap-distance-left:0;mso-wrap-distance-right:0" id="docshape595"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35808">
                <wp:simplePos x="0" y="0"/>
                <wp:positionH relativeFrom="page">
                  <wp:posOffset>897636</wp:posOffset>
                </wp:positionH>
                <wp:positionV relativeFrom="paragraph">
                  <wp:posOffset>45340</wp:posOffset>
                </wp:positionV>
                <wp:extent cx="5976620" cy="6350"/>
                <wp:effectExtent l="0" t="0" r="0" b="0"/>
                <wp:wrapTopAndBottom/>
                <wp:docPr id="699" name="Graphic 699"/>
                <wp:cNvGraphicFramePr>
                  <a:graphicFrameLocks/>
                </wp:cNvGraphicFramePr>
                <a:graphic>
                  <a:graphicData uri="http://schemas.microsoft.com/office/word/2010/wordprocessingShape">
                    <wps:wsp>
                      <wps:cNvPr id="699" name="Graphic 699"/>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0156pt;width:470.58pt;height:.481pt;mso-position-horizontal-relative:page;mso-position-vertical-relative:paragraph;z-index:-15580672;mso-wrap-distance-left:0;mso-wrap-distance-right:0" id="docshape596" filled="true" fillcolor="#4f81bc" stroked="false">
                <v:fill type="solid"/>
                <w10:wrap type="topAndBottom"/>
              </v:rect>
            </w:pict>
          </mc:Fallback>
        </mc:AlternateContent>
      </w:r>
    </w:p>
    <w:p>
      <w:pPr>
        <w:pStyle w:val="BodyText"/>
        <w:spacing w:line="276" w:lineRule="auto" w:before="241"/>
        <w:ind w:left="483" w:right="342"/>
        <w:jc w:val="both"/>
      </w:pPr>
      <w:r>
        <w:rPr/>
        <w:t>The</w:t>
      </w:r>
      <w:r>
        <w:rPr>
          <w:spacing w:val="-2"/>
        </w:rPr>
        <w:t> </w:t>
      </w:r>
      <w:r>
        <w:rPr/>
        <w:t>MassHire Department of</w:t>
      </w:r>
      <w:r>
        <w:rPr>
          <w:spacing w:val="-1"/>
        </w:rPr>
        <w:t> </w:t>
      </w:r>
      <w:r>
        <w:rPr/>
        <w:t>Career</w:t>
      </w:r>
      <w:r>
        <w:rPr>
          <w:spacing w:val="-1"/>
        </w:rPr>
        <w:t> </w:t>
      </w:r>
      <w:r>
        <w:rPr/>
        <w:t>Services</w:t>
      </w:r>
      <w:r>
        <w:rPr>
          <w:spacing w:val="-1"/>
        </w:rPr>
        <w:t> </w:t>
      </w:r>
      <w:r>
        <w:rPr/>
        <w:t>oversees</w:t>
      </w:r>
      <w:r>
        <w:rPr>
          <w:spacing w:val="-1"/>
        </w:rPr>
        <w:t> </w:t>
      </w:r>
      <w:r>
        <w:rPr/>
        <w:t>workforce</w:t>
      </w:r>
      <w:r>
        <w:rPr>
          <w:spacing w:val="-2"/>
        </w:rPr>
        <w:t> </w:t>
      </w:r>
      <w:r>
        <w:rPr/>
        <w:t>development</w:t>
      </w:r>
      <w:r>
        <w:rPr>
          <w:spacing w:val="-1"/>
        </w:rPr>
        <w:t> </w:t>
      </w:r>
      <w:r>
        <w:rPr/>
        <w:t>activities,</w:t>
      </w:r>
      <w:r>
        <w:rPr>
          <w:spacing w:val="-1"/>
        </w:rPr>
        <w:t> </w:t>
      </w:r>
      <w:r>
        <w:rPr/>
        <w:t>which</w:t>
      </w:r>
      <w:r>
        <w:rPr>
          <w:spacing w:val="-1"/>
        </w:rPr>
        <w:t> </w:t>
      </w:r>
      <w:r>
        <w:rPr/>
        <w:t>includes providing access to quality education, skills training, and employment opportunities for job seekers. Through its statewide network of 29 </w:t>
      </w:r>
      <w:hyperlink r:id="rId778">
        <w:r>
          <w:rPr>
            <w:color w:val="1153CC"/>
            <w:u w:val="single" w:color="1153CC"/>
          </w:rPr>
          <w:t>MassHire Career Centers</w:t>
        </w:r>
      </w:hyperlink>
      <w:r>
        <w:rPr>
          <w:color w:val="1153CC"/>
          <w:u w:val="none"/>
        </w:rPr>
        <w:t> </w:t>
      </w:r>
      <w:r>
        <w:rPr>
          <w:u w:val="none"/>
        </w:rPr>
        <w:t>and </w:t>
      </w:r>
      <w:hyperlink r:id="rId779">
        <w:r>
          <w:rPr>
            <w:color w:val="1153CC"/>
            <w:u w:val="single" w:color="1153CC"/>
          </w:rPr>
          <w:t>17 MassHire Workforce Boards</w:t>
        </w:r>
      </w:hyperlink>
      <w:hyperlink r:id="rId779">
        <w:r>
          <w:rPr>
            <w:u w:val="none"/>
          </w:rPr>
          <w:t>,</w:t>
        </w:r>
      </w:hyperlink>
      <w:r>
        <w:rPr>
          <w:u w:val="none"/>
        </w:rPr>
        <w:t> MassHire works to build connections between businesses and job seekers by helping residents and employers with resources, job matching, tax credit programs, and labor market information.</w:t>
      </w:r>
    </w:p>
    <w:p>
      <w:pPr>
        <w:pStyle w:val="BodyText"/>
        <w:spacing w:line="276" w:lineRule="auto" w:before="241"/>
        <w:ind w:left="483" w:right="341"/>
        <w:jc w:val="both"/>
      </w:pPr>
      <w:r>
        <w:rPr/>
        <w:t>Despite Massachusetts’ nondiscrimination protections, LGBTQ youth continue to experience systemic barriers</w:t>
      </w:r>
      <w:r>
        <w:rPr>
          <w:spacing w:val="-4"/>
        </w:rPr>
        <w:t> </w:t>
      </w:r>
      <w:r>
        <w:rPr/>
        <w:t>that</w:t>
      </w:r>
      <w:r>
        <w:rPr>
          <w:spacing w:val="-3"/>
        </w:rPr>
        <w:t> </w:t>
      </w:r>
      <w:r>
        <w:rPr/>
        <w:t>make</w:t>
      </w:r>
      <w:r>
        <w:rPr>
          <w:spacing w:val="-4"/>
        </w:rPr>
        <w:t> </w:t>
      </w:r>
      <w:r>
        <w:rPr/>
        <w:t>obtaining</w:t>
      </w:r>
      <w:r>
        <w:rPr>
          <w:spacing w:val="-4"/>
        </w:rPr>
        <w:t> </w:t>
      </w:r>
      <w:r>
        <w:rPr/>
        <w:t>employment</w:t>
      </w:r>
      <w:r>
        <w:rPr>
          <w:spacing w:val="-4"/>
        </w:rPr>
        <w:t> </w:t>
      </w:r>
      <w:r>
        <w:rPr/>
        <w:t>more</w:t>
      </w:r>
      <w:r>
        <w:rPr>
          <w:spacing w:val="-3"/>
        </w:rPr>
        <w:t> </w:t>
      </w:r>
      <w:r>
        <w:rPr/>
        <w:t>difficult,</w:t>
      </w:r>
      <w:r>
        <w:rPr>
          <w:spacing w:val="-4"/>
        </w:rPr>
        <w:t> </w:t>
      </w:r>
      <w:r>
        <w:rPr/>
        <w:t>including</w:t>
      </w:r>
      <w:r>
        <w:rPr>
          <w:spacing w:val="-3"/>
        </w:rPr>
        <w:t> </w:t>
      </w:r>
      <w:r>
        <w:rPr/>
        <w:t>discrimination,</w:t>
      </w:r>
      <w:r>
        <w:rPr>
          <w:spacing w:val="-4"/>
        </w:rPr>
        <w:t> </w:t>
      </w:r>
      <w:r>
        <w:rPr/>
        <w:t>low</w:t>
      </w:r>
      <w:r>
        <w:rPr>
          <w:spacing w:val="-4"/>
        </w:rPr>
        <w:t> </w:t>
      </w:r>
      <w:r>
        <w:rPr/>
        <w:t>wages,</w:t>
      </w:r>
      <w:r>
        <w:rPr>
          <w:spacing w:val="-4"/>
        </w:rPr>
        <w:t> </w:t>
      </w:r>
      <w:r>
        <w:rPr/>
        <w:t>and</w:t>
      </w:r>
      <w:r>
        <w:rPr>
          <w:spacing w:val="-4"/>
        </w:rPr>
        <w:t> </w:t>
      </w:r>
      <w:r>
        <w:rPr/>
        <w:t>lack</w:t>
      </w:r>
      <w:r>
        <w:rPr>
          <w:spacing w:val="-4"/>
        </w:rPr>
        <w:t> </w:t>
      </w:r>
      <w:r>
        <w:rPr/>
        <w:t>of appropriate professional development opportunities. Additionally, as discussed throughout this annual report, LGBTQ youth are more likely to experience housing insecurity or homelessness, unsafe educational environments, lack of proper identification documents (like social security cards with their chosen name), and involvement in the criminal legal system. QTBIPOC youth are more likely to attend unsafe</w:t>
      </w:r>
      <w:r>
        <w:rPr>
          <w:spacing w:val="-9"/>
        </w:rPr>
        <w:t> </w:t>
      </w:r>
      <w:r>
        <w:rPr/>
        <w:t>or</w:t>
      </w:r>
      <w:r>
        <w:rPr>
          <w:spacing w:val="-8"/>
        </w:rPr>
        <w:t> </w:t>
      </w:r>
      <w:r>
        <w:rPr/>
        <w:t>underserved</w:t>
      </w:r>
      <w:r>
        <w:rPr>
          <w:spacing w:val="-9"/>
        </w:rPr>
        <w:t> </w:t>
      </w:r>
      <w:r>
        <w:rPr/>
        <w:t>schools,</w:t>
      </w:r>
      <w:r>
        <w:rPr>
          <w:spacing w:val="-9"/>
        </w:rPr>
        <w:t> </w:t>
      </w:r>
      <w:r>
        <w:rPr/>
        <w:t>as</w:t>
      </w:r>
      <w:r>
        <w:rPr>
          <w:spacing w:val="-9"/>
        </w:rPr>
        <w:t> </w:t>
      </w:r>
      <w:r>
        <w:rPr/>
        <w:t>well</w:t>
      </w:r>
      <w:r>
        <w:rPr>
          <w:spacing w:val="-9"/>
        </w:rPr>
        <w:t> </w:t>
      </w:r>
      <w:r>
        <w:rPr/>
        <w:t>as</w:t>
      </w:r>
      <w:r>
        <w:rPr>
          <w:spacing w:val="-9"/>
        </w:rPr>
        <w:t> </w:t>
      </w:r>
      <w:r>
        <w:rPr/>
        <w:t>disproportionate</w:t>
      </w:r>
      <w:r>
        <w:rPr>
          <w:spacing w:val="-9"/>
        </w:rPr>
        <w:t> </w:t>
      </w:r>
      <w:r>
        <w:rPr/>
        <w:t>rates</w:t>
      </w:r>
      <w:r>
        <w:rPr>
          <w:spacing w:val="-9"/>
        </w:rPr>
        <w:t> </w:t>
      </w:r>
      <w:r>
        <w:rPr/>
        <w:t>of</w:t>
      </w:r>
      <w:r>
        <w:rPr>
          <w:spacing w:val="-9"/>
        </w:rPr>
        <w:t> </w:t>
      </w:r>
      <w:r>
        <w:rPr/>
        <w:t>school</w:t>
      </w:r>
      <w:r>
        <w:rPr>
          <w:spacing w:val="-9"/>
        </w:rPr>
        <w:t> </w:t>
      </w:r>
      <w:r>
        <w:rPr/>
        <w:t>suspensions</w:t>
      </w:r>
      <w:r>
        <w:rPr>
          <w:spacing w:val="-9"/>
        </w:rPr>
        <w:t> </w:t>
      </w:r>
      <w:r>
        <w:rPr/>
        <w:t>and</w:t>
      </w:r>
      <w:r>
        <w:rPr>
          <w:spacing w:val="-8"/>
        </w:rPr>
        <w:t> </w:t>
      </w:r>
      <w:r>
        <w:rPr/>
        <w:t>arrests,</w:t>
      </w:r>
      <w:r>
        <w:rPr>
          <w:spacing w:val="-9"/>
        </w:rPr>
        <w:t> </w:t>
      </w:r>
      <w:r>
        <w:rPr/>
        <w:t>which put them at a distinct disadvantage when entering the workforce. It is essential to note that QTBIPOC youth face the additional burdens of social stigma and discrimination on the basis of race, ethnicity, and language.</w:t>
      </w:r>
      <w:hyperlink w:history="true" w:anchor="_bookmark658">
        <w:r>
          <w:rPr>
            <w:vertAlign w:val="superscript"/>
          </w:rPr>
          <w:t>1</w:t>
        </w:r>
      </w:hyperlink>
      <w:r>
        <w:rPr>
          <w:vertAlign w:val="baseline"/>
        </w:rPr>
        <w:t> Furthermore, QTBIPOC adults have significantly higher rates of unemployment than the national</w:t>
      </w:r>
      <w:r>
        <w:rPr>
          <w:spacing w:val="-3"/>
          <w:vertAlign w:val="baseline"/>
        </w:rPr>
        <w:t> </w:t>
      </w:r>
      <w:r>
        <w:rPr>
          <w:vertAlign w:val="baseline"/>
        </w:rPr>
        <w:t>average,</w:t>
      </w:r>
      <w:r>
        <w:rPr>
          <w:spacing w:val="-3"/>
          <w:vertAlign w:val="baseline"/>
        </w:rPr>
        <w:t> </w:t>
      </w:r>
      <w:r>
        <w:rPr>
          <w:vertAlign w:val="baseline"/>
        </w:rPr>
        <w:t>suggesting</w:t>
      </w:r>
      <w:r>
        <w:rPr>
          <w:spacing w:val="-2"/>
          <w:vertAlign w:val="baseline"/>
        </w:rPr>
        <w:t> </w:t>
      </w:r>
      <w:r>
        <w:rPr>
          <w:vertAlign w:val="baseline"/>
        </w:rPr>
        <w:t>that</w:t>
      </w:r>
      <w:r>
        <w:rPr>
          <w:spacing w:val="-1"/>
          <w:vertAlign w:val="baseline"/>
        </w:rPr>
        <w:t> </w:t>
      </w:r>
      <w:r>
        <w:rPr>
          <w:vertAlign w:val="baseline"/>
        </w:rPr>
        <w:t>the</w:t>
      </w:r>
      <w:r>
        <w:rPr>
          <w:spacing w:val="-2"/>
          <w:vertAlign w:val="baseline"/>
        </w:rPr>
        <w:t> </w:t>
      </w:r>
      <w:r>
        <w:rPr>
          <w:vertAlign w:val="baseline"/>
        </w:rPr>
        <w:t>obstacles</w:t>
      </w:r>
      <w:r>
        <w:rPr>
          <w:spacing w:val="-1"/>
          <w:vertAlign w:val="baseline"/>
        </w:rPr>
        <w:t> </w:t>
      </w:r>
      <w:r>
        <w:rPr>
          <w:vertAlign w:val="baseline"/>
        </w:rPr>
        <w:t>QTBIPOC</w:t>
      </w:r>
      <w:r>
        <w:rPr>
          <w:spacing w:val="-2"/>
          <w:vertAlign w:val="baseline"/>
        </w:rPr>
        <w:t> </w:t>
      </w:r>
      <w:r>
        <w:rPr>
          <w:vertAlign w:val="baseline"/>
        </w:rPr>
        <w:t>youth</w:t>
      </w:r>
      <w:r>
        <w:rPr>
          <w:spacing w:val="-2"/>
          <w:vertAlign w:val="baseline"/>
        </w:rPr>
        <w:t> </w:t>
      </w:r>
      <w:r>
        <w:rPr>
          <w:vertAlign w:val="baseline"/>
        </w:rPr>
        <w:t>face</w:t>
      </w:r>
      <w:r>
        <w:rPr>
          <w:spacing w:val="-2"/>
          <w:vertAlign w:val="baseline"/>
        </w:rPr>
        <w:t> </w:t>
      </w:r>
      <w:r>
        <w:rPr>
          <w:vertAlign w:val="baseline"/>
        </w:rPr>
        <w:t>continue to</w:t>
      </w:r>
      <w:r>
        <w:rPr>
          <w:spacing w:val="-2"/>
          <w:vertAlign w:val="baseline"/>
        </w:rPr>
        <w:t> </w:t>
      </w:r>
      <w:r>
        <w:rPr>
          <w:vertAlign w:val="baseline"/>
        </w:rPr>
        <w:t>follow</w:t>
      </w:r>
      <w:r>
        <w:rPr>
          <w:spacing w:val="-3"/>
          <w:vertAlign w:val="baseline"/>
        </w:rPr>
        <w:t> </w:t>
      </w:r>
      <w:r>
        <w:rPr>
          <w:vertAlign w:val="baseline"/>
        </w:rPr>
        <w:t>them</w:t>
      </w:r>
      <w:r>
        <w:rPr>
          <w:spacing w:val="-2"/>
          <w:vertAlign w:val="baseline"/>
        </w:rPr>
        <w:t> </w:t>
      </w:r>
      <w:r>
        <w:rPr>
          <w:vertAlign w:val="baseline"/>
        </w:rPr>
        <w:t>throughout their lifespans</w:t>
      </w:r>
      <w:hyperlink w:history="true" w:anchor="_bookmark659">
        <w:r>
          <w:rPr>
            <w:vertAlign w:val="baseline"/>
          </w:rPr>
          <w:t>.</w:t>
        </w:r>
        <w:r>
          <w:rPr>
            <w:vertAlign w:val="superscript"/>
          </w:rPr>
          <w:t>2</w:t>
        </w:r>
      </w:hyperlink>
    </w:p>
    <w:p>
      <w:pPr>
        <w:spacing w:before="238"/>
        <w:ind w:left="483" w:right="0" w:firstLine="0"/>
        <w:jc w:val="both"/>
        <w:rPr>
          <w:sz w:val="24"/>
        </w:rPr>
      </w:pPr>
      <w:r>
        <w:rPr>
          <w:color w:val="365F91"/>
          <w:sz w:val="24"/>
        </w:rPr>
        <w:t>Past</w:t>
      </w:r>
      <w:r>
        <w:rPr>
          <w:color w:val="365F91"/>
          <w:spacing w:val="-5"/>
          <w:sz w:val="24"/>
        </w:rPr>
        <w:t> </w:t>
      </w:r>
      <w:r>
        <w:rPr>
          <w:color w:val="365F91"/>
          <w:sz w:val="24"/>
        </w:rPr>
        <w:t>&amp;</w:t>
      </w:r>
      <w:r>
        <w:rPr>
          <w:color w:val="365F91"/>
          <w:spacing w:val="-1"/>
          <w:sz w:val="24"/>
        </w:rPr>
        <w:t> </w:t>
      </w:r>
      <w:r>
        <w:rPr>
          <w:color w:val="365F91"/>
          <w:sz w:val="24"/>
        </w:rPr>
        <w:t>Ongoing</w:t>
      </w:r>
      <w:r>
        <w:rPr>
          <w:color w:val="365F91"/>
          <w:spacing w:val="-2"/>
          <w:sz w:val="24"/>
        </w:rPr>
        <w:t> </w:t>
      </w:r>
      <w:r>
        <w:rPr>
          <w:color w:val="365F91"/>
          <w:spacing w:val="-4"/>
          <w:sz w:val="24"/>
        </w:rPr>
        <w:t>Work</w:t>
      </w:r>
    </w:p>
    <w:p>
      <w:pPr>
        <w:pStyle w:val="BodyText"/>
        <w:spacing w:line="276" w:lineRule="auto" w:before="285"/>
        <w:ind w:left="483" w:right="343"/>
        <w:jc w:val="both"/>
      </w:pPr>
      <w:r>
        <w:rPr/>
        <w:t>Since</w:t>
      </w:r>
      <w:r>
        <w:rPr>
          <w:spacing w:val="-5"/>
        </w:rPr>
        <w:t> </w:t>
      </w:r>
      <w:r>
        <w:rPr/>
        <w:t>the</w:t>
      </w:r>
      <w:r>
        <w:rPr>
          <w:spacing w:val="-7"/>
        </w:rPr>
        <w:t> </w:t>
      </w:r>
      <w:r>
        <w:rPr/>
        <w:t>Commission</w:t>
      </w:r>
      <w:r>
        <w:rPr>
          <w:spacing w:val="-7"/>
        </w:rPr>
        <w:t> </w:t>
      </w:r>
      <w:r>
        <w:rPr/>
        <w:t>has</w:t>
      </w:r>
      <w:r>
        <w:rPr>
          <w:spacing w:val="-5"/>
        </w:rPr>
        <w:t> </w:t>
      </w:r>
      <w:r>
        <w:rPr/>
        <w:t>begun</w:t>
      </w:r>
      <w:r>
        <w:rPr>
          <w:spacing w:val="-7"/>
        </w:rPr>
        <w:t> </w:t>
      </w:r>
      <w:r>
        <w:rPr/>
        <w:t>working</w:t>
      </w:r>
      <w:r>
        <w:rPr>
          <w:spacing w:val="-7"/>
        </w:rPr>
        <w:t> </w:t>
      </w:r>
      <w:r>
        <w:rPr/>
        <w:t>with</w:t>
      </w:r>
      <w:r>
        <w:rPr>
          <w:spacing w:val="-7"/>
        </w:rPr>
        <w:t> </w:t>
      </w:r>
      <w:r>
        <w:rPr/>
        <w:t>MassHire,</w:t>
      </w:r>
      <w:r>
        <w:rPr>
          <w:spacing w:val="-6"/>
        </w:rPr>
        <w:t> </w:t>
      </w:r>
      <w:r>
        <w:rPr/>
        <w:t>the</w:t>
      </w:r>
      <w:r>
        <w:rPr>
          <w:spacing w:val="-5"/>
        </w:rPr>
        <w:t> </w:t>
      </w:r>
      <w:r>
        <w:rPr/>
        <w:t>agency</w:t>
      </w:r>
      <w:r>
        <w:rPr>
          <w:spacing w:val="-6"/>
        </w:rPr>
        <w:t> </w:t>
      </w:r>
      <w:r>
        <w:rPr/>
        <w:t>has</w:t>
      </w:r>
      <w:r>
        <w:rPr>
          <w:spacing w:val="-5"/>
        </w:rPr>
        <w:t> </w:t>
      </w:r>
      <w:r>
        <w:rPr/>
        <w:t>made</w:t>
      </w:r>
      <w:r>
        <w:rPr>
          <w:spacing w:val="-5"/>
        </w:rPr>
        <w:t> </w:t>
      </w:r>
      <w:r>
        <w:rPr/>
        <w:t>commendable</w:t>
      </w:r>
      <w:r>
        <w:rPr>
          <w:spacing w:val="-7"/>
        </w:rPr>
        <w:t> </w:t>
      </w:r>
      <w:r>
        <w:rPr/>
        <w:t>progress</w:t>
      </w:r>
      <w:r>
        <w:rPr>
          <w:spacing w:val="-6"/>
        </w:rPr>
        <w:t> </w:t>
      </w:r>
      <w:r>
        <w:rPr/>
        <w:t>in a few areas of the Commission’s recommendations. In 2021, MassHire updated its intake and data collection procedures to include a nonbinary gender marker, and further allows clients to self-select whether they had registered with the selective service (more colloquially known as the military draft),</w:t>
      </w:r>
    </w:p>
    <w:p>
      <w:pPr>
        <w:spacing w:after="0" w:line="276" w:lineRule="auto"/>
        <w:jc w:val="both"/>
        <w:sectPr>
          <w:headerReference w:type="default" r:id="rId776"/>
          <w:footerReference w:type="default" r:id="rId777"/>
          <w:pgSz w:w="12240" w:h="15840"/>
          <w:pgMar w:header="805" w:footer="1263" w:top="1000" w:bottom="1460" w:left="960" w:right="1100"/>
        </w:sectPr>
      </w:pPr>
    </w:p>
    <w:p>
      <w:pPr>
        <w:pStyle w:val="BodyText"/>
        <w:spacing w:before="97"/>
      </w:pPr>
    </w:p>
    <w:p>
      <w:pPr>
        <w:pStyle w:val="BodyText"/>
        <w:spacing w:line="276" w:lineRule="auto"/>
        <w:ind w:left="483"/>
      </w:pPr>
      <w:r>
        <w:rPr/>
        <w:t>which</w:t>
      </w:r>
      <w:r>
        <w:rPr>
          <w:spacing w:val="40"/>
        </w:rPr>
        <w:t> </w:t>
      </w:r>
      <w:r>
        <w:rPr/>
        <w:t>is</w:t>
      </w:r>
      <w:r>
        <w:rPr>
          <w:spacing w:val="40"/>
        </w:rPr>
        <w:t> </w:t>
      </w:r>
      <w:r>
        <w:rPr/>
        <w:t>a</w:t>
      </w:r>
      <w:r>
        <w:rPr>
          <w:spacing w:val="40"/>
        </w:rPr>
        <w:t> </w:t>
      </w:r>
      <w:r>
        <w:rPr/>
        <w:t>federal</w:t>
      </w:r>
      <w:r>
        <w:rPr>
          <w:spacing w:val="40"/>
        </w:rPr>
        <w:t> </w:t>
      </w:r>
      <w:r>
        <w:rPr/>
        <w:t>requirement</w:t>
      </w:r>
      <w:r>
        <w:rPr>
          <w:spacing w:val="40"/>
        </w:rPr>
        <w:t> </w:t>
      </w:r>
      <w:r>
        <w:rPr/>
        <w:t>only</w:t>
      </w:r>
      <w:r>
        <w:rPr>
          <w:spacing w:val="40"/>
        </w:rPr>
        <w:t> </w:t>
      </w:r>
      <w:r>
        <w:rPr/>
        <w:t>for</w:t>
      </w:r>
      <w:r>
        <w:rPr>
          <w:spacing w:val="40"/>
        </w:rPr>
        <w:t> </w:t>
      </w:r>
      <w:r>
        <w:rPr/>
        <w:t>those</w:t>
      </w:r>
      <w:r>
        <w:rPr>
          <w:spacing w:val="40"/>
        </w:rPr>
        <w:t> </w:t>
      </w:r>
      <w:r>
        <w:rPr/>
        <w:t>assigned-male-at-birth.</w:t>
      </w:r>
      <w:r>
        <w:rPr>
          <w:spacing w:val="40"/>
        </w:rPr>
        <w:t> </w:t>
      </w:r>
      <w:r>
        <w:rPr/>
        <w:t>Additionally,</w:t>
      </w:r>
      <w:r>
        <w:rPr>
          <w:spacing w:val="40"/>
        </w:rPr>
        <w:t> </w:t>
      </w:r>
      <w:r>
        <w:rPr/>
        <w:t>the</w:t>
      </w:r>
      <w:r>
        <w:rPr>
          <w:spacing w:val="40"/>
        </w:rPr>
        <w:t> </w:t>
      </w:r>
      <w:r>
        <w:rPr/>
        <w:t>Commission worked with MassHire in 2017 to update and revise its nondiscrimination policy to be LGBTQ-inclusive.</w:t>
      </w:r>
    </w:p>
    <w:p>
      <w:pPr>
        <w:pStyle w:val="BodyText"/>
      </w:pPr>
    </w:p>
    <w:p>
      <w:pPr>
        <w:pStyle w:val="BodyText"/>
        <w:spacing w:before="62"/>
      </w:pPr>
    </w:p>
    <w:p>
      <w:pPr>
        <w:spacing w:before="0"/>
        <w:ind w:left="483" w:right="0" w:firstLine="0"/>
        <w:jc w:val="left"/>
        <w:rPr>
          <w:sz w:val="28"/>
        </w:rPr>
      </w:pPr>
      <w:r>
        <w:rPr>
          <w:color w:val="365F91"/>
          <w:sz w:val="28"/>
        </w:rPr>
        <w:t>FY</w:t>
      </w:r>
      <w:r>
        <w:rPr>
          <w:color w:val="365F91"/>
          <w:spacing w:val="-11"/>
          <w:sz w:val="28"/>
        </w:rPr>
        <w:t> </w:t>
      </w:r>
      <w:r>
        <w:rPr>
          <w:color w:val="365F91"/>
          <w:sz w:val="28"/>
        </w:rPr>
        <w:t>2025</w:t>
      </w:r>
      <w:r>
        <w:rPr>
          <w:color w:val="365F91"/>
          <w:spacing w:val="-11"/>
          <w:sz w:val="28"/>
        </w:rPr>
        <w:t> </w:t>
      </w:r>
      <w:r>
        <w:rPr>
          <w:color w:val="365F91"/>
          <w:sz w:val="28"/>
        </w:rPr>
        <w:t>Expanded</w:t>
      </w:r>
      <w:r>
        <w:rPr>
          <w:color w:val="365F91"/>
          <w:spacing w:val="-11"/>
          <w:sz w:val="28"/>
        </w:rPr>
        <w:t> </w:t>
      </w:r>
      <w:r>
        <w:rPr>
          <w:color w:val="365F91"/>
          <w:sz w:val="28"/>
        </w:rPr>
        <w:t>MassHire</w:t>
      </w:r>
      <w:r>
        <w:rPr>
          <w:color w:val="365F91"/>
          <w:spacing w:val="-11"/>
          <w:sz w:val="28"/>
        </w:rPr>
        <w:t> </w:t>
      </w:r>
      <w:r>
        <w:rPr>
          <w:color w:val="365F91"/>
          <w:spacing w:val="-2"/>
          <w:sz w:val="28"/>
        </w:rPr>
        <w:t>Recommendations</w:t>
      </w:r>
    </w:p>
    <w:p>
      <w:pPr>
        <w:pStyle w:val="BodyText"/>
        <w:spacing w:before="9"/>
        <w:rPr>
          <w:sz w:val="3"/>
        </w:rPr>
      </w:pPr>
      <w:r>
        <w:rPr/>
        <mc:AlternateContent>
          <mc:Choice Requires="wps">
            <w:drawing>
              <wp:anchor distT="0" distB="0" distL="0" distR="0" allowOverlap="1" layoutInCell="1" locked="0" behindDoc="1" simplePos="0" relativeHeight="487736320">
                <wp:simplePos x="0" y="0"/>
                <wp:positionH relativeFrom="page">
                  <wp:posOffset>897636</wp:posOffset>
                </wp:positionH>
                <wp:positionV relativeFrom="paragraph">
                  <wp:posOffset>44807</wp:posOffset>
                </wp:positionV>
                <wp:extent cx="5976620" cy="635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28164pt;width:470.58pt;height:.48pt;mso-position-horizontal-relative:page;mso-position-vertical-relative:paragraph;z-index:-15580160;mso-wrap-distance-left:0;mso-wrap-distance-right:0" id="docshape597" filled="true" fillcolor="#4f81bc" stroked="false">
                <v:fill type="solid"/>
                <w10:wrap type="topAndBottom"/>
              </v:rect>
            </w:pict>
          </mc:Fallback>
        </mc:AlternateContent>
      </w:r>
    </w:p>
    <w:p>
      <w:pPr>
        <w:numPr>
          <w:ilvl w:val="0"/>
          <w:numId w:val="49"/>
        </w:numPr>
        <w:tabs>
          <w:tab w:pos="481" w:val="left" w:leader="none"/>
        </w:tabs>
        <w:spacing w:before="241"/>
        <w:ind w:left="481" w:right="0" w:hanging="358"/>
        <w:jc w:val="left"/>
        <w:rPr>
          <w:b/>
          <w:sz w:val="22"/>
        </w:rPr>
      </w:pPr>
      <w:r>
        <w:rPr>
          <w:b/>
          <w:sz w:val="22"/>
        </w:rPr>
        <w:t>Promote</w:t>
      </w:r>
      <w:r>
        <w:rPr>
          <w:b/>
          <w:spacing w:val="-9"/>
          <w:sz w:val="22"/>
        </w:rPr>
        <w:t> </w:t>
      </w:r>
      <w:r>
        <w:rPr>
          <w:b/>
          <w:sz w:val="22"/>
        </w:rPr>
        <w:t>job</w:t>
      </w:r>
      <w:r>
        <w:rPr>
          <w:b/>
          <w:spacing w:val="-8"/>
          <w:sz w:val="22"/>
        </w:rPr>
        <w:t> </w:t>
      </w:r>
      <w:r>
        <w:rPr>
          <w:b/>
          <w:sz w:val="22"/>
        </w:rPr>
        <w:t>opportunities</w:t>
      </w:r>
      <w:r>
        <w:rPr>
          <w:b/>
          <w:spacing w:val="-9"/>
          <w:sz w:val="22"/>
        </w:rPr>
        <w:t> </w:t>
      </w:r>
      <w:r>
        <w:rPr>
          <w:b/>
          <w:sz w:val="22"/>
        </w:rPr>
        <w:t>to</w:t>
      </w:r>
      <w:r>
        <w:rPr>
          <w:b/>
          <w:spacing w:val="-8"/>
          <w:sz w:val="22"/>
        </w:rPr>
        <w:t> </w:t>
      </w:r>
      <w:r>
        <w:rPr>
          <w:b/>
          <w:sz w:val="22"/>
        </w:rPr>
        <w:t>LGBTQ</w:t>
      </w:r>
      <w:r>
        <w:rPr>
          <w:b/>
          <w:spacing w:val="-8"/>
          <w:sz w:val="22"/>
        </w:rPr>
        <w:t> </w:t>
      </w:r>
      <w:r>
        <w:rPr>
          <w:b/>
          <w:spacing w:val="-2"/>
          <w:sz w:val="22"/>
        </w:rPr>
        <w:t>youth.</w:t>
      </w:r>
    </w:p>
    <w:p>
      <w:pPr>
        <w:pStyle w:val="BodyText"/>
        <w:spacing w:before="13"/>
        <w:rPr>
          <w:b/>
        </w:rPr>
      </w:pPr>
    </w:p>
    <w:p>
      <w:pPr>
        <w:pStyle w:val="BodyText"/>
        <w:spacing w:line="276" w:lineRule="auto"/>
        <w:ind w:left="483" w:right="342"/>
        <w:jc w:val="both"/>
      </w:pPr>
      <w:r>
        <w:rPr/>
        <w:t>In the fall of 2023, the Safe Schools Program and Commission staff hosted a panel for LGBTQ youth on being ‘out’ in the workplace and career readiness. One of the standout questions that staff members received</w:t>
      </w:r>
      <w:r>
        <w:rPr>
          <w:spacing w:val="-2"/>
        </w:rPr>
        <w:t> </w:t>
      </w:r>
      <w:r>
        <w:rPr/>
        <w:t>was how</w:t>
      </w:r>
      <w:r>
        <w:rPr>
          <w:spacing w:val="-3"/>
        </w:rPr>
        <w:t> </w:t>
      </w:r>
      <w:r>
        <w:rPr/>
        <w:t>they</w:t>
      </w:r>
      <w:r>
        <w:rPr>
          <w:spacing w:val="-2"/>
        </w:rPr>
        <w:t> </w:t>
      </w:r>
      <w:r>
        <w:rPr/>
        <w:t>found</w:t>
      </w:r>
      <w:r>
        <w:rPr>
          <w:spacing w:val="-2"/>
        </w:rPr>
        <w:t> </w:t>
      </w:r>
      <w:r>
        <w:rPr/>
        <w:t>LGBTQ-inclusive</w:t>
      </w:r>
      <w:r>
        <w:rPr>
          <w:spacing w:val="-3"/>
        </w:rPr>
        <w:t> </w:t>
      </w:r>
      <w:r>
        <w:rPr/>
        <w:t>jobs,</w:t>
      </w:r>
      <w:r>
        <w:rPr>
          <w:spacing w:val="-3"/>
        </w:rPr>
        <w:t> </w:t>
      </w:r>
      <w:r>
        <w:rPr/>
        <w:t>and</w:t>
      </w:r>
      <w:r>
        <w:rPr>
          <w:spacing w:val="-2"/>
        </w:rPr>
        <w:t> </w:t>
      </w:r>
      <w:r>
        <w:rPr/>
        <w:t>whether</w:t>
      </w:r>
      <w:r>
        <w:rPr>
          <w:spacing w:val="-1"/>
        </w:rPr>
        <w:t> </w:t>
      </w:r>
      <w:r>
        <w:rPr/>
        <w:t>they</w:t>
      </w:r>
      <w:r>
        <w:rPr>
          <w:spacing w:val="-1"/>
        </w:rPr>
        <w:t> </w:t>
      </w:r>
      <w:r>
        <w:rPr/>
        <w:t>had</w:t>
      </w:r>
      <w:r>
        <w:rPr>
          <w:spacing w:val="-1"/>
        </w:rPr>
        <w:t> </w:t>
      </w:r>
      <w:r>
        <w:rPr/>
        <w:t>experienced</w:t>
      </w:r>
      <w:r>
        <w:rPr>
          <w:spacing w:val="-2"/>
        </w:rPr>
        <w:t> </w:t>
      </w:r>
      <w:r>
        <w:rPr/>
        <w:t>discrimination</w:t>
      </w:r>
      <w:r>
        <w:rPr>
          <w:spacing w:val="-2"/>
        </w:rPr>
        <w:t> </w:t>
      </w:r>
      <w:r>
        <w:rPr/>
        <w:t>at work in the last several years.</w:t>
      </w:r>
    </w:p>
    <w:p>
      <w:pPr>
        <w:pStyle w:val="BodyText"/>
        <w:spacing w:line="276" w:lineRule="auto" w:before="239"/>
        <w:ind w:left="483" w:right="340"/>
        <w:jc w:val="both"/>
      </w:pPr>
      <w:r>
        <w:rPr/>
        <w:t>Overwhelmingly, LGBTQ youth are beginning to make up large factions of the workforce as nearly a quarter of youth identify within the LGBTQ communities. However, dedicated resources to promoting LGBTQ-inclusive</w:t>
      </w:r>
      <w:r>
        <w:rPr>
          <w:spacing w:val="-13"/>
        </w:rPr>
        <w:t> </w:t>
      </w:r>
      <w:r>
        <w:rPr/>
        <w:t>job</w:t>
      </w:r>
      <w:r>
        <w:rPr>
          <w:spacing w:val="-12"/>
        </w:rPr>
        <w:t> </w:t>
      </w:r>
      <w:r>
        <w:rPr/>
        <w:t>opportunities</w:t>
      </w:r>
      <w:r>
        <w:rPr>
          <w:spacing w:val="-12"/>
        </w:rPr>
        <w:t> </w:t>
      </w:r>
      <w:r>
        <w:rPr/>
        <w:t>are</w:t>
      </w:r>
      <w:r>
        <w:rPr>
          <w:spacing w:val="-13"/>
        </w:rPr>
        <w:t> </w:t>
      </w:r>
      <w:r>
        <w:rPr/>
        <w:t>scarce,</w:t>
      </w:r>
      <w:r>
        <w:rPr>
          <w:spacing w:val="-11"/>
        </w:rPr>
        <w:t> </w:t>
      </w:r>
      <w:r>
        <w:rPr/>
        <w:t>and</w:t>
      </w:r>
      <w:r>
        <w:rPr>
          <w:spacing w:val="-13"/>
        </w:rPr>
        <w:t> </w:t>
      </w:r>
      <w:r>
        <w:rPr/>
        <w:t>few</w:t>
      </w:r>
      <w:r>
        <w:rPr>
          <w:spacing w:val="-10"/>
        </w:rPr>
        <w:t> </w:t>
      </w:r>
      <w:r>
        <w:rPr/>
        <w:t>companies</w:t>
      </w:r>
      <w:r>
        <w:rPr>
          <w:spacing w:val="-11"/>
        </w:rPr>
        <w:t> </w:t>
      </w:r>
      <w:r>
        <w:rPr/>
        <w:t>make</w:t>
      </w:r>
      <w:r>
        <w:rPr>
          <w:spacing w:val="-12"/>
        </w:rPr>
        <w:t> </w:t>
      </w:r>
      <w:r>
        <w:rPr/>
        <w:t>clear</w:t>
      </w:r>
      <w:r>
        <w:rPr>
          <w:spacing w:val="-12"/>
        </w:rPr>
        <w:t> </w:t>
      </w:r>
      <w:r>
        <w:rPr/>
        <w:t>their</w:t>
      </w:r>
      <w:r>
        <w:rPr>
          <w:spacing w:val="-12"/>
        </w:rPr>
        <w:t> </w:t>
      </w:r>
      <w:r>
        <w:rPr/>
        <w:t>dedication</w:t>
      </w:r>
      <w:r>
        <w:rPr>
          <w:spacing w:val="-12"/>
        </w:rPr>
        <w:t> </w:t>
      </w:r>
      <w:r>
        <w:rPr/>
        <w:t>to</w:t>
      </w:r>
      <w:r>
        <w:rPr>
          <w:spacing w:val="-12"/>
        </w:rPr>
        <w:t> </w:t>
      </w:r>
      <w:r>
        <w:rPr/>
        <w:t>providing a</w:t>
      </w:r>
      <w:r>
        <w:rPr>
          <w:spacing w:val="-4"/>
        </w:rPr>
        <w:t> </w:t>
      </w:r>
      <w:r>
        <w:rPr/>
        <w:t>safe</w:t>
      </w:r>
      <w:r>
        <w:rPr>
          <w:spacing w:val="-4"/>
        </w:rPr>
        <w:t> </w:t>
      </w:r>
      <w:r>
        <w:rPr/>
        <w:t>and</w:t>
      </w:r>
      <w:r>
        <w:rPr>
          <w:spacing w:val="-3"/>
        </w:rPr>
        <w:t> </w:t>
      </w:r>
      <w:r>
        <w:rPr/>
        <w:t>inclusive</w:t>
      </w:r>
      <w:r>
        <w:rPr>
          <w:spacing w:val="-4"/>
        </w:rPr>
        <w:t> </w:t>
      </w:r>
      <w:r>
        <w:rPr/>
        <w:t>work</w:t>
      </w:r>
      <w:r>
        <w:rPr>
          <w:spacing w:val="-3"/>
        </w:rPr>
        <w:t> </w:t>
      </w:r>
      <w:r>
        <w:rPr/>
        <w:t>environment.</w:t>
      </w:r>
      <w:r>
        <w:rPr>
          <w:spacing w:val="-2"/>
        </w:rPr>
        <w:t> </w:t>
      </w:r>
      <w:r>
        <w:rPr/>
        <w:t>As</w:t>
      </w:r>
      <w:r>
        <w:rPr>
          <w:spacing w:val="-4"/>
        </w:rPr>
        <w:t> </w:t>
      </w:r>
      <w:r>
        <w:rPr/>
        <w:t>MassHire</w:t>
      </w:r>
      <w:r>
        <w:rPr>
          <w:spacing w:val="-3"/>
        </w:rPr>
        <w:t> </w:t>
      </w:r>
      <w:r>
        <w:rPr/>
        <w:t>connects</w:t>
      </w:r>
      <w:r>
        <w:rPr>
          <w:spacing w:val="-2"/>
        </w:rPr>
        <w:t> </w:t>
      </w:r>
      <w:r>
        <w:rPr/>
        <w:t>LGBTQ</w:t>
      </w:r>
      <w:r>
        <w:rPr>
          <w:spacing w:val="-3"/>
        </w:rPr>
        <w:t> </w:t>
      </w:r>
      <w:r>
        <w:rPr/>
        <w:t>youth</w:t>
      </w:r>
      <w:r>
        <w:rPr>
          <w:spacing w:val="-3"/>
        </w:rPr>
        <w:t> </w:t>
      </w:r>
      <w:r>
        <w:rPr/>
        <w:t>to</w:t>
      </w:r>
      <w:r>
        <w:rPr>
          <w:spacing w:val="-2"/>
        </w:rPr>
        <w:t> </w:t>
      </w:r>
      <w:r>
        <w:rPr/>
        <w:t>jobs</w:t>
      </w:r>
      <w:r>
        <w:rPr>
          <w:spacing w:val="-4"/>
        </w:rPr>
        <w:t> </w:t>
      </w:r>
      <w:r>
        <w:rPr/>
        <w:t>and</w:t>
      </w:r>
      <w:r>
        <w:rPr>
          <w:spacing w:val="-3"/>
        </w:rPr>
        <w:t> </w:t>
      </w:r>
      <w:r>
        <w:rPr/>
        <w:t>career</w:t>
      </w:r>
      <w:r>
        <w:rPr>
          <w:spacing w:val="-4"/>
        </w:rPr>
        <w:t> </w:t>
      </w:r>
      <w:r>
        <w:rPr/>
        <w:t>resources, it</w:t>
      </w:r>
      <w:r>
        <w:rPr>
          <w:spacing w:val="-1"/>
        </w:rPr>
        <w:t> </w:t>
      </w:r>
      <w:r>
        <w:rPr/>
        <w:t>is essential that it keeps in mind the unique fears many LGBTQ youth face in their workplace. One way to improve career services for LGBTQ youth is by planning and creating career fairs specifically targeted toward</w:t>
      </w:r>
      <w:r>
        <w:rPr>
          <w:spacing w:val="-8"/>
        </w:rPr>
        <w:t> </w:t>
      </w:r>
      <w:r>
        <w:rPr/>
        <w:t>LGBTQ</w:t>
      </w:r>
      <w:r>
        <w:rPr>
          <w:spacing w:val="-8"/>
        </w:rPr>
        <w:t> </w:t>
      </w:r>
      <w:r>
        <w:rPr/>
        <w:t>youth,</w:t>
      </w:r>
      <w:r>
        <w:rPr>
          <w:spacing w:val="-7"/>
        </w:rPr>
        <w:t> </w:t>
      </w:r>
      <w:r>
        <w:rPr/>
        <w:t>such</w:t>
      </w:r>
      <w:r>
        <w:rPr>
          <w:spacing w:val="-7"/>
        </w:rPr>
        <w:t> </w:t>
      </w:r>
      <w:r>
        <w:rPr/>
        <w:t>as</w:t>
      </w:r>
      <w:r>
        <w:rPr>
          <w:spacing w:val="-7"/>
        </w:rPr>
        <w:t> </w:t>
      </w:r>
      <w:r>
        <w:rPr/>
        <w:t>the</w:t>
      </w:r>
      <w:r>
        <w:rPr>
          <w:spacing w:val="-8"/>
        </w:rPr>
        <w:t> </w:t>
      </w:r>
      <w:r>
        <w:rPr/>
        <w:t>career</w:t>
      </w:r>
      <w:r>
        <w:rPr>
          <w:spacing w:val="-6"/>
        </w:rPr>
        <w:t> </w:t>
      </w:r>
      <w:r>
        <w:rPr/>
        <w:t>fairs</w:t>
      </w:r>
      <w:r>
        <w:rPr>
          <w:spacing w:val="-7"/>
        </w:rPr>
        <w:t> </w:t>
      </w:r>
      <w:r>
        <w:rPr/>
        <w:t>offered</w:t>
      </w:r>
      <w:r>
        <w:rPr>
          <w:spacing w:val="-8"/>
        </w:rPr>
        <w:t> </w:t>
      </w:r>
      <w:r>
        <w:rPr/>
        <w:t>by</w:t>
      </w:r>
      <w:r>
        <w:rPr>
          <w:spacing w:val="-7"/>
        </w:rPr>
        <w:t> </w:t>
      </w:r>
      <w:r>
        <w:rPr/>
        <w:t>the</w:t>
      </w:r>
      <w:r>
        <w:rPr>
          <w:spacing w:val="-8"/>
        </w:rPr>
        <w:t> </w:t>
      </w:r>
      <w:r>
        <w:rPr/>
        <w:t>Massachusetts</w:t>
      </w:r>
      <w:r>
        <w:rPr>
          <w:spacing w:val="-7"/>
        </w:rPr>
        <w:t> </w:t>
      </w:r>
      <w:r>
        <w:rPr/>
        <w:t>LGBT</w:t>
      </w:r>
      <w:r>
        <w:rPr>
          <w:spacing w:val="-8"/>
        </w:rPr>
        <w:t> </w:t>
      </w:r>
      <w:r>
        <w:rPr/>
        <w:t>Chamber</w:t>
      </w:r>
      <w:r>
        <w:rPr>
          <w:spacing w:val="-7"/>
        </w:rPr>
        <w:t> </w:t>
      </w:r>
      <w:r>
        <w:rPr/>
        <w:t>of</w:t>
      </w:r>
      <w:r>
        <w:rPr>
          <w:spacing w:val="-6"/>
        </w:rPr>
        <w:t> </w:t>
      </w:r>
      <w:r>
        <w:rPr/>
        <w:t>Commerce. The</w:t>
      </w:r>
      <w:r>
        <w:rPr>
          <w:spacing w:val="-13"/>
        </w:rPr>
        <w:t> </w:t>
      </w:r>
      <w:r>
        <w:rPr/>
        <w:t>Commission</w:t>
      </w:r>
      <w:r>
        <w:rPr>
          <w:spacing w:val="-12"/>
        </w:rPr>
        <w:t> </w:t>
      </w:r>
      <w:r>
        <w:rPr/>
        <w:t>strongly</w:t>
      </w:r>
      <w:r>
        <w:rPr>
          <w:spacing w:val="-13"/>
        </w:rPr>
        <w:t> </w:t>
      </w:r>
      <w:r>
        <w:rPr/>
        <w:t>recommends</w:t>
      </w:r>
      <w:r>
        <w:rPr>
          <w:spacing w:val="-12"/>
        </w:rPr>
        <w:t> </w:t>
      </w:r>
      <w:r>
        <w:rPr/>
        <w:t>that</w:t>
      </w:r>
      <w:r>
        <w:rPr>
          <w:spacing w:val="-13"/>
        </w:rPr>
        <w:t> </w:t>
      </w:r>
      <w:r>
        <w:rPr/>
        <w:t>MassHire</w:t>
      </w:r>
      <w:r>
        <w:rPr>
          <w:spacing w:val="-12"/>
        </w:rPr>
        <w:t> </w:t>
      </w:r>
      <w:r>
        <w:rPr/>
        <w:t>work</w:t>
      </w:r>
      <w:r>
        <w:rPr>
          <w:spacing w:val="-13"/>
        </w:rPr>
        <w:t> </w:t>
      </w:r>
      <w:r>
        <w:rPr/>
        <w:t>to</w:t>
      </w:r>
      <w:r>
        <w:rPr>
          <w:spacing w:val="-12"/>
        </w:rPr>
        <w:t> </w:t>
      </w:r>
      <w:r>
        <w:rPr/>
        <w:t>establish</w:t>
      </w:r>
      <w:r>
        <w:rPr>
          <w:spacing w:val="-12"/>
        </w:rPr>
        <w:t> </w:t>
      </w:r>
      <w:r>
        <w:rPr/>
        <w:t>a</w:t>
      </w:r>
      <w:r>
        <w:rPr>
          <w:spacing w:val="-13"/>
        </w:rPr>
        <w:t> </w:t>
      </w:r>
      <w:r>
        <w:rPr/>
        <w:t>review</w:t>
      </w:r>
      <w:r>
        <w:rPr>
          <w:spacing w:val="-12"/>
        </w:rPr>
        <w:t> </w:t>
      </w:r>
      <w:r>
        <w:rPr/>
        <w:t>system</w:t>
      </w:r>
      <w:r>
        <w:rPr>
          <w:spacing w:val="-13"/>
        </w:rPr>
        <w:t> </w:t>
      </w:r>
      <w:r>
        <w:rPr/>
        <w:t>to</w:t>
      </w:r>
      <w:r>
        <w:rPr>
          <w:spacing w:val="-12"/>
        </w:rPr>
        <w:t> </w:t>
      </w:r>
      <w:r>
        <w:rPr/>
        <w:t>connect</w:t>
      </w:r>
      <w:r>
        <w:rPr>
          <w:spacing w:val="-13"/>
        </w:rPr>
        <w:t> </w:t>
      </w:r>
      <w:r>
        <w:rPr/>
        <w:t>LGBTQ youth with LGBTQ-inclusive workplaces; partnering with community organizations such as the Massachusetts LGBT Chamber of Commerce will likely aid such an endeavor.</w:t>
      </w:r>
    </w:p>
    <w:p>
      <w:pPr>
        <w:numPr>
          <w:ilvl w:val="0"/>
          <w:numId w:val="49"/>
        </w:numPr>
        <w:tabs>
          <w:tab w:pos="481" w:val="left" w:leader="none"/>
          <w:tab w:pos="483" w:val="left" w:leader="none"/>
        </w:tabs>
        <w:spacing w:line="276" w:lineRule="auto" w:before="240"/>
        <w:ind w:left="483" w:right="343" w:hanging="360"/>
        <w:jc w:val="left"/>
        <w:rPr>
          <w:b/>
          <w:sz w:val="22"/>
        </w:rPr>
      </w:pPr>
      <w:r>
        <w:rPr>
          <w:b/>
          <w:sz w:val="22"/>
        </w:rPr>
        <w:t>Review</w:t>
      </w:r>
      <w:r>
        <w:rPr>
          <w:b/>
          <w:spacing w:val="-6"/>
          <w:sz w:val="22"/>
        </w:rPr>
        <w:t> </w:t>
      </w:r>
      <w:r>
        <w:rPr>
          <w:b/>
          <w:sz w:val="22"/>
        </w:rPr>
        <w:t>data</w:t>
      </w:r>
      <w:r>
        <w:rPr>
          <w:b/>
          <w:spacing w:val="-6"/>
          <w:sz w:val="22"/>
        </w:rPr>
        <w:t> </w:t>
      </w:r>
      <w:r>
        <w:rPr>
          <w:b/>
          <w:sz w:val="22"/>
        </w:rPr>
        <w:t>collection</w:t>
      </w:r>
      <w:r>
        <w:rPr>
          <w:b/>
          <w:spacing w:val="-6"/>
          <w:sz w:val="22"/>
        </w:rPr>
        <w:t> </w:t>
      </w:r>
      <w:r>
        <w:rPr>
          <w:b/>
          <w:sz w:val="22"/>
        </w:rPr>
        <w:t>methods</w:t>
      </w:r>
      <w:r>
        <w:rPr>
          <w:b/>
          <w:spacing w:val="-5"/>
          <w:sz w:val="22"/>
        </w:rPr>
        <w:t> </w:t>
      </w:r>
      <w:r>
        <w:rPr>
          <w:b/>
          <w:sz w:val="22"/>
        </w:rPr>
        <w:t>to</w:t>
      </w:r>
      <w:r>
        <w:rPr>
          <w:b/>
          <w:spacing w:val="-7"/>
          <w:sz w:val="22"/>
        </w:rPr>
        <w:t> </w:t>
      </w:r>
      <w:r>
        <w:rPr>
          <w:b/>
          <w:sz w:val="22"/>
        </w:rPr>
        <w:t>reflect</w:t>
      </w:r>
      <w:r>
        <w:rPr>
          <w:b/>
          <w:spacing w:val="-6"/>
          <w:sz w:val="22"/>
        </w:rPr>
        <w:t> </w:t>
      </w:r>
      <w:r>
        <w:rPr>
          <w:b/>
          <w:sz w:val="22"/>
        </w:rPr>
        <w:t>best</w:t>
      </w:r>
      <w:r>
        <w:rPr>
          <w:b/>
          <w:spacing w:val="-7"/>
          <w:sz w:val="22"/>
        </w:rPr>
        <w:t> </w:t>
      </w:r>
      <w:r>
        <w:rPr>
          <w:b/>
          <w:sz w:val="22"/>
        </w:rPr>
        <w:t>practices</w:t>
      </w:r>
      <w:r>
        <w:rPr>
          <w:b/>
          <w:spacing w:val="-5"/>
          <w:sz w:val="22"/>
        </w:rPr>
        <w:t> </w:t>
      </w:r>
      <w:r>
        <w:rPr>
          <w:b/>
          <w:sz w:val="22"/>
        </w:rPr>
        <w:t>on</w:t>
      </w:r>
      <w:r>
        <w:rPr>
          <w:b/>
          <w:spacing w:val="-5"/>
          <w:sz w:val="22"/>
        </w:rPr>
        <w:t> </w:t>
      </w:r>
      <w:r>
        <w:rPr>
          <w:b/>
          <w:sz w:val="22"/>
        </w:rPr>
        <w:t>LGBTQ-related</w:t>
      </w:r>
      <w:r>
        <w:rPr>
          <w:b/>
          <w:spacing w:val="-5"/>
          <w:sz w:val="22"/>
        </w:rPr>
        <w:t> </w:t>
      </w:r>
      <w:r>
        <w:rPr>
          <w:b/>
          <w:sz w:val="22"/>
        </w:rPr>
        <w:t>data</w:t>
      </w:r>
      <w:r>
        <w:rPr>
          <w:b/>
          <w:spacing w:val="-6"/>
          <w:sz w:val="22"/>
        </w:rPr>
        <w:t> </w:t>
      </w:r>
      <w:r>
        <w:rPr>
          <w:b/>
          <w:sz w:val="22"/>
        </w:rPr>
        <w:t>and</w:t>
      </w:r>
      <w:r>
        <w:rPr>
          <w:b/>
          <w:spacing w:val="-5"/>
          <w:sz w:val="22"/>
        </w:rPr>
        <w:t> </w:t>
      </w:r>
      <w:r>
        <w:rPr>
          <w:b/>
          <w:sz w:val="22"/>
        </w:rPr>
        <w:t>evaluate</w:t>
      </w:r>
      <w:r>
        <w:rPr>
          <w:b/>
          <w:spacing w:val="-5"/>
          <w:sz w:val="22"/>
        </w:rPr>
        <w:t> </w:t>
      </w:r>
      <w:r>
        <w:rPr>
          <w:b/>
          <w:sz w:val="22"/>
        </w:rPr>
        <w:t>that</w:t>
      </w:r>
      <w:r>
        <w:rPr>
          <w:b/>
          <w:spacing w:val="-6"/>
          <w:sz w:val="22"/>
        </w:rPr>
        <w:t> </w:t>
      </w:r>
      <w:r>
        <w:rPr>
          <w:b/>
          <w:sz w:val="22"/>
        </w:rPr>
        <w:t>data to improve LGBTQ client experiences.</w:t>
      </w:r>
    </w:p>
    <w:p>
      <w:pPr>
        <w:pStyle w:val="BodyText"/>
        <w:spacing w:line="276" w:lineRule="auto" w:before="239"/>
        <w:ind w:left="483" w:right="341"/>
        <w:jc w:val="both"/>
      </w:pPr>
      <w:r>
        <w:rPr/>
        <w:t>The Commission recommends that MassHire review their SOGIE data collection methods to ensure that they reflect current best practices on LGBTQ-related data, and that they continue to evaluate the data already</w:t>
      </w:r>
      <w:r>
        <w:rPr>
          <w:spacing w:val="-4"/>
        </w:rPr>
        <w:t> </w:t>
      </w:r>
      <w:r>
        <w:rPr/>
        <w:t>received</w:t>
      </w:r>
      <w:r>
        <w:rPr>
          <w:spacing w:val="-3"/>
        </w:rPr>
        <w:t> </w:t>
      </w:r>
      <w:r>
        <w:rPr/>
        <w:t>to</w:t>
      </w:r>
      <w:r>
        <w:rPr>
          <w:spacing w:val="-3"/>
        </w:rPr>
        <w:t> </w:t>
      </w:r>
      <w:r>
        <w:rPr/>
        <w:t>adjust</w:t>
      </w:r>
      <w:r>
        <w:rPr>
          <w:spacing w:val="-2"/>
        </w:rPr>
        <w:t> </w:t>
      </w:r>
      <w:r>
        <w:rPr/>
        <w:t>services</w:t>
      </w:r>
      <w:r>
        <w:rPr>
          <w:spacing w:val="-4"/>
        </w:rPr>
        <w:t> </w:t>
      </w:r>
      <w:r>
        <w:rPr/>
        <w:t>as</w:t>
      </w:r>
      <w:r>
        <w:rPr>
          <w:spacing w:val="-2"/>
        </w:rPr>
        <w:t> </w:t>
      </w:r>
      <w:r>
        <w:rPr/>
        <w:t>needed.</w:t>
      </w:r>
      <w:r>
        <w:rPr>
          <w:spacing w:val="-3"/>
        </w:rPr>
        <w:t> </w:t>
      </w:r>
      <w:r>
        <w:rPr/>
        <w:t>Furthermore,</w:t>
      </w:r>
      <w:r>
        <w:rPr>
          <w:spacing w:val="-4"/>
        </w:rPr>
        <w:t> </w:t>
      </w:r>
      <w:r>
        <w:rPr/>
        <w:t>MassHire</w:t>
      </w:r>
      <w:r>
        <w:rPr>
          <w:spacing w:val="-4"/>
        </w:rPr>
        <w:t> </w:t>
      </w:r>
      <w:r>
        <w:rPr/>
        <w:t>should</w:t>
      </w:r>
      <w:r>
        <w:rPr>
          <w:spacing w:val="-3"/>
        </w:rPr>
        <w:t> </w:t>
      </w:r>
      <w:r>
        <w:rPr/>
        <w:t>ensure</w:t>
      </w:r>
      <w:r>
        <w:rPr>
          <w:spacing w:val="-4"/>
        </w:rPr>
        <w:t> </w:t>
      </w:r>
      <w:r>
        <w:rPr/>
        <w:t>that</w:t>
      </w:r>
      <w:r>
        <w:rPr>
          <w:spacing w:val="-3"/>
        </w:rPr>
        <w:t> </w:t>
      </w:r>
      <w:r>
        <w:rPr/>
        <w:t>the</w:t>
      </w:r>
      <w:r>
        <w:rPr>
          <w:spacing w:val="-3"/>
        </w:rPr>
        <w:t> </w:t>
      </w:r>
      <w:r>
        <w:rPr/>
        <w:t>complaints system</w:t>
      </w:r>
      <w:r>
        <w:rPr>
          <w:spacing w:val="-10"/>
        </w:rPr>
        <w:t> </w:t>
      </w:r>
      <w:r>
        <w:rPr/>
        <w:t>provided</w:t>
      </w:r>
      <w:r>
        <w:rPr>
          <w:spacing w:val="-9"/>
        </w:rPr>
        <w:t> </w:t>
      </w:r>
      <w:r>
        <w:rPr/>
        <w:t>by</w:t>
      </w:r>
      <w:r>
        <w:rPr>
          <w:spacing w:val="-9"/>
        </w:rPr>
        <w:t> </w:t>
      </w:r>
      <w:r>
        <w:rPr/>
        <w:t>MassHire</w:t>
      </w:r>
      <w:r>
        <w:rPr>
          <w:spacing w:val="-9"/>
        </w:rPr>
        <w:t> </w:t>
      </w:r>
      <w:r>
        <w:rPr/>
        <w:t>career</w:t>
      </w:r>
      <w:r>
        <w:rPr>
          <w:spacing w:val="-9"/>
        </w:rPr>
        <w:t> </w:t>
      </w:r>
      <w:r>
        <w:rPr/>
        <w:t>centers</w:t>
      </w:r>
      <w:r>
        <w:rPr>
          <w:spacing w:val="-9"/>
        </w:rPr>
        <w:t> </w:t>
      </w:r>
      <w:r>
        <w:rPr/>
        <w:t>is</w:t>
      </w:r>
      <w:r>
        <w:rPr>
          <w:spacing w:val="-10"/>
        </w:rPr>
        <w:t> </w:t>
      </w:r>
      <w:r>
        <w:rPr/>
        <w:t>inclusive</w:t>
      </w:r>
      <w:r>
        <w:rPr>
          <w:spacing w:val="-10"/>
        </w:rPr>
        <w:t> </w:t>
      </w:r>
      <w:r>
        <w:rPr/>
        <w:t>of</w:t>
      </w:r>
      <w:r>
        <w:rPr>
          <w:spacing w:val="-10"/>
        </w:rPr>
        <w:t> </w:t>
      </w:r>
      <w:r>
        <w:rPr/>
        <w:t>SOGIE</w:t>
      </w:r>
      <w:r>
        <w:rPr>
          <w:spacing w:val="-9"/>
        </w:rPr>
        <w:t> </w:t>
      </w:r>
      <w:r>
        <w:rPr/>
        <w:t>data</w:t>
      </w:r>
      <w:r>
        <w:rPr>
          <w:spacing w:val="-9"/>
        </w:rPr>
        <w:t> </w:t>
      </w:r>
      <w:r>
        <w:rPr/>
        <w:t>collection</w:t>
      </w:r>
      <w:r>
        <w:rPr>
          <w:spacing w:val="-10"/>
        </w:rPr>
        <w:t> </w:t>
      </w:r>
      <w:r>
        <w:rPr/>
        <w:t>to</w:t>
      </w:r>
      <w:r>
        <w:rPr>
          <w:spacing w:val="-8"/>
        </w:rPr>
        <w:t> </w:t>
      </w:r>
      <w:r>
        <w:rPr/>
        <w:t>ensure</w:t>
      </w:r>
      <w:r>
        <w:rPr>
          <w:spacing w:val="-8"/>
        </w:rPr>
        <w:t> </w:t>
      </w:r>
      <w:r>
        <w:rPr/>
        <w:t>that</w:t>
      </w:r>
      <w:r>
        <w:rPr>
          <w:spacing w:val="-9"/>
        </w:rPr>
        <w:t> </w:t>
      </w:r>
      <w:r>
        <w:rPr/>
        <w:t>clients</w:t>
      </w:r>
      <w:r>
        <w:rPr>
          <w:spacing w:val="-10"/>
        </w:rPr>
        <w:t> </w:t>
      </w:r>
      <w:r>
        <w:rPr/>
        <w:t>are not disproportionately facing discrimination in MassHire services.</w:t>
      </w:r>
    </w:p>
    <w:p>
      <w:pPr>
        <w:numPr>
          <w:ilvl w:val="0"/>
          <w:numId w:val="49"/>
        </w:numPr>
        <w:tabs>
          <w:tab w:pos="481" w:val="left" w:leader="none"/>
        </w:tabs>
        <w:spacing w:before="240"/>
        <w:ind w:left="481" w:right="0" w:hanging="358"/>
        <w:jc w:val="left"/>
        <w:rPr>
          <w:b/>
          <w:sz w:val="22"/>
        </w:rPr>
      </w:pPr>
      <w:r>
        <w:rPr>
          <w:b/>
          <w:sz w:val="22"/>
        </w:rPr>
        <w:t>Facilitate</w:t>
      </w:r>
      <w:r>
        <w:rPr>
          <w:b/>
          <w:spacing w:val="-8"/>
          <w:sz w:val="22"/>
        </w:rPr>
        <w:t> </w:t>
      </w:r>
      <w:r>
        <w:rPr>
          <w:b/>
          <w:sz w:val="22"/>
        </w:rPr>
        <w:t>mandatory</w:t>
      </w:r>
      <w:r>
        <w:rPr>
          <w:b/>
          <w:spacing w:val="-9"/>
          <w:sz w:val="22"/>
        </w:rPr>
        <w:t> </w:t>
      </w:r>
      <w:r>
        <w:rPr>
          <w:b/>
          <w:sz w:val="22"/>
        </w:rPr>
        <w:t>LGBTQ</w:t>
      </w:r>
      <w:r>
        <w:rPr>
          <w:b/>
          <w:spacing w:val="-8"/>
          <w:sz w:val="22"/>
        </w:rPr>
        <w:t> </w:t>
      </w:r>
      <w:r>
        <w:rPr>
          <w:b/>
          <w:sz w:val="22"/>
        </w:rPr>
        <w:t>cultural</w:t>
      </w:r>
      <w:r>
        <w:rPr>
          <w:b/>
          <w:spacing w:val="-7"/>
          <w:sz w:val="22"/>
        </w:rPr>
        <w:t> </w:t>
      </w:r>
      <w:r>
        <w:rPr>
          <w:b/>
          <w:sz w:val="22"/>
        </w:rPr>
        <w:t>awareness</w:t>
      </w:r>
      <w:r>
        <w:rPr>
          <w:b/>
          <w:spacing w:val="-8"/>
          <w:sz w:val="22"/>
        </w:rPr>
        <w:t> </w:t>
      </w:r>
      <w:r>
        <w:rPr>
          <w:b/>
          <w:sz w:val="22"/>
        </w:rPr>
        <w:t>and</w:t>
      </w:r>
      <w:r>
        <w:rPr>
          <w:b/>
          <w:spacing w:val="-9"/>
          <w:sz w:val="22"/>
        </w:rPr>
        <w:t> </w:t>
      </w:r>
      <w:r>
        <w:rPr>
          <w:b/>
          <w:sz w:val="22"/>
        </w:rPr>
        <w:t>racial</w:t>
      </w:r>
      <w:r>
        <w:rPr>
          <w:b/>
          <w:spacing w:val="-8"/>
          <w:sz w:val="22"/>
        </w:rPr>
        <w:t> </w:t>
      </w:r>
      <w:r>
        <w:rPr>
          <w:b/>
          <w:sz w:val="22"/>
        </w:rPr>
        <w:t>equity</w:t>
      </w:r>
      <w:r>
        <w:rPr>
          <w:b/>
          <w:spacing w:val="-9"/>
          <w:sz w:val="22"/>
        </w:rPr>
        <w:t> </w:t>
      </w:r>
      <w:r>
        <w:rPr>
          <w:b/>
          <w:sz w:val="22"/>
        </w:rPr>
        <w:t>trainings</w:t>
      </w:r>
      <w:r>
        <w:rPr>
          <w:b/>
          <w:spacing w:val="-8"/>
          <w:sz w:val="22"/>
        </w:rPr>
        <w:t> </w:t>
      </w:r>
      <w:r>
        <w:rPr>
          <w:b/>
          <w:sz w:val="22"/>
        </w:rPr>
        <w:t>for</w:t>
      </w:r>
      <w:r>
        <w:rPr>
          <w:b/>
          <w:spacing w:val="-8"/>
          <w:sz w:val="22"/>
        </w:rPr>
        <w:t> </w:t>
      </w:r>
      <w:r>
        <w:rPr>
          <w:b/>
          <w:sz w:val="22"/>
        </w:rPr>
        <w:t>all</w:t>
      </w:r>
      <w:r>
        <w:rPr>
          <w:b/>
          <w:spacing w:val="-8"/>
          <w:sz w:val="22"/>
        </w:rPr>
        <w:t> </w:t>
      </w:r>
      <w:r>
        <w:rPr>
          <w:b/>
          <w:spacing w:val="-2"/>
          <w:sz w:val="22"/>
        </w:rPr>
        <w:t>staff.</w:t>
      </w:r>
    </w:p>
    <w:p>
      <w:pPr>
        <w:pStyle w:val="BodyText"/>
        <w:spacing w:before="13"/>
        <w:rPr>
          <w:b/>
        </w:rPr>
      </w:pPr>
    </w:p>
    <w:p>
      <w:pPr>
        <w:pStyle w:val="BodyText"/>
        <w:spacing w:line="276" w:lineRule="auto"/>
        <w:ind w:left="483" w:right="339"/>
        <w:jc w:val="both"/>
      </w:pPr>
      <w:r>
        <w:rPr/>
        <w:t>For several years, the Commission has engaged in conversations with MassHire on offering trainings on LGBTQ cultural engagement to uplift the unique needs of LGBTQ youth in MassHire services. In FY 2022, MassHire staff participated in a training offered by PFLAG on how to be more inclusive in its service provision. The Commission has offered to partner with MassHire through its agency training curriculum and hopes to set up a series of trainings for all MassHire staff in the coming fiscal year. The Commission additionally recommends that MassHire ensure that racial equity trainings are provided to all staff that highlights the intersectional identities LGBTQ youth often carry with them in the workplace.</w:t>
      </w:r>
    </w:p>
    <w:p>
      <w:pPr>
        <w:spacing w:after="0" w:line="276" w:lineRule="auto"/>
        <w:jc w:val="both"/>
        <w:sectPr>
          <w:pgSz w:w="12240" w:h="15840"/>
          <w:pgMar w:header="805" w:footer="1263" w:top="1000" w:bottom="1460" w:left="960" w:right="1100"/>
        </w:sectPr>
      </w:pPr>
    </w:p>
    <w:p>
      <w:pPr>
        <w:pStyle w:val="BodyText"/>
        <w:spacing w:before="97"/>
      </w:pPr>
    </w:p>
    <w:p>
      <w:pPr>
        <w:numPr>
          <w:ilvl w:val="0"/>
          <w:numId w:val="49"/>
        </w:numPr>
        <w:tabs>
          <w:tab w:pos="481" w:val="left" w:leader="none"/>
        </w:tabs>
        <w:spacing w:before="0"/>
        <w:ind w:left="481" w:right="0" w:hanging="358"/>
        <w:jc w:val="left"/>
        <w:rPr>
          <w:b/>
          <w:sz w:val="22"/>
        </w:rPr>
      </w:pPr>
      <w:r>
        <w:rPr>
          <w:b/>
          <w:sz w:val="22"/>
        </w:rPr>
        <w:t>Create</w:t>
      </w:r>
      <w:r>
        <w:rPr>
          <w:b/>
          <w:spacing w:val="-8"/>
          <w:sz w:val="22"/>
        </w:rPr>
        <w:t> </w:t>
      </w:r>
      <w:r>
        <w:rPr>
          <w:b/>
          <w:sz w:val="22"/>
        </w:rPr>
        <w:t>and</w:t>
      </w:r>
      <w:r>
        <w:rPr>
          <w:b/>
          <w:spacing w:val="-9"/>
          <w:sz w:val="22"/>
        </w:rPr>
        <w:t> </w:t>
      </w:r>
      <w:r>
        <w:rPr>
          <w:b/>
          <w:sz w:val="22"/>
        </w:rPr>
        <w:t>hire</w:t>
      </w:r>
      <w:r>
        <w:rPr>
          <w:b/>
          <w:spacing w:val="-9"/>
          <w:sz w:val="22"/>
        </w:rPr>
        <w:t> </w:t>
      </w:r>
      <w:r>
        <w:rPr>
          <w:b/>
          <w:sz w:val="22"/>
        </w:rPr>
        <w:t>a</w:t>
      </w:r>
      <w:r>
        <w:rPr>
          <w:b/>
          <w:spacing w:val="-7"/>
          <w:sz w:val="22"/>
        </w:rPr>
        <w:t> </w:t>
      </w:r>
      <w:r>
        <w:rPr>
          <w:b/>
          <w:sz w:val="22"/>
        </w:rPr>
        <w:t>dedicated</w:t>
      </w:r>
      <w:r>
        <w:rPr>
          <w:b/>
          <w:spacing w:val="-9"/>
          <w:sz w:val="22"/>
        </w:rPr>
        <w:t> </w:t>
      </w:r>
      <w:r>
        <w:rPr>
          <w:b/>
          <w:sz w:val="22"/>
        </w:rPr>
        <w:t>LGBTQ-specific</w:t>
      </w:r>
      <w:r>
        <w:rPr>
          <w:b/>
          <w:spacing w:val="-9"/>
          <w:sz w:val="22"/>
        </w:rPr>
        <w:t> </w:t>
      </w:r>
      <w:r>
        <w:rPr>
          <w:b/>
          <w:sz w:val="22"/>
        </w:rPr>
        <w:t>staff</w:t>
      </w:r>
      <w:r>
        <w:rPr>
          <w:b/>
          <w:spacing w:val="-7"/>
          <w:sz w:val="22"/>
        </w:rPr>
        <w:t> </w:t>
      </w:r>
      <w:r>
        <w:rPr>
          <w:b/>
          <w:spacing w:val="-2"/>
          <w:sz w:val="22"/>
        </w:rPr>
        <w:t>person.</w:t>
      </w:r>
    </w:p>
    <w:p>
      <w:pPr>
        <w:pStyle w:val="BodyText"/>
        <w:spacing w:before="11"/>
        <w:rPr>
          <w:b/>
        </w:rPr>
      </w:pPr>
    </w:p>
    <w:p>
      <w:pPr>
        <w:pStyle w:val="BodyText"/>
        <w:spacing w:line="276" w:lineRule="auto"/>
        <w:ind w:left="483" w:right="342"/>
        <w:jc w:val="both"/>
      </w:pPr>
      <w:r>
        <w:rPr/>
        <w:t>Over the last couple of years, the Commission has been pleased to see a number of state agencies, such as the Department of Children &amp; Families and the Department of Public Health, create LGBTQ-specific staff positions dedicated to ensuring that the needs of LGBTQ youth are being met by the agency. The Commission strongly recommends that MassHire follow this model to create positions dedicated to overseeing the outreach &amp; resource development to LGBTQ youth.</w:t>
      </w:r>
    </w:p>
    <w:p>
      <w:pPr>
        <w:pStyle w:val="BodyText"/>
      </w:pPr>
    </w:p>
    <w:p>
      <w:pPr>
        <w:pStyle w:val="BodyText"/>
        <w:spacing w:before="238"/>
      </w:pPr>
    </w:p>
    <w:p>
      <w:pPr>
        <w:spacing w:before="0"/>
        <w:ind w:left="483" w:right="0" w:firstLine="0"/>
        <w:jc w:val="left"/>
        <w:rPr>
          <w:b/>
          <w:sz w:val="21"/>
        </w:rPr>
      </w:pPr>
      <w:r>
        <w:rPr>
          <w:b/>
          <w:spacing w:val="-2"/>
          <w:sz w:val="21"/>
        </w:rPr>
        <w:t>Citations</w:t>
      </w:r>
    </w:p>
    <w:p>
      <w:pPr>
        <w:pStyle w:val="BodyText"/>
        <w:spacing w:before="22"/>
        <w:rPr>
          <w:b/>
          <w:sz w:val="21"/>
        </w:rPr>
      </w:pPr>
    </w:p>
    <w:p>
      <w:pPr>
        <w:spacing w:before="1"/>
        <w:ind w:left="483" w:right="341" w:firstLine="0"/>
        <w:jc w:val="both"/>
        <w:rPr>
          <w:sz w:val="18"/>
        </w:rPr>
      </w:pPr>
      <w:bookmarkStart w:name="_bookmark658" w:id="965"/>
      <w:bookmarkEnd w:id="965"/>
      <w:r>
        <w:rPr/>
      </w:r>
      <w:r>
        <w:rPr>
          <w:sz w:val="18"/>
          <w:vertAlign w:val="superscript"/>
        </w:rPr>
        <w:t>1</w:t>
      </w:r>
      <w:r>
        <w:rPr>
          <w:sz w:val="18"/>
          <w:vertAlign w:val="baseline"/>
        </w:rPr>
        <w:t> Movement Advancement Project, “Movement Advancement Project | LGBT Workers of Color Are Among the Most Disadvantaged in the U.S. Workforce,” accessed April 25, 2023, https://</w:t>
      </w:r>
      <w:hyperlink r:id="rId780">
        <w:r>
          <w:rPr>
            <w:sz w:val="18"/>
            <w:vertAlign w:val="baseline"/>
          </w:rPr>
          <w:t>www.lgbtmap.org/news/broken-bargain-lgbt-workers-</w:t>
        </w:r>
      </w:hyperlink>
      <w:r>
        <w:rPr>
          <w:sz w:val="18"/>
          <w:vertAlign w:val="baseline"/>
        </w:rPr>
        <w:t> </w:t>
      </w:r>
      <w:r>
        <w:rPr>
          <w:spacing w:val="-2"/>
          <w:sz w:val="18"/>
          <w:vertAlign w:val="baseline"/>
        </w:rPr>
        <w:t>of-color-release.</w:t>
      </w:r>
    </w:p>
    <w:p>
      <w:pPr>
        <w:spacing w:line="219" w:lineRule="exact" w:before="0"/>
        <w:ind w:left="483" w:right="0" w:firstLine="0"/>
        <w:jc w:val="both"/>
        <w:rPr>
          <w:sz w:val="18"/>
        </w:rPr>
      </w:pPr>
      <w:bookmarkStart w:name="_bookmark659" w:id="966"/>
      <w:bookmarkEnd w:id="966"/>
      <w:r>
        <w:rPr/>
      </w:r>
      <w:r>
        <w:rPr>
          <w:sz w:val="18"/>
          <w:vertAlign w:val="superscript"/>
        </w:rPr>
        <w:t>2</w:t>
      </w:r>
      <w:r>
        <w:rPr>
          <w:spacing w:val="-13"/>
          <w:sz w:val="18"/>
          <w:vertAlign w:val="baseline"/>
        </w:rPr>
        <w:t> </w:t>
      </w:r>
      <w:r>
        <w:rPr>
          <w:spacing w:val="-4"/>
          <w:sz w:val="18"/>
          <w:vertAlign w:val="baseline"/>
        </w:rPr>
        <w:t>Ibid.</w:t>
      </w:r>
    </w:p>
    <w:p>
      <w:pPr>
        <w:spacing w:after="0" w:line="219" w:lineRule="exact"/>
        <w:jc w:val="both"/>
        <w:rPr>
          <w:sz w:val="18"/>
        </w:rPr>
        <w:sectPr>
          <w:pgSz w:w="12240" w:h="15840"/>
          <w:pgMar w:header="805" w:footer="1263" w:top="1000" w:bottom="1460" w:left="960" w:right="1100"/>
        </w:sectPr>
      </w:pPr>
    </w:p>
    <w:p>
      <w:pPr>
        <w:pStyle w:val="BodyText"/>
        <w:spacing w:before="162"/>
        <w:rPr>
          <w:sz w:val="20"/>
        </w:rPr>
      </w:pPr>
    </w:p>
    <w:p>
      <w:pPr>
        <w:pStyle w:val="BodyText"/>
        <w:spacing w:line="20" w:lineRule="exact"/>
        <w:ind w:left="440"/>
        <w:rPr>
          <w:sz w:val="2"/>
        </w:rPr>
      </w:pPr>
      <w:r>
        <w:rPr>
          <w:sz w:val="2"/>
        </w:rPr>
        <mc:AlternateContent>
          <mc:Choice Requires="wps">
            <w:drawing>
              <wp:inline distT="0" distB="0" distL="0" distR="0">
                <wp:extent cx="6350" cy="12700"/>
                <wp:effectExtent l="0" t="0" r="0" b="0"/>
                <wp:docPr id="704" name="Group 704"/>
                <wp:cNvGraphicFramePr>
                  <a:graphicFrameLocks/>
                </wp:cNvGraphicFramePr>
                <a:graphic>
                  <a:graphicData uri="http://schemas.microsoft.com/office/word/2010/wordprocessingGroup">
                    <wpg:wgp>
                      <wpg:cNvPr id="704" name="Group 704"/>
                      <wpg:cNvGrpSpPr/>
                      <wpg:grpSpPr>
                        <a:xfrm>
                          <a:off x="0" y="0"/>
                          <a:ext cx="6350" cy="12700"/>
                          <a:chExt cx="6350" cy="12700"/>
                        </a:xfrm>
                      </wpg:grpSpPr>
                      <wps:wsp>
                        <wps:cNvPr id="705" name="Graphic 705"/>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wpg:wgp>
                  </a:graphicData>
                </a:graphic>
              </wp:inline>
            </w:drawing>
          </mc:Choice>
          <mc:Fallback>
            <w:pict>
              <v:group style="width:.5pt;height:1pt;mso-position-horizontal-relative:char;mso-position-vertical-relative:line" id="docshapegroup601" coordorigin="0,0" coordsize="10,20">
                <v:rect style="position:absolute;left:0;top:0;width:10;height:20" id="docshape602" filled="true" fillcolor="#4f81bb" stroked="false">
                  <v:fill type="solid"/>
                </v:rect>
              </v:group>
            </w:pict>
          </mc:Fallback>
        </mc:AlternateContent>
      </w:r>
      <w:r>
        <w:rPr>
          <w:sz w:val="2"/>
        </w:rPr>
      </w:r>
    </w:p>
    <w:p>
      <w:pPr>
        <w:pStyle w:val="Heading7"/>
      </w:pPr>
      <w:bookmarkStart w:name="_bookmark660" w:id="967"/>
      <w:bookmarkEnd w:id="967"/>
      <w:r>
        <w:rPr/>
      </w:r>
      <w:hyperlink w:history="true" w:anchor="_bookmark7">
        <w:r>
          <w:rPr>
            <w:color w:val="365F91"/>
            <w:spacing w:val="-8"/>
          </w:rPr>
          <w:t>Office</w:t>
        </w:r>
        <w:r>
          <w:rPr>
            <w:color w:val="365F91"/>
            <w:spacing w:val="-11"/>
          </w:rPr>
          <w:t> </w:t>
        </w:r>
        <w:r>
          <w:rPr>
            <w:color w:val="365F91"/>
            <w:spacing w:val="-8"/>
          </w:rPr>
          <w:t>of</w:t>
        </w:r>
        <w:r>
          <w:rPr>
            <w:color w:val="365F91"/>
            <w:spacing w:val="-11"/>
          </w:rPr>
          <w:t> </w:t>
        </w:r>
        <w:r>
          <w:rPr>
            <w:color w:val="365F91"/>
            <w:spacing w:val="-8"/>
          </w:rPr>
          <w:t>the</w:t>
        </w:r>
        <w:r>
          <w:rPr>
            <w:color w:val="365F91"/>
            <w:spacing w:val="-11"/>
          </w:rPr>
          <w:t> </w:t>
        </w:r>
        <w:r>
          <w:rPr>
            <w:color w:val="365F91"/>
            <w:spacing w:val="-8"/>
          </w:rPr>
          <w:t>Child</w:t>
        </w:r>
        <w:r>
          <w:rPr>
            <w:color w:val="365F91"/>
            <w:spacing w:val="-11"/>
          </w:rPr>
          <w:t> </w:t>
        </w:r>
        <w:r>
          <w:rPr>
            <w:color w:val="365F91"/>
            <w:spacing w:val="-8"/>
          </w:rPr>
          <w:t>Advocate</w:t>
        </w:r>
      </w:hyperlink>
    </w:p>
    <w:p>
      <w:pPr>
        <w:pStyle w:val="BodyText"/>
        <w:spacing w:before="85"/>
        <w:rPr>
          <w:sz w:val="20"/>
        </w:rPr>
      </w:pPr>
      <w:r>
        <w:rPr/>
        <mc:AlternateContent>
          <mc:Choice Requires="wps">
            <w:drawing>
              <wp:anchor distT="0" distB="0" distL="0" distR="0" allowOverlap="1" layoutInCell="1" locked="0" behindDoc="1" simplePos="0" relativeHeight="487737344">
                <wp:simplePos x="0" y="0"/>
                <wp:positionH relativeFrom="page">
                  <wp:posOffset>889000</wp:posOffset>
                </wp:positionH>
                <wp:positionV relativeFrom="paragraph">
                  <wp:posOffset>224306</wp:posOffset>
                </wp:positionV>
                <wp:extent cx="6350" cy="12700"/>
                <wp:effectExtent l="0" t="0" r="0" b="0"/>
                <wp:wrapTopAndBottom/>
                <wp:docPr id="706" name="Graphic 706"/>
                <wp:cNvGraphicFramePr>
                  <a:graphicFrameLocks/>
                </wp:cNvGraphicFramePr>
                <a:graphic>
                  <a:graphicData uri="http://schemas.microsoft.com/office/word/2010/wordprocessingShape">
                    <wps:wsp>
                      <wps:cNvPr id="706" name="Graphic 706"/>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7.661938pt;width:.499pt;height:.962pt;mso-position-horizontal-relative:page;mso-position-vertical-relative:paragraph;z-index:-15579136;mso-wrap-distance-left:0;mso-wrap-distance-right:0" id="docshape603" filled="true" fillcolor="#4f81bb" stroked="false">
                <v:fill type="solid"/>
                <w10:wrap type="topAndBottom"/>
              </v:rect>
            </w:pict>
          </mc:Fallback>
        </mc:AlternateContent>
      </w:r>
    </w:p>
    <w:p>
      <w:pPr>
        <w:spacing w:before="0"/>
        <w:ind w:left="483" w:right="0" w:firstLine="0"/>
        <w:jc w:val="left"/>
        <w:rPr>
          <w:sz w:val="28"/>
        </w:rPr>
      </w:pPr>
      <w:r>
        <w:rPr>
          <w:color w:val="365F91"/>
          <w:sz w:val="28"/>
        </w:rPr>
        <w:t>FY</w:t>
      </w:r>
      <w:r>
        <w:rPr>
          <w:color w:val="365F91"/>
          <w:spacing w:val="-7"/>
          <w:sz w:val="28"/>
        </w:rPr>
        <w:t> </w:t>
      </w:r>
      <w:r>
        <w:rPr>
          <w:color w:val="365F91"/>
          <w:sz w:val="28"/>
        </w:rPr>
        <w:t>2025</w:t>
      </w:r>
      <w:r>
        <w:rPr>
          <w:color w:val="365F91"/>
          <w:spacing w:val="-6"/>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37856">
                <wp:simplePos x="0" y="0"/>
                <wp:positionH relativeFrom="page">
                  <wp:posOffset>897636</wp:posOffset>
                </wp:positionH>
                <wp:positionV relativeFrom="paragraph">
                  <wp:posOffset>44845</wp:posOffset>
                </wp:positionV>
                <wp:extent cx="5976620" cy="635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5976620" cy="6350"/>
                        </a:xfrm>
                        <a:custGeom>
                          <a:avLst/>
                          <a:gdLst/>
                          <a:ahLst/>
                          <a:cxnLst/>
                          <a:rect l="l" t="t" r="r" b="b"/>
                          <a:pathLst>
                            <a:path w="5976620" h="6350">
                              <a:moveTo>
                                <a:pt x="5976366" y="0"/>
                              </a:moveTo>
                              <a:lnTo>
                                <a:pt x="0" y="0"/>
                              </a:lnTo>
                              <a:lnTo>
                                <a:pt x="0" y="6108"/>
                              </a:lnTo>
                              <a:lnTo>
                                <a:pt x="5976366" y="6108"/>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31156pt;width:470.58pt;height:.481pt;mso-position-horizontal-relative:page;mso-position-vertical-relative:paragraph;z-index:-15578624;mso-wrap-distance-left:0;mso-wrap-distance-right:0" id="docshape604" filled="true" fillcolor="#4f81bc" stroked="false">
                <v:fill type="solid"/>
                <w10:wrap type="topAndBottom"/>
              </v:rect>
            </w:pict>
          </mc:Fallback>
        </mc:AlternateContent>
      </w:r>
    </w:p>
    <w:p>
      <w:pPr>
        <w:pStyle w:val="ListParagraph"/>
        <w:numPr>
          <w:ilvl w:val="1"/>
          <w:numId w:val="49"/>
        </w:numPr>
        <w:tabs>
          <w:tab w:pos="1417" w:val="left" w:leader="none"/>
          <w:tab w:pos="1419" w:val="left" w:leader="none"/>
        </w:tabs>
        <w:spacing w:line="276" w:lineRule="auto" w:before="241" w:after="0"/>
        <w:ind w:left="1419" w:right="343" w:hanging="361"/>
        <w:jc w:val="left"/>
        <w:rPr>
          <w:sz w:val="22"/>
        </w:rPr>
      </w:pPr>
      <w:r>
        <w:rPr>
          <w:sz w:val="22"/>
        </w:rPr>
        <w:t>Improve</w:t>
      </w:r>
      <w:r>
        <w:rPr>
          <w:spacing w:val="-5"/>
          <w:sz w:val="22"/>
        </w:rPr>
        <w:t> </w:t>
      </w:r>
      <w:r>
        <w:rPr>
          <w:sz w:val="22"/>
        </w:rPr>
        <w:t>SOGIE</w:t>
      </w:r>
      <w:r>
        <w:rPr>
          <w:spacing w:val="-6"/>
          <w:sz w:val="22"/>
        </w:rPr>
        <w:t> </w:t>
      </w:r>
      <w:r>
        <w:rPr>
          <w:sz w:val="22"/>
        </w:rPr>
        <w:t>data</w:t>
      </w:r>
      <w:r>
        <w:rPr>
          <w:spacing w:val="-5"/>
          <w:sz w:val="22"/>
        </w:rPr>
        <w:t> </w:t>
      </w:r>
      <w:r>
        <w:rPr>
          <w:sz w:val="22"/>
        </w:rPr>
        <w:t>collection</w:t>
      </w:r>
      <w:r>
        <w:rPr>
          <w:spacing w:val="-5"/>
          <w:sz w:val="22"/>
        </w:rPr>
        <w:t> </w:t>
      </w:r>
      <w:r>
        <w:rPr>
          <w:sz w:val="22"/>
        </w:rPr>
        <w:t>practices</w:t>
      </w:r>
      <w:r>
        <w:rPr>
          <w:spacing w:val="-5"/>
          <w:sz w:val="22"/>
        </w:rPr>
        <w:t> </w:t>
      </w:r>
      <w:r>
        <w:rPr>
          <w:sz w:val="22"/>
        </w:rPr>
        <w:t>for</w:t>
      </w:r>
      <w:r>
        <w:rPr>
          <w:spacing w:val="-5"/>
          <w:sz w:val="22"/>
        </w:rPr>
        <w:t> </w:t>
      </w:r>
      <w:r>
        <w:rPr>
          <w:sz w:val="22"/>
        </w:rPr>
        <w:t>the</w:t>
      </w:r>
      <w:r>
        <w:rPr>
          <w:spacing w:val="-5"/>
          <w:sz w:val="22"/>
        </w:rPr>
        <w:t> </w:t>
      </w:r>
      <w:r>
        <w:rPr>
          <w:sz w:val="22"/>
        </w:rPr>
        <w:t>Complaint</w:t>
      </w:r>
      <w:r>
        <w:rPr>
          <w:spacing w:val="-6"/>
          <w:sz w:val="22"/>
        </w:rPr>
        <w:t> </w:t>
      </w:r>
      <w:r>
        <w:rPr>
          <w:sz w:val="22"/>
        </w:rPr>
        <w:t>Line</w:t>
      </w:r>
      <w:r>
        <w:rPr>
          <w:spacing w:val="-5"/>
          <w:sz w:val="22"/>
        </w:rPr>
        <w:t> </w:t>
      </w:r>
      <w:r>
        <w:rPr>
          <w:sz w:val="22"/>
        </w:rPr>
        <w:t>and</w:t>
      </w:r>
      <w:r>
        <w:rPr>
          <w:spacing w:val="-5"/>
          <w:sz w:val="22"/>
        </w:rPr>
        <w:t> </w:t>
      </w:r>
      <w:r>
        <w:rPr>
          <w:sz w:val="22"/>
        </w:rPr>
        <w:t>provide</w:t>
      </w:r>
      <w:r>
        <w:rPr>
          <w:spacing w:val="-4"/>
          <w:sz w:val="22"/>
        </w:rPr>
        <w:t> </w:t>
      </w:r>
      <w:r>
        <w:rPr>
          <w:sz w:val="22"/>
        </w:rPr>
        <w:t>trainings</w:t>
      </w:r>
      <w:r>
        <w:rPr>
          <w:spacing w:val="-6"/>
          <w:sz w:val="22"/>
        </w:rPr>
        <w:t> </w:t>
      </w:r>
      <w:r>
        <w:rPr>
          <w:sz w:val="22"/>
        </w:rPr>
        <w:t>for</w:t>
      </w:r>
      <w:r>
        <w:rPr>
          <w:spacing w:val="-5"/>
          <w:sz w:val="22"/>
        </w:rPr>
        <w:t> </w:t>
      </w:r>
      <w:r>
        <w:rPr>
          <w:sz w:val="22"/>
        </w:rPr>
        <w:t>youth and staff on the Complaint Line process.</w:t>
      </w:r>
    </w:p>
    <w:p>
      <w:pPr>
        <w:pStyle w:val="ListParagraph"/>
        <w:numPr>
          <w:ilvl w:val="1"/>
          <w:numId w:val="49"/>
        </w:numPr>
        <w:tabs>
          <w:tab w:pos="1418" w:val="left" w:leader="none"/>
        </w:tabs>
        <w:spacing w:line="240" w:lineRule="auto" w:before="1" w:after="0"/>
        <w:ind w:left="1418" w:right="0" w:hanging="359"/>
        <w:jc w:val="left"/>
        <w:rPr>
          <w:sz w:val="22"/>
        </w:rPr>
      </w:pPr>
      <w:r>
        <w:rPr>
          <w:sz w:val="22"/>
        </w:rPr>
        <w:t>Visit,</w:t>
      </w:r>
      <w:r>
        <w:rPr>
          <w:spacing w:val="-9"/>
          <w:sz w:val="22"/>
        </w:rPr>
        <w:t> </w:t>
      </w:r>
      <w:r>
        <w:rPr>
          <w:sz w:val="22"/>
        </w:rPr>
        <w:t>investigate,</w:t>
      </w:r>
      <w:r>
        <w:rPr>
          <w:spacing w:val="-8"/>
          <w:sz w:val="22"/>
        </w:rPr>
        <w:t> </w:t>
      </w:r>
      <w:r>
        <w:rPr>
          <w:sz w:val="22"/>
        </w:rPr>
        <w:t>and</w:t>
      </w:r>
      <w:r>
        <w:rPr>
          <w:spacing w:val="-7"/>
          <w:sz w:val="22"/>
        </w:rPr>
        <w:t> </w:t>
      </w:r>
      <w:r>
        <w:rPr>
          <w:sz w:val="22"/>
        </w:rPr>
        <w:t>report</w:t>
      </w:r>
      <w:r>
        <w:rPr>
          <w:spacing w:val="-9"/>
          <w:sz w:val="22"/>
        </w:rPr>
        <w:t> </w:t>
      </w:r>
      <w:r>
        <w:rPr>
          <w:sz w:val="22"/>
        </w:rPr>
        <w:t>on</w:t>
      </w:r>
      <w:r>
        <w:rPr>
          <w:spacing w:val="-7"/>
          <w:sz w:val="22"/>
        </w:rPr>
        <w:t> </w:t>
      </w:r>
      <w:r>
        <w:rPr>
          <w:sz w:val="22"/>
        </w:rPr>
        <w:t>congregate</w:t>
      </w:r>
      <w:r>
        <w:rPr>
          <w:spacing w:val="-8"/>
          <w:sz w:val="22"/>
        </w:rPr>
        <w:t> </w:t>
      </w:r>
      <w:r>
        <w:rPr>
          <w:sz w:val="22"/>
        </w:rPr>
        <w:t>care</w:t>
      </w:r>
      <w:r>
        <w:rPr>
          <w:spacing w:val="-7"/>
          <w:sz w:val="22"/>
        </w:rPr>
        <w:t> </w:t>
      </w:r>
      <w:r>
        <w:rPr>
          <w:spacing w:val="-2"/>
          <w:sz w:val="22"/>
        </w:rPr>
        <w:t>facilities.</w:t>
      </w:r>
    </w:p>
    <w:p>
      <w:pPr>
        <w:pStyle w:val="ListParagraph"/>
        <w:numPr>
          <w:ilvl w:val="1"/>
          <w:numId w:val="49"/>
        </w:numPr>
        <w:tabs>
          <w:tab w:pos="1418" w:val="left" w:leader="none"/>
        </w:tabs>
        <w:spacing w:line="240" w:lineRule="auto" w:before="41" w:after="0"/>
        <w:ind w:left="1418" w:right="0" w:hanging="359"/>
        <w:jc w:val="left"/>
        <w:rPr>
          <w:sz w:val="22"/>
        </w:rPr>
      </w:pPr>
      <w:r>
        <w:rPr>
          <w:sz w:val="22"/>
        </w:rPr>
        <w:t>Conduct</w:t>
      </w:r>
      <w:r>
        <w:rPr>
          <w:spacing w:val="-8"/>
          <w:sz w:val="22"/>
        </w:rPr>
        <w:t> </w:t>
      </w:r>
      <w:r>
        <w:rPr>
          <w:sz w:val="22"/>
        </w:rPr>
        <w:t>a</w:t>
      </w:r>
      <w:r>
        <w:rPr>
          <w:spacing w:val="-8"/>
          <w:sz w:val="22"/>
        </w:rPr>
        <w:t> </w:t>
      </w:r>
      <w:r>
        <w:rPr>
          <w:sz w:val="22"/>
        </w:rPr>
        <w:t>LGBTQ</w:t>
      </w:r>
      <w:r>
        <w:rPr>
          <w:spacing w:val="-8"/>
          <w:sz w:val="22"/>
        </w:rPr>
        <w:t> </w:t>
      </w:r>
      <w:r>
        <w:rPr>
          <w:sz w:val="22"/>
        </w:rPr>
        <w:t>training</w:t>
      </w:r>
      <w:r>
        <w:rPr>
          <w:spacing w:val="-6"/>
          <w:sz w:val="22"/>
        </w:rPr>
        <w:t> </w:t>
      </w:r>
      <w:r>
        <w:rPr>
          <w:sz w:val="22"/>
        </w:rPr>
        <w:t>audit</w:t>
      </w:r>
      <w:r>
        <w:rPr>
          <w:spacing w:val="-8"/>
          <w:sz w:val="22"/>
        </w:rPr>
        <w:t> </w:t>
      </w:r>
      <w:r>
        <w:rPr>
          <w:sz w:val="22"/>
        </w:rPr>
        <w:t>of</w:t>
      </w:r>
      <w:r>
        <w:rPr>
          <w:spacing w:val="-9"/>
          <w:sz w:val="22"/>
        </w:rPr>
        <w:t> </w:t>
      </w:r>
      <w:r>
        <w:rPr>
          <w:sz w:val="22"/>
        </w:rPr>
        <w:t>youth-serving</w:t>
      </w:r>
      <w:r>
        <w:rPr>
          <w:spacing w:val="-8"/>
          <w:sz w:val="22"/>
        </w:rPr>
        <w:t> </w:t>
      </w:r>
      <w:r>
        <w:rPr>
          <w:spacing w:val="-2"/>
          <w:sz w:val="22"/>
        </w:rPr>
        <w:t>facilities.</w:t>
      </w:r>
    </w:p>
    <w:p>
      <w:pPr>
        <w:pStyle w:val="ListParagraph"/>
        <w:numPr>
          <w:ilvl w:val="1"/>
          <w:numId w:val="49"/>
        </w:numPr>
        <w:tabs>
          <w:tab w:pos="1419" w:val="left" w:leader="none"/>
        </w:tabs>
        <w:spacing w:line="240" w:lineRule="auto" w:before="40" w:after="0"/>
        <w:ind w:left="1419" w:right="0" w:hanging="359"/>
        <w:jc w:val="left"/>
        <w:rPr>
          <w:sz w:val="22"/>
        </w:rPr>
      </w:pPr>
      <w:r>
        <w:rPr>
          <w:sz w:val="22"/>
        </w:rPr>
        <w:t>Address</w:t>
      </w:r>
      <w:r>
        <w:rPr>
          <w:spacing w:val="-8"/>
          <w:sz w:val="22"/>
        </w:rPr>
        <w:t> </w:t>
      </w:r>
      <w:r>
        <w:rPr>
          <w:sz w:val="22"/>
        </w:rPr>
        <w:t>LGBTQ</w:t>
      </w:r>
      <w:r>
        <w:rPr>
          <w:spacing w:val="-7"/>
          <w:sz w:val="22"/>
        </w:rPr>
        <w:t> </w:t>
      </w:r>
      <w:r>
        <w:rPr>
          <w:sz w:val="22"/>
        </w:rPr>
        <w:t>youth</w:t>
      </w:r>
      <w:r>
        <w:rPr>
          <w:spacing w:val="-6"/>
          <w:sz w:val="22"/>
        </w:rPr>
        <w:t> </w:t>
      </w:r>
      <w:r>
        <w:rPr>
          <w:sz w:val="22"/>
        </w:rPr>
        <w:t>in</w:t>
      </w:r>
      <w:r>
        <w:rPr>
          <w:spacing w:val="-6"/>
          <w:sz w:val="22"/>
        </w:rPr>
        <w:t> </w:t>
      </w:r>
      <w:r>
        <w:rPr>
          <w:sz w:val="22"/>
        </w:rPr>
        <w:t>public</w:t>
      </w:r>
      <w:r>
        <w:rPr>
          <w:spacing w:val="-8"/>
          <w:sz w:val="22"/>
        </w:rPr>
        <w:t> </w:t>
      </w:r>
      <w:r>
        <w:rPr>
          <w:sz w:val="22"/>
        </w:rPr>
        <w:t>affairs</w:t>
      </w:r>
      <w:r>
        <w:rPr>
          <w:spacing w:val="-8"/>
          <w:sz w:val="22"/>
        </w:rPr>
        <w:t> </w:t>
      </w:r>
      <w:r>
        <w:rPr>
          <w:spacing w:val="-4"/>
          <w:sz w:val="22"/>
        </w:rPr>
        <w:t>work.</w:t>
      </w:r>
    </w:p>
    <w:p>
      <w:pPr>
        <w:pStyle w:val="ListParagraph"/>
        <w:numPr>
          <w:ilvl w:val="1"/>
          <w:numId w:val="49"/>
        </w:numPr>
        <w:tabs>
          <w:tab w:pos="1419" w:val="left" w:leader="none"/>
        </w:tabs>
        <w:spacing w:line="240" w:lineRule="auto" w:before="39" w:after="0"/>
        <w:ind w:left="1419" w:right="0" w:hanging="359"/>
        <w:jc w:val="left"/>
        <w:rPr>
          <w:sz w:val="22"/>
        </w:rPr>
      </w:pPr>
      <w:r>
        <w:rPr>
          <w:sz w:val="22"/>
        </w:rPr>
        <w:t>Ensure</w:t>
      </w:r>
      <w:r>
        <w:rPr>
          <w:spacing w:val="-8"/>
          <w:sz w:val="22"/>
        </w:rPr>
        <w:t> </w:t>
      </w:r>
      <w:r>
        <w:rPr>
          <w:sz w:val="22"/>
        </w:rPr>
        <w:t>meaningful</w:t>
      </w:r>
      <w:r>
        <w:rPr>
          <w:spacing w:val="-9"/>
          <w:sz w:val="22"/>
        </w:rPr>
        <w:t> </w:t>
      </w:r>
      <w:r>
        <w:rPr>
          <w:sz w:val="22"/>
        </w:rPr>
        <w:t>LGBTQ</w:t>
      </w:r>
      <w:r>
        <w:rPr>
          <w:spacing w:val="-8"/>
          <w:sz w:val="22"/>
        </w:rPr>
        <w:t> </w:t>
      </w:r>
      <w:r>
        <w:rPr>
          <w:sz w:val="22"/>
        </w:rPr>
        <w:t>community</w:t>
      </w:r>
      <w:r>
        <w:rPr>
          <w:spacing w:val="-7"/>
          <w:sz w:val="22"/>
        </w:rPr>
        <w:t> </w:t>
      </w:r>
      <w:r>
        <w:rPr>
          <w:sz w:val="22"/>
        </w:rPr>
        <w:t>participation</w:t>
      </w:r>
      <w:r>
        <w:rPr>
          <w:spacing w:val="-8"/>
          <w:sz w:val="22"/>
        </w:rPr>
        <w:t> </w:t>
      </w:r>
      <w:r>
        <w:rPr>
          <w:sz w:val="22"/>
        </w:rPr>
        <w:t>and</w:t>
      </w:r>
      <w:r>
        <w:rPr>
          <w:spacing w:val="-9"/>
          <w:sz w:val="22"/>
        </w:rPr>
        <w:t> </w:t>
      </w:r>
      <w:r>
        <w:rPr>
          <w:sz w:val="22"/>
        </w:rPr>
        <w:t>input</w:t>
      </w:r>
      <w:r>
        <w:rPr>
          <w:spacing w:val="-8"/>
          <w:sz w:val="22"/>
        </w:rPr>
        <w:t> </w:t>
      </w:r>
      <w:r>
        <w:rPr>
          <w:sz w:val="22"/>
        </w:rPr>
        <w:t>in</w:t>
      </w:r>
      <w:r>
        <w:rPr>
          <w:spacing w:val="-8"/>
          <w:sz w:val="22"/>
        </w:rPr>
        <w:t> </w:t>
      </w:r>
      <w:r>
        <w:rPr>
          <w:sz w:val="22"/>
        </w:rPr>
        <w:t>all</w:t>
      </w:r>
      <w:r>
        <w:rPr>
          <w:spacing w:val="-8"/>
          <w:sz w:val="22"/>
        </w:rPr>
        <w:t> </w:t>
      </w:r>
      <w:r>
        <w:rPr>
          <w:sz w:val="22"/>
        </w:rPr>
        <w:t>projects</w:t>
      </w:r>
      <w:r>
        <w:rPr>
          <w:spacing w:val="-7"/>
          <w:sz w:val="22"/>
        </w:rPr>
        <w:t> </w:t>
      </w:r>
      <w:r>
        <w:rPr>
          <w:sz w:val="22"/>
        </w:rPr>
        <w:t>and</w:t>
      </w:r>
      <w:r>
        <w:rPr>
          <w:spacing w:val="-8"/>
          <w:sz w:val="22"/>
        </w:rPr>
        <w:t> </w:t>
      </w:r>
      <w:r>
        <w:rPr>
          <w:spacing w:val="-2"/>
          <w:sz w:val="22"/>
        </w:rPr>
        <w:t>initiatives.</w:t>
      </w:r>
    </w:p>
    <w:p>
      <w:pPr>
        <w:pStyle w:val="ListParagraph"/>
        <w:numPr>
          <w:ilvl w:val="1"/>
          <w:numId w:val="49"/>
        </w:numPr>
        <w:tabs>
          <w:tab w:pos="1419" w:val="left" w:leader="none"/>
        </w:tabs>
        <w:spacing w:line="240" w:lineRule="auto" w:before="41" w:after="0"/>
        <w:ind w:left="1419" w:right="0" w:hanging="359"/>
        <w:jc w:val="left"/>
        <w:rPr>
          <w:sz w:val="22"/>
        </w:rPr>
      </w:pPr>
      <w:r>
        <w:rPr>
          <w:sz w:val="22"/>
        </w:rPr>
        <w:t>Address</w:t>
      </w:r>
      <w:r>
        <w:rPr>
          <w:spacing w:val="-10"/>
          <w:sz w:val="22"/>
        </w:rPr>
        <w:t> </w:t>
      </w:r>
      <w:r>
        <w:rPr>
          <w:sz w:val="22"/>
        </w:rPr>
        <w:t>the</w:t>
      </w:r>
      <w:r>
        <w:rPr>
          <w:spacing w:val="-8"/>
          <w:sz w:val="22"/>
        </w:rPr>
        <w:t> </w:t>
      </w:r>
      <w:r>
        <w:rPr>
          <w:sz w:val="22"/>
        </w:rPr>
        <w:t>needs</w:t>
      </w:r>
      <w:r>
        <w:rPr>
          <w:spacing w:val="-9"/>
          <w:sz w:val="22"/>
        </w:rPr>
        <w:t> </w:t>
      </w:r>
      <w:r>
        <w:rPr>
          <w:sz w:val="22"/>
        </w:rPr>
        <w:t>of</w:t>
      </w:r>
      <w:r>
        <w:rPr>
          <w:spacing w:val="-9"/>
          <w:sz w:val="22"/>
        </w:rPr>
        <w:t> </w:t>
      </w:r>
      <w:r>
        <w:rPr>
          <w:sz w:val="22"/>
        </w:rPr>
        <w:t>LGBTQ</w:t>
      </w:r>
      <w:r>
        <w:rPr>
          <w:spacing w:val="-8"/>
          <w:sz w:val="22"/>
        </w:rPr>
        <w:t> </w:t>
      </w:r>
      <w:r>
        <w:rPr>
          <w:sz w:val="22"/>
        </w:rPr>
        <w:t>transition-aged</w:t>
      </w:r>
      <w:r>
        <w:rPr>
          <w:spacing w:val="-10"/>
          <w:sz w:val="22"/>
        </w:rPr>
        <w:t> </w:t>
      </w:r>
      <w:r>
        <w:rPr>
          <w:spacing w:val="-2"/>
          <w:sz w:val="22"/>
        </w:rPr>
        <w:t>youth.</w:t>
      </w:r>
    </w:p>
    <w:p>
      <w:pPr>
        <w:pStyle w:val="ListParagraph"/>
        <w:numPr>
          <w:ilvl w:val="1"/>
          <w:numId w:val="49"/>
        </w:numPr>
        <w:tabs>
          <w:tab w:pos="1418" w:val="left" w:leader="none"/>
          <w:tab w:pos="1420" w:val="left" w:leader="none"/>
        </w:tabs>
        <w:spacing w:line="276" w:lineRule="auto" w:before="40" w:after="0"/>
        <w:ind w:left="1420" w:right="342" w:hanging="361"/>
        <w:jc w:val="left"/>
        <w:rPr>
          <w:sz w:val="22"/>
        </w:rPr>
      </w:pPr>
      <w:r>
        <w:rPr>
          <w:sz w:val="22"/>
        </w:rPr>
        <w:t>Continue</w:t>
      </w:r>
      <w:r>
        <w:rPr>
          <w:spacing w:val="39"/>
          <w:sz w:val="22"/>
        </w:rPr>
        <w:t> </w:t>
      </w:r>
      <w:r>
        <w:rPr>
          <w:sz w:val="22"/>
        </w:rPr>
        <w:t>to</w:t>
      </w:r>
      <w:r>
        <w:rPr>
          <w:spacing w:val="39"/>
          <w:sz w:val="22"/>
        </w:rPr>
        <w:t> </w:t>
      </w:r>
      <w:r>
        <w:rPr>
          <w:sz w:val="22"/>
        </w:rPr>
        <w:t>report</w:t>
      </w:r>
      <w:r>
        <w:rPr>
          <w:spacing w:val="38"/>
          <w:sz w:val="22"/>
        </w:rPr>
        <w:t> </w:t>
      </w:r>
      <w:r>
        <w:rPr>
          <w:sz w:val="22"/>
        </w:rPr>
        <w:t>on</w:t>
      </w:r>
      <w:r>
        <w:rPr>
          <w:spacing w:val="38"/>
          <w:sz w:val="22"/>
        </w:rPr>
        <w:t> </w:t>
      </w:r>
      <w:r>
        <w:rPr>
          <w:sz w:val="22"/>
        </w:rPr>
        <w:t>available</w:t>
      </w:r>
      <w:r>
        <w:rPr>
          <w:spacing w:val="38"/>
          <w:sz w:val="22"/>
        </w:rPr>
        <w:t> </w:t>
      </w:r>
      <w:r>
        <w:rPr>
          <w:sz w:val="22"/>
        </w:rPr>
        <w:t>SOGI</w:t>
      </w:r>
      <w:r>
        <w:rPr>
          <w:spacing w:val="38"/>
          <w:sz w:val="22"/>
        </w:rPr>
        <w:t> </w:t>
      </w:r>
      <w:r>
        <w:rPr>
          <w:sz w:val="22"/>
        </w:rPr>
        <w:t>data</w:t>
      </w:r>
      <w:r>
        <w:rPr>
          <w:spacing w:val="39"/>
          <w:sz w:val="22"/>
        </w:rPr>
        <w:t> </w:t>
      </w:r>
      <w:r>
        <w:rPr>
          <w:sz w:val="22"/>
        </w:rPr>
        <w:t>and</w:t>
      </w:r>
      <w:r>
        <w:rPr>
          <w:spacing w:val="38"/>
          <w:sz w:val="22"/>
        </w:rPr>
        <w:t> </w:t>
      </w:r>
      <w:r>
        <w:rPr>
          <w:sz w:val="22"/>
        </w:rPr>
        <w:t>collaborate</w:t>
      </w:r>
      <w:r>
        <w:rPr>
          <w:spacing w:val="38"/>
          <w:sz w:val="22"/>
        </w:rPr>
        <w:t> </w:t>
      </w:r>
      <w:r>
        <w:rPr>
          <w:sz w:val="22"/>
        </w:rPr>
        <w:t>with</w:t>
      </w:r>
      <w:r>
        <w:rPr>
          <w:spacing w:val="38"/>
          <w:sz w:val="22"/>
        </w:rPr>
        <w:t> </w:t>
      </w:r>
      <w:r>
        <w:rPr>
          <w:sz w:val="22"/>
        </w:rPr>
        <w:t>child-serving</w:t>
      </w:r>
      <w:r>
        <w:rPr>
          <w:spacing w:val="38"/>
          <w:sz w:val="22"/>
        </w:rPr>
        <w:t> </w:t>
      </w:r>
      <w:r>
        <w:rPr>
          <w:sz w:val="22"/>
        </w:rPr>
        <w:t>agencies</w:t>
      </w:r>
      <w:r>
        <w:rPr>
          <w:spacing w:val="40"/>
          <w:sz w:val="22"/>
        </w:rPr>
        <w:t> </w:t>
      </w:r>
      <w:r>
        <w:rPr>
          <w:sz w:val="22"/>
        </w:rPr>
        <w:t>on consistent reporting and intersectional data analysis.</w:t>
      </w:r>
    </w:p>
    <w:p>
      <w:pPr>
        <w:pStyle w:val="ListParagraph"/>
        <w:numPr>
          <w:ilvl w:val="1"/>
          <w:numId w:val="49"/>
        </w:numPr>
        <w:tabs>
          <w:tab w:pos="1418" w:val="left" w:leader="none"/>
          <w:tab w:pos="1420" w:val="left" w:leader="none"/>
        </w:tabs>
        <w:spacing w:line="276" w:lineRule="auto" w:before="0" w:after="0"/>
        <w:ind w:left="1420" w:right="343" w:hanging="361"/>
        <w:jc w:val="left"/>
        <w:rPr>
          <w:sz w:val="22"/>
        </w:rPr>
      </w:pPr>
      <w:r>
        <w:rPr>
          <w:sz w:val="22"/>
        </w:rPr>
        <w:t>Examine</w:t>
      </w:r>
      <w:r>
        <w:rPr>
          <w:spacing w:val="-3"/>
          <w:sz w:val="22"/>
        </w:rPr>
        <w:t> </w:t>
      </w:r>
      <w:r>
        <w:rPr>
          <w:sz w:val="22"/>
        </w:rPr>
        <w:t>needs</w:t>
      </w:r>
      <w:r>
        <w:rPr>
          <w:spacing w:val="-4"/>
          <w:sz w:val="22"/>
        </w:rPr>
        <w:t> </w:t>
      </w:r>
      <w:r>
        <w:rPr>
          <w:sz w:val="22"/>
        </w:rPr>
        <w:t>of</w:t>
      </w:r>
      <w:r>
        <w:rPr>
          <w:spacing w:val="-4"/>
          <w:sz w:val="22"/>
        </w:rPr>
        <w:t> </w:t>
      </w:r>
      <w:r>
        <w:rPr>
          <w:sz w:val="22"/>
        </w:rPr>
        <w:t>LGBTQ</w:t>
      </w:r>
      <w:r>
        <w:rPr>
          <w:spacing w:val="-2"/>
          <w:sz w:val="22"/>
        </w:rPr>
        <w:t> </w:t>
      </w:r>
      <w:r>
        <w:rPr>
          <w:sz w:val="22"/>
        </w:rPr>
        <w:t>youth</w:t>
      </w:r>
      <w:r>
        <w:rPr>
          <w:spacing w:val="-3"/>
          <w:sz w:val="22"/>
        </w:rPr>
        <w:t> </w:t>
      </w:r>
      <w:r>
        <w:rPr>
          <w:sz w:val="22"/>
        </w:rPr>
        <w:t>in</w:t>
      </w:r>
      <w:r>
        <w:rPr>
          <w:spacing w:val="-3"/>
          <w:sz w:val="22"/>
        </w:rPr>
        <w:t> </w:t>
      </w:r>
      <w:r>
        <w:rPr>
          <w:sz w:val="22"/>
        </w:rPr>
        <w:t>residential</w:t>
      </w:r>
      <w:r>
        <w:rPr>
          <w:spacing w:val="-3"/>
          <w:sz w:val="22"/>
        </w:rPr>
        <w:t> </w:t>
      </w:r>
      <w:r>
        <w:rPr>
          <w:sz w:val="22"/>
        </w:rPr>
        <w:t>schools</w:t>
      </w:r>
      <w:r>
        <w:rPr>
          <w:spacing w:val="-4"/>
          <w:sz w:val="22"/>
        </w:rPr>
        <w:t> </w:t>
      </w:r>
      <w:r>
        <w:rPr>
          <w:sz w:val="22"/>
        </w:rPr>
        <w:t>and</w:t>
      </w:r>
      <w:r>
        <w:rPr>
          <w:spacing w:val="-3"/>
          <w:sz w:val="22"/>
        </w:rPr>
        <w:t> </w:t>
      </w:r>
      <w:r>
        <w:rPr>
          <w:sz w:val="22"/>
        </w:rPr>
        <w:t>identify</w:t>
      </w:r>
      <w:r>
        <w:rPr>
          <w:spacing w:val="-3"/>
          <w:sz w:val="22"/>
        </w:rPr>
        <w:t> </w:t>
      </w:r>
      <w:r>
        <w:rPr>
          <w:sz w:val="22"/>
        </w:rPr>
        <w:t>opportunities</w:t>
      </w:r>
      <w:r>
        <w:rPr>
          <w:spacing w:val="-4"/>
          <w:sz w:val="22"/>
        </w:rPr>
        <w:t> </w:t>
      </w:r>
      <w:r>
        <w:rPr>
          <w:sz w:val="22"/>
        </w:rPr>
        <w:t>to</w:t>
      </w:r>
      <w:r>
        <w:rPr>
          <w:spacing w:val="-2"/>
          <w:sz w:val="22"/>
        </w:rPr>
        <w:t> </w:t>
      </w:r>
      <w:r>
        <w:rPr>
          <w:sz w:val="22"/>
        </w:rPr>
        <w:t>collaborate with the Commission’s Safe Schools Program.</w:t>
      </w:r>
    </w:p>
    <w:p>
      <w:pPr>
        <w:pStyle w:val="ListParagraph"/>
        <w:numPr>
          <w:ilvl w:val="1"/>
          <w:numId w:val="49"/>
        </w:numPr>
        <w:tabs>
          <w:tab w:pos="1419" w:val="left" w:leader="none"/>
          <w:tab w:pos="1421" w:val="left" w:leader="none"/>
        </w:tabs>
        <w:spacing w:line="276" w:lineRule="auto" w:before="1" w:after="0"/>
        <w:ind w:left="1421" w:right="343" w:hanging="361"/>
        <w:jc w:val="left"/>
        <w:rPr>
          <w:sz w:val="22"/>
        </w:rPr>
      </w:pPr>
      <w:r>
        <w:rPr>
          <w:sz w:val="22"/>
        </w:rPr>
        <w:t>Continue</w:t>
      </w:r>
      <w:r>
        <w:rPr>
          <w:spacing w:val="-13"/>
          <w:sz w:val="22"/>
        </w:rPr>
        <w:t> </w:t>
      </w:r>
      <w:r>
        <w:rPr>
          <w:sz w:val="22"/>
        </w:rPr>
        <w:t>to</w:t>
      </w:r>
      <w:r>
        <w:rPr>
          <w:spacing w:val="-13"/>
          <w:sz w:val="22"/>
        </w:rPr>
        <w:t> </w:t>
      </w:r>
      <w:r>
        <w:rPr>
          <w:sz w:val="22"/>
        </w:rPr>
        <w:t>identify</w:t>
      </w:r>
      <w:r>
        <w:rPr>
          <w:spacing w:val="-12"/>
          <w:sz w:val="22"/>
        </w:rPr>
        <w:t> </w:t>
      </w:r>
      <w:r>
        <w:rPr>
          <w:sz w:val="22"/>
        </w:rPr>
        <w:t>opportunities</w:t>
      </w:r>
      <w:r>
        <w:rPr>
          <w:spacing w:val="-13"/>
          <w:sz w:val="22"/>
        </w:rPr>
        <w:t> </w:t>
      </w:r>
      <w:r>
        <w:rPr>
          <w:sz w:val="22"/>
        </w:rPr>
        <w:t>to</w:t>
      </w:r>
      <w:r>
        <w:rPr>
          <w:spacing w:val="-13"/>
          <w:sz w:val="22"/>
        </w:rPr>
        <w:t> </w:t>
      </w:r>
      <w:r>
        <w:rPr>
          <w:sz w:val="22"/>
        </w:rPr>
        <w:t>address</w:t>
      </w:r>
      <w:r>
        <w:rPr>
          <w:spacing w:val="-13"/>
          <w:sz w:val="22"/>
        </w:rPr>
        <w:t> </w:t>
      </w:r>
      <w:r>
        <w:rPr>
          <w:sz w:val="22"/>
        </w:rPr>
        <w:t>suicidality</w:t>
      </w:r>
      <w:r>
        <w:rPr>
          <w:spacing w:val="-13"/>
          <w:sz w:val="22"/>
        </w:rPr>
        <w:t> </w:t>
      </w:r>
      <w:r>
        <w:rPr>
          <w:sz w:val="22"/>
        </w:rPr>
        <w:t>among</w:t>
      </w:r>
      <w:r>
        <w:rPr>
          <w:spacing w:val="-12"/>
          <w:sz w:val="22"/>
        </w:rPr>
        <w:t> </w:t>
      </w:r>
      <w:r>
        <w:rPr>
          <w:sz w:val="22"/>
        </w:rPr>
        <w:t>LGBTQ</w:t>
      </w:r>
      <w:r>
        <w:rPr>
          <w:spacing w:val="-13"/>
          <w:sz w:val="22"/>
        </w:rPr>
        <w:t> </w:t>
      </w:r>
      <w:r>
        <w:rPr>
          <w:sz w:val="22"/>
        </w:rPr>
        <w:t>youth,</w:t>
      </w:r>
      <w:r>
        <w:rPr>
          <w:spacing w:val="-13"/>
          <w:sz w:val="22"/>
        </w:rPr>
        <w:t> </w:t>
      </w:r>
      <w:r>
        <w:rPr>
          <w:sz w:val="22"/>
        </w:rPr>
        <w:t>including</w:t>
      </w:r>
      <w:r>
        <w:rPr>
          <w:spacing w:val="-13"/>
          <w:sz w:val="22"/>
        </w:rPr>
        <w:t> </w:t>
      </w:r>
      <w:r>
        <w:rPr>
          <w:sz w:val="22"/>
        </w:rPr>
        <w:t>through collaboration with the Commission.</w:t>
      </w:r>
    </w:p>
    <w:p>
      <w:pPr>
        <w:pStyle w:val="BodyText"/>
        <w:spacing w:before="71"/>
        <w:rPr>
          <w:sz w:val="20"/>
        </w:rPr>
      </w:pPr>
      <w:r>
        <w:rPr/>
        <mc:AlternateContent>
          <mc:Choice Requires="wps">
            <w:drawing>
              <wp:anchor distT="0" distB="0" distL="0" distR="0" allowOverlap="1" layoutInCell="1" locked="0" behindDoc="1" simplePos="0" relativeHeight="487738368">
                <wp:simplePos x="0" y="0"/>
                <wp:positionH relativeFrom="page">
                  <wp:posOffset>889000</wp:posOffset>
                </wp:positionH>
                <wp:positionV relativeFrom="paragraph">
                  <wp:posOffset>215394</wp:posOffset>
                </wp:positionV>
                <wp:extent cx="6350" cy="12700"/>
                <wp:effectExtent l="0" t="0" r="0" b="0"/>
                <wp:wrapTopAndBottom/>
                <wp:docPr id="708" name="Graphic 708"/>
                <wp:cNvGraphicFramePr>
                  <a:graphicFrameLocks/>
                </wp:cNvGraphicFramePr>
                <a:graphic>
                  <a:graphicData uri="http://schemas.microsoft.com/office/word/2010/wordprocessingShape">
                    <wps:wsp>
                      <wps:cNvPr id="708" name="Graphic 708"/>
                      <wps:cNvSpPr/>
                      <wps:spPr>
                        <a:xfrm>
                          <a:off x="0" y="0"/>
                          <a:ext cx="6350" cy="12700"/>
                        </a:xfrm>
                        <a:custGeom>
                          <a:avLst/>
                          <a:gdLst/>
                          <a:ahLst/>
                          <a:cxnLst/>
                          <a:rect l="l" t="t" r="r" b="b"/>
                          <a:pathLst>
                            <a:path w="6350" h="12700">
                              <a:moveTo>
                                <a:pt x="6337" y="0"/>
                              </a:moveTo>
                              <a:lnTo>
                                <a:pt x="0" y="0"/>
                              </a:lnTo>
                              <a:lnTo>
                                <a:pt x="0" y="12217"/>
                              </a:lnTo>
                              <a:lnTo>
                                <a:pt x="6337" y="12217"/>
                              </a:lnTo>
                              <a:lnTo>
                                <a:pt x="6337" y="0"/>
                              </a:lnTo>
                              <a:close/>
                            </a:path>
                          </a:pathLst>
                        </a:custGeom>
                        <a:solidFill>
                          <a:srgbClr val="4F81BB"/>
                        </a:solidFill>
                      </wps:spPr>
                      <wps:bodyPr wrap="square" lIns="0" tIns="0" rIns="0" bIns="0" rtlCol="0">
                        <a:prstTxWarp prst="textNoShape">
                          <a:avLst/>
                        </a:prstTxWarp>
                        <a:noAutofit/>
                      </wps:bodyPr>
                    </wps:wsp>
                  </a:graphicData>
                </a:graphic>
              </wp:anchor>
            </w:drawing>
          </mc:Choice>
          <mc:Fallback>
            <w:pict>
              <v:rect style="position:absolute;margin-left:70pt;margin-top:16.960173pt;width:.499pt;height:.962pt;mso-position-horizontal-relative:page;mso-position-vertical-relative:paragraph;z-index:-15578112;mso-wrap-distance-left:0;mso-wrap-distance-right:0" id="docshape605" filled="true" fillcolor="#4f81bb" stroked="false">
                <v:fill type="solid"/>
                <w10:wrap type="topAndBottom"/>
              </v:rect>
            </w:pict>
          </mc:Fallback>
        </mc:AlternateContent>
      </w:r>
    </w:p>
    <w:p>
      <w:pPr>
        <w:spacing w:before="0"/>
        <w:ind w:left="483" w:right="0" w:firstLine="0"/>
        <w:jc w:val="left"/>
        <w:rPr>
          <w:sz w:val="28"/>
        </w:rPr>
      </w:pPr>
      <w:r>
        <w:rPr>
          <w:color w:val="365F91"/>
          <w:spacing w:val="-2"/>
          <w:sz w:val="28"/>
        </w:rPr>
        <w:t>Introduction</w:t>
      </w:r>
    </w:p>
    <w:p>
      <w:pPr>
        <w:pStyle w:val="BodyText"/>
        <w:spacing w:before="10"/>
        <w:rPr>
          <w:sz w:val="3"/>
        </w:rPr>
      </w:pPr>
      <w:r>
        <w:rPr/>
        <mc:AlternateContent>
          <mc:Choice Requires="wps">
            <w:drawing>
              <wp:anchor distT="0" distB="0" distL="0" distR="0" allowOverlap="1" layoutInCell="1" locked="0" behindDoc="1" simplePos="0" relativeHeight="487738880">
                <wp:simplePos x="0" y="0"/>
                <wp:positionH relativeFrom="page">
                  <wp:posOffset>897636</wp:posOffset>
                </wp:positionH>
                <wp:positionV relativeFrom="paragraph">
                  <wp:posOffset>45391</wp:posOffset>
                </wp:positionV>
                <wp:extent cx="5976620" cy="6350"/>
                <wp:effectExtent l="0" t="0" r="0" b="0"/>
                <wp:wrapTopAndBottom/>
                <wp:docPr id="709" name="Graphic 709"/>
                <wp:cNvGraphicFramePr>
                  <a:graphicFrameLocks/>
                </wp:cNvGraphicFramePr>
                <a:graphic>
                  <a:graphicData uri="http://schemas.microsoft.com/office/word/2010/wordprocessingShape">
                    <wps:wsp>
                      <wps:cNvPr id="709" name="Graphic 709"/>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74156pt;width:470.58pt;height:.48pt;mso-position-horizontal-relative:page;mso-position-vertical-relative:paragraph;z-index:-15577600;mso-wrap-distance-left:0;mso-wrap-distance-right:0" id="docshape606" filled="true" fillcolor="#4f81bc" stroked="false">
                <v:fill type="solid"/>
                <w10:wrap type="topAndBottom"/>
              </v:rect>
            </w:pict>
          </mc:Fallback>
        </mc:AlternateContent>
      </w:r>
    </w:p>
    <w:p>
      <w:pPr>
        <w:spacing w:line="276" w:lineRule="auto" w:before="241"/>
        <w:ind w:left="483" w:right="340" w:firstLine="0"/>
        <w:jc w:val="both"/>
        <w:rPr>
          <w:sz w:val="21"/>
        </w:rPr>
      </w:pPr>
      <w:r>
        <w:rPr>
          <w:sz w:val="21"/>
        </w:rPr>
        <w:t>The Commission first issued recommendations to the OCA in FY 2023, focusing on better understanding the experiences</w:t>
      </w:r>
      <w:r>
        <w:rPr>
          <w:spacing w:val="-10"/>
          <w:sz w:val="21"/>
        </w:rPr>
        <w:t> </w:t>
      </w:r>
      <w:r>
        <w:rPr>
          <w:sz w:val="21"/>
        </w:rPr>
        <w:t>of</w:t>
      </w:r>
      <w:r>
        <w:rPr>
          <w:spacing w:val="-10"/>
          <w:sz w:val="21"/>
        </w:rPr>
        <w:t> </w:t>
      </w:r>
      <w:r>
        <w:rPr>
          <w:sz w:val="21"/>
        </w:rPr>
        <w:t>LGBTQ</w:t>
      </w:r>
      <w:r>
        <w:rPr>
          <w:spacing w:val="-9"/>
          <w:sz w:val="21"/>
        </w:rPr>
        <w:t> </w:t>
      </w:r>
      <w:r>
        <w:rPr>
          <w:sz w:val="21"/>
        </w:rPr>
        <w:t>youth</w:t>
      </w:r>
      <w:r>
        <w:rPr>
          <w:spacing w:val="-9"/>
          <w:sz w:val="21"/>
        </w:rPr>
        <w:t> </w:t>
      </w:r>
      <w:r>
        <w:rPr>
          <w:sz w:val="21"/>
        </w:rPr>
        <w:t>in</w:t>
      </w:r>
      <w:r>
        <w:rPr>
          <w:spacing w:val="-9"/>
          <w:sz w:val="21"/>
        </w:rPr>
        <w:t> </w:t>
      </w:r>
      <w:r>
        <w:rPr>
          <w:sz w:val="21"/>
        </w:rPr>
        <w:t>state</w:t>
      </w:r>
      <w:r>
        <w:rPr>
          <w:spacing w:val="-11"/>
          <w:sz w:val="21"/>
        </w:rPr>
        <w:t> </w:t>
      </w:r>
      <w:r>
        <w:rPr>
          <w:sz w:val="21"/>
        </w:rPr>
        <w:t>systems,</w:t>
      </w:r>
      <w:r>
        <w:rPr>
          <w:spacing w:val="-9"/>
          <w:sz w:val="21"/>
        </w:rPr>
        <w:t> </w:t>
      </w:r>
      <w:r>
        <w:rPr>
          <w:sz w:val="21"/>
        </w:rPr>
        <w:t>as</w:t>
      </w:r>
      <w:r>
        <w:rPr>
          <w:spacing w:val="-10"/>
          <w:sz w:val="21"/>
        </w:rPr>
        <w:t> </w:t>
      </w:r>
      <w:r>
        <w:rPr>
          <w:sz w:val="21"/>
        </w:rPr>
        <w:t>well</w:t>
      </w:r>
      <w:r>
        <w:rPr>
          <w:spacing w:val="-9"/>
          <w:sz w:val="21"/>
        </w:rPr>
        <w:t> </w:t>
      </w:r>
      <w:r>
        <w:rPr>
          <w:sz w:val="21"/>
        </w:rPr>
        <w:t>as</w:t>
      </w:r>
      <w:r>
        <w:rPr>
          <w:spacing w:val="-11"/>
          <w:sz w:val="21"/>
        </w:rPr>
        <w:t> </w:t>
      </w:r>
      <w:r>
        <w:rPr>
          <w:sz w:val="21"/>
        </w:rPr>
        <w:t>better</w:t>
      </w:r>
      <w:r>
        <w:rPr>
          <w:spacing w:val="-9"/>
          <w:sz w:val="21"/>
        </w:rPr>
        <w:t> </w:t>
      </w:r>
      <w:r>
        <w:rPr>
          <w:sz w:val="21"/>
        </w:rPr>
        <w:t>data</w:t>
      </w:r>
      <w:r>
        <w:rPr>
          <w:spacing w:val="-9"/>
          <w:sz w:val="21"/>
        </w:rPr>
        <w:t> </w:t>
      </w:r>
      <w:r>
        <w:rPr>
          <w:sz w:val="21"/>
        </w:rPr>
        <w:t>collection</w:t>
      </w:r>
      <w:r>
        <w:rPr>
          <w:spacing w:val="-9"/>
          <w:sz w:val="21"/>
        </w:rPr>
        <w:t> </w:t>
      </w:r>
      <w:r>
        <w:rPr>
          <w:sz w:val="21"/>
        </w:rPr>
        <w:t>and</w:t>
      </w:r>
      <w:r>
        <w:rPr>
          <w:spacing w:val="-9"/>
          <w:sz w:val="21"/>
        </w:rPr>
        <w:t> </w:t>
      </w:r>
      <w:r>
        <w:rPr>
          <w:sz w:val="21"/>
        </w:rPr>
        <w:t>reporting.</w:t>
      </w:r>
      <w:r>
        <w:rPr>
          <w:spacing w:val="-9"/>
          <w:sz w:val="21"/>
        </w:rPr>
        <w:t> </w:t>
      </w:r>
      <w:r>
        <w:rPr>
          <w:sz w:val="21"/>
        </w:rPr>
        <w:t>Since</w:t>
      </w:r>
      <w:r>
        <w:rPr>
          <w:spacing w:val="-9"/>
          <w:sz w:val="21"/>
        </w:rPr>
        <w:t> </w:t>
      </w:r>
      <w:r>
        <w:rPr>
          <w:sz w:val="21"/>
        </w:rPr>
        <w:t>the</w:t>
      </w:r>
      <w:r>
        <w:rPr>
          <w:spacing w:val="-9"/>
          <w:sz w:val="21"/>
        </w:rPr>
        <w:t> </w:t>
      </w:r>
      <w:r>
        <w:rPr>
          <w:sz w:val="21"/>
        </w:rPr>
        <w:t>summer of FY 2024, the Commission has engaged in regular conversations with the OCA to address the recommendations issued.</w:t>
      </w:r>
    </w:p>
    <w:p>
      <w:pPr>
        <w:spacing w:line="276" w:lineRule="auto" w:before="240"/>
        <w:ind w:left="483" w:right="339" w:firstLine="0"/>
        <w:jc w:val="both"/>
        <w:rPr>
          <w:sz w:val="21"/>
        </w:rPr>
      </w:pPr>
      <w:r>
        <w:rPr>
          <w:sz w:val="21"/>
        </w:rPr>
        <w:t>As has been shared by the Commission in past reports, sustained and meaningful change for youth in state systems requires multisystem collaboration that is overseen by an active and attentive watchdog agency. Far too often, efforts to hold state systems, particularly the Department of Children &amp; Families, accountable for the</w:t>
      </w:r>
      <w:r>
        <w:rPr>
          <w:spacing w:val="-12"/>
          <w:sz w:val="21"/>
        </w:rPr>
        <w:t> </w:t>
      </w:r>
      <w:r>
        <w:rPr>
          <w:sz w:val="21"/>
        </w:rPr>
        <w:t>experiences</w:t>
      </w:r>
      <w:r>
        <w:rPr>
          <w:spacing w:val="-12"/>
          <w:sz w:val="21"/>
        </w:rPr>
        <w:t> </w:t>
      </w:r>
      <w:r>
        <w:rPr>
          <w:sz w:val="21"/>
        </w:rPr>
        <w:t>of</w:t>
      </w:r>
      <w:r>
        <w:rPr>
          <w:spacing w:val="-12"/>
          <w:sz w:val="21"/>
        </w:rPr>
        <w:t> </w:t>
      </w:r>
      <w:r>
        <w:rPr>
          <w:sz w:val="21"/>
        </w:rPr>
        <w:t>LGBTQ</w:t>
      </w:r>
      <w:r>
        <w:rPr>
          <w:spacing w:val="-11"/>
          <w:sz w:val="21"/>
        </w:rPr>
        <w:t> </w:t>
      </w:r>
      <w:r>
        <w:rPr>
          <w:sz w:val="21"/>
        </w:rPr>
        <w:t>youth</w:t>
      </w:r>
      <w:r>
        <w:rPr>
          <w:spacing w:val="-11"/>
          <w:sz w:val="21"/>
        </w:rPr>
        <w:t> </w:t>
      </w:r>
      <w:r>
        <w:rPr>
          <w:sz w:val="21"/>
        </w:rPr>
        <w:t>who</w:t>
      </w:r>
      <w:r>
        <w:rPr>
          <w:spacing w:val="-12"/>
          <w:sz w:val="21"/>
        </w:rPr>
        <w:t> </w:t>
      </w:r>
      <w:r>
        <w:rPr>
          <w:sz w:val="21"/>
        </w:rPr>
        <w:t>interact</w:t>
      </w:r>
      <w:r>
        <w:rPr>
          <w:spacing w:val="-11"/>
          <w:sz w:val="21"/>
        </w:rPr>
        <w:t> </w:t>
      </w:r>
      <w:r>
        <w:rPr>
          <w:sz w:val="21"/>
        </w:rPr>
        <w:t>with</w:t>
      </w:r>
      <w:r>
        <w:rPr>
          <w:spacing w:val="-11"/>
          <w:sz w:val="21"/>
        </w:rPr>
        <w:t> </w:t>
      </w:r>
      <w:r>
        <w:rPr>
          <w:sz w:val="21"/>
        </w:rPr>
        <w:t>them</w:t>
      </w:r>
      <w:r>
        <w:rPr>
          <w:spacing w:val="-11"/>
          <w:sz w:val="21"/>
        </w:rPr>
        <w:t> </w:t>
      </w:r>
      <w:r>
        <w:rPr>
          <w:sz w:val="21"/>
        </w:rPr>
        <w:t>have</w:t>
      </w:r>
      <w:r>
        <w:rPr>
          <w:spacing w:val="-12"/>
          <w:sz w:val="21"/>
        </w:rPr>
        <w:t> </w:t>
      </w:r>
      <w:r>
        <w:rPr>
          <w:sz w:val="21"/>
        </w:rPr>
        <w:t>largely</w:t>
      </w:r>
      <w:r>
        <w:rPr>
          <w:spacing w:val="-11"/>
          <w:sz w:val="21"/>
        </w:rPr>
        <w:t> </w:t>
      </w:r>
      <w:r>
        <w:rPr>
          <w:sz w:val="21"/>
        </w:rPr>
        <w:t>fallen</w:t>
      </w:r>
      <w:r>
        <w:rPr>
          <w:spacing w:val="-11"/>
          <w:sz w:val="21"/>
        </w:rPr>
        <w:t> </w:t>
      </w:r>
      <w:r>
        <w:rPr>
          <w:sz w:val="21"/>
        </w:rPr>
        <w:t>to</w:t>
      </w:r>
      <w:r>
        <w:rPr>
          <w:spacing w:val="-12"/>
          <w:sz w:val="21"/>
        </w:rPr>
        <w:t> </w:t>
      </w:r>
      <w:r>
        <w:rPr>
          <w:sz w:val="21"/>
        </w:rPr>
        <w:t>the</w:t>
      </w:r>
      <w:r>
        <w:rPr>
          <w:spacing w:val="-12"/>
          <w:sz w:val="21"/>
        </w:rPr>
        <w:t> </w:t>
      </w:r>
      <w:r>
        <w:rPr>
          <w:sz w:val="21"/>
        </w:rPr>
        <w:t>Commission</w:t>
      </w:r>
      <w:r>
        <w:rPr>
          <w:spacing w:val="-11"/>
          <w:sz w:val="21"/>
        </w:rPr>
        <w:t> </w:t>
      </w:r>
      <w:r>
        <w:rPr>
          <w:sz w:val="21"/>
        </w:rPr>
        <w:t>and</w:t>
      </w:r>
      <w:r>
        <w:rPr>
          <w:spacing w:val="-11"/>
          <w:sz w:val="21"/>
        </w:rPr>
        <w:t> </w:t>
      </w:r>
      <w:r>
        <w:rPr>
          <w:sz w:val="21"/>
        </w:rPr>
        <w:t>to</w:t>
      </w:r>
      <w:r>
        <w:rPr>
          <w:spacing w:val="-12"/>
          <w:sz w:val="21"/>
        </w:rPr>
        <w:t> </w:t>
      </w:r>
      <w:r>
        <w:rPr>
          <w:sz w:val="21"/>
        </w:rPr>
        <w:t>nonprofit organizations, none of whom have the authority or capacity to exercise the powers given to the OCA under state law - leaving a significant oversight gap. With these FY 2025 recommendations, the Commission emphasizes the necessity of the OCA to use its authority to the fullest extent to investigate mistreatment of youth by state systems, and to hold</w:t>
      </w:r>
      <w:r>
        <w:rPr>
          <w:spacing w:val="-1"/>
          <w:sz w:val="21"/>
        </w:rPr>
        <w:t> </w:t>
      </w:r>
      <w:r>
        <w:rPr>
          <w:sz w:val="21"/>
        </w:rPr>
        <w:t>these entities and</w:t>
      </w:r>
      <w:r>
        <w:rPr>
          <w:spacing w:val="-2"/>
          <w:sz w:val="21"/>
        </w:rPr>
        <w:t> </w:t>
      </w:r>
      <w:r>
        <w:rPr>
          <w:sz w:val="21"/>
        </w:rPr>
        <w:t>policymakers accountable for the numerous failures of the system to support the safety and well-being of all youth.</w:t>
      </w:r>
    </w:p>
    <w:p>
      <w:pPr>
        <w:spacing w:after="0" w:line="276" w:lineRule="auto"/>
        <w:jc w:val="both"/>
        <w:rPr>
          <w:sz w:val="21"/>
        </w:rPr>
        <w:sectPr>
          <w:headerReference w:type="default" r:id="rId781"/>
          <w:footerReference w:type="default" r:id="rId782"/>
          <w:pgSz w:w="12240" w:h="15840"/>
          <w:pgMar w:header="804" w:footer="1281" w:top="1000" w:bottom="1480" w:left="960" w:right="1100"/>
        </w:sectPr>
      </w:pPr>
    </w:p>
    <w:p>
      <w:pPr>
        <w:pStyle w:val="BodyText"/>
        <w:spacing w:before="3"/>
        <w:rPr>
          <w:sz w:val="28"/>
        </w:rPr>
      </w:pPr>
    </w:p>
    <w:p>
      <w:pPr>
        <w:spacing w:before="1"/>
        <w:ind w:left="483" w:right="0" w:firstLine="0"/>
        <w:jc w:val="left"/>
        <w:rPr>
          <w:sz w:val="28"/>
        </w:rPr>
      </w:pPr>
      <w:r>
        <w:rPr>
          <w:color w:val="365F91"/>
          <w:sz w:val="28"/>
        </w:rPr>
        <w:t>FY</w:t>
      </w:r>
      <w:r>
        <w:rPr>
          <w:color w:val="365F91"/>
          <w:spacing w:val="-9"/>
          <w:sz w:val="28"/>
        </w:rPr>
        <w:t> </w:t>
      </w:r>
      <w:r>
        <w:rPr>
          <w:color w:val="365F91"/>
          <w:sz w:val="28"/>
        </w:rPr>
        <w:t>2025</w:t>
      </w:r>
      <w:r>
        <w:rPr>
          <w:color w:val="365F91"/>
          <w:spacing w:val="-8"/>
          <w:sz w:val="28"/>
        </w:rPr>
        <w:t> </w:t>
      </w:r>
      <w:r>
        <w:rPr>
          <w:color w:val="365F91"/>
          <w:sz w:val="28"/>
        </w:rPr>
        <w:t>Expanded</w:t>
      </w:r>
      <w:r>
        <w:rPr>
          <w:color w:val="365F91"/>
          <w:spacing w:val="-10"/>
          <w:sz w:val="28"/>
        </w:rPr>
        <w:t> </w:t>
      </w:r>
      <w:r>
        <w:rPr>
          <w:color w:val="365F91"/>
          <w:sz w:val="28"/>
        </w:rPr>
        <w:t>OCA</w:t>
      </w:r>
      <w:r>
        <w:rPr>
          <w:color w:val="365F91"/>
          <w:spacing w:val="-8"/>
          <w:sz w:val="28"/>
        </w:rPr>
        <w:t> </w:t>
      </w:r>
      <w:r>
        <w:rPr>
          <w:color w:val="365F91"/>
          <w:spacing w:val="-2"/>
          <w:sz w:val="28"/>
        </w:rPr>
        <w:t>Recommendations</w:t>
      </w:r>
    </w:p>
    <w:p>
      <w:pPr>
        <w:pStyle w:val="BodyText"/>
        <w:spacing w:before="10"/>
        <w:rPr>
          <w:sz w:val="3"/>
        </w:rPr>
      </w:pPr>
      <w:r>
        <w:rPr/>
        <mc:AlternateContent>
          <mc:Choice Requires="wps">
            <w:drawing>
              <wp:anchor distT="0" distB="0" distL="0" distR="0" allowOverlap="1" layoutInCell="1" locked="0" behindDoc="1" simplePos="0" relativeHeight="487739392">
                <wp:simplePos x="0" y="0"/>
                <wp:positionH relativeFrom="page">
                  <wp:posOffset>897636</wp:posOffset>
                </wp:positionH>
                <wp:positionV relativeFrom="paragraph">
                  <wp:posOffset>45152</wp:posOffset>
                </wp:positionV>
                <wp:extent cx="5976620" cy="6350"/>
                <wp:effectExtent l="0" t="0" r="0" b="0"/>
                <wp:wrapTopAndBottom/>
                <wp:docPr id="710" name="Graphic 710"/>
                <wp:cNvGraphicFramePr>
                  <a:graphicFrameLocks/>
                </wp:cNvGraphicFramePr>
                <a:graphic>
                  <a:graphicData uri="http://schemas.microsoft.com/office/word/2010/wordprocessingShape">
                    <wps:wsp>
                      <wps:cNvPr id="710" name="Graphic 710"/>
                      <wps:cNvSpPr/>
                      <wps:spPr>
                        <a:xfrm>
                          <a:off x="0" y="0"/>
                          <a:ext cx="5976620" cy="6350"/>
                        </a:xfrm>
                        <a:custGeom>
                          <a:avLst/>
                          <a:gdLst/>
                          <a:ahLst/>
                          <a:cxnLst/>
                          <a:rect l="l" t="t" r="r" b="b"/>
                          <a:pathLst>
                            <a:path w="5976620" h="6350">
                              <a:moveTo>
                                <a:pt x="5976366" y="0"/>
                              </a:moveTo>
                              <a:lnTo>
                                <a:pt x="0" y="0"/>
                              </a:lnTo>
                              <a:lnTo>
                                <a:pt x="0" y="6096"/>
                              </a:lnTo>
                              <a:lnTo>
                                <a:pt x="5976366" y="6096"/>
                              </a:lnTo>
                              <a:lnTo>
                                <a:pt x="5976366"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680pt;margin-top:3.555312pt;width:470.58pt;height:.48pt;mso-position-horizontal-relative:page;mso-position-vertical-relative:paragraph;z-index:-15577088;mso-wrap-distance-left:0;mso-wrap-distance-right:0" id="docshape607" filled="true" fillcolor="#4f81bc" stroked="false">
                <v:fill type="solid"/>
                <w10:wrap type="topAndBottom"/>
              </v:rect>
            </w:pict>
          </mc:Fallback>
        </mc:AlternateContent>
      </w:r>
    </w:p>
    <w:p>
      <w:pPr>
        <w:numPr>
          <w:ilvl w:val="0"/>
          <w:numId w:val="50"/>
        </w:numPr>
        <w:tabs>
          <w:tab w:pos="481" w:val="left" w:leader="none"/>
          <w:tab w:pos="483" w:val="left" w:leader="none"/>
        </w:tabs>
        <w:spacing w:line="276" w:lineRule="auto" w:before="241"/>
        <w:ind w:left="483" w:right="345" w:hanging="360"/>
        <w:jc w:val="left"/>
        <w:rPr>
          <w:b/>
          <w:sz w:val="22"/>
        </w:rPr>
      </w:pPr>
      <w:r>
        <w:rPr>
          <w:b/>
          <w:sz w:val="22"/>
        </w:rPr>
        <w:t>Improve</w:t>
      </w:r>
      <w:r>
        <w:rPr>
          <w:b/>
          <w:spacing w:val="-13"/>
          <w:sz w:val="22"/>
        </w:rPr>
        <w:t> </w:t>
      </w:r>
      <w:r>
        <w:rPr>
          <w:b/>
          <w:sz w:val="22"/>
        </w:rPr>
        <w:t>SOGIE</w:t>
      </w:r>
      <w:r>
        <w:rPr>
          <w:b/>
          <w:spacing w:val="-12"/>
          <w:sz w:val="22"/>
        </w:rPr>
        <w:t> </w:t>
      </w:r>
      <w:r>
        <w:rPr>
          <w:b/>
          <w:sz w:val="22"/>
        </w:rPr>
        <w:t>data</w:t>
      </w:r>
      <w:r>
        <w:rPr>
          <w:b/>
          <w:spacing w:val="-12"/>
          <w:sz w:val="22"/>
        </w:rPr>
        <w:t> </w:t>
      </w:r>
      <w:r>
        <w:rPr>
          <w:b/>
          <w:sz w:val="22"/>
        </w:rPr>
        <w:t>collection</w:t>
      </w:r>
      <w:r>
        <w:rPr>
          <w:b/>
          <w:spacing w:val="-13"/>
          <w:sz w:val="22"/>
        </w:rPr>
        <w:t> </w:t>
      </w:r>
      <w:r>
        <w:rPr>
          <w:b/>
          <w:sz w:val="22"/>
        </w:rPr>
        <w:t>practices</w:t>
      </w:r>
      <w:r>
        <w:rPr>
          <w:b/>
          <w:spacing w:val="-10"/>
          <w:sz w:val="22"/>
        </w:rPr>
        <w:t> </w:t>
      </w:r>
      <w:r>
        <w:rPr>
          <w:b/>
          <w:sz w:val="22"/>
        </w:rPr>
        <w:t>for</w:t>
      </w:r>
      <w:r>
        <w:rPr>
          <w:b/>
          <w:spacing w:val="-11"/>
          <w:sz w:val="22"/>
        </w:rPr>
        <w:t> </w:t>
      </w:r>
      <w:r>
        <w:rPr>
          <w:b/>
          <w:sz w:val="22"/>
        </w:rPr>
        <w:t>the</w:t>
      </w:r>
      <w:r>
        <w:rPr>
          <w:b/>
          <w:spacing w:val="-11"/>
          <w:sz w:val="22"/>
        </w:rPr>
        <w:t> </w:t>
      </w:r>
      <w:r>
        <w:rPr>
          <w:b/>
          <w:sz w:val="22"/>
        </w:rPr>
        <w:t>Complaint</w:t>
      </w:r>
      <w:r>
        <w:rPr>
          <w:b/>
          <w:spacing w:val="-12"/>
          <w:sz w:val="22"/>
        </w:rPr>
        <w:t> </w:t>
      </w:r>
      <w:r>
        <w:rPr>
          <w:b/>
          <w:sz w:val="22"/>
        </w:rPr>
        <w:t>Line</w:t>
      </w:r>
      <w:r>
        <w:rPr>
          <w:b/>
          <w:spacing w:val="-11"/>
          <w:sz w:val="22"/>
        </w:rPr>
        <w:t> </w:t>
      </w:r>
      <w:r>
        <w:rPr>
          <w:b/>
          <w:sz w:val="22"/>
        </w:rPr>
        <w:t>and</w:t>
      </w:r>
      <w:r>
        <w:rPr>
          <w:b/>
          <w:spacing w:val="-11"/>
          <w:sz w:val="22"/>
        </w:rPr>
        <w:t> </w:t>
      </w:r>
      <w:r>
        <w:rPr>
          <w:b/>
          <w:sz w:val="22"/>
        </w:rPr>
        <w:t>provide</w:t>
      </w:r>
      <w:r>
        <w:rPr>
          <w:b/>
          <w:spacing w:val="-11"/>
          <w:sz w:val="22"/>
        </w:rPr>
        <w:t> </w:t>
      </w:r>
      <w:r>
        <w:rPr>
          <w:b/>
          <w:sz w:val="22"/>
        </w:rPr>
        <w:t>trainings</w:t>
      </w:r>
      <w:r>
        <w:rPr>
          <w:b/>
          <w:spacing w:val="-12"/>
          <w:sz w:val="22"/>
        </w:rPr>
        <w:t> </w:t>
      </w:r>
      <w:r>
        <w:rPr>
          <w:b/>
          <w:sz w:val="22"/>
        </w:rPr>
        <w:t>for</w:t>
      </w:r>
      <w:r>
        <w:rPr>
          <w:b/>
          <w:spacing w:val="-11"/>
          <w:sz w:val="22"/>
        </w:rPr>
        <w:t> </w:t>
      </w:r>
      <w:r>
        <w:rPr>
          <w:b/>
          <w:sz w:val="22"/>
        </w:rPr>
        <w:t>youth</w:t>
      </w:r>
      <w:r>
        <w:rPr>
          <w:b/>
          <w:spacing w:val="-13"/>
          <w:sz w:val="22"/>
        </w:rPr>
        <w:t> </w:t>
      </w:r>
      <w:r>
        <w:rPr>
          <w:b/>
          <w:sz w:val="22"/>
        </w:rPr>
        <w:t>and</w:t>
      </w:r>
      <w:r>
        <w:rPr>
          <w:b/>
          <w:spacing w:val="-12"/>
          <w:sz w:val="22"/>
        </w:rPr>
        <w:t> </w:t>
      </w:r>
      <w:r>
        <w:rPr>
          <w:b/>
          <w:sz w:val="22"/>
        </w:rPr>
        <w:t>staff on the Complaint Line process.</w:t>
      </w:r>
    </w:p>
    <w:p>
      <w:pPr>
        <w:pStyle w:val="BodyText"/>
        <w:spacing w:line="276" w:lineRule="auto" w:before="241"/>
        <w:ind w:left="483" w:right="340"/>
        <w:jc w:val="both"/>
      </w:pPr>
      <w:r>
        <w:rPr/>
        <w:t>In its November 2023 meeting with the Commission, the OCA noted that collecting demographic data is an issue that is understandably a struggle across the nation, and few resources exist on how to appropriately collect SOGIE information on a complaint line naturally. The Commission and the OCA discussed potential training opportunities for OCA staff, as well as potential statewide ombudsman trainings to provide spaces for staff to practice and brainstorm how to solicit this essential information. The OCA also noted in its October 2023 meeting that it was not actively collecting SOGIE data, however provided</w:t>
      </w:r>
      <w:r>
        <w:rPr>
          <w:spacing w:val="-10"/>
        </w:rPr>
        <w:t> </w:t>
      </w:r>
      <w:r>
        <w:rPr/>
        <w:t>an</w:t>
      </w:r>
      <w:r>
        <w:rPr>
          <w:spacing w:val="-9"/>
        </w:rPr>
        <w:t> </w:t>
      </w:r>
      <w:r>
        <w:rPr/>
        <w:t>update</w:t>
      </w:r>
      <w:r>
        <w:rPr>
          <w:spacing w:val="-9"/>
        </w:rPr>
        <w:t> </w:t>
      </w:r>
      <w:r>
        <w:rPr/>
        <w:t>in</w:t>
      </w:r>
      <w:r>
        <w:rPr>
          <w:spacing w:val="-9"/>
        </w:rPr>
        <w:t> </w:t>
      </w:r>
      <w:r>
        <w:rPr/>
        <w:t>May</w:t>
      </w:r>
      <w:r>
        <w:rPr>
          <w:spacing w:val="-9"/>
        </w:rPr>
        <w:t> </w:t>
      </w:r>
      <w:r>
        <w:rPr/>
        <w:t>2024</w:t>
      </w:r>
      <w:r>
        <w:rPr>
          <w:spacing w:val="-10"/>
        </w:rPr>
        <w:t> </w:t>
      </w:r>
      <w:r>
        <w:rPr/>
        <w:t>sharing</w:t>
      </w:r>
      <w:r>
        <w:rPr>
          <w:spacing w:val="-9"/>
        </w:rPr>
        <w:t> </w:t>
      </w:r>
      <w:r>
        <w:rPr/>
        <w:t>that</w:t>
      </w:r>
      <w:r>
        <w:rPr>
          <w:spacing w:val="-9"/>
        </w:rPr>
        <w:t> </w:t>
      </w:r>
      <w:r>
        <w:rPr/>
        <w:t>it</w:t>
      </w:r>
      <w:r>
        <w:rPr>
          <w:spacing w:val="-9"/>
        </w:rPr>
        <w:t> </w:t>
      </w:r>
      <w:r>
        <w:rPr/>
        <w:t>is</w:t>
      </w:r>
      <w:r>
        <w:rPr>
          <w:spacing w:val="-10"/>
        </w:rPr>
        <w:t> </w:t>
      </w:r>
      <w:r>
        <w:rPr/>
        <w:t>now</w:t>
      </w:r>
      <w:r>
        <w:rPr>
          <w:spacing w:val="-9"/>
        </w:rPr>
        <w:t> </w:t>
      </w:r>
      <w:r>
        <w:rPr/>
        <w:t>encouraging</w:t>
      </w:r>
      <w:r>
        <w:rPr>
          <w:spacing w:val="-10"/>
        </w:rPr>
        <w:t> </w:t>
      </w:r>
      <w:r>
        <w:rPr/>
        <w:t>individuals</w:t>
      </w:r>
      <w:r>
        <w:rPr>
          <w:spacing w:val="-10"/>
        </w:rPr>
        <w:t> </w:t>
      </w:r>
      <w:r>
        <w:rPr/>
        <w:t>who</w:t>
      </w:r>
      <w:r>
        <w:rPr>
          <w:spacing w:val="-10"/>
        </w:rPr>
        <w:t> </w:t>
      </w:r>
      <w:r>
        <w:rPr/>
        <w:t>contact</w:t>
      </w:r>
      <w:r>
        <w:rPr>
          <w:spacing w:val="-9"/>
        </w:rPr>
        <w:t> </w:t>
      </w:r>
      <w:r>
        <w:rPr/>
        <w:t>the</w:t>
      </w:r>
      <w:r>
        <w:rPr>
          <w:spacing w:val="-9"/>
        </w:rPr>
        <w:t> </w:t>
      </w:r>
      <w:r>
        <w:rPr/>
        <w:t>Complaint Line to self-report demographic information, including sexual orientation and gender identity. The OCA notes that it does not ask callers - if they are not a youth themselves - to report the SOGI information of the child they are calling about in order to limit assumptions and misrepresentations, though it would collect</w:t>
      </w:r>
      <w:r>
        <w:rPr>
          <w:spacing w:val="-2"/>
        </w:rPr>
        <w:t> </w:t>
      </w:r>
      <w:r>
        <w:rPr/>
        <w:t>the</w:t>
      </w:r>
      <w:r>
        <w:rPr>
          <w:spacing w:val="-3"/>
        </w:rPr>
        <w:t> </w:t>
      </w:r>
      <w:r>
        <w:rPr/>
        <w:t>information</w:t>
      </w:r>
      <w:r>
        <w:rPr>
          <w:spacing w:val="-3"/>
        </w:rPr>
        <w:t> </w:t>
      </w:r>
      <w:r>
        <w:rPr/>
        <w:t>if</w:t>
      </w:r>
      <w:r>
        <w:rPr>
          <w:spacing w:val="-3"/>
        </w:rPr>
        <w:t> </w:t>
      </w:r>
      <w:r>
        <w:rPr/>
        <w:t>it</w:t>
      </w:r>
      <w:r>
        <w:rPr>
          <w:spacing w:val="-2"/>
        </w:rPr>
        <w:t> </w:t>
      </w:r>
      <w:r>
        <w:rPr/>
        <w:t>was</w:t>
      </w:r>
      <w:r>
        <w:rPr>
          <w:spacing w:val="-3"/>
        </w:rPr>
        <w:t> </w:t>
      </w:r>
      <w:r>
        <w:rPr/>
        <w:t>shared</w:t>
      </w:r>
      <w:r>
        <w:rPr>
          <w:spacing w:val="-3"/>
        </w:rPr>
        <w:t> </w:t>
      </w:r>
      <w:r>
        <w:rPr/>
        <w:t>and</w:t>
      </w:r>
      <w:r>
        <w:rPr>
          <w:spacing w:val="-2"/>
        </w:rPr>
        <w:t> </w:t>
      </w:r>
      <w:r>
        <w:rPr/>
        <w:t>considered</w:t>
      </w:r>
      <w:r>
        <w:rPr>
          <w:spacing w:val="-3"/>
        </w:rPr>
        <w:t> </w:t>
      </w:r>
      <w:r>
        <w:rPr/>
        <w:t>relevant</w:t>
      </w:r>
      <w:r>
        <w:rPr>
          <w:spacing w:val="-2"/>
        </w:rPr>
        <w:t> </w:t>
      </w:r>
      <w:r>
        <w:rPr/>
        <w:t>to</w:t>
      </w:r>
      <w:r>
        <w:rPr>
          <w:spacing w:val="-1"/>
        </w:rPr>
        <w:t> </w:t>
      </w:r>
      <w:r>
        <w:rPr/>
        <w:t>the</w:t>
      </w:r>
      <w:r>
        <w:rPr>
          <w:spacing w:val="-2"/>
        </w:rPr>
        <w:t> </w:t>
      </w:r>
      <w:r>
        <w:rPr/>
        <w:t>case</w:t>
      </w:r>
      <w:r>
        <w:rPr>
          <w:spacing w:val="-3"/>
        </w:rPr>
        <w:t> </w:t>
      </w:r>
      <w:r>
        <w:rPr/>
        <w:t>being</w:t>
      </w:r>
      <w:r>
        <w:rPr>
          <w:spacing w:val="-3"/>
        </w:rPr>
        <w:t> </w:t>
      </w:r>
      <w:r>
        <w:rPr/>
        <w:t>reported.</w:t>
      </w:r>
      <w:r>
        <w:rPr>
          <w:spacing w:val="-2"/>
        </w:rPr>
        <w:t> </w:t>
      </w:r>
      <w:r>
        <w:rPr/>
        <w:t>However,</w:t>
      </w:r>
      <w:r>
        <w:rPr>
          <w:spacing w:val="-3"/>
        </w:rPr>
        <w:t> </w:t>
      </w:r>
      <w:r>
        <w:rPr/>
        <w:t>for the Complaint Line, as well as for other data collection processes, the OCA shared that it will add demographic</w:t>
      </w:r>
      <w:r>
        <w:rPr>
          <w:spacing w:val="-6"/>
        </w:rPr>
        <w:t> </w:t>
      </w:r>
      <w:r>
        <w:rPr/>
        <w:t>data</w:t>
      </w:r>
      <w:r>
        <w:rPr>
          <w:spacing w:val="-7"/>
        </w:rPr>
        <w:t> </w:t>
      </w:r>
      <w:r>
        <w:rPr/>
        <w:t>about</w:t>
      </w:r>
      <w:r>
        <w:rPr>
          <w:spacing w:val="-7"/>
        </w:rPr>
        <w:t> </w:t>
      </w:r>
      <w:r>
        <w:rPr/>
        <w:t>the</w:t>
      </w:r>
      <w:r>
        <w:rPr>
          <w:spacing w:val="-8"/>
        </w:rPr>
        <w:t> </w:t>
      </w:r>
      <w:r>
        <w:rPr/>
        <w:t>child</w:t>
      </w:r>
      <w:r>
        <w:rPr>
          <w:spacing w:val="-7"/>
        </w:rPr>
        <w:t> </w:t>
      </w:r>
      <w:r>
        <w:rPr/>
        <w:t>who</w:t>
      </w:r>
      <w:r>
        <w:rPr>
          <w:spacing w:val="-6"/>
        </w:rPr>
        <w:t> </w:t>
      </w:r>
      <w:r>
        <w:rPr/>
        <w:t>is</w:t>
      </w:r>
      <w:r>
        <w:rPr>
          <w:spacing w:val="-6"/>
        </w:rPr>
        <w:t> </w:t>
      </w:r>
      <w:r>
        <w:rPr/>
        <w:t>the</w:t>
      </w:r>
      <w:r>
        <w:rPr>
          <w:spacing w:val="-8"/>
        </w:rPr>
        <w:t> </w:t>
      </w:r>
      <w:r>
        <w:rPr/>
        <w:t>subject</w:t>
      </w:r>
      <w:r>
        <w:rPr>
          <w:spacing w:val="-8"/>
        </w:rPr>
        <w:t> </w:t>
      </w:r>
      <w:r>
        <w:rPr/>
        <w:t>of</w:t>
      </w:r>
      <w:r>
        <w:rPr>
          <w:spacing w:val="-8"/>
        </w:rPr>
        <w:t> </w:t>
      </w:r>
      <w:r>
        <w:rPr/>
        <w:t>the</w:t>
      </w:r>
      <w:r>
        <w:rPr>
          <w:spacing w:val="-8"/>
        </w:rPr>
        <w:t> </w:t>
      </w:r>
      <w:r>
        <w:rPr/>
        <w:t>review</w:t>
      </w:r>
      <w:r>
        <w:rPr>
          <w:spacing w:val="-8"/>
        </w:rPr>
        <w:t> </w:t>
      </w:r>
      <w:r>
        <w:rPr/>
        <w:t>if</w:t>
      </w:r>
      <w:r>
        <w:rPr>
          <w:spacing w:val="-7"/>
        </w:rPr>
        <w:t> </w:t>
      </w:r>
      <w:r>
        <w:rPr/>
        <w:t>that</w:t>
      </w:r>
      <w:r>
        <w:rPr>
          <w:spacing w:val="-7"/>
        </w:rPr>
        <w:t> </w:t>
      </w:r>
      <w:r>
        <w:rPr/>
        <w:t>data</w:t>
      </w:r>
      <w:r>
        <w:rPr>
          <w:spacing w:val="-6"/>
        </w:rPr>
        <w:t> </w:t>
      </w:r>
      <w:r>
        <w:rPr/>
        <w:t>becomes</w:t>
      </w:r>
      <w:r>
        <w:rPr>
          <w:spacing w:val="-7"/>
        </w:rPr>
        <w:t> </w:t>
      </w:r>
      <w:r>
        <w:rPr/>
        <w:t>available</w:t>
      </w:r>
      <w:r>
        <w:rPr>
          <w:spacing w:val="-8"/>
        </w:rPr>
        <w:t> </w:t>
      </w:r>
      <w:r>
        <w:rPr/>
        <w:t>through DCF’s iFamilyNet or is otherwise reported.</w:t>
      </w:r>
    </w:p>
    <w:p>
      <w:pPr>
        <w:pStyle w:val="BodyText"/>
        <w:spacing w:line="276" w:lineRule="auto" w:before="239"/>
        <w:ind w:left="483" w:right="341"/>
        <w:jc w:val="both"/>
      </w:pPr>
      <w:r>
        <w:rPr/>
        <w:t>For</w:t>
      </w:r>
      <w:r>
        <w:rPr>
          <w:spacing w:val="-5"/>
        </w:rPr>
        <w:t> </w:t>
      </w:r>
      <w:r>
        <w:rPr/>
        <w:t>years,</w:t>
      </w:r>
      <w:r>
        <w:rPr>
          <w:spacing w:val="-5"/>
        </w:rPr>
        <w:t> </w:t>
      </w:r>
      <w:r>
        <w:rPr/>
        <w:t>the</w:t>
      </w:r>
      <w:r>
        <w:rPr>
          <w:spacing w:val="-4"/>
        </w:rPr>
        <w:t> </w:t>
      </w:r>
      <w:r>
        <w:rPr/>
        <w:t>Commission</w:t>
      </w:r>
      <w:r>
        <w:rPr>
          <w:spacing w:val="-4"/>
        </w:rPr>
        <w:t> </w:t>
      </w:r>
      <w:r>
        <w:rPr/>
        <w:t>has</w:t>
      </w:r>
      <w:r>
        <w:rPr>
          <w:spacing w:val="-5"/>
        </w:rPr>
        <w:t> </w:t>
      </w:r>
      <w:r>
        <w:rPr/>
        <w:t>heard</w:t>
      </w:r>
      <w:r>
        <w:rPr>
          <w:spacing w:val="-4"/>
        </w:rPr>
        <w:t> </w:t>
      </w:r>
      <w:r>
        <w:rPr/>
        <w:t>concerns</w:t>
      </w:r>
      <w:r>
        <w:rPr>
          <w:spacing w:val="-4"/>
        </w:rPr>
        <w:t> </w:t>
      </w:r>
      <w:r>
        <w:rPr/>
        <w:t>involving</w:t>
      </w:r>
      <w:r>
        <w:rPr>
          <w:spacing w:val="-6"/>
        </w:rPr>
        <w:t> </w:t>
      </w:r>
      <w:r>
        <w:rPr/>
        <w:t>LGBTQ</w:t>
      </w:r>
      <w:r>
        <w:rPr>
          <w:spacing w:val="-4"/>
        </w:rPr>
        <w:t> </w:t>
      </w:r>
      <w:r>
        <w:rPr/>
        <w:t>youth</w:t>
      </w:r>
      <w:r>
        <w:rPr>
          <w:spacing w:val="-4"/>
        </w:rPr>
        <w:t> </w:t>
      </w:r>
      <w:r>
        <w:rPr/>
        <w:t>interacting</w:t>
      </w:r>
      <w:r>
        <w:rPr>
          <w:spacing w:val="-6"/>
        </w:rPr>
        <w:t> </w:t>
      </w:r>
      <w:r>
        <w:rPr/>
        <w:t>with</w:t>
      </w:r>
      <w:r>
        <w:rPr>
          <w:spacing w:val="-4"/>
        </w:rPr>
        <w:t> </w:t>
      </w:r>
      <w:r>
        <w:rPr/>
        <w:t>state</w:t>
      </w:r>
      <w:r>
        <w:rPr>
          <w:spacing w:val="-4"/>
        </w:rPr>
        <w:t> </w:t>
      </w:r>
      <w:r>
        <w:rPr/>
        <w:t>services</w:t>
      </w:r>
      <w:r>
        <w:rPr>
          <w:spacing w:val="-5"/>
        </w:rPr>
        <w:t> </w:t>
      </w:r>
      <w:r>
        <w:rPr/>
        <w:t>on</w:t>
      </w:r>
      <w:r>
        <w:rPr>
          <w:spacing w:val="-4"/>
        </w:rPr>
        <w:t> </w:t>
      </w:r>
      <w:r>
        <w:rPr/>
        <w:t>a regular basis, indicating significant systemic issues that require collaboration from all child-serving agencies</w:t>
      </w:r>
      <w:r>
        <w:rPr>
          <w:spacing w:val="-10"/>
        </w:rPr>
        <w:t> </w:t>
      </w:r>
      <w:r>
        <w:rPr/>
        <w:t>to</w:t>
      </w:r>
      <w:r>
        <w:rPr>
          <w:spacing w:val="-10"/>
        </w:rPr>
        <w:t> </w:t>
      </w:r>
      <w:r>
        <w:rPr/>
        <w:t>address.</w:t>
      </w:r>
      <w:r>
        <w:rPr>
          <w:spacing w:val="-12"/>
        </w:rPr>
        <w:t> </w:t>
      </w:r>
      <w:r>
        <w:rPr/>
        <w:t>As</w:t>
      </w:r>
      <w:r>
        <w:rPr>
          <w:spacing w:val="-10"/>
        </w:rPr>
        <w:t> </w:t>
      </w:r>
      <w:r>
        <w:rPr/>
        <w:t>previously</w:t>
      </w:r>
      <w:r>
        <w:rPr>
          <w:spacing w:val="-11"/>
        </w:rPr>
        <w:t> </w:t>
      </w:r>
      <w:r>
        <w:rPr/>
        <w:t>noted,</w:t>
      </w:r>
      <w:r>
        <w:rPr>
          <w:spacing w:val="-11"/>
        </w:rPr>
        <w:t> </w:t>
      </w:r>
      <w:r>
        <w:rPr/>
        <w:t>if</w:t>
      </w:r>
      <w:r>
        <w:rPr>
          <w:spacing w:val="-10"/>
        </w:rPr>
        <w:t> </w:t>
      </w:r>
      <w:r>
        <w:rPr/>
        <w:t>the</w:t>
      </w:r>
      <w:r>
        <w:rPr>
          <w:spacing w:val="-10"/>
        </w:rPr>
        <w:t> </w:t>
      </w:r>
      <w:r>
        <w:rPr/>
        <w:t>OCA</w:t>
      </w:r>
      <w:r>
        <w:rPr>
          <w:spacing w:val="-10"/>
        </w:rPr>
        <w:t> </w:t>
      </w:r>
      <w:r>
        <w:rPr/>
        <w:t>is</w:t>
      </w:r>
      <w:r>
        <w:rPr>
          <w:spacing w:val="-11"/>
        </w:rPr>
        <w:t> </w:t>
      </w:r>
      <w:r>
        <w:rPr/>
        <w:t>not</w:t>
      </w:r>
      <w:r>
        <w:rPr>
          <w:spacing w:val="-11"/>
        </w:rPr>
        <w:t> </w:t>
      </w:r>
      <w:r>
        <w:rPr/>
        <w:t>receiving</w:t>
      </w:r>
      <w:r>
        <w:rPr>
          <w:spacing w:val="-12"/>
        </w:rPr>
        <w:t> </w:t>
      </w:r>
      <w:r>
        <w:rPr/>
        <w:t>similar</w:t>
      </w:r>
      <w:r>
        <w:rPr>
          <w:spacing w:val="-10"/>
        </w:rPr>
        <w:t> </w:t>
      </w:r>
      <w:r>
        <w:rPr/>
        <w:t>complaints</w:t>
      </w:r>
      <w:r>
        <w:rPr>
          <w:spacing w:val="-10"/>
        </w:rPr>
        <w:t> </w:t>
      </w:r>
      <w:r>
        <w:rPr/>
        <w:t>from</w:t>
      </w:r>
      <w:r>
        <w:rPr>
          <w:spacing w:val="-10"/>
        </w:rPr>
        <w:t> </w:t>
      </w:r>
      <w:r>
        <w:rPr/>
        <w:t>LGBTQ</w:t>
      </w:r>
      <w:r>
        <w:rPr>
          <w:spacing w:val="-10"/>
        </w:rPr>
        <w:t> </w:t>
      </w:r>
      <w:r>
        <w:rPr/>
        <w:t>youth, families,</w:t>
      </w:r>
      <w:r>
        <w:rPr>
          <w:spacing w:val="-12"/>
        </w:rPr>
        <w:t> </w:t>
      </w:r>
      <w:r>
        <w:rPr/>
        <w:t>and</w:t>
      </w:r>
      <w:r>
        <w:rPr>
          <w:spacing w:val="-11"/>
        </w:rPr>
        <w:t> </w:t>
      </w:r>
      <w:r>
        <w:rPr/>
        <w:t>community</w:t>
      </w:r>
      <w:r>
        <w:rPr>
          <w:spacing w:val="-12"/>
        </w:rPr>
        <w:t> </w:t>
      </w:r>
      <w:r>
        <w:rPr/>
        <w:t>organizations</w:t>
      </w:r>
      <w:r>
        <w:rPr>
          <w:spacing w:val="-11"/>
        </w:rPr>
        <w:t> </w:t>
      </w:r>
      <w:r>
        <w:rPr/>
        <w:t>or</w:t>
      </w:r>
      <w:r>
        <w:rPr>
          <w:spacing w:val="-12"/>
        </w:rPr>
        <w:t> </w:t>
      </w:r>
      <w:r>
        <w:rPr/>
        <w:t>providers,</w:t>
      </w:r>
      <w:r>
        <w:rPr>
          <w:spacing w:val="-13"/>
        </w:rPr>
        <w:t> </w:t>
      </w:r>
      <w:r>
        <w:rPr/>
        <w:t>then</w:t>
      </w:r>
      <w:r>
        <w:rPr>
          <w:spacing w:val="-10"/>
        </w:rPr>
        <w:t> </w:t>
      </w:r>
      <w:r>
        <w:rPr/>
        <w:t>the</w:t>
      </w:r>
      <w:r>
        <w:rPr>
          <w:spacing w:val="-13"/>
        </w:rPr>
        <w:t> </w:t>
      </w:r>
      <w:r>
        <w:rPr/>
        <w:t>agency</w:t>
      </w:r>
      <w:r>
        <w:rPr>
          <w:spacing w:val="-11"/>
        </w:rPr>
        <w:t> </w:t>
      </w:r>
      <w:r>
        <w:rPr/>
        <w:t>must</w:t>
      </w:r>
      <w:r>
        <w:rPr>
          <w:spacing w:val="-13"/>
        </w:rPr>
        <w:t> </w:t>
      </w:r>
      <w:r>
        <w:rPr/>
        <w:t>do</w:t>
      </w:r>
      <w:r>
        <w:rPr>
          <w:spacing w:val="-11"/>
        </w:rPr>
        <w:t> </w:t>
      </w:r>
      <w:r>
        <w:rPr/>
        <w:t>further</w:t>
      </w:r>
      <w:r>
        <w:rPr>
          <w:spacing w:val="-12"/>
        </w:rPr>
        <w:t> </w:t>
      </w:r>
      <w:r>
        <w:rPr/>
        <w:t>work</w:t>
      </w:r>
      <w:r>
        <w:rPr>
          <w:spacing w:val="-11"/>
        </w:rPr>
        <w:t> </w:t>
      </w:r>
      <w:r>
        <w:rPr/>
        <w:t>to</w:t>
      </w:r>
      <w:r>
        <w:rPr>
          <w:spacing w:val="-12"/>
        </w:rPr>
        <w:t> </w:t>
      </w:r>
      <w:r>
        <w:rPr/>
        <w:t>engage</w:t>
      </w:r>
      <w:r>
        <w:rPr>
          <w:spacing w:val="-13"/>
        </w:rPr>
        <w:t> </w:t>
      </w:r>
      <w:r>
        <w:rPr/>
        <w:t>with LGBTQ youth communities and their allies. The Commission’s intent with this recommendation is to highlight</w:t>
      </w:r>
      <w:r>
        <w:rPr>
          <w:spacing w:val="-1"/>
        </w:rPr>
        <w:t> </w:t>
      </w:r>
      <w:r>
        <w:rPr/>
        <w:t>the</w:t>
      </w:r>
      <w:r>
        <w:rPr>
          <w:spacing w:val="-1"/>
        </w:rPr>
        <w:t> </w:t>
      </w:r>
      <w:r>
        <w:rPr/>
        <w:t>broader</w:t>
      </w:r>
      <w:r>
        <w:rPr>
          <w:spacing w:val="-2"/>
        </w:rPr>
        <w:t> </w:t>
      </w:r>
      <w:r>
        <w:rPr/>
        <w:t>context</w:t>
      </w:r>
      <w:r>
        <w:rPr>
          <w:spacing w:val="-1"/>
        </w:rPr>
        <w:t> </w:t>
      </w:r>
      <w:r>
        <w:rPr/>
        <w:t>of</w:t>
      </w:r>
      <w:r>
        <w:rPr>
          <w:spacing w:val="-2"/>
        </w:rPr>
        <w:t> </w:t>
      </w:r>
      <w:r>
        <w:rPr/>
        <w:t>the</w:t>
      </w:r>
      <w:r>
        <w:rPr>
          <w:spacing w:val="-1"/>
        </w:rPr>
        <w:t> </w:t>
      </w:r>
      <w:r>
        <w:rPr/>
        <w:t>gaps</w:t>
      </w:r>
      <w:r>
        <w:rPr>
          <w:spacing w:val="-1"/>
        </w:rPr>
        <w:t> </w:t>
      </w:r>
      <w:r>
        <w:rPr/>
        <w:t>in</w:t>
      </w:r>
      <w:r>
        <w:rPr>
          <w:spacing w:val="-1"/>
        </w:rPr>
        <w:t> </w:t>
      </w:r>
      <w:r>
        <w:rPr/>
        <w:t>information</w:t>
      </w:r>
      <w:r>
        <w:rPr>
          <w:spacing w:val="-1"/>
        </w:rPr>
        <w:t> </w:t>
      </w:r>
      <w:r>
        <w:rPr/>
        <w:t>that</w:t>
      </w:r>
      <w:r>
        <w:rPr>
          <w:spacing w:val="-1"/>
        </w:rPr>
        <w:t> </w:t>
      </w:r>
      <w:r>
        <w:rPr/>
        <w:t>the</w:t>
      </w:r>
      <w:r>
        <w:rPr>
          <w:spacing w:val="-1"/>
        </w:rPr>
        <w:t> </w:t>
      </w:r>
      <w:r>
        <w:rPr/>
        <w:t>OCA</w:t>
      </w:r>
      <w:r>
        <w:rPr>
          <w:spacing w:val="-2"/>
        </w:rPr>
        <w:t> </w:t>
      </w:r>
      <w:r>
        <w:rPr/>
        <w:t>is capturing</w:t>
      </w:r>
      <w:r>
        <w:rPr>
          <w:spacing w:val="-2"/>
        </w:rPr>
        <w:t> </w:t>
      </w:r>
      <w:r>
        <w:rPr/>
        <w:t>or receiving</w:t>
      </w:r>
      <w:r>
        <w:rPr>
          <w:spacing w:val="-2"/>
        </w:rPr>
        <w:t> </w:t>
      </w:r>
      <w:r>
        <w:rPr/>
        <w:t>which</w:t>
      </w:r>
      <w:r>
        <w:rPr>
          <w:spacing w:val="-1"/>
        </w:rPr>
        <w:t> </w:t>
      </w:r>
      <w:r>
        <w:rPr/>
        <w:t>can limit</w:t>
      </w:r>
      <w:r>
        <w:rPr>
          <w:spacing w:val="-6"/>
        </w:rPr>
        <w:t> </w:t>
      </w:r>
      <w:r>
        <w:rPr/>
        <w:t>its</w:t>
      </w:r>
      <w:r>
        <w:rPr>
          <w:spacing w:val="-5"/>
        </w:rPr>
        <w:t> </w:t>
      </w:r>
      <w:r>
        <w:rPr/>
        <w:t>ability</w:t>
      </w:r>
      <w:r>
        <w:rPr>
          <w:spacing w:val="-6"/>
        </w:rPr>
        <w:t> </w:t>
      </w:r>
      <w:r>
        <w:rPr/>
        <w:t>to</w:t>
      </w:r>
      <w:r>
        <w:rPr>
          <w:spacing w:val="-5"/>
        </w:rPr>
        <w:t> </w:t>
      </w:r>
      <w:r>
        <w:rPr/>
        <w:t>fully</w:t>
      </w:r>
      <w:r>
        <w:rPr>
          <w:spacing w:val="-5"/>
        </w:rPr>
        <w:t> </w:t>
      </w:r>
      <w:r>
        <w:rPr/>
        <w:t>address</w:t>
      </w:r>
      <w:r>
        <w:rPr>
          <w:spacing w:val="-6"/>
        </w:rPr>
        <w:t> </w:t>
      </w:r>
      <w:r>
        <w:rPr/>
        <w:t>systemic</w:t>
      </w:r>
      <w:r>
        <w:rPr>
          <w:spacing w:val="-5"/>
        </w:rPr>
        <w:t> </w:t>
      </w:r>
      <w:r>
        <w:rPr/>
        <w:t>gaps</w:t>
      </w:r>
      <w:r>
        <w:rPr>
          <w:spacing w:val="-6"/>
        </w:rPr>
        <w:t> </w:t>
      </w:r>
      <w:r>
        <w:rPr/>
        <w:t>in</w:t>
      </w:r>
      <w:r>
        <w:rPr>
          <w:spacing w:val="-6"/>
        </w:rPr>
        <w:t> </w:t>
      </w:r>
      <w:r>
        <w:rPr/>
        <w:t>service</w:t>
      </w:r>
      <w:r>
        <w:rPr>
          <w:spacing w:val="-7"/>
        </w:rPr>
        <w:t> </w:t>
      </w:r>
      <w:r>
        <w:rPr/>
        <w:t>provision.</w:t>
      </w:r>
      <w:r>
        <w:rPr>
          <w:spacing w:val="-6"/>
        </w:rPr>
        <w:t> </w:t>
      </w:r>
      <w:r>
        <w:rPr/>
        <w:t>As</w:t>
      </w:r>
      <w:r>
        <w:rPr>
          <w:spacing w:val="-6"/>
        </w:rPr>
        <w:t> </w:t>
      </w:r>
      <w:r>
        <w:rPr/>
        <w:t>discussed</w:t>
      </w:r>
      <w:r>
        <w:rPr>
          <w:spacing w:val="-6"/>
        </w:rPr>
        <w:t> </w:t>
      </w:r>
      <w:r>
        <w:rPr/>
        <w:t>below,</w:t>
      </w:r>
      <w:r>
        <w:rPr>
          <w:spacing w:val="-6"/>
        </w:rPr>
        <w:t> </w:t>
      </w:r>
      <w:r>
        <w:rPr/>
        <w:t>the</w:t>
      </w:r>
      <w:r>
        <w:rPr>
          <w:spacing w:val="-4"/>
        </w:rPr>
        <w:t> </w:t>
      </w:r>
      <w:r>
        <w:rPr/>
        <w:t>OCA</w:t>
      </w:r>
      <w:r>
        <w:rPr>
          <w:spacing w:val="-6"/>
        </w:rPr>
        <w:t> </w:t>
      </w:r>
      <w:r>
        <w:rPr/>
        <w:t>has</w:t>
      </w:r>
      <w:r>
        <w:rPr>
          <w:spacing w:val="-6"/>
        </w:rPr>
        <w:t> </w:t>
      </w:r>
      <w:r>
        <w:rPr/>
        <w:t>shared its intent to improve its youth engagement work, beginning with youth in DCF congregate care facilities, to educate youth on their rights and how to use the complaint line. The Commission recommends that this</w:t>
      </w:r>
      <w:r>
        <w:rPr>
          <w:spacing w:val="-11"/>
        </w:rPr>
        <w:t> </w:t>
      </w:r>
      <w:r>
        <w:rPr/>
        <w:t>training</w:t>
      </w:r>
      <w:r>
        <w:rPr>
          <w:spacing w:val="-12"/>
        </w:rPr>
        <w:t> </w:t>
      </w:r>
      <w:r>
        <w:rPr/>
        <w:t>extend</w:t>
      </w:r>
      <w:r>
        <w:rPr>
          <w:spacing w:val="-12"/>
        </w:rPr>
        <w:t> </w:t>
      </w:r>
      <w:r>
        <w:rPr/>
        <w:t>to</w:t>
      </w:r>
      <w:r>
        <w:rPr>
          <w:spacing w:val="-12"/>
        </w:rPr>
        <w:t> </w:t>
      </w:r>
      <w:r>
        <w:rPr/>
        <w:t>DCF</w:t>
      </w:r>
      <w:r>
        <w:rPr>
          <w:spacing w:val="-10"/>
        </w:rPr>
        <w:t> </w:t>
      </w:r>
      <w:r>
        <w:rPr/>
        <w:t>staff,</w:t>
      </w:r>
      <w:r>
        <w:rPr>
          <w:spacing w:val="-12"/>
        </w:rPr>
        <w:t> </w:t>
      </w:r>
      <w:r>
        <w:rPr/>
        <w:t>as</w:t>
      </w:r>
      <w:r>
        <w:rPr>
          <w:spacing w:val="-12"/>
        </w:rPr>
        <w:t> </w:t>
      </w:r>
      <w:r>
        <w:rPr/>
        <w:t>well,</w:t>
      </w:r>
      <w:r>
        <w:rPr>
          <w:spacing w:val="-10"/>
        </w:rPr>
        <w:t> </w:t>
      </w:r>
      <w:r>
        <w:rPr/>
        <w:t>to</w:t>
      </w:r>
      <w:r>
        <w:rPr>
          <w:spacing w:val="-12"/>
        </w:rPr>
        <w:t> </w:t>
      </w:r>
      <w:r>
        <w:rPr/>
        <w:t>ensure</w:t>
      </w:r>
      <w:r>
        <w:rPr>
          <w:spacing w:val="-12"/>
        </w:rPr>
        <w:t> </w:t>
      </w:r>
      <w:r>
        <w:rPr/>
        <w:t>that</w:t>
      </w:r>
      <w:r>
        <w:rPr>
          <w:spacing w:val="-13"/>
        </w:rPr>
        <w:t> </w:t>
      </w:r>
      <w:r>
        <w:rPr/>
        <w:t>all</w:t>
      </w:r>
      <w:r>
        <w:rPr>
          <w:spacing w:val="-11"/>
        </w:rPr>
        <w:t> </w:t>
      </w:r>
      <w:r>
        <w:rPr/>
        <w:t>staff</w:t>
      </w:r>
      <w:r>
        <w:rPr>
          <w:spacing w:val="-11"/>
        </w:rPr>
        <w:t> </w:t>
      </w:r>
      <w:r>
        <w:rPr/>
        <w:t>understand</w:t>
      </w:r>
      <w:r>
        <w:rPr>
          <w:spacing w:val="-12"/>
        </w:rPr>
        <w:t> </w:t>
      </w:r>
      <w:r>
        <w:rPr/>
        <w:t>the</w:t>
      </w:r>
      <w:r>
        <w:rPr>
          <w:spacing w:val="-10"/>
        </w:rPr>
        <w:t> </w:t>
      </w:r>
      <w:r>
        <w:rPr/>
        <w:t>process</w:t>
      </w:r>
      <w:r>
        <w:rPr>
          <w:spacing w:val="-12"/>
        </w:rPr>
        <w:t> </w:t>
      </w:r>
      <w:r>
        <w:rPr/>
        <w:t>and</w:t>
      </w:r>
      <w:r>
        <w:rPr>
          <w:spacing w:val="-12"/>
        </w:rPr>
        <w:t> </w:t>
      </w:r>
      <w:r>
        <w:rPr/>
        <w:t>rights</w:t>
      </w:r>
      <w:r>
        <w:rPr>
          <w:spacing w:val="-12"/>
        </w:rPr>
        <w:t> </w:t>
      </w:r>
      <w:r>
        <w:rPr/>
        <w:t>of</w:t>
      </w:r>
      <w:r>
        <w:rPr>
          <w:spacing w:val="-11"/>
        </w:rPr>
        <w:t> </w:t>
      </w:r>
      <w:r>
        <w:rPr/>
        <w:t>youth in their care.</w:t>
      </w:r>
    </w:p>
    <w:p>
      <w:pPr>
        <w:numPr>
          <w:ilvl w:val="0"/>
          <w:numId w:val="50"/>
        </w:numPr>
        <w:tabs>
          <w:tab w:pos="481" w:val="left" w:leader="none"/>
        </w:tabs>
        <w:spacing w:before="240"/>
        <w:ind w:left="481" w:right="0" w:hanging="358"/>
        <w:jc w:val="left"/>
        <w:rPr>
          <w:b/>
          <w:sz w:val="22"/>
        </w:rPr>
      </w:pPr>
      <w:r>
        <w:rPr>
          <w:b/>
          <w:sz w:val="22"/>
        </w:rPr>
        <w:t>Visit,</w:t>
      </w:r>
      <w:r>
        <w:rPr>
          <w:b/>
          <w:spacing w:val="-8"/>
          <w:sz w:val="22"/>
        </w:rPr>
        <w:t> </w:t>
      </w:r>
      <w:r>
        <w:rPr>
          <w:b/>
          <w:sz w:val="22"/>
        </w:rPr>
        <w:t>investigate,</w:t>
      </w:r>
      <w:r>
        <w:rPr>
          <w:b/>
          <w:spacing w:val="-8"/>
          <w:sz w:val="22"/>
        </w:rPr>
        <w:t> </w:t>
      </w:r>
      <w:r>
        <w:rPr>
          <w:b/>
          <w:sz w:val="22"/>
        </w:rPr>
        <w:t>and</w:t>
      </w:r>
      <w:r>
        <w:rPr>
          <w:b/>
          <w:spacing w:val="-8"/>
          <w:sz w:val="22"/>
        </w:rPr>
        <w:t> </w:t>
      </w:r>
      <w:r>
        <w:rPr>
          <w:b/>
          <w:sz w:val="22"/>
        </w:rPr>
        <w:t>report</w:t>
      </w:r>
      <w:r>
        <w:rPr>
          <w:b/>
          <w:spacing w:val="-8"/>
          <w:sz w:val="22"/>
        </w:rPr>
        <w:t> </w:t>
      </w:r>
      <w:r>
        <w:rPr>
          <w:b/>
          <w:sz w:val="22"/>
        </w:rPr>
        <w:t>on</w:t>
      </w:r>
      <w:r>
        <w:rPr>
          <w:b/>
          <w:spacing w:val="-8"/>
          <w:sz w:val="22"/>
        </w:rPr>
        <w:t> </w:t>
      </w:r>
      <w:r>
        <w:rPr>
          <w:b/>
          <w:sz w:val="22"/>
        </w:rPr>
        <w:t>congregate</w:t>
      </w:r>
      <w:r>
        <w:rPr>
          <w:b/>
          <w:spacing w:val="-8"/>
          <w:sz w:val="22"/>
        </w:rPr>
        <w:t> </w:t>
      </w:r>
      <w:r>
        <w:rPr>
          <w:b/>
          <w:sz w:val="22"/>
        </w:rPr>
        <w:t>care</w:t>
      </w:r>
      <w:r>
        <w:rPr>
          <w:b/>
          <w:spacing w:val="-8"/>
          <w:sz w:val="22"/>
        </w:rPr>
        <w:t> </w:t>
      </w:r>
      <w:r>
        <w:rPr>
          <w:b/>
          <w:spacing w:val="-2"/>
          <w:sz w:val="22"/>
        </w:rPr>
        <w:t>facilities.</w:t>
      </w:r>
    </w:p>
    <w:p>
      <w:pPr>
        <w:pStyle w:val="BodyText"/>
        <w:spacing w:before="11"/>
        <w:rPr>
          <w:b/>
        </w:rPr>
      </w:pPr>
    </w:p>
    <w:p>
      <w:pPr>
        <w:pStyle w:val="BodyText"/>
        <w:spacing w:line="276" w:lineRule="auto"/>
        <w:ind w:left="483" w:right="341"/>
        <w:jc w:val="both"/>
      </w:pPr>
      <w:r>
        <w:rPr/>
        <w:t>As initially noted in the OCA’s FY 2024 recommendations, the Commission’s 2021 report on experiences of DCF-involved LGBTQ youth revealed alarming safety concerns for LGBTQ youth in group homes, particularly Black and transgender youth. Incidents described by informants included one in which a worker asked relatives to beat</w:t>
      </w:r>
      <w:r>
        <w:rPr>
          <w:spacing w:val="-1"/>
        </w:rPr>
        <w:t> </w:t>
      </w:r>
      <w:r>
        <w:rPr/>
        <w:t>up a youth</w:t>
      </w:r>
      <w:r>
        <w:rPr>
          <w:spacing w:val="-1"/>
        </w:rPr>
        <w:t> </w:t>
      </w:r>
      <w:r>
        <w:rPr/>
        <w:t>at</w:t>
      </w:r>
      <w:r>
        <w:rPr>
          <w:spacing w:val="-1"/>
        </w:rPr>
        <w:t> </w:t>
      </w:r>
      <w:r>
        <w:rPr/>
        <w:t>a group home, a young</w:t>
      </w:r>
      <w:r>
        <w:rPr>
          <w:spacing w:val="-1"/>
        </w:rPr>
        <w:t> </w:t>
      </w:r>
      <w:r>
        <w:rPr/>
        <w:t>person</w:t>
      </w:r>
      <w:r>
        <w:rPr>
          <w:spacing w:val="-1"/>
        </w:rPr>
        <w:t> </w:t>
      </w:r>
      <w:r>
        <w:rPr/>
        <w:t>who attempted</w:t>
      </w:r>
      <w:r>
        <w:rPr>
          <w:spacing w:val="-1"/>
        </w:rPr>
        <w:t> </w:t>
      </w:r>
      <w:r>
        <w:rPr/>
        <w:t>suicide</w:t>
      </w:r>
      <w:r>
        <w:rPr>
          <w:spacing w:val="-1"/>
        </w:rPr>
        <w:t> </w:t>
      </w:r>
      <w:r>
        <w:rPr/>
        <w:t>after their</w:t>
      </w:r>
      <w:r>
        <w:rPr>
          <w:spacing w:val="-10"/>
        </w:rPr>
        <w:t> </w:t>
      </w:r>
      <w:r>
        <w:rPr/>
        <w:t>program</w:t>
      </w:r>
      <w:r>
        <w:rPr>
          <w:spacing w:val="-10"/>
        </w:rPr>
        <w:t> </w:t>
      </w:r>
      <w:r>
        <w:rPr/>
        <w:t>director</w:t>
      </w:r>
      <w:r>
        <w:rPr>
          <w:spacing w:val="-10"/>
        </w:rPr>
        <w:t> </w:t>
      </w:r>
      <w:r>
        <w:rPr/>
        <w:t>responded</w:t>
      </w:r>
      <w:r>
        <w:rPr>
          <w:spacing w:val="-10"/>
        </w:rPr>
        <w:t> </w:t>
      </w:r>
      <w:r>
        <w:rPr/>
        <w:t>poorly</w:t>
      </w:r>
      <w:r>
        <w:rPr>
          <w:spacing w:val="-10"/>
        </w:rPr>
        <w:t> </w:t>
      </w:r>
      <w:r>
        <w:rPr/>
        <w:t>during</w:t>
      </w:r>
      <w:r>
        <w:rPr>
          <w:spacing w:val="-10"/>
        </w:rPr>
        <w:t> </w:t>
      </w:r>
      <w:r>
        <w:rPr/>
        <w:t>a</w:t>
      </w:r>
      <w:r>
        <w:rPr>
          <w:spacing w:val="-8"/>
        </w:rPr>
        <w:t> </w:t>
      </w:r>
      <w:r>
        <w:rPr/>
        <w:t>conversation</w:t>
      </w:r>
      <w:r>
        <w:rPr>
          <w:spacing w:val="-10"/>
        </w:rPr>
        <w:t> </w:t>
      </w:r>
      <w:r>
        <w:rPr/>
        <w:t>about</w:t>
      </w:r>
      <w:r>
        <w:rPr>
          <w:spacing w:val="-10"/>
        </w:rPr>
        <w:t> </w:t>
      </w:r>
      <w:r>
        <w:rPr/>
        <w:t>using</w:t>
      </w:r>
      <w:r>
        <w:rPr>
          <w:spacing w:val="-9"/>
        </w:rPr>
        <w:t> </w:t>
      </w:r>
      <w:r>
        <w:rPr/>
        <w:t>the</w:t>
      </w:r>
      <w:r>
        <w:rPr>
          <w:spacing w:val="-10"/>
        </w:rPr>
        <w:t> </w:t>
      </w:r>
      <w:r>
        <w:rPr/>
        <w:t>youth’s</w:t>
      </w:r>
      <w:r>
        <w:rPr>
          <w:spacing w:val="-9"/>
        </w:rPr>
        <w:t> </w:t>
      </w:r>
      <w:r>
        <w:rPr/>
        <w:t>correct</w:t>
      </w:r>
      <w:r>
        <w:rPr>
          <w:spacing w:val="-10"/>
        </w:rPr>
        <w:t> </w:t>
      </w:r>
      <w:r>
        <w:rPr/>
        <w:t>pronouns, a</w:t>
      </w:r>
      <w:r>
        <w:rPr>
          <w:spacing w:val="-4"/>
        </w:rPr>
        <w:t> </w:t>
      </w:r>
      <w:r>
        <w:rPr/>
        <w:t>worker</w:t>
      </w:r>
      <w:r>
        <w:rPr>
          <w:spacing w:val="-4"/>
        </w:rPr>
        <w:t> </w:t>
      </w:r>
      <w:r>
        <w:rPr/>
        <w:t>dismissively</w:t>
      </w:r>
      <w:r>
        <w:rPr>
          <w:spacing w:val="-4"/>
        </w:rPr>
        <w:t> </w:t>
      </w:r>
      <w:r>
        <w:rPr/>
        <w:t>responding</w:t>
      </w:r>
      <w:r>
        <w:rPr>
          <w:spacing w:val="-3"/>
        </w:rPr>
        <w:t> </w:t>
      </w:r>
      <w:r>
        <w:rPr/>
        <w:t>to</w:t>
      </w:r>
      <w:r>
        <w:rPr>
          <w:spacing w:val="-4"/>
        </w:rPr>
        <w:t> </w:t>
      </w:r>
      <w:r>
        <w:rPr/>
        <w:t>abuse</w:t>
      </w:r>
      <w:r>
        <w:rPr>
          <w:spacing w:val="-4"/>
        </w:rPr>
        <w:t> </w:t>
      </w:r>
      <w:r>
        <w:rPr/>
        <w:t>against</w:t>
      </w:r>
      <w:r>
        <w:rPr>
          <w:spacing w:val="-3"/>
        </w:rPr>
        <w:t> </w:t>
      </w:r>
      <w:r>
        <w:rPr/>
        <w:t>a</w:t>
      </w:r>
      <w:r>
        <w:rPr>
          <w:spacing w:val="-4"/>
        </w:rPr>
        <w:t> </w:t>
      </w:r>
      <w:r>
        <w:rPr/>
        <w:t>boy</w:t>
      </w:r>
      <w:r>
        <w:rPr>
          <w:spacing w:val="-4"/>
        </w:rPr>
        <w:t> </w:t>
      </w:r>
      <w:r>
        <w:rPr/>
        <w:t>in</w:t>
      </w:r>
      <w:r>
        <w:rPr>
          <w:spacing w:val="-4"/>
        </w:rPr>
        <w:t> </w:t>
      </w:r>
      <w:r>
        <w:rPr/>
        <w:t>a</w:t>
      </w:r>
      <w:r>
        <w:rPr>
          <w:spacing w:val="-4"/>
        </w:rPr>
        <w:t> </w:t>
      </w:r>
      <w:r>
        <w:rPr/>
        <w:t>group</w:t>
      </w:r>
      <w:r>
        <w:rPr>
          <w:spacing w:val="-4"/>
        </w:rPr>
        <w:t> </w:t>
      </w:r>
      <w:r>
        <w:rPr/>
        <w:t>home</w:t>
      </w:r>
      <w:r>
        <w:rPr>
          <w:spacing w:val="-4"/>
        </w:rPr>
        <w:t> </w:t>
      </w:r>
      <w:r>
        <w:rPr/>
        <w:t>by</w:t>
      </w:r>
      <w:r>
        <w:rPr>
          <w:spacing w:val="-4"/>
        </w:rPr>
        <w:t> </w:t>
      </w:r>
      <w:r>
        <w:rPr/>
        <w:t>referring</w:t>
      </w:r>
      <w:r>
        <w:rPr>
          <w:spacing w:val="-3"/>
        </w:rPr>
        <w:t> </w:t>
      </w:r>
      <w:r>
        <w:rPr/>
        <w:t>to</w:t>
      </w:r>
      <w:r>
        <w:rPr>
          <w:spacing w:val="-4"/>
        </w:rPr>
        <w:t> </w:t>
      </w:r>
      <w:r>
        <w:rPr/>
        <w:t>the</w:t>
      </w:r>
      <w:r>
        <w:rPr>
          <w:spacing w:val="-4"/>
        </w:rPr>
        <w:t> </w:t>
      </w:r>
      <w:r>
        <w:rPr/>
        <w:t>boy</w:t>
      </w:r>
      <w:r>
        <w:rPr>
          <w:spacing w:val="-4"/>
        </w:rPr>
        <w:t> </w:t>
      </w:r>
      <w:r>
        <w:rPr/>
        <w:t>as</w:t>
      </w:r>
      <w:r>
        <w:rPr>
          <w:spacing w:val="-4"/>
        </w:rPr>
        <w:t> </w:t>
      </w:r>
      <w:r>
        <w:rPr/>
        <w:t>“such a</w:t>
      </w:r>
      <w:r>
        <w:rPr>
          <w:spacing w:val="-7"/>
        </w:rPr>
        <w:t> </w:t>
      </w:r>
      <w:r>
        <w:rPr/>
        <w:t>queen,”</w:t>
      </w:r>
      <w:r>
        <w:rPr>
          <w:spacing w:val="-7"/>
        </w:rPr>
        <w:t> </w:t>
      </w:r>
      <w:r>
        <w:rPr/>
        <w:t>and</w:t>
      </w:r>
      <w:r>
        <w:rPr>
          <w:spacing w:val="-8"/>
        </w:rPr>
        <w:t> </w:t>
      </w:r>
      <w:r>
        <w:rPr/>
        <w:t>exploitation</w:t>
      </w:r>
      <w:r>
        <w:rPr>
          <w:spacing w:val="-8"/>
        </w:rPr>
        <w:t> </w:t>
      </w:r>
      <w:r>
        <w:rPr/>
        <w:t>of</w:t>
      </w:r>
      <w:r>
        <w:rPr>
          <w:spacing w:val="-8"/>
        </w:rPr>
        <w:t> </w:t>
      </w:r>
      <w:r>
        <w:rPr/>
        <w:t>a</w:t>
      </w:r>
      <w:r>
        <w:rPr>
          <w:spacing w:val="-7"/>
        </w:rPr>
        <w:t> </w:t>
      </w:r>
      <w:r>
        <w:rPr/>
        <w:t>transgender</w:t>
      </w:r>
      <w:r>
        <w:rPr>
          <w:spacing w:val="-8"/>
        </w:rPr>
        <w:t> </w:t>
      </w:r>
      <w:r>
        <w:rPr/>
        <w:t>girl</w:t>
      </w:r>
      <w:r>
        <w:rPr>
          <w:spacing w:val="-7"/>
        </w:rPr>
        <w:t> </w:t>
      </w:r>
      <w:r>
        <w:rPr/>
        <w:t>by</w:t>
      </w:r>
      <w:r>
        <w:rPr>
          <w:spacing w:val="-8"/>
        </w:rPr>
        <w:t> </w:t>
      </w:r>
      <w:r>
        <w:rPr/>
        <w:t>other</w:t>
      </w:r>
      <w:r>
        <w:rPr>
          <w:spacing w:val="-8"/>
        </w:rPr>
        <w:t> </w:t>
      </w:r>
      <w:r>
        <w:rPr/>
        <w:t>youth</w:t>
      </w:r>
      <w:r>
        <w:rPr>
          <w:spacing w:val="-8"/>
        </w:rPr>
        <w:t> </w:t>
      </w:r>
      <w:r>
        <w:rPr/>
        <w:t>in</w:t>
      </w:r>
      <w:r>
        <w:rPr>
          <w:spacing w:val="-7"/>
        </w:rPr>
        <w:t> </w:t>
      </w:r>
      <w:r>
        <w:rPr/>
        <w:t>her</w:t>
      </w:r>
      <w:r>
        <w:rPr>
          <w:spacing w:val="-8"/>
        </w:rPr>
        <w:t> </w:t>
      </w:r>
      <w:r>
        <w:rPr/>
        <w:t>group</w:t>
      </w:r>
      <w:r>
        <w:rPr>
          <w:spacing w:val="-7"/>
        </w:rPr>
        <w:t> </w:t>
      </w:r>
      <w:r>
        <w:rPr/>
        <w:t>home</w:t>
      </w:r>
      <w:r>
        <w:rPr>
          <w:spacing w:val="-8"/>
        </w:rPr>
        <w:t> </w:t>
      </w:r>
      <w:r>
        <w:rPr/>
        <w:t>that</w:t>
      </w:r>
      <w:r>
        <w:rPr>
          <w:spacing w:val="-8"/>
        </w:rPr>
        <w:t> </w:t>
      </w:r>
      <w:r>
        <w:rPr/>
        <w:t>was</w:t>
      </w:r>
      <w:r>
        <w:rPr>
          <w:spacing w:val="-7"/>
        </w:rPr>
        <w:t> </w:t>
      </w:r>
      <w:r>
        <w:rPr/>
        <w:t>so</w:t>
      </w:r>
      <w:r>
        <w:rPr>
          <w:spacing w:val="-7"/>
        </w:rPr>
        <w:t> </w:t>
      </w:r>
      <w:r>
        <w:rPr/>
        <w:t>severe</w:t>
      </w:r>
      <w:r>
        <w:rPr>
          <w:spacing w:val="-8"/>
        </w:rPr>
        <w:t> </w:t>
      </w:r>
      <w:r>
        <w:rPr/>
        <w:t>that her subsequent caretaker filed a 51A.</w:t>
      </w:r>
    </w:p>
    <w:p>
      <w:pPr>
        <w:spacing w:after="0" w:line="276" w:lineRule="auto"/>
        <w:jc w:val="both"/>
        <w:sectPr>
          <w:pgSz w:w="12240" w:h="15840"/>
          <w:pgMar w:header="804" w:footer="1281" w:top="1000" w:bottom="1480" w:left="960" w:right="1100"/>
        </w:sectPr>
      </w:pPr>
    </w:p>
    <w:p>
      <w:pPr>
        <w:pStyle w:val="BodyText"/>
        <w:spacing w:before="77"/>
      </w:pPr>
    </w:p>
    <w:p>
      <w:pPr>
        <w:pStyle w:val="BodyText"/>
        <w:spacing w:line="276" w:lineRule="auto" w:before="1"/>
        <w:ind w:left="483" w:right="340"/>
        <w:jc w:val="both"/>
      </w:pPr>
      <w:r>
        <w:rPr/>
        <w:t>Massachusetts law gives the Child Advocate or their designee access to all facilities operated, licensed, and funded by an executive agency</w:t>
      </w:r>
      <w:hyperlink w:history="true" w:anchor="_bookmark661">
        <w:r>
          <w:rPr/>
          <w:t>.</w:t>
        </w:r>
        <w:r>
          <w:rPr>
            <w:vertAlign w:val="superscript"/>
          </w:rPr>
          <w:t>xi</w:t>
        </w:r>
      </w:hyperlink>
      <w:r>
        <w:rPr>
          <w:vertAlign w:val="baseline"/>
        </w:rPr>
        <w:t> Massachusetts law also tasks the OCA to “investigate and ensure that the highest quality of services and supports are provided to safeguard the health, safety and well- being of all children receiving services.” In its FY 2023 annual recommendations report, the Commission recommended</w:t>
      </w:r>
      <w:r>
        <w:rPr>
          <w:spacing w:val="-7"/>
          <w:vertAlign w:val="baseline"/>
        </w:rPr>
        <w:t> </w:t>
      </w:r>
      <w:r>
        <w:rPr>
          <w:vertAlign w:val="baseline"/>
        </w:rPr>
        <w:t>that</w:t>
      </w:r>
      <w:r>
        <w:rPr>
          <w:spacing w:val="-6"/>
          <w:vertAlign w:val="baseline"/>
        </w:rPr>
        <w:t> </w:t>
      </w:r>
      <w:r>
        <w:rPr>
          <w:vertAlign w:val="baseline"/>
        </w:rPr>
        <w:t>OCA</w:t>
      </w:r>
      <w:r>
        <w:rPr>
          <w:spacing w:val="-6"/>
          <w:vertAlign w:val="baseline"/>
        </w:rPr>
        <w:t> </w:t>
      </w:r>
      <w:r>
        <w:rPr>
          <w:vertAlign w:val="baseline"/>
        </w:rPr>
        <w:t>play</w:t>
      </w:r>
      <w:r>
        <w:rPr>
          <w:spacing w:val="-6"/>
          <w:vertAlign w:val="baseline"/>
        </w:rPr>
        <w:t> </w:t>
      </w:r>
      <w:r>
        <w:rPr>
          <w:vertAlign w:val="baseline"/>
        </w:rPr>
        <w:t>a</w:t>
      </w:r>
      <w:r>
        <w:rPr>
          <w:spacing w:val="-6"/>
          <w:vertAlign w:val="baseline"/>
        </w:rPr>
        <w:t> </w:t>
      </w:r>
      <w:r>
        <w:rPr>
          <w:vertAlign w:val="baseline"/>
        </w:rPr>
        <w:t>more</w:t>
      </w:r>
      <w:r>
        <w:rPr>
          <w:spacing w:val="-7"/>
          <w:vertAlign w:val="baseline"/>
        </w:rPr>
        <w:t> </w:t>
      </w:r>
      <w:r>
        <w:rPr>
          <w:vertAlign w:val="baseline"/>
        </w:rPr>
        <w:t>active</w:t>
      </w:r>
      <w:r>
        <w:rPr>
          <w:spacing w:val="-7"/>
          <w:vertAlign w:val="baseline"/>
        </w:rPr>
        <w:t> </w:t>
      </w:r>
      <w:r>
        <w:rPr>
          <w:vertAlign w:val="baseline"/>
        </w:rPr>
        <w:t>role</w:t>
      </w:r>
      <w:r>
        <w:rPr>
          <w:spacing w:val="-7"/>
          <w:vertAlign w:val="baseline"/>
        </w:rPr>
        <w:t> </w:t>
      </w:r>
      <w:r>
        <w:rPr>
          <w:vertAlign w:val="baseline"/>
        </w:rPr>
        <w:t>in</w:t>
      </w:r>
      <w:r>
        <w:rPr>
          <w:spacing w:val="-7"/>
          <w:vertAlign w:val="baseline"/>
        </w:rPr>
        <w:t> </w:t>
      </w:r>
      <w:r>
        <w:rPr>
          <w:vertAlign w:val="baseline"/>
        </w:rPr>
        <w:t>providing</w:t>
      </w:r>
      <w:r>
        <w:rPr>
          <w:spacing w:val="-7"/>
          <w:vertAlign w:val="baseline"/>
        </w:rPr>
        <w:t> </w:t>
      </w:r>
      <w:r>
        <w:rPr>
          <w:vertAlign w:val="baseline"/>
        </w:rPr>
        <w:t>oversight</w:t>
      </w:r>
      <w:r>
        <w:rPr>
          <w:spacing w:val="-7"/>
          <w:vertAlign w:val="baseline"/>
        </w:rPr>
        <w:t> </w:t>
      </w:r>
      <w:r>
        <w:rPr>
          <w:vertAlign w:val="baseline"/>
        </w:rPr>
        <w:t>of</w:t>
      </w:r>
      <w:r>
        <w:rPr>
          <w:spacing w:val="-6"/>
          <w:vertAlign w:val="baseline"/>
        </w:rPr>
        <w:t> </w:t>
      </w:r>
      <w:r>
        <w:rPr>
          <w:vertAlign w:val="baseline"/>
        </w:rPr>
        <w:t>congregate</w:t>
      </w:r>
      <w:r>
        <w:rPr>
          <w:spacing w:val="-7"/>
          <w:vertAlign w:val="baseline"/>
        </w:rPr>
        <w:t> </w:t>
      </w:r>
      <w:r>
        <w:rPr>
          <w:vertAlign w:val="baseline"/>
        </w:rPr>
        <w:t>care</w:t>
      </w:r>
      <w:r>
        <w:rPr>
          <w:spacing w:val="-7"/>
          <w:vertAlign w:val="baseline"/>
        </w:rPr>
        <w:t> </w:t>
      </w:r>
      <w:r>
        <w:rPr>
          <w:vertAlign w:val="baseline"/>
        </w:rPr>
        <w:t>facilities,</w:t>
      </w:r>
      <w:r>
        <w:rPr>
          <w:spacing w:val="-6"/>
          <w:vertAlign w:val="baseline"/>
        </w:rPr>
        <w:t> </w:t>
      </w:r>
      <w:r>
        <w:rPr>
          <w:vertAlign w:val="baseline"/>
        </w:rPr>
        <w:t>and</w:t>
      </w:r>
      <w:r>
        <w:rPr>
          <w:spacing w:val="-7"/>
          <w:vertAlign w:val="baseline"/>
        </w:rPr>
        <w:t> </w:t>
      </w:r>
      <w:r>
        <w:rPr>
          <w:vertAlign w:val="baseline"/>
        </w:rPr>
        <w:t>in FY</w:t>
      </w:r>
      <w:r>
        <w:rPr>
          <w:spacing w:val="-12"/>
          <w:vertAlign w:val="baseline"/>
        </w:rPr>
        <w:t> </w:t>
      </w:r>
      <w:r>
        <w:rPr>
          <w:vertAlign w:val="baseline"/>
        </w:rPr>
        <w:t>2024</w:t>
      </w:r>
      <w:r>
        <w:rPr>
          <w:spacing w:val="-10"/>
          <w:vertAlign w:val="baseline"/>
        </w:rPr>
        <w:t> </w:t>
      </w:r>
      <w:r>
        <w:rPr>
          <w:vertAlign w:val="baseline"/>
        </w:rPr>
        <w:t>recommended</w:t>
      </w:r>
      <w:r>
        <w:rPr>
          <w:spacing w:val="-9"/>
          <w:vertAlign w:val="baseline"/>
        </w:rPr>
        <w:t> </w:t>
      </w:r>
      <w:r>
        <w:rPr>
          <w:vertAlign w:val="baseline"/>
        </w:rPr>
        <w:t>that</w:t>
      </w:r>
      <w:r>
        <w:rPr>
          <w:spacing w:val="-12"/>
          <w:vertAlign w:val="baseline"/>
        </w:rPr>
        <w:t> </w:t>
      </w:r>
      <w:r>
        <w:rPr>
          <w:vertAlign w:val="baseline"/>
        </w:rPr>
        <w:t>the</w:t>
      </w:r>
      <w:r>
        <w:rPr>
          <w:spacing w:val="-10"/>
          <w:vertAlign w:val="baseline"/>
        </w:rPr>
        <w:t> </w:t>
      </w:r>
      <w:r>
        <w:rPr>
          <w:vertAlign w:val="baseline"/>
        </w:rPr>
        <w:t>OCA</w:t>
      </w:r>
      <w:r>
        <w:rPr>
          <w:spacing w:val="-10"/>
          <w:vertAlign w:val="baseline"/>
        </w:rPr>
        <w:t> </w:t>
      </w:r>
      <w:r>
        <w:rPr>
          <w:vertAlign w:val="baseline"/>
        </w:rPr>
        <w:t>implement</w:t>
      </w:r>
      <w:r>
        <w:rPr>
          <w:spacing w:val="-11"/>
          <w:vertAlign w:val="baseline"/>
        </w:rPr>
        <w:t> </w:t>
      </w:r>
      <w:r>
        <w:rPr>
          <w:vertAlign w:val="baseline"/>
        </w:rPr>
        <w:t>a</w:t>
      </w:r>
      <w:r>
        <w:rPr>
          <w:spacing w:val="-10"/>
          <w:vertAlign w:val="baseline"/>
        </w:rPr>
        <w:t> </w:t>
      </w:r>
      <w:r>
        <w:rPr>
          <w:vertAlign w:val="baseline"/>
        </w:rPr>
        <w:t>plan</w:t>
      </w:r>
      <w:r>
        <w:rPr>
          <w:spacing w:val="-11"/>
          <w:vertAlign w:val="baseline"/>
        </w:rPr>
        <w:t> </w:t>
      </w:r>
      <w:r>
        <w:rPr>
          <w:vertAlign w:val="baseline"/>
        </w:rPr>
        <w:t>for</w:t>
      </w:r>
      <w:r>
        <w:rPr>
          <w:spacing w:val="-10"/>
          <w:vertAlign w:val="baseline"/>
        </w:rPr>
        <w:t> </w:t>
      </w:r>
      <w:r>
        <w:rPr>
          <w:vertAlign w:val="baseline"/>
        </w:rPr>
        <w:t>visits</w:t>
      </w:r>
      <w:r>
        <w:rPr>
          <w:spacing w:val="-10"/>
          <w:vertAlign w:val="baseline"/>
        </w:rPr>
        <w:t> </w:t>
      </w:r>
      <w:r>
        <w:rPr>
          <w:vertAlign w:val="baseline"/>
        </w:rPr>
        <w:t>to</w:t>
      </w:r>
      <w:r>
        <w:rPr>
          <w:spacing w:val="-10"/>
          <w:vertAlign w:val="baseline"/>
        </w:rPr>
        <w:t> </w:t>
      </w:r>
      <w:r>
        <w:rPr>
          <w:vertAlign w:val="baseline"/>
        </w:rPr>
        <w:t>congregate</w:t>
      </w:r>
      <w:r>
        <w:rPr>
          <w:spacing w:val="-10"/>
          <w:vertAlign w:val="baseline"/>
        </w:rPr>
        <w:t> </w:t>
      </w:r>
      <w:r>
        <w:rPr>
          <w:vertAlign w:val="baseline"/>
        </w:rPr>
        <w:t>care</w:t>
      </w:r>
      <w:r>
        <w:rPr>
          <w:spacing w:val="-11"/>
          <w:vertAlign w:val="baseline"/>
        </w:rPr>
        <w:t> </w:t>
      </w:r>
      <w:r>
        <w:rPr>
          <w:vertAlign w:val="baseline"/>
        </w:rPr>
        <w:t>facilities</w:t>
      </w:r>
      <w:r>
        <w:rPr>
          <w:spacing w:val="-10"/>
          <w:vertAlign w:val="baseline"/>
        </w:rPr>
        <w:t> </w:t>
      </w:r>
      <w:r>
        <w:rPr>
          <w:vertAlign w:val="baseline"/>
        </w:rPr>
        <w:t>to</w:t>
      </w:r>
      <w:r>
        <w:rPr>
          <w:spacing w:val="-11"/>
          <w:vertAlign w:val="baseline"/>
        </w:rPr>
        <w:t> </w:t>
      </w:r>
      <w:r>
        <w:rPr>
          <w:vertAlign w:val="baseline"/>
        </w:rPr>
        <w:t>investigate the policies and practices of each facility. In May and September 2023, the OCA expressed its disagreement</w:t>
      </w:r>
      <w:r>
        <w:rPr>
          <w:spacing w:val="-13"/>
          <w:vertAlign w:val="baseline"/>
        </w:rPr>
        <w:t> </w:t>
      </w:r>
      <w:r>
        <w:rPr>
          <w:vertAlign w:val="baseline"/>
        </w:rPr>
        <w:t>with</w:t>
      </w:r>
      <w:r>
        <w:rPr>
          <w:spacing w:val="-12"/>
          <w:vertAlign w:val="baseline"/>
        </w:rPr>
        <w:t> </w:t>
      </w:r>
      <w:r>
        <w:rPr>
          <w:vertAlign w:val="baseline"/>
        </w:rPr>
        <w:t>this</w:t>
      </w:r>
      <w:r>
        <w:rPr>
          <w:spacing w:val="-13"/>
          <w:vertAlign w:val="baseline"/>
        </w:rPr>
        <w:t> </w:t>
      </w:r>
      <w:r>
        <w:rPr>
          <w:vertAlign w:val="baseline"/>
        </w:rPr>
        <w:t>recommendation</w:t>
      </w:r>
      <w:r>
        <w:rPr>
          <w:spacing w:val="-12"/>
          <w:vertAlign w:val="baseline"/>
        </w:rPr>
        <w:t> </w:t>
      </w:r>
      <w:r>
        <w:rPr>
          <w:vertAlign w:val="baseline"/>
        </w:rPr>
        <w:t>and</w:t>
      </w:r>
      <w:r>
        <w:rPr>
          <w:spacing w:val="-13"/>
          <w:vertAlign w:val="baseline"/>
        </w:rPr>
        <w:t> </w:t>
      </w:r>
      <w:r>
        <w:rPr>
          <w:vertAlign w:val="baseline"/>
        </w:rPr>
        <w:t>shared</w:t>
      </w:r>
      <w:r>
        <w:rPr>
          <w:spacing w:val="-12"/>
          <w:vertAlign w:val="baseline"/>
        </w:rPr>
        <w:t> </w:t>
      </w:r>
      <w:r>
        <w:rPr>
          <w:vertAlign w:val="baseline"/>
        </w:rPr>
        <w:t>that</w:t>
      </w:r>
      <w:r>
        <w:rPr>
          <w:spacing w:val="-13"/>
          <w:vertAlign w:val="baseline"/>
        </w:rPr>
        <w:t> </w:t>
      </w:r>
      <w:r>
        <w:rPr>
          <w:vertAlign w:val="baseline"/>
        </w:rPr>
        <w:t>it</w:t>
      </w:r>
      <w:r>
        <w:rPr>
          <w:spacing w:val="-12"/>
          <w:vertAlign w:val="baseline"/>
        </w:rPr>
        <w:t> </w:t>
      </w:r>
      <w:r>
        <w:rPr>
          <w:vertAlign w:val="baseline"/>
        </w:rPr>
        <w:t>does</w:t>
      </w:r>
      <w:r>
        <w:rPr>
          <w:spacing w:val="-12"/>
          <w:vertAlign w:val="baseline"/>
        </w:rPr>
        <w:t> </w:t>
      </w:r>
      <w:r>
        <w:rPr>
          <w:vertAlign w:val="baseline"/>
        </w:rPr>
        <w:t>not</w:t>
      </w:r>
      <w:r>
        <w:rPr>
          <w:spacing w:val="-13"/>
          <w:vertAlign w:val="baseline"/>
        </w:rPr>
        <w:t> </w:t>
      </w:r>
      <w:r>
        <w:rPr>
          <w:vertAlign w:val="baseline"/>
        </w:rPr>
        <w:t>believe</w:t>
      </w:r>
      <w:r>
        <w:rPr>
          <w:spacing w:val="-12"/>
          <w:vertAlign w:val="baseline"/>
        </w:rPr>
        <w:t> </w:t>
      </w:r>
      <w:r>
        <w:rPr>
          <w:vertAlign w:val="baseline"/>
        </w:rPr>
        <w:t>that</w:t>
      </w:r>
      <w:r>
        <w:rPr>
          <w:spacing w:val="-13"/>
          <w:vertAlign w:val="baseline"/>
        </w:rPr>
        <w:t> </w:t>
      </w:r>
      <w:r>
        <w:rPr>
          <w:vertAlign w:val="baseline"/>
        </w:rPr>
        <w:t>it</w:t>
      </w:r>
      <w:r>
        <w:rPr>
          <w:spacing w:val="-12"/>
          <w:vertAlign w:val="baseline"/>
        </w:rPr>
        <w:t> </w:t>
      </w:r>
      <w:r>
        <w:rPr>
          <w:vertAlign w:val="baseline"/>
        </w:rPr>
        <w:t>is</w:t>
      </w:r>
      <w:r>
        <w:rPr>
          <w:spacing w:val="-13"/>
          <w:vertAlign w:val="baseline"/>
        </w:rPr>
        <w:t> </w:t>
      </w:r>
      <w:r>
        <w:rPr>
          <w:vertAlign w:val="baseline"/>
        </w:rPr>
        <w:t>statutorily</w:t>
      </w:r>
      <w:r>
        <w:rPr>
          <w:spacing w:val="-12"/>
          <w:vertAlign w:val="baseline"/>
        </w:rPr>
        <w:t> </w:t>
      </w:r>
      <w:r>
        <w:rPr>
          <w:vertAlign w:val="baseline"/>
        </w:rPr>
        <w:t>mandated to</w:t>
      </w:r>
      <w:r>
        <w:rPr>
          <w:spacing w:val="-7"/>
          <w:vertAlign w:val="baseline"/>
        </w:rPr>
        <w:t> </w:t>
      </w:r>
      <w:r>
        <w:rPr>
          <w:vertAlign w:val="baseline"/>
        </w:rPr>
        <w:t>visit</w:t>
      </w:r>
      <w:r>
        <w:rPr>
          <w:spacing w:val="-8"/>
          <w:vertAlign w:val="baseline"/>
        </w:rPr>
        <w:t> </w:t>
      </w:r>
      <w:r>
        <w:rPr>
          <w:vertAlign w:val="baseline"/>
        </w:rPr>
        <w:t>facilities</w:t>
      </w:r>
      <w:r>
        <w:rPr>
          <w:spacing w:val="-7"/>
          <w:vertAlign w:val="baseline"/>
        </w:rPr>
        <w:t> </w:t>
      </w:r>
      <w:r>
        <w:rPr>
          <w:vertAlign w:val="baseline"/>
        </w:rPr>
        <w:t>in</w:t>
      </w:r>
      <w:r>
        <w:rPr>
          <w:spacing w:val="-8"/>
          <w:vertAlign w:val="baseline"/>
        </w:rPr>
        <w:t> </w:t>
      </w:r>
      <w:r>
        <w:rPr>
          <w:vertAlign w:val="baseline"/>
        </w:rPr>
        <w:t>order</w:t>
      </w:r>
      <w:r>
        <w:rPr>
          <w:spacing w:val="-8"/>
          <w:vertAlign w:val="baseline"/>
        </w:rPr>
        <w:t> </w:t>
      </w:r>
      <w:r>
        <w:rPr>
          <w:vertAlign w:val="baseline"/>
        </w:rPr>
        <w:t>to</w:t>
      </w:r>
      <w:r>
        <w:rPr>
          <w:spacing w:val="-5"/>
          <w:vertAlign w:val="baseline"/>
        </w:rPr>
        <w:t> </w:t>
      </w:r>
      <w:r>
        <w:rPr>
          <w:vertAlign w:val="baseline"/>
        </w:rPr>
        <w:t>fulfill</w:t>
      </w:r>
      <w:r>
        <w:rPr>
          <w:spacing w:val="-8"/>
          <w:vertAlign w:val="baseline"/>
        </w:rPr>
        <w:t> </w:t>
      </w:r>
      <w:r>
        <w:rPr>
          <w:vertAlign w:val="baseline"/>
        </w:rPr>
        <w:t>its</w:t>
      </w:r>
      <w:r>
        <w:rPr>
          <w:spacing w:val="-7"/>
          <w:vertAlign w:val="baseline"/>
        </w:rPr>
        <w:t> </w:t>
      </w:r>
      <w:r>
        <w:rPr>
          <w:vertAlign w:val="baseline"/>
        </w:rPr>
        <w:t>statutory</w:t>
      </w:r>
      <w:r>
        <w:rPr>
          <w:spacing w:val="-8"/>
          <w:vertAlign w:val="baseline"/>
        </w:rPr>
        <w:t> </w:t>
      </w:r>
      <w:r>
        <w:rPr>
          <w:vertAlign w:val="baseline"/>
        </w:rPr>
        <w:t>obligations.</w:t>
      </w:r>
      <w:r>
        <w:rPr>
          <w:spacing w:val="-8"/>
          <w:vertAlign w:val="baseline"/>
        </w:rPr>
        <w:t> </w:t>
      </w:r>
      <w:r>
        <w:rPr>
          <w:vertAlign w:val="baseline"/>
        </w:rPr>
        <w:t>While</w:t>
      </w:r>
      <w:r>
        <w:rPr>
          <w:spacing w:val="-7"/>
          <w:vertAlign w:val="baseline"/>
        </w:rPr>
        <w:t> </w:t>
      </w:r>
      <w:r>
        <w:rPr>
          <w:vertAlign w:val="baseline"/>
        </w:rPr>
        <w:t>OCA</w:t>
      </w:r>
      <w:r>
        <w:rPr>
          <w:spacing w:val="-8"/>
          <w:vertAlign w:val="baseline"/>
        </w:rPr>
        <w:t> </w:t>
      </w:r>
      <w:r>
        <w:rPr>
          <w:vertAlign w:val="baseline"/>
        </w:rPr>
        <w:t>acknowledges</w:t>
      </w:r>
      <w:r>
        <w:rPr>
          <w:spacing w:val="-7"/>
          <w:vertAlign w:val="baseline"/>
        </w:rPr>
        <w:t> </w:t>
      </w:r>
      <w:r>
        <w:rPr>
          <w:vertAlign w:val="baseline"/>
        </w:rPr>
        <w:t>that</w:t>
      </w:r>
      <w:r>
        <w:rPr>
          <w:spacing w:val="-7"/>
          <w:vertAlign w:val="baseline"/>
        </w:rPr>
        <w:t> </w:t>
      </w:r>
      <w:r>
        <w:rPr>
          <w:vertAlign w:val="baseline"/>
        </w:rPr>
        <w:t>they</w:t>
      </w:r>
      <w:r>
        <w:rPr>
          <w:spacing w:val="-5"/>
          <w:vertAlign w:val="baseline"/>
        </w:rPr>
        <w:t> </w:t>
      </w:r>
      <w:r>
        <w:rPr>
          <w:vertAlign w:val="baseline"/>
        </w:rPr>
        <w:t>do</w:t>
      </w:r>
      <w:r>
        <w:rPr>
          <w:spacing w:val="-7"/>
          <w:vertAlign w:val="baseline"/>
        </w:rPr>
        <w:t> </w:t>
      </w:r>
      <w:r>
        <w:rPr>
          <w:vertAlign w:val="baseline"/>
        </w:rPr>
        <w:t>have</w:t>
      </w:r>
      <w:r>
        <w:rPr>
          <w:spacing w:val="-7"/>
          <w:vertAlign w:val="baseline"/>
        </w:rPr>
        <w:t> </w:t>
      </w:r>
      <w:r>
        <w:rPr>
          <w:vertAlign w:val="baseline"/>
        </w:rPr>
        <w:t>this authority</w:t>
      </w:r>
      <w:r>
        <w:rPr>
          <w:spacing w:val="-2"/>
          <w:vertAlign w:val="baseline"/>
        </w:rPr>
        <w:t> </w:t>
      </w:r>
      <w:r>
        <w:rPr>
          <w:vertAlign w:val="baseline"/>
        </w:rPr>
        <w:t>to</w:t>
      </w:r>
      <w:r>
        <w:rPr>
          <w:spacing w:val="-1"/>
          <w:vertAlign w:val="baseline"/>
        </w:rPr>
        <w:t> </w:t>
      </w:r>
      <w:r>
        <w:rPr>
          <w:vertAlign w:val="baseline"/>
        </w:rPr>
        <w:t>visit</w:t>
      </w:r>
      <w:r>
        <w:rPr>
          <w:spacing w:val="-2"/>
          <w:vertAlign w:val="baseline"/>
        </w:rPr>
        <w:t> </w:t>
      </w:r>
      <w:r>
        <w:rPr>
          <w:vertAlign w:val="baseline"/>
        </w:rPr>
        <w:t>congregate</w:t>
      </w:r>
      <w:r>
        <w:rPr>
          <w:spacing w:val="-2"/>
          <w:vertAlign w:val="baseline"/>
        </w:rPr>
        <w:t> </w:t>
      </w:r>
      <w:r>
        <w:rPr>
          <w:vertAlign w:val="baseline"/>
        </w:rPr>
        <w:t>care</w:t>
      </w:r>
      <w:r>
        <w:rPr>
          <w:spacing w:val="-2"/>
          <w:vertAlign w:val="baseline"/>
        </w:rPr>
        <w:t> </w:t>
      </w:r>
      <w:r>
        <w:rPr>
          <w:vertAlign w:val="baseline"/>
        </w:rPr>
        <w:t>facilities,</w:t>
      </w:r>
      <w:r>
        <w:rPr>
          <w:spacing w:val="-2"/>
          <w:vertAlign w:val="baseline"/>
        </w:rPr>
        <w:t> </w:t>
      </w:r>
      <w:r>
        <w:rPr>
          <w:vertAlign w:val="baseline"/>
        </w:rPr>
        <w:t>it</w:t>
      </w:r>
      <w:r>
        <w:rPr>
          <w:spacing w:val="-2"/>
          <w:vertAlign w:val="baseline"/>
        </w:rPr>
        <w:t> </w:t>
      </w:r>
      <w:r>
        <w:rPr>
          <w:vertAlign w:val="baseline"/>
        </w:rPr>
        <w:t>notes</w:t>
      </w:r>
      <w:r>
        <w:rPr>
          <w:spacing w:val="-1"/>
          <w:vertAlign w:val="baseline"/>
        </w:rPr>
        <w:t> </w:t>
      </w:r>
      <w:r>
        <w:rPr>
          <w:vertAlign w:val="baseline"/>
        </w:rPr>
        <w:t>that</w:t>
      </w:r>
      <w:r>
        <w:rPr>
          <w:spacing w:val="-2"/>
          <w:vertAlign w:val="baseline"/>
        </w:rPr>
        <w:t> </w:t>
      </w:r>
      <w:r>
        <w:rPr>
          <w:vertAlign w:val="baseline"/>
        </w:rPr>
        <w:t>it</w:t>
      </w:r>
      <w:r>
        <w:rPr>
          <w:spacing w:val="-2"/>
          <w:vertAlign w:val="baseline"/>
        </w:rPr>
        <w:t> </w:t>
      </w:r>
      <w:r>
        <w:rPr>
          <w:vertAlign w:val="baseline"/>
        </w:rPr>
        <w:t>reserves this</w:t>
      </w:r>
      <w:r>
        <w:rPr>
          <w:spacing w:val="-1"/>
          <w:vertAlign w:val="baseline"/>
        </w:rPr>
        <w:t> </w:t>
      </w:r>
      <w:r>
        <w:rPr>
          <w:vertAlign w:val="baseline"/>
        </w:rPr>
        <w:t>ability for</w:t>
      </w:r>
      <w:r>
        <w:rPr>
          <w:spacing w:val="-2"/>
          <w:vertAlign w:val="baseline"/>
        </w:rPr>
        <w:t> </w:t>
      </w:r>
      <w:r>
        <w:rPr>
          <w:vertAlign w:val="baseline"/>
        </w:rPr>
        <w:t>situations</w:t>
      </w:r>
      <w:r>
        <w:rPr>
          <w:spacing w:val="-1"/>
          <w:vertAlign w:val="baseline"/>
        </w:rPr>
        <w:t> </w:t>
      </w:r>
      <w:r>
        <w:rPr>
          <w:vertAlign w:val="baseline"/>
        </w:rPr>
        <w:t>that</w:t>
      </w:r>
      <w:r>
        <w:rPr>
          <w:spacing w:val="-2"/>
          <w:vertAlign w:val="baseline"/>
        </w:rPr>
        <w:t> </w:t>
      </w:r>
      <w:r>
        <w:rPr>
          <w:vertAlign w:val="baseline"/>
        </w:rPr>
        <w:t>the</w:t>
      </w:r>
      <w:r>
        <w:rPr>
          <w:spacing w:val="-2"/>
          <w:vertAlign w:val="baseline"/>
        </w:rPr>
        <w:t> </w:t>
      </w:r>
      <w:r>
        <w:rPr>
          <w:vertAlign w:val="baseline"/>
        </w:rPr>
        <w:t>OCA believes</w:t>
      </w:r>
      <w:r>
        <w:rPr>
          <w:spacing w:val="-5"/>
          <w:vertAlign w:val="baseline"/>
        </w:rPr>
        <w:t> </w:t>
      </w:r>
      <w:r>
        <w:rPr>
          <w:vertAlign w:val="baseline"/>
        </w:rPr>
        <w:t>would</w:t>
      </w:r>
      <w:r>
        <w:rPr>
          <w:spacing w:val="-6"/>
          <w:vertAlign w:val="baseline"/>
        </w:rPr>
        <w:t> </w:t>
      </w:r>
      <w:r>
        <w:rPr>
          <w:vertAlign w:val="baseline"/>
        </w:rPr>
        <w:t>be</w:t>
      </w:r>
      <w:r>
        <w:rPr>
          <w:spacing w:val="-6"/>
          <w:vertAlign w:val="baseline"/>
        </w:rPr>
        <w:t> </w:t>
      </w:r>
      <w:r>
        <w:rPr>
          <w:vertAlign w:val="baseline"/>
        </w:rPr>
        <w:t>appropriate</w:t>
      </w:r>
      <w:r>
        <w:rPr>
          <w:spacing w:val="-6"/>
          <w:vertAlign w:val="baseline"/>
        </w:rPr>
        <w:t> </w:t>
      </w:r>
      <w:r>
        <w:rPr>
          <w:vertAlign w:val="baseline"/>
        </w:rPr>
        <w:t>and</w:t>
      </w:r>
      <w:r>
        <w:rPr>
          <w:spacing w:val="-4"/>
          <w:vertAlign w:val="baseline"/>
        </w:rPr>
        <w:t> </w:t>
      </w:r>
      <w:r>
        <w:rPr>
          <w:vertAlign w:val="baseline"/>
        </w:rPr>
        <w:t>effective.</w:t>
      </w:r>
      <w:r>
        <w:rPr>
          <w:spacing w:val="-6"/>
          <w:vertAlign w:val="baseline"/>
        </w:rPr>
        <w:t> </w:t>
      </w:r>
      <w:r>
        <w:rPr>
          <w:vertAlign w:val="baseline"/>
        </w:rPr>
        <w:t>In</w:t>
      </w:r>
      <w:r>
        <w:rPr>
          <w:spacing w:val="-6"/>
          <w:vertAlign w:val="baseline"/>
        </w:rPr>
        <w:t> </w:t>
      </w:r>
      <w:r>
        <w:rPr>
          <w:vertAlign w:val="baseline"/>
        </w:rPr>
        <w:t>its</w:t>
      </w:r>
      <w:r>
        <w:rPr>
          <w:spacing w:val="-5"/>
          <w:vertAlign w:val="baseline"/>
        </w:rPr>
        <w:t> </w:t>
      </w:r>
      <w:r>
        <w:rPr>
          <w:vertAlign w:val="baseline"/>
        </w:rPr>
        <w:t>letter</w:t>
      </w:r>
      <w:r>
        <w:rPr>
          <w:spacing w:val="-5"/>
          <w:vertAlign w:val="baseline"/>
        </w:rPr>
        <w:t> </w:t>
      </w:r>
      <w:r>
        <w:rPr>
          <w:vertAlign w:val="baseline"/>
        </w:rPr>
        <w:t>of</w:t>
      </w:r>
      <w:r>
        <w:rPr>
          <w:spacing w:val="-5"/>
          <w:vertAlign w:val="baseline"/>
        </w:rPr>
        <w:t> </w:t>
      </w:r>
      <w:r>
        <w:rPr>
          <w:vertAlign w:val="baseline"/>
        </w:rPr>
        <w:t>response</w:t>
      </w:r>
      <w:r>
        <w:rPr>
          <w:spacing w:val="-6"/>
          <w:vertAlign w:val="baseline"/>
        </w:rPr>
        <w:t> </w:t>
      </w:r>
      <w:r>
        <w:rPr>
          <w:vertAlign w:val="baseline"/>
        </w:rPr>
        <w:t>to</w:t>
      </w:r>
      <w:r>
        <w:rPr>
          <w:spacing w:val="-5"/>
          <w:vertAlign w:val="baseline"/>
        </w:rPr>
        <w:t> </w:t>
      </w:r>
      <w:r>
        <w:rPr>
          <w:vertAlign w:val="baseline"/>
        </w:rPr>
        <w:t>the</w:t>
      </w:r>
      <w:r>
        <w:rPr>
          <w:spacing w:val="-6"/>
          <w:vertAlign w:val="baseline"/>
        </w:rPr>
        <w:t> </w:t>
      </w:r>
      <w:r>
        <w:rPr>
          <w:vertAlign w:val="baseline"/>
        </w:rPr>
        <w:t>Commission</w:t>
      </w:r>
      <w:r>
        <w:rPr>
          <w:spacing w:val="-6"/>
          <w:vertAlign w:val="baseline"/>
        </w:rPr>
        <w:t> </w:t>
      </w:r>
      <w:r>
        <w:rPr>
          <w:vertAlign w:val="baseline"/>
        </w:rPr>
        <w:t>in</w:t>
      </w:r>
      <w:r>
        <w:rPr>
          <w:spacing w:val="-6"/>
          <w:vertAlign w:val="baseline"/>
        </w:rPr>
        <w:t> </w:t>
      </w:r>
      <w:r>
        <w:rPr>
          <w:vertAlign w:val="baseline"/>
        </w:rPr>
        <w:t>May</w:t>
      </w:r>
      <w:r>
        <w:rPr>
          <w:spacing w:val="-5"/>
          <w:vertAlign w:val="baseline"/>
        </w:rPr>
        <w:t> </w:t>
      </w:r>
      <w:r>
        <w:rPr>
          <w:vertAlign w:val="baseline"/>
        </w:rPr>
        <w:t>2023,</w:t>
      </w:r>
      <w:r>
        <w:rPr>
          <w:spacing w:val="-5"/>
          <w:vertAlign w:val="baseline"/>
        </w:rPr>
        <w:t> </w:t>
      </w:r>
      <w:r>
        <w:rPr>
          <w:vertAlign w:val="baseline"/>
        </w:rPr>
        <w:t>the OCA noted that it does not believe that - given there are over 300 programs - visiting every congregate care program would be an effective use of the OCA’s staff time and resources, and could potentially do more</w:t>
      </w:r>
      <w:r>
        <w:rPr>
          <w:spacing w:val="-5"/>
          <w:vertAlign w:val="baseline"/>
        </w:rPr>
        <w:t> </w:t>
      </w:r>
      <w:r>
        <w:rPr>
          <w:vertAlign w:val="baseline"/>
        </w:rPr>
        <w:t>harm</w:t>
      </w:r>
      <w:r>
        <w:rPr>
          <w:spacing w:val="-5"/>
          <w:vertAlign w:val="baseline"/>
        </w:rPr>
        <w:t> </w:t>
      </w:r>
      <w:r>
        <w:rPr>
          <w:vertAlign w:val="baseline"/>
        </w:rPr>
        <w:t>than</w:t>
      </w:r>
      <w:r>
        <w:rPr>
          <w:spacing w:val="-5"/>
          <w:vertAlign w:val="baseline"/>
        </w:rPr>
        <w:t> </w:t>
      </w:r>
      <w:r>
        <w:rPr>
          <w:vertAlign w:val="baseline"/>
        </w:rPr>
        <w:t>good,</w:t>
      </w:r>
      <w:r>
        <w:rPr>
          <w:spacing w:val="-5"/>
          <w:vertAlign w:val="baseline"/>
        </w:rPr>
        <w:t> </w:t>
      </w:r>
      <w:r>
        <w:rPr>
          <w:vertAlign w:val="baseline"/>
        </w:rPr>
        <w:t>particularly</w:t>
      </w:r>
      <w:r>
        <w:rPr>
          <w:spacing w:val="-4"/>
          <w:vertAlign w:val="baseline"/>
        </w:rPr>
        <w:t> </w:t>
      </w:r>
      <w:r>
        <w:rPr>
          <w:vertAlign w:val="baseline"/>
        </w:rPr>
        <w:t>given</w:t>
      </w:r>
      <w:r>
        <w:rPr>
          <w:spacing w:val="-5"/>
          <w:vertAlign w:val="baseline"/>
        </w:rPr>
        <w:t> </w:t>
      </w:r>
      <w:r>
        <w:rPr>
          <w:vertAlign w:val="baseline"/>
        </w:rPr>
        <w:t>the</w:t>
      </w:r>
      <w:r>
        <w:rPr>
          <w:spacing w:val="-4"/>
          <w:vertAlign w:val="baseline"/>
        </w:rPr>
        <w:t> </w:t>
      </w:r>
      <w:r>
        <w:rPr>
          <w:vertAlign w:val="baseline"/>
        </w:rPr>
        <w:t>OCA’s</w:t>
      </w:r>
      <w:r>
        <w:rPr>
          <w:spacing w:val="-5"/>
          <w:vertAlign w:val="baseline"/>
        </w:rPr>
        <w:t> </w:t>
      </w:r>
      <w:r>
        <w:rPr>
          <w:vertAlign w:val="baseline"/>
        </w:rPr>
        <w:t>commitment</w:t>
      </w:r>
      <w:r>
        <w:rPr>
          <w:spacing w:val="-4"/>
          <w:vertAlign w:val="baseline"/>
        </w:rPr>
        <w:t> </w:t>
      </w:r>
      <w:r>
        <w:rPr>
          <w:vertAlign w:val="baseline"/>
        </w:rPr>
        <w:t>to</w:t>
      </w:r>
      <w:r>
        <w:rPr>
          <w:spacing w:val="-5"/>
          <w:vertAlign w:val="baseline"/>
        </w:rPr>
        <w:t> </w:t>
      </w:r>
      <w:r>
        <w:rPr>
          <w:vertAlign w:val="baseline"/>
        </w:rPr>
        <w:t>collaboration</w:t>
      </w:r>
      <w:r>
        <w:rPr>
          <w:spacing w:val="-5"/>
          <w:vertAlign w:val="baseline"/>
        </w:rPr>
        <w:t> </w:t>
      </w:r>
      <w:r>
        <w:rPr>
          <w:vertAlign w:val="baseline"/>
        </w:rPr>
        <w:t>with</w:t>
      </w:r>
      <w:r>
        <w:rPr>
          <w:spacing w:val="-5"/>
          <w:vertAlign w:val="baseline"/>
        </w:rPr>
        <w:t> </w:t>
      </w:r>
      <w:r>
        <w:rPr>
          <w:vertAlign w:val="baseline"/>
        </w:rPr>
        <w:t>state</w:t>
      </w:r>
      <w:r>
        <w:rPr>
          <w:spacing w:val="-4"/>
          <w:vertAlign w:val="baseline"/>
        </w:rPr>
        <w:t> </w:t>
      </w:r>
      <w:r>
        <w:rPr>
          <w:vertAlign w:val="baseline"/>
        </w:rPr>
        <w:t>agencies</w:t>
      </w:r>
      <w:r>
        <w:rPr>
          <w:spacing w:val="-5"/>
          <w:vertAlign w:val="baseline"/>
        </w:rPr>
        <w:t> </w:t>
      </w:r>
      <w:r>
        <w:rPr>
          <w:vertAlign w:val="baseline"/>
        </w:rPr>
        <w:t>and external provider organizations.</w:t>
      </w:r>
    </w:p>
    <w:p>
      <w:pPr>
        <w:pStyle w:val="BodyText"/>
        <w:spacing w:line="276" w:lineRule="auto" w:before="240"/>
        <w:ind w:left="483" w:right="341"/>
        <w:jc w:val="both"/>
      </w:pPr>
      <w:r>
        <w:rPr/>
        <w:t>The OCA further noted that, as EEC is responsible for the licensing of residential programs - and part of this</w:t>
      </w:r>
      <w:r>
        <w:rPr>
          <w:spacing w:val="-4"/>
        </w:rPr>
        <w:t> </w:t>
      </w:r>
      <w:r>
        <w:rPr/>
        <w:t>process</w:t>
      </w:r>
      <w:r>
        <w:rPr>
          <w:spacing w:val="-4"/>
        </w:rPr>
        <w:t> </w:t>
      </w:r>
      <w:r>
        <w:rPr/>
        <w:t>includes</w:t>
      </w:r>
      <w:r>
        <w:rPr>
          <w:spacing w:val="-4"/>
        </w:rPr>
        <w:t> </w:t>
      </w:r>
      <w:r>
        <w:rPr/>
        <w:t>regular</w:t>
      </w:r>
      <w:r>
        <w:rPr>
          <w:spacing w:val="-4"/>
        </w:rPr>
        <w:t> </w:t>
      </w:r>
      <w:r>
        <w:rPr/>
        <w:t>visits</w:t>
      </w:r>
      <w:r>
        <w:rPr>
          <w:spacing w:val="-4"/>
        </w:rPr>
        <w:t> </w:t>
      </w:r>
      <w:r>
        <w:rPr/>
        <w:t>to</w:t>
      </w:r>
      <w:r>
        <w:rPr>
          <w:spacing w:val="-4"/>
        </w:rPr>
        <w:t> </w:t>
      </w:r>
      <w:r>
        <w:rPr/>
        <w:t>congregate</w:t>
      </w:r>
      <w:r>
        <w:rPr>
          <w:spacing w:val="-3"/>
        </w:rPr>
        <w:t> </w:t>
      </w:r>
      <w:r>
        <w:rPr/>
        <w:t>care</w:t>
      </w:r>
      <w:r>
        <w:rPr>
          <w:spacing w:val="-4"/>
        </w:rPr>
        <w:t> </w:t>
      </w:r>
      <w:r>
        <w:rPr/>
        <w:t>facilities</w:t>
      </w:r>
      <w:r>
        <w:rPr>
          <w:spacing w:val="-4"/>
        </w:rPr>
        <w:t> </w:t>
      </w:r>
      <w:r>
        <w:rPr/>
        <w:t>-</w:t>
      </w:r>
      <w:r>
        <w:rPr>
          <w:spacing w:val="-6"/>
        </w:rPr>
        <w:t> </w:t>
      </w:r>
      <w:r>
        <w:rPr/>
        <w:t>the</w:t>
      </w:r>
      <w:r>
        <w:rPr>
          <w:spacing w:val="-4"/>
        </w:rPr>
        <w:t> </w:t>
      </w:r>
      <w:r>
        <w:rPr/>
        <w:t>OCA</w:t>
      </w:r>
      <w:r>
        <w:rPr>
          <w:spacing w:val="-4"/>
        </w:rPr>
        <w:t> </w:t>
      </w:r>
      <w:r>
        <w:rPr/>
        <w:t>operates</w:t>
      </w:r>
      <w:r>
        <w:rPr>
          <w:spacing w:val="-4"/>
        </w:rPr>
        <w:t> </w:t>
      </w:r>
      <w:r>
        <w:rPr/>
        <w:t>as</w:t>
      </w:r>
      <w:r>
        <w:rPr>
          <w:spacing w:val="-4"/>
        </w:rPr>
        <w:t> </w:t>
      </w:r>
      <w:r>
        <w:rPr/>
        <w:t>a</w:t>
      </w:r>
      <w:r>
        <w:rPr>
          <w:spacing w:val="-4"/>
        </w:rPr>
        <w:t> </w:t>
      </w:r>
      <w:r>
        <w:rPr/>
        <w:t>secondary</w:t>
      </w:r>
      <w:r>
        <w:rPr>
          <w:spacing w:val="-4"/>
        </w:rPr>
        <w:t> </w:t>
      </w:r>
      <w:r>
        <w:rPr/>
        <w:t>layer</w:t>
      </w:r>
      <w:r>
        <w:rPr>
          <w:spacing w:val="-4"/>
        </w:rPr>
        <w:t> </w:t>
      </w:r>
      <w:r>
        <w:rPr/>
        <w:t>of </w:t>
      </w:r>
      <w:r>
        <w:rPr>
          <w:spacing w:val="-2"/>
        </w:rPr>
        <w:t>oversight and investigate cases through its complaint line, reviews of Critical Incident Reports, and reviews </w:t>
      </w:r>
      <w:r>
        <w:rPr/>
        <w:t>of substantiated reports of abuse or neglect in out-of-home settings. Any concerns relating to youth in specific programs or facilities is shared with either DCF or EEC, and discussed during an OCA-facilitated interagency group.</w:t>
      </w:r>
    </w:p>
    <w:p>
      <w:pPr>
        <w:pStyle w:val="BodyText"/>
        <w:spacing w:line="276" w:lineRule="auto" w:before="239"/>
        <w:ind w:left="483" w:right="340"/>
        <w:jc w:val="both"/>
      </w:pPr>
      <w:r>
        <w:rPr/>
        <w:t>To date, the Commission remains unaware of specific steps taken by either the OCA or EEC to make congregate care facilities safer and more affirming for LGBTQ youth. The Commission continues to recommend</w:t>
      </w:r>
      <w:r>
        <w:rPr>
          <w:spacing w:val="-13"/>
        </w:rPr>
        <w:t> </w:t>
      </w:r>
      <w:r>
        <w:rPr/>
        <w:t>that</w:t>
      </w:r>
      <w:r>
        <w:rPr>
          <w:spacing w:val="-12"/>
        </w:rPr>
        <w:t> </w:t>
      </w:r>
      <w:r>
        <w:rPr/>
        <w:t>the</w:t>
      </w:r>
      <w:r>
        <w:rPr>
          <w:spacing w:val="-13"/>
        </w:rPr>
        <w:t> </w:t>
      </w:r>
      <w:r>
        <w:rPr/>
        <w:t>OCA</w:t>
      </w:r>
      <w:r>
        <w:rPr>
          <w:spacing w:val="-12"/>
        </w:rPr>
        <w:t> </w:t>
      </w:r>
      <w:r>
        <w:rPr/>
        <w:t>initiates</w:t>
      </w:r>
      <w:r>
        <w:rPr>
          <w:spacing w:val="-12"/>
        </w:rPr>
        <w:t> </w:t>
      </w:r>
      <w:r>
        <w:rPr/>
        <w:t>-</w:t>
      </w:r>
      <w:r>
        <w:rPr>
          <w:spacing w:val="-12"/>
        </w:rPr>
        <w:t> </w:t>
      </w:r>
      <w:r>
        <w:rPr/>
        <w:t>whether</w:t>
      </w:r>
      <w:r>
        <w:rPr>
          <w:spacing w:val="-12"/>
        </w:rPr>
        <w:t> </w:t>
      </w:r>
      <w:r>
        <w:rPr/>
        <w:t>in</w:t>
      </w:r>
      <w:r>
        <w:rPr>
          <w:spacing w:val="-11"/>
        </w:rPr>
        <w:t> </w:t>
      </w:r>
      <w:r>
        <w:rPr/>
        <w:t>partnership</w:t>
      </w:r>
      <w:r>
        <w:rPr>
          <w:spacing w:val="-13"/>
        </w:rPr>
        <w:t> </w:t>
      </w:r>
      <w:r>
        <w:rPr/>
        <w:t>with</w:t>
      </w:r>
      <w:r>
        <w:rPr>
          <w:spacing w:val="-12"/>
        </w:rPr>
        <w:t> </w:t>
      </w:r>
      <w:r>
        <w:rPr/>
        <w:t>DCF</w:t>
      </w:r>
      <w:r>
        <w:rPr>
          <w:spacing w:val="-13"/>
        </w:rPr>
        <w:t> </w:t>
      </w:r>
      <w:r>
        <w:rPr/>
        <w:t>and</w:t>
      </w:r>
      <w:r>
        <w:rPr>
          <w:spacing w:val="-12"/>
        </w:rPr>
        <w:t> </w:t>
      </w:r>
      <w:r>
        <w:rPr/>
        <w:t>EEC</w:t>
      </w:r>
      <w:r>
        <w:rPr>
          <w:spacing w:val="-12"/>
        </w:rPr>
        <w:t> </w:t>
      </w:r>
      <w:r>
        <w:rPr/>
        <w:t>or</w:t>
      </w:r>
      <w:r>
        <w:rPr>
          <w:spacing w:val="-12"/>
        </w:rPr>
        <w:t> </w:t>
      </w:r>
      <w:r>
        <w:rPr/>
        <w:t>on</w:t>
      </w:r>
      <w:r>
        <w:rPr>
          <w:spacing w:val="-13"/>
        </w:rPr>
        <w:t> </w:t>
      </w:r>
      <w:r>
        <w:rPr/>
        <w:t>its</w:t>
      </w:r>
      <w:r>
        <w:rPr>
          <w:spacing w:val="-11"/>
        </w:rPr>
        <w:t> </w:t>
      </w:r>
      <w:r>
        <w:rPr/>
        <w:t>own</w:t>
      </w:r>
      <w:r>
        <w:rPr>
          <w:spacing w:val="-13"/>
        </w:rPr>
        <w:t> </w:t>
      </w:r>
      <w:r>
        <w:rPr/>
        <w:t>-</w:t>
      </w:r>
      <w:r>
        <w:rPr>
          <w:spacing w:val="-11"/>
        </w:rPr>
        <w:t> </w:t>
      </w:r>
      <w:r>
        <w:rPr/>
        <w:t>investigations into the policies and practices of congregate care facilities. Such investigations should also include compliance with nondiscrimination requirements, LGBTQ cultural competency, and clear intentional engagement with youth to better understand their experiences as highlighted in the FY 2024 </w:t>
      </w:r>
      <w:r>
        <w:rPr>
          <w:spacing w:val="-2"/>
        </w:rPr>
        <w:t>recommendations.</w:t>
      </w:r>
    </w:p>
    <w:p>
      <w:pPr>
        <w:pStyle w:val="BodyText"/>
        <w:spacing w:line="276" w:lineRule="auto" w:before="241"/>
        <w:ind w:left="483" w:right="344"/>
        <w:jc w:val="both"/>
      </w:pPr>
      <w:r>
        <w:rPr/>
        <w:t>The</w:t>
      </w:r>
      <w:r>
        <w:rPr>
          <w:spacing w:val="-3"/>
        </w:rPr>
        <w:t> </w:t>
      </w:r>
      <w:r>
        <w:rPr/>
        <w:t>Commission</w:t>
      </w:r>
      <w:r>
        <w:rPr>
          <w:spacing w:val="-3"/>
        </w:rPr>
        <w:t> </w:t>
      </w:r>
      <w:r>
        <w:rPr/>
        <w:t>understands</w:t>
      </w:r>
      <w:r>
        <w:rPr>
          <w:spacing w:val="-3"/>
        </w:rPr>
        <w:t> </w:t>
      </w:r>
      <w:r>
        <w:rPr/>
        <w:t>that</w:t>
      </w:r>
      <w:r>
        <w:rPr>
          <w:spacing w:val="-2"/>
        </w:rPr>
        <w:t> </w:t>
      </w:r>
      <w:r>
        <w:rPr/>
        <w:t>the</w:t>
      </w:r>
      <w:r>
        <w:rPr>
          <w:spacing w:val="-2"/>
        </w:rPr>
        <w:t> </w:t>
      </w:r>
      <w:r>
        <w:rPr/>
        <w:t>OCA</w:t>
      </w:r>
      <w:r>
        <w:rPr>
          <w:spacing w:val="-3"/>
        </w:rPr>
        <w:t> </w:t>
      </w:r>
      <w:r>
        <w:rPr/>
        <w:t>is</w:t>
      </w:r>
      <w:r>
        <w:rPr>
          <w:spacing w:val="-3"/>
        </w:rPr>
        <w:t> </w:t>
      </w:r>
      <w:r>
        <w:rPr/>
        <w:t>in</w:t>
      </w:r>
      <w:r>
        <w:rPr>
          <w:spacing w:val="-2"/>
        </w:rPr>
        <w:t> </w:t>
      </w:r>
      <w:r>
        <w:rPr/>
        <w:t>the</w:t>
      </w:r>
      <w:r>
        <w:rPr>
          <w:spacing w:val="-2"/>
        </w:rPr>
        <w:t> </w:t>
      </w:r>
      <w:r>
        <w:rPr/>
        <w:t>process</w:t>
      </w:r>
      <w:r>
        <w:rPr>
          <w:spacing w:val="-3"/>
        </w:rPr>
        <w:t> </w:t>
      </w:r>
      <w:r>
        <w:rPr/>
        <w:t>of</w:t>
      </w:r>
      <w:r>
        <w:rPr>
          <w:spacing w:val="-3"/>
        </w:rPr>
        <w:t> </w:t>
      </w:r>
      <w:r>
        <w:rPr/>
        <w:t>a</w:t>
      </w:r>
      <w:r>
        <w:rPr>
          <w:spacing w:val="-3"/>
        </w:rPr>
        <w:t> </w:t>
      </w:r>
      <w:r>
        <w:rPr/>
        <w:t>youth</w:t>
      </w:r>
      <w:r>
        <w:rPr>
          <w:spacing w:val="-3"/>
        </w:rPr>
        <w:t> </w:t>
      </w:r>
      <w:r>
        <w:rPr/>
        <w:t>outreach</w:t>
      </w:r>
      <w:r>
        <w:rPr>
          <w:spacing w:val="-3"/>
        </w:rPr>
        <w:t> </w:t>
      </w:r>
      <w:r>
        <w:rPr/>
        <w:t>campaign</w:t>
      </w:r>
      <w:r>
        <w:rPr>
          <w:spacing w:val="-2"/>
        </w:rPr>
        <w:t> </w:t>
      </w:r>
      <w:r>
        <w:rPr/>
        <w:t>-</w:t>
      </w:r>
      <w:r>
        <w:rPr>
          <w:spacing w:val="-1"/>
        </w:rPr>
        <w:t> </w:t>
      </w:r>
      <w:r>
        <w:rPr/>
        <w:t>starting</w:t>
      </w:r>
      <w:r>
        <w:rPr>
          <w:spacing w:val="-3"/>
        </w:rPr>
        <w:t> </w:t>
      </w:r>
      <w:r>
        <w:rPr/>
        <w:t>with youth</w:t>
      </w:r>
      <w:r>
        <w:rPr>
          <w:spacing w:val="-2"/>
        </w:rPr>
        <w:t> </w:t>
      </w:r>
      <w:r>
        <w:rPr/>
        <w:t>in</w:t>
      </w:r>
      <w:r>
        <w:rPr>
          <w:spacing w:val="-2"/>
        </w:rPr>
        <w:t> </w:t>
      </w:r>
      <w:r>
        <w:rPr/>
        <w:t>DCF custody</w:t>
      </w:r>
      <w:r>
        <w:rPr>
          <w:spacing w:val="-1"/>
        </w:rPr>
        <w:t> </w:t>
      </w:r>
      <w:r>
        <w:rPr/>
        <w:t>-</w:t>
      </w:r>
      <w:r>
        <w:rPr>
          <w:spacing w:val="-1"/>
        </w:rPr>
        <w:t> </w:t>
      </w:r>
      <w:r>
        <w:rPr/>
        <w:t>to</w:t>
      </w:r>
      <w:r>
        <w:rPr>
          <w:spacing w:val="-1"/>
        </w:rPr>
        <w:t> </w:t>
      </w:r>
      <w:r>
        <w:rPr/>
        <w:t>educate</w:t>
      </w:r>
      <w:r>
        <w:rPr>
          <w:spacing w:val="-2"/>
        </w:rPr>
        <w:t> </w:t>
      </w:r>
      <w:r>
        <w:rPr/>
        <w:t>youth</w:t>
      </w:r>
      <w:r>
        <w:rPr>
          <w:spacing w:val="-1"/>
        </w:rPr>
        <w:t> </w:t>
      </w:r>
      <w:r>
        <w:rPr/>
        <w:t>of</w:t>
      </w:r>
      <w:r>
        <w:rPr>
          <w:spacing w:val="-2"/>
        </w:rPr>
        <w:t> </w:t>
      </w:r>
      <w:r>
        <w:rPr/>
        <w:t>their rights,</w:t>
      </w:r>
      <w:r>
        <w:rPr>
          <w:spacing w:val="-2"/>
        </w:rPr>
        <w:t> </w:t>
      </w:r>
      <w:r>
        <w:rPr/>
        <w:t>to</w:t>
      </w:r>
      <w:r>
        <w:rPr>
          <w:spacing w:val="-1"/>
        </w:rPr>
        <w:t> </w:t>
      </w:r>
      <w:r>
        <w:rPr/>
        <w:t>provide</w:t>
      </w:r>
      <w:r>
        <w:rPr>
          <w:spacing w:val="-1"/>
        </w:rPr>
        <w:t> </w:t>
      </w:r>
      <w:r>
        <w:rPr/>
        <w:t>information</w:t>
      </w:r>
      <w:r>
        <w:rPr>
          <w:spacing w:val="-2"/>
        </w:rPr>
        <w:t> </w:t>
      </w:r>
      <w:r>
        <w:rPr/>
        <w:t>about</w:t>
      </w:r>
      <w:r>
        <w:rPr>
          <w:spacing w:val="-1"/>
        </w:rPr>
        <w:t> </w:t>
      </w:r>
      <w:r>
        <w:rPr/>
        <w:t>the</w:t>
      </w:r>
      <w:r>
        <w:rPr>
          <w:spacing w:val="-1"/>
        </w:rPr>
        <w:t> </w:t>
      </w:r>
      <w:r>
        <w:rPr/>
        <w:t>OCA</w:t>
      </w:r>
      <w:r>
        <w:rPr>
          <w:spacing w:val="-1"/>
        </w:rPr>
        <w:t> </w:t>
      </w:r>
      <w:r>
        <w:rPr/>
        <w:t>Complaint Line, and hear from youth about the challenges they are facing. The Commission appreciates this engagement from the OCA, and further recommends that these trainings include similar conversations for staff on system navigation, available resources, and the formal complaint process.</w:t>
      </w:r>
    </w:p>
    <w:p>
      <w:pPr>
        <w:numPr>
          <w:ilvl w:val="0"/>
          <w:numId w:val="50"/>
        </w:numPr>
        <w:tabs>
          <w:tab w:pos="481" w:val="left" w:leader="none"/>
        </w:tabs>
        <w:spacing w:before="238"/>
        <w:ind w:left="481" w:right="0" w:hanging="358"/>
        <w:jc w:val="left"/>
        <w:rPr>
          <w:b/>
          <w:sz w:val="22"/>
        </w:rPr>
      </w:pPr>
      <w:r>
        <w:rPr>
          <w:b/>
          <w:sz w:val="22"/>
        </w:rPr>
        <w:t>Conduct</w:t>
      </w:r>
      <w:r>
        <w:rPr>
          <w:b/>
          <w:spacing w:val="-9"/>
          <w:sz w:val="22"/>
        </w:rPr>
        <w:t> </w:t>
      </w:r>
      <w:r>
        <w:rPr>
          <w:b/>
          <w:sz w:val="22"/>
        </w:rPr>
        <w:t>a</w:t>
      </w:r>
      <w:r>
        <w:rPr>
          <w:b/>
          <w:spacing w:val="-8"/>
          <w:sz w:val="22"/>
        </w:rPr>
        <w:t> </w:t>
      </w:r>
      <w:r>
        <w:rPr>
          <w:b/>
          <w:sz w:val="22"/>
        </w:rPr>
        <w:t>LGBTQ</w:t>
      </w:r>
      <w:r>
        <w:rPr>
          <w:b/>
          <w:spacing w:val="-8"/>
          <w:sz w:val="22"/>
        </w:rPr>
        <w:t> </w:t>
      </w:r>
      <w:r>
        <w:rPr>
          <w:b/>
          <w:sz w:val="22"/>
        </w:rPr>
        <w:t>training</w:t>
      </w:r>
      <w:r>
        <w:rPr>
          <w:b/>
          <w:spacing w:val="-8"/>
          <w:sz w:val="22"/>
        </w:rPr>
        <w:t> </w:t>
      </w:r>
      <w:r>
        <w:rPr>
          <w:b/>
          <w:sz w:val="22"/>
        </w:rPr>
        <w:t>audit</w:t>
      </w:r>
      <w:r>
        <w:rPr>
          <w:b/>
          <w:spacing w:val="-8"/>
          <w:sz w:val="22"/>
        </w:rPr>
        <w:t> </w:t>
      </w:r>
      <w:r>
        <w:rPr>
          <w:b/>
          <w:sz w:val="22"/>
        </w:rPr>
        <w:t>of</w:t>
      </w:r>
      <w:r>
        <w:rPr>
          <w:b/>
          <w:spacing w:val="-9"/>
          <w:sz w:val="22"/>
        </w:rPr>
        <w:t> </w:t>
      </w:r>
      <w:r>
        <w:rPr>
          <w:b/>
          <w:sz w:val="22"/>
        </w:rPr>
        <w:t>youth-serving</w:t>
      </w:r>
      <w:r>
        <w:rPr>
          <w:b/>
          <w:spacing w:val="-9"/>
          <w:sz w:val="22"/>
        </w:rPr>
        <w:t> </w:t>
      </w:r>
      <w:r>
        <w:rPr>
          <w:b/>
          <w:spacing w:val="-2"/>
          <w:sz w:val="22"/>
        </w:rPr>
        <w:t>facilities.</w:t>
      </w:r>
    </w:p>
    <w:p>
      <w:pPr>
        <w:pStyle w:val="BodyText"/>
        <w:spacing w:before="13"/>
        <w:rPr>
          <w:b/>
        </w:rPr>
      </w:pPr>
    </w:p>
    <w:p>
      <w:pPr>
        <w:pStyle w:val="BodyText"/>
        <w:spacing w:line="276" w:lineRule="auto"/>
        <w:ind w:left="483" w:right="342"/>
        <w:jc w:val="both"/>
      </w:pPr>
      <w:r>
        <w:rPr/>
        <w:t>As referenced in the above recommendation, the Commission recommends that the OCA develop and implement a plan to review whether staff at group homes, residential schools, and other youth-serving facilities are receiving training on LGBTQ cultural engagement and other LGBTQ-related topics. Such reviews should be reported out to the public and include the content covered in the trainings; the OCA</w:t>
      </w:r>
    </w:p>
    <w:p>
      <w:pPr>
        <w:spacing w:after="0" w:line="276" w:lineRule="auto"/>
        <w:jc w:val="both"/>
        <w:sectPr>
          <w:pgSz w:w="12240" w:h="15840"/>
          <w:pgMar w:header="804" w:footer="1281" w:top="1000" w:bottom="1480" w:left="960" w:right="1100"/>
        </w:sectPr>
      </w:pPr>
    </w:p>
    <w:p>
      <w:pPr>
        <w:pStyle w:val="BodyText"/>
        <w:spacing w:before="77"/>
      </w:pPr>
    </w:p>
    <w:p>
      <w:pPr>
        <w:pStyle w:val="BodyText"/>
        <w:spacing w:line="276" w:lineRule="auto" w:before="1"/>
        <w:ind w:left="483" w:right="343"/>
        <w:jc w:val="both"/>
      </w:pPr>
      <w:r>
        <w:rPr/>
        <w:t>should further work with each of these entities to measure the impact of the trainings. The Commission appreciates</w:t>
      </w:r>
      <w:r>
        <w:rPr>
          <w:spacing w:val="-5"/>
        </w:rPr>
        <w:t> </w:t>
      </w:r>
      <w:r>
        <w:rPr/>
        <w:t>the</w:t>
      </w:r>
      <w:r>
        <w:rPr>
          <w:spacing w:val="-5"/>
        </w:rPr>
        <w:t> </w:t>
      </w:r>
      <w:r>
        <w:rPr/>
        <w:t>OCA’s</w:t>
      </w:r>
      <w:r>
        <w:rPr>
          <w:spacing w:val="-5"/>
        </w:rPr>
        <w:t> </w:t>
      </w:r>
      <w:r>
        <w:rPr/>
        <w:t>interest</w:t>
      </w:r>
      <w:r>
        <w:rPr>
          <w:spacing w:val="-5"/>
        </w:rPr>
        <w:t> </w:t>
      </w:r>
      <w:r>
        <w:rPr/>
        <w:t>in</w:t>
      </w:r>
      <w:r>
        <w:rPr>
          <w:spacing w:val="-5"/>
        </w:rPr>
        <w:t> </w:t>
      </w:r>
      <w:r>
        <w:rPr/>
        <w:t>this</w:t>
      </w:r>
      <w:r>
        <w:rPr>
          <w:spacing w:val="-5"/>
        </w:rPr>
        <w:t> </w:t>
      </w:r>
      <w:r>
        <w:rPr/>
        <w:t>recommendation,</w:t>
      </w:r>
      <w:r>
        <w:rPr>
          <w:spacing w:val="-5"/>
        </w:rPr>
        <w:t> </w:t>
      </w:r>
      <w:r>
        <w:rPr/>
        <w:t>particularly</w:t>
      </w:r>
      <w:r>
        <w:rPr>
          <w:spacing w:val="-5"/>
        </w:rPr>
        <w:t> </w:t>
      </w:r>
      <w:r>
        <w:rPr/>
        <w:t>as</w:t>
      </w:r>
      <w:r>
        <w:rPr>
          <w:spacing w:val="-5"/>
        </w:rPr>
        <w:t> </w:t>
      </w:r>
      <w:r>
        <w:rPr/>
        <w:t>it</w:t>
      </w:r>
      <w:r>
        <w:rPr>
          <w:spacing w:val="-5"/>
        </w:rPr>
        <w:t> </w:t>
      </w:r>
      <w:r>
        <w:rPr/>
        <w:t>relates</w:t>
      </w:r>
      <w:r>
        <w:rPr>
          <w:spacing w:val="-3"/>
        </w:rPr>
        <w:t> </w:t>
      </w:r>
      <w:r>
        <w:rPr/>
        <w:t>to</w:t>
      </w:r>
      <w:r>
        <w:rPr>
          <w:spacing w:val="-5"/>
        </w:rPr>
        <w:t> </w:t>
      </w:r>
      <w:r>
        <w:rPr/>
        <w:t>DCF’s</w:t>
      </w:r>
      <w:r>
        <w:rPr>
          <w:spacing w:val="-5"/>
        </w:rPr>
        <w:t> </w:t>
      </w:r>
      <w:r>
        <w:rPr/>
        <w:t>congregate</w:t>
      </w:r>
      <w:r>
        <w:rPr>
          <w:spacing w:val="-4"/>
        </w:rPr>
        <w:t> </w:t>
      </w:r>
      <w:r>
        <w:rPr/>
        <w:t>care trainings.</w:t>
      </w:r>
      <w:r>
        <w:rPr>
          <w:spacing w:val="-9"/>
        </w:rPr>
        <w:t> </w:t>
      </w:r>
      <w:r>
        <w:rPr/>
        <w:t>In</w:t>
      </w:r>
      <w:r>
        <w:rPr>
          <w:spacing w:val="-9"/>
        </w:rPr>
        <w:t> </w:t>
      </w:r>
      <w:r>
        <w:rPr/>
        <w:t>a</w:t>
      </w:r>
      <w:r>
        <w:rPr>
          <w:spacing w:val="-9"/>
        </w:rPr>
        <w:t> </w:t>
      </w:r>
      <w:r>
        <w:rPr/>
        <w:t>January</w:t>
      </w:r>
      <w:r>
        <w:rPr>
          <w:spacing w:val="-9"/>
        </w:rPr>
        <w:t> </w:t>
      </w:r>
      <w:r>
        <w:rPr/>
        <w:t>2024</w:t>
      </w:r>
      <w:r>
        <w:rPr>
          <w:spacing w:val="-10"/>
        </w:rPr>
        <w:t> </w:t>
      </w:r>
      <w:r>
        <w:rPr/>
        <w:t>meeting,</w:t>
      </w:r>
      <w:r>
        <w:rPr>
          <w:spacing w:val="-10"/>
        </w:rPr>
        <w:t> </w:t>
      </w:r>
      <w:r>
        <w:rPr/>
        <w:t>the</w:t>
      </w:r>
      <w:r>
        <w:rPr>
          <w:spacing w:val="-9"/>
        </w:rPr>
        <w:t> </w:t>
      </w:r>
      <w:r>
        <w:rPr/>
        <w:t>OCA</w:t>
      </w:r>
      <w:r>
        <w:rPr>
          <w:spacing w:val="-10"/>
        </w:rPr>
        <w:t> </w:t>
      </w:r>
      <w:r>
        <w:rPr/>
        <w:t>noted</w:t>
      </w:r>
      <w:r>
        <w:rPr>
          <w:spacing w:val="-9"/>
        </w:rPr>
        <w:t> </w:t>
      </w:r>
      <w:r>
        <w:rPr/>
        <w:t>that</w:t>
      </w:r>
      <w:r>
        <w:rPr>
          <w:spacing w:val="-11"/>
        </w:rPr>
        <w:t> </w:t>
      </w:r>
      <w:r>
        <w:rPr/>
        <w:t>it</w:t>
      </w:r>
      <w:r>
        <w:rPr>
          <w:spacing w:val="-9"/>
        </w:rPr>
        <w:t> </w:t>
      </w:r>
      <w:r>
        <w:rPr/>
        <w:t>has</w:t>
      </w:r>
      <w:r>
        <w:rPr>
          <w:spacing w:val="-9"/>
        </w:rPr>
        <w:t> </w:t>
      </w:r>
      <w:r>
        <w:rPr/>
        <w:t>been</w:t>
      </w:r>
      <w:r>
        <w:rPr>
          <w:spacing w:val="-9"/>
        </w:rPr>
        <w:t> </w:t>
      </w:r>
      <w:r>
        <w:rPr/>
        <w:t>in</w:t>
      </w:r>
      <w:r>
        <w:rPr>
          <w:spacing w:val="-9"/>
        </w:rPr>
        <w:t> </w:t>
      </w:r>
      <w:r>
        <w:rPr/>
        <w:t>contact</w:t>
      </w:r>
      <w:r>
        <w:rPr>
          <w:spacing w:val="-9"/>
        </w:rPr>
        <w:t> </w:t>
      </w:r>
      <w:r>
        <w:rPr/>
        <w:t>with</w:t>
      </w:r>
      <w:r>
        <w:rPr>
          <w:spacing w:val="-10"/>
        </w:rPr>
        <w:t> </w:t>
      </w:r>
      <w:r>
        <w:rPr/>
        <w:t>DCF</w:t>
      </w:r>
      <w:r>
        <w:rPr>
          <w:spacing w:val="-9"/>
        </w:rPr>
        <w:t> </w:t>
      </w:r>
      <w:r>
        <w:rPr/>
        <w:t>on</w:t>
      </w:r>
      <w:r>
        <w:rPr>
          <w:spacing w:val="-10"/>
        </w:rPr>
        <w:t> </w:t>
      </w:r>
      <w:r>
        <w:rPr/>
        <w:t>its</w:t>
      </w:r>
      <w:r>
        <w:rPr>
          <w:spacing w:val="-9"/>
        </w:rPr>
        <w:t> </w:t>
      </w:r>
      <w:r>
        <w:rPr/>
        <w:t>congregate care provider trainings and is working through solutions on how best to understand what trainings are currently</w:t>
      </w:r>
      <w:r>
        <w:rPr>
          <w:spacing w:val="-13"/>
        </w:rPr>
        <w:t> </w:t>
      </w:r>
      <w:r>
        <w:rPr/>
        <w:t>ongoing.</w:t>
      </w:r>
      <w:r>
        <w:rPr>
          <w:spacing w:val="-12"/>
        </w:rPr>
        <w:t> </w:t>
      </w:r>
      <w:r>
        <w:rPr/>
        <w:t>The</w:t>
      </w:r>
      <w:r>
        <w:rPr>
          <w:spacing w:val="-13"/>
        </w:rPr>
        <w:t> </w:t>
      </w:r>
      <w:r>
        <w:rPr/>
        <w:t>Commission</w:t>
      </w:r>
      <w:r>
        <w:rPr>
          <w:spacing w:val="-12"/>
        </w:rPr>
        <w:t> </w:t>
      </w:r>
      <w:r>
        <w:rPr/>
        <w:t>looks</w:t>
      </w:r>
      <w:r>
        <w:rPr>
          <w:spacing w:val="-13"/>
        </w:rPr>
        <w:t> </w:t>
      </w:r>
      <w:r>
        <w:rPr/>
        <w:t>forward</w:t>
      </w:r>
      <w:r>
        <w:rPr>
          <w:spacing w:val="-12"/>
        </w:rPr>
        <w:t> </w:t>
      </w:r>
      <w:r>
        <w:rPr/>
        <w:t>to</w:t>
      </w:r>
      <w:r>
        <w:rPr>
          <w:spacing w:val="-13"/>
        </w:rPr>
        <w:t> </w:t>
      </w:r>
      <w:r>
        <w:rPr/>
        <w:t>continuing</w:t>
      </w:r>
      <w:r>
        <w:rPr>
          <w:spacing w:val="-12"/>
        </w:rPr>
        <w:t> </w:t>
      </w:r>
      <w:r>
        <w:rPr/>
        <w:t>this</w:t>
      </w:r>
      <w:r>
        <w:rPr>
          <w:spacing w:val="-12"/>
        </w:rPr>
        <w:t> </w:t>
      </w:r>
      <w:r>
        <w:rPr/>
        <w:t>conversation</w:t>
      </w:r>
      <w:r>
        <w:rPr>
          <w:spacing w:val="-13"/>
        </w:rPr>
        <w:t> </w:t>
      </w:r>
      <w:r>
        <w:rPr/>
        <w:t>with</w:t>
      </w:r>
      <w:r>
        <w:rPr>
          <w:spacing w:val="-12"/>
        </w:rPr>
        <w:t> </w:t>
      </w:r>
      <w:r>
        <w:rPr/>
        <w:t>the</w:t>
      </w:r>
      <w:r>
        <w:rPr>
          <w:spacing w:val="-13"/>
        </w:rPr>
        <w:t> </w:t>
      </w:r>
      <w:r>
        <w:rPr/>
        <w:t>OCA</w:t>
      </w:r>
      <w:r>
        <w:rPr>
          <w:spacing w:val="-12"/>
        </w:rPr>
        <w:t> </w:t>
      </w:r>
      <w:r>
        <w:rPr/>
        <w:t>in</w:t>
      </w:r>
      <w:r>
        <w:rPr>
          <w:spacing w:val="-13"/>
        </w:rPr>
        <w:t> </w:t>
      </w:r>
      <w:r>
        <w:rPr/>
        <w:t>FY</w:t>
      </w:r>
      <w:r>
        <w:rPr>
          <w:spacing w:val="-12"/>
        </w:rPr>
        <w:t> </w:t>
      </w:r>
      <w:r>
        <w:rPr/>
        <w:t>2025.</w:t>
      </w:r>
    </w:p>
    <w:p>
      <w:pPr>
        <w:numPr>
          <w:ilvl w:val="0"/>
          <w:numId w:val="50"/>
        </w:numPr>
        <w:tabs>
          <w:tab w:pos="481" w:val="left" w:leader="none"/>
        </w:tabs>
        <w:spacing w:before="240"/>
        <w:ind w:left="481" w:right="0" w:hanging="358"/>
        <w:jc w:val="left"/>
        <w:rPr>
          <w:b/>
          <w:sz w:val="22"/>
        </w:rPr>
      </w:pPr>
      <w:r>
        <w:rPr>
          <w:b/>
          <w:sz w:val="22"/>
        </w:rPr>
        <w:t>Address</w:t>
      </w:r>
      <w:r>
        <w:rPr>
          <w:b/>
          <w:spacing w:val="-7"/>
          <w:sz w:val="22"/>
        </w:rPr>
        <w:t> </w:t>
      </w:r>
      <w:r>
        <w:rPr>
          <w:b/>
          <w:sz w:val="22"/>
        </w:rPr>
        <w:t>LGBTQ</w:t>
      </w:r>
      <w:r>
        <w:rPr>
          <w:b/>
          <w:spacing w:val="-7"/>
          <w:sz w:val="22"/>
        </w:rPr>
        <w:t> </w:t>
      </w:r>
      <w:r>
        <w:rPr>
          <w:b/>
          <w:sz w:val="22"/>
        </w:rPr>
        <w:t>youth</w:t>
      </w:r>
      <w:r>
        <w:rPr>
          <w:b/>
          <w:spacing w:val="-8"/>
          <w:sz w:val="22"/>
        </w:rPr>
        <w:t> </w:t>
      </w:r>
      <w:r>
        <w:rPr>
          <w:b/>
          <w:sz w:val="22"/>
        </w:rPr>
        <w:t>in</w:t>
      </w:r>
      <w:r>
        <w:rPr>
          <w:b/>
          <w:spacing w:val="-7"/>
          <w:sz w:val="22"/>
        </w:rPr>
        <w:t> </w:t>
      </w:r>
      <w:r>
        <w:rPr>
          <w:b/>
          <w:sz w:val="22"/>
        </w:rPr>
        <w:t>public</w:t>
      </w:r>
      <w:r>
        <w:rPr>
          <w:b/>
          <w:spacing w:val="-6"/>
          <w:sz w:val="22"/>
        </w:rPr>
        <w:t> </w:t>
      </w:r>
      <w:r>
        <w:rPr>
          <w:b/>
          <w:sz w:val="22"/>
        </w:rPr>
        <w:t>affairs</w:t>
      </w:r>
      <w:r>
        <w:rPr>
          <w:b/>
          <w:spacing w:val="-7"/>
          <w:sz w:val="22"/>
        </w:rPr>
        <w:t> </w:t>
      </w:r>
      <w:r>
        <w:rPr>
          <w:b/>
          <w:spacing w:val="-4"/>
          <w:sz w:val="22"/>
        </w:rPr>
        <w:t>work.</w:t>
      </w:r>
    </w:p>
    <w:p>
      <w:pPr>
        <w:pStyle w:val="BodyText"/>
        <w:spacing w:before="12"/>
        <w:rPr>
          <w:b/>
        </w:rPr>
      </w:pPr>
    </w:p>
    <w:p>
      <w:pPr>
        <w:pStyle w:val="BodyText"/>
        <w:spacing w:line="276" w:lineRule="auto"/>
        <w:ind w:left="483" w:right="340"/>
        <w:jc w:val="both"/>
      </w:pPr>
      <w:r>
        <w:rPr/>
        <w:t>The Commission continues to recommend that the OCA improve its attention to the inclusion of LGBTQ youth</w:t>
      </w:r>
      <w:r>
        <w:rPr>
          <w:spacing w:val="-12"/>
        </w:rPr>
        <w:t> </w:t>
      </w:r>
      <w:r>
        <w:rPr/>
        <w:t>in</w:t>
      </w:r>
      <w:r>
        <w:rPr>
          <w:spacing w:val="-12"/>
        </w:rPr>
        <w:t> </w:t>
      </w:r>
      <w:r>
        <w:rPr/>
        <w:t>its</w:t>
      </w:r>
      <w:r>
        <w:rPr>
          <w:spacing w:val="-11"/>
        </w:rPr>
        <w:t> </w:t>
      </w:r>
      <w:r>
        <w:rPr/>
        <w:t>public</w:t>
      </w:r>
      <w:r>
        <w:rPr>
          <w:spacing w:val="-11"/>
        </w:rPr>
        <w:t> </w:t>
      </w:r>
      <w:r>
        <w:rPr/>
        <w:t>affairs</w:t>
      </w:r>
      <w:r>
        <w:rPr>
          <w:spacing w:val="-11"/>
        </w:rPr>
        <w:t> </w:t>
      </w:r>
      <w:r>
        <w:rPr/>
        <w:t>work.</w:t>
      </w:r>
      <w:r>
        <w:rPr>
          <w:spacing w:val="-12"/>
        </w:rPr>
        <w:t> </w:t>
      </w:r>
      <w:r>
        <w:rPr/>
        <w:t>While</w:t>
      </w:r>
      <w:r>
        <w:rPr>
          <w:spacing w:val="-12"/>
        </w:rPr>
        <w:t> </w:t>
      </w:r>
      <w:r>
        <w:rPr/>
        <w:t>it</w:t>
      </w:r>
      <w:r>
        <w:rPr>
          <w:spacing w:val="-12"/>
        </w:rPr>
        <w:t> </w:t>
      </w:r>
      <w:r>
        <w:rPr/>
        <w:t>is</w:t>
      </w:r>
      <w:r>
        <w:rPr>
          <w:spacing w:val="-11"/>
        </w:rPr>
        <w:t> </w:t>
      </w:r>
      <w:r>
        <w:rPr/>
        <w:t>understood</w:t>
      </w:r>
      <w:r>
        <w:rPr>
          <w:spacing w:val="-9"/>
        </w:rPr>
        <w:t> </w:t>
      </w:r>
      <w:r>
        <w:rPr/>
        <w:t>that</w:t>
      </w:r>
      <w:r>
        <w:rPr>
          <w:spacing w:val="-11"/>
        </w:rPr>
        <w:t> </w:t>
      </w:r>
      <w:r>
        <w:rPr/>
        <w:t>the</w:t>
      </w:r>
      <w:r>
        <w:rPr>
          <w:spacing w:val="-10"/>
        </w:rPr>
        <w:t> </w:t>
      </w:r>
      <w:r>
        <w:rPr/>
        <w:t>OCA,</w:t>
      </w:r>
      <w:r>
        <w:rPr>
          <w:spacing w:val="-10"/>
        </w:rPr>
        <w:t> </w:t>
      </w:r>
      <w:r>
        <w:rPr/>
        <w:t>like</w:t>
      </w:r>
      <w:r>
        <w:rPr>
          <w:spacing w:val="-10"/>
        </w:rPr>
        <w:t> </w:t>
      </w:r>
      <w:r>
        <w:rPr/>
        <w:t>many</w:t>
      </w:r>
      <w:r>
        <w:rPr>
          <w:spacing w:val="-10"/>
        </w:rPr>
        <w:t> </w:t>
      </w:r>
      <w:r>
        <w:rPr/>
        <w:t>other</w:t>
      </w:r>
      <w:r>
        <w:rPr>
          <w:spacing w:val="-11"/>
        </w:rPr>
        <w:t> </w:t>
      </w:r>
      <w:r>
        <w:rPr/>
        <w:t>agencies,</w:t>
      </w:r>
      <w:r>
        <w:rPr>
          <w:spacing w:val="-10"/>
        </w:rPr>
        <w:t> </w:t>
      </w:r>
      <w:r>
        <w:rPr/>
        <w:t>has</w:t>
      </w:r>
      <w:r>
        <w:rPr>
          <w:spacing w:val="-11"/>
        </w:rPr>
        <w:t> </w:t>
      </w:r>
      <w:r>
        <w:rPr/>
        <w:t>capacity limitations</w:t>
      </w:r>
      <w:r>
        <w:rPr>
          <w:spacing w:val="-11"/>
        </w:rPr>
        <w:t> </w:t>
      </w:r>
      <w:r>
        <w:rPr/>
        <w:t>due</w:t>
      </w:r>
      <w:r>
        <w:rPr>
          <w:spacing w:val="-12"/>
        </w:rPr>
        <w:t> </w:t>
      </w:r>
      <w:r>
        <w:rPr/>
        <w:t>to</w:t>
      </w:r>
      <w:r>
        <w:rPr>
          <w:spacing w:val="-11"/>
        </w:rPr>
        <w:t> </w:t>
      </w:r>
      <w:r>
        <w:rPr/>
        <w:t>staffing</w:t>
      </w:r>
      <w:r>
        <w:rPr>
          <w:spacing w:val="-12"/>
        </w:rPr>
        <w:t> </w:t>
      </w:r>
      <w:r>
        <w:rPr/>
        <w:t>and</w:t>
      </w:r>
      <w:r>
        <w:rPr>
          <w:spacing w:val="-12"/>
        </w:rPr>
        <w:t> </w:t>
      </w:r>
      <w:r>
        <w:rPr/>
        <w:t>competing</w:t>
      </w:r>
      <w:r>
        <w:rPr>
          <w:spacing w:val="-11"/>
        </w:rPr>
        <w:t> </w:t>
      </w:r>
      <w:r>
        <w:rPr/>
        <w:t>priorities,</w:t>
      </w:r>
      <w:r>
        <w:rPr>
          <w:spacing w:val="-11"/>
        </w:rPr>
        <w:t> </w:t>
      </w:r>
      <w:r>
        <w:rPr/>
        <w:t>it</w:t>
      </w:r>
      <w:r>
        <w:rPr>
          <w:spacing w:val="-12"/>
        </w:rPr>
        <w:t> </w:t>
      </w:r>
      <w:r>
        <w:rPr/>
        <w:t>is</w:t>
      </w:r>
      <w:r>
        <w:rPr>
          <w:spacing w:val="-11"/>
        </w:rPr>
        <w:t> </w:t>
      </w:r>
      <w:r>
        <w:rPr/>
        <w:t>critical</w:t>
      </w:r>
      <w:r>
        <w:rPr>
          <w:spacing w:val="-11"/>
        </w:rPr>
        <w:t> </w:t>
      </w:r>
      <w:r>
        <w:rPr/>
        <w:t>that</w:t>
      </w:r>
      <w:r>
        <w:rPr>
          <w:spacing w:val="-11"/>
        </w:rPr>
        <w:t> </w:t>
      </w:r>
      <w:r>
        <w:rPr/>
        <w:t>an</w:t>
      </w:r>
      <w:r>
        <w:rPr>
          <w:spacing w:val="-11"/>
        </w:rPr>
        <w:t> </w:t>
      </w:r>
      <w:r>
        <w:rPr/>
        <w:t>agency</w:t>
      </w:r>
      <w:r>
        <w:rPr>
          <w:spacing w:val="-11"/>
        </w:rPr>
        <w:t> </w:t>
      </w:r>
      <w:r>
        <w:rPr/>
        <w:t>representing</w:t>
      </w:r>
      <w:r>
        <w:rPr>
          <w:spacing w:val="-12"/>
        </w:rPr>
        <w:t> </w:t>
      </w:r>
      <w:r>
        <w:rPr/>
        <w:t>the</w:t>
      </w:r>
      <w:r>
        <w:rPr>
          <w:spacing w:val="-11"/>
        </w:rPr>
        <w:t> </w:t>
      </w:r>
      <w:r>
        <w:rPr/>
        <w:t>well-being of young people is transparent and attentive to the intersectional identities that youth hold. In a time when</w:t>
      </w:r>
      <w:r>
        <w:rPr>
          <w:spacing w:val="-6"/>
        </w:rPr>
        <w:t> </w:t>
      </w:r>
      <w:r>
        <w:rPr/>
        <w:t>anti-LGBTQ</w:t>
      </w:r>
      <w:r>
        <w:rPr>
          <w:spacing w:val="-7"/>
        </w:rPr>
        <w:t> </w:t>
      </w:r>
      <w:r>
        <w:rPr/>
        <w:t>rhetoric</w:t>
      </w:r>
      <w:r>
        <w:rPr>
          <w:spacing w:val="-5"/>
        </w:rPr>
        <w:t> </w:t>
      </w:r>
      <w:r>
        <w:rPr/>
        <w:t>and</w:t>
      </w:r>
      <w:r>
        <w:rPr>
          <w:spacing w:val="-7"/>
        </w:rPr>
        <w:t> </w:t>
      </w:r>
      <w:r>
        <w:rPr/>
        <w:t>attacks</w:t>
      </w:r>
      <w:r>
        <w:rPr>
          <w:spacing w:val="-6"/>
        </w:rPr>
        <w:t> </w:t>
      </w:r>
      <w:r>
        <w:rPr/>
        <w:t>is</w:t>
      </w:r>
      <w:r>
        <w:rPr>
          <w:spacing w:val="-5"/>
        </w:rPr>
        <w:t> </w:t>
      </w:r>
      <w:r>
        <w:rPr/>
        <w:t>at</w:t>
      </w:r>
      <w:r>
        <w:rPr>
          <w:spacing w:val="-6"/>
        </w:rPr>
        <w:t> </w:t>
      </w:r>
      <w:r>
        <w:rPr/>
        <w:t>an</w:t>
      </w:r>
      <w:r>
        <w:rPr>
          <w:spacing w:val="-6"/>
        </w:rPr>
        <w:t> </w:t>
      </w:r>
      <w:r>
        <w:rPr/>
        <w:t>all-time</w:t>
      </w:r>
      <w:r>
        <w:rPr>
          <w:spacing w:val="-5"/>
        </w:rPr>
        <w:t> </w:t>
      </w:r>
      <w:r>
        <w:rPr/>
        <w:t>high,</w:t>
      </w:r>
      <w:r>
        <w:rPr>
          <w:spacing w:val="-6"/>
        </w:rPr>
        <w:t> </w:t>
      </w:r>
      <w:r>
        <w:rPr/>
        <w:t>it</w:t>
      </w:r>
      <w:r>
        <w:rPr>
          <w:spacing w:val="-6"/>
        </w:rPr>
        <w:t> </w:t>
      </w:r>
      <w:r>
        <w:rPr/>
        <w:t>is</w:t>
      </w:r>
      <w:r>
        <w:rPr>
          <w:spacing w:val="-6"/>
        </w:rPr>
        <w:t> </w:t>
      </w:r>
      <w:r>
        <w:rPr/>
        <w:t>essential</w:t>
      </w:r>
      <w:r>
        <w:rPr>
          <w:spacing w:val="-5"/>
        </w:rPr>
        <w:t> </w:t>
      </w:r>
      <w:r>
        <w:rPr/>
        <w:t>that</w:t>
      </w:r>
      <w:r>
        <w:rPr>
          <w:spacing w:val="-7"/>
        </w:rPr>
        <w:t> </w:t>
      </w:r>
      <w:r>
        <w:rPr/>
        <w:t>any</w:t>
      </w:r>
      <w:r>
        <w:rPr>
          <w:spacing w:val="-6"/>
        </w:rPr>
        <w:t> </w:t>
      </w:r>
      <w:r>
        <w:rPr/>
        <w:t>agency</w:t>
      </w:r>
      <w:r>
        <w:rPr>
          <w:spacing w:val="-5"/>
        </w:rPr>
        <w:t> </w:t>
      </w:r>
      <w:r>
        <w:rPr/>
        <w:t>looking</w:t>
      </w:r>
      <w:r>
        <w:rPr>
          <w:spacing w:val="-6"/>
        </w:rPr>
        <w:t> </w:t>
      </w:r>
      <w:r>
        <w:rPr/>
        <w:t>to</w:t>
      </w:r>
      <w:r>
        <w:rPr>
          <w:spacing w:val="-5"/>
        </w:rPr>
        <w:t> </w:t>
      </w:r>
      <w:r>
        <w:rPr/>
        <w:t>build outreach and engagement with LGBTQ youth is making its commitment clear. The Commission further emphasizes that engaging youth in a meaningful way in all OCA initiatives, particularly those involving outreach and training opportunities.</w:t>
      </w:r>
    </w:p>
    <w:p>
      <w:pPr>
        <w:pStyle w:val="BodyText"/>
        <w:spacing w:line="276" w:lineRule="auto" w:before="239"/>
        <w:ind w:left="483" w:right="343"/>
        <w:jc w:val="both"/>
      </w:pPr>
      <w:r>
        <w:rPr/>
        <w:t>The Commission acknowledges that its own resource website - which the OCA and a number of other organizations,</w:t>
      </w:r>
      <w:r>
        <w:rPr>
          <w:spacing w:val="-2"/>
        </w:rPr>
        <w:t> </w:t>
      </w:r>
      <w:r>
        <w:rPr/>
        <w:t>schools,</w:t>
      </w:r>
      <w:r>
        <w:rPr>
          <w:spacing w:val="-2"/>
        </w:rPr>
        <w:t> </w:t>
      </w:r>
      <w:r>
        <w:rPr/>
        <w:t>and</w:t>
      </w:r>
      <w:r>
        <w:rPr>
          <w:spacing w:val="-1"/>
        </w:rPr>
        <w:t> </w:t>
      </w:r>
      <w:r>
        <w:rPr/>
        <w:t>agencies</w:t>
      </w:r>
      <w:r>
        <w:rPr>
          <w:spacing w:val="-2"/>
        </w:rPr>
        <w:t> </w:t>
      </w:r>
      <w:r>
        <w:rPr/>
        <w:t>link</w:t>
      </w:r>
      <w:r>
        <w:rPr>
          <w:spacing w:val="-1"/>
        </w:rPr>
        <w:t> </w:t>
      </w:r>
      <w:r>
        <w:rPr/>
        <w:t>to</w:t>
      </w:r>
      <w:r>
        <w:rPr>
          <w:spacing w:val="-1"/>
        </w:rPr>
        <w:t> </w:t>
      </w:r>
      <w:r>
        <w:rPr/>
        <w:t>- is</w:t>
      </w:r>
      <w:r>
        <w:rPr>
          <w:spacing w:val="-1"/>
        </w:rPr>
        <w:t> </w:t>
      </w:r>
      <w:r>
        <w:rPr/>
        <w:t>currently</w:t>
      </w:r>
      <w:r>
        <w:rPr>
          <w:spacing w:val="-2"/>
        </w:rPr>
        <w:t> </w:t>
      </w:r>
      <w:r>
        <w:rPr/>
        <w:t>unavailable</w:t>
      </w:r>
      <w:r>
        <w:rPr>
          <w:spacing w:val="-2"/>
        </w:rPr>
        <w:t> </w:t>
      </w:r>
      <w:r>
        <w:rPr/>
        <w:t>to</w:t>
      </w:r>
      <w:r>
        <w:rPr>
          <w:spacing w:val="-1"/>
        </w:rPr>
        <w:t> </w:t>
      </w:r>
      <w:r>
        <w:rPr/>
        <w:t>access</w:t>
      </w:r>
      <w:r>
        <w:rPr>
          <w:spacing w:val="-1"/>
        </w:rPr>
        <w:t> </w:t>
      </w:r>
      <w:r>
        <w:rPr/>
        <w:t>as the</w:t>
      </w:r>
      <w:r>
        <w:rPr>
          <w:spacing w:val="-1"/>
        </w:rPr>
        <w:t> </w:t>
      </w:r>
      <w:r>
        <w:rPr/>
        <w:t>agency works</w:t>
      </w:r>
      <w:r>
        <w:rPr>
          <w:spacing w:val="-1"/>
        </w:rPr>
        <w:t> </w:t>
      </w:r>
      <w:r>
        <w:rPr/>
        <w:t>on</w:t>
      </w:r>
      <w:r>
        <w:rPr>
          <w:spacing w:val="-2"/>
        </w:rPr>
        <w:t> </w:t>
      </w:r>
      <w:r>
        <w:rPr/>
        <w:t>its own updates to its websites in early FY 2025. As a result, the OCA has helpfully begun to update its own resource page for LGBTQ youth.</w:t>
      </w:r>
    </w:p>
    <w:p>
      <w:pPr>
        <w:numPr>
          <w:ilvl w:val="0"/>
          <w:numId w:val="50"/>
        </w:numPr>
        <w:tabs>
          <w:tab w:pos="481" w:val="left" w:leader="none"/>
        </w:tabs>
        <w:spacing w:before="240"/>
        <w:ind w:left="481" w:right="0" w:hanging="358"/>
        <w:jc w:val="left"/>
        <w:rPr>
          <w:b/>
          <w:sz w:val="22"/>
        </w:rPr>
      </w:pPr>
      <w:r>
        <w:rPr>
          <w:b/>
          <w:sz w:val="22"/>
        </w:rPr>
        <w:t>Ensure</w:t>
      </w:r>
      <w:r>
        <w:rPr>
          <w:b/>
          <w:spacing w:val="-9"/>
          <w:sz w:val="22"/>
        </w:rPr>
        <w:t> </w:t>
      </w:r>
      <w:r>
        <w:rPr>
          <w:b/>
          <w:sz w:val="22"/>
        </w:rPr>
        <w:t>meaningful</w:t>
      </w:r>
      <w:r>
        <w:rPr>
          <w:b/>
          <w:spacing w:val="-8"/>
          <w:sz w:val="22"/>
        </w:rPr>
        <w:t> </w:t>
      </w:r>
      <w:r>
        <w:rPr>
          <w:b/>
          <w:sz w:val="22"/>
        </w:rPr>
        <w:t>LGBTQ</w:t>
      </w:r>
      <w:r>
        <w:rPr>
          <w:b/>
          <w:spacing w:val="-9"/>
          <w:sz w:val="22"/>
        </w:rPr>
        <w:t> </w:t>
      </w:r>
      <w:r>
        <w:rPr>
          <w:b/>
          <w:sz w:val="22"/>
        </w:rPr>
        <w:t>community</w:t>
      </w:r>
      <w:r>
        <w:rPr>
          <w:b/>
          <w:spacing w:val="-6"/>
          <w:sz w:val="22"/>
        </w:rPr>
        <w:t> </w:t>
      </w:r>
      <w:r>
        <w:rPr>
          <w:b/>
          <w:sz w:val="22"/>
        </w:rPr>
        <w:t>participation</w:t>
      </w:r>
      <w:r>
        <w:rPr>
          <w:b/>
          <w:spacing w:val="-8"/>
          <w:sz w:val="22"/>
        </w:rPr>
        <w:t> </w:t>
      </w:r>
      <w:r>
        <w:rPr>
          <w:b/>
          <w:sz w:val="22"/>
        </w:rPr>
        <w:t>and</w:t>
      </w:r>
      <w:r>
        <w:rPr>
          <w:b/>
          <w:spacing w:val="-8"/>
          <w:sz w:val="22"/>
        </w:rPr>
        <w:t> </w:t>
      </w:r>
      <w:r>
        <w:rPr>
          <w:b/>
          <w:sz w:val="22"/>
        </w:rPr>
        <w:t>input</w:t>
      </w:r>
      <w:r>
        <w:rPr>
          <w:b/>
          <w:spacing w:val="-8"/>
          <w:sz w:val="22"/>
        </w:rPr>
        <w:t> </w:t>
      </w:r>
      <w:r>
        <w:rPr>
          <w:b/>
          <w:sz w:val="22"/>
        </w:rPr>
        <w:t>in</w:t>
      </w:r>
      <w:r>
        <w:rPr>
          <w:b/>
          <w:spacing w:val="-7"/>
          <w:sz w:val="22"/>
        </w:rPr>
        <w:t> </w:t>
      </w:r>
      <w:r>
        <w:rPr>
          <w:b/>
          <w:sz w:val="22"/>
        </w:rPr>
        <w:t>all</w:t>
      </w:r>
      <w:r>
        <w:rPr>
          <w:b/>
          <w:spacing w:val="-9"/>
          <w:sz w:val="22"/>
        </w:rPr>
        <w:t> </w:t>
      </w:r>
      <w:r>
        <w:rPr>
          <w:b/>
          <w:sz w:val="22"/>
        </w:rPr>
        <w:t>projects</w:t>
      </w:r>
      <w:r>
        <w:rPr>
          <w:b/>
          <w:spacing w:val="-8"/>
          <w:sz w:val="22"/>
        </w:rPr>
        <w:t> </w:t>
      </w:r>
      <w:r>
        <w:rPr>
          <w:b/>
          <w:sz w:val="22"/>
        </w:rPr>
        <w:t>and</w:t>
      </w:r>
      <w:r>
        <w:rPr>
          <w:b/>
          <w:spacing w:val="-9"/>
          <w:sz w:val="22"/>
        </w:rPr>
        <w:t> </w:t>
      </w:r>
      <w:r>
        <w:rPr>
          <w:b/>
          <w:spacing w:val="-2"/>
          <w:sz w:val="22"/>
        </w:rPr>
        <w:t>initiatives.</w:t>
      </w:r>
    </w:p>
    <w:p>
      <w:pPr>
        <w:pStyle w:val="BodyText"/>
        <w:spacing w:before="11"/>
        <w:rPr>
          <w:b/>
        </w:rPr>
      </w:pPr>
    </w:p>
    <w:p>
      <w:pPr>
        <w:pStyle w:val="BodyText"/>
        <w:spacing w:line="276" w:lineRule="auto"/>
        <w:ind w:left="483" w:right="338"/>
        <w:jc w:val="both"/>
      </w:pPr>
      <w:r>
        <w:rPr/>
        <w:t>Meaningful</w:t>
      </w:r>
      <w:r>
        <w:rPr>
          <w:spacing w:val="-2"/>
        </w:rPr>
        <w:t> </w:t>
      </w:r>
      <w:r>
        <w:rPr/>
        <w:t>and</w:t>
      </w:r>
      <w:r>
        <w:rPr>
          <w:spacing w:val="-2"/>
        </w:rPr>
        <w:t> </w:t>
      </w:r>
      <w:r>
        <w:rPr/>
        <w:t>transparent</w:t>
      </w:r>
      <w:r>
        <w:rPr>
          <w:spacing w:val="-2"/>
        </w:rPr>
        <w:t> </w:t>
      </w:r>
      <w:r>
        <w:rPr/>
        <w:t>engagement</w:t>
      </w:r>
      <w:r>
        <w:rPr>
          <w:spacing w:val="-2"/>
        </w:rPr>
        <w:t> </w:t>
      </w:r>
      <w:r>
        <w:rPr/>
        <w:t>for</w:t>
      </w:r>
      <w:r>
        <w:rPr>
          <w:spacing w:val="-2"/>
        </w:rPr>
        <w:t> </w:t>
      </w:r>
      <w:r>
        <w:rPr/>
        <w:t>LGBTQ</w:t>
      </w:r>
      <w:r>
        <w:rPr>
          <w:spacing w:val="-1"/>
        </w:rPr>
        <w:t> </w:t>
      </w:r>
      <w:r>
        <w:rPr/>
        <w:t>youth</w:t>
      </w:r>
      <w:r>
        <w:rPr>
          <w:spacing w:val="-2"/>
        </w:rPr>
        <w:t> </w:t>
      </w:r>
      <w:r>
        <w:rPr/>
        <w:t>in</w:t>
      </w:r>
      <w:r>
        <w:rPr>
          <w:spacing w:val="-1"/>
        </w:rPr>
        <w:t> </w:t>
      </w:r>
      <w:r>
        <w:rPr/>
        <w:t>state</w:t>
      </w:r>
      <w:r>
        <w:rPr>
          <w:spacing w:val="-2"/>
        </w:rPr>
        <w:t> </w:t>
      </w:r>
      <w:r>
        <w:rPr/>
        <w:t>projects</w:t>
      </w:r>
      <w:r>
        <w:rPr>
          <w:spacing w:val="-1"/>
        </w:rPr>
        <w:t> </w:t>
      </w:r>
      <w:r>
        <w:rPr/>
        <w:t>and</w:t>
      </w:r>
      <w:r>
        <w:rPr>
          <w:spacing w:val="-2"/>
        </w:rPr>
        <w:t> </w:t>
      </w:r>
      <w:r>
        <w:rPr/>
        <w:t>initiatives</w:t>
      </w:r>
      <w:r>
        <w:rPr>
          <w:spacing w:val="-1"/>
        </w:rPr>
        <w:t> </w:t>
      </w:r>
      <w:r>
        <w:rPr/>
        <w:t>is essential</w:t>
      </w:r>
      <w:r>
        <w:rPr>
          <w:spacing w:val="-2"/>
        </w:rPr>
        <w:t> </w:t>
      </w:r>
      <w:r>
        <w:rPr/>
        <w:t>for effective policy and program reform. Far too often, particularly regarding state initiatives, marginalized youth are tokenized or left out entirely. For youth-serving or -representing agencies, it is essential to involve youth in paid opportunities to offer expertise and skills development opportunities on programming,</w:t>
      </w:r>
      <w:r>
        <w:rPr>
          <w:spacing w:val="-3"/>
        </w:rPr>
        <w:t> </w:t>
      </w:r>
      <w:r>
        <w:rPr/>
        <w:t>outreach</w:t>
      </w:r>
      <w:r>
        <w:rPr>
          <w:spacing w:val="-2"/>
        </w:rPr>
        <w:t> </w:t>
      </w:r>
      <w:r>
        <w:rPr/>
        <w:t>campaigns,</w:t>
      </w:r>
      <w:r>
        <w:rPr>
          <w:spacing w:val="-2"/>
        </w:rPr>
        <w:t> </w:t>
      </w:r>
      <w:r>
        <w:rPr/>
        <w:t>policy</w:t>
      </w:r>
      <w:r>
        <w:rPr>
          <w:spacing w:val="-3"/>
        </w:rPr>
        <w:t> </w:t>
      </w:r>
      <w:r>
        <w:rPr/>
        <w:t>development,</w:t>
      </w:r>
      <w:r>
        <w:rPr>
          <w:spacing w:val="-3"/>
        </w:rPr>
        <w:t> </w:t>
      </w:r>
      <w:r>
        <w:rPr/>
        <w:t>and</w:t>
      </w:r>
      <w:r>
        <w:rPr>
          <w:spacing w:val="-2"/>
        </w:rPr>
        <w:t> </w:t>
      </w:r>
      <w:r>
        <w:rPr/>
        <w:t>research</w:t>
      </w:r>
      <w:r>
        <w:rPr>
          <w:spacing w:val="-3"/>
        </w:rPr>
        <w:t> </w:t>
      </w:r>
      <w:r>
        <w:rPr/>
        <w:t>input/design.</w:t>
      </w:r>
      <w:r>
        <w:rPr>
          <w:spacing w:val="-3"/>
        </w:rPr>
        <w:t> </w:t>
      </w:r>
      <w:r>
        <w:rPr/>
        <w:t>Like</w:t>
      </w:r>
      <w:r>
        <w:rPr>
          <w:spacing w:val="-3"/>
        </w:rPr>
        <w:t> </w:t>
      </w:r>
      <w:r>
        <w:rPr/>
        <w:t>it</w:t>
      </w:r>
      <w:r>
        <w:rPr>
          <w:spacing w:val="-2"/>
        </w:rPr>
        <w:t> </w:t>
      </w:r>
      <w:r>
        <w:rPr/>
        <w:t>does</w:t>
      </w:r>
      <w:r>
        <w:rPr>
          <w:spacing w:val="-2"/>
        </w:rPr>
        <w:t> </w:t>
      </w:r>
      <w:r>
        <w:rPr/>
        <w:t>to</w:t>
      </w:r>
      <w:r>
        <w:rPr>
          <w:spacing w:val="-2"/>
        </w:rPr>
        <w:t> </w:t>
      </w:r>
      <w:r>
        <w:rPr/>
        <w:t>many of its state agency partners, the Commission recommends that the OCA proactively improve its connections to LGBTQ community organizations and LGBTQ</w:t>
      </w:r>
      <w:r>
        <w:rPr>
          <w:spacing w:val="-1"/>
        </w:rPr>
        <w:t> </w:t>
      </w:r>
      <w:r>
        <w:rPr/>
        <w:t>youth, particularly given</w:t>
      </w:r>
      <w:r>
        <w:rPr>
          <w:spacing w:val="-1"/>
        </w:rPr>
        <w:t> </w:t>
      </w:r>
      <w:r>
        <w:rPr/>
        <w:t>the</w:t>
      </w:r>
      <w:r>
        <w:rPr>
          <w:spacing w:val="-1"/>
        </w:rPr>
        <w:t> </w:t>
      </w:r>
      <w:r>
        <w:rPr/>
        <w:t>agency’s intent to solicit more usage of its Complaint Line and other projects. Without building relationships and trust with LGBTQ youth, it is unlikely that any agency will effectively engage youth in a way that provides real feedback</w:t>
      </w:r>
      <w:r>
        <w:rPr>
          <w:spacing w:val="-2"/>
        </w:rPr>
        <w:t> </w:t>
      </w:r>
      <w:r>
        <w:rPr/>
        <w:t>for</w:t>
      </w:r>
      <w:r>
        <w:rPr>
          <w:spacing w:val="-2"/>
        </w:rPr>
        <w:t> </w:t>
      </w:r>
      <w:r>
        <w:rPr/>
        <w:t>their</w:t>
      </w:r>
      <w:r>
        <w:rPr>
          <w:spacing w:val="-2"/>
        </w:rPr>
        <w:t> </w:t>
      </w:r>
      <w:r>
        <w:rPr/>
        <w:t>initiatives.</w:t>
      </w:r>
      <w:r>
        <w:rPr>
          <w:spacing w:val="-2"/>
        </w:rPr>
        <w:t> </w:t>
      </w:r>
      <w:r>
        <w:rPr/>
        <w:t>While</w:t>
      </w:r>
      <w:r>
        <w:rPr>
          <w:spacing w:val="-2"/>
        </w:rPr>
        <w:t> </w:t>
      </w:r>
      <w:r>
        <w:rPr/>
        <w:t>the</w:t>
      </w:r>
      <w:r>
        <w:rPr>
          <w:spacing w:val="-2"/>
        </w:rPr>
        <w:t> </w:t>
      </w:r>
      <w:r>
        <w:rPr/>
        <w:t>OCA</w:t>
      </w:r>
      <w:r>
        <w:rPr>
          <w:spacing w:val="-2"/>
        </w:rPr>
        <w:t> </w:t>
      </w:r>
      <w:r>
        <w:rPr/>
        <w:t>agrees</w:t>
      </w:r>
      <w:r>
        <w:rPr>
          <w:spacing w:val="-2"/>
        </w:rPr>
        <w:t> </w:t>
      </w:r>
      <w:r>
        <w:rPr/>
        <w:t>with</w:t>
      </w:r>
      <w:r>
        <w:rPr>
          <w:spacing w:val="-2"/>
        </w:rPr>
        <w:t> </w:t>
      </w:r>
      <w:r>
        <w:rPr/>
        <w:t>this</w:t>
      </w:r>
      <w:r>
        <w:rPr>
          <w:spacing w:val="-2"/>
        </w:rPr>
        <w:t> </w:t>
      </w:r>
      <w:r>
        <w:rPr/>
        <w:t>recommendation,</w:t>
      </w:r>
      <w:r>
        <w:rPr>
          <w:spacing w:val="-1"/>
        </w:rPr>
        <w:t> </w:t>
      </w:r>
      <w:r>
        <w:rPr/>
        <w:t>it</w:t>
      </w:r>
      <w:r>
        <w:rPr>
          <w:spacing w:val="-2"/>
        </w:rPr>
        <w:t> </w:t>
      </w:r>
      <w:r>
        <w:rPr/>
        <w:t>has</w:t>
      </w:r>
      <w:r>
        <w:rPr>
          <w:spacing w:val="-2"/>
        </w:rPr>
        <w:t> </w:t>
      </w:r>
      <w:r>
        <w:rPr/>
        <w:t>previously</w:t>
      </w:r>
      <w:r>
        <w:rPr>
          <w:spacing w:val="-2"/>
        </w:rPr>
        <w:t> </w:t>
      </w:r>
      <w:r>
        <w:rPr/>
        <w:t>noted</w:t>
      </w:r>
      <w:r>
        <w:rPr>
          <w:spacing w:val="-2"/>
        </w:rPr>
        <w:t> </w:t>
      </w:r>
      <w:r>
        <w:rPr/>
        <w:t>in past communications with the Commission that it has sought feedback in the past from GLAD, as well as collaborated with the Commission on various projects. However, more proactive relationship-building with LGBTQ youth-serving organizations can only help strengthen the OCA’s work.</w:t>
      </w:r>
    </w:p>
    <w:p>
      <w:pPr>
        <w:numPr>
          <w:ilvl w:val="0"/>
          <w:numId w:val="50"/>
        </w:numPr>
        <w:tabs>
          <w:tab w:pos="481" w:val="left" w:leader="none"/>
        </w:tabs>
        <w:spacing w:before="240"/>
        <w:ind w:left="481" w:right="0" w:hanging="358"/>
        <w:jc w:val="left"/>
        <w:rPr>
          <w:b/>
          <w:sz w:val="22"/>
        </w:rPr>
      </w:pPr>
      <w:r>
        <w:rPr>
          <w:b/>
          <w:sz w:val="22"/>
        </w:rPr>
        <w:t>Address</w:t>
      </w:r>
      <w:r>
        <w:rPr>
          <w:b/>
          <w:spacing w:val="-9"/>
          <w:sz w:val="22"/>
        </w:rPr>
        <w:t> </w:t>
      </w:r>
      <w:r>
        <w:rPr>
          <w:b/>
          <w:sz w:val="22"/>
        </w:rPr>
        <w:t>the</w:t>
      </w:r>
      <w:r>
        <w:rPr>
          <w:b/>
          <w:spacing w:val="-9"/>
          <w:sz w:val="22"/>
        </w:rPr>
        <w:t> </w:t>
      </w:r>
      <w:r>
        <w:rPr>
          <w:b/>
          <w:sz w:val="22"/>
        </w:rPr>
        <w:t>needs</w:t>
      </w:r>
      <w:r>
        <w:rPr>
          <w:b/>
          <w:spacing w:val="-9"/>
          <w:sz w:val="22"/>
        </w:rPr>
        <w:t> </w:t>
      </w:r>
      <w:r>
        <w:rPr>
          <w:b/>
          <w:sz w:val="22"/>
        </w:rPr>
        <w:t>of</w:t>
      </w:r>
      <w:r>
        <w:rPr>
          <w:b/>
          <w:spacing w:val="-8"/>
          <w:sz w:val="22"/>
        </w:rPr>
        <w:t> </w:t>
      </w:r>
      <w:r>
        <w:rPr>
          <w:b/>
          <w:sz w:val="22"/>
        </w:rPr>
        <w:t>LGBTQ</w:t>
      </w:r>
      <w:r>
        <w:rPr>
          <w:b/>
          <w:spacing w:val="-9"/>
          <w:sz w:val="22"/>
        </w:rPr>
        <w:t> </w:t>
      </w:r>
      <w:r>
        <w:rPr>
          <w:b/>
          <w:sz w:val="22"/>
        </w:rPr>
        <w:t>transition-aged</w:t>
      </w:r>
      <w:r>
        <w:rPr>
          <w:b/>
          <w:spacing w:val="-9"/>
          <w:sz w:val="22"/>
        </w:rPr>
        <w:t> </w:t>
      </w:r>
      <w:r>
        <w:rPr>
          <w:b/>
          <w:spacing w:val="-2"/>
          <w:sz w:val="22"/>
        </w:rPr>
        <w:t>youth.</w:t>
      </w:r>
    </w:p>
    <w:p>
      <w:pPr>
        <w:pStyle w:val="BodyText"/>
        <w:spacing w:before="11"/>
        <w:rPr>
          <w:b/>
        </w:rPr>
      </w:pPr>
    </w:p>
    <w:p>
      <w:pPr>
        <w:pStyle w:val="BodyText"/>
        <w:spacing w:line="276" w:lineRule="auto" w:before="1"/>
        <w:ind w:left="483" w:right="343"/>
        <w:jc w:val="both"/>
      </w:pPr>
      <w:r>
        <w:rPr/>
        <w:t>The OCA has shared its agreement that a significant amount of work remains to be done for all child- serving agencies to address the disparate needs and experiences of LGBTQ transition-aged youth. For several years, the Commission has identified numerous barriers that LGBTQ young adults transitioning</w:t>
      </w:r>
    </w:p>
    <w:p>
      <w:pPr>
        <w:spacing w:after="0" w:line="276" w:lineRule="auto"/>
        <w:jc w:val="both"/>
        <w:sectPr>
          <w:pgSz w:w="12240" w:h="15840"/>
          <w:pgMar w:header="804" w:footer="1281" w:top="1000" w:bottom="1480" w:left="960" w:right="1100"/>
        </w:sectPr>
      </w:pPr>
    </w:p>
    <w:p>
      <w:pPr>
        <w:pStyle w:val="BodyText"/>
        <w:spacing w:before="77"/>
      </w:pPr>
    </w:p>
    <w:p>
      <w:pPr>
        <w:pStyle w:val="BodyText"/>
        <w:spacing w:line="276" w:lineRule="auto" w:before="1"/>
        <w:ind w:left="483" w:right="341"/>
        <w:jc w:val="both"/>
      </w:pPr>
      <w:r>
        <w:rPr/>
        <w:t>out of the child welfare system face - including identity documents with incorrect name and gender marker</w:t>
      </w:r>
      <w:r>
        <w:rPr>
          <w:spacing w:val="-5"/>
        </w:rPr>
        <w:t> </w:t>
      </w:r>
      <w:r>
        <w:rPr/>
        <w:t>information,</w:t>
      </w:r>
      <w:r>
        <w:rPr>
          <w:spacing w:val="-5"/>
        </w:rPr>
        <w:t> </w:t>
      </w:r>
      <w:r>
        <w:rPr/>
        <w:t>barriers</w:t>
      </w:r>
      <w:r>
        <w:rPr>
          <w:spacing w:val="-5"/>
        </w:rPr>
        <w:t> </w:t>
      </w:r>
      <w:r>
        <w:rPr/>
        <w:t>to</w:t>
      </w:r>
      <w:r>
        <w:rPr>
          <w:spacing w:val="-5"/>
        </w:rPr>
        <w:t> </w:t>
      </w:r>
      <w:r>
        <w:rPr/>
        <w:t>employment,</w:t>
      </w:r>
      <w:r>
        <w:rPr>
          <w:spacing w:val="-4"/>
        </w:rPr>
        <w:t> </w:t>
      </w:r>
      <w:r>
        <w:rPr/>
        <w:t>and</w:t>
      </w:r>
      <w:r>
        <w:rPr>
          <w:spacing w:val="-4"/>
        </w:rPr>
        <w:t> </w:t>
      </w:r>
      <w:r>
        <w:rPr/>
        <w:t>a</w:t>
      </w:r>
      <w:r>
        <w:rPr>
          <w:spacing w:val="-5"/>
        </w:rPr>
        <w:t> </w:t>
      </w:r>
      <w:r>
        <w:rPr/>
        <w:t>shortage</w:t>
      </w:r>
      <w:r>
        <w:rPr>
          <w:spacing w:val="-5"/>
        </w:rPr>
        <w:t> </w:t>
      </w:r>
      <w:r>
        <w:rPr/>
        <w:t>of</w:t>
      </w:r>
      <w:r>
        <w:rPr>
          <w:spacing w:val="-4"/>
        </w:rPr>
        <w:t> </w:t>
      </w:r>
      <w:r>
        <w:rPr/>
        <w:t>LGBTQ-affirming</w:t>
      </w:r>
      <w:r>
        <w:rPr>
          <w:spacing w:val="-5"/>
        </w:rPr>
        <w:t> </w:t>
      </w:r>
      <w:r>
        <w:rPr/>
        <w:t>housing</w:t>
      </w:r>
      <w:r>
        <w:rPr>
          <w:spacing w:val="-5"/>
        </w:rPr>
        <w:t> </w:t>
      </w:r>
      <w:r>
        <w:rPr/>
        <w:t>resources</w:t>
      </w:r>
      <w:r>
        <w:rPr>
          <w:spacing w:val="-5"/>
        </w:rPr>
        <w:t> </w:t>
      </w:r>
      <w:r>
        <w:rPr/>
        <w:t>-</w:t>
      </w:r>
      <w:r>
        <w:rPr>
          <w:spacing w:val="-4"/>
        </w:rPr>
        <w:t> </w:t>
      </w:r>
      <w:r>
        <w:rPr/>
        <w:t>and would</w:t>
      </w:r>
      <w:r>
        <w:rPr>
          <w:spacing w:val="-12"/>
        </w:rPr>
        <w:t> </w:t>
      </w:r>
      <w:r>
        <w:rPr/>
        <w:t>be</w:t>
      </w:r>
      <w:r>
        <w:rPr>
          <w:spacing w:val="-12"/>
        </w:rPr>
        <w:t> </w:t>
      </w:r>
      <w:r>
        <w:rPr/>
        <w:t>eager</w:t>
      </w:r>
      <w:r>
        <w:rPr>
          <w:spacing w:val="-12"/>
        </w:rPr>
        <w:t> </w:t>
      </w:r>
      <w:r>
        <w:rPr/>
        <w:t>to</w:t>
      </w:r>
      <w:r>
        <w:rPr>
          <w:spacing w:val="-11"/>
        </w:rPr>
        <w:t> </w:t>
      </w:r>
      <w:r>
        <w:rPr/>
        <w:t>work</w:t>
      </w:r>
      <w:r>
        <w:rPr>
          <w:spacing w:val="-12"/>
        </w:rPr>
        <w:t> </w:t>
      </w:r>
      <w:r>
        <w:rPr/>
        <w:t>with</w:t>
      </w:r>
      <w:r>
        <w:rPr>
          <w:spacing w:val="-12"/>
        </w:rPr>
        <w:t> </w:t>
      </w:r>
      <w:r>
        <w:rPr/>
        <w:t>OCA</w:t>
      </w:r>
      <w:r>
        <w:rPr>
          <w:spacing w:val="-11"/>
        </w:rPr>
        <w:t> </w:t>
      </w:r>
      <w:r>
        <w:rPr/>
        <w:t>to</w:t>
      </w:r>
      <w:r>
        <w:rPr>
          <w:spacing w:val="-11"/>
        </w:rPr>
        <w:t> </w:t>
      </w:r>
      <w:r>
        <w:rPr/>
        <w:t>ensure</w:t>
      </w:r>
      <w:r>
        <w:rPr>
          <w:spacing w:val="-13"/>
        </w:rPr>
        <w:t> </w:t>
      </w:r>
      <w:r>
        <w:rPr/>
        <w:t>state</w:t>
      </w:r>
      <w:r>
        <w:rPr>
          <w:spacing w:val="-11"/>
        </w:rPr>
        <w:t> </w:t>
      </w:r>
      <w:r>
        <w:rPr/>
        <w:t>efforts</w:t>
      </w:r>
      <w:r>
        <w:rPr>
          <w:spacing w:val="-11"/>
        </w:rPr>
        <w:t> </w:t>
      </w:r>
      <w:r>
        <w:rPr/>
        <w:t>address</w:t>
      </w:r>
      <w:r>
        <w:rPr>
          <w:spacing w:val="-11"/>
        </w:rPr>
        <w:t> </w:t>
      </w:r>
      <w:r>
        <w:rPr/>
        <w:t>these</w:t>
      </w:r>
      <w:r>
        <w:rPr>
          <w:spacing w:val="-13"/>
        </w:rPr>
        <w:t> </w:t>
      </w:r>
      <w:r>
        <w:rPr/>
        <w:t>issues.</w:t>
      </w:r>
      <w:r>
        <w:rPr>
          <w:spacing w:val="-11"/>
        </w:rPr>
        <w:t> </w:t>
      </w:r>
      <w:r>
        <w:rPr/>
        <w:t>OCA</w:t>
      </w:r>
      <w:r>
        <w:rPr>
          <w:spacing w:val="-13"/>
        </w:rPr>
        <w:t> </w:t>
      </w:r>
      <w:r>
        <w:rPr/>
        <w:t>shares</w:t>
      </w:r>
      <w:r>
        <w:rPr>
          <w:spacing w:val="-11"/>
        </w:rPr>
        <w:t> </w:t>
      </w:r>
      <w:r>
        <w:rPr/>
        <w:t>that</w:t>
      </w:r>
      <w:r>
        <w:rPr>
          <w:spacing w:val="-13"/>
        </w:rPr>
        <w:t> </w:t>
      </w:r>
      <w:r>
        <w:rPr/>
        <w:t>is</w:t>
      </w:r>
      <w:r>
        <w:rPr>
          <w:spacing w:val="-10"/>
        </w:rPr>
        <w:t> </w:t>
      </w:r>
      <w:r>
        <w:rPr/>
        <w:t>currently focusing</w:t>
      </w:r>
      <w:r>
        <w:rPr>
          <w:spacing w:val="-7"/>
        </w:rPr>
        <w:t> </w:t>
      </w:r>
      <w:r>
        <w:rPr/>
        <w:t>its</w:t>
      </w:r>
      <w:r>
        <w:rPr>
          <w:spacing w:val="-6"/>
        </w:rPr>
        <w:t> </w:t>
      </w:r>
      <w:r>
        <w:rPr/>
        <w:t>attention</w:t>
      </w:r>
      <w:r>
        <w:rPr>
          <w:spacing w:val="-7"/>
        </w:rPr>
        <w:t> </w:t>
      </w:r>
      <w:r>
        <w:rPr/>
        <w:t>in</w:t>
      </w:r>
      <w:r>
        <w:rPr>
          <w:spacing w:val="-7"/>
        </w:rPr>
        <w:t> </w:t>
      </w:r>
      <w:r>
        <w:rPr/>
        <w:t>this</w:t>
      </w:r>
      <w:r>
        <w:rPr>
          <w:spacing w:val="-7"/>
        </w:rPr>
        <w:t> </w:t>
      </w:r>
      <w:r>
        <w:rPr/>
        <w:t>area</w:t>
      </w:r>
      <w:r>
        <w:rPr>
          <w:spacing w:val="-7"/>
        </w:rPr>
        <w:t> </w:t>
      </w:r>
      <w:r>
        <w:rPr/>
        <w:t>on</w:t>
      </w:r>
      <w:r>
        <w:rPr>
          <w:spacing w:val="-7"/>
        </w:rPr>
        <w:t> </w:t>
      </w:r>
      <w:r>
        <w:rPr/>
        <w:t>the</w:t>
      </w:r>
      <w:r>
        <w:rPr>
          <w:spacing w:val="-5"/>
        </w:rPr>
        <w:t> </w:t>
      </w:r>
      <w:r>
        <w:rPr/>
        <w:t>Transition</w:t>
      </w:r>
      <w:r>
        <w:rPr>
          <w:spacing w:val="-7"/>
        </w:rPr>
        <w:t> </w:t>
      </w:r>
      <w:r>
        <w:rPr/>
        <w:t>Age</w:t>
      </w:r>
      <w:r>
        <w:rPr>
          <w:spacing w:val="-8"/>
        </w:rPr>
        <w:t> </w:t>
      </w:r>
      <w:r>
        <w:rPr/>
        <w:t>Youth</w:t>
      </w:r>
      <w:r>
        <w:rPr>
          <w:spacing w:val="-7"/>
        </w:rPr>
        <w:t> </w:t>
      </w:r>
      <w:r>
        <w:rPr/>
        <w:t>Housing</w:t>
      </w:r>
      <w:r>
        <w:rPr>
          <w:spacing w:val="-7"/>
        </w:rPr>
        <w:t> </w:t>
      </w:r>
      <w:r>
        <w:rPr/>
        <w:t>Support</w:t>
      </w:r>
      <w:r>
        <w:rPr>
          <w:spacing w:val="-7"/>
        </w:rPr>
        <w:t> </w:t>
      </w:r>
      <w:r>
        <w:rPr/>
        <w:t>and</w:t>
      </w:r>
      <w:r>
        <w:rPr>
          <w:spacing w:val="-7"/>
        </w:rPr>
        <w:t> </w:t>
      </w:r>
      <w:r>
        <w:rPr/>
        <w:t>Stabilization</w:t>
      </w:r>
      <w:r>
        <w:rPr>
          <w:spacing w:val="-8"/>
        </w:rPr>
        <w:t> </w:t>
      </w:r>
      <w:r>
        <w:rPr/>
        <w:t>program, which was launched in 2021 with EOHHS. The Commission appreciates the work of this program, particularly</w:t>
      </w:r>
      <w:r>
        <w:rPr>
          <w:spacing w:val="-4"/>
        </w:rPr>
        <w:t> </w:t>
      </w:r>
      <w:r>
        <w:rPr/>
        <w:t>its</w:t>
      </w:r>
      <w:r>
        <w:rPr>
          <w:spacing w:val="-5"/>
        </w:rPr>
        <w:t> </w:t>
      </w:r>
      <w:r>
        <w:rPr/>
        <w:t>flexibility</w:t>
      </w:r>
      <w:r>
        <w:rPr>
          <w:spacing w:val="-4"/>
        </w:rPr>
        <w:t> </w:t>
      </w:r>
      <w:r>
        <w:rPr/>
        <w:t>to</w:t>
      </w:r>
      <w:r>
        <w:rPr>
          <w:spacing w:val="-4"/>
        </w:rPr>
        <w:t> </w:t>
      </w:r>
      <w:r>
        <w:rPr/>
        <w:t>meet</w:t>
      </w:r>
      <w:r>
        <w:rPr>
          <w:spacing w:val="-5"/>
        </w:rPr>
        <w:t> </w:t>
      </w:r>
      <w:r>
        <w:rPr/>
        <w:t>the</w:t>
      </w:r>
      <w:r>
        <w:rPr>
          <w:spacing w:val="-4"/>
        </w:rPr>
        <w:t> </w:t>
      </w:r>
      <w:r>
        <w:rPr/>
        <w:t>specific</w:t>
      </w:r>
      <w:r>
        <w:rPr>
          <w:spacing w:val="-5"/>
        </w:rPr>
        <w:t> </w:t>
      </w:r>
      <w:r>
        <w:rPr/>
        <w:t>needs</w:t>
      </w:r>
      <w:r>
        <w:rPr>
          <w:spacing w:val="-5"/>
        </w:rPr>
        <w:t> </w:t>
      </w:r>
      <w:r>
        <w:rPr/>
        <w:t>of</w:t>
      </w:r>
      <w:r>
        <w:rPr>
          <w:spacing w:val="-4"/>
        </w:rPr>
        <w:t> </w:t>
      </w:r>
      <w:r>
        <w:rPr/>
        <w:t>youth</w:t>
      </w:r>
      <w:r>
        <w:rPr>
          <w:spacing w:val="-6"/>
        </w:rPr>
        <w:t> </w:t>
      </w:r>
      <w:r>
        <w:rPr/>
        <w:t>involved;</w:t>
      </w:r>
      <w:r>
        <w:rPr>
          <w:spacing w:val="-5"/>
        </w:rPr>
        <w:t> </w:t>
      </w:r>
      <w:r>
        <w:rPr/>
        <w:t>however,</w:t>
      </w:r>
      <w:r>
        <w:rPr>
          <w:spacing w:val="-4"/>
        </w:rPr>
        <w:t> </w:t>
      </w:r>
      <w:r>
        <w:rPr/>
        <w:t>in</w:t>
      </w:r>
      <w:r>
        <w:rPr>
          <w:spacing w:val="-6"/>
        </w:rPr>
        <w:t> </w:t>
      </w:r>
      <w:r>
        <w:rPr/>
        <w:t>the</w:t>
      </w:r>
      <w:r>
        <w:rPr>
          <w:spacing w:val="-4"/>
        </w:rPr>
        <w:t> </w:t>
      </w:r>
      <w:r>
        <w:rPr/>
        <w:t>evaluation</w:t>
      </w:r>
      <w:r>
        <w:rPr>
          <w:spacing w:val="-6"/>
        </w:rPr>
        <w:t> </w:t>
      </w:r>
      <w:r>
        <w:rPr/>
        <w:t>work</w:t>
      </w:r>
      <w:r>
        <w:rPr>
          <w:spacing w:val="-6"/>
        </w:rPr>
        <w:t> </w:t>
      </w:r>
      <w:r>
        <w:rPr/>
        <w:t>of this program, notes the need to have a more nuanced analysis of the experiences of LGBTQ youth and LGBTQ-specific needs, such as gender-affirming services, with particular attention to LGBTQ youth of </w:t>
      </w:r>
      <w:r>
        <w:rPr>
          <w:spacing w:val="-2"/>
        </w:rPr>
        <w:t>color.</w:t>
      </w:r>
    </w:p>
    <w:p>
      <w:pPr>
        <w:pStyle w:val="BodyText"/>
        <w:spacing w:line="276" w:lineRule="auto" w:before="240"/>
        <w:ind w:left="483" w:right="343"/>
        <w:jc w:val="both"/>
      </w:pPr>
      <w:r>
        <w:rPr/>
        <w:t>Additionally, the Commission understands that the OCA has been working on a new project to address the needs of transition-aged youth and is currently working with EOHHS on the project design and timeline. The Commission looks forward to participating in this pilot program and conversations around the launch in FY 2025.</w:t>
      </w:r>
    </w:p>
    <w:p>
      <w:pPr>
        <w:numPr>
          <w:ilvl w:val="0"/>
          <w:numId w:val="50"/>
        </w:numPr>
        <w:tabs>
          <w:tab w:pos="481" w:val="left" w:leader="none"/>
          <w:tab w:pos="483" w:val="left" w:leader="none"/>
        </w:tabs>
        <w:spacing w:line="276" w:lineRule="auto" w:before="239"/>
        <w:ind w:left="483" w:right="344" w:hanging="360"/>
        <w:jc w:val="left"/>
        <w:rPr>
          <w:b/>
          <w:sz w:val="22"/>
        </w:rPr>
      </w:pPr>
      <w:r>
        <w:rPr>
          <w:b/>
          <w:sz w:val="22"/>
        </w:rPr>
        <w:t>Continue to report on available SOGI data and collaborate with child-serving agencies on consistent</w:t>
      </w:r>
      <w:r>
        <w:rPr>
          <w:b/>
          <w:spacing w:val="40"/>
          <w:sz w:val="22"/>
        </w:rPr>
        <w:t> </w:t>
      </w:r>
      <w:r>
        <w:rPr>
          <w:b/>
          <w:sz w:val="22"/>
        </w:rPr>
        <w:t>reporting and intersectional data analysis.</w:t>
      </w:r>
    </w:p>
    <w:p>
      <w:pPr>
        <w:pStyle w:val="BodyText"/>
        <w:spacing w:line="276" w:lineRule="auto" w:before="241"/>
        <w:ind w:left="482" w:right="341"/>
        <w:jc w:val="both"/>
      </w:pPr>
      <w:r>
        <w:rPr/>
        <w:t>The Commission understands that the OCA faces several limitations, particularly around availability of data</w:t>
      </w:r>
      <w:r>
        <w:rPr>
          <w:spacing w:val="-5"/>
        </w:rPr>
        <w:t> </w:t>
      </w:r>
      <w:r>
        <w:rPr/>
        <w:t>from</w:t>
      </w:r>
      <w:r>
        <w:rPr>
          <w:spacing w:val="-5"/>
        </w:rPr>
        <w:t> </w:t>
      </w:r>
      <w:r>
        <w:rPr/>
        <w:t>child-serving</w:t>
      </w:r>
      <w:r>
        <w:rPr>
          <w:spacing w:val="-5"/>
        </w:rPr>
        <w:t> </w:t>
      </w:r>
      <w:r>
        <w:rPr/>
        <w:t>agencies,</w:t>
      </w:r>
      <w:r>
        <w:rPr>
          <w:spacing w:val="-5"/>
        </w:rPr>
        <w:t> </w:t>
      </w:r>
      <w:r>
        <w:rPr/>
        <w:t>in</w:t>
      </w:r>
      <w:r>
        <w:rPr>
          <w:spacing w:val="-5"/>
        </w:rPr>
        <w:t> </w:t>
      </w:r>
      <w:r>
        <w:rPr/>
        <w:t>its</w:t>
      </w:r>
      <w:r>
        <w:rPr>
          <w:spacing w:val="-4"/>
        </w:rPr>
        <w:t> </w:t>
      </w:r>
      <w:r>
        <w:rPr/>
        <w:t>data</w:t>
      </w:r>
      <w:r>
        <w:rPr>
          <w:spacing w:val="-5"/>
        </w:rPr>
        <w:t> </w:t>
      </w:r>
      <w:r>
        <w:rPr/>
        <w:t>analysis</w:t>
      </w:r>
      <w:r>
        <w:rPr>
          <w:spacing w:val="-5"/>
        </w:rPr>
        <w:t> </w:t>
      </w:r>
      <w:r>
        <w:rPr/>
        <w:t>and</w:t>
      </w:r>
      <w:r>
        <w:rPr>
          <w:spacing w:val="-6"/>
        </w:rPr>
        <w:t> </w:t>
      </w:r>
      <w:r>
        <w:rPr/>
        <w:t>reporting</w:t>
      </w:r>
      <w:r>
        <w:rPr>
          <w:spacing w:val="-5"/>
        </w:rPr>
        <w:t> </w:t>
      </w:r>
      <w:r>
        <w:rPr/>
        <w:t>work.</w:t>
      </w:r>
      <w:r>
        <w:rPr>
          <w:spacing w:val="-5"/>
        </w:rPr>
        <w:t> </w:t>
      </w:r>
      <w:r>
        <w:rPr/>
        <w:t>As</w:t>
      </w:r>
      <w:r>
        <w:rPr>
          <w:spacing w:val="-5"/>
        </w:rPr>
        <w:t> </w:t>
      </w:r>
      <w:r>
        <w:rPr/>
        <w:t>more</w:t>
      </w:r>
      <w:r>
        <w:rPr>
          <w:spacing w:val="-6"/>
        </w:rPr>
        <w:t> </w:t>
      </w:r>
      <w:r>
        <w:rPr/>
        <w:t>agencies,</w:t>
      </w:r>
      <w:r>
        <w:rPr>
          <w:spacing w:val="-5"/>
        </w:rPr>
        <w:t> </w:t>
      </w:r>
      <w:r>
        <w:rPr/>
        <w:t>including</w:t>
      </w:r>
      <w:r>
        <w:rPr>
          <w:spacing w:val="-5"/>
        </w:rPr>
        <w:t> </w:t>
      </w:r>
      <w:r>
        <w:rPr/>
        <w:t>DCF and</w:t>
      </w:r>
      <w:r>
        <w:rPr>
          <w:spacing w:val="-6"/>
        </w:rPr>
        <w:t> </w:t>
      </w:r>
      <w:r>
        <w:rPr/>
        <w:t>DYS,</w:t>
      </w:r>
      <w:r>
        <w:rPr>
          <w:spacing w:val="-4"/>
        </w:rPr>
        <w:t> </w:t>
      </w:r>
      <w:r>
        <w:rPr/>
        <w:t>continue</w:t>
      </w:r>
      <w:r>
        <w:rPr>
          <w:spacing w:val="-4"/>
        </w:rPr>
        <w:t> </w:t>
      </w:r>
      <w:r>
        <w:rPr/>
        <w:t>to</w:t>
      </w:r>
      <w:r>
        <w:rPr>
          <w:spacing w:val="-4"/>
        </w:rPr>
        <w:t> </w:t>
      </w:r>
      <w:r>
        <w:rPr/>
        <w:t>improve</w:t>
      </w:r>
      <w:r>
        <w:rPr>
          <w:spacing w:val="-6"/>
        </w:rPr>
        <w:t> </w:t>
      </w:r>
      <w:r>
        <w:rPr/>
        <w:t>their</w:t>
      </w:r>
      <w:r>
        <w:rPr>
          <w:spacing w:val="-4"/>
        </w:rPr>
        <w:t> </w:t>
      </w:r>
      <w:r>
        <w:rPr/>
        <w:t>SOGI</w:t>
      </w:r>
      <w:r>
        <w:rPr>
          <w:spacing w:val="-4"/>
        </w:rPr>
        <w:t> </w:t>
      </w:r>
      <w:r>
        <w:rPr/>
        <w:t>data</w:t>
      </w:r>
      <w:r>
        <w:rPr>
          <w:spacing w:val="-4"/>
        </w:rPr>
        <w:t> </w:t>
      </w:r>
      <w:r>
        <w:rPr/>
        <w:t>collection</w:t>
      </w:r>
      <w:r>
        <w:rPr>
          <w:spacing w:val="-6"/>
        </w:rPr>
        <w:t> </w:t>
      </w:r>
      <w:r>
        <w:rPr/>
        <w:t>standards</w:t>
      </w:r>
      <w:r>
        <w:rPr>
          <w:spacing w:val="-5"/>
        </w:rPr>
        <w:t> </w:t>
      </w:r>
      <w:r>
        <w:rPr/>
        <w:t>and</w:t>
      </w:r>
      <w:r>
        <w:rPr>
          <w:spacing w:val="-4"/>
        </w:rPr>
        <w:t> </w:t>
      </w:r>
      <w:r>
        <w:rPr/>
        <w:t>more</w:t>
      </w:r>
      <w:r>
        <w:rPr>
          <w:spacing w:val="-4"/>
        </w:rPr>
        <w:t> </w:t>
      </w:r>
      <w:r>
        <w:rPr/>
        <w:t>data</w:t>
      </w:r>
      <w:r>
        <w:rPr>
          <w:spacing w:val="-5"/>
        </w:rPr>
        <w:t> </w:t>
      </w:r>
      <w:r>
        <w:rPr/>
        <w:t>becomes</w:t>
      </w:r>
      <w:r>
        <w:rPr>
          <w:spacing w:val="-4"/>
        </w:rPr>
        <w:t> </w:t>
      </w:r>
      <w:r>
        <w:rPr/>
        <w:t>available,</w:t>
      </w:r>
      <w:r>
        <w:rPr>
          <w:spacing w:val="-5"/>
        </w:rPr>
        <w:t> </w:t>
      </w:r>
      <w:r>
        <w:rPr/>
        <w:t>the Commission advises that the OCA should implement a more intentional approach to intersectional analysis and reporting wherever possible, with the understanding that agencies sometimes may not be able to report this data due to low population sizes and confidentiality needs.</w:t>
      </w:r>
    </w:p>
    <w:p>
      <w:pPr>
        <w:pStyle w:val="BodyText"/>
        <w:spacing w:line="276" w:lineRule="auto" w:before="239"/>
        <w:ind w:left="482" w:right="343"/>
        <w:jc w:val="both"/>
      </w:pPr>
      <w:r>
        <w:rPr/>
        <w:t>As</w:t>
      </w:r>
      <w:r>
        <w:rPr>
          <w:spacing w:val="-6"/>
        </w:rPr>
        <w:t> </w:t>
      </w:r>
      <w:r>
        <w:rPr/>
        <w:t>previously</w:t>
      </w:r>
      <w:r>
        <w:rPr>
          <w:spacing w:val="-6"/>
        </w:rPr>
        <w:t> </w:t>
      </w:r>
      <w:r>
        <w:rPr/>
        <w:t>recommended,</w:t>
      </w:r>
      <w:r>
        <w:rPr>
          <w:spacing w:val="-6"/>
        </w:rPr>
        <w:t> </w:t>
      </w:r>
      <w:r>
        <w:rPr/>
        <w:t>the</w:t>
      </w:r>
      <w:r>
        <w:rPr>
          <w:spacing w:val="-7"/>
        </w:rPr>
        <w:t> </w:t>
      </w:r>
      <w:r>
        <w:rPr/>
        <w:t>Commission</w:t>
      </w:r>
      <w:r>
        <w:rPr>
          <w:spacing w:val="-7"/>
        </w:rPr>
        <w:t> </w:t>
      </w:r>
      <w:r>
        <w:rPr/>
        <w:t>advises</w:t>
      </w:r>
      <w:r>
        <w:rPr>
          <w:spacing w:val="-7"/>
        </w:rPr>
        <w:t> </w:t>
      </w:r>
      <w:r>
        <w:rPr/>
        <w:t>that</w:t>
      </w:r>
      <w:r>
        <w:rPr>
          <w:spacing w:val="-7"/>
        </w:rPr>
        <w:t> </w:t>
      </w:r>
      <w:r>
        <w:rPr/>
        <w:t>the</w:t>
      </w:r>
      <w:r>
        <w:rPr>
          <w:spacing w:val="-7"/>
        </w:rPr>
        <w:t> </w:t>
      </w:r>
      <w:r>
        <w:rPr/>
        <w:t>OCA</w:t>
      </w:r>
      <w:r>
        <w:rPr>
          <w:spacing w:val="-5"/>
        </w:rPr>
        <w:t> </w:t>
      </w:r>
      <w:r>
        <w:rPr/>
        <w:t>expand</w:t>
      </w:r>
      <w:r>
        <w:rPr>
          <w:spacing w:val="-5"/>
        </w:rPr>
        <w:t> </w:t>
      </w:r>
      <w:r>
        <w:rPr/>
        <w:t>its</w:t>
      </w:r>
      <w:r>
        <w:rPr>
          <w:spacing w:val="-6"/>
        </w:rPr>
        <w:t> </w:t>
      </w:r>
      <w:r>
        <w:rPr/>
        <w:t>reporting</w:t>
      </w:r>
      <w:r>
        <w:rPr>
          <w:spacing w:val="-7"/>
        </w:rPr>
        <w:t> </w:t>
      </w:r>
      <w:r>
        <w:rPr/>
        <w:t>practices</w:t>
      </w:r>
      <w:r>
        <w:rPr>
          <w:spacing w:val="-6"/>
        </w:rPr>
        <w:t> </w:t>
      </w:r>
      <w:r>
        <w:rPr/>
        <w:t>to</w:t>
      </w:r>
      <w:r>
        <w:rPr>
          <w:spacing w:val="-6"/>
        </w:rPr>
        <w:t> </w:t>
      </w:r>
      <w:r>
        <w:rPr/>
        <w:t>data on</w:t>
      </w:r>
      <w:r>
        <w:rPr>
          <w:spacing w:val="-2"/>
        </w:rPr>
        <w:t> </w:t>
      </w:r>
      <w:r>
        <w:rPr/>
        <w:t>LGBTQ</w:t>
      </w:r>
      <w:r>
        <w:rPr>
          <w:spacing w:val="-2"/>
        </w:rPr>
        <w:t> </w:t>
      </w:r>
      <w:r>
        <w:rPr/>
        <w:t>youth</w:t>
      </w:r>
      <w:r>
        <w:rPr>
          <w:spacing w:val="-1"/>
        </w:rPr>
        <w:t> </w:t>
      </w:r>
      <w:r>
        <w:rPr/>
        <w:t>involved</w:t>
      </w:r>
      <w:r>
        <w:rPr>
          <w:spacing w:val="-2"/>
        </w:rPr>
        <w:t> </w:t>
      </w:r>
      <w:r>
        <w:rPr/>
        <w:t>in</w:t>
      </w:r>
      <w:r>
        <w:rPr>
          <w:spacing w:val="-2"/>
        </w:rPr>
        <w:t> </w:t>
      </w:r>
      <w:r>
        <w:rPr/>
        <w:t>critical</w:t>
      </w:r>
      <w:r>
        <w:rPr>
          <w:spacing w:val="-1"/>
        </w:rPr>
        <w:t> </w:t>
      </w:r>
      <w:r>
        <w:rPr/>
        <w:t>incidents;</w:t>
      </w:r>
      <w:r>
        <w:rPr>
          <w:spacing w:val="-1"/>
        </w:rPr>
        <w:t> </w:t>
      </w:r>
      <w:r>
        <w:rPr/>
        <w:t>in</w:t>
      </w:r>
      <w:r>
        <w:rPr>
          <w:spacing w:val="-2"/>
        </w:rPr>
        <w:t> </w:t>
      </w:r>
      <w:r>
        <w:rPr/>
        <w:t>response,</w:t>
      </w:r>
      <w:r>
        <w:rPr>
          <w:spacing w:val="-2"/>
        </w:rPr>
        <w:t> </w:t>
      </w:r>
      <w:r>
        <w:rPr/>
        <w:t>the</w:t>
      </w:r>
      <w:r>
        <w:rPr>
          <w:spacing w:val="-1"/>
        </w:rPr>
        <w:t> </w:t>
      </w:r>
      <w:r>
        <w:rPr/>
        <w:t>OCA</w:t>
      </w:r>
      <w:r>
        <w:rPr>
          <w:spacing w:val="-2"/>
        </w:rPr>
        <w:t> </w:t>
      </w:r>
      <w:r>
        <w:rPr/>
        <w:t>has</w:t>
      </w:r>
      <w:r>
        <w:rPr>
          <w:spacing w:val="-1"/>
        </w:rPr>
        <w:t> </w:t>
      </w:r>
      <w:r>
        <w:rPr/>
        <w:t>shared with</w:t>
      </w:r>
      <w:r>
        <w:rPr>
          <w:spacing w:val="-1"/>
        </w:rPr>
        <w:t> </w:t>
      </w:r>
      <w:r>
        <w:rPr/>
        <w:t>the</w:t>
      </w:r>
      <w:r>
        <w:rPr>
          <w:spacing w:val="-1"/>
        </w:rPr>
        <w:t> </w:t>
      </w:r>
      <w:r>
        <w:rPr/>
        <w:t>Commission</w:t>
      </w:r>
      <w:r>
        <w:rPr>
          <w:spacing w:val="-2"/>
        </w:rPr>
        <w:t> </w:t>
      </w:r>
      <w:r>
        <w:rPr/>
        <w:t>that it is currently in the process of updating its database to better track and identify patterns and trends to address this issue. In May 2024, the OCA shared that it has recently done a complete overhaul of its database</w:t>
      </w:r>
      <w:r>
        <w:rPr>
          <w:spacing w:val="-1"/>
        </w:rPr>
        <w:t> </w:t>
      </w:r>
      <w:r>
        <w:rPr/>
        <w:t>over the past fiscal</w:t>
      </w:r>
      <w:r>
        <w:rPr>
          <w:spacing w:val="-1"/>
        </w:rPr>
        <w:t> </w:t>
      </w:r>
      <w:r>
        <w:rPr/>
        <w:t>year and is now collecting much more</w:t>
      </w:r>
      <w:r>
        <w:rPr>
          <w:spacing w:val="-1"/>
        </w:rPr>
        <w:t> </w:t>
      </w:r>
      <w:r>
        <w:rPr/>
        <w:t>demographic</w:t>
      </w:r>
      <w:r>
        <w:rPr>
          <w:spacing w:val="-1"/>
        </w:rPr>
        <w:t> </w:t>
      </w:r>
      <w:r>
        <w:rPr/>
        <w:t>data and risk</w:t>
      </w:r>
      <w:r>
        <w:rPr>
          <w:spacing w:val="-1"/>
        </w:rPr>
        <w:t> </w:t>
      </w:r>
      <w:r>
        <w:rPr/>
        <w:t>factors of the youth who come to its attention. Mirrored after the SOGI data collection categories of DCF, the OCA also</w:t>
      </w:r>
      <w:r>
        <w:rPr>
          <w:spacing w:val="-1"/>
        </w:rPr>
        <w:t> </w:t>
      </w:r>
      <w:r>
        <w:rPr/>
        <w:t>added</w:t>
      </w:r>
      <w:r>
        <w:rPr>
          <w:spacing w:val="-1"/>
        </w:rPr>
        <w:t> </w:t>
      </w:r>
      <w:r>
        <w:rPr/>
        <w:t>many</w:t>
      </w:r>
      <w:r>
        <w:rPr>
          <w:spacing w:val="-2"/>
        </w:rPr>
        <w:t> </w:t>
      </w:r>
      <w:r>
        <w:rPr/>
        <w:t>of</w:t>
      </w:r>
      <w:r>
        <w:rPr>
          <w:spacing w:val="-2"/>
        </w:rPr>
        <w:t> </w:t>
      </w:r>
      <w:r>
        <w:rPr/>
        <w:t>the</w:t>
      </w:r>
      <w:r>
        <w:rPr>
          <w:spacing w:val="-1"/>
        </w:rPr>
        <w:t> </w:t>
      </w:r>
      <w:r>
        <w:rPr/>
        <w:t>compounding</w:t>
      </w:r>
      <w:r>
        <w:rPr>
          <w:spacing w:val="-1"/>
        </w:rPr>
        <w:t> </w:t>
      </w:r>
      <w:r>
        <w:rPr/>
        <w:t>factors</w:t>
      </w:r>
      <w:r>
        <w:rPr>
          <w:spacing w:val="-2"/>
        </w:rPr>
        <w:t> </w:t>
      </w:r>
      <w:r>
        <w:rPr/>
        <w:t>the</w:t>
      </w:r>
      <w:r>
        <w:rPr>
          <w:spacing w:val="-1"/>
        </w:rPr>
        <w:t> </w:t>
      </w:r>
      <w:r>
        <w:rPr/>
        <w:t>Commission</w:t>
      </w:r>
      <w:r>
        <w:rPr>
          <w:spacing w:val="-2"/>
        </w:rPr>
        <w:t> </w:t>
      </w:r>
      <w:r>
        <w:rPr/>
        <w:t>has previously</w:t>
      </w:r>
      <w:r>
        <w:rPr>
          <w:spacing w:val="-2"/>
        </w:rPr>
        <w:t> </w:t>
      </w:r>
      <w:r>
        <w:rPr/>
        <w:t>shared</w:t>
      </w:r>
      <w:r>
        <w:rPr>
          <w:spacing w:val="-2"/>
        </w:rPr>
        <w:t> </w:t>
      </w:r>
      <w:r>
        <w:rPr/>
        <w:t>to</w:t>
      </w:r>
      <w:r>
        <w:rPr>
          <w:spacing w:val="-1"/>
        </w:rPr>
        <w:t> </w:t>
      </w:r>
      <w:r>
        <w:rPr/>
        <w:t>its</w:t>
      </w:r>
      <w:r>
        <w:rPr>
          <w:spacing w:val="-2"/>
        </w:rPr>
        <w:t> </w:t>
      </w:r>
      <w:r>
        <w:rPr/>
        <w:t>risk</w:t>
      </w:r>
      <w:r>
        <w:rPr>
          <w:spacing w:val="-2"/>
        </w:rPr>
        <w:t> </w:t>
      </w:r>
      <w:r>
        <w:rPr/>
        <w:t>factor</w:t>
      </w:r>
      <w:r>
        <w:rPr>
          <w:spacing w:val="-1"/>
        </w:rPr>
        <w:t> </w:t>
      </w:r>
      <w:r>
        <w:rPr/>
        <w:t>list.</w:t>
      </w:r>
    </w:p>
    <w:p>
      <w:pPr>
        <w:pStyle w:val="BodyText"/>
        <w:spacing w:line="276" w:lineRule="auto" w:before="241"/>
        <w:ind w:left="483" w:right="340"/>
        <w:jc w:val="both"/>
      </w:pPr>
      <w:r>
        <w:rPr/>
        <w:t>Furthermore,</w:t>
      </w:r>
      <w:r>
        <w:rPr>
          <w:spacing w:val="-11"/>
        </w:rPr>
        <w:t> </w:t>
      </w:r>
      <w:r>
        <w:rPr/>
        <w:t>the</w:t>
      </w:r>
      <w:r>
        <w:rPr>
          <w:spacing w:val="-11"/>
        </w:rPr>
        <w:t> </w:t>
      </w:r>
      <w:r>
        <w:rPr/>
        <w:t>Commission</w:t>
      </w:r>
      <w:r>
        <w:rPr>
          <w:spacing w:val="-11"/>
        </w:rPr>
        <w:t> </w:t>
      </w:r>
      <w:r>
        <w:rPr/>
        <w:t>notes</w:t>
      </w:r>
      <w:r>
        <w:rPr>
          <w:spacing w:val="-11"/>
        </w:rPr>
        <w:t> </w:t>
      </w:r>
      <w:r>
        <w:rPr/>
        <w:t>the</w:t>
      </w:r>
      <w:r>
        <w:rPr>
          <w:spacing w:val="-10"/>
        </w:rPr>
        <w:t> </w:t>
      </w:r>
      <w:r>
        <w:rPr/>
        <w:t>importance</w:t>
      </w:r>
      <w:r>
        <w:rPr>
          <w:spacing w:val="-11"/>
        </w:rPr>
        <w:t> </w:t>
      </w:r>
      <w:r>
        <w:rPr/>
        <w:t>of</w:t>
      </w:r>
      <w:r>
        <w:rPr>
          <w:spacing w:val="-11"/>
        </w:rPr>
        <w:t> </w:t>
      </w:r>
      <w:r>
        <w:rPr/>
        <w:t>the</w:t>
      </w:r>
      <w:r>
        <w:rPr>
          <w:spacing w:val="-10"/>
        </w:rPr>
        <w:t> </w:t>
      </w:r>
      <w:r>
        <w:rPr/>
        <w:t>contributions</w:t>
      </w:r>
      <w:r>
        <w:rPr>
          <w:spacing w:val="-11"/>
        </w:rPr>
        <w:t> </w:t>
      </w:r>
      <w:r>
        <w:rPr/>
        <w:t>of</w:t>
      </w:r>
      <w:r>
        <w:rPr>
          <w:spacing w:val="-11"/>
        </w:rPr>
        <w:t> </w:t>
      </w:r>
      <w:r>
        <w:rPr/>
        <w:t>the</w:t>
      </w:r>
      <w:r>
        <w:rPr>
          <w:spacing w:val="-10"/>
        </w:rPr>
        <w:t> </w:t>
      </w:r>
      <w:r>
        <w:rPr/>
        <w:t>Juvenile</w:t>
      </w:r>
      <w:r>
        <w:rPr>
          <w:spacing w:val="-10"/>
        </w:rPr>
        <w:t> </w:t>
      </w:r>
      <w:r>
        <w:rPr/>
        <w:t>Justice</w:t>
      </w:r>
      <w:r>
        <w:rPr>
          <w:spacing w:val="-11"/>
        </w:rPr>
        <w:t> </w:t>
      </w:r>
      <w:r>
        <w:rPr/>
        <w:t>Policy</w:t>
      </w:r>
      <w:r>
        <w:rPr>
          <w:spacing w:val="-11"/>
        </w:rPr>
        <w:t> </w:t>
      </w:r>
      <w:r>
        <w:rPr/>
        <w:t>and Data</w:t>
      </w:r>
      <w:r>
        <w:rPr>
          <w:spacing w:val="-10"/>
        </w:rPr>
        <w:t> </w:t>
      </w:r>
      <w:r>
        <w:rPr/>
        <w:t>Board</w:t>
      </w:r>
      <w:r>
        <w:rPr>
          <w:spacing w:val="-10"/>
        </w:rPr>
        <w:t> </w:t>
      </w:r>
      <w:r>
        <w:rPr/>
        <w:t>(JJPAD)</w:t>
      </w:r>
      <w:r>
        <w:rPr>
          <w:spacing w:val="-10"/>
        </w:rPr>
        <w:t> </w:t>
      </w:r>
      <w:r>
        <w:rPr/>
        <w:t>and</w:t>
      </w:r>
      <w:r>
        <w:rPr>
          <w:spacing w:val="-9"/>
        </w:rPr>
        <w:t> </w:t>
      </w:r>
      <w:r>
        <w:rPr/>
        <w:t>the</w:t>
      </w:r>
      <w:r>
        <w:rPr>
          <w:spacing w:val="-10"/>
        </w:rPr>
        <w:t> </w:t>
      </w:r>
      <w:r>
        <w:rPr/>
        <w:t>Childhood</w:t>
      </w:r>
      <w:r>
        <w:rPr>
          <w:spacing w:val="-9"/>
        </w:rPr>
        <w:t> </w:t>
      </w:r>
      <w:r>
        <w:rPr/>
        <w:t>Trauma</w:t>
      </w:r>
      <w:r>
        <w:rPr>
          <w:spacing w:val="-10"/>
        </w:rPr>
        <w:t> </w:t>
      </w:r>
      <w:r>
        <w:rPr/>
        <w:t>Task</w:t>
      </w:r>
      <w:r>
        <w:rPr>
          <w:spacing w:val="-9"/>
        </w:rPr>
        <w:t> </w:t>
      </w:r>
      <w:r>
        <w:rPr/>
        <w:t>Force</w:t>
      </w:r>
      <w:r>
        <w:rPr>
          <w:spacing w:val="-9"/>
        </w:rPr>
        <w:t> </w:t>
      </w:r>
      <w:r>
        <w:rPr/>
        <w:t>to</w:t>
      </w:r>
      <w:r>
        <w:rPr>
          <w:spacing w:val="-10"/>
        </w:rPr>
        <w:t> </w:t>
      </w:r>
      <w:r>
        <w:rPr/>
        <w:t>the</w:t>
      </w:r>
      <w:r>
        <w:rPr>
          <w:spacing w:val="-9"/>
        </w:rPr>
        <w:t> </w:t>
      </w:r>
      <w:r>
        <w:rPr/>
        <w:t>significant</w:t>
      </w:r>
      <w:r>
        <w:rPr>
          <w:spacing w:val="-9"/>
        </w:rPr>
        <w:t> </w:t>
      </w:r>
      <w:r>
        <w:rPr/>
        <w:t>gaps</w:t>
      </w:r>
      <w:r>
        <w:rPr>
          <w:spacing w:val="-10"/>
        </w:rPr>
        <w:t> </w:t>
      </w:r>
      <w:r>
        <w:rPr/>
        <w:t>in</w:t>
      </w:r>
      <w:r>
        <w:rPr>
          <w:spacing w:val="-9"/>
        </w:rPr>
        <w:t> </w:t>
      </w:r>
      <w:r>
        <w:rPr/>
        <w:t>research</w:t>
      </w:r>
      <w:r>
        <w:rPr>
          <w:spacing w:val="-8"/>
        </w:rPr>
        <w:t> </w:t>
      </w:r>
      <w:r>
        <w:rPr/>
        <w:t>on</w:t>
      </w:r>
      <w:r>
        <w:rPr>
          <w:spacing w:val="-10"/>
        </w:rPr>
        <w:t> </w:t>
      </w:r>
      <w:r>
        <w:rPr/>
        <w:t>youth</w:t>
      </w:r>
      <w:r>
        <w:rPr>
          <w:spacing w:val="-9"/>
        </w:rPr>
        <w:t> </w:t>
      </w:r>
      <w:r>
        <w:rPr/>
        <w:t>who are</w:t>
      </w:r>
      <w:r>
        <w:rPr>
          <w:spacing w:val="-13"/>
        </w:rPr>
        <w:t> </w:t>
      </w:r>
      <w:r>
        <w:rPr/>
        <w:t>dually-involved</w:t>
      </w:r>
      <w:r>
        <w:rPr>
          <w:spacing w:val="-12"/>
        </w:rPr>
        <w:t> </w:t>
      </w:r>
      <w:r>
        <w:rPr/>
        <w:t>in</w:t>
      </w:r>
      <w:r>
        <w:rPr>
          <w:spacing w:val="-10"/>
        </w:rPr>
        <w:t> </w:t>
      </w:r>
      <w:r>
        <w:rPr/>
        <w:t>the</w:t>
      </w:r>
      <w:r>
        <w:rPr>
          <w:spacing w:val="-12"/>
        </w:rPr>
        <w:t> </w:t>
      </w:r>
      <w:r>
        <w:rPr/>
        <w:t>child</w:t>
      </w:r>
      <w:r>
        <w:rPr>
          <w:spacing w:val="-12"/>
        </w:rPr>
        <w:t> </w:t>
      </w:r>
      <w:r>
        <w:rPr/>
        <w:t>welfare</w:t>
      </w:r>
      <w:r>
        <w:rPr>
          <w:spacing w:val="-12"/>
        </w:rPr>
        <w:t> </w:t>
      </w:r>
      <w:r>
        <w:rPr/>
        <w:t>and</w:t>
      </w:r>
      <w:r>
        <w:rPr>
          <w:spacing w:val="-13"/>
        </w:rPr>
        <w:t> </w:t>
      </w:r>
      <w:r>
        <w:rPr/>
        <w:t>juvenile</w:t>
      </w:r>
      <w:r>
        <w:rPr>
          <w:spacing w:val="-11"/>
        </w:rPr>
        <w:t> </w:t>
      </w:r>
      <w:r>
        <w:rPr/>
        <w:t>justice</w:t>
      </w:r>
      <w:r>
        <w:rPr>
          <w:spacing w:val="-12"/>
        </w:rPr>
        <w:t> </w:t>
      </w:r>
      <w:r>
        <w:rPr/>
        <w:t>systems.</w:t>
      </w:r>
      <w:r>
        <w:rPr>
          <w:spacing w:val="-12"/>
        </w:rPr>
        <w:t> </w:t>
      </w:r>
      <w:r>
        <w:rPr/>
        <w:t>The</w:t>
      </w:r>
      <w:r>
        <w:rPr>
          <w:spacing w:val="-12"/>
        </w:rPr>
        <w:t> </w:t>
      </w:r>
      <w:r>
        <w:rPr/>
        <w:t>Commission</w:t>
      </w:r>
      <w:r>
        <w:rPr>
          <w:spacing w:val="-13"/>
        </w:rPr>
        <w:t> </w:t>
      </w:r>
      <w:r>
        <w:rPr/>
        <w:t>is</w:t>
      </w:r>
      <w:r>
        <w:rPr>
          <w:spacing w:val="-10"/>
        </w:rPr>
        <w:t> </w:t>
      </w:r>
      <w:r>
        <w:rPr/>
        <w:t>aware</w:t>
      </w:r>
      <w:r>
        <w:rPr>
          <w:spacing w:val="-11"/>
        </w:rPr>
        <w:t> </w:t>
      </w:r>
      <w:r>
        <w:rPr/>
        <w:t>that</w:t>
      </w:r>
      <w:r>
        <w:rPr>
          <w:spacing w:val="-12"/>
        </w:rPr>
        <w:t> </w:t>
      </w:r>
      <w:r>
        <w:rPr/>
        <w:t>neither the OCA nor the JJPAD have the authority to order any state agency to collect data in a particular way, though it does collaborate with relevant agencies and can consistently advise and hold agencies accountable for their data collection practices and failures.</w:t>
      </w:r>
    </w:p>
    <w:p>
      <w:pPr>
        <w:spacing w:after="0" w:line="276" w:lineRule="auto"/>
        <w:jc w:val="both"/>
        <w:sectPr>
          <w:pgSz w:w="12240" w:h="15840"/>
          <w:pgMar w:header="804" w:footer="1281" w:top="1000" w:bottom="1480" w:left="960" w:right="1100"/>
        </w:sectPr>
      </w:pPr>
    </w:p>
    <w:p>
      <w:pPr>
        <w:pStyle w:val="BodyText"/>
        <w:spacing w:before="77"/>
      </w:pPr>
    </w:p>
    <w:p>
      <w:pPr>
        <w:numPr>
          <w:ilvl w:val="0"/>
          <w:numId w:val="50"/>
        </w:numPr>
        <w:tabs>
          <w:tab w:pos="481" w:val="left" w:leader="none"/>
          <w:tab w:pos="483" w:val="left" w:leader="none"/>
        </w:tabs>
        <w:spacing w:line="276" w:lineRule="auto" w:before="1"/>
        <w:ind w:left="483" w:right="346" w:hanging="360"/>
        <w:jc w:val="left"/>
        <w:rPr>
          <w:b/>
          <w:sz w:val="22"/>
        </w:rPr>
      </w:pPr>
      <w:r>
        <w:rPr>
          <w:b/>
          <w:sz w:val="22"/>
        </w:rPr>
        <w:t>Examine</w:t>
      </w:r>
      <w:r>
        <w:rPr>
          <w:b/>
          <w:spacing w:val="-8"/>
          <w:sz w:val="22"/>
        </w:rPr>
        <w:t> </w:t>
      </w:r>
      <w:r>
        <w:rPr>
          <w:b/>
          <w:sz w:val="22"/>
        </w:rPr>
        <w:t>needs</w:t>
      </w:r>
      <w:r>
        <w:rPr>
          <w:b/>
          <w:spacing w:val="-9"/>
          <w:sz w:val="22"/>
        </w:rPr>
        <w:t> </w:t>
      </w:r>
      <w:r>
        <w:rPr>
          <w:b/>
          <w:sz w:val="22"/>
        </w:rPr>
        <w:t>of</w:t>
      </w:r>
      <w:r>
        <w:rPr>
          <w:b/>
          <w:spacing w:val="-8"/>
          <w:sz w:val="22"/>
        </w:rPr>
        <w:t> </w:t>
      </w:r>
      <w:r>
        <w:rPr>
          <w:b/>
          <w:sz w:val="22"/>
        </w:rPr>
        <w:t>LGBTQ</w:t>
      </w:r>
      <w:r>
        <w:rPr>
          <w:b/>
          <w:spacing w:val="-8"/>
          <w:sz w:val="22"/>
        </w:rPr>
        <w:t> </w:t>
      </w:r>
      <w:r>
        <w:rPr>
          <w:b/>
          <w:sz w:val="22"/>
        </w:rPr>
        <w:t>youth</w:t>
      </w:r>
      <w:r>
        <w:rPr>
          <w:b/>
          <w:spacing w:val="-9"/>
          <w:sz w:val="22"/>
        </w:rPr>
        <w:t> </w:t>
      </w:r>
      <w:r>
        <w:rPr>
          <w:b/>
          <w:sz w:val="22"/>
        </w:rPr>
        <w:t>in</w:t>
      </w:r>
      <w:r>
        <w:rPr>
          <w:b/>
          <w:spacing w:val="-8"/>
          <w:sz w:val="22"/>
        </w:rPr>
        <w:t> </w:t>
      </w:r>
      <w:r>
        <w:rPr>
          <w:b/>
          <w:sz w:val="22"/>
        </w:rPr>
        <w:t>residential</w:t>
      </w:r>
      <w:r>
        <w:rPr>
          <w:b/>
          <w:spacing w:val="-9"/>
          <w:sz w:val="22"/>
        </w:rPr>
        <w:t> </w:t>
      </w:r>
      <w:r>
        <w:rPr>
          <w:b/>
          <w:sz w:val="22"/>
        </w:rPr>
        <w:t>schools</w:t>
      </w:r>
      <w:r>
        <w:rPr>
          <w:b/>
          <w:spacing w:val="-9"/>
          <w:sz w:val="22"/>
        </w:rPr>
        <w:t> </w:t>
      </w:r>
      <w:r>
        <w:rPr>
          <w:b/>
          <w:sz w:val="22"/>
        </w:rPr>
        <w:t>and</w:t>
      </w:r>
      <w:r>
        <w:rPr>
          <w:b/>
          <w:spacing w:val="-9"/>
          <w:sz w:val="22"/>
        </w:rPr>
        <w:t> </w:t>
      </w:r>
      <w:r>
        <w:rPr>
          <w:b/>
          <w:sz w:val="22"/>
        </w:rPr>
        <w:t>identify</w:t>
      </w:r>
      <w:r>
        <w:rPr>
          <w:b/>
          <w:spacing w:val="-8"/>
          <w:sz w:val="22"/>
        </w:rPr>
        <w:t> </w:t>
      </w:r>
      <w:r>
        <w:rPr>
          <w:b/>
          <w:sz w:val="22"/>
        </w:rPr>
        <w:t>opportunities</w:t>
      </w:r>
      <w:r>
        <w:rPr>
          <w:b/>
          <w:spacing w:val="-9"/>
          <w:sz w:val="22"/>
        </w:rPr>
        <w:t> </w:t>
      </w:r>
      <w:r>
        <w:rPr>
          <w:b/>
          <w:sz w:val="22"/>
        </w:rPr>
        <w:t>to</w:t>
      </w:r>
      <w:r>
        <w:rPr>
          <w:b/>
          <w:spacing w:val="-9"/>
          <w:sz w:val="22"/>
        </w:rPr>
        <w:t> </w:t>
      </w:r>
      <w:r>
        <w:rPr>
          <w:b/>
          <w:sz w:val="22"/>
        </w:rPr>
        <w:t>collaborate</w:t>
      </w:r>
      <w:r>
        <w:rPr>
          <w:b/>
          <w:spacing w:val="-8"/>
          <w:sz w:val="22"/>
        </w:rPr>
        <w:t> </w:t>
      </w:r>
      <w:r>
        <w:rPr>
          <w:b/>
          <w:sz w:val="22"/>
        </w:rPr>
        <w:t>with</w:t>
      </w:r>
      <w:r>
        <w:rPr>
          <w:b/>
          <w:spacing w:val="-8"/>
          <w:sz w:val="22"/>
        </w:rPr>
        <w:t> </w:t>
      </w:r>
      <w:r>
        <w:rPr>
          <w:b/>
          <w:sz w:val="22"/>
        </w:rPr>
        <w:t>the Commission’s Safe Schools Program.</w:t>
      </w:r>
    </w:p>
    <w:p>
      <w:pPr>
        <w:pStyle w:val="BodyText"/>
        <w:spacing w:line="276" w:lineRule="auto" w:before="240"/>
        <w:ind w:left="483" w:right="342"/>
        <w:jc w:val="both"/>
      </w:pPr>
      <w:r>
        <w:rPr/>
        <w:t>Very little is known about the experiences of LGBTQ youth in residential schools in Massachusetts. The Commission</w:t>
      </w:r>
      <w:r>
        <w:rPr>
          <w:spacing w:val="-13"/>
        </w:rPr>
        <w:t> </w:t>
      </w:r>
      <w:r>
        <w:rPr/>
        <w:t>appreciates</w:t>
      </w:r>
      <w:r>
        <w:rPr>
          <w:spacing w:val="-12"/>
        </w:rPr>
        <w:t> </w:t>
      </w:r>
      <w:r>
        <w:rPr/>
        <w:t>OCA’s</w:t>
      </w:r>
      <w:r>
        <w:rPr>
          <w:spacing w:val="-12"/>
        </w:rPr>
        <w:t> </w:t>
      </w:r>
      <w:r>
        <w:rPr/>
        <w:t>2017</w:t>
      </w:r>
      <w:r>
        <w:rPr>
          <w:spacing w:val="-13"/>
        </w:rPr>
        <w:t> </w:t>
      </w:r>
      <w:r>
        <w:rPr/>
        <w:t>report</w:t>
      </w:r>
      <w:r>
        <w:rPr>
          <w:spacing w:val="-12"/>
        </w:rPr>
        <w:t> </w:t>
      </w:r>
      <w:r>
        <w:rPr/>
        <w:t>of</w:t>
      </w:r>
      <w:r>
        <w:rPr>
          <w:spacing w:val="-12"/>
        </w:rPr>
        <w:t> </w:t>
      </w:r>
      <w:r>
        <w:rPr/>
        <w:t>the</w:t>
      </w:r>
      <w:r>
        <w:rPr>
          <w:spacing w:val="-13"/>
        </w:rPr>
        <w:t> </w:t>
      </w:r>
      <w:r>
        <w:rPr/>
        <w:t>Interagency</w:t>
      </w:r>
      <w:r>
        <w:rPr>
          <w:spacing w:val="-11"/>
        </w:rPr>
        <w:t> </w:t>
      </w:r>
      <w:r>
        <w:rPr/>
        <w:t>Working</w:t>
      </w:r>
      <w:r>
        <w:rPr>
          <w:spacing w:val="-11"/>
        </w:rPr>
        <w:t> </w:t>
      </w:r>
      <w:r>
        <w:rPr/>
        <w:t>Group</w:t>
      </w:r>
      <w:r>
        <w:rPr>
          <w:spacing w:val="-13"/>
        </w:rPr>
        <w:t> </w:t>
      </w:r>
      <w:r>
        <w:rPr/>
        <w:t>on</w:t>
      </w:r>
      <w:r>
        <w:rPr>
          <w:spacing w:val="-12"/>
        </w:rPr>
        <w:t> </w:t>
      </w:r>
      <w:r>
        <w:rPr/>
        <w:t>Residential</w:t>
      </w:r>
      <w:r>
        <w:rPr>
          <w:spacing w:val="-11"/>
        </w:rPr>
        <w:t> </w:t>
      </w:r>
      <w:r>
        <w:rPr/>
        <w:t>Schools,</w:t>
      </w:r>
      <w:r>
        <w:rPr>
          <w:spacing w:val="-13"/>
        </w:rPr>
        <w:t> </w:t>
      </w:r>
      <w:r>
        <w:rPr/>
        <w:t>and its interest in addressing this area more concretely. Residential schools are licensed by both DESE and EEC, and, as noted by </w:t>
      </w:r>
      <w:hyperlink r:id="rId783">
        <w:r>
          <w:rPr>
            <w:u w:val="single"/>
          </w:rPr>
          <w:t>the Boston Globe</w:t>
        </w:r>
      </w:hyperlink>
      <w:r>
        <w:rPr>
          <w:u w:val="none"/>
        </w:rPr>
        <w:t> in September 2023, there remain complicated issues to address due to systemic gaps and policy failures. In FY 2024, the OCA shared that its interagency meetings with DMH, EOE, EEC, DESE, and DCF typically act as an information sharing session to identify any concerns with specific residential schools or system-wide trends; ensures that agencies understand any concerns; and assists in coordinating responses as necessary.</w:t>
      </w:r>
    </w:p>
    <w:p>
      <w:pPr>
        <w:pStyle w:val="BodyText"/>
        <w:spacing w:line="276" w:lineRule="auto" w:before="240"/>
        <w:ind w:left="483" w:right="344"/>
        <w:jc w:val="both"/>
      </w:pPr>
      <w:r>
        <w:rPr/>
        <w:t>The Commission recommends that as the OCA continues to work to address systemic gaps in service provision for residential schools that it investigates into the specific experiences of LGBTQ youth in the schools. The Commission further recommends that the OCA publicly reports out on the workings of the interagency group</w:t>
      </w:r>
      <w:r>
        <w:rPr>
          <w:spacing w:val="-2"/>
        </w:rPr>
        <w:t> </w:t>
      </w:r>
      <w:r>
        <w:rPr/>
        <w:t>or</w:t>
      </w:r>
      <w:r>
        <w:rPr>
          <w:spacing w:val="-1"/>
        </w:rPr>
        <w:t> </w:t>
      </w:r>
      <w:r>
        <w:rPr/>
        <w:t>works</w:t>
      </w:r>
      <w:r>
        <w:rPr>
          <w:spacing w:val="-1"/>
        </w:rPr>
        <w:t> </w:t>
      </w:r>
      <w:r>
        <w:rPr/>
        <w:t>with</w:t>
      </w:r>
      <w:r>
        <w:rPr>
          <w:spacing w:val="-1"/>
        </w:rPr>
        <w:t> </w:t>
      </w:r>
      <w:r>
        <w:rPr/>
        <w:t>each</w:t>
      </w:r>
      <w:r>
        <w:rPr>
          <w:spacing w:val="-1"/>
        </w:rPr>
        <w:t> </w:t>
      </w:r>
      <w:r>
        <w:rPr/>
        <w:t>agency to ensure</w:t>
      </w:r>
      <w:r>
        <w:rPr>
          <w:spacing w:val="-1"/>
        </w:rPr>
        <w:t> </w:t>
      </w:r>
      <w:r>
        <w:rPr/>
        <w:t>that</w:t>
      </w:r>
      <w:r>
        <w:rPr>
          <w:spacing w:val="-1"/>
        </w:rPr>
        <w:t> </w:t>
      </w:r>
      <w:r>
        <w:rPr/>
        <w:t>the public</w:t>
      </w:r>
      <w:r>
        <w:rPr>
          <w:spacing w:val="-2"/>
        </w:rPr>
        <w:t> </w:t>
      </w:r>
      <w:r>
        <w:rPr/>
        <w:t>receives</w:t>
      </w:r>
      <w:r>
        <w:rPr>
          <w:spacing w:val="-1"/>
        </w:rPr>
        <w:t> </w:t>
      </w:r>
      <w:r>
        <w:rPr/>
        <w:t>transparent</w:t>
      </w:r>
      <w:r>
        <w:rPr>
          <w:spacing w:val="-2"/>
        </w:rPr>
        <w:t> </w:t>
      </w:r>
      <w:r>
        <w:rPr/>
        <w:t>information about the state’s progress to address issues with residential programs.</w:t>
      </w:r>
    </w:p>
    <w:p>
      <w:pPr>
        <w:numPr>
          <w:ilvl w:val="0"/>
          <w:numId w:val="50"/>
        </w:numPr>
        <w:tabs>
          <w:tab w:pos="481" w:val="left" w:leader="none"/>
          <w:tab w:pos="483" w:val="left" w:leader="none"/>
        </w:tabs>
        <w:spacing w:line="276" w:lineRule="auto" w:before="240"/>
        <w:ind w:left="483" w:right="345" w:hanging="360"/>
        <w:jc w:val="left"/>
        <w:rPr>
          <w:b/>
          <w:sz w:val="22"/>
        </w:rPr>
      </w:pPr>
      <w:r>
        <w:rPr>
          <w:b/>
          <w:sz w:val="22"/>
        </w:rPr>
        <w:t>Continue</w:t>
      </w:r>
      <w:r>
        <w:rPr>
          <w:b/>
          <w:spacing w:val="40"/>
          <w:sz w:val="22"/>
        </w:rPr>
        <w:t> </w:t>
      </w:r>
      <w:r>
        <w:rPr>
          <w:b/>
          <w:sz w:val="22"/>
        </w:rPr>
        <w:t>to</w:t>
      </w:r>
      <w:r>
        <w:rPr>
          <w:b/>
          <w:spacing w:val="40"/>
          <w:sz w:val="22"/>
        </w:rPr>
        <w:t> </w:t>
      </w:r>
      <w:r>
        <w:rPr>
          <w:b/>
          <w:sz w:val="22"/>
        </w:rPr>
        <w:t>identify</w:t>
      </w:r>
      <w:r>
        <w:rPr>
          <w:b/>
          <w:spacing w:val="40"/>
          <w:sz w:val="22"/>
        </w:rPr>
        <w:t> </w:t>
      </w:r>
      <w:r>
        <w:rPr>
          <w:b/>
          <w:sz w:val="22"/>
        </w:rPr>
        <w:t>opportunities</w:t>
      </w:r>
      <w:r>
        <w:rPr>
          <w:b/>
          <w:spacing w:val="40"/>
          <w:sz w:val="22"/>
        </w:rPr>
        <w:t> </w:t>
      </w:r>
      <w:r>
        <w:rPr>
          <w:b/>
          <w:sz w:val="22"/>
        </w:rPr>
        <w:t>to</w:t>
      </w:r>
      <w:r>
        <w:rPr>
          <w:b/>
          <w:spacing w:val="40"/>
          <w:sz w:val="22"/>
        </w:rPr>
        <w:t> </w:t>
      </w:r>
      <w:r>
        <w:rPr>
          <w:b/>
          <w:sz w:val="22"/>
        </w:rPr>
        <w:t>address</w:t>
      </w:r>
      <w:r>
        <w:rPr>
          <w:b/>
          <w:spacing w:val="40"/>
          <w:sz w:val="22"/>
        </w:rPr>
        <w:t> </w:t>
      </w:r>
      <w:r>
        <w:rPr>
          <w:b/>
          <w:sz w:val="22"/>
        </w:rPr>
        <w:t>suicidality</w:t>
      </w:r>
      <w:r>
        <w:rPr>
          <w:b/>
          <w:spacing w:val="40"/>
          <w:sz w:val="22"/>
        </w:rPr>
        <w:t> </w:t>
      </w:r>
      <w:r>
        <w:rPr>
          <w:b/>
          <w:sz w:val="22"/>
        </w:rPr>
        <w:t>among</w:t>
      </w:r>
      <w:r>
        <w:rPr>
          <w:b/>
          <w:spacing w:val="40"/>
          <w:sz w:val="22"/>
        </w:rPr>
        <w:t> </w:t>
      </w:r>
      <w:r>
        <w:rPr>
          <w:b/>
          <w:sz w:val="22"/>
        </w:rPr>
        <w:t>LGBTQ</w:t>
      </w:r>
      <w:r>
        <w:rPr>
          <w:b/>
          <w:spacing w:val="40"/>
          <w:sz w:val="22"/>
        </w:rPr>
        <w:t> </w:t>
      </w:r>
      <w:r>
        <w:rPr>
          <w:b/>
          <w:sz w:val="22"/>
        </w:rPr>
        <w:t>youth,</w:t>
      </w:r>
      <w:r>
        <w:rPr>
          <w:b/>
          <w:spacing w:val="40"/>
          <w:sz w:val="22"/>
        </w:rPr>
        <w:t> </w:t>
      </w:r>
      <w:r>
        <w:rPr>
          <w:b/>
          <w:sz w:val="22"/>
        </w:rPr>
        <w:t>including</w:t>
      </w:r>
      <w:r>
        <w:rPr>
          <w:b/>
          <w:spacing w:val="40"/>
          <w:sz w:val="22"/>
        </w:rPr>
        <w:t> </w:t>
      </w:r>
      <w:r>
        <w:rPr>
          <w:b/>
          <w:sz w:val="22"/>
        </w:rPr>
        <w:t>through collaboration with the Commission.</w:t>
      </w:r>
    </w:p>
    <w:p>
      <w:pPr>
        <w:pStyle w:val="BodyText"/>
        <w:spacing w:line="276" w:lineRule="auto" w:before="240"/>
        <w:ind w:left="483" w:right="342"/>
        <w:jc w:val="both"/>
      </w:pPr>
      <w:r>
        <w:rPr/>
        <w:t>As</w:t>
      </w:r>
      <w:r>
        <w:rPr>
          <w:spacing w:val="-10"/>
        </w:rPr>
        <w:t> </w:t>
      </w:r>
      <w:r>
        <w:rPr/>
        <w:t>the</w:t>
      </w:r>
      <w:r>
        <w:rPr>
          <w:spacing w:val="-10"/>
        </w:rPr>
        <w:t> </w:t>
      </w:r>
      <w:r>
        <w:rPr/>
        <w:t>Commission</w:t>
      </w:r>
      <w:r>
        <w:rPr>
          <w:spacing w:val="-11"/>
        </w:rPr>
        <w:t> </w:t>
      </w:r>
      <w:r>
        <w:rPr/>
        <w:t>has</w:t>
      </w:r>
      <w:r>
        <w:rPr>
          <w:spacing w:val="-10"/>
        </w:rPr>
        <w:t> </w:t>
      </w:r>
      <w:r>
        <w:rPr/>
        <w:t>noted</w:t>
      </w:r>
      <w:r>
        <w:rPr>
          <w:spacing w:val="-10"/>
        </w:rPr>
        <w:t> </w:t>
      </w:r>
      <w:r>
        <w:rPr/>
        <w:t>for</w:t>
      </w:r>
      <w:r>
        <w:rPr>
          <w:spacing w:val="-9"/>
        </w:rPr>
        <w:t> </w:t>
      </w:r>
      <w:r>
        <w:rPr/>
        <w:t>many</w:t>
      </w:r>
      <w:r>
        <w:rPr>
          <w:spacing w:val="-9"/>
        </w:rPr>
        <w:t> </w:t>
      </w:r>
      <w:r>
        <w:rPr/>
        <w:t>years</w:t>
      </w:r>
      <w:r>
        <w:rPr>
          <w:spacing w:val="-10"/>
        </w:rPr>
        <w:t> </w:t>
      </w:r>
      <w:r>
        <w:rPr/>
        <w:t>in</w:t>
      </w:r>
      <w:r>
        <w:rPr>
          <w:spacing w:val="-9"/>
        </w:rPr>
        <w:t> </w:t>
      </w:r>
      <w:r>
        <w:rPr/>
        <w:t>its</w:t>
      </w:r>
      <w:r>
        <w:rPr>
          <w:spacing w:val="-9"/>
        </w:rPr>
        <w:t> </w:t>
      </w:r>
      <w:r>
        <w:rPr/>
        <w:t>annual</w:t>
      </w:r>
      <w:r>
        <w:rPr>
          <w:spacing w:val="-10"/>
        </w:rPr>
        <w:t> </w:t>
      </w:r>
      <w:r>
        <w:rPr/>
        <w:t>recommendations,</w:t>
      </w:r>
      <w:r>
        <w:rPr>
          <w:spacing w:val="-10"/>
        </w:rPr>
        <w:t> </w:t>
      </w:r>
      <w:r>
        <w:rPr/>
        <w:t>LGBTQ</w:t>
      </w:r>
      <w:r>
        <w:rPr>
          <w:spacing w:val="-10"/>
        </w:rPr>
        <w:t> </w:t>
      </w:r>
      <w:r>
        <w:rPr/>
        <w:t>youth</w:t>
      </w:r>
      <w:r>
        <w:rPr>
          <w:spacing w:val="-9"/>
        </w:rPr>
        <w:t> </w:t>
      </w:r>
      <w:r>
        <w:rPr/>
        <w:t>report</w:t>
      </w:r>
      <w:r>
        <w:rPr>
          <w:spacing w:val="-11"/>
        </w:rPr>
        <w:t> </w:t>
      </w:r>
      <w:r>
        <w:rPr/>
        <w:t>suicidal ideation at alarming rates.</w:t>
      </w:r>
      <w:hyperlink w:history="true" w:anchor="_bookmark662">
        <w:r>
          <w:rPr>
            <w:vertAlign w:val="superscript"/>
          </w:rPr>
          <w:t>xix</w:t>
        </w:r>
      </w:hyperlink>
      <w:r>
        <w:rPr>
          <w:vertAlign w:val="baseline"/>
        </w:rPr>
        <w:t> The Commission has partnered with the Department of Public Health for many years on suicide prevention efforts specific to and inclusive of LGBTQ young people. In its 2020 report on youth suicides in Massachusetts, the agency noted that there is little data available capturing suicidality rates among youth involved in Massachusetts state systems, though national data indicates that youth in state systems are more than three times as likely to commit suicide. With the OCA’s work with JJPAD and the Youth Suicide Prevention Task Force through DPH, the Commission looks forward to continuing the conversation about what initiatives are occurring to help address this significant gap in </w:t>
      </w:r>
      <w:r>
        <w:rPr>
          <w:spacing w:val="-2"/>
          <w:vertAlign w:val="baseline"/>
        </w:rPr>
        <w:t>research.</w:t>
      </w:r>
    </w:p>
    <w:p>
      <w:pPr>
        <w:pStyle w:val="BodyText"/>
      </w:pPr>
    </w:p>
    <w:p>
      <w:pPr>
        <w:pStyle w:val="BodyText"/>
        <w:spacing w:before="237"/>
      </w:pPr>
    </w:p>
    <w:p>
      <w:pPr>
        <w:spacing w:before="0"/>
        <w:ind w:left="483" w:right="0" w:firstLine="0"/>
        <w:jc w:val="left"/>
        <w:rPr>
          <w:i/>
          <w:sz w:val="21"/>
        </w:rPr>
      </w:pPr>
      <w:r>
        <w:rPr>
          <w:i/>
          <w:sz w:val="21"/>
        </w:rPr>
        <w:t>Acknowledgments:</w:t>
      </w:r>
      <w:r>
        <w:rPr>
          <w:i/>
          <w:spacing w:val="-5"/>
          <w:sz w:val="21"/>
        </w:rPr>
        <w:t> </w:t>
      </w:r>
      <w:r>
        <w:rPr>
          <w:i/>
          <w:sz w:val="21"/>
        </w:rPr>
        <w:t>The</w:t>
      </w:r>
      <w:r>
        <w:rPr>
          <w:i/>
          <w:spacing w:val="-2"/>
          <w:sz w:val="21"/>
        </w:rPr>
        <w:t> </w:t>
      </w:r>
      <w:r>
        <w:rPr>
          <w:i/>
          <w:sz w:val="21"/>
        </w:rPr>
        <w:t>Commission</w:t>
      </w:r>
      <w:r>
        <w:rPr>
          <w:i/>
          <w:spacing w:val="-2"/>
          <w:sz w:val="21"/>
        </w:rPr>
        <w:t> </w:t>
      </w:r>
      <w:r>
        <w:rPr>
          <w:i/>
          <w:sz w:val="21"/>
        </w:rPr>
        <w:t>sincerely</w:t>
      </w:r>
      <w:r>
        <w:rPr>
          <w:i/>
          <w:spacing w:val="-3"/>
          <w:sz w:val="21"/>
        </w:rPr>
        <w:t> </w:t>
      </w:r>
      <w:r>
        <w:rPr>
          <w:i/>
          <w:sz w:val="21"/>
        </w:rPr>
        <w:t>thanks</w:t>
      </w:r>
      <w:r>
        <w:rPr>
          <w:i/>
          <w:spacing w:val="-4"/>
          <w:sz w:val="21"/>
        </w:rPr>
        <w:t> </w:t>
      </w:r>
      <w:r>
        <w:rPr>
          <w:i/>
          <w:sz w:val="21"/>
        </w:rPr>
        <w:t>the</w:t>
      </w:r>
      <w:r>
        <w:rPr>
          <w:i/>
          <w:spacing w:val="-3"/>
          <w:sz w:val="21"/>
        </w:rPr>
        <w:t> </w:t>
      </w:r>
      <w:r>
        <w:rPr>
          <w:i/>
          <w:sz w:val="21"/>
        </w:rPr>
        <w:t>contributions</w:t>
      </w:r>
      <w:r>
        <w:rPr>
          <w:i/>
          <w:spacing w:val="-4"/>
          <w:sz w:val="21"/>
        </w:rPr>
        <w:t> </w:t>
      </w:r>
      <w:r>
        <w:rPr>
          <w:i/>
          <w:sz w:val="21"/>
        </w:rPr>
        <w:t>of</w:t>
      </w:r>
      <w:r>
        <w:rPr>
          <w:i/>
          <w:spacing w:val="-2"/>
          <w:sz w:val="21"/>
        </w:rPr>
        <w:t> </w:t>
      </w:r>
      <w:r>
        <w:rPr>
          <w:i/>
          <w:sz w:val="21"/>
        </w:rPr>
        <w:t>its</w:t>
      </w:r>
      <w:r>
        <w:rPr>
          <w:i/>
          <w:spacing w:val="-3"/>
          <w:sz w:val="21"/>
        </w:rPr>
        <w:t> </w:t>
      </w:r>
      <w:r>
        <w:rPr>
          <w:i/>
          <w:sz w:val="21"/>
        </w:rPr>
        <w:t>OCA</w:t>
      </w:r>
      <w:r>
        <w:rPr>
          <w:i/>
          <w:spacing w:val="-2"/>
          <w:sz w:val="21"/>
        </w:rPr>
        <w:t> liaisons.</w:t>
      </w:r>
    </w:p>
    <w:p>
      <w:pPr>
        <w:pStyle w:val="BodyText"/>
        <w:rPr>
          <w:i/>
          <w:sz w:val="21"/>
        </w:rPr>
      </w:pPr>
    </w:p>
    <w:p>
      <w:pPr>
        <w:pStyle w:val="BodyText"/>
        <w:rPr>
          <w:i/>
          <w:sz w:val="21"/>
        </w:rPr>
      </w:pPr>
    </w:p>
    <w:p>
      <w:pPr>
        <w:pStyle w:val="BodyText"/>
        <w:spacing w:before="44"/>
        <w:rPr>
          <w:i/>
          <w:sz w:val="21"/>
        </w:rPr>
      </w:pPr>
    </w:p>
    <w:p>
      <w:pPr>
        <w:spacing w:before="0"/>
        <w:ind w:left="483" w:right="0" w:firstLine="0"/>
        <w:jc w:val="left"/>
        <w:rPr>
          <w:b/>
          <w:sz w:val="21"/>
        </w:rPr>
      </w:pPr>
      <w:r>
        <w:rPr>
          <w:b/>
          <w:spacing w:val="-2"/>
          <w:sz w:val="21"/>
        </w:rPr>
        <w:t>Citations</w:t>
      </w:r>
    </w:p>
    <w:p>
      <w:pPr>
        <w:spacing w:before="0"/>
        <w:ind w:left="483" w:right="0" w:firstLine="0"/>
        <w:jc w:val="left"/>
        <w:rPr>
          <w:sz w:val="18"/>
        </w:rPr>
      </w:pPr>
      <w:r>
        <w:rPr>
          <w:sz w:val="18"/>
          <w:vertAlign w:val="superscript"/>
        </w:rPr>
        <w:t>i</w:t>
      </w:r>
      <w:r>
        <w:rPr>
          <w:spacing w:val="-10"/>
          <w:sz w:val="18"/>
          <w:vertAlign w:val="baseline"/>
        </w:rPr>
        <w:t> </w:t>
      </w:r>
      <w:r>
        <w:rPr>
          <w:sz w:val="18"/>
          <w:vertAlign w:val="baseline"/>
        </w:rPr>
        <w:t>Hannah Hussey. (2021). </w:t>
      </w:r>
      <w:r>
        <w:rPr>
          <w:i/>
          <w:sz w:val="18"/>
          <w:vertAlign w:val="baseline"/>
        </w:rPr>
        <w:t>LGBTQ Youth in the Massachusetts Child Welfare System: A Report on Pervasive Threats to Safety,</w:t>
      </w:r>
      <w:r>
        <w:rPr>
          <w:i/>
          <w:sz w:val="18"/>
          <w:vertAlign w:val="baseline"/>
        </w:rPr>
        <w:t> Wellbeing,</w:t>
      </w:r>
      <w:r>
        <w:rPr>
          <w:i/>
          <w:spacing w:val="-6"/>
          <w:sz w:val="18"/>
          <w:vertAlign w:val="baseline"/>
        </w:rPr>
        <w:t> </w:t>
      </w:r>
      <w:r>
        <w:rPr>
          <w:i/>
          <w:sz w:val="18"/>
          <w:vertAlign w:val="baseline"/>
        </w:rPr>
        <w:t>and</w:t>
      </w:r>
      <w:r>
        <w:rPr>
          <w:i/>
          <w:spacing w:val="-4"/>
          <w:sz w:val="18"/>
          <w:vertAlign w:val="baseline"/>
        </w:rPr>
        <w:t> </w:t>
      </w:r>
      <w:r>
        <w:rPr>
          <w:i/>
          <w:sz w:val="18"/>
          <w:vertAlign w:val="baseline"/>
        </w:rPr>
        <w:t>Permanency.</w:t>
      </w:r>
      <w:r>
        <w:rPr>
          <w:i/>
          <w:spacing w:val="-5"/>
          <w:sz w:val="18"/>
          <w:vertAlign w:val="baseline"/>
        </w:rPr>
        <w:t> </w:t>
      </w:r>
      <w:r>
        <w:rPr>
          <w:sz w:val="18"/>
          <w:vertAlign w:val="baseline"/>
        </w:rPr>
        <w:t>Massachusetts</w:t>
      </w:r>
      <w:r>
        <w:rPr>
          <w:spacing w:val="-5"/>
          <w:sz w:val="18"/>
          <w:vertAlign w:val="baseline"/>
        </w:rPr>
        <w:t> </w:t>
      </w:r>
      <w:r>
        <w:rPr>
          <w:sz w:val="18"/>
          <w:vertAlign w:val="baseline"/>
        </w:rPr>
        <w:t>Commission</w:t>
      </w:r>
      <w:r>
        <w:rPr>
          <w:spacing w:val="-5"/>
          <w:sz w:val="18"/>
          <w:vertAlign w:val="baseline"/>
        </w:rPr>
        <w:t> </w:t>
      </w:r>
      <w:r>
        <w:rPr>
          <w:sz w:val="18"/>
          <w:vertAlign w:val="baseline"/>
        </w:rPr>
        <w:t>on</w:t>
      </w:r>
      <w:r>
        <w:rPr>
          <w:spacing w:val="-5"/>
          <w:sz w:val="18"/>
          <w:vertAlign w:val="baseline"/>
        </w:rPr>
        <w:t> </w:t>
      </w:r>
      <w:r>
        <w:rPr>
          <w:sz w:val="18"/>
          <w:vertAlign w:val="baseline"/>
        </w:rPr>
        <w:t>LGBTQ</w:t>
      </w:r>
      <w:r>
        <w:rPr>
          <w:spacing w:val="-5"/>
          <w:sz w:val="18"/>
          <w:vertAlign w:val="baseline"/>
        </w:rPr>
        <w:t> </w:t>
      </w:r>
      <w:r>
        <w:rPr>
          <w:sz w:val="18"/>
          <w:vertAlign w:val="baseline"/>
        </w:rPr>
        <w:t>Youth.</w:t>
      </w:r>
      <w:r>
        <w:rPr>
          <w:spacing w:val="-5"/>
          <w:sz w:val="18"/>
          <w:vertAlign w:val="baseline"/>
        </w:rPr>
        <w:t> </w:t>
      </w:r>
      <w:r>
        <w:rPr>
          <w:sz w:val="18"/>
          <w:vertAlign w:val="baseline"/>
        </w:rPr>
        <w:t>https://</w:t>
      </w:r>
      <w:hyperlink r:id="rId775">
        <w:r>
          <w:rPr>
            <w:sz w:val="18"/>
            <w:vertAlign w:val="baseline"/>
          </w:rPr>
          <w:t>www.mass.gov/doc/commission-report-on-</w:t>
        </w:r>
      </w:hyperlink>
      <w:r>
        <w:rPr>
          <w:sz w:val="18"/>
          <w:vertAlign w:val="baseline"/>
        </w:rPr>
        <w:t> </w:t>
      </w:r>
      <w:r>
        <w:rPr>
          <w:spacing w:val="-2"/>
          <w:sz w:val="18"/>
          <w:vertAlign w:val="baseline"/>
        </w:rPr>
        <w:t>dcf/download.</w:t>
      </w:r>
    </w:p>
    <w:p>
      <w:pPr>
        <w:spacing w:before="1"/>
        <w:ind w:left="483" w:right="314" w:firstLine="0"/>
        <w:jc w:val="left"/>
        <w:rPr>
          <w:sz w:val="18"/>
        </w:rPr>
      </w:pPr>
      <w:r>
        <w:rPr>
          <w:sz w:val="18"/>
          <w:vertAlign w:val="superscript"/>
        </w:rPr>
        <w:t>ii</w:t>
      </w:r>
      <w:r>
        <w:rPr>
          <w:spacing w:val="-14"/>
          <w:sz w:val="18"/>
          <w:vertAlign w:val="baseline"/>
        </w:rPr>
        <w:t> </w:t>
      </w:r>
      <w:r>
        <w:rPr>
          <w:i/>
          <w:sz w:val="18"/>
          <w:vertAlign w:val="baseline"/>
        </w:rPr>
        <w:t>See,</w:t>
      </w:r>
      <w:r>
        <w:rPr>
          <w:i/>
          <w:spacing w:val="-5"/>
          <w:sz w:val="18"/>
          <w:vertAlign w:val="baseline"/>
        </w:rPr>
        <w:t> </w:t>
      </w:r>
      <w:r>
        <w:rPr>
          <w:i/>
          <w:sz w:val="18"/>
          <w:vertAlign w:val="baseline"/>
        </w:rPr>
        <w:t>e.g.</w:t>
      </w:r>
      <w:r>
        <w:rPr>
          <w:sz w:val="18"/>
          <w:vertAlign w:val="baseline"/>
        </w:rPr>
        <w:t>,</w:t>
      </w:r>
      <w:r>
        <w:rPr>
          <w:spacing w:val="-4"/>
          <w:sz w:val="18"/>
          <w:vertAlign w:val="baseline"/>
        </w:rPr>
        <w:t> </w:t>
      </w:r>
      <w:r>
        <w:rPr>
          <w:sz w:val="18"/>
          <w:vertAlign w:val="baseline"/>
        </w:rPr>
        <w:t>Movement</w:t>
      </w:r>
      <w:r>
        <w:rPr>
          <w:spacing w:val="-4"/>
          <w:sz w:val="18"/>
          <w:vertAlign w:val="baseline"/>
        </w:rPr>
        <w:t> </w:t>
      </w:r>
      <w:r>
        <w:rPr>
          <w:sz w:val="18"/>
          <w:vertAlign w:val="baseline"/>
        </w:rPr>
        <w:t>Advancement</w:t>
      </w:r>
      <w:r>
        <w:rPr>
          <w:spacing w:val="-4"/>
          <w:sz w:val="18"/>
          <w:vertAlign w:val="baseline"/>
        </w:rPr>
        <w:t> </w:t>
      </w:r>
      <w:r>
        <w:rPr>
          <w:sz w:val="18"/>
          <w:vertAlign w:val="baseline"/>
        </w:rPr>
        <w:t>Project.</w:t>
      </w:r>
      <w:r>
        <w:rPr>
          <w:spacing w:val="-3"/>
          <w:sz w:val="18"/>
          <w:vertAlign w:val="baseline"/>
        </w:rPr>
        <w:t> </w:t>
      </w:r>
      <w:r>
        <w:rPr>
          <w:sz w:val="18"/>
          <w:vertAlign w:val="baseline"/>
        </w:rPr>
        <w:t>(2023).</w:t>
      </w:r>
      <w:r>
        <w:rPr>
          <w:spacing w:val="-3"/>
          <w:sz w:val="18"/>
          <w:vertAlign w:val="baseline"/>
        </w:rPr>
        <w:t> </w:t>
      </w:r>
      <w:r>
        <w:rPr>
          <w:i/>
          <w:sz w:val="18"/>
          <w:vertAlign w:val="baseline"/>
        </w:rPr>
        <w:t>Under</w:t>
      </w:r>
      <w:r>
        <w:rPr>
          <w:i/>
          <w:spacing w:val="-4"/>
          <w:sz w:val="18"/>
          <w:vertAlign w:val="baseline"/>
        </w:rPr>
        <w:t> </w:t>
      </w:r>
      <w:r>
        <w:rPr>
          <w:i/>
          <w:sz w:val="18"/>
          <w:vertAlign w:val="baseline"/>
        </w:rPr>
        <w:t>Fire:</w:t>
      </w:r>
      <w:r>
        <w:rPr>
          <w:i/>
          <w:spacing w:val="-3"/>
          <w:sz w:val="18"/>
          <w:vertAlign w:val="baseline"/>
        </w:rPr>
        <w:t> </w:t>
      </w:r>
      <w:r>
        <w:rPr>
          <w:i/>
          <w:sz w:val="18"/>
          <w:vertAlign w:val="baseline"/>
        </w:rPr>
        <w:t>The</w:t>
      </w:r>
      <w:r>
        <w:rPr>
          <w:i/>
          <w:spacing w:val="-3"/>
          <w:sz w:val="18"/>
          <w:vertAlign w:val="baseline"/>
        </w:rPr>
        <w:t> </w:t>
      </w:r>
      <w:r>
        <w:rPr>
          <w:i/>
          <w:sz w:val="18"/>
          <w:vertAlign w:val="baseline"/>
        </w:rPr>
        <w:t>War</w:t>
      </w:r>
      <w:r>
        <w:rPr>
          <w:i/>
          <w:spacing w:val="-4"/>
          <w:sz w:val="18"/>
          <w:vertAlign w:val="baseline"/>
        </w:rPr>
        <w:t> </w:t>
      </w:r>
      <w:r>
        <w:rPr>
          <w:i/>
          <w:sz w:val="18"/>
          <w:vertAlign w:val="baseline"/>
        </w:rPr>
        <w:t>on</w:t>
      </w:r>
      <w:r>
        <w:rPr>
          <w:i/>
          <w:spacing w:val="-3"/>
          <w:sz w:val="18"/>
          <w:vertAlign w:val="baseline"/>
        </w:rPr>
        <w:t> </w:t>
      </w:r>
      <w:r>
        <w:rPr>
          <w:i/>
          <w:sz w:val="18"/>
          <w:vertAlign w:val="baseline"/>
        </w:rPr>
        <w:t>LGBTQ</w:t>
      </w:r>
      <w:r>
        <w:rPr>
          <w:i/>
          <w:spacing w:val="-3"/>
          <w:sz w:val="18"/>
          <w:vertAlign w:val="baseline"/>
        </w:rPr>
        <w:t> </w:t>
      </w:r>
      <w:r>
        <w:rPr>
          <w:i/>
          <w:sz w:val="18"/>
          <w:vertAlign w:val="baseline"/>
        </w:rPr>
        <w:t>People</w:t>
      </w:r>
      <w:r>
        <w:rPr>
          <w:i/>
          <w:spacing w:val="-3"/>
          <w:sz w:val="18"/>
          <w:vertAlign w:val="baseline"/>
        </w:rPr>
        <w:t> </w:t>
      </w:r>
      <w:r>
        <w:rPr>
          <w:i/>
          <w:sz w:val="18"/>
          <w:vertAlign w:val="baseline"/>
        </w:rPr>
        <w:t>in</w:t>
      </w:r>
      <w:r>
        <w:rPr>
          <w:i/>
          <w:spacing w:val="-3"/>
          <w:sz w:val="18"/>
          <w:vertAlign w:val="baseline"/>
        </w:rPr>
        <w:t> </w:t>
      </w:r>
      <w:r>
        <w:rPr>
          <w:i/>
          <w:sz w:val="18"/>
          <w:vertAlign w:val="baseline"/>
        </w:rPr>
        <w:t>America</w:t>
      </w:r>
      <w:r>
        <w:rPr>
          <w:sz w:val="18"/>
          <w:vertAlign w:val="baseline"/>
        </w:rPr>
        <w:t>. </w:t>
      </w:r>
      <w:r>
        <w:rPr>
          <w:spacing w:val="-2"/>
          <w:sz w:val="18"/>
          <w:vertAlign w:val="baseline"/>
        </w:rPr>
        <w:t>https://</w:t>
      </w:r>
      <w:hyperlink r:id="rId784">
        <w:r>
          <w:rPr>
            <w:spacing w:val="-2"/>
            <w:sz w:val="18"/>
            <w:vertAlign w:val="baseline"/>
          </w:rPr>
          <w:t>www.mapresearch.org/file/Under%20Fire%20report_MAP%202023.pdf.</w:t>
        </w:r>
      </w:hyperlink>
    </w:p>
    <w:p>
      <w:pPr>
        <w:spacing w:before="0"/>
        <w:ind w:left="483" w:right="508" w:hanging="1"/>
        <w:jc w:val="left"/>
        <w:rPr>
          <w:sz w:val="18"/>
        </w:rPr>
      </w:pPr>
      <w:r>
        <w:rPr>
          <w:sz w:val="18"/>
          <w:vertAlign w:val="superscript"/>
        </w:rPr>
        <w:t>iii</w:t>
      </w:r>
      <w:r>
        <w:rPr>
          <w:spacing w:val="-8"/>
          <w:sz w:val="18"/>
          <w:vertAlign w:val="baseline"/>
        </w:rPr>
        <w:t> </w:t>
      </w:r>
      <w:r>
        <w:rPr>
          <w:sz w:val="18"/>
          <w:vertAlign w:val="baseline"/>
        </w:rPr>
        <w:t>The Trevor Project, “2022 National Survey on LGBTQ Youth Mental Health Massachusetts,” 2022, </w:t>
      </w:r>
      <w:r>
        <w:rPr>
          <w:spacing w:val="-2"/>
          <w:sz w:val="18"/>
          <w:vertAlign w:val="baseline"/>
        </w:rPr>
        <w:t>https://</w:t>
      </w:r>
      <w:hyperlink r:id="rId504">
        <w:r>
          <w:rPr>
            <w:spacing w:val="-2"/>
            <w:sz w:val="18"/>
            <w:vertAlign w:val="baseline"/>
          </w:rPr>
          <w:t>www.thetrevorproject.org/wp-content/uploads/2022/12/The-Trevor-Project-2022-National-Survey-on-LGBTQ-Youth-</w:t>
        </w:r>
      </w:hyperlink>
      <w:r>
        <w:rPr>
          <w:sz w:val="18"/>
          <w:vertAlign w:val="baseline"/>
        </w:rPr>
        <w:t> Mental-Health-by-State-Massachusetts.pdf2022 National Survey on LGBTQ Youth Mental Health Massachusetts.</w:t>
      </w:r>
    </w:p>
    <w:p>
      <w:pPr>
        <w:spacing w:after="0"/>
        <w:jc w:val="left"/>
        <w:rPr>
          <w:sz w:val="18"/>
        </w:rPr>
        <w:sectPr>
          <w:pgSz w:w="12240" w:h="15840"/>
          <w:pgMar w:header="804" w:footer="1281" w:top="1000" w:bottom="1480" w:left="960" w:right="1100"/>
        </w:sectPr>
      </w:pPr>
    </w:p>
    <w:p>
      <w:pPr>
        <w:pStyle w:val="BodyText"/>
        <w:spacing w:before="126"/>
        <w:rPr>
          <w:sz w:val="18"/>
        </w:rPr>
      </w:pPr>
    </w:p>
    <w:p>
      <w:pPr>
        <w:spacing w:before="0"/>
        <w:ind w:left="483" w:right="444" w:firstLine="0"/>
        <w:jc w:val="left"/>
        <w:rPr>
          <w:sz w:val="18"/>
        </w:rPr>
      </w:pPr>
      <w:r>
        <w:rPr>
          <w:sz w:val="18"/>
          <w:vertAlign w:val="superscript"/>
        </w:rPr>
        <w:t>iv</w:t>
      </w:r>
      <w:r>
        <w:rPr>
          <w:spacing w:val="-10"/>
          <w:sz w:val="18"/>
          <w:vertAlign w:val="baseline"/>
        </w:rPr>
        <w:t> </w:t>
      </w:r>
      <w:r>
        <w:rPr>
          <w:i/>
          <w:sz w:val="18"/>
          <w:vertAlign w:val="baseline"/>
        </w:rPr>
        <w:t>See </w:t>
      </w:r>
      <w:r>
        <w:rPr>
          <w:sz w:val="18"/>
          <w:vertAlign w:val="baseline"/>
        </w:rPr>
        <w:t>Stephanie Barry. 2022. “Parents File Federal Lawsuit Against Ludlow School Officials over Gender Identity Protocols.” </w:t>
      </w:r>
      <w:r>
        <w:rPr>
          <w:i/>
          <w:sz w:val="18"/>
          <w:vertAlign w:val="baseline"/>
        </w:rPr>
        <w:t>MassLive</w:t>
      </w:r>
      <w:r>
        <w:rPr>
          <w:sz w:val="18"/>
          <w:vertAlign w:val="baseline"/>
        </w:rPr>
        <w:t>, April 15, 2022. https://</w:t>
      </w:r>
      <w:hyperlink r:id="rId785">
        <w:r>
          <w:rPr>
            <w:sz w:val="18"/>
            <w:vertAlign w:val="baseline"/>
          </w:rPr>
          <w:t>www.masslive.com/news/2022/04/parents-file-federal-lawsuit-against-ludlow-school-</w:t>
        </w:r>
      </w:hyperlink>
      <w:r>
        <w:rPr>
          <w:sz w:val="18"/>
          <w:vertAlign w:val="baseline"/>
        </w:rPr>
        <w:t> officials-over-gender-identity-protocols.html;</w:t>
      </w:r>
      <w:r>
        <w:rPr>
          <w:spacing w:val="-4"/>
          <w:sz w:val="18"/>
          <w:vertAlign w:val="baseline"/>
        </w:rPr>
        <w:t> </w:t>
      </w:r>
      <w:r>
        <w:rPr>
          <w:sz w:val="18"/>
          <w:vertAlign w:val="baseline"/>
        </w:rPr>
        <w:t>Abby</w:t>
      </w:r>
      <w:r>
        <w:rPr>
          <w:spacing w:val="-4"/>
          <w:sz w:val="18"/>
          <w:vertAlign w:val="baseline"/>
        </w:rPr>
        <w:t> </w:t>
      </w:r>
      <w:r>
        <w:rPr>
          <w:sz w:val="18"/>
          <w:vertAlign w:val="baseline"/>
        </w:rPr>
        <w:t>Patkin.</w:t>
      </w:r>
      <w:r>
        <w:rPr>
          <w:spacing w:val="-4"/>
          <w:sz w:val="18"/>
          <w:vertAlign w:val="baseline"/>
        </w:rPr>
        <w:t> </w:t>
      </w:r>
      <w:r>
        <w:rPr>
          <w:sz w:val="18"/>
          <w:vertAlign w:val="baseline"/>
        </w:rPr>
        <w:t>2023.</w:t>
      </w:r>
      <w:r>
        <w:rPr>
          <w:spacing w:val="-4"/>
          <w:sz w:val="18"/>
          <w:vertAlign w:val="baseline"/>
        </w:rPr>
        <w:t> </w:t>
      </w:r>
      <w:r>
        <w:rPr>
          <w:sz w:val="18"/>
          <w:vertAlign w:val="baseline"/>
        </w:rPr>
        <w:t>“Stoughton</w:t>
      </w:r>
      <w:r>
        <w:rPr>
          <w:spacing w:val="-4"/>
          <w:sz w:val="18"/>
          <w:vertAlign w:val="baseline"/>
        </w:rPr>
        <w:t> </w:t>
      </w:r>
      <w:r>
        <w:rPr>
          <w:sz w:val="18"/>
          <w:vertAlign w:val="baseline"/>
        </w:rPr>
        <w:t>High</w:t>
      </w:r>
      <w:r>
        <w:rPr>
          <w:spacing w:val="-4"/>
          <w:sz w:val="18"/>
          <w:vertAlign w:val="baseline"/>
        </w:rPr>
        <w:t> </w:t>
      </w:r>
      <w:r>
        <w:rPr>
          <w:sz w:val="18"/>
          <w:vertAlign w:val="baseline"/>
        </w:rPr>
        <w:t>Senior</w:t>
      </w:r>
      <w:r>
        <w:rPr>
          <w:spacing w:val="-4"/>
          <w:sz w:val="18"/>
          <w:vertAlign w:val="baseline"/>
        </w:rPr>
        <w:t> </w:t>
      </w:r>
      <w:r>
        <w:rPr>
          <w:sz w:val="18"/>
          <w:vertAlign w:val="baseline"/>
        </w:rPr>
        <w:t>Leads</w:t>
      </w:r>
      <w:r>
        <w:rPr>
          <w:spacing w:val="-4"/>
          <w:sz w:val="18"/>
          <w:vertAlign w:val="baseline"/>
        </w:rPr>
        <w:t> </w:t>
      </w:r>
      <w:r>
        <w:rPr>
          <w:sz w:val="18"/>
          <w:vertAlign w:val="baseline"/>
        </w:rPr>
        <w:t>Growing</w:t>
      </w:r>
      <w:r>
        <w:rPr>
          <w:spacing w:val="-4"/>
          <w:sz w:val="18"/>
          <w:vertAlign w:val="baseline"/>
        </w:rPr>
        <w:t> </w:t>
      </w:r>
      <w:r>
        <w:rPr>
          <w:sz w:val="18"/>
          <w:vertAlign w:val="baseline"/>
        </w:rPr>
        <w:t>Movement</w:t>
      </w:r>
      <w:r>
        <w:rPr>
          <w:spacing w:val="-4"/>
          <w:sz w:val="18"/>
          <w:vertAlign w:val="baseline"/>
        </w:rPr>
        <w:t> </w:t>
      </w:r>
      <w:r>
        <w:rPr>
          <w:sz w:val="18"/>
          <w:vertAlign w:val="baseline"/>
        </w:rPr>
        <w:t>to</w:t>
      </w:r>
      <w:r>
        <w:rPr>
          <w:spacing w:val="-4"/>
          <w:sz w:val="18"/>
          <w:vertAlign w:val="baseline"/>
        </w:rPr>
        <w:t> </w:t>
      </w:r>
      <w:r>
        <w:rPr>
          <w:sz w:val="18"/>
          <w:vertAlign w:val="baseline"/>
        </w:rPr>
        <w:t>Restore Pride Flags in Town Schools.” </w:t>
      </w:r>
      <w:r>
        <w:rPr>
          <w:i/>
          <w:sz w:val="18"/>
          <w:vertAlign w:val="baseline"/>
        </w:rPr>
        <w:t>Boston.com</w:t>
      </w:r>
      <w:r>
        <w:rPr>
          <w:sz w:val="18"/>
          <w:vertAlign w:val="baseline"/>
        </w:rPr>
        <w:t>, January 11, 2023. https://</w:t>
      </w:r>
      <w:hyperlink r:id="rId786">
        <w:r>
          <w:rPr>
            <w:sz w:val="18"/>
            <w:vertAlign w:val="baseline"/>
          </w:rPr>
          <w:t>www.boston.com/news/schools/2023/01/11/stoughton-</w:t>
        </w:r>
      </w:hyperlink>
      <w:r>
        <w:rPr>
          <w:sz w:val="18"/>
          <w:vertAlign w:val="baseline"/>
        </w:rPr>
        <w:t> high-senior-leads-growing-movement-to-restore-pride-flags-in-town-schools/;</w:t>
      </w:r>
      <w:r>
        <w:rPr>
          <w:spacing w:val="-2"/>
          <w:sz w:val="18"/>
          <w:vertAlign w:val="baseline"/>
        </w:rPr>
        <w:t> </w:t>
      </w:r>
      <w:r>
        <w:rPr>
          <w:sz w:val="18"/>
          <w:vertAlign w:val="baseline"/>
        </w:rPr>
        <w:t>Jessica</w:t>
      </w:r>
      <w:r>
        <w:rPr>
          <w:spacing w:val="-2"/>
          <w:sz w:val="18"/>
          <w:vertAlign w:val="baseline"/>
        </w:rPr>
        <w:t> </w:t>
      </w:r>
      <w:r>
        <w:rPr>
          <w:sz w:val="18"/>
          <w:vertAlign w:val="baseline"/>
        </w:rPr>
        <w:t>Bartlett.</w:t>
      </w:r>
      <w:r>
        <w:rPr>
          <w:spacing w:val="-2"/>
          <w:sz w:val="18"/>
          <w:vertAlign w:val="baseline"/>
        </w:rPr>
        <w:t> </w:t>
      </w:r>
      <w:r>
        <w:rPr>
          <w:sz w:val="18"/>
          <w:vertAlign w:val="baseline"/>
        </w:rPr>
        <w:t>2022.</w:t>
      </w:r>
      <w:r>
        <w:rPr>
          <w:spacing w:val="-2"/>
          <w:sz w:val="18"/>
          <w:vertAlign w:val="baseline"/>
        </w:rPr>
        <w:t> </w:t>
      </w:r>
      <w:r>
        <w:rPr>
          <w:sz w:val="18"/>
          <w:vertAlign w:val="baseline"/>
        </w:rPr>
        <w:t>“Boston</w:t>
      </w:r>
      <w:r>
        <w:rPr>
          <w:spacing w:val="-2"/>
          <w:sz w:val="18"/>
          <w:vertAlign w:val="baseline"/>
        </w:rPr>
        <w:t> </w:t>
      </w:r>
      <w:r>
        <w:rPr>
          <w:sz w:val="18"/>
          <w:vertAlign w:val="baseline"/>
        </w:rPr>
        <w:t>Children’s</w:t>
      </w:r>
      <w:r>
        <w:rPr>
          <w:spacing w:val="-2"/>
          <w:sz w:val="18"/>
          <w:vertAlign w:val="baseline"/>
        </w:rPr>
        <w:t> </w:t>
      </w:r>
      <w:r>
        <w:rPr>
          <w:sz w:val="18"/>
          <w:vertAlign w:val="baseline"/>
        </w:rPr>
        <w:t>Faced Months of Death Threats and Hate Mail. Here’s How Staff Members Are Coping.” </w:t>
      </w:r>
      <w:r>
        <w:rPr>
          <w:i/>
          <w:sz w:val="18"/>
          <w:vertAlign w:val="baseline"/>
        </w:rPr>
        <w:t>Boston Globe</w:t>
      </w:r>
      <w:r>
        <w:rPr>
          <w:sz w:val="18"/>
          <w:vertAlign w:val="baseline"/>
        </w:rPr>
        <w:t>, December 3, 2022. </w:t>
      </w:r>
      <w:r>
        <w:rPr>
          <w:spacing w:val="-2"/>
          <w:sz w:val="18"/>
          <w:vertAlign w:val="baseline"/>
        </w:rPr>
        <w:t>https://</w:t>
      </w:r>
      <w:hyperlink r:id="rId787">
        <w:r>
          <w:rPr>
            <w:spacing w:val="-2"/>
            <w:sz w:val="18"/>
            <w:vertAlign w:val="baseline"/>
          </w:rPr>
          <w:t>www.bostonglobe.com/2022/12/03/metro/boston-childrens-faced-months-death-threats-hate-mail-heres-how-staff-</w:t>
        </w:r>
      </w:hyperlink>
      <w:r>
        <w:rPr>
          <w:spacing w:val="40"/>
          <w:sz w:val="18"/>
          <w:vertAlign w:val="baseline"/>
        </w:rPr>
        <w:t> </w:t>
      </w:r>
      <w:r>
        <w:rPr>
          <w:sz w:val="18"/>
          <w:vertAlign w:val="baseline"/>
        </w:rPr>
        <w:t>are-coping/; Human Rights Foundation. (2022). </w:t>
      </w:r>
      <w:r>
        <w:rPr>
          <w:i/>
          <w:sz w:val="18"/>
          <w:vertAlign w:val="baseline"/>
        </w:rPr>
        <w:t>Online Harassment, Offline Violence: Unchecked Harassment of Gender-</w:t>
      </w:r>
      <w:r>
        <w:rPr>
          <w:i/>
          <w:sz w:val="18"/>
          <w:vertAlign w:val="baseline"/>
        </w:rPr>
        <w:t> Affirming Care Providers and Children’s Hospitals on Social Media, and Its Offline Violent Consequences. </w:t>
      </w:r>
      <w:r>
        <w:rPr>
          <w:sz w:val="18"/>
          <w:vertAlign w:val="baseline"/>
        </w:rPr>
        <w:t>https://hrc-prod- </w:t>
      </w:r>
      <w:r>
        <w:rPr>
          <w:spacing w:val="-2"/>
          <w:sz w:val="18"/>
          <w:vertAlign w:val="baseline"/>
        </w:rPr>
        <w:t>requests.s3-us-west-2.amazonaws.com/HRCF-OnlineHarassmentOfflineViolence.pdf.</w:t>
      </w:r>
    </w:p>
    <w:p>
      <w:pPr>
        <w:spacing w:before="0"/>
        <w:ind w:left="483" w:right="314" w:hanging="1"/>
        <w:jc w:val="left"/>
        <w:rPr>
          <w:sz w:val="18"/>
        </w:rPr>
      </w:pPr>
      <w:r>
        <w:rPr>
          <w:sz w:val="18"/>
          <w:vertAlign w:val="superscript"/>
        </w:rPr>
        <w:t>v</w:t>
      </w:r>
      <w:r>
        <w:rPr>
          <w:spacing w:val="-14"/>
          <w:sz w:val="18"/>
          <w:vertAlign w:val="baseline"/>
        </w:rPr>
        <w:t> </w:t>
      </w:r>
      <w:r>
        <w:rPr>
          <w:i/>
          <w:sz w:val="18"/>
          <w:vertAlign w:val="baseline"/>
        </w:rPr>
        <w:t>See</w:t>
      </w:r>
      <w:r>
        <w:rPr>
          <w:i/>
          <w:spacing w:val="-2"/>
          <w:sz w:val="18"/>
          <w:vertAlign w:val="baseline"/>
        </w:rPr>
        <w:t> </w:t>
      </w:r>
      <w:r>
        <w:rPr>
          <w:sz w:val="18"/>
          <w:vertAlign w:val="baseline"/>
        </w:rPr>
        <w:t>Mass.</w:t>
      </w:r>
      <w:r>
        <w:rPr>
          <w:spacing w:val="-2"/>
          <w:sz w:val="18"/>
          <w:vertAlign w:val="baseline"/>
        </w:rPr>
        <w:t> </w:t>
      </w:r>
      <w:r>
        <w:rPr>
          <w:sz w:val="18"/>
          <w:vertAlign w:val="baseline"/>
        </w:rPr>
        <w:t>Gen.</w:t>
      </w:r>
      <w:r>
        <w:rPr>
          <w:spacing w:val="-3"/>
          <w:sz w:val="18"/>
          <w:vertAlign w:val="baseline"/>
        </w:rPr>
        <w:t> </w:t>
      </w:r>
      <w:r>
        <w:rPr>
          <w:sz w:val="18"/>
          <w:vertAlign w:val="baseline"/>
        </w:rPr>
        <w:t>Laws</w:t>
      </w:r>
      <w:r>
        <w:rPr>
          <w:spacing w:val="-2"/>
          <w:sz w:val="18"/>
          <w:vertAlign w:val="baseline"/>
        </w:rPr>
        <w:t> </w:t>
      </w:r>
      <w:r>
        <w:rPr>
          <w:sz w:val="18"/>
          <w:vertAlign w:val="baseline"/>
        </w:rPr>
        <w:t>Ann.</w:t>
      </w:r>
      <w:r>
        <w:rPr>
          <w:spacing w:val="-2"/>
          <w:sz w:val="18"/>
          <w:vertAlign w:val="baseline"/>
        </w:rPr>
        <w:t> </w:t>
      </w:r>
      <w:r>
        <w:rPr>
          <w:sz w:val="18"/>
          <w:vertAlign w:val="baseline"/>
        </w:rPr>
        <w:t>ch.</w:t>
      </w:r>
      <w:r>
        <w:rPr>
          <w:spacing w:val="-2"/>
          <w:sz w:val="18"/>
          <w:vertAlign w:val="baseline"/>
        </w:rPr>
        <w:t> </w:t>
      </w:r>
      <w:r>
        <w:rPr>
          <w:sz w:val="18"/>
          <w:vertAlign w:val="baseline"/>
        </w:rPr>
        <w:t>18C,</w:t>
      </w:r>
      <w:r>
        <w:rPr>
          <w:spacing w:val="-3"/>
          <w:sz w:val="18"/>
          <w:vertAlign w:val="baseline"/>
        </w:rPr>
        <w:t> </w:t>
      </w:r>
      <w:r>
        <w:rPr>
          <w:sz w:val="18"/>
          <w:vertAlign w:val="baseline"/>
        </w:rPr>
        <w:t>§</w:t>
      </w:r>
      <w:r>
        <w:rPr>
          <w:spacing w:val="-2"/>
          <w:sz w:val="18"/>
          <w:vertAlign w:val="baseline"/>
        </w:rPr>
        <w:t> </w:t>
      </w:r>
      <w:r>
        <w:rPr>
          <w:sz w:val="18"/>
          <w:vertAlign w:val="baseline"/>
        </w:rPr>
        <w:t>2</w:t>
      </w:r>
      <w:r>
        <w:rPr>
          <w:spacing w:val="-2"/>
          <w:sz w:val="18"/>
          <w:vertAlign w:val="baseline"/>
        </w:rPr>
        <w:t> </w:t>
      </w:r>
      <w:r>
        <w:rPr>
          <w:sz w:val="18"/>
          <w:vertAlign w:val="baseline"/>
        </w:rPr>
        <w:t>(“There</w:t>
      </w:r>
      <w:r>
        <w:rPr>
          <w:spacing w:val="-3"/>
          <w:sz w:val="18"/>
          <w:vertAlign w:val="baseline"/>
        </w:rPr>
        <w:t> </w:t>
      </w:r>
      <w:r>
        <w:rPr>
          <w:sz w:val="18"/>
          <w:vertAlign w:val="baseline"/>
        </w:rPr>
        <w:t>shall</w:t>
      </w:r>
      <w:r>
        <w:rPr>
          <w:spacing w:val="-3"/>
          <w:sz w:val="18"/>
          <w:vertAlign w:val="baseline"/>
        </w:rPr>
        <w:t> </w:t>
      </w:r>
      <w:r>
        <w:rPr>
          <w:sz w:val="18"/>
          <w:vertAlign w:val="baseline"/>
        </w:rPr>
        <w:t>be</w:t>
      </w:r>
      <w:r>
        <w:rPr>
          <w:spacing w:val="-2"/>
          <w:sz w:val="18"/>
          <w:vertAlign w:val="baseline"/>
        </w:rPr>
        <w:t> </w:t>
      </w:r>
      <w:r>
        <w:rPr>
          <w:sz w:val="18"/>
          <w:vertAlign w:val="baseline"/>
        </w:rPr>
        <w:t>an</w:t>
      </w:r>
      <w:r>
        <w:rPr>
          <w:spacing w:val="-2"/>
          <w:sz w:val="18"/>
          <w:vertAlign w:val="baseline"/>
        </w:rPr>
        <w:t> </w:t>
      </w:r>
      <w:r>
        <w:rPr>
          <w:sz w:val="18"/>
          <w:vertAlign w:val="baseline"/>
        </w:rPr>
        <w:t>office</w:t>
      </w:r>
      <w:r>
        <w:rPr>
          <w:spacing w:val="-2"/>
          <w:sz w:val="18"/>
          <w:vertAlign w:val="baseline"/>
        </w:rPr>
        <w:t> </w:t>
      </w:r>
      <w:r>
        <w:rPr>
          <w:sz w:val="18"/>
          <w:vertAlign w:val="baseline"/>
        </w:rPr>
        <w:t>of</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advocate</w:t>
      </w:r>
      <w:r>
        <w:rPr>
          <w:spacing w:val="-2"/>
          <w:sz w:val="18"/>
          <w:vertAlign w:val="baseline"/>
        </w:rPr>
        <w:t> </w:t>
      </w:r>
      <w:r>
        <w:rPr>
          <w:sz w:val="18"/>
          <w:vertAlign w:val="baseline"/>
        </w:rPr>
        <w:t>which</w:t>
      </w:r>
      <w:r>
        <w:rPr>
          <w:spacing w:val="-2"/>
          <w:sz w:val="18"/>
          <w:vertAlign w:val="baseline"/>
        </w:rPr>
        <w:t> </w:t>
      </w:r>
      <w:r>
        <w:rPr>
          <w:sz w:val="18"/>
          <w:vertAlign w:val="baseline"/>
        </w:rPr>
        <w:t>shall</w:t>
      </w:r>
      <w:r>
        <w:rPr>
          <w:spacing w:val="-3"/>
          <w:sz w:val="18"/>
          <w:vertAlign w:val="baseline"/>
        </w:rPr>
        <w:t> </w:t>
      </w:r>
      <w:r>
        <w:rPr>
          <w:sz w:val="18"/>
          <w:vertAlign w:val="baseline"/>
        </w:rPr>
        <w:t>be</w:t>
      </w:r>
      <w:r>
        <w:rPr>
          <w:spacing w:val="-2"/>
          <w:sz w:val="18"/>
          <w:vertAlign w:val="baseline"/>
        </w:rPr>
        <w:t> </w:t>
      </w:r>
      <w:r>
        <w:rPr>
          <w:sz w:val="18"/>
          <w:vertAlign w:val="baseline"/>
        </w:rPr>
        <w:t>independent</w:t>
      </w:r>
      <w:r>
        <w:rPr>
          <w:spacing w:val="-3"/>
          <w:sz w:val="18"/>
          <w:vertAlign w:val="baseline"/>
        </w:rPr>
        <w:t> </w:t>
      </w:r>
      <w:r>
        <w:rPr>
          <w:sz w:val="18"/>
          <w:vertAlign w:val="baseline"/>
        </w:rPr>
        <w:t>of</w:t>
      </w:r>
      <w:r>
        <w:rPr>
          <w:spacing w:val="-2"/>
          <w:sz w:val="18"/>
          <w:vertAlign w:val="baseline"/>
        </w:rPr>
        <w:t> </w:t>
      </w:r>
      <w:r>
        <w:rPr>
          <w:sz w:val="18"/>
          <w:vertAlign w:val="baseline"/>
        </w:rPr>
        <w:t>any supervision or control by any executive agency”).</w:t>
      </w:r>
    </w:p>
    <w:p>
      <w:pPr>
        <w:spacing w:before="1"/>
        <w:ind w:left="483" w:right="350" w:firstLine="0"/>
        <w:jc w:val="left"/>
        <w:rPr>
          <w:sz w:val="18"/>
        </w:rPr>
      </w:pPr>
      <w:r>
        <w:rPr>
          <w:sz w:val="18"/>
          <w:vertAlign w:val="superscript"/>
        </w:rPr>
        <w:t>vi</w:t>
      </w:r>
      <w:r>
        <w:rPr>
          <w:spacing w:val="-10"/>
          <w:sz w:val="18"/>
          <w:vertAlign w:val="baseline"/>
        </w:rPr>
        <w:t> </w:t>
      </w:r>
      <w:r>
        <w:rPr>
          <w:sz w:val="18"/>
          <w:vertAlign w:val="baseline"/>
        </w:rPr>
        <w:t>Mass. Gen. Laws ch. 18C, § 5 (“The child advocate shall receive complaints relative to the provision of services to children by an executive agency and shall review and monitor the complaints that reasonably cause him to believe that a child may be in need of assistance and to ensure that the complaint is resolved. If the complaint is not resolved by the relevant executive agency within a reasonable period of time in light of the circumstances, if the resolution is determined to be unsatisfactory to the</w:t>
      </w:r>
      <w:r>
        <w:rPr>
          <w:spacing w:val="-2"/>
          <w:sz w:val="18"/>
          <w:vertAlign w:val="baseline"/>
        </w:rPr>
        <w:t> </w:t>
      </w:r>
      <w:r>
        <w:rPr>
          <w:sz w:val="18"/>
          <w:vertAlign w:val="baseline"/>
        </w:rPr>
        <w:t>child</w:t>
      </w:r>
      <w:r>
        <w:rPr>
          <w:spacing w:val="-2"/>
          <w:sz w:val="18"/>
          <w:vertAlign w:val="baseline"/>
        </w:rPr>
        <w:t> </w:t>
      </w:r>
      <w:r>
        <w:rPr>
          <w:sz w:val="18"/>
          <w:vertAlign w:val="baseline"/>
        </w:rPr>
        <w:t>advocate,</w:t>
      </w:r>
      <w:r>
        <w:rPr>
          <w:spacing w:val="-3"/>
          <w:sz w:val="18"/>
          <w:vertAlign w:val="baseline"/>
        </w:rPr>
        <w:t> </w:t>
      </w:r>
      <w:r>
        <w:rPr>
          <w:sz w:val="18"/>
          <w:vertAlign w:val="baseline"/>
        </w:rPr>
        <w:t>or</w:t>
      </w:r>
      <w:r>
        <w:rPr>
          <w:spacing w:val="-3"/>
          <w:sz w:val="18"/>
          <w:vertAlign w:val="baseline"/>
        </w:rPr>
        <w:t> </w:t>
      </w:r>
      <w:r>
        <w:rPr>
          <w:sz w:val="18"/>
          <w:vertAlign w:val="baseline"/>
        </w:rPr>
        <w:t>if</w:t>
      </w:r>
      <w:r>
        <w:rPr>
          <w:spacing w:val="-2"/>
          <w:sz w:val="18"/>
          <w:vertAlign w:val="baseline"/>
        </w:rPr>
        <w:t> </w:t>
      </w:r>
      <w:r>
        <w:rPr>
          <w:sz w:val="18"/>
          <w:vertAlign w:val="baseline"/>
        </w:rPr>
        <w:t>the</w:t>
      </w:r>
      <w:r>
        <w:rPr>
          <w:spacing w:val="-2"/>
          <w:sz w:val="18"/>
          <w:vertAlign w:val="baseline"/>
        </w:rPr>
        <w:t> </w:t>
      </w:r>
      <w:r>
        <w:rPr>
          <w:sz w:val="18"/>
          <w:vertAlign w:val="baseline"/>
        </w:rPr>
        <w:t>complaint</w:t>
      </w:r>
      <w:r>
        <w:rPr>
          <w:spacing w:val="-3"/>
          <w:sz w:val="18"/>
          <w:vertAlign w:val="baseline"/>
        </w:rPr>
        <w:t> </w:t>
      </w:r>
      <w:r>
        <w:rPr>
          <w:sz w:val="18"/>
          <w:vertAlign w:val="baseline"/>
        </w:rPr>
        <w:t>reasonably</w:t>
      </w:r>
      <w:r>
        <w:rPr>
          <w:spacing w:val="-2"/>
          <w:sz w:val="18"/>
          <w:vertAlign w:val="baseline"/>
        </w:rPr>
        <w:t> </w:t>
      </w:r>
      <w:r>
        <w:rPr>
          <w:sz w:val="18"/>
          <w:vertAlign w:val="baseline"/>
        </w:rPr>
        <w:t>causes</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advocate</w:t>
      </w:r>
      <w:r>
        <w:rPr>
          <w:spacing w:val="-2"/>
          <w:sz w:val="18"/>
          <w:vertAlign w:val="baseline"/>
        </w:rPr>
        <w:t> </w:t>
      </w:r>
      <w:r>
        <w:rPr>
          <w:sz w:val="18"/>
          <w:vertAlign w:val="baseline"/>
        </w:rPr>
        <w:t>to</w:t>
      </w:r>
      <w:r>
        <w:rPr>
          <w:spacing w:val="-2"/>
          <w:sz w:val="18"/>
          <w:vertAlign w:val="baseline"/>
        </w:rPr>
        <w:t> </w:t>
      </w:r>
      <w:r>
        <w:rPr>
          <w:sz w:val="18"/>
          <w:vertAlign w:val="baseline"/>
        </w:rPr>
        <w:t>believe</w:t>
      </w:r>
      <w:r>
        <w:rPr>
          <w:spacing w:val="-2"/>
          <w:sz w:val="18"/>
          <w:vertAlign w:val="baseline"/>
        </w:rPr>
        <w:t> </w:t>
      </w:r>
      <w:r>
        <w:rPr>
          <w:sz w:val="18"/>
          <w:vertAlign w:val="baseline"/>
        </w:rPr>
        <w:t>that</w:t>
      </w:r>
      <w:r>
        <w:rPr>
          <w:spacing w:val="-3"/>
          <w:sz w:val="18"/>
          <w:vertAlign w:val="baseline"/>
        </w:rPr>
        <w:t> </w:t>
      </w:r>
      <w:r>
        <w:rPr>
          <w:sz w:val="18"/>
          <w:vertAlign w:val="baseline"/>
        </w:rPr>
        <w:t>a</w:t>
      </w:r>
      <w:r>
        <w:rPr>
          <w:spacing w:val="-2"/>
          <w:sz w:val="18"/>
          <w:vertAlign w:val="baseline"/>
        </w:rPr>
        <w:t> </w:t>
      </w:r>
      <w:r>
        <w:rPr>
          <w:sz w:val="18"/>
          <w:vertAlign w:val="baseline"/>
        </w:rPr>
        <w:t>child</w:t>
      </w:r>
      <w:r>
        <w:rPr>
          <w:spacing w:val="-2"/>
          <w:sz w:val="18"/>
          <w:vertAlign w:val="baseline"/>
        </w:rPr>
        <w:t> </w:t>
      </w:r>
      <w:r>
        <w:rPr>
          <w:sz w:val="18"/>
          <w:vertAlign w:val="baseline"/>
        </w:rPr>
        <w:t>may</w:t>
      </w:r>
      <w:r>
        <w:rPr>
          <w:spacing w:val="-2"/>
          <w:sz w:val="18"/>
          <w:vertAlign w:val="baseline"/>
        </w:rPr>
        <w:t> </w:t>
      </w:r>
      <w:r>
        <w:rPr>
          <w:sz w:val="18"/>
          <w:vertAlign w:val="baseline"/>
        </w:rPr>
        <w:t>be</w:t>
      </w:r>
      <w:r>
        <w:rPr>
          <w:spacing w:val="-2"/>
          <w:sz w:val="18"/>
          <w:vertAlign w:val="baseline"/>
        </w:rPr>
        <w:t> </w:t>
      </w:r>
      <w:r>
        <w:rPr>
          <w:sz w:val="18"/>
          <w:vertAlign w:val="baseline"/>
        </w:rPr>
        <w:t>in</w:t>
      </w:r>
      <w:r>
        <w:rPr>
          <w:spacing w:val="-2"/>
          <w:sz w:val="18"/>
          <w:vertAlign w:val="baseline"/>
        </w:rPr>
        <w:t> </w:t>
      </w:r>
      <w:r>
        <w:rPr>
          <w:sz w:val="18"/>
          <w:vertAlign w:val="baseline"/>
        </w:rPr>
        <w:t>need</w:t>
      </w:r>
      <w:r>
        <w:rPr>
          <w:spacing w:val="-3"/>
          <w:sz w:val="18"/>
          <w:vertAlign w:val="baseline"/>
        </w:rPr>
        <w:t> </w:t>
      </w:r>
      <w:r>
        <w:rPr>
          <w:sz w:val="18"/>
          <w:vertAlign w:val="baseline"/>
        </w:rPr>
        <w:t>of</w:t>
      </w:r>
      <w:r>
        <w:rPr>
          <w:spacing w:val="-2"/>
          <w:sz w:val="18"/>
          <w:vertAlign w:val="baseline"/>
        </w:rPr>
        <w:t> </w:t>
      </w:r>
      <w:r>
        <w:rPr>
          <w:sz w:val="18"/>
          <w:vertAlign w:val="baseline"/>
        </w:rPr>
        <w:t>immediate assistance, the child advocate may conduct an investigation and upon completion of the investigation, the child advocate may provide relevant</w:t>
      </w:r>
      <w:r>
        <w:rPr>
          <w:spacing w:val="-2"/>
          <w:sz w:val="18"/>
          <w:vertAlign w:val="baseline"/>
        </w:rPr>
        <w:t> </w:t>
      </w:r>
      <w:r>
        <w:rPr>
          <w:sz w:val="18"/>
          <w:vertAlign w:val="baseline"/>
        </w:rPr>
        <w:t>information in the form of a report</w:t>
      </w:r>
      <w:r>
        <w:rPr>
          <w:spacing w:val="-1"/>
          <w:sz w:val="18"/>
          <w:vertAlign w:val="baseline"/>
        </w:rPr>
        <w:t> </w:t>
      </w:r>
      <w:r>
        <w:rPr>
          <w:sz w:val="18"/>
          <w:vertAlign w:val="baseline"/>
        </w:rPr>
        <w:t>to any relevant</w:t>
      </w:r>
      <w:r>
        <w:rPr>
          <w:spacing w:val="-1"/>
          <w:sz w:val="18"/>
          <w:vertAlign w:val="baseline"/>
        </w:rPr>
        <w:t> </w:t>
      </w:r>
      <w:r>
        <w:rPr>
          <w:sz w:val="18"/>
          <w:vertAlign w:val="baseline"/>
        </w:rPr>
        <w:t>agencies and</w:t>
      </w:r>
      <w:r>
        <w:rPr>
          <w:spacing w:val="-1"/>
          <w:sz w:val="18"/>
          <w:vertAlign w:val="baseline"/>
        </w:rPr>
        <w:t> </w:t>
      </w:r>
      <w:r>
        <w:rPr>
          <w:sz w:val="18"/>
          <w:vertAlign w:val="baseline"/>
        </w:rPr>
        <w:t>request</w:t>
      </w:r>
      <w:r>
        <w:rPr>
          <w:spacing w:val="-1"/>
          <w:sz w:val="18"/>
          <w:vertAlign w:val="baseline"/>
        </w:rPr>
        <w:t> </w:t>
      </w:r>
      <w:r>
        <w:rPr>
          <w:sz w:val="18"/>
          <w:vertAlign w:val="baseline"/>
        </w:rPr>
        <w:t>a meeting,</w:t>
      </w:r>
      <w:r>
        <w:rPr>
          <w:spacing w:val="-1"/>
          <w:sz w:val="18"/>
          <w:vertAlign w:val="baseline"/>
        </w:rPr>
        <w:t> </w:t>
      </w:r>
      <w:r>
        <w:rPr>
          <w:sz w:val="18"/>
          <w:vertAlign w:val="baseline"/>
        </w:rPr>
        <w:t>if necessary,</w:t>
      </w:r>
      <w:r>
        <w:rPr>
          <w:spacing w:val="-2"/>
          <w:sz w:val="18"/>
          <w:vertAlign w:val="baseline"/>
        </w:rPr>
        <w:t> </w:t>
      </w:r>
      <w:r>
        <w:rPr>
          <w:sz w:val="18"/>
          <w:vertAlign w:val="baseline"/>
        </w:rPr>
        <w:t>to review</w:t>
      </w:r>
      <w:r>
        <w:rPr>
          <w:spacing w:val="-1"/>
          <w:sz w:val="18"/>
          <w:vertAlign w:val="baseline"/>
        </w:rPr>
        <w:t> </w:t>
      </w:r>
      <w:r>
        <w:rPr>
          <w:sz w:val="18"/>
          <w:vertAlign w:val="baseline"/>
        </w:rPr>
        <w:t>the investigation and accompanying report”).</w:t>
      </w:r>
    </w:p>
    <w:p>
      <w:pPr>
        <w:spacing w:line="219" w:lineRule="exact" w:before="0"/>
        <w:ind w:left="483" w:right="0" w:firstLine="0"/>
        <w:jc w:val="left"/>
        <w:rPr>
          <w:sz w:val="18"/>
        </w:rPr>
      </w:pPr>
      <w:r>
        <w:rPr>
          <w:sz w:val="18"/>
          <w:vertAlign w:val="superscript"/>
        </w:rPr>
        <w:t>vii</w:t>
      </w:r>
      <w:r>
        <w:rPr>
          <w:spacing w:val="-16"/>
          <w:sz w:val="18"/>
          <w:vertAlign w:val="baseline"/>
        </w:rPr>
        <w:t> </w:t>
      </w:r>
      <w:r>
        <w:rPr>
          <w:sz w:val="18"/>
          <w:vertAlign w:val="baseline"/>
        </w:rPr>
        <w:t>Mass.</w:t>
      </w:r>
      <w:r>
        <w:rPr>
          <w:spacing w:val="-4"/>
          <w:sz w:val="18"/>
          <w:vertAlign w:val="baseline"/>
        </w:rPr>
        <w:t> </w:t>
      </w:r>
      <w:r>
        <w:rPr>
          <w:sz w:val="18"/>
          <w:vertAlign w:val="baseline"/>
        </w:rPr>
        <w:t>Gen.</w:t>
      </w:r>
      <w:r>
        <w:rPr>
          <w:spacing w:val="-1"/>
          <w:sz w:val="18"/>
          <w:vertAlign w:val="baseline"/>
        </w:rPr>
        <w:t> </w:t>
      </w:r>
      <w:r>
        <w:rPr>
          <w:sz w:val="18"/>
          <w:vertAlign w:val="baseline"/>
        </w:rPr>
        <w:t>Laws</w:t>
      </w:r>
      <w:r>
        <w:rPr>
          <w:spacing w:val="-1"/>
          <w:sz w:val="18"/>
          <w:vertAlign w:val="baseline"/>
        </w:rPr>
        <w:t> </w:t>
      </w:r>
      <w:r>
        <w:rPr>
          <w:sz w:val="18"/>
          <w:vertAlign w:val="baseline"/>
        </w:rPr>
        <w:t>ch.</w:t>
      </w:r>
      <w:r>
        <w:rPr>
          <w:spacing w:val="-2"/>
          <w:sz w:val="18"/>
          <w:vertAlign w:val="baseline"/>
        </w:rPr>
        <w:t> </w:t>
      </w:r>
      <w:r>
        <w:rPr>
          <w:sz w:val="18"/>
          <w:vertAlign w:val="baseline"/>
        </w:rPr>
        <w:t>18C,</w:t>
      </w:r>
      <w:r>
        <w:rPr>
          <w:spacing w:val="-2"/>
          <w:sz w:val="18"/>
          <w:vertAlign w:val="baseline"/>
        </w:rPr>
        <w:t> </w:t>
      </w:r>
      <w:r>
        <w:rPr>
          <w:sz w:val="18"/>
          <w:vertAlign w:val="baseline"/>
        </w:rPr>
        <w:t>§</w:t>
      </w:r>
      <w:r>
        <w:rPr>
          <w:spacing w:val="-1"/>
          <w:sz w:val="18"/>
          <w:vertAlign w:val="baseline"/>
        </w:rPr>
        <w:t> </w:t>
      </w:r>
      <w:r>
        <w:rPr>
          <w:spacing w:val="-5"/>
          <w:sz w:val="18"/>
          <w:vertAlign w:val="baseline"/>
        </w:rPr>
        <w:t>5.</w:t>
      </w:r>
    </w:p>
    <w:p>
      <w:pPr>
        <w:spacing w:before="1"/>
        <w:ind w:left="483" w:right="0" w:firstLine="0"/>
        <w:jc w:val="left"/>
        <w:rPr>
          <w:sz w:val="18"/>
        </w:rPr>
      </w:pPr>
      <w:r>
        <w:rPr>
          <w:spacing w:val="-2"/>
          <w:sz w:val="18"/>
          <w:vertAlign w:val="superscript"/>
        </w:rPr>
        <w:t>viii</w:t>
      </w:r>
      <w:r>
        <w:rPr>
          <w:spacing w:val="-7"/>
          <w:sz w:val="18"/>
          <w:vertAlign w:val="baseline"/>
        </w:rPr>
        <w:t> </w:t>
      </w:r>
      <w:r>
        <w:rPr>
          <w:i/>
          <w:spacing w:val="-2"/>
          <w:sz w:val="18"/>
          <w:vertAlign w:val="baseline"/>
        </w:rPr>
        <w:t>Ibid</w:t>
      </w:r>
      <w:r>
        <w:rPr>
          <w:spacing w:val="-2"/>
          <w:sz w:val="18"/>
          <w:vertAlign w:val="baseline"/>
        </w:rPr>
        <w:t>.</w:t>
      </w:r>
    </w:p>
    <w:p>
      <w:pPr>
        <w:spacing w:before="0"/>
        <w:ind w:left="483" w:right="2582" w:firstLine="0"/>
        <w:jc w:val="left"/>
        <w:rPr>
          <w:sz w:val="18"/>
        </w:rPr>
      </w:pPr>
      <w:r>
        <w:rPr>
          <w:sz w:val="18"/>
          <w:vertAlign w:val="superscript"/>
        </w:rPr>
        <w:t>ix</w:t>
      </w:r>
      <w:r>
        <w:rPr>
          <w:spacing w:val="-14"/>
          <w:sz w:val="18"/>
          <w:vertAlign w:val="baseline"/>
        </w:rPr>
        <w:t> </w:t>
      </w:r>
      <w:r>
        <w:rPr>
          <w:sz w:val="18"/>
          <w:vertAlign w:val="baseline"/>
        </w:rPr>
        <w:t>Office</w:t>
      </w:r>
      <w:r>
        <w:rPr>
          <w:spacing w:val="-4"/>
          <w:sz w:val="18"/>
          <w:vertAlign w:val="baseline"/>
        </w:rPr>
        <w:t> </w:t>
      </w:r>
      <w:r>
        <w:rPr>
          <w:sz w:val="18"/>
          <w:vertAlign w:val="baseline"/>
        </w:rPr>
        <w:t>of</w:t>
      </w:r>
      <w:r>
        <w:rPr>
          <w:spacing w:val="-3"/>
          <w:sz w:val="18"/>
          <w:vertAlign w:val="baseline"/>
        </w:rPr>
        <w:t> </w:t>
      </w:r>
      <w:r>
        <w:rPr>
          <w:sz w:val="18"/>
          <w:vertAlign w:val="baseline"/>
        </w:rPr>
        <w:t>the</w:t>
      </w:r>
      <w:r>
        <w:rPr>
          <w:spacing w:val="-3"/>
          <w:sz w:val="18"/>
          <w:vertAlign w:val="baseline"/>
        </w:rPr>
        <w:t> </w:t>
      </w:r>
      <w:r>
        <w:rPr>
          <w:sz w:val="18"/>
          <w:vertAlign w:val="baseline"/>
        </w:rPr>
        <w:t>Child</w:t>
      </w:r>
      <w:r>
        <w:rPr>
          <w:spacing w:val="-3"/>
          <w:sz w:val="18"/>
          <w:vertAlign w:val="baseline"/>
        </w:rPr>
        <w:t> </w:t>
      </w:r>
      <w:r>
        <w:rPr>
          <w:sz w:val="18"/>
          <w:vertAlign w:val="baseline"/>
        </w:rPr>
        <w:t>Advocate.</w:t>
      </w:r>
      <w:r>
        <w:rPr>
          <w:spacing w:val="-3"/>
          <w:sz w:val="18"/>
          <w:vertAlign w:val="baseline"/>
        </w:rPr>
        <w:t> </w:t>
      </w:r>
      <w:r>
        <w:rPr>
          <w:sz w:val="18"/>
          <w:vertAlign w:val="baseline"/>
        </w:rPr>
        <w:t>2023.</w:t>
      </w:r>
      <w:r>
        <w:rPr>
          <w:spacing w:val="-3"/>
          <w:sz w:val="18"/>
          <w:vertAlign w:val="baseline"/>
        </w:rPr>
        <w:t> </w:t>
      </w:r>
      <w:r>
        <w:rPr>
          <w:i/>
          <w:sz w:val="18"/>
          <w:vertAlign w:val="baseline"/>
        </w:rPr>
        <w:t>Office</w:t>
      </w:r>
      <w:r>
        <w:rPr>
          <w:i/>
          <w:spacing w:val="-3"/>
          <w:sz w:val="18"/>
          <w:vertAlign w:val="baseline"/>
        </w:rPr>
        <w:t> </w:t>
      </w:r>
      <w:r>
        <w:rPr>
          <w:i/>
          <w:sz w:val="18"/>
          <w:vertAlign w:val="baseline"/>
        </w:rPr>
        <w:t>of</w:t>
      </w:r>
      <w:r>
        <w:rPr>
          <w:i/>
          <w:spacing w:val="-3"/>
          <w:sz w:val="18"/>
          <w:vertAlign w:val="baseline"/>
        </w:rPr>
        <w:t> </w:t>
      </w:r>
      <w:r>
        <w:rPr>
          <w:i/>
          <w:sz w:val="18"/>
          <w:vertAlign w:val="baseline"/>
        </w:rPr>
        <w:t>the</w:t>
      </w:r>
      <w:r>
        <w:rPr>
          <w:i/>
          <w:spacing w:val="-3"/>
          <w:sz w:val="18"/>
          <w:vertAlign w:val="baseline"/>
        </w:rPr>
        <w:t> </w:t>
      </w:r>
      <w:r>
        <w:rPr>
          <w:i/>
          <w:sz w:val="18"/>
          <w:vertAlign w:val="baseline"/>
        </w:rPr>
        <w:t>Child</w:t>
      </w:r>
      <w:r>
        <w:rPr>
          <w:i/>
          <w:spacing w:val="-4"/>
          <w:sz w:val="18"/>
          <w:vertAlign w:val="baseline"/>
        </w:rPr>
        <w:t> </w:t>
      </w:r>
      <w:r>
        <w:rPr>
          <w:i/>
          <w:sz w:val="18"/>
          <w:vertAlign w:val="baseline"/>
        </w:rPr>
        <w:t>Advocate</w:t>
      </w:r>
      <w:r>
        <w:rPr>
          <w:i/>
          <w:spacing w:val="-2"/>
          <w:sz w:val="18"/>
          <w:vertAlign w:val="baseline"/>
        </w:rPr>
        <w:t> </w:t>
      </w:r>
      <w:r>
        <w:rPr>
          <w:i/>
          <w:sz w:val="18"/>
          <w:vertAlign w:val="baseline"/>
        </w:rPr>
        <w:t>Annual</w:t>
      </w:r>
      <w:r>
        <w:rPr>
          <w:i/>
          <w:spacing w:val="-4"/>
          <w:sz w:val="18"/>
          <w:vertAlign w:val="baseline"/>
        </w:rPr>
        <w:t> </w:t>
      </w:r>
      <w:r>
        <w:rPr>
          <w:i/>
          <w:sz w:val="18"/>
          <w:vertAlign w:val="baseline"/>
        </w:rPr>
        <w:t>Report:</w:t>
      </w:r>
      <w:r>
        <w:rPr>
          <w:i/>
          <w:spacing w:val="-2"/>
          <w:sz w:val="18"/>
          <w:vertAlign w:val="baseline"/>
        </w:rPr>
        <w:t> </w:t>
      </w:r>
      <w:r>
        <w:rPr>
          <w:i/>
          <w:sz w:val="18"/>
          <w:vertAlign w:val="baseline"/>
        </w:rPr>
        <w:t>Fiscal</w:t>
      </w:r>
      <w:r>
        <w:rPr>
          <w:i/>
          <w:spacing w:val="-4"/>
          <w:sz w:val="18"/>
          <w:vertAlign w:val="baseline"/>
        </w:rPr>
        <w:t> </w:t>
      </w:r>
      <w:r>
        <w:rPr>
          <w:i/>
          <w:sz w:val="18"/>
          <w:vertAlign w:val="baseline"/>
        </w:rPr>
        <w:t>Year</w:t>
      </w:r>
      <w:r>
        <w:rPr>
          <w:i/>
          <w:spacing w:val="-4"/>
          <w:sz w:val="18"/>
          <w:vertAlign w:val="baseline"/>
        </w:rPr>
        <w:t> </w:t>
      </w:r>
      <w:r>
        <w:rPr>
          <w:i/>
          <w:sz w:val="18"/>
          <w:vertAlign w:val="baseline"/>
        </w:rPr>
        <w:t>2022</w:t>
      </w:r>
      <w:r>
        <w:rPr>
          <w:sz w:val="18"/>
          <w:vertAlign w:val="baseline"/>
        </w:rPr>
        <w:t>. </w:t>
      </w:r>
      <w:hyperlink r:id="rId788">
        <w:r>
          <w:rPr>
            <w:color w:val="1153CC"/>
            <w:spacing w:val="-2"/>
            <w:sz w:val="18"/>
            <w:u w:val="single" w:color="1153CC"/>
            <w:vertAlign w:val="baseline"/>
          </w:rPr>
          <w:t>https://www.mass.gov/doc/oca-annual-report-fiscal-year-2022/download</w:t>
        </w:r>
      </w:hyperlink>
      <w:hyperlink r:id="rId788">
        <w:r>
          <w:rPr>
            <w:spacing w:val="-2"/>
            <w:sz w:val="18"/>
            <w:u w:val="none"/>
            <w:vertAlign w:val="baseline"/>
          </w:rPr>
          <w:t>.</w:t>
        </w:r>
      </w:hyperlink>
    </w:p>
    <w:p>
      <w:pPr>
        <w:spacing w:line="219" w:lineRule="exact" w:before="0"/>
        <w:ind w:left="483" w:right="0" w:firstLine="0"/>
        <w:jc w:val="left"/>
        <w:rPr>
          <w:i/>
          <w:sz w:val="18"/>
        </w:rPr>
      </w:pPr>
      <w:r>
        <w:rPr>
          <w:sz w:val="18"/>
          <w:vertAlign w:val="superscript"/>
        </w:rPr>
        <w:t>x</w:t>
      </w:r>
      <w:r>
        <w:rPr>
          <w:spacing w:val="-14"/>
          <w:sz w:val="18"/>
          <w:vertAlign w:val="baseline"/>
        </w:rPr>
        <w:t> </w:t>
      </w:r>
      <w:r>
        <w:rPr>
          <w:i/>
          <w:spacing w:val="-2"/>
          <w:sz w:val="18"/>
          <w:vertAlign w:val="baseline"/>
        </w:rPr>
        <w:t>Ibid.</w:t>
      </w:r>
    </w:p>
    <w:p>
      <w:pPr>
        <w:spacing w:before="0"/>
        <w:ind w:left="483" w:right="0" w:firstLine="0"/>
        <w:jc w:val="both"/>
        <w:rPr>
          <w:sz w:val="18"/>
        </w:rPr>
      </w:pPr>
      <w:bookmarkStart w:name="_bookmark661" w:id="968"/>
      <w:bookmarkEnd w:id="968"/>
      <w:r>
        <w:rPr/>
      </w:r>
      <w:r>
        <w:rPr>
          <w:sz w:val="18"/>
          <w:vertAlign w:val="superscript"/>
        </w:rPr>
        <w:t>xi</w:t>
      </w:r>
      <w:r>
        <w:rPr>
          <w:spacing w:val="-13"/>
          <w:sz w:val="18"/>
          <w:vertAlign w:val="baseline"/>
        </w:rPr>
        <w:t> </w:t>
      </w:r>
      <w:r>
        <w:rPr>
          <w:sz w:val="18"/>
          <w:vertAlign w:val="baseline"/>
        </w:rPr>
        <w:t>Mass.</w:t>
      </w:r>
      <w:r>
        <w:rPr>
          <w:spacing w:val="-3"/>
          <w:sz w:val="18"/>
          <w:vertAlign w:val="baseline"/>
        </w:rPr>
        <w:t> </w:t>
      </w:r>
      <w:r>
        <w:rPr>
          <w:sz w:val="18"/>
          <w:vertAlign w:val="baseline"/>
        </w:rPr>
        <w:t>Gen.</w:t>
      </w:r>
      <w:r>
        <w:rPr>
          <w:spacing w:val="-1"/>
          <w:sz w:val="18"/>
          <w:vertAlign w:val="baseline"/>
        </w:rPr>
        <w:t> </w:t>
      </w:r>
      <w:r>
        <w:rPr>
          <w:sz w:val="18"/>
          <w:vertAlign w:val="baseline"/>
        </w:rPr>
        <w:t>Laws</w:t>
      </w:r>
      <w:r>
        <w:rPr>
          <w:spacing w:val="-1"/>
          <w:sz w:val="18"/>
          <w:vertAlign w:val="baseline"/>
        </w:rPr>
        <w:t> </w:t>
      </w:r>
      <w:r>
        <w:rPr>
          <w:sz w:val="18"/>
          <w:vertAlign w:val="baseline"/>
        </w:rPr>
        <w:t>Ann.</w:t>
      </w:r>
      <w:r>
        <w:rPr>
          <w:spacing w:val="-2"/>
          <w:sz w:val="18"/>
          <w:vertAlign w:val="baseline"/>
        </w:rPr>
        <w:t> </w:t>
      </w:r>
      <w:r>
        <w:rPr>
          <w:sz w:val="18"/>
          <w:vertAlign w:val="baseline"/>
        </w:rPr>
        <w:t>ch.</w:t>
      </w:r>
      <w:r>
        <w:rPr>
          <w:spacing w:val="-1"/>
          <w:sz w:val="18"/>
          <w:vertAlign w:val="baseline"/>
        </w:rPr>
        <w:t> </w:t>
      </w:r>
      <w:r>
        <w:rPr>
          <w:sz w:val="18"/>
          <w:vertAlign w:val="baseline"/>
        </w:rPr>
        <w:t>18C,</w:t>
      </w:r>
      <w:r>
        <w:rPr>
          <w:spacing w:val="-3"/>
          <w:sz w:val="18"/>
          <w:vertAlign w:val="baseline"/>
        </w:rPr>
        <w:t> </w:t>
      </w:r>
      <w:r>
        <w:rPr>
          <w:sz w:val="18"/>
          <w:vertAlign w:val="baseline"/>
        </w:rPr>
        <w:t>§</w:t>
      </w:r>
      <w:r>
        <w:rPr>
          <w:spacing w:val="-1"/>
          <w:sz w:val="18"/>
          <w:vertAlign w:val="baseline"/>
        </w:rPr>
        <w:t> </w:t>
      </w:r>
      <w:r>
        <w:rPr>
          <w:spacing w:val="-5"/>
          <w:sz w:val="18"/>
          <w:vertAlign w:val="baseline"/>
        </w:rPr>
        <w:t>6.</w:t>
      </w:r>
    </w:p>
    <w:p>
      <w:pPr>
        <w:spacing w:before="0"/>
        <w:ind w:left="483" w:right="375" w:firstLine="0"/>
        <w:jc w:val="both"/>
        <w:rPr>
          <w:sz w:val="18"/>
        </w:rPr>
      </w:pPr>
      <w:r>
        <w:rPr>
          <w:sz w:val="18"/>
          <w:vertAlign w:val="superscript"/>
        </w:rPr>
        <w:t>xii</w:t>
      </w:r>
      <w:r>
        <w:rPr>
          <w:spacing w:val="-11"/>
          <w:sz w:val="18"/>
          <w:vertAlign w:val="baseline"/>
        </w:rPr>
        <w:t> </w:t>
      </w:r>
      <w:r>
        <w:rPr>
          <w:sz w:val="18"/>
          <w:vertAlign w:val="baseline"/>
        </w:rPr>
        <w:t>U.S.</w:t>
      </w:r>
      <w:r>
        <w:rPr>
          <w:spacing w:val="-6"/>
          <w:sz w:val="18"/>
          <w:vertAlign w:val="baseline"/>
        </w:rPr>
        <w:t> </w:t>
      </w:r>
      <w:r>
        <w:rPr>
          <w:sz w:val="18"/>
          <w:vertAlign w:val="baseline"/>
        </w:rPr>
        <w:t>Administration</w:t>
      </w:r>
      <w:r>
        <w:rPr>
          <w:spacing w:val="-2"/>
          <w:sz w:val="18"/>
          <w:vertAlign w:val="baseline"/>
        </w:rPr>
        <w:t> </w:t>
      </w:r>
      <w:r>
        <w:rPr>
          <w:sz w:val="18"/>
          <w:vertAlign w:val="baseline"/>
        </w:rPr>
        <w:t>for</w:t>
      </w:r>
      <w:r>
        <w:rPr>
          <w:spacing w:val="-3"/>
          <w:sz w:val="18"/>
          <w:vertAlign w:val="baseline"/>
        </w:rPr>
        <w:t> </w:t>
      </w:r>
      <w:r>
        <w:rPr>
          <w:sz w:val="18"/>
          <w:vertAlign w:val="baseline"/>
        </w:rPr>
        <w:t>Children</w:t>
      </w:r>
      <w:r>
        <w:rPr>
          <w:spacing w:val="-2"/>
          <w:sz w:val="18"/>
          <w:vertAlign w:val="baseline"/>
        </w:rPr>
        <w:t> </w:t>
      </w:r>
      <w:r>
        <w:rPr>
          <w:sz w:val="18"/>
          <w:vertAlign w:val="baseline"/>
        </w:rPr>
        <w:t>and</w:t>
      </w:r>
      <w:r>
        <w:rPr>
          <w:spacing w:val="-2"/>
          <w:sz w:val="18"/>
          <w:vertAlign w:val="baseline"/>
        </w:rPr>
        <w:t> </w:t>
      </w:r>
      <w:r>
        <w:rPr>
          <w:sz w:val="18"/>
          <w:vertAlign w:val="baseline"/>
        </w:rPr>
        <w:t>Families,</w:t>
      </w:r>
      <w:r>
        <w:rPr>
          <w:spacing w:val="-3"/>
          <w:sz w:val="18"/>
          <w:vertAlign w:val="baseline"/>
        </w:rPr>
        <w:t> </w:t>
      </w:r>
      <w:r>
        <w:rPr>
          <w:sz w:val="18"/>
          <w:vertAlign w:val="baseline"/>
        </w:rPr>
        <w:t>Children’s</w:t>
      </w:r>
      <w:r>
        <w:rPr>
          <w:spacing w:val="-2"/>
          <w:sz w:val="18"/>
          <w:vertAlign w:val="baseline"/>
        </w:rPr>
        <w:t> </w:t>
      </w:r>
      <w:r>
        <w:rPr>
          <w:sz w:val="18"/>
          <w:vertAlign w:val="baseline"/>
        </w:rPr>
        <w:t>Bureau.</w:t>
      </w:r>
      <w:r>
        <w:rPr>
          <w:spacing w:val="-2"/>
          <w:sz w:val="18"/>
          <w:vertAlign w:val="baseline"/>
        </w:rPr>
        <w:t> </w:t>
      </w:r>
      <w:r>
        <w:rPr>
          <w:i/>
          <w:sz w:val="18"/>
          <w:vertAlign w:val="baseline"/>
        </w:rPr>
        <w:t>Advancing</w:t>
      </w:r>
      <w:r>
        <w:rPr>
          <w:i/>
          <w:spacing w:val="-3"/>
          <w:sz w:val="18"/>
          <w:vertAlign w:val="baseline"/>
        </w:rPr>
        <w:t> </w:t>
      </w:r>
      <w:r>
        <w:rPr>
          <w:i/>
          <w:sz w:val="18"/>
          <w:vertAlign w:val="baseline"/>
        </w:rPr>
        <w:t>Equity</w:t>
      </w:r>
      <w:r>
        <w:rPr>
          <w:i/>
          <w:spacing w:val="-2"/>
          <w:sz w:val="18"/>
          <w:vertAlign w:val="baseline"/>
        </w:rPr>
        <w:t> </w:t>
      </w:r>
      <w:r>
        <w:rPr>
          <w:i/>
          <w:sz w:val="18"/>
          <w:vertAlign w:val="baseline"/>
        </w:rPr>
        <w:t>and</w:t>
      </w:r>
      <w:r>
        <w:rPr>
          <w:i/>
          <w:spacing w:val="-3"/>
          <w:sz w:val="18"/>
          <w:vertAlign w:val="baseline"/>
        </w:rPr>
        <w:t> </w:t>
      </w:r>
      <w:r>
        <w:rPr>
          <w:i/>
          <w:sz w:val="18"/>
          <w:vertAlign w:val="baseline"/>
        </w:rPr>
        <w:t>Inclusion</w:t>
      </w:r>
      <w:r>
        <w:rPr>
          <w:i/>
          <w:spacing w:val="-3"/>
          <w:sz w:val="18"/>
          <w:vertAlign w:val="baseline"/>
        </w:rPr>
        <w:t> </w:t>
      </w:r>
      <w:r>
        <w:rPr>
          <w:i/>
          <w:sz w:val="18"/>
          <w:vertAlign w:val="baseline"/>
        </w:rPr>
        <w:t>Through</w:t>
      </w:r>
      <w:r>
        <w:rPr>
          <w:i/>
          <w:spacing w:val="-3"/>
          <w:sz w:val="18"/>
          <w:vertAlign w:val="baseline"/>
        </w:rPr>
        <w:t> </w:t>
      </w:r>
      <w:r>
        <w:rPr>
          <w:i/>
          <w:sz w:val="18"/>
          <w:vertAlign w:val="baseline"/>
        </w:rPr>
        <w:t>the</w:t>
      </w:r>
      <w:r>
        <w:rPr>
          <w:i/>
          <w:spacing w:val="-2"/>
          <w:sz w:val="18"/>
          <w:vertAlign w:val="baseline"/>
        </w:rPr>
        <w:t> </w:t>
      </w:r>
      <w:r>
        <w:rPr>
          <w:i/>
          <w:sz w:val="18"/>
          <w:vertAlign w:val="baseline"/>
        </w:rPr>
        <w:t>Child</w:t>
      </w:r>
      <w:r>
        <w:rPr>
          <w:i/>
          <w:spacing w:val="-3"/>
          <w:sz w:val="18"/>
          <w:vertAlign w:val="baseline"/>
        </w:rPr>
        <w:t> </w:t>
      </w:r>
      <w:r>
        <w:rPr>
          <w:i/>
          <w:sz w:val="18"/>
          <w:vertAlign w:val="baseline"/>
        </w:rPr>
        <w:t>and</w:t>
      </w:r>
      <w:r>
        <w:rPr>
          <w:i/>
          <w:spacing w:val="-3"/>
          <w:sz w:val="18"/>
          <w:vertAlign w:val="baseline"/>
        </w:rPr>
        <w:t> </w:t>
      </w:r>
      <w:r>
        <w:rPr>
          <w:i/>
          <w:sz w:val="18"/>
          <w:vertAlign w:val="baseline"/>
        </w:rPr>
        <w:t>Family</w:t>
      </w:r>
      <w:r>
        <w:rPr>
          <w:i/>
          <w:sz w:val="18"/>
          <w:vertAlign w:val="baseline"/>
        </w:rPr>
        <w:t> Service</w:t>
      </w:r>
      <w:r>
        <w:rPr>
          <w:i/>
          <w:spacing w:val="-11"/>
          <w:sz w:val="18"/>
          <w:vertAlign w:val="baseline"/>
        </w:rPr>
        <w:t> </w:t>
      </w:r>
      <w:r>
        <w:rPr>
          <w:i/>
          <w:sz w:val="18"/>
          <w:vertAlign w:val="baseline"/>
        </w:rPr>
        <w:t>Reviews</w:t>
      </w:r>
      <w:r>
        <w:rPr>
          <w:sz w:val="18"/>
          <w:vertAlign w:val="baseline"/>
        </w:rPr>
        <w:t>.</w:t>
      </w:r>
      <w:r>
        <w:rPr>
          <w:spacing w:val="-10"/>
          <w:sz w:val="18"/>
          <w:vertAlign w:val="baseline"/>
        </w:rPr>
        <w:t> </w:t>
      </w:r>
      <w:hyperlink r:id="rId789">
        <w:r>
          <w:rPr>
            <w:color w:val="1153CC"/>
            <w:sz w:val="18"/>
            <w:u w:val="single" w:color="1153CC"/>
            <w:vertAlign w:val="baseline"/>
          </w:rPr>
          <w:t>https://www.cfsrportal.acf.hhs.gov/resources/round-4-resources/cfsr-round-4-process/advancing-equity-and-</w:t>
        </w:r>
      </w:hyperlink>
      <w:r>
        <w:rPr>
          <w:color w:val="1153CC"/>
          <w:sz w:val="18"/>
          <w:u w:val="none"/>
          <w:vertAlign w:val="baseline"/>
        </w:rPr>
        <w:t> </w:t>
      </w:r>
      <w:hyperlink r:id="rId789">
        <w:r>
          <w:rPr>
            <w:color w:val="1153CC"/>
            <w:spacing w:val="-2"/>
            <w:sz w:val="18"/>
            <w:u w:val="single" w:color="1153CC"/>
            <w:vertAlign w:val="baseline"/>
          </w:rPr>
          <w:t>inclusion-through-cfsrs</w:t>
        </w:r>
      </w:hyperlink>
    </w:p>
    <w:p>
      <w:pPr>
        <w:spacing w:before="0"/>
        <w:ind w:left="483" w:right="420" w:hanging="1"/>
        <w:jc w:val="left"/>
        <w:rPr>
          <w:sz w:val="18"/>
        </w:rPr>
      </w:pPr>
      <w:r>
        <w:rPr>
          <w:sz w:val="18"/>
          <w:vertAlign w:val="superscript"/>
        </w:rPr>
        <w:t>xiii</w:t>
      </w:r>
      <w:r>
        <w:rPr>
          <w:spacing w:val="-2"/>
          <w:sz w:val="18"/>
          <w:vertAlign w:val="baseline"/>
        </w:rPr>
        <w:t> </w:t>
      </w:r>
      <w:r>
        <w:rPr>
          <w:sz w:val="18"/>
          <w:vertAlign w:val="baseline"/>
        </w:rPr>
        <w:t>Alexis</w:t>
      </w:r>
      <w:r>
        <w:rPr>
          <w:spacing w:val="-2"/>
          <w:sz w:val="18"/>
          <w:vertAlign w:val="baseline"/>
        </w:rPr>
        <w:t> </w:t>
      </w:r>
      <w:r>
        <w:rPr>
          <w:sz w:val="18"/>
          <w:vertAlign w:val="baseline"/>
        </w:rPr>
        <w:t>Henry</w:t>
      </w:r>
      <w:r>
        <w:rPr>
          <w:spacing w:val="-2"/>
          <w:sz w:val="18"/>
          <w:vertAlign w:val="baseline"/>
        </w:rPr>
        <w:t> </w:t>
      </w:r>
      <w:r>
        <w:rPr>
          <w:sz w:val="18"/>
          <w:vertAlign w:val="baseline"/>
        </w:rPr>
        <w:t>and</w:t>
      </w:r>
      <w:r>
        <w:rPr>
          <w:spacing w:val="-2"/>
          <w:sz w:val="18"/>
          <w:vertAlign w:val="baseline"/>
        </w:rPr>
        <w:t> </w:t>
      </w:r>
      <w:r>
        <w:rPr>
          <w:sz w:val="18"/>
          <w:vertAlign w:val="baseline"/>
        </w:rPr>
        <w:t>Carter</w:t>
      </w:r>
      <w:r>
        <w:rPr>
          <w:spacing w:val="-3"/>
          <w:sz w:val="18"/>
          <w:vertAlign w:val="baseline"/>
        </w:rPr>
        <w:t> </w:t>
      </w:r>
      <w:r>
        <w:rPr>
          <w:sz w:val="18"/>
          <w:vertAlign w:val="baseline"/>
        </w:rPr>
        <w:t>Pratt,</w:t>
      </w:r>
      <w:r>
        <w:rPr>
          <w:spacing w:val="-3"/>
          <w:sz w:val="18"/>
          <w:vertAlign w:val="baseline"/>
        </w:rPr>
        <w:t> </w:t>
      </w:r>
      <w:r>
        <w:rPr>
          <w:sz w:val="18"/>
          <w:vertAlign w:val="baseline"/>
        </w:rPr>
        <w:t>“Evaluation</w:t>
      </w:r>
      <w:r>
        <w:rPr>
          <w:spacing w:val="-2"/>
          <w:sz w:val="18"/>
          <w:vertAlign w:val="baseline"/>
        </w:rPr>
        <w:t> </w:t>
      </w:r>
      <w:r>
        <w:rPr>
          <w:sz w:val="18"/>
          <w:vertAlign w:val="baseline"/>
        </w:rPr>
        <w:t>of</w:t>
      </w:r>
      <w:r>
        <w:rPr>
          <w:spacing w:val="-2"/>
          <w:sz w:val="18"/>
          <w:vertAlign w:val="baseline"/>
        </w:rPr>
        <w:t> </w:t>
      </w:r>
      <w:r>
        <w:rPr>
          <w:sz w:val="18"/>
          <w:vertAlign w:val="baseline"/>
        </w:rPr>
        <w:t>a</w:t>
      </w:r>
      <w:r>
        <w:rPr>
          <w:spacing w:val="-2"/>
          <w:sz w:val="18"/>
          <w:vertAlign w:val="baseline"/>
        </w:rPr>
        <w:t> </w:t>
      </w:r>
      <w:r>
        <w:rPr>
          <w:sz w:val="18"/>
          <w:vertAlign w:val="baseline"/>
        </w:rPr>
        <w:t>Housing</w:t>
      </w:r>
      <w:r>
        <w:rPr>
          <w:spacing w:val="-2"/>
          <w:sz w:val="18"/>
          <w:vertAlign w:val="baseline"/>
        </w:rPr>
        <w:t> </w:t>
      </w:r>
      <w:r>
        <w:rPr>
          <w:sz w:val="18"/>
          <w:vertAlign w:val="baseline"/>
        </w:rPr>
        <w:t>Stabilization</w:t>
      </w:r>
      <w:r>
        <w:rPr>
          <w:spacing w:val="-2"/>
          <w:sz w:val="18"/>
          <w:vertAlign w:val="baseline"/>
        </w:rPr>
        <w:t> </w:t>
      </w:r>
      <w:r>
        <w:rPr>
          <w:sz w:val="18"/>
          <w:vertAlign w:val="baseline"/>
        </w:rPr>
        <w:t>and</w:t>
      </w:r>
      <w:r>
        <w:rPr>
          <w:spacing w:val="-2"/>
          <w:sz w:val="18"/>
          <w:vertAlign w:val="baseline"/>
        </w:rPr>
        <w:t> </w:t>
      </w:r>
      <w:r>
        <w:rPr>
          <w:sz w:val="18"/>
          <w:vertAlign w:val="baseline"/>
        </w:rPr>
        <w:t>Support</w:t>
      </w:r>
      <w:r>
        <w:rPr>
          <w:spacing w:val="-3"/>
          <w:sz w:val="18"/>
          <w:vertAlign w:val="baseline"/>
        </w:rPr>
        <w:t> </w:t>
      </w:r>
      <w:r>
        <w:rPr>
          <w:sz w:val="18"/>
          <w:vertAlign w:val="baseline"/>
        </w:rPr>
        <w:t>Program</w:t>
      </w:r>
      <w:r>
        <w:rPr>
          <w:spacing w:val="-2"/>
          <w:sz w:val="18"/>
          <w:vertAlign w:val="baseline"/>
        </w:rPr>
        <w:t> </w:t>
      </w:r>
      <w:r>
        <w:rPr>
          <w:sz w:val="18"/>
          <w:vertAlign w:val="baseline"/>
        </w:rPr>
        <w:t>for</w:t>
      </w:r>
      <w:r>
        <w:rPr>
          <w:spacing w:val="-3"/>
          <w:sz w:val="18"/>
          <w:vertAlign w:val="baseline"/>
        </w:rPr>
        <w:t> </w:t>
      </w:r>
      <w:r>
        <w:rPr>
          <w:sz w:val="18"/>
          <w:vertAlign w:val="baseline"/>
        </w:rPr>
        <w:t>DCF-Involved</w:t>
      </w:r>
      <w:r>
        <w:rPr>
          <w:spacing w:val="-2"/>
          <w:sz w:val="18"/>
          <w:vertAlign w:val="baseline"/>
        </w:rPr>
        <w:t> </w:t>
      </w:r>
      <w:r>
        <w:rPr>
          <w:sz w:val="18"/>
          <w:vertAlign w:val="baseline"/>
        </w:rPr>
        <w:t>Youth</w:t>
      </w:r>
      <w:r>
        <w:rPr>
          <w:spacing w:val="-2"/>
          <w:sz w:val="18"/>
          <w:vertAlign w:val="baseline"/>
        </w:rPr>
        <w:t> </w:t>
      </w:r>
      <w:r>
        <w:rPr>
          <w:sz w:val="18"/>
          <w:vertAlign w:val="baseline"/>
        </w:rPr>
        <w:t>and</w:t>
      </w:r>
      <w:r>
        <w:rPr>
          <w:spacing w:val="-2"/>
          <w:sz w:val="18"/>
          <w:vertAlign w:val="baseline"/>
        </w:rPr>
        <w:t> </w:t>
      </w:r>
      <w:r>
        <w:rPr>
          <w:sz w:val="18"/>
          <w:vertAlign w:val="baseline"/>
        </w:rPr>
        <w:t>Young Adults: FY22 Update,” August 2022, https://</w:t>
      </w:r>
      <w:hyperlink r:id="rId790">
        <w:r>
          <w:rPr>
            <w:sz w:val="18"/>
            <w:vertAlign w:val="baseline"/>
          </w:rPr>
          <w:t>www.mass.gov/doc/a-housing-stabilization-and-</w:t>
        </w:r>
      </w:hyperlink>
      <w:r>
        <w:rPr>
          <w:sz w:val="18"/>
          <w:vertAlign w:val="baseline"/>
        </w:rPr>
        <w:t> support-program-for-young- adults-opting-out-of-dcf-care-interim-evaluation-august-2022-update-on-hssp- pilot/download.</w:t>
      </w:r>
    </w:p>
    <w:p>
      <w:pPr>
        <w:spacing w:before="0"/>
        <w:ind w:left="483" w:right="2527" w:firstLine="0"/>
        <w:jc w:val="left"/>
        <w:rPr>
          <w:sz w:val="18"/>
        </w:rPr>
      </w:pPr>
      <w:r>
        <w:rPr>
          <w:sz w:val="18"/>
          <w:vertAlign w:val="superscript"/>
        </w:rPr>
        <w:t>xiv</w:t>
      </w:r>
      <w:r>
        <w:rPr>
          <w:spacing w:val="-14"/>
          <w:sz w:val="18"/>
          <w:vertAlign w:val="baseline"/>
        </w:rPr>
        <w:t> </w:t>
      </w:r>
      <w:r>
        <w:rPr>
          <w:sz w:val="18"/>
          <w:vertAlign w:val="baseline"/>
        </w:rPr>
        <w:t>Office</w:t>
      </w:r>
      <w:r>
        <w:rPr>
          <w:spacing w:val="-4"/>
          <w:sz w:val="18"/>
          <w:vertAlign w:val="baseline"/>
        </w:rPr>
        <w:t> </w:t>
      </w:r>
      <w:r>
        <w:rPr>
          <w:sz w:val="18"/>
          <w:vertAlign w:val="baseline"/>
        </w:rPr>
        <w:t>of</w:t>
      </w:r>
      <w:r>
        <w:rPr>
          <w:spacing w:val="-3"/>
          <w:sz w:val="18"/>
          <w:vertAlign w:val="baseline"/>
        </w:rPr>
        <w:t> </w:t>
      </w:r>
      <w:r>
        <w:rPr>
          <w:sz w:val="18"/>
          <w:vertAlign w:val="baseline"/>
        </w:rPr>
        <w:t>the</w:t>
      </w:r>
      <w:r>
        <w:rPr>
          <w:spacing w:val="-3"/>
          <w:sz w:val="18"/>
          <w:vertAlign w:val="baseline"/>
        </w:rPr>
        <w:t> </w:t>
      </w:r>
      <w:r>
        <w:rPr>
          <w:sz w:val="18"/>
          <w:vertAlign w:val="baseline"/>
        </w:rPr>
        <w:t>Child</w:t>
      </w:r>
      <w:r>
        <w:rPr>
          <w:spacing w:val="-3"/>
          <w:sz w:val="18"/>
          <w:vertAlign w:val="baseline"/>
        </w:rPr>
        <w:t> </w:t>
      </w:r>
      <w:r>
        <w:rPr>
          <w:sz w:val="18"/>
          <w:vertAlign w:val="baseline"/>
        </w:rPr>
        <w:t>Advocate.</w:t>
      </w:r>
      <w:r>
        <w:rPr>
          <w:spacing w:val="-3"/>
          <w:sz w:val="18"/>
          <w:vertAlign w:val="baseline"/>
        </w:rPr>
        <w:t> </w:t>
      </w:r>
      <w:r>
        <w:rPr>
          <w:sz w:val="18"/>
          <w:vertAlign w:val="baseline"/>
        </w:rPr>
        <w:t>2023.</w:t>
      </w:r>
      <w:r>
        <w:rPr>
          <w:spacing w:val="-3"/>
          <w:sz w:val="18"/>
          <w:vertAlign w:val="baseline"/>
        </w:rPr>
        <w:t> </w:t>
      </w:r>
      <w:r>
        <w:rPr>
          <w:i/>
          <w:sz w:val="18"/>
          <w:vertAlign w:val="baseline"/>
        </w:rPr>
        <w:t>Office</w:t>
      </w:r>
      <w:r>
        <w:rPr>
          <w:i/>
          <w:spacing w:val="-3"/>
          <w:sz w:val="18"/>
          <w:vertAlign w:val="baseline"/>
        </w:rPr>
        <w:t> </w:t>
      </w:r>
      <w:r>
        <w:rPr>
          <w:i/>
          <w:sz w:val="18"/>
          <w:vertAlign w:val="baseline"/>
        </w:rPr>
        <w:t>of</w:t>
      </w:r>
      <w:r>
        <w:rPr>
          <w:i/>
          <w:spacing w:val="-3"/>
          <w:sz w:val="18"/>
          <w:vertAlign w:val="baseline"/>
        </w:rPr>
        <w:t> </w:t>
      </w:r>
      <w:r>
        <w:rPr>
          <w:i/>
          <w:sz w:val="18"/>
          <w:vertAlign w:val="baseline"/>
        </w:rPr>
        <w:t>the</w:t>
      </w:r>
      <w:r>
        <w:rPr>
          <w:i/>
          <w:spacing w:val="-3"/>
          <w:sz w:val="18"/>
          <w:vertAlign w:val="baseline"/>
        </w:rPr>
        <w:t> </w:t>
      </w:r>
      <w:r>
        <w:rPr>
          <w:i/>
          <w:sz w:val="18"/>
          <w:vertAlign w:val="baseline"/>
        </w:rPr>
        <w:t>Child</w:t>
      </w:r>
      <w:r>
        <w:rPr>
          <w:i/>
          <w:spacing w:val="-4"/>
          <w:sz w:val="18"/>
          <w:vertAlign w:val="baseline"/>
        </w:rPr>
        <w:t> </w:t>
      </w:r>
      <w:r>
        <w:rPr>
          <w:i/>
          <w:sz w:val="18"/>
          <w:vertAlign w:val="baseline"/>
        </w:rPr>
        <w:t>Advocate</w:t>
      </w:r>
      <w:r>
        <w:rPr>
          <w:i/>
          <w:spacing w:val="-2"/>
          <w:sz w:val="18"/>
          <w:vertAlign w:val="baseline"/>
        </w:rPr>
        <w:t> </w:t>
      </w:r>
      <w:r>
        <w:rPr>
          <w:i/>
          <w:sz w:val="18"/>
          <w:vertAlign w:val="baseline"/>
        </w:rPr>
        <w:t>Annual</w:t>
      </w:r>
      <w:r>
        <w:rPr>
          <w:i/>
          <w:spacing w:val="-4"/>
          <w:sz w:val="18"/>
          <w:vertAlign w:val="baseline"/>
        </w:rPr>
        <w:t> </w:t>
      </w:r>
      <w:r>
        <w:rPr>
          <w:i/>
          <w:sz w:val="18"/>
          <w:vertAlign w:val="baseline"/>
        </w:rPr>
        <w:t>Report:</w:t>
      </w:r>
      <w:r>
        <w:rPr>
          <w:i/>
          <w:spacing w:val="-2"/>
          <w:sz w:val="18"/>
          <w:vertAlign w:val="baseline"/>
        </w:rPr>
        <w:t> </w:t>
      </w:r>
      <w:r>
        <w:rPr>
          <w:i/>
          <w:sz w:val="18"/>
          <w:vertAlign w:val="baseline"/>
        </w:rPr>
        <w:t>Fiscal</w:t>
      </w:r>
      <w:r>
        <w:rPr>
          <w:i/>
          <w:spacing w:val="-4"/>
          <w:sz w:val="18"/>
          <w:vertAlign w:val="baseline"/>
        </w:rPr>
        <w:t> </w:t>
      </w:r>
      <w:r>
        <w:rPr>
          <w:i/>
          <w:sz w:val="18"/>
          <w:vertAlign w:val="baseline"/>
        </w:rPr>
        <w:t>Year</w:t>
      </w:r>
      <w:r>
        <w:rPr>
          <w:i/>
          <w:spacing w:val="-4"/>
          <w:sz w:val="18"/>
          <w:vertAlign w:val="baseline"/>
        </w:rPr>
        <w:t> </w:t>
      </w:r>
      <w:r>
        <w:rPr>
          <w:i/>
          <w:sz w:val="18"/>
          <w:vertAlign w:val="baseline"/>
        </w:rPr>
        <w:t>2022</w:t>
      </w:r>
      <w:r>
        <w:rPr>
          <w:sz w:val="18"/>
          <w:vertAlign w:val="baseline"/>
        </w:rPr>
        <w:t>. </w:t>
      </w:r>
      <w:hyperlink r:id="rId788">
        <w:r>
          <w:rPr>
            <w:color w:val="1153CC"/>
            <w:spacing w:val="-2"/>
            <w:sz w:val="18"/>
            <w:u w:val="single" w:color="1153CC"/>
            <w:vertAlign w:val="baseline"/>
          </w:rPr>
          <w:t>https://www.mass.gov/doc/oca-annual-report-fiscal-year-2022/download</w:t>
        </w:r>
      </w:hyperlink>
      <w:hyperlink r:id="rId788">
        <w:r>
          <w:rPr>
            <w:spacing w:val="-2"/>
            <w:sz w:val="18"/>
            <w:u w:val="none"/>
            <w:vertAlign w:val="baseline"/>
          </w:rPr>
          <w:t>.</w:t>
        </w:r>
      </w:hyperlink>
    </w:p>
    <w:p>
      <w:pPr>
        <w:spacing w:line="219" w:lineRule="exact" w:before="0"/>
        <w:ind w:left="483" w:right="0" w:firstLine="0"/>
        <w:jc w:val="left"/>
        <w:rPr>
          <w:i/>
          <w:sz w:val="18"/>
        </w:rPr>
      </w:pPr>
      <w:r>
        <w:rPr>
          <w:spacing w:val="-2"/>
          <w:sz w:val="18"/>
          <w:vertAlign w:val="superscript"/>
        </w:rPr>
        <w:t>xv</w:t>
      </w:r>
      <w:r>
        <w:rPr>
          <w:spacing w:val="-11"/>
          <w:sz w:val="18"/>
          <w:vertAlign w:val="baseline"/>
        </w:rPr>
        <w:t> </w:t>
      </w:r>
      <w:r>
        <w:rPr>
          <w:i/>
          <w:spacing w:val="-2"/>
          <w:sz w:val="18"/>
          <w:vertAlign w:val="baseline"/>
        </w:rPr>
        <w:t>Ibid.</w:t>
      </w:r>
    </w:p>
    <w:p>
      <w:pPr>
        <w:spacing w:before="0"/>
        <w:ind w:left="483" w:right="474" w:hanging="1"/>
        <w:jc w:val="left"/>
        <w:rPr>
          <w:sz w:val="18"/>
        </w:rPr>
      </w:pPr>
      <w:r>
        <w:rPr>
          <w:sz w:val="18"/>
          <w:vertAlign w:val="superscript"/>
        </w:rPr>
        <w:t>xvi</w:t>
      </w:r>
      <w:r>
        <w:rPr>
          <w:spacing w:val="-14"/>
          <w:sz w:val="18"/>
          <w:vertAlign w:val="baseline"/>
        </w:rPr>
        <w:t> </w:t>
      </w:r>
      <w:r>
        <w:rPr>
          <w:sz w:val="18"/>
          <w:vertAlign w:val="baseline"/>
        </w:rPr>
        <w:t>Angela</w:t>
      </w:r>
      <w:r>
        <w:rPr>
          <w:spacing w:val="-4"/>
          <w:sz w:val="18"/>
          <w:vertAlign w:val="baseline"/>
        </w:rPr>
        <w:t> </w:t>
      </w:r>
      <w:r>
        <w:rPr>
          <w:sz w:val="18"/>
          <w:vertAlign w:val="baseline"/>
        </w:rPr>
        <w:t>Irvine</w:t>
      </w:r>
      <w:r>
        <w:rPr>
          <w:spacing w:val="-4"/>
          <w:sz w:val="18"/>
          <w:vertAlign w:val="baseline"/>
        </w:rPr>
        <w:t> </w:t>
      </w:r>
      <w:r>
        <w:rPr>
          <w:sz w:val="18"/>
          <w:vertAlign w:val="baseline"/>
        </w:rPr>
        <w:t>and</w:t>
      </w:r>
      <w:r>
        <w:rPr>
          <w:spacing w:val="-3"/>
          <w:sz w:val="18"/>
          <w:vertAlign w:val="baseline"/>
        </w:rPr>
        <w:t> </w:t>
      </w:r>
      <w:r>
        <w:rPr>
          <w:sz w:val="18"/>
          <w:vertAlign w:val="baseline"/>
        </w:rPr>
        <w:t>Aisha</w:t>
      </w:r>
      <w:r>
        <w:rPr>
          <w:spacing w:val="-3"/>
          <w:sz w:val="18"/>
          <w:vertAlign w:val="baseline"/>
        </w:rPr>
        <w:t> </w:t>
      </w:r>
      <w:r>
        <w:rPr>
          <w:sz w:val="18"/>
          <w:vertAlign w:val="baseline"/>
        </w:rPr>
        <w:t>Canfield,</w:t>
      </w:r>
      <w:r>
        <w:rPr>
          <w:spacing w:val="-4"/>
          <w:sz w:val="18"/>
          <w:vertAlign w:val="baseline"/>
        </w:rPr>
        <w:t> </w:t>
      </w:r>
      <w:r>
        <w:rPr>
          <w:sz w:val="18"/>
          <w:vertAlign w:val="baseline"/>
        </w:rPr>
        <w:t>“The</w:t>
      </w:r>
      <w:r>
        <w:rPr>
          <w:spacing w:val="-3"/>
          <w:sz w:val="18"/>
          <w:vertAlign w:val="baseline"/>
        </w:rPr>
        <w:t> </w:t>
      </w:r>
      <w:r>
        <w:rPr>
          <w:sz w:val="18"/>
          <w:vertAlign w:val="baseline"/>
        </w:rPr>
        <w:t>Overrepresentation</w:t>
      </w:r>
      <w:r>
        <w:rPr>
          <w:spacing w:val="-3"/>
          <w:sz w:val="18"/>
          <w:vertAlign w:val="baseline"/>
        </w:rPr>
        <w:t> </w:t>
      </w:r>
      <w:r>
        <w:rPr>
          <w:sz w:val="18"/>
          <w:vertAlign w:val="baseline"/>
        </w:rPr>
        <w:t>of</w:t>
      </w:r>
      <w:r>
        <w:rPr>
          <w:spacing w:val="-3"/>
          <w:sz w:val="18"/>
          <w:vertAlign w:val="baseline"/>
        </w:rPr>
        <w:t> </w:t>
      </w:r>
      <w:r>
        <w:rPr>
          <w:sz w:val="18"/>
          <w:vertAlign w:val="baseline"/>
        </w:rPr>
        <w:t>Lesbian,</w:t>
      </w:r>
      <w:r>
        <w:rPr>
          <w:spacing w:val="-4"/>
          <w:sz w:val="18"/>
          <w:vertAlign w:val="baseline"/>
        </w:rPr>
        <w:t> </w:t>
      </w:r>
      <w:r>
        <w:rPr>
          <w:sz w:val="18"/>
          <w:vertAlign w:val="baseline"/>
        </w:rPr>
        <w:t>Gay,</w:t>
      </w:r>
      <w:r>
        <w:rPr>
          <w:spacing w:val="-4"/>
          <w:sz w:val="18"/>
          <w:vertAlign w:val="baseline"/>
        </w:rPr>
        <w:t> </w:t>
      </w:r>
      <w:r>
        <w:rPr>
          <w:sz w:val="18"/>
          <w:vertAlign w:val="baseline"/>
        </w:rPr>
        <w:t>Bisexual,</w:t>
      </w:r>
      <w:r>
        <w:rPr>
          <w:spacing w:val="-4"/>
          <w:sz w:val="18"/>
          <w:vertAlign w:val="baseline"/>
        </w:rPr>
        <w:t> </w:t>
      </w:r>
      <w:r>
        <w:rPr>
          <w:sz w:val="18"/>
          <w:vertAlign w:val="baseline"/>
        </w:rPr>
        <w:t>Questioning,</w:t>
      </w:r>
      <w:r>
        <w:rPr>
          <w:spacing w:val="-4"/>
          <w:sz w:val="18"/>
          <w:vertAlign w:val="baseline"/>
        </w:rPr>
        <w:t> </w:t>
      </w:r>
      <w:r>
        <w:rPr>
          <w:sz w:val="18"/>
          <w:vertAlign w:val="baseline"/>
        </w:rPr>
        <w:t>Gender</w:t>
      </w:r>
      <w:r>
        <w:rPr>
          <w:spacing w:val="-4"/>
          <w:sz w:val="18"/>
          <w:vertAlign w:val="baseline"/>
        </w:rPr>
        <w:t> </w:t>
      </w:r>
      <w:r>
        <w:rPr>
          <w:sz w:val="18"/>
          <w:vertAlign w:val="baseline"/>
        </w:rPr>
        <w:t>Nonconforming and</w:t>
      </w:r>
      <w:r>
        <w:rPr>
          <w:spacing w:val="-2"/>
          <w:sz w:val="18"/>
          <w:vertAlign w:val="baseline"/>
        </w:rPr>
        <w:t> </w:t>
      </w:r>
      <w:r>
        <w:rPr>
          <w:sz w:val="18"/>
          <w:vertAlign w:val="baseline"/>
        </w:rPr>
        <w:t>Transgender</w:t>
      </w:r>
      <w:r>
        <w:rPr>
          <w:spacing w:val="-3"/>
          <w:sz w:val="18"/>
          <w:vertAlign w:val="baseline"/>
        </w:rPr>
        <w:t> </w:t>
      </w:r>
      <w:r>
        <w:rPr>
          <w:sz w:val="18"/>
          <w:vertAlign w:val="baseline"/>
        </w:rPr>
        <w:t>Youth</w:t>
      </w:r>
      <w:r>
        <w:rPr>
          <w:spacing w:val="-2"/>
          <w:sz w:val="18"/>
          <w:vertAlign w:val="baseline"/>
        </w:rPr>
        <w:t> </w:t>
      </w:r>
      <w:r>
        <w:rPr>
          <w:sz w:val="18"/>
          <w:vertAlign w:val="baseline"/>
        </w:rPr>
        <w:t>Within</w:t>
      </w:r>
      <w:r>
        <w:rPr>
          <w:spacing w:val="-2"/>
          <w:sz w:val="18"/>
          <w:vertAlign w:val="baseline"/>
        </w:rPr>
        <w:t> </w:t>
      </w:r>
      <w:r>
        <w:rPr>
          <w:sz w:val="18"/>
          <w:vertAlign w:val="baseline"/>
        </w:rPr>
        <w:t>the</w:t>
      </w:r>
      <w:r>
        <w:rPr>
          <w:spacing w:val="-2"/>
          <w:sz w:val="18"/>
          <w:vertAlign w:val="baseline"/>
        </w:rPr>
        <w:t> </w:t>
      </w:r>
      <w:r>
        <w:rPr>
          <w:sz w:val="18"/>
          <w:vertAlign w:val="baseline"/>
        </w:rPr>
        <w:t>Child</w:t>
      </w:r>
      <w:r>
        <w:rPr>
          <w:spacing w:val="-2"/>
          <w:sz w:val="18"/>
          <w:vertAlign w:val="baseline"/>
        </w:rPr>
        <w:t> </w:t>
      </w:r>
      <w:r>
        <w:rPr>
          <w:sz w:val="18"/>
          <w:vertAlign w:val="baseline"/>
        </w:rPr>
        <w:t>Welfare</w:t>
      </w:r>
      <w:r>
        <w:rPr>
          <w:spacing w:val="-2"/>
          <w:sz w:val="18"/>
          <w:vertAlign w:val="baseline"/>
        </w:rPr>
        <w:t> </w:t>
      </w:r>
      <w:r>
        <w:rPr>
          <w:sz w:val="18"/>
          <w:vertAlign w:val="baseline"/>
        </w:rPr>
        <w:t>to</w:t>
      </w:r>
      <w:r>
        <w:rPr>
          <w:spacing w:val="-2"/>
          <w:sz w:val="18"/>
          <w:vertAlign w:val="baseline"/>
        </w:rPr>
        <w:t> </w:t>
      </w:r>
      <w:r>
        <w:rPr>
          <w:sz w:val="18"/>
          <w:vertAlign w:val="baseline"/>
        </w:rPr>
        <w:t>Juvenile</w:t>
      </w:r>
      <w:r>
        <w:rPr>
          <w:spacing w:val="-2"/>
          <w:sz w:val="18"/>
          <w:vertAlign w:val="baseline"/>
        </w:rPr>
        <w:t> </w:t>
      </w:r>
      <w:r>
        <w:rPr>
          <w:sz w:val="18"/>
          <w:vertAlign w:val="baseline"/>
        </w:rPr>
        <w:t>Justice</w:t>
      </w:r>
      <w:r>
        <w:rPr>
          <w:spacing w:val="-2"/>
          <w:sz w:val="18"/>
          <w:vertAlign w:val="baseline"/>
        </w:rPr>
        <w:t> </w:t>
      </w:r>
      <w:r>
        <w:rPr>
          <w:sz w:val="18"/>
          <w:vertAlign w:val="baseline"/>
        </w:rPr>
        <w:t>Crossover</w:t>
      </w:r>
      <w:r>
        <w:rPr>
          <w:spacing w:val="-3"/>
          <w:sz w:val="18"/>
          <w:vertAlign w:val="baseline"/>
        </w:rPr>
        <w:t> </w:t>
      </w:r>
      <w:r>
        <w:rPr>
          <w:sz w:val="18"/>
          <w:vertAlign w:val="baseline"/>
        </w:rPr>
        <w:t>Population,”</w:t>
      </w:r>
      <w:r>
        <w:rPr>
          <w:spacing w:val="-2"/>
          <w:sz w:val="18"/>
          <w:vertAlign w:val="baseline"/>
        </w:rPr>
        <w:t> </w:t>
      </w:r>
      <w:r>
        <w:rPr>
          <w:sz w:val="18"/>
          <w:vertAlign w:val="baseline"/>
        </w:rPr>
        <w:t>Journal</w:t>
      </w:r>
      <w:r>
        <w:rPr>
          <w:spacing w:val="-3"/>
          <w:sz w:val="18"/>
          <w:vertAlign w:val="baseline"/>
        </w:rPr>
        <w:t> </w:t>
      </w:r>
      <w:r>
        <w:rPr>
          <w:sz w:val="18"/>
          <w:vertAlign w:val="baseline"/>
        </w:rPr>
        <w:t>on</w:t>
      </w:r>
      <w:r>
        <w:rPr>
          <w:spacing w:val="-2"/>
          <w:sz w:val="18"/>
          <w:vertAlign w:val="baseline"/>
        </w:rPr>
        <w:t> </w:t>
      </w:r>
      <w:r>
        <w:rPr>
          <w:sz w:val="18"/>
          <w:vertAlign w:val="baseline"/>
        </w:rPr>
        <w:t>Gender,</w:t>
      </w:r>
      <w:r>
        <w:rPr>
          <w:spacing w:val="-3"/>
          <w:sz w:val="18"/>
          <w:vertAlign w:val="baseline"/>
        </w:rPr>
        <w:t> </w:t>
      </w:r>
      <w:r>
        <w:rPr>
          <w:sz w:val="18"/>
          <w:vertAlign w:val="baseline"/>
        </w:rPr>
        <w:t>Social</w:t>
      </w:r>
      <w:r>
        <w:rPr>
          <w:spacing w:val="-3"/>
          <w:sz w:val="18"/>
          <w:vertAlign w:val="baseline"/>
        </w:rPr>
        <w:t> </w:t>
      </w:r>
      <w:r>
        <w:rPr>
          <w:sz w:val="18"/>
          <w:vertAlign w:val="baseline"/>
        </w:rPr>
        <w:t>Policy, and the Law 24, no. 2 (2016): 245. </w:t>
      </w:r>
      <w:r>
        <w:rPr>
          <w:spacing w:val="-2"/>
          <w:sz w:val="18"/>
          <w:vertAlign w:val="baseline"/>
        </w:rPr>
        <w:t>https://static1.squarespace.com/static/60da0d6e99c93c16e9951f78/t/60feb3d0735d6f7990c4f328/16273049199</w:t>
      </w:r>
      <w:r>
        <w:rPr>
          <w:sz w:val="18"/>
          <w:vertAlign w:val="baseline"/>
        </w:rPr>
        <w:t> </w:t>
      </w:r>
      <w:r>
        <w:rPr>
          <w:spacing w:val="-2"/>
          <w:sz w:val="18"/>
          <w:vertAlign w:val="baseline"/>
        </w:rPr>
        <w:t>84/irvine.canfield.jgspl.2016.pdf.</w:t>
      </w:r>
    </w:p>
    <w:p>
      <w:pPr>
        <w:spacing w:before="1"/>
        <w:ind w:left="483" w:right="0" w:firstLine="0"/>
        <w:jc w:val="left"/>
        <w:rPr>
          <w:sz w:val="18"/>
        </w:rPr>
      </w:pPr>
      <w:r>
        <w:rPr>
          <w:sz w:val="18"/>
          <w:vertAlign w:val="superscript"/>
        </w:rPr>
        <w:t>xvii</w:t>
      </w:r>
      <w:r>
        <w:rPr>
          <w:spacing w:val="-14"/>
          <w:sz w:val="18"/>
          <w:vertAlign w:val="baseline"/>
        </w:rPr>
        <w:t> </w:t>
      </w:r>
      <w:r>
        <w:rPr>
          <w:sz w:val="18"/>
          <w:vertAlign w:val="baseline"/>
        </w:rPr>
        <w:t>Data</w:t>
      </w:r>
      <w:r>
        <w:rPr>
          <w:spacing w:val="-4"/>
          <w:sz w:val="18"/>
          <w:vertAlign w:val="baseline"/>
        </w:rPr>
        <w:t> </w:t>
      </w:r>
      <w:r>
        <w:rPr>
          <w:sz w:val="18"/>
          <w:vertAlign w:val="baseline"/>
        </w:rPr>
        <w:t>on</w:t>
      </w:r>
      <w:r>
        <w:rPr>
          <w:spacing w:val="-2"/>
          <w:sz w:val="18"/>
          <w:vertAlign w:val="baseline"/>
        </w:rPr>
        <w:t> </w:t>
      </w:r>
      <w:r>
        <w:rPr>
          <w:sz w:val="18"/>
          <w:vertAlign w:val="baseline"/>
        </w:rPr>
        <w:t>file</w:t>
      </w:r>
      <w:r>
        <w:rPr>
          <w:spacing w:val="-2"/>
          <w:sz w:val="18"/>
          <w:vertAlign w:val="baseline"/>
        </w:rPr>
        <w:t> </w:t>
      </w:r>
      <w:r>
        <w:rPr>
          <w:sz w:val="18"/>
          <w:vertAlign w:val="baseline"/>
        </w:rPr>
        <w:t>with</w:t>
      </w:r>
      <w:r>
        <w:rPr>
          <w:spacing w:val="-2"/>
          <w:sz w:val="18"/>
          <w:vertAlign w:val="baseline"/>
        </w:rPr>
        <w:t> </w:t>
      </w:r>
      <w:r>
        <w:rPr>
          <w:sz w:val="18"/>
          <w:vertAlign w:val="baseline"/>
        </w:rPr>
        <w:t>the</w:t>
      </w:r>
      <w:r>
        <w:rPr>
          <w:spacing w:val="-1"/>
          <w:sz w:val="18"/>
          <w:vertAlign w:val="baseline"/>
        </w:rPr>
        <w:t> </w:t>
      </w:r>
      <w:r>
        <w:rPr>
          <w:spacing w:val="-2"/>
          <w:sz w:val="18"/>
          <w:vertAlign w:val="baseline"/>
        </w:rPr>
        <w:t>Commission.</w:t>
      </w:r>
    </w:p>
    <w:p>
      <w:pPr>
        <w:spacing w:before="0"/>
        <w:ind w:left="483" w:right="0" w:firstLine="0"/>
        <w:jc w:val="left"/>
        <w:rPr>
          <w:i/>
          <w:sz w:val="18"/>
        </w:rPr>
      </w:pPr>
      <w:r>
        <w:rPr>
          <w:sz w:val="18"/>
          <w:vertAlign w:val="superscript"/>
        </w:rPr>
        <w:t>xviii</w:t>
      </w:r>
      <w:r>
        <w:rPr>
          <w:spacing w:val="-16"/>
          <w:sz w:val="18"/>
          <w:vertAlign w:val="baseline"/>
        </w:rPr>
        <w:t> </w:t>
      </w:r>
      <w:bookmarkStart w:name="_bookmark662" w:id="969"/>
      <w:bookmarkEnd w:id="969"/>
      <w:r>
        <w:rPr>
          <w:sz w:val="18"/>
          <w:vertAlign w:val="baseline"/>
        </w:rPr>
        <w:t>Juven</w:t>
      </w:r>
      <w:r>
        <w:rPr>
          <w:sz w:val="18"/>
          <w:vertAlign w:val="baseline"/>
        </w:rPr>
        <w:t>ile</w:t>
      </w:r>
      <w:r>
        <w:rPr>
          <w:spacing w:val="-6"/>
          <w:sz w:val="18"/>
          <w:vertAlign w:val="baseline"/>
        </w:rPr>
        <w:t> </w:t>
      </w:r>
      <w:r>
        <w:rPr>
          <w:sz w:val="18"/>
          <w:vertAlign w:val="baseline"/>
        </w:rPr>
        <w:t>Justice</w:t>
      </w:r>
      <w:r>
        <w:rPr>
          <w:spacing w:val="-4"/>
          <w:sz w:val="18"/>
          <w:vertAlign w:val="baseline"/>
        </w:rPr>
        <w:t> </w:t>
      </w:r>
      <w:r>
        <w:rPr>
          <w:sz w:val="18"/>
          <w:vertAlign w:val="baseline"/>
        </w:rPr>
        <w:t>Policy</w:t>
      </w:r>
      <w:r>
        <w:rPr>
          <w:spacing w:val="-3"/>
          <w:sz w:val="18"/>
          <w:vertAlign w:val="baseline"/>
        </w:rPr>
        <w:t> </w:t>
      </w:r>
      <w:r>
        <w:rPr>
          <w:sz w:val="18"/>
          <w:vertAlign w:val="baseline"/>
        </w:rPr>
        <w:t>and</w:t>
      </w:r>
      <w:r>
        <w:rPr>
          <w:spacing w:val="-4"/>
          <w:sz w:val="18"/>
          <w:vertAlign w:val="baseline"/>
        </w:rPr>
        <w:t> </w:t>
      </w:r>
      <w:r>
        <w:rPr>
          <w:sz w:val="18"/>
          <w:vertAlign w:val="baseline"/>
        </w:rPr>
        <w:t>Data</w:t>
      </w:r>
      <w:r>
        <w:rPr>
          <w:spacing w:val="-3"/>
          <w:sz w:val="18"/>
          <w:vertAlign w:val="baseline"/>
        </w:rPr>
        <w:t> </w:t>
      </w:r>
      <w:r>
        <w:rPr>
          <w:sz w:val="18"/>
          <w:vertAlign w:val="baseline"/>
        </w:rPr>
        <w:t>Board.</w:t>
      </w:r>
      <w:r>
        <w:rPr>
          <w:spacing w:val="-4"/>
          <w:sz w:val="18"/>
          <w:vertAlign w:val="baseline"/>
        </w:rPr>
        <w:t> </w:t>
      </w:r>
      <w:r>
        <w:rPr>
          <w:sz w:val="18"/>
          <w:vertAlign w:val="baseline"/>
        </w:rPr>
        <w:t>(2023).</w:t>
      </w:r>
      <w:r>
        <w:rPr>
          <w:spacing w:val="-3"/>
          <w:sz w:val="18"/>
          <w:vertAlign w:val="baseline"/>
        </w:rPr>
        <w:t> </w:t>
      </w:r>
      <w:r>
        <w:rPr>
          <w:i/>
          <w:sz w:val="18"/>
          <w:vertAlign w:val="baseline"/>
        </w:rPr>
        <w:t>Massachusetts</w:t>
      </w:r>
      <w:r>
        <w:rPr>
          <w:i/>
          <w:spacing w:val="-4"/>
          <w:sz w:val="18"/>
          <w:vertAlign w:val="baseline"/>
        </w:rPr>
        <w:t> </w:t>
      </w:r>
      <w:r>
        <w:rPr>
          <w:i/>
          <w:sz w:val="18"/>
          <w:vertAlign w:val="baseline"/>
        </w:rPr>
        <w:t>Juvenile</w:t>
      </w:r>
      <w:r>
        <w:rPr>
          <w:i/>
          <w:spacing w:val="-3"/>
          <w:sz w:val="18"/>
          <w:vertAlign w:val="baseline"/>
        </w:rPr>
        <w:t> </w:t>
      </w:r>
      <w:r>
        <w:rPr>
          <w:i/>
          <w:sz w:val="18"/>
          <w:vertAlign w:val="baseline"/>
        </w:rPr>
        <w:t>Justice</w:t>
      </w:r>
      <w:r>
        <w:rPr>
          <w:i/>
          <w:spacing w:val="-4"/>
          <w:sz w:val="18"/>
          <w:vertAlign w:val="baseline"/>
        </w:rPr>
        <w:t> </w:t>
      </w:r>
      <w:r>
        <w:rPr>
          <w:i/>
          <w:sz w:val="18"/>
          <w:vertAlign w:val="baseline"/>
        </w:rPr>
        <w:t>System:</w:t>
      </w:r>
      <w:r>
        <w:rPr>
          <w:i/>
          <w:spacing w:val="-3"/>
          <w:sz w:val="18"/>
          <w:vertAlign w:val="baseline"/>
        </w:rPr>
        <w:t> </w:t>
      </w:r>
      <w:r>
        <w:rPr>
          <w:i/>
          <w:sz w:val="18"/>
          <w:vertAlign w:val="baseline"/>
        </w:rPr>
        <w:t>2022</w:t>
      </w:r>
      <w:r>
        <w:rPr>
          <w:i/>
          <w:spacing w:val="-4"/>
          <w:sz w:val="18"/>
          <w:vertAlign w:val="baseline"/>
        </w:rPr>
        <w:t> </w:t>
      </w:r>
      <w:r>
        <w:rPr>
          <w:i/>
          <w:sz w:val="18"/>
          <w:vertAlign w:val="baseline"/>
        </w:rPr>
        <w:t>JJPAD</w:t>
      </w:r>
      <w:r>
        <w:rPr>
          <w:i/>
          <w:spacing w:val="-4"/>
          <w:sz w:val="18"/>
          <w:vertAlign w:val="baseline"/>
        </w:rPr>
        <w:t> </w:t>
      </w:r>
      <w:r>
        <w:rPr>
          <w:i/>
          <w:sz w:val="18"/>
          <w:vertAlign w:val="baseline"/>
        </w:rPr>
        <w:t>Annual</w:t>
      </w:r>
      <w:r>
        <w:rPr>
          <w:i/>
          <w:spacing w:val="-4"/>
          <w:sz w:val="18"/>
          <w:vertAlign w:val="baseline"/>
        </w:rPr>
        <w:t> </w:t>
      </w:r>
      <w:r>
        <w:rPr>
          <w:i/>
          <w:spacing w:val="-2"/>
          <w:sz w:val="18"/>
          <w:vertAlign w:val="baseline"/>
        </w:rPr>
        <w:t>Report.</w:t>
      </w:r>
    </w:p>
    <w:p>
      <w:pPr>
        <w:spacing w:before="0"/>
        <w:ind w:left="483" w:right="0" w:firstLine="0"/>
        <w:jc w:val="left"/>
        <w:rPr>
          <w:sz w:val="18"/>
        </w:rPr>
      </w:pPr>
      <w:r>
        <w:rPr>
          <w:spacing w:val="-2"/>
          <w:sz w:val="18"/>
        </w:rPr>
        <w:t>https://</w:t>
      </w:r>
      <w:hyperlink r:id="rId791">
        <w:r>
          <w:rPr>
            <w:spacing w:val="-2"/>
            <w:sz w:val="18"/>
          </w:rPr>
          <w:t>www.mass.gov/doc/jjpad-2022-annual-report/download</w:t>
        </w:r>
      </w:hyperlink>
    </w:p>
    <w:p>
      <w:pPr>
        <w:spacing w:before="0"/>
        <w:ind w:left="483" w:right="0" w:firstLine="0"/>
        <w:jc w:val="left"/>
        <w:rPr>
          <w:sz w:val="18"/>
        </w:rPr>
      </w:pPr>
      <w:r>
        <w:rPr>
          <w:sz w:val="18"/>
          <w:vertAlign w:val="superscript"/>
        </w:rPr>
        <w:t>xix</w:t>
      </w:r>
      <w:r>
        <w:rPr>
          <w:spacing w:val="-9"/>
          <w:sz w:val="18"/>
          <w:vertAlign w:val="baseline"/>
        </w:rPr>
        <w:t> </w:t>
      </w:r>
      <w:r>
        <w:rPr>
          <w:sz w:val="18"/>
          <w:vertAlign w:val="baseline"/>
        </w:rPr>
        <w:t>Massachusetts Commission on Lesbian, Gay, Bisexual, Transgender, Queer &amp; Questioning Youth. (2022). </w:t>
      </w:r>
      <w:r>
        <w:rPr>
          <w:i/>
          <w:sz w:val="18"/>
          <w:vertAlign w:val="baseline"/>
        </w:rPr>
        <w:t>Report and</w:t>
      </w:r>
      <w:r>
        <w:rPr>
          <w:i/>
          <w:sz w:val="18"/>
          <w:vertAlign w:val="baseline"/>
        </w:rPr>
        <w:t> Recommendations</w:t>
      </w:r>
      <w:r>
        <w:rPr>
          <w:i/>
          <w:spacing w:val="-9"/>
          <w:sz w:val="18"/>
          <w:vertAlign w:val="baseline"/>
        </w:rPr>
        <w:t> </w:t>
      </w:r>
      <w:r>
        <w:rPr>
          <w:i/>
          <w:sz w:val="18"/>
          <w:vertAlign w:val="baseline"/>
        </w:rPr>
        <w:t>for</w:t>
      </w:r>
      <w:r>
        <w:rPr>
          <w:i/>
          <w:spacing w:val="-9"/>
          <w:sz w:val="18"/>
          <w:vertAlign w:val="baseline"/>
        </w:rPr>
        <w:t> </w:t>
      </w:r>
      <w:r>
        <w:rPr>
          <w:i/>
          <w:sz w:val="18"/>
          <w:vertAlign w:val="baseline"/>
        </w:rPr>
        <w:t>Fiscal</w:t>
      </w:r>
      <w:r>
        <w:rPr>
          <w:i/>
          <w:spacing w:val="-9"/>
          <w:sz w:val="18"/>
          <w:vertAlign w:val="baseline"/>
        </w:rPr>
        <w:t> </w:t>
      </w:r>
      <w:r>
        <w:rPr>
          <w:i/>
          <w:sz w:val="18"/>
          <w:vertAlign w:val="baseline"/>
        </w:rPr>
        <w:t>Year</w:t>
      </w:r>
      <w:r>
        <w:rPr>
          <w:i/>
          <w:spacing w:val="-8"/>
          <w:sz w:val="18"/>
          <w:vertAlign w:val="baseline"/>
        </w:rPr>
        <w:t> </w:t>
      </w:r>
      <w:r>
        <w:rPr>
          <w:i/>
          <w:sz w:val="18"/>
          <w:vertAlign w:val="baseline"/>
        </w:rPr>
        <w:t>2023.</w:t>
      </w:r>
      <w:r>
        <w:rPr>
          <w:i/>
          <w:spacing w:val="-8"/>
          <w:sz w:val="18"/>
          <w:vertAlign w:val="baseline"/>
        </w:rPr>
        <w:t> </w:t>
      </w:r>
      <w:r>
        <w:rPr>
          <w:sz w:val="18"/>
          <w:vertAlign w:val="baseline"/>
        </w:rPr>
        <w:t>https://</w:t>
      </w:r>
      <w:hyperlink r:id="rId792">
        <w:r>
          <w:rPr>
            <w:sz w:val="18"/>
            <w:vertAlign w:val="baseline"/>
          </w:rPr>
          <w:t>www.mass.gov/doc/mclgbtqy-annual-recommendations-fy-2023/downl</w:t>
        </w:r>
      </w:hyperlink>
      <w:r>
        <w:rPr>
          <w:sz w:val="18"/>
          <w:vertAlign w:val="baseline"/>
        </w:rPr>
        <w:t>oad</w:t>
      </w:r>
    </w:p>
    <w:p>
      <w:pPr>
        <w:spacing w:after="0"/>
        <w:jc w:val="left"/>
        <w:rPr>
          <w:sz w:val="18"/>
        </w:rPr>
        <w:sectPr>
          <w:pgSz w:w="12240" w:h="15840"/>
          <w:pgMar w:header="804" w:footer="1281" w:top="1000" w:bottom="1480" w:left="960" w:right="1100"/>
        </w:sectPr>
      </w:pPr>
    </w:p>
    <w:p>
      <w:pPr>
        <w:spacing w:before="180"/>
        <w:ind w:left="344" w:right="0" w:firstLine="0"/>
        <w:jc w:val="left"/>
        <w:rPr>
          <w:sz w:val="28"/>
        </w:rPr>
      </w:pPr>
      <w:r>
        <w:rPr/>
        <mc:AlternateContent>
          <mc:Choice Requires="wps">
            <w:drawing>
              <wp:anchor distT="0" distB="0" distL="0" distR="0" allowOverlap="1" layoutInCell="1" locked="0" behindDoc="1" simplePos="0" relativeHeight="487739904">
                <wp:simplePos x="0" y="0"/>
                <wp:positionH relativeFrom="page">
                  <wp:posOffset>809244</wp:posOffset>
                </wp:positionH>
                <wp:positionV relativeFrom="paragraph">
                  <wp:posOffset>343852</wp:posOffset>
                </wp:positionV>
                <wp:extent cx="6155055" cy="6350"/>
                <wp:effectExtent l="0" t="0" r="0" b="0"/>
                <wp:wrapTopAndBottom/>
                <wp:docPr id="714" name="Graphic 714"/>
                <wp:cNvGraphicFramePr>
                  <a:graphicFrameLocks/>
                </wp:cNvGraphicFramePr>
                <a:graphic>
                  <a:graphicData uri="http://schemas.microsoft.com/office/word/2010/wordprocessingShape">
                    <wps:wsp>
                      <wps:cNvPr id="714" name="Graphic 714"/>
                      <wps:cNvSpPr/>
                      <wps:spPr>
                        <a:xfrm>
                          <a:off x="0" y="0"/>
                          <a:ext cx="6155055" cy="6350"/>
                        </a:xfrm>
                        <a:custGeom>
                          <a:avLst/>
                          <a:gdLst/>
                          <a:ahLst/>
                          <a:cxnLst/>
                          <a:rect l="l" t="t" r="r" b="b"/>
                          <a:pathLst>
                            <a:path w="6155055" h="6350">
                              <a:moveTo>
                                <a:pt x="6154674" y="0"/>
                              </a:moveTo>
                              <a:lnTo>
                                <a:pt x="0" y="0"/>
                              </a:lnTo>
                              <a:lnTo>
                                <a:pt x="0" y="6096"/>
                              </a:lnTo>
                              <a:lnTo>
                                <a:pt x="6154674" y="6096"/>
                              </a:lnTo>
                              <a:lnTo>
                                <a:pt x="6154674"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63.720001pt;margin-top:27.075001pt;width:484.62pt;height:.48pt;mso-position-horizontal-relative:page;mso-position-vertical-relative:paragraph;z-index:-15576576;mso-wrap-distance-left:0;mso-wrap-distance-right:0" id="docshape611" filled="true" fillcolor="#4f81bc" stroked="false">
                <v:fill type="solid"/>
                <w10:wrap type="topAndBottom"/>
              </v:rect>
            </w:pict>
          </mc:Fallback>
        </mc:AlternateContent>
      </w:r>
      <w:bookmarkStart w:name="_bookmark663" w:id="970"/>
      <w:bookmarkEnd w:id="970"/>
      <w:r>
        <w:rPr/>
      </w:r>
      <w:r>
        <w:rPr>
          <w:color w:val="365F91"/>
          <w:sz w:val="28"/>
        </w:rPr>
        <w:t>Appendix</w:t>
      </w:r>
      <w:r>
        <w:rPr>
          <w:color w:val="365F91"/>
          <w:spacing w:val="-7"/>
          <w:sz w:val="28"/>
        </w:rPr>
        <w:t> </w:t>
      </w:r>
      <w:r>
        <w:rPr>
          <w:color w:val="365F91"/>
          <w:sz w:val="28"/>
        </w:rPr>
        <w:t>A:</w:t>
      </w:r>
      <w:r>
        <w:rPr>
          <w:color w:val="365F91"/>
          <w:spacing w:val="-9"/>
          <w:sz w:val="28"/>
        </w:rPr>
        <w:t> </w:t>
      </w:r>
      <w:r>
        <w:rPr>
          <w:color w:val="365F91"/>
          <w:sz w:val="28"/>
        </w:rPr>
        <w:t>Glossary</w:t>
      </w:r>
      <w:r>
        <w:rPr>
          <w:color w:val="365F91"/>
          <w:spacing w:val="-8"/>
          <w:sz w:val="28"/>
        </w:rPr>
        <w:t> </w:t>
      </w:r>
      <w:r>
        <w:rPr>
          <w:color w:val="365F91"/>
          <w:sz w:val="28"/>
        </w:rPr>
        <w:t>of</w:t>
      </w:r>
      <w:r>
        <w:rPr>
          <w:color w:val="365F91"/>
          <w:spacing w:val="-8"/>
          <w:sz w:val="28"/>
        </w:rPr>
        <w:t> </w:t>
      </w:r>
      <w:r>
        <w:rPr>
          <w:color w:val="365F91"/>
          <w:spacing w:val="-4"/>
          <w:sz w:val="28"/>
        </w:rPr>
        <w:t>Terms</w:t>
      </w:r>
    </w:p>
    <w:p>
      <w:pPr>
        <w:pStyle w:val="BodyText"/>
        <w:spacing w:before="202"/>
      </w:pPr>
    </w:p>
    <w:p>
      <w:pPr>
        <w:pStyle w:val="BodyText"/>
        <w:spacing w:line="276" w:lineRule="auto"/>
        <w:ind w:left="344" w:right="204"/>
        <w:jc w:val="both"/>
      </w:pPr>
      <w:r>
        <w:rPr>
          <w:b/>
        </w:rPr>
        <w:t>Agender: </w:t>
      </w:r>
      <w:r>
        <w:rPr/>
        <w:t>literally “without gender”; used by people who understand themselves as genderless, gender neutral, unaligned with a specific gender, and/or having a gender that defies terminology</w:t>
      </w:r>
    </w:p>
    <w:p>
      <w:pPr>
        <w:pStyle w:val="BodyText"/>
        <w:spacing w:line="276" w:lineRule="auto" w:before="119"/>
        <w:ind w:left="344" w:right="201" w:hanging="7"/>
        <w:jc w:val="both"/>
      </w:pPr>
      <w:r>
        <w:rPr>
          <w:b/>
        </w:rPr>
        <w:t>Asexual/aromantic/Ace:</w:t>
      </w:r>
      <w:r>
        <w:rPr>
          <w:b/>
          <w:spacing w:val="-3"/>
        </w:rPr>
        <w:t> </w:t>
      </w:r>
      <w:r>
        <w:rPr/>
        <w:t>an</w:t>
      </w:r>
      <w:r>
        <w:rPr>
          <w:spacing w:val="-9"/>
        </w:rPr>
        <w:t> </w:t>
      </w:r>
      <w:r>
        <w:rPr/>
        <w:t>umbrella</w:t>
      </w:r>
      <w:r>
        <w:rPr>
          <w:spacing w:val="-6"/>
        </w:rPr>
        <w:t> </w:t>
      </w:r>
      <w:r>
        <w:rPr/>
        <w:t>term</w:t>
      </w:r>
      <w:r>
        <w:rPr>
          <w:spacing w:val="-9"/>
        </w:rPr>
        <w:t> </w:t>
      </w:r>
      <w:r>
        <w:rPr/>
        <w:t>used</w:t>
      </w:r>
      <w:r>
        <w:rPr>
          <w:spacing w:val="-8"/>
        </w:rPr>
        <w:t> </w:t>
      </w:r>
      <w:r>
        <w:rPr/>
        <w:t>to</w:t>
      </w:r>
      <w:r>
        <w:rPr>
          <w:spacing w:val="-6"/>
        </w:rPr>
        <w:t> </w:t>
      </w:r>
      <w:r>
        <w:rPr/>
        <w:t>describe</w:t>
      </w:r>
      <w:r>
        <w:rPr>
          <w:spacing w:val="-7"/>
        </w:rPr>
        <w:t> </w:t>
      </w:r>
      <w:r>
        <w:rPr/>
        <w:t>a</w:t>
      </w:r>
      <w:r>
        <w:rPr>
          <w:spacing w:val="-8"/>
        </w:rPr>
        <w:t> </w:t>
      </w:r>
      <w:r>
        <w:rPr/>
        <w:t>spectrum</w:t>
      </w:r>
      <w:r>
        <w:rPr>
          <w:spacing w:val="-9"/>
        </w:rPr>
        <w:t> </w:t>
      </w:r>
      <w:r>
        <w:rPr/>
        <w:t>of</w:t>
      </w:r>
      <w:r>
        <w:rPr>
          <w:spacing w:val="-9"/>
        </w:rPr>
        <w:t> </w:t>
      </w:r>
      <w:r>
        <w:rPr/>
        <w:t>identities</w:t>
      </w:r>
      <w:r>
        <w:rPr>
          <w:spacing w:val="-7"/>
        </w:rPr>
        <w:t> </w:t>
      </w:r>
      <w:r>
        <w:rPr/>
        <w:t>characterized</w:t>
      </w:r>
      <w:r>
        <w:rPr>
          <w:spacing w:val="-8"/>
        </w:rPr>
        <w:t> </w:t>
      </w:r>
      <w:r>
        <w:rPr/>
        <w:t>by</w:t>
      </w:r>
      <w:r>
        <w:rPr>
          <w:spacing w:val="-7"/>
        </w:rPr>
        <w:t> </w:t>
      </w:r>
      <w:r>
        <w:rPr/>
        <w:t>having little or no interest in sex, and/or little or no interest in romantic relationships.</w:t>
      </w:r>
    </w:p>
    <w:p>
      <w:pPr>
        <w:pStyle w:val="BodyText"/>
        <w:spacing w:line="276" w:lineRule="auto" w:before="120"/>
        <w:ind w:left="344" w:right="197" w:hanging="5"/>
        <w:jc w:val="both"/>
      </w:pPr>
      <w:r>
        <w:rPr>
          <w:b/>
        </w:rPr>
        <w:t>Assigned sex/sex assigned at birth: </w:t>
      </w:r>
      <w:r>
        <w:rPr/>
        <w:t>the sex (e.g. “male” or “female”) that is noted on an individual's birth certificate issued at birth. This is also referred to as sex assigned at birth, birth sex, and/or sex recorded at birth. Some individuals may opt to change the sex assigned to them on their birth certificate to better reflect their gender identity.</w:t>
      </w:r>
    </w:p>
    <w:p>
      <w:pPr>
        <w:pStyle w:val="BodyText"/>
        <w:spacing w:line="276" w:lineRule="auto" w:before="120"/>
        <w:ind w:left="344" w:right="200" w:hanging="5"/>
        <w:jc w:val="both"/>
      </w:pPr>
      <w:r>
        <w:rPr>
          <w:b/>
        </w:rPr>
        <w:t>Binary sex/gender system: </w:t>
      </w:r>
      <w:r>
        <w:rPr/>
        <w:t>the idea that there are only two sexes/genders (male and female, or masculine and feminine) and that they are distinct, opposite forms of each other. This view is increasingly being challenged by the idea that both sex and gender are social constructions that operate along continuums, are fluid, and not necessarily congruent.</w:t>
      </w:r>
    </w:p>
    <w:p>
      <w:pPr>
        <w:pStyle w:val="BodyText"/>
        <w:spacing w:line="276" w:lineRule="auto" w:before="121"/>
        <w:ind w:left="343" w:right="203"/>
        <w:jc w:val="both"/>
      </w:pPr>
      <w:r>
        <w:rPr>
          <w:b/>
        </w:rPr>
        <w:t>Bisexual: </w:t>
      </w:r>
      <w:r>
        <w:rPr/>
        <w:t>a person who identifies as having an emotional, sexual, spiritual, and/or relational attraction to people of more than one gender.</w:t>
      </w:r>
    </w:p>
    <w:p>
      <w:pPr>
        <w:pStyle w:val="BodyText"/>
        <w:spacing w:line="276" w:lineRule="auto" w:before="120"/>
        <w:ind w:left="344" w:right="201" w:hanging="1"/>
        <w:jc w:val="both"/>
      </w:pPr>
      <w:r>
        <w:rPr>
          <w:b/>
        </w:rPr>
        <w:t>Cisgender:</w:t>
      </w:r>
      <w:r>
        <w:rPr>
          <w:b/>
          <w:spacing w:val="-13"/>
        </w:rPr>
        <w:t> </w:t>
      </w:r>
      <w:r>
        <w:rPr/>
        <w:t>a</w:t>
      </w:r>
      <w:r>
        <w:rPr>
          <w:spacing w:val="-12"/>
        </w:rPr>
        <w:t> </w:t>
      </w:r>
      <w:r>
        <w:rPr/>
        <w:t>term</w:t>
      </w:r>
      <w:r>
        <w:rPr>
          <w:spacing w:val="-13"/>
        </w:rPr>
        <w:t> </w:t>
      </w:r>
      <w:r>
        <w:rPr/>
        <w:t>used</w:t>
      </w:r>
      <w:r>
        <w:rPr>
          <w:spacing w:val="-12"/>
        </w:rPr>
        <w:t> </w:t>
      </w:r>
      <w:r>
        <w:rPr/>
        <w:t>for</w:t>
      </w:r>
      <w:r>
        <w:rPr>
          <w:spacing w:val="-13"/>
        </w:rPr>
        <w:t> </w:t>
      </w:r>
      <w:r>
        <w:rPr/>
        <w:t>someone</w:t>
      </w:r>
      <w:r>
        <w:rPr>
          <w:spacing w:val="-12"/>
        </w:rPr>
        <w:t> </w:t>
      </w:r>
      <w:r>
        <w:rPr/>
        <w:t>whose</w:t>
      </w:r>
      <w:r>
        <w:rPr>
          <w:spacing w:val="-13"/>
        </w:rPr>
        <w:t> </w:t>
      </w:r>
      <w:r>
        <w:rPr/>
        <w:t>gender</w:t>
      </w:r>
      <w:r>
        <w:rPr>
          <w:spacing w:val="-12"/>
        </w:rPr>
        <w:t> </w:t>
      </w:r>
      <w:r>
        <w:rPr/>
        <w:t>identity</w:t>
      </w:r>
      <w:r>
        <w:rPr>
          <w:spacing w:val="-12"/>
        </w:rPr>
        <w:t> </w:t>
      </w:r>
      <w:r>
        <w:rPr/>
        <w:t>matches</w:t>
      </w:r>
      <w:r>
        <w:rPr>
          <w:spacing w:val="-13"/>
        </w:rPr>
        <w:t> </w:t>
      </w:r>
      <w:r>
        <w:rPr/>
        <w:t>their</w:t>
      </w:r>
      <w:r>
        <w:rPr>
          <w:spacing w:val="-12"/>
        </w:rPr>
        <w:t> </w:t>
      </w:r>
      <w:r>
        <w:rPr/>
        <w:t>sex</w:t>
      </w:r>
      <w:r>
        <w:rPr>
          <w:spacing w:val="-13"/>
        </w:rPr>
        <w:t> </w:t>
      </w:r>
      <w:r>
        <w:rPr/>
        <w:t>assigned</w:t>
      </w:r>
      <w:r>
        <w:rPr>
          <w:spacing w:val="-12"/>
        </w:rPr>
        <w:t> </w:t>
      </w:r>
      <w:r>
        <w:rPr/>
        <w:t>at</w:t>
      </w:r>
      <w:r>
        <w:rPr>
          <w:spacing w:val="-13"/>
        </w:rPr>
        <w:t> </w:t>
      </w:r>
      <w:r>
        <w:rPr/>
        <w:t>birth,</w:t>
      </w:r>
      <w:r>
        <w:rPr>
          <w:spacing w:val="-12"/>
        </w:rPr>
        <w:t> </w:t>
      </w:r>
      <w:r>
        <w:rPr/>
        <w:t>i.e.</w:t>
      </w:r>
      <w:r>
        <w:rPr>
          <w:spacing w:val="-12"/>
        </w:rPr>
        <w:t> </w:t>
      </w:r>
      <w:r>
        <w:rPr/>
        <w:t>who</w:t>
      </w:r>
      <w:r>
        <w:rPr>
          <w:spacing w:val="-13"/>
        </w:rPr>
        <w:t> </w:t>
      </w:r>
      <w:r>
        <w:rPr/>
        <w:t>is</w:t>
      </w:r>
      <w:r>
        <w:rPr>
          <w:spacing w:val="-12"/>
        </w:rPr>
        <w:t> </w:t>
      </w:r>
      <w:r>
        <w:rPr/>
        <w:t>not transgender or gender expansive.</w:t>
      </w:r>
    </w:p>
    <w:p>
      <w:pPr>
        <w:pStyle w:val="BodyText"/>
        <w:spacing w:line="276" w:lineRule="auto" w:before="119"/>
        <w:ind w:left="344" w:right="201"/>
        <w:jc w:val="both"/>
      </w:pPr>
      <w:r>
        <w:rPr>
          <w:b/>
        </w:rPr>
        <w:t>Cisnormativity</w:t>
      </w:r>
      <w:r>
        <w:rPr/>
        <w:t>: Cisnormativity refers to the societal assumption that gender identity and assigned sex at birth align for the majority of people, and that cisgender identities are the norm or default. Cisnormativity reinforces the gender binary and traditional gender roles, with the assumption that individuals are either male or female based on their assigned sex at birth. Cisnormativity operates through various forms of discrimination, including but not limited to, exclusion from social and political power, lack of legal protections, and limited access to healthcare.</w:t>
      </w:r>
    </w:p>
    <w:p>
      <w:pPr>
        <w:pStyle w:val="BodyText"/>
        <w:spacing w:line="276" w:lineRule="auto" w:before="121"/>
        <w:ind w:left="345" w:right="198" w:hanging="6"/>
        <w:jc w:val="both"/>
      </w:pPr>
      <w:r>
        <w:rPr>
          <w:b/>
        </w:rPr>
        <w:t>Cissexism</w:t>
      </w:r>
      <w:r>
        <w:rPr/>
        <w:t>: Cissexism refers to the systemic and individual practices that privilege and center cisgender individuals and experiences, while marginalizing and devaluing transgender and gender non- conforming individuals. Cissexism operates through various forms of discrimination, including but not limited to, exclusion from social and political power, lack of legal protections, and limited access to healthcare. Cissexism reinforces gender binary norms, assumptions, and expectations, and contributes to the perpetuation of transphobia and discrimination against transgender and gender non- conforming </w:t>
      </w:r>
      <w:r>
        <w:rPr>
          <w:spacing w:val="-2"/>
        </w:rPr>
        <w:t>individuals.</w:t>
      </w:r>
    </w:p>
    <w:p>
      <w:pPr>
        <w:pStyle w:val="BodyText"/>
        <w:spacing w:line="276" w:lineRule="auto" w:before="119"/>
        <w:ind w:left="346" w:right="197" w:hanging="5"/>
        <w:jc w:val="both"/>
      </w:pPr>
      <w:r>
        <w:rPr>
          <w:b/>
        </w:rPr>
        <w:t>Consent: </w:t>
      </w:r>
      <w:r>
        <w:rPr/>
        <w:t>In a sexual context, consent means an agreement to participate in sexual activity by lawful adults. Consent must be freely given, meaning it was not obtained by force or coercion, under the influence of drugs</w:t>
      </w:r>
      <w:r>
        <w:rPr>
          <w:spacing w:val="29"/>
        </w:rPr>
        <w:t> </w:t>
      </w:r>
      <w:r>
        <w:rPr/>
        <w:t>or</w:t>
      </w:r>
      <w:r>
        <w:rPr>
          <w:spacing w:val="29"/>
        </w:rPr>
        <w:t> </w:t>
      </w:r>
      <w:r>
        <w:rPr/>
        <w:t>alcohol,</w:t>
      </w:r>
      <w:r>
        <w:rPr>
          <w:spacing w:val="29"/>
        </w:rPr>
        <w:t> </w:t>
      </w:r>
      <w:r>
        <w:rPr/>
        <w:t>or</w:t>
      </w:r>
      <w:r>
        <w:rPr>
          <w:spacing w:val="29"/>
        </w:rPr>
        <w:t> </w:t>
      </w:r>
      <w:r>
        <w:rPr/>
        <w:t>while</w:t>
      </w:r>
      <w:r>
        <w:rPr>
          <w:spacing w:val="30"/>
        </w:rPr>
        <w:t> </w:t>
      </w:r>
      <w:r>
        <w:rPr/>
        <w:t>unconscious</w:t>
      </w:r>
      <w:r>
        <w:rPr>
          <w:spacing w:val="30"/>
        </w:rPr>
        <w:t> </w:t>
      </w:r>
      <w:r>
        <w:rPr/>
        <w:t>or</w:t>
      </w:r>
      <w:r>
        <w:rPr>
          <w:spacing w:val="30"/>
        </w:rPr>
        <w:t> </w:t>
      </w:r>
      <w:r>
        <w:rPr/>
        <w:t>incapacitated,</w:t>
      </w:r>
      <w:r>
        <w:rPr>
          <w:spacing w:val="29"/>
        </w:rPr>
        <w:t> </w:t>
      </w:r>
      <w:r>
        <w:rPr/>
        <w:t>and</w:t>
      </w:r>
      <w:r>
        <w:rPr>
          <w:spacing w:val="30"/>
        </w:rPr>
        <w:t> </w:t>
      </w:r>
      <w:r>
        <w:rPr/>
        <w:t>must</w:t>
      </w:r>
      <w:r>
        <w:rPr>
          <w:spacing w:val="30"/>
        </w:rPr>
        <w:t> </w:t>
      </w:r>
      <w:r>
        <w:rPr/>
        <w:t>be</w:t>
      </w:r>
      <w:r>
        <w:rPr>
          <w:spacing w:val="30"/>
        </w:rPr>
        <w:t> </w:t>
      </w:r>
      <w:r>
        <w:rPr/>
        <w:t>fully</w:t>
      </w:r>
      <w:r>
        <w:rPr>
          <w:spacing w:val="30"/>
        </w:rPr>
        <w:t> </w:t>
      </w:r>
      <w:r>
        <w:rPr/>
        <w:t>informed. Consent also must be</w:t>
      </w:r>
      <w:r>
        <w:rPr>
          <w:spacing w:val="-11"/>
        </w:rPr>
        <w:t> </w:t>
      </w:r>
      <w:r>
        <w:rPr/>
        <w:t>specific</w:t>
      </w:r>
      <w:r>
        <w:rPr>
          <w:spacing w:val="-11"/>
        </w:rPr>
        <w:t> </w:t>
      </w:r>
      <w:r>
        <w:rPr/>
        <w:t>and</w:t>
      </w:r>
      <w:r>
        <w:rPr>
          <w:spacing w:val="-11"/>
        </w:rPr>
        <w:t> </w:t>
      </w:r>
      <w:r>
        <w:rPr/>
        <w:t>reversible,</w:t>
      </w:r>
      <w:r>
        <w:rPr>
          <w:spacing w:val="-11"/>
        </w:rPr>
        <w:t> </w:t>
      </w:r>
      <w:r>
        <w:rPr/>
        <w:t>so</w:t>
      </w:r>
      <w:r>
        <w:rPr>
          <w:spacing w:val="-11"/>
        </w:rPr>
        <w:t> </w:t>
      </w:r>
      <w:r>
        <w:rPr/>
        <w:t>it</w:t>
      </w:r>
      <w:r>
        <w:rPr>
          <w:spacing w:val="-11"/>
        </w:rPr>
        <w:t> </w:t>
      </w:r>
      <w:r>
        <w:rPr/>
        <w:t>only</w:t>
      </w:r>
      <w:r>
        <w:rPr>
          <w:spacing w:val="-10"/>
        </w:rPr>
        <w:t> </w:t>
      </w:r>
      <w:r>
        <w:rPr/>
        <w:t>applies</w:t>
      </w:r>
      <w:r>
        <w:rPr>
          <w:spacing w:val="-9"/>
        </w:rPr>
        <w:t> </w:t>
      </w:r>
      <w:r>
        <w:rPr/>
        <w:t>to</w:t>
      </w:r>
      <w:r>
        <w:rPr>
          <w:spacing w:val="-8"/>
        </w:rPr>
        <w:t> </w:t>
      </w:r>
      <w:r>
        <w:rPr/>
        <w:t>activities</w:t>
      </w:r>
      <w:r>
        <w:rPr>
          <w:spacing w:val="-11"/>
        </w:rPr>
        <w:t> </w:t>
      </w:r>
      <w:r>
        <w:rPr/>
        <w:t>that</w:t>
      </w:r>
      <w:r>
        <w:rPr>
          <w:spacing w:val="-10"/>
        </w:rPr>
        <w:t> </w:t>
      </w:r>
      <w:r>
        <w:rPr/>
        <w:t>are</w:t>
      </w:r>
      <w:r>
        <w:rPr>
          <w:spacing w:val="-10"/>
        </w:rPr>
        <w:t> </w:t>
      </w:r>
      <w:r>
        <w:rPr/>
        <w:t>wanted</w:t>
      </w:r>
      <w:r>
        <w:rPr>
          <w:spacing w:val="-10"/>
        </w:rPr>
        <w:t> </w:t>
      </w:r>
      <w:r>
        <w:rPr/>
        <w:t>at</w:t>
      </w:r>
      <w:r>
        <w:rPr>
          <w:spacing w:val="-11"/>
        </w:rPr>
        <w:t> </w:t>
      </w:r>
      <w:r>
        <w:rPr/>
        <w:t>the</w:t>
      </w:r>
      <w:r>
        <w:rPr>
          <w:spacing w:val="-10"/>
        </w:rPr>
        <w:t> </w:t>
      </w:r>
      <w:r>
        <w:rPr/>
        <w:t>time</w:t>
      </w:r>
      <w:r>
        <w:rPr>
          <w:spacing w:val="-11"/>
        </w:rPr>
        <w:t> </w:t>
      </w:r>
      <w:r>
        <w:rPr/>
        <w:t>they</w:t>
      </w:r>
      <w:r>
        <w:rPr>
          <w:spacing w:val="-4"/>
        </w:rPr>
        <w:t> </w:t>
      </w:r>
      <w:r>
        <w:rPr/>
        <w:t>occur.</w:t>
      </w:r>
      <w:r>
        <w:rPr>
          <w:spacing w:val="-4"/>
        </w:rPr>
        <w:t> </w:t>
      </w:r>
      <w:r>
        <w:rPr/>
        <w:t>Some</w:t>
      </w:r>
      <w:r>
        <w:rPr>
          <w:spacing w:val="-5"/>
        </w:rPr>
        <w:t> </w:t>
      </w:r>
      <w:r>
        <w:rPr/>
        <w:t>models of consent require that it also be both explicit and enthusiastic. All sexual activities, not just heterosexual sex</w:t>
      </w:r>
      <w:r>
        <w:rPr>
          <w:spacing w:val="-2"/>
        </w:rPr>
        <w:t> </w:t>
      </w:r>
      <w:r>
        <w:rPr/>
        <w:t>or sex involving intercourse, can be characterized as consensual or not.</w:t>
      </w:r>
    </w:p>
    <w:p>
      <w:pPr>
        <w:spacing w:after="0" w:line="276" w:lineRule="auto"/>
        <w:jc w:val="both"/>
        <w:sectPr>
          <w:headerReference w:type="default" r:id="rId793"/>
          <w:footerReference w:type="default" r:id="rId794"/>
          <w:pgSz w:w="12240" w:h="15840"/>
          <w:pgMar w:header="870" w:footer="1202" w:top="1060" w:bottom="1400" w:left="960" w:right="1100"/>
        </w:sectPr>
      </w:pPr>
    </w:p>
    <w:p>
      <w:pPr>
        <w:pStyle w:val="BodyText"/>
      </w:pPr>
    </w:p>
    <w:p>
      <w:pPr>
        <w:pStyle w:val="BodyText"/>
        <w:spacing w:before="45"/>
      </w:pPr>
    </w:p>
    <w:p>
      <w:pPr>
        <w:pStyle w:val="BodyText"/>
        <w:spacing w:line="276" w:lineRule="auto"/>
        <w:ind w:left="343" w:right="203"/>
        <w:jc w:val="both"/>
      </w:pPr>
      <w:r>
        <w:rPr>
          <w:b/>
        </w:rPr>
        <w:t>Deadnaming</w:t>
      </w:r>
      <w:r>
        <w:rPr/>
        <w:t>: Deadnaming refers to the act of referring to a transgender individual by their former or birth name, rather than their chosen name that reflects their gender identity. Deadnaming is a form of</w:t>
      </w:r>
      <w:r>
        <w:rPr>
          <w:spacing w:val="40"/>
        </w:rPr>
        <w:t> </w:t>
      </w:r>
      <w:r>
        <w:rPr/>
        <w:t>disrespect and invalidation of an individual's gender identity and can be emotionally harmful.</w:t>
      </w:r>
    </w:p>
    <w:p>
      <w:pPr>
        <w:pStyle w:val="BodyText"/>
        <w:spacing w:line="276" w:lineRule="auto" w:before="120"/>
        <w:ind w:left="343" w:right="201"/>
        <w:jc w:val="both"/>
      </w:pPr>
      <w:r>
        <w:rPr>
          <w:b/>
        </w:rPr>
        <w:t>Demisexual: </w:t>
      </w:r>
      <w:r>
        <w:rPr/>
        <w:t>an individual experiences sexual attraction only after forming a strong emotional connectiong with someone</w:t>
      </w:r>
    </w:p>
    <w:p>
      <w:pPr>
        <w:spacing w:before="120"/>
        <w:ind w:left="343" w:right="0" w:firstLine="0"/>
        <w:jc w:val="both"/>
        <w:rPr>
          <w:sz w:val="22"/>
        </w:rPr>
      </w:pPr>
      <w:r>
        <w:rPr>
          <w:b/>
          <w:sz w:val="22"/>
        </w:rPr>
        <w:t>First-generation</w:t>
      </w:r>
      <w:r>
        <w:rPr>
          <w:b/>
          <w:spacing w:val="-3"/>
          <w:sz w:val="22"/>
        </w:rPr>
        <w:t> </w:t>
      </w:r>
      <w:r>
        <w:rPr>
          <w:b/>
          <w:sz w:val="22"/>
        </w:rPr>
        <w:t>youth</w:t>
      </w:r>
      <w:r>
        <w:rPr>
          <w:sz w:val="22"/>
        </w:rPr>
        <w:t>:</w:t>
      </w:r>
      <w:r>
        <w:rPr>
          <w:spacing w:val="-2"/>
          <w:sz w:val="22"/>
        </w:rPr>
        <w:t> </w:t>
      </w:r>
      <w:r>
        <w:rPr>
          <w:sz w:val="22"/>
        </w:rPr>
        <w:t>a</w:t>
      </w:r>
      <w:r>
        <w:rPr>
          <w:spacing w:val="-2"/>
          <w:sz w:val="22"/>
        </w:rPr>
        <w:t> </w:t>
      </w:r>
      <w:r>
        <w:rPr>
          <w:sz w:val="22"/>
        </w:rPr>
        <w:t>youth</w:t>
      </w:r>
      <w:r>
        <w:rPr>
          <w:spacing w:val="-2"/>
          <w:sz w:val="22"/>
        </w:rPr>
        <w:t> </w:t>
      </w:r>
      <w:r>
        <w:rPr>
          <w:sz w:val="22"/>
        </w:rPr>
        <w:t>born</w:t>
      </w:r>
      <w:r>
        <w:rPr>
          <w:spacing w:val="-3"/>
          <w:sz w:val="22"/>
        </w:rPr>
        <w:t> </w:t>
      </w:r>
      <w:r>
        <w:rPr>
          <w:sz w:val="22"/>
        </w:rPr>
        <w:t>outside</w:t>
      </w:r>
      <w:r>
        <w:rPr>
          <w:spacing w:val="-4"/>
          <w:sz w:val="22"/>
        </w:rPr>
        <w:t> </w:t>
      </w:r>
      <w:r>
        <w:rPr>
          <w:sz w:val="22"/>
        </w:rPr>
        <w:t>of</w:t>
      </w:r>
      <w:r>
        <w:rPr>
          <w:spacing w:val="-3"/>
          <w:sz w:val="22"/>
        </w:rPr>
        <w:t> </w:t>
      </w:r>
      <w:r>
        <w:rPr>
          <w:sz w:val="22"/>
        </w:rPr>
        <w:t>the</w:t>
      </w:r>
      <w:r>
        <w:rPr>
          <w:spacing w:val="-2"/>
          <w:sz w:val="22"/>
        </w:rPr>
        <w:t> </w:t>
      </w:r>
      <w:r>
        <w:rPr>
          <w:sz w:val="22"/>
        </w:rPr>
        <w:t>United</w:t>
      </w:r>
      <w:r>
        <w:rPr>
          <w:spacing w:val="-1"/>
          <w:sz w:val="22"/>
        </w:rPr>
        <w:t> </w:t>
      </w:r>
      <w:r>
        <w:rPr>
          <w:sz w:val="22"/>
        </w:rPr>
        <w:t>States</w:t>
      </w:r>
      <w:r>
        <w:rPr>
          <w:spacing w:val="-2"/>
          <w:sz w:val="22"/>
        </w:rPr>
        <w:t> </w:t>
      </w:r>
      <w:r>
        <w:rPr>
          <w:sz w:val="22"/>
        </w:rPr>
        <w:t>to</w:t>
      </w:r>
      <w:r>
        <w:rPr>
          <w:spacing w:val="1"/>
          <w:sz w:val="22"/>
        </w:rPr>
        <w:t> </w:t>
      </w:r>
      <w:r>
        <w:rPr>
          <w:sz w:val="22"/>
        </w:rPr>
        <w:t>parents</w:t>
      </w:r>
      <w:r>
        <w:rPr>
          <w:spacing w:val="-2"/>
          <w:sz w:val="22"/>
        </w:rPr>
        <w:t> </w:t>
      </w:r>
      <w:r>
        <w:rPr>
          <w:sz w:val="22"/>
        </w:rPr>
        <w:t>neither</w:t>
      </w:r>
      <w:r>
        <w:rPr>
          <w:spacing w:val="-2"/>
          <w:sz w:val="22"/>
        </w:rPr>
        <w:t> </w:t>
      </w:r>
      <w:r>
        <w:rPr>
          <w:sz w:val="22"/>
        </w:rPr>
        <w:t>of</w:t>
      </w:r>
      <w:r>
        <w:rPr>
          <w:spacing w:val="-3"/>
          <w:sz w:val="22"/>
        </w:rPr>
        <w:t> </w:t>
      </w:r>
      <w:r>
        <w:rPr>
          <w:sz w:val="22"/>
        </w:rPr>
        <w:t>whom</w:t>
      </w:r>
      <w:r>
        <w:rPr>
          <w:spacing w:val="-2"/>
          <w:sz w:val="22"/>
        </w:rPr>
        <w:t> </w:t>
      </w:r>
      <w:r>
        <w:rPr>
          <w:sz w:val="22"/>
        </w:rPr>
        <w:t>was </w:t>
      </w:r>
      <w:r>
        <w:rPr>
          <w:spacing w:val="-10"/>
          <w:sz w:val="22"/>
        </w:rPr>
        <w:t>a</w:t>
      </w:r>
    </w:p>
    <w:p>
      <w:pPr>
        <w:pStyle w:val="BodyText"/>
        <w:spacing w:before="160"/>
        <w:ind w:left="342"/>
      </w:pPr>
      <w:r>
        <w:rPr/>
        <w:t>U.S.</w:t>
      </w:r>
      <w:r>
        <w:rPr>
          <w:spacing w:val="-10"/>
        </w:rPr>
        <w:t> </w:t>
      </w:r>
      <w:r>
        <w:rPr>
          <w:spacing w:val="-2"/>
        </w:rPr>
        <w:t>citizen</w:t>
      </w:r>
    </w:p>
    <w:p>
      <w:pPr>
        <w:pStyle w:val="BodyText"/>
        <w:spacing w:line="276" w:lineRule="auto" w:before="161"/>
        <w:ind w:left="343" w:right="202" w:hanging="6"/>
        <w:jc w:val="both"/>
      </w:pPr>
      <w:r>
        <w:rPr>
          <w:b/>
        </w:rPr>
        <w:t>Foreign-born youth</w:t>
      </w:r>
      <w:r>
        <w:rPr/>
        <w:t>: a group of youth including naturalized U.S. citizens, lawful permanent residents, refugees, asylees, legal nonimmigrants (holders of temporary visas), and those who are undocumented</w:t>
      </w:r>
    </w:p>
    <w:p>
      <w:pPr>
        <w:pStyle w:val="BodyText"/>
        <w:spacing w:line="276" w:lineRule="auto" w:before="119"/>
        <w:ind w:left="343" w:right="200" w:hanging="6"/>
        <w:jc w:val="both"/>
      </w:pPr>
      <w:r>
        <w:rPr>
          <w:b/>
        </w:rPr>
        <w:t>Gay: </w:t>
      </w:r>
      <w:r>
        <w:rPr/>
        <w:t>an overarching term to refer to a broad array of sexual orientation identities other than heterosexual. Can</w:t>
      </w:r>
      <w:r>
        <w:rPr>
          <w:spacing w:val="-10"/>
        </w:rPr>
        <w:t> </w:t>
      </w:r>
      <w:r>
        <w:rPr/>
        <w:t>also</w:t>
      </w:r>
      <w:r>
        <w:rPr>
          <w:spacing w:val="-5"/>
        </w:rPr>
        <w:t> </w:t>
      </w:r>
      <w:r>
        <w:rPr/>
        <w:t>refer</w:t>
      </w:r>
      <w:r>
        <w:rPr>
          <w:spacing w:val="-5"/>
        </w:rPr>
        <w:t> </w:t>
      </w:r>
      <w:r>
        <w:rPr/>
        <w:t>more</w:t>
      </w:r>
      <w:r>
        <w:rPr>
          <w:spacing w:val="-6"/>
        </w:rPr>
        <w:t> </w:t>
      </w:r>
      <w:r>
        <w:rPr/>
        <w:t>specifically</w:t>
      </w:r>
      <w:r>
        <w:rPr>
          <w:spacing w:val="-5"/>
        </w:rPr>
        <w:t> </w:t>
      </w:r>
      <w:r>
        <w:rPr/>
        <w:t>to</w:t>
      </w:r>
      <w:r>
        <w:rPr>
          <w:spacing w:val="-6"/>
        </w:rPr>
        <w:t> </w:t>
      </w:r>
      <w:r>
        <w:rPr/>
        <w:t>the</w:t>
      </w:r>
      <w:r>
        <w:rPr>
          <w:spacing w:val="-4"/>
        </w:rPr>
        <w:t> </w:t>
      </w:r>
      <w:r>
        <w:rPr/>
        <w:t>identity</w:t>
      </w:r>
      <w:r>
        <w:rPr>
          <w:spacing w:val="-5"/>
        </w:rPr>
        <w:t> </w:t>
      </w:r>
      <w:r>
        <w:rPr/>
        <w:t>of</w:t>
      </w:r>
      <w:r>
        <w:rPr>
          <w:spacing w:val="-6"/>
        </w:rPr>
        <w:t> </w:t>
      </w:r>
      <w:r>
        <w:rPr/>
        <w:t>attraction</w:t>
      </w:r>
      <w:r>
        <w:rPr>
          <w:spacing w:val="-6"/>
        </w:rPr>
        <w:t> </w:t>
      </w:r>
      <w:r>
        <w:rPr/>
        <w:t>to</w:t>
      </w:r>
      <w:r>
        <w:rPr>
          <w:spacing w:val="-4"/>
        </w:rPr>
        <w:t> </w:t>
      </w:r>
      <w:r>
        <w:rPr/>
        <w:t>others</w:t>
      </w:r>
      <w:r>
        <w:rPr>
          <w:spacing w:val="-6"/>
        </w:rPr>
        <w:t> </w:t>
      </w:r>
      <w:r>
        <w:rPr/>
        <w:t>of</w:t>
      </w:r>
      <w:r>
        <w:rPr>
          <w:spacing w:val="-5"/>
        </w:rPr>
        <w:t> </w:t>
      </w:r>
      <w:r>
        <w:rPr/>
        <w:t>the</w:t>
      </w:r>
      <w:r>
        <w:rPr>
          <w:spacing w:val="-6"/>
        </w:rPr>
        <w:t> </w:t>
      </w:r>
      <w:r>
        <w:rPr/>
        <w:t>same</w:t>
      </w:r>
      <w:r>
        <w:rPr>
          <w:spacing w:val="-6"/>
        </w:rPr>
        <w:t> </w:t>
      </w:r>
      <w:r>
        <w:rPr/>
        <w:t>gender.</w:t>
      </w:r>
    </w:p>
    <w:p>
      <w:pPr>
        <w:pStyle w:val="BodyText"/>
        <w:spacing w:line="276" w:lineRule="auto" w:before="121"/>
        <w:ind w:left="343" w:right="200" w:hanging="5"/>
        <w:jc w:val="both"/>
      </w:pPr>
      <w:r>
        <w:rPr>
          <w:b/>
        </w:rPr>
        <w:t>Gender diverse</w:t>
      </w:r>
      <w:r>
        <w:rPr/>
        <w:t>: Gender diverse refers to the wide range of gender identities and expressions that exist beyond the binary categories of male and female. It includes individuals who identify as non-binary, genderqueer, genderfluid, as well as those who identify as transgender or cisgender. Gender diverse individuals may express their gender in a variety of ways, and their experiences may be shaped by intersecting identities, such as race, ethnicity, class, and disability.</w:t>
      </w:r>
    </w:p>
    <w:p>
      <w:pPr>
        <w:pStyle w:val="BodyText"/>
        <w:spacing w:line="276" w:lineRule="auto" w:before="120"/>
        <w:ind w:left="343" w:right="201"/>
        <w:jc w:val="both"/>
      </w:pPr>
      <w:r>
        <w:rPr>
          <w:b/>
        </w:rPr>
        <w:t>Gender dysphoria: </w:t>
      </w:r>
      <w:r>
        <w:rPr/>
        <w:t>formerly known as Gender Identity Disorder (GID), and described as the extreme discomfort or distress resulting from a mismatch between one's sex assigned at birth and one’s gender identity. Gender dysphoria is also the formal diagnosis for transgender identity in the Diagnostic and Statistical Manual, fifth edition (DSM 5). In order to be diagnosed with gender dysphoria, one must have a marked incongruence between one's experienced/expressed gender and assigned gender for at least six months. In children, identification with a gender other than the one assigned at birth must be present and verbalized. The condition is associated with clinically significant distress or impairment in social, school, occupational, or other important areas of functioning. Not all members of the transgender community choose</w:t>
      </w:r>
      <w:r>
        <w:rPr>
          <w:spacing w:val="-8"/>
        </w:rPr>
        <w:t> </w:t>
      </w:r>
      <w:r>
        <w:rPr/>
        <w:t>to</w:t>
      </w:r>
      <w:r>
        <w:rPr>
          <w:spacing w:val="-5"/>
        </w:rPr>
        <w:t> </w:t>
      </w:r>
      <w:r>
        <w:rPr/>
        <w:t>take</w:t>
      </w:r>
      <w:r>
        <w:rPr>
          <w:spacing w:val="-8"/>
        </w:rPr>
        <w:t> </w:t>
      </w:r>
      <w:r>
        <w:rPr/>
        <w:t>on</w:t>
      </w:r>
      <w:r>
        <w:rPr>
          <w:spacing w:val="-6"/>
        </w:rPr>
        <w:t> </w:t>
      </w:r>
      <w:r>
        <w:rPr/>
        <w:t>the</w:t>
      </w:r>
      <w:r>
        <w:rPr>
          <w:spacing w:val="-7"/>
        </w:rPr>
        <w:t> </w:t>
      </w:r>
      <w:r>
        <w:rPr/>
        <w:t>formal</w:t>
      </w:r>
      <w:r>
        <w:rPr>
          <w:spacing w:val="-7"/>
        </w:rPr>
        <w:t> </w:t>
      </w:r>
      <w:r>
        <w:rPr/>
        <w:t>diagnosis,</w:t>
      </w:r>
      <w:r>
        <w:rPr>
          <w:spacing w:val="-7"/>
        </w:rPr>
        <w:t> </w:t>
      </w:r>
      <w:r>
        <w:rPr/>
        <w:t>as</w:t>
      </w:r>
      <w:r>
        <w:rPr>
          <w:spacing w:val="-8"/>
        </w:rPr>
        <w:t> </w:t>
      </w:r>
      <w:r>
        <w:rPr/>
        <w:t>there</w:t>
      </w:r>
      <w:r>
        <w:rPr>
          <w:spacing w:val="-6"/>
        </w:rPr>
        <w:t> </w:t>
      </w:r>
      <w:r>
        <w:rPr/>
        <w:t>is</w:t>
      </w:r>
      <w:r>
        <w:rPr>
          <w:spacing w:val="-7"/>
        </w:rPr>
        <w:t> </w:t>
      </w:r>
      <w:r>
        <w:rPr/>
        <w:t>still</w:t>
      </w:r>
      <w:r>
        <w:rPr>
          <w:spacing w:val="-6"/>
        </w:rPr>
        <w:t> </w:t>
      </w:r>
      <w:r>
        <w:rPr/>
        <w:t>some</w:t>
      </w:r>
      <w:r>
        <w:rPr>
          <w:spacing w:val="-7"/>
        </w:rPr>
        <w:t> </w:t>
      </w:r>
      <w:r>
        <w:rPr/>
        <w:t>stigma</w:t>
      </w:r>
      <w:r>
        <w:rPr>
          <w:spacing w:val="-4"/>
        </w:rPr>
        <w:t> </w:t>
      </w:r>
      <w:r>
        <w:rPr/>
        <w:t>associated with a formal diagnosis.</w:t>
      </w:r>
    </w:p>
    <w:p>
      <w:pPr>
        <w:pStyle w:val="BodyText"/>
        <w:spacing w:line="276" w:lineRule="auto" w:before="119"/>
        <w:ind w:left="343" w:right="200" w:hanging="5"/>
        <w:jc w:val="both"/>
      </w:pPr>
      <w:r>
        <w:rPr>
          <w:b/>
        </w:rPr>
        <w:t>Gender expansive</w:t>
      </w:r>
      <w:r>
        <w:rPr/>
        <w:t>: Gender expansive refers to a wide range of gender identities and expressions beyond the binary categories of male and female. Gender expansive individuals may identify as non- binary, genderqueer, genderfluid, or any other gender identity outside of the binary. It can</w:t>
      </w:r>
      <w:r>
        <w:rPr>
          <w:spacing w:val="-1"/>
        </w:rPr>
        <w:t> </w:t>
      </w:r>
      <w:r>
        <w:rPr/>
        <w:t>also refer to individuals who</w:t>
      </w:r>
      <w:r>
        <w:rPr>
          <w:spacing w:val="-6"/>
        </w:rPr>
        <w:t> </w:t>
      </w:r>
      <w:r>
        <w:rPr/>
        <w:t>express</w:t>
      </w:r>
      <w:r>
        <w:rPr>
          <w:spacing w:val="-6"/>
        </w:rPr>
        <w:t> </w:t>
      </w:r>
      <w:r>
        <w:rPr/>
        <w:t>their</w:t>
      </w:r>
      <w:r>
        <w:rPr>
          <w:spacing w:val="-5"/>
        </w:rPr>
        <w:t> </w:t>
      </w:r>
      <w:r>
        <w:rPr/>
        <w:t>gender</w:t>
      </w:r>
      <w:r>
        <w:rPr>
          <w:spacing w:val="-5"/>
        </w:rPr>
        <w:t> </w:t>
      </w:r>
      <w:r>
        <w:rPr/>
        <w:t>in</w:t>
      </w:r>
      <w:r>
        <w:rPr>
          <w:spacing w:val="-7"/>
        </w:rPr>
        <w:t> </w:t>
      </w:r>
      <w:r>
        <w:rPr/>
        <w:t>a</w:t>
      </w:r>
      <w:r>
        <w:rPr>
          <w:spacing w:val="-5"/>
        </w:rPr>
        <w:t> </w:t>
      </w:r>
      <w:r>
        <w:rPr/>
        <w:t>non-conforming</w:t>
      </w:r>
      <w:r>
        <w:rPr>
          <w:spacing w:val="-6"/>
        </w:rPr>
        <w:t> </w:t>
      </w:r>
      <w:r>
        <w:rPr/>
        <w:t>way,</w:t>
      </w:r>
      <w:r>
        <w:rPr>
          <w:spacing w:val="-4"/>
        </w:rPr>
        <w:t> </w:t>
      </w:r>
      <w:r>
        <w:rPr/>
        <w:t>such</w:t>
      </w:r>
      <w:r>
        <w:rPr>
          <w:spacing w:val="-7"/>
        </w:rPr>
        <w:t> </w:t>
      </w:r>
      <w:r>
        <w:rPr/>
        <w:t>as</w:t>
      </w:r>
      <w:r>
        <w:rPr>
          <w:spacing w:val="-5"/>
        </w:rPr>
        <w:t> </w:t>
      </w:r>
      <w:r>
        <w:rPr/>
        <w:t>through</w:t>
      </w:r>
      <w:r>
        <w:rPr>
          <w:spacing w:val="-5"/>
        </w:rPr>
        <w:t> </w:t>
      </w:r>
      <w:r>
        <w:rPr/>
        <w:t>clothing,</w:t>
      </w:r>
      <w:r>
        <w:rPr>
          <w:spacing w:val="-4"/>
        </w:rPr>
        <w:t> </w:t>
      </w:r>
      <w:r>
        <w:rPr/>
        <w:t>hairstyles,</w:t>
      </w:r>
      <w:r>
        <w:rPr>
          <w:spacing w:val="-4"/>
        </w:rPr>
        <w:t> </w:t>
      </w:r>
      <w:r>
        <w:rPr/>
        <w:t>or</w:t>
      </w:r>
      <w:r>
        <w:rPr>
          <w:spacing w:val="-4"/>
        </w:rPr>
        <w:t> </w:t>
      </w:r>
      <w:r>
        <w:rPr/>
        <w:t>mannerisms</w:t>
      </w:r>
      <w:r>
        <w:rPr>
          <w:spacing w:val="-2"/>
        </w:rPr>
        <w:t> </w:t>
      </w:r>
      <w:r>
        <w:rPr/>
        <w:t>that are not traditionally associated with their gender.</w:t>
      </w:r>
    </w:p>
    <w:p>
      <w:pPr>
        <w:pStyle w:val="BodyText"/>
        <w:spacing w:line="276" w:lineRule="auto" w:before="120"/>
        <w:ind w:left="343" w:right="200" w:hanging="5"/>
        <w:jc w:val="both"/>
      </w:pPr>
      <w:r>
        <w:rPr>
          <w:b/>
        </w:rPr>
        <w:t>Gender expression: </w:t>
      </w:r>
      <w:r>
        <w:rPr/>
        <w:t>how a person publicly presents or expresses their gender identity to others. This includes how they speak or act, wear their hair, dress, and otherwise present themselves to the world. Gender expression is not necessarily indicative of sexual orientation or gender identity.</w:t>
      </w:r>
    </w:p>
    <w:p>
      <w:pPr>
        <w:pStyle w:val="BodyText"/>
        <w:spacing w:line="276" w:lineRule="auto" w:before="121"/>
        <w:ind w:left="344" w:right="201" w:hanging="5"/>
        <w:jc w:val="both"/>
      </w:pPr>
      <w:r>
        <w:rPr>
          <w:b/>
        </w:rPr>
        <w:t>Gender identity: </w:t>
      </w:r>
      <w:r>
        <w:rPr/>
        <w:t>The gender a person experiences and accepts as descriptive of themselves. Traditionally gender identities have been limited to man or woman. Currently there are many other additional gender identities,</w:t>
      </w:r>
      <w:r>
        <w:rPr>
          <w:spacing w:val="-2"/>
        </w:rPr>
        <w:t> </w:t>
      </w:r>
      <w:r>
        <w:rPr/>
        <w:t>such</w:t>
      </w:r>
      <w:r>
        <w:rPr>
          <w:spacing w:val="-4"/>
        </w:rPr>
        <w:t> </w:t>
      </w:r>
      <w:r>
        <w:rPr/>
        <w:t>genderqueer</w:t>
      </w:r>
      <w:r>
        <w:rPr>
          <w:spacing w:val="-1"/>
        </w:rPr>
        <w:t> </w:t>
      </w:r>
      <w:r>
        <w:rPr/>
        <w:t>and</w:t>
      </w:r>
      <w:r>
        <w:rPr>
          <w:spacing w:val="-5"/>
        </w:rPr>
        <w:t> </w:t>
      </w:r>
      <w:r>
        <w:rPr/>
        <w:t>nonbinary.</w:t>
      </w:r>
      <w:r>
        <w:rPr>
          <w:spacing w:val="-2"/>
        </w:rPr>
        <w:t> </w:t>
      </w:r>
      <w:r>
        <w:rPr/>
        <w:t>Gender</w:t>
      </w:r>
      <w:r>
        <w:rPr>
          <w:spacing w:val="-2"/>
        </w:rPr>
        <w:t> </w:t>
      </w:r>
      <w:r>
        <w:rPr/>
        <w:t>identity is</w:t>
      </w:r>
      <w:r>
        <w:rPr>
          <w:spacing w:val="-6"/>
        </w:rPr>
        <w:t> </w:t>
      </w:r>
      <w:r>
        <w:rPr/>
        <w:t>separate</w:t>
      </w:r>
      <w:r>
        <w:rPr>
          <w:spacing w:val="-4"/>
        </w:rPr>
        <w:t> </w:t>
      </w:r>
      <w:r>
        <w:rPr/>
        <w:t>from</w:t>
      </w:r>
      <w:r>
        <w:rPr>
          <w:spacing w:val="-4"/>
        </w:rPr>
        <w:t> </w:t>
      </w:r>
      <w:r>
        <w:rPr/>
        <w:t>sexual orientation.</w:t>
      </w:r>
    </w:p>
    <w:p>
      <w:pPr>
        <w:spacing w:after="0" w:line="276" w:lineRule="auto"/>
        <w:jc w:val="both"/>
        <w:sectPr>
          <w:pgSz w:w="12240" w:h="15840"/>
          <w:pgMar w:header="870" w:footer="1202" w:top="1060" w:bottom="1400" w:left="960" w:right="1100"/>
        </w:sectPr>
      </w:pPr>
    </w:p>
    <w:p>
      <w:pPr>
        <w:pStyle w:val="BodyText"/>
        <w:spacing w:line="276" w:lineRule="auto" w:before="181"/>
        <w:ind w:left="344" w:right="203" w:hanging="5"/>
        <w:jc w:val="both"/>
      </w:pPr>
      <w:r>
        <w:rPr>
          <w:b/>
        </w:rPr>
        <w:t>Gender-neutral: </w:t>
      </w:r>
      <w:r>
        <w:rPr/>
        <w:t>a term that describes something, many times a space (like a bathroom) or a thing (such as clothing), that is not segregated by sex or gender.</w:t>
      </w:r>
    </w:p>
    <w:p>
      <w:pPr>
        <w:pStyle w:val="BodyText"/>
        <w:spacing w:line="276" w:lineRule="auto" w:before="120"/>
        <w:ind w:left="344" w:right="200" w:hanging="5"/>
        <w:jc w:val="both"/>
      </w:pPr>
      <w:r>
        <w:rPr>
          <w:b/>
        </w:rPr>
        <w:t>Gender-nonconforming (GNC): </w:t>
      </w:r>
      <w:r>
        <w:rPr/>
        <w:t>a term used to describe people whose gender expression differs from stereotypical expectations of gender appropriate behavior or ways men and women are expected to act. Not all gender non-conforming people identify as LGBTQ. This may also be referred to as gender variance</w:t>
      </w:r>
      <w:r>
        <w:rPr>
          <w:spacing w:val="80"/>
        </w:rPr>
        <w:t> </w:t>
      </w:r>
      <w:r>
        <w:rPr/>
        <w:t>or gender expansive.</w:t>
      </w:r>
    </w:p>
    <w:p>
      <w:pPr>
        <w:pStyle w:val="BodyText"/>
        <w:spacing w:line="276" w:lineRule="auto" w:before="119"/>
        <w:ind w:left="344" w:right="202" w:hanging="4"/>
        <w:jc w:val="both"/>
      </w:pPr>
      <w:r>
        <w:rPr>
          <w:b/>
        </w:rPr>
        <w:t>Gender role: </w:t>
      </w:r>
      <w:r>
        <w:rPr/>
        <w:t>Duties associated with a person’s social function; traditionally based on the sexual division of labor e.g. traditional woman – wife, mother, caregiver, emotional support; traditional man – husband, father, protector, financial provider.</w:t>
      </w:r>
    </w:p>
    <w:p>
      <w:pPr>
        <w:pStyle w:val="BodyText"/>
        <w:spacing w:line="276" w:lineRule="auto" w:before="120"/>
        <w:ind w:left="344" w:right="198" w:hanging="5"/>
        <w:jc w:val="both"/>
      </w:pPr>
      <w:r>
        <w:rPr>
          <w:b/>
        </w:rPr>
        <w:t>Genderqueer: </w:t>
      </w:r>
      <w:r>
        <w:rPr/>
        <w:t>a term for people who identify outside the confines of the binary definition of gender (male/female). Genderqueer people may consider themselves to be two or more genders, without a gender, a third gender, and/or fluid.</w:t>
      </w:r>
    </w:p>
    <w:p>
      <w:pPr>
        <w:pStyle w:val="BodyText"/>
        <w:spacing w:line="276" w:lineRule="auto" w:before="120"/>
        <w:ind w:left="343" w:right="200" w:hanging="5"/>
        <w:jc w:val="both"/>
      </w:pPr>
      <w:r>
        <w:rPr>
          <w:b/>
        </w:rPr>
        <w:t>Heteronormativity</w:t>
      </w:r>
      <w:r>
        <w:rPr/>
        <w:t>:</w:t>
      </w:r>
      <w:r>
        <w:rPr>
          <w:spacing w:val="-2"/>
        </w:rPr>
        <w:t> </w:t>
      </w:r>
      <w:r>
        <w:rPr/>
        <w:t>Heteronormativity</w:t>
      </w:r>
      <w:r>
        <w:rPr>
          <w:spacing w:val="-2"/>
        </w:rPr>
        <w:t> </w:t>
      </w:r>
      <w:r>
        <w:rPr/>
        <w:t>refers</w:t>
      </w:r>
      <w:r>
        <w:rPr>
          <w:spacing w:val="-2"/>
        </w:rPr>
        <w:t> </w:t>
      </w:r>
      <w:r>
        <w:rPr/>
        <w:t>to</w:t>
      </w:r>
      <w:r>
        <w:rPr>
          <w:spacing w:val="-1"/>
        </w:rPr>
        <w:t> </w:t>
      </w:r>
      <w:r>
        <w:rPr/>
        <w:t>the societal</w:t>
      </w:r>
      <w:r>
        <w:rPr>
          <w:spacing w:val="-3"/>
        </w:rPr>
        <w:t> </w:t>
      </w:r>
      <w:r>
        <w:rPr/>
        <w:t>assumption</w:t>
      </w:r>
      <w:r>
        <w:rPr>
          <w:spacing w:val="-2"/>
        </w:rPr>
        <w:t> </w:t>
      </w:r>
      <w:r>
        <w:rPr/>
        <w:t>that</w:t>
      </w:r>
      <w:r>
        <w:rPr>
          <w:spacing w:val="-1"/>
        </w:rPr>
        <w:t> </w:t>
      </w:r>
      <w:r>
        <w:rPr/>
        <w:t>heterosexuality</w:t>
      </w:r>
      <w:r>
        <w:rPr>
          <w:spacing w:val="-3"/>
        </w:rPr>
        <w:t> </w:t>
      </w:r>
      <w:r>
        <w:rPr/>
        <w:t>is</w:t>
      </w:r>
      <w:r>
        <w:rPr>
          <w:spacing w:val="-1"/>
        </w:rPr>
        <w:t> </w:t>
      </w:r>
      <w:r>
        <w:rPr/>
        <w:t>the</w:t>
      </w:r>
      <w:r>
        <w:rPr>
          <w:spacing w:val="-2"/>
        </w:rPr>
        <w:t> </w:t>
      </w:r>
      <w:r>
        <w:rPr/>
        <w:t>norm</w:t>
      </w:r>
      <w:r>
        <w:rPr>
          <w:spacing w:val="-8"/>
        </w:rPr>
        <w:t> </w:t>
      </w:r>
      <w:r>
        <w:rPr/>
        <w:t>or default sexual orientation, and that relationships and identities outside of heterosexuality are abnormal or deviant. Heteronormativity reinforces the gender binary and traditional gender roles, with the assumption that men are attracted to women and vice versa. It is a system of beliefs and practices that privileges and centers heterosexual individuals and experiences while marginalizing and excluding non-heterosexual identities and relationships.</w:t>
      </w:r>
    </w:p>
    <w:p>
      <w:pPr>
        <w:pStyle w:val="BodyText"/>
        <w:spacing w:line="276" w:lineRule="auto" w:before="121"/>
        <w:ind w:left="344" w:right="197" w:hanging="5"/>
        <w:jc w:val="both"/>
      </w:pPr>
      <w:r>
        <w:rPr>
          <w:b/>
        </w:rPr>
        <w:t>Heterosexism</w:t>
      </w:r>
      <w:r>
        <w:rPr/>
        <w:t>: Heterosexism is a systemic and individual set of beliefs, attitudes, and practices that</w:t>
      </w:r>
      <w:r>
        <w:rPr>
          <w:spacing w:val="40"/>
        </w:rPr>
        <w:t> </w:t>
      </w:r>
      <w:r>
        <w:rPr/>
        <w:t>privilege and normalize heterosexual relationships, while marginalizing and stigmatizing non- heterosexual identities and relationships. Heterosexism reinforces the notion that heterosexuality is the</w:t>
      </w:r>
      <w:r>
        <w:rPr>
          <w:spacing w:val="-2"/>
        </w:rPr>
        <w:t> </w:t>
      </w:r>
      <w:r>
        <w:rPr/>
        <w:t>norm and ideal, and</w:t>
      </w:r>
      <w:r>
        <w:rPr>
          <w:spacing w:val="-13"/>
        </w:rPr>
        <w:t> </w:t>
      </w:r>
      <w:r>
        <w:rPr/>
        <w:t>that</w:t>
      </w:r>
      <w:r>
        <w:rPr>
          <w:spacing w:val="-12"/>
        </w:rPr>
        <w:t> </w:t>
      </w:r>
      <w:r>
        <w:rPr/>
        <w:t>other</w:t>
      </w:r>
      <w:r>
        <w:rPr>
          <w:spacing w:val="-12"/>
        </w:rPr>
        <w:t> </w:t>
      </w:r>
      <w:r>
        <w:rPr/>
        <w:t>sexual</w:t>
      </w:r>
      <w:r>
        <w:rPr>
          <w:spacing w:val="-11"/>
        </w:rPr>
        <w:t> </w:t>
      </w:r>
      <w:r>
        <w:rPr/>
        <w:t>orientations</w:t>
      </w:r>
      <w:r>
        <w:rPr>
          <w:spacing w:val="-12"/>
        </w:rPr>
        <w:t> </w:t>
      </w:r>
      <w:r>
        <w:rPr/>
        <w:t>are</w:t>
      </w:r>
      <w:r>
        <w:rPr>
          <w:spacing w:val="-11"/>
        </w:rPr>
        <w:t> </w:t>
      </w:r>
      <w:r>
        <w:rPr/>
        <w:t>deviant,</w:t>
      </w:r>
      <w:r>
        <w:rPr>
          <w:spacing w:val="-12"/>
        </w:rPr>
        <w:t> </w:t>
      </w:r>
      <w:r>
        <w:rPr/>
        <w:t>abnormal,</w:t>
      </w:r>
      <w:r>
        <w:rPr>
          <w:spacing w:val="-12"/>
        </w:rPr>
        <w:t> </w:t>
      </w:r>
      <w:r>
        <w:rPr/>
        <w:t>or</w:t>
      </w:r>
      <w:r>
        <w:rPr>
          <w:spacing w:val="-12"/>
        </w:rPr>
        <w:t> </w:t>
      </w:r>
      <w:r>
        <w:rPr/>
        <w:t>inferior.</w:t>
      </w:r>
      <w:r>
        <w:rPr>
          <w:spacing w:val="-13"/>
        </w:rPr>
        <w:t> </w:t>
      </w:r>
      <w:r>
        <w:rPr/>
        <w:t>Heterosexism</w:t>
      </w:r>
      <w:r>
        <w:rPr>
          <w:spacing w:val="-4"/>
        </w:rPr>
        <w:t> </w:t>
      </w:r>
      <w:r>
        <w:rPr/>
        <w:t>operates</w:t>
      </w:r>
      <w:r>
        <w:rPr>
          <w:spacing w:val="-2"/>
        </w:rPr>
        <w:t> </w:t>
      </w:r>
      <w:r>
        <w:rPr/>
        <w:t>through</w:t>
      </w:r>
      <w:r>
        <w:rPr>
          <w:spacing w:val="-3"/>
        </w:rPr>
        <w:t> </w:t>
      </w:r>
      <w:r>
        <w:rPr/>
        <w:t>various forms of discrimination, including but not limited to, exclusion from social and political power, lack of legal protections, and limited access to healthcare.</w:t>
      </w:r>
    </w:p>
    <w:p>
      <w:pPr>
        <w:pStyle w:val="BodyText"/>
        <w:spacing w:line="276" w:lineRule="auto" w:before="119"/>
        <w:ind w:left="345" w:right="200" w:hanging="5"/>
        <w:jc w:val="both"/>
      </w:pPr>
      <w:r>
        <w:rPr>
          <w:b/>
        </w:rPr>
        <w:t>Homophobia: </w:t>
      </w:r>
      <w:r>
        <w:rPr/>
        <w:t>fear, hatred or discriminatory response to a person who is or is perceived to be lesbian, gay, bisexual, or queer.</w:t>
      </w:r>
    </w:p>
    <w:p>
      <w:pPr>
        <w:pStyle w:val="BodyText"/>
        <w:spacing w:line="276" w:lineRule="auto" w:before="119"/>
        <w:ind w:left="345" w:right="199"/>
        <w:jc w:val="both"/>
      </w:pPr>
      <w:r>
        <w:rPr>
          <w:b/>
        </w:rPr>
        <w:t>Intersex: </w:t>
      </w:r>
      <w:r>
        <w:rPr/>
        <w:t>a person born with a combination of chromosomes, hormones, and primary and secondary sex characteristics that do not place them into either one of the two accepted sex categories (male/ female) as defined by the medical establishment in our society.</w:t>
      </w:r>
    </w:p>
    <w:p>
      <w:pPr>
        <w:pStyle w:val="BodyText"/>
        <w:spacing w:line="276" w:lineRule="auto" w:before="121"/>
        <w:ind w:left="345" w:right="202"/>
        <w:jc w:val="both"/>
      </w:pPr>
      <w:r>
        <w:rPr>
          <w:b/>
        </w:rPr>
        <w:t>Lesbian: </w:t>
      </w:r>
      <w:r>
        <w:rPr/>
        <w:t>a woman who self-identifies as having an emotional, sexual, spiritual, and/or relational attraction to other women.</w:t>
      </w:r>
    </w:p>
    <w:p>
      <w:pPr>
        <w:pStyle w:val="BodyText"/>
        <w:spacing w:line="276" w:lineRule="auto" w:before="119"/>
        <w:ind w:left="344" w:right="201"/>
        <w:jc w:val="both"/>
      </w:pPr>
      <w:r>
        <w:rPr>
          <w:b/>
        </w:rPr>
        <w:t>Misgendering</w:t>
      </w:r>
      <w:r>
        <w:rPr/>
        <w:t>: Misgendering is the act of using language that does not accurately reflect an individual's gender identity. This can include using incorrect pronouns, titles, or descriptors that do not align with an individual's gender identity.</w:t>
      </w:r>
    </w:p>
    <w:p>
      <w:pPr>
        <w:pStyle w:val="BodyText"/>
        <w:spacing w:line="276" w:lineRule="auto" w:before="120"/>
        <w:ind w:left="344" w:right="200"/>
        <w:jc w:val="both"/>
      </w:pPr>
      <w:r>
        <w:rPr>
          <w:b/>
        </w:rPr>
        <w:t>Neopronouns: </w:t>
      </w:r>
      <w:r>
        <w:rPr/>
        <w:t>non-traditional pronouns that individuals may use to refer to themselves or others, particular those who do not feel comfortable using gendered pronouns like he/him or she/her. Neopronouns can include words like they/them, ze/hir, and xe/xem, as well as other custom-made </w:t>
      </w:r>
      <w:r>
        <w:rPr>
          <w:spacing w:val="-2"/>
        </w:rPr>
        <w:t>pronouns</w:t>
      </w:r>
    </w:p>
    <w:p>
      <w:pPr>
        <w:spacing w:after="0" w:line="276" w:lineRule="auto"/>
        <w:jc w:val="both"/>
        <w:sectPr>
          <w:pgSz w:w="12240" w:h="15840"/>
          <w:pgMar w:header="870" w:footer="1202" w:top="1060" w:bottom="1400" w:left="960" w:right="1100"/>
        </w:sectPr>
      </w:pPr>
    </w:p>
    <w:p>
      <w:pPr>
        <w:pStyle w:val="BodyText"/>
        <w:spacing w:line="276" w:lineRule="auto" w:before="181"/>
        <w:ind w:left="343" w:right="196" w:hanging="5"/>
        <w:jc w:val="both"/>
      </w:pPr>
      <w:r>
        <w:rPr>
          <w:b/>
        </w:rPr>
        <w:t>Nonbinary:</w:t>
      </w:r>
      <w:r>
        <w:rPr>
          <w:b/>
          <w:spacing w:val="-1"/>
        </w:rPr>
        <w:t> </w:t>
      </w:r>
      <w:r>
        <w:rPr/>
        <w:t>describes</w:t>
      </w:r>
      <w:r>
        <w:rPr>
          <w:spacing w:val="-5"/>
        </w:rPr>
        <w:t> </w:t>
      </w:r>
      <w:r>
        <w:rPr/>
        <w:t>any</w:t>
      </w:r>
      <w:r>
        <w:rPr>
          <w:spacing w:val="-2"/>
        </w:rPr>
        <w:t> </w:t>
      </w:r>
      <w:r>
        <w:rPr/>
        <w:t>gender</w:t>
      </w:r>
      <w:r>
        <w:rPr>
          <w:spacing w:val="-4"/>
        </w:rPr>
        <w:t> </w:t>
      </w:r>
      <w:r>
        <w:rPr/>
        <w:t>identity</w:t>
      </w:r>
      <w:r>
        <w:rPr>
          <w:spacing w:val="-5"/>
        </w:rPr>
        <w:t> </w:t>
      </w:r>
      <w:r>
        <w:rPr/>
        <w:t>which</w:t>
      </w:r>
      <w:r>
        <w:rPr>
          <w:spacing w:val="-4"/>
        </w:rPr>
        <w:t> </w:t>
      </w:r>
      <w:r>
        <w:rPr/>
        <w:t>does</w:t>
      </w:r>
      <w:r>
        <w:rPr>
          <w:spacing w:val="-5"/>
        </w:rPr>
        <w:t> </w:t>
      </w:r>
      <w:r>
        <w:rPr/>
        <w:t>not</w:t>
      </w:r>
      <w:r>
        <w:rPr>
          <w:spacing w:val="-5"/>
        </w:rPr>
        <w:t> </w:t>
      </w:r>
      <w:r>
        <w:rPr/>
        <w:t>fit</w:t>
      </w:r>
      <w:r>
        <w:rPr>
          <w:spacing w:val="-4"/>
        </w:rPr>
        <w:t> </w:t>
      </w:r>
      <w:r>
        <w:rPr/>
        <w:t>the</w:t>
      </w:r>
      <w:r>
        <w:rPr>
          <w:spacing w:val="-4"/>
        </w:rPr>
        <w:t> </w:t>
      </w:r>
      <w:r>
        <w:rPr/>
        <w:t>male</w:t>
      </w:r>
      <w:r>
        <w:rPr>
          <w:spacing w:val="-5"/>
        </w:rPr>
        <w:t> </w:t>
      </w:r>
      <w:r>
        <w:rPr/>
        <w:t>and</w:t>
      </w:r>
      <w:r>
        <w:rPr>
          <w:spacing w:val="-4"/>
        </w:rPr>
        <w:t> </w:t>
      </w:r>
      <w:r>
        <w:rPr/>
        <w:t>female</w:t>
      </w:r>
      <w:r>
        <w:rPr>
          <w:spacing w:val="-5"/>
        </w:rPr>
        <w:t> </w:t>
      </w:r>
      <w:r>
        <w:rPr/>
        <w:t>binary</w:t>
      </w:r>
      <w:r>
        <w:rPr>
          <w:spacing w:val="-5"/>
        </w:rPr>
        <w:t> </w:t>
      </w:r>
      <w:r>
        <w:rPr/>
        <w:t>spectrum.</w:t>
      </w:r>
      <w:r>
        <w:rPr>
          <w:spacing w:val="-4"/>
        </w:rPr>
        <w:t> </w:t>
      </w:r>
      <w:r>
        <w:rPr/>
        <w:t>A</w:t>
      </w:r>
      <w:r>
        <w:rPr>
          <w:spacing w:val="-5"/>
        </w:rPr>
        <w:t> </w:t>
      </w:r>
      <w:r>
        <w:rPr/>
        <w:t>person who identifies as gender nonbinary may identify as both male and female, somewhere in between, have multiple genders, have a third gender entirely, or no gender at all, and may reject this binary construct altogether. A nonbinary gender marker on an ID would be one that is neither male nor female, but instead might be represented by an X or an N.</w:t>
      </w:r>
    </w:p>
    <w:p>
      <w:pPr>
        <w:pStyle w:val="BodyText"/>
        <w:spacing w:before="119"/>
        <w:ind w:left="343"/>
        <w:jc w:val="both"/>
      </w:pPr>
      <w:r>
        <w:rPr>
          <w:b/>
          <w:spacing w:val="-4"/>
        </w:rPr>
        <w:t>Pansexual:</w:t>
      </w:r>
      <w:r>
        <w:rPr>
          <w:b/>
          <w:spacing w:val="-10"/>
        </w:rPr>
        <w:t> </w:t>
      </w:r>
      <w:r>
        <w:rPr>
          <w:spacing w:val="-4"/>
        </w:rPr>
        <w:t>attracted</w:t>
      </w:r>
      <w:r>
        <w:rPr>
          <w:spacing w:val="-5"/>
        </w:rPr>
        <w:t> </w:t>
      </w:r>
      <w:r>
        <w:rPr>
          <w:spacing w:val="-4"/>
        </w:rPr>
        <w:t>to</w:t>
      </w:r>
      <w:r>
        <w:rPr/>
        <w:t> </w:t>
      </w:r>
      <w:r>
        <w:rPr>
          <w:spacing w:val="-4"/>
        </w:rPr>
        <w:t>others regardless</w:t>
      </w:r>
      <w:r>
        <w:rPr>
          <w:spacing w:val="-7"/>
        </w:rPr>
        <w:t> </w:t>
      </w:r>
      <w:r>
        <w:rPr>
          <w:spacing w:val="-4"/>
        </w:rPr>
        <w:t>of</w:t>
      </w:r>
      <w:r>
        <w:rPr>
          <w:spacing w:val="-5"/>
        </w:rPr>
        <w:t> </w:t>
      </w:r>
      <w:r>
        <w:rPr>
          <w:spacing w:val="-4"/>
        </w:rPr>
        <w:t>gender</w:t>
      </w:r>
      <w:r>
        <w:rPr>
          <w:spacing w:val="-2"/>
        </w:rPr>
        <w:t> </w:t>
      </w:r>
      <w:r>
        <w:rPr>
          <w:spacing w:val="-4"/>
        </w:rPr>
        <w:t>identity</w:t>
      </w:r>
      <w:r>
        <w:rPr>
          <w:spacing w:val="-2"/>
        </w:rPr>
        <w:t> </w:t>
      </w:r>
      <w:r>
        <w:rPr>
          <w:spacing w:val="-4"/>
        </w:rPr>
        <w:t>or</w:t>
      </w:r>
      <w:r>
        <w:rPr>
          <w:spacing w:val="-2"/>
        </w:rPr>
        <w:t> </w:t>
      </w:r>
      <w:r>
        <w:rPr>
          <w:spacing w:val="-4"/>
        </w:rPr>
        <w:t>expression</w:t>
      </w:r>
    </w:p>
    <w:p>
      <w:pPr>
        <w:pStyle w:val="BodyText"/>
        <w:spacing w:before="160"/>
        <w:ind w:left="339"/>
        <w:jc w:val="both"/>
      </w:pPr>
      <w:r>
        <w:rPr>
          <w:b/>
          <w:spacing w:val="-2"/>
        </w:rPr>
        <w:t>PrEP:</w:t>
      </w:r>
      <w:r>
        <w:rPr>
          <w:b/>
          <w:spacing w:val="-5"/>
        </w:rPr>
        <w:t> </w:t>
      </w:r>
      <w:r>
        <w:rPr>
          <w:spacing w:val="-2"/>
        </w:rPr>
        <w:t>pre-exposure</w:t>
      </w:r>
      <w:r>
        <w:rPr>
          <w:spacing w:val="-3"/>
        </w:rPr>
        <w:t> </w:t>
      </w:r>
      <w:r>
        <w:rPr>
          <w:spacing w:val="-2"/>
        </w:rPr>
        <w:t>prophylaxis,</w:t>
      </w:r>
      <w:r>
        <w:rPr>
          <w:spacing w:val="-6"/>
        </w:rPr>
        <w:t> </w:t>
      </w:r>
      <w:r>
        <w:rPr>
          <w:spacing w:val="-2"/>
        </w:rPr>
        <w:t>or</w:t>
      </w:r>
      <w:r>
        <w:rPr>
          <w:spacing w:val="-3"/>
        </w:rPr>
        <w:t> </w:t>
      </w:r>
      <w:r>
        <w:rPr>
          <w:spacing w:val="-2"/>
        </w:rPr>
        <w:t>a</w:t>
      </w:r>
      <w:r>
        <w:rPr>
          <w:spacing w:val="-5"/>
        </w:rPr>
        <w:t> </w:t>
      </w:r>
      <w:r>
        <w:rPr>
          <w:spacing w:val="-2"/>
        </w:rPr>
        <w:t>medication taken</w:t>
      </w:r>
      <w:r>
        <w:rPr>
          <w:spacing w:val="-7"/>
        </w:rPr>
        <w:t> </w:t>
      </w:r>
      <w:r>
        <w:rPr>
          <w:spacing w:val="-2"/>
        </w:rPr>
        <w:t>daily to</w:t>
      </w:r>
      <w:r>
        <w:rPr/>
        <w:t> </w:t>
      </w:r>
      <w:r>
        <w:rPr>
          <w:spacing w:val="-2"/>
        </w:rPr>
        <w:t>reduce</w:t>
      </w:r>
      <w:r>
        <w:rPr>
          <w:spacing w:val="-4"/>
        </w:rPr>
        <w:t> </w:t>
      </w:r>
      <w:r>
        <w:rPr>
          <w:spacing w:val="-2"/>
        </w:rPr>
        <w:t>one’s</w:t>
      </w:r>
      <w:r>
        <w:rPr>
          <w:spacing w:val="-6"/>
        </w:rPr>
        <w:t> </w:t>
      </w:r>
      <w:r>
        <w:rPr>
          <w:spacing w:val="-2"/>
        </w:rPr>
        <w:t>risk</w:t>
      </w:r>
      <w:r>
        <w:rPr>
          <w:spacing w:val="-5"/>
        </w:rPr>
        <w:t> </w:t>
      </w:r>
      <w:r>
        <w:rPr>
          <w:spacing w:val="-2"/>
        </w:rPr>
        <w:t>of</w:t>
      </w:r>
      <w:r>
        <w:rPr>
          <w:spacing w:val="-5"/>
        </w:rPr>
        <w:t> </w:t>
      </w:r>
      <w:r>
        <w:rPr>
          <w:spacing w:val="-2"/>
        </w:rPr>
        <w:t>being</w:t>
      </w:r>
      <w:r>
        <w:rPr>
          <w:spacing w:val="-5"/>
        </w:rPr>
        <w:t> </w:t>
      </w:r>
      <w:r>
        <w:rPr>
          <w:spacing w:val="-2"/>
        </w:rPr>
        <w:t>infected</w:t>
      </w:r>
      <w:r>
        <w:rPr>
          <w:spacing w:val="-6"/>
        </w:rPr>
        <w:t> </w:t>
      </w:r>
      <w:r>
        <w:rPr>
          <w:spacing w:val="-2"/>
        </w:rPr>
        <w:t>with</w:t>
      </w:r>
      <w:r>
        <w:rPr>
          <w:spacing w:val="6"/>
        </w:rPr>
        <w:t> </w:t>
      </w:r>
      <w:r>
        <w:rPr>
          <w:spacing w:val="-4"/>
        </w:rPr>
        <w:t>HIV.</w:t>
      </w:r>
    </w:p>
    <w:p>
      <w:pPr>
        <w:pStyle w:val="BodyText"/>
        <w:spacing w:line="276" w:lineRule="auto" w:before="161"/>
        <w:ind w:left="343" w:right="203" w:hanging="5"/>
        <w:jc w:val="both"/>
      </w:pPr>
      <w:r>
        <w:rPr>
          <w:b/>
        </w:rPr>
        <w:t>Pubertal suppression: </w:t>
      </w:r>
      <w:r>
        <w:rPr/>
        <w:t>a medical process that pauses hormonal changes that initiate puberty in</w:t>
      </w:r>
      <w:r>
        <w:rPr>
          <w:spacing w:val="40"/>
        </w:rPr>
        <w:t> </w:t>
      </w:r>
      <w:r>
        <w:rPr/>
        <w:t>adolescents, resulting</w:t>
      </w:r>
      <w:r>
        <w:rPr>
          <w:spacing w:val="-2"/>
        </w:rPr>
        <w:t> </w:t>
      </w:r>
      <w:r>
        <w:rPr/>
        <w:t>in</w:t>
      </w:r>
      <w:r>
        <w:rPr>
          <w:spacing w:val="-2"/>
        </w:rPr>
        <w:t> </w:t>
      </w:r>
      <w:r>
        <w:rPr/>
        <w:t>a</w:t>
      </w:r>
      <w:r>
        <w:rPr>
          <w:spacing w:val="-1"/>
        </w:rPr>
        <w:t> </w:t>
      </w:r>
      <w:r>
        <w:rPr/>
        <w:t>purposeful</w:t>
      </w:r>
      <w:r>
        <w:rPr>
          <w:spacing w:val="-2"/>
        </w:rPr>
        <w:t> </w:t>
      </w:r>
      <w:r>
        <w:rPr/>
        <w:t>delay</w:t>
      </w:r>
      <w:r>
        <w:rPr>
          <w:spacing w:val="-1"/>
        </w:rPr>
        <w:t> </w:t>
      </w:r>
      <w:r>
        <w:rPr/>
        <w:t>in</w:t>
      </w:r>
      <w:r>
        <w:rPr>
          <w:spacing w:val="-2"/>
        </w:rPr>
        <w:t> </w:t>
      </w:r>
      <w:r>
        <w:rPr/>
        <w:t>the</w:t>
      </w:r>
      <w:r>
        <w:rPr>
          <w:spacing w:val="-1"/>
        </w:rPr>
        <w:t> </w:t>
      </w:r>
      <w:r>
        <w:rPr/>
        <w:t>development</w:t>
      </w:r>
      <w:r>
        <w:rPr>
          <w:spacing w:val="-2"/>
        </w:rPr>
        <w:t> </w:t>
      </w:r>
      <w:r>
        <w:rPr/>
        <w:t>of secondary</w:t>
      </w:r>
      <w:r>
        <w:rPr>
          <w:spacing w:val="-1"/>
        </w:rPr>
        <w:t> </w:t>
      </w:r>
      <w:r>
        <w:rPr/>
        <w:t>sex</w:t>
      </w:r>
      <w:r>
        <w:rPr>
          <w:spacing w:val="-2"/>
        </w:rPr>
        <w:t> </w:t>
      </w:r>
      <w:r>
        <w:rPr/>
        <w:t>characteristics</w:t>
      </w:r>
      <w:r>
        <w:rPr>
          <w:spacing w:val="-1"/>
        </w:rPr>
        <w:t> </w:t>
      </w:r>
      <w:r>
        <w:rPr/>
        <w:t>(e.g.</w:t>
      </w:r>
      <w:r>
        <w:rPr>
          <w:spacing w:val="-2"/>
        </w:rPr>
        <w:t> </w:t>
      </w:r>
      <w:r>
        <w:rPr/>
        <w:t>breast growth, facial hair, body fat redistribution, voice changes, etc.). Suppression can prevent gender dysphoria that often accompanies puberty for transgender or gender- nonconforming youth, and is not permanent.</w:t>
      </w:r>
    </w:p>
    <w:p>
      <w:pPr>
        <w:pStyle w:val="BodyText"/>
        <w:spacing w:line="276" w:lineRule="auto" w:before="120"/>
        <w:ind w:left="343" w:right="200" w:hanging="5"/>
        <w:jc w:val="both"/>
      </w:pPr>
      <w:r>
        <w:rPr>
          <w:b/>
        </w:rPr>
        <w:t>Queer: </w:t>
      </w:r>
      <w:r>
        <w:rPr/>
        <w:t>The term “queer” was reclaimed in the early 90’s as an umbrella term for those who do not</w:t>
      </w:r>
      <w:r>
        <w:rPr>
          <w:spacing w:val="40"/>
        </w:rPr>
        <w:t> </w:t>
      </w:r>
      <w:r>
        <w:rPr/>
        <w:t>conform to rigid (heteropatriarchal) notions of gender identity and expression or sexual orientation. Because this term has historically been used derogatorily, some older people find its reclamation to be controversial. It is the preferred identity term for many younger people.</w:t>
      </w:r>
    </w:p>
    <w:p>
      <w:pPr>
        <w:pStyle w:val="BodyText"/>
        <w:spacing w:line="276" w:lineRule="auto" w:before="119"/>
        <w:ind w:left="343" w:right="202" w:hanging="6"/>
        <w:jc w:val="both"/>
      </w:pPr>
      <w:r>
        <w:rPr>
          <w:b/>
        </w:rPr>
        <w:t>Questioning: </w:t>
      </w:r>
      <w:r>
        <w:rPr/>
        <w:t>a term used to describe a person who is exploring their sexual orientation and/or gender </w:t>
      </w:r>
      <w:r>
        <w:rPr>
          <w:spacing w:val="-2"/>
        </w:rPr>
        <w:t>identity</w:t>
      </w:r>
    </w:p>
    <w:p>
      <w:pPr>
        <w:pStyle w:val="BodyText"/>
        <w:spacing w:line="276" w:lineRule="auto" w:before="120"/>
        <w:ind w:left="343" w:right="201" w:hanging="5"/>
        <w:jc w:val="both"/>
      </w:pPr>
      <w:r>
        <w:rPr>
          <w:b/>
        </w:rPr>
        <w:t>Reproductive</w:t>
      </w:r>
      <w:r>
        <w:rPr>
          <w:b/>
          <w:spacing w:val="-1"/>
        </w:rPr>
        <w:t> </w:t>
      </w:r>
      <w:r>
        <w:rPr>
          <w:b/>
        </w:rPr>
        <w:t>health:</w:t>
      </w:r>
      <w:r>
        <w:rPr>
          <w:b/>
          <w:spacing w:val="-2"/>
        </w:rPr>
        <w:t> </w:t>
      </w:r>
      <w:r>
        <w:rPr/>
        <w:t>a</w:t>
      </w:r>
      <w:r>
        <w:rPr>
          <w:spacing w:val="-5"/>
        </w:rPr>
        <w:t> </w:t>
      </w:r>
      <w:r>
        <w:rPr/>
        <w:t>health</w:t>
      </w:r>
      <w:r>
        <w:rPr>
          <w:spacing w:val="-6"/>
        </w:rPr>
        <w:t> </w:t>
      </w:r>
      <w:r>
        <w:rPr/>
        <w:t>focus</w:t>
      </w:r>
      <w:r>
        <w:rPr>
          <w:spacing w:val="-5"/>
        </w:rPr>
        <w:t> </w:t>
      </w:r>
      <w:r>
        <w:rPr/>
        <w:t>on</w:t>
      </w:r>
      <w:r>
        <w:rPr>
          <w:spacing w:val="-5"/>
        </w:rPr>
        <w:t> </w:t>
      </w:r>
      <w:r>
        <w:rPr/>
        <w:t>the</w:t>
      </w:r>
      <w:r>
        <w:rPr>
          <w:spacing w:val="-5"/>
        </w:rPr>
        <w:t> </w:t>
      </w:r>
      <w:r>
        <w:rPr/>
        <w:t>provision</w:t>
      </w:r>
      <w:r>
        <w:rPr>
          <w:spacing w:val="-6"/>
        </w:rPr>
        <w:t> </w:t>
      </w:r>
      <w:r>
        <w:rPr/>
        <w:t>of</w:t>
      </w:r>
      <w:r>
        <w:rPr>
          <w:spacing w:val="-5"/>
        </w:rPr>
        <w:t> </w:t>
      </w:r>
      <w:r>
        <w:rPr/>
        <w:t>healthcare</w:t>
      </w:r>
      <w:r>
        <w:rPr>
          <w:spacing w:val="-5"/>
        </w:rPr>
        <w:t> </w:t>
      </w:r>
      <w:r>
        <w:rPr/>
        <w:t>services,</w:t>
      </w:r>
      <w:r>
        <w:rPr>
          <w:spacing w:val="-5"/>
        </w:rPr>
        <w:t> </w:t>
      </w:r>
      <w:r>
        <w:rPr/>
        <w:t>health</w:t>
      </w:r>
      <w:r>
        <w:rPr>
          <w:spacing w:val="-6"/>
        </w:rPr>
        <w:t> </w:t>
      </w:r>
      <w:r>
        <w:rPr/>
        <w:t>facilities,</w:t>
      </w:r>
      <w:r>
        <w:rPr>
          <w:spacing w:val="-5"/>
        </w:rPr>
        <w:t> </w:t>
      </w:r>
      <w:r>
        <w:rPr/>
        <w:t>research,</w:t>
      </w:r>
      <w:r>
        <w:rPr>
          <w:spacing w:val="-3"/>
        </w:rPr>
        <w:t> </w:t>
      </w:r>
      <w:r>
        <w:rPr/>
        <w:t>and</w:t>
      </w:r>
      <w:r>
        <w:rPr>
          <w:spacing w:val="-2"/>
        </w:rPr>
        <w:t> </w:t>
      </w:r>
      <w:r>
        <w:rPr/>
        <w:t>a person’s relationship with their provider</w:t>
      </w:r>
    </w:p>
    <w:p>
      <w:pPr>
        <w:pStyle w:val="BodyText"/>
        <w:spacing w:line="276" w:lineRule="auto" w:before="121"/>
        <w:ind w:left="343" w:right="202" w:hanging="1"/>
        <w:jc w:val="both"/>
      </w:pPr>
      <w:r>
        <w:rPr>
          <w:b/>
        </w:rPr>
        <w:t>Reproductive</w:t>
      </w:r>
      <w:r>
        <w:rPr>
          <w:b/>
          <w:spacing w:val="-1"/>
        </w:rPr>
        <w:t> </w:t>
      </w:r>
      <w:r>
        <w:rPr>
          <w:b/>
        </w:rPr>
        <w:t>justice: </w:t>
      </w:r>
      <w:r>
        <w:rPr/>
        <w:t>a</w:t>
      </w:r>
      <w:r>
        <w:rPr>
          <w:spacing w:val="-3"/>
        </w:rPr>
        <w:t> </w:t>
      </w:r>
      <w:r>
        <w:rPr/>
        <w:t>contemporary</w:t>
      </w:r>
      <w:r>
        <w:rPr>
          <w:spacing w:val="-3"/>
        </w:rPr>
        <w:t> </w:t>
      </w:r>
      <w:r>
        <w:rPr/>
        <w:t>and</w:t>
      </w:r>
      <w:r>
        <w:rPr>
          <w:spacing w:val="-3"/>
        </w:rPr>
        <w:t> </w:t>
      </w:r>
      <w:r>
        <w:rPr/>
        <w:t>political</w:t>
      </w:r>
      <w:r>
        <w:rPr>
          <w:spacing w:val="-4"/>
        </w:rPr>
        <w:t> </w:t>
      </w:r>
      <w:r>
        <w:rPr/>
        <w:t>approach</w:t>
      </w:r>
      <w:r>
        <w:rPr>
          <w:spacing w:val="-3"/>
        </w:rPr>
        <w:t> </w:t>
      </w:r>
      <w:r>
        <w:rPr/>
        <w:t>in</w:t>
      </w:r>
      <w:r>
        <w:rPr>
          <w:spacing w:val="-4"/>
        </w:rPr>
        <w:t> </w:t>
      </w:r>
      <w:r>
        <w:rPr/>
        <w:t>activism</w:t>
      </w:r>
      <w:r>
        <w:rPr>
          <w:spacing w:val="-2"/>
        </w:rPr>
        <w:t> </w:t>
      </w:r>
      <w:r>
        <w:rPr/>
        <w:t>using</w:t>
      </w:r>
      <w:r>
        <w:rPr>
          <w:spacing w:val="-3"/>
        </w:rPr>
        <w:t> </w:t>
      </w:r>
      <w:r>
        <w:rPr/>
        <w:t>a</w:t>
      </w:r>
      <w:r>
        <w:rPr>
          <w:spacing w:val="-3"/>
        </w:rPr>
        <w:t> </w:t>
      </w:r>
      <w:r>
        <w:rPr/>
        <w:t>human</w:t>
      </w:r>
      <w:r>
        <w:rPr>
          <w:spacing w:val="-4"/>
        </w:rPr>
        <w:t> </w:t>
      </w:r>
      <w:r>
        <w:rPr/>
        <w:t>rights</w:t>
      </w:r>
      <w:r>
        <w:rPr>
          <w:spacing w:val="-4"/>
        </w:rPr>
        <w:t> </w:t>
      </w:r>
      <w:r>
        <w:rPr/>
        <w:t>framework to draw attention to and resist laws, public, and corporate policies based on racial, gender, and class oppression,</w:t>
      </w:r>
      <w:r>
        <w:rPr>
          <w:spacing w:val="-1"/>
        </w:rPr>
        <w:t> </w:t>
      </w:r>
      <w:r>
        <w:rPr/>
        <w:t>noting that people have the right to have safe and healthy autonomy</w:t>
      </w:r>
      <w:r>
        <w:rPr>
          <w:spacing w:val="-2"/>
        </w:rPr>
        <w:t> </w:t>
      </w:r>
      <w:r>
        <w:rPr/>
        <w:t>over</w:t>
      </w:r>
      <w:r>
        <w:rPr>
          <w:spacing w:val="-1"/>
        </w:rPr>
        <w:t> </w:t>
      </w:r>
      <w:r>
        <w:rPr/>
        <w:t>their own</w:t>
      </w:r>
      <w:r>
        <w:rPr>
          <w:spacing w:val="-1"/>
        </w:rPr>
        <w:t> </w:t>
      </w:r>
      <w:r>
        <w:rPr/>
        <w:t>body</w:t>
      </w:r>
    </w:p>
    <w:p>
      <w:pPr>
        <w:pStyle w:val="BodyText"/>
        <w:spacing w:line="276" w:lineRule="auto" w:before="120"/>
        <w:ind w:left="343" w:right="199" w:hanging="5"/>
        <w:jc w:val="both"/>
      </w:pPr>
      <w:r>
        <w:rPr>
          <w:b/>
        </w:rPr>
        <w:t>Reproductive rights: </w:t>
      </w:r>
      <w:r>
        <w:rPr/>
        <w:t>the centering and protections of a person’s legal rights to reproductive health care, including the right to an abortion, birth control, affordable healthcare, prenatal and pregnancy care, and sexual health education</w:t>
      </w:r>
    </w:p>
    <w:p>
      <w:pPr>
        <w:spacing w:before="120"/>
        <w:ind w:left="344" w:right="0" w:firstLine="0"/>
        <w:jc w:val="both"/>
        <w:rPr>
          <w:sz w:val="22"/>
        </w:rPr>
      </w:pPr>
      <w:r>
        <w:rPr>
          <w:b/>
          <w:spacing w:val="-2"/>
          <w:sz w:val="22"/>
        </w:rPr>
        <w:t>Second-generation</w:t>
      </w:r>
      <w:r>
        <w:rPr>
          <w:b/>
          <w:spacing w:val="-4"/>
          <w:sz w:val="22"/>
        </w:rPr>
        <w:t> </w:t>
      </w:r>
      <w:r>
        <w:rPr>
          <w:b/>
          <w:spacing w:val="-2"/>
          <w:sz w:val="22"/>
        </w:rPr>
        <w:t>youth</w:t>
      </w:r>
      <w:r>
        <w:rPr>
          <w:spacing w:val="-2"/>
          <w:sz w:val="22"/>
        </w:rPr>
        <w:t>:</w:t>
      </w:r>
      <w:r>
        <w:rPr>
          <w:spacing w:val="-1"/>
          <w:sz w:val="22"/>
        </w:rPr>
        <w:t> </w:t>
      </w:r>
      <w:r>
        <w:rPr>
          <w:spacing w:val="-2"/>
          <w:sz w:val="22"/>
        </w:rPr>
        <w:t>youth</w:t>
      </w:r>
      <w:r>
        <w:rPr>
          <w:sz w:val="22"/>
        </w:rPr>
        <w:t> </w:t>
      </w:r>
      <w:r>
        <w:rPr>
          <w:spacing w:val="-2"/>
          <w:sz w:val="22"/>
        </w:rPr>
        <w:t>born in</w:t>
      </w:r>
      <w:r>
        <w:rPr>
          <w:spacing w:val="-3"/>
          <w:sz w:val="22"/>
        </w:rPr>
        <w:t> </w:t>
      </w:r>
      <w:r>
        <w:rPr>
          <w:spacing w:val="-2"/>
          <w:sz w:val="22"/>
        </w:rPr>
        <w:t>the</w:t>
      </w:r>
      <w:r>
        <w:rPr>
          <w:spacing w:val="2"/>
          <w:sz w:val="22"/>
        </w:rPr>
        <w:t> </w:t>
      </w:r>
      <w:r>
        <w:rPr>
          <w:spacing w:val="-2"/>
          <w:sz w:val="22"/>
        </w:rPr>
        <w:t>United</w:t>
      </w:r>
      <w:r>
        <w:rPr>
          <w:sz w:val="22"/>
        </w:rPr>
        <w:t> </w:t>
      </w:r>
      <w:r>
        <w:rPr>
          <w:spacing w:val="-2"/>
          <w:sz w:val="22"/>
        </w:rPr>
        <w:t>States with at</w:t>
      </w:r>
      <w:r>
        <w:rPr>
          <w:spacing w:val="-1"/>
          <w:sz w:val="22"/>
        </w:rPr>
        <w:t> </w:t>
      </w:r>
      <w:r>
        <w:rPr>
          <w:spacing w:val="-2"/>
          <w:sz w:val="22"/>
        </w:rPr>
        <w:t>least</w:t>
      </w:r>
      <w:r>
        <w:rPr>
          <w:sz w:val="22"/>
        </w:rPr>
        <w:t> </w:t>
      </w:r>
      <w:r>
        <w:rPr>
          <w:spacing w:val="-2"/>
          <w:sz w:val="22"/>
        </w:rPr>
        <w:t>one</w:t>
      </w:r>
      <w:r>
        <w:rPr>
          <w:spacing w:val="1"/>
          <w:sz w:val="22"/>
        </w:rPr>
        <w:t> </w:t>
      </w:r>
      <w:r>
        <w:rPr>
          <w:spacing w:val="-2"/>
          <w:sz w:val="22"/>
        </w:rPr>
        <w:t>first-generation</w:t>
      </w:r>
      <w:r>
        <w:rPr>
          <w:spacing w:val="-3"/>
          <w:sz w:val="22"/>
        </w:rPr>
        <w:t> </w:t>
      </w:r>
      <w:r>
        <w:rPr>
          <w:spacing w:val="-2"/>
          <w:sz w:val="22"/>
        </w:rPr>
        <w:t>parent</w:t>
      </w:r>
    </w:p>
    <w:p>
      <w:pPr>
        <w:pStyle w:val="BodyText"/>
        <w:spacing w:line="276" w:lineRule="auto" w:before="160"/>
        <w:ind w:left="339" w:right="200"/>
        <w:jc w:val="both"/>
      </w:pPr>
      <w:r>
        <w:rPr>
          <w:b/>
        </w:rPr>
        <w:t>Sexual orientation: </w:t>
      </w:r>
      <w:r>
        <w:rPr/>
        <w:t>refers to a person's emotional, sexual, spiritual, and/or relational attraction, or lack thereof, towards other people with respect to their gender. Some common sexual orientations include lesbian, gay, bisexual, heterosexual, queer, pansexual, and asexual. There are many other terms that</w:t>
      </w:r>
      <w:r>
        <w:rPr>
          <w:spacing w:val="40"/>
        </w:rPr>
        <w:t> </w:t>
      </w:r>
      <w:r>
        <w:rPr/>
        <w:t>people may use to identify their sexual orientation.</w:t>
      </w:r>
    </w:p>
    <w:p>
      <w:pPr>
        <w:pStyle w:val="BodyText"/>
        <w:spacing w:line="276" w:lineRule="auto" w:before="120"/>
        <w:ind w:left="345" w:right="201" w:hanging="6"/>
        <w:jc w:val="both"/>
      </w:pPr>
      <w:r>
        <w:rPr>
          <w:b/>
        </w:rPr>
        <w:t>Transgender: </w:t>
      </w:r>
      <w:r>
        <w:rPr/>
        <w:t>an umbrella term used to describe a person whose gender identity is different from that traditionally associated</w:t>
      </w:r>
      <w:r>
        <w:rPr>
          <w:spacing w:val="-1"/>
        </w:rPr>
        <w:t> </w:t>
      </w:r>
      <w:r>
        <w:rPr/>
        <w:t>with their assigned</w:t>
      </w:r>
      <w:r>
        <w:rPr>
          <w:spacing w:val="-1"/>
        </w:rPr>
        <w:t> </w:t>
      </w:r>
      <w:r>
        <w:rPr/>
        <w:t>sex</w:t>
      </w:r>
      <w:r>
        <w:rPr>
          <w:spacing w:val="-1"/>
        </w:rPr>
        <w:t> </w:t>
      </w:r>
      <w:r>
        <w:rPr/>
        <w:t>at birth. A transgender person may identify as heterosexual, lesbian, gay, bisexual, queer, questioning, pansexual, or something else.</w:t>
      </w:r>
    </w:p>
    <w:p>
      <w:pPr>
        <w:spacing w:before="120"/>
        <w:ind w:left="344" w:right="0" w:firstLine="0"/>
        <w:jc w:val="both"/>
        <w:rPr>
          <w:sz w:val="22"/>
        </w:rPr>
      </w:pPr>
      <w:r>
        <w:rPr>
          <w:b/>
          <w:spacing w:val="-4"/>
          <w:sz w:val="22"/>
        </w:rPr>
        <w:t>Transitioning:</w:t>
      </w:r>
      <w:r>
        <w:rPr>
          <w:b/>
          <w:spacing w:val="-10"/>
          <w:sz w:val="22"/>
        </w:rPr>
        <w:t> </w:t>
      </w:r>
      <w:r>
        <w:rPr>
          <w:spacing w:val="-4"/>
          <w:sz w:val="22"/>
        </w:rPr>
        <w:t>a</w:t>
      </w:r>
      <w:r>
        <w:rPr>
          <w:spacing w:val="-9"/>
          <w:sz w:val="22"/>
        </w:rPr>
        <w:t> </w:t>
      </w:r>
      <w:r>
        <w:rPr>
          <w:spacing w:val="-4"/>
          <w:sz w:val="22"/>
        </w:rPr>
        <w:t>process</w:t>
      </w:r>
      <w:r>
        <w:rPr>
          <w:spacing w:val="-8"/>
          <w:sz w:val="22"/>
        </w:rPr>
        <w:t> </w:t>
      </w:r>
      <w:r>
        <w:rPr>
          <w:spacing w:val="-4"/>
          <w:sz w:val="22"/>
        </w:rPr>
        <w:t>of changing</w:t>
      </w:r>
      <w:r>
        <w:rPr>
          <w:spacing w:val="-10"/>
          <w:sz w:val="22"/>
        </w:rPr>
        <w:t> </w:t>
      </w:r>
      <w:r>
        <w:rPr>
          <w:spacing w:val="-4"/>
          <w:sz w:val="22"/>
        </w:rPr>
        <w:t>one’s</w:t>
      </w:r>
      <w:r>
        <w:rPr>
          <w:spacing w:val="-8"/>
          <w:sz w:val="22"/>
        </w:rPr>
        <w:t> </w:t>
      </w:r>
      <w:r>
        <w:rPr>
          <w:spacing w:val="-4"/>
          <w:sz w:val="22"/>
        </w:rPr>
        <w:t>gender</w:t>
      </w:r>
      <w:r>
        <w:rPr>
          <w:spacing w:val="-8"/>
          <w:sz w:val="22"/>
        </w:rPr>
        <w:t> </w:t>
      </w:r>
      <w:r>
        <w:rPr>
          <w:spacing w:val="-4"/>
          <w:sz w:val="22"/>
        </w:rPr>
        <w:t>or</w:t>
      </w:r>
      <w:r>
        <w:rPr>
          <w:spacing w:val="-5"/>
          <w:sz w:val="22"/>
        </w:rPr>
        <w:t> </w:t>
      </w:r>
      <w:r>
        <w:rPr>
          <w:spacing w:val="-4"/>
          <w:sz w:val="22"/>
        </w:rPr>
        <w:t>sex</w:t>
      </w:r>
      <w:r>
        <w:rPr>
          <w:spacing w:val="-12"/>
          <w:sz w:val="22"/>
        </w:rPr>
        <w:t> </w:t>
      </w:r>
      <w:r>
        <w:rPr>
          <w:spacing w:val="-4"/>
          <w:sz w:val="22"/>
        </w:rPr>
        <w:t>to</w:t>
      </w:r>
      <w:r>
        <w:rPr>
          <w:spacing w:val="-5"/>
          <w:sz w:val="22"/>
        </w:rPr>
        <w:t> </w:t>
      </w:r>
      <w:r>
        <w:rPr>
          <w:spacing w:val="-4"/>
          <w:sz w:val="22"/>
        </w:rPr>
        <w:t>another one.</w:t>
      </w:r>
    </w:p>
    <w:p>
      <w:pPr>
        <w:pStyle w:val="BodyText"/>
        <w:spacing w:line="276" w:lineRule="auto" w:before="160"/>
        <w:ind w:left="344" w:right="201"/>
        <w:jc w:val="both"/>
      </w:pPr>
      <w:r>
        <w:rPr>
          <w:b/>
        </w:rPr>
        <w:t>Social transitioning </w:t>
      </w:r>
      <w:r>
        <w:rPr/>
        <w:t>refers to the process of disclosing oneself as transgender to friends, family, co-</w:t>
      </w:r>
      <w:r>
        <w:rPr>
          <w:spacing w:val="40"/>
        </w:rPr>
        <w:t> </w:t>
      </w:r>
      <w:r>
        <w:rPr/>
        <w:t>workers,</w:t>
      </w:r>
      <w:r>
        <w:rPr>
          <w:spacing w:val="17"/>
        </w:rPr>
        <w:t> </w:t>
      </w:r>
      <w:r>
        <w:rPr/>
        <w:t>and/or</w:t>
      </w:r>
      <w:r>
        <w:rPr>
          <w:spacing w:val="17"/>
        </w:rPr>
        <w:t> </w:t>
      </w:r>
      <w:r>
        <w:rPr/>
        <w:t>classmates.</w:t>
      </w:r>
      <w:r>
        <w:rPr>
          <w:spacing w:val="16"/>
        </w:rPr>
        <w:t> </w:t>
      </w:r>
      <w:r>
        <w:rPr/>
        <w:t>This</w:t>
      </w:r>
      <w:r>
        <w:rPr>
          <w:spacing w:val="17"/>
        </w:rPr>
        <w:t> </w:t>
      </w:r>
      <w:r>
        <w:rPr/>
        <w:t>often</w:t>
      </w:r>
      <w:r>
        <w:rPr>
          <w:spacing w:val="16"/>
        </w:rPr>
        <w:t> </w:t>
      </w:r>
      <w:r>
        <w:rPr/>
        <w:t>includes</w:t>
      </w:r>
      <w:r>
        <w:rPr>
          <w:spacing w:val="17"/>
        </w:rPr>
        <w:t> </w:t>
      </w:r>
      <w:r>
        <w:rPr/>
        <w:t>asking</w:t>
      </w:r>
      <w:r>
        <w:rPr>
          <w:spacing w:val="17"/>
        </w:rPr>
        <w:t> </w:t>
      </w:r>
      <w:r>
        <w:rPr/>
        <w:t>that</w:t>
      </w:r>
      <w:r>
        <w:rPr>
          <w:spacing w:val="16"/>
        </w:rPr>
        <w:t> </w:t>
      </w:r>
      <w:r>
        <w:rPr/>
        <w:t>others</w:t>
      </w:r>
      <w:r>
        <w:rPr>
          <w:spacing w:val="17"/>
        </w:rPr>
        <w:t> </w:t>
      </w:r>
      <w:r>
        <w:rPr/>
        <w:t>use</w:t>
      </w:r>
      <w:r>
        <w:rPr>
          <w:spacing w:val="16"/>
        </w:rPr>
        <w:t> </w:t>
      </w:r>
      <w:r>
        <w:rPr/>
        <w:t>a</w:t>
      </w:r>
      <w:r>
        <w:rPr>
          <w:spacing w:val="17"/>
        </w:rPr>
        <w:t> </w:t>
      </w:r>
      <w:r>
        <w:rPr/>
        <w:t>name,</w:t>
      </w:r>
      <w:r>
        <w:rPr>
          <w:spacing w:val="17"/>
        </w:rPr>
        <w:t> </w:t>
      </w:r>
      <w:r>
        <w:rPr/>
        <w:t>pronouns,</w:t>
      </w:r>
      <w:r>
        <w:rPr>
          <w:spacing w:val="17"/>
        </w:rPr>
        <w:t> </w:t>
      </w:r>
      <w:r>
        <w:rPr/>
        <w:t>or</w:t>
      </w:r>
      <w:r>
        <w:rPr>
          <w:spacing w:val="17"/>
        </w:rPr>
        <w:t> </w:t>
      </w:r>
      <w:r>
        <w:rPr/>
        <w:t>gender</w:t>
      </w:r>
      <w:r>
        <w:rPr>
          <w:spacing w:val="18"/>
        </w:rPr>
        <w:t> </w:t>
      </w:r>
      <w:r>
        <w:rPr/>
        <w:t>that</w:t>
      </w:r>
    </w:p>
    <w:p>
      <w:pPr>
        <w:spacing w:after="0" w:line="276" w:lineRule="auto"/>
        <w:jc w:val="both"/>
        <w:sectPr>
          <w:pgSz w:w="12240" w:h="15840"/>
          <w:pgMar w:header="870" w:footer="1202" w:top="1060" w:bottom="1400" w:left="960" w:right="1100"/>
        </w:sectPr>
      </w:pPr>
    </w:p>
    <w:p>
      <w:pPr>
        <w:pStyle w:val="BodyText"/>
        <w:spacing w:line="276" w:lineRule="auto" w:before="181"/>
        <w:ind w:left="343" w:right="203" w:firstLine="1"/>
        <w:jc w:val="both"/>
      </w:pPr>
      <w:r>
        <w:rPr/>
        <w:t>reflects that person's gender identity. Additionally, this person may begin to use facilities such as bathrooms, locker rooms, or dormitories associated with their gender identity.</w:t>
      </w:r>
    </w:p>
    <w:p>
      <w:pPr>
        <w:pStyle w:val="BodyText"/>
        <w:spacing w:line="276" w:lineRule="auto" w:before="120"/>
        <w:ind w:left="343" w:right="201" w:hanging="2"/>
        <w:jc w:val="both"/>
      </w:pPr>
      <w:r>
        <w:rPr>
          <w:b/>
        </w:rPr>
        <w:t>Medical transition </w:t>
      </w:r>
      <w:r>
        <w:rPr/>
        <w:t>refers to a process that utilizes hormonal treatments and/or affirming surgical interventions in affirmation of a person's gender identity. Such procedures are referred to as “</w:t>
      </w:r>
      <w:r>
        <w:rPr>
          <w:b/>
        </w:rPr>
        <w:t>gender affirming</w:t>
      </w:r>
      <w:r>
        <w:rPr/>
        <w:t>”. Not all transgender people desire to transition medically, due to various medical, social, financial, and/or safety reasons.</w:t>
      </w:r>
    </w:p>
    <w:p>
      <w:pPr>
        <w:pStyle w:val="BodyText"/>
        <w:spacing w:line="276" w:lineRule="auto" w:before="119"/>
        <w:ind w:left="343" w:right="200" w:hanging="1"/>
        <w:jc w:val="both"/>
      </w:pPr>
      <w:r>
        <w:rPr>
          <w:b/>
        </w:rPr>
        <w:t>Transgender man/FTM/Female-to-male:</w:t>
      </w:r>
      <w:r>
        <w:rPr>
          <w:b/>
          <w:spacing w:val="-1"/>
        </w:rPr>
        <w:t> </w:t>
      </w:r>
      <w:r>
        <w:rPr/>
        <w:t>a</w:t>
      </w:r>
      <w:r>
        <w:rPr>
          <w:spacing w:val="-4"/>
        </w:rPr>
        <w:t> </w:t>
      </w:r>
      <w:r>
        <w:rPr/>
        <w:t>person</w:t>
      </w:r>
      <w:r>
        <w:rPr>
          <w:spacing w:val="-5"/>
        </w:rPr>
        <w:t> </w:t>
      </w:r>
      <w:r>
        <w:rPr/>
        <w:t>who</w:t>
      </w:r>
      <w:r>
        <w:rPr>
          <w:spacing w:val="-2"/>
        </w:rPr>
        <w:t> </w:t>
      </w:r>
      <w:r>
        <w:rPr/>
        <w:t>identifies</w:t>
      </w:r>
      <w:r>
        <w:rPr>
          <w:spacing w:val="-3"/>
        </w:rPr>
        <w:t> </w:t>
      </w:r>
      <w:r>
        <w:rPr/>
        <w:t>as</w:t>
      </w:r>
      <w:r>
        <w:rPr>
          <w:spacing w:val="-6"/>
        </w:rPr>
        <w:t> </w:t>
      </w:r>
      <w:r>
        <w:rPr/>
        <w:t>male,</w:t>
      </w:r>
      <w:r>
        <w:rPr>
          <w:spacing w:val="-4"/>
        </w:rPr>
        <w:t> </w:t>
      </w:r>
      <w:r>
        <w:rPr/>
        <w:t>but</w:t>
      </w:r>
      <w:r>
        <w:rPr>
          <w:spacing w:val="-4"/>
        </w:rPr>
        <w:t> </w:t>
      </w:r>
      <w:r>
        <w:rPr/>
        <w:t>was</w:t>
      </w:r>
      <w:r>
        <w:rPr>
          <w:spacing w:val="-4"/>
        </w:rPr>
        <w:t> </w:t>
      </w:r>
      <w:r>
        <w:rPr/>
        <w:t>assigned</w:t>
      </w:r>
      <w:r>
        <w:rPr>
          <w:spacing w:val="-4"/>
        </w:rPr>
        <w:t> </w:t>
      </w:r>
      <w:r>
        <w:rPr/>
        <w:t>female</w:t>
      </w:r>
      <w:r>
        <w:rPr>
          <w:spacing w:val="-4"/>
        </w:rPr>
        <w:t> </w:t>
      </w:r>
      <w:r>
        <w:rPr/>
        <w:t>at</w:t>
      </w:r>
      <w:r>
        <w:rPr>
          <w:spacing w:val="-1"/>
        </w:rPr>
        <w:t> </w:t>
      </w:r>
      <w:r>
        <w:rPr/>
        <w:t>birth. Note that the terms FTM and female-to-male are often used in literature and sometimes used as a self- identification, but should be generally avoided as they can be interpreted as not respecting the validity of someone’s gender identity. A “transgender man,” or simply “man,” is the appropriate way to refer to such an individual</w:t>
      </w:r>
    </w:p>
    <w:p>
      <w:pPr>
        <w:pStyle w:val="BodyText"/>
        <w:spacing w:line="276" w:lineRule="auto" w:before="120"/>
        <w:ind w:left="343" w:right="202" w:hanging="1"/>
        <w:jc w:val="both"/>
      </w:pPr>
      <w:r>
        <w:rPr>
          <w:b/>
        </w:rPr>
        <w:t>Transgender woman/MTF/Male-to-female: </w:t>
      </w:r>
      <w:r>
        <w:rPr/>
        <w:t>a person who identifies as female, but was assigned male at birth.</w:t>
      </w:r>
      <w:r>
        <w:rPr>
          <w:spacing w:val="-1"/>
        </w:rPr>
        <w:t> </w:t>
      </w:r>
      <w:r>
        <w:rPr/>
        <w:t>Note</w:t>
      </w:r>
      <w:r>
        <w:rPr>
          <w:spacing w:val="-1"/>
        </w:rPr>
        <w:t> </w:t>
      </w:r>
      <w:r>
        <w:rPr/>
        <w:t>that</w:t>
      </w:r>
      <w:r>
        <w:rPr>
          <w:spacing w:val="-2"/>
        </w:rPr>
        <w:t> </w:t>
      </w:r>
      <w:r>
        <w:rPr/>
        <w:t>the terms MTF</w:t>
      </w:r>
      <w:r>
        <w:rPr>
          <w:spacing w:val="-2"/>
        </w:rPr>
        <w:t> </w:t>
      </w:r>
      <w:r>
        <w:rPr/>
        <w:t>and</w:t>
      </w:r>
      <w:r>
        <w:rPr>
          <w:spacing w:val="-2"/>
        </w:rPr>
        <w:t> </w:t>
      </w:r>
      <w:r>
        <w:rPr/>
        <w:t>male-to-female</w:t>
      </w:r>
      <w:r>
        <w:rPr>
          <w:spacing w:val="-1"/>
        </w:rPr>
        <w:t> </w:t>
      </w:r>
      <w:r>
        <w:rPr/>
        <w:t>are</w:t>
      </w:r>
      <w:r>
        <w:rPr>
          <w:spacing w:val="-2"/>
        </w:rPr>
        <w:t> </w:t>
      </w:r>
      <w:r>
        <w:rPr/>
        <w:t>often</w:t>
      </w:r>
      <w:r>
        <w:rPr>
          <w:spacing w:val="-1"/>
        </w:rPr>
        <w:t> </w:t>
      </w:r>
      <w:r>
        <w:rPr/>
        <w:t>used in</w:t>
      </w:r>
      <w:r>
        <w:rPr>
          <w:spacing w:val="-2"/>
        </w:rPr>
        <w:t> </w:t>
      </w:r>
      <w:r>
        <w:rPr/>
        <w:t>literature</w:t>
      </w:r>
      <w:r>
        <w:rPr>
          <w:spacing w:val="-2"/>
        </w:rPr>
        <w:t> </w:t>
      </w:r>
      <w:r>
        <w:rPr/>
        <w:t>and</w:t>
      </w:r>
      <w:r>
        <w:rPr>
          <w:spacing w:val="-1"/>
        </w:rPr>
        <w:t> </w:t>
      </w:r>
      <w:r>
        <w:rPr/>
        <w:t>sometimes</w:t>
      </w:r>
      <w:r>
        <w:rPr>
          <w:spacing w:val="-1"/>
        </w:rPr>
        <w:t> </w:t>
      </w:r>
      <w:r>
        <w:rPr/>
        <w:t>used as self- identification, but should be generally avoided as they can be interpreted as not respecting the validity of someone’s gender identity.</w:t>
      </w:r>
      <w:r>
        <w:rPr>
          <w:spacing w:val="-1"/>
        </w:rPr>
        <w:t> </w:t>
      </w:r>
      <w:r>
        <w:rPr/>
        <w:t>A</w:t>
      </w:r>
      <w:r>
        <w:rPr>
          <w:spacing w:val="-1"/>
        </w:rPr>
        <w:t> </w:t>
      </w:r>
      <w:r>
        <w:rPr/>
        <w:t>“transgender</w:t>
      </w:r>
      <w:r>
        <w:rPr>
          <w:spacing w:val="-1"/>
        </w:rPr>
        <w:t> </w:t>
      </w:r>
      <w:r>
        <w:rPr/>
        <w:t>woman,” or simply</w:t>
      </w:r>
      <w:r>
        <w:rPr>
          <w:spacing w:val="-1"/>
        </w:rPr>
        <w:t> </w:t>
      </w:r>
      <w:r>
        <w:rPr/>
        <w:t>“woman,” is the appropriate way to refer to such an individual.</w:t>
      </w:r>
    </w:p>
    <w:p>
      <w:pPr>
        <w:pStyle w:val="BodyText"/>
        <w:spacing w:line="276" w:lineRule="auto" w:before="120"/>
        <w:ind w:left="343" w:right="202" w:hanging="5"/>
        <w:jc w:val="both"/>
      </w:pPr>
      <w:r>
        <w:rPr>
          <w:b/>
        </w:rPr>
        <w:t>Transphobia: </w:t>
      </w:r>
      <w:r>
        <w:rPr/>
        <w:t>fear, hatred, or discriminatory response to a person who is or is perceived to be transgender or gender-nonconforming.</w:t>
      </w:r>
    </w:p>
    <w:p>
      <w:pPr>
        <w:pStyle w:val="BodyText"/>
        <w:spacing w:line="276" w:lineRule="auto" w:before="120"/>
        <w:ind w:left="343" w:right="202" w:hanging="6"/>
        <w:jc w:val="both"/>
      </w:pPr>
      <w:r>
        <w:rPr>
          <w:b/>
        </w:rPr>
        <w:t>Transsexual</w:t>
      </w:r>
      <w:r>
        <w:rPr/>
        <w:t>: a term describing someone who undergoes the process of changing their birth- assigned sex, usually through a medical transition. Today, many consider the term outdated and offensive, preferring to use “transgender” as a more inclusive and affirming term.</w:t>
      </w:r>
    </w:p>
    <w:p>
      <w:pPr>
        <w:pStyle w:val="BodyText"/>
        <w:spacing w:line="276" w:lineRule="auto" w:before="120"/>
        <w:ind w:left="343" w:right="203" w:hanging="5"/>
        <w:jc w:val="both"/>
      </w:pPr>
      <w:r>
        <w:rPr>
          <w:b/>
        </w:rPr>
        <w:t>Transvestite</w:t>
      </w:r>
      <w:r>
        <w:rPr/>
        <w:t>: outdated term to describe someone who wears the clothes of the “opposite” sex. Cross- dresser is currently the preferred term.</w:t>
      </w:r>
    </w:p>
    <w:p>
      <w:pPr>
        <w:spacing w:after="0" w:line="276" w:lineRule="auto"/>
        <w:jc w:val="both"/>
        <w:sectPr>
          <w:pgSz w:w="12240" w:h="15840"/>
          <w:pgMar w:header="870" w:footer="1202" w:top="1060" w:bottom="1400" w:left="960" w:right="1100"/>
        </w:sectPr>
      </w:pPr>
    </w:p>
    <w:p>
      <w:pPr>
        <w:pStyle w:val="BodyText"/>
        <w:spacing w:before="40"/>
        <w:ind w:left="624"/>
      </w:pPr>
      <w:bookmarkStart w:name="2024-2025 Memberes.pdf" w:id="971"/>
      <w:bookmarkEnd w:id="971"/>
      <w:r>
        <w:rPr/>
      </w:r>
      <w:bookmarkStart w:name="_bookmark664" w:id="972"/>
      <w:bookmarkEnd w:id="972"/>
      <w:r>
        <w:rPr/>
      </w:r>
      <w:r>
        <w:rPr/>
        <w:t>FY</w:t>
      </w:r>
      <w:r>
        <w:rPr>
          <w:spacing w:val="-8"/>
        </w:rPr>
        <w:t> </w:t>
      </w:r>
      <w:r>
        <w:rPr/>
        <w:t>2025</w:t>
      </w:r>
      <w:r>
        <w:rPr>
          <w:spacing w:val="-7"/>
        </w:rPr>
        <w:t> </w:t>
      </w:r>
      <w:r>
        <w:rPr/>
        <w:t>–</w:t>
      </w:r>
      <w:r>
        <w:rPr>
          <w:spacing w:val="-6"/>
        </w:rPr>
        <w:t> </w:t>
      </w:r>
      <w:r>
        <w:rPr/>
        <w:t>COMMISSION</w:t>
      </w:r>
      <w:r>
        <w:rPr>
          <w:spacing w:val="-8"/>
        </w:rPr>
        <w:t> </w:t>
      </w:r>
      <w:r>
        <w:rPr>
          <w:spacing w:val="-2"/>
        </w:rPr>
        <w:t>MEMBERS</w:t>
      </w:r>
    </w:p>
    <w:p>
      <w:pPr>
        <w:pStyle w:val="BodyText"/>
        <w:spacing w:before="147"/>
        <w:rPr>
          <w:sz w:val="20"/>
        </w:rPr>
      </w:pPr>
    </w:p>
    <w:p>
      <w:pPr>
        <w:spacing w:after="0"/>
        <w:rPr>
          <w:sz w:val="20"/>
        </w:rPr>
        <w:sectPr>
          <w:headerReference w:type="default" r:id="rId795"/>
          <w:footerReference w:type="default" r:id="rId796"/>
          <w:pgSz w:w="12240" w:h="15840"/>
          <w:pgMar w:header="0" w:footer="1012" w:top="680" w:bottom="1200" w:left="960" w:right="1100"/>
        </w:sectPr>
      </w:pPr>
    </w:p>
    <w:p>
      <w:pPr>
        <w:spacing w:before="60"/>
        <w:ind w:left="624" w:right="0" w:firstLine="0"/>
        <w:jc w:val="left"/>
        <w:rPr>
          <w:b/>
          <w:sz w:val="20"/>
        </w:rPr>
      </w:pPr>
      <w:r>
        <w:rPr>
          <w:b/>
          <w:sz w:val="20"/>
        </w:rPr>
        <w:t>ELECTED</w:t>
      </w:r>
      <w:r>
        <w:rPr>
          <w:b/>
          <w:spacing w:val="-5"/>
          <w:sz w:val="20"/>
        </w:rPr>
        <w:t> </w:t>
      </w:r>
      <w:r>
        <w:rPr>
          <w:b/>
          <w:spacing w:val="-2"/>
          <w:sz w:val="20"/>
        </w:rPr>
        <w:t>MEMBERS</w:t>
      </w:r>
    </w:p>
    <w:p>
      <w:pPr>
        <w:pStyle w:val="BodyText"/>
        <w:spacing w:before="39"/>
        <w:rPr>
          <w:b/>
          <w:sz w:val="20"/>
        </w:rPr>
      </w:pPr>
    </w:p>
    <w:p>
      <w:pPr>
        <w:spacing w:line="259" w:lineRule="auto" w:before="0"/>
        <w:ind w:left="623" w:right="1652" w:firstLine="0"/>
        <w:jc w:val="left"/>
        <w:rPr>
          <w:sz w:val="20"/>
        </w:rPr>
      </w:pPr>
      <w:r>
        <w:rPr>
          <w:sz w:val="20"/>
        </w:rPr>
        <w:t>Alyssa</w:t>
      </w:r>
      <w:r>
        <w:rPr>
          <w:spacing w:val="-12"/>
          <w:sz w:val="20"/>
        </w:rPr>
        <w:t> </w:t>
      </w:r>
      <w:r>
        <w:rPr>
          <w:sz w:val="20"/>
        </w:rPr>
        <w:t>Rayman-Read Amy Zhou</w:t>
      </w:r>
    </w:p>
    <w:p>
      <w:pPr>
        <w:spacing w:line="259" w:lineRule="auto" w:before="0"/>
        <w:ind w:left="623" w:right="1652" w:firstLine="0"/>
        <w:jc w:val="left"/>
        <w:rPr>
          <w:sz w:val="20"/>
        </w:rPr>
      </w:pPr>
      <w:r>
        <w:rPr>
          <w:sz w:val="20"/>
        </w:rPr>
        <w:t>Bethany</w:t>
      </w:r>
      <w:r>
        <w:rPr>
          <w:spacing w:val="-12"/>
          <w:sz w:val="20"/>
        </w:rPr>
        <w:t> </w:t>
      </w:r>
      <w:r>
        <w:rPr>
          <w:sz w:val="20"/>
        </w:rPr>
        <w:t>M.</w:t>
      </w:r>
      <w:r>
        <w:rPr>
          <w:spacing w:val="-11"/>
          <w:sz w:val="20"/>
        </w:rPr>
        <w:t> </w:t>
      </w:r>
      <w:r>
        <w:rPr>
          <w:sz w:val="20"/>
        </w:rPr>
        <w:t>Allen Chris Martinez Courtney Chelo</w:t>
      </w:r>
    </w:p>
    <w:p>
      <w:pPr>
        <w:spacing w:line="259" w:lineRule="auto" w:before="0"/>
        <w:ind w:left="623" w:right="193" w:firstLine="0"/>
        <w:jc w:val="left"/>
        <w:rPr>
          <w:sz w:val="20"/>
        </w:rPr>
      </w:pPr>
      <w:r>
        <w:rPr>
          <w:sz w:val="20"/>
        </w:rPr>
        <w:t>Craig C. Aarons-Martin (Co-Chair) Lezlie</w:t>
      </w:r>
      <w:r>
        <w:rPr>
          <w:spacing w:val="-12"/>
          <w:sz w:val="20"/>
        </w:rPr>
        <w:t> </w:t>
      </w:r>
      <w:r>
        <w:rPr>
          <w:sz w:val="20"/>
        </w:rPr>
        <w:t>Braxton</w:t>
      </w:r>
      <w:r>
        <w:rPr>
          <w:spacing w:val="-11"/>
          <w:sz w:val="20"/>
        </w:rPr>
        <w:t> </w:t>
      </w:r>
      <w:r>
        <w:rPr>
          <w:sz w:val="20"/>
        </w:rPr>
        <w:t>Campbell</w:t>
      </w:r>
      <w:r>
        <w:rPr>
          <w:spacing w:val="-11"/>
          <w:sz w:val="20"/>
        </w:rPr>
        <w:t> </w:t>
      </w:r>
      <w:r>
        <w:rPr>
          <w:sz w:val="20"/>
        </w:rPr>
        <w:t>(Vice-Chair) Emily Ann Talley</w:t>
      </w:r>
    </w:p>
    <w:p>
      <w:pPr>
        <w:spacing w:line="259" w:lineRule="auto" w:before="0"/>
        <w:ind w:left="623" w:right="2022" w:firstLine="0"/>
        <w:jc w:val="left"/>
        <w:rPr>
          <w:sz w:val="20"/>
        </w:rPr>
      </w:pPr>
      <w:r>
        <w:rPr>
          <w:sz w:val="20"/>
        </w:rPr>
        <w:t>Eunice</w:t>
      </w:r>
      <w:r>
        <w:rPr>
          <w:spacing w:val="-12"/>
          <w:sz w:val="20"/>
        </w:rPr>
        <w:t> </w:t>
      </w:r>
      <w:r>
        <w:rPr>
          <w:sz w:val="20"/>
        </w:rPr>
        <w:t>Innocent Frankie Walsh Grace Qian Kairo Serna</w:t>
      </w:r>
    </w:p>
    <w:p>
      <w:pPr>
        <w:spacing w:line="259" w:lineRule="auto" w:before="0"/>
        <w:ind w:left="623" w:right="1652" w:firstLine="0"/>
        <w:jc w:val="left"/>
        <w:rPr>
          <w:sz w:val="20"/>
        </w:rPr>
      </w:pPr>
      <w:r>
        <w:rPr>
          <w:sz w:val="20"/>
        </w:rPr>
        <w:t>Kamryn Fontaine Lauren</w:t>
      </w:r>
      <w:r>
        <w:rPr>
          <w:spacing w:val="-12"/>
          <w:sz w:val="20"/>
        </w:rPr>
        <w:t> </w:t>
      </w:r>
      <w:r>
        <w:rPr>
          <w:sz w:val="20"/>
        </w:rPr>
        <w:t>Doty</w:t>
      </w:r>
      <w:r>
        <w:rPr>
          <w:spacing w:val="-11"/>
          <w:sz w:val="20"/>
        </w:rPr>
        <w:t> </w:t>
      </w:r>
      <w:r>
        <w:rPr>
          <w:sz w:val="20"/>
        </w:rPr>
        <w:t>Brown Maggie Mercado Mason Dunn</w:t>
      </w:r>
    </w:p>
    <w:p>
      <w:pPr>
        <w:spacing w:line="259" w:lineRule="auto" w:before="0"/>
        <w:ind w:left="623" w:right="1031" w:firstLine="0"/>
        <w:jc w:val="left"/>
        <w:rPr>
          <w:sz w:val="20"/>
        </w:rPr>
      </w:pPr>
      <w:r>
        <w:rPr>
          <w:sz w:val="20"/>
        </w:rPr>
        <w:t>Monica</w:t>
      </w:r>
      <w:r>
        <w:rPr>
          <w:spacing w:val="-12"/>
          <w:sz w:val="20"/>
        </w:rPr>
        <w:t> </w:t>
      </w:r>
      <w:r>
        <w:rPr>
          <w:sz w:val="20"/>
        </w:rPr>
        <w:t>Johnson</w:t>
      </w:r>
      <w:r>
        <w:rPr>
          <w:spacing w:val="-11"/>
          <w:sz w:val="20"/>
        </w:rPr>
        <w:t> </w:t>
      </w:r>
      <w:r>
        <w:rPr>
          <w:sz w:val="20"/>
        </w:rPr>
        <w:t>(Vice</w:t>
      </w:r>
      <w:r>
        <w:rPr>
          <w:spacing w:val="-11"/>
          <w:sz w:val="20"/>
        </w:rPr>
        <w:t> </w:t>
      </w:r>
      <w:r>
        <w:rPr>
          <w:sz w:val="20"/>
        </w:rPr>
        <w:t>Chair) Noemi Uribe (Co-Chair)</w:t>
      </w:r>
    </w:p>
    <w:p>
      <w:pPr>
        <w:spacing w:line="259" w:lineRule="auto" w:before="0"/>
        <w:ind w:left="623" w:right="2518" w:firstLine="0"/>
        <w:jc w:val="left"/>
        <w:rPr>
          <w:sz w:val="20"/>
        </w:rPr>
      </w:pPr>
      <w:r>
        <w:rPr>
          <w:sz w:val="20"/>
        </w:rPr>
        <w:t>Olly Kelly Ray</w:t>
      </w:r>
      <w:r>
        <w:rPr>
          <w:spacing w:val="-12"/>
          <w:sz w:val="20"/>
        </w:rPr>
        <w:t> </w:t>
      </w:r>
      <w:r>
        <w:rPr>
          <w:sz w:val="20"/>
        </w:rPr>
        <w:t>Winig</w:t>
      </w:r>
    </w:p>
    <w:p>
      <w:pPr>
        <w:spacing w:line="259" w:lineRule="auto" w:before="0"/>
        <w:ind w:left="623" w:right="2463" w:firstLine="0"/>
        <w:jc w:val="left"/>
        <w:rPr>
          <w:sz w:val="20"/>
        </w:rPr>
      </w:pPr>
      <w:r>
        <w:rPr>
          <w:sz w:val="20"/>
        </w:rPr>
        <w:t>S.</w:t>
      </w:r>
      <w:r>
        <w:rPr>
          <w:spacing w:val="-12"/>
          <w:sz w:val="20"/>
        </w:rPr>
        <w:t> </w:t>
      </w:r>
      <w:r>
        <w:rPr>
          <w:sz w:val="20"/>
        </w:rPr>
        <w:t>Salhotr</w:t>
      </w:r>
      <w:r>
        <w:rPr>
          <w:sz w:val="20"/>
        </w:rPr>
        <w:t>a Stacey</w:t>
      </w:r>
      <w:r>
        <w:rPr>
          <w:spacing w:val="-2"/>
          <w:sz w:val="20"/>
        </w:rPr>
        <w:t> </w:t>
      </w:r>
      <w:r>
        <w:rPr>
          <w:spacing w:val="-5"/>
          <w:sz w:val="20"/>
        </w:rPr>
        <w:t>Lee</w:t>
      </w:r>
    </w:p>
    <w:p>
      <w:pPr>
        <w:spacing w:line="243" w:lineRule="exact" w:before="0"/>
        <w:ind w:left="623" w:right="0" w:firstLine="0"/>
        <w:jc w:val="left"/>
        <w:rPr>
          <w:sz w:val="20"/>
        </w:rPr>
      </w:pPr>
      <w:r>
        <w:rPr>
          <w:sz w:val="20"/>
        </w:rPr>
        <w:t>Tawreak</w:t>
      </w:r>
      <w:r>
        <w:rPr>
          <w:spacing w:val="-10"/>
          <w:sz w:val="20"/>
        </w:rPr>
        <w:t> </w:t>
      </w:r>
      <w:r>
        <w:rPr>
          <w:sz w:val="20"/>
        </w:rPr>
        <w:t>Gamble-</w:t>
      </w:r>
      <w:r>
        <w:rPr>
          <w:spacing w:val="-2"/>
          <w:sz w:val="20"/>
        </w:rPr>
        <w:t>Eddington</w:t>
      </w:r>
    </w:p>
    <w:p>
      <w:pPr>
        <w:pStyle w:val="BodyText"/>
        <w:spacing w:before="32"/>
        <w:rPr>
          <w:sz w:val="20"/>
        </w:rPr>
      </w:pPr>
    </w:p>
    <w:p>
      <w:pPr>
        <w:spacing w:before="0"/>
        <w:ind w:left="623" w:right="0" w:firstLine="0"/>
        <w:jc w:val="left"/>
        <w:rPr>
          <w:b/>
          <w:sz w:val="20"/>
        </w:rPr>
      </w:pPr>
      <w:r>
        <w:rPr>
          <w:b/>
          <w:sz w:val="20"/>
        </w:rPr>
        <w:t>APPOINTED</w:t>
      </w:r>
      <w:r>
        <w:rPr>
          <w:b/>
          <w:spacing w:val="-4"/>
          <w:sz w:val="20"/>
        </w:rPr>
        <w:t> </w:t>
      </w:r>
      <w:r>
        <w:rPr>
          <w:b/>
          <w:spacing w:val="-2"/>
          <w:sz w:val="20"/>
        </w:rPr>
        <w:t>MEMBERS</w:t>
      </w:r>
    </w:p>
    <w:p>
      <w:pPr>
        <w:spacing w:line="261" w:lineRule="auto" w:before="180"/>
        <w:ind w:left="624" w:right="0" w:hanging="1"/>
        <w:jc w:val="left"/>
        <w:rPr>
          <w:sz w:val="20"/>
        </w:rPr>
      </w:pPr>
      <w:r>
        <w:rPr>
          <w:sz w:val="20"/>
          <w:u w:val="single"/>
        </w:rPr>
        <w:t>National</w:t>
      </w:r>
      <w:r>
        <w:rPr>
          <w:spacing w:val="-10"/>
          <w:sz w:val="20"/>
          <w:u w:val="single"/>
        </w:rPr>
        <w:t> </w:t>
      </w:r>
      <w:r>
        <w:rPr>
          <w:sz w:val="20"/>
          <w:u w:val="single"/>
        </w:rPr>
        <w:t>Association</w:t>
      </w:r>
      <w:r>
        <w:rPr>
          <w:spacing w:val="-9"/>
          <w:sz w:val="20"/>
          <w:u w:val="single"/>
        </w:rPr>
        <w:t> </w:t>
      </w:r>
      <w:r>
        <w:rPr>
          <w:sz w:val="20"/>
          <w:u w:val="single"/>
        </w:rPr>
        <w:t>of</w:t>
      </w:r>
      <w:r>
        <w:rPr>
          <w:spacing w:val="-10"/>
          <w:sz w:val="20"/>
          <w:u w:val="single"/>
        </w:rPr>
        <w:t> </w:t>
      </w:r>
      <w:r>
        <w:rPr>
          <w:sz w:val="20"/>
          <w:u w:val="single"/>
        </w:rPr>
        <w:t>Social</w:t>
      </w:r>
      <w:r>
        <w:rPr>
          <w:spacing w:val="-10"/>
          <w:sz w:val="20"/>
          <w:u w:val="single"/>
        </w:rPr>
        <w:t> </w:t>
      </w:r>
      <w:r>
        <w:rPr>
          <w:sz w:val="20"/>
          <w:u w:val="single"/>
        </w:rPr>
        <w:t>Workers,</w:t>
      </w:r>
      <w:r>
        <w:rPr>
          <w:sz w:val="20"/>
          <w:u w:val="none"/>
        </w:rPr>
        <w:t> </w:t>
      </w:r>
      <w:r>
        <w:rPr>
          <w:sz w:val="20"/>
          <w:u w:val="single"/>
        </w:rPr>
        <w:t>Massachusetts Chapter</w:t>
      </w:r>
    </w:p>
    <w:p>
      <w:pPr>
        <w:spacing w:line="259" w:lineRule="auto" w:before="0"/>
        <w:ind w:left="624" w:right="1868" w:firstLine="0"/>
        <w:jc w:val="left"/>
        <w:rPr>
          <w:sz w:val="20"/>
        </w:rPr>
      </w:pPr>
      <w:r>
        <w:rPr>
          <w:sz w:val="20"/>
        </w:rPr>
        <w:t>Ashley</w:t>
      </w:r>
      <w:r>
        <w:rPr>
          <w:spacing w:val="-12"/>
          <w:sz w:val="20"/>
        </w:rPr>
        <w:t> </w:t>
      </w:r>
      <w:r>
        <w:rPr>
          <w:sz w:val="20"/>
        </w:rPr>
        <w:t>Waterberg Gary Bailey</w:t>
      </w:r>
    </w:p>
    <w:p>
      <w:pPr>
        <w:spacing w:before="0"/>
        <w:ind w:left="624" w:right="0" w:firstLine="0"/>
        <w:jc w:val="left"/>
        <w:rPr>
          <w:sz w:val="20"/>
        </w:rPr>
      </w:pPr>
      <w:r>
        <w:rPr>
          <w:sz w:val="20"/>
        </w:rPr>
        <w:t>Ricky</w:t>
      </w:r>
      <w:r>
        <w:rPr>
          <w:spacing w:val="-3"/>
          <w:sz w:val="20"/>
        </w:rPr>
        <w:t> </w:t>
      </w:r>
      <w:r>
        <w:rPr>
          <w:spacing w:val="-2"/>
          <w:sz w:val="20"/>
        </w:rPr>
        <w:t>Saucedo</w:t>
      </w:r>
    </w:p>
    <w:p>
      <w:pPr>
        <w:pStyle w:val="BodyText"/>
        <w:spacing w:before="35"/>
        <w:rPr>
          <w:sz w:val="20"/>
        </w:rPr>
      </w:pPr>
    </w:p>
    <w:p>
      <w:pPr>
        <w:spacing w:line="259" w:lineRule="auto" w:before="0"/>
        <w:ind w:left="624" w:right="1031" w:firstLine="0"/>
        <w:jc w:val="left"/>
        <w:rPr>
          <w:sz w:val="20"/>
        </w:rPr>
      </w:pPr>
      <w:r>
        <w:rPr>
          <w:sz w:val="20"/>
          <w:u w:val="single"/>
        </w:rPr>
        <w:t>Greater</w:t>
      </w:r>
      <w:r>
        <w:rPr>
          <w:spacing w:val="-12"/>
          <w:sz w:val="20"/>
          <w:u w:val="single"/>
        </w:rPr>
        <w:t> </w:t>
      </w:r>
      <w:r>
        <w:rPr>
          <w:sz w:val="20"/>
          <w:u w:val="single"/>
        </w:rPr>
        <w:t>Boston</w:t>
      </w:r>
      <w:r>
        <w:rPr>
          <w:spacing w:val="-11"/>
          <w:sz w:val="20"/>
          <w:u w:val="single"/>
        </w:rPr>
        <w:t> </w:t>
      </w:r>
      <w:r>
        <w:rPr>
          <w:sz w:val="20"/>
          <w:u w:val="single"/>
        </w:rPr>
        <w:t>PFLAG</w:t>
      </w:r>
      <w:r>
        <w:rPr>
          <w:sz w:val="20"/>
          <w:u w:val="none"/>
        </w:rPr>
        <w:t> Adrian Romero</w:t>
      </w:r>
    </w:p>
    <w:p>
      <w:pPr>
        <w:spacing w:line="259" w:lineRule="auto" w:before="0"/>
        <w:ind w:left="623" w:right="2169" w:firstLine="0"/>
        <w:jc w:val="left"/>
        <w:rPr>
          <w:sz w:val="20"/>
        </w:rPr>
      </w:pPr>
      <w:r>
        <w:rPr>
          <w:sz w:val="20"/>
        </w:rPr>
        <w:t>Aude Henin Cass Mercer Nancy</w:t>
      </w:r>
      <w:r>
        <w:rPr>
          <w:spacing w:val="-12"/>
          <w:sz w:val="20"/>
        </w:rPr>
        <w:t> </w:t>
      </w:r>
      <w:r>
        <w:rPr>
          <w:sz w:val="20"/>
        </w:rPr>
        <w:t>Forsyth</w:t>
      </w:r>
    </w:p>
    <w:p>
      <w:pPr>
        <w:pStyle w:val="BodyText"/>
        <w:spacing w:before="18"/>
        <w:rPr>
          <w:sz w:val="20"/>
        </w:rPr>
      </w:pPr>
    </w:p>
    <w:p>
      <w:pPr>
        <w:spacing w:line="259" w:lineRule="auto" w:before="0"/>
        <w:ind w:left="624" w:right="0" w:firstLine="0"/>
        <w:jc w:val="left"/>
        <w:rPr>
          <w:sz w:val="20"/>
        </w:rPr>
      </w:pPr>
      <w:r>
        <w:rPr>
          <w:sz w:val="20"/>
          <w:u w:val="single"/>
        </w:rPr>
        <w:t>Massachusetts</w:t>
      </w:r>
      <w:r>
        <w:rPr>
          <w:spacing w:val="-12"/>
          <w:sz w:val="20"/>
          <w:u w:val="single"/>
        </w:rPr>
        <w:t> </w:t>
      </w:r>
      <w:r>
        <w:rPr>
          <w:sz w:val="20"/>
          <w:u w:val="single"/>
        </w:rPr>
        <w:t>Public</w:t>
      </w:r>
      <w:r>
        <w:rPr>
          <w:spacing w:val="-11"/>
          <w:sz w:val="20"/>
          <w:u w:val="single"/>
        </w:rPr>
        <w:t> </w:t>
      </w:r>
      <w:r>
        <w:rPr>
          <w:sz w:val="20"/>
          <w:u w:val="single"/>
        </w:rPr>
        <w:t>Health</w:t>
      </w:r>
      <w:r>
        <w:rPr>
          <w:spacing w:val="-11"/>
          <w:sz w:val="20"/>
          <w:u w:val="single"/>
        </w:rPr>
        <w:t> </w:t>
      </w:r>
      <w:r>
        <w:rPr>
          <w:sz w:val="20"/>
          <w:u w:val="single"/>
        </w:rPr>
        <w:t>Association</w:t>
      </w:r>
      <w:r>
        <w:rPr>
          <w:sz w:val="20"/>
          <w:u w:val="none"/>
        </w:rPr>
        <w:t> Carlene Pavlos</w:t>
      </w:r>
    </w:p>
    <w:p>
      <w:pPr>
        <w:spacing w:line="244" w:lineRule="exact" w:before="0"/>
        <w:ind w:left="624" w:right="0" w:firstLine="0"/>
        <w:jc w:val="left"/>
        <w:rPr>
          <w:sz w:val="20"/>
        </w:rPr>
      </w:pPr>
      <w:r>
        <w:rPr>
          <w:sz w:val="20"/>
        </w:rPr>
        <w:t>Chastity</w:t>
      </w:r>
      <w:r>
        <w:rPr>
          <w:spacing w:val="-6"/>
          <w:sz w:val="20"/>
        </w:rPr>
        <w:t> </w:t>
      </w:r>
      <w:r>
        <w:rPr>
          <w:spacing w:val="-2"/>
          <w:sz w:val="20"/>
        </w:rPr>
        <w:t>Bowick</w:t>
      </w:r>
    </w:p>
    <w:p>
      <w:pPr>
        <w:pStyle w:val="BodyText"/>
        <w:spacing w:before="38"/>
        <w:rPr>
          <w:sz w:val="20"/>
        </w:rPr>
      </w:pPr>
    </w:p>
    <w:p>
      <w:pPr>
        <w:spacing w:line="259" w:lineRule="auto" w:before="0"/>
        <w:ind w:left="624" w:right="474" w:firstLine="0"/>
        <w:jc w:val="left"/>
        <w:rPr>
          <w:sz w:val="20"/>
        </w:rPr>
      </w:pPr>
      <w:r>
        <w:rPr>
          <w:sz w:val="20"/>
          <w:u w:val="single"/>
        </w:rPr>
        <w:t>GLSEN</w:t>
      </w:r>
      <w:r>
        <w:rPr>
          <w:spacing w:val="-12"/>
          <w:sz w:val="20"/>
          <w:u w:val="single"/>
        </w:rPr>
        <w:t> </w:t>
      </w:r>
      <w:r>
        <w:rPr>
          <w:sz w:val="20"/>
          <w:u w:val="single"/>
        </w:rPr>
        <w:t>Massachusetts</w:t>
      </w:r>
      <w:r>
        <w:rPr>
          <w:spacing w:val="-11"/>
          <w:sz w:val="20"/>
          <w:u w:val="single"/>
        </w:rPr>
        <w:t> </w:t>
      </w:r>
      <w:r>
        <w:rPr>
          <w:sz w:val="20"/>
          <w:u w:val="single"/>
        </w:rPr>
        <w:t>Chapter</w:t>
      </w:r>
      <w:r>
        <w:rPr>
          <w:sz w:val="20"/>
          <w:u w:val="none"/>
        </w:rPr>
        <w:t> Carm Chamblin</w:t>
      </w:r>
    </w:p>
    <w:p>
      <w:pPr>
        <w:spacing w:line="244" w:lineRule="exact" w:before="0"/>
        <w:ind w:left="624" w:right="0" w:firstLine="0"/>
        <w:jc w:val="left"/>
        <w:rPr>
          <w:sz w:val="20"/>
        </w:rPr>
      </w:pPr>
      <w:r>
        <w:rPr>
          <w:sz w:val="20"/>
        </w:rPr>
        <w:t>Kelly</w:t>
      </w:r>
      <w:r>
        <w:rPr>
          <w:spacing w:val="-3"/>
          <w:sz w:val="20"/>
        </w:rPr>
        <w:t> </w:t>
      </w:r>
      <w:r>
        <w:rPr>
          <w:spacing w:val="-2"/>
          <w:sz w:val="20"/>
        </w:rPr>
        <w:t>Simon</w:t>
      </w:r>
    </w:p>
    <w:p>
      <w:pPr>
        <w:spacing w:line="240" w:lineRule="auto" w:before="80"/>
        <w:rPr>
          <w:sz w:val="20"/>
        </w:rPr>
      </w:pPr>
      <w:r>
        <w:rPr/>
        <w:br w:type="column"/>
      </w:r>
      <w:r>
        <w:rPr>
          <w:sz w:val="20"/>
        </w:rPr>
      </w:r>
    </w:p>
    <w:p>
      <w:pPr>
        <w:spacing w:line="259" w:lineRule="auto" w:before="0"/>
        <w:ind w:left="623" w:right="392" w:firstLine="0"/>
        <w:jc w:val="left"/>
        <w:rPr>
          <w:sz w:val="20"/>
        </w:rPr>
      </w:pPr>
      <w:r>
        <w:rPr>
          <w:sz w:val="20"/>
          <w:u w:val="single"/>
        </w:rPr>
        <w:t>American</w:t>
      </w:r>
      <w:r>
        <w:rPr>
          <w:spacing w:val="-10"/>
          <w:sz w:val="20"/>
          <w:u w:val="single"/>
        </w:rPr>
        <w:t> </w:t>
      </w:r>
      <w:r>
        <w:rPr>
          <w:sz w:val="20"/>
          <w:u w:val="single"/>
        </w:rPr>
        <w:t>Academy</w:t>
      </w:r>
      <w:r>
        <w:rPr>
          <w:spacing w:val="-9"/>
          <w:sz w:val="20"/>
          <w:u w:val="single"/>
        </w:rPr>
        <w:t> </w:t>
      </w:r>
      <w:r>
        <w:rPr>
          <w:sz w:val="20"/>
          <w:u w:val="single"/>
        </w:rPr>
        <w:t>of</w:t>
      </w:r>
      <w:r>
        <w:rPr>
          <w:spacing w:val="-9"/>
          <w:sz w:val="20"/>
          <w:u w:val="single"/>
        </w:rPr>
        <w:t> </w:t>
      </w:r>
      <w:r>
        <w:rPr>
          <w:sz w:val="20"/>
          <w:u w:val="single"/>
        </w:rPr>
        <w:t>Pediatrics-</w:t>
      </w:r>
      <w:r>
        <w:rPr>
          <w:spacing w:val="-9"/>
          <w:sz w:val="20"/>
          <w:u w:val="single"/>
        </w:rPr>
        <w:t> </w:t>
      </w:r>
      <w:r>
        <w:rPr>
          <w:sz w:val="20"/>
          <w:u w:val="single"/>
        </w:rPr>
        <w:t>Massachusetts</w:t>
      </w:r>
      <w:r>
        <w:rPr>
          <w:sz w:val="20"/>
          <w:u w:val="none"/>
        </w:rPr>
        <w:t> </w:t>
      </w:r>
      <w:r>
        <w:rPr>
          <w:spacing w:val="-2"/>
          <w:sz w:val="20"/>
          <w:u w:val="single"/>
        </w:rPr>
        <w:t>Chapter</w:t>
      </w:r>
    </w:p>
    <w:p>
      <w:pPr>
        <w:spacing w:line="244" w:lineRule="exact" w:before="0"/>
        <w:ind w:left="623" w:right="0" w:firstLine="0"/>
        <w:jc w:val="left"/>
        <w:rPr>
          <w:sz w:val="20"/>
        </w:rPr>
      </w:pPr>
      <w:r>
        <w:rPr>
          <w:sz w:val="20"/>
        </w:rPr>
        <w:t>David</w:t>
      </w:r>
      <w:r>
        <w:rPr>
          <w:spacing w:val="-4"/>
          <w:sz w:val="20"/>
        </w:rPr>
        <w:t> </w:t>
      </w:r>
      <w:r>
        <w:rPr>
          <w:sz w:val="20"/>
        </w:rPr>
        <w:t>Norton,</w:t>
      </w:r>
      <w:r>
        <w:rPr>
          <w:spacing w:val="-4"/>
          <w:sz w:val="20"/>
        </w:rPr>
        <w:t> </w:t>
      </w:r>
      <w:r>
        <w:rPr>
          <w:spacing w:val="-5"/>
          <w:sz w:val="20"/>
        </w:rPr>
        <w:t>MD</w:t>
      </w:r>
    </w:p>
    <w:p>
      <w:pPr>
        <w:spacing w:line="259" w:lineRule="auto" w:before="18"/>
        <w:ind w:left="623" w:right="2136" w:firstLine="0"/>
        <w:jc w:val="left"/>
        <w:rPr>
          <w:sz w:val="20"/>
        </w:rPr>
      </w:pPr>
      <w:r>
        <w:rPr>
          <w:sz w:val="20"/>
        </w:rPr>
        <w:t>Andrew</w:t>
      </w:r>
      <w:r>
        <w:rPr>
          <w:spacing w:val="-12"/>
          <w:sz w:val="20"/>
        </w:rPr>
        <w:t> </w:t>
      </w:r>
      <w:r>
        <w:rPr>
          <w:sz w:val="20"/>
        </w:rPr>
        <w:t>Cronyn,</w:t>
      </w:r>
      <w:r>
        <w:rPr>
          <w:spacing w:val="-11"/>
          <w:sz w:val="20"/>
        </w:rPr>
        <w:t> </w:t>
      </w:r>
      <w:r>
        <w:rPr>
          <w:sz w:val="20"/>
        </w:rPr>
        <w:t>MD,</w:t>
      </w:r>
      <w:r>
        <w:rPr>
          <w:spacing w:val="-11"/>
          <w:sz w:val="20"/>
        </w:rPr>
        <w:t> </w:t>
      </w:r>
      <w:r>
        <w:rPr>
          <w:sz w:val="20"/>
        </w:rPr>
        <w:t>FAAP Em Grybko</w:t>
      </w:r>
    </w:p>
    <w:p>
      <w:pPr>
        <w:pStyle w:val="BodyText"/>
        <w:spacing w:before="19"/>
        <w:rPr>
          <w:sz w:val="20"/>
        </w:rPr>
      </w:pPr>
    </w:p>
    <w:p>
      <w:pPr>
        <w:spacing w:line="259" w:lineRule="auto" w:before="1"/>
        <w:ind w:left="623" w:right="392" w:firstLine="0"/>
        <w:jc w:val="left"/>
        <w:rPr>
          <w:sz w:val="20"/>
        </w:rPr>
      </w:pPr>
      <w:r>
        <w:rPr>
          <w:sz w:val="20"/>
          <w:u w:val="single"/>
        </w:rPr>
        <w:t>Massachusetts</w:t>
      </w:r>
      <w:r>
        <w:rPr>
          <w:spacing w:val="-11"/>
          <w:sz w:val="20"/>
          <w:u w:val="single"/>
        </w:rPr>
        <w:t> </w:t>
      </w:r>
      <w:r>
        <w:rPr>
          <w:sz w:val="20"/>
          <w:u w:val="single"/>
        </w:rPr>
        <w:t>Coalition</w:t>
      </w:r>
      <w:r>
        <w:rPr>
          <w:spacing w:val="-9"/>
          <w:sz w:val="20"/>
          <w:u w:val="single"/>
        </w:rPr>
        <w:t> </w:t>
      </w:r>
      <w:r>
        <w:rPr>
          <w:sz w:val="20"/>
          <w:u w:val="single"/>
        </w:rPr>
        <w:t>for</w:t>
      </w:r>
      <w:r>
        <w:rPr>
          <w:spacing w:val="-11"/>
          <w:sz w:val="20"/>
          <w:u w:val="single"/>
        </w:rPr>
        <w:t> </w:t>
      </w:r>
      <w:r>
        <w:rPr>
          <w:sz w:val="20"/>
          <w:u w:val="single"/>
        </w:rPr>
        <w:t>Suicide</w:t>
      </w:r>
      <w:r>
        <w:rPr>
          <w:spacing w:val="-9"/>
          <w:sz w:val="20"/>
          <w:u w:val="single"/>
        </w:rPr>
        <w:t> </w:t>
      </w:r>
      <w:r>
        <w:rPr>
          <w:sz w:val="20"/>
          <w:u w:val="single"/>
        </w:rPr>
        <w:t>Prevention</w:t>
      </w:r>
      <w:r>
        <w:rPr>
          <w:sz w:val="20"/>
          <w:u w:val="none"/>
        </w:rPr>
        <w:t> Elliot Marrow</w:t>
      </w:r>
    </w:p>
    <w:p>
      <w:pPr>
        <w:spacing w:line="259" w:lineRule="auto" w:before="0"/>
        <w:ind w:left="623" w:right="3214" w:firstLine="0"/>
        <w:jc w:val="left"/>
        <w:rPr>
          <w:sz w:val="20"/>
        </w:rPr>
      </w:pPr>
      <w:r>
        <w:rPr>
          <w:sz w:val="20"/>
        </w:rPr>
        <w:t>Fahmina</w:t>
      </w:r>
      <w:r>
        <w:rPr>
          <w:spacing w:val="-12"/>
          <w:sz w:val="20"/>
        </w:rPr>
        <w:t> </w:t>
      </w:r>
      <w:r>
        <w:rPr>
          <w:sz w:val="20"/>
        </w:rPr>
        <w:t>Zaman Paula Tessier</w:t>
      </w:r>
    </w:p>
    <w:p>
      <w:pPr>
        <w:pStyle w:val="BodyText"/>
        <w:spacing w:before="18"/>
        <w:rPr>
          <w:sz w:val="20"/>
        </w:rPr>
      </w:pPr>
    </w:p>
    <w:p>
      <w:pPr>
        <w:spacing w:line="259" w:lineRule="auto" w:before="0"/>
        <w:ind w:left="623" w:right="392" w:firstLine="0"/>
        <w:jc w:val="left"/>
        <w:rPr>
          <w:sz w:val="20"/>
        </w:rPr>
      </w:pPr>
      <w:r>
        <w:rPr>
          <w:sz w:val="20"/>
          <w:u w:val="single"/>
        </w:rPr>
        <w:t>Massachusetts</w:t>
      </w:r>
      <w:r>
        <w:rPr>
          <w:spacing w:val="-8"/>
          <w:sz w:val="20"/>
          <w:u w:val="single"/>
        </w:rPr>
        <w:t> </w:t>
      </w:r>
      <w:r>
        <w:rPr>
          <w:sz w:val="20"/>
          <w:u w:val="single"/>
        </w:rPr>
        <w:t>Gay</w:t>
      </w:r>
      <w:r>
        <w:rPr>
          <w:spacing w:val="-8"/>
          <w:sz w:val="20"/>
          <w:u w:val="single"/>
        </w:rPr>
        <w:t> </w:t>
      </w:r>
      <w:r>
        <w:rPr>
          <w:sz w:val="20"/>
          <w:u w:val="single"/>
        </w:rPr>
        <w:t>&amp;</w:t>
      </w:r>
      <w:r>
        <w:rPr>
          <w:spacing w:val="-7"/>
          <w:sz w:val="20"/>
          <w:u w:val="single"/>
        </w:rPr>
        <w:t> </w:t>
      </w:r>
      <w:r>
        <w:rPr>
          <w:sz w:val="20"/>
          <w:u w:val="single"/>
        </w:rPr>
        <w:t>Lesbian</w:t>
      </w:r>
      <w:r>
        <w:rPr>
          <w:spacing w:val="-8"/>
          <w:sz w:val="20"/>
          <w:u w:val="single"/>
        </w:rPr>
        <w:t> </w:t>
      </w:r>
      <w:r>
        <w:rPr>
          <w:sz w:val="20"/>
          <w:u w:val="single"/>
        </w:rPr>
        <w:t>Political</w:t>
      </w:r>
      <w:r>
        <w:rPr>
          <w:spacing w:val="-8"/>
          <w:sz w:val="20"/>
          <w:u w:val="single"/>
        </w:rPr>
        <w:t> </w:t>
      </w:r>
      <w:r>
        <w:rPr>
          <w:sz w:val="20"/>
          <w:u w:val="single"/>
        </w:rPr>
        <w:t>Caucus</w:t>
      </w:r>
      <w:r>
        <w:rPr>
          <w:sz w:val="20"/>
          <w:u w:val="none"/>
        </w:rPr>
        <w:t> Grace Sterling Stowell</w:t>
      </w:r>
    </w:p>
    <w:p>
      <w:pPr>
        <w:spacing w:line="244" w:lineRule="exact" w:before="0"/>
        <w:ind w:left="623" w:right="0" w:firstLine="0"/>
        <w:jc w:val="left"/>
        <w:rPr>
          <w:sz w:val="20"/>
        </w:rPr>
      </w:pPr>
      <w:r>
        <w:rPr>
          <w:sz w:val="20"/>
        </w:rPr>
        <w:t>Sasha</w:t>
      </w:r>
      <w:r>
        <w:rPr>
          <w:spacing w:val="-2"/>
          <w:sz w:val="20"/>
        </w:rPr>
        <w:t> Goodfriend</w:t>
      </w:r>
    </w:p>
    <w:p>
      <w:pPr>
        <w:pStyle w:val="BodyText"/>
        <w:spacing w:before="39"/>
        <w:rPr>
          <w:sz w:val="20"/>
        </w:rPr>
      </w:pPr>
    </w:p>
    <w:p>
      <w:pPr>
        <w:spacing w:line="259" w:lineRule="auto" w:before="0"/>
        <w:ind w:left="623" w:right="1039" w:firstLine="0"/>
        <w:jc w:val="left"/>
        <w:rPr>
          <w:sz w:val="20"/>
        </w:rPr>
      </w:pPr>
      <w:r>
        <w:rPr>
          <w:sz w:val="20"/>
          <w:u w:val="single"/>
        </w:rPr>
        <w:t>Massachusetts</w:t>
      </w:r>
      <w:r>
        <w:rPr>
          <w:spacing w:val="-12"/>
          <w:sz w:val="20"/>
          <w:u w:val="single"/>
        </w:rPr>
        <w:t> </w:t>
      </w:r>
      <w:r>
        <w:rPr>
          <w:sz w:val="20"/>
          <w:u w:val="single"/>
        </w:rPr>
        <w:t>Teachers</w:t>
      </w:r>
      <w:r>
        <w:rPr>
          <w:spacing w:val="-11"/>
          <w:sz w:val="20"/>
          <w:u w:val="single"/>
        </w:rPr>
        <w:t> </w:t>
      </w:r>
      <w:r>
        <w:rPr>
          <w:sz w:val="20"/>
          <w:u w:val="single"/>
        </w:rPr>
        <w:t>Association</w:t>
      </w:r>
      <w:r>
        <w:rPr>
          <w:sz w:val="20"/>
          <w:u w:val="none"/>
        </w:rPr>
        <w:t> Kirsten Frazier</w:t>
      </w:r>
    </w:p>
    <w:p>
      <w:pPr>
        <w:pStyle w:val="BodyText"/>
        <w:spacing w:before="19"/>
        <w:rPr>
          <w:sz w:val="20"/>
        </w:rPr>
      </w:pPr>
    </w:p>
    <w:p>
      <w:pPr>
        <w:spacing w:line="259" w:lineRule="auto" w:before="0"/>
        <w:ind w:left="623" w:right="392" w:firstLine="0"/>
        <w:jc w:val="left"/>
        <w:rPr>
          <w:sz w:val="20"/>
        </w:rPr>
      </w:pPr>
      <w:r>
        <w:rPr>
          <w:sz w:val="20"/>
          <w:u w:val="single"/>
        </w:rPr>
        <w:t>American</w:t>
      </w:r>
      <w:r>
        <w:rPr>
          <w:spacing w:val="-10"/>
          <w:sz w:val="20"/>
          <w:u w:val="single"/>
        </w:rPr>
        <w:t> </w:t>
      </w:r>
      <w:r>
        <w:rPr>
          <w:sz w:val="20"/>
          <w:u w:val="single"/>
        </w:rPr>
        <w:t>Federation</w:t>
      </w:r>
      <w:r>
        <w:rPr>
          <w:spacing w:val="-9"/>
          <w:sz w:val="20"/>
          <w:u w:val="single"/>
        </w:rPr>
        <w:t> </w:t>
      </w:r>
      <w:r>
        <w:rPr>
          <w:sz w:val="20"/>
          <w:u w:val="single"/>
        </w:rPr>
        <w:t>of</w:t>
      </w:r>
      <w:r>
        <w:rPr>
          <w:spacing w:val="-9"/>
          <w:sz w:val="20"/>
          <w:u w:val="single"/>
        </w:rPr>
        <w:t> </w:t>
      </w:r>
      <w:r>
        <w:rPr>
          <w:sz w:val="20"/>
          <w:u w:val="single"/>
        </w:rPr>
        <w:t>Teachers,</w:t>
      </w:r>
      <w:r>
        <w:rPr>
          <w:spacing w:val="-9"/>
          <w:sz w:val="20"/>
          <w:u w:val="single"/>
        </w:rPr>
        <w:t> </w:t>
      </w:r>
      <w:r>
        <w:rPr>
          <w:sz w:val="20"/>
          <w:u w:val="single"/>
        </w:rPr>
        <w:t>Massachusetts</w:t>
      </w:r>
      <w:r>
        <w:rPr>
          <w:sz w:val="20"/>
          <w:u w:val="none"/>
        </w:rPr>
        <w:t> </w:t>
      </w:r>
      <w:r>
        <w:rPr>
          <w:spacing w:val="-2"/>
          <w:sz w:val="20"/>
          <w:u w:val="single"/>
        </w:rPr>
        <w:t>Chapter</w:t>
      </w:r>
    </w:p>
    <w:p>
      <w:pPr>
        <w:spacing w:line="244" w:lineRule="exact" w:before="0"/>
        <w:ind w:left="623" w:right="0" w:firstLine="0"/>
        <w:jc w:val="left"/>
        <w:rPr>
          <w:sz w:val="20"/>
        </w:rPr>
      </w:pPr>
      <w:r>
        <w:rPr>
          <w:sz w:val="20"/>
        </w:rPr>
        <w:t>Masha</w:t>
      </w:r>
      <w:r>
        <w:rPr>
          <w:spacing w:val="-5"/>
          <w:sz w:val="20"/>
        </w:rPr>
        <w:t> </w:t>
      </w:r>
      <w:r>
        <w:rPr>
          <w:spacing w:val="-2"/>
          <w:sz w:val="20"/>
        </w:rPr>
        <w:t>Stine</w:t>
      </w:r>
    </w:p>
    <w:p>
      <w:pPr>
        <w:pStyle w:val="BodyText"/>
        <w:spacing w:before="38"/>
        <w:rPr>
          <w:sz w:val="20"/>
        </w:rPr>
      </w:pPr>
    </w:p>
    <w:p>
      <w:pPr>
        <w:spacing w:line="259" w:lineRule="auto" w:before="0"/>
        <w:ind w:left="623" w:right="3304" w:firstLine="0"/>
        <w:jc w:val="left"/>
        <w:rPr>
          <w:sz w:val="20"/>
        </w:rPr>
      </w:pPr>
      <w:r>
        <w:rPr>
          <w:sz w:val="20"/>
          <w:u w:val="single"/>
        </w:rPr>
        <w:t>Fenway</w:t>
      </w:r>
      <w:r>
        <w:rPr>
          <w:spacing w:val="-12"/>
          <w:sz w:val="20"/>
          <w:u w:val="single"/>
        </w:rPr>
        <w:t> </w:t>
      </w:r>
      <w:r>
        <w:rPr>
          <w:sz w:val="20"/>
          <w:u w:val="single"/>
        </w:rPr>
        <w:t>Health</w:t>
      </w:r>
      <w:r>
        <w:rPr>
          <w:sz w:val="20"/>
          <w:u w:val="none"/>
        </w:rPr>
        <w:t> Noah Glick</w:t>
      </w:r>
      <w:r>
        <w:rPr>
          <w:spacing w:val="40"/>
          <w:sz w:val="20"/>
          <w:u w:val="none"/>
        </w:rPr>
        <w:t> </w:t>
      </w:r>
      <w:r>
        <w:rPr>
          <w:sz w:val="20"/>
          <w:u w:val="none"/>
        </w:rPr>
        <w:t>Rey Calabrese</w:t>
      </w:r>
    </w:p>
    <w:p>
      <w:pPr>
        <w:pStyle w:val="BodyText"/>
        <w:spacing w:before="19"/>
        <w:rPr>
          <w:sz w:val="20"/>
        </w:rPr>
      </w:pPr>
    </w:p>
    <w:p>
      <w:pPr>
        <w:spacing w:line="259" w:lineRule="auto" w:before="0"/>
        <w:ind w:left="623" w:right="392" w:firstLine="0"/>
        <w:jc w:val="left"/>
        <w:rPr>
          <w:sz w:val="20"/>
        </w:rPr>
      </w:pPr>
      <w:r>
        <w:rPr>
          <w:sz w:val="20"/>
          <w:u w:val="single"/>
        </w:rPr>
        <w:t>Massachusetts</w:t>
      </w:r>
      <w:r>
        <w:rPr>
          <w:spacing w:val="-12"/>
          <w:sz w:val="20"/>
          <w:u w:val="single"/>
        </w:rPr>
        <w:t> </w:t>
      </w:r>
      <w:r>
        <w:rPr>
          <w:sz w:val="20"/>
          <w:u w:val="single"/>
        </w:rPr>
        <w:t>Association</w:t>
      </w:r>
      <w:r>
        <w:rPr>
          <w:spacing w:val="-11"/>
          <w:sz w:val="20"/>
          <w:u w:val="single"/>
        </w:rPr>
        <w:t> </w:t>
      </w:r>
      <w:r>
        <w:rPr>
          <w:sz w:val="20"/>
          <w:u w:val="single"/>
        </w:rPr>
        <w:t>of</w:t>
      </w:r>
      <w:r>
        <w:rPr>
          <w:spacing w:val="-11"/>
          <w:sz w:val="20"/>
          <w:u w:val="single"/>
        </w:rPr>
        <w:t> </w:t>
      </w:r>
      <w:r>
        <w:rPr>
          <w:sz w:val="20"/>
          <w:u w:val="single"/>
        </w:rPr>
        <w:t>School</w:t>
      </w:r>
      <w:r>
        <w:rPr>
          <w:sz w:val="20"/>
          <w:u w:val="none"/>
        </w:rPr>
        <w:t> </w:t>
      </w:r>
      <w:r>
        <w:rPr>
          <w:spacing w:val="-2"/>
          <w:sz w:val="20"/>
          <w:u w:val="single"/>
        </w:rPr>
        <w:t>Superintendents</w:t>
      </w:r>
    </w:p>
    <w:p>
      <w:pPr>
        <w:pStyle w:val="BodyText"/>
        <w:spacing w:before="19"/>
        <w:rPr>
          <w:sz w:val="20"/>
        </w:rPr>
      </w:pPr>
    </w:p>
    <w:p>
      <w:pPr>
        <w:spacing w:line="259" w:lineRule="auto" w:before="0"/>
        <w:ind w:left="623" w:right="2779" w:firstLine="0"/>
        <w:jc w:val="left"/>
        <w:rPr>
          <w:sz w:val="20"/>
        </w:rPr>
      </w:pPr>
      <w:r>
        <w:rPr>
          <w:sz w:val="20"/>
        </w:rPr>
        <w:t>Sara</w:t>
      </w:r>
      <w:r>
        <w:rPr>
          <w:spacing w:val="-12"/>
          <w:sz w:val="20"/>
        </w:rPr>
        <w:t> </w:t>
      </w:r>
      <w:r>
        <w:rPr>
          <w:sz w:val="20"/>
        </w:rPr>
        <w:t>Ahern,</w:t>
      </w:r>
      <w:r>
        <w:rPr>
          <w:spacing w:val="-11"/>
          <w:sz w:val="20"/>
        </w:rPr>
        <w:t> </w:t>
      </w:r>
      <w:r>
        <w:rPr>
          <w:sz w:val="20"/>
        </w:rPr>
        <w:t>Ed.D. Sean Precious Victoria Greer</w:t>
      </w:r>
    </w:p>
    <w:p>
      <w:pPr>
        <w:pStyle w:val="BodyText"/>
        <w:spacing w:before="18"/>
        <w:rPr>
          <w:sz w:val="20"/>
        </w:rPr>
      </w:pPr>
    </w:p>
    <w:p>
      <w:pPr>
        <w:spacing w:line="259" w:lineRule="auto" w:before="0"/>
        <w:ind w:left="623" w:right="3242" w:firstLine="0"/>
        <w:jc w:val="left"/>
        <w:rPr>
          <w:sz w:val="20"/>
        </w:rPr>
      </w:pPr>
      <w:r>
        <w:rPr>
          <w:spacing w:val="-2"/>
          <w:sz w:val="20"/>
          <w:u w:val="single"/>
        </w:rPr>
        <w:t>MassEquality</w:t>
      </w:r>
      <w:r>
        <w:rPr>
          <w:spacing w:val="-2"/>
          <w:sz w:val="20"/>
          <w:u w:val="none"/>
        </w:rPr>
        <w:t> </w:t>
      </w:r>
      <w:r>
        <w:rPr>
          <w:sz w:val="20"/>
          <w:u w:val="none"/>
        </w:rPr>
        <w:t>Tanya</w:t>
      </w:r>
      <w:r>
        <w:rPr>
          <w:spacing w:val="-12"/>
          <w:sz w:val="20"/>
          <w:u w:val="none"/>
        </w:rPr>
        <w:t> </w:t>
      </w:r>
      <w:r>
        <w:rPr>
          <w:sz w:val="20"/>
          <w:u w:val="none"/>
        </w:rPr>
        <w:t>Neslusan</w:t>
      </w:r>
    </w:p>
    <w:p>
      <w:pPr>
        <w:spacing w:after="0" w:line="259" w:lineRule="auto"/>
        <w:jc w:val="left"/>
        <w:rPr>
          <w:sz w:val="20"/>
        </w:rPr>
        <w:sectPr>
          <w:type w:val="continuous"/>
          <w:pgSz w:w="12240" w:h="15840"/>
          <w:pgMar w:header="0" w:footer="1012" w:top="1420" w:bottom="280" w:left="960" w:right="1100"/>
          <w:cols w:num="2" w:equalWidth="0">
            <w:col w:w="3959" w:space="1081"/>
            <w:col w:w="5140"/>
          </w:cols>
        </w:sectPr>
      </w:pPr>
    </w:p>
    <w:p>
      <w:pPr>
        <w:pStyle w:val="BodyText"/>
        <w:rPr>
          <w:sz w:val="20"/>
        </w:rPr>
      </w:pPr>
    </w:p>
    <w:p>
      <w:pPr>
        <w:pStyle w:val="BodyText"/>
        <w:rPr>
          <w:sz w:val="20"/>
        </w:rPr>
      </w:pPr>
    </w:p>
    <w:p>
      <w:pPr>
        <w:pStyle w:val="BodyText"/>
        <w:spacing w:before="121" w:after="1"/>
        <w:rPr>
          <w:sz w:val="20"/>
        </w:rPr>
      </w:pPr>
    </w:p>
    <w:p>
      <w:pPr>
        <w:pStyle w:val="BodyText"/>
        <w:spacing w:line="20" w:lineRule="exact"/>
        <w:ind w:left="450"/>
        <w:rPr>
          <w:sz w:val="2"/>
        </w:rPr>
      </w:pPr>
      <w:r>
        <w:rPr>
          <w:sz w:val="2"/>
        </w:rPr>
        <mc:AlternateContent>
          <mc:Choice Requires="wps">
            <w:drawing>
              <wp:inline distT="0" distB="0" distL="0" distR="0">
                <wp:extent cx="5982335" cy="6350"/>
                <wp:effectExtent l="0" t="0" r="0" b="0"/>
                <wp:docPr id="716" name="Group 716"/>
                <wp:cNvGraphicFramePr>
                  <a:graphicFrameLocks/>
                </wp:cNvGraphicFramePr>
                <a:graphic>
                  <a:graphicData uri="http://schemas.microsoft.com/office/word/2010/wordprocessingGroup">
                    <wpg:wgp>
                      <wpg:cNvPr id="716" name="Group 716"/>
                      <wpg:cNvGrpSpPr/>
                      <wpg:grpSpPr>
                        <a:xfrm>
                          <a:off x="0" y="0"/>
                          <a:ext cx="5982335" cy="6350"/>
                          <a:chExt cx="5982335" cy="6350"/>
                        </a:xfrm>
                      </wpg:grpSpPr>
                      <wps:wsp>
                        <wps:cNvPr id="717" name="Graphic 717"/>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style="width:471.05pt;height:.5pt;mso-position-horizontal-relative:char;mso-position-vertical-relative:line" id="docshapegroup613" coordorigin="0,0" coordsize="9421,10">
                <v:rect style="position:absolute;left:0;top:0;width:9421;height:10" id="docshape614" filled="true" fillcolor="#d9d9d9" stroked="false">
                  <v:fill type="solid"/>
                </v:rect>
              </v:group>
            </w:pict>
          </mc:Fallback>
        </mc:AlternateContent>
      </w:r>
      <w:r>
        <w:rPr>
          <w:sz w:val="2"/>
        </w:rPr>
      </w:r>
    </w:p>
    <w:sectPr>
      <w:type w:val="continuous"/>
      <w:pgSz w:w="12240" w:h="15840"/>
      <w:pgMar w:header="0" w:footer="1012" w:top="1420" w:bottom="280" w:left="96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eorgia">
    <w:altName w:val="Georgia"/>
    <w:charset w:val="0"/>
    <w:family w:val="roman"/>
    <w:pitch w:val="variable"/>
  </w:font>
  <w:font w:name="Symbol">
    <w:altName w:val="Symbol"/>
    <w:charset w:val="2"/>
    <w:family w:val="roman"/>
    <w:pitch w:val="variable"/>
  </w:font>
  <w:font w:name="Verdana">
    <w:altName w:val="Verdana"/>
    <w:charset w:val="0"/>
    <w:family w:val="swiss"/>
    <w:pitch w:val="variable"/>
  </w:font>
  <w:font w:name="Garamond">
    <w:altName w:val="Garamond"/>
    <w:charset w:val="0"/>
    <w:family w:val="roman"/>
    <w:pitch w:val="variable"/>
  </w:font>
  <w:font w:name="Book Antiqua">
    <w:altName w:val="Book Antiqua"/>
    <w:charset w:val="0"/>
    <w:family w:val="roman"/>
    <w:pitch w:val="variable"/>
  </w:font>
  <w:font w:name="Cambria">
    <w:altName w:val="Cambria"/>
    <w:charset w:val="0"/>
    <w:family w:val="roman"/>
    <w:pitch w:val="variable"/>
  </w:font>
  <w:font w:name="Arial Black">
    <w:altName w:val="Arial Black"/>
    <w:charset w:val="0"/>
    <w:family w:val="swiss"/>
    <w:pitch w:val="variable"/>
  </w:font>
  <w:font w:name="Segoe UI Emoji">
    <w:altName w:val="Segoe UI Emoji"/>
    <w:charset w:val="0"/>
    <w:family w:val="swiss"/>
    <w:pitch w:val="variable"/>
  </w:font>
  <w:font w:name="Palatino Linotype">
    <w:altName w:val="Palatino Linotype"/>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0272">
              <wp:simplePos x="0" y="0"/>
              <wp:positionH relativeFrom="page">
                <wp:posOffset>5307342</wp:posOffset>
              </wp:positionH>
              <wp:positionV relativeFrom="page">
                <wp:posOffset>9220484</wp:posOffset>
              </wp:positionV>
              <wp:extent cx="1829435" cy="22796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829435" cy="227965"/>
                      </a:xfrm>
                      <a:prstGeom prst="rect">
                        <a:avLst/>
                      </a:prstGeom>
                    </wps:spPr>
                    <wps:txbx>
                      <w:txbxContent>
                        <w:p>
                          <w:pPr>
                            <w:spacing w:before="16"/>
                            <w:ind w:left="20" w:right="0" w:firstLine="0"/>
                            <w:jc w:val="left"/>
                            <w:rPr>
                              <w:rFonts w:ascii="Georgia"/>
                              <w:sz w:val="28"/>
                            </w:rPr>
                          </w:pPr>
                          <w:r>
                            <w:rPr>
                              <w:rFonts w:ascii="Georgia"/>
                              <w:spacing w:val="-8"/>
                              <w:sz w:val="28"/>
                            </w:rPr>
                            <w:t>FY</w:t>
                          </w:r>
                          <w:r>
                            <w:rPr>
                              <w:rFonts w:ascii="Georgia"/>
                              <w:spacing w:val="-9"/>
                              <w:sz w:val="28"/>
                            </w:rPr>
                            <w:t> </w:t>
                          </w:r>
                          <w:r>
                            <w:rPr>
                              <w:rFonts w:ascii="Georgia"/>
                              <w:spacing w:val="-8"/>
                              <w:sz w:val="28"/>
                            </w:rPr>
                            <w:t>2025 Annual</w:t>
                          </w:r>
                          <w:r>
                            <w:rPr>
                              <w:rFonts w:ascii="Georgia"/>
                              <w:spacing w:val="-9"/>
                              <w:sz w:val="28"/>
                            </w:rPr>
                            <w:t> </w:t>
                          </w:r>
                          <w:r>
                            <w:rPr>
                              <w:rFonts w:ascii="Georgia"/>
                              <w:spacing w:val="-8"/>
                              <w:sz w:val="28"/>
                            </w:rPr>
                            <w:t>Report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7.901001pt;margin-top:726.02240pt;width:144.050pt;height:17.95pt;mso-position-horizontal-relative:page;mso-position-vertical-relative:page;z-index:-20766208" type="#_x0000_t202" id="docshape12" filled="false" stroked="false">
              <v:textbox inset="0,0,0,0">
                <w:txbxContent>
                  <w:p>
                    <w:pPr>
                      <w:spacing w:before="16"/>
                      <w:ind w:left="20" w:right="0" w:firstLine="0"/>
                      <w:jc w:val="left"/>
                      <w:rPr>
                        <w:rFonts w:ascii="Georgia"/>
                        <w:sz w:val="28"/>
                      </w:rPr>
                    </w:pPr>
                    <w:r>
                      <w:rPr>
                        <w:rFonts w:ascii="Georgia"/>
                        <w:spacing w:val="-8"/>
                        <w:sz w:val="28"/>
                      </w:rPr>
                      <w:t>FY</w:t>
                    </w:r>
                    <w:r>
                      <w:rPr>
                        <w:rFonts w:ascii="Georgia"/>
                        <w:spacing w:val="-9"/>
                        <w:sz w:val="28"/>
                      </w:rPr>
                      <w:t> </w:t>
                    </w:r>
                    <w:r>
                      <w:rPr>
                        <w:rFonts w:ascii="Georgia"/>
                        <w:spacing w:val="-8"/>
                        <w:sz w:val="28"/>
                      </w:rPr>
                      <w:t>2025 Annual</w:t>
                    </w:r>
                    <w:r>
                      <w:rPr>
                        <w:rFonts w:ascii="Georgia"/>
                        <w:spacing w:val="-9"/>
                        <w:sz w:val="28"/>
                      </w:rPr>
                      <w:t> </w:t>
                    </w:r>
                    <w:r>
                      <w:rPr>
                        <w:rFonts w:ascii="Georgia"/>
                        <w:spacing w:val="-8"/>
                        <w:sz w:val="28"/>
                      </w:rPr>
                      <w:t>Report</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0512">
              <wp:simplePos x="0" y="0"/>
              <wp:positionH relativeFrom="page">
                <wp:posOffset>895350</wp:posOffset>
              </wp:positionH>
              <wp:positionV relativeFrom="page">
                <wp:posOffset>9257525</wp:posOffset>
              </wp:positionV>
              <wp:extent cx="5982335" cy="635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5968" id="docshape3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1024">
              <wp:simplePos x="0" y="0"/>
              <wp:positionH relativeFrom="page">
                <wp:posOffset>6223253</wp:posOffset>
              </wp:positionH>
              <wp:positionV relativeFrom="page">
                <wp:posOffset>9262882</wp:posOffset>
              </wp:positionV>
              <wp:extent cx="610235" cy="18859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8</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55456" type="#_x0000_t202" id="docshape40"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8</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1536">
              <wp:simplePos x="0" y="0"/>
              <wp:positionH relativeFrom="page">
                <wp:posOffset>895350</wp:posOffset>
              </wp:positionH>
              <wp:positionV relativeFrom="page">
                <wp:posOffset>9257525</wp:posOffset>
              </wp:positionV>
              <wp:extent cx="5982335" cy="635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4944" id="docshape41"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2048">
              <wp:simplePos x="0" y="0"/>
              <wp:positionH relativeFrom="page">
                <wp:posOffset>6152388</wp:posOffset>
              </wp:positionH>
              <wp:positionV relativeFrom="page">
                <wp:posOffset>9262882</wp:posOffset>
              </wp:positionV>
              <wp:extent cx="681355" cy="18859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54432" type="#_x0000_t202" id="docshape42"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2560">
              <wp:simplePos x="0" y="0"/>
              <wp:positionH relativeFrom="page">
                <wp:posOffset>895350</wp:posOffset>
              </wp:positionH>
              <wp:positionV relativeFrom="page">
                <wp:posOffset>9257525</wp:posOffset>
              </wp:positionV>
              <wp:extent cx="5982335" cy="635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3920" id="docshape4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3072">
              <wp:simplePos x="0" y="0"/>
              <wp:positionH relativeFrom="page">
                <wp:posOffset>6152388</wp:posOffset>
              </wp:positionH>
              <wp:positionV relativeFrom="page">
                <wp:posOffset>9262882</wp:posOffset>
              </wp:positionV>
              <wp:extent cx="681355" cy="18859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53408" type="#_x0000_t202" id="docshape44"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3584">
              <wp:simplePos x="0" y="0"/>
              <wp:positionH relativeFrom="page">
                <wp:posOffset>895350</wp:posOffset>
              </wp:positionH>
              <wp:positionV relativeFrom="page">
                <wp:posOffset>9257525</wp:posOffset>
              </wp:positionV>
              <wp:extent cx="5982335" cy="635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2896" id="docshape4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4096">
              <wp:simplePos x="0" y="0"/>
              <wp:positionH relativeFrom="page">
                <wp:posOffset>6152388</wp:posOffset>
              </wp:positionH>
              <wp:positionV relativeFrom="page">
                <wp:posOffset>9262882</wp:posOffset>
              </wp:positionV>
              <wp:extent cx="681355" cy="18859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11</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52384" type="#_x0000_t202" id="docshape46"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11</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4608">
              <wp:simplePos x="0" y="0"/>
              <wp:positionH relativeFrom="page">
                <wp:posOffset>895350</wp:posOffset>
              </wp:positionH>
              <wp:positionV relativeFrom="page">
                <wp:posOffset>9257525</wp:posOffset>
              </wp:positionV>
              <wp:extent cx="5982335" cy="63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1872" id="docshape47"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5120">
              <wp:simplePos x="0" y="0"/>
              <wp:positionH relativeFrom="page">
                <wp:posOffset>6152388</wp:posOffset>
              </wp:positionH>
              <wp:positionV relativeFrom="page">
                <wp:posOffset>9262882</wp:posOffset>
              </wp:positionV>
              <wp:extent cx="681355" cy="18859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12</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51360" type="#_x0000_t202" id="docshape48"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12</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5632">
              <wp:simplePos x="0" y="0"/>
              <wp:positionH relativeFrom="page">
                <wp:posOffset>895350</wp:posOffset>
              </wp:positionH>
              <wp:positionV relativeFrom="page">
                <wp:posOffset>9257525</wp:posOffset>
              </wp:positionV>
              <wp:extent cx="5982335" cy="635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0848" id="docshape4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6144">
              <wp:simplePos x="0" y="0"/>
              <wp:positionH relativeFrom="page">
                <wp:posOffset>6152388</wp:posOffset>
              </wp:positionH>
              <wp:positionV relativeFrom="page">
                <wp:posOffset>9262882</wp:posOffset>
              </wp:positionV>
              <wp:extent cx="681355" cy="18859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13</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50336" type="#_x0000_t202" id="docshape50"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13</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6656">
              <wp:simplePos x="0" y="0"/>
              <wp:positionH relativeFrom="page">
                <wp:posOffset>895350</wp:posOffset>
              </wp:positionH>
              <wp:positionV relativeFrom="page">
                <wp:posOffset>9257525</wp:posOffset>
              </wp:positionV>
              <wp:extent cx="5982335" cy="63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49824" id="docshape51"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7168">
              <wp:simplePos x="0" y="0"/>
              <wp:positionH relativeFrom="page">
                <wp:posOffset>6152388</wp:posOffset>
              </wp:positionH>
              <wp:positionV relativeFrom="page">
                <wp:posOffset>9262882</wp:posOffset>
              </wp:positionV>
              <wp:extent cx="681355" cy="18859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14</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49312" type="#_x0000_t202" id="docshape52"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14</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7680">
              <wp:simplePos x="0" y="0"/>
              <wp:positionH relativeFrom="page">
                <wp:posOffset>895350</wp:posOffset>
              </wp:positionH>
              <wp:positionV relativeFrom="page">
                <wp:posOffset>9257525</wp:posOffset>
              </wp:positionV>
              <wp:extent cx="5982335" cy="635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48800" id="docshape5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8192">
              <wp:simplePos x="0" y="0"/>
              <wp:positionH relativeFrom="page">
                <wp:posOffset>6152388</wp:posOffset>
              </wp:positionH>
              <wp:positionV relativeFrom="page">
                <wp:posOffset>9262882</wp:posOffset>
              </wp:positionV>
              <wp:extent cx="681355" cy="18859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15</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48288" type="#_x0000_t202" id="docshape54"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15</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8704">
              <wp:simplePos x="0" y="0"/>
              <wp:positionH relativeFrom="page">
                <wp:posOffset>895350</wp:posOffset>
              </wp:positionH>
              <wp:positionV relativeFrom="page">
                <wp:posOffset>9257525</wp:posOffset>
              </wp:positionV>
              <wp:extent cx="5982335" cy="635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47776" id="docshape5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69216">
              <wp:simplePos x="0" y="0"/>
              <wp:positionH relativeFrom="page">
                <wp:posOffset>6152388</wp:posOffset>
              </wp:positionH>
              <wp:positionV relativeFrom="page">
                <wp:posOffset>9262882</wp:posOffset>
              </wp:positionV>
              <wp:extent cx="681355" cy="18859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68135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16</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84.440002pt;margin-top:729.36084pt;width:53.65pt;height:14.85pt;mso-position-horizontal-relative:page;mso-position-vertical-relative:page;z-index:-20747264" type="#_x0000_t202" id="docshape56"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16</w:t>
                    </w:r>
                    <w:r>
                      <w:rPr>
                        <w:sz w:val="21"/>
                      </w:rPr>
                      <w:fldChar w:fldCharType="end"/>
                    </w:r>
                    <w:r>
                      <w:rPr>
                        <w:spacing w:val="-4"/>
                        <w:sz w:val="21"/>
                      </w:rPr>
                      <w:t> </w:t>
                    </w:r>
                    <w:r>
                      <w:rPr>
                        <w:w w:val="90"/>
                        <w:sz w:val="21"/>
                      </w:rPr>
                      <w:t>| </w:t>
                    </w:r>
                    <w:r>
                      <w:rPr>
                        <w:color w:val="7E7E7E"/>
                        <w:spacing w:val="12"/>
                        <w:sz w:val="21"/>
                      </w:rPr>
                      <w:t>P</w:t>
                    </w:r>
                    <w:r>
                      <w:rPr>
                        <w:color w:val="7E7E7E"/>
                        <w:spacing w:val="1"/>
                        <w:sz w:val="21"/>
                      </w:rPr>
                      <w:t> </w:t>
                    </w:r>
                    <w:r>
                      <w:rPr>
                        <w:color w:val="7E7E7E"/>
                        <w:spacing w:val="12"/>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0240">
              <wp:simplePos x="0" y="0"/>
              <wp:positionH relativeFrom="page">
                <wp:posOffset>806195</wp:posOffset>
              </wp:positionH>
              <wp:positionV relativeFrom="page">
                <wp:posOffset>9129509</wp:posOffset>
              </wp:positionV>
              <wp:extent cx="6159500" cy="635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46240" id="docshape5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70752">
              <wp:simplePos x="0" y="0"/>
              <wp:positionH relativeFrom="page">
                <wp:posOffset>6236970</wp:posOffset>
              </wp:positionH>
              <wp:positionV relativeFrom="page">
                <wp:posOffset>9162351</wp:posOffset>
              </wp:positionV>
              <wp:extent cx="721995" cy="15875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17</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1.100006pt;margin-top:721.445007pt;width:56.85pt;height:12.5pt;mso-position-horizontal-relative:page;mso-position-vertical-relative:page;z-index:-20745728" type="#_x0000_t202" id="docshape5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17</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1296">
              <wp:simplePos x="0" y="0"/>
              <wp:positionH relativeFrom="page">
                <wp:posOffset>5307342</wp:posOffset>
              </wp:positionH>
              <wp:positionV relativeFrom="page">
                <wp:posOffset>9220484</wp:posOffset>
              </wp:positionV>
              <wp:extent cx="1829435" cy="22796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829435" cy="227965"/>
                      </a:xfrm>
                      <a:prstGeom prst="rect">
                        <a:avLst/>
                      </a:prstGeom>
                    </wps:spPr>
                    <wps:txbx>
                      <w:txbxContent>
                        <w:p>
                          <w:pPr>
                            <w:spacing w:before="16"/>
                            <w:ind w:left="20" w:right="0" w:firstLine="0"/>
                            <w:jc w:val="left"/>
                            <w:rPr>
                              <w:rFonts w:ascii="Georgia"/>
                              <w:sz w:val="28"/>
                            </w:rPr>
                          </w:pPr>
                          <w:r>
                            <w:rPr>
                              <w:rFonts w:ascii="Georgia"/>
                              <w:spacing w:val="-8"/>
                              <w:sz w:val="28"/>
                            </w:rPr>
                            <w:t>FY</w:t>
                          </w:r>
                          <w:r>
                            <w:rPr>
                              <w:rFonts w:ascii="Georgia"/>
                              <w:spacing w:val="-9"/>
                              <w:sz w:val="28"/>
                            </w:rPr>
                            <w:t> </w:t>
                          </w:r>
                          <w:r>
                            <w:rPr>
                              <w:rFonts w:ascii="Georgia"/>
                              <w:spacing w:val="-8"/>
                              <w:sz w:val="28"/>
                            </w:rPr>
                            <w:t>2025 Annual</w:t>
                          </w:r>
                          <w:r>
                            <w:rPr>
                              <w:rFonts w:ascii="Georgia"/>
                              <w:spacing w:val="-9"/>
                              <w:sz w:val="28"/>
                            </w:rPr>
                            <w:t> </w:t>
                          </w:r>
                          <w:r>
                            <w:rPr>
                              <w:rFonts w:ascii="Georgia"/>
                              <w:spacing w:val="-8"/>
                              <w:sz w:val="28"/>
                            </w:rPr>
                            <w:t>Report</w:t>
                          </w:r>
                        </w:p>
                      </w:txbxContent>
                    </wps:txbx>
                    <wps:bodyPr wrap="square" lIns="0" tIns="0" rIns="0" bIns="0" rtlCol="0">
                      <a:noAutofit/>
                    </wps:bodyPr>
                  </wps:wsp>
                </a:graphicData>
              </a:graphic>
            </wp:anchor>
          </w:drawing>
        </mc:Choice>
        <mc:Fallback>
          <w:pict>
            <v:shape style="position:absolute;margin-left:417.901001pt;margin-top:726.02240pt;width:144.050pt;height:17.95pt;mso-position-horizontal-relative:page;mso-position-vertical-relative:page;z-index:-20765184" type="#_x0000_t202" id="docshape15" filled="false" stroked="false">
              <v:textbox inset="0,0,0,0">
                <w:txbxContent>
                  <w:p>
                    <w:pPr>
                      <w:spacing w:before="16"/>
                      <w:ind w:left="20" w:right="0" w:firstLine="0"/>
                      <w:jc w:val="left"/>
                      <w:rPr>
                        <w:rFonts w:ascii="Georgia"/>
                        <w:sz w:val="28"/>
                      </w:rPr>
                    </w:pPr>
                    <w:r>
                      <w:rPr>
                        <w:rFonts w:ascii="Georgia"/>
                        <w:spacing w:val="-8"/>
                        <w:sz w:val="28"/>
                      </w:rPr>
                      <w:t>FY</w:t>
                    </w:r>
                    <w:r>
                      <w:rPr>
                        <w:rFonts w:ascii="Georgia"/>
                        <w:spacing w:val="-9"/>
                        <w:sz w:val="28"/>
                      </w:rPr>
                      <w:t> </w:t>
                    </w:r>
                    <w:r>
                      <w:rPr>
                        <w:rFonts w:ascii="Georgia"/>
                        <w:spacing w:val="-8"/>
                        <w:sz w:val="28"/>
                      </w:rPr>
                      <w:t>2025 Annual</w:t>
                    </w:r>
                    <w:r>
                      <w:rPr>
                        <w:rFonts w:ascii="Georgia"/>
                        <w:spacing w:val="-9"/>
                        <w:sz w:val="28"/>
                      </w:rPr>
                      <w:t> </w:t>
                    </w:r>
                    <w:r>
                      <w:rPr>
                        <w:rFonts w:ascii="Georgia"/>
                        <w:spacing w:val="-8"/>
                        <w:sz w:val="28"/>
                      </w:rPr>
                      <w:t>Report</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1776">
              <wp:simplePos x="0" y="0"/>
              <wp:positionH relativeFrom="page">
                <wp:posOffset>6236970</wp:posOffset>
              </wp:positionH>
              <wp:positionV relativeFrom="page">
                <wp:posOffset>9162351</wp:posOffset>
              </wp:positionV>
              <wp:extent cx="721995" cy="15875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23</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1.100006pt;margin-top:721.445007pt;width:56.85pt;height:12.5pt;mso-position-horizontal-relative:page;mso-position-vertical-relative:page;z-index:-20744704" type="#_x0000_t202" id="docshape68"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23</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2800">
              <wp:simplePos x="0" y="0"/>
              <wp:positionH relativeFrom="page">
                <wp:posOffset>806195</wp:posOffset>
              </wp:positionH>
              <wp:positionV relativeFrom="page">
                <wp:posOffset>9129509</wp:posOffset>
              </wp:positionV>
              <wp:extent cx="6159500" cy="635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43680" id="docshape7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73312">
              <wp:simplePos x="0" y="0"/>
              <wp:positionH relativeFrom="page">
                <wp:posOffset>6236970</wp:posOffset>
              </wp:positionH>
              <wp:positionV relativeFrom="page">
                <wp:posOffset>9162351</wp:posOffset>
              </wp:positionV>
              <wp:extent cx="721995" cy="1587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1.100006pt;margin-top:721.445007pt;width:56.85pt;height:12.5pt;mso-position-horizontal-relative:page;mso-position-vertical-relative:page;z-index:-20743168" type="#_x0000_t202" id="docshape75"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4336">
              <wp:simplePos x="0" y="0"/>
              <wp:positionH relativeFrom="page">
                <wp:posOffset>895350</wp:posOffset>
              </wp:positionH>
              <wp:positionV relativeFrom="page">
                <wp:posOffset>9270492</wp:posOffset>
              </wp:positionV>
              <wp:extent cx="5982335" cy="635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982335" cy="6350"/>
                      </a:xfrm>
                      <a:custGeom>
                        <a:avLst/>
                        <a:gdLst/>
                        <a:ahLst/>
                        <a:cxnLst/>
                        <a:rect l="l" t="t" r="r" b="b"/>
                        <a:pathLst>
                          <a:path w="5982335" h="6350">
                            <a:moveTo>
                              <a:pt x="5981712" y="0"/>
                            </a:moveTo>
                            <a:lnTo>
                              <a:pt x="0" y="0"/>
                            </a:lnTo>
                            <a:lnTo>
                              <a:pt x="0" y="6095"/>
                            </a:lnTo>
                            <a:lnTo>
                              <a:pt x="5981712" y="6095"/>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9.960022pt;width:471.001pt;height:.48pt;mso-position-horizontal-relative:page;mso-position-vertical-relative:page;z-index:-20742144" id="docshape10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74848">
              <wp:simplePos x="0" y="0"/>
              <wp:positionH relativeFrom="page">
                <wp:posOffset>6147053</wp:posOffset>
              </wp:positionH>
              <wp:positionV relativeFrom="page">
                <wp:posOffset>9275863</wp:posOffset>
              </wp:positionV>
              <wp:extent cx="685800" cy="18224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685800"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31</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0"/>
                              <w:sz w:val="21"/>
                            </w:rPr>
                            <w:t>e</w:t>
                          </w:r>
                        </w:p>
                      </w:txbxContent>
                    </wps:txbx>
                    <wps:bodyPr wrap="square" lIns="0" tIns="0" rIns="0" bIns="0" rtlCol="0">
                      <a:noAutofit/>
                    </wps:bodyPr>
                  </wps:wsp>
                </a:graphicData>
              </a:graphic>
            </wp:anchor>
          </w:drawing>
        </mc:Choice>
        <mc:Fallback>
          <w:pict>
            <v:shape style="position:absolute;margin-left:484.019989pt;margin-top:730.382935pt;width:54pt;height:14.35pt;mso-position-horizontal-relative:page;mso-position-vertical-relative:page;z-index:-20741632" type="#_x0000_t202" id="docshape109"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31</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0"/>
                        <w:sz w:val="21"/>
                      </w:rPr>
                      <w:t>e</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5872">
              <wp:simplePos x="0" y="0"/>
              <wp:positionH relativeFrom="page">
                <wp:posOffset>806195</wp:posOffset>
              </wp:positionH>
              <wp:positionV relativeFrom="page">
                <wp:posOffset>9752824</wp:posOffset>
              </wp:positionV>
              <wp:extent cx="6115050" cy="635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6115050" cy="6350"/>
                      </a:xfrm>
                      <a:custGeom>
                        <a:avLst/>
                        <a:gdLst/>
                        <a:ahLst/>
                        <a:cxnLst/>
                        <a:rect l="l" t="t" r="r" b="b"/>
                        <a:pathLst>
                          <a:path w="6115050" h="6350">
                            <a:moveTo>
                              <a:pt x="6115050" y="0"/>
                            </a:moveTo>
                            <a:lnTo>
                              <a:pt x="0" y="0"/>
                            </a:lnTo>
                            <a:lnTo>
                              <a:pt x="0" y="6108"/>
                            </a:lnTo>
                            <a:lnTo>
                              <a:pt x="6115050" y="6108"/>
                            </a:lnTo>
                            <a:lnTo>
                              <a:pt x="61150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67.938965pt;width:481.5pt;height:.481pt;mso-position-horizontal-relative:page;mso-position-vertical-relative:page;z-index:-20740608" id="docshape146"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76384">
              <wp:simplePos x="0" y="0"/>
              <wp:positionH relativeFrom="page">
                <wp:posOffset>6192773</wp:posOffset>
              </wp:positionH>
              <wp:positionV relativeFrom="page">
                <wp:posOffset>9784905</wp:posOffset>
              </wp:positionV>
              <wp:extent cx="721995" cy="15875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56</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7.619995pt;margin-top:770.464966pt;width:56.85pt;height:12.5pt;mso-position-horizontal-relative:page;mso-position-vertical-relative:page;z-index:-20740096" type="#_x0000_t202" id="docshape147"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56</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7408">
              <wp:simplePos x="0" y="0"/>
              <wp:positionH relativeFrom="page">
                <wp:posOffset>6192773</wp:posOffset>
              </wp:positionH>
              <wp:positionV relativeFrom="page">
                <wp:posOffset>9784905</wp:posOffset>
              </wp:positionV>
              <wp:extent cx="721995" cy="15875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61</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7.619995pt;margin-top:770.464966pt;width:56.85pt;height:12.5pt;mso-position-horizontal-relative:page;mso-position-vertical-relative:page;z-index:-20739072" type="#_x0000_t202" id="docshape156"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61</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8432">
              <wp:simplePos x="0" y="0"/>
              <wp:positionH relativeFrom="page">
                <wp:posOffset>806195</wp:posOffset>
              </wp:positionH>
              <wp:positionV relativeFrom="page">
                <wp:posOffset>9752824</wp:posOffset>
              </wp:positionV>
              <wp:extent cx="6115050" cy="635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6115050" cy="6350"/>
                      </a:xfrm>
                      <a:custGeom>
                        <a:avLst/>
                        <a:gdLst/>
                        <a:ahLst/>
                        <a:cxnLst/>
                        <a:rect l="l" t="t" r="r" b="b"/>
                        <a:pathLst>
                          <a:path w="6115050" h="6350">
                            <a:moveTo>
                              <a:pt x="6115050" y="0"/>
                            </a:moveTo>
                            <a:lnTo>
                              <a:pt x="0" y="0"/>
                            </a:lnTo>
                            <a:lnTo>
                              <a:pt x="0" y="6108"/>
                            </a:lnTo>
                            <a:lnTo>
                              <a:pt x="6115050" y="6108"/>
                            </a:lnTo>
                            <a:lnTo>
                              <a:pt x="611505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67.938965pt;width:481.5pt;height:.481pt;mso-position-horizontal-relative:page;mso-position-vertical-relative:page;z-index:-20738048" id="docshape15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78944">
              <wp:simplePos x="0" y="0"/>
              <wp:positionH relativeFrom="page">
                <wp:posOffset>6192773</wp:posOffset>
              </wp:positionH>
              <wp:positionV relativeFrom="page">
                <wp:posOffset>9784905</wp:posOffset>
              </wp:positionV>
              <wp:extent cx="721995" cy="15875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67</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7.619995pt;margin-top:770.464966pt;width:56.85pt;height:12.5pt;mso-position-horizontal-relative:page;mso-position-vertical-relative:page;z-index:-20737536" type="#_x0000_t202" id="docshape15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67</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9968">
              <wp:simplePos x="0" y="0"/>
              <wp:positionH relativeFrom="page">
                <wp:posOffset>806195</wp:posOffset>
              </wp:positionH>
              <wp:positionV relativeFrom="page">
                <wp:posOffset>9025128</wp:posOffset>
              </wp:positionV>
              <wp:extent cx="6235700" cy="635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6235700" cy="6350"/>
                      </a:xfrm>
                      <a:custGeom>
                        <a:avLst/>
                        <a:gdLst/>
                        <a:ahLst/>
                        <a:cxnLst/>
                        <a:rect l="l" t="t" r="r" b="b"/>
                        <a:pathLst>
                          <a:path w="6235700" h="6350">
                            <a:moveTo>
                              <a:pt x="6235458" y="0"/>
                            </a:moveTo>
                            <a:lnTo>
                              <a:pt x="0" y="0"/>
                            </a:lnTo>
                            <a:lnTo>
                              <a:pt x="0" y="6096"/>
                            </a:lnTo>
                            <a:lnTo>
                              <a:pt x="6235458" y="6096"/>
                            </a:lnTo>
                            <a:lnTo>
                              <a:pt x="623545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0.640015pt;width:490.981pt;height:.48pt;mso-position-horizontal-relative:page;mso-position-vertical-relative:page;z-index:-20736512" id="docshape18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0480">
              <wp:simplePos x="0" y="0"/>
              <wp:positionH relativeFrom="page">
                <wp:posOffset>6313170</wp:posOffset>
              </wp:positionH>
              <wp:positionV relativeFrom="page">
                <wp:posOffset>9057195</wp:posOffset>
              </wp:positionV>
              <wp:extent cx="721995" cy="15875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721995"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70</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7.100006pt;margin-top:713.164978pt;width:56.85pt;height:12.5pt;mso-position-horizontal-relative:page;mso-position-vertical-relative:page;z-index:-20736000" type="#_x0000_t202" id="docshape186"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70</w:t>
                    </w:r>
                    <w:r>
                      <w:rPr>
                        <w:sz w:val="21"/>
                      </w:rPr>
                      <w:fldChar w:fldCharType="end"/>
                    </w:r>
                    <w:r>
                      <w:rPr>
                        <w:sz w:val="21"/>
                      </w:rPr>
                      <w:t> |</w:t>
                    </w:r>
                    <w:r>
                      <w:rPr>
                        <w:spacing w:val="-1"/>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1808">
              <wp:simplePos x="0" y="0"/>
              <wp:positionH relativeFrom="page">
                <wp:posOffset>895350</wp:posOffset>
              </wp:positionH>
              <wp:positionV relativeFrom="page">
                <wp:posOffset>9257525</wp:posOffset>
              </wp:positionV>
              <wp:extent cx="5982335" cy="635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64672" id="docshape1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2320">
              <wp:simplePos x="0" y="0"/>
              <wp:positionH relativeFrom="page">
                <wp:posOffset>6223253</wp:posOffset>
              </wp:positionH>
              <wp:positionV relativeFrom="page">
                <wp:posOffset>9262882</wp:posOffset>
              </wp:positionV>
              <wp:extent cx="610235" cy="18859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64160" type="#_x0000_t202" id="docshape19"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1504">
              <wp:simplePos x="0" y="0"/>
              <wp:positionH relativeFrom="page">
                <wp:posOffset>895350</wp:posOffset>
              </wp:positionH>
              <wp:positionV relativeFrom="page">
                <wp:posOffset>9257525</wp:posOffset>
              </wp:positionV>
              <wp:extent cx="5982335" cy="635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34976" id="docshape207"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2016">
              <wp:simplePos x="0" y="0"/>
              <wp:positionH relativeFrom="page">
                <wp:posOffset>6080759</wp:posOffset>
              </wp:positionH>
              <wp:positionV relativeFrom="page">
                <wp:posOffset>9262882</wp:posOffset>
              </wp:positionV>
              <wp:extent cx="752475" cy="18859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75247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100</w:t>
                          </w:r>
                          <w:r>
                            <w:rPr>
                              <w:sz w:val="21"/>
                            </w:rPr>
                            <w:fldChar w:fldCharType="end"/>
                          </w:r>
                          <w:r>
                            <w:rPr>
                              <w:spacing w:val="-4"/>
                              <w:sz w:val="21"/>
                            </w:rPr>
                            <w:t> </w:t>
                          </w:r>
                          <w:r>
                            <w:rPr>
                              <w:w w:val="95"/>
                              <w:sz w:val="21"/>
                            </w:rPr>
                            <w:t>|</w:t>
                          </w:r>
                          <w:r>
                            <w:rPr>
                              <w:spacing w:val="-2"/>
                              <w:w w:val="95"/>
                              <w:sz w:val="21"/>
                            </w:rPr>
                            <w:t> </w:t>
                          </w:r>
                          <w:r>
                            <w:rPr>
                              <w:color w:val="7E7E7E"/>
                              <w:sz w:val="21"/>
                            </w:rPr>
                            <w:t>P</w:t>
                          </w:r>
                          <w:r>
                            <w:rPr>
                              <w:color w:val="7E7E7E"/>
                              <w:spacing w:val="13"/>
                              <w:sz w:val="21"/>
                            </w:rPr>
                            <w:t> </w:t>
                          </w:r>
                          <w:r>
                            <w:rPr>
                              <w:color w:val="7E7E7E"/>
                              <w:spacing w:val="11"/>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78.799988pt;margin-top:729.36084pt;width:59.25pt;height:14.85pt;mso-position-horizontal-relative:page;mso-position-vertical-relative:page;z-index:-20734464" type="#_x0000_t202" id="docshape208"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100</w:t>
                    </w:r>
                    <w:r>
                      <w:rPr>
                        <w:sz w:val="21"/>
                      </w:rPr>
                      <w:fldChar w:fldCharType="end"/>
                    </w:r>
                    <w:r>
                      <w:rPr>
                        <w:spacing w:val="-4"/>
                        <w:sz w:val="21"/>
                      </w:rPr>
                      <w:t> </w:t>
                    </w:r>
                    <w:r>
                      <w:rPr>
                        <w:w w:val="95"/>
                        <w:sz w:val="21"/>
                      </w:rPr>
                      <w:t>|</w:t>
                    </w:r>
                    <w:r>
                      <w:rPr>
                        <w:spacing w:val="-2"/>
                        <w:w w:val="95"/>
                        <w:sz w:val="21"/>
                      </w:rPr>
                      <w:t> </w:t>
                    </w:r>
                    <w:r>
                      <w:rPr>
                        <w:color w:val="7E7E7E"/>
                        <w:sz w:val="21"/>
                      </w:rPr>
                      <w:t>P</w:t>
                    </w:r>
                    <w:r>
                      <w:rPr>
                        <w:color w:val="7E7E7E"/>
                        <w:spacing w:val="13"/>
                        <w:sz w:val="21"/>
                      </w:rPr>
                      <w:t> </w:t>
                    </w:r>
                    <w:r>
                      <w:rPr>
                        <w:color w:val="7E7E7E"/>
                        <w:spacing w:val="11"/>
                        <w:sz w:val="21"/>
                      </w:rPr>
                      <w:t>a</w:t>
                    </w:r>
                    <w:r>
                      <w:rPr>
                        <w:color w:val="7E7E7E"/>
                        <w:spacing w:val="1"/>
                        <w:sz w:val="21"/>
                      </w:rPr>
                      <w:t> </w:t>
                    </w:r>
                    <w:r>
                      <w:rPr>
                        <w:color w:val="7E7E7E"/>
                        <w:sz w:val="21"/>
                      </w:rPr>
                      <w:t>g</w:t>
                    </w:r>
                    <w:r>
                      <w:rPr>
                        <w:color w:val="7E7E7E"/>
                        <w:spacing w:val="13"/>
                        <w:sz w:val="21"/>
                      </w:rPr>
                      <w:t> </w:t>
                    </w:r>
                    <w:r>
                      <w:rPr>
                        <w:color w:val="7E7E7E"/>
                        <w:spacing w:val="-10"/>
                        <w:sz w:val="21"/>
                      </w:rPr>
                      <w:t>e</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3040">
              <wp:simplePos x="0" y="0"/>
              <wp:positionH relativeFrom="page">
                <wp:posOffset>806195</wp:posOffset>
              </wp:positionH>
              <wp:positionV relativeFrom="page">
                <wp:posOffset>8932913</wp:posOffset>
              </wp:positionV>
              <wp:extent cx="6286500" cy="635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286500" cy="6350"/>
                      </a:xfrm>
                      <a:custGeom>
                        <a:avLst/>
                        <a:gdLst/>
                        <a:ahLst/>
                        <a:cxnLst/>
                        <a:rect l="l" t="t" r="r" b="b"/>
                        <a:pathLst>
                          <a:path w="6286500" h="6350">
                            <a:moveTo>
                              <a:pt x="6286500" y="0"/>
                            </a:moveTo>
                            <a:lnTo>
                              <a:pt x="0" y="0"/>
                            </a:lnTo>
                            <a:lnTo>
                              <a:pt x="0" y="6108"/>
                            </a:lnTo>
                            <a:lnTo>
                              <a:pt x="6286500" y="6108"/>
                            </a:lnTo>
                            <a:lnTo>
                              <a:pt x="62865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03.379028pt;width:495pt;height:.481pt;mso-position-horizontal-relative:page;mso-position-vertical-relative:page;z-index:-20733440" id="docshape22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3552">
              <wp:simplePos x="0" y="0"/>
              <wp:positionH relativeFrom="page">
                <wp:posOffset>6297167</wp:posOffset>
              </wp:positionH>
              <wp:positionV relativeFrom="page">
                <wp:posOffset>8965755</wp:posOffset>
              </wp:positionV>
              <wp:extent cx="789940" cy="15875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123</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5.839996pt;margin-top:705.965027pt;width:62.2pt;height:12.5pt;mso-position-horizontal-relative:page;mso-position-vertical-relative:page;z-index:-20732928" type="#_x0000_t202" id="docshape226"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123</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4576">
              <wp:simplePos x="0" y="0"/>
              <wp:positionH relativeFrom="page">
                <wp:posOffset>806195</wp:posOffset>
              </wp:positionH>
              <wp:positionV relativeFrom="page">
                <wp:posOffset>9059418</wp:posOffset>
              </wp:positionV>
              <wp:extent cx="6197600" cy="6350"/>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6197600" cy="6350"/>
                      </a:xfrm>
                      <a:custGeom>
                        <a:avLst/>
                        <a:gdLst/>
                        <a:ahLst/>
                        <a:cxnLst/>
                        <a:rect l="l" t="t" r="r" b="b"/>
                        <a:pathLst>
                          <a:path w="6197600" h="6350">
                            <a:moveTo>
                              <a:pt x="6197346" y="0"/>
                            </a:moveTo>
                            <a:lnTo>
                              <a:pt x="0" y="0"/>
                            </a:lnTo>
                            <a:lnTo>
                              <a:pt x="0" y="6095"/>
                            </a:lnTo>
                            <a:lnTo>
                              <a:pt x="6197346" y="6095"/>
                            </a:lnTo>
                            <a:lnTo>
                              <a:pt x="61973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3.340027pt;width:487.98pt;height:.48pt;mso-position-horizontal-relative:page;mso-position-vertical-relative:page;z-index:-20731904" id="docshape247"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5088">
              <wp:simplePos x="0" y="0"/>
              <wp:positionH relativeFrom="page">
                <wp:posOffset>6208014</wp:posOffset>
              </wp:positionH>
              <wp:positionV relativeFrom="page">
                <wp:posOffset>9092247</wp:posOffset>
              </wp:positionV>
              <wp:extent cx="789940" cy="15875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139</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8.820007pt;margin-top:715.924988pt;width:62.2pt;height:12.5pt;mso-position-horizontal-relative:page;mso-position-vertical-relative:page;z-index:-20731392" type="#_x0000_t202" id="docshape248"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139</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6112">
              <wp:simplePos x="0" y="0"/>
              <wp:positionH relativeFrom="page">
                <wp:posOffset>895350</wp:posOffset>
              </wp:positionH>
              <wp:positionV relativeFrom="page">
                <wp:posOffset>9171431</wp:posOffset>
              </wp:positionV>
              <wp:extent cx="5982335" cy="6350"/>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2.159973pt;width:471.001pt;height:.48pt;mso-position-horizontal-relative:page;mso-position-vertical-relative:page;z-index:-20730368" id="docshape287"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6624">
              <wp:simplePos x="0" y="0"/>
              <wp:positionH relativeFrom="page">
                <wp:posOffset>6073140</wp:posOffset>
              </wp:positionH>
              <wp:positionV relativeFrom="page">
                <wp:posOffset>9176803</wp:posOffset>
              </wp:positionV>
              <wp:extent cx="760095" cy="18224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149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22.582947pt;width:59.85pt;height:14.35pt;mso-position-horizontal-relative:page;mso-position-vertical-relative:page;z-index:-20729856" type="#_x0000_t202" id="docshape288"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149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7648">
              <wp:simplePos x="0" y="0"/>
              <wp:positionH relativeFrom="page">
                <wp:posOffset>6073140</wp:posOffset>
              </wp:positionH>
              <wp:positionV relativeFrom="page">
                <wp:posOffset>9176803</wp:posOffset>
              </wp:positionV>
              <wp:extent cx="760095" cy="18224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158</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22.582947pt;width:59.85pt;height:14.35pt;mso-position-horizontal-relative:page;mso-position-vertical-relative:page;z-index:-20728832" type="#_x0000_t202" id="docshape295"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158</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8672">
              <wp:simplePos x="0" y="0"/>
              <wp:positionH relativeFrom="page">
                <wp:posOffset>895350</wp:posOffset>
              </wp:positionH>
              <wp:positionV relativeFrom="page">
                <wp:posOffset>9171431</wp:posOffset>
              </wp:positionV>
              <wp:extent cx="5982335" cy="6350"/>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2.159973pt;width:471.001pt;height:.48pt;mso-position-horizontal-relative:page;mso-position-vertical-relative:page;z-index:-20727808" id="docshape29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89184">
              <wp:simplePos x="0" y="0"/>
              <wp:positionH relativeFrom="page">
                <wp:posOffset>6073140</wp:posOffset>
              </wp:positionH>
              <wp:positionV relativeFrom="page">
                <wp:posOffset>9176803</wp:posOffset>
              </wp:positionV>
              <wp:extent cx="760095" cy="18224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159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22.582947pt;width:59.85pt;height:14.35pt;mso-position-horizontal-relative:page;mso-position-vertical-relative:page;z-index:-20727296" type="#_x0000_t202" id="docshape299"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159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2832">
              <wp:simplePos x="0" y="0"/>
              <wp:positionH relativeFrom="page">
                <wp:posOffset>895350</wp:posOffset>
              </wp:positionH>
              <wp:positionV relativeFrom="page">
                <wp:posOffset>9257525</wp:posOffset>
              </wp:positionV>
              <wp:extent cx="5982335" cy="63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63648" id="docshape22"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3344">
              <wp:simplePos x="0" y="0"/>
              <wp:positionH relativeFrom="page">
                <wp:posOffset>6223253</wp:posOffset>
              </wp:positionH>
              <wp:positionV relativeFrom="page">
                <wp:posOffset>9262882</wp:posOffset>
              </wp:positionV>
              <wp:extent cx="610235" cy="18859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2</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63136" type="#_x0000_t202" id="docshape23"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2</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0208">
              <wp:simplePos x="0" y="0"/>
              <wp:positionH relativeFrom="page">
                <wp:posOffset>895350</wp:posOffset>
              </wp:positionH>
              <wp:positionV relativeFrom="page">
                <wp:posOffset>9270492</wp:posOffset>
              </wp:positionV>
              <wp:extent cx="5982335" cy="635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5982335" cy="6350"/>
                      </a:xfrm>
                      <a:custGeom>
                        <a:avLst/>
                        <a:gdLst/>
                        <a:ahLst/>
                        <a:cxnLst/>
                        <a:rect l="l" t="t" r="r" b="b"/>
                        <a:pathLst>
                          <a:path w="5982335" h="6350">
                            <a:moveTo>
                              <a:pt x="5981712" y="0"/>
                            </a:moveTo>
                            <a:lnTo>
                              <a:pt x="0" y="0"/>
                            </a:lnTo>
                            <a:lnTo>
                              <a:pt x="0" y="6095"/>
                            </a:lnTo>
                            <a:lnTo>
                              <a:pt x="5981712" y="6095"/>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9.960022pt;width:471.001pt;height:.48pt;mso-position-horizontal-relative:page;mso-position-vertical-relative:page;z-index:-20726272" id="docshape31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0720">
              <wp:simplePos x="0" y="0"/>
              <wp:positionH relativeFrom="page">
                <wp:posOffset>6073140</wp:posOffset>
              </wp:positionH>
              <wp:positionV relativeFrom="page">
                <wp:posOffset>9275863</wp:posOffset>
              </wp:positionV>
              <wp:extent cx="760095" cy="18224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161</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30.382935pt;width:59.85pt;height:14.35pt;mso-position-horizontal-relative:page;mso-position-vertical-relative:page;z-index:-20725760" type="#_x0000_t202" id="docshape315"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161</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1744">
              <wp:simplePos x="0" y="0"/>
              <wp:positionH relativeFrom="page">
                <wp:posOffset>806195</wp:posOffset>
              </wp:positionH>
              <wp:positionV relativeFrom="page">
                <wp:posOffset>9129509</wp:posOffset>
              </wp:positionV>
              <wp:extent cx="6159500" cy="6350"/>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24736" id="docshape33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2256">
              <wp:simplePos x="0" y="0"/>
              <wp:positionH relativeFrom="page">
                <wp:posOffset>6169914</wp:posOffset>
              </wp:positionH>
              <wp:positionV relativeFrom="page">
                <wp:posOffset>9162351</wp:posOffset>
              </wp:positionV>
              <wp:extent cx="789940" cy="15875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202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24224" type="#_x0000_t202" id="docshape33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202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3280">
              <wp:simplePos x="0" y="0"/>
              <wp:positionH relativeFrom="page">
                <wp:posOffset>806195</wp:posOffset>
              </wp:positionH>
              <wp:positionV relativeFrom="page">
                <wp:posOffset>8968740</wp:posOffset>
              </wp:positionV>
              <wp:extent cx="6159500" cy="6350"/>
              <wp:effectExtent l="0" t="0" r="0" b="0"/>
              <wp:wrapNone/>
              <wp:docPr id="475" name="Graphic 475"/>
              <wp:cNvGraphicFramePr>
                <a:graphicFrameLocks/>
              </wp:cNvGraphicFramePr>
              <a:graphic>
                <a:graphicData uri="http://schemas.microsoft.com/office/word/2010/wordprocessingShape">
                  <wps:wsp>
                    <wps:cNvPr id="475" name="Graphic 475"/>
                    <wps:cNvSpPr/>
                    <wps:spPr>
                      <a:xfrm>
                        <a:off x="0" y="0"/>
                        <a:ext cx="6159500" cy="6350"/>
                      </a:xfrm>
                      <a:custGeom>
                        <a:avLst/>
                        <a:gdLst/>
                        <a:ahLst/>
                        <a:cxnLst/>
                        <a:rect l="l" t="t" r="r" b="b"/>
                        <a:pathLst>
                          <a:path w="6159500" h="6350">
                            <a:moveTo>
                              <a:pt x="6159246" y="0"/>
                            </a:moveTo>
                            <a:lnTo>
                              <a:pt x="0" y="0"/>
                            </a:lnTo>
                            <a:lnTo>
                              <a:pt x="0" y="6095"/>
                            </a:lnTo>
                            <a:lnTo>
                              <a:pt x="6159246" y="6095"/>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06.200012pt;width:484.98pt;height:.48pt;mso-position-horizontal-relative:page;mso-position-vertical-relative:page;z-index:-20723200" id="docshape38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3792">
              <wp:simplePos x="0" y="0"/>
              <wp:positionH relativeFrom="page">
                <wp:posOffset>6169914</wp:posOffset>
              </wp:positionH>
              <wp:positionV relativeFrom="page">
                <wp:posOffset>9000807</wp:posOffset>
              </wp:positionV>
              <wp:extent cx="789940" cy="15875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217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08.724976pt;width:62.2pt;height:12.5pt;mso-position-horizontal-relative:page;mso-position-vertical-relative:page;z-index:-20722688" type="#_x0000_t202" id="docshape384"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217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4816">
              <wp:simplePos x="0" y="0"/>
              <wp:positionH relativeFrom="page">
                <wp:posOffset>895350</wp:posOffset>
              </wp:positionH>
              <wp:positionV relativeFrom="page">
                <wp:posOffset>9270492</wp:posOffset>
              </wp:positionV>
              <wp:extent cx="5982335" cy="6350"/>
              <wp:effectExtent l="0" t="0" r="0" b="0"/>
              <wp:wrapNone/>
              <wp:docPr id="502" name="Graphic 502"/>
              <wp:cNvGraphicFramePr>
                <a:graphicFrameLocks/>
              </wp:cNvGraphicFramePr>
              <a:graphic>
                <a:graphicData uri="http://schemas.microsoft.com/office/word/2010/wordprocessingShape">
                  <wps:wsp>
                    <wps:cNvPr id="502" name="Graphic 502"/>
                    <wps:cNvSpPr/>
                    <wps:spPr>
                      <a:xfrm>
                        <a:off x="0" y="0"/>
                        <a:ext cx="5982335" cy="6350"/>
                      </a:xfrm>
                      <a:custGeom>
                        <a:avLst/>
                        <a:gdLst/>
                        <a:ahLst/>
                        <a:cxnLst/>
                        <a:rect l="l" t="t" r="r" b="b"/>
                        <a:pathLst>
                          <a:path w="5982335" h="6350">
                            <a:moveTo>
                              <a:pt x="5981712" y="0"/>
                            </a:moveTo>
                            <a:lnTo>
                              <a:pt x="0" y="0"/>
                            </a:lnTo>
                            <a:lnTo>
                              <a:pt x="0" y="6095"/>
                            </a:lnTo>
                            <a:lnTo>
                              <a:pt x="5981712" y="6095"/>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9.960022pt;width:471.001pt;height:.48pt;mso-position-horizontal-relative:page;mso-position-vertical-relative:page;z-index:-20721664" id="docshape40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5328">
              <wp:simplePos x="0" y="0"/>
              <wp:positionH relativeFrom="page">
                <wp:posOffset>6073140</wp:posOffset>
              </wp:positionH>
              <wp:positionV relativeFrom="page">
                <wp:posOffset>9275863</wp:posOffset>
              </wp:positionV>
              <wp:extent cx="760095" cy="18224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226</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30.382935pt;width:59.85pt;height:14.35pt;mso-position-horizontal-relative:page;mso-position-vertical-relative:page;z-index:-20721152" type="#_x0000_t202" id="docshape405"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226</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6352">
              <wp:simplePos x="0" y="0"/>
              <wp:positionH relativeFrom="page">
                <wp:posOffset>806195</wp:posOffset>
              </wp:positionH>
              <wp:positionV relativeFrom="page">
                <wp:posOffset>9025128</wp:posOffset>
              </wp:positionV>
              <wp:extent cx="6159500" cy="635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6159500" cy="6350"/>
                      </a:xfrm>
                      <a:custGeom>
                        <a:avLst/>
                        <a:gdLst/>
                        <a:ahLst/>
                        <a:cxnLst/>
                        <a:rect l="l" t="t" r="r" b="b"/>
                        <a:pathLst>
                          <a:path w="6159500" h="6350">
                            <a:moveTo>
                              <a:pt x="6159246" y="0"/>
                            </a:moveTo>
                            <a:lnTo>
                              <a:pt x="0" y="0"/>
                            </a:lnTo>
                            <a:lnTo>
                              <a:pt x="0" y="6096"/>
                            </a:lnTo>
                            <a:lnTo>
                              <a:pt x="6159246" y="6096"/>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0.640015pt;width:484.98pt;height:.48pt;mso-position-horizontal-relative:page;mso-position-vertical-relative:page;z-index:-20720128" id="docshape420"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6864">
              <wp:simplePos x="0" y="0"/>
              <wp:positionH relativeFrom="page">
                <wp:posOffset>6169914</wp:posOffset>
              </wp:positionH>
              <wp:positionV relativeFrom="page">
                <wp:posOffset>9057957</wp:posOffset>
              </wp:positionV>
              <wp:extent cx="789940" cy="15875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13.224976pt;width:62.2pt;height:12.5pt;mso-position-horizontal-relative:page;mso-position-vertical-relative:page;z-index:-20719616" type="#_x0000_t202" id="docshape421"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3856">
              <wp:simplePos x="0" y="0"/>
              <wp:positionH relativeFrom="page">
                <wp:posOffset>895350</wp:posOffset>
              </wp:positionH>
              <wp:positionV relativeFrom="page">
                <wp:posOffset>9257525</wp:posOffset>
              </wp:positionV>
              <wp:extent cx="5982335" cy="63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62624" id="docshape2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4368">
              <wp:simplePos x="0" y="0"/>
              <wp:positionH relativeFrom="page">
                <wp:posOffset>6223253</wp:posOffset>
              </wp:positionH>
              <wp:positionV relativeFrom="page">
                <wp:posOffset>9262882</wp:posOffset>
              </wp:positionV>
              <wp:extent cx="610235" cy="1885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3</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62112" type="#_x0000_t202" id="docshape25"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3</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7888">
              <wp:simplePos x="0" y="0"/>
              <wp:positionH relativeFrom="page">
                <wp:posOffset>806195</wp:posOffset>
              </wp:positionH>
              <wp:positionV relativeFrom="page">
                <wp:posOffset>9129509</wp:posOffset>
              </wp:positionV>
              <wp:extent cx="6159500" cy="6350"/>
              <wp:effectExtent l="0" t="0" r="0" b="0"/>
              <wp:wrapNone/>
              <wp:docPr id="528" name="Graphic 528"/>
              <wp:cNvGraphicFramePr>
                <a:graphicFrameLocks/>
              </wp:cNvGraphicFramePr>
              <a:graphic>
                <a:graphicData uri="http://schemas.microsoft.com/office/word/2010/wordprocessingShape">
                  <wps:wsp>
                    <wps:cNvPr id="528" name="Graphic 528"/>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18592" id="docshape42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8400">
              <wp:simplePos x="0" y="0"/>
              <wp:positionH relativeFrom="page">
                <wp:posOffset>6169914</wp:posOffset>
              </wp:positionH>
              <wp:positionV relativeFrom="page">
                <wp:posOffset>9162351</wp:posOffset>
              </wp:positionV>
              <wp:extent cx="789940" cy="15875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246</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18080" type="#_x0000_t202" id="docshape426"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246</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9424">
              <wp:simplePos x="0" y="0"/>
              <wp:positionH relativeFrom="page">
                <wp:posOffset>895350</wp:posOffset>
              </wp:positionH>
              <wp:positionV relativeFrom="page">
                <wp:posOffset>9270492</wp:posOffset>
              </wp:positionV>
              <wp:extent cx="5982335" cy="6350"/>
              <wp:effectExtent l="0" t="0" r="0" b="0"/>
              <wp:wrapNone/>
              <wp:docPr id="538" name="Graphic 538"/>
              <wp:cNvGraphicFramePr>
                <a:graphicFrameLocks/>
              </wp:cNvGraphicFramePr>
              <a:graphic>
                <a:graphicData uri="http://schemas.microsoft.com/office/word/2010/wordprocessingShape">
                  <wps:wsp>
                    <wps:cNvPr id="538" name="Graphic 538"/>
                    <wps:cNvSpPr/>
                    <wps:spPr>
                      <a:xfrm>
                        <a:off x="0" y="0"/>
                        <a:ext cx="5982335" cy="6350"/>
                      </a:xfrm>
                      <a:custGeom>
                        <a:avLst/>
                        <a:gdLst/>
                        <a:ahLst/>
                        <a:cxnLst/>
                        <a:rect l="l" t="t" r="r" b="b"/>
                        <a:pathLst>
                          <a:path w="5982335" h="6350">
                            <a:moveTo>
                              <a:pt x="5981712" y="0"/>
                            </a:moveTo>
                            <a:lnTo>
                              <a:pt x="0" y="0"/>
                            </a:lnTo>
                            <a:lnTo>
                              <a:pt x="0" y="6095"/>
                            </a:lnTo>
                            <a:lnTo>
                              <a:pt x="5981712" y="6095"/>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9.960022pt;width:471.001pt;height:.48pt;mso-position-horizontal-relative:page;mso-position-vertical-relative:page;z-index:-20717056" id="docshape435"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99936">
              <wp:simplePos x="0" y="0"/>
              <wp:positionH relativeFrom="page">
                <wp:posOffset>6073140</wp:posOffset>
              </wp:positionH>
              <wp:positionV relativeFrom="page">
                <wp:posOffset>9275863</wp:posOffset>
              </wp:positionV>
              <wp:extent cx="760095" cy="18224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760095" cy="182245"/>
                      </a:xfrm>
                      <a:prstGeom prst="rect">
                        <a:avLst/>
                      </a:prstGeom>
                    </wps:spPr>
                    <wps:txbx>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249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wps:txbx>
                    <wps:bodyPr wrap="square" lIns="0" tIns="0" rIns="0" bIns="0" rtlCol="0">
                      <a:noAutofit/>
                    </wps:bodyPr>
                  </wps:wsp>
                </a:graphicData>
              </a:graphic>
            </wp:anchor>
          </w:drawing>
        </mc:Choice>
        <mc:Fallback>
          <w:pict>
            <v:shape style="position:absolute;margin-left:478.200012pt;margin-top:730.382935pt;width:59.85pt;height:14.35pt;mso-position-horizontal-relative:page;mso-position-vertical-relative:page;z-index:-20716544" type="#_x0000_t202" id="docshape436" filled="false" stroked="false">
              <v:textbox inset="0,0,0,0">
                <w:txbxContent>
                  <w:p>
                    <w:pPr>
                      <w:spacing w:before="20"/>
                      <w:ind w:left="60" w:right="0" w:firstLine="0"/>
                      <w:jc w:val="left"/>
                      <w:rPr>
                        <w:rFonts w:ascii="Cambria"/>
                        <w:sz w:val="21"/>
                      </w:rPr>
                    </w:pPr>
                    <w:r>
                      <w:rPr>
                        <w:rFonts w:ascii="Cambria"/>
                        <w:sz w:val="21"/>
                      </w:rPr>
                      <w:fldChar w:fldCharType="begin"/>
                    </w:r>
                    <w:r>
                      <w:rPr>
                        <w:rFonts w:ascii="Cambria"/>
                        <w:sz w:val="21"/>
                      </w:rPr>
                      <w:instrText> PAGE </w:instrText>
                    </w:r>
                    <w:r>
                      <w:rPr>
                        <w:rFonts w:ascii="Cambria"/>
                        <w:sz w:val="21"/>
                      </w:rPr>
                      <w:fldChar w:fldCharType="separate"/>
                    </w:r>
                    <w:r>
                      <w:rPr>
                        <w:rFonts w:ascii="Cambria"/>
                        <w:sz w:val="21"/>
                      </w:rPr>
                      <w:t>249</w:t>
                    </w:r>
                    <w:r>
                      <w:rPr>
                        <w:rFonts w:ascii="Cambria"/>
                        <w:sz w:val="21"/>
                      </w:rPr>
                      <w:fldChar w:fldCharType="end"/>
                    </w:r>
                    <w:r>
                      <w:rPr>
                        <w:rFonts w:ascii="Cambria"/>
                        <w:sz w:val="21"/>
                      </w:rPr>
                      <w:t> | </w:t>
                    </w:r>
                    <w:r>
                      <w:rPr>
                        <w:rFonts w:ascii="Cambria"/>
                        <w:color w:val="7E7E7E"/>
                        <w:spacing w:val="13"/>
                        <w:sz w:val="21"/>
                      </w:rPr>
                      <w:t>P</w:t>
                    </w:r>
                    <w:r>
                      <w:rPr>
                        <w:rFonts w:ascii="Cambria"/>
                        <w:color w:val="7E7E7E"/>
                        <w:sz w:val="21"/>
                      </w:rPr>
                      <w:t> </w:t>
                    </w:r>
                    <w:r>
                      <w:rPr>
                        <w:rFonts w:ascii="Cambria"/>
                        <w:color w:val="7E7E7E"/>
                        <w:spacing w:val="13"/>
                        <w:sz w:val="21"/>
                      </w:rPr>
                      <w:t>a</w:t>
                    </w:r>
                    <w:r>
                      <w:rPr>
                        <w:rFonts w:ascii="Cambria"/>
                        <w:color w:val="7E7E7E"/>
                        <w:sz w:val="21"/>
                      </w:rPr>
                      <w:t> g</w:t>
                    </w:r>
                    <w:r>
                      <w:rPr>
                        <w:rFonts w:ascii="Cambria"/>
                        <w:color w:val="7E7E7E"/>
                        <w:spacing w:val="14"/>
                        <w:sz w:val="21"/>
                      </w:rPr>
                      <w:t> </w:t>
                    </w:r>
                    <w:r>
                      <w:rPr>
                        <w:rFonts w:ascii="Cambria"/>
                        <w:color w:val="7E7E7E"/>
                        <w:spacing w:val="-12"/>
                        <w:sz w:val="21"/>
                      </w:rPr>
                      <w:t>e</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0960">
              <wp:simplePos x="0" y="0"/>
              <wp:positionH relativeFrom="page">
                <wp:posOffset>806195</wp:posOffset>
              </wp:positionH>
              <wp:positionV relativeFrom="page">
                <wp:posOffset>9129509</wp:posOffset>
              </wp:positionV>
              <wp:extent cx="6159500" cy="6350"/>
              <wp:effectExtent l="0" t="0" r="0" b="0"/>
              <wp:wrapNone/>
              <wp:docPr id="544" name="Graphic 544"/>
              <wp:cNvGraphicFramePr>
                <a:graphicFrameLocks/>
              </wp:cNvGraphicFramePr>
              <a:graphic>
                <a:graphicData uri="http://schemas.microsoft.com/office/word/2010/wordprocessingShape">
                  <wps:wsp>
                    <wps:cNvPr id="544" name="Graphic 544"/>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15520" id="docshape441"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1472">
              <wp:simplePos x="0" y="0"/>
              <wp:positionH relativeFrom="page">
                <wp:posOffset>6169914</wp:posOffset>
              </wp:positionH>
              <wp:positionV relativeFrom="page">
                <wp:posOffset>9162351</wp:posOffset>
              </wp:positionV>
              <wp:extent cx="789940" cy="15875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255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15008" type="#_x0000_t202" id="docshape442"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255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2496">
              <wp:simplePos x="0" y="0"/>
              <wp:positionH relativeFrom="page">
                <wp:posOffset>806195</wp:posOffset>
              </wp:positionH>
              <wp:positionV relativeFrom="page">
                <wp:posOffset>9129509</wp:posOffset>
              </wp:positionV>
              <wp:extent cx="6159500" cy="6350"/>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13984" id="docshape45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3008">
              <wp:simplePos x="0" y="0"/>
              <wp:positionH relativeFrom="page">
                <wp:posOffset>6169914</wp:posOffset>
              </wp:positionH>
              <wp:positionV relativeFrom="page">
                <wp:posOffset>9162351</wp:posOffset>
              </wp:positionV>
              <wp:extent cx="789940" cy="15875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258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13472" type="#_x0000_t202" id="docshape454"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258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4032">
              <wp:simplePos x="0" y="0"/>
              <wp:positionH relativeFrom="page">
                <wp:posOffset>806195</wp:posOffset>
              </wp:positionH>
              <wp:positionV relativeFrom="page">
                <wp:posOffset>9129509</wp:posOffset>
              </wp:positionV>
              <wp:extent cx="6159500" cy="6350"/>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12448" id="docshape46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4544">
              <wp:simplePos x="0" y="0"/>
              <wp:positionH relativeFrom="page">
                <wp:posOffset>6169914</wp:posOffset>
              </wp:positionH>
              <wp:positionV relativeFrom="page">
                <wp:posOffset>9162351</wp:posOffset>
              </wp:positionV>
              <wp:extent cx="789940" cy="15875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267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11936" type="#_x0000_t202" id="docshape464"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267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5568">
              <wp:simplePos x="0" y="0"/>
              <wp:positionH relativeFrom="page">
                <wp:posOffset>806195</wp:posOffset>
              </wp:positionH>
              <wp:positionV relativeFrom="page">
                <wp:posOffset>9129509</wp:posOffset>
              </wp:positionV>
              <wp:extent cx="6159500" cy="6350"/>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10912" id="docshape46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6080">
              <wp:simplePos x="0" y="0"/>
              <wp:positionH relativeFrom="page">
                <wp:posOffset>6169914</wp:posOffset>
              </wp:positionH>
              <wp:positionV relativeFrom="page">
                <wp:posOffset>9162351</wp:posOffset>
              </wp:positionV>
              <wp:extent cx="789940" cy="15875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269</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10400" type="#_x0000_t202" id="docshape47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269</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7104">
              <wp:simplePos x="0" y="0"/>
              <wp:positionH relativeFrom="page">
                <wp:posOffset>794004</wp:posOffset>
              </wp:positionH>
              <wp:positionV relativeFrom="page">
                <wp:posOffset>9129509</wp:posOffset>
              </wp:positionV>
              <wp:extent cx="6172200" cy="6350"/>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6172200" cy="6350"/>
                      </a:xfrm>
                      <a:custGeom>
                        <a:avLst/>
                        <a:gdLst/>
                        <a:ahLst/>
                        <a:cxnLst/>
                        <a:rect l="l" t="t" r="r" b="b"/>
                        <a:pathLst>
                          <a:path w="6172200" h="6350">
                            <a:moveTo>
                              <a:pt x="6172200" y="0"/>
                            </a:moveTo>
                            <a:lnTo>
                              <a:pt x="0" y="0"/>
                            </a:lnTo>
                            <a:lnTo>
                              <a:pt x="0" y="6108"/>
                            </a:lnTo>
                            <a:lnTo>
                              <a:pt x="6172200" y="6108"/>
                            </a:lnTo>
                            <a:lnTo>
                              <a:pt x="61722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2.52pt;margin-top:718.859009pt;width:486pt;height:.481pt;mso-position-horizontal-relative:page;mso-position-vertical-relative:page;z-index:-20709376" id="docshape47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7616">
              <wp:simplePos x="0" y="0"/>
              <wp:positionH relativeFrom="page">
                <wp:posOffset>6170676</wp:posOffset>
              </wp:positionH>
              <wp:positionV relativeFrom="page">
                <wp:posOffset>9162351</wp:posOffset>
              </wp:positionV>
              <wp:extent cx="789940" cy="15875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272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80005pt;margin-top:721.445007pt;width:62.2pt;height:12.5pt;mso-position-horizontal-relative:page;mso-position-vertical-relative:page;z-index:-20708864" type="#_x0000_t202" id="docshape48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272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8640">
              <wp:simplePos x="0" y="0"/>
              <wp:positionH relativeFrom="page">
                <wp:posOffset>806195</wp:posOffset>
              </wp:positionH>
              <wp:positionV relativeFrom="page">
                <wp:posOffset>9129509</wp:posOffset>
              </wp:positionV>
              <wp:extent cx="6159500" cy="635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07840" id="docshape491"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09152">
              <wp:simplePos x="0" y="0"/>
              <wp:positionH relativeFrom="page">
                <wp:posOffset>6169914</wp:posOffset>
              </wp:positionH>
              <wp:positionV relativeFrom="page">
                <wp:posOffset>9162351</wp:posOffset>
              </wp:positionV>
              <wp:extent cx="789940" cy="15875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275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07328" type="#_x0000_t202" id="docshape492"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275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0176">
              <wp:simplePos x="0" y="0"/>
              <wp:positionH relativeFrom="page">
                <wp:posOffset>806195</wp:posOffset>
              </wp:positionH>
              <wp:positionV relativeFrom="page">
                <wp:posOffset>9129509</wp:posOffset>
              </wp:positionV>
              <wp:extent cx="6159500" cy="6350"/>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06304" id="docshape496"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0688">
              <wp:simplePos x="0" y="0"/>
              <wp:positionH relativeFrom="page">
                <wp:posOffset>6169914</wp:posOffset>
              </wp:positionH>
              <wp:positionV relativeFrom="page">
                <wp:posOffset>9162351</wp:posOffset>
              </wp:positionV>
              <wp:extent cx="789940" cy="158750"/>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280</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05792" type="#_x0000_t202" id="docshape497"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280</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1712">
              <wp:simplePos x="0" y="0"/>
              <wp:positionH relativeFrom="page">
                <wp:posOffset>806195</wp:posOffset>
              </wp:positionH>
              <wp:positionV relativeFrom="page">
                <wp:posOffset>9129509</wp:posOffset>
              </wp:positionV>
              <wp:extent cx="6159500" cy="6350"/>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04768" id="docshape506"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2224">
              <wp:simplePos x="0" y="0"/>
              <wp:positionH relativeFrom="page">
                <wp:posOffset>6169914</wp:posOffset>
              </wp:positionH>
              <wp:positionV relativeFrom="page">
                <wp:posOffset>9162351</wp:posOffset>
              </wp:positionV>
              <wp:extent cx="789940" cy="15875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284</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04256" type="#_x0000_t202" id="docshape507"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284</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4880">
              <wp:simplePos x="0" y="0"/>
              <wp:positionH relativeFrom="page">
                <wp:posOffset>895350</wp:posOffset>
              </wp:positionH>
              <wp:positionV relativeFrom="page">
                <wp:posOffset>9257525</wp:posOffset>
              </wp:positionV>
              <wp:extent cx="5982335" cy="63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61600" id="docshape27"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5392">
              <wp:simplePos x="0" y="0"/>
              <wp:positionH relativeFrom="page">
                <wp:posOffset>6223253</wp:posOffset>
              </wp:positionH>
              <wp:positionV relativeFrom="page">
                <wp:posOffset>9262882</wp:posOffset>
              </wp:positionV>
              <wp:extent cx="610235" cy="18859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4</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61088" type="#_x0000_t202" id="docshape28"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4</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3248">
              <wp:simplePos x="0" y="0"/>
              <wp:positionH relativeFrom="page">
                <wp:posOffset>806195</wp:posOffset>
              </wp:positionH>
              <wp:positionV relativeFrom="page">
                <wp:posOffset>9129509</wp:posOffset>
              </wp:positionV>
              <wp:extent cx="6159500" cy="6350"/>
              <wp:effectExtent l="0" t="0" r="0" b="0"/>
              <wp:wrapNone/>
              <wp:docPr id="621" name="Graphic 621"/>
              <wp:cNvGraphicFramePr>
                <a:graphicFrameLocks/>
              </wp:cNvGraphicFramePr>
              <a:graphic>
                <a:graphicData uri="http://schemas.microsoft.com/office/word/2010/wordprocessingShape">
                  <wps:wsp>
                    <wps:cNvPr id="621" name="Graphic 621"/>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03232" id="docshape51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3760">
              <wp:simplePos x="0" y="0"/>
              <wp:positionH relativeFrom="page">
                <wp:posOffset>6169914</wp:posOffset>
              </wp:positionH>
              <wp:positionV relativeFrom="page">
                <wp:posOffset>9162351</wp:posOffset>
              </wp:positionV>
              <wp:extent cx="789940" cy="15875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702720" type="#_x0000_t202" id="docshape51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288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4784">
              <wp:simplePos x="0" y="0"/>
              <wp:positionH relativeFrom="page">
                <wp:posOffset>806195</wp:posOffset>
              </wp:positionH>
              <wp:positionV relativeFrom="page">
                <wp:posOffset>9129509</wp:posOffset>
              </wp:positionV>
              <wp:extent cx="6210935" cy="6350"/>
              <wp:effectExtent l="0" t="0" r="0" b="0"/>
              <wp:wrapNone/>
              <wp:docPr id="631" name="Graphic 631"/>
              <wp:cNvGraphicFramePr>
                <a:graphicFrameLocks/>
              </wp:cNvGraphicFramePr>
              <a:graphic>
                <a:graphicData uri="http://schemas.microsoft.com/office/word/2010/wordprocessingShape">
                  <wps:wsp>
                    <wps:cNvPr id="631" name="Graphic 631"/>
                    <wps:cNvSpPr/>
                    <wps:spPr>
                      <a:xfrm>
                        <a:off x="0" y="0"/>
                        <a:ext cx="6210935" cy="6350"/>
                      </a:xfrm>
                      <a:custGeom>
                        <a:avLst/>
                        <a:gdLst/>
                        <a:ahLst/>
                        <a:cxnLst/>
                        <a:rect l="l" t="t" r="r" b="b"/>
                        <a:pathLst>
                          <a:path w="6210935" h="6350">
                            <a:moveTo>
                              <a:pt x="6210312" y="0"/>
                            </a:moveTo>
                            <a:lnTo>
                              <a:pt x="0" y="0"/>
                            </a:lnTo>
                            <a:lnTo>
                              <a:pt x="0" y="6108"/>
                            </a:lnTo>
                            <a:lnTo>
                              <a:pt x="6210312" y="6108"/>
                            </a:lnTo>
                            <a:lnTo>
                              <a:pt x="62103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9.001pt;height:.481pt;mso-position-horizontal-relative:page;mso-position-vertical-relative:page;z-index:-20701696" id="docshape52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5296">
              <wp:simplePos x="0" y="0"/>
              <wp:positionH relativeFrom="page">
                <wp:posOffset>6220967</wp:posOffset>
              </wp:positionH>
              <wp:positionV relativeFrom="page">
                <wp:posOffset>9162351</wp:posOffset>
              </wp:positionV>
              <wp:extent cx="789940" cy="15875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292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9.839996pt;margin-top:721.445007pt;width:62.2pt;height:12.5pt;mso-position-horizontal-relative:page;mso-position-vertical-relative:page;z-index:-20701184" type="#_x0000_t202" id="docshape52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292</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6320">
              <wp:simplePos x="0" y="0"/>
              <wp:positionH relativeFrom="page">
                <wp:posOffset>806195</wp:posOffset>
              </wp:positionH>
              <wp:positionV relativeFrom="page">
                <wp:posOffset>9129509</wp:posOffset>
              </wp:positionV>
              <wp:extent cx="6159500" cy="6350"/>
              <wp:effectExtent l="0" t="0" r="0" b="0"/>
              <wp:wrapNone/>
              <wp:docPr id="637" name="Graphic 637"/>
              <wp:cNvGraphicFramePr>
                <a:graphicFrameLocks/>
              </wp:cNvGraphicFramePr>
              <a:graphic>
                <a:graphicData uri="http://schemas.microsoft.com/office/word/2010/wordprocessingShape">
                  <wps:wsp>
                    <wps:cNvPr id="637" name="Graphic 637"/>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700160" id="docshape53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6832">
              <wp:simplePos x="0" y="0"/>
              <wp:positionH relativeFrom="page">
                <wp:posOffset>6169914</wp:posOffset>
              </wp:positionH>
              <wp:positionV relativeFrom="page">
                <wp:posOffset>9162351</wp:posOffset>
              </wp:positionV>
              <wp:extent cx="789940" cy="15875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297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699648" type="#_x0000_t202" id="docshape535"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297</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7856">
              <wp:simplePos x="0" y="0"/>
              <wp:positionH relativeFrom="page">
                <wp:posOffset>806195</wp:posOffset>
              </wp:positionH>
              <wp:positionV relativeFrom="page">
                <wp:posOffset>9129509</wp:posOffset>
              </wp:positionV>
              <wp:extent cx="6197600" cy="635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6197600" cy="6350"/>
                      </a:xfrm>
                      <a:custGeom>
                        <a:avLst/>
                        <a:gdLst/>
                        <a:ahLst/>
                        <a:cxnLst/>
                        <a:rect l="l" t="t" r="r" b="b"/>
                        <a:pathLst>
                          <a:path w="6197600" h="6350">
                            <a:moveTo>
                              <a:pt x="6197346" y="0"/>
                            </a:moveTo>
                            <a:lnTo>
                              <a:pt x="0" y="0"/>
                            </a:lnTo>
                            <a:lnTo>
                              <a:pt x="0" y="6108"/>
                            </a:lnTo>
                            <a:lnTo>
                              <a:pt x="6197346" y="6108"/>
                            </a:lnTo>
                            <a:lnTo>
                              <a:pt x="61973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7.98pt;height:.481pt;mso-position-horizontal-relative:page;mso-position-vertical-relative:page;z-index:-20698624" id="docshape54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18368">
              <wp:simplePos x="0" y="0"/>
              <wp:positionH relativeFrom="page">
                <wp:posOffset>6208014</wp:posOffset>
              </wp:positionH>
              <wp:positionV relativeFrom="page">
                <wp:posOffset>9162351</wp:posOffset>
              </wp:positionV>
              <wp:extent cx="789940" cy="15875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8.820007pt;margin-top:721.445007pt;width:62.2pt;height:12.5pt;mso-position-horizontal-relative:page;mso-position-vertical-relative:page;z-index:-20698112" type="#_x0000_t202" id="docshape545"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9392">
              <wp:simplePos x="0" y="0"/>
              <wp:positionH relativeFrom="page">
                <wp:posOffset>6169914</wp:posOffset>
              </wp:positionH>
              <wp:positionV relativeFrom="page">
                <wp:posOffset>9162351</wp:posOffset>
              </wp:positionV>
              <wp:extent cx="789940" cy="15875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303</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697088" type="#_x0000_t202" id="docshape556"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303</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0416">
              <wp:simplePos x="0" y="0"/>
              <wp:positionH relativeFrom="page">
                <wp:posOffset>806195</wp:posOffset>
              </wp:positionH>
              <wp:positionV relativeFrom="page">
                <wp:posOffset>9129509</wp:posOffset>
              </wp:positionV>
              <wp:extent cx="6159500" cy="6350"/>
              <wp:effectExtent l="0" t="0" r="0" b="0"/>
              <wp:wrapNone/>
              <wp:docPr id="667" name="Graphic 667"/>
              <wp:cNvGraphicFramePr>
                <a:graphicFrameLocks/>
              </wp:cNvGraphicFramePr>
              <a:graphic>
                <a:graphicData uri="http://schemas.microsoft.com/office/word/2010/wordprocessingShape">
                  <wps:wsp>
                    <wps:cNvPr id="667" name="Graphic 667"/>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696064" id="docshape564"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0928">
              <wp:simplePos x="0" y="0"/>
              <wp:positionH relativeFrom="page">
                <wp:posOffset>6169914</wp:posOffset>
              </wp:positionH>
              <wp:positionV relativeFrom="page">
                <wp:posOffset>9162351</wp:posOffset>
              </wp:positionV>
              <wp:extent cx="789940" cy="15875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304</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695552" type="#_x0000_t202" id="docshape565"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304</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1952">
              <wp:simplePos x="0" y="0"/>
              <wp:positionH relativeFrom="page">
                <wp:posOffset>806195</wp:posOffset>
              </wp:positionH>
              <wp:positionV relativeFrom="page">
                <wp:posOffset>9131045</wp:posOffset>
              </wp:positionV>
              <wp:extent cx="6159500" cy="6350"/>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6159500" cy="6350"/>
                      </a:xfrm>
                      <a:custGeom>
                        <a:avLst/>
                        <a:gdLst/>
                        <a:ahLst/>
                        <a:cxnLst/>
                        <a:rect l="l" t="t" r="r" b="b"/>
                        <a:pathLst>
                          <a:path w="6159500" h="6350">
                            <a:moveTo>
                              <a:pt x="6159246" y="0"/>
                            </a:moveTo>
                            <a:lnTo>
                              <a:pt x="0" y="0"/>
                            </a:lnTo>
                            <a:lnTo>
                              <a:pt x="0" y="6095"/>
                            </a:lnTo>
                            <a:lnTo>
                              <a:pt x="6159246" y="6095"/>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97998pt;width:484.98pt;height:.48pt;mso-position-horizontal-relative:page;mso-position-vertical-relative:page;z-index:-20694528" id="docshape568"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2464">
              <wp:simplePos x="0" y="0"/>
              <wp:positionH relativeFrom="page">
                <wp:posOffset>6169914</wp:posOffset>
              </wp:positionH>
              <wp:positionV relativeFrom="page">
                <wp:posOffset>9163875</wp:posOffset>
              </wp:positionV>
              <wp:extent cx="789940" cy="15875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565002pt;width:62.2pt;height:12.5pt;mso-position-horizontal-relative:page;mso-position-vertical-relative:page;z-index:-20694016" type="#_x0000_t202" id="docshape569"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308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3488">
              <wp:simplePos x="0" y="0"/>
              <wp:positionH relativeFrom="page">
                <wp:posOffset>806195</wp:posOffset>
              </wp:positionH>
              <wp:positionV relativeFrom="page">
                <wp:posOffset>9129509</wp:posOffset>
              </wp:positionV>
              <wp:extent cx="6159500" cy="6350"/>
              <wp:effectExtent l="0" t="0" r="0" b="0"/>
              <wp:wrapNone/>
              <wp:docPr id="682" name="Graphic 682"/>
              <wp:cNvGraphicFramePr>
                <a:graphicFrameLocks/>
              </wp:cNvGraphicFramePr>
              <a:graphic>
                <a:graphicData uri="http://schemas.microsoft.com/office/word/2010/wordprocessingShape">
                  <wps:wsp>
                    <wps:cNvPr id="682" name="Graphic 682"/>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692992" id="docshape57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4000">
              <wp:simplePos x="0" y="0"/>
              <wp:positionH relativeFrom="page">
                <wp:posOffset>6169914</wp:posOffset>
              </wp:positionH>
              <wp:positionV relativeFrom="page">
                <wp:posOffset>9162351</wp:posOffset>
              </wp:positionV>
              <wp:extent cx="789940" cy="15875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692480" type="#_x0000_t202" id="docshape58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311</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5024">
              <wp:simplePos x="0" y="0"/>
              <wp:positionH relativeFrom="page">
                <wp:posOffset>806195</wp:posOffset>
              </wp:positionH>
              <wp:positionV relativeFrom="page">
                <wp:posOffset>9129509</wp:posOffset>
              </wp:positionV>
              <wp:extent cx="6159500" cy="6350"/>
              <wp:effectExtent l="0" t="0" r="0" b="0"/>
              <wp:wrapNone/>
              <wp:docPr id="692" name="Graphic 692"/>
              <wp:cNvGraphicFramePr>
                <a:graphicFrameLocks/>
              </wp:cNvGraphicFramePr>
              <a:graphic>
                <a:graphicData uri="http://schemas.microsoft.com/office/word/2010/wordprocessingShape">
                  <wps:wsp>
                    <wps:cNvPr id="692" name="Graphic 692"/>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8.859009pt;width:484.98pt;height:.481pt;mso-position-horizontal-relative:page;mso-position-vertical-relative:page;z-index:-20691456" id="docshape58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5536">
              <wp:simplePos x="0" y="0"/>
              <wp:positionH relativeFrom="page">
                <wp:posOffset>6169914</wp:posOffset>
              </wp:positionH>
              <wp:positionV relativeFrom="page">
                <wp:posOffset>9162351</wp:posOffset>
              </wp:positionV>
              <wp:extent cx="789940" cy="158750"/>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1.445007pt;width:62.2pt;height:12.5pt;mso-position-horizontal-relative:page;mso-position-vertical-relative:page;z-index:-20690944" type="#_x0000_t202" id="docshape59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6560">
              <wp:simplePos x="0" y="0"/>
              <wp:positionH relativeFrom="page">
                <wp:posOffset>806195</wp:posOffset>
              </wp:positionH>
              <wp:positionV relativeFrom="page">
                <wp:posOffset>9118079</wp:posOffset>
              </wp:positionV>
              <wp:extent cx="6159500" cy="6350"/>
              <wp:effectExtent l="0" t="0" r="0" b="0"/>
              <wp:wrapNone/>
              <wp:docPr id="702" name="Graphic 702"/>
              <wp:cNvGraphicFramePr>
                <a:graphicFrameLocks/>
              </wp:cNvGraphicFramePr>
              <a:graphic>
                <a:graphicData uri="http://schemas.microsoft.com/office/word/2010/wordprocessingShape">
                  <wps:wsp>
                    <wps:cNvPr id="702" name="Graphic 702"/>
                    <wps:cNvSpPr/>
                    <wps:spPr>
                      <a:xfrm>
                        <a:off x="0" y="0"/>
                        <a:ext cx="6159500" cy="6350"/>
                      </a:xfrm>
                      <a:custGeom>
                        <a:avLst/>
                        <a:gdLst/>
                        <a:ahLst/>
                        <a:cxnLst/>
                        <a:rect l="l" t="t" r="r" b="b"/>
                        <a:pathLst>
                          <a:path w="6159500" h="6350">
                            <a:moveTo>
                              <a:pt x="6159246" y="0"/>
                            </a:moveTo>
                            <a:lnTo>
                              <a:pt x="0" y="0"/>
                            </a:lnTo>
                            <a:lnTo>
                              <a:pt x="0" y="6108"/>
                            </a:lnTo>
                            <a:lnTo>
                              <a:pt x="6159246" y="6108"/>
                            </a:lnTo>
                            <a:lnTo>
                              <a:pt x="615924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63.48pt;margin-top:717.958984pt;width:484.98pt;height:.481pt;mso-position-horizontal-relative:page;mso-position-vertical-relative:page;z-index:-20689920" id="docshape59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7072">
              <wp:simplePos x="0" y="0"/>
              <wp:positionH relativeFrom="page">
                <wp:posOffset>6169914</wp:posOffset>
              </wp:positionH>
              <wp:positionV relativeFrom="page">
                <wp:posOffset>9150159</wp:posOffset>
              </wp:positionV>
              <wp:extent cx="789940" cy="15875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85.820007pt;margin-top:720.484985pt;width:62.2pt;height:12.5pt;mso-position-horizontal-relative:page;mso-position-vertical-relative:page;z-index:-20689408" type="#_x0000_t202" id="docshape60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318</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5904">
              <wp:simplePos x="0" y="0"/>
              <wp:positionH relativeFrom="page">
                <wp:posOffset>895350</wp:posOffset>
              </wp:positionH>
              <wp:positionV relativeFrom="page">
                <wp:posOffset>9257525</wp:posOffset>
              </wp:positionV>
              <wp:extent cx="5982335" cy="635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60576" id="docshape30"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6416">
              <wp:simplePos x="0" y="0"/>
              <wp:positionH relativeFrom="page">
                <wp:posOffset>6223253</wp:posOffset>
              </wp:positionH>
              <wp:positionV relativeFrom="page">
                <wp:posOffset>9262882</wp:posOffset>
              </wp:positionV>
              <wp:extent cx="610235" cy="18859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5</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60064" type="#_x0000_t202" id="docshape31"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5</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8096">
              <wp:simplePos x="0" y="0"/>
              <wp:positionH relativeFrom="page">
                <wp:posOffset>717804</wp:posOffset>
              </wp:positionH>
              <wp:positionV relativeFrom="page">
                <wp:posOffset>9168371</wp:posOffset>
              </wp:positionV>
              <wp:extent cx="6337935" cy="6350"/>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6337935" cy="6350"/>
                      </a:xfrm>
                      <a:custGeom>
                        <a:avLst/>
                        <a:gdLst/>
                        <a:ahLst/>
                        <a:cxnLst/>
                        <a:rect l="l" t="t" r="r" b="b"/>
                        <a:pathLst>
                          <a:path w="6337935" h="6350">
                            <a:moveTo>
                              <a:pt x="6337554" y="0"/>
                            </a:moveTo>
                            <a:lnTo>
                              <a:pt x="0" y="0"/>
                            </a:lnTo>
                            <a:lnTo>
                              <a:pt x="0" y="6108"/>
                            </a:lnTo>
                            <a:lnTo>
                              <a:pt x="6337554" y="6108"/>
                            </a:lnTo>
                            <a:lnTo>
                              <a:pt x="633755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56.52pt;margin-top:721.919006pt;width:499.02pt;height:.481pt;mso-position-horizontal-relative:page;mso-position-vertical-relative:page;z-index:-20688384" id="docshape609"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628608">
              <wp:simplePos x="0" y="0"/>
              <wp:positionH relativeFrom="page">
                <wp:posOffset>6259829</wp:posOffset>
              </wp:positionH>
              <wp:positionV relativeFrom="page">
                <wp:posOffset>9201213</wp:posOffset>
              </wp:positionV>
              <wp:extent cx="789940" cy="15875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789940" cy="158750"/>
                      </a:xfrm>
                      <a:prstGeom prst="rect">
                        <a:avLst/>
                      </a:prstGeom>
                    </wps:spPr>
                    <wps:txbx>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325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wps:txbx>
                    <wps:bodyPr wrap="square" lIns="0" tIns="0" rIns="0" bIns="0" rtlCol="0">
                      <a:noAutofit/>
                    </wps:bodyPr>
                  </wps:wsp>
                </a:graphicData>
              </a:graphic>
            </wp:anchor>
          </w:drawing>
        </mc:Choice>
        <mc:Fallback>
          <w:pict>
            <v:shape style="position:absolute;margin-left:492.899994pt;margin-top:724.505005pt;width:62.2pt;height:12.5pt;mso-position-horizontal-relative:page;mso-position-vertical-relative:page;z-index:-20687872" type="#_x0000_t202" id="docshape610" filled="false" stroked="false">
              <v:textbox inset="0,0,0,0">
                <w:txbxContent>
                  <w:p>
                    <w:pPr>
                      <w:spacing w:line="234" w:lineRule="exact" w:before="0"/>
                      <w:ind w:left="60" w:right="0" w:firstLine="0"/>
                      <w:jc w:val="left"/>
                      <w:rPr>
                        <w:sz w:val="21"/>
                      </w:rPr>
                    </w:pPr>
                    <w:r>
                      <w:rPr>
                        <w:sz w:val="21"/>
                      </w:rPr>
                      <w:fldChar w:fldCharType="begin"/>
                    </w:r>
                    <w:r>
                      <w:rPr>
                        <w:sz w:val="21"/>
                      </w:rPr>
                      <w:instrText> PAGE </w:instrText>
                    </w:r>
                    <w:r>
                      <w:rPr>
                        <w:sz w:val="21"/>
                      </w:rPr>
                      <w:fldChar w:fldCharType="separate"/>
                    </w:r>
                    <w:r>
                      <w:rPr>
                        <w:sz w:val="21"/>
                      </w:rPr>
                      <w:t>325</w:t>
                    </w:r>
                    <w:r>
                      <w:rPr>
                        <w:sz w:val="21"/>
                      </w:rPr>
                      <w:fldChar w:fldCharType="end"/>
                    </w:r>
                    <w:r>
                      <w:rPr>
                        <w:spacing w:val="-1"/>
                        <w:sz w:val="21"/>
                      </w:rPr>
                      <w:t> </w:t>
                    </w:r>
                    <w:r>
                      <w:rPr>
                        <w:sz w:val="21"/>
                      </w:rPr>
                      <w:t>| </w:t>
                    </w:r>
                    <w:r>
                      <w:rPr>
                        <w:color w:val="7E7E7E"/>
                        <w:spacing w:val="11"/>
                        <w:sz w:val="21"/>
                      </w:rPr>
                      <w:t>P</w:t>
                    </w:r>
                    <w:r>
                      <w:rPr>
                        <w:color w:val="7E7E7E"/>
                        <w:sz w:val="21"/>
                      </w:rPr>
                      <w:t> a</w:t>
                    </w:r>
                    <w:r>
                      <w:rPr>
                        <w:color w:val="7E7E7E"/>
                        <w:spacing w:val="12"/>
                        <w:sz w:val="21"/>
                      </w:rPr>
                      <w:t> g</w:t>
                    </w:r>
                    <w:r>
                      <w:rPr>
                        <w:color w:val="7E7E7E"/>
                        <w:sz w:val="21"/>
                      </w:rPr>
                      <w:t> </w:t>
                    </w:r>
                    <w:r>
                      <w:rPr>
                        <w:color w:val="7E7E7E"/>
                        <w:spacing w:val="-10"/>
                        <w:sz w:val="21"/>
                      </w:rPr>
                      <w:t>e</w:t>
                    </w:r>
                    <w:r>
                      <w:rPr>
                        <w:color w:val="7E7E7E"/>
                        <w:sz w:val="21"/>
                      </w:rPr>
                      <w:t> </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9120">
              <wp:simplePos x="0" y="0"/>
              <wp:positionH relativeFrom="page">
                <wp:posOffset>6078728</wp:posOffset>
              </wp:positionH>
              <wp:positionV relativeFrom="page">
                <wp:posOffset>9275889</wp:posOffset>
              </wp:positionV>
              <wp:extent cx="753745" cy="16510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753745" cy="165100"/>
                      </a:xfrm>
                      <a:prstGeom prst="rect">
                        <a:avLst/>
                      </a:prstGeom>
                    </wps:spPr>
                    <wps:txbx>
                      <w:txbxContent>
                        <w:p>
                          <w:pPr>
                            <w:pStyle w:val="BodyText"/>
                            <w:spacing w:line="244" w:lineRule="exact"/>
                            <w:ind w:left="20"/>
                          </w:pPr>
                          <w:r>
                            <w:rPr/>
                            <w:t>330</w:t>
                          </w:r>
                          <w:r>
                            <w:rPr>
                              <w:spacing w:val="-3"/>
                            </w:rPr>
                            <w:t> </w:t>
                          </w:r>
                          <w:r>
                            <w:rPr/>
                            <w:t>|</w:t>
                          </w:r>
                          <w:r>
                            <w:rPr>
                              <w:spacing w:val="-2"/>
                            </w:rPr>
                            <w:t> </w:t>
                          </w:r>
                          <w:r>
                            <w:rPr>
                              <w:color w:val="7E7E7E"/>
                            </w:rPr>
                            <w:t>P</w:t>
                          </w:r>
                          <w:r>
                            <w:rPr>
                              <w:color w:val="7E7E7E"/>
                              <w:spacing w:val="8"/>
                            </w:rPr>
                            <w:t> </w:t>
                          </w:r>
                          <w:r>
                            <w:rPr>
                              <w:color w:val="7E7E7E"/>
                            </w:rPr>
                            <w:t>a</w:t>
                          </w:r>
                          <w:r>
                            <w:rPr>
                              <w:color w:val="7E7E7E"/>
                              <w:spacing w:val="9"/>
                            </w:rPr>
                            <w:t> </w:t>
                          </w:r>
                          <w:r>
                            <w:rPr>
                              <w:color w:val="7E7E7E"/>
                            </w:rPr>
                            <w:t>g</w:t>
                          </w:r>
                          <w:r>
                            <w:rPr>
                              <w:color w:val="7E7E7E"/>
                              <w:spacing w:val="8"/>
                            </w:rPr>
                            <w:t> </w:t>
                          </w:r>
                          <w:r>
                            <w:rPr>
                              <w:color w:val="7E7E7E"/>
                              <w:spacing w:val="-10"/>
                            </w:rPr>
                            <w:t>e</w:t>
                          </w:r>
                        </w:p>
                      </w:txbxContent>
                    </wps:txbx>
                    <wps:bodyPr wrap="square" lIns="0" tIns="0" rIns="0" bIns="0" rtlCol="0">
                      <a:noAutofit/>
                    </wps:bodyPr>
                  </wps:wsp>
                </a:graphicData>
              </a:graphic>
            </wp:anchor>
          </w:drawing>
        </mc:Choice>
        <mc:Fallback>
          <w:pict>
            <v:shape style="position:absolute;margin-left:478.640015pt;margin-top:730.38501pt;width:59.35pt;height:13pt;mso-position-horizontal-relative:page;mso-position-vertical-relative:page;z-index:-20687360" type="#_x0000_t202" id="docshape612" filled="false" stroked="false">
              <v:textbox inset="0,0,0,0">
                <w:txbxContent>
                  <w:p>
                    <w:pPr>
                      <w:pStyle w:val="BodyText"/>
                      <w:spacing w:line="244" w:lineRule="exact"/>
                      <w:ind w:left="20"/>
                    </w:pPr>
                    <w:r>
                      <w:rPr/>
                      <w:t>330</w:t>
                    </w:r>
                    <w:r>
                      <w:rPr>
                        <w:spacing w:val="-3"/>
                      </w:rPr>
                      <w:t> </w:t>
                    </w:r>
                    <w:r>
                      <w:rPr/>
                      <w:t>|</w:t>
                    </w:r>
                    <w:r>
                      <w:rPr>
                        <w:spacing w:val="-2"/>
                      </w:rPr>
                      <w:t> </w:t>
                    </w:r>
                    <w:r>
                      <w:rPr>
                        <w:color w:val="7E7E7E"/>
                      </w:rPr>
                      <w:t>P</w:t>
                    </w:r>
                    <w:r>
                      <w:rPr>
                        <w:color w:val="7E7E7E"/>
                        <w:spacing w:val="8"/>
                      </w:rPr>
                      <w:t> </w:t>
                    </w:r>
                    <w:r>
                      <w:rPr>
                        <w:color w:val="7E7E7E"/>
                      </w:rPr>
                      <w:t>a</w:t>
                    </w:r>
                    <w:r>
                      <w:rPr>
                        <w:color w:val="7E7E7E"/>
                        <w:spacing w:val="9"/>
                      </w:rPr>
                      <w:t> </w:t>
                    </w:r>
                    <w:r>
                      <w:rPr>
                        <w:color w:val="7E7E7E"/>
                      </w:rPr>
                      <w:t>g</w:t>
                    </w:r>
                    <w:r>
                      <w:rPr>
                        <w:color w:val="7E7E7E"/>
                        <w:spacing w:val="8"/>
                      </w:rPr>
                      <w:t> </w:t>
                    </w:r>
                    <w:r>
                      <w:rPr>
                        <w:color w:val="7E7E7E"/>
                        <w:spacing w:val="-10"/>
                      </w:rPr>
                      <w:t>e</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7440">
              <wp:simplePos x="0" y="0"/>
              <wp:positionH relativeFrom="page">
                <wp:posOffset>895350</wp:posOffset>
              </wp:positionH>
              <wp:positionV relativeFrom="page">
                <wp:posOffset>9257525</wp:posOffset>
              </wp:positionV>
              <wp:extent cx="5982335" cy="635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9040" id="docshape33"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7952">
              <wp:simplePos x="0" y="0"/>
              <wp:positionH relativeFrom="page">
                <wp:posOffset>6223253</wp:posOffset>
              </wp:positionH>
              <wp:positionV relativeFrom="page">
                <wp:posOffset>9262882</wp:posOffset>
              </wp:positionV>
              <wp:extent cx="610235" cy="18859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6</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58528" type="#_x0000_t202" id="docshape34"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6</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8976">
              <wp:simplePos x="0" y="0"/>
              <wp:positionH relativeFrom="page">
                <wp:posOffset>895350</wp:posOffset>
              </wp:positionH>
              <wp:positionV relativeFrom="page">
                <wp:posOffset>9257525</wp:posOffset>
              </wp:positionV>
              <wp:extent cx="5982335" cy="63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28.939026pt;width:471.001pt;height:.481pt;mso-position-horizontal-relative:page;mso-position-vertical-relative:page;z-index:-20757504" id="docshape36" filled="true" fillcolor="#d9d9d9" stroked="false">
              <v:fill type="solid"/>
              <w10:wrap type="none"/>
            </v:rect>
          </w:pict>
        </mc:Fallback>
      </mc:AlternateContent>
    </w:r>
    <w:r>
      <w:rPr/>
      <mc:AlternateContent>
        <mc:Choice Requires="wps">
          <w:drawing>
            <wp:anchor distT="0" distB="0" distL="0" distR="0" allowOverlap="1" layoutInCell="1" locked="0" behindDoc="1" simplePos="0" relativeHeight="482559488">
              <wp:simplePos x="0" y="0"/>
              <wp:positionH relativeFrom="page">
                <wp:posOffset>6223253</wp:posOffset>
              </wp:positionH>
              <wp:positionV relativeFrom="page">
                <wp:posOffset>9262882</wp:posOffset>
              </wp:positionV>
              <wp:extent cx="610235" cy="18859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10235" cy="188595"/>
                      </a:xfrm>
                      <a:prstGeom prst="rect">
                        <a:avLst/>
                      </a:prstGeom>
                    </wps:spPr>
                    <wps:txbx>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7</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wps:txbx>
                    <wps:bodyPr wrap="square" lIns="0" tIns="0" rIns="0" bIns="0" rtlCol="0">
                      <a:noAutofit/>
                    </wps:bodyPr>
                  </wps:wsp>
                </a:graphicData>
              </a:graphic>
            </wp:anchor>
          </w:drawing>
        </mc:Choice>
        <mc:Fallback>
          <w:pict>
            <v:shape style="position:absolute;margin-left:490.019989pt;margin-top:729.36084pt;width:48.05pt;height:14.85pt;mso-position-horizontal-relative:page;mso-position-vertical-relative:page;z-index:-20756992" type="#_x0000_t202" id="docshape37" filled="false" stroked="false">
              <v:textbox inset="0,0,0,0">
                <w:txbxContent>
                  <w:p>
                    <w:pPr>
                      <w:spacing w:before="17"/>
                      <w:ind w:left="60" w:right="0" w:firstLine="0"/>
                      <w:jc w:val="left"/>
                      <w:rPr>
                        <w:sz w:val="21"/>
                      </w:rPr>
                    </w:pPr>
                    <w:r>
                      <w:rPr>
                        <w:sz w:val="21"/>
                      </w:rPr>
                      <w:fldChar w:fldCharType="begin"/>
                    </w:r>
                    <w:r>
                      <w:rPr>
                        <w:sz w:val="21"/>
                      </w:rPr>
                      <w:instrText> PAGE </w:instrText>
                    </w:r>
                    <w:r>
                      <w:rPr>
                        <w:sz w:val="21"/>
                      </w:rPr>
                      <w:fldChar w:fldCharType="separate"/>
                    </w:r>
                    <w:r>
                      <w:rPr>
                        <w:sz w:val="21"/>
                      </w:rPr>
                      <w:t>7</w:t>
                    </w:r>
                    <w:r>
                      <w:rPr>
                        <w:sz w:val="21"/>
                      </w:rPr>
                      <w:fldChar w:fldCharType="end"/>
                    </w:r>
                    <w:r>
                      <w:rPr>
                        <w:spacing w:val="-5"/>
                        <w:sz w:val="21"/>
                      </w:rPr>
                      <w:t> </w:t>
                    </w:r>
                    <w:r>
                      <w:rPr>
                        <w:w w:val="90"/>
                        <w:sz w:val="21"/>
                      </w:rPr>
                      <w:t>| </w:t>
                    </w:r>
                    <w:r>
                      <w:rPr>
                        <w:color w:val="7E7E7E"/>
                        <w:spacing w:val="12"/>
                        <w:sz w:val="21"/>
                      </w:rPr>
                      <w:t>P</w:t>
                    </w:r>
                    <w:r>
                      <w:rPr>
                        <w:color w:val="7E7E7E"/>
                        <w:sz w:val="21"/>
                      </w:rPr>
                      <w:t> </w:t>
                    </w:r>
                    <w:r>
                      <w:rPr>
                        <w:color w:val="7E7E7E"/>
                        <w:spacing w:val="12"/>
                        <w:sz w:val="21"/>
                      </w:rPr>
                      <w:t>a</w:t>
                    </w:r>
                    <w:r>
                      <w:rPr>
                        <w:color w:val="7E7E7E"/>
                        <w:sz w:val="21"/>
                      </w:rPr>
                      <w:t> g</w:t>
                    </w:r>
                    <w:r>
                      <w:rPr>
                        <w:color w:val="7E7E7E"/>
                        <w:spacing w:val="11"/>
                        <w:sz w:val="21"/>
                      </w:rPr>
                      <w:t> </w:t>
                    </w:r>
                    <w:r>
                      <w:rPr>
                        <w:color w:val="7E7E7E"/>
                        <w:spacing w:val="-10"/>
                        <w:sz w:val="21"/>
                      </w:rPr>
                      <w:t>e</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0784">
              <wp:simplePos x="0" y="0"/>
              <wp:positionH relativeFrom="page">
                <wp:posOffset>2284045</wp:posOffset>
              </wp:positionH>
              <wp:positionV relativeFrom="page">
                <wp:posOffset>701869</wp:posOffset>
              </wp:positionV>
              <wp:extent cx="4050029" cy="55562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050029" cy="555625"/>
                      </a:xfrm>
                      <a:prstGeom prst="rect">
                        <a:avLst/>
                      </a:prstGeom>
                    </wps:spPr>
                    <wps:txbx>
                      <w:txbxContent>
                        <w:p>
                          <w:pPr>
                            <w:spacing w:before="14"/>
                            <w:ind w:left="20" w:right="0" w:firstLine="0"/>
                            <w:jc w:val="left"/>
                            <w:rPr>
                              <w:rFonts w:ascii="Georgia"/>
                              <w:sz w:val="73"/>
                            </w:rPr>
                          </w:pPr>
                          <w:r>
                            <w:rPr>
                              <w:rFonts w:ascii="Georgia"/>
                              <w:spacing w:val="-22"/>
                              <w:sz w:val="73"/>
                            </w:rPr>
                            <w:t>AGENCY</w:t>
                          </w:r>
                          <w:r>
                            <w:rPr>
                              <w:rFonts w:ascii="Georgia"/>
                              <w:spacing w:val="-19"/>
                              <w:sz w:val="73"/>
                            </w:rPr>
                            <w:t> </w:t>
                          </w:r>
                          <w:r>
                            <w:rPr>
                              <w:rFonts w:ascii="Georgia"/>
                              <w:spacing w:val="-22"/>
                              <w:sz w:val="73"/>
                            </w:rPr>
                            <w:t>TABLE</w:t>
                          </w:r>
                          <w:r>
                            <w:rPr>
                              <w:rFonts w:ascii="Georgia"/>
                              <w:spacing w:val="-19"/>
                              <w:sz w:val="73"/>
                            </w:rPr>
                            <w:t> </w:t>
                          </w:r>
                          <w:r>
                            <w:rPr>
                              <w:rFonts w:ascii="Georgia"/>
                              <w:spacing w:val="-22"/>
                              <w:sz w:val="73"/>
                            </w:rPr>
                            <w:t>OF</w:t>
                          </w:r>
                        </w:p>
                      </w:txbxContent>
                    </wps:txbx>
                    <wps:bodyPr wrap="square" lIns="0" tIns="0" rIns="0" bIns="0" rtlCol="0">
                      <a:noAutofit/>
                    </wps:bodyPr>
                  </wps:wsp>
                </a:graphicData>
              </a:graphic>
            </wp:anchor>
          </w:drawing>
        </mc:Choice>
        <mc:Fallback>
          <w:pict>
            <v:shape style="position:absolute;margin-left:179.84613pt;margin-top:55.265324pt;width:318.9pt;height:43.75pt;mso-position-horizontal-relative:page;mso-position-vertical-relative:page;z-index:-20765696" type="#_x0000_t202" id="docshape14" filled="false" stroked="false">
              <v:textbox inset="0,0,0,0">
                <w:txbxContent>
                  <w:p>
                    <w:pPr>
                      <w:spacing w:before="14"/>
                      <w:ind w:left="20" w:right="0" w:firstLine="0"/>
                      <w:jc w:val="left"/>
                      <w:rPr>
                        <w:rFonts w:ascii="Georgia"/>
                        <w:sz w:val="73"/>
                      </w:rPr>
                    </w:pPr>
                    <w:r>
                      <w:rPr>
                        <w:rFonts w:ascii="Georgia"/>
                        <w:spacing w:val="-22"/>
                        <w:sz w:val="73"/>
                      </w:rPr>
                      <w:t>AGENCY</w:t>
                    </w:r>
                    <w:r>
                      <w:rPr>
                        <w:rFonts w:ascii="Georgia"/>
                        <w:spacing w:val="-19"/>
                        <w:sz w:val="73"/>
                      </w:rPr>
                      <w:t> </w:t>
                    </w:r>
                    <w:r>
                      <w:rPr>
                        <w:rFonts w:ascii="Georgia"/>
                        <w:spacing w:val="-22"/>
                        <w:sz w:val="73"/>
                      </w:rPr>
                      <w:t>TABLE</w:t>
                    </w:r>
                    <w:r>
                      <w:rPr>
                        <w:rFonts w:ascii="Georgia"/>
                        <w:spacing w:val="-19"/>
                        <w:sz w:val="73"/>
                      </w:rPr>
                      <w:t> </w:t>
                    </w:r>
                    <w:r>
                      <w:rPr>
                        <w:rFonts w:ascii="Georgia"/>
                        <w:spacing w:val="-22"/>
                        <w:sz w:val="73"/>
                      </w:rPr>
                      <w:t>OF</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9728">
              <wp:simplePos x="0" y="0"/>
              <wp:positionH relativeFrom="page">
                <wp:posOffset>903986</wp:posOffset>
              </wp:positionH>
              <wp:positionV relativeFrom="page">
                <wp:posOffset>497649</wp:posOffset>
              </wp:positionV>
              <wp:extent cx="897890" cy="15875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897890" cy="158750"/>
                      </a:xfrm>
                      <a:prstGeom prst="rect">
                        <a:avLst/>
                      </a:prstGeom>
                    </wps:spPr>
                    <wps:txbx>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wps:txbx>
                    <wps:bodyPr wrap="square" lIns="0" tIns="0" rIns="0" bIns="0" rtlCol="0">
                      <a:noAutofit/>
                    </wps:bodyPr>
                  </wps:wsp>
                </a:graphicData>
              </a:graphic>
            </wp:anchor>
          </w:drawing>
        </mc:Choice>
        <mc:Fallback>
          <w:pict>
            <v:shape style="position:absolute;margin-left:71.180pt;margin-top:39.185001pt;width:70.7pt;height:12.5pt;mso-position-horizontal-relative:page;mso-position-vertical-relative:page;z-index:-20746752" type="#_x0000_t202" id="docshape57" filled="false" stroked="false">
              <v:textbox inset="0,0,0,0">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1264">
              <wp:simplePos x="0" y="0"/>
              <wp:positionH relativeFrom="page">
                <wp:posOffset>903986</wp:posOffset>
              </wp:positionH>
              <wp:positionV relativeFrom="page">
                <wp:posOffset>497649</wp:posOffset>
              </wp:positionV>
              <wp:extent cx="897890" cy="15875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897890" cy="158750"/>
                      </a:xfrm>
                      <a:prstGeom prst="rect">
                        <a:avLst/>
                      </a:prstGeom>
                    </wps:spPr>
                    <wps:txbx>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wps:txbx>
                    <wps:bodyPr wrap="square" lIns="0" tIns="0" rIns="0" bIns="0" rtlCol="0">
                      <a:noAutofit/>
                    </wps:bodyPr>
                  </wps:wsp>
                </a:graphicData>
              </a:graphic>
            </wp:anchor>
          </w:drawing>
        </mc:Choice>
        <mc:Fallback>
          <w:pict>
            <v:shape style="position:absolute;margin-left:71.180pt;margin-top:39.185001pt;width:70.7pt;height:12.5pt;mso-position-horizontal-relative:page;mso-position-vertical-relative:page;z-index:-20745216" type="#_x0000_t202" id="docshape67" filled="false" stroked="false">
              <v:textbox inset="0,0,0,0">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2288">
              <wp:simplePos x="0" y="0"/>
              <wp:positionH relativeFrom="page">
                <wp:posOffset>903986</wp:posOffset>
              </wp:positionH>
              <wp:positionV relativeFrom="page">
                <wp:posOffset>497649</wp:posOffset>
              </wp:positionV>
              <wp:extent cx="897890" cy="15875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897890" cy="158750"/>
                      </a:xfrm>
                      <a:prstGeom prst="rect">
                        <a:avLst/>
                      </a:prstGeom>
                    </wps:spPr>
                    <wps:txbx>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wps:txbx>
                    <wps:bodyPr wrap="square" lIns="0" tIns="0" rIns="0" bIns="0" rtlCol="0">
                      <a:noAutofit/>
                    </wps:bodyPr>
                  </wps:wsp>
                </a:graphicData>
              </a:graphic>
            </wp:anchor>
          </w:drawing>
        </mc:Choice>
        <mc:Fallback>
          <w:pict>
            <v:shape style="position:absolute;margin-left:71.180pt;margin-top:39.185001pt;width:70.7pt;height:12.5pt;mso-position-horizontal-relative:page;mso-position-vertical-relative:page;z-index:-20744192" type="#_x0000_t202" id="docshape73" filled="false" stroked="false">
              <v:textbox inset="0,0,0,0">
                <w:txbxContent>
                  <w:p>
                    <w:pPr>
                      <w:spacing w:line="234" w:lineRule="exact" w:before="0"/>
                      <w:ind w:left="20" w:right="0" w:firstLine="0"/>
                      <w:jc w:val="left"/>
                      <w:rPr>
                        <w:sz w:val="21"/>
                      </w:rPr>
                    </w:pPr>
                    <w:r>
                      <w:rPr>
                        <w:sz w:val="21"/>
                      </w:rPr>
                      <w:t>CHILD</w:t>
                    </w:r>
                    <w:r>
                      <w:rPr>
                        <w:spacing w:val="-3"/>
                        <w:sz w:val="21"/>
                      </w:rPr>
                      <w:t> </w:t>
                    </w:r>
                    <w:r>
                      <w:rPr>
                        <w:spacing w:val="-2"/>
                        <w:sz w:val="21"/>
                      </w:rPr>
                      <w:t>WELFARE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3824">
              <wp:simplePos x="0" y="0"/>
              <wp:positionH relativeFrom="page">
                <wp:posOffset>993139</wp:posOffset>
              </wp:positionH>
              <wp:positionV relativeFrom="page">
                <wp:posOffset>471741</wp:posOffset>
              </wp:positionV>
              <wp:extent cx="678180" cy="15875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678180" cy="158750"/>
                      </a:xfrm>
                      <a:prstGeom prst="rect">
                        <a:avLst/>
                      </a:prstGeom>
                    </wps:spPr>
                    <wps:txbx>
                      <w:txbxContent>
                        <w:p>
                          <w:pPr>
                            <w:spacing w:line="234" w:lineRule="exact" w:before="0"/>
                            <w:ind w:left="20" w:right="0" w:firstLine="0"/>
                            <w:jc w:val="left"/>
                            <w:rPr>
                              <w:sz w:val="21"/>
                            </w:rPr>
                          </w:pPr>
                          <w:r>
                            <w:rPr>
                              <w:spacing w:val="-2"/>
                              <w:sz w:val="21"/>
                            </w:rPr>
                            <w:t>EDUCATION</w:t>
                          </w:r>
                        </w:p>
                      </w:txbxContent>
                    </wps:txbx>
                    <wps:bodyPr wrap="square" lIns="0" tIns="0" rIns="0" bIns="0" rtlCol="0">
                      <a:noAutofit/>
                    </wps:bodyPr>
                  </wps:wsp>
                </a:graphicData>
              </a:graphic>
            </wp:anchor>
          </w:drawing>
        </mc:Choice>
        <mc:Fallback>
          <w:pict>
            <v:shape style="position:absolute;margin-left:78.199997pt;margin-top:37.145pt;width:53.4pt;height:12.5pt;mso-position-horizontal-relative:page;mso-position-vertical-relative:page;z-index:-20742656" type="#_x0000_t202" id="docshape107" filled="false" stroked="false">
              <v:textbox inset="0,0,0,0">
                <w:txbxContent>
                  <w:p>
                    <w:pPr>
                      <w:spacing w:line="234" w:lineRule="exact" w:before="0"/>
                      <w:ind w:left="20" w:right="0" w:firstLine="0"/>
                      <w:jc w:val="left"/>
                      <w:rPr>
                        <w:sz w:val="21"/>
                      </w:rPr>
                    </w:pPr>
                    <w:r>
                      <w:rPr>
                        <w:spacing w:val="-2"/>
                        <w:sz w:val="21"/>
                      </w:rPr>
                      <w:t>EDUCATION</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5360">
              <wp:simplePos x="0" y="0"/>
              <wp:positionH relativeFrom="page">
                <wp:posOffset>812545</wp:posOffset>
              </wp:positionH>
              <wp:positionV relativeFrom="page">
                <wp:posOffset>497649</wp:posOffset>
              </wp:positionV>
              <wp:extent cx="873125" cy="15875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873125" cy="158750"/>
                      </a:xfrm>
                      <a:prstGeom prst="rect">
                        <a:avLst/>
                      </a:prstGeom>
                    </wps:spPr>
                    <wps:txbx>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wps:txbx>
                    <wps:bodyPr wrap="square" lIns="0" tIns="0" rIns="0" bIns="0" rtlCol="0">
                      <a:noAutofit/>
                    </wps:bodyPr>
                  </wps:wsp>
                </a:graphicData>
              </a:graphic>
            </wp:anchor>
          </w:drawing>
        </mc:Choice>
        <mc:Fallback>
          <w:pict>
            <v:shape style="position:absolute;margin-left:63.98pt;margin-top:39.184982pt;width:68.75pt;height:12.5pt;mso-position-horizontal-relative:page;mso-position-vertical-relative:page;z-index:-20741120" type="#_x0000_t202" id="docshape145" filled="false" stroked="false">
              <v:textbox inset="0,0,0,0">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6896">
              <wp:simplePos x="0" y="0"/>
              <wp:positionH relativeFrom="page">
                <wp:posOffset>812545</wp:posOffset>
              </wp:positionH>
              <wp:positionV relativeFrom="page">
                <wp:posOffset>497649</wp:posOffset>
              </wp:positionV>
              <wp:extent cx="873125" cy="15875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873125" cy="158750"/>
                      </a:xfrm>
                      <a:prstGeom prst="rect">
                        <a:avLst/>
                      </a:prstGeom>
                    </wps:spPr>
                    <wps:txbx>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wps:txbx>
                    <wps:bodyPr wrap="square" lIns="0" tIns="0" rIns="0" bIns="0" rtlCol="0">
                      <a:noAutofit/>
                    </wps:bodyPr>
                  </wps:wsp>
                </a:graphicData>
              </a:graphic>
            </wp:anchor>
          </w:drawing>
        </mc:Choice>
        <mc:Fallback>
          <w:pict>
            <v:shape style="position:absolute;margin-left:63.98pt;margin-top:39.184982pt;width:68.75pt;height:12.5pt;mso-position-horizontal-relative:page;mso-position-vertical-relative:page;z-index:-20739584" type="#_x0000_t202" id="docshape155" filled="false" stroked="false">
              <v:textbox inset="0,0,0,0">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7920">
              <wp:simplePos x="0" y="0"/>
              <wp:positionH relativeFrom="page">
                <wp:posOffset>812545</wp:posOffset>
              </wp:positionH>
              <wp:positionV relativeFrom="page">
                <wp:posOffset>497649</wp:posOffset>
              </wp:positionV>
              <wp:extent cx="873125" cy="1587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873125" cy="158750"/>
                      </a:xfrm>
                      <a:prstGeom prst="rect">
                        <a:avLst/>
                      </a:prstGeom>
                    </wps:spPr>
                    <wps:txbx>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wps:txbx>
                    <wps:bodyPr wrap="square" lIns="0" tIns="0" rIns="0" bIns="0" rtlCol="0">
                      <a:noAutofit/>
                    </wps:bodyPr>
                  </wps:wsp>
                </a:graphicData>
              </a:graphic>
            </wp:anchor>
          </w:drawing>
        </mc:Choice>
        <mc:Fallback>
          <w:pict>
            <v:shape style="position:absolute;margin-left:63.98pt;margin-top:39.184982pt;width:68.75pt;height:12.5pt;mso-position-horizontal-relative:page;mso-position-vertical-relative:page;z-index:-20738560" type="#_x0000_t202" id="docshape157" filled="false" stroked="false">
              <v:textbox inset="0,0,0,0">
                <w:txbxContent>
                  <w:p>
                    <w:pPr>
                      <w:spacing w:line="234" w:lineRule="exact" w:before="0"/>
                      <w:ind w:left="20" w:right="0" w:firstLine="0"/>
                      <w:jc w:val="left"/>
                      <w:rPr>
                        <w:sz w:val="21"/>
                      </w:rPr>
                    </w:pPr>
                    <w:r>
                      <w:rPr>
                        <w:sz w:val="21"/>
                      </w:rPr>
                      <w:t>PUBLIC</w:t>
                    </w:r>
                    <w:r>
                      <w:rPr>
                        <w:spacing w:val="-4"/>
                        <w:sz w:val="21"/>
                      </w:rPr>
                      <w:t> </w:t>
                    </w:r>
                    <w:r>
                      <w:rPr>
                        <w:spacing w:val="-2"/>
                        <w:sz w:val="21"/>
                      </w:rPr>
                      <w:t>HEALTH</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79456">
              <wp:simplePos x="0" y="0"/>
              <wp:positionH relativeFrom="page">
                <wp:posOffset>903986</wp:posOffset>
              </wp:positionH>
              <wp:positionV relativeFrom="page">
                <wp:posOffset>497649</wp:posOffset>
              </wp:positionV>
              <wp:extent cx="948690" cy="15875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948690" cy="158750"/>
                      </a:xfrm>
                      <a:prstGeom prst="rect">
                        <a:avLst/>
                      </a:prstGeom>
                    </wps:spPr>
                    <wps:txbx>
                      <w:txbxContent>
                        <w:p>
                          <w:pPr>
                            <w:spacing w:line="234" w:lineRule="exact" w:before="0"/>
                            <w:ind w:left="20" w:right="0" w:firstLine="0"/>
                            <w:jc w:val="left"/>
                            <w:rPr>
                              <w:sz w:val="21"/>
                            </w:rPr>
                          </w:pPr>
                          <w:r>
                            <w:rPr>
                              <w:sz w:val="21"/>
                            </w:rPr>
                            <w:t>MENTAL</w:t>
                          </w:r>
                          <w:r>
                            <w:rPr>
                              <w:spacing w:val="-2"/>
                              <w:sz w:val="21"/>
                            </w:rPr>
                            <w:t> HEALTH</w:t>
                          </w:r>
                        </w:p>
                      </w:txbxContent>
                    </wps:txbx>
                    <wps:bodyPr wrap="square" lIns="0" tIns="0" rIns="0" bIns="0" rtlCol="0">
                      <a:noAutofit/>
                    </wps:bodyPr>
                  </wps:wsp>
                </a:graphicData>
              </a:graphic>
            </wp:anchor>
          </w:drawing>
        </mc:Choice>
        <mc:Fallback>
          <w:pict>
            <v:shape style="position:absolute;margin-left:71.180pt;margin-top:39.185001pt;width:74.7pt;height:12.5pt;mso-position-horizontal-relative:page;mso-position-vertical-relative:page;z-index:-20737024" type="#_x0000_t202" id="docshape184" filled="false" stroked="false">
              <v:textbox inset="0,0,0,0">
                <w:txbxContent>
                  <w:p>
                    <w:pPr>
                      <w:spacing w:line="234" w:lineRule="exact" w:before="0"/>
                      <w:ind w:left="20" w:right="0" w:firstLine="0"/>
                      <w:jc w:val="left"/>
                      <w:rPr>
                        <w:sz w:val="21"/>
                      </w:rPr>
                    </w:pPr>
                    <w:r>
                      <w:rPr>
                        <w:sz w:val="21"/>
                      </w:rPr>
                      <w:t>MENTAL</w:t>
                    </w:r>
                    <w:r>
                      <w:rPr>
                        <w:spacing w:val="-2"/>
                        <w:sz w:val="21"/>
                      </w:rPr>
                      <w:t> HEALTH</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0992">
              <wp:simplePos x="0" y="0"/>
              <wp:positionH relativeFrom="page">
                <wp:posOffset>993139</wp:posOffset>
              </wp:positionH>
              <wp:positionV relativeFrom="page">
                <wp:posOffset>445019</wp:posOffset>
              </wp:positionV>
              <wp:extent cx="1151890" cy="18859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151890" cy="188595"/>
                      </a:xfrm>
                      <a:prstGeom prst="rect">
                        <a:avLst/>
                      </a:prstGeom>
                    </wps:spPr>
                    <wps:txbx>
                      <w:txbxContent>
                        <w:p>
                          <w:pPr>
                            <w:spacing w:before="17"/>
                            <w:ind w:left="20" w:right="0" w:firstLine="0"/>
                            <w:jc w:val="left"/>
                            <w:rPr>
                              <w:sz w:val="21"/>
                            </w:rPr>
                          </w:pPr>
                          <w:r>
                            <w:rPr>
                              <w:spacing w:val="-2"/>
                              <w:w w:val="110"/>
                              <w:sz w:val="21"/>
                            </w:rPr>
                            <w:t>PEDIATRIC</w:t>
                          </w:r>
                          <w:r>
                            <w:rPr>
                              <w:w w:val="110"/>
                              <w:sz w:val="21"/>
                            </w:rPr>
                            <w:t> </w:t>
                          </w:r>
                          <w:r>
                            <w:rPr>
                              <w:spacing w:val="-2"/>
                              <w:w w:val="110"/>
                              <w:sz w:val="21"/>
                            </w:rPr>
                            <w:t>HEALTH</w:t>
                          </w:r>
                        </w:p>
                      </w:txbxContent>
                    </wps:txbx>
                    <wps:bodyPr wrap="square" lIns="0" tIns="0" rIns="0" bIns="0" rtlCol="0">
                      <a:noAutofit/>
                    </wps:bodyPr>
                  </wps:wsp>
                </a:graphicData>
              </a:graphic>
            </wp:anchor>
          </w:drawing>
        </mc:Choice>
        <mc:Fallback>
          <w:pict>
            <v:shape style="position:absolute;margin-left:78.199997pt;margin-top:35.040871pt;width:90.7pt;height:14.85pt;mso-position-horizontal-relative:page;mso-position-vertical-relative:page;z-index:-20735488" type="#_x0000_t202" id="docshape206" filled="false" stroked="false">
              <v:textbox inset="0,0,0,0">
                <w:txbxContent>
                  <w:p>
                    <w:pPr>
                      <w:spacing w:before="17"/>
                      <w:ind w:left="20" w:right="0" w:firstLine="0"/>
                      <w:jc w:val="left"/>
                      <w:rPr>
                        <w:sz w:val="21"/>
                      </w:rPr>
                    </w:pPr>
                    <w:r>
                      <w:rPr>
                        <w:spacing w:val="-2"/>
                        <w:w w:val="110"/>
                        <w:sz w:val="21"/>
                      </w:rPr>
                      <w:t>PEDIATRIC</w:t>
                    </w:r>
                    <w:r>
                      <w:rPr>
                        <w:w w:val="110"/>
                        <w:sz w:val="21"/>
                      </w:rPr>
                      <w:t> </w:t>
                    </w:r>
                    <w:r>
                      <w:rPr>
                        <w:spacing w:val="-2"/>
                        <w:w w:val="110"/>
                        <w:sz w:val="21"/>
                      </w:rPr>
                      <w:t>HEALTH</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2528">
              <wp:simplePos x="0" y="0"/>
              <wp:positionH relativeFrom="page">
                <wp:posOffset>903986</wp:posOffset>
              </wp:positionH>
              <wp:positionV relativeFrom="page">
                <wp:posOffset>495363</wp:posOffset>
              </wp:positionV>
              <wp:extent cx="2239010" cy="15875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239010" cy="158750"/>
                      </a:xfrm>
                      <a:prstGeom prst="rect">
                        <a:avLst/>
                      </a:prstGeom>
                    </wps:spPr>
                    <wps:txbx>
                      <w:txbxContent>
                        <w:p>
                          <w:pPr>
                            <w:spacing w:line="234" w:lineRule="exact" w:before="0"/>
                            <w:ind w:left="20" w:right="0" w:firstLine="0"/>
                            <w:jc w:val="left"/>
                            <w:rPr>
                              <w:sz w:val="21"/>
                            </w:rPr>
                          </w:pPr>
                          <w:r>
                            <w:rPr>
                              <w:sz w:val="21"/>
                            </w:rPr>
                            <w:t>PREGNANCY</w:t>
                          </w:r>
                          <w:r>
                            <w:rPr>
                              <w:spacing w:val="-4"/>
                              <w:sz w:val="21"/>
                            </w:rPr>
                            <w:t> </w:t>
                          </w:r>
                          <w:r>
                            <w:rPr>
                              <w:sz w:val="21"/>
                            </w:rPr>
                            <w:t>&amp;</w:t>
                          </w:r>
                          <w:r>
                            <w:rPr>
                              <w:spacing w:val="-3"/>
                              <w:sz w:val="21"/>
                            </w:rPr>
                            <w:t> </w:t>
                          </w:r>
                          <w:r>
                            <w:rPr>
                              <w:sz w:val="21"/>
                            </w:rPr>
                            <w:t>GYNECOLOGICAL</w:t>
                          </w:r>
                          <w:r>
                            <w:rPr>
                              <w:spacing w:val="-3"/>
                              <w:sz w:val="21"/>
                            </w:rPr>
                            <w:t> </w:t>
                          </w:r>
                          <w:r>
                            <w:rPr>
                              <w:spacing w:val="-2"/>
                              <w:sz w:val="21"/>
                            </w:rPr>
                            <w:t>HEALTH</w:t>
                          </w:r>
                        </w:p>
                      </w:txbxContent>
                    </wps:txbx>
                    <wps:bodyPr wrap="square" lIns="0" tIns="0" rIns="0" bIns="0" rtlCol="0">
                      <a:noAutofit/>
                    </wps:bodyPr>
                  </wps:wsp>
                </a:graphicData>
              </a:graphic>
            </wp:anchor>
          </w:drawing>
        </mc:Choice>
        <mc:Fallback>
          <w:pict>
            <v:shape style="position:absolute;margin-left:71.180pt;margin-top:39.005001pt;width:176.3pt;height:12.5pt;mso-position-horizontal-relative:page;mso-position-vertical-relative:page;z-index:-20733952" type="#_x0000_t202" id="docshape224" filled="false" stroked="false">
              <v:textbox inset="0,0,0,0">
                <w:txbxContent>
                  <w:p>
                    <w:pPr>
                      <w:spacing w:line="234" w:lineRule="exact" w:before="0"/>
                      <w:ind w:left="20" w:right="0" w:firstLine="0"/>
                      <w:jc w:val="left"/>
                      <w:rPr>
                        <w:sz w:val="21"/>
                      </w:rPr>
                    </w:pPr>
                    <w:r>
                      <w:rPr>
                        <w:sz w:val="21"/>
                      </w:rPr>
                      <w:t>PREGNANCY</w:t>
                    </w:r>
                    <w:r>
                      <w:rPr>
                        <w:spacing w:val="-4"/>
                        <w:sz w:val="21"/>
                      </w:rPr>
                      <w:t> </w:t>
                    </w:r>
                    <w:r>
                      <w:rPr>
                        <w:sz w:val="21"/>
                      </w:rPr>
                      <w:t>&amp;</w:t>
                    </w:r>
                    <w:r>
                      <w:rPr>
                        <w:spacing w:val="-3"/>
                        <w:sz w:val="21"/>
                      </w:rPr>
                      <w:t> </w:t>
                    </w:r>
                    <w:r>
                      <w:rPr>
                        <w:sz w:val="21"/>
                      </w:rPr>
                      <w:t>GYNECOLOGICAL</w:t>
                    </w:r>
                    <w:r>
                      <w:rPr>
                        <w:spacing w:val="-3"/>
                        <w:sz w:val="21"/>
                      </w:rPr>
                      <w:t> </w:t>
                    </w:r>
                    <w:r>
                      <w:rPr>
                        <w:spacing w:val="-2"/>
                        <w:sz w:val="21"/>
                      </w:rPr>
                      <w:t>HEALTH</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4064">
              <wp:simplePos x="0" y="0"/>
              <wp:positionH relativeFrom="page">
                <wp:posOffset>903986</wp:posOffset>
              </wp:positionH>
              <wp:positionV relativeFrom="page">
                <wp:posOffset>471741</wp:posOffset>
              </wp:positionV>
              <wp:extent cx="899794" cy="15875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899794" cy="158750"/>
                      </a:xfrm>
                      <a:prstGeom prst="rect">
                        <a:avLst/>
                      </a:prstGeom>
                    </wps:spPr>
                    <wps:txbx>
                      <w:txbxContent>
                        <w:p>
                          <w:pPr>
                            <w:spacing w:line="234" w:lineRule="exact" w:before="0"/>
                            <w:ind w:left="20" w:right="0" w:firstLine="0"/>
                            <w:jc w:val="left"/>
                            <w:rPr>
                              <w:sz w:val="21"/>
                            </w:rPr>
                          </w:pPr>
                          <w:r>
                            <w:rPr>
                              <w:sz w:val="21"/>
                            </w:rPr>
                            <w:t>SEXUAL</w:t>
                          </w:r>
                          <w:r>
                            <w:rPr>
                              <w:spacing w:val="-3"/>
                              <w:sz w:val="21"/>
                            </w:rPr>
                            <w:t> </w:t>
                          </w:r>
                          <w:r>
                            <w:rPr>
                              <w:spacing w:val="-2"/>
                              <w:sz w:val="21"/>
                            </w:rPr>
                            <w:t>HEALTH</w:t>
                          </w:r>
                        </w:p>
                      </w:txbxContent>
                    </wps:txbx>
                    <wps:bodyPr wrap="square" lIns="0" tIns="0" rIns="0" bIns="0" rtlCol="0">
                      <a:noAutofit/>
                    </wps:bodyPr>
                  </wps:wsp>
                </a:graphicData>
              </a:graphic>
            </wp:anchor>
          </w:drawing>
        </mc:Choice>
        <mc:Fallback>
          <w:pict>
            <v:shape style="position:absolute;margin-left:71.180pt;margin-top:37.145pt;width:70.850pt;height:12.5pt;mso-position-horizontal-relative:page;mso-position-vertical-relative:page;z-index:-20732416" type="#_x0000_t202" id="docshape246" filled="false" stroked="false">
              <v:textbox inset="0,0,0,0">
                <w:txbxContent>
                  <w:p>
                    <w:pPr>
                      <w:spacing w:line="234" w:lineRule="exact" w:before="0"/>
                      <w:ind w:left="20" w:right="0" w:firstLine="0"/>
                      <w:jc w:val="left"/>
                      <w:rPr>
                        <w:sz w:val="21"/>
                      </w:rPr>
                    </w:pPr>
                    <w:r>
                      <w:rPr>
                        <w:sz w:val="21"/>
                      </w:rPr>
                      <w:t>SEXUAL</w:t>
                    </w:r>
                    <w:r>
                      <w:rPr>
                        <w:spacing w:val="-3"/>
                        <w:sz w:val="21"/>
                      </w:rPr>
                      <w:t> </w:t>
                    </w:r>
                    <w:r>
                      <w:rPr>
                        <w:spacing w:val="-2"/>
                        <w:sz w:val="21"/>
                      </w:rPr>
                      <w:t>HEALTH</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5600">
              <wp:simplePos x="0" y="0"/>
              <wp:positionH relativeFrom="page">
                <wp:posOffset>993139</wp:posOffset>
              </wp:positionH>
              <wp:positionV relativeFrom="page">
                <wp:posOffset>473265</wp:posOffset>
              </wp:positionV>
              <wp:extent cx="2351405" cy="16510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351405" cy="165100"/>
                      </a:xfrm>
                      <a:prstGeom prst="rect">
                        <a:avLst/>
                      </a:prstGeom>
                    </wps:spPr>
                    <wps:txbx>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wps:txbx>
                    <wps:bodyPr wrap="square" lIns="0" tIns="0" rIns="0" bIns="0" rtlCol="0">
                      <a:noAutofit/>
                    </wps:bodyPr>
                  </wps:wsp>
                </a:graphicData>
              </a:graphic>
            </wp:anchor>
          </w:drawing>
        </mc:Choice>
        <mc:Fallback>
          <w:pict>
            <v:shape style="position:absolute;margin-left:78.199997pt;margin-top:37.264999pt;width:185.15pt;height:13pt;mso-position-horizontal-relative:page;mso-position-vertical-relative:page;z-index:-20730880" type="#_x0000_t202" id="docshape286" filled="false" stroked="false">
              <v:textbox inset="0,0,0,0">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7136">
              <wp:simplePos x="0" y="0"/>
              <wp:positionH relativeFrom="page">
                <wp:posOffset>993139</wp:posOffset>
              </wp:positionH>
              <wp:positionV relativeFrom="page">
                <wp:posOffset>473265</wp:posOffset>
              </wp:positionV>
              <wp:extent cx="2351405" cy="16510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351405" cy="165100"/>
                      </a:xfrm>
                      <a:prstGeom prst="rect">
                        <a:avLst/>
                      </a:prstGeom>
                    </wps:spPr>
                    <wps:txbx>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wps:txbx>
                    <wps:bodyPr wrap="square" lIns="0" tIns="0" rIns="0" bIns="0" rtlCol="0">
                      <a:noAutofit/>
                    </wps:bodyPr>
                  </wps:wsp>
                </a:graphicData>
              </a:graphic>
            </wp:anchor>
          </w:drawing>
        </mc:Choice>
        <mc:Fallback>
          <w:pict>
            <v:shape style="position:absolute;margin-left:78.199997pt;margin-top:37.264999pt;width:185.15pt;height:13pt;mso-position-horizontal-relative:page;mso-position-vertical-relative:page;z-index:-20729344" type="#_x0000_t202" id="docshape294" filled="false" stroked="false">
              <v:textbox inset="0,0,0,0">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8160">
              <wp:simplePos x="0" y="0"/>
              <wp:positionH relativeFrom="page">
                <wp:posOffset>993139</wp:posOffset>
              </wp:positionH>
              <wp:positionV relativeFrom="page">
                <wp:posOffset>473265</wp:posOffset>
              </wp:positionV>
              <wp:extent cx="2351405" cy="16510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351405" cy="165100"/>
                      </a:xfrm>
                      <a:prstGeom prst="rect">
                        <a:avLst/>
                      </a:prstGeom>
                    </wps:spPr>
                    <wps:txbx>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wps:txbx>
                    <wps:bodyPr wrap="square" lIns="0" tIns="0" rIns="0" bIns="0" rtlCol="0">
                      <a:noAutofit/>
                    </wps:bodyPr>
                  </wps:wsp>
                </a:graphicData>
              </a:graphic>
            </wp:anchor>
          </w:drawing>
        </mc:Choice>
        <mc:Fallback>
          <w:pict>
            <v:shape style="position:absolute;margin-left:78.199997pt;margin-top:37.264999pt;width:185.15pt;height:13pt;mso-position-horizontal-relative:page;mso-position-vertical-relative:page;z-index:-20728320" type="#_x0000_t202" id="docshape297" filled="false" stroked="false">
              <v:textbox inset="0,0,0,0">
                <w:txbxContent>
                  <w:p>
                    <w:pPr>
                      <w:pStyle w:val="BodyText"/>
                      <w:spacing w:line="244" w:lineRule="exact"/>
                      <w:ind w:left="20"/>
                    </w:pPr>
                    <w:r>
                      <w:rPr/>
                      <w:t>HOMELESSNESS</w:t>
                    </w:r>
                    <w:r>
                      <w:rPr>
                        <w:spacing w:val="-11"/>
                      </w:rPr>
                      <w:t> </w:t>
                    </w:r>
                    <w:r>
                      <w:rPr/>
                      <w:t>&amp;</w:t>
                    </w:r>
                    <w:r>
                      <w:rPr>
                        <w:spacing w:val="-9"/>
                      </w:rPr>
                      <w:t> </w:t>
                    </w:r>
                    <w:r>
                      <w:rPr/>
                      <w:t>HOUSING</w:t>
                    </w:r>
                    <w:r>
                      <w:rPr>
                        <w:spacing w:val="-10"/>
                      </w:rPr>
                      <w:t> </w:t>
                    </w:r>
                    <w:r>
                      <w:rPr>
                        <w:spacing w:val="-2"/>
                      </w:rPr>
                      <w:t>INSTABILITY</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89696">
              <wp:simplePos x="0" y="0"/>
              <wp:positionH relativeFrom="page">
                <wp:posOffset>993139</wp:posOffset>
              </wp:positionH>
              <wp:positionV relativeFrom="page">
                <wp:posOffset>471741</wp:posOffset>
              </wp:positionV>
              <wp:extent cx="1153160" cy="15875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153160" cy="158750"/>
                      </a:xfrm>
                      <a:prstGeom prst="rect">
                        <a:avLst/>
                      </a:prstGeom>
                    </wps:spPr>
                    <wps:txbx>
                      <w:txbxContent>
                        <w:p>
                          <w:pPr>
                            <w:spacing w:line="234" w:lineRule="exact" w:before="0"/>
                            <w:ind w:left="20" w:right="0" w:firstLine="0"/>
                            <w:jc w:val="left"/>
                            <w:rPr>
                              <w:sz w:val="21"/>
                            </w:rPr>
                          </w:pPr>
                          <w:r>
                            <w:rPr>
                              <w:sz w:val="21"/>
                            </w:rPr>
                            <w:t>ADVANCING</w:t>
                          </w:r>
                          <w:r>
                            <w:rPr>
                              <w:spacing w:val="-5"/>
                              <w:sz w:val="21"/>
                            </w:rPr>
                            <w:t> </w:t>
                          </w:r>
                          <w:r>
                            <w:rPr>
                              <w:spacing w:val="-2"/>
                              <w:sz w:val="21"/>
                            </w:rPr>
                            <w:t>JUSTICE</w:t>
                          </w:r>
                        </w:p>
                      </w:txbxContent>
                    </wps:txbx>
                    <wps:bodyPr wrap="square" lIns="0" tIns="0" rIns="0" bIns="0" rtlCol="0">
                      <a:noAutofit/>
                    </wps:bodyPr>
                  </wps:wsp>
                </a:graphicData>
              </a:graphic>
            </wp:anchor>
          </w:drawing>
        </mc:Choice>
        <mc:Fallback>
          <w:pict>
            <v:shape style="position:absolute;margin-left:78.199997pt;margin-top:37.145pt;width:90.8pt;height:12.5pt;mso-position-horizontal-relative:page;mso-position-vertical-relative:page;z-index:-20726784" type="#_x0000_t202" id="docshape313" filled="false" stroked="false">
              <v:textbox inset="0,0,0,0">
                <w:txbxContent>
                  <w:p>
                    <w:pPr>
                      <w:spacing w:line="234" w:lineRule="exact" w:before="0"/>
                      <w:ind w:left="20" w:right="0" w:firstLine="0"/>
                      <w:jc w:val="left"/>
                      <w:rPr>
                        <w:sz w:val="21"/>
                      </w:rPr>
                    </w:pPr>
                    <w:r>
                      <w:rPr>
                        <w:sz w:val="21"/>
                      </w:rPr>
                      <w:t>ADVANCING</w:t>
                    </w:r>
                    <w:r>
                      <w:rPr>
                        <w:spacing w:val="-5"/>
                        <w:sz w:val="21"/>
                      </w:rPr>
                      <w:t> </w:t>
                    </w:r>
                    <w:r>
                      <w:rPr>
                        <w:spacing w:val="-2"/>
                        <w:sz w:val="21"/>
                      </w:rPr>
                      <w:t>JUSTICE</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1232">
              <wp:simplePos x="0" y="0"/>
              <wp:positionH relativeFrom="page">
                <wp:posOffset>903986</wp:posOffset>
              </wp:positionH>
              <wp:positionV relativeFrom="page">
                <wp:posOffset>498411</wp:posOffset>
              </wp:positionV>
              <wp:extent cx="1706880" cy="15875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1706880" cy="158750"/>
                      </a:xfrm>
                      <a:prstGeom prst="rect">
                        <a:avLst/>
                      </a:prstGeom>
                    </wps:spPr>
                    <wps:txbx>
                      <w:txbxContent>
                        <w:p>
                          <w:pPr>
                            <w:spacing w:line="234" w:lineRule="exact" w:before="0"/>
                            <w:ind w:left="20" w:right="0" w:firstLine="0"/>
                            <w:jc w:val="left"/>
                            <w:rPr>
                              <w:sz w:val="21"/>
                            </w:rPr>
                          </w:pPr>
                          <w:r>
                            <w:rPr>
                              <w:sz w:val="21"/>
                            </w:rPr>
                            <w:t>INCLUSIVE</w:t>
                          </w:r>
                          <w:r>
                            <w:rPr>
                              <w:spacing w:val="-5"/>
                              <w:sz w:val="21"/>
                            </w:rPr>
                            <w:t> </w:t>
                          </w:r>
                          <w:r>
                            <w:rPr>
                              <w:sz w:val="21"/>
                            </w:rPr>
                            <w:t>SERVICE</w:t>
                          </w:r>
                          <w:r>
                            <w:rPr>
                              <w:spacing w:val="-5"/>
                              <w:sz w:val="21"/>
                            </w:rPr>
                            <w:t> </w:t>
                          </w:r>
                          <w:r>
                            <w:rPr>
                              <w:spacing w:val="-2"/>
                              <w:sz w:val="21"/>
                            </w:rPr>
                            <w:t>PROVISION</w:t>
                          </w:r>
                        </w:p>
                      </w:txbxContent>
                    </wps:txbx>
                    <wps:bodyPr wrap="square" lIns="0" tIns="0" rIns="0" bIns="0" rtlCol="0">
                      <a:noAutofit/>
                    </wps:bodyPr>
                  </wps:wsp>
                </a:graphicData>
              </a:graphic>
            </wp:anchor>
          </w:drawing>
        </mc:Choice>
        <mc:Fallback>
          <w:pict>
            <v:shape style="position:absolute;margin-left:71.180pt;margin-top:39.244999pt;width:134.4pt;height:12.5pt;mso-position-horizontal-relative:page;mso-position-vertical-relative:page;z-index:-20725248" type="#_x0000_t202" id="docshape337" filled="false" stroked="false">
              <v:textbox inset="0,0,0,0">
                <w:txbxContent>
                  <w:p>
                    <w:pPr>
                      <w:spacing w:line="234" w:lineRule="exact" w:before="0"/>
                      <w:ind w:left="20" w:right="0" w:firstLine="0"/>
                      <w:jc w:val="left"/>
                      <w:rPr>
                        <w:sz w:val="21"/>
                      </w:rPr>
                    </w:pPr>
                    <w:r>
                      <w:rPr>
                        <w:sz w:val="21"/>
                      </w:rPr>
                      <w:t>INCLUSIVE</w:t>
                    </w:r>
                    <w:r>
                      <w:rPr>
                        <w:spacing w:val="-5"/>
                        <w:sz w:val="21"/>
                      </w:rPr>
                      <w:t> </w:t>
                    </w:r>
                    <w:r>
                      <w:rPr>
                        <w:sz w:val="21"/>
                      </w:rPr>
                      <w:t>SERVICE</w:t>
                    </w:r>
                    <w:r>
                      <w:rPr>
                        <w:spacing w:val="-5"/>
                        <w:sz w:val="21"/>
                      </w:rPr>
                      <w:t> </w:t>
                    </w:r>
                    <w:r>
                      <w:rPr>
                        <w:spacing w:val="-2"/>
                        <w:sz w:val="21"/>
                      </w:rPr>
                      <w:t>PROVISION</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2768">
              <wp:simplePos x="0" y="0"/>
              <wp:positionH relativeFrom="page">
                <wp:posOffset>903986</wp:posOffset>
              </wp:positionH>
              <wp:positionV relativeFrom="page">
                <wp:posOffset>495363</wp:posOffset>
              </wp:positionV>
              <wp:extent cx="1449705" cy="15875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1449705" cy="158750"/>
                      </a:xfrm>
                      <a:prstGeom prst="rect">
                        <a:avLst/>
                      </a:prstGeom>
                    </wps:spPr>
                    <wps:txbx>
                      <w:txbxContent>
                        <w:p>
                          <w:pPr>
                            <w:spacing w:line="234" w:lineRule="exact" w:before="0"/>
                            <w:ind w:left="20" w:right="0" w:firstLine="0"/>
                            <w:jc w:val="left"/>
                            <w:rPr>
                              <w:sz w:val="21"/>
                            </w:rPr>
                          </w:pPr>
                          <w:r>
                            <w:rPr>
                              <w:sz w:val="21"/>
                            </w:rPr>
                            <w:t>ENVIRONMENTAL</w:t>
                          </w:r>
                          <w:r>
                            <w:rPr>
                              <w:spacing w:val="-5"/>
                              <w:sz w:val="21"/>
                            </w:rPr>
                            <w:t> </w:t>
                          </w:r>
                          <w:r>
                            <w:rPr>
                              <w:spacing w:val="-2"/>
                              <w:sz w:val="21"/>
                            </w:rPr>
                            <w:t>JUSTICE</w:t>
                          </w:r>
                        </w:p>
                      </w:txbxContent>
                    </wps:txbx>
                    <wps:bodyPr wrap="square" lIns="0" tIns="0" rIns="0" bIns="0" rtlCol="0">
                      <a:noAutofit/>
                    </wps:bodyPr>
                  </wps:wsp>
                </a:graphicData>
              </a:graphic>
            </wp:anchor>
          </w:drawing>
        </mc:Choice>
        <mc:Fallback>
          <w:pict>
            <v:shape style="position:absolute;margin-left:71.180pt;margin-top:39.005001pt;width:114.15pt;height:12.5pt;mso-position-horizontal-relative:page;mso-position-vertical-relative:page;z-index:-20723712" type="#_x0000_t202" id="docshape382" filled="false" stroked="false">
              <v:textbox inset="0,0,0,0">
                <w:txbxContent>
                  <w:p>
                    <w:pPr>
                      <w:spacing w:line="234" w:lineRule="exact" w:before="0"/>
                      <w:ind w:left="20" w:right="0" w:firstLine="0"/>
                      <w:jc w:val="left"/>
                      <w:rPr>
                        <w:sz w:val="21"/>
                      </w:rPr>
                    </w:pPr>
                    <w:r>
                      <w:rPr>
                        <w:sz w:val="21"/>
                      </w:rPr>
                      <w:t>ENVIRONMENTAL</w:t>
                    </w:r>
                    <w:r>
                      <w:rPr>
                        <w:spacing w:val="-5"/>
                        <w:sz w:val="21"/>
                      </w:rPr>
                      <w:t> </w:t>
                    </w:r>
                    <w:r>
                      <w:rPr>
                        <w:spacing w:val="-2"/>
                        <w:sz w:val="21"/>
                      </w:rPr>
                      <w:t>JUSTICE</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4304">
              <wp:simplePos x="0" y="0"/>
              <wp:positionH relativeFrom="page">
                <wp:posOffset>993139</wp:posOffset>
              </wp:positionH>
              <wp:positionV relativeFrom="page">
                <wp:posOffset>471741</wp:posOffset>
              </wp:positionV>
              <wp:extent cx="1097280" cy="15875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1097280" cy="158750"/>
                      </a:xfrm>
                      <a:prstGeom prst="rect">
                        <a:avLst/>
                      </a:prstGeom>
                    </wps:spPr>
                    <wps:txbx>
                      <w:txbxContent>
                        <w:p>
                          <w:pPr>
                            <w:spacing w:line="234" w:lineRule="exact" w:before="0"/>
                            <w:ind w:left="20" w:right="0" w:firstLine="0"/>
                            <w:jc w:val="left"/>
                            <w:rPr>
                              <w:sz w:val="21"/>
                            </w:rPr>
                          </w:pPr>
                          <w:r>
                            <w:rPr>
                              <w:sz w:val="21"/>
                            </w:rPr>
                            <w:t>ECONOMIC</w:t>
                          </w:r>
                          <w:r>
                            <w:rPr>
                              <w:spacing w:val="-3"/>
                              <w:sz w:val="21"/>
                            </w:rPr>
                            <w:t> </w:t>
                          </w:r>
                          <w:r>
                            <w:rPr>
                              <w:spacing w:val="-2"/>
                              <w:sz w:val="21"/>
                            </w:rPr>
                            <w:t>JUSTICE</w:t>
                          </w:r>
                        </w:p>
                      </w:txbxContent>
                    </wps:txbx>
                    <wps:bodyPr wrap="square" lIns="0" tIns="0" rIns="0" bIns="0" rtlCol="0">
                      <a:noAutofit/>
                    </wps:bodyPr>
                  </wps:wsp>
                </a:graphicData>
              </a:graphic>
            </wp:anchor>
          </w:drawing>
        </mc:Choice>
        <mc:Fallback>
          <w:pict>
            <v:shape style="position:absolute;margin-left:78.199997pt;margin-top:37.145pt;width:86.4pt;height:12.5pt;mso-position-horizontal-relative:page;mso-position-vertical-relative:page;z-index:-20722176" type="#_x0000_t202" id="docshape403" filled="false" stroked="false">
              <v:textbox inset="0,0,0,0">
                <w:txbxContent>
                  <w:p>
                    <w:pPr>
                      <w:spacing w:line="234" w:lineRule="exact" w:before="0"/>
                      <w:ind w:left="20" w:right="0" w:firstLine="0"/>
                      <w:jc w:val="left"/>
                      <w:rPr>
                        <w:sz w:val="21"/>
                      </w:rPr>
                    </w:pPr>
                    <w:r>
                      <w:rPr>
                        <w:sz w:val="21"/>
                      </w:rPr>
                      <w:t>ECONOMIC</w:t>
                    </w:r>
                    <w:r>
                      <w:rPr>
                        <w:spacing w:val="-3"/>
                        <w:sz w:val="21"/>
                      </w:rPr>
                      <w:t> </w:t>
                    </w:r>
                    <w:r>
                      <w:rPr>
                        <w:spacing w:val="-2"/>
                        <w:sz w:val="21"/>
                      </w:rPr>
                      <w:t>JUSTICE</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5840">
              <wp:simplePos x="0" y="0"/>
              <wp:positionH relativeFrom="page">
                <wp:posOffset>901700</wp:posOffset>
              </wp:positionH>
              <wp:positionV relativeFrom="page">
                <wp:posOffset>477075</wp:posOffset>
              </wp:positionV>
              <wp:extent cx="1953260" cy="15875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953260" cy="158750"/>
                      </a:xfrm>
                      <a:prstGeom prst="rect">
                        <a:avLst/>
                      </a:prstGeom>
                    </wps:spPr>
                    <wps:txbx>
                      <w:txbxContent>
                        <w:p>
                          <w:pPr>
                            <w:spacing w:line="234" w:lineRule="exact" w:before="0"/>
                            <w:ind w:left="20" w:right="0" w:firstLine="0"/>
                            <w:jc w:val="left"/>
                            <w:rPr>
                              <w:sz w:val="21"/>
                            </w:rPr>
                          </w:pPr>
                          <w:r>
                            <w:rPr>
                              <w:sz w:val="21"/>
                            </w:rPr>
                            <w:t>ELIMINATING</w:t>
                          </w:r>
                          <w:r>
                            <w:rPr>
                              <w:spacing w:val="-12"/>
                              <w:sz w:val="21"/>
                            </w:rPr>
                            <w:t> </w:t>
                          </w:r>
                          <w:r>
                            <w:rPr>
                              <w:sz w:val="21"/>
                            </w:rPr>
                            <w:t>BARRIERS</w:t>
                          </w:r>
                          <w:r>
                            <w:rPr>
                              <w:spacing w:val="-10"/>
                              <w:sz w:val="21"/>
                            </w:rPr>
                            <w:t> </w:t>
                          </w:r>
                          <w:r>
                            <w:rPr>
                              <w:sz w:val="21"/>
                            </w:rPr>
                            <w:t>TO</w:t>
                          </w:r>
                          <w:r>
                            <w:rPr>
                              <w:spacing w:val="-11"/>
                              <w:sz w:val="21"/>
                            </w:rPr>
                            <w:t> </w:t>
                          </w:r>
                          <w:r>
                            <w:rPr>
                              <w:spacing w:val="-2"/>
                              <w:sz w:val="21"/>
                            </w:rPr>
                            <w:t>SERVICE</w:t>
                          </w:r>
                        </w:p>
                      </w:txbxContent>
                    </wps:txbx>
                    <wps:bodyPr wrap="square" lIns="0" tIns="0" rIns="0" bIns="0" rtlCol="0">
                      <a:noAutofit/>
                    </wps:bodyPr>
                  </wps:wsp>
                </a:graphicData>
              </a:graphic>
            </wp:anchor>
          </w:drawing>
        </mc:Choice>
        <mc:Fallback>
          <w:pict>
            <v:shape style="position:absolute;margin-left:71pt;margin-top:37.564999pt;width:153.8pt;height:12.5pt;mso-position-horizontal-relative:page;mso-position-vertical-relative:page;z-index:-20720640" type="#_x0000_t202" id="docshape419" filled="false" stroked="false">
              <v:textbox inset="0,0,0,0">
                <w:txbxContent>
                  <w:p>
                    <w:pPr>
                      <w:spacing w:line="234" w:lineRule="exact" w:before="0"/>
                      <w:ind w:left="20" w:right="0" w:firstLine="0"/>
                      <w:jc w:val="left"/>
                      <w:rPr>
                        <w:sz w:val="21"/>
                      </w:rPr>
                    </w:pPr>
                    <w:r>
                      <w:rPr>
                        <w:sz w:val="21"/>
                      </w:rPr>
                      <w:t>ELIMINATING</w:t>
                    </w:r>
                    <w:r>
                      <w:rPr>
                        <w:spacing w:val="-12"/>
                        <w:sz w:val="21"/>
                      </w:rPr>
                      <w:t> </w:t>
                    </w:r>
                    <w:r>
                      <w:rPr>
                        <w:sz w:val="21"/>
                      </w:rPr>
                      <w:t>BARRIERS</w:t>
                    </w:r>
                    <w:r>
                      <w:rPr>
                        <w:spacing w:val="-10"/>
                        <w:sz w:val="21"/>
                      </w:rPr>
                      <w:t> </w:t>
                    </w:r>
                    <w:r>
                      <w:rPr>
                        <w:sz w:val="21"/>
                      </w:rPr>
                      <w:t>TO</w:t>
                    </w:r>
                    <w:r>
                      <w:rPr>
                        <w:spacing w:val="-11"/>
                        <w:sz w:val="21"/>
                      </w:rPr>
                      <w:t> </w:t>
                    </w:r>
                    <w:r>
                      <w:rPr>
                        <w:spacing w:val="-2"/>
                        <w:sz w:val="21"/>
                      </w:rPr>
                      <w:t>SERVICE</w:t>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7376">
              <wp:simplePos x="0" y="0"/>
              <wp:positionH relativeFrom="page">
                <wp:posOffset>903986</wp:posOffset>
              </wp:positionH>
              <wp:positionV relativeFrom="page">
                <wp:posOffset>497649</wp:posOffset>
              </wp:positionV>
              <wp:extent cx="781050" cy="15875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781050" cy="158750"/>
                      </a:xfrm>
                      <a:prstGeom prst="rect">
                        <a:avLst/>
                      </a:prstGeom>
                    </wps:spPr>
                    <wps:txbx>
                      <w:txbxContent>
                        <w:p>
                          <w:pPr>
                            <w:spacing w:line="234" w:lineRule="exact" w:before="0"/>
                            <w:ind w:left="20" w:right="0" w:firstLine="0"/>
                            <w:jc w:val="left"/>
                            <w:rPr>
                              <w:sz w:val="21"/>
                            </w:rPr>
                          </w:pPr>
                          <w:r>
                            <w:rPr>
                              <w:sz w:val="21"/>
                            </w:rPr>
                            <w:t>EEC</w:t>
                          </w:r>
                          <w:r>
                            <w:rPr>
                              <w:spacing w:val="-1"/>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1.5pt;height:12.5pt;mso-position-horizontal-relative:page;mso-position-vertical-relative:page;z-index:-20719104" type="#_x0000_t202" id="docshape424" filled="false" stroked="false">
              <v:textbox inset="0,0,0,0">
                <w:txbxContent>
                  <w:p>
                    <w:pPr>
                      <w:spacing w:line="234" w:lineRule="exact" w:before="0"/>
                      <w:ind w:left="20" w:right="0" w:firstLine="0"/>
                      <w:jc w:val="left"/>
                      <w:rPr>
                        <w:sz w:val="21"/>
                      </w:rPr>
                    </w:pPr>
                    <w:r>
                      <w:rPr>
                        <w:sz w:val="21"/>
                      </w:rPr>
                      <w:t>EEC</w:t>
                    </w:r>
                    <w:r>
                      <w:rPr>
                        <w:spacing w:val="-1"/>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98912">
              <wp:simplePos x="0" y="0"/>
              <wp:positionH relativeFrom="page">
                <wp:posOffset>993139</wp:posOffset>
              </wp:positionH>
              <wp:positionV relativeFrom="page">
                <wp:posOffset>471741</wp:posOffset>
              </wp:positionV>
              <wp:extent cx="853440" cy="15875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853440" cy="158750"/>
                      </a:xfrm>
                      <a:prstGeom prst="rect">
                        <a:avLst/>
                      </a:prstGeom>
                    </wps:spPr>
                    <wps:txbx>
                      <w:txbxContent>
                        <w:p>
                          <w:pPr>
                            <w:spacing w:line="234" w:lineRule="exact" w:before="0"/>
                            <w:ind w:left="20" w:right="0" w:firstLine="0"/>
                            <w:jc w:val="left"/>
                            <w:rPr>
                              <w:sz w:val="21"/>
                            </w:rPr>
                          </w:pPr>
                          <w:r>
                            <w:rPr>
                              <w:sz w:val="21"/>
                            </w:rPr>
                            <w:t>DESE</w:t>
                          </w:r>
                          <w:r>
                            <w:rPr>
                              <w:spacing w:val="-2"/>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8.199997pt;margin-top:37.145pt;width:67.2pt;height:12.5pt;mso-position-horizontal-relative:page;mso-position-vertical-relative:page;z-index:-20717568" type="#_x0000_t202" id="docshape434" filled="false" stroked="false">
              <v:textbox inset="0,0,0,0">
                <w:txbxContent>
                  <w:p>
                    <w:pPr>
                      <w:spacing w:line="234" w:lineRule="exact" w:before="0"/>
                      <w:ind w:left="20" w:right="0" w:firstLine="0"/>
                      <w:jc w:val="left"/>
                      <w:rPr>
                        <w:sz w:val="21"/>
                      </w:rPr>
                    </w:pPr>
                    <w:r>
                      <w:rPr>
                        <w:sz w:val="21"/>
                      </w:rPr>
                      <w:t>DESE</w:t>
                    </w:r>
                    <w:r>
                      <w:rPr>
                        <w:spacing w:val="-2"/>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0448">
              <wp:simplePos x="0" y="0"/>
              <wp:positionH relativeFrom="page">
                <wp:posOffset>903986</wp:posOffset>
              </wp:positionH>
              <wp:positionV relativeFrom="page">
                <wp:posOffset>497649</wp:posOffset>
              </wp:positionV>
              <wp:extent cx="809625" cy="15875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809625" cy="158750"/>
                      </a:xfrm>
                      <a:prstGeom prst="rect">
                        <a:avLst/>
                      </a:prstGeom>
                    </wps:spPr>
                    <wps:txbx>
                      <w:txbxContent>
                        <w:p>
                          <w:pPr>
                            <w:spacing w:line="234" w:lineRule="exact" w:before="0"/>
                            <w:ind w:left="20" w:right="0" w:firstLine="0"/>
                            <w:jc w:val="left"/>
                            <w:rPr>
                              <w:sz w:val="21"/>
                            </w:rPr>
                          </w:pPr>
                          <w:r>
                            <w:rPr>
                              <w:sz w:val="21"/>
                            </w:rPr>
                            <w:t>DHE</w:t>
                          </w:r>
                          <w:r>
                            <w:rPr>
                              <w:spacing w:val="-2"/>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3.75pt;height:12.5pt;mso-position-horizontal-relative:page;mso-position-vertical-relative:page;z-index:-20716032" type="#_x0000_t202" id="docshape440" filled="false" stroked="false">
              <v:textbox inset="0,0,0,0">
                <w:txbxContent>
                  <w:p>
                    <w:pPr>
                      <w:spacing w:line="234" w:lineRule="exact" w:before="0"/>
                      <w:ind w:left="20" w:right="0" w:firstLine="0"/>
                      <w:jc w:val="left"/>
                      <w:rPr>
                        <w:sz w:val="21"/>
                      </w:rPr>
                    </w:pPr>
                    <w:r>
                      <w:rPr>
                        <w:sz w:val="21"/>
                      </w:rPr>
                      <w:t>DHE</w:t>
                    </w:r>
                    <w:r>
                      <w:rPr>
                        <w:spacing w:val="-2"/>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1984">
              <wp:simplePos x="0" y="0"/>
              <wp:positionH relativeFrom="page">
                <wp:posOffset>903986</wp:posOffset>
              </wp:positionH>
              <wp:positionV relativeFrom="page">
                <wp:posOffset>497649</wp:posOffset>
              </wp:positionV>
              <wp:extent cx="794385" cy="15875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794385" cy="158750"/>
                      </a:xfrm>
                      <a:prstGeom prst="rect">
                        <a:avLst/>
                      </a:prstGeom>
                    </wps:spPr>
                    <wps:txbx>
                      <w:txbxContent>
                        <w:p>
                          <w:pPr>
                            <w:spacing w:line="234" w:lineRule="exact" w:before="0"/>
                            <w:ind w:left="20" w:right="0" w:firstLine="0"/>
                            <w:jc w:val="left"/>
                            <w:rPr>
                              <w:sz w:val="21"/>
                            </w:rPr>
                          </w:pPr>
                          <w:r>
                            <w:rPr>
                              <w:sz w:val="21"/>
                            </w:rPr>
                            <w:t>DCF</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2.55pt;height:12.5pt;mso-position-horizontal-relative:page;mso-position-vertical-relative:page;z-index:-20714496" type="#_x0000_t202" id="docshape452" filled="false" stroked="false">
              <v:textbox inset="0,0,0,0">
                <w:txbxContent>
                  <w:p>
                    <w:pPr>
                      <w:spacing w:line="234" w:lineRule="exact" w:before="0"/>
                      <w:ind w:left="20" w:right="0" w:firstLine="0"/>
                      <w:jc w:val="left"/>
                      <w:rPr>
                        <w:sz w:val="21"/>
                      </w:rPr>
                    </w:pPr>
                    <w:r>
                      <w:rPr>
                        <w:sz w:val="21"/>
                      </w:rPr>
                      <w:t>DCF</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3520">
              <wp:simplePos x="0" y="0"/>
              <wp:positionH relativeFrom="page">
                <wp:posOffset>903986</wp:posOffset>
              </wp:positionH>
              <wp:positionV relativeFrom="page">
                <wp:posOffset>497649</wp:posOffset>
              </wp:positionV>
              <wp:extent cx="836930" cy="15875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836930" cy="158750"/>
                      </a:xfrm>
                      <a:prstGeom prst="rect">
                        <a:avLst/>
                      </a:prstGeom>
                    </wps:spPr>
                    <wps:txbx>
                      <w:txbxContent>
                        <w:p>
                          <w:pPr>
                            <w:spacing w:line="234" w:lineRule="exact" w:before="0"/>
                            <w:ind w:left="20" w:right="0" w:firstLine="0"/>
                            <w:jc w:val="left"/>
                            <w:rPr>
                              <w:sz w:val="21"/>
                            </w:rPr>
                          </w:pPr>
                          <w:r>
                            <w:rPr>
                              <w:sz w:val="21"/>
                            </w:rPr>
                            <w:t>MCB</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5.9pt;height:12.5pt;mso-position-horizontal-relative:page;mso-position-vertical-relative:page;z-index:-20712960" type="#_x0000_t202" id="docshape462" filled="false" stroked="false">
              <v:textbox inset="0,0,0,0">
                <w:txbxContent>
                  <w:p>
                    <w:pPr>
                      <w:spacing w:line="234" w:lineRule="exact" w:before="0"/>
                      <w:ind w:left="20" w:right="0" w:firstLine="0"/>
                      <w:jc w:val="left"/>
                      <w:rPr>
                        <w:sz w:val="21"/>
                      </w:rPr>
                    </w:pPr>
                    <w:r>
                      <w:rPr>
                        <w:sz w:val="21"/>
                      </w:rPr>
                      <w:t>MCB</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5056">
              <wp:simplePos x="0" y="0"/>
              <wp:positionH relativeFrom="page">
                <wp:posOffset>903986</wp:posOffset>
              </wp:positionH>
              <wp:positionV relativeFrom="page">
                <wp:posOffset>497649</wp:posOffset>
              </wp:positionV>
              <wp:extent cx="1013460" cy="15875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1013460" cy="158750"/>
                      </a:xfrm>
                      <a:prstGeom prst="rect">
                        <a:avLst/>
                      </a:prstGeom>
                    </wps:spPr>
                    <wps:txbx>
                      <w:txbxContent>
                        <w:p>
                          <w:pPr>
                            <w:spacing w:line="234" w:lineRule="exact" w:before="0"/>
                            <w:ind w:left="20" w:right="0" w:firstLine="0"/>
                            <w:jc w:val="left"/>
                            <w:rPr>
                              <w:sz w:val="21"/>
                            </w:rPr>
                          </w:pPr>
                          <w:r>
                            <w:rPr>
                              <w:sz w:val="21"/>
                            </w:rPr>
                            <w:t>MCDHH</w:t>
                          </w:r>
                          <w:r>
                            <w:rPr>
                              <w:spacing w:val="-1"/>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79.8pt;height:12.5pt;mso-position-horizontal-relative:page;mso-position-vertical-relative:page;z-index:-20711424" type="#_x0000_t202" id="docshape468" filled="false" stroked="false">
              <v:textbox inset="0,0,0,0">
                <w:txbxContent>
                  <w:p>
                    <w:pPr>
                      <w:spacing w:line="234" w:lineRule="exact" w:before="0"/>
                      <w:ind w:left="20" w:right="0" w:firstLine="0"/>
                      <w:jc w:val="left"/>
                      <w:rPr>
                        <w:sz w:val="21"/>
                      </w:rPr>
                    </w:pPr>
                    <w:r>
                      <w:rPr>
                        <w:sz w:val="21"/>
                      </w:rPr>
                      <w:t>MCDHH</w:t>
                    </w:r>
                    <w:r>
                      <w:rPr>
                        <w:spacing w:val="-1"/>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6592">
              <wp:simplePos x="0" y="0"/>
              <wp:positionH relativeFrom="page">
                <wp:posOffset>891794</wp:posOffset>
              </wp:positionH>
              <wp:positionV relativeFrom="page">
                <wp:posOffset>497649</wp:posOffset>
              </wp:positionV>
              <wp:extent cx="836930" cy="15875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836930" cy="158750"/>
                      </a:xfrm>
                      <a:prstGeom prst="rect">
                        <a:avLst/>
                      </a:prstGeom>
                    </wps:spPr>
                    <wps:txbx>
                      <w:txbxContent>
                        <w:p>
                          <w:pPr>
                            <w:spacing w:line="234" w:lineRule="exact" w:before="0"/>
                            <w:ind w:left="20" w:right="0" w:firstLine="0"/>
                            <w:jc w:val="left"/>
                            <w:rPr>
                              <w:sz w:val="21"/>
                            </w:rPr>
                          </w:pPr>
                          <w:r>
                            <w:rPr>
                              <w:sz w:val="21"/>
                            </w:rPr>
                            <w:t>MRC</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0.220001pt;margin-top:39.185001pt;width:65.9pt;height:12.5pt;mso-position-horizontal-relative:page;mso-position-vertical-relative:page;z-index:-20709888" type="#_x0000_t202" id="docshape478" filled="false" stroked="false">
              <v:textbox inset="0,0,0,0">
                <w:txbxContent>
                  <w:p>
                    <w:pPr>
                      <w:spacing w:line="234" w:lineRule="exact" w:before="0"/>
                      <w:ind w:left="20" w:right="0" w:firstLine="0"/>
                      <w:jc w:val="left"/>
                      <w:rPr>
                        <w:sz w:val="21"/>
                      </w:rPr>
                    </w:pPr>
                    <w:r>
                      <w:rPr>
                        <w:sz w:val="21"/>
                      </w:rPr>
                      <w:t>MRC</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8128">
              <wp:simplePos x="0" y="0"/>
              <wp:positionH relativeFrom="page">
                <wp:posOffset>903986</wp:posOffset>
              </wp:positionH>
              <wp:positionV relativeFrom="page">
                <wp:posOffset>497649</wp:posOffset>
              </wp:positionV>
              <wp:extent cx="857885" cy="15875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857885" cy="158750"/>
                      </a:xfrm>
                      <a:prstGeom prst="rect">
                        <a:avLst/>
                      </a:prstGeom>
                    </wps:spPr>
                    <wps:txbx>
                      <w:txbxContent>
                        <w:p>
                          <w:pPr>
                            <w:spacing w:line="234" w:lineRule="exact" w:before="0"/>
                            <w:ind w:left="20" w:right="0" w:firstLine="0"/>
                            <w:jc w:val="left"/>
                            <w:rPr>
                              <w:sz w:val="21"/>
                            </w:rPr>
                          </w:pPr>
                          <w:r>
                            <w:rPr>
                              <w:sz w:val="21"/>
                            </w:rPr>
                            <w:t>DMH</w:t>
                          </w:r>
                          <w:r>
                            <w:rPr>
                              <w:spacing w:val="-1"/>
                              <w:sz w:val="21"/>
                            </w:rPr>
                            <w:t> </w:t>
                          </w:r>
                          <w:r>
                            <w:rPr>
                              <w:sz w:val="21"/>
                            </w:rPr>
                            <w:t>– 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7.55pt;height:12.5pt;mso-position-horizontal-relative:page;mso-position-vertical-relative:page;z-index:-20708352" type="#_x0000_t202" id="docshape490" filled="false" stroked="false">
              <v:textbox inset="0,0,0,0">
                <w:txbxContent>
                  <w:p>
                    <w:pPr>
                      <w:spacing w:line="234" w:lineRule="exact" w:before="0"/>
                      <w:ind w:left="20" w:right="0" w:firstLine="0"/>
                      <w:jc w:val="left"/>
                      <w:rPr>
                        <w:sz w:val="21"/>
                      </w:rPr>
                    </w:pPr>
                    <w:r>
                      <w:rPr>
                        <w:sz w:val="21"/>
                      </w:rPr>
                      <w:t>DMH</w:t>
                    </w:r>
                    <w:r>
                      <w:rPr>
                        <w:spacing w:val="-1"/>
                        <w:sz w:val="21"/>
                      </w:rPr>
                      <w:t> </w:t>
                    </w:r>
                    <w:r>
                      <w:rPr>
                        <w:sz w:val="21"/>
                      </w:rPr>
                      <w:t>– FY </w:t>
                    </w:r>
                    <w:r>
                      <w:rPr>
                        <w:spacing w:val="-4"/>
                        <w:sz w:val="21"/>
                      </w:rPr>
                      <w:t>2025</w:t>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09664">
              <wp:simplePos x="0" y="0"/>
              <wp:positionH relativeFrom="page">
                <wp:posOffset>903986</wp:posOffset>
              </wp:positionH>
              <wp:positionV relativeFrom="page">
                <wp:posOffset>497649</wp:posOffset>
              </wp:positionV>
              <wp:extent cx="813435" cy="15875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813435" cy="158750"/>
                      </a:xfrm>
                      <a:prstGeom prst="rect">
                        <a:avLst/>
                      </a:prstGeom>
                    </wps:spPr>
                    <wps:txbx>
                      <w:txbxContent>
                        <w:p>
                          <w:pPr>
                            <w:spacing w:line="234" w:lineRule="exact" w:before="0"/>
                            <w:ind w:left="20" w:right="0" w:firstLine="0"/>
                            <w:jc w:val="left"/>
                            <w:rPr>
                              <w:sz w:val="21"/>
                            </w:rPr>
                          </w:pPr>
                          <w:r>
                            <w:rPr>
                              <w:sz w:val="21"/>
                            </w:rPr>
                            <w:t>DPH</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4.05pt;height:12.5pt;mso-position-horizontal-relative:page;mso-position-vertical-relative:page;z-index:-20706816" type="#_x0000_t202" id="docshape495" filled="false" stroked="false">
              <v:textbox inset="0,0,0,0">
                <w:txbxContent>
                  <w:p>
                    <w:pPr>
                      <w:spacing w:line="234" w:lineRule="exact" w:before="0"/>
                      <w:ind w:left="20" w:right="0" w:firstLine="0"/>
                      <w:jc w:val="left"/>
                      <w:rPr>
                        <w:sz w:val="21"/>
                      </w:rPr>
                    </w:pPr>
                    <w:r>
                      <w:rPr>
                        <w:sz w:val="21"/>
                      </w:rPr>
                      <w:t>DPH</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1200">
              <wp:simplePos x="0" y="0"/>
              <wp:positionH relativeFrom="page">
                <wp:posOffset>903986</wp:posOffset>
              </wp:positionH>
              <wp:positionV relativeFrom="page">
                <wp:posOffset>497649</wp:posOffset>
              </wp:positionV>
              <wp:extent cx="1323340" cy="15875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1323340" cy="158750"/>
                      </a:xfrm>
                      <a:prstGeom prst="rect">
                        <a:avLst/>
                      </a:prstGeom>
                    </wps:spPr>
                    <wps:txbx>
                      <w:txbxContent>
                        <w:p>
                          <w:pPr>
                            <w:spacing w:line="234" w:lineRule="exact" w:before="0"/>
                            <w:ind w:left="20" w:right="0" w:firstLine="0"/>
                            <w:jc w:val="left"/>
                            <w:rPr>
                              <w:sz w:val="21"/>
                            </w:rPr>
                          </w:pPr>
                          <w:r>
                            <w:rPr>
                              <w:sz w:val="21"/>
                            </w:rPr>
                            <w:t>MASSHEALTH</w:t>
                          </w:r>
                          <w:r>
                            <w:rPr>
                              <w:spacing w:val="-2"/>
                              <w:sz w:val="21"/>
                            </w:rPr>
                            <w:t> </w:t>
                          </w:r>
                          <w:r>
                            <w:rPr>
                              <w:sz w:val="21"/>
                            </w:rPr>
                            <w:t>–</w:t>
                          </w:r>
                          <w:r>
                            <w:rPr>
                              <w:spacing w:val="-3"/>
                              <w:sz w:val="21"/>
                            </w:rPr>
                            <w:t> </w:t>
                          </w:r>
                          <w:r>
                            <w:rPr>
                              <w:sz w:val="21"/>
                            </w:rPr>
                            <w:t>FY</w:t>
                          </w:r>
                          <w:r>
                            <w:rPr>
                              <w:spacing w:val="-2"/>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104.2pt;height:12.5pt;mso-position-horizontal-relative:page;mso-position-vertical-relative:page;z-index:-20705280" type="#_x0000_t202" id="docshape505" filled="false" stroked="false">
              <v:textbox inset="0,0,0,0">
                <w:txbxContent>
                  <w:p>
                    <w:pPr>
                      <w:spacing w:line="234" w:lineRule="exact" w:before="0"/>
                      <w:ind w:left="20" w:right="0" w:firstLine="0"/>
                      <w:jc w:val="left"/>
                      <w:rPr>
                        <w:sz w:val="21"/>
                      </w:rPr>
                    </w:pPr>
                    <w:r>
                      <w:rPr>
                        <w:sz w:val="21"/>
                      </w:rPr>
                      <w:t>MASSHEALTH</w:t>
                    </w:r>
                    <w:r>
                      <w:rPr>
                        <w:spacing w:val="-2"/>
                        <w:sz w:val="21"/>
                      </w:rPr>
                      <w:t> </w:t>
                    </w:r>
                    <w:r>
                      <w:rPr>
                        <w:sz w:val="21"/>
                      </w:rPr>
                      <w:t>–</w:t>
                    </w:r>
                    <w:r>
                      <w:rPr>
                        <w:spacing w:val="-3"/>
                        <w:sz w:val="21"/>
                      </w:rPr>
                      <w:t> </w:t>
                    </w:r>
                    <w:r>
                      <w:rPr>
                        <w:sz w:val="21"/>
                      </w:rPr>
                      <w:t>FY</w:t>
                    </w:r>
                    <w:r>
                      <w:rPr>
                        <w:spacing w:val="-2"/>
                        <w:sz w:val="21"/>
                      </w:rPr>
                      <w:t> </w:t>
                    </w:r>
                    <w:r>
                      <w:rPr>
                        <w:spacing w:val="-4"/>
                        <w:sz w:val="21"/>
                      </w:rPr>
                      <w:t>2025</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2736">
              <wp:simplePos x="0" y="0"/>
              <wp:positionH relativeFrom="page">
                <wp:posOffset>903986</wp:posOffset>
              </wp:positionH>
              <wp:positionV relativeFrom="page">
                <wp:posOffset>497649</wp:posOffset>
              </wp:positionV>
              <wp:extent cx="774065" cy="15875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774065" cy="158750"/>
                      </a:xfrm>
                      <a:prstGeom prst="rect">
                        <a:avLst/>
                      </a:prstGeom>
                    </wps:spPr>
                    <wps:txbx>
                      <w:txbxContent>
                        <w:p>
                          <w:pPr>
                            <w:spacing w:line="234" w:lineRule="exact" w:before="0"/>
                            <w:ind w:left="20" w:right="0" w:firstLine="0"/>
                            <w:jc w:val="left"/>
                            <w:rPr>
                              <w:sz w:val="21"/>
                            </w:rPr>
                          </w:pPr>
                          <w:r>
                            <w:rPr>
                              <w:sz w:val="21"/>
                            </w:rPr>
                            <w:t>ORI</w:t>
                          </w:r>
                          <w:r>
                            <w:rPr>
                              <w:spacing w:val="-3"/>
                              <w:sz w:val="21"/>
                            </w:rPr>
                            <w:t> </w:t>
                          </w:r>
                          <w:r>
                            <w:rPr>
                              <w:sz w:val="21"/>
                            </w:rPr>
                            <w:t>– 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0.95pt;height:12.5pt;mso-position-horizontal-relative:page;mso-position-vertical-relative:page;z-index:-20703744" type="#_x0000_t202" id="docshape517" filled="false" stroked="false">
              <v:textbox inset="0,0,0,0">
                <w:txbxContent>
                  <w:p>
                    <w:pPr>
                      <w:spacing w:line="234" w:lineRule="exact" w:before="0"/>
                      <w:ind w:left="20" w:right="0" w:firstLine="0"/>
                      <w:jc w:val="left"/>
                      <w:rPr>
                        <w:sz w:val="21"/>
                      </w:rPr>
                    </w:pPr>
                    <w:r>
                      <w:rPr>
                        <w:sz w:val="21"/>
                      </w:rPr>
                      <w:t>ORI</w:t>
                    </w:r>
                    <w:r>
                      <w:rPr>
                        <w:spacing w:val="-3"/>
                        <w:sz w:val="21"/>
                      </w:rPr>
                      <w:t> </w:t>
                    </w:r>
                    <w:r>
                      <w:rPr>
                        <w:sz w:val="21"/>
                      </w:rPr>
                      <w:t>– FY </w:t>
                    </w:r>
                    <w:r>
                      <w:rPr>
                        <w:spacing w:val="-4"/>
                        <w:sz w:val="21"/>
                      </w:rPr>
                      <w:t>2025</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4272">
              <wp:simplePos x="0" y="0"/>
              <wp:positionH relativeFrom="page">
                <wp:posOffset>903986</wp:posOffset>
              </wp:positionH>
              <wp:positionV relativeFrom="page">
                <wp:posOffset>497649</wp:posOffset>
              </wp:positionV>
              <wp:extent cx="803275" cy="15875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803275" cy="158750"/>
                      </a:xfrm>
                      <a:prstGeom prst="rect">
                        <a:avLst/>
                      </a:prstGeom>
                    </wps:spPr>
                    <wps:txbx>
                      <w:txbxContent>
                        <w:p>
                          <w:pPr>
                            <w:spacing w:line="234" w:lineRule="exact" w:before="0"/>
                            <w:ind w:left="20" w:right="0" w:firstLine="0"/>
                            <w:jc w:val="left"/>
                            <w:rPr>
                              <w:sz w:val="21"/>
                            </w:rPr>
                          </w:pPr>
                          <w:r>
                            <w:rPr>
                              <w:sz w:val="21"/>
                            </w:rPr>
                            <w:t>DTA</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3.25pt;height:12.5pt;mso-position-horizontal-relative:page;mso-position-vertical-relative:page;z-index:-20702208" type="#_x0000_t202" id="docshape527" filled="false" stroked="false">
              <v:textbox inset="0,0,0,0">
                <w:txbxContent>
                  <w:p>
                    <w:pPr>
                      <w:spacing w:line="234" w:lineRule="exact" w:before="0"/>
                      <w:ind w:left="20" w:right="0" w:firstLine="0"/>
                      <w:jc w:val="left"/>
                      <w:rPr>
                        <w:sz w:val="21"/>
                      </w:rPr>
                    </w:pPr>
                    <w:r>
                      <w:rPr>
                        <w:sz w:val="21"/>
                      </w:rPr>
                      <w:t>DTA</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5808">
              <wp:simplePos x="0" y="0"/>
              <wp:positionH relativeFrom="page">
                <wp:posOffset>903986</wp:posOffset>
              </wp:positionH>
              <wp:positionV relativeFrom="page">
                <wp:posOffset>497649</wp:posOffset>
              </wp:positionV>
              <wp:extent cx="788670" cy="15875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788670" cy="158750"/>
                      </a:xfrm>
                      <a:prstGeom prst="rect">
                        <a:avLst/>
                      </a:prstGeom>
                    </wps:spPr>
                    <wps:txbx>
                      <w:txbxContent>
                        <w:p>
                          <w:pPr>
                            <w:spacing w:line="234" w:lineRule="exact" w:before="0"/>
                            <w:ind w:left="20" w:right="0" w:firstLine="0"/>
                            <w:jc w:val="left"/>
                            <w:rPr>
                              <w:sz w:val="21"/>
                            </w:rPr>
                          </w:pPr>
                          <w:r>
                            <w:rPr>
                              <w:sz w:val="21"/>
                            </w:rPr>
                            <w:t>DYS</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2.1pt;height:12.5pt;mso-position-horizontal-relative:page;mso-position-vertical-relative:page;z-index:-20700672" type="#_x0000_t202" id="docshape533" filled="false" stroked="false">
              <v:textbox inset="0,0,0,0">
                <w:txbxContent>
                  <w:p>
                    <w:pPr>
                      <w:spacing w:line="234" w:lineRule="exact" w:before="0"/>
                      <w:ind w:left="20" w:right="0" w:firstLine="0"/>
                      <w:jc w:val="left"/>
                      <w:rPr>
                        <w:sz w:val="21"/>
                      </w:rPr>
                    </w:pPr>
                    <w:r>
                      <w:rPr>
                        <w:sz w:val="21"/>
                      </w:rPr>
                      <w:t>DYS</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7344">
              <wp:simplePos x="0" y="0"/>
              <wp:positionH relativeFrom="page">
                <wp:posOffset>903986</wp:posOffset>
              </wp:positionH>
              <wp:positionV relativeFrom="page">
                <wp:posOffset>497649</wp:posOffset>
              </wp:positionV>
              <wp:extent cx="923925" cy="15875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923925" cy="158750"/>
                      </a:xfrm>
                      <a:prstGeom prst="rect">
                        <a:avLst/>
                      </a:prstGeom>
                    </wps:spPr>
                    <wps:txbx>
                      <w:txbxContent>
                        <w:p>
                          <w:pPr>
                            <w:spacing w:line="234" w:lineRule="exact" w:before="0"/>
                            <w:ind w:left="20" w:right="0" w:firstLine="0"/>
                            <w:jc w:val="left"/>
                            <w:rPr>
                              <w:sz w:val="21"/>
                            </w:rPr>
                          </w:pPr>
                          <w:r>
                            <w:rPr>
                              <w:sz w:val="21"/>
                            </w:rPr>
                            <w:t>EOPSS</w:t>
                          </w:r>
                          <w:r>
                            <w:rPr>
                              <w:spacing w:val="-4"/>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72.75pt;height:12.5pt;mso-position-horizontal-relative:page;mso-position-vertical-relative:page;z-index:-20699136" type="#_x0000_t202" id="docshape543" filled="false" stroked="false">
              <v:textbox inset="0,0,0,0">
                <w:txbxContent>
                  <w:p>
                    <w:pPr>
                      <w:spacing w:line="234" w:lineRule="exact" w:before="0"/>
                      <w:ind w:left="20" w:right="0" w:firstLine="0"/>
                      <w:jc w:val="left"/>
                      <w:rPr>
                        <w:sz w:val="21"/>
                      </w:rPr>
                    </w:pPr>
                    <w:r>
                      <w:rPr>
                        <w:sz w:val="21"/>
                      </w:rPr>
                      <w:t>EOPSS</w:t>
                    </w:r>
                    <w:r>
                      <w:rPr>
                        <w:spacing w:val="-4"/>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8880">
              <wp:simplePos x="0" y="0"/>
              <wp:positionH relativeFrom="page">
                <wp:posOffset>903986</wp:posOffset>
              </wp:positionH>
              <wp:positionV relativeFrom="page">
                <wp:posOffset>497649</wp:posOffset>
              </wp:positionV>
              <wp:extent cx="942975" cy="15875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942975" cy="158750"/>
                      </a:xfrm>
                      <a:prstGeom prst="rect">
                        <a:avLst/>
                      </a:prstGeom>
                    </wps:spPr>
                    <wps:txbx>
                      <w:txbxContent>
                        <w:p>
                          <w:pPr>
                            <w:spacing w:line="234" w:lineRule="exact" w:before="0"/>
                            <w:ind w:left="20" w:right="0" w:firstLine="0"/>
                            <w:jc w:val="left"/>
                            <w:rPr>
                              <w:sz w:val="21"/>
                            </w:rPr>
                          </w:pPr>
                          <w:r>
                            <w:rPr>
                              <w:sz w:val="21"/>
                            </w:rPr>
                            <w:t>EOHLC</w:t>
                          </w:r>
                          <w:r>
                            <w:rPr>
                              <w:spacing w:val="-3"/>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74.25pt;height:12.5pt;mso-position-horizontal-relative:page;mso-position-vertical-relative:page;z-index:-20697600" type="#_x0000_t202" id="docshape555" filled="false" stroked="false">
              <v:textbox inset="0,0,0,0">
                <w:txbxContent>
                  <w:p>
                    <w:pPr>
                      <w:spacing w:line="234" w:lineRule="exact" w:before="0"/>
                      <w:ind w:left="20" w:right="0" w:firstLine="0"/>
                      <w:jc w:val="left"/>
                      <w:rPr>
                        <w:sz w:val="21"/>
                      </w:rPr>
                    </w:pPr>
                    <w:r>
                      <w:rPr>
                        <w:sz w:val="21"/>
                      </w:rPr>
                      <w:t>EOHLC</w:t>
                    </w:r>
                    <w:r>
                      <w:rPr>
                        <w:spacing w:val="-3"/>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19904">
              <wp:simplePos x="0" y="0"/>
              <wp:positionH relativeFrom="page">
                <wp:posOffset>903986</wp:posOffset>
              </wp:positionH>
              <wp:positionV relativeFrom="page">
                <wp:posOffset>497649</wp:posOffset>
              </wp:positionV>
              <wp:extent cx="942975" cy="15875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942975" cy="158750"/>
                      </a:xfrm>
                      <a:prstGeom prst="rect">
                        <a:avLst/>
                      </a:prstGeom>
                    </wps:spPr>
                    <wps:txbx>
                      <w:txbxContent>
                        <w:p>
                          <w:pPr>
                            <w:spacing w:line="234" w:lineRule="exact" w:before="0"/>
                            <w:ind w:left="20" w:right="0" w:firstLine="0"/>
                            <w:jc w:val="left"/>
                            <w:rPr>
                              <w:sz w:val="21"/>
                            </w:rPr>
                          </w:pPr>
                          <w:r>
                            <w:rPr>
                              <w:sz w:val="21"/>
                            </w:rPr>
                            <w:t>EOHLC</w:t>
                          </w:r>
                          <w:r>
                            <w:rPr>
                              <w:spacing w:val="-3"/>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74.25pt;height:12.5pt;mso-position-horizontal-relative:page;mso-position-vertical-relative:page;z-index:-20696576" type="#_x0000_t202" id="docshape563" filled="false" stroked="false">
              <v:textbox inset="0,0,0,0">
                <w:txbxContent>
                  <w:p>
                    <w:pPr>
                      <w:spacing w:line="234" w:lineRule="exact" w:before="0"/>
                      <w:ind w:left="20" w:right="0" w:firstLine="0"/>
                      <w:jc w:val="left"/>
                      <w:rPr>
                        <w:sz w:val="21"/>
                      </w:rPr>
                    </w:pPr>
                    <w:r>
                      <w:rPr>
                        <w:sz w:val="21"/>
                      </w:rPr>
                      <w:t>EOHLC</w:t>
                    </w:r>
                    <w:r>
                      <w:rPr>
                        <w:spacing w:val="-3"/>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1440">
              <wp:simplePos x="0" y="0"/>
              <wp:positionH relativeFrom="page">
                <wp:posOffset>903986</wp:posOffset>
              </wp:positionH>
              <wp:positionV relativeFrom="page">
                <wp:posOffset>497649</wp:posOffset>
              </wp:positionV>
              <wp:extent cx="894080" cy="15875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894080" cy="158750"/>
                      </a:xfrm>
                      <a:prstGeom prst="rect">
                        <a:avLst/>
                      </a:prstGeom>
                    </wps:spPr>
                    <wps:txbx>
                      <w:txbxContent>
                        <w:p>
                          <w:pPr>
                            <w:spacing w:line="234" w:lineRule="exact" w:before="0"/>
                            <w:ind w:left="20" w:right="0" w:firstLine="0"/>
                            <w:jc w:val="left"/>
                            <w:rPr>
                              <w:sz w:val="21"/>
                            </w:rPr>
                          </w:pPr>
                          <w:r>
                            <w:rPr>
                              <w:sz w:val="21"/>
                            </w:rPr>
                            <w:t>MBLC</w:t>
                          </w:r>
                          <w:r>
                            <w:rPr>
                              <w:spacing w:val="-3"/>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70.4pt;height:12.5pt;mso-position-horizontal-relative:page;mso-position-vertical-relative:page;z-index:-20695040" type="#_x0000_t202" id="docshape567" filled="false" stroked="false">
              <v:textbox inset="0,0,0,0">
                <w:txbxContent>
                  <w:p>
                    <w:pPr>
                      <w:spacing w:line="234" w:lineRule="exact" w:before="0"/>
                      <w:ind w:left="20" w:right="0" w:firstLine="0"/>
                      <w:jc w:val="left"/>
                      <w:rPr>
                        <w:sz w:val="21"/>
                      </w:rPr>
                    </w:pPr>
                    <w:r>
                      <w:rPr>
                        <w:sz w:val="21"/>
                      </w:rPr>
                      <w:t>MBLC</w:t>
                    </w:r>
                    <w:r>
                      <w:rPr>
                        <w:spacing w:val="-3"/>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2976">
              <wp:simplePos x="0" y="0"/>
              <wp:positionH relativeFrom="page">
                <wp:posOffset>903986</wp:posOffset>
              </wp:positionH>
              <wp:positionV relativeFrom="page">
                <wp:posOffset>497649</wp:posOffset>
              </wp:positionV>
              <wp:extent cx="851535" cy="15875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851535" cy="158750"/>
                      </a:xfrm>
                      <a:prstGeom prst="rect">
                        <a:avLst/>
                      </a:prstGeom>
                    </wps:spPr>
                    <wps:txbx>
                      <w:txbxContent>
                        <w:p>
                          <w:pPr>
                            <w:spacing w:line="234" w:lineRule="exact" w:before="0"/>
                            <w:ind w:left="20" w:right="0" w:firstLine="0"/>
                            <w:jc w:val="left"/>
                            <w:rPr>
                              <w:sz w:val="21"/>
                            </w:rPr>
                          </w:pPr>
                          <w:r>
                            <w:rPr>
                              <w:sz w:val="21"/>
                            </w:rPr>
                            <w:t>CPCS</w:t>
                          </w:r>
                          <w:r>
                            <w:rPr>
                              <w:spacing w:val="-2"/>
                              <w:sz w:val="21"/>
                            </w:rPr>
                            <w:t> </w:t>
                          </w:r>
                          <w:r>
                            <w:rPr>
                              <w:sz w:val="21"/>
                            </w:rPr>
                            <w:t>–</w:t>
                          </w:r>
                          <w:r>
                            <w:rPr>
                              <w:spacing w:val="-1"/>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7.05pt;height:12.5pt;mso-position-horizontal-relative:page;mso-position-vertical-relative:page;z-index:-20693504" type="#_x0000_t202" id="docshape578" filled="false" stroked="false">
              <v:textbox inset="0,0,0,0">
                <w:txbxContent>
                  <w:p>
                    <w:pPr>
                      <w:spacing w:line="234" w:lineRule="exact" w:before="0"/>
                      <w:ind w:left="20" w:right="0" w:firstLine="0"/>
                      <w:jc w:val="left"/>
                      <w:rPr>
                        <w:sz w:val="21"/>
                      </w:rPr>
                    </w:pPr>
                    <w:r>
                      <w:rPr>
                        <w:sz w:val="21"/>
                      </w:rPr>
                      <w:t>CPCS</w:t>
                    </w:r>
                    <w:r>
                      <w:rPr>
                        <w:spacing w:val="-2"/>
                        <w:sz w:val="21"/>
                      </w:rPr>
                      <w:t> </w:t>
                    </w:r>
                    <w:r>
                      <w:rPr>
                        <w:sz w:val="21"/>
                      </w:rPr>
                      <w:t>–</w:t>
                    </w:r>
                    <w:r>
                      <w:rPr>
                        <w:spacing w:val="-1"/>
                        <w:sz w:val="21"/>
                      </w:rPr>
                      <w:t> </w:t>
                    </w:r>
                    <w:r>
                      <w:rPr>
                        <w:sz w:val="21"/>
                      </w:rPr>
                      <w:t>FY</w:t>
                    </w:r>
                    <w:r>
                      <w:rPr>
                        <w:spacing w:val="-1"/>
                        <w:sz w:val="21"/>
                      </w:rPr>
                      <w:t> </w:t>
                    </w:r>
                    <w:r>
                      <w:rPr>
                        <w:spacing w:val="-4"/>
                        <w:sz w:val="21"/>
                      </w:rPr>
                      <w:t>2025</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4512">
              <wp:simplePos x="0" y="0"/>
              <wp:positionH relativeFrom="page">
                <wp:posOffset>903986</wp:posOffset>
              </wp:positionH>
              <wp:positionV relativeFrom="page">
                <wp:posOffset>498411</wp:posOffset>
              </wp:positionV>
              <wp:extent cx="1148080" cy="15875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1148080" cy="158750"/>
                      </a:xfrm>
                      <a:prstGeom prst="rect">
                        <a:avLst/>
                      </a:prstGeom>
                    </wps:spPr>
                    <wps:txbx>
                      <w:txbxContent>
                        <w:p>
                          <w:pPr>
                            <w:spacing w:line="234" w:lineRule="exact" w:before="0"/>
                            <w:ind w:left="20" w:right="0" w:firstLine="0"/>
                            <w:jc w:val="left"/>
                            <w:rPr>
                              <w:sz w:val="21"/>
                            </w:rPr>
                          </w:pPr>
                          <w:r>
                            <w:rPr>
                              <w:sz w:val="21"/>
                            </w:rPr>
                            <w:t>MASSHIRE</w:t>
                          </w:r>
                          <w:r>
                            <w:rPr>
                              <w:spacing w:val="-3"/>
                              <w:sz w:val="21"/>
                            </w:rPr>
                            <w:t> </w:t>
                          </w:r>
                          <w:r>
                            <w:rPr>
                              <w:sz w:val="21"/>
                            </w:rPr>
                            <w:t>–</w:t>
                          </w:r>
                          <w:r>
                            <w:rPr>
                              <w:spacing w:val="-2"/>
                              <w:sz w:val="21"/>
                            </w:rPr>
                            <w:t> </w:t>
                          </w:r>
                          <w:r>
                            <w:rPr>
                              <w:sz w:val="21"/>
                            </w:rPr>
                            <w:t>FY</w:t>
                          </w:r>
                          <w:r>
                            <w:rPr>
                              <w:spacing w:val="-1"/>
                              <w:sz w:val="21"/>
                            </w:rPr>
                            <w:t>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244999pt;width:90.4pt;height:12.5pt;mso-position-horizontal-relative:page;mso-position-vertical-relative:page;z-index:-20691968" type="#_x0000_t202" id="docshape588" filled="false" stroked="false">
              <v:textbox inset="0,0,0,0">
                <w:txbxContent>
                  <w:p>
                    <w:pPr>
                      <w:spacing w:line="234" w:lineRule="exact" w:before="0"/>
                      <w:ind w:left="20" w:right="0" w:firstLine="0"/>
                      <w:jc w:val="left"/>
                      <w:rPr>
                        <w:sz w:val="21"/>
                      </w:rPr>
                    </w:pPr>
                    <w:r>
                      <w:rPr>
                        <w:sz w:val="21"/>
                      </w:rPr>
                      <w:t>MASSHIRE</w:t>
                    </w:r>
                    <w:r>
                      <w:rPr>
                        <w:spacing w:val="-3"/>
                        <w:sz w:val="21"/>
                      </w:rPr>
                      <w:t> </w:t>
                    </w:r>
                    <w:r>
                      <w:rPr>
                        <w:sz w:val="21"/>
                      </w:rPr>
                      <w:t>–</w:t>
                    </w:r>
                    <w:r>
                      <w:rPr>
                        <w:spacing w:val="-2"/>
                        <w:sz w:val="21"/>
                      </w:rPr>
                      <w:t> </w:t>
                    </w:r>
                    <w:r>
                      <w:rPr>
                        <w:sz w:val="21"/>
                      </w:rPr>
                      <w:t>FY</w:t>
                    </w:r>
                    <w:r>
                      <w:rPr>
                        <w:spacing w:val="-1"/>
                        <w:sz w:val="21"/>
                      </w:rPr>
                      <w:t> </w:t>
                    </w:r>
                    <w:r>
                      <w:rPr>
                        <w:spacing w:val="-4"/>
                        <w:sz w:val="21"/>
                      </w:rPr>
                      <w:t>2025</w:t>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6048">
              <wp:simplePos x="0" y="0"/>
              <wp:positionH relativeFrom="page">
                <wp:posOffset>903986</wp:posOffset>
              </wp:positionH>
              <wp:positionV relativeFrom="page">
                <wp:posOffset>497649</wp:posOffset>
              </wp:positionV>
              <wp:extent cx="815975" cy="158750"/>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815975" cy="158750"/>
                      </a:xfrm>
                      <a:prstGeom prst="rect">
                        <a:avLst/>
                      </a:prstGeom>
                    </wps:spPr>
                    <wps:txbx>
                      <w:txbxContent>
                        <w:p>
                          <w:pPr>
                            <w:spacing w:line="234" w:lineRule="exact" w:before="0"/>
                            <w:ind w:left="20" w:right="0" w:firstLine="0"/>
                            <w:jc w:val="left"/>
                            <w:rPr>
                              <w:sz w:val="21"/>
                            </w:rPr>
                          </w:pPr>
                          <w:r>
                            <w:rPr>
                              <w:sz w:val="21"/>
                            </w:rPr>
                            <w:t>OCA</w:t>
                          </w:r>
                          <w:r>
                            <w:rPr>
                              <w:spacing w:val="-1"/>
                              <w:sz w:val="21"/>
                            </w:rPr>
                            <w:t> </w:t>
                          </w:r>
                          <w:r>
                            <w:rPr>
                              <w:sz w:val="21"/>
                            </w:rPr>
                            <w:t>–</w:t>
                          </w:r>
                          <w:r>
                            <w:rPr>
                              <w:spacing w:val="-1"/>
                              <w:sz w:val="21"/>
                            </w:rPr>
                            <w:t> </w:t>
                          </w:r>
                          <w:r>
                            <w:rPr>
                              <w:sz w:val="21"/>
                            </w:rPr>
                            <w:t>FY </w:t>
                          </w:r>
                          <w:r>
                            <w:rPr>
                              <w:spacing w:val="-4"/>
                              <w:sz w:val="21"/>
                            </w:rPr>
                            <w:t>2025</w:t>
                          </w:r>
                        </w:p>
                      </w:txbxContent>
                    </wps:txbx>
                    <wps:bodyPr wrap="square" lIns="0" tIns="0" rIns="0" bIns="0" rtlCol="0">
                      <a:noAutofit/>
                    </wps:bodyPr>
                  </wps:wsp>
                </a:graphicData>
              </a:graphic>
            </wp:anchor>
          </w:drawing>
        </mc:Choice>
        <mc:Fallback>
          <w:pict>
            <v:shape style="position:absolute;margin-left:71.180pt;margin-top:39.185001pt;width:64.25pt;height:12.5pt;mso-position-horizontal-relative:page;mso-position-vertical-relative:page;z-index:-20690432" type="#_x0000_t202" id="docshape598" filled="false" stroked="false">
              <v:textbox inset="0,0,0,0">
                <w:txbxContent>
                  <w:p>
                    <w:pPr>
                      <w:spacing w:line="234" w:lineRule="exact" w:before="0"/>
                      <w:ind w:left="20" w:right="0" w:firstLine="0"/>
                      <w:jc w:val="left"/>
                      <w:rPr>
                        <w:sz w:val="21"/>
                      </w:rPr>
                    </w:pPr>
                    <w:r>
                      <w:rPr>
                        <w:sz w:val="21"/>
                      </w:rPr>
                      <w:t>OCA</w:t>
                    </w:r>
                    <w:r>
                      <w:rPr>
                        <w:spacing w:val="-1"/>
                        <w:sz w:val="21"/>
                      </w:rPr>
                      <w:t> </w:t>
                    </w:r>
                    <w:r>
                      <w:rPr>
                        <w:sz w:val="21"/>
                      </w:rPr>
                      <w:t>–</w:t>
                    </w:r>
                    <w:r>
                      <w:rPr>
                        <w:spacing w:val="-1"/>
                        <w:sz w:val="21"/>
                      </w:rPr>
                      <w:t> </w:t>
                    </w:r>
                    <w:r>
                      <w:rPr>
                        <w:sz w:val="21"/>
                      </w:rPr>
                      <w:t>FY </w:t>
                    </w:r>
                    <w:r>
                      <w:rPr>
                        <w:spacing w:val="-4"/>
                        <w:sz w:val="21"/>
                      </w:rPr>
                      <w:t>2025</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627584">
              <wp:simplePos x="0" y="0"/>
              <wp:positionH relativeFrom="page">
                <wp:posOffset>813308</wp:posOffset>
              </wp:positionH>
              <wp:positionV relativeFrom="page">
                <wp:posOffset>539559</wp:posOffset>
              </wp:positionV>
              <wp:extent cx="1102360" cy="158750"/>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1102360" cy="158750"/>
                      </a:xfrm>
                      <a:prstGeom prst="rect">
                        <a:avLst/>
                      </a:prstGeom>
                    </wps:spPr>
                    <wps:txbx>
                      <w:txbxContent>
                        <w:p>
                          <w:pPr>
                            <w:spacing w:line="234" w:lineRule="exact" w:before="0"/>
                            <w:ind w:left="20" w:right="0" w:firstLine="0"/>
                            <w:jc w:val="left"/>
                            <w:rPr>
                              <w:sz w:val="21"/>
                            </w:rPr>
                          </w:pPr>
                          <w:r>
                            <w:rPr>
                              <w:sz w:val="21"/>
                            </w:rPr>
                            <w:t>FY</w:t>
                          </w:r>
                          <w:r>
                            <w:rPr>
                              <w:spacing w:val="-6"/>
                              <w:sz w:val="21"/>
                            </w:rPr>
                            <w:t> </w:t>
                          </w:r>
                          <w:r>
                            <w:rPr>
                              <w:sz w:val="21"/>
                            </w:rPr>
                            <w:t>2025</w:t>
                          </w:r>
                          <w:r>
                            <w:rPr>
                              <w:spacing w:val="-3"/>
                              <w:sz w:val="21"/>
                            </w:rPr>
                            <w:t> </w:t>
                          </w:r>
                          <w:r>
                            <w:rPr>
                              <w:sz w:val="21"/>
                            </w:rPr>
                            <w:t>-</w:t>
                          </w:r>
                          <w:r>
                            <w:rPr>
                              <w:spacing w:val="-3"/>
                              <w:sz w:val="21"/>
                            </w:rPr>
                            <w:t> </w:t>
                          </w:r>
                          <w:r>
                            <w:rPr>
                              <w:spacing w:val="-2"/>
                              <w:sz w:val="21"/>
                            </w:rPr>
                            <w:t>GLOSSARY</w:t>
                          </w:r>
                        </w:p>
                      </w:txbxContent>
                    </wps:txbx>
                    <wps:bodyPr wrap="square" lIns="0" tIns="0" rIns="0" bIns="0" rtlCol="0">
                      <a:noAutofit/>
                    </wps:bodyPr>
                  </wps:wsp>
                </a:graphicData>
              </a:graphic>
            </wp:anchor>
          </w:drawing>
        </mc:Choice>
        <mc:Fallback>
          <w:pict>
            <v:shape style="position:absolute;margin-left:64.040001pt;margin-top:42.485001pt;width:86.8pt;height:12.5pt;mso-position-horizontal-relative:page;mso-position-vertical-relative:page;z-index:-20688896" type="#_x0000_t202" id="docshape608" filled="false" stroked="false">
              <v:textbox inset="0,0,0,0">
                <w:txbxContent>
                  <w:p>
                    <w:pPr>
                      <w:spacing w:line="234" w:lineRule="exact" w:before="0"/>
                      <w:ind w:left="20" w:right="0" w:firstLine="0"/>
                      <w:jc w:val="left"/>
                      <w:rPr>
                        <w:sz w:val="21"/>
                      </w:rPr>
                    </w:pPr>
                    <w:r>
                      <w:rPr>
                        <w:sz w:val="21"/>
                      </w:rPr>
                      <w:t>FY</w:t>
                    </w:r>
                    <w:r>
                      <w:rPr>
                        <w:spacing w:val="-6"/>
                        <w:sz w:val="21"/>
                      </w:rPr>
                      <w:t> </w:t>
                    </w:r>
                    <w:r>
                      <w:rPr>
                        <w:sz w:val="21"/>
                      </w:rPr>
                      <w:t>2025</w:t>
                    </w:r>
                    <w:r>
                      <w:rPr>
                        <w:spacing w:val="-3"/>
                        <w:sz w:val="21"/>
                      </w:rPr>
                      <w:t> </w:t>
                    </w:r>
                    <w:r>
                      <w:rPr>
                        <w:sz w:val="21"/>
                      </w:rPr>
                      <w:t>-</w:t>
                    </w:r>
                    <w:r>
                      <w:rPr>
                        <w:spacing w:val="-3"/>
                        <w:sz w:val="21"/>
                      </w:rPr>
                      <w:t> </w:t>
                    </w:r>
                    <w:r>
                      <w:rPr>
                        <w:spacing w:val="-2"/>
                        <w:sz w:val="21"/>
                      </w:rPr>
                      <w:t>GLOSSARY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6928">
              <wp:simplePos x="0" y="0"/>
              <wp:positionH relativeFrom="page">
                <wp:posOffset>993139</wp:posOffset>
              </wp:positionH>
              <wp:positionV relativeFrom="page">
                <wp:posOffset>766254</wp:posOffset>
              </wp:positionV>
              <wp:extent cx="2593340" cy="2032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593340" cy="203200"/>
                      </a:xfrm>
                      <a:prstGeom prst="rect">
                        <a:avLst/>
                      </a:prstGeom>
                    </wps:spPr>
                    <wps:txbx>
                      <w:txbxContent>
                        <w:p>
                          <w:pPr>
                            <w:spacing w:line="305" w:lineRule="exact" w:before="0"/>
                            <w:ind w:left="20" w:right="0" w:firstLine="0"/>
                            <w:jc w:val="left"/>
                            <w:rPr>
                              <w:sz w:val="28"/>
                            </w:rPr>
                          </w:pPr>
                          <w:r>
                            <w:rPr>
                              <w:color w:val="365F91"/>
                              <w:sz w:val="28"/>
                            </w:rPr>
                            <w:t>Destigmatizing</w:t>
                          </w:r>
                          <w:r>
                            <w:rPr>
                              <w:color w:val="365F91"/>
                              <w:spacing w:val="-15"/>
                              <w:sz w:val="28"/>
                            </w:rPr>
                            <w:t> </w:t>
                          </w:r>
                          <w:r>
                            <w:rPr>
                              <w:color w:val="365F91"/>
                              <w:sz w:val="28"/>
                            </w:rPr>
                            <w:t>Public</w:t>
                          </w:r>
                          <w:r>
                            <w:rPr>
                              <w:color w:val="365F91"/>
                              <w:spacing w:val="-15"/>
                              <w:sz w:val="28"/>
                            </w:rPr>
                            <w:t> </w:t>
                          </w:r>
                          <w:r>
                            <w:rPr>
                              <w:color w:val="365F91"/>
                              <w:sz w:val="28"/>
                            </w:rPr>
                            <w:t>Health</w:t>
                          </w:r>
                          <w:r>
                            <w:rPr>
                              <w:color w:val="365F91"/>
                              <w:spacing w:val="-16"/>
                              <w:sz w:val="28"/>
                            </w:rPr>
                            <w:t> </w:t>
                          </w:r>
                          <w:r>
                            <w:rPr>
                              <w:color w:val="365F91"/>
                              <w:spacing w:val="-2"/>
                              <w:sz w:val="28"/>
                            </w:rPr>
                            <w:t>(2023)</w:t>
                          </w:r>
                        </w:p>
                      </w:txbxContent>
                    </wps:txbx>
                    <wps:bodyPr wrap="square" lIns="0" tIns="0" rIns="0" bIns="0" rtlCol="0">
                      <a:noAutofit/>
                    </wps:bodyPr>
                  </wps:wsp>
                </a:graphicData>
              </a:graphic>
            </wp:anchor>
          </w:drawing>
        </mc:Choice>
        <mc:Fallback>
          <w:pict>
            <v:shape style="position:absolute;margin-left:78.199997pt;margin-top:60.334999pt;width:204.2pt;height:16pt;mso-position-horizontal-relative:page;mso-position-vertical-relative:page;z-index:-20759552" type="#_x0000_t202" id="docshape32" filled="false" stroked="false">
              <v:textbox inset="0,0,0,0">
                <w:txbxContent>
                  <w:p>
                    <w:pPr>
                      <w:spacing w:line="305" w:lineRule="exact" w:before="0"/>
                      <w:ind w:left="20" w:right="0" w:firstLine="0"/>
                      <w:jc w:val="left"/>
                      <w:rPr>
                        <w:sz w:val="28"/>
                      </w:rPr>
                    </w:pPr>
                    <w:r>
                      <w:rPr>
                        <w:color w:val="365F91"/>
                        <w:sz w:val="28"/>
                      </w:rPr>
                      <w:t>Destigmatizing</w:t>
                    </w:r>
                    <w:r>
                      <w:rPr>
                        <w:color w:val="365F91"/>
                        <w:spacing w:val="-15"/>
                        <w:sz w:val="28"/>
                      </w:rPr>
                      <w:t> </w:t>
                    </w:r>
                    <w:r>
                      <w:rPr>
                        <w:color w:val="365F91"/>
                        <w:sz w:val="28"/>
                      </w:rPr>
                      <w:t>Public</w:t>
                    </w:r>
                    <w:r>
                      <w:rPr>
                        <w:color w:val="365F91"/>
                        <w:spacing w:val="-15"/>
                        <w:sz w:val="28"/>
                      </w:rPr>
                      <w:t> </w:t>
                    </w:r>
                    <w:r>
                      <w:rPr>
                        <w:color w:val="365F91"/>
                        <w:sz w:val="28"/>
                      </w:rPr>
                      <w:t>Health</w:t>
                    </w:r>
                    <w:r>
                      <w:rPr>
                        <w:color w:val="365F91"/>
                        <w:spacing w:val="-16"/>
                        <w:sz w:val="28"/>
                      </w:rPr>
                      <w:t> </w:t>
                    </w:r>
                    <w:r>
                      <w:rPr>
                        <w:color w:val="365F91"/>
                        <w:spacing w:val="-2"/>
                        <w:sz w:val="28"/>
                      </w:rPr>
                      <w:t>(2023)</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58464">
              <wp:simplePos x="0" y="0"/>
              <wp:positionH relativeFrom="page">
                <wp:posOffset>993139</wp:posOffset>
              </wp:positionH>
              <wp:positionV relativeFrom="page">
                <wp:posOffset>766254</wp:posOffset>
              </wp:positionV>
              <wp:extent cx="2407285" cy="2032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07285" cy="203200"/>
                      </a:xfrm>
                      <a:prstGeom prst="rect">
                        <a:avLst/>
                      </a:prstGeom>
                    </wps:spPr>
                    <wps:txbx>
                      <w:txbxContent>
                        <w:p>
                          <w:pPr>
                            <w:spacing w:line="305" w:lineRule="exact" w:before="0"/>
                            <w:ind w:left="20" w:right="0" w:firstLine="0"/>
                            <w:jc w:val="left"/>
                            <w:rPr>
                              <w:sz w:val="28"/>
                            </w:rPr>
                          </w:pPr>
                          <w:r>
                            <w:rPr>
                              <w:color w:val="365F91"/>
                              <w:sz w:val="28"/>
                            </w:rPr>
                            <w:t>Supporting</w:t>
                          </w:r>
                          <w:r>
                            <w:rPr>
                              <w:color w:val="365F91"/>
                              <w:spacing w:val="-13"/>
                              <w:sz w:val="28"/>
                            </w:rPr>
                            <w:t> </w:t>
                          </w:r>
                          <w:r>
                            <w:rPr>
                              <w:color w:val="365F91"/>
                              <w:sz w:val="28"/>
                            </w:rPr>
                            <w:t>Mental</w:t>
                          </w:r>
                          <w:r>
                            <w:rPr>
                              <w:color w:val="365F91"/>
                              <w:spacing w:val="-12"/>
                              <w:sz w:val="28"/>
                            </w:rPr>
                            <w:t> </w:t>
                          </w:r>
                          <w:r>
                            <w:rPr>
                              <w:color w:val="365F91"/>
                              <w:sz w:val="28"/>
                            </w:rPr>
                            <w:t>Health</w:t>
                          </w:r>
                          <w:r>
                            <w:rPr>
                              <w:color w:val="365F91"/>
                              <w:spacing w:val="-13"/>
                              <w:sz w:val="28"/>
                            </w:rPr>
                            <w:t> </w:t>
                          </w:r>
                          <w:r>
                            <w:rPr>
                              <w:color w:val="365F91"/>
                              <w:spacing w:val="-2"/>
                              <w:sz w:val="28"/>
                            </w:rPr>
                            <w:t>(2023)</w:t>
                          </w:r>
                        </w:p>
                      </w:txbxContent>
                    </wps:txbx>
                    <wps:bodyPr wrap="square" lIns="0" tIns="0" rIns="0" bIns="0" rtlCol="0">
                      <a:noAutofit/>
                    </wps:bodyPr>
                  </wps:wsp>
                </a:graphicData>
              </a:graphic>
            </wp:anchor>
          </w:drawing>
        </mc:Choice>
        <mc:Fallback>
          <w:pict>
            <v:shape style="position:absolute;margin-left:78.199997pt;margin-top:60.334999pt;width:189.55pt;height:16pt;mso-position-horizontal-relative:page;mso-position-vertical-relative:page;z-index:-20758016" type="#_x0000_t202" id="docshape35" filled="false" stroked="false">
              <v:textbox inset="0,0,0,0">
                <w:txbxContent>
                  <w:p>
                    <w:pPr>
                      <w:spacing w:line="305" w:lineRule="exact" w:before="0"/>
                      <w:ind w:left="20" w:right="0" w:firstLine="0"/>
                      <w:jc w:val="left"/>
                      <w:rPr>
                        <w:sz w:val="28"/>
                      </w:rPr>
                    </w:pPr>
                    <w:r>
                      <w:rPr>
                        <w:color w:val="365F91"/>
                        <w:sz w:val="28"/>
                      </w:rPr>
                      <w:t>Supporting</w:t>
                    </w:r>
                    <w:r>
                      <w:rPr>
                        <w:color w:val="365F91"/>
                        <w:spacing w:val="-13"/>
                        <w:sz w:val="28"/>
                      </w:rPr>
                      <w:t> </w:t>
                    </w:r>
                    <w:r>
                      <w:rPr>
                        <w:color w:val="365F91"/>
                        <w:sz w:val="28"/>
                      </w:rPr>
                      <w:t>Mental</w:t>
                    </w:r>
                    <w:r>
                      <w:rPr>
                        <w:color w:val="365F91"/>
                        <w:spacing w:val="-12"/>
                        <w:sz w:val="28"/>
                      </w:rPr>
                      <w:t> </w:t>
                    </w:r>
                    <w:r>
                      <w:rPr>
                        <w:color w:val="365F91"/>
                        <w:sz w:val="28"/>
                      </w:rPr>
                      <w:t>Health</w:t>
                    </w:r>
                    <w:r>
                      <w:rPr>
                        <w:color w:val="365F91"/>
                        <w:spacing w:val="-13"/>
                        <w:sz w:val="28"/>
                      </w:rPr>
                      <w:t> </w:t>
                    </w:r>
                    <w:r>
                      <w:rPr>
                        <w:color w:val="365F91"/>
                        <w:spacing w:val="-2"/>
                        <w:sz w:val="28"/>
                      </w:rPr>
                      <w:t>(2023)</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560000">
              <wp:simplePos x="0" y="0"/>
              <wp:positionH relativeFrom="page">
                <wp:posOffset>993139</wp:posOffset>
              </wp:positionH>
              <wp:positionV relativeFrom="page">
                <wp:posOffset>766254</wp:posOffset>
              </wp:positionV>
              <wp:extent cx="2526030" cy="2032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526030" cy="203200"/>
                      </a:xfrm>
                      <a:prstGeom prst="rect">
                        <a:avLst/>
                      </a:prstGeom>
                    </wps:spPr>
                    <wps:txbx>
                      <w:txbxContent>
                        <w:p>
                          <w:pPr>
                            <w:spacing w:line="305" w:lineRule="exact" w:before="0"/>
                            <w:ind w:left="20" w:right="0" w:firstLine="0"/>
                            <w:jc w:val="left"/>
                            <w:rPr>
                              <w:sz w:val="28"/>
                            </w:rPr>
                          </w:pPr>
                          <w:r>
                            <w:rPr>
                              <w:color w:val="365F91"/>
                              <w:sz w:val="28"/>
                            </w:rPr>
                            <w:t>Addressing</w:t>
                          </w:r>
                          <w:r>
                            <w:rPr>
                              <w:color w:val="365F91"/>
                              <w:spacing w:val="-14"/>
                              <w:sz w:val="28"/>
                            </w:rPr>
                            <w:t> </w:t>
                          </w:r>
                          <w:r>
                            <w:rPr>
                              <w:color w:val="365F91"/>
                              <w:sz w:val="28"/>
                            </w:rPr>
                            <w:t>Pediatric</w:t>
                          </w:r>
                          <w:r>
                            <w:rPr>
                              <w:color w:val="365F91"/>
                              <w:spacing w:val="-13"/>
                              <w:sz w:val="28"/>
                            </w:rPr>
                            <w:t> </w:t>
                          </w:r>
                          <w:r>
                            <w:rPr>
                              <w:color w:val="365F91"/>
                              <w:sz w:val="28"/>
                            </w:rPr>
                            <w:t>Health</w:t>
                          </w:r>
                          <w:r>
                            <w:rPr>
                              <w:color w:val="365F91"/>
                              <w:spacing w:val="-15"/>
                              <w:sz w:val="28"/>
                            </w:rPr>
                            <w:t> </w:t>
                          </w:r>
                          <w:r>
                            <w:rPr>
                              <w:color w:val="365F91"/>
                              <w:spacing w:val="-2"/>
                              <w:sz w:val="28"/>
                            </w:rPr>
                            <w:t>(2023)</w:t>
                          </w:r>
                        </w:p>
                      </w:txbxContent>
                    </wps:txbx>
                    <wps:bodyPr wrap="square" lIns="0" tIns="0" rIns="0" bIns="0" rtlCol="0">
                      <a:noAutofit/>
                    </wps:bodyPr>
                  </wps:wsp>
                </a:graphicData>
              </a:graphic>
            </wp:anchor>
          </w:drawing>
        </mc:Choice>
        <mc:Fallback>
          <w:pict>
            <v:shape style="position:absolute;margin-left:78.199997pt;margin-top:60.334999pt;width:198.9pt;height:16pt;mso-position-horizontal-relative:page;mso-position-vertical-relative:page;z-index:-20756480" type="#_x0000_t202" id="docshape38" filled="false" stroked="false">
              <v:textbox inset="0,0,0,0">
                <w:txbxContent>
                  <w:p>
                    <w:pPr>
                      <w:spacing w:line="305" w:lineRule="exact" w:before="0"/>
                      <w:ind w:left="20" w:right="0" w:firstLine="0"/>
                      <w:jc w:val="left"/>
                      <w:rPr>
                        <w:sz w:val="28"/>
                      </w:rPr>
                    </w:pPr>
                    <w:r>
                      <w:rPr>
                        <w:color w:val="365F91"/>
                        <w:sz w:val="28"/>
                      </w:rPr>
                      <w:t>Addressing</w:t>
                    </w:r>
                    <w:r>
                      <w:rPr>
                        <w:color w:val="365F91"/>
                        <w:spacing w:val="-14"/>
                        <w:sz w:val="28"/>
                      </w:rPr>
                      <w:t> </w:t>
                    </w:r>
                    <w:r>
                      <w:rPr>
                        <w:color w:val="365F91"/>
                        <w:sz w:val="28"/>
                      </w:rPr>
                      <w:t>Pediatric</w:t>
                    </w:r>
                    <w:r>
                      <w:rPr>
                        <w:color w:val="365F91"/>
                        <w:spacing w:val="-13"/>
                        <w:sz w:val="28"/>
                      </w:rPr>
                      <w:t> </w:t>
                    </w:r>
                    <w:r>
                      <w:rPr>
                        <w:color w:val="365F91"/>
                        <w:sz w:val="28"/>
                      </w:rPr>
                      <w:t>Health</w:t>
                    </w:r>
                    <w:r>
                      <w:rPr>
                        <w:color w:val="365F91"/>
                        <w:spacing w:val="-15"/>
                        <w:sz w:val="28"/>
                      </w:rPr>
                      <w:t> </w:t>
                    </w:r>
                    <w:r>
                      <w:rPr>
                        <w:color w:val="365F91"/>
                        <w:spacing w:val="-2"/>
                        <w:sz w:val="28"/>
                      </w:rPr>
                      <w:t>(2023)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49">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50" w:hanging="360"/>
      </w:pPr>
      <w:rPr>
        <w:rFonts w:hint="default"/>
        <w:lang w:val="en-US" w:eastAsia="en-US" w:bidi="ar-SA"/>
      </w:rPr>
    </w:lvl>
    <w:lvl w:ilvl="2">
      <w:start w:val="0"/>
      <w:numFmt w:val="bullet"/>
      <w:lvlText w:val="•"/>
      <w:lvlJc w:val="left"/>
      <w:pPr>
        <w:ind w:left="2420" w:hanging="360"/>
      </w:pPr>
      <w:rPr>
        <w:rFonts w:hint="default"/>
        <w:lang w:val="en-US" w:eastAsia="en-US" w:bidi="ar-SA"/>
      </w:rPr>
    </w:lvl>
    <w:lvl w:ilvl="3">
      <w:start w:val="0"/>
      <w:numFmt w:val="bullet"/>
      <w:lvlText w:val="•"/>
      <w:lvlJc w:val="left"/>
      <w:pPr>
        <w:ind w:left="3390" w:hanging="360"/>
      </w:pPr>
      <w:rPr>
        <w:rFonts w:hint="default"/>
        <w:lang w:val="en-US" w:eastAsia="en-US" w:bidi="ar-SA"/>
      </w:rPr>
    </w:lvl>
    <w:lvl w:ilvl="4">
      <w:start w:val="0"/>
      <w:numFmt w:val="bullet"/>
      <w:lvlText w:val="•"/>
      <w:lvlJc w:val="left"/>
      <w:pPr>
        <w:ind w:left="4360" w:hanging="360"/>
      </w:pPr>
      <w:rPr>
        <w:rFonts w:hint="default"/>
        <w:lang w:val="en-US" w:eastAsia="en-US" w:bidi="ar-SA"/>
      </w:rPr>
    </w:lvl>
    <w:lvl w:ilvl="5">
      <w:start w:val="0"/>
      <w:numFmt w:val="bullet"/>
      <w:lvlText w:val="•"/>
      <w:lvlJc w:val="left"/>
      <w:pPr>
        <w:ind w:left="5330" w:hanging="360"/>
      </w:pPr>
      <w:rPr>
        <w:rFonts w:hint="default"/>
        <w:lang w:val="en-US" w:eastAsia="en-US" w:bidi="ar-SA"/>
      </w:rPr>
    </w:lvl>
    <w:lvl w:ilvl="6">
      <w:start w:val="0"/>
      <w:numFmt w:val="bullet"/>
      <w:lvlText w:val="•"/>
      <w:lvlJc w:val="left"/>
      <w:pPr>
        <w:ind w:left="6300" w:hanging="360"/>
      </w:pPr>
      <w:rPr>
        <w:rFonts w:hint="default"/>
        <w:lang w:val="en-US" w:eastAsia="en-US" w:bidi="ar-SA"/>
      </w:rPr>
    </w:lvl>
    <w:lvl w:ilvl="7">
      <w:start w:val="0"/>
      <w:numFmt w:val="bullet"/>
      <w:lvlText w:val="•"/>
      <w:lvlJc w:val="left"/>
      <w:pPr>
        <w:ind w:left="7270" w:hanging="360"/>
      </w:pPr>
      <w:rPr>
        <w:rFonts w:hint="default"/>
        <w:lang w:val="en-US" w:eastAsia="en-US" w:bidi="ar-SA"/>
      </w:rPr>
    </w:lvl>
    <w:lvl w:ilvl="8">
      <w:start w:val="0"/>
      <w:numFmt w:val="bullet"/>
      <w:lvlText w:val="•"/>
      <w:lvlJc w:val="left"/>
      <w:pPr>
        <w:ind w:left="8240" w:hanging="360"/>
      </w:pPr>
      <w:rPr>
        <w:rFonts w:hint="default"/>
        <w:lang w:val="en-US" w:eastAsia="en-US" w:bidi="ar-SA"/>
      </w:rPr>
    </w:lvl>
  </w:abstractNum>
  <w:abstractNum w:abstractNumId="48">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419" w:hanging="361"/>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393" w:hanging="361"/>
      </w:pPr>
      <w:rPr>
        <w:rFonts w:hint="default"/>
        <w:lang w:val="en-US" w:eastAsia="en-US" w:bidi="ar-SA"/>
      </w:rPr>
    </w:lvl>
    <w:lvl w:ilvl="3">
      <w:start w:val="0"/>
      <w:numFmt w:val="bullet"/>
      <w:lvlText w:val="•"/>
      <w:lvlJc w:val="left"/>
      <w:pPr>
        <w:ind w:left="3366" w:hanging="361"/>
      </w:pPr>
      <w:rPr>
        <w:rFonts w:hint="default"/>
        <w:lang w:val="en-US" w:eastAsia="en-US" w:bidi="ar-SA"/>
      </w:rPr>
    </w:lvl>
    <w:lvl w:ilvl="4">
      <w:start w:val="0"/>
      <w:numFmt w:val="bullet"/>
      <w:lvlText w:val="•"/>
      <w:lvlJc w:val="left"/>
      <w:pPr>
        <w:ind w:left="4340" w:hanging="361"/>
      </w:pPr>
      <w:rPr>
        <w:rFonts w:hint="default"/>
        <w:lang w:val="en-US" w:eastAsia="en-US" w:bidi="ar-SA"/>
      </w:rPr>
    </w:lvl>
    <w:lvl w:ilvl="5">
      <w:start w:val="0"/>
      <w:numFmt w:val="bullet"/>
      <w:lvlText w:val="•"/>
      <w:lvlJc w:val="left"/>
      <w:pPr>
        <w:ind w:left="5313" w:hanging="361"/>
      </w:pPr>
      <w:rPr>
        <w:rFonts w:hint="default"/>
        <w:lang w:val="en-US" w:eastAsia="en-US" w:bidi="ar-SA"/>
      </w:rPr>
    </w:lvl>
    <w:lvl w:ilvl="6">
      <w:start w:val="0"/>
      <w:numFmt w:val="bullet"/>
      <w:lvlText w:val="•"/>
      <w:lvlJc w:val="left"/>
      <w:pPr>
        <w:ind w:left="6286" w:hanging="361"/>
      </w:pPr>
      <w:rPr>
        <w:rFonts w:hint="default"/>
        <w:lang w:val="en-US" w:eastAsia="en-US" w:bidi="ar-SA"/>
      </w:rPr>
    </w:lvl>
    <w:lvl w:ilvl="7">
      <w:start w:val="0"/>
      <w:numFmt w:val="bullet"/>
      <w:lvlText w:val="•"/>
      <w:lvlJc w:val="left"/>
      <w:pPr>
        <w:ind w:left="7260" w:hanging="361"/>
      </w:pPr>
      <w:rPr>
        <w:rFonts w:hint="default"/>
        <w:lang w:val="en-US" w:eastAsia="en-US" w:bidi="ar-SA"/>
      </w:rPr>
    </w:lvl>
    <w:lvl w:ilvl="8">
      <w:start w:val="0"/>
      <w:numFmt w:val="bullet"/>
      <w:lvlText w:val="•"/>
      <w:lvlJc w:val="left"/>
      <w:pPr>
        <w:ind w:left="8233" w:hanging="361"/>
      </w:pPr>
      <w:rPr>
        <w:rFonts w:hint="default"/>
        <w:lang w:val="en-US" w:eastAsia="en-US" w:bidi="ar-SA"/>
      </w:rPr>
    </w:lvl>
  </w:abstractNum>
  <w:abstractNum w:abstractNumId="47">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46">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45">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44">
    <w:multiLevelType w:val="hybridMultilevel"/>
    <w:lvl w:ilvl="0">
      <w:start w:val="1"/>
      <w:numFmt w:val="decimal"/>
      <w:lvlText w:val="%1."/>
      <w:lvlJc w:val="left"/>
      <w:pPr>
        <w:ind w:left="1199"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41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393" w:hanging="360"/>
      </w:pPr>
      <w:rPr>
        <w:rFonts w:hint="default"/>
        <w:lang w:val="en-US" w:eastAsia="en-US" w:bidi="ar-SA"/>
      </w:rPr>
    </w:lvl>
    <w:lvl w:ilvl="3">
      <w:start w:val="0"/>
      <w:numFmt w:val="bullet"/>
      <w:lvlText w:val="•"/>
      <w:lvlJc w:val="left"/>
      <w:pPr>
        <w:ind w:left="3366" w:hanging="360"/>
      </w:pPr>
      <w:rPr>
        <w:rFonts w:hint="default"/>
        <w:lang w:val="en-US" w:eastAsia="en-US" w:bidi="ar-SA"/>
      </w:rPr>
    </w:lvl>
    <w:lvl w:ilvl="4">
      <w:start w:val="0"/>
      <w:numFmt w:val="bullet"/>
      <w:lvlText w:val="•"/>
      <w:lvlJc w:val="left"/>
      <w:pPr>
        <w:ind w:left="4340" w:hanging="360"/>
      </w:pPr>
      <w:rPr>
        <w:rFonts w:hint="default"/>
        <w:lang w:val="en-US" w:eastAsia="en-US" w:bidi="ar-SA"/>
      </w:rPr>
    </w:lvl>
    <w:lvl w:ilvl="5">
      <w:start w:val="0"/>
      <w:numFmt w:val="bullet"/>
      <w:lvlText w:val="•"/>
      <w:lvlJc w:val="left"/>
      <w:pPr>
        <w:ind w:left="5313" w:hanging="360"/>
      </w:pPr>
      <w:rPr>
        <w:rFonts w:hint="default"/>
        <w:lang w:val="en-US" w:eastAsia="en-US" w:bidi="ar-SA"/>
      </w:rPr>
    </w:lvl>
    <w:lvl w:ilvl="6">
      <w:start w:val="0"/>
      <w:numFmt w:val="bullet"/>
      <w:lvlText w:val="•"/>
      <w:lvlJc w:val="left"/>
      <w:pPr>
        <w:ind w:left="6286" w:hanging="360"/>
      </w:pPr>
      <w:rPr>
        <w:rFonts w:hint="default"/>
        <w:lang w:val="en-US" w:eastAsia="en-US" w:bidi="ar-SA"/>
      </w:rPr>
    </w:lvl>
    <w:lvl w:ilvl="7">
      <w:start w:val="0"/>
      <w:numFmt w:val="bullet"/>
      <w:lvlText w:val="•"/>
      <w:lvlJc w:val="left"/>
      <w:pPr>
        <w:ind w:left="7260" w:hanging="360"/>
      </w:pPr>
      <w:rPr>
        <w:rFonts w:hint="default"/>
        <w:lang w:val="en-US" w:eastAsia="en-US" w:bidi="ar-SA"/>
      </w:rPr>
    </w:lvl>
    <w:lvl w:ilvl="8">
      <w:start w:val="0"/>
      <w:numFmt w:val="bullet"/>
      <w:lvlText w:val="•"/>
      <w:lvlJc w:val="left"/>
      <w:pPr>
        <w:ind w:left="8233" w:hanging="360"/>
      </w:pPr>
      <w:rPr>
        <w:rFonts w:hint="default"/>
        <w:lang w:val="en-US" w:eastAsia="en-US" w:bidi="ar-SA"/>
      </w:rPr>
    </w:lvl>
  </w:abstractNum>
  <w:abstractNum w:abstractNumId="43">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200" w:hanging="358"/>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197" w:hanging="358"/>
      </w:pPr>
      <w:rPr>
        <w:rFonts w:hint="default"/>
        <w:lang w:val="en-US" w:eastAsia="en-US" w:bidi="ar-SA"/>
      </w:rPr>
    </w:lvl>
    <w:lvl w:ilvl="3">
      <w:start w:val="0"/>
      <w:numFmt w:val="bullet"/>
      <w:lvlText w:val="•"/>
      <w:lvlJc w:val="left"/>
      <w:pPr>
        <w:ind w:left="3195" w:hanging="358"/>
      </w:pPr>
      <w:rPr>
        <w:rFonts w:hint="default"/>
        <w:lang w:val="en-US" w:eastAsia="en-US" w:bidi="ar-SA"/>
      </w:rPr>
    </w:lvl>
    <w:lvl w:ilvl="4">
      <w:start w:val="0"/>
      <w:numFmt w:val="bullet"/>
      <w:lvlText w:val="•"/>
      <w:lvlJc w:val="left"/>
      <w:pPr>
        <w:ind w:left="4193" w:hanging="358"/>
      </w:pPr>
      <w:rPr>
        <w:rFonts w:hint="default"/>
        <w:lang w:val="en-US" w:eastAsia="en-US" w:bidi="ar-SA"/>
      </w:rPr>
    </w:lvl>
    <w:lvl w:ilvl="5">
      <w:start w:val="0"/>
      <w:numFmt w:val="bullet"/>
      <w:lvlText w:val="•"/>
      <w:lvlJc w:val="left"/>
      <w:pPr>
        <w:ind w:left="5191" w:hanging="358"/>
      </w:pPr>
      <w:rPr>
        <w:rFonts w:hint="default"/>
        <w:lang w:val="en-US" w:eastAsia="en-US" w:bidi="ar-SA"/>
      </w:rPr>
    </w:lvl>
    <w:lvl w:ilvl="6">
      <w:start w:val="0"/>
      <w:numFmt w:val="bullet"/>
      <w:lvlText w:val="•"/>
      <w:lvlJc w:val="left"/>
      <w:pPr>
        <w:ind w:left="6188" w:hanging="358"/>
      </w:pPr>
      <w:rPr>
        <w:rFonts w:hint="default"/>
        <w:lang w:val="en-US" w:eastAsia="en-US" w:bidi="ar-SA"/>
      </w:rPr>
    </w:lvl>
    <w:lvl w:ilvl="7">
      <w:start w:val="0"/>
      <w:numFmt w:val="bullet"/>
      <w:lvlText w:val="•"/>
      <w:lvlJc w:val="left"/>
      <w:pPr>
        <w:ind w:left="7186" w:hanging="358"/>
      </w:pPr>
      <w:rPr>
        <w:rFonts w:hint="default"/>
        <w:lang w:val="en-US" w:eastAsia="en-US" w:bidi="ar-SA"/>
      </w:rPr>
    </w:lvl>
    <w:lvl w:ilvl="8">
      <w:start w:val="0"/>
      <w:numFmt w:val="bullet"/>
      <w:lvlText w:val="•"/>
      <w:lvlJc w:val="left"/>
      <w:pPr>
        <w:ind w:left="8184" w:hanging="358"/>
      </w:pPr>
      <w:rPr>
        <w:rFonts w:hint="default"/>
        <w:lang w:val="en-US" w:eastAsia="en-US" w:bidi="ar-SA"/>
      </w:rPr>
    </w:lvl>
  </w:abstractNum>
  <w:abstractNum w:abstractNumId="42">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843" w:hanging="361"/>
        <w:jc w:val="left"/>
      </w:pPr>
      <w:rPr>
        <w:rFonts w:hint="default" w:ascii="Calibri" w:hAnsi="Calibri" w:eastAsia="Calibri" w:cs="Calibri"/>
        <w:b w:val="0"/>
        <w:bCs w:val="0"/>
        <w:i w:val="0"/>
        <w:iCs w:val="0"/>
        <w:spacing w:val="0"/>
        <w:w w:val="99"/>
        <w:sz w:val="22"/>
        <w:szCs w:val="22"/>
        <w:lang w:val="en-US" w:eastAsia="en-US" w:bidi="ar-SA"/>
      </w:rPr>
    </w:lvl>
    <w:lvl w:ilvl="2">
      <w:start w:val="1"/>
      <w:numFmt w:val="decimal"/>
      <w:lvlText w:val="%3."/>
      <w:lvlJc w:val="left"/>
      <w:pPr>
        <w:ind w:left="983" w:hanging="360"/>
        <w:jc w:val="left"/>
      </w:pPr>
      <w:rPr>
        <w:rFonts w:hint="default" w:ascii="Calibri" w:hAnsi="Calibri" w:eastAsia="Calibri" w:cs="Calibri"/>
        <w:b/>
        <w:bCs/>
        <w:i w:val="0"/>
        <w:iCs w:val="0"/>
        <w:spacing w:val="0"/>
        <w:w w:val="99"/>
        <w:sz w:val="22"/>
        <w:szCs w:val="22"/>
        <w:lang w:val="en-US" w:eastAsia="en-US" w:bidi="ar-SA"/>
      </w:rPr>
    </w:lvl>
    <w:lvl w:ilvl="3">
      <w:start w:val="1"/>
      <w:numFmt w:val="decimal"/>
      <w:lvlText w:val="%4."/>
      <w:lvlJc w:val="left"/>
      <w:pPr>
        <w:ind w:left="1419" w:hanging="360"/>
        <w:jc w:val="left"/>
      </w:pPr>
      <w:rPr>
        <w:rFonts w:hint="default" w:ascii="Calibri" w:hAnsi="Calibri" w:eastAsia="Calibri" w:cs="Calibri"/>
        <w:b w:val="0"/>
        <w:bCs w:val="0"/>
        <w:i w:val="0"/>
        <w:iCs w:val="0"/>
        <w:spacing w:val="0"/>
        <w:w w:val="100"/>
        <w:sz w:val="21"/>
        <w:szCs w:val="21"/>
        <w:lang w:val="en-US" w:eastAsia="en-US" w:bidi="ar-SA"/>
      </w:rPr>
    </w:lvl>
    <w:lvl w:ilvl="4">
      <w:start w:val="0"/>
      <w:numFmt w:val="bullet"/>
      <w:lvlText w:val=""/>
      <w:lvlJc w:val="left"/>
      <w:pPr>
        <w:ind w:left="1419" w:hanging="360"/>
      </w:pPr>
      <w:rPr>
        <w:rFonts w:hint="default" w:ascii="Symbol" w:hAnsi="Symbol" w:eastAsia="Symbol" w:cs="Symbol"/>
        <w:b w:val="0"/>
        <w:bCs w:val="0"/>
        <w:i w:val="0"/>
        <w:iCs w:val="0"/>
        <w:spacing w:val="0"/>
        <w:w w:val="100"/>
        <w:sz w:val="21"/>
        <w:szCs w:val="21"/>
        <w:lang w:val="en-US" w:eastAsia="en-US" w:bidi="ar-SA"/>
      </w:rPr>
    </w:lvl>
    <w:lvl w:ilvl="5">
      <w:start w:val="0"/>
      <w:numFmt w:val="bullet"/>
      <w:lvlText w:val="•"/>
      <w:lvlJc w:val="left"/>
      <w:pPr>
        <w:ind w:left="3922" w:hanging="360"/>
      </w:pPr>
      <w:rPr>
        <w:rFonts w:hint="default"/>
        <w:lang w:val="en-US" w:eastAsia="en-US" w:bidi="ar-SA"/>
      </w:rPr>
    </w:lvl>
    <w:lvl w:ilvl="6">
      <w:start w:val="0"/>
      <w:numFmt w:val="bullet"/>
      <w:lvlText w:val="•"/>
      <w:lvlJc w:val="left"/>
      <w:pPr>
        <w:ind w:left="5174" w:hanging="360"/>
      </w:pPr>
      <w:rPr>
        <w:rFonts w:hint="default"/>
        <w:lang w:val="en-US" w:eastAsia="en-US" w:bidi="ar-SA"/>
      </w:rPr>
    </w:lvl>
    <w:lvl w:ilvl="7">
      <w:start w:val="0"/>
      <w:numFmt w:val="bullet"/>
      <w:lvlText w:val="•"/>
      <w:lvlJc w:val="left"/>
      <w:pPr>
        <w:ind w:left="6425" w:hanging="360"/>
      </w:pPr>
      <w:rPr>
        <w:rFonts w:hint="default"/>
        <w:lang w:val="en-US" w:eastAsia="en-US" w:bidi="ar-SA"/>
      </w:rPr>
    </w:lvl>
    <w:lvl w:ilvl="8">
      <w:start w:val="0"/>
      <w:numFmt w:val="bullet"/>
      <w:lvlText w:val="•"/>
      <w:lvlJc w:val="left"/>
      <w:pPr>
        <w:ind w:left="7677" w:hanging="360"/>
      </w:pPr>
      <w:rPr>
        <w:rFonts w:hint="default"/>
        <w:lang w:val="en-US" w:eastAsia="en-US" w:bidi="ar-SA"/>
      </w:rPr>
    </w:lvl>
  </w:abstractNum>
  <w:abstractNum w:abstractNumId="41">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203" w:hanging="361"/>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197" w:hanging="361"/>
      </w:pPr>
      <w:rPr>
        <w:rFonts w:hint="default"/>
        <w:lang w:val="en-US" w:eastAsia="en-US" w:bidi="ar-SA"/>
      </w:rPr>
    </w:lvl>
    <w:lvl w:ilvl="3">
      <w:start w:val="0"/>
      <w:numFmt w:val="bullet"/>
      <w:lvlText w:val="•"/>
      <w:lvlJc w:val="left"/>
      <w:pPr>
        <w:ind w:left="3195" w:hanging="361"/>
      </w:pPr>
      <w:rPr>
        <w:rFonts w:hint="default"/>
        <w:lang w:val="en-US" w:eastAsia="en-US" w:bidi="ar-SA"/>
      </w:rPr>
    </w:lvl>
    <w:lvl w:ilvl="4">
      <w:start w:val="0"/>
      <w:numFmt w:val="bullet"/>
      <w:lvlText w:val="•"/>
      <w:lvlJc w:val="left"/>
      <w:pPr>
        <w:ind w:left="4193" w:hanging="361"/>
      </w:pPr>
      <w:rPr>
        <w:rFonts w:hint="default"/>
        <w:lang w:val="en-US" w:eastAsia="en-US" w:bidi="ar-SA"/>
      </w:rPr>
    </w:lvl>
    <w:lvl w:ilvl="5">
      <w:start w:val="0"/>
      <w:numFmt w:val="bullet"/>
      <w:lvlText w:val="•"/>
      <w:lvlJc w:val="left"/>
      <w:pPr>
        <w:ind w:left="5191" w:hanging="361"/>
      </w:pPr>
      <w:rPr>
        <w:rFonts w:hint="default"/>
        <w:lang w:val="en-US" w:eastAsia="en-US" w:bidi="ar-SA"/>
      </w:rPr>
    </w:lvl>
    <w:lvl w:ilvl="6">
      <w:start w:val="0"/>
      <w:numFmt w:val="bullet"/>
      <w:lvlText w:val="•"/>
      <w:lvlJc w:val="left"/>
      <w:pPr>
        <w:ind w:left="6188" w:hanging="361"/>
      </w:pPr>
      <w:rPr>
        <w:rFonts w:hint="default"/>
        <w:lang w:val="en-US" w:eastAsia="en-US" w:bidi="ar-SA"/>
      </w:rPr>
    </w:lvl>
    <w:lvl w:ilvl="7">
      <w:start w:val="0"/>
      <w:numFmt w:val="bullet"/>
      <w:lvlText w:val="•"/>
      <w:lvlJc w:val="left"/>
      <w:pPr>
        <w:ind w:left="7186" w:hanging="361"/>
      </w:pPr>
      <w:rPr>
        <w:rFonts w:hint="default"/>
        <w:lang w:val="en-US" w:eastAsia="en-US" w:bidi="ar-SA"/>
      </w:rPr>
    </w:lvl>
    <w:lvl w:ilvl="8">
      <w:start w:val="0"/>
      <w:numFmt w:val="bullet"/>
      <w:lvlText w:val="•"/>
      <w:lvlJc w:val="left"/>
      <w:pPr>
        <w:ind w:left="8184" w:hanging="361"/>
      </w:pPr>
      <w:rPr>
        <w:rFonts w:hint="default"/>
        <w:lang w:val="en-US" w:eastAsia="en-US" w:bidi="ar-SA"/>
      </w:rPr>
    </w:lvl>
  </w:abstractNum>
  <w:abstractNum w:abstractNumId="40">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39">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38">
    <w:multiLevelType w:val="hybridMultilevel"/>
    <w:lvl w:ilvl="0">
      <w:start w:val="1"/>
      <w:numFmt w:val="decimal"/>
      <w:lvlText w:val="%1."/>
      <w:lvlJc w:val="left"/>
      <w:pPr>
        <w:ind w:left="464"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1"/>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073" w:hanging="361"/>
      </w:pPr>
      <w:rPr>
        <w:rFonts w:hint="default"/>
        <w:lang w:val="en-US" w:eastAsia="en-US" w:bidi="ar-SA"/>
      </w:rPr>
    </w:lvl>
    <w:lvl w:ilvl="3">
      <w:start w:val="0"/>
      <w:numFmt w:val="bullet"/>
      <w:lvlText w:val="•"/>
      <w:lvlJc w:val="left"/>
      <w:pPr>
        <w:ind w:left="3086" w:hanging="361"/>
      </w:pPr>
      <w:rPr>
        <w:rFonts w:hint="default"/>
        <w:lang w:val="en-US" w:eastAsia="en-US" w:bidi="ar-SA"/>
      </w:rPr>
    </w:lvl>
    <w:lvl w:ilvl="4">
      <w:start w:val="0"/>
      <w:numFmt w:val="bullet"/>
      <w:lvlText w:val="•"/>
      <w:lvlJc w:val="left"/>
      <w:pPr>
        <w:ind w:left="4100" w:hanging="361"/>
      </w:pPr>
      <w:rPr>
        <w:rFonts w:hint="default"/>
        <w:lang w:val="en-US" w:eastAsia="en-US" w:bidi="ar-SA"/>
      </w:rPr>
    </w:lvl>
    <w:lvl w:ilvl="5">
      <w:start w:val="0"/>
      <w:numFmt w:val="bullet"/>
      <w:lvlText w:val="•"/>
      <w:lvlJc w:val="left"/>
      <w:pPr>
        <w:ind w:left="5113" w:hanging="361"/>
      </w:pPr>
      <w:rPr>
        <w:rFonts w:hint="default"/>
        <w:lang w:val="en-US" w:eastAsia="en-US" w:bidi="ar-SA"/>
      </w:rPr>
    </w:lvl>
    <w:lvl w:ilvl="6">
      <w:start w:val="0"/>
      <w:numFmt w:val="bullet"/>
      <w:lvlText w:val="•"/>
      <w:lvlJc w:val="left"/>
      <w:pPr>
        <w:ind w:left="6126" w:hanging="361"/>
      </w:pPr>
      <w:rPr>
        <w:rFonts w:hint="default"/>
        <w:lang w:val="en-US" w:eastAsia="en-US" w:bidi="ar-SA"/>
      </w:rPr>
    </w:lvl>
    <w:lvl w:ilvl="7">
      <w:start w:val="0"/>
      <w:numFmt w:val="bullet"/>
      <w:lvlText w:val="•"/>
      <w:lvlJc w:val="left"/>
      <w:pPr>
        <w:ind w:left="7140" w:hanging="361"/>
      </w:pPr>
      <w:rPr>
        <w:rFonts w:hint="default"/>
        <w:lang w:val="en-US" w:eastAsia="en-US" w:bidi="ar-SA"/>
      </w:rPr>
    </w:lvl>
    <w:lvl w:ilvl="8">
      <w:start w:val="0"/>
      <w:numFmt w:val="bullet"/>
      <w:lvlText w:val="•"/>
      <w:lvlJc w:val="left"/>
      <w:pPr>
        <w:ind w:left="8153" w:hanging="361"/>
      </w:pPr>
      <w:rPr>
        <w:rFonts w:hint="default"/>
        <w:lang w:val="en-US" w:eastAsia="en-US" w:bidi="ar-SA"/>
      </w:rPr>
    </w:lvl>
  </w:abstractNum>
  <w:abstractNum w:abstractNumId="37">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40"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55" w:hanging="360"/>
      </w:pPr>
      <w:rPr>
        <w:rFonts w:hint="default"/>
        <w:lang w:val="en-US" w:eastAsia="en-US" w:bidi="ar-SA"/>
      </w:rPr>
    </w:lvl>
    <w:lvl w:ilvl="3">
      <w:start w:val="0"/>
      <w:numFmt w:val="bullet"/>
      <w:lvlText w:val="•"/>
      <w:lvlJc w:val="left"/>
      <w:pPr>
        <w:ind w:left="3071" w:hanging="360"/>
      </w:pPr>
      <w:rPr>
        <w:rFonts w:hint="default"/>
        <w:lang w:val="en-US" w:eastAsia="en-US" w:bidi="ar-SA"/>
      </w:rPr>
    </w:lvl>
    <w:lvl w:ilvl="4">
      <w:start w:val="0"/>
      <w:numFmt w:val="bullet"/>
      <w:lvlText w:val="•"/>
      <w:lvlJc w:val="left"/>
      <w:pPr>
        <w:ind w:left="4086" w:hanging="360"/>
      </w:pPr>
      <w:rPr>
        <w:rFonts w:hint="default"/>
        <w:lang w:val="en-US" w:eastAsia="en-US" w:bidi="ar-SA"/>
      </w:rPr>
    </w:lvl>
    <w:lvl w:ilvl="5">
      <w:start w:val="0"/>
      <w:numFmt w:val="bullet"/>
      <w:lvlText w:val="•"/>
      <w:lvlJc w:val="left"/>
      <w:pPr>
        <w:ind w:left="5102" w:hanging="360"/>
      </w:pPr>
      <w:rPr>
        <w:rFonts w:hint="default"/>
        <w:lang w:val="en-US" w:eastAsia="en-US" w:bidi="ar-SA"/>
      </w:rPr>
    </w:lvl>
    <w:lvl w:ilvl="6">
      <w:start w:val="0"/>
      <w:numFmt w:val="bullet"/>
      <w:lvlText w:val="•"/>
      <w:lvlJc w:val="left"/>
      <w:pPr>
        <w:ind w:left="6117" w:hanging="360"/>
      </w:pPr>
      <w:rPr>
        <w:rFonts w:hint="default"/>
        <w:lang w:val="en-US" w:eastAsia="en-US" w:bidi="ar-SA"/>
      </w:rPr>
    </w:lvl>
    <w:lvl w:ilvl="7">
      <w:start w:val="0"/>
      <w:numFmt w:val="bullet"/>
      <w:lvlText w:val="•"/>
      <w:lvlJc w:val="left"/>
      <w:pPr>
        <w:ind w:left="7133" w:hanging="360"/>
      </w:pPr>
      <w:rPr>
        <w:rFonts w:hint="default"/>
        <w:lang w:val="en-US" w:eastAsia="en-US" w:bidi="ar-SA"/>
      </w:rPr>
    </w:lvl>
    <w:lvl w:ilvl="8">
      <w:start w:val="0"/>
      <w:numFmt w:val="bullet"/>
      <w:lvlText w:val="•"/>
      <w:lvlJc w:val="left"/>
      <w:pPr>
        <w:ind w:left="8148" w:hanging="360"/>
      </w:pPr>
      <w:rPr>
        <w:rFonts w:hint="default"/>
        <w:lang w:val="en-US" w:eastAsia="en-US" w:bidi="ar-SA"/>
      </w:rPr>
    </w:lvl>
  </w:abstractNum>
  <w:abstractNum w:abstractNumId="36">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100"/>
        <w:sz w:val="21"/>
        <w:szCs w:val="21"/>
        <w:lang w:val="en-US" w:eastAsia="en-US" w:bidi="ar-SA"/>
      </w:rPr>
    </w:lvl>
    <w:lvl w:ilvl="1">
      <w:start w:val="1"/>
      <w:numFmt w:val="decimal"/>
      <w:lvlText w:val="%2."/>
      <w:lvlJc w:val="left"/>
      <w:pPr>
        <w:ind w:left="1059" w:hanging="361"/>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073" w:hanging="361"/>
      </w:pPr>
      <w:rPr>
        <w:rFonts w:hint="default"/>
        <w:lang w:val="en-US" w:eastAsia="en-US" w:bidi="ar-SA"/>
      </w:rPr>
    </w:lvl>
    <w:lvl w:ilvl="3">
      <w:start w:val="0"/>
      <w:numFmt w:val="bullet"/>
      <w:lvlText w:val="•"/>
      <w:lvlJc w:val="left"/>
      <w:pPr>
        <w:ind w:left="3086" w:hanging="361"/>
      </w:pPr>
      <w:rPr>
        <w:rFonts w:hint="default"/>
        <w:lang w:val="en-US" w:eastAsia="en-US" w:bidi="ar-SA"/>
      </w:rPr>
    </w:lvl>
    <w:lvl w:ilvl="4">
      <w:start w:val="0"/>
      <w:numFmt w:val="bullet"/>
      <w:lvlText w:val="•"/>
      <w:lvlJc w:val="left"/>
      <w:pPr>
        <w:ind w:left="4100" w:hanging="361"/>
      </w:pPr>
      <w:rPr>
        <w:rFonts w:hint="default"/>
        <w:lang w:val="en-US" w:eastAsia="en-US" w:bidi="ar-SA"/>
      </w:rPr>
    </w:lvl>
    <w:lvl w:ilvl="5">
      <w:start w:val="0"/>
      <w:numFmt w:val="bullet"/>
      <w:lvlText w:val="•"/>
      <w:lvlJc w:val="left"/>
      <w:pPr>
        <w:ind w:left="5113" w:hanging="361"/>
      </w:pPr>
      <w:rPr>
        <w:rFonts w:hint="default"/>
        <w:lang w:val="en-US" w:eastAsia="en-US" w:bidi="ar-SA"/>
      </w:rPr>
    </w:lvl>
    <w:lvl w:ilvl="6">
      <w:start w:val="0"/>
      <w:numFmt w:val="bullet"/>
      <w:lvlText w:val="•"/>
      <w:lvlJc w:val="left"/>
      <w:pPr>
        <w:ind w:left="6126" w:hanging="361"/>
      </w:pPr>
      <w:rPr>
        <w:rFonts w:hint="default"/>
        <w:lang w:val="en-US" w:eastAsia="en-US" w:bidi="ar-SA"/>
      </w:rPr>
    </w:lvl>
    <w:lvl w:ilvl="7">
      <w:start w:val="0"/>
      <w:numFmt w:val="bullet"/>
      <w:lvlText w:val="•"/>
      <w:lvlJc w:val="left"/>
      <w:pPr>
        <w:ind w:left="7140" w:hanging="361"/>
      </w:pPr>
      <w:rPr>
        <w:rFonts w:hint="default"/>
        <w:lang w:val="en-US" w:eastAsia="en-US" w:bidi="ar-SA"/>
      </w:rPr>
    </w:lvl>
    <w:lvl w:ilvl="8">
      <w:start w:val="0"/>
      <w:numFmt w:val="bullet"/>
      <w:lvlText w:val="•"/>
      <w:lvlJc w:val="left"/>
      <w:pPr>
        <w:ind w:left="8153" w:hanging="361"/>
      </w:pPr>
      <w:rPr>
        <w:rFonts w:hint="default"/>
        <w:lang w:val="en-US" w:eastAsia="en-US" w:bidi="ar-SA"/>
      </w:rPr>
    </w:lvl>
  </w:abstractNum>
  <w:abstractNum w:abstractNumId="35">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34">
    <w:multiLevelType w:val="hybridMultilevel"/>
    <w:lvl w:ilvl="0">
      <w:start w:val="1"/>
      <w:numFmt w:val="decimal"/>
      <w:lvlText w:val="%1."/>
      <w:lvlJc w:val="left"/>
      <w:pPr>
        <w:ind w:left="1203" w:hanging="353"/>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98" w:hanging="353"/>
      </w:pPr>
      <w:rPr>
        <w:rFonts w:hint="default"/>
        <w:lang w:val="en-US" w:eastAsia="en-US" w:bidi="ar-SA"/>
      </w:rPr>
    </w:lvl>
    <w:lvl w:ilvl="2">
      <w:start w:val="0"/>
      <w:numFmt w:val="bullet"/>
      <w:lvlText w:val="•"/>
      <w:lvlJc w:val="left"/>
      <w:pPr>
        <w:ind w:left="2996" w:hanging="353"/>
      </w:pPr>
      <w:rPr>
        <w:rFonts w:hint="default"/>
        <w:lang w:val="en-US" w:eastAsia="en-US" w:bidi="ar-SA"/>
      </w:rPr>
    </w:lvl>
    <w:lvl w:ilvl="3">
      <w:start w:val="0"/>
      <w:numFmt w:val="bullet"/>
      <w:lvlText w:val="•"/>
      <w:lvlJc w:val="left"/>
      <w:pPr>
        <w:ind w:left="3894" w:hanging="353"/>
      </w:pPr>
      <w:rPr>
        <w:rFonts w:hint="default"/>
        <w:lang w:val="en-US" w:eastAsia="en-US" w:bidi="ar-SA"/>
      </w:rPr>
    </w:lvl>
    <w:lvl w:ilvl="4">
      <w:start w:val="0"/>
      <w:numFmt w:val="bullet"/>
      <w:lvlText w:val="•"/>
      <w:lvlJc w:val="left"/>
      <w:pPr>
        <w:ind w:left="4792" w:hanging="353"/>
      </w:pPr>
      <w:rPr>
        <w:rFonts w:hint="default"/>
        <w:lang w:val="en-US" w:eastAsia="en-US" w:bidi="ar-SA"/>
      </w:rPr>
    </w:lvl>
    <w:lvl w:ilvl="5">
      <w:start w:val="0"/>
      <w:numFmt w:val="bullet"/>
      <w:lvlText w:val="•"/>
      <w:lvlJc w:val="left"/>
      <w:pPr>
        <w:ind w:left="5690" w:hanging="353"/>
      </w:pPr>
      <w:rPr>
        <w:rFonts w:hint="default"/>
        <w:lang w:val="en-US" w:eastAsia="en-US" w:bidi="ar-SA"/>
      </w:rPr>
    </w:lvl>
    <w:lvl w:ilvl="6">
      <w:start w:val="0"/>
      <w:numFmt w:val="bullet"/>
      <w:lvlText w:val="•"/>
      <w:lvlJc w:val="left"/>
      <w:pPr>
        <w:ind w:left="6588" w:hanging="353"/>
      </w:pPr>
      <w:rPr>
        <w:rFonts w:hint="default"/>
        <w:lang w:val="en-US" w:eastAsia="en-US" w:bidi="ar-SA"/>
      </w:rPr>
    </w:lvl>
    <w:lvl w:ilvl="7">
      <w:start w:val="0"/>
      <w:numFmt w:val="bullet"/>
      <w:lvlText w:val="•"/>
      <w:lvlJc w:val="left"/>
      <w:pPr>
        <w:ind w:left="7486" w:hanging="353"/>
      </w:pPr>
      <w:rPr>
        <w:rFonts w:hint="default"/>
        <w:lang w:val="en-US" w:eastAsia="en-US" w:bidi="ar-SA"/>
      </w:rPr>
    </w:lvl>
    <w:lvl w:ilvl="8">
      <w:start w:val="0"/>
      <w:numFmt w:val="bullet"/>
      <w:lvlText w:val="•"/>
      <w:lvlJc w:val="left"/>
      <w:pPr>
        <w:ind w:left="8384" w:hanging="353"/>
      </w:pPr>
      <w:rPr>
        <w:rFonts w:hint="default"/>
        <w:lang w:val="en-US" w:eastAsia="en-US" w:bidi="ar-SA"/>
      </w:rPr>
    </w:lvl>
  </w:abstractNum>
  <w:abstractNum w:abstractNumId="33">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50" w:hanging="360"/>
      </w:pPr>
      <w:rPr>
        <w:rFonts w:hint="default"/>
        <w:lang w:val="en-US" w:eastAsia="en-US" w:bidi="ar-SA"/>
      </w:rPr>
    </w:lvl>
    <w:lvl w:ilvl="2">
      <w:start w:val="0"/>
      <w:numFmt w:val="bullet"/>
      <w:lvlText w:val="•"/>
      <w:lvlJc w:val="left"/>
      <w:pPr>
        <w:ind w:left="2420" w:hanging="360"/>
      </w:pPr>
      <w:rPr>
        <w:rFonts w:hint="default"/>
        <w:lang w:val="en-US" w:eastAsia="en-US" w:bidi="ar-SA"/>
      </w:rPr>
    </w:lvl>
    <w:lvl w:ilvl="3">
      <w:start w:val="0"/>
      <w:numFmt w:val="bullet"/>
      <w:lvlText w:val="•"/>
      <w:lvlJc w:val="left"/>
      <w:pPr>
        <w:ind w:left="3390" w:hanging="360"/>
      </w:pPr>
      <w:rPr>
        <w:rFonts w:hint="default"/>
        <w:lang w:val="en-US" w:eastAsia="en-US" w:bidi="ar-SA"/>
      </w:rPr>
    </w:lvl>
    <w:lvl w:ilvl="4">
      <w:start w:val="0"/>
      <w:numFmt w:val="bullet"/>
      <w:lvlText w:val="•"/>
      <w:lvlJc w:val="left"/>
      <w:pPr>
        <w:ind w:left="4360" w:hanging="360"/>
      </w:pPr>
      <w:rPr>
        <w:rFonts w:hint="default"/>
        <w:lang w:val="en-US" w:eastAsia="en-US" w:bidi="ar-SA"/>
      </w:rPr>
    </w:lvl>
    <w:lvl w:ilvl="5">
      <w:start w:val="0"/>
      <w:numFmt w:val="bullet"/>
      <w:lvlText w:val="•"/>
      <w:lvlJc w:val="left"/>
      <w:pPr>
        <w:ind w:left="5330" w:hanging="360"/>
      </w:pPr>
      <w:rPr>
        <w:rFonts w:hint="default"/>
        <w:lang w:val="en-US" w:eastAsia="en-US" w:bidi="ar-SA"/>
      </w:rPr>
    </w:lvl>
    <w:lvl w:ilvl="6">
      <w:start w:val="0"/>
      <w:numFmt w:val="bullet"/>
      <w:lvlText w:val="•"/>
      <w:lvlJc w:val="left"/>
      <w:pPr>
        <w:ind w:left="6300" w:hanging="360"/>
      </w:pPr>
      <w:rPr>
        <w:rFonts w:hint="default"/>
        <w:lang w:val="en-US" w:eastAsia="en-US" w:bidi="ar-SA"/>
      </w:rPr>
    </w:lvl>
    <w:lvl w:ilvl="7">
      <w:start w:val="0"/>
      <w:numFmt w:val="bullet"/>
      <w:lvlText w:val="•"/>
      <w:lvlJc w:val="left"/>
      <w:pPr>
        <w:ind w:left="7270" w:hanging="360"/>
      </w:pPr>
      <w:rPr>
        <w:rFonts w:hint="default"/>
        <w:lang w:val="en-US" w:eastAsia="en-US" w:bidi="ar-SA"/>
      </w:rPr>
    </w:lvl>
    <w:lvl w:ilvl="8">
      <w:start w:val="0"/>
      <w:numFmt w:val="bullet"/>
      <w:lvlText w:val="•"/>
      <w:lvlJc w:val="left"/>
      <w:pPr>
        <w:ind w:left="8240" w:hanging="360"/>
      </w:pPr>
      <w:rPr>
        <w:rFonts w:hint="default"/>
        <w:lang w:val="en-US" w:eastAsia="en-US" w:bidi="ar-SA"/>
      </w:rPr>
    </w:lvl>
  </w:abstractNum>
  <w:abstractNum w:abstractNumId="32">
    <w:multiLevelType w:val="hybridMultilevel"/>
    <w:lvl w:ilvl="0">
      <w:start w:val="1"/>
      <w:numFmt w:val="decimal"/>
      <w:lvlText w:val="%1."/>
      <w:lvlJc w:val="left"/>
      <w:pPr>
        <w:ind w:left="623" w:hanging="360"/>
        <w:jc w:val="left"/>
      </w:pPr>
      <w:rPr>
        <w:rFonts w:hint="default" w:ascii="Calibri" w:hAnsi="Calibri" w:eastAsia="Calibri" w:cs="Calibri"/>
        <w:b/>
        <w:bCs/>
        <w:i w:val="0"/>
        <w:iCs w:val="0"/>
        <w:spacing w:val="0"/>
        <w:w w:val="100"/>
        <w:sz w:val="21"/>
        <w:szCs w:val="21"/>
        <w:lang w:val="en-US" w:eastAsia="en-US" w:bidi="ar-SA"/>
      </w:rPr>
    </w:lvl>
    <w:lvl w:ilvl="1">
      <w:start w:val="1"/>
      <w:numFmt w:val="decimal"/>
      <w:lvlText w:val="%2."/>
      <w:lvlJc w:val="left"/>
      <w:pPr>
        <w:ind w:left="1059" w:hanging="361"/>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2073" w:hanging="361"/>
      </w:pPr>
      <w:rPr>
        <w:rFonts w:hint="default"/>
        <w:lang w:val="en-US" w:eastAsia="en-US" w:bidi="ar-SA"/>
      </w:rPr>
    </w:lvl>
    <w:lvl w:ilvl="3">
      <w:start w:val="0"/>
      <w:numFmt w:val="bullet"/>
      <w:lvlText w:val="•"/>
      <w:lvlJc w:val="left"/>
      <w:pPr>
        <w:ind w:left="3086" w:hanging="361"/>
      </w:pPr>
      <w:rPr>
        <w:rFonts w:hint="default"/>
        <w:lang w:val="en-US" w:eastAsia="en-US" w:bidi="ar-SA"/>
      </w:rPr>
    </w:lvl>
    <w:lvl w:ilvl="4">
      <w:start w:val="0"/>
      <w:numFmt w:val="bullet"/>
      <w:lvlText w:val="•"/>
      <w:lvlJc w:val="left"/>
      <w:pPr>
        <w:ind w:left="4100" w:hanging="361"/>
      </w:pPr>
      <w:rPr>
        <w:rFonts w:hint="default"/>
        <w:lang w:val="en-US" w:eastAsia="en-US" w:bidi="ar-SA"/>
      </w:rPr>
    </w:lvl>
    <w:lvl w:ilvl="5">
      <w:start w:val="0"/>
      <w:numFmt w:val="bullet"/>
      <w:lvlText w:val="•"/>
      <w:lvlJc w:val="left"/>
      <w:pPr>
        <w:ind w:left="5113" w:hanging="361"/>
      </w:pPr>
      <w:rPr>
        <w:rFonts w:hint="default"/>
        <w:lang w:val="en-US" w:eastAsia="en-US" w:bidi="ar-SA"/>
      </w:rPr>
    </w:lvl>
    <w:lvl w:ilvl="6">
      <w:start w:val="0"/>
      <w:numFmt w:val="bullet"/>
      <w:lvlText w:val="•"/>
      <w:lvlJc w:val="left"/>
      <w:pPr>
        <w:ind w:left="6126" w:hanging="361"/>
      </w:pPr>
      <w:rPr>
        <w:rFonts w:hint="default"/>
        <w:lang w:val="en-US" w:eastAsia="en-US" w:bidi="ar-SA"/>
      </w:rPr>
    </w:lvl>
    <w:lvl w:ilvl="7">
      <w:start w:val="0"/>
      <w:numFmt w:val="bullet"/>
      <w:lvlText w:val="•"/>
      <w:lvlJc w:val="left"/>
      <w:pPr>
        <w:ind w:left="7140" w:hanging="361"/>
      </w:pPr>
      <w:rPr>
        <w:rFonts w:hint="default"/>
        <w:lang w:val="en-US" w:eastAsia="en-US" w:bidi="ar-SA"/>
      </w:rPr>
    </w:lvl>
    <w:lvl w:ilvl="8">
      <w:start w:val="0"/>
      <w:numFmt w:val="bullet"/>
      <w:lvlText w:val="•"/>
      <w:lvlJc w:val="left"/>
      <w:pPr>
        <w:ind w:left="8153" w:hanging="361"/>
      </w:pPr>
      <w:rPr>
        <w:rFonts w:hint="default"/>
        <w:lang w:val="en-US" w:eastAsia="en-US" w:bidi="ar-SA"/>
      </w:rPr>
    </w:lvl>
  </w:abstractNum>
  <w:abstractNum w:abstractNumId="31">
    <w:multiLevelType w:val="hybridMultilevel"/>
    <w:lvl w:ilvl="0">
      <w:start w:val="1"/>
      <w:numFmt w:val="decimal"/>
      <w:lvlText w:val="%1."/>
      <w:lvlJc w:val="left"/>
      <w:pPr>
        <w:ind w:left="1559" w:hanging="360"/>
        <w:jc w:val="left"/>
      </w:pPr>
      <w:rPr>
        <w:rFonts w:hint="default" w:ascii="Calibri" w:hAnsi="Calibri" w:eastAsia="Calibri" w:cs="Calibri"/>
        <w:b w:val="0"/>
        <w:bCs w:val="0"/>
        <w:i w:val="0"/>
        <w:iCs w:val="0"/>
        <w:spacing w:val="0"/>
        <w:w w:val="100"/>
        <w:sz w:val="21"/>
        <w:szCs w:val="21"/>
        <w:lang w:val="en-US" w:eastAsia="en-US" w:bidi="ar-SA"/>
      </w:rPr>
    </w:lvl>
    <w:lvl w:ilvl="1">
      <w:start w:val="0"/>
      <w:numFmt w:val="bullet"/>
      <w:lvlText w:val="•"/>
      <w:lvlJc w:val="left"/>
      <w:pPr>
        <w:ind w:left="2422" w:hanging="360"/>
      </w:pPr>
      <w:rPr>
        <w:rFonts w:hint="default"/>
        <w:lang w:val="en-US" w:eastAsia="en-US" w:bidi="ar-SA"/>
      </w:rPr>
    </w:lvl>
    <w:lvl w:ilvl="2">
      <w:start w:val="0"/>
      <w:numFmt w:val="bullet"/>
      <w:lvlText w:val="•"/>
      <w:lvlJc w:val="left"/>
      <w:pPr>
        <w:ind w:left="3284" w:hanging="360"/>
      </w:pPr>
      <w:rPr>
        <w:rFonts w:hint="default"/>
        <w:lang w:val="en-US" w:eastAsia="en-US" w:bidi="ar-SA"/>
      </w:rPr>
    </w:lvl>
    <w:lvl w:ilvl="3">
      <w:start w:val="0"/>
      <w:numFmt w:val="bullet"/>
      <w:lvlText w:val="•"/>
      <w:lvlJc w:val="left"/>
      <w:pPr>
        <w:ind w:left="4146" w:hanging="360"/>
      </w:pPr>
      <w:rPr>
        <w:rFonts w:hint="default"/>
        <w:lang w:val="en-US" w:eastAsia="en-US" w:bidi="ar-SA"/>
      </w:rPr>
    </w:lvl>
    <w:lvl w:ilvl="4">
      <w:start w:val="0"/>
      <w:numFmt w:val="bullet"/>
      <w:lvlText w:val="•"/>
      <w:lvlJc w:val="left"/>
      <w:pPr>
        <w:ind w:left="5008" w:hanging="360"/>
      </w:pPr>
      <w:rPr>
        <w:rFonts w:hint="default"/>
        <w:lang w:val="en-US" w:eastAsia="en-US" w:bidi="ar-SA"/>
      </w:rPr>
    </w:lvl>
    <w:lvl w:ilvl="5">
      <w:start w:val="0"/>
      <w:numFmt w:val="bullet"/>
      <w:lvlText w:val="•"/>
      <w:lvlJc w:val="left"/>
      <w:pPr>
        <w:ind w:left="5870" w:hanging="360"/>
      </w:pPr>
      <w:rPr>
        <w:rFonts w:hint="default"/>
        <w:lang w:val="en-US" w:eastAsia="en-US" w:bidi="ar-SA"/>
      </w:rPr>
    </w:lvl>
    <w:lvl w:ilvl="6">
      <w:start w:val="0"/>
      <w:numFmt w:val="bullet"/>
      <w:lvlText w:val="•"/>
      <w:lvlJc w:val="left"/>
      <w:pPr>
        <w:ind w:left="6732" w:hanging="360"/>
      </w:pPr>
      <w:rPr>
        <w:rFonts w:hint="default"/>
        <w:lang w:val="en-US" w:eastAsia="en-US" w:bidi="ar-SA"/>
      </w:rPr>
    </w:lvl>
    <w:lvl w:ilvl="7">
      <w:start w:val="0"/>
      <w:numFmt w:val="bullet"/>
      <w:lvlText w:val="•"/>
      <w:lvlJc w:val="left"/>
      <w:pPr>
        <w:ind w:left="7594" w:hanging="360"/>
      </w:pPr>
      <w:rPr>
        <w:rFonts w:hint="default"/>
        <w:lang w:val="en-US" w:eastAsia="en-US" w:bidi="ar-SA"/>
      </w:rPr>
    </w:lvl>
    <w:lvl w:ilvl="8">
      <w:start w:val="0"/>
      <w:numFmt w:val="bullet"/>
      <w:lvlText w:val="•"/>
      <w:lvlJc w:val="left"/>
      <w:pPr>
        <w:ind w:left="8456" w:hanging="360"/>
      </w:pPr>
      <w:rPr>
        <w:rFonts w:hint="default"/>
        <w:lang w:val="en-US" w:eastAsia="en-US" w:bidi="ar-SA"/>
      </w:rPr>
    </w:lvl>
  </w:abstractNum>
  <w:abstractNum w:abstractNumId="30">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2828" w:hanging="360"/>
      </w:pPr>
      <w:rPr>
        <w:rFonts w:hint="default" w:ascii="Symbol" w:hAnsi="Symbol" w:eastAsia="Symbol" w:cs="Symbol"/>
        <w:b w:val="0"/>
        <w:bCs w:val="0"/>
        <w:i w:val="0"/>
        <w:iCs w:val="0"/>
        <w:spacing w:val="0"/>
        <w:w w:val="99"/>
        <w:sz w:val="22"/>
        <w:szCs w:val="22"/>
        <w:lang w:val="en-US" w:eastAsia="en-US" w:bidi="ar-SA"/>
      </w:rPr>
    </w:lvl>
    <w:lvl w:ilvl="2">
      <w:start w:val="0"/>
      <w:numFmt w:val="bullet"/>
      <w:lvlText w:val="•"/>
      <w:lvlJc w:val="left"/>
      <w:pPr>
        <w:ind w:left="3637" w:hanging="360"/>
      </w:pPr>
      <w:rPr>
        <w:rFonts w:hint="default"/>
        <w:lang w:val="en-US" w:eastAsia="en-US" w:bidi="ar-SA"/>
      </w:rPr>
    </w:lvl>
    <w:lvl w:ilvl="3">
      <w:start w:val="0"/>
      <w:numFmt w:val="bullet"/>
      <w:lvlText w:val="•"/>
      <w:lvlJc w:val="left"/>
      <w:pPr>
        <w:ind w:left="4455" w:hanging="360"/>
      </w:pPr>
      <w:rPr>
        <w:rFonts w:hint="default"/>
        <w:lang w:val="en-US" w:eastAsia="en-US" w:bidi="ar-SA"/>
      </w:rPr>
    </w:lvl>
    <w:lvl w:ilvl="4">
      <w:start w:val="0"/>
      <w:numFmt w:val="bullet"/>
      <w:lvlText w:val="•"/>
      <w:lvlJc w:val="left"/>
      <w:pPr>
        <w:ind w:left="5273" w:hanging="360"/>
      </w:pPr>
      <w:rPr>
        <w:rFonts w:hint="default"/>
        <w:lang w:val="en-US" w:eastAsia="en-US" w:bidi="ar-SA"/>
      </w:rPr>
    </w:lvl>
    <w:lvl w:ilvl="5">
      <w:start w:val="0"/>
      <w:numFmt w:val="bullet"/>
      <w:lvlText w:val="•"/>
      <w:lvlJc w:val="left"/>
      <w:pPr>
        <w:ind w:left="6091" w:hanging="360"/>
      </w:pPr>
      <w:rPr>
        <w:rFonts w:hint="default"/>
        <w:lang w:val="en-US" w:eastAsia="en-US" w:bidi="ar-SA"/>
      </w:rPr>
    </w:lvl>
    <w:lvl w:ilvl="6">
      <w:start w:val="0"/>
      <w:numFmt w:val="bullet"/>
      <w:lvlText w:val="•"/>
      <w:lvlJc w:val="left"/>
      <w:pPr>
        <w:ind w:left="6908" w:hanging="360"/>
      </w:pPr>
      <w:rPr>
        <w:rFonts w:hint="default"/>
        <w:lang w:val="en-US" w:eastAsia="en-US" w:bidi="ar-SA"/>
      </w:rPr>
    </w:lvl>
    <w:lvl w:ilvl="7">
      <w:start w:val="0"/>
      <w:numFmt w:val="bullet"/>
      <w:lvlText w:val="•"/>
      <w:lvlJc w:val="left"/>
      <w:pPr>
        <w:ind w:left="772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29">
    <w:multiLevelType w:val="hybridMultilevel"/>
    <w:lvl w:ilvl="0">
      <w:start w:val="1"/>
      <w:numFmt w:val="decimal"/>
      <w:lvlText w:val="%1."/>
      <w:lvlJc w:val="left"/>
      <w:pPr>
        <w:ind w:left="483" w:hanging="360"/>
        <w:jc w:val="left"/>
      </w:pPr>
      <w:rPr>
        <w:rFonts w:hint="default" w:ascii="Calibri" w:hAnsi="Calibri" w:eastAsia="Calibri" w:cs="Calibri"/>
        <w:b/>
        <w:bCs/>
        <w:i w:val="0"/>
        <w:iCs w:val="0"/>
        <w:spacing w:val="0"/>
        <w:w w:val="99"/>
        <w:sz w:val="22"/>
        <w:szCs w:val="22"/>
        <w:lang w:val="en-US" w:eastAsia="en-US" w:bidi="ar-SA"/>
      </w:rPr>
    </w:lvl>
    <w:lvl w:ilvl="1">
      <w:start w:val="1"/>
      <w:numFmt w:val="decimal"/>
      <w:lvlText w:val="%2."/>
      <w:lvlJc w:val="left"/>
      <w:pPr>
        <w:ind w:left="1059" w:hanging="360"/>
        <w:jc w:val="left"/>
      </w:pPr>
      <w:rPr>
        <w:rFonts w:hint="default" w:ascii="Calibri" w:hAnsi="Calibri" w:eastAsia="Calibri" w:cs="Calibri"/>
        <w:b w:val="0"/>
        <w:bCs w:val="0"/>
        <w:i w:val="0"/>
        <w:iCs w:val="0"/>
        <w:spacing w:val="0"/>
        <w:w w:val="100"/>
        <w:sz w:val="21"/>
        <w:szCs w:val="21"/>
        <w:lang w:val="en-US" w:eastAsia="en-US" w:bidi="ar-SA"/>
      </w:rPr>
    </w:lvl>
    <w:lvl w:ilvl="2">
      <w:start w:val="0"/>
      <w:numFmt w:val="bullet"/>
      <w:lvlText w:val="•"/>
      <w:lvlJc w:val="left"/>
      <w:pPr>
        <w:ind w:left="2073" w:hanging="360"/>
      </w:pPr>
      <w:rPr>
        <w:rFonts w:hint="default"/>
        <w:lang w:val="en-US" w:eastAsia="en-US" w:bidi="ar-SA"/>
      </w:rPr>
    </w:lvl>
    <w:lvl w:ilvl="3">
      <w:start w:val="0"/>
      <w:numFmt w:val="bullet"/>
      <w:lvlText w:val="•"/>
      <w:lvlJc w:val="left"/>
      <w:pPr>
        <w:ind w:left="3086" w:hanging="360"/>
      </w:pPr>
      <w:rPr>
        <w:rFonts w:hint="default"/>
        <w:lang w:val="en-US" w:eastAsia="en-US" w:bidi="ar-SA"/>
      </w:rPr>
    </w:lvl>
    <w:lvl w:ilvl="4">
      <w:start w:val="0"/>
      <w:numFmt w:val="bullet"/>
      <w:lvlText w:val="•"/>
      <w:lvlJc w:val="left"/>
      <w:pPr>
        <w:ind w:left="410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126" w:hanging="360"/>
      </w:pPr>
      <w:rPr>
        <w:rFonts w:hint="default"/>
        <w:lang w:val="en-US" w:eastAsia="en-US" w:bidi="ar-SA"/>
      </w:rPr>
    </w:lvl>
    <w:lvl w:ilvl="7">
      <w:start w:val="0"/>
      <w:numFmt w:val="bullet"/>
      <w:lvlText w:val="•"/>
      <w:lvlJc w:val="left"/>
      <w:pPr>
        <w:ind w:left="7140" w:hanging="360"/>
      </w:pPr>
      <w:rPr>
        <w:rFonts w:hint="default"/>
        <w:lang w:val="en-US" w:eastAsia="en-US" w:bidi="ar-SA"/>
      </w:rPr>
    </w:lvl>
    <w:lvl w:ilvl="8">
      <w:start w:val="0"/>
      <w:numFmt w:val="bullet"/>
      <w:lvlText w:val="•"/>
      <w:lvlJc w:val="left"/>
      <w:pPr>
        <w:ind w:left="8153" w:hanging="360"/>
      </w:pPr>
      <w:rPr>
        <w:rFonts w:hint="default"/>
        <w:lang w:val="en-US" w:eastAsia="en-US" w:bidi="ar-SA"/>
      </w:rPr>
    </w:lvl>
  </w:abstractNum>
  <w:abstractNum w:abstractNumId="28">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100"/>
        <w:sz w:val="21"/>
        <w:szCs w:val="21"/>
        <w:lang w:val="en-US" w:eastAsia="en-US" w:bidi="ar-SA"/>
      </w:rPr>
    </w:lvl>
    <w:lvl w:ilvl="1">
      <w:start w:val="0"/>
      <w:numFmt w:val="bullet"/>
      <w:lvlText w:val="•"/>
      <w:lvlJc w:val="left"/>
      <w:pPr>
        <w:ind w:left="1388" w:hanging="360"/>
      </w:pPr>
      <w:rPr>
        <w:rFonts w:hint="default"/>
        <w:lang w:val="en-US" w:eastAsia="en-US" w:bidi="ar-SA"/>
      </w:rPr>
    </w:lvl>
    <w:lvl w:ilvl="2">
      <w:start w:val="0"/>
      <w:numFmt w:val="bullet"/>
      <w:lvlText w:val="•"/>
      <w:lvlJc w:val="left"/>
      <w:pPr>
        <w:ind w:left="2316" w:hanging="360"/>
      </w:pPr>
      <w:rPr>
        <w:rFonts w:hint="default"/>
        <w:lang w:val="en-US" w:eastAsia="en-US" w:bidi="ar-SA"/>
      </w:rPr>
    </w:lvl>
    <w:lvl w:ilvl="3">
      <w:start w:val="0"/>
      <w:numFmt w:val="bullet"/>
      <w:lvlText w:val="•"/>
      <w:lvlJc w:val="left"/>
      <w:pPr>
        <w:ind w:left="3244" w:hanging="360"/>
      </w:pPr>
      <w:rPr>
        <w:rFonts w:hint="default"/>
        <w:lang w:val="en-US" w:eastAsia="en-US" w:bidi="ar-SA"/>
      </w:rPr>
    </w:lvl>
    <w:lvl w:ilvl="4">
      <w:start w:val="0"/>
      <w:numFmt w:val="bullet"/>
      <w:lvlText w:val="•"/>
      <w:lvlJc w:val="left"/>
      <w:pPr>
        <w:ind w:left="4172" w:hanging="360"/>
      </w:pPr>
      <w:rPr>
        <w:rFonts w:hint="default"/>
        <w:lang w:val="en-US" w:eastAsia="en-US" w:bidi="ar-SA"/>
      </w:rPr>
    </w:lvl>
    <w:lvl w:ilvl="5">
      <w:start w:val="0"/>
      <w:numFmt w:val="bullet"/>
      <w:lvlText w:val="•"/>
      <w:lvlJc w:val="left"/>
      <w:pPr>
        <w:ind w:left="5100" w:hanging="360"/>
      </w:pPr>
      <w:rPr>
        <w:rFonts w:hint="default"/>
        <w:lang w:val="en-US" w:eastAsia="en-US" w:bidi="ar-SA"/>
      </w:rPr>
    </w:lvl>
    <w:lvl w:ilvl="6">
      <w:start w:val="0"/>
      <w:numFmt w:val="bullet"/>
      <w:lvlText w:val="•"/>
      <w:lvlJc w:val="left"/>
      <w:pPr>
        <w:ind w:left="6028" w:hanging="360"/>
      </w:pPr>
      <w:rPr>
        <w:rFonts w:hint="default"/>
        <w:lang w:val="en-US" w:eastAsia="en-US" w:bidi="ar-SA"/>
      </w:rPr>
    </w:lvl>
    <w:lvl w:ilvl="7">
      <w:start w:val="0"/>
      <w:numFmt w:val="bullet"/>
      <w:lvlText w:val="•"/>
      <w:lvlJc w:val="left"/>
      <w:pPr>
        <w:ind w:left="6956" w:hanging="360"/>
      </w:pPr>
      <w:rPr>
        <w:rFonts w:hint="default"/>
        <w:lang w:val="en-US" w:eastAsia="en-US" w:bidi="ar-SA"/>
      </w:rPr>
    </w:lvl>
    <w:lvl w:ilvl="8">
      <w:start w:val="0"/>
      <w:numFmt w:val="bullet"/>
      <w:lvlText w:val="•"/>
      <w:lvlJc w:val="left"/>
      <w:pPr>
        <w:ind w:left="7884" w:hanging="360"/>
      </w:pPr>
      <w:rPr>
        <w:rFonts w:hint="default"/>
        <w:lang w:val="en-US" w:eastAsia="en-US" w:bidi="ar-SA"/>
      </w:rPr>
    </w:lvl>
  </w:abstractNum>
  <w:abstractNum w:abstractNumId="27">
    <w:multiLevelType w:val="hybridMultilevel"/>
    <w:lvl w:ilvl="0">
      <w:start w:val="1"/>
      <w:numFmt w:val="decimal"/>
      <w:lvlText w:val="%1."/>
      <w:lvlJc w:val="left"/>
      <w:pPr>
        <w:ind w:left="323" w:hanging="230"/>
        <w:jc w:val="righ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270" w:hanging="230"/>
      </w:pPr>
      <w:rPr>
        <w:rFonts w:hint="default"/>
        <w:lang w:val="en-US" w:eastAsia="en-US" w:bidi="ar-SA"/>
      </w:rPr>
    </w:lvl>
    <w:lvl w:ilvl="2">
      <w:start w:val="0"/>
      <w:numFmt w:val="bullet"/>
      <w:lvlText w:val="•"/>
      <w:lvlJc w:val="left"/>
      <w:pPr>
        <w:ind w:left="2220" w:hanging="230"/>
      </w:pPr>
      <w:rPr>
        <w:rFonts w:hint="default"/>
        <w:lang w:val="en-US" w:eastAsia="en-US" w:bidi="ar-SA"/>
      </w:rPr>
    </w:lvl>
    <w:lvl w:ilvl="3">
      <w:start w:val="0"/>
      <w:numFmt w:val="bullet"/>
      <w:lvlText w:val="•"/>
      <w:lvlJc w:val="left"/>
      <w:pPr>
        <w:ind w:left="3170" w:hanging="230"/>
      </w:pPr>
      <w:rPr>
        <w:rFonts w:hint="default"/>
        <w:lang w:val="en-US" w:eastAsia="en-US" w:bidi="ar-SA"/>
      </w:rPr>
    </w:lvl>
    <w:lvl w:ilvl="4">
      <w:start w:val="0"/>
      <w:numFmt w:val="bullet"/>
      <w:lvlText w:val="•"/>
      <w:lvlJc w:val="left"/>
      <w:pPr>
        <w:ind w:left="4120" w:hanging="230"/>
      </w:pPr>
      <w:rPr>
        <w:rFonts w:hint="default"/>
        <w:lang w:val="en-US" w:eastAsia="en-US" w:bidi="ar-SA"/>
      </w:rPr>
    </w:lvl>
    <w:lvl w:ilvl="5">
      <w:start w:val="0"/>
      <w:numFmt w:val="bullet"/>
      <w:lvlText w:val="•"/>
      <w:lvlJc w:val="left"/>
      <w:pPr>
        <w:ind w:left="5070" w:hanging="230"/>
      </w:pPr>
      <w:rPr>
        <w:rFonts w:hint="default"/>
        <w:lang w:val="en-US" w:eastAsia="en-US" w:bidi="ar-SA"/>
      </w:rPr>
    </w:lvl>
    <w:lvl w:ilvl="6">
      <w:start w:val="0"/>
      <w:numFmt w:val="bullet"/>
      <w:lvlText w:val="•"/>
      <w:lvlJc w:val="left"/>
      <w:pPr>
        <w:ind w:left="6020" w:hanging="230"/>
      </w:pPr>
      <w:rPr>
        <w:rFonts w:hint="default"/>
        <w:lang w:val="en-US" w:eastAsia="en-US" w:bidi="ar-SA"/>
      </w:rPr>
    </w:lvl>
    <w:lvl w:ilvl="7">
      <w:start w:val="0"/>
      <w:numFmt w:val="bullet"/>
      <w:lvlText w:val="•"/>
      <w:lvlJc w:val="left"/>
      <w:pPr>
        <w:ind w:left="6970" w:hanging="230"/>
      </w:pPr>
      <w:rPr>
        <w:rFonts w:hint="default"/>
        <w:lang w:val="en-US" w:eastAsia="en-US" w:bidi="ar-SA"/>
      </w:rPr>
    </w:lvl>
    <w:lvl w:ilvl="8">
      <w:start w:val="0"/>
      <w:numFmt w:val="bullet"/>
      <w:lvlText w:val="•"/>
      <w:lvlJc w:val="left"/>
      <w:pPr>
        <w:ind w:left="7920" w:hanging="230"/>
      </w:pPr>
      <w:rPr>
        <w:rFonts w:hint="default"/>
        <w:lang w:val="en-US" w:eastAsia="en-US" w:bidi="ar-SA"/>
      </w:rPr>
    </w:lvl>
  </w:abstractNum>
  <w:abstractNum w:abstractNumId="26">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22" w:hanging="360"/>
      </w:pPr>
      <w:rPr>
        <w:rFonts w:hint="default"/>
        <w:lang w:val="en-US" w:eastAsia="en-US" w:bidi="ar-SA"/>
      </w:rPr>
    </w:lvl>
    <w:lvl w:ilvl="2">
      <w:start w:val="0"/>
      <w:numFmt w:val="bullet"/>
      <w:lvlText w:val="•"/>
      <w:lvlJc w:val="left"/>
      <w:pPr>
        <w:ind w:left="2384"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308" w:hanging="360"/>
      </w:pPr>
      <w:rPr>
        <w:rFonts w:hint="default"/>
        <w:lang w:val="en-US" w:eastAsia="en-US" w:bidi="ar-SA"/>
      </w:rPr>
    </w:lvl>
    <w:lvl w:ilvl="5">
      <w:start w:val="0"/>
      <w:numFmt w:val="bullet"/>
      <w:lvlText w:val="•"/>
      <w:lvlJc w:val="left"/>
      <w:pPr>
        <w:ind w:left="5270" w:hanging="360"/>
      </w:pPr>
      <w:rPr>
        <w:rFonts w:hint="default"/>
        <w:lang w:val="en-US" w:eastAsia="en-US" w:bidi="ar-SA"/>
      </w:rPr>
    </w:lvl>
    <w:lvl w:ilvl="6">
      <w:start w:val="0"/>
      <w:numFmt w:val="bullet"/>
      <w:lvlText w:val="•"/>
      <w:lvlJc w:val="left"/>
      <w:pPr>
        <w:ind w:left="6232" w:hanging="360"/>
      </w:pPr>
      <w:rPr>
        <w:rFonts w:hint="default"/>
        <w:lang w:val="en-US" w:eastAsia="en-US" w:bidi="ar-SA"/>
      </w:rPr>
    </w:lvl>
    <w:lvl w:ilvl="7">
      <w:start w:val="0"/>
      <w:numFmt w:val="bullet"/>
      <w:lvlText w:val="•"/>
      <w:lvlJc w:val="left"/>
      <w:pPr>
        <w:ind w:left="7194" w:hanging="360"/>
      </w:pPr>
      <w:rPr>
        <w:rFonts w:hint="default"/>
        <w:lang w:val="en-US" w:eastAsia="en-US" w:bidi="ar-SA"/>
      </w:rPr>
    </w:lvl>
    <w:lvl w:ilvl="8">
      <w:start w:val="0"/>
      <w:numFmt w:val="bullet"/>
      <w:lvlText w:val="•"/>
      <w:lvlJc w:val="left"/>
      <w:pPr>
        <w:ind w:left="8156" w:hanging="360"/>
      </w:pPr>
      <w:rPr>
        <w:rFonts w:hint="default"/>
        <w:lang w:val="en-US" w:eastAsia="en-US" w:bidi="ar-SA"/>
      </w:rPr>
    </w:lvl>
  </w:abstractNum>
  <w:abstractNum w:abstractNumId="25">
    <w:multiLevelType w:val="hybridMultilevel"/>
    <w:lvl w:ilvl="0">
      <w:start w:val="1"/>
      <w:numFmt w:val="decimal"/>
      <w:lvlText w:val="%1."/>
      <w:lvlJc w:val="left"/>
      <w:pPr>
        <w:ind w:left="463" w:hanging="360"/>
        <w:jc w:val="left"/>
      </w:pPr>
      <w:rPr>
        <w:rFonts w:hint="default"/>
        <w:spacing w:val="0"/>
        <w:w w:val="100"/>
        <w:lang w:val="en-US" w:eastAsia="en-US" w:bidi="ar-SA"/>
      </w:rPr>
    </w:lvl>
    <w:lvl w:ilvl="1">
      <w:start w:val="0"/>
      <w:numFmt w:val="bullet"/>
      <w:lvlText w:val="•"/>
      <w:lvlJc w:val="left"/>
      <w:pPr>
        <w:ind w:left="1392" w:hanging="360"/>
      </w:pPr>
      <w:rPr>
        <w:rFonts w:hint="default"/>
        <w:lang w:val="en-US" w:eastAsia="en-US" w:bidi="ar-SA"/>
      </w:rPr>
    </w:lvl>
    <w:lvl w:ilvl="2">
      <w:start w:val="0"/>
      <w:numFmt w:val="bullet"/>
      <w:lvlText w:val="•"/>
      <w:lvlJc w:val="left"/>
      <w:pPr>
        <w:ind w:left="2324" w:hanging="360"/>
      </w:pPr>
      <w:rPr>
        <w:rFonts w:hint="default"/>
        <w:lang w:val="en-US" w:eastAsia="en-US" w:bidi="ar-SA"/>
      </w:rPr>
    </w:lvl>
    <w:lvl w:ilvl="3">
      <w:start w:val="0"/>
      <w:numFmt w:val="bullet"/>
      <w:lvlText w:val="•"/>
      <w:lvlJc w:val="left"/>
      <w:pPr>
        <w:ind w:left="3256" w:hanging="360"/>
      </w:pPr>
      <w:rPr>
        <w:rFonts w:hint="default"/>
        <w:lang w:val="en-US" w:eastAsia="en-US" w:bidi="ar-SA"/>
      </w:rPr>
    </w:lvl>
    <w:lvl w:ilvl="4">
      <w:start w:val="0"/>
      <w:numFmt w:val="bullet"/>
      <w:lvlText w:val="•"/>
      <w:lvlJc w:val="left"/>
      <w:pPr>
        <w:ind w:left="4188" w:hanging="360"/>
      </w:pPr>
      <w:rPr>
        <w:rFonts w:hint="default"/>
        <w:lang w:val="en-US" w:eastAsia="en-US" w:bidi="ar-SA"/>
      </w:rPr>
    </w:lvl>
    <w:lvl w:ilvl="5">
      <w:start w:val="0"/>
      <w:numFmt w:val="bullet"/>
      <w:lvlText w:val="•"/>
      <w:lvlJc w:val="left"/>
      <w:pPr>
        <w:ind w:left="512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84"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24">
    <w:multiLevelType w:val="hybridMultilevel"/>
    <w:lvl w:ilvl="0">
      <w:start w:val="0"/>
      <w:numFmt w:val="bullet"/>
      <w:lvlText w:val="●"/>
      <w:lvlJc w:val="left"/>
      <w:pPr>
        <w:ind w:left="1482" w:hanging="360"/>
      </w:pPr>
      <w:rPr>
        <w:rFonts w:hint="default" w:ascii="Calibri" w:hAnsi="Calibri" w:eastAsia="Calibri" w:cs="Calibri"/>
        <w:b w:val="0"/>
        <w:bCs w:val="0"/>
        <w:i w:val="0"/>
        <w:iCs w:val="0"/>
        <w:spacing w:val="0"/>
        <w:w w:val="100"/>
        <w:sz w:val="18"/>
        <w:szCs w:val="18"/>
        <w:lang w:val="en-US" w:eastAsia="en-US" w:bidi="ar-SA"/>
      </w:rPr>
    </w:lvl>
    <w:lvl w:ilvl="1">
      <w:start w:val="0"/>
      <w:numFmt w:val="bullet"/>
      <w:lvlText w:val="●"/>
      <w:lvlJc w:val="left"/>
      <w:pPr>
        <w:ind w:left="556" w:hanging="360"/>
      </w:pPr>
      <w:rPr>
        <w:rFonts w:hint="default" w:ascii="Calibri" w:hAnsi="Calibri" w:eastAsia="Calibri" w:cs="Calibri"/>
        <w:b w:val="0"/>
        <w:bCs w:val="0"/>
        <w:i w:val="0"/>
        <w:iCs w:val="0"/>
        <w:spacing w:val="0"/>
        <w:w w:val="100"/>
        <w:sz w:val="18"/>
        <w:szCs w:val="18"/>
        <w:lang w:val="en-US" w:eastAsia="en-US" w:bidi="ar-SA"/>
      </w:rPr>
    </w:lvl>
    <w:lvl w:ilvl="2">
      <w:start w:val="0"/>
      <w:numFmt w:val="bullet"/>
      <w:lvlText w:val="•"/>
      <w:lvlJc w:val="left"/>
      <w:pPr>
        <w:ind w:left="1295" w:hanging="360"/>
      </w:pPr>
      <w:rPr>
        <w:rFonts w:hint="default"/>
        <w:lang w:val="en-US" w:eastAsia="en-US" w:bidi="ar-SA"/>
      </w:rPr>
    </w:lvl>
    <w:lvl w:ilvl="3">
      <w:start w:val="0"/>
      <w:numFmt w:val="bullet"/>
      <w:lvlText w:val="•"/>
      <w:lvlJc w:val="left"/>
      <w:pPr>
        <w:ind w:left="1110" w:hanging="360"/>
      </w:pPr>
      <w:rPr>
        <w:rFonts w:hint="default"/>
        <w:lang w:val="en-US" w:eastAsia="en-US" w:bidi="ar-SA"/>
      </w:rPr>
    </w:lvl>
    <w:lvl w:ilvl="4">
      <w:start w:val="0"/>
      <w:numFmt w:val="bullet"/>
      <w:lvlText w:val="•"/>
      <w:lvlJc w:val="left"/>
      <w:pPr>
        <w:ind w:left="926" w:hanging="360"/>
      </w:pPr>
      <w:rPr>
        <w:rFonts w:hint="default"/>
        <w:lang w:val="en-US" w:eastAsia="en-US" w:bidi="ar-SA"/>
      </w:rPr>
    </w:lvl>
    <w:lvl w:ilvl="5">
      <w:start w:val="0"/>
      <w:numFmt w:val="bullet"/>
      <w:lvlText w:val="•"/>
      <w:lvlJc w:val="left"/>
      <w:pPr>
        <w:ind w:left="741" w:hanging="360"/>
      </w:pPr>
      <w:rPr>
        <w:rFonts w:hint="default"/>
        <w:lang w:val="en-US" w:eastAsia="en-US" w:bidi="ar-SA"/>
      </w:rPr>
    </w:lvl>
    <w:lvl w:ilvl="6">
      <w:start w:val="0"/>
      <w:numFmt w:val="bullet"/>
      <w:lvlText w:val="•"/>
      <w:lvlJc w:val="left"/>
      <w:pPr>
        <w:ind w:left="556" w:hanging="360"/>
      </w:pPr>
      <w:rPr>
        <w:rFonts w:hint="default"/>
        <w:lang w:val="en-US" w:eastAsia="en-US" w:bidi="ar-SA"/>
      </w:rPr>
    </w:lvl>
    <w:lvl w:ilvl="7">
      <w:start w:val="0"/>
      <w:numFmt w:val="bullet"/>
      <w:lvlText w:val="•"/>
      <w:lvlJc w:val="left"/>
      <w:pPr>
        <w:ind w:left="372" w:hanging="360"/>
      </w:pPr>
      <w:rPr>
        <w:rFonts w:hint="default"/>
        <w:lang w:val="en-US" w:eastAsia="en-US" w:bidi="ar-SA"/>
      </w:rPr>
    </w:lvl>
    <w:lvl w:ilvl="8">
      <w:start w:val="0"/>
      <w:numFmt w:val="bullet"/>
      <w:lvlText w:val="•"/>
      <w:lvlJc w:val="left"/>
      <w:pPr>
        <w:ind w:left="187" w:hanging="360"/>
      </w:pPr>
      <w:rPr>
        <w:rFonts w:hint="default"/>
        <w:lang w:val="en-US" w:eastAsia="en-US" w:bidi="ar-SA"/>
      </w:rPr>
    </w:lvl>
  </w:abstractNum>
  <w:abstractNum w:abstractNumId="23">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08" w:hanging="360"/>
      </w:pPr>
      <w:rPr>
        <w:rFonts w:hint="default"/>
        <w:lang w:val="en-US" w:eastAsia="en-US" w:bidi="ar-SA"/>
      </w:rPr>
    </w:lvl>
    <w:lvl w:ilvl="2">
      <w:start w:val="0"/>
      <w:numFmt w:val="bullet"/>
      <w:lvlText w:val="•"/>
      <w:lvlJc w:val="left"/>
      <w:pPr>
        <w:ind w:left="2356" w:hanging="360"/>
      </w:pPr>
      <w:rPr>
        <w:rFonts w:hint="default"/>
        <w:lang w:val="en-US" w:eastAsia="en-US" w:bidi="ar-SA"/>
      </w:rPr>
    </w:lvl>
    <w:lvl w:ilvl="3">
      <w:start w:val="0"/>
      <w:numFmt w:val="bullet"/>
      <w:lvlText w:val="•"/>
      <w:lvlJc w:val="left"/>
      <w:pPr>
        <w:ind w:left="3304" w:hanging="360"/>
      </w:pPr>
      <w:rPr>
        <w:rFonts w:hint="default"/>
        <w:lang w:val="en-US" w:eastAsia="en-US" w:bidi="ar-SA"/>
      </w:rPr>
    </w:lvl>
    <w:lvl w:ilvl="4">
      <w:start w:val="0"/>
      <w:numFmt w:val="bullet"/>
      <w:lvlText w:val="•"/>
      <w:lvlJc w:val="left"/>
      <w:pPr>
        <w:ind w:left="4252"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148" w:hanging="360"/>
      </w:pPr>
      <w:rPr>
        <w:rFonts w:hint="default"/>
        <w:lang w:val="en-US" w:eastAsia="en-US" w:bidi="ar-SA"/>
      </w:rPr>
    </w:lvl>
    <w:lvl w:ilvl="7">
      <w:start w:val="0"/>
      <w:numFmt w:val="bullet"/>
      <w:lvlText w:val="•"/>
      <w:lvlJc w:val="left"/>
      <w:pPr>
        <w:ind w:left="7096" w:hanging="360"/>
      </w:pPr>
      <w:rPr>
        <w:rFonts w:hint="default"/>
        <w:lang w:val="en-US" w:eastAsia="en-US" w:bidi="ar-SA"/>
      </w:rPr>
    </w:lvl>
    <w:lvl w:ilvl="8">
      <w:start w:val="0"/>
      <w:numFmt w:val="bullet"/>
      <w:lvlText w:val="•"/>
      <w:lvlJc w:val="left"/>
      <w:pPr>
        <w:ind w:left="8044" w:hanging="360"/>
      </w:pPr>
      <w:rPr>
        <w:rFonts w:hint="default"/>
        <w:lang w:val="en-US" w:eastAsia="en-US" w:bidi="ar-SA"/>
      </w:rPr>
    </w:lvl>
  </w:abstractNum>
  <w:abstractNum w:abstractNumId="22">
    <w:multiLevelType w:val="hybridMultilevel"/>
    <w:lvl w:ilvl="0">
      <w:start w:val="1"/>
      <w:numFmt w:val="decimal"/>
      <w:lvlText w:val="%1."/>
      <w:lvlJc w:val="left"/>
      <w:pPr>
        <w:ind w:left="363" w:hanging="241"/>
        <w:jc w:val="righ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316" w:hanging="241"/>
      </w:pPr>
      <w:rPr>
        <w:rFonts w:hint="default"/>
        <w:lang w:val="en-US" w:eastAsia="en-US" w:bidi="ar-SA"/>
      </w:rPr>
    </w:lvl>
    <w:lvl w:ilvl="2">
      <w:start w:val="0"/>
      <w:numFmt w:val="bullet"/>
      <w:lvlText w:val="•"/>
      <w:lvlJc w:val="left"/>
      <w:pPr>
        <w:ind w:left="2272" w:hanging="241"/>
      </w:pPr>
      <w:rPr>
        <w:rFonts w:hint="default"/>
        <w:lang w:val="en-US" w:eastAsia="en-US" w:bidi="ar-SA"/>
      </w:rPr>
    </w:lvl>
    <w:lvl w:ilvl="3">
      <w:start w:val="0"/>
      <w:numFmt w:val="bullet"/>
      <w:lvlText w:val="•"/>
      <w:lvlJc w:val="left"/>
      <w:pPr>
        <w:ind w:left="3228" w:hanging="241"/>
      </w:pPr>
      <w:rPr>
        <w:rFonts w:hint="default"/>
        <w:lang w:val="en-US" w:eastAsia="en-US" w:bidi="ar-SA"/>
      </w:rPr>
    </w:lvl>
    <w:lvl w:ilvl="4">
      <w:start w:val="0"/>
      <w:numFmt w:val="bullet"/>
      <w:lvlText w:val="•"/>
      <w:lvlJc w:val="left"/>
      <w:pPr>
        <w:ind w:left="4184" w:hanging="241"/>
      </w:pPr>
      <w:rPr>
        <w:rFonts w:hint="default"/>
        <w:lang w:val="en-US" w:eastAsia="en-US" w:bidi="ar-SA"/>
      </w:rPr>
    </w:lvl>
    <w:lvl w:ilvl="5">
      <w:start w:val="0"/>
      <w:numFmt w:val="bullet"/>
      <w:lvlText w:val="•"/>
      <w:lvlJc w:val="left"/>
      <w:pPr>
        <w:ind w:left="5140" w:hanging="241"/>
      </w:pPr>
      <w:rPr>
        <w:rFonts w:hint="default"/>
        <w:lang w:val="en-US" w:eastAsia="en-US" w:bidi="ar-SA"/>
      </w:rPr>
    </w:lvl>
    <w:lvl w:ilvl="6">
      <w:start w:val="0"/>
      <w:numFmt w:val="bullet"/>
      <w:lvlText w:val="•"/>
      <w:lvlJc w:val="left"/>
      <w:pPr>
        <w:ind w:left="6096" w:hanging="241"/>
      </w:pPr>
      <w:rPr>
        <w:rFonts w:hint="default"/>
        <w:lang w:val="en-US" w:eastAsia="en-US" w:bidi="ar-SA"/>
      </w:rPr>
    </w:lvl>
    <w:lvl w:ilvl="7">
      <w:start w:val="0"/>
      <w:numFmt w:val="bullet"/>
      <w:lvlText w:val="•"/>
      <w:lvlJc w:val="left"/>
      <w:pPr>
        <w:ind w:left="7052" w:hanging="241"/>
      </w:pPr>
      <w:rPr>
        <w:rFonts w:hint="default"/>
        <w:lang w:val="en-US" w:eastAsia="en-US" w:bidi="ar-SA"/>
      </w:rPr>
    </w:lvl>
    <w:lvl w:ilvl="8">
      <w:start w:val="0"/>
      <w:numFmt w:val="bullet"/>
      <w:lvlText w:val="•"/>
      <w:lvlJc w:val="left"/>
      <w:pPr>
        <w:ind w:left="8008" w:hanging="241"/>
      </w:pPr>
      <w:rPr>
        <w:rFonts w:hint="default"/>
        <w:lang w:val="en-US" w:eastAsia="en-US" w:bidi="ar-SA"/>
      </w:rPr>
    </w:lvl>
  </w:abstractNum>
  <w:abstractNum w:abstractNumId="21">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40" w:hanging="360"/>
      </w:pPr>
      <w:rPr>
        <w:rFonts w:hint="default"/>
        <w:lang w:val="en-US" w:eastAsia="en-US" w:bidi="ar-SA"/>
      </w:rPr>
    </w:lvl>
    <w:lvl w:ilvl="2">
      <w:start w:val="0"/>
      <w:numFmt w:val="bullet"/>
      <w:lvlText w:val="•"/>
      <w:lvlJc w:val="left"/>
      <w:pPr>
        <w:ind w:left="2420" w:hanging="360"/>
      </w:pPr>
      <w:rPr>
        <w:rFonts w:hint="default"/>
        <w:lang w:val="en-US" w:eastAsia="en-US" w:bidi="ar-SA"/>
      </w:rPr>
    </w:lvl>
    <w:lvl w:ilvl="3">
      <w:start w:val="0"/>
      <w:numFmt w:val="bullet"/>
      <w:lvlText w:val="•"/>
      <w:lvlJc w:val="left"/>
      <w:pPr>
        <w:ind w:left="3400" w:hanging="360"/>
      </w:pPr>
      <w:rPr>
        <w:rFonts w:hint="default"/>
        <w:lang w:val="en-US" w:eastAsia="en-US" w:bidi="ar-SA"/>
      </w:rPr>
    </w:lvl>
    <w:lvl w:ilvl="4">
      <w:start w:val="0"/>
      <w:numFmt w:val="bullet"/>
      <w:lvlText w:val="•"/>
      <w:lvlJc w:val="left"/>
      <w:pPr>
        <w:ind w:left="4380" w:hanging="360"/>
      </w:pPr>
      <w:rPr>
        <w:rFonts w:hint="default"/>
        <w:lang w:val="en-US" w:eastAsia="en-US" w:bidi="ar-SA"/>
      </w:rPr>
    </w:lvl>
    <w:lvl w:ilvl="5">
      <w:start w:val="0"/>
      <w:numFmt w:val="bullet"/>
      <w:lvlText w:val="•"/>
      <w:lvlJc w:val="left"/>
      <w:pPr>
        <w:ind w:left="5360" w:hanging="360"/>
      </w:pPr>
      <w:rPr>
        <w:rFonts w:hint="default"/>
        <w:lang w:val="en-US" w:eastAsia="en-US" w:bidi="ar-SA"/>
      </w:rPr>
    </w:lvl>
    <w:lvl w:ilvl="6">
      <w:start w:val="0"/>
      <w:numFmt w:val="bullet"/>
      <w:lvlText w:val="•"/>
      <w:lvlJc w:val="left"/>
      <w:pPr>
        <w:ind w:left="6340" w:hanging="360"/>
      </w:pPr>
      <w:rPr>
        <w:rFonts w:hint="default"/>
        <w:lang w:val="en-US" w:eastAsia="en-US" w:bidi="ar-SA"/>
      </w:rPr>
    </w:lvl>
    <w:lvl w:ilvl="7">
      <w:start w:val="0"/>
      <w:numFmt w:val="bullet"/>
      <w:lvlText w:val="•"/>
      <w:lvlJc w:val="left"/>
      <w:pPr>
        <w:ind w:left="7320" w:hanging="360"/>
      </w:pPr>
      <w:rPr>
        <w:rFonts w:hint="default"/>
        <w:lang w:val="en-US" w:eastAsia="en-US" w:bidi="ar-SA"/>
      </w:rPr>
    </w:lvl>
    <w:lvl w:ilvl="8">
      <w:start w:val="0"/>
      <w:numFmt w:val="bullet"/>
      <w:lvlText w:val="•"/>
      <w:lvlJc w:val="left"/>
      <w:pPr>
        <w:ind w:left="8300" w:hanging="360"/>
      </w:pPr>
      <w:rPr>
        <w:rFonts w:hint="default"/>
        <w:lang w:val="en-US" w:eastAsia="en-US" w:bidi="ar-SA"/>
      </w:rPr>
    </w:lvl>
  </w:abstractNum>
  <w:abstractNum w:abstractNumId="20">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392" w:hanging="360"/>
      </w:pPr>
      <w:rPr>
        <w:rFonts w:hint="default"/>
        <w:lang w:val="en-US" w:eastAsia="en-US" w:bidi="ar-SA"/>
      </w:rPr>
    </w:lvl>
    <w:lvl w:ilvl="2">
      <w:start w:val="0"/>
      <w:numFmt w:val="bullet"/>
      <w:lvlText w:val="•"/>
      <w:lvlJc w:val="left"/>
      <w:pPr>
        <w:ind w:left="2324" w:hanging="360"/>
      </w:pPr>
      <w:rPr>
        <w:rFonts w:hint="default"/>
        <w:lang w:val="en-US" w:eastAsia="en-US" w:bidi="ar-SA"/>
      </w:rPr>
    </w:lvl>
    <w:lvl w:ilvl="3">
      <w:start w:val="0"/>
      <w:numFmt w:val="bullet"/>
      <w:lvlText w:val="•"/>
      <w:lvlJc w:val="left"/>
      <w:pPr>
        <w:ind w:left="3256" w:hanging="360"/>
      </w:pPr>
      <w:rPr>
        <w:rFonts w:hint="default"/>
        <w:lang w:val="en-US" w:eastAsia="en-US" w:bidi="ar-SA"/>
      </w:rPr>
    </w:lvl>
    <w:lvl w:ilvl="4">
      <w:start w:val="0"/>
      <w:numFmt w:val="bullet"/>
      <w:lvlText w:val="•"/>
      <w:lvlJc w:val="left"/>
      <w:pPr>
        <w:ind w:left="4188" w:hanging="360"/>
      </w:pPr>
      <w:rPr>
        <w:rFonts w:hint="default"/>
        <w:lang w:val="en-US" w:eastAsia="en-US" w:bidi="ar-SA"/>
      </w:rPr>
    </w:lvl>
    <w:lvl w:ilvl="5">
      <w:start w:val="0"/>
      <w:numFmt w:val="bullet"/>
      <w:lvlText w:val="•"/>
      <w:lvlJc w:val="left"/>
      <w:pPr>
        <w:ind w:left="5120" w:hanging="360"/>
      </w:pPr>
      <w:rPr>
        <w:rFonts w:hint="default"/>
        <w:lang w:val="en-US" w:eastAsia="en-US" w:bidi="ar-SA"/>
      </w:rPr>
    </w:lvl>
    <w:lvl w:ilvl="6">
      <w:start w:val="0"/>
      <w:numFmt w:val="bullet"/>
      <w:lvlText w:val="•"/>
      <w:lvlJc w:val="left"/>
      <w:pPr>
        <w:ind w:left="6052" w:hanging="360"/>
      </w:pPr>
      <w:rPr>
        <w:rFonts w:hint="default"/>
        <w:lang w:val="en-US" w:eastAsia="en-US" w:bidi="ar-SA"/>
      </w:rPr>
    </w:lvl>
    <w:lvl w:ilvl="7">
      <w:start w:val="0"/>
      <w:numFmt w:val="bullet"/>
      <w:lvlText w:val="•"/>
      <w:lvlJc w:val="left"/>
      <w:pPr>
        <w:ind w:left="6984"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19">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100"/>
        <w:sz w:val="21"/>
        <w:szCs w:val="21"/>
        <w:lang w:val="en-US" w:eastAsia="en-US" w:bidi="ar-SA"/>
      </w:rPr>
    </w:lvl>
    <w:lvl w:ilvl="1">
      <w:start w:val="0"/>
      <w:numFmt w:val="bullet"/>
      <w:lvlText w:val="•"/>
      <w:lvlJc w:val="left"/>
      <w:pPr>
        <w:ind w:left="1432" w:hanging="360"/>
      </w:pPr>
      <w:rPr>
        <w:rFonts w:hint="default"/>
        <w:lang w:val="en-US" w:eastAsia="en-US" w:bidi="ar-SA"/>
      </w:rPr>
    </w:lvl>
    <w:lvl w:ilvl="2">
      <w:start w:val="0"/>
      <w:numFmt w:val="bullet"/>
      <w:lvlText w:val="•"/>
      <w:lvlJc w:val="left"/>
      <w:pPr>
        <w:ind w:left="2404" w:hanging="360"/>
      </w:pPr>
      <w:rPr>
        <w:rFonts w:hint="default"/>
        <w:lang w:val="en-US" w:eastAsia="en-US" w:bidi="ar-SA"/>
      </w:rPr>
    </w:lvl>
    <w:lvl w:ilvl="3">
      <w:start w:val="0"/>
      <w:numFmt w:val="bullet"/>
      <w:lvlText w:val="•"/>
      <w:lvlJc w:val="left"/>
      <w:pPr>
        <w:ind w:left="3376" w:hanging="360"/>
      </w:pPr>
      <w:rPr>
        <w:rFonts w:hint="default"/>
        <w:lang w:val="en-US" w:eastAsia="en-US" w:bidi="ar-SA"/>
      </w:rPr>
    </w:lvl>
    <w:lvl w:ilvl="4">
      <w:start w:val="0"/>
      <w:numFmt w:val="bullet"/>
      <w:lvlText w:val="•"/>
      <w:lvlJc w:val="left"/>
      <w:pPr>
        <w:ind w:left="4348" w:hanging="360"/>
      </w:pPr>
      <w:rPr>
        <w:rFonts w:hint="default"/>
        <w:lang w:val="en-US" w:eastAsia="en-US" w:bidi="ar-SA"/>
      </w:rPr>
    </w:lvl>
    <w:lvl w:ilvl="5">
      <w:start w:val="0"/>
      <w:numFmt w:val="bullet"/>
      <w:lvlText w:val="•"/>
      <w:lvlJc w:val="left"/>
      <w:pPr>
        <w:ind w:left="5320" w:hanging="360"/>
      </w:pPr>
      <w:rPr>
        <w:rFonts w:hint="default"/>
        <w:lang w:val="en-US" w:eastAsia="en-US" w:bidi="ar-SA"/>
      </w:rPr>
    </w:lvl>
    <w:lvl w:ilvl="6">
      <w:start w:val="0"/>
      <w:numFmt w:val="bullet"/>
      <w:lvlText w:val="•"/>
      <w:lvlJc w:val="left"/>
      <w:pPr>
        <w:ind w:left="6292" w:hanging="360"/>
      </w:pPr>
      <w:rPr>
        <w:rFonts w:hint="default"/>
        <w:lang w:val="en-US" w:eastAsia="en-US" w:bidi="ar-SA"/>
      </w:rPr>
    </w:lvl>
    <w:lvl w:ilvl="7">
      <w:start w:val="0"/>
      <w:numFmt w:val="bullet"/>
      <w:lvlText w:val="•"/>
      <w:lvlJc w:val="left"/>
      <w:pPr>
        <w:ind w:left="7264" w:hanging="360"/>
      </w:pPr>
      <w:rPr>
        <w:rFonts w:hint="default"/>
        <w:lang w:val="en-US" w:eastAsia="en-US" w:bidi="ar-SA"/>
      </w:rPr>
    </w:lvl>
    <w:lvl w:ilvl="8">
      <w:start w:val="0"/>
      <w:numFmt w:val="bullet"/>
      <w:lvlText w:val="•"/>
      <w:lvlJc w:val="left"/>
      <w:pPr>
        <w:ind w:left="8236" w:hanging="360"/>
      </w:pPr>
      <w:rPr>
        <w:rFonts w:hint="default"/>
        <w:lang w:val="en-US" w:eastAsia="en-US" w:bidi="ar-SA"/>
      </w:rPr>
    </w:lvl>
  </w:abstractNum>
  <w:abstractNum w:abstractNumId="18">
    <w:multiLevelType w:val="hybridMultilevel"/>
    <w:lvl w:ilvl="0">
      <w:start w:val="1"/>
      <w:numFmt w:val="decimal"/>
      <w:lvlText w:val="%1."/>
      <w:lvlJc w:val="left"/>
      <w:pPr>
        <w:ind w:left="463" w:hanging="360"/>
        <w:jc w:val="left"/>
      </w:pPr>
      <w:rPr>
        <w:rFonts w:hint="default"/>
        <w:spacing w:val="0"/>
        <w:w w:val="99"/>
        <w:lang w:val="en-US" w:eastAsia="en-US" w:bidi="ar-SA"/>
      </w:rPr>
    </w:lvl>
    <w:lvl w:ilvl="1">
      <w:start w:val="0"/>
      <w:numFmt w:val="bullet"/>
      <w:lvlText w:val="•"/>
      <w:lvlJc w:val="left"/>
      <w:pPr>
        <w:ind w:left="1417" w:hanging="360"/>
      </w:pPr>
      <w:rPr>
        <w:rFonts w:hint="default"/>
        <w:lang w:val="en-US" w:eastAsia="en-US" w:bidi="ar-SA"/>
      </w:rPr>
    </w:lvl>
    <w:lvl w:ilvl="2">
      <w:start w:val="0"/>
      <w:numFmt w:val="bullet"/>
      <w:lvlText w:val="•"/>
      <w:lvlJc w:val="left"/>
      <w:pPr>
        <w:ind w:left="2374" w:hanging="360"/>
      </w:pPr>
      <w:rPr>
        <w:rFonts w:hint="default"/>
        <w:lang w:val="en-US" w:eastAsia="en-US" w:bidi="ar-SA"/>
      </w:rPr>
    </w:lvl>
    <w:lvl w:ilvl="3">
      <w:start w:val="0"/>
      <w:numFmt w:val="bullet"/>
      <w:lvlText w:val="•"/>
      <w:lvlJc w:val="left"/>
      <w:pPr>
        <w:ind w:left="3331" w:hanging="360"/>
      </w:pPr>
      <w:rPr>
        <w:rFonts w:hint="default"/>
        <w:lang w:val="en-US" w:eastAsia="en-US" w:bidi="ar-SA"/>
      </w:rPr>
    </w:lvl>
    <w:lvl w:ilvl="4">
      <w:start w:val="0"/>
      <w:numFmt w:val="bullet"/>
      <w:lvlText w:val="•"/>
      <w:lvlJc w:val="left"/>
      <w:pPr>
        <w:ind w:left="4288" w:hanging="360"/>
      </w:pPr>
      <w:rPr>
        <w:rFonts w:hint="default"/>
        <w:lang w:val="en-US" w:eastAsia="en-US" w:bidi="ar-SA"/>
      </w:rPr>
    </w:lvl>
    <w:lvl w:ilvl="5">
      <w:start w:val="0"/>
      <w:numFmt w:val="bullet"/>
      <w:lvlText w:val="•"/>
      <w:lvlJc w:val="left"/>
      <w:pPr>
        <w:ind w:left="5245" w:hanging="360"/>
      </w:pPr>
      <w:rPr>
        <w:rFonts w:hint="default"/>
        <w:lang w:val="en-US" w:eastAsia="en-US" w:bidi="ar-SA"/>
      </w:rPr>
    </w:lvl>
    <w:lvl w:ilvl="6">
      <w:start w:val="0"/>
      <w:numFmt w:val="bullet"/>
      <w:lvlText w:val="•"/>
      <w:lvlJc w:val="left"/>
      <w:pPr>
        <w:ind w:left="6202" w:hanging="360"/>
      </w:pPr>
      <w:rPr>
        <w:rFonts w:hint="default"/>
        <w:lang w:val="en-US" w:eastAsia="en-US" w:bidi="ar-SA"/>
      </w:rPr>
    </w:lvl>
    <w:lvl w:ilvl="7">
      <w:start w:val="0"/>
      <w:numFmt w:val="bullet"/>
      <w:lvlText w:val="•"/>
      <w:lvlJc w:val="left"/>
      <w:pPr>
        <w:ind w:left="7159" w:hanging="360"/>
      </w:pPr>
      <w:rPr>
        <w:rFonts w:hint="default"/>
        <w:lang w:val="en-US" w:eastAsia="en-US" w:bidi="ar-SA"/>
      </w:rPr>
    </w:lvl>
    <w:lvl w:ilvl="8">
      <w:start w:val="0"/>
      <w:numFmt w:val="bullet"/>
      <w:lvlText w:val="•"/>
      <w:lvlJc w:val="left"/>
      <w:pPr>
        <w:ind w:left="8116" w:hanging="360"/>
      </w:pPr>
      <w:rPr>
        <w:rFonts w:hint="default"/>
        <w:lang w:val="en-US" w:eastAsia="en-US" w:bidi="ar-SA"/>
      </w:rPr>
    </w:lvl>
  </w:abstractNum>
  <w:abstractNum w:abstractNumId="17">
    <w:multiLevelType w:val="hybridMultilevel"/>
    <w:lvl w:ilvl="0">
      <w:start w:val="0"/>
      <w:numFmt w:val="bullet"/>
      <w:lvlText w:val=""/>
      <w:lvlJc w:val="left"/>
      <w:pPr>
        <w:ind w:left="140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254" w:hanging="360"/>
      </w:pPr>
      <w:rPr>
        <w:rFonts w:hint="default"/>
        <w:lang w:val="en-US" w:eastAsia="en-US" w:bidi="ar-SA"/>
      </w:rPr>
    </w:lvl>
    <w:lvl w:ilvl="2">
      <w:start w:val="0"/>
      <w:numFmt w:val="bullet"/>
      <w:lvlText w:val="•"/>
      <w:lvlJc w:val="left"/>
      <w:pPr>
        <w:ind w:left="3108" w:hanging="360"/>
      </w:pPr>
      <w:rPr>
        <w:rFonts w:hint="default"/>
        <w:lang w:val="en-US" w:eastAsia="en-US" w:bidi="ar-SA"/>
      </w:rPr>
    </w:lvl>
    <w:lvl w:ilvl="3">
      <w:start w:val="0"/>
      <w:numFmt w:val="bullet"/>
      <w:lvlText w:val="•"/>
      <w:lvlJc w:val="left"/>
      <w:pPr>
        <w:ind w:left="3962" w:hanging="360"/>
      </w:pPr>
      <w:rPr>
        <w:rFonts w:hint="default"/>
        <w:lang w:val="en-US" w:eastAsia="en-US" w:bidi="ar-SA"/>
      </w:rPr>
    </w:lvl>
    <w:lvl w:ilvl="4">
      <w:start w:val="0"/>
      <w:numFmt w:val="bullet"/>
      <w:lvlText w:val="•"/>
      <w:lvlJc w:val="left"/>
      <w:pPr>
        <w:ind w:left="4816" w:hanging="360"/>
      </w:pPr>
      <w:rPr>
        <w:rFonts w:hint="default"/>
        <w:lang w:val="en-US" w:eastAsia="en-US" w:bidi="ar-SA"/>
      </w:rPr>
    </w:lvl>
    <w:lvl w:ilvl="5">
      <w:start w:val="0"/>
      <w:numFmt w:val="bullet"/>
      <w:lvlText w:val="•"/>
      <w:lvlJc w:val="left"/>
      <w:pPr>
        <w:ind w:left="5670" w:hanging="360"/>
      </w:pPr>
      <w:rPr>
        <w:rFonts w:hint="default"/>
        <w:lang w:val="en-US" w:eastAsia="en-US" w:bidi="ar-SA"/>
      </w:rPr>
    </w:lvl>
    <w:lvl w:ilvl="6">
      <w:start w:val="0"/>
      <w:numFmt w:val="bullet"/>
      <w:lvlText w:val="•"/>
      <w:lvlJc w:val="left"/>
      <w:pPr>
        <w:ind w:left="6524" w:hanging="360"/>
      </w:pPr>
      <w:rPr>
        <w:rFonts w:hint="default"/>
        <w:lang w:val="en-US" w:eastAsia="en-US" w:bidi="ar-SA"/>
      </w:rPr>
    </w:lvl>
    <w:lvl w:ilvl="7">
      <w:start w:val="0"/>
      <w:numFmt w:val="bullet"/>
      <w:lvlText w:val="•"/>
      <w:lvlJc w:val="left"/>
      <w:pPr>
        <w:ind w:left="7378" w:hanging="360"/>
      </w:pPr>
      <w:rPr>
        <w:rFonts w:hint="default"/>
        <w:lang w:val="en-US" w:eastAsia="en-US" w:bidi="ar-SA"/>
      </w:rPr>
    </w:lvl>
    <w:lvl w:ilvl="8">
      <w:start w:val="0"/>
      <w:numFmt w:val="bullet"/>
      <w:lvlText w:val="•"/>
      <w:lvlJc w:val="left"/>
      <w:pPr>
        <w:ind w:left="8232" w:hanging="360"/>
      </w:pPr>
      <w:rPr>
        <w:rFonts w:hint="default"/>
        <w:lang w:val="en-US" w:eastAsia="en-US" w:bidi="ar-SA"/>
      </w:rPr>
    </w:lvl>
  </w:abstractNum>
  <w:abstractNum w:abstractNumId="16">
    <w:multiLevelType w:val="hybridMultilevel"/>
    <w:lvl w:ilvl="0">
      <w:start w:val="0"/>
      <w:numFmt w:val="bullet"/>
      <w:lvlText w:val=""/>
      <w:lvlJc w:val="left"/>
      <w:pPr>
        <w:ind w:left="1183"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056" w:hanging="360"/>
      </w:pPr>
      <w:rPr>
        <w:rFonts w:hint="default"/>
        <w:lang w:val="en-US" w:eastAsia="en-US" w:bidi="ar-SA"/>
      </w:rPr>
    </w:lvl>
    <w:lvl w:ilvl="2">
      <w:start w:val="0"/>
      <w:numFmt w:val="bullet"/>
      <w:lvlText w:val="•"/>
      <w:lvlJc w:val="left"/>
      <w:pPr>
        <w:ind w:left="2932" w:hanging="360"/>
      </w:pPr>
      <w:rPr>
        <w:rFonts w:hint="default"/>
        <w:lang w:val="en-US" w:eastAsia="en-US" w:bidi="ar-SA"/>
      </w:rPr>
    </w:lvl>
    <w:lvl w:ilvl="3">
      <w:start w:val="0"/>
      <w:numFmt w:val="bullet"/>
      <w:lvlText w:val="•"/>
      <w:lvlJc w:val="left"/>
      <w:pPr>
        <w:ind w:left="3808" w:hanging="360"/>
      </w:pPr>
      <w:rPr>
        <w:rFonts w:hint="default"/>
        <w:lang w:val="en-US" w:eastAsia="en-US" w:bidi="ar-SA"/>
      </w:rPr>
    </w:lvl>
    <w:lvl w:ilvl="4">
      <w:start w:val="0"/>
      <w:numFmt w:val="bullet"/>
      <w:lvlText w:val="•"/>
      <w:lvlJc w:val="left"/>
      <w:pPr>
        <w:ind w:left="4684"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436" w:hanging="360"/>
      </w:pPr>
      <w:rPr>
        <w:rFonts w:hint="default"/>
        <w:lang w:val="en-US" w:eastAsia="en-US" w:bidi="ar-SA"/>
      </w:rPr>
    </w:lvl>
    <w:lvl w:ilvl="7">
      <w:start w:val="0"/>
      <w:numFmt w:val="bullet"/>
      <w:lvlText w:val="•"/>
      <w:lvlJc w:val="left"/>
      <w:pPr>
        <w:ind w:left="7312" w:hanging="360"/>
      </w:pPr>
      <w:rPr>
        <w:rFonts w:hint="default"/>
        <w:lang w:val="en-US" w:eastAsia="en-US" w:bidi="ar-SA"/>
      </w:rPr>
    </w:lvl>
    <w:lvl w:ilvl="8">
      <w:start w:val="0"/>
      <w:numFmt w:val="bullet"/>
      <w:lvlText w:val="•"/>
      <w:lvlJc w:val="left"/>
      <w:pPr>
        <w:ind w:left="8188" w:hanging="360"/>
      </w:pPr>
      <w:rPr>
        <w:rFonts w:hint="default"/>
        <w:lang w:val="en-US" w:eastAsia="en-US" w:bidi="ar-SA"/>
      </w:rPr>
    </w:lvl>
  </w:abstractNum>
  <w:abstractNum w:abstractNumId="15">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08" w:hanging="360"/>
      </w:pPr>
      <w:rPr>
        <w:rFonts w:hint="default"/>
        <w:lang w:val="en-US" w:eastAsia="en-US" w:bidi="ar-SA"/>
      </w:rPr>
    </w:lvl>
    <w:lvl w:ilvl="2">
      <w:start w:val="0"/>
      <w:numFmt w:val="bullet"/>
      <w:lvlText w:val="•"/>
      <w:lvlJc w:val="left"/>
      <w:pPr>
        <w:ind w:left="2356" w:hanging="360"/>
      </w:pPr>
      <w:rPr>
        <w:rFonts w:hint="default"/>
        <w:lang w:val="en-US" w:eastAsia="en-US" w:bidi="ar-SA"/>
      </w:rPr>
    </w:lvl>
    <w:lvl w:ilvl="3">
      <w:start w:val="0"/>
      <w:numFmt w:val="bullet"/>
      <w:lvlText w:val="•"/>
      <w:lvlJc w:val="left"/>
      <w:pPr>
        <w:ind w:left="3304" w:hanging="360"/>
      </w:pPr>
      <w:rPr>
        <w:rFonts w:hint="default"/>
        <w:lang w:val="en-US" w:eastAsia="en-US" w:bidi="ar-SA"/>
      </w:rPr>
    </w:lvl>
    <w:lvl w:ilvl="4">
      <w:start w:val="0"/>
      <w:numFmt w:val="bullet"/>
      <w:lvlText w:val="•"/>
      <w:lvlJc w:val="left"/>
      <w:pPr>
        <w:ind w:left="4252"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148" w:hanging="360"/>
      </w:pPr>
      <w:rPr>
        <w:rFonts w:hint="default"/>
        <w:lang w:val="en-US" w:eastAsia="en-US" w:bidi="ar-SA"/>
      </w:rPr>
    </w:lvl>
    <w:lvl w:ilvl="7">
      <w:start w:val="0"/>
      <w:numFmt w:val="bullet"/>
      <w:lvlText w:val="•"/>
      <w:lvlJc w:val="left"/>
      <w:pPr>
        <w:ind w:left="7096" w:hanging="360"/>
      </w:pPr>
      <w:rPr>
        <w:rFonts w:hint="default"/>
        <w:lang w:val="en-US" w:eastAsia="en-US" w:bidi="ar-SA"/>
      </w:rPr>
    </w:lvl>
    <w:lvl w:ilvl="8">
      <w:start w:val="0"/>
      <w:numFmt w:val="bullet"/>
      <w:lvlText w:val="•"/>
      <w:lvlJc w:val="left"/>
      <w:pPr>
        <w:ind w:left="8044" w:hanging="360"/>
      </w:pPr>
      <w:rPr>
        <w:rFonts w:hint="default"/>
        <w:lang w:val="en-US" w:eastAsia="en-US" w:bidi="ar-SA"/>
      </w:rPr>
    </w:lvl>
  </w:abstractNum>
  <w:abstractNum w:abstractNumId="14">
    <w:multiLevelType w:val="hybridMultilevel"/>
    <w:lvl w:ilvl="0">
      <w:start w:val="1"/>
      <w:numFmt w:val="decimal"/>
      <w:lvlText w:val="%1."/>
      <w:lvlJc w:val="left"/>
      <w:pPr>
        <w:ind w:left="463"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424" w:hanging="360"/>
      </w:pPr>
      <w:rPr>
        <w:rFonts w:hint="default"/>
        <w:lang w:val="en-US" w:eastAsia="en-US" w:bidi="ar-SA"/>
      </w:rPr>
    </w:lvl>
    <w:lvl w:ilvl="2">
      <w:start w:val="0"/>
      <w:numFmt w:val="bullet"/>
      <w:lvlText w:val="•"/>
      <w:lvlJc w:val="left"/>
      <w:pPr>
        <w:ind w:left="2388" w:hanging="360"/>
      </w:pPr>
      <w:rPr>
        <w:rFonts w:hint="default"/>
        <w:lang w:val="en-US" w:eastAsia="en-US" w:bidi="ar-SA"/>
      </w:rPr>
    </w:lvl>
    <w:lvl w:ilvl="3">
      <w:start w:val="0"/>
      <w:numFmt w:val="bullet"/>
      <w:lvlText w:val="•"/>
      <w:lvlJc w:val="left"/>
      <w:pPr>
        <w:ind w:left="3352" w:hanging="360"/>
      </w:pPr>
      <w:rPr>
        <w:rFonts w:hint="default"/>
        <w:lang w:val="en-US" w:eastAsia="en-US" w:bidi="ar-SA"/>
      </w:rPr>
    </w:lvl>
    <w:lvl w:ilvl="4">
      <w:start w:val="0"/>
      <w:numFmt w:val="bullet"/>
      <w:lvlText w:val="•"/>
      <w:lvlJc w:val="left"/>
      <w:pPr>
        <w:ind w:left="4316" w:hanging="360"/>
      </w:pPr>
      <w:rPr>
        <w:rFonts w:hint="default"/>
        <w:lang w:val="en-US" w:eastAsia="en-US" w:bidi="ar-SA"/>
      </w:rPr>
    </w:lvl>
    <w:lvl w:ilvl="5">
      <w:start w:val="0"/>
      <w:numFmt w:val="bullet"/>
      <w:lvlText w:val="•"/>
      <w:lvlJc w:val="left"/>
      <w:pPr>
        <w:ind w:left="5280" w:hanging="360"/>
      </w:pPr>
      <w:rPr>
        <w:rFonts w:hint="default"/>
        <w:lang w:val="en-US" w:eastAsia="en-US" w:bidi="ar-SA"/>
      </w:rPr>
    </w:lvl>
    <w:lvl w:ilvl="6">
      <w:start w:val="0"/>
      <w:numFmt w:val="bullet"/>
      <w:lvlText w:val="•"/>
      <w:lvlJc w:val="left"/>
      <w:pPr>
        <w:ind w:left="6244" w:hanging="360"/>
      </w:pPr>
      <w:rPr>
        <w:rFonts w:hint="default"/>
        <w:lang w:val="en-US" w:eastAsia="en-US" w:bidi="ar-SA"/>
      </w:rPr>
    </w:lvl>
    <w:lvl w:ilvl="7">
      <w:start w:val="0"/>
      <w:numFmt w:val="bullet"/>
      <w:lvlText w:val="•"/>
      <w:lvlJc w:val="left"/>
      <w:pPr>
        <w:ind w:left="7208" w:hanging="360"/>
      </w:pPr>
      <w:rPr>
        <w:rFonts w:hint="default"/>
        <w:lang w:val="en-US" w:eastAsia="en-US" w:bidi="ar-SA"/>
      </w:rPr>
    </w:lvl>
    <w:lvl w:ilvl="8">
      <w:start w:val="0"/>
      <w:numFmt w:val="bullet"/>
      <w:lvlText w:val="•"/>
      <w:lvlJc w:val="left"/>
      <w:pPr>
        <w:ind w:left="8172" w:hanging="360"/>
      </w:pPr>
      <w:rPr>
        <w:rFonts w:hint="default"/>
        <w:lang w:val="en-US" w:eastAsia="en-US" w:bidi="ar-SA"/>
      </w:rPr>
    </w:lvl>
  </w:abstractNum>
  <w:abstractNum w:abstractNumId="13">
    <w:multiLevelType w:val="hybridMultilevel"/>
    <w:lvl w:ilvl="0">
      <w:start w:val="1"/>
      <w:numFmt w:val="decimal"/>
      <w:lvlText w:val="%1."/>
      <w:lvlJc w:val="left"/>
      <w:pPr>
        <w:ind w:left="1050" w:hanging="23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1964" w:hanging="231"/>
      </w:pPr>
      <w:rPr>
        <w:rFonts w:hint="default"/>
        <w:lang w:val="en-US" w:eastAsia="en-US" w:bidi="ar-SA"/>
      </w:rPr>
    </w:lvl>
    <w:lvl w:ilvl="2">
      <w:start w:val="0"/>
      <w:numFmt w:val="bullet"/>
      <w:lvlText w:val="•"/>
      <w:lvlJc w:val="left"/>
      <w:pPr>
        <w:ind w:left="2868" w:hanging="231"/>
      </w:pPr>
      <w:rPr>
        <w:rFonts w:hint="default"/>
        <w:lang w:val="en-US" w:eastAsia="en-US" w:bidi="ar-SA"/>
      </w:rPr>
    </w:lvl>
    <w:lvl w:ilvl="3">
      <w:start w:val="0"/>
      <w:numFmt w:val="bullet"/>
      <w:lvlText w:val="•"/>
      <w:lvlJc w:val="left"/>
      <w:pPr>
        <w:ind w:left="3772" w:hanging="231"/>
      </w:pPr>
      <w:rPr>
        <w:rFonts w:hint="default"/>
        <w:lang w:val="en-US" w:eastAsia="en-US" w:bidi="ar-SA"/>
      </w:rPr>
    </w:lvl>
    <w:lvl w:ilvl="4">
      <w:start w:val="0"/>
      <w:numFmt w:val="bullet"/>
      <w:lvlText w:val="•"/>
      <w:lvlJc w:val="left"/>
      <w:pPr>
        <w:ind w:left="4676" w:hanging="231"/>
      </w:pPr>
      <w:rPr>
        <w:rFonts w:hint="default"/>
        <w:lang w:val="en-US" w:eastAsia="en-US" w:bidi="ar-SA"/>
      </w:rPr>
    </w:lvl>
    <w:lvl w:ilvl="5">
      <w:start w:val="0"/>
      <w:numFmt w:val="bullet"/>
      <w:lvlText w:val="•"/>
      <w:lvlJc w:val="left"/>
      <w:pPr>
        <w:ind w:left="5580" w:hanging="231"/>
      </w:pPr>
      <w:rPr>
        <w:rFonts w:hint="default"/>
        <w:lang w:val="en-US" w:eastAsia="en-US" w:bidi="ar-SA"/>
      </w:rPr>
    </w:lvl>
    <w:lvl w:ilvl="6">
      <w:start w:val="0"/>
      <w:numFmt w:val="bullet"/>
      <w:lvlText w:val="•"/>
      <w:lvlJc w:val="left"/>
      <w:pPr>
        <w:ind w:left="6484" w:hanging="231"/>
      </w:pPr>
      <w:rPr>
        <w:rFonts w:hint="default"/>
        <w:lang w:val="en-US" w:eastAsia="en-US" w:bidi="ar-SA"/>
      </w:rPr>
    </w:lvl>
    <w:lvl w:ilvl="7">
      <w:start w:val="0"/>
      <w:numFmt w:val="bullet"/>
      <w:lvlText w:val="•"/>
      <w:lvlJc w:val="left"/>
      <w:pPr>
        <w:ind w:left="7388" w:hanging="231"/>
      </w:pPr>
      <w:rPr>
        <w:rFonts w:hint="default"/>
        <w:lang w:val="en-US" w:eastAsia="en-US" w:bidi="ar-SA"/>
      </w:rPr>
    </w:lvl>
    <w:lvl w:ilvl="8">
      <w:start w:val="0"/>
      <w:numFmt w:val="bullet"/>
      <w:lvlText w:val="•"/>
      <w:lvlJc w:val="left"/>
      <w:pPr>
        <w:ind w:left="8292" w:hanging="231"/>
      </w:pPr>
      <w:rPr>
        <w:rFonts w:hint="default"/>
        <w:lang w:val="en-US" w:eastAsia="en-US" w:bidi="ar-SA"/>
      </w:rPr>
    </w:lvl>
  </w:abstractNum>
  <w:abstractNum w:abstractNumId="12">
    <w:multiLevelType w:val="hybridMultilevel"/>
    <w:lvl w:ilvl="0">
      <w:start w:val="1"/>
      <w:numFmt w:val="decimal"/>
      <w:lvlText w:val="%1."/>
      <w:lvlJc w:val="left"/>
      <w:pPr>
        <w:ind w:left="1050" w:hanging="23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1964" w:hanging="231"/>
      </w:pPr>
      <w:rPr>
        <w:rFonts w:hint="default"/>
        <w:lang w:val="en-US" w:eastAsia="en-US" w:bidi="ar-SA"/>
      </w:rPr>
    </w:lvl>
    <w:lvl w:ilvl="2">
      <w:start w:val="0"/>
      <w:numFmt w:val="bullet"/>
      <w:lvlText w:val="•"/>
      <w:lvlJc w:val="left"/>
      <w:pPr>
        <w:ind w:left="2868" w:hanging="231"/>
      </w:pPr>
      <w:rPr>
        <w:rFonts w:hint="default"/>
        <w:lang w:val="en-US" w:eastAsia="en-US" w:bidi="ar-SA"/>
      </w:rPr>
    </w:lvl>
    <w:lvl w:ilvl="3">
      <w:start w:val="0"/>
      <w:numFmt w:val="bullet"/>
      <w:lvlText w:val="•"/>
      <w:lvlJc w:val="left"/>
      <w:pPr>
        <w:ind w:left="3772" w:hanging="231"/>
      </w:pPr>
      <w:rPr>
        <w:rFonts w:hint="default"/>
        <w:lang w:val="en-US" w:eastAsia="en-US" w:bidi="ar-SA"/>
      </w:rPr>
    </w:lvl>
    <w:lvl w:ilvl="4">
      <w:start w:val="0"/>
      <w:numFmt w:val="bullet"/>
      <w:lvlText w:val="•"/>
      <w:lvlJc w:val="left"/>
      <w:pPr>
        <w:ind w:left="4676" w:hanging="231"/>
      </w:pPr>
      <w:rPr>
        <w:rFonts w:hint="default"/>
        <w:lang w:val="en-US" w:eastAsia="en-US" w:bidi="ar-SA"/>
      </w:rPr>
    </w:lvl>
    <w:lvl w:ilvl="5">
      <w:start w:val="0"/>
      <w:numFmt w:val="bullet"/>
      <w:lvlText w:val="•"/>
      <w:lvlJc w:val="left"/>
      <w:pPr>
        <w:ind w:left="5580" w:hanging="231"/>
      </w:pPr>
      <w:rPr>
        <w:rFonts w:hint="default"/>
        <w:lang w:val="en-US" w:eastAsia="en-US" w:bidi="ar-SA"/>
      </w:rPr>
    </w:lvl>
    <w:lvl w:ilvl="6">
      <w:start w:val="0"/>
      <w:numFmt w:val="bullet"/>
      <w:lvlText w:val="•"/>
      <w:lvlJc w:val="left"/>
      <w:pPr>
        <w:ind w:left="6484" w:hanging="231"/>
      </w:pPr>
      <w:rPr>
        <w:rFonts w:hint="default"/>
        <w:lang w:val="en-US" w:eastAsia="en-US" w:bidi="ar-SA"/>
      </w:rPr>
    </w:lvl>
    <w:lvl w:ilvl="7">
      <w:start w:val="0"/>
      <w:numFmt w:val="bullet"/>
      <w:lvlText w:val="•"/>
      <w:lvlJc w:val="left"/>
      <w:pPr>
        <w:ind w:left="7388" w:hanging="231"/>
      </w:pPr>
      <w:rPr>
        <w:rFonts w:hint="default"/>
        <w:lang w:val="en-US" w:eastAsia="en-US" w:bidi="ar-SA"/>
      </w:rPr>
    </w:lvl>
    <w:lvl w:ilvl="8">
      <w:start w:val="0"/>
      <w:numFmt w:val="bullet"/>
      <w:lvlText w:val="•"/>
      <w:lvlJc w:val="left"/>
      <w:pPr>
        <w:ind w:left="8292" w:hanging="231"/>
      </w:pPr>
      <w:rPr>
        <w:rFonts w:hint="default"/>
        <w:lang w:val="en-US" w:eastAsia="en-US" w:bidi="ar-SA"/>
      </w:rPr>
    </w:lvl>
  </w:abstractNum>
  <w:abstractNum w:abstractNumId="11">
    <w:multiLevelType w:val="hybridMultilevel"/>
    <w:lvl w:ilvl="0">
      <w:start w:val="1"/>
      <w:numFmt w:val="decimal"/>
      <w:lvlText w:val="%1."/>
      <w:lvlJc w:val="left"/>
      <w:pPr>
        <w:ind w:left="1050" w:hanging="23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1964" w:hanging="231"/>
      </w:pPr>
      <w:rPr>
        <w:rFonts w:hint="default"/>
        <w:lang w:val="en-US" w:eastAsia="en-US" w:bidi="ar-SA"/>
      </w:rPr>
    </w:lvl>
    <w:lvl w:ilvl="2">
      <w:start w:val="0"/>
      <w:numFmt w:val="bullet"/>
      <w:lvlText w:val="•"/>
      <w:lvlJc w:val="left"/>
      <w:pPr>
        <w:ind w:left="2868" w:hanging="231"/>
      </w:pPr>
      <w:rPr>
        <w:rFonts w:hint="default"/>
        <w:lang w:val="en-US" w:eastAsia="en-US" w:bidi="ar-SA"/>
      </w:rPr>
    </w:lvl>
    <w:lvl w:ilvl="3">
      <w:start w:val="0"/>
      <w:numFmt w:val="bullet"/>
      <w:lvlText w:val="•"/>
      <w:lvlJc w:val="left"/>
      <w:pPr>
        <w:ind w:left="3772" w:hanging="231"/>
      </w:pPr>
      <w:rPr>
        <w:rFonts w:hint="default"/>
        <w:lang w:val="en-US" w:eastAsia="en-US" w:bidi="ar-SA"/>
      </w:rPr>
    </w:lvl>
    <w:lvl w:ilvl="4">
      <w:start w:val="0"/>
      <w:numFmt w:val="bullet"/>
      <w:lvlText w:val="•"/>
      <w:lvlJc w:val="left"/>
      <w:pPr>
        <w:ind w:left="4676" w:hanging="231"/>
      </w:pPr>
      <w:rPr>
        <w:rFonts w:hint="default"/>
        <w:lang w:val="en-US" w:eastAsia="en-US" w:bidi="ar-SA"/>
      </w:rPr>
    </w:lvl>
    <w:lvl w:ilvl="5">
      <w:start w:val="0"/>
      <w:numFmt w:val="bullet"/>
      <w:lvlText w:val="•"/>
      <w:lvlJc w:val="left"/>
      <w:pPr>
        <w:ind w:left="5580" w:hanging="231"/>
      </w:pPr>
      <w:rPr>
        <w:rFonts w:hint="default"/>
        <w:lang w:val="en-US" w:eastAsia="en-US" w:bidi="ar-SA"/>
      </w:rPr>
    </w:lvl>
    <w:lvl w:ilvl="6">
      <w:start w:val="0"/>
      <w:numFmt w:val="bullet"/>
      <w:lvlText w:val="•"/>
      <w:lvlJc w:val="left"/>
      <w:pPr>
        <w:ind w:left="6484" w:hanging="231"/>
      </w:pPr>
      <w:rPr>
        <w:rFonts w:hint="default"/>
        <w:lang w:val="en-US" w:eastAsia="en-US" w:bidi="ar-SA"/>
      </w:rPr>
    </w:lvl>
    <w:lvl w:ilvl="7">
      <w:start w:val="0"/>
      <w:numFmt w:val="bullet"/>
      <w:lvlText w:val="•"/>
      <w:lvlJc w:val="left"/>
      <w:pPr>
        <w:ind w:left="7388" w:hanging="231"/>
      </w:pPr>
      <w:rPr>
        <w:rFonts w:hint="default"/>
        <w:lang w:val="en-US" w:eastAsia="en-US" w:bidi="ar-SA"/>
      </w:rPr>
    </w:lvl>
    <w:lvl w:ilvl="8">
      <w:start w:val="0"/>
      <w:numFmt w:val="bullet"/>
      <w:lvlText w:val="•"/>
      <w:lvlJc w:val="left"/>
      <w:pPr>
        <w:ind w:left="8292" w:hanging="231"/>
      </w:pPr>
      <w:rPr>
        <w:rFonts w:hint="default"/>
        <w:lang w:val="en-US" w:eastAsia="en-US" w:bidi="ar-SA"/>
      </w:rPr>
    </w:lvl>
  </w:abstractNum>
  <w:abstractNum w:abstractNumId="10">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9">
    <w:multiLevelType w:val="hybridMultilevel"/>
    <w:lvl w:ilvl="0">
      <w:start w:val="1"/>
      <w:numFmt w:val="decimal"/>
      <w:lvlText w:val="%1."/>
      <w:lvlJc w:val="left"/>
      <w:pPr>
        <w:ind w:left="1178" w:hanging="360"/>
        <w:jc w:val="left"/>
      </w:pPr>
      <w:rPr>
        <w:rFonts w:hint="default"/>
        <w:spacing w:val="0"/>
        <w:w w:val="100"/>
        <w:lang w:val="en-US" w:eastAsia="en-US" w:bidi="ar-SA"/>
      </w:rPr>
    </w:lvl>
    <w:lvl w:ilvl="1">
      <w:start w:val="0"/>
      <w:numFmt w:val="bullet"/>
      <w:lvlText w:val="•"/>
      <w:lvlJc w:val="left"/>
      <w:pPr>
        <w:ind w:left="2072" w:hanging="360"/>
      </w:pPr>
      <w:rPr>
        <w:rFonts w:hint="default"/>
        <w:lang w:val="en-US" w:eastAsia="en-US" w:bidi="ar-SA"/>
      </w:rPr>
    </w:lvl>
    <w:lvl w:ilvl="2">
      <w:start w:val="0"/>
      <w:numFmt w:val="bullet"/>
      <w:lvlText w:val="•"/>
      <w:lvlJc w:val="left"/>
      <w:pPr>
        <w:ind w:left="2964" w:hanging="360"/>
      </w:pPr>
      <w:rPr>
        <w:rFonts w:hint="default"/>
        <w:lang w:val="en-US" w:eastAsia="en-US" w:bidi="ar-SA"/>
      </w:rPr>
    </w:lvl>
    <w:lvl w:ilvl="3">
      <w:start w:val="0"/>
      <w:numFmt w:val="bullet"/>
      <w:lvlText w:val="•"/>
      <w:lvlJc w:val="left"/>
      <w:pPr>
        <w:ind w:left="3856" w:hanging="360"/>
      </w:pPr>
      <w:rPr>
        <w:rFonts w:hint="default"/>
        <w:lang w:val="en-US" w:eastAsia="en-US" w:bidi="ar-SA"/>
      </w:rPr>
    </w:lvl>
    <w:lvl w:ilvl="4">
      <w:start w:val="0"/>
      <w:numFmt w:val="bullet"/>
      <w:lvlText w:val="•"/>
      <w:lvlJc w:val="left"/>
      <w:pPr>
        <w:ind w:left="4748" w:hanging="360"/>
      </w:pPr>
      <w:rPr>
        <w:rFonts w:hint="default"/>
        <w:lang w:val="en-US" w:eastAsia="en-US" w:bidi="ar-SA"/>
      </w:rPr>
    </w:lvl>
    <w:lvl w:ilvl="5">
      <w:start w:val="0"/>
      <w:numFmt w:val="bullet"/>
      <w:lvlText w:val="•"/>
      <w:lvlJc w:val="left"/>
      <w:pPr>
        <w:ind w:left="5640" w:hanging="360"/>
      </w:pPr>
      <w:rPr>
        <w:rFonts w:hint="default"/>
        <w:lang w:val="en-US" w:eastAsia="en-US" w:bidi="ar-SA"/>
      </w:rPr>
    </w:lvl>
    <w:lvl w:ilvl="6">
      <w:start w:val="0"/>
      <w:numFmt w:val="bullet"/>
      <w:lvlText w:val="•"/>
      <w:lvlJc w:val="left"/>
      <w:pPr>
        <w:ind w:left="6532" w:hanging="360"/>
      </w:pPr>
      <w:rPr>
        <w:rFonts w:hint="default"/>
        <w:lang w:val="en-US" w:eastAsia="en-US" w:bidi="ar-SA"/>
      </w:rPr>
    </w:lvl>
    <w:lvl w:ilvl="7">
      <w:start w:val="0"/>
      <w:numFmt w:val="bullet"/>
      <w:lvlText w:val="•"/>
      <w:lvlJc w:val="left"/>
      <w:pPr>
        <w:ind w:left="7424" w:hanging="360"/>
      </w:pPr>
      <w:rPr>
        <w:rFonts w:hint="default"/>
        <w:lang w:val="en-US" w:eastAsia="en-US" w:bidi="ar-SA"/>
      </w:rPr>
    </w:lvl>
    <w:lvl w:ilvl="8">
      <w:start w:val="0"/>
      <w:numFmt w:val="bullet"/>
      <w:lvlText w:val="•"/>
      <w:lvlJc w:val="left"/>
      <w:pPr>
        <w:ind w:left="8316" w:hanging="360"/>
      </w:pPr>
      <w:rPr>
        <w:rFonts w:hint="default"/>
        <w:lang w:val="en-US" w:eastAsia="en-US" w:bidi="ar-SA"/>
      </w:rPr>
    </w:lvl>
  </w:abstractNum>
  <w:abstractNum w:abstractNumId="8">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7">
    <w:multiLevelType w:val="hybridMultilevel"/>
    <w:lvl w:ilvl="0">
      <w:start w:val="1"/>
      <w:numFmt w:val="decimal"/>
      <w:lvlText w:val="%1."/>
      <w:lvlJc w:val="left"/>
      <w:pPr>
        <w:ind w:left="1064" w:hanging="245"/>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1964" w:hanging="245"/>
      </w:pPr>
      <w:rPr>
        <w:rFonts w:hint="default"/>
        <w:lang w:val="en-US" w:eastAsia="en-US" w:bidi="ar-SA"/>
      </w:rPr>
    </w:lvl>
    <w:lvl w:ilvl="2">
      <w:start w:val="0"/>
      <w:numFmt w:val="bullet"/>
      <w:lvlText w:val="•"/>
      <w:lvlJc w:val="left"/>
      <w:pPr>
        <w:ind w:left="2868" w:hanging="245"/>
      </w:pPr>
      <w:rPr>
        <w:rFonts w:hint="default"/>
        <w:lang w:val="en-US" w:eastAsia="en-US" w:bidi="ar-SA"/>
      </w:rPr>
    </w:lvl>
    <w:lvl w:ilvl="3">
      <w:start w:val="0"/>
      <w:numFmt w:val="bullet"/>
      <w:lvlText w:val="•"/>
      <w:lvlJc w:val="left"/>
      <w:pPr>
        <w:ind w:left="3772" w:hanging="245"/>
      </w:pPr>
      <w:rPr>
        <w:rFonts w:hint="default"/>
        <w:lang w:val="en-US" w:eastAsia="en-US" w:bidi="ar-SA"/>
      </w:rPr>
    </w:lvl>
    <w:lvl w:ilvl="4">
      <w:start w:val="0"/>
      <w:numFmt w:val="bullet"/>
      <w:lvlText w:val="•"/>
      <w:lvlJc w:val="left"/>
      <w:pPr>
        <w:ind w:left="4676" w:hanging="245"/>
      </w:pPr>
      <w:rPr>
        <w:rFonts w:hint="default"/>
        <w:lang w:val="en-US" w:eastAsia="en-US" w:bidi="ar-SA"/>
      </w:rPr>
    </w:lvl>
    <w:lvl w:ilvl="5">
      <w:start w:val="0"/>
      <w:numFmt w:val="bullet"/>
      <w:lvlText w:val="•"/>
      <w:lvlJc w:val="left"/>
      <w:pPr>
        <w:ind w:left="5580" w:hanging="245"/>
      </w:pPr>
      <w:rPr>
        <w:rFonts w:hint="default"/>
        <w:lang w:val="en-US" w:eastAsia="en-US" w:bidi="ar-SA"/>
      </w:rPr>
    </w:lvl>
    <w:lvl w:ilvl="6">
      <w:start w:val="0"/>
      <w:numFmt w:val="bullet"/>
      <w:lvlText w:val="•"/>
      <w:lvlJc w:val="left"/>
      <w:pPr>
        <w:ind w:left="6484" w:hanging="245"/>
      </w:pPr>
      <w:rPr>
        <w:rFonts w:hint="default"/>
        <w:lang w:val="en-US" w:eastAsia="en-US" w:bidi="ar-SA"/>
      </w:rPr>
    </w:lvl>
    <w:lvl w:ilvl="7">
      <w:start w:val="0"/>
      <w:numFmt w:val="bullet"/>
      <w:lvlText w:val="•"/>
      <w:lvlJc w:val="left"/>
      <w:pPr>
        <w:ind w:left="7388" w:hanging="245"/>
      </w:pPr>
      <w:rPr>
        <w:rFonts w:hint="default"/>
        <w:lang w:val="en-US" w:eastAsia="en-US" w:bidi="ar-SA"/>
      </w:rPr>
    </w:lvl>
    <w:lvl w:ilvl="8">
      <w:start w:val="0"/>
      <w:numFmt w:val="bullet"/>
      <w:lvlText w:val="•"/>
      <w:lvlJc w:val="left"/>
      <w:pPr>
        <w:ind w:left="8292" w:hanging="245"/>
      </w:pPr>
      <w:rPr>
        <w:rFonts w:hint="default"/>
        <w:lang w:val="en-US" w:eastAsia="en-US" w:bidi="ar-SA"/>
      </w:rPr>
    </w:lvl>
  </w:abstractNum>
  <w:abstractNum w:abstractNumId="6">
    <w:multiLevelType w:val="hybridMultilevel"/>
    <w:lvl w:ilvl="0">
      <w:start w:val="1"/>
      <w:numFmt w:val="decimal"/>
      <w:lvlText w:val="%1."/>
      <w:lvlJc w:val="left"/>
      <w:pPr>
        <w:ind w:left="1178"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5">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4">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3">
    <w:multiLevelType w:val="hybridMultilevel"/>
    <w:lvl w:ilvl="0">
      <w:start w:val="1"/>
      <w:numFmt w:val="decimal"/>
      <w:lvlText w:val="%1."/>
      <w:lvlJc w:val="left"/>
      <w:pPr>
        <w:ind w:left="1180" w:hanging="361"/>
        <w:jc w:val="left"/>
      </w:pPr>
      <w:rPr>
        <w:rFonts w:hint="default"/>
        <w:spacing w:val="0"/>
        <w:w w:val="99"/>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072" w:hanging="361"/>
      </w:pPr>
      <w:rPr>
        <w:rFonts w:hint="default"/>
        <w:lang w:val="en-US" w:eastAsia="en-US" w:bidi="ar-SA"/>
      </w:rPr>
    </w:lvl>
    <w:lvl w:ilvl="2">
      <w:start w:val="0"/>
      <w:numFmt w:val="bullet"/>
      <w:lvlText w:val="•"/>
      <w:lvlJc w:val="left"/>
      <w:pPr>
        <w:ind w:left="2964" w:hanging="361"/>
      </w:pPr>
      <w:rPr>
        <w:rFonts w:hint="default"/>
        <w:lang w:val="en-US" w:eastAsia="en-US" w:bidi="ar-SA"/>
      </w:rPr>
    </w:lvl>
    <w:lvl w:ilvl="3">
      <w:start w:val="0"/>
      <w:numFmt w:val="bullet"/>
      <w:lvlText w:val="•"/>
      <w:lvlJc w:val="left"/>
      <w:pPr>
        <w:ind w:left="3856" w:hanging="361"/>
      </w:pPr>
      <w:rPr>
        <w:rFonts w:hint="default"/>
        <w:lang w:val="en-US" w:eastAsia="en-US" w:bidi="ar-SA"/>
      </w:rPr>
    </w:lvl>
    <w:lvl w:ilvl="4">
      <w:start w:val="0"/>
      <w:numFmt w:val="bullet"/>
      <w:lvlText w:val="•"/>
      <w:lvlJc w:val="left"/>
      <w:pPr>
        <w:ind w:left="4748" w:hanging="361"/>
      </w:pPr>
      <w:rPr>
        <w:rFonts w:hint="default"/>
        <w:lang w:val="en-US" w:eastAsia="en-US" w:bidi="ar-SA"/>
      </w:rPr>
    </w:lvl>
    <w:lvl w:ilvl="5">
      <w:start w:val="0"/>
      <w:numFmt w:val="bullet"/>
      <w:lvlText w:val="•"/>
      <w:lvlJc w:val="left"/>
      <w:pPr>
        <w:ind w:left="5640" w:hanging="361"/>
      </w:pPr>
      <w:rPr>
        <w:rFonts w:hint="default"/>
        <w:lang w:val="en-US" w:eastAsia="en-US" w:bidi="ar-SA"/>
      </w:rPr>
    </w:lvl>
    <w:lvl w:ilvl="6">
      <w:start w:val="0"/>
      <w:numFmt w:val="bullet"/>
      <w:lvlText w:val="•"/>
      <w:lvlJc w:val="left"/>
      <w:pPr>
        <w:ind w:left="6532" w:hanging="361"/>
      </w:pPr>
      <w:rPr>
        <w:rFonts w:hint="default"/>
        <w:lang w:val="en-US" w:eastAsia="en-US" w:bidi="ar-SA"/>
      </w:rPr>
    </w:lvl>
    <w:lvl w:ilvl="7">
      <w:start w:val="0"/>
      <w:numFmt w:val="bullet"/>
      <w:lvlText w:val="•"/>
      <w:lvlJc w:val="left"/>
      <w:pPr>
        <w:ind w:left="7424" w:hanging="361"/>
      </w:pPr>
      <w:rPr>
        <w:rFonts w:hint="default"/>
        <w:lang w:val="en-US" w:eastAsia="en-US" w:bidi="ar-SA"/>
      </w:rPr>
    </w:lvl>
    <w:lvl w:ilvl="8">
      <w:start w:val="0"/>
      <w:numFmt w:val="bullet"/>
      <w:lvlText w:val="•"/>
      <w:lvlJc w:val="left"/>
      <w:pPr>
        <w:ind w:left="8316" w:hanging="361"/>
      </w:pPr>
      <w:rPr>
        <w:rFonts w:hint="default"/>
        <w:lang w:val="en-US" w:eastAsia="en-US" w:bidi="ar-SA"/>
      </w:rPr>
    </w:lvl>
  </w:abstractNum>
  <w:abstractNum w:abstractNumId="0">
    <w:multiLevelType w:val="hybridMultilevel"/>
    <w:lvl w:ilvl="0">
      <w:start w:val="0"/>
      <w:numFmt w:val="bullet"/>
      <w:lvlText w:val=""/>
      <w:lvlJc w:val="left"/>
      <w:pPr>
        <w:ind w:left="1899" w:hanging="360"/>
      </w:pPr>
      <w:rPr>
        <w:rFonts w:hint="default" w:ascii="Symbol" w:hAnsi="Symbol" w:eastAsia="Symbol" w:cs="Symbol"/>
        <w:spacing w:val="0"/>
        <w:w w:val="100"/>
        <w:lang w:val="en-US" w:eastAsia="en-US" w:bidi="ar-SA"/>
      </w:rPr>
    </w:lvl>
    <w:lvl w:ilvl="1">
      <w:start w:val="0"/>
      <w:numFmt w:val="bullet"/>
      <w:lvlText w:val="•"/>
      <w:lvlJc w:val="left"/>
      <w:pPr>
        <w:ind w:left="2720" w:hanging="360"/>
      </w:pPr>
      <w:rPr>
        <w:rFonts w:hint="default"/>
        <w:lang w:val="en-US" w:eastAsia="en-US" w:bidi="ar-SA"/>
      </w:rPr>
    </w:lvl>
    <w:lvl w:ilvl="2">
      <w:start w:val="0"/>
      <w:numFmt w:val="bullet"/>
      <w:lvlText w:val="•"/>
      <w:lvlJc w:val="left"/>
      <w:pPr>
        <w:ind w:left="3540" w:hanging="360"/>
      </w:pPr>
      <w:rPr>
        <w:rFonts w:hint="default"/>
        <w:lang w:val="en-US" w:eastAsia="en-US" w:bidi="ar-SA"/>
      </w:rPr>
    </w:lvl>
    <w:lvl w:ilvl="3">
      <w:start w:val="0"/>
      <w:numFmt w:val="bullet"/>
      <w:lvlText w:val="•"/>
      <w:lvlJc w:val="left"/>
      <w:pPr>
        <w:ind w:left="4360" w:hanging="360"/>
      </w:pPr>
      <w:rPr>
        <w:rFonts w:hint="default"/>
        <w:lang w:val="en-US" w:eastAsia="en-US" w:bidi="ar-SA"/>
      </w:rPr>
    </w:lvl>
    <w:lvl w:ilvl="4">
      <w:start w:val="0"/>
      <w:numFmt w:val="bullet"/>
      <w:lvlText w:val="•"/>
      <w:lvlJc w:val="left"/>
      <w:pPr>
        <w:ind w:left="5180"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820" w:hanging="360"/>
      </w:pPr>
      <w:rPr>
        <w:rFonts w:hint="default"/>
        <w:lang w:val="en-US" w:eastAsia="en-US" w:bidi="ar-SA"/>
      </w:rPr>
    </w:lvl>
    <w:lvl w:ilvl="7">
      <w:start w:val="0"/>
      <w:numFmt w:val="bullet"/>
      <w:lvlText w:val="•"/>
      <w:lvlJc w:val="left"/>
      <w:pPr>
        <w:ind w:left="7640" w:hanging="360"/>
      </w:pPr>
      <w:rPr>
        <w:rFonts w:hint="default"/>
        <w:lang w:val="en-US" w:eastAsia="en-US" w:bidi="ar-SA"/>
      </w:rPr>
    </w:lvl>
    <w:lvl w:ilvl="8">
      <w:start w:val="0"/>
      <w:numFmt w:val="bullet"/>
      <w:lvlText w:val="•"/>
      <w:lvlJc w:val="left"/>
      <w:pPr>
        <w:ind w:left="8460" w:hanging="360"/>
      </w:pPr>
      <w:rPr>
        <w:rFonts w:hint="default"/>
        <w:lang w:val="en-US" w:eastAsia="en-US" w:bidi="ar-SA"/>
      </w:rPr>
    </w:lvl>
  </w:abstractNum>
  <w:num w:numId="2">
    <w:abstractNumId w:val="1"/>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44"/>
      <w:ind w:left="494"/>
      <w:outlineLvl w:val="1"/>
    </w:pPr>
    <w:rPr>
      <w:rFonts w:ascii="Arial Black" w:hAnsi="Arial Black" w:eastAsia="Arial Black" w:cs="Arial Black"/>
      <w:sz w:val="83"/>
      <w:szCs w:val="83"/>
      <w:lang w:val="en-US" w:eastAsia="en-US" w:bidi="ar-SA"/>
    </w:rPr>
  </w:style>
  <w:style w:styleId="Heading2" w:type="paragraph">
    <w:name w:val="Heading 2"/>
    <w:basedOn w:val="Normal"/>
    <w:uiPriority w:val="1"/>
    <w:qFormat/>
    <w:pPr>
      <w:spacing w:line="1062" w:lineRule="exact"/>
      <w:ind w:left="118"/>
      <w:outlineLvl w:val="2"/>
    </w:pPr>
    <w:rPr>
      <w:rFonts w:ascii="Arial Black" w:hAnsi="Arial Black" w:eastAsia="Arial Black" w:cs="Arial Black"/>
      <w:sz w:val="77"/>
      <w:szCs w:val="77"/>
      <w:lang w:val="en-US" w:eastAsia="en-US" w:bidi="ar-SA"/>
    </w:rPr>
  </w:style>
  <w:style w:styleId="Heading3" w:type="paragraph">
    <w:name w:val="Heading 3"/>
    <w:basedOn w:val="Normal"/>
    <w:uiPriority w:val="1"/>
    <w:qFormat/>
    <w:pPr>
      <w:outlineLvl w:val="3"/>
    </w:pPr>
    <w:rPr>
      <w:rFonts w:ascii="Verdana" w:hAnsi="Verdana" w:eastAsia="Verdana" w:cs="Verdana"/>
      <w:b/>
      <w:bCs/>
      <w:sz w:val="75"/>
      <w:szCs w:val="75"/>
      <w:lang w:val="en-US" w:eastAsia="en-US" w:bidi="ar-SA"/>
    </w:rPr>
  </w:style>
  <w:style w:styleId="Heading4" w:type="paragraph">
    <w:name w:val="Heading 4"/>
    <w:basedOn w:val="Normal"/>
    <w:uiPriority w:val="1"/>
    <w:qFormat/>
    <w:pPr>
      <w:outlineLvl w:val="4"/>
    </w:pPr>
    <w:rPr>
      <w:rFonts w:ascii="Arial Black" w:hAnsi="Arial Black" w:eastAsia="Arial Black" w:cs="Arial Black"/>
      <w:sz w:val="75"/>
      <w:szCs w:val="75"/>
      <w:lang w:val="en-US" w:eastAsia="en-US" w:bidi="ar-SA"/>
    </w:rPr>
  </w:style>
  <w:style w:styleId="Heading5" w:type="paragraph">
    <w:name w:val="Heading 5"/>
    <w:basedOn w:val="Normal"/>
    <w:uiPriority w:val="1"/>
    <w:qFormat/>
    <w:pPr>
      <w:spacing w:before="66"/>
      <w:ind w:left="474" w:right="459"/>
      <w:outlineLvl w:val="5"/>
    </w:pPr>
    <w:rPr>
      <w:rFonts w:ascii="Verdana" w:hAnsi="Verdana" w:eastAsia="Verdana" w:cs="Verdana"/>
      <w:b/>
      <w:bCs/>
      <w:sz w:val="74"/>
      <w:szCs w:val="74"/>
      <w:lang w:val="en-US" w:eastAsia="en-US" w:bidi="ar-SA"/>
    </w:rPr>
  </w:style>
  <w:style w:styleId="Heading6" w:type="paragraph">
    <w:name w:val="Heading 6"/>
    <w:basedOn w:val="Normal"/>
    <w:uiPriority w:val="1"/>
    <w:qFormat/>
    <w:pPr>
      <w:ind w:right="286"/>
      <w:jc w:val="center"/>
      <w:outlineLvl w:val="6"/>
    </w:pPr>
    <w:rPr>
      <w:rFonts w:ascii="Verdana" w:hAnsi="Verdana" w:eastAsia="Verdana" w:cs="Verdana"/>
      <w:b/>
      <w:bCs/>
      <w:sz w:val="61"/>
      <w:szCs w:val="61"/>
      <w:lang w:val="en-US" w:eastAsia="en-US" w:bidi="ar-SA"/>
    </w:rPr>
  </w:style>
  <w:style w:styleId="Heading7" w:type="paragraph">
    <w:name w:val="Heading 7"/>
    <w:basedOn w:val="Normal"/>
    <w:uiPriority w:val="1"/>
    <w:qFormat/>
    <w:pPr>
      <w:ind w:left="483"/>
      <w:outlineLvl w:val="7"/>
    </w:pPr>
    <w:rPr>
      <w:rFonts w:ascii="Calibri" w:hAnsi="Calibri" w:eastAsia="Calibri" w:cs="Calibri"/>
      <w:sz w:val="40"/>
      <w:szCs w:val="40"/>
      <w:lang w:val="en-US" w:eastAsia="en-US" w:bidi="ar-SA"/>
    </w:rPr>
  </w:style>
  <w:style w:styleId="Heading8" w:type="paragraph">
    <w:name w:val="Heading 8"/>
    <w:basedOn w:val="Normal"/>
    <w:uiPriority w:val="1"/>
    <w:qFormat/>
    <w:pPr>
      <w:ind w:left="464"/>
      <w:outlineLvl w:val="8"/>
    </w:pPr>
    <w:rPr>
      <w:rFonts w:ascii="Calibri" w:hAnsi="Calibri" w:eastAsia="Calibri" w:cs="Calibri"/>
      <w:sz w:val="36"/>
      <w:szCs w:val="36"/>
      <w:lang w:val="en-US" w:eastAsia="en-US" w:bidi="ar-SA"/>
    </w:rPr>
  </w:style>
  <w:style w:styleId="Heading9" w:type="paragraph">
    <w:name w:val="Heading 9"/>
    <w:basedOn w:val="Normal"/>
    <w:uiPriority w:val="1"/>
    <w:qFormat/>
    <w:pPr>
      <w:spacing w:before="107"/>
      <w:ind w:left="323"/>
      <w:jc w:val="both"/>
      <w:outlineLvl w:val="9"/>
    </w:pPr>
    <w:rPr>
      <w:rFonts w:ascii="Calibri" w:hAnsi="Calibri" w:eastAsia="Calibri" w:cs="Calibri"/>
      <w:b/>
      <w:bCs/>
      <w:i/>
      <w:iCs/>
      <w:sz w:val="34"/>
      <w:szCs w:val="34"/>
      <w:lang w:val="en-US" w:eastAsia="en-US" w:bidi="ar-SA"/>
    </w:rPr>
  </w:style>
  <w:style w:styleId="ListParagraph" w:type="paragraph">
    <w:name w:val="List Paragraph"/>
    <w:basedOn w:val="Normal"/>
    <w:uiPriority w:val="1"/>
    <w:qFormat/>
    <w:pPr>
      <w:ind w:left="483" w:hanging="36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mass.gov/annual-recommendations" TargetMode="External"/><Relationship Id="rId9" Type="http://schemas.openxmlformats.org/officeDocument/2006/relationships/hyperlink" Target="mailto:commission@ma-lgbtq.org" TargetMode="External"/><Relationship Id="rId10" Type="http://schemas.openxmlformats.org/officeDocument/2006/relationships/footer" Target="footer1.xml"/><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header" Target="header5.xml"/><Relationship Id="rId21" Type="http://schemas.openxmlformats.org/officeDocument/2006/relationships/footer" Target="footer6.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header" Target="header7.xml"/><Relationship Id="rId25" Type="http://schemas.openxmlformats.org/officeDocument/2006/relationships/footer" Target="footer8.xml"/><Relationship Id="rId26" Type="http://schemas.openxmlformats.org/officeDocument/2006/relationships/header" Target="header8.xml"/><Relationship Id="rId27" Type="http://schemas.openxmlformats.org/officeDocument/2006/relationships/footer" Target="footer9.xml"/><Relationship Id="rId28" Type="http://schemas.openxmlformats.org/officeDocument/2006/relationships/header" Target="header9.xml"/><Relationship Id="rId29" Type="http://schemas.openxmlformats.org/officeDocument/2006/relationships/footer" Target="footer10.xml"/><Relationship Id="rId30" Type="http://schemas.openxmlformats.org/officeDocument/2006/relationships/header" Target="header10.xml"/><Relationship Id="rId31" Type="http://schemas.openxmlformats.org/officeDocument/2006/relationships/footer" Target="footer11.xml"/><Relationship Id="rId32" Type="http://schemas.openxmlformats.org/officeDocument/2006/relationships/header" Target="header11.xml"/><Relationship Id="rId33" Type="http://schemas.openxmlformats.org/officeDocument/2006/relationships/footer" Target="footer12.xml"/><Relationship Id="rId34" Type="http://schemas.openxmlformats.org/officeDocument/2006/relationships/header" Target="header12.xml"/><Relationship Id="rId35" Type="http://schemas.openxmlformats.org/officeDocument/2006/relationships/footer" Target="footer13.xml"/><Relationship Id="rId36" Type="http://schemas.openxmlformats.org/officeDocument/2006/relationships/header" Target="header13.xml"/><Relationship Id="rId37" Type="http://schemas.openxmlformats.org/officeDocument/2006/relationships/footer" Target="footer14.xml"/><Relationship Id="rId38" Type="http://schemas.openxmlformats.org/officeDocument/2006/relationships/header" Target="header14.xml"/><Relationship Id="rId39" Type="http://schemas.openxmlformats.org/officeDocument/2006/relationships/footer" Target="footer15.xml"/><Relationship Id="rId40" Type="http://schemas.openxmlformats.org/officeDocument/2006/relationships/header" Target="header15.xml"/><Relationship Id="rId41" Type="http://schemas.openxmlformats.org/officeDocument/2006/relationships/footer" Target="footer16.xml"/><Relationship Id="rId42" Type="http://schemas.openxmlformats.org/officeDocument/2006/relationships/header" Target="header16.xml"/><Relationship Id="rId43" Type="http://schemas.openxmlformats.org/officeDocument/2006/relationships/footer" Target="footer17.xml"/><Relationship Id="rId44" Type="http://schemas.openxmlformats.org/officeDocument/2006/relationships/header" Target="header17.xml"/><Relationship Id="rId45" Type="http://schemas.openxmlformats.org/officeDocument/2006/relationships/footer" Target="footer18.xml"/><Relationship Id="rId46" Type="http://schemas.openxmlformats.org/officeDocument/2006/relationships/header" Target="header18.xml"/><Relationship Id="rId47" Type="http://schemas.openxmlformats.org/officeDocument/2006/relationships/footer" Target="footer19.xml"/><Relationship Id="rId48" Type="http://schemas.openxmlformats.org/officeDocument/2006/relationships/hyperlink" Target="https://malegislature.gov/Bills/192/H3954" TargetMode="External"/><Relationship Id="rId49" Type="http://schemas.openxmlformats.org/officeDocument/2006/relationships/hyperlink" Target="https://malegislature.gov/Bills/193/S65" TargetMode="External"/><Relationship Id="rId50" Type="http://schemas.openxmlformats.org/officeDocument/2006/relationships/hyperlink" Target="https://malegislature.gov/Bills/193/H157" TargetMode="External"/><Relationship Id="rId51" Type="http://schemas.openxmlformats.org/officeDocument/2006/relationships/hyperlink" Target="https://malegislature.gov/Bills/193/SD1088" TargetMode="External"/><Relationship Id="rId52" Type="http://schemas.openxmlformats.org/officeDocument/2006/relationships/hyperlink" Target="https://malegislature.gov/Bills/193/H1713" TargetMode="External"/><Relationship Id="rId53" Type="http://schemas.openxmlformats.org/officeDocument/2006/relationships/hyperlink" Target="https://malegislature.gov/Bills/193/S66" TargetMode="External"/><Relationship Id="rId54" Type="http://schemas.openxmlformats.org/officeDocument/2006/relationships/hyperlink" Target="https://malegislature.gov/Bills/193/HD1429" TargetMode="External"/><Relationship Id="rId55" Type="http://schemas.openxmlformats.org/officeDocument/2006/relationships/hyperlink" Target="https://malegislature.gov/Bills/193/S78/BillHistory" TargetMode="External"/><Relationship Id="rId56" Type="http://schemas.openxmlformats.org/officeDocument/2006/relationships/hyperlink" Target="https://malegislature.gov/Bills/193/S68" TargetMode="External"/><Relationship Id="rId57" Type="http://schemas.openxmlformats.org/officeDocument/2006/relationships/hyperlink" Target="https://malegislature.gov/Bills/193/H164" TargetMode="External"/><Relationship Id="rId58" Type="http://schemas.openxmlformats.org/officeDocument/2006/relationships/image" Target="media/image5.jpeg"/><Relationship Id="rId59" Type="http://schemas.openxmlformats.org/officeDocument/2006/relationships/header" Target="header19.xml"/><Relationship Id="rId60" Type="http://schemas.openxmlformats.org/officeDocument/2006/relationships/footer" Target="footer20.xml"/><Relationship Id="rId61" Type="http://schemas.openxmlformats.org/officeDocument/2006/relationships/hyperlink" Target="https://malegislature.gov/Laws/GeneralLaws/PartII/TitleIII/Chapter207/Section7" TargetMode="External"/><Relationship Id="rId62" Type="http://schemas.openxmlformats.org/officeDocument/2006/relationships/image" Target="media/image6.jpeg"/><Relationship Id="rId63" Type="http://schemas.openxmlformats.org/officeDocument/2006/relationships/header" Target="header20.xml"/><Relationship Id="rId64" Type="http://schemas.openxmlformats.org/officeDocument/2006/relationships/footer" Target="footer21.xml"/><Relationship Id="rId65" Type="http://schemas.openxmlformats.org/officeDocument/2006/relationships/hyperlink" Target="https://friendsofchildreninc.org/child-welfare-oversight-myths/" TargetMode="External"/><Relationship Id="rId66" Type="http://schemas.openxmlformats.org/officeDocument/2006/relationships/hyperlink" Target="https://docs.google.com/document/d/1UcEU8Y6eldxBguk7XRQkxMK0vcPJf9kB/edit#heading%3Dh.28h4qwu" TargetMode="External"/><Relationship Id="rId67" Type="http://schemas.openxmlformats.org/officeDocument/2006/relationships/hyperlink" Target="https://docs.google.com/document/d/1UcEU8Y6eldxBguk7XRQkxMK0vcPJf9kB/edit#heading%3Dh.nmf14n" TargetMode="External"/><Relationship Id="rId68" Type="http://schemas.openxmlformats.org/officeDocument/2006/relationships/hyperlink" Target="https://www.zotero.org/google-docs/?Ss1PY8" TargetMode="External"/><Relationship Id="rId69" Type="http://schemas.openxmlformats.org/officeDocument/2006/relationships/hyperlink" Target="https://nycfuture.org/research/basic-income-for-transition-age-foster-youth" TargetMode="External"/><Relationship Id="rId70" Type="http://schemas.openxmlformats.org/officeDocument/2006/relationships/hyperlink" Target="http://www.childwelfare.gov/pubPDFs/div-x/product7-direct-financial-assistance.pdf" TargetMode="External"/><Relationship Id="rId71" Type="http://schemas.openxmlformats.org/officeDocument/2006/relationships/hyperlink" Target="http://www.themarshallproject.org/2021/05/17/these-states-take-money-meant-for-foster-children" TargetMode="External"/><Relationship Id="rId72" Type="http://schemas.openxmlformats.org/officeDocument/2006/relationships/hyperlink" Target="http://www.npr.org/2021/04/22/988806806/state-foster-care-agencies-take-millions-of-dollars-owed-to-children-in-their-ca" TargetMode="External"/><Relationship Id="rId73" Type="http://schemas.openxmlformats.org/officeDocument/2006/relationships/hyperlink" Target="http://www.glad.org/mpa-overview/" TargetMode="External"/><Relationship Id="rId74" Type="http://schemas.openxmlformats.org/officeDocument/2006/relationships/hyperlink" Target="https://www.zotero.org/google-docs/?qu2vFq" TargetMode="External"/><Relationship Id="rId75" Type="http://schemas.openxmlformats.org/officeDocument/2006/relationships/hyperlink" Target="https://www.zotero.org/google-docs/?R8ZSPG" TargetMode="External"/><Relationship Id="rId76" Type="http://schemas.openxmlformats.org/officeDocument/2006/relationships/hyperlink" Target="https://www.zotero.org/google-docs/?OZMUVT" TargetMode="External"/><Relationship Id="rId77" Type="http://schemas.openxmlformats.org/officeDocument/2006/relationships/hyperlink" Target="http://www.ohchr.org/en/instruments-" TargetMode="External"/><Relationship Id="rId78" Type="http://schemas.openxmlformats.org/officeDocument/2006/relationships/hyperlink" Target="https://www.zotero.org/google-docs/?tdiEB6" TargetMode="External"/><Relationship Id="rId79" Type="http://schemas.openxmlformats.org/officeDocument/2006/relationships/hyperlink" Target="https://www.zotero.org/google-docs/?NNpBpm" TargetMode="External"/><Relationship Id="rId80" Type="http://schemas.openxmlformats.org/officeDocument/2006/relationships/hyperlink" Target="https://www.zotero.org/google-docs/?uPJj8h" TargetMode="External"/><Relationship Id="rId81" Type="http://schemas.openxmlformats.org/officeDocument/2006/relationships/hyperlink" Target="https://www.zotero.org/google-docs/?bqqAOu" TargetMode="External"/><Relationship Id="rId82" Type="http://schemas.openxmlformats.org/officeDocument/2006/relationships/hyperlink" Target="https://www.zotero.org/google-docs/?j0AacR" TargetMode="External"/><Relationship Id="rId83" Type="http://schemas.openxmlformats.org/officeDocument/2006/relationships/hyperlink" Target="https://www.zotero.org/google-docs/?54iKTD" TargetMode="External"/><Relationship Id="rId84" Type="http://schemas.openxmlformats.org/officeDocument/2006/relationships/hyperlink" Target="https://www.zotero.org/google-docs/?XocvTS" TargetMode="External"/><Relationship Id="rId85" Type="http://schemas.openxmlformats.org/officeDocument/2006/relationships/hyperlink" Target="https://www.zotero.org/google-docs/?ubJ4oC" TargetMode="External"/><Relationship Id="rId86" Type="http://schemas.openxmlformats.org/officeDocument/2006/relationships/hyperlink" Target="https://www.zotero.org/google-docs/?jBPUHJ" TargetMode="External"/><Relationship Id="rId87" Type="http://schemas.openxmlformats.org/officeDocument/2006/relationships/hyperlink" Target="https://www.zotero.org/google-docs/?oMA58k" TargetMode="External"/><Relationship Id="rId88" Type="http://schemas.openxmlformats.org/officeDocument/2006/relationships/hyperlink" Target="https://www.zotero.org/google-docs/?sm0djm" TargetMode="External"/><Relationship Id="rId89" Type="http://schemas.openxmlformats.org/officeDocument/2006/relationships/hyperlink" Target="https://www.zotero.org/google-docs/?rieokJ" TargetMode="External"/><Relationship Id="rId90" Type="http://schemas.openxmlformats.org/officeDocument/2006/relationships/hyperlink" Target="https://www.zotero.org/google-docs/?cp5FaT" TargetMode="External"/><Relationship Id="rId91" Type="http://schemas.openxmlformats.org/officeDocument/2006/relationships/hyperlink" Target="https://www.zotero.org/google-docs/?VbP7s2" TargetMode="External"/><Relationship Id="rId92" Type="http://schemas.openxmlformats.org/officeDocument/2006/relationships/hyperlink" Target="https://www.zotero.org/google-docs/?XtZHp1" TargetMode="External"/><Relationship Id="rId93" Type="http://schemas.openxmlformats.org/officeDocument/2006/relationships/hyperlink" Target="https://www.zotero.org/google-docs/?cChUxE" TargetMode="External"/><Relationship Id="rId94" Type="http://schemas.openxmlformats.org/officeDocument/2006/relationships/hyperlink" Target="http://www.mass.gov/doc/quarter-2/download" TargetMode="External"/><Relationship Id="rId95" Type="http://schemas.openxmlformats.org/officeDocument/2006/relationships/header" Target="header21.xml"/><Relationship Id="rId96" Type="http://schemas.openxmlformats.org/officeDocument/2006/relationships/footer" Target="footer22.xml"/><Relationship Id="rId97" Type="http://schemas.openxmlformats.org/officeDocument/2006/relationships/image" Target="media/image7.png"/><Relationship Id="rId98" Type="http://schemas.openxmlformats.org/officeDocument/2006/relationships/image" Target="media/image8.png"/><Relationship Id="rId99" Type="http://schemas.openxmlformats.org/officeDocument/2006/relationships/image" Target="media/image9.png"/><Relationship Id="rId100" Type="http://schemas.openxmlformats.org/officeDocument/2006/relationships/image" Target="media/image10.png"/><Relationship Id="rId101" Type="http://schemas.openxmlformats.org/officeDocument/2006/relationships/header" Target="header22.xml"/><Relationship Id="rId102" Type="http://schemas.openxmlformats.org/officeDocument/2006/relationships/footer" Target="footer23.xml"/><Relationship Id="rId103" Type="http://schemas.openxmlformats.org/officeDocument/2006/relationships/image" Target="media/image11.jpeg"/><Relationship Id="rId104" Type="http://schemas.openxmlformats.org/officeDocument/2006/relationships/image" Target="media/image12.jpeg"/><Relationship Id="rId105" Type="http://schemas.openxmlformats.org/officeDocument/2006/relationships/image" Target="media/image13.jpeg"/><Relationship Id="rId106" Type="http://schemas.openxmlformats.org/officeDocument/2006/relationships/image" Target="media/image14.jpeg"/><Relationship Id="rId107" Type="http://schemas.openxmlformats.org/officeDocument/2006/relationships/image" Target="media/image15.jpeg"/><Relationship Id="rId108" Type="http://schemas.openxmlformats.org/officeDocument/2006/relationships/hyperlink" Target="http://www.glsen.org/sites/default/files/2022-10/NSCS-2021-Full-Report.pdf" TargetMode="External"/><Relationship Id="rId109" Type="http://schemas.openxmlformats.org/officeDocument/2006/relationships/hyperlink" Target="http://www.doe.mass.edu/sfs/lgbtq/LawsInfo.html" TargetMode="External"/><Relationship Id="rId110" Type="http://schemas.openxmlformats.org/officeDocument/2006/relationships/hyperlink" Target="http://www.doe.mass.edu/sfs/lgbtq/Principles-SafeEnvironment.html" TargetMode="External"/><Relationship Id="rId111" Type="http://schemas.openxmlformats.org/officeDocument/2006/relationships/hyperlink" Target="http://www.wgbh.org/news/education-news/2024-01-17/pembroke-schools-reject-effort-that-would-ban-pride-flags" TargetMode="External"/><Relationship Id="rId112" Type="http://schemas.openxmlformats.org/officeDocument/2006/relationships/hyperlink" Target="http://www.bostonglobe.com/2024/01/17/metro/banned-books-charts/" TargetMode="External"/><Relationship Id="rId113" Type="http://schemas.openxmlformats.org/officeDocument/2006/relationships/hyperlink" Target="http://www.berkshireeagle.com/breaking/gender-" TargetMode="External"/><Relationship Id="rId114" Type="http://schemas.openxmlformats.org/officeDocument/2006/relationships/hyperlink" Target="http://www.nea.org/about-nea/media-center/press-releases/new-" TargetMode="External"/><Relationship Id="rId115" Type="http://schemas.openxmlformats.org/officeDocument/2006/relationships/hyperlink" Target="http://www.cdc.gov/healthyyouth/safe-supportive-environments/LGBTQ-policies-practices.htm" TargetMode="External"/><Relationship Id="rId116" Type="http://schemas.openxmlformats.org/officeDocument/2006/relationships/hyperlink" Target="http://www.glsen.org/sites/default/files/2020-06/Erasure-" TargetMode="External"/><Relationship Id="rId117" Type="http://schemas.openxmlformats.org/officeDocument/2006/relationships/hyperlink" Target="http://www.glsen.org/sites/default/files/2020-06/Erasure-and-Resilience-Native-2020.pdf" TargetMode="External"/><Relationship Id="rId118" Type="http://schemas.openxmlformats.org/officeDocument/2006/relationships/hyperlink" Target="http://www.aclu.org/legislative-attacks-on-lgbtq-rights-2024" TargetMode="External"/><Relationship Id="rId119" Type="http://schemas.openxmlformats.org/officeDocument/2006/relationships/hyperlink" Target="http://www.mayoclinic.org/healthy-lifestyle/childrens-health/in-depth/children-and-gender-identity/art-20266811" TargetMode="External"/><Relationship Id="rId120" Type="http://schemas.openxmlformats.org/officeDocument/2006/relationships/header" Target="header23.xml"/><Relationship Id="rId121" Type="http://schemas.openxmlformats.org/officeDocument/2006/relationships/footer" Target="footer24.xml"/><Relationship Id="rId122" Type="http://schemas.openxmlformats.org/officeDocument/2006/relationships/image" Target="media/image16.png"/><Relationship Id="rId123" Type="http://schemas.openxmlformats.org/officeDocument/2006/relationships/image" Target="media/image17.png"/><Relationship Id="rId124" Type="http://schemas.openxmlformats.org/officeDocument/2006/relationships/image" Target="media/image18.png"/><Relationship Id="rId125" Type="http://schemas.openxmlformats.org/officeDocument/2006/relationships/header" Target="header24.xml"/><Relationship Id="rId126" Type="http://schemas.openxmlformats.org/officeDocument/2006/relationships/footer" Target="footer25.xml"/><Relationship Id="rId127" Type="http://schemas.openxmlformats.org/officeDocument/2006/relationships/hyperlink" Target="https://malegislature.gov/Bills/193/SD430" TargetMode="External"/><Relationship Id="rId128" Type="http://schemas.openxmlformats.org/officeDocument/2006/relationships/hyperlink" Target="https://malegislature.gov/Bills/193/H1981" TargetMode="External"/><Relationship Id="rId129" Type="http://schemas.openxmlformats.org/officeDocument/2006/relationships/image" Target="media/image19.jpeg"/><Relationship Id="rId130" Type="http://schemas.openxmlformats.org/officeDocument/2006/relationships/hyperlink" Target="https://malegislature.gov/Bills/193/SD2199" TargetMode="External"/><Relationship Id="rId131" Type="http://schemas.openxmlformats.org/officeDocument/2006/relationships/hyperlink" Target="https://malegislature.gov/Bills/193/HD3874" TargetMode="External"/><Relationship Id="rId132" Type="http://schemas.openxmlformats.org/officeDocument/2006/relationships/image" Target="media/image20.jpeg"/><Relationship Id="rId133" Type="http://schemas.openxmlformats.org/officeDocument/2006/relationships/image" Target="media/image21.jpeg"/><Relationship Id="rId134" Type="http://schemas.openxmlformats.org/officeDocument/2006/relationships/image" Target="media/image22.jpeg"/><Relationship Id="rId135" Type="http://schemas.openxmlformats.org/officeDocument/2006/relationships/image" Target="media/image23.jpeg"/><Relationship Id="rId136" Type="http://schemas.openxmlformats.org/officeDocument/2006/relationships/image" Target="media/image24.jpeg"/><Relationship Id="rId137" Type="http://schemas.openxmlformats.org/officeDocument/2006/relationships/hyperlink" Target="https://malegislature.gov/Laws/GeneralLaws/PartIV/TitleI/Chapter265/Section23" TargetMode="External"/><Relationship Id="rId138" Type="http://schemas.openxmlformats.org/officeDocument/2006/relationships/header" Target="header25.xml"/><Relationship Id="rId139" Type="http://schemas.openxmlformats.org/officeDocument/2006/relationships/footer" Target="footer26.xml"/><Relationship Id="rId140" Type="http://schemas.openxmlformats.org/officeDocument/2006/relationships/header" Target="header26.xml"/><Relationship Id="rId141" Type="http://schemas.openxmlformats.org/officeDocument/2006/relationships/footer" Target="footer27.xml"/><Relationship Id="rId142" Type="http://schemas.openxmlformats.org/officeDocument/2006/relationships/hyperlink" Target="http://www.wbur.org/news/2022/07/29/massachusetts-supervised-drug-site-somerville-plan" TargetMode="External"/><Relationship Id="rId143" Type="http://schemas.openxmlformats.org/officeDocument/2006/relationships/hyperlink" Target="http://www.acha.org/HealthyCampus/HealthyCampus/Ecological_Model.aspx" TargetMode="External"/><Relationship Id="rId144" Type="http://schemas.openxmlformats.org/officeDocument/2006/relationships/hyperlink" Target="http://assets2.hrc.org/files/assets/resources/HRC_ACAF_SOGIE_Data_Collection_Guide.pdf" TargetMode="External"/><Relationship Id="rId145" Type="http://schemas.openxmlformats.org/officeDocument/2006/relationships/hyperlink" Target="http://www.lgbtqiahealtheducation.org/publication/ready-set-go-a-guide-for-collecting-data-on-sexual-" TargetMode="External"/><Relationship Id="rId146" Type="http://schemas.openxmlformats.org/officeDocument/2006/relationships/hyperlink" Target="http://www.cdc.gov/violenceprevention/intimatepartnerviolence/teendatingviolence/fastfact.html" TargetMode="External"/><Relationship Id="rId147" Type="http://schemas.openxmlformats.org/officeDocument/2006/relationships/hyperlink" Target="http://www.acha.org/documents/ncha/NCHA-" TargetMode="External"/><Relationship Id="rId148" Type="http://schemas.openxmlformats.org/officeDocument/2006/relationships/hyperlink" Target="http://www.thehotline.org/resources/types-of-abuse/" TargetMode="External"/><Relationship Id="rId149" Type="http://schemas.openxmlformats.org/officeDocument/2006/relationships/hyperlink" Target="http://www.healthyyouthact.org/" TargetMode="External"/><Relationship Id="rId150" Type="http://schemas.openxmlformats.org/officeDocument/2006/relationships/hyperlink" Target="http://www.tnlr.org/wp-content/uploads/CNA-w-cover-Final.pdf" TargetMode="External"/><Relationship Id="rId151" Type="http://schemas.openxmlformats.org/officeDocument/2006/relationships/hyperlink" Target="http://www.cdc.gov/std/life-stages-populations/adolescents-youngadults.htm" TargetMode="External"/><Relationship Id="rId152" Type="http://schemas.openxmlformats.org/officeDocument/2006/relationships/hyperlink" Target="http://www.urban.org/research/publication/access-safety-health-outcomes-substance-use-and-abuse-and-service-" TargetMode="External"/><Relationship Id="rId153" Type="http://schemas.openxmlformats.org/officeDocument/2006/relationships/hyperlink" Target="http://www.guttmacher.org/state-" TargetMode="External"/><Relationship Id="rId154" Type="http://schemas.openxmlformats.org/officeDocument/2006/relationships/hyperlink" Target="http://www.cdc.gov/violenceprevention/youthviolence/bullyingresearch/fastfact.html" TargetMode="External"/><Relationship Id="rId155" Type="http://schemas.openxmlformats.org/officeDocument/2006/relationships/hyperlink" Target="http://www.glsen.org/sites/default/files/2021-01/Massachusetts-Snapshot-2019_1.pdf" TargetMode="External"/><Relationship Id="rId156" Type="http://schemas.openxmlformats.org/officeDocument/2006/relationships/hyperlink" Target="http://www.glsen.org/sites/default/files/2022-" TargetMode="External"/><Relationship Id="rId157" Type="http://schemas.openxmlformats.org/officeDocument/2006/relationships/hyperlink" Target="http://www.thetrevorproject.org/wp-content/uploads/2021/05/The-Trevor-Project-National-Survey-Results-2021.pdf" TargetMode="External"/><Relationship Id="rId158" Type="http://schemas.openxmlformats.org/officeDocument/2006/relationships/hyperlink" Target="http://www.doe.mass.edu/sfs/lgbtq/" TargetMode="External"/><Relationship Id="rId159" Type="http://schemas.openxmlformats.org/officeDocument/2006/relationships/hyperlink" Target="http://www.mass.gov/doc/opioid-related-overdose-deaths-" TargetMode="External"/><Relationship Id="rId160" Type="http://schemas.openxmlformats.org/officeDocument/2006/relationships/hyperlink" Target="http://www.mass.gov/doc/results-" TargetMode="External"/><Relationship Id="rId161" Type="http://schemas.openxmlformats.org/officeDocument/2006/relationships/hyperlink" Target="http://www.hivlawandpolicy.org/sites/default/files/Syringe%20Access%20LGBT%20Fact%20Sheet.pdf" TargetMode="External"/><Relationship Id="rId162" Type="http://schemas.openxmlformats.org/officeDocument/2006/relationships/hyperlink" Target="https://harmreduction.org/issues/establishing-rural-programs/" TargetMode="External"/><Relationship Id="rId163" Type="http://schemas.openxmlformats.org/officeDocument/2006/relationships/hyperlink" Target="http://www.mass.gov/info-" TargetMode="External"/><Relationship Id="rId164" Type="http://schemas.openxmlformats.org/officeDocument/2006/relationships/hyperlink" Target="http://www.justice.gov/criminal-" TargetMode="External"/><Relationship Id="rId165" Type="http://schemas.openxmlformats.org/officeDocument/2006/relationships/hyperlink" Target="http://www.lgbtqiahealtheducation.org/wp-content/uploads/2021/09/Supporting-LGBTQIA-Youth-Who-Have-" TargetMode="External"/><Relationship Id="rId166" Type="http://schemas.openxmlformats.org/officeDocument/2006/relationships/hyperlink" Target="http://www.thehallsboston.com/" TargetMode="External"/><Relationship Id="rId167" Type="http://schemas.openxmlformats.org/officeDocument/2006/relationships/hyperlink" Target="http://www.advocatesforyouth.org/" TargetMode="External"/><Relationship Id="rId168" Type="http://schemas.openxmlformats.org/officeDocument/2006/relationships/hyperlink" Target="http://www.winthropcasa.org/" TargetMode="External"/><Relationship Id="rId169" Type="http://schemas.openxmlformats.org/officeDocument/2006/relationships/header" Target="header27.xml"/><Relationship Id="rId170" Type="http://schemas.openxmlformats.org/officeDocument/2006/relationships/footer" Target="footer28.xml"/><Relationship Id="rId171" Type="http://schemas.openxmlformats.org/officeDocument/2006/relationships/image" Target="media/image25.png"/><Relationship Id="rId172" Type="http://schemas.openxmlformats.org/officeDocument/2006/relationships/image" Target="media/image26.png"/><Relationship Id="rId173" Type="http://schemas.openxmlformats.org/officeDocument/2006/relationships/image" Target="media/image27.png"/><Relationship Id="rId174" Type="http://schemas.openxmlformats.org/officeDocument/2006/relationships/header" Target="header28.xml"/><Relationship Id="rId175" Type="http://schemas.openxmlformats.org/officeDocument/2006/relationships/footer" Target="footer29.xml"/><Relationship Id="rId176" Type="http://schemas.openxmlformats.org/officeDocument/2006/relationships/image" Target="media/image28.jpeg"/><Relationship Id="rId177" Type="http://schemas.openxmlformats.org/officeDocument/2006/relationships/image" Target="media/image29.jpeg"/><Relationship Id="rId178" Type="http://schemas.openxmlformats.org/officeDocument/2006/relationships/image" Target="media/image30.jpeg"/><Relationship Id="rId179" Type="http://schemas.openxmlformats.org/officeDocument/2006/relationships/image" Target="media/image31.jpeg"/><Relationship Id="rId180" Type="http://schemas.openxmlformats.org/officeDocument/2006/relationships/image" Target="media/image32.jpeg"/><Relationship Id="rId181" Type="http://schemas.openxmlformats.org/officeDocument/2006/relationships/image" Target="media/image33.jpeg"/><Relationship Id="rId182" Type="http://schemas.openxmlformats.org/officeDocument/2006/relationships/image" Target="media/image34.jpeg"/><Relationship Id="rId183" Type="http://schemas.openxmlformats.org/officeDocument/2006/relationships/image" Target="media/image35.jpeg"/><Relationship Id="rId184" Type="http://schemas.openxmlformats.org/officeDocument/2006/relationships/image" Target="media/image36.png"/><Relationship Id="rId185" Type="http://schemas.openxmlformats.org/officeDocument/2006/relationships/image" Target="media/image37.jpeg"/><Relationship Id="rId186" Type="http://schemas.openxmlformats.org/officeDocument/2006/relationships/image" Target="media/image38.png"/><Relationship Id="rId187" Type="http://schemas.openxmlformats.org/officeDocument/2006/relationships/image" Target="media/image39.png"/><Relationship Id="rId188" Type="http://schemas.openxmlformats.org/officeDocument/2006/relationships/image" Target="media/image40.png"/><Relationship Id="rId189" Type="http://schemas.openxmlformats.org/officeDocument/2006/relationships/image" Target="media/image41.jpeg"/><Relationship Id="rId190" Type="http://schemas.openxmlformats.org/officeDocument/2006/relationships/image" Target="media/image42.jpeg"/><Relationship Id="rId191" Type="http://schemas.openxmlformats.org/officeDocument/2006/relationships/image" Target="media/image43.jpeg"/><Relationship Id="rId192" Type="http://schemas.openxmlformats.org/officeDocument/2006/relationships/hyperlink" Target="https://doi.org/10.1016/j.jaac.2016.12.015" TargetMode="External"/><Relationship Id="rId193" Type="http://schemas.openxmlformats.org/officeDocument/2006/relationships/hyperlink" Target="https://www.thetrevorproject.org/survey-2022/assets/static/trevor01_2022survey_final.pdf" TargetMode="External"/><Relationship Id="rId194" Type="http://schemas.openxmlformats.org/officeDocument/2006/relationships/hyperlink" Target="https://www.thetrevorproject.org/wp-content/uploads/2022/12/The-Trevor-Project-2022-National-Survey-on-LGBTQ-Youth-Mental-Health-by-State-Massachusetts.pdf" TargetMode="External"/><Relationship Id="rId195" Type="http://schemas.openxmlformats.org/officeDocument/2006/relationships/hyperlink" Target="https://www.thetrevorproject.org/research-briefs/trauma-and-suicide-risk-among-lgbtq-youth-july-2022/" TargetMode="External"/><Relationship Id="rId196" Type="http://schemas.openxmlformats.org/officeDocument/2006/relationships/hyperlink" Target="https://www.census.gov/library/stories/2022/12/lgbt-adults-report-anxiety-depression-at-all-ages.html" TargetMode="External"/><Relationship Id="rId197" Type="http://schemas.openxmlformats.org/officeDocument/2006/relationships/hyperlink" Target="https://www.hrc.org/press-releases/human-rights-campaign-working-to-defeat-340-anti-lgbtq-bills-at-state-level-already-150-of-which-target-transgender-people-highest-number-on-record" TargetMode="External"/><Relationship Id="rId198" Type="http://schemas.openxmlformats.org/officeDocument/2006/relationships/hyperlink" Target="https://doi.org/10.1007/s10865-013-9523-8" TargetMode="External"/><Relationship Id="rId199" Type="http://schemas.openxmlformats.org/officeDocument/2006/relationships/hyperlink" Target="https://doi.org/10.2105/AJPH.2009.168815" TargetMode="External"/><Relationship Id="rId200" Type="http://schemas.openxmlformats.org/officeDocument/2006/relationships/hyperlink" Target="https://doi.org/10.1089/lgbt.2020.0279" TargetMode="External"/><Relationship Id="rId201" Type="http://schemas.openxmlformats.org/officeDocument/2006/relationships/hyperlink" Target="https://doi.org/10.1007/s10964-020-01354-3" TargetMode="External"/><Relationship Id="rId202" Type="http://schemas.openxmlformats.org/officeDocument/2006/relationships/hyperlink" Target="https://doi.org/10.2105/AJPH.2011.300382" TargetMode="External"/><Relationship Id="rId203" Type="http://schemas.openxmlformats.org/officeDocument/2006/relationships/hyperlink" Target="https://lgbtqequity.org/wp-content/uploads/2021/06/Trauma-InformedCare-Final.pdf" TargetMode="External"/><Relationship Id="rId204" Type="http://schemas.openxmlformats.org/officeDocument/2006/relationships/hyperlink" Target="https://doi.org/10.1016/j.jadohealth.2018.08.020" TargetMode="External"/><Relationship Id="rId205" Type="http://schemas.openxmlformats.org/officeDocument/2006/relationships/hyperlink" Target="https://doi.org/10.22329/csw.v13i2.5861" TargetMode="External"/><Relationship Id="rId206" Type="http://schemas.openxmlformats.org/officeDocument/2006/relationships/hyperlink" Target="https://www.glsen.org/sites/default/files/2022-10/NSCS-2021-Full-Report.pdf" TargetMode="External"/><Relationship Id="rId207" Type="http://schemas.openxmlformats.org/officeDocument/2006/relationships/hyperlink" Target="https://doi.org/10.1080/15374416.2021.1941058" TargetMode="External"/><Relationship Id="rId208" Type="http://schemas.openxmlformats.org/officeDocument/2006/relationships/hyperlink" Target="https://doi.org/10.1007/s40596-019-01127-6" TargetMode="External"/><Relationship Id="rId209" Type="http://schemas.openxmlformats.org/officeDocument/2006/relationships/hyperlink" Target="http://www.colorado.edu/journal/assembly/2019/06/30/necessity-intentionally-closed-spaces-lgbtq-youth-color" TargetMode="External"/><Relationship Id="rId210" Type="http://schemas.openxmlformats.org/officeDocument/2006/relationships/hyperlink" Target="https://doi.org/10.1037/vio0000204" TargetMode="External"/><Relationship Id="rId211" Type="http://schemas.openxmlformats.org/officeDocument/2006/relationships/hyperlink" Target="https://doi.org/10.1080/1550428X.2020.1724133" TargetMode="External"/><Relationship Id="rId212" Type="http://schemas.openxmlformats.org/officeDocument/2006/relationships/hyperlink" Target="https://doi.org/10.1177/0192513X18783807" TargetMode="External"/><Relationship Id="rId213" Type="http://schemas.openxmlformats.org/officeDocument/2006/relationships/hyperlink" Target="https://doi.org/10.1007/978-3-030-70060-7_12" TargetMode="External"/><Relationship Id="rId214" Type="http://schemas.openxmlformats.org/officeDocument/2006/relationships/hyperlink" Target="https://doi.org/10.1007/s10903-021-01162-2" TargetMode="External"/><Relationship Id="rId215" Type="http://schemas.openxmlformats.org/officeDocument/2006/relationships/hyperlink" Target="https://www.thetrevorproject.org/wp-content/uploads/2021/07/Trevor-Project-First-Generation-Research-Brief.pdf" TargetMode="External"/><Relationship Id="rId216" Type="http://schemas.openxmlformats.org/officeDocument/2006/relationships/hyperlink" Target="https://doi.org/10.1108/EIHSC-09-2013-0018" TargetMode="External"/><Relationship Id="rId217" Type="http://schemas.openxmlformats.org/officeDocument/2006/relationships/hyperlink" Target="https://doi.org/10.1007/s13524-019-00770-w" TargetMode="External"/><Relationship Id="rId218" Type="http://schemas.openxmlformats.org/officeDocument/2006/relationships/hyperlink" Target="http://www.arianalife.com/topics/lgbt/roots-run-deep-how-history-and-culture-impact-lgbt-acceptance-in-asia/" TargetMode="External"/><Relationship Id="rId219" Type="http://schemas.openxmlformats.org/officeDocument/2006/relationships/hyperlink" Target="https://www.samhsa.gov/blog/one-size-does-not-fit-all-appreciating-diversity-asian-americans-native-hawaiians-pacific" TargetMode="External"/><Relationship Id="rId220" Type="http://schemas.openxmlformats.org/officeDocument/2006/relationships/hyperlink" Target="https://www.bostonglobe.com/2021/09/06/metro/schools-are-increasing-mental-health-support-this-year-experts-fear-its-still-not-enough/" TargetMode="External"/><Relationship Id="rId221" Type="http://schemas.openxmlformats.org/officeDocument/2006/relationships/hyperlink" Target="https://doi.org/10.1007/s10464-011-9424-3" TargetMode="External"/><Relationship Id="rId222" Type="http://schemas.openxmlformats.org/officeDocument/2006/relationships/hyperlink" Target="https://www.hrc.org/resources/understanding-disabled-lgbtq-people" TargetMode="External"/><Relationship Id="rId223" Type="http://schemas.openxmlformats.org/officeDocument/2006/relationships/hyperlink" Target="https://doi.org/10.1007/s10803-022-05517-y" TargetMode="External"/><Relationship Id="rId224" Type="http://schemas.openxmlformats.org/officeDocument/2006/relationships/hyperlink" Target="https://doi.org/10.1080/19361653.2019.1706686" TargetMode="External"/><Relationship Id="rId225" Type="http://schemas.openxmlformats.org/officeDocument/2006/relationships/hyperlink" Target="https://doi.org/10.1080/1536710X.2017.1299661" TargetMode="External"/><Relationship Id="rId226" Type="http://schemas.openxmlformats.org/officeDocument/2006/relationships/hyperlink" Target="https://doi.org/10.1080/10538720.2021.1911902" TargetMode="External"/><Relationship Id="rId227" Type="http://schemas.openxmlformats.org/officeDocument/2006/relationships/hyperlink" Target="http://www.mass.gov/service-details/dys-reports-and-" TargetMode="External"/><Relationship Id="rId228" Type="http://schemas.openxmlformats.org/officeDocument/2006/relationships/hyperlink" Target="https://doi.org/10.1016/j.childyouth.2022.106682" TargetMode="External"/><Relationship Id="rId229" Type="http://schemas.openxmlformats.org/officeDocument/2006/relationships/hyperlink" Target="https://doi.org/10.1080/15548732.2016.1221368" TargetMode="External"/><Relationship Id="rId230" Type="http://schemas.openxmlformats.org/officeDocument/2006/relationships/hyperlink" Target="https://doi.org/10.1080/19361653.2020.1766393" TargetMode="External"/><Relationship Id="rId231" Type="http://schemas.openxmlformats.org/officeDocument/2006/relationships/hyperlink" Target="https://doi.org/10.1542/peds.2018-3367" TargetMode="External"/><Relationship Id="rId232" Type="http://schemas.openxmlformats.org/officeDocument/2006/relationships/hyperlink" Target="https://doi.org/10.1177/1044389418768550" TargetMode="External"/><Relationship Id="rId233" Type="http://schemas.openxmlformats.org/officeDocument/2006/relationships/hyperlink" Target="https://doi.org/10.1080/15374416.2020.1815207" TargetMode="External"/><Relationship Id="rId234" Type="http://schemas.openxmlformats.org/officeDocument/2006/relationships/hyperlink" Target="https://doi.org/10.31234/osf.io/9wu42" TargetMode="External"/><Relationship Id="rId235" Type="http://schemas.openxmlformats.org/officeDocument/2006/relationships/hyperlink" Target="https://doi.org/10.1080/10538720.2020.1836704" TargetMode="External"/><Relationship Id="rId236" Type="http://schemas.openxmlformats.org/officeDocument/2006/relationships/hyperlink" Target="https://doi.org/10.1007/s12671-021-01787-2" TargetMode="External"/><Relationship Id="rId237" Type="http://schemas.openxmlformats.org/officeDocument/2006/relationships/hyperlink" Target="https://doi.org/10.1521/jsyt.2020.39.4.13" TargetMode="External"/><Relationship Id="rId238" Type="http://schemas.openxmlformats.org/officeDocument/2006/relationships/hyperlink" Target="https://doi.org/10.1080/14779757.2020.1717986" TargetMode="External"/><Relationship Id="rId239" Type="http://schemas.openxmlformats.org/officeDocument/2006/relationships/hyperlink" Target="https://doi.org/10.1037/pri0000126" TargetMode="External"/><Relationship Id="rId240" Type="http://schemas.openxmlformats.org/officeDocument/2006/relationships/hyperlink" Target="https://doi.org/10.1111/famp.12770" TargetMode="External"/><Relationship Id="rId241" Type="http://schemas.openxmlformats.org/officeDocument/2006/relationships/hyperlink" Target="https://doi.org/10.1080/19361653.2019.1591322" TargetMode="External"/><Relationship Id="rId242" Type="http://schemas.openxmlformats.org/officeDocument/2006/relationships/hyperlink" Target="https://doi.org/10.1007/s11121-021-01291-y" TargetMode="External"/><Relationship Id="rId243" Type="http://schemas.openxmlformats.org/officeDocument/2006/relationships/hyperlink" Target="https://doi.org/10.1111/cdev.13345" TargetMode="External"/><Relationship Id="rId244" Type="http://schemas.openxmlformats.org/officeDocument/2006/relationships/hyperlink" Target="https://www.glsen.org/sites/default/files/2021-12/GLSEN_ResearchInstitute_GSAStudy_12012021.pdf" TargetMode="External"/><Relationship Id="rId245" Type="http://schemas.openxmlformats.org/officeDocument/2006/relationships/hyperlink" Target="https://doi.org/10.1177/1524839916654461" TargetMode="External"/><Relationship Id="rId246" Type="http://schemas.openxmlformats.org/officeDocument/2006/relationships/hyperlink" Target="https://files.eric.ed.gov/fulltext/ED511993.pdf" TargetMode="External"/><Relationship Id="rId247" Type="http://schemas.openxmlformats.org/officeDocument/2006/relationships/hyperlink" Target="https://doi.org/10.1080/00918369.2017.1411693" TargetMode="External"/><Relationship Id="rId248" Type="http://schemas.openxmlformats.org/officeDocument/2006/relationships/hyperlink" Target="https://doi.org/10.1080/10410236.2021.1958983" TargetMode="External"/><Relationship Id="rId249" Type="http://schemas.openxmlformats.org/officeDocument/2006/relationships/hyperlink" Target="https://doi.org/10.1186/s12939-021-01488-1" TargetMode="External"/><Relationship Id="rId250" Type="http://schemas.openxmlformats.org/officeDocument/2006/relationships/hyperlink" Target="https://doi.org/10.1080/17482631.2021.1961572" TargetMode="External"/><Relationship Id="rId251" Type="http://schemas.openxmlformats.org/officeDocument/2006/relationships/hyperlink" Target="https://www.rescriptedjri.org/" TargetMode="External"/><Relationship Id="rId252" Type="http://schemas.openxmlformats.org/officeDocument/2006/relationships/hyperlink" Target="https://doi.org/10.1016/j.ctim.2022.102850" TargetMode="External"/><Relationship Id="rId253" Type="http://schemas.openxmlformats.org/officeDocument/2006/relationships/hyperlink" Target="https://www.traumainformedweightlifting.com/research" TargetMode="External"/><Relationship Id="rId254" Type="http://schemas.openxmlformats.org/officeDocument/2006/relationships/hyperlink" Target="https://doi.org/10.1007/s10560-016-0435-7" TargetMode="External"/><Relationship Id="rId255" Type="http://schemas.openxmlformats.org/officeDocument/2006/relationships/hyperlink" Target="https://doi.org/10.1177/0011000018787261" TargetMode="External"/><Relationship Id="rId256" Type="http://schemas.openxmlformats.org/officeDocument/2006/relationships/hyperlink" Target="https://doi.org/10.1080/19361653.2021.2020703" TargetMode="External"/><Relationship Id="rId257" Type="http://schemas.openxmlformats.org/officeDocument/2006/relationships/hyperlink" Target="https://doi.org/10.1177/0361684313493252" TargetMode="External"/><Relationship Id="rId258" Type="http://schemas.openxmlformats.org/officeDocument/2006/relationships/hyperlink" Target="https://doi.org/10.1037/cou0000429" TargetMode="External"/><Relationship Id="rId259" Type="http://schemas.openxmlformats.org/officeDocument/2006/relationships/hyperlink" Target="https://senatorjocomerford.org/addressing-barriers-to-care-whats-in-the-legislatures-final-mental-health-bill/" TargetMode="External"/><Relationship Id="rId260" Type="http://schemas.openxmlformats.org/officeDocument/2006/relationships/hyperlink" Target="https://www.nbcnews.com/think/opinion/covid-s-mental-health-toll-makes-therapists-hard-find-insurance-ncna1286502" TargetMode="External"/><Relationship Id="rId261" Type="http://schemas.openxmlformats.org/officeDocument/2006/relationships/hyperlink" Target="https://doi.org/10.1111/jcpp.12937" TargetMode="External"/><Relationship Id="rId262" Type="http://schemas.openxmlformats.org/officeDocument/2006/relationships/hyperlink" Target="https://doi.org/10.1080/19359705.2016.1166469" TargetMode="External"/><Relationship Id="rId263" Type="http://schemas.openxmlformats.org/officeDocument/2006/relationships/hyperlink" Target="https://doi.org/10.1111/hsc.14061" TargetMode="External"/><Relationship Id="rId264" Type="http://schemas.openxmlformats.org/officeDocument/2006/relationships/hyperlink" Target="https://doi.org/10.1007/s10578-021-01250-2" TargetMode="External"/><Relationship Id="rId265" Type="http://schemas.openxmlformats.org/officeDocument/2006/relationships/hyperlink" Target="https://doi.org/10.1007/s11414-019-09667-3" TargetMode="External"/><Relationship Id="rId266" Type="http://schemas.openxmlformats.org/officeDocument/2006/relationships/hyperlink" Target="https://doi.org/10.1002/pits.22717" TargetMode="External"/><Relationship Id="rId267" Type="http://schemas.openxmlformats.org/officeDocument/2006/relationships/hyperlink" Target="https://fenwayhealth.org/wp-content/uploads/Anti-trans-legislation-policy-brief-FINAL.pdf" TargetMode="External"/><Relationship Id="rId268" Type="http://schemas.openxmlformats.org/officeDocument/2006/relationships/hyperlink" Target="https://www.thetrevorproject.org/wp-content/uploads/2022/01/TrevorProject_Public1.pdf" TargetMode="External"/><Relationship Id="rId269" Type="http://schemas.openxmlformats.org/officeDocument/2006/relationships/hyperlink" Target="https://doi.org/10.1080/23794925.2021.1950079" TargetMode="External"/><Relationship Id="rId270" Type="http://schemas.openxmlformats.org/officeDocument/2006/relationships/header" Target="header29.xml"/><Relationship Id="rId271" Type="http://schemas.openxmlformats.org/officeDocument/2006/relationships/footer" Target="footer30.xml"/><Relationship Id="rId272" Type="http://schemas.openxmlformats.org/officeDocument/2006/relationships/image" Target="media/image44.png"/><Relationship Id="rId273" Type="http://schemas.openxmlformats.org/officeDocument/2006/relationships/image" Target="media/image45.png"/><Relationship Id="rId274" Type="http://schemas.openxmlformats.org/officeDocument/2006/relationships/image" Target="media/image46.png"/><Relationship Id="rId275" Type="http://schemas.openxmlformats.org/officeDocument/2006/relationships/image" Target="media/image47.png"/><Relationship Id="rId276" Type="http://schemas.openxmlformats.org/officeDocument/2006/relationships/header" Target="header30.xml"/><Relationship Id="rId277" Type="http://schemas.openxmlformats.org/officeDocument/2006/relationships/footer" Target="footer31.xml"/><Relationship Id="rId278" Type="http://schemas.openxmlformats.org/officeDocument/2006/relationships/image" Target="media/image48.jpeg"/><Relationship Id="rId279" Type="http://schemas.openxmlformats.org/officeDocument/2006/relationships/image" Target="media/image49.jpeg"/><Relationship Id="rId280" Type="http://schemas.openxmlformats.org/officeDocument/2006/relationships/hyperlink" Target="http://www.sageusa.org/news" TargetMode="External"/><Relationship Id="rId281" Type="http://schemas.openxmlformats.org/officeDocument/2006/relationships/hyperlink" Target="http://www.healthcareitnews.com/news/more-inclusive-ehrs-can-help-extend-welcome-save-transgender-lives5" TargetMode="External"/><Relationship Id="rId282" Type="http://schemas.openxmlformats.org/officeDocument/2006/relationships/hyperlink" Target="http://www.whitehouse.gov/ostp/news-updates/2023/01/24/fact-sheet-biden-harris-administration-releases-first-ever" TargetMode="External"/><Relationship Id="rId283" Type="http://schemas.openxmlformats.org/officeDocument/2006/relationships/hyperlink" Target="http://www.who.int/standards/classifications/frequently-asked-questions/gender-incongruence-and-transgender-health-" TargetMode="External"/><Relationship Id="rId284" Type="http://schemas.openxmlformats.org/officeDocument/2006/relationships/hyperlink" Target="http://www.mass.gov/doc/commission-report-on-dcf/download" TargetMode="External"/><Relationship Id="rId285" Type="http://schemas.openxmlformats.org/officeDocument/2006/relationships/hyperlink" Target="http://www.thetrevorproject.org/wp" TargetMode="External"/><Relationship Id="rId286" Type="http://schemas.openxmlformats.org/officeDocument/2006/relationships/hyperlink" Target="http://www.americanprogress.org/article/key-issues-facing-people-intersex-traits/" TargetMode="External"/><Relationship Id="rId287" Type="http://schemas.openxmlformats.org/officeDocument/2006/relationships/hyperlink" Target="http://www.massmed.org/News/Press-Releases/Massachusetts-Medical-Society-announces-policies-on-opioid-use-" TargetMode="External"/><Relationship Id="rId288" Type="http://schemas.openxmlformats.org/officeDocument/2006/relationships/hyperlink" Target="http://www.who.int/health-topics/social-determinants-of-health#tab%3Dtab_1" TargetMode="External"/><Relationship Id="rId289" Type="http://schemas.openxmlformats.org/officeDocument/2006/relationships/hyperlink" Target="http://www.americanprogress.org/article/protecting-advancing-health-care-transgender-adult-communities/" TargetMode="External"/><Relationship Id="rId290" Type="http://schemas.openxmlformats.org/officeDocument/2006/relationships/hyperlink" Target="http://www.psychiatry.org/File%20Library/About-APA/Organization-Documents-" TargetMode="External"/><Relationship Id="rId291" Type="http://schemas.openxmlformats.org/officeDocument/2006/relationships/hyperlink" Target="http://www.bostonglobe.com/2022/12/03/metro/boston-" TargetMode="External"/><Relationship Id="rId292" Type="http://schemas.openxmlformats.org/officeDocument/2006/relationships/hyperlink" Target="http://www.usatoday.com/story/news/nation/2023/01/09/bills-targeting-transgender-healthcare-2023/11012864002/" TargetMode="External"/><Relationship Id="rId293" Type="http://schemas.openxmlformats.org/officeDocument/2006/relationships/hyperlink" Target="http://www.npr.org/2022/11/28/1138396067/transgender-" TargetMode="External"/><Relationship Id="rId294" Type="http://schemas.openxmlformats.org/officeDocument/2006/relationships/hyperlink" Target="http://www.aclu.org/legislative-attacks-on-lgbtq-rights" TargetMode="External"/><Relationship Id="rId295" Type="http://schemas.openxmlformats.org/officeDocument/2006/relationships/hyperlink" Target="http://www.glad.org/post/advocates-praise-ma-protection-for-abortion-gender-affirming-care/" TargetMode="External"/><Relationship Id="rId296" Type="http://schemas.openxmlformats.org/officeDocument/2006/relationships/hyperlink" Target="http://www.latimes.com/california/story/2022-09-29/with-new-law" TargetMode="External"/><Relationship Id="rId297" Type="http://schemas.openxmlformats.org/officeDocument/2006/relationships/hyperlink" Target="http://www.bostonglobe.com/2022/07/04/opinion/gender-affirming-health-care-is-simply-good-health-care/" TargetMode="External"/><Relationship Id="rId298" Type="http://schemas.openxmlformats.org/officeDocument/2006/relationships/hyperlink" Target="http://www.mass.gov/lists/hivaids-epidemiologic-profiles" TargetMode="External"/><Relationship Id="rId299" Type="http://schemas.openxmlformats.org/officeDocument/2006/relationships/hyperlink" Target="http://www.glad.org/prep-for-minors-in" TargetMode="External"/><Relationship Id="rId300" Type="http://schemas.openxmlformats.org/officeDocument/2006/relationships/hyperlink" Target="http://www.thetrevorproject.org/survey" TargetMode="External"/><Relationship Id="rId301" Type="http://schemas.openxmlformats.org/officeDocument/2006/relationships/hyperlink" Target="http://www.cigna.com/individuals-families/health-wellness/lgbt" TargetMode="External"/><Relationship Id="rId302" Type="http://schemas.openxmlformats.org/officeDocument/2006/relationships/hyperlink" Target="http://www.cdc.gov/coronavirus/2019-ncov/need-extra-precautions/people-with-medical-conditions.html.94" TargetMode="External"/><Relationship Id="rId303" Type="http://schemas.openxmlformats.org/officeDocument/2006/relationships/header" Target="header31.xml"/><Relationship Id="rId304" Type="http://schemas.openxmlformats.org/officeDocument/2006/relationships/footer" Target="footer32.xml"/><Relationship Id="rId305" Type="http://schemas.openxmlformats.org/officeDocument/2006/relationships/image" Target="media/image50.png"/><Relationship Id="rId306" Type="http://schemas.openxmlformats.org/officeDocument/2006/relationships/image" Target="media/image51.png"/><Relationship Id="rId307" Type="http://schemas.openxmlformats.org/officeDocument/2006/relationships/image" Target="media/image52.png"/><Relationship Id="rId308" Type="http://schemas.openxmlformats.org/officeDocument/2006/relationships/header" Target="header32.xml"/><Relationship Id="rId309" Type="http://schemas.openxmlformats.org/officeDocument/2006/relationships/footer" Target="footer33.xml"/><Relationship Id="rId310" Type="http://schemas.openxmlformats.org/officeDocument/2006/relationships/hyperlink" Target="https://sevensistersmidwifery.com/" TargetMode="External"/><Relationship Id="rId311" Type="http://schemas.openxmlformats.org/officeDocument/2006/relationships/hyperlink" Target="https://malegislature.gov/Bills/193/SD2401" TargetMode="External"/><Relationship Id="rId312" Type="http://schemas.openxmlformats.org/officeDocument/2006/relationships/image" Target="media/image53.jpeg"/><Relationship Id="rId313" Type="http://schemas.openxmlformats.org/officeDocument/2006/relationships/image" Target="media/image54.jpeg"/><Relationship Id="rId314" Type="http://schemas.openxmlformats.org/officeDocument/2006/relationships/image" Target="media/image55.jpeg"/><Relationship Id="rId315" Type="http://schemas.openxmlformats.org/officeDocument/2006/relationships/image" Target="media/image56.jpeg"/><Relationship Id="rId316" Type="http://schemas.openxmlformats.org/officeDocument/2006/relationships/image" Target="media/image57.jpeg"/><Relationship Id="rId317" Type="http://schemas.openxmlformats.org/officeDocument/2006/relationships/hyperlink" Target="https://malegislature.gov/Bills/193/S782" TargetMode="External"/><Relationship Id="rId318" Type="http://schemas.openxmlformats.org/officeDocument/2006/relationships/hyperlink" Target="https://malegislature.gov/Bills/193/H1240" TargetMode="External"/><Relationship Id="rId319" Type="http://schemas.openxmlformats.org/officeDocument/2006/relationships/image" Target="media/image58.jpeg"/><Relationship Id="rId320" Type="http://schemas.openxmlformats.org/officeDocument/2006/relationships/image" Target="media/image59.jpeg"/><Relationship Id="rId321" Type="http://schemas.openxmlformats.org/officeDocument/2006/relationships/image" Target="media/image60.jpeg"/><Relationship Id="rId322" Type="http://schemas.openxmlformats.org/officeDocument/2006/relationships/hyperlink" Target="https://malegislature.gov/Bills/193/SD1171" TargetMode="External"/><Relationship Id="rId323" Type="http://schemas.openxmlformats.org/officeDocument/2006/relationships/hyperlink" Target="https://malegislature.gov/Bills/193/HD1783" TargetMode="External"/><Relationship Id="rId324" Type="http://schemas.openxmlformats.org/officeDocument/2006/relationships/hyperlink" Target="http://www.aamchealthjustice.org/news/polling/lgbtq-birth" TargetMode="External"/><Relationship Id="rId325" Type="http://schemas.openxmlformats.org/officeDocument/2006/relationships/hyperlink" Target="https://doi.org/10.1037/ort0000306" TargetMode="External"/><Relationship Id="rId326" Type="http://schemas.openxmlformats.org/officeDocument/2006/relationships/hyperlink" Target="https://healthlaw.org/meeting-the-health-care-needs-of-lgbtq-immigrants/" TargetMode="External"/><Relationship Id="rId327" Type="http://schemas.openxmlformats.org/officeDocument/2006/relationships/hyperlink" Target="https://doi.org/10.1016/j.whi.2018.03.002" TargetMode="External"/><Relationship Id="rId328" Type="http://schemas.openxmlformats.org/officeDocument/2006/relationships/hyperlink" Target="https://doi.org/10.1177/0009922816673306" TargetMode="External"/><Relationship Id="rId329" Type="http://schemas.openxmlformats.org/officeDocument/2006/relationships/hyperlink" Target="https://www.americanprogress.org/article/discrimination-prevents-lgbtq-people-accessing-health-care/" TargetMode="External"/><Relationship Id="rId330" Type="http://schemas.openxmlformats.org/officeDocument/2006/relationships/hyperlink" Target="https://doi.org/10.1177/10497323211050051" TargetMode="External"/><Relationship Id="rId331" Type="http://schemas.openxmlformats.org/officeDocument/2006/relationships/hyperlink" Target="https://www.lgbtqiahealtheducation.org/publication/affirming-primary-care-for-intersex-people-2020/" TargetMode="External"/><Relationship Id="rId332" Type="http://schemas.openxmlformats.org/officeDocument/2006/relationships/hyperlink" Target="https://fenwayhealth.org/new-study-finds-significant-barriers-to-gender-affirming-primary-care-among-transgender-people-living-in-rural-areas/" TargetMode="External"/><Relationship Id="rId333" Type="http://schemas.openxmlformats.org/officeDocument/2006/relationships/hyperlink" Target="https://www.frontiersin.org/articles/10.3389/frph.2021.670919" TargetMode="External"/><Relationship Id="rId334" Type="http://schemas.openxmlformats.org/officeDocument/2006/relationships/hyperlink" Target="https://doi.org/10.1016/j.jpag.2022.01.015" TargetMode="External"/><Relationship Id="rId335" Type="http://schemas.openxmlformats.org/officeDocument/2006/relationships/hyperlink" Target="https://doi.org/10.1097/GRF.0000000000000398" TargetMode="External"/><Relationship Id="rId336" Type="http://schemas.openxmlformats.org/officeDocument/2006/relationships/hyperlink" Target="https://ywcasema.org/menstrual-access-advocacy-project/" TargetMode="External"/><Relationship Id="rId337" Type="http://schemas.openxmlformats.org/officeDocument/2006/relationships/hyperlink" Target="https://www.aclu.org/news/lgbtq-rights/menstruation-related-discrimination-is-sex-discrimination-we-dont-need-to-erase-trans-or-non-binary-people-to-make-that-point" TargetMode="External"/><Relationship Id="rId338" Type="http://schemas.openxmlformats.org/officeDocument/2006/relationships/hyperlink" Target="https://doi.org/10.1016/j.cppeds.2019.100684" TargetMode="External"/><Relationship Id="rId339" Type="http://schemas.openxmlformats.org/officeDocument/2006/relationships/hyperlink" Target="https://doi.org/10.1111/jmwh.12962" TargetMode="External"/><Relationship Id="rId340" Type="http://schemas.openxmlformats.org/officeDocument/2006/relationships/hyperlink" Target="https://birthcontrolpharmacist.com/2020/04/23/contraception-for-your-transgender-patients/" TargetMode="External"/><Relationship Id="rId341" Type="http://schemas.openxmlformats.org/officeDocument/2006/relationships/hyperlink" Target="https://doi.org/10.1016/j.whi.2019.10.007" TargetMode="External"/><Relationship Id="rId342" Type="http://schemas.openxmlformats.org/officeDocument/2006/relationships/hyperlink" Target="https://www.mass.gov/lists/annual-recommendations-commission-on-lgbtq-youth" TargetMode="External"/><Relationship Id="rId343" Type="http://schemas.openxmlformats.org/officeDocument/2006/relationships/hyperlink" Target="https://doi.org/10.1007/s10995-018-2595-x" TargetMode="External"/><Relationship Id="rId344" Type="http://schemas.openxmlformats.org/officeDocument/2006/relationships/hyperlink" Target="https://doi.org/10.1177/0022146521997811" TargetMode="External"/><Relationship Id="rId345" Type="http://schemas.openxmlformats.org/officeDocument/2006/relationships/hyperlink" Target="https://doi.org/10.1089/jwh.2020.8880" TargetMode="External"/><Relationship Id="rId346" Type="http://schemas.openxmlformats.org/officeDocument/2006/relationships/hyperlink" Target="https://www.rutgers.edu/news/pregnant-transgender-men-risk-depression-and-lack-care-rutgers-study-finds" TargetMode="External"/><Relationship Id="rId347" Type="http://schemas.openxmlformats.org/officeDocument/2006/relationships/hyperlink" Target="https://williamsinstitute.law.ucla.edu/publications/suicidality-transgender-adults/" TargetMode="External"/><Relationship Id="rId348" Type="http://schemas.openxmlformats.org/officeDocument/2006/relationships/hyperlink" Target="http://theconversation.com/transgender-men-and-nonbinary-people-are-asked-to-stop-testosterone-therapy-during-pregnancy-but-the-evidence-for-this-guidance-is-still-murky-187672" TargetMode="External"/><Relationship Id="rId349" Type="http://schemas.openxmlformats.org/officeDocument/2006/relationships/hyperlink" Target="https://www.who.int/news-room/fact-sheets/detail/infertility" TargetMode="External"/><Relationship Id="rId350" Type="http://schemas.openxmlformats.org/officeDocument/2006/relationships/hyperlink" Target="https://doi.org/10.1016/j.ajog.2019.04.019" TargetMode="External"/><Relationship Id="rId351" Type="http://schemas.openxmlformats.org/officeDocument/2006/relationships/hyperlink" Target="https://doi.org/10.1016/j.xfre.2020.11.001" TargetMode="External"/><Relationship Id="rId352" Type="http://schemas.openxmlformats.org/officeDocument/2006/relationships/hyperlink" Target="https://doi.org/10.1097/AOG.0000000000001556" TargetMode="External"/><Relationship Id="rId353" Type="http://schemas.openxmlformats.org/officeDocument/2006/relationships/hyperlink" Target="https://www.advisory.com/Daily-Briefing/2018/11/09/maternal-mortality" TargetMode="External"/><Relationship Id="rId354" Type="http://schemas.openxmlformats.org/officeDocument/2006/relationships/hyperlink" Target="http://www.mass.gov/doc/2014-" TargetMode="External"/><Relationship Id="rId355" Type="http://schemas.openxmlformats.org/officeDocument/2006/relationships/hyperlink" Target="https://doi.org/10.2105/AJPH.2005.072975" TargetMode="External"/><Relationship Id="rId356" Type="http://schemas.openxmlformats.org/officeDocument/2006/relationships/hyperlink" Target="https://www.americanprogress.org/article/protecting-basic-living-standards-lgbtq-people/" TargetMode="External"/><Relationship Id="rId357" Type="http://schemas.openxmlformats.org/officeDocument/2006/relationships/hyperlink" Target="https://doi.org/10.1016/j.conx.2020.100019" TargetMode="External"/><Relationship Id="rId358" Type="http://schemas.openxmlformats.org/officeDocument/2006/relationships/hyperlink" Target="https://www.thetrevorproject.org/blog/new-poll-illustrates-the-impacts-of-social-political-issues-on-lgbtq-youth/" TargetMode="External"/><Relationship Id="rId359" Type="http://schemas.openxmlformats.org/officeDocument/2006/relationships/hyperlink" Target="https://www.bostonglobe.com/2022/10/09/metro/massachusetts-has-expanded-abortion-rights-even-metro-region-clinics-can-be-distant/" TargetMode="External"/><Relationship Id="rId360" Type="http://schemas.openxmlformats.org/officeDocument/2006/relationships/hyperlink" Target="https://www.mass.gov/news/masshealths-extended-12-month-postpartum-coverage-approved-by-the-federal-centers-for-medicare-medicaid-services" TargetMode="External"/><Relationship Id="rId361" Type="http://schemas.openxmlformats.org/officeDocument/2006/relationships/hyperlink" Target="https://doi.org/10.3389/fpubh.2021.664659" TargetMode="External"/><Relationship Id="rId362" Type="http://schemas.openxmlformats.org/officeDocument/2006/relationships/hyperlink" Target="https://www.dona.org/what-is-a-doula/" TargetMode="External"/><Relationship Id="rId363" Type="http://schemas.openxmlformats.org/officeDocument/2006/relationships/hyperlink" Target="https://www.them.us/story/lgbtq-doulas" TargetMode="External"/><Relationship Id="rId364" Type="http://schemas.openxmlformats.org/officeDocument/2006/relationships/hyperlink" Target="https://www.dhcs.ca.gov/provgovpart/Pages/Doula-Services.aspx" TargetMode="External"/><Relationship Id="rId365" Type="http://schemas.openxmlformats.org/officeDocument/2006/relationships/hyperlink" Target="https://healthlaw.org/medicaid-coverage-for-doula-care-state-implementation-efforts/" TargetMode="External"/><Relationship Id="rId366" Type="http://schemas.openxmlformats.org/officeDocument/2006/relationships/hyperlink" Target="https://www.mass.gov/service-details/birth-equity-and-support-through-the-inclusion-of-doula-expertise-beside-investment-program" TargetMode="External"/><Relationship Id="rId367" Type="http://schemas.openxmlformats.org/officeDocument/2006/relationships/hyperlink" Target="https://www.pewresearch.org/fact-tank/2022/06/24/what-the-data-says-about-abortion-in-the-u-s-2/" TargetMode="External"/><Relationship Id="rId368" Type="http://schemas.openxmlformats.org/officeDocument/2006/relationships/hyperlink" Target="https://doi.org/10.1363/2022.33571" TargetMode="External"/><Relationship Id="rId369" Type="http://schemas.openxmlformats.org/officeDocument/2006/relationships/hyperlink" Target="https://www.guttmacher.org/fact-sheet/state-facts-about-abortion-massachusetts" TargetMode="External"/><Relationship Id="rId370" Type="http://schemas.openxmlformats.org/officeDocument/2006/relationships/hyperlink" Target="https://www.mass.gov/info-details/massachusetts-law-about-abortion" TargetMode="External"/><Relationship Id="rId371" Type="http://schemas.openxmlformats.org/officeDocument/2006/relationships/hyperlink" Target="https://www.plannedparenthoodaction.org/planned-parenthood-advocacy-fund-massachusetts-inc/pressroom/new-study-finds-massachusetts-judicial-bypass-process-delays-access-to-abortion" TargetMode="External"/><Relationship Id="rId372" Type="http://schemas.openxmlformats.org/officeDocument/2006/relationships/hyperlink" Target="https://doi.org/10.1097/AOG.0000000000003190" TargetMode="External"/><Relationship Id="rId373" Type="http://schemas.openxmlformats.org/officeDocument/2006/relationships/hyperlink" Target="https://www.wgbh.org/news/local-news/2022/08/01/new-law-ensures-medication-abortion-access-for-public-university-students-in-mass" TargetMode="External"/><Relationship Id="rId374" Type="http://schemas.openxmlformats.org/officeDocument/2006/relationships/hyperlink" Target="http://www.mass.gov/news/governor-healey-announces-immediate-action-to-protect-access-to-" TargetMode="External"/><Relationship Id="rId375" Type="http://schemas.openxmlformats.org/officeDocument/2006/relationships/hyperlink" Target="https://commonwealthmagazine.org/health/2017-birth-control-provision-fell-through-the-cracks/" TargetMode="External"/><Relationship Id="rId376" Type="http://schemas.openxmlformats.org/officeDocument/2006/relationships/hyperlink" Target="https://www.mass.gov/info-details/access-to-birth-control-and-emergency-contraception" TargetMode="External"/><Relationship Id="rId377" Type="http://schemas.openxmlformats.org/officeDocument/2006/relationships/hyperlink" Target="https://www.mass.gov/info-details/talk-to-your-clinician-or-pharmacist-about-the-access-law" TargetMode="External"/><Relationship Id="rId378" Type="http://schemas.openxmlformats.org/officeDocument/2006/relationships/hyperlink" Target="https://www.mass.gov/info-details/dph-funded-family-planning-programs" TargetMode="External"/><Relationship Id="rId379" Type="http://schemas.openxmlformats.org/officeDocument/2006/relationships/hyperlink" Target="https://www.illinoissenatedemocrats.com/caucus-news/72-senator-karina-villa-news/2886-menstrual-hygiene-products-can-be-purchased-with-snap-and-wic-benefits-under-villa-law" TargetMode="External"/><Relationship Id="rId380" Type="http://schemas.openxmlformats.org/officeDocument/2006/relationships/hyperlink" Target="https://www.mass.gov/service-details/maternal-mortality-and-morbidity-initiative" TargetMode="External"/><Relationship Id="rId381" Type="http://schemas.openxmlformats.org/officeDocument/2006/relationships/hyperlink" Target="https://doi.org/10.1016/j.ajog.2019.08.057" TargetMode="External"/><Relationship Id="rId382" Type="http://schemas.openxmlformats.org/officeDocument/2006/relationships/header" Target="header33.xml"/><Relationship Id="rId383" Type="http://schemas.openxmlformats.org/officeDocument/2006/relationships/footer" Target="footer34.xml"/><Relationship Id="rId384" Type="http://schemas.openxmlformats.org/officeDocument/2006/relationships/image" Target="media/image61.png"/><Relationship Id="rId385" Type="http://schemas.openxmlformats.org/officeDocument/2006/relationships/image" Target="media/image62.png"/><Relationship Id="rId386" Type="http://schemas.openxmlformats.org/officeDocument/2006/relationships/image" Target="media/image63.png"/><Relationship Id="rId387" Type="http://schemas.openxmlformats.org/officeDocument/2006/relationships/image" Target="media/image64.png"/><Relationship Id="rId388" Type="http://schemas.openxmlformats.org/officeDocument/2006/relationships/image" Target="media/image65.png"/><Relationship Id="rId389" Type="http://schemas.openxmlformats.org/officeDocument/2006/relationships/header" Target="header34.xml"/><Relationship Id="rId390" Type="http://schemas.openxmlformats.org/officeDocument/2006/relationships/footer" Target="footer35.xml"/><Relationship Id="rId391" Type="http://schemas.openxmlformats.org/officeDocument/2006/relationships/hyperlink" Target="https://www.doe.mass.edu/stem/chpe/default.html" TargetMode="External"/><Relationship Id="rId392" Type="http://schemas.openxmlformats.org/officeDocument/2006/relationships/hyperlink" Target="https://malegislature.gov/Bills/193/SD704" TargetMode="External"/><Relationship Id="rId393" Type="http://schemas.openxmlformats.org/officeDocument/2006/relationships/hyperlink" Target="https://malegislature.gov/Bills/193/H1085" TargetMode="External"/><Relationship Id="rId394" Type="http://schemas.openxmlformats.org/officeDocument/2006/relationships/hyperlink" Target="https://malegislature.gov/Bills/193/S1333" TargetMode="External"/><Relationship Id="rId395" Type="http://schemas.openxmlformats.org/officeDocument/2006/relationships/hyperlink" Target="https://malegislature.gov/Bills/193/H4293" TargetMode="External"/><Relationship Id="rId396" Type="http://schemas.openxmlformats.org/officeDocument/2006/relationships/hyperlink" Target="https://malegislature.gov/Bills/193/HD2263" TargetMode="External"/><Relationship Id="rId397" Type="http://schemas.openxmlformats.org/officeDocument/2006/relationships/image" Target="media/image66.jpeg"/><Relationship Id="rId398" Type="http://schemas.openxmlformats.org/officeDocument/2006/relationships/image" Target="media/image67.jpeg"/><Relationship Id="rId399" Type="http://schemas.openxmlformats.org/officeDocument/2006/relationships/image" Target="media/image68.jpeg"/><Relationship Id="rId400" Type="http://schemas.openxmlformats.org/officeDocument/2006/relationships/image" Target="media/image69.png"/><Relationship Id="rId401" Type="http://schemas.openxmlformats.org/officeDocument/2006/relationships/hyperlink" Target="http://www.aap.org/en/patient-" TargetMode="External"/><Relationship Id="rId402" Type="http://schemas.openxmlformats.org/officeDocument/2006/relationships/hyperlink" Target="http://www.who.int/health-topics/sexual-health" TargetMode="External"/><Relationship Id="rId403" Type="http://schemas.openxmlformats.org/officeDocument/2006/relationships/hyperlink" Target="http://www.glsen.org/sites/default/files/2019-12/No_Promo_Homo_2018.pdf" TargetMode="External"/><Relationship Id="rId404" Type="http://schemas.openxmlformats.org/officeDocument/2006/relationships/hyperlink" Target="http://www.cdc.gov/healthyyouth/index.htm" TargetMode="External"/><Relationship Id="rId405" Type="http://schemas.openxmlformats.org/officeDocument/2006/relationships/hyperlink" Target="http://www.guttmacher.org/report/demystifying-data-workshop-toolkit" TargetMode="External"/><Relationship Id="rId406" Type="http://schemas.openxmlformats.org/officeDocument/2006/relationships/hyperlink" Target="https://hrc-prod-requests.s3-us-west-2.amazonaws.com/Call-to-Action-LGBTQ-Sex-Ed-Report-2021.pdf" TargetMode="External"/><Relationship Id="rId407" Type="http://schemas.openxmlformats.org/officeDocument/2006/relationships/hyperlink" Target="http://www.apa.org/" TargetMode="External"/><Relationship Id="rId408" Type="http://schemas.openxmlformats.org/officeDocument/2006/relationships/hyperlink" Target="http://www.apa.org/pi/about/newsletter/2020/02/black-women-sexual-assault" TargetMode="External"/><Relationship Id="rId409" Type="http://schemas.openxmlformats.org/officeDocument/2006/relationships/hyperlink" Target="http://www.aclu.org/news/racial-justice/legal-system-has-" TargetMode="External"/><Relationship Id="rId410" Type="http://schemas.openxmlformats.org/officeDocument/2006/relationships/hyperlink" Target="https://transequality.org/sites/default/files/docs/usts/USTSMAStateReport(1017).pdf" TargetMode="External"/><Relationship Id="rId411" Type="http://schemas.openxmlformats.org/officeDocument/2006/relationships/hyperlink" Target="http://www.doe.mass.edu/sfs/?section=family" TargetMode="External"/><Relationship Id="rId412" Type="http://schemas.openxmlformats.org/officeDocument/2006/relationships/hyperlink" Target="http://www.lgbtmap.org/2021-spotlight-health-care-bans-infographics" TargetMode="External"/><Relationship Id="rId413" Type="http://schemas.openxmlformats.org/officeDocument/2006/relationships/hyperlink" Target="https://www.ncbi.nlm.nih.gov/pmc/articles/PMC7073269/" TargetMode="External"/><Relationship Id="rId414" Type="http://schemas.openxmlformats.org/officeDocument/2006/relationships/hyperlink" Target="https://doi.org/10.1016/S2352-4642(22)00254-1" TargetMode="External"/><Relationship Id="rId415" Type="http://schemas.openxmlformats.org/officeDocument/2006/relationships/hyperlink" Target="http://www.aafp.org/about/policies/all/genital-" TargetMode="External"/><Relationship Id="rId416" Type="http://schemas.openxmlformats.org/officeDocument/2006/relationships/hyperlink" Target="http://www.amnesty.org/en/latest/campaigns/2017/05/intersex-rights/" TargetMode="External"/><Relationship Id="rId417" Type="http://schemas.openxmlformats.org/officeDocument/2006/relationships/hyperlink" Target="http://www.hrw.org/report/2017/07/25/i-want-be-nature-made-me/medically-unnecessary-surgeries-intersex-children-us" TargetMode="External"/><Relationship Id="rId418" Type="http://schemas.openxmlformats.org/officeDocument/2006/relationships/hyperlink" Target="https://www.childrenshospital.org/programs/being-u" TargetMode="External"/><Relationship Id="rId419" Type="http://schemas.openxmlformats.org/officeDocument/2006/relationships/hyperlink" Target="http://www.thetrevorproject.org/blog/intersex-not-" TargetMode="External"/><Relationship Id="rId420" Type="http://schemas.openxmlformats.org/officeDocument/2006/relationships/hyperlink" Target="https://medlineplus.gov/ency/article/004002.htm" TargetMode="External"/><Relationship Id="rId421" Type="http://schemas.openxmlformats.org/officeDocument/2006/relationships/hyperlink" Target="https://www.plannedparenthood.org/learn/birth-control/condom/how-effective-are-condoms" TargetMode="External"/><Relationship Id="rId422" Type="http://schemas.openxmlformats.org/officeDocument/2006/relationships/hyperlink" Target="https://evawintl.org/wp-content/uploads/YoungAdultsWhoExperienceHomelessnessandSexualViolenceMay2017.pdf" TargetMode="External"/><Relationship Id="rId423" Type="http://schemas.openxmlformats.org/officeDocument/2006/relationships/hyperlink" Target="https://doi.org/10.1542/9781610025409-teen" TargetMode="External"/><Relationship Id="rId424" Type="http://schemas.openxmlformats.org/officeDocument/2006/relationships/hyperlink" Target="https://www.cdc.gov/teenpregnancy/about/index.htm" TargetMode="External"/><Relationship Id="rId425" Type="http://schemas.openxmlformats.org/officeDocument/2006/relationships/hyperlink" Target="https://www.ncbi.nlm.nih.gov/pmc/articles/PMC2742657/" TargetMode="External"/><Relationship Id="rId426" Type="http://schemas.openxmlformats.org/officeDocument/2006/relationships/hyperlink" Target="https://instrc.indiana.edu/pdf/resources/Fact_Sheet_Teen_Pregnancy_with_Disability.pdf" TargetMode="External"/><Relationship Id="rId427" Type="http://schemas.openxmlformats.org/officeDocument/2006/relationships/hyperlink" Target="https://www.guttmacher.org/article/2019/12/sexual-orientation-differences-pregnancy-and-abortion-across-lifecourse" TargetMode="External"/><Relationship Id="rId428" Type="http://schemas.openxmlformats.org/officeDocument/2006/relationships/hyperlink" Target="https://doi.org/10.1016/j.ajog.2020.09.035" TargetMode="External"/><Relationship Id="rId429" Type="http://schemas.openxmlformats.org/officeDocument/2006/relationships/hyperlink" Target="https://pubmed.ncbi.nlm.nih.gov/34226247/" TargetMode="External"/><Relationship Id="rId430" Type="http://schemas.openxmlformats.org/officeDocument/2006/relationships/hyperlink" Target="https://ovc.ojp.gov/sites/g/files/xyckuh226/files/pubs/forge/sexual_numbers.html" TargetMode="External"/><Relationship Id="rId431" Type="http://schemas.openxmlformats.org/officeDocument/2006/relationships/hyperlink" Target="https://www.cdc.gov/violenceprevention/pdf/cdc_nisvs_victimization_final-a.pdf" TargetMode="External"/><Relationship Id="rId432" Type="http://schemas.openxmlformats.org/officeDocument/2006/relationships/hyperlink" Target="https://transequality.org/blog/federal-survey-40-of-transgender-prisoners-are-sexually-abused-each-year" TargetMode="External"/><Relationship Id="rId433" Type="http://schemas.openxmlformats.org/officeDocument/2006/relationships/hyperlink" Target="https://scholarworks.calstate.edu/downloads/2v23w095f" TargetMode="External"/><Relationship Id="rId434" Type="http://schemas.openxmlformats.org/officeDocument/2006/relationships/header" Target="header35.xml"/><Relationship Id="rId435" Type="http://schemas.openxmlformats.org/officeDocument/2006/relationships/footer" Target="footer36.xml"/><Relationship Id="rId436" Type="http://schemas.openxmlformats.org/officeDocument/2006/relationships/image" Target="media/image70.png"/><Relationship Id="rId437" Type="http://schemas.openxmlformats.org/officeDocument/2006/relationships/image" Target="media/image71.png"/><Relationship Id="rId438" Type="http://schemas.openxmlformats.org/officeDocument/2006/relationships/image" Target="media/image72.png"/><Relationship Id="rId439" Type="http://schemas.openxmlformats.org/officeDocument/2006/relationships/image" Target="media/image73.png"/><Relationship Id="rId440" Type="http://schemas.openxmlformats.org/officeDocument/2006/relationships/header" Target="header36.xml"/><Relationship Id="rId441" Type="http://schemas.openxmlformats.org/officeDocument/2006/relationships/footer" Target="footer37.xml"/><Relationship Id="rId442" Type="http://schemas.openxmlformats.org/officeDocument/2006/relationships/hyperlink" Target="https://www.mass.gov/files/documents/2023/10/18/Housing%20Bond%20Bill%20and%20Filing%20Letter%20FINAL%20PDF.pdf" TargetMode="External"/><Relationship Id="rId443" Type="http://schemas.openxmlformats.org/officeDocument/2006/relationships/image" Target="media/image74.jpeg"/><Relationship Id="rId444" Type="http://schemas.openxmlformats.org/officeDocument/2006/relationships/image" Target="media/image75.jpeg"/><Relationship Id="rId445" Type="http://schemas.openxmlformats.org/officeDocument/2006/relationships/image" Target="media/image76.jpeg"/><Relationship Id="rId446" Type="http://schemas.openxmlformats.org/officeDocument/2006/relationships/hyperlink" Target="https://docs.google.com/spreadsheets/d/1OUwpmDTXAjT85FNq1zcg_-B6Z0m1PWJFcbMBJkH_7Jw/edit?usp=sharing" TargetMode="External"/><Relationship Id="rId447" Type="http://schemas.openxmlformats.org/officeDocument/2006/relationships/hyperlink" Target="https://www.masstpc.org/wp-content/uploads/Shelter-for-All-Genders-Revised-2023-FINAL.pdf" TargetMode="External"/><Relationship Id="rId448" Type="http://schemas.openxmlformats.org/officeDocument/2006/relationships/hyperlink" Target="https://www.hud.gov/sites/dfiles/CPD/documents/CoC-2023-MA_Press.pdf" TargetMode="External"/><Relationship Id="rId449" Type="http://schemas.openxmlformats.org/officeDocument/2006/relationships/hyperlink" Target="http://www.huduser.gov/portal/datasets/ahar/2023-ahar-part-1-pit-estimates-of-" TargetMode="External"/><Relationship Id="rId450" Type="http://schemas.openxmlformats.org/officeDocument/2006/relationships/hyperlink" Target="http://www.mass.gov/doc/massachusetts-state-plan-to-end-youth-homelessness/download" TargetMode="External"/><Relationship Id="rId451" Type="http://schemas.openxmlformats.org/officeDocument/2006/relationships/hyperlink" Target="http://www.mass.gov/news/healey-driscoll-administration-unveils-4-billion-affordable-homes-" TargetMode="External"/><Relationship Id="rId452" Type="http://schemas.openxmlformats.org/officeDocument/2006/relationships/header" Target="header37.xml"/><Relationship Id="rId453" Type="http://schemas.openxmlformats.org/officeDocument/2006/relationships/footer" Target="footer38.xml"/><Relationship Id="rId454" Type="http://schemas.openxmlformats.org/officeDocument/2006/relationships/hyperlink" Target="http://www.mass.gov/news/governor-healey-declares-state-of-emergency-calls-for-support-" TargetMode="External"/><Relationship Id="rId455" Type="http://schemas.openxmlformats.org/officeDocument/2006/relationships/hyperlink" Target="https://doi.org/10.1016/j.jadohealth.2019.11.314" TargetMode="External"/><Relationship Id="rId456" Type="http://schemas.openxmlformats.org/officeDocument/2006/relationships/hyperlink" Target="http://www.thetrevorproject.org/" TargetMode="External"/><Relationship Id="rId457" Type="http://schemas.openxmlformats.org/officeDocument/2006/relationships/header" Target="header38.xml"/><Relationship Id="rId458" Type="http://schemas.openxmlformats.org/officeDocument/2006/relationships/footer" Target="footer39.xml"/><Relationship Id="rId459" Type="http://schemas.openxmlformats.org/officeDocument/2006/relationships/hyperlink" Target="http://www.doe.mass.edu/sfs/mv/2022-23data.html" TargetMode="External"/><Relationship Id="rId460" Type="http://schemas.openxmlformats.org/officeDocument/2006/relationships/hyperlink" Target="http://www.masstpc.org/wp-content/uploads/Shelter-for-All-Genders-Revised-2023-FINAL.pdf" TargetMode="External"/><Relationship Id="rId461" Type="http://schemas.openxmlformats.org/officeDocument/2006/relationships/hyperlink" Target="http://www.hud.gov/program_offices/comm_planning/coc/fy_2023_coc_competition" TargetMode="External"/><Relationship Id="rId462" Type="http://schemas.openxmlformats.org/officeDocument/2006/relationships/hyperlink" Target="http://www.capecod.gov/departments/human-services/initiatives/housing-homelessness/continuum-of-care/" TargetMode="External"/><Relationship Id="rId463" Type="http://schemas.openxmlformats.org/officeDocument/2006/relationships/hyperlink" Target="http://www.hud.gov/sites/dfiles/State/documents/Joint_TH-RRH_Program_Component_Presentation.pdf" TargetMode="External"/><Relationship Id="rId464" Type="http://schemas.openxmlformats.org/officeDocument/2006/relationships/header" Target="header39.xml"/><Relationship Id="rId465" Type="http://schemas.openxmlformats.org/officeDocument/2006/relationships/footer" Target="footer40.xml"/><Relationship Id="rId466" Type="http://schemas.openxmlformats.org/officeDocument/2006/relationships/image" Target="media/image77.png"/><Relationship Id="rId467" Type="http://schemas.openxmlformats.org/officeDocument/2006/relationships/image" Target="media/image78.png"/><Relationship Id="rId468" Type="http://schemas.openxmlformats.org/officeDocument/2006/relationships/image" Target="media/image79.png"/><Relationship Id="rId469" Type="http://schemas.openxmlformats.org/officeDocument/2006/relationships/image" Target="media/image80.png"/><Relationship Id="rId470" Type="http://schemas.openxmlformats.org/officeDocument/2006/relationships/header" Target="header40.xml"/><Relationship Id="rId471" Type="http://schemas.openxmlformats.org/officeDocument/2006/relationships/footer" Target="footer41.xml"/><Relationship Id="rId472" Type="http://schemas.openxmlformats.org/officeDocument/2006/relationships/image" Target="media/image81.jpeg"/><Relationship Id="rId473" Type="http://schemas.openxmlformats.org/officeDocument/2006/relationships/image" Target="media/image82.jpeg"/><Relationship Id="rId474" Type="http://schemas.openxmlformats.org/officeDocument/2006/relationships/image" Target="media/image83.jpeg"/><Relationship Id="rId475" Type="http://schemas.openxmlformats.org/officeDocument/2006/relationships/image" Target="media/image84.jpeg"/><Relationship Id="rId476" Type="http://schemas.openxmlformats.org/officeDocument/2006/relationships/hyperlink" Target="https://www.vera.org/news/why-we-say-criminal-legal-system-not-criminal-justice-system" TargetMode="External"/><Relationship Id="rId477" Type="http://schemas.openxmlformats.org/officeDocument/2006/relationships/hyperlink" Target="https://www.vera.org/downloads/publications/for-the-record-unjust-burden-racial-disparities.pdf" TargetMode="External"/><Relationship Id="rId478" Type="http://schemas.openxmlformats.org/officeDocument/2006/relationships/hyperlink" Target="http://www.lambdalegal.org/node/30521" TargetMode="External"/><Relationship Id="rId479" Type="http://schemas.openxmlformats.org/officeDocument/2006/relationships/hyperlink" Target="https://www.lgbtmap.org/file/lgbtq-incarcerated-youth.pdf" TargetMode="External"/><Relationship Id="rId480" Type="http://schemas.openxmlformats.org/officeDocument/2006/relationships/hyperlink" Target="https://www.prisonpolicy.org/blog/2021/03/02/lgbtq/" TargetMode="External"/><Relationship Id="rId481" Type="http://schemas.openxmlformats.org/officeDocument/2006/relationships/hyperlink" Target="https://www.mass.gov/doc/dys-recidivism-report-2023/download#%3A%7E%3Atext%3DGender%2C%20Race%2C%20and%20LGBTQ%2B%20Outcomes%20for%20the%20DYS%202018%20Cohort%2C-As%20observed%20historically%26text%3DThe%20overall%20recidivism%20rate%20is%2Cfemale%20accounting%20for%20only%202.3%25" TargetMode="External"/><Relationship Id="rId482" Type="http://schemas.openxmlformats.org/officeDocument/2006/relationships/hyperlink" Target="http://www.blackandpink.org/wp-content/upLoads/Coming-Out-of-Concrete-" TargetMode="External"/><Relationship Id="rId483" Type="http://schemas.openxmlformats.org/officeDocument/2006/relationships/hyperlink" Target="http://www.nclrights.org/our-work/racial-economic-justice/criminalization-incarceration" TargetMode="External"/><Relationship Id="rId484" Type="http://schemas.openxmlformats.org/officeDocument/2006/relationships/hyperlink" Target="http://www.urban.org/features/five-charts-explain-homelessness-jail-cycle-and-how-break-it" TargetMode="External"/><Relationship Id="rId485" Type="http://schemas.openxmlformats.org/officeDocument/2006/relationships/hyperlink" Target="https://www.mass.gov/doc/2022-youth-count-report/download" TargetMode="External"/><Relationship Id="rId486" Type="http://schemas.openxmlformats.org/officeDocument/2006/relationships/hyperlink" Target="https://www.thetrevorproject.org/wp-content/uploads/2022/02/Trevor-Project-Homelessness-Report.pdf" TargetMode="External"/><Relationship Id="rId487" Type="http://schemas.openxmlformats.org/officeDocument/2006/relationships/hyperlink" Target="https://youth.gov/youth-topics/lgbtq-youth/homelessness" TargetMode="External"/><Relationship Id="rId488" Type="http://schemas.openxmlformats.org/officeDocument/2006/relationships/hyperlink" Target="https://www.thetrevorproject.org/wp-content/uploads/2022/12/The-Trevor-Project-2022-National-Survey-on-LGBTQ-Youth-Mental-Health-by-State.pdf" TargetMode="External"/><Relationship Id="rId489" Type="http://schemas.openxmlformats.org/officeDocument/2006/relationships/hyperlink" Target="https://www.cfiaus.com/ice-detention-facilities/massachusetts/" TargetMode="External"/><Relationship Id="rId490" Type="http://schemas.openxmlformats.org/officeDocument/2006/relationships/hyperlink" Target="https://www.ncbi.nlm.nih.gov/pmc/articles/PMC9829141" TargetMode="External"/><Relationship Id="rId491" Type="http://schemas.openxmlformats.org/officeDocument/2006/relationships/hyperlink" Target="https://williamsinstitute.law.ucla.edu/wp-content/uploads/Trans-Parole-Apr-2023.pdf" TargetMode="External"/><Relationship Id="rId492" Type="http://schemas.openxmlformats.org/officeDocument/2006/relationships/hyperlink" Target="https://drugfree.org/article/reducing-substance-use-risk-among-lgbtq-youth/" TargetMode="External"/><Relationship Id="rId493" Type="http://schemas.openxmlformats.org/officeDocument/2006/relationships/hyperlink" Target="https://www.ncbi.nlm.nih.gov/pmc/articles/PMC3919662" TargetMode="External"/><Relationship Id="rId494" Type="http://schemas.openxmlformats.org/officeDocument/2006/relationships/hyperlink" Target="https://www.ncbi.nlm.nih.gov/pmc/articles/PMC6859198" TargetMode="External"/><Relationship Id="rId495" Type="http://schemas.openxmlformats.org/officeDocument/2006/relationships/hyperlink" Target="https://childsafety.losangelescriminallawyer.pro/juvenile-crime-and-substance-abuse.html" TargetMode="External"/><Relationship Id="rId496" Type="http://schemas.openxmlformats.org/officeDocument/2006/relationships/hyperlink" Target="https://ojjdp.ojp.gov/statistical-briefing-book/crime/faqs/qa05101" TargetMode="External"/><Relationship Id="rId497" Type="http://schemas.openxmlformats.org/officeDocument/2006/relationships/hyperlink" Target="https://www.mass.gov/doc/quarter-1-0/download" TargetMode="External"/><Relationship Id="rId498" Type="http://schemas.openxmlformats.org/officeDocument/2006/relationships/hyperlink" Target="https://www.crimlawpractitioner.org/post/the-foster-care-to-prison-pipeline-a-road-to-incarceration#%3A%7E%3Atext%3DThe%20foster%20care%2Dto%2Dprison%20pipeline%20refers%20to%20the%20funneling%2Cthrough%20arrest%2C%20conviction%20or%20detention" TargetMode="External"/><Relationship Id="rId499" Type="http://schemas.openxmlformats.org/officeDocument/2006/relationships/hyperlink" Target="https://www.crimlawpractitioner.org/post/the-foster-care-to-prison-pipeline-a-road-to-incarceration" TargetMode="External"/><Relationship Id="rId500" Type="http://schemas.openxmlformats.org/officeDocument/2006/relationships/hyperlink" Target="http://www.thetrevorproject.org/wp-content/uploads/2021/07/LGBTQ-Youth-with-a-History-of-Foster-Care_-May-2021.pdf" TargetMode="External"/><Relationship Id="rId501" Type="http://schemas.openxmlformats.org/officeDocument/2006/relationships/hyperlink" Target="https://hrc-prod-requests.s3-us-west-2.amazonaws.com/files/assets/resources/HRC-YouthFosterCare-IssueBrief-FINAL.pdf" TargetMode="External"/><Relationship Id="rId502" Type="http://schemas.openxmlformats.org/officeDocument/2006/relationships/hyperlink" Target="https://www.mass.gov/news/state-of-emergency-for-lgbtq-youth-in-the-ma-child-welfare-system" TargetMode="External"/><Relationship Id="rId503" Type="http://schemas.openxmlformats.org/officeDocument/2006/relationships/hyperlink" Target="http://www.ojp.gov/ncjrs/virtual-library/abstracts/unfair-" TargetMode="External"/><Relationship Id="rId504" Type="http://schemas.openxmlformats.org/officeDocument/2006/relationships/hyperlink" Target="http://www.thetrevorproject.org/wp-content/uploads/2022/12/The-Trevor-Project-2022-National-Survey-on-LGBTQ-Youth-" TargetMode="External"/><Relationship Id="rId505" Type="http://schemas.openxmlformats.org/officeDocument/2006/relationships/hyperlink" Target="https://papers.ssrn.com/sol3/papers.cfm?abstract_id=2577333" TargetMode="External"/><Relationship Id="rId506" Type="http://schemas.openxmlformats.org/officeDocument/2006/relationships/hyperlink" Target="https://www.aclu.org/documents/what-school-prison-pipeline" TargetMode="External"/><Relationship Id="rId507" Type="http://schemas.openxmlformats.org/officeDocument/2006/relationships/hyperlink" Target="https://journals.sagepub.com/doi/10.1177/0743558414557625" TargetMode="External"/><Relationship Id="rId508" Type="http://schemas.openxmlformats.org/officeDocument/2006/relationships/hyperlink" Target="http://www.nswp.org/sites/default/files/nswp_written_statement_-_hlm_on_trafficking_in_persons_november_2021.pdf" TargetMode="External"/><Relationship Id="rId509" Type="http://schemas.openxmlformats.org/officeDocument/2006/relationships/hyperlink" Target="https://malegislature.gov/Bills/193/S2551" TargetMode="External"/><Relationship Id="rId510" Type="http://schemas.openxmlformats.org/officeDocument/2006/relationships/hyperlink" Target="http://www.glapn.org/sodomylaws/sensibilities/massachusetts.htm" TargetMode="External"/><Relationship Id="rId511" Type="http://schemas.openxmlformats.org/officeDocument/2006/relationships/hyperlink" Target="http://avp.org/wpcontent/uploads/2017/06/NCAVP_2016HateViolence_REPORT.pdf" TargetMode="External"/><Relationship Id="rId512" Type="http://schemas.openxmlformats.org/officeDocument/2006/relationships/hyperlink" Target="https://link.springer.com/article/10.1007/s13178-021-00596-5" TargetMode="External"/><Relationship Id="rId513" Type="http://schemas.openxmlformats.org/officeDocument/2006/relationships/hyperlink" Target="http://www.lgbtmap.org/file/lgbt-criminal-justice-youth.pdf" TargetMode="External"/><Relationship Id="rId514" Type="http://schemas.openxmlformats.org/officeDocument/2006/relationships/hyperlink" Target="https://www.mass.gov/doc/jjpad-2023-annual-report/download" TargetMode="External"/><Relationship Id="rId515" Type="http://schemas.openxmlformats.org/officeDocument/2006/relationships/hyperlink" Target="http://www.blackandpink.org/wp-" TargetMode="External"/><Relationship Id="rId516" Type="http://schemas.openxmlformats.org/officeDocument/2006/relationships/hyperlink" Target="http://www.sentencingproject.org/app/uploads/2022/10/Incarcerated-LGBTQ-Youth-and-Adults.pdf" TargetMode="External"/><Relationship Id="rId517" Type="http://schemas.openxmlformats.org/officeDocument/2006/relationships/hyperlink" Target="http://www.childrensdefense.org/resources/letter-against-adolescent-offender-solitary-confinement/" TargetMode="External"/><Relationship Id="rId518" Type="http://schemas.openxmlformats.org/officeDocument/2006/relationships/hyperlink" Target="http://www.apa.org/news/press/releases/2024/03/punitive-isolation-juvenile-justice" TargetMode="External"/><Relationship Id="rId519" Type="http://schemas.openxmlformats.org/officeDocument/2006/relationships/hyperlink" Target="http://www.hivlawandpolicy.org/sites/default/files/TS%20LRM%20Dec.%202010.pdf" TargetMode="External"/><Relationship Id="rId520" Type="http://schemas.openxmlformats.org/officeDocument/2006/relationships/hyperlink" Target="https://www.ncbi.nlm.nih.gov/pmc/articles/PMC7384551/#%3A%7E%3Atext%3DRecent%20studies%20have%20consistently%20shown%2C(Aidala%2C%20Cross%2C%20Stall%2C" TargetMode="External"/><Relationship Id="rId521" Type="http://schemas.openxmlformats.org/officeDocument/2006/relationships/hyperlink" Target="https://www.ojp.gov/pdffiles/hivjuve.pdf" TargetMode="External"/><Relationship Id="rId522" Type="http://schemas.openxmlformats.org/officeDocument/2006/relationships/hyperlink" Target="http://www.sciencedirect.com/science/article/abs/pii/S1054139X23002744" TargetMode="External"/><Relationship Id="rId523" Type="http://schemas.openxmlformats.org/officeDocument/2006/relationships/hyperlink" Target="http://www.ojp.gov/pdffiles1/nij/grants/251583.pdf" TargetMode="External"/><Relationship Id="rId524" Type="http://schemas.openxmlformats.org/officeDocument/2006/relationships/hyperlink" Target="http://www.publichealthwm.org/application/files/1617/0204/8768/Clean-Slate-Fact-Sheet_REVISED-12-7-23.pdf" TargetMode="External"/><Relationship Id="rId525" Type="http://schemas.openxmlformats.org/officeDocument/2006/relationships/hyperlink" Target="https://malegislature.gov/Bills/190/S2371" TargetMode="External"/><Relationship Id="rId526" Type="http://schemas.openxmlformats.org/officeDocument/2006/relationships/hyperlink" Target="http://www.mass.gov/doc/jjpad-2023-annual-report/download" TargetMode="External"/><Relationship Id="rId527" Type="http://schemas.openxmlformats.org/officeDocument/2006/relationships/hyperlink" Target="http://www.wbur.org/news/2020/12/01/massachusetts-police-reform-legislation-explainer" TargetMode="External"/><Relationship Id="rId528" Type="http://schemas.openxmlformats.org/officeDocument/2006/relationships/hyperlink" Target="http://www.mass.gov/doc/2014-jjac-annual-report/download" TargetMode="External"/><Relationship Id="rId529" Type="http://schemas.openxmlformats.org/officeDocument/2006/relationships/hyperlink" Target="https://www.mass.gov/doc/jjpad-2022-annual-report/download" TargetMode="External"/><Relationship Id="rId530" Type="http://schemas.openxmlformats.org/officeDocument/2006/relationships/hyperlink" Target="http://www.cfjj.org/justice-by-geography" TargetMode="External"/><Relationship Id="rId531" Type="http://schemas.openxmlformats.org/officeDocument/2006/relationships/hyperlink" Target="http://www.masslive.com/news/2024/01/mass-saw-increase-in-juvenile-justice-involvement-in-2023-report-" TargetMode="External"/><Relationship Id="rId532" Type="http://schemas.openxmlformats.org/officeDocument/2006/relationships/hyperlink" Target="https://www.mass.gov/info-details/measuring-equity-in-juvenile-detentions#equity-in-the-juvenile-justice-system-" TargetMode="External"/><Relationship Id="rId533" Type="http://schemas.openxmlformats.org/officeDocument/2006/relationships/hyperlink" Target="https://www.mass.gov/doc/lgbtqia-nondiscrimination-policy/download" TargetMode="External"/><Relationship Id="rId534" Type="http://schemas.openxmlformats.org/officeDocument/2006/relationships/hyperlink" Target="https://www.mass.gov/doc/fy24-annual-progress-services-report/download" TargetMode="External"/><Relationship Id="rId535" Type="http://schemas.openxmlformats.org/officeDocument/2006/relationships/hyperlink" Target="http://www.mass.gov/news/massachusetts-department-of-correction-implements-no-cost-calls" TargetMode="External"/><Relationship Id="rId536" Type="http://schemas.openxmlformats.org/officeDocument/2006/relationships/hyperlink" Target="http://www.wgbh.org/news/local/2023-11-17/massachusetts-becomes-fifth-state-in-nation-to-make-prison-calls-free" TargetMode="External"/><Relationship Id="rId537" Type="http://schemas.openxmlformats.org/officeDocument/2006/relationships/hyperlink" Target="http://www.wbur.org/news/2024/01/11/life-without-parole-sentencing-young-" TargetMode="External"/><Relationship Id="rId538" Type="http://schemas.openxmlformats.org/officeDocument/2006/relationships/hyperlink" Target="http://www.mass.gov/news/healey-driscoll-administration-awards-nearly-65-million-in-grants-to-reduce-recidivism-among-" TargetMode="External"/><Relationship Id="rId539" Type="http://schemas.openxmlformats.org/officeDocument/2006/relationships/hyperlink" Target="http://www.mass.gov/news/governor-healey-announces-" TargetMode="External"/><Relationship Id="rId540" Type="http://schemas.openxmlformats.org/officeDocument/2006/relationships/hyperlink" Target="https://www.wbur.org/news/2024/04/03/council-approves-blanket-pardon-for-cannabis-possession-charges" TargetMode="External"/><Relationship Id="rId541" Type="http://schemas.openxmlformats.org/officeDocument/2006/relationships/hyperlink" Target="https://www.sentencingproject.org/app/uploads/2023/03/Why-Youth-Incarceration-Fails.pdf" TargetMode="External"/><Relationship Id="rId542" Type="http://schemas.openxmlformats.org/officeDocument/2006/relationships/hyperlink" Target="https://www.mass.gov/info-details/jdai-diversion" TargetMode="External"/><Relationship Id="rId543" Type="http://schemas.openxmlformats.org/officeDocument/2006/relationships/hyperlink" Target="https://www.mass.gov/doc/oca-report-on-the-massachusetts-youth-diversion-program/download" TargetMode="External"/><Relationship Id="rId544" Type="http://schemas.openxmlformats.org/officeDocument/2006/relationships/hyperlink" Target="https://www.mass.gov/info-details/credible-messenger-program" TargetMode="External"/><Relationship Id="rId545" Type="http://schemas.openxmlformats.org/officeDocument/2006/relationships/hyperlink" Target="http://www.umb.edu/cpdd/key-areas/law-justice-" TargetMode="External"/><Relationship Id="rId546" Type="http://schemas.openxmlformats.org/officeDocument/2006/relationships/hyperlink" Target="http://www.urban.org/sites/default/files/publication/100013/innovative_strategies_for_investing_in_youth_justice_0.pdf" TargetMode="External"/><Relationship Id="rId547" Type="http://schemas.openxmlformats.org/officeDocument/2006/relationships/hyperlink" Target="https://www.mass.gov/doc/racial-ethnic-disparities-at-the-front-door-of-massachusetts-juvenile-justice-system-understanding-the-factors-leading-to-overrepresentation-of-black-and-latino-youth-entering-the-system/download" TargetMode="External"/><Relationship Id="rId548" Type="http://schemas.openxmlformats.org/officeDocument/2006/relationships/hyperlink" Target="https://www.ncbi.nlm.nih.gov/pmc/articles/PMC4978434/" TargetMode="External"/><Relationship Id="rId549" Type="http://schemas.openxmlformats.org/officeDocument/2006/relationships/hyperlink" Target="https://www.ncjfcj.org/wp-content/uploads/2020/09/NCJFCJ_Strategies_for_Engaging_PWLE_Final.pdf" TargetMode="External"/><Relationship Id="rId550" Type="http://schemas.openxmlformats.org/officeDocument/2006/relationships/hyperlink" Target="http://www.njjn.org/uploads/digital-library/resource_497.pdf" TargetMode="External"/><Relationship Id="rId551" Type="http://schemas.openxmlformats.org/officeDocument/2006/relationships/header" Target="header41.xml"/><Relationship Id="rId552" Type="http://schemas.openxmlformats.org/officeDocument/2006/relationships/footer" Target="footer42.xml"/><Relationship Id="rId553" Type="http://schemas.openxmlformats.org/officeDocument/2006/relationships/image" Target="media/image85.png"/><Relationship Id="rId554" Type="http://schemas.openxmlformats.org/officeDocument/2006/relationships/image" Target="media/image86.png"/><Relationship Id="rId555" Type="http://schemas.openxmlformats.org/officeDocument/2006/relationships/image" Target="media/image87.png"/><Relationship Id="rId556" Type="http://schemas.openxmlformats.org/officeDocument/2006/relationships/header" Target="header42.xml"/><Relationship Id="rId557" Type="http://schemas.openxmlformats.org/officeDocument/2006/relationships/footer" Target="footer43.xml"/><Relationship Id="rId558" Type="http://schemas.openxmlformats.org/officeDocument/2006/relationships/hyperlink" Target="https://malegislature.gov/Bills/193/S1990" TargetMode="External"/><Relationship Id="rId559" Type="http://schemas.openxmlformats.org/officeDocument/2006/relationships/hyperlink" Target="https://malegislature.gov/Bills/193/H3084" TargetMode="External"/><Relationship Id="rId560" Type="http://schemas.openxmlformats.org/officeDocument/2006/relationships/hyperlink" Target="https://malegislature.gov/Bills/193/S1510" TargetMode="External"/><Relationship Id="rId561" Type="http://schemas.openxmlformats.org/officeDocument/2006/relationships/hyperlink" Target="https://malegislature.gov/Bills/193/H2288" TargetMode="External"/><Relationship Id="rId562" Type="http://schemas.openxmlformats.org/officeDocument/2006/relationships/hyperlink" Target="https://malegislature.gov/Bills/193/S817" TargetMode="External"/><Relationship Id="rId563" Type="http://schemas.openxmlformats.org/officeDocument/2006/relationships/hyperlink" Target="https://malegislature.gov/Bills/193/H1281" TargetMode="External"/><Relationship Id="rId564" Type="http://schemas.openxmlformats.org/officeDocument/2006/relationships/hyperlink" Target="https://malegislature.gov/Bills/193/S740" TargetMode="External"/><Relationship Id="rId565" Type="http://schemas.openxmlformats.org/officeDocument/2006/relationships/hyperlink" Target="https://malegislature.gov/Bills/193/H1237" TargetMode="External"/><Relationship Id="rId566" Type="http://schemas.openxmlformats.org/officeDocument/2006/relationships/image" Target="media/image88.jpeg"/><Relationship Id="rId567" Type="http://schemas.openxmlformats.org/officeDocument/2006/relationships/image" Target="media/image89.jpeg"/><Relationship Id="rId568" Type="http://schemas.openxmlformats.org/officeDocument/2006/relationships/image" Target="media/image90.jpeg"/><Relationship Id="rId569" Type="http://schemas.openxmlformats.org/officeDocument/2006/relationships/hyperlink" Target="https://malegislature.gov/Bills/193/SD1169" TargetMode="External"/><Relationship Id="rId570" Type="http://schemas.openxmlformats.org/officeDocument/2006/relationships/hyperlink" Target="https://malegislature.gov/Bills/193/HD1964" TargetMode="External"/><Relationship Id="rId571" Type="http://schemas.openxmlformats.org/officeDocument/2006/relationships/image" Target="media/image91.jpeg"/><Relationship Id="rId572" Type="http://schemas.openxmlformats.org/officeDocument/2006/relationships/image" Target="media/image92.jpeg"/><Relationship Id="rId573" Type="http://schemas.openxmlformats.org/officeDocument/2006/relationships/hyperlink" Target="https://www.mass.gov/orgs/office-for-refugees-and-immigrants" TargetMode="External"/><Relationship Id="rId574" Type="http://schemas.openxmlformats.org/officeDocument/2006/relationships/hyperlink" Target="https://www.denovo.org/immigration" TargetMode="External"/><Relationship Id="rId575" Type="http://schemas.openxmlformats.org/officeDocument/2006/relationships/hyperlink" Target="https://www.mass.gov/doc/printable-dmh-multicultural-resource-directory-complete/download" TargetMode="External"/><Relationship Id="rId576" Type="http://schemas.openxmlformats.org/officeDocument/2006/relationships/hyperlink" Target="https://www.lgbtasylum.org/" TargetMode="External"/><Relationship Id="rId577" Type="http://schemas.openxmlformats.org/officeDocument/2006/relationships/hyperlink" Target="https://mlac.org/funding/immigrantsrightsfund/faq/" TargetMode="External"/><Relationship Id="rId578" Type="http://schemas.openxmlformats.org/officeDocument/2006/relationships/hyperlink" Target="https://cambridgecf.org/united-legal-defense-fund-for-immigrants/" TargetMode="External"/><Relationship Id="rId579" Type="http://schemas.openxmlformats.org/officeDocument/2006/relationships/hyperlink" Target="http://www.wgbh.org/news/local-news/2023/01/05/massachusetts-sheriff-ends-enforcement-agreement-with-ice" TargetMode="External"/><Relationship Id="rId580" Type="http://schemas.openxmlformats.org/officeDocument/2006/relationships/hyperlink" Target="http://www.bostonherald.com/2023/01/09/boston-police-say-they-received-ignored-12-ice-immigration-detainer-requests/" TargetMode="External"/><Relationship Id="rId581" Type="http://schemas.openxmlformats.org/officeDocument/2006/relationships/hyperlink" Target="http://www.lirs.org/causes-of-immigration/" TargetMode="External"/><Relationship Id="rId582" Type="http://schemas.openxmlformats.org/officeDocument/2006/relationships/hyperlink" Target="http://www.boundless.com/blog/a-short-history-lgbtq-immigration-policy/" TargetMode="External"/><Relationship Id="rId583" Type="http://schemas.openxmlformats.org/officeDocument/2006/relationships/hyperlink" Target="http://www.americanprogress.org/article/on-the-50th-anniversary-of-the-immigration-and-nationality-act-changes-are-" TargetMode="External"/><Relationship Id="rId584" Type="http://schemas.openxmlformats.org/officeDocument/2006/relationships/hyperlink" Target="https://apps.npr.org/election-results-live-2022/" TargetMode="External"/><Relationship Id="rId585" Type="http://schemas.openxmlformats.org/officeDocument/2006/relationships/hyperlink" Target="http://www.historians.org/research-and-publications/perspectives-on-history/march-2016/queer-migrations-a-perspectives-" TargetMode="External"/><Relationship Id="rId586" Type="http://schemas.openxmlformats.org/officeDocument/2006/relationships/hyperlink" Target="http://www.thetrevorproject.org/survey-2020/" TargetMode="External"/><Relationship Id="rId587" Type="http://schemas.openxmlformats.org/officeDocument/2006/relationships/hyperlink" Target="http://www.americanprogress.org/article/serving-lgbtq-immigrants-" TargetMode="External"/><Relationship Id="rId588" Type="http://schemas.openxmlformats.org/officeDocument/2006/relationships/hyperlink" Target="https://psycnet.apa.org/doi/10.1037/lat0000001" TargetMode="External"/><Relationship Id="rId589" Type="http://schemas.openxmlformats.org/officeDocument/2006/relationships/hyperlink" Target="http://www.thetrevorproject.org/research-briefs/lgbtq-youth-from-immigrant-families-2/" TargetMode="External"/><Relationship Id="rId590" Type="http://schemas.openxmlformats.org/officeDocument/2006/relationships/hyperlink" Target="https://doi.org/10.1111/imre.12041" TargetMode="External"/><Relationship Id="rId591" Type="http://schemas.openxmlformats.org/officeDocument/2006/relationships/hyperlink" Target="http://www.americanprogress.org/article/we-the-people-2/" TargetMode="External"/><Relationship Id="rId592" Type="http://schemas.openxmlformats.org/officeDocument/2006/relationships/hyperlink" Target="http://www.lgbtmap.org/policy-and-issue-analysis/criminal-" TargetMode="External"/><Relationship Id="rId593" Type="http://schemas.openxmlformats.org/officeDocument/2006/relationships/hyperlink" Target="http://www.protectedandserved.org/2022-report-executive-summary" TargetMode="External"/><Relationship Id="rId594" Type="http://schemas.openxmlformats.org/officeDocument/2006/relationships/hyperlink" Target="https://www.mass.gov/doc/2021-massachusetts-hate-crime-report/download" TargetMode="External"/><Relationship Id="rId595" Type="http://schemas.openxmlformats.org/officeDocument/2006/relationships/hyperlink" Target="http://www.americanprogress.org/article/police-entanglement-immigration-enforcement-" TargetMode="External"/><Relationship Id="rId596" Type="http://schemas.openxmlformats.org/officeDocument/2006/relationships/hyperlink" Target="http://www.wbur.org/news/2020/04/07/coronavirus-translation-problems" TargetMode="External"/><Relationship Id="rId597" Type="http://schemas.openxmlformats.org/officeDocument/2006/relationships/hyperlink" Target="http://www.mass.gov/doc/2021-youth-count-report/download" TargetMode="External"/><Relationship Id="rId598" Type="http://schemas.openxmlformats.org/officeDocument/2006/relationships/hyperlink" Target="http://www.nilc.org/issues/economic-support/quick-guide-aca-means-tested-programs/" TargetMode="External"/><Relationship Id="rId599" Type="http://schemas.openxmlformats.org/officeDocument/2006/relationships/hyperlink" Target="http://www.mass.gov/service-details/information-for-immigrant-patients-and-their-health-care-providers-on-" TargetMode="External"/><Relationship Id="rId600" Type="http://schemas.openxmlformats.org/officeDocument/2006/relationships/hyperlink" Target="http://www.kff.org/racial-equity-and-" TargetMode="External"/><Relationship Id="rId601" Type="http://schemas.openxmlformats.org/officeDocument/2006/relationships/hyperlink" Target="http://www.bostonindicators.org/reports/report-website-pages/growing-wave-of-restrictions" TargetMode="External"/><Relationship Id="rId602" Type="http://schemas.openxmlformats.org/officeDocument/2006/relationships/hyperlink" Target="http://www.migrationpolicy.org/research/untapped-talent-costs-brain-waste-among-highly-skilled-immigrants-united-states" TargetMode="External"/><Relationship Id="rId603" Type="http://schemas.openxmlformats.org/officeDocument/2006/relationships/hyperlink" Target="http://www.americanprogress.org/article/ending-daca-means-lgbtq-dreamers/" TargetMode="External"/><Relationship Id="rId604" Type="http://schemas.openxmlformats.org/officeDocument/2006/relationships/hyperlink" Target="http://www.americanprogress.org/article/daca-recipients-" TargetMode="External"/><Relationship Id="rId605" Type="http://schemas.openxmlformats.org/officeDocument/2006/relationships/header" Target="header43.xml"/><Relationship Id="rId606" Type="http://schemas.openxmlformats.org/officeDocument/2006/relationships/footer" Target="footer44.xml"/><Relationship Id="rId607" Type="http://schemas.openxmlformats.org/officeDocument/2006/relationships/image" Target="media/image93.png"/><Relationship Id="rId608" Type="http://schemas.openxmlformats.org/officeDocument/2006/relationships/image" Target="media/image94.png"/><Relationship Id="rId609" Type="http://schemas.openxmlformats.org/officeDocument/2006/relationships/image" Target="media/image95.png"/><Relationship Id="rId610" Type="http://schemas.openxmlformats.org/officeDocument/2006/relationships/image" Target="media/image96.png"/><Relationship Id="rId611" Type="http://schemas.openxmlformats.org/officeDocument/2006/relationships/image" Target="media/image97.png"/><Relationship Id="rId612" Type="http://schemas.openxmlformats.org/officeDocument/2006/relationships/image" Target="media/image98.png"/><Relationship Id="rId613" Type="http://schemas.openxmlformats.org/officeDocument/2006/relationships/image" Target="media/image99.png"/><Relationship Id="rId614" Type="http://schemas.openxmlformats.org/officeDocument/2006/relationships/image" Target="media/image100.png"/><Relationship Id="rId615" Type="http://schemas.openxmlformats.org/officeDocument/2006/relationships/header" Target="header44.xml"/><Relationship Id="rId616" Type="http://schemas.openxmlformats.org/officeDocument/2006/relationships/footer" Target="footer45.xml"/><Relationship Id="rId617" Type="http://schemas.openxmlformats.org/officeDocument/2006/relationships/image" Target="media/image101.jpeg"/><Relationship Id="rId618" Type="http://schemas.openxmlformats.org/officeDocument/2006/relationships/image" Target="media/image102.jpeg"/><Relationship Id="rId619" Type="http://schemas.openxmlformats.org/officeDocument/2006/relationships/image" Target="media/image103.jpeg"/><Relationship Id="rId620" Type="http://schemas.openxmlformats.org/officeDocument/2006/relationships/hyperlink" Target="http://www.epa.gov/environmentaljustice/environmental-justice-timeline" TargetMode="External"/><Relationship Id="rId621" Type="http://schemas.openxmlformats.org/officeDocument/2006/relationships/hyperlink" Target="http://www.ienearth.org/about/" TargetMode="External"/><Relationship Id="rId622" Type="http://schemas.openxmlformats.org/officeDocument/2006/relationships/hyperlink" Target="http://www.npr.org/2022/06/29/1106404838/on-marthas-vineyard-tribal-elders-work-to-restore-land-to-its-pre-" TargetMode="External"/><Relationship Id="rId623" Type="http://schemas.openxmlformats.org/officeDocument/2006/relationships/hyperlink" Target="http://www.hcn.org/issues/54.7/indigenous-affairs-perspective-environmental-justice-is-only-the-beginning" TargetMode="External"/><Relationship Id="rId624" Type="http://schemas.openxmlformats.org/officeDocument/2006/relationships/hyperlink" Target="http://www.mass.gov/service-details/environmental-" TargetMode="External"/><Relationship Id="rId625" Type="http://schemas.openxmlformats.org/officeDocument/2006/relationships/hyperlink" Target="http://www.mass.gov/service-" TargetMode="External"/><Relationship Id="rId626" Type="http://schemas.openxmlformats.org/officeDocument/2006/relationships/hyperlink" Target="http://www.ted.com/talks/kimberle_crenshaw_the_urgency_of_intersectionality" TargetMode="External"/><Relationship Id="rId627" Type="http://schemas.openxmlformats.org/officeDocument/2006/relationships/hyperlink" Target="http://www.epa.gov/sciencematters/epa-researchers-release-" TargetMode="External"/><Relationship Id="rId628" Type="http://schemas.openxmlformats.org/officeDocument/2006/relationships/hyperlink" Target="http://www.epa.gov/environmentaljustice/ej-2020-" TargetMode="External"/><Relationship Id="rId629" Type="http://schemas.openxmlformats.org/officeDocument/2006/relationships/hyperlink" Target="http://www.lung.org/clean-air/outdoors/who-is-at-risk/disparities" TargetMode="External"/><Relationship Id="rId630" Type="http://schemas.openxmlformats.org/officeDocument/2006/relationships/hyperlink" Target="http://www.mass.gov/doc/2022-massachusetts-youth-count/download" TargetMode="External"/><Relationship Id="rId631" Type="http://schemas.openxmlformats.org/officeDocument/2006/relationships/hyperlink" Target="http://www.cdc.gov/tobacco/health-equity/lgbtq/index.html" TargetMode="External"/><Relationship Id="rId632" Type="http://schemas.openxmlformats.org/officeDocument/2006/relationships/hyperlink" Target="http://www.cdc.gov/healthyyouth/data/yrbs/index.htm" TargetMode="External"/><Relationship Id="rId633" Type="http://schemas.openxmlformats.org/officeDocument/2006/relationships/hyperlink" Target="http://www.hrc.org/press-releases/cdc-releases-report-confirming-lesbian-gay-and-bisexual-people-at-greater-risk-of-covid-" TargetMode="External"/><Relationship Id="rId634" Type="http://schemas.openxmlformats.org/officeDocument/2006/relationships/hyperlink" Target="http://www.youtube.com/watch?v=1jgchaRTc_Y" TargetMode="External"/><Relationship Id="rId635" Type="http://schemas.openxmlformats.org/officeDocument/2006/relationships/hyperlink" Target="http://www.bcpp.org/resource/safer-beauty-and-cosmetics-state-laws/" TargetMode="External"/><Relationship Id="rId636" Type="http://schemas.openxmlformats.org/officeDocument/2006/relationships/hyperlink" Target="http://www.ncai.org/policy-research-center/research-data/prc-" TargetMode="External"/><Relationship Id="rId637" Type="http://schemas.openxmlformats.org/officeDocument/2006/relationships/hyperlink" Target="http://www.lgbtqiahealtheducation.org/publication/health-care-considerations-for-two-spirit-and-lgbtqia-indigenous-" TargetMode="External"/><Relationship Id="rId638" Type="http://schemas.openxmlformats.org/officeDocument/2006/relationships/hyperlink" Target="http://www.mass.gov/news/governor-healey-signs-executive-order-creating-massachusetts-first-ever-climate-chief" TargetMode="External"/><Relationship Id="rId639" Type="http://schemas.openxmlformats.org/officeDocument/2006/relationships/hyperlink" Target="http://www.chron.com/news/hurricanes/article/Transgender-evacuee-survives-all-obstacles-1931933.php" TargetMode="External"/><Relationship Id="rId640" Type="http://schemas.openxmlformats.org/officeDocument/2006/relationships/header" Target="header45.xml"/><Relationship Id="rId641" Type="http://schemas.openxmlformats.org/officeDocument/2006/relationships/footer" Target="footer46.xml"/><Relationship Id="rId642" Type="http://schemas.openxmlformats.org/officeDocument/2006/relationships/image" Target="media/image104.png"/><Relationship Id="rId643" Type="http://schemas.openxmlformats.org/officeDocument/2006/relationships/image" Target="media/image105.png"/><Relationship Id="rId644" Type="http://schemas.openxmlformats.org/officeDocument/2006/relationships/image" Target="media/image106.png"/><Relationship Id="rId645" Type="http://schemas.openxmlformats.org/officeDocument/2006/relationships/header" Target="header46.xml"/><Relationship Id="rId646" Type="http://schemas.openxmlformats.org/officeDocument/2006/relationships/footer" Target="footer47.xml"/><Relationship Id="rId647" Type="http://schemas.openxmlformats.org/officeDocument/2006/relationships/image" Target="media/image107.jpeg"/><Relationship Id="rId648" Type="http://schemas.openxmlformats.org/officeDocument/2006/relationships/image" Target="media/image108.jpeg"/><Relationship Id="rId649" Type="http://schemas.openxmlformats.org/officeDocument/2006/relationships/image" Target="media/image109.jpeg"/><Relationship Id="rId650" Type="http://schemas.openxmlformats.org/officeDocument/2006/relationships/hyperlink" Target="https://outandequal.org/toolkits-guides/" TargetMode="External"/><Relationship Id="rId651" Type="http://schemas.openxmlformats.org/officeDocument/2006/relationships/hyperlink" Target="https://www.nerdwallet.com/l/lgbtq-financial-planning-guide" TargetMode="External"/><Relationship Id="rId652" Type="http://schemas.openxmlformats.org/officeDocument/2006/relationships/hyperlink" Target="https://www.lgbtconnect.com/" TargetMode="External"/><Relationship Id="rId653" Type="http://schemas.openxmlformats.org/officeDocument/2006/relationships/hyperlink" Target="https://pink-jobs.com/" TargetMode="External"/><Relationship Id="rId654" Type="http://schemas.openxmlformats.org/officeDocument/2006/relationships/hyperlink" Target="https://www.projectbread.org/get-help" TargetMode="External"/><Relationship Id="rId655" Type="http://schemas.openxmlformats.org/officeDocument/2006/relationships/hyperlink" Target="http://www.bls.gov/opub/mlr/2023/article/unemployment-rate-returned-to-its-prepandemic-level-in-" TargetMode="External"/><Relationship Id="rId656" Type="http://schemas.openxmlformats.org/officeDocument/2006/relationships/hyperlink" Target="http://www.census.gov/newsroom/stories/poverty-awareness-" TargetMode="External"/><Relationship Id="rId657" Type="http://schemas.openxmlformats.org/officeDocument/2006/relationships/hyperlink" Target="http://www.pw.hks.harvard.edu/post/addressing-the-labor-" TargetMode="External"/><Relationship Id="rId658" Type="http://schemas.openxmlformats.org/officeDocument/2006/relationships/hyperlink" Target="http://dx.doi.org/10.2139/ssrn.4694653" TargetMode="External"/><Relationship Id="rId659" Type="http://schemas.openxmlformats.org/officeDocument/2006/relationships/hyperlink" Target="http://www.epi.org/blog/gender-wage-gap-persists-in-2023-women-are-paid-roughly-22-" TargetMode="External"/><Relationship Id="rId660" Type="http://schemas.openxmlformats.org/officeDocument/2006/relationships/hyperlink" Target="https://www.bls.gov/eag/eag.ma_boston_mn.htm" TargetMode="External"/><Relationship Id="rId661" Type="http://schemas.openxmlformats.org/officeDocument/2006/relationships/hyperlink" Target="http://www.bls.gov/eag/eag.ma_springfield_mn.htm" TargetMode="External"/><Relationship Id="rId662" Type="http://schemas.openxmlformats.org/officeDocument/2006/relationships/hyperlink" Target="http://www.mass.gov/doc/2022-" TargetMode="External"/><Relationship Id="rId663" Type="http://schemas.openxmlformats.org/officeDocument/2006/relationships/hyperlink" Target="http://www.boston.com/community/tell-us/should-we-say-goodbye-to-remote-work/" TargetMode="External"/><Relationship Id="rId664" Type="http://schemas.openxmlformats.org/officeDocument/2006/relationships/hyperlink" Target="http://www.bostonglobe.com/2023/12/12/magazine/bostonians-of-the-year-the-" TargetMode="External"/><Relationship Id="rId665" Type="http://schemas.openxmlformats.org/officeDocument/2006/relationships/hyperlink" Target="http://www.bostonglobe.com/2024/03/26/metro/cameras-on-buses-to-unblock-lanes/" TargetMode="External"/><Relationship Id="rId666" Type="http://schemas.openxmlformats.org/officeDocument/2006/relationships/hyperlink" Target="http://www.bostonglobe.com/2023/11/10/business/mbta-kendall-" TargetMode="External"/><Relationship Id="rId667" Type="http://schemas.openxmlformats.org/officeDocument/2006/relationships/hyperlink" Target="http://www.bostonglobe.com/2023/11/16/metro/cost-to-fix-mbta/" TargetMode="External"/><Relationship Id="rId668" Type="http://schemas.openxmlformats.org/officeDocument/2006/relationships/hyperlink" Target="http://www.masslive.com/traffic/2019/11/he-" TargetMode="External"/><Relationship Id="rId669" Type="http://schemas.openxmlformats.org/officeDocument/2006/relationships/hyperlink" Target="http://www.redfin.com/state/Massachusetts/housing-market" TargetMode="External"/><Relationship Id="rId670" Type="http://schemas.openxmlformats.org/officeDocument/2006/relationships/hyperlink" Target="http://www.cbsnews.com/boston/news/massachusetts-home-sales-prices-2023/" TargetMode="External"/><Relationship Id="rId671" Type="http://schemas.openxmlformats.org/officeDocument/2006/relationships/hyperlink" Target="http://www.boston.com/real-estate/real-estate/2024/02/06/boston-ranked-among-the-toughest-cities-for-" TargetMode="External"/><Relationship Id="rId672" Type="http://schemas.openxmlformats.org/officeDocument/2006/relationships/hyperlink" Target="http://www.neilsberg.com/insights/massachusetts-median-household-income-by-age/" TargetMode="External"/><Relationship Id="rId673" Type="http://schemas.openxmlformats.org/officeDocument/2006/relationships/hyperlink" Target="http://www.boston.com/real-estate/renting/2024/01/04/an-in-depth-look-at-the-massachusetts-rental-market-" TargetMode="External"/><Relationship Id="rId674" Type="http://schemas.openxmlformats.org/officeDocument/2006/relationships/hyperlink" Target="http://www.pewresearch.org/short-" TargetMode="External"/><Relationship Id="rId675" Type="http://schemas.openxmlformats.org/officeDocument/2006/relationships/hyperlink" Target="http://www.nbcboston.com/news/local/healey-to-unveil-4-1-billion-affordable-housing-act-aimed-at-" TargetMode="External"/><Relationship Id="rId676" Type="http://schemas.openxmlformats.org/officeDocument/2006/relationships/hyperlink" Target="http://www.boston25news.com/news/local/gov-healey-discusses-goals-" TargetMode="External"/><Relationship Id="rId677" Type="http://schemas.openxmlformats.org/officeDocument/2006/relationships/hyperlink" Target="http://www.bls.gov/careeroutlook/2023/data-on-display/education-pays.htm" TargetMode="External"/><Relationship Id="rId678" Type="http://schemas.openxmlformats.org/officeDocument/2006/relationships/hyperlink" Target="http://www.bostonglobe.com/2023/02/02/metro/mass-vocational-schools-policy-violates-student-" TargetMode="External"/><Relationship Id="rId679" Type="http://schemas.openxmlformats.org/officeDocument/2006/relationships/hyperlink" Target="http://www.mass.gov/news/healey-driscoll-administration-announces-" TargetMode="External"/><Relationship Id="rId680" Type="http://schemas.openxmlformats.org/officeDocument/2006/relationships/hyperlink" Target="http://www.gse.harvard.edu/ideas/edcast/23/02/what-do-immigrant-students-need-it-isnt-just-ell" TargetMode="External"/><Relationship Id="rId681" Type="http://schemas.openxmlformats.org/officeDocument/2006/relationships/hyperlink" Target="http://www.dlc-ma.org/2023/09/26/dlc-calls-on-dcf-to-" TargetMode="External"/><Relationship Id="rId682" Type="http://schemas.openxmlformats.org/officeDocument/2006/relationships/hyperlink" Target="http://www.urban.org/research/publication/how-" TargetMode="External"/><Relationship Id="rId683" Type="http://schemas.openxmlformats.org/officeDocument/2006/relationships/hyperlink" Target="http://www.law.georgetown.edu/poverty-journal/blog/bowling-with-bumpers-increasing-social-" TargetMode="External"/><Relationship Id="rId684" Type="http://schemas.openxmlformats.org/officeDocument/2006/relationships/hyperlink" Target="http://www.prisonpolicy.org/blog/2022/02/08/employment/" TargetMode="External"/><Relationship Id="rId685" Type="http://schemas.openxmlformats.org/officeDocument/2006/relationships/hyperlink" Target="http://www.wgbh.org/news/local/2024-01-24/five-years-after-landmark-criminal-justice-reform-" TargetMode="External"/><Relationship Id="rId686" Type="http://schemas.openxmlformats.org/officeDocument/2006/relationships/hyperlink" Target="http://www.cnn.com/politics/anti-lgbtq-plus-state-bill-rights-dg/index.html" TargetMode="External"/><Relationship Id="rId687" Type="http://schemas.openxmlformats.org/officeDocument/2006/relationships/hyperlink" Target="http://www.hrc.org/press-releases/fbis-annual-crime-report-amid-state-of-" TargetMode="External"/><Relationship Id="rId688" Type="http://schemas.openxmlformats.org/officeDocument/2006/relationships/hyperlink" Target="http://www.usnews.com/news/best-states/articles/methodology" TargetMode="External"/><Relationship Id="rId689" Type="http://schemas.openxmlformats.org/officeDocument/2006/relationships/hyperlink" Target="http://www.safehome.org/data/lgbtq-state-safety-rankings/" TargetMode="External"/><Relationship Id="rId690" Type="http://schemas.openxmlformats.org/officeDocument/2006/relationships/hyperlink" Target="http://www.boston25news.com/news/local/i-need-leave-massachusetts-attracts-lgbtq-people-fleeing-red-" TargetMode="External"/><Relationship Id="rId691" Type="http://schemas.openxmlformats.org/officeDocument/2006/relationships/header" Target="header47.xml"/><Relationship Id="rId692" Type="http://schemas.openxmlformats.org/officeDocument/2006/relationships/footer" Target="footer48.xml"/><Relationship Id="rId693" Type="http://schemas.openxmlformats.org/officeDocument/2006/relationships/image" Target="media/image110.png"/><Relationship Id="rId694" Type="http://schemas.openxmlformats.org/officeDocument/2006/relationships/image" Target="media/image111.png"/><Relationship Id="rId695" Type="http://schemas.openxmlformats.org/officeDocument/2006/relationships/image" Target="media/image112.png"/><Relationship Id="rId696" Type="http://schemas.openxmlformats.org/officeDocument/2006/relationships/image" Target="media/image113.png"/><Relationship Id="rId697" Type="http://schemas.openxmlformats.org/officeDocument/2006/relationships/header" Target="header48.xml"/><Relationship Id="rId698" Type="http://schemas.openxmlformats.org/officeDocument/2006/relationships/footer" Target="footer49.xml"/><Relationship Id="rId699" Type="http://schemas.openxmlformats.org/officeDocument/2006/relationships/hyperlink" Target="https://malegislature.gov/Bills/193/SD1674" TargetMode="External"/><Relationship Id="rId700" Type="http://schemas.openxmlformats.org/officeDocument/2006/relationships/hyperlink" Target="https://malegislature.gov/Bills/193/SD1415" TargetMode="External"/><Relationship Id="rId701" Type="http://schemas.openxmlformats.org/officeDocument/2006/relationships/hyperlink" Target="https://malegislature.gov/Bills/193/HD3507" TargetMode="External"/><Relationship Id="rId702" Type="http://schemas.openxmlformats.org/officeDocument/2006/relationships/hyperlink" Target="https://malegislature.gov/Bills/193/SD316" TargetMode="External"/><Relationship Id="rId703" Type="http://schemas.openxmlformats.org/officeDocument/2006/relationships/hyperlink" Target="https://malegislature.gov/Bills/193/HD3513" TargetMode="External"/><Relationship Id="rId704" Type="http://schemas.openxmlformats.org/officeDocument/2006/relationships/hyperlink" Target="http://www.whitehouse.gov/ostp/news-updates/2023/01/24/fact-sheet-biden-harris-" TargetMode="External"/><Relationship Id="rId705" Type="http://schemas.openxmlformats.org/officeDocument/2006/relationships/hyperlink" Target="http://www.thetrevorproject.org/research-briefs/bullying-and-suicide-risk-among-lgbtq-youth/" TargetMode="External"/><Relationship Id="rId706" Type="http://schemas.openxmlformats.org/officeDocument/2006/relationships/header" Target="header49.xml"/><Relationship Id="rId707" Type="http://schemas.openxmlformats.org/officeDocument/2006/relationships/footer" Target="footer50.xml"/><Relationship Id="rId708" Type="http://schemas.openxmlformats.org/officeDocument/2006/relationships/hyperlink" Target="https://www.doe.mass.edu/sfs/family-engagement-framework.pdf" TargetMode="External"/><Relationship Id="rId709" Type="http://schemas.openxmlformats.org/officeDocument/2006/relationships/hyperlink" Target="https://www.doe.mass.edu/sfs/?section=family&amp;%3A%7E%3Atext=The%20Massachusetts%20Department%20of%20Elementary%20and%20Secondary%20Education%27s%2C-%20from%20the%20earliest%20ages%20into%20young%20adulthood" TargetMode="External"/><Relationship Id="rId710" Type="http://schemas.openxmlformats.org/officeDocument/2006/relationships/header" Target="header50.xml"/><Relationship Id="rId711" Type="http://schemas.openxmlformats.org/officeDocument/2006/relationships/footer" Target="footer51.xml"/><Relationship Id="rId712" Type="http://schemas.openxmlformats.org/officeDocument/2006/relationships/header" Target="header51.xml"/><Relationship Id="rId713" Type="http://schemas.openxmlformats.org/officeDocument/2006/relationships/footer" Target="footer52.xml"/><Relationship Id="rId714" Type="http://schemas.openxmlformats.org/officeDocument/2006/relationships/hyperlink" Target="http://www.campuspride.org/" TargetMode="External"/><Relationship Id="rId715" Type="http://schemas.openxmlformats.org/officeDocument/2006/relationships/hyperlink" Target="http://www.bhs.umn.edu/surveys/survey-results/2007-2011_LGB_CSHSReport.pdf" TargetMode="External"/><Relationship Id="rId716" Type="http://schemas.openxmlformats.org/officeDocument/2006/relationships/hyperlink" Target="http://www.mass.edu/strategic/csvp.asp" TargetMode="External"/><Relationship Id="rId717" Type="http://schemas.openxmlformats.org/officeDocument/2006/relationships/hyperlink" Target="http://www.campusprideindex.org/" TargetMode="External"/><Relationship Id="rId718" Type="http://schemas.openxmlformats.org/officeDocument/2006/relationships/hyperlink" Target="http://www.bu.edu/articles/2023/lgbtqia-student-task-force-report-inclusive-bu/" TargetMode="External"/><Relationship Id="rId719" Type="http://schemas.openxmlformats.org/officeDocument/2006/relationships/hyperlink" Target="http://www.bu.edu/articles/2023/boston-university-new-lgbtqia-student-resource-center/" TargetMode="External"/><Relationship Id="rId720" Type="http://schemas.openxmlformats.org/officeDocument/2006/relationships/header" Target="header52.xml"/><Relationship Id="rId721" Type="http://schemas.openxmlformats.org/officeDocument/2006/relationships/footer" Target="footer53.xml"/><Relationship Id="rId722" Type="http://schemas.openxmlformats.org/officeDocument/2006/relationships/hyperlink" Target="https://www.mass.gov/orgs/massachusetts-department-of-children-families" TargetMode="External"/><Relationship Id="rId723" Type="http://schemas.openxmlformats.org/officeDocument/2006/relationships/hyperlink" Target="https://www.mass.gov/doc/gender-affirming-medication-consent-policy/download" TargetMode="External"/><Relationship Id="rId724" Type="http://schemas.openxmlformats.org/officeDocument/2006/relationships/hyperlink" Target="https://www.mass.gov/doc/safe-and-supported-placement-policy/download" TargetMode="External"/><Relationship Id="rId725" Type="http://schemas.openxmlformats.org/officeDocument/2006/relationships/hyperlink" Target="https://www.mass.gov/doc/licensing-of-foster-pre-adoptive-and-kinship-families/download" TargetMode="External"/><Relationship Id="rId726" Type="http://schemas.openxmlformats.org/officeDocument/2006/relationships/hyperlink" Target="https://www.mass.gov/doc/quarter-1/download" TargetMode="External"/><Relationship Id="rId727" Type="http://schemas.openxmlformats.org/officeDocument/2006/relationships/hyperlink" Target="https://www.mass.gov/info-details/child-protective-services-overview-dashboard" TargetMode="External"/><Relationship Id="rId728" Type="http://schemas.openxmlformats.org/officeDocument/2006/relationships/header" Target="header53.xml"/><Relationship Id="rId729" Type="http://schemas.openxmlformats.org/officeDocument/2006/relationships/footer" Target="footer54.xml"/><Relationship Id="rId730" Type="http://schemas.openxmlformats.org/officeDocument/2006/relationships/hyperlink" Target="https://www.mass.gov/vocational-rehabilitation-vr" TargetMode="External"/><Relationship Id="rId731" Type="http://schemas.openxmlformats.org/officeDocument/2006/relationships/hyperlink" Target="https://www.mass.gov/social-rehabilitation-sr" TargetMode="External"/><Relationship Id="rId732" Type="http://schemas.openxmlformats.org/officeDocument/2006/relationships/header" Target="header54.xml"/><Relationship Id="rId733" Type="http://schemas.openxmlformats.org/officeDocument/2006/relationships/footer" Target="footer55.xml"/><Relationship Id="rId734" Type="http://schemas.openxmlformats.org/officeDocument/2006/relationships/hyperlink" Target="http://www.thetrevorproject.org/research-briefs/mental-health-of-deaf-lgbtq-youth-mar-2022/" TargetMode="External"/><Relationship Id="rId735" Type="http://schemas.openxmlformats.org/officeDocument/2006/relationships/header" Target="header55.xml"/><Relationship Id="rId736" Type="http://schemas.openxmlformats.org/officeDocument/2006/relationships/footer" Target="footer56.xml"/><Relationship Id="rId737" Type="http://schemas.openxmlformats.org/officeDocument/2006/relationships/hyperlink" Target="https://www.mass.gov/mrc-transition-services-for-students-and-youth" TargetMode="External"/><Relationship Id="rId738" Type="http://schemas.openxmlformats.org/officeDocument/2006/relationships/hyperlink" Target="http://www.lgbtmap.org/lgbt-people-disabilities" TargetMode="External"/><Relationship Id="rId739" Type="http://schemas.openxmlformats.org/officeDocument/2006/relationships/header" Target="header56.xml"/><Relationship Id="rId740" Type="http://schemas.openxmlformats.org/officeDocument/2006/relationships/footer" Target="footer57.xml"/><Relationship Id="rId741" Type="http://schemas.openxmlformats.org/officeDocument/2006/relationships/hyperlink" Target="https://www.masshelpline.com/" TargetMode="External"/><Relationship Id="rId742" Type="http://schemas.openxmlformats.org/officeDocument/2006/relationships/hyperlink" Target="https://www.speakingofhope.org/access-centers/" TargetMode="External"/><Relationship Id="rId743" Type="http://schemas.openxmlformats.org/officeDocument/2006/relationships/hyperlink" Target="http://www.thetrevorproject.org/wp-content/uploads/2022/12/The-Trevor-Project-2022-National-" TargetMode="External"/><Relationship Id="rId744" Type="http://schemas.openxmlformats.org/officeDocument/2006/relationships/header" Target="header57.xml"/><Relationship Id="rId745" Type="http://schemas.openxmlformats.org/officeDocument/2006/relationships/footer" Target="footer58.xml"/><Relationship Id="rId746" Type="http://schemas.openxmlformats.org/officeDocument/2006/relationships/hyperlink" Target="https://www.mass.gov/service-details/the-safe-spaces-for-lgbtqia-youth-program-engage-youth-who-are-lgbtqia" TargetMode="External"/><Relationship Id="rId747" Type="http://schemas.openxmlformats.org/officeDocument/2006/relationships/hyperlink" Target="http://www.mass.gov/doc/racial-equity-data-road-map-pdf/download" TargetMode="External"/><Relationship Id="rId748" Type="http://schemas.openxmlformats.org/officeDocument/2006/relationships/header" Target="header58.xml"/><Relationship Id="rId749" Type="http://schemas.openxmlformats.org/officeDocument/2006/relationships/footer" Target="footer59.xml"/><Relationship Id="rId750" Type="http://schemas.openxmlformats.org/officeDocument/2006/relationships/header" Target="header59.xml"/><Relationship Id="rId751" Type="http://schemas.openxmlformats.org/officeDocument/2006/relationships/footer" Target="footer60.xml"/><Relationship Id="rId752" Type="http://schemas.openxmlformats.org/officeDocument/2006/relationships/hyperlink" Target="http://www.mass.gov/doc/2021-ori-annual-" TargetMode="External"/><Relationship Id="rId753" Type="http://schemas.openxmlformats.org/officeDocument/2006/relationships/header" Target="header60.xml"/><Relationship Id="rId754" Type="http://schemas.openxmlformats.org/officeDocument/2006/relationships/footer" Target="footer61.xml"/><Relationship Id="rId755" Type="http://schemas.openxmlformats.org/officeDocument/2006/relationships/hyperlink" Target="http://www.mass.gov/doc/2022-youth-count-report/download" TargetMode="External"/><Relationship Id="rId756" Type="http://schemas.openxmlformats.org/officeDocument/2006/relationships/header" Target="header61.xml"/><Relationship Id="rId757" Type="http://schemas.openxmlformats.org/officeDocument/2006/relationships/footer" Target="footer62.xml"/><Relationship Id="rId758" Type="http://schemas.openxmlformats.org/officeDocument/2006/relationships/hyperlink" Target="https://www.mass.gov/doc/dys-recidivism-report-2023/download" TargetMode="External"/><Relationship Id="rId759" Type="http://schemas.openxmlformats.org/officeDocument/2006/relationships/header" Target="header62.xml"/><Relationship Id="rId760" Type="http://schemas.openxmlformats.org/officeDocument/2006/relationships/footer" Target="footer63.xml"/><Relationship Id="rId761" Type="http://schemas.openxmlformats.org/officeDocument/2006/relationships/header" Target="header63.xml"/><Relationship Id="rId762" Type="http://schemas.openxmlformats.org/officeDocument/2006/relationships/footer" Target="footer64.xml"/><Relationship Id="rId763" Type="http://schemas.openxmlformats.org/officeDocument/2006/relationships/header" Target="header64.xml"/><Relationship Id="rId764" Type="http://schemas.openxmlformats.org/officeDocument/2006/relationships/footer" Target="footer65.xml"/><Relationship Id="rId765" Type="http://schemas.openxmlformats.org/officeDocument/2006/relationships/header" Target="header65.xml"/><Relationship Id="rId766" Type="http://schemas.openxmlformats.org/officeDocument/2006/relationships/footer" Target="footer66.xml"/><Relationship Id="rId767" Type="http://schemas.openxmlformats.org/officeDocument/2006/relationships/hyperlink" Target="http://www.yalsa.ala.org/jrlya/2016/03/they-kind-of-rely-on-the-library-" TargetMode="External"/><Relationship Id="rId768" Type="http://schemas.openxmlformats.org/officeDocument/2006/relationships/hyperlink" Target="http://www.ala.org/aboutala/offices/extending-our-reach-reducing-homelessness-through-library-" TargetMode="External"/><Relationship Id="rId769" Type="http://schemas.openxmlformats.org/officeDocument/2006/relationships/hyperlink" Target="http://www.bpl.org/resources-for-youth-experiencing-housing-insecurity" TargetMode="External"/><Relationship Id="rId770" Type="http://schemas.openxmlformats.org/officeDocument/2006/relationships/hyperlink" Target="http://www.ala.org/news/press-releases/2023/03/record-" TargetMode="External"/><Relationship Id="rId771" Type="http://schemas.openxmlformats.org/officeDocument/2006/relationships/hyperlink" Target="http://www.ala.org/advocacy/bbooks/frequentlychallengedbooks/top10" TargetMode="External"/><Relationship Id="rId772" Type="http://schemas.openxmlformats.org/officeDocument/2006/relationships/hyperlink" Target="http://www.aclum.org/en/news/aclu-glad-urge-massachusetts-schools-reject-calls-book-" TargetMode="External"/><Relationship Id="rId773" Type="http://schemas.openxmlformats.org/officeDocument/2006/relationships/header" Target="header66.xml"/><Relationship Id="rId774" Type="http://schemas.openxmlformats.org/officeDocument/2006/relationships/footer" Target="footer67.xml"/><Relationship Id="rId775" Type="http://schemas.openxmlformats.org/officeDocument/2006/relationships/hyperlink" Target="http://www.mass.gov/doc/commission-report-on-" TargetMode="External"/><Relationship Id="rId776" Type="http://schemas.openxmlformats.org/officeDocument/2006/relationships/header" Target="header67.xml"/><Relationship Id="rId777" Type="http://schemas.openxmlformats.org/officeDocument/2006/relationships/footer" Target="footer68.xml"/><Relationship Id="rId778" Type="http://schemas.openxmlformats.org/officeDocument/2006/relationships/hyperlink" Target="https://www.mass.gov/masshire-career-centers" TargetMode="External"/><Relationship Id="rId779" Type="http://schemas.openxmlformats.org/officeDocument/2006/relationships/hyperlink" Target="https://www.mass.gov/service-details/connect-with-your-local-masshire-workforce-board" TargetMode="External"/><Relationship Id="rId780" Type="http://schemas.openxmlformats.org/officeDocument/2006/relationships/hyperlink" Target="http://www.lgbtmap.org/news/broken-bargain-lgbt-workers-" TargetMode="External"/><Relationship Id="rId781" Type="http://schemas.openxmlformats.org/officeDocument/2006/relationships/header" Target="header68.xml"/><Relationship Id="rId782" Type="http://schemas.openxmlformats.org/officeDocument/2006/relationships/footer" Target="footer69.xml"/><Relationship Id="rId783" Type="http://schemas.openxmlformats.org/officeDocument/2006/relationships/hyperlink" Target="https://www.bostonglobe.com/2023/09/27/metro/there-are-no-words/?p1=Article_Inline_Text_Link" TargetMode="External"/><Relationship Id="rId784" Type="http://schemas.openxmlformats.org/officeDocument/2006/relationships/hyperlink" Target="http://www.mapresearch.org/file/Under%20Fire%20report_MAP%202023.pdf" TargetMode="External"/><Relationship Id="rId785" Type="http://schemas.openxmlformats.org/officeDocument/2006/relationships/hyperlink" Target="http://www.masslive.com/news/2022/04/parents-file-federal-lawsuit-against-ludlow-school-" TargetMode="External"/><Relationship Id="rId786" Type="http://schemas.openxmlformats.org/officeDocument/2006/relationships/hyperlink" Target="http://www.boston.com/news/schools/2023/01/11/stoughton-" TargetMode="External"/><Relationship Id="rId787" Type="http://schemas.openxmlformats.org/officeDocument/2006/relationships/hyperlink" Target="http://www.bostonglobe.com/2022/12/03/metro/boston-childrens-faced-months-death-threats-hate-mail-heres-how-staff-" TargetMode="External"/><Relationship Id="rId788" Type="http://schemas.openxmlformats.org/officeDocument/2006/relationships/hyperlink" Target="https://www.mass.gov/doc/oca-annual-report-fiscal-year-2022/download" TargetMode="External"/><Relationship Id="rId789" Type="http://schemas.openxmlformats.org/officeDocument/2006/relationships/hyperlink" Target="https://www.cfsrportal.acf.hhs.gov/resources/round-4-resources/cfsr-round-4-process/advancing-equity-and-inclusion-through-cfsrs" TargetMode="External"/><Relationship Id="rId790" Type="http://schemas.openxmlformats.org/officeDocument/2006/relationships/hyperlink" Target="http://www.mass.gov/doc/a-housing-stabilization-and-" TargetMode="External"/><Relationship Id="rId791" Type="http://schemas.openxmlformats.org/officeDocument/2006/relationships/hyperlink" Target="http://www.mass.gov/doc/jjpad-2022-annual-report/download" TargetMode="External"/><Relationship Id="rId792" Type="http://schemas.openxmlformats.org/officeDocument/2006/relationships/hyperlink" Target="http://www.mass.gov/doc/mclgbtqy-annual-recommendations-fy-2023/download" TargetMode="External"/><Relationship Id="rId793" Type="http://schemas.openxmlformats.org/officeDocument/2006/relationships/header" Target="header69.xml"/><Relationship Id="rId794" Type="http://schemas.openxmlformats.org/officeDocument/2006/relationships/footer" Target="footer70.xml"/><Relationship Id="rId795" Type="http://schemas.openxmlformats.org/officeDocument/2006/relationships/header" Target="header70.xml"/><Relationship Id="rId796" Type="http://schemas.openxmlformats.org/officeDocument/2006/relationships/footer" Target="footer71.xml"/><Relationship Id="rId7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MCLGBTQY</dc:creator>
  <dc:title>Flyer Template for Reports: Gianna, Theo &amp; Brenda</dc:title>
  <dcterms:created xsi:type="dcterms:W3CDTF">2024-05-24T15:19:57Z</dcterms:created>
  <dcterms:modified xsi:type="dcterms:W3CDTF">2024-05-24T15:19:57Z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Creator">
    <vt:lpwstr>Adobe Acrobat Pro (64-bit) 24.2.20759</vt:lpwstr>
  </property>
  <property fmtid="{D5CDD505-2E9C-101B-9397-08002B2CF9AE}" pid="4" name="LastSaved">
    <vt:filetime>2024-05-24T00:00:00Z</vt:filetime>
  </property>
  <property fmtid="{D5CDD505-2E9C-101B-9397-08002B2CF9AE}" pid="5" name="Producer">
    <vt:lpwstr>Adobe Acrobat Pro (64-bit) 24.2.20759</vt:lpwstr>
  </property>
</Properties>
</file>